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78FC" w:rsidRDefault="00B42EF3">
      <w:bookmarkStart w:id="0" w:name="_GoBack"/>
      <w:bookmarkEnd w:id="0"/>
      <w:r>
        <w:rPr>
          <w:b/>
          <w:sz w:val="28"/>
        </w:rPr>
        <w:t xml:space="preserve">[MS-OI29500]: </w:t>
      </w:r>
    </w:p>
    <w:p w:rsidR="005F78FC" w:rsidRDefault="00B42EF3">
      <w:r>
        <w:rPr>
          <w:b/>
          <w:sz w:val="28"/>
        </w:rPr>
        <w:t>Office Implementation Information for ISO/IEC 29500 Standards Support</w:t>
      </w:r>
    </w:p>
    <w:p w:rsidR="005F78FC" w:rsidRDefault="005F78FC">
      <w:pPr>
        <w:pStyle w:val="CoverHR"/>
      </w:pPr>
    </w:p>
    <w:p w:rsidR="00B346DF" w:rsidRPr="00893F99" w:rsidRDefault="00B42EF3" w:rsidP="00B346DF">
      <w:pPr>
        <w:pStyle w:val="MSDNH2"/>
        <w:spacing w:line="288" w:lineRule="auto"/>
        <w:textAlignment w:val="top"/>
      </w:pPr>
      <w:r>
        <w:t>Intellectual Property Rights Notice for Open Specifications Documentation</w:t>
      </w:r>
    </w:p>
    <w:p w:rsidR="00B346DF" w:rsidRDefault="00B42EF3" w:rsidP="00B346DF">
      <w:pPr>
        <w:pStyle w:val="ListParagraph"/>
        <w:numPr>
          <w:ilvl w:val="0"/>
          <w:numId w:val="241"/>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B42EF3" w:rsidP="00B346DF">
      <w:pPr>
        <w:pStyle w:val="ListParagraph"/>
        <w:numPr>
          <w:ilvl w:val="0"/>
          <w:numId w:val="241"/>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B42EF3" w:rsidP="00B346DF">
      <w:pPr>
        <w:pStyle w:val="ListParagraph"/>
        <w:numPr>
          <w:ilvl w:val="0"/>
          <w:numId w:val="241"/>
        </w:numPr>
        <w:spacing w:before="0" w:after="120"/>
        <w:contextualSpacing/>
        <w:textAlignment w:val="top"/>
      </w:pPr>
      <w:r>
        <w:rPr>
          <w:b/>
        </w:rPr>
        <w:t>No Trade Secrets</w:t>
      </w:r>
      <w:r>
        <w:t>. Microsoft</w:t>
      </w:r>
      <w:r>
        <w:t xml:space="preserve"> does not claim any trade secret rights in this documentation. </w:t>
      </w:r>
    </w:p>
    <w:p w:rsidR="00B346DF" w:rsidRDefault="00B42EF3" w:rsidP="00B346DF">
      <w:pPr>
        <w:pStyle w:val="ListParagraph"/>
        <w:numPr>
          <w:ilvl w:val="0"/>
          <w:numId w:val="241"/>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B42EF3" w:rsidP="00B346DF">
      <w:pPr>
        <w:pStyle w:val="ListParagraph"/>
        <w:numPr>
          <w:ilvl w:val="0"/>
          <w:numId w:val="241"/>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B42EF3" w:rsidP="00B346DF">
      <w:pPr>
        <w:pStyle w:val="ListParagraph"/>
        <w:numPr>
          <w:ilvl w:val="0"/>
          <w:numId w:val="241"/>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B42EF3" w:rsidP="00B346DF">
      <w:pPr>
        <w:pStyle w:val="ListParagraph"/>
        <w:numPr>
          <w:ilvl w:val="0"/>
          <w:numId w:val="241"/>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B42EF3"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B42EF3"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5F78FC" w:rsidRDefault="00B42EF3"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5F78FC" w:rsidRDefault="00B42EF3" w:rsidP="00FB4B1D">
      <w:pPr>
        <w:spacing w:after="120"/>
      </w:pPr>
      <w:r w:rsidRPr="004D02BB">
        <w:rPr>
          <w:b/>
        </w:rPr>
        <w:t>Preliminary Documentation.</w:t>
      </w:r>
      <w:r w:rsidRPr="004D02BB">
        <w:t xml:space="preserve"> This particular Open Specifications document provides documentation for past and current releases and/or for the pre-release version of this technology. This document provides final documentation for past and current releases and preliminary documentation</w:t>
      </w:r>
      <w:r w:rsidRPr="004D02BB">
        <w:t xml:space="preserve">, as applicable and specifically noted in this document, for the pre-release version. Microsoft will release </w:t>
      </w:r>
      <w:r w:rsidRPr="004D02BB">
        <w:lastRenderedPageBreak/>
        <w:t>final documentation in connection with the commercial release of the updated or new version of this technology. Because this documentation might ch</w:t>
      </w:r>
      <w:r w:rsidRPr="004D02BB">
        <w:t>ange between the pre-release version and the final version of this technology, there are risks in relying on this preliminary documentation. To the extent that you incur additional development obligations or any other costs as a result of relying on this p</w:t>
      </w:r>
      <w:r w:rsidRPr="004D02BB">
        <w:t>reliminary documentation, you do so at your own risk.</w:t>
      </w:r>
    </w:p>
    <w:p w:rsidR="005F78FC" w:rsidRDefault="00B42EF3">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tcPr>
          <w:p w:rsidR="005F78FC" w:rsidRDefault="00B42EF3">
            <w:pPr>
              <w:pStyle w:val="TableHeaderText"/>
            </w:pPr>
            <w:r>
              <w:t>Date</w:t>
            </w:r>
          </w:p>
        </w:tc>
        <w:tc>
          <w:tcPr>
            <w:tcW w:w="0" w:type="auto"/>
          </w:tcPr>
          <w:p w:rsidR="005F78FC" w:rsidRDefault="00B42EF3">
            <w:pPr>
              <w:pStyle w:val="TableHeaderText"/>
            </w:pPr>
            <w:r>
              <w:t>Revision History</w:t>
            </w:r>
          </w:p>
        </w:tc>
        <w:tc>
          <w:tcPr>
            <w:tcW w:w="0" w:type="auto"/>
          </w:tcPr>
          <w:p w:rsidR="005F78FC" w:rsidRDefault="00B42EF3">
            <w:pPr>
              <w:pStyle w:val="TableHeaderText"/>
            </w:pPr>
            <w:r>
              <w:t>Revision Class</w:t>
            </w:r>
          </w:p>
        </w:tc>
        <w:tc>
          <w:tcPr>
            <w:tcW w:w="0" w:type="auto"/>
          </w:tcPr>
          <w:p w:rsidR="005F78FC" w:rsidRDefault="00B42EF3">
            <w:pPr>
              <w:pStyle w:val="TableHeaderText"/>
            </w:pPr>
            <w:r>
              <w:t>Comments</w:t>
            </w:r>
          </w:p>
        </w:tc>
      </w:tr>
      <w:tr w:rsidR="005F78FC" w:rsidTr="005F78FC">
        <w:tc>
          <w:tcPr>
            <w:tcW w:w="0" w:type="auto"/>
            <w:vAlign w:val="center"/>
          </w:tcPr>
          <w:p w:rsidR="005F78FC" w:rsidRDefault="00B42EF3">
            <w:pPr>
              <w:pStyle w:val="TableBodyText"/>
            </w:pPr>
            <w:r>
              <w:t>12/15/2009</w:t>
            </w:r>
          </w:p>
        </w:tc>
        <w:tc>
          <w:tcPr>
            <w:tcW w:w="0" w:type="auto"/>
            <w:vAlign w:val="center"/>
          </w:tcPr>
          <w:p w:rsidR="005F78FC" w:rsidRDefault="00B42EF3">
            <w:pPr>
              <w:pStyle w:val="TableBodyText"/>
            </w:pPr>
            <w:r>
              <w:t>1.0</w:t>
            </w:r>
          </w:p>
        </w:tc>
        <w:tc>
          <w:tcPr>
            <w:tcW w:w="0" w:type="auto"/>
            <w:vAlign w:val="center"/>
          </w:tcPr>
          <w:p w:rsidR="005F78FC" w:rsidRDefault="00B42EF3">
            <w:pPr>
              <w:pStyle w:val="TableBodyText"/>
            </w:pPr>
            <w:r>
              <w:t>Major</w:t>
            </w:r>
          </w:p>
        </w:tc>
        <w:tc>
          <w:tcPr>
            <w:tcW w:w="0" w:type="auto"/>
            <w:vAlign w:val="center"/>
          </w:tcPr>
          <w:p w:rsidR="005F78FC" w:rsidRDefault="00B42EF3">
            <w:pPr>
              <w:pStyle w:val="TableBodyText"/>
            </w:pPr>
            <w:r>
              <w:t>Initial Availability</w:t>
            </w:r>
          </w:p>
        </w:tc>
      </w:tr>
      <w:tr w:rsidR="005F78FC" w:rsidTr="005F78FC">
        <w:tc>
          <w:tcPr>
            <w:tcW w:w="0" w:type="auto"/>
            <w:vAlign w:val="center"/>
          </w:tcPr>
          <w:p w:rsidR="005F78FC" w:rsidRDefault="00B42EF3">
            <w:pPr>
              <w:pStyle w:val="TableBodyText"/>
            </w:pPr>
            <w:r>
              <w:t>2/19/2010</w:t>
            </w:r>
          </w:p>
        </w:tc>
        <w:tc>
          <w:tcPr>
            <w:tcW w:w="0" w:type="auto"/>
            <w:vAlign w:val="center"/>
          </w:tcPr>
          <w:p w:rsidR="005F78FC" w:rsidRDefault="00B42EF3">
            <w:pPr>
              <w:pStyle w:val="TableBodyText"/>
            </w:pPr>
            <w:r>
              <w:t>1.01</w:t>
            </w:r>
          </w:p>
        </w:tc>
        <w:tc>
          <w:tcPr>
            <w:tcW w:w="0" w:type="auto"/>
            <w:vAlign w:val="center"/>
          </w:tcPr>
          <w:p w:rsidR="005F78FC" w:rsidRDefault="00B42EF3">
            <w:pPr>
              <w:pStyle w:val="TableBodyText"/>
            </w:pPr>
            <w:r>
              <w:t>Major</w:t>
            </w:r>
          </w:p>
        </w:tc>
        <w:tc>
          <w:tcPr>
            <w:tcW w:w="0" w:type="auto"/>
            <w:vAlign w:val="center"/>
          </w:tcPr>
          <w:p w:rsidR="005F78FC" w:rsidRDefault="00B42EF3">
            <w:pPr>
              <w:pStyle w:val="TableBodyText"/>
            </w:pPr>
            <w:r>
              <w:t>Updated and revised the technical content</w:t>
            </w:r>
          </w:p>
        </w:tc>
      </w:tr>
      <w:tr w:rsidR="005F78FC" w:rsidTr="005F78FC">
        <w:tc>
          <w:tcPr>
            <w:tcW w:w="0" w:type="auto"/>
            <w:vAlign w:val="center"/>
          </w:tcPr>
          <w:p w:rsidR="005F78FC" w:rsidRDefault="00B42EF3">
            <w:pPr>
              <w:pStyle w:val="TableBodyText"/>
            </w:pPr>
            <w:r>
              <w:t>3/31/2010</w:t>
            </w:r>
          </w:p>
        </w:tc>
        <w:tc>
          <w:tcPr>
            <w:tcW w:w="0" w:type="auto"/>
            <w:vAlign w:val="center"/>
          </w:tcPr>
          <w:p w:rsidR="005F78FC" w:rsidRDefault="00B42EF3">
            <w:pPr>
              <w:pStyle w:val="TableBodyText"/>
            </w:pPr>
            <w:r>
              <w:t>1.02</w:t>
            </w:r>
          </w:p>
        </w:tc>
        <w:tc>
          <w:tcPr>
            <w:tcW w:w="0" w:type="auto"/>
            <w:vAlign w:val="center"/>
          </w:tcPr>
          <w:p w:rsidR="005F78FC" w:rsidRDefault="00B42EF3">
            <w:pPr>
              <w:pStyle w:val="TableBodyText"/>
            </w:pPr>
            <w:r>
              <w:t>Major</w:t>
            </w:r>
          </w:p>
        </w:tc>
        <w:tc>
          <w:tcPr>
            <w:tcW w:w="0" w:type="auto"/>
            <w:vAlign w:val="center"/>
          </w:tcPr>
          <w:p w:rsidR="005F78FC" w:rsidRDefault="00B42EF3">
            <w:pPr>
              <w:pStyle w:val="TableBodyText"/>
            </w:pPr>
            <w:r>
              <w:t>Revised for template compliance</w:t>
            </w:r>
          </w:p>
        </w:tc>
      </w:tr>
      <w:tr w:rsidR="005F78FC" w:rsidTr="005F78FC">
        <w:tc>
          <w:tcPr>
            <w:tcW w:w="0" w:type="auto"/>
            <w:vAlign w:val="center"/>
          </w:tcPr>
          <w:p w:rsidR="005F78FC" w:rsidRDefault="00B42EF3">
            <w:pPr>
              <w:pStyle w:val="TableBodyText"/>
            </w:pPr>
            <w:r>
              <w:t>4/30/2010</w:t>
            </w:r>
          </w:p>
        </w:tc>
        <w:tc>
          <w:tcPr>
            <w:tcW w:w="0" w:type="auto"/>
            <w:vAlign w:val="center"/>
          </w:tcPr>
          <w:p w:rsidR="005F78FC" w:rsidRDefault="00B42EF3">
            <w:pPr>
              <w:pStyle w:val="TableBodyText"/>
            </w:pPr>
            <w:r>
              <w:t>1.03</w:t>
            </w:r>
          </w:p>
        </w:tc>
        <w:tc>
          <w:tcPr>
            <w:tcW w:w="0" w:type="auto"/>
            <w:vAlign w:val="center"/>
          </w:tcPr>
          <w:p w:rsidR="005F78FC" w:rsidRDefault="00B42EF3">
            <w:pPr>
              <w:pStyle w:val="TableBodyText"/>
            </w:pPr>
            <w:r>
              <w:t>Editorial</w:t>
            </w:r>
          </w:p>
        </w:tc>
        <w:tc>
          <w:tcPr>
            <w:tcW w:w="0" w:type="auto"/>
            <w:vAlign w:val="center"/>
          </w:tcPr>
          <w:p w:rsidR="005F78FC" w:rsidRDefault="00B42EF3">
            <w:pPr>
              <w:pStyle w:val="TableBodyText"/>
            </w:pPr>
            <w:r>
              <w:t>Revised and edited the technical content</w:t>
            </w:r>
          </w:p>
        </w:tc>
      </w:tr>
      <w:tr w:rsidR="005F78FC" w:rsidTr="005F78FC">
        <w:tc>
          <w:tcPr>
            <w:tcW w:w="0" w:type="auto"/>
            <w:vAlign w:val="center"/>
          </w:tcPr>
          <w:p w:rsidR="005F78FC" w:rsidRDefault="00B42EF3">
            <w:pPr>
              <w:pStyle w:val="TableBodyText"/>
            </w:pPr>
            <w:r>
              <w:t>6/7/2010</w:t>
            </w:r>
          </w:p>
        </w:tc>
        <w:tc>
          <w:tcPr>
            <w:tcW w:w="0" w:type="auto"/>
            <w:vAlign w:val="center"/>
          </w:tcPr>
          <w:p w:rsidR="005F78FC" w:rsidRDefault="00B42EF3">
            <w:pPr>
              <w:pStyle w:val="TableBodyText"/>
            </w:pPr>
            <w:r>
              <w:t>1.04</w:t>
            </w:r>
          </w:p>
        </w:tc>
        <w:tc>
          <w:tcPr>
            <w:tcW w:w="0" w:type="auto"/>
            <w:vAlign w:val="center"/>
          </w:tcPr>
          <w:p w:rsidR="005F78FC" w:rsidRDefault="00B42EF3">
            <w:pPr>
              <w:pStyle w:val="TableBodyText"/>
            </w:pPr>
            <w:r>
              <w:t>Editorial</w:t>
            </w:r>
          </w:p>
        </w:tc>
        <w:tc>
          <w:tcPr>
            <w:tcW w:w="0" w:type="auto"/>
            <w:vAlign w:val="center"/>
          </w:tcPr>
          <w:p w:rsidR="005F78FC" w:rsidRDefault="00B42EF3">
            <w:pPr>
              <w:pStyle w:val="TableBodyText"/>
            </w:pPr>
            <w:r>
              <w:t>Revised and edited the technical content</w:t>
            </w:r>
          </w:p>
        </w:tc>
      </w:tr>
      <w:tr w:rsidR="005F78FC" w:rsidTr="005F78FC">
        <w:tc>
          <w:tcPr>
            <w:tcW w:w="0" w:type="auto"/>
            <w:vAlign w:val="center"/>
          </w:tcPr>
          <w:p w:rsidR="005F78FC" w:rsidRDefault="00B42EF3">
            <w:pPr>
              <w:pStyle w:val="TableBodyText"/>
            </w:pPr>
            <w:r>
              <w:t>6/29/2010</w:t>
            </w:r>
          </w:p>
        </w:tc>
        <w:tc>
          <w:tcPr>
            <w:tcW w:w="0" w:type="auto"/>
            <w:vAlign w:val="center"/>
          </w:tcPr>
          <w:p w:rsidR="005F78FC" w:rsidRDefault="00B42EF3">
            <w:pPr>
              <w:pStyle w:val="TableBodyText"/>
            </w:pPr>
            <w:r>
              <w:t>1.05</w:t>
            </w:r>
          </w:p>
        </w:tc>
        <w:tc>
          <w:tcPr>
            <w:tcW w:w="0" w:type="auto"/>
            <w:vAlign w:val="center"/>
          </w:tcPr>
          <w:p w:rsidR="005F78FC" w:rsidRDefault="00B42EF3">
            <w:pPr>
              <w:pStyle w:val="TableBodyText"/>
            </w:pPr>
            <w:r>
              <w:t>Editorial</w:t>
            </w:r>
          </w:p>
        </w:tc>
        <w:tc>
          <w:tcPr>
            <w:tcW w:w="0" w:type="auto"/>
            <w:vAlign w:val="center"/>
          </w:tcPr>
          <w:p w:rsidR="005F78FC" w:rsidRDefault="00B42EF3">
            <w:pPr>
              <w:pStyle w:val="TableBodyText"/>
            </w:pPr>
            <w:r>
              <w:t>Changed language and formatting in the technical content.</w:t>
            </w:r>
          </w:p>
        </w:tc>
      </w:tr>
      <w:tr w:rsidR="005F78FC" w:rsidTr="005F78FC">
        <w:tc>
          <w:tcPr>
            <w:tcW w:w="0" w:type="auto"/>
            <w:vAlign w:val="center"/>
          </w:tcPr>
          <w:p w:rsidR="005F78FC" w:rsidRDefault="00B42EF3">
            <w:pPr>
              <w:pStyle w:val="TableBodyText"/>
            </w:pPr>
            <w:r>
              <w:t>7/23/2</w:t>
            </w:r>
            <w:r>
              <w:t>010</w:t>
            </w:r>
          </w:p>
        </w:tc>
        <w:tc>
          <w:tcPr>
            <w:tcW w:w="0" w:type="auto"/>
            <w:vAlign w:val="center"/>
          </w:tcPr>
          <w:p w:rsidR="005F78FC" w:rsidRDefault="00B42EF3">
            <w:pPr>
              <w:pStyle w:val="TableBodyText"/>
            </w:pPr>
            <w:r>
              <w:t>1.05</w:t>
            </w:r>
          </w:p>
        </w:tc>
        <w:tc>
          <w:tcPr>
            <w:tcW w:w="0" w:type="auto"/>
            <w:vAlign w:val="center"/>
          </w:tcPr>
          <w:p w:rsidR="005F78FC" w:rsidRDefault="00B42EF3">
            <w:pPr>
              <w:pStyle w:val="TableBodyText"/>
            </w:pPr>
            <w:r>
              <w:t>None</w:t>
            </w:r>
          </w:p>
        </w:tc>
        <w:tc>
          <w:tcPr>
            <w:tcW w:w="0" w:type="auto"/>
            <w:vAlign w:val="center"/>
          </w:tcPr>
          <w:p w:rsidR="005F78FC" w:rsidRDefault="00B42EF3">
            <w:pPr>
              <w:pStyle w:val="TableBodyText"/>
            </w:pPr>
            <w:r>
              <w:t>No changes to the meaning, language, or formatting of the technical content.</w:t>
            </w:r>
          </w:p>
        </w:tc>
      </w:tr>
      <w:tr w:rsidR="005F78FC" w:rsidTr="005F78FC">
        <w:tc>
          <w:tcPr>
            <w:tcW w:w="0" w:type="auto"/>
            <w:vAlign w:val="center"/>
          </w:tcPr>
          <w:p w:rsidR="005F78FC" w:rsidRDefault="00B42EF3">
            <w:pPr>
              <w:pStyle w:val="TableBodyText"/>
            </w:pPr>
            <w:r>
              <w:t>9/27/2010</w:t>
            </w:r>
          </w:p>
        </w:tc>
        <w:tc>
          <w:tcPr>
            <w:tcW w:w="0" w:type="auto"/>
            <w:vAlign w:val="center"/>
          </w:tcPr>
          <w:p w:rsidR="005F78FC" w:rsidRDefault="00B42EF3">
            <w:pPr>
              <w:pStyle w:val="TableBodyText"/>
            </w:pPr>
            <w:r>
              <w:t>1.05</w:t>
            </w:r>
          </w:p>
        </w:tc>
        <w:tc>
          <w:tcPr>
            <w:tcW w:w="0" w:type="auto"/>
            <w:vAlign w:val="center"/>
          </w:tcPr>
          <w:p w:rsidR="005F78FC" w:rsidRDefault="00B42EF3">
            <w:pPr>
              <w:pStyle w:val="TableBodyText"/>
            </w:pPr>
            <w:r>
              <w:t>None</w:t>
            </w:r>
          </w:p>
        </w:tc>
        <w:tc>
          <w:tcPr>
            <w:tcW w:w="0" w:type="auto"/>
            <w:vAlign w:val="center"/>
          </w:tcPr>
          <w:p w:rsidR="005F78FC" w:rsidRDefault="00B42EF3">
            <w:pPr>
              <w:pStyle w:val="TableBodyText"/>
            </w:pPr>
            <w:r>
              <w:t>No changes to the meaning, language, or formatting of the technical content.</w:t>
            </w:r>
          </w:p>
        </w:tc>
      </w:tr>
      <w:tr w:rsidR="005F78FC" w:rsidTr="005F78FC">
        <w:tc>
          <w:tcPr>
            <w:tcW w:w="0" w:type="auto"/>
            <w:vAlign w:val="center"/>
          </w:tcPr>
          <w:p w:rsidR="005F78FC" w:rsidRDefault="00B42EF3">
            <w:pPr>
              <w:pStyle w:val="TableBodyText"/>
            </w:pPr>
            <w:r>
              <w:t>11/15/2010</w:t>
            </w:r>
          </w:p>
        </w:tc>
        <w:tc>
          <w:tcPr>
            <w:tcW w:w="0" w:type="auto"/>
            <w:vAlign w:val="center"/>
          </w:tcPr>
          <w:p w:rsidR="005F78FC" w:rsidRDefault="00B42EF3">
            <w:pPr>
              <w:pStyle w:val="TableBodyText"/>
            </w:pPr>
            <w:r>
              <w:t>1.06</w:t>
            </w:r>
          </w:p>
        </w:tc>
        <w:tc>
          <w:tcPr>
            <w:tcW w:w="0" w:type="auto"/>
            <w:vAlign w:val="center"/>
          </w:tcPr>
          <w:p w:rsidR="005F78FC" w:rsidRDefault="00B42EF3">
            <w:pPr>
              <w:pStyle w:val="TableBodyText"/>
            </w:pPr>
            <w:r>
              <w:t>Major</w:t>
            </w:r>
          </w:p>
        </w:tc>
        <w:tc>
          <w:tcPr>
            <w:tcW w:w="0" w:type="auto"/>
            <w:vAlign w:val="center"/>
          </w:tcPr>
          <w:p w:rsidR="005F78FC" w:rsidRDefault="00B42EF3">
            <w:pPr>
              <w:pStyle w:val="TableBodyText"/>
            </w:pPr>
            <w:r>
              <w:t>Significantly changed the technical content.</w:t>
            </w:r>
          </w:p>
        </w:tc>
      </w:tr>
      <w:tr w:rsidR="005F78FC" w:rsidTr="005F78FC">
        <w:tc>
          <w:tcPr>
            <w:tcW w:w="0" w:type="auto"/>
            <w:vAlign w:val="center"/>
          </w:tcPr>
          <w:p w:rsidR="005F78FC" w:rsidRDefault="00B42EF3">
            <w:pPr>
              <w:pStyle w:val="TableBodyText"/>
            </w:pPr>
            <w:r>
              <w:t>12/17/2010</w:t>
            </w:r>
          </w:p>
        </w:tc>
        <w:tc>
          <w:tcPr>
            <w:tcW w:w="0" w:type="auto"/>
            <w:vAlign w:val="center"/>
          </w:tcPr>
          <w:p w:rsidR="005F78FC" w:rsidRDefault="00B42EF3">
            <w:pPr>
              <w:pStyle w:val="TableBodyText"/>
            </w:pPr>
            <w:r>
              <w:t>1.06</w:t>
            </w:r>
          </w:p>
        </w:tc>
        <w:tc>
          <w:tcPr>
            <w:tcW w:w="0" w:type="auto"/>
            <w:vAlign w:val="center"/>
          </w:tcPr>
          <w:p w:rsidR="005F78FC" w:rsidRDefault="00B42EF3">
            <w:pPr>
              <w:pStyle w:val="TableBodyText"/>
            </w:pPr>
            <w:r>
              <w:t>None</w:t>
            </w:r>
          </w:p>
        </w:tc>
        <w:tc>
          <w:tcPr>
            <w:tcW w:w="0" w:type="auto"/>
            <w:vAlign w:val="center"/>
          </w:tcPr>
          <w:p w:rsidR="005F78FC" w:rsidRDefault="00B42EF3">
            <w:pPr>
              <w:pStyle w:val="TableBodyText"/>
            </w:pPr>
            <w:r>
              <w:t>No changes to the meaning, language, or formatting of the technical content.</w:t>
            </w:r>
          </w:p>
        </w:tc>
      </w:tr>
      <w:tr w:rsidR="005F78FC" w:rsidTr="005F78FC">
        <w:tc>
          <w:tcPr>
            <w:tcW w:w="0" w:type="auto"/>
            <w:vAlign w:val="center"/>
          </w:tcPr>
          <w:p w:rsidR="005F78FC" w:rsidRDefault="00B42EF3">
            <w:pPr>
              <w:pStyle w:val="TableBodyText"/>
            </w:pPr>
            <w:r>
              <w:t>3/18/2011</w:t>
            </w:r>
          </w:p>
        </w:tc>
        <w:tc>
          <w:tcPr>
            <w:tcW w:w="0" w:type="auto"/>
            <w:vAlign w:val="center"/>
          </w:tcPr>
          <w:p w:rsidR="005F78FC" w:rsidRDefault="00B42EF3">
            <w:pPr>
              <w:pStyle w:val="TableBodyText"/>
            </w:pPr>
            <w:r>
              <w:t>1.06</w:t>
            </w:r>
          </w:p>
        </w:tc>
        <w:tc>
          <w:tcPr>
            <w:tcW w:w="0" w:type="auto"/>
            <w:vAlign w:val="center"/>
          </w:tcPr>
          <w:p w:rsidR="005F78FC" w:rsidRDefault="00B42EF3">
            <w:pPr>
              <w:pStyle w:val="TableBodyText"/>
            </w:pPr>
            <w:r>
              <w:t>None</w:t>
            </w:r>
          </w:p>
        </w:tc>
        <w:tc>
          <w:tcPr>
            <w:tcW w:w="0" w:type="auto"/>
            <w:vAlign w:val="center"/>
          </w:tcPr>
          <w:p w:rsidR="005F78FC" w:rsidRDefault="00B42EF3">
            <w:pPr>
              <w:pStyle w:val="TableBodyText"/>
            </w:pPr>
            <w:r>
              <w:t>No changes to the meaning, language, or formatting of the technical content.</w:t>
            </w:r>
          </w:p>
        </w:tc>
      </w:tr>
      <w:tr w:rsidR="005F78FC" w:rsidTr="005F78FC">
        <w:tc>
          <w:tcPr>
            <w:tcW w:w="0" w:type="auto"/>
            <w:vAlign w:val="center"/>
          </w:tcPr>
          <w:p w:rsidR="005F78FC" w:rsidRDefault="00B42EF3">
            <w:pPr>
              <w:pStyle w:val="TableBodyText"/>
            </w:pPr>
            <w:r>
              <w:t>6/10/2011</w:t>
            </w:r>
          </w:p>
        </w:tc>
        <w:tc>
          <w:tcPr>
            <w:tcW w:w="0" w:type="auto"/>
            <w:vAlign w:val="center"/>
          </w:tcPr>
          <w:p w:rsidR="005F78FC" w:rsidRDefault="00B42EF3">
            <w:pPr>
              <w:pStyle w:val="TableBodyText"/>
            </w:pPr>
            <w:r>
              <w:t>1.06</w:t>
            </w:r>
          </w:p>
        </w:tc>
        <w:tc>
          <w:tcPr>
            <w:tcW w:w="0" w:type="auto"/>
            <w:vAlign w:val="center"/>
          </w:tcPr>
          <w:p w:rsidR="005F78FC" w:rsidRDefault="00B42EF3">
            <w:pPr>
              <w:pStyle w:val="TableBodyText"/>
            </w:pPr>
            <w:r>
              <w:t>None</w:t>
            </w:r>
          </w:p>
        </w:tc>
        <w:tc>
          <w:tcPr>
            <w:tcW w:w="0" w:type="auto"/>
            <w:vAlign w:val="center"/>
          </w:tcPr>
          <w:p w:rsidR="005F78FC" w:rsidRDefault="00B42EF3">
            <w:pPr>
              <w:pStyle w:val="TableBodyText"/>
            </w:pPr>
            <w:r>
              <w:t>No changes to the meaning, language, or formatting of the technical content.</w:t>
            </w:r>
          </w:p>
        </w:tc>
      </w:tr>
      <w:tr w:rsidR="005F78FC" w:rsidTr="005F78FC">
        <w:tc>
          <w:tcPr>
            <w:tcW w:w="0" w:type="auto"/>
            <w:vAlign w:val="center"/>
          </w:tcPr>
          <w:p w:rsidR="005F78FC" w:rsidRDefault="00B42EF3">
            <w:pPr>
              <w:pStyle w:val="TableBodyText"/>
            </w:pPr>
            <w:r>
              <w:t>1/20/2012</w:t>
            </w:r>
          </w:p>
        </w:tc>
        <w:tc>
          <w:tcPr>
            <w:tcW w:w="0" w:type="auto"/>
            <w:vAlign w:val="center"/>
          </w:tcPr>
          <w:p w:rsidR="005F78FC" w:rsidRDefault="00B42EF3">
            <w:pPr>
              <w:pStyle w:val="TableBodyText"/>
            </w:pPr>
            <w:r>
              <w:t>2.0</w:t>
            </w:r>
          </w:p>
        </w:tc>
        <w:tc>
          <w:tcPr>
            <w:tcW w:w="0" w:type="auto"/>
            <w:vAlign w:val="center"/>
          </w:tcPr>
          <w:p w:rsidR="005F78FC" w:rsidRDefault="00B42EF3">
            <w:pPr>
              <w:pStyle w:val="TableBodyText"/>
            </w:pPr>
            <w:r>
              <w:t>Major</w:t>
            </w:r>
          </w:p>
        </w:tc>
        <w:tc>
          <w:tcPr>
            <w:tcW w:w="0" w:type="auto"/>
            <w:vAlign w:val="center"/>
          </w:tcPr>
          <w:p w:rsidR="005F78FC" w:rsidRDefault="00B42EF3">
            <w:pPr>
              <w:pStyle w:val="TableBodyText"/>
            </w:pPr>
            <w:r>
              <w:t>Significantly changed the technical content.</w:t>
            </w:r>
          </w:p>
        </w:tc>
      </w:tr>
      <w:tr w:rsidR="005F78FC" w:rsidTr="005F78FC">
        <w:tc>
          <w:tcPr>
            <w:tcW w:w="0" w:type="auto"/>
            <w:vAlign w:val="center"/>
          </w:tcPr>
          <w:p w:rsidR="005F78FC" w:rsidRDefault="00B42EF3">
            <w:pPr>
              <w:pStyle w:val="TableBodyText"/>
            </w:pPr>
            <w:r>
              <w:t>4/11/2012</w:t>
            </w:r>
          </w:p>
        </w:tc>
        <w:tc>
          <w:tcPr>
            <w:tcW w:w="0" w:type="auto"/>
            <w:vAlign w:val="center"/>
          </w:tcPr>
          <w:p w:rsidR="005F78FC" w:rsidRDefault="00B42EF3">
            <w:pPr>
              <w:pStyle w:val="TableBodyText"/>
            </w:pPr>
            <w:r>
              <w:t>2.0</w:t>
            </w:r>
          </w:p>
        </w:tc>
        <w:tc>
          <w:tcPr>
            <w:tcW w:w="0" w:type="auto"/>
            <w:vAlign w:val="center"/>
          </w:tcPr>
          <w:p w:rsidR="005F78FC" w:rsidRDefault="00B42EF3">
            <w:pPr>
              <w:pStyle w:val="TableBodyText"/>
            </w:pPr>
            <w:r>
              <w:t>None</w:t>
            </w:r>
          </w:p>
        </w:tc>
        <w:tc>
          <w:tcPr>
            <w:tcW w:w="0" w:type="auto"/>
            <w:vAlign w:val="center"/>
          </w:tcPr>
          <w:p w:rsidR="005F78FC" w:rsidRDefault="00B42EF3">
            <w:pPr>
              <w:pStyle w:val="TableBodyText"/>
            </w:pPr>
            <w:r>
              <w:t>No changes to the meaning, language, or formatting of the technical content.</w:t>
            </w:r>
          </w:p>
        </w:tc>
      </w:tr>
      <w:tr w:rsidR="005F78FC" w:rsidTr="005F78FC">
        <w:tc>
          <w:tcPr>
            <w:tcW w:w="0" w:type="auto"/>
            <w:vAlign w:val="center"/>
          </w:tcPr>
          <w:p w:rsidR="005F78FC" w:rsidRDefault="00B42EF3">
            <w:pPr>
              <w:pStyle w:val="TableBodyText"/>
            </w:pPr>
            <w:r>
              <w:t>7/16/2012</w:t>
            </w:r>
          </w:p>
        </w:tc>
        <w:tc>
          <w:tcPr>
            <w:tcW w:w="0" w:type="auto"/>
            <w:vAlign w:val="center"/>
          </w:tcPr>
          <w:p w:rsidR="005F78FC" w:rsidRDefault="00B42EF3">
            <w:pPr>
              <w:pStyle w:val="TableBodyText"/>
            </w:pPr>
            <w:r>
              <w:t>2.0</w:t>
            </w:r>
          </w:p>
        </w:tc>
        <w:tc>
          <w:tcPr>
            <w:tcW w:w="0" w:type="auto"/>
            <w:vAlign w:val="center"/>
          </w:tcPr>
          <w:p w:rsidR="005F78FC" w:rsidRDefault="00B42EF3">
            <w:pPr>
              <w:pStyle w:val="TableBodyText"/>
            </w:pPr>
            <w:r>
              <w:t>N</w:t>
            </w:r>
            <w:r>
              <w:t>one</w:t>
            </w:r>
          </w:p>
        </w:tc>
        <w:tc>
          <w:tcPr>
            <w:tcW w:w="0" w:type="auto"/>
            <w:vAlign w:val="center"/>
          </w:tcPr>
          <w:p w:rsidR="005F78FC" w:rsidRDefault="00B42EF3">
            <w:pPr>
              <w:pStyle w:val="TableBodyText"/>
            </w:pPr>
            <w:r>
              <w:t>No changes to the meaning, language, or formatting of the technical content.</w:t>
            </w:r>
          </w:p>
        </w:tc>
      </w:tr>
      <w:tr w:rsidR="005F78FC" w:rsidTr="005F78FC">
        <w:tc>
          <w:tcPr>
            <w:tcW w:w="0" w:type="auto"/>
            <w:vAlign w:val="center"/>
          </w:tcPr>
          <w:p w:rsidR="005F78FC" w:rsidRDefault="00B42EF3">
            <w:pPr>
              <w:pStyle w:val="TableBodyText"/>
            </w:pPr>
            <w:r>
              <w:t>10/8/2012</w:t>
            </w:r>
          </w:p>
        </w:tc>
        <w:tc>
          <w:tcPr>
            <w:tcW w:w="0" w:type="auto"/>
            <w:vAlign w:val="center"/>
          </w:tcPr>
          <w:p w:rsidR="005F78FC" w:rsidRDefault="00B42EF3">
            <w:pPr>
              <w:pStyle w:val="TableBodyText"/>
            </w:pPr>
            <w:r>
              <w:t>2.1</w:t>
            </w:r>
          </w:p>
        </w:tc>
        <w:tc>
          <w:tcPr>
            <w:tcW w:w="0" w:type="auto"/>
            <w:vAlign w:val="center"/>
          </w:tcPr>
          <w:p w:rsidR="005F78FC" w:rsidRDefault="00B42EF3">
            <w:pPr>
              <w:pStyle w:val="TableBodyText"/>
            </w:pPr>
            <w:r>
              <w:t>Minor</w:t>
            </w:r>
          </w:p>
        </w:tc>
        <w:tc>
          <w:tcPr>
            <w:tcW w:w="0" w:type="auto"/>
            <w:vAlign w:val="center"/>
          </w:tcPr>
          <w:p w:rsidR="005F78FC" w:rsidRDefault="00B42EF3">
            <w:pPr>
              <w:pStyle w:val="TableBodyText"/>
            </w:pPr>
            <w:r>
              <w:t>Clarified the meaning of the technical content.</w:t>
            </w:r>
          </w:p>
        </w:tc>
      </w:tr>
      <w:tr w:rsidR="005F78FC" w:rsidTr="005F78FC">
        <w:tc>
          <w:tcPr>
            <w:tcW w:w="0" w:type="auto"/>
            <w:vAlign w:val="center"/>
          </w:tcPr>
          <w:p w:rsidR="005F78FC" w:rsidRDefault="00B42EF3">
            <w:pPr>
              <w:pStyle w:val="TableBodyText"/>
            </w:pPr>
            <w:r>
              <w:t>2/11/2013</w:t>
            </w:r>
          </w:p>
        </w:tc>
        <w:tc>
          <w:tcPr>
            <w:tcW w:w="0" w:type="auto"/>
            <w:vAlign w:val="center"/>
          </w:tcPr>
          <w:p w:rsidR="005F78FC" w:rsidRDefault="00B42EF3">
            <w:pPr>
              <w:pStyle w:val="TableBodyText"/>
            </w:pPr>
            <w:r>
              <w:t>2.1</w:t>
            </w:r>
          </w:p>
        </w:tc>
        <w:tc>
          <w:tcPr>
            <w:tcW w:w="0" w:type="auto"/>
            <w:vAlign w:val="center"/>
          </w:tcPr>
          <w:p w:rsidR="005F78FC" w:rsidRDefault="00B42EF3">
            <w:pPr>
              <w:pStyle w:val="TableBodyText"/>
            </w:pPr>
            <w:r>
              <w:t>None</w:t>
            </w:r>
          </w:p>
        </w:tc>
        <w:tc>
          <w:tcPr>
            <w:tcW w:w="0" w:type="auto"/>
            <w:vAlign w:val="center"/>
          </w:tcPr>
          <w:p w:rsidR="005F78FC" w:rsidRDefault="00B42EF3">
            <w:pPr>
              <w:pStyle w:val="TableBodyText"/>
            </w:pPr>
            <w:r>
              <w:t>No changes to the meaning, language, or formatting of the technical content.</w:t>
            </w:r>
          </w:p>
        </w:tc>
      </w:tr>
      <w:tr w:rsidR="005F78FC" w:rsidTr="005F78FC">
        <w:tc>
          <w:tcPr>
            <w:tcW w:w="0" w:type="auto"/>
            <w:vAlign w:val="center"/>
          </w:tcPr>
          <w:p w:rsidR="005F78FC" w:rsidRDefault="00B42EF3">
            <w:pPr>
              <w:pStyle w:val="TableBodyText"/>
            </w:pPr>
            <w:r>
              <w:t>7/30/2013</w:t>
            </w:r>
          </w:p>
        </w:tc>
        <w:tc>
          <w:tcPr>
            <w:tcW w:w="0" w:type="auto"/>
            <w:vAlign w:val="center"/>
          </w:tcPr>
          <w:p w:rsidR="005F78FC" w:rsidRDefault="00B42EF3">
            <w:pPr>
              <w:pStyle w:val="TableBodyText"/>
            </w:pPr>
            <w:r>
              <w:t>2.1</w:t>
            </w:r>
          </w:p>
        </w:tc>
        <w:tc>
          <w:tcPr>
            <w:tcW w:w="0" w:type="auto"/>
            <w:vAlign w:val="center"/>
          </w:tcPr>
          <w:p w:rsidR="005F78FC" w:rsidRDefault="00B42EF3">
            <w:pPr>
              <w:pStyle w:val="TableBodyText"/>
            </w:pPr>
            <w:r>
              <w:t>None</w:t>
            </w:r>
          </w:p>
        </w:tc>
        <w:tc>
          <w:tcPr>
            <w:tcW w:w="0" w:type="auto"/>
            <w:vAlign w:val="center"/>
          </w:tcPr>
          <w:p w:rsidR="005F78FC" w:rsidRDefault="00B42EF3">
            <w:pPr>
              <w:pStyle w:val="TableBodyText"/>
            </w:pPr>
            <w:r>
              <w:t>No changes to the meaning, language, or formatting of the technical content.</w:t>
            </w:r>
          </w:p>
        </w:tc>
      </w:tr>
      <w:tr w:rsidR="005F78FC" w:rsidTr="005F78FC">
        <w:tc>
          <w:tcPr>
            <w:tcW w:w="0" w:type="auto"/>
            <w:vAlign w:val="center"/>
          </w:tcPr>
          <w:p w:rsidR="005F78FC" w:rsidRDefault="00B42EF3">
            <w:pPr>
              <w:pStyle w:val="TableBodyText"/>
            </w:pPr>
            <w:r>
              <w:t>11/18/2013</w:t>
            </w:r>
          </w:p>
        </w:tc>
        <w:tc>
          <w:tcPr>
            <w:tcW w:w="0" w:type="auto"/>
            <w:vAlign w:val="center"/>
          </w:tcPr>
          <w:p w:rsidR="005F78FC" w:rsidRDefault="00B42EF3">
            <w:pPr>
              <w:pStyle w:val="TableBodyText"/>
            </w:pPr>
            <w:r>
              <w:t>2.1</w:t>
            </w:r>
          </w:p>
        </w:tc>
        <w:tc>
          <w:tcPr>
            <w:tcW w:w="0" w:type="auto"/>
            <w:vAlign w:val="center"/>
          </w:tcPr>
          <w:p w:rsidR="005F78FC" w:rsidRDefault="00B42EF3">
            <w:pPr>
              <w:pStyle w:val="TableBodyText"/>
            </w:pPr>
            <w:r>
              <w:t>None</w:t>
            </w:r>
          </w:p>
        </w:tc>
        <w:tc>
          <w:tcPr>
            <w:tcW w:w="0" w:type="auto"/>
            <w:vAlign w:val="center"/>
          </w:tcPr>
          <w:p w:rsidR="005F78FC" w:rsidRDefault="00B42EF3">
            <w:pPr>
              <w:pStyle w:val="TableBodyText"/>
            </w:pPr>
            <w:r>
              <w:t>No changes to the meaning, language, or formatting of the technical content.</w:t>
            </w:r>
          </w:p>
        </w:tc>
      </w:tr>
      <w:tr w:rsidR="005F78FC" w:rsidTr="005F78FC">
        <w:tc>
          <w:tcPr>
            <w:tcW w:w="0" w:type="auto"/>
            <w:vAlign w:val="center"/>
          </w:tcPr>
          <w:p w:rsidR="005F78FC" w:rsidRDefault="00B42EF3">
            <w:pPr>
              <w:pStyle w:val="TableBodyText"/>
            </w:pPr>
            <w:r>
              <w:t>2/10/2014</w:t>
            </w:r>
          </w:p>
        </w:tc>
        <w:tc>
          <w:tcPr>
            <w:tcW w:w="0" w:type="auto"/>
            <w:vAlign w:val="center"/>
          </w:tcPr>
          <w:p w:rsidR="005F78FC" w:rsidRDefault="00B42EF3">
            <w:pPr>
              <w:pStyle w:val="TableBodyText"/>
            </w:pPr>
            <w:r>
              <w:t>2.1</w:t>
            </w:r>
          </w:p>
        </w:tc>
        <w:tc>
          <w:tcPr>
            <w:tcW w:w="0" w:type="auto"/>
            <w:vAlign w:val="center"/>
          </w:tcPr>
          <w:p w:rsidR="005F78FC" w:rsidRDefault="00B42EF3">
            <w:pPr>
              <w:pStyle w:val="TableBodyText"/>
            </w:pPr>
            <w:r>
              <w:t>None</w:t>
            </w:r>
          </w:p>
        </w:tc>
        <w:tc>
          <w:tcPr>
            <w:tcW w:w="0" w:type="auto"/>
            <w:vAlign w:val="center"/>
          </w:tcPr>
          <w:p w:rsidR="005F78FC" w:rsidRDefault="00B42EF3">
            <w:pPr>
              <w:pStyle w:val="TableBodyText"/>
            </w:pPr>
            <w:r>
              <w:t>No changes to the meaning, language, or fo</w:t>
            </w:r>
            <w:r>
              <w:t>rmatting of the technical content.</w:t>
            </w:r>
          </w:p>
        </w:tc>
      </w:tr>
      <w:tr w:rsidR="005F78FC" w:rsidTr="005F78FC">
        <w:tc>
          <w:tcPr>
            <w:tcW w:w="0" w:type="auto"/>
            <w:vAlign w:val="center"/>
          </w:tcPr>
          <w:p w:rsidR="005F78FC" w:rsidRDefault="00B42EF3">
            <w:pPr>
              <w:pStyle w:val="TableBodyText"/>
            </w:pPr>
            <w:r>
              <w:t>4/30/2014</w:t>
            </w:r>
          </w:p>
        </w:tc>
        <w:tc>
          <w:tcPr>
            <w:tcW w:w="0" w:type="auto"/>
            <w:vAlign w:val="center"/>
          </w:tcPr>
          <w:p w:rsidR="005F78FC" w:rsidRDefault="00B42EF3">
            <w:pPr>
              <w:pStyle w:val="TableBodyText"/>
            </w:pPr>
            <w:r>
              <w:t>2.1</w:t>
            </w:r>
          </w:p>
        </w:tc>
        <w:tc>
          <w:tcPr>
            <w:tcW w:w="0" w:type="auto"/>
            <w:vAlign w:val="center"/>
          </w:tcPr>
          <w:p w:rsidR="005F78FC" w:rsidRDefault="00B42EF3">
            <w:pPr>
              <w:pStyle w:val="TableBodyText"/>
            </w:pPr>
            <w:r>
              <w:t>None</w:t>
            </w:r>
          </w:p>
        </w:tc>
        <w:tc>
          <w:tcPr>
            <w:tcW w:w="0" w:type="auto"/>
            <w:vAlign w:val="center"/>
          </w:tcPr>
          <w:p w:rsidR="005F78FC" w:rsidRDefault="00B42EF3">
            <w:pPr>
              <w:pStyle w:val="TableBodyText"/>
            </w:pPr>
            <w:r>
              <w:t>No changes to the meaning, language, or formatting of the technical content.</w:t>
            </w:r>
          </w:p>
        </w:tc>
      </w:tr>
      <w:tr w:rsidR="005F78FC" w:rsidTr="005F78FC">
        <w:tc>
          <w:tcPr>
            <w:tcW w:w="0" w:type="auto"/>
            <w:vAlign w:val="center"/>
          </w:tcPr>
          <w:p w:rsidR="005F78FC" w:rsidRDefault="00B42EF3">
            <w:pPr>
              <w:pStyle w:val="TableBodyText"/>
            </w:pPr>
            <w:r>
              <w:t>7/31/2014</w:t>
            </w:r>
          </w:p>
        </w:tc>
        <w:tc>
          <w:tcPr>
            <w:tcW w:w="0" w:type="auto"/>
            <w:vAlign w:val="center"/>
          </w:tcPr>
          <w:p w:rsidR="005F78FC" w:rsidRDefault="00B42EF3">
            <w:pPr>
              <w:pStyle w:val="TableBodyText"/>
            </w:pPr>
            <w:r>
              <w:t>2.2</w:t>
            </w:r>
          </w:p>
        </w:tc>
        <w:tc>
          <w:tcPr>
            <w:tcW w:w="0" w:type="auto"/>
            <w:vAlign w:val="center"/>
          </w:tcPr>
          <w:p w:rsidR="005F78FC" w:rsidRDefault="00B42EF3">
            <w:pPr>
              <w:pStyle w:val="TableBodyText"/>
            </w:pPr>
            <w:r>
              <w:t>Minor</w:t>
            </w:r>
          </w:p>
        </w:tc>
        <w:tc>
          <w:tcPr>
            <w:tcW w:w="0" w:type="auto"/>
            <w:vAlign w:val="center"/>
          </w:tcPr>
          <w:p w:rsidR="005F78FC" w:rsidRDefault="00B42EF3">
            <w:pPr>
              <w:pStyle w:val="TableBodyText"/>
            </w:pPr>
            <w:r>
              <w:t>Clarified the meaning of the technical content.</w:t>
            </w:r>
          </w:p>
        </w:tc>
      </w:tr>
      <w:tr w:rsidR="005F78FC" w:rsidTr="005F78FC">
        <w:tc>
          <w:tcPr>
            <w:tcW w:w="0" w:type="auto"/>
            <w:vAlign w:val="center"/>
          </w:tcPr>
          <w:p w:rsidR="005F78FC" w:rsidRDefault="00B42EF3">
            <w:pPr>
              <w:pStyle w:val="TableBodyText"/>
            </w:pPr>
            <w:r>
              <w:t>10/30/2014</w:t>
            </w:r>
          </w:p>
        </w:tc>
        <w:tc>
          <w:tcPr>
            <w:tcW w:w="0" w:type="auto"/>
            <w:vAlign w:val="center"/>
          </w:tcPr>
          <w:p w:rsidR="005F78FC" w:rsidRDefault="00B42EF3">
            <w:pPr>
              <w:pStyle w:val="TableBodyText"/>
            </w:pPr>
            <w:r>
              <w:t>2.2</w:t>
            </w:r>
          </w:p>
        </w:tc>
        <w:tc>
          <w:tcPr>
            <w:tcW w:w="0" w:type="auto"/>
            <w:vAlign w:val="center"/>
          </w:tcPr>
          <w:p w:rsidR="005F78FC" w:rsidRDefault="00B42EF3">
            <w:pPr>
              <w:pStyle w:val="TableBodyText"/>
            </w:pPr>
            <w:r>
              <w:t>None</w:t>
            </w:r>
          </w:p>
        </w:tc>
        <w:tc>
          <w:tcPr>
            <w:tcW w:w="0" w:type="auto"/>
            <w:vAlign w:val="center"/>
          </w:tcPr>
          <w:p w:rsidR="005F78FC" w:rsidRDefault="00B42EF3">
            <w:pPr>
              <w:pStyle w:val="TableBodyText"/>
            </w:pPr>
            <w:r>
              <w:t>No changes to the meaning, language, or formatting of the technical content.</w:t>
            </w:r>
          </w:p>
        </w:tc>
      </w:tr>
      <w:tr w:rsidR="005F78FC" w:rsidTr="005F78FC">
        <w:tc>
          <w:tcPr>
            <w:tcW w:w="0" w:type="auto"/>
            <w:vAlign w:val="center"/>
          </w:tcPr>
          <w:p w:rsidR="005F78FC" w:rsidRDefault="00B42EF3">
            <w:pPr>
              <w:pStyle w:val="TableBodyText"/>
            </w:pPr>
            <w:r>
              <w:t>1/13/2015</w:t>
            </w:r>
          </w:p>
        </w:tc>
        <w:tc>
          <w:tcPr>
            <w:tcW w:w="0" w:type="auto"/>
            <w:vAlign w:val="center"/>
          </w:tcPr>
          <w:p w:rsidR="005F78FC" w:rsidRDefault="00B42EF3">
            <w:pPr>
              <w:pStyle w:val="TableBodyText"/>
            </w:pPr>
            <w:r>
              <w:t>3.0</w:t>
            </w:r>
          </w:p>
        </w:tc>
        <w:tc>
          <w:tcPr>
            <w:tcW w:w="0" w:type="auto"/>
            <w:vAlign w:val="center"/>
          </w:tcPr>
          <w:p w:rsidR="005F78FC" w:rsidRDefault="00B42EF3">
            <w:pPr>
              <w:pStyle w:val="TableBodyText"/>
            </w:pPr>
            <w:r>
              <w:t>Major</w:t>
            </w:r>
          </w:p>
        </w:tc>
        <w:tc>
          <w:tcPr>
            <w:tcW w:w="0" w:type="auto"/>
            <w:vAlign w:val="center"/>
          </w:tcPr>
          <w:p w:rsidR="005F78FC" w:rsidRDefault="00B42EF3">
            <w:pPr>
              <w:pStyle w:val="TableBodyText"/>
            </w:pPr>
            <w:r>
              <w:t>Significantly changed the technical content.</w:t>
            </w:r>
          </w:p>
        </w:tc>
      </w:tr>
      <w:tr w:rsidR="005F78FC" w:rsidTr="005F78FC">
        <w:tc>
          <w:tcPr>
            <w:tcW w:w="0" w:type="auto"/>
            <w:vAlign w:val="center"/>
          </w:tcPr>
          <w:p w:rsidR="005F78FC" w:rsidRDefault="00B42EF3">
            <w:pPr>
              <w:pStyle w:val="TableBodyText"/>
            </w:pPr>
            <w:r>
              <w:lastRenderedPageBreak/>
              <w:t>9/4/2015</w:t>
            </w:r>
          </w:p>
        </w:tc>
        <w:tc>
          <w:tcPr>
            <w:tcW w:w="0" w:type="auto"/>
            <w:vAlign w:val="center"/>
          </w:tcPr>
          <w:p w:rsidR="005F78FC" w:rsidRDefault="00B42EF3">
            <w:pPr>
              <w:pStyle w:val="TableBodyText"/>
            </w:pPr>
            <w:r>
              <w:t>4.0</w:t>
            </w:r>
          </w:p>
        </w:tc>
        <w:tc>
          <w:tcPr>
            <w:tcW w:w="0" w:type="auto"/>
            <w:vAlign w:val="center"/>
          </w:tcPr>
          <w:p w:rsidR="005F78FC" w:rsidRDefault="00B42EF3">
            <w:pPr>
              <w:pStyle w:val="TableBodyText"/>
            </w:pPr>
            <w:r>
              <w:t>Major</w:t>
            </w:r>
          </w:p>
        </w:tc>
        <w:tc>
          <w:tcPr>
            <w:tcW w:w="0" w:type="auto"/>
            <w:vAlign w:val="center"/>
          </w:tcPr>
          <w:p w:rsidR="005F78FC" w:rsidRDefault="00B42EF3">
            <w:pPr>
              <w:pStyle w:val="TableBodyText"/>
            </w:pPr>
            <w:r>
              <w:t>Significantly changed the technical content.</w:t>
            </w:r>
          </w:p>
        </w:tc>
      </w:tr>
      <w:tr w:rsidR="005F78FC" w:rsidTr="005F78FC">
        <w:tc>
          <w:tcPr>
            <w:tcW w:w="0" w:type="auto"/>
            <w:vAlign w:val="center"/>
          </w:tcPr>
          <w:p w:rsidR="005F78FC" w:rsidRDefault="00B42EF3">
            <w:pPr>
              <w:pStyle w:val="TableBodyText"/>
            </w:pPr>
            <w:r>
              <w:t>9/25/2015</w:t>
            </w:r>
          </w:p>
        </w:tc>
        <w:tc>
          <w:tcPr>
            <w:tcW w:w="0" w:type="auto"/>
            <w:vAlign w:val="center"/>
          </w:tcPr>
          <w:p w:rsidR="005F78FC" w:rsidRDefault="00B42EF3">
            <w:pPr>
              <w:pStyle w:val="TableBodyText"/>
            </w:pPr>
            <w:r>
              <w:t>5.0</w:t>
            </w:r>
          </w:p>
        </w:tc>
        <w:tc>
          <w:tcPr>
            <w:tcW w:w="0" w:type="auto"/>
            <w:vAlign w:val="center"/>
          </w:tcPr>
          <w:p w:rsidR="005F78FC" w:rsidRDefault="00B42EF3">
            <w:pPr>
              <w:pStyle w:val="TableBodyText"/>
            </w:pPr>
            <w:r>
              <w:t>Major</w:t>
            </w:r>
          </w:p>
        </w:tc>
        <w:tc>
          <w:tcPr>
            <w:tcW w:w="0" w:type="auto"/>
            <w:vAlign w:val="center"/>
          </w:tcPr>
          <w:p w:rsidR="005F78FC" w:rsidRDefault="00B42EF3">
            <w:pPr>
              <w:pStyle w:val="TableBodyText"/>
            </w:pPr>
            <w:r>
              <w:t>Significantly changed the t</w:t>
            </w:r>
            <w:r>
              <w:t>echnical content.</w:t>
            </w:r>
          </w:p>
        </w:tc>
      </w:tr>
      <w:tr w:rsidR="005F78FC" w:rsidTr="005F78FC">
        <w:tc>
          <w:tcPr>
            <w:tcW w:w="0" w:type="auto"/>
            <w:vAlign w:val="center"/>
          </w:tcPr>
          <w:p w:rsidR="005F78FC" w:rsidRDefault="00B42EF3">
            <w:pPr>
              <w:pStyle w:val="TableBodyText"/>
            </w:pPr>
            <w:r>
              <w:t>7/15/2016</w:t>
            </w:r>
          </w:p>
        </w:tc>
        <w:tc>
          <w:tcPr>
            <w:tcW w:w="0" w:type="auto"/>
            <w:vAlign w:val="center"/>
          </w:tcPr>
          <w:p w:rsidR="005F78FC" w:rsidRDefault="00B42EF3">
            <w:pPr>
              <w:pStyle w:val="TableBodyText"/>
            </w:pPr>
            <w:r>
              <w:t>5.0</w:t>
            </w:r>
          </w:p>
        </w:tc>
        <w:tc>
          <w:tcPr>
            <w:tcW w:w="0" w:type="auto"/>
            <w:vAlign w:val="center"/>
          </w:tcPr>
          <w:p w:rsidR="005F78FC" w:rsidRDefault="00B42EF3">
            <w:pPr>
              <w:pStyle w:val="TableBodyText"/>
            </w:pPr>
            <w:r>
              <w:t>None</w:t>
            </w:r>
          </w:p>
        </w:tc>
        <w:tc>
          <w:tcPr>
            <w:tcW w:w="0" w:type="auto"/>
            <w:vAlign w:val="center"/>
          </w:tcPr>
          <w:p w:rsidR="005F78FC" w:rsidRDefault="00B42EF3">
            <w:pPr>
              <w:pStyle w:val="TableBodyText"/>
            </w:pPr>
            <w:r>
              <w:t>No changes to the meaning, language, or formatting of the technical content.</w:t>
            </w:r>
          </w:p>
        </w:tc>
      </w:tr>
      <w:tr w:rsidR="005F78FC" w:rsidTr="005F78FC">
        <w:tc>
          <w:tcPr>
            <w:tcW w:w="0" w:type="auto"/>
            <w:vAlign w:val="center"/>
          </w:tcPr>
          <w:p w:rsidR="005F78FC" w:rsidRDefault="00B42EF3">
            <w:pPr>
              <w:pStyle w:val="TableBodyText"/>
            </w:pPr>
            <w:r>
              <w:t>9/26/2016</w:t>
            </w:r>
          </w:p>
        </w:tc>
        <w:tc>
          <w:tcPr>
            <w:tcW w:w="0" w:type="auto"/>
            <w:vAlign w:val="center"/>
          </w:tcPr>
          <w:p w:rsidR="005F78FC" w:rsidRDefault="00B42EF3">
            <w:pPr>
              <w:pStyle w:val="TableBodyText"/>
            </w:pPr>
            <w:r>
              <w:t>6.0</w:t>
            </w:r>
          </w:p>
        </w:tc>
        <w:tc>
          <w:tcPr>
            <w:tcW w:w="0" w:type="auto"/>
            <w:vAlign w:val="center"/>
          </w:tcPr>
          <w:p w:rsidR="005F78FC" w:rsidRDefault="00B42EF3">
            <w:pPr>
              <w:pStyle w:val="TableBodyText"/>
            </w:pPr>
            <w:r>
              <w:t>Major</w:t>
            </w:r>
          </w:p>
        </w:tc>
        <w:tc>
          <w:tcPr>
            <w:tcW w:w="0" w:type="auto"/>
            <w:vAlign w:val="center"/>
          </w:tcPr>
          <w:p w:rsidR="005F78FC" w:rsidRDefault="00B42EF3">
            <w:pPr>
              <w:pStyle w:val="TableBodyText"/>
            </w:pPr>
            <w:r>
              <w:t>Significantly changed the technical content.</w:t>
            </w:r>
          </w:p>
        </w:tc>
      </w:tr>
      <w:tr w:rsidR="005F78FC" w:rsidTr="005F78FC">
        <w:tc>
          <w:tcPr>
            <w:tcW w:w="0" w:type="auto"/>
            <w:vAlign w:val="center"/>
          </w:tcPr>
          <w:p w:rsidR="005F78FC" w:rsidRDefault="00B42EF3">
            <w:pPr>
              <w:pStyle w:val="TableBodyText"/>
            </w:pPr>
            <w:r>
              <w:t>10/17/2016</w:t>
            </w:r>
          </w:p>
        </w:tc>
        <w:tc>
          <w:tcPr>
            <w:tcW w:w="0" w:type="auto"/>
            <w:vAlign w:val="center"/>
          </w:tcPr>
          <w:p w:rsidR="005F78FC" w:rsidRDefault="00B42EF3">
            <w:pPr>
              <w:pStyle w:val="TableBodyText"/>
            </w:pPr>
            <w:r>
              <w:t>6.0</w:t>
            </w:r>
          </w:p>
        </w:tc>
        <w:tc>
          <w:tcPr>
            <w:tcW w:w="0" w:type="auto"/>
            <w:vAlign w:val="center"/>
          </w:tcPr>
          <w:p w:rsidR="005F78FC" w:rsidRDefault="00B42EF3">
            <w:pPr>
              <w:pStyle w:val="TableBodyText"/>
            </w:pPr>
            <w:r>
              <w:t>None</w:t>
            </w:r>
          </w:p>
        </w:tc>
        <w:tc>
          <w:tcPr>
            <w:tcW w:w="0" w:type="auto"/>
            <w:vAlign w:val="center"/>
          </w:tcPr>
          <w:p w:rsidR="005F78FC" w:rsidRDefault="00B42EF3">
            <w:pPr>
              <w:pStyle w:val="TableBodyText"/>
            </w:pPr>
            <w:r>
              <w:t>No changes to the meaning, language, or formatting of the technical content.</w:t>
            </w:r>
          </w:p>
        </w:tc>
      </w:tr>
      <w:tr w:rsidR="005F78FC" w:rsidTr="005F78FC">
        <w:tc>
          <w:tcPr>
            <w:tcW w:w="0" w:type="auto"/>
            <w:vAlign w:val="center"/>
          </w:tcPr>
          <w:p w:rsidR="005F78FC" w:rsidRDefault="00B42EF3">
            <w:pPr>
              <w:pStyle w:val="TableBodyText"/>
            </w:pPr>
            <w:r>
              <w:t>12/15/2016</w:t>
            </w:r>
          </w:p>
        </w:tc>
        <w:tc>
          <w:tcPr>
            <w:tcW w:w="0" w:type="auto"/>
            <w:vAlign w:val="center"/>
          </w:tcPr>
          <w:p w:rsidR="005F78FC" w:rsidRDefault="00B42EF3">
            <w:pPr>
              <w:pStyle w:val="TableBodyText"/>
            </w:pPr>
            <w:r>
              <w:t>7.0</w:t>
            </w:r>
          </w:p>
        </w:tc>
        <w:tc>
          <w:tcPr>
            <w:tcW w:w="0" w:type="auto"/>
            <w:vAlign w:val="center"/>
          </w:tcPr>
          <w:p w:rsidR="005F78FC" w:rsidRDefault="00B42EF3">
            <w:pPr>
              <w:pStyle w:val="TableBodyText"/>
            </w:pPr>
            <w:r>
              <w:t>Major</w:t>
            </w:r>
          </w:p>
        </w:tc>
        <w:tc>
          <w:tcPr>
            <w:tcW w:w="0" w:type="auto"/>
            <w:vAlign w:val="center"/>
          </w:tcPr>
          <w:p w:rsidR="005F78FC" w:rsidRDefault="00B42EF3">
            <w:pPr>
              <w:pStyle w:val="TableBodyText"/>
            </w:pPr>
            <w:r>
              <w:t>Significantly changed the technical content.</w:t>
            </w:r>
          </w:p>
        </w:tc>
      </w:tr>
      <w:tr w:rsidR="005F78FC" w:rsidTr="005F78FC">
        <w:tc>
          <w:tcPr>
            <w:tcW w:w="0" w:type="auto"/>
            <w:vAlign w:val="center"/>
          </w:tcPr>
          <w:p w:rsidR="005F78FC" w:rsidRDefault="00B42EF3">
            <w:pPr>
              <w:pStyle w:val="TableBodyText"/>
            </w:pPr>
            <w:r>
              <w:t>3/28/2017</w:t>
            </w:r>
          </w:p>
        </w:tc>
        <w:tc>
          <w:tcPr>
            <w:tcW w:w="0" w:type="auto"/>
            <w:vAlign w:val="center"/>
          </w:tcPr>
          <w:p w:rsidR="005F78FC" w:rsidRDefault="00B42EF3">
            <w:pPr>
              <w:pStyle w:val="TableBodyText"/>
            </w:pPr>
            <w:r>
              <w:t>8.0</w:t>
            </w:r>
          </w:p>
        </w:tc>
        <w:tc>
          <w:tcPr>
            <w:tcW w:w="0" w:type="auto"/>
            <w:vAlign w:val="center"/>
          </w:tcPr>
          <w:p w:rsidR="005F78FC" w:rsidRDefault="00B42EF3">
            <w:pPr>
              <w:pStyle w:val="TableBodyText"/>
            </w:pPr>
            <w:r>
              <w:t>Major</w:t>
            </w:r>
          </w:p>
        </w:tc>
        <w:tc>
          <w:tcPr>
            <w:tcW w:w="0" w:type="auto"/>
            <w:vAlign w:val="center"/>
          </w:tcPr>
          <w:p w:rsidR="005F78FC" w:rsidRDefault="00B42EF3">
            <w:pPr>
              <w:pStyle w:val="TableBodyText"/>
            </w:pPr>
            <w:r>
              <w:t>Significantly changed the technical content.</w:t>
            </w:r>
          </w:p>
        </w:tc>
      </w:tr>
      <w:tr w:rsidR="005F78FC" w:rsidTr="005F78FC">
        <w:tc>
          <w:tcPr>
            <w:tcW w:w="0" w:type="auto"/>
            <w:vAlign w:val="center"/>
          </w:tcPr>
          <w:p w:rsidR="005F78FC" w:rsidRDefault="00B42EF3">
            <w:pPr>
              <w:pStyle w:val="TableBodyText"/>
            </w:pPr>
            <w:r>
              <w:t>6/20/2017</w:t>
            </w:r>
          </w:p>
        </w:tc>
        <w:tc>
          <w:tcPr>
            <w:tcW w:w="0" w:type="auto"/>
            <w:vAlign w:val="center"/>
          </w:tcPr>
          <w:p w:rsidR="005F78FC" w:rsidRDefault="00B42EF3">
            <w:pPr>
              <w:pStyle w:val="TableBodyText"/>
            </w:pPr>
            <w:r>
              <w:t>8.1</w:t>
            </w:r>
          </w:p>
        </w:tc>
        <w:tc>
          <w:tcPr>
            <w:tcW w:w="0" w:type="auto"/>
            <w:vAlign w:val="center"/>
          </w:tcPr>
          <w:p w:rsidR="005F78FC" w:rsidRDefault="00B42EF3">
            <w:pPr>
              <w:pStyle w:val="TableBodyText"/>
            </w:pPr>
            <w:r>
              <w:t>Minor</w:t>
            </w:r>
          </w:p>
        </w:tc>
        <w:tc>
          <w:tcPr>
            <w:tcW w:w="0" w:type="auto"/>
            <w:vAlign w:val="center"/>
          </w:tcPr>
          <w:p w:rsidR="005F78FC" w:rsidRDefault="00B42EF3">
            <w:pPr>
              <w:pStyle w:val="TableBodyText"/>
            </w:pPr>
            <w:r>
              <w:t>Clarified the meaning of the technical content.</w:t>
            </w:r>
          </w:p>
        </w:tc>
      </w:tr>
      <w:tr w:rsidR="005F78FC" w:rsidTr="005F78FC">
        <w:tc>
          <w:tcPr>
            <w:tcW w:w="0" w:type="auto"/>
            <w:vAlign w:val="center"/>
          </w:tcPr>
          <w:p w:rsidR="005F78FC" w:rsidRDefault="00B42EF3">
            <w:pPr>
              <w:pStyle w:val="TableBodyText"/>
            </w:pPr>
            <w:r>
              <w:t>8/1/2017</w:t>
            </w:r>
          </w:p>
        </w:tc>
        <w:tc>
          <w:tcPr>
            <w:tcW w:w="0" w:type="auto"/>
            <w:vAlign w:val="center"/>
          </w:tcPr>
          <w:p w:rsidR="005F78FC" w:rsidRDefault="00B42EF3">
            <w:pPr>
              <w:pStyle w:val="TableBodyText"/>
            </w:pPr>
            <w:r>
              <w:t>9.0</w:t>
            </w:r>
          </w:p>
        </w:tc>
        <w:tc>
          <w:tcPr>
            <w:tcW w:w="0" w:type="auto"/>
            <w:vAlign w:val="center"/>
          </w:tcPr>
          <w:p w:rsidR="005F78FC" w:rsidRDefault="00B42EF3">
            <w:pPr>
              <w:pStyle w:val="TableBodyText"/>
            </w:pPr>
            <w:r>
              <w:t>Major</w:t>
            </w:r>
          </w:p>
        </w:tc>
        <w:tc>
          <w:tcPr>
            <w:tcW w:w="0" w:type="auto"/>
            <w:vAlign w:val="center"/>
          </w:tcPr>
          <w:p w:rsidR="005F78FC" w:rsidRDefault="00B42EF3">
            <w:pPr>
              <w:pStyle w:val="TableBodyText"/>
            </w:pPr>
            <w:r>
              <w:t>Significantly changed the technical content.</w:t>
            </w:r>
          </w:p>
        </w:tc>
      </w:tr>
      <w:tr w:rsidR="005F78FC" w:rsidTr="005F78FC">
        <w:tc>
          <w:tcPr>
            <w:tcW w:w="0" w:type="auto"/>
            <w:vAlign w:val="center"/>
          </w:tcPr>
          <w:p w:rsidR="005F78FC" w:rsidRDefault="00B42EF3">
            <w:pPr>
              <w:pStyle w:val="TableBodyText"/>
            </w:pPr>
            <w:r>
              <w:t>9/19/2017</w:t>
            </w:r>
          </w:p>
        </w:tc>
        <w:tc>
          <w:tcPr>
            <w:tcW w:w="0" w:type="auto"/>
            <w:vAlign w:val="center"/>
          </w:tcPr>
          <w:p w:rsidR="005F78FC" w:rsidRDefault="00B42EF3">
            <w:pPr>
              <w:pStyle w:val="TableBodyText"/>
            </w:pPr>
            <w:r>
              <w:t>10.0</w:t>
            </w:r>
          </w:p>
        </w:tc>
        <w:tc>
          <w:tcPr>
            <w:tcW w:w="0" w:type="auto"/>
            <w:vAlign w:val="center"/>
          </w:tcPr>
          <w:p w:rsidR="005F78FC" w:rsidRDefault="00B42EF3">
            <w:pPr>
              <w:pStyle w:val="TableBodyText"/>
            </w:pPr>
            <w:r>
              <w:t>Major</w:t>
            </w:r>
          </w:p>
        </w:tc>
        <w:tc>
          <w:tcPr>
            <w:tcW w:w="0" w:type="auto"/>
            <w:vAlign w:val="center"/>
          </w:tcPr>
          <w:p w:rsidR="005F78FC" w:rsidRDefault="00B42EF3">
            <w:pPr>
              <w:pStyle w:val="TableBodyText"/>
            </w:pPr>
            <w:r>
              <w:t>Significantly changed the technical content.</w:t>
            </w:r>
          </w:p>
        </w:tc>
      </w:tr>
      <w:tr w:rsidR="005F78FC" w:rsidTr="005F78FC">
        <w:tc>
          <w:tcPr>
            <w:tcW w:w="0" w:type="auto"/>
            <w:vAlign w:val="center"/>
          </w:tcPr>
          <w:p w:rsidR="005F78FC" w:rsidRDefault="00B42EF3">
            <w:pPr>
              <w:pStyle w:val="TableBodyText"/>
            </w:pPr>
            <w:r>
              <w:t>11/30/2017</w:t>
            </w:r>
          </w:p>
        </w:tc>
        <w:tc>
          <w:tcPr>
            <w:tcW w:w="0" w:type="auto"/>
            <w:vAlign w:val="center"/>
          </w:tcPr>
          <w:p w:rsidR="005F78FC" w:rsidRDefault="00B42EF3">
            <w:pPr>
              <w:pStyle w:val="TableBodyText"/>
            </w:pPr>
            <w:r>
              <w:t>11.0</w:t>
            </w:r>
          </w:p>
        </w:tc>
        <w:tc>
          <w:tcPr>
            <w:tcW w:w="0" w:type="auto"/>
            <w:vAlign w:val="center"/>
          </w:tcPr>
          <w:p w:rsidR="005F78FC" w:rsidRDefault="00B42EF3">
            <w:pPr>
              <w:pStyle w:val="TableBodyText"/>
            </w:pPr>
            <w:r>
              <w:t>Major</w:t>
            </w:r>
          </w:p>
        </w:tc>
        <w:tc>
          <w:tcPr>
            <w:tcW w:w="0" w:type="auto"/>
            <w:vAlign w:val="center"/>
          </w:tcPr>
          <w:p w:rsidR="005F78FC" w:rsidRDefault="00B42EF3">
            <w:pPr>
              <w:pStyle w:val="TableBodyText"/>
            </w:pPr>
            <w:r>
              <w:t>Significantly changed the technical content.</w:t>
            </w:r>
          </w:p>
        </w:tc>
      </w:tr>
      <w:tr w:rsidR="005F78FC" w:rsidTr="005F78FC">
        <w:tc>
          <w:tcPr>
            <w:tcW w:w="0" w:type="auto"/>
            <w:vAlign w:val="center"/>
          </w:tcPr>
          <w:p w:rsidR="005F78FC" w:rsidRDefault="00B42EF3">
            <w:pPr>
              <w:pStyle w:val="TableBodyText"/>
            </w:pPr>
            <w:r>
              <w:t>4/27/2018</w:t>
            </w:r>
          </w:p>
        </w:tc>
        <w:tc>
          <w:tcPr>
            <w:tcW w:w="0" w:type="auto"/>
            <w:vAlign w:val="center"/>
          </w:tcPr>
          <w:p w:rsidR="005F78FC" w:rsidRDefault="00B42EF3">
            <w:pPr>
              <w:pStyle w:val="TableBodyText"/>
            </w:pPr>
            <w:r>
              <w:t>12.0</w:t>
            </w:r>
          </w:p>
        </w:tc>
        <w:tc>
          <w:tcPr>
            <w:tcW w:w="0" w:type="auto"/>
            <w:vAlign w:val="center"/>
          </w:tcPr>
          <w:p w:rsidR="005F78FC" w:rsidRDefault="00B42EF3">
            <w:pPr>
              <w:pStyle w:val="TableBodyText"/>
            </w:pPr>
            <w:r>
              <w:t>Major</w:t>
            </w:r>
          </w:p>
        </w:tc>
        <w:tc>
          <w:tcPr>
            <w:tcW w:w="0" w:type="auto"/>
            <w:vAlign w:val="center"/>
          </w:tcPr>
          <w:p w:rsidR="005F78FC" w:rsidRDefault="00B42EF3">
            <w:pPr>
              <w:pStyle w:val="TableBodyText"/>
            </w:pPr>
            <w:r>
              <w:t>Significantly changed the technical content.</w:t>
            </w:r>
          </w:p>
        </w:tc>
      </w:tr>
      <w:tr w:rsidR="005F78FC" w:rsidTr="005F78FC">
        <w:tc>
          <w:tcPr>
            <w:tcW w:w="0" w:type="auto"/>
            <w:vAlign w:val="center"/>
          </w:tcPr>
          <w:p w:rsidR="005F78FC" w:rsidRDefault="00B42EF3">
            <w:pPr>
              <w:pStyle w:val="TableBodyText"/>
            </w:pPr>
            <w:r>
              <w:t>8/28/2018</w:t>
            </w:r>
          </w:p>
        </w:tc>
        <w:tc>
          <w:tcPr>
            <w:tcW w:w="0" w:type="auto"/>
            <w:vAlign w:val="center"/>
          </w:tcPr>
          <w:p w:rsidR="005F78FC" w:rsidRDefault="00B42EF3">
            <w:pPr>
              <w:pStyle w:val="TableBodyText"/>
            </w:pPr>
            <w:r>
              <w:t>13.0</w:t>
            </w:r>
          </w:p>
        </w:tc>
        <w:tc>
          <w:tcPr>
            <w:tcW w:w="0" w:type="auto"/>
            <w:vAlign w:val="center"/>
          </w:tcPr>
          <w:p w:rsidR="005F78FC" w:rsidRDefault="00B42EF3">
            <w:pPr>
              <w:pStyle w:val="TableBodyText"/>
            </w:pPr>
            <w:r>
              <w:t>Major</w:t>
            </w:r>
          </w:p>
        </w:tc>
        <w:tc>
          <w:tcPr>
            <w:tcW w:w="0" w:type="auto"/>
            <w:vAlign w:val="center"/>
          </w:tcPr>
          <w:p w:rsidR="005F78FC" w:rsidRDefault="00B42EF3">
            <w:pPr>
              <w:pStyle w:val="TableBodyText"/>
            </w:pPr>
            <w:r>
              <w:t>Significantly changed the technical content.</w:t>
            </w:r>
          </w:p>
        </w:tc>
      </w:tr>
      <w:tr w:rsidR="005F78FC" w:rsidTr="005F78FC">
        <w:tc>
          <w:tcPr>
            <w:tcW w:w="0" w:type="auto"/>
            <w:vAlign w:val="center"/>
          </w:tcPr>
          <w:p w:rsidR="005F78FC" w:rsidRDefault="00B42EF3">
            <w:pPr>
              <w:pStyle w:val="TableBodyText"/>
            </w:pPr>
            <w:r>
              <w:t>12/11/2018</w:t>
            </w:r>
          </w:p>
        </w:tc>
        <w:tc>
          <w:tcPr>
            <w:tcW w:w="0" w:type="auto"/>
            <w:vAlign w:val="center"/>
          </w:tcPr>
          <w:p w:rsidR="005F78FC" w:rsidRDefault="00B42EF3">
            <w:pPr>
              <w:pStyle w:val="TableBodyText"/>
            </w:pPr>
            <w:r>
              <w:t>14.0</w:t>
            </w:r>
          </w:p>
        </w:tc>
        <w:tc>
          <w:tcPr>
            <w:tcW w:w="0" w:type="auto"/>
            <w:vAlign w:val="center"/>
          </w:tcPr>
          <w:p w:rsidR="005F78FC" w:rsidRDefault="00B42EF3">
            <w:pPr>
              <w:pStyle w:val="TableBodyText"/>
            </w:pPr>
            <w:r>
              <w:t>Major</w:t>
            </w:r>
          </w:p>
        </w:tc>
        <w:tc>
          <w:tcPr>
            <w:tcW w:w="0" w:type="auto"/>
            <w:vAlign w:val="center"/>
          </w:tcPr>
          <w:p w:rsidR="005F78FC" w:rsidRDefault="00B42EF3">
            <w:pPr>
              <w:pStyle w:val="TableBodyText"/>
            </w:pPr>
            <w:r>
              <w:t>Significantly changed the technical content.</w:t>
            </w:r>
          </w:p>
        </w:tc>
      </w:tr>
      <w:tr w:rsidR="005F78FC" w:rsidTr="005F78FC">
        <w:tc>
          <w:tcPr>
            <w:tcW w:w="0" w:type="auto"/>
            <w:vAlign w:val="center"/>
          </w:tcPr>
          <w:p w:rsidR="005F78FC" w:rsidRDefault="00B42EF3">
            <w:pPr>
              <w:pStyle w:val="TableBodyText"/>
            </w:pPr>
            <w:r>
              <w:t>3/19/2019</w:t>
            </w:r>
          </w:p>
        </w:tc>
        <w:tc>
          <w:tcPr>
            <w:tcW w:w="0" w:type="auto"/>
            <w:vAlign w:val="center"/>
          </w:tcPr>
          <w:p w:rsidR="005F78FC" w:rsidRDefault="00B42EF3">
            <w:pPr>
              <w:pStyle w:val="TableBodyText"/>
            </w:pPr>
            <w:r>
              <w:t>14.1</w:t>
            </w:r>
          </w:p>
        </w:tc>
        <w:tc>
          <w:tcPr>
            <w:tcW w:w="0" w:type="auto"/>
            <w:vAlign w:val="center"/>
          </w:tcPr>
          <w:p w:rsidR="005F78FC" w:rsidRDefault="00B42EF3">
            <w:pPr>
              <w:pStyle w:val="TableBodyText"/>
            </w:pPr>
            <w:r>
              <w:t>Minor</w:t>
            </w:r>
          </w:p>
        </w:tc>
        <w:tc>
          <w:tcPr>
            <w:tcW w:w="0" w:type="auto"/>
            <w:vAlign w:val="center"/>
          </w:tcPr>
          <w:p w:rsidR="005F78FC" w:rsidRDefault="00B42EF3">
            <w:pPr>
              <w:pStyle w:val="TableBodyText"/>
            </w:pPr>
            <w:r>
              <w:t>Clarified the meaning of the technical content.</w:t>
            </w:r>
          </w:p>
        </w:tc>
      </w:tr>
      <w:tr w:rsidR="005F78FC" w:rsidTr="005F78FC">
        <w:tc>
          <w:tcPr>
            <w:tcW w:w="0" w:type="auto"/>
            <w:vAlign w:val="center"/>
          </w:tcPr>
          <w:p w:rsidR="005F78FC" w:rsidRDefault="00B42EF3">
            <w:pPr>
              <w:pStyle w:val="TableBodyText"/>
            </w:pPr>
            <w:r>
              <w:t>6/24/2019</w:t>
            </w:r>
          </w:p>
        </w:tc>
        <w:tc>
          <w:tcPr>
            <w:tcW w:w="0" w:type="auto"/>
            <w:vAlign w:val="center"/>
          </w:tcPr>
          <w:p w:rsidR="005F78FC" w:rsidRDefault="00B42EF3">
            <w:pPr>
              <w:pStyle w:val="TableBodyText"/>
            </w:pPr>
            <w:r>
              <w:t>15.0</w:t>
            </w:r>
          </w:p>
        </w:tc>
        <w:tc>
          <w:tcPr>
            <w:tcW w:w="0" w:type="auto"/>
            <w:vAlign w:val="center"/>
          </w:tcPr>
          <w:p w:rsidR="005F78FC" w:rsidRDefault="00B42EF3">
            <w:pPr>
              <w:pStyle w:val="TableBodyText"/>
            </w:pPr>
            <w:r>
              <w:t>Major</w:t>
            </w:r>
          </w:p>
        </w:tc>
        <w:tc>
          <w:tcPr>
            <w:tcW w:w="0" w:type="auto"/>
            <w:vAlign w:val="center"/>
          </w:tcPr>
          <w:p w:rsidR="005F78FC" w:rsidRDefault="00B42EF3">
            <w:pPr>
              <w:pStyle w:val="TableBodyText"/>
            </w:pPr>
            <w:r>
              <w:t>Significantly changed the technical content.</w:t>
            </w:r>
          </w:p>
        </w:tc>
      </w:tr>
      <w:tr w:rsidR="005F78FC" w:rsidTr="005F78FC">
        <w:tc>
          <w:tcPr>
            <w:tcW w:w="0" w:type="auto"/>
            <w:vAlign w:val="center"/>
          </w:tcPr>
          <w:p w:rsidR="005F78FC" w:rsidRDefault="00B42EF3">
            <w:pPr>
              <w:pStyle w:val="TableBodyText"/>
            </w:pPr>
            <w:r>
              <w:t>9/24/2019</w:t>
            </w:r>
          </w:p>
        </w:tc>
        <w:tc>
          <w:tcPr>
            <w:tcW w:w="0" w:type="auto"/>
            <w:vAlign w:val="center"/>
          </w:tcPr>
          <w:p w:rsidR="005F78FC" w:rsidRDefault="00B42EF3">
            <w:pPr>
              <w:pStyle w:val="TableBodyText"/>
            </w:pPr>
            <w:r>
              <w:t>16.0</w:t>
            </w:r>
          </w:p>
        </w:tc>
        <w:tc>
          <w:tcPr>
            <w:tcW w:w="0" w:type="auto"/>
            <w:vAlign w:val="center"/>
          </w:tcPr>
          <w:p w:rsidR="005F78FC" w:rsidRDefault="00B42EF3">
            <w:pPr>
              <w:pStyle w:val="TableBodyText"/>
            </w:pPr>
            <w:r>
              <w:t>Major</w:t>
            </w:r>
          </w:p>
        </w:tc>
        <w:tc>
          <w:tcPr>
            <w:tcW w:w="0" w:type="auto"/>
            <w:vAlign w:val="center"/>
          </w:tcPr>
          <w:p w:rsidR="005F78FC" w:rsidRDefault="00B42EF3">
            <w:pPr>
              <w:pStyle w:val="TableBodyText"/>
            </w:pPr>
            <w:r>
              <w:t>Significantly changed the technical content.</w:t>
            </w:r>
          </w:p>
        </w:tc>
      </w:tr>
      <w:tr w:rsidR="005F78FC" w:rsidTr="005F78FC">
        <w:tc>
          <w:tcPr>
            <w:tcW w:w="0" w:type="auto"/>
            <w:vAlign w:val="center"/>
          </w:tcPr>
          <w:p w:rsidR="005F78FC" w:rsidRDefault="00B42EF3">
            <w:pPr>
              <w:pStyle w:val="TableBodyText"/>
            </w:pPr>
            <w:r>
              <w:t>11/19/2019</w:t>
            </w:r>
          </w:p>
        </w:tc>
        <w:tc>
          <w:tcPr>
            <w:tcW w:w="0" w:type="auto"/>
            <w:vAlign w:val="center"/>
          </w:tcPr>
          <w:p w:rsidR="005F78FC" w:rsidRDefault="00B42EF3">
            <w:pPr>
              <w:pStyle w:val="TableBodyText"/>
            </w:pPr>
            <w:r>
              <w:t>16.0</w:t>
            </w:r>
          </w:p>
        </w:tc>
        <w:tc>
          <w:tcPr>
            <w:tcW w:w="0" w:type="auto"/>
            <w:vAlign w:val="center"/>
          </w:tcPr>
          <w:p w:rsidR="005F78FC" w:rsidRDefault="00B42EF3">
            <w:pPr>
              <w:pStyle w:val="TableBodyText"/>
            </w:pPr>
            <w:r>
              <w:t>None</w:t>
            </w:r>
          </w:p>
        </w:tc>
        <w:tc>
          <w:tcPr>
            <w:tcW w:w="0" w:type="auto"/>
            <w:vAlign w:val="center"/>
          </w:tcPr>
          <w:p w:rsidR="005F78FC" w:rsidRDefault="00B42EF3">
            <w:pPr>
              <w:pStyle w:val="TableBodyText"/>
            </w:pPr>
            <w:r>
              <w:t>No changes to the meaning, language, or formatting of the technical content.</w:t>
            </w:r>
          </w:p>
        </w:tc>
      </w:tr>
      <w:tr w:rsidR="005F78FC" w:rsidTr="005F78FC">
        <w:tc>
          <w:tcPr>
            <w:tcW w:w="0" w:type="auto"/>
            <w:vAlign w:val="center"/>
          </w:tcPr>
          <w:p w:rsidR="005F78FC" w:rsidRDefault="00B42EF3">
            <w:pPr>
              <w:pStyle w:val="TableBodyText"/>
            </w:pPr>
            <w:r>
              <w:t>2/19/2020</w:t>
            </w:r>
          </w:p>
        </w:tc>
        <w:tc>
          <w:tcPr>
            <w:tcW w:w="0" w:type="auto"/>
            <w:vAlign w:val="center"/>
          </w:tcPr>
          <w:p w:rsidR="005F78FC" w:rsidRDefault="00B42EF3">
            <w:pPr>
              <w:pStyle w:val="TableBodyText"/>
            </w:pPr>
            <w:r>
              <w:t>16.1</w:t>
            </w:r>
          </w:p>
        </w:tc>
        <w:tc>
          <w:tcPr>
            <w:tcW w:w="0" w:type="auto"/>
            <w:vAlign w:val="center"/>
          </w:tcPr>
          <w:p w:rsidR="005F78FC" w:rsidRDefault="00B42EF3">
            <w:pPr>
              <w:pStyle w:val="TableBodyText"/>
            </w:pPr>
            <w:r>
              <w:t>Minor</w:t>
            </w:r>
          </w:p>
        </w:tc>
        <w:tc>
          <w:tcPr>
            <w:tcW w:w="0" w:type="auto"/>
            <w:vAlign w:val="center"/>
          </w:tcPr>
          <w:p w:rsidR="005F78FC" w:rsidRDefault="00B42EF3">
            <w:pPr>
              <w:pStyle w:val="TableBodyText"/>
            </w:pPr>
            <w:r>
              <w:t>Clarified the meaning of the technical content.</w:t>
            </w:r>
          </w:p>
        </w:tc>
      </w:tr>
      <w:tr w:rsidR="005F78FC" w:rsidTr="005F78FC">
        <w:tc>
          <w:tcPr>
            <w:tcW w:w="0" w:type="auto"/>
            <w:vAlign w:val="center"/>
          </w:tcPr>
          <w:p w:rsidR="005F78FC" w:rsidRDefault="00B42EF3">
            <w:pPr>
              <w:pStyle w:val="TableBodyText"/>
            </w:pPr>
            <w:r>
              <w:t>11/17/2020</w:t>
            </w:r>
          </w:p>
        </w:tc>
        <w:tc>
          <w:tcPr>
            <w:tcW w:w="0" w:type="auto"/>
            <w:vAlign w:val="center"/>
          </w:tcPr>
          <w:p w:rsidR="005F78FC" w:rsidRDefault="00B42EF3">
            <w:pPr>
              <w:pStyle w:val="TableBodyText"/>
            </w:pPr>
            <w:r>
              <w:t>17.0</w:t>
            </w:r>
          </w:p>
        </w:tc>
        <w:tc>
          <w:tcPr>
            <w:tcW w:w="0" w:type="auto"/>
            <w:vAlign w:val="center"/>
          </w:tcPr>
          <w:p w:rsidR="005F78FC" w:rsidRDefault="00B42EF3">
            <w:pPr>
              <w:pStyle w:val="TableBodyText"/>
            </w:pPr>
            <w:r>
              <w:t>Major</w:t>
            </w:r>
          </w:p>
        </w:tc>
        <w:tc>
          <w:tcPr>
            <w:tcW w:w="0" w:type="auto"/>
            <w:vAlign w:val="center"/>
          </w:tcPr>
          <w:p w:rsidR="005F78FC" w:rsidRDefault="00B42EF3">
            <w:pPr>
              <w:pStyle w:val="TableBodyText"/>
            </w:pPr>
            <w:r>
              <w:t>Significantly changed the technical content.</w:t>
            </w:r>
          </w:p>
        </w:tc>
      </w:tr>
      <w:tr w:rsidR="005F78FC" w:rsidTr="005F78FC">
        <w:tc>
          <w:tcPr>
            <w:tcW w:w="0" w:type="auto"/>
            <w:vAlign w:val="center"/>
          </w:tcPr>
          <w:p w:rsidR="005F78FC" w:rsidRDefault="00B42EF3">
            <w:pPr>
              <w:pStyle w:val="TableBodyText"/>
            </w:pPr>
            <w:r>
              <w:t>4/22/2021</w:t>
            </w:r>
          </w:p>
        </w:tc>
        <w:tc>
          <w:tcPr>
            <w:tcW w:w="0" w:type="auto"/>
            <w:vAlign w:val="center"/>
          </w:tcPr>
          <w:p w:rsidR="005F78FC" w:rsidRDefault="00B42EF3">
            <w:pPr>
              <w:pStyle w:val="TableBodyText"/>
            </w:pPr>
            <w:r>
              <w:t>18.0</w:t>
            </w:r>
          </w:p>
        </w:tc>
        <w:tc>
          <w:tcPr>
            <w:tcW w:w="0" w:type="auto"/>
            <w:vAlign w:val="center"/>
          </w:tcPr>
          <w:p w:rsidR="005F78FC" w:rsidRDefault="00B42EF3">
            <w:pPr>
              <w:pStyle w:val="TableBodyText"/>
            </w:pPr>
            <w:r>
              <w:t>Major</w:t>
            </w:r>
          </w:p>
        </w:tc>
        <w:tc>
          <w:tcPr>
            <w:tcW w:w="0" w:type="auto"/>
            <w:vAlign w:val="center"/>
          </w:tcPr>
          <w:p w:rsidR="005F78FC" w:rsidRDefault="00B42EF3">
            <w:pPr>
              <w:pStyle w:val="TableBodyText"/>
            </w:pPr>
            <w:r>
              <w:t>Significantly chang</w:t>
            </w:r>
            <w:r>
              <w:t>ed the technical content.</w:t>
            </w:r>
          </w:p>
        </w:tc>
      </w:tr>
    </w:tbl>
    <w:p w:rsidR="005F78FC" w:rsidRDefault="00B42EF3">
      <w:pPr>
        <w:pStyle w:val="TOCHeading"/>
      </w:pPr>
      <w:r>
        <w:lastRenderedPageBreak/>
        <w:t>Table of Contents</w:t>
      </w:r>
    </w:p>
    <w:p w:rsidR="00B42EF3" w:rsidRDefault="00B42EF3">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69877775" w:history="1">
        <w:r w:rsidRPr="00CC53E5">
          <w:rPr>
            <w:rStyle w:val="Hyperlink"/>
            <w:noProof/>
          </w:rPr>
          <w:t>1</w:t>
        </w:r>
        <w:r>
          <w:rPr>
            <w:rFonts w:asciiTheme="minorHAnsi" w:eastAsiaTheme="minorEastAsia" w:hAnsiTheme="minorHAnsi" w:cstheme="minorBidi"/>
            <w:b w:val="0"/>
            <w:bCs w:val="0"/>
            <w:noProof/>
            <w:sz w:val="22"/>
            <w:szCs w:val="22"/>
          </w:rPr>
          <w:tab/>
        </w:r>
        <w:r w:rsidRPr="00CC53E5">
          <w:rPr>
            <w:rStyle w:val="Hyperlink"/>
            <w:noProof/>
          </w:rPr>
          <w:t>Introduction</w:t>
        </w:r>
        <w:r>
          <w:rPr>
            <w:noProof/>
            <w:webHidden/>
          </w:rPr>
          <w:tab/>
        </w:r>
        <w:r>
          <w:rPr>
            <w:noProof/>
            <w:webHidden/>
          </w:rPr>
          <w:fldChar w:fldCharType="begin"/>
        </w:r>
        <w:r>
          <w:rPr>
            <w:noProof/>
            <w:webHidden/>
          </w:rPr>
          <w:instrText xml:space="preserve"> PAGEREF _Toc69877775 \h </w:instrText>
        </w:r>
        <w:r>
          <w:rPr>
            <w:noProof/>
            <w:webHidden/>
          </w:rPr>
        </w:r>
        <w:r>
          <w:rPr>
            <w:noProof/>
            <w:webHidden/>
          </w:rPr>
          <w:fldChar w:fldCharType="separate"/>
        </w:r>
        <w:r>
          <w:rPr>
            <w:noProof/>
            <w:webHidden/>
          </w:rPr>
          <w:t>44</w:t>
        </w:r>
        <w:r>
          <w:rPr>
            <w:noProof/>
            <w:webHidden/>
          </w:rPr>
          <w:fldChar w:fldCharType="end"/>
        </w:r>
      </w:hyperlink>
    </w:p>
    <w:p w:rsidR="00B42EF3" w:rsidRDefault="00B42EF3">
      <w:pPr>
        <w:pStyle w:val="TOC2"/>
        <w:rPr>
          <w:rFonts w:asciiTheme="minorHAnsi" w:eastAsiaTheme="minorEastAsia" w:hAnsiTheme="minorHAnsi" w:cstheme="minorBidi"/>
          <w:noProof/>
          <w:sz w:val="22"/>
          <w:szCs w:val="22"/>
        </w:rPr>
      </w:pPr>
      <w:hyperlink w:anchor="_Toc69877776" w:history="1">
        <w:r w:rsidRPr="00CC53E5">
          <w:rPr>
            <w:rStyle w:val="Hyperlink"/>
            <w:noProof/>
          </w:rPr>
          <w:t>1.1</w:t>
        </w:r>
        <w:r>
          <w:rPr>
            <w:rFonts w:asciiTheme="minorHAnsi" w:eastAsiaTheme="minorEastAsia" w:hAnsiTheme="minorHAnsi" w:cstheme="minorBidi"/>
            <w:noProof/>
            <w:sz w:val="22"/>
            <w:szCs w:val="22"/>
          </w:rPr>
          <w:tab/>
        </w:r>
        <w:r w:rsidRPr="00CC53E5">
          <w:rPr>
            <w:rStyle w:val="Hyperlink"/>
            <w:noProof/>
          </w:rPr>
          <w:t>Glossary</w:t>
        </w:r>
        <w:r>
          <w:rPr>
            <w:noProof/>
            <w:webHidden/>
          </w:rPr>
          <w:tab/>
        </w:r>
        <w:r>
          <w:rPr>
            <w:noProof/>
            <w:webHidden/>
          </w:rPr>
          <w:fldChar w:fldCharType="begin"/>
        </w:r>
        <w:r>
          <w:rPr>
            <w:noProof/>
            <w:webHidden/>
          </w:rPr>
          <w:instrText xml:space="preserve"> PAGEREF _Toc69877776 \h </w:instrText>
        </w:r>
        <w:r>
          <w:rPr>
            <w:noProof/>
            <w:webHidden/>
          </w:rPr>
        </w:r>
        <w:r>
          <w:rPr>
            <w:noProof/>
            <w:webHidden/>
          </w:rPr>
          <w:fldChar w:fldCharType="separate"/>
        </w:r>
        <w:r>
          <w:rPr>
            <w:noProof/>
            <w:webHidden/>
          </w:rPr>
          <w:t>44</w:t>
        </w:r>
        <w:r>
          <w:rPr>
            <w:noProof/>
            <w:webHidden/>
          </w:rPr>
          <w:fldChar w:fldCharType="end"/>
        </w:r>
      </w:hyperlink>
    </w:p>
    <w:p w:rsidR="00B42EF3" w:rsidRDefault="00B42EF3">
      <w:pPr>
        <w:pStyle w:val="TOC2"/>
        <w:rPr>
          <w:rFonts w:asciiTheme="minorHAnsi" w:eastAsiaTheme="minorEastAsia" w:hAnsiTheme="minorHAnsi" w:cstheme="minorBidi"/>
          <w:noProof/>
          <w:sz w:val="22"/>
          <w:szCs w:val="22"/>
        </w:rPr>
      </w:pPr>
      <w:hyperlink w:anchor="_Toc69877777" w:history="1">
        <w:r w:rsidRPr="00CC53E5">
          <w:rPr>
            <w:rStyle w:val="Hyperlink"/>
            <w:noProof/>
          </w:rPr>
          <w:t>1.2</w:t>
        </w:r>
        <w:r>
          <w:rPr>
            <w:rFonts w:asciiTheme="minorHAnsi" w:eastAsiaTheme="minorEastAsia" w:hAnsiTheme="minorHAnsi" w:cstheme="minorBidi"/>
            <w:noProof/>
            <w:sz w:val="22"/>
            <w:szCs w:val="22"/>
          </w:rPr>
          <w:tab/>
        </w:r>
        <w:r w:rsidRPr="00CC53E5">
          <w:rPr>
            <w:rStyle w:val="Hyperlink"/>
            <w:noProof/>
          </w:rPr>
          <w:t>References</w:t>
        </w:r>
        <w:r>
          <w:rPr>
            <w:noProof/>
            <w:webHidden/>
          </w:rPr>
          <w:tab/>
        </w:r>
        <w:r>
          <w:rPr>
            <w:noProof/>
            <w:webHidden/>
          </w:rPr>
          <w:fldChar w:fldCharType="begin"/>
        </w:r>
        <w:r>
          <w:rPr>
            <w:noProof/>
            <w:webHidden/>
          </w:rPr>
          <w:instrText xml:space="preserve"> PAGEREF _Toc69877777 \h </w:instrText>
        </w:r>
        <w:r>
          <w:rPr>
            <w:noProof/>
            <w:webHidden/>
          </w:rPr>
        </w:r>
        <w:r>
          <w:rPr>
            <w:noProof/>
            <w:webHidden/>
          </w:rPr>
          <w:fldChar w:fldCharType="separate"/>
        </w:r>
        <w:r>
          <w:rPr>
            <w:noProof/>
            <w:webHidden/>
          </w:rPr>
          <w:t>44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778" w:history="1">
        <w:r w:rsidRPr="00CC53E5">
          <w:rPr>
            <w:rStyle w:val="Hyperlink"/>
            <w:noProof/>
          </w:rPr>
          <w:t>1.2.1</w:t>
        </w:r>
        <w:r>
          <w:rPr>
            <w:rFonts w:asciiTheme="minorHAnsi" w:eastAsiaTheme="minorEastAsia" w:hAnsiTheme="minorHAnsi" w:cstheme="minorBidi"/>
            <w:noProof/>
            <w:sz w:val="22"/>
            <w:szCs w:val="22"/>
          </w:rPr>
          <w:tab/>
        </w:r>
        <w:r w:rsidRPr="00CC53E5">
          <w:rPr>
            <w:rStyle w:val="Hyperlink"/>
            <w:noProof/>
          </w:rPr>
          <w:t>Normative References</w:t>
        </w:r>
        <w:r>
          <w:rPr>
            <w:noProof/>
            <w:webHidden/>
          </w:rPr>
          <w:tab/>
        </w:r>
        <w:r>
          <w:rPr>
            <w:noProof/>
            <w:webHidden/>
          </w:rPr>
          <w:fldChar w:fldCharType="begin"/>
        </w:r>
        <w:r>
          <w:rPr>
            <w:noProof/>
            <w:webHidden/>
          </w:rPr>
          <w:instrText xml:space="preserve"> PAGEREF _Toc69877778 \h </w:instrText>
        </w:r>
        <w:r>
          <w:rPr>
            <w:noProof/>
            <w:webHidden/>
          </w:rPr>
        </w:r>
        <w:r>
          <w:rPr>
            <w:noProof/>
            <w:webHidden/>
          </w:rPr>
          <w:fldChar w:fldCharType="separate"/>
        </w:r>
        <w:r>
          <w:rPr>
            <w:noProof/>
            <w:webHidden/>
          </w:rPr>
          <w:t>44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779" w:history="1">
        <w:r w:rsidRPr="00CC53E5">
          <w:rPr>
            <w:rStyle w:val="Hyperlink"/>
            <w:noProof/>
          </w:rPr>
          <w:t>1.2.2</w:t>
        </w:r>
        <w:r>
          <w:rPr>
            <w:rFonts w:asciiTheme="minorHAnsi" w:eastAsiaTheme="minorEastAsia" w:hAnsiTheme="minorHAnsi" w:cstheme="minorBidi"/>
            <w:noProof/>
            <w:sz w:val="22"/>
            <w:szCs w:val="22"/>
          </w:rPr>
          <w:tab/>
        </w:r>
        <w:r w:rsidRPr="00CC53E5">
          <w:rPr>
            <w:rStyle w:val="Hyperlink"/>
            <w:noProof/>
          </w:rPr>
          <w:t>Informative References</w:t>
        </w:r>
        <w:r>
          <w:rPr>
            <w:noProof/>
            <w:webHidden/>
          </w:rPr>
          <w:tab/>
        </w:r>
        <w:r>
          <w:rPr>
            <w:noProof/>
            <w:webHidden/>
          </w:rPr>
          <w:fldChar w:fldCharType="begin"/>
        </w:r>
        <w:r>
          <w:rPr>
            <w:noProof/>
            <w:webHidden/>
          </w:rPr>
          <w:instrText xml:space="preserve"> PAGEREF _Toc69877779 \h </w:instrText>
        </w:r>
        <w:r>
          <w:rPr>
            <w:noProof/>
            <w:webHidden/>
          </w:rPr>
        </w:r>
        <w:r>
          <w:rPr>
            <w:noProof/>
            <w:webHidden/>
          </w:rPr>
          <w:fldChar w:fldCharType="separate"/>
        </w:r>
        <w:r>
          <w:rPr>
            <w:noProof/>
            <w:webHidden/>
          </w:rPr>
          <w:t>46</w:t>
        </w:r>
        <w:r>
          <w:rPr>
            <w:noProof/>
            <w:webHidden/>
          </w:rPr>
          <w:fldChar w:fldCharType="end"/>
        </w:r>
      </w:hyperlink>
    </w:p>
    <w:p w:rsidR="00B42EF3" w:rsidRDefault="00B42EF3">
      <w:pPr>
        <w:pStyle w:val="TOC2"/>
        <w:rPr>
          <w:rFonts w:asciiTheme="minorHAnsi" w:eastAsiaTheme="minorEastAsia" w:hAnsiTheme="minorHAnsi" w:cstheme="minorBidi"/>
          <w:noProof/>
          <w:sz w:val="22"/>
          <w:szCs w:val="22"/>
        </w:rPr>
      </w:pPr>
      <w:hyperlink w:anchor="_Toc69877780" w:history="1">
        <w:r w:rsidRPr="00CC53E5">
          <w:rPr>
            <w:rStyle w:val="Hyperlink"/>
            <w:noProof/>
          </w:rPr>
          <w:t>1.3</w:t>
        </w:r>
        <w:r>
          <w:rPr>
            <w:rFonts w:asciiTheme="minorHAnsi" w:eastAsiaTheme="minorEastAsia" w:hAnsiTheme="minorHAnsi" w:cstheme="minorBidi"/>
            <w:noProof/>
            <w:sz w:val="22"/>
            <w:szCs w:val="22"/>
          </w:rPr>
          <w:tab/>
        </w:r>
        <w:r w:rsidRPr="00CC53E5">
          <w:rPr>
            <w:rStyle w:val="Hyperlink"/>
            <w:noProof/>
          </w:rPr>
          <w:t>Microsoft Implementations</w:t>
        </w:r>
        <w:r>
          <w:rPr>
            <w:noProof/>
            <w:webHidden/>
          </w:rPr>
          <w:tab/>
        </w:r>
        <w:r>
          <w:rPr>
            <w:noProof/>
            <w:webHidden/>
          </w:rPr>
          <w:fldChar w:fldCharType="begin"/>
        </w:r>
        <w:r>
          <w:rPr>
            <w:noProof/>
            <w:webHidden/>
          </w:rPr>
          <w:instrText xml:space="preserve"> PAGEREF _Toc69877780 \h </w:instrText>
        </w:r>
        <w:r>
          <w:rPr>
            <w:noProof/>
            <w:webHidden/>
          </w:rPr>
        </w:r>
        <w:r>
          <w:rPr>
            <w:noProof/>
            <w:webHidden/>
          </w:rPr>
          <w:fldChar w:fldCharType="separate"/>
        </w:r>
        <w:r>
          <w:rPr>
            <w:noProof/>
            <w:webHidden/>
          </w:rPr>
          <w:t>46</w:t>
        </w:r>
        <w:r>
          <w:rPr>
            <w:noProof/>
            <w:webHidden/>
          </w:rPr>
          <w:fldChar w:fldCharType="end"/>
        </w:r>
      </w:hyperlink>
    </w:p>
    <w:p w:rsidR="00B42EF3" w:rsidRDefault="00B42EF3">
      <w:pPr>
        <w:pStyle w:val="TOC1"/>
        <w:rPr>
          <w:rFonts w:asciiTheme="minorHAnsi" w:eastAsiaTheme="minorEastAsia" w:hAnsiTheme="minorHAnsi" w:cstheme="minorBidi"/>
          <w:b w:val="0"/>
          <w:bCs w:val="0"/>
          <w:noProof/>
          <w:sz w:val="22"/>
          <w:szCs w:val="22"/>
        </w:rPr>
      </w:pPr>
      <w:hyperlink w:anchor="_Toc69877781" w:history="1">
        <w:r w:rsidRPr="00CC53E5">
          <w:rPr>
            <w:rStyle w:val="Hyperlink"/>
            <w:noProof/>
          </w:rPr>
          <w:t>2</w:t>
        </w:r>
        <w:r>
          <w:rPr>
            <w:rFonts w:asciiTheme="minorHAnsi" w:eastAsiaTheme="minorEastAsia" w:hAnsiTheme="minorHAnsi" w:cstheme="minorBidi"/>
            <w:b w:val="0"/>
            <w:bCs w:val="0"/>
            <w:noProof/>
            <w:sz w:val="22"/>
            <w:szCs w:val="22"/>
          </w:rPr>
          <w:tab/>
        </w:r>
        <w:r w:rsidRPr="00CC53E5">
          <w:rPr>
            <w:rStyle w:val="Hyperlink"/>
            <w:noProof/>
          </w:rPr>
          <w:t>Conformance Statements</w:t>
        </w:r>
        <w:r>
          <w:rPr>
            <w:noProof/>
            <w:webHidden/>
          </w:rPr>
          <w:tab/>
        </w:r>
        <w:r>
          <w:rPr>
            <w:noProof/>
            <w:webHidden/>
          </w:rPr>
          <w:fldChar w:fldCharType="begin"/>
        </w:r>
        <w:r>
          <w:rPr>
            <w:noProof/>
            <w:webHidden/>
          </w:rPr>
          <w:instrText xml:space="preserve"> PAGEREF _Toc69877781 \h </w:instrText>
        </w:r>
        <w:r>
          <w:rPr>
            <w:noProof/>
            <w:webHidden/>
          </w:rPr>
        </w:r>
        <w:r>
          <w:rPr>
            <w:noProof/>
            <w:webHidden/>
          </w:rPr>
          <w:fldChar w:fldCharType="separate"/>
        </w:r>
        <w:r>
          <w:rPr>
            <w:noProof/>
            <w:webHidden/>
          </w:rPr>
          <w:t>48</w:t>
        </w:r>
        <w:r>
          <w:rPr>
            <w:noProof/>
            <w:webHidden/>
          </w:rPr>
          <w:fldChar w:fldCharType="end"/>
        </w:r>
      </w:hyperlink>
    </w:p>
    <w:p w:rsidR="00B42EF3" w:rsidRDefault="00B42EF3">
      <w:pPr>
        <w:pStyle w:val="TOC2"/>
        <w:rPr>
          <w:rFonts w:asciiTheme="minorHAnsi" w:eastAsiaTheme="minorEastAsia" w:hAnsiTheme="minorHAnsi" w:cstheme="minorBidi"/>
          <w:noProof/>
          <w:sz w:val="22"/>
          <w:szCs w:val="22"/>
        </w:rPr>
      </w:pPr>
      <w:hyperlink w:anchor="_Toc69877782" w:history="1">
        <w:r w:rsidRPr="00CC53E5">
          <w:rPr>
            <w:rStyle w:val="Hyperlink"/>
            <w:noProof/>
          </w:rPr>
          <w:t>2.1</w:t>
        </w:r>
        <w:r>
          <w:rPr>
            <w:rFonts w:asciiTheme="minorHAnsi" w:eastAsiaTheme="minorEastAsia" w:hAnsiTheme="minorHAnsi" w:cstheme="minorBidi"/>
            <w:noProof/>
            <w:sz w:val="22"/>
            <w:szCs w:val="22"/>
          </w:rPr>
          <w:tab/>
        </w:r>
        <w:r w:rsidRPr="00CC53E5">
          <w:rPr>
            <w:rStyle w:val="Hyperlink"/>
            <w:noProof/>
          </w:rPr>
          <w:t>Normative Variations</w:t>
        </w:r>
        <w:r>
          <w:rPr>
            <w:noProof/>
            <w:webHidden/>
          </w:rPr>
          <w:tab/>
        </w:r>
        <w:r>
          <w:rPr>
            <w:noProof/>
            <w:webHidden/>
          </w:rPr>
          <w:fldChar w:fldCharType="begin"/>
        </w:r>
        <w:r>
          <w:rPr>
            <w:noProof/>
            <w:webHidden/>
          </w:rPr>
          <w:instrText xml:space="preserve"> PAGEREF _Toc69877782 \h </w:instrText>
        </w:r>
        <w:r>
          <w:rPr>
            <w:noProof/>
            <w:webHidden/>
          </w:rPr>
        </w:r>
        <w:r>
          <w:rPr>
            <w:noProof/>
            <w:webHidden/>
          </w:rPr>
          <w:fldChar w:fldCharType="separate"/>
        </w:r>
        <w:r>
          <w:rPr>
            <w:noProof/>
            <w:webHidden/>
          </w:rPr>
          <w:t>48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783" w:history="1">
        <w:r w:rsidRPr="00CC53E5">
          <w:rPr>
            <w:rStyle w:val="Hyperlink"/>
            <w:noProof/>
          </w:rPr>
          <w:t>2.1.1</w:t>
        </w:r>
        <w:r>
          <w:rPr>
            <w:rFonts w:asciiTheme="minorHAnsi" w:eastAsiaTheme="minorEastAsia" w:hAnsiTheme="minorHAnsi" w:cstheme="minorBidi"/>
            <w:noProof/>
            <w:sz w:val="22"/>
            <w:szCs w:val="22"/>
          </w:rPr>
          <w:tab/>
        </w:r>
        <w:r w:rsidRPr="00CC53E5">
          <w:rPr>
            <w:rStyle w:val="Hyperlink"/>
            <w:noProof/>
          </w:rPr>
          <w:t>Part 1 Section 2.2, Application Conformance</w:t>
        </w:r>
        <w:r>
          <w:rPr>
            <w:noProof/>
            <w:webHidden/>
          </w:rPr>
          <w:tab/>
        </w:r>
        <w:r>
          <w:rPr>
            <w:noProof/>
            <w:webHidden/>
          </w:rPr>
          <w:fldChar w:fldCharType="begin"/>
        </w:r>
        <w:r>
          <w:rPr>
            <w:noProof/>
            <w:webHidden/>
          </w:rPr>
          <w:instrText xml:space="preserve"> PAGEREF _Toc69877783 \h </w:instrText>
        </w:r>
        <w:r>
          <w:rPr>
            <w:noProof/>
            <w:webHidden/>
          </w:rPr>
        </w:r>
        <w:r>
          <w:rPr>
            <w:noProof/>
            <w:webHidden/>
          </w:rPr>
          <w:fldChar w:fldCharType="separate"/>
        </w:r>
        <w:r>
          <w:rPr>
            <w:noProof/>
            <w:webHidden/>
          </w:rPr>
          <w:t>48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784" w:history="1">
        <w:r w:rsidRPr="00CC53E5">
          <w:rPr>
            <w:rStyle w:val="Hyperlink"/>
            <w:noProof/>
          </w:rPr>
          <w:t>2.1.2</w:t>
        </w:r>
        <w:r>
          <w:rPr>
            <w:rFonts w:asciiTheme="minorHAnsi" w:eastAsiaTheme="minorEastAsia" w:hAnsiTheme="minorHAnsi" w:cstheme="minorBidi"/>
            <w:noProof/>
            <w:sz w:val="22"/>
            <w:szCs w:val="22"/>
          </w:rPr>
          <w:tab/>
        </w:r>
        <w:r w:rsidRPr="00CC53E5">
          <w:rPr>
            <w:rStyle w:val="Hyperlink"/>
            <w:noProof/>
          </w:rPr>
          <w:t>Part 1 Section 8.5, PresentationML</w:t>
        </w:r>
        <w:r>
          <w:rPr>
            <w:noProof/>
            <w:webHidden/>
          </w:rPr>
          <w:tab/>
        </w:r>
        <w:r>
          <w:rPr>
            <w:noProof/>
            <w:webHidden/>
          </w:rPr>
          <w:fldChar w:fldCharType="begin"/>
        </w:r>
        <w:r>
          <w:rPr>
            <w:noProof/>
            <w:webHidden/>
          </w:rPr>
          <w:instrText xml:space="preserve"> PAGEREF _Toc69877784 \h </w:instrText>
        </w:r>
        <w:r>
          <w:rPr>
            <w:noProof/>
            <w:webHidden/>
          </w:rPr>
        </w:r>
        <w:r>
          <w:rPr>
            <w:noProof/>
            <w:webHidden/>
          </w:rPr>
          <w:fldChar w:fldCharType="separate"/>
        </w:r>
        <w:r>
          <w:rPr>
            <w:noProof/>
            <w:webHidden/>
          </w:rPr>
          <w:t>48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785" w:history="1">
        <w:r w:rsidRPr="00CC53E5">
          <w:rPr>
            <w:rStyle w:val="Hyperlink"/>
            <w:noProof/>
          </w:rPr>
          <w:t>2.1.3</w:t>
        </w:r>
        <w:r>
          <w:rPr>
            <w:rFonts w:asciiTheme="minorHAnsi" w:eastAsiaTheme="minorEastAsia" w:hAnsiTheme="minorHAnsi" w:cstheme="minorBidi"/>
            <w:noProof/>
            <w:sz w:val="22"/>
            <w:szCs w:val="22"/>
          </w:rPr>
          <w:tab/>
        </w:r>
        <w:r w:rsidRPr="00CC53E5">
          <w:rPr>
            <w:rStyle w:val="Hyperlink"/>
            <w:noProof/>
          </w:rPr>
          <w:t>Part 1 Section 9, Packages</w:t>
        </w:r>
        <w:r>
          <w:rPr>
            <w:noProof/>
            <w:webHidden/>
          </w:rPr>
          <w:tab/>
        </w:r>
        <w:r>
          <w:rPr>
            <w:noProof/>
            <w:webHidden/>
          </w:rPr>
          <w:fldChar w:fldCharType="begin"/>
        </w:r>
        <w:r>
          <w:rPr>
            <w:noProof/>
            <w:webHidden/>
          </w:rPr>
          <w:instrText xml:space="preserve"> PAGEREF _Toc69877785 \h </w:instrText>
        </w:r>
        <w:r>
          <w:rPr>
            <w:noProof/>
            <w:webHidden/>
          </w:rPr>
        </w:r>
        <w:r>
          <w:rPr>
            <w:noProof/>
            <w:webHidden/>
          </w:rPr>
          <w:fldChar w:fldCharType="separate"/>
        </w:r>
        <w:r>
          <w:rPr>
            <w:noProof/>
            <w:webHidden/>
          </w:rPr>
          <w:t>48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786" w:history="1">
        <w:r w:rsidRPr="00CC53E5">
          <w:rPr>
            <w:rStyle w:val="Hyperlink"/>
            <w:noProof/>
          </w:rPr>
          <w:t>2.1.4</w:t>
        </w:r>
        <w:r>
          <w:rPr>
            <w:rFonts w:asciiTheme="minorHAnsi" w:eastAsiaTheme="minorEastAsia" w:hAnsiTheme="minorHAnsi" w:cstheme="minorBidi"/>
            <w:noProof/>
            <w:sz w:val="22"/>
            <w:szCs w:val="22"/>
          </w:rPr>
          <w:tab/>
        </w:r>
        <w:r w:rsidRPr="00CC53E5">
          <w:rPr>
            <w:rStyle w:val="Hyperlink"/>
            <w:noProof/>
          </w:rPr>
          <w:t>Part 1 Section 11, WordprocessingML</w:t>
        </w:r>
        <w:r>
          <w:rPr>
            <w:noProof/>
            <w:webHidden/>
          </w:rPr>
          <w:tab/>
        </w:r>
        <w:r>
          <w:rPr>
            <w:noProof/>
            <w:webHidden/>
          </w:rPr>
          <w:fldChar w:fldCharType="begin"/>
        </w:r>
        <w:r>
          <w:rPr>
            <w:noProof/>
            <w:webHidden/>
          </w:rPr>
          <w:instrText xml:space="preserve"> PAGEREF _Toc69877786 \h </w:instrText>
        </w:r>
        <w:r>
          <w:rPr>
            <w:noProof/>
            <w:webHidden/>
          </w:rPr>
        </w:r>
        <w:r>
          <w:rPr>
            <w:noProof/>
            <w:webHidden/>
          </w:rPr>
          <w:fldChar w:fldCharType="separate"/>
        </w:r>
        <w:r>
          <w:rPr>
            <w:noProof/>
            <w:webHidden/>
          </w:rPr>
          <w:t>48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787" w:history="1">
        <w:r w:rsidRPr="00CC53E5">
          <w:rPr>
            <w:rStyle w:val="Hyperlink"/>
            <w:noProof/>
          </w:rPr>
          <w:t>2.1.5</w:t>
        </w:r>
        <w:r>
          <w:rPr>
            <w:rFonts w:asciiTheme="minorHAnsi" w:eastAsiaTheme="minorEastAsia" w:hAnsiTheme="minorHAnsi" w:cstheme="minorBidi"/>
            <w:noProof/>
            <w:sz w:val="22"/>
            <w:szCs w:val="22"/>
          </w:rPr>
          <w:tab/>
        </w:r>
        <w:r w:rsidRPr="00CC53E5">
          <w:rPr>
            <w:rStyle w:val="Hyperlink"/>
            <w:noProof/>
          </w:rPr>
          <w:t>Part 1 Section 11.3, Part Summary</w:t>
        </w:r>
        <w:r>
          <w:rPr>
            <w:noProof/>
            <w:webHidden/>
          </w:rPr>
          <w:tab/>
        </w:r>
        <w:r>
          <w:rPr>
            <w:noProof/>
            <w:webHidden/>
          </w:rPr>
          <w:fldChar w:fldCharType="begin"/>
        </w:r>
        <w:r>
          <w:rPr>
            <w:noProof/>
            <w:webHidden/>
          </w:rPr>
          <w:instrText xml:space="preserve"> PAGEREF _Toc69877787 \h </w:instrText>
        </w:r>
        <w:r>
          <w:rPr>
            <w:noProof/>
            <w:webHidden/>
          </w:rPr>
        </w:r>
        <w:r>
          <w:rPr>
            <w:noProof/>
            <w:webHidden/>
          </w:rPr>
          <w:fldChar w:fldCharType="separate"/>
        </w:r>
        <w:r>
          <w:rPr>
            <w:noProof/>
            <w:webHidden/>
          </w:rPr>
          <w:t>48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788" w:history="1">
        <w:r w:rsidRPr="00CC53E5">
          <w:rPr>
            <w:rStyle w:val="Hyperlink"/>
            <w:noProof/>
          </w:rPr>
          <w:t>2.1.6</w:t>
        </w:r>
        <w:r>
          <w:rPr>
            <w:rFonts w:asciiTheme="minorHAnsi" w:eastAsiaTheme="minorEastAsia" w:hAnsiTheme="minorHAnsi" w:cstheme="minorBidi"/>
            <w:noProof/>
            <w:sz w:val="22"/>
            <w:szCs w:val="22"/>
          </w:rPr>
          <w:tab/>
        </w:r>
        <w:r w:rsidRPr="00CC53E5">
          <w:rPr>
            <w:rStyle w:val="Hyperlink"/>
            <w:noProof/>
          </w:rPr>
          <w:t>Part 1 Section 12.3, Part Summary</w:t>
        </w:r>
        <w:r>
          <w:rPr>
            <w:noProof/>
            <w:webHidden/>
          </w:rPr>
          <w:tab/>
        </w:r>
        <w:r>
          <w:rPr>
            <w:noProof/>
            <w:webHidden/>
          </w:rPr>
          <w:fldChar w:fldCharType="begin"/>
        </w:r>
        <w:r>
          <w:rPr>
            <w:noProof/>
            <w:webHidden/>
          </w:rPr>
          <w:instrText xml:space="preserve"> PAGEREF _Toc69877788 \h </w:instrText>
        </w:r>
        <w:r>
          <w:rPr>
            <w:noProof/>
            <w:webHidden/>
          </w:rPr>
        </w:r>
        <w:r>
          <w:rPr>
            <w:noProof/>
            <w:webHidden/>
          </w:rPr>
          <w:fldChar w:fldCharType="separate"/>
        </w:r>
        <w:r>
          <w:rPr>
            <w:noProof/>
            <w:webHidden/>
          </w:rPr>
          <w:t>49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789" w:history="1">
        <w:r w:rsidRPr="00CC53E5">
          <w:rPr>
            <w:rStyle w:val="Hyperlink"/>
            <w:noProof/>
          </w:rPr>
          <w:t>2.1.7</w:t>
        </w:r>
        <w:r>
          <w:rPr>
            <w:rFonts w:asciiTheme="minorHAnsi" w:eastAsiaTheme="minorEastAsia" w:hAnsiTheme="minorHAnsi" w:cstheme="minorBidi"/>
            <w:noProof/>
            <w:sz w:val="22"/>
            <w:szCs w:val="22"/>
          </w:rPr>
          <w:tab/>
        </w:r>
        <w:r w:rsidRPr="00CC53E5">
          <w:rPr>
            <w:rStyle w:val="Hyperlink"/>
            <w:noProof/>
          </w:rPr>
          <w:t>Part 1 Section 12.3.2, Chartsheet Part</w:t>
        </w:r>
        <w:r>
          <w:rPr>
            <w:noProof/>
            <w:webHidden/>
          </w:rPr>
          <w:tab/>
        </w:r>
        <w:r>
          <w:rPr>
            <w:noProof/>
            <w:webHidden/>
          </w:rPr>
          <w:fldChar w:fldCharType="begin"/>
        </w:r>
        <w:r>
          <w:rPr>
            <w:noProof/>
            <w:webHidden/>
          </w:rPr>
          <w:instrText xml:space="preserve"> PAGEREF _Toc69877789 \h </w:instrText>
        </w:r>
        <w:r>
          <w:rPr>
            <w:noProof/>
            <w:webHidden/>
          </w:rPr>
        </w:r>
        <w:r>
          <w:rPr>
            <w:noProof/>
            <w:webHidden/>
          </w:rPr>
          <w:fldChar w:fldCharType="separate"/>
        </w:r>
        <w:r>
          <w:rPr>
            <w:noProof/>
            <w:webHidden/>
          </w:rPr>
          <w:t>49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790" w:history="1">
        <w:r w:rsidRPr="00CC53E5">
          <w:rPr>
            <w:rStyle w:val="Hyperlink"/>
            <w:noProof/>
          </w:rPr>
          <w:t>2.1.8</w:t>
        </w:r>
        <w:r>
          <w:rPr>
            <w:rFonts w:asciiTheme="minorHAnsi" w:eastAsiaTheme="minorEastAsia" w:hAnsiTheme="minorHAnsi" w:cstheme="minorBidi"/>
            <w:noProof/>
            <w:sz w:val="22"/>
            <w:szCs w:val="22"/>
          </w:rPr>
          <w:tab/>
        </w:r>
        <w:r w:rsidRPr="00CC53E5">
          <w:rPr>
            <w:rStyle w:val="Hyperlink"/>
            <w:noProof/>
          </w:rPr>
          <w:t>Part 1 Section 12.3.6, Custom XML Mappings Part</w:t>
        </w:r>
        <w:r>
          <w:rPr>
            <w:noProof/>
            <w:webHidden/>
          </w:rPr>
          <w:tab/>
        </w:r>
        <w:r>
          <w:rPr>
            <w:noProof/>
            <w:webHidden/>
          </w:rPr>
          <w:fldChar w:fldCharType="begin"/>
        </w:r>
        <w:r>
          <w:rPr>
            <w:noProof/>
            <w:webHidden/>
          </w:rPr>
          <w:instrText xml:space="preserve"> PAGEREF _Toc69877790 \h </w:instrText>
        </w:r>
        <w:r>
          <w:rPr>
            <w:noProof/>
            <w:webHidden/>
          </w:rPr>
        </w:r>
        <w:r>
          <w:rPr>
            <w:noProof/>
            <w:webHidden/>
          </w:rPr>
          <w:fldChar w:fldCharType="separate"/>
        </w:r>
        <w:r>
          <w:rPr>
            <w:noProof/>
            <w:webHidden/>
          </w:rPr>
          <w:t>50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791" w:history="1">
        <w:r w:rsidRPr="00CC53E5">
          <w:rPr>
            <w:rStyle w:val="Hyperlink"/>
            <w:noProof/>
          </w:rPr>
          <w:t>2.1.9</w:t>
        </w:r>
        <w:r>
          <w:rPr>
            <w:rFonts w:asciiTheme="minorHAnsi" w:eastAsiaTheme="minorEastAsia" w:hAnsiTheme="minorHAnsi" w:cstheme="minorBidi"/>
            <w:noProof/>
            <w:sz w:val="22"/>
            <w:szCs w:val="22"/>
          </w:rPr>
          <w:tab/>
        </w:r>
        <w:r w:rsidRPr="00CC53E5">
          <w:rPr>
            <w:rStyle w:val="Hyperlink"/>
            <w:noProof/>
          </w:rPr>
          <w:t>Part 1 Section 12.3.7, Dialogsheet Part</w:t>
        </w:r>
        <w:r>
          <w:rPr>
            <w:noProof/>
            <w:webHidden/>
          </w:rPr>
          <w:tab/>
        </w:r>
        <w:r>
          <w:rPr>
            <w:noProof/>
            <w:webHidden/>
          </w:rPr>
          <w:fldChar w:fldCharType="begin"/>
        </w:r>
        <w:r>
          <w:rPr>
            <w:noProof/>
            <w:webHidden/>
          </w:rPr>
          <w:instrText xml:space="preserve"> PAGEREF _Toc69877791 \h </w:instrText>
        </w:r>
        <w:r>
          <w:rPr>
            <w:noProof/>
            <w:webHidden/>
          </w:rPr>
        </w:r>
        <w:r>
          <w:rPr>
            <w:noProof/>
            <w:webHidden/>
          </w:rPr>
          <w:fldChar w:fldCharType="separate"/>
        </w:r>
        <w:r>
          <w:rPr>
            <w:noProof/>
            <w:webHidden/>
          </w:rPr>
          <w:t>50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792" w:history="1">
        <w:r w:rsidRPr="00CC53E5">
          <w:rPr>
            <w:rStyle w:val="Hyperlink"/>
            <w:noProof/>
          </w:rPr>
          <w:t>2.1.10</w:t>
        </w:r>
        <w:r>
          <w:rPr>
            <w:rFonts w:asciiTheme="minorHAnsi" w:eastAsiaTheme="minorEastAsia" w:hAnsiTheme="minorHAnsi" w:cstheme="minorBidi"/>
            <w:noProof/>
            <w:sz w:val="22"/>
            <w:szCs w:val="22"/>
          </w:rPr>
          <w:tab/>
        </w:r>
        <w:r w:rsidRPr="00CC53E5">
          <w:rPr>
            <w:rStyle w:val="Hyperlink"/>
            <w:noProof/>
          </w:rPr>
          <w:t>Part 1 Section 12.3.19, Single Cell Table Definitions Part</w:t>
        </w:r>
        <w:r>
          <w:rPr>
            <w:noProof/>
            <w:webHidden/>
          </w:rPr>
          <w:tab/>
        </w:r>
        <w:r>
          <w:rPr>
            <w:noProof/>
            <w:webHidden/>
          </w:rPr>
          <w:fldChar w:fldCharType="begin"/>
        </w:r>
        <w:r>
          <w:rPr>
            <w:noProof/>
            <w:webHidden/>
          </w:rPr>
          <w:instrText xml:space="preserve"> PAGEREF _Toc69877792 \h </w:instrText>
        </w:r>
        <w:r>
          <w:rPr>
            <w:noProof/>
            <w:webHidden/>
          </w:rPr>
        </w:r>
        <w:r>
          <w:rPr>
            <w:noProof/>
            <w:webHidden/>
          </w:rPr>
          <w:fldChar w:fldCharType="separate"/>
        </w:r>
        <w:r>
          <w:rPr>
            <w:noProof/>
            <w:webHidden/>
          </w:rPr>
          <w:t>50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793" w:history="1">
        <w:r w:rsidRPr="00CC53E5">
          <w:rPr>
            <w:rStyle w:val="Hyperlink"/>
            <w:noProof/>
          </w:rPr>
          <w:t>2.1.11</w:t>
        </w:r>
        <w:r>
          <w:rPr>
            <w:rFonts w:asciiTheme="minorHAnsi" w:eastAsiaTheme="minorEastAsia" w:hAnsiTheme="minorHAnsi" w:cstheme="minorBidi"/>
            <w:noProof/>
            <w:sz w:val="22"/>
            <w:szCs w:val="22"/>
          </w:rPr>
          <w:tab/>
        </w:r>
        <w:r w:rsidRPr="00CC53E5">
          <w:rPr>
            <w:rStyle w:val="Hyperlink"/>
            <w:noProof/>
          </w:rPr>
          <w:t>Part 1 Section 12.3.20, Styles Part</w:t>
        </w:r>
        <w:r>
          <w:rPr>
            <w:noProof/>
            <w:webHidden/>
          </w:rPr>
          <w:tab/>
        </w:r>
        <w:r>
          <w:rPr>
            <w:noProof/>
            <w:webHidden/>
          </w:rPr>
          <w:fldChar w:fldCharType="begin"/>
        </w:r>
        <w:r>
          <w:rPr>
            <w:noProof/>
            <w:webHidden/>
          </w:rPr>
          <w:instrText xml:space="preserve"> PAGEREF _Toc69877793 \h </w:instrText>
        </w:r>
        <w:r>
          <w:rPr>
            <w:noProof/>
            <w:webHidden/>
          </w:rPr>
        </w:r>
        <w:r>
          <w:rPr>
            <w:noProof/>
            <w:webHidden/>
          </w:rPr>
          <w:fldChar w:fldCharType="separate"/>
        </w:r>
        <w:r>
          <w:rPr>
            <w:noProof/>
            <w:webHidden/>
          </w:rPr>
          <w:t>50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794" w:history="1">
        <w:r w:rsidRPr="00CC53E5">
          <w:rPr>
            <w:rStyle w:val="Hyperlink"/>
            <w:noProof/>
          </w:rPr>
          <w:t>2.1.12</w:t>
        </w:r>
        <w:r>
          <w:rPr>
            <w:rFonts w:asciiTheme="minorHAnsi" w:eastAsiaTheme="minorEastAsia" w:hAnsiTheme="minorHAnsi" w:cstheme="minorBidi"/>
            <w:noProof/>
            <w:sz w:val="22"/>
            <w:szCs w:val="22"/>
          </w:rPr>
          <w:tab/>
        </w:r>
        <w:r w:rsidRPr="00CC53E5">
          <w:rPr>
            <w:rStyle w:val="Hyperlink"/>
            <w:noProof/>
          </w:rPr>
          <w:t>Part 1 Section 12.3.24, Worksheet Part</w:t>
        </w:r>
        <w:r>
          <w:rPr>
            <w:noProof/>
            <w:webHidden/>
          </w:rPr>
          <w:tab/>
        </w:r>
        <w:r>
          <w:rPr>
            <w:noProof/>
            <w:webHidden/>
          </w:rPr>
          <w:fldChar w:fldCharType="begin"/>
        </w:r>
        <w:r>
          <w:rPr>
            <w:noProof/>
            <w:webHidden/>
          </w:rPr>
          <w:instrText xml:space="preserve"> PAGEREF _Toc69877794 \h </w:instrText>
        </w:r>
        <w:r>
          <w:rPr>
            <w:noProof/>
            <w:webHidden/>
          </w:rPr>
        </w:r>
        <w:r>
          <w:rPr>
            <w:noProof/>
            <w:webHidden/>
          </w:rPr>
          <w:fldChar w:fldCharType="separate"/>
        </w:r>
        <w:r>
          <w:rPr>
            <w:noProof/>
            <w:webHidden/>
          </w:rPr>
          <w:t>50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795" w:history="1">
        <w:r w:rsidRPr="00CC53E5">
          <w:rPr>
            <w:rStyle w:val="Hyperlink"/>
            <w:noProof/>
          </w:rPr>
          <w:t>2.1.13</w:t>
        </w:r>
        <w:r>
          <w:rPr>
            <w:rFonts w:asciiTheme="minorHAnsi" w:eastAsiaTheme="minorEastAsia" w:hAnsiTheme="minorHAnsi" w:cstheme="minorBidi"/>
            <w:noProof/>
            <w:sz w:val="22"/>
            <w:szCs w:val="22"/>
          </w:rPr>
          <w:tab/>
        </w:r>
        <w:r w:rsidRPr="00CC53E5">
          <w:rPr>
            <w:rStyle w:val="Hyperlink"/>
            <w:noProof/>
          </w:rPr>
          <w:t>Part 1 Section 12.4, External Workbooks</w:t>
        </w:r>
        <w:r>
          <w:rPr>
            <w:noProof/>
            <w:webHidden/>
          </w:rPr>
          <w:tab/>
        </w:r>
        <w:r>
          <w:rPr>
            <w:noProof/>
            <w:webHidden/>
          </w:rPr>
          <w:fldChar w:fldCharType="begin"/>
        </w:r>
        <w:r>
          <w:rPr>
            <w:noProof/>
            <w:webHidden/>
          </w:rPr>
          <w:instrText xml:space="preserve"> PAGEREF _Toc69877795 \h </w:instrText>
        </w:r>
        <w:r>
          <w:rPr>
            <w:noProof/>
            <w:webHidden/>
          </w:rPr>
        </w:r>
        <w:r>
          <w:rPr>
            <w:noProof/>
            <w:webHidden/>
          </w:rPr>
          <w:fldChar w:fldCharType="separate"/>
        </w:r>
        <w:r>
          <w:rPr>
            <w:noProof/>
            <w:webHidden/>
          </w:rPr>
          <w:t>51</w:t>
        </w:r>
        <w:r>
          <w:rPr>
            <w:noProof/>
            <w:webHidden/>
          </w:rPr>
          <w:fldChar w:fldCharType="end"/>
        </w:r>
      </w:hyperlink>
    </w:p>
    <w:p w:rsidR="00B42EF3" w:rsidRDefault="00B42EF3">
      <w:pPr>
        <w:pStyle w:val="TOC4"/>
        <w:rPr>
          <w:rFonts w:asciiTheme="minorHAnsi" w:eastAsiaTheme="minorEastAsia" w:hAnsiTheme="minorHAnsi" w:cstheme="minorBidi"/>
          <w:noProof/>
          <w:sz w:val="22"/>
          <w:szCs w:val="22"/>
        </w:rPr>
      </w:pPr>
      <w:hyperlink w:anchor="_Toc69877796" w:history="1">
        <w:r w:rsidRPr="00CC53E5">
          <w:rPr>
            <w:rStyle w:val="Hyperlink"/>
            <w:noProof/>
          </w:rPr>
          <w:t>2.1.13.1</w:t>
        </w:r>
        <w:r>
          <w:rPr>
            <w:rFonts w:asciiTheme="minorHAnsi" w:eastAsiaTheme="minorEastAsia" w:hAnsiTheme="minorHAnsi" w:cstheme="minorBidi"/>
            <w:noProof/>
            <w:sz w:val="22"/>
            <w:szCs w:val="22"/>
          </w:rPr>
          <w:tab/>
        </w:r>
        <w:r w:rsidRPr="00CC53E5">
          <w:rPr>
            <w:rStyle w:val="Hyperlink"/>
            <w:noProof/>
          </w:rPr>
          <w:t>Part 1 Selection 12.4.1, External Workbooks With Long Path</w:t>
        </w:r>
        <w:r>
          <w:rPr>
            <w:noProof/>
            <w:webHidden/>
          </w:rPr>
          <w:tab/>
        </w:r>
        <w:r>
          <w:rPr>
            <w:noProof/>
            <w:webHidden/>
          </w:rPr>
          <w:fldChar w:fldCharType="begin"/>
        </w:r>
        <w:r>
          <w:rPr>
            <w:noProof/>
            <w:webHidden/>
          </w:rPr>
          <w:instrText xml:space="preserve"> PAGEREF _Toc69877796 \h </w:instrText>
        </w:r>
        <w:r>
          <w:rPr>
            <w:noProof/>
            <w:webHidden/>
          </w:rPr>
        </w:r>
        <w:r>
          <w:rPr>
            <w:noProof/>
            <w:webHidden/>
          </w:rPr>
          <w:fldChar w:fldCharType="separate"/>
        </w:r>
        <w:r>
          <w:rPr>
            <w:noProof/>
            <w:webHidden/>
          </w:rPr>
          <w:t>52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797" w:history="1">
        <w:r w:rsidRPr="00CC53E5">
          <w:rPr>
            <w:rStyle w:val="Hyperlink"/>
            <w:noProof/>
          </w:rPr>
          <w:t>2.1.14</w:t>
        </w:r>
        <w:r>
          <w:rPr>
            <w:rFonts w:asciiTheme="minorHAnsi" w:eastAsiaTheme="minorEastAsia" w:hAnsiTheme="minorHAnsi" w:cstheme="minorBidi"/>
            <w:noProof/>
            <w:sz w:val="22"/>
            <w:szCs w:val="22"/>
          </w:rPr>
          <w:tab/>
        </w:r>
        <w:r w:rsidRPr="00CC53E5">
          <w:rPr>
            <w:rStyle w:val="Hyperlink"/>
            <w:noProof/>
          </w:rPr>
          <w:t>Part 1 Section 13.3, Part Summary</w:t>
        </w:r>
        <w:r>
          <w:rPr>
            <w:noProof/>
            <w:webHidden/>
          </w:rPr>
          <w:tab/>
        </w:r>
        <w:r>
          <w:rPr>
            <w:noProof/>
            <w:webHidden/>
          </w:rPr>
          <w:fldChar w:fldCharType="begin"/>
        </w:r>
        <w:r>
          <w:rPr>
            <w:noProof/>
            <w:webHidden/>
          </w:rPr>
          <w:instrText xml:space="preserve"> PAGEREF _Toc69877797 \h </w:instrText>
        </w:r>
        <w:r>
          <w:rPr>
            <w:noProof/>
            <w:webHidden/>
          </w:rPr>
        </w:r>
        <w:r>
          <w:rPr>
            <w:noProof/>
            <w:webHidden/>
          </w:rPr>
          <w:fldChar w:fldCharType="separate"/>
        </w:r>
        <w:r>
          <w:rPr>
            <w:noProof/>
            <w:webHidden/>
          </w:rPr>
          <w:t>52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798" w:history="1">
        <w:r w:rsidRPr="00CC53E5">
          <w:rPr>
            <w:rStyle w:val="Hyperlink"/>
            <w:noProof/>
          </w:rPr>
          <w:t>2.1.15</w:t>
        </w:r>
        <w:r>
          <w:rPr>
            <w:rFonts w:asciiTheme="minorHAnsi" w:eastAsiaTheme="minorEastAsia" w:hAnsiTheme="minorHAnsi" w:cstheme="minorBidi"/>
            <w:noProof/>
            <w:sz w:val="22"/>
            <w:szCs w:val="22"/>
          </w:rPr>
          <w:tab/>
        </w:r>
        <w:r w:rsidRPr="00CC53E5">
          <w:rPr>
            <w:rStyle w:val="Hyperlink"/>
            <w:noProof/>
          </w:rPr>
          <w:t>Part 1 Section 13.3.3, Handout Master Part</w:t>
        </w:r>
        <w:r>
          <w:rPr>
            <w:noProof/>
            <w:webHidden/>
          </w:rPr>
          <w:tab/>
        </w:r>
        <w:r>
          <w:rPr>
            <w:noProof/>
            <w:webHidden/>
          </w:rPr>
          <w:fldChar w:fldCharType="begin"/>
        </w:r>
        <w:r>
          <w:rPr>
            <w:noProof/>
            <w:webHidden/>
          </w:rPr>
          <w:instrText xml:space="preserve"> PAGEREF _Toc69877798 \h </w:instrText>
        </w:r>
        <w:r>
          <w:rPr>
            <w:noProof/>
            <w:webHidden/>
          </w:rPr>
        </w:r>
        <w:r>
          <w:rPr>
            <w:noProof/>
            <w:webHidden/>
          </w:rPr>
          <w:fldChar w:fldCharType="separate"/>
        </w:r>
        <w:r>
          <w:rPr>
            <w:noProof/>
            <w:webHidden/>
          </w:rPr>
          <w:t>53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799" w:history="1">
        <w:r w:rsidRPr="00CC53E5">
          <w:rPr>
            <w:rStyle w:val="Hyperlink"/>
            <w:noProof/>
          </w:rPr>
          <w:t>2.1.16</w:t>
        </w:r>
        <w:r>
          <w:rPr>
            <w:rFonts w:asciiTheme="minorHAnsi" w:eastAsiaTheme="minorEastAsia" w:hAnsiTheme="minorHAnsi" w:cstheme="minorBidi"/>
            <w:noProof/>
            <w:sz w:val="22"/>
            <w:szCs w:val="22"/>
          </w:rPr>
          <w:tab/>
        </w:r>
        <w:r w:rsidRPr="00CC53E5">
          <w:rPr>
            <w:rStyle w:val="Hyperlink"/>
            <w:noProof/>
          </w:rPr>
          <w:t>Part 1 Section 13.3.4, Notes Master Part</w:t>
        </w:r>
        <w:r>
          <w:rPr>
            <w:noProof/>
            <w:webHidden/>
          </w:rPr>
          <w:tab/>
        </w:r>
        <w:r>
          <w:rPr>
            <w:noProof/>
            <w:webHidden/>
          </w:rPr>
          <w:fldChar w:fldCharType="begin"/>
        </w:r>
        <w:r>
          <w:rPr>
            <w:noProof/>
            <w:webHidden/>
          </w:rPr>
          <w:instrText xml:space="preserve"> PAGEREF _Toc69877799 \h </w:instrText>
        </w:r>
        <w:r>
          <w:rPr>
            <w:noProof/>
            <w:webHidden/>
          </w:rPr>
        </w:r>
        <w:r>
          <w:rPr>
            <w:noProof/>
            <w:webHidden/>
          </w:rPr>
          <w:fldChar w:fldCharType="separate"/>
        </w:r>
        <w:r>
          <w:rPr>
            <w:noProof/>
            <w:webHidden/>
          </w:rPr>
          <w:t>53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00" w:history="1">
        <w:r w:rsidRPr="00CC53E5">
          <w:rPr>
            <w:rStyle w:val="Hyperlink"/>
            <w:noProof/>
          </w:rPr>
          <w:t>2.1.17</w:t>
        </w:r>
        <w:r>
          <w:rPr>
            <w:rFonts w:asciiTheme="minorHAnsi" w:eastAsiaTheme="minorEastAsia" w:hAnsiTheme="minorHAnsi" w:cstheme="minorBidi"/>
            <w:noProof/>
            <w:sz w:val="22"/>
            <w:szCs w:val="22"/>
          </w:rPr>
          <w:tab/>
        </w:r>
        <w:r w:rsidRPr="00CC53E5">
          <w:rPr>
            <w:rStyle w:val="Hyperlink"/>
            <w:noProof/>
          </w:rPr>
          <w:t>Part 1 Section 13.3.5, Notes Slide Part</w:t>
        </w:r>
        <w:r>
          <w:rPr>
            <w:noProof/>
            <w:webHidden/>
          </w:rPr>
          <w:tab/>
        </w:r>
        <w:r>
          <w:rPr>
            <w:noProof/>
            <w:webHidden/>
          </w:rPr>
          <w:fldChar w:fldCharType="begin"/>
        </w:r>
        <w:r>
          <w:rPr>
            <w:noProof/>
            <w:webHidden/>
          </w:rPr>
          <w:instrText xml:space="preserve"> PAGEREF _Toc69877800 \h </w:instrText>
        </w:r>
        <w:r>
          <w:rPr>
            <w:noProof/>
            <w:webHidden/>
          </w:rPr>
        </w:r>
        <w:r>
          <w:rPr>
            <w:noProof/>
            <w:webHidden/>
          </w:rPr>
          <w:fldChar w:fldCharType="separate"/>
        </w:r>
        <w:r>
          <w:rPr>
            <w:noProof/>
            <w:webHidden/>
          </w:rPr>
          <w:t>54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01" w:history="1">
        <w:r w:rsidRPr="00CC53E5">
          <w:rPr>
            <w:rStyle w:val="Hyperlink"/>
            <w:noProof/>
          </w:rPr>
          <w:t>2.1.18</w:t>
        </w:r>
        <w:r>
          <w:rPr>
            <w:rFonts w:asciiTheme="minorHAnsi" w:eastAsiaTheme="minorEastAsia" w:hAnsiTheme="minorHAnsi" w:cstheme="minorBidi"/>
            <w:noProof/>
            <w:sz w:val="22"/>
            <w:szCs w:val="22"/>
          </w:rPr>
          <w:tab/>
        </w:r>
        <w:r w:rsidRPr="00CC53E5">
          <w:rPr>
            <w:rStyle w:val="Hyperlink"/>
            <w:noProof/>
          </w:rPr>
          <w:t>Part 1 Section 13.3.6, Presentation Part</w:t>
        </w:r>
        <w:r>
          <w:rPr>
            <w:noProof/>
            <w:webHidden/>
          </w:rPr>
          <w:tab/>
        </w:r>
        <w:r>
          <w:rPr>
            <w:noProof/>
            <w:webHidden/>
          </w:rPr>
          <w:fldChar w:fldCharType="begin"/>
        </w:r>
        <w:r>
          <w:rPr>
            <w:noProof/>
            <w:webHidden/>
          </w:rPr>
          <w:instrText xml:space="preserve"> PAGEREF _Toc69877801 \h </w:instrText>
        </w:r>
        <w:r>
          <w:rPr>
            <w:noProof/>
            <w:webHidden/>
          </w:rPr>
        </w:r>
        <w:r>
          <w:rPr>
            <w:noProof/>
            <w:webHidden/>
          </w:rPr>
          <w:fldChar w:fldCharType="separate"/>
        </w:r>
        <w:r>
          <w:rPr>
            <w:noProof/>
            <w:webHidden/>
          </w:rPr>
          <w:t>55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02" w:history="1">
        <w:r w:rsidRPr="00CC53E5">
          <w:rPr>
            <w:rStyle w:val="Hyperlink"/>
            <w:noProof/>
          </w:rPr>
          <w:t>2.1.19</w:t>
        </w:r>
        <w:r>
          <w:rPr>
            <w:rFonts w:asciiTheme="minorHAnsi" w:eastAsiaTheme="minorEastAsia" w:hAnsiTheme="minorHAnsi" w:cstheme="minorBidi"/>
            <w:noProof/>
            <w:sz w:val="22"/>
            <w:szCs w:val="22"/>
          </w:rPr>
          <w:tab/>
        </w:r>
        <w:r w:rsidRPr="00CC53E5">
          <w:rPr>
            <w:rStyle w:val="Hyperlink"/>
            <w:noProof/>
          </w:rPr>
          <w:t>Part 1 Section 13.3.7, Presentation Properties Part</w:t>
        </w:r>
        <w:r>
          <w:rPr>
            <w:noProof/>
            <w:webHidden/>
          </w:rPr>
          <w:tab/>
        </w:r>
        <w:r>
          <w:rPr>
            <w:noProof/>
            <w:webHidden/>
          </w:rPr>
          <w:fldChar w:fldCharType="begin"/>
        </w:r>
        <w:r>
          <w:rPr>
            <w:noProof/>
            <w:webHidden/>
          </w:rPr>
          <w:instrText xml:space="preserve"> PAGEREF _Toc69877802 \h </w:instrText>
        </w:r>
        <w:r>
          <w:rPr>
            <w:noProof/>
            <w:webHidden/>
          </w:rPr>
        </w:r>
        <w:r>
          <w:rPr>
            <w:noProof/>
            <w:webHidden/>
          </w:rPr>
          <w:fldChar w:fldCharType="separate"/>
        </w:r>
        <w:r>
          <w:rPr>
            <w:noProof/>
            <w:webHidden/>
          </w:rPr>
          <w:t>56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03" w:history="1">
        <w:r w:rsidRPr="00CC53E5">
          <w:rPr>
            <w:rStyle w:val="Hyperlink"/>
            <w:noProof/>
          </w:rPr>
          <w:t>2.1.20</w:t>
        </w:r>
        <w:r>
          <w:rPr>
            <w:rFonts w:asciiTheme="minorHAnsi" w:eastAsiaTheme="minorEastAsia" w:hAnsiTheme="minorHAnsi" w:cstheme="minorBidi"/>
            <w:noProof/>
            <w:sz w:val="22"/>
            <w:szCs w:val="22"/>
          </w:rPr>
          <w:tab/>
        </w:r>
        <w:r w:rsidRPr="00CC53E5">
          <w:rPr>
            <w:rStyle w:val="Hyperlink"/>
            <w:noProof/>
          </w:rPr>
          <w:t>Part 1 Section 13.3.8, Slide Part</w:t>
        </w:r>
        <w:r>
          <w:rPr>
            <w:noProof/>
            <w:webHidden/>
          </w:rPr>
          <w:tab/>
        </w:r>
        <w:r>
          <w:rPr>
            <w:noProof/>
            <w:webHidden/>
          </w:rPr>
          <w:fldChar w:fldCharType="begin"/>
        </w:r>
        <w:r>
          <w:rPr>
            <w:noProof/>
            <w:webHidden/>
          </w:rPr>
          <w:instrText xml:space="preserve"> PAGEREF _Toc69877803 \h </w:instrText>
        </w:r>
        <w:r>
          <w:rPr>
            <w:noProof/>
            <w:webHidden/>
          </w:rPr>
        </w:r>
        <w:r>
          <w:rPr>
            <w:noProof/>
            <w:webHidden/>
          </w:rPr>
          <w:fldChar w:fldCharType="separate"/>
        </w:r>
        <w:r>
          <w:rPr>
            <w:noProof/>
            <w:webHidden/>
          </w:rPr>
          <w:t>56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04" w:history="1">
        <w:r w:rsidRPr="00CC53E5">
          <w:rPr>
            <w:rStyle w:val="Hyperlink"/>
            <w:noProof/>
          </w:rPr>
          <w:t>2.1.21</w:t>
        </w:r>
        <w:r>
          <w:rPr>
            <w:rFonts w:asciiTheme="minorHAnsi" w:eastAsiaTheme="minorEastAsia" w:hAnsiTheme="minorHAnsi" w:cstheme="minorBidi"/>
            <w:noProof/>
            <w:sz w:val="22"/>
            <w:szCs w:val="22"/>
          </w:rPr>
          <w:tab/>
        </w:r>
        <w:r w:rsidRPr="00CC53E5">
          <w:rPr>
            <w:rStyle w:val="Hyperlink"/>
            <w:noProof/>
          </w:rPr>
          <w:t>Part 1 Section 13.3.9, Slide Layout Part</w:t>
        </w:r>
        <w:r>
          <w:rPr>
            <w:noProof/>
            <w:webHidden/>
          </w:rPr>
          <w:tab/>
        </w:r>
        <w:r>
          <w:rPr>
            <w:noProof/>
            <w:webHidden/>
          </w:rPr>
          <w:fldChar w:fldCharType="begin"/>
        </w:r>
        <w:r>
          <w:rPr>
            <w:noProof/>
            <w:webHidden/>
          </w:rPr>
          <w:instrText xml:space="preserve"> PAGEREF _Toc69877804 \h </w:instrText>
        </w:r>
        <w:r>
          <w:rPr>
            <w:noProof/>
            <w:webHidden/>
          </w:rPr>
        </w:r>
        <w:r>
          <w:rPr>
            <w:noProof/>
            <w:webHidden/>
          </w:rPr>
          <w:fldChar w:fldCharType="separate"/>
        </w:r>
        <w:r>
          <w:rPr>
            <w:noProof/>
            <w:webHidden/>
          </w:rPr>
          <w:t>56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05" w:history="1">
        <w:r w:rsidRPr="00CC53E5">
          <w:rPr>
            <w:rStyle w:val="Hyperlink"/>
            <w:noProof/>
          </w:rPr>
          <w:t>2.1.22</w:t>
        </w:r>
        <w:r>
          <w:rPr>
            <w:rFonts w:asciiTheme="minorHAnsi" w:eastAsiaTheme="minorEastAsia" w:hAnsiTheme="minorHAnsi" w:cstheme="minorBidi"/>
            <w:noProof/>
            <w:sz w:val="22"/>
            <w:szCs w:val="22"/>
          </w:rPr>
          <w:tab/>
        </w:r>
        <w:r w:rsidRPr="00CC53E5">
          <w:rPr>
            <w:rStyle w:val="Hyperlink"/>
            <w:noProof/>
          </w:rPr>
          <w:t>Part 1 Section 13.3.10, Slide Master Part</w:t>
        </w:r>
        <w:r>
          <w:rPr>
            <w:noProof/>
            <w:webHidden/>
          </w:rPr>
          <w:tab/>
        </w:r>
        <w:r>
          <w:rPr>
            <w:noProof/>
            <w:webHidden/>
          </w:rPr>
          <w:fldChar w:fldCharType="begin"/>
        </w:r>
        <w:r>
          <w:rPr>
            <w:noProof/>
            <w:webHidden/>
          </w:rPr>
          <w:instrText xml:space="preserve"> PAGEREF _Toc69877805 \h </w:instrText>
        </w:r>
        <w:r>
          <w:rPr>
            <w:noProof/>
            <w:webHidden/>
          </w:rPr>
        </w:r>
        <w:r>
          <w:rPr>
            <w:noProof/>
            <w:webHidden/>
          </w:rPr>
          <w:fldChar w:fldCharType="separate"/>
        </w:r>
        <w:r>
          <w:rPr>
            <w:noProof/>
            <w:webHidden/>
          </w:rPr>
          <w:t>57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06" w:history="1">
        <w:r w:rsidRPr="00CC53E5">
          <w:rPr>
            <w:rStyle w:val="Hyperlink"/>
            <w:noProof/>
          </w:rPr>
          <w:t>2.1.23</w:t>
        </w:r>
        <w:r>
          <w:rPr>
            <w:rFonts w:asciiTheme="minorHAnsi" w:eastAsiaTheme="minorEastAsia" w:hAnsiTheme="minorHAnsi" w:cstheme="minorBidi"/>
            <w:noProof/>
            <w:sz w:val="22"/>
            <w:szCs w:val="22"/>
          </w:rPr>
          <w:tab/>
        </w:r>
        <w:r w:rsidRPr="00CC53E5">
          <w:rPr>
            <w:rStyle w:val="Hyperlink"/>
            <w:noProof/>
          </w:rPr>
          <w:t>Part 1 Section 14.2.1, Chart Part</w:t>
        </w:r>
        <w:r>
          <w:rPr>
            <w:noProof/>
            <w:webHidden/>
          </w:rPr>
          <w:tab/>
        </w:r>
        <w:r>
          <w:rPr>
            <w:noProof/>
            <w:webHidden/>
          </w:rPr>
          <w:fldChar w:fldCharType="begin"/>
        </w:r>
        <w:r>
          <w:rPr>
            <w:noProof/>
            <w:webHidden/>
          </w:rPr>
          <w:instrText xml:space="preserve"> PAGEREF _Toc69877806 \h </w:instrText>
        </w:r>
        <w:r>
          <w:rPr>
            <w:noProof/>
            <w:webHidden/>
          </w:rPr>
        </w:r>
        <w:r>
          <w:rPr>
            <w:noProof/>
            <w:webHidden/>
          </w:rPr>
          <w:fldChar w:fldCharType="separate"/>
        </w:r>
        <w:r>
          <w:rPr>
            <w:noProof/>
            <w:webHidden/>
          </w:rPr>
          <w:t>57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07" w:history="1">
        <w:r w:rsidRPr="00CC53E5">
          <w:rPr>
            <w:rStyle w:val="Hyperlink"/>
            <w:noProof/>
          </w:rPr>
          <w:t>2.1.24</w:t>
        </w:r>
        <w:r>
          <w:rPr>
            <w:rFonts w:asciiTheme="minorHAnsi" w:eastAsiaTheme="minorEastAsia" w:hAnsiTheme="minorHAnsi" w:cstheme="minorBidi"/>
            <w:noProof/>
            <w:sz w:val="22"/>
            <w:szCs w:val="22"/>
          </w:rPr>
          <w:tab/>
        </w:r>
        <w:r w:rsidRPr="00CC53E5">
          <w:rPr>
            <w:rStyle w:val="Hyperlink"/>
            <w:noProof/>
          </w:rPr>
          <w:t>Part 1 Section 14.2.2, Chart Drawing Part</w:t>
        </w:r>
        <w:r>
          <w:rPr>
            <w:noProof/>
            <w:webHidden/>
          </w:rPr>
          <w:tab/>
        </w:r>
        <w:r>
          <w:rPr>
            <w:noProof/>
            <w:webHidden/>
          </w:rPr>
          <w:fldChar w:fldCharType="begin"/>
        </w:r>
        <w:r>
          <w:rPr>
            <w:noProof/>
            <w:webHidden/>
          </w:rPr>
          <w:instrText xml:space="preserve"> PAGEREF _Toc69877807 \h </w:instrText>
        </w:r>
        <w:r>
          <w:rPr>
            <w:noProof/>
            <w:webHidden/>
          </w:rPr>
        </w:r>
        <w:r>
          <w:rPr>
            <w:noProof/>
            <w:webHidden/>
          </w:rPr>
          <w:fldChar w:fldCharType="separate"/>
        </w:r>
        <w:r>
          <w:rPr>
            <w:noProof/>
            <w:webHidden/>
          </w:rPr>
          <w:t>58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08" w:history="1">
        <w:r w:rsidRPr="00CC53E5">
          <w:rPr>
            <w:rStyle w:val="Hyperlink"/>
            <w:noProof/>
          </w:rPr>
          <w:t>2.1.25</w:t>
        </w:r>
        <w:r>
          <w:rPr>
            <w:rFonts w:asciiTheme="minorHAnsi" w:eastAsiaTheme="minorEastAsia" w:hAnsiTheme="minorHAnsi" w:cstheme="minorBidi"/>
            <w:noProof/>
            <w:sz w:val="22"/>
            <w:szCs w:val="22"/>
          </w:rPr>
          <w:tab/>
        </w:r>
        <w:r w:rsidRPr="00CC53E5">
          <w:rPr>
            <w:rStyle w:val="Hyperlink"/>
            <w:noProof/>
          </w:rPr>
          <w:t>Part 1 Section 14.2.3, Diagram Colors Part</w:t>
        </w:r>
        <w:r>
          <w:rPr>
            <w:noProof/>
            <w:webHidden/>
          </w:rPr>
          <w:tab/>
        </w:r>
        <w:r>
          <w:rPr>
            <w:noProof/>
            <w:webHidden/>
          </w:rPr>
          <w:fldChar w:fldCharType="begin"/>
        </w:r>
        <w:r>
          <w:rPr>
            <w:noProof/>
            <w:webHidden/>
          </w:rPr>
          <w:instrText xml:space="preserve"> PAGEREF _Toc69877808 \h </w:instrText>
        </w:r>
        <w:r>
          <w:rPr>
            <w:noProof/>
            <w:webHidden/>
          </w:rPr>
        </w:r>
        <w:r>
          <w:rPr>
            <w:noProof/>
            <w:webHidden/>
          </w:rPr>
          <w:fldChar w:fldCharType="separate"/>
        </w:r>
        <w:r>
          <w:rPr>
            <w:noProof/>
            <w:webHidden/>
          </w:rPr>
          <w:t>58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09" w:history="1">
        <w:r w:rsidRPr="00CC53E5">
          <w:rPr>
            <w:rStyle w:val="Hyperlink"/>
            <w:noProof/>
          </w:rPr>
          <w:t>2.1.26</w:t>
        </w:r>
        <w:r>
          <w:rPr>
            <w:rFonts w:asciiTheme="minorHAnsi" w:eastAsiaTheme="minorEastAsia" w:hAnsiTheme="minorHAnsi" w:cstheme="minorBidi"/>
            <w:noProof/>
            <w:sz w:val="22"/>
            <w:szCs w:val="22"/>
          </w:rPr>
          <w:tab/>
        </w:r>
        <w:r w:rsidRPr="00CC53E5">
          <w:rPr>
            <w:rStyle w:val="Hyperlink"/>
            <w:noProof/>
          </w:rPr>
          <w:t>Part 1 Section 14.2.4, Diagram Data Part</w:t>
        </w:r>
        <w:r>
          <w:rPr>
            <w:noProof/>
            <w:webHidden/>
          </w:rPr>
          <w:tab/>
        </w:r>
        <w:r>
          <w:rPr>
            <w:noProof/>
            <w:webHidden/>
          </w:rPr>
          <w:fldChar w:fldCharType="begin"/>
        </w:r>
        <w:r>
          <w:rPr>
            <w:noProof/>
            <w:webHidden/>
          </w:rPr>
          <w:instrText xml:space="preserve"> PAGEREF _Toc69877809 \h </w:instrText>
        </w:r>
        <w:r>
          <w:rPr>
            <w:noProof/>
            <w:webHidden/>
          </w:rPr>
        </w:r>
        <w:r>
          <w:rPr>
            <w:noProof/>
            <w:webHidden/>
          </w:rPr>
          <w:fldChar w:fldCharType="separate"/>
        </w:r>
        <w:r>
          <w:rPr>
            <w:noProof/>
            <w:webHidden/>
          </w:rPr>
          <w:t>58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10" w:history="1">
        <w:r w:rsidRPr="00CC53E5">
          <w:rPr>
            <w:rStyle w:val="Hyperlink"/>
            <w:noProof/>
          </w:rPr>
          <w:t>2.1.27</w:t>
        </w:r>
        <w:r>
          <w:rPr>
            <w:rFonts w:asciiTheme="minorHAnsi" w:eastAsiaTheme="minorEastAsia" w:hAnsiTheme="minorHAnsi" w:cstheme="minorBidi"/>
            <w:noProof/>
            <w:sz w:val="22"/>
            <w:szCs w:val="22"/>
          </w:rPr>
          <w:tab/>
        </w:r>
        <w:r w:rsidRPr="00CC53E5">
          <w:rPr>
            <w:rStyle w:val="Hyperlink"/>
            <w:noProof/>
          </w:rPr>
          <w:t>Part 1 Section 15.2, Part Summary</w:t>
        </w:r>
        <w:r>
          <w:rPr>
            <w:noProof/>
            <w:webHidden/>
          </w:rPr>
          <w:tab/>
        </w:r>
        <w:r>
          <w:rPr>
            <w:noProof/>
            <w:webHidden/>
          </w:rPr>
          <w:fldChar w:fldCharType="begin"/>
        </w:r>
        <w:r>
          <w:rPr>
            <w:noProof/>
            <w:webHidden/>
          </w:rPr>
          <w:instrText xml:space="preserve"> PAGEREF _Toc69877810 \h </w:instrText>
        </w:r>
        <w:r>
          <w:rPr>
            <w:noProof/>
            <w:webHidden/>
          </w:rPr>
        </w:r>
        <w:r>
          <w:rPr>
            <w:noProof/>
            <w:webHidden/>
          </w:rPr>
          <w:fldChar w:fldCharType="separate"/>
        </w:r>
        <w:r>
          <w:rPr>
            <w:noProof/>
            <w:webHidden/>
          </w:rPr>
          <w:t>58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11" w:history="1">
        <w:r w:rsidRPr="00CC53E5">
          <w:rPr>
            <w:rStyle w:val="Hyperlink"/>
            <w:noProof/>
          </w:rPr>
          <w:t>2.1.28</w:t>
        </w:r>
        <w:r>
          <w:rPr>
            <w:rFonts w:asciiTheme="minorHAnsi" w:eastAsiaTheme="minorEastAsia" w:hAnsiTheme="minorHAnsi" w:cstheme="minorBidi"/>
            <w:noProof/>
            <w:sz w:val="22"/>
            <w:szCs w:val="22"/>
          </w:rPr>
          <w:tab/>
        </w:r>
        <w:r w:rsidRPr="00CC53E5">
          <w:rPr>
            <w:rStyle w:val="Hyperlink"/>
            <w:noProof/>
          </w:rPr>
          <w:t>Part 1 Section 15.2.5, Custom XML Data Storage Part</w:t>
        </w:r>
        <w:r>
          <w:rPr>
            <w:noProof/>
            <w:webHidden/>
          </w:rPr>
          <w:tab/>
        </w:r>
        <w:r>
          <w:rPr>
            <w:noProof/>
            <w:webHidden/>
          </w:rPr>
          <w:fldChar w:fldCharType="begin"/>
        </w:r>
        <w:r>
          <w:rPr>
            <w:noProof/>
            <w:webHidden/>
          </w:rPr>
          <w:instrText xml:space="preserve"> PAGEREF _Toc69877811 \h </w:instrText>
        </w:r>
        <w:r>
          <w:rPr>
            <w:noProof/>
            <w:webHidden/>
          </w:rPr>
        </w:r>
        <w:r>
          <w:rPr>
            <w:noProof/>
            <w:webHidden/>
          </w:rPr>
          <w:fldChar w:fldCharType="separate"/>
        </w:r>
        <w:r>
          <w:rPr>
            <w:noProof/>
            <w:webHidden/>
          </w:rPr>
          <w:t>58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12" w:history="1">
        <w:r w:rsidRPr="00CC53E5">
          <w:rPr>
            <w:rStyle w:val="Hyperlink"/>
            <w:noProof/>
          </w:rPr>
          <w:t>2.1.29</w:t>
        </w:r>
        <w:r>
          <w:rPr>
            <w:rFonts w:asciiTheme="minorHAnsi" w:eastAsiaTheme="minorEastAsia" w:hAnsiTheme="minorHAnsi" w:cstheme="minorBidi"/>
            <w:noProof/>
            <w:sz w:val="22"/>
            <w:szCs w:val="22"/>
          </w:rPr>
          <w:tab/>
        </w:r>
        <w:r w:rsidRPr="00CC53E5">
          <w:rPr>
            <w:rStyle w:val="Hyperlink"/>
            <w:noProof/>
          </w:rPr>
          <w:t>Part 1 Section 15.2.9, Embedded Control Persistence Part</w:t>
        </w:r>
        <w:r>
          <w:rPr>
            <w:noProof/>
            <w:webHidden/>
          </w:rPr>
          <w:tab/>
        </w:r>
        <w:r>
          <w:rPr>
            <w:noProof/>
            <w:webHidden/>
          </w:rPr>
          <w:fldChar w:fldCharType="begin"/>
        </w:r>
        <w:r>
          <w:rPr>
            <w:noProof/>
            <w:webHidden/>
          </w:rPr>
          <w:instrText xml:space="preserve"> PAGEREF _Toc69877812 \h </w:instrText>
        </w:r>
        <w:r>
          <w:rPr>
            <w:noProof/>
            <w:webHidden/>
          </w:rPr>
        </w:r>
        <w:r>
          <w:rPr>
            <w:noProof/>
            <w:webHidden/>
          </w:rPr>
          <w:fldChar w:fldCharType="separate"/>
        </w:r>
        <w:r>
          <w:rPr>
            <w:noProof/>
            <w:webHidden/>
          </w:rPr>
          <w:t>59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13" w:history="1">
        <w:r w:rsidRPr="00CC53E5">
          <w:rPr>
            <w:rStyle w:val="Hyperlink"/>
            <w:noProof/>
          </w:rPr>
          <w:t>2.1.30</w:t>
        </w:r>
        <w:r>
          <w:rPr>
            <w:rFonts w:asciiTheme="minorHAnsi" w:eastAsiaTheme="minorEastAsia" w:hAnsiTheme="minorHAnsi" w:cstheme="minorBidi"/>
            <w:noProof/>
            <w:sz w:val="22"/>
            <w:szCs w:val="22"/>
          </w:rPr>
          <w:tab/>
        </w:r>
        <w:r w:rsidRPr="00CC53E5">
          <w:rPr>
            <w:rStyle w:val="Hyperlink"/>
            <w:noProof/>
          </w:rPr>
          <w:t>Part 1 Section 15.2.12.1, Core File Properties Part</w:t>
        </w:r>
        <w:r>
          <w:rPr>
            <w:noProof/>
            <w:webHidden/>
          </w:rPr>
          <w:tab/>
        </w:r>
        <w:r>
          <w:rPr>
            <w:noProof/>
            <w:webHidden/>
          </w:rPr>
          <w:fldChar w:fldCharType="begin"/>
        </w:r>
        <w:r>
          <w:rPr>
            <w:noProof/>
            <w:webHidden/>
          </w:rPr>
          <w:instrText xml:space="preserve"> PAGEREF _Toc69877813 \h </w:instrText>
        </w:r>
        <w:r>
          <w:rPr>
            <w:noProof/>
            <w:webHidden/>
          </w:rPr>
        </w:r>
        <w:r>
          <w:rPr>
            <w:noProof/>
            <w:webHidden/>
          </w:rPr>
          <w:fldChar w:fldCharType="separate"/>
        </w:r>
        <w:r>
          <w:rPr>
            <w:noProof/>
            <w:webHidden/>
          </w:rPr>
          <w:t>59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14" w:history="1">
        <w:r w:rsidRPr="00CC53E5">
          <w:rPr>
            <w:rStyle w:val="Hyperlink"/>
            <w:noProof/>
          </w:rPr>
          <w:t>2.1.31</w:t>
        </w:r>
        <w:r>
          <w:rPr>
            <w:rFonts w:asciiTheme="minorHAnsi" w:eastAsiaTheme="minorEastAsia" w:hAnsiTheme="minorHAnsi" w:cstheme="minorBidi"/>
            <w:noProof/>
            <w:sz w:val="22"/>
            <w:szCs w:val="22"/>
          </w:rPr>
          <w:tab/>
        </w:r>
        <w:r w:rsidRPr="00CC53E5">
          <w:rPr>
            <w:rStyle w:val="Hyperlink"/>
            <w:noProof/>
          </w:rPr>
          <w:t>Part 1 Section 15.2.12.2, Custom File Properties Part</w:t>
        </w:r>
        <w:r>
          <w:rPr>
            <w:noProof/>
            <w:webHidden/>
          </w:rPr>
          <w:tab/>
        </w:r>
        <w:r>
          <w:rPr>
            <w:noProof/>
            <w:webHidden/>
          </w:rPr>
          <w:fldChar w:fldCharType="begin"/>
        </w:r>
        <w:r>
          <w:rPr>
            <w:noProof/>
            <w:webHidden/>
          </w:rPr>
          <w:instrText xml:space="preserve"> PAGEREF _Toc69877814 \h </w:instrText>
        </w:r>
        <w:r>
          <w:rPr>
            <w:noProof/>
            <w:webHidden/>
          </w:rPr>
        </w:r>
        <w:r>
          <w:rPr>
            <w:noProof/>
            <w:webHidden/>
          </w:rPr>
          <w:fldChar w:fldCharType="separate"/>
        </w:r>
        <w:r>
          <w:rPr>
            <w:noProof/>
            <w:webHidden/>
          </w:rPr>
          <w:t>59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15" w:history="1">
        <w:r w:rsidRPr="00CC53E5">
          <w:rPr>
            <w:rStyle w:val="Hyperlink"/>
            <w:noProof/>
          </w:rPr>
          <w:t>2.1.32</w:t>
        </w:r>
        <w:r>
          <w:rPr>
            <w:rFonts w:asciiTheme="minorHAnsi" w:eastAsiaTheme="minorEastAsia" w:hAnsiTheme="minorHAnsi" w:cstheme="minorBidi"/>
            <w:noProof/>
            <w:sz w:val="22"/>
            <w:szCs w:val="22"/>
          </w:rPr>
          <w:tab/>
        </w:r>
        <w:r w:rsidRPr="00CC53E5">
          <w:rPr>
            <w:rStyle w:val="Hyperlink"/>
            <w:noProof/>
          </w:rPr>
          <w:t>Part 1 Section 15.2.13, Font Part</w:t>
        </w:r>
        <w:r>
          <w:rPr>
            <w:noProof/>
            <w:webHidden/>
          </w:rPr>
          <w:tab/>
        </w:r>
        <w:r>
          <w:rPr>
            <w:noProof/>
            <w:webHidden/>
          </w:rPr>
          <w:fldChar w:fldCharType="begin"/>
        </w:r>
        <w:r>
          <w:rPr>
            <w:noProof/>
            <w:webHidden/>
          </w:rPr>
          <w:instrText xml:space="preserve"> PAGEREF _Toc69877815 \h </w:instrText>
        </w:r>
        <w:r>
          <w:rPr>
            <w:noProof/>
            <w:webHidden/>
          </w:rPr>
        </w:r>
        <w:r>
          <w:rPr>
            <w:noProof/>
            <w:webHidden/>
          </w:rPr>
          <w:fldChar w:fldCharType="separate"/>
        </w:r>
        <w:r>
          <w:rPr>
            <w:noProof/>
            <w:webHidden/>
          </w:rPr>
          <w:t>64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16" w:history="1">
        <w:r w:rsidRPr="00CC53E5">
          <w:rPr>
            <w:rStyle w:val="Hyperlink"/>
            <w:noProof/>
          </w:rPr>
          <w:t>2.1.33</w:t>
        </w:r>
        <w:r>
          <w:rPr>
            <w:rFonts w:asciiTheme="minorHAnsi" w:eastAsiaTheme="minorEastAsia" w:hAnsiTheme="minorHAnsi" w:cstheme="minorBidi"/>
            <w:noProof/>
            <w:sz w:val="22"/>
            <w:szCs w:val="22"/>
          </w:rPr>
          <w:tab/>
        </w:r>
        <w:r w:rsidRPr="00CC53E5">
          <w:rPr>
            <w:rStyle w:val="Hyperlink"/>
            <w:noProof/>
          </w:rPr>
          <w:t>Part 1 Section 15.2.14, Image Part</w:t>
        </w:r>
        <w:r>
          <w:rPr>
            <w:noProof/>
            <w:webHidden/>
          </w:rPr>
          <w:tab/>
        </w:r>
        <w:r>
          <w:rPr>
            <w:noProof/>
            <w:webHidden/>
          </w:rPr>
          <w:fldChar w:fldCharType="begin"/>
        </w:r>
        <w:r>
          <w:rPr>
            <w:noProof/>
            <w:webHidden/>
          </w:rPr>
          <w:instrText xml:space="preserve"> PAGEREF _Toc69877816 \h </w:instrText>
        </w:r>
        <w:r>
          <w:rPr>
            <w:noProof/>
            <w:webHidden/>
          </w:rPr>
        </w:r>
        <w:r>
          <w:rPr>
            <w:noProof/>
            <w:webHidden/>
          </w:rPr>
          <w:fldChar w:fldCharType="separate"/>
        </w:r>
        <w:r>
          <w:rPr>
            <w:noProof/>
            <w:webHidden/>
          </w:rPr>
          <w:t>64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17" w:history="1">
        <w:r w:rsidRPr="00CC53E5">
          <w:rPr>
            <w:rStyle w:val="Hyperlink"/>
            <w:noProof/>
          </w:rPr>
          <w:t>2.1.34</w:t>
        </w:r>
        <w:r>
          <w:rPr>
            <w:rFonts w:asciiTheme="minorHAnsi" w:eastAsiaTheme="minorEastAsia" w:hAnsiTheme="minorHAnsi" w:cstheme="minorBidi"/>
            <w:noProof/>
            <w:sz w:val="22"/>
            <w:szCs w:val="22"/>
          </w:rPr>
          <w:tab/>
        </w:r>
        <w:r w:rsidRPr="00CC53E5">
          <w:rPr>
            <w:rStyle w:val="Hyperlink"/>
            <w:noProof/>
          </w:rPr>
          <w:t>Part 1 Section 15.2.15, Printer Settings Part</w:t>
        </w:r>
        <w:r>
          <w:rPr>
            <w:noProof/>
            <w:webHidden/>
          </w:rPr>
          <w:tab/>
        </w:r>
        <w:r>
          <w:rPr>
            <w:noProof/>
            <w:webHidden/>
          </w:rPr>
          <w:fldChar w:fldCharType="begin"/>
        </w:r>
        <w:r>
          <w:rPr>
            <w:noProof/>
            <w:webHidden/>
          </w:rPr>
          <w:instrText xml:space="preserve"> PAGEREF _Toc69877817 \h </w:instrText>
        </w:r>
        <w:r>
          <w:rPr>
            <w:noProof/>
            <w:webHidden/>
          </w:rPr>
        </w:r>
        <w:r>
          <w:rPr>
            <w:noProof/>
            <w:webHidden/>
          </w:rPr>
          <w:fldChar w:fldCharType="separate"/>
        </w:r>
        <w:r>
          <w:rPr>
            <w:noProof/>
            <w:webHidden/>
          </w:rPr>
          <w:t>65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18" w:history="1">
        <w:r w:rsidRPr="00CC53E5">
          <w:rPr>
            <w:rStyle w:val="Hyperlink"/>
            <w:noProof/>
          </w:rPr>
          <w:t>2.1.35</w:t>
        </w:r>
        <w:r>
          <w:rPr>
            <w:rFonts w:asciiTheme="minorHAnsi" w:eastAsiaTheme="minorEastAsia" w:hAnsiTheme="minorHAnsi" w:cstheme="minorBidi"/>
            <w:noProof/>
            <w:sz w:val="22"/>
            <w:szCs w:val="22"/>
          </w:rPr>
          <w:tab/>
        </w:r>
        <w:r w:rsidRPr="00CC53E5">
          <w:rPr>
            <w:rStyle w:val="Hyperlink"/>
            <w:noProof/>
          </w:rPr>
          <w:t>Part 1 Section 17.2.1, background (Document Background)</w:t>
        </w:r>
        <w:r>
          <w:rPr>
            <w:noProof/>
            <w:webHidden/>
          </w:rPr>
          <w:tab/>
        </w:r>
        <w:r>
          <w:rPr>
            <w:noProof/>
            <w:webHidden/>
          </w:rPr>
          <w:fldChar w:fldCharType="begin"/>
        </w:r>
        <w:r>
          <w:rPr>
            <w:noProof/>
            <w:webHidden/>
          </w:rPr>
          <w:instrText xml:space="preserve"> PAGEREF _Toc69877818 \h </w:instrText>
        </w:r>
        <w:r>
          <w:rPr>
            <w:noProof/>
            <w:webHidden/>
          </w:rPr>
        </w:r>
        <w:r>
          <w:rPr>
            <w:noProof/>
            <w:webHidden/>
          </w:rPr>
          <w:fldChar w:fldCharType="separate"/>
        </w:r>
        <w:r>
          <w:rPr>
            <w:noProof/>
            <w:webHidden/>
          </w:rPr>
          <w:t>65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19" w:history="1">
        <w:r w:rsidRPr="00CC53E5">
          <w:rPr>
            <w:rStyle w:val="Hyperlink"/>
            <w:noProof/>
          </w:rPr>
          <w:t>2.1.36</w:t>
        </w:r>
        <w:r>
          <w:rPr>
            <w:rFonts w:asciiTheme="minorHAnsi" w:eastAsiaTheme="minorEastAsia" w:hAnsiTheme="minorHAnsi" w:cstheme="minorBidi"/>
            <w:noProof/>
            <w:sz w:val="22"/>
            <w:szCs w:val="22"/>
          </w:rPr>
          <w:tab/>
        </w:r>
        <w:r w:rsidRPr="00CC53E5">
          <w:rPr>
            <w:rStyle w:val="Hyperlink"/>
            <w:noProof/>
          </w:rPr>
          <w:t>Part 1 Section 17.2.2, body (Document Body)</w:t>
        </w:r>
        <w:r>
          <w:rPr>
            <w:noProof/>
            <w:webHidden/>
          </w:rPr>
          <w:tab/>
        </w:r>
        <w:r>
          <w:rPr>
            <w:noProof/>
            <w:webHidden/>
          </w:rPr>
          <w:fldChar w:fldCharType="begin"/>
        </w:r>
        <w:r>
          <w:rPr>
            <w:noProof/>
            <w:webHidden/>
          </w:rPr>
          <w:instrText xml:space="preserve"> PAGEREF _Toc69877819 \h </w:instrText>
        </w:r>
        <w:r>
          <w:rPr>
            <w:noProof/>
            <w:webHidden/>
          </w:rPr>
        </w:r>
        <w:r>
          <w:rPr>
            <w:noProof/>
            <w:webHidden/>
          </w:rPr>
          <w:fldChar w:fldCharType="separate"/>
        </w:r>
        <w:r>
          <w:rPr>
            <w:noProof/>
            <w:webHidden/>
          </w:rPr>
          <w:t>65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20" w:history="1">
        <w:r w:rsidRPr="00CC53E5">
          <w:rPr>
            <w:rStyle w:val="Hyperlink"/>
            <w:noProof/>
          </w:rPr>
          <w:t>2.1.37</w:t>
        </w:r>
        <w:r>
          <w:rPr>
            <w:rFonts w:asciiTheme="minorHAnsi" w:eastAsiaTheme="minorEastAsia" w:hAnsiTheme="minorHAnsi" w:cstheme="minorBidi"/>
            <w:noProof/>
            <w:sz w:val="22"/>
            <w:szCs w:val="22"/>
          </w:rPr>
          <w:tab/>
        </w:r>
        <w:r w:rsidRPr="00CC53E5">
          <w:rPr>
            <w:rStyle w:val="Hyperlink"/>
            <w:noProof/>
          </w:rPr>
          <w:t>Part 1 Section 17.2.3, document (Document)</w:t>
        </w:r>
        <w:r>
          <w:rPr>
            <w:noProof/>
            <w:webHidden/>
          </w:rPr>
          <w:tab/>
        </w:r>
        <w:r>
          <w:rPr>
            <w:noProof/>
            <w:webHidden/>
          </w:rPr>
          <w:fldChar w:fldCharType="begin"/>
        </w:r>
        <w:r>
          <w:rPr>
            <w:noProof/>
            <w:webHidden/>
          </w:rPr>
          <w:instrText xml:space="preserve"> PAGEREF _Toc69877820 \h </w:instrText>
        </w:r>
        <w:r>
          <w:rPr>
            <w:noProof/>
            <w:webHidden/>
          </w:rPr>
        </w:r>
        <w:r>
          <w:rPr>
            <w:noProof/>
            <w:webHidden/>
          </w:rPr>
          <w:fldChar w:fldCharType="separate"/>
        </w:r>
        <w:r>
          <w:rPr>
            <w:noProof/>
            <w:webHidden/>
          </w:rPr>
          <w:t>65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21" w:history="1">
        <w:r w:rsidRPr="00CC53E5">
          <w:rPr>
            <w:rStyle w:val="Hyperlink"/>
            <w:noProof/>
          </w:rPr>
          <w:t>2.1.38</w:t>
        </w:r>
        <w:r>
          <w:rPr>
            <w:rFonts w:asciiTheme="minorHAnsi" w:eastAsiaTheme="minorEastAsia" w:hAnsiTheme="minorHAnsi" w:cstheme="minorBidi"/>
            <w:noProof/>
            <w:sz w:val="22"/>
            <w:szCs w:val="22"/>
          </w:rPr>
          <w:tab/>
        </w:r>
        <w:r w:rsidRPr="00CC53E5">
          <w:rPr>
            <w:rStyle w:val="Hyperlink"/>
            <w:noProof/>
          </w:rPr>
          <w:t>Part 1 Section 17.3.1.4, bar (Paragraph Border Between Facing Pages)</w:t>
        </w:r>
        <w:r>
          <w:rPr>
            <w:noProof/>
            <w:webHidden/>
          </w:rPr>
          <w:tab/>
        </w:r>
        <w:r>
          <w:rPr>
            <w:noProof/>
            <w:webHidden/>
          </w:rPr>
          <w:fldChar w:fldCharType="begin"/>
        </w:r>
        <w:r>
          <w:rPr>
            <w:noProof/>
            <w:webHidden/>
          </w:rPr>
          <w:instrText xml:space="preserve"> PAGEREF _Toc69877821 \h </w:instrText>
        </w:r>
        <w:r>
          <w:rPr>
            <w:noProof/>
            <w:webHidden/>
          </w:rPr>
        </w:r>
        <w:r>
          <w:rPr>
            <w:noProof/>
            <w:webHidden/>
          </w:rPr>
          <w:fldChar w:fldCharType="separate"/>
        </w:r>
        <w:r>
          <w:rPr>
            <w:noProof/>
            <w:webHidden/>
          </w:rPr>
          <w:t>65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22" w:history="1">
        <w:r w:rsidRPr="00CC53E5">
          <w:rPr>
            <w:rStyle w:val="Hyperlink"/>
            <w:noProof/>
          </w:rPr>
          <w:t>2.1.39</w:t>
        </w:r>
        <w:r>
          <w:rPr>
            <w:rFonts w:asciiTheme="minorHAnsi" w:eastAsiaTheme="minorEastAsia" w:hAnsiTheme="minorHAnsi" w:cstheme="minorBidi"/>
            <w:noProof/>
            <w:sz w:val="22"/>
            <w:szCs w:val="22"/>
          </w:rPr>
          <w:tab/>
        </w:r>
        <w:r w:rsidRPr="00CC53E5">
          <w:rPr>
            <w:rStyle w:val="Hyperlink"/>
            <w:noProof/>
          </w:rPr>
          <w:t>Part 1 Section 17.3.1.5, between (Paragraph Border Between Identical Paragraphs)</w:t>
        </w:r>
        <w:r>
          <w:rPr>
            <w:noProof/>
            <w:webHidden/>
          </w:rPr>
          <w:tab/>
        </w:r>
        <w:r>
          <w:rPr>
            <w:noProof/>
            <w:webHidden/>
          </w:rPr>
          <w:fldChar w:fldCharType="begin"/>
        </w:r>
        <w:r>
          <w:rPr>
            <w:noProof/>
            <w:webHidden/>
          </w:rPr>
          <w:instrText xml:space="preserve"> PAGEREF _Toc69877822 \h </w:instrText>
        </w:r>
        <w:r>
          <w:rPr>
            <w:noProof/>
            <w:webHidden/>
          </w:rPr>
        </w:r>
        <w:r>
          <w:rPr>
            <w:noProof/>
            <w:webHidden/>
          </w:rPr>
          <w:fldChar w:fldCharType="separate"/>
        </w:r>
        <w:r>
          <w:rPr>
            <w:noProof/>
            <w:webHidden/>
          </w:rPr>
          <w:t>66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23" w:history="1">
        <w:r w:rsidRPr="00CC53E5">
          <w:rPr>
            <w:rStyle w:val="Hyperlink"/>
            <w:noProof/>
          </w:rPr>
          <w:t>2.1.40</w:t>
        </w:r>
        <w:r>
          <w:rPr>
            <w:rFonts w:asciiTheme="minorHAnsi" w:eastAsiaTheme="minorEastAsia" w:hAnsiTheme="minorHAnsi" w:cstheme="minorBidi"/>
            <w:noProof/>
            <w:sz w:val="22"/>
            <w:szCs w:val="22"/>
          </w:rPr>
          <w:tab/>
        </w:r>
        <w:r w:rsidRPr="00CC53E5">
          <w:rPr>
            <w:rStyle w:val="Hyperlink"/>
            <w:noProof/>
          </w:rPr>
          <w:t>Part 1 Section 17.3.1.7, bottom (Paragraph Border Below Identical Paragraphs)</w:t>
        </w:r>
        <w:r>
          <w:rPr>
            <w:noProof/>
            <w:webHidden/>
          </w:rPr>
          <w:tab/>
        </w:r>
        <w:r>
          <w:rPr>
            <w:noProof/>
            <w:webHidden/>
          </w:rPr>
          <w:fldChar w:fldCharType="begin"/>
        </w:r>
        <w:r>
          <w:rPr>
            <w:noProof/>
            <w:webHidden/>
          </w:rPr>
          <w:instrText xml:space="preserve"> PAGEREF _Toc69877823 \h </w:instrText>
        </w:r>
        <w:r>
          <w:rPr>
            <w:noProof/>
            <w:webHidden/>
          </w:rPr>
        </w:r>
        <w:r>
          <w:rPr>
            <w:noProof/>
            <w:webHidden/>
          </w:rPr>
          <w:fldChar w:fldCharType="separate"/>
        </w:r>
        <w:r>
          <w:rPr>
            <w:noProof/>
            <w:webHidden/>
          </w:rPr>
          <w:t>66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24" w:history="1">
        <w:r w:rsidRPr="00CC53E5">
          <w:rPr>
            <w:rStyle w:val="Hyperlink"/>
            <w:noProof/>
          </w:rPr>
          <w:t>2.1.41</w:t>
        </w:r>
        <w:r>
          <w:rPr>
            <w:rFonts w:asciiTheme="minorHAnsi" w:eastAsiaTheme="minorEastAsia" w:hAnsiTheme="minorHAnsi" w:cstheme="minorBidi"/>
            <w:noProof/>
            <w:sz w:val="22"/>
            <w:szCs w:val="22"/>
          </w:rPr>
          <w:tab/>
        </w:r>
        <w:r w:rsidRPr="00CC53E5">
          <w:rPr>
            <w:rStyle w:val="Hyperlink"/>
            <w:noProof/>
          </w:rPr>
          <w:t>Part 1 Section 17.3.1.8, cnfStyle (Paragraph Conditional Formatting)</w:t>
        </w:r>
        <w:r>
          <w:rPr>
            <w:noProof/>
            <w:webHidden/>
          </w:rPr>
          <w:tab/>
        </w:r>
        <w:r>
          <w:rPr>
            <w:noProof/>
            <w:webHidden/>
          </w:rPr>
          <w:fldChar w:fldCharType="begin"/>
        </w:r>
        <w:r>
          <w:rPr>
            <w:noProof/>
            <w:webHidden/>
          </w:rPr>
          <w:instrText xml:space="preserve"> PAGEREF _Toc69877824 \h </w:instrText>
        </w:r>
        <w:r>
          <w:rPr>
            <w:noProof/>
            <w:webHidden/>
          </w:rPr>
        </w:r>
        <w:r>
          <w:rPr>
            <w:noProof/>
            <w:webHidden/>
          </w:rPr>
          <w:fldChar w:fldCharType="separate"/>
        </w:r>
        <w:r>
          <w:rPr>
            <w:noProof/>
            <w:webHidden/>
          </w:rPr>
          <w:t>66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25" w:history="1">
        <w:r w:rsidRPr="00CC53E5">
          <w:rPr>
            <w:rStyle w:val="Hyperlink"/>
            <w:noProof/>
          </w:rPr>
          <w:t>2.1.42</w:t>
        </w:r>
        <w:r>
          <w:rPr>
            <w:rFonts w:asciiTheme="minorHAnsi" w:eastAsiaTheme="minorEastAsia" w:hAnsiTheme="minorHAnsi" w:cstheme="minorBidi"/>
            <w:noProof/>
            <w:sz w:val="22"/>
            <w:szCs w:val="22"/>
          </w:rPr>
          <w:tab/>
        </w:r>
        <w:r w:rsidRPr="00CC53E5">
          <w:rPr>
            <w:rStyle w:val="Hyperlink"/>
            <w:noProof/>
          </w:rPr>
          <w:t>Part 1 Section 17.3.1.10, divId (Associated HTML div ID)</w:t>
        </w:r>
        <w:r>
          <w:rPr>
            <w:noProof/>
            <w:webHidden/>
          </w:rPr>
          <w:tab/>
        </w:r>
        <w:r>
          <w:rPr>
            <w:noProof/>
            <w:webHidden/>
          </w:rPr>
          <w:fldChar w:fldCharType="begin"/>
        </w:r>
        <w:r>
          <w:rPr>
            <w:noProof/>
            <w:webHidden/>
          </w:rPr>
          <w:instrText xml:space="preserve"> PAGEREF _Toc69877825 \h </w:instrText>
        </w:r>
        <w:r>
          <w:rPr>
            <w:noProof/>
            <w:webHidden/>
          </w:rPr>
        </w:r>
        <w:r>
          <w:rPr>
            <w:noProof/>
            <w:webHidden/>
          </w:rPr>
          <w:fldChar w:fldCharType="separate"/>
        </w:r>
        <w:r>
          <w:rPr>
            <w:noProof/>
            <w:webHidden/>
          </w:rPr>
          <w:t>66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26" w:history="1">
        <w:r w:rsidRPr="00CC53E5">
          <w:rPr>
            <w:rStyle w:val="Hyperlink"/>
            <w:noProof/>
          </w:rPr>
          <w:t>2.1.43</w:t>
        </w:r>
        <w:r>
          <w:rPr>
            <w:rFonts w:asciiTheme="minorHAnsi" w:eastAsiaTheme="minorEastAsia" w:hAnsiTheme="minorHAnsi" w:cstheme="minorBidi"/>
            <w:noProof/>
            <w:sz w:val="22"/>
            <w:szCs w:val="22"/>
          </w:rPr>
          <w:tab/>
        </w:r>
        <w:r w:rsidRPr="00CC53E5">
          <w:rPr>
            <w:rStyle w:val="Hyperlink"/>
            <w:noProof/>
          </w:rPr>
          <w:t>Part 1 Section 17.3.1.11, framePr (Text Frame Properties)</w:t>
        </w:r>
        <w:r>
          <w:rPr>
            <w:noProof/>
            <w:webHidden/>
          </w:rPr>
          <w:tab/>
        </w:r>
        <w:r>
          <w:rPr>
            <w:noProof/>
            <w:webHidden/>
          </w:rPr>
          <w:fldChar w:fldCharType="begin"/>
        </w:r>
        <w:r>
          <w:rPr>
            <w:noProof/>
            <w:webHidden/>
          </w:rPr>
          <w:instrText xml:space="preserve"> PAGEREF _Toc69877826 \h </w:instrText>
        </w:r>
        <w:r>
          <w:rPr>
            <w:noProof/>
            <w:webHidden/>
          </w:rPr>
        </w:r>
        <w:r>
          <w:rPr>
            <w:noProof/>
            <w:webHidden/>
          </w:rPr>
          <w:fldChar w:fldCharType="separate"/>
        </w:r>
        <w:r>
          <w:rPr>
            <w:noProof/>
            <w:webHidden/>
          </w:rPr>
          <w:t>66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27" w:history="1">
        <w:r w:rsidRPr="00CC53E5">
          <w:rPr>
            <w:rStyle w:val="Hyperlink"/>
            <w:noProof/>
          </w:rPr>
          <w:t>2.1.44</w:t>
        </w:r>
        <w:r>
          <w:rPr>
            <w:rFonts w:asciiTheme="minorHAnsi" w:eastAsiaTheme="minorEastAsia" w:hAnsiTheme="minorHAnsi" w:cstheme="minorBidi"/>
            <w:noProof/>
            <w:sz w:val="22"/>
            <w:szCs w:val="22"/>
          </w:rPr>
          <w:tab/>
        </w:r>
        <w:r w:rsidRPr="00CC53E5">
          <w:rPr>
            <w:rStyle w:val="Hyperlink"/>
            <w:noProof/>
          </w:rPr>
          <w:t>Part 1 Section 17.3.1.12, ind (Paragraph Indentation)</w:t>
        </w:r>
        <w:r>
          <w:rPr>
            <w:noProof/>
            <w:webHidden/>
          </w:rPr>
          <w:tab/>
        </w:r>
        <w:r>
          <w:rPr>
            <w:noProof/>
            <w:webHidden/>
          </w:rPr>
          <w:fldChar w:fldCharType="begin"/>
        </w:r>
        <w:r>
          <w:rPr>
            <w:noProof/>
            <w:webHidden/>
          </w:rPr>
          <w:instrText xml:space="preserve"> PAGEREF _Toc69877827 \h </w:instrText>
        </w:r>
        <w:r>
          <w:rPr>
            <w:noProof/>
            <w:webHidden/>
          </w:rPr>
        </w:r>
        <w:r>
          <w:rPr>
            <w:noProof/>
            <w:webHidden/>
          </w:rPr>
          <w:fldChar w:fldCharType="separate"/>
        </w:r>
        <w:r>
          <w:rPr>
            <w:noProof/>
            <w:webHidden/>
          </w:rPr>
          <w:t>67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28" w:history="1">
        <w:r w:rsidRPr="00CC53E5">
          <w:rPr>
            <w:rStyle w:val="Hyperlink"/>
            <w:noProof/>
          </w:rPr>
          <w:t>2.1.45</w:t>
        </w:r>
        <w:r>
          <w:rPr>
            <w:rFonts w:asciiTheme="minorHAnsi" w:eastAsiaTheme="minorEastAsia" w:hAnsiTheme="minorHAnsi" w:cstheme="minorBidi"/>
            <w:noProof/>
            <w:sz w:val="22"/>
            <w:szCs w:val="22"/>
          </w:rPr>
          <w:tab/>
        </w:r>
        <w:r w:rsidRPr="00CC53E5">
          <w:rPr>
            <w:rStyle w:val="Hyperlink"/>
            <w:noProof/>
          </w:rPr>
          <w:t>Part 1 Section 17.3.1.13, jc (Paragraph Alignment)</w:t>
        </w:r>
        <w:r>
          <w:rPr>
            <w:noProof/>
            <w:webHidden/>
          </w:rPr>
          <w:tab/>
        </w:r>
        <w:r>
          <w:rPr>
            <w:noProof/>
            <w:webHidden/>
          </w:rPr>
          <w:fldChar w:fldCharType="begin"/>
        </w:r>
        <w:r>
          <w:rPr>
            <w:noProof/>
            <w:webHidden/>
          </w:rPr>
          <w:instrText xml:space="preserve"> PAGEREF _Toc69877828 \h </w:instrText>
        </w:r>
        <w:r>
          <w:rPr>
            <w:noProof/>
            <w:webHidden/>
          </w:rPr>
        </w:r>
        <w:r>
          <w:rPr>
            <w:noProof/>
            <w:webHidden/>
          </w:rPr>
          <w:fldChar w:fldCharType="separate"/>
        </w:r>
        <w:r>
          <w:rPr>
            <w:noProof/>
            <w:webHidden/>
          </w:rPr>
          <w:t>67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29" w:history="1">
        <w:r w:rsidRPr="00CC53E5">
          <w:rPr>
            <w:rStyle w:val="Hyperlink"/>
            <w:noProof/>
          </w:rPr>
          <w:t>2.1.46</w:t>
        </w:r>
        <w:r>
          <w:rPr>
            <w:rFonts w:asciiTheme="minorHAnsi" w:eastAsiaTheme="minorEastAsia" w:hAnsiTheme="minorHAnsi" w:cstheme="minorBidi"/>
            <w:noProof/>
            <w:sz w:val="22"/>
            <w:szCs w:val="22"/>
          </w:rPr>
          <w:tab/>
        </w:r>
        <w:r w:rsidRPr="00CC53E5">
          <w:rPr>
            <w:rStyle w:val="Hyperlink"/>
            <w:noProof/>
          </w:rPr>
          <w:t>Part 1 Section 17.3.1.14, keepLines (Keep All Lines On One Page)</w:t>
        </w:r>
        <w:r>
          <w:rPr>
            <w:noProof/>
            <w:webHidden/>
          </w:rPr>
          <w:tab/>
        </w:r>
        <w:r>
          <w:rPr>
            <w:noProof/>
            <w:webHidden/>
          </w:rPr>
          <w:fldChar w:fldCharType="begin"/>
        </w:r>
        <w:r>
          <w:rPr>
            <w:noProof/>
            <w:webHidden/>
          </w:rPr>
          <w:instrText xml:space="preserve"> PAGEREF _Toc69877829 \h </w:instrText>
        </w:r>
        <w:r>
          <w:rPr>
            <w:noProof/>
            <w:webHidden/>
          </w:rPr>
        </w:r>
        <w:r>
          <w:rPr>
            <w:noProof/>
            <w:webHidden/>
          </w:rPr>
          <w:fldChar w:fldCharType="separate"/>
        </w:r>
        <w:r>
          <w:rPr>
            <w:noProof/>
            <w:webHidden/>
          </w:rPr>
          <w:t>67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30" w:history="1">
        <w:r w:rsidRPr="00CC53E5">
          <w:rPr>
            <w:rStyle w:val="Hyperlink"/>
            <w:noProof/>
          </w:rPr>
          <w:t>2.1.47</w:t>
        </w:r>
        <w:r>
          <w:rPr>
            <w:rFonts w:asciiTheme="minorHAnsi" w:eastAsiaTheme="minorEastAsia" w:hAnsiTheme="minorHAnsi" w:cstheme="minorBidi"/>
            <w:noProof/>
            <w:sz w:val="22"/>
            <w:szCs w:val="22"/>
          </w:rPr>
          <w:tab/>
        </w:r>
        <w:r w:rsidRPr="00CC53E5">
          <w:rPr>
            <w:rStyle w:val="Hyperlink"/>
            <w:noProof/>
          </w:rPr>
          <w:t>Part 1 Section 17.3.1.16, kinsoku (Use East Asian Typography Rules for First and Last Character per Line)</w:t>
        </w:r>
        <w:r>
          <w:rPr>
            <w:noProof/>
            <w:webHidden/>
          </w:rPr>
          <w:tab/>
        </w:r>
        <w:r>
          <w:rPr>
            <w:noProof/>
            <w:webHidden/>
          </w:rPr>
          <w:fldChar w:fldCharType="begin"/>
        </w:r>
        <w:r>
          <w:rPr>
            <w:noProof/>
            <w:webHidden/>
          </w:rPr>
          <w:instrText xml:space="preserve"> PAGEREF _Toc69877830 \h </w:instrText>
        </w:r>
        <w:r>
          <w:rPr>
            <w:noProof/>
            <w:webHidden/>
          </w:rPr>
        </w:r>
        <w:r>
          <w:rPr>
            <w:noProof/>
            <w:webHidden/>
          </w:rPr>
          <w:fldChar w:fldCharType="separate"/>
        </w:r>
        <w:r>
          <w:rPr>
            <w:noProof/>
            <w:webHidden/>
          </w:rPr>
          <w:t>67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31" w:history="1">
        <w:r w:rsidRPr="00CC53E5">
          <w:rPr>
            <w:rStyle w:val="Hyperlink"/>
            <w:noProof/>
          </w:rPr>
          <w:t>2.1.48</w:t>
        </w:r>
        <w:r>
          <w:rPr>
            <w:rFonts w:asciiTheme="minorHAnsi" w:eastAsiaTheme="minorEastAsia" w:hAnsiTheme="minorHAnsi" w:cstheme="minorBidi"/>
            <w:noProof/>
            <w:sz w:val="22"/>
            <w:szCs w:val="22"/>
          </w:rPr>
          <w:tab/>
        </w:r>
        <w:r w:rsidRPr="00CC53E5">
          <w:rPr>
            <w:rStyle w:val="Hyperlink"/>
            <w:noProof/>
          </w:rPr>
          <w:t>Part 1 Section 17.3.1.17, left (Left Paragraph Border)</w:t>
        </w:r>
        <w:r>
          <w:rPr>
            <w:noProof/>
            <w:webHidden/>
          </w:rPr>
          <w:tab/>
        </w:r>
        <w:r>
          <w:rPr>
            <w:noProof/>
            <w:webHidden/>
          </w:rPr>
          <w:fldChar w:fldCharType="begin"/>
        </w:r>
        <w:r>
          <w:rPr>
            <w:noProof/>
            <w:webHidden/>
          </w:rPr>
          <w:instrText xml:space="preserve"> PAGEREF _Toc69877831 \h </w:instrText>
        </w:r>
        <w:r>
          <w:rPr>
            <w:noProof/>
            <w:webHidden/>
          </w:rPr>
        </w:r>
        <w:r>
          <w:rPr>
            <w:noProof/>
            <w:webHidden/>
          </w:rPr>
          <w:fldChar w:fldCharType="separate"/>
        </w:r>
        <w:r>
          <w:rPr>
            <w:noProof/>
            <w:webHidden/>
          </w:rPr>
          <w:t>68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32" w:history="1">
        <w:r w:rsidRPr="00CC53E5">
          <w:rPr>
            <w:rStyle w:val="Hyperlink"/>
            <w:noProof/>
          </w:rPr>
          <w:t>2.1.49</w:t>
        </w:r>
        <w:r>
          <w:rPr>
            <w:rFonts w:asciiTheme="minorHAnsi" w:eastAsiaTheme="minorEastAsia" w:hAnsiTheme="minorHAnsi" w:cstheme="minorBidi"/>
            <w:noProof/>
            <w:sz w:val="22"/>
            <w:szCs w:val="22"/>
          </w:rPr>
          <w:tab/>
        </w:r>
        <w:r w:rsidRPr="00CC53E5">
          <w:rPr>
            <w:rStyle w:val="Hyperlink"/>
            <w:noProof/>
          </w:rPr>
          <w:t>Part 1 Section 17.3.1.18, mirrorIndents (Use Left/Right Indents as Inside/Outside Indents)</w:t>
        </w:r>
        <w:r>
          <w:rPr>
            <w:noProof/>
            <w:webHidden/>
          </w:rPr>
          <w:tab/>
        </w:r>
        <w:r>
          <w:rPr>
            <w:noProof/>
            <w:webHidden/>
          </w:rPr>
          <w:fldChar w:fldCharType="begin"/>
        </w:r>
        <w:r>
          <w:rPr>
            <w:noProof/>
            <w:webHidden/>
          </w:rPr>
          <w:instrText xml:space="preserve"> PAGEREF _Toc69877832 \h </w:instrText>
        </w:r>
        <w:r>
          <w:rPr>
            <w:noProof/>
            <w:webHidden/>
          </w:rPr>
        </w:r>
        <w:r>
          <w:rPr>
            <w:noProof/>
            <w:webHidden/>
          </w:rPr>
          <w:fldChar w:fldCharType="separate"/>
        </w:r>
        <w:r>
          <w:rPr>
            <w:noProof/>
            <w:webHidden/>
          </w:rPr>
          <w:t>68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33" w:history="1">
        <w:r w:rsidRPr="00CC53E5">
          <w:rPr>
            <w:rStyle w:val="Hyperlink"/>
            <w:noProof/>
          </w:rPr>
          <w:t>2.1.50</w:t>
        </w:r>
        <w:r>
          <w:rPr>
            <w:rFonts w:asciiTheme="minorHAnsi" w:eastAsiaTheme="minorEastAsia" w:hAnsiTheme="minorHAnsi" w:cstheme="minorBidi"/>
            <w:noProof/>
            <w:sz w:val="22"/>
            <w:szCs w:val="22"/>
          </w:rPr>
          <w:tab/>
        </w:r>
        <w:r w:rsidRPr="00CC53E5">
          <w:rPr>
            <w:rStyle w:val="Hyperlink"/>
            <w:noProof/>
          </w:rPr>
          <w:t>Part 1 Section 17.3.1.19, numPr (Numbering Definition Instance Reference)</w:t>
        </w:r>
        <w:r>
          <w:rPr>
            <w:noProof/>
            <w:webHidden/>
          </w:rPr>
          <w:tab/>
        </w:r>
        <w:r>
          <w:rPr>
            <w:noProof/>
            <w:webHidden/>
          </w:rPr>
          <w:fldChar w:fldCharType="begin"/>
        </w:r>
        <w:r>
          <w:rPr>
            <w:noProof/>
            <w:webHidden/>
          </w:rPr>
          <w:instrText xml:space="preserve"> PAGEREF _Toc69877833 \h </w:instrText>
        </w:r>
        <w:r>
          <w:rPr>
            <w:noProof/>
            <w:webHidden/>
          </w:rPr>
        </w:r>
        <w:r>
          <w:rPr>
            <w:noProof/>
            <w:webHidden/>
          </w:rPr>
          <w:fldChar w:fldCharType="separate"/>
        </w:r>
        <w:r>
          <w:rPr>
            <w:noProof/>
            <w:webHidden/>
          </w:rPr>
          <w:t>68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34" w:history="1">
        <w:r w:rsidRPr="00CC53E5">
          <w:rPr>
            <w:rStyle w:val="Hyperlink"/>
            <w:noProof/>
          </w:rPr>
          <w:t>2.1.51</w:t>
        </w:r>
        <w:r>
          <w:rPr>
            <w:rFonts w:asciiTheme="minorHAnsi" w:eastAsiaTheme="minorEastAsia" w:hAnsiTheme="minorHAnsi" w:cstheme="minorBidi"/>
            <w:noProof/>
            <w:sz w:val="22"/>
            <w:szCs w:val="22"/>
          </w:rPr>
          <w:tab/>
        </w:r>
        <w:r w:rsidRPr="00CC53E5">
          <w:rPr>
            <w:rStyle w:val="Hyperlink"/>
            <w:noProof/>
          </w:rPr>
          <w:t>Part 1 Section 17.3.1.20, outlineLvl (Associated Outline Level)</w:t>
        </w:r>
        <w:r>
          <w:rPr>
            <w:noProof/>
            <w:webHidden/>
          </w:rPr>
          <w:tab/>
        </w:r>
        <w:r>
          <w:rPr>
            <w:noProof/>
            <w:webHidden/>
          </w:rPr>
          <w:fldChar w:fldCharType="begin"/>
        </w:r>
        <w:r>
          <w:rPr>
            <w:noProof/>
            <w:webHidden/>
          </w:rPr>
          <w:instrText xml:space="preserve"> PAGEREF _Toc69877834 \h </w:instrText>
        </w:r>
        <w:r>
          <w:rPr>
            <w:noProof/>
            <w:webHidden/>
          </w:rPr>
        </w:r>
        <w:r>
          <w:rPr>
            <w:noProof/>
            <w:webHidden/>
          </w:rPr>
          <w:fldChar w:fldCharType="separate"/>
        </w:r>
        <w:r>
          <w:rPr>
            <w:noProof/>
            <w:webHidden/>
          </w:rPr>
          <w:t>68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35" w:history="1">
        <w:r w:rsidRPr="00CC53E5">
          <w:rPr>
            <w:rStyle w:val="Hyperlink"/>
            <w:noProof/>
          </w:rPr>
          <w:t>2.1.52</w:t>
        </w:r>
        <w:r>
          <w:rPr>
            <w:rFonts w:asciiTheme="minorHAnsi" w:eastAsiaTheme="minorEastAsia" w:hAnsiTheme="minorHAnsi" w:cstheme="minorBidi"/>
            <w:noProof/>
            <w:sz w:val="22"/>
            <w:szCs w:val="22"/>
          </w:rPr>
          <w:tab/>
        </w:r>
        <w:r w:rsidRPr="00CC53E5">
          <w:rPr>
            <w:rStyle w:val="Hyperlink"/>
            <w:noProof/>
          </w:rPr>
          <w:t>Part 1 Section 17.3.1.21, overflowPunct (Allow Punctuation to Extend Past Text Extents)</w:t>
        </w:r>
        <w:r>
          <w:rPr>
            <w:noProof/>
            <w:webHidden/>
          </w:rPr>
          <w:tab/>
        </w:r>
        <w:r>
          <w:rPr>
            <w:noProof/>
            <w:webHidden/>
          </w:rPr>
          <w:fldChar w:fldCharType="begin"/>
        </w:r>
        <w:r>
          <w:rPr>
            <w:noProof/>
            <w:webHidden/>
          </w:rPr>
          <w:instrText xml:space="preserve"> PAGEREF _Toc69877835 \h </w:instrText>
        </w:r>
        <w:r>
          <w:rPr>
            <w:noProof/>
            <w:webHidden/>
          </w:rPr>
        </w:r>
        <w:r>
          <w:rPr>
            <w:noProof/>
            <w:webHidden/>
          </w:rPr>
          <w:fldChar w:fldCharType="separate"/>
        </w:r>
        <w:r>
          <w:rPr>
            <w:noProof/>
            <w:webHidden/>
          </w:rPr>
          <w:t>68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36" w:history="1">
        <w:r w:rsidRPr="00CC53E5">
          <w:rPr>
            <w:rStyle w:val="Hyperlink"/>
            <w:noProof/>
          </w:rPr>
          <w:t>2.1.53</w:t>
        </w:r>
        <w:r>
          <w:rPr>
            <w:rFonts w:asciiTheme="minorHAnsi" w:eastAsiaTheme="minorEastAsia" w:hAnsiTheme="minorHAnsi" w:cstheme="minorBidi"/>
            <w:noProof/>
            <w:sz w:val="22"/>
            <w:szCs w:val="22"/>
          </w:rPr>
          <w:tab/>
        </w:r>
        <w:r w:rsidRPr="00CC53E5">
          <w:rPr>
            <w:rStyle w:val="Hyperlink"/>
            <w:noProof/>
          </w:rPr>
          <w:t>Part 1 Section 17.3.1.22, p (Paragraph)</w:t>
        </w:r>
        <w:r>
          <w:rPr>
            <w:noProof/>
            <w:webHidden/>
          </w:rPr>
          <w:tab/>
        </w:r>
        <w:r>
          <w:rPr>
            <w:noProof/>
            <w:webHidden/>
          </w:rPr>
          <w:fldChar w:fldCharType="begin"/>
        </w:r>
        <w:r>
          <w:rPr>
            <w:noProof/>
            <w:webHidden/>
          </w:rPr>
          <w:instrText xml:space="preserve"> PAGEREF _Toc69877836 \h </w:instrText>
        </w:r>
        <w:r>
          <w:rPr>
            <w:noProof/>
            <w:webHidden/>
          </w:rPr>
        </w:r>
        <w:r>
          <w:rPr>
            <w:noProof/>
            <w:webHidden/>
          </w:rPr>
          <w:fldChar w:fldCharType="separate"/>
        </w:r>
        <w:r>
          <w:rPr>
            <w:noProof/>
            <w:webHidden/>
          </w:rPr>
          <w:t>69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37" w:history="1">
        <w:r w:rsidRPr="00CC53E5">
          <w:rPr>
            <w:rStyle w:val="Hyperlink"/>
            <w:noProof/>
          </w:rPr>
          <w:t>2.1.54</w:t>
        </w:r>
        <w:r>
          <w:rPr>
            <w:rFonts w:asciiTheme="minorHAnsi" w:eastAsiaTheme="minorEastAsia" w:hAnsiTheme="minorHAnsi" w:cstheme="minorBidi"/>
            <w:noProof/>
            <w:sz w:val="22"/>
            <w:szCs w:val="22"/>
          </w:rPr>
          <w:tab/>
        </w:r>
        <w:r w:rsidRPr="00CC53E5">
          <w:rPr>
            <w:rStyle w:val="Hyperlink"/>
            <w:noProof/>
          </w:rPr>
          <w:t>Part 1 Section 17.3.1.25, pPr (Previous Paragraph Properties)</w:t>
        </w:r>
        <w:r>
          <w:rPr>
            <w:noProof/>
            <w:webHidden/>
          </w:rPr>
          <w:tab/>
        </w:r>
        <w:r>
          <w:rPr>
            <w:noProof/>
            <w:webHidden/>
          </w:rPr>
          <w:fldChar w:fldCharType="begin"/>
        </w:r>
        <w:r>
          <w:rPr>
            <w:noProof/>
            <w:webHidden/>
          </w:rPr>
          <w:instrText xml:space="preserve"> PAGEREF _Toc69877837 \h </w:instrText>
        </w:r>
        <w:r>
          <w:rPr>
            <w:noProof/>
            <w:webHidden/>
          </w:rPr>
        </w:r>
        <w:r>
          <w:rPr>
            <w:noProof/>
            <w:webHidden/>
          </w:rPr>
          <w:fldChar w:fldCharType="separate"/>
        </w:r>
        <w:r>
          <w:rPr>
            <w:noProof/>
            <w:webHidden/>
          </w:rPr>
          <w:t>69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38" w:history="1">
        <w:r w:rsidRPr="00CC53E5">
          <w:rPr>
            <w:rStyle w:val="Hyperlink"/>
            <w:noProof/>
          </w:rPr>
          <w:t>2.1.55</w:t>
        </w:r>
        <w:r>
          <w:rPr>
            <w:rFonts w:asciiTheme="minorHAnsi" w:eastAsiaTheme="minorEastAsia" w:hAnsiTheme="minorHAnsi" w:cstheme="minorBidi"/>
            <w:noProof/>
            <w:sz w:val="22"/>
            <w:szCs w:val="22"/>
          </w:rPr>
          <w:tab/>
        </w:r>
        <w:r w:rsidRPr="00CC53E5">
          <w:rPr>
            <w:rStyle w:val="Hyperlink"/>
            <w:noProof/>
          </w:rPr>
          <w:t>Part 1 Section 17.3.1.27, pStyle (Referenced Paragraph Style)</w:t>
        </w:r>
        <w:r>
          <w:rPr>
            <w:noProof/>
            <w:webHidden/>
          </w:rPr>
          <w:tab/>
        </w:r>
        <w:r>
          <w:rPr>
            <w:noProof/>
            <w:webHidden/>
          </w:rPr>
          <w:fldChar w:fldCharType="begin"/>
        </w:r>
        <w:r>
          <w:rPr>
            <w:noProof/>
            <w:webHidden/>
          </w:rPr>
          <w:instrText xml:space="preserve"> PAGEREF _Toc69877838 \h </w:instrText>
        </w:r>
        <w:r>
          <w:rPr>
            <w:noProof/>
            <w:webHidden/>
          </w:rPr>
        </w:r>
        <w:r>
          <w:rPr>
            <w:noProof/>
            <w:webHidden/>
          </w:rPr>
          <w:fldChar w:fldCharType="separate"/>
        </w:r>
        <w:r>
          <w:rPr>
            <w:noProof/>
            <w:webHidden/>
          </w:rPr>
          <w:t>69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39" w:history="1">
        <w:r w:rsidRPr="00CC53E5">
          <w:rPr>
            <w:rStyle w:val="Hyperlink"/>
            <w:noProof/>
          </w:rPr>
          <w:t>2.1.56</w:t>
        </w:r>
        <w:r>
          <w:rPr>
            <w:rFonts w:asciiTheme="minorHAnsi" w:eastAsiaTheme="minorEastAsia" w:hAnsiTheme="minorHAnsi" w:cstheme="minorBidi"/>
            <w:noProof/>
            <w:sz w:val="22"/>
            <w:szCs w:val="22"/>
          </w:rPr>
          <w:tab/>
        </w:r>
        <w:r w:rsidRPr="00CC53E5">
          <w:rPr>
            <w:rStyle w:val="Hyperlink"/>
            <w:noProof/>
          </w:rPr>
          <w:t>Part 1 Section 17.3.1.28, right (Right Paragraph Border)</w:t>
        </w:r>
        <w:r>
          <w:rPr>
            <w:noProof/>
            <w:webHidden/>
          </w:rPr>
          <w:tab/>
        </w:r>
        <w:r>
          <w:rPr>
            <w:noProof/>
            <w:webHidden/>
          </w:rPr>
          <w:fldChar w:fldCharType="begin"/>
        </w:r>
        <w:r>
          <w:rPr>
            <w:noProof/>
            <w:webHidden/>
          </w:rPr>
          <w:instrText xml:space="preserve"> PAGEREF _Toc69877839 \h </w:instrText>
        </w:r>
        <w:r>
          <w:rPr>
            <w:noProof/>
            <w:webHidden/>
          </w:rPr>
        </w:r>
        <w:r>
          <w:rPr>
            <w:noProof/>
            <w:webHidden/>
          </w:rPr>
          <w:fldChar w:fldCharType="separate"/>
        </w:r>
        <w:r>
          <w:rPr>
            <w:noProof/>
            <w:webHidden/>
          </w:rPr>
          <w:t>69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40" w:history="1">
        <w:r w:rsidRPr="00CC53E5">
          <w:rPr>
            <w:rStyle w:val="Hyperlink"/>
            <w:noProof/>
          </w:rPr>
          <w:t>2.1.57</w:t>
        </w:r>
        <w:r>
          <w:rPr>
            <w:rFonts w:asciiTheme="minorHAnsi" w:eastAsiaTheme="minorEastAsia" w:hAnsiTheme="minorHAnsi" w:cstheme="minorBidi"/>
            <w:noProof/>
            <w:sz w:val="22"/>
            <w:szCs w:val="22"/>
          </w:rPr>
          <w:tab/>
        </w:r>
        <w:r w:rsidRPr="00CC53E5">
          <w:rPr>
            <w:rStyle w:val="Hyperlink"/>
            <w:noProof/>
          </w:rPr>
          <w:t>Part 1 Section 17.3.1.29, rPr (Run Properties for the Paragraph Mark)</w:t>
        </w:r>
        <w:r>
          <w:rPr>
            <w:noProof/>
            <w:webHidden/>
          </w:rPr>
          <w:tab/>
        </w:r>
        <w:r>
          <w:rPr>
            <w:noProof/>
            <w:webHidden/>
          </w:rPr>
          <w:fldChar w:fldCharType="begin"/>
        </w:r>
        <w:r>
          <w:rPr>
            <w:noProof/>
            <w:webHidden/>
          </w:rPr>
          <w:instrText xml:space="preserve"> PAGEREF _Toc69877840 \h </w:instrText>
        </w:r>
        <w:r>
          <w:rPr>
            <w:noProof/>
            <w:webHidden/>
          </w:rPr>
        </w:r>
        <w:r>
          <w:rPr>
            <w:noProof/>
            <w:webHidden/>
          </w:rPr>
          <w:fldChar w:fldCharType="separate"/>
        </w:r>
        <w:r>
          <w:rPr>
            <w:noProof/>
            <w:webHidden/>
          </w:rPr>
          <w:t>69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41" w:history="1">
        <w:r w:rsidRPr="00CC53E5">
          <w:rPr>
            <w:rStyle w:val="Hyperlink"/>
            <w:noProof/>
          </w:rPr>
          <w:t>2.1.58</w:t>
        </w:r>
        <w:r>
          <w:rPr>
            <w:rFonts w:asciiTheme="minorHAnsi" w:eastAsiaTheme="minorEastAsia" w:hAnsiTheme="minorHAnsi" w:cstheme="minorBidi"/>
            <w:noProof/>
            <w:sz w:val="22"/>
            <w:szCs w:val="22"/>
          </w:rPr>
          <w:tab/>
        </w:r>
        <w:r w:rsidRPr="00CC53E5">
          <w:rPr>
            <w:rStyle w:val="Hyperlink"/>
            <w:noProof/>
          </w:rPr>
          <w:t>Part 1 Section 17.3.1.30, rPr (Previous Run Properties for the Paragraph Mark)</w:t>
        </w:r>
        <w:r>
          <w:rPr>
            <w:noProof/>
            <w:webHidden/>
          </w:rPr>
          <w:tab/>
        </w:r>
        <w:r>
          <w:rPr>
            <w:noProof/>
            <w:webHidden/>
          </w:rPr>
          <w:fldChar w:fldCharType="begin"/>
        </w:r>
        <w:r>
          <w:rPr>
            <w:noProof/>
            <w:webHidden/>
          </w:rPr>
          <w:instrText xml:space="preserve"> PAGEREF _Toc69877841 \h </w:instrText>
        </w:r>
        <w:r>
          <w:rPr>
            <w:noProof/>
            <w:webHidden/>
          </w:rPr>
        </w:r>
        <w:r>
          <w:rPr>
            <w:noProof/>
            <w:webHidden/>
          </w:rPr>
          <w:fldChar w:fldCharType="separate"/>
        </w:r>
        <w:r>
          <w:rPr>
            <w:noProof/>
            <w:webHidden/>
          </w:rPr>
          <w:t>69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42" w:history="1">
        <w:r w:rsidRPr="00CC53E5">
          <w:rPr>
            <w:rStyle w:val="Hyperlink"/>
            <w:noProof/>
          </w:rPr>
          <w:t>2.1.59</w:t>
        </w:r>
        <w:r>
          <w:rPr>
            <w:rFonts w:asciiTheme="minorHAnsi" w:eastAsiaTheme="minorEastAsia" w:hAnsiTheme="minorHAnsi" w:cstheme="minorBidi"/>
            <w:noProof/>
            <w:sz w:val="22"/>
            <w:szCs w:val="22"/>
          </w:rPr>
          <w:tab/>
        </w:r>
        <w:r w:rsidRPr="00CC53E5">
          <w:rPr>
            <w:rStyle w:val="Hyperlink"/>
            <w:noProof/>
          </w:rPr>
          <w:t>Part 1 Section 17.3.1.31, shd (Paragraph Shading)</w:t>
        </w:r>
        <w:r>
          <w:rPr>
            <w:noProof/>
            <w:webHidden/>
          </w:rPr>
          <w:tab/>
        </w:r>
        <w:r>
          <w:rPr>
            <w:noProof/>
            <w:webHidden/>
          </w:rPr>
          <w:fldChar w:fldCharType="begin"/>
        </w:r>
        <w:r>
          <w:rPr>
            <w:noProof/>
            <w:webHidden/>
          </w:rPr>
          <w:instrText xml:space="preserve"> PAGEREF _Toc69877842 \h </w:instrText>
        </w:r>
        <w:r>
          <w:rPr>
            <w:noProof/>
            <w:webHidden/>
          </w:rPr>
        </w:r>
        <w:r>
          <w:rPr>
            <w:noProof/>
            <w:webHidden/>
          </w:rPr>
          <w:fldChar w:fldCharType="separate"/>
        </w:r>
        <w:r>
          <w:rPr>
            <w:noProof/>
            <w:webHidden/>
          </w:rPr>
          <w:t>69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43" w:history="1">
        <w:r w:rsidRPr="00CC53E5">
          <w:rPr>
            <w:rStyle w:val="Hyperlink"/>
            <w:noProof/>
          </w:rPr>
          <w:t>2.1.60</w:t>
        </w:r>
        <w:r>
          <w:rPr>
            <w:rFonts w:asciiTheme="minorHAnsi" w:eastAsiaTheme="minorEastAsia" w:hAnsiTheme="minorHAnsi" w:cstheme="minorBidi"/>
            <w:noProof/>
            <w:sz w:val="22"/>
            <w:szCs w:val="22"/>
          </w:rPr>
          <w:tab/>
        </w:r>
        <w:r w:rsidRPr="00CC53E5">
          <w:rPr>
            <w:rStyle w:val="Hyperlink"/>
            <w:noProof/>
          </w:rPr>
          <w:t>Part 1 Section 17.3.1.33, spacing (Spacing Between Lines and Above/Below Paragraph)</w:t>
        </w:r>
        <w:r>
          <w:rPr>
            <w:noProof/>
            <w:webHidden/>
          </w:rPr>
          <w:tab/>
        </w:r>
        <w:r>
          <w:rPr>
            <w:noProof/>
            <w:webHidden/>
          </w:rPr>
          <w:fldChar w:fldCharType="begin"/>
        </w:r>
        <w:r>
          <w:rPr>
            <w:noProof/>
            <w:webHidden/>
          </w:rPr>
          <w:instrText xml:space="preserve"> PAGEREF _Toc69877843 \h </w:instrText>
        </w:r>
        <w:r>
          <w:rPr>
            <w:noProof/>
            <w:webHidden/>
          </w:rPr>
        </w:r>
        <w:r>
          <w:rPr>
            <w:noProof/>
            <w:webHidden/>
          </w:rPr>
          <w:fldChar w:fldCharType="separate"/>
        </w:r>
        <w:r>
          <w:rPr>
            <w:noProof/>
            <w:webHidden/>
          </w:rPr>
          <w:t>70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44" w:history="1">
        <w:r w:rsidRPr="00CC53E5">
          <w:rPr>
            <w:rStyle w:val="Hyperlink"/>
            <w:noProof/>
          </w:rPr>
          <w:t>2.1.61</w:t>
        </w:r>
        <w:r>
          <w:rPr>
            <w:rFonts w:asciiTheme="minorHAnsi" w:eastAsiaTheme="minorEastAsia" w:hAnsiTheme="minorHAnsi" w:cstheme="minorBidi"/>
            <w:noProof/>
            <w:sz w:val="22"/>
            <w:szCs w:val="22"/>
          </w:rPr>
          <w:tab/>
        </w:r>
        <w:r w:rsidRPr="00CC53E5">
          <w:rPr>
            <w:rStyle w:val="Hyperlink"/>
            <w:noProof/>
          </w:rPr>
          <w:t>Part 1 Section 17.3.1.37, tab (Custom Tab Stop)</w:t>
        </w:r>
        <w:r>
          <w:rPr>
            <w:noProof/>
            <w:webHidden/>
          </w:rPr>
          <w:tab/>
        </w:r>
        <w:r>
          <w:rPr>
            <w:noProof/>
            <w:webHidden/>
          </w:rPr>
          <w:fldChar w:fldCharType="begin"/>
        </w:r>
        <w:r>
          <w:rPr>
            <w:noProof/>
            <w:webHidden/>
          </w:rPr>
          <w:instrText xml:space="preserve"> PAGEREF _Toc69877844 \h </w:instrText>
        </w:r>
        <w:r>
          <w:rPr>
            <w:noProof/>
            <w:webHidden/>
          </w:rPr>
        </w:r>
        <w:r>
          <w:rPr>
            <w:noProof/>
            <w:webHidden/>
          </w:rPr>
          <w:fldChar w:fldCharType="separate"/>
        </w:r>
        <w:r>
          <w:rPr>
            <w:noProof/>
            <w:webHidden/>
          </w:rPr>
          <w:t>70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45" w:history="1">
        <w:r w:rsidRPr="00CC53E5">
          <w:rPr>
            <w:rStyle w:val="Hyperlink"/>
            <w:noProof/>
          </w:rPr>
          <w:t>2.1.62</w:t>
        </w:r>
        <w:r>
          <w:rPr>
            <w:rFonts w:asciiTheme="minorHAnsi" w:eastAsiaTheme="minorEastAsia" w:hAnsiTheme="minorHAnsi" w:cstheme="minorBidi"/>
            <w:noProof/>
            <w:sz w:val="22"/>
            <w:szCs w:val="22"/>
          </w:rPr>
          <w:tab/>
        </w:r>
        <w:r w:rsidRPr="00CC53E5">
          <w:rPr>
            <w:rStyle w:val="Hyperlink"/>
            <w:noProof/>
          </w:rPr>
          <w:t>Part 1 Section 17.3.1.40, textboxTightWrap (Allow Surrounding Paragraphs to Tight Wrap to Text Box Contents)</w:t>
        </w:r>
        <w:r>
          <w:rPr>
            <w:noProof/>
            <w:webHidden/>
          </w:rPr>
          <w:tab/>
        </w:r>
        <w:r>
          <w:rPr>
            <w:noProof/>
            <w:webHidden/>
          </w:rPr>
          <w:fldChar w:fldCharType="begin"/>
        </w:r>
        <w:r>
          <w:rPr>
            <w:noProof/>
            <w:webHidden/>
          </w:rPr>
          <w:instrText xml:space="preserve"> PAGEREF _Toc69877845 \h </w:instrText>
        </w:r>
        <w:r>
          <w:rPr>
            <w:noProof/>
            <w:webHidden/>
          </w:rPr>
        </w:r>
        <w:r>
          <w:rPr>
            <w:noProof/>
            <w:webHidden/>
          </w:rPr>
          <w:fldChar w:fldCharType="separate"/>
        </w:r>
        <w:r>
          <w:rPr>
            <w:noProof/>
            <w:webHidden/>
          </w:rPr>
          <w:t>70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46" w:history="1">
        <w:r w:rsidRPr="00CC53E5">
          <w:rPr>
            <w:rStyle w:val="Hyperlink"/>
            <w:noProof/>
          </w:rPr>
          <w:t>2.1.63</w:t>
        </w:r>
        <w:r>
          <w:rPr>
            <w:rFonts w:asciiTheme="minorHAnsi" w:eastAsiaTheme="minorEastAsia" w:hAnsiTheme="minorHAnsi" w:cstheme="minorBidi"/>
            <w:noProof/>
            <w:sz w:val="22"/>
            <w:szCs w:val="22"/>
          </w:rPr>
          <w:tab/>
        </w:r>
        <w:r w:rsidRPr="00CC53E5">
          <w:rPr>
            <w:rStyle w:val="Hyperlink"/>
            <w:noProof/>
          </w:rPr>
          <w:t>Part 1 Section 17.3.1.41, textDirection (Paragraph Text Flow Direction)</w:t>
        </w:r>
        <w:r>
          <w:rPr>
            <w:noProof/>
            <w:webHidden/>
          </w:rPr>
          <w:tab/>
        </w:r>
        <w:r>
          <w:rPr>
            <w:noProof/>
            <w:webHidden/>
          </w:rPr>
          <w:fldChar w:fldCharType="begin"/>
        </w:r>
        <w:r>
          <w:rPr>
            <w:noProof/>
            <w:webHidden/>
          </w:rPr>
          <w:instrText xml:space="preserve"> PAGEREF _Toc69877846 \h </w:instrText>
        </w:r>
        <w:r>
          <w:rPr>
            <w:noProof/>
            <w:webHidden/>
          </w:rPr>
        </w:r>
        <w:r>
          <w:rPr>
            <w:noProof/>
            <w:webHidden/>
          </w:rPr>
          <w:fldChar w:fldCharType="separate"/>
        </w:r>
        <w:r>
          <w:rPr>
            <w:noProof/>
            <w:webHidden/>
          </w:rPr>
          <w:t>70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47" w:history="1">
        <w:r w:rsidRPr="00CC53E5">
          <w:rPr>
            <w:rStyle w:val="Hyperlink"/>
            <w:noProof/>
          </w:rPr>
          <w:t>2.1.64</w:t>
        </w:r>
        <w:r>
          <w:rPr>
            <w:rFonts w:asciiTheme="minorHAnsi" w:eastAsiaTheme="minorEastAsia" w:hAnsiTheme="minorHAnsi" w:cstheme="minorBidi"/>
            <w:noProof/>
            <w:sz w:val="22"/>
            <w:szCs w:val="22"/>
          </w:rPr>
          <w:tab/>
        </w:r>
        <w:r w:rsidRPr="00CC53E5">
          <w:rPr>
            <w:rStyle w:val="Hyperlink"/>
            <w:noProof/>
          </w:rPr>
          <w:t>Part 1 Section 17.3.1.42, top (Paragraph Border Above Identical Paragraphs)</w:t>
        </w:r>
        <w:r>
          <w:rPr>
            <w:noProof/>
            <w:webHidden/>
          </w:rPr>
          <w:tab/>
        </w:r>
        <w:r>
          <w:rPr>
            <w:noProof/>
            <w:webHidden/>
          </w:rPr>
          <w:fldChar w:fldCharType="begin"/>
        </w:r>
        <w:r>
          <w:rPr>
            <w:noProof/>
            <w:webHidden/>
          </w:rPr>
          <w:instrText xml:space="preserve"> PAGEREF _Toc69877847 \h </w:instrText>
        </w:r>
        <w:r>
          <w:rPr>
            <w:noProof/>
            <w:webHidden/>
          </w:rPr>
        </w:r>
        <w:r>
          <w:rPr>
            <w:noProof/>
            <w:webHidden/>
          </w:rPr>
          <w:fldChar w:fldCharType="separate"/>
        </w:r>
        <w:r>
          <w:rPr>
            <w:noProof/>
            <w:webHidden/>
          </w:rPr>
          <w:t>70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48" w:history="1">
        <w:r w:rsidRPr="00CC53E5">
          <w:rPr>
            <w:rStyle w:val="Hyperlink"/>
            <w:noProof/>
          </w:rPr>
          <w:t>2.1.65</w:t>
        </w:r>
        <w:r>
          <w:rPr>
            <w:rFonts w:asciiTheme="minorHAnsi" w:eastAsiaTheme="minorEastAsia" w:hAnsiTheme="minorHAnsi" w:cstheme="minorBidi"/>
            <w:noProof/>
            <w:sz w:val="22"/>
            <w:szCs w:val="22"/>
          </w:rPr>
          <w:tab/>
        </w:r>
        <w:r w:rsidRPr="00CC53E5">
          <w:rPr>
            <w:rStyle w:val="Hyperlink"/>
            <w:noProof/>
          </w:rPr>
          <w:t>Part 1 Section 17.3.1.43, topLinePunct (Compress Punctuation at Start of a Line)</w:t>
        </w:r>
        <w:r>
          <w:rPr>
            <w:noProof/>
            <w:webHidden/>
          </w:rPr>
          <w:tab/>
        </w:r>
        <w:r>
          <w:rPr>
            <w:noProof/>
            <w:webHidden/>
          </w:rPr>
          <w:fldChar w:fldCharType="begin"/>
        </w:r>
        <w:r>
          <w:rPr>
            <w:noProof/>
            <w:webHidden/>
          </w:rPr>
          <w:instrText xml:space="preserve"> PAGEREF _Toc69877848 \h </w:instrText>
        </w:r>
        <w:r>
          <w:rPr>
            <w:noProof/>
            <w:webHidden/>
          </w:rPr>
        </w:r>
        <w:r>
          <w:rPr>
            <w:noProof/>
            <w:webHidden/>
          </w:rPr>
          <w:fldChar w:fldCharType="separate"/>
        </w:r>
        <w:r>
          <w:rPr>
            <w:noProof/>
            <w:webHidden/>
          </w:rPr>
          <w:t>70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49" w:history="1">
        <w:r w:rsidRPr="00CC53E5">
          <w:rPr>
            <w:rStyle w:val="Hyperlink"/>
            <w:noProof/>
          </w:rPr>
          <w:t>2.1.66</w:t>
        </w:r>
        <w:r>
          <w:rPr>
            <w:rFonts w:asciiTheme="minorHAnsi" w:eastAsiaTheme="minorEastAsia" w:hAnsiTheme="minorHAnsi" w:cstheme="minorBidi"/>
            <w:noProof/>
            <w:sz w:val="22"/>
            <w:szCs w:val="22"/>
          </w:rPr>
          <w:tab/>
        </w:r>
        <w:r w:rsidRPr="00CC53E5">
          <w:rPr>
            <w:rStyle w:val="Hyperlink"/>
            <w:noProof/>
          </w:rPr>
          <w:t>Part 1 Section 17.3.1.44, widowControl (Allow First/Last Line to Display on a Separate Page)</w:t>
        </w:r>
        <w:r>
          <w:rPr>
            <w:noProof/>
            <w:webHidden/>
          </w:rPr>
          <w:tab/>
        </w:r>
        <w:r>
          <w:rPr>
            <w:noProof/>
            <w:webHidden/>
          </w:rPr>
          <w:fldChar w:fldCharType="begin"/>
        </w:r>
        <w:r>
          <w:rPr>
            <w:noProof/>
            <w:webHidden/>
          </w:rPr>
          <w:instrText xml:space="preserve"> PAGEREF _Toc69877849 \h </w:instrText>
        </w:r>
        <w:r>
          <w:rPr>
            <w:noProof/>
            <w:webHidden/>
          </w:rPr>
        </w:r>
        <w:r>
          <w:rPr>
            <w:noProof/>
            <w:webHidden/>
          </w:rPr>
          <w:fldChar w:fldCharType="separate"/>
        </w:r>
        <w:r>
          <w:rPr>
            <w:noProof/>
            <w:webHidden/>
          </w:rPr>
          <w:t>70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50" w:history="1">
        <w:r w:rsidRPr="00CC53E5">
          <w:rPr>
            <w:rStyle w:val="Hyperlink"/>
            <w:noProof/>
          </w:rPr>
          <w:t>2.1.67</w:t>
        </w:r>
        <w:r>
          <w:rPr>
            <w:rFonts w:asciiTheme="minorHAnsi" w:eastAsiaTheme="minorEastAsia" w:hAnsiTheme="minorHAnsi" w:cstheme="minorBidi"/>
            <w:noProof/>
            <w:sz w:val="22"/>
            <w:szCs w:val="22"/>
          </w:rPr>
          <w:tab/>
        </w:r>
        <w:r w:rsidRPr="00CC53E5">
          <w:rPr>
            <w:rStyle w:val="Hyperlink"/>
            <w:noProof/>
          </w:rPr>
          <w:t>Part 1 Section 17.3.1.45, wordWrap (Allow Line Breaking At Character Level)</w:t>
        </w:r>
        <w:r>
          <w:rPr>
            <w:noProof/>
            <w:webHidden/>
          </w:rPr>
          <w:tab/>
        </w:r>
        <w:r>
          <w:rPr>
            <w:noProof/>
            <w:webHidden/>
          </w:rPr>
          <w:fldChar w:fldCharType="begin"/>
        </w:r>
        <w:r>
          <w:rPr>
            <w:noProof/>
            <w:webHidden/>
          </w:rPr>
          <w:instrText xml:space="preserve"> PAGEREF _Toc69877850 \h </w:instrText>
        </w:r>
        <w:r>
          <w:rPr>
            <w:noProof/>
            <w:webHidden/>
          </w:rPr>
        </w:r>
        <w:r>
          <w:rPr>
            <w:noProof/>
            <w:webHidden/>
          </w:rPr>
          <w:fldChar w:fldCharType="separate"/>
        </w:r>
        <w:r>
          <w:rPr>
            <w:noProof/>
            <w:webHidden/>
          </w:rPr>
          <w:t>70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51" w:history="1">
        <w:r w:rsidRPr="00CC53E5">
          <w:rPr>
            <w:rStyle w:val="Hyperlink"/>
            <w:noProof/>
          </w:rPr>
          <w:t>2.1.68</w:t>
        </w:r>
        <w:r>
          <w:rPr>
            <w:rFonts w:asciiTheme="minorHAnsi" w:eastAsiaTheme="minorEastAsia" w:hAnsiTheme="minorHAnsi" w:cstheme="minorBidi"/>
            <w:noProof/>
            <w:sz w:val="22"/>
            <w:szCs w:val="22"/>
          </w:rPr>
          <w:tab/>
        </w:r>
        <w:r w:rsidRPr="00CC53E5">
          <w:rPr>
            <w:rStyle w:val="Hyperlink"/>
            <w:noProof/>
          </w:rPr>
          <w:t>Part 1 Section 17.3.2.1, b (Bold)</w:t>
        </w:r>
        <w:r>
          <w:rPr>
            <w:noProof/>
            <w:webHidden/>
          </w:rPr>
          <w:tab/>
        </w:r>
        <w:r>
          <w:rPr>
            <w:noProof/>
            <w:webHidden/>
          </w:rPr>
          <w:fldChar w:fldCharType="begin"/>
        </w:r>
        <w:r>
          <w:rPr>
            <w:noProof/>
            <w:webHidden/>
          </w:rPr>
          <w:instrText xml:space="preserve"> PAGEREF _Toc69877851 \h </w:instrText>
        </w:r>
        <w:r>
          <w:rPr>
            <w:noProof/>
            <w:webHidden/>
          </w:rPr>
        </w:r>
        <w:r>
          <w:rPr>
            <w:noProof/>
            <w:webHidden/>
          </w:rPr>
          <w:fldChar w:fldCharType="separate"/>
        </w:r>
        <w:r>
          <w:rPr>
            <w:noProof/>
            <w:webHidden/>
          </w:rPr>
          <w:t>71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52" w:history="1">
        <w:r w:rsidRPr="00CC53E5">
          <w:rPr>
            <w:rStyle w:val="Hyperlink"/>
            <w:noProof/>
          </w:rPr>
          <w:t>2.1.69</w:t>
        </w:r>
        <w:r>
          <w:rPr>
            <w:rFonts w:asciiTheme="minorHAnsi" w:eastAsiaTheme="minorEastAsia" w:hAnsiTheme="minorHAnsi" w:cstheme="minorBidi"/>
            <w:noProof/>
            <w:sz w:val="22"/>
            <w:szCs w:val="22"/>
          </w:rPr>
          <w:tab/>
        </w:r>
        <w:r w:rsidRPr="00CC53E5">
          <w:rPr>
            <w:rStyle w:val="Hyperlink"/>
            <w:noProof/>
          </w:rPr>
          <w:t>Part 1 Section 17.3.2.2, bCs (Complex Script Bold)</w:t>
        </w:r>
        <w:r>
          <w:rPr>
            <w:noProof/>
            <w:webHidden/>
          </w:rPr>
          <w:tab/>
        </w:r>
        <w:r>
          <w:rPr>
            <w:noProof/>
            <w:webHidden/>
          </w:rPr>
          <w:fldChar w:fldCharType="begin"/>
        </w:r>
        <w:r>
          <w:rPr>
            <w:noProof/>
            <w:webHidden/>
          </w:rPr>
          <w:instrText xml:space="preserve"> PAGEREF _Toc69877852 \h </w:instrText>
        </w:r>
        <w:r>
          <w:rPr>
            <w:noProof/>
            <w:webHidden/>
          </w:rPr>
        </w:r>
        <w:r>
          <w:rPr>
            <w:noProof/>
            <w:webHidden/>
          </w:rPr>
          <w:fldChar w:fldCharType="separate"/>
        </w:r>
        <w:r>
          <w:rPr>
            <w:noProof/>
            <w:webHidden/>
          </w:rPr>
          <w:t>71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53" w:history="1">
        <w:r w:rsidRPr="00CC53E5">
          <w:rPr>
            <w:rStyle w:val="Hyperlink"/>
            <w:noProof/>
          </w:rPr>
          <w:t>2.1.70</w:t>
        </w:r>
        <w:r>
          <w:rPr>
            <w:rFonts w:asciiTheme="minorHAnsi" w:eastAsiaTheme="minorEastAsia" w:hAnsiTheme="minorHAnsi" w:cstheme="minorBidi"/>
            <w:noProof/>
            <w:sz w:val="22"/>
            <w:szCs w:val="22"/>
          </w:rPr>
          <w:tab/>
        </w:r>
        <w:r w:rsidRPr="00CC53E5">
          <w:rPr>
            <w:rStyle w:val="Hyperlink"/>
            <w:noProof/>
          </w:rPr>
          <w:t>Part 1 Section 17.3.2.3, bdo (Bidirectional Override)</w:t>
        </w:r>
        <w:r>
          <w:rPr>
            <w:noProof/>
            <w:webHidden/>
          </w:rPr>
          <w:tab/>
        </w:r>
        <w:r>
          <w:rPr>
            <w:noProof/>
            <w:webHidden/>
          </w:rPr>
          <w:fldChar w:fldCharType="begin"/>
        </w:r>
        <w:r>
          <w:rPr>
            <w:noProof/>
            <w:webHidden/>
          </w:rPr>
          <w:instrText xml:space="preserve"> PAGEREF _Toc69877853 \h </w:instrText>
        </w:r>
        <w:r>
          <w:rPr>
            <w:noProof/>
            <w:webHidden/>
          </w:rPr>
        </w:r>
        <w:r>
          <w:rPr>
            <w:noProof/>
            <w:webHidden/>
          </w:rPr>
          <w:fldChar w:fldCharType="separate"/>
        </w:r>
        <w:r>
          <w:rPr>
            <w:noProof/>
            <w:webHidden/>
          </w:rPr>
          <w:t>71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54" w:history="1">
        <w:r w:rsidRPr="00CC53E5">
          <w:rPr>
            <w:rStyle w:val="Hyperlink"/>
            <w:noProof/>
          </w:rPr>
          <w:t>2.1.71</w:t>
        </w:r>
        <w:r>
          <w:rPr>
            <w:rFonts w:asciiTheme="minorHAnsi" w:eastAsiaTheme="minorEastAsia" w:hAnsiTheme="minorHAnsi" w:cstheme="minorBidi"/>
            <w:noProof/>
            <w:sz w:val="22"/>
            <w:szCs w:val="22"/>
          </w:rPr>
          <w:tab/>
        </w:r>
        <w:r w:rsidRPr="00CC53E5">
          <w:rPr>
            <w:rStyle w:val="Hyperlink"/>
            <w:noProof/>
          </w:rPr>
          <w:t>Part 1 Section 17.3.2.4, bdr (Text Border)</w:t>
        </w:r>
        <w:r>
          <w:rPr>
            <w:noProof/>
            <w:webHidden/>
          </w:rPr>
          <w:tab/>
        </w:r>
        <w:r>
          <w:rPr>
            <w:noProof/>
            <w:webHidden/>
          </w:rPr>
          <w:fldChar w:fldCharType="begin"/>
        </w:r>
        <w:r>
          <w:rPr>
            <w:noProof/>
            <w:webHidden/>
          </w:rPr>
          <w:instrText xml:space="preserve"> PAGEREF _Toc69877854 \h </w:instrText>
        </w:r>
        <w:r>
          <w:rPr>
            <w:noProof/>
            <w:webHidden/>
          </w:rPr>
        </w:r>
        <w:r>
          <w:rPr>
            <w:noProof/>
            <w:webHidden/>
          </w:rPr>
          <w:fldChar w:fldCharType="separate"/>
        </w:r>
        <w:r>
          <w:rPr>
            <w:noProof/>
            <w:webHidden/>
          </w:rPr>
          <w:t>71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55" w:history="1">
        <w:r w:rsidRPr="00CC53E5">
          <w:rPr>
            <w:rStyle w:val="Hyperlink"/>
            <w:noProof/>
          </w:rPr>
          <w:t>2.1.72</w:t>
        </w:r>
        <w:r>
          <w:rPr>
            <w:rFonts w:asciiTheme="minorHAnsi" w:eastAsiaTheme="minorEastAsia" w:hAnsiTheme="minorHAnsi" w:cstheme="minorBidi"/>
            <w:noProof/>
            <w:sz w:val="22"/>
            <w:szCs w:val="22"/>
          </w:rPr>
          <w:tab/>
        </w:r>
        <w:r w:rsidRPr="00CC53E5">
          <w:rPr>
            <w:rStyle w:val="Hyperlink"/>
            <w:noProof/>
          </w:rPr>
          <w:t>Part 1 Section 17.3.2.6, color (Run Content Color)</w:t>
        </w:r>
        <w:r>
          <w:rPr>
            <w:noProof/>
            <w:webHidden/>
          </w:rPr>
          <w:tab/>
        </w:r>
        <w:r>
          <w:rPr>
            <w:noProof/>
            <w:webHidden/>
          </w:rPr>
          <w:fldChar w:fldCharType="begin"/>
        </w:r>
        <w:r>
          <w:rPr>
            <w:noProof/>
            <w:webHidden/>
          </w:rPr>
          <w:instrText xml:space="preserve"> PAGEREF _Toc69877855 \h </w:instrText>
        </w:r>
        <w:r>
          <w:rPr>
            <w:noProof/>
            <w:webHidden/>
          </w:rPr>
        </w:r>
        <w:r>
          <w:rPr>
            <w:noProof/>
            <w:webHidden/>
          </w:rPr>
          <w:fldChar w:fldCharType="separate"/>
        </w:r>
        <w:r>
          <w:rPr>
            <w:noProof/>
            <w:webHidden/>
          </w:rPr>
          <w:t>71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56" w:history="1">
        <w:r w:rsidRPr="00CC53E5">
          <w:rPr>
            <w:rStyle w:val="Hyperlink"/>
            <w:noProof/>
          </w:rPr>
          <w:t>2.1.73</w:t>
        </w:r>
        <w:r>
          <w:rPr>
            <w:rFonts w:asciiTheme="minorHAnsi" w:eastAsiaTheme="minorEastAsia" w:hAnsiTheme="minorHAnsi" w:cstheme="minorBidi"/>
            <w:noProof/>
            <w:sz w:val="22"/>
            <w:szCs w:val="22"/>
          </w:rPr>
          <w:tab/>
        </w:r>
        <w:r w:rsidRPr="00CC53E5">
          <w:rPr>
            <w:rStyle w:val="Hyperlink"/>
            <w:noProof/>
          </w:rPr>
          <w:t>Part 1 Section 17.3.2.7, cs (Use Complex Script Formatting on Run)</w:t>
        </w:r>
        <w:r>
          <w:rPr>
            <w:noProof/>
            <w:webHidden/>
          </w:rPr>
          <w:tab/>
        </w:r>
        <w:r>
          <w:rPr>
            <w:noProof/>
            <w:webHidden/>
          </w:rPr>
          <w:fldChar w:fldCharType="begin"/>
        </w:r>
        <w:r>
          <w:rPr>
            <w:noProof/>
            <w:webHidden/>
          </w:rPr>
          <w:instrText xml:space="preserve"> PAGEREF _Toc69877856 \h </w:instrText>
        </w:r>
        <w:r>
          <w:rPr>
            <w:noProof/>
            <w:webHidden/>
          </w:rPr>
        </w:r>
        <w:r>
          <w:rPr>
            <w:noProof/>
            <w:webHidden/>
          </w:rPr>
          <w:fldChar w:fldCharType="separate"/>
        </w:r>
        <w:r>
          <w:rPr>
            <w:noProof/>
            <w:webHidden/>
          </w:rPr>
          <w:t>73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57" w:history="1">
        <w:r w:rsidRPr="00CC53E5">
          <w:rPr>
            <w:rStyle w:val="Hyperlink"/>
            <w:noProof/>
          </w:rPr>
          <w:t>2.1.74</w:t>
        </w:r>
        <w:r>
          <w:rPr>
            <w:rFonts w:asciiTheme="minorHAnsi" w:eastAsiaTheme="minorEastAsia" w:hAnsiTheme="minorHAnsi" w:cstheme="minorBidi"/>
            <w:noProof/>
            <w:sz w:val="22"/>
            <w:szCs w:val="22"/>
          </w:rPr>
          <w:tab/>
        </w:r>
        <w:r w:rsidRPr="00CC53E5">
          <w:rPr>
            <w:rStyle w:val="Hyperlink"/>
            <w:noProof/>
          </w:rPr>
          <w:t>Part 1 Section 17.3.2.8, dir (Bidirectional Embedding Level)</w:t>
        </w:r>
        <w:r>
          <w:rPr>
            <w:noProof/>
            <w:webHidden/>
          </w:rPr>
          <w:tab/>
        </w:r>
        <w:r>
          <w:rPr>
            <w:noProof/>
            <w:webHidden/>
          </w:rPr>
          <w:fldChar w:fldCharType="begin"/>
        </w:r>
        <w:r>
          <w:rPr>
            <w:noProof/>
            <w:webHidden/>
          </w:rPr>
          <w:instrText xml:space="preserve"> PAGEREF _Toc69877857 \h </w:instrText>
        </w:r>
        <w:r>
          <w:rPr>
            <w:noProof/>
            <w:webHidden/>
          </w:rPr>
        </w:r>
        <w:r>
          <w:rPr>
            <w:noProof/>
            <w:webHidden/>
          </w:rPr>
          <w:fldChar w:fldCharType="separate"/>
        </w:r>
        <w:r>
          <w:rPr>
            <w:noProof/>
            <w:webHidden/>
          </w:rPr>
          <w:t>73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58" w:history="1">
        <w:r w:rsidRPr="00CC53E5">
          <w:rPr>
            <w:rStyle w:val="Hyperlink"/>
            <w:noProof/>
          </w:rPr>
          <w:t>2.1.75</w:t>
        </w:r>
        <w:r>
          <w:rPr>
            <w:rFonts w:asciiTheme="minorHAnsi" w:eastAsiaTheme="minorEastAsia" w:hAnsiTheme="minorHAnsi" w:cstheme="minorBidi"/>
            <w:noProof/>
            <w:sz w:val="22"/>
            <w:szCs w:val="22"/>
          </w:rPr>
          <w:tab/>
        </w:r>
        <w:r w:rsidRPr="00CC53E5">
          <w:rPr>
            <w:rStyle w:val="Hyperlink"/>
            <w:noProof/>
          </w:rPr>
          <w:t>Part 1 Section 17.3.2.10, eastAsianLayout (East Asian Typography Settings)</w:t>
        </w:r>
        <w:r>
          <w:rPr>
            <w:noProof/>
            <w:webHidden/>
          </w:rPr>
          <w:tab/>
        </w:r>
        <w:r>
          <w:rPr>
            <w:noProof/>
            <w:webHidden/>
          </w:rPr>
          <w:fldChar w:fldCharType="begin"/>
        </w:r>
        <w:r>
          <w:rPr>
            <w:noProof/>
            <w:webHidden/>
          </w:rPr>
          <w:instrText xml:space="preserve"> PAGEREF _Toc69877858 \h </w:instrText>
        </w:r>
        <w:r>
          <w:rPr>
            <w:noProof/>
            <w:webHidden/>
          </w:rPr>
        </w:r>
        <w:r>
          <w:rPr>
            <w:noProof/>
            <w:webHidden/>
          </w:rPr>
          <w:fldChar w:fldCharType="separate"/>
        </w:r>
        <w:r>
          <w:rPr>
            <w:noProof/>
            <w:webHidden/>
          </w:rPr>
          <w:t>73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59" w:history="1">
        <w:r w:rsidRPr="00CC53E5">
          <w:rPr>
            <w:rStyle w:val="Hyperlink"/>
            <w:noProof/>
          </w:rPr>
          <w:t>2.1.76</w:t>
        </w:r>
        <w:r>
          <w:rPr>
            <w:rFonts w:asciiTheme="minorHAnsi" w:eastAsiaTheme="minorEastAsia" w:hAnsiTheme="minorHAnsi" w:cstheme="minorBidi"/>
            <w:noProof/>
            <w:sz w:val="22"/>
            <w:szCs w:val="22"/>
          </w:rPr>
          <w:tab/>
        </w:r>
        <w:r w:rsidRPr="00CC53E5">
          <w:rPr>
            <w:rStyle w:val="Hyperlink"/>
            <w:noProof/>
          </w:rPr>
          <w:t>Part 1 Section 17.3.2.11, effect (Animated Text Effect)</w:t>
        </w:r>
        <w:r>
          <w:rPr>
            <w:noProof/>
            <w:webHidden/>
          </w:rPr>
          <w:tab/>
        </w:r>
        <w:r>
          <w:rPr>
            <w:noProof/>
            <w:webHidden/>
          </w:rPr>
          <w:fldChar w:fldCharType="begin"/>
        </w:r>
        <w:r>
          <w:rPr>
            <w:noProof/>
            <w:webHidden/>
          </w:rPr>
          <w:instrText xml:space="preserve"> PAGEREF _Toc69877859 \h </w:instrText>
        </w:r>
        <w:r>
          <w:rPr>
            <w:noProof/>
            <w:webHidden/>
          </w:rPr>
        </w:r>
        <w:r>
          <w:rPr>
            <w:noProof/>
            <w:webHidden/>
          </w:rPr>
          <w:fldChar w:fldCharType="separate"/>
        </w:r>
        <w:r>
          <w:rPr>
            <w:noProof/>
            <w:webHidden/>
          </w:rPr>
          <w:t>74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60" w:history="1">
        <w:r w:rsidRPr="00CC53E5">
          <w:rPr>
            <w:rStyle w:val="Hyperlink"/>
            <w:noProof/>
          </w:rPr>
          <w:t>2.1.77</w:t>
        </w:r>
        <w:r>
          <w:rPr>
            <w:rFonts w:asciiTheme="minorHAnsi" w:eastAsiaTheme="minorEastAsia" w:hAnsiTheme="minorHAnsi" w:cstheme="minorBidi"/>
            <w:noProof/>
            <w:sz w:val="22"/>
            <w:szCs w:val="22"/>
          </w:rPr>
          <w:tab/>
        </w:r>
        <w:r w:rsidRPr="00CC53E5">
          <w:rPr>
            <w:rStyle w:val="Hyperlink"/>
            <w:noProof/>
          </w:rPr>
          <w:t>Part 1 Section 17.3.2.13, emboss (Embossing)</w:t>
        </w:r>
        <w:r>
          <w:rPr>
            <w:noProof/>
            <w:webHidden/>
          </w:rPr>
          <w:tab/>
        </w:r>
        <w:r>
          <w:rPr>
            <w:noProof/>
            <w:webHidden/>
          </w:rPr>
          <w:fldChar w:fldCharType="begin"/>
        </w:r>
        <w:r>
          <w:rPr>
            <w:noProof/>
            <w:webHidden/>
          </w:rPr>
          <w:instrText xml:space="preserve"> PAGEREF _Toc69877860 \h </w:instrText>
        </w:r>
        <w:r>
          <w:rPr>
            <w:noProof/>
            <w:webHidden/>
          </w:rPr>
        </w:r>
        <w:r>
          <w:rPr>
            <w:noProof/>
            <w:webHidden/>
          </w:rPr>
          <w:fldChar w:fldCharType="separate"/>
        </w:r>
        <w:r>
          <w:rPr>
            <w:noProof/>
            <w:webHidden/>
          </w:rPr>
          <w:t>74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61" w:history="1">
        <w:r w:rsidRPr="00CC53E5">
          <w:rPr>
            <w:rStyle w:val="Hyperlink"/>
            <w:noProof/>
          </w:rPr>
          <w:t>2.1.78</w:t>
        </w:r>
        <w:r>
          <w:rPr>
            <w:rFonts w:asciiTheme="minorHAnsi" w:eastAsiaTheme="minorEastAsia" w:hAnsiTheme="minorHAnsi" w:cstheme="minorBidi"/>
            <w:noProof/>
            <w:sz w:val="22"/>
            <w:szCs w:val="22"/>
          </w:rPr>
          <w:tab/>
        </w:r>
        <w:r w:rsidRPr="00CC53E5">
          <w:rPr>
            <w:rStyle w:val="Hyperlink"/>
            <w:noProof/>
          </w:rPr>
          <w:t>Part 1 Section 17.3.2.14, fitText (Manual Run Width)</w:t>
        </w:r>
        <w:r>
          <w:rPr>
            <w:noProof/>
            <w:webHidden/>
          </w:rPr>
          <w:tab/>
        </w:r>
        <w:r>
          <w:rPr>
            <w:noProof/>
            <w:webHidden/>
          </w:rPr>
          <w:fldChar w:fldCharType="begin"/>
        </w:r>
        <w:r>
          <w:rPr>
            <w:noProof/>
            <w:webHidden/>
          </w:rPr>
          <w:instrText xml:space="preserve"> PAGEREF _Toc69877861 \h </w:instrText>
        </w:r>
        <w:r>
          <w:rPr>
            <w:noProof/>
            <w:webHidden/>
          </w:rPr>
        </w:r>
        <w:r>
          <w:rPr>
            <w:noProof/>
            <w:webHidden/>
          </w:rPr>
          <w:fldChar w:fldCharType="separate"/>
        </w:r>
        <w:r>
          <w:rPr>
            <w:noProof/>
            <w:webHidden/>
          </w:rPr>
          <w:t>74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62" w:history="1">
        <w:r w:rsidRPr="00CC53E5">
          <w:rPr>
            <w:rStyle w:val="Hyperlink"/>
            <w:noProof/>
          </w:rPr>
          <w:t>2.1.79</w:t>
        </w:r>
        <w:r>
          <w:rPr>
            <w:rFonts w:asciiTheme="minorHAnsi" w:eastAsiaTheme="minorEastAsia" w:hAnsiTheme="minorHAnsi" w:cstheme="minorBidi"/>
            <w:noProof/>
            <w:sz w:val="22"/>
            <w:szCs w:val="22"/>
          </w:rPr>
          <w:tab/>
        </w:r>
        <w:r w:rsidRPr="00CC53E5">
          <w:rPr>
            <w:rStyle w:val="Hyperlink"/>
            <w:noProof/>
          </w:rPr>
          <w:t>Part 1 Section 17.3.2.15, highlight (Text Highlighting)</w:t>
        </w:r>
        <w:r>
          <w:rPr>
            <w:noProof/>
            <w:webHidden/>
          </w:rPr>
          <w:tab/>
        </w:r>
        <w:r>
          <w:rPr>
            <w:noProof/>
            <w:webHidden/>
          </w:rPr>
          <w:fldChar w:fldCharType="begin"/>
        </w:r>
        <w:r>
          <w:rPr>
            <w:noProof/>
            <w:webHidden/>
          </w:rPr>
          <w:instrText xml:space="preserve"> PAGEREF _Toc69877862 \h </w:instrText>
        </w:r>
        <w:r>
          <w:rPr>
            <w:noProof/>
            <w:webHidden/>
          </w:rPr>
        </w:r>
        <w:r>
          <w:rPr>
            <w:noProof/>
            <w:webHidden/>
          </w:rPr>
          <w:fldChar w:fldCharType="separate"/>
        </w:r>
        <w:r>
          <w:rPr>
            <w:noProof/>
            <w:webHidden/>
          </w:rPr>
          <w:t>74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63" w:history="1">
        <w:r w:rsidRPr="00CC53E5">
          <w:rPr>
            <w:rStyle w:val="Hyperlink"/>
            <w:noProof/>
          </w:rPr>
          <w:t>2.1.80</w:t>
        </w:r>
        <w:r>
          <w:rPr>
            <w:rFonts w:asciiTheme="minorHAnsi" w:eastAsiaTheme="minorEastAsia" w:hAnsiTheme="minorHAnsi" w:cstheme="minorBidi"/>
            <w:noProof/>
            <w:sz w:val="22"/>
            <w:szCs w:val="22"/>
          </w:rPr>
          <w:tab/>
        </w:r>
        <w:r w:rsidRPr="00CC53E5">
          <w:rPr>
            <w:rStyle w:val="Hyperlink"/>
            <w:noProof/>
          </w:rPr>
          <w:t>Part 1 Section 17.3.2.16, i (Italics)</w:t>
        </w:r>
        <w:r>
          <w:rPr>
            <w:noProof/>
            <w:webHidden/>
          </w:rPr>
          <w:tab/>
        </w:r>
        <w:r>
          <w:rPr>
            <w:noProof/>
            <w:webHidden/>
          </w:rPr>
          <w:fldChar w:fldCharType="begin"/>
        </w:r>
        <w:r>
          <w:rPr>
            <w:noProof/>
            <w:webHidden/>
          </w:rPr>
          <w:instrText xml:space="preserve"> PAGEREF _Toc69877863 \h </w:instrText>
        </w:r>
        <w:r>
          <w:rPr>
            <w:noProof/>
            <w:webHidden/>
          </w:rPr>
        </w:r>
        <w:r>
          <w:rPr>
            <w:noProof/>
            <w:webHidden/>
          </w:rPr>
          <w:fldChar w:fldCharType="separate"/>
        </w:r>
        <w:r>
          <w:rPr>
            <w:noProof/>
            <w:webHidden/>
          </w:rPr>
          <w:t>74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64" w:history="1">
        <w:r w:rsidRPr="00CC53E5">
          <w:rPr>
            <w:rStyle w:val="Hyperlink"/>
            <w:noProof/>
          </w:rPr>
          <w:t>2.1.81</w:t>
        </w:r>
        <w:r>
          <w:rPr>
            <w:rFonts w:asciiTheme="minorHAnsi" w:eastAsiaTheme="minorEastAsia" w:hAnsiTheme="minorHAnsi" w:cstheme="minorBidi"/>
            <w:noProof/>
            <w:sz w:val="22"/>
            <w:szCs w:val="22"/>
          </w:rPr>
          <w:tab/>
        </w:r>
        <w:r w:rsidRPr="00CC53E5">
          <w:rPr>
            <w:rStyle w:val="Hyperlink"/>
            <w:noProof/>
          </w:rPr>
          <w:t>Part 1 Section 17.3.2.17, iCs (Complex Script Italics)</w:t>
        </w:r>
        <w:r>
          <w:rPr>
            <w:noProof/>
            <w:webHidden/>
          </w:rPr>
          <w:tab/>
        </w:r>
        <w:r>
          <w:rPr>
            <w:noProof/>
            <w:webHidden/>
          </w:rPr>
          <w:fldChar w:fldCharType="begin"/>
        </w:r>
        <w:r>
          <w:rPr>
            <w:noProof/>
            <w:webHidden/>
          </w:rPr>
          <w:instrText xml:space="preserve"> PAGEREF _Toc69877864 \h </w:instrText>
        </w:r>
        <w:r>
          <w:rPr>
            <w:noProof/>
            <w:webHidden/>
          </w:rPr>
        </w:r>
        <w:r>
          <w:rPr>
            <w:noProof/>
            <w:webHidden/>
          </w:rPr>
          <w:fldChar w:fldCharType="separate"/>
        </w:r>
        <w:r>
          <w:rPr>
            <w:noProof/>
            <w:webHidden/>
          </w:rPr>
          <w:t>75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65" w:history="1">
        <w:r w:rsidRPr="00CC53E5">
          <w:rPr>
            <w:rStyle w:val="Hyperlink"/>
            <w:noProof/>
          </w:rPr>
          <w:t>2.1.82</w:t>
        </w:r>
        <w:r>
          <w:rPr>
            <w:rFonts w:asciiTheme="minorHAnsi" w:eastAsiaTheme="minorEastAsia" w:hAnsiTheme="minorHAnsi" w:cstheme="minorBidi"/>
            <w:noProof/>
            <w:sz w:val="22"/>
            <w:szCs w:val="22"/>
          </w:rPr>
          <w:tab/>
        </w:r>
        <w:r w:rsidRPr="00CC53E5">
          <w:rPr>
            <w:rStyle w:val="Hyperlink"/>
            <w:noProof/>
          </w:rPr>
          <w:t>Part 1 Section 17.3.2.18, imprint (Imprinting)</w:t>
        </w:r>
        <w:r>
          <w:rPr>
            <w:noProof/>
            <w:webHidden/>
          </w:rPr>
          <w:tab/>
        </w:r>
        <w:r>
          <w:rPr>
            <w:noProof/>
            <w:webHidden/>
          </w:rPr>
          <w:fldChar w:fldCharType="begin"/>
        </w:r>
        <w:r>
          <w:rPr>
            <w:noProof/>
            <w:webHidden/>
          </w:rPr>
          <w:instrText xml:space="preserve"> PAGEREF _Toc69877865 \h </w:instrText>
        </w:r>
        <w:r>
          <w:rPr>
            <w:noProof/>
            <w:webHidden/>
          </w:rPr>
        </w:r>
        <w:r>
          <w:rPr>
            <w:noProof/>
            <w:webHidden/>
          </w:rPr>
          <w:fldChar w:fldCharType="separate"/>
        </w:r>
        <w:r>
          <w:rPr>
            <w:noProof/>
            <w:webHidden/>
          </w:rPr>
          <w:t>75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66" w:history="1">
        <w:r w:rsidRPr="00CC53E5">
          <w:rPr>
            <w:rStyle w:val="Hyperlink"/>
            <w:noProof/>
          </w:rPr>
          <w:t>2.1.83</w:t>
        </w:r>
        <w:r>
          <w:rPr>
            <w:rFonts w:asciiTheme="minorHAnsi" w:eastAsiaTheme="minorEastAsia" w:hAnsiTheme="minorHAnsi" w:cstheme="minorBidi"/>
            <w:noProof/>
            <w:sz w:val="22"/>
            <w:szCs w:val="22"/>
          </w:rPr>
          <w:tab/>
        </w:r>
        <w:r w:rsidRPr="00CC53E5">
          <w:rPr>
            <w:rStyle w:val="Hyperlink"/>
            <w:noProof/>
          </w:rPr>
          <w:t>Part 1 Section 17.3.2.19, kern (Font Kerning)</w:t>
        </w:r>
        <w:r>
          <w:rPr>
            <w:noProof/>
            <w:webHidden/>
          </w:rPr>
          <w:tab/>
        </w:r>
        <w:r>
          <w:rPr>
            <w:noProof/>
            <w:webHidden/>
          </w:rPr>
          <w:fldChar w:fldCharType="begin"/>
        </w:r>
        <w:r>
          <w:rPr>
            <w:noProof/>
            <w:webHidden/>
          </w:rPr>
          <w:instrText xml:space="preserve"> PAGEREF _Toc69877866 \h </w:instrText>
        </w:r>
        <w:r>
          <w:rPr>
            <w:noProof/>
            <w:webHidden/>
          </w:rPr>
        </w:r>
        <w:r>
          <w:rPr>
            <w:noProof/>
            <w:webHidden/>
          </w:rPr>
          <w:fldChar w:fldCharType="separate"/>
        </w:r>
        <w:r>
          <w:rPr>
            <w:noProof/>
            <w:webHidden/>
          </w:rPr>
          <w:t>75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67" w:history="1">
        <w:r w:rsidRPr="00CC53E5">
          <w:rPr>
            <w:rStyle w:val="Hyperlink"/>
            <w:noProof/>
          </w:rPr>
          <w:t>2.1.84</w:t>
        </w:r>
        <w:r>
          <w:rPr>
            <w:rFonts w:asciiTheme="minorHAnsi" w:eastAsiaTheme="minorEastAsia" w:hAnsiTheme="minorHAnsi" w:cstheme="minorBidi"/>
            <w:noProof/>
            <w:sz w:val="22"/>
            <w:szCs w:val="22"/>
          </w:rPr>
          <w:tab/>
        </w:r>
        <w:r w:rsidRPr="00CC53E5">
          <w:rPr>
            <w:rStyle w:val="Hyperlink"/>
            <w:noProof/>
          </w:rPr>
          <w:t>Part 1 Section 17.3.2.20, lang (Languages for Run Content)</w:t>
        </w:r>
        <w:r>
          <w:rPr>
            <w:noProof/>
            <w:webHidden/>
          </w:rPr>
          <w:tab/>
        </w:r>
        <w:r>
          <w:rPr>
            <w:noProof/>
            <w:webHidden/>
          </w:rPr>
          <w:fldChar w:fldCharType="begin"/>
        </w:r>
        <w:r>
          <w:rPr>
            <w:noProof/>
            <w:webHidden/>
          </w:rPr>
          <w:instrText xml:space="preserve"> PAGEREF _Toc69877867 \h </w:instrText>
        </w:r>
        <w:r>
          <w:rPr>
            <w:noProof/>
            <w:webHidden/>
          </w:rPr>
        </w:r>
        <w:r>
          <w:rPr>
            <w:noProof/>
            <w:webHidden/>
          </w:rPr>
          <w:fldChar w:fldCharType="separate"/>
        </w:r>
        <w:r>
          <w:rPr>
            <w:noProof/>
            <w:webHidden/>
          </w:rPr>
          <w:t>75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68" w:history="1">
        <w:r w:rsidRPr="00CC53E5">
          <w:rPr>
            <w:rStyle w:val="Hyperlink"/>
            <w:noProof/>
          </w:rPr>
          <w:t>2.1.85</w:t>
        </w:r>
        <w:r>
          <w:rPr>
            <w:rFonts w:asciiTheme="minorHAnsi" w:eastAsiaTheme="minorEastAsia" w:hAnsiTheme="minorHAnsi" w:cstheme="minorBidi"/>
            <w:noProof/>
            <w:sz w:val="22"/>
            <w:szCs w:val="22"/>
          </w:rPr>
          <w:tab/>
        </w:r>
        <w:r w:rsidRPr="00CC53E5">
          <w:rPr>
            <w:rStyle w:val="Hyperlink"/>
            <w:noProof/>
          </w:rPr>
          <w:t>Part 1 Section 17.3.2.21, noProof (Do Not Check Spelling or Grammar)</w:t>
        </w:r>
        <w:r>
          <w:rPr>
            <w:noProof/>
            <w:webHidden/>
          </w:rPr>
          <w:tab/>
        </w:r>
        <w:r>
          <w:rPr>
            <w:noProof/>
            <w:webHidden/>
          </w:rPr>
          <w:fldChar w:fldCharType="begin"/>
        </w:r>
        <w:r>
          <w:rPr>
            <w:noProof/>
            <w:webHidden/>
          </w:rPr>
          <w:instrText xml:space="preserve"> PAGEREF _Toc69877868 \h </w:instrText>
        </w:r>
        <w:r>
          <w:rPr>
            <w:noProof/>
            <w:webHidden/>
          </w:rPr>
        </w:r>
        <w:r>
          <w:rPr>
            <w:noProof/>
            <w:webHidden/>
          </w:rPr>
          <w:fldChar w:fldCharType="separate"/>
        </w:r>
        <w:r>
          <w:rPr>
            <w:noProof/>
            <w:webHidden/>
          </w:rPr>
          <w:t>75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69" w:history="1">
        <w:r w:rsidRPr="00CC53E5">
          <w:rPr>
            <w:rStyle w:val="Hyperlink"/>
            <w:noProof/>
          </w:rPr>
          <w:t>2.1.86</w:t>
        </w:r>
        <w:r>
          <w:rPr>
            <w:rFonts w:asciiTheme="minorHAnsi" w:eastAsiaTheme="minorEastAsia" w:hAnsiTheme="minorHAnsi" w:cstheme="minorBidi"/>
            <w:noProof/>
            <w:sz w:val="22"/>
            <w:szCs w:val="22"/>
          </w:rPr>
          <w:tab/>
        </w:r>
        <w:r w:rsidRPr="00CC53E5">
          <w:rPr>
            <w:rStyle w:val="Hyperlink"/>
            <w:noProof/>
          </w:rPr>
          <w:t>Part 1 Section 17.3.2.22, oMath (Office Open XML Math)</w:t>
        </w:r>
        <w:r>
          <w:rPr>
            <w:noProof/>
            <w:webHidden/>
          </w:rPr>
          <w:tab/>
        </w:r>
        <w:r>
          <w:rPr>
            <w:noProof/>
            <w:webHidden/>
          </w:rPr>
          <w:fldChar w:fldCharType="begin"/>
        </w:r>
        <w:r>
          <w:rPr>
            <w:noProof/>
            <w:webHidden/>
          </w:rPr>
          <w:instrText xml:space="preserve"> PAGEREF _Toc69877869 \h </w:instrText>
        </w:r>
        <w:r>
          <w:rPr>
            <w:noProof/>
            <w:webHidden/>
          </w:rPr>
        </w:r>
        <w:r>
          <w:rPr>
            <w:noProof/>
            <w:webHidden/>
          </w:rPr>
          <w:fldChar w:fldCharType="separate"/>
        </w:r>
        <w:r>
          <w:rPr>
            <w:noProof/>
            <w:webHidden/>
          </w:rPr>
          <w:t>75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70" w:history="1">
        <w:r w:rsidRPr="00CC53E5">
          <w:rPr>
            <w:rStyle w:val="Hyperlink"/>
            <w:noProof/>
          </w:rPr>
          <w:t>2.1.87</w:t>
        </w:r>
        <w:r>
          <w:rPr>
            <w:rFonts w:asciiTheme="minorHAnsi" w:eastAsiaTheme="minorEastAsia" w:hAnsiTheme="minorHAnsi" w:cstheme="minorBidi"/>
            <w:noProof/>
            <w:sz w:val="22"/>
            <w:szCs w:val="22"/>
          </w:rPr>
          <w:tab/>
        </w:r>
        <w:r w:rsidRPr="00CC53E5">
          <w:rPr>
            <w:rStyle w:val="Hyperlink"/>
            <w:noProof/>
          </w:rPr>
          <w:t>Part 1 Section 17.3.2.25, r (Text Run)</w:t>
        </w:r>
        <w:r>
          <w:rPr>
            <w:noProof/>
            <w:webHidden/>
          </w:rPr>
          <w:tab/>
        </w:r>
        <w:r>
          <w:rPr>
            <w:noProof/>
            <w:webHidden/>
          </w:rPr>
          <w:fldChar w:fldCharType="begin"/>
        </w:r>
        <w:r>
          <w:rPr>
            <w:noProof/>
            <w:webHidden/>
          </w:rPr>
          <w:instrText xml:space="preserve"> PAGEREF _Toc69877870 \h </w:instrText>
        </w:r>
        <w:r>
          <w:rPr>
            <w:noProof/>
            <w:webHidden/>
          </w:rPr>
        </w:r>
        <w:r>
          <w:rPr>
            <w:noProof/>
            <w:webHidden/>
          </w:rPr>
          <w:fldChar w:fldCharType="separate"/>
        </w:r>
        <w:r>
          <w:rPr>
            <w:noProof/>
            <w:webHidden/>
          </w:rPr>
          <w:t>75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71" w:history="1">
        <w:r w:rsidRPr="00CC53E5">
          <w:rPr>
            <w:rStyle w:val="Hyperlink"/>
            <w:noProof/>
          </w:rPr>
          <w:t>2.1.88</w:t>
        </w:r>
        <w:r>
          <w:rPr>
            <w:rFonts w:asciiTheme="minorHAnsi" w:eastAsiaTheme="minorEastAsia" w:hAnsiTheme="minorHAnsi" w:cstheme="minorBidi"/>
            <w:noProof/>
            <w:sz w:val="22"/>
            <w:szCs w:val="22"/>
          </w:rPr>
          <w:tab/>
        </w:r>
        <w:r w:rsidRPr="00CC53E5">
          <w:rPr>
            <w:rStyle w:val="Hyperlink"/>
            <w:noProof/>
          </w:rPr>
          <w:t>Part 1 Section 17.3.2.26, rFonts (Run Fonts)</w:t>
        </w:r>
        <w:r>
          <w:rPr>
            <w:noProof/>
            <w:webHidden/>
          </w:rPr>
          <w:tab/>
        </w:r>
        <w:r>
          <w:rPr>
            <w:noProof/>
            <w:webHidden/>
          </w:rPr>
          <w:fldChar w:fldCharType="begin"/>
        </w:r>
        <w:r>
          <w:rPr>
            <w:noProof/>
            <w:webHidden/>
          </w:rPr>
          <w:instrText xml:space="preserve"> PAGEREF _Toc69877871 \h </w:instrText>
        </w:r>
        <w:r>
          <w:rPr>
            <w:noProof/>
            <w:webHidden/>
          </w:rPr>
        </w:r>
        <w:r>
          <w:rPr>
            <w:noProof/>
            <w:webHidden/>
          </w:rPr>
          <w:fldChar w:fldCharType="separate"/>
        </w:r>
        <w:r>
          <w:rPr>
            <w:noProof/>
            <w:webHidden/>
          </w:rPr>
          <w:t>76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72" w:history="1">
        <w:r w:rsidRPr="00CC53E5">
          <w:rPr>
            <w:rStyle w:val="Hyperlink"/>
            <w:noProof/>
          </w:rPr>
          <w:t>2.1.89</w:t>
        </w:r>
        <w:r>
          <w:rPr>
            <w:rFonts w:asciiTheme="minorHAnsi" w:eastAsiaTheme="minorEastAsia" w:hAnsiTheme="minorHAnsi" w:cstheme="minorBidi"/>
            <w:noProof/>
            <w:sz w:val="22"/>
            <w:szCs w:val="22"/>
          </w:rPr>
          <w:tab/>
        </w:r>
        <w:r w:rsidRPr="00CC53E5">
          <w:rPr>
            <w:rStyle w:val="Hyperlink"/>
            <w:noProof/>
          </w:rPr>
          <w:t>Part 1 Section 17.3.2.27, rPr (Previous Run Properties)</w:t>
        </w:r>
        <w:r>
          <w:rPr>
            <w:noProof/>
            <w:webHidden/>
          </w:rPr>
          <w:tab/>
        </w:r>
        <w:r>
          <w:rPr>
            <w:noProof/>
            <w:webHidden/>
          </w:rPr>
          <w:fldChar w:fldCharType="begin"/>
        </w:r>
        <w:r>
          <w:rPr>
            <w:noProof/>
            <w:webHidden/>
          </w:rPr>
          <w:instrText xml:space="preserve"> PAGEREF _Toc69877872 \h </w:instrText>
        </w:r>
        <w:r>
          <w:rPr>
            <w:noProof/>
            <w:webHidden/>
          </w:rPr>
        </w:r>
        <w:r>
          <w:rPr>
            <w:noProof/>
            <w:webHidden/>
          </w:rPr>
          <w:fldChar w:fldCharType="separate"/>
        </w:r>
        <w:r>
          <w:rPr>
            <w:noProof/>
            <w:webHidden/>
          </w:rPr>
          <w:t>80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73" w:history="1">
        <w:r w:rsidRPr="00CC53E5">
          <w:rPr>
            <w:rStyle w:val="Hyperlink"/>
            <w:noProof/>
          </w:rPr>
          <w:t>2.1.90</w:t>
        </w:r>
        <w:r>
          <w:rPr>
            <w:rFonts w:asciiTheme="minorHAnsi" w:eastAsiaTheme="minorEastAsia" w:hAnsiTheme="minorHAnsi" w:cstheme="minorBidi"/>
            <w:noProof/>
            <w:sz w:val="22"/>
            <w:szCs w:val="22"/>
          </w:rPr>
          <w:tab/>
        </w:r>
        <w:r w:rsidRPr="00CC53E5">
          <w:rPr>
            <w:rStyle w:val="Hyperlink"/>
            <w:noProof/>
          </w:rPr>
          <w:t>Part 1 Section 17.3.2.28, rPr (Run Properties)</w:t>
        </w:r>
        <w:r>
          <w:rPr>
            <w:noProof/>
            <w:webHidden/>
          </w:rPr>
          <w:tab/>
        </w:r>
        <w:r>
          <w:rPr>
            <w:noProof/>
            <w:webHidden/>
          </w:rPr>
          <w:fldChar w:fldCharType="begin"/>
        </w:r>
        <w:r>
          <w:rPr>
            <w:noProof/>
            <w:webHidden/>
          </w:rPr>
          <w:instrText xml:space="preserve"> PAGEREF _Toc69877873 \h </w:instrText>
        </w:r>
        <w:r>
          <w:rPr>
            <w:noProof/>
            <w:webHidden/>
          </w:rPr>
        </w:r>
        <w:r>
          <w:rPr>
            <w:noProof/>
            <w:webHidden/>
          </w:rPr>
          <w:fldChar w:fldCharType="separate"/>
        </w:r>
        <w:r>
          <w:rPr>
            <w:noProof/>
            <w:webHidden/>
          </w:rPr>
          <w:t>80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74" w:history="1">
        <w:r w:rsidRPr="00CC53E5">
          <w:rPr>
            <w:rStyle w:val="Hyperlink"/>
            <w:noProof/>
          </w:rPr>
          <w:t>2.1.91</w:t>
        </w:r>
        <w:r>
          <w:rPr>
            <w:rFonts w:asciiTheme="minorHAnsi" w:eastAsiaTheme="minorEastAsia" w:hAnsiTheme="minorHAnsi" w:cstheme="minorBidi"/>
            <w:noProof/>
            <w:sz w:val="22"/>
            <w:szCs w:val="22"/>
          </w:rPr>
          <w:tab/>
        </w:r>
        <w:r w:rsidRPr="00CC53E5">
          <w:rPr>
            <w:rStyle w:val="Hyperlink"/>
            <w:noProof/>
          </w:rPr>
          <w:t>Part 1 Section 17.3.2.29, rStyle (Referenced Character Style)</w:t>
        </w:r>
        <w:r>
          <w:rPr>
            <w:noProof/>
            <w:webHidden/>
          </w:rPr>
          <w:tab/>
        </w:r>
        <w:r>
          <w:rPr>
            <w:noProof/>
            <w:webHidden/>
          </w:rPr>
          <w:fldChar w:fldCharType="begin"/>
        </w:r>
        <w:r>
          <w:rPr>
            <w:noProof/>
            <w:webHidden/>
          </w:rPr>
          <w:instrText xml:space="preserve"> PAGEREF _Toc69877874 \h </w:instrText>
        </w:r>
        <w:r>
          <w:rPr>
            <w:noProof/>
            <w:webHidden/>
          </w:rPr>
        </w:r>
        <w:r>
          <w:rPr>
            <w:noProof/>
            <w:webHidden/>
          </w:rPr>
          <w:fldChar w:fldCharType="separate"/>
        </w:r>
        <w:r>
          <w:rPr>
            <w:noProof/>
            <w:webHidden/>
          </w:rPr>
          <w:t>80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75" w:history="1">
        <w:r w:rsidRPr="00CC53E5">
          <w:rPr>
            <w:rStyle w:val="Hyperlink"/>
            <w:noProof/>
          </w:rPr>
          <w:t>2.1.92</w:t>
        </w:r>
        <w:r>
          <w:rPr>
            <w:rFonts w:asciiTheme="minorHAnsi" w:eastAsiaTheme="minorEastAsia" w:hAnsiTheme="minorHAnsi" w:cstheme="minorBidi"/>
            <w:noProof/>
            <w:sz w:val="22"/>
            <w:szCs w:val="22"/>
          </w:rPr>
          <w:tab/>
        </w:r>
        <w:r w:rsidRPr="00CC53E5">
          <w:rPr>
            <w:rStyle w:val="Hyperlink"/>
            <w:noProof/>
          </w:rPr>
          <w:t>Part 1 Section 17.3.2.30, rtl (Right To Left Text)</w:t>
        </w:r>
        <w:r>
          <w:rPr>
            <w:noProof/>
            <w:webHidden/>
          </w:rPr>
          <w:tab/>
        </w:r>
        <w:r>
          <w:rPr>
            <w:noProof/>
            <w:webHidden/>
          </w:rPr>
          <w:fldChar w:fldCharType="begin"/>
        </w:r>
        <w:r>
          <w:rPr>
            <w:noProof/>
            <w:webHidden/>
          </w:rPr>
          <w:instrText xml:space="preserve"> PAGEREF _Toc69877875 \h </w:instrText>
        </w:r>
        <w:r>
          <w:rPr>
            <w:noProof/>
            <w:webHidden/>
          </w:rPr>
        </w:r>
        <w:r>
          <w:rPr>
            <w:noProof/>
            <w:webHidden/>
          </w:rPr>
          <w:fldChar w:fldCharType="separate"/>
        </w:r>
        <w:r>
          <w:rPr>
            <w:noProof/>
            <w:webHidden/>
          </w:rPr>
          <w:t>80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76" w:history="1">
        <w:r w:rsidRPr="00CC53E5">
          <w:rPr>
            <w:rStyle w:val="Hyperlink"/>
            <w:noProof/>
          </w:rPr>
          <w:t>2.1.93</w:t>
        </w:r>
        <w:r>
          <w:rPr>
            <w:rFonts w:asciiTheme="minorHAnsi" w:eastAsiaTheme="minorEastAsia" w:hAnsiTheme="minorHAnsi" w:cstheme="minorBidi"/>
            <w:noProof/>
            <w:sz w:val="22"/>
            <w:szCs w:val="22"/>
          </w:rPr>
          <w:tab/>
        </w:r>
        <w:r w:rsidRPr="00CC53E5">
          <w:rPr>
            <w:rStyle w:val="Hyperlink"/>
            <w:noProof/>
          </w:rPr>
          <w:t>Part 1 Section 17.3.2.31, shadow (Shadow)</w:t>
        </w:r>
        <w:r>
          <w:rPr>
            <w:noProof/>
            <w:webHidden/>
          </w:rPr>
          <w:tab/>
        </w:r>
        <w:r>
          <w:rPr>
            <w:noProof/>
            <w:webHidden/>
          </w:rPr>
          <w:fldChar w:fldCharType="begin"/>
        </w:r>
        <w:r>
          <w:rPr>
            <w:noProof/>
            <w:webHidden/>
          </w:rPr>
          <w:instrText xml:space="preserve"> PAGEREF _Toc69877876 \h </w:instrText>
        </w:r>
        <w:r>
          <w:rPr>
            <w:noProof/>
            <w:webHidden/>
          </w:rPr>
        </w:r>
        <w:r>
          <w:rPr>
            <w:noProof/>
            <w:webHidden/>
          </w:rPr>
          <w:fldChar w:fldCharType="separate"/>
        </w:r>
        <w:r>
          <w:rPr>
            <w:noProof/>
            <w:webHidden/>
          </w:rPr>
          <w:t>80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77" w:history="1">
        <w:r w:rsidRPr="00CC53E5">
          <w:rPr>
            <w:rStyle w:val="Hyperlink"/>
            <w:noProof/>
          </w:rPr>
          <w:t>2.1.94</w:t>
        </w:r>
        <w:r>
          <w:rPr>
            <w:rFonts w:asciiTheme="minorHAnsi" w:eastAsiaTheme="minorEastAsia" w:hAnsiTheme="minorHAnsi" w:cstheme="minorBidi"/>
            <w:noProof/>
            <w:sz w:val="22"/>
            <w:szCs w:val="22"/>
          </w:rPr>
          <w:tab/>
        </w:r>
        <w:r w:rsidRPr="00CC53E5">
          <w:rPr>
            <w:rStyle w:val="Hyperlink"/>
            <w:noProof/>
          </w:rPr>
          <w:t>Part 1 Section 17.3.2.32, shd (Run Shading)</w:t>
        </w:r>
        <w:r>
          <w:rPr>
            <w:noProof/>
            <w:webHidden/>
          </w:rPr>
          <w:tab/>
        </w:r>
        <w:r>
          <w:rPr>
            <w:noProof/>
            <w:webHidden/>
          </w:rPr>
          <w:fldChar w:fldCharType="begin"/>
        </w:r>
        <w:r>
          <w:rPr>
            <w:noProof/>
            <w:webHidden/>
          </w:rPr>
          <w:instrText xml:space="preserve"> PAGEREF _Toc69877877 \h </w:instrText>
        </w:r>
        <w:r>
          <w:rPr>
            <w:noProof/>
            <w:webHidden/>
          </w:rPr>
        </w:r>
        <w:r>
          <w:rPr>
            <w:noProof/>
            <w:webHidden/>
          </w:rPr>
          <w:fldChar w:fldCharType="separate"/>
        </w:r>
        <w:r>
          <w:rPr>
            <w:noProof/>
            <w:webHidden/>
          </w:rPr>
          <w:t>80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78" w:history="1">
        <w:r w:rsidRPr="00CC53E5">
          <w:rPr>
            <w:rStyle w:val="Hyperlink"/>
            <w:noProof/>
          </w:rPr>
          <w:t>2.1.95</w:t>
        </w:r>
        <w:r>
          <w:rPr>
            <w:rFonts w:asciiTheme="minorHAnsi" w:eastAsiaTheme="minorEastAsia" w:hAnsiTheme="minorHAnsi" w:cstheme="minorBidi"/>
            <w:noProof/>
            <w:sz w:val="22"/>
            <w:szCs w:val="22"/>
          </w:rPr>
          <w:tab/>
        </w:r>
        <w:r w:rsidRPr="00CC53E5">
          <w:rPr>
            <w:rStyle w:val="Hyperlink"/>
            <w:noProof/>
          </w:rPr>
          <w:t>Part 1 Section 17.3.2.33, smallCaps (Small Caps)</w:t>
        </w:r>
        <w:r>
          <w:rPr>
            <w:noProof/>
            <w:webHidden/>
          </w:rPr>
          <w:tab/>
        </w:r>
        <w:r>
          <w:rPr>
            <w:noProof/>
            <w:webHidden/>
          </w:rPr>
          <w:fldChar w:fldCharType="begin"/>
        </w:r>
        <w:r>
          <w:rPr>
            <w:noProof/>
            <w:webHidden/>
          </w:rPr>
          <w:instrText xml:space="preserve"> PAGEREF _Toc69877878 \h </w:instrText>
        </w:r>
        <w:r>
          <w:rPr>
            <w:noProof/>
            <w:webHidden/>
          </w:rPr>
        </w:r>
        <w:r>
          <w:rPr>
            <w:noProof/>
            <w:webHidden/>
          </w:rPr>
          <w:fldChar w:fldCharType="separate"/>
        </w:r>
        <w:r>
          <w:rPr>
            <w:noProof/>
            <w:webHidden/>
          </w:rPr>
          <w:t>80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79" w:history="1">
        <w:r w:rsidRPr="00CC53E5">
          <w:rPr>
            <w:rStyle w:val="Hyperlink"/>
            <w:noProof/>
          </w:rPr>
          <w:t>2.1.96</w:t>
        </w:r>
        <w:r>
          <w:rPr>
            <w:rFonts w:asciiTheme="minorHAnsi" w:eastAsiaTheme="minorEastAsia" w:hAnsiTheme="minorHAnsi" w:cstheme="minorBidi"/>
            <w:noProof/>
            <w:sz w:val="22"/>
            <w:szCs w:val="22"/>
          </w:rPr>
          <w:tab/>
        </w:r>
        <w:r w:rsidRPr="00CC53E5">
          <w:rPr>
            <w:rStyle w:val="Hyperlink"/>
            <w:noProof/>
          </w:rPr>
          <w:t>Part 1 Section 17.3.2.35, spacing (Character Spacing Adjustment)</w:t>
        </w:r>
        <w:r>
          <w:rPr>
            <w:noProof/>
            <w:webHidden/>
          </w:rPr>
          <w:tab/>
        </w:r>
        <w:r>
          <w:rPr>
            <w:noProof/>
            <w:webHidden/>
          </w:rPr>
          <w:fldChar w:fldCharType="begin"/>
        </w:r>
        <w:r>
          <w:rPr>
            <w:noProof/>
            <w:webHidden/>
          </w:rPr>
          <w:instrText xml:space="preserve"> PAGEREF _Toc69877879 \h </w:instrText>
        </w:r>
        <w:r>
          <w:rPr>
            <w:noProof/>
            <w:webHidden/>
          </w:rPr>
        </w:r>
        <w:r>
          <w:rPr>
            <w:noProof/>
            <w:webHidden/>
          </w:rPr>
          <w:fldChar w:fldCharType="separate"/>
        </w:r>
        <w:r>
          <w:rPr>
            <w:noProof/>
            <w:webHidden/>
          </w:rPr>
          <w:t>81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80" w:history="1">
        <w:r w:rsidRPr="00CC53E5">
          <w:rPr>
            <w:rStyle w:val="Hyperlink"/>
            <w:noProof/>
          </w:rPr>
          <w:t>2.1.97</w:t>
        </w:r>
        <w:r>
          <w:rPr>
            <w:rFonts w:asciiTheme="minorHAnsi" w:eastAsiaTheme="minorEastAsia" w:hAnsiTheme="minorHAnsi" w:cstheme="minorBidi"/>
            <w:noProof/>
            <w:sz w:val="22"/>
            <w:szCs w:val="22"/>
          </w:rPr>
          <w:tab/>
        </w:r>
        <w:r w:rsidRPr="00CC53E5">
          <w:rPr>
            <w:rStyle w:val="Hyperlink"/>
            <w:noProof/>
          </w:rPr>
          <w:t>Part 1 Section 17.3.2.36, specVanish (Paragraph Mark Is Always Hidden)</w:t>
        </w:r>
        <w:r>
          <w:rPr>
            <w:noProof/>
            <w:webHidden/>
          </w:rPr>
          <w:tab/>
        </w:r>
        <w:r>
          <w:rPr>
            <w:noProof/>
            <w:webHidden/>
          </w:rPr>
          <w:fldChar w:fldCharType="begin"/>
        </w:r>
        <w:r>
          <w:rPr>
            <w:noProof/>
            <w:webHidden/>
          </w:rPr>
          <w:instrText xml:space="preserve"> PAGEREF _Toc69877880 \h </w:instrText>
        </w:r>
        <w:r>
          <w:rPr>
            <w:noProof/>
            <w:webHidden/>
          </w:rPr>
        </w:r>
        <w:r>
          <w:rPr>
            <w:noProof/>
            <w:webHidden/>
          </w:rPr>
          <w:fldChar w:fldCharType="separate"/>
        </w:r>
        <w:r>
          <w:rPr>
            <w:noProof/>
            <w:webHidden/>
          </w:rPr>
          <w:t>81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81" w:history="1">
        <w:r w:rsidRPr="00CC53E5">
          <w:rPr>
            <w:rStyle w:val="Hyperlink"/>
            <w:noProof/>
          </w:rPr>
          <w:t>2.1.98</w:t>
        </w:r>
        <w:r>
          <w:rPr>
            <w:rFonts w:asciiTheme="minorHAnsi" w:eastAsiaTheme="minorEastAsia" w:hAnsiTheme="minorHAnsi" w:cstheme="minorBidi"/>
            <w:noProof/>
            <w:sz w:val="22"/>
            <w:szCs w:val="22"/>
          </w:rPr>
          <w:tab/>
        </w:r>
        <w:r w:rsidRPr="00CC53E5">
          <w:rPr>
            <w:rStyle w:val="Hyperlink"/>
            <w:noProof/>
          </w:rPr>
          <w:t>Part 1 Section 17.3.2.38, sz (Non-Complex Script Font Size)</w:t>
        </w:r>
        <w:r>
          <w:rPr>
            <w:noProof/>
            <w:webHidden/>
          </w:rPr>
          <w:tab/>
        </w:r>
        <w:r>
          <w:rPr>
            <w:noProof/>
            <w:webHidden/>
          </w:rPr>
          <w:fldChar w:fldCharType="begin"/>
        </w:r>
        <w:r>
          <w:rPr>
            <w:noProof/>
            <w:webHidden/>
          </w:rPr>
          <w:instrText xml:space="preserve"> PAGEREF _Toc69877881 \h </w:instrText>
        </w:r>
        <w:r>
          <w:rPr>
            <w:noProof/>
            <w:webHidden/>
          </w:rPr>
        </w:r>
        <w:r>
          <w:rPr>
            <w:noProof/>
            <w:webHidden/>
          </w:rPr>
          <w:fldChar w:fldCharType="separate"/>
        </w:r>
        <w:r>
          <w:rPr>
            <w:noProof/>
            <w:webHidden/>
          </w:rPr>
          <w:t>81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82" w:history="1">
        <w:r w:rsidRPr="00CC53E5">
          <w:rPr>
            <w:rStyle w:val="Hyperlink"/>
            <w:noProof/>
          </w:rPr>
          <w:t>2.1.99</w:t>
        </w:r>
        <w:r>
          <w:rPr>
            <w:rFonts w:asciiTheme="minorHAnsi" w:eastAsiaTheme="minorEastAsia" w:hAnsiTheme="minorHAnsi" w:cstheme="minorBidi"/>
            <w:noProof/>
            <w:sz w:val="22"/>
            <w:szCs w:val="22"/>
          </w:rPr>
          <w:tab/>
        </w:r>
        <w:r w:rsidRPr="00CC53E5">
          <w:rPr>
            <w:rStyle w:val="Hyperlink"/>
            <w:noProof/>
          </w:rPr>
          <w:t>Part 1 Section 17.3.2.39, szCs (Complex Script Font Size)</w:t>
        </w:r>
        <w:r>
          <w:rPr>
            <w:noProof/>
            <w:webHidden/>
          </w:rPr>
          <w:tab/>
        </w:r>
        <w:r>
          <w:rPr>
            <w:noProof/>
            <w:webHidden/>
          </w:rPr>
          <w:fldChar w:fldCharType="begin"/>
        </w:r>
        <w:r>
          <w:rPr>
            <w:noProof/>
            <w:webHidden/>
          </w:rPr>
          <w:instrText xml:space="preserve"> PAGEREF _Toc69877882 \h </w:instrText>
        </w:r>
        <w:r>
          <w:rPr>
            <w:noProof/>
            <w:webHidden/>
          </w:rPr>
        </w:r>
        <w:r>
          <w:rPr>
            <w:noProof/>
            <w:webHidden/>
          </w:rPr>
          <w:fldChar w:fldCharType="separate"/>
        </w:r>
        <w:r>
          <w:rPr>
            <w:noProof/>
            <w:webHidden/>
          </w:rPr>
          <w:t>81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83" w:history="1">
        <w:r w:rsidRPr="00CC53E5">
          <w:rPr>
            <w:rStyle w:val="Hyperlink"/>
            <w:noProof/>
          </w:rPr>
          <w:t>2.1.100</w:t>
        </w:r>
        <w:r>
          <w:rPr>
            <w:rFonts w:asciiTheme="minorHAnsi" w:eastAsiaTheme="minorEastAsia" w:hAnsiTheme="minorHAnsi" w:cstheme="minorBidi"/>
            <w:noProof/>
            <w:sz w:val="22"/>
            <w:szCs w:val="22"/>
          </w:rPr>
          <w:tab/>
        </w:r>
        <w:r w:rsidRPr="00CC53E5">
          <w:rPr>
            <w:rStyle w:val="Hyperlink"/>
            <w:noProof/>
          </w:rPr>
          <w:t>Part 1 Section 17.3.2.40, u (Underline)</w:t>
        </w:r>
        <w:r>
          <w:rPr>
            <w:noProof/>
            <w:webHidden/>
          </w:rPr>
          <w:tab/>
        </w:r>
        <w:r>
          <w:rPr>
            <w:noProof/>
            <w:webHidden/>
          </w:rPr>
          <w:fldChar w:fldCharType="begin"/>
        </w:r>
        <w:r>
          <w:rPr>
            <w:noProof/>
            <w:webHidden/>
          </w:rPr>
          <w:instrText xml:space="preserve"> PAGEREF _Toc69877883 \h </w:instrText>
        </w:r>
        <w:r>
          <w:rPr>
            <w:noProof/>
            <w:webHidden/>
          </w:rPr>
        </w:r>
        <w:r>
          <w:rPr>
            <w:noProof/>
            <w:webHidden/>
          </w:rPr>
          <w:fldChar w:fldCharType="separate"/>
        </w:r>
        <w:r>
          <w:rPr>
            <w:noProof/>
            <w:webHidden/>
          </w:rPr>
          <w:t>81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84" w:history="1">
        <w:r w:rsidRPr="00CC53E5">
          <w:rPr>
            <w:rStyle w:val="Hyperlink"/>
            <w:noProof/>
          </w:rPr>
          <w:t>2.1.101</w:t>
        </w:r>
        <w:r>
          <w:rPr>
            <w:rFonts w:asciiTheme="minorHAnsi" w:eastAsiaTheme="minorEastAsia" w:hAnsiTheme="minorHAnsi" w:cstheme="minorBidi"/>
            <w:noProof/>
            <w:sz w:val="22"/>
            <w:szCs w:val="22"/>
          </w:rPr>
          <w:tab/>
        </w:r>
        <w:r w:rsidRPr="00CC53E5">
          <w:rPr>
            <w:rStyle w:val="Hyperlink"/>
            <w:noProof/>
          </w:rPr>
          <w:t>Part 1 Section 17.3.2.44, webHidden (Web Hidden Text)</w:t>
        </w:r>
        <w:r>
          <w:rPr>
            <w:noProof/>
            <w:webHidden/>
          </w:rPr>
          <w:tab/>
        </w:r>
        <w:r>
          <w:rPr>
            <w:noProof/>
            <w:webHidden/>
          </w:rPr>
          <w:fldChar w:fldCharType="begin"/>
        </w:r>
        <w:r>
          <w:rPr>
            <w:noProof/>
            <w:webHidden/>
          </w:rPr>
          <w:instrText xml:space="preserve"> PAGEREF _Toc69877884 \h </w:instrText>
        </w:r>
        <w:r>
          <w:rPr>
            <w:noProof/>
            <w:webHidden/>
          </w:rPr>
        </w:r>
        <w:r>
          <w:rPr>
            <w:noProof/>
            <w:webHidden/>
          </w:rPr>
          <w:fldChar w:fldCharType="separate"/>
        </w:r>
        <w:r>
          <w:rPr>
            <w:noProof/>
            <w:webHidden/>
          </w:rPr>
          <w:t>81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85" w:history="1">
        <w:r w:rsidRPr="00CC53E5">
          <w:rPr>
            <w:rStyle w:val="Hyperlink"/>
            <w:noProof/>
          </w:rPr>
          <w:t>2.1.102</w:t>
        </w:r>
        <w:r>
          <w:rPr>
            <w:rFonts w:asciiTheme="minorHAnsi" w:eastAsiaTheme="minorEastAsia" w:hAnsiTheme="minorHAnsi" w:cstheme="minorBidi"/>
            <w:noProof/>
            <w:sz w:val="22"/>
            <w:szCs w:val="22"/>
          </w:rPr>
          <w:tab/>
        </w:r>
        <w:r w:rsidRPr="00CC53E5">
          <w:rPr>
            <w:rStyle w:val="Hyperlink"/>
            <w:noProof/>
          </w:rPr>
          <w:t>Part 1 Section 17.3.3.2, contentPart (Content Part)</w:t>
        </w:r>
        <w:r>
          <w:rPr>
            <w:noProof/>
            <w:webHidden/>
          </w:rPr>
          <w:tab/>
        </w:r>
        <w:r>
          <w:rPr>
            <w:noProof/>
            <w:webHidden/>
          </w:rPr>
          <w:fldChar w:fldCharType="begin"/>
        </w:r>
        <w:r>
          <w:rPr>
            <w:noProof/>
            <w:webHidden/>
          </w:rPr>
          <w:instrText xml:space="preserve"> PAGEREF _Toc69877885 \h </w:instrText>
        </w:r>
        <w:r>
          <w:rPr>
            <w:noProof/>
            <w:webHidden/>
          </w:rPr>
        </w:r>
        <w:r>
          <w:rPr>
            <w:noProof/>
            <w:webHidden/>
          </w:rPr>
          <w:fldChar w:fldCharType="separate"/>
        </w:r>
        <w:r>
          <w:rPr>
            <w:noProof/>
            <w:webHidden/>
          </w:rPr>
          <w:t>82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86" w:history="1">
        <w:r w:rsidRPr="00CC53E5">
          <w:rPr>
            <w:rStyle w:val="Hyperlink"/>
            <w:noProof/>
          </w:rPr>
          <w:t>2.1.103</w:t>
        </w:r>
        <w:r>
          <w:rPr>
            <w:rFonts w:asciiTheme="minorHAnsi" w:eastAsiaTheme="minorEastAsia" w:hAnsiTheme="minorHAnsi" w:cstheme="minorBidi"/>
            <w:noProof/>
            <w:sz w:val="22"/>
            <w:szCs w:val="22"/>
          </w:rPr>
          <w:tab/>
        </w:r>
        <w:r w:rsidRPr="00CC53E5">
          <w:rPr>
            <w:rStyle w:val="Hyperlink"/>
            <w:noProof/>
          </w:rPr>
          <w:t>Part 1 Section 17.3.3.3, control (Embedded Control)</w:t>
        </w:r>
        <w:r>
          <w:rPr>
            <w:noProof/>
            <w:webHidden/>
          </w:rPr>
          <w:tab/>
        </w:r>
        <w:r>
          <w:rPr>
            <w:noProof/>
            <w:webHidden/>
          </w:rPr>
          <w:fldChar w:fldCharType="begin"/>
        </w:r>
        <w:r>
          <w:rPr>
            <w:noProof/>
            <w:webHidden/>
          </w:rPr>
          <w:instrText xml:space="preserve"> PAGEREF _Toc69877886 \h </w:instrText>
        </w:r>
        <w:r>
          <w:rPr>
            <w:noProof/>
            <w:webHidden/>
          </w:rPr>
        </w:r>
        <w:r>
          <w:rPr>
            <w:noProof/>
            <w:webHidden/>
          </w:rPr>
          <w:fldChar w:fldCharType="separate"/>
        </w:r>
        <w:r>
          <w:rPr>
            <w:noProof/>
            <w:webHidden/>
          </w:rPr>
          <w:t>82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87" w:history="1">
        <w:r w:rsidRPr="00CC53E5">
          <w:rPr>
            <w:rStyle w:val="Hyperlink"/>
            <w:noProof/>
          </w:rPr>
          <w:t>2.1.104</w:t>
        </w:r>
        <w:r>
          <w:rPr>
            <w:rFonts w:asciiTheme="minorHAnsi" w:eastAsiaTheme="minorEastAsia" w:hAnsiTheme="minorHAnsi" w:cstheme="minorBidi"/>
            <w:noProof/>
            <w:sz w:val="22"/>
            <w:szCs w:val="22"/>
          </w:rPr>
          <w:tab/>
        </w:r>
        <w:r w:rsidRPr="00CC53E5">
          <w:rPr>
            <w:rStyle w:val="Hyperlink"/>
            <w:noProof/>
          </w:rPr>
          <w:t>Part 1 Section 17.3.3.9, drawing (DrawingML Object)</w:t>
        </w:r>
        <w:r>
          <w:rPr>
            <w:noProof/>
            <w:webHidden/>
          </w:rPr>
          <w:tab/>
        </w:r>
        <w:r>
          <w:rPr>
            <w:noProof/>
            <w:webHidden/>
          </w:rPr>
          <w:fldChar w:fldCharType="begin"/>
        </w:r>
        <w:r>
          <w:rPr>
            <w:noProof/>
            <w:webHidden/>
          </w:rPr>
          <w:instrText xml:space="preserve"> PAGEREF _Toc69877887 \h </w:instrText>
        </w:r>
        <w:r>
          <w:rPr>
            <w:noProof/>
            <w:webHidden/>
          </w:rPr>
        </w:r>
        <w:r>
          <w:rPr>
            <w:noProof/>
            <w:webHidden/>
          </w:rPr>
          <w:fldChar w:fldCharType="separate"/>
        </w:r>
        <w:r>
          <w:rPr>
            <w:noProof/>
            <w:webHidden/>
          </w:rPr>
          <w:t>82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88" w:history="1">
        <w:r w:rsidRPr="00CC53E5">
          <w:rPr>
            <w:rStyle w:val="Hyperlink"/>
            <w:noProof/>
          </w:rPr>
          <w:t>2.1.105</w:t>
        </w:r>
        <w:r>
          <w:rPr>
            <w:rFonts w:asciiTheme="minorHAnsi" w:eastAsiaTheme="minorEastAsia" w:hAnsiTheme="minorHAnsi" w:cstheme="minorBidi"/>
            <w:noProof/>
            <w:sz w:val="22"/>
            <w:szCs w:val="22"/>
          </w:rPr>
          <w:tab/>
        </w:r>
        <w:r w:rsidRPr="00CC53E5">
          <w:rPr>
            <w:rStyle w:val="Hyperlink"/>
            <w:noProof/>
          </w:rPr>
          <w:t>Part 1 Section 17.3.3.12, hpsRaise (Distance Between Phonetic Guide Text and Phonetic Guide Base Text)</w:t>
        </w:r>
        <w:r>
          <w:rPr>
            <w:noProof/>
            <w:webHidden/>
          </w:rPr>
          <w:tab/>
        </w:r>
        <w:r>
          <w:rPr>
            <w:noProof/>
            <w:webHidden/>
          </w:rPr>
          <w:fldChar w:fldCharType="begin"/>
        </w:r>
        <w:r>
          <w:rPr>
            <w:noProof/>
            <w:webHidden/>
          </w:rPr>
          <w:instrText xml:space="preserve"> PAGEREF _Toc69877888 \h </w:instrText>
        </w:r>
        <w:r>
          <w:rPr>
            <w:noProof/>
            <w:webHidden/>
          </w:rPr>
        </w:r>
        <w:r>
          <w:rPr>
            <w:noProof/>
            <w:webHidden/>
          </w:rPr>
          <w:fldChar w:fldCharType="separate"/>
        </w:r>
        <w:r>
          <w:rPr>
            <w:noProof/>
            <w:webHidden/>
          </w:rPr>
          <w:t>82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89" w:history="1">
        <w:r w:rsidRPr="00CC53E5">
          <w:rPr>
            <w:rStyle w:val="Hyperlink"/>
            <w:noProof/>
          </w:rPr>
          <w:t>2.1.106</w:t>
        </w:r>
        <w:r>
          <w:rPr>
            <w:rFonts w:asciiTheme="minorHAnsi" w:eastAsiaTheme="minorEastAsia" w:hAnsiTheme="minorHAnsi" w:cstheme="minorBidi"/>
            <w:noProof/>
            <w:sz w:val="22"/>
            <w:szCs w:val="22"/>
          </w:rPr>
          <w:tab/>
        </w:r>
        <w:r w:rsidRPr="00CC53E5">
          <w:rPr>
            <w:rStyle w:val="Hyperlink"/>
            <w:noProof/>
          </w:rPr>
          <w:t>Part 1 Section 17.3.3.13, lastRenderedPageBreak (Position of Last Calculated Page Break)</w:t>
        </w:r>
        <w:r>
          <w:rPr>
            <w:noProof/>
            <w:webHidden/>
          </w:rPr>
          <w:tab/>
        </w:r>
        <w:r>
          <w:rPr>
            <w:noProof/>
            <w:webHidden/>
          </w:rPr>
          <w:fldChar w:fldCharType="begin"/>
        </w:r>
        <w:r>
          <w:rPr>
            <w:noProof/>
            <w:webHidden/>
          </w:rPr>
          <w:instrText xml:space="preserve"> PAGEREF _Toc69877889 \h </w:instrText>
        </w:r>
        <w:r>
          <w:rPr>
            <w:noProof/>
            <w:webHidden/>
          </w:rPr>
        </w:r>
        <w:r>
          <w:rPr>
            <w:noProof/>
            <w:webHidden/>
          </w:rPr>
          <w:fldChar w:fldCharType="separate"/>
        </w:r>
        <w:r>
          <w:rPr>
            <w:noProof/>
            <w:webHidden/>
          </w:rPr>
          <w:t>82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90" w:history="1">
        <w:r w:rsidRPr="00CC53E5">
          <w:rPr>
            <w:rStyle w:val="Hyperlink"/>
            <w:noProof/>
          </w:rPr>
          <w:t>2.1.107</w:t>
        </w:r>
        <w:r>
          <w:rPr>
            <w:rFonts w:asciiTheme="minorHAnsi" w:eastAsiaTheme="minorEastAsia" w:hAnsiTheme="minorHAnsi" w:cstheme="minorBidi"/>
            <w:noProof/>
            <w:sz w:val="22"/>
            <w:szCs w:val="22"/>
          </w:rPr>
          <w:tab/>
        </w:r>
        <w:r w:rsidRPr="00CC53E5">
          <w:rPr>
            <w:rStyle w:val="Hyperlink"/>
            <w:noProof/>
          </w:rPr>
          <w:t>Part 1 Section 17.3.3.14, lid (Language ID for Phonetic Guide)</w:t>
        </w:r>
        <w:r>
          <w:rPr>
            <w:noProof/>
            <w:webHidden/>
          </w:rPr>
          <w:tab/>
        </w:r>
        <w:r>
          <w:rPr>
            <w:noProof/>
            <w:webHidden/>
          </w:rPr>
          <w:fldChar w:fldCharType="begin"/>
        </w:r>
        <w:r>
          <w:rPr>
            <w:noProof/>
            <w:webHidden/>
          </w:rPr>
          <w:instrText xml:space="preserve"> PAGEREF _Toc69877890 \h </w:instrText>
        </w:r>
        <w:r>
          <w:rPr>
            <w:noProof/>
            <w:webHidden/>
          </w:rPr>
        </w:r>
        <w:r>
          <w:rPr>
            <w:noProof/>
            <w:webHidden/>
          </w:rPr>
          <w:fldChar w:fldCharType="separate"/>
        </w:r>
        <w:r>
          <w:rPr>
            <w:noProof/>
            <w:webHidden/>
          </w:rPr>
          <w:t>83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91" w:history="1">
        <w:r w:rsidRPr="00CC53E5">
          <w:rPr>
            <w:rStyle w:val="Hyperlink"/>
            <w:noProof/>
          </w:rPr>
          <w:t>2.1.108</w:t>
        </w:r>
        <w:r>
          <w:rPr>
            <w:rFonts w:asciiTheme="minorHAnsi" w:eastAsiaTheme="minorEastAsia" w:hAnsiTheme="minorHAnsi" w:cstheme="minorBidi"/>
            <w:noProof/>
            <w:sz w:val="22"/>
            <w:szCs w:val="22"/>
          </w:rPr>
          <w:tab/>
        </w:r>
        <w:r w:rsidRPr="00CC53E5">
          <w:rPr>
            <w:rStyle w:val="Hyperlink"/>
            <w:noProof/>
          </w:rPr>
          <w:t>Part 1 Section 17.3.3.17, movie (Embedded Video)</w:t>
        </w:r>
        <w:r>
          <w:rPr>
            <w:noProof/>
            <w:webHidden/>
          </w:rPr>
          <w:tab/>
        </w:r>
        <w:r>
          <w:rPr>
            <w:noProof/>
            <w:webHidden/>
          </w:rPr>
          <w:fldChar w:fldCharType="begin"/>
        </w:r>
        <w:r>
          <w:rPr>
            <w:noProof/>
            <w:webHidden/>
          </w:rPr>
          <w:instrText xml:space="preserve"> PAGEREF _Toc69877891 \h </w:instrText>
        </w:r>
        <w:r>
          <w:rPr>
            <w:noProof/>
            <w:webHidden/>
          </w:rPr>
        </w:r>
        <w:r>
          <w:rPr>
            <w:noProof/>
            <w:webHidden/>
          </w:rPr>
          <w:fldChar w:fldCharType="separate"/>
        </w:r>
        <w:r>
          <w:rPr>
            <w:noProof/>
            <w:webHidden/>
          </w:rPr>
          <w:t>83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92" w:history="1">
        <w:r w:rsidRPr="00CC53E5">
          <w:rPr>
            <w:rStyle w:val="Hyperlink"/>
            <w:noProof/>
          </w:rPr>
          <w:t>2.1.109</w:t>
        </w:r>
        <w:r>
          <w:rPr>
            <w:rFonts w:asciiTheme="minorHAnsi" w:eastAsiaTheme="minorEastAsia" w:hAnsiTheme="minorHAnsi" w:cstheme="minorBidi"/>
            <w:noProof/>
            <w:sz w:val="22"/>
            <w:szCs w:val="22"/>
          </w:rPr>
          <w:tab/>
        </w:r>
        <w:r w:rsidRPr="00CC53E5">
          <w:rPr>
            <w:rStyle w:val="Hyperlink"/>
            <w:noProof/>
          </w:rPr>
          <w:t>Part 1 Section 17.3.3.19, object (Embedded Object)</w:t>
        </w:r>
        <w:r>
          <w:rPr>
            <w:noProof/>
            <w:webHidden/>
          </w:rPr>
          <w:tab/>
        </w:r>
        <w:r>
          <w:rPr>
            <w:noProof/>
            <w:webHidden/>
          </w:rPr>
          <w:fldChar w:fldCharType="begin"/>
        </w:r>
        <w:r>
          <w:rPr>
            <w:noProof/>
            <w:webHidden/>
          </w:rPr>
          <w:instrText xml:space="preserve"> PAGEREF _Toc69877892 \h </w:instrText>
        </w:r>
        <w:r>
          <w:rPr>
            <w:noProof/>
            <w:webHidden/>
          </w:rPr>
        </w:r>
        <w:r>
          <w:rPr>
            <w:noProof/>
            <w:webHidden/>
          </w:rPr>
          <w:fldChar w:fldCharType="separate"/>
        </w:r>
        <w:r>
          <w:rPr>
            <w:noProof/>
            <w:webHidden/>
          </w:rPr>
          <w:t>83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93" w:history="1">
        <w:r w:rsidRPr="00CC53E5">
          <w:rPr>
            <w:rStyle w:val="Hyperlink"/>
            <w:noProof/>
          </w:rPr>
          <w:t>2.1.110</w:t>
        </w:r>
        <w:r>
          <w:rPr>
            <w:rFonts w:asciiTheme="minorHAnsi" w:eastAsiaTheme="minorEastAsia" w:hAnsiTheme="minorHAnsi" w:cstheme="minorBidi"/>
            <w:noProof/>
            <w:sz w:val="22"/>
            <w:szCs w:val="22"/>
          </w:rPr>
          <w:tab/>
        </w:r>
        <w:r w:rsidRPr="00CC53E5">
          <w:rPr>
            <w:rStyle w:val="Hyperlink"/>
            <w:noProof/>
          </w:rPr>
          <w:t>Part 1 Section 17.3.3.20, objectEmbed (Embedded Object Properties)</w:t>
        </w:r>
        <w:r>
          <w:rPr>
            <w:noProof/>
            <w:webHidden/>
          </w:rPr>
          <w:tab/>
        </w:r>
        <w:r>
          <w:rPr>
            <w:noProof/>
            <w:webHidden/>
          </w:rPr>
          <w:fldChar w:fldCharType="begin"/>
        </w:r>
        <w:r>
          <w:rPr>
            <w:noProof/>
            <w:webHidden/>
          </w:rPr>
          <w:instrText xml:space="preserve"> PAGEREF _Toc69877893 \h </w:instrText>
        </w:r>
        <w:r>
          <w:rPr>
            <w:noProof/>
            <w:webHidden/>
          </w:rPr>
        </w:r>
        <w:r>
          <w:rPr>
            <w:noProof/>
            <w:webHidden/>
          </w:rPr>
          <w:fldChar w:fldCharType="separate"/>
        </w:r>
        <w:r>
          <w:rPr>
            <w:noProof/>
            <w:webHidden/>
          </w:rPr>
          <w:t>83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94" w:history="1">
        <w:r w:rsidRPr="00CC53E5">
          <w:rPr>
            <w:rStyle w:val="Hyperlink"/>
            <w:noProof/>
          </w:rPr>
          <w:t>2.1.111</w:t>
        </w:r>
        <w:r>
          <w:rPr>
            <w:rFonts w:asciiTheme="minorHAnsi" w:eastAsiaTheme="minorEastAsia" w:hAnsiTheme="minorHAnsi" w:cstheme="minorBidi"/>
            <w:noProof/>
            <w:sz w:val="22"/>
            <w:szCs w:val="22"/>
          </w:rPr>
          <w:tab/>
        </w:r>
        <w:r w:rsidRPr="00CC53E5">
          <w:rPr>
            <w:rStyle w:val="Hyperlink"/>
            <w:noProof/>
          </w:rPr>
          <w:t>Part 1 Section 17.3.3.21, objectLink (Linked Object Properties)</w:t>
        </w:r>
        <w:r>
          <w:rPr>
            <w:noProof/>
            <w:webHidden/>
          </w:rPr>
          <w:tab/>
        </w:r>
        <w:r>
          <w:rPr>
            <w:noProof/>
            <w:webHidden/>
          </w:rPr>
          <w:fldChar w:fldCharType="begin"/>
        </w:r>
        <w:r>
          <w:rPr>
            <w:noProof/>
            <w:webHidden/>
          </w:rPr>
          <w:instrText xml:space="preserve"> PAGEREF _Toc69877894 \h </w:instrText>
        </w:r>
        <w:r>
          <w:rPr>
            <w:noProof/>
            <w:webHidden/>
          </w:rPr>
        </w:r>
        <w:r>
          <w:rPr>
            <w:noProof/>
            <w:webHidden/>
          </w:rPr>
          <w:fldChar w:fldCharType="separate"/>
        </w:r>
        <w:r>
          <w:rPr>
            <w:noProof/>
            <w:webHidden/>
          </w:rPr>
          <w:t>83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95" w:history="1">
        <w:r w:rsidRPr="00CC53E5">
          <w:rPr>
            <w:rStyle w:val="Hyperlink"/>
            <w:noProof/>
          </w:rPr>
          <w:t>2.1.112</w:t>
        </w:r>
        <w:r>
          <w:rPr>
            <w:rFonts w:asciiTheme="minorHAnsi" w:eastAsiaTheme="minorEastAsia" w:hAnsiTheme="minorHAnsi" w:cstheme="minorBidi"/>
            <w:noProof/>
            <w:sz w:val="22"/>
            <w:szCs w:val="22"/>
          </w:rPr>
          <w:tab/>
        </w:r>
        <w:r w:rsidRPr="00CC53E5">
          <w:rPr>
            <w:rStyle w:val="Hyperlink"/>
            <w:noProof/>
          </w:rPr>
          <w:t>Part 1 Section 17.3.3.24, rt (Phonetic Guide Text)</w:t>
        </w:r>
        <w:r>
          <w:rPr>
            <w:noProof/>
            <w:webHidden/>
          </w:rPr>
          <w:tab/>
        </w:r>
        <w:r>
          <w:rPr>
            <w:noProof/>
            <w:webHidden/>
          </w:rPr>
          <w:fldChar w:fldCharType="begin"/>
        </w:r>
        <w:r>
          <w:rPr>
            <w:noProof/>
            <w:webHidden/>
          </w:rPr>
          <w:instrText xml:space="preserve"> PAGEREF _Toc69877895 \h </w:instrText>
        </w:r>
        <w:r>
          <w:rPr>
            <w:noProof/>
            <w:webHidden/>
          </w:rPr>
        </w:r>
        <w:r>
          <w:rPr>
            <w:noProof/>
            <w:webHidden/>
          </w:rPr>
          <w:fldChar w:fldCharType="separate"/>
        </w:r>
        <w:r>
          <w:rPr>
            <w:noProof/>
            <w:webHidden/>
          </w:rPr>
          <w:t>83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96" w:history="1">
        <w:r w:rsidRPr="00CC53E5">
          <w:rPr>
            <w:rStyle w:val="Hyperlink"/>
            <w:noProof/>
          </w:rPr>
          <w:t>2.1.113</w:t>
        </w:r>
        <w:r>
          <w:rPr>
            <w:rFonts w:asciiTheme="minorHAnsi" w:eastAsiaTheme="minorEastAsia" w:hAnsiTheme="minorHAnsi" w:cstheme="minorBidi"/>
            <w:noProof/>
            <w:sz w:val="22"/>
            <w:szCs w:val="22"/>
          </w:rPr>
          <w:tab/>
        </w:r>
        <w:r w:rsidRPr="00CC53E5">
          <w:rPr>
            <w:rStyle w:val="Hyperlink"/>
            <w:noProof/>
          </w:rPr>
          <w:t>Part 1 Section 17.3.3.27, rubyBase (Phonetic Guide Base Text)</w:t>
        </w:r>
        <w:r>
          <w:rPr>
            <w:noProof/>
            <w:webHidden/>
          </w:rPr>
          <w:tab/>
        </w:r>
        <w:r>
          <w:rPr>
            <w:noProof/>
            <w:webHidden/>
          </w:rPr>
          <w:fldChar w:fldCharType="begin"/>
        </w:r>
        <w:r>
          <w:rPr>
            <w:noProof/>
            <w:webHidden/>
          </w:rPr>
          <w:instrText xml:space="preserve"> PAGEREF _Toc69877896 \h </w:instrText>
        </w:r>
        <w:r>
          <w:rPr>
            <w:noProof/>
            <w:webHidden/>
          </w:rPr>
        </w:r>
        <w:r>
          <w:rPr>
            <w:noProof/>
            <w:webHidden/>
          </w:rPr>
          <w:fldChar w:fldCharType="separate"/>
        </w:r>
        <w:r>
          <w:rPr>
            <w:noProof/>
            <w:webHidden/>
          </w:rPr>
          <w:t>83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97" w:history="1">
        <w:r w:rsidRPr="00CC53E5">
          <w:rPr>
            <w:rStyle w:val="Hyperlink"/>
            <w:noProof/>
          </w:rPr>
          <w:t>2.1.114</w:t>
        </w:r>
        <w:r>
          <w:rPr>
            <w:rFonts w:asciiTheme="minorHAnsi" w:eastAsiaTheme="minorEastAsia" w:hAnsiTheme="minorHAnsi" w:cstheme="minorBidi"/>
            <w:noProof/>
            <w:sz w:val="22"/>
            <w:szCs w:val="22"/>
          </w:rPr>
          <w:tab/>
        </w:r>
        <w:r w:rsidRPr="00CC53E5">
          <w:rPr>
            <w:rStyle w:val="Hyperlink"/>
            <w:noProof/>
          </w:rPr>
          <w:t>Part 1 Section 17.3.3.30, sym (Symbol Character)</w:t>
        </w:r>
        <w:r>
          <w:rPr>
            <w:noProof/>
            <w:webHidden/>
          </w:rPr>
          <w:tab/>
        </w:r>
        <w:r>
          <w:rPr>
            <w:noProof/>
            <w:webHidden/>
          </w:rPr>
          <w:fldChar w:fldCharType="begin"/>
        </w:r>
        <w:r>
          <w:rPr>
            <w:noProof/>
            <w:webHidden/>
          </w:rPr>
          <w:instrText xml:space="preserve"> PAGEREF _Toc69877897 \h </w:instrText>
        </w:r>
        <w:r>
          <w:rPr>
            <w:noProof/>
            <w:webHidden/>
          </w:rPr>
        </w:r>
        <w:r>
          <w:rPr>
            <w:noProof/>
            <w:webHidden/>
          </w:rPr>
          <w:fldChar w:fldCharType="separate"/>
        </w:r>
        <w:r>
          <w:rPr>
            <w:noProof/>
            <w:webHidden/>
          </w:rPr>
          <w:t>84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98" w:history="1">
        <w:r w:rsidRPr="00CC53E5">
          <w:rPr>
            <w:rStyle w:val="Hyperlink"/>
            <w:noProof/>
          </w:rPr>
          <w:t>2.1.115</w:t>
        </w:r>
        <w:r>
          <w:rPr>
            <w:rFonts w:asciiTheme="minorHAnsi" w:eastAsiaTheme="minorEastAsia" w:hAnsiTheme="minorHAnsi" w:cstheme="minorBidi"/>
            <w:noProof/>
            <w:sz w:val="22"/>
            <w:szCs w:val="22"/>
          </w:rPr>
          <w:tab/>
        </w:r>
        <w:r w:rsidRPr="00CC53E5">
          <w:rPr>
            <w:rStyle w:val="Hyperlink"/>
            <w:noProof/>
          </w:rPr>
          <w:t>Part 1 Section 17.4.1, bidiVisual (Visually Right to Left Table)</w:t>
        </w:r>
        <w:r>
          <w:rPr>
            <w:noProof/>
            <w:webHidden/>
          </w:rPr>
          <w:tab/>
        </w:r>
        <w:r>
          <w:rPr>
            <w:noProof/>
            <w:webHidden/>
          </w:rPr>
          <w:fldChar w:fldCharType="begin"/>
        </w:r>
        <w:r>
          <w:rPr>
            <w:noProof/>
            <w:webHidden/>
          </w:rPr>
          <w:instrText xml:space="preserve"> PAGEREF _Toc69877898 \h </w:instrText>
        </w:r>
        <w:r>
          <w:rPr>
            <w:noProof/>
            <w:webHidden/>
          </w:rPr>
        </w:r>
        <w:r>
          <w:rPr>
            <w:noProof/>
            <w:webHidden/>
          </w:rPr>
          <w:fldChar w:fldCharType="separate"/>
        </w:r>
        <w:r>
          <w:rPr>
            <w:noProof/>
            <w:webHidden/>
          </w:rPr>
          <w:t>84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899" w:history="1">
        <w:r w:rsidRPr="00CC53E5">
          <w:rPr>
            <w:rStyle w:val="Hyperlink"/>
            <w:noProof/>
          </w:rPr>
          <w:t>2.1.116</w:t>
        </w:r>
        <w:r>
          <w:rPr>
            <w:rFonts w:asciiTheme="minorHAnsi" w:eastAsiaTheme="minorEastAsia" w:hAnsiTheme="minorHAnsi" w:cstheme="minorBidi"/>
            <w:noProof/>
            <w:sz w:val="22"/>
            <w:szCs w:val="22"/>
          </w:rPr>
          <w:tab/>
        </w:r>
        <w:r w:rsidRPr="00CC53E5">
          <w:rPr>
            <w:rStyle w:val="Hyperlink"/>
            <w:noProof/>
          </w:rPr>
          <w:t>Part 1 Section 17.4.2, bottom (Table Cell Bottom Margin Exception)</w:t>
        </w:r>
        <w:r>
          <w:rPr>
            <w:noProof/>
            <w:webHidden/>
          </w:rPr>
          <w:tab/>
        </w:r>
        <w:r>
          <w:rPr>
            <w:noProof/>
            <w:webHidden/>
          </w:rPr>
          <w:fldChar w:fldCharType="begin"/>
        </w:r>
        <w:r>
          <w:rPr>
            <w:noProof/>
            <w:webHidden/>
          </w:rPr>
          <w:instrText xml:space="preserve"> PAGEREF _Toc69877899 \h </w:instrText>
        </w:r>
        <w:r>
          <w:rPr>
            <w:noProof/>
            <w:webHidden/>
          </w:rPr>
        </w:r>
        <w:r>
          <w:rPr>
            <w:noProof/>
            <w:webHidden/>
          </w:rPr>
          <w:fldChar w:fldCharType="separate"/>
        </w:r>
        <w:r>
          <w:rPr>
            <w:noProof/>
            <w:webHidden/>
          </w:rPr>
          <w:t>84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00" w:history="1">
        <w:r w:rsidRPr="00CC53E5">
          <w:rPr>
            <w:rStyle w:val="Hyperlink"/>
            <w:noProof/>
          </w:rPr>
          <w:t>2.1.117</w:t>
        </w:r>
        <w:r>
          <w:rPr>
            <w:rFonts w:asciiTheme="minorHAnsi" w:eastAsiaTheme="minorEastAsia" w:hAnsiTheme="minorHAnsi" w:cstheme="minorBidi"/>
            <w:noProof/>
            <w:sz w:val="22"/>
            <w:szCs w:val="22"/>
          </w:rPr>
          <w:tab/>
        </w:r>
        <w:r w:rsidRPr="00CC53E5">
          <w:rPr>
            <w:rStyle w:val="Hyperlink"/>
            <w:noProof/>
          </w:rPr>
          <w:t>Part 1 Section 17.4.3, bottom (Table Cell Bottom Border)</w:t>
        </w:r>
        <w:r>
          <w:rPr>
            <w:noProof/>
            <w:webHidden/>
          </w:rPr>
          <w:tab/>
        </w:r>
        <w:r>
          <w:rPr>
            <w:noProof/>
            <w:webHidden/>
          </w:rPr>
          <w:fldChar w:fldCharType="begin"/>
        </w:r>
        <w:r>
          <w:rPr>
            <w:noProof/>
            <w:webHidden/>
          </w:rPr>
          <w:instrText xml:space="preserve"> PAGEREF _Toc69877900 \h </w:instrText>
        </w:r>
        <w:r>
          <w:rPr>
            <w:noProof/>
            <w:webHidden/>
          </w:rPr>
        </w:r>
        <w:r>
          <w:rPr>
            <w:noProof/>
            <w:webHidden/>
          </w:rPr>
          <w:fldChar w:fldCharType="separate"/>
        </w:r>
        <w:r>
          <w:rPr>
            <w:noProof/>
            <w:webHidden/>
          </w:rPr>
          <w:t>84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01" w:history="1">
        <w:r w:rsidRPr="00CC53E5">
          <w:rPr>
            <w:rStyle w:val="Hyperlink"/>
            <w:noProof/>
          </w:rPr>
          <w:t>2.1.118</w:t>
        </w:r>
        <w:r>
          <w:rPr>
            <w:rFonts w:asciiTheme="minorHAnsi" w:eastAsiaTheme="minorEastAsia" w:hAnsiTheme="minorHAnsi" w:cstheme="minorBidi"/>
            <w:noProof/>
            <w:sz w:val="22"/>
            <w:szCs w:val="22"/>
          </w:rPr>
          <w:tab/>
        </w:r>
        <w:r w:rsidRPr="00CC53E5">
          <w:rPr>
            <w:rStyle w:val="Hyperlink"/>
            <w:noProof/>
          </w:rPr>
          <w:t>Part 1 Section 17.4.4, bottom (Table Bottom Border)</w:t>
        </w:r>
        <w:r>
          <w:rPr>
            <w:noProof/>
            <w:webHidden/>
          </w:rPr>
          <w:tab/>
        </w:r>
        <w:r>
          <w:rPr>
            <w:noProof/>
            <w:webHidden/>
          </w:rPr>
          <w:fldChar w:fldCharType="begin"/>
        </w:r>
        <w:r>
          <w:rPr>
            <w:noProof/>
            <w:webHidden/>
          </w:rPr>
          <w:instrText xml:space="preserve"> PAGEREF _Toc69877901 \h </w:instrText>
        </w:r>
        <w:r>
          <w:rPr>
            <w:noProof/>
            <w:webHidden/>
          </w:rPr>
        </w:r>
        <w:r>
          <w:rPr>
            <w:noProof/>
            <w:webHidden/>
          </w:rPr>
          <w:fldChar w:fldCharType="separate"/>
        </w:r>
        <w:r>
          <w:rPr>
            <w:noProof/>
            <w:webHidden/>
          </w:rPr>
          <w:t>84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02" w:history="1">
        <w:r w:rsidRPr="00CC53E5">
          <w:rPr>
            <w:rStyle w:val="Hyperlink"/>
            <w:noProof/>
          </w:rPr>
          <w:t>2.1.119</w:t>
        </w:r>
        <w:r>
          <w:rPr>
            <w:rFonts w:asciiTheme="minorHAnsi" w:eastAsiaTheme="minorEastAsia" w:hAnsiTheme="minorHAnsi" w:cstheme="minorBidi"/>
            <w:noProof/>
            <w:sz w:val="22"/>
            <w:szCs w:val="22"/>
          </w:rPr>
          <w:tab/>
        </w:r>
        <w:r w:rsidRPr="00CC53E5">
          <w:rPr>
            <w:rStyle w:val="Hyperlink"/>
            <w:noProof/>
          </w:rPr>
          <w:t>Part 1 Section 17.4.5, bottom (Table Cell Bottom Margin Default)</w:t>
        </w:r>
        <w:r>
          <w:rPr>
            <w:noProof/>
            <w:webHidden/>
          </w:rPr>
          <w:tab/>
        </w:r>
        <w:r>
          <w:rPr>
            <w:noProof/>
            <w:webHidden/>
          </w:rPr>
          <w:fldChar w:fldCharType="begin"/>
        </w:r>
        <w:r>
          <w:rPr>
            <w:noProof/>
            <w:webHidden/>
          </w:rPr>
          <w:instrText xml:space="preserve"> PAGEREF _Toc69877902 \h </w:instrText>
        </w:r>
        <w:r>
          <w:rPr>
            <w:noProof/>
            <w:webHidden/>
          </w:rPr>
        </w:r>
        <w:r>
          <w:rPr>
            <w:noProof/>
            <w:webHidden/>
          </w:rPr>
          <w:fldChar w:fldCharType="separate"/>
        </w:r>
        <w:r>
          <w:rPr>
            <w:noProof/>
            <w:webHidden/>
          </w:rPr>
          <w:t>84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03" w:history="1">
        <w:r w:rsidRPr="00CC53E5">
          <w:rPr>
            <w:rStyle w:val="Hyperlink"/>
            <w:noProof/>
          </w:rPr>
          <w:t>2.1.120</w:t>
        </w:r>
        <w:r>
          <w:rPr>
            <w:rFonts w:asciiTheme="minorHAnsi" w:eastAsiaTheme="minorEastAsia" w:hAnsiTheme="minorHAnsi" w:cstheme="minorBidi"/>
            <w:noProof/>
            <w:sz w:val="22"/>
            <w:szCs w:val="22"/>
          </w:rPr>
          <w:tab/>
        </w:r>
        <w:r w:rsidRPr="00CC53E5">
          <w:rPr>
            <w:rStyle w:val="Hyperlink"/>
            <w:noProof/>
          </w:rPr>
          <w:t>Part 1 Section 17.4.6, cantSplit (Table Row Cannot Break Across Pages)</w:t>
        </w:r>
        <w:r>
          <w:rPr>
            <w:noProof/>
            <w:webHidden/>
          </w:rPr>
          <w:tab/>
        </w:r>
        <w:r>
          <w:rPr>
            <w:noProof/>
            <w:webHidden/>
          </w:rPr>
          <w:fldChar w:fldCharType="begin"/>
        </w:r>
        <w:r>
          <w:rPr>
            <w:noProof/>
            <w:webHidden/>
          </w:rPr>
          <w:instrText xml:space="preserve"> PAGEREF _Toc69877903 \h </w:instrText>
        </w:r>
        <w:r>
          <w:rPr>
            <w:noProof/>
            <w:webHidden/>
          </w:rPr>
        </w:r>
        <w:r>
          <w:rPr>
            <w:noProof/>
            <w:webHidden/>
          </w:rPr>
          <w:fldChar w:fldCharType="separate"/>
        </w:r>
        <w:r>
          <w:rPr>
            <w:noProof/>
            <w:webHidden/>
          </w:rPr>
          <w:t>85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04" w:history="1">
        <w:r w:rsidRPr="00CC53E5">
          <w:rPr>
            <w:rStyle w:val="Hyperlink"/>
            <w:noProof/>
          </w:rPr>
          <w:t>2.1.121</w:t>
        </w:r>
        <w:r>
          <w:rPr>
            <w:rFonts w:asciiTheme="minorHAnsi" w:eastAsiaTheme="minorEastAsia" w:hAnsiTheme="minorHAnsi" w:cstheme="minorBidi"/>
            <w:noProof/>
            <w:sz w:val="22"/>
            <w:szCs w:val="22"/>
          </w:rPr>
          <w:tab/>
        </w:r>
        <w:r w:rsidRPr="00CC53E5">
          <w:rPr>
            <w:rStyle w:val="Hyperlink"/>
            <w:noProof/>
          </w:rPr>
          <w:t>Part 1 Section 17.4.7, cnfStyle (Table Row Conditional Formatting)</w:t>
        </w:r>
        <w:r>
          <w:rPr>
            <w:noProof/>
            <w:webHidden/>
          </w:rPr>
          <w:tab/>
        </w:r>
        <w:r>
          <w:rPr>
            <w:noProof/>
            <w:webHidden/>
          </w:rPr>
          <w:fldChar w:fldCharType="begin"/>
        </w:r>
        <w:r>
          <w:rPr>
            <w:noProof/>
            <w:webHidden/>
          </w:rPr>
          <w:instrText xml:space="preserve"> PAGEREF _Toc69877904 \h </w:instrText>
        </w:r>
        <w:r>
          <w:rPr>
            <w:noProof/>
            <w:webHidden/>
          </w:rPr>
        </w:r>
        <w:r>
          <w:rPr>
            <w:noProof/>
            <w:webHidden/>
          </w:rPr>
          <w:fldChar w:fldCharType="separate"/>
        </w:r>
        <w:r>
          <w:rPr>
            <w:noProof/>
            <w:webHidden/>
          </w:rPr>
          <w:t>85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05" w:history="1">
        <w:r w:rsidRPr="00CC53E5">
          <w:rPr>
            <w:rStyle w:val="Hyperlink"/>
            <w:noProof/>
          </w:rPr>
          <w:t>2.1.122</w:t>
        </w:r>
        <w:r>
          <w:rPr>
            <w:rFonts w:asciiTheme="minorHAnsi" w:eastAsiaTheme="minorEastAsia" w:hAnsiTheme="minorHAnsi" w:cstheme="minorBidi"/>
            <w:noProof/>
            <w:sz w:val="22"/>
            <w:szCs w:val="22"/>
          </w:rPr>
          <w:tab/>
        </w:r>
        <w:r w:rsidRPr="00CC53E5">
          <w:rPr>
            <w:rStyle w:val="Hyperlink"/>
            <w:noProof/>
          </w:rPr>
          <w:t>Part 1 Section 17.4.8, cnfStyle (Table Cell Conditional Formatting)</w:t>
        </w:r>
        <w:r>
          <w:rPr>
            <w:noProof/>
            <w:webHidden/>
          </w:rPr>
          <w:tab/>
        </w:r>
        <w:r>
          <w:rPr>
            <w:noProof/>
            <w:webHidden/>
          </w:rPr>
          <w:fldChar w:fldCharType="begin"/>
        </w:r>
        <w:r>
          <w:rPr>
            <w:noProof/>
            <w:webHidden/>
          </w:rPr>
          <w:instrText xml:space="preserve"> PAGEREF _Toc69877905 \h </w:instrText>
        </w:r>
        <w:r>
          <w:rPr>
            <w:noProof/>
            <w:webHidden/>
          </w:rPr>
        </w:r>
        <w:r>
          <w:rPr>
            <w:noProof/>
            <w:webHidden/>
          </w:rPr>
          <w:fldChar w:fldCharType="separate"/>
        </w:r>
        <w:r>
          <w:rPr>
            <w:noProof/>
            <w:webHidden/>
          </w:rPr>
          <w:t>85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06" w:history="1">
        <w:r w:rsidRPr="00CC53E5">
          <w:rPr>
            <w:rStyle w:val="Hyperlink"/>
            <w:noProof/>
          </w:rPr>
          <w:t>2.1.123</w:t>
        </w:r>
        <w:r>
          <w:rPr>
            <w:rFonts w:asciiTheme="minorHAnsi" w:eastAsiaTheme="minorEastAsia" w:hAnsiTheme="minorHAnsi" w:cstheme="minorBidi"/>
            <w:noProof/>
            <w:sz w:val="22"/>
            <w:szCs w:val="22"/>
          </w:rPr>
          <w:tab/>
        </w:r>
        <w:r w:rsidRPr="00CC53E5">
          <w:rPr>
            <w:rStyle w:val="Hyperlink"/>
            <w:noProof/>
          </w:rPr>
          <w:t>Part 1 Section 17.4.9, divId (Associated HTML div ID)</w:t>
        </w:r>
        <w:r>
          <w:rPr>
            <w:noProof/>
            <w:webHidden/>
          </w:rPr>
          <w:tab/>
        </w:r>
        <w:r>
          <w:rPr>
            <w:noProof/>
            <w:webHidden/>
          </w:rPr>
          <w:fldChar w:fldCharType="begin"/>
        </w:r>
        <w:r>
          <w:rPr>
            <w:noProof/>
            <w:webHidden/>
          </w:rPr>
          <w:instrText xml:space="preserve"> PAGEREF _Toc69877906 \h </w:instrText>
        </w:r>
        <w:r>
          <w:rPr>
            <w:noProof/>
            <w:webHidden/>
          </w:rPr>
        </w:r>
        <w:r>
          <w:rPr>
            <w:noProof/>
            <w:webHidden/>
          </w:rPr>
          <w:fldChar w:fldCharType="separate"/>
        </w:r>
        <w:r>
          <w:rPr>
            <w:noProof/>
            <w:webHidden/>
          </w:rPr>
          <w:t>85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07" w:history="1">
        <w:r w:rsidRPr="00CC53E5">
          <w:rPr>
            <w:rStyle w:val="Hyperlink"/>
            <w:noProof/>
          </w:rPr>
          <w:t>2.1.124</w:t>
        </w:r>
        <w:r>
          <w:rPr>
            <w:rFonts w:asciiTheme="minorHAnsi" w:eastAsiaTheme="minorEastAsia" w:hAnsiTheme="minorHAnsi" w:cstheme="minorBidi"/>
            <w:noProof/>
            <w:sz w:val="22"/>
            <w:szCs w:val="22"/>
          </w:rPr>
          <w:tab/>
        </w:r>
        <w:r w:rsidRPr="00CC53E5">
          <w:rPr>
            <w:rStyle w:val="Hyperlink"/>
            <w:noProof/>
          </w:rPr>
          <w:t>Part 1 Section 17.4.10, end (Table Cell Trailing Margin Exception)</w:t>
        </w:r>
        <w:r>
          <w:rPr>
            <w:noProof/>
            <w:webHidden/>
          </w:rPr>
          <w:tab/>
        </w:r>
        <w:r>
          <w:rPr>
            <w:noProof/>
            <w:webHidden/>
          </w:rPr>
          <w:fldChar w:fldCharType="begin"/>
        </w:r>
        <w:r>
          <w:rPr>
            <w:noProof/>
            <w:webHidden/>
          </w:rPr>
          <w:instrText xml:space="preserve"> PAGEREF _Toc69877907 \h </w:instrText>
        </w:r>
        <w:r>
          <w:rPr>
            <w:noProof/>
            <w:webHidden/>
          </w:rPr>
        </w:r>
        <w:r>
          <w:rPr>
            <w:noProof/>
            <w:webHidden/>
          </w:rPr>
          <w:fldChar w:fldCharType="separate"/>
        </w:r>
        <w:r>
          <w:rPr>
            <w:noProof/>
            <w:webHidden/>
          </w:rPr>
          <w:t>85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08" w:history="1">
        <w:r w:rsidRPr="00CC53E5">
          <w:rPr>
            <w:rStyle w:val="Hyperlink"/>
            <w:noProof/>
          </w:rPr>
          <w:t>2.1.125</w:t>
        </w:r>
        <w:r>
          <w:rPr>
            <w:rFonts w:asciiTheme="minorHAnsi" w:eastAsiaTheme="minorEastAsia" w:hAnsiTheme="minorHAnsi" w:cstheme="minorBidi"/>
            <w:noProof/>
            <w:sz w:val="22"/>
            <w:szCs w:val="22"/>
          </w:rPr>
          <w:tab/>
        </w:r>
        <w:r w:rsidRPr="00CC53E5">
          <w:rPr>
            <w:rStyle w:val="Hyperlink"/>
            <w:noProof/>
          </w:rPr>
          <w:t>Part 1 Section 17.4.11, end (Table Cell Trailing Margin Default)</w:t>
        </w:r>
        <w:r>
          <w:rPr>
            <w:noProof/>
            <w:webHidden/>
          </w:rPr>
          <w:tab/>
        </w:r>
        <w:r>
          <w:rPr>
            <w:noProof/>
            <w:webHidden/>
          </w:rPr>
          <w:fldChar w:fldCharType="begin"/>
        </w:r>
        <w:r>
          <w:rPr>
            <w:noProof/>
            <w:webHidden/>
          </w:rPr>
          <w:instrText xml:space="preserve"> PAGEREF _Toc69877908 \h </w:instrText>
        </w:r>
        <w:r>
          <w:rPr>
            <w:noProof/>
            <w:webHidden/>
          </w:rPr>
        </w:r>
        <w:r>
          <w:rPr>
            <w:noProof/>
            <w:webHidden/>
          </w:rPr>
          <w:fldChar w:fldCharType="separate"/>
        </w:r>
        <w:r>
          <w:rPr>
            <w:noProof/>
            <w:webHidden/>
          </w:rPr>
          <w:t>85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09" w:history="1">
        <w:r w:rsidRPr="00CC53E5">
          <w:rPr>
            <w:rStyle w:val="Hyperlink"/>
            <w:noProof/>
          </w:rPr>
          <w:t>2.1.126</w:t>
        </w:r>
        <w:r>
          <w:rPr>
            <w:rFonts w:asciiTheme="minorHAnsi" w:eastAsiaTheme="minorEastAsia" w:hAnsiTheme="minorHAnsi" w:cstheme="minorBidi"/>
            <w:noProof/>
            <w:sz w:val="22"/>
            <w:szCs w:val="22"/>
          </w:rPr>
          <w:tab/>
        </w:r>
        <w:r w:rsidRPr="00CC53E5">
          <w:rPr>
            <w:rStyle w:val="Hyperlink"/>
            <w:noProof/>
          </w:rPr>
          <w:t>Part 1 Section 17.4.12, end (Table Cell Trailing Edge Border)</w:t>
        </w:r>
        <w:r>
          <w:rPr>
            <w:noProof/>
            <w:webHidden/>
          </w:rPr>
          <w:tab/>
        </w:r>
        <w:r>
          <w:rPr>
            <w:noProof/>
            <w:webHidden/>
          </w:rPr>
          <w:fldChar w:fldCharType="begin"/>
        </w:r>
        <w:r>
          <w:rPr>
            <w:noProof/>
            <w:webHidden/>
          </w:rPr>
          <w:instrText xml:space="preserve"> PAGEREF _Toc69877909 \h </w:instrText>
        </w:r>
        <w:r>
          <w:rPr>
            <w:noProof/>
            <w:webHidden/>
          </w:rPr>
        </w:r>
        <w:r>
          <w:rPr>
            <w:noProof/>
            <w:webHidden/>
          </w:rPr>
          <w:fldChar w:fldCharType="separate"/>
        </w:r>
        <w:r>
          <w:rPr>
            <w:noProof/>
            <w:webHidden/>
          </w:rPr>
          <w:t>85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10" w:history="1">
        <w:r w:rsidRPr="00CC53E5">
          <w:rPr>
            <w:rStyle w:val="Hyperlink"/>
            <w:noProof/>
          </w:rPr>
          <w:t>2.1.127</w:t>
        </w:r>
        <w:r>
          <w:rPr>
            <w:rFonts w:asciiTheme="minorHAnsi" w:eastAsiaTheme="minorEastAsia" w:hAnsiTheme="minorHAnsi" w:cstheme="minorBidi"/>
            <w:noProof/>
            <w:sz w:val="22"/>
            <w:szCs w:val="22"/>
          </w:rPr>
          <w:tab/>
        </w:r>
        <w:r w:rsidRPr="00CC53E5">
          <w:rPr>
            <w:rStyle w:val="Hyperlink"/>
            <w:noProof/>
          </w:rPr>
          <w:t>Part 1 Section 17.4.13, end (Table Trailing Edge Border)</w:t>
        </w:r>
        <w:r>
          <w:rPr>
            <w:noProof/>
            <w:webHidden/>
          </w:rPr>
          <w:tab/>
        </w:r>
        <w:r>
          <w:rPr>
            <w:noProof/>
            <w:webHidden/>
          </w:rPr>
          <w:fldChar w:fldCharType="begin"/>
        </w:r>
        <w:r>
          <w:rPr>
            <w:noProof/>
            <w:webHidden/>
          </w:rPr>
          <w:instrText xml:space="preserve"> PAGEREF _Toc69877910 \h </w:instrText>
        </w:r>
        <w:r>
          <w:rPr>
            <w:noProof/>
            <w:webHidden/>
          </w:rPr>
        </w:r>
        <w:r>
          <w:rPr>
            <w:noProof/>
            <w:webHidden/>
          </w:rPr>
          <w:fldChar w:fldCharType="separate"/>
        </w:r>
        <w:r>
          <w:rPr>
            <w:noProof/>
            <w:webHidden/>
          </w:rPr>
          <w:t>85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11" w:history="1">
        <w:r w:rsidRPr="00CC53E5">
          <w:rPr>
            <w:rStyle w:val="Hyperlink"/>
            <w:noProof/>
          </w:rPr>
          <w:t>2.1.128</w:t>
        </w:r>
        <w:r>
          <w:rPr>
            <w:rFonts w:asciiTheme="minorHAnsi" w:eastAsiaTheme="minorEastAsia" w:hAnsiTheme="minorHAnsi" w:cstheme="minorBidi"/>
            <w:noProof/>
            <w:sz w:val="22"/>
            <w:szCs w:val="22"/>
          </w:rPr>
          <w:tab/>
        </w:r>
        <w:r w:rsidRPr="00CC53E5">
          <w:rPr>
            <w:rStyle w:val="Hyperlink"/>
            <w:noProof/>
          </w:rPr>
          <w:t>Part 1 Section 17.4.14, gridAfter (Grid Columns After Last Cell)</w:t>
        </w:r>
        <w:r>
          <w:rPr>
            <w:noProof/>
            <w:webHidden/>
          </w:rPr>
          <w:tab/>
        </w:r>
        <w:r>
          <w:rPr>
            <w:noProof/>
            <w:webHidden/>
          </w:rPr>
          <w:fldChar w:fldCharType="begin"/>
        </w:r>
        <w:r>
          <w:rPr>
            <w:noProof/>
            <w:webHidden/>
          </w:rPr>
          <w:instrText xml:space="preserve"> PAGEREF _Toc69877911 \h </w:instrText>
        </w:r>
        <w:r>
          <w:rPr>
            <w:noProof/>
            <w:webHidden/>
          </w:rPr>
        </w:r>
        <w:r>
          <w:rPr>
            <w:noProof/>
            <w:webHidden/>
          </w:rPr>
          <w:fldChar w:fldCharType="separate"/>
        </w:r>
        <w:r>
          <w:rPr>
            <w:noProof/>
            <w:webHidden/>
          </w:rPr>
          <w:t>86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12" w:history="1">
        <w:r w:rsidRPr="00CC53E5">
          <w:rPr>
            <w:rStyle w:val="Hyperlink"/>
            <w:noProof/>
          </w:rPr>
          <w:t>2.1.129</w:t>
        </w:r>
        <w:r>
          <w:rPr>
            <w:rFonts w:asciiTheme="minorHAnsi" w:eastAsiaTheme="minorEastAsia" w:hAnsiTheme="minorHAnsi" w:cstheme="minorBidi"/>
            <w:noProof/>
            <w:sz w:val="22"/>
            <w:szCs w:val="22"/>
          </w:rPr>
          <w:tab/>
        </w:r>
        <w:r w:rsidRPr="00CC53E5">
          <w:rPr>
            <w:rStyle w:val="Hyperlink"/>
            <w:noProof/>
          </w:rPr>
          <w:t>Part 1 Section 17.4.15, gridBefore (Grid Columns Before First Cell)</w:t>
        </w:r>
        <w:r>
          <w:rPr>
            <w:noProof/>
            <w:webHidden/>
          </w:rPr>
          <w:tab/>
        </w:r>
        <w:r>
          <w:rPr>
            <w:noProof/>
            <w:webHidden/>
          </w:rPr>
          <w:fldChar w:fldCharType="begin"/>
        </w:r>
        <w:r>
          <w:rPr>
            <w:noProof/>
            <w:webHidden/>
          </w:rPr>
          <w:instrText xml:space="preserve"> PAGEREF _Toc69877912 \h </w:instrText>
        </w:r>
        <w:r>
          <w:rPr>
            <w:noProof/>
            <w:webHidden/>
          </w:rPr>
        </w:r>
        <w:r>
          <w:rPr>
            <w:noProof/>
            <w:webHidden/>
          </w:rPr>
          <w:fldChar w:fldCharType="separate"/>
        </w:r>
        <w:r>
          <w:rPr>
            <w:noProof/>
            <w:webHidden/>
          </w:rPr>
          <w:t>86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13" w:history="1">
        <w:r w:rsidRPr="00CC53E5">
          <w:rPr>
            <w:rStyle w:val="Hyperlink"/>
            <w:noProof/>
          </w:rPr>
          <w:t>2.1.130</w:t>
        </w:r>
        <w:r>
          <w:rPr>
            <w:rFonts w:asciiTheme="minorHAnsi" w:eastAsiaTheme="minorEastAsia" w:hAnsiTheme="minorHAnsi" w:cstheme="minorBidi"/>
            <w:noProof/>
            <w:sz w:val="22"/>
            <w:szCs w:val="22"/>
          </w:rPr>
          <w:tab/>
        </w:r>
        <w:r w:rsidRPr="00CC53E5">
          <w:rPr>
            <w:rStyle w:val="Hyperlink"/>
            <w:noProof/>
          </w:rPr>
          <w:t>Part 1 Section 17.4.17, gridSpan (Grid Columns Spanned by Current Table Cell)</w:t>
        </w:r>
        <w:r>
          <w:rPr>
            <w:noProof/>
            <w:webHidden/>
          </w:rPr>
          <w:tab/>
        </w:r>
        <w:r>
          <w:rPr>
            <w:noProof/>
            <w:webHidden/>
          </w:rPr>
          <w:fldChar w:fldCharType="begin"/>
        </w:r>
        <w:r>
          <w:rPr>
            <w:noProof/>
            <w:webHidden/>
          </w:rPr>
          <w:instrText xml:space="preserve"> PAGEREF _Toc69877913 \h </w:instrText>
        </w:r>
        <w:r>
          <w:rPr>
            <w:noProof/>
            <w:webHidden/>
          </w:rPr>
        </w:r>
        <w:r>
          <w:rPr>
            <w:noProof/>
            <w:webHidden/>
          </w:rPr>
          <w:fldChar w:fldCharType="separate"/>
        </w:r>
        <w:r>
          <w:rPr>
            <w:noProof/>
            <w:webHidden/>
          </w:rPr>
          <w:t>86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14" w:history="1">
        <w:r w:rsidRPr="00CC53E5">
          <w:rPr>
            <w:rStyle w:val="Hyperlink"/>
            <w:noProof/>
          </w:rPr>
          <w:t>2.1.131</w:t>
        </w:r>
        <w:r>
          <w:rPr>
            <w:rFonts w:asciiTheme="minorHAnsi" w:eastAsiaTheme="minorEastAsia" w:hAnsiTheme="minorHAnsi" w:cstheme="minorBidi"/>
            <w:noProof/>
            <w:sz w:val="22"/>
            <w:szCs w:val="22"/>
          </w:rPr>
          <w:tab/>
        </w:r>
        <w:r w:rsidRPr="00CC53E5">
          <w:rPr>
            <w:rStyle w:val="Hyperlink"/>
            <w:noProof/>
          </w:rPr>
          <w:t>Part 1 Section 17.4.18, header (Header Cell Reference)</w:t>
        </w:r>
        <w:r>
          <w:rPr>
            <w:noProof/>
            <w:webHidden/>
          </w:rPr>
          <w:tab/>
        </w:r>
        <w:r>
          <w:rPr>
            <w:noProof/>
            <w:webHidden/>
          </w:rPr>
          <w:fldChar w:fldCharType="begin"/>
        </w:r>
        <w:r>
          <w:rPr>
            <w:noProof/>
            <w:webHidden/>
          </w:rPr>
          <w:instrText xml:space="preserve"> PAGEREF _Toc69877914 \h </w:instrText>
        </w:r>
        <w:r>
          <w:rPr>
            <w:noProof/>
            <w:webHidden/>
          </w:rPr>
        </w:r>
        <w:r>
          <w:rPr>
            <w:noProof/>
            <w:webHidden/>
          </w:rPr>
          <w:fldChar w:fldCharType="separate"/>
        </w:r>
        <w:r>
          <w:rPr>
            <w:noProof/>
            <w:webHidden/>
          </w:rPr>
          <w:t>86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15" w:history="1">
        <w:r w:rsidRPr="00CC53E5">
          <w:rPr>
            <w:rStyle w:val="Hyperlink"/>
            <w:noProof/>
          </w:rPr>
          <w:t>2.1.132</w:t>
        </w:r>
        <w:r>
          <w:rPr>
            <w:rFonts w:asciiTheme="minorHAnsi" w:eastAsiaTheme="minorEastAsia" w:hAnsiTheme="minorHAnsi" w:cstheme="minorBidi"/>
            <w:noProof/>
            <w:sz w:val="22"/>
            <w:szCs w:val="22"/>
          </w:rPr>
          <w:tab/>
        </w:r>
        <w:r w:rsidRPr="00CC53E5">
          <w:rPr>
            <w:rStyle w:val="Hyperlink"/>
            <w:noProof/>
          </w:rPr>
          <w:t>Part 1 Section 17.4.19, headers (Header Cells Associated With Table Cell)</w:t>
        </w:r>
        <w:r>
          <w:rPr>
            <w:noProof/>
            <w:webHidden/>
          </w:rPr>
          <w:tab/>
        </w:r>
        <w:r>
          <w:rPr>
            <w:noProof/>
            <w:webHidden/>
          </w:rPr>
          <w:fldChar w:fldCharType="begin"/>
        </w:r>
        <w:r>
          <w:rPr>
            <w:noProof/>
            <w:webHidden/>
          </w:rPr>
          <w:instrText xml:space="preserve"> PAGEREF _Toc69877915 \h </w:instrText>
        </w:r>
        <w:r>
          <w:rPr>
            <w:noProof/>
            <w:webHidden/>
          </w:rPr>
        </w:r>
        <w:r>
          <w:rPr>
            <w:noProof/>
            <w:webHidden/>
          </w:rPr>
          <w:fldChar w:fldCharType="separate"/>
        </w:r>
        <w:r>
          <w:rPr>
            <w:noProof/>
            <w:webHidden/>
          </w:rPr>
          <w:t>86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16" w:history="1">
        <w:r w:rsidRPr="00CC53E5">
          <w:rPr>
            <w:rStyle w:val="Hyperlink"/>
            <w:noProof/>
          </w:rPr>
          <w:t>2.1.133</w:t>
        </w:r>
        <w:r>
          <w:rPr>
            <w:rFonts w:asciiTheme="minorHAnsi" w:eastAsiaTheme="minorEastAsia" w:hAnsiTheme="minorHAnsi" w:cstheme="minorBidi"/>
            <w:noProof/>
            <w:sz w:val="22"/>
            <w:szCs w:val="22"/>
          </w:rPr>
          <w:tab/>
        </w:r>
        <w:r w:rsidRPr="00CC53E5">
          <w:rPr>
            <w:rStyle w:val="Hyperlink"/>
            <w:noProof/>
          </w:rPr>
          <w:t>Part 1 Section 17.4.20, hidden (Hidden Table Row Marker)</w:t>
        </w:r>
        <w:r>
          <w:rPr>
            <w:noProof/>
            <w:webHidden/>
          </w:rPr>
          <w:tab/>
        </w:r>
        <w:r>
          <w:rPr>
            <w:noProof/>
            <w:webHidden/>
          </w:rPr>
          <w:fldChar w:fldCharType="begin"/>
        </w:r>
        <w:r>
          <w:rPr>
            <w:noProof/>
            <w:webHidden/>
          </w:rPr>
          <w:instrText xml:space="preserve"> PAGEREF _Toc69877916 \h </w:instrText>
        </w:r>
        <w:r>
          <w:rPr>
            <w:noProof/>
            <w:webHidden/>
          </w:rPr>
        </w:r>
        <w:r>
          <w:rPr>
            <w:noProof/>
            <w:webHidden/>
          </w:rPr>
          <w:fldChar w:fldCharType="separate"/>
        </w:r>
        <w:r>
          <w:rPr>
            <w:noProof/>
            <w:webHidden/>
          </w:rPr>
          <w:t>86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17" w:history="1">
        <w:r w:rsidRPr="00CC53E5">
          <w:rPr>
            <w:rStyle w:val="Hyperlink"/>
            <w:noProof/>
          </w:rPr>
          <w:t>2.1.134</w:t>
        </w:r>
        <w:r>
          <w:rPr>
            <w:rFonts w:asciiTheme="minorHAnsi" w:eastAsiaTheme="minorEastAsia" w:hAnsiTheme="minorHAnsi" w:cstheme="minorBidi"/>
            <w:noProof/>
            <w:sz w:val="22"/>
            <w:szCs w:val="22"/>
          </w:rPr>
          <w:tab/>
        </w:r>
        <w:r w:rsidRPr="00CC53E5">
          <w:rPr>
            <w:rStyle w:val="Hyperlink"/>
            <w:noProof/>
          </w:rPr>
          <w:t>Part 1 Section 17.4.21, hideMark (Ignore End Of Cell Marker In Row Height Calculation)</w:t>
        </w:r>
        <w:r>
          <w:rPr>
            <w:noProof/>
            <w:webHidden/>
          </w:rPr>
          <w:tab/>
        </w:r>
        <w:r>
          <w:rPr>
            <w:noProof/>
            <w:webHidden/>
          </w:rPr>
          <w:fldChar w:fldCharType="begin"/>
        </w:r>
        <w:r>
          <w:rPr>
            <w:noProof/>
            <w:webHidden/>
          </w:rPr>
          <w:instrText xml:space="preserve"> PAGEREF _Toc69877917 \h </w:instrText>
        </w:r>
        <w:r>
          <w:rPr>
            <w:noProof/>
            <w:webHidden/>
          </w:rPr>
        </w:r>
        <w:r>
          <w:rPr>
            <w:noProof/>
            <w:webHidden/>
          </w:rPr>
          <w:fldChar w:fldCharType="separate"/>
        </w:r>
        <w:r>
          <w:rPr>
            <w:noProof/>
            <w:webHidden/>
          </w:rPr>
          <w:t>87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18" w:history="1">
        <w:r w:rsidRPr="00CC53E5">
          <w:rPr>
            <w:rStyle w:val="Hyperlink"/>
            <w:noProof/>
          </w:rPr>
          <w:t>2.1.135</w:t>
        </w:r>
        <w:r>
          <w:rPr>
            <w:rFonts w:asciiTheme="minorHAnsi" w:eastAsiaTheme="minorEastAsia" w:hAnsiTheme="minorHAnsi" w:cstheme="minorBidi"/>
            <w:noProof/>
            <w:sz w:val="22"/>
            <w:szCs w:val="22"/>
          </w:rPr>
          <w:tab/>
        </w:r>
        <w:r w:rsidRPr="00CC53E5">
          <w:rPr>
            <w:rStyle w:val="Hyperlink"/>
            <w:noProof/>
          </w:rPr>
          <w:t>Part 1 Section 17.4.22, insideH (Table Inside Horizontal Edges Border)</w:t>
        </w:r>
        <w:r>
          <w:rPr>
            <w:noProof/>
            <w:webHidden/>
          </w:rPr>
          <w:tab/>
        </w:r>
        <w:r>
          <w:rPr>
            <w:noProof/>
            <w:webHidden/>
          </w:rPr>
          <w:fldChar w:fldCharType="begin"/>
        </w:r>
        <w:r>
          <w:rPr>
            <w:noProof/>
            <w:webHidden/>
          </w:rPr>
          <w:instrText xml:space="preserve"> PAGEREF _Toc69877918 \h </w:instrText>
        </w:r>
        <w:r>
          <w:rPr>
            <w:noProof/>
            <w:webHidden/>
          </w:rPr>
        </w:r>
        <w:r>
          <w:rPr>
            <w:noProof/>
            <w:webHidden/>
          </w:rPr>
          <w:fldChar w:fldCharType="separate"/>
        </w:r>
        <w:r>
          <w:rPr>
            <w:noProof/>
            <w:webHidden/>
          </w:rPr>
          <w:t>87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19" w:history="1">
        <w:r w:rsidRPr="00CC53E5">
          <w:rPr>
            <w:rStyle w:val="Hyperlink"/>
            <w:noProof/>
          </w:rPr>
          <w:t>2.1.136</w:t>
        </w:r>
        <w:r>
          <w:rPr>
            <w:rFonts w:asciiTheme="minorHAnsi" w:eastAsiaTheme="minorEastAsia" w:hAnsiTheme="minorHAnsi" w:cstheme="minorBidi"/>
            <w:noProof/>
            <w:sz w:val="22"/>
            <w:szCs w:val="22"/>
          </w:rPr>
          <w:tab/>
        </w:r>
        <w:r w:rsidRPr="00CC53E5">
          <w:rPr>
            <w:rStyle w:val="Hyperlink"/>
            <w:noProof/>
          </w:rPr>
          <w:t>Part 1 Section 17.4.23, insideH (Table Cell Inside Horizontal Edges Border)</w:t>
        </w:r>
        <w:r>
          <w:rPr>
            <w:noProof/>
            <w:webHidden/>
          </w:rPr>
          <w:tab/>
        </w:r>
        <w:r>
          <w:rPr>
            <w:noProof/>
            <w:webHidden/>
          </w:rPr>
          <w:fldChar w:fldCharType="begin"/>
        </w:r>
        <w:r>
          <w:rPr>
            <w:noProof/>
            <w:webHidden/>
          </w:rPr>
          <w:instrText xml:space="preserve"> PAGEREF _Toc69877919 \h </w:instrText>
        </w:r>
        <w:r>
          <w:rPr>
            <w:noProof/>
            <w:webHidden/>
          </w:rPr>
        </w:r>
        <w:r>
          <w:rPr>
            <w:noProof/>
            <w:webHidden/>
          </w:rPr>
          <w:fldChar w:fldCharType="separate"/>
        </w:r>
        <w:r>
          <w:rPr>
            <w:noProof/>
            <w:webHidden/>
          </w:rPr>
          <w:t>87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20" w:history="1">
        <w:r w:rsidRPr="00CC53E5">
          <w:rPr>
            <w:rStyle w:val="Hyperlink"/>
            <w:noProof/>
          </w:rPr>
          <w:t>2.1.137</w:t>
        </w:r>
        <w:r>
          <w:rPr>
            <w:rFonts w:asciiTheme="minorHAnsi" w:eastAsiaTheme="minorEastAsia" w:hAnsiTheme="minorHAnsi" w:cstheme="minorBidi"/>
            <w:noProof/>
            <w:sz w:val="22"/>
            <w:szCs w:val="22"/>
          </w:rPr>
          <w:tab/>
        </w:r>
        <w:r w:rsidRPr="00CC53E5">
          <w:rPr>
            <w:rStyle w:val="Hyperlink"/>
            <w:noProof/>
          </w:rPr>
          <w:t>Part 1 Section 17.4.24, insideV (Table Inside Vertical Edges Border)</w:t>
        </w:r>
        <w:r>
          <w:rPr>
            <w:noProof/>
            <w:webHidden/>
          </w:rPr>
          <w:tab/>
        </w:r>
        <w:r>
          <w:rPr>
            <w:noProof/>
            <w:webHidden/>
          </w:rPr>
          <w:fldChar w:fldCharType="begin"/>
        </w:r>
        <w:r>
          <w:rPr>
            <w:noProof/>
            <w:webHidden/>
          </w:rPr>
          <w:instrText xml:space="preserve"> PAGEREF _Toc69877920 \h </w:instrText>
        </w:r>
        <w:r>
          <w:rPr>
            <w:noProof/>
            <w:webHidden/>
          </w:rPr>
        </w:r>
        <w:r>
          <w:rPr>
            <w:noProof/>
            <w:webHidden/>
          </w:rPr>
          <w:fldChar w:fldCharType="separate"/>
        </w:r>
        <w:r>
          <w:rPr>
            <w:noProof/>
            <w:webHidden/>
          </w:rPr>
          <w:t>87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21" w:history="1">
        <w:r w:rsidRPr="00CC53E5">
          <w:rPr>
            <w:rStyle w:val="Hyperlink"/>
            <w:noProof/>
          </w:rPr>
          <w:t>2.1.138</w:t>
        </w:r>
        <w:r>
          <w:rPr>
            <w:rFonts w:asciiTheme="minorHAnsi" w:eastAsiaTheme="minorEastAsia" w:hAnsiTheme="minorHAnsi" w:cstheme="minorBidi"/>
            <w:noProof/>
            <w:sz w:val="22"/>
            <w:szCs w:val="22"/>
          </w:rPr>
          <w:tab/>
        </w:r>
        <w:r w:rsidRPr="00CC53E5">
          <w:rPr>
            <w:rStyle w:val="Hyperlink"/>
            <w:noProof/>
          </w:rPr>
          <w:t>Part 1 Section 17.4.25, insideV (Table Cell Inside Vertical Edges Border)</w:t>
        </w:r>
        <w:r>
          <w:rPr>
            <w:noProof/>
            <w:webHidden/>
          </w:rPr>
          <w:tab/>
        </w:r>
        <w:r>
          <w:rPr>
            <w:noProof/>
            <w:webHidden/>
          </w:rPr>
          <w:fldChar w:fldCharType="begin"/>
        </w:r>
        <w:r>
          <w:rPr>
            <w:noProof/>
            <w:webHidden/>
          </w:rPr>
          <w:instrText xml:space="preserve"> PAGEREF _Toc69877921 \h </w:instrText>
        </w:r>
        <w:r>
          <w:rPr>
            <w:noProof/>
            <w:webHidden/>
          </w:rPr>
        </w:r>
        <w:r>
          <w:rPr>
            <w:noProof/>
            <w:webHidden/>
          </w:rPr>
          <w:fldChar w:fldCharType="separate"/>
        </w:r>
        <w:r>
          <w:rPr>
            <w:noProof/>
            <w:webHidden/>
          </w:rPr>
          <w:t>87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22" w:history="1">
        <w:r w:rsidRPr="00CC53E5">
          <w:rPr>
            <w:rStyle w:val="Hyperlink"/>
            <w:noProof/>
          </w:rPr>
          <w:t>2.1.139</w:t>
        </w:r>
        <w:r>
          <w:rPr>
            <w:rFonts w:asciiTheme="minorHAnsi" w:eastAsiaTheme="minorEastAsia" w:hAnsiTheme="minorHAnsi" w:cstheme="minorBidi"/>
            <w:noProof/>
            <w:sz w:val="22"/>
            <w:szCs w:val="22"/>
          </w:rPr>
          <w:tab/>
        </w:r>
        <w:r w:rsidRPr="00CC53E5">
          <w:rPr>
            <w:rStyle w:val="Hyperlink"/>
            <w:noProof/>
          </w:rPr>
          <w:t>Part 1 Section 17.4.26, jc (Table Alignment Exception)</w:t>
        </w:r>
        <w:r>
          <w:rPr>
            <w:noProof/>
            <w:webHidden/>
          </w:rPr>
          <w:tab/>
        </w:r>
        <w:r>
          <w:rPr>
            <w:noProof/>
            <w:webHidden/>
          </w:rPr>
          <w:fldChar w:fldCharType="begin"/>
        </w:r>
        <w:r>
          <w:rPr>
            <w:noProof/>
            <w:webHidden/>
          </w:rPr>
          <w:instrText xml:space="preserve"> PAGEREF _Toc69877922 \h </w:instrText>
        </w:r>
        <w:r>
          <w:rPr>
            <w:noProof/>
            <w:webHidden/>
          </w:rPr>
        </w:r>
        <w:r>
          <w:rPr>
            <w:noProof/>
            <w:webHidden/>
          </w:rPr>
          <w:fldChar w:fldCharType="separate"/>
        </w:r>
        <w:r>
          <w:rPr>
            <w:noProof/>
            <w:webHidden/>
          </w:rPr>
          <w:t>87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23" w:history="1">
        <w:r w:rsidRPr="00CC53E5">
          <w:rPr>
            <w:rStyle w:val="Hyperlink"/>
            <w:noProof/>
          </w:rPr>
          <w:t>2.1.140</w:t>
        </w:r>
        <w:r>
          <w:rPr>
            <w:rFonts w:asciiTheme="minorHAnsi" w:eastAsiaTheme="minorEastAsia" w:hAnsiTheme="minorHAnsi" w:cstheme="minorBidi"/>
            <w:noProof/>
            <w:sz w:val="22"/>
            <w:szCs w:val="22"/>
          </w:rPr>
          <w:tab/>
        </w:r>
        <w:r w:rsidRPr="00CC53E5">
          <w:rPr>
            <w:rStyle w:val="Hyperlink"/>
            <w:noProof/>
          </w:rPr>
          <w:t>Part 1 Section 17.4.27, jc (Table Row Alignment)</w:t>
        </w:r>
        <w:r>
          <w:rPr>
            <w:noProof/>
            <w:webHidden/>
          </w:rPr>
          <w:tab/>
        </w:r>
        <w:r>
          <w:rPr>
            <w:noProof/>
            <w:webHidden/>
          </w:rPr>
          <w:fldChar w:fldCharType="begin"/>
        </w:r>
        <w:r>
          <w:rPr>
            <w:noProof/>
            <w:webHidden/>
          </w:rPr>
          <w:instrText xml:space="preserve"> PAGEREF _Toc69877923 \h </w:instrText>
        </w:r>
        <w:r>
          <w:rPr>
            <w:noProof/>
            <w:webHidden/>
          </w:rPr>
        </w:r>
        <w:r>
          <w:rPr>
            <w:noProof/>
            <w:webHidden/>
          </w:rPr>
          <w:fldChar w:fldCharType="separate"/>
        </w:r>
        <w:r>
          <w:rPr>
            <w:noProof/>
            <w:webHidden/>
          </w:rPr>
          <w:t>87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24" w:history="1">
        <w:r w:rsidRPr="00CC53E5">
          <w:rPr>
            <w:rStyle w:val="Hyperlink"/>
            <w:noProof/>
          </w:rPr>
          <w:t>2.1.141</w:t>
        </w:r>
        <w:r>
          <w:rPr>
            <w:rFonts w:asciiTheme="minorHAnsi" w:eastAsiaTheme="minorEastAsia" w:hAnsiTheme="minorHAnsi" w:cstheme="minorBidi"/>
            <w:noProof/>
            <w:sz w:val="22"/>
            <w:szCs w:val="22"/>
          </w:rPr>
          <w:tab/>
        </w:r>
        <w:r w:rsidRPr="00CC53E5">
          <w:rPr>
            <w:rStyle w:val="Hyperlink"/>
            <w:noProof/>
          </w:rPr>
          <w:t>Part 1 Section 17.4.28, jc (Table Alignment)</w:t>
        </w:r>
        <w:r>
          <w:rPr>
            <w:noProof/>
            <w:webHidden/>
          </w:rPr>
          <w:tab/>
        </w:r>
        <w:r>
          <w:rPr>
            <w:noProof/>
            <w:webHidden/>
          </w:rPr>
          <w:fldChar w:fldCharType="begin"/>
        </w:r>
        <w:r>
          <w:rPr>
            <w:noProof/>
            <w:webHidden/>
          </w:rPr>
          <w:instrText xml:space="preserve"> PAGEREF _Toc69877924 \h </w:instrText>
        </w:r>
        <w:r>
          <w:rPr>
            <w:noProof/>
            <w:webHidden/>
          </w:rPr>
        </w:r>
        <w:r>
          <w:rPr>
            <w:noProof/>
            <w:webHidden/>
          </w:rPr>
          <w:fldChar w:fldCharType="separate"/>
        </w:r>
        <w:r>
          <w:rPr>
            <w:noProof/>
            <w:webHidden/>
          </w:rPr>
          <w:t>87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25" w:history="1">
        <w:r w:rsidRPr="00CC53E5">
          <w:rPr>
            <w:rStyle w:val="Hyperlink"/>
            <w:noProof/>
          </w:rPr>
          <w:t>2.1.142</w:t>
        </w:r>
        <w:r>
          <w:rPr>
            <w:rFonts w:asciiTheme="minorHAnsi" w:eastAsiaTheme="minorEastAsia" w:hAnsiTheme="minorHAnsi" w:cstheme="minorBidi"/>
            <w:noProof/>
            <w:sz w:val="22"/>
            <w:szCs w:val="22"/>
          </w:rPr>
          <w:tab/>
        </w:r>
        <w:r w:rsidRPr="00CC53E5">
          <w:rPr>
            <w:rStyle w:val="Hyperlink"/>
            <w:noProof/>
          </w:rPr>
          <w:t>Part 1 Section 17.4.30, shd (Table Shading Exception)</w:t>
        </w:r>
        <w:r>
          <w:rPr>
            <w:noProof/>
            <w:webHidden/>
          </w:rPr>
          <w:tab/>
        </w:r>
        <w:r>
          <w:rPr>
            <w:noProof/>
            <w:webHidden/>
          </w:rPr>
          <w:fldChar w:fldCharType="begin"/>
        </w:r>
        <w:r>
          <w:rPr>
            <w:noProof/>
            <w:webHidden/>
          </w:rPr>
          <w:instrText xml:space="preserve"> PAGEREF _Toc69877925 \h </w:instrText>
        </w:r>
        <w:r>
          <w:rPr>
            <w:noProof/>
            <w:webHidden/>
          </w:rPr>
        </w:r>
        <w:r>
          <w:rPr>
            <w:noProof/>
            <w:webHidden/>
          </w:rPr>
          <w:fldChar w:fldCharType="separate"/>
        </w:r>
        <w:r>
          <w:rPr>
            <w:noProof/>
            <w:webHidden/>
          </w:rPr>
          <w:t>88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26" w:history="1">
        <w:r w:rsidRPr="00CC53E5">
          <w:rPr>
            <w:rStyle w:val="Hyperlink"/>
            <w:noProof/>
          </w:rPr>
          <w:t>2.1.143</w:t>
        </w:r>
        <w:r>
          <w:rPr>
            <w:rFonts w:asciiTheme="minorHAnsi" w:eastAsiaTheme="minorEastAsia" w:hAnsiTheme="minorHAnsi" w:cstheme="minorBidi"/>
            <w:noProof/>
            <w:sz w:val="22"/>
            <w:szCs w:val="22"/>
          </w:rPr>
          <w:tab/>
        </w:r>
        <w:r w:rsidRPr="00CC53E5">
          <w:rPr>
            <w:rStyle w:val="Hyperlink"/>
            <w:noProof/>
          </w:rPr>
          <w:t>Part 1 Section 17.4.31, shd (Table Shading)</w:t>
        </w:r>
        <w:r>
          <w:rPr>
            <w:noProof/>
            <w:webHidden/>
          </w:rPr>
          <w:tab/>
        </w:r>
        <w:r>
          <w:rPr>
            <w:noProof/>
            <w:webHidden/>
          </w:rPr>
          <w:fldChar w:fldCharType="begin"/>
        </w:r>
        <w:r>
          <w:rPr>
            <w:noProof/>
            <w:webHidden/>
          </w:rPr>
          <w:instrText xml:space="preserve"> PAGEREF _Toc69877926 \h </w:instrText>
        </w:r>
        <w:r>
          <w:rPr>
            <w:noProof/>
            <w:webHidden/>
          </w:rPr>
        </w:r>
        <w:r>
          <w:rPr>
            <w:noProof/>
            <w:webHidden/>
          </w:rPr>
          <w:fldChar w:fldCharType="separate"/>
        </w:r>
        <w:r>
          <w:rPr>
            <w:noProof/>
            <w:webHidden/>
          </w:rPr>
          <w:t>88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27" w:history="1">
        <w:r w:rsidRPr="00CC53E5">
          <w:rPr>
            <w:rStyle w:val="Hyperlink"/>
            <w:noProof/>
          </w:rPr>
          <w:t>2.1.144</w:t>
        </w:r>
        <w:r>
          <w:rPr>
            <w:rFonts w:asciiTheme="minorHAnsi" w:eastAsiaTheme="minorEastAsia" w:hAnsiTheme="minorHAnsi" w:cstheme="minorBidi"/>
            <w:noProof/>
            <w:sz w:val="22"/>
            <w:szCs w:val="22"/>
          </w:rPr>
          <w:tab/>
        </w:r>
        <w:r w:rsidRPr="00CC53E5">
          <w:rPr>
            <w:rStyle w:val="Hyperlink"/>
            <w:noProof/>
          </w:rPr>
          <w:t>Part 1 Section 17.4.32, shd (Table Cell Shading)</w:t>
        </w:r>
        <w:r>
          <w:rPr>
            <w:noProof/>
            <w:webHidden/>
          </w:rPr>
          <w:tab/>
        </w:r>
        <w:r>
          <w:rPr>
            <w:noProof/>
            <w:webHidden/>
          </w:rPr>
          <w:fldChar w:fldCharType="begin"/>
        </w:r>
        <w:r>
          <w:rPr>
            <w:noProof/>
            <w:webHidden/>
          </w:rPr>
          <w:instrText xml:space="preserve"> PAGEREF _Toc69877927 \h </w:instrText>
        </w:r>
        <w:r>
          <w:rPr>
            <w:noProof/>
            <w:webHidden/>
          </w:rPr>
        </w:r>
        <w:r>
          <w:rPr>
            <w:noProof/>
            <w:webHidden/>
          </w:rPr>
          <w:fldChar w:fldCharType="separate"/>
        </w:r>
        <w:r>
          <w:rPr>
            <w:noProof/>
            <w:webHidden/>
          </w:rPr>
          <w:t>88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28" w:history="1">
        <w:r w:rsidRPr="00CC53E5">
          <w:rPr>
            <w:rStyle w:val="Hyperlink"/>
            <w:noProof/>
          </w:rPr>
          <w:t>2.1.145</w:t>
        </w:r>
        <w:r>
          <w:rPr>
            <w:rFonts w:asciiTheme="minorHAnsi" w:eastAsiaTheme="minorEastAsia" w:hAnsiTheme="minorHAnsi" w:cstheme="minorBidi"/>
            <w:noProof/>
            <w:sz w:val="22"/>
            <w:szCs w:val="22"/>
          </w:rPr>
          <w:tab/>
        </w:r>
        <w:r w:rsidRPr="00CC53E5">
          <w:rPr>
            <w:rStyle w:val="Hyperlink"/>
            <w:noProof/>
          </w:rPr>
          <w:t>Part 1 Section 17.4.33, start (Table Cell Leading Edge Border)</w:t>
        </w:r>
        <w:r>
          <w:rPr>
            <w:noProof/>
            <w:webHidden/>
          </w:rPr>
          <w:tab/>
        </w:r>
        <w:r>
          <w:rPr>
            <w:noProof/>
            <w:webHidden/>
          </w:rPr>
          <w:fldChar w:fldCharType="begin"/>
        </w:r>
        <w:r>
          <w:rPr>
            <w:noProof/>
            <w:webHidden/>
          </w:rPr>
          <w:instrText xml:space="preserve"> PAGEREF _Toc69877928 \h </w:instrText>
        </w:r>
        <w:r>
          <w:rPr>
            <w:noProof/>
            <w:webHidden/>
          </w:rPr>
        </w:r>
        <w:r>
          <w:rPr>
            <w:noProof/>
            <w:webHidden/>
          </w:rPr>
          <w:fldChar w:fldCharType="separate"/>
        </w:r>
        <w:r>
          <w:rPr>
            <w:noProof/>
            <w:webHidden/>
          </w:rPr>
          <w:t>88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29" w:history="1">
        <w:r w:rsidRPr="00CC53E5">
          <w:rPr>
            <w:rStyle w:val="Hyperlink"/>
            <w:noProof/>
          </w:rPr>
          <w:t>2.1.146</w:t>
        </w:r>
        <w:r>
          <w:rPr>
            <w:rFonts w:asciiTheme="minorHAnsi" w:eastAsiaTheme="minorEastAsia" w:hAnsiTheme="minorHAnsi" w:cstheme="minorBidi"/>
            <w:noProof/>
            <w:sz w:val="22"/>
            <w:szCs w:val="22"/>
          </w:rPr>
          <w:tab/>
        </w:r>
        <w:r w:rsidRPr="00CC53E5">
          <w:rPr>
            <w:rStyle w:val="Hyperlink"/>
            <w:noProof/>
          </w:rPr>
          <w:t>Part 1 Section 17.4.34, start (Table Cell Leading Margin Default)</w:t>
        </w:r>
        <w:r>
          <w:rPr>
            <w:noProof/>
            <w:webHidden/>
          </w:rPr>
          <w:tab/>
        </w:r>
        <w:r>
          <w:rPr>
            <w:noProof/>
            <w:webHidden/>
          </w:rPr>
          <w:fldChar w:fldCharType="begin"/>
        </w:r>
        <w:r>
          <w:rPr>
            <w:noProof/>
            <w:webHidden/>
          </w:rPr>
          <w:instrText xml:space="preserve"> PAGEREF _Toc69877929 \h </w:instrText>
        </w:r>
        <w:r>
          <w:rPr>
            <w:noProof/>
            <w:webHidden/>
          </w:rPr>
        </w:r>
        <w:r>
          <w:rPr>
            <w:noProof/>
            <w:webHidden/>
          </w:rPr>
          <w:fldChar w:fldCharType="separate"/>
        </w:r>
        <w:r>
          <w:rPr>
            <w:noProof/>
            <w:webHidden/>
          </w:rPr>
          <w:t>88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30" w:history="1">
        <w:r w:rsidRPr="00CC53E5">
          <w:rPr>
            <w:rStyle w:val="Hyperlink"/>
            <w:noProof/>
          </w:rPr>
          <w:t>2.1.147</w:t>
        </w:r>
        <w:r>
          <w:rPr>
            <w:rFonts w:asciiTheme="minorHAnsi" w:eastAsiaTheme="minorEastAsia" w:hAnsiTheme="minorHAnsi" w:cstheme="minorBidi"/>
            <w:noProof/>
            <w:sz w:val="22"/>
            <w:szCs w:val="22"/>
          </w:rPr>
          <w:tab/>
        </w:r>
        <w:r w:rsidRPr="00CC53E5">
          <w:rPr>
            <w:rStyle w:val="Hyperlink"/>
            <w:noProof/>
          </w:rPr>
          <w:t>Part 1 Section 17.4.35, start (Table Cell Leading Margin Exception)</w:t>
        </w:r>
        <w:r>
          <w:rPr>
            <w:noProof/>
            <w:webHidden/>
          </w:rPr>
          <w:tab/>
        </w:r>
        <w:r>
          <w:rPr>
            <w:noProof/>
            <w:webHidden/>
          </w:rPr>
          <w:fldChar w:fldCharType="begin"/>
        </w:r>
        <w:r>
          <w:rPr>
            <w:noProof/>
            <w:webHidden/>
          </w:rPr>
          <w:instrText xml:space="preserve"> PAGEREF _Toc69877930 \h </w:instrText>
        </w:r>
        <w:r>
          <w:rPr>
            <w:noProof/>
            <w:webHidden/>
          </w:rPr>
        </w:r>
        <w:r>
          <w:rPr>
            <w:noProof/>
            <w:webHidden/>
          </w:rPr>
          <w:fldChar w:fldCharType="separate"/>
        </w:r>
        <w:r>
          <w:rPr>
            <w:noProof/>
            <w:webHidden/>
          </w:rPr>
          <w:t>89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31" w:history="1">
        <w:r w:rsidRPr="00CC53E5">
          <w:rPr>
            <w:rStyle w:val="Hyperlink"/>
            <w:noProof/>
          </w:rPr>
          <w:t>2.1.148</w:t>
        </w:r>
        <w:r>
          <w:rPr>
            <w:rFonts w:asciiTheme="minorHAnsi" w:eastAsiaTheme="minorEastAsia" w:hAnsiTheme="minorHAnsi" w:cstheme="minorBidi"/>
            <w:noProof/>
            <w:sz w:val="22"/>
            <w:szCs w:val="22"/>
          </w:rPr>
          <w:tab/>
        </w:r>
        <w:r w:rsidRPr="00CC53E5">
          <w:rPr>
            <w:rStyle w:val="Hyperlink"/>
            <w:noProof/>
          </w:rPr>
          <w:t>Part 1 Section 17.4.36, start (Table Leading Edge Border)</w:t>
        </w:r>
        <w:r>
          <w:rPr>
            <w:noProof/>
            <w:webHidden/>
          </w:rPr>
          <w:tab/>
        </w:r>
        <w:r>
          <w:rPr>
            <w:noProof/>
            <w:webHidden/>
          </w:rPr>
          <w:fldChar w:fldCharType="begin"/>
        </w:r>
        <w:r>
          <w:rPr>
            <w:noProof/>
            <w:webHidden/>
          </w:rPr>
          <w:instrText xml:space="preserve"> PAGEREF _Toc69877931 \h </w:instrText>
        </w:r>
        <w:r>
          <w:rPr>
            <w:noProof/>
            <w:webHidden/>
          </w:rPr>
        </w:r>
        <w:r>
          <w:rPr>
            <w:noProof/>
            <w:webHidden/>
          </w:rPr>
          <w:fldChar w:fldCharType="separate"/>
        </w:r>
        <w:r>
          <w:rPr>
            <w:noProof/>
            <w:webHidden/>
          </w:rPr>
          <w:t>89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32" w:history="1">
        <w:r w:rsidRPr="00CC53E5">
          <w:rPr>
            <w:rStyle w:val="Hyperlink"/>
            <w:noProof/>
          </w:rPr>
          <w:t>2.1.149</w:t>
        </w:r>
        <w:r>
          <w:rPr>
            <w:rFonts w:asciiTheme="minorHAnsi" w:eastAsiaTheme="minorEastAsia" w:hAnsiTheme="minorHAnsi" w:cstheme="minorBidi"/>
            <w:noProof/>
            <w:sz w:val="22"/>
            <w:szCs w:val="22"/>
          </w:rPr>
          <w:tab/>
        </w:r>
        <w:r w:rsidRPr="00CC53E5">
          <w:rPr>
            <w:rStyle w:val="Hyperlink"/>
            <w:noProof/>
          </w:rPr>
          <w:t>Part 1 Section 17.4.37, tbl (Table)</w:t>
        </w:r>
        <w:r>
          <w:rPr>
            <w:noProof/>
            <w:webHidden/>
          </w:rPr>
          <w:tab/>
        </w:r>
        <w:r>
          <w:rPr>
            <w:noProof/>
            <w:webHidden/>
          </w:rPr>
          <w:fldChar w:fldCharType="begin"/>
        </w:r>
        <w:r>
          <w:rPr>
            <w:noProof/>
            <w:webHidden/>
          </w:rPr>
          <w:instrText xml:space="preserve"> PAGEREF _Toc69877932 \h </w:instrText>
        </w:r>
        <w:r>
          <w:rPr>
            <w:noProof/>
            <w:webHidden/>
          </w:rPr>
        </w:r>
        <w:r>
          <w:rPr>
            <w:noProof/>
            <w:webHidden/>
          </w:rPr>
          <w:fldChar w:fldCharType="separate"/>
        </w:r>
        <w:r>
          <w:rPr>
            <w:noProof/>
            <w:webHidden/>
          </w:rPr>
          <w:t>89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33" w:history="1">
        <w:r w:rsidRPr="00CC53E5">
          <w:rPr>
            <w:rStyle w:val="Hyperlink"/>
            <w:noProof/>
          </w:rPr>
          <w:t>2.1.150</w:t>
        </w:r>
        <w:r>
          <w:rPr>
            <w:rFonts w:asciiTheme="minorHAnsi" w:eastAsiaTheme="minorEastAsia" w:hAnsiTheme="minorHAnsi" w:cstheme="minorBidi"/>
            <w:noProof/>
            <w:sz w:val="22"/>
            <w:szCs w:val="22"/>
          </w:rPr>
          <w:tab/>
        </w:r>
        <w:r w:rsidRPr="00CC53E5">
          <w:rPr>
            <w:rStyle w:val="Hyperlink"/>
            <w:noProof/>
          </w:rPr>
          <w:t>Part 1 Section 17.4.38, tblBorders (Table Borders)</w:t>
        </w:r>
        <w:r>
          <w:rPr>
            <w:noProof/>
            <w:webHidden/>
          </w:rPr>
          <w:tab/>
        </w:r>
        <w:r>
          <w:rPr>
            <w:noProof/>
            <w:webHidden/>
          </w:rPr>
          <w:fldChar w:fldCharType="begin"/>
        </w:r>
        <w:r>
          <w:rPr>
            <w:noProof/>
            <w:webHidden/>
          </w:rPr>
          <w:instrText xml:space="preserve"> PAGEREF _Toc69877933 \h </w:instrText>
        </w:r>
        <w:r>
          <w:rPr>
            <w:noProof/>
            <w:webHidden/>
          </w:rPr>
        </w:r>
        <w:r>
          <w:rPr>
            <w:noProof/>
            <w:webHidden/>
          </w:rPr>
          <w:fldChar w:fldCharType="separate"/>
        </w:r>
        <w:r>
          <w:rPr>
            <w:noProof/>
            <w:webHidden/>
          </w:rPr>
          <w:t>89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34" w:history="1">
        <w:r w:rsidRPr="00CC53E5">
          <w:rPr>
            <w:rStyle w:val="Hyperlink"/>
            <w:noProof/>
          </w:rPr>
          <w:t>2.1.151</w:t>
        </w:r>
        <w:r>
          <w:rPr>
            <w:rFonts w:asciiTheme="minorHAnsi" w:eastAsiaTheme="minorEastAsia" w:hAnsiTheme="minorHAnsi" w:cstheme="minorBidi"/>
            <w:noProof/>
            <w:sz w:val="22"/>
            <w:szCs w:val="22"/>
          </w:rPr>
          <w:tab/>
        </w:r>
        <w:r w:rsidRPr="00CC53E5">
          <w:rPr>
            <w:rStyle w:val="Hyperlink"/>
            <w:noProof/>
          </w:rPr>
          <w:t>Part 1 Section 17.4.39, tblBorders (Table Borders Exceptions)</w:t>
        </w:r>
        <w:r>
          <w:rPr>
            <w:noProof/>
            <w:webHidden/>
          </w:rPr>
          <w:tab/>
        </w:r>
        <w:r>
          <w:rPr>
            <w:noProof/>
            <w:webHidden/>
          </w:rPr>
          <w:fldChar w:fldCharType="begin"/>
        </w:r>
        <w:r>
          <w:rPr>
            <w:noProof/>
            <w:webHidden/>
          </w:rPr>
          <w:instrText xml:space="preserve"> PAGEREF _Toc69877934 \h </w:instrText>
        </w:r>
        <w:r>
          <w:rPr>
            <w:noProof/>
            <w:webHidden/>
          </w:rPr>
        </w:r>
        <w:r>
          <w:rPr>
            <w:noProof/>
            <w:webHidden/>
          </w:rPr>
          <w:fldChar w:fldCharType="separate"/>
        </w:r>
        <w:r>
          <w:rPr>
            <w:noProof/>
            <w:webHidden/>
          </w:rPr>
          <w:t>89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35" w:history="1">
        <w:r w:rsidRPr="00CC53E5">
          <w:rPr>
            <w:rStyle w:val="Hyperlink"/>
            <w:noProof/>
          </w:rPr>
          <w:t>2.1.152</w:t>
        </w:r>
        <w:r>
          <w:rPr>
            <w:rFonts w:asciiTheme="minorHAnsi" w:eastAsiaTheme="minorEastAsia" w:hAnsiTheme="minorHAnsi" w:cstheme="minorBidi"/>
            <w:noProof/>
            <w:sz w:val="22"/>
            <w:szCs w:val="22"/>
          </w:rPr>
          <w:tab/>
        </w:r>
        <w:r w:rsidRPr="00CC53E5">
          <w:rPr>
            <w:rStyle w:val="Hyperlink"/>
            <w:noProof/>
          </w:rPr>
          <w:t>Part 1 Section 17.4.43, tblCellSpacing (Table Row Cell Spacing)</w:t>
        </w:r>
        <w:r>
          <w:rPr>
            <w:noProof/>
            <w:webHidden/>
          </w:rPr>
          <w:tab/>
        </w:r>
        <w:r>
          <w:rPr>
            <w:noProof/>
            <w:webHidden/>
          </w:rPr>
          <w:fldChar w:fldCharType="begin"/>
        </w:r>
        <w:r>
          <w:rPr>
            <w:noProof/>
            <w:webHidden/>
          </w:rPr>
          <w:instrText xml:space="preserve"> PAGEREF _Toc69877935 \h </w:instrText>
        </w:r>
        <w:r>
          <w:rPr>
            <w:noProof/>
            <w:webHidden/>
          </w:rPr>
        </w:r>
        <w:r>
          <w:rPr>
            <w:noProof/>
            <w:webHidden/>
          </w:rPr>
          <w:fldChar w:fldCharType="separate"/>
        </w:r>
        <w:r>
          <w:rPr>
            <w:noProof/>
            <w:webHidden/>
          </w:rPr>
          <w:t>89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36" w:history="1">
        <w:r w:rsidRPr="00CC53E5">
          <w:rPr>
            <w:rStyle w:val="Hyperlink"/>
            <w:noProof/>
          </w:rPr>
          <w:t>2.1.153</w:t>
        </w:r>
        <w:r>
          <w:rPr>
            <w:rFonts w:asciiTheme="minorHAnsi" w:eastAsiaTheme="minorEastAsia" w:hAnsiTheme="minorHAnsi" w:cstheme="minorBidi"/>
            <w:noProof/>
            <w:sz w:val="22"/>
            <w:szCs w:val="22"/>
          </w:rPr>
          <w:tab/>
        </w:r>
        <w:r w:rsidRPr="00CC53E5">
          <w:rPr>
            <w:rStyle w:val="Hyperlink"/>
            <w:noProof/>
          </w:rPr>
          <w:t>Part 1 Section 17.4.44, tblCellSpacing (Table Cell Spacing Exception)</w:t>
        </w:r>
        <w:r>
          <w:rPr>
            <w:noProof/>
            <w:webHidden/>
          </w:rPr>
          <w:tab/>
        </w:r>
        <w:r>
          <w:rPr>
            <w:noProof/>
            <w:webHidden/>
          </w:rPr>
          <w:fldChar w:fldCharType="begin"/>
        </w:r>
        <w:r>
          <w:rPr>
            <w:noProof/>
            <w:webHidden/>
          </w:rPr>
          <w:instrText xml:space="preserve"> PAGEREF _Toc69877936 \h </w:instrText>
        </w:r>
        <w:r>
          <w:rPr>
            <w:noProof/>
            <w:webHidden/>
          </w:rPr>
        </w:r>
        <w:r>
          <w:rPr>
            <w:noProof/>
            <w:webHidden/>
          </w:rPr>
          <w:fldChar w:fldCharType="separate"/>
        </w:r>
        <w:r>
          <w:rPr>
            <w:noProof/>
            <w:webHidden/>
          </w:rPr>
          <w:t>90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37" w:history="1">
        <w:r w:rsidRPr="00CC53E5">
          <w:rPr>
            <w:rStyle w:val="Hyperlink"/>
            <w:noProof/>
          </w:rPr>
          <w:t>2.1.154</w:t>
        </w:r>
        <w:r>
          <w:rPr>
            <w:rFonts w:asciiTheme="minorHAnsi" w:eastAsiaTheme="minorEastAsia" w:hAnsiTheme="minorHAnsi" w:cstheme="minorBidi"/>
            <w:noProof/>
            <w:sz w:val="22"/>
            <w:szCs w:val="22"/>
          </w:rPr>
          <w:tab/>
        </w:r>
        <w:r w:rsidRPr="00CC53E5">
          <w:rPr>
            <w:rStyle w:val="Hyperlink"/>
            <w:noProof/>
          </w:rPr>
          <w:t>Part 1 Section 17.4.45, tblCellSpacing (Table Cell Spacing Default)</w:t>
        </w:r>
        <w:r>
          <w:rPr>
            <w:noProof/>
            <w:webHidden/>
          </w:rPr>
          <w:tab/>
        </w:r>
        <w:r>
          <w:rPr>
            <w:noProof/>
            <w:webHidden/>
          </w:rPr>
          <w:fldChar w:fldCharType="begin"/>
        </w:r>
        <w:r>
          <w:rPr>
            <w:noProof/>
            <w:webHidden/>
          </w:rPr>
          <w:instrText xml:space="preserve"> PAGEREF _Toc69877937 \h </w:instrText>
        </w:r>
        <w:r>
          <w:rPr>
            <w:noProof/>
            <w:webHidden/>
          </w:rPr>
        </w:r>
        <w:r>
          <w:rPr>
            <w:noProof/>
            <w:webHidden/>
          </w:rPr>
          <w:fldChar w:fldCharType="separate"/>
        </w:r>
        <w:r>
          <w:rPr>
            <w:noProof/>
            <w:webHidden/>
          </w:rPr>
          <w:t>90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38" w:history="1">
        <w:r w:rsidRPr="00CC53E5">
          <w:rPr>
            <w:rStyle w:val="Hyperlink"/>
            <w:noProof/>
          </w:rPr>
          <w:t>2.1.155</w:t>
        </w:r>
        <w:r>
          <w:rPr>
            <w:rFonts w:asciiTheme="minorHAnsi" w:eastAsiaTheme="minorEastAsia" w:hAnsiTheme="minorHAnsi" w:cstheme="minorBidi"/>
            <w:noProof/>
            <w:sz w:val="22"/>
            <w:szCs w:val="22"/>
          </w:rPr>
          <w:tab/>
        </w:r>
        <w:r w:rsidRPr="00CC53E5">
          <w:rPr>
            <w:rStyle w:val="Hyperlink"/>
            <w:noProof/>
          </w:rPr>
          <w:t>Part 1 Section 17.4.50, tblInd (Table Indent from Leading Margin)</w:t>
        </w:r>
        <w:r>
          <w:rPr>
            <w:noProof/>
            <w:webHidden/>
          </w:rPr>
          <w:tab/>
        </w:r>
        <w:r>
          <w:rPr>
            <w:noProof/>
            <w:webHidden/>
          </w:rPr>
          <w:fldChar w:fldCharType="begin"/>
        </w:r>
        <w:r>
          <w:rPr>
            <w:noProof/>
            <w:webHidden/>
          </w:rPr>
          <w:instrText xml:space="preserve"> PAGEREF _Toc69877938 \h </w:instrText>
        </w:r>
        <w:r>
          <w:rPr>
            <w:noProof/>
            <w:webHidden/>
          </w:rPr>
        </w:r>
        <w:r>
          <w:rPr>
            <w:noProof/>
            <w:webHidden/>
          </w:rPr>
          <w:fldChar w:fldCharType="separate"/>
        </w:r>
        <w:r>
          <w:rPr>
            <w:noProof/>
            <w:webHidden/>
          </w:rPr>
          <w:t>90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39" w:history="1">
        <w:r w:rsidRPr="00CC53E5">
          <w:rPr>
            <w:rStyle w:val="Hyperlink"/>
            <w:noProof/>
          </w:rPr>
          <w:t>2.1.156</w:t>
        </w:r>
        <w:r>
          <w:rPr>
            <w:rFonts w:asciiTheme="minorHAnsi" w:eastAsiaTheme="minorEastAsia" w:hAnsiTheme="minorHAnsi" w:cstheme="minorBidi"/>
            <w:noProof/>
            <w:sz w:val="22"/>
            <w:szCs w:val="22"/>
          </w:rPr>
          <w:tab/>
        </w:r>
        <w:r w:rsidRPr="00CC53E5">
          <w:rPr>
            <w:rStyle w:val="Hyperlink"/>
            <w:noProof/>
          </w:rPr>
          <w:t>Part 1 Section 17.4.51, tblInd (Table Indent from Leading Margin Exception)</w:t>
        </w:r>
        <w:r>
          <w:rPr>
            <w:noProof/>
            <w:webHidden/>
          </w:rPr>
          <w:tab/>
        </w:r>
        <w:r>
          <w:rPr>
            <w:noProof/>
            <w:webHidden/>
          </w:rPr>
          <w:fldChar w:fldCharType="begin"/>
        </w:r>
        <w:r>
          <w:rPr>
            <w:noProof/>
            <w:webHidden/>
          </w:rPr>
          <w:instrText xml:space="preserve"> PAGEREF _Toc69877939 \h </w:instrText>
        </w:r>
        <w:r>
          <w:rPr>
            <w:noProof/>
            <w:webHidden/>
          </w:rPr>
        </w:r>
        <w:r>
          <w:rPr>
            <w:noProof/>
            <w:webHidden/>
          </w:rPr>
          <w:fldChar w:fldCharType="separate"/>
        </w:r>
        <w:r>
          <w:rPr>
            <w:noProof/>
            <w:webHidden/>
          </w:rPr>
          <w:t>90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40" w:history="1">
        <w:r w:rsidRPr="00CC53E5">
          <w:rPr>
            <w:rStyle w:val="Hyperlink"/>
            <w:noProof/>
          </w:rPr>
          <w:t>2.1.157</w:t>
        </w:r>
        <w:r>
          <w:rPr>
            <w:rFonts w:asciiTheme="minorHAnsi" w:eastAsiaTheme="minorEastAsia" w:hAnsiTheme="minorHAnsi" w:cstheme="minorBidi"/>
            <w:noProof/>
            <w:sz w:val="22"/>
            <w:szCs w:val="22"/>
          </w:rPr>
          <w:tab/>
        </w:r>
        <w:r w:rsidRPr="00CC53E5">
          <w:rPr>
            <w:rStyle w:val="Hyperlink"/>
            <w:noProof/>
          </w:rPr>
          <w:t>Part 1 Section 17.4.52, tblLayout (Table Layout)</w:t>
        </w:r>
        <w:r>
          <w:rPr>
            <w:noProof/>
            <w:webHidden/>
          </w:rPr>
          <w:tab/>
        </w:r>
        <w:r>
          <w:rPr>
            <w:noProof/>
            <w:webHidden/>
          </w:rPr>
          <w:fldChar w:fldCharType="begin"/>
        </w:r>
        <w:r>
          <w:rPr>
            <w:noProof/>
            <w:webHidden/>
          </w:rPr>
          <w:instrText xml:space="preserve"> PAGEREF _Toc69877940 \h </w:instrText>
        </w:r>
        <w:r>
          <w:rPr>
            <w:noProof/>
            <w:webHidden/>
          </w:rPr>
        </w:r>
        <w:r>
          <w:rPr>
            <w:noProof/>
            <w:webHidden/>
          </w:rPr>
          <w:fldChar w:fldCharType="separate"/>
        </w:r>
        <w:r>
          <w:rPr>
            <w:noProof/>
            <w:webHidden/>
          </w:rPr>
          <w:t>90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41" w:history="1">
        <w:r w:rsidRPr="00CC53E5">
          <w:rPr>
            <w:rStyle w:val="Hyperlink"/>
            <w:noProof/>
          </w:rPr>
          <w:t>2.1.158</w:t>
        </w:r>
        <w:r>
          <w:rPr>
            <w:rFonts w:asciiTheme="minorHAnsi" w:eastAsiaTheme="minorEastAsia" w:hAnsiTheme="minorHAnsi" w:cstheme="minorBidi"/>
            <w:noProof/>
            <w:sz w:val="22"/>
            <w:szCs w:val="22"/>
          </w:rPr>
          <w:tab/>
        </w:r>
        <w:r w:rsidRPr="00CC53E5">
          <w:rPr>
            <w:rStyle w:val="Hyperlink"/>
            <w:noProof/>
          </w:rPr>
          <w:t>Part 1 Section 17.4.53, tblLayout (Table Layout Exception)</w:t>
        </w:r>
        <w:r>
          <w:rPr>
            <w:noProof/>
            <w:webHidden/>
          </w:rPr>
          <w:tab/>
        </w:r>
        <w:r>
          <w:rPr>
            <w:noProof/>
            <w:webHidden/>
          </w:rPr>
          <w:fldChar w:fldCharType="begin"/>
        </w:r>
        <w:r>
          <w:rPr>
            <w:noProof/>
            <w:webHidden/>
          </w:rPr>
          <w:instrText xml:space="preserve"> PAGEREF _Toc69877941 \h </w:instrText>
        </w:r>
        <w:r>
          <w:rPr>
            <w:noProof/>
            <w:webHidden/>
          </w:rPr>
        </w:r>
        <w:r>
          <w:rPr>
            <w:noProof/>
            <w:webHidden/>
          </w:rPr>
          <w:fldChar w:fldCharType="separate"/>
        </w:r>
        <w:r>
          <w:rPr>
            <w:noProof/>
            <w:webHidden/>
          </w:rPr>
          <w:t>90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42" w:history="1">
        <w:r w:rsidRPr="00CC53E5">
          <w:rPr>
            <w:rStyle w:val="Hyperlink"/>
            <w:noProof/>
          </w:rPr>
          <w:t>2.1.159</w:t>
        </w:r>
        <w:r>
          <w:rPr>
            <w:rFonts w:asciiTheme="minorHAnsi" w:eastAsiaTheme="minorEastAsia" w:hAnsiTheme="minorHAnsi" w:cstheme="minorBidi"/>
            <w:noProof/>
            <w:sz w:val="22"/>
            <w:szCs w:val="22"/>
          </w:rPr>
          <w:tab/>
        </w:r>
        <w:r w:rsidRPr="00CC53E5">
          <w:rPr>
            <w:rStyle w:val="Hyperlink"/>
            <w:noProof/>
          </w:rPr>
          <w:t>Part 1 Section 17.4.54, tblLook (Table Style Conditional Formatting Settings Exception)</w:t>
        </w:r>
        <w:r>
          <w:rPr>
            <w:noProof/>
            <w:webHidden/>
          </w:rPr>
          <w:tab/>
        </w:r>
        <w:r>
          <w:rPr>
            <w:noProof/>
            <w:webHidden/>
          </w:rPr>
          <w:fldChar w:fldCharType="begin"/>
        </w:r>
        <w:r>
          <w:rPr>
            <w:noProof/>
            <w:webHidden/>
          </w:rPr>
          <w:instrText xml:space="preserve"> PAGEREF _Toc69877942 \h </w:instrText>
        </w:r>
        <w:r>
          <w:rPr>
            <w:noProof/>
            <w:webHidden/>
          </w:rPr>
        </w:r>
        <w:r>
          <w:rPr>
            <w:noProof/>
            <w:webHidden/>
          </w:rPr>
          <w:fldChar w:fldCharType="separate"/>
        </w:r>
        <w:r>
          <w:rPr>
            <w:noProof/>
            <w:webHidden/>
          </w:rPr>
          <w:t>90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43" w:history="1">
        <w:r w:rsidRPr="00CC53E5">
          <w:rPr>
            <w:rStyle w:val="Hyperlink"/>
            <w:noProof/>
          </w:rPr>
          <w:t>2.1.160</w:t>
        </w:r>
        <w:r>
          <w:rPr>
            <w:rFonts w:asciiTheme="minorHAnsi" w:eastAsiaTheme="minorEastAsia" w:hAnsiTheme="minorHAnsi" w:cstheme="minorBidi"/>
            <w:noProof/>
            <w:sz w:val="22"/>
            <w:szCs w:val="22"/>
          </w:rPr>
          <w:tab/>
        </w:r>
        <w:r w:rsidRPr="00CC53E5">
          <w:rPr>
            <w:rStyle w:val="Hyperlink"/>
            <w:noProof/>
          </w:rPr>
          <w:t>Part 1 Section 17.4.55, tblLook (Table Style Conditional Formatting Settings)</w:t>
        </w:r>
        <w:r>
          <w:rPr>
            <w:noProof/>
            <w:webHidden/>
          </w:rPr>
          <w:tab/>
        </w:r>
        <w:r>
          <w:rPr>
            <w:noProof/>
            <w:webHidden/>
          </w:rPr>
          <w:fldChar w:fldCharType="begin"/>
        </w:r>
        <w:r>
          <w:rPr>
            <w:noProof/>
            <w:webHidden/>
          </w:rPr>
          <w:instrText xml:space="preserve"> PAGEREF _Toc69877943 \h </w:instrText>
        </w:r>
        <w:r>
          <w:rPr>
            <w:noProof/>
            <w:webHidden/>
          </w:rPr>
        </w:r>
        <w:r>
          <w:rPr>
            <w:noProof/>
            <w:webHidden/>
          </w:rPr>
          <w:fldChar w:fldCharType="separate"/>
        </w:r>
        <w:r>
          <w:rPr>
            <w:noProof/>
            <w:webHidden/>
          </w:rPr>
          <w:t>91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44" w:history="1">
        <w:r w:rsidRPr="00CC53E5">
          <w:rPr>
            <w:rStyle w:val="Hyperlink"/>
            <w:noProof/>
          </w:rPr>
          <w:t>2.1.161</w:t>
        </w:r>
        <w:r>
          <w:rPr>
            <w:rFonts w:asciiTheme="minorHAnsi" w:eastAsiaTheme="minorEastAsia" w:hAnsiTheme="minorHAnsi" w:cstheme="minorBidi"/>
            <w:noProof/>
            <w:sz w:val="22"/>
            <w:szCs w:val="22"/>
          </w:rPr>
          <w:tab/>
        </w:r>
        <w:r w:rsidRPr="00CC53E5">
          <w:rPr>
            <w:rStyle w:val="Hyperlink"/>
            <w:noProof/>
          </w:rPr>
          <w:t>Part 1 Section 17.4.56, tblOverlap (Floating Table Allows Other Tables to Overlap)</w:t>
        </w:r>
        <w:r>
          <w:rPr>
            <w:noProof/>
            <w:webHidden/>
          </w:rPr>
          <w:tab/>
        </w:r>
        <w:r>
          <w:rPr>
            <w:noProof/>
            <w:webHidden/>
          </w:rPr>
          <w:fldChar w:fldCharType="begin"/>
        </w:r>
        <w:r>
          <w:rPr>
            <w:noProof/>
            <w:webHidden/>
          </w:rPr>
          <w:instrText xml:space="preserve"> PAGEREF _Toc69877944 \h </w:instrText>
        </w:r>
        <w:r>
          <w:rPr>
            <w:noProof/>
            <w:webHidden/>
          </w:rPr>
        </w:r>
        <w:r>
          <w:rPr>
            <w:noProof/>
            <w:webHidden/>
          </w:rPr>
          <w:fldChar w:fldCharType="separate"/>
        </w:r>
        <w:r>
          <w:rPr>
            <w:noProof/>
            <w:webHidden/>
          </w:rPr>
          <w:t>91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45" w:history="1">
        <w:r w:rsidRPr="00CC53E5">
          <w:rPr>
            <w:rStyle w:val="Hyperlink"/>
            <w:noProof/>
          </w:rPr>
          <w:t>2.1.162</w:t>
        </w:r>
        <w:r>
          <w:rPr>
            <w:rFonts w:asciiTheme="minorHAnsi" w:eastAsiaTheme="minorEastAsia" w:hAnsiTheme="minorHAnsi" w:cstheme="minorBidi"/>
            <w:noProof/>
            <w:sz w:val="22"/>
            <w:szCs w:val="22"/>
          </w:rPr>
          <w:tab/>
        </w:r>
        <w:r w:rsidRPr="00CC53E5">
          <w:rPr>
            <w:rStyle w:val="Hyperlink"/>
            <w:noProof/>
          </w:rPr>
          <w:t>Part 1 Section 17.4.57, tblpPr (Floating Table Positioning)</w:t>
        </w:r>
        <w:r>
          <w:rPr>
            <w:noProof/>
            <w:webHidden/>
          </w:rPr>
          <w:tab/>
        </w:r>
        <w:r>
          <w:rPr>
            <w:noProof/>
            <w:webHidden/>
          </w:rPr>
          <w:fldChar w:fldCharType="begin"/>
        </w:r>
        <w:r>
          <w:rPr>
            <w:noProof/>
            <w:webHidden/>
          </w:rPr>
          <w:instrText xml:space="preserve"> PAGEREF _Toc69877945 \h </w:instrText>
        </w:r>
        <w:r>
          <w:rPr>
            <w:noProof/>
            <w:webHidden/>
          </w:rPr>
        </w:r>
        <w:r>
          <w:rPr>
            <w:noProof/>
            <w:webHidden/>
          </w:rPr>
          <w:fldChar w:fldCharType="separate"/>
        </w:r>
        <w:r>
          <w:rPr>
            <w:noProof/>
            <w:webHidden/>
          </w:rPr>
          <w:t>91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46" w:history="1">
        <w:r w:rsidRPr="00CC53E5">
          <w:rPr>
            <w:rStyle w:val="Hyperlink"/>
            <w:noProof/>
          </w:rPr>
          <w:t>2.1.163</w:t>
        </w:r>
        <w:r>
          <w:rPr>
            <w:rFonts w:asciiTheme="minorHAnsi" w:eastAsiaTheme="minorEastAsia" w:hAnsiTheme="minorHAnsi" w:cstheme="minorBidi"/>
            <w:noProof/>
            <w:sz w:val="22"/>
            <w:szCs w:val="22"/>
          </w:rPr>
          <w:tab/>
        </w:r>
        <w:r w:rsidRPr="00CC53E5">
          <w:rPr>
            <w:rStyle w:val="Hyperlink"/>
            <w:noProof/>
          </w:rPr>
          <w:t>Part 1 Section 17.4.58, tblPr (Previous Table Properties)</w:t>
        </w:r>
        <w:r>
          <w:rPr>
            <w:noProof/>
            <w:webHidden/>
          </w:rPr>
          <w:tab/>
        </w:r>
        <w:r>
          <w:rPr>
            <w:noProof/>
            <w:webHidden/>
          </w:rPr>
          <w:fldChar w:fldCharType="begin"/>
        </w:r>
        <w:r>
          <w:rPr>
            <w:noProof/>
            <w:webHidden/>
          </w:rPr>
          <w:instrText xml:space="preserve"> PAGEREF _Toc69877946 \h </w:instrText>
        </w:r>
        <w:r>
          <w:rPr>
            <w:noProof/>
            <w:webHidden/>
          </w:rPr>
        </w:r>
        <w:r>
          <w:rPr>
            <w:noProof/>
            <w:webHidden/>
          </w:rPr>
          <w:fldChar w:fldCharType="separate"/>
        </w:r>
        <w:r>
          <w:rPr>
            <w:noProof/>
            <w:webHidden/>
          </w:rPr>
          <w:t>92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47" w:history="1">
        <w:r w:rsidRPr="00CC53E5">
          <w:rPr>
            <w:rStyle w:val="Hyperlink"/>
            <w:noProof/>
          </w:rPr>
          <w:t>2.1.164</w:t>
        </w:r>
        <w:r>
          <w:rPr>
            <w:rFonts w:asciiTheme="minorHAnsi" w:eastAsiaTheme="minorEastAsia" w:hAnsiTheme="minorHAnsi" w:cstheme="minorBidi"/>
            <w:noProof/>
            <w:sz w:val="22"/>
            <w:szCs w:val="22"/>
          </w:rPr>
          <w:tab/>
        </w:r>
        <w:r w:rsidRPr="00CC53E5">
          <w:rPr>
            <w:rStyle w:val="Hyperlink"/>
            <w:noProof/>
          </w:rPr>
          <w:t>Part 1 Section 17.4.59, tblPr (Table Properties)</w:t>
        </w:r>
        <w:r>
          <w:rPr>
            <w:noProof/>
            <w:webHidden/>
          </w:rPr>
          <w:tab/>
        </w:r>
        <w:r>
          <w:rPr>
            <w:noProof/>
            <w:webHidden/>
          </w:rPr>
          <w:fldChar w:fldCharType="begin"/>
        </w:r>
        <w:r>
          <w:rPr>
            <w:noProof/>
            <w:webHidden/>
          </w:rPr>
          <w:instrText xml:space="preserve"> PAGEREF _Toc69877947 \h </w:instrText>
        </w:r>
        <w:r>
          <w:rPr>
            <w:noProof/>
            <w:webHidden/>
          </w:rPr>
        </w:r>
        <w:r>
          <w:rPr>
            <w:noProof/>
            <w:webHidden/>
          </w:rPr>
          <w:fldChar w:fldCharType="separate"/>
        </w:r>
        <w:r>
          <w:rPr>
            <w:noProof/>
            <w:webHidden/>
          </w:rPr>
          <w:t>92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48" w:history="1">
        <w:r w:rsidRPr="00CC53E5">
          <w:rPr>
            <w:rStyle w:val="Hyperlink"/>
            <w:noProof/>
          </w:rPr>
          <w:t>2.1.165</w:t>
        </w:r>
        <w:r>
          <w:rPr>
            <w:rFonts w:asciiTheme="minorHAnsi" w:eastAsiaTheme="minorEastAsia" w:hAnsiTheme="minorHAnsi" w:cstheme="minorBidi"/>
            <w:noProof/>
            <w:sz w:val="22"/>
            <w:szCs w:val="22"/>
          </w:rPr>
          <w:tab/>
        </w:r>
        <w:r w:rsidRPr="00CC53E5">
          <w:rPr>
            <w:rStyle w:val="Hyperlink"/>
            <w:noProof/>
          </w:rPr>
          <w:t>Part 1 Section 17.4.62, tblStyle (Referenced Table Style)</w:t>
        </w:r>
        <w:r>
          <w:rPr>
            <w:noProof/>
            <w:webHidden/>
          </w:rPr>
          <w:tab/>
        </w:r>
        <w:r>
          <w:rPr>
            <w:noProof/>
            <w:webHidden/>
          </w:rPr>
          <w:fldChar w:fldCharType="begin"/>
        </w:r>
        <w:r>
          <w:rPr>
            <w:noProof/>
            <w:webHidden/>
          </w:rPr>
          <w:instrText xml:space="preserve"> PAGEREF _Toc69877948 \h </w:instrText>
        </w:r>
        <w:r>
          <w:rPr>
            <w:noProof/>
            <w:webHidden/>
          </w:rPr>
        </w:r>
        <w:r>
          <w:rPr>
            <w:noProof/>
            <w:webHidden/>
          </w:rPr>
          <w:fldChar w:fldCharType="separate"/>
        </w:r>
        <w:r>
          <w:rPr>
            <w:noProof/>
            <w:webHidden/>
          </w:rPr>
          <w:t>92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49" w:history="1">
        <w:r w:rsidRPr="00CC53E5">
          <w:rPr>
            <w:rStyle w:val="Hyperlink"/>
            <w:noProof/>
          </w:rPr>
          <w:t>2.1.166</w:t>
        </w:r>
        <w:r>
          <w:rPr>
            <w:rFonts w:asciiTheme="minorHAnsi" w:eastAsiaTheme="minorEastAsia" w:hAnsiTheme="minorHAnsi" w:cstheme="minorBidi"/>
            <w:noProof/>
            <w:sz w:val="22"/>
            <w:szCs w:val="22"/>
          </w:rPr>
          <w:tab/>
        </w:r>
        <w:r w:rsidRPr="00CC53E5">
          <w:rPr>
            <w:rStyle w:val="Hyperlink"/>
            <w:noProof/>
          </w:rPr>
          <w:t>Part 1 Section 17.4.63, tblW (Preferred Table Width)</w:t>
        </w:r>
        <w:r>
          <w:rPr>
            <w:noProof/>
            <w:webHidden/>
          </w:rPr>
          <w:tab/>
        </w:r>
        <w:r>
          <w:rPr>
            <w:noProof/>
            <w:webHidden/>
          </w:rPr>
          <w:fldChar w:fldCharType="begin"/>
        </w:r>
        <w:r>
          <w:rPr>
            <w:noProof/>
            <w:webHidden/>
          </w:rPr>
          <w:instrText xml:space="preserve"> PAGEREF _Toc69877949 \h </w:instrText>
        </w:r>
        <w:r>
          <w:rPr>
            <w:noProof/>
            <w:webHidden/>
          </w:rPr>
        </w:r>
        <w:r>
          <w:rPr>
            <w:noProof/>
            <w:webHidden/>
          </w:rPr>
          <w:fldChar w:fldCharType="separate"/>
        </w:r>
        <w:r>
          <w:rPr>
            <w:noProof/>
            <w:webHidden/>
          </w:rPr>
          <w:t>92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50" w:history="1">
        <w:r w:rsidRPr="00CC53E5">
          <w:rPr>
            <w:rStyle w:val="Hyperlink"/>
            <w:noProof/>
          </w:rPr>
          <w:t>2.1.167</w:t>
        </w:r>
        <w:r>
          <w:rPr>
            <w:rFonts w:asciiTheme="minorHAnsi" w:eastAsiaTheme="minorEastAsia" w:hAnsiTheme="minorHAnsi" w:cstheme="minorBidi"/>
            <w:noProof/>
            <w:sz w:val="22"/>
            <w:szCs w:val="22"/>
          </w:rPr>
          <w:tab/>
        </w:r>
        <w:r w:rsidRPr="00CC53E5">
          <w:rPr>
            <w:rStyle w:val="Hyperlink"/>
            <w:noProof/>
          </w:rPr>
          <w:t>Part 1 Section 17.4.64, tblW (Preferred Table Width Exception)</w:t>
        </w:r>
        <w:r>
          <w:rPr>
            <w:noProof/>
            <w:webHidden/>
          </w:rPr>
          <w:tab/>
        </w:r>
        <w:r>
          <w:rPr>
            <w:noProof/>
            <w:webHidden/>
          </w:rPr>
          <w:fldChar w:fldCharType="begin"/>
        </w:r>
        <w:r>
          <w:rPr>
            <w:noProof/>
            <w:webHidden/>
          </w:rPr>
          <w:instrText xml:space="preserve"> PAGEREF _Toc69877950 \h </w:instrText>
        </w:r>
        <w:r>
          <w:rPr>
            <w:noProof/>
            <w:webHidden/>
          </w:rPr>
        </w:r>
        <w:r>
          <w:rPr>
            <w:noProof/>
            <w:webHidden/>
          </w:rPr>
          <w:fldChar w:fldCharType="separate"/>
        </w:r>
        <w:r>
          <w:rPr>
            <w:noProof/>
            <w:webHidden/>
          </w:rPr>
          <w:t>93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51" w:history="1">
        <w:r w:rsidRPr="00CC53E5">
          <w:rPr>
            <w:rStyle w:val="Hyperlink"/>
            <w:noProof/>
          </w:rPr>
          <w:t>2.1.168</w:t>
        </w:r>
        <w:r>
          <w:rPr>
            <w:rFonts w:asciiTheme="minorHAnsi" w:eastAsiaTheme="minorEastAsia" w:hAnsiTheme="minorHAnsi" w:cstheme="minorBidi"/>
            <w:noProof/>
            <w:sz w:val="22"/>
            <w:szCs w:val="22"/>
          </w:rPr>
          <w:tab/>
        </w:r>
        <w:r w:rsidRPr="00CC53E5">
          <w:rPr>
            <w:rStyle w:val="Hyperlink"/>
            <w:noProof/>
          </w:rPr>
          <w:t>Part 1 Section 17.4.65, tc (Table Cell)</w:t>
        </w:r>
        <w:r>
          <w:rPr>
            <w:noProof/>
            <w:webHidden/>
          </w:rPr>
          <w:tab/>
        </w:r>
        <w:r>
          <w:rPr>
            <w:noProof/>
            <w:webHidden/>
          </w:rPr>
          <w:fldChar w:fldCharType="begin"/>
        </w:r>
        <w:r>
          <w:rPr>
            <w:noProof/>
            <w:webHidden/>
          </w:rPr>
          <w:instrText xml:space="preserve"> PAGEREF _Toc69877951 \h </w:instrText>
        </w:r>
        <w:r>
          <w:rPr>
            <w:noProof/>
            <w:webHidden/>
          </w:rPr>
        </w:r>
        <w:r>
          <w:rPr>
            <w:noProof/>
            <w:webHidden/>
          </w:rPr>
          <w:fldChar w:fldCharType="separate"/>
        </w:r>
        <w:r>
          <w:rPr>
            <w:noProof/>
            <w:webHidden/>
          </w:rPr>
          <w:t>93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52" w:history="1">
        <w:r w:rsidRPr="00CC53E5">
          <w:rPr>
            <w:rStyle w:val="Hyperlink"/>
            <w:noProof/>
          </w:rPr>
          <w:t>2.1.169</w:t>
        </w:r>
        <w:r>
          <w:rPr>
            <w:rFonts w:asciiTheme="minorHAnsi" w:eastAsiaTheme="minorEastAsia" w:hAnsiTheme="minorHAnsi" w:cstheme="minorBidi"/>
            <w:noProof/>
            <w:sz w:val="22"/>
            <w:szCs w:val="22"/>
          </w:rPr>
          <w:tab/>
        </w:r>
        <w:r w:rsidRPr="00CC53E5">
          <w:rPr>
            <w:rStyle w:val="Hyperlink"/>
            <w:noProof/>
          </w:rPr>
          <w:t>Part 1 Section 17.4.66, tcBorders (Table Cell Borders)</w:t>
        </w:r>
        <w:r>
          <w:rPr>
            <w:noProof/>
            <w:webHidden/>
          </w:rPr>
          <w:tab/>
        </w:r>
        <w:r>
          <w:rPr>
            <w:noProof/>
            <w:webHidden/>
          </w:rPr>
          <w:fldChar w:fldCharType="begin"/>
        </w:r>
        <w:r>
          <w:rPr>
            <w:noProof/>
            <w:webHidden/>
          </w:rPr>
          <w:instrText xml:space="preserve"> PAGEREF _Toc69877952 \h </w:instrText>
        </w:r>
        <w:r>
          <w:rPr>
            <w:noProof/>
            <w:webHidden/>
          </w:rPr>
        </w:r>
        <w:r>
          <w:rPr>
            <w:noProof/>
            <w:webHidden/>
          </w:rPr>
          <w:fldChar w:fldCharType="separate"/>
        </w:r>
        <w:r>
          <w:rPr>
            <w:noProof/>
            <w:webHidden/>
          </w:rPr>
          <w:t>93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53" w:history="1">
        <w:r w:rsidRPr="00CC53E5">
          <w:rPr>
            <w:rStyle w:val="Hyperlink"/>
            <w:noProof/>
          </w:rPr>
          <w:t>2.1.170</w:t>
        </w:r>
        <w:r>
          <w:rPr>
            <w:rFonts w:asciiTheme="minorHAnsi" w:eastAsiaTheme="minorEastAsia" w:hAnsiTheme="minorHAnsi" w:cstheme="minorBidi"/>
            <w:noProof/>
            <w:sz w:val="22"/>
            <w:szCs w:val="22"/>
          </w:rPr>
          <w:tab/>
        </w:r>
        <w:r w:rsidRPr="00CC53E5">
          <w:rPr>
            <w:rStyle w:val="Hyperlink"/>
            <w:noProof/>
          </w:rPr>
          <w:t>Part 1 Section 17.4.67, tcFitText (Fit Text Within Cell)</w:t>
        </w:r>
        <w:r>
          <w:rPr>
            <w:noProof/>
            <w:webHidden/>
          </w:rPr>
          <w:tab/>
        </w:r>
        <w:r>
          <w:rPr>
            <w:noProof/>
            <w:webHidden/>
          </w:rPr>
          <w:fldChar w:fldCharType="begin"/>
        </w:r>
        <w:r>
          <w:rPr>
            <w:noProof/>
            <w:webHidden/>
          </w:rPr>
          <w:instrText xml:space="preserve"> PAGEREF _Toc69877953 \h </w:instrText>
        </w:r>
        <w:r>
          <w:rPr>
            <w:noProof/>
            <w:webHidden/>
          </w:rPr>
        </w:r>
        <w:r>
          <w:rPr>
            <w:noProof/>
            <w:webHidden/>
          </w:rPr>
          <w:fldChar w:fldCharType="separate"/>
        </w:r>
        <w:r>
          <w:rPr>
            <w:noProof/>
            <w:webHidden/>
          </w:rPr>
          <w:t>95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54" w:history="1">
        <w:r w:rsidRPr="00CC53E5">
          <w:rPr>
            <w:rStyle w:val="Hyperlink"/>
            <w:noProof/>
          </w:rPr>
          <w:t>2.1.171</w:t>
        </w:r>
        <w:r>
          <w:rPr>
            <w:rFonts w:asciiTheme="minorHAnsi" w:eastAsiaTheme="minorEastAsia" w:hAnsiTheme="minorHAnsi" w:cstheme="minorBidi"/>
            <w:noProof/>
            <w:sz w:val="22"/>
            <w:szCs w:val="22"/>
          </w:rPr>
          <w:tab/>
        </w:r>
        <w:r w:rsidRPr="00CC53E5">
          <w:rPr>
            <w:rStyle w:val="Hyperlink"/>
            <w:noProof/>
          </w:rPr>
          <w:t>Part 1 Section 17.4.71, tcW (Preferred Table Cell Width)</w:t>
        </w:r>
        <w:r>
          <w:rPr>
            <w:noProof/>
            <w:webHidden/>
          </w:rPr>
          <w:tab/>
        </w:r>
        <w:r>
          <w:rPr>
            <w:noProof/>
            <w:webHidden/>
          </w:rPr>
          <w:fldChar w:fldCharType="begin"/>
        </w:r>
        <w:r>
          <w:rPr>
            <w:noProof/>
            <w:webHidden/>
          </w:rPr>
          <w:instrText xml:space="preserve"> PAGEREF _Toc69877954 \h </w:instrText>
        </w:r>
        <w:r>
          <w:rPr>
            <w:noProof/>
            <w:webHidden/>
          </w:rPr>
        </w:r>
        <w:r>
          <w:rPr>
            <w:noProof/>
            <w:webHidden/>
          </w:rPr>
          <w:fldChar w:fldCharType="separate"/>
        </w:r>
        <w:r>
          <w:rPr>
            <w:noProof/>
            <w:webHidden/>
          </w:rPr>
          <w:t>96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55" w:history="1">
        <w:r w:rsidRPr="00CC53E5">
          <w:rPr>
            <w:rStyle w:val="Hyperlink"/>
            <w:noProof/>
          </w:rPr>
          <w:t>2.1.172</w:t>
        </w:r>
        <w:r>
          <w:rPr>
            <w:rFonts w:asciiTheme="minorHAnsi" w:eastAsiaTheme="minorEastAsia" w:hAnsiTheme="minorHAnsi" w:cstheme="minorBidi"/>
            <w:noProof/>
            <w:sz w:val="22"/>
            <w:szCs w:val="22"/>
          </w:rPr>
          <w:tab/>
        </w:r>
        <w:r w:rsidRPr="00CC53E5">
          <w:rPr>
            <w:rStyle w:val="Hyperlink"/>
            <w:noProof/>
          </w:rPr>
          <w:t>Part 1 Section 17.4.72, textDirection (Table Cell Text Flow Direction)</w:t>
        </w:r>
        <w:r>
          <w:rPr>
            <w:noProof/>
            <w:webHidden/>
          </w:rPr>
          <w:tab/>
        </w:r>
        <w:r>
          <w:rPr>
            <w:noProof/>
            <w:webHidden/>
          </w:rPr>
          <w:fldChar w:fldCharType="begin"/>
        </w:r>
        <w:r>
          <w:rPr>
            <w:noProof/>
            <w:webHidden/>
          </w:rPr>
          <w:instrText xml:space="preserve"> PAGEREF _Toc69877955 \h </w:instrText>
        </w:r>
        <w:r>
          <w:rPr>
            <w:noProof/>
            <w:webHidden/>
          </w:rPr>
        </w:r>
        <w:r>
          <w:rPr>
            <w:noProof/>
            <w:webHidden/>
          </w:rPr>
          <w:fldChar w:fldCharType="separate"/>
        </w:r>
        <w:r>
          <w:rPr>
            <w:noProof/>
            <w:webHidden/>
          </w:rPr>
          <w:t>96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56" w:history="1">
        <w:r w:rsidRPr="00CC53E5">
          <w:rPr>
            <w:rStyle w:val="Hyperlink"/>
            <w:noProof/>
          </w:rPr>
          <w:t>2.1.173</w:t>
        </w:r>
        <w:r>
          <w:rPr>
            <w:rFonts w:asciiTheme="minorHAnsi" w:eastAsiaTheme="minorEastAsia" w:hAnsiTheme="minorHAnsi" w:cstheme="minorBidi"/>
            <w:noProof/>
            <w:sz w:val="22"/>
            <w:szCs w:val="22"/>
          </w:rPr>
          <w:tab/>
        </w:r>
        <w:r w:rsidRPr="00CC53E5">
          <w:rPr>
            <w:rStyle w:val="Hyperlink"/>
            <w:noProof/>
          </w:rPr>
          <w:t>Part 1 Section 17.4.73, tl2br (Table Cell Top Left to Bottom Right Diagonal Border)</w:t>
        </w:r>
        <w:r>
          <w:rPr>
            <w:noProof/>
            <w:webHidden/>
          </w:rPr>
          <w:tab/>
        </w:r>
        <w:r>
          <w:rPr>
            <w:noProof/>
            <w:webHidden/>
          </w:rPr>
          <w:fldChar w:fldCharType="begin"/>
        </w:r>
        <w:r>
          <w:rPr>
            <w:noProof/>
            <w:webHidden/>
          </w:rPr>
          <w:instrText xml:space="preserve"> PAGEREF _Toc69877956 \h </w:instrText>
        </w:r>
        <w:r>
          <w:rPr>
            <w:noProof/>
            <w:webHidden/>
          </w:rPr>
        </w:r>
        <w:r>
          <w:rPr>
            <w:noProof/>
            <w:webHidden/>
          </w:rPr>
          <w:fldChar w:fldCharType="separate"/>
        </w:r>
        <w:r>
          <w:rPr>
            <w:noProof/>
            <w:webHidden/>
          </w:rPr>
          <w:t>96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57" w:history="1">
        <w:r w:rsidRPr="00CC53E5">
          <w:rPr>
            <w:rStyle w:val="Hyperlink"/>
            <w:noProof/>
          </w:rPr>
          <w:t>2.1.174</w:t>
        </w:r>
        <w:r>
          <w:rPr>
            <w:rFonts w:asciiTheme="minorHAnsi" w:eastAsiaTheme="minorEastAsia" w:hAnsiTheme="minorHAnsi" w:cstheme="minorBidi"/>
            <w:noProof/>
            <w:sz w:val="22"/>
            <w:szCs w:val="22"/>
          </w:rPr>
          <w:tab/>
        </w:r>
        <w:r w:rsidRPr="00CC53E5">
          <w:rPr>
            <w:rStyle w:val="Hyperlink"/>
            <w:noProof/>
          </w:rPr>
          <w:t>Part 1 Section 17.4.74, top (Table Cell Top Border)</w:t>
        </w:r>
        <w:r>
          <w:rPr>
            <w:noProof/>
            <w:webHidden/>
          </w:rPr>
          <w:tab/>
        </w:r>
        <w:r>
          <w:rPr>
            <w:noProof/>
            <w:webHidden/>
          </w:rPr>
          <w:fldChar w:fldCharType="begin"/>
        </w:r>
        <w:r>
          <w:rPr>
            <w:noProof/>
            <w:webHidden/>
          </w:rPr>
          <w:instrText xml:space="preserve"> PAGEREF _Toc69877957 \h </w:instrText>
        </w:r>
        <w:r>
          <w:rPr>
            <w:noProof/>
            <w:webHidden/>
          </w:rPr>
        </w:r>
        <w:r>
          <w:rPr>
            <w:noProof/>
            <w:webHidden/>
          </w:rPr>
          <w:fldChar w:fldCharType="separate"/>
        </w:r>
        <w:r>
          <w:rPr>
            <w:noProof/>
            <w:webHidden/>
          </w:rPr>
          <w:t>96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58" w:history="1">
        <w:r w:rsidRPr="00CC53E5">
          <w:rPr>
            <w:rStyle w:val="Hyperlink"/>
            <w:noProof/>
          </w:rPr>
          <w:t>2.1.175</w:t>
        </w:r>
        <w:r>
          <w:rPr>
            <w:rFonts w:asciiTheme="minorHAnsi" w:eastAsiaTheme="minorEastAsia" w:hAnsiTheme="minorHAnsi" w:cstheme="minorBidi"/>
            <w:noProof/>
            <w:sz w:val="22"/>
            <w:szCs w:val="22"/>
          </w:rPr>
          <w:tab/>
        </w:r>
        <w:r w:rsidRPr="00CC53E5">
          <w:rPr>
            <w:rStyle w:val="Hyperlink"/>
            <w:noProof/>
          </w:rPr>
          <w:t>Part 1 Section 17.4.75, top (Table Cell Top Margin Default)</w:t>
        </w:r>
        <w:r>
          <w:rPr>
            <w:noProof/>
            <w:webHidden/>
          </w:rPr>
          <w:tab/>
        </w:r>
        <w:r>
          <w:rPr>
            <w:noProof/>
            <w:webHidden/>
          </w:rPr>
          <w:fldChar w:fldCharType="begin"/>
        </w:r>
        <w:r>
          <w:rPr>
            <w:noProof/>
            <w:webHidden/>
          </w:rPr>
          <w:instrText xml:space="preserve"> PAGEREF _Toc69877958 \h </w:instrText>
        </w:r>
        <w:r>
          <w:rPr>
            <w:noProof/>
            <w:webHidden/>
          </w:rPr>
        </w:r>
        <w:r>
          <w:rPr>
            <w:noProof/>
            <w:webHidden/>
          </w:rPr>
          <w:fldChar w:fldCharType="separate"/>
        </w:r>
        <w:r>
          <w:rPr>
            <w:noProof/>
            <w:webHidden/>
          </w:rPr>
          <w:t>96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59" w:history="1">
        <w:r w:rsidRPr="00CC53E5">
          <w:rPr>
            <w:rStyle w:val="Hyperlink"/>
            <w:noProof/>
          </w:rPr>
          <w:t>2.1.176</w:t>
        </w:r>
        <w:r>
          <w:rPr>
            <w:rFonts w:asciiTheme="minorHAnsi" w:eastAsiaTheme="minorEastAsia" w:hAnsiTheme="minorHAnsi" w:cstheme="minorBidi"/>
            <w:noProof/>
            <w:sz w:val="22"/>
            <w:szCs w:val="22"/>
          </w:rPr>
          <w:tab/>
        </w:r>
        <w:r w:rsidRPr="00CC53E5">
          <w:rPr>
            <w:rStyle w:val="Hyperlink"/>
            <w:noProof/>
          </w:rPr>
          <w:t>Part 1 Section 17.4.76, top (Table Top Border)</w:t>
        </w:r>
        <w:r>
          <w:rPr>
            <w:noProof/>
            <w:webHidden/>
          </w:rPr>
          <w:tab/>
        </w:r>
        <w:r>
          <w:rPr>
            <w:noProof/>
            <w:webHidden/>
          </w:rPr>
          <w:fldChar w:fldCharType="begin"/>
        </w:r>
        <w:r>
          <w:rPr>
            <w:noProof/>
            <w:webHidden/>
          </w:rPr>
          <w:instrText xml:space="preserve"> PAGEREF _Toc69877959 \h </w:instrText>
        </w:r>
        <w:r>
          <w:rPr>
            <w:noProof/>
            <w:webHidden/>
          </w:rPr>
        </w:r>
        <w:r>
          <w:rPr>
            <w:noProof/>
            <w:webHidden/>
          </w:rPr>
          <w:fldChar w:fldCharType="separate"/>
        </w:r>
        <w:r>
          <w:rPr>
            <w:noProof/>
            <w:webHidden/>
          </w:rPr>
          <w:t>96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60" w:history="1">
        <w:r w:rsidRPr="00CC53E5">
          <w:rPr>
            <w:rStyle w:val="Hyperlink"/>
            <w:noProof/>
          </w:rPr>
          <w:t>2.1.177</w:t>
        </w:r>
        <w:r>
          <w:rPr>
            <w:rFonts w:asciiTheme="minorHAnsi" w:eastAsiaTheme="minorEastAsia" w:hAnsiTheme="minorHAnsi" w:cstheme="minorBidi"/>
            <w:noProof/>
            <w:sz w:val="22"/>
            <w:szCs w:val="22"/>
          </w:rPr>
          <w:tab/>
        </w:r>
        <w:r w:rsidRPr="00CC53E5">
          <w:rPr>
            <w:rStyle w:val="Hyperlink"/>
            <w:noProof/>
          </w:rPr>
          <w:t>Part 1 Section 17.4.77, top (Table Cell Top Margin Exception)</w:t>
        </w:r>
        <w:r>
          <w:rPr>
            <w:noProof/>
            <w:webHidden/>
          </w:rPr>
          <w:tab/>
        </w:r>
        <w:r>
          <w:rPr>
            <w:noProof/>
            <w:webHidden/>
          </w:rPr>
          <w:fldChar w:fldCharType="begin"/>
        </w:r>
        <w:r>
          <w:rPr>
            <w:noProof/>
            <w:webHidden/>
          </w:rPr>
          <w:instrText xml:space="preserve"> PAGEREF _Toc69877960 \h </w:instrText>
        </w:r>
        <w:r>
          <w:rPr>
            <w:noProof/>
            <w:webHidden/>
          </w:rPr>
        </w:r>
        <w:r>
          <w:rPr>
            <w:noProof/>
            <w:webHidden/>
          </w:rPr>
          <w:fldChar w:fldCharType="separate"/>
        </w:r>
        <w:r>
          <w:rPr>
            <w:noProof/>
            <w:webHidden/>
          </w:rPr>
          <w:t>97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61" w:history="1">
        <w:r w:rsidRPr="00CC53E5">
          <w:rPr>
            <w:rStyle w:val="Hyperlink"/>
            <w:noProof/>
          </w:rPr>
          <w:t>2.1.178</w:t>
        </w:r>
        <w:r>
          <w:rPr>
            <w:rFonts w:asciiTheme="minorHAnsi" w:eastAsiaTheme="minorEastAsia" w:hAnsiTheme="minorHAnsi" w:cstheme="minorBidi"/>
            <w:noProof/>
            <w:sz w:val="22"/>
            <w:szCs w:val="22"/>
          </w:rPr>
          <w:tab/>
        </w:r>
        <w:r w:rsidRPr="00CC53E5">
          <w:rPr>
            <w:rStyle w:val="Hyperlink"/>
            <w:noProof/>
          </w:rPr>
          <w:t>Part 1 Section 17.4.78, tr (Table Row)</w:t>
        </w:r>
        <w:r>
          <w:rPr>
            <w:noProof/>
            <w:webHidden/>
          </w:rPr>
          <w:tab/>
        </w:r>
        <w:r>
          <w:rPr>
            <w:noProof/>
            <w:webHidden/>
          </w:rPr>
          <w:fldChar w:fldCharType="begin"/>
        </w:r>
        <w:r>
          <w:rPr>
            <w:noProof/>
            <w:webHidden/>
          </w:rPr>
          <w:instrText xml:space="preserve"> PAGEREF _Toc69877961 \h </w:instrText>
        </w:r>
        <w:r>
          <w:rPr>
            <w:noProof/>
            <w:webHidden/>
          </w:rPr>
        </w:r>
        <w:r>
          <w:rPr>
            <w:noProof/>
            <w:webHidden/>
          </w:rPr>
          <w:fldChar w:fldCharType="separate"/>
        </w:r>
        <w:r>
          <w:rPr>
            <w:noProof/>
            <w:webHidden/>
          </w:rPr>
          <w:t>97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62" w:history="1">
        <w:r w:rsidRPr="00CC53E5">
          <w:rPr>
            <w:rStyle w:val="Hyperlink"/>
            <w:noProof/>
          </w:rPr>
          <w:t>2.1.179</w:t>
        </w:r>
        <w:r>
          <w:rPr>
            <w:rFonts w:asciiTheme="minorHAnsi" w:eastAsiaTheme="minorEastAsia" w:hAnsiTheme="minorHAnsi" w:cstheme="minorBidi"/>
            <w:noProof/>
            <w:sz w:val="22"/>
            <w:szCs w:val="22"/>
          </w:rPr>
          <w:tab/>
        </w:r>
        <w:r w:rsidRPr="00CC53E5">
          <w:rPr>
            <w:rStyle w:val="Hyperlink"/>
            <w:noProof/>
          </w:rPr>
          <w:t>Part 1 Section 17.4.79, tr2bl (Table Cell Top Right to Bottom Left Diagonal Border)</w:t>
        </w:r>
        <w:r>
          <w:rPr>
            <w:noProof/>
            <w:webHidden/>
          </w:rPr>
          <w:tab/>
        </w:r>
        <w:r>
          <w:rPr>
            <w:noProof/>
            <w:webHidden/>
          </w:rPr>
          <w:fldChar w:fldCharType="begin"/>
        </w:r>
        <w:r>
          <w:rPr>
            <w:noProof/>
            <w:webHidden/>
          </w:rPr>
          <w:instrText xml:space="preserve"> PAGEREF _Toc69877962 \h </w:instrText>
        </w:r>
        <w:r>
          <w:rPr>
            <w:noProof/>
            <w:webHidden/>
          </w:rPr>
        </w:r>
        <w:r>
          <w:rPr>
            <w:noProof/>
            <w:webHidden/>
          </w:rPr>
          <w:fldChar w:fldCharType="separate"/>
        </w:r>
        <w:r>
          <w:rPr>
            <w:noProof/>
            <w:webHidden/>
          </w:rPr>
          <w:t>97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63" w:history="1">
        <w:r w:rsidRPr="00CC53E5">
          <w:rPr>
            <w:rStyle w:val="Hyperlink"/>
            <w:noProof/>
          </w:rPr>
          <w:t>2.1.180</w:t>
        </w:r>
        <w:r>
          <w:rPr>
            <w:rFonts w:asciiTheme="minorHAnsi" w:eastAsiaTheme="minorEastAsia" w:hAnsiTheme="minorHAnsi" w:cstheme="minorBidi"/>
            <w:noProof/>
            <w:sz w:val="22"/>
            <w:szCs w:val="22"/>
          </w:rPr>
          <w:tab/>
        </w:r>
        <w:r w:rsidRPr="00CC53E5">
          <w:rPr>
            <w:rStyle w:val="Hyperlink"/>
            <w:noProof/>
          </w:rPr>
          <w:t>Part 1 Section 17.4.80, trHeight (Table Row Height)</w:t>
        </w:r>
        <w:r>
          <w:rPr>
            <w:noProof/>
            <w:webHidden/>
          </w:rPr>
          <w:tab/>
        </w:r>
        <w:r>
          <w:rPr>
            <w:noProof/>
            <w:webHidden/>
          </w:rPr>
          <w:fldChar w:fldCharType="begin"/>
        </w:r>
        <w:r>
          <w:rPr>
            <w:noProof/>
            <w:webHidden/>
          </w:rPr>
          <w:instrText xml:space="preserve"> PAGEREF _Toc69877963 \h </w:instrText>
        </w:r>
        <w:r>
          <w:rPr>
            <w:noProof/>
            <w:webHidden/>
          </w:rPr>
        </w:r>
        <w:r>
          <w:rPr>
            <w:noProof/>
            <w:webHidden/>
          </w:rPr>
          <w:fldChar w:fldCharType="separate"/>
        </w:r>
        <w:r>
          <w:rPr>
            <w:noProof/>
            <w:webHidden/>
          </w:rPr>
          <w:t>97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64" w:history="1">
        <w:r w:rsidRPr="00CC53E5">
          <w:rPr>
            <w:rStyle w:val="Hyperlink"/>
            <w:noProof/>
          </w:rPr>
          <w:t>2.1.181</w:t>
        </w:r>
        <w:r>
          <w:rPr>
            <w:rFonts w:asciiTheme="minorHAnsi" w:eastAsiaTheme="minorEastAsia" w:hAnsiTheme="minorHAnsi" w:cstheme="minorBidi"/>
            <w:noProof/>
            <w:sz w:val="22"/>
            <w:szCs w:val="22"/>
          </w:rPr>
          <w:tab/>
        </w:r>
        <w:r w:rsidRPr="00CC53E5">
          <w:rPr>
            <w:rStyle w:val="Hyperlink"/>
            <w:noProof/>
          </w:rPr>
          <w:t>Part 1 Section 17.4.83, vAlign (Table Cell Vertical Alignment)</w:t>
        </w:r>
        <w:r>
          <w:rPr>
            <w:noProof/>
            <w:webHidden/>
          </w:rPr>
          <w:tab/>
        </w:r>
        <w:r>
          <w:rPr>
            <w:noProof/>
            <w:webHidden/>
          </w:rPr>
          <w:fldChar w:fldCharType="begin"/>
        </w:r>
        <w:r>
          <w:rPr>
            <w:noProof/>
            <w:webHidden/>
          </w:rPr>
          <w:instrText xml:space="preserve"> PAGEREF _Toc69877964 \h </w:instrText>
        </w:r>
        <w:r>
          <w:rPr>
            <w:noProof/>
            <w:webHidden/>
          </w:rPr>
        </w:r>
        <w:r>
          <w:rPr>
            <w:noProof/>
            <w:webHidden/>
          </w:rPr>
          <w:fldChar w:fldCharType="separate"/>
        </w:r>
        <w:r>
          <w:rPr>
            <w:noProof/>
            <w:webHidden/>
          </w:rPr>
          <w:t>98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65" w:history="1">
        <w:r w:rsidRPr="00CC53E5">
          <w:rPr>
            <w:rStyle w:val="Hyperlink"/>
            <w:noProof/>
          </w:rPr>
          <w:t>2.1.182</w:t>
        </w:r>
        <w:r>
          <w:rPr>
            <w:rFonts w:asciiTheme="minorHAnsi" w:eastAsiaTheme="minorEastAsia" w:hAnsiTheme="minorHAnsi" w:cstheme="minorBidi"/>
            <w:noProof/>
            <w:sz w:val="22"/>
            <w:szCs w:val="22"/>
          </w:rPr>
          <w:tab/>
        </w:r>
        <w:r w:rsidRPr="00CC53E5">
          <w:rPr>
            <w:rStyle w:val="Hyperlink"/>
            <w:noProof/>
          </w:rPr>
          <w:t>Part 1 Section 17.4.84, vMerge (Vertically Merged Cell)</w:t>
        </w:r>
        <w:r>
          <w:rPr>
            <w:noProof/>
            <w:webHidden/>
          </w:rPr>
          <w:tab/>
        </w:r>
        <w:r>
          <w:rPr>
            <w:noProof/>
            <w:webHidden/>
          </w:rPr>
          <w:fldChar w:fldCharType="begin"/>
        </w:r>
        <w:r>
          <w:rPr>
            <w:noProof/>
            <w:webHidden/>
          </w:rPr>
          <w:instrText xml:space="preserve"> PAGEREF _Toc69877965 \h </w:instrText>
        </w:r>
        <w:r>
          <w:rPr>
            <w:noProof/>
            <w:webHidden/>
          </w:rPr>
        </w:r>
        <w:r>
          <w:rPr>
            <w:noProof/>
            <w:webHidden/>
          </w:rPr>
          <w:fldChar w:fldCharType="separate"/>
        </w:r>
        <w:r>
          <w:rPr>
            <w:noProof/>
            <w:webHidden/>
          </w:rPr>
          <w:t>98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66" w:history="1">
        <w:r w:rsidRPr="00CC53E5">
          <w:rPr>
            <w:rStyle w:val="Hyperlink"/>
            <w:noProof/>
          </w:rPr>
          <w:t>2.1.183</w:t>
        </w:r>
        <w:r>
          <w:rPr>
            <w:rFonts w:asciiTheme="minorHAnsi" w:eastAsiaTheme="minorEastAsia" w:hAnsiTheme="minorHAnsi" w:cstheme="minorBidi"/>
            <w:noProof/>
            <w:sz w:val="22"/>
            <w:szCs w:val="22"/>
          </w:rPr>
          <w:tab/>
        </w:r>
        <w:r w:rsidRPr="00CC53E5">
          <w:rPr>
            <w:rStyle w:val="Hyperlink"/>
            <w:noProof/>
          </w:rPr>
          <w:t>Part 1 Section 17.4.85, wAfter (Preferred Width After Table Row)</w:t>
        </w:r>
        <w:r>
          <w:rPr>
            <w:noProof/>
            <w:webHidden/>
          </w:rPr>
          <w:tab/>
        </w:r>
        <w:r>
          <w:rPr>
            <w:noProof/>
            <w:webHidden/>
          </w:rPr>
          <w:fldChar w:fldCharType="begin"/>
        </w:r>
        <w:r>
          <w:rPr>
            <w:noProof/>
            <w:webHidden/>
          </w:rPr>
          <w:instrText xml:space="preserve"> PAGEREF _Toc69877966 \h </w:instrText>
        </w:r>
        <w:r>
          <w:rPr>
            <w:noProof/>
            <w:webHidden/>
          </w:rPr>
        </w:r>
        <w:r>
          <w:rPr>
            <w:noProof/>
            <w:webHidden/>
          </w:rPr>
          <w:fldChar w:fldCharType="separate"/>
        </w:r>
        <w:r>
          <w:rPr>
            <w:noProof/>
            <w:webHidden/>
          </w:rPr>
          <w:t>98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67" w:history="1">
        <w:r w:rsidRPr="00CC53E5">
          <w:rPr>
            <w:rStyle w:val="Hyperlink"/>
            <w:noProof/>
          </w:rPr>
          <w:t>2.1.184</w:t>
        </w:r>
        <w:r>
          <w:rPr>
            <w:rFonts w:asciiTheme="minorHAnsi" w:eastAsiaTheme="minorEastAsia" w:hAnsiTheme="minorHAnsi" w:cstheme="minorBidi"/>
            <w:noProof/>
            <w:sz w:val="22"/>
            <w:szCs w:val="22"/>
          </w:rPr>
          <w:tab/>
        </w:r>
        <w:r w:rsidRPr="00CC53E5">
          <w:rPr>
            <w:rStyle w:val="Hyperlink"/>
            <w:noProof/>
          </w:rPr>
          <w:t>Part 1 Section 17.4.86, wBefore (Preferred Width Before Table Row)</w:t>
        </w:r>
        <w:r>
          <w:rPr>
            <w:noProof/>
            <w:webHidden/>
          </w:rPr>
          <w:tab/>
        </w:r>
        <w:r>
          <w:rPr>
            <w:noProof/>
            <w:webHidden/>
          </w:rPr>
          <w:fldChar w:fldCharType="begin"/>
        </w:r>
        <w:r>
          <w:rPr>
            <w:noProof/>
            <w:webHidden/>
          </w:rPr>
          <w:instrText xml:space="preserve"> PAGEREF _Toc69877967 \h </w:instrText>
        </w:r>
        <w:r>
          <w:rPr>
            <w:noProof/>
            <w:webHidden/>
          </w:rPr>
        </w:r>
        <w:r>
          <w:rPr>
            <w:noProof/>
            <w:webHidden/>
          </w:rPr>
          <w:fldChar w:fldCharType="separate"/>
        </w:r>
        <w:r>
          <w:rPr>
            <w:noProof/>
            <w:webHidden/>
          </w:rPr>
          <w:t>98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68" w:history="1">
        <w:r w:rsidRPr="00CC53E5">
          <w:rPr>
            <w:rStyle w:val="Hyperlink"/>
            <w:noProof/>
          </w:rPr>
          <w:t>2.1.185</w:t>
        </w:r>
        <w:r>
          <w:rPr>
            <w:rFonts w:asciiTheme="minorHAnsi" w:eastAsiaTheme="minorEastAsia" w:hAnsiTheme="minorHAnsi" w:cstheme="minorBidi"/>
            <w:noProof/>
            <w:sz w:val="22"/>
            <w:szCs w:val="22"/>
          </w:rPr>
          <w:tab/>
        </w:r>
        <w:r w:rsidRPr="00CC53E5">
          <w:rPr>
            <w:rStyle w:val="Hyperlink"/>
            <w:noProof/>
          </w:rPr>
          <w:t>Part 1 Section 17.4.87, Table Measurement (CT_TblWidth)</w:t>
        </w:r>
        <w:r>
          <w:rPr>
            <w:noProof/>
            <w:webHidden/>
          </w:rPr>
          <w:tab/>
        </w:r>
        <w:r>
          <w:rPr>
            <w:noProof/>
            <w:webHidden/>
          </w:rPr>
          <w:fldChar w:fldCharType="begin"/>
        </w:r>
        <w:r>
          <w:rPr>
            <w:noProof/>
            <w:webHidden/>
          </w:rPr>
          <w:instrText xml:space="preserve"> PAGEREF _Toc69877968 \h </w:instrText>
        </w:r>
        <w:r>
          <w:rPr>
            <w:noProof/>
            <w:webHidden/>
          </w:rPr>
        </w:r>
        <w:r>
          <w:rPr>
            <w:noProof/>
            <w:webHidden/>
          </w:rPr>
          <w:fldChar w:fldCharType="separate"/>
        </w:r>
        <w:r>
          <w:rPr>
            <w:noProof/>
            <w:webHidden/>
          </w:rPr>
          <w:t>98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69" w:history="1">
        <w:r w:rsidRPr="00CC53E5">
          <w:rPr>
            <w:rStyle w:val="Hyperlink"/>
            <w:noProof/>
          </w:rPr>
          <w:t>2.1.186</w:t>
        </w:r>
        <w:r>
          <w:rPr>
            <w:rFonts w:asciiTheme="minorHAnsi" w:eastAsiaTheme="minorEastAsia" w:hAnsiTheme="minorHAnsi" w:cstheme="minorBidi"/>
            <w:noProof/>
            <w:sz w:val="22"/>
            <w:szCs w:val="22"/>
          </w:rPr>
          <w:tab/>
        </w:r>
        <w:r w:rsidRPr="00CC53E5">
          <w:rPr>
            <w:rStyle w:val="Hyperlink"/>
            <w:noProof/>
          </w:rPr>
          <w:t>Part 1 Section 17.5.1.1, attr (Custom XML Attribute)</w:t>
        </w:r>
        <w:r>
          <w:rPr>
            <w:noProof/>
            <w:webHidden/>
          </w:rPr>
          <w:tab/>
        </w:r>
        <w:r>
          <w:rPr>
            <w:noProof/>
            <w:webHidden/>
          </w:rPr>
          <w:fldChar w:fldCharType="begin"/>
        </w:r>
        <w:r>
          <w:rPr>
            <w:noProof/>
            <w:webHidden/>
          </w:rPr>
          <w:instrText xml:space="preserve"> PAGEREF _Toc69877969 \h </w:instrText>
        </w:r>
        <w:r>
          <w:rPr>
            <w:noProof/>
            <w:webHidden/>
          </w:rPr>
        </w:r>
        <w:r>
          <w:rPr>
            <w:noProof/>
            <w:webHidden/>
          </w:rPr>
          <w:fldChar w:fldCharType="separate"/>
        </w:r>
        <w:r>
          <w:rPr>
            <w:noProof/>
            <w:webHidden/>
          </w:rPr>
          <w:t>99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70" w:history="1">
        <w:r w:rsidRPr="00CC53E5">
          <w:rPr>
            <w:rStyle w:val="Hyperlink"/>
            <w:noProof/>
          </w:rPr>
          <w:t>2.1.187</w:t>
        </w:r>
        <w:r>
          <w:rPr>
            <w:rFonts w:asciiTheme="minorHAnsi" w:eastAsiaTheme="minorEastAsia" w:hAnsiTheme="minorHAnsi" w:cstheme="minorBidi"/>
            <w:noProof/>
            <w:sz w:val="22"/>
            <w:szCs w:val="22"/>
          </w:rPr>
          <w:tab/>
        </w:r>
        <w:r w:rsidRPr="00CC53E5">
          <w:rPr>
            <w:rStyle w:val="Hyperlink"/>
            <w:noProof/>
          </w:rPr>
          <w:t>Part 1 Section 17.5.1.2, attr (Smart Tag Property)</w:t>
        </w:r>
        <w:r>
          <w:rPr>
            <w:noProof/>
            <w:webHidden/>
          </w:rPr>
          <w:tab/>
        </w:r>
        <w:r>
          <w:rPr>
            <w:noProof/>
            <w:webHidden/>
          </w:rPr>
          <w:fldChar w:fldCharType="begin"/>
        </w:r>
        <w:r>
          <w:rPr>
            <w:noProof/>
            <w:webHidden/>
          </w:rPr>
          <w:instrText xml:space="preserve"> PAGEREF _Toc69877970 \h </w:instrText>
        </w:r>
        <w:r>
          <w:rPr>
            <w:noProof/>
            <w:webHidden/>
          </w:rPr>
        </w:r>
        <w:r>
          <w:rPr>
            <w:noProof/>
            <w:webHidden/>
          </w:rPr>
          <w:fldChar w:fldCharType="separate"/>
        </w:r>
        <w:r>
          <w:rPr>
            <w:noProof/>
            <w:webHidden/>
          </w:rPr>
          <w:t>99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71" w:history="1">
        <w:r w:rsidRPr="00CC53E5">
          <w:rPr>
            <w:rStyle w:val="Hyperlink"/>
            <w:noProof/>
          </w:rPr>
          <w:t>2.1.188</w:t>
        </w:r>
        <w:r>
          <w:rPr>
            <w:rFonts w:asciiTheme="minorHAnsi" w:eastAsiaTheme="minorEastAsia" w:hAnsiTheme="minorHAnsi" w:cstheme="minorBidi"/>
            <w:noProof/>
            <w:sz w:val="22"/>
            <w:szCs w:val="22"/>
          </w:rPr>
          <w:tab/>
        </w:r>
        <w:r w:rsidRPr="00CC53E5">
          <w:rPr>
            <w:rStyle w:val="Hyperlink"/>
            <w:noProof/>
          </w:rPr>
          <w:t>Part 1 Section 17.5.1.3, customXml (Inline-Level Custom XML Element)</w:t>
        </w:r>
        <w:r>
          <w:rPr>
            <w:noProof/>
            <w:webHidden/>
          </w:rPr>
          <w:tab/>
        </w:r>
        <w:r>
          <w:rPr>
            <w:noProof/>
            <w:webHidden/>
          </w:rPr>
          <w:fldChar w:fldCharType="begin"/>
        </w:r>
        <w:r>
          <w:rPr>
            <w:noProof/>
            <w:webHidden/>
          </w:rPr>
          <w:instrText xml:space="preserve"> PAGEREF _Toc69877971 \h </w:instrText>
        </w:r>
        <w:r>
          <w:rPr>
            <w:noProof/>
            <w:webHidden/>
          </w:rPr>
        </w:r>
        <w:r>
          <w:rPr>
            <w:noProof/>
            <w:webHidden/>
          </w:rPr>
          <w:fldChar w:fldCharType="separate"/>
        </w:r>
        <w:r>
          <w:rPr>
            <w:noProof/>
            <w:webHidden/>
          </w:rPr>
          <w:t>99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72" w:history="1">
        <w:r w:rsidRPr="00CC53E5">
          <w:rPr>
            <w:rStyle w:val="Hyperlink"/>
            <w:noProof/>
          </w:rPr>
          <w:t>2.1.189</w:t>
        </w:r>
        <w:r>
          <w:rPr>
            <w:rFonts w:asciiTheme="minorHAnsi" w:eastAsiaTheme="minorEastAsia" w:hAnsiTheme="minorHAnsi" w:cstheme="minorBidi"/>
            <w:noProof/>
            <w:sz w:val="22"/>
            <w:szCs w:val="22"/>
          </w:rPr>
          <w:tab/>
        </w:r>
        <w:r w:rsidRPr="00CC53E5">
          <w:rPr>
            <w:rStyle w:val="Hyperlink"/>
            <w:noProof/>
          </w:rPr>
          <w:t>Part 1 Section 17.5.1.4, customXml (Cell-Level Custom XML Element)</w:t>
        </w:r>
        <w:r>
          <w:rPr>
            <w:noProof/>
            <w:webHidden/>
          </w:rPr>
          <w:tab/>
        </w:r>
        <w:r>
          <w:rPr>
            <w:noProof/>
            <w:webHidden/>
          </w:rPr>
          <w:fldChar w:fldCharType="begin"/>
        </w:r>
        <w:r>
          <w:rPr>
            <w:noProof/>
            <w:webHidden/>
          </w:rPr>
          <w:instrText xml:space="preserve"> PAGEREF _Toc69877972 \h </w:instrText>
        </w:r>
        <w:r>
          <w:rPr>
            <w:noProof/>
            <w:webHidden/>
          </w:rPr>
        </w:r>
        <w:r>
          <w:rPr>
            <w:noProof/>
            <w:webHidden/>
          </w:rPr>
          <w:fldChar w:fldCharType="separate"/>
        </w:r>
        <w:r>
          <w:rPr>
            <w:noProof/>
            <w:webHidden/>
          </w:rPr>
          <w:t>99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73" w:history="1">
        <w:r w:rsidRPr="00CC53E5">
          <w:rPr>
            <w:rStyle w:val="Hyperlink"/>
            <w:noProof/>
          </w:rPr>
          <w:t>2.1.190</w:t>
        </w:r>
        <w:r>
          <w:rPr>
            <w:rFonts w:asciiTheme="minorHAnsi" w:eastAsiaTheme="minorEastAsia" w:hAnsiTheme="minorHAnsi" w:cstheme="minorBidi"/>
            <w:noProof/>
            <w:sz w:val="22"/>
            <w:szCs w:val="22"/>
          </w:rPr>
          <w:tab/>
        </w:r>
        <w:r w:rsidRPr="00CC53E5">
          <w:rPr>
            <w:rStyle w:val="Hyperlink"/>
            <w:noProof/>
          </w:rPr>
          <w:t>Part 1 Section 17.5.1.5, customXml (Row-Level Custom XML Element)</w:t>
        </w:r>
        <w:r>
          <w:rPr>
            <w:noProof/>
            <w:webHidden/>
          </w:rPr>
          <w:tab/>
        </w:r>
        <w:r>
          <w:rPr>
            <w:noProof/>
            <w:webHidden/>
          </w:rPr>
          <w:fldChar w:fldCharType="begin"/>
        </w:r>
        <w:r>
          <w:rPr>
            <w:noProof/>
            <w:webHidden/>
          </w:rPr>
          <w:instrText xml:space="preserve"> PAGEREF _Toc69877973 \h </w:instrText>
        </w:r>
        <w:r>
          <w:rPr>
            <w:noProof/>
            <w:webHidden/>
          </w:rPr>
        </w:r>
        <w:r>
          <w:rPr>
            <w:noProof/>
            <w:webHidden/>
          </w:rPr>
          <w:fldChar w:fldCharType="separate"/>
        </w:r>
        <w:r>
          <w:rPr>
            <w:noProof/>
            <w:webHidden/>
          </w:rPr>
          <w:t>100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74" w:history="1">
        <w:r w:rsidRPr="00CC53E5">
          <w:rPr>
            <w:rStyle w:val="Hyperlink"/>
            <w:noProof/>
          </w:rPr>
          <w:t>2.1.191</w:t>
        </w:r>
        <w:r>
          <w:rPr>
            <w:rFonts w:asciiTheme="minorHAnsi" w:eastAsiaTheme="minorEastAsia" w:hAnsiTheme="minorHAnsi" w:cstheme="minorBidi"/>
            <w:noProof/>
            <w:sz w:val="22"/>
            <w:szCs w:val="22"/>
          </w:rPr>
          <w:tab/>
        </w:r>
        <w:r w:rsidRPr="00CC53E5">
          <w:rPr>
            <w:rStyle w:val="Hyperlink"/>
            <w:noProof/>
          </w:rPr>
          <w:t>Part 1 Section 17.5.1.6, customXml (Block-Level Custom XML Element)</w:t>
        </w:r>
        <w:r>
          <w:rPr>
            <w:noProof/>
            <w:webHidden/>
          </w:rPr>
          <w:tab/>
        </w:r>
        <w:r>
          <w:rPr>
            <w:noProof/>
            <w:webHidden/>
          </w:rPr>
          <w:fldChar w:fldCharType="begin"/>
        </w:r>
        <w:r>
          <w:rPr>
            <w:noProof/>
            <w:webHidden/>
          </w:rPr>
          <w:instrText xml:space="preserve"> PAGEREF _Toc69877974 \h </w:instrText>
        </w:r>
        <w:r>
          <w:rPr>
            <w:noProof/>
            <w:webHidden/>
          </w:rPr>
        </w:r>
        <w:r>
          <w:rPr>
            <w:noProof/>
            <w:webHidden/>
          </w:rPr>
          <w:fldChar w:fldCharType="separate"/>
        </w:r>
        <w:r>
          <w:rPr>
            <w:noProof/>
            <w:webHidden/>
          </w:rPr>
          <w:t>100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75" w:history="1">
        <w:r w:rsidRPr="00CC53E5">
          <w:rPr>
            <w:rStyle w:val="Hyperlink"/>
            <w:noProof/>
          </w:rPr>
          <w:t>2.1.192</w:t>
        </w:r>
        <w:r>
          <w:rPr>
            <w:rFonts w:asciiTheme="minorHAnsi" w:eastAsiaTheme="minorEastAsia" w:hAnsiTheme="minorHAnsi" w:cstheme="minorBidi"/>
            <w:noProof/>
            <w:sz w:val="22"/>
            <w:szCs w:val="22"/>
          </w:rPr>
          <w:tab/>
        </w:r>
        <w:r w:rsidRPr="00CC53E5">
          <w:rPr>
            <w:rStyle w:val="Hyperlink"/>
            <w:noProof/>
          </w:rPr>
          <w:t>Part 1 Section 17.5.1.9, smartTag (Inline-Level Smart Tag)</w:t>
        </w:r>
        <w:r>
          <w:rPr>
            <w:noProof/>
            <w:webHidden/>
          </w:rPr>
          <w:tab/>
        </w:r>
        <w:r>
          <w:rPr>
            <w:noProof/>
            <w:webHidden/>
          </w:rPr>
          <w:fldChar w:fldCharType="begin"/>
        </w:r>
        <w:r>
          <w:rPr>
            <w:noProof/>
            <w:webHidden/>
          </w:rPr>
          <w:instrText xml:space="preserve"> PAGEREF _Toc69877975 \h </w:instrText>
        </w:r>
        <w:r>
          <w:rPr>
            <w:noProof/>
            <w:webHidden/>
          </w:rPr>
        </w:r>
        <w:r>
          <w:rPr>
            <w:noProof/>
            <w:webHidden/>
          </w:rPr>
          <w:fldChar w:fldCharType="separate"/>
        </w:r>
        <w:r>
          <w:rPr>
            <w:noProof/>
            <w:webHidden/>
          </w:rPr>
          <w:t>100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76" w:history="1">
        <w:r w:rsidRPr="00CC53E5">
          <w:rPr>
            <w:rStyle w:val="Hyperlink"/>
            <w:noProof/>
          </w:rPr>
          <w:t>2.1.193</w:t>
        </w:r>
        <w:r>
          <w:rPr>
            <w:rFonts w:asciiTheme="minorHAnsi" w:eastAsiaTheme="minorEastAsia" w:hAnsiTheme="minorHAnsi" w:cstheme="minorBidi"/>
            <w:noProof/>
            <w:sz w:val="22"/>
            <w:szCs w:val="22"/>
          </w:rPr>
          <w:tab/>
        </w:r>
        <w:r w:rsidRPr="00CC53E5">
          <w:rPr>
            <w:rStyle w:val="Hyperlink"/>
            <w:noProof/>
          </w:rPr>
          <w:t>Part 1 Section 17.5.2.6, dataBinding (XML Mapping)</w:t>
        </w:r>
        <w:r>
          <w:rPr>
            <w:noProof/>
            <w:webHidden/>
          </w:rPr>
          <w:tab/>
        </w:r>
        <w:r>
          <w:rPr>
            <w:noProof/>
            <w:webHidden/>
          </w:rPr>
          <w:fldChar w:fldCharType="begin"/>
        </w:r>
        <w:r>
          <w:rPr>
            <w:noProof/>
            <w:webHidden/>
          </w:rPr>
          <w:instrText xml:space="preserve"> PAGEREF _Toc69877976 \h </w:instrText>
        </w:r>
        <w:r>
          <w:rPr>
            <w:noProof/>
            <w:webHidden/>
          </w:rPr>
        </w:r>
        <w:r>
          <w:rPr>
            <w:noProof/>
            <w:webHidden/>
          </w:rPr>
          <w:fldChar w:fldCharType="separate"/>
        </w:r>
        <w:r>
          <w:rPr>
            <w:noProof/>
            <w:webHidden/>
          </w:rPr>
          <w:t>100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77" w:history="1">
        <w:r w:rsidRPr="00CC53E5">
          <w:rPr>
            <w:rStyle w:val="Hyperlink"/>
            <w:noProof/>
          </w:rPr>
          <w:t>2.1.194</w:t>
        </w:r>
        <w:r>
          <w:rPr>
            <w:rFonts w:asciiTheme="minorHAnsi" w:eastAsiaTheme="minorEastAsia" w:hAnsiTheme="minorHAnsi" w:cstheme="minorBidi"/>
            <w:noProof/>
            <w:sz w:val="22"/>
            <w:szCs w:val="22"/>
          </w:rPr>
          <w:tab/>
        </w:r>
        <w:r w:rsidRPr="00CC53E5">
          <w:rPr>
            <w:rStyle w:val="Hyperlink"/>
            <w:noProof/>
          </w:rPr>
          <w:t>Part 1 Section 17.5.2.7, date (Date Structured Document Tag)</w:t>
        </w:r>
        <w:r>
          <w:rPr>
            <w:noProof/>
            <w:webHidden/>
          </w:rPr>
          <w:tab/>
        </w:r>
        <w:r>
          <w:rPr>
            <w:noProof/>
            <w:webHidden/>
          </w:rPr>
          <w:fldChar w:fldCharType="begin"/>
        </w:r>
        <w:r>
          <w:rPr>
            <w:noProof/>
            <w:webHidden/>
          </w:rPr>
          <w:instrText xml:space="preserve"> PAGEREF _Toc69877977 \h </w:instrText>
        </w:r>
        <w:r>
          <w:rPr>
            <w:noProof/>
            <w:webHidden/>
          </w:rPr>
        </w:r>
        <w:r>
          <w:rPr>
            <w:noProof/>
            <w:webHidden/>
          </w:rPr>
          <w:fldChar w:fldCharType="separate"/>
        </w:r>
        <w:r>
          <w:rPr>
            <w:noProof/>
            <w:webHidden/>
          </w:rPr>
          <w:t>100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78" w:history="1">
        <w:r w:rsidRPr="00CC53E5">
          <w:rPr>
            <w:rStyle w:val="Hyperlink"/>
            <w:noProof/>
          </w:rPr>
          <w:t>2.1.195</w:t>
        </w:r>
        <w:r>
          <w:rPr>
            <w:rFonts w:asciiTheme="minorHAnsi" w:eastAsiaTheme="minorEastAsia" w:hAnsiTheme="minorHAnsi" w:cstheme="minorBidi"/>
            <w:noProof/>
            <w:sz w:val="22"/>
            <w:szCs w:val="22"/>
          </w:rPr>
          <w:tab/>
        </w:r>
        <w:r w:rsidRPr="00CC53E5">
          <w:rPr>
            <w:rStyle w:val="Hyperlink"/>
            <w:noProof/>
          </w:rPr>
          <w:t>Part 1 Section 17.5.2.9, docPart (Document Part Reference)</w:t>
        </w:r>
        <w:r>
          <w:rPr>
            <w:noProof/>
            <w:webHidden/>
          </w:rPr>
          <w:tab/>
        </w:r>
        <w:r>
          <w:rPr>
            <w:noProof/>
            <w:webHidden/>
          </w:rPr>
          <w:fldChar w:fldCharType="begin"/>
        </w:r>
        <w:r>
          <w:rPr>
            <w:noProof/>
            <w:webHidden/>
          </w:rPr>
          <w:instrText xml:space="preserve"> PAGEREF _Toc69877978 \h </w:instrText>
        </w:r>
        <w:r>
          <w:rPr>
            <w:noProof/>
            <w:webHidden/>
          </w:rPr>
        </w:r>
        <w:r>
          <w:rPr>
            <w:noProof/>
            <w:webHidden/>
          </w:rPr>
          <w:fldChar w:fldCharType="separate"/>
        </w:r>
        <w:r>
          <w:rPr>
            <w:noProof/>
            <w:webHidden/>
          </w:rPr>
          <w:t>100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79" w:history="1">
        <w:r w:rsidRPr="00CC53E5">
          <w:rPr>
            <w:rStyle w:val="Hyperlink"/>
            <w:noProof/>
          </w:rPr>
          <w:t>2.1.196</w:t>
        </w:r>
        <w:r>
          <w:rPr>
            <w:rFonts w:asciiTheme="minorHAnsi" w:eastAsiaTheme="minorEastAsia" w:hAnsiTheme="minorHAnsi" w:cstheme="minorBidi"/>
            <w:noProof/>
            <w:sz w:val="22"/>
            <w:szCs w:val="22"/>
          </w:rPr>
          <w:tab/>
        </w:r>
        <w:r w:rsidRPr="00CC53E5">
          <w:rPr>
            <w:rStyle w:val="Hyperlink"/>
            <w:noProof/>
          </w:rPr>
          <w:t>Part 1 Section 17.5.2.18, id (Unique ID)</w:t>
        </w:r>
        <w:r>
          <w:rPr>
            <w:noProof/>
            <w:webHidden/>
          </w:rPr>
          <w:tab/>
        </w:r>
        <w:r>
          <w:rPr>
            <w:noProof/>
            <w:webHidden/>
          </w:rPr>
          <w:fldChar w:fldCharType="begin"/>
        </w:r>
        <w:r>
          <w:rPr>
            <w:noProof/>
            <w:webHidden/>
          </w:rPr>
          <w:instrText xml:space="preserve"> PAGEREF _Toc69877979 \h </w:instrText>
        </w:r>
        <w:r>
          <w:rPr>
            <w:noProof/>
            <w:webHidden/>
          </w:rPr>
        </w:r>
        <w:r>
          <w:rPr>
            <w:noProof/>
            <w:webHidden/>
          </w:rPr>
          <w:fldChar w:fldCharType="separate"/>
        </w:r>
        <w:r>
          <w:rPr>
            <w:noProof/>
            <w:webHidden/>
          </w:rPr>
          <w:t>101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80" w:history="1">
        <w:r w:rsidRPr="00CC53E5">
          <w:rPr>
            <w:rStyle w:val="Hyperlink"/>
            <w:noProof/>
          </w:rPr>
          <w:t>2.1.197</w:t>
        </w:r>
        <w:r>
          <w:rPr>
            <w:rFonts w:asciiTheme="minorHAnsi" w:eastAsiaTheme="minorEastAsia" w:hAnsiTheme="minorHAnsi" w:cstheme="minorBidi"/>
            <w:noProof/>
            <w:sz w:val="22"/>
            <w:szCs w:val="22"/>
          </w:rPr>
          <w:tab/>
        </w:r>
        <w:r w:rsidRPr="00CC53E5">
          <w:rPr>
            <w:rStyle w:val="Hyperlink"/>
            <w:noProof/>
          </w:rPr>
          <w:t>Part 1 Section 17.5.2.19, label (Structured Document Tag Label)</w:t>
        </w:r>
        <w:r>
          <w:rPr>
            <w:noProof/>
            <w:webHidden/>
          </w:rPr>
          <w:tab/>
        </w:r>
        <w:r>
          <w:rPr>
            <w:noProof/>
            <w:webHidden/>
          </w:rPr>
          <w:fldChar w:fldCharType="begin"/>
        </w:r>
        <w:r>
          <w:rPr>
            <w:noProof/>
            <w:webHidden/>
          </w:rPr>
          <w:instrText xml:space="preserve"> PAGEREF _Toc69877980 \h </w:instrText>
        </w:r>
        <w:r>
          <w:rPr>
            <w:noProof/>
            <w:webHidden/>
          </w:rPr>
        </w:r>
        <w:r>
          <w:rPr>
            <w:noProof/>
            <w:webHidden/>
          </w:rPr>
          <w:fldChar w:fldCharType="separate"/>
        </w:r>
        <w:r>
          <w:rPr>
            <w:noProof/>
            <w:webHidden/>
          </w:rPr>
          <w:t>101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81" w:history="1">
        <w:r w:rsidRPr="00CC53E5">
          <w:rPr>
            <w:rStyle w:val="Hyperlink"/>
            <w:noProof/>
          </w:rPr>
          <w:t>2.1.198</w:t>
        </w:r>
        <w:r>
          <w:rPr>
            <w:rFonts w:asciiTheme="minorHAnsi" w:eastAsiaTheme="minorEastAsia" w:hAnsiTheme="minorHAnsi" w:cstheme="minorBidi"/>
            <w:noProof/>
            <w:sz w:val="22"/>
            <w:szCs w:val="22"/>
          </w:rPr>
          <w:tab/>
        </w:r>
        <w:r w:rsidRPr="00CC53E5">
          <w:rPr>
            <w:rStyle w:val="Hyperlink"/>
            <w:noProof/>
          </w:rPr>
          <w:t>Part 1 Section 17.5.2.20, lid (Date Picker Language ID)</w:t>
        </w:r>
        <w:r>
          <w:rPr>
            <w:noProof/>
            <w:webHidden/>
          </w:rPr>
          <w:tab/>
        </w:r>
        <w:r>
          <w:rPr>
            <w:noProof/>
            <w:webHidden/>
          </w:rPr>
          <w:fldChar w:fldCharType="begin"/>
        </w:r>
        <w:r>
          <w:rPr>
            <w:noProof/>
            <w:webHidden/>
          </w:rPr>
          <w:instrText xml:space="preserve"> PAGEREF _Toc69877981 \h </w:instrText>
        </w:r>
        <w:r>
          <w:rPr>
            <w:noProof/>
            <w:webHidden/>
          </w:rPr>
        </w:r>
        <w:r>
          <w:rPr>
            <w:noProof/>
            <w:webHidden/>
          </w:rPr>
          <w:fldChar w:fldCharType="separate"/>
        </w:r>
        <w:r>
          <w:rPr>
            <w:noProof/>
            <w:webHidden/>
          </w:rPr>
          <w:t>101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82" w:history="1">
        <w:r w:rsidRPr="00CC53E5">
          <w:rPr>
            <w:rStyle w:val="Hyperlink"/>
            <w:noProof/>
          </w:rPr>
          <w:t>2.1.199</w:t>
        </w:r>
        <w:r>
          <w:rPr>
            <w:rFonts w:asciiTheme="minorHAnsi" w:eastAsiaTheme="minorEastAsia" w:hAnsiTheme="minorHAnsi" w:cstheme="minorBidi"/>
            <w:noProof/>
            <w:sz w:val="22"/>
            <w:szCs w:val="22"/>
          </w:rPr>
          <w:tab/>
        </w:r>
        <w:r w:rsidRPr="00CC53E5">
          <w:rPr>
            <w:rStyle w:val="Hyperlink"/>
            <w:noProof/>
          </w:rPr>
          <w:t>Part 1 Section 17.5.2.25, placeholder (Structured Document Tag Placeholder Text)</w:t>
        </w:r>
        <w:r>
          <w:rPr>
            <w:noProof/>
            <w:webHidden/>
          </w:rPr>
          <w:tab/>
        </w:r>
        <w:r>
          <w:rPr>
            <w:noProof/>
            <w:webHidden/>
          </w:rPr>
          <w:fldChar w:fldCharType="begin"/>
        </w:r>
        <w:r>
          <w:rPr>
            <w:noProof/>
            <w:webHidden/>
          </w:rPr>
          <w:instrText xml:space="preserve"> PAGEREF _Toc69877982 \h </w:instrText>
        </w:r>
        <w:r>
          <w:rPr>
            <w:noProof/>
            <w:webHidden/>
          </w:rPr>
        </w:r>
        <w:r>
          <w:rPr>
            <w:noProof/>
            <w:webHidden/>
          </w:rPr>
          <w:fldChar w:fldCharType="separate"/>
        </w:r>
        <w:r>
          <w:rPr>
            <w:noProof/>
            <w:webHidden/>
          </w:rPr>
          <w:t>101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83" w:history="1">
        <w:r w:rsidRPr="00CC53E5">
          <w:rPr>
            <w:rStyle w:val="Hyperlink"/>
            <w:noProof/>
          </w:rPr>
          <w:t>2.1.200</w:t>
        </w:r>
        <w:r>
          <w:rPr>
            <w:rFonts w:asciiTheme="minorHAnsi" w:eastAsiaTheme="minorEastAsia" w:hAnsiTheme="minorHAnsi" w:cstheme="minorBidi"/>
            <w:noProof/>
            <w:sz w:val="22"/>
            <w:szCs w:val="22"/>
          </w:rPr>
          <w:tab/>
        </w:r>
        <w:r w:rsidRPr="00CC53E5">
          <w:rPr>
            <w:rStyle w:val="Hyperlink"/>
            <w:noProof/>
          </w:rPr>
          <w:t>Part 1 Section 17.5.2.27, rPr (Run Properties For Structured Document Tag Contents)</w:t>
        </w:r>
        <w:r>
          <w:rPr>
            <w:noProof/>
            <w:webHidden/>
          </w:rPr>
          <w:tab/>
        </w:r>
        <w:r>
          <w:rPr>
            <w:noProof/>
            <w:webHidden/>
          </w:rPr>
          <w:fldChar w:fldCharType="begin"/>
        </w:r>
        <w:r>
          <w:rPr>
            <w:noProof/>
            <w:webHidden/>
          </w:rPr>
          <w:instrText xml:space="preserve"> PAGEREF _Toc69877983 \h </w:instrText>
        </w:r>
        <w:r>
          <w:rPr>
            <w:noProof/>
            <w:webHidden/>
          </w:rPr>
        </w:r>
        <w:r>
          <w:rPr>
            <w:noProof/>
            <w:webHidden/>
          </w:rPr>
          <w:fldChar w:fldCharType="separate"/>
        </w:r>
        <w:r>
          <w:rPr>
            <w:noProof/>
            <w:webHidden/>
          </w:rPr>
          <w:t>101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84" w:history="1">
        <w:r w:rsidRPr="00CC53E5">
          <w:rPr>
            <w:rStyle w:val="Hyperlink"/>
            <w:noProof/>
          </w:rPr>
          <w:t>2.1.201</w:t>
        </w:r>
        <w:r>
          <w:rPr>
            <w:rFonts w:asciiTheme="minorHAnsi" w:eastAsiaTheme="minorEastAsia" w:hAnsiTheme="minorHAnsi" w:cstheme="minorBidi"/>
            <w:noProof/>
            <w:sz w:val="22"/>
            <w:szCs w:val="22"/>
          </w:rPr>
          <w:tab/>
        </w:r>
        <w:r w:rsidRPr="00CC53E5">
          <w:rPr>
            <w:rStyle w:val="Hyperlink"/>
            <w:noProof/>
          </w:rPr>
          <w:t>Part 1 Section 17.5.2.28, rPr (Structured Document Tag End Character Run Properties)</w:t>
        </w:r>
        <w:r>
          <w:rPr>
            <w:noProof/>
            <w:webHidden/>
          </w:rPr>
          <w:tab/>
        </w:r>
        <w:r>
          <w:rPr>
            <w:noProof/>
            <w:webHidden/>
          </w:rPr>
          <w:fldChar w:fldCharType="begin"/>
        </w:r>
        <w:r>
          <w:rPr>
            <w:noProof/>
            <w:webHidden/>
          </w:rPr>
          <w:instrText xml:space="preserve"> PAGEREF _Toc69877984 \h </w:instrText>
        </w:r>
        <w:r>
          <w:rPr>
            <w:noProof/>
            <w:webHidden/>
          </w:rPr>
        </w:r>
        <w:r>
          <w:rPr>
            <w:noProof/>
            <w:webHidden/>
          </w:rPr>
          <w:fldChar w:fldCharType="separate"/>
        </w:r>
        <w:r>
          <w:rPr>
            <w:noProof/>
            <w:webHidden/>
          </w:rPr>
          <w:t>101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85" w:history="1">
        <w:r w:rsidRPr="00CC53E5">
          <w:rPr>
            <w:rStyle w:val="Hyperlink"/>
            <w:noProof/>
          </w:rPr>
          <w:t>2.1.202</w:t>
        </w:r>
        <w:r>
          <w:rPr>
            <w:rFonts w:asciiTheme="minorHAnsi" w:eastAsiaTheme="minorEastAsia" w:hAnsiTheme="minorHAnsi" w:cstheme="minorBidi"/>
            <w:noProof/>
            <w:sz w:val="22"/>
            <w:szCs w:val="22"/>
          </w:rPr>
          <w:tab/>
        </w:r>
        <w:r w:rsidRPr="00CC53E5">
          <w:rPr>
            <w:rStyle w:val="Hyperlink"/>
            <w:noProof/>
          </w:rPr>
          <w:t>Part 1 Section 17.5.2.30, sdt (Row-Level Structured Document Tag)</w:t>
        </w:r>
        <w:r>
          <w:rPr>
            <w:noProof/>
            <w:webHidden/>
          </w:rPr>
          <w:tab/>
        </w:r>
        <w:r>
          <w:rPr>
            <w:noProof/>
            <w:webHidden/>
          </w:rPr>
          <w:fldChar w:fldCharType="begin"/>
        </w:r>
        <w:r>
          <w:rPr>
            <w:noProof/>
            <w:webHidden/>
          </w:rPr>
          <w:instrText xml:space="preserve"> PAGEREF _Toc69877985 \h </w:instrText>
        </w:r>
        <w:r>
          <w:rPr>
            <w:noProof/>
            <w:webHidden/>
          </w:rPr>
        </w:r>
        <w:r>
          <w:rPr>
            <w:noProof/>
            <w:webHidden/>
          </w:rPr>
          <w:fldChar w:fldCharType="separate"/>
        </w:r>
        <w:r>
          <w:rPr>
            <w:noProof/>
            <w:webHidden/>
          </w:rPr>
          <w:t>101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86" w:history="1">
        <w:r w:rsidRPr="00CC53E5">
          <w:rPr>
            <w:rStyle w:val="Hyperlink"/>
            <w:noProof/>
          </w:rPr>
          <w:t>2.1.203</w:t>
        </w:r>
        <w:r>
          <w:rPr>
            <w:rFonts w:asciiTheme="minorHAnsi" w:eastAsiaTheme="minorEastAsia" w:hAnsiTheme="minorHAnsi" w:cstheme="minorBidi"/>
            <w:noProof/>
            <w:sz w:val="22"/>
            <w:szCs w:val="22"/>
          </w:rPr>
          <w:tab/>
        </w:r>
        <w:r w:rsidRPr="00CC53E5">
          <w:rPr>
            <w:rStyle w:val="Hyperlink"/>
            <w:noProof/>
          </w:rPr>
          <w:t>Part 1 Section 17.5.2.31, sdt (Inline-Level Structured Document Tag)</w:t>
        </w:r>
        <w:r>
          <w:rPr>
            <w:noProof/>
            <w:webHidden/>
          </w:rPr>
          <w:tab/>
        </w:r>
        <w:r>
          <w:rPr>
            <w:noProof/>
            <w:webHidden/>
          </w:rPr>
          <w:fldChar w:fldCharType="begin"/>
        </w:r>
        <w:r>
          <w:rPr>
            <w:noProof/>
            <w:webHidden/>
          </w:rPr>
          <w:instrText xml:space="preserve"> PAGEREF _Toc69877986 \h </w:instrText>
        </w:r>
        <w:r>
          <w:rPr>
            <w:noProof/>
            <w:webHidden/>
          </w:rPr>
        </w:r>
        <w:r>
          <w:rPr>
            <w:noProof/>
            <w:webHidden/>
          </w:rPr>
          <w:fldChar w:fldCharType="separate"/>
        </w:r>
        <w:r>
          <w:rPr>
            <w:noProof/>
            <w:webHidden/>
          </w:rPr>
          <w:t>102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87" w:history="1">
        <w:r w:rsidRPr="00CC53E5">
          <w:rPr>
            <w:rStyle w:val="Hyperlink"/>
            <w:noProof/>
          </w:rPr>
          <w:t>2.1.204</w:t>
        </w:r>
        <w:r>
          <w:rPr>
            <w:rFonts w:asciiTheme="minorHAnsi" w:eastAsiaTheme="minorEastAsia" w:hAnsiTheme="minorHAnsi" w:cstheme="minorBidi"/>
            <w:noProof/>
            <w:sz w:val="22"/>
            <w:szCs w:val="22"/>
          </w:rPr>
          <w:tab/>
        </w:r>
        <w:r w:rsidRPr="00CC53E5">
          <w:rPr>
            <w:rStyle w:val="Hyperlink"/>
            <w:noProof/>
          </w:rPr>
          <w:t>Part 1 Section 17.5.2.32, sdt (Cell-Level Structured Document Tag)</w:t>
        </w:r>
        <w:r>
          <w:rPr>
            <w:noProof/>
            <w:webHidden/>
          </w:rPr>
          <w:tab/>
        </w:r>
        <w:r>
          <w:rPr>
            <w:noProof/>
            <w:webHidden/>
          </w:rPr>
          <w:fldChar w:fldCharType="begin"/>
        </w:r>
        <w:r>
          <w:rPr>
            <w:noProof/>
            <w:webHidden/>
          </w:rPr>
          <w:instrText xml:space="preserve"> PAGEREF _Toc69877987 \h </w:instrText>
        </w:r>
        <w:r>
          <w:rPr>
            <w:noProof/>
            <w:webHidden/>
          </w:rPr>
        </w:r>
        <w:r>
          <w:rPr>
            <w:noProof/>
            <w:webHidden/>
          </w:rPr>
          <w:fldChar w:fldCharType="separate"/>
        </w:r>
        <w:r>
          <w:rPr>
            <w:noProof/>
            <w:webHidden/>
          </w:rPr>
          <w:t>103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88" w:history="1">
        <w:r w:rsidRPr="00CC53E5">
          <w:rPr>
            <w:rStyle w:val="Hyperlink"/>
            <w:noProof/>
          </w:rPr>
          <w:t>2.1.205</w:t>
        </w:r>
        <w:r>
          <w:rPr>
            <w:rFonts w:asciiTheme="minorHAnsi" w:eastAsiaTheme="minorEastAsia" w:hAnsiTheme="minorHAnsi" w:cstheme="minorBidi"/>
            <w:noProof/>
            <w:sz w:val="22"/>
            <w:szCs w:val="22"/>
          </w:rPr>
          <w:tab/>
        </w:r>
        <w:r w:rsidRPr="00CC53E5">
          <w:rPr>
            <w:rStyle w:val="Hyperlink"/>
            <w:noProof/>
          </w:rPr>
          <w:t>Part 1 Section 17.5.2.33, sdtContent (Cell-Level Structured Document Tag Content)</w:t>
        </w:r>
        <w:r>
          <w:rPr>
            <w:noProof/>
            <w:webHidden/>
          </w:rPr>
          <w:tab/>
        </w:r>
        <w:r>
          <w:rPr>
            <w:noProof/>
            <w:webHidden/>
          </w:rPr>
          <w:fldChar w:fldCharType="begin"/>
        </w:r>
        <w:r>
          <w:rPr>
            <w:noProof/>
            <w:webHidden/>
          </w:rPr>
          <w:instrText xml:space="preserve"> PAGEREF _Toc69877988 \h </w:instrText>
        </w:r>
        <w:r>
          <w:rPr>
            <w:noProof/>
            <w:webHidden/>
          </w:rPr>
        </w:r>
        <w:r>
          <w:rPr>
            <w:noProof/>
            <w:webHidden/>
          </w:rPr>
          <w:fldChar w:fldCharType="separate"/>
        </w:r>
        <w:r>
          <w:rPr>
            <w:noProof/>
            <w:webHidden/>
          </w:rPr>
          <w:t>103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89" w:history="1">
        <w:r w:rsidRPr="00CC53E5">
          <w:rPr>
            <w:rStyle w:val="Hyperlink"/>
            <w:noProof/>
          </w:rPr>
          <w:t>2.1.206</w:t>
        </w:r>
        <w:r>
          <w:rPr>
            <w:rFonts w:asciiTheme="minorHAnsi" w:eastAsiaTheme="minorEastAsia" w:hAnsiTheme="minorHAnsi" w:cstheme="minorBidi"/>
            <w:noProof/>
            <w:sz w:val="22"/>
            <w:szCs w:val="22"/>
          </w:rPr>
          <w:tab/>
        </w:r>
        <w:r w:rsidRPr="00CC53E5">
          <w:rPr>
            <w:rStyle w:val="Hyperlink"/>
            <w:noProof/>
          </w:rPr>
          <w:t>Part 1 Section 17.5.2.34, sdtContent (Block-Level Structured Document Tag Content)</w:t>
        </w:r>
        <w:r>
          <w:rPr>
            <w:noProof/>
            <w:webHidden/>
          </w:rPr>
          <w:tab/>
        </w:r>
        <w:r>
          <w:rPr>
            <w:noProof/>
            <w:webHidden/>
          </w:rPr>
          <w:fldChar w:fldCharType="begin"/>
        </w:r>
        <w:r>
          <w:rPr>
            <w:noProof/>
            <w:webHidden/>
          </w:rPr>
          <w:instrText xml:space="preserve"> PAGEREF _Toc69877989 \h </w:instrText>
        </w:r>
        <w:r>
          <w:rPr>
            <w:noProof/>
            <w:webHidden/>
          </w:rPr>
        </w:r>
        <w:r>
          <w:rPr>
            <w:noProof/>
            <w:webHidden/>
          </w:rPr>
          <w:fldChar w:fldCharType="separate"/>
        </w:r>
        <w:r>
          <w:rPr>
            <w:noProof/>
            <w:webHidden/>
          </w:rPr>
          <w:t>104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90" w:history="1">
        <w:r w:rsidRPr="00CC53E5">
          <w:rPr>
            <w:rStyle w:val="Hyperlink"/>
            <w:noProof/>
          </w:rPr>
          <w:t>2.1.207</w:t>
        </w:r>
        <w:r>
          <w:rPr>
            <w:rFonts w:asciiTheme="minorHAnsi" w:eastAsiaTheme="minorEastAsia" w:hAnsiTheme="minorHAnsi" w:cstheme="minorBidi"/>
            <w:noProof/>
            <w:sz w:val="22"/>
            <w:szCs w:val="22"/>
          </w:rPr>
          <w:tab/>
        </w:r>
        <w:r w:rsidRPr="00CC53E5">
          <w:rPr>
            <w:rStyle w:val="Hyperlink"/>
            <w:noProof/>
          </w:rPr>
          <w:t>Part 1 Section 17.5.2.35, sdtContent (Row-Level Structured Document Tag Content)</w:t>
        </w:r>
        <w:r>
          <w:rPr>
            <w:noProof/>
            <w:webHidden/>
          </w:rPr>
          <w:tab/>
        </w:r>
        <w:r>
          <w:rPr>
            <w:noProof/>
            <w:webHidden/>
          </w:rPr>
          <w:fldChar w:fldCharType="begin"/>
        </w:r>
        <w:r>
          <w:rPr>
            <w:noProof/>
            <w:webHidden/>
          </w:rPr>
          <w:instrText xml:space="preserve"> PAGEREF _Toc69877990 \h </w:instrText>
        </w:r>
        <w:r>
          <w:rPr>
            <w:noProof/>
            <w:webHidden/>
          </w:rPr>
        </w:r>
        <w:r>
          <w:rPr>
            <w:noProof/>
            <w:webHidden/>
          </w:rPr>
          <w:fldChar w:fldCharType="separate"/>
        </w:r>
        <w:r>
          <w:rPr>
            <w:noProof/>
            <w:webHidden/>
          </w:rPr>
          <w:t>104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91" w:history="1">
        <w:r w:rsidRPr="00CC53E5">
          <w:rPr>
            <w:rStyle w:val="Hyperlink"/>
            <w:noProof/>
          </w:rPr>
          <w:t>2.1.208</w:t>
        </w:r>
        <w:r>
          <w:rPr>
            <w:rFonts w:asciiTheme="minorHAnsi" w:eastAsiaTheme="minorEastAsia" w:hAnsiTheme="minorHAnsi" w:cstheme="minorBidi"/>
            <w:noProof/>
            <w:sz w:val="22"/>
            <w:szCs w:val="22"/>
          </w:rPr>
          <w:tab/>
        </w:r>
        <w:r w:rsidRPr="00CC53E5">
          <w:rPr>
            <w:rStyle w:val="Hyperlink"/>
            <w:noProof/>
          </w:rPr>
          <w:t>Part 1 Section 17.5.2.36, sdtContent (Inline-Level Structured Document Tag Content)</w:t>
        </w:r>
        <w:r>
          <w:rPr>
            <w:noProof/>
            <w:webHidden/>
          </w:rPr>
          <w:tab/>
        </w:r>
        <w:r>
          <w:rPr>
            <w:noProof/>
            <w:webHidden/>
          </w:rPr>
          <w:fldChar w:fldCharType="begin"/>
        </w:r>
        <w:r>
          <w:rPr>
            <w:noProof/>
            <w:webHidden/>
          </w:rPr>
          <w:instrText xml:space="preserve"> PAGEREF _Toc69877991 \h </w:instrText>
        </w:r>
        <w:r>
          <w:rPr>
            <w:noProof/>
            <w:webHidden/>
          </w:rPr>
        </w:r>
        <w:r>
          <w:rPr>
            <w:noProof/>
            <w:webHidden/>
          </w:rPr>
          <w:fldChar w:fldCharType="separate"/>
        </w:r>
        <w:r>
          <w:rPr>
            <w:noProof/>
            <w:webHidden/>
          </w:rPr>
          <w:t>104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92" w:history="1">
        <w:r w:rsidRPr="00CC53E5">
          <w:rPr>
            <w:rStyle w:val="Hyperlink"/>
            <w:noProof/>
          </w:rPr>
          <w:t>2.1.209</w:t>
        </w:r>
        <w:r>
          <w:rPr>
            <w:rFonts w:asciiTheme="minorHAnsi" w:eastAsiaTheme="minorEastAsia" w:hAnsiTheme="minorHAnsi" w:cstheme="minorBidi"/>
            <w:noProof/>
            <w:sz w:val="22"/>
            <w:szCs w:val="22"/>
          </w:rPr>
          <w:tab/>
        </w:r>
        <w:r w:rsidRPr="00CC53E5">
          <w:rPr>
            <w:rStyle w:val="Hyperlink"/>
            <w:noProof/>
          </w:rPr>
          <w:t>Part 1 Section 17.5.2.41, tabIndex (Structured Document Tag Navigation Order Index)</w:t>
        </w:r>
        <w:r>
          <w:rPr>
            <w:noProof/>
            <w:webHidden/>
          </w:rPr>
          <w:tab/>
        </w:r>
        <w:r>
          <w:rPr>
            <w:noProof/>
            <w:webHidden/>
          </w:rPr>
          <w:fldChar w:fldCharType="begin"/>
        </w:r>
        <w:r>
          <w:rPr>
            <w:noProof/>
            <w:webHidden/>
          </w:rPr>
          <w:instrText xml:space="preserve"> PAGEREF _Toc69877992 \h </w:instrText>
        </w:r>
        <w:r>
          <w:rPr>
            <w:noProof/>
            <w:webHidden/>
          </w:rPr>
        </w:r>
        <w:r>
          <w:rPr>
            <w:noProof/>
            <w:webHidden/>
          </w:rPr>
          <w:fldChar w:fldCharType="separate"/>
        </w:r>
        <w:r>
          <w:rPr>
            <w:noProof/>
            <w:webHidden/>
          </w:rPr>
          <w:t>104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93" w:history="1">
        <w:r w:rsidRPr="00CC53E5">
          <w:rPr>
            <w:rStyle w:val="Hyperlink"/>
            <w:noProof/>
          </w:rPr>
          <w:t>2.1.210</w:t>
        </w:r>
        <w:r>
          <w:rPr>
            <w:rFonts w:asciiTheme="minorHAnsi" w:eastAsiaTheme="minorEastAsia" w:hAnsiTheme="minorHAnsi" w:cstheme="minorBidi"/>
            <w:noProof/>
            <w:sz w:val="22"/>
            <w:szCs w:val="22"/>
          </w:rPr>
          <w:tab/>
        </w:r>
        <w:r w:rsidRPr="00CC53E5">
          <w:rPr>
            <w:rStyle w:val="Hyperlink"/>
            <w:noProof/>
          </w:rPr>
          <w:t>Part 1 Section 17.5.2.43, temporary (Remove Structured Document Tag When Contents Are Edited)</w:t>
        </w:r>
        <w:r>
          <w:rPr>
            <w:noProof/>
            <w:webHidden/>
          </w:rPr>
          <w:tab/>
        </w:r>
        <w:r>
          <w:rPr>
            <w:noProof/>
            <w:webHidden/>
          </w:rPr>
          <w:fldChar w:fldCharType="begin"/>
        </w:r>
        <w:r>
          <w:rPr>
            <w:noProof/>
            <w:webHidden/>
          </w:rPr>
          <w:instrText xml:space="preserve"> PAGEREF _Toc69877993 \h </w:instrText>
        </w:r>
        <w:r>
          <w:rPr>
            <w:noProof/>
            <w:webHidden/>
          </w:rPr>
        </w:r>
        <w:r>
          <w:rPr>
            <w:noProof/>
            <w:webHidden/>
          </w:rPr>
          <w:fldChar w:fldCharType="separate"/>
        </w:r>
        <w:r>
          <w:rPr>
            <w:noProof/>
            <w:webHidden/>
          </w:rPr>
          <w:t>104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94" w:history="1">
        <w:r w:rsidRPr="00CC53E5">
          <w:rPr>
            <w:rStyle w:val="Hyperlink"/>
            <w:noProof/>
          </w:rPr>
          <w:t>2.1.211</w:t>
        </w:r>
        <w:r>
          <w:rPr>
            <w:rFonts w:asciiTheme="minorHAnsi" w:eastAsiaTheme="minorEastAsia" w:hAnsiTheme="minorHAnsi" w:cstheme="minorBidi"/>
            <w:noProof/>
            <w:sz w:val="22"/>
            <w:szCs w:val="22"/>
          </w:rPr>
          <w:tab/>
        </w:r>
        <w:r w:rsidRPr="00CC53E5">
          <w:rPr>
            <w:rStyle w:val="Hyperlink"/>
            <w:noProof/>
          </w:rPr>
          <w:t>Part 1 Section 17.6.2, bottom (Bottom Border)</w:t>
        </w:r>
        <w:r>
          <w:rPr>
            <w:noProof/>
            <w:webHidden/>
          </w:rPr>
          <w:tab/>
        </w:r>
        <w:r>
          <w:rPr>
            <w:noProof/>
            <w:webHidden/>
          </w:rPr>
          <w:fldChar w:fldCharType="begin"/>
        </w:r>
        <w:r>
          <w:rPr>
            <w:noProof/>
            <w:webHidden/>
          </w:rPr>
          <w:instrText xml:space="preserve"> PAGEREF _Toc69877994 \h </w:instrText>
        </w:r>
        <w:r>
          <w:rPr>
            <w:noProof/>
            <w:webHidden/>
          </w:rPr>
        </w:r>
        <w:r>
          <w:rPr>
            <w:noProof/>
            <w:webHidden/>
          </w:rPr>
          <w:fldChar w:fldCharType="separate"/>
        </w:r>
        <w:r>
          <w:rPr>
            <w:noProof/>
            <w:webHidden/>
          </w:rPr>
          <w:t>104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95" w:history="1">
        <w:r w:rsidRPr="00CC53E5">
          <w:rPr>
            <w:rStyle w:val="Hyperlink"/>
            <w:noProof/>
          </w:rPr>
          <w:t>2.1.212</w:t>
        </w:r>
        <w:r>
          <w:rPr>
            <w:rFonts w:asciiTheme="minorHAnsi" w:eastAsiaTheme="minorEastAsia" w:hAnsiTheme="minorHAnsi" w:cstheme="minorBidi"/>
            <w:noProof/>
            <w:sz w:val="22"/>
            <w:szCs w:val="22"/>
          </w:rPr>
          <w:tab/>
        </w:r>
        <w:r w:rsidRPr="00CC53E5">
          <w:rPr>
            <w:rStyle w:val="Hyperlink"/>
            <w:noProof/>
          </w:rPr>
          <w:t>Part 1 Section 17.6.3, col (Single Column Definition)</w:t>
        </w:r>
        <w:r>
          <w:rPr>
            <w:noProof/>
            <w:webHidden/>
          </w:rPr>
          <w:tab/>
        </w:r>
        <w:r>
          <w:rPr>
            <w:noProof/>
            <w:webHidden/>
          </w:rPr>
          <w:fldChar w:fldCharType="begin"/>
        </w:r>
        <w:r>
          <w:rPr>
            <w:noProof/>
            <w:webHidden/>
          </w:rPr>
          <w:instrText xml:space="preserve"> PAGEREF _Toc69877995 \h </w:instrText>
        </w:r>
        <w:r>
          <w:rPr>
            <w:noProof/>
            <w:webHidden/>
          </w:rPr>
        </w:r>
        <w:r>
          <w:rPr>
            <w:noProof/>
            <w:webHidden/>
          </w:rPr>
          <w:fldChar w:fldCharType="separate"/>
        </w:r>
        <w:r>
          <w:rPr>
            <w:noProof/>
            <w:webHidden/>
          </w:rPr>
          <w:t>104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96" w:history="1">
        <w:r w:rsidRPr="00CC53E5">
          <w:rPr>
            <w:rStyle w:val="Hyperlink"/>
            <w:noProof/>
          </w:rPr>
          <w:t>2.1.213</w:t>
        </w:r>
        <w:r>
          <w:rPr>
            <w:rFonts w:asciiTheme="minorHAnsi" w:eastAsiaTheme="minorEastAsia" w:hAnsiTheme="minorHAnsi" w:cstheme="minorBidi"/>
            <w:noProof/>
            <w:sz w:val="22"/>
            <w:szCs w:val="22"/>
          </w:rPr>
          <w:tab/>
        </w:r>
        <w:r w:rsidRPr="00CC53E5">
          <w:rPr>
            <w:rStyle w:val="Hyperlink"/>
            <w:noProof/>
          </w:rPr>
          <w:t>Part 1 Section 17.6.4, cols (Column Definitions)</w:t>
        </w:r>
        <w:r>
          <w:rPr>
            <w:noProof/>
            <w:webHidden/>
          </w:rPr>
          <w:tab/>
        </w:r>
        <w:r>
          <w:rPr>
            <w:noProof/>
            <w:webHidden/>
          </w:rPr>
          <w:fldChar w:fldCharType="begin"/>
        </w:r>
        <w:r>
          <w:rPr>
            <w:noProof/>
            <w:webHidden/>
          </w:rPr>
          <w:instrText xml:space="preserve"> PAGEREF _Toc69877996 \h </w:instrText>
        </w:r>
        <w:r>
          <w:rPr>
            <w:noProof/>
            <w:webHidden/>
          </w:rPr>
        </w:r>
        <w:r>
          <w:rPr>
            <w:noProof/>
            <w:webHidden/>
          </w:rPr>
          <w:fldChar w:fldCharType="separate"/>
        </w:r>
        <w:r>
          <w:rPr>
            <w:noProof/>
            <w:webHidden/>
          </w:rPr>
          <w:t>105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97" w:history="1">
        <w:r w:rsidRPr="00CC53E5">
          <w:rPr>
            <w:rStyle w:val="Hyperlink"/>
            <w:noProof/>
          </w:rPr>
          <w:t>2.1.214</w:t>
        </w:r>
        <w:r>
          <w:rPr>
            <w:rFonts w:asciiTheme="minorHAnsi" w:eastAsiaTheme="minorEastAsia" w:hAnsiTheme="minorHAnsi" w:cstheme="minorBidi"/>
            <w:noProof/>
            <w:sz w:val="22"/>
            <w:szCs w:val="22"/>
          </w:rPr>
          <w:tab/>
        </w:r>
        <w:r w:rsidRPr="00CC53E5">
          <w:rPr>
            <w:rStyle w:val="Hyperlink"/>
            <w:noProof/>
          </w:rPr>
          <w:t>Part 1 Section 17.6.7, left (Left Border)</w:t>
        </w:r>
        <w:r>
          <w:rPr>
            <w:noProof/>
            <w:webHidden/>
          </w:rPr>
          <w:tab/>
        </w:r>
        <w:r>
          <w:rPr>
            <w:noProof/>
            <w:webHidden/>
          </w:rPr>
          <w:fldChar w:fldCharType="begin"/>
        </w:r>
        <w:r>
          <w:rPr>
            <w:noProof/>
            <w:webHidden/>
          </w:rPr>
          <w:instrText xml:space="preserve"> PAGEREF _Toc69877997 \h </w:instrText>
        </w:r>
        <w:r>
          <w:rPr>
            <w:noProof/>
            <w:webHidden/>
          </w:rPr>
        </w:r>
        <w:r>
          <w:rPr>
            <w:noProof/>
            <w:webHidden/>
          </w:rPr>
          <w:fldChar w:fldCharType="separate"/>
        </w:r>
        <w:r>
          <w:rPr>
            <w:noProof/>
            <w:webHidden/>
          </w:rPr>
          <w:t>105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98" w:history="1">
        <w:r w:rsidRPr="00CC53E5">
          <w:rPr>
            <w:rStyle w:val="Hyperlink"/>
            <w:noProof/>
          </w:rPr>
          <w:t>2.1.215</w:t>
        </w:r>
        <w:r>
          <w:rPr>
            <w:rFonts w:asciiTheme="minorHAnsi" w:eastAsiaTheme="minorEastAsia" w:hAnsiTheme="minorHAnsi" w:cstheme="minorBidi"/>
            <w:noProof/>
            <w:sz w:val="22"/>
            <w:szCs w:val="22"/>
          </w:rPr>
          <w:tab/>
        </w:r>
        <w:r w:rsidRPr="00CC53E5">
          <w:rPr>
            <w:rStyle w:val="Hyperlink"/>
            <w:noProof/>
          </w:rPr>
          <w:t>Part 1 Section 17.6.8, lnNumType (Line Numbering Settings)</w:t>
        </w:r>
        <w:r>
          <w:rPr>
            <w:noProof/>
            <w:webHidden/>
          </w:rPr>
          <w:tab/>
        </w:r>
        <w:r>
          <w:rPr>
            <w:noProof/>
            <w:webHidden/>
          </w:rPr>
          <w:fldChar w:fldCharType="begin"/>
        </w:r>
        <w:r>
          <w:rPr>
            <w:noProof/>
            <w:webHidden/>
          </w:rPr>
          <w:instrText xml:space="preserve"> PAGEREF _Toc69877998 \h </w:instrText>
        </w:r>
        <w:r>
          <w:rPr>
            <w:noProof/>
            <w:webHidden/>
          </w:rPr>
        </w:r>
        <w:r>
          <w:rPr>
            <w:noProof/>
            <w:webHidden/>
          </w:rPr>
          <w:fldChar w:fldCharType="separate"/>
        </w:r>
        <w:r>
          <w:rPr>
            <w:noProof/>
            <w:webHidden/>
          </w:rPr>
          <w:t>105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7999" w:history="1">
        <w:r w:rsidRPr="00CC53E5">
          <w:rPr>
            <w:rStyle w:val="Hyperlink"/>
            <w:noProof/>
          </w:rPr>
          <w:t>2.1.216</w:t>
        </w:r>
        <w:r>
          <w:rPr>
            <w:rFonts w:asciiTheme="minorHAnsi" w:eastAsiaTheme="minorEastAsia" w:hAnsiTheme="minorHAnsi" w:cstheme="minorBidi"/>
            <w:noProof/>
            <w:sz w:val="22"/>
            <w:szCs w:val="22"/>
          </w:rPr>
          <w:tab/>
        </w:r>
        <w:r w:rsidRPr="00CC53E5">
          <w:rPr>
            <w:rStyle w:val="Hyperlink"/>
            <w:noProof/>
          </w:rPr>
          <w:t>Part 1 Section 17.6.9, paperSrc (Paper Source Information)</w:t>
        </w:r>
        <w:r>
          <w:rPr>
            <w:noProof/>
            <w:webHidden/>
          </w:rPr>
          <w:tab/>
        </w:r>
        <w:r>
          <w:rPr>
            <w:noProof/>
            <w:webHidden/>
          </w:rPr>
          <w:fldChar w:fldCharType="begin"/>
        </w:r>
        <w:r>
          <w:rPr>
            <w:noProof/>
            <w:webHidden/>
          </w:rPr>
          <w:instrText xml:space="preserve"> PAGEREF _Toc69877999 \h </w:instrText>
        </w:r>
        <w:r>
          <w:rPr>
            <w:noProof/>
            <w:webHidden/>
          </w:rPr>
        </w:r>
        <w:r>
          <w:rPr>
            <w:noProof/>
            <w:webHidden/>
          </w:rPr>
          <w:fldChar w:fldCharType="separate"/>
        </w:r>
        <w:r>
          <w:rPr>
            <w:noProof/>
            <w:webHidden/>
          </w:rPr>
          <w:t>105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00" w:history="1">
        <w:r w:rsidRPr="00CC53E5">
          <w:rPr>
            <w:rStyle w:val="Hyperlink"/>
            <w:noProof/>
          </w:rPr>
          <w:t>2.1.217</w:t>
        </w:r>
        <w:r>
          <w:rPr>
            <w:rFonts w:asciiTheme="minorHAnsi" w:eastAsiaTheme="minorEastAsia" w:hAnsiTheme="minorHAnsi" w:cstheme="minorBidi"/>
            <w:noProof/>
            <w:sz w:val="22"/>
            <w:szCs w:val="22"/>
          </w:rPr>
          <w:tab/>
        </w:r>
        <w:r w:rsidRPr="00CC53E5">
          <w:rPr>
            <w:rStyle w:val="Hyperlink"/>
            <w:noProof/>
          </w:rPr>
          <w:t>Part 1 Section 17.6.10, pgBorders (Page Borders)</w:t>
        </w:r>
        <w:r>
          <w:rPr>
            <w:noProof/>
            <w:webHidden/>
          </w:rPr>
          <w:tab/>
        </w:r>
        <w:r>
          <w:rPr>
            <w:noProof/>
            <w:webHidden/>
          </w:rPr>
          <w:fldChar w:fldCharType="begin"/>
        </w:r>
        <w:r>
          <w:rPr>
            <w:noProof/>
            <w:webHidden/>
          </w:rPr>
          <w:instrText xml:space="preserve"> PAGEREF _Toc69878000 \h </w:instrText>
        </w:r>
        <w:r>
          <w:rPr>
            <w:noProof/>
            <w:webHidden/>
          </w:rPr>
        </w:r>
        <w:r>
          <w:rPr>
            <w:noProof/>
            <w:webHidden/>
          </w:rPr>
          <w:fldChar w:fldCharType="separate"/>
        </w:r>
        <w:r>
          <w:rPr>
            <w:noProof/>
            <w:webHidden/>
          </w:rPr>
          <w:t>105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01" w:history="1">
        <w:r w:rsidRPr="00CC53E5">
          <w:rPr>
            <w:rStyle w:val="Hyperlink"/>
            <w:noProof/>
          </w:rPr>
          <w:t>2.1.218</w:t>
        </w:r>
        <w:r>
          <w:rPr>
            <w:rFonts w:asciiTheme="minorHAnsi" w:eastAsiaTheme="minorEastAsia" w:hAnsiTheme="minorHAnsi" w:cstheme="minorBidi"/>
            <w:noProof/>
            <w:sz w:val="22"/>
            <w:szCs w:val="22"/>
          </w:rPr>
          <w:tab/>
        </w:r>
        <w:r w:rsidRPr="00CC53E5">
          <w:rPr>
            <w:rStyle w:val="Hyperlink"/>
            <w:noProof/>
          </w:rPr>
          <w:t>Part 1 Section 17.6.11, pgMar (Page Margins)</w:t>
        </w:r>
        <w:r>
          <w:rPr>
            <w:noProof/>
            <w:webHidden/>
          </w:rPr>
          <w:tab/>
        </w:r>
        <w:r>
          <w:rPr>
            <w:noProof/>
            <w:webHidden/>
          </w:rPr>
          <w:fldChar w:fldCharType="begin"/>
        </w:r>
        <w:r>
          <w:rPr>
            <w:noProof/>
            <w:webHidden/>
          </w:rPr>
          <w:instrText xml:space="preserve"> PAGEREF _Toc69878001 \h </w:instrText>
        </w:r>
        <w:r>
          <w:rPr>
            <w:noProof/>
            <w:webHidden/>
          </w:rPr>
        </w:r>
        <w:r>
          <w:rPr>
            <w:noProof/>
            <w:webHidden/>
          </w:rPr>
          <w:fldChar w:fldCharType="separate"/>
        </w:r>
        <w:r>
          <w:rPr>
            <w:noProof/>
            <w:webHidden/>
          </w:rPr>
          <w:t>106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02" w:history="1">
        <w:r w:rsidRPr="00CC53E5">
          <w:rPr>
            <w:rStyle w:val="Hyperlink"/>
            <w:noProof/>
          </w:rPr>
          <w:t>2.1.219</w:t>
        </w:r>
        <w:r>
          <w:rPr>
            <w:rFonts w:asciiTheme="minorHAnsi" w:eastAsiaTheme="minorEastAsia" w:hAnsiTheme="minorHAnsi" w:cstheme="minorBidi"/>
            <w:noProof/>
            <w:sz w:val="22"/>
            <w:szCs w:val="22"/>
          </w:rPr>
          <w:tab/>
        </w:r>
        <w:r w:rsidRPr="00CC53E5">
          <w:rPr>
            <w:rStyle w:val="Hyperlink"/>
            <w:noProof/>
          </w:rPr>
          <w:t>Part 1 Section 17.6.12, pgNumType (Page Numbering Settings)</w:t>
        </w:r>
        <w:r>
          <w:rPr>
            <w:noProof/>
            <w:webHidden/>
          </w:rPr>
          <w:tab/>
        </w:r>
        <w:r>
          <w:rPr>
            <w:noProof/>
            <w:webHidden/>
          </w:rPr>
          <w:fldChar w:fldCharType="begin"/>
        </w:r>
        <w:r>
          <w:rPr>
            <w:noProof/>
            <w:webHidden/>
          </w:rPr>
          <w:instrText xml:space="preserve"> PAGEREF _Toc69878002 \h </w:instrText>
        </w:r>
        <w:r>
          <w:rPr>
            <w:noProof/>
            <w:webHidden/>
          </w:rPr>
        </w:r>
        <w:r>
          <w:rPr>
            <w:noProof/>
            <w:webHidden/>
          </w:rPr>
          <w:fldChar w:fldCharType="separate"/>
        </w:r>
        <w:r>
          <w:rPr>
            <w:noProof/>
            <w:webHidden/>
          </w:rPr>
          <w:t>106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03" w:history="1">
        <w:r w:rsidRPr="00CC53E5">
          <w:rPr>
            <w:rStyle w:val="Hyperlink"/>
            <w:noProof/>
          </w:rPr>
          <w:t>2.1.220</w:t>
        </w:r>
        <w:r>
          <w:rPr>
            <w:rFonts w:asciiTheme="minorHAnsi" w:eastAsiaTheme="minorEastAsia" w:hAnsiTheme="minorHAnsi" w:cstheme="minorBidi"/>
            <w:noProof/>
            <w:sz w:val="22"/>
            <w:szCs w:val="22"/>
          </w:rPr>
          <w:tab/>
        </w:r>
        <w:r w:rsidRPr="00CC53E5">
          <w:rPr>
            <w:rStyle w:val="Hyperlink"/>
            <w:noProof/>
          </w:rPr>
          <w:t>Part 1 Section 17.6.13, pgSz (Page Size)</w:t>
        </w:r>
        <w:r>
          <w:rPr>
            <w:noProof/>
            <w:webHidden/>
          </w:rPr>
          <w:tab/>
        </w:r>
        <w:r>
          <w:rPr>
            <w:noProof/>
            <w:webHidden/>
          </w:rPr>
          <w:fldChar w:fldCharType="begin"/>
        </w:r>
        <w:r>
          <w:rPr>
            <w:noProof/>
            <w:webHidden/>
          </w:rPr>
          <w:instrText xml:space="preserve"> PAGEREF _Toc69878003 \h </w:instrText>
        </w:r>
        <w:r>
          <w:rPr>
            <w:noProof/>
            <w:webHidden/>
          </w:rPr>
        </w:r>
        <w:r>
          <w:rPr>
            <w:noProof/>
            <w:webHidden/>
          </w:rPr>
          <w:fldChar w:fldCharType="separate"/>
        </w:r>
        <w:r>
          <w:rPr>
            <w:noProof/>
            <w:webHidden/>
          </w:rPr>
          <w:t>106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04" w:history="1">
        <w:r w:rsidRPr="00CC53E5">
          <w:rPr>
            <w:rStyle w:val="Hyperlink"/>
            <w:noProof/>
          </w:rPr>
          <w:t>2.1.221</w:t>
        </w:r>
        <w:r>
          <w:rPr>
            <w:rFonts w:asciiTheme="minorHAnsi" w:eastAsiaTheme="minorEastAsia" w:hAnsiTheme="minorHAnsi" w:cstheme="minorBidi"/>
            <w:noProof/>
            <w:sz w:val="22"/>
            <w:szCs w:val="22"/>
          </w:rPr>
          <w:tab/>
        </w:r>
        <w:r w:rsidRPr="00CC53E5">
          <w:rPr>
            <w:rStyle w:val="Hyperlink"/>
            <w:noProof/>
          </w:rPr>
          <w:t>Part 1 Section 17.6.14, printerSettings (Reference to Printer Settings Data)</w:t>
        </w:r>
        <w:r>
          <w:rPr>
            <w:noProof/>
            <w:webHidden/>
          </w:rPr>
          <w:tab/>
        </w:r>
        <w:r>
          <w:rPr>
            <w:noProof/>
            <w:webHidden/>
          </w:rPr>
          <w:fldChar w:fldCharType="begin"/>
        </w:r>
        <w:r>
          <w:rPr>
            <w:noProof/>
            <w:webHidden/>
          </w:rPr>
          <w:instrText xml:space="preserve"> PAGEREF _Toc69878004 \h </w:instrText>
        </w:r>
        <w:r>
          <w:rPr>
            <w:noProof/>
            <w:webHidden/>
          </w:rPr>
        </w:r>
        <w:r>
          <w:rPr>
            <w:noProof/>
            <w:webHidden/>
          </w:rPr>
          <w:fldChar w:fldCharType="separate"/>
        </w:r>
        <w:r>
          <w:rPr>
            <w:noProof/>
            <w:webHidden/>
          </w:rPr>
          <w:t>106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05" w:history="1">
        <w:r w:rsidRPr="00CC53E5">
          <w:rPr>
            <w:rStyle w:val="Hyperlink"/>
            <w:noProof/>
          </w:rPr>
          <w:t>2.1.222</w:t>
        </w:r>
        <w:r>
          <w:rPr>
            <w:rFonts w:asciiTheme="minorHAnsi" w:eastAsiaTheme="minorEastAsia" w:hAnsiTheme="minorHAnsi" w:cstheme="minorBidi"/>
            <w:noProof/>
            <w:sz w:val="22"/>
            <w:szCs w:val="22"/>
          </w:rPr>
          <w:tab/>
        </w:r>
        <w:r w:rsidRPr="00CC53E5">
          <w:rPr>
            <w:rStyle w:val="Hyperlink"/>
            <w:noProof/>
          </w:rPr>
          <w:t>Part 1 Section 17.6.15, right (Right Border)</w:t>
        </w:r>
        <w:r>
          <w:rPr>
            <w:noProof/>
            <w:webHidden/>
          </w:rPr>
          <w:tab/>
        </w:r>
        <w:r>
          <w:rPr>
            <w:noProof/>
            <w:webHidden/>
          </w:rPr>
          <w:fldChar w:fldCharType="begin"/>
        </w:r>
        <w:r>
          <w:rPr>
            <w:noProof/>
            <w:webHidden/>
          </w:rPr>
          <w:instrText xml:space="preserve"> PAGEREF _Toc69878005 \h </w:instrText>
        </w:r>
        <w:r>
          <w:rPr>
            <w:noProof/>
            <w:webHidden/>
          </w:rPr>
        </w:r>
        <w:r>
          <w:rPr>
            <w:noProof/>
            <w:webHidden/>
          </w:rPr>
          <w:fldChar w:fldCharType="separate"/>
        </w:r>
        <w:r>
          <w:rPr>
            <w:noProof/>
            <w:webHidden/>
          </w:rPr>
          <w:t>107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06" w:history="1">
        <w:r w:rsidRPr="00CC53E5">
          <w:rPr>
            <w:rStyle w:val="Hyperlink"/>
            <w:noProof/>
          </w:rPr>
          <w:t>2.1.223</w:t>
        </w:r>
        <w:r>
          <w:rPr>
            <w:rFonts w:asciiTheme="minorHAnsi" w:eastAsiaTheme="minorEastAsia" w:hAnsiTheme="minorHAnsi" w:cstheme="minorBidi"/>
            <w:noProof/>
            <w:sz w:val="22"/>
            <w:szCs w:val="22"/>
          </w:rPr>
          <w:tab/>
        </w:r>
        <w:r w:rsidRPr="00CC53E5">
          <w:rPr>
            <w:rStyle w:val="Hyperlink"/>
            <w:noProof/>
          </w:rPr>
          <w:t>Part 1 Section 17.6.17, sectPr (Document Final Section Properties)</w:t>
        </w:r>
        <w:r>
          <w:rPr>
            <w:noProof/>
            <w:webHidden/>
          </w:rPr>
          <w:tab/>
        </w:r>
        <w:r>
          <w:rPr>
            <w:noProof/>
            <w:webHidden/>
          </w:rPr>
          <w:fldChar w:fldCharType="begin"/>
        </w:r>
        <w:r>
          <w:rPr>
            <w:noProof/>
            <w:webHidden/>
          </w:rPr>
          <w:instrText xml:space="preserve"> PAGEREF _Toc69878006 \h </w:instrText>
        </w:r>
        <w:r>
          <w:rPr>
            <w:noProof/>
            <w:webHidden/>
          </w:rPr>
        </w:r>
        <w:r>
          <w:rPr>
            <w:noProof/>
            <w:webHidden/>
          </w:rPr>
          <w:fldChar w:fldCharType="separate"/>
        </w:r>
        <w:r>
          <w:rPr>
            <w:noProof/>
            <w:webHidden/>
          </w:rPr>
          <w:t>107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07" w:history="1">
        <w:r w:rsidRPr="00CC53E5">
          <w:rPr>
            <w:rStyle w:val="Hyperlink"/>
            <w:noProof/>
          </w:rPr>
          <w:t>2.1.224</w:t>
        </w:r>
        <w:r>
          <w:rPr>
            <w:rFonts w:asciiTheme="minorHAnsi" w:eastAsiaTheme="minorEastAsia" w:hAnsiTheme="minorHAnsi" w:cstheme="minorBidi"/>
            <w:noProof/>
            <w:sz w:val="22"/>
            <w:szCs w:val="22"/>
          </w:rPr>
          <w:tab/>
        </w:r>
        <w:r w:rsidRPr="00CC53E5">
          <w:rPr>
            <w:rStyle w:val="Hyperlink"/>
            <w:noProof/>
          </w:rPr>
          <w:t>Part 1 Section 17.6.18, sectPr (Section Properties)</w:t>
        </w:r>
        <w:r>
          <w:rPr>
            <w:noProof/>
            <w:webHidden/>
          </w:rPr>
          <w:tab/>
        </w:r>
        <w:r>
          <w:rPr>
            <w:noProof/>
            <w:webHidden/>
          </w:rPr>
          <w:fldChar w:fldCharType="begin"/>
        </w:r>
        <w:r>
          <w:rPr>
            <w:noProof/>
            <w:webHidden/>
          </w:rPr>
          <w:instrText xml:space="preserve"> PAGEREF _Toc69878007 \h </w:instrText>
        </w:r>
        <w:r>
          <w:rPr>
            <w:noProof/>
            <w:webHidden/>
          </w:rPr>
        </w:r>
        <w:r>
          <w:rPr>
            <w:noProof/>
            <w:webHidden/>
          </w:rPr>
          <w:fldChar w:fldCharType="separate"/>
        </w:r>
        <w:r>
          <w:rPr>
            <w:noProof/>
            <w:webHidden/>
          </w:rPr>
          <w:t>107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08" w:history="1">
        <w:r w:rsidRPr="00CC53E5">
          <w:rPr>
            <w:rStyle w:val="Hyperlink"/>
            <w:noProof/>
          </w:rPr>
          <w:t>2.1.225</w:t>
        </w:r>
        <w:r>
          <w:rPr>
            <w:rFonts w:asciiTheme="minorHAnsi" w:eastAsiaTheme="minorEastAsia" w:hAnsiTheme="minorHAnsi" w:cstheme="minorBidi"/>
            <w:noProof/>
            <w:sz w:val="22"/>
            <w:szCs w:val="22"/>
          </w:rPr>
          <w:tab/>
        </w:r>
        <w:r w:rsidRPr="00CC53E5">
          <w:rPr>
            <w:rStyle w:val="Hyperlink"/>
            <w:noProof/>
          </w:rPr>
          <w:t>Part 1 Section 17.6.19, sectPr (Previous Section Properties)</w:t>
        </w:r>
        <w:r>
          <w:rPr>
            <w:noProof/>
            <w:webHidden/>
          </w:rPr>
          <w:tab/>
        </w:r>
        <w:r>
          <w:rPr>
            <w:noProof/>
            <w:webHidden/>
          </w:rPr>
          <w:fldChar w:fldCharType="begin"/>
        </w:r>
        <w:r>
          <w:rPr>
            <w:noProof/>
            <w:webHidden/>
          </w:rPr>
          <w:instrText xml:space="preserve"> PAGEREF _Toc69878008 \h </w:instrText>
        </w:r>
        <w:r>
          <w:rPr>
            <w:noProof/>
            <w:webHidden/>
          </w:rPr>
        </w:r>
        <w:r>
          <w:rPr>
            <w:noProof/>
            <w:webHidden/>
          </w:rPr>
          <w:fldChar w:fldCharType="separate"/>
        </w:r>
        <w:r>
          <w:rPr>
            <w:noProof/>
            <w:webHidden/>
          </w:rPr>
          <w:t>107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09" w:history="1">
        <w:r w:rsidRPr="00CC53E5">
          <w:rPr>
            <w:rStyle w:val="Hyperlink"/>
            <w:noProof/>
          </w:rPr>
          <w:t>2.1.226</w:t>
        </w:r>
        <w:r>
          <w:rPr>
            <w:rFonts w:asciiTheme="minorHAnsi" w:eastAsiaTheme="minorEastAsia" w:hAnsiTheme="minorHAnsi" w:cstheme="minorBidi"/>
            <w:noProof/>
            <w:sz w:val="22"/>
            <w:szCs w:val="22"/>
          </w:rPr>
          <w:tab/>
        </w:r>
        <w:r w:rsidRPr="00CC53E5">
          <w:rPr>
            <w:rStyle w:val="Hyperlink"/>
            <w:noProof/>
          </w:rPr>
          <w:t>Part 1 Section 17.6.21, top (Top Border)</w:t>
        </w:r>
        <w:r>
          <w:rPr>
            <w:noProof/>
            <w:webHidden/>
          </w:rPr>
          <w:tab/>
        </w:r>
        <w:r>
          <w:rPr>
            <w:noProof/>
            <w:webHidden/>
          </w:rPr>
          <w:fldChar w:fldCharType="begin"/>
        </w:r>
        <w:r>
          <w:rPr>
            <w:noProof/>
            <w:webHidden/>
          </w:rPr>
          <w:instrText xml:space="preserve"> PAGEREF _Toc69878009 \h </w:instrText>
        </w:r>
        <w:r>
          <w:rPr>
            <w:noProof/>
            <w:webHidden/>
          </w:rPr>
        </w:r>
        <w:r>
          <w:rPr>
            <w:noProof/>
            <w:webHidden/>
          </w:rPr>
          <w:fldChar w:fldCharType="separate"/>
        </w:r>
        <w:r>
          <w:rPr>
            <w:noProof/>
            <w:webHidden/>
          </w:rPr>
          <w:t>107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10" w:history="1">
        <w:r w:rsidRPr="00CC53E5">
          <w:rPr>
            <w:rStyle w:val="Hyperlink"/>
            <w:noProof/>
          </w:rPr>
          <w:t>2.1.227</w:t>
        </w:r>
        <w:r>
          <w:rPr>
            <w:rFonts w:asciiTheme="minorHAnsi" w:eastAsiaTheme="minorEastAsia" w:hAnsiTheme="minorHAnsi" w:cstheme="minorBidi"/>
            <w:noProof/>
            <w:sz w:val="22"/>
            <w:szCs w:val="22"/>
          </w:rPr>
          <w:tab/>
        </w:r>
        <w:r w:rsidRPr="00CC53E5">
          <w:rPr>
            <w:rStyle w:val="Hyperlink"/>
            <w:noProof/>
          </w:rPr>
          <w:t>Part 1 Section 17.6.22, type (Section Type)</w:t>
        </w:r>
        <w:r>
          <w:rPr>
            <w:noProof/>
            <w:webHidden/>
          </w:rPr>
          <w:tab/>
        </w:r>
        <w:r>
          <w:rPr>
            <w:noProof/>
            <w:webHidden/>
          </w:rPr>
          <w:fldChar w:fldCharType="begin"/>
        </w:r>
        <w:r>
          <w:rPr>
            <w:noProof/>
            <w:webHidden/>
          </w:rPr>
          <w:instrText xml:space="preserve"> PAGEREF _Toc69878010 \h </w:instrText>
        </w:r>
        <w:r>
          <w:rPr>
            <w:noProof/>
            <w:webHidden/>
          </w:rPr>
        </w:r>
        <w:r>
          <w:rPr>
            <w:noProof/>
            <w:webHidden/>
          </w:rPr>
          <w:fldChar w:fldCharType="separate"/>
        </w:r>
        <w:r>
          <w:rPr>
            <w:noProof/>
            <w:webHidden/>
          </w:rPr>
          <w:t>107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11" w:history="1">
        <w:r w:rsidRPr="00CC53E5">
          <w:rPr>
            <w:rStyle w:val="Hyperlink"/>
            <w:noProof/>
          </w:rPr>
          <w:t>2.1.228</w:t>
        </w:r>
        <w:r>
          <w:rPr>
            <w:rFonts w:asciiTheme="minorHAnsi" w:eastAsiaTheme="minorEastAsia" w:hAnsiTheme="minorHAnsi" w:cstheme="minorBidi"/>
            <w:noProof/>
            <w:sz w:val="22"/>
            <w:szCs w:val="22"/>
          </w:rPr>
          <w:tab/>
        </w:r>
        <w:r w:rsidRPr="00CC53E5">
          <w:rPr>
            <w:rStyle w:val="Hyperlink"/>
            <w:noProof/>
          </w:rPr>
          <w:t>Part 1 Section 17.7.1, Style Inheritance</w:t>
        </w:r>
        <w:r>
          <w:rPr>
            <w:noProof/>
            <w:webHidden/>
          </w:rPr>
          <w:tab/>
        </w:r>
        <w:r>
          <w:rPr>
            <w:noProof/>
            <w:webHidden/>
          </w:rPr>
          <w:fldChar w:fldCharType="begin"/>
        </w:r>
        <w:r>
          <w:rPr>
            <w:noProof/>
            <w:webHidden/>
          </w:rPr>
          <w:instrText xml:space="preserve"> PAGEREF _Toc69878011 \h </w:instrText>
        </w:r>
        <w:r>
          <w:rPr>
            <w:noProof/>
            <w:webHidden/>
          </w:rPr>
        </w:r>
        <w:r>
          <w:rPr>
            <w:noProof/>
            <w:webHidden/>
          </w:rPr>
          <w:fldChar w:fldCharType="separate"/>
        </w:r>
        <w:r>
          <w:rPr>
            <w:noProof/>
            <w:webHidden/>
          </w:rPr>
          <w:t>108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12" w:history="1">
        <w:r w:rsidRPr="00CC53E5">
          <w:rPr>
            <w:rStyle w:val="Hyperlink"/>
            <w:noProof/>
          </w:rPr>
          <w:t>2.1.229</w:t>
        </w:r>
        <w:r>
          <w:rPr>
            <w:rFonts w:asciiTheme="minorHAnsi" w:eastAsiaTheme="minorEastAsia" w:hAnsiTheme="minorHAnsi" w:cstheme="minorBidi"/>
            <w:noProof/>
            <w:sz w:val="22"/>
            <w:szCs w:val="22"/>
          </w:rPr>
          <w:tab/>
        </w:r>
        <w:r w:rsidRPr="00CC53E5">
          <w:rPr>
            <w:rStyle w:val="Hyperlink"/>
            <w:noProof/>
          </w:rPr>
          <w:t>Part 1 Section 17.7.2, Style Hierarchy</w:t>
        </w:r>
        <w:r>
          <w:rPr>
            <w:noProof/>
            <w:webHidden/>
          </w:rPr>
          <w:tab/>
        </w:r>
        <w:r>
          <w:rPr>
            <w:noProof/>
            <w:webHidden/>
          </w:rPr>
          <w:fldChar w:fldCharType="begin"/>
        </w:r>
        <w:r>
          <w:rPr>
            <w:noProof/>
            <w:webHidden/>
          </w:rPr>
          <w:instrText xml:space="preserve"> PAGEREF _Toc69878012 \h </w:instrText>
        </w:r>
        <w:r>
          <w:rPr>
            <w:noProof/>
            <w:webHidden/>
          </w:rPr>
        </w:r>
        <w:r>
          <w:rPr>
            <w:noProof/>
            <w:webHidden/>
          </w:rPr>
          <w:fldChar w:fldCharType="separate"/>
        </w:r>
        <w:r>
          <w:rPr>
            <w:noProof/>
            <w:webHidden/>
          </w:rPr>
          <w:t>108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13" w:history="1">
        <w:r w:rsidRPr="00CC53E5">
          <w:rPr>
            <w:rStyle w:val="Hyperlink"/>
            <w:noProof/>
          </w:rPr>
          <w:t>2.1.230</w:t>
        </w:r>
        <w:r>
          <w:rPr>
            <w:rFonts w:asciiTheme="minorHAnsi" w:eastAsiaTheme="minorEastAsia" w:hAnsiTheme="minorHAnsi" w:cstheme="minorBidi"/>
            <w:noProof/>
            <w:sz w:val="22"/>
            <w:szCs w:val="22"/>
          </w:rPr>
          <w:tab/>
        </w:r>
        <w:r w:rsidRPr="00CC53E5">
          <w:rPr>
            <w:rStyle w:val="Hyperlink"/>
            <w:noProof/>
          </w:rPr>
          <w:t>Part 1 Section 17.7.3, Toggle Properties</w:t>
        </w:r>
        <w:r>
          <w:rPr>
            <w:noProof/>
            <w:webHidden/>
          </w:rPr>
          <w:tab/>
        </w:r>
        <w:r>
          <w:rPr>
            <w:noProof/>
            <w:webHidden/>
          </w:rPr>
          <w:fldChar w:fldCharType="begin"/>
        </w:r>
        <w:r>
          <w:rPr>
            <w:noProof/>
            <w:webHidden/>
          </w:rPr>
          <w:instrText xml:space="preserve"> PAGEREF _Toc69878013 \h </w:instrText>
        </w:r>
        <w:r>
          <w:rPr>
            <w:noProof/>
            <w:webHidden/>
          </w:rPr>
        </w:r>
        <w:r>
          <w:rPr>
            <w:noProof/>
            <w:webHidden/>
          </w:rPr>
          <w:fldChar w:fldCharType="separate"/>
        </w:r>
        <w:r>
          <w:rPr>
            <w:noProof/>
            <w:webHidden/>
          </w:rPr>
          <w:t>108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14" w:history="1">
        <w:r w:rsidRPr="00CC53E5">
          <w:rPr>
            <w:rStyle w:val="Hyperlink"/>
            <w:noProof/>
          </w:rPr>
          <w:t>2.1.231</w:t>
        </w:r>
        <w:r>
          <w:rPr>
            <w:rFonts w:asciiTheme="minorHAnsi" w:eastAsiaTheme="minorEastAsia" w:hAnsiTheme="minorHAnsi" w:cstheme="minorBidi"/>
            <w:noProof/>
            <w:sz w:val="22"/>
            <w:szCs w:val="22"/>
          </w:rPr>
          <w:tab/>
        </w:r>
        <w:r w:rsidRPr="00CC53E5">
          <w:rPr>
            <w:rStyle w:val="Hyperlink"/>
            <w:noProof/>
          </w:rPr>
          <w:t>Part 1 Section 17.7.4.1, aliases (Alternate Style Names)</w:t>
        </w:r>
        <w:r>
          <w:rPr>
            <w:noProof/>
            <w:webHidden/>
          </w:rPr>
          <w:tab/>
        </w:r>
        <w:r>
          <w:rPr>
            <w:noProof/>
            <w:webHidden/>
          </w:rPr>
          <w:fldChar w:fldCharType="begin"/>
        </w:r>
        <w:r>
          <w:rPr>
            <w:noProof/>
            <w:webHidden/>
          </w:rPr>
          <w:instrText xml:space="preserve"> PAGEREF _Toc69878014 \h </w:instrText>
        </w:r>
        <w:r>
          <w:rPr>
            <w:noProof/>
            <w:webHidden/>
          </w:rPr>
        </w:r>
        <w:r>
          <w:rPr>
            <w:noProof/>
            <w:webHidden/>
          </w:rPr>
          <w:fldChar w:fldCharType="separate"/>
        </w:r>
        <w:r>
          <w:rPr>
            <w:noProof/>
            <w:webHidden/>
          </w:rPr>
          <w:t>108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15" w:history="1">
        <w:r w:rsidRPr="00CC53E5">
          <w:rPr>
            <w:rStyle w:val="Hyperlink"/>
            <w:noProof/>
          </w:rPr>
          <w:t>2.1.232</w:t>
        </w:r>
        <w:r>
          <w:rPr>
            <w:rFonts w:asciiTheme="minorHAnsi" w:eastAsiaTheme="minorEastAsia" w:hAnsiTheme="minorHAnsi" w:cstheme="minorBidi"/>
            <w:noProof/>
            <w:sz w:val="22"/>
            <w:szCs w:val="22"/>
          </w:rPr>
          <w:tab/>
        </w:r>
        <w:r w:rsidRPr="00CC53E5">
          <w:rPr>
            <w:rStyle w:val="Hyperlink"/>
            <w:noProof/>
          </w:rPr>
          <w:t>Part 1 Section 17.7.4.2, autoRedefine (Automatically Merge User Formatting Into Style Definition)</w:t>
        </w:r>
        <w:r>
          <w:rPr>
            <w:noProof/>
            <w:webHidden/>
          </w:rPr>
          <w:tab/>
        </w:r>
        <w:r>
          <w:rPr>
            <w:noProof/>
            <w:webHidden/>
          </w:rPr>
          <w:fldChar w:fldCharType="begin"/>
        </w:r>
        <w:r>
          <w:rPr>
            <w:noProof/>
            <w:webHidden/>
          </w:rPr>
          <w:instrText xml:space="preserve"> PAGEREF _Toc69878015 \h </w:instrText>
        </w:r>
        <w:r>
          <w:rPr>
            <w:noProof/>
            <w:webHidden/>
          </w:rPr>
        </w:r>
        <w:r>
          <w:rPr>
            <w:noProof/>
            <w:webHidden/>
          </w:rPr>
          <w:fldChar w:fldCharType="separate"/>
        </w:r>
        <w:r>
          <w:rPr>
            <w:noProof/>
            <w:webHidden/>
          </w:rPr>
          <w:t>109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16" w:history="1">
        <w:r w:rsidRPr="00CC53E5">
          <w:rPr>
            <w:rStyle w:val="Hyperlink"/>
            <w:noProof/>
          </w:rPr>
          <w:t>2.1.233</w:t>
        </w:r>
        <w:r>
          <w:rPr>
            <w:rFonts w:asciiTheme="minorHAnsi" w:eastAsiaTheme="minorEastAsia" w:hAnsiTheme="minorHAnsi" w:cstheme="minorBidi"/>
            <w:noProof/>
            <w:sz w:val="22"/>
            <w:szCs w:val="22"/>
          </w:rPr>
          <w:tab/>
        </w:r>
        <w:r w:rsidRPr="00CC53E5">
          <w:rPr>
            <w:rStyle w:val="Hyperlink"/>
            <w:noProof/>
          </w:rPr>
          <w:t>Part 1 Section 17.7.4.3, basedOn (Parent Style ID)</w:t>
        </w:r>
        <w:r>
          <w:rPr>
            <w:noProof/>
            <w:webHidden/>
          </w:rPr>
          <w:tab/>
        </w:r>
        <w:r>
          <w:rPr>
            <w:noProof/>
            <w:webHidden/>
          </w:rPr>
          <w:fldChar w:fldCharType="begin"/>
        </w:r>
        <w:r>
          <w:rPr>
            <w:noProof/>
            <w:webHidden/>
          </w:rPr>
          <w:instrText xml:space="preserve"> PAGEREF _Toc69878016 \h </w:instrText>
        </w:r>
        <w:r>
          <w:rPr>
            <w:noProof/>
            <w:webHidden/>
          </w:rPr>
        </w:r>
        <w:r>
          <w:rPr>
            <w:noProof/>
            <w:webHidden/>
          </w:rPr>
          <w:fldChar w:fldCharType="separate"/>
        </w:r>
        <w:r>
          <w:rPr>
            <w:noProof/>
            <w:webHidden/>
          </w:rPr>
          <w:t>109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17" w:history="1">
        <w:r w:rsidRPr="00CC53E5">
          <w:rPr>
            <w:rStyle w:val="Hyperlink"/>
            <w:noProof/>
          </w:rPr>
          <w:t>2.1.234</w:t>
        </w:r>
        <w:r>
          <w:rPr>
            <w:rFonts w:asciiTheme="minorHAnsi" w:eastAsiaTheme="minorEastAsia" w:hAnsiTheme="minorHAnsi" w:cstheme="minorBidi"/>
            <w:noProof/>
            <w:sz w:val="22"/>
            <w:szCs w:val="22"/>
          </w:rPr>
          <w:tab/>
        </w:r>
        <w:r w:rsidRPr="00CC53E5">
          <w:rPr>
            <w:rStyle w:val="Hyperlink"/>
            <w:noProof/>
          </w:rPr>
          <w:t>Part 1 Section 17.7.4.5, latentStyles (Latent Style Information)</w:t>
        </w:r>
        <w:r>
          <w:rPr>
            <w:noProof/>
            <w:webHidden/>
          </w:rPr>
          <w:tab/>
        </w:r>
        <w:r>
          <w:rPr>
            <w:noProof/>
            <w:webHidden/>
          </w:rPr>
          <w:fldChar w:fldCharType="begin"/>
        </w:r>
        <w:r>
          <w:rPr>
            <w:noProof/>
            <w:webHidden/>
          </w:rPr>
          <w:instrText xml:space="preserve"> PAGEREF _Toc69878017 \h </w:instrText>
        </w:r>
        <w:r>
          <w:rPr>
            <w:noProof/>
            <w:webHidden/>
          </w:rPr>
        </w:r>
        <w:r>
          <w:rPr>
            <w:noProof/>
            <w:webHidden/>
          </w:rPr>
          <w:fldChar w:fldCharType="separate"/>
        </w:r>
        <w:r>
          <w:rPr>
            <w:noProof/>
            <w:webHidden/>
          </w:rPr>
          <w:t>109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18" w:history="1">
        <w:r w:rsidRPr="00CC53E5">
          <w:rPr>
            <w:rStyle w:val="Hyperlink"/>
            <w:noProof/>
          </w:rPr>
          <w:t>2.1.235</w:t>
        </w:r>
        <w:r>
          <w:rPr>
            <w:rFonts w:asciiTheme="minorHAnsi" w:eastAsiaTheme="minorEastAsia" w:hAnsiTheme="minorHAnsi" w:cstheme="minorBidi"/>
            <w:noProof/>
            <w:sz w:val="22"/>
            <w:szCs w:val="22"/>
          </w:rPr>
          <w:tab/>
        </w:r>
        <w:r w:rsidRPr="00CC53E5">
          <w:rPr>
            <w:rStyle w:val="Hyperlink"/>
            <w:noProof/>
          </w:rPr>
          <w:t>Part 1 Section 17.7.4.6, link (Linked Style Reference)</w:t>
        </w:r>
        <w:r>
          <w:rPr>
            <w:noProof/>
            <w:webHidden/>
          </w:rPr>
          <w:tab/>
        </w:r>
        <w:r>
          <w:rPr>
            <w:noProof/>
            <w:webHidden/>
          </w:rPr>
          <w:fldChar w:fldCharType="begin"/>
        </w:r>
        <w:r>
          <w:rPr>
            <w:noProof/>
            <w:webHidden/>
          </w:rPr>
          <w:instrText xml:space="preserve"> PAGEREF _Toc69878018 \h </w:instrText>
        </w:r>
        <w:r>
          <w:rPr>
            <w:noProof/>
            <w:webHidden/>
          </w:rPr>
        </w:r>
        <w:r>
          <w:rPr>
            <w:noProof/>
            <w:webHidden/>
          </w:rPr>
          <w:fldChar w:fldCharType="separate"/>
        </w:r>
        <w:r>
          <w:rPr>
            <w:noProof/>
            <w:webHidden/>
          </w:rPr>
          <w:t>109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19" w:history="1">
        <w:r w:rsidRPr="00CC53E5">
          <w:rPr>
            <w:rStyle w:val="Hyperlink"/>
            <w:noProof/>
          </w:rPr>
          <w:t>2.1.236</w:t>
        </w:r>
        <w:r>
          <w:rPr>
            <w:rFonts w:asciiTheme="minorHAnsi" w:eastAsiaTheme="minorEastAsia" w:hAnsiTheme="minorHAnsi" w:cstheme="minorBidi"/>
            <w:noProof/>
            <w:sz w:val="22"/>
            <w:szCs w:val="22"/>
          </w:rPr>
          <w:tab/>
        </w:r>
        <w:r w:rsidRPr="00CC53E5">
          <w:rPr>
            <w:rStyle w:val="Hyperlink"/>
            <w:noProof/>
          </w:rPr>
          <w:t>Part 1 Section 17.7.4.8, lsdException (Latent Style Exception)</w:t>
        </w:r>
        <w:r>
          <w:rPr>
            <w:noProof/>
            <w:webHidden/>
          </w:rPr>
          <w:tab/>
        </w:r>
        <w:r>
          <w:rPr>
            <w:noProof/>
            <w:webHidden/>
          </w:rPr>
          <w:fldChar w:fldCharType="begin"/>
        </w:r>
        <w:r>
          <w:rPr>
            <w:noProof/>
            <w:webHidden/>
          </w:rPr>
          <w:instrText xml:space="preserve"> PAGEREF _Toc69878019 \h </w:instrText>
        </w:r>
        <w:r>
          <w:rPr>
            <w:noProof/>
            <w:webHidden/>
          </w:rPr>
        </w:r>
        <w:r>
          <w:rPr>
            <w:noProof/>
            <w:webHidden/>
          </w:rPr>
          <w:fldChar w:fldCharType="separate"/>
        </w:r>
        <w:r>
          <w:rPr>
            <w:noProof/>
            <w:webHidden/>
          </w:rPr>
          <w:t>110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20" w:history="1">
        <w:r w:rsidRPr="00CC53E5">
          <w:rPr>
            <w:rStyle w:val="Hyperlink"/>
            <w:noProof/>
          </w:rPr>
          <w:t>2.1.237</w:t>
        </w:r>
        <w:r>
          <w:rPr>
            <w:rFonts w:asciiTheme="minorHAnsi" w:eastAsiaTheme="minorEastAsia" w:hAnsiTheme="minorHAnsi" w:cstheme="minorBidi"/>
            <w:noProof/>
            <w:sz w:val="22"/>
            <w:szCs w:val="22"/>
          </w:rPr>
          <w:tab/>
        </w:r>
        <w:r w:rsidRPr="00CC53E5">
          <w:rPr>
            <w:rStyle w:val="Hyperlink"/>
            <w:noProof/>
          </w:rPr>
          <w:t>Part 1 Section 17.7.4.9, name (Primary Style Name)</w:t>
        </w:r>
        <w:r>
          <w:rPr>
            <w:noProof/>
            <w:webHidden/>
          </w:rPr>
          <w:tab/>
        </w:r>
        <w:r>
          <w:rPr>
            <w:noProof/>
            <w:webHidden/>
          </w:rPr>
          <w:fldChar w:fldCharType="begin"/>
        </w:r>
        <w:r>
          <w:rPr>
            <w:noProof/>
            <w:webHidden/>
          </w:rPr>
          <w:instrText xml:space="preserve"> PAGEREF _Toc69878020 \h </w:instrText>
        </w:r>
        <w:r>
          <w:rPr>
            <w:noProof/>
            <w:webHidden/>
          </w:rPr>
        </w:r>
        <w:r>
          <w:rPr>
            <w:noProof/>
            <w:webHidden/>
          </w:rPr>
          <w:fldChar w:fldCharType="separate"/>
        </w:r>
        <w:r>
          <w:rPr>
            <w:noProof/>
            <w:webHidden/>
          </w:rPr>
          <w:t>110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21" w:history="1">
        <w:r w:rsidRPr="00CC53E5">
          <w:rPr>
            <w:rStyle w:val="Hyperlink"/>
            <w:noProof/>
          </w:rPr>
          <w:t>2.1.238</w:t>
        </w:r>
        <w:r>
          <w:rPr>
            <w:rFonts w:asciiTheme="minorHAnsi" w:eastAsiaTheme="minorEastAsia" w:hAnsiTheme="minorHAnsi" w:cstheme="minorBidi"/>
            <w:noProof/>
            <w:sz w:val="22"/>
            <w:szCs w:val="22"/>
          </w:rPr>
          <w:tab/>
        </w:r>
        <w:r w:rsidRPr="00CC53E5">
          <w:rPr>
            <w:rStyle w:val="Hyperlink"/>
            <w:noProof/>
          </w:rPr>
          <w:t>Part 1 Section 17.7.4.10, next (Style For Next Paragraph)</w:t>
        </w:r>
        <w:r>
          <w:rPr>
            <w:noProof/>
            <w:webHidden/>
          </w:rPr>
          <w:tab/>
        </w:r>
        <w:r>
          <w:rPr>
            <w:noProof/>
            <w:webHidden/>
          </w:rPr>
          <w:fldChar w:fldCharType="begin"/>
        </w:r>
        <w:r>
          <w:rPr>
            <w:noProof/>
            <w:webHidden/>
          </w:rPr>
          <w:instrText xml:space="preserve"> PAGEREF _Toc69878021 \h </w:instrText>
        </w:r>
        <w:r>
          <w:rPr>
            <w:noProof/>
            <w:webHidden/>
          </w:rPr>
        </w:r>
        <w:r>
          <w:rPr>
            <w:noProof/>
            <w:webHidden/>
          </w:rPr>
          <w:fldChar w:fldCharType="separate"/>
        </w:r>
        <w:r>
          <w:rPr>
            <w:noProof/>
            <w:webHidden/>
          </w:rPr>
          <w:t>118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22" w:history="1">
        <w:r w:rsidRPr="00CC53E5">
          <w:rPr>
            <w:rStyle w:val="Hyperlink"/>
            <w:noProof/>
          </w:rPr>
          <w:t>2.1.239</w:t>
        </w:r>
        <w:r>
          <w:rPr>
            <w:rFonts w:asciiTheme="minorHAnsi" w:eastAsiaTheme="minorEastAsia" w:hAnsiTheme="minorHAnsi" w:cstheme="minorBidi"/>
            <w:noProof/>
            <w:sz w:val="22"/>
            <w:szCs w:val="22"/>
          </w:rPr>
          <w:tab/>
        </w:r>
        <w:r w:rsidRPr="00CC53E5">
          <w:rPr>
            <w:rStyle w:val="Hyperlink"/>
            <w:noProof/>
          </w:rPr>
          <w:t>Part 1 Section 17.7.4.11, personal (E-Mail Message Text Style)</w:t>
        </w:r>
        <w:r>
          <w:rPr>
            <w:noProof/>
            <w:webHidden/>
          </w:rPr>
          <w:tab/>
        </w:r>
        <w:r>
          <w:rPr>
            <w:noProof/>
            <w:webHidden/>
          </w:rPr>
          <w:fldChar w:fldCharType="begin"/>
        </w:r>
        <w:r>
          <w:rPr>
            <w:noProof/>
            <w:webHidden/>
          </w:rPr>
          <w:instrText xml:space="preserve"> PAGEREF _Toc69878022 \h </w:instrText>
        </w:r>
        <w:r>
          <w:rPr>
            <w:noProof/>
            <w:webHidden/>
          </w:rPr>
        </w:r>
        <w:r>
          <w:rPr>
            <w:noProof/>
            <w:webHidden/>
          </w:rPr>
          <w:fldChar w:fldCharType="separate"/>
        </w:r>
        <w:r>
          <w:rPr>
            <w:noProof/>
            <w:webHidden/>
          </w:rPr>
          <w:t>119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23" w:history="1">
        <w:r w:rsidRPr="00CC53E5">
          <w:rPr>
            <w:rStyle w:val="Hyperlink"/>
            <w:noProof/>
          </w:rPr>
          <w:t>2.1.240</w:t>
        </w:r>
        <w:r>
          <w:rPr>
            <w:rFonts w:asciiTheme="minorHAnsi" w:eastAsiaTheme="minorEastAsia" w:hAnsiTheme="minorHAnsi" w:cstheme="minorBidi"/>
            <w:noProof/>
            <w:sz w:val="22"/>
            <w:szCs w:val="22"/>
          </w:rPr>
          <w:tab/>
        </w:r>
        <w:r w:rsidRPr="00CC53E5">
          <w:rPr>
            <w:rStyle w:val="Hyperlink"/>
            <w:noProof/>
          </w:rPr>
          <w:t>Part 1 Section 17.7.4.12, personalCompose (E-Mail Message Composition Style)</w:t>
        </w:r>
        <w:r>
          <w:rPr>
            <w:noProof/>
            <w:webHidden/>
          </w:rPr>
          <w:tab/>
        </w:r>
        <w:r>
          <w:rPr>
            <w:noProof/>
            <w:webHidden/>
          </w:rPr>
          <w:fldChar w:fldCharType="begin"/>
        </w:r>
        <w:r>
          <w:rPr>
            <w:noProof/>
            <w:webHidden/>
          </w:rPr>
          <w:instrText xml:space="preserve"> PAGEREF _Toc69878023 \h </w:instrText>
        </w:r>
        <w:r>
          <w:rPr>
            <w:noProof/>
            <w:webHidden/>
          </w:rPr>
        </w:r>
        <w:r>
          <w:rPr>
            <w:noProof/>
            <w:webHidden/>
          </w:rPr>
          <w:fldChar w:fldCharType="separate"/>
        </w:r>
        <w:r>
          <w:rPr>
            <w:noProof/>
            <w:webHidden/>
          </w:rPr>
          <w:t>119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24" w:history="1">
        <w:r w:rsidRPr="00CC53E5">
          <w:rPr>
            <w:rStyle w:val="Hyperlink"/>
            <w:noProof/>
          </w:rPr>
          <w:t>2.1.241</w:t>
        </w:r>
        <w:r>
          <w:rPr>
            <w:rFonts w:asciiTheme="minorHAnsi" w:eastAsiaTheme="minorEastAsia" w:hAnsiTheme="minorHAnsi" w:cstheme="minorBidi"/>
            <w:noProof/>
            <w:sz w:val="22"/>
            <w:szCs w:val="22"/>
          </w:rPr>
          <w:tab/>
        </w:r>
        <w:r w:rsidRPr="00CC53E5">
          <w:rPr>
            <w:rStyle w:val="Hyperlink"/>
            <w:noProof/>
          </w:rPr>
          <w:t>Part 1 Section 17.7.4.13, personalReply (E-Mail Message Reply Style)</w:t>
        </w:r>
        <w:r>
          <w:rPr>
            <w:noProof/>
            <w:webHidden/>
          </w:rPr>
          <w:tab/>
        </w:r>
        <w:r>
          <w:rPr>
            <w:noProof/>
            <w:webHidden/>
          </w:rPr>
          <w:fldChar w:fldCharType="begin"/>
        </w:r>
        <w:r>
          <w:rPr>
            <w:noProof/>
            <w:webHidden/>
          </w:rPr>
          <w:instrText xml:space="preserve"> PAGEREF _Toc69878024 \h </w:instrText>
        </w:r>
        <w:r>
          <w:rPr>
            <w:noProof/>
            <w:webHidden/>
          </w:rPr>
        </w:r>
        <w:r>
          <w:rPr>
            <w:noProof/>
            <w:webHidden/>
          </w:rPr>
          <w:fldChar w:fldCharType="separate"/>
        </w:r>
        <w:r>
          <w:rPr>
            <w:noProof/>
            <w:webHidden/>
          </w:rPr>
          <w:t>119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25" w:history="1">
        <w:r w:rsidRPr="00CC53E5">
          <w:rPr>
            <w:rStyle w:val="Hyperlink"/>
            <w:noProof/>
          </w:rPr>
          <w:t>2.1.242</w:t>
        </w:r>
        <w:r>
          <w:rPr>
            <w:rFonts w:asciiTheme="minorHAnsi" w:eastAsiaTheme="minorEastAsia" w:hAnsiTheme="minorHAnsi" w:cstheme="minorBidi"/>
            <w:noProof/>
            <w:sz w:val="22"/>
            <w:szCs w:val="22"/>
          </w:rPr>
          <w:tab/>
        </w:r>
        <w:r w:rsidRPr="00CC53E5">
          <w:rPr>
            <w:rStyle w:val="Hyperlink"/>
            <w:noProof/>
          </w:rPr>
          <w:t>Part 1 Section 17.7.4.17, style (Style Definition)</w:t>
        </w:r>
        <w:r>
          <w:rPr>
            <w:noProof/>
            <w:webHidden/>
          </w:rPr>
          <w:tab/>
        </w:r>
        <w:r>
          <w:rPr>
            <w:noProof/>
            <w:webHidden/>
          </w:rPr>
          <w:fldChar w:fldCharType="begin"/>
        </w:r>
        <w:r>
          <w:rPr>
            <w:noProof/>
            <w:webHidden/>
          </w:rPr>
          <w:instrText xml:space="preserve"> PAGEREF _Toc69878025 \h </w:instrText>
        </w:r>
        <w:r>
          <w:rPr>
            <w:noProof/>
            <w:webHidden/>
          </w:rPr>
        </w:r>
        <w:r>
          <w:rPr>
            <w:noProof/>
            <w:webHidden/>
          </w:rPr>
          <w:fldChar w:fldCharType="separate"/>
        </w:r>
        <w:r>
          <w:rPr>
            <w:noProof/>
            <w:webHidden/>
          </w:rPr>
          <w:t>119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26" w:history="1">
        <w:r w:rsidRPr="00CC53E5">
          <w:rPr>
            <w:rStyle w:val="Hyperlink"/>
            <w:noProof/>
          </w:rPr>
          <w:t>2.1.243</w:t>
        </w:r>
        <w:r>
          <w:rPr>
            <w:rFonts w:asciiTheme="minorHAnsi" w:eastAsiaTheme="minorEastAsia" w:hAnsiTheme="minorHAnsi" w:cstheme="minorBidi"/>
            <w:noProof/>
            <w:sz w:val="22"/>
            <w:szCs w:val="22"/>
          </w:rPr>
          <w:tab/>
        </w:r>
        <w:r w:rsidRPr="00CC53E5">
          <w:rPr>
            <w:rStyle w:val="Hyperlink"/>
            <w:noProof/>
          </w:rPr>
          <w:t>Part 1 Section 17.7.4.19, uiPriority (Optional User Interface Sorting Order)</w:t>
        </w:r>
        <w:r>
          <w:rPr>
            <w:noProof/>
            <w:webHidden/>
          </w:rPr>
          <w:tab/>
        </w:r>
        <w:r>
          <w:rPr>
            <w:noProof/>
            <w:webHidden/>
          </w:rPr>
          <w:fldChar w:fldCharType="begin"/>
        </w:r>
        <w:r>
          <w:rPr>
            <w:noProof/>
            <w:webHidden/>
          </w:rPr>
          <w:instrText xml:space="preserve"> PAGEREF _Toc69878026 \h </w:instrText>
        </w:r>
        <w:r>
          <w:rPr>
            <w:noProof/>
            <w:webHidden/>
          </w:rPr>
        </w:r>
        <w:r>
          <w:rPr>
            <w:noProof/>
            <w:webHidden/>
          </w:rPr>
          <w:fldChar w:fldCharType="separate"/>
        </w:r>
        <w:r>
          <w:rPr>
            <w:noProof/>
            <w:webHidden/>
          </w:rPr>
          <w:t>119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27" w:history="1">
        <w:r w:rsidRPr="00CC53E5">
          <w:rPr>
            <w:rStyle w:val="Hyperlink"/>
            <w:noProof/>
          </w:rPr>
          <w:t>2.1.244</w:t>
        </w:r>
        <w:r>
          <w:rPr>
            <w:rFonts w:asciiTheme="minorHAnsi" w:eastAsiaTheme="minorEastAsia" w:hAnsiTheme="minorHAnsi" w:cstheme="minorBidi"/>
            <w:noProof/>
            <w:sz w:val="22"/>
            <w:szCs w:val="22"/>
          </w:rPr>
          <w:tab/>
        </w:r>
        <w:r w:rsidRPr="00CC53E5">
          <w:rPr>
            <w:rStyle w:val="Hyperlink"/>
            <w:noProof/>
          </w:rPr>
          <w:t>Part 1 Section 17.7.5.2, pPr (Paragraph Properties)</w:t>
        </w:r>
        <w:r>
          <w:rPr>
            <w:noProof/>
            <w:webHidden/>
          </w:rPr>
          <w:tab/>
        </w:r>
        <w:r>
          <w:rPr>
            <w:noProof/>
            <w:webHidden/>
          </w:rPr>
          <w:fldChar w:fldCharType="begin"/>
        </w:r>
        <w:r>
          <w:rPr>
            <w:noProof/>
            <w:webHidden/>
          </w:rPr>
          <w:instrText xml:space="preserve"> PAGEREF _Toc69878027 \h </w:instrText>
        </w:r>
        <w:r>
          <w:rPr>
            <w:noProof/>
            <w:webHidden/>
          </w:rPr>
        </w:r>
        <w:r>
          <w:rPr>
            <w:noProof/>
            <w:webHidden/>
          </w:rPr>
          <w:fldChar w:fldCharType="separate"/>
        </w:r>
        <w:r>
          <w:rPr>
            <w:noProof/>
            <w:webHidden/>
          </w:rPr>
          <w:t>120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28" w:history="1">
        <w:r w:rsidRPr="00CC53E5">
          <w:rPr>
            <w:rStyle w:val="Hyperlink"/>
            <w:noProof/>
          </w:rPr>
          <w:t>2.1.245</w:t>
        </w:r>
        <w:r>
          <w:rPr>
            <w:rFonts w:asciiTheme="minorHAnsi" w:eastAsiaTheme="minorEastAsia" w:hAnsiTheme="minorHAnsi" w:cstheme="minorBidi"/>
            <w:noProof/>
            <w:sz w:val="22"/>
            <w:szCs w:val="22"/>
          </w:rPr>
          <w:tab/>
        </w:r>
        <w:r w:rsidRPr="00CC53E5">
          <w:rPr>
            <w:rStyle w:val="Hyperlink"/>
            <w:noProof/>
          </w:rPr>
          <w:t>Part 1 Section 17.7.5.4, rPr (Run Properties)</w:t>
        </w:r>
        <w:r>
          <w:rPr>
            <w:noProof/>
            <w:webHidden/>
          </w:rPr>
          <w:tab/>
        </w:r>
        <w:r>
          <w:rPr>
            <w:noProof/>
            <w:webHidden/>
          </w:rPr>
          <w:fldChar w:fldCharType="begin"/>
        </w:r>
        <w:r>
          <w:rPr>
            <w:noProof/>
            <w:webHidden/>
          </w:rPr>
          <w:instrText xml:space="preserve"> PAGEREF _Toc69878028 \h </w:instrText>
        </w:r>
        <w:r>
          <w:rPr>
            <w:noProof/>
            <w:webHidden/>
          </w:rPr>
        </w:r>
        <w:r>
          <w:rPr>
            <w:noProof/>
            <w:webHidden/>
          </w:rPr>
          <w:fldChar w:fldCharType="separate"/>
        </w:r>
        <w:r>
          <w:rPr>
            <w:noProof/>
            <w:webHidden/>
          </w:rPr>
          <w:t>120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29" w:history="1">
        <w:r w:rsidRPr="00CC53E5">
          <w:rPr>
            <w:rStyle w:val="Hyperlink"/>
            <w:noProof/>
          </w:rPr>
          <w:t>2.1.246</w:t>
        </w:r>
        <w:r>
          <w:rPr>
            <w:rFonts w:asciiTheme="minorHAnsi" w:eastAsiaTheme="minorEastAsia" w:hAnsiTheme="minorHAnsi" w:cstheme="minorBidi"/>
            <w:noProof/>
            <w:sz w:val="22"/>
            <w:szCs w:val="22"/>
          </w:rPr>
          <w:tab/>
        </w:r>
        <w:r w:rsidRPr="00CC53E5">
          <w:rPr>
            <w:rStyle w:val="Hyperlink"/>
            <w:noProof/>
          </w:rPr>
          <w:t>Part 1 Section 17.7.6, Table Styles</w:t>
        </w:r>
        <w:r>
          <w:rPr>
            <w:noProof/>
            <w:webHidden/>
          </w:rPr>
          <w:tab/>
        </w:r>
        <w:r>
          <w:rPr>
            <w:noProof/>
            <w:webHidden/>
          </w:rPr>
          <w:fldChar w:fldCharType="begin"/>
        </w:r>
        <w:r>
          <w:rPr>
            <w:noProof/>
            <w:webHidden/>
          </w:rPr>
          <w:instrText xml:space="preserve"> PAGEREF _Toc69878029 \h </w:instrText>
        </w:r>
        <w:r>
          <w:rPr>
            <w:noProof/>
            <w:webHidden/>
          </w:rPr>
        </w:r>
        <w:r>
          <w:rPr>
            <w:noProof/>
            <w:webHidden/>
          </w:rPr>
          <w:fldChar w:fldCharType="separate"/>
        </w:r>
        <w:r>
          <w:rPr>
            <w:noProof/>
            <w:webHidden/>
          </w:rPr>
          <w:t>120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30" w:history="1">
        <w:r w:rsidRPr="00CC53E5">
          <w:rPr>
            <w:rStyle w:val="Hyperlink"/>
            <w:noProof/>
          </w:rPr>
          <w:t>2.1.247</w:t>
        </w:r>
        <w:r>
          <w:rPr>
            <w:rFonts w:asciiTheme="minorHAnsi" w:eastAsiaTheme="minorEastAsia" w:hAnsiTheme="minorHAnsi" w:cstheme="minorBidi"/>
            <w:noProof/>
            <w:sz w:val="22"/>
            <w:szCs w:val="22"/>
          </w:rPr>
          <w:tab/>
        </w:r>
        <w:r w:rsidRPr="00CC53E5">
          <w:rPr>
            <w:rStyle w:val="Hyperlink"/>
            <w:noProof/>
          </w:rPr>
          <w:t>Part 1 Section 17.7.6.1, pPr (Table Style Conditional Formatting Paragraph Properties)</w:t>
        </w:r>
        <w:r>
          <w:rPr>
            <w:noProof/>
            <w:webHidden/>
          </w:rPr>
          <w:tab/>
        </w:r>
        <w:r>
          <w:rPr>
            <w:noProof/>
            <w:webHidden/>
          </w:rPr>
          <w:fldChar w:fldCharType="begin"/>
        </w:r>
        <w:r>
          <w:rPr>
            <w:noProof/>
            <w:webHidden/>
          </w:rPr>
          <w:instrText xml:space="preserve"> PAGEREF _Toc69878030 \h </w:instrText>
        </w:r>
        <w:r>
          <w:rPr>
            <w:noProof/>
            <w:webHidden/>
          </w:rPr>
        </w:r>
        <w:r>
          <w:rPr>
            <w:noProof/>
            <w:webHidden/>
          </w:rPr>
          <w:fldChar w:fldCharType="separate"/>
        </w:r>
        <w:r>
          <w:rPr>
            <w:noProof/>
            <w:webHidden/>
          </w:rPr>
          <w:t>120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31" w:history="1">
        <w:r w:rsidRPr="00CC53E5">
          <w:rPr>
            <w:rStyle w:val="Hyperlink"/>
            <w:noProof/>
          </w:rPr>
          <w:t>2.1.248</w:t>
        </w:r>
        <w:r>
          <w:rPr>
            <w:rFonts w:asciiTheme="minorHAnsi" w:eastAsiaTheme="minorEastAsia" w:hAnsiTheme="minorHAnsi" w:cstheme="minorBidi"/>
            <w:noProof/>
            <w:sz w:val="22"/>
            <w:szCs w:val="22"/>
          </w:rPr>
          <w:tab/>
        </w:r>
        <w:r w:rsidRPr="00CC53E5">
          <w:rPr>
            <w:rStyle w:val="Hyperlink"/>
            <w:noProof/>
          </w:rPr>
          <w:t>Part 1 Section 17.7.6.2, rPr (Table Style Conditional Formatting Run Properties)</w:t>
        </w:r>
        <w:r>
          <w:rPr>
            <w:noProof/>
            <w:webHidden/>
          </w:rPr>
          <w:tab/>
        </w:r>
        <w:r>
          <w:rPr>
            <w:noProof/>
            <w:webHidden/>
          </w:rPr>
          <w:fldChar w:fldCharType="begin"/>
        </w:r>
        <w:r>
          <w:rPr>
            <w:noProof/>
            <w:webHidden/>
          </w:rPr>
          <w:instrText xml:space="preserve"> PAGEREF _Toc69878031 \h </w:instrText>
        </w:r>
        <w:r>
          <w:rPr>
            <w:noProof/>
            <w:webHidden/>
          </w:rPr>
        </w:r>
        <w:r>
          <w:rPr>
            <w:noProof/>
            <w:webHidden/>
          </w:rPr>
          <w:fldChar w:fldCharType="separate"/>
        </w:r>
        <w:r>
          <w:rPr>
            <w:noProof/>
            <w:webHidden/>
          </w:rPr>
          <w:t>121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32" w:history="1">
        <w:r w:rsidRPr="00CC53E5">
          <w:rPr>
            <w:rStyle w:val="Hyperlink"/>
            <w:noProof/>
          </w:rPr>
          <w:t>2.1.249</w:t>
        </w:r>
        <w:r>
          <w:rPr>
            <w:rFonts w:asciiTheme="minorHAnsi" w:eastAsiaTheme="minorEastAsia" w:hAnsiTheme="minorHAnsi" w:cstheme="minorBidi"/>
            <w:noProof/>
            <w:sz w:val="22"/>
            <w:szCs w:val="22"/>
          </w:rPr>
          <w:tab/>
        </w:r>
        <w:r w:rsidRPr="00CC53E5">
          <w:rPr>
            <w:rStyle w:val="Hyperlink"/>
            <w:noProof/>
          </w:rPr>
          <w:t>Part 1 Section 17.7.6.3, tblPr (Table Style Conditional Formatting Table Properties)</w:t>
        </w:r>
        <w:r>
          <w:rPr>
            <w:noProof/>
            <w:webHidden/>
          </w:rPr>
          <w:tab/>
        </w:r>
        <w:r>
          <w:rPr>
            <w:noProof/>
            <w:webHidden/>
          </w:rPr>
          <w:fldChar w:fldCharType="begin"/>
        </w:r>
        <w:r>
          <w:rPr>
            <w:noProof/>
            <w:webHidden/>
          </w:rPr>
          <w:instrText xml:space="preserve"> PAGEREF _Toc69878032 \h </w:instrText>
        </w:r>
        <w:r>
          <w:rPr>
            <w:noProof/>
            <w:webHidden/>
          </w:rPr>
        </w:r>
        <w:r>
          <w:rPr>
            <w:noProof/>
            <w:webHidden/>
          </w:rPr>
          <w:fldChar w:fldCharType="separate"/>
        </w:r>
        <w:r>
          <w:rPr>
            <w:noProof/>
            <w:webHidden/>
          </w:rPr>
          <w:t>121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33" w:history="1">
        <w:r w:rsidRPr="00CC53E5">
          <w:rPr>
            <w:rStyle w:val="Hyperlink"/>
            <w:noProof/>
          </w:rPr>
          <w:t>2.1.250</w:t>
        </w:r>
        <w:r>
          <w:rPr>
            <w:rFonts w:asciiTheme="minorHAnsi" w:eastAsiaTheme="minorEastAsia" w:hAnsiTheme="minorHAnsi" w:cstheme="minorBidi"/>
            <w:noProof/>
            <w:sz w:val="22"/>
            <w:szCs w:val="22"/>
          </w:rPr>
          <w:tab/>
        </w:r>
        <w:r w:rsidRPr="00CC53E5">
          <w:rPr>
            <w:rStyle w:val="Hyperlink"/>
            <w:noProof/>
          </w:rPr>
          <w:t>Part 1 Section 17.7.6.4, tblPr (Style Table Properties)</w:t>
        </w:r>
        <w:r>
          <w:rPr>
            <w:noProof/>
            <w:webHidden/>
          </w:rPr>
          <w:tab/>
        </w:r>
        <w:r>
          <w:rPr>
            <w:noProof/>
            <w:webHidden/>
          </w:rPr>
          <w:fldChar w:fldCharType="begin"/>
        </w:r>
        <w:r>
          <w:rPr>
            <w:noProof/>
            <w:webHidden/>
          </w:rPr>
          <w:instrText xml:space="preserve"> PAGEREF _Toc69878033 \h </w:instrText>
        </w:r>
        <w:r>
          <w:rPr>
            <w:noProof/>
            <w:webHidden/>
          </w:rPr>
        </w:r>
        <w:r>
          <w:rPr>
            <w:noProof/>
            <w:webHidden/>
          </w:rPr>
          <w:fldChar w:fldCharType="separate"/>
        </w:r>
        <w:r>
          <w:rPr>
            <w:noProof/>
            <w:webHidden/>
          </w:rPr>
          <w:t>121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34" w:history="1">
        <w:r w:rsidRPr="00CC53E5">
          <w:rPr>
            <w:rStyle w:val="Hyperlink"/>
            <w:noProof/>
          </w:rPr>
          <w:t>2.1.251</w:t>
        </w:r>
        <w:r>
          <w:rPr>
            <w:rFonts w:asciiTheme="minorHAnsi" w:eastAsiaTheme="minorEastAsia" w:hAnsiTheme="minorHAnsi" w:cstheme="minorBidi"/>
            <w:noProof/>
            <w:sz w:val="22"/>
            <w:szCs w:val="22"/>
          </w:rPr>
          <w:tab/>
        </w:r>
        <w:r w:rsidRPr="00CC53E5">
          <w:rPr>
            <w:rStyle w:val="Hyperlink"/>
            <w:noProof/>
          </w:rPr>
          <w:t>Part 1 Section 17.7.6.5, tblStyleColBandSize (Number of Columns in Column Band)</w:t>
        </w:r>
        <w:r>
          <w:rPr>
            <w:noProof/>
            <w:webHidden/>
          </w:rPr>
          <w:tab/>
        </w:r>
        <w:r>
          <w:rPr>
            <w:noProof/>
            <w:webHidden/>
          </w:rPr>
          <w:fldChar w:fldCharType="begin"/>
        </w:r>
        <w:r>
          <w:rPr>
            <w:noProof/>
            <w:webHidden/>
          </w:rPr>
          <w:instrText xml:space="preserve"> PAGEREF _Toc69878034 \h </w:instrText>
        </w:r>
        <w:r>
          <w:rPr>
            <w:noProof/>
            <w:webHidden/>
          </w:rPr>
        </w:r>
        <w:r>
          <w:rPr>
            <w:noProof/>
            <w:webHidden/>
          </w:rPr>
          <w:fldChar w:fldCharType="separate"/>
        </w:r>
        <w:r>
          <w:rPr>
            <w:noProof/>
            <w:webHidden/>
          </w:rPr>
          <w:t>121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35" w:history="1">
        <w:r w:rsidRPr="00CC53E5">
          <w:rPr>
            <w:rStyle w:val="Hyperlink"/>
            <w:noProof/>
          </w:rPr>
          <w:t>2.1.252</w:t>
        </w:r>
        <w:r>
          <w:rPr>
            <w:rFonts w:asciiTheme="minorHAnsi" w:eastAsiaTheme="minorEastAsia" w:hAnsiTheme="minorHAnsi" w:cstheme="minorBidi"/>
            <w:noProof/>
            <w:sz w:val="22"/>
            <w:szCs w:val="22"/>
          </w:rPr>
          <w:tab/>
        </w:r>
        <w:r w:rsidRPr="00CC53E5">
          <w:rPr>
            <w:rStyle w:val="Hyperlink"/>
            <w:noProof/>
          </w:rPr>
          <w:t>Part 1 Section 17.7.6.6, tblStylePr (Style Conditional Table Formatting Properties)</w:t>
        </w:r>
        <w:r>
          <w:rPr>
            <w:noProof/>
            <w:webHidden/>
          </w:rPr>
          <w:tab/>
        </w:r>
        <w:r>
          <w:rPr>
            <w:noProof/>
            <w:webHidden/>
          </w:rPr>
          <w:fldChar w:fldCharType="begin"/>
        </w:r>
        <w:r>
          <w:rPr>
            <w:noProof/>
            <w:webHidden/>
          </w:rPr>
          <w:instrText xml:space="preserve"> PAGEREF _Toc69878035 \h </w:instrText>
        </w:r>
        <w:r>
          <w:rPr>
            <w:noProof/>
            <w:webHidden/>
          </w:rPr>
        </w:r>
        <w:r>
          <w:rPr>
            <w:noProof/>
            <w:webHidden/>
          </w:rPr>
          <w:fldChar w:fldCharType="separate"/>
        </w:r>
        <w:r>
          <w:rPr>
            <w:noProof/>
            <w:webHidden/>
          </w:rPr>
          <w:t>121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36" w:history="1">
        <w:r w:rsidRPr="00CC53E5">
          <w:rPr>
            <w:rStyle w:val="Hyperlink"/>
            <w:noProof/>
          </w:rPr>
          <w:t>2.1.253</w:t>
        </w:r>
        <w:r>
          <w:rPr>
            <w:rFonts w:asciiTheme="minorHAnsi" w:eastAsiaTheme="minorEastAsia" w:hAnsiTheme="minorHAnsi" w:cstheme="minorBidi"/>
            <w:noProof/>
            <w:sz w:val="22"/>
            <w:szCs w:val="22"/>
          </w:rPr>
          <w:tab/>
        </w:r>
        <w:r w:rsidRPr="00CC53E5">
          <w:rPr>
            <w:rStyle w:val="Hyperlink"/>
            <w:noProof/>
          </w:rPr>
          <w:t>Part 1 Section 17.7.6.7, tblStyleRowBandSize (Number of Rows in Row Band)</w:t>
        </w:r>
        <w:r>
          <w:rPr>
            <w:noProof/>
            <w:webHidden/>
          </w:rPr>
          <w:tab/>
        </w:r>
        <w:r>
          <w:rPr>
            <w:noProof/>
            <w:webHidden/>
          </w:rPr>
          <w:fldChar w:fldCharType="begin"/>
        </w:r>
        <w:r>
          <w:rPr>
            <w:noProof/>
            <w:webHidden/>
          </w:rPr>
          <w:instrText xml:space="preserve"> PAGEREF _Toc69878036 \h </w:instrText>
        </w:r>
        <w:r>
          <w:rPr>
            <w:noProof/>
            <w:webHidden/>
          </w:rPr>
        </w:r>
        <w:r>
          <w:rPr>
            <w:noProof/>
            <w:webHidden/>
          </w:rPr>
          <w:fldChar w:fldCharType="separate"/>
        </w:r>
        <w:r>
          <w:rPr>
            <w:noProof/>
            <w:webHidden/>
          </w:rPr>
          <w:t>122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37" w:history="1">
        <w:r w:rsidRPr="00CC53E5">
          <w:rPr>
            <w:rStyle w:val="Hyperlink"/>
            <w:noProof/>
          </w:rPr>
          <w:t>2.1.254</w:t>
        </w:r>
        <w:r>
          <w:rPr>
            <w:rFonts w:asciiTheme="minorHAnsi" w:eastAsiaTheme="minorEastAsia" w:hAnsiTheme="minorHAnsi" w:cstheme="minorBidi"/>
            <w:noProof/>
            <w:sz w:val="22"/>
            <w:szCs w:val="22"/>
          </w:rPr>
          <w:tab/>
        </w:r>
        <w:r w:rsidRPr="00CC53E5">
          <w:rPr>
            <w:rStyle w:val="Hyperlink"/>
            <w:noProof/>
          </w:rPr>
          <w:t>Part 1 Section 17.7.6.8, tcPr (Table Style Conditional Formatting Table Cell Properties)</w:t>
        </w:r>
        <w:r>
          <w:rPr>
            <w:noProof/>
            <w:webHidden/>
          </w:rPr>
          <w:tab/>
        </w:r>
        <w:r>
          <w:rPr>
            <w:noProof/>
            <w:webHidden/>
          </w:rPr>
          <w:fldChar w:fldCharType="begin"/>
        </w:r>
        <w:r>
          <w:rPr>
            <w:noProof/>
            <w:webHidden/>
          </w:rPr>
          <w:instrText xml:space="preserve"> PAGEREF _Toc69878037 \h </w:instrText>
        </w:r>
        <w:r>
          <w:rPr>
            <w:noProof/>
            <w:webHidden/>
          </w:rPr>
        </w:r>
        <w:r>
          <w:rPr>
            <w:noProof/>
            <w:webHidden/>
          </w:rPr>
          <w:fldChar w:fldCharType="separate"/>
        </w:r>
        <w:r>
          <w:rPr>
            <w:noProof/>
            <w:webHidden/>
          </w:rPr>
          <w:t>122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38" w:history="1">
        <w:r w:rsidRPr="00CC53E5">
          <w:rPr>
            <w:rStyle w:val="Hyperlink"/>
            <w:noProof/>
          </w:rPr>
          <w:t>2.1.255</w:t>
        </w:r>
        <w:r>
          <w:rPr>
            <w:rFonts w:asciiTheme="minorHAnsi" w:eastAsiaTheme="minorEastAsia" w:hAnsiTheme="minorHAnsi" w:cstheme="minorBidi"/>
            <w:noProof/>
            <w:sz w:val="22"/>
            <w:szCs w:val="22"/>
          </w:rPr>
          <w:tab/>
        </w:r>
        <w:r w:rsidRPr="00CC53E5">
          <w:rPr>
            <w:rStyle w:val="Hyperlink"/>
            <w:noProof/>
          </w:rPr>
          <w:t>Part 1 Section 17.7.6.9, tcPr (Style Table Cell Properties)</w:t>
        </w:r>
        <w:r>
          <w:rPr>
            <w:noProof/>
            <w:webHidden/>
          </w:rPr>
          <w:tab/>
        </w:r>
        <w:r>
          <w:rPr>
            <w:noProof/>
            <w:webHidden/>
          </w:rPr>
          <w:fldChar w:fldCharType="begin"/>
        </w:r>
        <w:r>
          <w:rPr>
            <w:noProof/>
            <w:webHidden/>
          </w:rPr>
          <w:instrText xml:space="preserve"> PAGEREF _Toc69878038 \h </w:instrText>
        </w:r>
        <w:r>
          <w:rPr>
            <w:noProof/>
            <w:webHidden/>
          </w:rPr>
        </w:r>
        <w:r>
          <w:rPr>
            <w:noProof/>
            <w:webHidden/>
          </w:rPr>
          <w:fldChar w:fldCharType="separate"/>
        </w:r>
        <w:r>
          <w:rPr>
            <w:noProof/>
            <w:webHidden/>
          </w:rPr>
          <w:t>122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39" w:history="1">
        <w:r w:rsidRPr="00CC53E5">
          <w:rPr>
            <w:rStyle w:val="Hyperlink"/>
            <w:noProof/>
          </w:rPr>
          <w:t>2.1.256</w:t>
        </w:r>
        <w:r>
          <w:rPr>
            <w:rFonts w:asciiTheme="minorHAnsi" w:eastAsiaTheme="minorEastAsia" w:hAnsiTheme="minorHAnsi" w:cstheme="minorBidi"/>
            <w:noProof/>
            <w:sz w:val="22"/>
            <w:szCs w:val="22"/>
          </w:rPr>
          <w:tab/>
        </w:r>
        <w:r w:rsidRPr="00CC53E5">
          <w:rPr>
            <w:rStyle w:val="Hyperlink"/>
            <w:noProof/>
          </w:rPr>
          <w:t>Part 1 Section 17.7.6.10, trPr (Table Style Conditional Formatting Table Row Properties)</w:t>
        </w:r>
        <w:r>
          <w:rPr>
            <w:noProof/>
            <w:webHidden/>
          </w:rPr>
          <w:tab/>
        </w:r>
        <w:r>
          <w:rPr>
            <w:noProof/>
            <w:webHidden/>
          </w:rPr>
          <w:fldChar w:fldCharType="begin"/>
        </w:r>
        <w:r>
          <w:rPr>
            <w:noProof/>
            <w:webHidden/>
          </w:rPr>
          <w:instrText xml:space="preserve"> PAGEREF _Toc69878039 \h </w:instrText>
        </w:r>
        <w:r>
          <w:rPr>
            <w:noProof/>
            <w:webHidden/>
          </w:rPr>
        </w:r>
        <w:r>
          <w:rPr>
            <w:noProof/>
            <w:webHidden/>
          </w:rPr>
          <w:fldChar w:fldCharType="separate"/>
        </w:r>
        <w:r>
          <w:rPr>
            <w:noProof/>
            <w:webHidden/>
          </w:rPr>
          <w:t>122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40" w:history="1">
        <w:r w:rsidRPr="00CC53E5">
          <w:rPr>
            <w:rStyle w:val="Hyperlink"/>
            <w:noProof/>
          </w:rPr>
          <w:t>2.1.257</w:t>
        </w:r>
        <w:r>
          <w:rPr>
            <w:rFonts w:asciiTheme="minorHAnsi" w:eastAsiaTheme="minorEastAsia" w:hAnsiTheme="minorHAnsi" w:cstheme="minorBidi"/>
            <w:noProof/>
            <w:sz w:val="22"/>
            <w:szCs w:val="22"/>
          </w:rPr>
          <w:tab/>
        </w:r>
        <w:r w:rsidRPr="00CC53E5">
          <w:rPr>
            <w:rStyle w:val="Hyperlink"/>
            <w:noProof/>
          </w:rPr>
          <w:t>Part 1 Section 17.7.6.11, trPr (Style Table Row Properties)</w:t>
        </w:r>
        <w:r>
          <w:rPr>
            <w:noProof/>
            <w:webHidden/>
          </w:rPr>
          <w:tab/>
        </w:r>
        <w:r>
          <w:rPr>
            <w:noProof/>
            <w:webHidden/>
          </w:rPr>
          <w:fldChar w:fldCharType="begin"/>
        </w:r>
        <w:r>
          <w:rPr>
            <w:noProof/>
            <w:webHidden/>
          </w:rPr>
          <w:instrText xml:space="preserve"> PAGEREF _Toc69878040 \h </w:instrText>
        </w:r>
        <w:r>
          <w:rPr>
            <w:noProof/>
            <w:webHidden/>
          </w:rPr>
        </w:r>
        <w:r>
          <w:rPr>
            <w:noProof/>
            <w:webHidden/>
          </w:rPr>
          <w:fldChar w:fldCharType="separate"/>
        </w:r>
        <w:r>
          <w:rPr>
            <w:noProof/>
            <w:webHidden/>
          </w:rPr>
          <w:t>123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41" w:history="1">
        <w:r w:rsidRPr="00CC53E5">
          <w:rPr>
            <w:rStyle w:val="Hyperlink"/>
            <w:noProof/>
          </w:rPr>
          <w:t>2.1.258</w:t>
        </w:r>
        <w:r>
          <w:rPr>
            <w:rFonts w:asciiTheme="minorHAnsi" w:eastAsiaTheme="minorEastAsia" w:hAnsiTheme="minorHAnsi" w:cstheme="minorBidi"/>
            <w:noProof/>
            <w:sz w:val="22"/>
            <w:szCs w:val="22"/>
          </w:rPr>
          <w:tab/>
        </w:r>
        <w:r w:rsidRPr="00CC53E5">
          <w:rPr>
            <w:rStyle w:val="Hyperlink"/>
            <w:noProof/>
          </w:rPr>
          <w:t>Part 1 Section 17.7.8, Paragraph Styles</w:t>
        </w:r>
        <w:r>
          <w:rPr>
            <w:noProof/>
            <w:webHidden/>
          </w:rPr>
          <w:tab/>
        </w:r>
        <w:r>
          <w:rPr>
            <w:noProof/>
            <w:webHidden/>
          </w:rPr>
          <w:fldChar w:fldCharType="begin"/>
        </w:r>
        <w:r>
          <w:rPr>
            <w:noProof/>
            <w:webHidden/>
          </w:rPr>
          <w:instrText xml:space="preserve"> PAGEREF _Toc69878041 \h </w:instrText>
        </w:r>
        <w:r>
          <w:rPr>
            <w:noProof/>
            <w:webHidden/>
          </w:rPr>
        </w:r>
        <w:r>
          <w:rPr>
            <w:noProof/>
            <w:webHidden/>
          </w:rPr>
          <w:fldChar w:fldCharType="separate"/>
        </w:r>
        <w:r>
          <w:rPr>
            <w:noProof/>
            <w:webHidden/>
          </w:rPr>
          <w:t>123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42" w:history="1">
        <w:r w:rsidRPr="00CC53E5">
          <w:rPr>
            <w:rStyle w:val="Hyperlink"/>
            <w:noProof/>
          </w:rPr>
          <w:t>2.1.259</w:t>
        </w:r>
        <w:r>
          <w:rPr>
            <w:rFonts w:asciiTheme="minorHAnsi" w:eastAsiaTheme="minorEastAsia" w:hAnsiTheme="minorHAnsi" w:cstheme="minorBidi"/>
            <w:noProof/>
            <w:sz w:val="22"/>
            <w:szCs w:val="22"/>
          </w:rPr>
          <w:tab/>
        </w:r>
        <w:r w:rsidRPr="00CC53E5">
          <w:rPr>
            <w:rStyle w:val="Hyperlink"/>
            <w:noProof/>
          </w:rPr>
          <w:t>Part 1 Section 17.7.8.2, pPr (Style Paragraph Properties)</w:t>
        </w:r>
        <w:r>
          <w:rPr>
            <w:noProof/>
            <w:webHidden/>
          </w:rPr>
          <w:tab/>
        </w:r>
        <w:r>
          <w:rPr>
            <w:noProof/>
            <w:webHidden/>
          </w:rPr>
          <w:fldChar w:fldCharType="begin"/>
        </w:r>
        <w:r>
          <w:rPr>
            <w:noProof/>
            <w:webHidden/>
          </w:rPr>
          <w:instrText xml:space="preserve"> PAGEREF _Toc69878042 \h </w:instrText>
        </w:r>
        <w:r>
          <w:rPr>
            <w:noProof/>
            <w:webHidden/>
          </w:rPr>
        </w:r>
        <w:r>
          <w:rPr>
            <w:noProof/>
            <w:webHidden/>
          </w:rPr>
          <w:fldChar w:fldCharType="separate"/>
        </w:r>
        <w:r>
          <w:rPr>
            <w:noProof/>
            <w:webHidden/>
          </w:rPr>
          <w:t>123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43" w:history="1">
        <w:r w:rsidRPr="00CC53E5">
          <w:rPr>
            <w:rStyle w:val="Hyperlink"/>
            <w:noProof/>
          </w:rPr>
          <w:t>2.1.260</w:t>
        </w:r>
        <w:r>
          <w:rPr>
            <w:rFonts w:asciiTheme="minorHAnsi" w:eastAsiaTheme="minorEastAsia" w:hAnsiTheme="minorHAnsi" w:cstheme="minorBidi"/>
            <w:noProof/>
            <w:sz w:val="22"/>
            <w:szCs w:val="22"/>
          </w:rPr>
          <w:tab/>
        </w:r>
        <w:r w:rsidRPr="00CC53E5">
          <w:rPr>
            <w:rStyle w:val="Hyperlink"/>
            <w:noProof/>
          </w:rPr>
          <w:t>Part 1 Section 17.7.9.1, rPr (Run Properties)</w:t>
        </w:r>
        <w:r>
          <w:rPr>
            <w:noProof/>
            <w:webHidden/>
          </w:rPr>
          <w:tab/>
        </w:r>
        <w:r>
          <w:rPr>
            <w:noProof/>
            <w:webHidden/>
          </w:rPr>
          <w:fldChar w:fldCharType="begin"/>
        </w:r>
        <w:r>
          <w:rPr>
            <w:noProof/>
            <w:webHidden/>
          </w:rPr>
          <w:instrText xml:space="preserve"> PAGEREF _Toc69878043 \h </w:instrText>
        </w:r>
        <w:r>
          <w:rPr>
            <w:noProof/>
            <w:webHidden/>
          </w:rPr>
        </w:r>
        <w:r>
          <w:rPr>
            <w:noProof/>
            <w:webHidden/>
          </w:rPr>
          <w:fldChar w:fldCharType="separate"/>
        </w:r>
        <w:r>
          <w:rPr>
            <w:noProof/>
            <w:webHidden/>
          </w:rPr>
          <w:t>123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44" w:history="1">
        <w:r w:rsidRPr="00CC53E5">
          <w:rPr>
            <w:rStyle w:val="Hyperlink"/>
            <w:noProof/>
          </w:rPr>
          <w:t>2.1.261</w:t>
        </w:r>
        <w:r>
          <w:rPr>
            <w:rFonts w:asciiTheme="minorHAnsi" w:eastAsiaTheme="minorEastAsia" w:hAnsiTheme="minorHAnsi" w:cstheme="minorBidi"/>
            <w:noProof/>
            <w:sz w:val="22"/>
            <w:szCs w:val="22"/>
          </w:rPr>
          <w:tab/>
        </w:r>
        <w:r w:rsidRPr="00CC53E5">
          <w:rPr>
            <w:rStyle w:val="Hyperlink"/>
            <w:noProof/>
          </w:rPr>
          <w:t>Part 1 Section 17.8, Fonts</w:t>
        </w:r>
        <w:r>
          <w:rPr>
            <w:noProof/>
            <w:webHidden/>
          </w:rPr>
          <w:tab/>
        </w:r>
        <w:r>
          <w:rPr>
            <w:noProof/>
            <w:webHidden/>
          </w:rPr>
          <w:fldChar w:fldCharType="begin"/>
        </w:r>
        <w:r>
          <w:rPr>
            <w:noProof/>
            <w:webHidden/>
          </w:rPr>
          <w:instrText xml:space="preserve"> PAGEREF _Toc69878044 \h </w:instrText>
        </w:r>
        <w:r>
          <w:rPr>
            <w:noProof/>
            <w:webHidden/>
          </w:rPr>
        </w:r>
        <w:r>
          <w:rPr>
            <w:noProof/>
            <w:webHidden/>
          </w:rPr>
          <w:fldChar w:fldCharType="separate"/>
        </w:r>
        <w:r>
          <w:rPr>
            <w:noProof/>
            <w:webHidden/>
          </w:rPr>
          <w:t>123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45" w:history="1">
        <w:r w:rsidRPr="00CC53E5">
          <w:rPr>
            <w:rStyle w:val="Hyperlink"/>
            <w:noProof/>
          </w:rPr>
          <w:t>2.1.262</w:t>
        </w:r>
        <w:r>
          <w:rPr>
            <w:rFonts w:asciiTheme="minorHAnsi" w:eastAsiaTheme="minorEastAsia" w:hAnsiTheme="minorHAnsi" w:cstheme="minorBidi"/>
            <w:noProof/>
            <w:sz w:val="22"/>
            <w:szCs w:val="22"/>
          </w:rPr>
          <w:tab/>
        </w:r>
        <w:r w:rsidRPr="00CC53E5">
          <w:rPr>
            <w:rStyle w:val="Hyperlink"/>
            <w:noProof/>
          </w:rPr>
          <w:t>Part 1 Section 17.8.3.1, altName (Alternate Names for Font)</w:t>
        </w:r>
        <w:r>
          <w:rPr>
            <w:noProof/>
            <w:webHidden/>
          </w:rPr>
          <w:tab/>
        </w:r>
        <w:r>
          <w:rPr>
            <w:noProof/>
            <w:webHidden/>
          </w:rPr>
          <w:fldChar w:fldCharType="begin"/>
        </w:r>
        <w:r>
          <w:rPr>
            <w:noProof/>
            <w:webHidden/>
          </w:rPr>
          <w:instrText xml:space="preserve"> PAGEREF _Toc69878045 \h </w:instrText>
        </w:r>
        <w:r>
          <w:rPr>
            <w:noProof/>
            <w:webHidden/>
          </w:rPr>
        </w:r>
        <w:r>
          <w:rPr>
            <w:noProof/>
            <w:webHidden/>
          </w:rPr>
          <w:fldChar w:fldCharType="separate"/>
        </w:r>
        <w:r>
          <w:rPr>
            <w:noProof/>
            <w:webHidden/>
          </w:rPr>
          <w:t>124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46" w:history="1">
        <w:r w:rsidRPr="00CC53E5">
          <w:rPr>
            <w:rStyle w:val="Hyperlink"/>
            <w:noProof/>
          </w:rPr>
          <w:t>2.1.263</w:t>
        </w:r>
        <w:r>
          <w:rPr>
            <w:rFonts w:asciiTheme="minorHAnsi" w:eastAsiaTheme="minorEastAsia" w:hAnsiTheme="minorHAnsi" w:cstheme="minorBidi"/>
            <w:noProof/>
            <w:sz w:val="22"/>
            <w:szCs w:val="22"/>
          </w:rPr>
          <w:tab/>
        </w:r>
        <w:r w:rsidRPr="00CC53E5">
          <w:rPr>
            <w:rStyle w:val="Hyperlink"/>
            <w:noProof/>
          </w:rPr>
          <w:t>Part 1 Section 17.8.3.2, charset (Character Set Supported By Font)</w:t>
        </w:r>
        <w:r>
          <w:rPr>
            <w:noProof/>
            <w:webHidden/>
          </w:rPr>
          <w:tab/>
        </w:r>
        <w:r>
          <w:rPr>
            <w:noProof/>
            <w:webHidden/>
          </w:rPr>
          <w:fldChar w:fldCharType="begin"/>
        </w:r>
        <w:r>
          <w:rPr>
            <w:noProof/>
            <w:webHidden/>
          </w:rPr>
          <w:instrText xml:space="preserve"> PAGEREF _Toc69878046 \h </w:instrText>
        </w:r>
        <w:r>
          <w:rPr>
            <w:noProof/>
            <w:webHidden/>
          </w:rPr>
        </w:r>
        <w:r>
          <w:rPr>
            <w:noProof/>
            <w:webHidden/>
          </w:rPr>
          <w:fldChar w:fldCharType="separate"/>
        </w:r>
        <w:r>
          <w:rPr>
            <w:noProof/>
            <w:webHidden/>
          </w:rPr>
          <w:t>124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47" w:history="1">
        <w:r w:rsidRPr="00CC53E5">
          <w:rPr>
            <w:rStyle w:val="Hyperlink"/>
            <w:noProof/>
          </w:rPr>
          <w:t>2.1.264</w:t>
        </w:r>
        <w:r>
          <w:rPr>
            <w:rFonts w:asciiTheme="minorHAnsi" w:eastAsiaTheme="minorEastAsia" w:hAnsiTheme="minorHAnsi" w:cstheme="minorBidi"/>
            <w:noProof/>
            <w:sz w:val="22"/>
            <w:szCs w:val="22"/>
          </w:rPr>
          <w:tab/>
        </w:r>
        <w:r w:rsidRPr="00CC53E5">
          <w:rPr>
            <w:rStyle w:val="Hyperlink"/>
            <w:noProof/>
          </w:rPr>
          <w:t>Part 1 Section 17.8.3.3, embedBold (Bold Style Font Style Embedding)</w:t>
        </w:r>
        <w:r>
          <w:rPr>
            <w:noProof/>
            <w:webHidden/>
          </w:rPr>
          <w:tab/>
        </w:r>
        <w:r>
          <w:rPr>
            <w:noProof/>
            <w:webHidden/>
          </w:rPr>
          <w:fldChar w:fldCharType="begin"/>
        </w:r>
        <w:r>
          <w:rPr>
            <w:noProof/>
            <w:webHidden/>
          </w:rPr>
          <w:instrText xml:space="preserve"> PAGEREF _Toc69878047 \h </w:instrText>
        </w:r>
        <w:r>
          <w:rPr>
            <w:noProof/>
            <w:webHidden/>
          </w:rPr>
        </w:r>
        <w:r>
          <w:rPr>
            <w:noProof/>
            <w:webHidden/>
          </w:rPr>
          <w:fldChar w:fldCharType="separate"/>
        </w:r>
        <w:r>
          <w:rPr>
            <w:noProof/>
            <w:webHidden/>
          </w:rPr>
          <w:t>124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48" w:history="1">
        <w:r w:rsidRPr="00CC53E5">
          <w:rPr>
            <w:rStyle w:val="Hyperlink"/>
            <w:noProof/>
          </w:rPr>
          <w:t>2.1.265</w:t>
        </w:r>
        <w:r>
          <w:rPr>
            <w:rFonts w:asciiTheme="minorHAnsi" w:eastAsiaTheme="minorEastAsia" w:hAnsiTheme="minorHAnsi" w:cstheme="minorBidi"/>
            <w:noProof/>
            <w:sz w:val="22"/>
            <w:szCs w:val="22"/>
          </w:rPr>
          <w:tab/>
        </w:r>
        <w:r w:rsidRPr="00CC53E5">
          <w:rPr>
            <w:rStyle w:val="Hyperlink"/>
            <w:noProof/>
          </w:rPr>
          <w:t>Part 1 Section 17.8.3.4, embedBoldItalic (Bold Italic Font Style Embedding)</w:t>
        </w:r>
        <w:r>
          <w:rPr>
            <w:noProof/>
            <w:webHidden/>
          </w:rPr>
          <w:tab/>
        </w:r>
        <w:r>
          <w:rPr>
            <w:noProof/>
            <w:webHidden/>
          </w:rPr>
          <w:fldChar w:fldCharType="begin"/>
        </w:r>
        <w:r>
          <w:rPr>
            <w:noProof/>
            <w:webHidden/>
          </w:rPr>
          <w:instrText xml:space="preserve"> PAGEREF _Toc69878048 \h </w:instrText>
        </w:r>
        <w:r>
          <w:rPr>
            <w:noProof/>
            <w:webHidden/>
          </w:rPr>
        </w:r>
        <w:r>
          <w:rPr>
            <w:noProof/>
            <w:webHidden/>
          </w:rPr>
          <w:fldChar w:fldCharType="separate"/>
        </w:r>
        <w:r>
          <w:rPr>
            <w:noProof/>
            <w:webHidden/>
          </w:rPr>
          <w:t>124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49" w:history="1">
        <w:r w:rsidRPr="00CC53E5">
          <w:rPr>
            <w:rStyle w:val="Hyperlink"/>
            <w:noProof/>
          </w:rPr>
          <w:t>2.1.266</w:t>
        </w:r>
        <w:r>
          <w:rPr>
            <w:rFonts w:asciiTheme="minorHAnsi" w:eastAsiaTheme="minorEastAsia" w:hAnsiTheme="minorHAnsi" w:cstheme="minorBidi"/>
            <w:noProof/>
            <w:sz w:val="22"/>
            <w:szCs w:val="22"/>
          </w:rPr>
          <w:tab/>
        </w:r>
        <w:r w:rsidRPr="00CC53E5">
          <w:rPr>
            <w:rStyle w:val="Hyperlink"/>
            <w:noProof/>
          </w:rPr>
          <w:t>Part 1 Section 17.8.3.5, embedItalic (Italic Font Style Embedding)</w:t>
        </w:r>
        <w:r>
          <w:rPr>
            <w:noProof/>
            <w:webHidden/>
          </w:rPr>
          <w:tab/>
        </w:r>
        <w:r>
          <w:rPr>
            <w:noProof/>
            <w:webHidden/>
          </w:rPr>
          <w:fldChar w:fldCharType="begin"/>
        </w:r>
        <w:r>
          <w:rPr>
            <w:noProof/>
            <w:webHidden/>
          </w:rPr>
          <w:instrText xml:space="preserve"> PAGEREF _Toc69878049 \h </w:instrText>
        </w:r>
        <w:r>
          <w:rPr>
            <w:noProof/>
            <w:webHidden/>
          </w:rPr>
        </w:r>
        <w:r>
          <w:rPr>
            <w:noProof/>
            <w:webHidden/>
          </w:rPr>
          <w:fldChar w:fldCharType="separate"/>
        </w:r>
        <w:r>
          <w:rPr>
            <w:noProof/>
            <w:webHidden/>
          </w:rPr>
          <w:t>125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50" w:history="1">
        <w:r w:rsidRPr="00CC53E5">
          <w:rPr>
            <w:rStyle w:val="Hyperlink"/>
            <w:noProof/>
          </w:rPr>
          <w:t>2.1.267</w:t>
        </w:r>
        <w:r>
          <w:rPr>
            <w:rFonts w:asciiTheme="minorHAnsi" w:eastAsiaTheme="minorEastAsia" w:hAnsiTheme="minorHAnsi" w:cstheme="minorBidi"/>
            <w:noProof/>
            <w:sz w:val="22"/>
            <w:szCs w:val="22"/>
          </w:rPr>
          <w:tab/>
        </w:r>
        <w:r w:rsidRPr="00CC53E5">
          <w:rPr>
            <w:rStyle w:val="Hyperlink"/>
            <w:noProof/>
          </w:rPr>
          <w:t>Part 1 Section 17.8.3.6, embedRegular (Regular Font Style Embedding)</w:t>
        </w:r>
        <w:r>
          <w:rPr>
            <w:noProof/>
            <w:webHidden/>
          </w:rPr>
          <w:tab/>
        </w:r>
        <w:r>
          <w:rPr>
            <w:noProof/>
            <w:webHidden/>
          </w:rPr>
          <w:fldChar w:fldCharType="begin"/>
        </w:r>
        <w:r>
          <w:rPr>
            <w:noProof/>
            <w:webHidden/>
          </w:rPr>
          <w:instrText xml:space="preserve"> PAGEREF _Toc69878050 \h </w:instrText>
        </w:r>
        <w:r>
          <w:rPr>
            <w:noProof/>
            <w:webHidden/>
          </w:rPr>
        </w:r>
        <w:r>
          <w:rPr>
            <w:noProof/>
            <w:webHidden/>
          </w:rPr>
          <w:fldChar w:fldCharType="separate"/>
        </w:r>
        <w:r>
          <w:rPr>
            <w:noProof/>
            <w:webHidden/>
          </w:rPr>
          <w:t>125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51" w:history="1">
        <w:r w:rsidRPr="00CC53E5">
          <w:rPr>
            <w:rStyle w:val="Hyperlink"/>
            <w:noProof/>
          </w:rPr>
          <w:t>2.1.268</w:t>
        </w:r>
        <w:r>
          <w:rPr>
            <w:rFonts w:asciiTheme="minorHAnsi" w:eastAsiaTheme="minorEastAsia" w:hAnsiTheme="minorHAnsi" w:cstheme="minorBidi"/>
            <w:noProof/>
            <w:sz w:val="22"/>
            <w:szCs w:val="22"/>
          </w:rPr>
          <w:tab/>
        </w:r>
        <w:r w:rsidRPr="00CC53E5">
          <w:rPr>
            <w:rStyle w:val="Hyperlink"/>
            <w:noProof/>
          </w:rPr>
          <w:t>Part 1 Section 17.8.3.8, embedTrueTypeFonts (Embed TrueType Fonts)</w:t>
        </w:r>
        <w:r>
          <w:rPr>
            <w:noProof/>
            <w:webHidden/>
          </w:rPr>
          <w:tab/>
        </w:r>
        <w:r>
          <w:rPr>
            <w:noProof/>
            <w:webHidden/>
          </w:rPr>
          <w:fldChar w:fldCharType="begin"/>
        </w:r>
        <w:r>
          <w:rPr>
            <w:noProof/>
            <w:webHidden/>
          </w:rPr>
          <w:instrText xml:space="preserve"> PAGEREF _Toc69878051 \h </w:instrText>
        </w:r>
        <w:r>
          <w:rPr>
            <w:noProof/>
            <w:webHidden/>
          </w:rPr>
        </w:r>
        <w:r>
          <w:rPr>
            <w:noProof/>
            <w:webHidden/>
          </w:rPr>
          <w:fldChar w:fldCharType="separate"/>
        </w:r>
        <w:r>
          <w:rPr>
            <w:noProof/>
            <w:webHidden/>
          </w:rPr>
          <w:t>125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52" w:history="1">
        <w:r w:rsidRPr="00CC53E5">
          <w:rPr>
            <w:rStyle w:val="Hyperlink"/>
            <w:noProof/>
          </w:rPr>
          <w:t>2.1.269</w:t>
        </w:r>
        <w:r>
          <w:rPr>
            <w:rFonts w:asciiTheme="minorHAnsi" w:eastAsiaTheme="minorEastAsia" w:hAnsiTheme="minorHAnsi" w:cstheme="minorBidi"/>
            <w:noProof/>
            <w:sz w:val="22"/>
            <w:szCs w:val="22"/>
          </w:rPr>
          <w:tab/>
        </w:r>
        <w:r w:rsidRPr="00CC53E5">
          <w:rPr>
            <w:rStyle w:val="Hyperlink"/>
            <w:noProof/>
          </w:rPr>
          <w:t>Part 1 Section 17.8.3.9, family (Font Family)</w:t>
        </w:r>
        <w:r>
          <w:rPr>
            <w:noProof/>
            <w:webHidden/>
          </w:rPr>
          <w:tab/>
        </w:r>
        <w:r>
          <w:rPr>
            <w:noProof/>
            <w:webHidden/>
          </w:rPr>
          <w:fldChar w:fldCharType="begin"/>
        </w:r>
        <w:r>
          <w:rPr>
            <w:noProof/>
            <w:webHidden/>
          </w:rPr>
          <w:instrText xml:space="preserve"> PAGEREF _Toc69878052 \h </w:instrText>
        </w:r>
        <w:r>
          <w:rPr>
            <w:noProof/>
            <w:webHidden/>
          </w:rPr>
        </w:r>
        <w:r>
          <w:rPr>
            <w:noProof/>
            <w:webHidden/>
          </w:rPr>
          <w:fldChar w:fldCharType="separate"/>
        </w:r>
        <w:r>
          <w:rPr>
            <w:noProof/>
            <w:webHidden/>
          </w:rPr>
          <w:t>125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53" w:history="1">
        <w:r w:rsidRPr="00CC53E5">
          <w:rPr>
            <w:rStyle w:val="Hyperlink"/>
            <w:noProof/>
          </w:rPr>
          <w:t>2.1.270</w:t>
        </w:r>
        <w:r>
          <w:rPr>
            <w:rFonts w:asciiTheme="minorHAnsi" w:eastAsiaTheme="minorEastAsia" w:hAnsiTheme="minorHAnsi" w:cstheme="minorBidi"/>
            <w:noProof/>
            <w:sz w:val="22"/>
            <w:szCs w:val="22"/>
          </w:rPr>
          <w:tab/>
        </w:r>
        <w:r w:rsidRPr="00CC53E5">
          <w:rPr>
            <w:rStyle w:val="Hyperlink"/>
            <w:noProof/>
          </w:rPr>
          <w:t>Part 1 Section 17.8.3.10, font (Properties for a Single Font)</w:t>
        </w:r>
        <w:r>
          <w:rPr>
            <w:noProof/>
            <w:webHidden/>
          </w:rPr>
          <w:tab/>
        </w:r>
        <w:r>
          <w:rPr>
            <w:noProof/>
            <w:webHidden/>
          </w:rPr>
          <w:fldChar w:fldCharType="begin"/>
        </w:r>
        <w:r>
          <w:rPr>
            <w:noProof/>
            <w:webHidden/>
          </w:rPr>
          <w:instrText xml:space="preserve"> PAGEREF _Toc69878053 \h </w:instrText>
        </w:r>
        <w:r>
          <w:rPr>
            <w:noProof/>
            <w:webHidden/>
          </w:rPr>
        </w:r>
        <w:r>
          <w:rPr>
            <w:noProof/>
            <w:webHidden/>
          </w:rPr>
          <w:fldChar w:fldCharType="separate"/>
        </w:r>
        <w:r>
          <w:rPr>
            <w:noProof/>
            <w:webHidden/>
          </w:rPr>
          <w:t>125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54" w:history="1">
        <w:r w:rsidRPr="00CC53E5">
          <w:rPr>
            <w:rStyle w:val="Hyperlink"/>
            <w:noProof/>
          </w:rPr>
          <w:t>2.1.271</w:t>
        </w:r>
        <w:r>
          <w:rPr>
            <w:rFonts w:asciiTheme="minorHAnsi" w:eastAsiaTheme="minorEastAsia" w:hAnsiTheme="minorHAnsi" w:cstheme="minorBidi"/>
            <w:noProof/>
            <w:sz w:val="22"/>
            <w:szCs w:val="22"/>
          </w:rPr>
          <w:tab/>
        </w:r>
        <w:r w:rsidRPr="00CC53E5">
          <w:rPr>
            <w:rStyle w:val="Hyperlink"/>
            <w:noProof/>
          </w:rPr>
          <w:t>Part 1 Section 17.8.3.12, notTrueType (Raster or Vector Font)</w:t>
        </w:r>
        <w:r>
          <w:rPr>
            <w:noProof/>
            <w:webHidden/>
          </w:rPr>
          <w:tab/>
        </w:r>
        <w:r>
          <w:rPr>
            <w:noProof/>
            <w:webHidden/>
          </w:rPr>
          <w:fldChar w:fldCharType="begin"/>
        </w:r>
        <w:r>
          <w:rPr>
            <w:noProof/>
            <w:webHidden/>
          </w:rPr>
          <w:instrText xml:space="preserve"> PAGEREF _Toc69878054 \h </w:instrText>
        </w:r>
        <w:r>
          <w:rPr>
            <w:noProof/>
            <w:webHidden/>
          </w:rPr>
        </w:r>
        <w:r>
          <w:rPr>
            <w:noProof/>
            <w:webHidden/>
          </w:rPr>
          <w:fldChar w:fldCharType="separate"/>
        </w:r>
        <w:r>
          <w:rPr>
            <w:noProof/>
            <w:webHidden/>
          </w:rPr>
          <w:t>125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55" w:history="1">
        <w:r w:rsidRPr="00CC53E5">
          <w:rPr>
            <w:rStyle w:val="Hyperlink"/>
            <w:noProof/>
          </w:rPr>
          <w:t>2.1.272</w:t>
        </w:r>
        <w:r>
          <w:rPr>
            <w:rFonts w:asciiTheme="minorHAnsi" w:eastAsiaTheme="minorEastAsia" w:hAnsiTheme="minorHAnsi" w:cstheme="minorBidi"/>
            <w:noProof/>
            <w:sz w:val="22"/>
            <w:szCs w:val="22"/>
          </w:rPr>
          <w:tab/>
        </w:r>
        <w:r w:rsidRPr="00CC53E5">
          <w:rPr>
            <w:rStyle w:val="Hyperlink"/>
            <w:noProof/>
          </w:rPr>
          <w:t>Part 1 Section 17.8.3.13, panose1 (Panose-1 Typeface Classification Number)</w:t>
        </w:r>
        <w:r>
          <w:rPr>
            <w:noProof/>
            <w:webHidden/>
          </w:rPr>
          <w:tab/>
        </w:r>
        <w:r>
          <w:rPr>
            <w:noProof/>
            <w:webHidden/>
          </w:rPr>
          <w:fldChar w:fldCharType="begin"/>
        </w:r>
        <w:r>
          <w:rPr>
            <w:noProof/>
            <w:webHidden/>
          </w:rPr>
          <w:instrText xml:space="preserve"> PAGEREF _Toc69878055 \h </w:instrText>
        </w:r>
        <w:r>
          <w:rPr>
            <w:noProof/>
            <w:webHidden/>
          </w:rPr>
        </w:r>
        <w:r>
          <w:rPr>
            <w:noProof/>
            <w:webHidden/>
          </w:rPr>
          <w:fldChar w:fldCharType="separate"/>
        </w:r>
        <w:r>
          <w:rPr>
            <w:noProof/>
            <w:webHidden/>
          </w:rPr>
          <w:t>125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56" w:history="1">
        <w:r w:rsidRPr="00CC53E5">
          <w:rPr>
            <w:rStyle w:val="Hyperlink"/>
            <w:noProof/>
          </w:rPr>
          <w:t>2.1.273</w:t>
        </w:r>
        <w:r>
          <w:rPr>
            <w:rFonts w:asciiTheme="minorHAnsi" w:eastAsiaTheme="minorEastAsia" w:hAnsiTheme="minorHAnsi" w:cstheme="minorBidi"/>
            <w:noProof/>
            <w:sz w:val="22"/>
            <w:szCs w:val="22"/>
          </w:rPr>
          <w:tab/>
        </w:r>
        <w:r w:rsidRPr="00CC53E5">
          <w:rPr>
            <w:rStyle w:val="Hyperlink"/>
            <w:noProof/>
          </w:rPr>
          <w:t>Part 1 Section 17.8.3.14, pitch (Font Pitch)</w:t>
        </w:r>
        <w:r>
          <w:rPr>
            <w:noProof/>
            <w:webHidden/>
          </w:rPr>
          <w:tab/>
        </w:r>
        <w:r>
          <w:rPr>
            <w:noProof/>
            <w:webHidden/>
          </w:rPr>
          <w:fldChar w:fldCharType="begin"/>
        </w:r>
        <w:r>
          <w:rPr>
            <w:noProof/>
            <w:webHidden/>
          </w:rPr>
          <w:instrText xml:space="preserve"> PAGEREF _Toc69878056 \h </w:instrText>
        </w:r>
        <w:r>
          <w:rPr>
            <w:noProof/>
            <w:webHidden/>
          </w:rPr>
        </w:r>
        <w:r>
          <w:rPr>
            <w:noProof/>
            <w:webHidden/>
          </w:rPr>
          <w:fldChar w:fldCharType="separate"/>
        </w:r>
        <w:r>
          <w:rPr>
            <w:noProof/>
            <w:webHidden/>
          </w:rPr>
          <w:t>126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57" w:history="1">
        <w:r w:rsidRPr="00CC53E5">
          <w:rPr>
            <w:rStyle w:val="Hyperlink"/>
            <w:noProof/>
          </w:rPr>
          <w:t>2.1.274</w:t>
        </w:r>
        <w:r>
          <w:rPr>
            <w:rFonts w:asciiTheme="minorHAnsi" w:eastAsiaTheme="minorEastAsia" w:hAnsiTheme="minorHAnsi" w:cstheme="minorBidi"/>
            <w:noProof/>
            <w:sz w:val="22"/>
            <w:szCs w:val="22"/>
          </w:rPr>
          <w:tab/>
        </w:r>
        <w:r w:rsidRPr="00CC53E5">
          <w:rPr>
            <w:rStyle w:val="Hyperlink"/>
            <w:noProof/>
          </w:rPr>
          <w:t>Part 1 Section 17.8.3.16, sig (Supported Unicode Subranges and Code Pages)</w:t>
        </w:r>
        <w:r>
          <w:rPr>
            <w:noProof/>
            <w:webHidden/>
          </w:rPr>
          <w:tab/>
        </w:r>
        <w:r>
          <w:rPr>
            <w:noProof/>
            <w:webHidden/>
          </w:rPr>
          <w:fldChar w:fldCharType="begin"/>
        </w:r>
        <w:r>
          <w:rPr>
            <w:noProof/>
            <w:webHidden/>
          </w:rPr>
          <w:instrText xml:space="preserve"> PAGEREF _Toc69878057 \h </w:instrText>
        </w:r>
        <w:r>
          <w:rPr>
            <w:noProof/>
            <w:webHidden/>
          </w:rPr>
        </w:r>
        <w:r>
          <w:rPr>
            <w:noProof/>
            <w:webHidden/>
          </w:rPr>
          <w:fldChar w:fldCharType="separate"/>
        </w:r>
        <w:r>
          <w:rPr>
            <w:noProof/>
            <w:webHidden/>
          </w:rPr>
          <w:t>126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58" w:history="1">
        <w:r w:rsidRPr="00CC53E5">
          <w:rPr>
            <w:rStyle w:val="Hyperlink"/>
            <w:noProof/>
          </w:rPr>
          <w:t>2.1.275</w:t>
        </w:r>
        <w:r>
          <w:rPr>
            <w:rFonts w:asciiTheme="minorHAnsi" w:eastAsiaTheme="minorEastAsia" w:hAnsiTheme="minorHAnsi" w:cstheme="minorBidi"/>
            <w:noProof/>
            <w:sz w:val="22"/>
            <w:szCs w:val="22"/>
          </w:rPr>
          <w:tab/>
        </w:r>
        <w:r w:rsidRPr="00CC53E5">
          <w:rPr>
            <w:rStyle w:val="Hyperlink"/>
            <w:noProof/>
          </w:rPr>
          <w:t>Part 1 Section 17.9.1, abstractNum (Abstract Numbering Definition)</w:t>
        </w:r>
        <w:r>
          <w:rPr>
            <w:noProof/>
            <w:webHidden/>
          </w:rPr>
          <w:tab/>
        </w:r>
        <w:r>
          <w:rPr>
            <w:noProof/>
            <w:webHidden/>
          </w:rPr>
          <w:fldChar w:fldCharType="begin"/>
        </w:r>
        <w:r>
          <w:rPr>
            <w:noProof/>
            <w:webHidden/>
          </w:rPr>
          <w:instrText xml:space="preserve"> PAGEREF _Toc69878058 \h </w:instrText>
        </w:r>
        <w:r>
          <w:rPr>
            <w:noProof/>
            <w:webHidden/>
          </w:rPr>
        </w:r>
        <w:r>
          <w:rPr>
            <w:noProof/>
            <w:webHidden/>
          </w:rPr>
          <w:fldChar w:fldCharType="separate"/>
        </w:r>
        <w:r>
          <w:rPr>
            <w:noProof/>
            <w:webHidden/>
          </w:rPr>
          <w:t>126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59" w:history="1">
        <w:r w:rsidRPr="00CC53E5">
          <w:rPr>
            <w:rStyle w:val="Hyperlink"/>
            <w:noProof/>
          </w:rPr>
          <w:t>2.1.276</w:t>
        </w:r>
        <w:r>
          <w:rPr>
            <w:rFonts w:asciiTheme="minorHAnsi" w:eastAsiaTheme="minorEastAsia" w:hAnsiTheme="minorHAnsi" w:cstheme="minorBidi"/>
            <w:noProof/>
            <w:sz w:val="22"/>
            <w:szCs w:val="22"/>
          </w:rPr>
          <w:tab/>
        </w:r>
        <w:r w:rsidRPr="00CC53E5">
          <w:rPr>
            <w:rStyle w:val="Hyperlink"/>
            <w:noProof/>
          </w:rPr>
          <w:t>Part 1 Section 17.9.2, abstractNumId (Abstract Numbering Definition Reference)</w:t>
        </w:r>
        <w:r>
          <w:rPr>
            <w:noProof/>
            <w:webHidden/>
          </w:rPr>
          <w:tab/>
        </w:r>
        <w:r>
          <w:rPr>
            <w:noProof/>
            <w:webHidden/>
          </w:rPr>
          <w:fldChar w:fldCharType="begin"/>
        </w:r>
        <w:r>
          <w:rPr>
            <w:noProof/>
            <w:webHidden/>
          </w:rPr>
          <w:instrText xml:space="preserve"> PAGEREF _Toc69878059 \h </w:instrText>
        </w:r>
        <w:r>
          <w:rPr>
            <w:noProof/>
            <w:webHidden/>
          </w:rPr>
        </w:r>
        <w:r>
          <w:rPr>
            <w:noProof/>
            <w:webHidden/>
          </w:rPr>
          <w:fldChar w:fldCharType="separate"/>
        </w:r>
        <w:r>
          <w:rPr>
            <w:noProof/>
            <w:webHidden/>
          </w:rPr>
          <w:t>126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60" w:history="1">
        <w:r w:rsidRPr="00CC53E5">
          <w:rPr>
            <w:rStyle w:val="Hyperlink"/>
            <w:noProof/>
          </w:rPr>
          <w:t>2.1.277</w:t>
        </w:r>
        <w:r>
          <w:rPr>
            <w:rFonts w:asciiTheme="minorHAnsi" w:eastAsiaTheme="minorEastAsia" w:hAnsiTheme="minorHAnsi" w:cstheme="minorBidi"/>
            <w:noProof/>
            <w:sz w:val="22"/>
            <w:szCs w:val="22"/>
          </w:rPr>
          <w:tab/>
        </w:r>
        <w:r w:rsidRPr="00CC53E5">
          <w:rPr>
            <w:rStyle w:val="Hyperlink"/>
            <w:noProof/>
          </w:rPr>
          <w:t>Part 1 Section 17.9.3, ilvl (Numbering Level Reference)</w:t>
        </w:r>
        <w:r>
          <w:rPr>
            <w:noProof/>
            <w:webHidden/>
          </w:rPr>
          <w:tab/>
        </w:r>
        <w:r>
          <w:rPr>
            <w:noProof/>
            <w:webHidden/>
          </w:rPr>
          <w:fldChar w:fldCharType="begin"/>
        </w:r>
        <w:r>
          <w:rPr>
            <w:noProof/>
            <w:webHidden/>
          </w:rPr>
          <w:instrText xml:space="preserve"> PAGEREF _Toc69878060 \h </w:instrText>
        </w:r>
        <w:r>
          <w:rPr>
            <w:noProof/>
            <w:webHidden/>
          </w:rPr>
        </w:r>
        <w:r>
          <w:rPr>
            <w:noProof/>
            <w:webHidden/>
          </w:rPr>
          <w:fldChar w:fldCharType="separate"/>
        </w:r>
        <w:r>
          <w:rPr>
            <w:noProof/>
            <w:webHidden/>
          </w:rPr>
          <w:t>126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61" w:history="1">
        <w:r w:rsidRPr="00CC53E5">
          <w:rPr>
            <w:rStyle w:val="Hyperlink"/>
            <w:noProof/>
          </w:rPr>
          <w:t>2.1.278</w:t>
        </w:r>
        <w:r>
          <w:rPr>
            <w:rFonts w:asciiTheme="minorHAnsi" w:eastAsiaTheme="minorEastAsia" w:hAnsiTheme="minorHAnsi" w:cstheme="minorBidi"/>
            <w:noProof/>
            <w:sz w:val="22"/>
            <w:szCs w:val="22"/>
          </w:rPr>
          <w:tab/>
        </w:r>
        <w:r w:rsidRPr="00CC53E5">
          <w:rPr>
            <w:rStyle w:val="Hyperlink"/>
            <w:noProof/>
          </w:rPr>
          <w:t>Part 1 Section 17.9.4, isLgl (Display All Levels Using Arabic Numerals)</w:t>
        </w:r>
        <w:r>
          <w:rPr>
            <w:noProof/>
            <w:webHidden/>
          </w:rPr>
          <w:tab/>
        </w:r>
        <w:r>
          <w:rPr>
            <w:noProof/>
            <w:webHidden/>
          </w:rPr>
          <w:fldChar w:fldCharType="begin"/>
        </w:r>
        <w:r>
          <w:rPr>
            <w:noProof/>
            <w:webHidden/>
          </w:rPr>
          <w:instrText xml:space="preserve"> PAGEREF _Toc69878061 \h </w:instrText>
        </w:r>
        <w:r>
          <w:rPr>
            <w:noProof/>
            <w:webHidden/>
          </w:rPr>
        </w:r>
        <w:r>
          <w:rPr>
            <w:noProof/>
            <w:webHidden/>
          </w:rPr>
          <w:fldChar w:fldCharType="separate"/>
        </w:r>
        <w:r>
          <w:rPr>
            <w:noProof/>
            <w:webHidden/>
          </w:rPr>
          <w:t>126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62" w:history="1">
        <w:r w:rsidRPr="00CC53E5">
          <w:rPr>
            <w:rStyle w:val="Hyperlink"/>
            <w:noProof/>
          </w:rPr>
          <w:t>2.1.279</w:t>
        </w:r>
        <w:r>
          <w:rPr>
            <w:rFonts w:asciiTheme="minorHAnsi" w:eastAsiaTheme="minorEastAsia" w:hAnsiTheme="minorHAnsi" w:cstheme="minorBidi"/>
            <w:noProof/>
            <w:sz w:val="22"/>
            <w:szCs w:val="22"/>
          </w:rPr>
          <w:tab/>
        </w:r>
        <w:r w:rsidRPr="00CC53E5">
          <w:rPr>
            <w:rStyle w:val="Hyperlink"/>
            <w:noProof/>
          </w:rPr>
          <w:t>Part 1 Section 17.9.5, lvl (Numbering Level Override Definition)</w:t>
        </w:r>
        <w:r>
          <w:rPr>
            <w:noProof/>
            <w:webHidden/>
          </w:rPr>
          <w:tab/>
        </w:r>
        <w:r>
          <w:rPr>
            <w:noProof/>
            <w:webHidden/>
          </w:rPr>
          <w:fldChar w:fldCharType="begin"/>
        </w:r>
        <w:r>
          <w:rPr>
            <w:noProof/>
            <w:webHidden/>
          </w:rPr>
          <w:instrText xml:space="preserve"> PAGEREF _Toc69878062 \h </w:instrText>
        </w:r>
        <w:r>
          <w:rPr>
            <w:noProof/>
            <w:webHidden/>
          </w:rPr>
        </w:r>
        <w:r>
          <w:rPr>
            <w:noProof/>
            <w:webHidden/>
          </w:rPr>
          <w:fldChar w:fldCharType="separate"/>
        </w:r>
        <w:r>
          <w:rPr>
            <w:noProof/>
            <w:webHidden/>
          </w:rPr>
          <w:t>127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63" w:history="1">
        <w:r w:rsidRPr="00CC53E5">
          <w:rPr>
            <w:rStyle w:val="Hyperlink"/>
            <w:noProof/>
          </w:rPr>
          <w:t>2.1.280</w:t>
        </w:r>
        <w:r>
          <w:rPr>
            <w:rFonts w:asciiTheme="minorHAnsi" w:eastAsiaTheme="minorEastAsia" w:hAnsiTheme="minorHAnsi" w:cstheme="minorBidi"/>
            <w:noProof/>
            <w:sz w:val="22"/>
            <w:szCs w:val="22"/>
          </w:rPr>
          <w:tab/>
        </w:r>
        <w:r w:rsidRPr="00CC53E5">
          <w:rPr>
            <w:rStyle w:val="Hyperlink"/>
            <w:noProof/>
          </w:rPr>
          <w:t>Part 1 Section 17.9.6, lvl (Numbering Level Definition)</w:t>
        </w:r>
        <w:r>
          <w:rPr>
            <w:noProof/>
            <w:webHidden/>
          </w:rPr>
          <w:tab/>
        </w:r>
        <w:r>
          <w:rPr>
            <w:noProof/>
            <w:webHidden/>
          </w:rPr>
          <w:fldChar w:fldCharType="begin"/>
        </w:r>
        <w:r>
          <w:rPr>
            <w:noProof/>
            <w:webHidden/>
          </w:rPr>
          <w:instrText xml:space="preserve"> PAGEREF _Toc69878063 \h </w:instrText>
        </w:r>
        <w:r>
          <w:rPr>
            <w:noProof/>
            <w:webHidden/>
          </w:rPr>
        </w:r>
        <w:r>
          <w:rPr>
            <w:noProof/>
            <w:webHidden/>
          </w:rPr>
          <w:fldChar w:fldCharType="separate"/>
        </w:r>
        <w:r>
          <w:rPr>
            <w:noProof/>
            <w:webHidden/>
          </w:rPr>
          <w:t>127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64" w:history="1">
        <w:r w:rsidRPr="00CC53E5">
          <w:rPr>
            <w:rStyle w:val="Hyperlink"/>
            <w:noProof/>
          </w:rPr>
          <w:t>2.1.281</w:t>
        </w:r>
        <w:r>
          <w:rPr>
            <w:rFonts w:asciiTheme="minorHAnsi" w:eastAsiaTheme="minorEastAsia" w:hAnsiTheme="minorHAnsi" w:cstheme="minorBidi"/>
            <w:noProof/>
            <w:sz w:val="22"/>
            <w:szCs w:val="22"/>
          </w:rPr>
          <w:tab/>
        </w:r>
        <w:r w:rsidRPr="00CC53E5">
          <w:rPr>
            <w:rStyle w:val="Hyperlink"/>
            <w:noProof/>
          </w:rPr>
          <w:t>Part 1 Section 17.9.7, lvlJc (Justification)</w:t>
        </w:r>
        <w:r>
          <w:rPr>
            <w:noProof/>
            <w:webHidden/>
          </w:rPr>
          <w:tab/>
        </w:r>
        <w:r>
          <w:rPr>
            <w:noProof/>
            <w:webHidden/>
          </w:rPr>
          <w:fldChar w:fldCharType="begin"/>
        </w:r>
        <w:r>
          <w:rPr>
            <w:noProof/>
            <w:webHidden/>
          </w:rPr>
          <w:instrText xml:space="preserve"> PAGEREF _Toc69878064 \h </w:instrText>
        </w:r>
        <w:r>
          <w:rPr>
            <w:noProof/>
            <w:webHidden/>
          </w:rPr>
        </w:r>
        <w:r>
          <w:rPr>
            <w:noProof/>
            <w:webHidden/>
          </w:rPr>
          <w:fldChar w:fldCharType="separate"/>
        </w:r>
        <w:r>
          <w:rPr>
            <w:noProof/>
            <w:webHidden/>
          </w:rPr>
          <w:t>127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65" w:history="1">
        <w:r w:rsidRPr="00CC53E5">
          <w:rPr>
            <w:rStyle w:val="Hyperlink"/>
            <w:noProof/>
          </w:rPr>
          <w:t>2.1.282</w:t>
        </w:r>
        <w:r>
          <w:rPr>
            <w:rFonts w:asciiTheme="minorHAnsi" w:eastAsiaTheme="minorEastAsia" w:hAnsiTheme="minorHAnsi" w:cstheme="minorBidi"/>
            <w:noProof/>
            <w:sz w:val="22"/>
            <w:szCs w:val="22"/>
          </w:rPr>
          <w:tab/>
        </w:r>
        <w:r w:rsidRPr="00CC53E5">
          <w:rPr>
            <w:rStyle w:val="Hyperlink"/>
            <w:noProof/>
          </w:rPr>
          <w:t>Part 1 Section 17.9.10, lvlRestart (Restart Numbering Level Symbol)</w:t>
        </w:r>
        <w:r>
          <w:rPr>
            <w:noProof/>
            <w:webHidden/>
          </w:rPr>
          <w:tab/>
        </w:r>
        <w:r>
          <w:rPr>
            <w:noProof/>
            <w:webHidden/>
          </w:rPr>
          <w:fldChar w:fldCharType="begin"/>
        </w:r>
        <w:r>
          <w:rPr>
            <w:noProof/>
            <w:webHidden/>
          </w:rPr>
          <w:instrText xml:space="preserve"> PAGEREF _Toc69878065 \h </w:instrText>
        </w:r>
        <w:r>
          <w:rPr>
            <w:noProof/>
            <w:webHidden/>
          </w:rPr>
        </w:r>
        <w:r>
          <w:rPr>
            <w:noProof/>
            <w:webHidden/>
          </w:rPr>
          <w:fldChar w:fldCharType="separate"/>
        </w:r>
        <w:r>
          <w:rPr>
            <w:noProof/>
            <w:webHidden/>
          </w:rPr>
          <w:t>127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66" w:history="1">
        <w:r w:rsidRPr="00CC53E5">
          <w:rPr>
            <w:rStyle w:val="Hyperlink"/>
            <w:noProof/>
          </w:rPr>
          <w:t>2.1.283</w:t>
        </w:r>
        <w:r>
          <w:rPr>
            <w:rFonts w:asciiTheme="minorHAnsi" w:eastAsiaTheme="minorEastAsia" w:hAnsiTheme="minorHAnsi" w:cstheme="minorBidi"/>
            <w:noProof/>
            <w:sz w:val="22"/>
            <w:szCs w:val="22"/>
          </w:rPr>
          <w:tab/>
        </w:r>
        <w:r w:rsidRPr="00CC53E5">
          <w:rPr>
            <w:rStyle w:val="Hyperlink"/>
            <w:noProof/>
          </w:rPr>
          <w:t>Part 1 Section 17.9.11, lvlText (Numbering Level Text)</w:t>
        </w:r>
        <w:r>
          <w:rPr>
            <w:noProof/>
            <w:webHidden/>
          </w:rPr>
          <w:tab/>
        </w:r>
        <w:r>
          <w:rPr>
            <w:noProof/>
            <w:webHidden/>
          </w:rPr>
          <w:fldChar w:fldCharType="begin"/>
        </w:r>
        <w:r>
          <w:rPr>
            <w:noProof/>
            <w:webHidden/>
          </w:rPr>
          <w:instrText xml:space="preserve"> PAGEREF _Toc69878066 \h </w:instrText>
        </w:r>
        <w:r>
          <w:rPr>
            <w:noProof/>
            <w:webHidden/>
          </w:rPr>
        </w:r>
        <w:r>
          <w:rPr>
            <w:noProof/>
            <w:webHidden/>
          </w:rPr>
          <w:fldChar w:fldCharType="separate"/>
        </w:r>
        <w:r>
          <w:rPr>
            <w:noProof/>
            <w:webHidden/>
          </w:rPr>
          <w:t>127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67" w:history="1">
        <w:r w:rsidRPr="00CC53E5">
          <w:rPr>
            <w:rStyle w:val="Hyperlink"/>
            <w:noProof/>
          </w:rPr>
          <w:t>2.1.284</w:t>
        </w:r>
        <w:r>
          <w:rPr>
            <w:rFonts w:asciiTheme="minorHAnsi" w:eastAsiaTheme="minorEastAsia" w:hAnsiTheme="minorHAnsi" w:cstheme="minorBidi"/>
            <w:noProof/>
            <w:sz w:val="22"/>
            <w:szCs w:val="22"/>
          </w:rPr>
          <w:tab/>
        </w:r>
        <w:r w:rsidRPr="00CC53E5">
          <w:rPr>
            <w:rStyle w:val="Hyperlink"/>
            <w:noProof/>
          </w:rPr>
          <w:t>Part 1 Section 17.9.13, name (Abstract Numbering Definition Name)</w:t>
        </w:r>
        <w:r>
          <w:rPr>
            <w:noProof/>
            <w:webHidden/>
          </w:rPr>
          <w:tab/>
        </w:r>
        <w:r>
          <w:rPr>
            <w:noProof/>
            <w:webHidden/>
          </w:rPr>
          <w:fldChar w:fldCharType="begin"/>
        </w:r>
        <w:r>
          <w:rPr>
            <w:noProof/>
            <w:webHidden/>
          </w:rPr>
          <w:instrText xml:space="preserve"> PAGEREF _Toc69878067 \h </w:instrText>
        </w:r>
        <w:r>
          <w:rPr>
            <w:noProof/>
            <w:webHidden/>
          </w:rPr>
        </w:r>
        <w:r>
          <w:rPr>
            <w:noProof/>
            <w:webHidden/>
          </w:rPr>
          <w:fldChar w:fldCharType="separate"/>
        </w:r>
        <w:r>
          <w:rPr>
            <w:noProof/>
            <w:webHidden/>
          </w:rPr>
          <w:t>128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68" w:history="1">
        <w:r w:rsidRPr="00CC53E5">
          <w:rPr>
            <w:rStyle w:val="Hyperlink"/>
            <w:noProof/>
          </w:rPr>
          <w:t>2.1.285</w:t>
        </w:r>
        <w:r>
          <w:rPr>
            <w:rFonts w:asciiTheme="minorHAnsi" w:eastAsiaTheme="minorEastAsia" w:hAnsiTheme="minorHAnsi" w:cstheme="minorBidi"/>
            <w:noProof/>
            <w:sz w:val="22"/>
            <w:szCs w:val="22"/>
          </w:rPr>
          <w:tab/>
        </w:r>
        <w:r w:rsidRPr="00CC53E5">
          <w:rPr>
            <w:rStyle w:val="Hyperlink"/>
            <w:noProof/>
          </w:rPr>
          <w:t>Part 1 Section 17.9.15, num (Numbering Definition Instance)</w:t>
        </w:r>
        <w:r>
          <w:rPr>
            <w:noProof/>
            <w:webHidden/>
          </w:rPr>
          <w:tab/>
        </w:r>
        <w:r>
          <w:rPr>
            <w:noProof/>
            <w:webHidden/>
          </w:rPr>
          <w:fldChar w:fldCharType="begin"/>
        </w:r>
        <w:r>
          <w:rPr>
            <w:noProof/>
            <w:webHidden/>
          </w:rPr>
          <w:instrText xml:space="preserve"> PAGEREF _Toc69878068 \h </w:instrText>
        </w:r>
        <w:r>
          <w:rPr>
            <w:noProof/>
            <w:webHidden/>
          </w:rPr>
        </w:r>
        <w:r>
          <w:rPr>
            <w:noProof/>
            <w:webHidden/>
          </w:rPr>
          <w:fldChar w:fldCharType="separate"/>
        </w:r>
        <w:r>
          <w:rPr>
            <w:noProof/>
            <w:webHidden/>
          </w:rPr>
          <w:t>128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69" w:history="1">
        <w:r w:rsidRPr="00CC53E5">
          <w:rPr>
            <w:rStyle w:val="Hyperlink"/>
            <w:noProof/>
          </w:rPr>
          <w:t>2.1.286</w:t>
        </w:r>
        <w:r>
          <w:rPr>
            <w:rFonts w:asciiTheme="minorHAnsi" w:eastAsiaTheme="minorEastAsia" w:hAnsiTheme="minorHAnsi" w:cstheme="minorBidi"/>
            <w:noProof/>
            <w:sz w:val="22"/>
            <w:szCs w:val="22"/>
          </w:rPr>
          <w:tab/>
        </w:r>
        <w:r w:rsidRPr="00CC53E5">
          <w:rPr>
            <w:rStyle w:val="Hyperlink"/>
            <w:noProof/>
          </w:rPr>
          <w:t>Part 1 Section 17.9.17, numFmt (Numbering Format)</w:t>
        </w:r>
        <w:r>
          <w:rPr>
            <w:noProof/>
            <w:webHidden/>
          </w:rPr>
          <w:tab/>
        </w:r>
        <w:r>
          <w:rPr>
            <w:noProof/>
            <w:webHidden/>
          </w:rPr>
          <w:fldChar w:fldCharType="begin"/>
        </w:r>
        <w:r>
          <w:rPr>
            <w:noProof/>
            <w:webHidden/>
          </w:rPr>
          <w:instrText xml:space="preserve"> PAGEREF _Toc69878069 \h </w:instrText>
        </w:r>
        <w:r>
          <w:rPr>
            <w:noProof/>
            <w:webHidden/>
          </w:rPr>
        </w:r>
        <w:r>
          <w:rPr>
            <w:noProof/>
            <w:webHidden/>
          </w:rPr>
          <w:fldChar w:fldCharType="separate"/>
        </w:r>
        <w:r>
          <w:rPr>
            <w:noProof/>
            <w:webHidden/>
          </w:rPr>
          <w:t>128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70" w:history="1">
        <w:r w:rsidRPr="00CC53E5">
          <w:rPr>
            <w:rStyle w:val="Hyperlink"/>
            <w:noProof/>
          </w:rPr>
          <w:t>2.1.287</w:t>
        </w:r>
        <w:r>
          <w:rPr>
            <w:rFonts w:asciiTheme="minorHAnsi" w:eastAsiaTheme="minorEastAsia" w:hAnsiTheme="minorHAnsi" w:cstheme="minorBidi"/>
            <w:noProof/>
            <w:sz w:val="22"/>
            <w:szCs w:val="22"/>
          </w:rPr>
          <w:tab/>
        </w:r>
        <w:r w:rsidRPr="00CC53E5">
          <w:rPr>
            <w:rStyle w:val="Hyperlink"/>
            <w:noProof/>
          </w:rPr>
          <w:t>Part 1 Section 17.9.18, numId (Numbering Definition Instance Reference)</w:t>
        </w:r>
        <w:r>
          <w:rPr>
            <w:noProof/>
            <w:webHidden/>
          </w:rPr>
          <w:tab/>
        </w:r>
        <w:r>
          <w:rPr>
            <w:noProof/>
            <w:webHidden/>
          </w:rPr>
          <w:fldChar w:fldCharType="begin"/>
        </w:r>
        <w:r>
          <w:rPr>
            <w:noProof/>
            <w:webHidden/>
          </w:rPr>
          <w:instrText xml:space="preserve"> PAGEREF _Toc69878070 \h </w:instrText>
        </w:r>
        <w:r>
          <w:rPr>
            <w:noProof/>
            <w:webHidden/>
          </w:rPr>
        </w:r>
        <w:r>
          <w:rPr>
            <w:noProof/>
            <w:webHidden/>
          </w:rPr>
          <w:fldChar w:fldCharType="separate"/>
        </w:r>
        <w:r>
          <w:rPr>
            <w:noProof/>
            <w:webHidden/>
          </w:rPr>
          <w:t>128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71" w:history="1">
        <w:r w:rsidRPr="00CC53E5">
          <w:rPr>
            <w:rStyle w:val="Hyperlink"/>
            <w:noProof/>
          </w:rPr>
          <w:t>2.1.288</w:t>
        </w:r>
        <w:r>
          <w:rPr>
            <w:rFonts w:asciiTheme="minorHAnsi" w:eastAsiaTheme="minorEastAsia" w:hAnsiTheme="minorHAnsi" w:cstheme="minorBidi"/>
            <w:noProof/>
            <w:sz w:val="22"/>
            <w:szCs w:val="22"/>
          </w:rPr>
          <w:tab/>
        </w:r>
        <w:r w:rsidRPr="00CC53E5">
          <w:rPr>
            <w:rStyle w:val="Hyperlink"/>
            <w:noProof/>
          </w:rPr>
          <w:t>Part 1 Section 17.9.21, numStyleLink (Numbering Style Reference)</w:t>
        </w:r>
        <w:r>
          <w:rPr>
            <w:noProof/>
            <w:webHidden/>
          </w:rPr>
          <w:tab/>
        </w:r>
        <w:r>
          <w:rPr>
            <w:noProof/>
            <w:webHidden/>
          </w:rPr>
          <w:fldChar w:fldCharType="begin"/>
        </w:r>
        <w:r>
          <w:rPr>
            <w:noProof/>
            <w:webHidden/>
          </w:rPr>
          <w:instrText xml:space="preserve"> PAGEREF _Toc69878071 \h </w:instrText>
        </w:r>
        <w:r>
          <w:rPr>
            <w:noProof/>
            <w:webHidden/>
          </w:rPr>
        </w:r>
        <w:r>
          <w:rPr>
            <w:noProof/>
            <w:webHidden/>
          </w:rPr>
          <w:fldChar w:fldCharType="separate"/>
        </w:r>
        <w:r>
          <w:rPr>
            <w:noProof/>
            <w:webHidden/>
          </w:rPr>
          <w:t>128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72" w:history="1">
        <w:r w:rsidRPr="00CC53E5">
          <w:rPr>
            <w:rStyle w:val="Hyperlink"/>
            <w:noProof/>
          </w:rPr>
          <w:t>2.1.289</w:t>
        </w:r>
        <w:r>
          <w:rPr>
            <w:rFonts w:asciiTheme="minorHAnsi" w:eastAsiaTheme="minorEastAsia" w:hAnsiTheme="minorHAnsi" w:cstheme="minorBidi"/>
            <w:noProof/>
            <w:sz w:val="22"/>
            <w:szCs w:val="22"/>
          </w:rPr>
          <w:tab/>
        </w:r>
        <w:r w:rsidRPr="00CC53E5">
          <w:rPr>
            <w:rStyle w:val="Hyperlink"/>
            <w:noProof/>
          </w:rPr>
          <w:t>Part 1 Section 17.9.22, pPr (Numbering Level Associated Paragraph Properties)</w:t>
        </w:r>
        <w:r>
          <w:rPr>
            <w:noProof/>
            <w:webHidden/>
          </w:rPr>
          <w:tab/>
        </w:r>
        <w:r>
          <w:rPr>
            <w:noProof/>
            <w:webHidden/>
          </w:rPr>
          <w:fldChar w:fldCharType="begin"/>
        </w:r>
        <w:r>
          <w:rPr>
            <w:noProof/>
            <w:webHidden/>
          </w:rPr>
          <w:instrText xml:space="preserve"> PAGEREF _Toc69878072 \h </w:instrText>
        </w:r>
        <w:r>
          <w:rPr>
            <w:noProof/>
            <w:webHidden/>
          </w:rPr>
        </w:r>
        <w:r>
          <w:rPr>
            <w:noProof/>
            <w:webHidden/>
          </w:rPr>
          <w:fldChar w:fldCharType="separate"/>
        </w:r>
        <w:r>
          <w:rPr>
            <w:noProof/>
            <w:webHidden/>
          </w:rPr>
          <w:t>128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73" w:history="1">
        <w:r w:rsidRPr="00CC53E5">
          <w:rPr>
            <w:rStyle w:val="Hyperlink"/>
            <w:noProof/>
          </w:rPr>
          <w:t>2.1.290</w:t>
        </w:r>
        <w:r>
          <w:rPr>
            <w:rFonts w:asciiTheme="minorHAnsi" w:eastAsiaTheme="minorEastAsia" w:hAnsiTheme="minorHAnsi" w:cstheme="minorBidi"/>
            <w:noProof/>
            <w:sz w:val="22"/>
            <w:szCs w:val="22"/>
          </w:rPr>
          <w:tab/>
        </w:r>
        <w:r w:rsidRPr="00CC53E5">
          <w:rPr>
            <w:rStyle w:val="Hyperlink"/>
            <w:noProof/>
          </w:rPr>
          <w:t>Part 1 Section 17.9.23, pStyle (Paragraph Style's Associated Numbering Level)</w:t>
        </w:r>
        <w:r>
          <w:rPr>
            <w:noProof/>
            <w:webHidden/>
          </w:rPr>
          <w:tab/>
        </w:r>
        <w:r>
          <w:rPr>
            <w:noProof/>
            <w:webHidden/>
          </w:rPr>
          <w:fldChar w:fldCharType="begin"/>
        </w:r>
        <w:r>
          <w:rPr>
            <w:noProof/>
            <w:webHidden/>
          </w:rPr>
          <w:instrText xml:space="preserve"> PAGEREF _Toc69878073 \h </w:instrText>
        </w:r>
        <w:r>
          <w:rPr>
            <w:noProof/>
            <w:webHidden/>
          </w:rPr>
        </w:r>
        <w:r>
          <w:rPr>
            <w:noProof/>
            <w:webHidden/>
          </w:rPr>
          <w:fldChar w:fldCharType="separate"/>
        </w:r>
        <w:r>
          <w:rPr>
            <w:noProof/>
            <w:webHidden/>
          </w:rPr>
          <w:t>129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74" w:history="1">
        <w:r w:rsidRPr="00CC53E5">
          <w:rPr>
            <w:rStyle w:val="Hyperlink"/>
            <w:noProof/>
          </w:rPr>
          <w:t>2.1.291</w:t>
        </w:r>
        <w:r>
          <w:rPr>
            <w:rFonts w:asciiTheme="minorHAnsi" w:eastAsiaTheme="minorEastAsia" w:hAnsiTheme="minorHAnsi" w:cstheme="minorBidi"/>
            <w:noProof/>
            <w:sz w:val="22"/>
            <w:szCs w:val="22"/>
          </w:rPr>
          <w:tab/>
        </w:r>
        <w:r w:rsidRPr="00CC53E5">
          <w:rPr>
            <w:rStyle w:val="Hyperlink"/>
            <w:noProof/>
          </w:rPr>
          <w:t>Part 1 Section 17.9.24, rPr (Numbering Symbol Run Properties)</w:t>
        </w:r>
        <w:r>
          <w:rPr>
            <w:noProof/>
            <w:webHidden/>
          </w:rPr>
          <w:tab/>
        </w:r>
        <w:r>
          <w:rPr>
            <w:noProof/>
            <w:webHidden/>
          </w:rPr>
          <w:fldChar w:fldCharType="begin"/>
        </w:r>
        <w:r>
          <w:rPr>
            <w:noProof/>
            <w:webHidden/>
          </w:rPr>
          <w:instrText xml:space="preserve"> PAGEREF _Toc69878074 \h </w:instrText>
        </w:r>
        <w:r>
          <w:rPr>
            <w:noProof/>
            <w:webHidden/>
          </w:rPr>
        </w:r>
        <w:r>
          <w:rPr>
            <w:noProof/>
            <w:webHidden/>
          </w:rPr>
          <w:fldChar w:fldCharType="separate"/>
        </w:r>
        <w:r>
          <w:rPr>
            <w:noProof/>
            <w:webHidden/>
          </w:rPr>
          <w:t>129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75" w:history="1">
        <w:r w:rsidRPr="00CC53E5">
          <w:rPr>
            <w:rStyle w:val="Hyperlink"/>
            <w:noProof/>
          </w:rPr>
          <w:t>2.1.292</w:t>
        </w:r>
        <w:r>
          <w:rPr>
            <w:rFonts w:asciiTheme="minorHAnsi" w:eastAsiaTheme="minorEastAsia" w:hAnsiTheme="minorHAnsi" w:cstheme="minorBidi"/>
            <w:noProof/>
            <w:sz w:val="22"/>
            <w:szCs w:val="22"/>
          </w:rPr>
          <w:tab/>
        </w:r>
        <w:r w:rsidRPr="00CC53E5">
          <w:rPr>
            <w:rStyle w:val="Hyperlink"/>
            <w:noProof/>
          </w:rPr>
          <w:t>Part 1 Section 17.9.25, start (Starting Value)</w:t>
        </w:r>
        <w:r>
          <w:rPr>
            <w:noProof/>
            <w:webHidden/>
          </w:rPr>
          <w:tab/>
        </w:r>
        <w:r>
          <w:rPr>
            <w:noProof/>
            <w:webHidden/>
          </w:rPr>
          <w:fldChar w:fldCharType="begin"/>
        </w:r>
        <w:r>
          <w:rPr>
            <w:noProof/>
            <w:webHidden/>
          </w:rPr>
          <w:instrText xml:space="preserve"> PAGEREF _Toc69878075 \h </w:instrText>
        </w:r>
        <w:r>
          <w:rPr>
            <w:noProof/>
            <w:webHidden/>
          </w:rPr>
        </w:r>
        <w:r>
          <w:rPr>
            <w:noProof/>
            <w:webHidden/>
          </w:rPr>
          <w:fldChar w:fldCharType="separate"/>
        </w:r>
        <w:r>
          <w:rPr>
            <w:noProof/>
            <w:webHidden/>
          </w:rPr>
          <w:t>129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76" w:history="1">
        <w:r w:rsidRPr="00CC53E5">
          <w:rPr>
            <w:rStyle w:val="Hyperlink"/>
            <w:noProof/>
          </w:rPr>
          <w:t>2.1.293</w:t>
        </w:r>
        <w:r>
          <w:rPr>
            <w:rFonts w:asciiTheme="minorHAnsi" w:eastAsiaTheme="minorEastAsia" w:hAnsiTheme="minorHAnsi" w:cstheme="minorBidi"/>
            <w:noProof/>
            <w:sz w:val="22"/>
            <w:szCs w:val="22"/>
          </w:rPr>
          <w:tab/>
        </w:r>
        <w:r w:rsidRPr="00CC53E5">
          <w:rPr>
            <w:rStyle w:val="Hyperlink"/>
            <w:noProof/>
          </w:rPr>
          <w:t>Part 1 Section 17.9.27, styleLink (Numbering Style Definition)</w:t>
        </w:r>
        <w:r>
          <w:rPr>
            <w:noProof/>
            <w:webHidden/>
          </w:rPr>
          <w:tab/>
        </w:r>
        <w:r>
          <w:rPr>
            <w:noProof/>
            <w:webHidden/>
          </w:rPr>
          <w:fldChar w:fldCharType="begin"/>
        </w:r>
        <w:r>
          <w:rPr>
            <w:noProof/>
            <w:webHidden/>
          </w:rPr>
          <w:instrText xml:space="preserve"> PAGEREF _Toc69878076 \h </w:instrText>
        </w:r>
        <w:r>
          <w:rPr>
            <w:noProof/>
            <w:webHidden/>
          </w:rPr>
        </w:r>
        <w:r>
          <w:rPr>
            <w:noProof/>
            <w:webHidden/>
          </w:rPr>
          <w:fldChar w:fldCharType="separate"/>
        </w:r>
        <w:r>
          <w:rPr>
            <w:noProof/>
            <w:webHidden/>
          </w:rPr>
          <w:t>129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77" w:history="1">
        <w:r w:rsidRPr="00CC53E5">
          <w:rPr>
            <w:rStyle w:val="Hyperlink"/>
            <w:noProof/>
          </w:rPr>
          <w:t>2.1.294</w:t>
        </w:r>
        <w:r>
          <w:rPr>
            <w:rFonts w:asciiTheme="minorHAnsi" w:eastAsiaTheme="minorEastAsia" w:hAnsiTheme="minorHAnsi" w:cstheme="minorBidi"/>
            <w:noProof/>
            <w:sz w:val="22"/>
            <w:szCs w:val="22"/>
          </w:rPr>
          <w:tab/>
        </w:r>
        <w:r w:rsidRPr="00CC53E5">
          <w:rPr>
            <w:rStyle w:val="Hyperlink"/>
            <w:noProof/>
          </w:rPr>
          <w:t>Part 1 Section 17.10.1, evenAndOddHeaders (Different Even/Odd Page Headers and Footers)</w:t>
        </w:r>
        <w:r>
          <w:rPr>
            <w:noProof/>
            <w:webHidden/>
          </w:rPr>
          <w:tab/>
        </w:r>
        <w:r>
          <w:rPr>
            <w:noProof/>
            <w:webHidden/>
          </w:rPr>
          <w:fldChar w:fldCharType="begin"/>
        </w:r>
        <w:r>
          <w:rPr>
            <w:noProof/>
            <w:webHidden/>
          </w:rPr>
          <w:instrText xml:space="preserve"> PAGEREF _Toc69878077 \h </w:instrText>
        </w:r>
        <w:r>
          <w:rPr>
            <w:noProof/>
            <w:webHidden/>
          </w:rPr>
        </w:r>
        <w:r>
          <w:rPr>
            <w:noProof/>
            <w:webHidden/>
          </w:rPr>
          <w:fldChar w:fldCharType="separate"/>
        </w:r>
        <w:r>
          <w:rPr>
            <w:noProof/>
            <w:webHidden/>
          </w:rPr>
          <w:t>129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78" w:history="1">
        <w:r w:rsidRPr="00CC53E5">
          <w:rPr>
            <w:rStyle w:val="Hyperlink"/>
            <w:noProof/>
          </w:rPr>
          <w:t>2.1.295</w:t>
        </w:r>
        <w:r>
          <w:rPr>
            <w:rFonts w:asciiTheme="minorHAnsi" w:eastAsiaTheme="minorEastAsia" w:hAnsiTheme="minorHAnsi" w:cstheme="minorBidi"/>
            <w:noProof/>
            <w:sz w:val="22"/>
            <w:szCs w:val="22"/>
          </w:rPr>
          <w:tab/>
        </w:r>
        <w:r w:rsidRPr="00CC53E5">
          <w:rPr>
            <w:rStyle w:val="Hyperlink"/>
            <w:noProof/>
          </w:rPr>
          <w:t>Part 1 Section 17.10.2, footerReference (Footer Reference)</w:t>
        </w:r>
        <w:r>
          <w:rPr>
            <w:noProof/>
            <w:webHidden/>
          </w:rPr>
          <w:tab/>
        </w:r>
        <w:r>
          <w:rPr>
            <w:noProof/>
            <w:webHidden/>
          </w:rPr>
          <w:fldChar w:fldCharType="begin"/>
        </w:r>
        <w:r>
          <w:rPr>
            <w:noProof/>
            <w:webHidden/>
          </w:rPr>
          <w:instrText xml:space="preserve"> PAGEREF _Toc69878078 \h </w:instrText>
        </w:r>
        <w:r>
          <w:rPr>
            <w:noProof/>
            <w:webHidden/>
          </w:rPr>
        </w:r>
        <w:r>
          <w:rPr>
            <w:noProof/>
            <w:webHidden/>
          </w:rPr>
          <w:fldChar w:fldCharType="separate"/>
        </w:r>
        <w:r>
          <w:rPr>
            <w:noProof/>
            <w:webHidden/>
          </w:rPr>
          <w:t>130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79" w:history="1">
        <w:r w:rsidRPr="00CC53E5">
          <w:rPr>
            <w:rStyle w:val="Hyperlink"/>
            <w:noProof/>
          </w:rPr>
          <w:t>2.1.296</w:t>
        </w:r>
        <w:r>
          <w:rPr>
            <w:rFonts w:asciiTheme="minorHAnsi" w:eastAsiaTheme="minorEastAsia" w:hAnsiTheme="minorHAnsi" w:cstheme="minorBidi"/>
            <w:noProof/>
            <w:sz w:val="22"/>
            <w:szCs w:val="22"/>
          </w:rPr>
          <w:tab/>
        </w:r>
        <w:r w:rsidRPr="00CC53E5">
          <w:rPr>
            <w:rStyle w:val="Hyperlink"/>
            <w:noProof/>
          </w:rPr>
          <w:t>Part 1 Section 17.10.3, ftr (Footer)</w:t>
        </w:r>
        <w:r>
          <w:rPr>
            <w:noProof/>
            <w:webHidden/>
          </w:rPr>
          <w:tab/>
        </w:r>
        <w:r>
          <w:rPr>
            <w:noProof/>
            <w:webHidden/>
          </w:rPr>
          <w:fldChar w:fldCharType="begin"/>
        </w:r>
        <w:r>
          <w:rPr>
            <w:noProof/>
            <w:webHidden/>
          </w:rPr>
          <w:instrText xml:space="preserve"> PAGEREF _Toc69878079 \h </w:instrText>
        </w:r>
        <w:r>
          <w:rPr>
            <w:noProof/>
            <w:webHidden/>
          </w:rPr>
        </w:r>
        <w:r>
          <w:rPr>
            <w:noProof/>
            <w:webHidden/>
          </w:rPr>
          <w:fldChar w:fldCharType="separate"/>
        </w:r>
        <w:r>
          <w:rPr>
            <w:noProof/>
            <w:webHidden/>
          </w:rPr>
          <w:t>130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80" w:history="1">
        <w:r w:rsidRPr="00CC53E5">
          <w:rPr>
            <w:rStyle w:val="Hyperlink"/>
            <w:noProof/>
          </w:rPr>
          <w:t>2.1.297</w:t>
        </w:r>
        <w:r>
          <w:rPr>
            <w:rFonts w:asciiTheme="minorHAnsi" w:eastAsiaTheme="minorEastAsia" w:hAnsiTheme="minorHAnsi" w:cstheme="minorBidi"/>
            <w:noProof/>
            <w:sz w:val="22"/>
            <w:szCs w:val="22"/>
          </w:rPr>
          <w:tab/>
        </w:r>
        <w:r w:rsidRPr="00CC53E5">
          <w:rPr>
            <w:rStyle w:val="Hyperlink"/>
            <w:noProof/>
          </w:rPr>
          <w:t>Part 1 Section 17.10.4, hdr (Header)</w:t>
        </w:r>
        <w:r>
          <w:rPr>
            <w:noProof/>
            <w:webHidden/>
          </w:rPr>
          <w:tab/>
        </w:r>
        <w:r>
          <w:rPr>
            <w:noProof/>
            <w:webHidden/>
          </w:rPr>
          <w:fldChar w:fldCharType="begin"/>
        </w:r>
        <w:r>
          <w:rPr>
            <w:noProof/>
            <w:webHidden/>
          </w:rPr>
          <w:instrText xml:space="preserve"> PAGEREF _Toc69878080 \h </w:instrText>
        </w:r>
        <w:r>
          <w:rPr>
            <w:noProof/>
            <w:webHidden/>
          </w:rPr>
        </w:r>
        <w:r>
          <w:rPr>
            <w:noProof/>
            <w:webHidden/>
          </w:rPr>
          <w:fldChar w:fldCharType="separate"/>
        </w:r>
        <w:r>
          <w:rPr>
            <w:noProof/>
            <w:webHidden/>
          </w:rPr>
          <w:t>130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81" w:history="1">
        <w:r w:rsidRPr="00CC53E5">
          <w:rPr>
            <w:rStyle w:val="Hyperlink"/>
            <w:noProof/>
          </w:rPr>
          <w:t>2.1.298</w:t>
        </w:r>
        <w:r>
          <w:rPr>
            <w:rFonts w:asciiTheme="minorHAnsi" w:eastAsiaTheme="minorEastAsia" w:hAnsiTheme="minorHAnsi" w:cstheme="minorBidi"/>
            <w:noProof/>
            <w:sz w:val="22"/>
            <w:szCs w:val="22"/>
          </w:rPr>
          <w:tab/>
        </w:r>
        <w:r w:rsidRPr="00CC53E5">
          <w:rPr>
            <w:rStyle w:val="Hyperlink"/>
            <w:noProof/>
          </w:rPr>
          <w:t>Part 1 Section 17.10.5, headerReference (Header Reference)</w:t>
        </w:r>
        <w:r>
          <w:rPr>
            <w:noProof/>
            <w:webHidden/>
          </w:rPr>
          <w:tab/>
        </w:r>
        <w:r>
          <w:rPr>
            <w:noProof/>
            <w:webHidden/>
          </w:rPr>
          <w:fldChar w:fldCharType="begin"/>
        </w:r>
        <w:r>
          <w:rPr>
            <w:noProof/>
            <w:webHidden/>
          </w:rPr>
          <w:instrText xml:space="preserve"> PAGEREF _Toc69878081 \h </w:instrText>
        </w:r>
        <w:r>
          <w:rPr>
            <w:noProof/>
            <w:webHidden/>
          </w:rPr>
        </w:r>
        <w:r>
          <w:rPr>
            <w:noProof/>
            <w:webHidden/>
          </w:rPr>
          <w:fldChar w:fldCharType="separate"/>
        </w:r>
        <w:r>
          <w:rPr>
            <w:noProof/>
            <w:webHidden/>
          </w:rPr>
          <w:t>130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82" w:history="1">
        <w:r w:rsidRPr="00CC53E5">
          <w:rPr>
            <w:rStyle w:val="Hyperlink"/>
            <w:noProof/>
          </w:rPr>
          <w:t>2.1.299</w:t>
        </w:r>
        <w:r>
          <w:rPr>
            <w:rFonts w:asciiTheme="minorHAnsi" w:eastAsiaTheme="minorEastAsia" w:hAnsiTheme="minorHAnsi" w:cstheme="minorBidi"/>
            <w:noProof/>
            <w:sz w:val="22"/>
            <w:szCs w:val="22"/>
          </w:rPr>
          <w:tab/>
        </w:r>
        <w:r w:rsidRPr="00CC53E5">
          <w:rPr>
            <w:rStyle w:val="Hyperlink"/>
            <w:noProof/>
          </w:rPr>
          <w:t>Part 1 Section 17.10.6, titlePg (Different First Page Headers and Footers)</w:t>
        </w:r>
        <w:r>
          <w:rPr>
            <w:noProof/>
            <w:webHidden/>
          </w:rPr>
          <w:tab/>
        </w:r>
        <w:r>
          <w:rPr>
            <w:noProof/>
            <w:webHidden/>
          </w:rPr>
          <w:fldChar w:fldCharType="begin"/>
        </w:r>
        <w:r>
          <w:rPr>
            <w:noProof/>
            <w:webHidden/>
          </w:rPr>
          <w:instrText xml:space="preserve"> PAGEREF _Toc69878082 \h </w:instrText>
        </w:r>
        <w:r>
          <w:rPr>
            <w:noProof/>
            <w:webHidden/>
          </w:rPr>
        </w:r>
        <w:r>
          <w:rPr>
            <w:noProof/>
            <w:webHidden/>
          </w:rPr>
          <w:fldChar w:fldCharType="separate"/>
        </w:r>
        <w:r>
          <w:rPr>
            <w:noProof/>
            <w:webHidden/>
          </w:rPr>
          <w:t>130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83" w:history="1">
        <w:r w:rsidRPr="00CC53E5">
          <w:rPr>
            <w:rStyle w:val="Hyperlink"/>
            <w:noProof/>
          </w:rPr>
          <w:t>2.1.300</w:t>
        </w:r>
        <w:r>
          <w:rPr>
            <w:rFonts w:asciiTheme="minorHAnsi" w:eastAsiaTheme="minorEastAsia" w:hAnsiTheme="minorHAnsi" w:cstheme="minorBidi"/>
            <w:noProof/>
            <w:sz w:val="22"/>
            <w:szCs w:val="22"/>
          </w:rPr>
          <w:tab/>
        </w:r>
        <w:r w:rsidRPr="00CC53E5">
          <w:rPr>
            <w:rStyle w:val="Hyperlink"/>
            <w:noProof/>
          </w:rPr>
          <w:t>Part 1 Section 17.11.2, endnote (Endnote Content)</w:t>
        </w:r>
        <w:r>
          <w:rPr>
            <w:noProof/>
            <w:webHidden/>
          </w:rPr>
          <w:tab/>
        </w:r>
        <w:r>
          <w:rPr>
            <w:noProof/>
            <w:webHidden/>
          </w:rPr>
          <w:fldChar w:fldCharType="begin"/>
        </w:r>
        <w:r>
          <w:rPr>
            <w:noProof/>
            <w:webHidden/>
          </w:rPr>
          <w:instrText xml:space="preserve"> PAGEREF _Toc69878083 \h </w:instrText>
        </w:r>
        <w:r>
          <w:rPr>
            <w:noProof/>
            <w:webHidden/>
          </w:rPr>
        </w:r>
        <w:r>
          <w:rPr>
            <w:noProof/>
            <w:webHidden/>
          </w:rPr>
          <w:fldChar w:fldCharType="separate"/>
        </w:r>
        <w:r>
          <w:rPr>
            <w:noProof/>
            <w:webHidden/>
          </w:rPr>
          <w:t>131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84" w:history="1">
        <w:r w:rsidRPr="00CC53E5">
          <w:rPr>
            <w:rStyle w:val="Hyperlink"/>
            <w:noProof/>
          </w:rPr>
          <w:t>2.1.301</w:t>
        </w:r>
        <w:r>
          <w:rPr>
            <w:rFonts w:asciiTheme="minorHAnsi" w:eastAsiaTheme="minorEastAsia" w:hAnsiTheme="minorHAnsi" w:cstheme="minorBidi"/>
            <w:noProof/>
            <w:sz w:val="22"/>
            <w:szCs w:val="22"/>
          </w:rPr>
          <w:tab/>
        </w:r>
        <w:r w:rsidRPr="00CC53E5">
          <w:rPr>
            <w:rStyle w:val="Hyperlink"/>
            <w:noProof/>
          </w:rPr>
          <w:t>Part 1 Section 17.11.3, endnote (Special Endnote List)</w:t>
        </w:r>
        <w:r>
          <w:rPr>
            <w:noProof/>
            <w:webHidden/>
          </w:rPr>
          <w:tab/>
        </w:r>
        <w:r>
          <w:rPr>
            <w:noProof/>
            <w:webHidden/>
          </w:rPr>
          <w:fldChar w:fldCharType="begin"/>
        </w:r>
        <w:r>
          <w:rPr>
            <w:noProof/>
            <w:webHidden/>
          </w:rPr>
          <w:instrText xml:space="preserve"> PAGEREF _Toc69878084 \h </w:instrText>
        </w:r>
        <w:r>
          <w:rPr>
            <w:noProof/>
            <w:webHidden/>
          </w:rPr>
        </w:r>
        <w:r>
          <w:rPr>
            <w:noProof/>
            <w:webHidden/>
          </w:rPr>
          <w:fldChar w:fldCharType="separate"/>
        </w:r>
        <w:r>
          <w:rPr>
            <w:noProof/>
            <w:webHidden/>
          </w:rPr>
          <w:t>131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85" w:history="1">
        <w:r w:rsidRPr="00CC53E5">
          <w:rPr>
            <w:rStyle w:val="Hyperlink"/>
            <w:noProof/>
          </w:rPr>
          <w:t>2.1.302</w:t>
        </w:r>
        <w:r>
          <w:rPr>
            <w:rFonts w:asciiTheme="minorHAnsi" w:eastAsiaTheme="minorEastAsia" w:hAnsiTheme="minorHAnsi" w:cstheme="minorBidi"/>
            <w:noProof/>
            <w:sz w:val="22"/>
            <w:szCs w:val="22"/>
          </w:rPr>
          <w:tab/>
        </w:r>
        <w:r w:rsidRPr="00CC53E5">
          <w:rPr>
            <w:rStyle w:val="Hyperlink"/>
            <w:noProof/>
          </w:rPr>
          <w:t>Part 1 Section 17.11.7, endnoteReference (Endnote Reference)</w:t>
        </w:r>
        <w:r>
          <w:rPr>
            <w:noProof/>
            <w:webHidden/>
          </w:rPr>
          <w:tab/>
        </w:r>
        <w:r>
          <w:rPr>
            <w:noProof/>
            <w:webHidden/>
          </w:rPr>
          <w:fldChar w:fldCharType="begin"/>
        </w:r>
        <w:r>
          <w:rPr>
            <w:noProof/>
            <w:webHidden/>
          </w:rPr>
          <w:instrText xml:space="preserve"> PAGEREF _Toc69878085 \h </w:instrText>
        </w:r>
        <w:r>
          <w:rPr>
            <w:noProof/>
            <w:webHidden/>
          </w:rPr>
        </w:r>
        <w:r>
          <w:rPr>
            <w:noProof/>
            <w:webHidden/>
          </w:rPr>
          <w:fldChar w:fldCharType="separate"/>
        </w:r>
        <w:r>
          <w:rPr>
            <w:noProof/>
            <w:webHidden/>
          </w:rPr>
          <w:t>131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86" w:history="1">
        <w:r w:rsidRPr="00CC53E5">
          <w:rPr>
            <w:rStyle w:val="Hyperlink"/>
            <w:noProof/>
          </w:rPr>
          <w:t>2.1.303</w:t>
        </w:r>
        <w:r>
          <w:rPr>
            <w:rFonts w:asciiTheme="minorHAnsi" w:eastAsiaTheme="minorEastAsia" w:hAnsiTheme="minorHAnsi" w:cstheme="minorBidi"/>
            <w:noProof/>
            <w:sz w:val="22"/>
            <w:szCs w:val="22"/>
          </w:rPr>
          <w:tab/>
        </w:r>
        <w:r w:rsidRPr="00CC53E5">
          <w:rPr>
            <w:rStyle w:val="Hyperlink"/>
            <w:noProof/>
          </w:rPr>
          <w:t>Part 1 Section 17.11.9, footnote (Special Footnote List)</w:t>
        </w:r>
        <w:r>
          <w:rPr>
            <w:noProof/>
            <w:webHidden/>
          </w:rPr>
          <w:tab/>
        </w:r>
        <w:r>
          <w:rPr>
            <w:noProof/>
            <w:webHidden/>
          </w:rPr>
          <w:fldChar w:fldCharType="begin"/>
        </w:r>
        <w:r>
          <w:rPr>
            <w:noProof/>
            <w:webHidden/>
          </w:rPr>
          <w:instrText xml:space="preserve"> PAGEREF _Toc69878086 \h </w:instrText>
        </w:r>
        <w:r>
          <w:rPr>
            <w:noProof/>
            <w:webHidden/>
          </w:rPr>
        </w:r>
        <w:r>
          <w:rPr>
            <w:noProof/>
            <w:webHidden/>
          </w:rPr>
          <w:fldChar w:fldCharType="separate"/>
        </w:r>
        <w:r>
          <w:rPr>
            <w:noProof/>
            <w:webHidden/>
          </w:rPr>
          <w:t>131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87" w:history="1">
        <w:r w:rsidRPr="00CC53E5">
          <w:rPr>
            <w:rStyle w:val="Hyperlink"/>
            <w:noProof/>
          </w:rPr>
          <w:t>2.1.304</w:t>
        </w:r>
        <w:r>
          <w:rPr>
            <w:rFonts w:asciiTheme="minorHAnsi" w:eastAsiaTheme="minorEastAsia" w:hAnsiTheme="minorHAnsi" w:cstheme="minorBidi"/>
            <w:noProof/>
            <w:sz w:val="22"/>
            <w:szCs w:val="22"/>
          </w:rPr>
          <w:tab/>
        </w:r>
        <w:r w:rsidRPr="00CC53E5">
          <w:rPr>
            <w:rStyle w:val="Hyperlink"/>
            <w:noProof/>
          </w:rPr>
          <w:t>Part 1 Section 17.11.10, footnote (Footnote Content)</w:t>
        </w:r>
        <w:r>
          <w:rPr>
            <w:noProof/>
            <w:webHidden/>
          </w:rPr>
          <w:tab/>
        </w:r>
        <w:r>
          <w:rPr>
            <w:noProof/>
            <w:webHidden/>
          </w:rPr>
          <w:fldChar w:fldCharType="begin"/>
        </w:r>
        <w:r>
          <w:rPr>
            <w:noProof/>
            <w:webHidden/>
          </w:rPr>
          <w:instrText xml:space="preserve"> PAGEREF _Toc69878087 \h </w:instrText>
        </w:r>
        <w:r>
          <w:rPr>
            <w:noProof/>
            <w:webHidden/>
          </w:rPr>
        </w:r>
        <w:r>
          <w:rPr>
            <w:noProof/>
            <w:webHidden/>
          </w:rPr>
          <w:fldChar w:fldCharType="separate"/>
        </w:r>
        <w:r>
          <w:rPr>
            <w:noProof/>
            <w:webHidden/>
          </w:rPr>
          <w:t>131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88" w:history="1">
        <w:r w:rsidRPr="00CC53E5">
          <w:rPr>
            <w:rStyle w:val="Hyperlink"/>
            <w:noProof/>
          </w:rPr>
          <w:t>2.1.305</w:t>
        </w:r>
        <w:r>
          <w:rPr>
            <w:rFonts w:asciiTheme="minorHAnsi" w:eastAsiaTheme="minorEastAsia" w:hAnsiTheme="minorHAnsi" w:cstheme="minorBidi"/>
            <w:noProof/>
            <w:sz w:val="22"/>
            <w:szCs w:val="22"/>
          </w:rPr>
          <w:tab/>
        </w:r>
        <w:r w:rsidRPr="00CC53E5">
          <w:rPr>
            <w:rStyle w:val="Hyperlink"/>
            <w:noProof/>
          </w:rPr>
          <w:t>Part 1 Section 17.11.14, footnoteReference (Footnote Reference)</w:t>
        </w:r>
        <w:r>
          <w:rPr>
            <w:noProof/>
            <w:webHidden/>
          </w:rPr>
          <w:tab/>
        </w:r>
        <w:r>
          <w:rPr>
            <w:noProof/>
            <w:webHidden/>
          </w:rPr>
          <w:fldChar w:fldCharType="begin"/>
        </w:r>
        <w:r>
          <w:rPr>
            <w:noProof/>
            <w:webHidden/>
          </w:rPr>
          <w:instrText xml:space="preserve"> PAGEREF _Toc69878088 \h </w:instrText>
        </w:r>
        <w:r>
          <w:rPr>
            <w:noProof/>
            <w:webHidden/>
          </w:rPr>
        </w:r>
        <w:r>
          <w:rPr>
            <w:noProof/>
            <w:webHidden/>
          </w:rPr>
          <w:fldChar w:fldCharType="separate"/>
        </w:r>
        <w:r>
          <w:rPr>
            <w:noProof/>
            <w:webHidden/>
          </w:rPr>
          <w:t>131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89" w:history="1">
        <w:r w:rsidRPr="00CC53E5">
          <w:rPr>
            <w:rStyle w:val="Hyperlink"/>
            <w:noProof/>
          </w:rPr>
          <w:t>2.1.306</w:t>
        </w:r>
        <w:r>
          <w:rPr>
            <w:rFonts w:asciiTheme="minorHAnsi" w:eastAsiaTheme="minorEastAsia" w:hAnsiTheme="minorHAnsi" w:cstheme="minorBidi"/>
            <w:noProof/>
            <w:sz w:val="22"/>
            <w:szCs w:val="22"/>
          </w:rPr>
          <w:tab/>
        </w:r>
        <w:r w:rsidRPr="00CC53E5">
          <w:rPr>
            <w:rStyle w:val="Hyperlink"/>
            <w:noProof/>
          </w:rPr>
          <w:t>Part 1 Section 17.11.17, numFmt (Endnote Numbering Format)</w:t>
        </w:r>
        <w:r>
          <w:rPr>
            <w:noProof/>
            <w:webHidden/>
          </w:rPr>
          <w:tab/>
        </w:r>
        <w:r>
          <w:rPr>
            <w:noProof/>
            <w:webHidden/>
          </w:rPr>
          <w:fldChar w:fldCharType="begin"/>
        </w:r>
        <w:r>
          <w:rPr>
            <w:noProof/>
            <w:webHidden/>
          </w:rPr>
          <w:instrText xml:space="preserve"> PAGEREF _Toc69878089 \h </w:instrText>
        </w:r>
        <w:r>
          <w:rPr>
            <w:noProof/>
            <w:webHidden/>
          </w:rPr>
        </w:r>
        <w:r>
          <w:rPr>
            <w:noProof/>
            <w:webHidden/>
          </w:rPr>
          <w:fldChar w:fldCharType="separate"/>
        </w:r>
        <w:r>
          <w:rPr>
            <w:noProof/>
            <w:webHidden/>
          </w:rPr>
          <w:t>132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90" w:history="1">
        <w:r w:rsidRPr="00CC53E5">
          <w:rPr>
            <w:rStyle w:val="Hyperlink"/>
            <w:noProof/>
          </w:rPr>
          <w:t>2.1.307</w:t>
        </w:r>
        <w:r>
          <w:rPr>
            <w:rFonts w:asciiTheme="minorHAnsi" w:eastAsiaTheme="minorEastAsia" w:hAnsiTheme="minorHAnsi" w:cstheme="minorBidi"/>
            <w:noProof/>
            <w:sz w:val="22"/>
            <w:szCs w:val="22"/>
          </w:rPr>
          <w:tab/>
        </w:r>
        <w:r w:rsidRPr="00CC53E5">
          <w:rPr>
            <w:rStyle w:val="Hyperlink"/>
            <w:noProof/>
          </w:rPr>
          <w:t>Part 1 Section 17.11.18, numFmt (Footnote Numbering Format)</w:t>
        </w:r>
        <w:r>
          <w:rPr>
            <w:noProof/>
            <w:webHidden/>
          </w:rPr>
          <w:tab/>
        </w:r>
        <w:r>
          <w:rPr>
            <w:noProof/>
            <w:webHidden/>
          </w:rPr>
          <w:fldChar w:fldCharType="begin"/>
        </w:r>
        <w:r>
          <w:rPr>
            <w:noProof/>
            <w:webHidden/>
          </w:rPr>
          <w:instrText xml:space="preserve"> PAGEREF _Toc69878090 \h </w:instrText>
        </w:r>
        <w:r>
          <w:rPr>
            <w:noProof/>
            <w:webHidden/>
          </w:rPr>
        </w:r>
        <w:r>
          <w:rPr>
            <w:noProof/>
            <w:webHidden/>
          </w:rPr>
          <w:fldChar w:fldCharType="separate"/>
        </w:r>
        <w:r>
          <w:rPr>
            <w:noProof/>
            <w:webHidden/>
          </w:rPr>
          <w:t>132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91" w:history="1">
        <w:r w:rsidRPr="00CC53E5">
          <w:rPr>
            <w:rStyle w:val="Hyperlink"/>
            <w:noProof/>
          </w:rPr>
          <w:t>2.1.308</w:t>
        </w:r>
        <w:r>
          <w:rPr>
            <w:rFonts w:asciiTheme="minorHAnsi" w:eastAsiaTheme="minorEastAsia" w:hAnsiTheme="minorHAnsi" w:cstheme="minorBidi"/>
            <w:noProof/>
            <w:sz w:val="22"/>
            <w:szCs w:val="22"/>
          </w:rPr>
          <w:tab/>
        </w:r>
        <w:r w:rsidRPr="00CC53E5">
          <w:rPr>
            <w:rStyle w:val="Hyperlink"/>
            <w:noProof/>
          </w:rPr>
          <w:t>Part 1 Section 17.11.20, numStart (Footnote and Endnote Numbering Starting Value)</w:t>
        </w:r>
        <w:r>
          <w:rPr>
            <w:noProof/>
            <w:webHidden/>
          </w:rPr>
          <w:tab/>
        </w:r>
        <w:r>
          <w:rPr>
            <w:noProof/>
            <w:webHidden/>
          </w:rPr>
          <w:fldChar w:fldCharType="begin"/>
        </w:r>
        <w:r>
          <w:rPr>
            <w:noProof/>
            <w:webHidden/>
          </w:rPr>
          <w:instrText xml:space="preserve"> PAGEREF _Toc69878091 \h </w:instrText>
        </w:r>
        <w:r>
          <w:rPr>
            <w:noProof/>
            <w:webHidden/>
          </w:rPr>
        </w:r>
        <w:r>
          <w:rPr>
            <w:noProof/>
            <w:webHidden/>
          </w:rPr>
          <w:fldChar w:fldCharType="separate"/>
        </w:r>
        <w:r>
          <w:rPr>
            <w:noProof/>
            <w:webHidden/>
          </w:rPr>
          <w:t>132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92" w:history="1">
        <w:r w:rsidRPr="00CC53E5">
          <w:rPr>
            <w:rStyle w:val="Hyperlink"/>
            <w:noProof/>
          </w:rPr>
          <w:t>2.1.309</w:t>
        </w:r>
        <w:r>
          <w:rPr>
            <w:rFonts w:asciiTheme="minorHAnsi" w:eastAsiaTheme="minorEastAsia" w:hAnsiTheme="minorHAnsi" w:cstheme="minorBidi"/>
            <w:noProof/>
            <w:sz w:val="22"/>
            <w:szCs w:val="22"/>
          </w:rPr>
          <w:tab/>
        </w:r>
        <w:r w:rsidRPr="00CC53E5">
          <w:rPr>
            <w:rStyle w:val="Hyperlink"/>
            <w:noProof/>
          </w:rPr>
          <w:t>Part 1 Section 17.11.21, pos (Footnote Placement)</w:t>
        </w:r>
        <w:r>
          <w:rPr>
            <w:noProof/>
            <w:webHidden/>
          </w:rPr>
          <w:tab/>
        </w:r>
        <w:r>
          <w:rPr>
            <w:noProof/>
            <w:webHidden/>
          </w:rPr>
          <w:fldChar w:fldCharType="begin"/>
        </w:r>
        <w:r>
          <w:rPr>
            <w:noProof/>
            <w:webHidden/>
          </w:rPr>
          <w:instrText xml:space="preserve"> PAGEREF _Toc69878092 \h </w:instrText>
        </w:r>
        <w:r>
          <w:rPr>
            <w:noProof/>
            <w:webHidden/>
          </w:rPr>
        </w:r>
        <w:r>
          <w:rPr>
            <w:noProof/>
            <w:webHidden/>
          </w:rPr>
          <w:fldChar w:fldCharType="separate"/>
        </w:r>
        <w:r>
          <w:rPr>
            <w:noProof/>
            <w:webHidden/>
          </w:rPr>
          <w:t>132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93" w:history="1">
        <w:r w:rsidRPr="00CC53E5">
          <w:rPr>
            <w:rStyle w:val="Hyperlink"/>
            <w:noProof/>
          </w:rPr>
          <w:t>2.1.310</w:t>
        </w:r>
        <w:r>
          <w:rPr>
            <w:rFonts w:asciiTheme="minorHAnsi" w:eastAsiaTheme="minorEastAsia" w:hAnsiTheme="minorHAnsi" w:cstheme="minorBidi"/>
            <w:noProof/>
            <w:sz w:val="22"/>
            <w:szCs w:val="22"/>
          </w:rPr>
          <w:tab/>
        </w:r>
        <w:r w:rsidRPr="00CC53E5">
          <w:rPr>
            <w:rStyle w:val="Hyperlink"/>
            <w:noProof/>
          </w:rPr>
          <w:t>Part 1 Section 17.12.6, docPartBody (Contents of Glossary Document Entry)</w:t>
        </w:r>
        <w:r>
          <w:rPr>
            <w:noProof/>
            <w:webHidden/>
          </w:rPr>
          <w:tab/>
        </w:r>
        <w:r>
          <w:rPr>
            <w:noProof/>
            <w:webHidden/>
          </w:rPr>
          <w:fldChar w:fldCharType="begin"/>
        </w:r>
        <w:r>
          <w:rPr>
            <w:noProof/>
            <w:webHidden/>
          </w:rPr>
          <w:instrText xml:space="preserve"> PAGEREF _Toc69878093 \h </w:instrText>
        </w:r>
        <w:r>
          <w:rPr>
            <w:noProof/>
            <w:webHidden/>
          </w:rPr>
        </w:r>
        <w:r>
          <w:rPr>
            <w:noProof/>
            <w:webHidden/>
          </w:rPr>
          <w:fldChar w:fldCharType="separate"/>
        </w:r>
        <w:r>
          <w:rPr>
            <w:noProof/>
            <w:webHidden/>
          </w:rPr>
          <w:t>132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94" w:history="1">
        <w:r w:rsidRPr="00CC53E5">
          <w:rPr>
            <w:rStyle w:val="Hyperlink"/>
            <w:noProof/>
          </w:rPr>
          <w:t>2.1.311</w:t>
        </w:r>
        <w:r>
          <w:rPr>
            <w:rFonts w:asciiTheme="minorHAnsi" w:eastAsiaTheme="minorEastAsia" w:hAnsiTheme="minorHAnsi" w:cstheme="minorBidi"/>
            <w:noProof/>
            <w:sz w:val="22"/>
            <w:szCs w:val="22"/>
          </w:rPr>
          <w:tab/>
        </w:r>
        <w:r w:rsidRPr="00CC53E5">
          <w:rPr>
            <w:rStyle w:val="Hyperlink"/>
            <w:noProof/>
          </w:rPr>
          <w:t>Part 1 Section 17.12.7, docPartPr (Glossary Document Entry Properties)</w:t>
        </w:r>
        <w:r>
          <w:rPr>
            <w:noProof/>
            <w:webHidden/>
          </w:rPr>
          <w:tab/>
        </w:r>
        <w:r>
          <w:rPr>
            <w:noProof/>
            <w:webHidden/>
          </w:rPr>
          <w:fldChar w:fldCharType="begin"/>
        </w:r>
        <w:r>
          <w:rPr>
            <w:noProof/>
            <w:webHidden/>
          </w:rPr>
          <w:instrText xml:space="preserve"> PAGEREF _Toc69878094 \h </w:instrText>
        </w:r>
        <w:r>
          <w:rPr>
            <w:noProof/>
            <w:webHidden/>
          </w:rPr>
        </w:r>
        <w:r>
          <w:rPr>
            <w:noProof/>
            <w:webHidden/>
          </w:rPr>
          <w:fldChar w:fldCharType="separate"/>
        </w:r>
        <w:r>
          <w:rPr>
            <w:noProof/>
            <w:webHidden/>
          </w:rPr>
          <w:t>132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95" w:history="1">
        <w:r w:rsidRPr="00CC53E5">
          <w:rPr>
            <w:rStyle w:val="Hyperlink"/>
            <w:noProof/>
          </w:rPr>
          <w:t>2.1.312</w:t>
        </w:r>
        <w:r>
          <w:rPr>
            <w:rFonts w:asciiTheme="minorHAnsi" w:eastAsiaTheme="minorEastAsia" w:hAnsiTheme="minorHAnsi" w:cstheme="minorBidi"/>
            <w:noProof/>
            <w:sz w:val="22"/>
            <w:szCs w:val="22"/>
          </w:rPr>
          <w:tab/>
        </w:r>
        <w:r w:rsidRPr="00CC53E5">
          <w:rPr>
            <w:rStyle w:val="Hyperlink"/>
            <w:noProof/>
          </w:rPr>
          <w:t>Part 1 Section 17.12.8, docParts (List of Glossary Document Entries)</w:t>
        </w:r>
        <w:r>
          <w:rPr>
            <w:noProof/>
            <w:webHidden/>
          </w:rPr>
          <w:tab/>
        </w:r>
        <w:r>
          <w:rPr>
            <w:noProof/>
            <w:webHidden/>
          </w:rPr>
          <w:fldChar w:fldCharType="begin"/>
        </w:r>
        <w:r>
          <w:rPr>
            <w:noProof/>
            <w:webHidden/>
          </w:rPr>
          <w:instrText xml:space="preserve"> PAGEREF _Toc69878095 \h </w:instrText>
        </w:r>
        <w:r>
          <w:rPr>
            <w:noProof/>
            <w:webHidden/>
          </w:rPr>
        </w:r>
        <w:r>
          <w:rPr>
            <w:noProof/>
            <w:webHidden/>
          </w:rPr>
          <w:fldChar w:fldCharType="separate"/>
        </w:r>
        <w:r>
          <w:rPr>
            <w:noProof/>
            <w:webHidden/>
          </w:rPr>
          <w:t>133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96" w:history="1">
        <w:r w:rsidRPr="00CC53E5">
          <w:rPr>
            <w:rStyle w:val="Hyperlink"/>
            <w:noProof/>
          </w:rPr>
          <w:t>2.1.313</w:t>
        </w:r>
        <w:r>
          <w:rPr>
            <w:rFonts w:asciiTheme="minorHAnsi" w:eastAsiaTheme="minorEastAsia" w:hAnsiTheme="minorHAnsi" w:cstheme="minorBidi"/>
            <w:noProof/>
            <w:sz w:val="22"/>
            <w:szCs w:val="22"/>
          </w:rPr>
          <w:tab/>
        </w:r>
        <w:r w:rsidRPr="00CC53E5">
          <w:rPr>
            <w:rStyle w:val="Hyperlink"/>
            <w:noProof/>
          </w:rPr>
          <w:t>Part 1 Section 17.13.4.2, comment (Comment Content)</w:t>
        </w:r>
        <w:r>
          <w:rPr>
            <w:noProof/>
            <w:webHidden/>
          </w:rPr>
          <w:tab/>
        </w:r>
        <w:r>
          <w:rPr>
            <w:noProof/>
            <w:webHidden/>
          </w:rPr>
          <w:fldChar w:fldCharType="begin"/>
        </w:r>
        <w:r>
          <w:rPr>
            <w:noProof/>
            <w:webHidden/>
          </w:rPr>
          <w:instrText xml:space="preserve"> PAGEREF _Toc69878096 \h </w:instrText>
        </w:r>
        <w:r>
          <w:rPr>
            <w:noProof/>
            <w:webHidden/>
          </w:rPr>
        </w:r>
        <w:r>
          <w:rPr>
            <w:noProof/>
            <w:webHidden/>
          </w:rPr>
          <w:fldChar w:fldCharType="separate"/>
        </w:r>
        <w:r>
          <w:rPr>
            <w:noProof/>
            <w:webHidden/>
          </w:rPr>
          <w:t>133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97" w:history="1">
        <w:r w:rsidRPr="00CC53E5">
          <w:rPr>
            <w:rStyle w:val="Hyperlink"/>
            <w:noProof/>
          </w:rPr>
          <w:t>2.1.314</w:t>
        </w:r>
        <w:r>
          <w:rPr>
            <w:rFonts w:asciiTheme="minorHAnsi" w:eastAsiaTheme="minorEastAsia" w:hAnsiTheme="minorHAnsi" w:cstheme="minorBidi"/>
            <w:noProof/>
            <w:sz w:val="22"/>
            <w:szCs w:val="22"/>
          </w:rPr>
          <w:tab/>
        </w:r>
        <w:r w:rsidRPr="00CC53E5">
          <w:rPr>
            <w:rStyle w:val="Hyperlink"/>
            <w:noProof/>
          </w:rPr>
          <w:t>Part 1 Section 17.13.4.3, commentRangeEnd (Comment Anchor Range End)</w:t>
        </w:r>
        <w:r>
          <w:rPr>
            <w:noProof/>
            <w:webHidden/>
          </w:rPr>
          <w:tab/>
        </w:r>
        <w:r>
          <w:rPr>
            <w:noProof/>
            <w:webHidden/>
          </w:rPr>
          <w:fldChar w:fldCharType="begin"/>
        </w:r>
        <w:r>
          <w:rPr>
            <w:noProof/>
            <w:webHidden/>
          </w:rPr>
          <w:instrText xml:space="preserve"> PAGEREF _Toc69878097 \h </w:instrText>
        </w:r>
        <w:r>
          <w:rPr>
            <w:noProof/>
            <w:webHidden/>
          </w:rPr>
        </w:r>
        <w:r>
          <w:rPr>
            <w:noProof/>
            <w:webHidden/>
          </w:rPr>
          <w:fldChar w:fldCharType="separate"/>
        </w:r>
        <w:r>
          <w:rPr>
            <w:noProof/>
            <w:webHidden/>
          </w:rPr>
          <w:t>134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98" w:history="1">
        <w:r w:rsidRPr="00CC53E5">
          <w:rPr>
            <w:rStyle w:val="Hyperlink"/>
            <w:noProof/>
          </w:rPr>
          <w:t>2.1.315</w:t>
        </w:r>
        <w:r>
          <w:rPr>
            <w:rFonts w:asciiTheme="minorHAnsi" w:eastAsiaTheme="minorEastAsia" w:hAnsiTheme="minorHAnsi" w:cstheme="minorBidi"/>
            <w:noProof/>
            <w:sz w:val="22"/>
            <w:szCs w:val="22"/>
          </w:rPr>
          <w:tab/>
        </w:r>
        <w:r w:rsidRPr="00CC53E5">
          <w:rPr>
            <w:rStyle w:val="Hyperlink"/>
            <w:noProof/>
          </w:rPr>
          <w:t>Part 1 Section 17.13.4.4, commentRangeStart (Comment Anchor Range Start)</w:t>
        </w:r>
        <w:r>
          <w:rPr>
            <w:noProof/>
            <w:webHidden/>
          </w:rPr>
          <w:tab/>
        </w:r>
        <w:r>
          <w:rPr>
            <w:noProof/>
            <w:webHidden/>
          </w:rPr>
          <w:fldChar w:fldCharType="begin"/>
        </w:r>
        <w:r>
          <w:rPr>
            <w:noProof/>
            <w:webHidden/>
          </w:rPr>
          <w:instrText xml:space="preserve"> PAGEREF _Toc69878098 \h </w:instrText>
        </w:r>
        <w:r>
          <w:rPr>
            <w:noProof/>
            <w:webHidden/>
          </w:rPr>
        </w:r>
        <w:r>
          <w:rPr>
            <w:noProof/>
            <w:webHidden/>
          </w:rPr>
          <w:fldChar w:fldCharType="separate"/>
        </w:r>
        <w:r>
          <w:rPr>
            <w:noProof/>
            <w:webHidden/>
          </w:rPr>
          <w:t>135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099" w:history="1">
        <w:r w:rsidRPr="00CC53E5">
          <w:rPr>
            <w:rStyle w:val="Hyperlink"/>
            <w:noProof/>
          </w:rPr>
          <w:t>2.1.316</w:t>
        </w:r>
        <w:r>
          <w:rPr>
            <w:rFonts w:asciiTheme="minorHAnsi" w:eastAsiaTheme="minorEastAsia" w:hAnsiTheme="minorHAnsi" w:cstheme="minorBidi"/>
            <w:noProof/>
            <w:sz w:val="22"/>
            <w:szCs w:val="22"/>
          </w:rPr>
          <w:tab/>
        </w:r>
        <w:r w:rsidRPr="00CC53E5">
          <w:rPr>
            <w:rStyle w:val="Hyperlink"/>
            <w:noProof/>
          </w:rPr>
          <w:t>Part 1 Section 17.13.4.5, commentReference (Comment Content Reference Mark)</w:t>
        </w:r>
        <w:r>
          <w:rPr>
            <w:noProof/>
            <w:webHidden/>
          </w:rPr>
          <w:tab/>
        </w:r>
        <w:r>
          <w:rPr>
            <w:noProof/>
            <w:webHidden/>
          </w:rPr>
          <w:fldChar w:fldCharType="begin"/>
        </w:r>
        <w:r>
          <w:rPr>
            <w:noProof/>
            <w:webHidden/>
          </w:rPr>
          <w:instrText xml:space="preserve"> PAGEREF _Toc69878099 \h </w:instrText>
        </w:r>
        <w:r>
          <w:rPr>
            <w:noProof/>
            <w:webHidden/>
          </w:rPr>
        </w:r>
        <w:r>
          <w:rPr>
            <w:noProof/>
            <w:webHidden/>
          </w:rPr>
          <w:fldChar w:fldCharType="separate"/>
        </w:r>
        <w:r>
          <w:rPr>
            <w:noProof/>
            <w:webHidden/>
          </w:rPr>
          <w:t>135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00" w:history="1">
        <w:r w:rsidRPr="00CC53E5">
          <w:rPr>
            <w:rStyle w:val="Hyperlink"/>
            <w:noProof/>
          </w:rPr>
          <w:t>2.1.317</w:t>
        </w:r>
        <w:r>
          <w:rPr>
            <w:rFonts w:asciiTheme="minorHAnsi" w:eastAsiaTheme="minorEastAsia" w:hAnsiTheme="minorHAnsi" w:cstheme="minorBidi"/>
            <w:noProof/>
            <w:sz w:val="22"/>
            <w:szCs w:val="22"/>
          </w:rPr>
          <w:tab/>
        </w:r>
        <w:r w:rsidRPr="00CC53E5">
          <w:rPr>
            <w:rStyle w:val="Hyperlink"/>
            <w:noProof/>
          </w:rPr>
          <w:t>Part 1 Section 17.13.5.1, cellDel (Table Cell Deletion)</w:t>
        </w:r>
        <w:r>
          <w:rPr>
            <w:noProof/>
            <w:webHidden/>
          </w:rPr>
          <w:tab/>
        </w:r>
        <w:r>
          <w:rPr>
            <w:noProof/>
            <w:webHidden/>
          </w:rPr>
          <w:fldChar w:fldCharType="begin"/>
        </w:r>
        <w:r>
          <w:rPr>
            <w:noProof/>
            <w:webHidden/>
          </w:rPr>
          <w:instrText xml:space="preserve"> PAGEREF _Toc69878100 \h </w:instrText>
        </w:r>
        <w:r>
          <w:rPr>
            <w:noProof/>
            <w:webHidden/>
          </w:rPr>
        </w:r>
        <w:r>
          <w:rPr>
            <w:noProof/>
            <w:webHidden/>
          </w:rPr>
          <w:fldChar w:fldCharType="separate"/>
        </w:r>
        <w:r>
          <w:rPr>
            <w:noProof/>
            <w:webHidden/>
          </w:rPr>
          <w:t>135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01" w:history="1">
        <w:r w:rsidRPr="00CC53E5">
          <w:rPr>
            <w:rStyle w:val="Hyperlink"/>
            <w:noProof/>
          </w:rPr>
          <w:t>2.1.318</w:t>
        </w:r>
        <w:r>
          <w:rPr>
            <w:rFonts w:asciiTheme="minorHAnsi" w:eastAsiaTheme="minorEastAsia" w:hAnsiTheme="minorHAnsi" w:cstheme="minorBidi"/>
            <w:noProof/>
            <w:sz w:val="22"/>
            <w:szCs w:val="22"/>
          </w:rPr>
          <w:tab/>
        </w:r>
        <w:r w:rsidRPr="00CC53E5">
          <w:rPr>
            <w:rStyle w:val="Hyperlink"/>
            <w:noProof/>
          </w:rPr>
          <w:t>Part 1 Section 17.13.5.2, cellIns (Table Cell Insertion)</w:t>
        </w:r>
        <w:r>
          <w:rPr>
            <w:noProof/>
            <w:webHidden/>
          </w:rPr>
          <w:tab/>
        </w:r>
        <w:r>
          <w:rPr>
            <w:noProof/>
            <w:webHidden/>
          </w:rPr>
          <w:fldChar w:fldCharType="begin"/>
        </w:r>
        <w:r>
          <w:rPr>
            <w:noProof/>
            <w:webHidden/>
          </w:rPr>
          <w:instrText xml:space="preserve"> PAGEREF _Toc69878101 \h </w:instrText>
        </w:r>
        <w:r>
          <w:rPr>
            <w:noProof/>
            <w:webHidden/>
          </w:rPr>
        </w:r>
        <w:r>
          <w:rPr>
            <w:noProof/>
            <w:webHidden/>
          </w:rPr>
          <w:fldChar w:fldCharType="separate"/>
        </w:r>
        <w:r>
          <w:rPr>
            <w:noProof/>
            <w:webHidden/>
          </w:rPr>
          <w:t>135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02" w:history="1">
        <w:r w:rsidRPr="00CC53E5">
          <w:rPr>
            <w:rStyle w:val="Hyperlink"/>
            <w:noProof/>
          </w:rPr>
          <w:t>2.1.319</w:t>
        </w:r>
        <w:r>
          <w:rPr>
            <w:rFonts w:asciiTheme="minorHAnsi" w:eastAsiaTheme="minorEastAsia" w:hAnsiTheme="minorHAnsi" w:cstheme="minorBidi"/>
            <w:noProof/>
            <w:sz w:val="22"/>
            <w:szCs w:val="22"/>
          </w:rPr>
          <w:tab/>
        </w:r>
        <w:r w:rsidRPr="00CC53E5">
          <w:rPr>
            <w:rStyle w:val="Hyperlink"/>
            <w:noProof/>
          </w:rPr>
          <w:t>Part 1 Section 17.13.5.3, cellMerge (Vertically Merged/Split Table Cells)</w:t>
        </w:r>
        <w:r>
          <w:rPr>
            <w:noProof/>
            <w:webHidden/>
          </w:rPr>
          <w:tab/>
        </w:r>
        <w:r>
          <w:rPr>
            <w:noProof/>
            <w:webHidden/>
          </w:rPr>
          <w:fldChar w:fldCharType="begin"/>
        </w:r>
        <w:r>
          <w:rPr>
            <w:noProof/>
            <w:webHidden/>
          </w:rPr>
          <w:instrText xml:space="preserve"> PAGEREF _Toc69878102 \h </w:instrText>
        </w:r>
        <w:r>
          <w:rPr>
            <w:noProof/>
            <w:webHidden/>
          </w:rPr>
        </w:r>
        <w:r>
          <w:rPr>
            <w:noProof/>
            <w:webHidden/>
          </w:rPr>
          <w:fldChar w:fldCharType="separate"/>
        </w:r>
        <w:r>
          <w:rPr>
            <w:noProof/>
            <w:webHidden/>
          </w:rPr>
          <w:t>136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03" w:history="1">
        <w:r w:rsidRPr="00CC53E5">
          <w:rPr>
            <w:rStyle w:val="Hyperlink"/>
            <w:noProof/>
          </w:rPr>
          <w:t>2.1.320</w:t>
        </w:r>
        <w:r>
          <w:rPr>
            <w:rFonts w:asciiTheme="minorHAnsi" w:eastAsiaTheme="minorEastAsia" w:hAnsiTheme="minorHAnsi" w:cstheme="minorBidi"/>
            <w:noProof/>
            <w:sz w:val="22"/>
            <w:szCs w:val="22"/>
          </w:rPr>
          <w:tab/>
        </w:r>
        <w:r w:rsidRPr="00CC53E5">
          <w:rPr>
            <w:rStyle w:val="Hyperlink"/>
            <w:noProof/>
          </w:rPr>
          <w:t>Part 1 Section 17.13.5.4, customXmlDelRangeEnd (Custom XML Markup Deletion End)</w:t>
        </w:r>
        <w:r>
          <w:rPr>
            <w:noProof/>
            <w:webHidden/>
          </w:rPr>
          <w:tab/>
        </w:r>
        <w:r>
          <w:rPr>
            <w:noProof/>
            <w:webHidden/>
          </w:rPr>
          <w:fldChar w:fldCharType="begin"/>
        </w:r>
        <w:r>
          <w:rPr>
            <w:noProof/>
            <w:webHidden/>
          </w:rPr>
          <w:instrText xml:space="preserve"> PAGEREF _Toc69878103 \h </w:instrText>
        </w:r>
        <w:r>
          <w:rPr>
            <w:noProof/>
            <w:webHidden/>
          </w:rPr>
        </w:r>
        <w:r>
          <w:rPr>
            <w:noProof/>
            <w:webHidden/>
          </w:rPr>
          <w:fldChar w:fldCharType="separate"/>
        </w:r>
        <w:r>
          <w:rPr>
            <w:noProof/>
            <w:webHidden/>
          </w:rPr>
          <w:t>136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04" w:history="1">
        <w:r w:rsidRPr="00CC53E5">
          <w:rPr>
            <w:rStyle w:val="Hyperlink"/>
            <w:noProof/>
          </w:rPr>
          <w:t>2.1.321</w:t>
        </w:r>
        <w:r>
          <w:rPr>
            <w:rFonts w:asciiTheme="minorHAnsi" w:eastAsiaTheme="minorEastAsia" w:hAnsiTheme="minorHAnsi" w:cstheme="minorBidi"/>
            <w:noProof/>
            <w:sz w:val="22"/>
            <w:szCs w:val="22"/>
          </w:rPr>
          <w:tab/>
        </w:r>
        <w:r w:rsidRPr="00CC53E5">
          <w:rPr>
            <w:rStyle w:val="Hyperlink"/>
            <w:noProof/>
          </w:rPr>
          <w:t>Part 1 Section 17.13.5.5, customXmlDelRangeStart (Custom XML Markup Deletion Start)</w:t>
        </w:r>
        <w:r>
          <w:rPr>
            <w:noProof/>
            <w:webHidden/>
          </w:rPr>
          <w:tab/>
        </w:r>
        <w:r>
          <w:rPr>
            <w:noProof/>
            <w:webHidden/>
          </w:rPr>
          <w:fldChar w:fldCharType="begin"/>
        </w:r>
        <w:r>
          <w:rPr>
            <w:noProof/>
            <w:webHidden/>
          </w:rPr>
          <w:instrText xml:space="preserve"> PAGEREF _Toc69878104 \h </w:instrText>
        </w:r>
        <w:r>
          <w:rPr>
            <w:noProof/>
            <w:webHidden/>
          </w:rPr>
        </w:r>
        <w:r>
          <w:rPr>
            <w:noProof/>
            <w:webHidden/>
          </w:rPr>
          <w:fldChar w:fldCharType="separate"/>
        </w:r>
        <w:r>
          <w:rPr>
            <w:noProof/>
            <w:webHidden/>
          </w:rPr>
          <w:t>136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05" w:history="1">
        <w:r w:rsidRPr="00CC53E5">
          <w:rPr>
            <w:rStyle w:val="Hyperlink"/>
            <w:noProof/>
          </w:rPr>
          <w:t>2.1.322</w:t>
        </w:r>
        <w:r>
          <w:rPr>
            <w:rFonts w:asciiTheme="minorHAnsi" w:eastAsiaTheme="minorEastAsia" w:hAnsiTheme="minorHAnsi" w:cstheme="minorBidi"/>
            <w:noProof/>
            <w:sz w:val="22"/>
            <w:szCs w:val="22"/>
          </w:rPr>
          <w:tab/>
        </w:r>
        <w:r w:rsidRPr="00CC53E5">
          <w:rPr>
            <w:rStyle w:val="Hyperlink"/>
            <w:noProof/>
          </w:rPr>
          <w:t>Part 1 Section 17.13.5.6, customXmlInsRangeEnd (Custom XML Markup Insertion End)</w:t>
        </w:r>
        <w:r>
          <w:rPr>
            <w:noProof/>
            <w:webHidden/>
          </w:rPr>
          <w:tab/>
        </w:r>
        <w:r>
          <w:rPr>
            <w:noProof/>
            <w:webHidden/>
          </w:rPr>
          <w:fldChar w:fldCharType="begin"/>
        </w:r>
        <w:r>
          <w:rPr>
            <w:noProof/>
            <w:webHidden/>
          </w:rPr>
          <w:instrText xml:space="preserve"> PAGEREF _Toc69878105 \h </w:instrText>
        </w:r>
        <w:r>
          <w:rPr>
            <w:noProof/>
            <w:webHidden/>
          </w:rPr>
        </w:r>
        <w:r>
          <w:rPr>
            <w:noProof/>
            <w:webHidden/>
          </w:rPr>
          <w:fldChar w:fldCharType="separate"/>
        </w:r>
        <w:r>
          <w:rPr>
            <w:noProof/>
            <w:webHidden/>
          </w:rPr>
          <w:t>136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06" w:history="1">
        <w:r w:rsidRPr="00CC53E5">
          <w:rPr>
            <w:rStyle w:val="Hyperlink"/>
            <w:noProof/>
          </w:rPr>
          <w:t>2.1.323</w:t>
        </w:r>
        <w:r>
          <w:rPr>
            <w:rFonts w:asciiTheme="minorHAnsi" w:eastAsiaTheme="minorEastAsia" w:hAnsiTheme="minorHAnsi" w:cstheme="minorBidi"/>
            <w:noProof/>
            <w:sz w:val="22"/>
            <w:szCs w:val="22"/>
          </w:rPr>
          <w:tab/>
        </w:r>
        <w:r w:rsidRPr="00CC53E5">
          <w:rPr>
            <w:rStyle w:val="Hyperlink"/>
            <w:noProof/>
          </w:rPr>
          <w:t>Part 1 Section 17.13.5.7, customXmlInsRangeStart (Custom XML Markup Insertion Start)</w:t>
        </w:r>
        <w:r>
          <w:rPr>
            <w:noProof/>
            <w:webHidden/>
          </w:rPr>
          <w:tab/>
        </w:r>
        <w:r>
          <w:rPr>
            <w:noProof/>
            <w:webHidden/>
          </w:rPr>
          <w:fldChar w:fldCharType="begin"/>
        </w:r>
        <w:r>
          <w:rPr>
            <w:noProof/>
            <w:webHidden/>
          </w:rPr>
          <w:instrText xml:space="preserve"> PAGEREF _Toc69878106 \h </w:instrText>
        </w:r>
        <w:r>
          <w:rPr>
            <w:noProof/>
            <w:webHidden/>
          </w:rPr>
        </w:r>
        <w:r>
          <w:rPr>
            <w:noProof/>
            <w:webHidden/>
          </w:rPr>
          <w:fldChar w:fldCharType="separate"/>
        </w:r>
        <w:r>
          <w:rPr>
            <w:noProof/>
            <w:webHidden/>
          </w:rPr>
          <w:t>137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07" w:history="1">
        <w:r w:rsidRPr="00CC53E5">
          <w:rPr>
            <w:rStyle w:val="Hyperlink"/>
            <w:noProof/>
          </w:rPr>
          <w:t>2.1.324</w:t>
        </w:r>
        <w:r>
          <w:rPr>
            <w:rFonts w:asciiTheme="minorHAnsi" w:eastAsiaTheme="minorEastAsia" w:hAnsiTheme="minorHAnsi" w:cstheme="minorBidi"/>
            <w:noProof/>
            <w:sz w:val="22"/>
            <w:szCs w:val="22"/>
          </w:rPr>
          <w:tab/>
        </w:r>
        <w:r w:rsidRPr="00CC53E5">
          <w:rPr>
            <w:rStyle w:val="Hyperlink"/>
            <w:noProof/>
          </w:rPr>
          <w:t>Part 1 Section 17.13.5.8, customXmlMoveFromRangeEnd (Custom XML Markup Move Source End)</w:t>
        </w:r>
        <w:r>
          <w:rPr>
            <w:noProof/>
            <w:webHidden/>
          </w:rPr>
          <w:tab/>
        </w:r>
        <w:r>
          <w:rPr>
            <w:noProof/>
            <w:webHidden/>
          </w:rPr>
          <w:fldChar w:fldCharType="begin"/>
        </w:r>
        <w:r>
          <w:rPr>
            <w:noProof/>
            <w:webHidden/>
          </w:rPr>
          <w:instrText xml:space="preserve"> PAGEREF _Toc69878107 \h </w:instrText>
        </w:r>
        <w:r>
          <w:rPr>
            <w:noProof/>
            <w:webHidden/>
          </w:rPr>
        </w:r>
        <w:r>
          <w:rPr>
            <w:noProof/>
            <w:webHidden/>
          </w:rPr>
          <w:fldChar w:fldCharType="separate"/>
        </w:r>
        <w:r>
          <w:rPr>
            <w:noProof/>
            <w:webHidden/>
          </w:rPr>
          <w:t>137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08" w:history="1">
        <w:r w:rsidRPr="00CC53E5">
          <w:rPr>
            <w:rStyle w:val="Hyperlink"/>
            <w:noProof/>
          </w:rPr>
          <w:t>2.1.325</w:t>
        </w:r>
        <w:r>
          <w:rPr>
            <w:rFonts w:asciiTheme="minorHAnsi" w:eastAsiaTheme="minorEastAsia" w:hAnsiTheme="minorHAnsi" w:cstheme="minorBidi"/>
            <w:noProof/>
            <w:sz w:val="22"/>
            <w:szCs w:val="22"/>
          </w:rPr>
          <w:tab/>
        </w:r>
        <w:r w:rsidRPr="00CC53E5">
          <w:rPr>
            <w:rStyle w:val="Hyperlink"/>
            <w:noProof/>
          </w:rPr>
          <w:t>Part 1 Section 17.13.5.9, customXmlMoveFromRangeStart (Custom XML Markup Move Source Start)</w:t>
        </w:r>
        <w:r>
          <w:rPr>
            <w:noProof/>
            <w:webHidden/>
          </w:rPr>
          <w:tab/>
        </w:r>
        <w:r>
          <w:rPr>
            <w:noProof/>
            <w:webHidden/>
          </w:rPr>
          <w:fldChar w:fldCharType="begin"/>
        </w:r>
        <w:r>
          <w:rPr>
            <w:noProof/>
            <w:webHidden/>
          </w:rPr>
          <w:instrText xml:space="preserve"> PAGEREF _Toc69878108 \h </w:instrText>
        </w:r>
        <w:r>
          <w:rPr>
            <w:noProof/>
            <w:webHidden/>
          </w:rPr>
        </w:r>
        <w:r>
          <w:rPr>
            <w:noProof/>
            <w:webHidden/>
          </w:rPr>
          <w:fldChar w:fldCharType="separate"/>
        </w:r>
        <w:r>
          <w:rPr>
            <w:noProof/>
            <w:webHidden/>
          </w:rPr>
          <w:t>137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09" w:history="1">
        <w:r w:rsidRPr="00CC53E5">
          <w:rPr>
            <w:rStyle w:val="Hyperlink"/>
            <w:noProof/>
          </w:rPr>
          <w:t>2.1.326</w:t>
        </w:r>
        <w:r>
          <w:rPr>
            <w:rFonts w:asciiTheme="minorHAnsi" w:eastAsiaTheme="minorEastAsia" w:hAnsiTheme="minorHAnsi" w:cstheme="minorBidi"/>
            <w:noProof/>
            <w:sz w:val="22"/>
            <w:szCs w:val="22"/>
          </w:rPr>
          <w:tab/>
        </w:r>
        <w:r w:rsidRPr="00CC53E5">
          <w:rPr>
            <w:rStyle w:val="Hyperlink"/>
            <w:noProof/>
          </w:rPr>
          <w:t>Part 1 Section 17.13.5.10, customXmlMoveToRangeEnd (Custom XML Markup Move Destination Location End)</w:t>
        </w:r>
        <w:r>
          <w:rPr>
            <w:noProof/>
            <w:webHidden/>
          </w:rPr>
          <w:tab/>
        </w:r>
        <w:r>
          <w:rPr>
            <w:noProof/>
            <w:webHidden/>
          </w:rPr>
          <w:fldChar w:fldCharType="begin"/>
        </w:r>
        <w:r>
          <w:rPr>
            <w:noProof/>
            <w:webHidden/>
          </w:rPr>
          <w:instrText xml:space="preserve"> PAGEREF _Toc69878109 \h </w:instrText>
        </w:r>
        <w:r>
          <w:rPr>
            <w:noProof/>
            <w:webHidden/>
          </w:rPr>
        </w:r>
        <w:r>
          <w:rPr>
            <w:noProof/>
            <w:webHidden/>
          </w:rPr>
          <w:fldChar w:fldCharType="separate"/>
        </w:r>
        <w:r>
          <w:rPr>
            <w:noProof/>
            <w:webHidden/>
          </w:rPr>
          <w:t>138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10" w:history="1">
        <w:r w:rsidRPr="00CC53E5">
          <w:rPr>
            <w:rStyle w:val="Hyperlink"/>
            <w:noProof/>
          </w:rPr>
          <w:t>2.1.327</w:t>
        </w:r>
        <w:r>
          <w:rPr>
            <w:rFonts w:asciiTheme="minorHAnsi" w:eastAsiaTheme="minorEastAsia" w:hAnsiTheme="minorHAnsi" w:cstheme="minorBidi"/>
            <w:noProof/>
            <w:sz w:val="22"/>
            <w:szCs w:val="22"/>
          </w:rPr>
          <w:tab/>
        </w:r>
        <w:r w:rsidRPr="00CC53E5">
          <w:rPr>
            <w:rStyle w:val="Hyperlink"/>
            <w:noProof/>
          </w:rPr>
          <w:t>Part 1 Section 17.13.5.11, customXmlMoveToRangeStart (Custom XML Markup Move Destination Location Start)</w:t>
        </w:r>
        <w:r>
          <w:rPr>
            <w:noProof/>
            <w:webHidden/>
          </w:rPr>
          <w:tab/>
        </w:r>
        <w:r>
          <w:rPr>
            <w:noProof/>
            <w:webHidden/>
          </w:rPr>
          <w:fldChar w:fldCharType="begin"/>
        </w:r>
        <w:r>
          <w:rPr>
            <w:noProof/>
            <w:webHidden/>
          </w:rPr>
          <w:instrText xml:space="preserve"> PAGEREF _Toc69878110 \h </w:instrText>
        </w:r>
        <w:r>
          <w:rPr>
            <w:noProof/>
            <w:webHidden/>
          </w:rPr>
        </w:r>
        <w:r>
          <w:rPr>
            <w:noProof/>
            <w:webHidden/>
          </w:rPr>
          <w:fldChar w:fldCharType="separate"/>
        </w:r>
        <w:r>
          <w:rPr>
            <w:noProof/>
            <w:webHidden/>
          </w:rPr>
          <w:t>138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11" w:history="1">
        <w:r w:rsidRPr="00CC53E5">
          <w:rPr>
            <w:rStyle w:val="Hyperlink"/>
            <w:noProof/>
          </w:rPr>
          <w:t>2.1.328</w:t>
        </w:r>
        <w:r>
          <w:rPr>
            <w:rFonts w:asciiTheme="minorHAnsi" w:eastAsiaTheme="minorEastAsia" w:hAnsiTheme="minorHAnsi" w:cstheme="minorBidi"/>
            <w:noProof/>
            <w:sz w:val="22"/>
            <w:szCs w:val="22"/>
          </w:rPr>
          <w:tab/>
        </w:r>
        <w:r w:rsidRPr="00CC53E5">
          <w:rPr>
            <w:rStyle w:val="Hyperlink"/>
            <w:noProof/>
          </w:rPr>
          <w:t>Part 1 Section 17.13.5.12, del (Deleted Table Row)</w:t>
        </w:r>
        <w:r>
          <w:rPr>
            <w:noProof/>
            <w:webHidden/>
          </w:rPr>
          <w:tab/>
        </w:r>
        <w:r>
          <w:rPr>
            <w:noProof/>
            <w:webHidden/>
          </w:rPr>
          <w:fldChar w:fldCharType="begin"/>
        </w:r>
        <w:r>
          <w:rPr>
            <w:noProof/>
            <w:webHidden/>
          </w:rPr>
          <w:instrText xml:space="preserve"> PAGEREF _Toc69878111 \h </w:instrText>
        </w:r>
        <w:r>
          <w:rPr>
            <w:noProof/>
            <w:webHidden/>
          </w:rPr>
        </w:r>
        <w:r>
          <w:rPr>
            <w:noProof/>
            <w:webHidden/>
          </w:rPr>
          <w:fldChar w:fldCharType="separate"/>
        </w:r>
        <w:r>
          <w:rPr>
            <w:noProof/>
            <w:webHidden/>
          </w:rPr>
          <w:t>139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12" w:history="1">
        <w:r w:rsidRPr="00CC53E5">
          <w:rPr>
            <w:rStyle w:val="Hyperlink"/>
            <w:noProof/>
          </w:rPr>
          <w:t>2.1.329</w:t>
        </w:r>
        <w:r>
          <w:rPr>
            <w:rFonts w:asciiTheme="minorHAnsi" w:eastAsiaTheme="minorEastAsia" w:hAnsiTheme="minorHAnsi" w:cstheme="minorBidi"/>
            <w:noProof/>
            <w:sz w:val="22"/>
            <w:szCs w:val="22"/>
          </w:rPr>
          <w:tab/>
        </w:r>
        <w:r w:rsidRPr="00CC53E5">
          <w:rPr>
            <w:rStyle w:val="Hyperlink"/>
            <w:noProof/>
          </w:rPr>
          <w:t>Part 1 Section 17.13.5.13, del (Deleted Math Control Character)</w:t>
        </w:r>
        <w:r>
          <w:rPr>
            <w:noProof/>
            <w:webHidden/>
          </w:rPr>
          <w:tab/>
        </w:r>
        <w:r>
          <w:rPr>
            <w:noProof/>
            <w:webHidden/>
          </w:rPr>
          <w:fldChar w:fldCharType="begin"/>
        </w:r>
        <w:r>
          <w:rPr>
            <w:noProof/>
            <w:webHidden/>
          </w:rPr>
          <w:instrText xml:space="preserve"> PAGEREF _Toc69878112 \h </w:instrText>
        </w:r>
        <w:r>
          <w:rPr>
            <w:noProof/>
            <w:webHidden/>
          </w:rPr>
        </w:r>
        <w:r>
          <w:rPr>
            <w:noProof/>
            <w:webHidden/>
          </w:rPr>
          <w:fldChar w:fldCharType="separate"/>
        </w:r>
        <w:r>
          <w:rPr>
            <w:noProof/>
            <w:webHidden/>
          </w:rPr>
          <w:t>139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13" w:history="1">
        <w:r w:rsidRPr="00CC53E5">
          <w:rPr>
            <w:rStyle w:val="Hyperlink"/>
            <w:noProof/>
          </w:rPr>
          <w:t>2.1.330</w:t>
        </w:r>
        <w:r>
          <w:rPr>
            <w:rFonts w:asciiTheme="minorHAnsi" w:eastAsiaTheme="minorEastAsia" w:hAnsiTheme="minorHAnsi" w:cstheme="minorBidi"/>
            <w:noProof/>
            <w:sz w:val="22"/>
            <w:szCs w:val="22"/>
          </w:rPr>
          <w:tab/>
        </w:r>
        <w:r w:rsidRPr="00CC53E5">
          <w:rPr>
            <w:rStyle w:val="Hyperlink"/>
            <w:noProof/>
          </w:rPr>
          <w:t>Part 1 Section 17.13.5.14, del (Deleted Run Content)</w:t>
        </w:r>
        <w:r>
          <w:rPr>
            <w:noProof/>
            <w:webHidden/>
          </w:rPr>
          <w:tab/>
        </w:r>
        <w:r>
          <w:rPr>
            <w:noProof/>
            <w:webHidden/>
          </w:rPr>
          <w:fldChar w:fldCharType="begin"/>
        </w:r>
        <w:r>
          <w:rPr>
            <w:noProof/>
            <w:webHidden/>
          </w:rPr>
          <w:instrText xml:space="preserve"> PAGEREF _Toc69878113 \h </w:instrText>
        </w:r>
        <w:r>
          <w:rPr>
            <w:noProof/>
            <w:webHidden/>
          </w:rPr>
        </w:r>
        <w:r>
          <w:rPr>
            <w:noProof/>
            <w:webHidden/>
          </w:rPr>
          <w:fldChar w:fldCharType="separate"/>
        </w:r>
        <w:r>
          <w:rPr>
            <w:noProof/>
            <w:webHidden/>
          </w:rPr>
          <w:t>139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14" w:history="1">
        <w:r w:rsidRPr="00CC53E5">
          <w:rPr>
            <w:rStyle w:val="Hyperlink"/>
            <w:noProof/>
          </w:rPr>
          <w:t>2.1.331</w:t>
        </w:r>
        <w:r>
          <w:rPr>
            <w:rFonts w:asciiTheme="minorHAnsi" w:eastAsiaTheme="minorEastAsia" w:hAnsiTheme="minorHAnsi" w:cstheme="minorBidi"/>
            <w:noProof/>
            <w:sz w:val="22"/>
            <w:szCs w:val="22"/>
          </w:rPr>
          <w:tab/>
        </w:r>
        <w:r w:rsidRPr="00CC53E5">
          <w:rPr>
            <w:rStyle w:val="Hyperlink"/>
            <w:noProof/>
          </w:rPr>
          <w:t>Part 1 Section 17.13.5.15, del (Deleted Paragraph)</w:t>
        </w:r>
        <w:r>
          <w:rPr>
            <w:noProof/>
            <w:webHidden/>
          </w:rPr>
          <w:tab/>
        </w:r>
        <w:r>
          <w:rPr>
            <w:noProof/>
            <w:webHidden/>
          </w:rPr>
          <w:fldChar w:fldCharType="begin"/>
        </w:r>
        <w:r>
          <w:rPr>
            <w:noProof/>
            <w:webHidden/>
          </w:rPr>
          <w:instrText xml:space="preserve"> PAGEREF _Toc69878114 \h </w:instrText>
        </w:r>
        <w:r>
          <w:rPr>
            <w:noProof/>
            <w:webHidden/>
          </w:rPr>
        </w:r>
        <w:r>
          <w:rPr>
            <w:noProof/>
            <w:webHidden/>
          </w:rPr>
          <w:fldChar w:fldCharType="separate"/>
        </w:r>
        <w:r>
          <w:rPr>
            <w:noProof/>
            <w:webHidden/>
          </w:rPr>
          <w:t>139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15" w:history="1">
        <w:r w:rsidRPr="00CC53E5">
          <w:rPr>
            <w:rStyle w:val="Hyperlink"/>
            <w:noProof/>
          </w:rPr>
          <w:t>2.1.332</w:t>
        </w:r>
        <w:r>
          <w:rPr>
            <w:rFonts w:asciiTheme="minorHAnsi" w:eastAsiaTheme="minorEastAsia" w:hAnsiTheme="minorHAnsi" w:cstheme="minorBidi"/>
            <w:noProof/>
            <w:sz w:val="22"/>
            <w:szCs w:val="22"/>
          </w:rPr>
          <w:tab/>
        </w:r>
        <w:r w:rsidRPr="00CC53E5">
          <w:rPr>
            <w:rStyle w:val="Hyperlink"/>
            <w:noProof/>
          </w:rPr>
          <w:t>Part 1 Section 17.13.5.16, ins (Inserted Math Control Character)</w:t>
        </w:r>
        <w:r>
          <w:rPr>
            <w:noProof/>
            <w:webHidden/>
          </w:rPr>
          <w:tab/>
        </w:r>
        <w:r>
          <w:rPr>
            <w:noProof/>
            <w:webHidden/>
          </w:rPr>
          <w:fldChar w:fldCharType="begin"/>
        </w:r>
        <w:r>
          <w:rPr>
            <w:noProof/>
            <w:webHidden/>
          </w:rPr>
          <w:instrText xml:space="preserve"> PAGEREF _Toc69878115 \h </w:instrText>
        </w:r>
        <w:r>
          <w:rPr>
            <w:noProof/>
            <w:webHidden/>
          </w:rPr>
        </w:r>
        <w:r>
          <w:rPr>
            <w:noProof/>
            <w:webHidden/>
          </w:rPr>
          <w:fldChar w:fldCharType="separate"/>
        </w:r>
        <w:r>
          <w:rPr>
            <w:noProof/>
            <w:webHidden/>
          </w:rPr>
          <w:t>139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16" w:history="1">
        <w:r w:rsidRPr="00CC53E5">
          <w:rPr>
            <w:rStyle w:val="Hyperlink"/>
            <w:noProof/>
          </w:rPr>
          <w:t>2.1.333</w:t>
        </w:r>
        <w:r>
          <w:rPr>
            <w:rFonts w:asciiTheme="minorHAnsi" w:eastAsiaTheme="minorEastAsia" w:hAnsiTheme="minorHAnsi" w:cstheme="minorBidi"/>
            <w:noProof/>
            <w:sz w:val="22"/>
            <w:szCs w:val="22"/>
          </w:rPr>
          <w:tab/>
        </w:r>
        <w:r w:rsidRPr="00CC53E5">
          <w:rPr>
            <w:rStyle w:val="Hyperlink"/>
            <w:noProof/>
          </w:rPr>
          <w:t>Part 1 Section 17.13.5.17, ins (Inserted Table Row)</w:t>
        </w:r>
        <w:r>
          <w:rPr>
            <w:noProof/>
            <w:webHidden/>
          </w:rPr>
          <w:tab/>
        </w:r>
        <w:r>
          <w:rPr>
            <w:noProof/>
            <w:webHidden/>
          </w:rPr>
          <w:fldChar w:fldCharType="begin"/>
        </w:r>
        <w:r>
          <w:rPr>
            <w:noProof/>
            <w:webHidden/>
          </w:rPr>
          <w:instrText xml:space="preserve"> PAGEREF _Toc69878116 \h </w:instrText>
        </w:r>
        <w:r>
          <w:rPr>
            <w:noProof/>
            <w:webHidden/>
          </w:rPr>
        </w:r>
        <w:r>
          <w:rPr>
            <w:noProof/>
            <w:webHidden/>
          </w:rPr>
          <w:fldChar w:fldCharType="separate"/>
        </w:r>
        <w:r>
          <w:rPr>
            <w:noProof/>
            <w:webHidden/>
          </w:rPr>
          <w:t>139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17" w:history="1">
        <w:r w:rsidRPr="00CC53E5">
          <w:rPr>
            <w:rStyle w:val="Hyperlink"/>
            <w:noProof/>
          </w:rPr>
          <w:t>2.1.334</w:t>
        </w:r>
        <w:r>
          <w:rPr>
            <w:rFonts w:asciiTheme="minorHAnsi" w:eastAsiaTheme="minorEastAsia" w:hAnsiTheme="minorHAnsi" w:cstheme="minorBidi"/>
            <w:noProof/>
            <w:sz w:val="22"/>
            <w:szCs w:val="22"/>
          </w:rPr>
          <w:tab/>
        </w:r>
        <w:r w:rsidRPr="00CC53E5">
          <w:rPr>
            <w:rStyle w:val="Hyperlink"/>
            <w:noProof/>
          </w:rPr>
          <w:t>Part 1 Section 17.13.5.18, ins (Inserted Run Content)</w:t>
        </w:r>
        <w:r>
          <w:rPr>
            <w:noProof/>
            <w:webHidden/>
          </w:rPr>
          <w:tab/>
        </w:r>
        <w:r>
          <w:rPr>
            <w:noProof/>
            <w:webHidden/>
          </w:rPr>
          <w:fldChar w:fldCharType="begin"/>
        </w:r>
        <w:r>
          <w:rPr>
            <w:noProof/>
            <w:webHidden/>
          </w:rPr>
          <w:instrText xml:space="preserve"> PAGEREF _Toc69878117 \h </w:instrText>
        </w:r>
        <w:r>
          <w:rPr>
            <w:noProof/>
            <w:webHidden/>
          </w:rPr>
        </w:r>
        <w:r>
          <w:rPr>
            <w:noProof/>
            <w:webHidden/>
          </w:rPr>
          <w:fldChar w:fldCharType="separate"/>
        </w:r>
        <w:r>
          <w:rPr>
            <w:noProof/>
            <w:webHidden/>
          </w:rPr>
          <w:t>139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18" w:history="1">
        <w:r w:rsidRPr="00CC53E5">
          <w:rPr>
            <w:rStyle w:val="Hyperlink"/>
            <w:noProof/>
          </w:rPr>
          <w:t>2.1.335</w:t>
        </w:r>
        <w:r>
          <w:rPr>
            <w:rFonts w:asciiTheme="minorHAnsi" w:eastAsiaTheme="minorEastAsia" w:hAnsiTheme="minorHAnsi" w:cstheme="minorBidi"/>
            <w:noProof/>
            <w:sz w:val="22"/>
            <w:szCs w:val="22"/>
          </w:rPr>
          <w:tab/>
        </w:r>
        <w:r w:rsidRPr="00CC53E5">
          <w:rPr>
            <w:rStyle w:val="Hyperlink"/>
            <w:noProof/>
          </w:rPr>
          <w:t>Part 1 Section 17.13.5.19, ins (Inserted Numbering Properties)</w:t>
        </w:r>
        <w:r>
          <w:rPr>
            <w:noProof/>
            <w:webHidden/>
          </w:rPr>
          <w:tab/>
        </w:r>
        <w:r>
          <w:rPr>
            <w:noProof/>
            <w:webHidden/>
          </w:rPr>
          <w:fldChar w:fldCharType="begin"/>
        </w:r>
        <w:r>
          <w:rPr>
            <w:noProof/>
            <w:webHidden/>
          </w:rPr>
          <w:instrText xml:space="preserve"> PAGEREF _Toc69878118 \h </w:instrText>
        </w:r>
        <w:r>
          <w:rPr>
            <w:noProof/>
            <w:webHidden/>
          </w:rPr>
        </w:r>
        <w:r>
          <w:rPr>
            <w:noProof/>
            <w:webHidden/>
          </w:rPr>
          <w:fldChar w:fldCharType="separate"/>
        </w:r>
        <w:r>
          <w:rPr>
            <w:noProof/>
            <w:webHidden/>
          </w:rPr>
          <w:t>140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19" w:history="1">
        <w:r w:rsidRPr="00CC53E5">
          <w:rPr>
            <w:rStyle w:val="Hyperlink"/>
            <w:noProof/>
          </w:rPr>
          <w:t>2.1.336</w:t>
        </w:r>
        <w:r>
          <w:rPr>
            <w:rFonts w:asciiTheme="minorHAnsi" w:eastAsiaTheme="minorEastAsia" w:hAnsiTheme="minorHAnsi" w:cstheme="minorBidi"/>
            <w:noProof/>
            <w:sz w:val="22"/>
            <w:szCs w:val="22"/>
          </w:rPr>
          <w:tab/>
        </w:r>
        <w:r w:rsidRPr="00CC53E5">
          <w:rPr>
            <w:rStyle w:val="Hyperlink"/>
            <w:noProof/>
          </w:rPr>
          <w:t>Part 1 Section 17.13.5.20, ins (Inserted Paragraph)</w:t>
        </w:r>
        <w:r>
          <w:rPr>
            <w:noProof/>
            <w:webHidden/>
          </w:rPr>
          <w:tab/>
        </w:r>
        <w:r>
          <w:rPr>
            <w:noProof/>
            <w:webHidden/>
          </w:rPr>
          <w:fldChar w:fldCharType="begin"/>
        </w:r>
        <w:r>
          <w:rPr>
            <w:noProof/>
            <w:webHidden/>
          </w:rPr>
          <w:instrText xml:space="preserve"> PAGEREF _Toc69878119 \h </w:instrText>
        </w:r>
        <w:r>
          <w:rPr>
            <w:noProof/>
            <w:webHidden/>
          </w:rPr>
        </w:r>
        <w:r>
          <w:rPr>
            <w:noProof/>
            <w:webHidden/>
          </w:rPr>
          <w:fldChar w:fldCharType="separate"/>
        </w:r>
        <w:r>
          <w:rPr>
            <w:noProof/>
            <w:webHidden/>
          </w:rPr>
          <w:t>140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20" w:history="1">
        <w:r w:rsidRPr="00CC53E5">
          <w:rPr>
            <w:rStyle w:val="Hyperlink"/>
            <w:noProof/>
          </w:rPr>
          <w:t>2.1.337</w:t>
        </w:r>
        <w:r>
          <w:rPr>
            <w:rFonts w:asciiTheme="minorHAnsi" w:eastAsiaTheme="minorEastAsia" w:hAnsiTheme="minorHAnsi" w:cstheme="minorBidi"/>
            <w:noProof/>
            <w:sz w:val="22"/>
            <w:szCs w:val="22"/>
          </w:rPr>
          <w:tab/>
        </w:r>
        <w:r w:rsidRPr="00CC53E5">
          <w:rPr>
            <w:rStyle w:val="Hyperlink"/>
            <w:noProof/>
          </w:rPr>
          <w:t>Part 1 Section 17.13.5.21, moveFrom (Move Source Paragraph)</w:t>
        </w:r>
        <w:r>
          <w:rPr>
            <w:noProof/>
            <w:webHidden/>
          </w:rPr>
          <w:tab/>
        </w:r>
        <w:r>
          <w:rPr>
            <w:noProof/>
            <w:webHidden/>
          </w:rPr>
          <w:fldChar w:fldCharType="begin"/>
        </w:r>
        <w:r>
          <w:rPr>
            <w:noProof/>
            <w:webHidden/>
          </w:rPr>
          <w:instrText xml:space="preserve"> PAGEREF _Toc69878120 \h </w:instrText>
        </w:r>
        <w:r>
          <w:rPr>
            <w:noProof/>
            <w:webHidden/>
          </w:rPr>
        </w:r>
        <w:r>
          <w:rPr>
            <w:noProof/>
            <w:webHidden/>
          </w:rPr>
          <w:fldChar w:fldCharType="separate"/>
        </w:r>
        <w:r>
          <w:rPr>
            <w:noProof/>
            <w:webHidden/>
          </w:rPr>
          <w:t>140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21" w:history="1">
        <w:r w:rsidRPr="00CC53E5">
          <w:rPr>
            <w:rStyle w:val="Hyperlink"/>
            <w:noProof/>
          </w:rPr>
          <w:t>2.1.338</w:t>
        </w:r>
        <w:r>
          <w:rPr>
            <w:rFonts w:asciiTheme="minorHAnsi" w:eastAsiaTheme="minorEastAsia" w:hAnsiTheme="minorHAnsi" w:cstheme="minorBidi"/>
            <w:noProof/>
            <w:sz w:val="22"/>
            <w:szCs w:val="22"/>
          </w:rPr>
          <w:tab/>
        </w:r>
        <w:r w:rsidRPr="00CC53E5">
          <w:rPr>
            <w:rStyle w:val="Hyperlink"/>
            <w:noProof/>
          </w:rPr>
          <w:t>Part 1 Section 17.13.5.22, moveFrom (Move Source Run Content)</w:t>
        </w:r>
        <w:r>
          <w:rPr>
            <w:noProof/>
            <w:webHidden/>
          </w:rPr>
          <w:tab/>
        </w:r>
        <w:r>
          <w:rPr>
            <w:noProof/>
            <w:webHidden/>
          </w:rPr>
          <w:fldChar w:fldCharType="begin"/>
        </w:r>
        <w:r>
          <w:rPr>
            <w:noProof/>
            <w:webHidden/>
          </w:rPr>
          <w:instrText xml:space="preserve"> PAGEREF _Toc69878121 \h </w:instrText>
        </w:r>
        <w:r>
          <w:rPr>
            <w:noProof/>
            <w:webHidden/>
          </w:rPr>
        </w:r>
        <w:r>
          <w:rPr>
            <w:noProof/>
            <w:webHidden/>
          </w:rPr>
          <w:fldChar w:fldCharType="separate"/>
        </w:r>
        <w:r>
          <w:rPr>
            <w:noProof/>
            <w:webHidden/>
          </w:rPr>
          <w:t>140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22" w:history="1">
        <w:r w:rsidRPr="00CC53E5">
          <w:rPr>
            <w:rStyle w:val="Hyperlink"/>
            <w:noProof/>
          </w:rPr>
          <w:t>2.1.339</w:t>
        </w:r>
        <w:r>
          <w:rPr>
            <w:rFonts w:asciiTheme="minorHAnsi" w:eastAsiaTheme="minorEastAsia" w:hAnsiTheme="minorHAnsi" w:cstheme="minorBidi"/>
            <w:noProof/>
            <w:sz w:val="22"/>
            <w:szCs w:val="22"/>
          </w:rPr>
          <w:tab/>
        </w:r>
        <w:r w:rsidRPr="00CC53E5">
          <w:rPr>
            <w:rStyle w:val="Hyperlink"/>
            <w:noProof/>
          </w:rPr>
          <w:t>Part 1 Section 17.13.5.23, moveFromRangeEnd (Move Source Location Container - End)</w:t>
        </w:r>
        <w:r>
          <w:rPr>
            <w:noProof/>
            <w:webHidden/>
          </w:rPr>
          <w:tab/>
        </w:r>
        <w:r>
          <w:rPr>
            <w:noProof/>
            <w:webHidden/>
          </w:rPr>
          <w:fldChar w:fldCharType="begin"/>
        </w:r>
        <w:r>
          <w:rPr>
            <w:noProof/>
            <w:webHidden/>
          </w:rPr>
          <w:instrText xml:space="preserve"> PAGEREF _Toc69878122 \h </w:instrText>
        </w:r>
        <w:r>
          <w:rPr>
            <w:noProof/>
            <w:webHidden/>
          </w:rPr>
        </w:r>
        <w:r>
          <w:rPr>
            <w:noProof/>
            <w:webHidden/>
          </w:rPr>
          <w:fldChar w:fldCharType="separate"/>
        </w:r>
        <w:r>
          <w:rPr>
            <w:noProof/>
            <w:webHidden/>
          </w:rPr>
          <w:t>140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23" w:history="1">
        <w:r w:rsidRPr="00CC53E5">
          <w:rPr>
            <w:rStyle w:val="Hyperlink"/>
            <w:noProof/>
          </w:rPr>
          <w:t>2.1.340</w:t>
        </w:r>
        <w:r>
          <w:rPr>
            <w:rFonts w:asciiTheme="minorHAnsi" w:eastAsiaTheme="minorEastAsia" w:hAnsiTheme="minorHAnsi" w:cstheme="minorBidi"/>
            <w:noProof/>
            <w:sz w:val="22"/>
            <w:szCs w:val="22"/>
          </w:rPr>
          <w:tab/>
        </w:r>
        <w:r w:rsidRPr="00CC53E5">
          <w:rPr>
            <w:rStyle w:val="Hyperlink"/>
            <w:noProof/>
          </w:rPr>
          <w:t>Part 1 Section 17.13.5.24, moveFromRangeStart (Move Source Location Container - Start)</w:t>
        </w:r>
        <w:r>
          <w:rPr>
            <w:noProof/>
            <w:webHidden/>
          </w:rPr>
          <w:tab/>
        </w:r>
        <w:r>
          <w:rPr>
            <w:noProof/>
            <w:webHidden/>
          </w:rPr>
          <w:fldChar w:fldCharType="begin"/>
        </w:r>
        <w:r>
          <w:rPr>
            <w:noProof/>
            <w:webHidden/>
          </w:rPr>
          <w:instrText xml:space="preserve"> PAGEREF _Toc69878123 \h </w:instrText>
        </w:r>
        <w:r>
          <w:rPr>
            <w:noProof/>
            <w:webHidden/>
          </w:rPr>
        </w:r>
        <w:r>
          <w:rPr>
            <w:noProof/>
            <w:webHidden/>
          </w:rPr>
          <w:fldChar w:fldCharType="separate"/>
        </w:r>
        <w:r>
          <w:rPr>
            <w:noProof/>
            <w:webHidden/>
          </w:rPr>
          <w:t>141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24" w:history="1">
        <w:r w:rsidRPr="00CC53E5">
          <w:rPr>
            <w:rStyle w:val="Hyperlink"/>
            <w:noProof/>
          </w:rPr>
          <w:t>2.1.341</w:t>
        </w:r>
        <w:r>
          <w:rPr>
            <w:rFonts w:asciiTheme="minorHAnsi" w:eastAsiaTheme="minorEastAsia" w:hAnsiTheme="minorHAnsi" w:cstheme="minorBidi"/>
            <w:noProof/>
            <w:sz w:val="22"/>
            <w:szCs w:val="22"/>
          </w:rPr>
          <w:tab/>
        </w:r>
        <w:r w:rsidRPr="00CC53E5">
          <w:rPr>
            <w:rStyle w:val="Hyperlink"/>
            <w:noProof/>
          </w:rPr>
          <w:t>Part 1 Section 17.13.5.25, moveTo (Move Destination Run Content)</w:t>
        </w:r>
        <w:r>
          <w:rPr>
            <w:noProof/>
            <w:webHidden/>
          </w:rPr>
          <w:tab/>
        </w:r>
        <w:r>
          <w:rPr>
            <w:noProof/>
            <w:webHidden/>
          </w:rPr>
          <w:fldChar w:fldCharType="begin"/>
        </w:r>
        <w:r>
          <w:rPr>
            <w:noProof/>
            <w:webHidden/>
          </w:rPr>
          <w:instrText xml:space="preserve"> PAGEREF _Toc69878124 \h </w:instrText>
        </w:r>
        <w:r>
          <w:rPr>
            <w:noProof/>
            <w:webHidden/>
          </w:rPr>
        </w:r>
        <w:r>
          <w:rPr>
            <w:noProof/>
            <w:webHidden/>
          </w:rPr>
          <w:fldChar w:fldCharType="separate"/>
        </w:r>
        <w:r>
          <w:rPr>
            <w:noProof/>
            <w:webHidden/>
          </w:rPr>
          <w:t>141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25" w:history="1">
        <w:r w:rsidRPr="00CC53E5">
          <w:rPr>
            <w:rStyle w:val="Hyperlink"/>
            <w:noProof/>
          </w:rPr>
          <w:t>2.1.342</w:t>
        </w:r>
        <w:r>
          <w:rPr>
            <w:rFonts w:asciiTheme="minorHAnsi" w:eastAsiaTheme="minorEastAsia" w:hAnsiTheme="minorHAnsi" w:cstheme="minorBidi"/>
            <w:noProof/>
            <w:sz w:val="22"/>
            <w:szCs w:val="22"/>
          </w:rPr>
          <w:tab/>
        </w:r>
        <w:r w:rsidRPr="00CC53E5">
          <w:rPr>
            <w:rStyle w:val="Hyperlink"/>
            <w:noProof/>
          </w:rPr>
          <w:t>Part 1 Section 17.13.5.26, moveTo (Move Destination Paragraph)</w:t>
        </w:r>
        <w:r>
          <w:rPr>
            <w:noProof/>
            <w:webHidden/>
          </w:rPr>
          <w:tab/>
        </w:r>
        <w:r>
          <w:rPr>
            <w:noProof/>
            <w:webHidden/>
          </w:rPr>
          <w:fldChar w:fldCharType="begin"/>
        </w:r>
        <w:r>
          <w:rPr>
            <w:noProof/>
            <w:webHidden/>
          </w:rPr>
          <w:instrText xml:space="preserve"> PAGEREF _Toc69878125 \h </w:instrText>
        </w:r>
        <w:r>
          <w:rPr>
            <w:noProof/>
            <w:webHidden/>
          </w:rPr>
        </w:r>
        <w:r>
          <w:rPr>
            <w:noProof/>
            <w:webHidden/>
          </w:rPr>
          <w:fldChar w:fldCharType="separate"/>
        </w:r>
        <w:r>
          <w:rPr>
            <w:noProof/>
            <w:webHidden/>
          </w:rPr>
          <w:t>141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26" w:history="1">
        <w:r w:rsidRPr="00CC53E5">
          <w:rPr>
            <w:rStyle w:val="Hyperlink"/>
            <w:noProof/>
          </w:rPr>
          <w:t>2.1.343</w:t>
        </w:r>
        <w:r>
          <w:rPr>
            <w:rFonts w:asciiTheme="minorHAnsi" w:eastAsiaTheme="minorEastAsia" w:hAnsiTheme="minorHAnsi" w:cstheme="minorBidi"/>
            <w:noProof/>
            <w:sz w:val="22"/>
            <w:szCs w:val="22"/>
          </w:rPr>
          <w:tab/>
        </w:r>
        <w:r w:rsidRPr="00CC53E5">
          <w:rPr>
            <w:rStyle w:val="Hyperlink"/>
            <w:noProof/>
          </w:rPr>
          <w:t>Part 1 Section 17.13.5.27, moveToRangeEnd (Move Destination Location Container - End)</w:t>
        </w:r>
        <w:r>
          <w:rPr>
            <w:noProof/>
            <w:webHidden/>
          </w:rPr>
          <w:tab/>
        </w:r>
        <w:r>
          <w:rPr>
            <w:noProof/>
            <w:webHidden/>
          </w:rPr>
          <w:fldChar w:fldCharType="begin"/>
        </w:r>
        <w:r>
          <w:rPr>
            <w:noProof/>
            <w:webHidden/>
          </w:rPr>
          <w:instrText xml:space="preserve"> PAGEREF _Toc69878126 \h </w:instrText>
        </w:r>
        <w:r>
          <w:rPr>
            <w:noProof/>
            <w:webHidden/>
          </w:rPr>
        </w:r>
        <w:r>
          <w:rPr>
            <w:noProof/>
            <w:webHidden/>
          </w:rPr>
          <w:fldChar w:fldCharType="separate"/>
        </w:r>
        <w:r>
          <w:rPr>
            <w:noProof/>
            <w:webHidden/>
          </w:rPr>
          <w:t>141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27" w:history="1">
        <w:r w:rsidRPr="00CC53E5">
          <w:rPr>
            <w:rStyle w:val="Hyperlink"/>
            <w:noProof/>
          </w:rPr>
          <w:t>2.1.344</w:t>
        </w:r>
        <w:r>
          <w:rPr>
            <w:rFonts w:asciiTheme="minorHAnsi" w:eastAsiaTheme="minorEastAsia" w:hAnsiTheme="minorHAnsi" w:cstheme="minorBidi"/>
            <w:noProof/>
            <w:sz w:val="22"/>
            <w:szCs w:val="22"/>
          </w:rPr>
          <w:tab/>
        </w:r>
        <w:r w:rsidRPr="00CC53E5">
          <w:rPr>
            <w:rStyle w:val="Hyperlink"/>
            <w:noProof/>
          </w:rPr>
          <w:t>Part 1 Section 17.13.5.28, moveToRangeStart (Move Destination Location Container - Start)</w:t>
        </w:r>
        <w:r>
          <w:rPr>
            <w:noProof/>
            <w:webHidden/>
          </w:rPr>
          <w:tab/>
        </w:r>
        <w:r>
          <w:rPr>
            <w:noProof/>
            <w:webHidden/>
          </w:rPr>
          <w:fldChar w:fldCharType="begin"/>
        </w:r>
        <w:r>
          <w:rPr>
            <w:noProof/>
            <w:webHidden/>
          </w:rPr>
          <w:instrText xml:space="preserve"> PAGEREF _Toc69878127 \h </w:instrText>
        </w:r>
        <w:r>
          <w:rPr>
            <w:noProof/>
            <w:webHidden/>
          </w:rPr>
        </w:r>
        <w:r>
          <w:rPr>
            <w:noProof/>
            <w:webHidden/>
          </w:rPr>
          <w:fldChar w:fldCharType="separate"/>
        </w:r>
        <w:r>
          <w:rPr>
            <w:noProof/>
            <w:webHidden/>
          </w:rPr>
          <w:t>141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28" w:history="1">
        <w:r w:rsidRPr="00CC53E5">
          <w:rPr>
            <w:rStyle w:val="Hyperlink"/>
            <w:noProof/>
          </w:rPr>
          <w:t>2.1.345</w:t>
        </w:r>
        <w:r>
          <w:rPr>
            <w:rFonts w:asciiTheme="minorHAnsi" w:eastAsiaTheme="minorEastAsia" w:hAnsiTheme="minorHAnsi" w:cstheme="minorBidi"/>
            <w:noProof/>
            <w:sz w:val="22"/>
            <w:szCs w:val="22"/>
          </w:rPr>
          <w:tab/>
        </w:r>
        <w:r w:rsidRPr="00CC53E5">
          <w:rPr>
            <w:rStyle w:val="Hyperlink"/>
            <w:noProof/>
          </w:rPr>
          <w:t>Part 1 Section 17.13.5.29, pPrChange (Revision Information for Paragraph Properties)</w:t>
        </w:r>
        <w:r>
          <w:rPr>
            <w:noProof/>
            <w:webHidden/>
          </w:rPr>
          <w:tab/>
        </w:r>
        <w:r>
          <w:rPr>
            <w:noProof/>
            <w:webHidden/>
          </w:rPr>
          <w:fldChar w:fldCharType="begin"/>
        </w:r>
        <w:r>
          <w:rPr>
            <w:noProof/>
            <w:webHidden/>
          </w:rPr>
          <w:instrText xml:space="preserve"> PAGEREF _Toc69878128 \h </w:instrText>
        </w:r>
        <w:r>
          <w:rPr>
            <w:noProof/>
            <w:webHidden/>
          </w:rPr>
        </w:r>
        <w:r>
          <w:rPr>
            <w:noProof/>
            <w:webHidden/>
          </w:rPr>
          <w:fldChar w:fldCharType="separate"/>
        </w:r>
        <w:r>
          <w:rPr>
            <w:noProof/>
            <w:webHidden/>
          </w:rPr>
          <w:t>142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29" w:history="1">
        <w:r w:rsidRPr="00CC53E5">
          <w:rPr>
            <w:rStyle w:val="Hyperlink"/>
            <w:noProof/>
          </w:rPr>
          <w:t>2.1.346</w:t>
        </w:r>
        <w:r>
          <w:rPr>
            <w:rFonts w:asciiTheme="minorHAnsi" w:eastAsiaTheme="minorEastAsia" w:hAnsiTheme="minorHAnsi" w:cstheme="minorBidi"/>
            <w:noProof/>
            <w:sz w:val="22"/>
            <w:szCs w:val="22"/>
          </w:rPr>
          <w:tab/>
        </w:r>
        <w:r w:rsidRPr="00CC53E5">
          <w:rPr>
            <w:rStyle w:val="Hyperlink"/>
            <w:noProof/>
          </w:rPr>
          <w:t>Part 1 Section 17.13.5.30, rPrChange (Revision Information for Run Properties on the Paragraph Mark)</w:t>
        </w:r>
        <w:r>
          <w:rPr>
            <w:noProof/>
            <w:webHidden/>
          </w:rPr>
          <w:tab/>
        </w:r>
        <w:r>
          <w:rPr>
            <w:noProof/>
            <w:webHidden/>
          </w:rPr>
          <w:fldChar w:fldCharType="begin"/>
        </w:r>
        <w:r>
          <w:rPr>
            <w:noProof/>
            <w:webHidden/>
          </w:rPr>
          <w:instrText xml:space="preserve"> PAGEREF _Toc69878129 \h </w:instrText>
        </w:r>
        <w:r>
          <w:rPr>
            <w:noProof/>
            <w:webHidden/>
          </w:rPr>
        </w:r>
        <w:r>
          <w:rPr>
            <w:noProof/>
            <w:webHidden/>
          </w:rPr>
          <w:fldChar w:fldCharType="separate"/>
        </w:r>
        <w:r>
          <w:rPr>
            <w:noProof/>
            <w:webHidden/>
          </w:rPr>
          <w:t>142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30" w:history="1">
        <w:r w:rsidRPr="00CC53E5">
          <w:rPr>
            <w:rStyle w:val="Hyperlink"/>
            <w:noProof/>
          </w:rPr>
          <w:t>2.1.347</w:t>
        </w:r>
        <w:r>
          <w:rPr>
            <w:rFonts w:asciiTheme="minorHAnsi" w:eastAsiaTheme="minorEastAsia" w:hAnsiTheme="minorHAnsi" w:cstheme="minorBidi"/>
            <w:noProof/>
            <w:sz w:val="22"/>
            <w:szCs w:val="22"/>
          </w:rPr>
          <w:tab/>
        </w:r>
        <w:r w:rsidRPr="00CC53E5">
          <w:rPr>
            <w:rStyle w:val="Hyperlink"/>
            <w:noProof/>
          </w:rPr>
          <w:t>Part 1 Section 17.13.5.31, rPrChange (Revision Information for Run Properties)</w:t>
        </w:r>
        <w:r>
          <w:rPr>
            <w:noProof/>
            <w:webHidden/>
          </w:rPr>
          <w:tab/>
        </w:r>
        <w:r>
          <w:rPr>
            <w:noProof/>
            <w:webHidden/>
          </w:rPr>
          <w:fldChar w:fldCharType="begin"/>
        </w:r>
        <w:r>
          <w:rPr>
            <w:noProof/>
            <w:webHidden/>
          </w:rPr>
          <w:instrText xml:space="preserve"> PAGEREF _Toc69878130 \h </w:instrText>
        </w:r>
        <w:r>
          <w:rPr>
            <w:noProof/>
            <w:webHidden/>
          </w:rPr>
        </w:r>
        <w:r>
          <w:rPr>
            <w:noProof/>
            <w:webHidden/>
          </w:rPr>
          <w:fldChar w:fldCharType="separate"/>
        </w:r>
        <w:r>
          <w:rPr>
            <w:noProof/>
            <w:webHidden/>
          </w:rPr>
          <w:t>142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31" w:history="1">
        <w:r w:rsidRPr="00CC53E5">
          <w:rPr>
            <w:rStyle w:val="Hyperlink"/>
            <w:noProof/>
          </w:rPr>
          <w:t>2.1.348</w:t>
        </w:r>
        <w:r>
          <w:rPr>
            <w:rFonts w:asciiTheme="minorHAnsi" w:eastAsiaTheme="minorEastAsia" w:hAnsiTheme="minorHAnsi" w:cstheme="minorBidi"/>
            <w:noProof/>
            <w:sz w:val="22"/>
            <w:szCs w:val="22"/>
          </w:rPr>
          <w:tab/>
        </w:r>
        <w:r w:rsidRPr="00CC53E5">
          <w:rPr>
            <w:rStyle w:val="Hyperlink"/>
            <w:noProof/>
          </w:rPr>
          <w:t>Part 1 Section 17.13.5.32, sectPrChange (Revision Information for Section Properties)</w:t>
        </w:r>
        <w:r>
          <w:rPr>
            <w:noProof/>
            <w:webHidden/>
          </w:rPr>
          <w:tab/>
        </w:r>
        <w:r>
          <w:rPr>
            <w:noProof/>
            <w:webHidden/>
          </w:rPr>
          <w:fldChar w:fldCharType="begin"/>
        </w:r>
        <w:r>
          <w:rPr>
            <w:noProof/>
            <w:webHidden/>
          </w:rPr>
          <w:instrText xml:space="preserve"> PAGEREF _Toc69878131 \h </w:instrText>
        </w:r>
        <w:r>
          <w:rPr>
            <w:noProof/>
            <w:webHidden/>
          </w:rPr>
        </w:r>
        <w:r>
          <w:rPr>
            <w:noProof/>
            <w:webHidden/>
          </w:rPr>
          <w:fldChar w:fldCharType="separate"/>
        </w:r>
        <w:r>
          <w:rPr>
            <w:noProof/>
            <w:webHidden/>
          </w:rPr>
          <w:t>142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32" w:history="1">
        <w:r w:rsidRPr="00CC53E5">
          <w:rPr>
            <w:rStyle w:val="Hyperlink"/>
            <w:noProof/>
          </w:rPr>
          <w:t>2.1.349</w:t>
        </w:r>
        <w:r>
          <w:rPr>
            <w:rFonts w:asciiTheme="minorHAnsi" w:eastAsiaTheme="minorEastAsia" w:hAnsiTheme="minorHAnsi" w:cstheme="minorBidi"/>
            <w:noProof/>
            <w:sz w:val="22"/>
            <w:szCs w:val="22"/>
          </w:rPr>
          <w:tab/>
        </w:r>
        <w:r w:rsidRPr="00CC53E5">
          <w:rPr>
            <w:rStyle w:val="Hyperlink"/>
            <w:noProof/>
          </w:rPr>
          <w:t>Part 1 Section 17.13.5.33, tblGridChange (Revision Information for Table Grid Column Definitions)</w:t>
        </w:r>
        <w:r>
          <w:rPr>
            <w:noProof/>
            <w:webHidden/>
          </w:rPr>
          <w:tab/>
        </w:r>
        <w:r>
          <w:rPr>
            <w:noProof/>
            <w:webHidden/>
          </w:rPr>
          <w:fldChar w:fldCharType="begin"/>
        </w:r>
        <w:r>
          <w:rPr>
            <w:noProof/>
            <w:webHidden/>
          </w:rPr>
          <w:instrText xml:space="preserve"> PAGEREF _Toc69878132 \h </w:instrText>
        </w:r>
        <w:r>
          <w:rPr>
            <w:noProof/>
            <w:webHidden/>
          </w:rPr>
        </w:r>
        <w:r>
          <w:rPr>
            <w:noProof/>
            <w:webHidden/>
          </w:rPr>
          <w:fldChar w:fldCharType="separate"/>
        </w:r>
        <w:r>
          <w:rPr>
            <w:noProof/>
            <w:webHidden/>
          </w:rPr>
          <w:t>142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33" w:history="1">
        <w:r w:rsidRPr="00CC53E5">
          <w:rPr>
            <w:rStyle w:val="Hyperlink"/>
            <w:noProof/>
          </w:rPr>
          <w:t>2.1.350</w:t>
        </w:r>
        <w:r>
          <w:rPr>
            <w:rFonts w:asciiTheme="minorHAnsi" w:eastAsiaTheme="minorEastAsia" w:hAnsiTheme="minorHAnsi" w:cstheme="minorBidi"/>
            <w:noProof/>
            <w:sz w:val="22"/>
            <w:szCs w:val="22"/>
          </w:rPr>
          <w:tab/>
        </w:r>
        <w:r w:rsidRPr="00CC53E5">
          <w:rPr>
            <w:rStyle w:val="Hyperlink"/>
            <w:noProof/>
          </w:rPr>
          <w:t>Part 1 Section 17.13.5.34, tblPrChange (Revision Information for Table Properties)</w:t>
        </w:r>
        <w:r>
          <w:rPr>
            <w:noProof/>
            <w:webHidden/>
          </w:rPr>
          <w:tab/>
        </w:r>
        <w:r>
          <w:rPr>
            <w:noProof/>
            <w:webHidden/>
          </w:rPr>
          <w:fldChar w:fldCharType="begin"/>
        </w:r>
        <w:r>
          <w:rPr>
            <w:noProof/>
            <w:webHidden/>
          </w:rPr>
          <w:instrText xml:space="preserve"> PAGEREF _Toc69878133 \h </w:instrText>
        </w:r>
        <w:r>
          <w:rPr>
            <w:noProof/>
            <w:webHidden/>
          </w:rPr>
        </w:r>
        <w:r>
          <w:rPr>
            <w:noProof/>
            <w:webHidden/>
          </w:rPr>
          <w:fldChar w:fldCharType="separate"/>
        </w:r>
        <w:r>
          <w:rPr>
            <w:noProof/>
            <w:webHidden/>
          </w:rPr>
          <w:t>142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34" w:history="1">
        <w:r w:rsidRPr="00CC53E5">
          <w:rPr>
            <w:rStyle w:val="Hyperlink"/>
            <w:noProof/>
          </w:rPr>
          <w:t>2.1.351</w:t>
        </w:r>
        <w:r>
          <w:rPr>
            <w:rFonts w:asciiTheme="minorHAnsi" w:eastAsiaTheme="minorEastAsia" w:hAnsiTheme="minorHAnsi" w:cstheme="minorBidi"/>
            <w:noProof/>
            <w:sz w:val="22"/>
            <w:szCs w:val="22"/>
          </w:rPr>
          <w:tab/>
        </w:r>
        <w:r w:rsidRPr="00CC53E5">
          <w:rPr>
            <w:rStyle w:val="Hyperlink"/>
            <w:noProof/>
          </w:rPr>
          <w:t>Part 1 Section 17.13.5.35, tblPrExChange (Revision Information for Table-Level Property Exceptions)</w:t>
        </w:r>
        <w:r>
          <w:rPr>
            <w:noProof/>
            <w:webHidden/>
          </w:rPr>
          <w:tab/>
        </w:r>
        <w:r>
          <w:rPr>
            <w:noProof/>
            <w:webHidden/>
          </w:rPr>
          <w:fldChar w:fldCharType="begin"/>
        </w:r>
        <w:r>
          <w:rPr>
            <w:noProof/>
            <w:webHidden/>
          </w:rPr>
          <w:instrText xml:space="preserve"> PAGEREF _Toc69878134 \h </w:instrText>
        </w:r>
        <w:r>
          <w:rPr>
            <w:noProof/>
            <w:webHidden/>
          </w:rPr>
        </w:r>
        <w:r>
          <w:rPr>
            <w:noProof/>
            <w:webHidden/>
          </w:rPr>
          <w:fldChar w:fldCharType="separate"/>
        </w:r>
        <w:r>
          <w:rPr>
            <w:noProof/>
            <w:webHidden/>
          </w:rPr>
          <w:t>142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35" w:history="1">
        <w:r w:rsidRPr="00CC53E5">
          <w:rPr>
            <w:rStyle w:val="Hyperlink"/>
            <w:noProof/>
          </w:rPr>
          <w:t>2.1.352</w:t>
        </w:r>
        <w:r>
          <w:rPr>
            <w:rFonts w:asciiTheme="minorHAnsi" w:eastAsiaTheme="minorEastAsia" w:hAnsiTheme="minorHAnsi" w:cstheme="minorBidi"/>
            <w:noProof/>
            <w:sz w:val="22"/>
            <w:szCs w:val="22"/>
          </w:rPr>
          <w:tab/>
        </w:r>
        <w:r w:rsidRPr="00CC53E5">
          <w:rPr>
            <w:rStyle w:val="Hyperlink"/>
            <w:noProof/>
          </w:rPr>
          <w:t>Part 1 Section 17.13.5.36, tcPrChange (Revision Information for Table Cell Properties)</w:t>
        </w:r>
        <w:r>
          <w:rPr>
            <w:noProof/>
            <w:webHidden/>
          </w:rPr>
          <w:tab/>
        </w:r>
        <w:r>
          <w:rPr>
            <w:noProof/>
            <w:webHidden/>
          </w:rPr>
          <w:fldChar w:fldCharType="begin"/>
        </w:r>
        <w:r>
          <w:rPr>
            <w:noProof/>
            <w:webHidden/>
          </w:rPr>
          <w:instrText xml:space="preserve"> PAGEREF _Toc69878135 \h </w:instrText>
        </w:r>
        <w:r>
          <w:rPr>
            <w:noProof/>
            <w:webHidden/>
          </w:rPr>
        </w:r>
        <w:r>
          <w:rPr>
            <w:noProof/>
            <w:webHidden/>
          </w:rPr>
          <w:fldChar w:fldCharType="separate"/>
        </w:r>
        <w:r>
          <w:rPr>
            <w:noProof/>
            <w:webHidden/>
          </w:rPr>
          <w:t>142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36" w:history="1">
        <w:r w:rsidRPr="00CC53E5">
          <w:rPr>
            <w:rStyle w:val="Hyperlink"/>
            <w:noProof/>
          </w:rPr>
          <w:t>2.1.353</w:t>
        </w:r>
        <w:r>
          <w:rPr>
            <w:rFonts w:asciiTheme="minorHAnsi" w:eastAsiaTheme="minorEastAsia" w:hAnsiTheme="minorHAnsi" w:cstheme="minorBidi"/>
            <w:noProof/>
            <w:sz w:val="22"/>
            <w:szCs w:val="22"/>
          </w:rPr>
          <w:tab/>
        </w:r>
        <w:r w:rsidRPr="00CC53E5">
          <w:rPr>
            <w:rStyle w:val="Hyperlink"/>
            <w:noProof/>
          </w:rPr>
          <w:t>Part 1 Section 17.13.5.37, trPrChange (Revision Information for Table Row Properties)</w:t>
        </w:r>
        <w:r>
          <w:rPr>
            <w:noProof/>
            <w:webHidden/>
          </w:rPr>
          <w:tab/>
        </w:r>
        <w:r>
          <w:rPr>
            <w:noProof/>
            <w:webHidden/>
          </w:rPr>
          <w:fldChar w:fldCharType="begin"/>
        </w:r>
        <w:r>
          <w:rPr>
            <w:noProof/>
            <w:webHidden/>
          </w:rPr>
          <w:instrText xml:space="preserve"> PAGEREF _Toc69878136 \h </w:instrText>
        </w:r>
        <w:r>
          <w:rPr>
            <w:noProof/>
            <w:webHidden/>
          </w:rPr>
        </w:r>
        <w:r>
          <w:rPr>
            <w:noProof/>
            <w:webHidden/>
          </w:rPr>
          <w:fldChar w:fldCharType="separate"/>
        </w:r>
        <w:r>
          <w:rPr>
            <w:noProof/>
            <w:webHidden/>
          </w:rPr>
          <w:t>143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37" w:history="1">
        <w:r w:rsidRPr="00CC53E5">
          <w:rPr>
            <w:rStyle w:val="Hyperlink"/>
            <w:noProof/>
          </w:rPr>
          <w:t>2.1.354</w:t>
        </w:r>
        <w:r>
          <w:rPr>
            <w:rFonts w:asciiTheme="minorHAnsi" w:eastAsiaTheme="minorEastAsia" w:hAnsiTheme="minorHAnsi" w:cstheme="minorBidi"/>
            <w:noProof/>
            <w:sz w:val="22"/>
            <w:szCs w:val="22"/>
          </w:rPr>
          <w:tab/>
        </w:r>
        <w:r w:rsidRPr="00CC53E5">
          <w:rPr>
            <w:rStyle w:val="Hyperlink"/>
            <w:noProof/>
          </w:rPr>
          <w:t>Part 1 Section 17.13.6, Bookmarks</w:t>
        </w:r>
        <w:r>
          <w:rPr>
            <w:noProof/>
            <w:webHidden/>
          </w:rPr>
          <w:tab/>
        </w:r>
        <w:r>
          <w:rPr>
            <w:noProof/>
            <w:webHidden/>
          </w:rPr>
          <w:fldChar w:fldCharType="begin"/>
        </w:r>
        <w:r>
          <w:rPr>
            <w:noProof/>
            <w:webHidden/>
          </w:rPr>
          <w:instrText xml:space="preserve"> PAGEREF _Toc69878137 \h </w:instrText>
        </w:r>
        <w:r>
          <w:rPr>
            <w:noProof/>
            <w:webHidden/>
          </w:rPr>
        </w:r>
        <w:r>
          <w:rPr>
            <w:noProof/>
            <w:webHidden/>
          </w:rPr>
          <w:fldChar w:fldCharType="separate"/>
        </w:r>
        <w:r>
          <w:rPr>
            <w:noProof/>
            <w:webHidden/>
          </w:rPr>
          <w:t>143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38" w:history="1">
        <w:r w:rsidRPr="00CC53E5">
          <w:rPr>
            <w:rStyle w:val="Hyperlink"/>
            <w:noProof/>
          </w:rPr>
          <w:t>2.1.355</w:t>
        </w:r>
        <w:r>
          <w:rPr>
            <w:rFonts w:asciiTheme="minorHAnsi" w:eastAsiaTheme="minorEastAsia" w:hAnsiTheme="minorHAnsi" w:cstheme="minorBidi"/>
            <w:noProof/>
            <w:sz w:val="22"/>
            <w:szCs w:val="22"/>
          </w:rPr>
          <w:tab/>
        </w:r>
        <w:r w:rsidRPr="00CC53E5">
          <w:rPr>
            <w:rStyle w:val="Hyperlink"/>
            <w:noProof/>
          </w:rPr>
          <w:t>Part 1 Section 17.13.6.1, bookmarkEnd (Bookmark End)</w:t>
        </w:r>
        <w:r>
          <w:rPr>
            <w:noProof/>
            <w:webHidden/>
          </w:rPr>
          <w:tab/>
        </w:r>
        <w:r>
          <w:rPr>
            <w:noProof/>
            <w:webHidden/>
          </w:rPr>
          <w:fldChar w:fldCharType="begin"/>
        </w:r>
        <w:r>
          <w:rPr>
            <w:noProof/>
            <w:webHidden/>
          </w:rPr>
          <w:instrText xml:space="preserve"> PAGEREF _Toc69878138 \h </w:instrText>
        </w:r>
        <w:r>
          <w:rPr>
            <w:noProof/>
            <w:webHidden/>
          </w:rPr>
        </w:r>
        <w:r>
          <w:rPr>
            <w:noProof/>
            <w:webHidden/>
          </w:rPr>
          <w:fldChar w:fldCharType="separate"/>
        </w:r>
        <w:r>
          <w:rPr>
            <w:noProof/>
            <w:webHidden/>
          </w:rPr>
          <w:t>143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39" w:history="1">
        <w:r w:rsidRPr="00CC53E5">
          <w:rPr>
            <w:rStyle w:val="Hyperlink"/>
            <w:noProof/>
          </w:rPr>
          <w:t>2.1.356</w:t>
        </w:r>
        <w:r>
          <w:rPr>
            <w:rFonts w:asciiTheme="minorHAnsi" w:eastAsiaTheme="minorEastAsia" w:hAnsiTheme="minorHAnsi" w:cstheme="minorBidi"/>
            <w:noProof/>
            <w:sz w:val="22"/>
            <w:szCs w:val="22"/>
          </w:rPr>
          <w:tab/>
        </w:r>
        <w:r w:rsidRPr="00CC53E5">
          <w:rPr>
            <w:rStyle w:val="Hyperlink"/>
            <w:noProof/>
          </w:rPr>
          <w:t>Part 1 Section 17.13.6.2, bookmarkStart (Bookmark Start)</w:t>
        </w:r>
        <w:r>
          <w:rPr>
            <w:noProof/>
            <w:webHidden/>
          </w:rPr>
          <w:tab/>
        </w:r>
        <w:r>
          <w:rPr>
            <w:noProof/>
            <w:webHidden/>
          </w:rPr>
          <w:fldChar w:fldCharType="begin"/>
        </w:r>
        <w:r>
          <w:rPr>
            <w:noProof/>
            <w:webHidden/>
          </w:rPr>
          <w:instrText xml:space="preserve"> PAGEREF _Toc69878139 \h </w:instrText>
        </w:r>
        <w:r>
          <w:rPr>
            <w:noProof/>
            <w:webHidden/>
          </w:rPr>
        </w:r>
        <w:r>
          <w:rPr>
            <w:noProof/>
            <w:webHidden/>
          </w:rPr>
          <w:fldChar w:fldCharType="separate"/>
        </w:r>
        <w:r>
          <w:rPr>
            <w:noProof/>
            <w:webHidden/>
          </w:rPr>
          <w:t>143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40" w:history="1">
        <w:r w:rsidRPr="00CC53E5">
          <w:rPr>
            <w:rStyle w:val="Hyperlink"/>
            <w:noProof/>
          </w:rPr>
          <w:t>2.1.357</w:t>
        </w:r>
        <w:r>
          <w:rPr>
            <w:rFonts w:asciiTheme="minorHAnsi" w:eastAsiaTheme="minorEastAsia" w:hAnsiTheme="minorHAnsi" w:cstheme="minorBidi"/>
            <w:noProof/>
            <w:sz w:val="22"/>
            <w:szCs w:val="22"/>
          </w:rPr>
          <w:tab/>
        </w:r>
        <w:r w:rsidRPr="00CC53E5">
          <w:rPr>
            <w:rStyle w:val="Hyperlink"/>
            <w:noProof/>
          </w:rPr>
          <w:t>Part 1 Section 17.13.7.1, permEnd (Range Permission End)</w:t>
        </w:r>
        <w:r>
          <w:rPr>
            <w:noProof/>
            <w:webHidden/>
          </w:rPr>
          <w:tab/>
        </w:r>
        <w:r>
          <w:rPr>
            <w:noProof/>
            <w:webHidden/>
          </w:rPr>
          <w:fldChar w:fldCharType="begin"/>
        </w:r>
        <w:r>
          <w:rPr>
            <w:noProof/>
            <w:webHidden/>
          </w:rPr>
          <w:instrText xml:space="preserve"> PAGEREF _Toc69878140 \h </w:instrText>
        </w:r>
        <w:r>
          <w:rPr>
            <w:noProof/>
            <w:webHidden/>
          </w:rPr>
        </w:r>
        <w:r>
          <w:rPr>
            <w:noProof/>
            <w:webHidden/>
          </w:rPr>
          <w:fldChar w:fldCharType="separate"/>
        </w:r>
        <w:r>
          <w:rPr>
            <w:noProof/>
            <w:webHidden/>
          </w:rPr>
          <w:t>144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41" w:history="1">
        <w:r w:rsidRPr="00CC53E5">
          <w:rPr>
            <w:rStyle w:val="Hyperlink"/>
            <w:noProof/>
          </w:rPr>
          <w:t>2.1.358</w:t>
        </w:r>
        <w:r>
          <w:rPr>
            <w:rFonts w:asciiTheme="minorHAnsi" w:eastAsiaTheme="minorEastAsia" w:hAnsiTheme="minorHAnsi" w:cstheme="minorBidi"/>
            <w:noProof/>
            <w:sz w:val="22"/>
            <w:szCs w:val="22"/>
          </w:rPr>
          <w:tab/>
        </w:r>
        <w:r w:rsidRPr="00CC53E5">
          <w:rPr>
            <w:rStyle w:val="Hyperlink"/>
            <w:noProof/>
          </w:rPr>
          <w:t>Part 1 Section 17.13.7.2, permStart (Range Permission Start)</w:t>
        </w:r>
        <w:r>
          <w:rPr>
            <w:noProof/>
            <w:webHidden/>
          </w:rPr>
          <w:tab/>
        </w:r>
        <w:r>
          <w:rPr>
            <w:noProof/>
            <w:webHidden/>
          </w:rPr>
          <w:fldChar w:fldCharType="begin"/>
        </w:r>
        <w:r>
          <w:rPr>
            <w:noProof/>
            <w:webHidden/>
          </w:rPr>
          <w:instrText xml:space="preserve"> PAGEREF _Toc69878141 \h </w:instrText>
        </w:r>
        <w:r>
          <w:rPr>
            <w:noProof/>
            <w:webHidden/>
          </w:rPr>
        </w:r>
        <w:r>
          <w:rPr>
            <w:noProof/>
            <w:webHidden/>
          </w:rPr>
          <w:fldChar w:fldCharType="separate"/>
        </w:r>
        <w:r>
          <w:rPr>
            <w:noProof/>
            <w:webHidden/>
          </w:rPr>
          <w:t>144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42" w:history="1">
        <w:r w:rsidRPr="00CC53E5">
          <w:rPr>
            <w:rStyle w:val="Hyperlink"/>
            <w:noProof/>
          </w:rPr>
          <w:t>2.1.359</w:t>
        </w:r>
        <w:r>
          <w:rPr>
            <w:rFonts w:asciiTheme="minorHAnsi" w:eastAsiaTheme="minorEastAsia" w:hAnsiTheme="minorHAnsi" w:cstheme="minorBidi"/>
            <w:noProof/>
            <w:sz w:val="22"/>
            <w:szCs w:val="22"/>
          </w:rPr>
          <w:tab/>
        </w:r>
        <w:r w:rsidRPr="00CC53E5">
          <w:rPr>
            <w:rStyle w:val="Hyperlink"/>
            <w:noProof/>
          </w:rPr>
          <w:t>Part 1 Section 17.14, Mail Merge</w:t>
        </w:r>
        <w:r>
          <w:rPr>
            <w:noProof/>
            <w:webHidden/>
          </w:rPr>
          <w:tab/>
        </w:r>
        <w:r>
          <w:rPr>
            <w:noProof/>
            <w:webHidden/>
          </w:rPr>
          <w:fldChar w:fldCharType="begin"/>
        </w:r>
        <w:r>
          <w:rPr>
            <w:noProof/>
            <w:webHidden/>
          </w:rPr>
          <w:instrText xml:space="preserve"> PAGEREF _Toc69878142 \h </w:instrText>
        </w:r>
        <w:r>
          <w:rPr>
            <w:noProof/>
            <w:webHidden/>
          </w:rPr>
        </w:r>
        <w:r>
          <w:rPr>
            <w:noProof/>
            <w:webHidden/>
          </w:rPr>
          <w:fldChar w:fldCharType="separate"/>
        </w:r>
        <w:r>
          <w:rPr>
            <w:noProof/>
            <w:webHidden/>
          </w:rPr>
          <w:t>144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43" w:history="1">
        <w:r w:rsidRPr="00CC53E5">
          <w:rPr>
            <w:rStyle w:val="Hyperlink"/>
            <w:noProof/>
          </w:rPr>
          <w:t>2.1.360</w:t>
        </w:r>
        <w:r>
          <w:rPr>
            <w:rFonts w:asciiTheme="minorHAnsi" w:eastAsiaTheme="minorEastAsia" w:hAnsiTheme="minorHAnsi" w:cstheme="minorBidi"/>
            <w:noProof/>
            <w:sz w:val="22"/>
            <w:szCs w:val="22"/>
          </w:rPr>
          <w:tab/>
        </w:r>
        <w:r w:rsidRPr="00CC53E5">
          <w:rPr>
            <w:rStyle w:val="Hyperlink"/>
            <w:noProof/>
          </w:rPr>
          <w:t>Part 1 Section 17.14.2, activeRecord (Record Currently Displayed In Merged Document)</w:t>
        </w:r>
        <w:r>
          <w:rPr>
            <w:noProof/>
            <w:webHidden/>
          </w:rPr>
          <w:tab/>
        </w:r>
        <w:r>
          <w:rPr>
            <w:noProof/>
            <w:webHidden/>
          </w:rPr>
          <w:fldChar w:fldCharType="begin"/>
        </w:r>
        <w:r>
          <w:rPr>
            <w:noProof/>
            <w:webHidden/>
          </w:rPr>
          <w:instrText xml:space="preserve"> PAGEREF _Toc69878143 \h </w:instrText>
        </w:r>
        <w:r>
          <w:rPr>
            <w:noProof/>
            <w:webHidden/>
          </w:rPr>
        </w:r>
        <w:r>
          <w:rPr>
            <w:noProof/>
            <w:webHidden/>
          </w:rPr>
          <w:fldChar w:fldCharType="separate"/>
        </w:r>
        <w:r>
          <w:rPr>
            <w:noProof/>
            <w:webHidden/>
          </w:rPr>
          <w:t>144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44" w:history="1">
        <w:r w:rsidRPr="00CC53E5">
          <w:rPr>
            <w:rStyle w:val="Hyperlink"/>
            <w:noProof/>
          </w:rPr>
          <w:t>2.1.361</w:t>
        </w:r>
        <w:r>
          <w:rPr>
            <w:rFonts w:asciiTheme="minorHAnsi" w:eastAsiaTheme="minorEastAsia" w:hAnsiTheme="minorHAnsi" w:cstheme="minorBidi"/>
            <w:noProof/>
            <w:sz w:val="22"/>
            <w:szCs w:val="22"/>
          </w:rPr>
          <w:tab/>
        </w:r>
        <w:r w:rsidRPr="00CC53E5">
          <w:rPr>
            <w:rStyle w:val="Hyperlink"/>
            <w:noProof/>
          </w:rPr>
          <w:t>Part 1 Section 17.14.4, checkErrors (Mail Merge Error Reporting Setting)</w:t>
        </w:r>
        <w:r>
          <w:rPr>
            <w:noProof/>
            <w:webHidden/>
          </w:rPr>
          <w:tab/>
        </w:r>
        <w:r>
          <w:rPr>
            <w:noProof/>
            <w:webHidden/>
          </w:rPr>
          <w:fldChar w:fldCharType="begin"/>
        </w:r>
        <w:r>
          <w:rPr>
            <w:noProof/>
            <w:webHidden/>
          </w:rPr>
          <w:instrText xml:space="preserve"> PAGEREF _Toc69878144 \h </w:instrText>
        </w:r>
        <w:r>
          <w:rPr>
            <w:noProof/>
            <w:webHidden/>
          </w:rPr>
        </w:r>
        <w:r>
          <w:rPr>
            <w:noProof/>
            <w:webHidden/>
          </w:rPr>
          <w:fldChar w:fldCharType="separate"/>
        </w:r>
        <w:r>
          <w:rPr>
            <w:noProof/>
            <w:webHidden/>
          </w:rPr>
          <w:t>145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45" w:history="1">
        <w:r w:rsidRPr="00CC53E5">
          <w:rPr>
            <w:rStyle w:val="Hyperlink"/>
            <w:noProof/>
          </w:rPr>
          <w:t>2.1.362</w:t>
        </w:r>
        <w:r>
          <w:rPr>
            <w:rFonts w:asciiTheme="minorHAnsi" w:eastAsiaTheme="minorEastAsia" w:hAnsiTheme="minorHAnsi" w:cstheme="minorBidi"/>
            <w:noProof/>
            <w:sz w:val="22"/>
            <w:szCs w:val="22"/>
          </w:rPr>
          <w:tab/>
        </w:r>
        <w:r w:rsidRPr="00CC53E5">
          <w:rPr>
            <w:rStyle w:val="Hyperlink"/>
            <w:noProof/>
          </w:rPr>
          <w:t>Part 1 Section 17.14.5, colDelim (Column Delimiter for Data Source)</w:t>
        </w:r>
        <w:r>
          <w:rPr>
            <w:noProof/>
            <w:webHidden/>
          </w:rPr>
          <w:tab/>
        </w:r>
        <w:r>
          <w:rPr>
            <w:noProof/>
            <w:webHidden/>
          </w:rPr>
          <w:fldChar w:fldCharType="begin"/>
        </w:r>
        <w:r>
          <w:rPr>
            <w:noProof/>
            <w:webHidden/>
          </w:rPr>
          <w:instrText xml:space="preserve"> PAGEREF _Toc69878145 \h </w:instrText>
        </w:r>
        <w:r>
          <w:rPr>
            <w:noProof/>
            <w:webHidden/>
          </w:rPr>
        </w:r>
        <w:r>
          <w:rPr>
            <w:noProof/>
            <w:webHidden/>
          </w:rPr>
          <w:fldChar w:fldCharType="separate"/>
        </w:r>
        <w:r>
          <w:rPr>
            <w:noProof/>
            <w:webHidden/>
          </w:rPr>
          <w:t>145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46" w:history="1">
        <w:r w:rsidRPr="00CC53E5">
          <w:rPr>
            <w:rStyle w:val="Hyperlink"/>
            <w:noProof/>
          </w:rPr>
          <w:t>2.1.363</w:t>
        </w:r>
        <w:r>
          <w:rPr>
            <w:rFonts w:asciiTheme="minorHAnsi" w:eastAsiaTheme="minorEastAsia" w:hAnsiTheme="minorHAnsi" w:cstheme="minorBidi"/>
            <w:noProof/>
            <w:sz w:val="22"/>
            <w:szCs w:val="22"/>
          </w:rPr>
          <w:tab/>
        </w:r>
        <w:r w:rsidRPr="00CC53E5">
          <w:rPr>
            <w:rStyle w:val="Hyperlink"/>
            <w:noProof/>
          </w:rPr>
          <w:t>Part 1 Section 17.14.6, column (Index of Column Being Mapped)</w:t>
        </w:r>
        <w:r>
          <w:rPr>
            <w:noProof/>
            <w:webHidden/>
          </w:rPr>
          <w:tab/>
        </w:r>
        <w:r>
          <w:rPr>
            <w:noProof/>
            <w:webHidden/>
          </w:rPr>
          <w:fldChar w:fldCharType="begin"/>
        </w:r>
        <w:r>
          <w:rPr>
            <w:noProof/>
            <w:webHidden/>
          </w:rPr>
          <w:instrText xml:space="preserve"> PAGEREF _Toc69878146 \h </w:instrText>
        </w:r>
        <w:r>
          <w:rPr>
            <w:noProof/>
            <w:webHidden/>
          </w:rPr>
        </w:r>
        <w:r>
          <w:rPr>
            <w:noProof/>
            <w:webHidden/>
          </w:rPr>
          <w:fldChar w:fldCharType="separate"/>
        </w:r>
        <w:r>
          <w:rPr>
            <w:noProof/>
            <w:webHidden/>
          </w:rPr>
          <w:t>145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47" w:history="1">
        <w:r w:rsidRPr="00CC53E5">
          <w:rPr>
            <w:rStyle w:val="Hyperlink"/>
            <w:noProof/>
          </w:rPr>
          <w:t>2.1.364</w:t>
        </w:r>
        <w:r>
          <w:rPr>
            <w:rFonts w:asciiTheme="minorHAnsi" w:eastAsiaTheme="minorEastAsia" w:hAnsiTheme="minorHAnsi" w:cstheme="minorBidi"/>
            <w:noProof/>
            <w:sz w:val="22"/>
            <w:szCs w:val="22"/>
          </w:rPr>
          <w:tab/>
        </w:r>
        <w:r w:rsidRPr="00CC53E5">
          <w:rPr>
            <w:rStyle w:val="Hyperlink"/>
            <w:noProof/>
          </w:rPr>
          <w:t>Part 1 Section 17.14.7, column (Index of Column Containing Unique Values for Record)</w:t>
        </w:r>
        <w:r>
          <w:rPr>
            <w:noProof/>
            <w:webHidden/>
          </w:rPr>
          <w:tab/>
        </w:r>
        <w:r>
          <w:rPr>
            <w:noProof/>
            <w:webHidden/>
          </w:rPr>
          <w:fldChar w:fldCharType="begin"/>
        </w:r>
        <w:r>
          <w:rPr>
            <w:noProof/>
            <w:webHidden/>
          </w:rPr>
          <w:instrText xml:space="preserve"> PAGEREF _Toc69878147 \h </w:instrText>
        </w:r>
        <w:r>
          <w:rPr>
            <w:noProof/>
            <w:webHidden/>
          </w:rPr>
        </w:r>
        <w:r>
          <w:rPr>
            <w:noProof/>
            <w:webHidden/>
          </w:rPr>
          <w:fldChar w:fldCharType="separate"/>
        </w:r>
        <w:r>
          <w:rPr>
            <w:noProof/>
            <w:webHidden/>
          </w:rPr>
          <w:t>145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48" w:history="1">
        <w:r w:rsidRPr="00CC53E5">
          <w:rPr>
            <w:rStyle w:val="Hyperlink"/>
            <w:noProof/>
          </w:rPr>
          <w:t>2.1.365</w:t>
        </w:r>
        <w:r>
          <w:rPr>
            <w:rFonts w:asciiTheme="minorHAnsi" w:eastAsiaTheme="minorEastAsia" w:hAnsiTheme="minorHAnsi" w:cstheme="minorBidi"/>
            <w:noProof/>
            <w:sz w:val="22"/>
            <w:szCs w:val="22"/>
          </w:rPr>
          <w:tab/>
        </w:r>
        <w:r w:rsidRPr="00CC53E5">
          <w:rPr>
            <w:rStyle w:val="Hyperlink"/>
            <w:noProof/>
          </w:rPr>
          <w:t>Part 1 Section 17.14.9, dataSource (Data Source File Path)</w:t>
        </w:r>
        <w:r>
          <w:rPr>
            <w:noProof/>
            <w:webHidden/>
          </w:rPr>
          <w:tab/>
        </w:r>
        <w:r>
          <w:rPr>
            <w:noProof/>
            <w:webHidden/>
          </w:rPr>
          <w:fldChar w:fldCharType="begin"/>
        </w:r>
        <w:r>
          <w:rPr>
            <w:noProof/>
            <w:webHidden/>
          </w:rPr>
          <w:instrText xml:space="preserve"> PAGEREF _Toc69878148 \h </w:instrText>
        </w:r>
        <w:r>
          <w:rPr>
            <w:noProof/>
            <w:webHidden/>
          </w:rPr>
        </w:r>
        <w:r>
          <w:rPr>
            <w:noProof/>
            <w:webHidden/>
          </w:rPr>
          <w:fldChar w:fldCharType="separate"/>
        </w:r>
        <w:r>
          <w:rPr>
            <w:noProof/>
            <w:webHidden/>
          </w:rPr>
          <w:t>145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49" w:history="1">
        <w:r w:rsidRPr="00CC53E5">
          <w:rPr>
            <w:rStyle w:val="Hyperlink"/>
            <w:noProof/>
          </w:rPr>
          <w:t>2.1.366</w:t>
        </w:r>
        <w:r>
          <w:rPr>
            <w:rFonts w:asciiTheme="minorHAnsi" w:eastAsiaTheme="minorEastAsia" w:hAnsiTheme="minorHAnsi" w:cstheme="minorBidi"/>
            <w:noProof/>
            <w:sz w:val="22"/>
            <w:szCs w:val="22"/>
          </w:rPr>
          <w:tab/>
        </w:r>
        <w:r w:rsidRPr="00CC53E5">
          <w:rPr>
            <w:rStyle w:val="Hyperlink"/>
            <w:noProof/>
          </w:rPr>
          <w:t>Part 1 Section 17.14.12, doNotSuppressBlankLines (Remove Blank Lines from Merged Documents)</w:t>
        </w:r>
        <w:r>
          <w:rPr>
            <w:noProof/>
            <w:webHidden/>
          </w:rPr>
          <w:tab/>
        </w:r>
        <w:r>
          <w:rPr>
            <w:noProof/>
            <w:webHidden/>
          </w:rPr>
          <w:fldChar w:fldCharType="begin"/>
        </w:r>
        <w:r>
          <w:rPr>
            <w:noProof/>
            <w:webHidden/>
          </w:rPr>
          <w:instrText xml:space="preserve"> PAGEREF _Toc69878149 \h </w:instrText>
        </w:r>
        <w:r>
          <w:rPr>
            <w:noProof/>
            <w:webHidden/>
          </w:rPr>
        </w:r>
        <w:r>
          <w:rPr>
            <w:noProof/>
            <w:webHidden/>
          </w:rPr>
          <w:fldChar w:fldCharType="separate"/>
        </w:r>
        <w:r>
          <w:rPr>
            <w:noProof/>
            <w:webHidden/>
          </w:rPr>
          <w:t>145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50" w:history="1">
        <w:r w:rsidRPr="00CC53E5">
          <w:rPr>
            <w:rStyle w:val="Hyperlink"/>
            <w:noProof/>
          </w:rPr>
          <w:t>2.1.367</w:t>
        </w:r>
        <w:r>
          <w:rPr>
            <w:rFonts w:asciiTheme="minorHAnsi" w:eastAsiaTheme="minorEastAsia" w:hAnsiTheme="minorHAnsi" w:cstheme="minorBidi"/>
            <w:noProof/>
            <w:sz w:val="22"/>
            <w:szCs w:val="22"/>
          </w:rPr>
          <w:tab/>
        </w:r>
        <w:r w:rsidRPr="00CC53E5">
          <w:rPr>
            <w:rStyle w:val="Hyperlink"/>
            <w:noProof/>
          </w:rPr>
          <w:t>Part 1 Section 17.14.13, dynamicAddress (Use Country-Based Address Field Ordering)</w:t>
        </w:r>
        <w:r>
          <w:rPr>
            <w:noProof/>
            <w:webHidden/>
          </w:rPr>
          <w:tab/>
        </w:r>
        <w:r>
          <w:rPr>
            <w:noProof/>
            <w:webHidden/>
          </w:rPr>
          <w:fldChar w:fldCharType="begin"/>
        </w:r>
        <w:r>
          <w:rPr>
            <w:noProof/>
            <w:webHidden/>
          </w:rPr>
          <w:instrText xml:space="preserve"> PAGEREF _Toc69878150 \h </w:instrText>
        </w:r>
        <w:r>
          <w:rPr>
            <w:noProof/>
            <w:webHidden/>
          </w:rPr>
        </w:r>
        <w:r>
          <w:rPr>
            <w:noProof/>
            <w:webHidden/>
          </w:rPr>
          <w:fldChar w:fldCharType="separate"/>
        </w:r>
        <w:r>
          <w:rPr>
            <w:noProof/>
            <w:webHidden/>
          </w:rPr>
          <w:t>145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51" w:history="1">
        <w:r w:rsidRPr="00CC53E5">
          <w:rPr>
            <w:rStyle w:val="Hyperlink"/>
            <w:noProof/>
          </w:rPr>
          <w:t>2.1.368</w:t>
        </w:r>
        <w:r>
          <w:rPr>
            <w:rFonts w:asciiTheme="minorHAnsi" w:eastAsiaTheme="minorEastAsia" w:hAnsiTheme="minorHAnsi" w:cstheme="minorBidi"/>
            <w:noProof/>
            <w:sz w:val="22"/>
            <w:szCs w:val="22"/>
          </w:rPr>
          <w:tab/>
        </w:r>
        <w:r w:rsidRPr="00CC53E5">
          <w:rPr>
            <w:rStyle w:val="Hyperlink"/>
            <w:noProof/>
          </w:rPr>
          <w:t>Part 1 Section 17.14.14, fHdr (First Row of Data Source Contains Column Names)</w:t>
        </w:r>
        <w:r>
          <w:rPr>
            <w:noProof/>
            <w:webHidden/>
          </w:rPr>
          <w:tab/>
        </w:r>
        <w:r>
          <w:rPr>
            <w:noProof/>
            <w:webHidden/>
          </w:rPr>
          <w:fldChar w:fldCharType="begin"/>
        </w:r>
        <w:r>
          <w:rPr>
            <w:noProof/>
            <w:webHidden/>
          </w:rPr>
          <w:instrText xml:space="preserve"> PAGEREF _Toc69878151 \h </w:instrText>
        </w:r>
        <w:r>
          <w:rPr>
            <w:noProof/>
            <w:webHidden/>
          </w:rPr>
        </w:r>
        <w:r>
          <w:rPr>
            <w:noProof/>
            <w:webHidden/>
          </w:rPr>
          <w:fldChar w:fldCharType="separate"/>
        </w:r>
        <w:r>
          <w:rPr>
            <w:noProof/>
            <w:webHidden/>
          </w:rPr>
          <w:t>146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52" w:history="1">
        <w:r w:rsidRPr="00CC53E5">
          <w:rPr>
            <w:rStyle w:val="Hyperlink"/>
            <w:noProof/>
          </w:rPr>
          <w:t>2.1.369</w:t>
        </w:r>
        <w:r>
          <w:rPr>
            <w:rFonts w:asciiTheme="minorHAnsi" w:eastAsiaTheme="minorEastAsia" w:hAnsiTheme="minorHAnsi" w:cstheme="minorBidi"/>
            <w:noProof/>
            <w:sz w:val="22"/>
            <w:szCs w:val="22"/>
          </w:rPr>
          <w:tab/>
        </w:r>
        <w:r w:rsidRPr="00CC53E5">
          <w:rPr>
            <w:rStyle w:val="Hyperlink"/>
            <w:noProof/>
          </w:rPr>
          <w:t>Part 1 Section 17.14.15, fieldMapData (External Data Source to Merge Field Mapping)</w:t>
        </w:r>
        <w:r>
          <w:rPr>
            <w:noProof/>
            <w:webHidden/>
          </w:rPr>
          <w:tab/>
        </w:r>
        <w:r>
          <w:rPr>
            <w:noProof/>
            <w:webHidden/>
          </w:rPr>
          <w:fldChar w:fldCharType="begin"/>
        </w:r>
        <w:r>
          <w:rPr>
            <w:noProof/>
            <w:webHidden/>
          </w:rPr>
          <w:instrText xml:space="preserve"> PAGEREF _Toc69878152 \h </w:instrText>
        </w:r>
        <w:r>
          <w:rPr>
            <w:noProof/>
            <w:webHidden/>
          </w:rPr>
        </w:r>
        <w:r>
          <w:rPr>
            <w:noProof/>
            <w:webHidden/>
          </w:rPr>
          <w:fldChar w:fldCharType="separate"/>
        </w:r>
        <w:r>
          <w:rPr>
            <w:noProof/>
            <w:webHidden/>
          </w:rPr>
          <w:t>146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53" w:history="1">
        <w:r w:rsidRPr="00CC53E5">
          <w:rPr>
            <w:rStyle w:val="Hyperlink"/>
            <w:noProof/>
          </w:rPr>
          <w:t>2.1.370</w:t>
        </w:r>
        <w:r>
          <w:rPr>
            <w:rFonts w:asciiTheme="minorHAnsi" w:eastAsiaTheme="minorEastAsia" w:hAnsiTheme="minorHAnsi" w:cstheme="minorBidi"/>
            <w:noProof/>
            <w:sz w:val="22"/>
            <w:szCs w:val="22"/>
          </w:rPr>
          <w:tab/>
        </w:r>
        <w:r w:rsidRPr="00CC53E5">
          <w:rPr>
            <w:rStyle w:val="Hyperlink"/>
            <w:noProof/>
          </w:rPr>
          <w:t>Part 1 Section 17.14.16, headerSource (Header Definition File Path)</w:t>
        </w:r>
        <w:r>
          <w:rPr>
            <w:noProof/>
            <w:webHidden/>
          </w:rPr>
          <w:tab/>
        </w:r>
        <w:r>
          <w:rPr>
            <w:noProof/>
            <w:webHidden/>
          </w:rPr>
          <w:fldChar w:fldCharType="begin"/>
        </w:r>
        <w:r>
          <w:rPr>
            <w:noProof/>
            <w:webHidden/>
          </w:rPr>
          <w:instrText xml:space="preserve"> PAGEREF _Toc69878153 \h </w:instrText>
        </w:r>
        <w:r>
          <w:rPr>
            <w:noProof/>
            <w:webHidden/>
          </w:rPr>
        </w:r>
        <w:r>
          <w:rPr>
            <w:noProof/>
            <w:webHidden/>
          </w:rPr>
          <w:fldChar w:fldCharType="separate"/>
        </w:r>
        <w:r>
          <w:rPr>
            <w:noProof/>
            <w:webHidden/>
          </w:rPr>
          <w:t>147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54" w:history="1">
        <w:r w:rsidRPr="00CC53E5">
          <w:rPr>
            <w:rStyle w:val="Hyperlink"/>
            <w:noProof/>
          </w:rPr>
          <w:t>2.1.371</w:t>
        </w:r>
        <w:r>
          <w:rPr>
            <w:rFonts w:asciiTheme="minorHAnsi" w:eastAsiaTheme="minorEastAsia" w:hAnsiTheme="minorHAnsi" w:cstheme="minorBidi"/>
            <w:noProof/>
            <w:sz w:val="22"/>
            <w:szCs w:val="22"/>
          </w:rPr>
          <w:tab/>
        </w:r>
        <w:r w:rsidRPr="00CC53E5">
          <w:rPr>
            <w:rStyle w:val="Hyperlink"/>
            <w:noProof/>
          </w:rPr>
          <w:t>Part 1 Section 17.14.17, lid (Merge Field Name Language ID)</w:t>
        </w:r>
        <w:r>
          <w:rPr>
            <w:noProof/>
            <w:webHidden/>
          </w:rPr>
          <w:tab/>
        </w:r>
        <w:r>
          <w:rPr>
            <w:noProof/>
            <w:webHidden/>
          </w:rPr>
          <w:fldChar w:fldCharType="begin"/>
        </w:r>
        <w:r>
          <w:rPr>
            <w:noProof/>
            <w:webHidden/>
          </w:rPr>
          <w:instrText xml:space="preserve"> PAGEREF _Toc69878154 \h </w:instrText>
        </w:r>
        <w:r>
          <w:rPr>
            <w:noProof/>
            <w:webHidden/>
          </w:rPr>
        </w:r>
        <w:r>
          <w:rPr>
            <w:noProof/>
            <w:webHidden/>
          </w:rPr>
          <w:fldChar w:fldCharType="separate"/>
        </w:r>
        <w:r>
          <w:rPr>
            <w:noProof/>
            <w:webHidden/>
          </w:rPr>
          <w:t>147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55" w:history="1">
        <w:r w:rsidRPr="00CC53E5">
          <w:rPr>
            <w:rStyle w:val="Hyperlink"/>
            <w:noProof/>
          </w:rPr>
          <w:t>2.1.372</w:t>
        </w:r>
        <w:r>
          <w:rPr>
            <w:rFonts w:asciiTheme="minorHAnsi" w:eastAsiaTheme="minorEastAsia" w:hAnsiTheme="minorHAnsi" w:cstheme="minorBidi"/>
            <w:noProof/>
            <w:sz w:val="22"/>
            <w:szCs w:val="22"/>
          </w:rPr>
          <w:tab/>
        </w:r>
        <w:r w:rsidRPr="00CC53E5">
          <w:rPr>
            <w:rStyle w:val="Hyperlink"/>
            <w:noProof/>
          </w:rPr>
          <w:t>Part 1 Section 17.14.18, linkToQuery (Query Contains Link to External Query File)</w:t>
        </w:r>
        <w:r>
          <w:rPr>
            <w:noProof/>
            <w:webHidden/>
          </w:rPr>
          <w:tab/>
        </w:r>
        <w:r>
          <w:rPr>
            <w:noProof/>
            <w:webHidden/>
          </w:rPr>
          <w:fldChar w:fldCharType="begin"/>
        </w:r>
        <w:r>
          <w:rPr>
            <w:noProof/>
            <w:webHidden/>
          </w:rPr>
          <w:instrText xml:space="preserve"> PAGEREF _Toc69878155 \h </w:instrText>
        </w:r>
        <w:r>
          <w:rPr>
            <w:noProof/>
            <w:webHidden/>
          </w:rPr>
        </w:r>
        <w:r>
          <w:rPr>
            <w:noProof/>
            <w:webHidden/>
          </w:rPr>
          <w:fldChar w:fldCharType="separate"/>
        </w:r>
        <w:r>
          <w:rPr>
            <w:noProof/>
            <w:webHidden/>
          </w:rPr>
          <w:t>147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56" w:history="1">
        <w:r w:rsidRPr="00CC53E5">
          <w:rPr>
            <w:rStyle w:val="Hyperlink"/>
            <w:noProof/>
          </w:rPr>
          <w:t>2.1.373</w:t>
        </w:r>
        <w:r>
          <w:rPr>
            <w:rFonts w:asciiTheme="minorHAnsi" w:eastAsiaTheme="minorEastAsia" w:hAnsiTheme="minorHAnsi" w:cstheme="minorBidi"/>
            <w:noProof/>
            <w:sz w:val="22"/>
            <w:szCs w:val="22"/>
          </w:rPr>
          <w:tab/>
        </w:r>
        <w:r w:rsidRPr="00CC53E5">
          <w:rPr>
            <w:rStyle w:val="Hyperlink"/>
            <w:noProof/>
          </w:rPr>
          <w:t>Part 1 Section 17.14.20, mailMerge (Mail Merge Settings)</w:t>
        </w:r>
        <w:r>
          <w:rPr>
            <w:noProof/>
            <w:webHidden/>
          </w:rPr>
          <w:tab/>
        </w:r>
        <w:r>
          <w:rPr>
            <w:noProof/>
            <w:webHidden/>
          </w:rPr>
          <w:fldChar w:fldCharType="begin"/>
        </w:r>
        <w:r>
          <w:rPr>
            <w:noProof/>
            <w:webHidden/>
          </w:rPr>
          <w:instrText xml:space="preserve"> PAGEREF _Toc69878156 \h </w:instrText>
        </w:r>
        <w:r>
          <w:rPr>
            <w:noProof/>
            <w:webHidden/>
          </w:rPr>
        </w:r>
        <w:r>
          <w:rPr>
            <w:noProof/>
            <w:webHidden/>
          </w:rPr>
          <w:fldChar w:fldCharType="separate"/>
        </w:r>
        <w:r>
          <w:rPr>
            <w:noProof/>
            <w:webHidden/>
          </w:rPr>
          <w:t>147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57" w:history="1">
        <w:r w:rsidRPr="00CC53E5">
          <w:rPr>
            <w:rStyle w:val="Hyperlink"/>
            <w:noProof/>
          </w:rPr>
          <w:t>2.1.374</w:t>
        </w:r>
        <w:r>
          <w:rPr>
            <w:rFonts w:asciiTheme="minorHAnsi" w:eastAsiaTheme="minorEastAsia" w:hAnsiTheme="minorHAnsi" w:cstheme="minorBidi"/>
            <w:noProof/>
            <w:sz w:val="22"/>
            <w:szCs w:val="22"/>
          </w:rPr>
          <w:tab/>
        </w:r>
        <w:r w:rsidRPr="00CC53E5">
          <w:rPr>
            <w:rStyle w:val="Hyperlink"/>
            <w:noProof/>
          </w:rPr>
          <w:t>Part 1 Section 17.14.23, mappedName (Predefined Merge Field Name)</w:t>
        </w:r>
        <w:r>
          <w:rPr>
            <w:noProof/>
            <w:webHidden/>
          </w:rPr>
          <w:tab/>
        </w:r>
        <w:r>
          <w:rPr>
            <w:noProof/>
            <w:webHidden/>
          </w:rPr>
          <w:fldChar w:fldCharType="begin"/>
        </w:r>
        <w:r>
          <w:rPr>
            <w:noProof/>
            <w:webHidden/>
          </w:rPr>
          <w:instrText xml:space="preserve"> PAGEREF _Toc69878157 \h </w:instrText>
        </w:r>
        <w:r>
          <w:rPr>
            <w:noProof/>
            <w:webHidden/>
          </w:rPr>
        </w:r>
        <w:r>
          <w:rPr>
            <w:noProof/>
            <w:webHidden/>
          </w:rPr>
          <w:fldChar w:fldCharType="separate"/>
        </w:r>
        <w:r>
          <w:rPr>
            <w:noProof/>
            <w:webHidden/>
          </w:rPr>
          <w:t>148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58" w:history="1">
        <w:r w:rsidRPr="00CC53E5">
          <w:rPr>
            <w:rStyle w:val="Hyperlink"/>
            <w:noProof/>
          </w:rPr>
          <w:t>2.1.375</w:t>
        </w:r>
        <w:r>
          <w:rPr>
            <w:rFonts w:asciiTheme="minorHAnsi" w:eastAsiaTheme="minorEastAsia" w:hAnsiTheme="minorHAnsi" w:cstheme="minorBidi"/>
            <w:noProof/>
            <w:sz w:val="22"/>
            <w:szCs w:val="22"/>
          </w:rPr>
          <w:tab/>
        </w:r>
        <w:r w:rsidRPr="00CC53E5">
          <w:rPr>
            <w:rStyle w:val="Hyperlink"/>
            <w:noProof/>
          </w:rPr>
          <w:t>Part 1 Section 17.14.24, name (Data Source Name for Column)</w:t>
        </w:r>
        <w:r>
          <w:rPr>
            <w:noProof/>
            <w:webHidden/>
          </w:rPr>
          <w:tab/>
        </w:r>
        <w:r>
          <w:rPr>
            <w:noProof/>
            <w:webHidden/>
          </w:rPr>
          <w:fldChar w:fldCharType="begin"/>
        </w:r>
        <w:r>
          <w:rPr>
            <w:noProof/>
            <w:webHidden/>
          </w:rPr>
          <w:instrText xml:space="preserve"> PAGEREF _Toc69878158 \h </w:instrText>
        </w:r>
        <w:r>
          <w:rPr>
            <w:noProof/>
            <w:webHidden/>
          </w:rPr>
        </w:r>
        <w:r>
          <w:rPr>
            <w:noProof/>
            <w:webHidden/>
          </w:rPr>
          <w:fldChar w:fldCharType="separate"/>
        </w:r>
        <w:r>
          <w:rPr>
            <w:noProof/>
            <w:webHidden/>
          </w:rPr>
          <w:t>148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59" w:history="1">
        <w:r w:rsidRPr="00CC53E5">
          <w:rPr>
            <w:rStyle w:val="Hyperlink"/>
            <w:noProof/>
          </w:rPr>
          <w:t>2.1.376</w:t>
        </w:r>
        <w:r>
          <w:rPr>
            <w:rFonts w:asciiTheme="minorHAnsi" w:eastAsiaTheme="minorEastAsia" w:hAnsiTheme="minorHAnsi" w:cstheme="minorBidi"/>
            <w:noProof/>
            <w:sz w:val="22"/>
            <w:szCs w:val="22"/>
          </w:rPr>
          <w:tab/>
        </w:r>
        <w:r w:rsidRPr="00CC53E5">
          <w:rPr>
            <w:rStyle w:val="Hyperlink"/>
            <w:noProof/>
          </w:rPr>
          <w:t>Part 1 Section 17.14.25, odso (Office Data Source Object Settings)</w:t>
        </w:r>
        <w:r>
          <w:rPr>
            <w:noProof/>
            <w:webHidden/>
          </w:rPr>
          <w:tab/>
        </w:r>
        <w:r>
          <w:rPr>
            <w:noProof/>
            <w:webHidden/>
          </w:rPr>
          <w:fldChar w:fldCharType="begin"/>
        </w:r>
        <w:r>
          <w:rPr>
            <w:noProof/>
            <w:webHidden/>
          </w:rPr>
          <w:instrText xml:space="preserve"> PAGEREF _Toc69878159 \h </w:instrText>
        </w:r>
        <w:r>
          <w:rPr>
            <w:noProof/>
            <w:webHidden/>
          </w:rPr>
        </w:r>
        <w:r>
          <w:rPr>
            <w:noProof/>
            <w:webHidden/>
          </w:rPr>
          <w:fldChar w:fldCharType="separate"/>
        </w:r>
        <w:r>
          <w:rPr>
            <w:noProof/>
            <w:webHidden/>
          </w:rPr>
          <w:t>148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60" w:history="1">
        <w:r w:rsidRPr="00CC53E5">
          <w:rPr>
            <w:rStyle w:val="Hyperlink"/>
            <w:noProof/>
          </w:rPr>
          <w:t>2.1.377</w:t>
        </w:r>
        <w:r>
          <w:rPr>
            <w:rFonts w:asciiTheme="minorHAnsi" w:eastAsiaTheme="minorEastAsia" w:hAnsiTheme="minorHAnsi" w:cstheme="minorBidi"/>
            <w:noProof/>
            <w:sz w:val="22"/>
            <w:szCs w:val="22"/>
          </w:rPr>
          <w:tab/>
        </w:r>
        <w:r w:rsidRPr="00CC53E5">
          <w:rPr>
            <w:rStyle w:val="Hyperlink"/>
            <w:noProof/>
          </w:rPr>
          <w:t>Part 1 Section 17.14.26, query (Query For Data Source Records To Merge)</w:t>
        </w:r>
        <w:r>
          <w:rPr>
            <w:noProof/>
            <w:webHidden/>
          </w:rPr>
          <w:tab/>
        </w:r>
        <w:r>
          <w:rPr>
            <w:noProof/>
            <w:webHidden/>
          </w:rPr>
          <w:fldChar w:fldCharType="begin"/>
        </w:r>
        <w:r>
          <w:rPr>
            <w:noProof/>
            <w:webHidden/>
          </w:rPr>
          <w:instrText xml:space="preserve"> PAGEREF _Toc69878160 \h </w:instrText>
        </w:r>
        <w:r>
          <w:rPr>
            <w:noProof/>
            <w:webHidden/>
          </w:rPr>
        </w:r>
        <w:r>
          <w:rPr>
            <w:noProof/>
            <w:webHidden/>
          </w:rPr>
          <w:fldChar w:fldCharType="separate"/>
        </w:r>
        <w:r>
          <w:rPr>
            <w:noProof/>
            <w:webHidden/>
          </w:rPr>
          <w:t>148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61" w:history="1">
        <w:r w:rsidRPr="00CC53E5">
          <w:rPr>
            <w:rStyle w:val="Hyperlink"/>
            <w:noProof/>
          </w:rPr>
          <w:t>2.1.378</w:t>
        </w:r>
        <w:r>
          <w:rPr>
            <w:rFonts w:asciiTheme="minorHAnsi" w:eastAsiaTheme="minorEastAsia" w:hAnsiTheme="minorHAnsi" w:cstheme="minorBidi"/>
            <w:noProof/>
            <w:sz w:val="22"/>
            <w:szCs w:val="22"/>
          </w:rPr>
          <w:tab/>
        </w:r>
        <w:r w:rsidRPr="00CC53E5">
          <w:rPr>
            <w:rStyle w:val="Hyperlink"/>
            <w:noProof/>
          </w:rPr>
          <w:t>Part 1 Section 17.14.28, recipientData (Reference to Inclusion/Exclusion Data for Data Source)</w:t>
        </w:r>
        <w:r>
          <w:rPr>
            <w:noProof/>
            <w:webHidden/>
          </w:rPr>
          <w:tab/>
        </w:r>
        <w:r>
          <w:rPr>
            <w:noProof/>
            <w:webHidden/>
          </w:rPr>
          <w:fldChar w:fldCharType="begin"/>
        </w:r>
        <w:r>
          <w:rPr>
            <w:noProof/>
            <w:webHidden/>
          </w:rPr>
          <w:instrText xml:space="preserve"> PAGEREF _Toc69878161 \h </w:instrText>
        </w:r>
        <w:r>
          <w:rPr>
            <w:noProof/>
            <w:webHidden/>
          </w:rPr>
        </w:r>
        <w:r>
          <w:rPr>
            <w:noProof/>
            <w:webHidden/>
          </w:rPr>
          <w:fldChar w:fldCharType="separate"/>
        </w:r>
        <w:r>
          <w:rPr>
            <w:noProof/>
            <w:webHidden/>
          </w:rPr>
          <w:t>148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62" w:history="1">
        <w:r w:rsidRPr="00CC53E5">
          <w:rPr>
            <w:rStyle w:val="Hyperlink"/>
            <w:noProof/>
          </w:rPr>
          <w:t>2.1.379</w:t>
        </w:r>
        <w:r>
          <w:rPr>
            <w:rFonts w:asciiTheme="minorHAnsi" w:eastAsiaTheme="minorEastAsia" w:hAnsiTheme="minorHAnsi" w:cstheme="minorBidi"/>
            <w:noProof/>
            <w:sz w:val="22"/>
            <w:szCs w:val="22"/>
          </w:rPr>
          <w:tab/>
        </w:r>
        <w:r w:rsidRPr="00CC53E5">
          <w:rPr>
            <w:rStyle w:val="Hyperlink"/>
            <w:noProof/>
          </w:rPr>
          <w:t>Part 1 Section 17.14.30, src (ODSO Data Source File Path)</w:t>
        </w:r>
        <w:r>
          <w:rPr>
            <w:noProof/>
            <w:webHidden/>
          </w:rPr>
          <w:tab/>
        </w:r>
        <w:r>
          <w:rPr>
            <w:noProof/>
            <w:webHidden/>
          </w:rPr>
          <w:fldChar w:fldCharType="begin"/>
        </w:r>
        <w:r>
          <w:rPr>
            <w:noProof/>
            <w:webHidden/>
          </w:rPr>
          <w:instrText xml:space="preserve"> PAGEREF _Toc69878162 \h </w:instrText>
        </w:r>
        <w:r>
          <w:rPr>
            <w:noProof/>
            <w:webHidden/>
          </w:rPr>
        </w:r>
        <w:r>
          <w:rPr>
            <w:noProof/>
            <w:webHidden/>
          </w:rPr>
          <w:fldChar w:fldCharType="separate"/>
        </w:r>
        <w:r>
          <w:rPr>
            <w:noProof/>
            <w:webHidden/>
          </w:rPr>
          <w:t>148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63" w:history="1">
        <w:r w:rsidRPr="00CC53E5">
          <w:rPr>
            <w:rStyle w:val="Hyperlink"/>
            <w:noProof/>
          </w:rPr>
          <w:t>2.1.380</w:t>
        </w:r>
        <w:r>
          <w:rPr>
            <w:rFonts w:asciiTheme="minorHAnsi" w:eastAsiaTheme="minorEastAsia" w:hAnsiTheme="minorHAnsi" w:cstheme="minorBidi"/>
            <w:noProof/>
            <w:sz w:val="22"/>
            <w:szCs w:val="22"/>
          </w:rPr>
          <w:tab/>
        </w:r>
        <w:r w:rsidRPr="00CC53E5">
          <w:rPr>
            <w:rStyle w:val="Hyperlink"/>
            <w:noProof/>
          </w:rPr>
          <w:t>Part 1 Section 17.14.31, table (Data Source Table Name)</w:t>
        </w:r>
        <w:r>
          <w:rPr>
            <w:noProof/>
            <w:webHidden/>
          </w:rPr>
          <w:tab/>
        </w:r>
        <w:r>
          <w:rPr>
            <w:noProof/>
            <w:webHidden/>
          </w:rPr>
          <w:fldChar w:fldCharType="begin"/>
        </w:r>
        <w:r>
          <w:rPr>
            <w:noProof/>
            <w:webHidden/>
          </w:rPr>
          <w:instrText xml:space="preserve"> PAGEREF _Toc69878163 \h </w:instrText>
        </w:r>
        <w:r>
          <w:rPr>
            <w:noProof/>
            <w:webHidden/>
          </w:rPr>
        </w:r>
        <w:r>
          <w:rPr>
            <w:noProof/>
            <w:webHidden/>
          </w:rPr>
          <w:fldChar w:fldCharType="separate"/>
        </w:r>
        <w:r>
          <w:rPr>
            <w:noProof/>
            <w:webHidden/>
          </w:rPr>
          <w:t>149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64" w:history="1">
        <w:r w:rsidRPr="00CC53E5">
          <w:rPr>
            <w:rStyle w:val="Hyperlink"/>
            <w:noProof/>
          </w:rPr>
          <w:t>2.1.381</w:t>
        </w:r>
        <w:r>
          <w:rPr>
            <w:rFonts w:asciiTheme="minorHAnsi" w:eastAsiaTheme="minorEastAsia" w:hAnsiTheme="minorHAnsi" w:cstheme="minorBidi"/>
            <w:noProof/>
            <w:sz w:val="22"/>
            <w:szCs w:val="22"/>
          </w:rPr>
          <w:tab/>
        </w:r>
        <w:r w:rsidRPr="00CC53E5">
          <w:rPr>
            <w:rStyle w:val="Hyperlink"/>
            <w:noProof/>
          </w:rPr>
          <w:t>Part 1 Section 17.14.34, udl (UDL Connection String)</w:t>
        </w:r>
        <w:r>
          <w:rPr>
            <w:noProof/>
            <w:webHidden/>
          </w:rPr>
          <w:tab/>
        </w:r>
        <w:r>
          <w:rPr>
            <w:noProof/>
            <w:webHidden/>
          </w:rPr>
          <w:fldChar w:fldCharType="begin"/>
        </w:r>
        <w:r>
          <w:rPr>
            <w:noProof/>
            <w:webHidden/>
          </w:rPr>
          <w:instrText xml:space="preserve"> PAGEREF _Toc69878164 \h </w:instrText>
        </w:r>
        <w:r>
          <w:rPr>
            <w:noProof/>
            <w:webHidden/>
          </w:rPr>
        </w:r>
        <w:r>
          <w:rPr>
            <w:noProof/>
            <w:webHidden/>
          </w:rPr>
          <w:fldChar w:fldCharType="separate"/>
        </w:r>
        <w:r>
          <w:rPr>
            <w:noProof/>
            <w:webHidden/>
          </w:rPr>
          <w:t>149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65" w:history="1">
        <w:r w:rsidRPr="00CC53E5">
          <w:rPr>
            <w:rStyle w:val="Hyperlink"/>
            <w:noProof/>
          </w:rPr>
          <w:t>2.1.382</w:t>
        </w:r>
        <w:r>
          <w:rPr>
            <w:rFonts w:asciiTheme="minorHAnsi" w:eastAsiaTheme="minorEastAsia" w:hAnsiTheme="minorHAnsi" w:cstheme="minorBidi"/>
            <w:noProof/>
            <w:sz w:val="22"/>
            <w:szCs w:val="22"/>
          </w:rPr>
          <w:tab/>
        </w:r>
        <w:r w:rsidRPr="00CC53E5">
          <w:rPr>
            <w:rStyle w:val="Hyperlink"/>
            <w:noProof/>
          </w:rPr>
          <w:t>Part 1 Section 17.14.35, uniqueTag (Unique Value for Record)</w:t>
        </w:r>
        <w:r>
          <w:rPr>
            <w:noProof/>
            <w:webHidden/>
          </w:rPr>
          <w:tab/>
        </w:r>
        <w:r>
          <w:rPr>
            <w:noProof/>
            <w:webHidden/>
          </w:rPr>
          <w:fldChar w:fldCharType="begin"/>
        </w:r>
        <w:r>
          <w:rPr>
            <w:noProof/>
            <w:webHidden/>
          </w:rPr>
          <w:instrText xml:space="preserve"> PAGEREF _Toc69878165 \h </w:instrText>
        </w:r>
        <w:r>
          <w:rPr>
            <w:noProof/>
            <w:webHidden/>
          </w:rPr>
        </w:r>
        <w:r>
          <w:rPr>
            <w:noProof/>
            <w:webHidden/>
          </w:rPr>
          <w:fldChar w:fldCharType="separate"/>
        </w:r>
        <w:r>
          <w:rPr>
            <w:noProof/>
            <w:webHidden/>
          </w:rPr>
          <w:t>149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66" w:history="1">
        <w:r w:rsidRPr="00CC53E5">
          <w:rPr>
            <w:rStyle w:val="Hyperlink"/>
            <w:noProof/>
          </w:rPr>
          <w:t>2.1.383</w:t>
        </w:r>
        <w:r>
          <w:rPr>
            <w:rFonts w:asciiTheme="minorHAnsi" w:eastAsiaTheme="minorEastAsia" w:hAnsiTheme="minorHAnsi" w:cstheme="minorBidi"/>
            <w:noProof/>
            <w:sz w:val="22"/>
            <w:szCs w:val="22"/>
          </w:rPr>
          <w:tab/>
        </w:r>
        <w:r w:rsidRPr="00CC53E5">
          <w:rPr>
            <w:rStyle w:val="Hyperlink"/>
            <w:noProof/>
          </w:rPr>
          <w:t>Part 1 Section 17.15.1.1, activeWritingStyle (Grammar Checking Settings)</w:t>
        </w:r>
        <w:r>
          <w:rPr>
            <w:noProof/>
            <w:webHidden/>
          </w:rPr>
          <w:tab/>
        </w:r>
        <w:r>
          <w:rPr>
            <w:noProof/>
            <w:webHidden/>
          </w:rPr>
          <w:fldChar w:fldCharType="begin"/>
        </w:r>
        <w:r>
          <w:rPr>
            <w:noProof/>
            <w:webHidden/>
          </w:rPr>
          <w:instrText xml:space="preserve"> PAGEREF _Toc69878166 \h </w:instrText>
        </w:r>
        <w:r>
          <w:rPr>
            <w:noProof/>
            <w:webHidden/>
          </w:rPr>
        </w:r>
        <w:r>
          <w:rPr>
            <w:noProof/>
            <w:webHidden/>
          </w:rPr>
          <w:fldChar w:fldCharType="separate"/>
        </w:r>
        <w:r>
          <w:rPr>
            <w:noProof/>
            <w:webHidden/>
          </w:rPr>
          <w:t>150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67" w:history="1">
        <w:r w:rsidRPr="00CC53E5">
          <w:rPr>
            <w:rStyle w:val="Hyperlink"/>
            <w:noProof/>
          </w:rPr>
          <w:t>2.1.384</w:t>
        </w:r>
        <w:r>
          <w:rPr>
            <w:rFonts w:asciiTheme="minorHAnsi" w:eastAsiaTheme="minorEastAsia" w:hAnsiTheme="minorHAnsi" w:cstheme="minorBidi"/>
            <w:noProof/>
            <w:sz w:val="22"/>
            <w:szCs w:val="22"/>
          </w:rPr>
          <w:tab/>
        </w:r>
        <w:r w:rsidRPr="00CC53E5">
          <w:rPr>
            <w:rStyle w:val="Hyperlink"/>
            <w:noProof/>
          </w:rPr>
          <w:t>Part 1 Section 17.15.1.3, alwaysMergeEmptyNamespace (Do Not Mark Custom XML Elements With No Namespace As Invalid)</w:t>
        </w:r>
        <w:r>
          <w:rPr>
            <w:noProof/>
            <w:webHidden/>
          </w:rPr>
          <w:tab/>
        </w:r>
        <w:r>
          <w:rPr>
            <w:noProof/>
            <w:webHidden/>
          </w:rPr>
          <w:fldChar w:fldCharType="begin"/>
        </w:r>
        <w:r>
          <w:rPr>
            <w:noProof/>
            <w:webHidden/>
          </w:rPr>
          <w:instrText xml:space="preserve"> PAGEREF _Toc69878167 \h </w:instrText>
        </w:r>
        <w:r>
          <w:rPr>
            <w:noProof/>
            <w:webHidden/>
          </w:rPr>
        </w:r>
        <w:r>
          <w:rPr>
            <w:noProof/>
            <w:webHidden/>
          </w:rPr>
          <w:fldChar w:fldCharType="separate"/>
        </w:r>
        <w:r>
          <w:rPr>
            <w:noProof/>
            <w:webHidden/>
          </w:rPr>
          <w:t>150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68" w:history="1">
        <w:r w:rsidRPr="00CC53E5">
          <w:rPr>
            <w:rStyle w:val="Hyperlink"/>
            <w:noProof/>
          </w:rPr>
          <w:t>2.1.385</w:t>
        </w:r>
        <w:r>
          <w:rPr>
            <w:rFonts w:asciiTheme="minorHAnsi" w:eastAsiaTheme="minorEastAsia" w:hAnsiTheme="minorHAnsi" w:cstheme="minorBidi"/>
            <w:noProof/>
            <w:sz w:val="22"/>
            <w:szCs w:val="22"/>
          </w:rPr>
          <w:tab/>
        </w:r>
        <w:r w:rsidRPr="00CC53E5">
          <w:rPr>
            <w:rStyle w:val="Hyperlink"/>
            <w:noProof/>
          </w:rPr>
          <w:t>Part 1 Section 17.15.1.6, attachedTemplate (Attached Document Template)</w:t>
        </w:r>
        <w:r>
          <w:rPr>
            <w:noProof/>
            <w:webHidden/>
          </w:rPr>
          <w:tab/>
        </w:r>
        <w:r>
          <w:rPr>
            <w:noProof/>
            <w:webHidden/>
          </w:rPr>
          <w:fldChar w:fldCharType="begin"/>
        </w:r>
        <w:r>
          <w:rPr>
            <w:noProof/>
            <w:webHidden/>
          </w:rPr>
          <w:instrText xml:space="preserve"> PAGEREF _Toc69878168 \h </w:instrText>
        </w:r>
        <w:r>
          <w:rPr>
            <w:noProof/>
            <w:webHidden/>
          </w:rPr>
        </w:r>
        <w:r>
          <w:rPr>
            <w:noProof/>
            <w:webHidden/>
          </w:rPr>
          <w:fldChar w:fldCharType="separate"/>
        </w:r>
        <w:r>
          <w:rPr>
            <w:noProof/>
            <w:webHidden/>
          </w:rPr>
          <w:t>151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69" w:history="1">
        <w:r w:rsidRPr="00CC53E5">
          <w:rPr>
            <w:rStyle w:val="Hyperlink"/>
            <w:noProof/>
          </w:rPr>
          <w:t>2.1.386</w:t>
        </w:r>
        <w:r>
          <w:rPr>
            <w:rFonts w:asciiTheme="minorHAnsi" w:eastAsiaTheme="minorEastAsia" w:hAnsiTheme="minorHAnsi" w:cstheme="minorBidi"/>
            <w:noProof/>
            <w:sz w:val="22"/>
            <w:szCs w:val="22"/>
          </w:rPr>
          <w:tab/>
        </w:r>
        <w:r w:rsidRPr="00CC53E5">
          <w:rPr>
            <w:rStyle w:val="Hyperlink"/>
            <w:noProof/>
          </w:rPr>
          <w:t>Part 1 Section 17.15.1.7, autoCaption (Single Automatic Captioning Setting)</w:t>
        </w:r>
        <w:r>
          <w:rPr>
            <w:noProof/>
            <w:webHidden/>
          </w:rPr>
          <w:tab/>
        </w:r>
        <w:r>
          <w:rPr>
            <w:noProof/>
            <w:webHidden/>
          </w:rPr>
          <w:fldChar w:fldCharType="begin"/>
        </w:r>
        <w:r>
          <w:rPr>
            <w:noProof/>
            <w:webHidden/>
          </w:rPr>
          <w:instrText xml:space="preserve"> PAGEREF _Toc69878169 \h </w:instrText>
        </w:r>
        <w:r>
          <w:rPr>
            <w:noProof/>
            <w:webHidden/>
          </w:rPr>
        </w:r>
        <w:r>
          <w:rPr>
            <w:noProof/>
            <w:webHidden/>
          </w:rPr>
          <w:fldChar w:fldCharType="separate"/>
        </w:r>
        <w:r>
          <w:rPr>
            <w:noProof/>
            <w:webHidden/>
          </w:rPr>
          <w:t>151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70" w:history="1">
        <w:r w:rsidRPr="00CC53E5">
          <w:rPr>
            <w:rStyle w:val="Hyperlink"/>
            <w:noProof/>
          </w:rPr>
          <w:t>2.1.387</w:t>
        </w:r>
        <w:r>
          <w:rPr>
            <w:rFonts w:asciiTheme="minorHAnsi" w:eastAsiaTheme="minorEastAsia" w:hAnsiTheme="minorHAnsi" w:cstheme="minorBidi"/>
            <w:noProof/>
            <w:sz w:val="22"/>
            <w:szCs w:val="22"/>
          </w:rPr>
          <w:tab/>
        </w:r>
        <w:r w:rsidRPr="00CC53E5">
          <w:rPr>
            <w:rStyle w:val="Hyperlink"/>
            <w:noProof/>
          </w:rPr>
          <w:t>Part 1 Section 17.15.1.8, autoCaptions (Automatic Captioning Settings)</w:t>
        </w:r>
        <w:r>
          <w:rPr>
            <w:noProof/>
            <w:webHidden/>
          </w:rPr>
          <w:tab/>
        </w:r>
        <w:r>
          <w:rPr>
            <w:noProof/>
            <w:webHidden/>
          </w:rPr>
          <w:fldChar w:fldCharType="begin"/>
        </w:r>
        <w:r>
          <w:rPr>
            <w:noProof/>
            <w:webHidden/>
          </w:rPr>
          <w:instrText xml:space="preserve"> PAGEREF _Toc69878170 \h </w:instrText>
        </w:r>
        <w:r>
          <w:rPr>
            <w:noProof/>
            <w:webHidden/>
          </w:rPr>
        </w:r>
        <w:r>
          <w:rPr>
            <w:noProof/>
            <w:webHidden/>
          </w:rPr>
          <w:fldChar w:fldCharType="separate"/>
        </w:r>
        <w:r>
          <w:rPr>
            <w:noProof/>
            <w:webHidden/>
          </w:rPr>
          <w:t>151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71" w:history="1">
        <w:r w:rsidRPr="00CC53E5">
          <w:rPr>
            <w:rStyle w:val="Hyperlink"/>
            <w:noProof/>
          </w:rPr>
          <w:t>2.1.388</w:t>
        </w:r>
        <w:r>
          <w:rPr>
            <w:rFonts w:asciiTheme="minorHAnsi" w:eastAsiaTheme="minorEastAsia" w:hAnsiTheme="minorHAnsi" w:cstheme="minorBidi"/>
            <w:noProof/>
            <w:sz w:val="22"/>
            <w:szCs w:val="22"/>
          </w:rPr>
          <w:tab/>
        </w:r>
        <w:r w:rsidRPr="00CC53E5">
          <w:rPr>
            <w:rStyle w:val="Hyperlink"/>
            <w:noProof/>
          </w:rPr>
          <w:t>Part 1 Section 17.15.1.9, autoFormatOverride (Allow Automatic Formatting to Override Formatting Protection Settings)</w:t>
        </w:r>
        <w:r>
          <w:rPr>
            <w:noProof/>
            <w:webHidden/>
          </w:rPr>
          <w:tab/>
        </w:r>
        <w:r>
          <w:rPr>
            <w:noProof/>
            <w:webHidden/>
          </w:rPr>
          <w:fldChar w:fldCharType="begin"/>
        </w:r>
        <w:r>
          <w:rPr>
            <w:noProof/>
            <w:webHidden/>
          </w:rPr>
          <w:instrText xml:space="preserve"> PAGEREF _Toc69878171 \h </w:instrText>
        </w:r>
        <w:r>
          <w:rPr>
            <w:noProof/>
            <w:webHidden/>
          </w:rPr>
        </w:r>
        <w:r>
          <w:rPr>
            <w:noProof/>
            <w:webHidden/>
          </w:rPr>
          <w:fldChar w:fldCharType="separate"/>
        </w:r>
        <w:r>
          <w:rPr>
            <w:noProof/>
            <w:webHidden/>
          </w:rPr>
          <w:t>151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72" w:history="1">
        <w:r w:rsidRPr="00CC53E5">
          <w:rPr>
            <w:rStyle w:val="Hyperlink"/>
            <w:noProof/>
          </w:rPr>
          <w:t>2.1.389</w:t>
        </w:r>
        <w:r>
          <w:rPr>
            <w:rFonts w:asciiTheme="minorHAnsi" w:eastAsiaTheme="minorEastAsia" w:hAnsiTheme="minorHAnsi" w:cstheme="minorBidi"/>
            <w:noProof/>
            <w:sz w:val="22"/>
            <w:szCs w:val="22"/>
          </w:rPr>
          <w:tab/>
        </w:r>
        <w:r w:rsidRPr="00CC53E5">
          <w:rPr>
            <w:rStyle w:val="Hyperlink"/>
            <w:noProof/>
          </w:rPr>
          <w:t>Part 1 Section 17.15.1.11, bookFoldPrinting (Book Fold Printing)</w:t>
        </w:r>
        <w:r>
          <w:rPr>
            <w:noProof/>
            <w:webHidden/>
          </w:rPr>
          <w:tab/>
        </w:r>
        <w:r>
          <w:rPr>
            <w:noProof/>
            <w:webHidden/>
          </w:rPr>
          <w:fldChar w:fldCharType="begin"/>
        </w:r>
        <w:r>
          <w:rPr>
            <w:noProof/>
            <w:webHidden/>
          </w:rPr>
          <w:instrText xml:space="preserve"> PAGEREF _Toc69878172 \h </w:instrText>
        </w:r>
        <w:r>
          <w:rPr>
            <w:noProof/>
            <w:webHidden/>
          </w:rPr>
        </w:r>
        <w:r>
          <w:rPr>
            <w:noProof/>
            <w:webHidden/>
          </w:rPr>
          <w:fldChar w:fldCharType="separate"/>
        </w:r>
        <w:r>
          <w:rPr>
            <w:noProof/>
            <w:webHidden/>
          </w:rPr>
          <w:t>152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73" w:history="1">
        <w:r w:rsidRPr="00CC53E5">
          <w:rPr>
            <w:rStyle w:val="Hyperlink"/>
            <w:noProof/>
          </w:rPr>
          <w:t>2.1.390</w:t>
        </w:r>
        <w:r>
          <w:rPr>
            <w:rFonts w:asciiTheme="minorHAnsi" w:eastAsiaTheme="minorEastAsia" w:hAnsiTheme="minorHAnsi" w:cstheme="minorBidi"/>
            <w:noProof/>
            <w:sz w:val="22"/>
            <w:szCs w:val="22"/>
          </w:rPr>
          <w:tab/>
        </w:r>
        <w:r w:rsidRPr="00CC53E5">
          <w:rPr>
            <w:rStyle w:val="Hyperlink"/>
            <w:noProof/>
          </w:rPr>
          <w:t>Part 1 Section 17.15.1.12, bookFoldPrintingSheets (Number of Pages Per Booklet)</w:t>
        </w:r>
        <w:r>
          <w:rPr>
            <w:noProof/>
            <w:webHidden/>
          </w:rPr>
          <w:tab/>
        </w:r>
        <w:r>
          <w:rPr>
            <w:noProof/>
            <w:webHidden/>
          </w:rPr>
          <w:fldChar w:fldCharType="begin"/>
        </w:r>
        <w:r>
          <w:rPr>
            <w:noProof/>
            <w:webHidden/>
          </w:rPr>
          <w:instrText xml:space="preserve"> PAGEREF _Toc69878173 \h </w:instrText>
        </w:r>
        <w:r>
          <w:rPr>
            <w:noProof/>
            <w:webHidden/>
          </w:rPr>
        </w:r>
        <w:r>
          <w:rPr>
            <w:noProof/>
            <w:webHidden/>
          </w:rPr>
          <w:fldChar w:fldCharType="separate"/>
        </w:r>
        <w:r>
          <w:rPr>
            <w:noProof/>
            <w:webHidden/>
          </w:rPr>
          <w:t>152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74" w:history="1">
        <w:r w:rsidRPr="00CC53E5">
          <w:rPr>
            <w:rStyle w:val="Hyperlink"/>
            <w:noProof/>
          </w:rPr>
          <w:t>2.1.391</w:t>
        </w:r>
        <w:r>
          <w:rPr>
            <w:rFonts w:asciiTheme="minorHAnsi" w:eastAsiaTheme="minorEastAsia" w:hAnsiTheme="minorHAnsi" w:cstheme="minorBidi"/>
            <w:noProof/>
            <w:sz w:val="22"/>
            <w:szCs w:val="22"/>
          </w:rPr>
          <w:tab/>
        </w:r>
        <w:r w:rsidRPr="00CC53E5">
          <w:rPr>
            <w:rStyle w:val="Hyperlink"/>
            <w:noProof/>
          </w:rPr>
          <w:t>Part 1 Section 17.15.1.13, bookFoldRevPrinting (Reverse Book Fold Printing)</w:t>
        </w:r>
        <w:r>
          <w:rPr>
            <w:noProof/>
            <w:webHidden/>
          </w:rPr>
          <w:tab/>
        </w:r>
        <w:r>
          <w:rPr>
            <w:noProof/>
            <w:webHidden/>
          </w:rPr>
          <w:fldChar w:fldCharType="begin"/>
        </w:r>
        <w:r>
          <w:rPr>
            <w:noProof/>
            <w:webHidden/>
          </w:rPr>
          <w:instrText xml:space="preserve"> PAGEREF _Toc69878174 \h </w:instrText>
        </w:r>
        <w:r>
          <w:rPr>
            <w:noProof/>
            <w:webHidden/>
          </w:rPr>
        </w:r>
        <w:r>
          <w:rPr>
            <w:noProof/>
            <w:webHidden/>
          </w:rPr>
          <w:fldChar w:fldCharType="separate"/>
        </w:r>
        <w:r>
          <w:rPr>
            <w:noProof/>
            <w:webHidden/>
          </w:rPr>
          <w:t>152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75" w:history="1">
        <w:r w:rsidRPr="00CC53E5">
          <w:rPr>
            <w:rStyle w:val="Hyperlink"/>
            <w:noProof/>
          </w:rPr>
          <w:t>2.1.392</w:t>
        </w:r>
        <w:r>
          <w:rPr>
            <w:rFonts w:asciiTheme="minorHAnsi" w:eastAsiaTheme="minorEastAsia" w:hAnsiTheme="minorHAnsi" w:cstheme="minorBidi"/>
            <w:noProof/>
            <w:sz w:val="22"/>
            <w:szCs w:val="22"/>
          </w:rPr>
          <w:tab/>
        </w:r>
        <w:r w:rsidRPr="00CC53E5">
          <w:rPr>
            <w:rStyle w:val="Hyperlink"/>
            <w:noProof/>
          </w:rPr>
          <w:t>Part 1 Section 17.15.1.16, caption (Single Caption Type Definition)</w:t>
        </w:r>
        <w:r>
          <w:rPr>
            <w:noProof/>
            <w:webHidden/>
          </w:rPr>
          <w:tab/>
        </w:r>
        <w:r>
          <w:rPr>
            <w:noProof/>
            <w:webHidden/>
          </w:rPr>
          <w:fldChar w:fldCharType="begin"/>
        </w:r>
        <w:r>
          <w:rPr>
            <w:noProof/>
            <w:webHidden/>
          </w:rPr>
          <w:instrText xml:space="preserve"> PAGEREF _Toc69878175 \h </w:instrText>
        </w:r>
        <w:r>
          <w:rPr>
            <w:noProof/>
            <w:webHidden/>
          </w:rPr>
        </w:r>
        <w:r>
          <w:rPr>
            <w:noProof/>
            <w:webHidden/>
          </w:rPr>
          <w:fldChar w:fldCharType="separate"/>
        </w:r>
        <w:r>
          <w:rPr>
            <w:noProof/>
            <w:webHidden/>
          </w:rPr>
          <w:t>153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76" w:history="1">
        <w:r w:rsidRPr="00CC53E5">
          <w:rPr>
            <w:rStyle w:val="Hyperlink"/>
            <w:noProof/>
          </w:rPr>
          <w:t>2.1.393</w:t>
        </w:r>
        <w:r>
          <w:rPr>
            <w:rFonts w:asciiTheme="minorHAnsi" w:eastAsiaTheme="minorEastAsia" w:hAnsiTheme="minorHAnsi" w:cstheme="minorBidi"/>
            <w:noProof/>
            <w:sz w:val="22"/>
            <w:szCs w:val="22"/>
          </w:rPr>
          <w:tab/>
        </w:r>
        <w:r w:rsidRPr="00CC53E5">
          <w:rPr>
            <w:rStyle w:val="Hyperlink"/>
            <w:noProof/>
          </w:rPr>
          <w:t>Part 1 Section 17.15.1.17, captions (Caption Settings)</w:t>
        </w:r>
        <w:r>
          <w:rPr>
            <w:noProof/>
            <w:webHidden/>
          </w:rPr>
          <w:tab/>
        </w:r>
        <w:r>
          <w:rPr>
            <w:noProof/>
            <w:webHidden/>
          </w:rPr>
          <w:fldChar w:fldCharType="begin"/>
        </w:r>
        <w:r>
          <w:rPr>
            <w:noProof/>
            <w:webHidden/>
          </w:rPr>
          <w:instrText xml:space="preserve"> PAGEREF _Toc69878176 \h </w:instrText>
        </w:r>
        <w:r>
          <w:rPr>
            <w:noProof/>
            <w:webHidden/>
          </w:rPr>
        </w:r>
        <w:r>
          <w:rPr>
            <w:noProof/>
            <w:webHidden/>
          </w:rPr>
          <w:fldChar w:fldCharType="separate"/>
        </w:r>
        <w:r>
          <w:rPr>
            <w:noProof/>
            <w:webHidden/>
          </w:rPr>
          <w:t>153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77" w:history="1">
        <w:r w:rsidRPr="00CC53E5">
          <w:rPr>
            <w:rStyle w:val="Hyperlink"/>
            <w:noProof/>
          </w:rPr>
          <w:t>2.1.394</w:t>
        </w:r>
        <w:r>
          <w:rPr>
            <w:rFonts w:asciiTheme="minorHAnsi" w:eastAsiaTheme="minorEastAsia" w:hAnsiTheme="minorHAnsi" w:cstheme="minorBidi"/>
            <w:noProof/>
            <w:sz w:val="22"/>
            <w:szCs w:val="22"/>
          </w:rPr>
          <w:tab/>
        </w:r>
        <w:r w:rsidRPr="00CC53E5">
          <w:rPr>
            <w:rStyle w:val="Hyperlink"/>
            <w:noProof/>
          </w:rPr>
          <w:t>Part 1 Section 17.15.1.19, clickAndTypeStyle (Paragraph Style Applied to Automatically Generated Paragraphs)</w:t>
        </w:r>
        <w:r>
          <w:rPr>
            <w:noProof/>
            <w:webHidden/>
          </w:rPr>
          <w:tab/>
        </w:r>
        <w:r>
          <w:rPr>
            <w:noProof/>
            <w:webHidden/>
          </w:rPr>
          <w:fldChar w:fldCharType="begin"/>
        </w:r>
        <w:r>
          <w:rPr>
            <w:noProof/>
            <w:webHidden/>
          </w:rPr>
          <w:instrText xml:space="preserve"> PAGEREF _Toc69878177 \h </w:instrText>
        </w:r>
        <w:r>
          <w:rPr>
            <w:noProof/>
            <w:webHidden/>
          </w:rPr>
        </w:r>
        <w:r>
          <w:rPr>
            <w:noProof/>
            <w:webHidden/>
          </w:rPr>
          <w:fldChar w:fldCharType="separate"/>
        </w:r>
        <w:r>
          <w:rPr>
            <w:noProof/>
            <w:webHidden/>
          </w:rPr>
          <w:t>153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78" w:history="1">
        <w:r w:rsidRPr="00CC53E5">
          <w:rPr>
            <w:rStyle w:val="Hyperlink"/>
            <w:noProof/>
          </w:rPr>
          <w:t>2.1.395</w:t>
        </w:r>
        <w:r>
          <w:rPr>
            <w:rFonts w:asciiTheme="minorHAnsi" w:eastAsiaTheme="minorEastAsia" w:hAnsiTheme="minorHAnsi" w:cstheme="minorBidi"/>
            <w:noProof/>
            <w:sz w:val="22"/>
            <w:szCs w:val="22"/>
          </w:rPr>
          <w:tab/>
        </w:r>
        <w:r w:rsidRPr="00CC53E5">
          <w:rPr>
            <w:rStyle w:val="Hyperlink"/>
            <w:noProof/>
          </w:rPr>
          <w:t>Part 1 Section 17.15.1.20, clrSchemeMapping (Theme Color Mappings)</w:t>
        </w:r>
        <w:r>
          <w:rPr>
            <w:noProof/>
            <w:webHidden/>
          </w:rPr>
          <w:tab/>
        </w:r>
        <w:r>
          <w:rPr>
            <w:noProof/>
            <w:webHidden/>
          </w:rPr>
          <w:fldChar w:fldCharType="begin"/>
        </w:r>
        <w:r>
          <w:rPr>
            <w:noProof/>
            <w:webHidden/>
          </w:rPr>
          <w:instrText xml:space="preserve"> PAGEREF _Toc69878178 \h </w:instrText>
        </w:r>
        <w:r>
          <w:rPr>
            <w:noProof/>
            <w:webHidden/>
          </w:rPr>
        </w:r>
        <w:r>
          <w:rPr>
            <w:noProof/>
            <w:webHidden/>
          </w:rPr>
          <w:fldChar w:fldCharType="separate"/>
        </w:r>
        <w:r>
          <w:rPr>
            <w:noProof/>
            <w:webHidden/>
          </w:rPr>
          <w:t>153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79" w:history="1">
        <w:r w:rsidRPr="00CC53E5">
          <w:rPr>
            <w:rStyle w:val="Hyperlink"/>
            <w:noProof/>
          </w:rPr>
          <w:t>2.1.396</w:t>
        </w:r>
        <w:r>
          <w:rPr>
            <w:rFonts w:asciiTheme="minorHAnsi" w:eastAsiaTheme="minorEastAsia" w:hAnsiTheme="minorHAnsi" w:cstheme="minorBidi"/>
            <w:noProof/>
            <w:sz w:val="22"/>
            <w:szCs w:val="22"/>
          </w:rPr>
          <w:tab/>
        </w:r>
        <w:r w:rsidRPr="00CC53E5">
          <w:rPr>
            <w:rStyle w:val="Hyperlink"/>
            <w:noProof/>
          </w:rPr>
          <w:t>Part 1 Section 17.15.1.22, consecutiveHyphenLimit (Maximum Number of Consecutively Hyphenated Lines)</w:t>
        </w:r>
        <w:r>
          <w:rPr>
            <w:noProof/>
            <w:webHidden/>
          </w:rPr>
          <w:tab/>
        </w:r>
        <w:r>
          <w:rPr>
            <w:noProof/>
            <w:webHidden/>
          </w:rPr>
          <w:fldChar w:fldCharType="begin"/>
        </w:r>
        <w:r>
          <w:rPr>
            <w:noProof/>
            <w:webHidden/>
          </w:rPr>
          <w:instrText xml:space="preserve"> PAGEREF _Toc69878179 \h </w:instrText>
        </w:r>
        <w:r>
          <w:rPr>
            <w:noProof/>
            <w:webHidden/>
          </w:rPr>
        </w:r>
        <w:r>
          <w:rPr>
            <w:noProof/>
            <w:webHidden/>
          </w:rPr>
          <w:fldChar w:fldCharType="separate"/>
        </w:r>
        <w:r>
          <w:rPr>
            <w:noProof/>
            <w:webHidden/>
          </w:rPr>
          <w:t>154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80" w:history="1">
        <w:r w:rsidRPr="00CC53E5">
          <w:rPr>
            <w:rStyle w:val="Hyperlink"/>
            <w:noProof/>
          </w:rPr>
          <w:t>2.1.397</w:t>
        </w:r>
        <w:r>
          <w:rPr>
            <w:rFonts w:asciiTheme="minorHAnsi" w:eastAsiaTheme="minorEastAsia" w:hAnsiTheme="minorHAnsi" w:cstheme="minorBidi"/>
            <w:noProof/>
            <w:sz w:val="22"/>
            <w:szCs w:val="22"/>
          </w:rPr>
          <w:tab/>
        </w:r>
        <w:r w:rsidRPr="00CC53E5">
          <w:rPr>
            <w:rStyle w:val="Hyperlink"/>
            <w:noProof/>
          </w:rPr>
          <w:t>Part 1 Section 17.15.1.23, decimalSymbol (Radix Point for Field Code Evaluation)</w:t>
        </w:r>
        <w:r>
          <w:rPr>
            <w:noProof/>
            <w:webHidden/>
          </w:rPr>
          <w:tab/>
        </w:r>
        <w:r>
          <w:rPr>
            <w:noProof/>
            <w:webHidden/>
          </w:rPr>
          <w:fldChar w:fldCharType="begin"/>
        </w:r>
        <w:r>
          <w:rPr>
            <w:noProof/>
            <w:webHidden/>
          </w:rPr>
          <w:instrText xml:space="preserve"> PAGEREF _Toc69878180 \h </w:instrText>
        </w:r>
        <w:r>
          <w:rPr>
            <w:noProof/>
            <w:webHidden/>
          </w:rPr>
        </w:r>
        <w:r>
          <w:rPr>
            <w:noProof/>
            <w:webHidden/>
          </w:rPr>
          <w:fldChar w:fldCharType="separate"/>
        </w:r>
        <w:r>
          <w:rPr>
            <w:noProof/>
            <w:webHidden/>
          </w:rPr>
          <w:t>154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81" w:history="1">
        <w:r w:rsidRPr="00CC53E5">
          <w:rPr>
            <w:rStyle w:val="Hyperlink"/>
            <w:noProof/>
          </w:rPr>
          <w:t>2.1.398</w:t>
        </w:r>
        <w:r>
          <w:rPr>
            <w:rFonts w:asciiTheme="minorHAnsi" w:eastAsiaTheme="minorEastAsia" w:hAnsiTheme="minorHAnsi" w:cstheme="minorBidi"/>
            <w:noProof/>
            <w:sz w:val="22"/>
            <w:szCs w:val="22"/>
          </w:rPr>
          <w:tab/>
        </w:r>
        <w:r w:rsidRPr="00CC53E5">
          <w:rPr>
            <w:rStyle w:val="Hyperlink"/>
            <w:noProof/>
          </w:rPr>
          <w:t>Part 1 Section 17.15.1.24, defaultTableStyle (Default Table Style for Newly Inserted Tables)</w:t>
        </w:r>
        <w:r>
          <w:rPr>
            <w:noProof/>
            <w:webHidden/>
          </w:rPr>
          <w:tab/>
        </w:r>
        <w:r>
          <w:rPr>
            <w:noProof/>
            <w:webHidden/>
          </w:rPr>
          <w:fldChar w:fldCharType="begin"/>
        </w:r>
        <w:r>
          <w:rPr>
            <w:noProof/>
            <w:webHidden/>
          </w:rPr>
          <w:instrText xml:space="preserve"> PAGEREF _Toc69878181 \h </w:instrText>
        </w:r>
        <w:r>
          <w:rPr>
            <w:noProof/>
            <w:webHidden/>
          </w:rPr>
        </w:r>
        <w:r>
          <w:rPr>
            <w:noProof/>
            <w:webHidden/>
          </w:rPr>
          <w:fldChar w:fldCharType="separate"/>
        </w:r>
        <w:r>
          <w:rPr>
            <w:noProof/>
            <w:webHidden/>
          </w:rPr>
          <w:t>154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82" w:history="1">
        <w:r w:rsidRPr="00CC53E5">
          <w:rPr>
            <w:rStyle w:val="Hyperlink"/>
            <w:noProof/>
          </w:rPr>
          <w:t>2.1.399</w:t>
        </w:r>
        <w:r>
          <w:rPr>
            <w:rFonts w:asciiTheme="minorHAnsi" w:eastAsiaTheme="minorEastAsia" w:hAnsiTheme="minorHAnsi" w:cstheme="minorBidi"/>
            <w:noProof/>
            <w:sz w:val="22"/>
            <w:szCs w:val="22"/>
          </w:rPr>
          <w:tab/>
        </w:r>
        <w:r w:rsidRPr="00CC53E5">
          <w:rPr>
            <w:rStyle w:val="Hyperlink"/>
            <w:noProof/>
          </w:rPr>
          <w:t>Part 1 Section 17.15.1.25, defaultTabStop (Distance Between Automatic Tab Stops)</w:t>
        </w:r>
        <w:r>
          <w:rPr>
            <w:noProof/>
            <w:webHidden/>
          </w:rPr>
          <w:tab/>
        </w:r>
        <w:r>
          <w:rPr>
            <w:noProof/>
            <w:webHidden/>
          </w:rPr>
          <w:fldChar w:fldCharType="begin"/>
        </w:r>
        <w:r>
          <w:rPr>
            <w:noProof/>
            <w:webHidden/>
          </w:rPr>
          <w:instrText xml:space="preserve"> PAGEREF _Toc69878182 \h </w:instrText>
        </w:r>
        <w:r>
          <w:rPr>
            <w:noProof/>
            <w:webHidden/>
          </w:rPr>
        </w:r>
        <w:r>
          <w:rPr>
            <w:noProof/>
            <w:webHidden/>
          </w:rPr>
          <w:fldChar w:fldCharType="separate"/>
        </w:r>
        <w:r>
          <w:rPr>
            <w:noProof/>
            <w:webHidden/>
          </w:rPr>
          <w:t>154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83" w:history="1">
        <w:r w:rsidRPr="00CC53E5">
          <w:rPr>
            <w:rStyle w:val="Hyperlink"/>
            <w:noProof/>
          </w:rPr>
          <w:t>2.1.400</w:t>
        </w:r>
        <w:r>
          <w:rPr>
            <w:rFonts w:asciiTheme="minorHAnsi" w:eastAsiaTheme="minorEastAsia" w:hAnsiTheme="minorHAnsi" w:cstheme="minorBidi"/>
            <w:noProof/>
            <w:sz w:val="22"/>
            <w:szCs w:val="22"/>
          </w:rPr>
          <w:tab/>
        </w:r>
        <w:r w:rsidRPr="00CC53E5">
          <w:rPr>
            <w:rStyle w:val="Hyperlink"/>
            <w:noProof/>
          </w:rPr>
          <w:t>Part 1 Section 17.15.1.27, displayHorizontalDrawingGridEvery (Distance between Horizontal Gridlines)</w:t>
        </w:r>
        <w:r>
          <w:rPr>
            <w:noProof/>
            <w:webHidden/>
          </w:rPr>
          <w:tab/>
        </w:r>
        <w:r>
          <w:rPr>
            <w:noProof/>
            <w:webHidden/>
          </w:rPr>
          <w:fldChar w:fldCharType="begin"/>
        </w:r>
        <w:r>
          <w:rPr>
            <w:noProof/>
            <w:webHidden/>
          </w:rPr>
          <w:instrText xml:space="preserve"> PAGEREF _Toc69878183 \h </w:instrText>
        </w:r>
        <w:r>
          <w:rPr>
            <w:noProof/>
            <w:webHidden/>
          </w:rPr>
        </w:r>
        <w:r>
          <w:rPr>
            <w:noProof/>
            <w:webHidden/>
          </w:rPr>
          <w:fldChar w:fldCharType="separate"/>
        </w:r>
        <w:r>
          <w:rPr>
            <w:noProof/>
            <w:webHidden/>
          </w:rPr>
          <w:t>154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84" w:history="1">
        <w:r w:rsidRPr="00CC53E5">
          <w:rPr>
            <w:rStyle w:val="Hyperlink"/>
            <w:noProof/>
          </w:rPr>
          <w:t>2.1.401</w:t>
        </w:r>
        <w:r>
          <w:rPr>
            <w:rFonts w:asciiTheme="minorHAnsi" w:eastAsiaTheme="minorEastAsia" w:hAnsiTheme="minorHAnsi" w:cstheme="minorBidi"/>
            <w:noProof/>
            <w:sz w:val="22"/>
            <w:szCs w:val="22"/>
          </w:rPr>
          <w:tab/>
        </w:r>
        <w:r w:rsidRPr="00CC53E5">
          <w:rPr>
            <w:rStyle w:val="Hyperlink"/>
            <w:noProof/>
          </w:rPr>
          <w:t>Part 1 Section 17.15.1.28, displayVerticalDrawingGridEvery (Distance between Vertical Gridlines)</w:t>
        </w:r>
        <w:r>
          <w:rPr>
            <w:noProof/>
            <w:webHidden/>
          </w:rPr>
          <w:tab/>
        </w:r>
        <w:r>
          <w:rPr>
            <w:noProof/>
            <w:webHidden/>
          </w:rPr>
          <w:fldChar w:fldCharType="begin"/>
        </w:r>
        <w:r>
          <w:rPr>
            <w:noProof/>
            <w:webHidden/>
          </w:rPr>
          <w:instrText xml:space="preserve"> PAGEREF _Toc69878184 \h </w:instrText>
        </w:r>
        <w:r>
          <w:rPr>
            <w:noProof/>
            <w:webHidden/>
          </w:rPr>
        </w:r>
        <w:r>
          <w:rPr>
            <w:noProof/>
            <w:webHidden/>
          </w:rPr>
          <w:fldChar w:fldCharType="separate"/>
        </w:r>
        <w:r>
          <w:rPr>
            <w:noProof/>
            <w:webHidden/>
          </w:rPr>
          <w:t>155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85" w:history="1">
        <w:r w:rsidRPr="00CC53E5">
          <w:rPr>
            <w:rStyle w:val="Hyperlink"/>
            <w:noProof/>
          </w:rPr>
          <w:t>2.1.402</w:t>
        </w:r>
        <w:r>
          <w:rPr>
            <w:rFonts w:asciiTheme="minorHAnsi" w:eastAsiaTheme="minorEastAsia" w:hAnsiTheme="minorHAnsi" w:cstheme="minorBidi"/>
            <w:noProof/>
            <w:sz w:val="22"/>
            <w:szCs w:val="22"/>
          </w:rPr>
          <w:tab/>
        </w:r>
        <w:r w:rsidRPr="00CC53E5">
          <w:rPr>
            <w:rStyle w:val="Hyperlink"/>
            <w:noProof/>
          </w:rPr>
          <w:t>Part 1 Section 17.15.1.29, documentProtection (Document Editing Restrictions)</w:t>
        </w:r>
        <w:r>
          <w:rPr>
            <w:noProof/>
            <w:webHidden/>
          </w:rPr>
          <w:tab/>
        </w:r>
        <w:r>
          <w:rPr>
            <w:noProof/>
            <w:webHidden/>
          </w:rPr>
          <w:fldChar w:fldCharType="begin"/>
        </w:r>
        <w:r>
          <w:rPr>
            <w:noProof/>
            <w:webHidden/>
          </w:rPr>
          <w:instrText xml:space="preserve"> PAGEREF _Toc69878185 \h </w:instrText>
        </w:r>
        <w:r>
          <w:rPr>
            <w:noProof/>
            <w:webHidden/>
          </w:rPr>
        </w:r>
        <w:r>
          <w:rPr>
            <w:noProof/>
            <w:webHidden/>
          </w:rPr>
          <w:fldChar w:fldCharType="separate"/>
        </w:r>
        <w:r>
          <w:rPr>
            <w:noProof/>
            <w:webHidden/>
          </w:rPr>
          <w:t>155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86" w:history="1">
        <w:r w:rsidRPr="00CC53E5">
          <w:rPr>
            <w:rStyle w:val="Hyperlink"/>
            <w:noProof/>
          </w:rPr>
          <w:t>2.1.403</w:t>
        </w:r>
        <w:r>
          <w:rPr>
            <w:rFonts w:asciiTheme="minorHAnsi" w:eastAsiaTheme="minorEastAsia" w:hAnsiTheme="minorHAnsi" w:cstheme="minorBidi"/>
            <w:noProof/>
            <w:sz w:val="22"/>
            <w:szCs w:val="22"/>
          </w:rPr>
          <w:tab/>
        </w:r>
        <w:r w:rsidRPr="00CC53E5">
          <w:rPr>
            <w:rStyle w:val="Hyperlink"/>
            <w:noProof/>
          </w:rPr>
          <w:t>Part 1 Section 17.15.1.31, docVar (Single Document Variable)</w:t>
        </w:r>
        <w:r>
          <w:rPr>
            <w:noProof/>
            <w:webHidden/>
          </w:rPr>
          <w:tab/>
        </w:r>
        <w:r>
          <w:rPr>
            <w:noProof/>
            <w:webHidden/>
          </w:rPr>
          <w:fldChar w:fldCharType="begin"/>
        </w:r>
        <w:r>
          <w:rPr>
            <w:noProof/>
            <w:webHidden/>
          </w:rPr>
          <w:instrText xml:space="preserve"> PAGEREF _Toc69878186 \h </w:instrText>
        </w:r>
        <w:r>
          <w:rPr>
            <w:noProof/>
            <w:webHidden/>
          </w:rPr>
        </w:r>
        <w:r>
          <w:rPr>
            <w:noProof/>
            <w:webHidden/>
          </w:rPr>
          <w:fldChar w:fldCharType="separate"/>
        </w:r>
        <w:r>
          <w:rPr>
            <w:noProof/>
            <w:webHidden/>
          </w:rPr>
          <w:t>157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87" w:history="1">
        <w:r w:rsidRPr="00CC53E5">
          <w:rPr>
            <w:rStyle w:val="Hyperlink"/>
            <w:noProof/>
          </w:rPr>
          <w:t>2.1.404</w:t>
        </w:r>
        <w:r>
          <w:rPr>
            <w:rFonts w:asciiTheme="minorHAnsi" w:eastAsiaTheme="minorEastAsia" w:hAnsiTheme="minorHAnsi" w:cstheme="minorBidi"/>
            <w:noProof/>
            <w:sz w:val="22"/>
            <w:szCs w:val="22"/>
          </w:rPr>
          <w:tab/>
        </w:r>
        <w:r w:rsidRPr="00CC53E5">
          <w:rPr>
            <w:rStyle w:val="Hyperlink"/>
            <w:noProof/>
          </w:rPr>
          <w:t>Part 1 Section 17.15.1.42, doNotUseMarginsForDrawingGridOrigin (Do Not Use Margins for Drawing Grid Origin)</w:t>
        </w:r>
        <w:r>
          <w:rPr>
            <w:noProof/>
            <w:webHidden/>
          </w:rPr>
          <w:tab/>
        </w:r>
        <w:r>
          <w:rPr>
            <w:noProof/>
            <w:webHidden/>
          </w:rPr>
          <w:fldChar w:fldCharType="begin"/>
        </w:r>
        <w:r>
          <w:rPr>
            <w:noProof/>
            <w:webHidden/>
          </w:rPr>
          <w:instrText xml:space="preserve"> PAGEREF _Toc69878187 \h </w:instrText>
        </w:r>
        <w:r>
          <w:rPr>
            <w:noProof/>
            <w:webHidden/>
          </w:rPr>
        </w:r>
        <w:r>
          <w:rPr>
            <w:noProof/>
            <w:webHidden/>
          </w:rPr>
          <w:fldChar w:fldCharType="separate"/>
        </w:r>
        <w:r>
          <w:rPr>
            <w:noProof/>
            <w:webHidden/>
          </w:rPr>
          <w:t>157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88" w:history="1">
        <w:r w:rsidRPr="00CC53E5">
          <w:rPr>
            <w:rStyle w:val="Hyperlink"/>
            <w:noProof/>
          </w:rPr>
          <w:t>2.1.405</w:t>
        </w:r>
        <w:r>
          <w:rPr>
            <w:rFonts w:asciiTheme="minorHAnsi" w:eastAsiaTheme="minorEastAsia" w:hAnsiTheme="minorHAnsi" w:cstheme="minorBidi"/>
            <w:noProof/>
            <w:sz w:val="22"/>
            <w:szCs w:val="22"/>
          </w:rPr>
          <w:tab/>
        </w:r>
        <w:r w:rsidRPr="00CC53E5">
          <w:rPr>
            <w:rStyle w:val="Hyperlink"/>
            <w:noProof/>
          </w:rPr>
          <w:t>Part 1 Section 17.15.1.44, drawingGridHorizontalOrigin (Drawing Grid Horizontal Origin Point)</w:t>
        </w:r>
        <w:r>
          <w:rPr>
            <w:noProof/>
            <w:webHidden/>
          </w:rPr>
          <w:tab/>
        </w:r>
        <w:r>
          <w:rPr>
            <w:noProof/>
            <w:webHidden/>
          </w:rPr>
          <w:fldChar w:fldCharType="begin"/>
        </w:r>
        <w:r>
          <w:rPr>
            <w:noProof/>
            <w:webHidden/>
          </w:rPr>
          <w:instrText xml:space="preserve"> PAGEREF _Toc69878188 \h </w:instrText>
        </w:r>
        <w:r>
          <w:rPr>
            <w:noProof/>
            <w:webHidden/>
          </w:rPr>
        </w:r>
        <w:r>
          <w:rPr>
            <w:noProof/>
            <w:webHidden/>
          </w:rPr>
          <w:fldChar w:fldCharType="separate"/>
        </w:r>
        <w:r>
          <w:rPr>
            <w:noProof/>
            <w:webHidden/>
          </w:rPr>
          <w:t>157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89" w:history="1">
        <w:r w:rsidRPr="00CC53E5">
          <w:rPr>
            <w:rStyle w:val="Hyperlink"/>
            <w:noProof/>
          </w:rPr>
          <w:t>2.1.406</w:t>
        </w:r>
        <w:r>
          <w:rPr>
            <w:rFonts w:asciiTheme="minorHAnsi" w:eastAsiaTheme="minorEastAsia" w:hAnsiTheme="minorHAnsi" w:cstheme="minorBidi"/>
            <w:noProof/>
            <w:sz w:val="22"/>
            <w:szCs w:val="22"/>
          </w:rPr>
          <w:tab/>
        </w:r>
        <w:r w:rsidRPr="00CC53E5">
          <w:rPr>
            <w:rStyle w:val="Hyperlink"/>
            <w:noProof/>
          </w:rPr>
          <w:t>Part 1 Section 17.15.1.46, drawingGridVerticalOrigin (Drawing Grid Vertical Origin Point)</w:t>
        </w:r>
        <w:r>
          <w:rPr>
            <w:noProof/>
            <w:webHidden/>
          </w:rPr>
          <w:tab/>
        </w:r>
        <w:r>
          <w:rPr>
            <w:noProof/>
            <w:webHidden/>
          </w:rPr>
          <w:fldChar w:fldCharType="begin"/>
        </w:r>
        <w:r>
          <w:rPr>
            <w:noProof/>
            <w:webHidden/>
          </w:rPr>
          <w:instrText xml:space="preserve"> PAGEREF _Toc69878189 \h </w:instrText>
        </w:r>
        <w:r>
          <w:rPr>
            <w:noProof/>
            <w:webHidden/>
          </w:rPr>
        </w:r>
        <w:r>
          <w:rPr>
            <w:noProof/>
            <w:webHidden/>
          </w:rPr>
          <w:fldChar w:fldCharType="separate"/>
        </w:r>
        <w:r>
          <w:rPr>
            <w:noProof/>
            <w:webHidden/>
          </w:rPr>
          <w:t>158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90" w:history="1">
        <w:r w:rsidRPr="00CC53E5">
          <w:rPr>
            <w:rStyle w:val="Hyperlink"/>
            <w:noProof/>
          </w:rPr>
          <w:t>2.1.407</w:t>
        </w:r>
        <w:r>
          <w:rPr>
            <w:rFonts w:asciiTheme="minorHAnsi" w:eastAsiaTheme="minorEastAsia" w:hAnsiTheme="minorHAnsi" w:cstheme="minorBidi"/>
            <w:noProof/>
            <w:sz w:val="22"/>
            <w:szCs w:val="22"/>
          </w:rPr>
          <w:tab/>
        </w:r>
        <w:r w:rsidRPr="00CC53E5">
          <w:rPr>
            <w:rStyle w:val="Hyperlink"/>
            <w:noProof/>
          </w:rPr>
          <w:t>Part 1 Section 17.15.1.53, hyphenationZone (Hyphenation Zone)</w:t>
        </w:r>
        <w:r>
          <w:rPr>
            <w:noProof/>
            <w:webHidden/>
          </w:rPr>
          <w:tab/>
        </w:r>
        <w:r>
          <w:rPr>
            <w:noProof/>
            <w:webHidden/>
          </w:rPr>
          <w:fldChar w:fldCharType="begin"/>
        </w:r>
        <w:r>
          <w:rPr>
            <w:noProof/>
            <w:webHidden/>
          </w:rPr>
          <w:instrText xml:space="preserve"> PAGEREF _Toc69878190 \h </w:instrText>
        </w:r>
        <w:r>
          <w:rPr>
            <w:noProof/>
            <w:webHidden/>
          </w:rPr>
        </w:r>
        <w:r>
          <w:rPr>
            <w:noProof/>
            <w:webHidden/>
          </w:rPr>
          <w:fldChar w:fldCharType="separate"/>
        </w:r>
        <w:r>
          <w:rPr>
            <w:noProof/>
            <w:webHidden/>
          </w:rPr>
          <w:t>158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91" w:history="1">
        <w:r w:rsidRPr="00CC53E5">
          <w:rPr>
            <w:rStyle w:val="Hyperlink"/>
            <w:noProof/>
          </w:rPr>
          <w:t>2.1.408</w:t>
        </w:r>
        <w:r>
          <w:rPr>
            <w:rFonts w:asciiTheme="minorHAnsi" w:eastAsiaTheme="minorEastAsia" w:hAnsiTheme="minorHAnsi" w:cstheme="minorBidi"/>
            <w:noProof/>
            <w:sz w:val="22"/>
            <w:szCs w:val="22"/>
          </w:rPr>
          <w:tab/>
        </w:r>
        <w:r w:rsidRPr="00CC53E5">
          <w:rPr>
            <w:rStyle w:val="Hyperlink"/>
            <w:noProof/>
          </w:rPr>
          <w:t>Part 1 Section 17.15.1.56, listSeparator (List Separator for Field Code Evaluation)</w:t>
        </w:r>
        <w:r>
          <w:rPr>
            <w:noProof/>
            <w:webHidden/>
          </w:rPr>
          <w:tab/>
        </w:r>
        <w:r>
          <w:rPr>
            <w:noProof/>
            <w:webHidden/>
          </w:rPr>
          <w:fldChar w:fldCharType="begin"/>
        </w:r>
        <w:r>
          <w:rPr>
            <w:noProof/>
            <w:webHidden/>
          </w:rPr>
          <w:instrText xml:space="preserve"> PAGEREF _Toc69878191 \h </w:instrText>
        </w:r>
        <w:r>
          <w:rPr>
            <w:noProof/>
            <w:webHidden/>
          </w:rPr>
        </w:r>
        <w:r>
          <w:rPr>
            <w:noProof/>
            <w:webHidden/>
          </w:rPr>
          <w:fldChar w:fldCharType="separate"/>
        </w:r>
        <w:r>
          <w:rPr>
            <w:noProof/>
            <w:webHidden/>
          </w:rPr>
          <w:t>158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92" w:history="1">
        <w:r w:rsidRPr="00CC53E5">
          <w:rPr>
            <w:rStyle w:val="Hyperlink"/>
            <w:noProof/>
          </w:rPr>
          <w:t>2.1.409</w:t>
        </w:r>
        <w:r>
          <w:rPr>
            <w:rFonts w:asciiTheme="minorHAnsi" w:eastAsiaTheme="minorEastAsia" w:hAnsiTheme="minorHAnsi" w:cstheme="minorBidi"/>
            <w:noProof/>
            <w:sz w:val="22"/>
            <w:szCs w:val="22"/>
          </w:rPr>
          <w:tab/>
        </w:r>
        <w:r w:rsidRPr="00CC53E5">
          <w:rPr>
            <w:rStyle w:val="Hyperlink"/>
            <w:noProof/>
          </w:rPr>
          <w:t>Part 1 Section 17.15.1.58, noLineBreaksAfter (Custom Set of Characters Which Cannot End a Line)</w:t>
        </w:r>
        <w:r>
          <w:rPr>
            <w:noProof/>
            <w:webHidden/>
          </w:rPr>
          <w:tab/>
        </w:r>
        <w:r>
          <w:rPr>
            <w:noProof/>
            <w:webHidden/>
          </w:rPr>
          <w:fldChar w:fldCharType="begin"/>
        </w:r>
        <w:r>
          <w:rPr>
            <w:noProof/>
            <w:webHidden/>
          </w:rPr>
          <w:instrText xml:space="preserve"> PAGEREF _Toc69878192 \h </w:instrText>
        </w:r>
        <w:r>
          <w:rPr>
            <w:noProof/>
            <w:webHidden/>
          </w:rPr>
        </w:r>
        <w:r>
          <w:rPr>
            <w:noProof/>
            <w:webHidden/>
          </w:rPr>
          <w:fldChar w:fldCharType="separate"/>
        </w:r>
        <w:r>
          <w:rPr>
            <w:noProof/>
            <w:webHidden/>
          </w:rPr>
          <w:t>158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93" w:history="1">
        <w:r w:rsidRPr="00CC53E5">
          <w:rPr>
            <w:rStyle w:val="Hyperlink"/>
            <w:noProof/>
          </w:rPr>
          <w:t>2.1.410</w:t>
        </w:r>
        <w:r>
          <w:rPr>
            <w:rFonts w:asciiTheme="minorHAnsi" w:eastAsiaTheme="minorEastAsia" w:hAnsiTheme="minorHAnsi" w:cstheme="minorBidi"/>
            <w:noProof/>
            <w:sz w:val="22"/>
            <w:szCs w:val="22"/>
          </w:rPr>
          <w:tab/>
        </w:r>
        <w:r w:rsidRPr="00CC53E5">
          <w:rPr>
            <w:rStyle w:val="Hyperlink"/>
            <w:noProof/>
          </w:rPr>
          <w:t>Part 1 Section 17.15.1.59, noLineBreaksBefore (Custom Set Of Characters Which Cannot Begin A Line)</w:t>
        </w:r>
        <w:r>
          <w:rPr>
            <w:noProof/>
            <w:webHidden/>
          </w:rPr>
          <w:tab/>
        </w:r>
        <w:r>
          <w:rPr>
            <w:noProof/>
            <w:webHidden/>
          </w:rPr>
          <w:fldChar w:fldCharType="begin"/>
        </w:r>
        <w:r>
          <w:rPr>
            <w:noProof/>
            <w:webHidden/>
          </w:rPr>
          <w:instrText xml:space="preserve"> PAGEREF _Toc69878193 \h </w:instrText>
        </w:r>
        <w:r>
          <w:rPr>
            <w:noProof/>
            <w:webHidden/>
          </w:rPr>
        </w:r>
        <w:r>
          <w:rPr>
            <w:noProof/>
            <w:webHidden/>
          </w:rPr>
          <w:fldChar w:fldCharType="separate"/>
        </w:r>
        <w:r>
          <w:rPr>
            <w:noProof/>
            <w:webHidden/>
          </w:rPr>
          <w:t>158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94" w:history="1">
        <w:r w:rsidRPr="00CC53E5">
          <w:rPr>
            <w:rStyle w:val="Hyperlink"/>
            <w:noProof/>
          </w:rPr>
          <w:t>2.1.411</w:t>
        </w:r>
        <w:r>
          <w:rPr>
            <w:rFonts w:asciiTheme="minorHAnsi" w:eastAsiaTheme="minorEastAsia" w:hAnsiTheme="minorHAnsi" w:cstheme="minorBidi"/>
            <w:noProof/>
            <w:sz w:val="22"/>
            <w:szCs w:val="22"/>
          </w:rPr>
          <w:tab/>
        </w:r>
        <w:r w:rsidRPr="00CC53E5">
          <w:rPr>
            <w:rStyle w:val="Hyperlink"/>
            <w:noProof/>
          </w:rPr>
          <w:t>Part 1 Section 17.15.1.60, noPunctuationKerning (Never Kern Punctuation Characters)</w:t>
        </w:r>
        <w:r>
          <w:rPr>
            <w:noProof/>
            <w:webHidden/>
          </w:rPr>
          <w:tab/>
        </w:r>
        <w:r>
          <w:rPr>
            <w:noProof/>
            <w:webHidden/>
          </w:rPr>
          <w:fldChar w:fldCharType="begin"/>
        </w:r>
        <w:r>
          <w:rPr>
            <w:noProof/>
            <w:webHidden/>
          </w:rPr>
          <w:instrText xml:space="preserve"> PAGEREF _Toc69878194 \h </w:instrText>
        </w:r>
        <w:r>
          <w:rPr>
            <w:noProof/>
            <w:webHidden/>
          </w:rPr>
        </w:r>
        <w:r>
          <w:rPr>
            <w:noProof/>
            <w:webHidden/>
          </w:rPr>
          <w:fldChar w:fldCharType="separate"/>
        </w:r>
        <w:r>
          <w:rPr>
            <w:noProof/>
            <w:webHidden/>
          </w:rPr>
          <w:t>158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95" w:history="1">
        <w:r w:rsidRPr="00CC53E5">
          <w:rPr>
            <w:rStyle w:val="Hyperlink"/>
            <w:noProof/>
          </w:rPr>
          <w:t>2.1.412</w:t>
        </w:r>
        <w:r>
          <w:rPr>
            <w:rFonts w:asciiTheme="minorHAnsi" w:eastAsiaTheme="minorEastAsia" w:hAnsiTheme="minorHAnsi" w:cstheme="minorBidi"/>
            <w:noProof/>
            <w:sz w:val="22"/>
            <w:szCs w:val="22"/>
          </w:rPr>
          <w:tab/>
        </w:r>
        <w:r w:rsidRPr="00CC53E5">
          <w:rPr>
            <w:rStyle w:val="Hyperlink"/>
            <w:noProof/>
          </w:rPr>
          <w:t>Part 1 Section 17.15.1.62, printFractionalCharacterWidth (Print Fractional Character Widths)</w:t>
        </w:r>
        <w:r>
          <w:rPr>
            <w:noProof/>
            <w:webHidden/>
          </w:rPr>
          <w:tab/>
        </w:r>
        <w:r>
          <w:rPr>
            <w:noProof/>
            <w:webHidden/>
          </w:rPr>
          <w:fldChar w:fldCharType="begin"/>
        </w:r>
        <w:r>
          <w:rPr>
            <w:noProof/>
            <w:webHidden/>
          </w:rPr>
          <w:instrText xml:space="preserve"> PAGEREF _Toc69878195 \h </w:instrText>
        </w:r>
        <w:r>
          <w:rPr>
            <w:noProof/>
            <w:webHidden/>
          </w:rPr>
        </w:r>
        <w:r>
          <w:rPr>
            <w:noProof/>
            <w:webHidden/>
          </w:rPr>
          <w:fldChar w:fldCharType="separate"/>
        </w:r>
        <w:r>
          <w:rPr>
            <w:noProof/>
            <w:webHidden/>
          </w:rPr>
          <w:t>159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96" w:history="1">
        <w:r w:rsidRPr="00CC53E5">
          <w:rPr>
            <w:rStyle w:val="Hyperlink"/>
            <w:noProof/>
          </w:rPr>
          <w:t>2.1.413</w:t>
        </w:r>
        <w:r>
          <w:rPr>
            <w:rFonts w:asciiTheme="minorHAnsi" w:eastAsiaTheme="minorEastAsia" w:hAnsiTheme="minorHAnsi" w:cstheme="minorBidi"/>
            <w:noProof/>
            <w:sz w:val="22"/>
            <w:szCs w:val="22"/>
          </w:rPr>
          <w:tab/>
        </w:r>
        <w:r w:rsidRPr="00CC53E5">
          <w:rPr>
            <w:rStyle w:val="Hyperlink"/>
            <w:noProof/>
          </w:rPr>
          <w:t>Part 1 Section 17.15.1.63, printPostScriptOverText (Print PostScript Codes With Document Text)</w:t>
        </w:r>
        <w:r>
          <w:rPr>
            <w:noProof/>
            <w:webHidden/>
          </w:rPr>
          <w:tab/>
        </w:r>
        <w:r>
          <w:rPr>
            <w:noProof/>
            <w:webHidden/>
          </w:rPr>
          <w:fldChar w:fldCharType="begin"/>
        </w:r>
        <w:r>
          <w:rPr>
            <w:noProof/>
            <w:webHidden/>
          </w:rPr>
          <w:instrText xml:space="preserve"> PAGEREF _Toc69878196 \h </w:instrText>
        </w:r>
        <w:r>
          <w:rPr>
            <w:noProof/>
            <w:webHidden/>
          </w:rPr>
        </w:r>
        <w:r>
          <w:rPr>
            <w:noProof/>
            <w:webHidden/>
          </w:rPr>
          <w:fldChar w:fldCharType="separate"/>
        </w:r>
        <w:r>
          <w:rPr>
            <w:noProof/>
            <w:webHidden/>
          </w:rPr>
          <w:t>159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97" w:history="1">
        <w:r w:rsidRPr="00CC53E5">
          <w:rPr>
            <w:rStyle w:val="Hyperlink"/>
            <w:noProof/>
          </w:rPr>
          <w:t>2.1.414</w:t>
        </w:r>
        <w:r>
          <w:rPr>
            <w:rFonts w:asciiTheme="minorHAnsi" w:eastAsiaTheme="minorEastAsia" w:hAnsiTheme="minorHAnsi" w:cstheme="minorBidi"/>
            <w:noProof/>
            <w:sz w:val="22"/>
            <w:szCs w:val="22"/>
          </w:rPr>
          <w:tab/>
        </w:r>
        <w:r w:rsidRPr="00CC53E5">
          <w:rPr>
            <w:rStyle w:val="Hyperlink"/>
            <w:noProof/>
          </w:rPr>
          <w:t>Part 1 Section 17.15.1.69, revisionView (Visibility of Annotation Types)</w:t>
        </w:r>
        <w:r>
          <w:rPr>
            <w:noProof/>
            <w:webHidden/>
          </w:rPr>
          <w:tab/>
        </w:r>
        <w:r>
          <w:rPr>
            <w:noProof/>
            <w:webHidden/>
          </w:rPr>
          <w:fldChar w:fldCharType="begin"/>
        </w:r>
        <w:r>
          <w:rPr>
            <w:noProof/>
            <w:webHidden/>
          </w:rPr>
          <w:instrText xml:space="preserve"> PAGEREF _Toc69878197 \h </w:instrText>
        </w:r>
        <w:r>
          <w:rPr>
            <w:noProof/>
            <w:webHidden/>
          </w:rPr>
        </w:r>
        <w:r>
          <w:rPr>
            <w:noProof/>
            <w:webHidden/>
          </w:rPr>
          <w:fldChar w:fldCharType="separate"/>
        </w:r>
        <w:r>
          <w:rPr>
            <w:noProof/>
            <w:webHidden/>
          </w:rPr>
          <w:t>159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98" w:history="1">
        <w:r w:rsidRPr="00CC53E5">
          <w:rPr>
            <w:rStyle w:val="Hyperlink"/>
            <w:noProof/>
          </w:rPr>
          <w:t>2.1.415</w:t>
        </w:r>
        <w:r>
          <w:rPr>
            <w:rFonts w:asciiTheme="minorHAnsi" w:eastAsiaTheme="minorEastAsia" w:hAnsiTheme="minorHAnsi" w:cstheme="minorBidi"/>
            <w:noProof/>
            <w:sz w:val="22"/>
            <w:szCs w:val="22"/>
          </w:rPr>
          <w:tab/>
        </w:r>
        <w:r w:rsidRPr="00CC53E5">
          <w:rPr>
            <w:rStyle w:val="Hyperlink"/>
            <w:noProof/>
          </w:rPr>
          <w:t>Part 1 Section 17.15.1.70, rsid (Single Session Revision Save ID)</w:t>
        </w:r>
        <w:r>
          <w:rPr>
            <w:noProof/>
            <w:webHidden/>
          </w:rPr>
          <w:tab/>
        </w:r>
        <w:r>
          <w:rPr>
            <w:noProof/>
            <w:webHidden/>
          </w:rPr>
          <w:fldChar w:fldCharType="begin"/>
        </w:r>
        <w:r>
          <w:rPr>
            <w:noProof/>
            <w:webHidden/>
          </w:rPr>
          <w:instrText xml:space="preserve"> PAGEREF _Toc69878198 \h </w:instrText>
        </w:r>
        <w:r>
          <w:rPr>
            <w:noProof/>
            <w:webHidden/>
          </w:rPr>
        </w:r>
        <w:r>
          <w:rPr>
            <w:noProof/>
            <w:webHidden/>
          </w:rPr>
          <w:fldChar w:fldCharType="separate"/>
        </w:r>
        <w:r>
          <w:rPr>
            <w:noProof/>
            <w:webHidden/>
          </w:rPr>
          <w:t>159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199" w:history="1">
        <w:r w:rsidRPr="00CC53E5">
          <w:rPr>
            <w:rStyle w:val="Hyperlink"/>
            <w:noProof/>
          </w:rPr>
          <w:t>2.1.416</w:t>
        </w:r>
        <w:r>
          <w:rPr>
            <w:rFonts w:asciiTheme="minorHAnsi" w:eastAsiaTheme="minorEastAsia" w:hAnsiTheme="minorHAnsi" w:cstheme="minorBidi"/>
            <w:noProof/>
            <w:sz w:val="22"/>
            <w:szCs w:val="22"/>
          </w:rPr>
          <w:tab/>
        </w:r>
        <w:r w:rsidRPr="00CC53E5">
          <w:rPr>
            <w:rStyle w:val="Hyperlink"/>
            <w:noProof/>
          </w:rPr>
          <w:t>Part 1 Section 17.15.1.74, saveInvalidXml (Allow Saving Document As XML File When Custom XML Markup Is Invalid)</w:t>
        </w:r>
        <w:r>
          <w:rPr>
            <w:noProof/>
            <w:webHidden/>
          </w:rPr>
          <w:tab/>
        </w:r>
        <w:r>
          <w:rPr>
            <w:noProof/>
            <w:webHidden/>
          </w:rPr>
          <w:fldChar w:fldCharType="begin"/>
        </w:r>
        <w:r>
          <w:rPr>
            <w:noProof/>
            <w:webHidden/>
          </w:rPr>
          <w:instrText xml:space="preserve"> PAGEREF _Toc69878199 \h </w:instrText>
        </w:r>
        <w:r>
          <w:rPr>
            <w:noProof/>
            <w:webHidden/>
          </w:rPr>
        </w:r>
        <w:r>
          <w:rPr>
            <w:noProof/>
            <w:webHidden/>
          </w:rPr>
          <w:fldChar w:fldCharType="separate"/>
        </w:r>
        <w:r>
          <w:rPr>
            <w:noProof/>
            <w:webHidden/>
          </w:rPr>
          <w:t>159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00" w:history="1">
        <w:r w:rsidRPr="00CC53E5">
          <w:rPr>
            <w:rStyle w:val="Hyperlink"/>
            <w:noProof/>
          </w:rPr>
          <w:t>2.1.417</w:t>
        </w:r>
        <w:r>
          <w:rPr>
            <w:rFonts w:asciiTheme="minorHAnsi" w:eastAsiaTheme="minorEastAsia" w:hAnsiTheme="minorHAnsi" w:cstheme="minorBidi"/>
            <w:noProof/>
            <w:sz w:val="22"/>
            <w:szCs w:val="22"/>
          </w:rPr>
          <w:tab/>
        </w:r>
        <w:r w:rsidRPr="00CC53E5">
          <w:rPr>
            <w:rStyle w:val="Hyperlink"/>
            <w:noProof/>
          </w:rPr>
          <w:t>Part 1 Section 17.15.1.76, saveThroughXslt (Custom XSL Transform To Use When Saving As XML File)</w:t>
        </w:r>
        <w:r>
          <w:rPr>
            <w:noProof/>
            <w:webHidden/>
          </w:rPr>
          <w:tab/>
        </w:r>
        <w:r>
          <w:rPr>
            <w:noProof/>
            <w:webHidden/>
          </w:rPr>
          <w:fldChar w:fldCharType="begin"/>
        </w:r>
        <w:r>
          <w:rPr>
            <w:noProof/>
            <w:webHidden/>
          </w:rPr>
          <w:instrText xml:space="preserve"> PAGEREF _Toc69878200 \h </w:instrText>
        </w:r>
        <w:r>
          <w:rPr>
            <w:noProof/>
            <w:webHidden/>
          </w:rPr>
        </w:r>
        <w:r>
          <w:rPr>
            <w:noProof/>
            <w:webHidden/>
          </w:rPr>
          <w:fldChar w:fldCharType="separate"/>
        </w:r>
        <w:r>
          <w:rPr>
            <w:noProof/>
            <w:webHidden/>
          </w:rPr>
          <w:t>160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01" w:history="1">
        <w:r w:rsidRPr="00CC53E5">
          <w:rPr>
            <w:rStyle w:val="Hyperlink"/>
            <w:noProof/>
          </w:rPr>
          <w:t>2.1.418</w:t>
        </w:r>
        <w:r>
          <w:rPr>
            <w:rFonts w:asciiTheme="minorHAnsi" w:eastAsiaTheme="minorEastAsia" w:hAnsiTheme="minorHAnsi" w:cstheme="minorBidi"/>
            <w:noProof/>
            <w:sz w:val="22"/>
            <w:szCs w:val="22"/>
          </w:rPr>
          <w:tab/>
        </w:r>
        <w:r w:rsidRPr="00CC53E5">
          <w:rPr>
            <w:rStyle w:val="Hyperlink"/>
            <w:noProof/>
          </w:rPr>
          <w:t>Part 1 Section 17.15.1.80, showXMLTags (Show Visual Indicators for Custom XML Markup Start/End Locations)</w:t>
        </w:r>
        <w:r>
          <w:rPr>
            <w:noProof/>
            <w:webHidden/>
          </w:rPr>
          <w:tab/>
        </w:r>
        <w:r>
          <w:rPr>
            <w:noProof/>
            <w:webHidden/>
          </w:rPr>
          <w:fldChar w:fldCharType="begin"/>
        </w:r>
        <w:r>
          <w:rPr>
            <w:noProof/>
            <w:webHidden/>
          </w:rPr>
          <w:instrText xml:space="preserve"> PAGEREF _Toc69878201 \h </w:instrText>
        </w:r>
        <w:r>
          <w:rPr>
            <w:noProof/>
            <w:webHidden/>
          </w:rPr>
        </w:r>
        <w:r>
          <w:rPr>
            <w:noProof/>
            <w:webHidden/>
          </w:rPr>
          <w:fldChar w:fldCharType="separate"/>
        </w:r>
        <w:r>
          <w:rPr>
            <w:noProof/>
            <w:webHidden/>
          </w:rPr>
          <w:t>160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02" w:history="1">
        <w:r w:rsidRPr="00CC53E5">
          <w:rPr>
            <w:rStyle w:val="Hyperlink"/>
            <w:noProof/>
          </w:rPr>
          <w:t>2.1.419</w:t>
        </w:r>
        <w:r>
          <w:rPr>
            <w:rFonts w:asciiTheme="minorHAnsi" w:eastAsiaTheme="minorEastAsia" w:hAnsiTheme="minorHAnsi" w:cstheme="minorBidi"/>
            <w:noProof/>
            <w:sz w:val="22"/>
            <w:szCs w:val="22"/>
          </w:rPr>
          <w:tab/>
        </w:r>
        <w:r w:rsidRPr="00CC53E5">
          <w:rPr>
            <w:rStyle w:val="Hyperlink"/>
            <w:noProof/>
          </w:rPr>
          <w:t>Part 1 Section 17.15.1.81, smartTagType (Supplementary Smart Tag Information)</w:t>
        </w:r>
        <w:r>
          <w:rPr>
            <w:noProof/>
            <w:webHidden/>
          </w:rPr>
          <w:tab/>
        </w:r>
        <w:r>
          <w:rPr>
            <w:noProof/>
            <w:webHidden/>
          </w:rPr>
          <w:fldChar w:fldCharType="begin"/>
        </w:r>
        <w:r>
          <w:rPr>
            <w:noProof/>
            <w:webHidden/>
          </w:rPr>
          <w:instrText xml:space="preserve"> PAGEREF _Toc69878202 \h </w:instrText>
        </w:r>
        <w:r>
          <w:rPr>
            <w:noProof/>
            <w:webHidden/>
          </w:rPr>
        </w:r>
        <w:r>
          <w:rPr>
            <w:noProof/>
            <w:webHidden/>
          </w:rPr>
          <w:fldChar w:fldCharType="separate"/>
        </w:r>
        <w:r>
          <w:rPr>
            <w:noProof/>
            <w:webHidden/>
          </w:rPr>
          <w:t>160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03" w:history="1">
        <w:r w:rsidRPr="00CC53E5">
          <w:rPr>
            <w:rStyle w:val="Hyperlink"/>
            <w:noProof/>
          </w:rPr>
          <w:t>2.1.420</w:t>
        </w:r>
        <w:r>
          <w:rPr>
            <w:rFonts w:asciiTheme="minorHAnsi" w:eastAsiaTheme="minorEastAsia" w:hAnsiTheme="minorHAnsi" w:cstheme="minorBidi"/>
            <w:noProof/>
            <w:sz w:val="22"/>
            <w:szCs w:val="22"/>
          </w:rPr>
          <w:tab/>
        </w:r>
        <w:r w:rsidRPr="00CC53E5">
          <w:rPr>
            <w:rStyle w:val="Hyperlink"/>
            <w:noProof/>
          </w:rPr>
          <w:t>Part 1 Section 17.15.1.82, strictFirstAndLastChars (Use Strict Kinsoku Rules for Japanese Text)</w:t>
        </w:r>
        <w:r>
          <w:rPr>
            <w:noProof/>
            <w:webHidden/>
          </w:rPr>
          <w:tab/>
        </w:r>
        <w:r>
          <w:rPr>
            <w:noProof/>
            <w:webHidden/>
          </w:rPr>
          <w:fldChar w:fldCharType="begin"/>
        </w:r>
        <w:r>
          <w:rPr>
            <w:noProof/>
            <w:webHidden/>
          </w:rPr>
          <w:instrText xml:space="preserve"> PAGEREF _Toc69878203 \h </w:instrText>
        </w:r>
        <w:r>
          <w:rPr>
            <w:noProof/>
            <w:webHidden/>
          </w:rPr>
        </w:r>
        <w:r>
          <w:rPr>
            <w:noProof/>
            <w:webHidden/>
          </w:rPr>
          <w:fldChar w:fldCharType="separate"/>
        </w:r>
        <w:r>
          <w:rPr>
            <w:noProof/>
            <w:webHidden/>
          </w:rPr>
          <w:t>160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04" w:history="1">
        <w:r w:rsidRPr="00CC53E5">
          <w:rPr>
            <w:rStyle w:val="Hyperlink"/>
            <w:noProof/>
          </w:rPr>
          <w:t>2.1.421</w:t>
        </w:r>
        <w:r>
          <w:rPr>
            <w:rFonts w:asciiTheme="minorHAnsi" w:eastAsiaTheme="minorEastAsia" w:hAnsiTheme="minorHAnsi" w:cstheme="minorBidi"/>
            <w:noProof/>
            <w:sz w:val="22"/>
            <w:szCs w:val="22"/>
          </w:rPr>
          <w:tab/>
        </w:r>
        <w:r w:rsidRPr="00CC53E5">
          <w:rPr>
            <w:rStyle w:val="Hyperlink"/>
            <w:noProof/>
          </w:rPr>
          <w:t>Part 1 Section 17.15.1.85, stylePaneFormatFilter (Suggested Filtering for List of Document Styles)</w:t>
        </w:r>
        <w:r>
          <w:rPr>
            <w:noProof/>
            <w:webHidden/>
          </w:rPr>
          <w:tab/>
        </w:r>
        <w:r>
          <w:rPr>
            <w:noProof/>
            <w:webHidden/>
          </w:rPr>
          <w:fldChar w:fldCharType="begin"/>
        </w:r>
        <w:r>
          <w:rPr>
            <w:noProof/>
            <w:webHidden/>
          </w:rPr>
          <w:instrText xml:space="preserve"> PAGEREF _Toc69878204 \h </w:instrText>
        </w:r>
        <w:r>
          <w:rPr>
            <w:noProof/>
            <w:webHidden/>
          </w:rPr>
        </w:r>
        <w:r>
          <w:rPr>
            <w:noProof/>
            <w:webHidden/>
          </w:rPr>
          <w:fldChar w:fldCharType="separate"/>
        </w:r>
        <w:r>
          <w:rPr>
            <w:noProof/>
            <w:webHidden/>
          </w:rPr>
          <w:t>160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05" w:history="1">
        <w:r w:rsidRPr="00CC53E5">
          <w:rPr>
            <w:rStyle w:val="Hyperlink"/>
            <w:noProof/>
          </w:rPr>
          <w:t>2.1.422</w:t>
        </w:r>
        <w:r>
          <w:rPr>
            <w:rFonts w:asciiTheme="minorHAnsi" w:eastAsiaTheme="minorEastAsia" w:hAnsiTheme="minorHAnsi" w:cstheme="minorBidi"/>
            <w:noProof/>
            <w:sz w:val="22"/>
            <w:szCs w:val="22"/>
          </w:rPr>
          <w:tab/>
        </w:r>
        <w:r w:rsidRPr="00CC53E5">
          <w:rPr>
            <w:rStyle w:val="Hyperlink"/>
            <w:noProof/>
          </w:rPr>
          <w:t>Part 1 Section 17.15.1.87, summaryLength (Percentage of Document to Use When Generating Summary)</w:t>
        </w:r>
        <w:r>
          <w:rPr>
            <w:noProof/>
            <w:webHidden/>
          </w:rPr>
          <w:tab/>
        </w:r>
        <w:r>
          <w:rPr>
            <w:noProof/>
            <w:webHidden/>
          </w:rPr>
          <w:fldChar w:fldCharType="begin"/>
        </w:r>
        <w:r>
          <w:rPr>
            <w:noProof/>
            <w:webHidden/>
          </w:rPr>
          <w:instrText xml:space="preserve"> PAGEREF _Toc69878205 \h </w:instrText>
        </w:r>
        <w:r>
          <w:rPr>
            <w:noProof/>
            <w:webHidden/>
          </w:rPr>
        </w:r>
        <w:r>
          <w:rPr>
            <w:noProof/>
            <w:webHidden/>
          </w:rPr>
          <w:fldChar w:fldCharType="separate"/>
        </w:r>
        <w:r>
          <w:rPr>
            <w:noProof/>
            <w:webHidden/>
          </w:rPr>
          <w:t>161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06" w:history="1">
        <w:r w:rsidRPr="00CC53E5">
          <w:rPr>
            <w:rStyle w:val="Hyperlink"/>
            <w:noProof/>
          </w:rPr>
          <w:t>2.1.423</w:t>
        </w:r>
        <w:r>
          <w:rPr>
            <w:rFonts w:asciiTheme="minorHAnsi" w:eastAsiaTheme="minorEastAsia" w:hAnsiTheme="minorHAnsi" w:cstheme="minorBidi"/>
            <w:noProof/>
            <w:sz w:val="22"/>
            <w:szCs w:val="22"/>
          </w:rPr>
          <w:tab/>
        </w:r>
        <w:r w:rsidRPr="00CC53E5">
          <w:rPr>
            <w:rStyle w:val="Hyperlink"/>
            <w:noProof/>
          </w:rPr>
          <w:t>Part 1 Section 17.15.1.88, themeFontLang (Theme Font Languages)</w:t>
        </w:r>
        <w:r>
          <w:rPr>
            <w:noProof/>
            <w:webHidden/>
          </w:rPr>
          <w:tab/>
        </w:r>
        <w:r>
          <w:rPr>
            <w:noProof/>
            <w:webHidden/>
          </w:rPr>
          <w:fldChar w:fldCharType="begin"/>
        </w:r>
        <w:r>
          <w:rPr>
            <w:noProof/>
            <w:webHidden/>
          </w:rPr>
          <w:instrText xml:space="preserve"> PAGEREF _Toc69878206 \h </w:instrText>
        </w:r>
        <w:r>
          <w:rPr>
            <w:noProof/>
            <w:webHidden/>
          </w:rPr>
        </w:r>
        <w:r>
          <w:rPr>
            <w:noProof/>
            <w:webHidden/>
          </w:rPr>
          <w:fldChar w:fldCharType="separate"/>
        </w:r>
        <w:r>
          <w:rPr>
            <w:noProof/>
            <w:webHidden/>
          </w:rPr>
          <w:t>161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07" w:history="1">
        <w:r w:rsidRPr="00CC53E5">
          <w:rPr>
            <w:rStyle w:val="Hyperlink"/>
            <w:noProof/>
          </w:rPr>
          <w:t>2.1.424</w:t>
        </w:r>
        <w:r>
          <w:rPr>
            <w:rFonts w:asciiTheme="minorHAnsi" w:eastAsiaTheme="minorEastAsia" w:hAnsiTheme="minorHAnsi" w:cstheme="minorBidi"/>
            <w:noProof/>
            <w:sz w:val="22"/>
            <w:szCs w:val="22"/>
          </w:rPr>
          <w:tab/>
        </w:r>
        <w:r w:rsidRPr="00CC53E5">
          <w:rPr>
            <w:rStyle w:val="Hyperlink"/>
            <w:noProof/>
          </w:rPr>
          <w:t>Part 1 Section 17.15.1.90, updateFields (Automatically Recalculate Fields on Open)</w:t>
        </w:r>
        <w:r>
          <w:rPr>
            <w:noProof/>
            <w:webHidden/>
          </w:rPr>
          <w:tab/>
        </w:r>
        <w:r>
          <w:rPr>
            <w:noProof/>
            <w:webHidden/>
          </w:rPr>
          <w:fldChar w:fldCharType="begin"/>
        </w:r>
        <w:r>
          <w:rPr>
            <w:noProof/>
            <w:webHidden/>
          </w:rPr>
          <w:instrText xml:space="preserve"> PAGEREF _Toc69878207 \h </w:instrText>
        </w:r>
        <w:r>
          <w:rPr>
            <w:noProof/>
            <w:webHidden/>
          </w:rPr>
        </w:r>
        <w:r>
          <w:rPr>
            <w:noProof/>
            <w:webHidden/>
          </w:rPr>
          <w:fldChar w:fldCharType="separate"/>
        </w:r>
        <w:r>
          <w:rPr>
            <w:noProof/>
            <w:webHidden/>
          </w:rPr>
          <w:t>161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08" w:history="1">
        <w:r w:rsidRPr="00CC53E5">
          <w:rPr>
            <w:rStyle w:val="Hyperlink"/>
            <w:noProof/>
          </w:rPr>
          <w:t>2.1.425</w:t>
        </w:r>
        <w:r>
          <w:rPr>
            <w:rFonts w:asciiTheme="minorHAnsi" w:eastAsiaTheme="minorEastAsia" w:hAnsiTheme="minorHAnsi" w:cstheme="minorBidi"/>
            <w:noProof/>
            <w:sz w:val="22"/>
            <w:szCs w:val="22"/>
          </w:rPr>
          <w:tab/>
        </w:r>
        <w:r w:rsidRPr="00CC53E5">
          <w:rPr>
            <w:rStyle w:val="Hyperlink"/>
            <w:noProof/>
          </w:rPr>
          <w:t>Part 1 Section 17.15.1.92, view (Document View Setting)</w:t>
        </w:r>
        <w:r>
          <w:rPr>
            <w:noProof/>
            <w:webHidden/>
          </w:rPr>
          <w:tab/>
        </w:r>
        <w:r>
          <w:rPr>
            <w:noProof/>
            <w:webHidden/>
          </w:rPr>
          <w:fldChar w:fldCharType="begin"/>
        </w:r>
        <w:r>
          <w:rPr>
            <w:noProof/>
            <w:webHidden/>
          </w:rPr>
          <w:instrText xml:space="preserve"> PAGEREF _Toc69878208 \h </w:instrText>
        </w:r>
        <w:r>
          <w:rPr>
            <w:noProof/>
            <w:webHidden/>
          </w:rPr>
        </w:r>
        <w:r>
          <w:rPr>
            <w:noProof/>
            <w:webHidden/>
          </w:rPr>
          <w:fldChar w:fldCharType="separate"/>
        </w:r>
        <w:r>
          <w:rPr>
            <w:noProof/>
            <w:webHidden/>
          </w:rPr>
          <w:t>161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09" w:history="1">
        <w:r w:rsidRPr="00CC53E5">
          <w:rPr>
            <w:rStyle w:val="Hyperlink"/>
            <w:noProof/>
          </w:rPr>
          <w:t>2.1.426</w:t>
        </w:r>
        <w:r>
          <w:rPr>
            <w:rFonts w:asciiTheme="minorHAnsi" w:eastAsiaTheme="minorEastAsia" w:hAnsiTheme="minorHAnsi" w:cstheme="minorBidi"/>
            <w:noProof/>
            <w:sz w:val="22"/>
            <w:szCs w:val="22"/>
          </w:rPr>
          <w:tab/>
        </w:r>
        <w:r w:rsidRPr="00CC53E5">
          <w:rPr>
            <w:rStyle w:val="Hyperlink"/>
            <w:noProof/>
          </w:rPr>
          <w:t>Part 1 Section 17.15.1.93, writeProtection (Write Protection)</w:t>
        </w:r>
        <w:r>
          <w:rPr>
            <w:noProof/>
            <w:webHidden/>
          </w:rPr>
          <w:tab/>
        </w:r>
        <w:r>
          <w:rPr>
            <w:noProof/>
            <w:webHidden/>
          </w:rPr>
          <w:fldChar w:fldCharType="begin"/>
        </w:r>
        <w:r>
          <w:rPr>
            <w:noProof/>
            <w:webHidden/>
          </w:rPr>
          <w:instrText xml:space="preserve"> PAGEREF _Toc69878209 \h </w:instrText>
        </w:r>
        <w:r>
          <w:rPr>
            <w:noProof/>
            <w:webHidden/>
          </w:rPr>
        </w:r>
        <w:r>
          <w:rPr>
            <w:noProof/>
            <w:webHidden/>
          </w:rPr>
          <w:fldChar w:fldCharType="separate"/>
        </w:r>
        <w:r>
          <w:rPr>
            <w:noProof/>
            <w:webHidden/>
          </w:rPr>
          <w:t>161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10" w:history="1">
        <w:r w:rsidRPr="00CC53E5">
          <w:rPr>
            <w:rStyle w:val="Hyperlink"/>
            <w:noProof/>
          </w:rPr>
          <w:t>2.1.427</w:t>
        </w:r>
        <w:r>
          <w:rPr>
            <w:rFonts w:asciiTheme="minorHAnsi" w:eastAsiaTheme="minorEastAsia" w:hAnsiTheme="minorHAnsi" w:cstheme="minorBidi"/>
            <w:noProof/>
            <w:sz w:val="22"/>
            <w:szCs w:val="22"/>
          </w:rPr>
          <w:tab/>
        </w:r>
        <w:r w:rsidRPr="00CC53E5">
          <w:rPr>
            <w:rStyle w:val="Hyperlink"/>
            <w:noProof/>
          </w:rPr>
          <w:t>Part 1 Section 17.15.1.94, zoom (Magnification Setting)</w:t>
        </w:r>
        <w:r>
          <w:rPr>
            <w:noProof/>
            <w:webHidden/>
          </w:rPr>
          <w:tab/>
        </w:r>
        <w:r>
          <w:rPr>
            <w:noProof/>
            <w:webHidden/>
          </w:rPr>
          <w:fldChar w:fldCharType="begin"/>
        </w:r>
        <w:r>
          <w:rPr>
            <w:noProof/>
            <w:webHidden/>
          </w:rPr>
          <w:instrText xml:space="preserve"> PAGEREF _Toc69878210 \h </w:instrText>
        </w:r>
        <w:r>
          <w:rPr>
            <w:noProof/>
            <w:webHidden/>
          </w:rPr>
        </w:r>
        <w:r>
          <w:rPr>
            <w:noProof/>
            <w:webHidden/>
          </w:rPr>
          <w:fldChar w:fldCharType="separate"/>
        </w:r>
        <w:r>
          <w:rPr>
            <w:noProof/>
            <w:webHidden/>
          </w:rPr>
          <w:t>163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11" w:history="1">
        <w:r w:rsidRPr="00CC53E5">
          <w:rPr>
            <w:rStyle w:val="Hyperlink"/>
            <w:noProof/>
          </w:rPr>
          <w:t>2.1.428</w:t>
        </w:r>
        <w:r>
          <w:rPr>
            <w:rFonts w:asciiTheme="minorHAnsi" w:eastAsiaTheme="minorEastAsia" w:hAnsiTheme="minorHAnsi" w:cstheme="minorBidi"/>
            <w:noProof/>
            <w:sz w:val="22"/>
            <w:szCs w:val="22"/>
          </w:rPr>
          <w:tab/>
        </w:r>
        <w:r w:rsidRPr="00CC53E5">
          <w:rPr>
            <w:rStyle w:val="Hyperlink"/>
            <w:noProof/>
          </w:rPr>
          <w:t>Part 1 Section 17.15.2.1, allowPNG (Allow PNG as Graphic Format)</w:t>
        </w:r>
        <w:r>
          <w:rPr>
            <w:noProof/>
            <w:webHidden/>
          </w:rPr>
          <w:tab/>
        </w:r>
        <w:r>
          <w:rPr>
            <w:noProof/>
            <w:webHidden/>
          </w:rPr>
          <w:fldChar w:fldCharType="begin"/>
        </w:r>
        <w:r>
          <w:rPr>
            <w:noProof/>
            <w:webHidden/>
          </w:rPr>
          <w:instrText xml:space="preserve"> PAGEREF _Toc69878211 \h </w:instrText>
        </w:r>
        <w:r>
          <w:rPr>
            <w:noProof/>
            <w:webHidden/>
          </w:rPr>
        </w:r>
        <w:r>
          <w:rPr>
            <w:noProof/>
            <w:webHidden/>
          </w:rPr>
          <w:fldChar w:fldCharType="separate"/>
        </w:r>
        <w:r>
          <w:rPr>
            <w:noProof/>
            <w:webHidden/>
          </w:rPr>
          <w:t>164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12" w:history="1">
        <w:r w:rsidRPr="00CC53E5">
          <w:rPr>
            <w:rStyle w:val="Hyperlink"/>
            <w:noProof/>
          </w:rPr>
          <w:t>2.1.429</w:t>
        </w:r>
        <w:r>
          <w:rPr>
            <w:rFonts w:asciiTheme="minorHAnsi" w:eastAsiaTheme="minorEastAsia" w:hAnsiTheme="minorHAnsi" w:cstheme="minorBidi"/>
            <w:noProof/>
            <w:sz w:val="22"/>
            <w:szCs w:val="22"/>
          </w:rPr>
          <w:tab/>
        </w:r>
        <w:r w:rsidRPr="00CC53E5">
          <w:rPr>
            <w:rStyle w:val="Hyperlink"/>
            <w:noProof/>
          </w:rPr>
          <w:t>Part 1 Section 17.15.2.2, blockQuote (Data for HTML blockquote Element)</w:t>
        </w:r>
        <w:r>
          <w:rPr>
            <w:noProof/>
            <w:webHidden/>
          </w:rPr>
          <w:tab/>
        </w:r>
        <w:r>
          <w:rPr>
            <w:noProof/>
            <w:webHidden/>
          </w:rPr>
          <w:fldChar w:fldCharType="begin"/>
        </w:r>
        <w:r>
          <w:rPr>
            <w:noProof/>
            <w:webHidden/>
          </w:rPr>
          <w:instrText xml:space="preserve"> PAGEREF _Toc69878212 \h </w:instrText>
        </w:r>
        <w:r>
          <w:rPr>
            <w:noProof/>
            <w:webHidden/>
          </w:rPr>
        </w:r>
        <w:r>
          <w:rPr>
            <w:noProof/>
            <w:webHidden/>
          </w:rPr>
          <w:fldChar w:fldCharType="separate"/>
        </w:r>
        <w:r>
          <w:rPr>
            <w:noProof/>
            <w:webHidden/>
          </w:rPr>
          <w:t>164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13" w:history="1">
        <w:r w:rsidRPr="00CC53E5">
          <w:rPr>
            <w:rStyle w:val="Hyperlink"/>
            <w:noProof/>
          </w:rPr>
          <w:t>2.1.430</w:t>
        </w:r>
        <w:r>
          <w:rPr>
            <w:rFonts w:asciiTheme="minorHAnsi" w:eastAsiaTheme="minorEastAsia" w:hAnsiTheme="minorHAnsi" w:cstheme="minorBidi"/>
            <w:noProof/>
            <w:sz w:val="22"/>
            <w:szCs w:val="22"/>
          </w:rPr>
          <w:tab/>
        </w:r>
        <w:r w:rsidRPr="00CC53E5">
          <w:rPr>
            <w:rStyle w:val="Hyperlink"/>
            <w:noProof/>
          </w:rPr>
          <w:t>Part 1 Section 17.15.2.3, bodyDiv (Data for HTML body Element)</w:t>
        </w:r>
        <w:r>
          <w:rPr>
            <w:noProof/>
            <w:webHidden/>
          </w:rPr>
          <w:tab/>
        </w:r>
        <w:r>
          <w:rPr>
            <w:noProof/>
            <w:webHidden/>
          </w:rPr>
          <w:fldChar w:fldCharType="begin"/>
        </w:r>
        <w:r>
          <w:rPr>
            <w:noProof/>
            <w:webHidden/>
          </w:rPr>
          <w:instrText xml:space="preserve"> PAGEREF _Toc69878213 \h </w:instrText>
        </w:r>
        <w:r>
          <w:rPr>
            <w:noProof/>
            <w:webHidden/>
          </w:rPr>
        </w:r>
        <w:r>
          <w:rPr>
            <w:noProof/>
            <w:webHidden/>
          </w:rPr>
          <w:fldChar w:fldCharType="separate"/>
        </w:r>
        <w:r>
          <w:rPr>
            <w:noProof/>
            <w:webHidden/>
          </w:rPr>
          <w:t>164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14" w:history="1">
        <w:r w:rsidRPr="00CC53E5">
          <w:rPr>
            <w:rStyle w:val="Hyperlink"/>
            <w:noProof/>
          </w:rPr>
          <w:t>2.1.431</w:t>
        </w:r>
        <w:r>
          <w:rPr>
            <w:rFonts w:asciiTheme="minorHAnsi" w:eastAsiaTheme="minorEastAsia" w:hAnsiTheme="minorHAnsi" w:cstheme="minorBidi"/>
            <w:noProof/>
            <w:sz w:val="22"/>
            <w:szCs w:val="22"/>
          </w:rPr>
          <w:tab/>
        </w:r>
        <w:r w:rsidRPr="00CC53E5">
          <w:rPr>
            <w:rStyle w:val="Hyperlink"/>
            <w:noProof/>
          </w:rPr>
          <w:t>Part 1 Section 17.15.2.4, bottom (Bottom Border for HTML div)</w:t>
        </w:r>
        <w:r>
          <w:rPr>
            <w:noProof/>
            <w:webHidden/>
          </w:rPr>
          <w:tab/>
        </w:r>
        <w:r>
          <w:rPr>
            <w:noProof/>
            <w:webHidden/>
          </w:rPr>
          <w:fldChar w:fldCharType="begin"/>
        </w:r>
        <w:r>
          <w:rPr>
            <w:noProof/>
            <w:webHidden/>
          </w:rPr>
          <w:instrText xml:space="preserve"> PAGEREF _Toc69878214 \h </w:instrText>
        </w:r>
        <w:r>
          <w:rPr>
            <w:noProof/>
            <w:webHidden/>
          </w:rPr>
        </w:r>
        <w:r>
          <w:rPr>
            <w:noProof/>
            <w:webHidden/>
          </w:rPr>
          <w:fldChar w:fldCharType="separate"/>
        </w:r>
        <w:r>
          <w:rPr>
            <w:noProof/>
            <w:webHidden/>
          </w:rPr>
          <w:t>164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15" w:history="1">
        <w:r w:rsidRPr="00CC53E5">
          <w:rPr>
            <w:rStyle w:val="Hyperlink"/>
            <w:noProof/>
          </w:rPr>
          <w:t>2.1.432</w:t>
        </w:r>
        <w:r>
          <w:rPr>
            <w:rFonts w:asciiTheme="minorHAnsi" w:eastAsiaTheme="minorEastAsia" w:hAnsiTheme="minorHAnsi" w:cstheme="minorBidi"/>
            <w:noProof/>
            <w:sz w:val="22"/>
            <w:szCs w:val="22"/>
          </w:rPr>
          <w:tab/>
        </w:r>
        <w:r w:rsidRPr="00CC53E5">
          <w:rPr>
            <w:rStyle w:val="Hyperlink"/>
            <w:noProof/>
          </w:rPr>
          <w:t>Part 1 Section 17.15.2.5, color (Frameset Splitter Color)</w:t>
        </w:r>
        <w:r>
          <w:rPr>
            <w:noProof/>
            <w:webHidden/>
          </w:rPr>
          <w:tab/>
        </w:r>
        <w:r>
          <w:rPr>
            <w:noProof/>
            <w:webHidden/>
          </w:rPr>
          <w:fldChar w:fldCharType="begin"/>
        </w:r>
        <w:r>
          <w:rPr>
            <w:noProof/>
            <w:webHidden/>
          </w:rPr>
          <w:instrText xml:space="preserve"> PAGEREF _Toc69878215 \h </w:instrText>
        </w:r>
        <w:r>
          <w:rPr>
            <w:noProof/>
            <w:webHidden/>
          </w:rPr>
        </w:r>
        <w:r>
          <w:rPr>
            <w:noProof/>
            <w:webHidden/>
          </w:rPr>
          <w:fldChar w:fldCharType="separate"/>
        </w:r>
        <w:r>
          <w:rPr>
            <w:noProof/>
            <w:webHidden/>
          </w:rPr>
          <w:t>164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16" w:history="1">
        <w:r w:rsidRPr="00CC53E5">
          <w:rPr>
            <w:rStyle w:val="Hyperlink"/>
            <w:noProof/>
          </w:rPr>
          <w:t>2.1.433</w:t>
        </w:r>
        <w:r>
          <w:rPr>
            <w:rFonts w:asciiTheme="minorHAnsi" w:eastAsiaTheme="minorEastAsia" w:hAnsiTheme="minorHAnsi" w:cstheme="minorBidi"/>
            <w:noProof/>
            <w:sz w:val="22"/>
            <w:szCs w:val="22"/>
          </w:rPr>
          <w:tab/>
        </w:r>
        <w:r w:rsidRPr="00CC53E5">
          <w:rPr>
            <w:rStyle w:val="Hyperlink"/>
            <w:noProof/>
          </w:rPr>
          <w:t>Part 1 Section 17.15.2.6, div (Information About Single HTML div Element)</w:t>
        </w:r>
        <w:r>
          <w:rPr>
            <w:noProof/>
            <w:webHidden/>
          </w:rPr>
          <w:tab/>
        </w:r>
        <w:r>
          <w:rPr>
            <w:noProof/>
            <w:webHidden/>
          </w:rPr>
          <w:fldChar w:fldCharType="begin"/>
        </w:r>
        <w:r>
          <w:rPr>
            <w:noProof/>
            <w:webHidden/>
          </w:rPr>
          <w:instrText xml:space="preserve"> PAGEREF _Toc69878216 \h </w:instrText>
        </w:r>
        <w:r>
          <w:rPr>
            <w:noProof/>
            <w:webHidden/>
          </w:rPr>
        </w:r>
        <w:r>
          <w:rPr>
            <w:noProof/>
            <w:webHidden/>
          </w:rPr>
          <w:fldChar w:fldCharType="separate"/>
        </w:r>
        <w:r>
          <w:rPr>
            <w:noProof/>
            <w:webHidden/>
          </w:rPr>
          <w:t>164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17" w:history="1">
        <w:r w:rsidRPr="00CC53E5">
          <w:rPr>
            <w:rStyle w:val="Hyperlink"/>
            <w:noProof/>
          </w:rPr>
          <w:t>2.1.434</w:t>
        </w:r>
        <w:r>
          <w:rPr>
            <w:rFonts w:asciiTheme="minorHAnsi" w:eastAsiaTheme="minorEastAsia" w:hAnsiTheme="minorHAnsi" w:cstheme="minorBidi"/>
            <w:noProof/>
            <w:sz w:val="22"/>
            <w:szCs w:val="22"/>
          </w:rPr>
          <w:tab/>
        </w:r>
        <w:r w:rsidRPr="00CC53E5">
          <w:rPr>
            <w:rStyle w:val="Hyperlink"/>
            <w:noProof/>
          </w:rPr>
          <w:t>Part 1 Section 17.15.2.10, doNotOrganizeInFolder (Do Not Place Supporting Files in Subdirectory)</w:t>
        </w:r>
        <w:r>
          <w:rPr>
            <w:noProof/>
            <w:webHidden/>
          </w:rPr>
          <w:tab/>
        </w:r>
        <w:r>
          <w:rPr>
            <w:noProof/>
            <w:webHidden/>
          </w:rPr>
          <w:fldChar w:fldCharType="begin"/>
        </w:r>
        <w:r>
          <w:rPr>
            <w:noProof/>
            <w:webHidden/>
          </w:rPr>
          <w:instrText xml:space="preserve"> PAGEREF _Toc69878217 \h </w:instrText>
        </w:r>
        <w:r>
          <w:rPr>
            <w:noProof/>
            <w:webHidden/>
          </w:rPr>
        </w:r>
        <w:r>
          <w:rPr>
            <w:noProof/>
            <w:webHidden/>
          </w:rPr>
          <w:fldChar w:fldCharType="separate"/>
        </w:r>
        <w:r>
          <w:rPr>
            <w:noProof/>
            <w:webHidden/>
          </w:rPr>
          <w:t>164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18" w:history="1">
        <w:r w:rsidRPr="00CC53E5">
          <w:rPr>
            <w:rStyle w:val="Hyperlink"/>
            <w:noProof/>
          </w:rPr>
          <w:t>2.1.435</w:t>
        </w:r>
        <w:r>
          <w:rPr>
            <w:rFonts w:asciiTheme="minorHAnsi" w:eastAsiaTheme="minorEastAsia" w:hAnsiTheme="minorHAnsi" w:cstheme="minorBidi"/>
            <w:noProof/>
            <w:sz w:val="22"/>
            <w:szCs w:val="22"/>
          </w:rPr>
          <w:tab/>
        </w:r>
        <w:r w:rsidRPr="00CC53E5">
          <w:rPr>
            <w:rStyle w:val="Hyperlink"/>
            <w:noProof/>
          </w:rPr>
          <w:t>Part 1 Section 17.15.2.14, encoding (Output Encoding When Saving as Web Page)</w:t>
        </w:r>
        <w:r>
          <w:rPr>
            <w:noProof/>
            <w:webHidden/>
          </w:rPr>
          <w:tab/>
        </w:r>
        <w:r>
          <w:rPr>
            <w:noProof/>
            <w:webHidden/>
          </w:rPr>
          <w:fldChar w:fldCharType="begin"/>
        </w:r>
        <w:r>
          <w:rPr>
            <w:noProof/>
            <w:webHidden/>
          </w:rPr>
          <w:instrText xml:space="preserve"> PAGEREF _Toc69878218 \h </w:instrText>
        </w:r>
        <w:r>
          <w:rPr>
            <w:noProof/>
            <w:webHidden/>
          </w:rPr>
        </w:r>
        <w:r>
          <w:rPr>
            <w:noProof/>
            <w:webHidden/>
          </w:rPr>
          <w:fldChar w:fldCharType="separate"/>
        </w:r>
        <w:r>
          <w:rPr>
            <w:noProof/>
            <w:webHidden/>
          </w:rPr>
          <w:t>165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19" w:history="1">
        <w:r w:rsidRPr="00CC53E5">
          <w:rPr>
            <w:rStyle w:val="Hyperlink"/>
            <w:noProof/>
          </w:rPr>
          <w:t>2.1.436</w:t>
        </w:r>
        <w:r>
          <w:rPr>
            <w:rFonts w:asciiTheme="minorHAnsi" w:eastAsiaTheme="minorEastAsia" w:hAnsiTheme="minorHAnsi" w:cstheme="minorBidi"/>
            <w:noProof/>
            <w:sz w:val="22"/>
            <w:szCs w:val="22"/>
          </w:rPr>
          <w:tab/>
        </w:r>
        <w:r w:rsidRPr="00CC53E5">
          <w:rPr>
            <w:rStyle w:val="Hyperlink"/>
            <w:noProof/>
          </w:rPr>
          <w:t>Part 1 Section 17.15.2.17, frameLayout (Frameset Layout)</w:t>
        </w:r>
        <w:r>
          <w:rPr>
            <w:noProof/>
            <w:webHidden/>
          </w:rPr>
          <w:tab/>
        </w:r>
        <w:r>
          <w:rPr>
            <w:noProof/>
            <w:webHidden/>
          </w:rPr>
          <w:fldChar w:fldCharType="begin"/>
        </w:r>
        <w:r>
          <w:rPr>
            <w:noProof/>
            <w:webHidden/>
          </w:rPr>
          <w:instrText xml:space="preserve"> PAGEREF _Toc69878219 \h </w:instrText>
        </w:r>
        <w:r>
          <w:rPr>
            <w:noProof/>
            <w:webHidden/>
          </w:rPr>
        </w:r>
        <w:r>
          <w:rPr>
            <w:noProof/>
            <w:webHidden/>
          </w:rPr>
          <w:fldChar w:fldCharType="separate"/>
        </w:r>
        <w:r>
          <w:rPr>
            <w:noProof/>
            <w:webHidden/>
          </w:rPr>
          <w:t>165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20" w:history="1">
        <w:r w:rsidRPr="00CC53E5">
          <w:rPr>
            <w:rStyle w:val="Hyperlink"/>
            <w:noProof/>
          </w:rPr>
          <w:t>2.1.437</w:t>
        </w:r>
        <w:r>
          <w:rPr>
            <w:rFonts w:asciiTheme="minorHAnsi" w:eastAsiaTheme="minorEastAsia" w:hAnsiTheme="minorHAnsi" w:cstheme="minorBidi"/>
            <w:noProof/>
            <w:sz w:val="22"/>
            <w:szCs w:val="22"/>
          </w:rPr>
          <w:tab/>
        </w:r>
        <w:r w:rsidRPr="00CC53E5">
          <w:rPr>
            <w:rStyle w:val="Hyperlink"/>
            <w:noProof/>
          </w:rPr>
          <w:t>Part 1 Section 17.15.2.18, frameset (Nested Frameset Definition)</w:t>
        </w:r>
        <w:r>
          <w:rPr>
            <w:noProof/>
            <w:webHidden/>
          </w:rPr>
          <w:tab/>
        </w:r>
        <w:r>
          <w:rPr>
            <w:noProof/>
            <w:webHidden/>
          </w:rPr>
          <w:fldChar w:fldCharType="begin"/>
        </w:r>
        <w:r>
          <w:rPr>
            <w:noProof/>
            <w:webHidden/>
          </w:rPr>
          <w:instrText xml:space="preserve"> PAGEREF _Toc69878220 \h </w:instrText>
        </w:r>
        <w:r>
          <w:rPr>
            <w:noProof/>
            <w:webHidden/>
          </w:rPr>
        </w:r>
        <w:r>
          <w:rPr>
            <w:noProof/>
            <w:webHidden/>
          </w:rPr>
          <w:fldChar w:fldCharType="separate"/>
        </w:r>
        <w:r>
          <w:rPr>
            <w:noProof/>
            <w:webHidden/>
          </w:rPr>
          <w:t>165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21" w:history="1">
        <w:r w:rsidRPr="00CC53E5">
          <w:rPr>
            <w:rStyle w:val="Hyperlink"/>
            <w:noProof/>
          </w:rPr>
          <w:t>2.1.438</w:t>
        </w:r>
        <w:r>
          <w:rPr>
            <w:rFonts w:asciiTheme="minorHAnsi" w:eastAsiaTheme="minorEastAsia" w:hAnsiTheme="minorHAnsi" w:cstheme="minorBidi"/>
            <w:noProof/>
            <w:sz w:val="22"/>
            <w:szCs w:val="22"/>
          </w:rPr>
          <w:tab/>
        </w:r>
        <w:r w:rsidRPr="00CC53E5">
          <w:rPr>
            <w:rStyle w:val="Hyperlink"/>
            <w:noProof/>
          </w:rPr>
          <w:t>Part 1 Section 17.15.2.19, frameset (Root Frameset Definition)</w:t>
        </w:r>
        <w:r>
          <w:rPr>
            <w:noProof/>
            <w:webHidden/>
          </w:rPr>
          <w:tab/>
        </w:r>
        <w:r>
          <w:rPr>
            <w:noProof/>
            <w:webHidden/>
          </w:rPr>
          <w:fldChar w:fldCharType="begin"/>
        </w:r>
        <w:r>
          <w:rPr>
            <w:noProof/>
            <w:webHidden/>
          </w:rPr>
          <w:instrText xml:space="preserve"> PAGEREF _Toc69878221 \h </w:instrText>
        </w:r>
        <w:r>
          <w:rPr>
            <w:noProof/>
            <w:webHidden/>
          </w:rPr>
        </w:r>
        <w:r>
          <w:rPr>
            <w:noProof/>
            <w:webHidden/>
          </w:rPr>
          <w:fldChar w:fldCharType="separate"/>
        </w:r>
        <w:r>
          <w:rPr>
            <w:noProof/>
            <w:webHidden/>
          </w:rPr>
          <w:t>165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22" w:history="1">
        <w:r w:rsidRPr="00CC53E5">
          <w:rPr>
            <w:rStyle w:val="Hyperlink"/>
            <w:noProof/>
          </w:rPr>
          <w:t>2.1.439</w:t>
        </w:r>
        <w:r>
          <w:rPr>
            <w:rFonts w:asciiTheme="minorHAnsi" w:eastAsiaTheme="minorEastAsia" w:hAnsiTheme="minorHAnsi" w:cstheme="minorBidi"/>
            <w:noProof/>
            <w:sz w:val="22"/>
            <w:szCs w:val="22"/>
          </w:rPr>
          <w:tab/>
        </w:r>
        <w:r w:rsidRPr="00CC53E5">
          <w:rPr>
            <w:rStyle w:val="Hyperlink"/>
            <w:noProof/>
          </w:rPr>
          <w:t>Part 1 Section 17.15.2.21, left (Left Border for HTML div)</w:t>
        </w:r>
        <w:r>
          <w:rPr>
            <w:noProof/>
            <w:webHidden/>
          </w:rPr>
          <w:tab/>
        </w:r>
        <w:r>
          <w:rPr>
            <w:noProof/>
            <w:webHidden/>
          </w:rPr>
          <w:fldChar w:fldCharType="begin"/>
        </w:r>
        <w:r>
          <w:rPr>
            <w:noProof/>
            <w:webHidden/>
          </w:rPr>
          <w:instrText xml:space="preserve"> PAGEREF _Toc69878222 \h </w:instrText>
        </w:r>
        <w:r>
          <w:rPr>
            <w:noProof/>
            <w:webHidden/>
          </w:rPr>
        </w:r>
        <w:r>
          <w:rPr>
            <w:noProof/>
            <w:webHidden/>
          </w:rPr>
          <w:fldChar w:fldCharType="separate"/>
        </w:r>
        <w:r>
          <w:rPr>
            <w:noProof/>
            <w:webHidden/>
          </w:rPr>
          <w:t>165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23" w:history="1">
        <w:r w:rsidRPr="00CC53E5">
          <w:rPr>
            <w:rStyle w:val="Hyperlink"/>
            <w:noProof/>
          </w:rPr>
          <w:t>2.1.440</w:t>
        </w:r>
        <w:r>
          <w:rPr>
            <w:rFonts w:asciiTheme="minorHAnsi" w:eastAsiaTheme="minorEastAsia" w:hAnsiTheme="minorHAnsi" w:cstheme="minorBidi"/>
            <w:noProof/>
            <w:sz w:val="22"/>
            <w:szCs w:val="22"/>
          </w:rPr>
          <w:tab/>
        </w:r>
        <w:r w:rsidRPr="00CC53E5">
          <w:rPr>
            <w:rStyle w:val="Hyperlink"/>
            <w:noProof/>
          </w:rPr>
          <w:t>Part 1 Section 17.15.2.23, longDesc (Frame Long Description)</w:t>
        </w:r>
        <w:r>
          <w:rPr>
            <w:noProof/>
            <w:webHidden/>
          </w:rPr>
          <w:tab/>
        </w:r>
        <w:r>
          <w:rPr>
            <w:noProof/>
            <w:webHidden/>
          </w:rPr>
          <w:fldChar w:fldCharType="begin"/>
        </w:r>
        <w:r>
          <w:rPr>
            <w:noProof/>
            <w:webHidden/>
          </w:rPr>
          <w:instrText xml:space="preserve"> PAGEREF _Toc69878223 \h </w:instrText>
        </w:r>
        <w:r>
          <w:rPr>
            <w:noProof/>
            <w:webHidden/>
          </w:rPr>
        </w:r>
        <w:r>
          <w:rPr>
            <w:noProof/>
            <w:webHidden/>
          </w:rPr>
          <w:fldChar w:fldCharType="separate"/>
        </w:r>
        <w:r>
          <w:rPr>
            <w:noProof/>
            <w:webHidden/>
          </w:rPr>
          <w:t>165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24" w:history="1">
        <w:r w:rsidRPr="00CC53E5">
          <w:rPr>
            <w:rStyle w:val="Hyperlink"/>
            <w:noProof/>
          </w:rPr>
          <w:t>2.1.441</w:t>
        </w:r>
        <w:r>
          <w:rPr>
            <w:rFonts w:asciiTheme="minorHAnsi" w:eastAsiaTheme="minorEastAsia" w:hAnsiTheme="minorHAnsi" w:cstheme="minorBidi"/>
            <w:noProof/>
            <w:sz w:val="22"/>
            <w:szCs w:val="22"/>
          </w:rPr>
          <w:tab/>
        </w:r>
        <w:r w:rsidRPr="00CC53E5">
          <w:rPr>
            <w:rStyle w:val="Hyperlink"/>
            <w:noProof/>
          </w:rPr>
          <w:t>Part 1 Section 17.15.2.30, name (Frame Name)</w:t>
        </w:r>
        <w:r>
          <w:rPr>
            <w:noProof/>
            <w:webHidden/>
          </w:rPr>
          <w:tab/>
        </w:r>
        <w:r>
          <w:rPr>
            <w:noProof/>
            <w:webHidden/>
          </w:rPr>
          <w:fldChar w:fldCharType="begin"/>
        </w:r>
        <w:r>
          <w:rPr>
            <w:noProof/>
            <w:webHidden/>
          </w:rPr>
          <w:instrText xml:space="preserve"> PAGEREF _Toc69878224 \h </w:instrText>
        </w:r>
        <w:r>
          <w:rPr>
            <w:noProof/>
            <w:webHidden/>
          </w:rPr>
        </w:r>
        <w:r>
          <w:rPr>
            <w:noProof/>
            <w:webHidden/>
          </w:rPr>
          <w:fldChar w:fldCharType="separate"/>
        </w:r>
        <w:r>
          <w:rPr>
            <w:noProof/>
            <w:webHidden/>
          </w:rPr>
          <w:t>165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25" w:history="1">
        <w:r w:rsidRPr="00CC53E5">
          <w:rPr>
            <w:rStyle w:val="Hyperlink"/>
            <w:noProof/>
          </w:rPr>
          <w:t>2.1.442</w:t>
        </w:r>
        <w:r>
          <w:rPr>
            <w:rFonts w:asciiTheme="minorHAnsi" w:eastAsiaTheme="minorEastAsia" w:hAnsiTheme="minorHAnsi" w:cstheme="minorBidi"/>
            <w:noProof/>
            <w:sz w:val="22"/>
            <w:szCs w:val="22"/>
          </w:rPr>
          <w:tab/>
        </w:r>
        <w:r w:rsidRPr="00CC53E5">
          <w:rPr>
            <w:rStyle w:val="Hyperlink"/>
            <w:noProof/>
          </w:rPr>
          <w:t>Part 1 Section 17.15.2.33, optimizeForBrowser (Disable Features Not Supported by Target Web Profile)</w:t>
        </w:r>
        <w:r>
          <w:rPr>
            <w:noProof/>
            <w:webHidden/>
          </w:rPr>
          <w:tab/>
        </w:r>
        <w:r>
          <w:rPr>
            <w:noProof/>
            <w:webHidden/>
          </w:rPr>
          <w:fldChar w:fldCharType="begin"/>
        </w:r>
        <w:r>
          <w:rPr>
            <w:noProof/>
            <w:webHidden/>
          </w:rPr>
          <w:instrText xml:space="preserve"> PAGEREF _Toc69878225 \h </w:instrText>
        </w:r>
        <w:r>
          <w:rPr>
            <w:noProof/>
            <w:webHidden/>
          </w:rPr>
        </w:r>
        <w:r>
          <w:rPr>
            <w:noProof/>
            <w:webHidden/>
          </w:rPr>
          <w:fldChar w:fldCharType="separate"/>
        </w:r>
        <w:r>
          <w:rPr>
            <w:noProof/>
            <w:webHidden/>
          </w:rPr>
          <w:t>166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26" w:history="1">
        <w:r w:rsidRPr="00CC53E5">
          <w:rPr>
            <w:rStyle w:val="Hyperlink"/>
            <w:noProof/>
          </w:rPr>
          <w:t>2.1.443</w:t>
        </w:r>
        <w:r>
          <w:rPr>
            <w:rFonts w:asciiTheme="minorHAnsi" w:eastAsiaTheme="minorEastAsia" w:hAnsiTheme="minorHAnsi" w:cstheme="minorBidi"/>
            <w:noProof/>
            <w:sz w:val="22"/>
            <w:szCs w:val="22"/>
          </w:rPr>
          <w:tab/>
        </w:r>
        <w:r w:rsidRPr="00CC53E5">
          <w:rPr>
            <w:rStyle w:val="Hyperlink"/>
            <w:noProof/>
          </w:rPr>
          <w:t>Part 1 Section 17.15.2.34, pixelsPerInch (Pixels per Inch for Graphics/Images)</w:t>
        </w:r>
        <w:r>
          <w:rPr>
            <w:noProof/>
            <w:webHidden/>
          </w:rPr>
          <w:tab/>
        </w:r>
        <w:r>
          <w:rPr>
            <w:noProof/>
            <w:webHidden/>
          </w:rPr>
          <w:fldChar w:fldCharType="begin"/>
        </w:r>
        <w:r>
          <w:rPr>
            <w:noProof/>
            <w:webHidden/>
          </w:rPr>
          <w:instrText xml:space="preserve"> PAGEREF _Toc69878226 \h </w:instrText>
        </w:r>
        <w:r>
          <w:rPr>
            <w:noProof/>
            <w:webHidden/>
          </w:rPr>
        </w:r>
        <w:r>
          <w:rPr>
            <w:noProof/>
            <w:webHidden/>
          </w:rPr>
          <w:fldChar w:fldCharType="separate"/>
        </w:r>
        <w:r>
          <w:rPr>
            <w:noProof/>
            <w:webHidden/>
          </w:rPr>
          <w:t>166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27" w:history="1">
        <w:r w:rsidRPr="00CC53E5">
          <w:rPr>
            <w:rStyle w:val="Hyperlink"/>
            <w:noProof/>
          </w:rPr>
          <w:t>2.1.444</w:t>
        </w:r>
        <w:r>
          <w:rPr>
            <w:rFonts w:asciiTheme="minorHAnsi" w:eastAsiaTheme="minorEastAsia" w:hAnsiTheme="minorHAnsi" w:cstheme="minorBidi"/>
            <w:noProof/>
            <w:sz w:val="22"/>
            <w:szCs w:val="22"/>
          </w:rPr>
          <w:tab/>
        </w:r>
        <w:r w:rsidRPr="00CC53E5">
          <w:rPr>
            <w:rStyle w:val="Hyperlink"/>
            <w:noProof/>
          </w:rPr>
          <w:t>Part 1 Section 17.15.2.35, right (Right Border for HTML div)</w:t>
        </w:r>
        <w:r>
          <w:rPr>
            <w:noProof/>
            <w:webHidden/>
          </w:rPr>
          <w:tab/>
        </w:r>
        <w:r>
          <w:rPr>
            <w:noProof/>
            <w:webHidden/>
          </w:rPr>
          <w:fldChar w:fldCharType="begin"/>
        </w:r>
        <w:r>
          <w:rPr>
            <w:noProof/>
            <w:webHidden/>
          </w:rPr>
          <w:instrText xml:space="preserve"> PAGEREF _Toc69878227 \h </w:instrText>
        </w:r>
        <w:r>
          <w:rPr>
            <w:noProof/>
            <w:webHidden/>
          </w:rPr>
        </w:r>
        <w:r>
          <w:rPr>
            <w:noProof/>
            <w:webHidden/>
          </w:rPr>
          <w:fldChar w:fldCharType="separate"/>
        </w:r>
        <w:r>
          <w:rPr>
            <w:noProof/>
            <w:webHidden/>
          </w:rPr>
          <w:t>166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28" w:history="1">
        <w:r w:rsidRPr="00CC53E5">
          <w:rPr>
            <w:rStyle w:val="Hyperlink"/>
            <w:noProof/>
          </w:rPr>
          <w:t>2.1.445</w:t>
        </w:r>
        <w:r>
          <w:rPr>
            <w:rFonts w:asciiTheme="minorHAnsi" w:eastAsiaTheme="minorEastAsia" w:hAnsiTheme="minorHAnsi" w:cstheme="minorBidi"/>
            <w:noProof/>
            <w:sz w:val="22"/>
            <w:szCs w:val="22"/>
          </w:rPr>
          <w:tab/>
        </w:r>
        <w:r w:rsidRPr="00CC53E5">
          <w:rPr>
            <w:rStyle w:val="Hyperlink"/>
            <w:noProof/>
          </w:rPr>
          <w:t>Part 1 Section 17.15.2.38, sourceFileName (Source File for Frame)</w:t>
        </w:r>
        <w:r>
          <w:rPr>
            <w:noProof/>
            <w:webHidden/>
          </w:rPr>
          <w:tab/>
        </w:r>
        <w:r>
          <w:rPr>
            <w:noProof/>
            <w:webHidden/>
          </w:rPr>
          <w:fldChar w:fldCharType="begin"/>
        </w:r>
        <w:r>
          <w:rPr>
            <w:noProof/>
            <w:webHidden/>
          </w:rPr>
          <w:instrText xml:space="preserve"> PAGEREF _Toc69878228 \h </w:instrText>
        </w:r>
        <w:r>
          <w:rPr>
            <w:noProof/>
            <w:webHidden/>
          </w:rPr>
        </w:r>
        <w:r>
          <w:rPr>
            <w:noProof/>
            <w:webHidden/>
          </w:rPr>
          <w:fldChar w:fldCharType="separate"/>
        </w:r>
        <w:r>
          <w:rPr>
            <w:noProof/>
            <w:webHidden/>
          </w:rPr>
          <w:t>166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29" w:history="1">
        <w:r w:rsidRPr="00CC53E5">
          <w:rPr>
            <w:rStyle w:val="Hyperlink"/>
            <w:noProof/>
          </w:rPr>
          <w:t>2.1.446</w:t>
        </w:r>
        <w:r>
          <w:rPr>
            <w:rFonts w:asciiTheme="minorHAnsi" w:eastAsiaTheme="minorEastAsia" w:hAnsiTheme="minorHAnsi" w:cstheme="minorBidi"/>
            <w:noProof/>
            <w:sz w:val="22"/>
            <w:szCs w:val="22"/>
          </w:rPr>
          <w:tab/>
        </w:r>
        <w:r w:rsidRPr="00CC53E5">
          <w:rPr>
            <w:rStyle w:val="Hyperlink"/>
            <w:noProof/>
          </w:rPr>
          <w:t>Part 1 Section 17.15.2.39, sz (Frame Size)</w:t>
        </w:r>
        <w:r>
          <w:rPr>
            <w:noProof/>
            <w:webHidden/>
          </w:rPr>
          <w:tab/>
        </w:r>
        <w:r>
          <w:rPr>
            <w:noProof/>
            <w:webHidden/>
          </w:rPr>
          <w:fldChar w:fldCharType="begin"/>
        </w:r>
        <w:r>
          <w:rPr>
            <w:noProof/>
            <w:webHidden/>
          </w:rPr>
          <w:instrText xml:space="preserve"> PAGEREF _Toc69878229 \h </w:instrText>
        </w:r>
        <w:r>
          <w:rPr>
            <w:noProof/>
            <w:webHidden/>
          </w:rPr>
        </w:r>
        <w:r>
          <w:rPr>
            <w:noProof/>
            <w:webHidden/>
          </w:rPr>
          <w:fldChar w:fldCharType="separate"/>
        </w:r>
        <w:r>
          <w:rPr>
            <w:noProof/>
            <w:webHidden/>
          </w:rPr>
          <w:t>166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30" w:history="1">
        <w:r w:rsidRPr="00CC53E5">
          <w:rPr>
            <w:rStyle w:val="Hyperlink"/>
            <w:noProof/>
          </w:rPr>
          <w:t>2.1.447</w:t>
        </w:r>
        <w:r>
          <w:rPr>
            <w:rFonts w:asciiTheme="minorHAnsi" w:eastAsiaTheme="minorEastAsia" w:hAnsiTheme="minorHAnsi" w:cstheme="minorBidi"/>
            <w:noProof/>
            <w:sz w:val="22"/>
            <w:szCs w:val="22"/>
          </w:rPr>
          <w:tab/>
        </w:r>
        <w:r w:rsidRPr="00CC53E5">
          <w:rPr>
            <w:rStyle w:val="Hyperlink"/>
            <w:noProof/>
          </w:rPr>
          <w:t>Part 1 Section 17.15.2.40, sz (Nested Frameset Size)</w:t>
        </w:r>
        <w:r>
          <w:rPr>
            <w:noProof/>
            <w:webHidden/>
          </w:rPr>
          <w:tab/>
        </w:r>
        <w:r>
          <w:rPr>
            <w:noProof/>
            <w:webHidden/>
          </w:rPr>
          <w:fldChar w:fldCharType="begin"/>
        </w:r>
        <w:r>
          <w:rPr>
            <w:noProof/>
            <w:webHidden/>
          </w:rPr>
          <w:instrText xml:space="preserve"> PAGEREF _Toc69878230 \h </w:instrText>
        </w:r>
        <w:r>
          <w:rPr>
            <w:noProof/>
            <w:webHidden/>
          </w:rPr>
        </w:r>
        <w:r>
          <w:rPr>
            <w:noProof/>
            <w:webHidden/>
          </w:rPr>
          <w:fldChar w:fldCharType="separate"/>
        </w:r>
        <w:r>
          <w:rPr>
            <w:noProof/>
            <w:webHidden/>
          </w:rPr>
          <w:t>166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31" w:history="1">
        <w:r w:rsidRPr="00CC53E5">
          <w:rPr>
            <w:rStyle w:val="Hyperlink"/>
            <w:noProof/>
          </w:rPr>
          <w:t>2.1.448</w:t>
        </w:r>
        <w:r>
          <w:rPr>
            <w:rFonts w:asciiTheme="minorHAnsi" w:eastAsiaTheme="minorEastAsia" w:hAnsiTheme="minorHAnsi" w:cstheme="minorBidi"/>
            <w:noProof/>
            <w:sz w:val="22"/>
            <w:szCs w:val="22"/>
          </w:rPr>
          <w:tab/>
        </w:r>
        <w:r w:rsidRPr="00CC53E5">
          <w:rPr>
            <w:rStyle w:val="Hyperlink"/>
            <w:noProof/>
          </w:rPr>
          <w:t>Part 1 Section 17.15.2.41, targetScreenSz (Target Screen Size for Web Page)</w:t>
        </w:r>
        <w:r>
          <w:rPr>
            <w:noProof/>
            <w:webHidden/>
          </w:rPr>
          <w:tab/>
        </w:r>
        <w:r>
          <w:rPr>
            <w:noProof/>
            <w:webHidden/>
          </w:rPr>
          <w:fldChar w:fldCharType="begin"/>
        </w:r>
        <w:r>
          <w:rPr>
            <w:noProof/>
            <w:webHidden/>
          </w:rPr>
          <w:instrText xml:space="preserve"> PAGEREF _Toc69878231 \h </w:instrText>
        </w:r>
        <w:r>
          <w:rPr>
            <w:noProof/>
            <w:webHidden/>
          </w:rPr>
        </w:r>
        <w:r>
          <w:rPr>
            <w:noProof/>
            <w:webHidden/>
          </w:rPr>
          <w:fldChar w:fldCharType="separate"/>
        </w:r>
        <w:r>
          <w:rPr>
            <w:noProof/>
            <w:webHidden/>
          </w:rPr>
          <w:t>167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32" w:history="1">
        <w:r w:rsidRPr="00CC53E5">
          <w:rPr>
            <w:rStyle w:val="Hyperlink"/>
            <w:noProof/>
          </w:rPr>
          <w:t>2.1.449</w:t>
        </w:r>
        <w:r>
          <w:rPr>
            <w:rFonts w:asciiTheme="minorHAnsi" w:eastAsiaTheme="minorEastAsia" w:hAnsiTheme="minorHAnsi" w:cstheme="minorBidi"/>
            <w:noProof/>
            <w:sz w:val="22"/>
            <w:szCs w:val="22"/>
          </w:rPr>
          <w:tab/>
        </w:r>
        <w:r w:rsidRPr="00CC53E5">
          <w:rPr>
            <w:rStyle w:val="Hyperlink"/>
            <w:noProof/>
          </w:rPr>
          <w:t>Part 1 Section 17.15.2.42, title (Frame or Frameset Title)</w:t>
        </w:r>
        <w:r>
          <w:rPr>
            <w:noProof/>
            <w:webHidden/>
          </w:rPr>
          <w:tab/>
        </w:r>
        <w:r>
          <w:rPr>
            <w:noProof/>
            <w:webHidden/>
          </w:rPr>
          <w:fldChar w:fldCharType="begin"/>
        </w:r>
        <w:r>
          <w:rPr>
            <w:noProof/>
            <w:webHidden/>
          </w:rPr>
          <w:instrText xml:space="preserve"> PAGEREF _Toc69878232 \h </w:instrText>
        </w:r>
        <w:r>
          <w:rPr>
            <w:noProof/>
            <w:webHidden/>
          </w:rPr>
        </w:r>
        <w:r>
          <w:rPr>
            <w:noProof/>
            <w:webHidden/>
          </w:rPr>
          <w:fldChar w:fldCharType="separate"/>
        </w:r>
        <w:r>
          <w:rPr>
            <w:noProof/>
            <w:webHidden/>
          </w:rPr>
          <w:t>167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33" w:history="1">
        <w:r w:rsidRPr="00CC53E5">
          <w:rPr>
            <w:rStyle w:val="Hyperlink"/>
            <w:noProof/>
          </w:rPr>
          <w:t>2.1.450</w:t>
        </w:r>
        <w:r>
          <w:rPr>
            <w:rFonts w:asciiTheme="minorHAnsi" w:eastAsiaTheme="minorEastAsia" w:hAnsiTheme="minorHAnsi" w:cstheme="minorBidi"/>
            <w:noProof/>
            <w:sz w:val="22"/>
            <w:szCs w:val="22"/>
          </w:rPr>
          <w:tab/>
        </w:r>
        <w:r w:rsidRPr="00CC53E5">
          <w:rPr>
            <w:rStyle w:val="Hyperlink"/>
            <w:noProof/>
          </w:rPr>
          <w:t>Part 1 Section 17.15.2.43, top (Top Border for HTML div)</w:t>
        </w:r>
        <w:r>
          <w:rPr>
            <w:noProof/>
            <w:webHidden/>
          </w:rPr>
          <w:tab/>
        </w:r>
        <w:r>
          <w:rPr>
            <w:noProof/>
            <w:webHidden/>
          </w:rPr>
          <w:fldChar w:fldCharType="begin"/>
        </w:r>
        <w:r>
          <w:rPr>
            <w:noProof/>
            <w:webHidden/>
          </w:rPr>
          <w:instrText xml:space="preserve"> PAGEREF _Toc69878233 \h </w:instrText>
        </w:r>
        <w:r>
          <w:rPr>
            <w:noProof/>
            <w:webHidden/>
          </w:rPr>
        </w:r>
        <w:r>
          <w:rPr>
            <w:noProof/>
            <w:webHidden/>
          </w:rPr>
          <w:fldChar w:fldCharType="separate"/>
        </w:r>
        <w:r>
          <w:rPr>
            <w:noProof/>
            <w:webHidden/>
          </w:rPr>
          <w:t>167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34" w:history="1">
        <w:r w:rsidRPr="00CC53E5">
          <w:rPr>
            <w:rStyle w:val="Hyperlink"/>
            <w:noProof/>
          </w:rPr>
          <w:t>2.1.451</w:t>
        </w:r>
        <w:r>
          <w:rPr>
            <w:rFonts w:asciiTheme="minorHAnsi" w:eastAsiaTheme="minorEastAsia" w:hAnsiTheme="minorHAnsi" w:cstheme="minorBidi"/>
            <w:noProof/>
            <w:sz w:val="22"/>
            <w:szCs w:val="22"/>
          </w:rPr>
          <w:tab/>
        </w:r>
        <w:r w:rsidRPr="00CC53E5">
          <w:rPr>
            <w:rStyle w:val="Hyperlink"/>
            <w:noProof/>
          </w:rPr>
          <w:t>Part 1 Section 17.15.3.2, applyBreakingRules (Use Legacy Ethiopic and Amharic Line Breaking Rules)</w:t>
        </w:r>
        <w:r>
          <w:rPr>
            <w:noProof/>
            <w:webHidden/>
          </w:rPr>
          <w:tab/>
        </w:r>
        <w:r>
          <w:rPr>
            <w:noProof/>
            <w:webHidden/>
          </w:rPr>
          <w:fldChar w:fldCharType="begin"/>
        </w:r>
        <w:r>
          <w:rPr>
            <w:noProof/>
            <w:webHidden/>
          </w:rPr>
          <w:instrText xml:space="preserve"> PAGEREF _Toc69878234 \h </w:instrText>
        </w:r>
        <w:r>
          <w:rPr>
            <w:noProof/>
            <w:webHidden/>
          </w:rPr>
        </w:r>
        <w:r>
          <w:rPr>
            <w:noProof/>
            <w:webHidden/>
          </w:rPr>
          <w:fldChar w:fldCharType="separate"/>
        </w:r>
        <w:r>
          <w:rPr>
            <w:noProof/>
            <w:webHidden/>
          </w:rPr>
          <w:t>167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35" w:history="1">
        <w:r w:rsidRPr="00CC53E5">
          <w:rPr>
            <w:rStyle w:val="Hyperlink"/>
            <w:noProof/>
          </w:rPr>
          <w:t>2.1.452</w:t>
        </w:r>
        <w:r>
          <w:rPr>
            <w:rFonts w:asciiTheme="minorHAnsi" w:eastAsiaTheme="minorEastAsia" w:hAnsiTheme="minorHAnsi" w:cstheme="minorBidi"/>
            <w:noProof/>
            <w:sz w:val="22"/>
            <w:szCs w:val="22"/>
          </w:rPr>
          <w:tab/>
        </w:r>
        <w:r w:rsidRPr="00CC53E5">
          <w:rPr>
            <w:rStyle w:val="Hyperlink"/>
            <w:noProof/>
          </w:rPr>
          <w:t>Part 1 Section 17.15.3.6, doNotLeaveBackslashAlone (Display Backslash As Yen Sign)</w:t>
        </w:r>
        <w:r>
          <w:rPr>
            <w:noProof/>
            <w:webHidden/>
          </w:rPr>
          <w:tab/>
        </w:r>
        <w:r>
          <w:rPr>
            <w:noProof/>
            <w:webHidden/>
          </w:rPr>
          <w:fldChar w:fldCharType="begin"/>
        </w:r>
        <w:r>
          <w:rPr>
            <w:noProof/>
            <w:webHidden/>
          </w:rPr>
          <w:instrText xml:space="preserve"> PAGEREF _Toc69878235 \h </w:instrText>
        </w:r>
        <w:r>
          <w:rPr>
            <w:noProof/>
            <w:webHidden/>
          </w:rPr>
        </w:r>
        <w:r>
          <w:rPr>
            <w:noProof/>
            <w:webHidden/>
          </w:rPr>
          <w:fldChar w:fldCharType="separate"/>
        </w:r>
        <w:r>
          <w:rPr>
            <w:noProof/>
            <w:webHidden/>
          </w:rPr>
          <w:t>167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36" w:history="1">
        <w:r w:rsidRPr="00CC53E5">
          <w:rPr>
            <w:rStyle w:val="Hyperlink"/>
            <w:noProof/>
          </w:rPr>
          <w:t>2.1.453</w:t>
        </w:r>
        <w:r>
          <w:rPr>
            <w:rFonts w:asciiTheme="minorHAnsi" w:eastAsiaTheme="minorEastAsia" w:hAnsiTheme="minorHAnsi" w:cstheme="minorBidi"/>
            <w:noProof/>
            <w:sz w:val="22"/>
            <w:szCs w:val="22"/>
          </w:rPr>
          <w:tab/>
        </w:r>
        <w:r w:rsidRPr="00CC53E5">
          <w:rPr>
            <w:rStyle w:val="Hyperlink"/>
            <w:noProof/>
          </w:rPr>
          <w:t>Part 1 Section 17.16.1, Syntax</w:t>
        </w:r>
        <w:r>
          <w:rPr>
            <w:noProof/>
            <w:webHidden/>
          </w:rPr>
          <w:tab/>
        </w:r>
        <w:r>
          <w:rPr>
            <w:noProof/>
            <w:webHidden/>
          </w:rPr>
          <w:fldChar w:fldCharType="begin"/>
        </w:r>
        <w:r>
          <w:rPr>
            <w:noProof/>
            <w:webHidden/>
          </w:rPr>
          <w:instrText xml:space="preserve"> PAGEREF _Toc69878236 \h </w:instrText>
        </w:r>
        <w:r>
          <w:rPr>
            <w:noProof/>
            <w:webHidden/>
          </w:rPr>
        </w:r>
        <w:r>
          <w:rPr>
            <w:noProof/>
            <w:webHidden/>
          </w:rPr>
          <w:fldChar w:fldCharType="separate"/>
        </w:r>
        <w:r>
          <w:rPr>
            <w:noProof/>
            <w:webHidden/>
          </w:rPr>
          <w:t>167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37" w:history="1">
        <w:r w:rsidRPr="00CC53E5">
          <w:rPr>
            <w:rStyle w:val="Hyperlink"/>
            <w:noProof/>
          </w:rPr>
          <w:t>2.1.454</w:t>
        </w:r>
        <w:r>
          <w:rPr>
            <w:rFonts w:asciiTheme="minorHAnsi" w:eastAsiaTheme="minorEastAsia" w:hAnsiTheme="minorHAnsi" w:cstheme="minorBidi"/>
            <w:noProof/>
            <w:sz w:val="22"/>
            <w:szCs w:val="22"/>
          </w:rPr>
          <w:tab/>
        </w:r>
        <w:r w:rsidRPr="00CC53E5">
          <w:rPr>
            <w:rStyle w:val="Hyperlink"/>
            <w:noProof/>
          </w:rPr>
          <w:t>Part 1 Section 17.16.2, XML representation</w:t>
        </w:r>
        <w:r>
          <w:rPr>
            <w:noProof/>
            <w:webHidden/>
          </w:rPr>
          <w:tab/>
        </w:r>
        <w:r>
          <w:rPr>
            <w:noProof/>
            <w:webHidden/>
          </w:rPr>
          <w:fldChar w:fldCharType="begin"/>
        </w:r>
        <w:r>
          <w:rPr>
            <w:noProof/>
            <w:webHidden/>
          </w:rPr>
          <w:instrText xml:space="preserve"> PAGEREF _Toc69878237 \h </w:instrText>
        </w:r>
        <w:r>
          <w:rPr>
            <w:noProof/>
            <w:webHidden/>
          </w:rPr>
        </w:r>
        <w:r>
          <w:rPr>
            <w:noProof/>
            <w:webHidden/>
          </w:rPr>
          <w:fldChar w:fldCharType="separate"/>
        </w:r>
        <w:r>
          <w:rPr>
            <w:noProof/>
            <w:webHidden/>
          </w:rPr>
          <w:t>168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38" w:history="1">
        <w:r w:rsidRPr="00CC53E5">
          <w:rPr>
            <w:rStyle w:val="Hyperlink"/>
            <w:noProof/>
          </w:rPr>
          <w:t>2.1.455</w:t>
        </w:r>
        <w:r>
          <w:rPr>
            <w:rFonts w:asciiTheme="minorHAnsi" w:eastAsiaTheme="minorEastAsia" w:hAnsiTheme="minorHAnsi" w:cstheme="minorBidi"/>
            <w:noProof/>
            <w:sz w:val="22"/>
            <w:szCs w:val="22"/>
          </w:rPr>
          <w:tab/>
        </w:r>
        <w:r w:rsidRPr="00CC53E5">
          <w:rPr>
            <w:rStyle w:val="Hyperlink"/>
            <w:noProof/>
          </w:rPr>
          <w:t>Part 1 Section 17.16.3.2, Bookmarks</w:t>
        </w:r>
        <w:r>
          <w:rPr>
            <w:noProof/>
            <w:webHidden/>
          </w:rPr>
          <w:tab/>
        </w:r>
        <w:r>
          <w:rPr>
            <w:noProof/>
            <w:webHidden/>
          </w:rPr>
          <w:fldChar w:fldCharType="begin"/>
        </w:r>
        <w:r>
          <w:rPr>
            <w:noProof/>
            <w:webHidden/>
          </w:rPr>
          <w:instrText xml:space="preserve"> PAGEREF _Toc69878238 \h </w:instrText>
        </w:r>
        <w:r>
          <w:rPr>
            <w:noProof/>
            <w:webHidden/>
          </w:rPr>
        </w:r>
        <w:r>
          <w:rPr>
            <w:noProof/>
            <w:webHidden/>
          </w:rPr>
          <w:fldChar w:fldCharType="separate"/>
        </w:r>
        <w:r>
          <w:rPr>
            <w:noProof/>
            <w:webHidden/>
          </w:rPr>
          <w:t>168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39" w:history="1">
        <w:r w:rsidRPr="00CC53E5">
          <w:rPr>
            <w:rStyle w:val="Hyperlink"/>
            <w:noProof/>
          </w:rPr>
          <w:t>2.1.456</w:t>
        </w:r>
        <w:r>
          <w:rPr>
            <w:rFonts w:asciiTheme="minorHAnsi" w:eastAsiaTheme="minorEastAsia" w:hAnsiTheme="minorHAnsi" w:cstheme="minorBidi"/>
            <w:noProof/>
            <w:sz w:val="22"/>
            <w:szCs w:val="22"/>
          </w:rPr>
          <w:tab/>
        </w:r>
        <w:r w:rsidRPr="00CC53E5">
          <w:rPr>
            <w:rStyle w:val="Hyperlink"/>
            <w:noProof/>
          </w:rPr>
          <w:t>Part 1 Section 17.16.3.3, Operators</w:t>
        </w:r>
        <w:r>
          <w:rPr>
            <w:noProof/>
            <w:webHidden/>
          </w:rPr>
          <w:tab/>
        </w:r>
        <w:r>
          <w:rPr>
            <w:noProof/>
            <w:webHidden/>
          </w:rPr>
          <w:fldChar w:fldCharType="begin"/>
        </w:r>
        <w:r>
          <w:rPr>
            <w:noProof/>
            <w:webHidden/>
          </w:rPr>
          <w:instrText xml:space="preserve"> PAGEREF _Toc69878239 \h </w:instrText>
        </w:r>
        <w:r>
          <w:rPr>
            <w:noProof/>
            <w:webHidden/>
          </w:rPr>
        </w:r>
        <w:r>
          <w:rPr>
            <w:noProof/>
            <w:webHidden/>
          </w:rPr>
          <w:fldChar w:fldCharType="separate"/>
        </w:r>
        <w:r>
          <w:rPr>
            <w:noProof/>
            <w:webHidden/>
          </w:rPr>
          <w:t>169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40" w:history="1">
        <w:r w:rsidRPr="00CC53E5">
          <w:rPr>
            <w:rStyle w:val="Hyperlink"/>
            <w:noProof/>
          </w:rPr>
          <w:t>2.1.457</w:t>
        </w:r>
        <w:r>
          <w:rPr>
            <w:rFonts w:asciiTheme="minorHAnsi" w:eastAsiaTheme="minorEastAsia" w:hAnsiTheme="minorHAnsi" w:cstheme="minorBidi"/>
            <w:noProof/>
            <w:sz w:val="22"/>
            <w:szCs w:val="22"/>
          </w:rPr>
          <w:tab/>
        </w:r>
        <w:r w:rsidRPr="00CC53E5">
          <w:rPr>
            <w:rStyle w:val="Hyperlink"/>
            <w:noProof/>
          </w:rPr>
          <w:t>Part 1 Section 17.16.3.5, Table cell references</w:t>
        </w:r>
        <w:r>
          <w:rPr>
            <w:noProof/>
            <w:webHidden/>
          </w:rPr>
          <w:tab/>
        </w:r>
        <w:r>
          <w:rPr>
            <w:noProof/>
            <w:webHidden/>
          </w:rPr>
          <w:fldChar w:fldCharType="begin"/>
        </w:r>
        <w:r>
          <w:rPr>
            <w:noProof/>
            <w:webHidden/>
          </w:rPr>
          <w:instrText xml:space="preserve"> PAGEREF _Toc69878240 \h </w:instrText>
        </w:r>
        <w:r>
          <w:rPr>
            <w:noProof/>
            <w:webHidden/>
          </w:rPr>
        </w:r>
        <w:r>
          <w:rPr>
            <w:noProof/>
            <w:webHidden/>
          </w:rPr>
          <w:fldChar w:fldCharType="separate"/>
        </w:r>
        <w:r>
          <w:rPr>
            <w:noProof/>
            <w:webHidden/>
          </w:rPr>
          <w:t>169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41" w:history="1">
        <w:r w:rsidRPr="00CC53E5">
          <w:rPr>
            <w:rStyle w:val="Hyperlink"/>
            <w:noProof/>
          </w:rPr>
          <w:t>2.1.458</w:t>
        </w:r>
        <w:r>
          <w:rPr>
            <w:rFonts w:asciiTheme="minorHAnsi" w:eastAsiaTheme="minorEastAsia" w:hAnsiTheme="minorHAnsi" w:cstheme="minorBidi"/>
            <w:noProof/>
            <w:sz w:val="22"/>
            <w:szCs w:val="22"/>
          </w:rPr>
          <w:tab/>
        </w:r>
        <w:r w:rsidRPr="00CC53E5">
          <w:rPr>
            <w:rStyle w:val="Hyperlink"/>
            <w:noProof/>
          </w:rPr>
          <w:t>Part 1 Section 17.16.4.1, Date and time formatting</w:t>
        </w:r>
        <w:r>
          <w:rPr>
            <w:noProof/>
            <w:webHidden/>
          </w:rPr>
          <w:tab/>
        </w:r>
        <w:r>
          <w:rPr>
            <w:noProof/>
            <w:webHidden/>
          </w:rPr>
          <w:fldChar w:fldCharType="begin"/>
        </w:r>
        <w:r>
          <w:rPr>
            <w:noProof/>
            <w:webHidden/>
          </w:rPr>
          <w:instrText xml:space="preserve"> PAGEREF _Toc69878241 \h </w:instrText>
        </w:r>
        <w:r>
          <w:rPr>
            <w:noProof/>
            <w:webHidden/>
          </w:rPr>
        </w:r>
        <w:r>
          <w:rPr>
            <w:noProof/>
            <w:webHidden/>
          </w:rPr>
          <w:fldChar w:fldCharType="separate"/>
        </w:r>
        <w:r>
          <w:rPr>
            <w:noProof/>
            <w:webHidden/>
          </w:rPr>
          <w:t>169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42" w:history="1">
        <w:r w:rsidRPr="00CC53E5">
          <w:rPr>
            <w:rStyle w:val="Hyperlink"/>
            <w:noProof/>
          </w:rPr>
          <w:t>2.1.459</w:t>
        </w:r>
        <w:r>
          <w:rPr>
            <w:rFonts w:asciiTheme="minorHAnsi" w:eastAsiaTheme="minorEastAsia" w:hAnsiTheme="minorHAnsi" w:cstheme="minorBidi"/>
            <w:noProof/>
            <w:sz w:val="22"/>
            <w:szCs w:val="22"/>
          </w:rPr>
          <w:tab/>
        </w:r>
        <w:r w:rsidRPr="00CC53E5">
          <w:rPr>
            <w:rStyle w:val="Hyperlink"/>
            <w:noProof/>
          </w:rPr>
          <w:t>Part 1 Section 17.16.4.3, General formatting</w:t>
        </w:r>
        <w:r>
          <w:rPr>
            <w:noProof/>
            <w:webHidden/>
          </w:rPr>
          <w:tab/>
        </w:r>
        <w:r>
          <w:rPr>
            <w:noProof/>
            <w:webHidden/>
          </w:rPr>
          <w:fldChar w:fldCharType="begin"/>
        </w:r>
        <w:r>
          <w:rPr>
            <w:noProof/>
            <w:webHidden/>
          </w:rPr>
          <w:instrText xml:space="preserve"> PAGEREF _Toc69878242 \h </w:instrText>
        </w:r>
        <w:r>
          <w:rPr>
            <w:noProof/>
            <w:webHidden/>
          </w:rPr>
        </w:r>
        <w:r>
          <w:rPr>
            <w:noProof/>
            <w:webHidden/>
          </w:rPr>
          <w:fldChar w:fldCharType="separate"/>
        </w:r>
        <w:r>
          <w:rPr>
            <w:noProof/>
            <w:webHidden/>
          </w:rPr>
          <w:t>169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43" w:history="1">
        <w:r w:rsidRPr="00CC53E5">
          <w:rPr>
            <w:rStyle w:val="Hyperlink"/>
            <w:noProof/>
          </w:rPr>
          <w:t>2.1.460</w:t>
        </w:r>
        <w:r>
          <w:rPr>
            <w:rFonts w:asciiTheme="minorHAnsi" w:eastAsiaTheme="minorEastAsia" w:hAnsiTheme="minorHAnsi" w:cstheme="minorBidi"/>
            <w:noProof/>
            <w:sz w:val="22"/>
            <w:szCs w:val="22"/>
          </w:rPr>
          <w:tab/>
        </w:r>
        <w:r w:rsidRPr="00CC53E5">
          <w:rPr>
            <w:rStyle w:val="Hyperlink"/>
            <w:noProof/>
          </w:rPr>
          <w:t>Part 1 Section 17.16.5.1, ADDRESSBLOCK</w:t>
        </w:r>
        <w:r>
          <w:rPr>
            <w:noProof/>
            <w:webHidden/>
          </w:rPr>
          <w:tab/>
        </w:r>
        <w:r>
          <w:rPr>
            <w:noProof/>
            <w:webHidden/>
          </w:rPr>
          <w:fldChar w:fldCharType="begin"/>
        </w:r>
        <w:r>
          <w:rPr>
            <w:noProof/>
            <w:webHidden/>
          </w:rPr>
          <w:instrText xml:space="preserve"> PAGEREF _Toc69878243 \h </w:instrText>
        </w:r>
        <w:r>
          <w:rPr>
            <w:noProof/>
            <w:webHidden/>
          </w:rPr>
        </w:r>
        <w:r>
          <w:rPr>
            <w:noProof/>
            <w:webHidden/>
          </w:rPr>
          <w:fldChar w:fldCharType="separate"/>
        </w:r>
        <w:r>
          <w:rPr>
            <w:noProof/>
            <w:webHidden/>
          </w:rPr>
          <w:t>169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44" w:history="1">
        <w:r w:rsidRPr="00CC53E5">
          <w:rPr>
            <w:rStyle w:val="Hyperlink"/>
            <w:noProof/>
          </w:rPr>
          <w:t>2.1.461</w:t>
        </w:r>
        <w:r>
          <w:rPr>
            <w:rFonts w:asciiTheme="minorHAnsi" w:eastAsiaTheme="minorEastAsia" w:hAnsiTheme="minorHAnsi" w:cstheme="minorBidi"/>
            <w:noProof/>
            <w:sz w:val="22"/>
            <w:szCs w:val="22"/>
          </w:rPr>
          <w:tab/>
        </w:r>
        <w:r w:rsidRPr="00CC53E5">
          <w:rPr>
            <w:rStyle w:val="Hyperlink"/>
            <w:noProof/>
          </w:rPr>
          <w:t>Part 1 Section 17.16.5.2, ADVANCE</w:t>
        </w:r>
        <w:r>
          <w:rPr>
            <w:noProof/>
            <w:webHidden/>
          </w:rPr>
          <w:tab/>
        </w:r>
        <w:r>
          <w:rPr>
            <w:noProof/>
            <w:webHidden/>
          </w:rPr>
          <w:fldChar w:fldCharType="begin"/>
        </w:r>
        <w:r>
          <w:rPr>
            <w:noProof/>
            <w:webHidden/>
          </w:rPr>
          <w:instrText xml:space="preserve"> PAGEREF _Toc69878244 \h </w:instrText>
        </w:r>
        <w:r>
          <w:rPr>
            <w:noProof/>
            <w:webHidden/>
          </w:rPr>
        </w:r>
        <w:r>
          <w:rPr>
            <w:noProof/>
            <w:webHidden/>
          </w:rPr>
          <w:fldChar w:fldCharType="separate"/>
        </w:r>
        <w:r>
          <w:rPr>
            <w:noProof/>
            <w:webHidden/>
          </w:rPr>
          <w:t>188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45" w:history="1">
        <w:r w:rsidRPr="00CC53E5">
          <w:rPr>
            <w:rStyle w:val="Hyperlink"/>
            <w:noProof/>
          </w:rPr>
          <w:t>2.1.462</w:t>
        </w:r>
        <w:r>
          <w:rPr>
            <w:rFonts w:asciiTheme="minorHAnsi" w:eastAsiaTheme="minorEastAsia" w:hAnsiTheme="minorHAnsi" w:cstheme="minorBidi"/>
            <w:noProof/>
            <w:sz w:val="22"/>
            <w:szCs w:val="22"/>
          </w:rPr>
          <w:tab/>
        </w:r>
        <w:r w:rsidRPr="00CC53E5">
          <w:rPr>
            <w:rStyle w:val="Hyperlink"/>
            <w:noProof/>
          </w:rPr>
          <w:t>Part 1 Section 17.16.5.4, AUTHOR</w:t>
        </w:r>
        <w:r>
          <w:rPr>
            <w:noProof/>
            <w:webHidden/>
          </w:rPr>
          <w:tab/>
        </w:r>
        <w:r>
          <w:rPr>
            <w:noProof/>
            <w:webHidden/>
          </w:rPr>
          <w:fldChar w:fldCharType="begin"/>
        </w:r>
        <w:r>
          <w:rPr>
            <w:noProof/>
            <w:webHidden/>
          </w:rPr>
          <w:instrText xml:space="preserve"> PAGEREF _Toc69878245 \h </w:instrText>
        </w:r>
        <w:r>
          <w:rPr>
            <w:noProof/>
            <w:webHidden/>
          </w:rPr>
        </w:r>
        <w:r>
          <w:rPr>
            <w:noProof/>
            <w:webHidden/>
          </w:rPr>
          <w:fldChar w:fldCharType="separate"/>
        </w:r>
        <w:r>
          <w:rPr>
            <w:noProof/>
            <w:webHidden/>
          </w:rPr>
          <w:t>188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46" w:history="1">
        <w:r w:rsidRPr="00CC53E5">
          <w:rPr>
            <w:rStyle w:val="Hyperlink"/>
            <w:noProof/>
          </w:rPr>
          <w:t>2.1.463</w:t>
        </w:r>
        <w:r>
          <w:rPr>
            <w:rFonts w:asciiTheme="minorHAnsi" w:eastAsiaTheme="minorEastAsia" w:hAnsiTheme="minorHAnsi" w:cstheme="minorBidi"/>
            <w:noProof/>
            <w:sz w:val="22"/>
            <w:szCs w:val="22"/>
          </w:rPr>
          <w:tab/>
        </w:r>
        <w:r w:rsidRPr="00CC53E5">
          <w:rPr>
            <w:rStyle w:val="Hyperlink"/>
            <w:noProof/>
          </w:rPr>
          <w:t>Part 1 Section 17.16.5.7, BIBLIOGRAPHY</w:t>
        </w:r>
        <w:r>
          <w:rPr>
            <w:noProof/>
            <w:webHidden/>
          </w:rPr>
          <w:tab/>
        </w:r>
        <w:r>
          <w:rPr>
            <w:noProof/>
            <w:webHidden/>
          </w:rPr>
          <w:fldChar w:fldCharType="begin"/>
        </w:r>
        <w:r>
          <w:rPr>
            <w:noProof/>
            <w:webHidden/>
          </w:rPr>
          <w:instrText xml:space="preserve"> PAGEREF _Toc69878246 \h </w:instrText>
        </w:r>
        <w:r>
          <w:rPr>
            <w:noProof/>
            <w:webHidden/>
          </w:rPr>
        </w:r>
        <w:r>
          <w:rPr>
            <w:noProof/>
            <w:webHidden/>
          </w:rPr>
          <w:fldChar w:fldCharType="separate"/>
        </w:r>
        <w:r>
          <w:rPr>
            <w:noProof/>
            <w:webHidden/>
          </w:rPr>
          <w:t>188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47" w:history="1">
        <w:r w:rsidRPr="00CC53E5">
          <w:rPr>
            <w:rStyle w:val="Hyperlink"/>
            <w:noProof/>
          </w:rPr>
          <w:t>2.1.464</w:t>
        </w:r>
        <w:r>
          <w:rPr>
            <w:rFonts w:asciiTheme="minorHAnsi" w:eastAsiaTheme="minorEastAsia" w:hAnsiTheme="minorHAnsi" w:cstheme="minorBidi"/>
            <w:noProof/>
            <w:sz w:val="22"/>
            <w:szCs w:val="22"/>
          </w:rPr>
          <w:tab/>
        </w:r>
        <w:r w:rsidRPr="00CC53E5">
          <w:rPr>
            <w:rStyle w:val="Hyperlink"/>
            <w:noProof/>
          </w:rPr>
          <w:t>Part 1 Section 17.16.5.8, CITATION</w:t>
        </w:r>
        <w:r>
          <w:rPr>
            <w:noProof/>
            <w:webHidden/>
          </w:rPr>
          <w:tab/>
        </w:r>
        <w:r>
          <w:rPr>
            <w:noProof/>
            <w:webHidden/>
          </w:rPr>
          <w:fldChar w:fldCharType="begin"/>
        </w:r>
        <w:r>
          <w:rPr>
            <w:noProof/>
            <w:webHidden/>
          </w:rPr>
          <w:instrText xml:space="preserve"> PAGEREF _Toc69878247 \h </w:instrText>
        </w:r>
        <w:r>
          <w:rPr>
            <w:noProof/>
            <w:webHidden/>
          </w:rPr>
        </w:r>
        <w:r>
          <w:rPr>
            <w:noProof/>
            <w:webHidden/>
          </w:rPr>
          <w:fldChar w:fldCharType="separate"/>
        </w:r>
        <w:r>
          <w:rPr>
            <w:noProof/>
            <w:webHidden/>
          </w:rPr>
          <w:t>188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48" w:history="1">
        <w:r w:rsidRPr="00CC53E5">
          <w:rPr>
            <w:rStyle w:val="Hyperlink"/>
            <w:noProof/>
          </w:rPr>
          <w:t>2.1.465</w:t>
        </w:r>
        <w:r>
          <w:rPr>
            <w:rFonts w:asciiTheme="minorHAnsi" w:eastAsiaTheme="minorEastAsia" w:hAnsiTheme="minorHAnsi" w:cstheme="minorBidi"/>
            <w:noProof/>
            <w:sz w:val="22"/>
            <w:szCs w:val="22"/>
          </w:rPr>
          <w:tab/>
        </w:r>
        <w:r w:rsidRPr="00CC53E5">
          <w:rPr>
            <w:rStyle w:val="Hyperlink"/>
            <w:noProof/>
          </w:rPr>
          <w:t>Part 1 Section 17.16.5.9, COMMENTS</w:t>
        </w:r>
        <w:r>
          <w:rPr>
            <w:noProof/>
            <w:webHidden/>
          </w:rPr>
          <w:tab/>
        </w:r>
        <w:r>
          <w:rPr>
            <w:noProof/>
            <w:webHidden/>
          </w:rPr>
          <w:fldChar w:fldCharType="begin"/>
        </w:r>
        <w:r>
          <w:rPr>
            <w:noProof/>
            <w:webHidden/>
          </w:rPr>
          <w:instrText xml:space="preserve"> PAGEREF _Toc69878248 \h </w:instrText>
        </w:r>
        <w:r>
          <w:rPr>
            <w:noProof/>
            <w:webHidden/>
          </w:rPr>
        </w:r>
        <w:r>
          <w:rPr>
            <w:noProof/>
            <w:webHidden/>
          </w:rPr>
          <w:fldChar w:fldCharType="separate"/>
        </w:r>
        <w:r>
          <w:rPr>
            <w:noProof/>
            <w:webHidden/>
          </w:rPr>
          <w:t>188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49" w:history="1">
        <w:r w:rsidRPr="00CC53E5">
          <w:rPr>
            <w:rStyle w:val="Hyperlink"/>
            <w:noProof/>
          </w:rPr>
          <w:t>2.1.466</w:t>
        </w:r>
        <w:r>
          <w:rPr>
            <w:rFonts w:asciiTheme="minorHAnsi" w:eastAsiaTheme="minorEastAsia" w:hAnsiTheme="minorHAnsi" w:cstheme="minorBidi"/>
            <w:noProof/>
            <w:sz w:val="22"/>
            <w:szCs w:val="22"/>
          </w:rPr>
          <w:tab/>
        </w:r>
        <w:r w:rsidRPr="00CC53E5">
          <w:rPr>
            <w:rStyle w:val="Hyperlink"/>
            <w:noProof/>
          </w:rPr>
          <w:t>Part 1 Section 17.16.5.10, COMPARE</w:t>
        </w:r>
        <w:r>
          <w:rPr>
            <w:noProof/>
            <w:webHidden/>
          </w:rPr>
          <w:tab/>
        </w:r>
        <w:r>
          <w:rPr>
            <w:noProof/>
            <w:webHidden/>
          </w:rPr>
          <w:fldChar w:fldCharType="begin"/>
        </w:r>
        <w:r>
          <w:rPr>
            <w:noProof/>
            <w:webHidden/>
          </w:rPr>
          <w:instrText xml:space="preserve"> PAGEREF _Toc69878249 \h </w:instrText>
        </w:r>
        <w:r>
          <w:rPr>
            <w:noProof/>
            <w:webHidden/>
          </w:rPr>
        </w:r>
        <w:r>
          <w:rPr>
            <w:noProof/>
            <w:webHidden/>
          </w:rPr>
          <w:fldChar w:fldCharType="separate"/>
        </w:r>
        <w:r>
          <w:rPr>
            <w:noProof/>
            <w:webHidden/>
          </w:rPr>
          <w:t>189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50" w:history="1">
        <w:r w:rsidRPr="00CC53E5">
          <w:rPr>
            <w:rStyle w:val="Hyperlink"/>
            <w:noProof/>
          </w:rPr>
          <w:t>2.1.467</w:t>
        </w:r>
        <w:r>
          <w:rPr>
            <w:rFonts w:asciiTheme="minorHAnsi" w:eastAsiaTheme="minorEastAsia" w:hAnsiTheme="minorHAnsi" w:cstheme="minorBidi"/>
            <w:noProof/>
            <w:sz w:val="22"/>
            <w:szCs w:val="22"/>
          </w:rPr>
          <w:tab/>
        </w:r>
        <w:r w:rsidRPr="00CC53E5">
          <w:rPr>
            <w:rStyle w:val="Hyperlink"/>
            <w:noProof/>
          </w:rPr>
          <w:t>Part 1 Section 17.16.5.11, CREATEDATE</w:t>
        </w:r>
        <w:r>
          <w:rPr>
            <w:noProof/>
            <w:webHidden/>
          </w:rPr>
          <w:tab/>
        </w:r>
        <w:r>
          <w:rPr>
            <w:noProof/>
            <w:webHidden/>
          </w:rPr>
          <w:fldChar w:fldCharType="begin"/>
        </w:r>
        <w:r>
          <w:rPr>
            <w:noProof/>
            <w:webHidden/>
          </w:rPr>
          <w:instrText xml:space="preserve"> PAGEREF _Toc69878250 \h </w:instrText>
        </w:r>
        <w:r>
          <w:rPr>
            <w:noProof/>
            <w:webHidden/>
          </w:rPr>
        </w:r>
        <w:r>
          <w:rPr>
            <w:noProof/>
            <w:webHidden/>
          </w:rPr>
          <w:fldChar w:fldCharType="separate"/>
        </w:r>
        <w:r>
          <w:rPr>
            <w:noProof/>
            <w:webHidden/>
          </w:rPr>
          <w:t>189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51" w:history="1">
        <w:r w:rsidRPr="00CC53E5">
          <w:rPr>
            <w:rStyle w:val="Hyperlink"/>
            <w:noProof/>
          </w:rPr>
          <w:t>2.1.468</w:t>
        </w:r>
        <w:r>
          <w:rPr>
            <w:rFonts w:asciiTheme="minorHAnsi" w:eastAsiaTheme="minorEastAsia" w:hAnsiTheme="minorHAnsi" w:cstheme="minorBidi"/>
            <w:noProof/>
            <w:sz w:val="22"/>
            <w:szCs w:val="22"/>
          </w:rPr>
          <w:tab/>
        </w:r>
        <w:r w:rsidRPr="00CC53E5">
          <w:rPr>
            <w:rStyle w:val="Hyperlink"/>
            <w:noProof/>
          </w:rPr>
          <w:t>Part 1 Section 17.16.5.12, DATABASE</w:t>
        </w:r>
        <w:r>
          <w:rPr>
            <w:noProof/>
            <w:webHidden/>
          </w:rPr>
          <w:tab/>
        </w:r>
        <w:r>
          <w:rPr>
            <w:noProof/>
            <w:webHidden/>
          </w:rPr>
          <w:fldChar w:fldCharType="begin"/>
        </w:r>
        <w:r>
          <w:rPr>
            <w:noProof/>
            <w:webHidden/>
          </w:rPr>
          <w:instrText xml:space="preserve"> PAGEREF _Toc69878251 \h </w:instrText>
        </w:r>
        <w:r>
          <w:rPr>
            <w:noProof/>
            <w:webHidden/>
          </w:rPr>
        </w:r>
        <w:r>
          <w:rPr>
            <w:noProof/>
            <w:webHidden/>
          </w:rPr>
          <w:fldChar w:fldCharType="separate"/>
        </w:r>
        <w:r>
          <w:rPr>
            <w:noProof/>
            <w:webHidden/>
          </w:rPr>
          <w:t>189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52" w:history="1">
        <w:r w:rsidRPr="00CC53E5">
          <w:rPr>
            <w:rStyle w:val="Hyperlink"/>
            <w:noProof/>
          </w:rPr>
          <w:t>2.1.469</w:t>
        </w:r>
        <w:r>
          <w:rPr>
            <w:rFonts w:asciiTheme="minorHAnsi" w:eastAsiaTheme="minorEastAsia" w:hAnsiTheme="minorHAnsi" w:cstheme="minorBidi"/>
            <w:noProof/>
            <w:sz w:val="22"/>
            <w:szCs w:val="22"/>
          </w:rPr>
          <w:tab/>
        </w:r>
        <w:r w:rsidRPr="00CC53E5">
          <w:rPr>
            <w:rStyle w:val="Hyperlink"/>
            <w:noProof/>
          </w:rPr>
          <w:t>Part 1 Section 17.16.5.13, DATE</w:t>
        </w:r>
        <w:r>
          <w:rPr>
            <w:noProof/>
            <w:webHidden/>
          </w:rPr>
          <w:tab/>
        </w:r>
        <w:r>
          <w:rPr>
            <w:noProof/>
            <w:webHidden/>
          </w:rPr>
          <w:fldChar w:fldCharType="begin"/>
        </w:r>
        <w:r>
          <w:rPr>
            <w:noProof/>
            <w:webHidden/>
          </w:rPr>
          <w:instrText xml:space="preserve"> PAGEREF _Toc69878252 \h </w:instrText>
        </w:r>
        <w:r>
          <w:rPr>
            <w:noProof/>
            <w:webHidden/>
          </w:rPr>
        </w:r>
        <w:r>
          <w:rPr>
            <w:noProof/>
            <w:webHidden/>
          </w:rPr>
          <w:fldChar w:fldCharType="separate"/>
        </w:r>
        <w:r>
          <w:rPr>
            <w:noProof/>
            <w:webHidden/>
          </w:rPr>
          <w:t>216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53" w:history="1">
        <w:r w:rsidRPr="00CC53E5">
          <w:rPr>
            <w:rStyle w:val="Hyperlink"/>
            <w:noProof/>
          </w:rPr>
          <w:t>2.1.470</w:t>
        </w:r>
        <w:r>
          <w:rPr>
            <w:rFonts w:asciiTheme="minorHAnsi" w:eastAsiaTheme="minorEastAsia" w:hAnsiTheme="minorHAnsi" w:cstheme="minorBidi"/>
            <w:noProof/>
            <w:sz w:val="22"/>
            <w:szCs w:val="22"/>
          </w:rPr>
          <w:tab/>
        </w:r>
        <w:r w:rsidRPr="00CC53E5">
          <w:rPr>
            <w:rStyle w:val="Hyperlink"/>
            <w:noProof/>
          </w:rPr>
          <w:t>Part 1 Section 17.16.5.14, DOCPROPERTY</w:t>
        </w:r>
        <w:r>
          <w:rPr>
            <w:noProof/>
            <w:webHidden/>
          </w:rPr>
          <w:tab/>
        </w:r>
        <w:r>
          <w:rPr>
            <w:noProof/>
            <w:webHidden/>
          </w:rPr>
          <w:fldChar w:fldCharType="begin"/>
        </w:r>
        <w:r>
          <w:rPr>
            <w:noProof/>
            <w:webHidden/>
          </w:rPr>
          <w:instrText xml:space="preserve"> PAGEREF _Toc69878253 \h </w:instrText>
        </w:r>
        <w:r>
          <w:rPr>
            <w:noProof/>
            <w:webHidden/>
          </w:rPr>
        </w:r>
        <w:r>
          <w:rPr>
            <w:noProof/>
            <w:webHidden/>
          </w:rPr>
          <w:fldChar w:fldCharType="separate"/>
        </w:r>
        <w:r>
          <w:rPr>
            <w:noProof/>
            <w:webHidden/>
          </w:rPr>
          <w:t>216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54" w:history="1">
        <w:r w:rsidRPr="00CC53E5">
          <w:rPr>
            <w:rStyle w:val="Hyperlink"/>
            <w:noProof/>
          </w:rPr>
          <w:t>2.1.471</w:t>
        </w:r>
        <w:r>
          <w:rPr>
            <w:rFonts w:asciiTheme="minorHAnsi" w:eastAsiaTheme="minorEastAsia" w:hAnsiTheme="minorHAnsi" w:cstheme="minorBidi"/>
            <w:noProof/>
            <w:sz w:val="22"/>
            <w:szCs w:val="22"/>
          </w:rPr>
          <w:tab/>
        </w:r>
        <w:r w:rsidRPr="00CC53E5">
          <w:rPr>
            <w:rStyle w:val="Hyperlink"/>
            <w:noProof/>
          </w:rPr>
          <w:t>Part 1 Section 17.16.5.17, FILENAME</w:t>
        </w:r>
        <w:r>
          <w:rPr>
            <w:noProof/>
            <w:webHidden/>
          </w:rPr>
          <w:tab/>
        </w:r>
        <w:r>
          <w:rPr>
            <w:noProof/>
            <w:webHidden/>
          </w:rPr>
          <w:fldChar w:fldCharType="begin"/>
        </w:r>
        <w:r>
          <w:rPr>
            <w:noProof/>
            <w:webHidden/>
          </w:rPr>
          <w:instrText xml:space="preserve"> PAGEREF _Toc69878254 \h </w:instrText>
        </w:r>
        <w:r>
          <w:rPr>
            <w:noProof/>
            <w:webHidden/>
          </w:rPr>
        </w:r>
        <w:r>
          <w:rPr>
            <w:noProof/>
            <w:webHidden/>
          </w:rPr>
          <w:fldChar w:fldCharType="separate"/>
        </w:r>
        <w:r>
          <w:rPr>
            <w:noProof/>
            <w:webHidden/>
          </w:rPr>
          <w:t>216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55" w:history="1">
        <w:r w:rsidRPr="00CC53E5">
          <w:rPr>
            <w:rStyle w:val="Hyperlink"/>
            <w:noProof/>
          </w:rPr>
          <w:t>2.1.472</w:t>
        </w:r>
        <w:r>
          <w:rPr>
            <w:rFonts w:asciiTheme="minorHAnsi" w:eastAsiaTheme="minorEastAsia" w:hAnsiTheme="minorHAnsi" w:cstheme="minorBidi"/>
            <w:noProof/>
            <w:sz w:val="22"/>
            <w:szCs w:val="22"/>
          </w:rPr>
          <w:tab/>
        </w:r>
        <w:r w:rsidRPr="00CC53E5">
          <w:rPr>
            <w:rStyle w:val="Hyperlink"/>
            <w:noProof/>
          </w:rPr>
          <w:t>Part 1 Section 17.16.5.18, FILESIZE</w:t>
        </w:r>
        <w:r>
          <w:rPr>
            <w:noProof/>
            <w:webHidden/>
          </w:rPr>
          <w:tab/>
        </w:r>
        <w:r>
          <w:rPr>
            <w:noProof/>
            <w:webHidden/>
          </w:rPr>
          <w:fldChar w:fldCharType="begin"/>
        </w:r>
        <w:r>
          <w:rPr>
            <w:noProof/>
            <w:webHidden/>
          </w:rPr>
          <w:instrText xml:space="preserve"> PAGEREF _Toc69878255 \h </w:instrText>
        </w:r>
        <w:r>
          <w:rPr>
            <w:noProof/>
            <w:webHidden/>
          </w:rPr>
        </w:r>
        <w:r>
          <w:rPr>
            <w:noProof/>
            <w:webHidden/>
          </w:rPr>
          <w:fldChar w:fldCharType="separate"/>
        </w:r>
        <w:r>
          <w:rPr>
            <w:noProof/>
            <w:webHidden/>
          </w:rPr>
          <w:t>217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56" w:history="1">
        <w:r w:rsidRPr="00CC53E5">
          <w:rPr>
            <w:rStyle w:val="Hyperlink"/>
            <w:noProof/>
          </w:rPr>
          <w:t>2.1.473</w:t>
        </w:r>
        <w:r>
          <w:rPr>
            <w:rFonts w:asciiTheme="minorHAnsi" w:eastAsiaTheme="minorEastAsia" w:hAnsiTheme="minorHAnsi" w:cstheme="minorBidi"/>
            <w:noProof/>
            <w:sz w:val="22"/>
            <w:szCs w:val="22"/>
          </w:rPr>
          <w:tab/>
        </w:r>
        <w:r w:rsidRPr="00CC53E5">
          <w:rPr>
            <w:rStyle w:val="Hyperlink"/>
            <w:noProof/>
          </w:rPr>
          <w:t>Part 1 Section 17.16.5.20, FORMCHECKBOX</w:t>
        </w:r>
        <w:r>
          <w:rPr>
            <w:noProof/>
            <w:webHidden/>
          </w:rPr>
          <w:tab/>
        </w:r>
        <w:r>
          <w:rPr>
            <w:noProof/>
            <w:webHidden/>
          </w:rPr>
          <w:fldChar w:fldCharType="begin"/>
        </w:r>
        <w:r>
          <w:rPr>
            <w:noProof/>
            <w:webHidden/>
          </w:rPr>
          <w:instrText xml:space="preserve"> PAGEREF _Toc69878256 \h </w:instrText>
        </w:r>
        <w:r>
          <w:rPr>
            <w:noProof/>
            <w:webHidden/>
          </w:rPr>
        </w:r>
        <w:r>
          <w:rPr>
            <w:noProof/>
            <w:webHidden/>
          </w:rPr>
          <w:fldChar w:fldCharType="separate"/>
        </w:r>
        <w:r>
          <w:rPr>
            <w:noProof/>
            <w:webHidden/>
          </w:rPr>
          <w:t>217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57" w:history="1">
        <w:r w:rsidRPr="00CC53E5">
          <w:rPr>
            <w:rStyle w:val="Hyperlink"/>
            <w:noProof/>
          </w:rPr>
          <w:t>2.1.474</w:t>
        </w:r>
        <w:r>
          <w:rPr>
            <w:rFonts w:asciiTheme="minorHAnsi" w:eastAsiaTheme="minorEastAsia" w:hAnsiTheme="minorHAnsi" w:cstheme="minorBidi"/>
            <w:noProof/>
            <w:sz w:val="22"/>
            <w:szCs w:val="22"/>
          </w:rPr>
          <w:tab/>
        </w:r>
        <w:r w:rsidRPr="00CC53E5">
          <w:rPr>
            <w:rStyle w:val="Hyperlink"/>
            <w:noProof/>
          </w:rPr>
          <w:t>Part 1 Section 17.16.5.21, FORMDROPDOWN</w:t>
        </w:r>
        <w:r>
          <w:rPr>
            <w:noProof/>
            <w:webHidden/>
          </w:rPr>
          <w:tab/>
        </w:r>
        <w:r>
          <w:rPr>
            <w:noProof/>
            <w:webHidden/>
          </w:rPr>
          <w:fldChar w:fldCharType="begin"/>
        </w:r>
        <w:r>
          <w:rPr>
            <w:noProof/>
            <w:webHidden/>
          </w:rPr>
          <w:instrText xml:space="preserve"> PAGEREF _Toc69878257 \h </w:instrText>
        </w:r>
        <w:r>
          <w:rPr>
            <w:noProof/>
            <w:webHidden/>
          </w:rPr>
        </w:r>
        <w:r>
          <w:rPr>
            <w:noProof/>
            <w:webHidden/>
          </w:rPr>
          <w:fldChar w:fldCharType="separate"/>
        </w:r>
        <w:r>
          <w:rPr>
            <w:noProof/>
            <w:webHidden/>
          </w:rPr>
          <w:t>217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58" w:history="1">
        <w:r w:rsidRPr="00CC53E5">
          <w:rPr>
            <w:rStyle w:val="Hyperlink"/>
            <w:noProof/>
          </w:rPr>
          <w:t>2.1.475</w:t>
        </w:r>
        <w:r>
          <w:rPr>
            <w:rFonts w:asciiTheme="minorHAnsi" w:eastAsiaTheme="minorEastAsia" w:hAnsiTheme="minorHAnsi" w:cstheme="minorBidi"/>
            <w:noProof/>
            <w:sz w:val="22"/>
            <w:szCs w:val="22"/>
          </w:rPr>
          <w:tab/>
        </w:r>
        <w:r w:rsidRPr="00CC53E5">
          <w:rPr>
            <w:rStyle w:val="Hyperlink"/>
            <w:noProof/>
          </w:rPr>
          <w:t>Part 1 Section 17.16.5.23, GOTOBUTTON</w:t>
        </w:r>
        <w:r>
          <w:rPr>
            <w:noProof/>
            <w:webHidden/>
          </w:rPr>
          <w:tab/>
        </w:r>
        <w:r>
          <w:rPr>
            <w:noProof/>
            <w:webHidden/>
          </w:rPr>
          <w:fldChar w:fldCharType="begin"/>
        </w:r>
        <w:r>
          <w:rPr>
            <w:noProof/>
            <w:webHidden/>
          </w:rPr>
          <w:instrText xml:space="preserve"> PAGEREF _Toc69878258 \h </w:instrText>
        </w:r>
        <w:r>
          <w:rPr>
            <w:noProof/>
            <w:webHidden/>
          </w:rPr>
        </w:r>
        <w:r>
          <w:rPr>
            <w:noProof/>
            <w:webHidden/>
          </w:rPr>
          <w:fldChar w:fldCharType="separate"/>
        </w:r>
        <w:r>
          <w:rPr>
            <w:noProof/>
            <w:webHidden/>
          </w:rPr>
          <w:t>217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59" w:history="1">
        <w:r w:rsidRPr="00CC53E5">
          <w:rPr>
            <w:rStyle w:val="Hyperlink"/>
            <w:noProof/>
          </w:rPr>
          <w:t>2.1.476</w:t>
        </w:r>
        <w:r>
          <w:rPr>
            <w:rFonts w:asciiTheme="minorHAnsi" w:eastAsiaTheme="minorEastAsia" w:hAnsiTheme="minorHAnsi" w:cstheme="minorBidi"/>
            <w:noProof/>
            <w:sz w:val="22"/>
            <w:szCs w:val="22"/>
          </w:rPr>
          <w:tab/>
        </w:r>
        <w:r w:rsidRPr="00CC53E5">
          <w:rPr>
            <w:rStyle w:val="Hyperlink"/>
            <w:noProof/>
          </w:rPr>
          <w:t>Part 1 Section 17.16.5.24, GREETINGLINE</w:t>
        </w:r>
        <w:r>
          <w:rPr>
            <w:noProof/>
            <w:webHidden/>
          </w:rPr>
          <w:tab/>
        </w:r>
        <w:r>
          <w:rPr>
            <w:noProof/>
            <w:webHidden/>
          </w:rPr>
          <w:fldChar w:fldCharType="begin"/>
        </w:r>
        <w:r>
          <w:rPr>
            <w:noProof/>
            <w:webHidden/>
          </w:rPr>
          <w:instrText xml:space="preserve"> PAGEREF _Toc69878259 \h </w:instrText>
        </w:r>
        <w:r>
          <w:rPr>
            <w:noProof/>
            <w:webHidden/>
          </w:rPr>
        </w:r>
        <w:r>
          <w:rPr>
            <w:noProof/>
            <w:webHidden/>
          </w:rPr>
          <w:fldChar w:fldCharType="separate"/>
        </w:r>
        <w:r>
          <w:rPr>
            <w:noProof/>
            <w:webHidden/>
          </w:rPr>
          <w:t>217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60" w:history="1">
        <w:r w:rsidRPr="00CC53E5">
          <w:rPr>
            <w:rStyle w:val="Hyperlink"/>
            <w:noProof/>
          </w:rPr>
          <w:t>2.1.477</w:t>
        </w:r>
        <w:r>
          <w:rPr>
            <w:rFonts w:asciiTheme="minorHAnsi" w:eastAsiaTheme="minorEastAsia" w:hAnsiTheme="minorHAnsi" w:cstheme="minorBidi"/>
            <w:noProof/>
            <w:sz w:val="22"/>
            <w:szCs w:val="22"/>
          </w:rPr>
          <w:tab/>
        </w:r>
        <w:r w:rsidRPr="00CC53E5">
          <w:rPr>
            <w:rStyle w:val="Hyperlink"/>
            <w:noProof/>
          </w:rPr>
          <w:t>Part 1 Section 17.16.5.25, HYPERLINK</w:t>
        </w:r>
        <w:r>
          <w:rPr>
            <w:noProof/>
            <w:webHidden/>
          </w:rPr>
          <w:tab/>
        </w:r>
        <w:r>
          <w:rPr>
            <w:noProof/>
            <w:webHidden/>
          </w:rPr>
          <w:fldChar w:fldCharType="begin"/>
        </w:r>
        <w:r>
          <w:rPr>
            <w:noProof/>
            <w:webHidden/>
          </w:rPr>
          <w:instrText xml:space="preserve"> PAGEREF _Toc69878260 \h </w:instrText>
        </w:r>
        <w:r>
          <w:rPr>
            <w:noProof/>
            <w:webHidden/>
          </w:rPr>
        </w:r>
        <w:r>
          <w:rPr>
            <w:noProof/>
            <w:webHidden/>
          </w:rPr>
          <w:fldChar w:fldCharType="separate"/>
        </w:r>
        <w:r>
          <w:rPr>
            <w:noProof/>
            <w:webHidden/>
          </w:rPr>
          <w:t>219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61" w:history="1">
        <w:r w:rsidRPr="00CC53E5">
          <w:rPr>
            <w:rStyle w:val="Hyperlink"/>
            <w:noProof/>
          </w:rPr>
          <w:t>2.1.478</w:t>
        </w:r>
        <w:r>
          <w:rPr>
            <w:rFonts w:asciiTheme="minorHAnsi" w:eastAsiaTheme="minorEastAsia" w:hAnsiTheme="minorHAnsi" w:cstheme="minorBidi"/>
            <w:noProof/>
            <w:sz w:val="22"/>
            <w:szCs w:val="22"/>
          </w:rPr>
          <w:tab/>
        </w:r>
        <w:r w:rsidRPr="00CC53E5">
          <w:rPr>
            <w:rStyle w:val="Hyperlink"/>
            <w:noProof/>
          </w:rPr>
          <w:t>Part 1 Section 17.16.5.26, IF</w:t>
        </w:r>
        <w:r>
          <w:rPr>
            <w:noProof/>
            <w:webHidden/>
          </w:rPr>
          <w:tab/>
        </w:r>
        <w:r>
          <w:rPr>
            <w:noProof/>
            <w:webHidden/>
          </w:rPr>
          <w:fldChar w:fldCharType="begin"/>
        </w:r>
        <w:r>
          <w:rPr>
            <w:noProof/>
            <w:webHidden/>
          </w:rPr>
          <w:instrText xml:space="preserve"> PAGEREF _Toc69878261 \h </w:instrText>
        </w:r>
        <w:r>
          <w:rPr>
            <w:noProof/>
            <w:webHidden/>
          </w:rPr>
        </w:r>
        <w:r>
          <w:rPr>
            <w:noProof/>
            <w:webHidden/>
          </w:rPr>
          <w:fldChar w:fldCharType="separate"/>
        </w:r>
        <w:r>
          <w:rPr>
            <w:noProof/>
            <w:webHidden/>
          </w:rPr>
          <w:t>219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62" w:history="1">
        <w:r w:rsidRPr="00CC53E5">
          <w:rPr>
            <w:rStyle w:val="Hyperlink"/>
            <w:noProof/>
          </w:rPr>
          <w:t>2.1.479</w:t>
        </w:r>
        <w:r>
          <w:rPr>
            <w:rFonts w:asciiTheme="minorHAnsi" w:eastAsiaTheme="minorEastAsia" w:hAnsiTheme="minorHAnsi" w:cstheme="minorBidi"/>
            <w:noProof/>
            <w:sz w:val="22"/>
            <w:szCs w:val="22"/>
          </w:rPr>
          <w:tab/>
        </w:r>
        <w:r w:rsidRPr="00CC53E5">
          <w:rPr>
            <w:rStyle w:val="Hyperlink"/>
            <w:noProof/>
          </w:rPr>
          <w:t>Part 1 Section 17.16.5.28, INCLUDETEXT</w:t>
        </w:r>
        <w:r>
          <w:rPr>
            <w:noProof/>
            <w:webHidden/>
          </w:rPr>
          <w:tab/>
        </w:r>
        <w:r>
          <w:rPr>
            <w:noProof/>
            <w:webHidden/>
          </w:rPr>
          <w:fldChar w:fldCharType="begin"/>
        </w:r>
        <w:r>
          <w:rPr>
            <w:noProof/>
            <w:webHidden/>
          </w:rPr>
          <w:instrText xml:space="preserve"> PAGEREF _Toc69878262 \h </w:instrText>
        </w:r>
        <w:r>
          <w:rPr>
            <w:noProof/>
            <w:webHidden/>
          </w:rPr>
        </w:r>
        <w:r>
          <w:rPr>
            <w:noProof/>
            <w:webHidden/>
          </w:rPr>
          <w:fldChar w:fldCharType="separate"/>
        </w:r>
        <w:r>
          <w:rPr>
            <w:noProof/>
            <w:webHidden/>
          </w:rPr>
          <w:t>219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63" w:history="1">
        <w:r w:rsidRPr="00CC53E5">
          <w:rPr>
            <w:rStyle w:val="Hyperlink"/>
            <w:noProof/>
          </w:rPr>
          <w:t>2.1.480</w:t>
        </w:r>
        <w:r>
          <w:rPr>
            <w:rFonts w:asciiTheme="minorHAnsi" w:eastAsiaTheme="minorEastAsia" w:hAnsiTheme="minorHAnsi" w:cstheme="minorBidi"/>
            <w:noProof/>
            <w:sz w:val="22"/>
            <w:szCs w:val="22"/>
          </w:rPr>
          <w:tab/>
        </w:r>
        <w:r w:rsidRPr="00CC53E5">
          <w:rPr>
            <w:rStyle w:val="Hyperlink"/>
            <w:noProof/>
          </w:rPr>
          <w:t>Part 1 Section 17.16.5.29, INDEX</w:t>
        </w:r>
        <w:r>
          <w:rPr>
            <w:noProof/>
            <w:webHidden/>
          </w:rPr>
          <w:tab/>
        </w:r>
        <w:r>
          <w:rPr>
            <w:noProof/>
            <w:webHidden/>
          </w:rPr>
          <w:fldChar w:fldCharType="begin"/>
        </w:r>
        <w:r>
          <w:rPr>
            <w:noProof/>
            <w:webHidden/>
          </w:rPr>
          <w:instrText xml:space="preserve"> PAGEREF _Toc69878263 \h </w:instrText>
        </w:r>
        <w:r>
          <w:rPr>
            <w:noProof/>
            <w:webHidden/>
          </w:rPr>
        </w:r>
        <w:r>
          <w:rPr>
            <w:noProof/>
            <w:webHidden/>
          </w:rPr>
          <w:fldChar w:fldCharType="separate"/>
        </w:r>
        <w:r>
          <w:rPr>
            <w:noProof/>
            <w:webHidden/>
          </w:rPr>
          <w:t>219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64" w:history="1">
        <w:r w:rsidRPr="00CC53E5">
          <w:rPr>
            <w:rStyle w:val="Hyperlink"/>
            <w:noProof/>
          </w:rPr>
          <w:t>2.1.481</w:t>
        </w:r>
        <w:r>
          <w:rPr>
            <w:rFonts w:asciiTheme="minorHAnsi" w:eastAsiaTheme="minorEastAsia" w:hAnsiTheme="minorHAnsi" w:cstheme="minorBidi"/>
            <w:noProof/>
            <w:sz w:val="22"/>
            <w:szCs w:val="22"/>
          </w:rPr>
          <w:tab/>
        </w:r>
        <w:r w:rsidRPr="00CC53E5">
          <w:rPr>
            <w:rStyle w:val="Hyperlink"/>
            <w:noProof/>
          </w:rPr>
          <w:t>Part 1 Section 17.16.5.30, KEYWORDS</w:t>
        </w:r>
        <w:r>
          <w:rPr>
            <w:noProof/>
            <w:webHidden/>
          </w:rPr>
          <w:tab/>
        </w:r>
        <w:r>
          <w:rPr>
            <w:noProof/>
            <w:webHidden/>
          </w:rPr>
          <w:fldChar w:fldCharType="begin"/>
        </w:r>
        <w:r>
          <w:rPr>
            <w:noProof/>
            <w:webHidden/>
          </w:rPr>
          <w:instrText xml:space="preserve"> PAGEREF _Toc69878264 \h </w:instrText>
        </w:r>
        <w:r>
          <w:rPr>
            <w:noProof/>
            <w:webHidden/>
          </w:rPr>
        </w:r>
        <w:r>
          <w:rPr>
            <w:noProof/>
            <w:webHidden/>
          </w:rPr>
          <w:fldChar w:fldCharType="separate"/>
        </w:r>
        <w:r>
          <w:rPr>
            <w:noProof/>
            <w:webHidden/>
          </w:rPr>
          <w:t>220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65" w:history="1">
        <w:r w:rsidRPr="00CC53E5">
          <w:rPr>
            <w:rStyle w:val="Hyperlink"/>
            <w:noProof/>
          </w:rPr>
          <w:t>2.1.482</w:t>
        </w:r>
        <w:r>
          <w:rPr>
            <w:rFonts w:asciiTheme="minorHAnsi" w:eastAsiaTheme="minorEastAsia" w:hAnsiTheme="minorHAnsi" w:cstheme="minorBidi"/>
            <w:noProof/>
            <w:sz w:val="22"/>
            <w:szCs w:val="22"/>
          </w:rPr>
          <w:tab/>
        </w:r>
        <w:r w:rsidRPr="00CC53E5">
          <w:rPr>
            <w:rStyle w:val="Hyperlink"/>
            <w:noProof/>
          </w:rPr>
          <w:t>Part 1 Section 17.16.5.31, LASTSAVEDBY</w:t>
        </w:r>
        <w:r>
          <w:rPr>
            <w:noProof/>
            <w:webHidden/>
          </w:rPr>
          <w:tab/>
        </w:r>
        <w:r>
          <w:rPr>
            <w:noProof/>
            <w:webHidden/>
          </w:rPr>
          <w:fldChar w:fldCharType="begin"/>
        </w:r>
        <w:r>
          <w:rPr>
            <w:noProof/>
            <w:webHidden/>
          </w:rPr>
          <w:instrText xml:space="preserve"> PAGEREF _Toc69878265 \h </w:instrText>
        </w:r>
        <w:r>
          <w:rPr>
            <w:noProof/>
            <w:webHidden/>
          </w:rPr>
        </w:r>
        <w:r>
          <w:rPr>
            <w:noProof/>
            <w:webHidden/>
          </w:rPr>
          <w:fldChar w:fldCharType="separate"/>
        </w:r>
        <w:r>
          <w:rPr>
            <w:noProof/>
            <w:webHidden/>
          </w:rPr>
          <w:t>220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66" w:history="1">
        <w:r w:rsidRPr="00CC53E5">
          <w:rPr>
            <w:rStyle w:val="Hyperlink"/>
            <w:noProof/>
          </w:rPr>
          <w:t>2.1.483</w:t>
        </w:r>
        <w:r>
          <w:rPr>
            <w:rFonts w:asciiTheme="minorHAnsi" w:eastAsiaTheme="minorEastAsia" w:hAnsiTheme="minorHAnsi" w:cstheme="minorBidi"/>
            <w:noProof/>
            <w:sz w:val="22"/>
            <w:szCs w:val="22"/>
          </w:rPr>
          <w:tab/>
        </w:r>
        <w:r w:rsidRPr="00CC53E5">
          <w:rPr>
            <w:rStyle w:val="Hyperlink"/>
            <w:noProof/>
          </w:rPr>
          <w:t>Part 1 Section 17.16.5.32, LINK</w:t>
        </w:r>
        <w:r>
          <w:rPr>
            <w:noProof/>
            <w:webHidden/>
          </w:rPr>
          <w:tab/>
        </w:r>
        <w:r>
          <w:rPr>
            <w:noProof/>
            <w:webHidden/>
          </w:rPr>
          <w:fldChar w:fldCharType="begin"/>
        </w:r>
        <w:r>
          <w:rPr>
            <w:noProof/>
            <w:webHidden/>
          </w:rPr>
          <w:instrText xml:space="preserve"> PAGEREF _Toc69878266 \h </w:instrText>
        </w:r>
        <w:r>
          <w:rPr>
            <w:noProof/>
            <w:webHidden/>
          </w:rPr>
        </w:r>
        <w:r>
          <w:rPr>
            <w:noProof/>
            <w:webHidden/>
          </w:rPr>
          <w:fldChar w:fldCharType="separate"/>
        </w:r>
        <w:r>
          <w:rPr>
            <w:noProof/>
            <w:webHidden/>
          </w:rPr>
          <w:t>220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67" w:history="1">
        <w:r w:rsidRPr="00CC53E5">
          <w:rPr>
            <w:rStyle w:val="Hyperlink"/>
            <w:noProof/>
          </w:rPr>
          <w:t>2.1.484</w:t>
        </w:r>
        <w:r>
          <w:rPr>
            <w:rFonts w:asciiTheme="minorHAnsi" w:eastAsiaTheme="minorEastAsia" w:hAnsiTheme="minorHAnsi" w:cstheme="minorBidi"/>
            <w:noProof/>
            <w:sz w:val="22"/>
            <w:szCs w:val="22"/>
          </w:rPr>
          <w:tab/>
        </w:r>
        <w:r w:rsidRPr="00CC53E5">
          <w:rPr>
            <w:rStyle w:val="Hyperlink"/>
            <w:noProof/>
          </w:rPr>
          <w:t>Part 1 Section 17.16.5.33, LISTNUM</w:t>
        </w:r>
        <w:r>
          <w:rPr>
            <w:noProof/>
            <w:webHidden/>
          </w:rPr>
          <w:tab/>
        </w:r>
        <w:r>
          <w:rPr>
            <w:noProof/>
            <w:webHidden/>
          </w:rPr>
          <w:fldChar w:fldCharType="begin"/>
        </w:r>
        <w:r>
          <w:rPr>
            <w:noProof/>
            <w:webHidden/>
          </w:rPr>
          <w:instrText xml:space="preserve"> PAGEREF _Toc69878267 \h </w:instrText>
        </w:r>
        <w:r>
          <w:rPr>
            <w:noProof/>
            <w:webHidden/>
          </w:rPr>
        </w:r>
        <w:r>
          <w:rPr>
            <w:noProof/>
            <w:webHidden/>
          </w:rPr>
          <w:fldChar w:fldCharType="separate"/>
        </w:r>
        <w:r>
          <w:rPr>
            <w:noProof/>
            <w:webHidden/>
          </w:rPr>
          <w:t>220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68" w:history="1">
        <w:r w:rsidRPr="00CC53E5">
          <w:rPr>
            <w:rStyle w:val="Hyperlink"/>
            <w:noProof/>
          </w:rPr>
          <w:t>2.1.485</w:t>
        </w:r>
        <w:r>
          <w:rPr>
            <w:rFonts w:asciiTheme="minorHAnsi" w:eastAsiaTheme="minorEastAsia" w:hAnsiTheme="minorHAnsi" w:cstheme="minorBidi"/>
            <w:noProof/>
            <w:sz w:val="22"/>
            <w:szCs w:val="22"/>
          </w:rPr>
          <w:tab/>
        </w:r>
        <w:r w:rsidRPr="00CC53E5">
          <w:rPr>
            <w:rStyle w:val="Hyperlink"/>
            <w:noProof/>
          </w:rPr>
          <w:t>Part 1 Section 17.16.5.34, MACROBUTTON</w:t>
        </w:r>
        <w:r>
          <w:rPr>
            <w:noProof/>
            <w:webHidden/>
          </w:rPr>
          <w:tab/>
        </w:r>
        <w:r>
          <w:rPr>
            <w:noProof/>
            <w:webHidden/>
          </w:rPr>
          <w:fldChar w:fldCharType="begin"/>
        </w:r>
        <w:r>
          <w:rPr>
            <w:noProof/>
            <w:webHidden/>
          </w:rPr>
          <w:instrText xml:space="preserve"> PAGEREF _Toc69878268 \h </w:instrText>
        </w:r>
        <w:r>
          <w:rPr>
            <w:noProof/>
            <w:webHidden/>
          </w:rPr>
        </w:r>
        <w:r>
          <w:rPr>
            <w:noProof/>
            <w:webHidden/>
          </w:rPr>
          <w:fldChar w:fldCharType="separate"/>
        </w:r>
        <w:r>
          <w:rPr>
            <w:noProof/>
            <w:webHidden/>
          </w:rPr>
          <w:t>221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69" w:history="1">
        <w:r w:rsidRPr="00CC53E5">
          <w:rPr>
            <w:rStyle w:val="Hyperlink"/>
            <w:noProof/>
          </w:rPr>
          <w:t>2.1.486</w:t>
        </w:r>
        <w:r>
          <w:rPr>
            <w:rFonts w:asciiTheme="minorHAnsi" w:eastAsiaTheme="minorEastAsia" w:hAnsiTheme="minorHAnsi" w:cstheme="minorBidi"/>
            <w:noProof/>
            <w:sz w:val="22"/>
            <w:szCs w:val="22"/>
          </w:rPr>
          <w:tab/>
        </w:r>
        <w:r w:rsidRPr="00CC53E5">
          <w:rPr>
            <w:rStyle w:val="Hyperlink"/>
            <w:noProof/>
          </w:rPr>
          <w:t>Part 1 Section 17.16.5.35, MERGEFIELD</w:t>
        </w:r>
        <w:r>
          <w:rPr>
            <w:noProof/>
            <w:webHidden/>
          </w:rPr>
          <w:tab/>
        </w:r>
        <w:r>
          <w:rPr>
            <w:noProof/>
            <w:webHidden/>
          </w:rPr>
          <w:fldChar w:fldCharType="begin"/>
        </w:r>
        <w:r>
          <w:rPr>
            <w:noProof/>
            <w:webHidden/>
          </w:rPr>
          <w:instrText xml:space="preserve"> PAGEREF _Toc69878269 \h </w:instrText>
        </w:r>
        <w:r>
          <w:rPr>
            <w:noProof/>
            <w:webHidden/>
          </w:rPr>
        </w:r>
        <w:r>
          <w:rPr>
            <w:noProof/>
            <w:webHidden/>
          </w:rPr>
          <w:fldChar w:fldCharType="separate"/>
        </w:r>
        <w:r>
          <w:rPr>
            <w:noProof/>
            <w:webHidden/>
          </w:rPr>
          <w:t>221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70" w:history="1">
        <w:r w:rsidRPr="00CC53E5">
          <w:rPr>
            <w:rStyle w:val="Hyperlink"/>
            <w:noProof/>
          </w:rPr>
          <w:t>2.1.487</w:t>
        </w:r>
        <w:r>
          <w:rPr>
            <w:rFonts w:asciiTheme="minorHAnsi" w:eastAsiaTheme="minorEastAsia" w:hAnsiTheme="minorHAnsi" w:cstheme="minorBidi"/>
            <w:noProof/>
            <w:sz w:val="22"/>
            <w:szCs w:val="22"/>
          </w:rPr>
          <w:tab/>
        </w:r>
        <w:r w:rsidRPr="00CC53E5">
          <w:rPr>
            <w:rStyle w:val="Hyperlink"/>
            <w:noProof/>
          </w:rPr>
          <w:t>Part 1 Section 17.16.5.39, NEXTIF</w:t>
        </w:r>
        <w:r>
          <w:rPr>
            <w:noProof/>
            <w:webHidden/>
          </w:rPr>
          <w:tab/>
        </w:r>
        <w:r>
          <w:rPr>
            <w:noProof/>
            <w:webHidden/>
          </w:rPr>
          <w:fldChar w:fldCharType="begin"/>
        </w:r>
        <w:r>
          <w:rPr>
            <w:noProof/>
            <w:webHidden/>
          </w:rPr>
          <w:instrText xml:space="preserve"> PAGEREF _Toc69878270 \h </w:instrText>
        </w:r>
        <w:r>
          <w:rPr>
            <w:noProof/>
            <w:webHidden/>
          </w:rPr>
        </w:r>
        <w:r>
          <w:rPr>
            <w:noProof/>
            <w:webHidden/>
          </w:rPr>
          <w:fldChar w:fldCharType="separate"/>
        </w:r>
        <w:r>
          <w:rPr>
            <w:noProof/>
            <w:webHidden/>
          </w:rPr>
          <w:t>221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71" w:history="1">
        <w:r w:rsidRPr="00CC53E5">
          <w:rPr>
            <w:rStyle w:val="Hyperlink"/>
            <w:noProof/>
          </w:rPr>
          <w:t>2.1.488</w:t>
        </w:r>
        <w:r>
          <w:rPr>
            <w:rFonts w:asciiTheme="minorHAnsi" w:eastAsiaTheme="minorEastAsia" w:hAnsiTheme="minorHAnsi" w:cstheme="minorBidi"/>
            <w:noProof/>
            <w:sz w:val="22"/>
            <w:szCs w:val="22"/>
          </w:rPr>
          <w:tab/>
        </w:r>
        <w:r w:rsidRPr="00CC53E5">
          <w:rPr>
            <w:rStyle w:val="Hyperlink"/>
            <w:noProof/>
          </w:rPr>
          <w:t>Part 1 Section 17.16.5.40, NOTEREF</w:t>
        </w:r>
        <w:r>
          <w:rPr>
            <w:noProof/>
            <w:webHidden/>
          </w:rPr>
          <w:tab/>
        </w:r>
        <w:r>
          <w:rPr>
            <w:noProof/>
            <w:webHidden/>
          </w:rPr>
          <w:fldChar w:fldCharType="begin"/>
        </w:r>
        <w:r>
          <w:rPr>
            <w:noProof/>
            <w:webHidden/>
          </w:rPr>
          <w:instrText xml:space="preserve"> PAGEREF _Toc69878271 \h </w:instrText>
        </w:r>
        <w:r>
          <w:rPr>
            <w:noProof/>
            <w:webHidden/>
          </w:rPr>
        </w:r>
        <w:r>
          <w:rPr>
            <w:noProof/>
            <w:webHidden/>
          </w:rPr>
          <w:fldChar w:fldCharType="separate"/>
        </w:r>
        <w:r>
          <w:rPr>
            <w:noProof/>
            <w:webHidden/>
          </w:rPr>
          <w:t>221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72" w:history="1">
        <w:r w:rsidRPr="00CC53E5">
          <w:rPr>
            <w:rStyle w:val="Hyperlink"/>
            <w:noProof/>
          </w:rPr>
          <w:t>2.1.489</w:t>
        </w:r>
        <w:r>
          <w:rPr>
            <w:rFonts w:asciiTheme="minorHAnsi" w:eastAsiaTheme="minorEastAsia" w:hAnsiTheme="minorHAnsi" w:cstheme="minorBidi"/>
            <w:noProof/>
            <w:sz w:val="22"/>
            <w:szCs w:val="22"/>
          </w:rPr>
          <w:tab/>
        </w:r>
        <w:r w:rsidRPr="00CC53E5">
          <w:rPr>
            <w:rStyle w:val="Hyperlink"/>
            <w:noProof/>
          </w:rPr>
          <w:t>Part 1 Section 17.16.5.42 NUMPAGES</w:t>
        </w:r>
        <w:r>
          <w:rPr>
            <w:noProof/>
            <w:webHidden/>
          </w:rPr>
          <w:tab/>
        </w:r>
        <w:r>
          <w:rPr>
            <w:noProof/>
            <w:webHidden/>
          </w:rPr>
          <w:fldChar w:fldCharType="begin"/>
        </w:r>
        <w:r>
          <w:rPr>
            <w:noProof/>
            <w:webHidden/>
          </w:rPr>
          <w:instrText xml:space="preserve"> PAGEREF _Toc69878272 \h </w:instrText>
        </w:r>
        <w:r>
          <w:rPr>
            <w:noProof/>
            <w:webHidden/>
          </w:rPr>
        </w:r>
        <w:r>
          <w:rPr>
            <w:noProof/>
            <w:webHidden/>
          </w:rPr>
          <w:fldChar w:fldCharType="separate"/>
        </w:r>
        <w:r>
          <w:rPr>
            <w:noProof/>
            <w:webHidden/>
          </w:rPr>
          <w:t>221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73" w:history="1">
        <w:r w:rsidRPr="00CC53E5">
          <w:rPr>
            <w:rStyle w:val="Hyperlink"/>
            <w:noProof/>
          </w:rPr>
          <w:t>2.1.490</w:t>
        </w:r>
        <w:r>
          <w:rPr>
            <w:rFonts w:asciiTheme="minorHAnsi" w:eastAsiaTheme="minorEastAsia" w:hAnsiTheme="minorHAnsi" w:cstheme="minorBidi"/>
            <w:noProof/>
            <w:sz w:val="22"/>
            <w:szCs w:val="22"/>
          </w:rPr>
          <w:tab/>
        </w:r>
        <w:r w:rsidRPr="00CC53E5">
          <w:rPr>
            <w:rStyle w:val="Hyperlink"/>
            <w:noProof/>
          </w:rPr>
          <w:t>Part 1 Section 17.16.5.45, PAGEREF</w:t>
        </w:r>
        <w:r>
          <w:rPr>
            <w:noProof/>
            <w:webHidden/>
          </w:rPr>
          <w:tab/>
        </w:r>
        <w:r>
          <w:rPr>
            <w:noProof/>
            <w:webHidden/>
          </w:rPr>
          <w:fldChar w:fldCharType="begin"/>
        </w:r>
        <w:r>
          <w:rPr>
            <w:noProof/>
            <w:webHidden/>
          </w:rPr>
          <w:instrText xml:space="preserve"> PAGEREF _Toc69878273 \h </w:instrText>
        </w:r>
        <w:r>
          <w:rPr>
            <w:noProof/>
            <w:webHidden/>
          </w:rPr>
        </w:r>
        <w:r>
          <w:rPr>
            <w:noProof/>
            <w:webHidden/>
          </w:rPr>
          <w:fldChar w:fldCharType="separate"/>
        </w:r>
        <w:r>
          <w:rPr>
            <w:noProof/>
            <w:webHidden/>
          </w:rPr>
          <w:t>221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74" w:history="1">
        <w:r w:rsidRPr="00CC53E5">
          <w:rPr>
            <w:rStyle w:val="Hyperlink"/>
            <w:noProof/>
          </w:rPr>
          <w:t>2.1.491</w:t>
        </w:r>
        <w:r>
          <w:rPr>
            <w:rFonts w:asciiTheme="minorHAnsi" w:eastAsiaTheme="minorEastAsia" w:hAnsiTheme="minorHAnsi" w:cstheme="minorBidi"/>
            <w:noProof/>
            <w:sz w:val="22"/>
            <w:szCs w:val="22"/>
          </w:rPr>
          <w:tab/>
        </w:r>
        <w:r w:rsidRPr="00CC53E5">
          <w:rPr>
            <w:rStyle w:val="Hyperlink"/>
            <w:noProof/>
          </w:rPr>
          <w:t>Part 1 Section 17.16.5.46, PRINT</w:t>
        </w:r>
        <w:r>
          <w:rPr>
            <w:noProof/>
            <w:webHidden/>
          </w:rPr>
          <w:tab/>
        </w:r>
        <w:r>
          <w:rPr>
            <w:noProof/>
            <w:webHidden/>
          </w:rPr>
          <w:fldChar w:fldCharType="begin"/>
        </w:r>
        <w:r>
          <w:rPr>
            <w:noProof/>
            <w:webHidden/>
          </w:rPr>
          <w:instrText xml:space="preserve"> PAGEREF _Toc69878274 \h </w:instrText>
        </w:r>
        <w:r>
          <w:rPr>
            <w:noProof/>
            <w:webHidden/>
          </w:rPr>
        </w:r>
        <w:r>
          <w:rPr>
            <w:noProof/>
            <w:webHidden/>
          </w:rPr>
          <w:fldChar w:fldCharType="separate"/>
        </w:r>
        <w:r>
          <w:rPr>
            <w:noProof/>
            <w:webHidden/>
          </w:rPr>
          <w:t>222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75" w:history="1">
        <w:r w:rsidRPr="00CC53E5">
          <w:rPr>
            <w:rStyle w:val="Hyperlink"/>
            <w:noProof/>
          </w:rPr>
          <w:t>2.1.492</w:t>
        </w:r>
        <w:r>
          <w:rPr>
            <w:rFonts w:asciiTheme="minorHAnsi" w:eastAsiaTheme="minorEastAsia" w:hAnsiTheme="minorHAnsi" w:cstheme="minorBidi"/>
            <w:noProof/>
            <w:sz w:val="22"/>
            <w:szCs w:val="22"/>
          </w:rPr>
          <w:tab/>
        </w:r>
        <w:r w:rsidRPr="00CC53E5">
          <w:rPr>
            <w:rStyle w:val="Hyperlink"/>
            <w:noProof/>
          </w:rPr>
          <w:t>Part 1 Section 17.16.5.47, PRINTDATE</w:t>
        </w:r>
        <w:r>
          <w:rPr>
            <w:noProof/>
            <w:webHidden/>
          </w:rPr>
          <w:tab/>
        </w:r>
        <w:r>
          <w:rPr>
            <w:noProof/>
            <w:webHidden/>
          </w:rPr>
          <w:fldChar w:fldCharType="begin"/>
        </w:r>
        <w:r>
          <w:rPr>
            <w:noProof/>
            <w:webHidden/>
          </w:rPr>
          <w:instrText xml:space="preserve"> PAGEREF _Toc69878275 \h </w:instrText>
        </w:r>
        <w:r>
          <w:rPr>
            <w:noProof/>
            <w:webHidden/>
          </w:rPr>
        </w:r>
        <w:r>
          <w:rPr>
            <w:noProof/>
            <w:webHidden/>
          </w:rPr>
          <w:fldChar w:fldCharType="separate"/>
        </w:r>
        <w:r>
          <w:rPr>
            <w:noProof/>
            <w:webHidden/>
          </w:rPr>
          <w:t>222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76" w:history="1">
        <w:r w:rsidRPr="00CC53E5">
          <w:rPr>
            <w:rStyle w:val="Hyperlink"/>
            <w:noProof/>
          </w:rPr>
          <w:t>2.1.493</w:t>
        </w:r>
        <w:r>
          <w:rPr>
            <w:rFonts w:asciiTheme="minorHAnsi" w:eastAsiaTheme="minorEastAsia" w:hAnsiTheme="minorHAnsi" w:cstheme="minorBidi"/>
            <w:noProof/>
            <w:sz w:val="22"/>
            <w:szCs w:val="22"/>
          </w:rPr>
          <w:tab/>
        </w:r>
        <w:r w:rsidRPr="00CC53E5">
          <w:rPr>
            <w:rStyle w:val="Hyperlink"/>
            <w:noProof/>
          </w:rPr>
          <w:t>Part 1 Section 17.16.5.49, QUOTE</w:t>
        </w:r>
        <w:r>
          <w:rPr>
            <w:noProof/>
            <w:webHidden/>
          </w:rPr>
          <w:tab/>
        </w:r>
        <w:r>
          <w:rPr>
            <w:noProof/>
            <w:webHidden/>
          </w:rPr>
          <w:fldChar w:fldCharType="begin"/>
        </w:r>
        <w:r>
          <w:rPr>
            <w:noProof/>
            <w:webHidden/>
          </w:rPr>
          <w:instrText xml:space="preserve"> PAGEREF _Toc69878276 \h </w:instrText>
        </w:r>
        <w:r>
          <w:rPr>
            <w:noProof/>
            <w:webHidden/>
          </w:rPr>
        </w:r>
        <w:r>
          <w:rPr>
            <w:noProof/>
            <w:webHidden/>
          </w:rPr>
          <w:fldChar w:fldCharType="separate"/>
        </w:r>
        <w:r>
          <w:rPr>
            <w:noProof/>
            <w:webHidden/>
          </w:rPr>
          <w:t>223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77" w:history="1">
        <w:r w:rsidRPr="00CC53E5">
          <w:rPr>
            <w:rStyle w:val="Hyperlink"/>
            <w:noProof/>
          </w:rPr>
          <w:t>2.1.494</w:t>
        </w:r>
        <w:r>
          <w:rPr>
            <w:rFonts w:asciiTheme="minorHAnsi" w:eastAsiaTheme="minorEastAsia" w:hAnsiTheme="minorHAnsi" w:cstheme="minorBidi"/>
            <w:noProof/>
            <w:sz w:val="22"/>
            <w:szCs w:val="22"/>
          </w:rPr>
          <w:tab/>
        </w:r>
        <w:r w:rsidRPr="00CC53E5">
          <w:rPr>
            <w:rStyle w:val="Hyperlink"/>
            <w:noProof/>
          </w:rPr>
          <w:t>Part 1 Section 17.16.5.50, RD</w:t>
        </w:r>
        <w:r>
          <w:rPr>
            <w:noProof/>
            <w:webHidden/>
          </w:rPr>
          <w:tab/>
        </w:r>
        <w:r>
          <w:rPr>
            <w:noProof/>
            <w:webHidden/>
          </w:rPr>
          <w:fldChar w:fldCharType="begin"/>
        </w:r>
        <w:r>
          <w:rPr>
            <w:noProof/>
            <w:webHidden/>
          </w:rPr>
          <w:instrText xml:space="preserve"> PAGEREF _Toc69878277 \h </w:instrText>
        </w:r>
        <w:r>
          <w:rPr>
            <w:noProof/>
            <w:webHidden/>
          </w:rPr>
        </w:r>
        <w:r>
          <w:rPr>
            <w:noProof/>
            <w:webHidden/>
          </w:rPr>
          <w:fldChar w:fldCharType="separate"/>
        </w:r>
        <w:r>
          <w:rPr>
            <w:noProof/>
            <w:webHidden/>
          </w:rPr>
          <w:t>223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78" w:history="1">
        <w:r w:rsidRPr="00CC53E5">
          <w:rPr>
            <w:rStyle w:val="Hyperlink"/>
            <w:noProof/>
          </w:rPr>
          <w:t>2.1.495</w:t>
        </w:r>
        <w:r>
          <w:rPr>
            <w:rFonts w:asciiTheme="minorHAnsi" w:eastAsiaTheme="minorEastAsia" w:hAnsiTheme="minorHAnsi" w:cstheme="minorBidi"/>
            <w:noProof/>
            <w:sz w:val="22"/>
            <w:szCs w:val="22"/>
          </w:rPr>
          <w:tab/>
        </w:r>
        <w:r w:rsidRPr="00CC53E5">
          <w:rPr>
            <w:rStyle w:val="Hyperlink"/>
            <w:noProof/>
          </w:rPr>
          <w:t>Part 1 Section 17.16.5.51, REF</w:t>
        </w:r>
        <w:r>
          <w:rPr>
            <w:noProof/>
            <w:webHidden/>
          </w:rPr>
          <w:tab/>
        </w:r>
        <w:r>
          <w:rPr>
            <w:noProof/>
            <w:webHidden/>
          </w:rPr>
          <w:fldChar w:fldCharType="begin"/>
        </w:r>
        <w:r>
          <w:rPr>
            <w:noProof/>
            <w:webHidden/>
          </w:rPr>
          <w:instrText xml:space="preserve"> PAGEREF _Toc69878278 \h </w:instrText>
        </w:r>
        <w:r>
          <w:rPr>
            <w:noProof/>
            <w:webHidden/>
          </w:rPr>
        </w:r>
        <w:r>
          <w:rPr>
            <w:noProof/>
            <w:webHidden/>
          </w:rPr>
          <w:fldChar w:fldCharType="separate"/>
        </w:r>
        <w:r>
          <w:rPr>
            <w:noProof/>
            <w:webHidden/>
          </w:rPr>
          <w:t>223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79" w:history="1">
        <w:r w:rsidRPr="00CC53E5">
          <w:rPr>
            <w:rStyle w:val="Hyperlink"/>
            <w:noProof/>
          </w:rPr>
          <w:t>2.1.496</w:t>
        </w:r>
        <w:r>
          <w:rPr>
            <w:rFonts w:asciiTheme="minorHAnsi" w:eastAsiaTheme="minorEastAsia" w:hAnsiTheme="minorHAnsi" w:cstheme="minorBidi"/>
            <w:noProof/>
            <w:sz w:val="22"/>
            <w:szCs w:val="22"/>
          </w:rPr>
          <w:tab/>
        </w:r>
        <w:r w:rsidRPr="00CC53E5">
          <w:rPr>
            <w:rStyle w:val="Hyperlink"/>
            <w:noProof/>
          </w:rPr>
          <w:t>Part 1 Section 17.16.5.52, REVNUM</w:t>
        </w:r>
        <w:r>
          <w:rPr>
            <w:noProof/>
            <w:webHidden/>
          </w:rPr>
          <w:tab/>
        </w:r>
        <w:r>
          <w:rPr>
            <w:noProof/>
            <w:webHidden/>
          </w:rPr>
          <w:fldChar w:fldCharType="begin"/>
        </w:r>
        <w:r>
          <w:rPr>
            <w:noProof/>
            <w:webHidden/>
          </w:rPr>
          <w:instrText xml:space="preserve"> PAGEREF _Toc69878279 \h </w:instrText>
        </w:r>
        <w:r>
          <w:rPr>
            <w:noProof/>
            <w:webHidden/>
          </w:rPr>
        </w:r>
        <w:r>
          <w:rPr>
            <w:noProof/>
            <w:webHidden/>
          </w:rPr>
          <w:fldChar w:fldCharType="separate"/>
        </w:r>
        <w:r>
          <w:rPr>
            <w:noProof/>
            <w:webHidden/>
          </w:rPr>
          <w:t>224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80" w:history="1">
        <w:r w:rsidRPr="00CC53E5">
          <w:rPr>
            <w:rStyle w:val="Hyperlink"/>
            <w:noProof/>
          </w:rPr>
          <w:t>2.1.497</w:t>
        </w:r>
        <w:r>
          <w:rPr>
            <w:rFonts w:asciiTheme="minorHAnsi" w:eastAsiaTheme="minorEastAsia" w:hAnsiTheme="minorHAnsi" w:cstheme="minorBidi"/>
            <w:noProof/>
            <w:sz w:val="22"/>
            <w:szCs w:val="22"/>
          </w:rPr>
          <w:tab/>
        </w:r>
        <w:r w:rsidRPr="00CC53E5">
          <w:rPr>
            <w:rStyle w:val="Hyperlink"/>
            <w:noProof/>
          </w:rPr>
          <w:t>Part 1 Section 17.16.5.53, SAVEDATE</w:t>
        </w:r>
        <w:r>
          <w:rPr>
            <w:noProof/>
            <w:webHidden/>
          </w:rPr>
          <w:tab/>
        </w:r>
        <w:r>
          <w:rPr>
            <w:noProof/>
            <w:webHidden/>
          </w:rPr>
          <w:fldChar w:fldCharType="begin"/>
        </w:r>
        <w:r>
          <w:rPr>
            <w:noProof/>
            <w:webHidden/>
          </w:rPr>
          <w:instrText xml:space="preserve"> PAGEREF _Toc69878280 \h </w:instrText>
        </w:r>
        <w:r>
          <w:rPr>
            <w:noProof/>
            <w:webHidden/>
          </w:rPr>
        </w:r>
        <w:r>
          <w:rPr>
            <w:noProof/>
            <w:webHidden/>
          </w:rPr>
          <w:fldChar w:fldCharType="separate"/>
        </w:r>
        <w:r>
          <w:rPr>
            <w:noProof/>
            <w:webHidden/>
          </w:rPr>
          <w:t>224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81" w:history="1">
        <w:r w:rsidRPr="00CC53E5">
          <w:rPr>
            <w:rStyle w:val="Hyperlink"/>
            <w:noProof/>
          </w:rPr>
          <w:t>2.1.498</w:t>
        </w:r>
        <w:r>
          <w:rPr>
            <w:rFonts w:asciiTheme="minorHAnsi" w:eastAsiaTheme="minorEastAsia" w:hAnsiTheme="minorHAnsi" w:cstheme="minorBidi"/>
            <w:noProof/>
            <w:sz w:val="22"/>
            <w:szCs w:val="22"/>
          </w:rPr>
          <w:tab/>
        </w:r>
        <w:r w:rsidRPr="00CC53E5">
          <w:rPr>
            <w:rStyle w:val="Hyperlink"/>
            <w:noProof/>
          </w:rPr>
          <w:t>Part 1 Section 17.16.5.54, SECTION</w:t>
        </w:r>
        <w:r>
          <w:rPr>
            <w:noProof/>
            <w:webHidden/>
          </w:rPr>
          <w:tab/>
        </w:r>
        <w:r>
          <w:rPr>
            <w:noProof/>
            <w:webHidden/>
          </w:rPr>
          <w:fldChar w:fldCharType="begin"/>
        </w:r>
        <w:r>
          <w:rPr>
            <w:noProof/>
            <w:webHidden/>
          </w:rPr>
          <w:instrText xml:space="preserve"> PAGEREF _Toc69878281 \h </w:instrText>
        </w:r>
        <w:r>
          <w:rPr>
            <w:noProof/>
            <w:webHidden/>
          </w:rPr>
        </w:r>
        <w:r>
          <w:rPr>
            <w:noProof/>
            <w:webHidden/>
          </w:rPr>
          <w:fldChar w:fldCharType="separate"/>
        </w:r>
        <w:r>
          <w:rPr>
            <w:noProof/>
            <w:webHidden/>
          </w:rPr>
          <w:t>224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82" w:history="1">
        <w:r w:rsidRPr="00CC53E5">
          <w:rPr>
            <w:rStyle w:val="Hyperlink"/>
            <w:noProof/>
          </w:rPr>
          <w:t>2.1.499</w:t>
        </w:r>
        <w:r>
          <w:rPr>
            <w:rFonts w:asciiTheme="minorHAnsi" w:eastAsiaTheme="minorEastAsia" w:hAnsiTheme="minorHAnsi" w:cstheme="minorBidi"/>
            <w:noProof/>
            <w:sz w:val="22"/>
            <w:szCs w:val="22"/>
          </w:rPr>
          <w:tab/>
        </w:r>
        <w:r w:rsidRPr="00CC53E5">
          <w:rPr>
            <w:rStyle w:val="Hyperlink"/>
            <w:noProof/>
          </w:rPr>
          <w:t>Part 1 Section 17.16.5.55, SECTIONPAGES</w:t>
        </w:r>
        <w:r>
          <w:rPr>
            <w:noProof/>
            <w:webHidden/>
          </w:rPr>
          <w:tab/>
        </w:r>
        <w:r>
          <w:rPr>
            <w:noProof/>
            <w:webHidden/>
          </w:rPr>
          <w:fldChar w:fldCharType="begin"/>
        </w:r>
        <w:r>
          <w:rPr>
            <w:noProof/>
            <w:webHidden/>
          </w:rPr>
          <w:instrText xml:space="preserve"> PAGEREF _Toc69878282 \h </w:instrText>
        </w:r>
        <w:r>
          <w:rPr>
            <w:noProof/>
            <w:webHidden/>
          </w:rPr>
        </w:r>
        <w:r>
          <w:rPr>
            <w:noProof/>
            <w:webHidden/>
          </w:rPr>
          <w:fldChar w:fldCharType="separate"/>
        </w:r>
        <w:r>
          <w:rPr>
            <w:noProof/>
            <w:webHidden/>
          </w:rPr>
          <w:t>225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83" w:history="1">
        <w:r w:rsidRPr="00CC53E5">
          <w:rPr>
            <w:rStyle w:val="Hyperlink"/>
            <w:noProof/>
          </w:rPr>
          <w:t>2.1.500</w:t>
        </w:r>
        <w:r>
          <w:rPr>
            <w:rFonts w:asciiTheme="minorHAnsi" w:eastAsiaTheme="minorEastAsia" w:hAnsiTheme="minorHAnsi" w:cstheme="minorBidi"/>
            <w:noProof/>
            <w:sz w:val="22"/>
            <w:szCs w:val="22"/>
          </w:rPr>
          <w:tab/>
        </w:r>
        <w:r w:rsidRPr="00CC53E5">
          <w:rPr>
            <w:rStyle w:val="Hyperlink"/>
            <w:noProof/>
          </w:rPr>
          <w:t>Part 1 Section 17.16.5.56, SEQ</w:t>
        </w:r>
        <w:r>
          <w:rPr>
            <w:noProof/>
            <w:webHidden/>
          </w:rPr>
          <w:tab/>
        </w:r>
        <w:r>
          <w:rPr>
            <w:noProof/>
            <w:webHidden/>
          </w:rPr>
          <w:fldChar w:fldCharType="begin"/>
        </w:r>
        <w:r>
          <w:rPr>
            <w:noProof/>
            <w:webHidden/>
          </w:rPr>
          <w:instrText xml:space="preserve"> PAGEREF _Toc69878283 \h </w:instrText>
        </w:r>
        <w:r>
          <w:rPr>
            <w:noProof/>
            <w:webHidden/>
          </w:rPr>
        </w:r>
        <w:r>
          <w:rPr>
            <w:noProof/>
            <w:webHidden/>
          </w:rPr>
          <w:fldChar w:fldCharType="separate"/>
        </w:r>
        <w:r>
          <w:rPr>
            <w:noProof/>
            <w:webHidden/>
          </w:rPr>
          <w:t>225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84" w:history="1">
        <w:r w:rsidRPr="00CC53E5">
          <w:rPr>
            <w:rStyle w:val="Hyperlink"/>
            <w:noProof/>
          </w:rPr>
          <w:t>2.1.501</w:t>
        </w:r>
        <w:r>
          <w:rPr>
            <w:rFonts w:asciiTheme="minorHAnsi" w:eastAsiaTheme="minorEastAsia" w:hAnsiTheme="minorHAnsi" w:cstheme="minorBidi"/>
            <w:noProof/>
            <w:sz w:val="22"/>
            <w:szCs w:val="22"/>
          </w:rPr>
          <w:tab/>
        </w:r>
        <w:r w:rsidRPr="00CC53E5">
          <w:rPr>
            <w:rStyle w:val="Hyperlink"/>
            <w:noProof/>
          </w:rPr>
          <w:t>Part 1 Section 17.16.5.58, SKIPIF</w:t>
        </w:r>
        <w:r>
          <w:rPr>
            <w:noProof/>
            <w:webHidden/>
          </w:rPr>
          <w:tab/>
        </w:r>
        <w:r>
          <w:rPr>
            <w:noProof/>
            <w:webHidden/>
          </w:rPr>
          <w:fldChar w:fldCharType="begin"/>
        </w:r>
        <w:r>
          <w:rPr>
            <w:noProof/>
            <w:webHidden/>
          </w:rPr>
          <w:instrText xml:space="preserve"> PAGEREF _Toc69878284 \h </w:instrText>
        </w:r>
        <w:r>
          <w:rPr>
            <w:noProof/>
            <w:webHidden/>
          </w:rPr>
        </w:r>
        <w:r>
          <w:rPr>
            <w:noProof/>
            <w:webHidden/>
          </w:rPr>
          <w:fldChar w:fldCharType="separate"/>
        </w:r>
        <w:r>
          <w:rPr>
            <w:noProof/>
            <w:webHidden/>
          </w:rPr>
          <w:t>225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85" w:history="1">
        <w:r w:rsidRPr="00CC53E5">
          <w:rPr>
            <w:rStyle w:val="Hyperlink"/>
            <w:noProof/>
          </w:rPr>
          <w:t>2.1.502</w:t>
        </w:r>
        <w:r>
          <w:rPr>
            <w:rFonts w:asciiTheme="minorHAnsi" w:eastAsiaTheme="minorEastAsia" w:hAnsiTheme="minorHAnsi" w:cstheme="minorBidi"/>
            <w:noProof/>
            <w:sz w:val="22"/>
            <w:szCs w:val="22"/>
          </w:rPr>
          <w:tab/>
        </w:r>
        <w:r w:rsidRPr="00CC53E5">
          <w:rPr>
            <w:rStyle w:val="Hyperlink"/>
            <w:noProof/>
          </w:rPr>
          <w:t>Part 1 Section 17.16.5.59, STYLEREF</w:t>
        </w:r>
        <w:r>
          <w:rPr>
            <w:noProof/>
            <w:webHidden/>
          </w:rPr>
          <w:tab/>
        </w:r>
        <w:r>
          <w:rPr>
            <w:noProof/>
            <w:webHidden/>
          </w:rPr>
          <w:fldChar w:fldCharType="begin"/>
        </w:r>
        <w:r>
          <w:rPr>
            <w:noProof/>
            <w:webHidden/>
          </w:rPr>
          <w:instrText xml:space="preserve"> PAGEREF _Toc69878285 \h </w:instrText>
        </w:r>
        <w:r>
          <w:rPr>
            <w:noProof/>
            <w:webHidden/>
          </w:rPr>
        </w:r>
        <w:r>
          <w:rPr>
            <w:noProof/>
            <w:webHidden/>
          </w:rPr>
          <w:fldChar w:fldCharType="separate"/>
        </w:r>
        <w:r>
          <w:rPr>
            <w:noProof/>
            <w:webHidden/>
          </w:rPr>
          <w:t>225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86" w:history="1">
        <w:r w:rsidRPr="00CC53E5">
          <w:rPr>
            <w:rStyle w:val="Hyperlink"/>
            <w:noProof/>
          </w:rPr>
          <w:t>2.1.503</w:t>
        </w:r>
        <w:r>
          <w:rPr>
            <w:rFonts w:asciiTheme="minorHAnsi" w:eastAsiaTheme="minorEastAsia" w:hAnsiTheme="minorHAnsi" w:cstheme="minorBidi"/>
            <w:noProof/>
            <w:sz w:val="22"/>
            <w:szCs w:val="22"/>
          </w:rPr>
          <w:tab/>
        </w:r>
        <w:r w:rsidRPr="00CC53E5">
          <w:rPr>
            <w:rStyle w:val="Hyperlink"/>
            <w:noProof/>
          </w:rPr>
          <w:t>Part 1 Section 17.16.5.60, SUBJECT</w:t>
        </w:r>
        <w:r>
          <w:rPr>
            <w:noProof/>
            <w:webHidden/>
          </w:rPr>
          <w:tab/>
        </w:r>
        <w:r>
          <w:rPr>
            <w:noProof/>
            <w:webHidden/>
          </w:rPr>
          <w:fldChar w:fldCharType="begin"/>
        </w:r>
        <w:r>
          <w:rPr>
            <w:noProof/>
            <w:webHidden/>
          </w:rPr>
          <w:instrText xml:space="preserve"> PAGEREF _Toc69878286 \h </w:instrText>
        </w:r>
        <w:r>
          <w:rPr>
            <w:noProof/>
            <w:webHidden/>
          </w:rPr>
        </w:r>
        <w:r>
          <w:rPr>
            <w:noProof/>
            <w:webHidden/>
          </w:rPr>
          <w:fldChar w:fldCharType="separate"/>
        </w:r>
        <w:r>
          <w:rPr>
            <w:noProof/>
            <w:webHidden/>
          </w:rPr>
          <w:t>226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87" w:history="1">
        <w:r w:rsidRPr="00CC53E5">
          <w:rPr>
            <w:rStyle w:val="Hyperlink"/>
            <w:noProof/>
          </w:rPr>
          <w:t>2.1.504</w:t>
        </w:r>
        <w:r>
          <w:rPr>
            <w:rFonts w:asciiTheme="minorHAnsi" w:eastAsiaTheme="minorEastAsia" w:hAnsiTheme="minorHAnsi" w:cstheme="minorBidi"/>
            <w:noProof/>
            <w:sz w:val="22"/>
            <w:szCs w:val="22"/>
          </w:rPr>
          <w:tab/>
        </w:r>
        <w:r w:rsidRPr="00CC53E5">
          <w:rPr>
            <w:rStyle w:val="Hyperlink"/>
            <w:noProof/>
          </w:rPr>
          <w:t>Part 1 Section 17.16.5.61, SYMBOL</w:t>
        </w:r>
        <w:r>
          <w:rPr>
            <w:noProof/>
            <w:webHidden/>
          </w:rPr>
          <w:tab/>
        </w:r>
        <w:r>
          <w:rPr>
            <w:noProof/>
            <w:webHidden/>
          </w:rPr>
          <w:fldChar w:fldCharType="begin"/>
        </w:r>
        <w:r>
          <w:rPr>
            <w:noProof/>
            <w:webHidden/>
          </w:rPr>
          <w:instrText xml:space="preserve"> PAGEREF _Toc69878287 \h </w:instrText>
        </w:r>
        <w:r>
          <w:rPr>
            <w:noProof/>
            <w:webHidden/>
          </w:rPr>
        </w:r>
        <w:r>
          <w:rPr>
            <w:noProof/>
            <w:webHidden/>
          </w:rPr>
          <w:fldChar w:fldCharType="separate"/>
        </w:r>
        <w:r>
          <w:rPr>
            <w:noProof/>
            <w:webHidden/>
          </w:rPr>
          <w:t>226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88" w:history="1">
        <w:r w:rsidRPr="00CC53E5">
          <w:rPr>
            <w:rStyle w:val="Hyperlink"/>
            <w:noProof/>
          </w:rPr>
          <w:t>2.1.505</w:t>
        </w:r>
        <w:r>
          <w:rPr>
            <w:rFonts w:asciiTheme="minorHAnsi" w:eastAsiaTheme="minorEastAsia" w:hAnsiTheme="minorHAnsi" w:cstheme="minorBidi"/>
            <w:noProof/>
            <w:sz w:val="22"/>
            <w:szCs w:val="22"/>
          </w:rPr>
          <w:tab/>
        </w:r>
        <w:r w:rsidRPr="00CC53E5">
          <w:rPr>
            <w:rStyle w:val="Hyperlink"/>
            <w:noProof/>
          </w:rPr>
          <w:t>Part 1 Section 17.16.5.62, TA</w:t>
        </w:r>
        <w:r>
          <w:rPr>
            <w:noProof/>
            <w:webHidden/>
          </w:rPr>
          <w:tab/>
        </w:r>
        <w:r>
          <w:rPr>
            <w:noProof/>
            <w:webHidden/>
          </w:rPr>
          <w:fldChar w:fldCharType="begin"/>
        </w:r>
        <w:r>
          <w:rPr>
            <w:noProof/>
            <w:webHidden/>
          </w:rPr>
          <w:instrText xml:space="preserve"> PAGEREF _Toc69878288 \h </w:instrText>
        </w:r>
        <w:r>
          <w:rPr>
            <w:noProof/>
            <w:webHidden/>
          </w:rPr>
        </w:r>
        <w:r>
          <w:rPr>
            <w:noProof/>
            <w:webHidden/>
          </w:rPr>
          <w:fldChar w:fldCharType="separate"/>
        </w:r>
        <w:r>
          <w:rPr>
            <w:noProof/>
            <w:webHidden/>
          </w:rPr>
          <w:t>227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89" w:history="1">
        <w:r w:rsidRPr="00CC53E5">
          <w:rPr>
            <w:rStyle w:val="Hyperlink"/>
            <w:noProof/>
          </w:rPr>
          <w:t>2.1.506</w:t>
        </w:r>
        <w:r>
          <w:rPr>
            <w:rFonts w:asciiTheme="minorHAnsi" w:eastAsiaTheme="minorEastAsia" w:hAnsiTheme="minorHAnsi" w:cstheme="minorBidi"/>
            <w:noProof/>
            <w:sz w:val="22"/>
            <w:szCs w:val="22"/>
          </w:rPr>
          <w:tab/>
        </w:r>
        <w:r w:rsidRPr="00CC53E5">
          <w:rPr>
            <w:rStyle w:val="Hyperlink"/>
            <w:noProof/>
          </w:rPr>
          <w:t>Part 1 Section 17.16.5.64, TEMPLATE</w:t>
        </w:r>
        <w:r>
          <w:rPr>
            <w:noProof/>
            <w:webHidden/>
          </w:rPr>
          <w:tab/>
        </w:r>
        <w:r>
          <w:rPr>
            <w:noProof/>
            <w:webHidden/>
          </w:rPr>
          <w:fldChar w:fldCharType="begin"/>
        </w:r>
        <w:r>
          <w:rPr>
            <w:noProof/>
            <w:webHidden/>
          </w:rPr>
          <w:instrText xml:space="preserve"> PAGEREF _Toc69878289 \h </w:instrText>
        </w:r>
        <w:r>
          <w:rPr>
            <w:noProof/>
            <w:webHidden/>
          </w:rPr>
        </w:r>
        <w:r>
          <w:rPr>
            <w:noProof/>
            <w:webHidden/>
          </w:rPr>
          <w:fldChar w:fldCharType="separate"/>
        </w:r>
        <w:r>
          <w:rPr>
            <w:noProof/>
            <w:webHidden/>
          </w:rPr>
          <w:t>227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90" w:history="1">
        <w:r w:rsidRPr="00CC53E5">
          <w:rPr>
            <w:rStyle w:val="Hyperlink"/>
            <w:noProof/>
          </w:rPr>
          <w:t>2.1.507</w:t>
        </w:r>
        <w:r>
          <w:rPr>
            <w:rFonts w:asciiTheme="minorHAnsi" w:eastAsiaTheme="minorEastAsia" w:hAnsiTheme="minorHAnsi" w:cstheme="minorBidi"/>
            <w:noProof/>
            <w:sz w:val="22"/>
            <w:szCs w:val="22"/>
          </w:rPr>
          <w:tab/>
        </w:r>
        <w:r w:rsidRPr="00CC53E5">
          <w:rPr>
            <w:rStyle w:val="Hyperlink"/>
            <w:noProof/>
          </w:rPr>
          <w:t>Part 1 Section 17.16.5.66, TITLE</w:t>
        </w:r>
        <w:r>
          <w:rPr>
            <w:noProof/>
            <w:webHidden/>
          </w:rPr>
          <w:tab/>
        </w:r>
        <w:r>
          <w:rPr>
            <w:noProof/>
            <w:webHidden/>
          </w:rPr>
          <w:fldChar w:fldCharType="begin"/>
        </w:r>
        <w:r>
          <w:rPr>
            <w:noProof/>
            <w:webHidden/>
          </w:rPr>
          <w:instrText xml:space="preserve"> PAGEREF _Toc69878290 \h </w:instrText>
        </w:r>
        <w:r>
          <w:rPr>
            <w:noProof/>
            <w:webHidden/>
          </w:rPr>
        </w:r>
        <w:r>
          <w:rPr>
            <w:noProof/>
            <w:webHidden/>
          </w:rPr>
          <w:fldChar w:fldCharType="separate"/>
        </w:r>
        <w:r>
          <w:rPr>
            <w:noProof/>
            <w:webHidden/>
          </w:rPr>
          <w:t>227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91" w:history="1">
        <w:r w:rsidRPr="00CC53E5">
          <w:rPr>
            <w:rStyle w:val="Hyperlink"/>
            <w:noProof/>
          </w:rPr>
          <w:t>2.1.508</w:t>
        </w:r>
        <w:r>
          <w:rPr>
            <w:rFonts w:asciiTheme="minorHAnsi" w:eastAsiaTheme="minorEastAsia" w:hAnsiTheme="minorHAnsi" w:cstheme="minorBidi"/>
            <w:noProof/>
            <w:sz w:val="22"/>
            <w:szCs w:val="22"/>
          </w:rPr>
          <w:tab/>
        </w:r>
        <w:r w:rsidRPr="00CC53E5">
          <w:rPr>
            <w:rStyle w:val="Hyperlink"/>
            <w:noProof/>
          </w:rPr>
          <w:t>Part 1 Section 17.16.5.67, TOA</w:t>
        </w:r>
        <w:r>
          <w:rPr>
            <w:noProof/>
            <w:webHidden/>
          </w:rPr>
          <w:tab/>
        </w:r>
        <w:r>
          <w:rPr>
            <w:noProof/>
            <w:webHidden/>
          </w:rPr>
          <w:fldChar w:fldCharType="begin"/>
        </w:r>
        <w:r>
          <w:rPr>
            <w:noProof/>
            <w:webHidden/>
          </w:rPr>
          <w:instrText xml:space="preserve"> PAGEREF _Toc69878291 \h </w:instrText>
        </w:r>
        <w:r>
          <w:rPr>
            <w:noProof/>
            <w:webHidden/>
          </w:rPr>
        </w:r>
        <w:r>
          <w:rPr>
            <w:noProof/>
            <w:webHidden/>
          </w:rPr>
          <w:fldChar w:fldCharType="separate"/>
        </w:r>
        <w:r>
          <w:rPr>
            <w:noProof/>
            <w:webHidden/>
          </w:rPr>
          <w:t>227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92" w:history="1">
        <w:r w:rsidRPr="00CC53E5">
          <w:rPr>
            <w:rStyle w:val="Hyperlink"/>
            <w:noProof/>
          </w:rPr>
          <w:t>2.1.509</w:t>
        </w:r>
        <w:r>
          <w:rPr>
            <w:rFonts w:asciiTheme="minorHAnsi" w:eastAsiaTheme="minorEastAsia" w:hAnsiTheme="minorHAnsi" w:cstheme="minorBidi"/>
            <w:noProof/>
            <w:sz w:val="22"/>
            <w:szCs w:val="22"/>
          </w:rPr>
          <w:tab/>
        </w:r>
        <w:r w:rsidRPr="00CC53E5">
          <w:rPr>
            <w:rStyle w:val="Hyperlink"/>
            <w:noProof/>
          </w:rPr>
          <w:t>Part 1 Section 17.16.5.68, TOC</w:t>
        </w:r>
        <w:r>
          <w:rPr>
            <w:noProof/>
            <w:webHidden/>
          </w:rPr>
          <w:tab/>
        </w:r>
        <w:r>
          <w:rPr>
            <w:noProof/>
            <w:webHidden/>
          </w:rPr>
          <w:fldChar w:fldCharType="begin"/>
        </w:r>
        <w:r>
          <w:rPr>
            <w:noProof/>
            <w:webHidden/>
          </w:rPr>
          <w:instrText xml:space="preserve"> PAGEREF _Toc69878292 \h </w:instrText>
        </w:r>
        <w:r>
          <w:rPr>
            <w:noProof/>
            <w:webHidden/>
          </w:rPr>
        </w:r>
        <w:r>
          <w:rPr>
            <w:noProof/>
            <w:webHidden/>
          </w:rPr>
          <w:fldChar w:fldCharType="separate"/>
        </w:r>
        <w:r>
          <w:rPr>
            <w:noProof/>
            <w:webHidden/>
          </w:rPr>
          <w:t>227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93" w:history="1">
        <w:r w:rsidRPr="00CC53E5">
          <w:rPr>
            <w:rStyle w:val="Hyperlink"/>
            <w:noProof/>
          </w:rPr>
          <w:t>2.1.510</w:t>
        </w:r>
        <w:r>
          <w:rPr>
            <w:rFonts w:asciiTheme="minorHAnsi" w:eastAsiaTheme="minorEastAsia" w:hAnsiTheme="minorHAnsi" w:cstheme="minorBidi"/>
            <w:noProof/>
            <w:sz w:val="22"/>
            <w:szCs w:val="22"/>
          </w:rPr>
          <w:tab/>
        </w:r>
        <w:r w:rsidRPr="00CC53E5">
          <w:rPr>
            <w:rStyle w:val="Hyperlink"/>
            <w:noProof/>
          </w:rPr>
          <w:t>Part 1 Section 17.16.5.69, USERADDRESS</w:t>
        </w:r>
        <w:r>
          <w:rPr>
            <w:noProof/>
            <w:webHidden/>
          </w:rPr>
          <w:tab/>
        </w:r>
        <w:r>
          <w:rPr>
            <w:noProof/>
            <w:webHidden/>
          </w:rPr>
          <w:fldChar w:fldCharType="begin"/>
        </w:r>
        <w:r>
          <w:rPr>
            <w:noProof/>
            <w:webHidden/>
          </w:rPr>
          <w:instrText xml:space="preserve"> PAGEREF _Toc69878293 \h </w:instrText>
        </w:r>
        <w:r>
          <w:rPr>
            <w:noProof/>
            <w:webHidden/>
          </w:rPr>
        </w:r>
        <w:r>
          <w:rPr>
            <w:noProof/>
            <w:webHidden/>
          </w:rPr>
          <w:fldChar w:fldCharType="separate"/>
        </w:r>
        <w:r>
          <w:rPr>
            <w:noProof/>
            <w:webHidden/>
          </w:rPr>
          <w:t>227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94" w:history="1">
        <w:r w:rsidRPr="00CC53E5">
          <w:rPr>
            <w:rStyle w:val="Hyperlink"/>
            <w:noProof/>
          </w:rPr>
          <w:t>2.1.511</w:t>
        </w:r>
        <w:r>
          <w:rPr>
            <w:rFonts w:asciiTheme="minorHAnsi" w:eastAsiaTheme="minorEastAsia" w:hAnsiTheme="minorHAnsi" w:cstheme="minorBidi"/>
            <w:noProof/>
            <w:sz w:val="22"/>
            <w:szCs w:val="22"/>
          </w:rPr>
          <w:tab/>
        </w:r>
        <w:r w:rsidRPr="00CC53E5">
          <w:rPr>
            <w:rStyle w:val="Hyperlink"/>
            <w:noProof/>
          </w:rPr>
          <w:t>Part 1 Section 17.16.5.70, USERINITIALS</w:t>
        </w:r>
        <w:r>
          <w:rPr>
            <w:noProof/>
            <w:webHidden/>
          </w:rPr>
          <w:tab/>
        </w:r>
        <w:r>
          <w:rPr>
            <w:noProof/>
            <w:webHidden/>
          </w:rPr>
          <w:fldChar w:fldCharType="begin"/>
        </w:r>
        <w:r>
          <w:rPr>
            <w:noProof/>
            <w:webHidden/>
          </w:rPr>
          <w:instrText xml:space="preserve"> PAGEREF _Toc69878294 \h </w:instrText>
        </w:r>
        <w:r>
          <w:rPr>
            <w:noProof/>
            <w:webHidden/>
          </w:rPr>
        </w:r>
        <w:r>
          <w:rPr>
            <w:noProof/>
            <w:webHidden/>
          </w:rPr>
          <w:fldChar w:fldCharType="separate"/>
        </w:r>
        <w:r>
          <w:rPr>
            <w:noProof/>
            <w:webHidden/>
          </w:rPr>
          <w:t>228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95" w:history="1">
        <w:r w:rsidRPr="00CC53E5">
          <w:rPr>
            <w:rStyle w:val="Hyperlink"/>
            <w:noProof/>
          </w:rPr>
          <w:t>2.1.512</w:t>
        </w:r>
        <w:r>
          <w:rPr>
            <w:rFonts w:asciiTheme="minorHAnsi" w:eastAsiaTheme="minorEastAsia" w:hAnsiTheme="minorHAnsi" w:cstheme="minorBidi"/>
            <w:noProof/>
            <w:sz w:val="22"/>
            <w:szCs w:val="22"/>
          </w:rPr>
          <w:tab/>
        </w:r>
        <w:r w:rsidRPr="00CC53E5">
          <w:rPr>
            <w:rStyle w:val="Hyperlink"/>
            <w:noProof/>
          </w:rPr>
          <w:t>Part 1 Section 17.16.5.71, USERNAME</w:t>
        </w:r>
        <w:r>
          <w:rPr>
            <w:noProof/>
            <w:webHidden/>
          </w:rPr>
          <w:tab/>
        </w:r>
        <w:r>
          <w:rPr>
            <w:noProof/>
            <w:webHidden/>
          </w:rPr>
          <w:fldChar w:fldCharType="begin"/>
        </w:r>
        <w:r>
          <w:rPr>
            <w:noProof/>
            <w:webHidden/>
          </w:rPr>
          <w:instrText xml:space="preserve"> PAGEREF _Toc69878295 \h </w:instrText>
        </w:r>
        <w:r>
          <w:rPr>
            <w:noProof/>
            <w:webHidden/>
          </w:rPr>
        </w:r>
        <w:r>
          <w:rPr>
            <w:noProof/>
            <w:webHidden/>
          </w:rPr>
          <w:fldChar w:fldCharType="separate"/>
        </w:r>
        <w:r>
          <w:rPr>
            <w:noProof/>
            <w:webHidden/>
          </w:rPr>
          <w:t>228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96" w:history="1">
        <w:r w:rsidRPr="00CC53E5">
          <w:rPr>
            <w:rStyle w:val="Hyperlink"/>
            <w:noProof/>
          </w:rPr>
          <w:t>2.1.513</w:t>
        </w:r>
        <w:r>
          <w:rPr>
            <w:rFonts w:asciiTheme="minorHAnsi" w:eastAsiaTheme="minorEastAsia" w:hAnsiTheme="minorHAnsi" w:cstheme="minorBidi"/>
            <w:noProof/>
            <w:sz w:val="22"/>
            <w:szCs w:val="22"/>
          </w:rPr>
          <w:tab/>
        </w:r>
        <w:r w:rsidRPr="00CC53E5">
          <w:rPr>
            <w:rStyle w:val="Hyperlink"/>
            <w:noProof/>
          </w:rPr>
          <w:t>Part 1 Section 17.16.5.72, XE</w:t>
        </w:r>
        <w:r>
          <w:rPr>
            <w:noProof/>
            <w:webHidden/>
          </w:rPr>
          <w:tab/>
        </w:r>
        <w:r>
          <w:rPr>
            <w:noProof/>
            <w:webHidden/>
          </w:rPr>
          <w:fldChar w:fldCharType="begin"/>
        </w:r>
        <w:r>
          <w:rPr>
            <w:noProof/>
            <w:webHidden/>
          </w:rPr>
          <w:instrText xml:space="preserve"> PAGEREF _Toc69878296 \h </w:instrText>
        </w:r>
        <w:r>
          <w:rPr>
            <w:noProof/>
            <w:webHidden/>
          </w:rPr>
        </w:r>
        <w:r>
          <w:rPr>
            <w:noProof/>
            <w:webHidden/>
          </w:rPr>
          <w:fldChar w:fldCharType="separate"/>
        </w:r>
        <w:r>
          <w:rPr>
            <w:noProof/>
            <w:webHidden/>
          </w:rPr>
          <w:t>228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97" w:history="1">
        <w:r w:rsidRPr="00CC53E5">
          <w:rPr>
            <w:rStyle w:val="Hyperlink"/>
            <w:noProof/>
          </w:rPr>
          <w:t>2.1.514</w:t>
        </w:r>
        <w:r>
          <w:rPr>
            <w:rFonts w:asciiTheme="minorHAnsi" w:eastAsiaTheme="minorEastAsia" w:hAnsiTheme="minorHAnsi" w:cstheme="minorBidi"/>
            <w:noProof/>
            <w:sz w:val="22"/>
            <w:szCs w:val="22"/>
          </w:rPr>
          <w:tab/>
        </w:r>
        <w:r w:rsidRPr="00CC53E5">
          <w:rPr>
            <w:rStyle w:val="Hyperlink"/>
            <w:noProof/>
          </w:rPr>
          <w:t>Part 1 Section 17.16.9, ddList (Drop-Down List Form Field Properties)</w:t>
        </w:r>
        <w:r>
          <w:rPr>
            <w:noProof/>
            <w:webHidden/>
          </w:rPr>
          <w:tab/>
        </w:r>
        <w:r>
          <w:rPr>
            <w:noProof/>
            <w:webHidden/>
          </w:rPr>
          <w:fldChar w:fldCharType="begin"/>
        </w:r>
        <w:r>
          <w:rPr>
            <w:noProof/>
            <w:webHidden/>
          </w:rPr>
          <w:instrText xml:space="preserve"> PAGEREF _Toc69878297 \h </w:instrText>
        </w:r>
        <w:r>
          <w:rPr>
            <w:noProof/>
            <w:webHidden/>
          </w:rPr>
        </w:r>
        <w:r>
          <w:rPr>
            <w:noProof/>
            <w:webHidden/>
          </w:rPr>
          <w:fldChar w:fldCharType="separate"/>
        </w:r>
        <w:r>
          <w:rPr>
            <w:noProof/>
            <w:webHidden/>
          </w:rPr>
          <w:t>228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98" w:history="1">
        <w:r w:rsidRPr="00CC53E5">
          <w:rPr>
            <w:rStyle w:val="Hyperlink"/>
            <w:noProof/>
          </w:rPr>
          <w:t>2.1.515</w:t>
        </w:r>
        <w:r>
          <w:rPr>
            <w:rFonts w:asciiTheme="minorHAnsi" w:eastAsiaTheme="minorEastAsia" w:hAnsiTheme="minorHAnsi" w:cstheme="minorBidi"/>
            <w:noProof/>
            <w:sz w:val="22"/>
            <w:szCs w:val="22"/>
          </w:rPr>
          <w:tab/>
        </w:r>
        <w:r w:rsidRPr="00CC53E5">
          <w:rPr>
            <w:rStyle w:val="Hyperlink"/>
            <w:noProof/>
          </w:rPr>
          <w:t>Part 1 Section 17.16.10, default (Default Text Box Form Field String)</w:t>
        </w:r>
        <w:r>
          <w:rPr>
            <w:noProof/>
            <w:webHidden/>
          </w:rPr>
          <w:tab/>
        </w:r>
        <w:r>
          <w:rPr>
            <w:noProof/>
            <w:webHidden/>
          </w:rPr>
          <w:fldChar w:fldCharType="begin"/>
        </w:r>
        <w:r>
          <w:rPr>
            <w:noProof/>
            <w:webHidden/>
          </w:rPr>
          <w:instrText xml:space="preserve"> PAGEREF _Toc69878298 \h </w:instrText>
        </w:r>
        <w:r>
          <w:rPr>
            <w:noProof/>
            <w:webHidden/>
          </w:rPr>
        </w:r>
        <w:r>
          <w:rPr>
            <w:noProof/>
            <w:webHidden/>
          </w:rPr>
          <w:fldChar w:fldCharType="separate"/>
        </w:r>
        <w:r>
          <w:rPr>
            <w:noProof/>
            <w:webHidden/>
          </w:rPr>
          <w:t>228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299" w:history="1">
        <w:r w:rsidRPr="00CC53E5">
          <w:rPr>
            <w:rStyle w:val="Hyperlink"/>
            <w:noProof/>
          </w:rPr>
          <w:t>2.1.516</w:t>
        </w:r>
        <w:r>
          <w:rPr>
            <w:rFonts w:asciiTheme="minorHAnsi" w:eastAsiaTheme="minorEastAsia" w:hAnsiTheme="minorHAnsi" w:cstheme="minorBidi"/>
            <w:noProof/>
            <w:sz w:val="22"/>
            <w:szCs w:val="22"/>
          </w:rPr>
          <w:tab/>
        </w:r>
        <w:r w:rsidRPr="00CC53E5">
          <w:rPr>
            <w:rStyle w:val="Hyperlink"/>
            <w:noProof/>
          </w:rPr>
          <w:t>Part 1 Section 17.16.11, default (Default Drop-Down List Item Index)</w:t>
        </w:r>
        <w:r>
          <w:rPr>
            <w:noProof/>
            <w:webHidden/>
          </w:rPr>
          <w:tab/>
        </w:r>
        <w:r>
          <w:rPr>
            <w:noProof/>
            <w:webHidden/>
          </w:rPr>
          <w:fldChar w:fldCharType="begin"/>
        </w:r>
        <w:r>
          <w:rPr>
            <w:noProof/>
            <w:webHidden/>
          </w:rPr>
          <w:instrText xml:space="preserve"> PAGEREF _Toc69878299 \h </w:instrText>
        </w:r>
        <w:r>
          <w:rPr>
            <w:noProof/>
            <w:webHidden/>
          </w:rPr>
        </w:r>
        <w:r>
          <w:rPr>
            <w:noProof/>
            <w:webHidden/>
          </w:rPr>
          <w:fldChar w:fldCharType="separate"/>
        </w:r>
        <w:r>
          <w:rPr>
            <w:noProof/>
            <w:webHidden/>
          </w:rPr>
          <w:t>228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00" w:history="1">
        <w:r w:rsidRPr="00CC53E5">
          <w:rPr>
            <w:rStyle w:val="Hyperlink"/>
            <w:noProof/>
          </w:rPr>
          <w:t>2.1.517</w:t>
        </w:r>
        <w:r>
          <w:rPr>
            <w:rFonts w:asciiTheme="minorHAnsi" w:eastAsiaTheme="minorEastAsia" w:hAnsiTheme="minorHAnsi" w:cstheme="minorBidi"/>
            <w:noProof/>
            <w:sz w:val="22"/>
            <w:szCs w:val="22"/>
          </w:rPr>
          <w:tab/>
        </w:r>
        <w:r w:rsidRPr="00CC53E5">
          <w:rPr>
            <w:rStyle w:val="Hyperlink"/>
            <w:noProof/>
          </w:rPr>
          <w:t>Part 1 Section 17.16.12, default (Default Checkbox Form Field State)</w:t>
        </w:r>
        <w:r>
          <w:rPr>
            <w:noProof/>
            <w:webHidden/>
          </w:rPr>
          <w:tab/>
        </w:r>
        <w:r>
          <w:rPr>
            <w:noProof/>
            <w:webHidden/>
          </w:rPr>
          <w:fldChar w:fldCharType="begin"/>
        </w:r>
        <w:r>
          <w:rPr>
            <w:noProof/>
            <w:webHidden/>
          </w:rPr>
          <w:instrText xml:space="preserve"> PAGEREF _Toc69878300 \h </w:instrText>
        </w:r>
        <w:r>
          <w:rPr>
            <w:noProof/>
            <w:webHidden/>
          </w:rPr>
        </w:r>
        <w:r>
          <w:rPr>
            <w:noProof/>
            <w:webHidden/>
          </w:rPr>
          <w:fldChar w:fldCharType="separate"/>
        </w:r>
        <w:r>
          <w:rPr>
            <w:noProof/>
            <w:webHidden/>
          </w:rPr>
          <w:t>228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01" w:history="1">
        <w:r w:rsidRPr="00CC53E5">
          <w:rPr>
            <w:rStyle w:val="Hyperlink"/>
            <w:noProof/>
          </w:rPr>
          <w:t>2.1.518</w:t>
        </w:r>
        <w:r>
          <w:rPr>
            <w:rFonts w:asciiTheme="minorHAnsi" w:eastAsiaTheme="minorEastAsia" w:hAnsiTheme="minorHAnsi" w:cstheme="minorBidi"/>
            <w:noProof/>
            <w:sz w:val="22"/>
            <w:szCs w:val="22"/>
          </w:rPr>
          <w:tab/>
        </w:r>
        <w:r w:rsidRPr="00CC53E5">
          <w:rPr>
            <w:rStyle w:val="Hyperlink"/>
            <w:noProof/>
          </w:rPr>
          <w:t>Part 1 Section 17.16.17, ffData (Form Field Properties)</w:t>
        </w:r>
        <w:r>
          <w:rPr>
            <w:noProof/>
            <w:webHidden/>
          </w:rPr>
          <w:tab/>
        </w:r>
        <w:r>
          <w:rPr>
            <w:noProof/>
            <w:webHidden/>
          </w:rPr>
          <w:fldChar w:fldCharType="begin"/>
        </w:r>
        <w:r>
          <w:rPr>
            <w:noProof/>
            <w:webHidden/>
          </w:rPr>
          <w:instrText xml:space="preserve"> PAGEREF _Toc69878301 \h </w:instrText>
        </w:r>
        <w:r>
          <w:rPr>
            <w:noProof/>
            <w:webHidden/>
          </w:rPr>
        </w:r>
        <w:r>
          <w:rPr>
            <w:noProof/>
            <w:webHidden/>
          </w:rPr>
          <w:fldChar w:fldCharType="separate"/>
        </w:r>
        <w:r>
          <w:rPr>
            <w:noProof/>
            <w:webHidden/>
          </w:rPr>
          <w:t>228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02" w:history="1">
        <w:r w:rsidRPr="00CC53E5">
          <w:rPr>
            <w:rStyle w:val="Hyperlink"/>
            <w:noProof/>
          </w:rPr>
          <w:t>2.1.519</w:t>
        </w:r>
        <w:r>
          <w:rPr>
            <w:rFonts w:asciiTheme="minorHAnsi" w:eastAsiaTheme="minorEastAsia" w:hAnsiTheme="minorHAnsi" w:cstheme="minorBidi"/>
            <w:noProof/>
            <w:sz w:val="22"/>
            <w:szCs w:val="22"/>
          </w:rPr>
          <w:tab/>
        </w:r>
        <w:r w:rsidRPr="00CC53E5">
          <w:rPr>
            <w:rStyle w:val="Hyperlink"/>
            <w:noProof/>
          </w:rPr>
          <w:t>Part 1 Section 17.16.19, fldSimple (Simple Field)</w:t>
        </w:r>
        <w:r>
          <w:rPr>
            <w:noProof/>
            <w:webHidden/>
          </w:rPr>
          <w:tab/>
        </w:r>
        <w:r>
          <w:rPr>
            <w:noProof/>
            <w:webHidden/>
          </w:rPr>
          <w:fldChar w:fldCharType="begin"/>
        </w:r>
        <w:r>
          <w:rPr>
            <w:noProof/>
            <w:webHidden/>
          </w:rPr>
          <w:instrText xml:space="preserve"> PAGEREF _Toc69878302 \h </w:instrText>
        </w:r>
        <w:r>
          <w:rPr>
            <w:noProof/>
            <w:webHidden/>
          </w:rPr>
        </w:r>
        <w:r>
          <w:rPr>
            <w:noProof/>
            <w:webHidden/>
          </w:rPr>
          <w:fldChar w:fldCharType="separate"/>
        </w:r>
        <w:r>
          <w:rPr>
            <w:noProof/>
            <w:webHidden/>
          </w:rPr>
          <w:t>229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03" w:history="1">
        <w:r w:rsidRPr="00CC53E5">
          <w:rPr>
            <w:rStyle w:val="Hyperlink"/>
            <w:noProof/>
          </w:rPr>
          <w:t>2.1.520</w:t>
        </w:r>
        <w:r>
          <w:rPr>
            <w:rFonts w:asciiTheme="minorHAnsi" w:eastAsiaTheme="minorEastAsia" w:hAnsiTheme="minorHAnsi" w:cstheme="minorBidi"/>
            <w:noProof/>
            <w:sz w:val="22"/>
            <w:szCs w:val="22"/>
          </w:rPr>
          <w:tab/>
        </w:r>
        <w:r w:rsidRPr="00CC53E5">
          <w:rPr>
            <w:rStyle w:val="Hyperlink"/>
            <w:noProof/>
          </w:rPr>
          <w:t>Part 1 Section 17.16.20, format (Text Box Form Field Formatting)</w:t>
        </w:r>
        <w:r>
          <w:rPr>
            <w:noProof/>
            <w:webHidden/>
          </w:rPr>
          <w:tab/>
        </w:r>
        <w:r>
          <w:rPr>
            <w:noProof/>
            <w:webHidden/>
          </w:rPr>
          <w:fldChar w:fldCharType="begin"/>
        </w:r>
        <w:r>
          <w:rPr>
            <w:noProof/>
            <w:webHidden/>
          </w:rPr>
          <w:instrText xml:space="preserve"> PAGEREF _Toc69878303 \h </w:instrText>
        </w:r>
        <w:r>
          <w:rPr>
            <w:noProof/>
            <w:webHidden/>
          </w:rPr>
        </w:r>
        <w:r>
          <w:rPr>
            <w:noProof/>
            <w:webHidden/>
          </w:rPr>
          <w:fldChar w:fldCharType="separate"/>
        </w:r>
        <w:r>
          <w:rPr>
            <w:noProof/>
            <w:webHidden/>
          </w:rPr>
          <w:t>229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04" w:history="1">
        <w:r w:rsidRPr="00CC53E5">
          <w:rPr>
            <w:rStyle w:val="Hyperlink"/>
            <w:noProof/>
          </w:rPr>
          <w:t>2.1.521</w:t>
        </w:r>
        <w:r>
          <w:rPr>
            <w:rFonts w:asciiTheme="minorHAnsi" w:eastAsiaTheme="minorEastAsia" w:hAnsiTheme="minorHAnsi" w:cstheme="minorBidi"/>
            <w:noProof/>
            <w:sz w:val="22"/>
            <w:szCs w:val="22"/>
          </w:rPr>
          <w:tab/>
        </w:r>
        <w:r w:rsidRPr="00CC53E5">
          <w:rPr>
            <w:rStyle w:val="Hyperlink"/>
            <w:noProof/>
          </w:rPr>
          <w:t>Part 1 Section 17.16.22, hyperlink (Hyperlink)</w:t>
        </w:r>
        <w:r>
          <w:rPr>
            <w:noProof/>
            <w:webHidden/>
          </w:rPr>
          <w:tab/>
        </w:r>
        <w:r>
          <w:rPr>
            <w:noProof/>
            <w:webHidden/>
          </w:rPr>
          <w:fldChar w:fldCharType="begin"/>
        </w:r>
        <w:r>
          <w:rPr>
            <w:noProof/>
            <w:webHidden/>
          </w:rPr>
          <w:instrText xml:space="preserve"> PAGEREF _Toc69878304 \h </w:instrText>
        </w:r>
        <w:r>
          <w:rPr>
            <w:noProof/>
            <w:webHidden/>
          </w:rPr>
        </w:r>
        <w:r>
          <w:rPr>
            <w:noProof/>
            <w:webHidden/>
          </w:rPr>
          <w:fldChar w:fldCharType="separate"/>
        </w:r>
        <w:r>
          <w:rPr>
            <w:noProof/>
            <w:webHidden/>
          </w:rPr>
          <w:t>229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05" w:history="1">
        <w:r w:rsidRPr="00CC53E5">
          <w:rPr>
            <w:rStyle w:val="Hyperlink"/>
            <w:noProof/>
          </w:rPr>
          <w:t>2.1.522</w:t>
        </w:r>
        <w:r>
          <w:rPr>
            <w:rFonts w:asciiTheme="minorHAnsi" w:eastAsiaTheme="minorEastAsia" w:hAnsiTheme="minorHAnsi" w:cstheme="minorBidi"/>
            <w:noProof/>
            <w:sz w:val="22"/>
            <w:szCs w:val="22"/>
          </w:rPr>
          <w:tab/>
        </w:r>
        <w:r w:rsidRPr="00CC53E5">
          <w:rPr>
            <w:rStyle w:val="Hyperlink"/>
            <w:noProof/>
          </w:rPr>
          <w:t>Part 1 Section 17.16.24, label (Form Field Label)</w:t>
        </w:r>
        <w:r>
          <w:rPr>
            <w:noProof/>
            <w:webHidden/>
          </w:rPr>
          <w:tab/>
        </w:r>
        <w:r>
          <w:rPr>
            <w:noProof/>
            <w:webHidden/>
          </w:rPr>
          <w:fldChar w:fldCharType="begin"/>
        </w:r>
        <w:r>
          <w:rPr>
            <w:noProof/>
            <w:webHidden/>
          </w:rPr>
          <w:instrText xml:space="preserve"> PAGEREF _Toc69878305 \h </w:instrText>
        </w:r>
        <w:r>
          <w:rPr>
            <w:noProof/>
            <w:webHidden/>
          </w:rPr>
        </w:r>
        <w:r>
          <w:rPr>
            <w:noProof/>
            <w:webHidden/>
          </w:rPr>
          <w:fldChar w:fldCharType="separate"/>
        </w:r>
        <w:r>
          <w:rPr>
            <w:noProof/>
            <w:webHidden/>
          </w:rPr>
          <w:t>229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06" w:history="1">
        <w:r w:rsidRPr="00CC53E5">
          <w:rPr>
            <w:rStyle w:val="Hyperlink"/>
            <w:noProof/>
          </w:rPr>
          <w:t>2.1.523</w:t>
        </w:r>
        <w:r>
          <w:rPr>
            <w:rFonts w:asciiTheme="minorHAnsi" w:eastAsiaTheme="minorEastAsia" w:hAnsiTheme="minorHAnsi" w:cstheme="minorBidi"/>
            <w:noProof/>
            <w:sz w:val="22"/>
            <w:szCs w:val="22"/>
          </w:rPr>
          <w:tab/>
        </w:r>
        <w:r w:rsidRPr="00CC53E5">
          <w:rPr>
            <w:rStyle w:val="Hyperlink"/>
            <w:noProof/>
          </w:rPr>
          <w:t>Part 1 Section 17.16.25, listEntry (Drop-Down List Entry)</w:t>
        </w:r>
        <w:r>
          <w:rPr>
            <w:noProof/>
            <w:webHidden/>
          </w:rPr>
          <w:tab/>
        </w:r>
        <w:r>
          <w:rPr>
            <w:noProof/>
            <w:webHidden/>
          </w:rPr>
          <w:fldChar w:fldCharType="begin"/>
        </w:r>
        <w:r>
          <w:rPr>
            <w:noProof/>
            <w:webHidden/>
          </w:rPr>
          <w:instrText xml:space="preserve"> PAGEREF _Toc69878306 \h </w:instrText>
        </w:r>
        <w:r>
          <w:rPr>
            <w:noProof/>
            <w:webHidden/>
          </w:rPr>
        </w:r>
        <w:r>
          <w:rPr>
            <w:noProof/>
            <w:webHidden/>
          </w:rPr>
          <w:fldChar w:fldCharType="separate"/>
        </w:r>
        <w:r>
          <w:rPr>
            <w:noProof/>
            <w:webHidden/>
          </w:rPr>
          <w:t>229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07" w:history="1">
        <w:r w:rsidRPr="00CC53E5">
          <w:rPr>
            <w:rStyle w:val="Hyperlink"/>
            <w:noProof/>
          </w:rPr>
          <w:t>2.1.524</w:t>
        </w:r>
        <w:r>
          <w:rPr>
            <w:rFonts w:asciiTheme="minorHAnsi" w:eastAsiaTheme="minorEastAsia" w:hAnsiTheme="minorHAnsi" w:cstheme="minorBidi"/>
            <w:noProof/>
            <w:sz w:val="22"/>
            <w:szCs w:val="22"/>
          </w:rPr>
          <w:tab/>
        </w:r>
        <w:r w:rsidRPr="00CC53E5">
          <w:rPr>
            <w:rStyle w:val="Hyperlink"/>
            <w:noProof/>
          </w:rPr>
          <w:t>Part 1 Section 17.16.26, maxLength (Text Box Form Field Maximum Length)</w:t>
        </w:r>
        <w:r>
          <w:rPr>
            <w:noProof/>
            <w:webHidden/>
          </w:rPr>
          <w:tab/>
        </w:r>
        <w:r>
          <w:rPr>
            <w:noProof/>
            <w:webHidden/>
          </w:rPr>
          <w:fldChar w:fldCharType="begin"/>
        </w:r>
        <w:r>
          <w:rPr>
            <w:noProof/>
            <w:webHidden/>
          </w:rPr>
          <w:instrText xml:space="preserve"> PAGEREF _Toc69878307 \h </w:instrText>
        </w:r>
        <w:r>
          <w:rPr>
            <w:noProof/>
            <w:webHidden/>
          </w:rPr>
        </w:r>
        <w:r>
          <w:rPr>
            <w:noProof/>
            <w:webHidden/>
          </w:rPr>
          <w:fldChar w:fldCharType="separate"/>
        </w:r>
        <w:r>
          <w:rPr>
            <w:noProof/>
            <w:webHidden/>
          </w:rPr>
          <w:t>229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08" w:history="1">
        <w:r w:rsidRPr="00CC53E5">
          <w:rPr>
            <w:rStyle w:val="Hyperlink"/>
            <w:noProof/>
          </w:rPr>
          <w:t>2.1.525</w:t>
        </w:r>
        <w:r>
          <w:rPr>
            <w:rFonts w:asciiTheme="minorHAnsi" w:eastAsiaTheme="minorEastAsia" w:hAnsiTheme="minorHAnsi" w:cstheme="minorBidi"/>
            <w:noProof/>
            <w:sz w:val="22"/>
            <w:szCs w:val="22"/>
          </w:rPr>
          <w:tab/>
        </w:r>
        <w:r w:rsidRPr="00CC53E5">
          <w:rPr>
            <w:rStyle w:val="Hyperlink"/>
            <w:noProof/>
          </w:rPr>
          <w:t>Part 1 Section 17.16.32, tabIndex (Form Field Navigation Order Index)</w:t>
        </w:r>
        <w:r>
          <w:rPr>
            <w:noProof/>
            <w:webHidden/>
          </w:rPr>
          <w:tab/>
        </w:r>
        <w:r>
          <w:rPr>
            <w:noProof/>
            <w:webHidden/>
          </w:rPr>
          <w:fldChar w:fldCharType="begin"/>
        </w:r>
        <w:r>
          <w:rPr>
            <w:noProof/>
            <w:webHidden/>
          </w:rPr>
          <w:instrText xml:space="preserve"> PAGEREF _Toc69878308 \h </w:instrText>
        </w:r>
        <w:r>
          <w:rPr>
            <w:noProof/>
            <w:webHidden/>
          </w:rPr>
        </w:r>
        <w:r>
          <w:rPr>
            <w:noProof/>
            <w:webHidden/>
          </w:rPr>
          <w:fldChar w:fldCharType="separate"/>
        </w:r>
        <w:r>
          <w:rPr>
            <w:noProof/>
            <w:webHidden/>
          </w:rPr>
          <w:t>230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09" w:history="1">
        <w:r w:rsidRPr="00CC53E5">
          <w:rPr>
            <w:rStyle w:val="Hyperlink"/>
            <w:noProof/>
          </w:rPr>
          <w:t>2.1.526</w:t>
        </w:r>
        <w:r>
          <w:rPr>
            <w:rFonts w:asciiTheme="minorHAnsi" w:eastAsiaTheme="minorEastAsia" w:hAnsiTheme="minorHAnsi" w:cstheme="minorBidi"/>
            <w:noProof/>
            <w:sz w:val="22"/>
            <w:szCs w:val="22"/>
          </w:rPr>
          <w:tab/>
        </w:r>
        <w:r w:rsidRPr="00CC53E5">
          <w:rPr>
            <w:rStyle w:val="Hyperlink"/>
            <w:noProof/>
          </w:rPr>
          <w:t>Part 1 Section 17.17.1.1, subDoc (Anchor for Subdocument Location)</w:t>
        </w:r>
        <w:r>
          <w:rPr>
            <w:noProof/>
            <w:webHidden/>
          </w:rPr>
          <w:tab/>
        </w:r>
        <w:r>
          <w:rPr>
            <w:noProof/>
            <w:webHidden/>
          </w:rPr>
          <w:fldChar w:fldCharType="begin"/>
        </w:r>
        <w:r>
          <w:rPr>
            <w:noProof/>
            <w:webHidden/>
          </w:rPr>
          <w:instrText xml:space="preserve"> PAGEREF _Toc69878309 \h </w:instrText>
        </w:r>
        <w:r>
          <w:rPr>
            <w:noProof/>
            <w:webHidden/>
          </w:rPr>
        </w:r>
        <w:r>
          <w:rPr>
            <w:noProof/>
            <w:webHidden/>
          </w:rPr>
          <w:fldChar w:fldCharType="separate"/>
        </w:r>
        <w:r>
          <w:rPr>
            <w:noProof/>
            <w:webHidden/>
          </w:rPr>
          <w:t>230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10" w:history="1">
        <w:r w:rsidRPr="00CC53E5">
          <w:rPr>
            <w:rStyle w:val="Hyperlink"/>
            <w:noProof/>
          </w:rPr>
          <w:t>2.1.527</w:t>
        </w:r>
        <w:r>
          <w:rPr>
            <w:rFonts w:asciiTheme="minorHAnsi" w:eastAsiaTheme="minorEastAsia" w:hAnsiTheme="minorHAnsi" w:cstheme="minorBidi"/>
            <w:noProof/>
            <w:sz w:val="22"/>
            <w:szCs w:val="22"/>
          </w:rPr>
          <w:tab/>
        </w:r>
        <w:r w:rsidRPr="00CC53E5">
          <w:rPr>
            <w:rStyle w:val="Hyperlink"/>
            <w:noProof/>
          </w:rPr>
          <w:t>Part 1 Section 17.17.2.1, altChunk (Anchor for Imported External Content)</w:t>
        </w:r>
        <w:r>
          <w:rPr>
            <w:noProof/>
            <w:webHidden/>
          </w:rPr>
          <w:tab/>
        </w:r>
        <w:r>
          <w:rPr>
            <w:noProof/>
            <w:webHidden/>
          </w:rPr>
          <w:fldChar w:fldCharType="begin"/>
        </w:r>
        <w:r>
          <w:rPr>
            <w:noProof/>
            <w:webHidden/>
          </w:rPr>
          <w:instrText xml:space="preserve"> PAGEREF _Toc69878310 \h </w:instrText>
        </w:r>
        <w:r>
          <w:rPr>
            <w:noProof/>
            <w:webHidden/>
          </w:rPr>
        </w:r>
        <w:r>
          <w:rPr>
            <w:noProof/>
            <w:webHidden/>
          </w:rPr>
          <w:fldChar w:fldCharType="separate"/>
        </w:r>
        <w:r>
          <w:rPr>
            <w:noProof/>
            <w:webHidden/>
          </w:rPr>
          <w:t>230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11" w:history="1">
        <w:r w:rsidRPr="00CC53E5">
          <w:rPr>
            <w:rStyle w:val="Hyperlink"/>
            <w:noProof/>
          </w:rPr>
          <w:t>2.1.528</w:t>
        </w:r>
        <w:r>
          <w:rPr>
            <w:rFonts w:asciiTheme="minorHAnsi" w:eastAsiaTheme="minorEastAsia" w:hAnsiTheme="minorHAnsi" w:cstheme="minorBidi"/>
            <w:noProof/>
            <w:sz w:val="22"/>
            <w:szCs w:val="22"/>
          </w:rPr>
          <w:tab/>
        </w:r>
        <w:r w:rsidRPr="00CC53E5">
          <w:rPr>
            <w:rStyle w:val="Hyperlink"/>
            <w:noProof/>
          </w:rPr>
          <w:t>Part 1 Section 17.18.2, ST_Border (Border Styles)</w:t>
        </w:r>
        <w:r>
          <w:rPr>
            <w:noProof/>
            <w:webHidden/>
          </w:rPr>
          <w:tab/>
        </w:r>
        <w:r>
          <w:rPr>
            <w:noProof/>
            <w:webHidden/>
          </w:rPr>
          <w:fldChar w:fldCharType="begin"/>
        </w:r>
        <w:r>
          <w:rPr>
            <w:noProof/>
            <w:webHidden/>
          </w:rPr>
          <w:instrText xml:space="preserve"> PAGEREF _Toc69878311 \h </w:instrText>
        </w:r>
        <w:r>
          <w:rPr>
            <w:noProof/>
            <w:webHidden/>
          </w:rPr>
        </w:r>
        <w:r>
          <w:rPr>
            <w:noProof/>
            <w:webHidden/>
          </w:rPr>
          <w:fldChar w:fldCharType="separate"/>
        </w:r>
        <w:r>
          <w:rPr>
            <w:noProof/>
            <w:webHidden/>
          </w:rPr>
          <w:t>230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12" w:history="1">
        <w:r w:rsidRPr="00CC53E5">
          <w:rPr>
            <w:rStyle w:val="Hyperlink"/>
            <w:noProof/>
          </w:rPr>
          <w:t>2.1.529</w:t>
        </w:r>
        <w:r>
          <w:rPr>
            <w:rFonts w:asciiTheme="minorHAnsi" w:eastAsiaTheme="minorEastAsia" w:hAnsiTheme="minorHAnsi" w:cstheme="minorBidi"/>
            <w:noProof/>
            <w:sz w:val="22"/>
            <w:szCs w:val="22"/>
          </w:rPr>
          <w:tab/>
        </w:r>
        <w:r w:rsidRPr="00CC53E5">
          <w:rPr>
            <w:rStyle w:val="Hyperlink"/>
            <w:noProof/>
          </w:rPr>
          <w:t>Part 1 Section 17.18.3, ST_BrClear (Line Break Text Wrapping Restart Location)</w:t>
        </w:r>
        <w:r>
          <w:rPr>
            <w:noProof/>
            <w:webHidden/>
          </w:rPr>
          <w:tab/>
        </w:r>
        <w:r>
          <w:rPr>
            <w:noProof/>
            <w:webHidden/>
          </w:rPr>
          <w:fldChar w:fldCharType="begin"/>
        </w:r>
        <w:r>
          <w:rPr>
            <w:noProof/>
            <w:webHidden/>
          </w:rPr>
          <w:instrText xml:space="preserve"> PAGEREF _Toc69878312 \h </w:instrText>
        </w:r>
        <w:r>
          <w:rPr>
            <w:noProof/>
            <w:webHidden/>
          </w:rPr>
        </w:r>
        <w:r>
          <w:rPr>
            <w:noProof/>
            <w:webHidden/>
          </w:rPr>
          <w:fldChar w:fldCharType="separate"/>
        </w:r>
        <w:r>
          <w:rPr>
            <w:noProof/>
            <w:webHidden/>
          </w:rPr>
          <w:t>231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13" w:history="1">
        <w:r w:rsidRPr="00CC53E5">
          <w:rPr>
            <w:rStyle w:val="Hyperlink"/>
            <w:noProof/>
          </w:rPr>
          <w:t>2.1.530</w:t>
        </w:r>
        <w:r>
          <w:rPr>
            <w:rFonts w:asciiTheme="minorHAnsi" w:eastAsiaTheme="minorEastAsia" w:hAnsiTheme="minorHAnsi" w:cstheme="minorBidi"/>
            <w:noProof/>
            <w:sz w:val="22"/>
            <w:szCs w:val="22"/>
          </w:rPr>
          <w:tab/>
        </w:r>
        <w:r w:rsidRPr="00CC53E5">
          <w:rPr>
            <w:rStyle w:val="Hyperlink"/>
            <w:noProof/>
          </w:rPr>
          <w:t>Part 1 Section 17.18.5, ST_CaptionPos (Automatic Caption Positioning Values)</w:t>
        </w:r>
        <w:r>
          <w:rPr>
            <w:noProof/>
            <w:webHidden/>
          </w:rPr>
          <w:tab/>
        </w:r>
        <w:r>
          <w:rPr>
            <w:noProof/>
            <w:webHidden/>
          </w:rPr>
          <w:fldChar w:fldCharType="begin"/>
        </w:r>
        <w:r>
          <w:rPr>
            <w:noProof/>
            <w:webHidden/>
          </w:rPr>
          <w:instrText xml:space="preserve"> PAGEREF _Toc69878313 \h </w:instrText>
        </w:r>
        <w:r>
          <w:rPr>
            <w:noProof/>
            <w:webHidden/>
          </w:rPr>
        </w:r>
        <w:r>
          <w:rPr>
            <w:noProof/>
            <w:webHidden/>
          </w:rPr>
          <w:fldChar w:fldCharType="separate"/>
        </w:r>
        <w:r>
          <w:rPr>
            <w:noProof/>
            <w:webHidden/>
          </w:rPr>
          <w:t>231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14" w:history="1">
        <w:r w:rsidRPr="00CC53E5">
          <w:rPr>
            <w:rStyle w:val="Hyperlink"/>
            <w:noProof/>
          </w:rPr>
          <w:t>2.1.531</w:t>
        </w:r>
        <w:r>
          <w:rPr>
            <w:rFonts w:asciiTheme="minorHAnsi" w:eastAsiaTheme="minorEastAsia" w:hAnsiTheme="minorHAnsi" w:cstheme="minorBidi"/>
            <w:noProof/>
            <w:sz w:val="22"/>
            <w:szCs w:val="22"/>
          </w:rPr>
          <w:tab/>
        </w:r>
        <w:r w:rsidRPr="00CC53E5">
          <w:rPr>
            <w:rStyle w:val="Hyperlink"/>
            <w:noProof/>
          </w:rPr>
          <w:t>Part 1 Section 17.18.7, ST_CharacterSpacing (Character-Level Whitespace Compression Settings)</w:t>
        </w:r>
        <w:r>
          <w:rPr>
            <w:noProof/>
            <w:webHidden/>
          </w:rPr>
          <w:tab/>
        </w:r>
        <w:r>
          <w:rPr>
            <w:noProof/>
            <w:webHidden/>
          </w:rPr>
          <w:fldChar w:fldCharType="begin"/>
        </w:r>
        <w:r>
          <w:rPr>
            <w:noProof/>
            <w:webHidden/>
          </w:rPr>
          <w:instrText xml:space="preserve"> PAGEREF _Toc69878314 \h </w:instrText>
        </w:r>
        <w:r>
          <w:rPr>
            <w:noProof/>
            <w:webHidden/>
          </w:rPr>
        </w:r>
        <w:r>
          <w:rPr>
            <w:noProof/>
            <w:webHidden/>
          </w:rPr>
          <w:fldChar w:fldCharType="separate"/>
        </w:r>
        <w:r>
          <w:rPr>
            <w:noProof/>
            <w:webHidden/>
          </w:rPr>
          <w:t>231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15" w:history="1">
        <w:r w:rsidRPr="00CC53E5">
          <w:rPr>
            <w:rStyle w:val="Hyperlink"/>
            <w:noProof/>
          </w:rPr>
          <w:t>2.1.532</w:t>
        </w:r>
        <w:r>
          <w:rPr>
            <w:rFonts w:asciiTheme="minorHAnsi" w:eastAsiaTheme="minorEastAsia" w:hAnsiTheme="minorHAnsi" w:cstheme="minorBidi"/>
            <w:noProof/>
            <w:sz w:val="22"/>
            <w:szCs w:val="22"/>
          </w:rPr>
          <w:tab/>
        </w:r>
        <w:r w:rsidRPr="00CC53E5">
          <w:rPr>
            <w:rStyle w:val="Hyperlink"/>
            <w:noProof/>
          </w:rPr>
          <w:t>Part 1 Section 17.18.10, ST_DecimalNumber (Decimal Number Value)</w:t>
        </w:r>
        <w:r>
          <w:rPr>
            <w:noProof/>
            <w:webHidden/>
          </w:rPr>
          <w:tab/>
        </w:r>
        <w:r>
          <w:rPr>
            <w:noProof/>
            <w:webHidden/>
          </w:rPr>
          <w:fldChar w:fldCharType="begin"/>
        </w:r>
        <w:r>
          <w:rPr>
            <w:noProof/>
            <w:webHidden/>
          </w:rPr>
          <w:instrText xml:space="preserve"> PAGEREF _Toc69878315 \h </w:instrText>
        </w:r>
        <w:r>
          <w:rPr>
            <w:noProof/>
            <w:webHidden/>
          </w:rPr>
        </w:r>
        <w:r>
          <w:rPr>
            <w:noProof/>
            <w:webHidden/>
          </w:rPr>
          <w:fldChar w:fldCharType="separate"/>
        </w:r>
        <w:r>
          <w:rPr>
            <w:noProof/>
            <w:webHidden/>
          </w:rPr>
          <w:t>231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16" w:history="1">
        <w:r w:rsidRPr="00CC53E5">
          <w:rPr>
            <w:rStyle w:val="Hyperlink"/>
            <w:noProof/>
          </w:rPr>
          <w:t>2.1.533</w:t>
        </w:r>
        <w:r>
          <w:rPr>
            <w:rFonts w:asciiTheme="minorHAnsi" w:eastAsiaTheme="minorEastAsia" w:hAnsiTheme="minorHAnsi" w:cstheme="minorBidi"/>
            <w:noProof/>
            <w:sz w:val="22"/>
            <w:szCs w:val="22"/>
          </w:rPr>
          <w:tab/>
        </w:r>
        <w:r w:rsidRPr="00CC53E5">
          <w:rPr>
            <w:rStyle w:val="Hyperlink"/>
            <w:noProof/>
          </w:rPr>
          <w:t>Part 1 Section 17.18.13, ST_DisplacedByCustomXml (Location of Custom XML Markup Displacing an Annotation)</w:t>
        </w:r>
        <w:r>
          <w:rPr>
            <w:noProof/>
            <w:webHidden/>
          </w:rPr>
          <w:tab/>
        </w:r>
        <w:r>
          <w:rPr>
            <w:noProof/>
            <w:webHidden/>
          </w:rPr>
          <w:fldChar w:fldCharType="begin"/>
        </w:r>
        <w:r>
          <w:rPr>
            <w:noProof/>
            <w:webHidden/>
          </w:rPr>
          <w:instrText xml:space="preserve"> PAGEREF _Toc69878316 \h </w:instrText>
        </w:r>
        <w:r>
          <w:rPr>
            <w:noProof/>
            <w:webHidden/>
          </w:rPr>
        </w:r>
        <w:r>
          <w:rPr>
            <w:noProof/>
            <w:webHidden/>
          </w:rPr>
          <w:fldChar w:fldCharType="separate"/>
        </w:r>
        <w:r>
          <w:rPr>
            <w:noProof/>
            <w:webHidden/>
          </w:rPr>
          <w:t>231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17" w:history="1">
        <w:r w:rsidRPr="00CC53E5">
          <w:rPr>
            <w:rStyle w:val="Hyperlink"/>
            <w:noProof/>
          </w:rPr>
          <w:t>2.1.534</w:t>
        </w:r>
        <w:r>
          <w:rPr>
            <w:rFonts w:asciiTheme="minorHAnsi" w:eastAsiaTheme="minorEastAsia" w:hAnsiTheme="minorHAnsi" w:cstheme="minorBidi"/>
            <w:noProof/>
            <w:sz w:val="22"/>
            <w:szCs w:val="22"/>
          </w:rPr>
          <w:tab/>
        </w:r>
        <w:r w:rsidRPr="00CC53E5">
          <w:rPr>
            <w:rStyle w:val="Hyperlink"/>
            <w:noProof/>
          </w:rPr>
          <w:t>Part 1 Section 17.18.14, ST_DocGrid (Document Grid Types)</w:t>
        </w:r>
        <w:r>
          <w:rPr>
            <w:noProof/>
            <w:webHidden/>
          </w:rPr>
          <w:tab/>
        </w:r>
        <w:r>
          <w:rPr>
            <w:noProof/>
            <w:webHidden/>
          </w:rPr>
          <w:fldChar w:fldCharType="begin"/>
        </w:r>
        <w:r>
          <w:rPr>
            <w:noProof/>
            <w:webHidden/>
          </w:rPr>
          <w:instrText xml:space="preserve"> PAGEREF _Toc69878317 \h </w:instrText>
        </w:r>
        <w:r>
          <w:rPr>
            <w:noProof/>
            <w:webHidden/>
          </w:rPr>
        </w:r>
        <w:r>
          <w:rPr>
            <w:noProof/>
            <w:webHidden/>
          </w:rPr>
          <w:fldChar w:fldCharType="separate"/>
        </w:r>
        <w:r>
          <w:rPr>
            <w:noProof/>
            <w:webHidden/>
          </w:rPr>
          <w:t>231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18" w:history="1">
        <w:r w:rsidRPr="00CC53E5">
          <w:rPr>
            <w:rStyle w:val="Hyperlink"/>
            <w:noProof/>
          </w:rPr>
          <w:t>2.1.535</w:t>
        </w:r>
        <w:r>
          <w:rPr>
            <w:rFonts w:asciiTheme="minorHAnsi" w:eastAsiaTheme="minorEastAsia" w:hAnsiTheme="minorHAnsi" w:cstheme="minorBidi"/>
            <w:noProof/>
            <w:sz w:val="22"/>
            <w:szCs w:val="22"/>
          </w:rPr>
          <w:tab/>
        </w:r>
        <w:r w:rsidRPr="00CC53E5">
          <w:rPr>
            <w:rStyle w:val="Hyperlink"/>
            <w:noProof/>
          </w:rPr>
          <w:t>Part 1 Section 17.18.15, ST_DocPartBehavior (Insertion Behavior Types)</w:t>
        </w:r>
        <w:r>
          <w:rPr>
            <w:noProof/>
            <w:webHidden/>
          </w:rPr>
          <w:tab/>
        </w:r>
        <w:r>
          <w:rPr>
            <w:noProof/>
            <w:webHidden/>
          </w:rPr>
          <w:fldChar w:fldCharType="begin"/>
        </w:r>
        <w:r>
          <w:rPr>
            <w:noProof/>
            <w:webHidden/>
          </w:rPr>
          <w:instrText xml:space="preserve"> PAGEREF _Toc69878318 \h </w:instrText>
        </w:r>
        <w:r>
          <w:rPr>
            <w:noProof/>
            <w:webHidden/>
          </w:rPr>
        </w:r>
        <w:r>
          <w:rPr>
            <w:noProof/>
            <w:webHidden/>
          </w:rPr>
          <w:fldChar w:fldCharType="separate"/>
        </w:r>
        <w:r>
          <w:rPr>
            <w:noProof/>
            <w:webHidden/>
          </w:rPr>
          <w:t>232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19" w:history="1">
        <w:r w:rsidRPr="00CC53E5">
          <w:rPr>
            <w:rStyle w:val="Hyperlink"/>
            <w:noProof/>
          </w:rPr>
          <w:t>2.1.536</w:t>
        </w:r>
        <w:r>
          <w:rPr>
            <w:rFonts w:asciiTheme="minorHAnsi" w:eastAsiaTheme="minorEastAsia" w:hAnsiTheme="minorHAnsi" w:cstheme="minorBidi"/>
            <w:noProof/>
            <w:sz w:val="22"/>
            <w:szCs w:val="22"/>
          </w:rPr>
          <w:tab/>
        </w:r>
        <w:r w:rsidRPr="00CC53E5">
          <w:rPr>
            <w:rStyle w:val="Hyperlink"/>
            <w:noProof/>
          </w:rPr>
          <w:t>Part 1 Section 17.18.24, ST_Em (Emphasis Mark Type)</w:t>
        </w:r>
        <w:r>
          <w:rPr>
            <w:noProof/>
            <w:webHidden/>
          </w:rPr>
          <w:tab/>
        </w:r>
        <w:r>
          <w:rPr>
            <w:noProof/>
            <w:webHidden/>
          </w:rPr>
          <w:fldChar w:fldCharType="begin"/>
        </w:r>
        <w:r>
          <w:rPr>
            <w:noProof/>
            <w:webHidden/>
          </w:rPr>
          <w:instrText xml:space="preserve"> PAGEREF _Toc69878319 \h </w:instrText>
        </w:r>
        <w:r>
          <w:rPr>
            <w:noProof/>
            <w:webHidden/>
          </w:rPr>
        </w:r>
        <w:r>
          <w:rPr>
            <w:noProof/>
            <w:webHidden/>
          </w:rPr>
          <w:fldChar w:fldCharType="separate"/>
        </w:r>
        <w:r>
          <w:rPr>
            <w:noProof/>
            <w:webHidden/>
          </w:rPr>
          <w:t>232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20" w:history="1">
        <w:r w:rsidRPr="00CC53E5">
          <w:rPr>
            <w:rStyle w:val="Hyperlink"/>
            <w:noProof/>
          </w:rPr>
          <w:t>2.1.537</w:t>
        </w:r>
        <w:r>
          <w:rPr>
            <w:rFonts w:asciiTheme="minorHAnsi" w:eastAsiaTheme="minorEastAsia" w:hAnsiTheme="minorHAnsi" w:cstheme="minorBidi"/>
            <w:noProof/>
            <w:sz w:val="22"/>
            <w:szCs w:val="22"/>
          </w:rPr>
          <w:tab/>
        </w:r>
        <w:r w:rsidRPr="00CC53E5">
          <w:rPr>
            <w:rStyle w:val="Hyperlink"/>
            <w:noProof/>
          </w:rPr>
          <w:t>Part 1 Section 17.18.25, ST_FFHelpTextVal (Help Text Value)</w:t>
        </w:r>
        <w:r>
          <w:rPr>
            <w:noProof/>
            <w:webHidden/>
          </w:rPr>
          <w:tab/>
        </w:r>
        <w:r>
          <w:rPr>
            <w:noProof/>
            <w:webHidden/>
          </w:rPr>
          <w:fldChar w:fldCharType="begin"/>
        </w:r>
        <w:r>
          <w:rPr>
            <w:noProof/>
            <w:webHidden/>
          </w:rPr>
          <w:instrText xml:space="preserve"> PAGEREF _Toc69878320 \h </w:instrText>
        </w:r>
        <w:r>
          <w:rPr>
            <w:noProof/>
            <w:webHidden/>
          </w:rPr>
        </w:r>
        <w:r>
          <w:rPr>
            <w:noProof/>
            <w:webHidden/>
          </w:rPr>
          <w:fldChar w:fldCharType="separate"/>
        </w:r>
        <w:r>
          <w:rPr>
            <w:noProof/>
            <w:webHidden/>
          </w:rPr>
          <w:t>232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21" w:history="1">
        <w:r w:rsidRPr="00CC53E5">
          <w:rPr>
            <w:rStyle w:val="Hyperlink"/>
            <w:noProof/>
          </w:rPr>
          <w:t>2.1.538</w:t>
        </w:r>
        <w:r>
          <w:rPr>
            <w:rFonts w:asciiTheme="minorHAnsi" w:eastAsiaTheme="minorEastAsia" w:hAnsiTheme="minorHAnsi" w:cstheme="minorBidi"/>
            <w:noProof/>
            <w:sz w:val="22"/>
            <w:szCs w:val="22"/>
          </w:rPr>
          <w:tab/>
        </w:r>
        <w:r w:rsidRPr="00CC53E5">
          <w:rPr>
            <w:rStyle w:val="Hyperlink"/>
            <w:noProof/>
          </w:rPr>
          <w:t>Part 1 Section 17.18.26, ST_FFName (Form Field Name Value)</w:t>
        </w:r>
        <w:r>
          <w:rPr>
            <w:noProof/>
            <w:webHidden/>
          </w:rPr>
          <w:tab/>
        </w:r>
        <w:r>
          <w:rPr>
            <w:noProof/>
            <w:webHidden/>
          </w:rPr>
          <w:fldChar w:fldCharType="begin"/>
        </w:r>
        <w:r>
          <w:rPr>
            <w:noProof/>
            <w:webHidden/>
          </w:rPr>
          <w:instrText xml:space="preserve"> PAGEREF _Toc69878321 \h </w:instrText>
        </w:r>
        <w:r>
          <w:rPr>
            <w:noProof/>
            <w:webHidden/>
          </w:rPr>
        </w:r>
        <w:r>
          <w:rPr>
            <w:noProof/>
            <w:webHidden/>
          </w:rPr>
          <w:fldChar w:fldCharType="separate"/>
        </w:r>
        <w:r>
          <w:rPr>
            <w:noProof/>
            <w:webHidden/>
          </w:rPr>
          <w:t>232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22" w:history="1">
        <w:r w:rsidRPr="00CC53E5">
          <w:rPr>
            <w:rStyle w:val="Hyperlink"/>
            <w:noProof/>
          </w:rPr>
          <w:t>2.1.539</w:t>
        </w:r>
        <w:r>
          <w:rPr>
            <w:rFonts w:asciiTheme="minorHAnsi" w:eastAsiaTheme="minorEastAsia" w:hAnsiTheme="minorHAnsi" w:cstheme="minorBidi"/>
            <w:noProof/>
            <w:sz w:val="22"/>
            <w:szCs w:val="22"/>
          </w:rPr>
          <w:tab/>
        </w:r>
        <w:r w:rsidRPr="00CC53E5">
          <w:rPr>
            <w:rStyle w:val="Hyperlink"/>
            <w:noProof/>
          </w:rPr>
          <w:t>Part 1 Section 17.18.27, ST_FFStatusTextVal (Status Text Value)</w:t>
        </w:r>
        <w:r>
          <w:rPr>
            <w:noProof/>
            <w:webHidden/>
          </w:rPr>
          <w:tab/>
        </w:r>
        <w:r>
          <w:rPr>
            <w:noProof/>
            <w:webHidden/>
          </w:rPr>
          <w:fldChar w:fldCharType="begin"/>
        </w:r>
        <w:r>
          <w:rPr>
            <w:noProof/>
            <w:webHidden/>
          </w:rPr>
          <w:instrText xml:space="preserve"> PAGEREF _Toc69878322 \h </w:instrText>
        </w:r>
        <w:r>
          <w:rPr>
            <w:noProof/>
            <w:webHidden/>
          </w:rPr>
        </w:r>
        <w:r>
          <w:rPr>
            <w:noProof/>
            <w:webHidden/>
          </w:rPr>
          <w:fldChar w:fldCharType="separate"/>
        </w:r>
        <w:r>
          <w:rPr>
            <w:noProof/>
            <w:webHidden/>
          </w:rPr>
          <w:t>233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23" w:history="1">
        <w:r w:rsidRPr="00CC53E5">
          <w:rPr>
            <w:rStyle w:val="Hyperlink"/>
            <w:noProof/>
          </w:rPr>
          <w:t>2.1.540</w:t>
        </w:r>
        <w:r>
          <w:rPr>
            <w:rFonts w:asciiTheme="minorHAnsi" w:eastAsiaTheme="minorEastAsia" w:hAnsiTheme="minorHAnsi" w:cstheme="minorBidi"/>
            <w:noProof/>
            <w:sz w:val="22"/>
            <w:szCs w:val="22"/>
          </w:rPr>
          <w:tab/>
        </w:r>
        <w:r w:rsidRPr="00CC53E5">
          <w:rPr>
            <w:rStyle w:val="Hyperlink"/>
            <w:noProof/>
          </w:rPr>
          <w:t>Part 1 Section 17.18.31, ST_FrameLayout (Frameset Layout Order)</w:t>
        </w:r>
        <w:r>
          <w:rPr>
            <w:noProof/>
            <w:webHidden/>
          </w:rPr>
          <w:tab/>
        </w:r>
        <w:r>
          <w:rPr>
            <w:noProof/>
            <w:webHidden/>
          </w:rPr>
          <w:fldChar w:fldCharType="begin"/>
        </w:r>
        <w:r>
          <w:rPr>
            <w:noProof/>
            <w:webHidden/>
          </w:rPr>
          <w:instrText xml:space="preserve"> PAGEREF _Toc69878323 \h </w:instrText>
        </w:r>
        <w:r>
          <w:rPr>
            <w:noProof/>
            <w:webHidden/>
          </w:rPr>
        </w:r>
        <w:r>
          <w:rPr>
            <w:noProof/>
            <w:webHidden/>
          </w:rPr>
          <w:fldChar w:fldCharType="separate"/>
        </w:r>
        <w:r>
          <w:rPr>
            <w:noProof/>
            <w:webHidden/>
          </w:rPr>
          <w:t>233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24" w:history="1">
        <w:r w:rsidRPr="00CC53E5">
          <w:rPr>
            <w:rStyle w:val="Hyperlink"/>
            <w:noProof/>
          </w:rPr>
          <w:t>2.1.541</w:t>
        </w:r>
        <w:r>
          <w:rPr>
            <w:rFonts w:asciiTheme="minorHAnsi" w:eastAsiaTheme="minorEastAsia" w:hAnsiTheme="minorHAnsi" w:cstheme="minorBidi"/>
            <w:noProof/>
            <w:sz w:val="22"/>
            <w:szCs w:val="22"/>
          </w:rPr>
          <w:tab/>
        </w:r>
        <w:r w:rsidRPr="00CC53E5">
          <w:rPr>
            <w:rStyle w:val="Hyperlink"/>
            <w:noProof/>
          </w:rPr>
          <w:t>Part 1 Section 17.18.34, ST_FtnPos (Footnote Positioning Location)</w:t>
        </w:r>
        <w:r>
          <w:rPr>
            <w:noProof/>
            <w:webHidden/>
          </w:rPr>
          <w:tab/>
        </w:r>
        <w:r>
          <w:rPr>
            <w:noProof/>
            <w:webHidden/>
          </w:rPr>
          <w:fldChar w:fldCharType="begin"/>
        </w:r>
        <w:r>
          <w:rPr>
            <w:noProof/>
            <w:webHidden/>
          </w:rPr>
          <w:instrText xml:space="preserve"> PAGEREF _Toc69878324 \h </w:instrText>
        </w:r>
        <w:r>
          <w:rPr>
            <w:noProof/>
            <w:webHidden/>
          </w:rPr>
        </w:r>
        <w:r>
          <w:rPr>
            <w:noProof/>
            <w:webHidden/>
          </w:rPr>
          <w:fldChar w:fldCharType="separate"/>
        </w:r>
        <w:r>
          <w:rPr>
            <w:noProof/>
            <w:webHidden/>
          </w:rPr>
          <w:t>233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25" w:history="1">
        <w:r w:rsidRPr="00CC53E5">
          <w:rPr>
            <w:rStyle w:val="Hyperlink"/>
            <w:noProof/>
          </w:rPr>
          <w:t>2.1.542</w:t>
        </w:r>
        <w:r>
          <w:rPr>
            <w:rFonts w:asciiTheme="minorHAnsi" w:eastAsiaTheme="minorEastAsia" w:hAnsiTheme="minorHAnsi" w:cstheme="minorBidi"/>
            <w:noProof/>
            <w:sz w:val="22"/>
            <w:szCs w:val="22"/>
          </w:rPr>
          <w:tab/>
        </w:r>
        <w:r w:rsidRPr="00CC53E5">
          <w:rPr>
            <w:rStyle w:val="Hyperlink"/>
            <w:noProof/>
          </w:rPr>
          <w:t>Part 1 Section 17.18.36, ST_HdrFtr (Header or Footer Type)</w:t>
        </w:r>
        <w:r>
          <w:rPr>
            <w:noProof/>
            <w:webHidden/>
          </w:rPr>
          <w:tab/>
        </w:r>
        <w:r>
          <w:rPr>
            <w:noProof/>
            <w:webHidden/>
          </w:rPr>
          <w:fldChar w:fldCharType="begin"/>
        </w:r>
        <w:r>
          <w:rPr>
            <w:noProof/>
            <w:webHidden/>
          </w:rPr>
          <w:instrText xml:space="preserve"> PAGEREF _Toc69878325 \h </w:instrText>
        </w:r>
        <w:r>
          <w:rPr>
            <w:noProof/>
            <w:webHidden/>
          </w:rPr>
        </w:r>
        <w:r>
          <w:rPr>
            <w:noProof/>
            <w:webHidden/>
          </w:rPr>
          <w:fldChar w:fldCharType="separate"/>
        </w:r>
        <w:r>
          <w:rPr>
            <w:noProof/>
            <w:webHidden/>
          </w:rPr>
          <w:t>233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26" w:history="1">
        <w:r w:rsidRPr="00CC53E5">
          <w:rPr>
            <w:rStyle w:val="Hyperlink"/>
            <w:noProof/>
          </w:rPr>
          <w:t>2.1.543</w:t>
        </w:r>
        <w:r>
          <w:rPr>
            <w:rFonts w:asciiTheme="minorHAnsi" w:eastAsiaTheme="minorEastAsia" w:hAnsiTheme="minorHAnsi" w:cstheme="minorBidi"/>
            <w:noProof/>
            <w:sz w:val="22"/>
            <w:szCs w:val="22"/>
          </w:rPr>
          <w:tab/>
        </w:r>
        <w:r w:rsidRPr="00CC53E5">
          <w:rPr>
            <w:rStyle w:val="Hyperlink"/>
            <w:noProof/>
          </w:rPr>
          <w:t>Part 1 Section 17.18.42, ST_HpsMeasure (Measurement in Half-Points)</w:t>
        </w:r>
        <w:r>
          <w:rPr>
            <w:noProof/>
            <w:webHidden/>
          </w:rPr>
          <w:tab/>
        </w:r>
        <w:r>
          <w:rPr>
            <w:noProof/>
            <w:webHidden/>
          </w:rPr>
          <w:fldChar w:fldCharType="begin"/>
        </w:r>
        <w:r>
          <w:rPr>
            <w:noProof/>
            <w:webHidden/>
          </w:rPr>
          <w:instrText xml:space="preserve"> PAGEREF _Toc69878326 \h </w:instrText>
        </w:r>
        <w:r>
          <w:rPr>
            <w:noProof/>
            <w:webHidden/>
          </w:rPr>
        </w:r>
        <w:r>
          <w:rPr>
            <w:noProof/>
            <w:webHidden/>
          </w:rPr>
          <w:fldChar w:fldCharType="separate"/>
        </w:r>
        <w:r>
          <w:rPr>
            <w:noProof/>
            <w:webHidden/>
          </w:rPr>
          <w:t>233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27" w:history="1">
        <w:r w:rsidRPr="00CC53E5">
          <w:rPr>
            <w:rStyle w:val="Hyperlink"/>
            <w:noProof/>
          </w:rPr>
          <w:t>2.1.544</w:t>
        </w:r>
        <w:r>
          <w:rPr>
            <w:rFonts w:asciiTheme="minorHAnsi" w:eastAsiaTheme="minorEastAsia" w:hAnsiTheme="minorHAnsi" w:cstheme="minorBidi"/>
            <w:noProof/>
            <w:sz w:val="22"/>
            <w:szCs w:val="22"/>
          </w:rPr>
          <w:tab/>
        </w:r>
        <w:r w:rsidRPr="00CC53E5">
          <w:rPr>
            <w:rStyle w:val="Hyperlink"/>
            <w:noProof/>
          </w:rPr>
          <w:t>Part 1 Section 17.18.44, ST_Jc (Horizontal Alignment Type)</w:t>
        </w:r>
        <w:r>
          <w:rPr>
            <w:noProof/>
            <w:webHidden/>
          </w:rPr>
          <w:tab/>
        </w:r>
        <w:r>
          <w:rPr>
            <w:noProof/>
            <w:webHidden/>
          </w:rPr>
          <w:fldChar w:fldCharType="begin"/>
        </w:r>
        <w:r>
          <w:rPr>
            <w:noProof/>
            <w:webHidden/>
          </w:rPr>
          <w:instrText xml:space="preserve"> PAGEREF _Toc69878327 \h </w:instrText>
        </w:r>
        <w:r>
          <w:rPr>
            <w:noProof/>
            <w:webHidden/>
          </w:rPr>
        </w:r>
        <w:r>
          <w:rPr>
            <w:noProof/>
            <w:webHidden/>
          </w:rPr>
          <w:fldChar w:fldCharType="separate"/>
        </w:r>
        <w:r>
          <w:rPr>
            <w:noProof/>
            <w:webHidden/>
          </w:rPr>
          <w:t>233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28" w:history="1">
        <w:r w:rsidRPr="00CC53E5">
          <w:rPr>
            <w:rStyle w:val="Hyperlink"/>
            <w:noProof/>
          </w:rPr>
          <w:t>2.1.545</w:t>
        </w:r>
        <w:r>
          <w:rPr>
            <w:rFonts w:asciiTheme="minorHAnsi" w:eastAsiaTheme="minorEastAsia" w:hAnsiTheme="minorHAnsi" w:cstheme="minorBidi"/>
            <w:noProof/>
            <w:sz w:val="22"/>
            <w:szCs w:val="22"/>
          </w:rPr>
          <w:tab/>
        </w:r>
        <w:r w:rsidRPr="00CC53E5">
          <w:rPr>
            <w:rStyle w:val="Hyperlink"/>
            <w:noProof/>
          </w:rPr>
          <w:t>Part 1 Section 17.18.52, ST_MailMergeDataType (Mail Merge Data Source Type Values)</w:t>
        </w:r>
        <w:r>
          <w:rPr>
            <w:noProof/>
            <w:webHidden/>
          </w:rPr>
          <w:tab/>
        </w:r>
        <w:r>
          <w:rPr>
            <w:noProof/>
            <w:webHidden/>
          </w:rPr>
          <w:fldChar w:fldCharType="begin"/>
        </w:r>
        <w:r>
          <w:rPr>
            <w:noProof/>
            <w:webHidden/>
          </w:rPr>
          <w:instrText xml:space="preserve"> PAGEREF _Toc69878328 \h </w:instrText>
        </w:r>
        <w:r>
          <w:rPr>
            <w:noProof/>
            <w:webHidden/>
          </w:rPr>
        </w:r>
        <w:r>
          <w:rPr>
            <w:noProof/>
            <w:webHidden/>
          </w:rPr>
          <w:fldChar w:fldCharType="separate"/>
        </w:r>
        <w:r>
          <w:rPr>
            <w:noProof/>
            <w:webHidden/>
          </w:rPr>
          <w:t>233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29" w:history="1">
        <w:r w:rsidRPr="00CC53E5">
          <w:rPr>
            <w:rStyle w:val="Hyperlink"/>
            <w:noProof/>
          </w:rPr>
          <w:t>2.1.546</w:t>
        </w:r>
        <w:r>
          <w:rPr>
            <w:rFonts w:asciiTheme="minorHAnsi" w:eastAsiaTheme="minorEastAsia" w:hAnsiTheme="minorHAnsi" w:cstheme="minorBidi"/>
            <w:noProof/>
            <w:sz w:val="22"/>
            <w:szCs w:val="22"/>
          </w:rPr>
          <w:tab/>
        </w:r>
        <w:r w:rsidRPr="00CC53E5">
          <w:rPr>
            <w:rStyle w:val="Hyperlink"/>
            <w:noProof/>
          </w:rPr>
          <w:t>Part 1 Section 17.18.57, ST_Merge (Merged Cell Type)</w:t>
        </w:r>
        <w:r>
          <w:rPr>
            <w:noProof/>
            <w:webHidden/>
          </w:rPr>
          <w:tab/>
        </w:r>
        <w:r>
          <w:rPr>
            <w:noProof/>
            <w:webHidden/>
          </w:rPr>
          <w:fldChar w:fldCharType="begin"/>
        </w:r>
        <w:r>
          <w:rPr>
            <w:noProof/>
            <w:webHidden/>
          </w:rPr>
          <w:instrText xml:space="preserve"> PAGEREF _Toc69878329 \h </w:instrText>
        </w:r>
        <w:r>
          <w:rPr>
            <w:noProof/>
            <w:webHidden/>
          </w:rPr>
        </w:r>
        <w:r>
          <w:rPr>
            <w:noProof/>
            <w:webHidden/>
          </w:rPr>
          <w:fldChar w:fldCharType="separate"/>
        </w:r>
        <w:r>
          <w:rPr>
            <w:noProof/>
            <w:webHidden/>
          </w:rPr>
          <w:t>234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30" w:history="1">
        <w:r w:rsidRPr="00CC53E5">
          <w:rPr>
            <w:rStyle w:val="Hyperlink"/>
            <w:noProof/>
          </w:rPr>
          <w:t>2.1.547</w:t>
        </w:r>
        <w:r>
          <w:rPr>
            <w:rFonts w:asciiTheme="minorHAnsi" w:eastAsiaTheme="minorEastAsia" w:hAnsiTheme="minorHAnsi" w:cstheme="minorBidi"/>
            <w:noProof/>
            <w:sz w:val="22"/>
            <w:szCs w:val="22"/>
          </w:rPr>
          <w:tab/>
        </w:r>
        <w:r w:rsidRPr="00CC53E5">
          <w:rPr>
            <w:rStyle w:val="Hyperlink"/>
            <w:noProof/>
          </w:rPr>
          <w:t>Part 1 Section 17.18.59, ST_NumberFormat (Numbering Format)</w:t>
        </w:r>
        <w:r>
          <w:rPr>
            <w:noProof/>
            <w:webHidden/>
          </w:rPr>
          <w:tab/>
        </w:r>
        <w:r>
          <w:rPr>
            <w:noProof/>
            <w:webHidden/>
          </w:rPr>
          <w:fldChar w:fldCharType="begin"/>
        </w:r>
        <w:r>
          <w:rPr>
            <w:noProof/>
            <w:webHidden/>
          </w:rPr>
          <w:instrText xml:space="preserve"> PAGEREF _Toc69878330 \h </w:instrText>
        </w:r>
        <w:r>
          <w:rPr>
            <w:noProof/>
            <w:webHidden/>
          </w:rPr>
        </w:r>
        <w:r>
          <w:rPr>
            <w:noProof/>
            <w:webHidden/>
          </w:rPr>
          <w:fldChar w:fldCharType="separate"/>
        </w:r>
        <w:r>
          <w:rPr>
            <w:noProof/>
            <w:webHidden/>
          </w:rPr>
          <w:t>234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31" w:history="1">
        <w:r w:rsidRPr="00CC53E5">
          <w:rPr>
            <w:rStyle w:val="Hyperlink"/>
            <w:noProof/>
          </w:rPr>
          <w:t>2.1.548</w:t>
        </w:r>
        <w:r>
          <w:rPr>
            <w:rFonts w:asciiTheme="minorHAnsi" w:eastAsiaTheme="minorEastAsia" w:hAnsiTheme="minorHAnsi" w:cstheme="minorBidi"/>
            <w:noProof/>
            <w:sz w:val="22"/>
            <w:szCs w:val="22"/>
          </w:rPr>
          <w:tab/>
        </w:r>
        <w:r w:rsidRPr="00CC53E5">
          <w:rPr>
            <w:rStyle w:val="Hyperlink"/>
            <w:noProof/>
          </w:rPr>
          <w:t>Part 1 Section 17.18.62, ST_PageBorderDisplay (Page Border Display Options)</w:t>
        </w:r>
        <w:r>
          <w:rPr>
            <w:noProof/>
            <w:webHidden/>
          </w:rPr>
          <w:tab/>
        </w:r>
        <w:r>
          <w:rPr>
            <w:noProof/>
            <w:webHidden/>
          </w:rPr>
          <w:fldChar w:fldCharType="begin"/>
        </w:r>
        <w:r>
          <w:rPr>
            <w:noProof/>
            <w:webHidden/>
          </w:rPr>
          <w:instrText xml:space="preserve"> PAGEREF _Toc69878331 \h </w:instrText>
        </w:r>
        <w:r>
          <w:rPr>
            <w:noProof/>
            <w:webHidden/>
          </w:rPr>
        </w:r>
        <w:r>
          <w:rPr>
            <w:noProof/>
            <w:webHidden/>
          </w:rPr>
          <w:fldChar w:fldCharType="separate"/>
        </w:r>
        <w:r>
          <w:rPr>
            <w:noProof/>
            <w:webHidden/>
          </w:rPr>
          <w:t>236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32" w:history="1">
        <w:r w:rsidRPr="00CC53E5">
          <w:rPr>
            <w:rStyle w:val="Hyperlink"/>
            <w:noProof/>
          </w:rPr>
          <w:t>2.1.549</w:t>
        </w:r>
        <w:r>
          <w:rPr>
            <w:rFonts w:asciiTheme="minorHAnsi" w:eastAsiaTheme="minorEastAsia" w:hAnsiTheme="minorHAnsi" w:cstheme="minorBidi"/>
            <w:noProof/>
            <w:sz w:val="22"/>
            <w:szCs w:val="22"/>
          </w:rPr>
          <w:tab/>
        </w:r>
        <w:r w:rsidRPr="00CC53E5">
          <w:rPr>
            <w:rStyle w:val="Hyperlink"/>
            <w:noProof/>
          </w:rPr>
          <w:t>Part 1 Section 17.18.68, ST_PointMeasure (Measurement in Points)</w:t>
        </w:r>
        <w:r>
          <w:rPr>
            <w:noProof/>
            <w:webHidden/>
          </w:rPr>
          <w:tab/>
        </w:r>
        <w:r>
          <w:rPr>
            <w:noProof/>
            <w:webHidden/>
          </w:rPr>
          <w:fldChar w:fldCharType="begin"/>
        </w:r>
        <w:r>
          <w:rPr>
            <w:noProof/>
            <w:webHidden/>
          </w:rPr>
          <w:instrText xml:space="preserve"> PAGEREF _Toc69878332 \h </w:instrText>
        </w:r>
        <w:r>
          <w:rPr>
            <w:noProof/>
            <w:webHidden/>
          </w:rPr>
        </w:r>
        <w:r>
          <w:rPr>
            <w:noProof/>
            <w:webHidden/>
          </w:rPr>
          <w:fldChar w:fldCharType="separate"/>
        </w:r>
        <w:r>
          <w:rPr>
            <w:noProof/>
            <w:webHidden/>
          </w:rPr>
          <w:t>237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33" w:history="1">
        <w:r w:rsidRPr="00CC53E5">
          <w:rPr>
            <w:rStyle w:val="Hyperlink"/>
            <w:noProof/>
          </w:rPr>
          <w:t>2.1.550</w:t>
        </w:r>
        <w:r>
          <w:rPr>
            <w:rFonts w:asciiTheme="minorHAnsi" w:eastAsiaTheme="minorEastAsia" w:hAnsiTheme="minorHAnsi" w:cstheme="minorBidi"/>
            <w:noProof/>
            <w:sz w:val="22"/>
            <w:szCs w:val="22"/>
          </w:rPr>
          <w:tab/>
        </w:r>
        <w:r w:rsidRPr="00CC53E5">
          <w:rPr>
            <w:rStyle w:val="Hyperlink"/>
            <w:noProof/>
          </w:rPr>
          <w:t>Part 1 Section 17.18.70, ST_ProofErr (Proofing Error Type)</w:t>
        </w:r>
        <w:r>
          <w:rPr>
            <w:noProof/>
            <w:webHidden/>
          </w:rPr>
          <w:tab/>
        </w:r>
        <w:r>
          <w:rPr>
            <w:noProof/>
            <w:webHidden/>
          </w:rPr>
          <w:fldChar w:fldCharType="begin"/>
        </w:r>
        <w:r>
          <w:rPr>
            <w:noProof/>
            <w:webHidden/>
          </w:rPr>
          <w:instrText xml:space="preserve"> PAGEREF _Toc69878333 \h </w:instrText>
        </w:r>
        <w:r>
          <w:rPr>
            <w:noProof/>
            <w:webHidden/>
          </w:rPr>
        </w:r>
        <w:r>
          <w:rPr>
            <w:noProof/>
            <w:webHidden/>
          </w:rPr>
          <w:fldChar w:fldCharType="separate"/>
        </w:r>
        <w:r>
          <w:rPr>
            <w:noProof/>
            <w:webHidden/>
          </w:rPr>
          <w:t>237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34" w:history="1">
        <w:r w:rsidRPr="00CC53E5">
          <w:rPr>
            <w:rStyle w:val="Hyperlink"/>
            <w:noProof/>
          </w:rPr>
          <w:t>2.1.551</w:t>
        </w:r>
        <w:r>
          <w:rPr>
            <w:rFonts w:asciiTheme="minorHAnsi" w:eastAsiaTheme="minorEastAsia" w:hAnsiTheme="minorHAnsi" w:cstheme="minorBidi"/>
            <w:noProof/>
            <w:sz w:val="22"/>
            <w:szCs w:val="22"/>
          </w:rPr>
          <w:tab/>
        </w:r>
        <w:r w:rsidRPr="00CC53E5">
          <w:rPr>
            <w:rStyle w:val="Hyperlink"/>
            <w:noProof/>
          </w:rPr>
          <w:t>Part 1 Section 17.18.75, ST_RubyAlign (Phonetic Guide Text Alignment)</w:t>
        </w:r>
        <w:r>
          <w:rPr>
            <w:noProof/>
            <w:webHidden/>
          </w:rPr>
          <w:tab/>
        </w:r>
        <w:r>
          <w:rPr>
            <w:noProof/>
            <w:webHidden/>
          </w:rPr>
          <w:fldChar w:fldCharType="begin"/>
        </w:r>
        <w:r>
          <w:rPr>
            <w:noProof/>
            <w:webHidden/>
          </w:rPr>
          <w:instrText xml:space="preserve"> PAGEREF _Toc69878334 \h </w:instrText>
        </w:r>
        <w:r>
          <w:rPr>
            <w:noProof/>
            <w:webHidden/>
          </w:rPr>
        </w:r>
        <w:r>
          <w:rPr>
            <w:noProof/>
            <w:webHidden/>
          </w:rPr>
          <w:fldChar w:fldCharType="separate"/>
        </w:r>
        <w:r>
          <w:rPr>
            <w:noProof/>
            <w:webHidden/>
          </w:rPr>
          <w:t>237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35" w:history="1">
        <w:r w:rsidRPr="00CC53E5">
          <w:rPr>
            <w:rStyle w:val="Hyperlink"/>
            <w:noProof/>
          </w:rPr>
          <w:t>2.1.552</w:t>
        </w:r>
        <w:r>
          <w:rPr>
            <w:rFonts w:asciiTheme="minorHAnsi" w:eastAsiaTheme="minorEastAsia" w:hAnsiTheme="minorHAnsi" w:cstheme="minorBidi"/>
            <w:noProof/>
            <w:sz w:val="22"/>
            <w:szCs w:val="22"/>
          </w:rPr>
          <w:tab/>
        </w:r>
        <w:r w:rsidRPr="00CC53E5">
          <w:rPr>
            <w:rStyle w:val="Hyperlink"/>
            <w:noProof/>
          </w:rPr>
          <w:t>Part 1 Section 17.18.78, ST_Shd (Shading Patterns)</w:t>
        </w:r>
        <w:r>
          <w:rPr>
            <w:noProof/>
            <w:webHidden/>
          </w:rPr>
          <w:tab/>
        </w:r>
        <w:r>
          <w:rPr>
            <w:noProof/>
            <w:webHidden/>
          </w:rPr>
          <w:fldChar w:fldCharType="begin"/>
        </w:r>
        <w:r>
          <w:rPr>
            <w:noProof/>
            <w:webHidden/>
          </w:rPr>
          <w:instrText xml:space="preserve"> PAGEREF _Toc69878335 \h </w:instrText>
        </w:r>
        <w:r>
          <w:rPr>
            <w:noProof/>
            <w:webHidden/>
          </w:rPr>
        </w:r>
        <w:r>
          <w:rPr>
            <w:noProof/>
            <w:webHidden/>
          </w:rPr>
          <w:fldChar w:fldCharType="separate"/>
        </w:r>
        <w:r>
          <w:rPr>
            <w:noProof/>
            <w:webHidden/>
          </w:rPr>
          <w:t>237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36" w:history="1">
        <w:r w:rsidRPr="00CC53E5">
          <w:rPr>
            <w:rStyle w:val="Hyperlink"/>
            <w:noProof/>
          </w:rPr>
          <w:t>2.1.553</w:t>
        </w:r>
        <w:r>
          <w:rPr>
            <w:rFonts w:asciiTheme="minorHAnsi" w:eastAsiaTheme="minorEastAsia" w:hAnsiTheme="minorHAnsi" w:cstheme="minorBidi"/>
            <w:noProof/>
            <w:sz w:val="22"/>
            <w:szCs w:val="22"/>
          </w:rPr>
          <w:tab/>
        </w:r>
        <w:r w:rsidRPr="00CC53E5">
          <w:rPr>
            <w:rStyle w:val="Hyperlink"/>
            <w:noProof/>
          </w:rPr>
          <w:t>Part 1 Section 17.18.80, ST_SignedHpsMeasure (Signed Measurement in Half-Points)</w:t>
        </w:r>
        <w:r>
          <w:rPr>
            <w:noProof/>
            <w:webHidden/>
          </w:rPr>
          <w:tab/>
        </w:r>
        <w:r>
          <w:rPr>
            <w:noProof/>
            <w:webHidden/>
          </w:rPr>
          <w:fldChar w:fldCharType="begin"/>
        </w:r>
        <w:r>
          <w:rPr>
            <w:noProof/>
            <w:webHidden/>
          </w:rPr>
          <w:instrText xml:space="preserve"> PAGEREF _Toc69878336 \h </w:instrText>
        </w:r>
        <w:r>
          <w:rPr>
            <w:noProof/>
            <w:webHidden/>
          </w:rPr>
        </w:r>
        <w:r>
          <w:rPr>
            <w:noProof/>
            <w:webHidden/>
          </w:rPr>
          <w:fldChar w:fldCharType="separate"/>
        </w:r>
        <w:r>
          <w:rPr>
            <w:noProof/>
            <w:webHidden/>
          </w:rPr>
          <w:t>237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37" w:history="1">
        <w:r w:rsidRPr="00CC53E5">
          <w:rPr>
            <w:rStyle w:val="Hyperlink"/>
            <w:noProof/>
          </w:rPr>
          <w:t>2.1.554</w:t>
        </w:r>
        <w:r>
          <w:rPr>
            <w:rFonts w:asciiTheme="minorHAnsi" w:eastAsiaTheme="minorEastAsia" w:hAnsiTheme="minorHAnsi" w:cstheme="minorBidi"/>
            <w:noProof/>
            <w:sz w:val="22"/>
            <w:szCs w:val="22"/>
          </w:rPr>
          <w:tab/>
        </w:r>
        <w:r w:rsidRPr="00CC53E5">
          <w:rPr>
            <w:rStyle w:val="Hyperlink"/>
            <w:noProof/>
          </w:rPr>
          <w:t>Part 1 Section 17.18.81, ST_SignedTwipsMeasure (Signed Measurement in Twentieths of a Point)</w:t>
        </w:r>
        <w:r>
          <w:rPr>
            <w:noProof/>
            <w:webHidden/>
          </w:rPr>
          <w:tab/>
        </w:r>
        <w:r>
          <w:rPr>
            <w:noProof/>
            <w:webHidden/>
          </w:rPr>
          <w:fldChar w:fldCharType="begin"/>
        </w:r>
        <w:r>
          <w:rPr>
            <w:noProof/>
            <w:webHidden/>
          </w:rPr>
          <w:instrText xml:space="preserve"> PAGEREF _Toc69878337 \h </w:instrText>
        </w:r>
        <w:r>
          <w:rPr>
            <w:noProof/>
            <w:webHidden/>
          </w:rPr>
        </w:r>
        <w:r>
          <w:rPr>
            <w:noProof/>
            <w:webHidden/>
          </w:rPr>
          <w:fldChar w:fldCharType="separate"/>
        </w:r>
        <w:r>
          <w:rPr>
            <w:noProof/>
            <w:webHidden/>
          </w:rPr>
          <w:t>237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38" w:history="1">
        <w:r w:rsidRPr="00CC53E5">
          <w:rPr>
            <w:rStyle w:val="Hyperlink"/>
            <w:noProof/>
          </w:rPr>
          <w:t>2.1.555</w:t>
        </w:r>
        <w:r>
          <w:rPr>
            <w:rFonts w:asciiTheme="minorHAnsi" w:eastAsiaTheme="minorEastAsia" w:hAnsiTheme="minorHAnsi" w:cstheme="minorBidi"/>
            <w:noProof/>
            <w:sz w:val="22"/>
            <w:szCs w:val="22"/>
          </w:rPr>
          <w:tab/>
        </w:r>
        <w:r w:rsidRPr="00CC53E5">
          <w:rPr>
            <w:rStyle w:val="Hyperlink"/>
            <w:noProof/>
          </w:rPr>
          <w:t>Part 1 Section 17.18.84, ST_TabJc (Custom Tab Stop Type)</w:t>
        </w:r>
        <w:r>
          <w:rPr>
            <w:noProof/>
            <w:webHidden/>
          </w:rPr>
          <w:tab/>
        </w:r>
        <w:r>
          <w:rPr>
            <w:noProof/>
            <w:webHidden/>
          </w:rPr>
          <w:fldChar w:fldCharType="begin"/>
        </w:r>
        <w:r>
          <w:rPr>
            <w:noProof/>
            <w:webHidden/>
          </w:rPr>
          <w:instrText xml:space="preserve"> PAGEREF _Toc69878338 \h </w:instrText>
        </w:r>
        <w:r>
          <w:rPr>
            <w:noProof/>
            <w:webHidden/>
          </w:rPr>
        </w:r>
        <w:r>
          <w:rPr>
            <w:noProof/>
            <w:webHidden/>
          </w:rPr>
          <w:fldChar w:fldCharType="separate"/>
        </w:r>
        <w:r>
          <w:rPr>
            <w:noProof/>
            <w:webHidden/>
          </w:rPr>
          <w:t>237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39" w:history="1">
        <w:r w:rsidRPr="00CC53E5">
          <w:rPr>
            <w:rStyle w:val="Hyperlink"/>
            <w:noProof/>
          </w:rPr>
          <w:t>2.1.556</w:t>
        </w:r>
        <w:r>
          <w:rPr>
            <w:rFonts w:asciiTheme="minorHAnsi" w:eastAsiaTheme="minorEastAsia" w:hAnsiTheme="minorHAnsi" w:cstheme="minorBidi"/>
            <w:noProof/>
            <w:sz w:val="22"/>
            <w:szCs w:val="22"/>
          </w:rPr>
          <w:tab/>
        </w:r>
        <w:r w:rsidRPr="00CC53E5">
          <w:rPr>
            <w:rStyle w:val="Hyperlink"/>
            <w:noProof/>
          </w:rPr>
          <w:t>Part 1 Section 17.18.89, ST_TblStyleOverrideType (Conditional Table Style Formatting Types)</w:t>
        </w:r>
        <w:r>
          <w:rPr>
            <w:noProof/>
            <w:webHidden/>
          </w:rPr>
          <w:tab/>
        </w:r>
        <w:r>
          <w:rPr>
            <w:noProof/>
            <w:webHidden/>
          </w:rPr>
          <w:fldChar w:fldCharType="begin"/>
        </w:r>
        <w:r>
          <w:rPr>
            <w:noProof/>
            <w:webHidden/>
          </w:rPr>
          <w:instrText xml:space="preserve"> PAGEREF _Toc69878339 \h </w:instrText>
        </w:r>
        <w:r>
          <w:rPr>
            <w:noProof/>
            <w:webHidden/>
          </w:rPr>
        </w:r>
        <w:r>
          <w:rPr>
            <w:noProof/>
            <w:webHidden/>
          </w:rPr>
          <w:fldChar w:fldCharType="separate"/>
        </w:r>
        <w:r>
          <w:rPr>
            <w:noProof/>
            <w:webHidden/>
          </w:rPr>
          <w:t>238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40" w:history="1">
        <w:r w:rsidRPr="00CC53E5">
          <w:rPr>
            <w:rStyle w:val="Hyperlink"/>
            <w:noProof/>
          </w:rPr>
          <w:t>2.1.557</w:t>
        </w:r>
        <w:r>
          <w:rPr>
            <w:rFonts w:asciiTheme="minorHAnsi" w:eastAsiaTheme="minorEastAsia" w:hAnsiTheme="minorHAnsi" w:cstheme="minorBidi"/>
            <w:noProof/>
            <w:sz w:val="22"/>
            <w:szCs w:val="22"/>
          </w:rPr>
          <w:tab/>
        </w:r>
        <w:r w:rsidRPr="00CC53E5">
          <w:rPr>
            <w:rStyle w:val="Hyperlink"/>
            <w:noProof/>
          </w:rPr>
          <w:t>Part 1 Section 17.18.93, ST_TextDirection (Text Flow Direction)</w:t>
        </w:r>
        <w:r>
          <w:rPr>
            <w:noProof/>
            <w:webHidden/>
          </w:rPr>
          <w:tab/>
        </w:r>
        <w:r>
          <w:rPr>
            <w:noProof/>
            <w:webHidden/>
          </w:rPr>
          <w:fldChar w:fldCharType="begin"/>
        </w:r>
        <w:r>
          <w:rPr>
            <w:noProof/>
            <w:webHidden/>
          </w:rPr>
          <w:instrText xml:space="preserve"> PAGEREF _Toc69878340 \h </w:instrText>
        </w:r>
        <w:r>
          <w:rPr>
            <w:noProof/>
            <w:webHidden/>
          </w:rPr>
        </w:r>
        <w:r>
          <w:rPr>
            <w:noProof/>
            <w:webHidden/>
          </w:rPr>
          <w:fldChar w:fldCharType="separate"/>
        </w:r>
        <w:r>
          <w:rPr>
            <w:noProof/>
            <w:webHidden/>
          </w:rPr>
          <w:t>238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41" w:history="1">
        <w:r w:rsidRPr="00CC53E5">
          <w:rPr>
            <w:rStyle w:val="Hyperlink"/>
            <w:noProof/>
          </w:rPr>
          <w:t>2.1.558</w:t>
        </w:r>
        <w:r>
          <w:rPr>
            <w:rFonts w:asciiTheme="minorHAnsi" w:eastAsiaTheme="minorEastAsia" w:hAnsiTheme="minorHAnsi" w:cstheme="minorBidi"/>
            <w:noProof/>
            <w:sz w:val="22"/>
            <w:szCs w:val="22"/>
          </w:rPr>
          <w:tab/>
        </w:r>
        <w:r w:rsidRPr="00CC53E5">
          <w:rPr>
            <w:rStyle w:val="Hyperlink"/>
            <w:noProof/>
          </w:rPr>
          <w:t>Part 1 Section 17.18.94, ST_TextEffect (Animated Text Effects)</w:t>
        </w:r>
        <w:r>
          <w:rPr>
            <w:noProof/>
            <w:webHidden/>
          </w:rPr>
          <w:tab/>
        </w:r>
        <w:r>
          <w:rPr>
            <w:noProof/>
            <w:webHidden/>
          </w:rPr>
          <w:fldChar w:fldCharType="begin"/>
        </w:r>
        <w:r>
          <w:rPr>
            <w:noProof/>
            <w:webHidden/>
          </w:rPr>
          <w:instrText xml:space="preserve"> PAGEREF _Toc69878341 \h </w:instrText>
        </w:r>
        <w:r>
          <w:rPr>
            <w:noProof/>
            <w:webHidden/>
          </w:rPr>
        </w:r>
        <w:r>
          <w:rPr>
            <w:noProof/>
            <w:webHidden/>
          </w:rPr>
          <w:fldChar w:fldCharType="separate"/>
        </w:r>
        <w:r>
          <w:rPr>
            <w:noProof/>
            <w:webHidden/>
          </w:rPr>
          <w:t>239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42" w:history="1">
        <w:r w:rsidRPr="00CC53E5">
          <w:rPr>
            <w:rStyle w:val="Hyperlink"/>
            <w:noProof/>
          </w:rPr>
          <w:t>2.1.559</w:t>
        </w:r>
        <w:r>
          <w:rPr>
            <w:rFonts w:asciiTheme="minorHAnsi" w:eastAsiaTheme="minorEastAsia" w:hAnsiTheme="minorHAnsi" w:cstheme="minorBidi"/>
            <w:noProof/>
            <w:sz w:val="22"/>
            <w:szCs w:val="22"/>
          </w:rPr>
          <w:tab/>
        </w:r>
        <w:r w:rsidRPr="00CC53E5">
          <w:rPr>
            <w:rStyle w:val="Hyperlink"/>
            <w:noProof/>
          </w:rPr>
          <w:t>Part 1 Section 17.18.95, ST_TextScale (Text Expansion/Compression Percentage)</w:t>
        </w:r>
        <w:r>
          <w:rPr>
            <w:noProof/>
            <w:webHidden/>
          </w:rPr>
          <w:tab/>
        </w:r>
        <w:r>
          <w:rPr>
            <w:noProof/>
            <w:webHidden/>
          </w:rPr>
          <w:fldChar w:fldCharType="begin"/>
        </w:r>
        <w:r>
          <w:rPr>
            <w:noProof/>
            <w:webHidden/>
          </w:rPr>
          <w:instrText xml:space="preserve"> PAGEREF _Toc69878342 \h </w:instrText>
        </w:r>
        <w:r>
          <w:rPr>
            <w:noProof/>
            <w:webHidden/>
          </w:rPr>
        </w:r>
        <w:r>
          <w:rPr>
            <w:noProof/>
            <w:webHidden/>
          </w:rPr>
          <w:fldChar w:fldCharType="separate"/>
        </w:r>
        <w:r>
          <w:rPr>
            <w:noProof/>
            <w:webHidden/>
          </w:rPr>
          <w:t>239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43" w:history="1">
        <w:r w:rsidRPr="00CC53E5">
          <w:rPr>
            <w:rStyle w:val="Hyperlink"/>
            <w:noProof/>
          </w:rPr>
          <w:t>2.1.560</w:t>
        </w:r>
        <w:r>
          <w:rPr>
            <w:rFonts w:asciiTheme="minorHAnsi" w:eastAsiaTheme="minorEastAsia" w:hAnsiTheme="minorHAnsi" w:cstheme="minorBidi"/>
            <w:noProof/>
            <w:sz w:val="22"/>
            <w:szCs w:val="22"/>
          </w:rPr>
          <w:tab/>
        </w:r>
        <w:r w:rsidRPr="00CC53E5">
          <w:rPr>
            <w:rStyle w:val="Hyperlink"/>
            <w:noProof/>
          </w:rPr>
          <w:t>Part 1 Section 17.18.101, ST_VerticalJc (Vertical Alignment Type)</w:t>
        </w:r>
        <w:r>
          <w:rPr>
            <w:noProof/>
            <w:webHidden/>
          </w:rPr>
          <w:tab/>
        </w:r>
        <w:r>
          <w:rPr>
            <w:noProof/>
            <w:webHidden/>
          </w:rPr>
          <w:fldChar w:fldCharType="begin"/>
        </w:r>
        <w:r>
          <w:rPr>
            <w:noProof/>
            <w:webHidden/>
          </w:rPr>
          <w:instrText xml:space="preserve"> PAGEREF _Toc69878343 \h </w:instrText>
        </w:r>
        <w:r>
          <w:rPr>
            <w:noProof/>
            <w:webHidden/>
          </w:rPr>
        </w:r>
        <w:r>
          <w:rPr>
            <w:noProof/>
            <w:webHidden/>
          </w:rPr>
          <w:fldChar w:fldCharType="separate"/>
        </w:r>
        <w:r>
          <w:rPr>
            <w:noProof/>
            <w:webHidden/>
          </w:rPr>
          <w:t>240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44" w:history="1">
        <w:r w:rsidRPr="00CC53E5">
          <w:rPr>
            <w:rStyle w:val="Hyperlink"/>
            <w:noProof/>
          </w:rPr>
          <w:t>2.1.561</w:t>
        </w:r>
        <w:r>
          <w:rPr>
            <w:rFonts w:asciiTheme="minorHAnsi" w:eastAsiaTheme="minorEastAsia" w:hAnsiTheme="minorHAnsi" w:cstheme="minorBidi"/>
            <w:noProof/>
            <w:sz w:val="22"/>
            <w:szCs w:val="22"/>
          </w:rPr>
          <w:tab/>
        </w:r>
        <w:r w:rsidRPr="00CC53E5">
          <w:rPr>
            <w:rStyle w:val="Hyperlink"/>
            <w:noProof/>
          </w:rPr>
          <w:t>Part 1 Section 17.18.102, ST_View (Document View Values)</w:t>
        </w:r>
        <w:r>
          <w:rPr>
            <w:noProof/>
            <w:webHidden/>
          </w:rPr>
          <w:tab/>
        </w:r>
        <w:r>
          <w:rPr>
            <w:noProof/>
            <w:webHidden/>
          </w:rPr>
          <w:fldChar w:fldCharType="begin"/>
        </w:r>
        <w:r>
          <w:rPr>
            <w:noProof/>
            <w:webHidden/>
          </w:rPr>
          <w:instrText xml:space="preserve"> PAGEREF _Toc69878344 \h </w:instrText>
        </w:r>
        <w:r>
          <w:rPr>
            <w:noProof/>
            <w:webHidden/>
          </w:rPr>
        </w:r>
        <w:r>
          <w:rPr>
            <w:noProof/>
            <w:webHidden/>
          </w:rPr>
          <w:fldChar w:fldCharType="separate"/>
        </w:r>
        <w:r>
          <w:rPr>
            <w:noProof/>
            <w:webHidden/>
          </w:rPr>
          <w:t>240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45" w:history="1">
        <w:r w:rsidRPr="00CC53E5">
          <w:rPr>
            <w:rStyle w:val="Hyperlink"/>
            <w:noProof/>
          </w:rPr>
          <w:t>2.1.562</w:t>
        </w:r>
        <w:r>
          <w:rPr>
            <w:rFonts w:asciiTheme="minorHAnsi" w:eastAsiaTheme="minorEastAsia" w:hAnsiTheme="minorHAnsi" w:cstheme="minorBidi"/>
            <w:noProof/>
            <w:sz w:val="22"/>
            <w:szCs w:val="22"/>
          </w:rPr>
          <w:tab/>
        </w:r>
        <w:r w:rsidRPr="00CC53E5">
          <w:rPr>
            <w:rStyle w:val="Hyperlink"/>
            <w:noProof/>
          </w:rPr>
          <w:t>Part 1 Section 17.18.104, ST_Wrap (Text Wrapping around Text Frame Type)</w:t>
        </w:r>
        <w:r>
          <w:rPr>
            <w:noProof/>
            <w:webHidden/>
          </w:rPr>
          <w:tab/>
        </w:r>
        <w:r>
          <w:rPr>
            <w:noProof/>
            <w:webHidden/>
          </w:rPr>
          <w:fldChar w:fldCharType="begin"/>
        </w:r>
        <w:r>
          <w:rPr>
            <w:noProof/>
            <w:webHidden/>
          </w:rPr>
          <w:instrText xml:space="preserve"> PAGEREF _Toc69878345 \h </w:instrText>
        </w:r>
        <w:r>
          <w:rPr>
            <w:noProof/>
            <w:webHidden/>
          </w:rPr>
        </w:r>
        <w:r>
          <w:rPr>
            <w:noProof/>
            <w:webHidden/>
          </w:rPr>
          <w:fldChar w:fldCharType="separate"/>
        </w:r>
        <w:r>
          <w:rPr>
            <w:noProof/>
            <w:webHidden/>
          </w:rPr>
          <w:t>240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46" w:history="1">
        <w:r w:rsidRPr="00CC53E5">
          <w:rPr>
            <w:rStyle w:val="Hyperlink"/>
            <w:noProof/>
          </w:rPr>
          <w:t>2.1.563</w:t>
        </w:r>
        <w:r>
          <w:rPr>
            <w:rFonts w:asciiTheme="minorHAnsi" w:eastAsiaTheme="minorEastAsia" w:hAnsiTheme="minorHAnsi" w:cstheme="minorBidi"/>
            <w:noProof/>
            <w:sz w:val="22"/>
            <w:szCs w:val="22"/>
          </w:rPr>
          <w:tab/>
        </w:r>
        <w:r w:rsidRPr="00CC53E5">
          <w:rPr>
            <w:rStyle w:val="Hyperlink"/>
            <w:noProof/>
          </w:rPr>
          <w:t>Part 1 Section 18.2.1, bookViews (Workbook Views)</w:t>
        </w:r>
        <w:r>
          <w:rPr>
            <w:noProof/>
            <w:webHidden/>
          </w:rPr>
          <w:tab/>
        </w:r>
        <w:r>
          <w:rPr>
            <w:noProof/>
            <w:webHidden/>
          </w:rPr>
          <w:fldChar w:fldCharType="begin"/>
        </w:r>
        <w:r>
          <w:rPr>
            <w:noProof/>
            <w:webHidden/>
          </w:rPr>
          <w:instrText xml:space="preserve"> PAGEREF _Toc69878346 \h </w:instrText>
        </w:r>
        <w:r>
          <w:rPr>
            <w:noProof/>
            <w:webHidden/>
          </w:rPr>
        </w:r>
        <w:r>
          <w:rPr>
            <w:noProof/>
            <w:webHidden/>
          </w:rPr>
          <w:fldChar w:fldCharType="separate"/>
        </w:r>
        <w:r>
          <w:rPr>
            <w:noProof/>
            <w:webHidden/>
          </w:rPr>
          <w:t>240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47" w:history="1">
        <w:r w:rsidRPr="00CC53E5">
          <w:rPr>
            <w:rStyle w:val="Hyperlink"/>
            <w:noProof/>
          </w:rPr>
          <w:t>2.1.564</w:t>
        </w:r>
        <w:r>
          <w:rPr>
            <w:rFonts w:asciiTheme="minorHAnsi" w:eastAsiaTheme="minorEastAsia" w:hAnsiTheme="minorHAnsi" w:cstheme="minorBidi"/>
            <w:noProof/>
            <w:sz w:val="22"/>
            <w:szCs w:val="22"/>
          </w:rPr>
          <w:tab/>
        </w:r>
        <w:r w:rsidRPr="00CC53E5">
          <w:rPr>
            <w:rStyle w:val="Hyperlink"/>
            <w:noProof/>
          </w:rPr>
          <w:t>Part 1 Section 18.2.2, calcPr (Calculation Properties)</w:t>
        </w:r>
        <w:r>
          <w:rPr>
            <w:noProof/>
            <w:webHidden/>
          </w:rPr>
          <w:tab/>
        </w:r>
        <w:r>
          <w:rPr>
            <w:noProof/>
            <w:webHidden/>
          </w:rPr>
          <w:fldChar w:fldCharType="begin"/>
        </w:r>
        <w:r>
          <w:rPr>
            <w:noProof/>
            <w:webHidden/>
          </w:rPr>
          <w:instrText xml:space="preserve"> PAGEREF _Toc69878347 \h </w:instrText>
        </w:r>
        <w:r>
          <w:rPr>
            <w:noProof/>
            <w:webHidden/>
          </w:rPr>
        </w:r>
        <w:r>
          <w:rPr>
            <w:noProof/>
            <w:webHidden/>
          </w:rPr>
          <w:fldChar w:fldCharType="separate"/>
        </w:r>
        <w:r>
          <w:rPr>
            <w:noProof/>
            <w:webHidden/>
          </w:rPr>
          <w:t>240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48" w:history="1">
        <w:r w:rsidRPr="00CC53E5">
          <w:rPr>
            <w:rStyle w:val="Hyperlink"/>
            <w:noProof/>
          </w:rPr>
          <w:t>2.1.565</w:t>
        </w:r>
        <w:r>
          <w:rPr>
            <w:rFonts w:asciiTheme="minorHAnsi" w:eastAsiaTheme="minorEastAsia" w:hAnsiTheme="minorHAnsi" w:cstheme="minorBidi"/>
            <w:noProof/>
            <w:sz w:val="22"/>
            <w:szCs w:val="22"/>
          </w:rPr>
          <w:tab/>
        </w:r>
        <w:r w:rsidRPr="00CC53E5">
          <w:rPr>
            <w:rStyle w:val="Hyperlink"/>
            <w:noProof/>
          </w:rPr>
          <w:t>Part 1 Section 18.2.3, customWorkbookView (Custom Workbook View)</w:t>
        </w:r>
        <w:r>
          <w:rPr>
            <w:noProof/>
            <w:webHidden/>
          </w:rPr>
          <w:tab/>
        </w:r>
        <w:r>
          <w:rPr>
            <w:noProof/>
            <w:webHidden/>
          </w:rPr>
          <w:fldChar w:fldCharType="begin"/>
        </w:r>
        <w:r>
          <w:rPr>
            <w:noProof/>
            <w:webHidden/>
          </w:rPr>
          <w:instrText xml:space="preserve"> PAGEREF _Toc69878348 \h </w:instrText>
        </w:r>
        <w:r>
          <w:rPr>
            <w:noProof/>
            <w:webHidden/>
          </w:rPr>
        </w:r>
        <w:r>
          <w:rPr>
            <w:noProof/>
            <w:webHidden/>
          </w:rPr>
          <w:fldChar w:fldCharType="separate"/>
        </w:r>
        <w:r>
          <w:rPr>
            <w:noProof/>
            <w:webHidden/>
          </w:rPr>
          <w:t>240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49" w:history="1">
        <w:r w:rsidRPr="00CC53E5">
          <w:rPr>
            <w:rStyle w:val="Hyperlink"/>
            <w:noProof/>
          </w:rPr>
          <w:t>2.1.566</w:t>
        </w:r>
        <w:r>
          <w:rPr>
            <w:rFonts w:asciiTheme="minorHAnsi" w:eastAsiaTheme="minorEastAsia" w:hAnsiTheme="minorHAnsi" w:cstheme="minorBidi"/>
            <w:noProof/>
            <w:sz w:val="22"/>
            <w:szCs w:val="22"/>
          </w:rPr>
          <w:tab/>
        </w:r>
        <w:r w:rsidRPr="00CC53E5">
          <w:rPr>
            <w:rStyle w:val="Hyperlink"/>
            <w:noProof/>
          </w:rPr>
          <w:t>Part 1 Section 18.2.4, customWorkbookViews (Custom Workbook Views)</w:t>
        </w:r>
        <w:r>
          <w:rPr>
            <w:noProof/>
            <w:webHidden/>
          </w:rPr>
          <w:tab/>
        </w:r>
        <w:r>
          <w:rPr>
            <w:noProof/>
            <w:webHidden/>
          </w:rPr>
          <w:fldChar w:fldCharType="begin"/>
        </w:r>
        <w:r>
          <w:rPr>
            <w:noProof/>
            <w:webHidden/>
          </w:rPr>
          <w:instrText xml:space="preserve"> PAGEREF _Toc69878349 \h </w:instrText>
        </w:r>
        <w:r>
          <w:rPr>
            <w:noProof/>
            <w:webHidden/>
          </w:rPr>
        </w:r>
        <w:r>
          <w:rPr>
            <w:noProof/>
            <w:webHidden/>
          </w:rPr>
          <w:fldChar w:fldCharType="separate"/>
        </w:r>
        <w:r>
          <w:rPr>
            <w:noProof/>
            <w:webHidden/>
          </w:rPr>
          <w:t>241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50" w:history="1">
        <w:r w:rsidRPr="00CC53E5">
          <w:rPr>
            <w:rStyle w:val="Hyperlink"/>
            <w:noProof/>
          </w:rPr>
          <w:t>2.1.567</w:t>
        </w:r>
        <w:r>
          <w:rPr>
            <w:rFonts w:asciiTheme="minorHAnsi" w:eastAsiaTheme="minorEastAsia" w:hAnsiTheme="minorHAnsi" w:cstheme="minorBidi"/>
            <w:noProof/>
            <w:sz w:val="22"/>
            <w:szCs w:val="22"/>
          </w:rPr>
          <w:tab/>
        </w:r>
        <w:r w:rsidRPr="00CC53E5">
          <w:rPr>
            <w:rStyle w:val="Hyperlink"/>
            <w:noProof/>
          </w:rPr>
          <w:t>Part 1 Section 18.2.5, definedName (Defined Name)</w:t>
        </w:r>
        <w:r>
          <w:rPr>
            <w:noProof/>
            <w:webHidden/>
          </w:rPr>
          <w:tab/>
        </w:r>
        <w:r>
          <w:rPr>
            <w:noProof/>
            <w:webHidden/>
          </w:rPr>
          <w:fldChar w:fldCharType="begin"/>
        </w:r>
        <w:r>
          <w:rPr>
            <w:noProof/>
            <w:webHidden/>
          </w:rPr>
          <w:instrText xml:space="preserve"> PAGEREF _Toc69878350 \h </w:instrText>
        </w:r>
        <w:r>
          <w:rPr>
            <w:noProof/>
            <w:webHidden/>
          </w:rPr>
        </w:r>
        <w:r>
          <w:rPr>
            <w:noProof/>
            <w:webHidden/>
          </w:rPr>
          <w:fldChar w:fldCharType="separate"/>
        </w:r>
        <w:r>
          <w:rPr>
            <w:noProof/>
            <w:webHidden/>
          </w:rPr>
          <w:t>241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51" w:history="1">
        <w:r w:rsidRPr="00CC53E5">
          <w:rPr>
            <w:rStyle w:val="Hyperlink"/>
            <w:noProof/>
          </w:rPr>
          <w:t>2.1.568</w:t>
        </w:r>
        <w:r>
          <w:rPr>
            <w:rFonts w:asciiTheme="minorHAnsi" w:eastAsiaTheme="minorEastAsia" w:hAnsiTheme="minorHAnsi" w:cstheme="minorBidi"/>
            <w:noProof/>
            <w:sz w:val="22"/>
            <w:szCs w:val="22"/>
          </w:rPr>
          <w:tab/>
        </w:r>
        <w:r w:rsidRPr="00CC53E5">
          <w:rPr>
            <w:rStyle w:val="Hyperlink"/>
            <w:noProof/>
          </w:rPr>
          <w:t>Part 1 Section 18.2.6, definedNames (Defined Names)</w:t>
        </w:r>
        <w:r>
          <w:rPr>
            <w:noProof/>
            <w:webHidden/>
          </w:rPr>
          <w:tab/>
        </w:r>
        <w:r>
          <w:rPr>
            <w:noProof/>
            <w:webHidden/>
          </w:rPr>
          <w:fldChar w:fldCharType="begin"/>
        </w:r>
        <w:r>
          <w:rPr>
            <w:noProof/>
            <w:webHidden/>
          </w:rPr>
          <w:instrText xml:space="preserve"> PAGEREF _Toc69878351 \h </w:instrText>
        </w:r>
        <w:r>
          <w:rPr>
            <w:noProof/>
            <w:webHidden/>
          </w:rPr>
        </w:r>
        <w:r>
          <w:rPr>
            <w:noProof/>
            <w:webHidden/>
          </w:rPr>
          <w:fldChar w:fldCharType="separate"/>
        </w:r>
        <w:r>
          <w:rPr>
            <w:noProof/>
            <w:webHidden/>
          </w:rPr>
          <w:t>243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52" w:history="1">
        <w:r w:rsidRPr="00CC53E5">
          <w:rPr>
            <w:rStyle w:val="Hyperlink"/>
            <w:noProof/>
          </w:rPr>
          <w:t>2.1.569</w:t>
        </w:r>
        <w:r>
          <w:rPr>
            <w:rFonts w:asciiTheme="minorHAnsi" w:eastAsiaTheme="minorEastAsia" w:hAnsiTheme="minorHAnsi" w:cstheme="minorBidi"/>
            <w:noProof/>
            <w:sz w:val="22"/>
            <w:szCs w:val="22"/>
          </w:rPr>
          <w:tab/>
        </w:r>
        <w:r w:rsidRPr="00CC53E5">
          <w:rPr>
            <w:rStyle w:val="Hyperlink"/>
            <w:noProof/>
          </w:rPr>
          <w:t>Part 1 Section 18.2.7, ext (Extension)</w:t>
        </w:r>
        <w:r>
          <w:rPr>
            <w:noProof/>
            <w:webHidden/>
          </w:rPr>
          <w:tab/>
        </w:r>
        <w:r>
          <w:rPr>
            <w:noProof/>
            <w:webHidden/>
          </w:rPr>
          <w:fldChar w:fldCharType="begin"/>
        </w:r>
        <w:r>
          <w:rPr>
            <w:noProof/>
            <w:webHidden/>
          </w:rPr>
          <w:instrText xml:space="preserve"> PAGEREF _Toc69878352 \h </w:instrText>
        </w:r>
        <w:r>
          <w:rPr>
            <w:noProof/>
            <w:webHidden/>
          </w:rPr>
        </w:r>
        <w:r>
          <w:rPr>
            <w:noProof/>
            <w:webHidden/>
          </w:rPr>
          <w:fldChar w:fldCharType="separate"/>
        </w:r>
        <w:r>
          <w:rPr>
            <w:noProof/>
            <w:webHidden/>
          </w:rPr>
          <w:t>243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53" w:history="1">
        <w:r w:rsidRPr="00CC53E5">
          <w:rPr>
            <w:rStyle w:val="Hyperlink"/>
            <w:noProof/>
          </w:rPr>
          <w:t>2.1.570</w:t>
        </w:r>
        <w:r>
          <w:rPr>
            <w:rFonts w:asciiTheme="minorHAnsi" w:eastAsiaTheme="minorEastAsia" w:hAnsiTheme="minorHAnsi" w:cstheme="minorBidi"/>
            <w:noProof/>
            <w:sz w:val="22"/>
            <w:szCs w:val="22"/>
          </w:rPr>
          <w:tab/>
        </w:r>
        <w:r w:rsidRPr="00CC53E5">
          <w:rPr>
            <w:rStyle w:val="Hyperlink"/>
            <w:noProof/>
          </w:rPr>
          <w:t>Part 1 Section 18.2.9, externalReferences (External References)</w:t>
        </w:r>
        <w:r>
          <w:rPr>
            <w:noProof/>
            <w:webHidden/>
          </w:rPr>
          <w:tab/>
        </w:r>
        <w:r>
          <w:rPr>
            <w:noProof/>
            <w:webHidden/>
          </w:rPr>
          <w:fldChar w:fldCharType="begin"/>
        </w:r>
        <w:r>
          <w:rPr>
            <w:noProof/>
            <w:webHidden/>
          </w:rPr>
          <w:instrText xml:space="preserve"> PAGEREF _Toc69878353 \h </w:instrText>
        </w:r>
        <w:r>
          <w:rPr>
            <w:noProof/>
            <w:webHidden/>
          </w:rPr>
        </w:r>
        <w:r>
          <w:rPr>
            <w:noProof/>
            <w:webHidden/>
          </w:rPr>
          <w:fldChar w:fldCharType="separate"/>
        </w:r>
        <w:r>
          <w:rPr>
            <w:noProof/>
            <w:webHidden/>
          </w:rPr>
          <w:t>243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54" w:history="1">
        <w:r w:rsidRPr="00CC53E5">
          <w:rPr>
            <w:rStyle w:val="Hyperlink"/>
            <w:noProof/>
          </w:rPr>
          <w:t>2.1.571</w:t>
        </w:r>
        <w:r>
          <w:rPr>
            <w:rFonts w:asciiTheme="minorHAnsi" w:eastAsiaTheme="minorEastAsia" w:hAnsiTheme="minorHAnsi" w:cstheme="minorBidi"/>
            <w:noProof/>
            <w:sz w:val="22"/>
            <w:szCs w:val="22"/>
          </w:rPr>
          <w:tab/>
        </w:r>
        <w:r w:rsidRPr="00CC53E5">
          <w:rPr>
            <w:rStyle w:val="Hyperlink"/>
            <w:noProof/>
          </w:rPr>
          <w:t>Part 1 Section 18.2.11, fileRecoveryPr (File Recovery Properties)</w:t>
        </w:r>
        <w:r>
          <w:rPr>
            <w:noProof/>
            <w:webHidden/>
          </w:rPr>
          <w:tab/>
        </w:r>
        <w:r>
          <w:rPr>
            <w:noProof/>
            <w:webHidden/>
          </w:rPr>
          <w:fldChar w:fldCharType="begin"/>
        </w:r>
        <w:r>
          <w:rPr>
            <w:noProof/>
            <w:webHidden/>
          </w:rPr>
          <w:instrText xml:space="preserve"> PAGEREF _Toc69878354 \h </w:instrText>
        </w:r>
        <w:r>
          <w:rPr>
            <w:noProof/>
            <w:webHidden/>
          </w:rPr>
        </w:r>
        <w:r>
          <w:rPr>
            <w:noProof/>
            <w:webHidden/>
          </w:rPr>
          <w:fldChar w:fldCharType="separate"/>
        </w:r>
        <w:r>
          <w:rPr>
            <w:noProof/>
            <w:webHidden/>
          </w:rPr>
          <w:t>243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55" w:history="1">
        <w:r w:rsidRPr="00CC53E5">
          <w:rPr>
            <w:rStyle w:val="Hyperlink"/>
            <w:noProof/>
          </w:rPr>
          <w:t>2.1.572</w:t>
        </w:r>
        <w:r>
          <w:rPr>
            <w:rFonts w:asciiTheme="minorHAnsi" w:eastAsiaTheme="minorEastAsia" w:hAnsiTheme="minorHAnsi" w:cstheme="minorBidi"/>
            <w:noProof/>
            <w:sz w:val="22"/>
            <w:szCs w:val="22"/>
          </w:rPr>
          <w:tab/>
        </w:r>
        <w:r w:rsidRPr="00CC53E5">
          <w:rPr>
            <w:rStyle w:val="Hyperlink"/>
            <w:noProof/>
          </w:rPr>
          <w:t>Part 1 Section 18.2.12, fileSharing (File Sharing)</w:t>
        </w:r>
        <w:r>
          <w:rPr>
            <w:noProof/>
            <w:webHidden/>
          </w:rPr>
          <w:tab/>
        </w:r>
        <w:r>
          <w:rPr>
            <w:noProof/>
            <w:webHidden/>
          </w:rPr>
          <w:fldChar w:fldCharType="begin"/>
        </w:r>
        <w:r>
          <w:rPr>
            <w:noProof/>
            <w:webHidden/>
          </w:rPr>
          <w:instrText xml:space="preserve"> PAGEREF _Toc69878355 \h </w:instrText>
        </w:r>
        <w:r>
          <w:rPr>
            <w:noProof/>
            <w:webHidden/>
          </w:rPr>
        </w:r>
        <w:r>
          <w:rPr>
            <w:noProof/>
            <w:webHidden/>
          </w:rPr>
          <w:fldChar w:fldCharType="separate"/>
        </w:r>
        <w:r>
          <w:rPr>
            <w:noProof/>
            <w:webHidden/>
          </w:rPr>
          <w:t>243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56" w:history="1">
        <w:r w:rsidRPr="00CC53E5">
          <w:rPr>
            <w:rStyle w:val="Hyperlink"/>
            <w:noProof/>
          </w:rPr>
          <w:t>2.1.573</w:t>
        </w:r>
        <w:r>
          <w:rPr>
            <w:rFonts w:asciiTheme="minorHAnsi" w:eastAsiaTheme="minorEastAsia" w:hAnsiTheme="minorHAnsi" w:cstheme="minorBidi"/>
            <w:noProof/>
            <w:sz w:val="22"/>
            <w:szCs w:val="22"/>
          </w:rPr>
          <w:tab/>
        </w:r>
        <w:r w:rsidRPr="00CC53E5">
          <w:rPr>
            <w:rStyle w:val="Hyperlink"/>
            <w:noProof/>
          </w:rPr>
          <w:t>Part 1 Section 18.2.13, fileVersion (File Version)</w:t>
        </w:r>
        <w:r>
          <w:rPr>
            <w:noProof/>
            <w:webHidden/>
          </w:rPr>
          <w:tab/>
        </w:r>
        <w:r>
          <w:rPr>
            <w:noProof/>
            <w:webHidden/>
          </w:rPr>
          <w:fldChar w:fldCharType="begin"/>
        </w:r>
        <w:r>
          <w:rPr>
            <w:noProof/>
            <w:webHidden/>
          </w:rPr>
          <w:instrText xml:space="preserve"> PAGEREF _Toc69878356 \h </w:instrText>
        </w:r>
        <w:r>
          <w:rPr>
            <w:noProof/>
            <w:webHidden/>
          </w:rPr>
        </w:r>
        <w:r>
          <w:rPr>
            <w:noProof/>
            <w:webHidden/>
          </w:rPr>
          <w:fldChar w:fldCharType="separate"/>
        </w:r>
        <w:r>
          <w:rPr>
            <w:noProof/>
            <w:webHidden/>
          </w:rPr>
          <w:t>245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57" w:history="1">
        <w:r w:rsidRPr="00CC53E5">
          <w:rPr>
            <w:rStyle w:val="Hyperlink"/>
            <w:noProof/>
          </w:rPr>
          <w:t>2.1.574</w:t>
        </w:r>
        <w:r>
          <w:rPr>
            <w:rFonts w:asciiTheme="minorHAnsi" w:eastAsiaTheme="minorEastAsia" w:hAnsiTheme="minorHAnsi" w:cstheme="minorBidi"/>
            <w:noProof/>
            <w:sz w:val="22"/>
            <w:szCs w:val="22"/>
          </w:rPr>
          <w:tab/>
        </w:r>
        <w:r w:rsidRPr="00CC53E5">
          <w:rPr>
            <w:rStyle w:val="Hyperlink"/>
            <w:noProof/>
          </w:rPr>
          <w:t>Part 1 Section 18.2.14, functionGroup (Function Group)</w:t>
        </w:r>
        <w:r>
          <w:rPr>
            <w:noProof/>
            <w:webHidden/>
          </w:rPr>
          <w:tab/>
        </w:r>
        <w:r>
          <w:rPr>
            <w:noProof/>
            <w:webHidden/>
          </w:rPr>
          <w:fldChar w:fldCharType="begin"/>
        </w:r>
        <w:r>
          <w:rPr>
            <w:noProof/>
            <w:webHidden/>
          </w:rPr>
          <w:instrText xml:space="preserve"> PAGEREF _Toc69878357 \h </w:instrText>
        </w:r>
        <w:r>
          <w:rPr>
            <w:noProof/>
            <w:webHidden/>
          </w:rPr>
        </w:r>
        <w:r>
          <w:rPr>
            <w:noProof/>
            <w:webHidden/>
          </w:rPr>
          <w:fldChar w:fldCharType="separate"/>
        </w:r>
        <w:r>
          <w:rPr>
            <w:noProof/>
            <w:webHidden/>
          </w:rPr>
          <w:t>246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58" w:history="1">
        <w:r w:rsidRPr="00CC53E5">
          <w:rPr>
            <w:rStyle w:val="Hyperlink"/>
            <w:noProof/>
          </w:rPr>
          <w:t>2.1.575</w:t>
        </w:r>
        <w:r>
          <w:rPr>
            <w:rFonts w:asciiTheme="minorHAnsi" w:eastAsiaTheme="minorEastAsia" w:hAnsiTheme="minorHAnsi" w:cstheme="minorBidi"/>
            <w:noProof/>
            <w:sz w:val="22"/>
            <w:szCs w:val="22"/>
          </w:rPr>
          <w:tab/>
        </w:r>
        <w:r w:rsidRPr="00CC53E5">
          <w:rPr>
            <w:rStyle w:val="Hyperlink"/>
            <w:noProof/>
          </w:rPr>
          <w:t>Part 1 Section 18.2.15, functionGroups (Function Groups)</w:t>
        </w:r>
        <w:r>
          <w:rPr>
            <w:noProof/>
            <w:webHidden/>
          </w:rPr>
          <w:tab/>
        </w:r>
        <w:r>
          <w:rPr>
            <w:noProof/>
            <w:webHidden/>
          </w:rPr>
          <w:fldChar w:fldCharType="begin"/>
        </w:r>
        <w:r>
          <w:rPr>
            <w:noProof/>
            <w:webHidden/>
          </w:rPr>
          <w:instrText xml:space="preserve"> PAGEREF _Toc69878358 \h </w:instrText>
        </w:r>
        <w:r>
          <w:rPr>
            <w:noProof/>
            <w:webHidden/>
          </w:rPr>
        </w:r>
        <w:r>
          <w:rPr>
            <w:noProof/>
            <w:webHidden/>
          </w:rPr>
          <w:fldChar w:fldCharType="separate"/>
        </w:r>
        <w:r>
          <w:rPr>
            <w:noProof/>
            <w:webHidden/>
          </w:rPr>
          <w:t>246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59" w:history="1">
        <w:r w:rsidRPr="00CC53E5">
          <w:rPr>
            <w:rStyle w:val="Hyperlink"/>
            <w:noProof/>
          </w:rPr>
          <w:t>2.1.576</w:t>
        </w:r>
        <w:r>
          <w:rPr>
            <w:rFonts w:asciiTheme="minorHAnsi" w:eastAsiaTheme="minorEastAsia" w:hAnsiTheme="minorHAnsi" w:cstheme="minorBidi"/>
            <w:noProof/>
            <w:sz w:val="22"/>
            <w:szCs w:val="22"/>
          </w:rPr>
          <w:tab/>
        </w:r>
        <w:r w:rsidRPr="00CC53E5">
          <w:rPr>
            <w:rStyle w:val="Hyperlink"/>
            <w:noProof/>
          </w:rPr>
          <w:t>Part 1 Section 18.2.16, oleSize (Embedded Object Size)</w:t>
        </w:r>
        <w:r>
          <w:rPr>
            <w:noProof/>
            <w:webHidden/>
          </w:rPr>
          <w:tab/>
        </w:r>
        <w:r>
          <w:rPr>
            <w:noProof/>
            <w:webHidden/>
          </w:rPr>
          <w:fldChar w:fldCharType="begin"/>
        </w:r>
        <w:r>
          <w:rPr>
            <w:noProof/>
            <w:webHidden/>
          </w:rPr>
          <w:instrText xml:space="preserve"> PAGEREF _Toc69878359 \h </w:instrText>
        </w:r>
        <w:r>
          <w:rPr>
            <w:noProof/>
            <w:webHidden/>
          </w:rPr>
        </w:r>
        <w:r>
          <w:rPr>
            <w:noProof/>
            <w:webHidden/>
          </w:rPr>
          <w:fldChar w:fldCharType="separate"/>
        </w:r>
        <w:r>
          <w:rPr>
            <w:noProof/>
            <w:webHidden/>
          </w:rPr>
          <w:t>246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60" w:history="1">
        <w:r w:rsidRPr="00CC53E5">
          <w:rPr>
            <w:rStyle w:val="Hyperlink"/>
            <w:noProof/>
          </w:rPr>
          <w:t>2.1.577</w:t>
        </w:r>
        <w:r>
          <w:rPr>
            <w:rFonts w:asciiTheme="minorHAnsi" w:eastAsiaTheme="minorEastAsia" w:hAnsiTheme="minorHAnsi" w:cstheme="minorBidi"/>
            <w:noProof/>
            <w:sz w:val="22"/>
            <w:szCs w:val="22"/>
          </w:rPr>
          <w:tab/>
        </w:r>
        <w:r w:rsidRPr="00CC53E5">
          <w:rPr>
            <w:rStyle w:val="Hyperlink"/>
            <w:noProof/>
          </w:rPr>
          <w:t>Part 1 Section 18.2.19, sheet (Sheet Information)</w:t>
        </w:r>
        <w:r>
          <w:rPr>
            <w:noProof/>
            <w:webHidden/>
          </w:rPr>
          <w:tab/>
        </w:r>
        <w:r>
          <w:rPr>
            <w:noProof/>
            <w:webHidden/>
          </w:rPr>
          <w:fldChar w:fldCharType="begin"/>
        </w:r>
        <w:r>
          <w:rPr>
            <w:noProof/>
            <w:webHidden/>
          </w:rPr>
          <w:instrText xml:space="preserve"> PAGEREF _Toc69878360 \h </w:instrText>
        </w:r>
        <w:r>
          <w:rPr>
            <w:noProof/>
            <w:webHidden/>
          </w:rPr>
        </w:r>
        <w:r>
          <w:rPr>
            <w:noProof/>
            <w:webHidden/>
          </w:rPr>
          <w:fldChar w:fldCharType="separate"/>
        </w:r>
        <w:r>
          <w:rPr>
            <w:noProof/>
            <w:webHidden/>
          </w:rPr>
          <w:t>246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61" w:history="1">
        <w:r w:rsidRPr="00CC53E5">
          <w:rPr>
            <w:rStyle w:val="Hyperlink"/>
            <w:noProof/>
          </w:rPr>
          <w:t>2.1.578</w:t>
        </w:r>
        <w:r>
          <w:rPr>
            <w:rFonts w:asciiTheme="minorHAnsi" w:eastAsiaTheme="minorEastAsia" w:hAnsiTheme="minorHAnsi" w:cstheme="minorBidi"/>
            <w:noProof/>
            <w:sz w:val="22"/>
            <w:szCs w:val="22"/>
          </w:rPr>
          <w:tab/>
        </w:r>
        <w:r w:rsidRPr="00CC53E5">
          <w:rPr>
            <w:rStyle w:val="Hyperlink"/>
            <w:noProof/>
          </w:rPr>
          <w:t>Part 1 Section 18.2.20, sheets (Sheets)</w:t>
        </w:r>
        <w:r>
          <w:rPr>
            <w:noProof/>
            <w:webHidden/>
          </w:rPr>
          <w:tab/>
        </w:r>
        <w:r>
          <w:rPr>
            <w:noProof/>
            <w:webHidden/>
          </w:rPr>
          <w:fldChar w:fldCharType="begin"/>
        </w:r>
        <w:r>
          <w:rPr>
            <w:noProof/>
            <w:webHidden/>
          </w:rPr>
          <w:instrText xml:space="preserve"> PAGEREF _Toc69878361 \h </w:instrText>
        </w:r>
        <w:r>
          <w:rPr>
            <w:noProof/>
            <w:webHidden/>
          </w:rPr>
        </w:r>
        <w:r>
          <w:rPr>
            <w:noProof/>
            <w:webHidden/>
          </w:rPr>
          <w:fldChar w:fldCharType="separate"/>
        </w:r>
        <w:r>
          <w:rPr>
            <w:noProof/>
            <w:webHidden/>
          </w:rPr>
          <w:t>247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62" w:history="1">
        <w:r w:rsidRPr="00CC53E5">
          <w:rPr>
            <w:rStyle w:val="Hyperlink"/>
            <w:noProof/>
          </w:rPr>
          <w:t>2.1.579</w:t>
        </w:r>
        <w:r>
          <w:rPr>
            <w:rFonts w:asciiTheme="minorHAnsi" w:eastAsiaTheme="minorEastAsia" w:hAnsiTheme="minorHAnsi" w:cstheme="minorBidi"/>
            <w:noProof/>
            <w:sz w:val="22"/>
            <w:szCs w:val="22"/>
          </w:rPr>
          <w:tab/>
        </w:r>
        <w:r w:rsidRPr="00CC53E5">
          <w:rPr>
            <w:rStyle w:val="Hyperlink"/>
            <w:noProof/>
          </w:rPr>
          <w:t>Part 1 Section 18.2.22, smartTagType (Smart Tag Type)</w:t>
        </w:r>
        <w:r>
          <w:rPr>
            <w:noProof/>
            <w:webHidden/>
          </w:rPr>
          <w:tab/>
        </w:r>
        <w:r>
          <w:rPr>
            <w:noProof/>
            <w:webHidden/>
          </w:rPr>
          <w:fldChar w:fldCharType="begin"/>
        </w:r>
        <w:r>
          <w:rPr>
            <w:noProof/>
            <w:webHidden/>
          </w:rPr>
          <w:instrText xml:space="preserve"> PAGEREF _Toc69878362 \h </w:instrText>
        </w:r>
        <w:r>
          <w:rPr>
            <w:noProof/>
            <w:webHidden/>
          </w:rPr>
        </w:r>
        <w:r>
          <w:rPr>
            <w:noProof/>
            <w:webHidden/>
          </w:rPr>
          <w:fldChar w:fldCharType="separate"/>
        </w:r>
        <w:r>
          <w:rPr>
            <w:noProof/>
            <w:webHidden/>
          </w:rPr>
          <w:t>247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63" w:history="1">
        <w:r w:rsidRPr="00CC53E5">
          <w:rPr>
            <w:rStyle w:val="Hyperlink"/>
            <w:noProof/>
          </w:rPr>
          <w:t>2.1.580</w:t>
        </w:r>
        <w:r>
          <w:rPr>
            <w:rFonts w:asciiTheme="minorHAnsi" w:eastAsiaTheme="minorEastAsia" w:hAnsiTheme="minorHAnsi" w:cstheme="minorBidi"/>
            <w:noProof/>
            <w:sz w:val="22"/>
            <w:szCs w:val="22"/>
          </w:rPr>
          <w:tab/>
        </w:r>
        <w:r w:rsidRPr="00CC53E5">
          <w:rPr>
            <w:rStyle w:val="Hyperlink"/>
            <w:noProof/>
          </w:rPr>
          <w:t>Part 1 Section 18.2.23, smartTagTypes (Smart Tag Types)</w:t>
        </w:r>
        <w:r>
          <w:rPr>
            <w:noProof/>
            <w:webHidden/>
          </w:rPr>
          <w:tab/>
        </w:r>
        <w:r>
          <w:rPr>
            <w:noProof/>
            <w:webHidden/>
          </w:rPr>
          <w:fldChar w:fldCharType="begin"/>
        </w:r>
        <w:r>
          <w:rPr>
            <w:noProof/>
            <w:webHidden/>
          </w:rPr>
          <w:instrText xml:space="preserve"> PAGEREF _Toc69878363 \h </w:instrText>
        </w:r>
        <w:r>
          <w:rPr>
            <w:noProof/>
            <w:webHidden/>
          </w:rPr>
        </w:r>
        <w:r>
          <w:rPr>
            <w:noProof/>
            <w:webHidden/>
          </w:rPr>
          <w:fldChar w:fldCharType="separate"/>
        </w:r>
        <w:r>
          <w:rPr>
            <w:noProof/>
            <w:webHidden/>
          </w:rPr>
          <w:t>247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64" w:history="1">
        <w:r w:rsidRPr="00CC53E5">
          <w:rPr>
            <w:rStyle w:val="Hyperlink"/>
            <w:noProof/>
          </w:rPr>
          <w:t>2.1.581</w:t>
        </w:r>
        <w:r>
          <w:rPr>
            <w:rFonts w:asciiTheme="minorHAnsi" w:eastAsiaTheme="minorEastAsia" w:hAnsiTheme="minorHAnsi" w:cstheme="minorBidi"/>
            <w:noProof/>
            <w:sz w:val="22"/>
            <w:szCs w:val="22"/>
          </w:rPr>
          <w:tab/>
        </w:r>
        <w:r w:rsidRPr="00CC53E5">
          <w:rPr>
            <w:rStyle w:val="Hyperlink"/>
            <w:noProof/>
          </w:rPr>
          <w:t>Part 1 Section 18.2.24, webPublishing (Web Publishing Properties)</w:t>
        </w:r>
        <w:r>
          <w:rPr>
            <w:noProof/>
            <w:webHidden/>
          </w:rPr>
          <w:tab/>
        </w:r>
        <w:r>
          <w:rPr>
            <w:noProof/>
            <w:webHidden/>
          </w:rPr>
          <w:fldChar w:fldCharType="begin"/>
        </w:r>
        <w:r>
          <w:rPr>
            <w:noProof/>
            <w:webHidden/>
          </w:rPr>
          <w:instrText xml:space="preserve"> PAGEREF _Toc69878364 \h </w:instrText>
        </w:r>
        <w:r>
          <w:rPr>
            <w:noProof/>
            <w:webHidden/>
          </w:rPr>
        </w:r>
        <w:r>
          <w:rPr>
            <w:noProof/>
            <w:webHidden/>
          </w:rPr>
          <w:fldChar w:fldCharType="separate"/>
        </w:r>
        <w:r>
          <w:rPr>
            <w:noProof/>
            <w:webHidden/>
          </w:rPr>
          <w:t>247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65" w:history="1">
        <w:r w:rsidRPr="00CC53E5">
          <w:rPr>
            <w:rStyle w:val="Hyperlink"/>
            <w:noProof/>
          </w:rPr>
          <w:t>2.1.582</w:t>
        </w:r>
        <w:r>
          <w:rPr>
            <w:rFonts w:asciiTheme="minorHAnsi" w:eastAsiaTheme="minorEastAsia" w:hAnsiTheme="minorHAnsi" w:cstheme="minorBidi"/>
            <w:noProof/>
            <w:sz w:val="22"/>
            <w:szCs w:val="22"/>
          </w:rPr>
          <w:tab/>
        </w:r>
        <w:r w:rsidRPr="00CC53E5">
          <w:rPr>
            <w:rStyle w:val="Hyperlink"/>
            <w:noProof/>
          </w:rPr>
          <w:t>Part 1 Section 18.2.25, webPublishObject (Web Publishing Object)</w:t>
        </w:r>
        <w:r>
          <w:rPr>
            <w:noProof/>
            <w:webHidden/>
          </w:rPr>
          <w:tab/>
        </w:r>
        <w:r>
          <w:rPr>
            <w:noProof/>
            <w:webHidden/>
          </w:rPr>
          <w:fldChar w:fldCharType="begin"/>
        </w:r>
        <w:r>
          <w:rPr>
            <w:noProof/>
            <w:webHidden/>
          </w:rPr>
          <w:instrText xml:space="preserve"> PAGEREF _Toc69878365 \h </w:instrText>
        </w:r>
        <w:r>
          <w:rPr>
            <w:noProof/>
            <w:webHidden/>
          </w:rPr>
        </w:r>
        <w:r>
          <w:rPr>
            <w:noProof/>
            <w:webHidden/>
          </w:rPr>
          <w:fldChar w:fldCharType="separate"/>
        </w:r>
        <w:r>
          <w:rPr>
            <w:noProof/>
            <w:webHidden/>
          </w:rPr>
          <w:t>247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66" w:history="1">
        <w:r w:rsidRPr="00CC53E5">
          <w:rPr>
            <w:rStyle w:val="Hyperlink"/>
            <w:noProof/>
          </w:rPr>
          <w:t>2.1.583</w:t>
        </w:r>
        <w:r>
          <w:rPr>
            <w:rFonts w:asciiTheme="minorHAnsi" w:eastAsiaTheme="minorEastAsia" w:hAnsiTheme="minorHAnsi" w:cstheme="minorBidi"/>
            <w:noProof/>
            <w:sz w:val="22"/>
            <w:szCs w:val="22"/>
          </w:rPr>
          <w:tab/>
        </w:r>
        <w:r w:rsidRPr="00CC53E5">
          <w:rPr>
            <w:rStyle w:val="Hyperlink"/>
            <w:noProof/>
          </w:rPr>
          <w:t>Part 1 Section 18.2.27, workbook (Workbook)</w:t>
        </w:r>
        <w:r>
          <w:rPr>
            <w:noProof/>
            <w:webHidden/>
          </w:rPr>
          <w:tab/>
        </w:r>
        <w:r>
          <w:rPr>
            <w:noProof/>
            <w:webHidden/>
          </w:rPr>
          <w:fldChar w:fldCharType="begin"/>
        </w:r>
        <w:r>
          <w:rPr>
            <w:noProof/>
            <w:webHidden/>
          </w:rPr>
          <w:instrText xml:space="preserve"> PAGEREF _Toc69878366 \h </w:instrText>
        </w:r>
        <w:r>
          <w:rPr>
            <w:noProof/>
            <w:webHidden/>
          </w:rPr>
        </w:r>
        <w:r>
          <w:rPr>
            <w:noProof/>
            <w:webHidden/>
          </w:rPr>
          <w:fldChar w:fldCharType="separate"/>
        </w:r>
        <w:r>
          <w:rPr>
            <w:noProof/>
            <w:webHidden/>
          </w:rPr>
          <w:t>248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67" w:history="1">
        <w:r w:rsidRPr="00CC53E5">
          <w:rPr>
            <w:rStyle w:val="Hyperlink"/>
            <w:noProof/>
          </w:rPr>
          <w:t>2.1.584</w:t>
        </w:r>
        <w:r>
          <w:rPr>
            <w:rFonts w:asciiTheme="minorHAnsi" w:eastAsiaTheme="minorEastAsia" w:hAnsiTheme="minorHAnsi" w:cstheme="minorBidi"/>
            <w:noProof/>
            <w:sz w:val="22"/>
            <w:szCs w:val="22"/>
          </w:rPr>
          <w:tab/>
        </w:r>
        <w:r w:rsidRPr="00CC53E5">
          <w:rPr>
            <w:rStyle w:val="Hyperlink"/>
            <w:noProof/>
          </w:rPr>
          <w:t>Part 1 Section 18.2.28, workbookPr (Workbook Properties)</w:t>
        </w:r>
        <w:r>
          <w:rPr>
            <w:noProof/>
            <w:webHidden/>
          </w:rPr>
          <w:tab/>
        </w:r>
        <w:r>
          <w:rPr>
            <w:noProof/>
            <w:webHidden/>
          </w:rPr>
          <w:fldChar w:fldCharType="begin"/>
        </w:r>
        <w:r>
          <w:rPr>
            <w:noProof/>
            <w:webHidden/>
          </w:rPr>
          <w:instrText xml:space="preserve"> PAGEREF _Toc69878367 \h </w:instrText>
        </w:r>
        <w:r>
          <w:rPr>
            <w:noProof/>
            <w:webHidden/>
          </w:rPr>
        </w:r>
        <w:r>
          <w:rPr>
            <w:noProof/>
            <w:webHidden/>
          </w:rPr>
          <w:fldChar w:fldCharType="separate"/>
        </w:r>
        <w:r>
          <w:rPr>
            <w:noProof/>
            <w:webHidden/>
          </w:rPr>
          <w:t>248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68" w:history="1">
        <w:r w:rsidRPr="00CC53E5">
          <w:rPr>
            <w:rStyle w:val="Hyperlink"/>
            <w:noProof/>
          </w:rPr>
          <w:t>2.1.585</w:t>
        </w:r>
        <w:r>
          <w:rPr>
            <w:rFonts w:asciiTheme="minorHAnsi" w:eastAsiaTheme="minorEastAsia" w:hAnsiTheme="minorHAnsi" w:cstheme="minorBidi"/>
            <w:noProof/>
            <w:sz w:val="22"/>
            <w:szCs w:val="22"/>
          </w:rPr>
          <w:tab/>
        </w:r>
        <w:r w:rsidRPr="00CC53E5">
          <w:rPr>
            <w:rStyle w:val="Hyperlink"/>
            <w:noProof/>
          </w:rPr>
          <w:t>Part 1 Section 18.2.29, workbookProtection (Workbook Protection)</w:t>
        </w:r>
        <w:r>
          <w:rPr>
            <w:noProof/>
            <w:webHidden/>
          </w:rPr>
          <w:tab/>
        </w:r>
        <w:r>
          <w:rPr>
            <w:noProof/>
            <w:webHidden/>
          </w:rPr>
          <w:fldChar w:fldCharType="begin"/>
        </w:r>
        <w:r>
          <w:rPr>
            <w:noProof/>
            <w:webHidden/>
          </w:rPr>
          <w:instrText xml:space="preserve"> PAGEREF _Toc69878368 \h </w:instrText>
        </w:r>
        <w:r>
          <w:rPr>
            <w:noProof/>
            <w:webHidden/>
          </w:rPr>
        </w:r>
        <w:r>
          <w:rPr>
            <w:noProof/>
            <w:webHidden/>
          </w:rPr>
          <w:fldChar w:fldCharType="separate"/>
        </w:r>
        <w:r>
          <w:rPr>
            <w:noProof/>
            <w:webHidden/>
          </w:rPr>
          <w:t>249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69" w:history="1">
        <w:r w:rsidRPr="00CC53E5">
          <w:rPr>
            <w:rStyle w:val="Hyperlink"/>
            <w:noProof/>
          </w:rPr>
          <w:t>2.1.586</w:t>
        </w:r>
        <w:r>
          <w:rPr>
            <w:rFonts w:asciiTheme="minorHAnsi" w:eastAsiaTheme="minorEastAsia" w:hAnsiTheme="minorHAnsi" w:cstheme="minorBidi"/>
            <w:noProof/>
            <w:sz w:val="22"/>
            <w:szCs w:val="22"/>
          </w:rPr>
          <w:tab/>
        </w:r>
        <w:r w:rsidRPr="00CC53E5">
          <w:rPr>
            <w:rStyle w:val="Hyperlink"/>
            <w:noProof/>
          </w:rPr>
          <w:t>Part 1 Section 18.2.30, workbookView (Workbook View)</w:t>
        </w:r>
        <w:r>
          <w:rPr>
            <w:noProof/>
            <w:webHidden/>
          </w:rPr>
          <w:tab/>
        </w:r>
        <w:r>
          <w:rPr>
            <w:noProof/>
            <w:webHidden/>
          </w:rPr>
          <w:fldChar w:fldCharType="begin"/>
        </w:r>
        <w:r>
          <w:rPr>
            <w:noProof/>
            <w:webHidden/>
          </w:rPr>
          <w:instrText xml:space="preserve"> PAGEREF _Toc69878369 \h </w:instrText>
        </w:r>
        <w:r>
          <w:rPr>
            <w:noProof/>
            <w:webHidden/>
          </w:rPr>
        </w:r>
        <w:r>
          <w:rPr>
            <w:noProof/>
            <w:webHidden/>
          </w:rPr>
          <w:fldChar w:fldCharType="separate"/>
        </w:r>
        <w:r>
          <w:rPr>
            <w:noProof/>
            <w:webHidden/>
          </w:rPr>
          <w:t>253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70" w:history="1">
        <w:r w:rsidRPr="00CC53E5">
          <w:rPr>
            <w:rStyle w:val="Hyperlink"/>
            <w:noProof/>
          </w:rPr>
          <w:t>2.1.587</w:t>
        </w:r>
        <w:r>
          <w:rPr>
            <w:rFonts w:asciiTheme="minorHAnsi" w:eastAsiaTheme="minorEastAsia" w:hAnsiTheme="minorHAnsi" w:cstheme="minorBidi"/>
            <w:noProof/>
            <w:sz w:val="22"/>
            <w:szCs w:val="22"/>
          </w:rPr>
          <w:tab/>
        </w:r>
        <w:r w:rsidRPr="00CC53E5">
          <w:rPr>
            <w:rStyle w:val="Hyperlink"/>
            <w:noProof/>
          </w:rPr>
          <w:t>Part 1 Section 18.3.1.1, anchor (Object Cell Anchor)</w:t>
        </w:r>
        <w:r>
          <w:rPr>
            <w:noProof/>
            <w:webHidden/>
          </w:rPr>
          <w:tab/>
        </w:r>
        <w:r>
          <w:rPr>
            <w:noProof/>
            <w:webHidden/>
          </w:rPr>
          <w:fldChar w:fldCharType="begin"/>
        </w:r>
        <w:r>
          <w:rPr>
            <w:noProof/>
            <w:webHidden/>
          </w:rPr>
          <w:instrText xml:space="preserve"> PAGEREF _Toc69878370 \h </w:instrText>
        </w:r>
        <w:r>
          <w:rPr>
            <w:noProof/>
            <w:webHidden/>
          </w:rPr>
        </w:r>
        <w:r>
          <w:rPr>
            <w:noProof/>
            <w:webHidden/>
          </w:rPr>
          <w:fldChar w:fldCharType="separate"/>
        </w:r>
        <w:r>
          <w:rPr>
            <w:noProof/>
            <w:webHidden/>
          </w:rPr>
          <w:t>253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71" w:history="1">
        <w:r w:rsidRPr="00CC53E5">
          <w:rPr>
            <w:rStyle w:val="Hyperlink"/>
            <w:noProof/>
          </w:rPr>
          <w:t>2.1.588</w:t>
        </w:r>
        <w:r>
          <w:rPr>
            <w:rFonts w:asciiTheme="minorHAnsi" w:eastAsiaTheme="minorEastAsia" w:hAnsiTheme="minorHAnsi" w:cstheme="minorBidi"/>
            <w:noProof/>
            <w:sz w:val="22"/>
            <w:szCs w:val="22"/>
          </w:rPr>
          <w:tab/>
        </w:r>
        <w:r w:rsidRPr="00CC53E5">
          <w:rPr>
            <w:rStyle w:val="Hyperlink"/>
            <w:noProof/>
          </w:rPr>
          <w:t>Part 1 Section 18.3.1.3, brk (Break)</w:t>
        </w:r>
        <w:r>
          <w:rPr>
            <w:noProof/>
            <w:webHidden/>
          </w:rPr>
          <w:tab/>
        </w:r>
        <w:r>
          <w:rPr>
            <w:noProof/>
            <w:webHidden/>
          </w:rPr>
          <w:fldChar w:fldCharType="begin"/>
        </w:r>
        <w:r>
          <w:rPr>
            <w:noProof/>
            <w:webHidden/>
          </w:rPr>
          <w:instrText xml:space="preserve"> PAGEREF _Toc69878371 \h </w:instrText>
        </w:r>
        <w:r>
          <w:rPr>
            <w:noProof/>
            <w:webHidden/>
          </w:rPr>
        </w:r>
        <w:r>
          <w:rPr>
            <w:noProof/>
            <w:webHidden/>
          </w:rPr>
          <w:fldChar w:fldCharType="separate"/>
        </w:r>
        <w:r>
          <w:rPr>
            <w:noProof/>
            <w:webHidden/>
          </w:rPr>
          <w:t>254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72" w:history="1">
        <w:r w:rsidRPr="00CC53E5">
          <w:rPr>
            <w:rStyle w:val="Hyperlink"/>
            <w:noProof/>
          </w:rPr>
          <w:t>2.1.589</w:t>
        </w:r>
        <w:r>
          <w:rPr>
            <w:rFonts w:asciiTheme="minorHAnsi" w:eastAsiaTheme="minorEastAsia" w:hAnsiTheme="minorHAnsi" w:cstheme="minorBidi"/>
            <w:noProof/>
            <w:sz w:val="22"/>
            <w:szCs w:val="22"/>
          </w:rPr>
          <w:tab/>
        </w:r>
        <w:r w:rsidRPr="00CC53E5">
          <w:rPr>
            <w:rStyle w:val="Hyperlink"/>
            <w:noProof/>
          </w:rPr>
          <w:t>Part 1 Section 18.3.1.4, c (Cell)</w:t>
        </w:r>
        <w:r>
          <w:rPr>
            <w:noProof/>
            <w:webHidden/>
          </w:rPr>
          <w:tab/>
        </w:r>
        <w:r>
          <w:rPr>
            <w:noProof/>
            <w:webHidden/>
          </w:rPr>
          <w:fldChar w:fldCharType="begin"/>
        </w:r>
        <w:r>
          <w:rPr>
            <w:noProof/>
            <w:webHidden/>
          </w:rPr>
          <w:instrText xml:space="preserve"> PAGEREF _Toc69878372 \h </w:instrText>
        </w:r>
        <w:r>
          <w:rPr>
            <w:noProof/>
            <w:webHidden/>
          </w:rPr>
        </w:r>
        <w:r>
          <w:rPr>
            <w:noProof/>
            <w:webHidden/>
          </w:rPr>
          <w:fldChar w:fldCharType="separate"/>
        </w:r>
        <w:r>
          <w:rPr>
            <w:noProof/>
            <w:webHidden/>
          </w:rPr>
          <w:t>254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73" w:history="1">
        <w:r w:rsidRPr="00CC53E5">
          <w:rPr>
            <w:rStyle w:val="Hyperlink"/>
            <w:noProof/>
          </w:rPr>
          <w:t>2.1.590</w:t>
        </w:r>
        <w:r>
          <w:rPr>
            <w:rFonts w:asciiTheme="minorHAnsi" w:eastAsiaTheme="minorEastAsia" w:hAnsiTheme="minorHAnsi" w:cstheme="minorBidi"/>
            <w:noProof/>
            <w:sz w:val="22"/>
            <w:szCs w:val="22"/>
          </w:rPr>
          <w:tab/>
        </w:r>
        <w:r w:rsidRPr="00CC53E5">
          <w:rPr>
            <w:rStyle w:val="Hyperlink"/>
            <w:noProof/>
          </w:rPr>
          <w:t>Part 1 Section 18.3.1.5, cellSmartTag (Cell Smart Tag)</w:t>
        </w:r>
        <w:r>
          <w:rPr>
            <w:noProof/>
            <w:webHidden/>
          </w:rPr>
          <w:tab/>
        </w:r>
        <w:r>
          <w:rPr>
            <w:noProof/>
            <w:webHidden/>
          </w:rPr>
          <w:fldChar w:fldCharType="begin"/>
        </w:r>
        <w:r>
          <w:rPr>
            <w:noProof/>
            <w:webHidden/>
          </w:rPr>
          <w:instrText xml:space="preserve"> PAGEREF _Toc69878373 \h </w:instrText>
        </w:r>
        <w:r>
          <w:rPr>
            <w:noProof/>
            <w:webHidden/>
          </w:rPr>
        </w:r>
        <w:r>
          <w:rPr>
            <w:noProof/>
            <w:webHidden/>
          </w:rPr>
          <w:fldChar w:fldCharType="separate"/>
        </w:r>
        <w:r>
          <w:rPr>
            <w:noProof/>
            <w:webHidden/>
          </w:rPr>
          <w:t>255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74" w:history="1">
        <w:r w:rsidRPr="00CC53E5">
          <w:rPr>
            <w:rStyle w:val="Hyperlink"/>
            <w:noProof/>
          </w:rPr>
          <w:t>2.1.591</w:t>
        </w:r>
        <w:r>
          <w:rPr>
            <w:rFonts w:asciiTheme="minorHAnsi" w:eastAsiaTheme="minorEastAsia" w:hAnsiTheme="minorHAnsi" w:cstheme="minorBidi"/>
            <w:noProof/>
            <w:sz w:val="22"/>
            <w:szCs w:val="22"/>
          </w:rPr>
          <w:tab/>
        </w:r>
        <w:r w:rsidRPr="00CC53E5">
          <w:rPr>
            <w:rStyle w:val="Hyperlink"/>
            <w:noProof/>
          </w:rPr>
          <w:t>Part 1 Section 18.3.1.6, cellSmartTagPr (Smart Tag Properties)</w:t>
        </w:r>
        <w:r>
          <w:rPr>
            <w:noProof/>
            <w:webHidden/>
          </w:rPr>
          <w:tab/>
        </w:r>
        <w:r>
          <w:rPr>
            <w:noProof/>
            <w:webHidden/>
          </w:rPr>
          <w:fldChar w:fldCharType="begin"/>
        </w:r>
        <w:r>
          <w:rPr>
            <w:noProof/>
            <w:webHidden/>
          </w:rPr>
          <w:instrText xml:space="preserve"> PAGEREF _Toc69878374 \h </w:instrText>
        </w:r>
        <w:r>
          <w:rPr>
            <w:noProof/>
            <w:webHidden/>
          </w:rPr>
        </w:r>
        <w:r>
          <w:rPr>
            <w:noProof/>
            <w:webHidden/>
          </w:rPr>
          <w:fldChar w:fldCharType="separate"/>
        </w:r>
        <w:r>
          <w:rPr>
            <w:noProof/>
            <w:webHidden/>
          </w:rPr>
          <w:t>255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75" w:history="1">
        <w:r w:rsidRPr="00CC53E5">
          <w:rPr>
            <w:rStyle w:val="Hyperlink"/>
            <w:noProof/>
          </w:rPr>
          <w:t>2.1.592</w:t>
        </w:r>
        <w:r>
          <w:rPr>
            <w:rFonts w:asciiTheme="minorHAnsi" w:eastAsiaTheme="minorEastAsia" w:hAnsiTheme="minorHAnsi" w:cstheme="minorBidi"/>
            <w:noProof/>
            <w:sz w:val="22"/>
            <w:szCs w:val="22"/>
          </w:rPr>
          <w:tab/>
        </w:r>
        <w:r w:rsidRPr="00CC53E5">
          <w:rPr>
            <w:rStyle w:val="Hyperlink"/>
            <w:noProof/>
          </w:rPr>
          <w:t>Part 1 Section 18.3.1.7, cellSmartTags (Cell Smart Tags)</w:t>
        </w:r>
        <w:r>
          <w:rPr>
            <w:noProof/>
            <w:webHidden/>
          </w:rPr>
          <w:tab/>
        </w:r>
        <w:r>
          <w:rPr>
            <w:noProof/>
            <w:webHidden/>
          </w:rPr>
          <w:fldChar w:fldCharType="begin"/>
        </w:r>
        <w:r>
          <w:rPr>
            <w:noProof/>
            <w:webHidden/>
          </w:rPr>
          <w:instrText xml:space="preserve"> PAGEREF _Toc69878375 \h </w:instrText>
        </w:r>
        <w:r>
          <w:rPr>
            <w:noProof/>
            <w:webHidden/>
          </w:rPr>
        </w:r>
        <w:r>
          <w:rPr>
            <w:noProof/>
            <w:webHidden/>
          </w:rPr>
          <w:fldChar w:fldCharType="separate"/>
        </w:r>
        <w:r>
          <w:rPr>
            <w:noProof/>
            <w:webHidden/>
          </w:rPr>
          <w:t>255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76" w:history="1">
        <w:r w:rsidRPr="00CC53E5">
          <w:rPr>
            <w:rStyle w:val="Hyperlink"/>
            <w:noProof/>
          </w:rPr>
          <w:t>2.1.593</w:t>
        </w:r>
        <w:r>
          <w:rPr>
            <w:rFonts w:asciiTheme="minorHAnsi" w:eastAsiaTheme="minorEastAsia" w:hAnsiTheme="minorHAnsi" w:cstheme="minorBidi"/>
            <w:noProof/>
            <w:sz w:val="22"/>
            <w:szCs w:val="22"/>
          </w:rPr>
          <w:tab/>
        </w:r>
        <w:r w:rsidRPr="00CC53E5">
          <w:rPr>
            <w:rStyle w:val="Hyperlink"/>
            <w:noProof/>
          </w:rPr>
          <w:t>Part 1 Section 18.3.1.8, cellWatch (Cell Watch Item)</w:t>
        </w:r>
        <w:r>
          <w:rPr>
            <w:noProof/>
            <w:webHidden/>
          </w:rPr>
          <w:tab/>
        </w:r>
        <w:r>
          <w:rPr>
            <w:noProof/>
            <w:webHidden/>
          </w:rPr>
          <w:fldChar w:fldCharType="begin"/>
        </w:r>
        <w:r>
          <w:rPr>
            <w:noProof/>
            <w:webHidden/>
          </w:rPr>
          <w:instrText xml:space="preserve"> PAGEREF _Toc69878376 \h </w:instrText>
        </w:r>
        <w:r>
          <w:rPr>
            <w:noProof/>
            <w:webHidden/>
          </w:rPr>
        </w:r>
        <w:r>
          <w:rPr>
            <w:noProof/>
            <w:webHidden/>
          </w:rPr>
          <w:fldChar w:fldCharType="separate"/>
        </w:r>
        <w:r>
          <w:rPr>
            <w:noProof/>
            <w:webHidden/>
          </w:rPr>
          <w:t>255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77" w:history="1">
        <w:r w:rsidRPr="00CC53E5">
          <w:rPr>
            <w:rStyle w:val="Hyperlink"/>
            <w:noProof/>
          </w:rPr>
          <w:t>2.1.594</w:t>
        </w:r>
        <w:r>
          <w:rPr>
            <w:rFonts w:asciiTheme="minorHAnsi" w:eastAsiaTheme="minorEastAsia" w:hAnsiTheme="minorHAnsi" w:cstheme="minorBidi"/>
            <w:noProof/>
            <w:sz w:val="22"/>
            <w:szCs w:val="22"/>
          </w:rPr>
          <w:tab/>
        </w:r>
        <w:r w:rsidRPr="00CC53E5">
          <w:rPr>
            <w:rStyle w:val="Hyperlink"/>
            <w:noProof/>
          </w:rPr>
          <w:t>Part 1 Section 18.3.1.10, cfRule (Conditional Formatting Rule)</w:t>
        </w:r>
        <w:r>
          <w:rPr>
            <w:noProof/>
            <w:webHidden/>
          </w:rPr>
          <w:tab/>
        </w:r>
        <w:r>
          <w:rPr>
            <w:noProof/>
            <w:webHidden/>
          </w:rPr>
          <w:fldChar w:fldCharType="begin"/>
        </w:r>
        <w:r>
          <w:rPr>
            <w:noProof/>
            <w:webHidden/>
          </w:rPr>
          <w:instrText xml:space="preserve"> PAGEREF _Toc69878377 \h </w:instrText>
        </w:r>
        <w:r>
          <w:rPr>
            <w:noProof/>
            <w:webHidden/>
          </w:rPr>
        </w:r>
        <w:r>
          <w:rPr>
            <w:noProof/>
            <w:webHidden/>
          </w:rPr>
          <w:fldChar w:fldCharType="separate"/>
        </w:r>
        <w:r>
          <w:rPr>
            <w:noProof/>
            <w:webHidden/>
          </w:rPr>
          <w:t>255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78" w:history="1">
        <w:r w:rsidRPr="00CC53E5">
          <w:rPr>
            <w:rStyle w:val="Hyperlink"/>
            <w:noProof/>
          </w:rPr>
          <w:t>2.1.595</w:t>
        </w:r>
        <w:r>
          <w:rPr>
            <w:rFonts w:asciiTheme="minorHAnsi" w:eastAsiaTheme="minorEastAsia" w:hAnsiTheme="minorHAnsi" w:cstheme="minorBidi"/>
            <w:noProof/>
            <w:sz w:val="22"/>
            <w:szCs w:val="22"/>
          </w:rPr>
          <w:tab/>
        </w:r>
        <w:r w:rsidRPr="00CC53E5">
          <w:rPr>
            <w:rStyle w:val="Hyperlink"/>
            <w:noProof/>
          </w:rPr>
          <w:t>Part 1 Section 18.3.1.11, cfvo (Conditional Format Value Object)</w:t>
        </w:r>
        <w:r>
          <w:rPr>
            <w:noProof/>
            <w:webHidden/>
          </w:rPr>
          <w:tab/>
        </w:r>
        <w:r>
          <w:rPr>
            <w:noProof/>
            <w:webHidden/>
          </w:rPr>
          <w:fldChar w:fldCharType="begin"/>
        </w:r>
        <w:r>
          <w:rPr>
            <w:noProof/>
            <w:webHidden/>
          </w:rPr>
          <w:instrText xml:space="preserve"> PAGEREF _Toc69878378 \h </w:instrText>
        </w:r>
        <w:r>
          <w:rPr>
            <w:noProof/>
            <w:webHidden/>
          </w:rPr>
        </w:r>
        <w:r>
          <w:rPr>
            <w:noProof/>
            <w:webHidden/>
          </w:rPr>
          <w:fldChar w:fldCharType="separate"/>
        </w:r>
        <w:r>
          <w:rPr>
            <w:noProof/>
            <w:webHidden/>
          </w:rPr>
          <w:t>256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79" w:history="1">
        <w:r w:rsidRPr="00CC53E5">
          <w:rPr>
            <w:rStyle w:val="Hyperlink"/>
            <w:noProof/>
          </w:rPr>
          <w:t>2.1.596</w:t>
        </w:r>
        <w:r>
          <w:rPr>
            <w:rFonts w:asciiTheme="minorHAnsi" w:eastAsiaTheme="minorEastAsia" w:hAnsiTheme="minorHAnsi" w:cstheme="minorBidi"/>
            <w:noProof/>
            <w:sz w:val="22"/>
            <w:szCs w:val="22"/>
          </w:rPr>
          <w:tab/>
        </w:r>
        <w:r w:rsidRPr="00CC53E5">
          <w:rPr>
            <w:rStyle w:val="Hyperlink"/>
            <w:noProof/>
          </w:rPr>
          <w:t>Part 1 Section 18.3.1.12, chartsheet (Chart Sheet)</w:t>
        </w:r>
        <w:r>
          <w:rPr>
            <w:noProof/>
            <w:webHidden/>
          </w:rPr>
          <w:tab/>
        </w:r>
        <w:r>
          <w:rPr>
            <w:noProof/>
            <w:webHidden/>
          </w:rPr>
          <w:fldChar w:fldCharType="begin"/>
        </w:r>
        <w:r>
          <w:rPr>
            <w:noProof/>
            <w:webHidden/>
          </w:rPr>
          <w:instrText xml:space="preserve"> PAGEREF _Toc69878379 \h </w:instrText>
        </w:r>
        <w:r>
          <w:rPr>
            <w:noProof/>
            <w:webHidden/>
          </w:rPr>
        </w:r>
        <w:r>
          <w:rPr>
            <w:noProof/>
            <w:webHidden/>
          </w:rPr>
          <w:fldChar w:fldCharType="separate"/>
        </w:r>
        <w:r>
          <w:rPr>
            <w:noProof/>
            <w:webHidden/>
          </w:rPr>
          <w:t>256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80" w:history="1">
        <w:r w:rsidRPr="00CC53E5">
          <w:rPr>
            <w:rStyle w:val="Hyperlink"/>
            <w:noProof/>
          </w:rPr>
          <w:t>2.1.597</w:t>
        </w:r>
        <w:r>
          <w:rPr>
            <w:rFonts w:asciiTheme="minorHAnsi" w:eastAsiaTheme="minorEastAsia" w:hAnsiTheme="minorHAnsi" w:cstheme="minorBidi"/>
            <w:noProof/>
            <w:sz w:val="22"/>
            <w:szCs w:val="22"/>
          </w:rPr>
          <w:tab/>
        </w:r>
        <w:r w:rsidRPr="00CC53E5">
          <w:rPr>
            <w:rStyle w:val="Hyperlink"/>
            <w:noProof/>
          </w:rPr>
          <w:t>Part 1 Section 18.3.1.13, col (Column Width &amp; Formatting)</w:t>
        </w:r>
        <w:r>
          <w:rPr>
            <w:noProof/>
            <w:webHidden/>
          </w:rPr>
          <w:tab/>
        </w:r>
        <w:r>
          <w:rPr>
            <w:noProof/>
            <w:webHidden/>
          </w:rPr>
          <w:fldChar w:fldCharType="begin"/>
        </w:r>
        <w:r>
          <w:rPr>
            <w:noProof/>
            <w:webHidden/>
          </w:rPr>
          <w:instrText xml:space="preserve"> PAGEREF _Toc69878380 \h </w:instrText>
        </w:r>
        <w:r>
          <w:rPr>
            <w:noProof/>
            <w:webHidden/>
          </w:rPr>
        </w:r>
        <w:r>
          <w:rPr>
            <w:noProof/>
            <w:webHidden/>
          </w:rPr>
          <w:fldChar w:fldCharType="separate"/>
        </w:r>
        <w:r>
          <w:rPr>
            <w:noProof/>
            <w:webHidden/>
          </w:rPr>
          <w:t>256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81" w:history="1">
        <w:r w:rsidRPr="00CC53E5">
          <w:rPr>
            <w:rStyle w:val="Hyperlink"/>
            <w:noProof/>
          </w:rPr>
          <w:t>2.1.598</w:t>
        </w:r>
        <w:r>
          <w:rPr>
            <w:rFonts w:asciiTheme="minorHAnsi" w:eastAsiaTheme="minorEastAsia" w:hAnsiTheme="minorHAnsi" w:cstheme="minorBidi"/>
            <w:noProof/>
            <w:sz w:val="22"/>
            <w:szCs w:val="22"/>
          </w:rPr>
          <w:tab/>
        </w:r>
        <w:r w:rsidRPr="00CC53E5">
          <w:rPr>
            <w:rStyle w:val="Hyperlink"/>
            <w:noProof/>
          </w:rPr>
          <w:t>Part 1 Section 18.3.1.14, colBreaks (Vertical Page Breaks)</w:t>
        </w:r>
        <w:r>
          <w:rPr>
            <w:noProof/>
            <w:webHidden/>
          </w:rPr>
          <w:tab/>
        </w:r>
        <w:r>
          <w:rPr>
            <w:noProof/>
            <w:webHidden/>
          </w:rPr>
          <w:fldChar w:fldCharType="begin"/>
        </w:r>
        <w:r>
          <w:rPr>
            <w:noProof/>
            <w:webHidden/>
          </w:rPr>
          <w:instrText xml:space="preserve"> PAGEREF _Toc69878381 \h </w:instrText>
        </w:r>
        <w:r>
          <w:rPr>
            <w:noProof/>
            <w:webHidden/>
          </w:rPr>
        </w:r>
        <w:r>
          <w:rPr>
            <w:noProof/>
            <w:webHidden/>
          </w:rPr>
          <w:fldChar w:fldCharType="separate"/>
        </w:r>
        <w:r>
          <w:rPr>
            <w:noProof/>
            <w:webHidden/>
          </w:rPr>
          <w:t>257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82" w:history="1">
        <w:r w:rsidRPr="00CC53E5">
          <w:rPr>
            <w:rStyle w:val="Hyperlink"/>
            <w:noProof/>
          </w:rPr>
          <w:t>2.1.599</w:t>
        </w:r>
        <w:r>
          <w:rPr>
            <w:rFonts w:asciiTheme="minorHAnsi" w:eastAsiaTheme="minorEastAsia" w:hAnsiTheme="minorHAnsi" w:cstheme="minorBidi"/>
            <w:noProof/>
            <w:sz w:val="22"/>
            <w:szCs w:val="22"/>
          </w:rPr>
          <w:tab/>
        </w:r>
        <w:r w:rsidRPr="00CC53E5">
          <w:rPr>
            <w:rStyle w:val="Hyperlink"/>
            <w:noProof/>
          </w:rPr>
          <w:t>Part 1 Section 18.3.1.15, color (Data Bar Color)</w:t>
        </w:r>
        <w:r>
          <w:rPr>
            <w:noProof/>
            <w:webHidden/>
          </w:rPr>
          <w:tab/>
        </w:r>
        <w:r>
          <w:rPr>
            <w:noProof/>
            <w:webHidden/>
          </w:rPr>
          <w:fldChar w:fldCharType="begin"/>
        </w:r>
        <w:r>
          <w:rPr>
            <w:noProof/>
            <w:webHidden/>
          </w:rPr>
          <w:instrText xml:space="preserve"> PAGEREF _Toc69878382 \h </w:instrText>
        </w:r>
        <w:r>
          <w:rPr>
            <w:noProof/>
            <w:webHidden/>
          </w:rPr>
        </w:r>
        <w:r>
          <w:rPr>
            <w:noProof/>
            <w:webHidden/>
          </w:rPr>
          <w:fldChar w:fldCharType="separate"/>
        </w:r>
        <w:r>
          <w:rPr>
            <w:noProof/>
            <w:webHidden/>
          </w:rPr>
          <w:t>257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83" w:history="1">
        <w:r w:rsidRPr="00CC53E5">
          <w:rPr>
            <w:rStyle w:val="Hyperlink"/>
            <w:noProof/>
          </w:rPr>
          <w:t>2.1.600</w:t>
        </w:r>
        <w:r>
          <w:rPr>
            <w:rFonts w:asciiTheme="minorHAnsi" w:eastAsiaTheme="minorEastAsia" w:hAnsiTheme="minorHAnsi" w:cstheme="minorBidi"/>
            <w:noProof/>
            <w:sz w:val="22"/>
            <w:szCs w:val="22"/>
          </w:rPr>
          <w:tab/>
        </w:r>
        <w:r w:rsidRPr="00CC53E5">
          <w:rPr>
            <w:rStyle w:val="Hyperlink"/>
            <w:noProof/>
          </w:rPr>
          <w:t>Part 1 Section 18.3.1.16, colorScale (Color Scale)</w:t>
        </w:r>
        <w:r>
          <w:rPr>
            <w:noProof/>
            <w:webHidden/>
          </w:rPr>
          <w:tab/>
        </w:r>
        <w:r>
          <w:rPr>
            <w:noProof/>
            <w:webHidden/>
          </w:rPr>
          <w:fldChar w:fldCharType="begin"/>
        </w:r>
        <w:r>
          <w:rPr>
            <w:noProof/>
            <w:webHidden/>
          </w:rPr>
          <w:instrText xml:space="preserve"> PAGEREF _Toc69878383 \h </w:instrText>
        </w:r>
        <w:r>
          <w:rPr>
            <w:noProof/>
            <w:webHidden/>
          </w:rPr>
        </w:r>
        <w:r>
          <w:rPr>
            <w:noProof/>
            <w:webHidden/>
          </w:rPr>
          <w:fldChar w:fldCharType="separate"/>
        </w:r>
        <w:r>
          <w:rPr>
            <w:noProof/>
            <w:webHidden/>
          </w:rPr>
          <w:t>257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84" w:history="1">
        <w:r w:rsidRPr="00CC53E5">
          <w:rPr>
            <w:rStyle w:val="Hyperlink"/>
            <w:noProof/>
          </w:rPr>
          <w:t>2.1.601</w:t>
        </w:r>
        <w:r>
          <w:rPr>
            <w:rFonts w:asciiTheme="minorHAnsi" w:eastAsiaTheme="minorEastAsia" w:hAnsiTheme="minorHAnsi" w:cstheme="minorBidi"/>
            <w:noProof/>
            <w:sz w:val="22"/>
            <w:szCs w:val="22"/>
          </w:rPr>
          <w:tab/>
        </w:r>
        <w:r w:rsidRPr="00CC53E5">
          <w:rPr>
            <w:rStyle w:val="Hyperlink"/>
            <w:noProof/>
          </w:rPr>
          <w:t>Part 1 Section 18.3.1.18, conditionalFormatting (Conditional Formatting)</w:t>
        </w:r>
        <w:r>
          <w:rPr>
            <w:noProof/>
            <w:webHidden/>
          </w:rPr>
          <w:tab/>
        </w:r>
        <w:r>
          <w:rPr>
            <w:noProof/>
            <w:webHidden/>
          </w:rPr>
          <w:fldChar w:fldCharType="begin"/>
        </w:r>
        <w:r>
          <w:rPr>
            <w:noProof/>
            <w:webHidden/>
          </w:rPr>
          <w:instrText xml:space="preserve"> PAGEREF _Toc69878384 \h </w:instrText>
        </w:r>
        <w:r>
          <w:rPr>
            <w:noProof/>
            <w:webHidden/>
          </w:rPr>
        </w:r>
        <w:r>
          <w:rPr>
            <w:noProof/>
            <w:webHidden/>
          </w:rPr>
          <w:fldChar w:fldCharType="separate"/>
        </w:r>
        <w:r>
          <w:rPr>
            <w:noProof/>
            <w:webHidden/>
          </w:rPr>
          <w:t>257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85" w:history="1">
        <w:r w:rsidRPr="00CC53E5">
          <w:rPr>
            <w:rStyle w:val="Hyperlink"/>
            <w:noProof/>
          </w:rPr>
          <w:t>2.1.602</w:t>
        </w:r>
        <w:r>
          <w:rPr>
            <w:rFonts w:asciiTheme="minorHAnsi" w:eastAsiaTheme="minorEastAsia" w:hAnsiTheme="minorHAnsi" w:cstheme="minorBidi"/>
            <w:noProof/>
            <w:sz w:val="22"/>
            <w:szCs w:val="22"/>
          </w:rPr>
          <w:tab/>
        </w:r>
        <w:r w:rsidRPr="00CC53E5">
          <w:rPr>
            <w:rStyle w:val="Hyperlink"/>
            <w:noProof/>
          </w:rPr>
          <w:t>Part 1 Section 18.3.1.19, control (Embedded Control)</w:t>
        </w:r>
        <w:r>
          <w:rPr>
            <w:noProof/>
            <w:webHidden/>
          </w:rPr>
          <w:tab/>
        </w:r>
        <w:r>
          <w:rPr>
            <w:noProof/>
            <w:webHidden/>
          </w:rPr>
          <w:fldChar w:fldCharType="begin"/>
        </w:r>
        <w:r>
          <w:rPr>
            <w:noProof/>
            <w:webHidden/>
          </w:rPr>
          <w:instrText xml:space="preserve"> PAGEREF _Toc69878385 \h </w:instrText>
        </w:r>
        <w:r>
          <w:rPr>
            <w:noProof/>
            <w:webHidden/>
          </w:rPr>
        </w:r>
        <w:r>
          <w:rPr>
            <w:noProof/>
            <w:webHidden/>
          </w:rPr>
          <w:fldChar w:fldCharType="separate"/>
        </w:r>
        <w:r>
          <w:rPr>
            <w:noProof/>
            <w:webHidden/>
          </w:rPr>
          <w:t>258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86" w:history="1">
        <w:r w:rsidRPr="00CC53E5">
          <w:rPr>
            <w:rStyle w:val="Hyperlink"/>
            <w:noProof/>
          </w:rPr>
          <w:t>2.1.603</w:t>
        </w:r>
        <w:r>
          <w:rPr>
            <w:rFonts w:asciiTheme="minorHAnsi" w:eastAsiaTheme="minorEastAsia" w:hAnsiTheme="minorHAnsi" w:cstheme="minorBidi"/>
            <w:noProof/>
            <w:sz w:val="22"/>
            <w:szCs w:val="22"/>
          </w:rPr>
          <w:tab/>
        </w:r>
        <w:r w:rsidRPr="00CC53E5">
          <w:rPr>
            <w:rStyle w:val="Hyperlink"/>
            <w:noProof/>
          </w:rPr>
          <w:t>Part 1 Section 18.3.1.20, controlPr (Embedded Control Properties)</w:t>
        </w:r>
        <w:r>
          <w:rPr>
            <w:noProof/>
            <w:webHidden/>
          </w:rPr>
          <w:tab/>
        </w:r>
        <w:r>
          <w:rPr>
            <w:noProof/>
            <w:webHidden/>
          </w:rPr>
          <w:fldChar w:fldCharType="begin"/>
        </w:r>
        <w:r>
          <w:rPr>
            <w:noProof/>
            <w:webHidden/>
          </w:rPr>
          <w:instrText xml:space="preserve"> PAGEREF _Toc69878386 \h </w:instrText>
        </w:r>
        <w:r>
          <w:rPr>
            <w:noProof/>
            <w:webHidden/>
          </w:rPr>
        </w:r>
        <w:r>
          <w:rPr>
            <w:noProof/>
            <w:webHidden/>
          </w:rPr>
          <w:fldChar w:fldCharType="separate"/>
        </w:r>
        <w:r>
          <w:rPr>
            <w:noProof/>
            <w:webHidden/>
          </w:rPr>
          <w:t>258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87" w:history="1">
        <w:r w:rsidRPr="00CC53E5">
          <w:rPr>
            <w:rStyle w:val="Hyperlink"/>
            <w:noProof/>
          </w:rPr>
          <w:t>2.1.604</w:t>
        </w:r>
        <w:r>
          <w:rPr>
            <w:rFonts w:asciiTheme="minorHAnsi" w:eastAsiaTheme="minorEastAsia" w:hAnsiTheme="minorHAnsi" w:cstheme="minorBidi"/>
            <w:noProof/>
            <w:sz w:val="22"/>
            <w:szCs w:val="22"/>
          </w:rPr>
          <w:tab/>
        </w:r>
        <w:r w:rsidRPr="00CC53E5">
          <w:rPr>
            <w:rStyle w:val="Hyperlink"/>
            <w:noProof/>
          </w:rPr>
          <w:t>Part 1 Section 18.3.1.21, controls (Embedded Controls)</w:t>
        </w:r>
        <w:r>
          <w:rPr>
            <w:noProof/>
            <w:webHidden/>
          </w:rPr>
          <w:tab/>
        </w:r>
        <w:r>
          <w:rPr>
            <w:noProof/>
            <w:webHidden/>
          </w:rPr>
          <w:fldChar w:fldCharType="begin"/>
        </w:r>
        <w:r>
          <w:rPr>
            <w:noProof/>
            <w:webHidden/>
          </w:rPr>
          <w:instrText xml:space="preserve"> PAGEREF _Toc69878387 \h </w:instrText>
        </w:r>
        <w:r>
          <w:rPr>
            <w:noProof/>
            <w:webHidden/>
          </w:rPr>
        </w:r>
        <w:r>
          <w:rPr>
            <w:noProof/>
            <w:webHidden/>
          </w:rPr>
          <w:fldChar w:fldCharType="separate"/>
        </w:r>
        <w:r>
          <w:rPr>
            <w:noProof/>
            <w:webHidden/>
          </w:rPr>
          <w:t>258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88" w:history="1">
        <w:r w:rsidRPr="00CC53E5">
          <w:rPr>
            <w:rStyle w:val="Hyperlink"/>
            <w:noProof/>
          </w:rPr>
          <w:t>2.1.605</w:t>
        </w:r>
        <w:r>
          <w:rPr>
            <w:rFonts w:asciiTheme="minorHAnsi" w:eastAsiaTheme="minorEastAsia" w:hAnsiTheme="minorHAnsi" w:cstheme="minorBidi"/>
            <w:noProof/>
            <w:sz w:val="22"/>
            <w:szCs w:val="22"/>
          </w:rPr>
          <w:tab/>
        </w:r>
        <w:r w:rsidRPr="00CC53E5">
          <w:rPr>
            <w:rStyle w:val="Hyperlink"/>
            <w:noProof/>
          </w:rPr>
          <w:t>Part 1 Section 18.3.1.22, customPr (Custom Property)</w:t>
        </w:r>
        <w:r>
          <w:rPr>
            <w:noProof/>
            <w:webHidden/>
          </w:rPr>
          <w:tab/>
        </w:r>
        <w:r>
          <w:rPr>
            <w:noProof/>
            <w:webHidden/>
          </w:rPr>
          <w:fldChar w:fldCharType="begin"/>
        </w:r>
        <w:r>
          <w:rPr>
            <w:noProof/>
            <w:webHidden/>
          </w:rPr>
          <w:instrText xml:space="preserve"> PAGEREF _Toc69878388 \h </w:instrText>
        </w:r>
        <w:r>
          <w:rPr>
            <w:noProof/>
            <w:webHidden/>
          </w:rPr>
        </w:r>
        <w:r>
          <w:rPr>
            <w:noProof/>
            <w:webHidden/>
          </w:rPr>
          <w:fldChar w:fldCharType="separate"/>
        </w:r>
        <w:r>
          <w:rPr>
            <w:noProof/>
            <w:webHidden/>
          </w:rPr>
          <w:t>258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89" w:history="1">
        <w:r w:rsidRPr="00CC53E5">
          <w:rPr>
            <w:rStyle w:val="Hyperlink"/>
            <w:noProof/>
          </w:rPr>
          <w:t>2.1.606</w:t>
        </w:r>
        <w:r>
          <w:rPr>
            <w:rFonts w:asciiTheme="minorHAnsi" w:eastAsiaTheme="minorEastAsia" w:hAnsiTheme="minorHAnsi" w:cstheme="minorBidi"/>
            <w:noProof/>
            <w:sz w:val="22"/>
            <w:szCs w:val="22"/>
          </w:rPr>
          <w:tab/>
        </w:r>
        <w:r w:rsidRPr="00CC53E5">
          <w:rPr>
            <w:rStyle w:val="Hyperlink"/>
            <w:noProof/>
          </w:rPr>
          <w:t>Part 1 Section 18.3.1.24, customSheetView (Custom Chart Sheet View)</w:t>
        </w:r>
        <w:r>
          <w:rPr>
            <w:noProof/>
            <w:webHidden/>
          </w:rPr>
          <w:tab/>
        </w:r>
        <w:r>
          <w:rPr>
            <w:noProof/>
            <w:webHidden/>
          </w:rPr>
          <w:fldChar w:fldCharType="begin"/>
        </w:r>
        <w:r>
          <w:rPr>
            <w:noProof/>
            <w:webHidden/>
          </w:rPr>
          <w:instrText xml:space="preserve"> PAGEREF _Toc69878389 \h </w:instrText>
        </w:r>
        <w:r>
          <w:rPr>
            <w:noProof/>
            <w:webHidden/>
          </w:rPr>
        </w:r>
        <w:r>
          <w:rPr>
            <w:noProof/>
            <w:webHidden/>
          </w:rPr>
          <w:fldChar w:fldCharType="separate"/>
        </w:r>
        <w:r>
          <w:rPr>
            <w:noProof/>
            <w:webHidden/>
          </w:rPr>
          <w:t>258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90" w:history="1">
        <w:r w:rsidRPr="00CC53E5">
          <w:rPr>
            <w:rStyle w:val="Hyperlink"/>
            <w:noProof/>
          </w:rPr>
          <w:t>2.1.607</w:t>
        </w:r>
        <w:r>
          <w:rPr>
            <w:rFonts w:asciiTheme="minorHAnsi" w:eastAsiaTheme="minorEastAsia" w:hAnsiTheme="minorHAnsi" w:cstheme="minorBidi"/>
            <w:noProof/>
            <w:sz w:val="22"/>
            <w:szCs w:val="22"/>
          </w:rPr>
          <w:tab/>
        </w:r>
        <w:r w:rsidRPr="00CC53E5">
          <w:rPr>
            <w:rStyle w:val="Hyperlink"/>
            <w:noProof/>
          </w:rPr>
          <w:t>Part 1 Section 18.3.1.25, customSheetView (Custom Sheet View)</w:t>
        </w:r>
        <w:r>
          <w:rPr>
            <w:noProof/>
            <w:webHidden/>
          </w:rPr>
          <w:tab/>
        </w:r>
        <w:r>
          <w:rPr>
            <w:noProof/>
            <w:webHidden/>
          </w:rPr>
          <w:fldChar w:fldCharType="begin"/>
        </w:r>
        <w:r>
          <w:rPr>
            <w:noProof/>
            <w:webHidden/>
          </w:rPr>
          <w:instrText xml:space="preserve"> PAGEREF _Toc69878390 \h </w:instrText>
        </w:r>
        <w:r>
          <w:rPr>
            <w:noProof/>
            <w:webHidden/>
          </w:rPr>
        </w:r>
        <w:r>
          <w:rPr>
            <w:noProof/>
            <w:webHidden/>
          </w:rPr>
          <w:fldChar w:fldCharType="separate"/>
        </w:r>
        <w:r>
          <w:rPr>
            <w:noProof/>
            <w:webHidden/>
          </w:rPr>
          <w:t>258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91" w:history="1">
        <w:r w:rsidRPr="00CC53E5">
          <w:rPr>
            <w:rStyle w:val="Hyperlink"/>
            <w:noProof/>
          </w:rPr>
          <w:t>2.1.608</w:t>
        </w:r>
        <w:r>
          <w:rPr>
            <w:rFonts w:asciiTheme="minorHAnsi" w:eastAsiaTheme="minorEastAsia" w:hAnsiTheme="minorHAnsi" w:cstheme="minorBidi"/>
            <w:noProof/>
            <w:sz w:val="22"/>
            <w:szCs w:val="22"/>
          </w:rPr>
          <w:tab/>
        </w:r>
        <w:r w:rsidRPr="00CC53E5">
          <w:rPr>
            <w:rStyle w:val="Hyperlink"/>
            <w:noProof/>
          </w:rPr>
          <w:t>Part 1 Section 18.3.1.26, customSheetViews (Custom Chart Sheet Views)</w:t>
        </w:r>
        <w:r>
          <w:rPr>
            <w:noProof/>
            <w:webHidden/>
          </w:rPr>
          <w:tab/>
        </w:r>
        <w:r>
          <w:rPr>
            <w:noProof/>
            <w:webHidden/>
          </w:rPr>
          <w:fldChar w:fldCharType="begin"/>
        </w:r>
        <w:r>
          <w:rPr>
            <w:noProof/>
            <w:webHidden/>
          </w:rPr>
          <w:instrText xml:space="preserve"> PAGEREF _Toc69878391 \h </w:instrText>
        </w:r>
        <w:r>
          <w:rPr>
            <w:noProof/>
            <w:webHidden/>
          </w:rPr>
        </w:r>
        <w:r>
          <w:rPr>
            <w:noProof/>
            <w:webHidden/>
          </w:rPr>
          <w:fldChar w:fldCharType="separate"/>
        </w:r>
        <w:r>
          <w:rPr>
            <w:noProof/>
            <w:webHidden/>
          </w:rPr>
          <w:t>259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92" w:history="1">
        <w:r w:rsidRPr="00CC53E5">
          <w:rPr>
            <w:rStyle w:val="Hyperlink"/>
            <w:noProof/>
          </w:rPr>
          <w:t>2.1.609</w:t>
        </w:r>
        <w:r>
          <w:rPr>
            <w:rFonts w:asciiTheme="minorHAnsi" w:eastAsiaTheme="minorEastAsia" w:hAnsiTheme="minorHAnsi" w:cstheme="minorBidi"/>
            <w:noProof/>
            <w:sz w:val="22"/>
            <w:szCs w:val="22"/>
          </w:rPr>
          <w:tab/>
        </w:r>
        <w:r w:rsidRPr="00CC53E5">
          <w:rPr>
            <w:rStyle w:val="Hyperlink"/>
            <w:noProof/>
          </w:rPr>
          <w:t>Part 1 Section 18.3.1.27, customSheetViews (Custom Sheet Views)</w:t>
        </w:r>
        <w:r>
          <w:rPr>
            <w:noProof/>
            <w:webHidden/>
          </w:rPr>
          <w:tab/>
        </w:r>
        <w:r>
          <w:rPr>
            <w:noProof/>
            <w:webHidden/>
          </w:rPr>
          <w:fldChar w:fldCharType="begin"/>
        </w:r>
        <w:r>
          <w:rPr>
            <w:noProof/>
            <w:webHidden/>
          </w:rPr>
          <w:instrText xml:space="preserve"> PAGEREF _Toc69878392 \h </w:instrText>
        </w:r>
        <w:r>
          <w:rPr>
            <w:noProof/>
            <w:webHidden/>
          </w:rPr>
        </w:r>
        <w:r>
          <w:rPr>
            <w:noProof/>
            <w:webHidden/>
          </w:rPr>
          <w:fldChar w:fldCharType="separate"/>
        </w:r>
        <w:r>
          <w:rPr>
            <w:noProof/>
            <w:webHidden/>
          </w:rPr>
          <w:t>259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93" w:history="1">
        <w:r w:rsidRPr="00CC53E5">
          <w:rPr>
            <w:rStyle w:val="Hyperlink"/>
            <w:noProof/>
          </w:rPr>
          <w:t>2.1.610</w:t>
        </w:r>
        <w:r>
          <w:rPr>
            <w:rFonts w:asciiTheme="minorHAnsi" w:eastAsiaTheme="minorEastAsia" w:hAnsiTheme="minorHAnsi" w:cstheme="minorBidi"/>
            <w:noProof/>
            <w:sz w:val="22"/>
            <w:szCs w:val="22"/>
          </w:rPr>
          <w:tab/>
        </w:r>
        <w:r w:rsidRPr="00CC53E5">
          <w:rPr>
            <w:rStyle w:val="Hyperlink"/>
            <w:noProof/>
          </w:rPr>
          <w:t>Part 1 Section 18.3.1.28, dataBar (Data Bar)</w:t>
        </w:r>
        <w:r>
          <w:rPr>
            <w:noProof/>
            <w:webHidden/>
          </w:rPr>
          <w:tab/>
        </w:r>
        <w:r>
          <w:rPr>
            <w:noProof/>
            <w:webHidden/>
          </w:rPr>
          <w:fldChar w:fldCharType="begin"/>
        </w:r>
        <w:r>
          <w:rPr>
            <w:noProof/>
            <w:webHidden/>
          </w:rPr>
          <w:instrText xml:space="preserve"> PAGEREF _Toc69878393 \h </w:instrText>
        </w:r>
        <w:r>
          <w:rPr>
            <w:noProof/>
            <w:webHidden/>
          </w:rPr>
        </w:r>
        <w:r>
          <w:rPr>
            <w:noProof/>
            <w:webHidden/>
          </w:rPr>
          <w:fldChar w:fldCharType="separate"/>
        </w:r>
        <w:r>
          <w:rPr>
            <w:noProof/>
            <w:webHidden/>
          </w:rPr>
          <w:t>259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94" w:history="1">
        <w:r w:rsidRPr="00CC53E5">
          <w:rPr>
            <w:rStyle w:val="Hyperlink"/>
            <w:noProof/>
          </w:rPr>
          <w:t>2.1.611</w:t>
        </w:r>
        <w:r>
          <w:rPr>
            <w:rFonts w:asciiTheme="minorHAnsi" w:eastAsiaTheme="minorEastAsia" w:hAnsiTheme="minorHAnsi" w:cstheme="minorBidi"/>
            <w:noProof/>
            <w:sz w:val="22"/>
            <w:szCs w:val="22"/>
          </w:rPr>
          <w:tab/>
        </w:r>
        <w:r w:rsidRPr="00CC53E5">
          <w:rPr>
            <w:rStyle w:val="Hyperlink"/>
            <w:noProof/>
          </w:rPr>
          <w:t>Part 1 Section 18.3.1.29, dataConsolidate (Data Consolidate)</w:t>
        </w:r>
        <w:r>
          <w:rPr>
            <w:noProof/>
            <w:webHidden/>
          </w:rPr>
          <w:tab/>
        </w:r>
        <w:r>
          <w:rPr>
            <w:noProof/>
            <w:webHidden/>
          </w:rPr>
          <w:fldChar w:fldCharType="begin"/>
        </w:r>
        <w:r>
          <w:rPr>
            <w:noProof/>
            <w:webHidden/>
          </w:rPr>
          <w:instrText xml:space="preserve"> PAGEREF _Toc69878394 \h </w:instrText>
        </w:r>
        <w:r>
          <w:rPr>
            <w:noProof/>
            <w:webHidden/>
          </w:rPr>
        </w:r>
        <w:r>
          <w:rPr>
            <w:noProof/>
            <w:webHidden/>
          </w:rPr>
          <w:fldChar w:fldCharType="separate"/>
        </w:r>
        <w:r>
          <w:rPr>
            <w:noProof/>
            <w:webHidden/>
          </w:rPr>
          <w:t>259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95" w:history="1">
        <w:r w:rsidRPr="00CC53E5">
          <w:rPr>
            <w:rStyle w:val="Hyperlink"/>
            <w:noProof/>
          </w:rPr>
          <w:t>2.1.612</w:t>
        </w:r>
        <w:r>
          <w:rPr>
            <w:rFonts w:asciiTheme="minorHAnsi" w:eastAsiaTheme="minorEastAsia" w:hAnsiTheme="minorHAnsi" w:cstheme="minorBidi"/>
            <w:noProof/>
            <w:sz w:val="22"/>
            <w:szCs w:val="22"/>
          </w:rPr>
          <w:tab/>
        </w:r>
        <w:r w:rsidRPr="00CC53E5">
          <w:rPr>
            <w:rStyle w:val="Hyperlink"/>
            <w:noProof/>
          </w:rPr>
          <w:t>Part 1 Section 18.3.1.32, dataValidation (Data Validation)</w:t>
        </w:r>
        <w:r>
          <w:rPr>
            <w:noProof/>
            <w:webHidden/>
          </w:rPr>
          <w:tab/>
        </w:r>
        <w:r>
          <w:rPr>
            <w:noProof/>
            <w:webHidden/>
          </w:rPr>
          <w:fldChar w:fldCharType="begin"/>
        </w:r>
        <w:r>
          <w:rPr>
            <w:noProof/>
            <w:webHidden/>
          </w:rPr>
          <w:instrText xml:space="preserve"> PAGEREF _Toc69878395 \h </w:instrText>
        </w:r>
        <w:r>
          <w:rPr>
            <w:noProof/>
            <w:webHidden/>
          </w:rPr>
        </w:r>
        <w:r>
          <w:rPr>
            <w:noProof/>
            <w:webHidden/>
          </w:rPr>
          <w:fldChar w:fldCharType="separate"/>
        </w:r>
        <w:r>
          <w:rPr>
            <w:noProof/>
            <w:webHidden/>
          </w:rPr>
          <w:t>259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96" w:history="1">
        <w:r w:rsidRPr="00CC53E5">
          <w:rPr>
            <w:rStyle w:val="Hyperlink"/>
            <w:noProof/>
          </w:rPr>
          <w:t>2.1.613</w:t>
        </w:r>
        <w:r>
          <w:rPr>
            <w:rFonts w:asciiTheme="minorHAnsi" w:eastAsiaTheme="minorEastAsia" w:hAnsiTheme="minorHAnsi" w:cstheme="minorBidi"/>
            <w:noProof/>
            <w:sz w:val="22"/>
            <w:szCs w:val="22"/>
          </w:rPr>
          <w:tab/>
        </w:r>
        <w:r w:rsidRPr="00CC53E5">
          <w:rPr>
            <w:rStyle w:val="Hyperlink"/>
            <w:noProof/>
          </w:rPr>
          <w:t>Part 1 Section 18.3.1.33, dataValidations (Data Validations)</w:t>
        </w:r>
        <w:r>
          <w:rPr>
            <w:noProof/>
            <w:webHidden/>
          </w:rPr>
          <w:tab/>
        </w:r>
        <w:r>
          <w:rPr>
            <w:noProof/>
            <w:webHidden/>
          </w:rPr>
          <w:fldChar w:fldCharType="begin"/>
        </w:r>
        <w:r>
          <w:rPr>
            <w:noProof/>
            <w:webHidden/>
          </w:rPr>
          <w:instrText xml:space="preserve"> PAGEREF _Toc69878396 \h </w:instrText>
        </w:r>
        <w:r>
          <w:rPr>
            <w:noProof/>
            <w:webHidden/>
          </w:rPr>
        </w:r>
        <w:r>
          <w:rPr>
            <w:noProof/>
            <w:webHidden/>
          </w:rPr>
          <w:fldChar w:fldCharType="separate"/>
        </w:r>
        <w:r>
          <w:rPr>
            <w:noProof/>
            <w:webHidden/>
          </w:rPr>
          <w:t>260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97" w:history="1">
        <w:r w:rsidRPr="00CC53E5">
          <w:rPr>
            <w:rStyle w:val="Hyperlink"/>
            <w:noProof/>
          </w:rPr>
          <w:t>2.1.614</w:t>
        </w:r>
        <w:r>
          <w:rPr>
            <w:rFonts w:asciiTheme="minorHAnsi" w:eastAsiaTheme="minorEastAsia" w:hAnsiTheme="minorHAnsi" w:cstheme="minorBidi"/>
            <w:noProof/>
            <w:sz w:val="22"/>
            <w:szCs w:val="22"/>
          </w:rPr>
          <w:tab/>
        </w:r>
        <w:r w:rsidRPr="00CC53E5">
          <w:rPr>
            <w:rStyle w:val="Hyperlink"/>
            <w:noProof/>
          </w:rPr>
          <w:t>Part 1 Section 18.3.1.34, dialogsheet (Dialog Sheet)</w:t>
        </w:r>
        <w:r>
          <w:rPr>
            <w:noProof/>
            <w:webHidden/>
          </w:rPr>
          <w:tab/>
        </w:r>
        <w:r>
          <w:rPr>
            <w:noProof/>
            <w:webHidden/>
          </w:rPr>
          <w:fldChar w:fldCharType="begin"/>
        </w:r>
        <w:r>
          <w:rPr>
            <w:noProof/>
            <w:webHidden/>
          </w:rPr>
          <w:instrText xml:space="preserve"> PAGEREF _Toc69878397 \h </w:instrText>
        </w:r>
        <w:r>
          <w:rPr>
            <w:noProof/>
            <w:webHidden/>
          </w:rPr>
        </w:r>
        <w:r>
          <w:rPr>
            <w:noProof/>
            <w:webHidden/>
          </w:rPr>
          <w:fldChar w:fldCharType="separate"/>
        </w:r>
        <w:r>
          <w:rPr>
            <w:noProof/>
            <w:webHidden/>
          </w:rPr>
          <w:t>260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98" w:history="1">
        <w:r w:rsidRPr="00CC53E5">
          <w:rPr>
            <w:rStyle w:val="Hyperlink"/>
            <w:noProof/>
          </w:rPr>
          <w:t>2.1.615</w:t>
        </w:r>
        <w:r>
          <w:rPr>
            <w:rFonts w:asciiTheme="minorHAnsi" w:eastAsiaTheme="minorEastAsia" w:hAnsiTheme="minorHAnsi" w:cstheme="minorBidi"/>
            <w:noProof/>
            <w:sz w:val="22"/>
            <w:szCs w:val="22"/>
          </w:rPr>
          <w:tab/>
        </w:r>
        <w:r w:rsidRPr="00CC53E5">
          <w:rPr>
            <w:rStyle w:val="Hyperlink"/>
            <w:noProof/>
          </w:rPr>
          <w:t>Part 1 Section 18.3.1.36, drawing (Drawing)</w:t>
        </w:r>
        <w:r>
          <w:rPr>
            <w:noProof/>
            <w:webHidden/>
          </w:rPr>
          <w:tab/>
        </w:r>
        <w:r>
          <w:rPr>
            <w:noProof/>
            <w:webHidden/>
          </w:rPr>
          <w:fldChar w:fldCharType="begin"/>
        </w:r>
        <w:r>
          <w:rPr>
            <w:noProof/>
            <w:webHidden/>
          </w:rPr>
          <w:instrText xml:space="preserve"> PAGEREF _Toc69878398 \h </w:instrText>
        </w:r>
        <w:r>
          <w:rPr>
            <w:noProof/>
            <w:webHidden/>
          </w:rPr>
        </w:r>
        <w:r>
          <w:rPr>
            <w:noProof/>
            <w:webHidden/>
          </w:rPr>
          <w:fldChar w:fldCharType="separate"/>
        </w:r>
        <w:r>
          <w:rPr>
            <w:noProof/>
            <w:webHidden/>
          </w:rPr>
          <w:t>261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399" w:history="1">
        <w:r w:rsidRPr="00CC53E5">
          <w:rPr>
            <w:rStyle w:val="Hyperlink"/>
            <w:noProof/>
          </w:rPr>
          <w:t>2.1.616</w:t>
        </w:r>
        <w:r>
          <w:rPr>
            <w:rFonts w:asciiTheme="minorHAnsi" w:eastAsiaTheme="minorEastAsia" w:hAnsiTheme="minorHAnsi" w:cstheme="minorBidi"/>
            <w:noProof/>
            <w:sz w:val="22"/>
            <w:szCs w:val="22"/>
          </w:rPr>
          <w:tab/>
        </w:r>
        <w:r w:rsidRPr="00CC53E5">
          <w:rPr>
            <w:rStyle w:val="Hyperlink"/>
            <w:noProof/>
          </w:rPr>
          <w:t>Part 1 Section 18.3.1.37, drawingHF (Drawing Reference in Header Footer)</w:t>
        </w:r>
        <w:r>
          <w:rPr>
            <w:noProof/>
            <w:webHidden/>
          </w:rPr>
          <w:tab/>
        </w:r>
        <w:r>
          <w:rPr>
            <w:noProof/>
            <w:webHidden/>
          </w:rPr>
          <w:fldChar w:fldCharType="begin"/>
        </w:r>
        <w:r>
          <w:rPr>
            <w:noProof/>
            <w:webHidden/>
          </w:rPr>
          <w:instrText xml:space="preserve"> PAGEREF _Toc69878399 \h </w:instrText>
        </w:r>
        <w:r>
          <w:rPr>
            <w:noProof/>
            <w:webHidden/>
          </w:rPr>
        </w:r>
        <w:r>
          <w:rPr>
            <w:noProof/>
            <w:webHidden/>
          </w:rPr>
          <w:fldChar w:fldCharType="separate"/>
        </w:r>
        <w:r>
          <w:rPr>
            <w:noProof/>
            <w:webHidden/>
          </w:rPr>
          <w:t>261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00" w:history="1">
        <w:r w:rsidRPr="00CC53E5">
          <w:rPr>
            <w:rStyle w:val="Hyperlink"/>
            <w:noProof/>
          </w:rPr>
          <w:t>2.1.617</w:t>
        </w:r>
        <w:r>
          <w:rPr>
            <w:rFonts w:asciiTheme="minorHAnsi" w:eastAsiaTheme="minorEastAsia" w:hAnsiTheme="minorHAnsi" w:cstheme="minorBidi"/>
            <w:noProof/>
            <w:sz w:val="22"/>
            <w:szCs w:val="22"/>
          </w:rPr>
          <w:tab/>
        </w:r>
        <w:r w:rsidRPr="00CC53E5">
          <w:rPr>
            <w:rStyle w:val="Hyperlink"/>
            <w:noProof/>
          </w:rPr>
          <w:t>Part 1 Section 18.3.1.38, evenFooter (Even Page Footer)</w:t>
        </w:r>
        <w:r>
          <w:rPr>
            <w:noProof/>
            <w:webHidden/>
          </w:rPr>
          <w:tab/>
        </w:r>
        <w:r>
          <w:rPr>
            <w:noProof/>
            <w:webHidden/>
          </w:rPr>
          <w:fldChar w:fldCharType="begin"/>
        </w:r>
        <w:r>
          <w:rPr>
            <w:noProof/>
            <w:webHidden/>
          </w:rPr>
          <w:instrText xml:space="preserve"> PAGEREF _Toc69878400 \h </w:instrText>
        </w:r>
        <w:r>
          <w:rPr>
            <w:noProof/>
            <w:webHidden/>
          </w:rPr>
        </w:r>
        <w:r>
          <w:rPr>
            <w:noProof/>
            <w:webHidden/>
          </w:rPr>
          <w:fldChar w:fldCharType="separate"/>
        </w:r>
        <w:r>
          <w:rPr>
            <w:noProof/>
            <w:webHidden/>
          </w:rPr>
          <w:t>261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01" w:history="1">
        <w:r w:rsidRPr="00CC53E5">
          <w:rPr>
            <w:rStyle w:val="Hyperlink"/>
            <w:noProof/>
          </w:rPr>
          <w:t>2.1.618</w:t>
        </w:r>
        <w:r>
          <w:rPr>
            <w:rFonts w:asciiTheme="minorHAnsi" w:eastAsiaTheme="minorEastAsia" w:hAnsiTheme="minorHAnsi" w:cstheme="minorBidi"/>
            <w:noProof/>
            <w:sz w:val="22"/>
            <w:szCs w:val="22"/>
          </w:rPr>
          <w:tab/>
        </w:r>
        <w:r w:rsidRPr="00CC53E5">
          <w:rPr>
            <w:rStyle w:val="Hyperlink"/>
            <w:noProof/>
          </w:rPr>
          <w:t>Part 1 Section 18.3.1.39, evenHeader (Even Page Header)</w:t>
        </w:r>
        <w:r>
          <w:rPr>
            <w:noProof/>
            <w:webHidden/>
          </w:rPr>
          <w:tab/>
        </w:r>
        <w:r>
          <w:rPr>
            <w:noProof/>
            <w:webHidden/>
          </w:rPr>
          <w:fldChar w:fldCharType="begin"/>
        </w:r>
        <w:r>
          <w:rPr>
            <w:noProof/>
            <w:webHidden/>
          </w:rPr>
          <w:instrText xml:space="preserve"> PAGEREF _Toc69878401 \h </w:instrText>
        </w:r>
        <w:r>
          <w:rPr>
            <w:noProof/>
            <w:webHidden/>
          </w:rPr>
        </w:r>
        <w:r>
          <w:rPr>
            <w:noProof/>
            <w:webHidden/>
          </w:rPr>
          <w:fldChar w:fldCharType="separate"/>
        </w:r>
        <w:r>
          <w:rPr>
            <w:noProof/>
            <w:webHidden/>
          </w:rPr>
          <w:t>261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02" w:history="1">
        <w:r w:rsidRPr="00CC53E5">
          <w:rPr>
            <w:rStyle w:val="Hyperlink"/>
            <w:noProof/>
          </w:rPr>
          <w:t>2.1.619</w:t>
        </w:r>
        <w:r>
          <w:rPr>
            <w:rFonts w:asciiTheme="minorHAnsi" w:eastAsiaTheme="minorEastAsia" w:hAnsiTheme="minorHAnsi" w:cstheme="minorBidi"/>
            <w:noProof/>
            <w:sz w:val="22"/>
            <w:szCs w:val="22"/>
          </w:rPr>
          <w:tab/>
        </w:r>
        <w:r w:rsidRPr="00CC53E5">
          <w:rPr>
            <w:rStyle w:val="Hyperlink"/>
            <w:noProof/>
          </w:rPr>
          <w:t>Part 1 Section 18.3.1.40, f (Formula)</w:t>
        </w:r>
        <w:r>
          <w:rPr>
            <w:noProof/>
            <w:webHidden/>
          </w:rPr>
          <w:tab/>
        </w:r>
        <w:r>
          <w:rPr>
            <w:noProof/>
            <w:webHidden/>
          </w:rPr>
          <w:fldChar w:fldCharType="begin"/>
        </w:r>
        <w:r>
          <w:rPr>
            <w:noProof/>
            <w:webHidden/>
          </w:rPr>
          <w:instrText xml:space="preserve"> PAGEREF _Toc69878402 \h </w:instrText>
        </w:r>
        <w:r>
          <w:rPr>
            <w:noProof/>
            <w:webHidden/>
          </w:rPr>
        </w:r>
        <w:r>
          <w:rPr>
            <w:noProof/>
            <w:webHidden/>
          </w:rPr>
          <w:fldChar w:fldCharType="separate"/>
        </w:r>
        <w:r>
          <w:rPr>
            <w:noProof/>
            <w:webHidden/>
          </w:rPr>
          <w:t>264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03" w:history="1">
        <w:r w:rsidRPr="00CC53E5">
          <w:rPr>
            <w:rStyle w:val="Hyperlink"/>
            <w:noProof/>
          </w:rPr>
          <w:t>2.1.620</w:t>
        </w:r>
        <w:r>
          <w:rPr>
            <w:rFonts w:asciiTheme="minorHAnsi" w:eastAsiaTheme="minorEastAsia" w:hAnsiTheme="minorHAnsi" w:cstheme="minorBidi"/>
            <w:noProof/>
            <w:sz w:val="22"/>
            <w:szCs w:val="22"/>
          </w:rPr>
          <w:tab/>
        </w:r>
        <w:r w:rsidRPr="00CC53E5">
          <w:rPr>
            <w:rStyle w:val="Hyperlink"/>
            <w:noProof/>
          </w:rPr>
          <w:t>Part 1 Section 18.3.1.41, firstFooter (First Page Footer)</w:t>
        </w:r>
        <w:r>
          <w:rPr>
            <w:noProof/>
            <w:webHidden/>
          </w:rPr>
          <w:tab/>
        </w:r>
        <w:r>
          <w:rPr>
            <w:noProof/>
            <w:webHidden/>
          </w:rPr>
          <w:fldChar w:fldCharType="begin"/>
        </w:r>
        <w:r>
          <w:rPr>
            <w:noProof/>
            <w:webHidden/>
          </w:rPr>
          <w:instrText xml:space="preserve"> PAGEREF _Toc69878403 \h </w:instrText>
        </w:r>
        <w:r>
          <w:rPr>
            <w:noProof/>
            <w:webHidden/>
          </w:rPr>
        </w:r>
        <w:r>
          <w:rPr>
            <w:noProof/>
            <w:webHidden/>
          </w:rPr>
          <w:fldChar w:fldCharType="separate"/>
        </w:r>
        <w:r>
          <w:rPr>
            <w:noProof/>
            <w:webHidden/>
          </w:rPr>
          <w:t>265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04" w:history="1">
        <w:r w:rsidRPr="00CC53E5">
          <w:rPr>
            <w:rStyle w:val="Hyperlink"/>
            <w:noProof/>
          </w:rPr>
          <w:t>2.1.621</w:t>
        </w:r>
        <w:r>
          <w:rPr>
            <w:rFonts w:asciiTheme="minorHAnsi" w:eastAsiaTheme="minorEastAsia" w:hAnsiTheme="minorHAnsi" w:cstheme="minorBidi"/>
            <w:noProof/>
            <w:sz w:val="22"/>
            <w:szCs w:val="22"/>
          </w:rPr>
          <w:tab/>
        </w:r>
        <w:r w:rsidRPr="00CC53E5">
          <w:rPr>
            <w:rStyle w:val="Hyperlink"/>
            <w:noProof/>
          </w:rPr>
          <w:t>Part 1 Section 18.3.1.42, firstHeader (First Page Header)</w:t>
        </w:r>
        <w:r>
          <w:rPr>
            <w:noProof/>
            <w:webHidden/>
          </w:rPr>
          <w:tab/>
        </w:r>
        <w:r>
          <w:rPr>
            <w:noProof/>
            <w:webHidden/>
          </w:rPr>
          <w:fldChar w:fldCharType="begin"/>
        </w:r>
        <w:r>
          <w:rPr>
            <w:noProof/>
            <w:webHidden/>
          </w:rPr>
          <w:instrText xml:space="preserve"> PAGEREF _Toc69878404 \h </w:instrText>
        </w:r>
        <w:r>
          <w:rPr>
            <w:noProof/>
            <w:webHidden/>
          </w:rPr>
        </w:r>
        <w:r>
          <w:rPr>
            <w:noProof/>
            <w:webHidden/>
          </w:rPr>
          <w:fldChar w:fldCharType="separate"/>
        </w:r>
        <w:r>
          <w:rPr>
            <w:noProof/>
            <w:webHidden/>
          </w:rPr>
          <w:t>265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05" w:history="1">
        <w:r w:rsidRPr="00CC53E5">
          <w:rPr>
            <w:rStyle w:val="Hyperlink"/>
            <w:noProof/>
          </w:rPr>
          <w:t>2.1.622</w:t>
        </w:r>
        <w:r>
          <w:rPr>
            <w:rFonts w:asciiTheme="minorHAnsi" w:eastAsiaTheme="minorEastAsia" w:hAnsiTheme="minorHAnsi" w:cstheme="minorBidi"/>
            <w:noProof/>
            <w:sz w:val="22"/>
            <w:szCs w:val="22"/>
          </w:rPr>
          <w:tab/>
        </w:r>
        <w:r w:rsidRPr="00CC53E5">
          <w:rPr>
            <w:rStyle w:val="Hyperlink"/>
            <w:noProof/>
          </w:rPr>
          <w:t>Part 1 Section 18.3.1.43, formula (Formula)</w:t>
        </w:r>
        <w:r>
          <w:rPr>
            <w:noProof/>
            <w:webHidden/>
          </w:rPr>
          <w:tab/>
        </w:r>
        <w:r>
          <w:rPr>
            <w:noProof/>
            <w:webHidden/>
          </w:rPr>
          <w:fldChar w:fldCharType="begin"/>
        </w:r>
        <w:r>
          <w:rPr>
            <w:noProof/>
            <w:webHidden/>
          </w:rPr>
          <w:instrText xml:space="preserve"> PAGEREF _Toc69878405 \h </w:instrText>
        </w:r>
        <w:r>
          <w:rPr>
            <w:noProof/>
            <w:webHidden/>
          </w:rPr>
        </w:r>
        <w:r>
          <w:rPr>
            <w:noProof/>
            <w:webHidden/>
          </w:rPr>
          <w:fldChar w:fldCharType="separate"/>
        </w:r>
        <w:r>
          <w:rPr>
            <w:noProof/>
            <w:webHidden/>
          </w:rPr>
          <w:t>265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06" w:history="1">
        <w:r w:rsidRPr="00CC53E5">
          <w:rPr>
            <w:rStyle w:val="Hyperlink"/>
            <w:noProof/>
          </w:rPr>
          <w:t>2.1.623</w:t>
        </w:r>
        <w:r>
          <w:rPr>
            <w:rFonts w:asciiTheme="minorHAnsi" w:eastAsiaTheme="minorEastAsia" w:hAnsiTheme="minorHAnsi" w:cstheme="minorBidi"/>
            <w:noProof/>
            <w:sz w:val="22"/>
            <w:szCs w:val="22"/>
          </w:rPr>
          <w:tab/>
        </w:r>
        <w:r w:rsidRPr="00CC53E5">
          <w:rPr>
            <w:rStyle w:val="Hyperlink"/>
            <w:noProof/>
          </w:rPr>
          <w:t>Part 1 Section 18.3.1.44, formula1 (Formula 1)</w:t>
        </w:r>
        <w:r>
          <w:rPr>
            <w:noProof/>
            <w:webHidden/>
          </w:rPr>
          <w:tab/>
        </w:r>
        <w:r>
          <w:rPr>
            <w:noProof/>
            <w:webHidden/>
          </w:rPr>
          <w:fldChar w:fldCharType="begin"/>
        </w:r>
        <w:r>
          <w:rPr>
            <w:noProof/>
            <w:webHidden/>
          </w:rPr>
          <w:instrText xml:space="preserve"> PAGEREF _Toc69878406 \h </w:instrText>
        </w:r>
        <w:r>
          <w:rPr>
            <w:noProof/>
            <w:webHidden/>
          </w:rPr>
        </w:r>
        <w:r>
          <w:rPr>
            <w:noProof/>
            <w:webHidden/>
          </w:rPr>
          <w:fldChar w:fldCharType="separate"/>
        </w:r>
        <w:r>
          <w:rPr>
            <w:noProof/>
            <w:webHidden/>
          </w:rPr>
          <w:t>266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07" w:history="1">
        <w:r w:rsidRPr="00CC53E5">
          <w:rPr>
            <w:rStyle w:val="Hyperlink"/>
            <w:noProof/>
          </w:rPr>
          <w:t>2.1.624</w:t>
        </w:r>
        <w:r>
          <w:rPr>
            <w:rFonts w:asciiTheme="minorHAnsi" w:eastAsiaTheme="minorEastAsia" w:hAnsiTheme="minorHAnsi" w:cstheme="minorBidi"/>
            <w:noProof/>
            <w:sz w:val="22"/>
            <w:szCs w:val="22"/>
          </w:rPr>
          <w:tab/>
        </w:r>
        <w:r w:rsidRPr="00CC53E5">
          <w:rPr>
            <w:rStyle w:val="Hyperlink"/>
            <w:noProof/>
          </w:rPr>
          <w:t>Part 1 Section 18.3.1.45, formula2 (Formula 2)</w:t>
        </w:r>
        <w:r>
          <w:rPr>
            <w:noProof/>
            <w:webHidden/>
          </w:rPr>
          <w:tab/>
        </w:r>
        <w:r>
          <w:rPr>
            <w:noProof/>
            <w:webHidden/>
          </w:rPr>
          <w:fldChar w:fldCharType="begin"/>
        </w:r>
        <w:r>
          <w:rPr>
            <w:noProof/>
            <w:webHidden/>
          </w:rPr>
          <w:instrText xml:space="preserve"> PAGEREF _Toc69878407 \h </w:instrText>
        </w:r>
        <w:r>
          <w:rPr>
            <w:noProof/>
            <w:webHidden/>
          </w:rPr>
        </w:r>
        <w:r>
          <w:rPr>
            <w:noProof/>
            <w:webHidden/>
          </w:rPr>
          <w:fldChar w:fldCharType="separate"/>
        </w:r>
        <w:r>
          <w:rPr>
            <w:noProof/>
            <w:webHidden/>
          </w:rPr>
          <w:t>266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08" w:history="1">
        <w:r w:rsidRPr="00CC53E5">
          <w:rPr>
            <w:rStyle w:val="Hyperlink"/>
            <w:noProof/>
          </w:rPr>
          <w:t>2.1.625</w:t>
        </w:r>
        <w:r>
          <w:rPr>
            <w:rFonts w:asciiTheme="minorHAnsi" w:eastAsiaTheme="minorEastAsia" w:hAnsiTheme="minorHAnsi" w:cstheme="minorBidi"/>
            <w:noProof/>
            <w:sz w:val="22"/>
            <w:szCs w:val="22"/>
          </w:rPr>
          <w:tab/>
        </w:r>
        <w:r w:rsidRPr="00CC53E5">
          <w:rPr>
            <w:rStyle w:val="Hyperlink"/>
            <w:noProof/>
          </w:rPr>
          <w:t>Part 1 Section 18.3.1.47, hyperlink (Hyperlink)</w:t>
        </w:r>
        <w:r>
          <w:rPr>
            <w:noProof/>
            <w:webHidden/>
          </w:rPr>
          <w:tab/>
        </w:r>
        <w:r>
          <w:rPr>
            <w:noProof/>
            <w:webHidden/>
          </w:rPr>
          <w:fldChar w:fldCharType="begin"/>
        </w:r>
        <w:r>
          <w:rPr>
            <w:noProof/>
            <w:webHidden/>
          </w:rPr>
          <w:instrText xml:space="preserve"> PAGEREF _Toc69878408 \h </w:instrText>
        </w:r>
        <w:r>
          <w:rPr>
            <w:noProof/>
            <w:webHidden/>
          </w:rPr>
        </w:r>
        <w:r>
          <w:rPr>
            <w:noProof/>
            <w:webHidden/>
          </w:rPr>
          <w:fldChar w:fldCharType="separate"/>
        </w:r>
        <w:r>
          <w:rPr>
            <w:noProof/>
            <w:webHidden/>
          </w:rPr>
          <w:t>266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09" w:history="1">
        <w:r w:rsidRPr="00CC53E5">
          <w:rPr>
            <w:rStyle w:val="Hyperlink"/>
            <w:noProof/>
          </w:rPr>
          <w:t>2.1.626</w:t>
        </w:r>
        <w:r>
          <w:rPr>
            <w:rFonts w:asciiTheme="minorHAnsi" w:eastAsiaTheme="minorEastAsia" w:hAnsiTheme="minorHAnsi" w:cstheme="minorBidi"/>
            <w:noProof/>
            <w:sz w:val="22"/>
            <w:szCs w:val="22"/>
          </w:rPr>
          <w:tab/>
        </w:r>
        <w:r w:rsidRPr="00CC53E5">
          <w:rPr>
            <w:rStyle w:val="Hyperlink"/>
            <w:noProof/>
          </w:rPr>
          <w:t>Part 1 Section 18.3.1.50, ignoredError (Ignored Error)</w:t>
        </w:r>
        <w:r>
          <w:rPr>
            <w:noProof/>
            <w:webHidden/>
          </w:rPr>
          <w:tab/>
        </w:r>
        <w:r>
          <w:rPr>
            <w:noProof/>
            <w:webHidden/>
          </w:rPr>
          <w:fldChar w:fldCharType="begin"/>
        </w:r>
        <w:r>
          <w:rPr>
            <w:noProof/>
            <w:webHidden/>
          </w:rPr>
          <w:instrText xml:space="preserve"> PAGEREF _Toc69878409 \h </w:instrText>
        </w:r>
        <w:r>
          <w:rPr>
            <w:noProof/>
            <w:webHidden/>
          </w:rPr>
        </w:r>
        <w:r>
          <w:rPr>
            <w:noProof/>
            <w:webHidden/>
          </w:rPr>
          <w:fldChar w:fldCharType="separate"/>
        </w:r>
        <w:r>
          <w:rPr>
            <w:noProof/>
            <w:webHidden/>
          </w:rPr>
          <w:t>266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10" w:history="1">
        <w:r w:rsidRPr="00CC53E5">
          <w:rPr>
            <w:rStyle w:val="Hyperlink"/>
            <w:noProof/>
          </w:rPr>
          <w:t>2.1.627</w:t>
        </w:r>
        <w:r>
          <w:rPr>
            <w:rFonts w:asciiTheme="minorHAnsi" w:eastAsiaTheme="minorEastAsia" w:hAnsiTheme="minorHAnsi" w:cstheme="minorBidi"/>
            <w:noProof/>
            <w:sz w:val="22"/>
            <w:szCs w:val="22"/>
          </w:rPr>
          <w:tab/>
        </w:r>
        <w:r w:rsidRPr="00CC53E5">
          <w:rPr>
            <w:rStyle w:val="Hyperlink"/>
            <w:noProof/>
          </w:rPr>
          <w:t>Part 1 Section 18.3.1.51, ignoredErrors (Ignored Errors)</w:t>
        </w:r>
        <w:r>
          <w:rPr>
            <w:noProof/>
            <w:webHidden/>
          </w:rPr>
          <w:tab/>
        </w:r>
        <w:r>
          <w:rPr>
            <w:noProof/>
            <w:webHidden/>
          </w:rPr>
          <w:fldChar w:fldCharType="begin"/>
        </w:r>
        <w:r>
          <w:rPr>
            <w:noProof/>
            <w:webHidden/>
          </w:rPr>
          <w:instrText xml:space="preserve"> PAGEREF _Toc69878410 \h </w:instrText>
        </w:r>
        <w:r>
          <w:rPr>
            <w:noProof/>
            <w:webHidden/>
          </w:rPr>
        </w:r>
        <w:r>
          <w:rPr>
            <w:noProof/>
            <w:webHidden/>
          </w:rPr>
          <w:fldChar w:fldCharType="separate"/>
        </w:r>
        <w:r>
          <w:rPr>
            <w:noProof/>
            <w:webHidden/>
          </w:rPr>
          <w:t>267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11" w:history="1">
        <w:r w:rsidRPr="00CC53E5">
          <w:rPr>
            <w:rStyle w:val="Hyperlink"/>
            <w:noProof/>
          </w:rPr>
          <w:t>2.1.628</w:t>
        </w:r>
        <w:r>
          <w:rPr>
            <w:rFonts w:asciiTheme="minorHAnsi" w:eastAsiaTheme="minorEastAsia" w:hAnsiTheme="minorHAnsi" w:cstheme="minorBidi"/>
            <w:noProof/>
            <w:sz w:val="22"/>
            <w:szCs w:val="22"/>
          </w:rPr>
          <w:tab/>
        </w:r>
        <w:r w:rsidRPr="00CC53E5">
          <w:rPr>
            <w:rStyle w:val="Hyperlink"/>
            <w:noProof/>
          </w:rPr>
          <w:t>Part 1 Section 18.3.1.52, inputCells (Input Cells)</w:t>
        </w:r>
        <w:r>
          <w:rPr>
            <w:noProof/>
            <w:webHidden/>
          </w:rPr>
          <w:tab/>
        </w:r>
        <w:r>
          <w:rPr>
            <w:noProof/>
            <w:webHidden/>
          </w:rPr>
          <w:fldChar w:fldCharType="begin"/>
        </w:r>
        <w:r>
          <w:rPr>
            <w:noProof/>
            <w:webHidden/>
          </w:rPr>
          <w:instrText xml:space="preserve"> PAGEREF _Toc69878411 \h </w:instrText>
        </w:r>
        <w:r>
          <w:rPr>
            <w:noProof/>
            <w:webHidden/>
          </w:rPr>
        </w:r>
        <w:r>
          <w:rPr>
            <w:noProof/>
            <w:webHidden/>
          </w:rPr>
          <w:fldChar w:fldCharType="separate"/>
        </w:r>
        <w:r>
          <w:rPr>
            <w:noProof/>
            <w:webHidden/>
          </w:rPr>
          <w:t>267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12" w:history="1">
        <w:r w:rsidRPr="00CC53E5">
          <w:rPr>
            <w:rStyle w:val="Hyperlink"/>
            <w:noProof/>
          </w:rPr>
          <w:t>2.1.629</w:t>
        </w:r>
        <w:r>
          <w:rPr>
            <w:rFonts w:asciiTheme="minorHAnsi" w:eastAsiaTheme="minorEastAsia" w:hAnsiTheme="minorHAnsi" w:cstheme="minorBidi"/>
            <w:noProof/>
            <w:sz w:val="22"/>
            <w:szCs w:val="22"/>
          </w:rPr>
          <w:tab/>
        </w:r>
        <w:r w:rsidRPr="00CC53E5">
          <w:rPr>
            <w:rStyle w:val="Hyperlink"/>
            <w:noProof/>
          </w:rPr>
          <w:t>Part 1 Section 18.3.1.53, is (Rich Text Inline)</w:t>
        </w:r>
        <w:r>
          <w:rPr>
            <w:noProof/>
            <w:webHidden/>
          </w:rPr>
          <w:tab/>
        </w:r>
        <w:r>
          <w:rPr>
            <w:noProof/>
            <w:webHidden/>
          </w:rPr>
          <w:fldChar w:fldCharType="begin"/>
        </w:r>
        <w:r>
          <w:rPr>
            <w:noProof/>
            <w:webHidden/>
          </w:rPr>
          <w:instrText xml:space="preserve"> PAGEREF _Toc69878412 \h </w:instrText>
        </w:r>
        <w:r>
          <w:rPr>
            <w:noProof/>
            <w:webHidden/>
          </w:rPr>
        </w:r>
        <w:r>
          <w:rPr>
            <w:noProof/>
            <w:webHidden/>
          </w:rPr>
          <w:fldChar w:fldCharType="separate"/>
        </w:r>
        <w:r>
          <w:rPr>
            <w:noProof/>
            <w:webHidden/>
          </w:rPr>
          <w:t>267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13" w:history="1">
        <w:r w:rsidRPr="00CC53E5">
          <w:rPr>
            <w:rStyle w:val="Hyperlink"/>
            <w:noProof/>
          </w:rPr>
          <w:t>2.1.630</w:t>
        </w:r>
        <w:r>
          <w:rPr>
            <w:rFonts w:asciiTheme="minorHAnsi" w:eastAsiaTheme="minorEastAsia" w:hAnsiTheme="minorHAnsi" w:cstheme="minorBidi"/>
            <w:noProof/>
            <w:sz w:val="22"/>
            <w:szCs w:val="22"/>
          </w:rPr>
          <w:tab/>
        </w:r>
        <w:r w:rsidRPr="00CC53E5">
          <w:rPr>
            <w:rStyle w:val="Hyperlink"/>
            <w:noProof/>
          </w:rPr>
          <w:t>Part 1 Section 18.3.1.55, mergeCells (Merge Cells)</w:t>
        </w:r>
        <w:r>
          <w:rPr>
            <w:noProof/>
            <w:webHidden/>
          </w:rPr>
          <w:tab/>
        </w:r>
        <w:r>
          <w:rPr>
            <w:noProof/>
            <w:webHidden/>
          </w:rPr>
          <w:fldChar w:fldCharType="begin"/>
        </w:r>
        <w:r>
          <w:rPr>
            <w:noProof/>
            <w:webHidden/>
          </w:rPr>
          <w:instrText xml:space="preserve"> PAGEREF _Toc69878413 \h </w:instrText>
        </w:r>
        <w:r>
          <w:rPr>
            <w:noProof/>
            <w:webHidden/>
          </w:rPr>
        </w:r>
        <w:r>
          <w:rPr>
            <w:noProof/>
            <w:webHidden/>
          </w:rPr>
          <w:fldChar w:fldCharType="separate"/>
        </w:r>
        <w:r>
          <w:rPr>
            <w:noProof/>
            <w:webHidden/>
          </w:rPr>
          <w:t>267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14" w:history="1">
        <w:r w:rsidRPr="00CC53E5">
          <w:rPr>
            <w:rStyle w:val="Hyperlink"/>
            <w:noProof/>
          </w:rPr>
          <w:t>2.1.631</w:t>
        </w:r>
        <w:r>
          <w:rPr>
            <w:rFonts w:asciiTheme="minorHAnsi" w:eastAsiaTheme="minorEastAsia" w:hAnsiTheme="minorHAnsi" w:cstheme="minorBidi"/>
            <w:noProof/>
            <w:sz w:val="22"/>
            <w:szCs w:val="22"/>
          </w:rPr>
          <w:tab/>
        </w:r>
        <w:r w:rsidRPr="00CC53E5">
          <w:rPr>
            <w:rStyle w:val="Hyperlink"/>
            <w:noProof/>
          </w:rPr>
          <w:t>Part 1 Section 18.3.1.56, objectPr (Embedded Object Properties)</w:t>
        </w:r>
        <w:r>
          <w:rPr>
            <w:noProof/>
            <w:webHidden/>
          </w:rPr>
          <w:tab/>
        </w:r>
        <w:r>
          <w:rPr>
            <w:noProof/>
            <w:webHidden/>
          </w:rPr>
          <w:fldChar w:fldCharType="begin"/>
        </w:r>
        <w:r>
          <w:rPr>
            <w:noProof/>
            <w:webHidden/>
          </w:rPr>
          <w:instrText xml:space="preserve"> PAGEREF _Toc69878414 \h </w:instrText>
        </w:r>
        <w:r>
          <w:rPr>
            <w:noProof/>
            <w:webHidden/>
          </w:rPr>
        </w:r>
        <w:r>
          <w:rPr>
            <w:noProof/>
            <w:webHidden/>
          </w:rPr>
          <w:fldChar w:fldCharType="separate"/>
        </w:r>
        <w:r>
          <w:rPr>
            <w:noProof/>
            <w:webHidden/>
          </w:rPr>
          <w:t>267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15" w:history="1">
        <w:r w:rsidRPr="00CC53E5">
          <w:rPr>
            <w:rStyle w:val="Hyperlink"/>
            <w:noProof/>
          </w:rPr>
          <w:t>2.1.632</w:t>
        </w:r>
        <w:r>
          <w:rPr>
            <w:rFonts w:asciiTheme="minorHAnsi" w:eastAsiaTheme="minorEastAsia" w:hAnsiTheme="minorHAnsi" w:cstheme="minorBidi"/>
            <w:noProof/>
            <w:sz w:val="22"/>
            <w:szCs w:val="22"/>
          </w:rPr>
          <w:tab/>
        </w:r>
        <w:r w:rsidRPr="00CC53E5">
          <w:rPr>
            <w:rStyle w:val="Hyperlink"/>
            <w:noProof/>
          </w:rPr>
          <w:t>Part 1 Section 18.3.1.57, oddFooter (Odd Page Footer)</w:t>
        </w:r>
        <w:r>
          <w:rPr>
            <w:noProof/>
            <w:webHidden/>
          </w:rPr>
          <w:tab/>
        </w:r>
        <w:r>
          <w:rPr>
            <w:noProof/>
            <w:webHidden/>
          </w:rPr>
          <w:fldChar w:fldCharType="begin"/>
        </w:r>
        <w:r>
          <w:rPr>
            <w:noProof/>
            <w:webHidden/>
          </w:rPr>
          <w:instrText xml:space="preserve"> PAGEREF _Toc69878415 \h </w:instrText>
        </w:r>
        <w:r>
          <w:rPr>
            <w:noProof/>
            <w:webHidden/>
          </w:rPr>
        </w:r>
        <w:r>
          <w:rPr>
            <w:noProof/>
            <w:webHidden/>
          </w:rPr>
          <w:fldChar w:fldCharType="separate"/>
        </w:r>
        <w:r>
          <w:rPr>
            <w:noProof/>
            <w:webHidden/>
          </w:rPr>
          <w:t>267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16" w:history="1">
        <w:r w:rsidRPr="00CC53E5">
          <w:rPr>
            <w:rStyle w:val="Hyperlink"/>
            <w:noProof/>
          </w:rPr>
          <w:t>2.1.633</w:t>
        </w:r>
        <w:r>
          <w:rPr>
            <w:rFonts w:asciiTheme="minorHAnsi" w:eastAsiaTheme="minorEastAsia" w:hAnsiTheme="minorHAnsi" w:cstheme="minorBidi"/>
            <w:noProof/>
            <w:sz w:val="22"/>
            <w:szCs w:val="22"/>
          </w:rPr>
          <w:tab/>
        </w:r>
        <w:r w:rsidRPr="00CC53E5">
          <w:rPr>
            <w:rStyle w:val="Hyperlink"/>
            <w:noProof/>
          </w:rPr>
          <w:t>Part 1 Section 18.3.1.58, oddHeader (Odd Header)</w:t>
        </w:r>
        <w:r>
          <w:rPr>
            <w:noProof/>
            <w:webHidden/>
          </w:rPr>
          <w:tab/>
        </w:r>
        <w:r>
          <w:rPr>
            <w:noProof/>
            <w:webHidden/>
          </w:rPr>
          <w:fldChar w:fldCharType="begin"/>
        </w:r>
        <w:r>
          <w:rPr>
            <w:noProof/>
            <w:webHidden/>
          </w:rPr>
          <w:instrText xml:space="preserve"> PAGEREF _Toc69878416 \h </w:instrText>
        </w:r>
        <w:r>
          <w:rPr>
            <w:noProof/>
            <w:webHidden/>
          </w:rPr>
        </w:r>
        <w:r>
          <w:rPr>
            <w:noProof/>
            <w:webHidden/>
          </w:rPr>
          <w:fldChar w:fldCharType="separate"/>
        </w:r>
        <w:r>
          <w:rPr>
            <w:noProof/>
            <w:webHidden/>
          </w:rPr>
          <w:t>268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17" w:history="1">
        <w:r w:rsidRPr="00CC53E5">
          <w:rPr>
            <w:rStyle w:val="Hyperlink"/>
            <w:noProof/>
          </w:rPr>
          <w:t>2.1.634</w:t>
        </w:r>
        <w:r>
          <w:rPr>
            <w:rFonts w:asciiTheme="minorHAnsi" w:eastAsiaTheme="minorEastAsia" w:hAnsiTheme="minorHAnsi" w:cstheme="minorBidi"/>
            <w:noProof/>
            <w:sz w:val="22"/>
            <w:szCs w:val="22"/>
          </w:rPr>
          <w:tab/>
        </w:r>
        <w:r w:rsidRPr="00CC53E5">
          <w:rPr>
            <w:rStyle w:val="Hyperlink"/>
            <w:noProof/>
          </w:rPr>
          <w:t>Part 1 Section 18.3.1.59, oleObject (Embedded Object)</w:t>
        </w:r>
        <w:r>
          <w:rPr>
            <w:noProof/>
            <w:webHidden/>
          </w:rPr>
          <w:tab/>
        </w:r>
        <w:r>
          <w:rPr>
            <w:noProof/>
            <w:webHidden/>
          </w:rPr>
          <w:fldChar w:fldCharType="begin"/>
        </w:r>
        <w:r>
          <w:rPr>
            <w:noProof/>
            <w:webHidden/>
          </w:rPr>
          <w:instrText xml:space="preserve"> PAGEREF _Toc69878417 \h </w:instrText>
        </w:r>
        <w:r>
          <w:rPr>
            <w:noProof/>
            <w:webHidden/>
          </w:rPr>
        </w:r>
        <w:r>
          <w:rPr>
            <w:noProof/>
            <w:webHidden/>
          </w:rPr>
          <w:fldChar w:fldCharType="separate"/>
        </w:r>
        <w:r>
          <w:rPr>
            <w:noProof/>
            <w:webHidden/>
          </w:rPr>
          <w:t>268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18" w:history="1">
        <w:r w:rsidRPr="00CC53E5">
          <w:rPr>
            <w:rStyle w:val="Hyperlink"/>
            <w:noProof/>
          </w:rPr>
          <w:t>2.1.635</w:t>
        </w:r>
        <w:r>
          <w:rPr>
            <w:rFonts w:asciiTheme="minorHAnsi" w:eastAsiaTheme="minorEastAsia" w:hAnsiTheme="minorHAnsi" w:cstheme="minorBidi"/>
            <w:noProof/>
            <w:sz w:val="22"/>
            <w:szCs w:val="22"/>
          </w:rPr>
          <w:tab/>
        </w:r>
        <w:r w:rsidRPr="00CC53E5">
          <w:rPr>
            <w:rStyle w:val="Hyperlink"/>
            <w:noProof/>
          </w:rPr>
          <w:t>Part 1 Section 18.3.1.60, oleObjects (Embedded Objects)</w:t>
        </w:r>
        <w:r>
          <w:rPr>
            <w:noProof/>
            <w:webHidden/>
          </w:rPr>
          <w:tab/>
        </w:r>
        <w:r>
          <w:rPr>
            <w:noProof/>
            <w:webHidden/>
          </w:rPr>
          <w:fldChar w:fldCharType="begin"/>
        </w:r>
        <w:r>
          <w:rPr>
            <w:noProof/>
            <w:webHidden/>
          </w:rPr>
          <w:instrText xml:space="preserve"> PAGEREF _Toc69878418 \h </w:instrText>
        </w:r>
        <w:r>
          <w:rPr>
            <w:noProof/>
            <w:webHidden/>
          </w:rPr>
        </w:r>
        <w:r>
          <w:rPr>
            <w:noProof/>
            <w:webHidden/>
          </w:rPr>
          <w:fldChar w:fldCharType="separate"/>
        </w:r>
        <w:r>
          <w:rPr>
            <w:noProof/>
            <w:webHidden/>
          </w:rPr>
          <w:t>268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19" w:history="1">
        <w:r w:rsidRPr="00CC53E5">
          <w:rPr>
            <w:rStyle w:val="Hyperlink"/>
            <w:noProof/>
          </w:rPr>
          <w:t>2.1.636</w:t>
        </w:r>
        <w:r>
          <w:rPr>
            <w:rFonts w:asciiTheme="minorHAnsi" w:eastAsiaTheme="minorEastAsia" w:hAnsiTheme="minorHAnsi" w:cstheme="minorBidi"/>
            <w:noProof/>
            <w:sz w:val="22"/>
            <w:szCs w:val="22"/>
          </w:rPr>
          <w:tab/>
        </w:r>
        <w:r w:rsidRPr="00CC53E5">
          <w:rPr>
            <w:rStyle w:val="Hyperlink"/>
            <w:noProof/>
          </w:rPr>
          <w:t>Part 1 Section 18.3.1.62, pageMargins (Page Margins)</w:t>
        </w:r>
        <w:r>
          <w:rPr>
            <w:noProof/>
            <w:webHidden/>
          </w:rPr>
          <w:tab/>
        </w:r>
        <w:r>
          <w:rPr>
            <w:noProof/>
            <w:webHidden/>
          </w:rPr>
          <w:fldChar w:fldCharType="begin"/>
        </w:r>
        <w:r>
          <w:rPr>
            <w:noProof/>
            <w:webHidden/>
          </w:rPr>
          <w:instrText xml:space="preserve"> PAGEREF _Toc69878419 \h </w:instrText>
        </w:r>
        <w:r>
          <w:rPr>
            <w:noProof/>
            <w:webHidden/>
          </w:rPr>
        </w:r>
        <w:r>
          <w:rPr>
            <w:noProof/>
            <w:webHidden/>
          </w:rPr>
          <w:fldChar w:fldCharType="separate"/>
        </w:r>
        <w:r>
          <w:rPr>
            <w:noProof/>
            <w:webHidden/>
          </w:rPr>
          <w:t>269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20" w:history="1">
        <w:r w:rsidRPr="00CC53E5">
          <w:rPr>
            <w:rStyle w:val="Hyperlink"/>
            <w:noProof/>
          </w:rPr>
          <w:t>2.1.637</w:t>
        </w:r>
        <w:r>
          <w:rPr>
            <w:rFonts w:asciiTheme="minorHAnsi" w:eastAsiaTheme="minorEastAsia" w:hAnsiTheme="minorHAnsi" w:cstheme="minorBidi"/>
            <w:noProof/>
            <w:sz w:val="22"/>
            <w:szCs w:val="22"/>
          </w:rPr>
          <w:tab/>
        </w:r>
        <w:r w:rsidRPr="00CC53E5">
          <w:rPr>
            <w:rStyle w:val="Hyperlink"/>
            <w:noProof/>
          </w:rPr>
          <w:t>Part 1 Section 18.3.1.63, pageSetup (Page Setup Settings)</w:t>
        </w:r>
        <w:r>
          <w:rPr>
            <w:noProof/>
            <w:webHidden/>
          </w:rPr>
          <w:tab/>
        </w:r>
        <w:r>
          <w:rPr>
            <w:noProof/>
            <w:webHidden/>
          </w:rPr>
          <w:fldChar w:fldCharType="begin"/>
        </w:r>
        <w:r>
          <w:rPr>
            <w:noProof/>
            <w:webHidden/>
          </w:rPr>
          <w:instrText xml:space="preserve"> PAGEREF _Toc69878420 \h </w:instrText>
        </w:r>
        <w:r>
          <w:rPr>
            <w:noProof/>
            <w:webHidden/>
          </w:rPr>
        </w:r>
        <w:r>
          <w:rPr>
            <w:noProof/>
            <w:webHidden/>
          </w:rPr>
          <w:fldChar w:fldCharType="separate"/>
        </w:r>
        <w:r>
          <w:rPr>
            <w:noProof/>
            <w:webHidden/>
          </w:rPr>
          <w:t>269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21" w:history="1">
        <w:r w:rsidRPr="00CC53E5">
          <w:rPr>
            <w:rStyle w:val="Hyperlink"/>
            <w:noProof/>
          </w:rPr>
          <w:t>2.1.638</w:t>
        </w:r>
        <w:r>
          <w:rPr>
            <w:rFonts w:asciiTheme="minorHAnsi" w:eastAsiaTheme="minorEastAsia" w:hAnsiTheme="minorHAnsi" w:cstheme="minorBidi"/>
            <w:noProof/>
            <w:sz w:val="22"/>
            <w:szCs w:val="22"/>
          </w:rPr>
          <w:tab/>
        </w:r>
        <w:r w:rsidRPr="00CC53E5">
          <w:rPr>
            <w:rStyle w:val="Hyperlink"/>
            <w:noProof/>
          </w:rPr>
          <w:t>Part 1 Section 18.3.1.64, pageSetup (Chart Sheet Page Setup)</w:t>
        </w:r>
        <w:r>
          <w:rPr>
            <w:noProof/>
            <w:webHidden/>
          </w:rPr>
          <w:tab/>
        </w:r>
        <w:r>
          <w:rPr>
            <w:noProof/>
            <w:webHidden/>
          </w:rPr>
          <w:fldChar w:fldCharType="begin"/>
        </w:r>
        <w:r>
          <w:rPr>
            <w:noProof/>
            <w:webHidden/>
          </w:rPr>
          <w:instrText xml:space="preserve"> PAGEREF _Toc69878421 \h </w:instrText>
        </w:r>
        <w:r>
          <w:rPr>
            <w:noProof/>
            <w:webHidden/>
          </w:rPr>
        </w:r>
        <w:r>
          <w:rPr>
            <w:noProof/>
            <w:webHidden/>
          </w:rPr>
          <w:fldChar w:fldCharType="separate"/>
        </w:r>
        <w:r>
          <w:rPr>
            <w:noProof/>
            <w:webHidden/>
          </w:rPr>
          <w:t>274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22" w:history="1">
        <w:r w:rsidRPr="00CC53E5">
          <w:rPr>
            <w:rStyle w:val="Hyperlink"/>
            <w:noProof/>
          </w:rPr>
          <w:t>2.1.639</w:t>
        </w:r>
        <w:r>
          <w:rPr>
            <w:rFonts w:asciiTheme="minorHAnsi" w:eastAsiaTheme="minorEastAsia" w:hAnsiTheme="minorHAnsi" w:cstheme="minorBidi"/>
            <w:noProof/>
            <w:sz w:val="22"/>
            <w:szCs w:val="22"/>
          </w:rPr>
          <w:tab/>
        </w:r>
        <w:r w:rsidRPr="00CC53E5">
          <w:rPr>
            <w:rStyle w:val="Hyperlink"/>
            <w:noProof/>
          </w:rPr>
          <w:t>Part 1 Section 18.3.1.66, pane (View Pane)</w:t>
        </w:r>
        <w:r>
          <w:rPr>
            <w:noProof/>
            <w:webHidden/>
          </w:rPr>
          <w:tab/>
        </w:r>
        <w:r>
          <w:rPr>
            <w:noProof/>
            <w:webHidden/>
          </w:rPr>
          <w:fldChar w:fldCharType="begin"/>
        </w:r>
        <w:r>
          <w:rPr>
            <w:noProof/>
            <w:webHidden/>
          </w:rPr>
          <w:instrText xml:space="preserve"> PAGEREF _Toc69878422 \h </w:instrText>
        </w:r>
        <w:r>
          <w:rPr>
            <w:noProof/>
            <w:webHidden/>
          </w:rPr>
        </w:r>
        <w:r>
          <w:rPr>
            <w:noProof/>
            <w:webHidden/>
          </w:rPr>
          <w:fldChar w:fldCharType="separate"/>
        </w:r>
        <w:r>
          <w:rPr>
            <w:noProof/>
            <w:webHidden/>
          </w:rPr>
          <w:t>278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23" w:history="1">
        <w:r w:rsidRPr="00CC53E5">
          <w:rPr>
            <w:rStyle w:val="Hyperlink"/>
            <w:noProof/>
          </w:rPr>
          <w:t>2.1.640</w:t>
        </w:r>
        <w:r>
          <w:rPr>
            <w:rFonts w:asciiTheme="minorHAnsi" w:eastAsiaTheme="minorEastAsia" w:hAnsiTheme="minorHAnsi" w:cstheme="minorBidi"/>
            <w:noProof/>
            <w:sz w:val="22"/>
            <w:szCs w:val="22"/>
          </w:rPr>
          <w:tab/>
        </w:r>
        <w:r w:rsidRPr="00CC53E5">
          <w:rPr>
            <w:rStyle w:val="Hyperlink"/>
            <w:noProof/>
          </w:rPr>
          <w:t>Part 1 Section 18.3.1.68, pivotArea (Pivot Area)</w:t>
        </w:r>
        <w:r>
          <w:rPr>
            <w:noProof/>
            <w:webHidden/>
          </w:rPr>
          <w:tab/>
        </w:r>
        <w:r>
          <w:rPr>
            <w:noProof/>
            <w:webHidden/>
          </w:rPr>
          <w:fldChar w:fldCharType="begin"/>
        </w:r>
        <w:r>
          <w:rPr>
            <w:noProof/>
            <w:webHidden/>
          </w:rPr>
          <w:instrText xml:space="preserve"> PAGEREF _Toc69878423 \h </w:instrText>
        </w:r>
        <w:r>
          <w:rPr>
            <w:noProof/>
            <w:webHidden/>
          </w:rPr>
        </w:r>
        <w:r>
          <w:rPr>
            <w:noProof/>
            <w:webHidden/>
          </w:rPr>
          <w:fldChar w:fldCharType="separate"/>
        </w:r>
        <w:r>
          <w:rPr>
            <w:noProof/>
            <w:webHidden/>
          </w:rPr>
          <w:t>279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24" w:history="1">
        <w:r w:rsidRPr="00CC53E5">
          <w:rPr>
            <w:rStyle w:val="Hyperlink"/>
            <w:noProof/>
          </w:rPr>
          <w:t>2.1.641</w:t>
        </w:r>
        <w:r>
          <w:rPr>
            <w:rFonts w:asciiTheme="minorHAnsi" w:eastAsiaTheme="minorEastAsia" w:hAnsiTheme="minorHAnsi" w:cstheme="minorBidi"/>
            <w:noProof/>
            <w:sz w:val="22"/>
            <w:szCs w:val="22"/>
          </w:rPr>
          <w:tab/>
        </w:r>
        <w:r w:rsidRPr="00CC53E5">
          <w:rPr>
            <w:rStyle w:val="Hyperlink"/>
            <w:noProof/>
          </w:rPr>
          <w:t>Part 1 Section 18.3.1.69, pivotSelection (PivotTable Selection)</w:t>
        </w:r>
        <w:r>
          <w:rPr>
            <w:noProof/>
            <w:webHidden/>
          </w:rPr>
          <w:tab/>
        </w:r>
        <w:r>
          <w:rPr>
            <w:noProof/>
            <w:webHidden/>
          </w:rPr>
          <w:fldChar w:fldCharType="begin"/>
        </w:r>
        <w:r>
          <w:rPr>
            <w:noProof/>
            <w:webHidden/>
          </w:rPr>
          <w:instrText xml:space="preserve"> PAGEREF _Toc69878424 \h </w:instrText>
        </w:r>
        <w:r>
          <w:rPr>
            <w:noProof/>
            <w:webHidden/>
          </w:rPr>
        </w:r>
        <w:r>
          <w:rPr>
            <w:noProof/>
            <w:webHidden/>
          </w:rPr>
          <w:fldChar w:fldCharType="separate"/>
        </w:r>
        <w:r>
          <w:rPr>
            <w:noProof/>
            <w:webHidden/>
          </w:rPr>
          <w:t>279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25" w:history="1">
        <w:r w:rsidRPr="00CC53E5">
          <w:rPr>
            <w:rStyle w:val="Hyperlink"/>
            <w:noProof/>
          </w:rPr>
          <w:t>2.1.642</w:t>
        </w:r>
        <w:r>
          <w:rPr>
            <w:rFonts w:asciiTheme="minorHAnsi" w:eastAsiaTheme="minorEastAsia" w:hAnsiTheme="minorHAnsi" w:cstheme="minorBidi"/>
            <w:noProof/>
            <w:sz w:val="22"/>
            <w:szCs w:val="22"/>
          </w:rPr>
          <w:tab/>
        </w:r>
        <w:r w:rsidRPr="00CC53E5">
          <w:rPr>
            <w:rStyle w:val="Hyperlink"/>
            <w:noProof/>
          </w:rPr>
          <w:t>Part 1 Section 18.3.1.71, protectedRange (Protected Range)</w:t>
        </w:r>
        <w:r>
          <w:rPr>
            <w:noProof/>
            <w:webHidden/>
          </w:rPr>
          <w:tab/>
        </w:r>
        <w:r>
          <w:rPr>
            <w:noProof/>
            <w:webHidden/>
          </w:rPr>
          <w:fldChar w:fldCharType="begin"/>
        </w:r>
        <w:r>
          <w:rPr>
            <w:noProof/>
            <w:webHidden/>
          </w:rPr>
          <w:instrText xml:space="preserve"> PAGEREF _Toc69878425 \h </w:instrText>
        </w:r>
        <w:r>
          <w:rPr>
            <w:noProof/>
            <w:webHidden/>
          </w:rPr>
        </w:r>
        <w:r>
          <w:rPr>
            <w:noProof/>
            <w:webHidden/>
          </w:rPr>
          <w:fldChar w:fldCharType="separate"/>
        </w:r>
        <w:r>
          <w:rPr>
            <w:noProof/>
            <w:webHidden/>
          </w:rPr>
          <w:t>281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26" w:history="1">
        <w:r w:rsidRPr="00CC53E5">
          <w:rPr>
            <w:rStyle w:val="Hyperlink"/>
            <w:noProof/>
          </w:rPr>
          <w:t>2.1.643</w:t>
        </w:r>
        <w:r>
          <w:rPr>
            <w:rFonts w:asciiTheme="minorHAnsi" w:eastAsiaTheme="minorEastAsia" w:hAnsiTheme="minorHAnsi" w:cstheme="minorBidi"/>
            <w:noProof/>
            <w:sz w:val="22"/>
            <w:szCs w:val="22"/>
          </w:rPr>
          <w:tab/>
        </w:r>
        <w:r w:rsidRPr="00CC53E5">
          <w:rPr>
            <w:rStyle w:val="Hyperlink"/>
            <w:noProof/>
          </w:rPr>
          <w:t>Part 1 Section 18.3.1.73, row (Row)</w:t>
        </w:r>
        <w:r>
          <w:rPr>
            <w:noProof/>
            <w:webHidden/>
          </w:rPr>
          <w:tab/>
        </w:r>
        <w:r>
          <w:rPr>
            <w:noProof/>
            <w:webHidden/>
          </w:rPr>
          <w:fldChar w:fldCharType="begin"/>
        </w:r>
        <w:r>
          <w:rPr>
            <w:noProof/>
            <w:webHidden/>
          </w:rPr>
          <w:instrText xml:space="preserve"> PAGEREF _Toc69878426 \h </w:instrText>
        </w:r>
        <w:r>
          <w:rPr>
            <w:noProof/>
            <w:webHidden/>
          </w:rPr>
        </w:r>
        <w:r>
          <w:rPr>
            <w:noProof/>
            <w:webHidden/>
          </w:rPr>
          <w:fldChar w:fldCharType="separate"/>
        </w:r>
        <w:r>
          <w:rPr>
            <w:noProof/>
            <w:webHidden/>
          </w:rPr>
          <w:t>283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27" w:history="1">
        <w:r w:rsidRPr="00CC53E5">
          <w:rPr>
            <w:rStyle w:val="Hyperlink"/>
            <w:noProof/>
          </w:rPr>
          <w:t>2.1.644</w:t>
        </w:r>
        <w:r>
          <w:rPr>
            <w:rFonts w:asciiTheme="minorHAnsi" w:eastAsiaTheme="minorEastAsia" w:hAnsiTheme="minorHAnsi" w:cstheme="minorBidi"/>
            <w:noProof/>
            <w:sz w:val="22"/>
            <w:szCs w:val="22"/>
          </w:rPr>
          <w:tab/>
        </w:r>
        <w:r w:rsidRPr="00CC53E5">
          <w:rPr>
            <w:rStyle w:val="Hyperlink"/>
            <w:noProof/>
          </w:rPr>
          <w:t>Part 1 Section 18.3.1.74, rowBreaks (Horizontal Page Breaks (Row))</w:t>
        </w:r>
        <w:r>
          <w:rPr>
            <w:noProof/>
            <w:webHidden/>
          </w:rPr>
          <w:tab/>
        </w:r>
        <w:r>
          <w:rPr>
            <w:noProof/>
            <w:webHidden/>
          </w:rPr>
          <w:fldChar w:fldCharType="begin"/>
        </w:r>
        <w:r>
          <w:rPr>
            <w:noProof/>
            <w:webHidden/>
          </w:rPr>
          <w:instrText xml:space="preserve"> PAGEREF _Toc69878427 \h </w:instrText>
        </w:r>
        <w:r>
          <w:rPr>
            <w:noProof/>
            <w:webHidden/>
          </w:rPr>
        </w:r>
        <w:r>
          <w:rPr>
            <w:noProof/>
            <w:webHidden/>
          </w:rPr>
          <w:fldChar w:fldCharType="separate"/>
        </w:r>
        <w:r>
          <w:rPr>
            <w:noProof/>
            <w:webHidden/>
          </w:rPr>
          <w:t>283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28" w:history="1">
        <w:r w:rsidRPr="00CC53E5">
          <w:rPr>
            <w:rStyle w:val="Hyperlink"/>
            <w:noProof/>
          </w:rPr>
          <w:t>2.1.645</w:t>
        </w:r>
        <w:r>
          <w:rPr>
            <w:rFonts w:asciiTheme="minorHAnsi" w:eastAsiaTheme="minorEastAsia" w:hAnsiTheme="minorHAnsi" w:cstheme="minorBidi"/>
            <w:noProof/>
            <w:sz w:val="22"/>
            <w:szCs w:val="22"/>
          </w:rPr>
          <w:tab/>
        </w:r>
        <w:r w:rsidRPr="00CC53E5">
          <w:rPr>
            <w:rStyle w:val="Hyperlink"/>
            <w:noProof/>
          </w:rPr>
          <w:t>Part 1 Section 18.3.1.75, scenario (Scenario)</w:t>
        </w:r>
        <w:r>
          <w:rPr>
            <w:noProof/>
            <w:webHidden/>
          </w:rPr>
          <w:tab/>
        </w:r>
        <w:r>
          <w:rPr>
            <w:noProof/>
            <w:webHidden/>
          </w:rPr>
          <w:fldChar w:fldCharType="begin"/>
        </w:r>
        <w:r>
          <w:rPr>
            <w:noProof/>
            <w:webHidden/>
          </w:rPr>
          <w:instrText xml:space="preserve"> PAGEREF _Toc69878428 \h </w:instrText>
        </w:r>
        <w:r>
          <w:rPr>
            <w:noProof/>
            <w:webHidden/>
          </w:rPr>
        </w:r>
        <w:r>
          <w:rPr>
            <w:noProof/>
            <w:webHidden/>
          </w:rPr>
          <w:fldChar w:fldCharType="separate"/>
        </w:r>
        <w:r>
          <w:rPr>
            <w:noProof/>
            <w:webHidden/>
          </w:rPr>
          <w:t>283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29" w:history="1">
        <w:r w:rsidRPr="00CC53E5">
          <w:rPr>
            <w:rStyle w:val="Hyperlink"/>
            <w:noProof/>
          </w:rPr>
          <w:t>2.1.646</w:t>
        </w:r>
        <w:r>
          <w:rPr>
            <w:rFonts w:asciiTheme="minorHAnsi" w:eastAsiaTheme="minorEastAsia" w:hAnsiTheme="minorHAnsi" w:cstheme="minorBidi"/>
            <w:noProof/>
            <w:sz w:val="22"/>
            <w:szCs w:val="22"/>
          </w:rPr>
          <w:tab/>
        </w:r>
        <w:r w:rsidRPr="00CC53E5">
          <w:rPr>
            <w:rStyle w:val="Hyperlink"/>
            <w:noProof/>
          </w:rPr>
          <w:t>Part 1 Section 18.3.1.76, scenarios (Scenarios)</w:t>
        </w:r>
        <w:r>
          <w:rPr>
            <w:noProof/>
            <w:webHidden/>
          </w:rPr>
          <w:tab/>
        </w:r>
        <w:r>
          <w:rPr>
            <w:noProof/>
            <w:webHidden/>
          </w:rPr>
          <w:fldChar w:fldCharType="begin"/>
        </w:r>
        <w:r>
          <w:rPr>
            <w:noProof/>
            <w:webHidden/>
          </w:rPr>
          <w:instrText xml:space="preserve"> PAGEREF _Toc69878429 \h </w:instrText>
        </w:r>
        <w:r>
          <w:rPr>
            <w:noProof/>
            <w:webHidden/>
          </w:rPr>
        </w:r>
        <w:r>
          <w:rPr>
            <w:noProof/>
            <w:webHidden/>
          </w:rPr>
          <w:fldChar w:fldCharType="separate"/>
        </w:r>
        <w:r>
          <w:rPr>
            <w:noProof/>
            <w:webHidden/>
          </w:rPr>
          <w:t>284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30" w:history="1">
        <w:r w:rsidRPr="00CC53E5">
          <w:rPr>
            <w:rStyle w:val="Hyperlink"/>
            <w:noProof/>
          </w:rPr>
          <w:t>2.1.647</w:t>
        </w:r>
        <w:r>
          <w:rPr>
            <w:rFonts w:asciiTheme="minorHAnsi" w:eastAsiaTheme="minorEastAsia" w:hAnsiTheme="minorHAnsi" w:cstheme="minorBidi"/>
            <w:noProof/>
            <w:sz w:val="22"/>
            <w:szCs w:val="22"/>
          </w:rPr>
          <w:tab/>
        </w:r>
        <w:r w:rsidRPr="00CC53E5">
          <w:rPr>
            <w:rStyle w:val="Hyperlink"/>
            <w:noProof/>
          </w:rPr>
          <w:t>Part 1 Section 18.3.1.77, securityDescriptor (Security Descriptor)</w:t>
        </w:r>
        <w:r>
          <w:rPr>
            <w:noProof/>
            <w:webHidden/>
          </w:rPr>
          <w:tab/>
        </w:r>
        <w:r>
          <w:rPr>
            <w:noProof/>
            <w:webHidden/>
          </w:rPr>
          <w:fldChar w:fldCharType="begin"/>
        </w:r>
        <w:r>
          <w:rPr>
            <w:noProof/>
            <w:webHidden/>
          </w:rPr>
          <w:instrText xml:space="preserve"> PAGEREF _Toc69878430 \h </w:instrText>
        </w:r>
        <w:r>
          <w:rPr>
            <w:noProof/>
            <w:webHidden/>
          </w:rPr>
        </w:r>
        <w:r>
          <w:rPr>
            <w:noProof/>
            <w:webHidden/>
          </w:rPr>
          <w:fldChar w:fldCharType="separate"/>
        </w:r>
        <w:r>
          <w:rPr>
            <w:noProof/>
            <w:webHidden/>
          </w:rPr>
          <w:t>284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31" w:history="1">
        <w:r w:rsidRPr="00CC53E5">
          <w:rPr>
            <w:rStyle w:val="Hyperlink"/>
            <w:noProof/>
          </w:rPr>
          <w:t>2.1.648</w:t>
        </w:r>
        <w:r>
          <w:rPr>
            <w:rFonts w:asciiTheme="minorHAnsi" w:eastAsiaTheme="minorEastAsia" w:hAnsiTheme="minorHAnsi" w:cstheme="minorBidi"/>
            <w:noProof/>
            <w:sz w:val="22"/>
            <w:szCs w:val="22"/>
          </w:rPr>
          <w:tab/>
        </w:r>
        <w:r w:rsidRPr="00CC53E5">
          <w:rPr>
            <w:rStyle w:val="Hyperlink"/>
            <w:noProof/>
          </w:rPr>
          <w:t>Part 1 Section 18.3.1.78, selection (Selection)</w:t>
        </w:r>
        <w:r>
          <w:rPr>
            <w:noProof/>
            <w:webHidden/>
          </w:rPr>
          <w:tab/>
        </w:r>
        <w:r>
          <w:rPr>
            <w:noProof/>
            <w:webHidden/>
          </w:rPr>
          <w:fldChar w:fldCharType="begin"/>
        </w:r>
        <w:r>
          <w:rPr>
            <w:noProof/>
            <w:webHidden/>
          </w:rPr>
          <w:instrText xml:space="preserve"> PAGEREF _Toc69878431 \h </w:instrText>
        </w:r>
        <w:r>
          <w:rPr>
            <w:noProof/>
            <w:webHidden/>
          </w:rPr>
        </w:r>
        <w:r>
          <w:rPr>
            <w:noProof/>
            <w:webHidden/>
          </w:rPr>
          <w:fldChar w:fldCharType="separate"/>
        </w:r>
        <w:r>
          <w:rPr>
            <w:noProof/>
            <w:webHidden/>
          </w:rPr>
          <w:t>284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32" w:history="1">
        <w:r w:rsidRPr="00CC53E5">
          <w:rPr>
            <w:rStyle w:val="Hyperlink"/>
            <w:noProof/>
          </w:rPr>
          <w:t>2.1.649</w:t>
        </w:r>
        <w:r>
          <w:rPr>
            <w:rFonts w:asciiTheme="minorHAnsi" w:eastAsiaTheme="minorEastAsia" w:hAnsiTheme="minorHAnsi" w:cstheme="minorBidi"/>
            <w:noProof/>
            <w:sz w:val="22"/>
            <w:szCs w:val="22"/>
          </w:rPr>
          <w:tab/>
        </w:r>
        <w:r w:rsidRPr="00CC53E5">
          <w:rPr>
            <w:rStyle w:val="Hyperlink"/>
            <w:noProof/>
          </w:rPr>
          <w:t>Part 1 Section 18.3.1.81, sheetFormatPr (Sheet Format Properties)</w:t>
        </w:r>
        <w:r>
          <w:rPr>
            <w:noProof/>
            <w:webHidden/>
          </w:rPr>
          <w:tab/>
        </w:r>
        <w:r>
          <w:rPr>
            <w:noProof/>
            <w:webHidden/>
          </w:rPr>
          <w:fldChar w:fldCharType="begin"/>
        </w:r>
        <w:r>
          <w:rPr>
            <w:noProof/>
            <w:webHidden/>
          </w:rPr>
          <w:instrText xml:space="preserve"> PAGEREF _Toc69878432 \h </w:instrText>
        </w:r>
        <w:r>
          <w:rPr>
            <w:noProof/>
            <w:webHidden/>
          </w:rPr>
        </w:r>
        <w:r>
          <w:rPr>
            <w:noProof/>
            <w:webHidden/>
          </w:rPr>
          <w:fldChar w:fldCharType="separate"/>
        </w:r>
        <w:r>
          <w:rPr>
            <w:noProof/>
            <w:webHidden/>
          </w:rPr>
          <w:t>284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33" w:history="1">
        <w:r w:rsidRPr="00CC53E5">
          <w:rPr>
            <w:rStyle w:val="Hyperlink"/>
            <w:noProof/>
          </w:rPr>
          <w:t>2.1.650</w:t>
        </w:r>
        <w:r>
          <w:rPr>
            <w:rFonts w:asciiTheme="minorHAnsi" w:eastAsiaTheme="minorEastAsia" w:hAnsiTheme="minorHAnsi" w:cstheme="minorBidi"/>
            <w:noProof/>
            <w:sz w:val="22"/>
            <w:szCs w:val="22"/>
          </w:rPr>
          <w:tab/>
        </w:r>
        <w:r w:rsidRPr="00CC53E5">
          <w:rPr>
            <w:rStyle w:val="Hyperlink"/>
            <w:noProof/>
          </w:rPr>
          <w:t>Part 1 Section 18.3.1.82, sheetPr (Sheet Properties)</w:t>
        </w:r>
        <w:r>
          <w:rPr>
            <w:noProof/>
            <w:webHidden/>
          </w:rPr>
          <w:tab/>
        </w:r>
        <w:r>
          <w:rPr>
            <w:noProof/>
            <w:webHidden/>
          </w:rPr>
          <w:fldChar w:fldCharType="begin"/>
        </w:r>
        <w:r>
          <w:rPr>
            <w:noProof/>
            <w:webHidden/>
          </w:rPr>
          <w:instrText xml:space="preserve"> PAGEREF _Toc69878433 \h </w:instrText>
        </w:r>
        <w:r>
          <w:rPr>
            <w:noProof/>
            <w:webHidden/>
          </w:rPr>
        </w:r>
        <w:r>
          <w:rPr>
            <w:noProof/>
            <w:webHidden/>
          </w:rPr>
          <w:fldChar w:fldCharType="separate"/>
        </w:r>
        <w:r>
          <w:rPr>
            <w:noProof/>
            <w:webHidden/>
          </w:rPr>
          <w:t>284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34" w:history="1">
        <w:r w:rsidRPr="00CC53E5">
          <w:rPr>
            <w:rStyle w:val="Hyperlink"/>
            <w:noProof/>
          </w:rPr>
          <w:t>2.1.651</w:t>
        </w:r>
        <w:r>
          <w:rPr>
            <w:rFonts w:asciiTheme="minorHAnsi" w:eastAsiaTheme="minorEastAsia" w:hAnsiTheme="minorHAnsi" w:cstheme="minorBidi"/>
            <w:noProof/>
            <w:sz w:val="22"/>
            <w:szCs w:val="22"/>
          </w:rPr>
          <w:tab/>
        </w:r>
        <w:r w:rsidRPr="00CC53E5">
          <w:rPr>
            <w:rStyle w:val="Hyperlink"/>
            <w:noProof/>
          </w:rPr>
          <w:t>Part 1 Section 18.3.1.83, sheetPr (Chart Sheet Properties)</w:t>
        </w:r>
        <w:r>
          <w:rPr>
            <w:noProof/>
            <w:webHidden/>
          </w:rPr>
          <w:tab/>
        </w:r>
        <w:r>
          <w:rPr>
            <w:noProof/>
            <w:webHidden/>
          </w:rPr>
          <w:fldChar w:fldCharType="begin"/>
        </w:r>
        <w:r>
          <w:rPr>
            <w:noProof/>
            <w:webHidden/>
          </w:rPr>
          <w:instrText xml:space="preserve"> PAGEREF _Toc69878434 \h </w:instrText>
        </w:r>
        <w:r>
          <w:rPr>
            <w:noProof/>
            <w:webHidden/>
          </w:rPr>
        </w:r>
        <w:r>
          <w:rPr>
            <w:noProof/>
            <w:webHidden/>
          </w:rPr>
          <w:fldChar w:fldCharType="separate"/>
        </w:r>
        <w:r>
          <w:rPr>
            <w:noProof/>
            <w:webHidden/>
          </w:rPr>
          <w:t>285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35" w:history="1">
        <w:r w:rsidRPr="00CC53E5">
          <w:rPr>
            <w:rStyle w:val="Hyperlink"/>
            <w:noProof/>
          </w:rPr>
          <w:t>2.1.652</w:t>
        </w:r>
        <w:r>
          <w:rPr>
            <w:rFonts w:asciiTheme="minorHAnsi" w:eastAsiaTheme="minorEastAsia" w:hAnsiTheme="minorHAnsi" w:cstheme="minorBidi"/>
            <w:noProof/>
            <w:sz w:val="22"/>
            <w:szCs w:val="22"/>
          </w:rPr>
          <w:tab/>
        </w:r>
        <w:r w:rsidRPr="00CC53E5">
          <w:rPr>
            <w:rStyle w:val="Hyperlink"/>
            <w:noProof/>
          </w:rPr>
          <w:t>Part 1 Section 18.3.1.84, sheetProtection (Chart Sheet Protection)</w:t>
        </w:r>
        <w:r>
          <w:rPr>
            <w:noProof/>
            <w:webHidden/>
          </w:rPr>
          <w:tab/>
        </w:r>
        <w:r>
          <w:rPr>
            <w:noProof/>
            <w:webHidden/>
          </w:rPr>
          <w:fldChar w:fldCharType="begin"/>
        </w:r>
        <w:r>
          <w:rPr>
            <w:noProof/>
            <w:webHidden/>
          </w:rPr>
          <w:instrText xml:space="preserve"> PAGEREF _Toc69878435 \h </w:instrText>
        </w:r>
        <w:r>
          <w:rPr>
            <w:noProof/>
            <w:webHidden/>
          </w:rPr>
        </w:r>
        <w:r>
          <w:rPr>
            <w:noProof/>
            <w:webHidden/>
          </w:rPr>
          <w:fldChar w:fldCharType="separate"/>
        </w:r>
        <w:r>
          <w:rPr>
            <w:noProof/>
            <w:webHidden/>
          </w:rPr>
          <w:t>285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36" w:history="1">
        <w:r w:rsidRPr="00CC53E5">
          <w:rPr>
            <w:rStyle w:val="Hyperlink"/>
            <w:noProof/>
          </w:rPr>
          <w:t>2.1.653</w:t>
        </w:r>
        <w:r>
          <w:rPr>
            <w:rFonts w:asciiTheme="minorHAnsi" w:eastAsiaTheme="minorEastAsia" w:hAnsiTheme="minorHAnsi" w:cstheme="minorBidi"/>
            <w:noProof/>
            <w:sz w:val="22"/>
            <w:szCs w:val="22"/>
          </w:rPr>
          <w:tab/>
        </w:r>
        <w:r w:rsidRPr="00CC53E5">
          <w:rPr>
            <w:rStyle w:val="Hyperlink"/>
            <w:noProof/>
          </w:rPr>
          <w:t>Part 1 Section 18.3.1.85, sheetProtection (Sheet Protection Options)</w:t>
        </w:r>
        <w:r>
          <w:rPr>
            <w:noProof/>
            <w:webHidden/>
          </w:rPr>
          <w:tab/>
        </w:r>
        <w:r>
          <w:rPr>
            <w:noProof/>
            <w:webHidden/>
          </w:rPr>
          <w:fldChar w:fldCharType="begin"/>
        </w:r>
        <w:r>
          <w:rPr>
            <w:noProof/>
            <w:webHidden/>
          </w:rPr>
          <w:instrText xml:space="preserve"> PAGEREF _Toc69878436 \h </w:instrText>
        </w:r>
        <w:r>
          <w:rPr>
            <w:noProof/>
            <w:webHidden/>
          </w:rPr>
        </w:r>
        <w:r>
          <w:rPr>
            <w:noProof/>
            <w:webHidden/>
          </w:rPr>
          <w:fldChar w:fldCharType="separate"/>
        </w:r>
        <w:r>
          <w:rPr>
            <w:noProof/>
            <w:webHidden/>
          </w:rPr>
          <w:t>287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37" w:history="1">
        <w:r w:rsidRPr="00CC53E5">
          <w:rPr>
            <w:rStyle w:val="Hyperlink"/>
            <w:noProof/>
          </w:rPr>
          <w:t>2.1.654</w:t>
        </w:r>
        <w:r>
          <w:rPr>
            <w:rFonts w:asciiTheme="minorHAnsi" w:eastAsiaTheme="minorEastAsia" w:hAnsiTheme="minorHAnsi" w:cstheme="minorBidi"/>
            <w:noProof/>
            <w:sz w:val="22"/>
            <w:szCs w:val="22"/>
          </w:rPr>
          <w:tab/>
        </w:r>
        <w:r w:rsidRPr="00CC53E5">
          <w:rPr>
            <w:rStyle w:val="Hyperlink"/>
            <w:noProof/>
          </w:rPr>
          <w:t>Part 1 Section 18.3.1.87, sheetView (Worksheet View)</w:t>
        </w:r>
        <w:r>
          <w:rPr>
            <w:noProof/>
            <w:webHidden/>
          </w:rPr>
          <w:tab/>
        </w:r>
        <w:r>
          <w:rPr>
            <w:noProof/>
            <w:webHidden/>
          </w:rPr>
          <w:fldChar w:fldCharType="begin"/>
        </w:r>
        <w:r>
          <w:rPr>
            <w:noProof/>
            <w:webHidden/>
          </w:rPr>
          <w:instrText xml:space="preserve"> PAGEREF _Toc69878437 \h </w:instrText>
        </w:r>
        <w:r>
          <w:rPr>
            <w:noProof/>
            <w:webHidden/>
          </w:rPr>
        </w:r>
        <w:r>
          <w:rPr>
            <w:noProof/>
            <w:webHidden/>
          </w:rPr>
          <w:fldChar w:fldCharType="separate"/>
        </w:r>
        <w:r>
          <w:rPr>
            <w:noProof/>
            <w:webHidden/>
          </w:rPr>
          <w:t>289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38" w:history="1">
        <w:r w:rsidRPr="00CC53E5">
          <w:rPr>
            <w:rStyle w:val="Hyperlink"/>
            <w:noProof/>
          </w:rPr>
          <w:t>2.1.655</w:t>
        </w:r>
        <w:r>
          <w:rPr>
            <w:rFonts w:asciiTheme="minorHAnsi" w:eastAsiaTheme="minorEastAsia" w:hAnsiTheme="minorHAnsi" w:cstheme="minorBidi"/>
            <w:noProof/>
            <w:sz w:val="22"/>
            <w:szCs w:val="22"/>
          </w:rPr>
          <w:tab/>
        </w:r>
        <w:r w:rsidRPr="00CC53E5">
          <w:rPr>
            <w:rStyle w:val="Hyperlink"/>
            <w:noProof/>
          </w:rPr>
          <w:t>Part 1 Section 18.3.1.88, sheetViews (Sheet Views)</w:t>
        </w:r>
        <w:r>
          <w:rPr>
            <w:noProof/>
            <w:webHidden/>
          </w:rPr>
          <w:tab/>
        </w:r>
        <w:r>
          <w:rPr>
            <w:noProof/>
            <w:webHidden/>
          </w:rPr>
          <w:fldChar w:fldCharType="begin"/>
        </w:r>
        <w:r>
          <w:rPr>
            <w:noProof/>
            <w:webHidden/>
          </w:rPr>
          <w:instrText xml:space="preserve"> PAGEREF _Toc69878438 \h </w:instrText>
        </w:r>
        <w:r>
          <w:rPr>
            <w:noProof/>
            <w:webHidden/>
          </w:rPr>
        </w:r>
        <w:r>
          <w:rPr>
            <w:noProof/>
            <w:webHidden/>
          </w:rPr>
          <w:fldChar w:fldCharType="separate"/>
        </w:r>
        <w:r>
          <w:rPr>
            <w:noProof/>
            <w:webHidden/>
          </w:rPr>
          <w:t>289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39" w:history="1">
        <w:r w:rsidRPr="00CC53E5">
          <w:rPr>
            <w:rStyle w:val="Hyperlink"/>
            <w:noProof/>
          </w:rPr>
          <w:t>2.1.656</w:t>
        </w:r>
        <w:r>
          <w:rPr>
            <w:rFonts w:asciiTheme="minorHAnsi" w:eastAsiaTheme="minorEastAsia" w:hAnsiTheme="minorHAnsi" w:cstheme="minorBidi"/>
            <w:noProof/>
            <w:sz w:val="22"/>
            <w:szCs w:val="22"/>
          </w:rPr>
          <w:tab/>
        </w:r>
        <w:r w:rsidRPr="00CC53E5">
          <w:rPr>
            <w:rStyle w:val="Hyperlink"/>
            <w:noProof/>
          </w:rPr>
          <w:t>Part 1 Section 18.3.1.89, sheetViews (Chart Sheet Views)</w:t>
        </w:r>
        <w:r>
          <w:rPr>
            <w:noProof/>
            <w:webHidden/>
          </w:rPr>
          <w:tab/>
        </w:r>
        <w:r>
          <w:rPr>
            <w:noProof/>
            <w:webHidden/>
          </w:rPr>
          <w:fldChar w:fldCharType="begin"/>
        </w:r>
        <w:r>
          <w:rPr>
            <w:noProof/>
            <w:webHidden/>
          </w:rPr>
          <w:instrText xml:space="preserve"> PAGEREF _Toc69878439 \h </w:instrText>
        </w:r>
        <w:r>
          <w:rPr>
            <w:noProof/>
            <w:webHidden/>
          </w:rPr>
        </w:r>
        <w:r>
          <w:rPr>
            <w:noProof/>
            <w:webHidden/>
          </w:rPr>
          <w:fldChar w:fldCharType="separate"/>
        </w:r>
        <w:r>
          <w:rPr>
            <w:noProof/>
            <w:webHidden/>
          </w:rPr>
          <w:t>289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40" w:history="1">
        <w:r w:rsidRPr="00CC53E5">
          <w:rPr>
            <w:rStyle w:val="Hyperlink"/>
            <w:noProof/>
          </w:rPr>
          <w:t>2.1.657</w:t>
        </w:r>
        <w:r>
          <w:rPr>
            <w:rFonts w:asciiTheme="minorHAnsi" w:eastAsiaTheme="minorEastAsia" w:hAnsiTheme="minorHAnsi" w:cstheme="minorBidi"/>
            <w:noProof/>
            <w:sz w:val="22"/>
            <w:szCs w:val="22"/>
          </w:rPr>
          <w:tab/>
        </w:r>
        <w:r w:rsidRPr="00CC53E5">
          <w:rPr>
            <w:rStyle w:val="Hyperlink"/>
            <w:noProof/>
          </w:rPr>
          <w:t>Part 1 Section 18.3.1.91, sortCondition (Sort Condition)</w:t>
        </w:r>
        <w:r>
          <w:rPr>
            <w:noProof/>
            <w:webHidden/>
          </w:rPr>
          <w:tab/>
        </w:r>
        <w:r>
          <w:rPr>
            <w:noProof/>
            <w:webHidden/>
          </w:rPr>
          <w:fldChar w:fldCharType="begin"/>
        </w:r>
        <w:r>
          <w:rPr>
            <w:noProof/>
            <w:webHidden/>
          </w:rPr>
          <w:instrText xml:space="preserve"> PAGEREF _Toc69878440 \h </w:instrText>
        </w:r>
        <w:r>
          <w:rPr>
            <w:noProof/>
            <w:webHidden/>
          </w:rPr>
        </w:r>
        <w:r>
          <w:rPr>
            <w:noProof/>
            <w:webHidden/>
          </w:rPr>
          <w:fldChar w:fldCharType="separate"/>
        </w:r>
        <w:r>
          <w:rPr>
            <w:noProof/>
            <w:webHidden/>
          </w:rPr>
          <w:t>289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41" w:history="1">
        <w:r w:rsidRPr="00CC53E5">
          <w:rPr>
            <w:rStyle w:val="Hyperlink"/>
            <w:noProof/>
          </w:rPr>
          <w:t>2.1.658</w:t>
        </w:r>
        <w:r>
          <w:rPr>
            <w:rFonts w:asciiTheme="minorHAnsi" w:eastAsiaTheme="minorEastAsia" w:hAnsiTheme="minorHAnsi" w:cstheme="minorBidi"/>
            <w:noProof/>
            <w:sz w:val="22"/>
            <w:szCs w:val="22"/>
          </w:rPr>
          <w:tab/>
        </w:r>
        <w:r w:rsidRPr="00CC53E5">
          <w:rPr>
            <w:rStyle w:val="Hyperlink"/>
            <w:noProof/>
          </w:rPr>
          <w:t>Part 1 Section 18.3.1.93, tabColor (Sheet Tab Color)</w:t>
        </w:r>
        <w:r>
          <w:rPr>
            <w:noProof/>
            <w:webHidden/>
          </w:rPr>
          <w:tab/>
        </w:r>
        <w:r>
          <w:rPr>
            <w:noProof/>
            <w:webHidden/>
          </w:rPr>
          <w:fldChar w:fldCharType="begin"/>
        </w:r>
        <w:r>
          <w:rPr>
            <w:noProof/>
            <w:webHidden/>
          </w:rPr>
          <w:instrText xml:space="preserve"> PAGEREF _Toc69878441 \h </w:instrText>
        </w:r>
        <w:r>
          <w:rPr>
            <w:noProof/>
            <w:webHidden/>
          </w:rPr>
        </w:r>
        <w:r>
          <w:rPr>
            <w:noProof/>
            <w:webHidden/>
          </w:rPr>
          <w:fldChar w:fldCharType="separate"/>
        </w:r>
        <w:r>
          <w:rPr>
            <w:noProof/>
            <w:webHidden/>
          </w:rPr>
          <w:t>289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42" w:history="1">
        <w:r w:rsidRPr="00CC53E5">
          <w:rPr>
            <w:rStyle w:val="Hyperlink"/>
            <w:noProof/>
          </w:rPr>
          <w:t>2.1.659</w:t>
        </w:r>
        <w:r>
          <w:rPr>
            <w:rFonts w:asciiTheme="minorHAnsi" w:eastAsiaTheme="minorEastAsia" w:hAnsiTheme="minorHAnsi" w:cstheme="minorBidi"/>
            <w:noProof/>
            <w:sz w:val="22"/>
            <w:szCs w:val="22"/>
          </w:rPr>
          <w:tab/>
        </w:r>
        <w:r w:rsidRPr="00CC53E5">
          <w:rPr>
            <w:rStyle w:val="Hyperlink"/>
            <w:noProof/>
          </w:rPr>
          <w:t>Part 1 Section 18.3.1.96, v (Cell Value)</w:t>
        </w:r>
        <w:r>
          <w:rPr>
            <w:noProof/>
            <w:webHidden/>
          </w:rPr>
          <w:tab/>
        </w:r>
        <w:r>
          <w:rPr>
            <w:noProof/>
            <w:webHidden/>
          </w:rPr>
          <w:fldChar w:fldCharType="begin"/>
        </w:r>
        <w:r>
          <w:rPr>
            <w:noProof/>
            <w:webHidden/>
          </w:rPr>
          <w:instrText xml:space="preserve"> PAGEREF _Toc69878442 \h </w:instrText>
        </w:r>
        <w:r>
          <w:rPr>
            <w:noProof/>
            <w:webHidden/>
          </w:rPr>
        </w:r>
        <w:r>
          <w:rPr>
            <w:noProof/>
            <w:webHidden/>
          </w:rPr>
          <w:fldChar w:fldCharType="separate"/>
        </w:r>
        <w:r>
          <w:rPr>
            <w:noProof/>
            <w:webHidden/>
          </w:rPr>
          <w:t>289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43" w:history="1">
        <w:r w:rsidRPr="00CC53E5">
          <w:rPr>
            <w:rStyle w:val="Hyperlink"/>
            <w:noProof/>
          </w:rPr>
          <w:t>2.1.660</w:t>
        </w:r>
        <w:r>
          <w:rPr>
            <w:rFonts w:asciiTheme="minorHAnsi" w:eastAsiaTheme="minorEastAsia" w:hAnsiTheme="minorHAnsi" w:cstheme="minorBidi"/>
            <w:noProof/>
            <w:sz w:val="22"/>
            <w:szCs w:val="22"/>
          </w:rPr>
          <w:tab/>
        </w:r>
        <w:r w:rsidRPr="00CC53E5">
          <w:rPr>
            <w:rStyle w:val="Hyperlink"/>
            <w:noProof/>
          </w:rPr>
          <w:t>Part 1 Section 18.3.1.97, webPublishItem (Web Publishing Item)</w:t>
        </w:r>
        <w:r>
          <w:rPr>
            <w:noProof/>
            <w:webHidden/>
          </w:rPr>
          <w:tab/>
        </w:r>
        <w:r>
          <w:rPr>
            <w:noProof/>
            <w:webHidden/>
          </w:rPr>
          <w:fldChar w:fldCharType="begin"/>
        </w:r>
        <w:r>
          <w:rPr>
            <w:noProof/>
            <w:webHidden/>
          </w:rPr>
          <w:instrText xml:space="preserve"> PAGEREF _Toc69878443 \h </w:instrText>
        </w:r>
        <w:r>
          <w:rPr>
            <w:noProof/>
            <w:webHidden/>
          </w:rPr>
        </w:r>
        <w:r>
          <w:rPr>
            <w:noProof/>
            <w:webHidden/>
          </w:rPr>
          <w:fldChar w:fldCharType="separate"/>
        </w:r>
        <w:r>
          <w:rPr>
            <w:noProof/>
            <w:webHidden/>
          </w:rPr>
          <w:t>290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44" w:history="1">
        <w:r w:rsidRPr="00CC53E5">
          <w:rPr>
            <w:rStyle w:val="Hyperlink"/>
            <w:noProof/>
          </w:rPr>
          <w:t>2.1.661</w:t>
        </w:r>
        <w:r>
          <w:rPr>
            <w:rFonts w:asciiTheme="minorHAnsi" w:eastAsiaTheme="minorEastAsia" w:hAnsiTheme="minorHAnsi" w:cstheme="minorBidi"/>
            <w:noProof/>
            <w:sz w:val="22"/>
            <w:szCs w:val="22"/>
          </w:rPr>
          <w:tab/>
        </w:r>
        <w:r w:rsidRPr="00CC53E5">
          <w:rPr>
            <w:rStyle w:val="Hyperlink"/>
            <w:noProof/>
          </w:rPr>
          <w:t>Part 1 Section 18.3.1.99, worksheet (Worksheet)</w:t>
        </w:r>
        <w:r>
          <w:rPr>
            <w:noProof/>
            <w:webHidden/>
          </w:rPr>
          <w:tab/>
        </w:r>
        <w:r>
          <w:rPr>
            <w:noProof/>
            <w:webHidden/>
          </w:rPr>
          <w:fldChar w:fldCharType="begin"/>
        </w:r>
        <w:r>
          <w:rPr>
            <w:noProof/>
            <w:webHidden/>
          </w:rPr>
          <w:instrText xml:space="preserve"> PAGEREF _Toc69878444 \h </w:instrText>
        </w:r>
        <w:r>
          <w:rPr>
            <w:noProof/>
            <w:webHidden/>
          </w:rPr>
        </w:r>
        <w:r>
          <w:rPr>
            <w:noProof/>
            <w:webHidden/>
          </w:rPr>
          <w:fldChar w:fldCharType="separate"/>
        </w:r>
        <w:r>
          <w:rPr>
            <w:noProof/>
            <w:webHidden/>
          </w:rPr>
          <w:t>291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45" w:history="1">
        <w:r w:rsidRPr="00CC53E5">
          <w:rPr>
            <w:rStyle w:val="Hyperlink"/>
            <w:noProof/>
          </w:rPr>
          <w:t>2.1.662</w:t>
        </w:r>
        <w:r>
          <w:rPr>
            <w:rFonts w:asciiTheme="minorHAnsi" w:eastAsiaTheme="minorEastAsia" w:hAnsiTheme="minorHAnsi" w:cstheme="minorBidi"/>
            <w:noProof/>
            <w:sz w:val="22"/>
            <w:szCs w:val="22"/>
          </w:rPr>
          <w:tab/>
        </w:r>
        <w:r w:rsidRPr="00CC53E5">
          <w:rPr>
            <w:rStyle w:val="Hyperlink"/>
            <w:noProof/>
          </w:rPr>
          <w:t>Part 1 Section 18.3.2.1, colorFilter (Color Filter Criteria)</w:t>
        </w:r>
        <w:r>
          <w:rPr>
            <w:noProof/>
            <w:webHidden/>
          </w:rPr>
          <w:tab/>
        </w:r>
        <w:r>
          <w:rPr>
            <w:noProof/>
            <w:webHidden/>
          </w:rPr>
          <w:fldChar w:fldCharType="begin"/>
        </w:r>
        <w:r>
          <w:rPr>
            <w:noProof/>
            <w:webHidden/>
          </w:rPr>
          <w:instrText xml:space="preserve"> PAGEREF _Toc69878445 \h </w:instrText>
        </w:r>
        <w:r>
          <w:rPr>
            <w:noProof/>
            <w:webHidden/>
          </w:rPr>
        </w:r>
        <w:r>
          <w:rPr>
            <w:noProof/>
            <w:webHidden/>
          </w:rPr>
          <w:fldChar w:fldCharType="separate"/>
        </w:r>
        <w:r>
          <w:rPr>
            <w:noProof/>
            <w:webHidden/>
          </w:rPr>
          <w:t>291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46" w:history="1">
        <w:r w:rsidRPr="00CC53E5">
          <w:rPr>
            <w:rStyle w:val="Hyperlink"/>
            <w:noProof/>
          </w:rPr>
          <w:t>2.1.663</w:t>
        </w:r>
        <w:r>
          <w:rPr>
            <w:rFonts w:asciiTheme="minorHAnsi" w:eastAsiaTheme="minorEastAsia" w:hAnsiTheme="minorHAnsi" w:cstheme="minorBidi"/>
            <w:noProof/>
            <w:sz w:val="22"/>
            <w:szCs w:val="22"/>
          </w:rPr>
          <w:tab/>
        </w:r>
        <w:r w:rsidRPr="00CC53E5">
          <w:rPr>
            <w:rStyle w:val="Hyperlink"/>
            <w:noProof/>
          </w:rPr>
          <w:t>Part 1 Section 18.3.2.4, dateGroupItem (Date Grouping)</w:t>
        </w:r>
        <w:r>
          <w:rPr>
            <w:noProof/>
            <w:webHidden/>
          </w:rPr>
          <w:tab/>
        </w:r>
        <w:r>
          <w:rPr>
            <w:noProof/>
            <w:webHidden/>
          </w:rPr>
          <w:fldChar w:fldCharType="begin"/>
        </w:r>
        <w:r>
          <w:rPr>
            <w:noProof/>
            <w:webHidden/>
          </w:rPr>
          <w:instrText xml:space="preserve"> PAGEREF _Toc69878446 \h </w:instrText>
        </w:r>
        <w:r>
          <w:rPr>
            <w:noProof/>
            <w:webHidden/>
          </w:rPr>
        </w:r>
        <w:r>
          <w:rPr>
            <w:noProof/>
            <w:webHidden/>
          </w:rPr>
          <w:fldChar w:fldCharType="separate"/>
        </w:r>
        <w:r>
          <w:rPr>
            <w:noProof/>
            <w:webHidden/>
          </w:rPr>
          <w:t>291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47" w:history="1">
        <w:r w:rsidRPr="00CC53E5">
          <w:rPr>
            <w:rStyle w:val="Hyperlink"/>
            <w:noProof/>
          </w:rPr>
          <w:t>2.1.664</w:t>
        </w:r>
        <w:r>
          <w:rPr>
            <w:rFonts w:asciiTheme="minorHAnsi" w:eastAsiaTheme="minorEastAsia" w:hAnsiTheme="minorHAnsi" w:cstheme="minorBidi"/>
            <w:noProof/>
            <w:sz w:val="22"/>
            <w:szCs w:val="22"/>
          </w:rPr>
          <w:tab/>
        </w:r>
        <w:r w:rsidRPr="00CC53E5">
          <w:rPr>
            <w:rStyle w:val="Hyperlink"/>
            <w:noProof/>
          </w:rPr>
          <w:t>Part 1 Section 18.3.2.5, dynamicFilter (Dynamic Filter)</w:t>
        </w:r>
        <w:r>
          <w:rPr>
            <w:noProof/>
            <w:webHidden/>
          </w:rPr>
          <w:tab/>
        </w:r>
        <w:r>
          <w:rPr>
            <w:noProof/>
            <w:webHidden/>
          </w:rPr>
          <w:fldChar w:fldCharType="begin"/>
        </w:r>
        <w:r>
          <w:rPr>
            <w:noProof/>
            <w:webHidden/>
          </w:rPr>
          <w:instrText xml:space="preserve"> PAGEREF _Toc69878447 \h </w:instrText>
        </w:r>
        <w:r>
          <w:rPr>
            <w:noProof/>
            <w:webHidden/>
          </w:rPr>
        </w:r>
        <w:r>
          <w:rPr>
            <w:noProof/>
            <w:webHidden/>
          </w:rPr>
          <w:fldChar w:fldCharType="separate"/>
        </w:r>
        <w:r>
          <w:rPr>
            <w:noProof/>
            <w:webHidden/>
          </w:rPr>
          <w:t>291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48" w:history="1">
        <w:r w:rsidRPr="00CC53E5">
          <w:rPr>
            <w:rStyle w:val="Hyperlink"/>
            <w:noProof/>
          </w:rPr>
          <w:t>2.1.665</w:t>
        </w:r>
        <w:r>
          <w:rPr>
            <w:rFonts w:asciiTheme="minorHAnsi" w:eastAsiaTheme="minorEastAsia" w:hAnsiTheme="minorHAnsi" w:cstheme="minorBidi"/>
            <w:noProof/>
            <w:sz w:val="22"/>
            <w:szCs w:val="22"/>
          </w:rPr>
          <w:tab/>
        </w:r>
        <w:r w:rsidRPr="00CC53E5">
          <w:rPr>
            <w:rStyle w:val="Hyperlink"/>
            <w:noProof/>
          </w:rPr>
          <w:t>Part 1 Section 18.3.2.6, filter (Filter)</w:t>
        </w:r>
        <w:r>
          <w:rPr>
            <w:noProof/>
            <w:webHidden/>
          </w:rPr>
          <w:tab/>
        </w:r>
        <w:r>
          <w:rPr>
            <w:noProof/>
            <w:webHidden/>
          </w:rPr>
          <w:fldChar w:fldCharType="begin"/>
        </w:r>
        <w:r>
          <w:rPr>
            <w:noProof/>
            <w:webHidden/>
          </w:rPr>
          <w:instrText xml:space="preserve"> PAGEREF _Toc69878448 \h </w:instrText>
        </w:r>
        <w:r>
          <w:rPr>
            <w:noProof/>
            <w:webHidden/>
          </w:rPr>
        </w:r>
        <w:r>
          <w:rPr>
            <w:noProof/>
            <w:webHidden/>
          </w:rPr>
          <w:fldChar w:fldCharType="separate"/>
        </w:r>
        <w:r>
          <w:rPr>
            <w:noProof/>
            <w:webHidden/>
          </w:rPr>
          <w:t>292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49" w:history="1">
        <w:r w:rsidRPr="00CC53E5">
          <w:rPr>
            <w:rStyle w:val="Hyperlink"/>
            <w:noProof/>
          </w:rPr>
          <w:t>2.1.666</w:t>
        </w:r>
        <w:r>
          <w:rPr>
            <w:rFonts w:asciiTheme="minorHAnsi" w:eastAsiaTheme="minorEastAsia" w:hAnsiTheme="minorHAnsi" w:cstheme="minorBidi"/>
            <w:noProof/>
            <w:sz w:val="22"/>
            <w:szCs w:val="22"/>
          </w:rPr>
          <w:tab/>
        </w:r>
        <w:r w:rsidRPr="00CC53E5">
          <w:rPr>
            <w:rStyle w:val="Hyperlink"/>
            <w:noProof/>
          </w:rPr>
          <w:t>Part 1 Section 18.3.2.7, filterColumn (AutoFilter Column)</w:t>
        </w:r>
        <w:r>
          <w:rPr>
            <w:noProof/>
            <w:webHidden/>
          </w:rPr>
          <w:tab/>
        </w:r>
        <w:r>
          <w:rPr>
            <w:noProof/>
            <w:webHidden/>
          </w:rPr>
          <w:fldChar w:fldCharType="begin"/>
        </w:r>
        <w:r>
          <w:rPr>
            <w:noProof/>
            <w:webHidden/>
          </w:rPr>
          <w:instrText xml:space="preserve"> PAGEREF _Toc69878449 \h </w:instrText>
        </w:r>
        <w:r>
          <w:rPr>
            <w:noProof/>
            <w:webHidden/>
          </w:rPr>
        </w:r>
        <w:r>
          <w:rPr>
            <w:noProof/>
            <w:webHidden/>
          </w:rPr>
          <w:fldChar w:fldCharType="separate"/>
        </w:r>
        <w:r>
          <w:rPr>
            <w:noProof/>
            <w:webHidden/>
          </w:rPr>
          <w:t>292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50" w:history="1">
        <w:r w:rsidRPr="00CC53E5">
          <w:rPr>
            <w:rStyle w:val="Hyperlink"/>
            <w:noProof/>
          </w:rPr>
          <w:t>2.1.667</w:t>
        </w:r>
        <w:r>
          <w:rPr>
            <w:rFonts w:asciiTheme="minorHAnsi" w:eastAsiaTheme="minorEastAsia" w:hAnsiTheme="minorHAnsi" w:cstheme="minorBidi"/>
            <w:noProof/>
            <w:sz w:val="22"/>
            <w:szCs w:val="22"/>
          </w:rPr>
          <w:tab/>
        </w:r>
        <w:r w:rsidRPr="00CC53E5">
          <w:rPr>
            <w:rStyle w:val="Hyperlink"/>
            <w:noProof/>
          </w:rPr>
          <w:t>Part 1 Section 18.3.2.8, filters (Filter Criteria)</w:t>
        </w:r>
        <w:r>
          <w:rPr>
            <w:noProof/>
            <w:webHidden/>
          </w:rPr>
          <w:tab/>
        </w:r>
        <w:r>
          <w:rPr>
            <w:noProof/>
            <w:webHidden/>
          </w:rPr>
          <w:fldChar w:fldCharType="begin"/>
        </w:r>
        <w:r>
          <w:rPr>
            <w:noProof/>
            <w:webHidden/>
          </w:rPr>
          <w:instrText xml:space="preserve"> PAGEREF _Toc69878450 \h </w:instrText>
        </w:r>
        <w:r>
          <w:rPr>
            <w:noProof/>
            <w:webHidden/>
          </w:rPr>
        </w:r>
        <w:r>
          <w:rPr>
            <w:noProof/>
            <w:webHidden/>
          </w:rPr>
          <w:fldChar w:fldCharType="separate"/>
        </w:r>
        <w:r>
          <w:rPr>
            <w:noProof/>
            <w:webHidden/>
          </w:rPr>
          <w:t>292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51" w:history="1">
        <w:r w:rsidRPr="00CC53E5">
          <w:rPr>
            <w:rStyle w:val="Hyperlink"/>
            <w:noProof/>
          </w:rPr>
          <w:t>2.1.668</w:t>
        </w:r>
        <w:r>
          <w:rPr>
            <w:rFonts w:asciiTheme="minorHAnsi" w:eastAsiaTheme="minorEastAsia" w:hAnsiTheme="minorHAnsi" w:cstheme="minorBidi"/>
            <w:noProof/>
            <w:sz w:val="22"/>
            <w:szCs w:val="22"/>
          </w:rPr>
          <w:tab/>
        </w:r>
        <w:r w:rsidRPr="00CC53E5">
          <w:rPr>
            <w:rStyle w:val="Hyperlink"/>
            <w:noProof/>
          </w:rPr>
          <w:t>Part 1 Section 18.3.2.9, iconFilter (Icon Filter)</w:t>
        </w:r>
        <w:r>
          <w:rPr>
            <w:noProof/>
            <w:webHidden/>
          </w:rPr>
          <w:tab/>
        </w:r>
        <w:r>
          <w:rPr>
            <w:noProof/>
            <w:webHidden/>
          </w:rPr>
          <w:fldChar w:fldCharType="begin"/>
        </w:r>
        <w:r>
          <w:rPr>
            <w:noProof/>
            <w:webHidden/>
          </w:rPr>
          <w:instrText xml:space="preserve"> PAGEREF _Toc69878451 \h </w:instrText>
        </w:r>
        <w:r>
          <w:rPr>
            <w:noProof/>
            <w:webHidden/>
          </w:rPr>
        </w:r>
        <w:r>
          <w:rPr>
            <w:noProof/>
            <w:webHidden/>
          </w:rPr>
          <w:fldChar w:fldCharType="separate"/>
        </w:r>
        <w:r>
          <w:rPr>
            <w:noProof/>
            <w:webHidden/>
          </w:rPr>
          <w:t>292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52" w:history="1">
        <w:r w:rsidRPr="00CC53E5">
          <w:rPr>
            <w:rStyle w:val="Hyperlink"/>
            <w:noProof/>
          </w:rPr>
          <w:t>2.1.669</w:t>
        </w:r>
        <w:r>
          <w:rPr>
            <w:rFonts w:asciiTheme="minorHAnsi" w:eastAsiaTheme="minorEastAsia" w:hAnsiTheme="minorHAnsi" w:cstheme="minorBidi"/>
            <w:noProof/>
            <w:sz w:val="22"/>
            <w:szCs w:val="22"/>
          </w:rPr>
          <w:tab/>
        </w:r>
        <w:r w:rsidRPr="00CC53E5">
          <w:rPr>
            <w:rStyle w:val="Hyperlink"/>
            <w:noProof/>
          </w:rPr>
          <w:t>Part 1 Section 18.3.2.10, top10 (Top 10)</w:t>
        </w:r>
        <w:r>
          <w:rPr>
            <w:noProof/>
            <w:webHidden/>
          </w:rPr>
          <w:tab/>
        </w:r>
        <w:r>
          <w:rPr>
            <w:noProof/>
            <w:webHidden/>
          </w:rPr>
          <w:fldChar w:fldCharType="begin"/>
        </w:r>
        <w:r>
          <w:rPr>
            <w:noProof/>
            <w:webHidden/>
          </w:rPr>
          <w:instrText xml:space="preserve"> PAGEREF _Toc69878452 \h </w:instrText>
        </w:r>
        <w:r>
          <w:rPr>
            <w:noProof/>
            <w:webHidden/>
          </w:rPr>
        </w:r>
        <w:r>
          <w:rPr>
            <w:noProof/>
            <w:webHidden/>
          </w:rPr>
          <w:fldChar w:fldCharType="separate"/>
        </w:r>
        <w:r>
          <w:rPr>
            <w:noProof/>
            <w:webHidden/>
          </w:rPr>
          <w:t>292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53" w:history="1">
        <w:r w:rsidRPr="00CC53E5">
          <w:rPr>
            <w:rStyle w:val="Hyperlink"/>
            <w:noProof/>
          </w:rPr>
          <w:t>2.1.670</w:t>
        </w:r>
        <w:r>
          <w:rPr>
            <w:rFonts w:asciiTheme="minorHAnsi" w:eastAsiaTheme="minorEastAsia" w:hAnsiTheme="minorHAnsi" w:cstheme="minorBidi"/>
            <w:noProof/>
            <w:sz w:val="22"/>
            <w:szCs w:val="22"/>
          </w:rPr>
          <w:tab/>
        </w:r>
        <w:r w:rsidRPr="00CC53E5">
          <w:rPr>
            <w:rStyle w:val="Hyperlink"/>
            <w:noProof/>
          </w:rPr>
          <w:t>Part 1 Section 18.4.3, phoneticPr (Phonetic Properties)</w:t>
        </w:r>
        <w:r>
          <w:rPr>
            <w:noProof/>
            <w:webHidden/>
          </w:rPr>
          <w:tab/>
        </w:r>
        <w:r>
          <w:rPr>
            <w:noProof/>
            <w:webHidden/>
          </w:rPr>
          <w:fldChar w:fldCharType="begin"/>
        </w:r>
        <w:r>
          <w:rPr>
            <w:noProof/>
            <w:webHidden/>
          </w:rPr>
          <w:instrText xml:space="preserve"> PAGEREF _Toc69878453 \h </w:instrText>
        </w:r>
        <w:r>
          <w:rPr>
            <w:noProof/>
            <w:webHidden/>
          </w:rPr>
        </w:r>
        <w:r>
          <w:rPr>
            <w:noProof/>
            <w:webHidden/>
          </w:rPr>
          <w:fldChar w:fldCharType="separate"/>
        </w:r>
        <w:r>
          <w:rPr>
            <w:noProof/>
            <w:webHidden/>
          </w:rPr>
          <w:t>292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54" w:history="1">
        <w:r w:rsidRPr="00CC53E5">
          <w:rPr>
            <w:rStyle w:val="Hyperlink"/>
            <w:noProof/>
          </w:rPr>
          <w:t>2.1.671</w:t>
        </w:r>
        <w:r>
          <w:rPr>
            <w:rFonts w:asciiTheme="minorHAnsi" w:eastAsiaTheme="minorEastAsia" w:hAnsiTheme="minorHAnsi" w:cstheme="minorBidi"/>
            <w:noProof/>
            <w:sz w:val="22"/>
            <w:szCs w:val="22"/>
          </w:rPr>
          <w:tab/>
        </w:r>
        <w:r w:rsidRPr="00CC53E5">
          <w:rPr>
            <w:rStyle w:val="Hyperlink"/>
            <w:noProof/>
          </w:rPr>
          <w:t>Part 1 Section 18.4.5, rFont (Font)</w:t>
        </w:r>
        <w:r>
          <w:rPr>
            <w:noProof/>
            <w:webHidden/>
          </w:rPr>
          <w:tab/>
        </w:r>
        <w:r>
          <w:rPr>
            <w:noProof/>
            <w:webHidden/>
          </w:rPr>
          <w:fldChar w:fldCharType="begin"/>
        </w:r>
        <w:r>
          <w:rPr>
            <w:noProof/>
            <w:webHidden/>
          </w:rPr>
          <w:instrText xml:space="preserve"> PAGEREF _Toc69878454 \h </w:instrText>
        </w:r>
        <w:r>
          <w:rPr>
            <w:noProof/>
            <w:webHidden/>
          </w:rPr>
        </w:r>
        <w:r>
          <w:rPr>
            <w:noProof/>
            <w:webHidden/>
          </w:rPr>
          <w:fldChar w:fldCharType="separate"/>
        </w:r>
        <w:r>
          <w:rPr>
            <w:noProof/>
            <w:webHidden/>
          </w:rPr>
          <w:t>293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55" w:history="1">
        <w:r w:rsidRPr="00CC53E5">
          <w:rPr>
            <w:rStyle w:val="Hyperlink"/>
            <w:noProof/>
          </w:rPr>
          <w:t>2.1.672</w:t>
        </w:r>
        <w:r>
          <w:rPr>
            <w:rFonts w:asciiTheme="minorHAnsi" w:eastAsiaTheme="minorEastAsia" w:hAnsiTheme="minorHAnsi" w:cstheme="minorBidi"/>
            <w:noProof/>
            <w:sz w:val="22"/>
            <w:szCs w:val="22"/>
          </w:rPr>
          <w:tab/>
        </w:r>
        <w:r w:rsidRPr="00CC53E5">
          <w:rPr>
            <w:rStyle w:val="Hyperlink"/>
            <w:noProof/>
          </w:rPr>
          <w:t>Part 1 Section 18.4.6, rPh (Phonetic Run)</w:t>
        </w:r>
        <w:r>
          <w:rPr>
            <w:noProof/>
            <w:webHidden/>
          </w:rPr>
          <w:tab/>
        </w:r>
        <w:r>
          <w:rPr>
            <w:noProof/>
            <w:webHidden/>
          </w:rPr>
          <w:fldChar w:fldCharType="begin"/>
        </w:r>
        <w:r>
          <w:rPr>
            <w:noProof/>
            <w:webHidden/>
          </w:rPr>
          <w:instrText xml:space="preserve"> PAGEREF _Toc69878455 \h </w:instrText>
        </w:r>
        <w:r>
          <w:rPr>
            <w:noProof/>
            <w:webHidden/>
          </w:rPr>
        </w:r>
        <w:r>
          <w:rPr>
            <w:noProof/>
            <w:webHidden/>
          </w:rPr>
          <w:fldChar w:fldCharType="separate"/>
        </w:r>
        <w:r>
          <w:rPr>
            <w:noProof/>
            <w:webHidden/>
          </w:rPr>
          <w:t>293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56" w:history="1">
        <w:r w:rsidRPr="00CC53E5">
          <w:rPr>
            <w:rStyle w:val="Hyperlink"/>
            <w:noProof/>
          </w:rPr>
          <w:t>2.1.673</w:t>
        </w:r>
        <w:r>
          <w:rPr>
            <w:rFonts w:asciiTheme="minorHAnsi" w:eastAsiaTheme="minorEastAsia" w:hAnsiTheme="minorHAnsi" w:cstheme="minorBidi"/>
            <w:noProof/>
            <w:sz w:val="22"/>
            <w:szCs w:val="22"/>
          </w:rPr>
          <w:tab/>
        </w:r>
        <w:r w:rsidRPr="00CC53E5">
          <w:rPr>
            <w:rStyle w:val="Hyperlink"/>
            <w:noProof/>
          </w:rPr>
          <w:t>Part 1 Section 18.4.7, rPr (Run Properties)</w:t>
        </w:r>
        <w:r>
          <w:rPr>
            <w:noProof/>
            <w:webHidden/>
          </w:rPr>
          <w:tab/>
        </w:r>
        <w:r>
          <w:rPr>
            <w:noProof/>
            <w:webHidden/>
          </w:rPr>
          <w:fldChar w:fldCharType="begin"/>
        </w:r>
        <w:r>
          <w:rPr>
            <w:noProof/>
            <w:webHidden/>
          </w:rPr>
          <w:instrText xml:space="preserve"> PAGEREF _Toc69878456 \h </w:instrText>
        </w:r>
        <w:r>
          <w:rPr>
            <w:noProof/>
            <w:webHidden/>
          </w:rPr>
        </w:r>
        <w:r>
          <w:rPr>
            <w:noProof/>
            <w:webHidden/>
          </w:rPr>
          <w:fldChar w:fldCharType="separate"/>
        </w:r>
        <w:r>
          <w:rPr>
            <w:noProof/>
            <w:webHidden/>
          </w:rPr>
          <w:t>293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57" w:history="1">
        <w:r w:rsidRPr="00CC53E5">
          <w:rPr>
            <w:rStyle w:val="Hyperlink"/>
            <w:noProof/>
          </w:rPr>
          <w:t>2.1.674</w:t>
        </w:r>
        <w:r>
          <w:rPr>
            <w:rFonts w:asciiTheme="minorHAnsi" w:eastAsiaTheme="minorEastAsia" w:hAnsiTheme="minorHAnsi" w:cstheme="minorBidi"/>
            <w:noProof/>
            <w:sz w:val="22"/>
            <w:szCs w:val="22"/>
          </w:rPr>
          <w:tab/>
        </w:r>
        <w:r w:rsidRPr="00CC53E5">
          <w:rPr>
            <w:rStyle w:val="Hyperlink"/>
            <w:noProof/>
          </w:rPr>
          <w:t>Part 1 Section 18.4.8, si (String Item)</w:t>
        </w:r>
        <w:r>
          <w:rPr>
            <w:noProof/>
            <w:webHidden/>
          </w:rPr>
          <w:tab/>
        </w:r>
        <w:r>
          <w:rPr>
            <w:noProof/>
            <w:webHidden/>
          </w:rPr>
          <w:fldChar w:fldCharType="begin"/>
        </w:r>
        <w:r>
          <w:rPr>
            <w:noProof/>
            <w:webHidden/>
          </w:rPr>
          <w:instrText xml:space="preserve"> PAGEREF _Toc69878457 \h </w:instrText>
        </w:r>
        <w:r>
          <w:rPr>
            <w:noProof/>
            <w:webHidden/>
          </w:rPr>
        </w:r>
        <w:r>
          <w:rPr>
            <w:noProof/>
            <w:webHidden/>
          </w:rPr>
          <w:fldChar w:fldCharType="separate"/>
        </w:r>
        <w:r>
          <w:rPr>
            <w:noProof/>
            <w:webHidden/>
          </w:rPr>
          <w:t>293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58" w:history="1">
        <w:r w:rsidRPr="00CC53E5">
          <w:rPr>
            <w:rStyle w:val="Hyperlink"/>
            <w:noProof/>
          </w:rPr>
          <w:t>2.1.675</w:t>
        </w:r>
        <w:r>
          <w:rPr>
            <w:rFonts w:asciiTheme="minorHAnsi" w:eastAsiaTheme="minorEastAsia" w:hAnsiTheme="minorHAnsi" w:cstheme="minorBidi"/>
            <w:noProof/>
            <w:sz w:val="22"/>
            <w:szCs w:val="22"/>
          </w:rPr>
          <w:tab/>
        </w:r>
        <w:r w:rsidRPr="00CC53E5">
          <w:rPr>
            <w:rStyle w:val="Hyperlink"/>
            <w:noProof/>
          </w:rPr>
          <w:t>Part 1 Section 18.4.9, sst (Shared String Table)</w:t>
        </w:r>
        <w:r>
          <w:rPr>
            <w:noProof/>
            <w:webHidden/>
          </w:rPr>
          <w:tab/>
        </w:r>
        <w:r>
          <w:rPr>
            <w:noProof/>
            <w:webHidden/>
          </w:rPr>
          <w:fldChar w:fldCharType="begin"/>
        </w:r>
        <w:r>
          <w:rPr>
            <w:noProof/>
            <w:webHidden/>
          </w:rPr>
          <w:instrText xml:space="preserve"> PAGEREF _Toc69878458 \h </w:instrText>
        </w:r>
        <w:r>
          <w:rPr>
            <w:noProof/>
            <w:webHidden/>
          </w:rPr>
        </w:r>
        <w:r>
          <w:rPr>
            <w:noProof/>
            <w:webHidden/>
          </w:rPr>
          <w:fldChar w:fldCharType="separate"/>
        </w:r>
        <w:r>
          <w:rPr>
            <w:noProof/>
            <w:webHidden/>
          </w:rPr>
          <w:t>293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59" w:history="1">
        <w:r w:rsidRPr="00CC53E5">
          <w:rPr>
            <w:rStyle w:val="Hyperlink"/>
            <w:noProof/>
          </w:rPr>
          <w:t>2.1.676</w:t>
        </w:r>
        <w:r>
          <w:rPr>
            <w:rFonts w:asciiTheme="minorHAnsi" w:eastAsiaTheme="minorEastAsia" w:hAnsiTheme="minorHAnsi" w:cstheme="minorBidi"/>
            <w:noProof/>
            <w:sz w:val="22"/>
            <w:szCs w:val="22"/>
          </w:rPr>
          <w:tab/>
        </w:r>
        <w:r w:rsidRPr="00CC53E5">
          <w:rPr>
            <w:rStyle w:val="Hyperlink"/>
            <w:noProof/>
          </w:rPr>
          <w:t>Part 1 Section 18.4.11, sz (Font Size)</w:t>
        </w:r>
        <w:r>
          <w:rPr>
            <w:noProof/>
            <w:webHidden/>
          </w:rPr>
          <w:tab/>
        </w:r>
        <w:r>
          <w:rPr>
            <w:noProof/>
            <w:webHidden/>
          </w:rPr>
          <w:fldChar w:fldCharType="begin"/>
        </w:r>
        <w:r>
          <w:rPr>
            <w:noProof/>
            <w:webHidden/>
          </w:rPr>
          <w:instrText xml:space="preserve"> PAGEREF _Toc69878459 \h </w:instrText>
        </w:r>
        <w:r>
          <w:rPr>
            <w:noProof/>
            <w:webHidden/>
          </w:rPr>
        </w:r>
        <w:r>
          <w:rPr>
            <w:noProof/>
            <w:webHidden/>
          </w:rPr>
          <w:fldChar w:fldCharType="separate"/>
        </w:r>
        <w:r>
          <w:rPr>
            <w:noProof/>
            <w:webHidden/>
          </w:rPr>
          <w:t>293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60" w:history="1">
        <w:r w:rsidRPr="00CC53E5">
          <w:rPr>
            <w:rStyle w:val="Hyperlink"/>
            <w:noProof/>
          </w:rPr>
          <w:t>2.1.677</w:t>
        </w:r>
        <w:r>
          <w:rPr>
            <w:rFonts w:asciiTheme="minorHAnsi" w:eastAsiaTheme="minorEastAsia" w:hAnsiTheme="minorHAnsi" w:cstheme="minorBidi"/>
            <w:noProof/>
            <w:sz w:val="22"/>
            <w:szCs w:val="22"/>
          </w:rPr>
          <w:tab/>
        </w:r>
        <w:r w:rsidRPr="00CC53E5">
          <w:rPr>
            <w:rStyle w:val="Hyperlink"/>
            <w:noProof/>
          </w:rPr>
          <w:t>Part 1 Section 18.4.12, t (Text)</w:t>
        </w:r>
        <w:r>
          <w:rPr>
            <w:noProof/>
            <w:webHidden/>
          </w:rPr>
          <w:tab/>
        </w:r>
        <w:r>
          <w:rPr>
            <w:noProof/>
            <w:webHidden/>
          </w:rPr>
          <w:fldChar w:fldCharType="begin"/>
        </w:r>
        <w:r>
          <w:rPr>
            <w:noProof/>
            <w:webHidden/>
          </w:rPr>
          <w:instrText xml:space="preserve"> PAGEREF _Toc69878460 \h </w:instrText>
        </w:r>
        <w:r>
          <w:rPr>
            <w:noProof/>
            <w:webHidden/>
          </w:rPr>
        </w:r>
        <w:r>
          <w:rPr>
            <w:noProof/>
            <w:webHidden/>
          </w:rPr>
          <w:fldChar w:fldCharType="separate"/>
        </w:r>
        <w:r>
          <w:rPr>
            <w:noProof/>
            <w:webHidden/>
          </w:rPr>
          <w:t>294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61" w:history="1">
        <w:r w:rsidRPr="00CC53E5">
          <w:rPr>
            <w:rStyle w:val="Hyperlink"/>
            <w:noProof/>
          </w:rPr>
          <w:t>2.1.678</w:t>
        </w:r>
        <w:r>
          <w:rPr>
            <w:rFonts w:asciiTheme="minorHAnsi" w:eastAsiaTheme="minorEastAsia" w:hAnsiTheme="minorHAnsi" w:cstheme="minorBidi"/>
            <w:noProof/>
            <w:sz w:val="22"/>
            <w:szCs w:val="22"/>
          </w:rPr>
          <w:tab/>
        </w:r>
        <w:r w:rsidRPr="00CC53E5">
          <w:rPr>
            <w:rStyle w:val="Hyperlink"/>
            <w:noProof/>
          </w:rPr>
          <w:t>Part 1 Section 18.5.1.1, calculatedColumnFormula (Calculated Column Formula)</w:t>
        </w:r>
        <w:r>
          <w:rPr>
            <w:noProof/>
            <w:webHidden/>
          </w:rPr>
          <w:tab/>
        </w:r>
        <w:r>
          <w:rPr>
            <w:noProof/>
            <w:webHidden/>
          </w:rPr>
          <w:fldChar w:fldCharType="begin"/>
        </w:r>
        <w:r>
          <w:rPr>
            <w:noProof/>
            <w:webHidden/>
          </w:rPr>
          <w:instrText xml:space="preserve"> PAGEREF _Toc69878461 \h </w:instrText>
        </w:r>
        <w:r>
          <w:rPr>
            <w:noProof/>
            <w:webHidden/>
          </w:rPr>
        </w:r>
        <w:r>
          <w:rPr>
            <w:noProof/>
            <w:webHidden/>
          </w:rPr>
          <w:fldChar w:fldCharType="separate"/>
        </w:r>
        <w:r>
          <w:rPr>
            <w:noProof/>
            <w:webHidden/>
          </w:rPr>
          <w:t>294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62" w:history="1">
        <w:r w:rsidRPr="00CC53E5">
          <w:rPr>
            <w:rStyle w:val="Hyperlink"/>
            <w:noProof/>
          </w:rPr>
          <w:t>2.1.679</w:t>
        </w:r>
        <w:r>
          <w:rPr>
            <w:rFonts w:asciiTheme="minorHAnsi" w:eastAsiaTheme="minorEastAsia" w:hAnsiTheme="minorHAnsi" w:cstheme="minorBidi"/>
            <w:noProof/>
            <w:sz w:val="22"/>
            <w:szCs w:val="22"/>
          </w:rPr>
          <w:tab/>
        </w:r>
        <w:r w:rsidRPr="00CC53E5">
          <w:rPr>
            <w:rStyle w:val="Hyperlink"/>
            <w:noProof/>
          </w:rPr>
          <w:t>Part 1 Section 18.5.1.2, table (Table)</w:t>
        </w:r>
        <w:r>
          <w:rPr>
            <w:noProof/>
            <w:webHidden/>
          </w:rPr>
          <w:tab/>
        </w:r>
        <w:r>
          <w:rPr>
            <w:noProof/>
            <w:webHidden/>
          </w:rPr>
          <w:fldChar w:fldCharType="begin"/>
        </w:r>
        <w:r>
          <w:rPr>
            <w:noProof/>
            <w:webHidden/>
          </w:rPr>
          <w:instrText xml:space="preserve"> PAGEREF _Toc69878462 \h </w:instrText>
        </w:r>
        <w:r>
          <w:rPr>
            <w:noProof/>
            <w:webHidden/>
          </w:rPr>
        </w:r>
        <w:r>
          <w:rPr>
            <w:noProof/>
            <w:webHidden/>
          </w:rPr>
          <w:fldChar w:fldCharType="separate"/>
        </w:r>
        <w:r>
          <w:rPr>
            <w:noProof/>
            <w:webHidden/>
          </w:rPr>
          <w:t>294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63" w:history="1">
        <w:r w:rsidRPr="00CC53E5">
          <w:rPr>
            <w:rStyle w:val="Hyperlink"/>
            <w:noProof/>
          </w:rPr>
          <w:t>2.1.680</w:t>
        </w:r>
        <w:r>
          <w:rPr>
            <w:rFonts w:asciiTheme="minorHAnsi" w:eastAsiaTheme="minorEastAsia" w:hAnsiTheme="minorHAnsi" w:cstheme="minorBidi"/>
            <w:noProof/>
            <w:sz w:val="22"/>
            <w:szCs w:val="22"/>
          </w:rPr>
          <w:tab/>
        </w:r>
        <w:r w:rsidRPr="00CC53E5">
          <w:rPr>
            <w:rStyle w:val="Hyperlink"/>
            <w:noProof/>
          </w:rPr>
          <w:t>Part 1 Section 18.5.1.3, tableColumn (Table Column)</w:t>
        </w:r>
        <w:r>
          <w:rPr>
            <w:noProof/>
            <w:webHidden/>
          </w:rPr>
          <w:tab/>
        </w:r>
        <w:r>
          <w:rPr>
            <w:noProof/>
            <w:webHidden/>
          </w:rPr>
          <w:fldChar w:fldCharType="begin"/>
        </w:r>
        <w:r>
          <w:rPr>
            <w:noProof/>
            <w:webHidden/>
          </w:rPr>
          <w:instrText xml:space="preserve"> PAGEREF _Toc69878463 \h </w:instrText>
        </w:r>
        <w:r>
          <w:rPr>
            <w:noProof/>
            <w:webHidden/>
          </w:rPr>
        </w:r>
        <w:r>
          <w:rPr>
            <w:noProof/>
            <w:webHidden/>
          </w:rPr>
          <w:fldChar w:fldCharType="separate"/>
        </w:r>
        <w:r>
          <w:rPr>
            <w:noProof/>
            <w:webHidden/>
          </w:rPr>
          <w:t>295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64" w:history="1">
        <w:r w:rsidRPr="00CC53E5">
          <w:rPr>
            <w:rStyle w:val="Hyperlink"/>
            <w:noProof/>
          </w:rPr>
          <w:t>2.1.681</w:t>
        </w:r>
        <w:r>
          <w:rPr>
            <w:rFonts w:asciiTheme="minorHAnsi" w:eastAsiaTheme="minorEastAsia" w:hAnsiTheme="minorHAnsi" w:cstheme="minorBidi"/>
            <w:noProof/>
            <w:sz w:val="22"/>
            <w:szCs w:val="22"/>
          </w:rPr>
          <w:tab/>
        </w:r>
        <w:r w:rsidRPr="00CC53E5">
          <w:rPr>
            <w:rStyle w:val="Hyperlink"/>
            <w:noProof/>
          </w:rPr>
          <w:t>Part 1 Section 18.5.1.5, tableStyleInfo (Table Style)</w:t>
        </w:r>
        <w:r>
          <w:rPr>
            <w:noProof/>
            <w:webHidden/>
          </w:rPr>
          <w:tab/>
        </w:r>
        <w:r>
          <w:rPr>
            <w:noProof/>
            <w:webHidden/>
          </w:rPr>
          <w:fldChar w:fldCharType="begin"/>
        </w:r>
        <w:r>
          <w:rPr>
            <w:noProof/>
            <w:webHidden/>
          </w:rPr>
          <w:instrText xml:space="preserve"> PAGEREF _Toc69878464 \h </w:instrText>
        </w:r>
        <w:r>
          <w:rPr>
            <w:noProof/>
            <w:webHidden/>
          </w:rPr>
        </w:r>
        <w:r>
          <w:rPr>
            <w:noProof/>
            <w:webHidden/>
          </w:rPr>
          <w:fldChar w:fldCharType="separate"/>
        </w:r>
        <w:r>
          <w:rPr>
            <w:noProof/>
            <w:webHidden/>
          </w:rPr>
          <w:t>296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65" w:history="1">
        <w:r w:rsidRPr="00CC53E5">
          <w:rPr>
            <w:rStyle w:val="Hyperlink"/>
            <w:noProof/>
          </w:rPr>
          <w:t>2.1.682</w:t>
        </w:r>
        <w:r>
          <w:rPr>
            <w:rFonts w:asciiTheme="minorHAnsi" w:eastAsiaTheme="minorEastAsia" w:hAnsiTheme="minorHAnsi" w:cstheme="minorBidi"/>
            <w:noProof/>
            <w:sz w:val="22"/>
            <w:szCs w:val="22"/>
          </w:rPr>
          <w:tab/>
        </w:r>
        <w:r w:rsidRPr="00CC53E5">
          <w:rPr>
            <w:rStyle w:val="Hyperlink"/>
            <w:noProof/>
          </w:rPr>
          <w:t>Part 1 Section 18.5.1.6, totalsRowFormula (Totals Row Formula)</w:t>
        </w:r>
        <w:r>
          <w:rPr>
            <w:noProof/>
            <w:webHidden/>
          </w:rPr>
          <w:tab/>
        </w:r>
        <w:r>
          <w:rPr>
            <w:noProof/>
            <w:webHidden/>
          </w:rPr>
          <w:fldChar w:fldCharType="begin"/>
        </w:r>
        <w:r>
          <w:rPr>
            <w:noProof/>
            <w:webHidden/>
          </w:rPr>
          <w:instrText xml:space="preserve"> PAGEREF _Toc69878465 \h </w:instrText>
        </w:r>
        <w:r>
          <w:rPr>
            <w:noProof/>
            <w:webHidden/>
          </w:rPr>
        </w:r>
        <w:r>
          <w:rPr>
            <w:noProof/>
            <w:webHidden/>
          </w:rPr>
          <w:fldChar w:fldCharType="separate"/>
        </w:r>
        <w:r>
          <w:rPr>
            <w:noProof/>
            <w:webHidden/>
          </w:rPr>
          <w:t>296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66" w:history="1">
        <w:r w:rsidRPr="00CC53E5">
          <w:rPr>
            <w:rStyle w:val="Hyperlink"/>
            <w:noProof/>
          </w:rPr>
          <w:t>2.1.683</w:t>
        </w:r>
        <w:r>
          <w:rPr>
            <w:rFonts w:asciiTheme="minorHAnsi" w:eastAsiaTheme="minorEastAsia" w:hAnsiTheme="minorHAnsi" w:cstheme="minorBidi"/>
            <w:noProof/>
            <w:sz w:val="22"/>
            <w:szCs w:val="22"/>
          </w:rPr>
          <w:tab/>
        </w:r>
        <w:r w:rsidRPr="00CC53E5">
          <w:rPr>
            <w:rStyle w:val="Hyperlink"/>
            <w:noProof/>
          </w:rPr>
          <w:t>Part 1 Section 18.5.1.7, xmlColumnPr (XML Column Properties)</w:t>
        </w:r>
        <w:r>
          <w:rPr>
            <w:noProof/>
            <w:webHidden/>
          </w:rPr>
          <w:tab/>
        </w:r>
        <w:r>
          <w:rPr>
            <w:noProof/>
            <w:webHidden/>
          </w:rPr>
          <w:fldChar w:fldCharType="begin"/>
        </w:r>
        <w:r>
          <w:rPr>
            <w:noProof/>
            <w:webHidden/>
          </w:rPr>
          <w:instrText xml:space="preserve"> PAGEREF _Toc69878466 \h </w:instrText>
        </w:r>
        <w:r>
          <w:rPr>
            <w:noProof/>
            <w:webHidden/>
          </w:rPr>
        </w:r>
        <w:r>
          <w:rPr>
            <w:noProof/>
            <w:webHidden/>
          </w:rPr>
          <w:fldChar w:fldCharType="separate"/>
        </w:r>
        <w:r>
          <w:rPr>
            <w:noProof/>
            <w:webHidden/>
          </w:rPr>
          <w:t>296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67" w:history="1">
        <w:r w:rsidRPr="00CC53E5">
          <w:rPr>
            <w:rStyle w:val="Hyperlink"/>
            <w:noProof/>
          </w:rPr>
          <w:t>2.1.684</w:t>
        </w:r>
        <w:r>
          <w:rPr>
            <w:rFonts w:asciiTheme="minorHAnsi" w:eastAsiaTheme="minorEastAsia" w:hAnsiTheme="minorHAnsi" w:cstheme="minorBidi"/>
            <w:noProof/>
            <w:sz w:val="22"/>
            <w:szCs w:val="22"/>
          </w:rPr>
          <w:tab/>
        </w:r>
        <w:r w:rsidRPr="00CC53E5">
          <w:rPr>
            <w:rStyle w:val="Hyperlink"/>
            <w:noProof/>
          </w:rPr>
          <w:t>Part 1 Section 18.5.2.1, singleXmlCell (Table Properties)</w:t>
        </w:r>
        <w:r>
          <w:rPr>
            <w:noProof/>
            <w:webHidden/>
          </w:rPr>
          <w:tab/>
        </w:r>
        <w:r>
          <w:rPr>
            <w:noProof/>
            <w:webHidden/>
          </w:rPr>
          <w:fldChar w:fldCharType="begin"/>
        </w:r>
        <w:r>
          <w:rPr>
            <w:noProof/>
            <w:webHidden/>
          </w:rPr>
          <w:instrText xml:space="preserve"> PAGEREF _Toc69878467 \h </w:instrText>
        </w:r>
        <w:r>
          <w:rPr>
            <w:noProof/>
            <w:webHidden/>
          </w:rPr>
        </w:r>
        <w:r>
          <w:rPr>
            <w:noProof/>
            <w:webHidden/>
          </w:rPr>
          <w:fldChar w:fldCharType="separate"/>
        </w:r>
        <w:r>
          <w:rPr>
            <w:noProof/>
            <w:webHidden/>
          </w:rPr>
          <w:t>297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68" w:history="1">
        <w:r w:rsidRPr="00CC53E5">
          <w:rPr>
            <w:rStyle w:val="Hyperlink"/>
            <w:noProof/>
          </w:rPr>
          <w:t>2.1.685</w:t>
        </w:r>
        <w:r>
          <w:rPr>
            <w:rFonts w:asciiTheme="minorHAnsi" w:eastAsiaTheme="minorEastAsia" w:hAnsiTheme="minorHAnsi" w:cstheme="minorBidi"/>
            <w:noProof/>
            <w:sz w:val="22"/>
            <w:szCs w:val="22"/>
          </w:rPr>
          <w:tab/>
        </w:r>
        <w:r w:rsidRPr="00CC53E5">
          <w:rPr>
            <w:rStyle w:val="Hyperlink"/>
            <w:noProof/>
          </w:rPr>
          <w:t>Part 1 Section 18.5.2.3, xmlCellPr (Cell Properties)</w:t>
        </w:r>
        <w:r>
          <w:rPr>
            <w:noProof/>
            <w:webHidden/>
          </w:rPr>
          <w:tab/>
        </w:r>
        <w:r>
          <w:rPr>
            <w:noProof/>
            <w:webHidden/>
          </w:rPr>
          <w:fldChar w:fldCharType="begin"/>
        </w:r>
        <w:r>
          <w:rPr>
            <w:noProof/>
            <w:webHidden/>
          </w:rPr>
          <w:instrText xml:space="preserve"> PAGEREF _Toc69878468 \h </w:instrText>
        </w:r>
        <w:r>
          <w:rPr>
            <w:noProof/>
            <w:webHidden/>
          </w:rPr>
        </w:r>
        <w:r>
          <w:rPr>
            <w:noProof/>
            <w:webHidden/>
          </w:rPr>
          <w:fldChar w:fldCharType="separate"/>
        </w:r>
        <w:r>
          <w:rPr>
            <w:noProof/>
            <w:webHidden/>
          </w:rPr>
          <w:t>297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69" w:history="1">
        <w:r w:rsidRPr="00CC53E5">
          <w:rPr>
            <w:rStyle w:val="Hyperlink"/>
            <w:noProof/>
          </w:rPr>
          <w:t>2.1.686</w:t>
        </w:r>
        <w:r>
          <w:rPr>
            <w:rFonts w:asciiTheme="minorHAnsi" w:eastAsiaTheme="minorEastAsia" w:hAnsiTheme="minorHAnsi" w:cstheme="minorBidi"/>
            <w:noProof/>
            <w:sz w:val="22"/>
            <w:szCs w:val="22"/>
          </w:rPr>
          <w:tab/>
        </w:r>
        <w:r w:rsidRPr="00CC53E5">
          <w:rPr>
            <w:rStyle w:val="Hyperlink"/>
            <w:noProof/>
          </w:rPr>
          <w:t>Part 1 Section 18.5.2.4, xmlPr (Column XML Properties)</w:t>
        </w:r>
        <w:r>
          <w:rPr>
            <w:noProof/>
            <w:webHidden/>
          </w:rPr>
          <w:tab/>
        </w:r>
        <w:r>
          <w:rPr>
            <w:noProof/>
            <w:webHidden/>
          </w:rPr>
          <w:fldChar w:fldCharType="begin"/>
        </w:r>
        <w:r>
          <w:rPr>
            <w:noProof/>
            <w:webHidden/>
          </w:rPr>
          <w:instrText xml:space="preserve"> PAGEREF _Toc69878469 \h </w:instrText>
        </w:r>
        <w:r>
          <w:rPr>
            <w:noProof/>
            <w:webHidden/>
          </w:rPr>
        </w:r>
        <w:r>
          <w:rPr>
            <w:noProof/>
            <w:webHidden/>
          </w:rPr>
          <w:fldChar w:fldCharType="separate"/>
        </w:r>
        <w:r>
          <w:rPr>
            <w:noProof/>
            <w:webHidden/>
          </w:rPr>
          <w:t>297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70" w:history="1">
        <w:r w:rsidRPr="00CC53E5">
          <w:rPr>
            <w:rStyle w:val="Hyperlink"/>
            <w:noProof/>
          </w:rPr>
          <w:t>2.1.687</w:t>
        </w:r>
        <w:r>
          <w:rPr>
            <w:rFonts w:asciiTheme="minorHAnsi" w:eastAsiaTheme="minorEastAsia" w:hAnsiTheme="minorHAnsi" w:cstheme="minorBidi"/>
            <w:noProof/>
            <w:sz w:val="22"/>
            <w:szCs w:val="22"/>
          </w:rPr>
          <w:tab/>
        </w:r>
        <w:r w:rsidRPr="00CC53E5">
          <w:rPr>
            <w:rStyle w:val="Hyperlink"/>
            <w:noProof/>
          </w:rPr>
          <w:t>Part 1 Section 18.6.1, c (Cell)</w:t>
        </w:r>
        <w:r>
          <w:rPr>
            <w:noProof/>
            <w:webHidden/>
          </w:rPr>
          <w:tab/>
        </w:r>
        <w:r>
          <w:rPr>
            <w:noProof/>
            <w:webHidden/>
          </w:rPr>
          <w:fldChar w:fldCharType="begin"/>
        </w:r>
        <w:r>
          <w:rPr>
            <w:noProof/>
            <w:webHidden/>
          </w:rPr>
          <w:instrText xml:space="preserve"> PAGEREF _Toc69878470 \h </w:instrText>
        </w:r>
        <w:r>
          <w:rPr>
            <w:noProof/>
            <w:webHidden/>
          </w:rPr>
        </w:r>
        <w:r>
          <w:rPr>
            <w:noProof/>
            <w:webHidden/>
          </w:rPr>
          <w:fldChar w:fldCharType="separate"/>
        </w:r>
        <w:r>
          <w:rPr>
            <w:noProof/>
            <w:webHidden/>
          </w:rPr>
          <w:t>297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71" w:history="1">
        <w:r w:rsidRPr="00CC53E5">
          <w:rPr>
            <w:rStyle w:val="Hyperlink"/>
            <w:noProof/>
          </w:rPr>
          <w:t>2.1.688</w:t>
        </w:r>
        <w:r>
          <w:rPr>
            <w:rFonts w:asciiTheme="minorHAnsi" w:eastAsiaTheme="minorEastAsia" w:hAnsiTheme="minorHAnsi" w:cstheme="minorBidi"/>
            <w:noProof/>
            <w:sz w:val="22"/>
            <w:szCs w:val="22"/>
          </w:rPr>
          <w:tab/>
        </w:r>
        <w:r w:rsidRPr="00CC53E5">
          <w:rPr>
            <w:rStyle w:val="Hyperlink"/>
            <w:noProof/>
          </w:rPr>
          <w:t>Part 1 Section 18.7.1, author (Author)</w:t>
        </w:r>
        <w:r>
          <w:rPr>
            <w:noProof/>
            <w:webHidden/>
          </w:rPr>
          <w:tab/>
        </w:r>
        <w:r>
          <w:rPr>
            <w:noProof/>
            <w:webHidden/>
          </w:rPr>
          <w:fldChar w:fldCharType="begin"/>
        </w:r>
        <w:r>
          <w:rPr>
            <w:noProof/>
            <w:webHidden/>
          </w:rPr>
          <w:instrText xml:space="preserve"> PAGEREF _Toc69878471 \h </w:instrText>
        </w:r>
        <w:r>
          <w:rPr>
            <w:noProof/>
            <w:webHidden/>
          </w:rPr>
        </w:r>
        <w:r>
          <w:rPr>
            <w:noProof/>
            <w:webHidden/>
          </w:rPr>
          <w:fldChar w:fldCharType="separate"/>
        </w:r>
        <w:r>
          <w:rPr>
            <w:noProof/>
            <w:webHidden/>
          </w:rPr>
          <w:t>298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72" w:history="1">
        <w:r w:rsidRPr="00CC53E5">
          <w:rPr>
            <w:rStyle w:val="Hyperlink"/>
            <w:noProof/>
          </w:rPr>
          <w:t>2.1.689</w:t>
        </w:r>
        <w:r>
          <w:rPr>
            <w:rFonts w:asciiTheme="minorHAnsi" w:eastAsiaTheme="minorEastAsia" w:hAnsiTheme="minorHAnsi" w:cstheme="minorBidi"/>
            <w:noProof/>
            <w:sz w:val="22"/>
            <w:szCs w:val="22"/>
          </w:rPr>
          <w:tab/>
        </w:r>
        <w:r w:rsidRPr="00CC53E5">
          <w:rPr>
            <w:rStyle w:val="Hyperlink"/>
            <w:noProof/>
          </w:rPr>
          <w:t>Part 1 Section 18.7.3, comment (Comment)</w:t>
        </w:r>
        <w:r>
          <w:rPr>
            <w:noProof/>
            <w:webHidden/>
          </w:rPr>
          <w:tab/>
        </w:r>
        <w:r>
          <w:rPr>
            <w:noProof/>
            <w:webHidden/>
          </w:rPr>
          <w:fldChar w:fldCharType="begin"/>
        </w:r>
        <w:r>
          <w:rPr>
            <w:noProof/>
            <w:webHidden/>
          </w:rPr>
          <w:instrText xml:space="preserve"> PAGEREF _Toc69878472 \h </w:instrText>
        </w:r>
        <w:r>
          <w:rPr>
            <w:noProof/>
            <w:webHidden/>
          </w:rPr>
        </w:r>
        <w:r>
          <w:rPr>
            <w:noProof/>
            <w:webHidden/>
          </w:rPr>
          <w:fldChar w:fldCharType="separate"/>
        </w:r>
        <w:r>
          <w:rPr>
            <w:noProof/>
            <w:webHidden/>
          </w:rPr>
          <w:t>298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73" w:history="1">
        <w:r w:rsidRPr="00CC53E5">
          <w:rPr>
            <w:rStyle w:val="Hyperlink"/>
            <w:noProof/>
          </w:rPr>
          <w:t>2.1.690</w:t>
        </w:r>
        <w:r>
          <w:rPr>
            <w:rFonts w:asciiTheme="minorHAnsi" w:eastAsiaTheme="minorEastAsia" w:hAnsiTheme="minorHAnsi" w:cstheme="minorBidi"/>
            <w:noProof/>
            <w:sz w:val="22"/>
            <w:szCs w:val="22"/>
          </w:rPr>
          <w:tab/>
        </w:r>
        <w:r w:rsidRPr="00CC53E5">
          <w:rPr>
            <w:rStyle w:val="Hyperlink"/>
            <w:noProof/>
          </w:rPr>
          <w:t>Part 1 Section 18.7.5, commentPr (Comment Properties)</w:t>
        </w:r>
        <w:r>
          <w:rPr>
            <w:noProof/>
            <w:webHidden/>
          </w:rPr>
          <w:tab/>
        </w:r>
        <w:r>
          <w:rPr>
            <w:noProof/>
            <w:webHidden/>
          </w:rPr>
          <w:fldChar w:fldCharType="begin"/>
        </w:r>
        <w:r>
          <w:rPr>
            <w:noProof/>
            <w:webHidden/>
          </w:rPr>
          <w:instrText xml:space="preserve"> PAGEREF _Toc69878473 \h </w:instrText>
        </w:r>
        <w:r>
          <w:rPr>
            <w:noProof/>
            <w:webHidden/>
          </w:rPr>
        </w:r>
        <w:r>
          <w:rPr>
            <w:noProof/>
            <w:webHidden/>
          </w:rPr>
          <w:fldChar w:fldCharType="separate"/>
        </w:r>
        <w:r>
          <w:rPr>
            <w:noProof/>
            <w:webHidden/>
          </w:rPr>
          <w:t>298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74" w:history="1">
        <w:r w:rsidRPr="00CC53E5">
          <w:rPr>
            <w:rStyle w:val="Hyperlink"/>
            <w:noProof/>
          </w:rPr>
          <w:t>2.1.691</w:t>
        </w:r>
        <w:r>
          <w:rPr>
            <w:rFonts w:asciiTheme="minorHAnsi" w:eastAsiaTheme="minorEastAsia" w:hAnsiTheme="minorHAnsi" w:cstheme="minorBidi"/>
            <w:noProof/>
            <w:sz w:val="22"/>
            <w:szCs w:val="22"/>
          </w:rPr>
          <w:tab/>
        </w:r>
        <w:r w:rsidRPr="00CC53E5">
          <w:rPr>
            <w:rStyle w:val="Hyperlink"/>
            <w:noProof/>
          </w:rPr>
          <w:t>Part 1 Section 18.7.7, text (Comment Text)</w:t>
        </w:r>
        <w:r>
          <w:rPr>
            <w:noProof/>
            <w:webHidden/>
          </w:rPr>
          <w:tab/>
        </w:r>
        <w:r>
          <w:rPr>
            <w:noProof/>
            <w:webHidden/>
          </w:rPr>
          <w:fldChar w:fldCharType="begin"/>
        </w:r>
        <w:r>
          <w:rPr>
            <w:noProof/>
            <w:webHidden/>
          </w:rPr>
          <w:instrText xml:space="preserve"> PAGEREF _Toc69878474 \h </w:instrText>
        </w:r>
        <w:r>
          <w:rPr>
            <w:noProof/>
            <w:webHidden/>
          </w:rPr>
        </w:r>
        <w:r>
          <w:rPr>
            <w:noProof/>
            <w:webHidden/>
          </w:rPr>
          <w:fldChar w:fldCharType="separate"/>
        </w:r>
        <w:r>
          <w:rPr>
            <w:noProof/>
            <w:webHidden/>
          </w:rPr>
          <w:t>298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75" w:history="1">
        <w:r w:rsidRPr="00CC53E5">
          <w:rPr>
            <w:rStyle w:val="Hyperlink"/>
            <w:noProof/>
          </w:rPr>
          <w:t>2.1.692</w:t>
        </w:r>
        <w:r>
          <w:rPr>
            <w:rFonts w:asciiTheme="minorHAnsi" w:eastAsiaTheme="minorEastAsia" w:hAnsiTheme="minorHAnsi" w:cstheme="minorBidi"/>
            <w:noProof/>
            <w:sz w:val="22"/>
            <w:szCs w:val="22"/>
          </w:rPr>
          <w:tab/>
        </w:r>
        <w:r w:rsidRPr="00CC53E5">
          <w:rPr>
            <w:rStyle w:val="Hyperlink"/>
            <w:noProof/>
          </w:rPr>
          <w:t>Part 1 Section 18.8.1, alignment (Alignment)</w:t>
        </w:r>
        <w:r>
          <w:rPr>
            <w:noProof/>
            <w:webHidden/>
          </w:rPr>
          <w:tab/>
        </w:r>
        <w:r>
          <w:rPr>
            <w:noProof/>
            <w:webHidden/>
          </w:rPr>
          <w:fldChar w:fldCharType="begin"/>
        </w:r>
        <w:r>
          <w:rPr>
            <w:noProof/>
            <w:webHidden/>
          </w:rPr>
          <w:instrText xml:space="preserve"> PAGEREF _Toc69878475 \h </w:instrText>
        </w:r>
        <w:r>
          <w:rPr>
            <w:noProof/>
            <w:webHidden/>
          </w:rPr>
        </w:r>
        <w:r>
          <w:rPr>
            <w:noProof/>
            <w:webHidden/>
          </w:rPr>
          <w:fldChar w:fldCharType="separate"/>
        </w:r>
        <w:r>
          <w:rPr>
            <w:noProof/>
            <w:webHidden/>
          </w:rPr>
          <w:t>299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76" w:history="1">
        <w:r w:rsidRPr="00CC53E5">
          <w:rPr>
            <w:rStyle w:val="Hyperlink"/>
            <w:noProof/>
          </w:rPr>
          <w:t>2.1.693</w:t>
        </w:r>
        <w:r>
          <w:rPr>
            <w:rFonts w:asciiTheme="minorHAnsi" w:eastAsiaTheme="minorEastAsia" w:hAnsiTheme="minorHAnsi" w:cstheme="minorBidi"/>
            <w:noProof/>
            <w:sz w:val="22"/>
            <w:szCs w:val="22"/>
          </w:rPr>
          <w:tab/>
        </w:r>
        <w:r w:rsidRPr="00CC53E5">
          <w:rPr>
            <w:rStyle w:val="Hyperlink"/>
            <w:noProof/>
          </w:rPr>
          <w:t>Part 1 Section 18.8.3, bgColor (Background Color)</w:t>
        </w:r>
        <w:r>
          <w:rPr>
            <w:noProof/>
            <w:webHidden/>
          </w:rPr>
          <w:tab/>
        </w:r>
        <w:r>
          <w:rPr>
            <w:noProof/>
            <w:webHidden/>
          </w:rPr>
          <w:fldChar w:fldCharType="begin"/>
        </w:r>
        <w:r>
          <w:rPr>
            <w:noProof/>
            <w:webHidden/>
          </w:rPr>
          <w:instrText xml:space="preserve"> PAGEREF _Toc69878476 \h </w:instrText>
        </w:r>
        <w:r>
          <w:rPr>
            <w:noProof/>
            <w:webHidden/>
          </w:rPr>
        </w:r>
        <w:r>
          <w:rPr>
            <w:noProof/>
            <w:webHidden/>
          </w:rPr>
          <w:fldChar w:fldCharType="separate"/>
        </w:r>
        <w:r>
          <w:rPr>
            <w:noProof/>
            <w:webHidden/>
          </w:rPr>
          <w:t>299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77" w:history="1">
        <w:r w:rsidRPr="00CC53E5">
          <w:rPr>
            <w:rStyle w:val="Hyperlink"/>
            <w:noProof/>
          </w:rPr>
          <w:t>2.1.694</w:t>
        </w:r>
        <w:r>
          <w:rPr>
            <w:rFonts w:asciiTheme="minorHAnsi" w:eastAsiaTheme="minorEastAsia" w:hAnsiTheme="minorHAnsi" w:cstheme="minorBidi"/>
            <w:noProof/>
            <w:sz w:val="22"/>
            <w:szCs w:val="22"/>
          </w:rPr>
          <w:tab/>
        </w:r>
        <w:r w:rsidRPr="00CC53E5">
          <w:rPr>
            <w:rStyle w:val="Hyperlink"/>
            <w:noProof/>
          </w:rPr>
          <w:t>Part 1 Section 18.8.4, border (Border)</w:t>
        </w:r>
        <w:r>
          <w:rPr>
            <w:noProof/>
            <w:webHidden/>
          </w:rPr>
          <w:tab/>
        </w:r>
        <w:r>
          <w:rPr>
            <w:noProof/>
            <w:webHidden/>
          </w:rPr>
          <w:fldChar w:fldCharType="begin"/>
        </w:r>
        <w:r>
          <w:rPr>
            <w:noProof/>
            <w:webHidden/>
          </w:rPr>
          <w:instrText xml:space="preserve"> PAGEREF _Toc69878477 \h </w:instrText>
        </w:r>
        <w:r>
          <w:rPr>
            <w:noProof/>
            <w:webHidden/>
          </w:rPr>
        </w:r>
        <w:r>
          <w:rPr>
            <w:noProof/>
            <w:webHidden/>
          </w:rPr>
          <w:fldChar w:fldCharType="separate"/>
        </w:r>
        <w:r>
          <w:rPr>
            <w:noProof/>
            <w:webHidden/>
          </w:rPr>
          <w:t>300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78" w:history="1">
        <w:r w:rsidRPr="00CC53E5">
          <w:rPr>
            <w:rStyle w:val="Hyperlink"/>
            <w:noProof/>
          </w:rPr>
          <w:t>2.1.695</w:t>
        </w:r>
        <w:r>
          <w:rPr>
            <w:rFonts w:asciiTheme="minorHAnsi" w:eastAsiaTheme="minorEastAsia" w:hAnsiTheme="minorHAnsi" w:cstheme="minorBidi"/>
            <w:noProof/>
            <w:sz w:val="22"/>
            <w:szCs w:val="22"/>
          </w:rPr>
          <w:tab/>
        </w:r>
        <w:r w:rsidRPr="00CC53E5">
          <w:rPr>
            <w:rStyle w:val="Hyperlink"/>
            <w:noProof/>
          </w:rPr>
          <w:t>Part 1 Section 18.8.5, borders (Borders)</w:t>
        </w:r>
        <w:r>
          <w:rPr>
            <w:noProof/>
            <w:webHidden/>
          </w:rPr>
          <w:tab/>
        </w:r>
        <w:r>
          <w:rPr>
            <w:noProof/>
            <w:webHidden/>
          </w:rPr>
          <w:fldChar w:fldCharType="begin"/>
        </w:r>
        <w:r>
          <w:rPr>
            <w:noProof/>
            <w:webHidden/>
          </w:rPr>
          <w:instrText xml:space="preserve"> PAGEREF _Toc69878478 \h </w:instrText>
        </w:r>
        <w:r>
          <w:rPr>
            <w:noProof/>
            <w:webHidden/>
          </w:rPr>
        </w:r>
        <w:r>
          <w:rPr>
            <w:noProof/>
            <w:webHidden/>
          </w:rPr>
          <w:fldChar w:fldCharType="separate"/>
        </w:r>
        <w:r>
          <w:rPr>
            <w:noProof/>
            <w:webHidden/>
          </w:rPr>
          <w:t>300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79" w:history="1">
        <w:r w:rsidRPr="00CC53E5">
          <w:rPr>
            <w:rStyle w:val="Hyperlink"/>
            <w:noProof/>
          </w:rPr>
          <w:t>2.1.696</w:t>
        </w:r>
        <w:r>
          <w:rPr>
            <w:rFonts w:asciiTheme="minorHAnsi" w:eastAsiaTheme="minorEastAsia" w:hAnsiTheme="minorHAnsi" w:cstheme="minorBidi"/>
            <w:noProof/>
            <w:sz w:val="22"/>
            <w:szCs w:val="22"/>
          </w:rPr>
          <w:tab/>
        </w:r>
        <w:r w:rsidRPr="00CC53E5">
          <w:rPr>
            <w:rStyle w:val="Hyperlink"/>
            <w:noProof/>
          </w:rPr>
          <w:t>Part 1 Section 18.8.7, cellStyle (Cell Style)</w:t>
        </w:r>
        <w:r>
          <w:rPr>
            <w:noProof/>
            <w:webHidden/>
          </w:rPr>
          <w:tab/>
        </w:r>
        <w:r>
          <w:rPr>
            <w:noProof/>
            <w:webHidden/>
          </w:rPr>
          <w:fldChar w:fldCharType="begin"/>
        </w:r>
        <w:r>
          <w:rPr>
            <w:noProof/>
            <w:webHidden/>
          </w:rPr>
          <w:instrText xml:space="preserve"> PAGEREF _Toc69878479 \h </w:instrText>
        </w:r>
        <w:r>
          <w:rPr>
            <w:noProof/>
            <w:webHidden/>
          </w:rPr>
        </w:r>
        <w:r>
          <w:rPr>
            <w:noProof/>
            <w:webHidden/>
          </w:rPr>
          <w:fldChar w:fldCharType="separate"/>
        </w:r>
        <w:r>
          <w:rPr>
            <w:noProof/>
            <w:webHidden/>
          </w:rPr>
          <w:t>300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80" w:history="1">
        <w:r w:rsidRPr="00CC53E5">
          <w:rPr>
            <w:rStyle w:val="Hyperlink"/>
            <w:noProof/>
          </w:rPr>
          <w:t>2.1.697</w:t>
        </w:r>
        <w:r>
          <w:rPr>
            <w:rFonts w:asciiTheme="minorHAnsi" w:eastAsiaTheme="minorEastAsia" w:hAnsiTheme="minorHAnsi" w:cstheme="minorBidi"/>
            <w:noProof/>
            <w:sz w:val="22"/>
            <w:szCs w:val="22"/>
          </w:rPr>
          <w:tab/>
        </w:r>
        <w:r w:rsidRPr="00CC53E5">
          <w:rPr>
            <w:rStyle w:val="Hyperlink"/>
            <w:noProof/>
          </w:rPr>
          <w:t>Part 1 Section 18.8.8, cellStyles (Cell Styles)</w:t>
        </w:r>
        <w:r>
          <w:rPr>
            <w:noProof/>
            <w:webHidden/>
          </w:rPr>
          <w:tab/>
        </w:r>
        <w:r>
          <w:rPr>
            <w:noProof/>
            <w:webHidden/>
          </w:rPr>
          <w:fldChar w:fldCharType="begin"/>
        </w:r>
        <w:r>
          <w:rPr>
            <w:noProof/>
            <w:webHidden/>
          </w:rPr>
          <w:instrText xml:space="preserve"> PAGEREF _Toc69878480 \h </w:instrText>
        </w:r>
        <w:r>
          <w:rPr>
            <w:noProof/>
            <w:webHidden/>
          </w:rPr>
        </w:r>
        <w:r>
          <w:rPr>
            <w:noProof/>
            <w:webHidden/>
          </w:rPr>
          <w:fldChar w:fldCharType="separate"/>
        </w:r>
        <w:r>
          <w:rPr>
            <w:noProof/>
            <w:webHidden/>
          </w:rPr>
          <w:t>300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81" w:history="1">
        <w:r w:rsidRPr="00CC53E5">
          <w:rPr>
            <w:rStyle w:val="Hyperlink"/>
            <w:noProof/>
          </w:rPr>
          <w:t>2.1.698</w:t>
        </w:r>
        <w:r>
          <w:rPr>
            <w:rFonts w:asciiTheme="minorHAnsi" w:eastAsiaTheme="minorEastAsia" w:hAnsiTheme="minorHAnsi" w:cstheme="minorBidi"/>
            <w:noProof/>
            <w:sz w:val="22"/>
            <w:szCs w:val="22"/>
          </w:rPr>
          <w:tab/>
        </w:r>
        <w:r w:rsidRPr="00CC53E5">
          <w:rPr>
            <w:rStyle w:val="Hyperlink"/>
            <w:noProof/>
          </w:rPr>
          <w:t>Part 1 Section 18.8.9, cellStyleXfs (Formatting Records)</w:t>
        </w:r>
        <w:r>
          <w:rPr>
            <w:noProof/>
            <w:webHidden/>
          </w:rPr>
          <w:tab/>
        </w:r>
        <w:r>
          <w:rPr>
            <w:noProof/>
            <w:webHidden/>
          </w:rPr>
          <w:fldChar w:fldCharType="begin"/>
        </w:r>
        <w:r>
          <w:rPr>
            <w:noProof/>
            <w:webHidden/>
          </w:rPr>
          <w:instrText xml:space="preserve"> PAGEREF _Toc69878481 \h </w:instrText>
        </w:r>
        <w:r>
          <w:rPr>
            <w:noProof/>
            <w:webHidden/>
          </w:rPr>
        </w:r>
        <w:r>
          <w:rPr>
            <w:noProof/>
            <w:webHidden/>
          </w:rPr>
          <w:fldChar w:fldCharType="separate"/>
        </w:r>
        <w:r>
          <w:rPr>
            <w:noProof/>
            <w:webHidden/>
          </w:rPr>
          <w:t>301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82" w:history="1">
        <w:r w:rsidRPr="00CC53E5">
          <w:rPr>
            <w:rStyle w:val="Hyperlink"/>
            <w:noProof/>
          </w:rPr>
          <w:t>2.1.699</w:t>
        </w:r>
        <w:r>
          <w:rPr>
            <w:rFonts w:asciiTheme="minorHAnsi" w:eastAsiaTheme="minorEastAsia" w:hAnsiTheme="minorHAnsi" w:cstheme="minorBidi"/>
            <w:noProof/>
            <w:sz w:val="22"/>
            <w:szCs w:val="22"/>
          </w:rPr>
          <w:tab/>
        </w:r>
        <w:r w:rsidRPr="00CC53E5">
          <w:rPr>
            <w:rStyle w:val="Hyperlink"/>
            <w:noProof/>
          </w:rPr>
          <w:t>Part 1 Section 18.8.10, cellXfs (Cell Formats)</w:t>
        </w:r>
        <w:r>
          <w:rPr>
            <w:noProof/>
            <w:webHidden/>
          </w:rPr>
          <w:tab/>
        </w:r>
        <w:r>
          <w:rPr>
            <w:noProof/>
            <w:webHidden/>
          </w:rPr>
          <w:fldChar w:fldCharType="begin"/>
        </w:r>
        <w:r>
          <w:rPr>
            <w:noProof/>
            <w:webHidden/>
          </w:rPr>
          <w:instrText xml:space="preserve"> PAGEREF _Toc69878482 \h </w:instrText>
        </w:r>
        <w:r>
          <w:rPr>
            <w:noProof/>
            <w:webHidden/>
          </w:rPr>
        </w:r>
        <w:r>
          <w:rPr>
            <w:noProof/>
            <w:webHidden/>
          </w:rPr>
          <w:fldChar w:fldCharType="separate"/>
        </w:r>
        <w:r>
          <w:rPr>
            <w:noProof/>
            <w:webHidden/>
          </w:rPr>
          <w:t>301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83" w:history="1">
        <w:r w:rsidRPr="00CC53E5">
          <w:rPr>
            <w:rStyle w:val="Hyperlink"/>
            <w:noProof/>
          </w:rPr>
          <w:t>2.1.700</w:t>
        </w:r>
        <w:r>
          <w:rPr>
            <w:rFonts w:asciiTheme="minorHAnsi" w:eastAsiaTheme="minorEastAsia" w:hAnsiTheme="minorHAnsi" w:cstheme="minorBidi"/>
            <w:noProof/>
            <w:sz w:val="22"/>
            <w:szCs w:val="22"/>
          </w:rPr>
          <w:tab/>
        </w:r>
        <w:r w:rsidRPr="00CC53E5">
          <w:rPr>
            <w:rStyle w:val="Hyperlink"/>
            <w:noProof/>
          </w:rPr>
          <w:t>Part 1 Section 18.8.15, dxfs (Formats)</w:t>
        </w:r>
        <w:r>
          <w:rPr>
            <w:noProof/>
            <w:webHidden/>
          </w:rPr>
          <w:tab/>
        </w:r>
        <w:r>
          <w:rPr>
            <w:noProof/>
            <w:webHidden/>
          </w:rPr>
          <w:fldChar w:fldCharType="begin"/>
        </w:r>
        <w:r>
          <w:rPr>
            <w:noProof/>
            <w:webHidden/>
          </w:rPr>
          <w:instrText xml:space="preserve"> PAGEREF _Toc69878483 \h </w:instrText>
        </w:r>
        <w:r>
          <w:rPr>
            <w:noProof/>
            <w:webHidden/>
          </w:rPr>
        </w:r>
        <w:r>
          <w:rPr>
            <w:noProof/>
            <w:webHidden/>
          </w:rPr>
          <w:fldChar w:fldCharType="separate"/>
        </w:r>
        <w:r>
          <w:rPr>
            <w:noProof/>
            <w:webHidden/>
          </w:rPr>
          <w:t>301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84" w:history="1">
        <w:r w:rsidRPr="00CC53E5">
          <w:rPr>
            <w:rStyle w:val="Hyperlink"/>
            <w:noProof/>
          </w:rPr>
          <w:t>2.1.701</w:t>
        </w:r>
        <w:r>
          <w:rPr>
            <w:rFonts w:asciiTheme="minorHAnsi" w:eastAsiaTheme="minorEastAsia" w:hAnsiTheme="minorHAnsi" w:cstheme="minorBidi"/>
            <w:noProof/>
            <w:sz w:val="22"/>
            <w:szCs w:val="22"/>
          </w:rPr>
          <w:tab/>
        </w:r>
        <w:r w:rsidRPr="00CC53E5">
          <w:rPr>
            <w:rStyle w:val="Hyperlink"/>
            <w:noProof/>
          </w:rPr>
          <w:t>Part 1 Section 18.8.16, end (Trailing Edge Border)</w:t>
        </w:r>
        <w:r>
          <w:rPr>
            <w:noProof/>
            <w:webHidden/>
          </w:rPr>
          <w:tab/>
        </w:r>
        <w:r>
          <w:rPr>
            <w:noProof/>
            <w:webHidden/>
          </w:rPr>
          <w:fldChar w:fldCharType="begin"/>
        </w:r>
        <w:r>
          <w:rPr>
            <w:noProof/>
            <w:webHidden/>
          </w:rPr>
          <w:instrText xml:space="preserve"> PAGEREF _Toc69878484 \h </w:instrText>
        </w:r>
        <w:r>
          <w:rPr>
            <w:noProof/>
            <w:webHidden/>
          </w:rPr>
        </w:r>
        <w:r>
          <w:rPr>
            <w:noProof/>
            <w:webHidden/>
          </w:rPr>
          <w:fldChar w:fldCharType="separate"/>
        </w:r>
        <w:r>
          <w:rPr>
            <w:noProof/>
            <w:webHidden/>
          </w:rPr>
          <w:t>301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85" w:history="1">
        <w:r w:rsidRPr="00CC53E5">
          <w:rPr>
            <w:rStyle w:val="Hyperlink"/>
            <w:noProof/>
          </w:rPr>
          <w:t>2.1.702</w:t>
        </w:r>
        <w:r>
          <w:rPr>
            <w:rFonts w:asciiTheme="minorHAnsi" w:eastAsiaTheme="minorEastAsia" w:hAnsiTheme="minorHAnsi" w:cstheme="minorBidi"/>
            <w:noProof/>
            <w:sz w:val="22"/>
            <w:szCs w:val="22"/>
          </w:rPr>
          <w:tab/>
        </w:r>
        <w:r w:rsidRPr="00CC53E5">
          <w:rPr>
            <w:rStyle w:val="Hyperlink"/>
            <w:noProof/>
          </w:rPr>
          <w:t>Part 1 Section 18.8.18, family (Font Family)</w:t>
        </w:r>
        <w:r>
          <w:rPr>
            <w:noProof/>
            <w:webHidden/>
          </w:rPr>
          <w:tab/>
        </w:r>
        <w:r>
          <w:rPr>
            <w:noProof/>
            <w:webHidden/>
          </w:rPr>
          <w:fldChar w:fldCharType="begin"/>
        </w:r>
        <w:r>
          <w:rPr>
            <w:noProof/>
            <w:webHidden/>
          </w:rPr>
          <w:instrText xml:space="preserve"> PAGEREF _Toc69878485 \h </w:instrText>
        </w:r>
        <w:r>
          <w:rPr>
            <w:noProof/>
            <w:webHidden/>
          </w:rPr>
        </w:r>
        <w:r>
          <w:rPr>
            <w:noProof/>
            <w:webHidden/>
          </w:rPr>
          <w:fldChar w:fldCharType="separate"/>
        </w:r>
        <w:r>
          <w:rPr>
            <w:noProof/>
            <w:webHidden/>
          </w:rPr>
          <w:t>301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86" w:history="1">
        <w:r w:rsidRPr="00CC53E5">
          <w:rPr>
            <w:rStyle w:val="Hyperlink"/>
            <w:noProof/>
          </w:rPr>
          <w:t>2.1.703</w:t>
        </w:r>
        <w:r>
          <w:rPr>
            <w:rFonts w:asciiTheme="minorHAnsi" w:eastAsiaTheme="minorEastAsia" w:hAnsiTheme="minorHAnsi" w:cstheme="minorBidi"/>
            <w:noProof/>
            <w:sz w:val="22"/>
            <w:szCs w:val="22"/>
          </w:rPr>
          <w:tab/>
        </w:r>
        <w:r w:rsidRPr="00CC53E5">
          <w:rPr>
            <w:rStyle w:val="Hyperlink"/>
            <w:noProof/>
          </w:rPr>
          <w:t>Part 1 Section 18.8.19, fgColor (Foreground Color)</w:t>
        </w:r>
        <w:r>
          <w:rPr>
            <w:noProof/>
            <w:webHidden/>
          </w:rPr>
          <w:tab/>
        </w:r>
        <w:r>
          <w:rPr>
            <w:noProof/>
            <w:webHidden/>
          </w:rPr>
          <w:fldChar w:fldCharType="begin"/>
        </w:r>
        <w:r>
          <w:rPr>
            <w:noProof/>
            <w:webHidden/>
          </w:rPr>
          <w:instrText xml:space="preserve"> PAGEREF _Toc69878486 \h </w:instrText>
        </w:r>
        <w:r>
          <w:rPr>
            <w:noProof/>
            <w:webHidden/>
          </w:rPr>
        </w:r>
        <w:r>
          <w:rPr>
            <w:noProof/>
            <w:webHidden/>
          </w:rPr>
          <w:fldChar w:fldCharType="separate"/>
        </w:r>
        <w:r>
          <w:rPr>
            <w:noProof/>
            <w:webHidden/>
          </w:rPr>
          <w:t>302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87" w:history="1">
        <w:r w:rsidRPr="00CC53E5">
          <w:rPr>
            <w:rStyle w:val="Hyperlink"/>
            <w:noProof/>
          </w:rPr>
          <w:t>2.1.704</w:t>
        </w:r>
        <w:r>
          <w:rPr>
            <w:rFonts w:asciiTheme="minorHAnsi" w:eastAsiaTheme="minorEastAsia" w:hAnsiTheme="minorHAnsi" w:cstheme="minorBidi"/>
            <w:noProof/>
            <w:sz w:val="22"/>
            <w:szCs w:val="22"/>
          </w:rPr>
          <w:tab/>
        </w:r>
        <w:r w:rsidRPr="00CC53E5">
          <w:rPr>
            <w:rStyle w:val="Hyperlink"/>
            <w:noProof/>
          </w:rPr>
          <w:t>Part 1 Section 18.8.21, fills (Fills)</w:t>
        </w:r>
        <w:r>
          <w:rPr>
            <w:noProof/>
            <w:webHidden/>
          </w:rPr>
          <w:tab/>
        </w:r>
        <w:r>
          <w:rPr>
            <w:noProof/>
            <w:webHidden/>
          </w:rPr>
          <w:fldChar w:fldCharType="begin"/>
        </w:r>
        <w:r>
          <w:rPr>
            <w:noProof/>
            <w:webHidden/>
          </w:rPr>
          <w:instrText xml:space="preserve"> PAGEREF _Toc69878487 \h </w:instrText>
        </w:r>
        <w:r>
          <w:rPr>
            <w:noProof/>
            <w:webHidden/>
          </w:rPr>
        </w:r>
        <w:r>
          <w:rPr>
            <w:noProof/>
            <w:webHidden/>
          </w:rPr>
          <w:fldChar w:fldCharType="separate"/>
        </w:r>
        <w:r>
          <w:rPr>
            <w:noProof/>
            <w:webHidden/>
          </w:rPr>
          <w:t>302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88" w:history="1">
        <w:r w:rsidRPr="00CC53E5">
          <w:rPr>
            <w:rStyle w:val="Hyperlink"/>
            <w:noProof/>
          </w:rPr>
          <w:t>2.1.705</w:t>
        </w:r>
        <w:r>
          <w:rPr>
            <w:rFonts w:asciiTheme="minorHAnsi" w:eastAsiaTheme="minorEastAsia" w:hAnsiTheme="minorHAnsi" w:cstheme="minorBidi"/>
            <w:noProof/>
            <w:sz w:val="22"/>
            <w:szCs w:val="22"/>
          </w:rPr>
          <w:tab/>
        </w:r>
        <w:r w:rsidRPr="00CC53E5">
          <w:rPr>
            <w:rStyle w:val="Hyperlink"/>
            <w:noProof/>
          </w:rPr>
          <w:t>Part 1 Section 18.8.22, font (Font)</w:t>
        </w:r>
        <w:r>
          <w:rPr>
            <w:noProof/>
            <w:webHidden/>
          </w:rPr>
          <w:tab/>
        </w:r>
        <w:r>
          <w:rPr>
            <w:noProof/>
            <w:webHidden/>
          </w:rPr>
          <w:fldChar w:fldCharType="begin"/>
        </w:r>
        <w:r>
          <w:rPr>
            <w:noProof/>
            <w:webHidden/>
          </w:rPr>
          <w:instrText xml:space="preserve"> PAGEREF _Toc69878488 \h </w:instrText>
        </w:r>
        <w:r>
          <w:rPr>
            <w:noProof/>
            <w:webHidden/>
          </w:rPr>
        </w:r>
        <w:r>
          <w:rPr>
            <w:noProof/>
            <w:webHidden/>
          </w:rPr>
          <w:fldChar w:fldCharType="separate"/>
        </w:r>
        <w:r>
          <w:rPr>
            <w:noProof/>
            <w:webHidden/>
          </w:rPr>
          <w:t>302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89" w:history="1">
        <w:r w:rsidRPr="00CC53E5">
          <w:rPr>
            <w:rStyle w:val="Hyperlink"/>
            <w:noProof/>
          </w:rPr>
          <w:t>2.1.706</w:t>
        </w:r>
        <w:r>
          <w:rPr>
            <w:rFonts w:asciiTheme="minorHAnsi" w:eastAsiaTheme="minorEastAsia" w:hAnsiTheme="minorHAnsi" w:cstheme="minorBidi"/>
            <w:noProof/>
            <w:sz w:val="22"/>
            <w:szCs w:val="22"/>
          </w:rPr>
          <w:tab/>
        </w:r>
        <w:r w:rsidRPr="00CC53E5">
          <w:rPr>
            <w:rStyle w:val="Hyperlink"/>
            <w:noProof/>
          </w:rPr>
          <w:t>Part 1 Section 18.8.23, fonts (Fonts)</w:t>
        </w:r>
        <w:r>
          <w:rPr>
            <w:noProof/>
            <w:webHidden/>
          </w:rPr>
          <w:tab/>
        </w:r>
        <w:r>
          <w:rPr>
            <w:noProof/>
            <w:webHidden/>
          </w:rPr>
          <w:fldChar w:fldCharType="begin"/>
        </w:r>
        <w:r>
          <w:rPr>
            <w:noProof/>
            <w:webHidden/>
          </w:rPr>
          <w:instrText xml:space="preserve"> PAGEREF _Toc69878489 \h </w:instrText>
        </w:r>
        <w:r>
          <w:rPr>
            <w:noProof/>
            <w:webHidden/>
          </w:rPr>
        </w:r>
        <w:r>
          <w:rPr>
            <w:noProof/>
            <w:webHidden/>
          </w:rPr>
          <w:fldChar w:fldCharType="separate"/>
        </w:r>
        <w:r>
          <w:rPr>
            <w:noProof/>
            <w:webHidden/>
          </w:rPr>
          <w:t>302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90" w:history="1">
        <w:r w:rsidRPr="00CC53E5">
          <w:rPr>
            <w:rStyle w:val="Hyperlink"/>
            <w:noProof/>
          </w:rPr>
          <w:t>2.1.707</w:t>
        </w:r>
        <w:r>
          <w:rPr>
            <w:rFonts w:asciiTheme="minorHAnsi" w:eastAsiaTheme="minorEastAsia" w:hAnsiTheme="minorHAnsi" w:cstheme="minorBidi"/>
            <w:noProof/>
            <w:sz w:val="22"/>
            <w:szCs w:val="22"/>
          </w:rPr>
          <w:tab/>
        </w:r>
        <w:r w:rsidRPr="00CC53E5">
          <w:rPr>
            <w:rStyle w:val="Hyperlink"/>
            <w:noProof/>
          </w:rPr>
          <w:t>Part 1 Section 18.8.24, gradientFill (Gradient)</w:t>
        </w:r>
        <w:r>
          <w:rPr>
            <w:noProof/>
            <w:webHidden/>
          </w:rPr>
          <w:tab/>
        </w:r>
        <w:r>
          <w:rPr>
            <w:noProof/>
            <w:webHidden/>
          </w:rPr>
          <w:fldChar w:fldCharType="begin"/>
        </w:r>
        <w:r>
          <w:rPr>
            <w:noProof/>
            <w:webHidden/>
          </w:rPr>
          <w:instrText xml:space="preserve"> PAGEREF _Toc69878490 \h </w:instrText>
        </w:r>
        <w:r>
          <w:rPr>
            <w:noProof/>
            <w:webHidden/>
          </w:rPr>
        </w:r>
        <w:r>
          <w:rPr>
            <w:noProof/>
            <w:webHidden/>
          </w:rPr>
          <w:fldChar w:fldCharType="separate"/>
        </w:r>
        <w:r>
          <w:rPr>
            <w:noProof/>
            <w:webHidden/>
          </w:rPr>
          <w:t>302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91" w:history="1">
        <w:r w:rsidRPr="00CC53E5">
          <w:rPr>
            <w:rStyle w:val="Hyperlink"/>
            <w:noProof/>
          </w:rPr>
          <w:t>2.1.708</w:t>
        </w:r>
        <w:r>
          <w:rPr>
            <w:rFonts w:asciiTheme="minorHAnsi" w:eastAsiaTheme="minorEastAsia" w:hAnsiTheme="minorHAnsi" w:cstheme="minorBidi"/>
            <w:noProof/>
            <w:sz w:val="22"/>
            <w:szCs w:val="22"/>
          </w:rPr>
          <w:tab/>
        </w:r>
        <w:r w:rsidRPr="00CC53E5">
          <w:rPr>
            <w:rStyle w:val="Hyperlink"/>
            <w:noProof/>
          </w:rPr>
          <w:t>Part 1 Section 18.8.27, indexedColors (Color Indexes)</w:t>
        </w:r>
        <w:r>
          <w:rPr>
            <w:noProof/>
            <w:webHidden/>
          </w:rPr>
          <w:tab/>
        </w:r>
        <w:r>
          <w:rPr>
            <w:noProof/>
            <w:webHidden/>
          </w:rPr>
          <w:fldChar w:fldCharType="begin"/>
        </w:r>
        <w:r>
          <w:rPr>
            <w:noProof/>
            <w:webHidden/>
          </w:rPr>
          <w:instrText xml:space="preserve"> PAGEREF _Toc69878491 \h </w:instrText>
        </w:r>
        <w:r>
          <w:rPr>
            <w:noProof/>
            <w:webHidden/>
          </w:rPr>
        </w:r>
        <w:r>
          <w:rPr>
            <w:noProof/>
            <w:webHidden/>
          </w:rPr>
          <w:fldChar w:fldCharType="separate"/>
        </w:r>
        <w:r>
          <w:rPr>
            <w:noProof/>
            <w:webHidden/>
          </w:rPr>
          <w:t>302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92" w:history="1">
        <w:r w:rsidRPr="00CC53E5">
          <w:rPr>
            <w:rStyle w:val="Hyperlink"/>
            <w:noProof/>
          </w:rPr>
          <w:t>2.1.709</w:t>
        </w:r>
        <w:r>
          <w:rPr>
            <w:rFonts w:asciiTheme="minorHAnsi" w:eastAsiaTheme="minorEastAsia" w:hAnsiTheme="minorHAnsi" w:cstheme="minorBidi"/>
            <w:noProof/>
            <w:sz w:val="22"/>
            <w:szCs w:val="22"/>
          </w:rPr>
          <w:tab/>
        </w:r>
        <w:r w:rsidRPr="00CC53E5">
          <w:rPr>
            <w:rStyle w:val="Hyperlink"/>
            <w:noProof/>
          </w:rPr>
          <w:t>Part 1 Section 18.8.28, mruColors (MRU Colors)</w:t>
        </w:r>
        <w:r>
          <w:rPr>
            <w:noProof/>
            <w:webHidden/>
          </w:rPr>
          <w:tab/>
        </w:r>
        <w:r>
          <w:rPr>
            <w:noProof/>
            <w:webHidden/>
          </w:rPr>
          <w:fldChar w:fldCharType="begin"/>
        </w:r>
        <w:r>
          <w:rPr>
            <w:noProof/>
            <w:webHidden/>
          </w:rPr>
          <w:instrText xml:space="preserve"> PAGEREF _Toc69878492 \h </w:instrText>
        </w:r>
        <w:r>
          <w:rPr>
            <w:noProof/>
            <w:webHidden/>
          </w:rPr>
        </w:r>
        <w:r>
          <w:rPr>
            <w:noProof/>
            <w:webHidden/>
          </w:rPr>
          <w:fldChar w:fldCharType="separate"/>
        </w:r>
        <w:r>
          <w:rPr>
            <w:noProof/>
            <w:webHidden/>
          </w:rPr>
          <w:t>302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93" w:history="1">
        <w:r w:rsidRPr="00CC53E5">
          <w:rPr>
            <w:rStyle w:val="Hyperlink"/>
            <w:noProof/>
          </w:rPr>
          <w:t>2.1.710</w:t>
        </w:r>
        <w:r>
          <w:rPr>
            <w:rFonts w:asciiTheme="minorHAnsi" w:eastAsiaTheme="minorEastAsia" w:hAnsiTheme="minorHAnsi" w:cstheme="minorBidi"/>
            <w:noProof/>
            <w:sz w:val="22"/>
            <w:szCs w:val="22"/>
          </w:rPr>
          <w:tab/>
        </w:r>
        <w:r w:rsidRPr="00CC53E5">
          <w:rPr>
            <w:rStyle w:val="Hyperlink"/>
            <w:noProof/>
          </w:rPr>
          <w:t>Part 1 Section 18.8.29, name (Font Name)</w:t>
        </w:r>
        <w:r>
          <w:rPr>
            <w:noProof/>
            <w:webHidden/>
          </w:rPr>
          <w:tab/>
        </w:r>
        <w:r>
          <w:rPr>
            <w:noProof/>
            <w:webHidden/>
          </w:rPr>
          <w:fldChar w:fldCharType="begin"/>
        </w:r>
        <w:r>
          <w:rPr>
            <w:noProof/>
            <w:webHidden/>
          </w:rPr>
          <w:instrText xml:space="preserve"> PAGEREF _Toc69878493 \h </w:instrText>
        </w:r>
        <w:r>
          <w:rPr>
            <w:noProof/>
            <w:webHidden/>
          </w:rPr>
        </w:r>
        <w:r>
          <w:rPr>
            <w:noProof/>
            <w:webHidden/>
          </w:rPr>
          <w:fldChar w:fldCharType="separate"/>
        </w:r>
        <w:r>
          <w:rPr>
            <w:noProof/>
            <w:webHidden/>
          </w:rPr>
          <w:t>302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94" w:history="1">
        <w:r w:rsidRPr="00CC53E5">
          <w:rPr>
            <w:rStyle w:val="Hyperlink"/>
            <w:noProof/>
          </w:rPr>
          <w:t>2.1.711</w:t>
        </w:r>
        <w:r>
          <w:rPr>
            <w:rFonts w:asciiTheme="minorHAnsi" w:eastAsiaTheme="minorEastAsia" w:hAnsiTheme="minorHAnsi" w:cstheme="minorBidi"/>
            <w:noProof/>
            <w:sz w:val="22"/>
            <w:szCs w:val="22"/>
          </w:rPr>
          <w:tab/>
        </w:r>
        <w:r w:rsidRPr="00CC53E5">
          <w:rPr>
            <w:rStyle w:val="Hyperlink"/>
            <w:noProof/>
          </w:rPr>
          <w:t>Part 1 Section 18.8.30, numFmt (Number Format)</w:t>
        </w:r>
        <w:r>
          <w:rPr>
            <w:noProof/>
            <w:webHidden/>
          </w:rPr>
          <w:tab/>
        </w:r>
        <w:r>
          <w:rPr>
            <w:noProof/>
            <w:webHidden/>
          </w:rPr>
          <w:fldChar w:fldCharType="begin"/>
        </w:r>
        <w:r>
          <w:rPr>
            <w:noProof/>
            <w:webHidden/>
          </w:rPr>
          <w:instrText xml:space="preserve"> PAGEREF _Toc69878494 \h </w:instrText>
        </w:r>
        <w:r>
          <w:rPr>
            <w:noProof/>
            <w:webHidden/>
          </w:rPr>
        </w:r>
        <w:r>
          <w:rPr>
            <w:noProof/>
            <w:webHidden/>
          </w:rPr>
          <w:fldChar w:fldCharType="separate"/>
        </w:r>
        <w:r>
          <w:rPr>
            <w:noProof/>
            <w:webHidden/>
          </w:rPr>
          <w:t>303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95" w:history="1">
        <w:r w:rsidRPr="00CC53E5">
          <w:rPr>
            <w:rStyle w:val="Hyperlink"/>
            <w:noProof/>
          </w:rPr>
          <w:t>2.1.712</w:t>
        </w:r>
        <w:r>
          <w:rPr>
            <w:rFonts w:asciiTheme="minorHAnsi" w:eastAsiaTheme="minorEastAsia" w:hAnsiTheme="minorHAnsi" w:cstheme="minorBidi"/>
            <w:noProof/>
            <w:sz w:val="22"/>
            <w:szCs w:val="22"/>
          </w:rPr>
          <w:tab/>
        </w:r>
        <w:r w:rsidRPr="00CC53E5">
          <w:rPr>
            <w:rStyle w:val="Hyperlink"/>
            <w:noProof/>
          </w:rPr>
          <w:t>Part 1 Section 18.8.31, numFmts (Number Formats)</w:t>
        </w:r>
        <w:r>
          <w:rPr>
            <w:noProof/>
            <w:webHidden/>
          </w:rPr>
          <w:tab/>
        </w:r>
        <w:r>
          <w:rPr>
            <w:noProof/>
            <w:webHidden/>
          </w:rPr>
          <w:fldChar w:fldCharType="begin"/>
        </w:r>
        <w:r>
          <w:rPr>
            <w:noProof/>
            <w:webHidden/>
          </w:rPr>
          <w:instrText xml:space="preserve"> PAGEREF _Toc69878495 \h </w:instrText>
        </w:r>
        <w:r>
          <w:rPr>
            <w:noProof/>
            <w:webHidden/>
          </w:rPr>
        </w:r>
        <w:r>
          <w:rPr>
            <w:noProof/>
            <w:webHidden/>
          </w:rPr>
          <w:fldChar w:fldCharType="separate"/>
        </w:r>
        <w:r>
          <w:rPr>
            <w:noProof/>
            <w:webHidden/>
          </w:rPr>
          <w:t>313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96" w:history="1">
        <w:r w:rsidRPr="00CC53E5">
          <w:rPr>
            <w:rStyle w:val="Hyperlink"/>
            <w:noProof/>
          </w:rPr>
          <w:t>2.1.713</w:t>
        </w:r>
        <w:r>
          <w:rPr>
            <w:rFonts w:asciiTheme="minorHAnsi" w:eastAsiaTheme="minorEastAsia" w:hAnsiTheme="minorHAnsi" w:cstheme="minorBidi"/>
            <w:noProof/>
            <w:sz w:val="22"/>
            <w:szCs w:val="22"/>
          </w:rPr>
          <w:tab/>
        </w:r>
        <w:r w:rsidRPr="00CC53E5">
          <w:rPr>
            <w:rStyle w:val="Hyperlink"/>
            <w:noProof/>
          </w:rPr>
          <w:t>Part 1 Section 18.8.33, protection (Protection Properties)</w:t>
        </w:r>
        <w:r>
          <w:rPr>
            <w:noProof/>
            <w:webHidden/>
          </w:rPr>
          <w:tab/>
        </w:r>
        <w:r>
          <w:rPr>
            <w:noProof/>
            <w:webHidden/>
          </w:rPr>
          <w:fldChar w:fldCharType="begin"/>
        </w:r>
        <w:r>
          <w:rPr>
            <w:noProof/>
            <w:webHidden/>
          </w:rPr>
          <w:instrText xml:space="preserve"> PAGEREF _Toc69878496 \h </w:instrText>
        </w:r>
        <w:r>
          <w:rPr>
            <w:noProof/>
            <w:webHidden/>
          </w:rPr>
        </w:r>
        <w:r>
          <w:rPr>
            <w:noProof/>
            <w:webHidden/>
          </w:rPr>
          <w:fldChar w:fldCharType="separate"/>
        </w:r>
        <w:r>
          <w:rPr>
            <w:noProof/>
            <w:webHidden/>
          </w:rPr>
          <w:t>314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97" w:history="1">
        <w:r w:rsidRPr="00CC53E5">
          <w:rPr>
            <w:rStyle w:val="Hyperlink"/>
            <w:noProof/>
          </w:rPr>
          <w:t>2.1.714</w:t>
        </w:r>
        <w:r>
          <w:rPr>
            <w:rFonts w:asciiTheme="minorHAnsi" w:eastAsiaTheme="minorEastAsia" w:hAnsiTheme="minorHAnsi" w:cstheme="minorBidi"/>
            <w:noProof/>
            <w:sz w:val="22"/>
            <w:szCs w:val="22"/>
          </w:rPr>
          <w:tab/>
        </w:r>
        <w:r w:rsidRPr="00CC53E5">
          <w:rPr>
            <w:rStyle w:val="Hyperlink"/>
            <w:noProof/>
          </w:rPr>
          <w:t>Part 1 Section 18.8.37, start (Leading Edge Border)</w:t>
        </w:r>
        <w:r>
          <w:rPr>
            <w:noProof/>
            <w:webHidden/>
          </w:rPr>
          <w:tab/>
        </w:r>
        <w:r>
          <w:rPr>
            <w:noProof/>
            <w:webHidden/>
          </w:rPr>
          <w:fldChar w:fldCharType="begin"/>
        </w:r>
        <w:r>
          <w:rPr>
            <w:noProof/>
            <w:webHidden/>
          </w:rPr>
          <w:instrText xml:space="preserve"> PAGEREF _Toc69878497 \h </w:instrText>
        </w:r>
        <w:r>
          <w:rPr>
            <w:noProof/>
            <w:webHidden/>
          </w:rPr>
        </w:r>
        <w:r>
          <w:rPr>
            <w:noProof/>
            <w:webHidden/>
          </w:rPr>
          <w:fldChar w:fldCharType="separate"/>
        </w:r>
        <w:r>
          <w:rPr>
            <w:noProof/>
            <w:webHidden/>
          </w:rPr>
          <w:t>314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98" w:history="1">
        <w:r w:rsidRPr="00CC53E5">
          <w:rPr>
            <w:rStyle w:val="Hyperlink"/>
            <w:noProof/>
          </w:rPr>
          <w:t>2.1.715</w:t>
        </w:r>
        <w:r>
          <w:rPr>
            <w:rFonts w:asciiTheme="minorHAnsi" w:eastAsiaTheme="minorEastAsia" w:hAnsiTheme="minorHAnsi" w:cstheme="minorBidi"/>
            <w:noProof/>
            <w:sz w:val="22"/>
            <w:szCs w:val="22"/>
          </w:rPr>
          <w:tab/>
        </w:r>
        <w:r w:rsidRPr="00CC53E5">
          <w:rPr>
            <w:rStyle w:val="Hyperlink"/>
            <w:noProof/>
          </w:rPr>
          <w:t>Part 1 Section 18.8.38, stop (Gradient Stop)</w:t>
        </w:r>
        <w:r>
          <w:rPr>
            <w:noProof/>
            <w:webHidden/>
          </w:rPr>
          <w:tab/>
        </w:r>
        <w:r>
          <w:rPr>
            <w:noProof/>
            <w:webHidden/>
          </w:rPr>
          <w:fldChar w:fldCharType="begin"/>
        </w:r>
        <w:r>
          <w:rPr>
            <w:noProof/>
            <w:webHidden/>
          </w:rPr>
          <w:instrText xml:space="preserve"> PAGEREF _Toc69878498 \h </w:instrText>
        </w:r>
        <w:r>
          <w:rPr>
            <w:noProof/>
            <w:webHidden/>
          </w:rPr>
        </w:r>
        <w:r>
          <w:rPr>
            <w:noProof/>
            <w:webHidden/>
          </w:rPr>
          <w:fldChar w:fldCharType="separate"/>
        </w:r>
        <w:r>
          <w:rPr>
            <w:noProof/>
            <w:webHidden/>
          </w:rPr>
          <w:t>314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499" w:history="1">
        <w:r w:rsidRPr="00CC53E5">
          <w:rPr>
            <w:rStyle w:val="Hyperlink"/>
            <w:noProof/>
          </w:rPr>
          <w:t>2.1.716</w:t>
        </w:r>
        <w:r>
          <w:rPr>
            <w:rFonts w:asciiTheme="minorHAnsi" w:eastAsiaTheme="minorEastAsia" w:hAnsiTheme="minorHAnsi" w:cstheme="minorBidi"/>
            <w:noProof/>
            <w:sz w:val="22"/>
            <w:szCs w:val="22"/>
          </w:rPr>
          <w:tab/>
        </w:r>
        <w:r w:rsidRPr="00CC53E5">
          <w:rPr>
            <w:rStyle w:val="Hyperlink"/>
            <w:noProof/>
          </w:rPr>
          <w:t>Part 1 Section 18.8.39, styleSheet (Style Sheet)</w:t>
        </w:r>
        <w:r>
          <w:rPr>
            <w:noProof/>
            <w:webHidden/>
          </w:rPr>
          <w:tab/>
        </w:r>
        <w:r>
          <w:rPr>
            <w:noProof/>
            <w:webHidden/>
          </w:rPr>
          <w:fldChar w:fldCharType="begin"/>
        </w:r>
        <w:r>
          <w:rPr>
            <w:noProof/>
            <w:webHidden/>
          </w:rPr>
          <w:instrText xml:space="preserve"> PAGEREF _Toc69878499 \h </w:instrText>
        </w:r>
        <w:r>
          <w:rPr>
            <w:noProof/>
            <w:webHidden/>
          </w:rPr>
        </w:r>
        <w:r>
          <w:rPr>
            <w:noProof/>
            <w:webHidden/>
          </w:rPr>
          <w:fldChar w:fldCharType="separate"/>
        </w:r>
        <w:r>
          <w:rPr>
            <w:noProof/>
            <w:webHidden/>
          </w:rPr>
          <w:t>314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00" w:history="1">
        <w:r w:rsidRPr="00CC53E5">
          <w:rPr>
            <w:rStyle w:val="Hyperlink"/>
            <w:noProof/>
          </w:rPr>
          <w:t>2.1.717</w:t>
        </w:r>
        <w:r>
          <w:rPr>
            <w:rFonts w:asciiTheme="minorHAnsi" w:eastAsiaTheme="minorEastAsia" w:hAnsiTheme="minorHAnsi" w:cstheme="minorBidi"/>
            <w:noProof/>
            <w:sz w:val="22"/>
            <w:szCs w:val="22"/>
          </w:rPr>
          <w:tab/>
        </w:r>
        <w:r w:rsidRPr="00CC53E5">
          <w:rPr>
            <w:rStyle w:val="Hyperlink"/>
            <w:noProof/>
          </w:rPr>
          <w:t>Part 1 Section 18.8.40, tableStyle (Table Style)</w:t>
        </w:r>
        <w:r>
          <w:rPr>
            <w:noProof/>
            <w:webHidden/>
          </w:rPr>
          <w:tab/>
        </w:r>
        <w:r>
          <w:rPr>
            <w:noProof/>
            <w:webHidden/>
          </w:rPr>
          <w:fldChar w:fldCharType="begin"/>
        </w:r>
        <w:r>
          <w:rPr>
            <w:noProof/>
            <w:webHidden/>
          </w:rPr>
          <w:instrText xml:space="preserve"> PAGEREF _Toc69878500 \h </w:instrText>
        </w:r>
        <w:r>
          <w:rPr>
            <w:noProof/>
            <w:webHidden/>
          </w:rPr>
        </w:r>
        <w:r>
          <w:rPr>
            <w:noProof/>
            <w:webHidden/>
          </w:rPr>
          <w:fldChar w:fldCharType="separate"/>
        </w:r>
        <w:r>
          <w:rPr>
            <w:noProof/>
            <w:webHidden/>
          </w:rPr>
          <w:t>314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01" w:history="1">
        <w:r w:rsidRPr="00CC53E5">
          <w:rPr>
            <w:rStyle w:val="Hyperlink"/>
            <w:noProof/>
          </w:rPr>
          <w:t>2.1.718</w:t>
        </w:r>
        <w:r>
          <w:rPr>
            <w:rFonts w:asciiTheme="minorHAnsi" w:eastAsiaTheme="minorEastAsia" w:hAnsiTheme="minorHAnsi" w:cstheme="minorBidi"/>
            <w:noProof/>
            <w:sz w:val="22"/>
            <w:szCs w:val="22"/>
          </w:rPr>
          <w:tab/>
        </w:r>
        <w:r w:rsidRPr="00CC53E5">
          <w:rPr>
            <w:rStyle w:val="Hyperlink"/>
            <w:noProof/>
          </w:rPr>
          <w:t>Part 1 Section 18.8.41, tableStyleElement (Table Style)</w:t>
        </w:r>
        <w:r>
          <w:rPr>
            <w:noProof/>
            <w:webHidden/>
          </w:rPr>
          <w:tab/>
        </w:r>
        <w:r>
          <w:rPr>
            <w:noProof/>
            <w:webHidden/>
          </w:rPr>
          <w:fldChar w:fldCharType="begin"/>
        </w:r>
        <w:r>
          <w:rPr>
            <w:noProof/>
            <w:webHidden/>
          </w:rPr>
          <w:instrText xml:space="preserve"> PAGEREF _Toc69878501 \h </w:instrText>
        </w:r>
        <w:r>
          <w:rPr>
            <w:noProof/>
            <w:webHidden/>
          </w:rPr>
        </w:r>
        <w:r>
          <w:rPr>
            <w:noProof/>
            <w:webHidden/>
          </w:rPr>
          <w:fldChar w:fldCharType="separate"/>
        </w:r>
        <w:r>
          <w:rPr>
            <w:noProof/>
            <w:webHidden/>
          </w:rPr>
          <w:t>314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02" w:history="1">
        <w:r w:rsidRPr="00CC53E5">
          <w:rPr>
            <w:rStyle w:val="Hyperlink"/>
            <w:noProof/>
          </w:rPr>
          <w:t>2.1.719</w:t>
        </w:r>
        <w:r>
          <w:rPr>
            <w:rFonts w:asciiTheme="minorHAnsi" w:eastAsiaTheme="minorEastAsia" w:hAnsiTheme="minorHAnsi" w:cstheme="minorBidi"/>
            <w:noProof/>
            <w:sz w:val="22"/>
            <w:szCs w:val="22"/>
          </w:rPr>
          <w:tab/>
        </w:r>
        <w:r w:rsidRPr="00CC53E5">
          <w:rPr>
            <w:rStyle w:val="Hyperlink"/>
            <w:noProof/>
          </w:rPr>
          <w:t>Part 1 Section 18.8.42, tableStyles (Table Styles)</w:t>
        </w:r>
        <w:r>
          <w:rPr>
            <w:noProof/>
            <w:webHidden/>
          </w:rPr>
          <w:tab/>
        </w:r>
        <w:r>
          <w:rPr>
            <w:noProof/>
            <w:webHidden/>
          </w:rPr>
          <w:fldChar w:fldCharType="begin"/>
        </w:r>
        <w:r>
          <w:rPr>
            <w:noProof/>
            <w:webHidden/>
          </w:rPr>
          <w:instrText xml:space="preserve"> PAGEREF _Toc69878502 \h </w:instrText>
        </w:r>
        <w:r>
          <w:rPr>
            <w:noProof/>
            <w:webHidden/>
          </w:rPr>
        </w:r>
        <w:r>
          <w:rPr>
            <w:noProof/>
            <w:webHidden/>
          </w:rPr>
          <w:fldChar w:fldCharType="separate"/>
        </w:r>
        <w:r>
          <w:rPr>
            <w:noProof/>
            <w:webHidden/>
          </w:rPr>
          <w:t>314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03" w:history="1">
        <w:r w:rsidRPr="00CC53E5">
          <w:rPr>
            <w:rStyle w:val="Hyperlink"/>
            <w:noProof/>
          </w:rPr>
          <w:t>2.1.720</w:t>
        </w:r>
        <w:r>
          <w:rPr>
            <w:rFonts w:asciiTheme="minorHAnsi" w:eastAsiaTheme="minorEastAsia" w:hAnsiTheme="minorHAnsi" w:cstheme="minorBidi"/>
            <w:noProof/>
            <w:sz w:val="22"/>
            <w:szCs w:val="22"/>
          </w:rPr>
          <w:tab/>
        </w:r>
        <w:r w:rsidRPr="00CC53E5">
          <w:rPr>
            <w:rStyle w:val="Hyperlink"/>
            <w:noProof/>
          </w:rPr>
          <w:t>Part 1 Section 18.8.45, xf (Format)</w:t>
        </w:r>
        <w:r>
          <w:rPr>
            <w:noProof/>
            <w:webHidden/>
          </w:rPr>
          <w:tab/>
        </w:r>
        <w:r>
          <w:rPr>
            <w:noProof/>
            <w:webHidden/>
          </w:rPr>
          <w:fldChar w:fldCharType="begin"/>
        </w:r>
        <w:r>
          <w:rPr>
            <w:noProof/>
            <w:webHidden/>
          </w:rPr>
          <w:instrText xml:space="preserve"> PAGEREF _Toc69878503 \h </w:instrText>
        </w:r>
        <w:r>
          <w:rPr>
            <w:noProof/>
            <w:webHidden/>
          </w:rPr>
        </w:r>
        <w:r>
          <w:rPr>
            <w:noProof/>
            <w:webHidden/>
          </w:rPr>
          <w:fldChar w:fldCharType="separate"/>
        </w:r>
        <w:r>
          <w:rPr>
            <w:noProof/>
            <w:webHidden/>
          </w:rPr>
          <w:t>315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04" w:history="1">
        <w:r w:rsidRPr="00CC53E5">
          <w:rPr>
            <w:rStyle w:val="Hyperlink"/>
            <w:noProof/>
          </w:rPr>
          <w:t>2.1.721</w:t>
        </w:r>
        <w:r>
          <w:rPr>
            <w:rFonts w:asciiTheme="minorHAnsi" w:eastAsiaTheme="minorEastAsia" w:hAnsiTheme="minorHAnsi" w:cstheme="minorBidi"/>
            <w:noProof/>
            <w:sz w:val="22"/>
            <w:szCs w:val="22"/>
          </w:rPr>
          <w:tab/>
        </w:r>
        <w:r w:rsidRPr="00CC53E5">
          <w:rPr>
            <w:rStyle w:val="Hyperlink"/>
            <w:noProof/>
          </w:rPr>
          <w:t>Part 1 Section 18.9.1, bk (Metadata Block)</w:t>
        </w:r>
        <w:r>
          <w:rPr>
            <w:noProof/>
            <w:webHidden/>
          </w:rPr>
          <w:tab/>
        </w:r>
        <w:r>
          <w:rPr>
            <w:noProof/>
            <w:webHidden/>
          </w:rPr>
          <w:fldChar w:fldCharType="begin"/>
        </w:r>
        <w:r>
          <w:rPr>
            <w:noProof/>
            <w:webHidden/>
          </w:rPr>
          <w:instrText xml:space="preserve"> PAGEREF _Toc69878504 \h </w:instrText>
        </w:r>
        <w:r>
          <w:rPr>
            <w:noProof/>
            <w:webHidden/>
          </w:rPr>
        </w:r>
        <w:r>
          <w:rPr>
            <w:noProof/>
            <w:webHidden/>
          </w:rPr>
          <w:fldChar w:fldCharType="separate"/>
        </w:r>
        <w:r>
          <w:rPr>
            <w:noProof/>
            <w:webHidden/>
          </w:rPr>
          <w:t>316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05" w:history="1">
        <w:r w:rsidRPr="00CC53E5">
          <w:rPr>
            <w:rStyle w:val="Hyperlink"/>
            <w:noProof/>
          </w:rPr>
          <w:t>2.1.722</w:t>
        </w:r>
        <w:r>
          <w:rPr>
            <w:rFonts w:asciiTheme="minorHAnsi" w:eastAsiaTheme="minorEastAsia" w:hAnsiTheme="minorHAnsi" w:cstheme="minorBidi"/>
            <w:noProof/>
            <w:sz w:val="22"/>
            <w:szCs w:val="22"/>
          </w:rPr>
          <w:tab/>
        </w:r>
        <w:r w:rsidRPr="00CC53E5">
          <w:rPr>
            <w:rStyle w:val="Hyperlink"/>
            <w:noProof/>
          </w:rPr>
          <w:t>Part 1 Section 18.9.3, cellMetadata (Cell Metadata)</w:t>
        </w:r>
        <w:r>
          <w:rPr>
            <w:noProof/>
            <w:webHidden/>
          </w:rPr>
          <w:tab/>
        </w:r>
        <w:r>
          <w:rPr>
            <w:noProof/>
            <w:webHidden/>
          </w:rPr>
          <w:fldChar w:fldCharType="begin"/>
        </w:r>
        <w:r>
          <w:rPr>
            <w:noProof/>
            <w:webHidden/>
          </w:rPr>
          <w:instrText xml:space="preserve"> PAGEREF _Toc69878505 \h </w:instrText>
        </w:r>
        <w:r>
          <w:rPr>
            <w:noProof/>
            <w:webHidden/>
          </w:rPr>
        </w:r>
        <w:r>
          <w:rPr>
            <w:noProof/>
            <w:webHidden/>
          </w:rPr>
          <w:fldChar w:fldCharType="separate"/>
        </w:r>
        <w:r>
          <w:rPr>
            <w:noProof/>
            <w:webHidden/>
          </w:rPr>
          <w:t>316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06" w:history="1">
        <w:r w:rsidRPr="00CC53E5">
          <w:rPr>
            <w:rStyle w:val="Hyperlink"/>
            <w:noProof/>
          </w:rPr>
          <w:t>2.1.723</w:t>
        </w:r>
        <w:r>
          <w:rPr>
            <w:rFonts w:asciiTheme="minorHAnsi" w:eastAsiaTheme="minorEastAsia" w:hAnsiTheme="minorHAnsi" w:cstheme="minorBidi"/>
            <w:noProof/>
            <w:sz w:val="22"/>
            <w:szCs w:val="22"/>
          </w:rPr>
          <w:tab/>
        </w:r>
        <w:r w:rsidRPr="00CC53E5">
          <w:rPr>
            <w:rStyle w:val="Hyperlink"/>
            <w:noProof/>
          </w:rPr>
          <w:t>Part 1 Section 18.9.4, futureMetadata (Future Metadata)</w:t>
        </w:r>
        <w:r>
          <w:rPr>
            <w:noProof/>
            <w:webHidden/>
          </w:rPr>
          <w:tab/>
        </w:r>
        <w:r>
          <w:rPr>
            <w:noProof/>
            <w:webHidden/>
          </w:rPr>
          <w:fldChar w:fldCharType="begin"/>
        </w:r>
        <w:r>
          <w:rPr>
            <w:noProof/>
            <w:webHidden/>
          </w:rPr>
          <w:instrText xml:space="preserve"> PAGEREF _Toc69878506 \h </w:instrText>
        </w:r>
        <w:r>
          <w:rPr>
            <w:noProof/>
            <w:webHidden/>
          </w:rPr>
        </w:r>
        <w:r>
          <w:rPr>
            <w:noProof/>
            <w:webHidden/>
          </w:rPr>
          <w:fldChar w:fldCharType="separate"/>
        </w:r>
        <w:r>
          <w:rPr>
            <w:noProof/>
            <w:webHidden/>
          </w:rPr>
          <w:t>316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07" w:history="1">
        <w:r w:rsidRPr="00CC53E5">
          <w:rPr>
            <w:rStyle w:val="Hyperlink"/>
            <w:noProof/>
          </w:rPr>
          <w:t>2.1.724</w:t>
        </w:r>
        <w:r>
          <w:rPr>
            <w:rFonts w:asciiTheme="minorHAnsi" w:eastAsiaTheme="minorEastAsia" w:hAnsiTheme="minorHAnsi" w:cstheme="minorBidi"/>
            <w:noProof/>
            <w:sz w:val="22"/>
            <w:szCs w:val="22"/>
          </w:rPr>
          <w:tab/>
        </w:r>
        <w:r w:rsidRPr="00CC53E5">
          <w:rPr>
            <w:rStyle w:val="Hyperlink"/>
            <w:noProof/>
          </w:rPr>
          <w:t>Part 1 Section 18.9.5, k (KPI MDX Metadata)</w:t>
        </w:r>
        <w:r>
          <w:rPr>
            <w:noProof/>
            <w:webHidden/>
          </w:rPr>
          <w:tab/>
        </w:r>
        <w:r>
          <w:rPr>
            <w:noProof/>
            <w:webHidden/>
          </w:rPr>
          <w:fldChar w:fldCharType="begin"/>
        </w:r>
        <w:r>
          <w:rPr>
            <w:noProof/>
            <w:webHidden/>
          </w:rPr>
          <w:instrText xml:space="preserve"> PAGEREF _Toc69878507 \h </w:instrText>
        </w:r>
        <w:r>
          <w:rPr>
            <w:noProof/>
            <w:webHidden/>
          </w:rPr>
        </w:r>
        <w:r>
          <w:rPr>
            <w:noProof/>
            <w:webHidden/>
          </w:rPr>
          <w:fldChar w:fldCharType="separate"/>
        </w:r>
        <w:r>
          <w:rPr>
            <w:noProof/>
            <w:webHidden/>
          </w:rPr>
          <w:t>317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08" w:history="1">
        <w:r w:rsidRPr="00CC53E5">
          <w:rPr>
            <w:rStyle w:val="Hyperlink"/>
            <w:noProof/>
          </w:rPr>
          <w:t>2.1.725</w:t>
        </w:r>
        <w:r>
          <w:rPr>
            <w:rFonts w:asciiTheme="minorHAnsi" w:eastAsiaTheme="minorEastAsia" w:hAnsiTheme="minorHAnsi" w:cstheme="minorBidi"/>
            <w:noProof/>
            <w:sz w:val="22"/>
            <w:szCs w:val="22"/>
          </w:rPr>
          <w:tab/>
        </w:r>
        <w:r w:rsidRPr="00CC53E5">
          <w:rPr>
            <w:rStyle w:val="Hyperlink"/>
            <w:noProof/>
          </w:rPr>
          <w:t>Part 1 Section 18.9.6, mdx (MDX Metadata Record)</w:t>
        </w:r>
        <w:r>
          <w:rPr>
            <w:noProof/>
            <w:webHidden/>
          </w:rPr>
          <w:tab/>
        </w:r>
        <w:r>
          <w:rPr>
            <w:noProof/>
            <w:webHidden/>
          </w:rPr>
          <w:fldChar w:fldCharType="begin"/>
        </w:r>
        <w:r>
          <w:rPr>
            <w:noProof/>
            <w:webHidden/>
          </w:rPr>
          <w:instrText xml:space="preserve"> PAGEREF _Toc69878508 \h </w:instrText>
        </w:r>
        <w:r>
          <w:rPr>
            <w:noProof/>
            <w:webHidden/>
          </w:rPr>
        </w:r>
        <w:r>
          <w:rPr>
            <w:noProof/>
            <w:webHidden/>
          </w:rPr>
          <w:fldChar w:fldCharType="separate"/>
        </w:r>
        <w:r>
          <w:rPr>
            <w:noProof/>
            <w:webHidden/>
          </w:rPr>
          <w:t>317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09" w:history="1">
        <w:r w:rsidRPr="00CC53E5">
          <w:rPr>
            <w:rStyle w:val="Hyperlink"/>
            <w:noProof/>
          </w:rPr>
          <w:t>2.1.726</w:t>
        </w:r>
        <w:r>
          <w:rPr>
            <w:rFonts w:asciiTheme="minorHAnsi" w:eastAsiaTheme="minorEastAsia" w:hAnsiTheme="minorHAnsi" w:cstheme="minorBidi"/>
            <w:noProof/>
            <w:sz w:val="22"/>
            <w:szCs w:val="22"/>
          </w:rPr>
          <w:tab/>
        </w:r>
        <w:r w:rsidRPr="00CC53E5">
          <w:rPr>
            <w:rStyle w:val="Hyperlink"/>
            <w:noProof/>
          </w:rPr>
          <w:t>Part 1 Section 18.9.7, mdxMetadata (MDX Metadata Information)</w:t>
        </w:r>
        <w:r>
          <w:rPr>
            <w:noProof/>
            <w:webHidden/>
          </w:rPr>
          <w:tab/>
        </w:r>
        <w:r>
          <w:rPr>
            <w:noProof/>
            <w:webHidden/>
          </w:rPr>
          <w:fldChar w:fldCharType="begin"/>
        </w:r>
        <w:r>
          <w:rPr>
            <w:noProof/>
            <w:webHidden/>
          </w:rPr>
          <w:instrText xml:space="preserve"> PAGEREF _Toc69878509 \h </w:instrText>
        </w:r>
        <w:r>
          <w:rPr>
            <w:noProof/>
            <w:webHidden/>
          </w:rPr>
        </w:r>
        <w:r>
          <w:rPr>
            <w:noProof/>
            <w:webHidden/>
          </w:rPr>
          <w:fldChar w:fldCharType="separate"/>
        </w:r>
        <w:r>
          <w:rPr>
            <w:noProof/>
            <w:webHidden/>
          </w:rPr>
          <w:t>317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10" w:history="1">
        <w:r w:rsidRPr="00CC53E5">
          <w:rPr>
            <w:rStyle w:val="Hyperlink"/>
            <w:noProof/>
          </w:rPr>
          <w:t>2.1.727</w:t>
        </w:r>
        <w:r>
          <w:rPr>
            <w:rFonts w:asciiTheme="minorHAnsi" w:eastAsiaTheme="minorEastAsia" w:hAnsiTheme="minorHAnsi" w:cstheme="minorBidi"/>
            <w:noProof/>
            <w:sz w:val="22"/>
            <w:szCs w:val="22"/>
          </w:rPr>
          <w:tab/>
        </w:r>
        <w:r w:rsidRPr="00CC53E5">
          <w:rPr>
            <w:rStyle w:val="Hyperlink"/>
            <w:noProof/>
          </w:rPr>
          <w:t>Part 1 Section 18.9.9, metadataStrings (Metadata String Store)</w:t>
        </w:r>
        <w:r>
          <w:rPr>
            <w:noProof/>
            <w:webHidden/>
          </w:rPr>
          <w:tab/>
        </w:r>
        <w:r>
          <w:rPr>
            <w:noProof/>
            <w:webHidden/>
          </w:rPr>
          <w:fldChar w:fldCharType="begin"/>
        </w:r>
        <w:r>
          <w:rPr>
            <w:noProof/>
            <w:webHidden/>
          </w:rPr>
          <w:instrText xml:space="preserve"> PAGEREF _Toc69878510 \h </w:instrText>
        </w:r>
        <w:r>
          <w:rPr>
            <w:noProof/>
            <w:webHidden/>
          </w:rPr>
        </w:r>
        <w:r>
          <w:rPr>
            <w:noProof/>
            <w:webHidden/>
          </w:rPr>
          <w:fldChar w:fldCharType="separate"/>
        </w:r>
        <w:r>
          <w:rPr>
            <w:noProof/>
            <w:webHidden/>
          </w:rPr>
          <w:t>317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11" w:history="1">
        <w:r w:rsidRPr="00CC53E5">
          <w:rPr>
            <w:rStyle w:val="Hyperlink"/>
            <w:noProof/>
          </w:rPr>
          <w:t>2.1.728</w:t>
        </w:r>
        <w:r>
          <w:rPr>
            <w:rFonts w:asciiTheme="minorHAnsi" w:eastAsiaTheme="minorEastAsia" w:hAnsiTheme="minorHAnsi" w:cstheme="minorBidi"/>
            <w:noProof/>
            <w:sz w:val="22"/>
            <w:szCs w:val="22"/>
          </w:rPr>
          <w:tab/>
        </w:r>
        <w:r w:rsidRPr="00CC53E5">
          <w:rPr>
            <w:rStyle w:val="Hyperlink"/>
            <w:noProof/>
          </w:rPr>
          <w:t>Part 1 Section 18.9.10, metadataType (Metadata Type Information)</w:t>
        </w:r>
        <w:r>
          <w:rPr>
            <w:noProof/>
            <w:webHidden/>
          </w:rPr>
          <w:tab/>
        </w:r>
        <w:r>
          <w:rPr>
            <w:noProof/>
            <w:webHidden/>
          </w:rPr>
          <w:fldChar w:fldCharType="begin"/>
        </w:r>
        <w:r>
          <w:rPr>
            <w:noProof/>
            <w:webHidden/>
          </w:rPr>
          <w:instrText xml:space="preserve"> PAGEREF _Toc69878511 \h </w:instrText>
        </w:r>
        <w:r>
          <w:rPr>
            <w:noProof/>
            <w:webHidden/>
          </w:rPr>
        </w:r>
        <w:r>
          <w:rPr>
            <w:noProof/>
            <w:webHidden/>
          </w:rPr>
          <w:fldChar w:fldCharType="separate"/>
        </w:r>
        <w:r>
          <w:rPr>
            <w:noProof/>
            <w:webHidden/>
          </w:rPr>
          <w:t>317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12" w:history="1">
        <w:r w:rsidRPr="00CC53E5">
          <w:rPr>
            <w:rStyle w:val="Hyperlink"/>
            <w:noProof/>
          </w:rPr>
          <w:t>2.1.729</w:t>
        </w:r>
        <w:r>
          <w:rPr>
            <w:rFonts w:asciiTheme="minorHAnsi" w:eastAsiaTheme="minorEastAsia" w:hAnsiTheme="minorHAnsi" w:cstheme="minorBidi"/>
            <w:noProof/>
            <w:sz w:val="22"/>
            <w:szCs w:val="22"/>
          </w:rPr>
          <w:tab/>
        </w:r>
        <w:r w:rsidRPr="00CC53E5">
          <w:rPr>
            <w:rStyle w:val="Hyperlink"/>
            <w:noProof/>
          </w:rPr>
          <w:t>Part 1 Section 18.9.11, metadataTypes (Metadata Types Collection)</w:t>
        </w:r>
        <w:r>
          <w:rPr>
            <w:noProof/>
            <w:webHidden/>
          </w:rPr>
          <w:tab/>
        </w:r>
        <w:r>
          <w:rPr>
            <w:noProof/>
            <w:webHidden/>
          </w:rPr>
          <w:fldChar w:fldCharType="begin"/>
        </w:r>
        <w:r>
          <w:rPr>
            <w:noProof/>
            <w:webHidden/>
          </w:rPr>
          <w:instrText xml:space="preserve"> PAGEREF _Toc69878512 \h </w:instrText>
        </w:r>
        <w:r>
          <w:rPr>
            <w:noProof/>
            <w:webHidden/>
          </w:rPr>
        </w:r>
        <w:r>
          <w:rPr>
            <w:noProof/>
            <w:webHidden/>
          </w:rPr>
          <w:fldChar w:fldCharType="separate"/>
        </w:r>
        <w:r>
          <w:rPr>
            <w:noProof/>
            <w:webHidden/>
          </w:rPr>
          <w:t>321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13" w:history="1">
        <w:r w:rsidRPr="00CC53E5">
          <w:rPr>
            <w:rStyle w:val="Hyperlink"/>
            <w:noProof/>
          </w:rPr>
          <w:t>2.1.730</w:t>
        </w:r>
        <w:r>
          <w:rPr>
            <w:rFonts w:asciiTheme="minorHAnsi" w:eastAsiaTheme="minorEastAsia" w:hAnsiTheme="minorHAnsi" w:cstheme="minorBidi"/>
            <w:noProof/>
            <w:sz w:val="22"/>
            <w:szCs w:val="22"/>
          </w:rPr>
          <w:tab/>
        </w:r>
        <w:r w:rsidRPr="00CC53E5">
          <w:rPr>
            <w:rStyle w:val="Hyperlink"/>
            <w:noProof/>
          </w:rPr>
          <w:t>Part 1 Section 18.9.12, ms (Set MDX Metadata)</w:t>
        </w:r>
        <w:r>
          <w:rPr>
            <w:noProof/>
            <w:webHidden/>
          </w:rPr>
          <w:tab/>
        </w:r>
        <w:r>
          <w:rPr>
            <w:noProof/>
            <w:webHidden/>
          </w:rPr>
          <w:fldChar w:fldCharType="begin"/>
        </w:r>
        <w:r>
          <w:rPr>
            <w:noProof/>
            <w:webHidden/>
          </w:rPr>
          <w:instrText xml:space="preserve"> PAGEREF _Toc69878513 \h </w:instrText>
        </w:r>
        <w:r>
          <w:rPr>
            <w:noProof/>
            <w:webHidden/>
          </w:rPr>
        </w:r>
        <w:r>
          <w:rPr>
            <w:noProof/>
            <w:webHidden/>
          </w:rPr>
          <w:fldChar w:fldCharType="separate"/>
        </w:r>
        <w:r>
          <w:rPr>
            <w:noProof/>
            <w:webHidden/>
          </w:rPr>
          <w:t>321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14" w:history="1">
        <w:r w:rsidRPr="00CC53E5">
          <w:rPr>
            <w:rStyle w:val="Hyperlink"/>
            <w:noProof/>
          </w:rPr>
          <w:t>2.1.731</w:t>
        </w:r>
        <w:r>
          <w:rPr>
            <w:rFonts w:asciiTheme="minorHAnsi" w:eastAsiaTheme="minorEastAsia" w:hAnsiTheme="minorHAnsi" w:cstheme="minorBidi"/>
            <w:noProof/>
            <w:sz w:val="22"/>
            <w:szCs w:val="22"/>
          </w:rPr>
          <w:tab/>
        </w:r>
        <w:r w:rsidRPr="00CC53E5">
          <w:rPr>
            <w:rStyle w:val="Hyperlink"/>
            <w:noProof/>
          </w:rPr>
          <w:t>Part 1 Section 18.9.13, n (Member Unique Name Index)</w:t>
        </w:r>
        <w:r>
          <w:rPr>
            <w:noProof/>
            <w:webHidden/>
          </w:rPr>
          <w:tab/>
        </w:r>
        <w:r>
          <w:rPr>
            <w:noProof/>
            <w:webHidden/>
          </w:rPr>
          <w:fldChar w:fldCharType="begin"/>
        </w:r>
        <w:r>
          <w:rPr>
            <w:noProof/>
            <w:webHidden/>
          </w:rPr>
          <w:instrText xml:space="preserve"> PAGEREF _Toc69878514 \h </w:instrText>
        </w:r>
        <w:r>
          <w:rPr>
            <w:noProof/>
            <w:webHidden/>
          </w:rPr>
        </w:r>
        <w:r>
          <w:rPr>
            <w:noProof/>
            <w:webHidden/>
          </w:rPr>
          <w:fldChar w:fldCharType="separate"/>
        </w:r>
        <w:r>
          <w:rPr>
            <w:noProof/>
            <w:webHidden/>
          </w:rPr>
          <w:t>321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15" w:history="1">
        <w:r w:rsidRPr="00CC53E5">
          <w:rPr>
            <w:rStyle w:val="Hyperlink"/>
            <w:noProof/>
          </w:rPr>
          <w:t>2.1.732</w:t>
        </w:r>
        <w:r>
          <w:rPr>
            <w:rFonts w:asciiTheme="minorHAnsi" w:eastAsiaTheme="minorEastAsia" w:hAnsiTheme="minorHAnsi" w:cstheme="minorBidi"/>
            <w:noProof/>
            <w:sz w:val="22"/>
            <w:szCs w:val="22"/>
          </w:rPr>
          <w:tab/>
        </w:r>
        <w:r w:rsidRPr="00CC53E5">
          <w:rPr>
            <w:rStyle w:val="Hyperlink"/>
            <w:noProof/>
          </w:rPr>
          <w:t>Part 1 Section 18.9.14, p (Member Property MDX Metadata)</w:t>
        </w:r>
        <w:r>
          <w:rPr>
            <w:noProof/>
            <w:webHidden/>
          </w:rPr>
          <w:tab/>
        </w:r>
        <w:r>
          <w:rPr>
            <w:noProof/>
            <w:webHidden/>
          </w:rPr>
          <w:fldChar w:fldCharType="begin"/>
        </w:r>
        <w:r>
          <w:rPr>
            <w:noProof/>
            <w:webHidden/>
          </w:rPr>
          <w:instrText xml:space="preserve"> PAGEREF _Toc69878515 \h </w:instrText>
        </w:r>
        <w:r>
          <w:rPr>
            <w:noProof/>
            <w:webHidden/>
          </w:rPr>
        </w:r>
        <w:r>
          <w:rPr>
            <w:noProof/>
            <w:webHidden/>
          </w:rPr>
          <w:fldChar w:fldCharType="separate"/>
        </w:r>
        <w:r>
          <w:rPr>
            <w:noProof/>
            <w:webHidden/>
          </w:rPr>
          <w:t>321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16" w:history="1">
        <w:r w:rsidRPr="00CC53E5">
          <w:rPr>
            <w:rStyle w:val="Hyperlink"/>
            <w:noProof/>
          </w:rPr>
          <w:t>2.1.733</w:t>
        </w:r>
        <w:r>
          <w:rPr>
            <w:rFonts w:asciiTheme="minorHAnsi" w:eastAsiaTheme="minorEastAsia" w:hAnsiTheme="minorHAnsi" w:cstheme="minorBidi"/>
            <w:noProof/>
            <w:sz w:val="22"/>
            <w:szCs w:val="22"/>
          </w:rPr>
          <w:tab/>
        </w:r>
        <w:r w:rsidRPr="00CC53E5">
          <w:rPr>
            <w:rStyle w:val="Hyperlink"/>
            <w:noProof/>
          </w:rPr>
          <w:t>Part 1 Section 18.9.15, rc (Metadata Record)</w:t>
        </w:r>
        <w:r>
          <w:rPr>
            <w:noProof/>
            <w:webHidden/>
          </w:rPr>
          <w:tab/>
        </w:r>
        <w:r>
          <w:rPr>
            <w:noProof/>
            <w:webHidden/>
          </w:rPr>
          <w:fldChar w:fldCharType="begin"/>
        </w:r>
        <w:r>
          <w:rPr>
            <w:noProof/>
            <w:webHidden/>
          </w:rPr>
          <w:instrText xml:space="preserve"> PAGEREF _Toc69878516 \h </w:instrText>
        </w:r>
        <w:r>
          <w:rPr>
            <w:noProof/>
            <w:webHidden/>
          </w:rPr>
        </w:r>
        <w:r>
          <w:rPr>
            <w:noProof/>
            <w:webHidden/>
          </w:rPr>
          <w:fldChar w:fldCharType="separate"/>
        </w:r>
        <w:r>
          <w:rPr>
            <w:noProof/>
            <w:webHidden/>
          </w:rPr>
          <w:t>321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17" w:history="1">
        <w:r w:rsidRPr="00CC53E5">
          <w:rPr>
            <w:rStyle w:val="Hyperlink"/>
            <w:noProof/>
          </w:rPr>
          <w:t>2.1.734</w:t>
        </w:r>
        <w:r>
          <w:rPr>
            <w:rFonts w:asciiTheme="minorHAnsi" w:eastAsiaTheme="minorEastAsia" w:hAnsiTheme="minorHAnsi" w:cstheme="minorBidi"/>
            <w:noProof/>
            <w:sz w:val="22"/>
            <w:szCs w:val="22"/>
          </w:rPr>
          <w:tab/>
        </w:r>
        <w:r w:rsidRPr="00CC53E5">
          <w:rPr>
            <w:rStyle w:val="Hyperlink"/>
            <w:noProof/>
          </w:rPr>
          <w:t>Part 1 Section 18.9.16, t (Tuple MDX Metadata)</w:t>
        </w:r>
        <w:r>
          <w:rPr>
            <w:noProof/>
            <w:webHidden/>
          </w:rPr>
          <w:tab/>
        </w:r>
        <w:r>
          <w:rPr>
            <w:noProof/>
            <w:webHidden/>
          </w:rPr>
          <w:fldChar w:fldCharType="begin"/>
        </w:r>
        <w:r>
          <w:rPr>
            <w:noProof/>
            <w:webHidden/>
          </w:rPr>
          <w:instrText xml:space="preserve"> PAGEREF _Toc69878517 \h </w:instrText>
        </w:r>
        <w:r>
          <w:rPr>
            <w:noProof/>
            <w:webHidden/>
          </w:rPr>
        </w:r>
        <w:r>
          <w:rPr>
            <w:noProof/>
            <w:webHidden/>
          </w:rPr>
          <w:fldChar w:fldCharType="separate"/>
        </w:r>
        <w:r>
          <w:rPr>
            <w:noProof/>
            <w:webHidden/>
          </w:rPr>
          <w:t>322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18" w:history="1">
        <w:r w:rsidRPr="00CC53E5">
          <w:rPr>
            <w:rStyle w:val="Hyperlink"/>
            <w:noProof/>
          </w:rPr>
          <w:t>2.1.735</w:t>
        </w:r>
        <w:r>
          <w:rPr>
            <w:rFonts w:asciiTheme="minorHAnsi" w:eastAsiaTheme="minorEastAsia" w:hAnsiTheme="minorHAnsi" w:cstheme="minorBidi"/>
            <w:noProof/>
            <w:sz w:val="22"/>
            <w:szCs w:val="22"/>
          </w:rPr>
          <w:tab/>
        </w:r>
        <w:r w:rsidRPr="00CC53E5">
          <w:rPr>
            <w:rStyle w:val="Hyperlink"/>
            <w:noProof/>
          </w:rPr>
          <w:t>Part 1 Section 18.9.17, valueMetadata (Value Metadata)</w:t>
        </w:r>
        <w:r>
          <w:rPr>
            <w:noProof/>
            <w:webHidden/>
          </w:rPr>
          <w:tab/>
        </w:r>
        <w:r>
          <w:rPr>
            <w:noProof/>
            <w:webHidden/>
          </w:rPr>
          <w:fldChar w:fldCharType="begin"/>
        </w:r>
        <w:r>
          <w:rPr>
            <w:noProof/>
            <w:webHidden/>
          </w:rPr>
          <w:instrText xml:space="preserve"> PAGEREF _Toc69878518 \h </w:instrText>
        </w:r>
        <w:r>
          <w:rPr>
            <w:noProof/>
            <w:webHidden/>
          </w:rPr>
        </w:r>
        <w:r>
          <w:rPr>
            <w:noProof/>
            <w:webHidden/>
          </w:rPr>
          <w:fldChar w:fldCharType="separate"/>
        </w:r>
        <w:r>
          <w:rPr>
            <w:noProof/>
            <w:webHidden/>
          </w:rPr>
          <w:t>329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19" w:history="1">
        <w:r w:rsidRPr="00CC53E5">
          <w:rPr>
            <w:rStyle w:val="Hyperlink"/>
            <w:noProof/>
          </w:rPr>
          <w:t>2.1.736</w:t>
        </w:r>
        <w:r>
          <w:rPr>
            <w:rFonts w:asciiTheme="minorHAnsi" w:eastAsiaTheme="minorEastAsia" w:hAnsiTheme="minorHAnsi" w:cstheme="minorBidi"/>
            <w:noProof/>
            <w:sz w:val="22"/>
            <w:szCs w:val="22"/>
          </w:rPr>
          <w:tab/>
        </w:r>
        <w:r w:rsidRPr="00CC53E5">
          <w:rPr>
            <w:rStyle w:val="Hyperlink"/>
            <w:noProof/>
          </w:rPr>
          <w:t>Part 1 Section 18.10.1.1, autoSortScope (AutoSort Scope)</w:t>
        </w:r>
        <w:r>
          <w:rPr>
            <w:noProof/>
            <w:webHidden/>
          </w:rPr>
          <w:tab/>
        </w:r>
        <w:r>
          <w:rPr>
            <w:noProof/>
            <w:webHidden/>
          </w:rPr>
          <w:fldChar w:fldCharType="begin"/>
        </w:r>
        <w:r>
          <w:rPr>
            <w:noProof/>
            <w:webHidden/>
          </w:rPr>
          <w:instrText xml:space="preserve"> PAGEREF _Toc69878519 \h </w:instrText>
        </w:r>
        <w:r>
          <w:rPr>
            <w:noProof/>
            <w:webHidden/>
          </w:rPr>
        </w:r>
        <w:r>
          <w:rPr>
            <w:noProof/>
            <w:webHidden/>
          </w:rPr>
          <w:fldChar w:fldCharType="separate"/>
        </w:r>
        <w:r>
          <w:rPr>
            <w:noProof/>
            <w:webHidden/>
          </w:rPr>
          <w:t>329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20" w:history="1">
        <w:r w:rsidRPr="00CC53E5">
          <w:rPr>
            <w:rStyle w:val="Hyperlink"/>
            <w:noProof/>
          </w:rPr>
          <w:t>2.1.737</w:t>
        </w:r>
        <w:r>
          <w:rPr>
            <w:rFonts w:asciiTheme="minorHAnsi" w:eastAsiaTheme="minorEastAsia" w:hAnsiTheme="minorHAnsi" w:cstheme="minorBidi"/>
            <w:noProof/>
            <w:sz w:val="22"/>
            <w:szCs w:val="22"/>
          </w:rPr>
          <w:tab/>
        </w:r>
        <w:r w:rsidRPr="00CC53E5">
          <w:rPr>
            <w:rStyle w:val="Hyperlink"/>
            <w:noProof/>
          </w:rPr>
          <w:t>Part 1 Section 18.10.1.2, b (Boolean)</w:t>
        </w:r>
        <w:r>
          <w:rPr>
            <w:noProof/>
            <w:webHidden/>
          </w:rPr>
          <w:tab/>
        </w:r>
        <w:r>
          <w:rPr>
            <w:noProof/>
            <w:webHidden/>
          </w:rPr>
          <w:fldChar w:fldCharType="begin"/>
        </w:r>
        <w:r>
          <w:rPr>
            <w:noProof/>
            <w:webHidden/>
          </w:rPr>
          <w:instrText xml:space="preserve"> PAGEREF _Toc69878520 \h </w:instrText>
        </w:r>
        <w:r>
          <w:rPr>
            <w:noProof/>
            <w:webHidden/>
          </w:rPr>
        </w:r>
        <w:r>
          <w:rPr>
            <w:noProof/>
            <w:webHidden/>
          </w:rPr>
          <w:fldChar w:fldCharType="separate"/>
        </w:r>
        <w:r>
          <w:rPr>
            <w:noProof/>
            <w:webHidden/>
          </w:rPr>
          <w:t>329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21" w:history="1">
        <w:r w:rsidRPr="00CC53E5">
          <w:rPr>
            <w:rStyle w:val="Hyperlink"/>
            <w:noProof/>
          </w:rPr>
          <w:t>2.1.738</w:t>
        </w:r>
        <w:r>
          <w:rPr>
            <w:rFonts w:asciiTheme="minorHAnsi" w:eastAsiaTheme="minorEastAsia" w:hAnsiTheme="minorHAnsi" w:cstheme="minorBidi"/>
            <w:noProof/>
            <w:sz w:val="22"/>
            <w:szCs w:val="22"/>
          </w:rPr>
          <w:tab/>
        </w:r>
        <w:r w:rsidRPr="00CC53E5">
          <w:rPr>
            <w:rStyle w:val="Hyperlink"/>
            <w:noProof/>
          </w:rPr>
          <w:t>Part 1 Section 18.10.1.3, cacheField (PivotCache Field)</w:t>
        </w:r>
        <w:r>
          <w:rPr>
            <w:noProof/>
            <w:webHidden/>
          </w:rPr>
          <w:tab/>
        </w:r>
        <w:r>
          <w:rPr>
            <w:noProof/>
            <w:webHidden/>
          </w:rPr>
          <w:fldChar w:fldCharType="begin"/>
        </w:r>
        <w:r>
          <w:rPr>
            <w:noProof/>
            <w:webHidden/>
          </w:rPr>
          <w:instrText xml:space="preserve"> PAGEREF _Toc69878521 \h </w:instrText>
        </w:r>
        <w:r>
          <w:rPr>
            <w:noProof/>
            <w:webHidden/>
          </w:rPr>
        </w:r>
        <w:r>
          <w:rPr>
            <w:noProof/>
            <w:webHidden/>
          </w:rPr>
          <w:fldChar w:fldCharType="separate"/>
        </w:r>
        <w:r>
          <w:rPr>
            <w:noProof/>
            <w:webHidden/>
          </w:rPr>
          <w:t>329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22" w:history="1">
        <w:r w:rsidRPr="00CC53E5">
          <w:rPr>
            <w:rStyle w:val="Hyperlink"/>
            <w:noProof/>
          </w:rPr>
          <w:t>2.1.739</w:t>
        </w:r>
        <w:r>
          <w:rPr>
            <w:rFonts w:asciiTheme="minorHAnsi" w:eastAsiaTheme="minorEastAsia" w:hAnsiTheme="minorHAnsi" w:cstheme="minorBidi"/>
            <w:noProof/>
            <w:sz w:val="22"/>
            <w:szCs w:val="22"/>
          </w:rPr>
          <w:tab/>
        </w:r>
        <w:r w:rsidRPr="00CC53E5">
          <w:rPr>
            <w:rStyle w:val="Hyperlink"/>
            <w:noProof/>
          </w:rPr>
          <w:t>Part 1 Section 18.10.1.4, cacheFields (PivotCache Fields)</w:t>
        </w:r>
        <w:r>
          <w:rPr>
            <w:noProof/>
            <w:webHidden/>
          </w:rPr>
          <w:tab/>
        </w:r>
        <w:r>
          <w:rPr>
            <w:noProof/>
            <w:webHidden/>
          </w:rPr>
          <w:fldChar w:fldCharType="begin"/>
        </w:r>
        <w:r>
          <w:rPr>
            <w:noProof/>
            <w:webHidden/>
          </w:rPr>
          <w:instrText xml:space="preserve"> PAGEREF _Toc69878522 \h </w:instrText>
        </w:r>
        <w:r>
          <w:rPr>
            <w:noProof/>
            <w:webHidden/>
          </w:rPr>
        </w:r>
        <w:r>
          <w:rPr>
            <w:noProof/>
            <w:webHidden/>
          </w:rPr>
          <w:fldChar w:fldCharType="separate"/>
        </w:r>
        <w:r>
          <w:rPr>
            <w:noProof/>
            <w:webHidden/>
          </w:rPr>
          <w:t>330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23" w:history="1">
        <w:r w:rsidRPr="00CC53E5">
          <w:rPr>
            <w:rStyle w:val="Hyperlink"/>
            <w:noProof/>
          </w:rPr>
          <w:t>2.1.740</w:t>
        </w:r>
        <w:r>
          <w:rPr>
            <w:rFonts w:asciiTheme="minorHAnsi" w:eastAsiaTheme="minorEastAsia" w:hAnsiTheme="minorHAnsi" w:cstheme="minorBidi"/>
            <w:noProof/>
            <w:sz w:val="22"/>
            <w:szCs w:val="22"/>
          </w:rPr>
          <w:tab/>
        </w:r>
        <w:r w:rsidRPr="00CC53E5">
          <w:rPr>
            <w:rStyle w:val="Hyperlink"/>
            <w:noProof/>
          </w:rPr>
          <w:t>Part 1 Section 18.10.1.5, cacheHierarchies (PivotCache Hierarchies)</w:t>
        </w:r>
        <w:r>
          <w:rPr>
            <w:noProof/>
            <w:webHidden/>
          </w:rPr>
          <w:tab/>
        </w:r>
        <w:r>
          <w:rPr>
            <w:noProof/>
            <w:webHidden/>
          </w:rPr>
          <w:fldChar w:fldCharType="begin"/>
        </w:r>
        <w:r>
          <w:rPr>
            <w:noProof/>
            <w:webHidden/>
          </w:rPr>
          <w:instrText xml:space="preserve"> PAGEREF _Toc69878523 \h </w:instrText>
        </w:r>
        <w:r>
          <w:rPr>
            <w:noProof/>
            <w:webHidden/>
          </w:rPr>
        </w:r>
        <w:r>
          <w:rPr>
            <w:noProof/>
            <w:webHidden/>
          </w:rPr>
          <w:fldChar w:fldCharType="separate"/>
        </w:r>
        <w:r>
          <w:rPr>
            <w:noProof/>
            <w:webHidden/>
          </w:rPr>
          <w:t>331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24" w:history="1">
        <w:r w:rsidRPr="00CC53E5">
          <w:rPr>
            <w:rStyle w:val="Hyperlink"/>
            <w:noProof/>
          </w:rPr>
          <w:t>2.1.741</w:t>
        </w:r>
        <w:r>
          <w:rPr>
            <w:rFonts w:asciiTheme="minorHAnsi" w:eastAsiaTheme="minorEastAsia" w:hAnsiTheme="minorHAnsi" w:cstheme="minorBidi"/>
            <w:noProof/>
            <w:sz w:val="22"/>
            <w:szCs w:val="22"/>
          </w:rPr>
          <w:tab/>
        </w:r>
        <w:r w:rsidRPr="00CC53E5">
          <w:rPr>
            <w:rStyle w:val="Hyperlink"/>
            <w:noProof/>
          </w:rPr>
          <w:t>Part 1 Section 18.10.1.6, cacheHierarchy (PivotCache Hierarchy)</w:t>
        </w:r>
        <w:r>
          <w:rPr>
            <w:noProof/>
            <w:webHidden/>
          </w:rPr>
          <w:tab/>
        </w:r>
        <w:r>
          <w:rPr>
            <w:noProof/>
            <w:webHidden/>
          </w:rPr>
          <w:fldChar w:fldCharType="begin"/>
        </w:r>
        <w:r>
          <w:rPr>
            <w:noProof/>
            <w:webHidden/>
          </w:rPr>
          <w:instrText xml:space="preserve"> PAGEREF _Toc69878524 \h </w:instrText>
        </w:r>
        <w:r>
          <w:rPr>
            <w:noProof/>
            <w:webHidden/>
          </w:rPr>
        </w:r>
        <w:r>
          <w:rPr>
            <w:noProof/>
            <w:webHidden/>
          </w:rPr>
          <w:fldChar w:fldCharType="separate"/>
        </w:r>
        <w:r>
          <w:rPr>
            <w:noProof/>
            <w:webHidden/>
          </w:rPr>
          <w:t>331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25" w:history="1">
        <w:r w:rsidRPr="00CC53E5">
          <w:rPr>
            <w:rStyle w:val="Hyperlink"/>
            <w:noProof/>
          </w:rPr>
          <w:t>2.1.742</w:t>
        </w:r>
        <w:r>
          <w:rPr>
            <w:rFonts w:asciiTheme="minorHAnsi" w:eastAsiaTheme="minorEastAsia" w:hAnsiTheme="minorHAnsi" w:cstheme="minorBidi"/>
            <w:noProof/>
            <w:sz w:val="22"/>
            <w:szCs w:val="22"/>
          </w:rPr>
          <w:tab/>
        </w:r>
        <w:r w:rsidRPr="00CC53E5">
          <w:rPr>
            <w:rStyle w:val="Hyperlink"/>
            <w:noProof/>
          </w:rPr>
          <w:t>Part 1 Section 18.10.1.7, cacheSource (PivotCache Source Description)</w:t>
        </w:r>
        <w:r>
          <w:rPr>
            <w:noProof/>
            <w:webHidden/>
          </w:rPr>
          <w:tab/>
        </w:r>
        <w:r>
          <w:rPr>
            <w:noProof/>
            <w:webHidden/>
          </w:rPr>
          <w:fldChar w:fldCharType="begin"/>
        </w:r>
        <w:r>
          <w:rPr>
            <w:noProof/>
            <w:webHidden/>
          </w:rPr>
          <w:instrText xml:space="preserve"> PAGEREF _Toc69878525 \h </w:instrText>
        </w:r>
        <w:r>
          <w:rPr>
            <w:noProof/>
            <w:webHidden/>
          </w:rPr>
        </w:r>
        <w:r>
          <w:rPr>
            <w:noProof/>
            <w:webHidden/>
          </w:rPr>
          <w:fldChar w:fldCharType="separate"/>
        </w:r>
        <w:r>
          <w:rPr>
            <w:noProof/>
            <w:webHidden/>
          </w:rPr>
          <w:t>332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26" w:history="1">
        <w:r w:rsidRPr="00CC53E5">
          <w:rPr>
            <w:rStyle w:val="Hyperlink"/>
            <w:noProof/>
          </w:rPr>
          <w:t>2.1.743</w:t>
        </w:r>
        <w:r>
          <w:rPr>
            <w:rFonts w:asciiTheme="minorHAnsi" w:eastAsiaTheme="minorEastAsia" w:hAnsiTheme="minorHAnsi" w:cstheme="minorBidi"/>
            <w:noProof/>
            <w:sz w:val="22"/>
            <w:szCs w:val="22"/>
          </w:rPr>
          <w:tab/>
        </w:r>
        <w:r w:rsidRPr="00CC53E5">
          <w:rPr>
            <w:rStyle w:val="Hyperlink"/>
            <w:noProof/>
          </w:rPr>
          <w:t>Part 1 Section 18.10.1.8, calculatedItem (Calculated Item)</w:t>
        </w:r>
        <w:r>
          <w:rPr>
            <w:noProof/>
            <w:webHidden/>
          </w:rPr>
          <w:tab/>
        </w:r>
        <w:r>
          <w:rPr>
            <w:noProof/>
            <w:webHidden/>
          </w:rPr>
          <w:fldChar w:fldCharType="begin"/>
        </w:r>
        <w:r>
          <w:rPr>
            <w:noProof/>
            <w:webHidden/>
          </w:rPr>
          <w:instrText xml:space="preserve"> PAGEREF _Toc69878526 \h </w:instrText>
        </w:r>
        <w:r>
          <w:rPr>
            <w:noProof/>
            <w:webHidden/>
          </w:rPr>
        </w:r>
        <w:r>
          <w:rPr>
            <w:noProof/>
            <w:webHidden/>
          </w:rPr>
          <w:fldChar w:fldCharType="separate"/>
        </w:r>
        <w:r>
          <w:rPr>
            <w:noProof/>
            <w:webHidden/>
          </w:rPr>
          <w:t>332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27" w:history="1">
        <w:r w:rsidRPr="00CC53E5">
          <w:rPr>
            <w:rStyle w:val="Hyperlink"/>
            <w:noProof/>
          </w:rPr>
          <w:t>2.1.744</w:t>
        </w:r>
        <w:r>
          <w:rPr>
            <w:rFonts w:asciiTheme="minorHAnsi" w:eastAsiaTheme="minorEastAsia" w:hAnsiTheme="minorHAnsi" w:cstheme="minorBidi"/>
            <w:noProof/>
            <w:sz w:val="22"/>
            <w:szCs w:val="22"/>
          </w:rPr>
          <w:tab/>
        </w:r>
        <w:r w:rsidRPr="00CC53E5">
          <w:rPr>
            <w:rStyle w:val="Hyperlink"/>
            <w:noProof/>
          </w:rPr>
          <w:t>Part 1 Section 18.10.1.10, calculatedMember (Calculated Member)</w:t>
        </w:r>
        <w:r>
          <w:rPr>
            <w:noProof/>
            <w:webHidden/>
          </w:rPr>
          <w:tab/>
        </w:r>
        <w:r>
          <w:rPr>
            <w:noProof/>
            <w:webHidden/>
          </w:rPr>
          <w:fldChar w:fldCharType="begin"/>
        </w:r>
        <w:r>
          <w:rPr>
            <w:noProof/>
            <w:webHidden/>
          </w:rPr>
          <w:instrText xml:space="preserve"> PAGEREF _Toc69878527 \h </w:instrText>
        </w:r>
        <w:r>
          <w:rPr>
            <w:noProof/>
            <w:webHidden/>
          </w:rPr>
        </w:r>
        <w:r>
          <w:rPr>
            <w:noProof/>
            <w:webHidden/>
          </w:rPr>
          <w:fldChar w:fldCharType="separate"/>
        </w:r>
        <w:r>
          <w:rPr>
            <w:noProof/>
            <w:webHidden/>
          </w:rPr>
          <w:t>333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28" w:history="1">
        <w:r w:rsidRPr="00CC53E5">
          <w:rPr>
            <w:rStyle w:val="Hyperlink"/>
            <w:noProof/>
          </w:rPr>
          <w:t>2.1.745</w:t>
        </w:r>
        <w:r>
          <w:rPr>
            <w:rFonts w:asciiTheme="minorHAnsi" w:eastAsiaTheme="minorEastAsia" w:hAnsiTheme="minorHAnsi" w:cstheme="minorBidi"/>
            <w:noProof/>
            <w:sz w:val="22"/>
            <w:szCs w:val="22"/>
          </w:rPr>
          <w:tab/>
        </w:r>
        <w:r w:rsidRPr="00CC53E5">
          <w:rPr>
            <w:rStyle w:val="Hyperlink"/>
            <w:noProof/>
          </w:rPr>
          <w:t>Part 1 Section 18.10.1.12, chartFormat (PivotChart Format)</w:t>
        </w:r>
        <w:r>
          <w:rPr>
            <w:noProof/>
            <w:webHidden/>
          </w:rPr>
          <w:tab/>
        </w:r>
        <w:r>
          <w:rPr>
            <w:noProof/>
            <w:webHidden/>
          </w:rPr>
          <w:fldChar w:fldCharType="begin"/>
        </w:r>
        <w:r>
          <w:rPr>
            <w:noProof/>
            <w:webHidden/>
          </w:rPr>
          <w:instrText xml:space="preserve"> PAGEREF _Toc69878528 \h </w:instrText>
        </w:r>
        <w:r>
          <w:rPr>
            <w:noProof/>
            <w:webHidden/>
          </w:rPr>
        </w:r>
        <w:r>
          <w:rPr>
            <w:noProof/>
            <w:webHidden/>
          </w:rPr>
          <w:fldChar w:fldCharType="separate"/>
        </w:r>
        <w:r>
          <w:rPr>
            <w:noProof/>
            <w:webHidden/>
          </w:rPr>
          <w:t>333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29" w:history="1">
        <w:r w:rsidRPr="00CC53E5">
          <w:rPr>
            <w:rStyle w:val="Hyperlink"/>
            <w:noProof/>
          </w:rPr>
          <w:t>2.1.746</w:t>
        </w:r>
        <w:r>
          <w:rPr>
            <w:rFonts w:asciiTheme="minorHAnsi" w:eastAsiaTheme="minorEastAsia" w:hAnsiTheme="minorHAnsi" w:cstheme="minorBidi"/>
            <w:noProof/>
            <w:sz w:val="22"/>
            <w:szCs w:val="22"/>
          </w:rPr>
          <w:tab/>
        </w:r>
        <w:r w:rsidRPr="00CC53E5">
          <w:rPr>
            <w:rStyle w:val="Hyperlink"/>
            <w:noProof/>
          </w:rPr>
          <w:t>Part 1 Section 18.10.1.15, colHierarchiesUsage (Column OLAP Hierarchy References)</w:t>
        </w:r>
        <w:r>
          <w:rPr>
            <w:noProof/>
            <w:webHidden/>
          </w:rPr>
          <w:tab/>
        </w:r>
        <w:r>
          <w:rPr>
            <w:noProof/>
            <w:webHidden/>
          </w:rPr>
          <w:fldChar w:fldCharType="begin"/>
        </w:r>
        <w:r>
          <w:rPr>
            <w:noProof/>
            <w:webHidden/>
          </w:rPr>
          <w:instrText xml:space="preserve"> PAGEREF _Toc69878529 \h </w:instrText>
        </w:r>
        <w:r>
          <w:rPr>
            <w:noProof/>
            <w:webHidden/>
          </w:rPr>
        </w:r>
        <w:r>
          <w:rPr>
            <w:noProof/>
            <w:webHidden/>
          </w:rPr>
          <w:fldChar w:fldCharType="separate"/>
        </w:r>
        <w:r>
          <w:rPr>
            <w:noProof/>
            <w:webHidden/>
          </w:rPr>
          <w:t>334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30" w:history="1">
        <w:r w:rsidRPr="00CC53E5">
          <w:rPr>
            <w:rStyle w:val="Hyperlink"/>
            <w:noProof/>
          </w:rPr>
          <w:t>2.1.747</w:t>
        </w:r>
        <w:r>
          <w:rPr>
            <w:rFonts w:asciiTheme="minorHAnsi" w:eastAsiaTheme="minorEastAsia" w:hAnsiTheme="minorHAnsi" w:cstheme="minorBidi"/>
            <w:noProof/>
            <w:sz w:val="22"/>
            <w:szCs w:val="22"/>
          </w:rPr>
          <w:tab/>
        </w:r>
        <w:r w:rsidRPr="00CC53E5">
          <w:rPr>
            <w:rStyle w:val="Hyperlink"/>
            <w:noProof/>
          </w:rPr>
          <w:t>Part 1 Section 18.10.1.16, colHierarchyUsage (Column OLAP Hierarchies)</w:t>
        </w:r>
        <w:r>
          <w:rPr>
            <w:noProof/>
            <w:webHidden/>
          </w:rPr>
          <w:tab/>
        </w:r>
        <w:r>
          <w:rPr>
            <w:noProof/>
            <w:webHidden/>
          </w:rPr>
          <w:fldChar w:fldCharType="begin"/>
        </w:r>
        <w:r>
          <w:rPr>
            <w:noProof/>
            <w:webHidden/>
          </w:rPr>
          <w:instrText xml:space="preserve"> PAGEREF _Toc69878530 \h </w:instrText>
        </w:r>
        <w:r>
          <w:rPr>
            <w:noProof/>
            <w:webHidden/>
          </w:rPr>
        </w:r>
        <w:r>
          <w:rPr>
            <w:noProof/>
            <w:webHidden/>
          </w:rPr>
          <w:fldChar w:fldCharType="separate"/>
        </w:r>
        <w:r>
          <w:rPr>
            <w:noProof/>
            <w:webHidden/>
          </w:rPr>
          <w:t>334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31" w:history="1">
        <w:r w:rsidRPr="00CC53E5">
          <w:rPr>
            <w:rStyle w:val="Hyperlink"/>
            <w:noProof/>
          </w:rPr>
          <w:t>2.1.748</w:t>
        </w:r>
        <w:r>
          <w:rPr>
            <w:rFonts w:asciiTheme="minorHAnsi" w:eastAsiaTheme="minorEastAsia" w:hAnsiTheme="minorHAnsi" w:cstheme="minorBidi"/>
            <w:noProof/>
            <w:sz w:val="22"/>
            <w:szCs w:val="22"/>
          </w:rPr>
          <w:tab/>
        </w:r>
        <w:r w:rsidRPr="00CC53E5">
          <w:rPr>
            <w:rStyle w:val="Hyperlink"/>
            <w:noProof/>
          </w:rPr>
          <w:t>Part 1 Section 18.10.1.17, colItems (Column Items)</w:t>
        </w:r>
        <w:r>
          <w:rPr>
            <w:noProof/>
            <w:webHidden/>
          </w:rPr>
          <w:tab/>
        </w:r>
        <w:r>
          <w:rPr>
            <w:noProof/>
            <w:webHidden/>
          </w:rPr>
          <w:fldChar w:fldCharType="begin"/>
        </w:r>
        <w:r>
          <w:rPr>
            <w:noProof/>
            <w:webHidden/>
          </w:rPr>
          <w:instrText xml:space="preserve"> PAGEREF _Toc69878531 \h </w:instrText>
        </w:r>
        <w:r>
          <w:rPr>
            <w:noProof/>
            <w:webHidden/>
          </w:rPr>
        </w:r>
        <w:r>
          <w:rPr>
            <w:noProof/>
            <w:webHidden/>
          </w:rPr>
          <w:fldChar w:fldCharType="separate"/>
        </w:r>
        <w:r>
          <w:rPr>
            <w:noProof/>
            <w:webHidden/>
          </w:rPr>
          <w:t>334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32" w:history="1">
        <w:r w:rsidRPr="00CC53E5">
          <w:rPr>
            <w:rStyle w:val="Hyperlink"/>
            <w:noProof/>
          </w:rPr>
          <w:t>2.1.749</w:t>
        </w:r>
        <w:r>
          <w:rPr>
            <w:rFonts w:asciiTheme="minorHAnsi" w:eastAsiaTheme="minorEastAsia" w:hAnsiTheme="minorHAnsi" w:cstheme="minorBidi"/>
            <w:noProof/>
            <w:sz w:val="22"/>
            <w:szCs w:val="22"/>
          </w:rPr>
          <w:tab/>
        </w:r>
        <w:r w:rsidRPr="00CC53E5">
          <w:rPr>
            <w:rStyle w:val="Hyperlink"/>
            <w:noProof/>
          </w:rPr>
          <w:t>Part 1 Section 18.10.1.18, conditionalFormat (Conditional Formatting)</w:t>
        </w:r>
        <w:r>
          <w:rPr>
            <w:noProof/>
            <w:webHidden/>
          </w:rPr>
          <w:tab/>
        </w:r>
        <w:r>
          <w:rPr>
            <w:noProof/>
            <w:webHidden/>
          </w:rPr>
          <w:fldChar w:fldCharType="begin"/>
        </w:r>
        <w:r>
          <w:rPr>
            <w:noProof/>
            <w:webHidden/>
          </w:rPr>
          <w:instrText xml:space="preserve"> PAGEREF _Toc69878532 \h </w:instrText>
        </w:r>
        <w:r>
          <w:rPr>
            <w:noProof/>
            <w:webHidden/>
          </w:rPr>
        </w:r>
        <w:r>
          <w:rPr>
            <w:noProof/>
            <w:webHidden/>
          </w:rPr>
          <w:fldChar w:fldCharType="separate"/>
        </w:r>
        <w:r>
          <w:rPr>
            <w:noProof/>
            <w:webHidden/>
          </w:rPr>
          <w:t>334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33" w:history="1">
        <w:r w:rsidRPr="00CC53E5">
          <w:rPr>
            <w:rStyle w:val="Hyperlink"/>
            <w:noProof/>
          </w:rPr>
          <w:t>2.1.750</w:t>
        </w:r>
        <w:r>
          <w:rPr>
            <w:rFonts w:asciiTheme="minorHAnsi" w:eastAsiaTheme="minorEastAsia" w:hAnsiTheme="minorHAnsi" w:cstheme="minorBidi"/>
            <w:noProof/>
            <w:sz w:val="22"/>
            <w:szCs w:val="22"/>
          </w:rPr>
          <w:tab/>
        </w:r>
        <w:r w:rsidRPr="00CC53E5">
          <w:rPr>
            <w:rStyle w:val="Hyperlink"/>
            <w:noProof/>
          </w:rPr>
          <w:t>Part 1 Section 18.10.1.21, d (Date Time)</w:t>
        </w:r>
        <w:r>
          <w:rPr>
            <w:noProof/>
            <w:webHidden/>
          </w:rPr>
          <w:tab/>
        </w:r>
        <w:r>
          <w:rPr>
            <w:noProof/>
            <w:webHidden/>
          </w:rPr>
          <w:fldChar w:fldCharType="begin"/>
        </w:r>
        <w:r>
          <w:rPr>
            <w:noProof/>
            <w:webHidden/>
          </w:rPr>
          <w:instrText xml:space="preserve"> PAGEREF _Toc69878533 \h </w:instrText>
        </w:r>
        <w:r>
          <w:rPr>
            <w:noProof/>
            <w:webHidden/>
          </w:rPr>
        </w:r>
        <w:r>
          <w:rPr>
            <w:noProof/>
            <w:webHidden/>
          </w:rPr>
          <w:fldChar w:fldCharType="separate"/>
        </w:r>
        <w:r>
          <w:rPr>
            <w:noProof/>
            <w:webHidden/>
          </w:rPr>
          <w:t>334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34" w:history="1">
        <w:r w:rsidRPr="00CC53E5">
          <w:rPr>
            <w:rStyle w:val="Hyperlink"/>
            <w:noProof/>
          </w:rPr>
          <w:t>2.1.751</w:t>
        </w:r>
        <w:r>
          <w:rPr>
            <w:rFonts w:asciiTheme="minorHAnsi" w:eastAsiaTheme="minorEastAsia" w:hAnsiTheme="minorHAnsi" w:cstheme="minorBidi"/>
            <w:noProof/>
            <w:sz w:val="22"/>
            <w:szCs w:val="22"/>
          </w:rPr>
          <w:tab/>
        </w:r>
        <w:r w:rsidRPr="00CC53E5">
          <w:rPr>
            <w:rStyle w:val="Hyperlink"/>
            <w:noProof/>
          </w:rPr>
          <w:t>Part 1 Section 18.10.1.22, dataField (Data Field Item)</w:t>
        </w:r>
        <w:r>
          <w:rPr>
            <w:noProof/>
            <w:webHidden/>
          </w:rPr>
          <w:tab/>
        </w:r>
        <w:r>
          <w:rPr>
            <w:noProof/>
            <w:webHidden/>
          </w:rPr>
          <w:fldChar w:fldCharType="begin"/>
        </w:r>
        <w:r>
          <w:rPr>
            <w:noProof/>
            <w:webHidden/>
          </w:rPr>
          <w:instrText xml:space="preserve"> PAGEREF _Toc69878534 \h </w:instrText>
        </w:r>
        <w:r>
          <w:rPr>
            <w:noProof/>
            <w:webHidden/>
          </w:rPr>
        </w:r>
        <w:r>
          <w:rPr>
            <w:noProof/>
            <w:webHidden/>
          </w:rPr>
          <w:fldChar w:fldCharType="separate"/>
        </w:r>
        <w:r>
          <w:rPr>
            <w:noProof/>
            <w:webHidden/>
          </w:rPr>
          <w:t>335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35" w:history="1">
        <w:r w:rsidRPr="00CC53E5">
          <w:rPr>
            <w:rStyle w:val="Hyperlink"/>
            <w:noProof/>
          </w:rPr>
          <w:t>2.1.752</w:t>
        </w:r>
        <w:r>
          <w:rPr>
            <w:rFonts w:asciiTheme="minorHAnsi" w:eastAsiaTheme="minorEastAsia" w:hAnsiTheme="minorHAnsi" w:cstheme="minorBidi"/>
            <w:noProof/>
            <w:sz w:val="22"/>
            <w:szCs w:val="22"/>
          </w:rPr>
          <w:tab/>
        </w:r>
        <w:r w:rsidRPr="00CC53E5">
          <w:rPr>
            <w:rStyle w:val="Hyperlink"/>
            <w:noProof/>
          </w:rPr>
          <w:t>Part 1 Section 18.10.1.24, dimension (OLAP Dimension)</w:t>
        </w:r>
        <w:r>
          <w:rPr>
            <w:noProof/>
            <w:webHidden/>
          </w:rPr>
          <w:tab/>
        </w:r>
        <w:r>
          <w:rPr>
            <w:noProof/>
            <w:webHidden/>
          </w:rPr>
          <w:fldChar w:fldCharType="begin"/>
        </w:r>
        <w:r>
          <w:rPr>
            <w:noProof/>
            <w:webHidden/>
          </w:rPr>
          <w:instrText xml:space="preserve"> PAGEREF _Toc69878535 \h </w:instrText>
        </w:r>
        <w:r>
          <w:rPr>
            <w:noProof/>
            <w:webHidden/>
          </w:rPr>
        </w:r>
        <w:r>
          <w:rPr>
            <w:noProof/>
            <w:webHidden/>
          </w:rPr>
          <w:fldChar w:fldCharType="separate"/>
        </w:r>
        <w:r>
          <w:rPr>
            <w:noProof/>
            <w:webHidden/>
          </w:rPr>
          <w:t>335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36" w:history="1">
        <w:r w:rsidRPr="00CC53E5">
          <w:rPr>
            <w:rStyle w:val="Hyperlink"/>
            <w:noProof/>
          </w:rPr>
          <w:t>2.1.753</w:t>
        </w:r>
        <w:r>
          <w:rPr>
            <w:rFonts w:asciiTheme="minorHAnsi" w:eastAsiaTheme="minorEastAsia" w:hAnsiTheme="minorHAnsi" w:cstheme="minorBidi"/>
            <w:noProof/>
            <w:sz w:val="22"/>
            <w:szCs w:val="22"/>
          </w:rPr>
          <w:tab/>
        </w:r>
        <w:r w:rsidRPr="00CC53E5">
          <w:rPr>
            <w:rStyle w:val="Hyperlink"/>
            <w:noProof/>
          </w:rPr>
          <w:t>Part 1 Section 18.10.1.26, discretePr (Discrete Grouping Properties)</w:t>
        </w:r>
        <w:r>
          <w:rPr>
            <w:noProof/>
            <w:webHidden/>
          </w:rPr>
          <w:tab/>
        </w:r>
        <w:r>
          <w:rPr>
            <w:noProof/>
            <w:webHidden/>
          </w:rPr>
          <w:fldChar w:fldCharType="begin"/>
        </w:r>
        <w:r>
          <w:rPr>
            <w:noProof/>
            <w:webHidden/>
          </w:rPr>
          <w:instrText xml:space="preserve"> PAGEREF _Toc69878536 \h </w:instrText>
        </w:r>
        <w:r>
          <w:rPr>
            <w:noProof/>
            <w:webHidden/>
          </w:rPr>
        </w:r>
        <w:r>
          <w:rPr>
            <w:noProof/>
            <w:webHidden/>
          </w:rPr>
          <w:fldChar w:fldCharType="separate"/>
        </w:r>
        <w:r>
          <w:rPr>
            <w:noProof/>
            <w:webHidden/>
          </w:rPr>
          <w:t>336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37" w:history="1">
        <w:r w:rsidRPr="00CC53E5">
          <w:rPr>
            <w:rStyle w:val="Hyperlink"/>
            <w:noProof/>
          </w:rPr>
          <w:t>2.1.754</w:t>
        </w:r>
        <w:r>
          <w:rPr>
            <w:rFonts w:asciiTheme="minorHAnsi" w:eastAsiaTheme="minorEastAsia" w:hAnsiTheme="minorHAnsi" w:cstheme="minorBidi"/>
            <w:noProof/>
            <w:sz w:val="22"/>
            <w:szCs w:val="22"/>
          </w:rPr>
          <w:tab/>
        </w:r>
        <w:r w:rsidRPr="00CC53E5">
          <w:rPr>
            <w:rStyle w:val="Hyperlink"/>
            <w:noProof/>
          </w:rPr>
          <w:t>Part 1 Section 18.10.1.27, e (Error Value)</w:t>
        </w:r>
        <w:r>
          <w:rPr>
            <w:noProof/>
            <w:webHidden/>
          </w:rPr>
          <w:tab/>
        </w:r>
        <w:r>
          <w:rPr>
            <w:noProof/>
            <w:webHidden/>
          </w:rPr>
          <w:fldChar w:fldCharType="begin"/>
        </w:r>
        <w:r>
          <w:rPr>
            <w:noProof/>
            <w:webHidden/>
          </w:rPr>
          <w:instrText xml:space="preserve"> PAGEREF _Toc69878537 \h </w:instrText>
        </w:r>
        <w:r>
          <w:rPr>
            <w:noProof/>
            <w:webHidden/>
          </w:rPr>
        </w:r>
        <w:r>
          <w:rPr>
            <w:noProof/>
            <w:webHidden/>
          </w:rPr>
          <w:fldChar w:fldCharType="separate"/>
        </w:r>
        <w:r>
          <w:rPr>
            <w:noProof/>
            <w:webHidden/>
          </w:rPr>
          <w:t>336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38" w:history="1">
        <w:r w:rsidRPr="00CC53E5">
          <w:rPr>
            <w:rStyle w:val="Hyperlink"/>
            <w:noProof/>
          </w:rPr>
          <w:t>2.1.755</w:t>
        </w:r>
        <w:r>
          <w:rPr>
            <w:rFonts w:asciiTheme="minorHAnsi" w:eastAsiaTheme="minorEastAsia" w:hAnsiTheme="minorHAnsi" w:cstheme="minorBidi"/>
            <w:noProof/>
            <w:sz w:val="22"/>
            <w:szCs w:val="22"/>
          </w:rPr>
          <w:tab/>
        </w:r>
        <w:r w:rsidRPr="00CC53E5">
          <w:rPr>
            <w:rStyle w:val="Hyperlink"/>
            <w:noProof/>
          </w:rPr>
          <w:t>Part 1 Section 18.10.1.29, field (Field)</w:t>
        </w:r>
        <w:r>
          <w:rPr>
            <w:noProof/>
            <w:webHidden/>
          </w:rPr>
          <w:tab/>
        </w:r>
        <w:r>
          <w:rPr>
            <w:noProof/>
            <w:webHidden/>
          </w:rPr>
          <w:fldChar w:fldCharType="begin"/>
        </w:r>
        <w:r>
          <w:rPr>
            <w:noProof/>
            <w:webHidden/>
          </w:rPr>
          <w:instrText xml:space="preserve"> PAGEREF _Toc69878538 \h </w:instrText>
        </w:r>
        <w:r>
          <w:rPr>
            <w:noProof/>
            <w:webHidden/>
          </w:rPr>
        </w:r>
        <w:r>
          <w:rPr>
            <w:noProof/>
            <w:webHidden/>
          </w:rPr>
          <w:fldChar w:fldCharType="separate"/>
        </w:r>
        <w:r>
          <w:rPr>
            <w:noProof/>
            <w:webHidden/>
          </w:rPr>
          <w:t>337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39" w:history="1">
        <w:r w:rsidRPr="00CC53E5">
          <w:rPr>
            <w:rStyle w:val="Hyperlink"/>
            <w:noProof/>
          </w:rPr>
          <w:t>2.1.756</w:t>
        </w:r>
        <w:r>
          <w:rPr>
            <w:rFonts w:asciiTheme="minorHAnsi" w:eastAsiaTheme="minorEastAsia" w:hAnsiTheme="minorHAnsi" w:cstheme="minorBidi"/>
            <w:noProof/>
            <w:sz w:val="22"/>
            <w:szCs w:val="22"/>
          </w:rPr>
          <w:tab/>
        </w:r>
        <w:r w:rsidRPr="00CC53E5">
          <w:rPr>
            <w:rStyle w:val="Hyperlink"/>
            <w:noProof/>
          </w:rPr>
          <w:t>Part 1 Section 18.10.1.30, fieldGroup (Field Group Properties)</w:t>
        </w:r>
        <w:r>
          <w:rPr>
            <w:noProof/>
            <w:webHidden/>
          </w:rPr>
          <w:tab/>
        </w:r>
        <w:r>
          <w:rPr>
            <w:noProof/>
            <w:webHidden/>
          </w:rPr>
          <w:fldChar w:fldCharType="begin"/>
        </w:r>
        <w:r>
          <w:rPr>
            <w:noProof/>
            <w:webHidden/>
          </w:rPr>
          <w:instrText xml:space="preserve"> PAGEREF _Toc69878539 \h </w:instrText>
        </w:r>
        <w:r>
          <w:rPr>
            <w:noProof/>
            <w:webHidden/>
          </w:rPr>
        </w:r>
        <w:r>
          <w:rPr>
            <w:noProof/>
            <w:webHidden/>
          </w:rPr>
          <w:fldChar w:fldCharType="separate"/>
        </w:r>
        <w:r>
          <w:rPr>
            <w:noProof/>
            <w:webHidden/>
          </w:rPr>
          <w:t>337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40" w:history="1">
        <w:r w:rsidRPr="00CC53E5">
          <w:rPr>
            <w:rStyle w:val="Hyperlink"/>
            <w:noProof/>
          </w:rPr>
          <w:t>2.1.757</w:t>
        </w:r>
        <w:r>
          <w:rPr>
            <w:rFonts w:asciiTheme="minorHAnsi" w:eastAsiaTheme="minorEastAsia" w:hAnsiTheme="minorHAnsi" w:cstheme="minorBidi"/>
            <w:noProof/>
            <w:sz w:val="22"/>
            <w:szCs w:val="22"/>
          </w:rPr>
          <w:tab/>
        </w:r>
        <w:r w:rsidRPr="00CC53E5">
          <w:rPr>
            <w:rStyle w:val="Hyperlink"/>
            <w:noProof/>
          </w:rPr>
          <w:t>Part 1 Section 18.10.1.31, fieldsUsage (Fields Usage)</w:t>
        </w:r>
        <w:r>
          <w:rPr>
            <w:noProof/>
            <w:webHidden/>
          </w:rPr>
          <w:tab/>
        </w:r>
        <w:r>
          <w:rPr>
            <w:noProof/>
            <w:webHidden/>
          </w:rPr>
          <w:fldChar w:fldCharType="begin"/>
        </w:r>
        <w:r>
          <w:rPr>
            <w:noProof/>
            <w:webHidden/>
          </w:rPr>
          <w:instrText xml:space="preserve"> PAGEREF _Toc69878540 \h </w:instrText>
        </w:r>
        <w:r>
          <w:rPr>
            <w:noProof/>
            <w:webHidden/>
          </w:rPr>
        </w:r>
        <w:r>
          <w:rPr>
            <w:noProof/>
            <w:webHidden/>
          </w:rPr>
          <w:fldChar w:fldCharType="separate"/>
        </w:r>
        <w:r>
          <w:rPr>
            <w:noProof/>
            <w:webHidden/>
          </w:rPr>
          <w:t>337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41" w:history="1">
        <w:r w:rsidRPr="00CC53E5">
          <w:rPr>
            <w:rStyle w:val="Hyperlink"/>
            <w:noProof/>
          </w:rPr>
          <w:t>2.1.758</w:t>
        </w:r>
        <w:r>
          <w:rPr>
            <w:rFonts w:asciiTheme="minorHAnsi" w:eastAsiaTheme="minorEastAsia" w:hAnsiTheme="minorHAnsi" w:cstheme="minorBidi"/>
            <w:noProof/>
            <w:sz w:val="22"/>
            <w:szCs w:val="22"/>
          </w:rPr>
          <w:tab/>
        </w:r>
        <w:r w:rsidRPr="00CC53E5">
          <w:rPr>
            <w:rStyle w:val="Hyperlink"/>
            <w:noProof/>
          </w:rPr>
          <w:t>Part 1 Section 18.10.1.32, fieldUsage (PivotCache Field Id)</w:t>
        </w:r>
        <w:r>
          <w:rPr>
            <w:noProof/>
            <w:webHidden/>
          </w:rPr>
          <w:tab/>
        </w:r>
        <w:r>
          <w:rPr>
            <w:noProof/>
            <w:webHidden/>
          </w:rPr>
          <w:fldChar w:fldCharType="begin"/>
        </w:r>
        <w:r>
          <w:rPr>
            <w:noProof/>
            <w:webHidden/>
          </w:rPr>
          <w:instrText xml:space="preserve"> PAGEREF _Toc69878541 \h </w:instrText>
        </w:r>
        <w:r>
          <w:rPr>
            <w:noProof/>
            <w:webHidden/>
          </w:rPr>
        </w:r>
        <w:r>
          <w:rPr>
            <w:noProof/>
            <w:webHidden/>
          </w:rPr>
          <w:fldChar w:fldCharType="separate"/>
        </w:r>
        <w:r>
          <w:rPr>
            <w:noProof/>
            <w:webHidden/>
          </w:rPr>
          <w:t>338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42" w:history="1">
        <w:r w:rsidRPr="00CC53E5">
          <w:rPr>
            <w:rStyle w:val="Hyperlink"/>
            <w:noProof/>
          </w:rPr>
          <w:t>2.1.759</w:t>
        </w:r>
        <w:r>
          <w:rPr>
            <w:rFonts w:asciiTheme="minorHAnsi" w:eastAsiaTheme="minorEastAsia" w:hAnsiTheme="minorHAnsi" w:cstheme="minorBidi"/>
            <w:noProof/>
            <w:sz w:val="22"/>
            <w:szCs w:val="22"/>
          </w:rPr>
          <w:tab/>
        </w:r>
        <w:r w:rsidRPr="00CC53E5">
          <w:rPr>
            <w:rStyle w:val="Hyperlink"/>
            <w:noProof/>
          </w:rPr>
          <w:t>Part 1 Section 18.10.1.33, filter (PivotTable Advanced Filter)</w:t>
        </w:r>
        <w:r>
          <w:rPr>
            <w:noProof/>
            <w:webHidden/>
          </w:rPr>
          <w:tab/>
        </w:r>
        <w:r>
          <w:rPr>
            <w:noProof/>
            <w:webHidden/>
          </w:rPr>
          <w:fldChar w:fldCharType="begin"/>
        </w:r>
        <w:r>
          <w:rPr>
            <w:noProof/>
            <w:webHidden/>
          </w:rPr>
          <w:instrText xml:space="preserve"> PAGEREF _Toc69878542 \h </w:instrText>
        </w:r>
        <w:r>
          <w:rPr>
            <w:noProof/>
            <w:webHidden/>
          </w:rPr>
        </w:r>
        <w:r>
          <w:rPr>
            <w:noProof/>
            <w:webHidden/>
          </w:rPr>
          <w:fldChar w:fldCharType="separate"/>
        </w:r>
        <w:r>
          <w:rPr>
            <w:noProof/>
            <w:webHidden/>
          </w:rPr>
          <w:t>338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43" w:history="1">
        <w:r w:rsidRPr="00CC53E5">
          <w:rPr>
            <w:rStyle w:val="Hyperlink"/>
            <w:noProof/>
          </w:rPr>
          <w:t>2.1.760</w:t>
        </w:r>
        <w:r>
          <w:rPr>
            <w:rFonts w:asciiTheme="minorHAnsi" w:eastAsiaTheme="minorEastAsia" w:hAnsiTheme="minorHAnsi" w:cstheme="minorBidi"/>
            <w:noProof/>
            <w:sz w:val="22"/>
            <w:szCs w:val="22"/>
          </w:rPr>
          <w:tab/>
        </w:r>
        <w:r w:rsidRPr="00CC53E5">
          <w:rPr>
            <w:rStyle w:val="Hyperlink"/>
            <w:noProof/>
          </w:rPr>
          <w:t>Part 1 Section 18.10.1.35, format (PivotTable Format)</w:t>
        </w:r>
        <w:r>
          <w:rPr>
            <w:noProof/>
            <w:webHidden/>
          </w:rPr>
          <w:tab/>
        </w:r>
        <w:r>
          <w:rPr>
            <w:noProof/>
            <w:webHidden/>
          </w:rPr>
          <w:fldChar w:fldCharType="begin"/>
        </w:r>
        <w:r>
          <w:rPr>
            <w:noProof/>
            <w:webHidden/>
          </w:rPr>
          <w:instrText xml:space="preserve"> PAGEREF _Toc69878543 \h </w:instrText>
        </w:r>
        <w:r>
          <w:rPr>
            <w:noProof/>
            <w:webHidden/>
          </w:rPr>
        </w:r>
        <w:r>
          <w:rPr>
            <w:noProof/>
            <w:webHidden/>
          </w:rPr>
          <w:fldChar w:fldCharType="separate"/>
        </w:r>
        <w:r>
          <w:rPr>
            <w:noProof/>
            <w:webHidden/>
          </w:rPr>
          <w:t>338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44" w:history="1">
        <w:r w:rsidRPr="00CC53E5">
          <w:rPr>
            <w:rStyle w:val="Hyperlink"/>
            <w:noProof/>
          </w:rPr>
          <w:t>2.1.761</w:t>
        </w:r>
        <w:r>
          <w:rPr>
            <w:rFonts w:asciiTheme="minorHAnsi" w:eastAsiaTheme="minorEastAsia" w:hAnsiTheme="minorHAnsi" w:cstheme="minorBidi"/>
            <w:noProof/>
            <w:sz w:val="22"/>
            <w:szCs w:val="22"/>
          </w:rPr>
          <w:tab/>
        </w:r>
        <w:r w:rsidRPr="00CC53E5">
          <w:rPr>
            <w:rStyle w:val="Hyperlink"/>
            <w:noProof/>
          </w:rPr>
          <w:t>Part 1 Section 18.10.1.37, group (OLAP Group)</w:t>
        </w:r>
        <w:r>
          <w:rPr>
            <w:noProof/>
            <w:webHidden/>
          </w:rPr>
          <w:tab/>
        </w:r>
        <w:r>
          <w:rPr>
            <w:noProof/>
            <w:webHidden/>
          </w:rPr>
          <w:fldChar w:fldCharType="begin"/>
        </w:r>
        <w:r>
          <w:rPr>
            <w:noProof/>
            <w:webHidden/>
          </w:rPr>
          <w:instrText xml:space="preserve"> PAGEREF _Toc69878544 \h </w:instrText>
        </w:r>
        <w:r>
          <w:rPr>
            <w:noProof/>
            <w:webHidden/>
          </w:rPr>
        </w:r>
        <w:r>
          <w:rPr>
            <w:noProof/>
            <w:webHidden/>
          </w:rPr>
          <w:fldChar w:fldCharType="separate"/>
        </w:r>
        <w:r>
          <w:rPr>
            <w:noProof/>
            <w:webHidden/>
          </w:rPr>
          <w:t>338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45" w:history="1">
        <w:r w:rsidRPr="00CC53E5">
          <w:rPr>
            <w:rStyle w:val="Hyperlink"/>
            <w:noProof/>
          </w:rPr>
          <w:t>2.1.762</w:t>
        </w:r>
        <w:r>
          <w:rPr>
            <w:rFonts w:asciiTheme="minorHAnsi" w:eastAsiaTheme="minorEastAsia" w:hAnsiTheme="minorHAnsi" w:cstheme="minorBidi"/>
            <w:noProof/>
            <w:sz w:val="22"/>
            <w:szCs w:val="22"/>
          </w:rPr>
          <w:tab/>
        </w:r>
        <w:r w:rsidRPr="00CC53E5">
          <w:rPr>
            <w:rStyle w:val="Hyperlink"/>
            <w:noProof/>
          </w:rPr>
          <w:t>Part 1 Section 18.10.1.38, groupItems (OLAP Group Items)</w:t>
        </w:r>
        <w:r>
          <w:rPr>
            <w:noProof/>
            <w:webHidden/>
          </w:rPr>
          <w:tab/>
        </w:r>
        <w:r>
          <w:rPr>
            <w:noProof/>
            <w:webHidden/>
          </w:rPr>
          <w:fldChar w:fldCharType="begin"/>
        </w:r>
        <w:r>
          <w:rPr>
            <w:noProof/>
            <w:webHidden/>
          </w:rPr>
          <w:instrText xml:space="preserve"> PAGEREF _Toc69878545 \h </w:instrText>
        </w:r>
        <w:r>
          <w:rPr>
            <w:noProof/>
            <w:webHidden/>
          </w:rPr>
        </w:r>
        <w:r>
          <w:rPr>
            <w:noProof/>
            <w:webHidden/>
          </w:rPr>
          <w:fldChar w:fldCharType="separate"/>
        </w:r>
        <w:r>
          <w:rPr>
            <w:noProof/>
            <w:webHidden/>
          </w:rPr>
          <w:t>339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46" w:history="1">
        <w:r w:rsidRPr="00CC53E5">
          <w:rPr>
            <w:rStyle w:val="Hyperlink"/>
            <w:noProof/>
          </w:rPr>
          <w:t>2.1.763</w:t>
        </w:r>
        <w:r>
          <w:rPr>
            <w:rFonts w:asciiTheme="minorHAnsi" w:eastAsiaTheme="minorEastAsia" w:hAnsiTheme="minorHAnsi" w:cstheme="minorBidi"/>
            <w:noProof/>
            <w:sz w:val="22"/>
            <w:szCs w:val="22"/>
          </w:rPr>
          <w:tab/>
        </w:r>
        <w:r w:rsidRPr="00CC53E5">
          <w:rPr>
            <w:rStyle w:val="Hyperlink"/>
            <w:noProof/>
          </w:rPr>
          <w:t>Part 1 Section 18.10.1.39, groupLevel (OLAP Grouping Levels)</w:t>
        </w:r>
        <w:r>
          <w:rPr>
            <w:noProof/>
            <w:webHidden/>
          </w:rPr>
          <w:tab/>
        </w:r>
        <w:r>
          <w:rPr>
            <w:noProof/>
            <w:webHidden/>
          </w:rPr>
          <w:fldChar w:fldCharType="begin"/>
        </w:r>
        <w:r>
          <w:rPr>
            <w:noProof/>
            <w:webHidden/>
          </w:rPr>
          <w:instrText xml:space="preserve"> PAGEREF _Toc69878546 \h </w:instrText>
        </w:r>
        <w:r>
          <w:rPr>
            <w:noProof/>
            <w:webHidden/>
          </w:rPr>
        </w:r>
        <w:r>
          <w:rPr>
            <w:noProof/>
            <w:webHidden/>
          </w:rPr>
          <w:fldChar w:fldCharType="separate"/>
        </w:r>
        <w:r>
          <w:rPr>
            <w:noProof/>
            <w:webHidden/>
          </w:rPr>
          <w:t>339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47" w:history="1">
        <w:r w:rsidRPr="00CC53E5">
          <w:rPr>
            <w:rStyle w:val="Hyperlink"/>
            <w:noProof/>
          </w:rPr>
          <w:t>2.1.764</w:t>
        </w:r>
        <w:r>
          <w:rPr>
            <w:rFonts w:asciiTheme="minorHAnsi" w:eastAsiaTheme="minorEastAsia" w:hAnsiTheme="minorHAnsi" w:cstheme="minorBidi"/>
            <w:noProof/>
            <w:sz w:val="22"/>
            <w:szCs w:val="22"/>
          </w:rPr>
          <w:tab/>
        </w:r>
        <w:r w:rsidRPr="00CC53E5">
          <w:rPr>
            <w:rStyle w:val="Hyperlink"/>
            <w:noProof/>
          </w:rPr>
          <w:t>Part 1 Section 18.10.1.41, groupMember (OLAP Group Member)</w:t>
        </w:r>
        <w:r>
          <w:rPr>
            <w:noProof/>
            <w:webHidden/>
          </w:rPr>
          <w:tab/>
        </w:r>
        <w:r>
          <w:rPr>
            <w:noProof/>
            <w:webHidden/>
          </w:rPr>
          <w:fldChar w:fldCharType="begin"/>
        </w:r>
        <w:r>
          <w:rPr>
            <w:noProof/>
            <w:webHidden/>
          </w:rPr>
          <w:instrText xml:space="preserve"> PAGEREF _Toc69878547 \h </w:instrText>
        </w:r>
        <w:r>
          <w:rPr>
            <w:noProof/>
            <w:webHidden/>
          </w:rPr>
        </w:r>
        <w:r>
          <w:rPr>
            <w:noProof/>
            <w:webHidden/>
          </w:rPr>
          <w:fldChar w:fldCharType="separate"/>
        </w:r>
        <w:r>
          <w:rPr>
            <w:noProof/>
            <w:webHidden/>
          </w:rPr>
          <w:t>339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48" w:history="1">
        <w:r w:rsidRPr="00CC53E5">
          <w:rPr>
            <w:rStyle w:val="Hyperlink"/>
            <w:noProof/>
          </w:rPr>
          <w:t>2.1.765</w:t>
        </w:r>
        <w:r>
          <w:rPr>
            <w:rFonts w:asciiTheme="minorHAnsi" w:eastAsiaTheme="minorEastAsia" w:hAnsiTheme="minorHAnsi" w:cstheme="minorBidi"/>
            <w:noProof/>
            <w:sz w:val="22"/>
            <w:szCs w:val="22"/>
          </w:rPr>
          <w:tab/>
        </w:r>
        <w:r w:rsidRPr="00CC53E5">
          <w:rPr>
            <w:rStyle w:val="Hyperlink"/>
            <w:noProof/>
          </w:rPr>
          <w:t>Part 1 Section 18.10.1.44, i (Row Items)</w:t>
        </w:r>
        <w:r>
          <w:rPr>
            <w:noProof/>
            <w:webHidden/>
          </w:rPr>
          <w:tab/>
        </w:r>
        <w:r>
          <w:rPr>
            <w:noProof/>
            <w:webHidden/>
          </w:rPr>
          <w:fldChar w:fldCharType="begin"/>
        </w:r>
        <w:r>
          <w:rPr>
            <w:noProof/>
            <w:webHidden/>
          </w:rPr>
          <w:instrText xml:space="preserve"> PAGEREF _Toc69878548 \h </w:instrText>
        </w:r>
        <w:r>
          <w:rPr>
            <w:noProof/>
            <w:webHidden/>
          </w:rPr>
        </w:r>
        <w:r>
          <w:rPr>
            <w:noProof/>
            <w:webHidden/>
          </w:rPr>
          <w:fldChar w:fldCharType="separate"/>
        </w:r>
        <w:r>
          <w:rPr>
            <w:noProof/>
            <w:webHidden/>
          </w:rPr>
          <w:t>339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49" w:history="1">
        <w:r w:rsidRPr="00CC53E5">
          <w:rPr>
            <w:rStyle w:val="Hyperlink"/>
            <w:noProof/>
          </w:rPr>
          <w:t>2.1.766</w:t>
        </w:r>
        <w:r>
          <w:rPr>
            <w:rFonts w:asciiTheme="minorHAnsi" w:eastAsiaTheme="minorEastAsia" w:hAnsiTheme="minorHAnsi" w:cstheme="minorBidi"/>
            <w:noProof/>
            <w:sz w:val="22"/>
            <w:szCs w:val="22"/>
          </w:rPr>
          <w:tab/>
        </w:r>
        <w:r w:rsidRPr="00CC53E5">
          <w:rPr>
            <w:rStyle w:val="Hyperlink"/>
            <w:noProof/>
          </w:rPr>
          <w:t>Part 1 Section 18.10.1.45, item (PivotTable Field Item)</w:t>
        </w:r>
        <w:r>
          <w:rPr>
            <w:noProof/>
            <w:webHidden/>
          </w:rPr>
          <w:tab/>
        </w:r>
        <w:r>
          <w:rPr>
            <w:noProof/>
            <w:webHidden/>
          </w:rPr>
          <w:fldChar w:fldCharType="begin"/>
        </w:r>
        <w:r>
          <w:rPr>
            <w:noProof/>
            <w:webHidden/>
          </w:rPr>
          <w:instrText xml:space="preserve"> PAGEREF _Toc69878549 \h </w:instrText>
        </w:r>
        <w:r>
          <w:rPr>
            <w:noProof/>
            <w:webHidden/>
          </w:rPr>
        </w:r>
        <w:r>
          <w:rPr>
            <w:noProof/>
            <w:webHidden/>
          </w:rPr>
          <w:fldChar w:fldCharType="separate"/>
        </w:r>
        <w:r>
          <w:rPr>
            <w:noProof/>
            <w:webHidden/>
          </w:rPr>
          <w:t>340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50" w:history="1">
        <w:r w:rsidRPr="00CC53E5">
          <w:rPr>
            <w:rStyle w:val="Hyperlink"/>
            <w:noProof/>
          </w:rPr>
          <w:t>2.1.767</w:t>
        </w:r>
        <w:r>
          <w:rPr>
            <w:rFonts w:asciiTheme="minorHAnsi" w:eastAsiaTheme="minorEastAsia" w:hAnsiTheme="minorHAnsi" w:cstheme="minorBidi"/>
            <w:noProof/>
            <w:sz w:val="22"/>
            <w:szCs w:val="22"/>
          </w:rPr>
          <w:tab/>
        </w:r>
        <w:r w:rsidRPr="00CC53E5">
          <w:rPr>
            <w:rStyle w:val="Hyperlink"/>
            <w:noProof/>
          </w:rPr>
          <w:t>Part 1 Section 18.10.1.46, items (Field Items)</w:t>
        </w:r>
        <w:r>
          <w:rPr>
            <w:noProof/>
            <w:webHidden/>
          </w:rPr>
          <w:tab/>
        </w:r>
        <w:r>
          <w:rPr>
            <w:noProof/>
            <w:webHidden/>
          </w:rPr>
          <w:fldChar w:fldCharType="begin"/>
        </w:r>
        <w:r>
          <w:rPr>
            <w:noProof/>
            <w:webHidden/>
          </w:rPr>
          <w:instrText xml:space="preserve"> PAGEREF _Toc69878550 \h </w:instrText>
        </w:r>
        <w:r>
          <w:rPr>
            <w:noProof/>
            <w:webHidden/>
          </w:rPr>
        </w:r>
        <w:r>
          <w:rPr>
            <w:noProof/>
            <w:webHidden/>
          </w:rPr>
          <w:fldChar w:fldCharType="separate"/>
        </w:r>
        <w:r>
          <w:rPr>
            <w:noProof/>
            <w:webHidden/>
          </w:rPr>
          <w:t>341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51" w:history="1">
        <w:r w:rsidRPr="00CC53E5">
          <w:rPr>
            <w:rStyle w:val="Hyperlink"/>
            <w:noProof/>
          </w:rPr>
          <w:t>2.1.768</w:t>
        </w:r>
        <w:r>
          <w:rPr>
            <w:rFonts w:asciiTheme="minorHAnsi" w:eastAsiaTheme="minorEastAsia" w:hAnsiTheme="minorHAnsi" w:cstheme="minorBidi"/>
            <w:noProof/>
            <w:sz w:val="22"/>
            <w:szCs w:val="22"/>
          </w:rPr>
          <w:tab/>
        </w:r>
        <w:r w:rsidRPr="00CC53E5">
          <w:rPr>
            <w:rStyle w:val="Hyperlink"/>
            <w:noProof/>
          </w:rPr>
          <w:t>Part 1 Section 18.10.1.47, kpi (OLAP KPI)</w:t>
        </w:r>
        <w:r>
          <w:rPr>
            <w:noProof/>
            <w:webHidden/>
          </w:rPr>
          <w:tab/>
        </w:r>
        <w:r>
          <w:rPr>
            <w:noProof/>
            <w:webHidden/>
          </w:rPr>
          <w:fldChar w:fldCharType="begin"/>
        </w:r>
        <w:r>
          <w:rPr>
            <w:noProof/>
            <w:webHidden/>
          </w:rPr>
          <w:instrText xml:space="preserve"> PAGEREF _Toc69878551 \h </w:instrText>
        </w:r>
        <w:r>
          <w:rPr>
            <w:noProof/>
            <w:webHidden/>
          </w:rPr>
        </w:r>
        <w:r>
          <w:rPr>
            <w:noProof/>
            <w:webHidden/>
          </w:rPr>
          <w:fldChar w:fldCharType="separate"/>
        </w:r>
        <w:r>
          <w:rPr>
            <w:noProof/>
            <w:webHidden/>
          </w:rPr>
          <w:t>341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52" w:history="1">
        <w:r w:rsidRPr="00CC53E5">
          <w:rPr>
            <w:rStyle w:val="Hyperlink"/>
            <w:noProof/>
          </w:rPr>
          <w:t>2.1.769</w:t>
        </w:r>
        <w:r>
          <w:rPr>
            <w:rFonts w:asciiTheme="minorHAnsi" w:eastAsiaTheme="minorEastAsia" w:hAnsiTheme="minorHAnsi" w:cstheme="minorBidi"/>
            <w:noProof/>
            <w:sz w:val="22"/>
            <w:szCs w:val="22"/>
          </w:rPr>
          <w:tab/>
        </w:r>
        <w:r w:rsidRPr="00CC53E5">
          <w:rPr>
            <w:rStyle w:val="Hyperlink"/>
            <w:noProof/>
          </w:rPr>
          <w:t>Part 1 Section 18.10.1.49, location (PivotTable Location)</w:t>
        </w:r>
        <w:r>
          <w:rPr>
            <w:noProof/>
            <w:webHidden/>
          </w:rPr>
          <w:tab/>
        </w:r>
        <w:r>
          <w:rPr>
            <w:noProof/>
            <w:webHidden/>
          </w:rPr>
          <w:fldChar w:fldCharType="begin"/>
        </w:r>
        <w:r>
          <w:rPr>
            <w:noProof/>
            <w:webHidden/>
          </w:rPr>
          <w:instrText xml:space="preserve"> PAGEREF _Toc69878552 \h </w:instrText>
        </w:r>
        <w:r>
          <w:rPr>
            <w:noProof/>
            <w:webHidden/>
          </w:rPr>
        </w:r>
        <w:r>
          <w:rPr>
            <w:noProof/>
            <w:webHidden/>
          </w:rPr>
          <w:fldChar w:fldCharType="separate"/>
        </w:r>
        <w:r>
          <w:rPr>
            <w:noProof/>
            <w:webHidden/>
          </w:rPr>
          <w:t>343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53" w:history="1">
        <w:r w:rsidRPr="00CC53E5">
          <w:rPr>
            <w:rStyle w:val="Hyperlink"/>
            <w:noProof/>
          </w:rPr>
          <w:t>2.1.770</w:t>
        </w:r>
        <w:r>
          <w:rPr>
            <w:rFonts w:asciiTheme="minorHAnsi" w:eastAsiaTheme="minorEastAsia" w:hAnsiTheme="minorHAnsi" w:cstheme="minorBidi"/>
            <w:noProof/>
            <w:sz w:val="22"/>
            <w:szCs w:val="22"/>
          </w:rPr>
          <w:tab/>
        </w:r>
        <w:r w:rsidRPr="00CC53E5">
          <w:rPr>
            <w:rStyle w:val="Hyperlink"/>
            <w:noProof/>
          </w:rPr>
          <w:t>Part 1 Section 18.10.1.50, m (No Value)</w:t>
        </w:r>
        <w:r>
          <w:rPr>
            <w:noProof/>
            <w:webHidden/>
          </w:rPr>
          <w:tab/>
        </w:r>
        <w:r>
          <w:rPr>
            <w:noProof/>
            <w:webHidden/>
          </w:rPr>
          <w:fldChar w:fldCharType="begin"/>
        </w:r>
        <w:r>
          <w:rPr>
            <w:noProof/>
            <w:webHidden/>
          </w:rPr>
          <w:instrText xml:space="preserve"> PAGEREF _Toc69878553 \h </w:instrText>
        </w:r>
        <w:r>
          <w:rPr>
            <w:noProof/>
            <w:webHidden/>
          </w:rPr>
        </w:r>
        <w:r>
          <w:rPr>
            <w:noProof/>
            <w:webHidden/>
          </w:rPr>
          <w:fldChar w:fldCharType="separate"/>
        </w:r>
        <w:r>
          <w:rPr>
            <w:noProof/>
            <w:webHidden/>
          </w:rPr>
          <w:t>343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54" w:history="1">
        <w:r w:rsidRPr="00CC53E5">
          <w:rPr>
            <w:rStyle w:val="Hyperlink"/>
            <w:noProof/>
          </w:rPr>
          <w:t>2.1.771</w:t>
        </w:r>
        <w:r>
          <w:rPr>
            <w:rFonts w:asciiTheme="minorHAnsi" w:eastAsiaTheme="minorEastAsia" w:hAnsiTheme="minorHAnsi" w:cstheme="minorBidi"/>
            <w:noProof/>
            <w:sz w:val="22"/>
            <w:szCs w:val="22"/>
          </w:rPr>
          <w:tab/>
        </w:r>
        <w:r w:rsidRPr="00CC53E5">
          <w:rPr>
            <w:rStyle w:val="Hyperlink"/>
            <w:noProof/>
          </w:rPr>
          <w:t>Part 1 Section 18.10.1.51, map (OLAP Measure Group)</w:t>
        </w:r>
        <w:r>
          <w:rPr>
            <w:noProof/>
            <w:webHidden/>
          </w:rPr>
          <w:tab/>
        </w:r>
        <w:r>
          <w:rPr>
            <w:noProof/>
            <w:webHidden/>
          </w:rPr>
          <w:fldChar w:fldCharType="begin"/>
        </w:r>
        <w:r>
          <w:rPr>
            <w:noProof/>
            <w:webHidden/>
          </w:rPr>
          <w:instrText xml:space="preserve"> PAGEREF _Toc69878554 \h </w:instrText>
        </w:r>
        <w:r>
          <w:rPr>
            <w:noProof/>
            <w:webHidden/>
          </w:rPr>
        </w:r>
        <w:r>
          <w:rPr>
            <w:noProof/>
            <w:webHidden/>
          </w:rPr>
          <w:fldChar w:fldCharType="separate"/>
        </w:r>
        <w:r>
          <w:rPr>
            <w:noProof/>
            <w:webHidden/>
          </w:rPr>
          <w:t>344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55" w:history="1">
        <w:r w:rsidRPr="00CC53E5">
          <w:rPr>
            <w:rStyle w:val="Hyperlink"/>
            <w:noProof/>
          </w:rPr>
          <w:t>2.1.772</w:t>
        </w:r>
        <w:r>
          <w:rPr>
            <w:rFonts w:asciiTheme="minorHAnsi" w:eastAsiaTheme="minorEastAsia" w:hAnsiTheme="minorHAnsi" w:cstheme="minorBidi"/>
            <w:noProof/>
            <w:sz w:val="22"/>
            <w:szCs w:val="22"/>
          </w:rPr>
          <w:tab/>
        </w:r>
        <w:r w:rsidRPr="00CC53E5">
          <w:rPr>
            <w:rStyle w:val="Hyperlink"/>
            <w:noProof/>
          </w:rPr>
          <w:t>Part 1 Section 18.10.1.53, measureGroup (OLAP Measure Group)</w:t>
        </w:r>
        <w:r>
          <w:rPr>
            <w:noProof/>
            <w:webHidden/>
          </w:rPr>
          <w:tab/>
        </w:r>
        <w:r>
          <w:rPr>
            <w:noProof/>
            <w:webHidden/>
          </w:rPr>
          <w:fldChar w:fldCharType="begin"/>
        </w:r>
        <w:r>
          <w:rPr>
            <w:noProof/>
            <w:webHidden/>
          </w:rPr>
          <w:instrText xml:space="preserve"> PAGEREF _Toc69878555 \h </w:instrText>
        </w:r>
        <w:r>
          <w:rPr>
            <w:noProof/>
            <w:webHidden/>
          </w:rPr>
        </w:r>
        <w:r>
          <w:rPr>
            <w:noProof/>
            <w:webHidden/>
          </w:rPr>
          <w:fldChar w:fldCharType="separate"/>
        </w:r>
        <w:r>
          <w:rPr>
            <w:noProof/>
            <w:webHidden/>
          </w:rPr>
          <w:t>344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56" w:history="1">
        <w:r w:rsidRPr="00CC53E5">
          <w:rPr>
            <w:rStyle w:val="Hyperlink"/>
            <w:noProof/>
          </w:rPr>
          <w:t>2.1.773</w:t>
        </w:r>
        <w:r>
          <w:rPr>
            <w:rFonts w:asciiTheme="minorHAnsi" w:eastAsiaTheme="minorEastAsia" w:hAnsiTheme="minorHAnsi" w:cstheme="minorBidi"/>
            <w:noProof/>
            <w:sz w:val="22"/>
            <w:szCs w:val="22"/>
          </w:rPr>
          <w:tab/>
        </w:r>
        <w:r w:rsidRPr="00CC53E5">
          <w:rPr>
            <w:rStyle w:val="Hyperlink"/>
            <w:noProof/>
          </w:rPr>
          <w:t>Part 1 Section 18.10.1.55, member (Member)</w:t>
        </w:r>
        <w:r>
          <w:rPr>
            <w:noProof/>
            <w:webHidden/>
          </w:rPr>
          <w:tab/>
        </w:r>
        <w:r>
          <w:rPr>
            <w:noProof/>
            <w:webHidden/>
          </w:rPr>
          <w:fldChar w:fldCharType="begin"/>
        </w:r>
        <w:r>
          <w:rPr>
            <w:noProof/>
            <w:webHidden/>
          </w:rPr>
          <w:instrText xml:space="preserve"> PAGEREF _Toc69878556 \h </w:instrText>
        </w:r>
        <w:r>
          <w:rPr>
            <w:noProof/>
            <w:webHidden/>
          </w:rPr>
        </w:r>
        <w:r>
          <w:rPr>
            <w:noProof/>
            <w:webHidden/>
          </w:rPr>
          <w:fldChar w:fldCharType="separate"/>
        </w:r>
        <w:r>
          <w:rPr>
            <w:noProof/>
            <w:webHidden/>
          </w:rPr>
          <w:t>344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57" w:history="1">
        <w:r w:rsidRPr="00CC53E5">
          <w:rPr>
            <w:rStyle w:val="Hyperlink"/>
            <w:noProof/>
          </w:rPr>
          <w:t>2.1.774</w:t>
        </w:r>
        <w:r>
          <w:rPr>
            <w:rFonts w:asciiTheme="minorHAnsi" w:eastAsiaTheme="minorEastAsia" w:hAnsiTheme="minorHAnsi" w:cstheme="minorBidi"/>
            <w:noProof/>
            <w:sz w:val="22"/>
            <w:szCs w:val="22"/>
          </w:rPr>
          <w:tab/>
        </w:r>
        <w:r w:rsidRPr="00CC53E5">
          <w:rPr>
            <w:rStyle w:val="Hyperlink"/>
            <w:noProof/>
          </w:rPr>
          <w:t>Part 1 Section 18.10.1.56, members (Members)</w:t>
        </w:r>
        <w:r>
          <w:rPr>
            <w:noProof/>
            <w:webHidden/>
          </w:rPr>
          <w:tab/>
        </w:r>
        <w:r>
          <w:rPr>
            <w:noProof/>
            <w:webHidden/>
          </w:rPr>
          <w:fldChar w:fldCharType="begin"/>
        </w:r>
        <w:r>
          <w:rPr>
            <w:noProof/>
            <w:webHidden/>
          </w:rPr>
          <w:instrText xml:space="preserve"> PAGEREF _Toc69878557 \h </w:instrText>
        </w:r>
        <w:r>
          <w:rPr>
            <w:noProof/>
            <w:webHidden/>
          </w:rPr>
        </w:r>
        <w:r>
          <w:rPr>
            <w:noProof/>
            <w:webHidden/>
          </w:rPr>
          <w:fldChar w:fldCharType="separate"/>
        </w:r>
        <w:r>
          <w:rPr>
            <w:noProof/>
            <w:webHidden/>
          </w:rPr>
          <w:t>345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58" w:history="1">
        <w:r w:rsidRPr="00CC53E5">
          <w:rPr>
            <w:rStyle w:val="Hyperlink"/>
            <w:noProof/>
          </w:rPr>
          <w:t>2.1.775</w:t>
        </w:r>
        <w:r>
          <w:rPr>
            <w:rFonts w:asciiTheme="minorHAnsi" w:eastAsiaTheme="minorEastAsia" w:hAnsiTheme="minorHAnsi" w:cstheme="minorBidi"/>
            <w:noProof/>
            <w:sz w:val="22"/>
            <w:szCs w:val="22"/>
          </w:rPr>
          <w:tab/>
        </w:r>
        <w:r w:rsidRPr="00CC53E5">
          <w:rPr>
            <w:rStyle w:val="Hyperlink"/>
            <w:noProof/>
          </w:rPr>
          <w:t>Part 1 Section 18.10.1.57, mp (OLAP Member Property)</w:t>
        </w:r>
        <w:r>
          <w:rPr>
            <w:noProof/>
            <w:webHidden/>
          </w:rPr>
          <w:tab/>
        </w:r>
        <w:r>
          <w:rPr>
            <w:noProof/>
            <w:webHidden/>
          </w:rPr>
          <w:fldChar w:fldCharType="begin"/>
        </w:r>
        <w:r>
          <w:rPr>
            <w:noProof/>
            <w:webHidden/>
          </w:rPr>
          <w:instrText xml:space="preserve"> PAGEREF _Toc69878558 \h </w:instrText>
        </w:r>
        <w:r>
          <w:rPr>
            <w:noProof/>
            <w:webHidden/>
          </w:rPr>
        </w:r>
        <w:r>
          <w:rPr>
            <w:noProof/>
            <w:webHidden/>
          </w:rPr>
          <w:fldChar w:fldCharType="separate"/>
        </w:r>
        <w:r>
          <w:rPr>
            <w:noProof/>
            <w:webHidden/>
          </w:rPr>
          <w:t>345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59" w:history="1">
        <w:r w:rsidRPr="00CC53E5">
          <w:rPr>
            <w:rStyle w:val="Hyperlink"/>
            <w:noProof/>
          </w:rPr>
          <w:t>2.1.776</w:t>
        </w:r>
        <w:r>
          <w:rPr>
            <w:rFonts w:asciiTheme="minorHAnsi" w:eastAsiaTheme="minorEastAsia" w:hAnsiTheme="minorHAnsi" w:cstheme="minorBidi"/>
            <w:noProof/>
            <w:sz w:val="22"/>
            <w:szCs w:val="22"/>
          </w:rPr>
          <w:tab/>
        </w:r>
        <w:r w:rsidRPr="00CC53E5">
          <w:rPr>
            <w:rStyle w:val="Hyperlink"/>
            <w:noProof/>
          </w:rPr>
          <w:t>Part 1 Section 18.10.1.58, mpMap (Member Properties Map)</w:t>
        </w:r>
        <w:r>
          <w:rPr>
            <w:noProof/>
            <w:webHidden/>
          </w:rPr>
          <w:tab/>
        </w:r>
        <w:r>
          <w:rPr>
            <w:noProof/>
            <w:webHidden/>
          </w:rPr>
          <w:fldChar w:fldCharType="begin"/>
        </w:r>
        <w:r>
          <w:rPr>
            <w:noProof/>
            <w:webHidden/>
          </w:rPr>
          <w:instrText xml:space="preserve"> PAGEREF _Toc69878559 \h </w:instrText>
        </w:r>
        <w:r>
          <w:rPr>
            <w:noProof/>
            <w:webHidden/>
          </w:rPr>
        </w:r>
        <w:r>
          <w:rPr>
            <w:noProof/>
            <w:webHidden/>
          </w:rPr>
          <w:fldChar w:fldCharType="separate"/>
        </w:r>
        <w:r>
          <w:rPr>
            <w:noProof/>
            <w:webHidden/>
          </w:rPr>
          <w:t>346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60" w:history="1">
        <w:r w:rsidRPr="00CC53E5">
          <w:rPr>
            <w:rStyle w:val="Hyperlink"/>
            <w:noProof/>
          </w:rPr>
          <w:t>2.1.777</w:t>
        </w:r>
        <w:r>
          <w:rPr>
            <w:rFonts w:asciiTheme="minorHAnsi" w:eastAsiaTheme="minorEastAsia" w:hAnsiTheme="minorHAnsi" w:cstheme="minorBidi"/>
            <w:noProof/>
            <w:sz w:val="22"/>
            <w:szCs w:val="22"/>
          </w:rPr>
          <w:tab/>
        </w:r>
        <w:r w:rsidRPr="00CC53E5">
          <w:rPr>
            <w:rStyle w:val="Hyperlink"/>
            <w:noProof/>
          </w:rPr>
          <w:t>Part 1 Section 18.10.1.60, n (Numeric)</w:t>
        </w:r>
        <w:r>
          <w:rPr>
            <w:noProof/>
            <w:webHidden/>
          </w:rPr>
          <w:tab/>
        </w:r>
        <w:r>
          <w:rPr>
            <w:noProof/>
            <w:webHidden/>
          </w:rPr>
          <w:fldChar w:fldCharType="begin"/>
        </w:r>
        <w:r>
          <w:rPr>
            <w:noProof/>
            <w:webHidden/>
          </w:rPr>
          <w:instrText xml:space="preserve"> PAGEREF _Toc69878560 \h </w:instrText>
        </w:r>
        <w:r>
          <w:rPr>
            <w:noProof/>
            <w:webHidden/>
          </w:rPr>
        </w:r>
        <w:r>
          <w:rPr>
            <w:noProof/>
            <w:webHidden/>
          </w:rPr>
          <w:fldChar w:fldCharType="separate"/>
        </w:r>
        <w:r>
          <w:rPr>
            <w:noProof/>
            <w:webHidden/>
          </w:rPr>
          <w:t>346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61" w:history="1">
        <w:r w:rsidRPr="00CC53E5">
          <w:rPr>
            <w:rStyle w:val="Hyperlink"/>
            <w:noProof/>
          </w:rPr>
          <w:t>2.1.778</w:t>
        </w:r>
        <w:r>
          <w:rPr>
            <w:rFonts w:asciiTheme="minorHAnsi" w:eastAsiaTheme="minorEastAsia" w:hAnsiTheme="minorHAnsi" w:cstheme="minorBidi"/>
            <w:noProof/>
            <w:sz w:val="22"/>
            <w:szCs w:val="22"/>
          </w:rPr>
          <w:tab/>
        </w:r>
        <w:r w:rsidRPr="00CC53E5">
          <w:rPr>
            <w:rStyle w:val="Hyperlink"/>
            <w:noProof/>
          </w:rPr>
          <w:t>Part 1 Section 18.10.1.62, pageField (Page Field)</w:t>
        </w:r>
        <w:r>
          <w:rPr>
            <w:noProof/>
            <w:webHidden/>
          </w:rPr>
          <w:tab/>
        </w:r>
        <w:r>
          <w:rPr>
            <w:noProof/>
            <w:webHidden/>
          </w:rPr>
          <w:fldChar w:fldCharType="begin"/>
        </w:r>
        <w:r>
          <w:rPr>
            <w:noProof/>
            <w:webHidden/>
          </w:rPr>
          <w:instrText xml:space="preserve"> PAGEREF _Toc69878561 \h </w:instrText>
        </w:r>
        <w:r>
          <w:rPr>
            <w:noProof/>
            <w:webHidden/>
          </w:rPr>
        </w:r>
        <w:r>
          <w:rPr>
            <w:noProof/>
            <w:webHidden/>
          </w:rPr>
          <w:fldChar w:fldCharType="separate"/>
        </w:r>
        <w:r>
          <w:rPr>
            <w:noProof/>
            <w:webHidden/>
          </w:rPr>
          <w:t>347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62" w:history="1">
        <w:r w:rsidRPr="00CC53E5">
          <w:rPr>
            <w:rStyle w:val="Hyperlink"/>
            <w:noProof/>
          </w:rPr>
          <w:t>2.1.779</w:t>
        </w:r>
        <w:r>
          <w:rPr>
            <w:rFonts w:asciiTheme="minorHAnsi" w:eastAsiaTheme="minorEastAsia" w:hAnsiTheme="minorHAnsi" w:cstheme="minorBidi"/>
            <w:noProof/>
            <w:sz w:val="22"/>
            <w:szCs w:val="22"/>
          </w:rPr>
          <w:tab/>
        </w:r>
        <w:r w:rsidRPr="00CC53E5">
          <w:rPr>
            <w:rStyle w:val="Hyperlink"/>
            <w:noProof/>
          </w:rPr>
          <w:t>Part 1 Section 18.10.1.63, pageFields (Page Field Items)</w:t>
        </w:r>
        <w:r>
          <w:rPr>
            <w:noProof/>
            <w:webHidden/>
          </w:rPr>
          <w:tab/>
        </w:r>
        <w:r>
          <w:rPr>
            <w:noProof/>
            <w:webHidden/>
          </w:rPr>
          <w:fldChar w:fldCharType="begin"/>
        </w:r>
        <w:r>
          <w:rPr>
            <w:noProof/>
            <w:webHidden/>
          </w:rPr>
          <w:instrText xml:space="preserve"> PAGEREF _Toc69878562 \h </w:instrText>
        </w:r>
        <w:r>
          <w:rPr>
            <w:noProof/>
            <w:webHidden/>
          </w:rPr>
        </w:r>
        <w:r>
          <w:rPr>
            <w:noProof/>
            <w:webHidden/>
          </w:rPr>
          <w:fldChar w:fldCharType="separate"/>
        </w:r>
        <w:r>
          <w:rPr>
            <w:noProof/>
            <w:webHidden/>
          </w:rPr>
          <w:t>348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63" w:history="1">
        <w:r w:rsidRPr="00CC53E5">
          <w:rPr>
            <w:rStyle w:val="Hyperlink"/>
            <w:noProof/>
          </w:rPr>
          <w:t>2.1.780</w:t>
        </w:r>
        <w:r>
          <w:rPr>
            <w:rFonts w:asciiTheme="minorHAnsi" w:eastAsiaTheme="minorEastAsia" w:hAnsiTheme="minorHAnsi" w:cstheme="minorBidi"/>
            <w:noProof/>
            <w:sz w:val="22"/>
            <w:szCs w:val="22"/>
          </w:rPr>
          <w:tab/>
        </w:r>
        <w:r w:rsidRPr="00CC53E5">
          <w:rPr>
            <w:rStyle w:val="Hyperlink"/>
            <w:noProof/>
          </w:rPr>
          <w:t>Part 1 Section 18.10.1.64, pageItem (Page Item)</w:t>
        </w:r>
        <w:r>
          <w:rPr>
            <w:noProof/>
            <w:webHidden/>
          </w:rPr>
          <w:tab/>
        </w:r>
        <w:r>
          <w:rPr>
            <w:noProof/>
            <w:webHidden/>
          </w:rPr>
          <w:fldChar w:fldCharType="begin"/>
        </w:r>
        <w:r>
          <w:rPr>
            <w:noProof/>
            <w:webHidden/>
          </w:rPr>
          <w:instrText xml:space="preserve"> PAGEREF _Toc69878563 \h </w:instrText>
        </w:r>
        <w:r>
          <w:rPr>
            <w:noProof/>
            <w:webHidden/>
          </w:rPr>
        </w:r>
        <w:r>
          <w:rPr>
            <w:noProof/>
            <w:webHidden/>
          </w:rPr>
          <w:fldChar w:fldCharType="separate"/>
        </w:r>
        <w:r>
          <w:rPr>
            <w:noProof/>
            <w:webHidden/>
          </w:rPr>
          <w:t>348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64" w:history="1">
        <w:r w:rsidRPr="00CC53E5">
          <w:rPr>
            <w:rStyle w:val="Hyperlink"/>
            <w:noProof/>
          </w:rPr>
          <w:t>2.1.781</w:t>
        </w:r>
        <w:r>
          <w:rPr>
            <w:rFonts w:asciiTheme="minorHAnsi" w:eastAsiaTheme="minorEastAsia" w:hAnsiTheme="minorHAnsi" w:cstheme="minorBidi"/>
            <w:noProof/>
            <w:sz w:val="22"/>
            <w:szCs w:val="22"/>
          </w:rPr>
          <w:tab/>
        </w:r>
        <w:r w:rsidRPr="00CC53E5">
          <w:rPr>
            <w:rStyle w:val="Hyperlink"/>
            <w:noProof/>
          </w:rPr>
          <w:t>Part 1 Section 18.10.1.67, pivotCacheDefinition (PivotCache Definition)</w:t>
        </w:r>
        <w:r>
          <w:rPr>
            <w:noProof/>
            <w:webHidden/>
          </w:rPr>
          <w:tab/>
        </w:r>
        <w:r>
          <w:rPr>
            <w:noProof/>
            <w:webHidden/>
          </w:rPr>
          <w:fldChar w:fldCharType="begin"/>
        </w:r>
        <w:r>
          <w:rPr>
            <w:noProof/>
            <w:webHidden/>
          </w:rPr>
          <w:instrText xml:space="preserve"> PAGEREF _Toc69878564 \h </w:instrText>
        </w:r>
        <w:r>
          <w:rPr>
            <w:noProof/>
            <w:webHidden/>
          </w:rPr>
        </w:r>
        <w:r>
          <w:rPr>
            <w:noProof/>
            <w:webHidden/>
          </w:rPr>
          <w:fldChar w:fldCharType="separate"/>
        </w:r>
        <w:r>
          <w:rPr>
            <w:noProof/>
            <w:webHidden/>
          </w:rPr>
          <w:t>348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65" w:history="1">
        <w:r w:rsidRPr="00CC53E5">
          <w:rPr>
            <w:rStyle w:val="Hyperlink"/>
            <w:noProof/>
          </w:rPr>
          <w:t>2.1.782</w:t>
        </w:r>
        <w:r>
          <w:rPr>
            <w:rFonts w:asciiTheme="minorHAnsi" w:eastAsiaTheme="minorEastAsia" w:hAnsiTheme="minorHAnsi" w:cstheme="minorBidi"/>
            <w:noProof/>
            <w:sz w:val="22"/>
            <w:szCs w:val="22"/>
          </w:rPr>
          <w:tab/>
        </w:r>
        <w:r w:rsidRPr="00CC53E5">
          <w:rPr>
            <w:rStyle w:val="Hyperlink"/>
            <w:noProof/>
          </w:rPr>
          <w:t>Part 1 Section 18.10.1.69, pivotField (PivotTable Field)</w:t>
        </w:r>
        <w:r>
          <w:rPr>
            <w:noProof/>
            <w:webHidden/>
          </w:rPr>
          <w:tab/>
        </w:r>
        <w:r>
          <w:rPr>
            <w:noProof/>
            <w:webHidden/>
          </w:rPr>
          <w:fldChar w:fldCharType="begin"/>
        </w:r>
        <w:r>
          <w:rPr>
            <w:noProof/>
            <w:webHidden/>
          </w:rPr>
          <w:instrText xml:space="preserve"> PAGEREF _Toc69878565 \h </w:instrText>
        </w:r>
        <w:r>
          <w:rPr>
            <w:noProof/>
            <w:webHidden/>
          </w:rPr>
        </w:r>
        <w:r>
          <w:rPr>
            <w:noProof/>
            <w:webHidden/>
          </w:rPr>
          <w:fldChar w:fldCharType="separate"/>
        </w:r>
        <w:r>
          <w:rPr>
            <w:noProof/>
            <w:webHidden/>
          </w:rPr>
          <w:t>349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66" w:history="1">
        <w:r w:rsidRPr="00CC53E5">
          <w:rPr>
            <w:rStyle w:val="Hyperlink"/>
            <w:noProof/>
          </w:rPr>
          <w:t>2.1.783</w:t>
        </w:r>
        <w:r>
          <w:rPr>
            <w:rFonts w:asciiTheme="minorHAnsi" w:eastAsiaTheme="minorEastAsia" w:hAnsiTheme="minorHAnsi" w:cstheme="minorBidi"/>
            <w:noProof/>
            <w:sz w:val="22"/>
            <w:szCs w:val="22"/>
          </w:rPr>
          <w:tab/>
        </w:r>
        <w:r w:rsidRPr="00CC53E5">
          <w:rPr>
            <w:rStyle w:val="Hyperlink"/>
            <w:noProof/>
          </w:rPr>
          <w:t>Part 1 Section 18.10.1.70, pivotFields (PivotTable Fields)</w:t>
        </w:r>
        <w:r>
          <w:rPr>
            <w:noProof/>
            <w:webHidden/>
          </w:rPr>
          <w:tab/>
        </w:r>
        <w:r>
          <w:rPr>
            <w:noProof/>
            <w:webHidden/>
          </w:rPr>
          <w:fldChar w:fldCharType="begin"/>
        </w:r>
        <w:r>
          <w:rPr>
            <w:noProof/>
            <w:webHidden/>
          </w:rPr>
          <w:instrText xml:space="preserve"> PAGEREF _Toc69878566 \h </w:instrText>
        </w:r>
        <w:r>
          <w:rPr>
            <w:noProof/>
            <w:webHidden/>
          </w:rPr>
        </w:r>
        <w:r>
          <w:rPr>
            <w:noProof/>
            <w:webHidden/>
          </w:rPr>
          <w:fldChar w:fldCharType="separate"/>
        </w:r>
        <w:r>
          <w:rPr>
            <w:noProof/>
            <w:webHidden/>
          </w:rPr>
          <w:t>353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67" w:history="1">
        <w:r w:rsidRPr="00CC53E5">
          <w:rPr>
            <w:rStyle w:val="Hyperlink"/>
            <w:noProof/>
          </w:rPr>
          <w:t>2.1.784</w:t>
        </w:r>
        <w:r>
          <w:rPr>
            <w:rFonts w:asciiTheme="minorHAnsi" w:eastAsiaTheme="minorEastAsia" w:hAnsiTheme="minorHAnsi" w:cstheme="minorBidi"/>
            <w:noProof/>
            <w:sz w:val="22"/>
            <w:szCs w:val="22"/>
          </w:rPr>
          <w:tab/>
        </w:r>
        <w:r w:rsidRPr="00CC53E5">
          <w:rPr>
            <w:rStyle w:val="Hyperlink"/>
            <w:noProof/>
          </w:rPr>
          <w:t>Part 1 Section 18.10.1.71, pivotHierarchies (PivotTable OLAP Hierarchies)</w:t>
        </w:r>
        <w:r>
          <w:rPr>
            <w:noProof/>
            <w:webHidden/>
          </w:rPr>
          <w:tab/>
        </w:r>
        <w:r>
          <w:rPr>
            <w:noProof/>
            <w:webHidden/>
          </w:rPr>
          <w:fldChar w:fldCharType="begin"/>
        </w:r>
        <w:r>
          <w:rPr>
            <w:noProof/>
            <w:webHidden/>
          </w:rPr>
          <w:instrText xml:space="preserve"> PAGEREF _Toc69878567 \h </w:instrText>
        </w:r>
        <w:r>
          <w:rPr>
            <w:noProof/>
            <w:webHidden/>
          </w:rPr>
        </w:r>
        <w:r>
          <w:rPr>
            <w:noProof/>
            <w:webHidden/>
          </w:rPr>
          <w:fldChar w:fldCharType="separate"/>
        </w:r>
        <w:r>
          <w:rPr>
            <w:noProof/>
            <w:webHidden/>
          </w:rPr>
          <w:t>353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68" w:history="1">
        <w:r w:rsidRPr="00CC53E5">
          <w:rPr>
            <w:rStyle w:val="Hyperlink"/>
            <w:noProof/>
          </w:rPr>
          <w:t>2.1.785</w:t>
        </w:r>
        <w:r>
          <w:rPr>
            <w:rFonts w:asciiTheme="minorHAnsi" w:eastAsiaTheme="minorEastAsia" w:hAnsiTheme="minorHAnsi" w:cstheme="minorBidi"/>
            <w:noProof/>
            <w:sz w:val="22"/>
            <w:szCs w:val="22"/>
          </w:rPr>
          <w:tab/>
        </w:r>
        <w:r w:rsidRPr="00CC53E5">
          <w:rPr>
            <w:rStyle w:val="Hyperlink"/>
            <w:noProof/>
          </w:rPr>
          <w:t>Part 1 Section 18.10.1.72, pivotHierarchy (OLAP Hierarchy)</w:t>
        </w:r>
        <w:r>
          <w:rPr>
            <w:noProof/>
            <w:webHidden/>
          </w:rPr>
          <w:tab/>
        </w:r>
        <w:r>
          <w:rPr>
            <w:noProof/>
            <w:webHidden/>
          </w:rPr>
          <w:fldChar w:fldCharType="begin"/>
        </w:r>
        <w:r>
          <w:rPr>
            <w:noProof/>
            <w:webHidden/>
          </w:rPr>
          <w:instrText xml:space="preserve"> PAGEREF _Toc69878568 \h </w:instrText>
        </w:r>
        <w:r>
          <w:rPr>
            <w:noProof/>
            <w:webHidden/>
          </w:rPr>
        </w:r>
        <w:r>
          <w:rPr>
            <w:noProof/>
            <w:webHidden/>
          </w:rPr>
          <w:fldChar w:fldCharType="separate"/>
        </w:r>
        <w:r>
          <w:rPr>
            <w:noProof/>
            <w:webHidden/>
          </w:rPr>
          <w:t>353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69" w:history="1">
        <w:r w:rsidRPr="00CC53E5">
          <w:rPr>
            <w:rStyle w:val="Hyperlink"/>
            <w:noProof/>
          </w:rPr>
          <w:t>2.1.786</w:t>
        </w:r>
        <w:r>
          <w:rPr>
            <w:rFonts w:asciiTheme="minorHAnsi" w:eastAsiaTheme="minorEastAsia" w:hAnsiTheme="minorHAnsi" w:cstheme="minorBidi"/>
            <w:noProof/>
            <w:sz w:val="22"/>
            <w:szCs w:val="22"/>
          </w:rPr>
          <w:tab/>
        </w:r>
        <w:r w:rsidRPr="00CC53E5">
          <w:rPr>
            <w:rStyle w:val="Hyperlink"/>
            <w:noProof/>
          </w:rPr>
          <w:t>Part 1 Section 18.10.1.73, pivotTableDefinition (PivotTable Definition)</w:t>
        </w:r>
        <w:r>
          <w:rPr>
            <w:noProof/>
            <w:webHidden/>
          </w:rPr>
          <w:tab/>
        </w:r>
        <w:r>
          <w:rPr>
            <w:noProof/>
            <w:webHidden/>
          </w:rPr>
          <w:fldChar w:fldCharType="begin"/>
        </w:r>
        <w:r>
          <w:rPr>
            <w:noProof/>
            <w:webHidden/>
          </w:rPr>
          <w:instrText xml:space="preserve"> PAGEREF _Toc69878569 \h </w:instrText>
        </w:r>
        <w:r>
          <w:rPr>
            <w:noProof/>
            <w:webHidden/>
          </w:rPr>
        </w:r>
        <w:r>
          <w:rPr>
            <w:noProof/>
            <w:webHidden/>
          </w:rPr>
          <w:fldChar w:fldCharType="separate"/>
        </w:r>
        <w:r>
          <w:rPr>
            <w:noProof/>
            <w:webHidden/>
          </w:rPr>
          <w:t>354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70" w:history="1">
        <w:r w:rsidRPr="00CC53E5">
          <w:rPr>
            <w:rStyle w:val="Hyperlink"/>
            <w:noProof/>
          </w:rPr>
          <w:t>2.1.787</w:t>
        </w:r>
        <w:r>
          <w:rPr>
            <w:rFonts w:asciiTheme="minorHAnsi" w:eastAsiaTheme="minorEastAsia" w:hAnsiTheme="minorHAnsi" w:cstheme="minorBidi"/>
            <w:noProof/>
            <w:sz w:val="22"/>
            <w:szCs w:val="22"/>
          </w:rPr>
          <w:tab/>
        </w:r>
        <w:r w:rsidRPr="00CC53E5">
          <w:rPr>
            <w:rStyle w:val="Hyperlink"/>
            <w:noProof/>
          </w:rPr>
          <w:t>Part 1 Section 18.10.1.74, pivotTableStyleInfo (PivotTable Style)</w:t>
        </w:r>
        <w:r>
          <w:rPr>
            <w:noProof/>
            <w:webHidden/>
          </w:rPr>
          <w:tab/>
        </w:r>
        <w:r>
          <w:rPr>
            <w:noProof/>
            <w:webHidden/>
          </w:rPr>
          <w:fldChar w:fldCharType="begin"/>
        </w:r>
        <w:r>
          <w:rPr>
            <w:noProof/>
            <w:webHidden/>
          </w:rPr>
          <w:instrText xml:space="preserve"> PAGEREF _Toc69878570 \h </w:instrText>
        </w:r>
        <w:r>
          <w:rPr>
            <w:noProof/>
            <w:webHidden/>
          </w:rPr>
        </w:r>
        <w:r>
          <w:rPr>
            <w:noProof/>
            <w:webHidden/>
          </w:rPr>
          <w:fldChar w:fldCharType="separate"/>
        </w:r>
        <w:r>
          <w:rPr>
            <w:noProof/>
            <w:webHidden/>
          </w:rPr>
          <w:t>356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71" w:history="1">
        <w:r w:rsidRPr="00CC53E5">
          <w:rPr>
            <w:rStyle w:val="Hyperlink"/>
            <w:noProof/>
          </w:rPr>
          <w:t>2.1.788</w:t>
        </w:r>
        <w:r>
          <w:rPr>
            <w:rFonts w:asciiTheme="minorHAnsi" w:eastAsiaTheme="minorEastAsia" w:hAnsiTheme="minorHAnsi" w:cstheme="minorBidi"/>
            <w:noProof/>
            <w:sz w:val="22"/>
            <w:szCs w:val="22"/>
          </w:rPr>
          <w:tab/>
        </w:r>
        <w:r w:rsidRPr="00CC53E5">
          <w:rPr>
            <w:rStyle w:val="Hyperlink"/>
            <w:noProof/>
          </w:rPr>
          <w:t>Part 1 Section 18.10.1.75, query (Query)</w:t>
        </w:r>
        <w:r>
          <w:rPr>
            <w:noProof/>
            <w:webHidden/>
          </w:rPr>
          <w:tab/>
        </w:r>
        <w:r>
          <w:rPr>
            <w:noProof/>
            <w:webHidden/>
          </w:rPr>
          <w:fldChar w:fldCharType="begin"/>
        </w:r>
        <w:r>
          <w:rPr>
            <w:noProof/>
            <w:webHidden/>
          </w:rPr>
          <w:instrText xml:space="preserve"> PAGEREF _Toc69878571 \h </w:instrText>
        </w:r>
        <w:r>
          <w:rPr>
            <w:noProof/>
            <w:webHidden/>
          </w:rPr>
        </w:r>
        <w:r>
          <w:rPr>
            <w:noProof/>
            <w:webHidden/>
          </w:rPr>
          <w:fldChar w:fldCharType="separate"/>
        </w:r>
        <w:r>
          <w:rPr>
            <w:noProof/>
            <w:webHidden/>
          </w:rPr>
          <w:t>357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72" w:history="1">
        <w:r w:rsidRPr="00CC53E5">
          <w:rPr>
            <w:rStyle w:val="Hyperlink"/>
            <w:noProof/>
          </w:rPr>
          <w:t>2.1.789</w:t>
        </w:r>
        <w:r>
          <w:rPr>
            <w:rFonts w:asciiTheme="minorHAnsi" w:eastAsiaTheme="minorEastAsia" w:hAnsiTheme="minorHAnsi" w:cstheme="minorBidi"/>
            <w:noProof/>
            <w:sz w:val="22"/>
            <w:szCs w:val="22"/>
          </w:rPr>
          <w:tab/>
        </w:r>
        <w:r w:rsidRPr="00CC53E5">
          <w:rPr>
            <w:rStyle w:val="Hyperlink"/>
            <w:noProof/>
          </w:rPr>
          <w:t>Part 1 Section 18.10.1.77, r (PivotCache Record)</w:t>
        </w:r>
        <w:r>
          <w:rPr>
            <w:noProof/>
            <w:webHidden/>
          </w:rPr>
          <w:tab/>
        </w:r>
        <w:r>
          <w:rPr>
            <w:noProof/>
            <w:webHidden/>
          </w:rPr>
          <w:fldChar w:fldCharType="begin"/>
        </w:r>
        <w:r>
          <w:rPr>
            <w:noProof/>
            <w:webHidden/>
          </w:rPr>
          <w:instrText xml:space="preserve"> PAGEREF _Toc69878572 \h </w:instrText>
        </w:r>
        <w:r>
          <w:rPr>
            <w:noProof/>
            <w:webHidden/>
          </w:rPr>
        </w:r>
        <w:r>
          <w:rPr>
            <w:noProof/>
            <w:webHidden/>
          </w:rPr>
          <w:fldChar w:fldCharType="separate"/>
        </w:r>
        <w:r>
          <w:rPr>
            <w:noProof/>
            <w:webHidden/>
          </w:rPr>
          <w:t>357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73" w:history="1">
        <w:r w:rsidRPr="00CC53E5">
          <w:rPr>
            <w:rStyle w:val="Hyperlink"/>
            <w:noProof/>
          </w:rPr>
          <w:t>2.1.790</w:t>
        </w:r>
        <w:r>
          <w:rPr>
            <w:rFonts w:asciiTheme="minorHAnsi" w:eastAsiaTheme="minorEastAsia" w:hAnsiTheme="minorHAnsi" w:cstheme="minorBidi"/>
            <w:noProof/>
            <w:sz w:val="22"/>
            <w:szCs w:val="22"/>
          </w:rPr>
          <w:tab/>
        </w:r>
        <w:r w:rsidRPr="00CC53E5">
          <w:rPr>
            <w:rStyle w:val="Hyperlink"/>
            <w:noProof/>
          </w:rPr>
          <w:t>Part 1 Section 18.10.1.78, rangePr (Range Grouping Properties)</w:t>
        </w:r>
        <w:r>
          <w:rPr>
            <w:noProof/>
            <w:webHidden/>
          </w:rPr>
          <w:tab/>
        </w:r>
        <w:r>
          <w:rPr>
            <w:noProof/>
            <w:webHidden/>
          </w:rPr>
          <w:fldChar w:fldCharType="begin"/>
        </w:r>
        <w:r>
          <w:rPr>
            <w:noProof/>
            <w:webHidden/>
          </w:rPr>
          <w:instrText xml:space="preserve"> PAGEREF _Toc69878573 \h </w:instrText>
        </w:r>
        <w:r>
          <w:rPr>
            <w:noProof/>
            <w:webHidden/>
          </w:rPr>
        </w:r>
        <w:r>
          <w:rPr>
            <w:noProof/>
            <w:webHidden/>
          </w:rPr>
          <w:fldChar w:fldCharType="separate"/>
        </w:r>
        <w:r>
          <w:rPr>
            <w:noProof/>
            <w:webHidden/>
          </w:rPr>
          <w:t>357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74" w:history="1">
        <w:r w:rsidRPr="00CC53E5">
          <w:rPr>
            <w:rStyle w:val="Hyperlink"/>
            <w:noProof/>
          </w:rPr>
          <w:t>2.1.791</w:t>
        </w:r>
        <w:r>
          <w:rPr>
            <w:rFonts w:asciiTheme="minorHAnsi" w:eastAsiaTheme="minorEastAsia" w:hAnsiTheme="minorHAnsi" w:cstheme="minorBidi"/>
            <w:noProof/>
            <w:sz w:val="22"/>
            <w:szCs w:val="22"/>
          </w:rPr>
          <w:tab/>
        </w:r>
        <w:r w:rsidRPr="00CC53E5">
          <w:rPr>
            <w:rStyle w:val="Hyperlink"/>
            <w:noProof/>
          </w:rPr>
          <w:t>Part 1 Section 18.10.1.79, rangeSet (Range Set)</w:t>
        </w:r>
        <w:r>
          <w:rPr>
            <w:noProof/>
            <w:webHidden/>
          </w:rPr>
          <w:tab/>
        </w:r>
        <w:r>
          <w:rPr>
            <w:noProof/>
            <w:webHidden/>
          </w:rPr>
          <w:fldChar w:fldCharType="begin"/>
        </w:r>
        <w:r>
          <w:rPr>
            <w:noProof/>
            <w:webHidden/>
          </w:rPr>
          <w:instrText xml:space="preserve"> PAGEREF _Toc69878574 \h </w:instrText>
        </w:r>
        <w:r>
          <w:rPr>
            <w:noProof/>
            <w:webHidden/>
          </w:rPr>
        </w:r>
        <w:r>
          <w:rPr>
            <w:noProof/>
            <w:webHidden/>
          </w:rPr>
          <w:fldChar w:fldCharType="separate"/>
        </w:r>
        <w:r>
          <w:rPr>
            <w:noProof/>
            <w:webHidden/>
          </w:rPr>
          <w:t>358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75" w:history="1">
        <w:r w:rsidRPr="00CC53E5">
          <w:rPr>
            <w:rStyle w:val="Hyperlink"/>
            <w:noProof/>
          </w:rPr>
          <w:t>2.1.792</w:t>
        </w:r>
        <w:r>
          <w:rPr>
            <w:rFonts w:asciiTheme="minorHAnsi" w:eastAsiaTheme="minorEastAsia" w:hAnsiTheme="minorHAnsi" w:cstheme="minorBidi"/>
            <w:noProof/>
            <w:sz w:val="22"/>
            <w:szCs w:val="22"/>
          </w:rPr>
          <w:tab/>
        </w:r>
        <w:r w:rsidRPr="00CC53E5">
          <w:rPr>
            <w:rStyle w:val="Hyperlink"/>
            <w:noProof/>
          </w:rPr>
          <w:t>Part 1 Section 18.10.1.83, rowHierarchyUsage (Row OLAP Hierarchies)</w:t>
        </w:r>
        <w:r>
          <w:rPr>
            <w:noProof/>
            <w:webHidden/>
          </w:rPr>
          <w:tab/>
        </w:r>
        <w:r>
          <w:rPr>
            <w:noProof/>
            <w:webHidden/>
          </w:rPr>
          <w:fldChar w:fldCharType="begin"/>
        </w:r>
        <w:r>
          <w:rPr>
            <w:noProof/>
            <w:webHidden/>
          </w:rPr>
          <w:instrText xml:space="preserve"> PAGEREF _Toc69878575 \h </w:instrText>
        </w:r>
        <w:r>
          <w:rPr>
            <w:noProof/>
            <w:webHidden/>
          </w:rPr>
        </w:r>
        <w:r>
          <w:rPr>
            <w:noProof/>
            <w:webHidden/>
          </w:rPr>
          <w:fldChar w:fldCharType="separate"/>
        </w:r>
        <w:r>
          <w:rPr>
            <w:noProof/>
            <w:webHidden/>
          </w:rPr>
          <w:t>359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76" w:history="1">
        <w:r w:rsidRPr="00CC53E5">
          <w:rPr>
            <w:rStyle w:val="Hyperlink"/>
            <w:noProof/>
          </w:rPr>
          <w:t>2.1.793</w:t>
        </w:r>
        <w:r>
          <w:rPr>
            <w:rFonts w:asciiTheme="minorHAnsi" w:eastAsiaTheme="minorEastAsia" w:hAnsiTheme="minorHAnsi" w:cstheme="minorBidi"/>
            <w:noProof/>
            <w:sz w:val="22"/>
            <w:szCs w:val="22"/>
          </w:rPr>
          <w:tab/>
        </w:r>
        <w:r w:rsidRPr="00CC53E5">
          <w:rPr>
            <w:rStyle w:val="Hyperlink"/>
            <w:noProof/>
          </w:rPr>
          <w:t>Part 1 Section 18.10.1.85, s (Character Value)</w:t>
        </w:r>
        <w:r>
          <w:rPr>
            <w:noProof/>
            <w:webHidden/>
          </w:rPr>
          <w:tab/>
        </w:r>
        <w:r>
          <w:rPr>
            <w:noProof/>
            <w:webHidden/>
          </w:rPr>
          <w:fldChar w:fldCharType="begin"/>
        </w:r>
        <w:r>
          <w:rPr>
            <w:noProof/>
            <w:webHidden/>
          </w:rPr>
          <w:instrText xml:space="preserve"> PAGEREF _Toc69878576 \h </w:instrText>
        </w:r>
        <w:r>
          <w:rPr>
            <w:noProof/>
            <w:webHidden/>
          </w:rPr>
        </w:r>
        <w:r>
          <w:rPr>
            <w:noProof/>
            <w:webHidden/>
          </w:rPr>
          <w:fldChar w:fldCharType="separate"/>
        </w:r>
        <w:r>
          <w:rPr>
            <w:noProof/>
            <w:webHidden/>
          </w:rPr>
          <w:t>359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77" w:history="1">
        <w:r w:rsidRPr="00CC53E5">
          <w:rPr>
            <w:rStyle w:val="Hyperlink"/>
            <w:noProof/>
          </w:rPr>
          <w:t>2.1.794</w:t>
        </w:r>
        <w:r>
          <w:rPr>
            <w:rFonts w:asciiTheme="minorHAnsi" w:eastAsiaTheme="minorEastAsia" w:hAnsiTheme="minorHAnsi" w:cstheme="minorBidi"/>
            <w:noProof/>
            <w:sz w:val="22"/>
            <w:szCs w:val="22"/>
          </w:rPr>
          <w:tab/>
        </w:r>
        <w:r w:rsidRPr="00CC53E5">
          <w:rPr>
            <w:rStyle w:val="Hyperlink"/>
            <w:noProof/>
          </w:rPr>
          <w:t>Part 1 Section 18.10.1.86, serverFormat (Server Format)</w:t>
        </w:r>
        <w:r>
          <w:rPr>
            <w:noProof/>
            <w:webHidden/>
          </w:rPr>
          <w:tab/>
        </w:r>
        <w:r>
          <w:rPr>
            <w:noProof/>
            <w:webHidden/>
          </w:rPr>
          <w:fldChar w:fldCharType="begin"/>
        </w:r>
        <w:r>
          <w:rPr>
            <w:noProof/>
            <w:webHidden/>
          </w:rPr>
          <w:instrText xml:space="preserve"> PAGEREF _Toc69878577 \h </w:instrText>
        </w:r>
        <w:r>
          <w:rPr>
            <w:noProof/>
            <w:webHidden/>
          </w:rPr>
        </w:r>
        <w:r>
          <w:rPr>
            <w:noProof/>
            <w:webHidden/>
          </w:rPr>
          <w:fldChar w:fldCharType="separate"/>
        </w:r>
        <w:r>
          <w:rPr>
            <w:noProof/>
            <w:webHidden/>
          </w:rPr>
          <w:t>360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78" w:history="1">
        <w:r w:rsidRPr="00CC53E5">
          <w:rPr>
            <w:rStyle w:val="Hyperlink"/>
            <w:noProof/>
          </w:rPr>
          <w:t>2.1.795</w:t>
        </w:r>
        <w:r>
          <w:rPr>
            <w:rFonts w:asciiTheme="minorHAnsi" w:eastAsiaTheme="minorEastAsia" w:hAnsiTheme="minorHAnsi" w:cstheme="minorBidi"/>
            <w:noProof/>
            <w:sz w:val="22"/>
            <w:szCs w:val="22"/>
          </w:rPr>
          <w:tab/>
        </w:r>
        <w:r w:rsidRPr="00CC53E5">
          <w:rPr>
            <w:rStyle w:val="Hyperlink"/>
            <w:noProof/>
          </w:rPr>
          <w:t>Part 1 Section 18.10.1.88, set (OLAP Set)</w:t>
        </w:r>
        <w:r>
          <w:rPr>
            <w:noProof/>
            <w:webHidden/>
          </w:rPr>
          <w:tab/>
        </w:r>
        <w:r>
          <w:rPr>
            <w:noProof/>
            <w:webHidden/>
          </w:rPr>
          <w:fldChar w:fldCharType="begin"/>
        </w:r>
        <w:r>
          <w:rPr>
            <w:noProof/>
            <w:webHidden/>
          </w:rPr>
          <w:instrText xml:space="preserve"> PAGEREF _Toc69878578 \h </w:instrText>
        </w:r>
        <w:r>
          <w:rPr>
            <w:noProof/>
            <w:webHidden/>
          </w:rPr>
        </w:r>
        <w:r>
          <w:rPr>
            <w:noProof/>
            <w:webHidden/>
          </w:rPr>
          <w:fldChar w:fldCharType="separate"/>
        </w:r>
        <w:r>
          <w:rPr>
            <w:noProof/>
            <w:webHidden/>
          </w:rPr>
          <w:t>367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79" w:history="1">
        <w:r w:rsidRPr="00CC53E5">
          <w:rPr>
            <w:rStyle w:val="Hyperlink"/>
            <w:noProof/>
          </w:rPr>
          <w:t>2.1.796</w:t>
        </w:r>
        <w:r>
          <w:rPr>
            <w:rFonts w:asciiTheme="minorHAnsi" w:eastAsiaTheme="minorEastAsia" w:hAnsiTheme="minorHAnsi" w:cstheme="minorBidi"/>
            <w:noProof/>
            <w:sz w:val="22"/>
            <w:szCs w:val="22"/>
          </w:rPr>
          <w:tab/>
        </w:r>
        <w:r w:rsidRPr="00CC53E5">
          <w:rPr>
            <w:rStyle w:val="Hyperlink"/>
            <w:noProof/>
          </w:rPr>
          <w:t>Part 1 Section 18.10.1.90, sharedItems (Shared Items)</w:t>
        </w:r>
        <w:r>
          <w:rPr>
            <w:noProof/>
            <w:webHidden/>
          </w:rPr>
          <w:tab/>
        </w:r>
        <w:r>
          <w:rPr>
            <w:noProof/>
            <w:webHidden/>
          </w:rPr>
          <w:fldChar w:fldCharType="begin"/>
        </w:r>
        <w:r>
          <w:rPr>
            <w:noProof/>
            <w:webHidden/>
          </w:rPr>
          <w:instrText xml:space="preserve"> PAGEREF _Toc69878579 \h </w:instrText>
        </w:r>
        <w:r>
          <w:rPr>
            <w:noProof/>
            <w:webHidden/>
          </w:rPr>
        </w:r>
        <w:r>
          <w:rPr>
            <w:noProof/>
            <w:webHidden/>
          </w:rPr>
          <w:fldChar w:fldCharType="separate"/>
        </w:r>
        <w:r>
          <w:rPr>
            <w:noProof/>
            <w:webHidden/>
          </w:rPr>
          <w:t>367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80" w:history="1">
        <w:r w:rsidRPr="00CC53E5">
          <w:rPr>
            <w:rStyle w:val="Hyperlink"/>
            <w:noProof/>
          </w:rPr>
          <w:t>2.1.797</w:t>
        </w:r>
        <w:r>
          <w:rPr>
            <w:rFonts w:asciiTheme="minorHAnsi" w:eastAsiaTheme="minorEastAsia" w:hAnsiTheme="minorHAnsi" w:cstheme="minorBidi"/>
            <w:noProof/>
            <w:sz w:val="22"/>
            <w:szCs w:val="22"/>
          </w:rPr>
          <w:tab/>
        </w:r>
        <w:r w:rsidRPr="00CC53E5">
          <w:rPr>
            <w:rStyle w:val="Hyperlink"/>
            <w:noProof/>
          </w:rPr>
          <w:t>Part 1 Section 18.10.1.91, sortByTuple (Sort By Tuple)</w:t>
        </w:r>
        <w:r>
          <w:rPr>
            <w:noProof/>
            <w:webHidden/>
          </w:rPr>
          <w:tab/>
        </w:r>
        <w:r>
          <w:rPr>
            <w:noProof/>
            <w:webHidden/>
          </w:rPr>
          <w:fldChar w:fldCharType="begin"/>
        </w:r>
        <w:r>
          <w:rPr>
            <w:noProof/>
            <w:webHidden/>
          </w:rPr>
          <w:instrText xml:space="preserve"> PAGEREF _Toc69878580 \h </w:instrText>
        </w:r>
        <w:r>
          <w:rPr>
            <w:noProof/>
            <w:webHidden/>
          </w:rPr>
        </w:r>
        <w:r>
          <w:rPr>
            <w:noProof/>
            <w:webHidden/>
          </w:rPr>
          <w:fldChar w:fldCharType="separate"/>
        </w:r>
        <w:r>
          <w:rPr>
            <w:noProof/>
            <w:webHidden/>
          </w:rPr>
          <w:t>369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81" w:history="1">
        <w:r w:rsidRPr="00CC53E5">
          <w:rPr>
            <w:rStyle w:val="Hyperlink"/>
            <w:noProof/>
          </w:rPr>
          <w:t>2.1.798</w:t>
        </w:r>
        <w:r>
          <w:rPr>
            <w:rFonts w:asciiTheme="minorHAnsi" w:eastAsiaTheme="minorEastAsia" w:hAnsiTheme="minorHAnsi" w:cstheme="minorBidi"/>
            <w:noProof/>
            <w:sz w:val="22"/>
            <w:szCs w:val="22"/>
          </w:rPr>
          <w:tab/>
        </w:r>
        <w:r w:rsidRPr="00CC53E5">
          <w:rPr>
            <w:rStyle w:val="Hyperlink"/>
            <w:noProof/>
          </w:rPr>
          <w:t>Part 1 Section 18.10.1.92, tpl (Tuple)</w:t>
        </w:r>
        <w:r>
          <w:rPr>
            <w:noProof/>
            <w:webHidden/>
          </w:rPr>
          <w:tab/>
        </w:r>
        <w:r>
          <w:rPr>
            <w:noProof/>
            <w:webHidden/>
          </w:rPr>
          <w:fldChar w:fldCharType="begin"/>
        </w:r>
        <w:r>
          <w:rPr>
            <w:noProof/>
            <w:webHidden/>
          </w:rPr>
          <w:instrText xml:space="preserve"> PAGEREF _Toc69878581 \h </w:instrText>
        </w:r>
        <w:r>
          <w:rPr>
            <w:noProof/>
            <w:webHidden/>
          </w:rPr>
        </w:r>
        <w:r>
          <w:rPr>
            <w:noProof/>
            <w:webHidden/>
          </w:rPr>
          <w:fldChar w:fldCharType="separate"/>
        </w:r>
        <w:r>
          <w:rPr>
            <w:noProof/>
            <w:webHidden/>
          </w:rPr>
          <w:t>369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82" w:history="1">
        <w:r w:rsidRPr="00CC53E5">
          <w:rPr>
            <w:rStyle w:val="Hyperlink"/>
            <w:noProof/>
          </w:rPr>
          <w:t>2.1.799</w:t>
        </w:r>
        <w:r>
          <w:rPr>
            <w:rFonts w:asciiTheme="minorHAnsi" w:eastAsiaTheme="minorEastAsia" w:hAnsiTheme="minorHAnsi" w:cstheme="minorBidi"/>
            <w:noProof/>
            <w:sz w:val="22"/>
            <w:szCs w:val="22"/>
          </w:rPr>
          <w:tab/>
        </w:r>
        <w:r w:rsidRPr="00CC53E5">
          <w:rPr>
            <w:rStyle w:val="Hyperlink"/>
            <w:noProof/>
          </w:rPr>
          <w:t>Part 1 Section 18.10.1.95, worksheetSource (Worksheet PivotCache Source)</w:t>
        </w:r>
        <w:r>
          <w:rPr>
            <w:noProof/>
            <w:webHidden/>
          </w:rPr>
          <w:tab/>
        </w:r>
        <w:r>
          <w:rPr>
            <w:noProof/>
            <w:webHidden/>
          </w:rPr>
          <w:fldChar w:fldCharType="begin"/>
        </w:r>
        <w:r>
          <w:rPr>
            <w:noProof/>
            <w:webHidden/>
          </w:rPr>
          <w:instrText xml:space="preserve"> PAGEREF _Toc69878582 \h </w:instrText>
        </w:r>
        <w:r>
          <w:rPr>
            <w:noProof/>
            <w:webHidden/>
          </w:rPr>
        </w:r>
        <w:r>
          <w:rPr>
            <w:noProof/>
            <w:webHidden/>
          </w:rPr>
          <w:fldChar w:fldCharType="separate"/>
        </w:r>
        <w:r>
          <w:rPr>
            <w:noProof/>
            <w:webHidden/>
          </w:rPr>
          <w:t>369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83" w:history="1">
        <w:r w:rsidRPr="00CC53E5">
          <w:rPr>
            <w:rStyle w:val="Hyperlink"/>
            <w:noProof/>
          </w:rPr>
          <w:t>2.1.800</w:t>
        </w:r>
        <w:r>
          <w:rPr>
            <w:rFonts w:asciiTheme="minorHAnsi" w:eastAsiaTheme="minorEastAsia" w:hAnsiTheme="minorHAnsi" w:cstheme="minorBidi"/>
            <w:noProof/>
            <w:sz w:val="22"/>
            <w:szCs w:val="22"/>
          </w:rPr>
          <w:tab/>
        </w:r>
        <w:r w:rsidRPr="00CC53E5">
          <w:rPr>
            <w:rStyle w:val="Hyperlink"/>
            <w:noProof/>
          </w:rPr>
          <w:t>Part 1 Section 18.10.1.96, x (Member Property Index)</w:t>
        </w:r>
        <w:r>
          <w:rPr>
            <w:noProof/>
            <w:webHidden/>
          </w:rPr>
          <w:tab/>
        </w:r>
        <w:r>
          <w:rPr>
            <w:noProof/>
            <w:webHidden/>
          </w:rPr>
          <w:fldChar w:fldCharType="begin"/>
        </w:r>
        <w:r>
          <w:rPr>
            <w:noProof/>
            <w:webHidden/>
          </w:rPr>
          <w:instrText xml:space="preserve"> PAGEREF _Toc69878583 \h </w:instrText>
        </w:r>
        <w:r>
          <w:rPr>
            <w:noProof/>
            <w:webHidden/>
          </w:rPr>
        </w:r>
        <w:r>
          <w:rPr>
            <w:noProof/>
            <w:webHidden/>
          </w:rPr>
          <w:fldChar w:fldCharType="separate"/>
        </w:r>
        <w:r>
          <w:rPr>
            <w:noProof/>
            <w:webHidden/>
          </w:rPr>
          <w:t>370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84" w:history="1">
        <w:r w:rsidRPr="00CC53E5">
          <w:rPr>
            <w:rStyle w:val="Hyperlink"/>
            <w:noProof/>
          </w:rPr>
          <w:t>2.1.801</w:t>
        </w:r>
        <w:r>
          <w:rPr>
            <w:rFonts w:asciiTheme="minorHAnsi" w:eastAsiaTheme="minorEastAsia" w:hAnsiTheme="minorHAnsi" w:cstheme="minorBidi"/>
            <w:noProof/>
            <w:sz w:val="22"/>
            <w:szCs w:val="22"/>
          </w:rPr>
          <w:tab/>
        </w:r>
        <w:r w:rsidRPr="00CC53E5">
          <w:rPr>
            <w:rStyle w:val="Hyperlink"/>
            <w:noProof/>
          </w:rPr>
          <w:t>Part 1 Section 18.10.1.97, x (Shared Items Index)</w:t>
        </w:r>
        <w:r>
          <w:rPr>
            <w:noProof/>
            <w:webHidden/>
          </w:rPr>
          <w:tab/>
        </w:r>
        <w:r>
          <w:rPr>
            <w:noProof/>
            <w:webHidden/>
          </w:rPr>
          <w:fldChar w:fldCharType="begin"/>
        </w:r>
        <w:r>
          <w:rPr>
            <w:noProof/>
            <w:webHidden/>
          </w:rPr>
          <w:instrText xml:space="preserve"> PAGEREF _Toc69878584 \h </w:instrText>
        </w:r>
        <w:r>
          <w:rPr>
            <w:noProof/>
            <w:webHidden/>
          </w:rPr>
        </w:r>
        <w:r>
          <w:rPr>
            <w:noProof/>
            <w:webHidden/>
          </w:rPr>
          <w:fldChar w:fldCharType="separate"/>
        </w:r>
        <w:r>
          <w:rPr>
            <w:noProof/>
            <w:webHidden/>
          </w:rPr>
          <w:t>370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85" w:history="1">
        <w:r w:rsidRPr="00CC53E5">
          <w:rPr>
            <w:rStyle w:val="Hyperlink"/>
            <w:noProof/>
          </w:rPr>
          <w:t>2.1.802</w:t>
        </w:r>
        <w:r>
          <w:rPr>
            <w:rFonts w:asciiTheme="minorHAnsi" w:eastAsiaTheme="minorEastAsia" w:hAnsiTheme="minorHAnsi" w:cstheme="minorBidi"/>
            <w:noProof/>
            <w:sz w:val="22"/>
            <w:szCs w:val="22"/>
          </w:rPr>
          <w:tab/>
        </w:r>
        <w:r w:rsidRPr="00CC53E5">
          <w:rPr>
            <w:rStyle w:val="Hyperlink"/>
            <w:noProof/>
          </w:rPr>
          <w:t>Part 1 Section 18.10.2.1, reference (Reference)</w:t>
        </w:r>
        <w:r>
          <w:rPr>
            <w:noProof/>
            <w:webHidden/>
          </w:rPr>
          <w:tab/>
        </w:r>
        <w:r>
          <w:rPr>
            <w:noProof/>
            <w:webHidden/>
          </w:rPr>
          <w:fldChar w:fldCharType="begin"/>
        </w:r>
        <w:r>
          <w:rPr>
            <w:noProof/>
            <w:webHidden/>
          </w:rPr>
          <w:instrText xml:space="preserve"> PAGEREF _Toc69878585 \h </w:instrText>
        </w:r>
        <w:r>
          <w:rPr>
            <w:noProof/>
            <w:webHidden/>
          </w:rPr>
        </w:r>
        <w:r>
          <w:rPr>
            <w:noProof/>
            <w:webHidden/>
          </w:rPr>
          <w:fldChar w:fldCharType="separate"/>
        </w:r>
        <w:r>
          <w:rPr>
            <w:noProof/>
            <w:webHidden/>
          </w:rPr>
          <w:t>370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86" w:history="1">
        <w:r w:rsidRPr="00CC53E5">
          <w:rPr>
            <w:rStyle w:val="Hyperlink"/>
            <w:noProof/>
          </w:rPr>
          <w:t>2.1.803</w:t>
        </w:r>
        <w:r>
          <w:rPr>
            <w:rFonts w:asciiTheme="minorHAnsi" w:eastAsiaTheme="minorEastAsia" w:hAnsiTheme="minorHAnsi" w:cstheme="minorBidi"/>
            <w:noProof/>
            <w:sz w:val="22"/>
            <w:szCs w:val="22"/>
          </w:rPr>
          <w:tab/>
        </w:r>
        <w:r w:rsidRPr="00CC53E5">
          <w:rPr>
            <w:rStyle w:val="Hyperlink"/>
            <w:noProof/>
          </w:rPr>
          <w:t>Part 1 Section 18.11.1.1, header (Header)</w:t>
        </w:r>
        <w:r>
          <w:rPr>
            <w:noProof/>
            <w:webHidden/>
          </w:rPr>
          <w:tab/>
        </w:r>
        <w:r>
          <w:rPr>
            <w:noProof/>
            <w:webHidden/>
          </w:rPr>
          <w:fldChar w:fldCharType="begin"/>
        </w:r>
        <w:r>
          <w:rPr>
            <w:noProof/>
            <w:webHidden/>
          </w:rPr>
          <w:instrText xml:space="preserve"> PAGEREF _Toc69878586 \h </w:instrText>
        </w:r>
        <w:r>
          <w:rPr>
            <w:noProof/>
            <w:webHidden/>
          </w:rPr>
        </w:r>
        <w:r>
          <w:rPr>
            <w:noProof/>
            <w:webHidden/>
          </w:rPr>
          <w:fldChar w:fldCharType="separate"/>
        </w:r>
        <w:r>
          <w:rPr>
            <w:noProof/>
            <w:webHidden/>
          </w:rPr>
          <w:t>371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87" w:history="1">
        <w:r w:rsidRPr="00CC53E5">
          <w:rPr>
            <w:rStyle w:val="Hyperlink"/>
            <w:noProof/>
          </w:rPr>
          <w:t>2.1.804</w:t>
        </w:r>
        <w:r>
          <w:rPr>
            <w:rFonts w:asciiTheme="minorHAnsi" w:eastAsiaTheme="minorEastAsia" w:hAnsiTheme="minorHAnsi" w:cstheme="minorBidi"/>
            <w:noProof/>
            <w:sz w:val="22"/>
            <w:szCs w:val="22"/>
          </w:rPr>
          <w:tab/>
        </w:r>
        <w:r w:rsidRPr="00CC53E5">
          <w:rPr>
            <w:rStyle w:val="Hyperlink"/>
            <w:noProof/>
          </w:rPr>
          <w:t>Part 1 Section 18.11.1.2, headers (Revision Headers)</w:t>
        </w:r>
        <w:r>
          <w:rPr>
            <w:noProof/>
            <w:webHidden/>
          </w:rPr>
          <w:tab/>
        </w:r>
        <w:r>
          <w:rPr>
            <w:noProof/>
            <w:webHidden/>
          </w:rPr>
          <w:fldChar w:fldCharType="begin"/>
        </w:r>
        <w:r>
          <w:rPr>
            <w:noProof/>
            <w:webHidden/>
          </w:rPr>
          <w:instrText xml:space="preserve"> PAGEREF _Toc69878587 \h </w:instrText>
        </w:r>
        <w:r>
          <w:rPr>
            <w:noProof/>
            <w:webHidden/>
          </w:rPr>
        </w:r>
        <w:r>
          <w:rPr>
            <w:noProof/>
            <w:webHidden/>
          </w:rPr>
          <w:fldChar w:fldCharType="separate"/>
        </w:r>
        <w:r>
          <w:rPr>
            <w:noProof/>
            <w:webHidden/>
          </w:rPr>
          <w:t>371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88" w:history="1">
        <w:r w:rsidRPr="00CC53E5">
          <w:rPr>
            <w:rStyle w:val="Hyperlink"/>
            <w:noProof/>
          </w:rPr>
          <w:t>2.1.805</w:t>
        </w:r>
        <w:r>
          <w:rPr>
            <w:rFonts w:asciiTheme="minorHAnsi" w:eastAsiaTheme="minorEastAsia" w:hAnsiTheme="minorHAnsi" w:cstheme="minorBidi"/>
            <w:noProof/>
            <w:sz w:val="22"/>
            <w:szCs w:val="22"/>
          </w:rPr>
          <w:tab/>
        </w:r>
        <w:r w:rsidRPr="00CC53E5">
          <w:rPr>
            <w:rStyle w:val="Hyperlink"/>
            <w:noProof/>
          </w:rPr>
          <w:t>Part 1 Section 18.11.1.3, nc (New Cell Data)</w:t>
        </w:r>
        <w:r>
          <w:rPr>
            <w:noProof/>
            <w:webHidden/>
          </w:rPr>
          <w:tab/>
        </w:r>
        <w:r>
          <w:rPr>
            <w:noProof/>
            <w:webHidden/>
          </w:rPr>
          <w:fldChar w:fldCharType="begin"/>
        </w:r>
        <w:r>
          <w:rPr>
            <w:noProof/>
            <w:webHidden/>
          </w:rPr>
          <w:instrText xml:space="preserve"> PAGEREF _Toc69878588 \h </w:instrText>
        </w:r>
        <w:r>
          <w:rPr>
            <w:noProof/>
            <w:webHidden/>
          </w:rPr>
        </w:r>
        <w:r>
          <w:rPr>
            <w:noProof/>
            <w:webHidden/>
          </w:rPr>
          <w:fldChar w:fldCharType="separate"/>
        </w:r>
        <w:r>
          <w:rPr>
            <w:noProof/>
            <w:webHidden/>
          </w:rPr>
          <w:t>372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89" w:history="1">
        <w:r w:rsidRPr="00CC53E5">
          <w:rPr>
            <w:rStyle w:val="Hyperlink"/>
            <w:noProof/>
          </w:rPr>
          <w:t>2.1.806</w:t>
        </w:r>
        <w:r>
          <w:rPr>
            <w:rFonts w:asciiTheme="minorHAnsi" w:eastAsiaTheme="minorEastAsia" w:hAnsiTheme="minorHAnsi" w:cstheme="minorBidi"/>
            <w:noProof/>
            <w:sz w:val="22"/>
            <w:szCs w:val="22"/>
          </w:rPr>
          <w:tab/>
        </w:r>
        <w:r w:rsidRPr="00CC53E5">
          <w:rPr>
            <w:rStyle w:val="Hyperlink"/>
            <w:noProof/>
          </w:rPr>
          <w:t>Part 1 Section 18.11.1.5, oc (Old Cell Data)</w:t>
        </w:r>
        <w:r>
          <w:rPr>
            <w:noProof/>
            <w:webHidden/>
          </w:rPr>
          <w:tab/>
        </w:r>
        <w:r>
          <w:rPr>
            <w:noProof/>
            <w:webHidden/>
          </w:rPr>
          <w:fldChar w:fldCharType="begin"/>
        </w:r>
        <w:r>
          <w:rPr>
            <w:noProof/>
            <w:webHidden/>
          </w:rPr>
          <w:instrText xml:space="preserve"> PAGEREF _Toc69878589 \h </w:instrText>
        </w:r>
        <w:r>
          <w:rPr>
            <w:noProof/>
            <w:webHidden/>
          </w:rPr>
        </w:r>
        <w:r>
          <w:rPr>
            <w:noProof/>
            <w:webHidden/>
          </w:rPr>
          <w:fldChar w:fldCharType="separate"/>
        </w:r>
        <w:r>
          <w:rPr>
            <w:noProof/>
            <w:webHidden/>
          </w:rPr>
          <w:t>372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90" w:history="1">
        <w:r w:rsidRPr="00CC53E5">
          <w:rPr>
            <w:rStyle w:val="Hyperlink"/>
            <w:noProof/>
          </w:rPr>
          <w:t>2.1.807</w:t>
        </w:r>
        <w:r>
          <w:rPr>
            <w:rFonts w:asciiTheme="minorHAnsi" w:eastAsiaTheme="minorEastAsia" w:hAnsiTheme="minorHAnsi" w:cstheme="minorBidi"/>
            <w:noProof/>
            <w:sz w:val="22"/>
            <w:szCs w:val="22"/>
          </w:rPr>
          <w:tab/>
        </w:r>
        <w:r w:rsidRPr="00CC53E5">
          <w:rPr>
            <w:rStyle w:val="Hyperlink"/>
            <w:noProof/>
          </w:rPr>
          <w:t>Part 1 Section 18.11.1.7, oldFormula (Old Formula)</w:t>
        </w:r>
        <w:r>
          <w:rPr>
            <w:noProof/>
            <w:webHidden/>
          </w:rPr>
          <w:tab/>
        </w:r>
        <w:r>
          <w:rPr>
            <w:noProof/>
            <w:webHidden/>
          </w:rPr>
          <w:fldChar w:fldCharType="begin"/>
        </w:r>
        <w:r>
          <w:rPr>
            <w:noProof/>
            <w:webHidden/>
          </w:rPr>
          <w:instrText xml:space="preserve"> PAGEREF _Toc69878590 \h </w:instrText>
        </w:r>
        <w:r>
          <w:rPr>
            <w:noProof/>
            <w:webHidden/>
          </w:rPr>
        </w:r>
        <w:r>
          <w:rPr>
            <w:noProof/>
            <w:webHidden/>
          </w:rPr>
          <w:fldChar w:fldCharType="separate"/>
        </w:r>
        <w:r>
          <w:rPr>
            <w:noProof/>
            <w:webHidden/>
          </w:rPr>
          <w:t>372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91" w:history="1">
        <w:r w:rsidRPr="00CC53E5">
          <w:rPr>
            <w:rStyle w:val="Hyperlink"/>
            <w:noProof/>
          </w:rPr>
          <w:t>2.1.808</w:t>
        </w:r>
        <w:r>
          <w:rPr>
            <w:rFonts w:asciiTheme="minorHAnsi" w:eastAsiaTheme="minorEastAsia" w:hAnsiTheme="minorHAnsi" w:cstheme="minorBidi"/>
            <w:noProof/>
            <w:sz w:val="22"/>
            <w:szCs w:val="22"/>
          </w:rPr>
          <w:tab/>
        </w:r>
        <w:r w:rsidRPr="00CC53E5">
          <w:rPr>
            <w:rStyle w:val="Hyperlink"/>
            <w:noProof/>
          </w:rPr>
          <w:t>Part 1 Section 18.11.1.8, raf (Revision AutoFormat)</w:t>
        </w:r>
        <w:r>
          <w:rPr>
            <w:noProof/>
            <w:webHidden/>
          </w:rPr>
          <w:tab/>
        </w:r>
        <w:r>
          <w:rPr>
            <w:noProof/>
            <w:webHidden/>
          </w:rPr>
          <w:fldChar w:fldCharType="begin"/>
        </w:r>
        <w:r>
          <w:rPr>
            <w:noProof/>
            <w:webHidden/>
          </w:rPr>
          <w:instrText xml:space="preserve"> PAGEREF _Toc69878591 \h </w:instrText>
        </w:r>
        <w:r>
          <w:rPr>
            <w:noProof/>
            <w:webHidden/>
          </w:rPr>
        </w:r>
        <w:r>
          <w:rPr>
            <w:noProof/>
            <w:webHidden/>
          </w:rPr>
          <w:fldChar w:fldCharType="separate"/>
        </w:r>
        <w:r>
          <w:rPr>
            <w:noProof/>
            <w:webHidden/>
          </w:rPr>
          <w:t>373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92" w:history="1">
        <w:r w:rsidRPr="00CC53E5">
          <w:rPr>
            <w:rStyle w:val="Hyperlink"/>
            <w:noProof/>
          </w:rPr>
          <w:t>2.1.809</w:t>
        </w:r>
        <w:r>
          <w:rPr>
            <w:rFonts w:asciiTheme="minorHAnsi" w:eastAsiaTheme="minorEastAsia" w:hAnsiTheme="minorHAnsi" w:cstheme="minorBidi"/>
            <w:noProof/>
            <w:sz w:val="22"/>
            <w:szCs w:val="22"/>
          </w:rPr>
          <w:tab/>
        </w:r>
        <w:r w:rsidRPr="00CC53E5">
          <w:rPr>
            <w:rStyle w:val="Hyperlink"/>
            <w:noProof/>
          </w:rPr>
          <w:t>Part 1 Section 18.11.1.9, rcc (Revision Cell Change)</w:t>
        </w:r>
        <w:r>
          <w:rPr>
            <w:noProof/>
            <w:webHidden/>
          </w:rPr>
          <w:tab/>
        </w:r>
        <w:r>
          <w:rPr>
            <w:noProof/>
            <w:webHidden/>
          </w:rPr>
          <w:fldChar w:fldCharType="begin"/>
        </w:r>
        <w:r>
          <w:rPr>
            <w:noProof/>
            <w:webHidden/>
          </w:rPr>
          <w:instrText xml:space="preserve"> PAGEREF _Toc69878592 \h </w:instrText>
        </w:r>
        <w:r>
          <w:rPr>
            <w:noProof/>
            <w:webHidden/>
          </w:rPr>
        </w:r>
        <w:r>
          <w:rPr>
            <w:noProof/>
            <w:webHidden/>
          </w:rPr>
          <w:fldChar w:fldCharType="separate"/>
        </w:r>
        <w:r>
          <w:rPr>
            <w:noProof/>
            <w:webHidden/>
          </w:rPr>
          <w:t>373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93" w:history="1">
        <w:r w:rsidRPr="00CC53E5">
          <w:rPr>
            <w:rStyle w:val="Hyperlink"/>
            <w:noProof/>
          </w:rPr>
          <w:t>2.1.810</w:t>
        </w:r>
        <w:r>
          <w:rPr>
            <w:rFonts w:asciiTheme="minorHAnsi" w:eastAsiaTheme="minorEastAsia" w:hAnsiTheme="minorHAnsi" w:cstheme="minorBidi"/>
            <w:noProof/>
            <w:sz w:val="22"/>
            <w:szCs w:val="22"/>
          </w:rPr>
          <w:tab/>
        </w:r>
        <w:r w:rsidRPr="00CC53E5">
          <w:rPr>
            <w:rStyle w:val="Hyperlink"/>
            <w:noProof/>
          </w:rPr>
          <w:t>Part 1 Section 18.11.1.10, rcft (Revision Merge Conflict)</w:t>
        </w:r>
        <w:r>
          <w:rPr>
            <w:noProof/>
            <w:webHidden/>
          </w:rPr>
          <w:tab/>
        </w:r>
        <w:r>
          <w:rPr>
            <w:noProof/>
            <w:webHidden/>
          </w:rPr>
          <w:fldChar w:fldCharType="begin"/>
        </w:r>
        <w:r>
          <w:rPr>
            <w:noProof/>
            <w:webHidden/>
          </w:rPr>
          <w:instrText xml:space="preserve"> PAGEREF _Toc69878593 \h </w:instrText>
        </w:r>
        <w:r>
          <w:rPr>
            <w:noProof/>
            <w:webHidden/>
          </w:rPr>
        </w:r>
        <w:r>
          <w:rPr>
            <w:noProof/>
            <w:webHidden/>
          </w:rPr>
          <w:fldChar w:fldCharType="separate"/>
        </w:r>
        <w:r>
          <w:rPr>
            <w:noProof/>
            <w:webHidden/>
          </w:rPr>
          <w:t>373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94" w:history="1">
        <w:r w:rsidRPr="00CC53E5">
          <w:rPr>
            <w:rStyle w:val="Hyperlink"/>
            <w:noProof/>
          </w:rPr>
          <w:t>2.1.811</w:t>
        </w:r>
        <w:r>
          <w:rPr>
            <w:rFonts w:asciiTheme="minorHAnsi" w:eastAsiaTheme="minorEastAsia" w:hAnsiTheme="minorHAnsi" w:cstheme="minorBidi"/>
            <w:noProof/>
            <w:sz w:val="22"/>
            <w:szCs w:val="22"/>
          </w:rPr>
          <w:tab/>
        </w:r>
        <w:r w:rsidRPr="00CC53E5">
          <w:rPr>
            <w:rStyle w:val="Hyperlink"/>
            <w:noProof/>
          </w:rPr>
          <w:t>Part 1 Section 18.11.1.11, rcmt (Revision Cell Comment)</w:t>
        </w:r>
        <w:r>
          <w:rPr>
            <w:noProof/>
            <w:webHidden/>
          </w:rPr>
          <w:tab/>
        </w:r>
        <w:r>
          <w:rPr>
            <w:noProof/>
            <w:webHidden/>
          </w:rPr>
          <w:fldChar w:fldCharType="begin"/>
        </w:r>
        <w:r>
          <w:rPr>
            <w:noProof/>
            <w:webHidden/>
          </w:rPr>
          <w:instrText xml:space="preserve"> PAGEREF _Toc69878594 \h </w:instrText>
        </w:r>
        <w:r>
          <w:rPr>
            <w:noProof/>
            <w:webHidden/>
          </w:rPr>
        </w:r>
        <w:r>
          <w:rPr>
            <w:noProof/>
            <w:webHidden/>
          </w:rPr>
          <w:fldChar w:fldCharType="separate"/>
        </w:r>
        <w:r>
          <w:rPr>
            <w:noProof/>
            <w:webHidden/>
          </w:rPr>
          <w:t>373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95" w:history="1">
        <w:r w:rsidRPr="00CC53E5">
          <w:rPr>
            <w:rStyle w:val="Hyperlink"/>
            <w:noProof/>
          </w:rPr>
          <w:t>2.1.812</w:t>
        </w:r>
        <w:r>
          <w:rPr>
            <w:rFonts w:asciiTheme="minorHAnsi" w:eastAsiaTheme="minorEastAsia" w:hAnsiTheme="minorHAnsi" w:cstheme="minorBidi"/>
            <w:noProof/>
            <w:sz w:val="22"/>
            <w:szCs w:val="22"/>
          </w:rPr>
          <w:tab/>
        </w:r>
        <w:r w:rsidRPr="00CC53E5">
          <w:rPr>
            <w:rStyle w:val="Hyperlink"/>
            <w:noProof/>
          </w:rPr>
          <w:t>Part 1 Section 18.11.1.13, rdn (Revision Defined Name)</w:t>
        </w:r>
        <w:r>
          <w:rPr>
            <w:noProof/>
            <w:webHidden/>
          </w:rPr>
          <w:tab/>
        </w:r>
        <w:r>
          <w:rPr>
            <w:noProof/>
            <w:webHidden/>
          </w:rPr>
          <w:fldChar w:fldCharType="begin"/>
        </w:r>
        <w:r>
          <w:rPr>
            <w:noProof/>
            <w:webHidden/>
          </w:rPr>
          <w:instrText xml:space="preserve"> PAGEREF _Toc69878595 \h </w:instrText>
        </w:r>
        <w:r>
          <w:rPr>
            <w:noProof/>
            <w:webHidden/>
          </w:rPr>
        </w:r>
        <w:r>
          <w:rPr>
            <w:noProof/>
            <w:webHidden/>
          </w:rPr>
          <w:fldChar w:fldCharType="separate"/>
        </w:r>
        <w:r>
          <w:rPr>
            <w:noProof/>
            <w:webHidden/>
          </w:rPr>
          <w:t>374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96" w:history="1">
        <w:r w:rsidRPr="00CC53E5">
          <w:rPr>
            <w:rStyle w:val="Hyperlink"/>
            <w:noProof/>
          </w:rPr>
          <w:t>2.1.813</w:t>
        </w:r>
        <w:r>
          <w:rPr>
            <w:rFonts w:asciiTheme="minorHAnsi" w:eastAsiaTheme="minorEastAsia" w:hAnsiTheme="minorHAnsi" w:cstheme="minorBidi"/>
            <w:noProof/>
            <w:sz w:val="22"/>
            <w:szCs w:val="22"/>
          </w:rPr>
          <w:tab/>
        </w:r>
        <w:r w:rsidRPr="00CC53E5">
          <w:rPr>
            <w:rStyle w:val="Hyperlink"/>
            <w:noProof/>
          </w:rPr>
          <w:t>Part 1 Section 18.11.1.14, reviewed (Reviewed)</w:t>
        </w:r>
        <w:r>
          <w:rPr>
            <w:noProof/>
            <w:webHidden/>
          </w:rPr>
          <w:tab/>
        </w:r>
        <w:r>
          <w:rPr>
            <w:noProof/>
            <w:webHidden/>
          </w:rPr>
          <w:fldChar w:fldCharType="begin"/>
        </w:r>
        <w:r>
          <w:rPr>
            <w:noProof/>
            <w:webHidden/>
          </w:rPr>
          <w:instrText xml:space="preserve"> PAGEREF _Toc69878596 \h </w:instrText>
        </w:r>
        <w:r>
          <w:rPr>
            <w:noProof/>
            <w:webHidden/>
          </w:rPr>
        </w:r>
        <w:r>
          <w:rPr>
            <w:noProof/>
            <w:webHidden/>
          </w:rPr>
          <w:fldChar w:fldCharType="separate"/>
        </w:r>
        <w:r>
          <w:rPr>
            <w:noProof/>
            <w:webHidden/>
          </w:rPr>
          <w:t>375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97" w:history="1">
        <w:r w:rsidRPr="00CC53E5">
          <w:rPr>
            <w:rStyle w:val="Hyperlink"/>
            <w:noProof/>
          </w:rPr>
          <w:t>2.1.814</w:t>
        </w:r>
        <w:r>
          <w:rPr>
            <w:rFonts w:asciiTheme="minorHAnsi" w:eastAsiaTheme="minorEastAsia" w:hAnsiTheme="minorHAnsi" w:cstheme="minorBidi"/>
            <w:noProof/>
            <w:sz w:val="22"/>
            <w:szCs w:val="22"/>
          </w:rPr>
          <w:tab/>
        </w:r>
        <w:r w:rsidRPr="00CC53E5">
          <w:rPr>
            <w:rStyle w:val="Hyperlink"/>
            <w:noProof/>
          </w:rPr>
          <w:t>Part 1 Section 18.11.1.17, rfmt (Revision Format)</w:t>
        </w:r>
        <w:r>
          <w:rPr>
            <w:noProof/>
            <w:webHidden/>
          </w:rPr>
          <w:tab/>
        </w:r>
        <w:r>
          <w:rPr>
            <w:noProof/>
            <w:webHidden/>
          </w:rPr>
          <w:fldChar w:fldCharType="begin"/>
        </w:r>
        <w:r>
          <w:rPr>
            <w:noProof/>
            <w:webHidden/>
          </w:rPr>
          <w:instrText xml:space="preserve"> PAGEREF _Toc69878597 \h </w:instrText>
        </w:r>
        <w:r>
          <w:rPr>
            <w:noProof/>
            <w:webHidden/>
          </w:rPr>
        </w:r>
        <w:r>
          <w:rPr>
            <w:noProof/>
            <w:webHidden/>
          </w:rPr>
          <w:fldChar w:fldCharType="separate"/>
        </w:r>
        <w:r>
          <w:rPr>
            <w:noProof/>
            <w:webHidden/>
          </w:rPr>
          <w:t>375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98" w:history="1">
        <w:r w:rsidRPr="00CC53E5">
          <w:rPr>
            <w:rStyle w:val="Hyperlink"/>
            <w:noProof/>
          </w:rPr>
          <w:t>2.1.815</w:t>
        </w:r>
        <w:r>
          <w:rPr>
            <w:rFonts w:asciiTheme="minorHAnsi" w:eastAsiaTheme="minorEastAsia" w:hAnsiTheme="minorHAnsi" w:cstheme="minorBidi"/>
            <w:noProof/>
            <w:sz w:val="22"/>
            <w:szCs w:val="22"/>
          </w:rPr>
          <w:tab/>
        </w:r>
        <w:r w:rsidRPr="00CC53E5">
          <w:rPr>
            <w:rStyle w:val="Hyperlink"/>
            <w:noProof/>
          </w:rPr>
          <w:t>Part 1 Section 18.11.1.18, ris (Revision Insert Sheet)</w:t>
        </w:r>
        <w:r>
          <w:rPr>
            <w:noProof/>
            <w:webHidden/>
          </w:rPr>
          <w:tab/>
        </w:r>
        <w:r>
          <w:rPr>
            <w:noProof/>
            <w:webHidden/>
          </w:rPr>
          <w:fldChar w:fldCharType="begin"/>
        </w:r>
        <w:r>
          <w:rPr>
            <w:noProof/>
            <w:webHidden/>
          </w:rPr>
          <w:instrText xml:space="preserve"> PAGEREF _Toc69878598 \h </w:instrText>
        </w:r>
        <w:r>
          <w:rPr>
            <w:noProof/>
            <w:webHidden/>
          </w:rPr>
        </w:r>
        <w:r>
          <w:rPr>
            <w:noProof/>
            <w:webHidden/>
          </w:rPr>
          <w:fldChar w:fldCharType="separate"/>
        </w:r>
        <w:r>
          <w:rPr>
            <w:noProof/>
            <w:webHidden/>
          </w:rPr>
          <w:t>375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599" w:history="1">
        <w:r w:rsidRPr="00CC53E5">
          <w:rPr>
            <w:rStyle w:val="Hyperlink"/>
            <w:noProof/>
          </w:rPr>
          <w:t>2.1.816</w:t>
        </w:r>
        <w:r>
          <w:rPr>
            <w:rFonts w:asciiTheme="minorHAnsi" w:eastAsiaTheme="minorEastAsia" w:hAnsiTheme="minorHAnsi" w:cstheme="minorBidi"/>
            <w:noProof/>
            <w:sz w:val="22"/>
            <w:szCs w:val="22"/>
          </w:rPr>
          <w:tab/>
        </w:r>
        <w:r w:rsidRPr="00CC53E5">
          <w:rPr>
            <w:rStyle w:val="Hyperlink"/>
            <w:noProof/>
          </w:rPr>
          <w:t>Part 1 Section 18.11.1.19, rm (Revision Cell Move)</w:t>
        </w:r>
        <w:r>
          <w:rPr>
            <w:noProof/>
            <w:webHidden/>
          </w:rPr>
          <w:tab/>
        </w:r>
        <w:r>
          <w:rPr>
            <w:noProof/>
            <w:webHidden/>
          </w:rPr>
          <w:fldChar w:fldCharType="begin"/>
        </w:r>
        <w:r>
          <w:rPr>
            <w:noProof/>
            <w:webHidden/>
          </w:rPr>
          <w:instrText xml:space="preserve"> PAGEREF _Toc69878599 \h </w:instrText>
        </w:r>
        <w:r>
          <w:rPr>
            <w:noProof/>
            <w:webHidden/>
          </w:rPr>
        </w:r>
        <w:r>
          <w:rPr>
            <w:noProof/>
            <w:webHidden/>
          </w:rPr>
          <w:fldChar w:fldCharType="separate"/>
        </w:r>
        <w:r>
          <w:rPr>
            <w:noProof/>
            <w:webHidden/>
          </w:rPr>
          <w:t>375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00" w:history="1">
        <w:r w:rsidRPr="00CC53E5">
          <w:rPr>
            <w:rStyle w:val="Hyperlink"/>
            <w:noProof/>
          </w:rPr>
          <w:t>2.1.817</w:t>
        </w:r>
        <w:r>
          <w:rPr>
            <w:rFonts w:asciiTheme="minorHAnsi" w:eastAsiaTheme="minorEastAsia" w:hAnsiTheme="minorHAnsi" w:cstheme="minorBidi"/>
            <w:noProof/>
            <w:sz w:val="22"/>
            <w:szCs w:val="22"/>
          </w:rPr>
          <w:tab/>
        </w:r>
        <w:r w:rsidRPr="00CC53E5">
          <w:rPr>
            <w:rStyle w:val="Hyperlink"/>
            <w:noProof/>
          </w:rPr>
          <w:t>Part 1 Section 18.11.1.20, rqt (Revision Query Table)</w:t>
        </w:r>
        <w:r>
          <w:rPr>
            <w:noProof/>
            <w:webHidden/>
          </w:rPr>
          <w:tab/>
        </w:r>
        <w:r>
          <w:rPr>
            <w:noProof/>
            <w:webHidden/>
          </w:rPr>
          <w:fldChar w:fldCharType="begin"/>
        </w:r>
        <w:r>
          <w:rPr>
            <w:noProof/>
            <w:webHidden/>
          </w:rPr>
          <w:instrText xml:space="preserve"> PAGEREF _Toc69878600 \h </w:instrText>
        </w:r>
        <w:r>
          <w:rPr>
            <w:noProof/>
            <w:webHidden/>
          </w:rPr>
        </w:r>
        <w:r>
          <w:rPr>
            <w:noProof/>
            <w:webHidden/>
          </w:rPr>
          <w:fldChar w:fldCharType="separate"/>
        </w:r>
        <w:r>
          <w:rPr>
            <w:noProof/>
            <w:webHidden/>
          </w:rPr>
          <w:t>376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01" w:history="1">
        <w:r w:rsidRPr="00CC53E5">
          <w:rPr>
            <w:rStyle w:val="Hyperlink"/>
            <w:noProof/>
          </w:rPr>
          <w:t>2.1.818</w:t>
        </w:r>
        <w:r>
          <w:rPr>
            <w:rFonts w:asciiTheme="minorHAnsi" w:eastAsiaTheme="minorEastAsia" w:hAnsiTheme="minorHAnsi" w:cstheme="minorBidi"/>
            <w:noProof/>
            <w:sz w:val="22"/>
            <w:szCs w:val="22"/>
          </w:rPr>
          <w:tab/>
        </w:r>
        <w:r w:rsidRPr="00CC53E5">
          <w:rPr>
            <w:rStyle w:val="Hyperlink"/>
            <w:noProof/>
          </w:rPr>
          <w:t>Part 1 Section 18.11.1.21, rrc (Revision Row Column Insert Delete)</w:t>
        </w:r>
        <w:r>
          <w:rPr>
            <w:noProof/>
            <w:webHidden/>
          </w:rPr>
          <w:tab/>
        </w:r>
        <w:r>
          <w:rPr>
            <w:noProof/>
            <w:webHidden/>
          </w:rPr>
          <w:fldChar w:fldCharType="begin"/>
        </w:r>
        <w:r>
          <w:rPr>
            <w:noProof/>
            <w:webHidden/>
          </w:rPr>
          <w:instrText xml:space="preserve"> PAGEREF _Toc69878601 \h </w:instrText>
        </w:r>
        <w:r>
          <w:rPr>
            <w:noProof/>
            <w:webHidden/>
          </w:rPr>
        </w:r>
        <w:r>
          <w:rPr>
            <w:noProof/>
            <w:webHidden/>
          </w:rPr>
          <w:fldChar w:fldCharType="separate"/>
        </w:r>
        <w:r>
          <w:rPr>
            <w:noProof/>
            <w:webHidden/>
          </w:rPr>
          <w:t>376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02" w:history="1">
        <w:r w:rsidRPr="00CC53E5">
          <w:rPr>
            <w:rStyle w:val="Hyperlink"/>
            <w:noProof/>
          </w:rPr>
          <w:t>2.1.819</w:t>
        </w:r>
        <w:r>
          <w:rPr>
            <w:rFonts w:asciiTheme="minorHAnsi" w:eastAsiaTheme="minorEastAsia" w:hAnsiTheme="minorHAnsi" w:cstheme="minorBidi"/>
            <w:noProof/>
            <w:sz w:val="22"/>
            <w:szCs w:val="22"/>
          </w:rPr>
          <w:tab/>
        </w:r>
        <w:r w:rsidRPr="00CC53E5">
          <w:rPr>
            <w:rStyle w:val="Hyperlink"/>
            <w:noProof/>
          </w:rPr>
          <w:t>Part 1 Section 18.11.1.22, rsnm (Revision Sheet Name)</w:t>
        </w:r>
        <w:r>
          <w:rPr>
            <w:noProof/>
            <w:webHidden/>
          </w:rPr>
          <w:tab/>
        </w:r>
        <w:r>
          <w:rPr>
            <w:noProof/>
            <w:webHidden/>
          </w:rPr>
          <w:fldChar w:fldCharType="begin"/>
        </w:r>
        <w:r>
          <w:rPr>
            <w:noProof/>
            <w:webHidden/>
          </w:rPr>
          <w:instrText xml:space="preserve"> PAGEREF _Toc69878602 \h </w:instrText>
        </w:r>
        <w:r>
          <w:rPr>
            <w:noProof/>
            <w:webHidden/>
          </w:rPr>
        </w:r>
        <w:r>
          <w:rPr>
            <w:noProof/>
            <w:webHidden/>
          </w:rPr>
          <w:fldChar w:fldCharType="separate"/>
        </w:r>
        <w:r>
          <w:rPr>
            <w:noProof/>
            <w:webHidden/>
          </w:rPr>
          <w:t>376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03" w:history="1">
        <w:r w:rsidRPr="00CC53E5">
          <w:rPr>
            <w:rStyle w:val="Hyperlink"/>
            <w:noProof/>
          </w:rPr>
          <w:t>2.1.820</w:t>
        </w:r>
        <w:r>
          <w:rPr>
            <w:rFonts w:asciiTheme="minorHAnsi" w:eastAsiaTheme="minorEastAsia" w:hAnsiTheme="minorHAnsi" w:cstheme="minorBidi"/>
            <w:noProof/>
            <w:sz w:val="22"/>
            <w:szCs w:val="22"/>
          </w:rPr>
          <w:tab/>
        </w:r>
        <w:r w:rsidRPr="00CC53E5">
          <w:rPr>
            <w:rStyle w:val="Hyperlink"/>
            <w:noProof/>
          </w:rPr>
          <w:t>Part 1 Section 18.11.1.23, sheetId (Sheet Id)</w:t>
        </w:r>
        <w:r>
          <w:rPr>
            <w:noProof/>
            <w:webHidden/>
          </w:rPr>
          <w:tab/>
        </w:r>
        <w:r>
          <w:rPr>
            <w:noProof/>
            <w:webHidden/>
          </w:rPr>
          <w:fldChar w:fldCharType="begin"/>
        </w:r>
        <w:r>
          <w:rPr>
            <w:noProof/>
            <w:webHidden/>
          </w:rPr>
          <w:instrText xml:space="preserve"> PAGEREF _Toc69878603 \h </w:instrText>
        </w:r>
        <w:r>
          <w:rPr>
            <w:noProof/>
            <w:webHidden/>
          </w:rPr>
        </w:r>
        <w:r>
          <w:rPr>
            <w:noProof/>
            <w:webHidden/>
          </w:rPr>
          <w:fldChar w:fldCharType="separate"/>
        </w:r>
        <w:r>
          <w:rPr>
            <w:noProof/>
            <w:webHidden/>
          </w:rPr>
          <w:t>376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04" w:history="1">
        <w:r w:rsidRPr="00CC53E5">
          <w:rPr>
            <w:rStyle w:val="Hyperlink"/>
            <w:noProof/>
          </w:rPr>
          <w:t>2.1.821</w:t>
        </w:r>
        <w:r>
          <w:rPr>
            <w:rFonts w:asciiTheme="minorHAnsi" w:eastAsiaTheme="minorEastAsia" w:hAnsiTheme="minorHAnsi" w:cstheme="minorBidi"/>
            <w:noProof/>
            <w:sz w:val="22"/>
            <w:szCs w:val="22"/>
          </w:rPr>
          <w:tab/>
        </w:r>
        <w:r w:rsidRPr="00CC53E5">
          <w:rPr>
            <w:rStyle w:val="Hyperlink"/>
            <w:noProof/>
          </w:rPr>
          <w:t>Part 1 Section 18.11.1.24, sheetIdMap (Sheet Id Map)</w:t>
        </w:r>
        <w:r>
          <w:rPr>
            <w:noProof/>
            <w:webHidden/>
          </w:rPr>
          <w:tab/>
        </w:r>
        <w:r>
          <w:rPr>
            <w:noProof/>
            <w:webHidden/>
          </w:rPr>
          <w:fldChar w:fldCharType="begin"/>
        </w:r>
        <w:r>
          <w:rPr>
            <w:noProof/>
            <w:webHidden/>
          </w:rPr>
          <w:instrText xml:space="preserve"> PAGEREF _Toc69878604 \h </w:instrText>
        </w:r>
        <w:r>
          <w:rPr>
            <w:noProof/>
            <w:webHidden/>
          </w:rPr>
        </w:r>
        <w:r>
          <w:rPr>
            <w:noProof/>
            <w:webHidden/>
          </w:rPr>
          <w:fldChar w:fldCharType="separate"/>
        </w:r>
        <w:r>
          <w:rPr>
            <w:noProof/>
            <w:webHidden/>
          </w:rPr>
          <w:t>376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05" w:history="1">
        <w:r w:rsidRPr="00CC53E5">
          <w:rPr>
            <w:rStyle w:val="Hyperlink"/>
            <w:noProof/>
          </w:rPr>
          <w:t>2.1.822</w:t>
        </w:r>
        <w:r>
          <w:rPr>
            <w:rFonts w:asciiTheme="minorHAnsi" w:eastAsiaTheme="minorEastAsia" w:hAnsiTheme="minorHAnsi" w:cstheme="minorBidi"/>
            <w:noProof/>
            <w:sz w:val="22"/>
            <w:szCs w:val="22"/>
          </w:rPr>
          <w:tab/>
        </w:r>
        <w:r w:rsidRPr="00CC53E5">
          <w:rPr>
            <w:rStyle w:val="Hyperlink"/>
            <w:noProof/>
          </w:rPr>
          <w:t>Part 1 Section 18.11.1.25, undo (Undo)</w:t>
        </w:r>
        <w:r>
          <w:rPr>
            <w:noProof/>
            <w:webHidden/>
          </w:rPr>
          <w:tab/>
        </w:r>
        <w:r>
          <w:rPr>
            <w:noProof/>
            <w:webHidden/>
          </w:rPr>
          <w:fldChar w:fldCharType="begin"/>
        </w:r>
        <w:r>
          <w:rPr>
            <w:noProof/>
            <w:webHidden/>
          </w:rPr>
          <w:instrText xml:space="preserve"> PAGEREF _Toc69878605 \h </w:instrText>
        </w:r>
        <w:r>
          <w:rPr>
            <w:noProof/>
            <w:webHidden/>
          </w:rPr>
        </w:r>
        <w:r>
          <w:rPr>
            <w:noProof/>
            <w:webHidden/>
          </w:rPr>
          <w:fldChar w:fldCharType="separate"/>
        </w:r>
        <w:r>
          <w:rPr>
            <w:noProof/>
            <w:webHidden/>
          </w:rPr>
          <w:t>377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06" w:history="1">
        <w:r w:rsidRPr="00CC53E5">
          <w:rPr>
            <w:rStyle w:val="Hyperlink"/>
            <w:noProof/>
          </w:rPr>
          <w:t>2.1.823</w:t>
        </w:r>
        <w:r>
          <w:rPr>
            <w:rFonts w:asciiTheme="minorHAnsi" w:eastAsiaTheme="minorEastAsia" w:hAnsiTheme="minorHAnsi" w:cstheme="minorBidi"/>
            <w:noProof/>
            <w:sz w:val="22"/>
            <w:szCs w:val="22"/>
          </w:rPr>
          <w:tab/>
        </w:r>
        <w:r w:rsidRPr="00CC53E5">
          <w:rPr>
            <w:rStyle w:val="Hyperlink"/>
            <w:noProof/>
          </w:rPr>
          <w:t>Part 1 Section 18.11.2.2, users (User List)</w:t>
        </w:r>
        <w:r>
          <w:rPr>
            <w:noProof/>
            <w:webHidden/>
          </w:rPr>
          <w:tab/>
        </w:r>
        <w:r>
          <w:rPr>
            <w:noProof/>
            <w:webHidden/>
          </w:rPr>
          <w:fldChar w:fldCharType="begin"/>
        </w:r>
        <w:r>
          <w:rPr>
            <w:noProof/>
            <w:webHidden/>
          </w:rPr>
          <w:instrText xml:space="preserve"> PAGEREF _Toc69878606 \h </w:instrText>
        </w:r>
        <w:r>
          <w:rPr>
            <w:noProof/>
            <w:webHidden/>
          </w:rPr>
        </w:r>
        <w:r>
          <w:rPr>
            <w:noProof/>
            <w:webHidden/>
          </w:rPr>
          <w:fldChar w:fldCharType="separate"/>
        </w:r>
        <w:r>
          <w:rPr>
            <w:noProof/>
            <w:webHidden/>
          </w:rPr>
          <w:t>377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07" w:history="1">
        <w:r w:rsidRPr="00CC53E5">
          <w:rPr>
            <w:rStyle w:val="Hyperlink"/>
            <w:noProof/>
          </w:rPr>
          <w:t>2.1.824</w:t>
        </w:r>
        <w:r>
          <w:rPr>
            <w:rFonts w:asciiTheme="minorHAnsi" w:eastAsiaTheme="minorEastAsia" w:hAnsiTheme="minorHAnsi" w:cstheme="minorBidi"/>
            <w:noProof/>
            <w:sz w:val="22"/>
            <w:szCs w:val="22"/>
          </w:rPr>
          <w:tab/>
        </w:r>
        <w:r w:rsidRPr="00CC53E5">
          <w:rPr>
            <w:rStyle w:val="Hyperlink"/>
            <w:noProof/>
          </w:rPr>
          <w:t>Part 1 Section 18.12.1, deletedField (Deleted Field)</w:t>
        </w:r>
        <w:r>
          <w:rPr>
            <w:noProof/>
            <w:webHidden/>
          </w:rPr>
          <w:tab/>
        </w:r>
        <w:r>
          <w:rPr>
            <w:noProof/>
            <w:webHidden/>
          </w:rPr>
          <w:fldChar w:fldCharType="begin"/>
        </w:r>
        <w:r>
          <w:rPr>
            <w:noProof/>
            <w:webHidden/>
          </w:rPr>
          <w:instrText xml:space="preserve"> PAGEREF _Toc69878607 \h </w:instrText>
        </w:r>
        <w:r>
          <w:rPr>
            <w:noProof/>
            <w:webHidden/>
          </w:rPr>
        </w:r>
        <w:r>
          <w:rPr>
            <w:noProof/>
            <w:webHidden/>
          </w:rPr>
          <w:fldChar w:fldCharType="separate"/>
        </w:r>
        <w:r>
          <w:rPr>
            <w:noProof/>
            <w:webHidden/>
          </w:rPr>
          <w:t>377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08" w:history="1">
        <w:r w:rsidRPr="00CC53E5">
          <w:rPr>
            <w:rStyle w:val="Hyperlink"/>
            <w:noProof/>
          </w:rPr>
          <w:t>2.1.825</w:t>
        </w:r>
        <w:r>
          <w:rPr>
            <w:rFonts w:asciiTheme="minorHAnsi" w:eastAsiaTheme="minorEastAsia" w:hAnsiTheme="minorHAnsi" w:cstheme="minorBidi"/>
            <w:noProof/>
            <w:sz w:val="22"/>
            <w:szCs w:val="22"/>
          </w:rPr>
          <w:tab/>
        </w:r>
        <w:r w:rsidRPr="00CC53E5">
          <w:rPr>
            <w:rStyle w:val="Hyperlink"/>
            <w:noProof/>
          </w:rPr>
          <w:t>Part 1 Section 18.12.2, queryTable (Query Table)</w:t>
        </w:r>
        <w:r>
          <w:rPr>
            <w:noProof/>
            <w:webHidden/>
          </w:rPr>
          <w:tab/>
        </w:r>
        <w:r>
          <w:rPr>
            <w:noProof/>
            <w:webHidden/>
          </w:rPr>
          <w:fldChar w:fldCharType="begin"/>
        </w:r>
        <w:r>
          <w:rPr>
            <w:noProof/>
            <w:webHidden/>
          </w:rPr>
          <w:instrText xml:space="preserve"> PAGEREF _Toc69878608 \h </w:instrText>
        </w:r>
        <w:r>
          <w:rPr>
            <w:noProof/>
            <w:webHidden/>
          </w:rPr>
        </w:r>
        <w:r>
          <w:rPr>
            <w:noProof/>
            <w:webHidden/>
          </w:rPr>
          <w:fldChar w:fldCharType="separate"/>
        </w:r>
        <w:r>
          <w:rPr>
            <w:noProof/>
            <w:webHidden/>
          </w:rPr>
          <w:t>377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09" w:history="1">
        <w:r w:rsidRPr="00CC53E5">
          <w:rPr>
            <w:rStyle w:val="Hyperlink"/>
            <w:noProof/>
          </w:rPr>
          <w:t>2.1.826</w:t>
        </w:r>
        <w:r>
          <w:rPr>
            <w:rFonts w:asciiTheme="minorHAnsi" w:eastAsiaTheme="minorEastAsia" w:hAnsiTheme="minorHAnsi" w:cstheme="minorBidi"/>
            <w:noProof/>
            <w:sz w:val="22"/>
            <w:szCs w:val="22"/>
          </w:rPr>
          <w:tab/>
        </w:r>
        <w:r w:rsidRPr="00CC53E5">
          <w:rPr>
            <w:rStyle w:val="Hyperlink"/>
            <w:noProof/>
          </w:rPr>
          <w:t>Part 1 Section 18.12.4, queryTableField (QueryTable Field)</w:t>
        </w:r>
        <w:r>
          <w:rPr>
            <w:noProof/>
            <w:webHidden/>
          </w:rPr>
          <w:tab/>
        </w:r>
        <w:r>
          <w:rPr>
            <w:noProof/>
            <w:webHidden/>
          </w:rPr>
          <w:fldChar w:fldCharType="begin"/>
        </w:r>
        <w:r>
          <w:rPr>
            <w:noProof/>
            <w:webHidden/>
          </w:rPr>
          <w:instrText xml:space="preserve"> PAGEREF _Toc69878609 \h </w:instrText>
        </w:r>
        <w:r>
          <w:rPr>
            <w:noProof/>
            <w:webHidden/>
          </w:rPr>
        </w:r>
        <w:r>
          <w:rPr>
            <w:noProof/>
            <w:webHidden/>
          </w:rPr>
          <w:fldChar w:fldCharType="separate"/>
        </w:r>
        <w:r>
          <w:rPr>
            <w:noProof/>
            <w:webHidden/>
          </w:rPr>
          <w:t>378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10" w:history="1">
        <w:r w:rsidRPr="00CC53E5">
          <w:rPr>
            <w:rStyle w:val="Hyperlink"/>
            <w:noProof/>
          </w:rPr>
          <w:t>2.1.827</w:t>
        </w:r>
        <w:r>
          <w:rPr>
            <w:rFonts w:asciiTheme="minorHAnsi" w:eastAsiaTheme="minorEastAsia" w:hAnsiTheme="minorHAnsi" w:cstheme="minorBidi"/>
            <w:noProof/>
            <w:sz w:val="22"/>
            <w:szCs w:val="22"/>
          </w:rPr>
          <w:tab/>
        </w:r>
        <w:r w:rsidRPr="00CC53E5">
          <w:rPr>
            <w:rStyle w:val="Hyperlink"/>
            <w:noProof/>
          </w:rPr>
          <w:t>Part 1 Section 18.12.6, queryTableRefresh (QueryTable Refresh Information)</w:t>
        </w:r>
        <w:r>
          <w:rPr>
            <w:noProof/>
            <w:webHidden/>
          </w:rPr>
          <w:tab/>
        </w:r>
        <w:r>
          <w:rPr>
            <w:noProof/>
            <w:webHidden/>
          </w:rPr>
          <w:fldChar w:fldCharType="begin"/>
        </w:r>
        <w:r>
          <w:rPr>
            <w:noProof/>
            <w:webHidden/>
          </w:rPr>
          <w:instrText xml:space="preserve"> PAGEREF _Toc69878610 \h </w:instrText>
        </w:r>
        <w:r>
          <w:rPr>
            <w:noProof/>
            <w:webHidden/>
          </w:rPr>
        </w:r>
        <w:r>
          <w:rPr>
            <w:noProof/>
            <w:webHidden/>
          </w:rPr>
          <w:fldChar w:fldCharType="separate"/>
        </w:r>
        <w:r>
          <w:rPr>
            <w:noProof/>
            <w:webHidden/>
          </w:rPr>
          <w:t>378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11" w:history="1">
        <w:r w:rsidRPr="00CC53E5">
          <w:rPr>
            <w:rStyle w:val="Hyperlink"/>
            <w:noProof/>
          </w:rPr>
          <w:t>2.1.828</w:t>
        </w:r>
        <w:r>
          <w:rPr>
            <w:rFonts w:asciiTheme="minorHAnsi" w:eastAsiaTheme="minorEastAsia" w:hAnsiTheme="minorHAnsi" w:cstheme="minorBidi"/>
            <w:noProof/>
            <w:sz w:val="22"/>
            <w:szCs w:val="22"/>
          </w:rPr>
          <w:tab/>
        </w:r>
        <w:r w:rsidRPr="00CC53E5">
          <w:rPr>
            <w:rStyle w:val="Hyperlink"/>
            <w:noProof/>
          </w:rPr>
          <w:t>Part 1 Section 18.13.1, connection (Connection)</w:t>
        </w:r>
        <w:r>
          <w:rPr>
            <w:noProof/>
            <w:webHidden/>
          </w:rPr>
          <w:tab/>
        </w:r>
        <w:r>
          <w:rPr>
            <w:noProof/>
            <w:webHidden/>
          </w:rPr>
          <w:fldChar w:fldCharType="begin"/>
        </w:r>
        <w:r>
          <w:rPr>
            <w:noProof/>
            <w:webHidden/>
          </w:rPr>
          <w:instrText xml:space="preserve"> PAGEREF _Toc69878611 \h </w:instrText>
        </w:r>
        <w:r>
          <w:rPr>
            <w:noProof/>
            <w:webHidden/>
          </w:rPr>
        </w:r>
        <w:r>
          <w:rPr>
            <w:noProof/>
            <w:webHidden/>
          </w:rPr>
          <w:fldChar w:fldCharType="separate"/>
        </w:r>
        <w:r>
          <w:rPr>
            <w:noProof/>
            <w:webHidden/>
          </w:rPr>
          <w:t>379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12" w:history="1">
        <w:r w:rsidRPr="00CC53E5">
          <w:rPr>
            <w:rStyle w:val="Hyperlink"/>
            <w:noProof/>
          </w:rPr>
          <w:t>2.1.829</w:t>
        </w:r>
        <w:r>
          <w:rPr>
            <w:rFonts w:asciiTheme="minorHAnsi" w:eastAsiaTheme="minorEastAsia" w:hAnsiTheme="minorHAnsi" w:cstheme="minorBidi"/>
            <w:noProof/>
            <w:sz w:val="22"/>
            <w:szCs w:val="22"/>
          </w:rPr>
          <w:tab/>
        </w:r>
        <w:r w:rsidRPr="00CC53E5">
          <w:rPr>
            <w:rStyle w:val="Hyperlink"/>
            <w:noProof/>
          </w:rPr>
          <w:t>Part 1 Section 18.13.3, dbPr (Database Properties)</w:t>
        </w:r>
        <w:r>
          <w:rPr>
            <w:noProof/>
            <w:webHidden/>
          </w:rPr>
          <w:tab/>
        </w:r>
        <w:r>
          <w:rPr>
            <w:noProof/>
            <w:webHidden/>
          </w:rPr>
          <w:fldChar w:fldCharType="begin"/>
        </w:r>
        <w:r>
          <w:rPr>
            <w:noProof/>
            <w:webHidden/>
          </w:rPr>
          <w:instrText xml:space="preserve"> PAGEREF _Toc69878612 \h </w:instrText>
        </w:r>
        <w:r>
          <w:rPr>
            <w:noProof/>
            <w:webHidden/>
          </w:rPr>
        </w:r>
        <w:r>
          <w:rPr>
            <w:noProof/>
            <w:webHidden/>
          </w:rPr>
          <w:fldChar w:fldCharType="separate"/>
        </w:r>
        <w:r>
          <w:rPr>
            <w:noProof/>
            <w:webHidden/>
          </w:rPr>
          <w:t>380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13" w:history="1">
        <w:r w:rsidRPr="00CC53E5">
          <w:rPr>
            <w:rStyle w:val="Hyperlink"/>
            <w:noProof/>
          </w:rPr>
          <w:t>2.1.830</w:t>
        </w:r>
        <w:r>
          <w:rPr>
            <w:rFonts w:asciiTheme="minorHAnsi" w:eastAsiaTheme="minorEastAsia" w:hAnsiTheme="minorHAnsi" w:cstheme="minorBidi"/>
            <w:noProof/>
            <w:sz w:val="22"/>
            <w:szCs w:val="22"/>
          </w:rPr>
          <w:tab/>
        </w:r>
        <w:r w:rsidRPr="00CC53E5">
          <w:rPr>
            <w:rStyle w:val="Hyperlink"/>
            <w:noProof/>
          </w:rPr>
          <w:t>Part 1 Section 18.13.5, olapPr (OLAP Properties)</w:t>
        </w:r>
        <w:r>
          <w:rPr>
            <w:noProof/>
            <w:webHidden/>
          </w:rPr>
          <w:tab/>
        </w:r>
        <w:r>
          <w:rPr>
            <w:noProof/>
            <w:webHidden/>
          </w:rPr>
          <w:fldChar w:fldCharType="begin"/>
        </w:r>
        <w:r>
          <w:rPr>
            <w:noProof/>
            <w:webHidden/>
          </w:rPr>
          <w:instrText xml:space="preserve"> PAGEREF _Toc69878613 \h </w:instrText>
        </w:r>
        <w:r>
          <w:rPr>
            <w:noProof/>
            <w:webHidden/>
          </w:rPr>
        </w:r>
        <w:r>
          <w:rPr>
            <w:noProof/>
            <w:webHidden/>
          </w:rPr>
          <w:fldChar w:fldCharType="separate"/>
        </w:r>
        <w:r>
          <w:rPr>
            <w:noProof/>
            <w:webHidden/>
          </w:rPr>
          <w:t>380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14" w:history="1">
        <w:r w:rsidRPr="00CC53E5">
          <w:rPr>
            <w:rStyle w:val="Hyperlink"/>
            <w:noProof/>
          </w:rPr>
          <w:t>2.1.831</w:t>
        </w:r>
        <w:r>
          <w:rPr>
            <w:rFonts w:asciiTheme="minorHAnsi" w:eastAsiaTheme="minorEastAsia" w:hAnsiTheme="minorHAnsi" w:cstheme="minorBidi"/>
            <w:noProof/>
            <w:sz w:val="22"/>
            <w:szCs w:val="22"/>
          </w:rPr>
          <w:tab/>
        </w:r>
        <w:r w:rsidRPr="00CC53E5">
          <w:rPr>
            <w:rStyle w:val="Hyperlink"/>
            <w:noProof/>
          </w:rPr>
          <w:t>Part 1 Section 18.13.6, parameter (Parameter Properties)</w:t>
        </w:r>
        <w:r>
          <w:rPr>
            <w:noProof/>
            <w:webHidden/>
          </w:rPr>
          <w:tab/>
        </w:r>
        <w:r>
          <w:rPr>
            <w:noProof/>
            <w:webHidden/>
          </w:rPr>
          <w:fldChar w:fldCharType="begin"/>
        </w:r>
        <w:r>
          <w:rPr>
            <w:noProof/>
            <w:webHidden/>
          </w:rPr>
          <w:instrText xml:space="preserve"> PAGEREF _Toc69878614 \h </w:instrText>
        </w:r>
        <w:r>
          <w:rPr>
            <w:noProof/>
            <w:webHidden/>
          </w:rPr>
        </w:r>
        <w:r>
          <w:rPr>
            <w:noProof/>
            <w:webHidden/>
          </w:rPr>
          <w:fldChar w:fldCharType="separate"/>
        </w:r>
        <w:r>
          <w:rPr>
            <w:noProof/>
            <w:webHidden/>
          </w:rPr>
          <w:t>380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15" w:history="1">
        <w:r w:rsidRPr="00CC53E5">
          <w:rPr>
            <w:rStyle w:val="Hyperlink"/>
            <w:noProof/>
          </w:rPr>
          <w:t>2.1.832</w:t>
        </w:r>
        <w:r>
          <w:rPr>
            <w:rFonts w:asciiTheme="minorHAnsi" w:eastAsiaTheme="minorEastAsia" w:hAnsiTheme="minorHAnsi" w:cstheme="minorBidi"/>
            <w:noProof/>
            <w:sz w:val="22"/>
            <w:szCs w:val="22"/>
          </w:rPr>
          <w:tab/>
        </w:r>
        <w:r w:rsidRPr="00CC53E5">
          <w:rPr>
            <w:rStyle w:val="Hyperlink"/>
            <w:noProof/>
          </w:rPr>
          <w:t>Part 1 Section 18.13.8, s (Character Value)</w:t>
        </w:r>
        <w:r>
          <w:rPr>
            <w:noProof/>
            <w:webHidden/>
          </w:rPr>
          <w:tab/>
        </w:r>
        <w:r>
          <w:rPr>
            <w:noProof/>
            <w:webHidden/>
          </w:rPr>
          <w:fldChar w:fldCharType="begin"/>
        </w:r>
        <w:r>
          <w:rPr>
            <w:noProof/>
            <w:webHidden/>
          </w:rPr>
          <w:instrText xml:space="preserve"> PAGEREF _Toc69878615 \h </w:instrText>
        </w:r>
        <w:r>
          <w:rPr>
            <w:noProof/>
            <w:webHidden/>
          </w:rPr>
        </w:r>
        <w:r>
          <w:rPr>
            <w:noProof/>
            <w:webHidden/>
          </w:rPr>
          <w:fldChar w:fldCharType="separate"/>
        </w:r>
        <w:r>
          <w:rPr>
            <w:noProof/>
            <w:webHidden/>
          </w:rPr>
          <w:t>381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16" w:history="1">
        <w:r w:rsidRPr="00CC53E5">
          <w:rPr>
            <w:rStyle w:val="Hyperlink"/>
            <w:noProof/>
          </w:rPr>
          <w:t>2.1.833</w:t>
        </w:r>
        <w:r>
          <w:rPr>
            <w:rFonts w:asciiTheme="minorHAnsi" w:eastAsiaTheme="minorEastAsia" w:hAnsiTheme="minorHAnsi" w:cstheme="minorBidi"/>
            <w:noProof/>
            <w:sz w:val="22"/>
            <w:szCs w:val="22"/>
          </w:rPr>
          <w:tab/>
        </w:r>
        <w:r w:rsidRPr="00CC53E5">
          <w:rPr>
            <w:rStyle w:val="Hyperlink"/>
            <w:noProof/>
          </w:rPr>
          <w:t>Part 1 Section 18.13.10, textField (Text Import Field Settings)</w:t>
        </w:r>
        <w:r>
          <w:rPr>
            <w:noProof/>
            <w:webHidden/>
          </w:rPr>
          <w:tab/>
        </w:r>
        <w:r>
          <w:rPr>
            <w:noProof/>
            <w:webHidden/>
          </w:rPr>
          <w:fldChar w:fldCharType="begin"/>
        </w:r>
        <w:r>
          <w:rPr>
            <w:noProof/>
            <w:webHidden/>
          </w:rPr>
          <w:instrText xml:space="preserve"> PAGEREF _Toc69878616 \h </w:instrText>
        </w:r>
        <w:r>
          <w:rPr>
            <w:noProof/>
            <w:webHidden/>
          </w:rPr>
        </w:r>
        <w:r>
          <w:rPr>
            <w:noProof/>
            <w:webHidden/>
          </w:rPr>
          <w:fldChar w:fldCharType="separate"/>
        </w:r>
        <w:r>
          <w:rPr>
            <w:noProof/>
            <w:webHidden/>
          </w:rPr>
          <w:t>381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17" w:history="1">
        <w:r w:rsidRPr="00CC53E5">
          <w:rPr>
            <w:rStyle w:val="Hyperlink"/>
            <w:noProof/>
          </w:rPr>
          <w:t>2.1.834</w:t>
        </w:r>
        <w:r>
          <w:rPr>
            <w:rFonts w:asciiTheme="minorHAnsi" w:eastAsiaTheme="minorEastAsia" w:hAnsiTheme="minorHAnsi" w:cstheme="minorBidi"/>
            <w:noProof/>
            <w:sz w:val="22"/>
            <w:szCs w:val="22"/>
          </w:rPr>
          <w:tab/>
        </w:r>
        <w:r w:rsidRPr="00CC53E5">
          <w:rPr>
            <w:rStyle w:val="Hyperlink"/>
            <w:noProof/>
          </w:rPr>
          <w:t>Part 1 Section 18.13.11, textFields (Fields)</w:t>
        </w:r>
        <w:r>
          <w:rPr>
            <w:noProof/>
            <w:webHidden/>
          </w:rPr>
          <w:tab/>
        </w:r>
        <w:r>
          <w:rPr>
            <w:noProof/>
            <w:webHidden/>
          </w:rPr>
          <w:fldChar w:fldCharType="begin"/>
        </w:r>
        <w:r>
          <w:rPr>
            <w:noProof/>
            <w:webHidden/>
          </w:rPr>
          <w:instrText xml:space="preserve"> PAGEREF _Toc69878617 \h </w:instrText>
        </w:r>
        <w:r>
          <w:rPr>
            <w:noProof/>
            <w:webHidden/>
          </w:rPr>
        </w:r>
        <w:r>
          <w:rPr>
            <w:noProof/>
            <w:webHidden/>
          </w:rPr>
          <w:fldChar w:fldCharType="separate"/>
        </w:r>
        <w:r>
          <w:rPr>
            <w:noProof/>
            <w:webHidden/>
          </w:rPr>
          <w:t>381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18" w:history="1">
        <w:r w:rsidRPr="00CC53E5">
          <w:rPr>
            <w:rStyle w:val="Hyperlink"/>
            <w:noProof/>
          </w:rPr>
          <w:t>2.1.835</w:t>
        </w:r>
        <w:r>
          <w:rPr>
            <w:rFonts w:asciiTheme="minorHAnsi" w:eastAsiaTheme="minorEastAsia" w:hAnsiTheme="minorHAnsi" w:cstheme="minorBidi"/>
            <w:noProof/>
            <w:sz w:val="22"/>
            <w:szCs w:val="22"/>
          </w:rPr>
          <w:tab/>
        </w:r>
        <w:r w:rsidRPr="00CC53E5">
          <w:rPr>
            <w:rStyle w:val="Hyperlink"/>
            <w:noProof/>
          </w:rPr>
          <w:t>Part 1 Section 18.13.12, textPr (Text Import Settings)</w:t>
        </w:r>
        <w:r>
          <w:rPr>
            <w:noProof/>
            <w:webHidden/>
          </w:rPr>
          <w:tab/>
        </w:r>
        <w:r>
          <w:rPr>
            <w:noProof/>
            <w:webHidden/>
          </w:rPr>
          <w:fldChar w:fldCharType="begin"/>
        </w:r>
        <w:r>
          <w:rPr>
            <w:noProof/>
            <w:webHidden/>
          </w:rPr>
          <w:instrText xml:space="preserve"> PAGEREF _Toc69878618 \h </w:instrText>
        </w:r>
        <w:r>
          <w:rPr>
            <w:noProof/>
            <w:webHidden/>
          </w:rPr>
        </w:r>
        <w:r>
          <w:rPr>
            <w:noProof/>
            <w:webHidden/>
          </w:rPr>
          <w:fldChar w:fldCharType="separate"/>
        </w:r>
        <w:r>
          <w:rPr>
            <w:noProof/>
            <w:webHidden/>
          </w:rPr>
          <w:t>381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19" w:history="1">
        <w:r w:rsidRPr="00CC53E5">
          <w:rPr>
            <w:rStyle w:val="Hyperlink"/>
            <w:noProof/>
          </w:rPr>
          <w:t>2.1.836</w:t>
        </w:r>
        <w:r>
          <w:rPr>
            <w:rFonts w:asciiTheme="minorHAnsi" w:eastAsiaTheme="minorEastAsia" w:hAnsiTheme="minorHAnsi" w:cstheme="minorBidi"/>
            <w:noProof/>
            <w:sz w:val="22"/>
            <w:szCs w:val="22"/>
          </w:rPr>
          <w:tab/>
        </w:r>
        <w:r w:rsidRPr="00CC53E5">
          <w:rPr>
            <w:rStyle w:val="Hyperlink"/>
            <w:noProof/>
          </w:rPr>
          <w:t>Part 1 Section 18.13.13, webPr (Web Query Properties)</w:t>
        </w:r>
        <w:r>
          <w:rPr>
            <w:noProof/>
            <w:webHidden/>
          </w:rPr>
          <w:tab/>
        </w:r>
        <w:r>
          <w:rPr>
            <w:noProof/>
            <w:webHidden/>
          </w:rPr>
          <w:fldChar w:fldCharType="begin"/>
        </w:r>
        <w:r>
          <w:rPr>
            <w:noProof/>
            <w:webHidden/>
          </w:rPr>
          <w:instrText xml:space="preserve"> PAGEREF _Toc69878619 \h </w:instrText>
        </w:r>
        <w:r>
          <w:rPr>
            <w:noProof/>
            <w:webHidden/>
          </w:rPr>
        </w:r>
        <w:r>
          <w:rPr>
            <w:noProof/>
            <w:webHidden/>
          </w:rPr>
          <w:fldChar w:fldCharType="separate"/>
        </w:r>
        <w:r>
          <w:rPr>
            <w:noProof/>
            <w:webHidden/>
          </w:rPr>
          <w:t>382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20" w:history="1">
        <w:r w:rsidRPr="00CC53E5">
          <w:rPr>
            <w:rStyle w:val="Hyperlink"/>
            <w:noProof/>
          </w:rPr>
          <w:t>2.1.837</w:t>
        </w:r>
        <w:r>
          <w:rPr>
            <w:rFonts w:asciiTheme="minorHAnsi" w:eastAsiaTheme="minorEastAsia" w:hAnsiTheme="minorHAnsi" w:cstheme="minorBidi"/>
            <w:noProof/>
            <w:sz w:val="22"/>
            <w:szCs w:val="22"/>
          </w:rPr>
          <w:tab/>
        </w:r>
        <w:r w:rsidRPr="00CC53E5">
          <w:rPr>
            <w:rStyle w:val="Hyperlink"/>
            <w:noProof/>
          </w:rPr>
          <w:t>Part 1 Section 18.14.1, cell (External Cell Data)</w:t>
        </w:r>
        <w:r>
          <w:rPr>
            <w:noProof/>
            <w:webHidden/>
          </w:rPr>
          <w:tab/>
        </w:r>
        <w:r>
          <w:rPr>
            <w:noProof/>
            <w:webHidden/>
          </w:rPr>
          <w:fldChar w:fldCharType="begin"/>
        </w:r>
        <w:r>
          <w:rPr>
            <w:noProof/>
            <w:webHidden/>
          </w:rPr>
          <w:instrText xml:space="preserve"> PAGEREF _Toc69878620 \h </w:instrText>
        </w:r>
        <w:r>
          <w:rPr>
            <w:noProof/>
            <w:webHidden/>
          </w:rPr>
        </w:r>
        <w:r>
          <w:rPr>
            <w:noProof/>
            <w:webHidden/>
          </w:rPr>
          <w:fldChar w:fldCharType="separate"/>
        </w:r>
        <w:r>
          <w:rPr>
            <w:noProof/>
            <w:webHidden/>
          </w:rPr>
          <w:t>382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21" w:history="1">
        <w:r w:rsidRPr="00CC53E5">
          <w:rPr>
            <w:rStyle w:val="Hyperlink"/>
            <w:noProof/>
          </w:rPr>
          <w:t>2.1.838</w:t>
        </w:r>
        <w:r>
          <w:rPr>
            <w:rFonts w:asciiTheme="minorHAnsi" w:eastAsiaTheme="minorEastAsia" w:hAnsiTheme="minorHAnsi" w:cstheme="minorBidi"/>
            <w:noProof/>
            <w:sz w:val="22"/>
            <w:szCs w:val="22"/>
          </w:rPr>
          <w:tab/>
        </w:r>
        <w:r w:rsidRPr="00CC53E5">
          <w:rPr>
            <w:rStyle w:val="Hyperlink"/>
            <w:noProof/>
          </w:rPr>
          <w:t>Part 1 Section 18.14.2, ddeItem (DDE Item definition)</w:t>
        </w:r>
        <w:r>
          <w:rPr>
            <w:noProof/>
            <w:webHidden/>
          </w:rPr>
          <w:tab/>
        </w:r>
        <w:r>
          <w:rPr>
            <w:noProof/>
            <w:webHidden/>
          </w:rPr>
          <w:fldChar w:fldCharType="begin"/>
        </w:r>
        <w:r>
          <w:rPr>
            <w:noProof/>
            <w:webHidden/>
          </w:rPr>
          <w:instrText xml:space="preserve"> PAGEREF _Toc69878621 \h </w:instrText>
        </w:r>
        <w:r>
          <w:rPr>
            <w:noProof/>
            <w:webHidden/>
          </w:rPr>
        </w:r>
        <w:r>
          <w:rPr>
            <w:noProof/>
            <w:webHidden/>
          </w:rPr>
          <w:fldChar w:fldCharType="separate"/>
        </w:r>
        <w:r>
          <w:rPr>
            <w:noProof/>
            <w:webHidden/>
          </w:rPr>
          <w:t>383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22" w:history="1">
        <w:r w:rsidRPr="00CC53E5">
          <w:rPr>
            <w:rStyle w:val="Hyperlink"/>
            <w:noProof/>
          </w:rPr>
          <w:t>2.1.839</w:t>
        </w:r>
        <w:r>
          <w:rPr>
            <w:rFonts w:asciiTheme="minorHAnsi" w:eastAsiaTheme="minorEastAsia" w:hAnsiTheme="minorHAnsi" w:cstheme="minorBidi"/>
            <w:noProof/>
            <w:sz w:val="22"/>
            <w:szCs w:val="22"/>
          </w:rPr>
          <w:tab/>
        </w:r>
        <w:r w:rsidRPr="00CC53E5">
          <w:rPr>
            <w:rStyle w:val="Hyperlink"/>
            <w:noProof/>
          </w:rPr>
          <w:t>Part 1 Section 18.14.4, ddeLink (DDE Connection)</w:t>
        </w:r>
        <w:r>
          <w:rPr>
            <w:noProof/>
            <w:webHidden/>
          </w:rPr>
          <w:tab/>
        </w:r>
        <w:r>
          <w:rPr>
            <w:noProof/>
            <w:webHidden/>
          </w:rPr>
          <w:fldChar w:fldCharType="begin"/>
        </w:r>
        <w:r>
          <w:rPr>
            <w:noProof/>
            <w:webHidden/>
          </w:rPr>
          <w:instrText xml:space="preserve"> PAGEREF _Toc69878622 \h </w:instrText>
        </w:r>
        <w:r>
          <w:rPr>
            <w:noProof/>
            <w:webHidden/>
          </w:rPr>
        </w:r>
        <w:r>
          <w:rPr>
            <w:noProof/>
            <w:webHidden/>
          </w:rPr>
          <w:fldChar w:fldCharType="separate"/>
        </w:r>
        <w:r>
          <w:rPr>
            <w:noProof/>
            <w:webHidden/>
          </w:rPr>
          <w:t>383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23" w:history="1">
        <w:r w:rsidRPr="00CC53E5">
          <w:rPr>
            <w:rStyle w:val="Hyperlink"/>
            <w:noProof/>
          </w:rPr>
          <w:t>2.1.840</w:t>
        </w:r>
        <w:r>
          <w:rPr>
            <w:rFonts w:asciiTheme="minorHAnsi" w:eastAsiaTheme="minorEastAsia" w:hAnsiTheme="minorHAnsi" w:cstheme="minorBidi"/>
            <w:noProof/>
            <w:sz w:val="22"/>
            <w:szCs w:val="22"/>
          </w:rPr>
          <w:tab/>
        </w:r>
        <w:r w:rsidRPr="00CC53E5">
          <w:rPr>
            <w:rStyle w:val="Hyperlink"/>
            <w:noProof/>
          </w:rPr>
          <w:t>Part 1 Section 18.14.5, definedName (Defined Name)</w:t>
        </w:r>
        <w:r>
          <w:rPr>
            <w:noProof/>
            <w:webHidden/>
          </w:rPr>
          <w:tab/>
        </w:r>
        <w:r>
          <w:rPr>
            <w:noProof/>
            <w:webHidden/>
          </w:rPr>
          <w:fldChar w:fldCharType="begin"/>
        </w:r>
        <w:r>
          <w:rPr>
            <w:noProof/>
            <w:webHidden/>
          </w:rPr>
          <w:instrText xml:space="preserve"> PAGEREF _Toc69878623 \h </w:instrText>
        </w:r>
        <w:r>
          <w:rPr>
            <w:noProof/>
            <w:webHidden/>
          </w:rPr>
        </w:r>
        <w:r>
          <w:rPr>
            <w:noProof/>
            <w:webHidden/>
          </w:rPr>
          <w:fldChar w:fldCharType="separate"/>
        </w:r>
        <w:r>
          <w:rPr>
            <w:noProof/>
            <w:webHidden/>
          </w:rPr>
          <w:t>383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24" w:history="1">
        <w:r w:rsidRPr="00CC53E5">
          <w:rPr>
            <w:rStyle w:val="Hyperlink"/>
            <w:noProof/>
          </w:rPr>
          <w:t>2.1.841</w:t>
        </w:r>
        <w:r>
          <w:rPr>
            <w:rFonts w:asciiTheme="minorHAnsi" w:eastAsiaTheme="minorEastAsia" w:hAnsiTheme="minorHAnsi" w:cstheme="minorBidi"/>
            <w:noProof/>
            <w:sz w:val="22"/>
            <w:szCs w:val="22"/>
          </w:rPr>
          <w:tab/>
        </w:r>
        <w:r w:rsidRPr="00CC53E5">
          <w:rPr>
            <w:rStyle w:val="Hyperlink"/>
            <w:noProof/>
          </w:rPr>
          <w:t>Part 1 Section 18.14.8, externalLink (External Reference)</w:t>
        </w:r>
        <w:r>
          <w:rPr>
            <w:noProof/>
            <w:webHidden/>
          </w:rPr>
          <w:tab/>
        </w:r>
        <w:r>
          <w:rPr>
            <w:noProof/>
            <w:webHidden/>
          </w:rPr>
          <w:fldChar w:fldCharType="begin"/>
        </w:r>
        <w:r>
          <w:rPr>
            <w:noProof/>
            <w:webHidden/>
          </w:rPr>
          <w:instrText xml:space="preserve"> PAGEREF _Toc69878624 \h </w:instrText>
        </w:r>
        <w:r>
          <w:rPr>
            <w:noProof/>
            <w:webHidden/>
          </w:rPr>
        </w:r>
        <w:r>
          <w:rPr>
            <w:noProof/>
            <w:webHidden/>
          </w:rPr>
          <w:fldChar w:fldCharType="separate"/>
        </w:r>
        <w:r>
          <w:rPr>
            <w:noProof/>
            <w:webHidden/>
          </w:rPr>
          <w:t>384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25" w:history="1">
        <w:r w:rsidRPr="00CC53E5">
          <w:rPr>
            <w:rStyle w:val="Hyperlink"/>
            <w:noProof/>
          </w:rPr>
          <w:t>2.1.842</w:t>
        </w:r>
        <w:r>
          <w:rPr>
            <w:rFonts w:asciiTheme="minorHAnsi" w:eastAsiaTheme="minorEastAsia" w:hAnsiTheme="minorHAnsi" w:cstheme="minorBidi"/>
            <w:noProof/>
            <w:sz w:val="22"/>
            <w:szCs w:val="22"/>
          </w:rPr>
          <w:tab/>
        </w:r>
        <w:r w:rsidRPr="00CC53E5">
          <w:rPr>
            <w:rStyle w:val="Hyperlink"/>
            <w:noProof/>
          </w:rPr>
          <w:t>Part 1 Section 18.14.9, oleItem (Object Link Item)</w:t>
        </w:r>
        <w:r>
          <w:rPr>
            <w:noProof/>
            <w:webHidden/>
          </w:rPr>
          <w:tab/>
        </w:r>
        <w:r>
          <w:rPr>
            <w:noProof/>
            <w:webHidden/>
          </w:rPr>
          <w:fldChar w:fldCharType="begin"/>
        </w:r>
        <w:r>
          <w:rPr>
            <w:noProof/>
            <w:webHidden/>
          </w:rPr>
          <w:instrText xml:space="preserve"> PAGEREF _Toc69878625 \h </w:instrText>
        </w:r>
        <w:r>
          <w:rPr>
            <w:noProof/>
            <w:webHidden/>
          </w:rPr>
        </w:r>
        <w:r>
          <w:rPr>
            <w:noProof/>
            <w:webHidden/>
          </w:rPr>
          <w:fldChar w:fldCharType="separate"/>
        </w:r>
        <w:r>
          <w:rPr>
            <w:noProof/>
            <w:webHidden/>
          </w:rPr>
          <w:t>384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26" w:history="1">
        <w:r w:rsidRPr="00CC53E5">
          <w:rPr>
            <w:rStyle w:val="Hyperlink"/>
            <w:noProof/>
          </w:rPr>
          <w:t>2.1.843</w:t>
        </w:r>
        <w:r>
          <w:rPr>
            <w:rFonts w:asciiTheme="minorHAnsi" w:eastAsiaTheme="minorEastAsia" w:hAnsiTheme="minorHAnsi" w:cstheme="minorBidi"/>
            <w:noProof/>
            <w:sz w:val="22"/>
            <w:szCs w:val="22"/>
          </w:rPr>
          <w:tab/>
        </w:r>
        <w:r w:rsidRPr="00CC53E5">
          <w:rPr>
            <w:rStyle w:val="Hyperlink"/>
            <w:noProof/>
          </w:rPr>
          <w:t>Part 1 Section 18.14.11, oleLink (Generic Object Link Connection)</w:t>
        </w:r>
        <w:r>
          <w:rPr>
            <w:noProof/>
            <w:webHidden/>
          </w:rPr>
          <w:tab/>
        </w:r>
        <w:r>
          <w:rPr>
            <w:noProof/>
            <w:webHidden/>
          </w:rPr>
          <w:fldChar w:fldCharType="begin"/>
        </w:r>
        <w:r>
          <w:rPr>
            <w:noProof/>
            <w:webHidden/>
          </w:rPr>
          <w:instrText xml:space="preserve"> PAGEREF _Toc69878626 \h </w:instrText>
        </w:r>
        <w:r>
          <w:rPr>
            <w:noProof/>
            <w:webHidden/>
          </w:rPr>
        </w:r>
        <w:r>
          <w:rPr>
            <w:noProof/>
            <w:webHidden/>
          </w:rPr>
          <w:fldChar w:fldCharType="separate"/>
        </w:r>
        <w:r>
          <w:rPr>
            <w:noProof/>
            <w:webHidden/>
          </w:rPr>
          <w:t>384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27" w:history="1">
        <w:r w:rsidRPr="00CC53E5">
          <w:rPr>
            <w:rStyle w:val="Hyperlink"/>
            <w:noProof/>
          </w:rPr>
          <w:t>2.1.844</w:t>
        </w:r>
        <w:r>
          <w:rPr>
            <w:rFonts w:asciiTheme="minorHAnsi" w:eastAsiaTheme="minorEastAsia" w:hAnsiTheme="minorHAnsi" w:cstheme="minorBidi"/>
            <w:noProof/>
            <w:sz w:val="22"/>
            <w:szCs w:val="22"/>
          </w:rPr>
          <w:tab/>
        </w:r>
        <w:r w:rsidRPr="00CC53E5">
          <w:rPr>
            <w:rStyle w:val="Hyperlink"/>
            <w:noProof/>
          </w:rPr>
          <w:t>Part 1 Section 18.14.12, row (Row)</w:t>
        </w:r>
        <w:r>
          <w:rPr>
            <w:noProof/>
            <w:webHidden/>
          </w:rPr>
          <w:tab/>
        </w:r>
        <w:r>
          <w:rPr>
            <w:noProof/>
            <w:webHidden/>
          </w:rPr>
          <w:fldChar w:fldCharType="begin"/>
        </w:r>
        <w:r>
          <w:rPr>
            <w:noProof/>
            <w:webHidden/>
          </w:rPr>
          <w:instrText xml:space="preserve"> PAGEREF _Toc69878627 \h </w:instrText>
        </w:r>
        <w:r>
          <w:rPr>
            <w:noProof/>
            <w:webHidden/>
          </w:rPr>
        </w:r>
        <w:r>
          <w:rPr>
            <w:noProof/>
            <w:webHidden/>
          </w:rPr>
          <w:fldChar w:fldCharType="separate"/>
        </w:r>
        <w:r>
          <w:rPr>
            <w:noProof/>
            <w:webHidden/>
          </w:rPr>
          <w:t>384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28" w:history="1">
        <w:r w:rsidRPr="00CC53E5">
          <w:rPr>
            <w:rStyle w:val="Hyperlink"/>
            <w:noProof/>
          </w:rPr>
          <w:t>2.1.845</w:t>
        </w:r>
        <w:r>
          <w:rPr>
            <w:rFonts w:asciiTheme="minorHAnsi" w:eastAsiaTheme="minorEastAsia" w:hAnsiTheme="minorHAnsi" w:cstheme="minorBidi"/>
            <w:noProof/>
            <w:sz w:val="22"/>
            <w:szCs w:val="22"/>
          </w:rPr>
          <w:tab/>
        </w:r>
        <w:r w:rsidRPr="00CC53E5">
          <w:rPr>
            <w:rStyle w:val="Hyperlink"/>
            <w:noProof/>
          </w:rPr>
          <w:t>Part 1 Section 18.14.13, sheetData (External Sheet Data Set)</w:t>
        </w:r>
        <w:r>
          <w:rPr>
            <w:noProof/>
            <w:webHidden/>
          </w:rPr>
          <w:tab/>
        </w:r>
        <w:r>
          <w:rPr>
            <w:noProof/>
            <w:webHidden/>
          </w:rPr>
          <w:fldChar w:fldCharType="begin"/>
        </w:r>
        <w:r>
          <w:rPr>
            <w:noProof/>
            <w:webHidden/>
          </w:rPr>
          <w:instrText xml:space="preserve"> PAGEREF _Toc69878628 \h </w:instrText>
        </w:r>
        <w:r>
          <w:rPr>
            <w:noProof/>
            <w:webHidden/>
          </w:rPr>
        </w:r>
        <w:r>
          <w:rPr>
            <w:noProof/>
            <w:webHidden/>
          </w:rPr>
          <w:fldChar w:fldCharType="separate"/>
        </w:r>
        <w:r>
          <w:rPr>
            <w:noProof/>
            <w:webHidden/>
          </w:rPr>
          <w:t>384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29" w:history="1">
        <w:r w:rsidRPr="00CC53E5">
          <w:rPr>
            <w:rStyle w:val="Hyperlink"/>
            <w:noProof/>
          </w:rPr>
          <w:t>2.1.846</w:t>
        </w:r>
        <w:r>
          <w:rPr>
            <w:rFonts w:asciiTheme="minorHAnsi" w:eastAsiaTheme="minorEastAsia" w:hAnsiTheme="minorHAnsi" w:cstheme="minorBidi"/>
            <w:noProof/>
            <w:sz w:val="22"/>
            <w:szCs w:val="22"/>
          </w:rPr>
          <w:tab/>
        </w:r>
        <w:r w:rsidRPr="00CC53E5">
          <w:rPr>
            <w:rStyle w:val="Hyperlink"/>
            <w:noProof/>
          </w:rPr>
          <w:t>Part 1 Section 18.14.15, sheetName (Sheet Name)</w:t>
        </w:r>
        <w:r>
          <w:rPr>
            <w:noProof/>
            <w:webHidden/>
          </w:rPr>
          <w:tab/>
        </w:r>
        <w:r>
          <w:rPr>
            <w:noProof/>
            <w:webHidden/>
          </w:rPr>
          <w:fldChar w:fldCharType="begin"/>
        </w:r>
        <w:r>
          <w:rPr>
            <w:noProof/>
            <w:webHidden/>
          </w:rPr>
          <w:instrText xml:space="preserve"> PAGEREF _Toc69878629 \h </w:instrText>
        </w:r>
        <w:r>
          <w:rPr>
            <w:noProof/>
            <w:webHidden/>
          </w:rPr>
        </w:r>
        <w:r>
          <w:rPr>
            <w:noProof/>
            <w:webHidden/>
          </w:rPr>
          <w:fldChar w:fldCharType="separate"/>
        </w:r>
        <w:r>
          <w:rPr>
            <w:noProof/>
            <w:webHidden/>
          </w:rPr>
          <w:t>385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30" w:history="1">
        <w:r w:rsidRPr="00CC53E5">
          <w:rPr>
            <w:rStyle w:val="Hyperlink"/>
            <w:noProof/>
          </w:rPr>
          <w:t>2.1.847</w:t>
        </w:r>
        <w:r>
          <w:rPr>
            <w:rFonts w:asciiTheme="minorHAnsi" w:eastAsiaTheme="minorEastAsia" w:hAnsiTheme="minorHAnsi" w:cstheme="minorBidi"/>
            <w:noProof/>
            <w:sz w:val="22"/>
            <w:szCs w:val="22"/>
          </w:rPr>
          <w:tab/>
        </w:r>
        <w:r w:rsidRPr="00CC53E5">
          <w:rPr>
            <w:rStyle w:val="Hyperlink"/>
            <w:noProof/>
          </w:rPr>
          <w:t>Part 1 Section 18.14.16, sheetNames (Supporting Workbook Sheet Names)</w:t>
        </w:r>
        <w:r>
          <w:rPr>
            <w:noProof/>
            <w:webHidden/>
          </w:rPr>
          <w:tab/>
        </w:r>
        <w:r>
          <w:rPr>
            <w:noProof/>
            <w:webHidden/>
          </w:rPr>
          <w:fldChar w:fldCharType="begin"/>
        </w:r>
        <w:r>
          <w:rPr>
            <w:noProof/>
            <w:webHidden/>
          </w:rPr>
          <w:instrText xml:space="preserve"> PAGEREF _Toc69878630 \h </w:instrText>
        </w:r>
        <w:r>
          <w:rPr>
            <w:noProof/>
            <w:webHidden/>
          </w:rPr>
        </w:r>
        <w:r>
          <w:rPr>
            <w:noProof/>
            <w:webHidden/>
          </w:rPr>
          <w:fldChar w:fldCharType="separate"/>
        </w:r>
        <w:r>
          <w:rPr>
            <w:noProof/>
            <w:webHidden/>
          </w:rPr>
          <w:t>385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31" w:history="1">
        <w:r w:rsidRPr="00CC53E5">
          <w:rPr>
            <w:rStyle w:val="Hyperlink"/>
            <w:noProof/>
          </w:rPr>
          <w:t>2.1.848</w:t>
        </w:r>
        <w:r>
          <w:rPr>
            <w:rFonts w:asciiTheme="minorHAnsi" w:eastAsiaTheme="minorEastAsia" w:hAnsiTheme="minorHAnsi" w:cstheme="minorBidi"/>
            <w:noProof/>
            <w:sz w:val="22"/>
            <w:szCs w:val="22"/>
          </w:rPr>
          <w:tab/>
        </w:r>
        <w:r w:rsidRPr="00CC53E5">
          <w:rPr>
            <w:rStyle w:val="Hyperlink"/>
            <w:noProof/>
          </w:rPr>
          <w:t>Part 1 Section 18.14.17, val (DDE Link Value)</w:t>
        </w:r>
        <w:r>
          <w:rPr>
            <w:noProof/>
            <w:webHidden/>
          </w:rPr>
          <w:tab/>
        </w:r>
        <w:r>
          <w:rPr>
            <w:noProof/>
            <w:webHidden/>
          </w:rPr>
          <w:fldChar w:fldCharType="begin"/>
        </w:r>
        <w:r>
          <w:rPr>
            <w:noProof/>
            <w:webHidden/>
          </w:rPr>
          <w:instrText xml:space="preserve"> PAGEREF _Toc69878631 \h </w:instrText>
        </w:r>
        <w:r>
          <w:rPr>
            <w:noProof/>
            <w:webHidden/>
          </w:rPr>
        </w:r>
        <w:r>
          <w:rPr>
            <w:noProof/>
            <w:webHidden/>
          </w:rPr>
          <w:fldChar w:fldCharType="separate"/>
        </w:r>
        <w:r>
          <w:rPr>
            <w:noProof/>
            <w:webHidden/>
          </w:rPr>
          <w:t>385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32" w:history="1">
        <w:r w:rsidRPr="00CC53E5">
          <w:rPr>
            <w:rStyle w:val="Hyperlink"/>
            <w:noProof/>
          </w:rPr>
          <w:t>2.1.849</w:t>
        </w:r>
        <w:r>
          <w:rPr>
            <w:rFonts w:asciiTheme="minorHAnsi" w:eastAsiaTheme="minorEastAsia" w:hAnsiTheme="minorHAnsi" w:cstheme="minorBidi"/>
            <w:noProof/>
            <w:sz w:val="22"/>
            <w:szCs w:val="22"/>
          </w:rPr>
          <w:tab/>
        </w:r>
        <w:r w:rsidRPr="00CC53E5">
          <w:rPr>
            <w:rStyle w:val="Hyperlink"/>
            <w:noProof/>
          </w:rPr>
          <w:t>Part 1 Section 18.14.18, value (Value)</w:t>
        </w:r>
        <w:r>
          <w:rPr>
            <w:noProof/>
            <w:webHidden/>
          </w:rPr>
          <w:tab/>
        </w:r>
        <w:r>
          <w:rPr>
            <w:noProof/>
            <w:webHidden/>
          </w:rPr>
          <w:fldChar w:fldCharType="begin"/>
        </w:r>
        <w:r>
          <w:rPr>
            <w:noProof/>
            <w:webHidden/>
          </w:rPr>
          <w:instrText xml:space="preserve"> PAGEREF _Toc69878632 \h </w:instrText>
        </w:r>
        <w:r>
          <w:rPr>
            <w:noProof/>
            <w:webHidden/>
          </w:rPr>
        </w:r>
        <w:r>
          <w:rPr>
            <w:noProof/>
            <w:webHidden/>
          </w:rPr>
          <w:fldChar w:fldCharType="separate"/>
        </w:r>
        <w:r>
          <w:rPr>
            <w:noProof/>
            <w:webHidden/>
          </w:rPr>
          <w:t>385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33" w:history="1">
        <w:r w:rsidRPr="00CC53E5">
          <w:rPr>
            <w:rStyle w:val="Hyperlink"/>
            <w:noProof/>
          </w:rPr>
          <w:t>2.1.850</w:t>
        </w:r>
        <w:r>
          <w:rPr>
            <w:rFonts w:asciiTheme="minorHAnsi" w:eastAsiaTheme="minorEastAsia" w:hAnsiTheme="minorHAnsi" w:cstheme="minorBidi"/>
            <w:noProof/>
            <w:sz w:val="22"/>
            <w:szCs w:val="22"/>
          </w:rPr>
          <w:tab/>
        </w:r>
        <w:r w:rsidRPr="00CC53E5">
          <w:rPr>
            <w:rStyle w:val="Hyperlink"/>
            <w:noProof/>
          </w:rPr>
          <w:t>Part 1 Section 18.14.19, values (DDE Name Values)</w:t>
        </w:r>
        <w:r>
          <w:rPr>
            <w:noProof/>
            <w:webHidden/>
          </w:rPr>
          <w:tab/>
        </w:r>
        <w:r>
          <w:rPr>
            <w:noProof/>
            <w:webHidden/>
          </w:rPr>
          <w:fldChar w:fldCharType="begin"/>
        </w:r>
        <w:r>
          <w:rPr>
            <w:noProof/>
            <w:webHidden/>
          </w:rPr>
          <w:instrText xml:space="preserve"> PAGEREF _Toc69878633 \h </w:instrText>
        </w:r>
        <w:r>
          <w:rPr>
            <w:noProof/>
            <w:webHidden/>
          </w:rPr>
        </w:r>
        <w:r>
          <w:rPr>
            <w:noProof/>
            <w:webHidden/>
          </w:rPr>
          <w:fldChar w:fldCharType="separate"/>
        </w:r>
        <w:r>
          <w:rPr>
            <w:noProof/>
            <w:webHidden/>
          </w:rPr>
          <w:t>385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34" w:history="1">
        <w:r w:rsidRPr="00CC53E5">
          <w:rPr>
            <w:rStyle w:val="Hyperlink"/>
            <w:noProof/>
          </w:rPr>
          <w:t>2.1.851</w:t>
        </w:r>
        <w:r>
          <w:rPr>
            <w:rFonts w:asciiTheme="minorHAnsi" w:eastAsiaTheme="minorEastAsia" w:hAnsiTheme="minorHAnsi" w:cstheme="minorBidi"/>
            <w:noProof/>
            <w:sz w:val="22"/>
            <w:szCs w:val="22"/>
          </w:rPr>
          <w:tab/>
        </w:r>
        <w:r w:rsidRPr="00CC53E5">
          <w:rPr>
            <w:rStyle w:val="Hyperlink"/>
            <w:noProof/>
          </w:rPr>
          <w:t>Part 1 Section 18.15.1, main (Main)</w:t>
        </w:r>
        <w:r>
          <w:rPr>
            <w:noProof/>
            <w:webHidden/>
          </w:rPr>
          <w:tab/>
        </w:r>
        <w:r>
          <w:rPr>
            <w:noProof/>
            <w:webHidden/>
          </w:rPr>
          <w:fldChar w:fldCharType="begin"/>
        </w:r>
        <w:r>
          <w:rPr>
            <w:noProof/>
            <w:webHidden/>
          </w:rPr>
          <w:instrText xml:space="preserve"> PAGEREF _Toc69878634 \h </w:instrText>
        </w:r>
        <w:r>
          <w:rPr>
            <w:noProof/>
            <w:webHidden/>
          </w:rPr>
        </w:r>
        <w:r>
          <w:rPr>
            <w:noProof/>
            <w:webHidden/>
          </w:rPr>
          <w:fldChar w:fldCharType="separate"/>
        </w:r>
        <w:r>
          <w:rPr>
            <w:noProof/>
            <w:webHidden/>
          </w:rPr>
          <w:t>385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35" w:history="1">
        <w:r w:rsidRPr="00CC53E5">
          <w:rPr>
            <w:rStyle w:val="Hyperlink"/>
            <w:noProof/>
          </w:rPr>
          <w:t>2.1.852</w:t>
        </w:r>
        <w:r>
          <w:rPr>
            <w:rFonts w:asciiTheme="minorHAnsi" w:eastAsiaTheme="minorEastAsia" w:hAnsiTheme="minorHAnsi" w:cstheme="minorBidi"/>
            <w:noProof/>
            <w:sz w:val="22"/>
            <w:szCs w:val="22"/>
          </w:rPr>
          <w:tab/>
        </w:r>
        <w:r w:rsidRPr="00CC53E5">
          <w:rPr>
            <w:rStyle w:val="Hyperlink"/>
            <w:noProof/>
          </w:rPr>
          <w:t>Part 1 Section 18.15.2, stp (Strings in Subtopic)</w:t>
        </w:r>
        <w:r>
          <w:rPr>
            <w:noProof/>
            <w:webHidden/>
          </w:rPr>
          <w:tab/>
        </w:r>
        <w:r>
          <w:rPr>
            <w:noProof/>
            <w:webHidden/>
          </w:rPr>
          <w:fldChar w:fldCharType="begin"/>
        </w:r>
        <w:r>
          <w:rPr>
            <w:noProof/>
            <w:webHidden/>
          </w:rPr>
          <w:instrText xml:space="preserve"> PAGEREF _Toc69878635 \h </w:instrText>
        </w:r>
        <w:r>
          <w:rPr>
            <w:noProof/>
            <w:webHidden/>
          </w:rPr>
        </w:r>
        <w:r>
          <w:rPr>
            <w:noProof/>
            <w:webHidden/>
          </w:rPr>
          <w:fldChar w:fldCharType="separate"/>
        </w:r>
        <w:r>
          <w:rPr>
            <w:noProof/>
            <w:webHidden/>
          </w:rPr>
          <w:t>385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36" w:history="1">
        <w:r w:rsidRPr="00CC53E5">
          <w:rPr>
            <w:rStyle w:val="Hyperlink"/>
            <w:noProof/>
          </w:rPr>
          <w:t>2.1.853</w:t>
        </w:r>
        <w:r>
          <w:rPr>
            <w:rFonts w:asciiTheme="minorHAnsi" w:eastAsiaTheme="minorEastAsia" w:hAnsiTheme="minorHAnsi" w:cstheme="minorBidi"/>
            <w:noProof/>
            <w:sz w:val="22"/>
            <w:szCs w:val="22"/>
          </w:rPr>
          <w:tab/>
        </w:r>
        <w:r w:rsidRPr="00CC53E5">
          <w:rPr>
            <w:rStyle w:val="Hyperlink"/>
            <w:noProof/>
          </w:rPr>
          <w:t>Part 1 Section 18.15.3, tp (Topic)</w:t>
        </w:r>
        <w:r>
          <w:rPr>
            <w:noProof/>
            <w:webHidden/>
          </w:rPr>
          <w:tab/>
        </w:r>
        <w:r>
          <w:rPr>
            <w:noProof/>
            <w:webHidden/>
          </w:rPr>
          <w:fldChar w:fldCharType="begin"/>
        </w:r>
        <w:r>
          <w:rPr>
            <w:noProof/>
            <w:webHidden/>
          </w:rPr>
          <w:instrText xml:space="preserve"> PAGEREF _Toc69878636 \h </w:instrText>
        </w:r>
        <w:r>
          <w:rPr>
            <w:noProof/>
            <w:webHidden/>
          </w:rPr>
        </w:r>
        <w:r>
          <w:rPr>
            <w:noProof/>
            <w:webHidden/>
          </w:rPr>
          <w:fldChar w:fldCharType="separate"/>
        </w:r>
        <w:r>
          <w:rPr>
            <w:noProof/>
            <w:webHidden/>
          </w:rPr>
          <w:t>386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37" w:history="1">
        <w:r w:rsidRPr="00CC53E5">
          <w:rPr>
            <w:rStyle w:val="Hyperlink"/>
            <w:noProof/>
          </w:rPr>
          <w:t>2.1.854</w:t>
        </w:r>
        <w:r>
          <w:rPr>
            <w:rFonts w:asciiTheme="minorHAnsi" w:eastAsiaTheme="minorEastAsia" w:hAnsiTheme="minorHAnsi" w:cstheme="minorBidi"/>
            <w:noProof/>
            <w:sz w:val="22"/>
            <w:szCs w:val="22"/>
          </w:rPr>
          <w:tab/>
        </w:r>
        <w:r w:rsidRPr="00CC53E5">
          <w:rPr>
            <w:rStyle w:val="Hyperlink"/>
            <w:noProof/>
          </w:rPr>
          <w:t>Part 1 Section 18.15.4, tr (References)</w:t>
        </w:r>
        <w:r>
          <w:rPr>
            <w:noProof/>
            <w:webHidden/>
          </w:rPr>
          <w:tab/>
        </w:r>
        <w:r>
          <w:rPr>
            <w:noProof/>
            <w:webHidden/>
          </w:rPr>
          <w:fldChar w:fldCharType="begin"/>
        </w:r>
        <w:r>
          <w:rPr>
            <w:noProof/>
            <w:webHidden/>
          </w:rPr>
          <w:instrText xml:space="preserve"> PAGEREF _Toc69878637 \h </w:instrText>
        </w:r>
        <w:r>
          <w:rPr>
            <w:noProof/>
            <w:webHidden/>
          </w:rPr>
        </w:r>
        <w:r>
          <w:rPr>
            <w:noProof/>
            <w:webHidden/>
          </w:rPr>
          <w:fldChar w:fldCharType="separate"/>
        </w:r>
        <w:r>
          <w:rPr>
            <w:noProof/>
            <w:webHidden/>
          </w:rPr>
          <w:t>386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38" w:history="1">
        <w:r w:rsidRPr="00CC53E5">
          <w:rPr>
            <w:rStyle w:val="Hyperlink"/>
            <w:noProof/>
          </w:rPr>
          <w:t>2.1.855</w:t>
        </w:r>
        <w:r>
          <w:rPr>
            <w:rFonts w:asciiTheme="minorHAnsi" w:eastAsiaTheme="minorEastAsia" w:hAnsiTheme="minorHAnsi" w:cstheme="minorBidi"/>
            <w:noProof/>
            <w:sz w:val="22"/>
            <w:szCs w:val="22"/>
          </w:rPr>
          <w:tab/>
        </w:r>
        <w:r w:rsidRPr="00CC53E5">
          <w:rPr>
            <w:rStyle w:val="Hyperlink"/>
            <w:noProof/>
          </w:rPr>
          <w:t>Part 1 Section 18.16.1, DataBinding (XML Mapping)</w:t>
        </w:r>
        <w:r>
          <w:rPr>
            <w:noProof/>
            <w:webHidden/>
          </w:rPr>
          <w:tab/>
        </w:r>
        <w:r>
          <w:rPr>
            <w:noProof/>
            <w:webHidden/>
          </w:rPr>
          <w:fldChar w:fldCharType="begin"/>
        </w:r>
        <w:r>
          <w:rPr>
            <w:noProof/>
            <w:webHidden/>
          </w:rPr>
          <w:instrText xml:space="preserve"> PAGEREF _Toc69878638 \h </w:instrText>
        </w:r>
        <w:r>
          <w:rPr>
            <w:noProof/>
            <w:webHidden/>
          </w:rPr>
        </w:r>
        <w:r>
          <w:rPr>
            <w:noProof/>
            <w:webHidden/>
          </w:rPr>
          <w:fldChar w:fldCharType="separate"/>
        </w:r>
        <w:r>
          <w:rPr>
            <w:noProof/>
            <w:webHidden/>
          </w:rPr>
          <w:t>386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39" w:history="1">
        <w:r w:rsidRPr="00CC53E5">
          <w:rPr>
            <w:rStyle w:val="Hyperlink"/>
            <w:noProof/>
          </w:rPr>
          <w:t>2.1.856</w:t>
        </w:r>
        <w:r>
          <w:rPr>
            <w:rFonts w:asciiTheme="minorHAnsi" w:eastAsiaTheme="minorEastAsia" w:hAnsiTheme="minorHAnsi" w:cstheme="minorBidi"/>
            <w:noProof/>
            <w:sz w:val="22"/>
            <w:szCs w:val="22"/>
          </w:rPr>
          <w:tab/>
        </w:r>
        <w:r w:rsidRPr="00CC53E5">
          <w:rPr>
            <w:rStyle w:val="Hyperlink"/>
            <w:noProof/>
          </w:rPr>
          <w:t>Part 1 Section 18.16.2, Map (XML Mapping Properties)</w:t>
        </w:r>
        <w:r>
          <w:rPr>
            <w:noProof/>
            <w:webHidden/>
          </w:rPr>
          <w:tab/>
        </w:r>
        <w:r>
          <w:rPr>
            <w:noProof/>
            <w:webHidden/>
          </w:rPr>
          <w:fldChar w:fldCharType="begin"/>
        </w:r>
        <w:r>
          <w:rPr>
            <w:noProof/>
            <w:webHidden/>
          </w:rPr>
          <w:instrText xml:space="preserve"> PAGEREF _Toc69878639 \h </w:instrText>
        </w:r>
        <w:r>
          <w:rPr>
            <w:noProof/>
            <w:webHidden/>
          </w:rPr>
        </w:r>
        <w:r>
          <w:rPr>
            <w:noProof/>
            <w:webHidden/>
          </w:rPr>
          <w:fldChar w:fldCharType="separate"/>
        </w:r>
        <w:r>
          <w:rPr>
            <w:noProof/>
            <w:webHidden/>
          </w:rPr>
          <w:t>387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40" w:history="1">
        <w:r w:rsidRPr="00CC53E5">
          <w:rPr>
            <w:rStyle w:val="Hyperlink"/>
            <w:noProof/>
          </w:rPr>
          <w:t>2.1.857</w:t>
        </w:r>
        <w:r>
          <w:rPr>
            <w:rFonts w:asciiTheme="minorHAnsi" w:eastAsiaTheme="minorEastAsia" w:hAnsiTheme="minorHAnsi" w:cstheme="minorBidi"/>
            <w:noProof/>
            <w:sz w:val="22"/>
            <w:szCs w:val="22"/>
          </w:rPr>
          <w:tab/>
        </w:r>
        <w:r w:rsidRPr="00CC53E5">
          <w:rPr>
            <w:rStyle w:val="Hyperlink"/>
            <w:noProof/>
          </w:rPr>
          <w:t>Part 1 Section 18.16.4, Schema (XML Schema)</w:t>
        </w:r>
        <w:r>
          <w:rPr>
            <w:noProof/>
            <w:webHidden/>
          </w:rPr>
          <w:tab/>
        </w:r>
        <w:r>
          <w:rPr>
            <w:noProof/>
            <w:webHidden/>
          </w:rPr>
          <w:fldChar w:fldCharType="begin"/>
        </w:r>
        <w:r>
          <w:rPr>
            <w:noProof/>
            <w:webHidden/>
          </w:rPr>
          <w:instrText xml:space="preserve"> PAGEREF _Toc69878640 \h </w:instrText>
        </w:r>
        <w:r>
          <w:rPr>
            <w:noProof/>
            <w:webHidden/>
          </w:rPr>
        </w:r>
        <w:r>
          <w:rPr>
            <w:noProof/>
            <w:webHidden/>
          </w:rPr>
          <w:fldChar w:fldCharType="separate"/>
        </w:r>
        <w:r>
          <w:rPr>
            <w:noProof/>
            <w:webHidden/>
          </w:rPr>
          <w:t>387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41" w:history="1">
        <w:r w:rsidRPr="00CC53E5">
          <w:rPr>
            <w:rStyle w:val="Hyperlink"/>
            <w:noProof/>
          </w:rPr>
          <w:t>2.1.858</w:t>
        </w:r>
        <w:r>
          <w:rPr>
            <w:rFonts w:asciiTheme="minorHAnsi" w:eastAsiaTheme="minorEastAsia" w:hAnsiTheme="minorHAnsi" w:cstheme="minorBidi"/>
            <w:noProof/>
            <w:sz w:val="22"/>
            <w:szCs w:val="22"/>
          </w:rPr>
          <w:tab/>
        </w:r>
        <w:r w:rsidRPr="00CC53E5">
          <w:rPr>
            <w:rStyle w:val="Hyperlink"/>
            <w:noProof/>
          </w:rPr>
          <w:t>Part 1 Section 18.17, Formulas</w:t>
        </w:r>
        <w:r>
          <w:rPr>
            <w:noProof/>
            <w:webHidden/>
          </w:rPr>
          <w:tab/>
        </w:r>
        <w:r>
          <w:rPr>
            <w:noProof/>
            <w:webHidden/>
          </w:rPr>
          <w:fldChar w:fldCharType="begin"/>
        </w:r>
        <w:r>
          <w:rPr>
            <w:noProof/>
            <w:webHidden/>
          </w:rPr>
          <w:instrText xml:space="preserve"> PAGEREF _Toc69878641 \h </w:instrText>
        </w:r>
        <w:r>
          <w:rPr>
            <w:noProof/>
            <w:webHidden/>
          </w:rPr>
        </w:r>
        <w:r>
          <w:rPr>
            <w:noProof/>
            <w:webHidden/>
          </w:rPr>
          <w:fldChar w:fldCharType="separate"/>
        </w:r>
        <w:r>
          <w:rPr>
            <w:noProof/>
            <w:webHidden/>
          </w:rPr>
          <w:t>388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42" w:history="1">
        <w:r w:rsidRPr="00CC53E5">
          <w:rPr>
            <w:rStyle w:val="Hyperlink"/>
            <w:noProof/>
          </w:rPr>
          <w:t>2.1.859</w:t>
        </w:r>
        <w:r>
          <w:rPr>
            <w:rFonts w:asciiTheme="minorHAnsi" w:eastAsiaTheme="minorEastAsia" w:hAnsiTheme="minorHAnsi" w:cstheme="minorBidi"/>
            <w:noProof/>
            <w:sz w:val="22"/>
            <w:szCs w:val="22"/>
          </w:rPr>
          <w:tab/>
        </w:r>
        <w:r w:rsidRPr="00CC53E5">
          <w:rPr>
            <w:rStyle w:val="Hyperlink"/>
            <w:noProof/>
          </w:rPr>
          <w:t>Part 1 Section 18.17.2, Syntax</w:t>
        </w:r>
        <w:r>
          <w:rPr>
            <w:noProof/>
            <w:webHidden/>
          </w:rPr>
          <w:tab/>
        </w:r>
        <w:r>
          <w:rPr>
            <w:noProof/>
            <w:webHidden/>
          </w:rPr>
          <w:fldChar w:fldCharType="begin"/>
        </w:r>
        <w:r>
          <w:rPr>
            <w:noProof/>
            <w:webHidden/>
          </w:rPr>
          <w:instrText xml:space="preserve"> PAGEREF _Toc69878642 \h </w:instrText>
        </w:r>
        <w:r>
          <w:rPr>
            <w:noProof/>
            <w:webHidden/>
          </w:rPr>
        </w:r>
        <w:r>
          <w:rPr>
            <w:noProof/>
            <w:webHidden/>
          </w:rPr>
          <w:fldChar w:fldCharType="separate"/>
        </w:r>
        <w:r>
          <w:rPr>
            <w:noProof/>
            <w:webHidden/>
          </w:rPr>
          <w:t>389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43" w:history="1">
        <w:r w:rsidRPr="00CC53E5">
          <w:rPr>
            <w:rStyle w:val="Hyperlink"/>
            <w:noProof/>
          </w:rPr>
          <w:t>2.1.860</w:t>
        </w:r>
        <w:r>
          <w:rPr>
            <w:rFonts w:asciiTheme="minorHAnsi" w:eastAsiaTheme="minorEastAsia" w:hAnsiTheme="minorHAnsi" w:cstheme="minorBidi"/>
            <w:noProof/>
            <w:sz w:val="22"/>
            <w:szCs w:val="22"/>
          </w:rPr>
          <w:tab/>
        </w:r>
        <w:r w:rsidRPr="00CC53E5">
          <w:rPr>
            <w:rStyle w:val="Hyperlink"/>
            <w:noProof/>
          </w:rPr>
          <w:t>Part 1 Section 18.17.2.1, Constants</w:t>
        </w:r>
        <w:r>
          <w:rPr>
            <w:noProof/>
            <w:webHidden/>
          </w:rPr>
          <w:tab/>
        </w:r>
        <w:r>
          <w:rPr>
            <w:noProof/>
            <w:webHidden/>
          </w:rPr>
          <w:fldChar w:fldCharType="begin"/>
        </w:r>
        <w:r>
          <w:rPr>
            <w:noProof/>
            <w:webHidden/>
          </w:rPr>
          <w:instrText xml:space="preserve"> PAGEREF _Toc69878643 \h </w:instrText>
        </w:r>
        <w:r>
          <w:rPr>
            <w:noProof/>
            <w:webHidden/>
          </w:rPr>
        </w:r>
        <w:r>
          <w:rPr>
            <w:noProof/>
            <w:webHidden/>
          </w:rPr>
          <w:fldChar w:fldCharType="separate"/>
        </w:r>
        <w:r>
          <w:rPr>
            <w:noProof/>
            <w:webHidden/>
          </w:rPr>
          <w:t>393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44" w:history="1">
        <w:r w:rsidRPr="00CC53E5">
          <w:rPr>
            <w:rStyle w:val="Hyperlink"/>
            <w:noProof/>
          </w:rPr>
          <w:t>2.1.861</w:t>
        </w:r>
        <w:r>
          <w:rPr>
            <w:rFonts w:asciiTheme="minorHAnsi" w:eastAsiaTheme="minorEastAsia" w:hAnsiTheme="minorHAnsi" w:cstheme="minorBidi"/>
            <w:noProof/>
            <w:sz w:val="22"/>
            <w:szCs w:val="22"/>
          </w:rPr>
          <w:tab/>
        </w:r>
        <w:r w:rsidRPr="00CC53E5">
          <w:rPr>
            <w:rStyle w:val="Hyperlink"/>
            <w:noProof/>
          </w:rPr>
          <w:t>Part 1 Section 18.17.2.2, Operators</w:t>
        </w:r>
        <w:r>
          <w:rPr>
            <w:noProof/>
            <w:webHidden/>
          </w:rPr>
          <w:tab/>
        </w:r>
        <w:r>
          <w:rPr>
            <w:noProof/>
            <w:webHidden/>
          </w:rPr>
          <w:fldChar w:fldCharType="begin"/>
        </w:r>
        <w:r>
          <w:rPr>
            <w:noProof/>
            <w:webHidden/>
          </w:rPr>
          <w:instrText xml:space="preserve"> PAGEREF _Toc69878644 \h </w:instrText>
        </w:r>
        <w:r>
          <w:rPr>
            <w:noProof/>
            <w:webHidden/>
          </w:rPr>
        </w:r>
        <w:r>
          <w:rPr>
            <w:noProof/>
            <w:webHidden/>
          </w:rPr>
          <w:fldChar w:fldCharType="separate"/>
        </w:r>
        <w:r>
          <w:rPr>
            <w:noProof/>
            <w:webHidden/>
          </w:rPr>
          <w:t>394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45" w:history="1">
        <w:r w:rsidRPr="00CC53E5">
          <w:rPr>
            <w:rStyle w:val="Hyperlink"/>
            <w:noProof/>
          </w:rPr>
          <w:t>2.1.862</w:t>
        </w:r>
        <w:r>
          <w:rPr>
            <w:rFonts w:asciiTheme="minorHAnsi" w:eastAsiaTheme="minorEastAsia" w:hAnsiTheme="minorHAnsi" w:cstheme="minorBidi"/>
            <w:noProof/>
            <w:sz w:val="22"/>
            <w:szCs w:val="22"/>
          </w:rPr>
          <w:tab/>
        </w:r>
        <w:r w:rsidRPr="00CC53E5">
          <w:rPr>
            <w:rStyle w:val="Hyperlink"/>
            <w:noProof/>
          </w:rPr>
          <w:t>Part 1 Section 18.17.2.3, Cell References</w:t>
        </w:r>
        <w:r>
          <w:rPr>
            <w:noProof/>
            <w:webHidden/>
          </w:rPr>
          <w:tab/>
        </w:r>
        <w:r>
          <w:rPr>
            <w:noProof/>
            <w:webHidden/>
          </w:rPr>
          <w:fldChar w:fldCharType="begin"/>
        </w:r>
        <w:r>
          <w:rPr>
            <w:noProof/>
            <w:webHidden/>
          </w:rPr>
          <w:instrText xml:space="preserve"> PAGEREF _Toc69878645 \h </w:instrText>
        </w:r>
        <w:r>
          <w:rPr>
            <w:noProof/>
            <w:webHidden/>
          </w:rPr>
        </w:r>
        <w:r>
          <w:rPr>
            <w:noProof/>
            <w:webHidden/>
          </w:rPr>
          <w:fldChar w:fldCharType="separate"/>
        </w:r>
        <w:r>
          <w:rPr>
            <w:noProof/>
            <w:webHidden/>
          </w:rPr>
          <w:t>395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46" w:history="1">
        <w:r w:rsidRPr="00CC53E5">
          <w:rPr>
            <w:rStyle w:val="Hyperlink"/>
            <w:noProof/>
          </w:rPr>
          <w:t>2.1.863</w:t>
        </w:r>
        <w:r>
          <w:rPr>
            <w:rFonts w:asciiTheme="minorHAnsi" w:eastAsiaTheme="minorEastAsia" w:hAnsiTheme="minorHAnsi" w:cstheme="minorBidi"/>
            <w:noProof/>
            <w:sz w:val="22"/>
            <w:szCs w:val="22"/>
          </w:rPr>
          <w:tab/>
        </w:r>
        <w:r w:rsidRPr="00CC53E5">
          <w:rPr>
            <w:rStyle w:val="Hyperlink"/>
            <w:noProof/>
          </w:rPr>
          <w:t>Part 1 Section 18.17.2.3.1, A1-Style Cell References</w:t>
        </w:r>
        <w:r>
          <w:rPr>
            <w:noProof/>
            <w:webHidden/>
          </w:rPr>
          <w:tab/>
        </w:r>
        <w:r>
          <w:rPr>
            <w:noProof/>
            <w:webHidden/>
          </w:rPr>
          <w:fldChar w:fldCharType="begin"/>
        </w:r>
        <w:r>
          <w:rPr>
            <w:noProof/>
            <w:webHidden/>
          </w:rPr>
          <w:instrText xml:space="preserve"> PAGEREF _Toc69878646 \h </w:instrText>
        </w:r>
        <w:r>
          <w:rPr>
            <w:noProof/>
            <w:webHidden/>
          </w:rPr>
        </w:r>
        <w:r>
          <w:rPr>
            <w:noProof/>
            <w:webHidden/>
          </w:rPr>
          <w:fldChar w:fldCharType="separate"/>
        </w:r>
        <w:r>
          <w:rPr>
            <w:noProof/>
            <w:webHidden/>
          </w:rPr>
          <w:t>396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47" w:history="1">
        <w:r w:rsidRPr="00CC53E5">
          <w:rPr>
            <w:rStyle w:val="Hyperlink"/>
            <w:noProof/>
          </w:rPr>
          <w:t>2.1.864</w:t>
        </w:r>
        <w:r>
          <w:rPr>
            <w:rFonts w:asciiTheme="minorHAnsi" w:eastAsiaTheme="minorEastAsia" w:hAnsiTheme="minorHAnsi" w:cstheme="minorBidi"/>
            <w:noProof/>
            <w:sz w:val="22"/>
            <w:szCs w:val="22"/>
          </w:rPr>
          <w:tab/>
        </w:r>
        <w:r w:rsidRPr="00CC53E5">
          <w:rPr>
            <w:rStyle w:val="Hyperlink"/>
            <w:noProof/>
          </w:rPr>
          <w:t>Part 1 Section 18.17.2.3.2, R1C1-Style Cell Reference</w:t>
        </w:r>
        <w:r>
          <w:rPr>
            <w:noProof/>
            <w:webHidden/>
          </w:rPr>
          <w:tab/>
        </w:r>
        <w:r>
          <w:rPr>
            <w:noProof/>
            <w:webHidden/>
          </w:rPr>
          <w:fldChar w:fldCharType="begin"/>
        </w:r>
        <w:r>
          <w:rPr>
            <w:noProof/>
            <w:webHidden/>
          </w:rPr>
          <w:instrText xml:space="preserve"> PAGEREF _Toc69878647 \h </w:instrText>
        </w:r>
        <w:r>
          <w:rPr>
            <w:noProof/>
            <w:webHidden/>
          </w:rPr>
        </w:r>
        <w:r>
          <w:rPr>
            <w:noProof/>
            <w:webHidden/>
          </w:rPr>
          <w:fldChar w:fldCharType="separate"/>
        </w:r>
        <w:r>
          <w:rPr>
            <w:noProof/>
            <w:webHidden/>
          </w:rPr>
          <w:t>396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48" w:history="1">
        <w:r w:rsidRPr="00CC53E5">
          <w:rPr>
            <w:rStyle w:val="Hyperlink"/>
            <w:noProof/>
          </w:rPr>
          <w:t>2.1.865</w:t>
        </w:r>
        <w:r>
          <w:rPr>
            <w:rFonts w:asciiTheme="minorHAnsi" w:eastAsiaTheme="minorEastAsia" w:hAnsiTheme="minorHAnsi" w:cstheme="minorBidi"/>
            <w:noProof/>
            <w:sz w:val="22"/>
            <w:szCs w:val="22"/>
          </w:rPr>
          <w:tab/>
        </w:r>
        <w:r w:rsidRPr="00CC53E5">
          <w:rPr>
            <w:rStyle w:val="Hyperlink"/>
            <w:noProof/>
          </w:rPr>
          <w:t>Part 1 Section 18.17.2.4, Functions</w:t>
        </w:r>
        <w:r>
          <w:rPr>
            <w:noProof/>
            <w:webHidden/>
          </w:rPr>
          <w:tab/>
        </w:r>
        <w:r>
          <w:rPr>
            <w:noProof/>
            <w:webHidden/>
          </w:rPr>
          <w:fldChar w:fldCharType="begin"/>
        </w:r>
        <w:r>
          <w:rPr>
            <w:noProof/>
            <w:webHidden/>
          </w:rPr>
          <w:instrText xml:space="preserve"> PAGEREF _Toc69878648 \h </w:instrText>
        </w:r>
        <w:r>
          <w:rPr>
            <w:noProof/>
            <w:webHidden/>
          </w:rPr>
        </w:r>
        <w:r>
          <w:rPr>
            <w:noProof/>
            <w:webHidden/>
          </w:rPr>
          <w:fldChar w:fldCharType="separate"/>
        </w:r>
        <w:r>
          <w:rPr>
            <w:noProof/>
            <w:webHidden/>
          </w:rPr>
          <w:t>397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49" w:history="1">
        <w:r w:rsidRPr="00CC53E5">
          <w:rPr>
            <w:rStyle w:val="Hyperlink"/>
            <w:noProof/>
          </w:rPr>
          <w:t>2.1.866</w:t>
        </w:r>
        <w:r>
          <w:rPr>
            <w:rFonts w:asciiTheme="minorHAnsi" w:eastAsiaTheme="minorEastAsia" w:hAnsiTheme="minorHAnsi" w:cstheme="minorBidi"/>
            <w:noProof/>
            <w:sz w:val="22"/>
            <w:szCs w:val="22"/>
          </w:rPr>
          <w:tab/>
        </w:r>
        <w:r w:rsidRPr="00CC53E5">
          <w:rPr>
            <w:rStyle w:val="Hyperlink"/>
            <w:noProof/>
          </w:rPr>
          <w:t>Part 1 Section 18.17.2.5, Names</w:t>
        </w:r>
        <w:r>
          <w:rPr>
            <w:noProof/>
            <w:webHidden/>
          </w:rPr>
          <w:tab/>
        </w:r>
        <w:r>
          <w:rPr>
            <w:noProof/>
            <w:webHidden/>
          </w:rPr>
          <w:fldChar w:fldCharType="begin"/>
        </w:r>
        <w:r>
          <w:rPr>
            <w:noProof/>
            <w:webHidden/>
          </w:rPr>
          <w:instrText xml:space="preserve"> PAGEREF _Toc69878649 \h </w:instrText>
        </w:r>
        <w:r>
          <w:rPr>
            <w:noProof/>
            <w:webHidden/>
          </w:rPr>
        </w:r>
        <w:r>
          <w:rPr>
            <w:noProof/>
            <w:webHidden/>
          </w:rPr>
          <w:fldChar w:fldCharType="separate"/>
        </w:r>
        <w:r>
          <w:rPr>
            <w:noProof/>
            <w:webHidden/>
          </w:rPr>
          <w:t>397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50" w:history="1">
        <w:r w:rsidRPr="00CC53E5">
          <w:rPr>
            <w:rStyle w:val="Hyperlink"/>
            <w:noProof/>
          </w:rPr>
          <w:t>2.1.867</w:t>
        </w:r>
        <w:r>
          <w:rPr>
            <w:rFonts w:asciiTheme="minorHAnsi" w:eastAsiaTheme="minorEastAsia" w:hAnsiTheme="minorHAnsi" w:cstheme="minorBidi"/>
            <w:noProof/>
            <w:sz w:val="22"/>
            <w:szCs w:val="22"/>
          </w:rPr>
          <w:tab/>
        </w:r>
        <w:r w:rsidRPr="00CC53E5">
          <w:rPr>
            <w:rStyle w:val="Hyperlink"/>
            <w:noProof/>
          </w:rPr>
          <w:t>Part 1 Section 18.17.2.6, Types and Values</w:t>
        </w:r>
        <w:r>
          <w:rPr>
            <w:noProof/>
            <w:webHidden/>
          </w:rPr>
          <w:tab/>
        </w:r>
        <w:r>
          <w:rPr>
            <w:noProof/>
            <w:webHidden/>
          </w:rPr>
          <w:fldChar w:fldCharType="begin"/>
        </w:r>
        <w:r>
          <w:rPr>
            <w:noProof/>
            <w:webHidden/>
          </w:rPr>
          <w:instrText xml:space="preserve"> PAGEREF _Toc69878650 \h </w:instrText>
        </w:r>
        <w:r>
          <w:rPr>
            <w:noProof/>
            <w:webHidden/>
          </w:rPr>
        </w:r>
        <w:r>
          <w:rPr>
            <w:noProof/>
            <w:webHidden/>
          </w:rPr>
          <w:fldChar w:fldCharType="separate"/>
        </w:r>
        <w:r>
          <w:rPr>
            <w:noProof/>
            <w:webHidden/>
          </w:rPr>
          <w:t>398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51" w:history="1">
        <w:r w:rsidRPr="00CC53E5">
          <w:rPr>
            <w:rStyle w:val="Hyperlink"/>
            <w:noProof/>
          </w:rPr>
          <w:t>2.1.868</w:t>
        </w:r>
        <w:r>
          <w:rPr>
            <w:rFonts w:asciiTheme="minorHAnsi" w:eastAsiaTheme="minorEastAsia" w:hAnsiTheme="minorHAnsi" w:cstheme="minorBidi"/>
            <w:noProof/>
            <w:sz w:val="22"/>
            <w:szCs w:val="22"/>
          </w:rPr>
          <w:tab/>
        </w:r>
        <w:r w:rsidRPr="00CC53E5">
          <w:rPr>
            <w:rStyle w:val="Hyperlink"/>
            <w:noProof/>
          </w:rPr>
          <w:t>Part 1 Section 18.17.3, Error values</w:t>
        </w:r>
        <w:r>
          <w:rPr>
            <w:noProof/>
            <w:webHidden/>
          </w:rPr>
          <w:tab/>
        </w:r>
        <w:r>
          <w:rPr>
            <w:noProof/>
            <w:webHidden/>
          </w:rPr>
          <w:fldChar w:fldCharType="begin"/>
        </w:r>
        <w:r>
          <w:rPr>
            <w:noProof/>
            <w:webHidden/>
          </w:rPr>
          <w:instrText xml:space="preserve"> PAGEREF _Toc69878651 \h </w:instrText>
        </w:r>
        <w:r>
          <w:rPr>
            <w:noProof/>
            <w:webHidden/>
          </w:rPr>
        </w:r>
        <w:r>
          <w:rPr>
            <w:noProof/>
            <w:webHidden/>
          </w:rPr>
          <w:fldChar w:fldCharType="separate"/>
        </w:r>
        <w:r>
          <w:rPr>
            <w:noProof/>
            <w:webHidden/>
          </w:rPr>
          <w:t>398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52" w:history="1">
        <w:r w:rsidRPr="00CC53E5">
          <w:rPr>
            <w:rStyle w:val="Hyperlink"/>
            <w:noProof/>
          </w:rPr>
          <w:t>2.1.869</w:t>
        </w:r>
        <w:r>
          <w:rPr>
            <w:rFonts w:asciiTheme="minorHAnsi" w:eastAsiaTheme="minorEastAsia" w:hAnsiTheme="minorHAnsi" w:cstheme="minorBidi"/>
            <w:noProof/>
            <w:sz w:val="22"/>
            <w:szCs w:val="22"/>
          </w:rPr>
          <w:tab/>
        </w:r>
        <w:r w:rsidRPr="00CC53E5">
          <w:rPr>
            <w:rStyle w:val="Hyperlink"/>
            <w:noProof/>
          </w:rPr>
          <w:t>Part 1 Section 18.17.5.2, Precision</w:t>
        </w:r>
        <w:r>
          <w:rPr>
            <w:noProof/>
            <w:webHidden/>
          </w:rPr>
          <w:tab/>
        </w:r>
        <w:r>
          <w:rPr>
            <w:noProof/>
            <w:webHidden/>
          </w:rPr>
          <w:fldChar w:fldCharType="begin"/>
        </w:r>
        <w:r>
          <w:rPr>
            <w:noProof/>
            <w:webHidden/>
          </w:rPr>
          <w:instrText xml:space="preserve"> PAGEREF _Toc69878652 \h </w:instrText>
        </w:r>
        <w:r>
          <w:rPr>
            <w:noProof/>
            <w:webHidden/>
          </w:rPr>
        </w:r>
        <w:r>
          <w:rPr>
            <w:noProof/>
            <w:webHidden/>
          </w:rPr>
          <w:fldChar w:fldCharType="separate"/>
        </w:r>
        <w:r>
          <w:rPr>
            <w:noProof/>
            <w:webHidden/>
          </w:rPr>
          <w:t>398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53" w:history="1">
        <w:r w:rsidRPr="00CC53E5">
          <w:rPr>
            <w:rStyle w:val="Hyperlink"/>
            <w:noProof/>
          </w:rPr>
          <w:t>2.1.870</w:t>
        </w:r>
        <w:r>
          <w:rPr>
            <w:rFonts w:asciiTheme="minorHAnsi" w:eastAsiaTheme="minorEastAsia" w:hAnsiTheme="minorHAnsi" w:cstheme="minorBidi"/>
            <w:noProof/>
            <w:sz w:val="22"/>
            <w:szCs w:val="22"/>
          </w:rPr>
          <w:tab/>
        </w:r>
        <w:r w:rsidRPr="00CC53E5">
          <w:rPr>
            <w:rStyle w:val="Hyperlink"/>
            <w:noProof/>
          </w:rPr>
          <w:t>Part 1 Section 18.17.5.4, Interpretation</w:t>
        </w:r>
        <w:r>
          <w:rPr>
            <w:noProof/>
            <w:webHidden/>
          </w:rPr>
          <w:tab/>
        </w:r>
        <w:r>
          <w:rPr>
            <w:noProof/>
            <w:webHidden/>
          </w:rPr>
          <w:fldChar w:fldCharType="begin"/>
        </w:r>
        <w:r>
          <w:rPr>
            <w:noProof/>
            <w:webHidden/>
          </w:rPr>
          <w:instrText xml:space="preserve"> PAGEREF _Toc69878653 \h </w:instrText>
        </w:r>
        <w:r>
          <w:rPr>
            <w:noProof/>
            <w:webHidden/>
          </w:rPr>
        </w:r>
        <w:r>
          <w:rPr>
            <w:noProof/>
            <w:webHidden/>
          </w:rPr>
          <w:fldChar w:fldCharType="separate"/>
        </w:r>
        <w:r>
          <w:rPr>
            <w:noProof/>
            <w:webHidden/>
          </w:rPr>
          <w:t>398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54" w:history="1">
        <w:r w:rsidRPr="00CC53E5">
          <w:rPr>
            <w:rStyle w:val="Hyperlink"/>
            <w:noProof/>
          </w:rPr>
          <w:t>2.1.871</w:t>
        </w:r>
        <w:r>
          <w:rPr>
            <w:rFonts w:asciiTheme="minorHAnsi" w:eastAsiaTheme="minorEastAsia" w:hAnsiTheme="minorHAnsi" w:cstheme="minorBidi"/>
            <w:noProof/>
            <w:sz w:val="22"/>
            <w:szCs w:val="22"/>
          </w:rPr>
          <w:tab/>
        </w:r>
        <w:r w:rsidRPr="00CC53E5">
          <w:rPr>
            <w:rStyle w:val="Hyperlink"/>
            <w:noProof/>
          </w:rPr>
          <w:t>Part 1 Section 18.17.6.3, Array Formulas</w:t>
        </w:r>
        <w:r>
          <w:rPr>
            <w:noProof/>
            <w:webHidden/>
          </w:rPr>
          <w:tab/>
        </w:r>
        <w:r>
          <w:rPr>
            <w:noProof/>
            <w:webHidden/>
          </w:rPr>
          <w:fldChar w:fldCharType="begin"/>
        </w:r>
        <w:r>
          <w:rPr>
            <w:noProof/>
            <w:webHidden/>
          </w:rPr>
          <w:instrText xml:space="preserve"> PAGEREF _Toc69878654 \h </w:instrText>
        </w:r>
        <w:r>
          <w:rPr>
            <w:noProof/>
            <w:webHidden/>
          </w:rPr>
        </w:r>
        <w:r>
          <w:rPr>
            <w:noProof/>
            <w:webHidden/>
          </w:rPr>
          <w:fldChar w:fldCharType="separate"/>
        </w:r>
        <w:r>
          <w:rPr>
            <w:noProof/>
            <w:webHidden/>
          </w:rPr>
          <w:t>399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55" w:history="1">
        <w:r w:rsidRPr="00CC53E5">
          <w:rPr>
            <w:rStyle w:val="Hyperlink"/>
            <w:noProof/>
          </w:rPr>
          <w:t>2.1.872</w:t>
        </w:r>
        <w:r>
          <w:rPr>
            <w:rFonts w:asciiTheme="minorHAnsi" w:eastAsiaTheme="minorEastAsia" w:hAnsiTheme="minorHAnsi" w:cstheme="minorBidi"/>
            <w:noProof/>
            <w:sz w:val="22"/>
            <w:szCs w:val="22"/>
          </w:rPr>
          <w:tab/>
        </w:r>
        <w:r w:rsidRPr="00CC53E5">
          <w:rPr>
            <w:rStyle w:val="Hyperlink"/>
            <w:noProof/>
          </w:rPr>
          <w:t>Part 1 Section 18.17.6.5, Name Representation</w:t>
        </w:r>
        <w:r>
          <w:rPr>
            <w:noProof/>
            <w:webHidden/>
          </w:rPr>
          <w:tab/>
        </w:r>
        <w:r>
          <w:rPr>
            <w:noProof/>
            <w:webHidden/>
          </w:rPr>
          <w:fldChar w:fldCharType="begin"/>
        </w:r>
        <w:r>
          <w:rPr>
            <w:noProof/>
            <w:webHidden/>
          </w:rPr>
          <w:instrText xml:space="preserve"> PAGEREF _Toc69878655 \h </w:instrText>
        </w:r>
        <w:r>
          <w:rPr>
            <w:noProof/>
            <w:webHidden/>
          </w:rPr>
        </w:r>
        <w:r>
          <w:rPr>
            <w:noProof/>
            <w:webHidden/>
          </w:rPr>
          <w:fldChar w:fldCharType="separate"/>
        </w:r>
        <w:r>
          <w:rPr>
            <w:noProof/>
            <w:webHidden/>
          </w:rPr>
          <w:t>399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56" w:history="1">
        <w:r w:rsidRPr="00CC53E5">
          <w:rPr>
            <w:rStyle w:val="Hyperlink"/>
            <w:noProof/>
          </w:rPr>
          <w:t>2.1.873</w:t>
        </w:r>
        <w:r>
          <w:rPr>
            <w:rFonts w:asciiTheme="minorHAnsi" w:eastAsiaTheme="minorEastAsia" w:hAnsiTheme="minorHAnsi" w:cstheme="minorBidi"/>
            <w:noProof/>
            <w:sz w:val="22"/>
            <w:szCs w:val="22"/>
          </w:rPr>
          <w:tab/>
        </w:r>
        <w:r w:rsidRPr="00CC53E5">
          <w:rPr>
            <w:rStyle w:val="Hyperlink"/>
            <w:noProof/>
          </w:rPr>
          <w:t>Part 1 Section 18.17.7.2, ACCRINT</w:t>
        </w:r>
        <w:r>
          <w:rPr>
            <w:noProof/>
            <w:webHidden/>
          </w:rPr>
          <w:tab/>
        </w:r>
        <w:r>
          <w:rPr>
            <w:noProof/>
            <w:webHidden/>
          </w:rPr>
          <w:fldChar w:fldCharType="begin"/>
        </w:r>
        <w:r>
          <w:rPr>
            <w:noProof/>
            <w:webHidden/>
          </w:rPr>
          <w:instrText xml:space="preserve"> PAGEREF _Toc69878656 \h </w:instrText>
        </w:r>
        <w:r>
          <w:rPr>
            <w:noProof/>
            <w:webHidden/>
          </w:rPr>
        </w:r>
        <w:r>
          <w:rPr>
            <w:noProof/>
            <w:webHidden/>
          </w:rPr>
          <w:fldChar w:fldCharType="separate"/>
        </w:r>
        <w:r>
          <w:rPr>
            <w:noProof/>
            <w:webHidden/>
          </w:rPr>
          <w:t>399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57" w:history="1">
        <w:r w:rsidRPr="00CC53E5">
          <w:rPr>
            <w:rStyle w:val="Hyperlink"/>
            <w:noProof/>
          </w:rPr>
          <w:t>2.1.874</w:t>
        </w:r>
        <w:r>
          <w:rPr>
            <w:rFonts w:asciiTheme="minorHAnsi" w:eastAsiaTheme="minorEastAsia" w:hAnsiTheme="minorHAnsi" w:cstheme="minorBidi"/>
            <w:noProof/>
            <w:sz w:val="22"/>
            <w:szCs w:val="22"/>
          </w:rPr>
          <w:tab/>
        </w:r>
        <w:r w:rsidRPr="00CC53E5">
          <w:rPr>
            <w:rStyle w:val="Hyperlink"/>
            <w:noProof/>
          </w:rPr>
          <w:t>Part 1 Section 18.17.7.3, ACCRINTM</w:t>
        </w:r>
        <w:r>
          <w:rPr>
            <w:noProof/>
            <w:webHidden/>
          </w:rPr>
          <w:tab/>
        </w:r>
        <w:r>
          <w:rPr>
            <w:noProof/>
            <w:webHidden/>
          </w:rPr>
          <w:fldChar w:fldCharType="begin"/>
        </w:r>
        <w:r>
          <w:rPr>
            <w:noProof/>
            <w:webHidden/>
          </w:rPr>
          <w:instrText xml:space="preserve"> PAGEREF _Toc69878657 \h </w:instrText>
        </w:r>
        <w:r>
          <w:rPr>
            <w:noProof/>
            <w:webHidden/>
          </w:rPr>
        </w:r>
        <w:r>
          <w:rPr>
            <w:noProof/>
            <w:webHidden/>
          </w:rPr>
          <w:fldChar w:fldCharType="separate"/>
        </w:r>
        <w:r>
          <w:rPr>
            <w:noProof/>
            <w:webHidden/>
          </w:rPr>
          <w:t>400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58" w:history="1">
        <w:r w:rsidRPr="00CC53E5">
          <w:rPr>
            <w:rStyle w:val="Hyperlink"/>
            <w:noProof/>
          </w:rPr>
          <w:t>2.1.875</w:t>
        </w:r>
        <w:r>
          <w:rPr>
            <w:rFonts w:asciiTheme="minorHAnsi" w:eastAsiaTheme="minorEastAsia" w:hAnsiTheme="minorHAnsi" w:cstheme="minorBidi"/>
            <w:noProof/>
            <w:sz w:val="22"/>
            <w:szCs w:val="22"/>
          </w:rPr>
          <w:tab/>
        </w:r>
        <w:r w:rsidRPr="00CC53E5">
          <w:rPr>
            <w:rStyle w:val="Hyperlink"/>
            <w:noProof/>
          </w:rPr>
          <w:t>Part 1 Section 18.17.7.4, ACOS</w:t>
        </w:r>
        <w:r>
          <w:rPr>
            <w:noProof/>
            <w:webHidden/>
          </w:rPr>
          <w:tab/>
        </w:r>
        <w:r>
          <w:rPr>
            <w:noProof/>
            <w:webHidden/>
          </w:rPr>
          <w:fldChar w:fldCharType="begin"/>
        </w:r>
        <w:r>
          <w:rPr>
            <w:noProof/>
            <w:webHidden/>
          </w:rPr>
          <w:instrText xml:space="preserve"> PAGEREF _Toc69878658 \h </w:instrText>
        </w:r>
        <w:r>
          <w:rPr>
            <w:noProof/>
            <w:webHidden/>
          </w:rPr>
        </w:r>
        <w:r>
          <w:rPr>
            <w:noProof/>
            <w:webHidden/>
          </w:rPr>
          <w:fldChar w:fldCharType="separate"/>
        </w:r>
        <w:r>
          <w:rPr>
            <w:noProof/>
            <w:webHidden/>
          </w:rPr>
          <w:t>401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59" w:history="1">
        <w:r w:rsidRPr="00CC53E5">
          <w:rPr>
            <w:rStyle w:val="Hyperlink"/>
            <w:noProof/>
          </w:rPr>
          <w:t>2.1.876</w:t>
        </w:r>
        <w:r>
          <w:rPr>
            <w:rFonts w:asciiTheme="minorHAnsi" w:eastAsiaTheme="minorEastAsia" w:hAnsiTheme="minorHAnsi" w:cstheme="minorBidi"/>
            <w:noProof/>
            <w:sz w:val="22"/>
            <w:szCs w:val="22"/>
          </w:rPr>
          <w:tab/>
        </w:r>
        <w:r w:rsidRPr="00CC53E5">
          <w:rPr>
            <w:rStyle w:val="Hyperlink"/>
            <w:noProof/>
          </w:rPr>
          <w:t>Part 1 Section 18.17.7.6, ADDRESS</w:t>
        </w:r>
        <w:r>
          <w:rPr>
            <w:noProof/>
            <w:webHidden/>
          </w:rPr>
          <w:tab/>
        </w:r>
        <w:r>
          <w:rPr>
            <w:noProof/>
            <w:webHidden/>
          </w:rPr>
          <w:fldChar w:fldCharType="begin"/>
        </w:r>
        <w:r>
          <w:rPr>
            <w:noProof/>
            <w:webHidden/>
          </w:rPr>
          <w:instrText xml:space="preserve"> PAGEREF _Toc69878659 \h </w:instrText>
        </w:r>
        <w:r>
          <w:rPr>
            <w:noProof/>
            <w:webHidden/>
          </w:rPr>
        </w:r>
        <w:r>
          <w:rPr>
            <w:noProof/>
            <w:webHidden/>
          </w:rPr>
          <w:fldChar w:fldCharType="separate"/>
        </w:r>
        <w:r>
          <w:rPr>
            <w:noProof/>
            <w:webHidden/>
          </w:rPr>
          <w:t>401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60" w:history="1">
        <w:r w:rsidRPr="00CC53E5">
          <w:rPr>
            <w:rStyle w:val="Hyperlink"/>
            <w:noProof/>
          </w:rPr>
          <w:t>2.1.877</w:t>
        </w:r>
        <w:r>
          <w:rPr>
            <w:rFonts w:asciiTheme="minorHAnsi" w:eastAsiaTheme="minorEastAsia" w:hAnsiTheme="minorHAnsi" w:cstheme="minorBidi"/>
            <w:noProof/>
            <w:sz w:val="22"/>
            <w:szCs w:val="22"/>
          </w:rPr>
          <w:tab/>
        </w:r>
        <w:r w:rsidRPr="00CC53E5">
          <w:rPr>
            <w:rStyle w:val="Hyperlink"/>
            <w:noProof/>
          </w:rPr>
          <w:t>Part 1 Section 18.17.7.7, AMORDEGRC</w:t>
        </w:r>
        <w:r>
          <w:rPr>
            <w:noProof/>
            <w:webHidden/>
          </w:rPr>
          <w:tab/>
        </w:r>
        <w:r>
          <w:rPr>
            <w:noProof/>
            <w:webHidden/>
          </w:rPr>
          <w:fldChar w:fldCharType="begin"/>
        </w:r>
        <w:r>
          <w:rPr>
            <w:noProof/>
            <w:webHidden/>
          </w:rPr>
          <w:instrText xml:space="preserve"> PAGEREF _Toc69878660 \h </w:instrText>
        </w:r>
        <w:r>
          <w:rPr>
            <w:noProof/>
            <w:webHidden/>
          </w:rPr>
        </w:r>
        <w:r>
          <w:rPr>
            <w:noProof/>
            <w:webHidden/>
          </w:rPr>
          <w:fldChar w:fldCharType="separate"/>
        </w:r>
        <w:r>
          <w:rPr>
            <w:noProof/>
            <w:webHidden/>
          </w:rPr>
          <w:t>401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61" w:history="1">
        <w:r w:rsidRPr="00CC53E5">
          <w:rPr>
            <w:rStyle w:val="Hyperlink"/>
            <w:noProof/>
          </w:rPr>
          <w:t>2.1.878</w:t>
        </w:r>
        <w:r>
          <w:rPr>
            <w:rFonts w:asciiTheme="minorHAnsi" w:eastAsiaTheme="minorEastAsia" w:hAnsiTheme="minorHAnsi" w:cstheme="minorBidi"/>
            <w:noProof/>
            <w:sz w:val="22"/>
            <w:szCs w:val="22"/>
          </w:rPr>
          <w:tab/>
        </w:r>
        <w:r w:rsidRPr="00CC53E5">
          <w:rPr>
            <w:rStyle w:val="Hyperlink"/>
            <w:noProof/>
          </w:rPr>
          <w:t>Part 1 Section 18.17.7.8, AMORLINC</w:t>
        </w:r>
        <w:r>
          <w:rPr>
            <w:noProof/>
            <w:webHidden/>
          </w:rPr>
          <w:tab/>
        </w:r>
        <w:r>
          <w:rPr>
            <w:noProof/>
            <w:webHidden/>
          </w:rPr>
          <w:fldChar w:fldCharType="begin"/>
        </w:r>
        <w:r>
          <w:rPr>
            <w:noProof/>
            <w:webHidden/>
          </w:rPr>
          <w:instrText xml:space="preserve"> PAGEREF _Toc69878661 \h </w:instrText>
        </w:r>
        <w:r>
          <w:rPr>
            <w:noProof/>
            <w:webHidden/>
          </w:rPr>
        </w:r>
        <w:r>
          <w:rPr>
            <w:noProof/>
            <w:webHidden/>
          </w:rPr>
          <w:fldChar w:fldCharType="separate"/>
        </w:r>
        <w:r>
          <w:rPr>
            <w:noProof/>
            <w:webHidden/>
          </w:rPr>
          <w:t>402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62" w:history="1">
        <w:r w:rsidRPr="00CC53E5">
          <w:rPr>
            <w:rStyle w:val="Hyperlink"/>
            <w:noProof/>
          </w:rPr>
          <w:t>2.1.879</w:t>
        </w:r>
        <w:r>
          <w:rPr>
            <w:rFonts w:asciiTheme="minorHAnsi" w:eastAsiaTheme="minorEastAsia" w:hAnsiTheme="minorHAnsi" w:cstheme="minorBidi"/>
            <w:noProof/>
            <w:sz w:val="22"/>
            <w:szCs w:val="22"/>
          </w:rPr>
          <w:tab/>
        </w:r>
        <w:r w:rsidRPr="00CC53E5">
          <w:rPr>
            <w:rStyle w:val="Hyperlink"/>
            <w:noProof/>
          </w:rPr>
          <w:t>Part 1 Section 18.17.7.10, AREAS</w:t>
        </w:r>
        <w:r>
          <w:rPr>
            <w:noProof/>
            <w:webHidden/>
          </w:rPr>
          <w:tab/>
        </w:r>
        <w:r>
          <w:rPr>
            <w:noProof/>
            <w:webHidden/>
          </w:rPr>
          <w:fldChar w:fldCharType="begin"/>
        </w:r>
        <w:r>
          <w:rPr>
            <w:noProof/>
            <w:webHidden/>
          </w:rPr>
          <w:instrText xml:space="preserve"> PAGEREF _Toc69878662 \h </w:instrText>
        </w:r>
        <w:r>
          <w:rPr>
            <w:noProof/>
            <w:webHidden/>
          </w:rPr>
        </w:r>
        <w:r>
          <w:rPr>
            <w:noProof/>
            <w:webHidden/>
          </w:rPr>
          <w:fldChar w:fldCharType="separate"/>
        </w:r>
        <w:r>
          <w:rPr>
            <w:noProof/>
            <w:webHidden/>
          </w:rPr>
          <w:t>403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63" w:history="1">
        <w:r w:rsidRPr="00CC53E5">
          <w:rPr>
            <w:rStyle w:val="Hyperlink"/>
            <w:noProof/>
          </w:rPr>
          <w:t>2.1.880</w:t>
        </w:r>
        <w:r>
          <w:rPr>
            <w:rFonts w:asciiTheme="minorHAnsi" w:eastAsiaTheme="minorEastAsia" w:hAnsiTheme="minorHAnsi" w:cstheme="minorBidi"/>
            <w:noProof/>
            <w:sz w:val="22"/>
            <w:szCs w:val="22"/>
          </w:rPr>
          <w:tab/>
        </w:r>
        <w:r w:rsidRPr="00CC53E5">
          <w:rPr>
            <w:rStyle w:val="Hyperlink"/>
            <w:noProof/>
          </w:rPr>
          <w:t>Part 1 Section 18.17.7.12, ASIN</w:t>
        </w:r>
        <w:r>
          <w:rPr>
            <w:noProof/>
            <w:webHidden/>
          </w:rPr>
          <w:tab/>
        </w:r>
        <w:r>
          <w:rPr>
            <w:noProof/>
            <w:webHidden/>
          </w:rPr>
          <w:fldChar w:fldCharType="begin"/>
        </w:r>
        <w:r>
          <w:rPr>
            <w:noProof/>
            <w:webHidden/>
          </w:rPr>
          <w:instrText xml:space="preserve"> PAGEREF _Toc69878663 \h </w:instrText>
        </w:r>
        <w:r>
          <w:rPr>
            <w:noProof/>
            <w:webHidden/>
          </w:rPr>
        </w:r>
        <w:r>
          <w:rPr>
            <w:noProof/>
            <w:webHidden/>
          </w:rPr>
          <w:fldChar w:fldCharType="separate"/>
        </w:r>
        <w:r>
          <w:rPr>
            <w:noProof/>
            <w:webHidden/>
          </w:rPr>
          <w:t>403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64" w:history="1">
        <w:r w:rsidRPr="00CC53E5">
          <w:rPr>
            <w:rStyle w:val="Hyperlink"/>
            <w:noProof/>
          </w:rPr>
          <w:t>2.1.881</w:t>
        </w:r>
        <w:r>
          <w:rPr>
            <w:rFonts w:asciiTheme="minorHAnsi" w:eastAsiaTheme="minorEastAsia" w:hAnsiTheme="minorHAnsi" w:cstheme="minorBidi"/>
            <w:noProof/>
            <w:sz w:val="22"/>
            <w:szCs w:val="22"/>
          </w:rPr>
          <w:tab/>
        </w:r>
        <w:r w:rsidRPr="00CC53E5">
          <w:rPr>
            <w:rStyle w:val="Hyperlink"/>
            <w:noProof/>
          </w:rPr>
          <w:t>Part 1 Section 18.17.7.13, ASINH</w:t>
        </w:r>
        <w:r>
          <w:rPr>
            <w:noProof/>
            <w:webHidden/>
          </w:rPr>
          <w:tab/>
        </w:r>
        <w:r>
          <w:rPr>
            <w:noProof/>
            <w:webHidden/>
          </w:rPr>
          <w:fldChar w:fldCharType="begin"/>
        </w:r>
        <w:r>
          <w:rPr>
            <w:noProof/>
            <w:webHidden/>
          </w:rPr>
          <w:instrText xml:space="preserve"> PAGEREF _Toc69878664 \h </w:instrText>
        </w:r>
        <w:r>
          <w:rPr>
            <w:noProof/>
            <w:webHidden/>
          </w:rPr>
        </w:r>
        <w:r>
          <w:rPr>
            <w:noProof/>
            <w:webHidden/>
          </w:rPr>
          <w:fldChar w:fldCharType="separate"/>
        </w:r>
        <w:r>
          <w:rPr>
            <w:noProof/>
            <w:webHidden/>
          </w:rPr>
          <w:t>403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65" w:history="1">
        <w:r w:rsidRPr="00CC53E5">
          <w:rPr>
            <w:rStyle w:val="Hyperlink"/>
            <w:noProof/>
          </w:rPr>
          <w:t>2.1.882</w:t>
        </w:r>
        <w:r>
          <w:rPr>
            <w:rFonts w:asciiTheme="minorHAnsi" w:eastAsiaTheme="minorEastAsia" w:hAnsiTheme="minorHAnsi" w:cstheme="minorBidi"/>
            <w:noProof/>
            <w:sz w:val="22"/>
            <w:szCs w:val="22"/>
          </w:rPr>
          <w:tab/>
        </w:r>
        <w:r w:rsidRPr="00CC53E5">
          <w:rPr>
            <w:rStyle w:val="Hyperlink"/>
            <w:noProof/>
          </w:rPr>
          <w:t>Part 1 Section 18.17.7.14, ATAN</w:t>
        </w:r>
        <w:r>
          <w:rPr>
            <w:noProof/>
            <w:webHidden/>
          </w:rPr>
          <w:tab/>
        </w:r>
        <w:r>
          <w:rPr>
            <w:noProof/>
            <w:webHidden/>
          </w:rPr>
          <w:fldChar w:fldCharType="begin"/>
        </w:r>
        <w:r>
          <w:rPr>
            <w:noProof/>
            <w:webHidden/>
          </w:rPr>
          <w:instrText xml:space="preserve"> PAGEREF _Toc69878665 \h </w:instrText>
        </w:r>
        <w:r>
          <w:rPr>
            <w:noProof/>
            <w:webHidden/>
          </w:rPr>
        </w:r>
        <w:r>
          <w:rPr>
            <w:noProof/>
            <w:webHidden/>
          </w:rPr>
          <w:fldChar w:fldCharType="separate"/>
        </w:r>
        <w:r>
          <w:rPr>
            <w:noProof/>
            <w:webHidden/>
          </w:rPr>
          <w:t>403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66" w:history="1">
        <w:r w:rsidRPr="00CC53E5">
          <w:rPr>
            <w:rStyle w:val="Hyperlink"/>
            <w:noProof/>
          </w:rPr>
          <w:t>2.1.883</w:t>
        </w:r>
        <w:r>
          <w:rPr>
            <w:rFonts w:asciiTheme="minorHAnsi" w:eastAsiaTheme="minorEastAsia" w:hAnsiTheme="minorHAnsi" w:cstheme="minorBidi"/>
            <w:noProof/>
            <w:sz w:val="22"/>
            <w:szCs w:val="22"/>
          </w:rPr>
          <w:tab/>
        </w:r>
        <w:r w:rsidRPr="00CC53E5">
          <w:rPr>
            <w:rStyle w:val="Hyperlink"/>
            <w:noProof/>
          </w:rPr>
          <w:t>Part 1 Section 18.17.7.15, ATAN2</w:t>
        </w:r>
        <w:r>
          <w:rPr>
            <w:noProof/>
            <w:webHidden/>
          </w:rPr>
          <w:tab/>
        </w:r>
        <w:r>
          <w:rPr>
            <w:noProof/>
            <w:webHidden/>
          </w:rPr>
          <w:fldChar w:fldCharType="begin"/>
        </w:r>
        <w:r>
          <w:rPr>
            <w:noProof/>
            <w:webHidden/>
          </w:rPr>
          <w:instrText xml:space="preserve"> PAGEREF _Toc69878666 \h </w:instrText>
        </w:r>
        <w:r>
          <w:rPr>
            <w:noProof/>
            <w:webHidden/>
          </w:rPr>
        </w:r>
        <w:r>
          <w:rPr>
            <w:noProof/>
            <w:webHidden/>
          </w:rPr>
          <w:fldChar w:fldCharType="separate"/>
        </w:r>
        <w:r>
          <w:rPr>
            <w:noProof/>
            <w:webHidden/>
          </w:rPr>
          <w:t>403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67" w:history="1">
        <w:r w:rsidRPr="00CC53E5">
          <w:rPr>
            <w:rStyle w:val="Hyperlink"/>
            <w:noProof/>
          </w:rPr>
          <w:t>2.1.884</w:t>
        </w:r>
        <w:r>
          <w:rPr>
            <w:rFonts w:asciiTheme="minorHAnsi" w:eastAsiaTheme="minorEastAsia" w:hAnsiTheme="minorHAnsi" w:cstheme="minorBidi"/>
            <w:noProof/>
            <w:sz w:val="22"/>
            <w:szCs w:val="22"/>
          </w:rPr>
          <w:tab/>
        </w:r>
        <w:r w:rsidRPr="00CC53E5">
          <w:rPr>
            <w:rStyle w:val="Hyperlink"/>
            <w:noProof/>
          </w:rPr>
          <w:t>Part 1 Section 18.17.7.17, AVEDEV</w:t>
        </w:r>
        <w:r>
          <w:rPr>
            <w:noProof/>
            <w:webHidden/>
          </w:rPr>
          <w:tab/>
        </w:r>
        <w:r>
          <w:rPr>
            <w:noProof/>
            <w:webHidden/>
          </w:rPr>
          <w:fldChar w:fldCharType="begin"/>
        </w:r>
        <w:r>
          <w:rPr>
            <w:noProof/>
            <w:webHidden/>
          </w:rPr>
          <w:instrText xml:space="preserve"> PAGEREF _Toc69878667 \h </w:instrText>
        </w:r>
        <w:r>
          <w:rPr>
            <w:noProof/>
            <w:webHidden/>
          </w:rPr>
        </w:r>
        <w:r>
          <w:rPr>
            <w:noProof/>
            <w:webHidden/>
          </w:rPr>
          <w:fldChar w:fldCharType="separate"/>
        </w:r>
        <w:r>
          <w:rPr>
            <w:noProof/>
            <w:webHidden/>
          </w:rPr>
          <w:t>404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68" w:history="1">
        <w:r w:rsidRPr="00CC53E5">
          <w:rPr>
            <w:rStyle w:val="Hyperlink"/>
            <w:noProof/>
          </w:rPr>
          <w:t>2.1.885</w:t>
        </w:r>
        <w:r>
          <w:rPr>
            <w:rFonts w:asciiTheme="minorHAnsi" w:eastAsiaTheme="minorEastAsia" w:hAnsiTheme="minorHAnsi" w:cstheme="minorBidi"/>
            <w:noProof/>
            <w:sz w:val="22"/>
            <w:szCs w:val="22"/>
          </w:rPr>
          <w:tab/>
        </w:r>
        <w:r w:rsidRPr="00CC53E5">
          <w:rPr>
            <w:rStyle w:val="Hyperlink"/>
            <w:noProof/>
          </w:rPr>
          <w:t>Part 1 Section 18.17.7.19, AVERAGEA</w:t>
        </w:r>
        <w:r>
          <w:rPr>
            <w:noProof/>
            <w:webHidden/>
          </w:rPr>
          <w:tab/>
        </w:r>
        <w:r>
          <w:rPr>
            <w:noProof/>
            <w:webHidden/>
          </w:rPr>
          <w:fldChar w:fldCharType="begin"/>
        </w:r>
        <w:r>
          <w:rPr>
            <w:noProof/>
            <w:webHidden/>
          </w:rPr>
          <w:instrText xml:space="preserve"> PAGEREF _Toc69878668 \h </w:instrText>
        </w:r>
        <w:r>
          <w:rPr>
            <w:noProof/>
            <w:webHidden/>
          </w:rPr>
        </w:r>
        <w:r>
          <w:rPr>
            <w:noProof/>
            <w:webHidden/>
          </w:rPr>
          <w:fldChar w:fldCharType="separate"/>
        </w:r>
        <w:r>
          <w:rPr>
            <w:noProof/>
            <w:webHidden/>
          </w:rPr>
          <w:t>404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69" w:history="1">
        <w:r w:rsidRPr="00CC53E5">
          <w:rPr>
            <w:rStyle w:val="Hyperlink"/>
            <w:noProof/>
          </w:rPr>
          <w:t>2.1.886</w:t>
        </w:r>
        <w:r>
          <w:rPr>
            <w:rFonts w:asciiTheme="minorHAnsi" w:eastAsiaTheme="minorEastAsia" w:hAnsiTheme="minorHAnsi" w:cstheme="minorBidi"/>
            <w:noProof/>
            <w:sz w:val="22"/>
            <w:szCs w:val="22"/>
          </w:rPr>
          <w:tab/>
        </w:r>
        <w:r w:rsidRPr="00CC53E5">
          <w:rPr>
            <w:rStyle w:val="Hyperlink"/>
            <w:noProof/>
          </w:rPr>
          <w:t>Part 1 Section 18.17.7.20, AVERAGEIF</w:t>
        </w:r>
        <w:r>
          <w:rPr>
            <w:noProof/>
            <w:webHidden/>
          </w:rPr>
          <w:tab/>
        </w:r>
        <w:r>
          <w:rPr>
            <w:noProof/>
            <w:webHidden/>
          </w:rPr>
          <w:fldChar w:fldCharType="begin"/>
        </w:r>
        <w:r>
          <w:rPr>
            <w:noProof/>
            <w:webHidden/>
          </w:rPr>
          <w:instrText xml:space="preserve"> PAGEREF _Toc69878669 \h </w:instrText>
        </w:r>
        <w:r>
          <w:rPr>
            <w:noProof/>
            <w:webHidden/>
          </w:rPr>
        </w:r>
        <w:r>
          <w:rPr>
            <w:noProof/>
            <w:webHidden/>
          </w:rPr>
          <w:fldChar w:fldCharType="separate"/>
        </w:r>
        <w:r>
          <w:rPr>
            <w:noProof/>
            <w:webHidden/>
          </w:rPr>
          <w:t>404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70" w:history="1">
        <w:r w:rsidRPr="00CC53E5">
          <w:rPr>
            <w:rStyle w:val="Hyperlink"/>
            <w:noProof/>
          </w:rPr>
          <w:t>2.1.887</w:t>
        </w:r>
        <w:r>
          <w:rPr>
            <w:rFonts w:asciiTheme="minorHAnsi" w:eastAsiaTheme="minorEastAsia" w:hAnsiTheme="minorHAnsi" w:cstheme="minorBidi"/>
            <w:noProof/>
            <w:sz w:val="22"/>
            <w:szCs w:val="22"/>
          </w:rPr>
          <w:tab/>
        </w:r>
        <w:r w:rsidRPr="00CC53E5">
          <w:rPr>
            <w:rStyle w:val="Hyperlink"/>
            <w:noProof/>
          </w:rPr>
          <w:t>Part 1 Section 18.17.7.21, AVERAGEIFS</w:t>
        </w:r>
        <w:r>
          <w:rPr>
            <w:noProof/>
            <w:webHidden/>
          </w:rPr>
          <w:tab/>
        </w:r>
        <w:r>
          <w:rPr>
            <w:noProof/>
            <w:webHidden/>
          </w:rPr>
          <w:fldChar w:fldCharType="begin"/>
        </w:r>
        <w:r>
          <w:rPr>
            <w:noProof/>
            <w:webHidden/>
          </w:rPr>
          <w:instrText xml:space="preserve"> PAGEREF _Toc69878670 \h </w:instrText>
        </w:r>
        <w:r>
          <w:rPr>
            <w:noProof/>
            <w:webHidden/>
          </w:rPr>
        </w:r>
        <w:r>
          <w:rPr>
            <w:noProof/>
            <w:webHidden/>
          </w:rPr>
          <w:fldChar w:fldCharType="separate"/>
        </w:r>
        <w:r>
          <w:rPr>
            <w:noProof/>
            <w:webHidden/>
          </w:rPr>
          <w:t>404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71" w:history="1">
        <w:r w:rsidRPr="00CC53E5">
          <w:rPr>
            <w:rStyle w:val="Hyperlink"/>
            <w:noProof/>
          </w:rPr>
          <w:t>2.1.888</w:t>
        </w:r>
        <w:r>
          <w:rPr>
            <w:rFonts w:asciiTheme="minorHAnsi" w:eastAsiaTheme="minorEastAsia" w:hAnsiTheme="minorHAnsi" w:cstheme="minorBidi"/>
            <w:noProof/>
            <w:sz w:val="22"/>
            <w:szCs w:val="22"/>
          </w:rPr>
          <w:tab/>
        </w:r>
        <w:r w:rsidRPr="00CC53E5">
          <w:rPr>
            <w:rStyle w:val="Hyperlink"/>
            <w:noProof/>
          </w:rPr>
          <w:t>Part 1 Section 18.17.7.23, BESSELI</w:t>
        </w:r>
        <w:r>
          <w:rPr>
            <w:noProof/>
            <w:webHidden/>
          </w:rPr>
          <w:tab/>
        </w:r>
        <w:r>
          <w:rPr>
            <w:noProof/>
            <w:webHidden/>
          </w:rPr>
          <w:fldChar w:fldCharType="begin"/>
        </w:r>
        <w:r>
          <w:rPr>
            <w:noProof/>
            <w:webHidden/>
          </w:rPr>
          <w:instrText xml:space="preserve"> PAGEREF _Toc69878671 \h </w:instrText>
        </w:r>
        <w:r>
          <w:rPr>
            <w:noProof/>
            <w:webHidden/>
          </w:rPr>
        </w:r>
        <w:r>
          <w:rPr>
            <w:noProof/>
            <w:webHidden/>
          </w:rPr>
          <w:fldChar w:fldCharType="separate"/>
        </w:r>
        <w:r>
          <w:rPr>
            <w:noProof/>
            <w:webHidden/>
          </w:rPr>
          <w:t>404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72" w:history="1">
        <w:r w:rsidRPr="00CC53E5">
          <w:rPr>
            <w:rStyle w:val="Hyperlink"/>
            <w:noProof/>
          </w:rPr>
          <w:t>2.1.889</w:t>
        </w:r>
        <w:r>
          <w:rPr>
            <w:rFonts w:asciiTheme="minorHAnsi" w:eastAsiaTheme="minorEastAsia" w:hAnsiTheme="minorHAnsi" w:cstheme="minorBidi"/>
            <w:noProof/>
            <w:sz w:val="22"/>
            <w:szCs w:val="22"/>
          </w:rPr>
          <w:tab/>
        </w:r>
        <w:r w:rsidRPr="00CC53E5">
          <w:rPr>
            <w:rStyle w:val="Hyperlink"/>
            <w:noProof/>
          </w:rPr>
          <w:t>Part 1 Section 18.17.7.24, BESSELJ</w:t>
        </w:r>
        <w:r>
          <w:rPr>
            <w:noProof/>
            <w:webHidden/>
          </w:rPr>
          <w:tab/>
        </w:r>
        <w:r>
          <w:rPr>
            <w:noProof/>
            <w:webHidden/>
          </w:rPr>
          <w:fldChar w:fldCharType="begin"/>
        </w:r>
        <w:r>
          <w:rPr>
            <w:noProof/>
            <w:webHidden/>
          </w:rPr>
          <w:instrText xml:space="preserve"> PAGEREF _Toc69878672 \h </w:instrText>
        </w:r>
        <w:r>
          <w:rPr>
            <w:noProof/>
            <w:webHidden/>
          </w:rPr>
        </w:r>
        <w:r>
          <w:rPr>
            <w:noProof/>
            <w:webHidden/>
          </w:rPr>
          <w:fldChar w:fldCharType="separate"/>
        </w:r>
        <w:r>
          <w:rPr>
            <w:noProof/>
            <w:webHidden/>
          </w:rPr>
          <w:t>404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73" w:history="1">
        <w:r w:rsidRPr="00CC53E5">
          <w:rPr>
            <w:rStyle w:val="Hyperlink"/>
            <w:noProof/>
          </w:rPr>
          <w:t>2.1.890</w:t>
        </w:r>
        <w:r>
          <w:rPr>
            <w:rFonts w:asciiTheme="minorHAnsi" w:eastAsiaTheme="minorEastAsia" w:hAnsiTheme="minorHAnsi" w:cstheme="minorBidi"/>
            <w:noProof/>
            <w:sz w:val="22"/>
            <w:szCs w:val="22"/>
          </w:rPr>
          <w:tab/>
        </w:r>
        <w:r w:rsidRPr="00CC53E5">
          <w:rPr>
            <w:rStyle w:val="Hyperlink"/>
            <w:noProof/>
          </w:rPr>
          <w:t>Part 1 Section 18.17.7.25, BESSELK</w:t>
        </w:r>
        <w:r>
          <w:rPr>
            <w:noProof/>
            <w:webHidden/>
          </w:rPr>
          <w:tab/>
        </w:r>
        <w:r>
          <w:rPr>
            <w:noProof/>
            <w:webHidden/>
          </w:rPr>
          <w:fldChar w:fldCharType="begin"/>
        </w:r>
        <w:r>
          <w:rPr>
            <w:noProof/>
            <w:webHidden/>
          </w:rPr>
          <w:instrText xml:space="preserve"> PAGEREF _Toc69878673 \h </w:instrText>
        </w:r>
        <w:r>
          <w:rPr>
            <w:noProof/>
            <w:webHidden/>
          </w:rPr>
        </w:r>
        <w:r>
          <w:rPr>
            <w:noProof/>
            <w:webHidden/>
          </w:rPr>
          <w:fldChar w:fldCharType="separate"/>
        </w:r>
        <w:r>
          <w:rPr>
            <w:noProof/>
            <w:webHidden/>
          </w:rPr>
          <w:t>405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74" w:history="1">
        <w:r w:rsidRPr="00CC53E5">
          <w:rPr>
            <w:rStyle w:val="Hyperlink"/>
            <w:noProof/>
          </w:rPr>
          <w:t>2.1.891</w:t>
        </w:r>
        <w:r>
          <w:rPr>
            <w:rFonts w:asciiTheme="minorHAnsi" w:eastAsiaTheme="minorEastAsia" w:hAnsiTheme="minorHAnsi" w:cstheme="minorBidi"/>
            <w:noProof/>
            <w:sz w:val="22"/>
            <w:szCs w:val="22"/>
          </w:rPr>
          <w:tab/>
        </w:r>
        <w:r w:rsidRPr="00CC53E5">
          <w:rPr>
            <w:rStyle w:val="Hyperlink"/>
            <w:noProof/>
          </w:rPr>
          <w:t>Part 1 Section 18.17.7.26, BESSELY</w:t>
        </w:r>
        <w:r>
          <w:rPr>
            <w:noProof/>
            <w:webHidden/>
          </w:rPr>
          <w:tab/>
        </w:r>
        <w:r>
          <w:rPr>
            <w:noProof/>
            <w:webHidden/>
          </w:rPr>
          <w:fldChar w:fldCharType="begin"/>
        </w:r>
        <w:r>
          <w:rPr>
            <w:noProof/>
            <w:webHidden/>
          </w:rPr>
          <w:instrText xml:space="preserve"> PAGEREF _Toc69878674 \h </w:instrText>
        </w:r>
        <w:r>
          <w:rPr>
            <w:noProof/>
            <w:webHidden/>
          </w:rPr>
        </w:r>
        <w:r>
          <w:rPr>
            <w:noProof/>
            <w:webHidden/>
          </w:rPr>
          <w:fldChar w:fldCharType="separate"/>
        </w:r>
        <w:r>
          <w:rPr>
            <w:noProof/>
            <w:webHidden/>
          </w:rPr>
          <w:t>405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75" w:history="1">
        <w:r w:rsidRPr="00CC53E5">
          <w:rPr>
            <w:rStyle w:val="Hyperlink"/>
            <w:noProof/>
          </w:rPr>
          <w:t>2.1.892</w:t>
        </w:r>
        <w:r>
          <w:rPr>
            <w:rFonts w:asciiTheme="minorHAnsi" w:eastAsiaTheme="minorEastAsia" w:hAnsiTheme="minorHAnsi" w:cstheme="minorBidi"/>
            <w:noProof/>
            <w:sz w:val="22"/>
            <w:szCs w:val="22"/>
          </w:rPr>
          <w:tab/>
        </w:r>
        <w:r w:rsidRPr="00CC53E5">
          <w:rPr>
            <w:rStyle w:val="Hyperlink"/>
            <w:noProof/>
          </w:rPr>
          <w:t>Part 1 Section 18.17.7.28, BETAINV</w:t>
        </w:r>
        <w:r>
          <w:rPr>
            <w:noProof/>
            <w:webHidden/>
          </w:rPr>
          <w:tab/>
        </w:r>
        <w:r>
          <w:rPr>
            <w:noProof/>
            <w:webHidden/>
          </w:rPr>
          <w:fldChar w:fldCharType="begin"/>
        </w:r>
        <w:r>
          <w:rPr>
            <w:noProof/>
            <w:webHidden/>
          </w:rPr>
          <w:instrText xml:space="preserve"> PAGEREF _Toc69878675 \h </w:instrText>
        </w:r>
        <w:r>
          <w:rPr>
            <w:noProof/>
            <w:webHidden/>
          </w:rPr>
        </w:r>
        <w:r>
          <w:rPr>
            <w:noProof/>
            <w:webHidden/>
          </w:rPr>
          <w:fldChar w:fldCharType="separate"/>
        </w:r>
        <w:r>
          <w:rPr>
            <w:noProof/>
            <w:webHidden/>
          </w:rPr>
          <w:t>405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76" w:history="1">
        <w:r w:rsidRPr="00CC53E5">
          <w:rPr>
            <w:rStyle w:val="Hyperlink"/>
            <w:noProof/>
          </w:rPr>
          <w:t>2.1.893</w:t>
        </w:r>
        <w:r>
          <w:rPr>
            <w:rFonts w:asciiTheme="minorHAnsi" w:eastAsiaTheme="minorEastAsia" w:hAnsiTheme="minorHAnsi" w:cstheme="minorBidi"/>
            <w:noProof/>
            <w:sz w:val="22"/>
            <w:szCs w:val="22"/>
          </w:rPr>
          <w:tab/>
        </w:r>
        <w:r w:rsidRPr="00CC53E5">
          <w:rPr>
            <w:rStyle w:val="Hyperlink"/>
            <w:noProof/>
          </w:rPr>
          <w:t>Part 1 Section 18.17.7.29, BIN2DEC</w:t>
        </w:r>
        <w:r>
          <w:rPr>
            <w:noProof/>
            <w:webHidden/>
          </w:rPr>
          <w:tab/>
        </w:r>
        <w:r>
          <w:rPr>
            <w:noProof/>
            <w:webHidden/>
          </w:rPr>
          <w:fldChar w:fldCharType="begin"/>
        </w:r>
        <w:r>
          <w:rPr>
            <w:noProof/>
            <w:webHidden/>
          </w:rPr>
          <w:instrText xml:space="preserve"> PAGEREF _Toc69878676 \h </w:instrText>
        </w:r>
        <w:r>
          <w:rPr>
            <w:noProof/>
            <w:webHidden/>
          </w:rPr>
        </w:r>
        <w:r>
          <w:rPr>
            <w:noProof/>
            <w:webHidden/>
          </w:rPr>
          <w:fldChar w:fldCharType="separate"/>
        </w:r>
        <w:r>
          <w:rPr>
            <w:noProof/>
            <w:webHidden/>
          </w:rPr>
          <w:t>405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77" w:history="1">
        <w:r w:rsidRPr="00CC53E5">
          <w:rPr>
            <w:rStyle w:val="Hyperlink"/>
            <w:noProof/>
          </w:rPr>
          <w:t>2.1.894</w:t>
        </w:r>
        <w:r>
          <w:rPr>
            <w:rFonts w:asciiTheme="minorHAnsi" w:eastAsiaTheme="minorEastAsia" w:hAnsiTheme="minorHAnsi" w:cstheme="minorBidi"/>
            <w:noProof/>
            <w:sz w:val="22"/>
            <w:szCs w:val="22"/>
          </w:rPr>
          <w:tab/>
        </w:r>
        <w:r w:rsidRPr="00CC53E5">
          <w:rPr>
            <w:rStyle w:val="Hyperlink"/>
            <w:noProof/>
          </w:rPr>
          <w:t>Part 1 Section 18.17.7.33, CEILING</w:t>
        </w:r>
        <w:r>
          <w:rPr>
            <w:noProof/>
            <w:webHidden/>
          </w:rPr>
          <w:tab/>
        </w:r>
        <w:r>
          <w:rPr>
            <w:noProof/>
            <w:webHidden/>
          </w:rPr>
          <w:fldChar w:fldCharType="begin"/>
        </w:r>
        <w:r>
          <w:rPr>
            <w:noProof/>
            <w:webHidden/>
          </w:rPr>
          <w:instrText xml:space="preserve"> PAGEREF _Toc69878677 \h </w:instrText>
        </w:r>
        <w:r>
          <w:rPr>
            <w:noProof/>
            <w:webHidden/>
          </w:rPr>
        </w:r>
        <w:r>
          <w:rPr>
            <w:noProof/>
            <w:webHidden/>
          </w:rPr>
          <w:fldChar w:fldCharType="separate"/>
        </w:r>
        <w:r>
          <w:rPr>
            <w:noProof/>
            <w:webHidden/>
          </w:rPr>
          <w:t>405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78" w:history="1">
        <w:r w:rsidRPr="00CC53E5">
          <w:rPr>
            <w:rStyle w:val="Hyperlink"/>
            <w:noProof/>
          </w:rPr>
          <w:t>2.1.895</w:t>
        </w:r>
        <w:r>
          <w:rPr>
            <w:rFonts w:asciiTheme="minorHAnsi" w:eastAsiaTheme="minorEastAsia" w:hAnsiTheme="minorHAnsi" w:cstheme="minorBidi"/>
            <w:noProof/>
            <w:sz w:val="22"/>
            <w:szCs w:val="22"/>
          </w:rPr>
          <w:tab/>
        </w:r>
        <w:r w:rsidRPr="00CC53E5">
          <w:rPr>
            <w:rStyle w:val="Hyperlink"/>
            <w:noProof/>
          </w:rPr>
          <w:t>Part 1 Section 18.17.7.34, CELL</w:t>
        </w:r>
        <w:r>
          <w:rPr>
            <w:noProof/>
            <w:webHidden/>
          </w:rPr>
          <w:tab/>
        </w:r>
        <w:r>
          <w:rPr>
            <w:noProof/>
            <w:webHidden/>
          </w:rPr>
          <w:fldChar w:fldCharType="begin"/>
        </w:r>
        <w:r>
          <w:rPr>
            <w:noProof/>
            <w:webHidden/>
          </w:rPr>
          <w:instrText xml:space="preserve"> PAGEREF _Toc69878678 \h </w:instrText>
        </w:r>
        <w:r>
          <w:rPr>
            <w:noProof/>
            <w:webHidden/>
          </w:rPr>
        </w:r>
        <w:r>
          <w:rPr>
            <w:noProof/>
            <w:webHidden/>
          </w:rPr>
          <w:fldChar w:fldCharType="separate"/>
        </w:r>
        <w:r>
          <w:rPr>
            <w:noProof/>
            <w:webHidden/>
          </w:rPr>
          <w:t>405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79" w:history="1">
        <w:r w:rsidRPr="00CC53E5">
          <w:rPr>
            <w:rStyle w:val="Hyperlink"/>
            <w:noProof/>
          </w:rPr>
          <w:t>2.1.896</w:t>
        </w:r>
        <w:r>
          <w:rPr>
            <w:rFonts w:asciiTheme="minorHAnsi" w:eastAsiaTheme="minorEastAsia" w:hAnsiTheme="minorHAnsi" w:cstheme="minorBidi"/>
            <w:noProof/>
            <w:sz w:val="22"/>
            <w:szCs w:val="22"/>
          </w:rPr>
          <w:tab/>
        </w:r>
        <w:r w:rsidRPr="00CC53E5">
          <w:rPr>
            <w:rStyle w:val="Hyperlink"/>
            <w:noProof/>
          </w:rPr>
          <w:t>Part 1 Section 18.17.7.37, CHIINV</w:t>
        </w:r>
        <w:r>
          <w:rPr>
            <w:noProof/>
            <w:webHidden/>
          </w:rPr>
          <w:tab/>
        </w:r>
        <w:r>
          <w:rPr>
            <w:noProof/>
            <w:webHidden/>
          </w:rPr>
          <w:fldChar w:fldCharType="begin"/>
        </w:r>
        <w:r>
          <w:rPr>
            <w:noProof/>
            <w:webHidden/>
          </w:rPr>
          <w:instrText xml:space="preserve"> PAGEREF _Toc69878679 \h </w:instrText>
        </w:r>
        <w:r>
          <w:rPr>
            <w:noProof/>
            <w:webHidden/>
          </w:rPr>
        </w:r>
        <w:r>
          <w:rPr>
            <w:noProof/>
            <w:webHidden/>
          </w:rPr>
          <w:fldChar w:fldCharType="separate"/>
        </w:r>
        <w:r>
          <w:rPr>
            <w:noProof/>
            <w:webHidden/>
          </w:rPr>
          <w:t>410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80" w:history="1">
        <w:r w:rsidRPr="00CC53E5">
          <w:rPr>
            <w:rStyle w:val="Hyperlink"/>
            <w:noProof/>
          </w:rPr>
          <w:t>2.1.897</w:t>
        </w:r>
        <w:r>
          <w:rPr>
            <w:rFonts w:asciiTheme="minorHAnsi" w:eastAsiaTheme="minorEastAsia" w:hAnsiTheme="minorHAnsi" w:cstheme="minorBidi"/>
            <w:noProof/>
            <w:sz w:val="22"/>
            <w:szCs w:val="22"/>
          </w:rPr>
          <w:tab/>
        </w:r>
        <w:r w:rsidRPr="00CC53E5">
          <w:rPr>
            <w:rStyle w:val="Hyperlink"/>
            <w:noProof/>
          </w:rPr>
          <w:t>Part 1 Section 18.17.7.40, CLEAN</w:t>
        </w:r>
        <w:r>
          <w:rPr>
            <w:noProof/>
            <w:webHidden/>
          </w:rPr>
          <w:tab/>
        </w:r>
        <w:r>
          <w:rPr>
            <w:noProof/>
            <w:webHidden/>
          </w:rPr>
          <w:fldChar w:fldCharType="begin"/>
        </w:r>
        <w:r>
          <w:rPr>
            <w:noProof/>
            <w:webHidden/>
          </w:rPr>
          <w:instrText xml:space="preserve"> PAGEREF _Toc69878680 \h </w:instrText>
        </w:r>
        <w:r>
          <w:rPr>
            <w:noProof/>
            <w:webHidden/>
          </w:rPr>
        </w:r>
        <w:r>
          <w:rPr>
            <w:noProof/>
            <w:webHidden/>
          </w:rPr>
          <w:fldChar w:fldCharType="separate"/>
        </w:r>
        <w:r>
          <w:rPr>
            <w:noProof/>
            <w:webHidden/>
          </w:rPr>
          <w:t>410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81" w:history="1">
        <w:r w:rsidRPr="00CC53E5">
          <w:rPr>
            <w:rStyle w:val="Hyperlink"/>
            <w:noProof/>
          </w:rPr>
          <w:t>2.1.898</w:t>
        </w:r>
        <w:r>
          <w:rPr>
            <w:rFonts w:asciiTheme="minorHAnsi" w:eastAsiaTheme="minorEastAsia" w:hAnsiTheme="minorHAnsi" w:cstheme="minorBidi"/>
            <w:noProof/>
            <w:sz w:val="22"/>
            <w:szCs w:val="22"/>
          </w:rPr>
          <w:tab/>
        </w:r>
        <w:r w:rsidRPr="00CC53E5">
          <w:rPr>
            <w:rStyle w:val="Hyperlink"/>
            <w:noProof/>
          </w:rPr>
          <w:t>Part 1 Section 18.17.7.45, COMPLEX</w:t>
        </w:r>
        <w:r>
          <w:rPr>
            <w:noProof/>
            <w:webHidden/>
          </w:rPr>
          <w:tab/>
        </w:r>
        <w:r>
          <w:rPr>
            <w:noProof/>
            <w:webHidden/>
          </w:rPr>
          <w:fldChar w:fldCharType="begin"/>
        </w:r>
        <w:r>
          <w:rPr>
            <w:noProof/>
            <w:webHidden/>
          </w:rPr>
          <w:instrText xml:space="preserve"> PAGEREF _Toc69878681 \h </w:instrText>
        </w:r>
        <w:r>
          <w:rPr>
            <w:noProof/>
            <w:webHidden/>
          </w:rPr>
        </w:r>
        <w:r>
          <w:rPr>
            <w:noProof/>
            <w:webHidden/>
          </w:rPr>
          <w:fldChar w:fldCharType="separate"/>
        </w:r>
        <w:r>
          <w:rPr>
            <w:noProof/>
            <w:webHidden/>
          </w:rPr>
          <w:t>411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82" w:history="1">
        <w:r w:rsidRPr="00CC53E5">
          <w:rPr>
            <w:rStyle w:val="Hyperlink"/>
            <w:noProof/>
          </w:rPr>
          <w:t>2.1.899</w:t>
        </w:r>
        <w:r>
          <w:rPr>
            <w:rFonts w:asciiTheme="minorHAnsi" w:eastAsiaTheme="minorEastAsia" w:hAnsiTheme="minorHAnsi" w:cstheme="minorBidi"/>
            <w:noProof/>
            <w:sz w:val="22"/>
            <w:szCs w:val="22"/>
          </w:rPr>
          <w:tab/>
        </w:r>
        <w:r w:rsidRPr="00CC53E5">
          <w:rPr>
            <w:rStyle w:val="Hyperlink"/>
            <w:noProof/>
          </w:rPr>
          <w:t>Part 1 Section 18.17.7.47, CONFIDENCE</w:t>
        </w:r>
        <w:r>
          <w:rPr>
            <w:noProof/>
            <w:webHidden/>
          </w:rPr>
          <w:tab/>
        </w:r>
        <w:r>
          <w:rPr>
            <w:noProof/>
            <w:webHidden/>
          </w:rPr>
          <w:fldChar w:fldCharType="begin"/>
        </w:r>
        <w:r>
          <w:rPr>
            <w:noProof/>
            <w:webHidden/>
          </w:rPr>
          <w:instrText xml:space="preserve"> PAGEREF _Toc69878682 \h </w:instrText>
        </w:r>
        <w:r>
          <w:rPr>
            <w:noProof/>
            <w:webHidden/>
          </w:rPr>
        </w:r>
        <w:r>
          <w:rPr>
            <w:noProof/>
            <w:webHidden/>
          </w:rPr>
          <w:fldChar w:fldCharType="separate"/>
        </w:r>
        <w:r>
          <w:rPr>
            <w:noProof/>
            <w:webHidden/>
          </w:rPr>
          <w:t>411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83" w:history="1">
        <w:r w:rsidRPr="00CC53E5">
          <w:rPr>
            <w:rStyle w:val="Hyperlink"/>
            <w:noProof/>
          </w:rPr>
          <w:t>2.1.900</w:t>
        </w:r>
        <w:r>
          <w:rPr>
            <w:rFonts w:asciiTheme="minorHAnsi" w:eastAsiaTheme="minorEastAsia" w:hAnsiTheme="minorHAnsi" w:cstheme="minorBidi"/>
            <w:noProof/>
            <w:sz w:val="22"/>
            <w:szCs w:val="22"/>
          </w:rPr>
          <w:tab/>
        </w:r>
        <w:r w:rsidRPr="00CC53E5">
          <w:rPr>
            <w:rStyle w:val="Hyperlink"/>
            <w:noProof/>
          </w:rPr>
          <w:t>Part 1 Section 18.17.7.48, CONVERT</w:t>
        </w:r>
        <w:r>
          <w:rPr>
            <w:noProof/>
            <w:webHidden/>
          </w:rPr>
          <w:tab/>
        </w:r>
        <w:r>
          <w:rPr>
            <w:noProof/>
            <w:webHidden/>
          </w:rPr>
          <w:fldChar w:fldCharType="begin"/>
        </w:r>
        <w:r>
          <w:rPr>
            <w:noProof/>
            <w:webHidden/>
          </w:rPr>
          <w:instrText xml:space="preserve"> PAGEREF _Toc69878683 \h </w:instrText>
        </w:r>
        <w:r>
          <w:rPr>
            <w:noProof/>
            <w:webHidden/>
          </w:rPr>
        </w:r>
        <w:r>
          <w:rPr>
            <w:noProof/>
            <w:webHidden/>
          </w:rPr>
          <w:fldChar w:fldCharType="separate"/>
        </w:r>
        <w:r>
          <w:rPr>
            <w:noProof/>
            <w:webHidden/>
          </w:rPr>
          <w:t>411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84" w:history="1">
        <w:r w:rsidRPr="00CC53E5">
          <w:rPr>
            <w:rStyle w:val="Hyperlink"/>
            <w:noProof/>
          </w:rPr>
          <w:t>2.1.901</w:t>
        </w:r>
        <w:r>
          <w:rPr>
            <w:rFonts w:asciiTheme="minorHAnsi" w:eastAsiaTheme="minorEastAsia" w:hAnsiTheme="minorHAnsi" w:cstheme="minorBidi"/>
            <w:noProof/>
            <w:sz w:val="22"/>
            <w:szCs w:val="22"/>
          </w:rPr>
          <w:tab/>
        </w:r>
        <w:r w:rsidRPr="00CC53E5">
          <w:rPr>
            <w:rStyle w:val="Hyperlink"/>
            <w:noProof/>
          </w:rPr>
          <w:t>Part 1 Section 18.17.7.49, CORREL</w:t>
        </w:r>
        <w:r>
          <w:rPr>
            <w:noProof/>
            <w:webHidden/>
          </w:rPr>
          <w:tab/>
        </w:r>
        <w:r>
          <w:rPr>
            <w:noProof/>
            <w:webHidden/>
          </w:rPr>
          <w:fldChar w:fldCharType="begin"/>
        </w:r>
        <w:r>
          <w:rPr>
            <w:noProof/>
            <w:webHidden/>
          </w:rPr>
          <w:instrText xml:space="preserve"> PAGEREF _Toc69878684 \h </w:instrText>
        </w:r>
        <w:r>
          <w:rPr>
            <w:noProof/>
            <w:webHidden/>
          </w:rPr>
        </w:r>
        <w:r>
          <w:rPr>
            <w:noProof/>
            <w:webHidden/>
          </w:rPr>
          <w:fldChar w:fldCharType="separate"/>
        </w:r>
        <w:r>
          <w:rPr>
            <w:noProof/>
            <w:webHidden/>
          </w:rPr>
          <w:t>411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85" w:history="1">
        <w:r w:rsidRPr="00CC53E5">
          <w:rPr>
            <w:rStyle w:val="Hyperlink"/>
            <w:noProof/>
          </w:rPr>
          <w:t>2.1.902</w:t>
        </w:r>
        <w:r>
          <w:rPr>
            <w:rFonts w:asciiTheme="minorHAnsi" w:eastAsiaTheme="minorEastAsia" w:hAnsiTheme="minorHAnsi" w:cstheme="minorBidi"/>
            <w:noProof/>
            <w:sz w:val="22"/>
            <w:szCs w:val="22"/>
          </w:rPr>
          <w:tab/>
        </w:r>
        <w:r w:rsidRPr="00CC53E5">
          <w:rPr>
            <w:rStyle w:val="Hyperlink"/>
            <w:noProof/>
          </w:rPr>
          <w:t>Part 1 Section 18.17.7.50, COS</w:t>
        </w:r>
        <w:r>
          <w:rPr>
            <w:noProof/>
            <w:webHidden/>
          </w:rPr>
          <w:tab/>
        </w:r>
        <w:r>
          <w:rPr>
            <w:noProof/>
            <w:webHidden/>
          </w:rPr>
          <w:fldChar w:fldCharType="begin"/>
        </w:r>
        <w:r>
          <w:rPr>
            <w:noProof/>
            <w:webHidden/>
          </w:rPr>
          <w:instrText xml:space="preserve"> PAGEREF _Toc69878685 \h </w:instrText>
        </w:r>
        <w:r>
          <w:rPr>
            <w:noProof/>
            <w:webHidden/>
          </w:rPr>
        </w:r>
        <w:r>
          <w:rPr>
            <w:noProof/>
            <w:webHidden/>
          </w:rPr>
          <w:fldChar w:fldCharType="separate"/>
        </w:r>
        <w:r>
          <w:rPr>
            <w:noProof/>
            <w:webHidden/>
          </w:rPr>
          <w:t>411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86" w:history="1">
        <w:r w:rsidRPr="00CC53E5">
          <w:rPr>
            <w:rStyle w:val="Hyperlink"/>
            <w:noProof/>
          </w:rPr>
          <w:t>2.1.903</w:t>
        </w:r>
        <w:r>
          <w:rPr>
            <w:rFonts w:asciiTheme="minorHAnsi" w:eastAsiaTheme="minorEastAsia" w:hAnsiTheme="minorHAnsi" w:cstheme="minorBidi"/>
            <w:noProof/>
            <w:sz w:val="22"/>
            <w:szCs w:val="22"/>
          </w:rPr>
          <w:tab/>
        </w:r>
        <w:r w:rsidRPr="00CC53E5">
          <w:rPr>
            <w:rStyle w:val="Hyperlink"/>
            <w:noProof/>
          </w:rPr>
          <w:t>Part 1 Section 18.17.7.52, COUNT</w:t>
        </w:r>
        <w:r>
          <w:rPr>
            <w:noProof/>
            <w:webHidden/>
          </w:rPr>
          <w:tab/>
        </w:r>
        <w:r>
          <w:rPr>
            <w:noProof/>
            <w:webHidden/>
          </w:rPr>
          <w:fldChar w:fldCharType="begin"/>
        </w:r>
        <w:r>
          <w:rPr>
            <w:noProof/>
            <w:webHidden/>
          </w:rPr>
          <w:instrText xml:space="preserve"> PAGEREF _Toc69878686 \h </w:instrText>
        </w:r>
        <w:r>
          <w:rPr>
            <w:noProof/>
            <w:webHidden/>
          </w:rPr>
        </w:r>
        <w:r>
          <w:rPr>
            <w:noProof/>
            <w:webHidden/>
          </w:rPr>
          <w:fldChar w:fldCharType="separate"/>
        </w:r>
        <w:r>
          <w:rPr>
            <w:noProof/>
            <w:webHidden/>
          </w:rPr>
          <w:t>411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87" w:history="1">
        <w:r w:rsidRPr="00CC53E5">
          <w:rPr>
            <w:rStyle w:val="Hyperlink"/>
            <w:noProof/>
          </w:rPr>
          <w:t>2.1.904</w:t>
        </w:r>
        <w:r>
          <w:rPr>
            <w:rFonts w:asciiTheme="minorHAnsi" w:eastAsiaTheme="minorEastAsia" w:hAnsiTheme="minorHAnsi" w:cstheme="minorBidi"/>
            <w:noProof/>
            <w:sz w:val="22"/>
            <w:szCs w:val="22"/>
          </w:rPr>
          <w:tab/>
        </w:r>
        <w:r w:rsidRPr="00CC53E5">
          <w:rPr>
            <w:rStyle w:val="Hyperlink"/>
            <w:noProof/>
          </w:rPr>
          <w:t>Part 1 Section 18.17.7.53, COUNTA</w:t>
        </w:r>
        <w:r>
          <w:rPr>
            <w:noProof/>
            <w:webHidden/>
          </w:rPr>
          <w:tab/>
        </w:r>
        <w:r>
          <w:rPr>
            <w:noProof/>
            <w:webHidden/>
          </w:rPr>
          <w:fldChar w:fldCharType="begin"/>
        </w:r>
        <w:r>
          <w:rPr>
            <w:noProof/>
            <w:webHidden/>
          </w:rPr>
          <w:instrText xml:space="preserve"> PAGEREF _Toc69878687 \h </w:instrText>
        </w:r>
        <w:r>
          <w:rPr>
            <w:noProof/>
            <w:webHidden/>
          </w:rPr>
        </w:r>
        <w:r>
          <w:rPr>
            <w:noProof/>
            <w:webHidden/>
          </w:rPr>
          <w:fldChar w:fldCharType="separate"/>
        </w:r>
        <w:r>
          <w:rPr>
            <w:noProof/>
            <w:webHidden/>
          </w:rPr>
          <w:t>412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88" w:history="1">
        <w:r w:rsidRPr="00CC53E5">
          <w:rPr>
            <w:rStyle w:val="Hyperlink"/>
            <w:noProof/>
          </w:rPr>
          <w:t>2.1.905</w:t>
        </w:r>
        <w:r>
          <w:rPr>
            <w:rFonts w:asciiTheme="minorHAnsi" w:eastAsiaTheme="minorEastAsia" w:hAnsiTheme="minorHAnsi" w:cstheme="minorBidi"/>
            <w:noProof/>
            <w:sz w:val="22"/>
            <w:szCs w:val="22"/>
          </w:rPr>
          <w:tab/>
        </w:r>
        <w:r w:rsidRPr="00CC53E5">
          <w:rPr>
            <w:rStyle w:val="Hyperlink"/>
            <w:noProof/>
          </w:rPr>
          <w:t>Part 1 Section 18.17.7.56, COUNTIFS</w:t>
        </w:r>
        <w:r>
          <w:rPr>
            <w:noProof/>
            <w:webHidden/>
          </w:rPr>
          <w:tab/>
        </w:r>
        <w:r>
          <w:rPr>
            <w:noProof/>
            <w:webHidden/>
          </w:rPr>
          <w:fldChar w:fldCharType="begin"/>
        </w:r>
        <w:r>
          <w:rPr>
            <w:noProof/>
            <w:webHidden/>
          </w:rPr>
          <w:instrText xml:space="preserve"> PAGEREF _Toc69878688 \h </w:instrText>
        </w:r>
        <w:r>
          <w:rPr>
            <w:noProof/>
            <w:webHidden/>
          </w:rPr>
        </w:r>
        <w:r>
          <w:rPr>
            <w:noProof/>
            <w:webHidden/>
          </w:rPr>
          <w:fldChar w:fldCharType="separate"/>
        </w:r>
        <w:r>
          <w:rPr>
            <w:noProof/>
            <w:webHidden/>
          </w:rPr>
          <w:t>412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89" w:history="1">
        <w:r w:rsidRPr="00CC53E5">
          <w:rPr>
            <w:rStyle w:val="Hyperlink"/>
            <w:noProof/>
          </w:rPr>
          <w:t>2.1.906</w:t>
        </w:r>
        <w:r>
          <w:rPr>
            <w:rFonts w:asciiTheme="minorHAnsi" w:eastAsiaTheme="minorEastAsia" w:hAnsiTheme="minorHAnsi" w:cstheme="minorBidi"/>
            <w:noProof/>
            <w:sz w:val="22"/>
            <w:szCs w:val="22"/>
          </w:rPr>
          <w:tab/>
        </w:r>
        <w:r w:rsidRPr="00CC53E5">
          <w:rPr>
            <w:rStyle w:val="Hyperlink"/>
            <w:noProof/>
          </w:rPr>
          <w:t>Part 1 Section 18.17.7.57, COUPDAYBS</w:t>
        </w:r>
        <w:r>
          <w:rPr>
            <w:noProof/>
            <w:webHidden/>
          </w:rPr>
          <w:tab/>
        </w:r>
        <w:r>
          <w:rPr>
            <w:noProof/>
            <w:webHidden/>
          </w:rPr>
          <w:fldChar w:fldCharType="begin"/>
        </w:r>
        <w:r>
          <w:rPr>
            <w:noProof/>
            <w:webHidden/>
          </w:rPr>
          <w:instrText xml:space="preserve"> PAGEREF _Toc69878689 \h </w:instrText>
        </w:r>
        <w:r>
          <w:rPr>
            <w:noProof/>
            <w:webHidden/>
          </w:rPr>
        </w:r>
        <w:r>
          <w:rPr>
            <w:noProof/>
            <w:webHidden/>
          </w:rPr>
          <w:fldChar w:fldCharType="separate"/>
        </w:r>
        <w:r>
          <w:rPr>
            <w:noProof/>
            <w:webHidden/>
          </w:rPr>
          <w:t>412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90" w:history="1">
        <w:r w:rsidRPr="00CC53E5">
          <w:rPr>
            <w:rStyle w:val="Hyperlink"/>
            <w:noProof/>
          </w:rPr>
          <w:t>2.1.907</w:t>
        </w:r>
        <w:r>
          <w:rPr>
            <w:rFonts w:asciiTheme="minorHAnsi" w:eastAsiaTheme="minorEastAsia" w:hAnsiTheme="minorHAnsi" w:cstheme="minorBidi"/>
            <w:noProof/>
            <w:sz w:val="22"/>
            <w:szCs w:val="22"/>
          </w:rPr>
          <w:tab/>
        </w:r>
        <w:r w:rsidRPr="00CC53E5">
          <w:rPr>
            <w:rStyle w:val="Hyperlink"/>
            <w:noProof/>
          </w:rPr>
          <w:t>Part 1 Section 18.17.7.58, COUPDAYS</w:t>
        </w:r>
        <w:r>
          <w:rPr>
            <w:noProof/>
            <w:webHidden/>
          </w:rPr>
          <w:tab/>
        </w:r>
        <w:r>
          <w:rPr>
            <w:noProof/>
            <w:webHidden/>
          </w:rPr>
          <w:fldChar w:fldCharType="begin"/>
        </w:r>
        <w:r>
          <w:rPr>
            <w:noProof/>
            <w:webHidden/>
          </w:rPr>
          <w:instrText xml:space="preserve"> PAGEREF _Toc69878690 \h </w:instrText>
        </w:r>
        <w:r>
          <w:rPr>
            <w:noProof/>
            <w:webHidden/>
          </w:rPr>
        </w:r>
        <w:r>
          <w:rPr>
            <w:noProof/>
            <w:webHidden/>
          </w:rPr>
          <w:fldChar w:fldCharType="separate"/>
        </w:r>
        <w:r>
          <w:rPr>
            <w:noProof/>
            <w:webHidden/>
          </w:rPr>
          <w:t>413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91" w:history="1">
        <w:r w:rsidRPr="00CC53E5">
          <w:rPr>
            <w:rStyle w:val="Hyperlink"/>
            <w:noProof/>
          </w:rPr>
          <w:t>2.1.908</w:t>
        </w:r>
        <w:r>
          <w:rPr>
            <w:rFonts w:asciiTheme="minorHAnsi" w:eastAsiaTheme="minorEastAsia" w:hAnsiTheme="minorHAnsi" w:cstheme="minorBidi"/>
            <w:noProof/>
            <w:sz w:val="22"/>
            <w:szCs w:val="22"/>
          </w:rPr>
          <w:tab/>
        </w:r>
        <w:r w:rsidRPr="00CC53E5">
          <w:rPr>
            <w:rStyle w:val="Hyperlink"/>
            <w:noProof/>
          </w:rPr>
          <w:t>Part 1 Section 18.17.7.59, COUPDAYSNC</w:t>
        </w:r>
        <w:r>
          <w:rPr>
            <w:noProof/>
            <w:webHidden/>
          </w:rPr>
          <w:tab/>
        </w:r>
        <w:r>
          <w:rPr>
            <w:noProof/>
            <w:webHidden/>
          </w:rPr>
          <w:fldChar w:fldCharType="begin"/>
        </w:r>
        <w:r>
          <w:rPr>
            <w:noProof/>
            <w:webHidden/>
          </w:rPr>
          <w:instrText xml:space="preserve"> PAGEREF _Toc69878691 \h </w:instrText>
        </w:r>
        <w:r>
          <w:rPr>
            <w:noProof/>
            <w:webHidden/>
          </w:rPr>
        </w:r>
        <w:r>
          <w:rPr>
            <w:noProof/>
            <w:webHidden/>
          </w:rPr>
          <w:fldChar w:fldCharType="separate"/>
        </w:r>
        <w:r>
          <w:rPr>
            <w:noProof/>
            <w:webHidden/>
          </w:rPr>
          <w:t>413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92" w:history="1">
        <w:r w:rsidRPr="00CC53E5">
          <w:rPr>
            <w:rStyle w:val="Hyperlink"/>
            <w:noProof/>
          </w:rPr>
          <w:t>2.1.909</w:t>
        </w:r>
        <w:r>
          <w:rPr>
            <w:rFonts w:asciiTheme="minorHAnsi" w:eastAsiaTheme="minorEastAsia" w:hAnsiTheme="minorHAnsi" w:cstheme="minorBidi"/>
            <w:noProof/>
            <w:sz w:val="22"/>
            <w:szCs w:val="22"/>
          </w:rPr>
          <w:tab/>
        </w:r>
        <w:r w:rsidRPr="00CC53E5">
          <w:rPr>
            <w:rStyle w:val="Hyperlink"/>
            <w:noProof/>
          </w:rPr>
          <w:t>Part 1 Section 18.17.7.60, COUPNCD</w:t>
        </w:r>
        <w:r>
          <w:rPr>
            <w:noProof/>
            <w:webHidden/>
          </w:rPr>
          <w:tab/>
        </w:r>
        <w:r>
          <w:rPr>
            <w:noProof/>
            <w:webHidden/>
          </w:rPr>
          <w:fldChar w:fldCharType="begin"/>
        </w:r>
        <w:r>
          <w:rPr>
            <w:noProof/>
            <w:webHidden/>
          </w:rPr>
          <w:instrText xml:space="preserve"> PAGEREF _Toc69878692 \h </w:instrText>
        </w:r>
        <w:r>
          <w:rPr>
            <w:noProof/>
            <w:webHidden/>
          </w:rPr>
        </w:r>
        <w:r>
          <w:rPr>
            <w:noProof/>
            <w:webHidden/>
          </w:rPr>
          <w:fldChar w:fldCharType="separate"/>
        </w:r>
        <w:r>
          <w:rPr>
            <w:noProof/>
            <w:webHidden/>
          </w:rPr>
          <w:t>414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93" w:history="1">
        <w:r w:rsidRPr="00CC53E5">
          <w:rPr>
            <w:rStyle w:val="Hyperlink"/>
            <w:noProof/>
          </w:rPr>
          <w:t>2.1.910</w:t>
        </w:r>
        <w:r>
          <w:rPr>
            <w:rFonts w:asciiTheme="minorHAnsi" w:eastAsiaTheme="minorEastAsia" w:hAnsiTheme="minorHAnsi" w:cstheme="minorBidi"/>
            <w:noProof/>
            <w:sz w:val="22"/>
            <w:szCs w:val="22"/>
          </w:rPr>
          <w:tab/>
        </w:r>
        <w:r w:rsidRPr="00CC53E5">
          <w:rPr>
            <w:rStyle w:val="Hyperlink"/>
            <w:noProof/>
          </w:rPr>
          <w:t>Part 1 Section 18.17.7.61, COUPNUM</w:t>
        </w:r>
        <w:r>
          <w:rPr>
            <w:noProof/>
            <w:webHidden/>
          </w:rPr>
          <w:tab/>
        </w:r>
        <w:r>
          <w:rPr>
            <w:noProof/>
            <w:webHidden/>
          </w:rPr>
          <w:fldChar w:fldCharType="begin"/>
        </w:r>
        <w:r>
          <w:rPr>
            <w:noProof/>
            <w:webHidden/>
          </w:rPr>
          <w:instrText xml:space="preserve"> PAGEREF _Toc69878693 \h </w:instrText>
        </w:r>
        <w:r>
          <w:rPr>
            <w:noProof/>
            <w:webHidden/>
          </w:rPr>
        </w:r>
        <w:r>
          <w:rPr>
            <w:noProof/>
            <w:webHidden/>
          </w:rPr>
          <w:fldChar w:fldCharType="separate"/>
        </w:r>
        <w:r>
          <w:rPr>
            <w:noProof/>
            <w:webHidden/>
          </w:rPr>
          <w:t>415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94" w:history="1">
        <w:r w:rsidRPr="00CC53E5">
          <w:rPr>
            <w:rStyle w:val="Hyperlink"/>
            <w:noProof/>
          </w:rPr>
          <w:t>2.1.911</w:t>
        </w:r>
        <w:r>
          <w:rPr>
            <w:rFonts w:asciiTheme="minorHAnsi" w:eastAsiaTheme="minorEastAsia" w:hAnsiTheme="minorHAnsi" w:cstheme="minorBidi"/>
            <w:noProof/>
            <w:sz w:val="22"/>
            <w:szCs w:val="22"/>
          </w:rPr>
          <w:tab/>
        </w:r>
        <w:r w:rsidRPr="00CC53E5">
          <w:rPr>
            <w:rStyle w:val="Hyperlink"/>
            <w:noProof/>
          </w:rPr>
          <w:t>Part 1 Section 18.17.7.62, COUPPCD</w:t>
        </w:r>
        <w:r>
          <w:rPr>
            <w:noProof/>
            <w:webHidden/>
          </w:rPr>
          <w:tab/>
        </w:r>
        <w:r>
          <w:rPr>
            <w:noProof/>
            <w:webHidden/>
          </w:rPr>
          <w:fldChar w:fldCharType="begin"/>
        </w:r>
        <w:r>
          <w:rPr>
            <w:noProof/>
            <w:webHidden/>
          </w:rPr>
          <w:instrText xml:space="preserve"> PAGEREF _Toc69878694 \h </w:instrText>
        </w:r>
        <w:r>
          <w:rPr>
            <w:noProof/>
            <w:webHidden/>
          </w:rPr>
        </w:r>
        <w:r>
          <w:rPr>
            <w:noProof/>
            <w:webHidden/>
          </w:rPr>
          <w:fldChar w:fldCharType="separate"/>
        </w:r>
        <w:r>
          <w:rPr>
            <w:noProof/>
            <w:webHidden/>
          </w:rPr>
          <w:t>416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95" w:history="1">
        <w:r w:rsidRPr="00CC53E5">
          <w:rPr>
            <w:rStyle w:val="Hyperlink"/>
            <w:noProof/>
          </w:rPr>
          <w:t>2.1.912</w:t>
        </w:r>
        <w:r>
          <w:rPr>
            <w:rFonts w:asciiTheme="minorHAnsi" w:eastAsiaTheme="minorEastAsia" w:hAnsiTheme="minorHAnsi" w:cstheme="minorBidi"/>
            <w:noProof/>
            <w:sz w:val="22"/>
            <w:szCs w:val="22"/>
          </w:rPr>
          <w:tab/>
        </w:r>
        <w:r w:rsidRPr="00CC53E5">
          <w:rPr>
            <w:rStyle w:val="Hyperlink"/>
            <w:noProof/>
          </w:rPr>
          <w:t>Part 1 Section 18.17.7.64, CRITBINOM</w:t>
        </w:r>
        <w:r>
          <w:rPr>
            <w:noProof/>
            <w:webHidden/>
          </w:rPr>
          <w:tab/>
        </w:r>
        <w:r>
          <w:rPr>
            <w:noProof/>
            <w:webHidden/>
          </w:rPr>
          <w:fldChar w:fldCharType="begin"/>
        </w:r>
        <w:r>
          <w:rPr>
            <w:noProof/>
            <w:webHidden/>
          </w:rPr>
          <w:instrText xml:space="preserve"> PAGEREF _Toc69878695 \h </w:instrText>
        </w:r>
        <w:r>
          <w:rPr>
            <w:noProof/>
            <w:webHidden/>
          </w:rPr>
        </w:r>
        <w:r>
          <w:rPr>
            <w:noProof/>
            <w:webHidden/>
          </w:rPr>
          <w:fldChar w:fldCharType="separate"/>
        </w:r>
        <w:r>
          <w:rPr>
            <w:noProof/>
            <w:webHidden/>
          </w:rPr>
          <w:t>417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96" w:history="1">
        <w:r w:rsidRPr="00CC53E5">
          <w:rPr>
            <w:rStyle w:val="Hyperlink"/>
            <w:noProof/>
          </w:rPr>
          <w:t>2.1.913</w:t>
        </w:r>
        <w:r>
          <w:rPr>
            <w:rFonts w:asciiTheme="minorHAnsi" w:eastAsiaTheme="minorEastAsia" w:hAnsiTheme="minorHAnsi" w:cstheme="minorBidi"/>
            <w:noProof/>
            <w:sz w:val="22"/>
            <w:szCs w:val="22"/>
          </w:rPr>
          <w:tab/>
        </w:r>
        <w:r w:rsidRPr="00CC53E5">
          <w:rPr>
            <w:rStyle w:val="Hyperlink"/>
            <w:noProof/>
          </w:rPr>
          <w:t>Part 1 Section 18.17.7.65, CUBEKPIMEMBER</w:t>
        </w:r>
        <w:r>
          <w:rPr>
            <w:noProof/>
            <w:webHidden/>
          </w:rPr>
          <w:tab/>
        </w:r>
        <w:r>
          <w:rPr>
            <w:noProof/>
            <w:webHidden/>
          </w:rPr>
          <w:fldChar w:fldCharType="begin"/>
        </w:r>
        <w:r>
          <w:rPr>
            <w:noProof/>
            <w:webHidden/>
          </w:rPr>
          <w:instrText xml:space="preserve"> PAGEREF _Toc69878696 \h </w:instrText>
        </w:r>
        <w:r>
          <w:rPr>
            <w:noProof/>
            <w:webHidden/>
          </w:rPr>
        </w:r>
        <w:r>
          <w:rPr>
            <w:noProof/>
            <w:webHidden/>
          </w:rPr>
          <w:fldChar w:fldCharType="separate"/>
        </w:r>
        <w:r>
          <w:rPr>
            <w:noProof/>
            <w:webHidden/>
          </w:rPr>
          <w:t>417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97" w:history="1">
        <w:r w:rsidRPr="00CC53E5">
          <w:rPr>
            <w:rStyle w:val="Hyperlink"/>
            <w:noProof/>
          </w:rPr>
          <w:t>2.1.914</w:t>
        </w:r>
        <w:r>
          <w:rPr>
            <w:rFonts w:asciiTheme="minorHAnsi" w:eastAsiaTheme="minorEastAsia" w:hAnsiTheme="minorHAnsi" w:cstheme="minorBidi"/>
            <w:noProof/>
            <w:sz w:val="22"/>
            <w:szCs w:val="22"/>
          </w:rPr>
          <w:tab/>
        </w:r>
        <w:r w:rsidRPr="00CC53E5">
          <w:rPr>
            <w:rStyle w:val="Hyperlink"/>
            <w:noProof/>
          </w:rPr>
          <w:t>Part 1 Section 18.17.7.69, CUBESET</w:t>
        </w:r>
        <w:r>
          <w:rPr>
            <w:noProof/>
            <w:webHidden/>
          </w:rPr>
          <w:tab/>
        </w:r>
        <w:r>
          <w:rPr>
            <w:noProof/>
            <w:webHidden/>
          </w:rPr>
          <w:fldChar w:fldCharType="begin"/>
        </w:r>
        <w:r>
          <w:rPr>
            <w:noProof/>
            <w:webHidden/>
          </w:rPr>
          <w:instrText xml:space="preserve"> PAGEREF _Toc69878697 \h </w:instrText>
        </w:r>
        <w:r>
          <w:rPr>
            <w:noProof/>
            <w:webHidden/>
          </w:rPr>
        </w:r>
        <w:r>
          <w:rPr>
            <w:noProof/>
            <w:webHidden/>
          </w:rPr>
          <w:fldChar w:fldCharType="separate"/>
        </w:r>
        <w:r>
          <w:rPr>
            <w:noProof/>
            <w:webHidden/>
          </w:rPr>
          <w:t>417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98" w:history="1">
        <w:r w:rsidRPr="00CC53E5">
          <w:rPr>
            <w:rStyle w:val="Hyperlink"/>
            <w:noProof/>
          </w:rPr>
          <w:t>2.1.915</w:t>
        </w:r>
        <w:r>
          <w:rPr>
            <w:rFonts w:asciiTheme="minorHAnsi" w:eastAsiaTheme="minorEastAsia" w:hAnsiTheme="minorHAnsi" w:cstheme="minorBidi"/>
            <w:noProof/>
            <w:sz w:val="22"/>
            <w:szCs w:val="22"/>
          </w:rPr>
          <w:tab/>
        </w:r>
        <w:r w:rsidRPr="00CC53E5">
          <w:rPr>
            <w:rStyle w:val="Hyperlink"/>
            <w:noProof/>
          </w:rPr>
          <w:t>Part 1 Section 18.17.7.70, CUBESETCOUNT</w:t>
        </w:r>
        <w:r>
          <w:rPr>
            <w:noProof/>
            <w:webHidden/>
          </w:rPr>
          <w:tab/>
        </w:r>
        <w:r>
          <w:rPr>
            <w:noProof/>
            <w:webHidden/>
          </w:rPr>
          <w:fldChar w:fldCharType="begin"/>
        </w:r>
        <w:r>
          <w:rPr>
            <w:noProof/>
            <w:webHidden/>
          </w:rPr>
          <w:instrText xml:space="preserve"> PAGEREF _Toc69878698 \h </w:instrText>
        </w:r>
        <w:r>
          <w:rPr>
            <w:noProof/>
            <w:webHidden/>
          </w:rPr>
        </w:r>
        <w:r>
          <w:rPr>
            <w:noProof/>
            <w:webHidden/>
          </w:rPr>
          <w:fldChar w:fldCharType="separate"/>
        </w:r>
        <w:r>
          <w:rPr>
            <w:noProof/>
            <w:webHidden/>
          </w:rPr>
          <w:t>417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699" w:history="1">
        <w:r w:rsidRPr="00CC53E5">
          <w:rPr>
            <w:rStyle w:val="Hyperlink"/>
            <w:noProof/>
          </w:rPr>
          <w:t>2.1.916</w:t>
        </w:r>
        <w:r>
          <w:rPr>
            <w:rFonts w:asciiTheme="minorHAnsi" w:eastAsiaTheme="minorEastAsia" w:hAnsiTheme="minorHAnsi" w:cstheme="minorBidi"/>
            <w:noProof/>
            <w:sz w:val="22"/>
            <w:szCs w:val="22"/>
          </w:rPr>
          <w:tab/>
        </w:r>
        <w:r w:rsidRPr="00CC53E5">
          <w:rPr>
            <w:rStyle w:val="Hyperlink"/>
            <w:noProof/>
          </w:rPr>
          <w:t>Part 1 Section 18.17.7.72, CUMIPMT</w:t>
        </w:r>
        <w:r>
          <w:rPr>
            <w:noProof/>
            <w:webHidden/>
          </w:rPr>
          <w:tab/>
        </w:r>
        <w:r>
          <w:rPr>
            <w:noProof/>
            <w:webHidden/>
          </w:rPr>
          <w:fldChar w:fldCharType="begin"/>
        </w:r>
        <w:r>
          <w:rPr>
            <w:noProof/>
            <w:webHidden/>
          </w:rPr>
          <w:instrText xml:space="preserve"> PAGEREF _Toc69878699 \h </w:instrText>
        </w:r>
        <w:r>
          <w:rPr>
            <w:noProof/>
            <w:webHidden/>
          </w:rPr>
        </w:r>
        <w:r>
          <w:rPr>
            <w:noProof/>
            <w:webHidden/>
          </w:rPr>
          <w:fldChar w:fldCharType="separate"/>
        </w:r>
        <w:r>
          <w:rPr>
            <w:noProof/>
            <w:webHidden/>
          </w:rPr>
          <w:t>417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00" w:history="1">
        <w:r w:rsidRPr="00CC53E5">
          <w:rPr>
            <w:rStyle w:val="Hyperlink"/>
            <w:noProof/>
          </w:rPr>
          <w:t>2.1.917</w:t>
        </w:r>
        <w:r>
          <w:rPr>
            <w:rFonts w:asciiTheme="minorHAnsi" w:eastAsiaTheme="minorEastAsia" w:hAnsiTheme="minorHAnsi" w:cstheme="minorBidi"/>
            <w:noProof/>
            <w:sz w:val="22"/>
            <w:szCs w:val="22"/>
          </w:rPr>
          <w:tab/>
        </w:r>
        <w:r w:rsidRPr="00CC53E5">
          <w:rPr>
            <w:rStyle w:val="Hyperlink"/>
            <w:noProof/>
          </w:rPr>
          <w:t>Part 1 Section 18.17.7.73, CUMPRINC</w:t>
        </w:r>
        <w:r>
          <w:rPr>
            <w:noProof/>
            <w:webHidden/>
          </w:rPr>
          <w:tab/>
        </w:r>
        <w:r>
          <w:rPr>
            <w:noProof/>
            <w:webHidden/>
          </w:rPr>
          <w:fldChar w:fldCharType="begin"/>
        </w:r>
        <w:r>
          <w:rPr>
            <w:noProof/>
            <w:webHidden/>
          </w:rPr>
          <w:instrText xml:space="preserve"> PAGEREF _Toc69878700 \h </w:instrText>
        </w:r>
        <w:r>
          <w:rPr>
            <w:noProof/>
            <w:webHidden/>
          </w:rPr>
        </w:r>
        <w:r>
          <w:rPr>
            <w:noProof/>
            <w:webHidden/>
          </w:rPr>
          <w:fldChar w:fldCharType="separate"/>
        </w:r>
        <w:r>
          <w:rPr>
            <w:noProof/>
            <w:webHidden/>
          </w:rPr>
          <w:t>418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01" w:history="1">
        <w:r w:rsidRPr="00CC53E5">
          <w:rPr>
            <w:rStyle w:val="Hyperlink"/>
            <w:noProof/>
          </w:rPr>
          <w:t>2.1.918</w:t>
        </w:r>
        <w:r>
          <w:rPr>
            <w:rFonts w:asciiTheme="minorHAnsi" w:eastAsiaTheme="minorEastAsia" w:hAnsiTheme="minorHAnsi" w:cstheme="minorBidi"/>
            <w:noProof/>
            <w:sz w:val="22"/>
            <w:szCs w:val="22"/>
          </w:rPr>
          <w:tab/>
        </w:r>
        <w:r w:rsidRPr="00CC53E5">
          <w:rPr>
            <w:rStyle w:val="Hyperlink"/>
            <w:noProof/>
          </w:rPr>
          <w:t>Part 1 Section 18.17.7.74, DATE</w:t>
        </w:r>
        <w:r>
          <w:rPr>
            <w:noProof/>
            <w:webHidden/>
          </w:rPr>
          <w:tab/>
        </w:r>
        <w:r>
          <w:rPr>
            <w:noProof/>
            <w:webHidden/>
          </w:rPr>
          <w:fldChar w:fldCharType="begin"/>
        </w:r>
        <w:r>
          <w:rPr>
            <w:noProof/>
            <w:webHidden/>
          </w:rPr>
          <w:instrText xml:space="preserve"> PAGEREF _Toc69878701 \h </w:instrText>
        </w:r>
        <w:r>
          <w:rPr>
            <w:noProof/>
            <w:webHidden/>
          </w:rPr>
        </w:r>
        <w:r>
          <w:rPr>
            <w:noProof/>
            <w:webHidden/>
          </w:rPr>
          <w:fldChar w:fldCharType="separate"/>
        </w:r>
        <w:r>
          <w:rPr>
            <w:noProof/>
            <w:webHidden/>
          </w:rPr>
          <w:t>418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02" w:history="1">
        <w:r w:rsidRPr="00CC53E5">
          <w:rPr>
            <w:rStyle w:val="Hyperlink"/>
            <w:noProof/>
          </w:rPr>
          <w:t>2.1.919</w:t>
        </w:r>
        <w:r>
          <w:rPr>
            <w:rFonts w:asciiTheme="minorHAnsi" w:eastAsiaTheme="minorEastAsia" w:hAnsiTheme="minorHAnsi" w:cstheme="minorBidi"/>
            <w:noProof/>
            <w:sz w:val="22"/>
            <w:szCs w:val="22"/>
          </w:rPr>
          <w:tab/>
        </w:r>
        <w:r w:rsidRPr="00CC53E5">
          <w:rPr>
            <w:rStyle w:val="Hyperlink"/>
            <w:noProof/>
          </w:rPr>
          <w:t>Part 1 Section 18.17.7.76, DATEVALUE</w:t>
        </w:r>
        <w:r>
          <w:rPr>
            <w:noProof/>
            <w:webHidden/>
          </w:rPr>
          <w:tab/>
        </w:r>
        <w:r>
          <w:rPr>
            <w:noProof/>
            <w:webHidden/>
          </w:rPr>
          <w:fldChar w:fldCharType="begin"/>
        </w:r>
        <w:r>
          <w:rPr>
            <w:noProof/>
            <w:webHidden/>
          </w:rPr>
          <w:instrText xml:space="preserve"> PAGEREF _Toc69878702 \h </w:instrText>
        </w:r>
        <w:r>
          <w:rPr>
            <w:noProof/>
            <w:webHidden/>
          </w:rPr>
        </w:r>
        <w:r>
          <w:rPr>
            <w:noProof/>
            <w:webHidden/>
          </w:rPr>
          <w:fldChar w:fldCharType="separate"/>
        </w:r>
        <w:r>
          <w:rPr>
            <w:noProof/>
            <w:webHidden/>
          </w:rPr>
          <w:t>418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03" w:history="1">
        <w:r w:rsidRPr="00CC53E5">
          <w:rPr>
            <w:rStyle w:val="Hyperlink"/>
            <w:noProof/>
          </w:rPr>
          <w:t>2.1.920</w:t>
        </w:r>
        <w:r>
          <w:rPr>
            <w:rFonts w:asciiTheme="minorHAnsi" w:eastAsiaTheme="minorEastAsia" w:hAnsiTheme="minorHAnsi" w:cstheme="minorBidi"/>
            <w:noProof/>
            <w:sz w:val="22"/>
            <w:szCs w:val="22"/>
          </w:rPr>
          <w:tab/>
        </w:r>
        <w:r w:rsidRPr="00CC53E5">
          <w:rPr>
            <w:rStyle w:val="Hyperlink"/>
            <w:noProof/>
          </w:rPr>
          <w:t>Part 1 Section 18.17.7.77, DAVERAGE</w:t>
        </w:r>
        <w:r>
          <w:rPr>
            <w:noProof/>
            <w:webHidden/>
          </w:rPr>
          <w:tab/>
        </w:r>
        <w:r>
          <w:rPr>
            <w:noProof/>
            <w:webHidden/>
          </w:rPr>
          <w:fldChar w:fldCharType="begin"/>
        </w:r>
        <w:r>
          <w:rPr>
            <w:noProof/>
            <w:webHidden/>
          </w:rPr>
          <w:instrText xml:space="preserve"> PAGEREF _Toc69878703 \h </w:instrText>
        </w:r>
        <w:r>
          <w:rPr>
            <w:noProof/>
            <w:webHidden/>
          </w:rPr>
        </w:r>
        <w:r>
          <w:rPr>
            <w:noProof/>
            <w:webHidden/>
          </w:rPr>
          <w:fldChar w:fldCharType="separate"/>
        </w:r>
        <w:r>
          <w:rPr>
            <w:noProof/>
            <w:webHidden/>
          </w:rPr>
          <w:t>419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04" w:history="1">
        <w:r w:rsidRPr="00CC53E5">
          <w:rPr>
            <w:rStyle w:val="Hyperlink"/>
            <w:noProof/>
          </w:rPr>
          <w:t>2.1.921</w:t>
        </w:r>
        <w:r>
          <w:rPr>
            <w:rFonts w:asciiTheme="minorHAnsi" w:eastAsiaTheme="minorEastAsia" w:hAnsiTheme="minorHAnsi" w:cstheme="minorBidi"/>
            <w:noProof/>
            <w:sz w:val="22"/>
            <w:szCs w:val="22"/>
          </w:rPr>
          <w:tab/>
        </w:r>
        <w:r w:rsidRPr="00CC53E5">
          <w:rPr>
            <w:rStyle w:val="Hyperlink"/>
            <w:noProof/>
          </w:rPr>
          <w:t>Part 1 Section 18.17.7.78, DAY</w:t>
        </w:r>
        <w:r>
          <w:rPr>
            <w:noProof/>
            <w:webHidden/>
          </w:rPr>
          <w:tab/>
        </w:r>
        <w:r>
          <w:rPr>
            <w:noProof/>
            <w:webHidden/>
          </w:rPr>
          <w:fldChar w:fldCharType="begin"/>
        </w:r>
        <w:r>
          <w:rPr>
            <w:noProof/>
            <w:webHidden/>
          </w:rPr>
          <w:instrText xml:space="preserve"> PAGEREF _Toc69878704 \h </w:instrText>
        </w:r>
        <w:r>
          <w:rPr>
            <w:noProof/>
            <w:webHidden/>
          </w:rPr>
        </w:r>
        <w:r>
          <w:rPr>
            <w:noProof/>
            <w:webHidden/>
          </w:rPr>
          <w:fldChar w:fldCharType="separate"/>
        </w:r>
        <w:r>
          <w:rPr>
            <w:noProof/>
            <w:webHidden/>
          </w:rPr>
          <w:t>419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05" w:history="1">
        <w:r w:rsidRPr="00CC53E5">
          <w:rPr>
            <w:rStyle w:val="Hyperlink"/>
            <w:noProof/>
          </w:rPr>
          <w:t>2.1.922</w:t>
        </w:r>
        <w:r>
          <w:rPr>
            <w:rFonts w:asciiTheme="minorHAnsi" w:eastAsiaTheme="minorEastAsia" w:hAnsiTheme="minorHAnsi" w:cstheme="minorBidi"/>
            <w:noProof/>
            <w:sz w:val="22"/>
            <w:szCs w:val="22"/>
          </w:rPr>
          <w:tab/>
        </w:r>
        <w:r w:rsidRPr="00CC53E5">
          <w:rPr>
            <w:rStyle w:val="Hyperlink"/>
            <w:noProof/>
          </w:rPr>
          <w:t>Part 1 Section 18.17.7.79, DAYS360</w:t>
        </w:r>
        <w:r>
          <w:rPr>
            <w:noProof/>
            <w:webHidden/>
          </w:rPr>
          <w:tab/>
        </w:r>
        <w:r>
          <w:rPr>
            <w:noProof/>
            <w:webHidden/>
          </w:rPr>
          <w:fldChar w:fldCharType="begin"/>
        </w:r>
        <w:r>
          <w:rPr>
            <w:noProof/>
            <w:webHidden/>
          </w:rPr>
          <w:instrText xml:space="preserve"> PAGEREF _Toc69878705 \h </w:instrText>
        </w:r>
        <w:r>
          <w:rPr>
            <w:noProof/>
            <w:webHidden/>
          </w:rPr>
        </w:r>
        <w:r>
          <w:rPr>
            <w:noProof/>
            <w:webHidden/>
          </w:rPr>
          <w:fldChar w:fldCharType="separate"/>
        </w:r>
        <w:r>
          <w:rPr>
            <w:noProof/>
            <w:webHidden/>
          </w:rPr>
          <w:t>419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06" w:history="1">
        <w:r w:rsidRPr="00CC53E5">
          <w:rPr>
            <w:rStyle w:val="Hyperlink"/>
            <w:noProof/>
          </w:rPr>
          <w:t>2.1.923</w:t>
        </w:r>
        <w:r>
          <w:rPr>
            <w:rFonts w:asciiTheme="minorHAnsi" w:eastAsiaTheme="minorEastAsia" w:hAnsiTheme="minorHAnsi" w:cstheme="minorBidi"/>
            <w:noProof/>
            <w:sz w:val="22"/>
            <w:szCs w:val="22"/>
          </w:rPr>
          <w:tab/>
        </w:r>
        <w:r w:rsidRPr="00CC53E5">
          <w:rPr>
            <w:rStyle w:val="Hyperlink"/>
            <w:noProof/>
          </w:rPr>
          <w:t>Part 1 Section 18.17.7.80, DB</w:t>
        </w:r>
        <w:r>
          <w:rPr>
            <w:noProof/>
            <w:webHidden/>
          </w:rPr>
          <w:tab/>
        </w:r>
        <w:r>
          <w:rPr>
            <w:noProof/>
            <w:webHidden/>
          </w:rPr>
          <w:fldChar w:fldCharType="begin"/>
        </w:r>
        <w:r>
          <w:rPr>
            <w:noProof/>
            <w:webHidden/>
          </w:rPr>
          <w:instrText xml:space="preserve"> PAGEREF _Toc69878706 \h </w:instrText>
        </w:r>
        <w:r>
          <w:rPr>
            <w:noProof/>
            <w:webHidden/>
          </w:rPr>
        </w:r>
        <w:r>
          <w:rPr>
            <w:noProof/>
            <w:webHidden/>
          </w:rPr>
          <w:fldChar w:fldCharType="separate"/>
        </w:r>
        <w:r>
          <w:rPr>
            <w:noProof/>
            <w:webHidden/>
          </w:rPr>
          <w:t>419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07" w:history="1">
        <w:r w:rsidRPr="00CC53E5">
          <w:rPr>
            <w:rStyle w:val="Hyperlink"/>
            <w:noProof/>
          </w:rPr>
          <w:t>2.1.924</w:t>
        </w:r>
        <w:r>
          <w:rPr>
            <w:rFonts w:asciiTheme="minorHAnsi" w:eastAsiaTheme="minorEastAsia" w:hAnsiTheme="minorHAnsi" w:cstheme="minorBidi"/>
            <w:noProof/>
            <w:sz w:val="22"/>
            <w:szCs w:val="22"/>
          </w:rPr>
          <w:tab/>
        </w:r>
        <w:r w:rsidRPr="00CC53E5">
          <w:rPr>
            <w:rStyle w:val="Hyperlink"/>
            <w:noProof/>
          </w:rPr>
          <w:t>Part 1 Section 18.17.7.81, DCOUNT</w:t>
        </w:r>
        <w:r>
          <w:rPr>
            <w:noProof/>
            <w:webHidden/>
          </w:rPr>
          <w:tab/>
        </w:r>
        <w:r>
          <w:rPr>
            <w:noProof/>
            <w:webHidden/>
          </w:rPr>
          <w:fldChar w:fldCharType="begin"/>
        </w:r>
        <w:r>
          <w:rPr>
            <w:noProof/>
            <w:webHidden/>
          </w:rPr>
          <w:instrText xml:space="preserve"> PAGEREF _Toc69878707 \h </w:instrText>
        </w:r>
        <w:r>
          <w:rPr>
            <w:noProof/>
            <w:webHidden/>
          </w:rPr>
        </w:r>
        <w:r>
          <w:rPr>
            <w:noProof/>
            <w:webHidden/>
          </w:rPr>
          <w:fldChar w:fldCharType="separate"/>
        </w:r>
        <w:r>
          <w:rPr>
            <w:noProof/>
            <w:webHidden/>
          </w:rPr>
          <w:t>419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08" w:history="1">
        <w:r w:rsidRPr="00CC53E5">
          <w:rPr>
            <w:rStyle w:val="Hyperlink"/>
            <w:noProof/>
          </w:rPr>
          <w:t>2.1.925</w:t>
        </w:r>
        <w:r>
          <w:rPr>
            <w:rFonts w:asciiTheme="minorHAnsi" w:eastAsiaTheme="minorEastAsia" w:hAnsiTheme="minorHAnsi" w:cstheme="minorBidi"/>
            <w:noProof/>
            <w:sz w:val="22"/>
            <w:szCs w:val="22"/>
          </w:rPr>
          <w:tab/>
        </w:r>
        <w:r w:rsidRPr="00CC53E5">
          <w:rPr>
            <w:rStyle w:val="Hyperlink"/>
            <w:noProof/>
          </w:rPr>
          <w:t>Part 1 Section 18.17.7.82, DCOUNTA</w:t>
        </w:r>
        <w:r>
          <w:rPr>
            <w:noProof/>
            <w:webHidden/>
          </w:rPr>
          <w:tab/>
        </w:r>
        <w:r>
          <w:rPr>
            <w:noProof/>
            <w:webHidden/>
          </w:rPr>
          <w:fldChar w:fldCharType="begin"/>
        </w:r>
        <w:r>
          <w:rPr>
            <w:noProof/>
            <w:webHidden/>
          </w:rPr>
          <w:instrText xml:space="preserve"> PAGEREF _Toc69878708 \h </w:instrText>
        </w:r>
        <w:r>
          <w:rPr>
            <w:noProof/>
            <w:webHidden/>
          </w:rPr>
        </w:r>
        <w:r>
          <w:rPr>
            <w:noProof/>
            <w:webHidden/>
          </w:rPr>
          <w:fldChar w:fldCharType="separate"/>
        </w:r>
        <w:r>
          <w:rPr>
            <w:noProof/>
            <w:webHidden/>
          </w:rPr>
          <w:t>419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09" w:history="1">
        <w:r w:rsidRPr="00CC53E5">
          <w:rPr>
            <w:rStyle w:val="Hyperlink"/>
            <w:noProof/>
          </w:rPr>
          <w:t>2.1.926</w:t>
        </w:r>
        <w:r>
          <w:rPr>
            <w:rFonts w:asciiTheme="minorHAnsi" w:eastAsiaTheme="minorEastAsia" w:hAnsiTheme="minorHAnsi" w:cstheme="minorBidi"/>
            <w:noProof/>
            <w:sz w:val="22"/>
            <w:szCs w:val="22"/>
          </w:rPr>
          <w:tab/>
        </w:r>
        <w:r w:rsidRPr="00CC53E5">
          <w:rPr>
            <w:rStyle w:val="Hyperlink"/>
            <w:noProof/>
          </w:rPr>
          <w:t>Part 1 Section 18.17.7.83, DDB</w:t>
        </w:r>
        <w:r>
          <w:rPr>
            <w:noProof/>
            <w:webHidden/>
          </w:rPr>
          <w:tab/>
        </w:r>
        <w:r>
          <w:rPr>
            <w:noProof/>
            <w:webHidden/>
          </w:rPr>
          <w:fldChar w:fldCharType="begin"/>
        </w:r>
        <w:r>
          <w:rPr>
            <w:noProof/>
            <w:webHidden/>
          </w:rPr>
          <w:instrText xml:space="preserve"> PAGEREF _Toc69878709 \h </w:instrText>
        </w:r>
        <w:r>
          <w:rPr>
            <w:noProof/>
            <w:webHidden/>
          </w:rPr>
        </w:r>
        <w:r>
          <w:rPr>
            <w:noProof/>
            <w:webHidden/>
          </w:rPr>
          <w:fldChar w:fldCharType="separate"/>
        </w:r>
        <w:r>
          <w:rPr>
            <w:noProof/>
            <w:webHidden/>
          </w:rPr>
          <w:t>420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10" w:history="1">
        <w:r w:rsidRPr="00CC53E5">
          <w:rPr>
            <w:rStyle w:val="Hyperlink"/>
            <w:noProof/>
          </w:rPr>
          <w:t>2.1.927</w:t>
        </w:r>
        <w:r>
          <w:rPr>
            <w:rFonts w:asciiTheme="minorHAnsi" w:eastAsiaTheme="minorEastAsia" w:hAnsiTheme="minorHAnsi" w:cstheme="minorBidi"/>
            <w:noProof/>
            <w:sz w:val="22"/>
            <w:szCs w:val="22"/>
          </w:rPr>
          <w:tab/>
        </w:r>
        <w:r w:rsidRPr="00CC53E5">
          <w:rPr>
            <w:rStyle w:val="Hyperlink"/>
            <w:noProof/>
          </w:rPr>
          <w:t>Part 1 Section 18.17.7.84, DEC2BIN</w:t>
        </w:r>
        <w:r>
          <w:rPr>
            <w:noProof/>
            <w:webHidden/>
          </w:rPr>
          <w:tab/>
        </w:r>
        <w:r>
          <w:rPr>
            <w:noProof/>
            <w:webHidden/>
          </w:rPr>
          <w:fldChar w:fldCharType="begin"/>
        </w:r>
        <w:r>
          <w:rPr>
            <w:noProof/>
            <w:webHidden/>
          </w:rPr>
          <w:instrText xml:space="preserve"> PAGEREF _Toc69878710 \h </w:instrText>
        </w:r>
        <w:r>
          <w:rPr>
            <w:noProof/>
            <w:webHidden/>
          </w:rPr>
        </w:r>
        <w:r>
          <w:rPr>
            <w:noProof/>
            <w:webHidden/>
          </w:rPr>
          <w:fldChar w:fldCharType="separate"/>
        </w:r>
        <w:r>
          <w:rPr>
            <w:noProof/>
            <w:webHidden/>
          </w:rPr>
          <w:t>420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11" w:history="1">
        <w:r w:rsidRPr="00CC53E5">
          <w:rPr>
            <w:rStyle w:val="Hyperlink"/>
            <w:noProof/>
          </w:rPr>
          <w:t>2.1.928</w:t>
        </w:r>
        <w:r>
          <w:rPr>
            <w:rFonts w:asciiTheme="minorHAnsi" w:eastAsiaTheme="minorEastAsia" w:hAnsiTheme="minorHAnsi" w:cstheme="minorBidi"/>
            <w:noProof/>
            <w:sz w:val="22"/>
            <w:szCs w:val="22"/>
          </w:rPr>
          <w:tab/>
        </w:r>
        <w:r w:rsidRPr="00CC53E5">
          <w:rPr>
            <w:rStyle w:val="Hyperlink"/>
            <w:noProof/>
          </w:rPr>
          <w:t>Part 1 Section 18.17.7.85, DEC2HEX</w:t>
        </w:r>
        <w:r>
          <w:rPr>
            <w:noProof/>
            <w:webHidden/>
          </w:rPr>
          <w:tab/>
        </w:r>
        <w:r>
          <w:rPr>
            <w:noProof/>
            <w:webHidden/>
          </w:rPr>
          <w:fldChar w:fldCharType="begin"/>
        </w:r>
        <w:r>
          <w:rPr>
            <w:noProof/>
            <w:webHidden/>
          </w:rPr>
          <w:instrText xml:space="preserve"> PAGEREF _Toc69878711 \h </w:instrText>
        </w:r>
        <w:r>
          <w:rPr>
            <w:noProof/>
            <w:webHidden/>
          </w:rPr>
        </w:r>
        <w:r>
          <w:rPr>
            <w:noProof/>
            <w:webHidden/>
          </w:rPr>
          <w:fldChar w:fldCharType="separate"/>
        </w:r>
        <w:r>
          <w:rPr>
            <w:noProof/>
            <w:webHidden/>
          </w:rPr>
          <w:t>420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12" w:history="1">
        <w:r w:rsidRPr="00CC53E5">
          <w:rPr>
            <w:rStyle w:val="Hyperlink"/>
            <w:noProof/>
          </w:rPr>
          <w:t>2.1.929</w:t>
        </w:r>
        <w:r>
          <w:rPr>
            <w:rFonts w:asciiTheme="minorHAnsi" w:eastAsiaTheme="minorEastAsia" w:hAnsiTheme="minorHAnsi" w:cstheme="minorBidi"/>
            <w:noProof/>
            <w:sz w:val="22"/>
            <w:szCs w:val="22"/>
          </w:rPr>
          <w:tab/>
        </w:r>
        <w:r w:rsidRPr="00CC53E5">
          <w:rPr>
            <w:rStyle w:val="Hyperlink"/>
            <w:noProof/>
          </w:rPr>
          <w:t>Part 1 Section 18.17.7.86, DEC2OCT</w:t>
        </w:r>
        <w:r>
          <w:rPr>
            <w:noProof/>
            <w:webHidden/>
          </w:rPr>
          <w:tab/>
        </w:r>
        <w:r>
          <w:rPr>
            <w:noProof/>
            <w:webHidden/>
          </w:rPr>
          <w:fldChar w:fldCharType="begin"/>
        </w:r>
        <w:r>
          <w:rPr>
            <w:noProof/>
            <w:webHidden/>
          </w:rPr>
          <w:instrText xml:space="preserve"> PAGEREF _Toc69878712 \h </w:instrText>
        </w:r>
        <w:r>
          <w:rPr>
            <w:noProof/>
            <w:webHidden/>
          </w:rPr>
        </w:r>
        <w:r>
          <w:rPr>
            <w:noProof/>
            <w:webHidden/>
          </w:rPr>
          <w:fldChar w:fldCharType="separate"/>
        </w:r>
        <w:r>
          <w:rPr>
            <w:noProof/>
            <w:webHidden/>
          </w:rPr>
          <w:t>420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13" w:history="1">
        <w:r w:rsidRPr="00CC53E5">
          <w:rPr>
            <w:rStyle w:val="Hyperlink"/>
            <w:noProof/>
          </w:rPr>
          <w:t>2.1.930</w:t>
        </w:r>
        <w:r>
          <w:rPr>
            <w:rFonts w:asciiTheme="minorHAnsi" w:eastAsiaTheme="minorEastAsia" w:hAnsiTheme="minorHAnsi" w:cstheme="minorBidi"/>
            <w:noProof/>
            <w:sz w:val="22"/>
            <w:szCs w:val="22"/>
          </w:rPr>
          <w:tab/>
        </w:r>
        <w:r w:rsidRPr="00CC53E5">
          <w:rPr>
            <w:rStyle w:val="Hyperlink"/>
            <w:noProof/>
          </w:rPr>
          <w:t>Part 1 Section 18.17.7.89, DEVSQ</w:t>
        </w:r>
        <w:r>
          <w:rPr>
            <w:noProof/>
            <w:webHidden/>
          </w:rPr>
          <w:tab/>
        </w:r>
        <w:r>
          <w:rPr>
            <w:noProof/>
            <w:webHidden/>
          </w:rPr>
          <w:fldChar w:fldCharType="begin"/>
        </w:r>
        <w:r>
          <w:rPr>
            <w:noProof/>
            <w:webHidden/>
          </w:rPr>
          <w:instrText xml:space="preserve"> PAGEREF _Toc69878713 \h </w:instrText>
        </w:r>
        <w:r>
          <w:rPr>
            <w:noProof/>
            <w:webHidden/>
          </w:rPr>
        </w:r>
        <w:r>
          <w:rPr>
            <w:noProof/>
            <w:webHidden/>
          </w:rPr>
          <w:fldChar w:fldCharType="separate"/>
        </w:r>
        <w:r>
          <w:rPr>
            <w:noProof/>
            <w:webHidden/>
          </w:rPr>
          <w:t>420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14" w:history="1">
        <w:r w:rsidRPr="00CC53E5">
          <w:rPr>
            <w:rStyle w:val="Hyperlink"/>
            <w:noProof/>
          </w:rPr>
          <w:t>2.1.931</w:t>
        </w:r>
        <w:r>
          <w:rPr>
            <w:rFonts w:asciiTheme="minorHAnsi" w:eastAsiaTheme="minorEastAsia" w:hAnsiTheme="minorHAnsi" w:cstheme="minorBidi"/>
            <w:noProof/>
            <w:sz w:val="22"/>
            <w:szCs w:val="22"/>
          </w:rPr>
          <w:tab/>
        </w:r>
        <w:r w:rsidRPr="00CC53E5">
          <w:rPr>
            <w:rStyle w:val="Hyperlink"/>
            <w:noProof/>
          </w:rPr>
          <w:t>Part 1 Section 18.17.7.90, DGET</w:t>
        </w:r>
        <w:r>
          <w:rPr>
            <w:noProof/>
            <w:webHidden/>
          </w:rPr>
          <w:tab/>
        </w:r>
        <w:r>
          <w:rPr>
            <w:noProof/>
            <w:webHidden/>
          </w:rPr>
          <w:fldChar w:fldCharType="begin"/>
        </w:r>
        <w:r>
          <w:rPr>
            <w:noProof/>
            <w:webHidden/>
          </w:rPr>
          <w:instrText xml:space="preserve"> PAGEREF _Toc69878714 \h </w:instrText>
        </w:r>
        <w:r>
          <w:rPr>
            <w:noProof/>
            <w:webHidden/>
          </w:rPr>
        </w:r>
        <w:r>
          <w:rPr>
            <w:noProof/>
            <w:webHidden/>
          </w:rPr>
          <w:fldChar w:fldCharType="separate"/>
        </w:r>
        <w:r>
          <w:rPr>
            <w:noProof/>
            <w:webHidden/>
          </w:rPr>
          <w:t>420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15" w:history="1">
        <w:r w:rsidRPr="00CC53E5">
          <w:rPr>
            <w:rStyle w:val="Hyperlink"/>
            <w:noProof/>
          </w:rPr>
          <w:t>2.1.932</w:t>
        </w:r>
        <w:r>
          <w:rPr>
            <w:rFonts w:asciiTheme="minorHAnsi" w:eastAsiaTheme="minorEastAsia" w:hAnsiTheme="minorHAnsi" w:cstheme="minorBidi"/>
            <w:noProof/>
            <w:sz w:val="22"/>
            <w:szCs w:val="22"/>
          </w:rPr>
          <w:tab/>
        </w:r>
        <w:r w:rsidRPr="00CC53E5">
          <w:rPr>
            <w:rStyle w:val="Hyperlink"/>
            <w:noProof/>
          </w:rPr>
          <w:t>Part 1 Section 18.17.7.91, DISC</w:t>
        </w:r>
        <w:r>
          <w:rPr>
            <w:noProof/>
            <w:webHidden/>
          </w:rPr>
          <w:tab/>
        </w:r>
        <w:r>
          <w:rPr>
            <w:noProof/>
            <w:webHidden/>
          </w:rPr>
          <w:fldChar w:fldCharType="begin"/>
        </w:r>
        <w:r>
          <w:rPr>
            <w:noProof/>
            <w:webHidden/>
          </w:rPr>
          <w:instrText xml:space="preserve"> PAGEREF _Toc69878715 \h </w:instrText>
        </w:r>
        <w:r>
          <w:rPr>
            <w:noProof/>
            <w:webHidden/>
          </w:rPr>
        </w:r>
        <w:r>
          <w:rPr>
            <w:noProof/>
            <w:webHidden/>
          </w:rPr>
          <w:fldChar w:fldCharType="separate"/>
        </w:r>
        <w:r>
          <w:rPr>
            <w:noProof/>
            <w:webHidden/>
          </w:rPr>
          <w:t>420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16" w:history="1">
        <w:r w:rsidRPr="00CC53E5">
          <w:rPr>
            <w:rStyle w:val="Hyperlink"/>
            <w:noProof/>
          </w:rPr>
          <w:t>2.1.933</w:t>
        </w:r>
        <w:r>
          <w:rPr>
            <w:rFonts w:asciiTheme="minorHAnsi" w:eastAsiaTheme="minorEastAsia" w:hAnsiTheme="minorHAnsi" w:cstheme="minorBidi"/>
            <w:noProof/>
            <w:sz w:val="22"/>
            <w:szCs w:val="22"/>
          </w:rPr>
          <w:tab/>
        </w:r>
        <w:r w:rsidRPr="00CC53E5">
          <w:rPr>
            <w:rStyle w:val="Hyperlink"/>
            <w:noProof/>
          </w:rPr>
          <w:t>Part 1 Section 18.17.7.92, DMAX</w:t>
        </w:r>
        <w:r>
          <w:rPr>
            <w:noProof/>
            <w:webHidden/>
          </w:rPr>
          <w:tab/>
        </w:r>
        <w:r>
          <w:rPr>
            <w:noProof/>
            <w:webHidden/>
          </w:rPr>
          <w:fldChar w:fldCharType="begin"/>
        </w:r>
        <w:r>
          <w:rPr>
            <w:noProof/>
            <w:webHidden/>
          </w:rPr>
          <w:instrText xml:space="preserve"> PAGEREF _Toc69878716 \h </w:instrText>
        </w:r>
        <w:r>
          <w:rPr>
            <w:noProof/>
            <w:webHidden/>
          </w:rPr>
        </w:r>
        <w:r>
          <w:rPr>
            <w:noProof/>
            <w:webHidden/>
          </w:rPr>
          <w:fldChar w:fldCharType="separate"/>
        </w:r>
        <w:r>
          <w:rPr>
            <w:noProof/>
            <w:webHidden/>
          </w:rPr>
          <w:t>421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17" w:history="1">
        <w:r w:rsidRPr="00CC53E5">
          <w:rPr>
            <w:rStyle w:val="Hyperlink"/>
            <w:noProof/>
          </w:rPr>
          <w:t>2.1.934</w:t>
        </w:r>
        <w:r>
          <w:rPr>
            <w:rFonts w:asciiTheme="minorHAnsi" w:eastAsiaTheme="minorEastAsia" w:hAnsiTheme="minorHAnsi" w:cstheme="minorBidi"/>
            <w:noProof/>
            <w:sz w:val="22"/>
            <w:szCs w:val="22"/>
          </w:rPr>
          <w:tab/>
        </w:r>
        <w:r w:rsidRPr="00CC53E5">
          <w:rPr>
            <w:rStyle w:val="Hyperlink"/>
            <w:noProof/>
          </w:rPr>
          <w:t>Part 1 Section 18.17.7.93, DMIN</w:t>
        </w:r>
        <w:r>
          <w:rPr>
            <w:noProof/>
            <w:webHidden/>
          </w:rPr>
          <w:tab/>
        </w:r>
        <w:r>
          <w:rPr>
            <w:noProof/>
            <w:webHidden/>
          </w:rPr>
          <w:fldChar w:fldCharType="begin"/>
        </w:r>
        <w:r>
          <w:rPr>
            <w:noProof/>
            <w:webHidden/>
          </w:rPr>
          <w:instrText xml:space="preserve"> PAGEREF _Toc69878717 \h </w:instrText>
        </w:r>
        <w:r>
          <w:rPr>
            <w:noProof/>
            <w:webHidden/>
          </w:rPr>
        </w:r>
        <w:r>
          <w:rPr>
            <w:noProof/>
            <w:webHidden/>
          </w:rPr>
          <w:fldChar w:fldCharType="separate"/>
        </w:r>
        <w:r>
          <w:rPr>
            <w:noProof/>
            <w:webHidden/>
          </w:rPr>
          <w:t>421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18" w:history="1">
        <w:r w:rsidRPr="00CC53E5">
          <w:rPr>
            <w:rStyle w:val="Hyperlink"/>
            <w:noProof/>
          </w:rPr>
          <w:t>2.1.935</w:t>
        </w:r>
        <w:r>
          <w:rPr>
            <w:rFonts w:asciiTheme="minorHAnsi" w:eastAsiaTheme="minorEastAsia" w:hAnsiTheme="minorHAnsi" w:cstheme="minorBidi"/>
            <w:noProof/>
            <w:sz w:val="22"/>
            <w:szCs w:val="22"/>
          </w:rPr>
          <w:tab/>
        </w:r>
        <w:r w:rsidRPr="00CC53E5">
          <w:rPr>
            <w:rStyle w:val="Hyperlink"/>
            <w:noProof/>
          </w:rPr>
          <w:t>Part 1 Section 18.17.7.94, DOLLAR</w:t>
        </w:r>
        <w:r>
          <w:rPr>
            <w:noProof/>
            <w:webHidden/>
          </w:rPr>
          <w:tab/>
        </w:r>
        <w:r>
          <w:rPr>
            <w:noProof/>
            <w:webHidden/>
          </w:rPr>
          <w:fldChar w:fldCharType="begin"/>
        </w:r>
        <w:r>
          <w:rPr>
            <w:noProof/>
            <w:webHidden/>
          </w:rPr>
          <w:instrText xml:space="preserve"> PAGEREF _Toc69878718 \h </w:instrText>
        </w:r>
        <w:r>
          <w:rPr>
            <w:noProof/>
            <w:webHidden/>
          </w:rPr>
        </w:r>
        <w:r>
          <w:rPr>
            <w:noProof/>
            <w:webHidden/>
          </w:rPr>
          <w:fldChar w:fldCharType="separate"/>
        </w:r>
        <w:r>
          <w:rPr>
            <w:noProof/>
            <w:webHidden/>
          </w:rPr>
          <w:t>422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19" w:history="1">
        <w:r w:rsidRPr="00CC53E5">
          <w:rPr>
            <w:rStyle w:val="Hyperlink"/>
            <w:noProof/>
          </w:rPr>
          <w:t>2.1.936</w:t>
        </w:r>
        <w:r>
          <w:rPr>
            <w:rFonts w:asciiTheme="minorHAnsi" w:eastAsiaTheme="minorEastAsia" w:hAnsiTheme="minorHAnsi" w:cstheme="minorBidi"/>
            <w:noProof/>
            <w:sz w:val="22"/>
            <w:szCs w:val="22"/>
          </w:rPr>
          <w:tab/>
        </w:r>
        <w:r w:rsidRPr="00CC53E5">
          <w:rPr>
            <w:rStyle w:val="Hyperlink"/>
            <w:noProof/>
          </w:rPr>
          <w:t>Part 1 Section 18.17.7.95, DOLLARDE</w:t>
        </w:r>
        <w:r>
          <w:rPr>
            <w:noProof/>
            <w:webHidden/>
          </w:rPr>
          <w:tab/>
        </w:r>
        <w:r>
          <w:rPr>
            <w:noProof/>
            <w:webHidden/>
          </w:rPr>
          <w:fldChar w:fldCharType="begin"/>
        </w:r>
        <w:r>
          <w:rPr>
            <w:noProof/>
            <w:webHidden/>
          </w:rPr>
          <w:instrText xml:space="preserve"> PAGEREF _Toc69878719 \h </w:instrText>
        </w:r>
        <w:r>
          <w:rPr>
            <w:noProof/>
            <w:webHidden/>
          </w:rPr>
        </w:r>
        <w:r>
          <w:rPr>
            <w:noProof/>
            <w:webHidden/>
          </w:rPr>
          <w:fldChar w:fldCharType="separate"/>
        </w:r>
        <w:r>
          <w:rPr>
            <w:noProof/>
            <w:webHidden/>
          </w:rPr>
          <w:t>422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20" w:history="1">
        <w:r w:rsidRPr="00CC53E5">
          <w:rPr>
            <w:rStyle w:val="Hyperlink"/>
            <w:noProof/>
          </w:rPr>
          <w:t>2.1.937</w:t>
        </w:r>
        <w:r>
          <w:rPr>
            <w:rFonts w:asciiTheme="minorHAnsi" w:eastAsiaTheme="minorEastAsia" w:hAnsiTheme="minorHAnsi" w:cstheme="minorBidi"/>
            <w:noProof/>
            <w:sz w:val="22"/>
            <w:szCs w:val="22"/>
          </w:rPr>
          <w:tab/>
        </w:r>
        <w:r w:rsidRPr="00CC53E5">
          <w:rPr>
            <w:rStyle w:val="Hyperlink"/>
            <w:noProof/>
          </w:rPr>
          <w:t>Part 1 Section 18.17.7.96, DOLLARFR</w:t>
        </w:r>
        <w:r>
          <w:rPr>
            <w:noProof/>
            <w:webHidden/>
          </w:rPr>
          <w:tab/>
        </w:r>
        <w:r>
          <w:rPr>
            <w:noProof/>
            <w:webHidden/>
          </w:rPr>
          <w:fldChar w:fldCharType="begin"/>
        </w:r>
        <w:r>
          <w:rPr>
            <w:noProof/>
            <w:webHidden/>
          </w:rPr>
          <w:instrText xml:space="preserve"> PAGEREF _Toc69878720 \h </w:instrText>
        </w:r>
        <w:r>
          <w:rPr>
            <w:noProof/>
            <w:webHidden/>
          </w:rPr>
        </w:r>
        <w:r>
          <w:rPr>
            <w:noProof/>
            <w:webHidden/>
          </w:rPr>
          <w:fldChar w:fldCharType="separate"/>
        </w:r>
        <w:r>
          <w:rPr>
            <w:noProof/>
            <w:webHidden/>
          </w:rPr>
          <w:t>422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21" w:history="1">
        <w:r w:rsidRPr="00CC53E5">
          <w:rPr>
            <w:rStyle w:val="Hyperlink"/>
            <w:noProof/>
          </w:rPr>
          <w:t>2.1.938</w:t>
        </w:r>
        <w:r>
          <w:rPr>
            <w:rFonts w:asciiTheme="minorHAnsi" w:eastAsiaTheme="minorEastAsia" w:hAnsiTheme="minorHAnsi" w:cstheme="minorBidi"/>
            <w:noProof/>
            <w:sz w:val="22"/>
            <w:szCs w:val="22"/>
          </w:rPr>
          <w:tab/>
        </w:r>
        <w:r w:rsidRPr="00CC53E5">
          <w:rPr>
            <w:rStyle w:val="Hyperlink"/>
            <w:noProof/>
          </w:rPr>
          <w:t>Part 1 Section 18.17.7.97, DPRODUCT</w:t>
        </w:r>
        <w:r>
          <w:rPr>
            <w:noProof/>
            <w:webHidden/>
          </w:rPr>
          <w:tab/>
        </w:r>
        <w:r>
          <w:rPr>
            <w:noProof/>
            <w:webHidden/>
          </w:rPr>
          <w:fldChar w:fldCharType="begin"/>
        </w:r>
        <w:r>
          <w:rPr>
            <w:noProof/>
            <w:webHidden/>
          </w:rPr>
          <w:instrText xml:space="preserve"> PAGEREF _Toc69878721 \h </w:instrText>
        </w:r>
        <w:r>
          <w:rPr>
            <w:noProof/>
            <w:webHidden/>
          </w:rPr>
        </w:r>
        <w:r>
          <w:rPr>
            <w:noProof/>
            <w:webHidden/>
          </w:rPr>
          <w:fldChar w:fldCharType="separate"/>
        </w:r>
        <w:r>
          <w:rPr>
            <w:noProof/>
            <w:webHidden/>
          </w:rPr>
          <w:t>422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22" w:history="1">
        <w:r w:rsidRPr="00CC53E5">
          <w:rPr>
            <w:rStyle w:val="Hyperlink"/>
            <w:noProof/>
          </w:rPr>
          <w:t>2.1.939</w:t>
        </w:r>
        <w:r>
          <w:rPr>
            <w:rFonts w:asciiTheme="minorHAnsi" w:eastAsiaTheme="minorEastAsia" w:hAnsiTheme="minorHAnsi" w:cstheme="minorBidi"/>
            <w:noProof/>
            <w:sz w:val="22"/>
            <w:szCs w:val="22"/>
          </w:rPr>
          <w:tab/>
        </w:r>
        <w:r w:rsidRPr="00CC53E5">
          <w:rPr>
            <w:rStyle w:val="Hyperlink"/>
            <w:noProof/>
          </w:rPr>
          <w:t>Part 1 Section 18.17.7.98, DSTDEV</w:t>
        </w:r>
        <w:r>
          <w:rPr>
            <w:noProof/>
            <w:webHidden/>
          </w:rPr>
          <w:tab/>
        </w:r>
        <w:r>
          <w:rPr>
            <w:noProof/>
            <w:webHidden/>
          </w:rPr>
          <w:fldChar w:fldCharType="begin"/>
        </w:r>
        <w:r>
          <w:rPr>
            <w:noProof/>
            <w:webHidden/>
          </w:rPr>
          <w:instrText xml:space="preserve"> PAGEREF _Toc69878722 \h </w:instrText>
        </w:r>
        <w:r>
          <w:rPr>
            <w:noProof/>
            <w:webHidden/>
          </w:rPr>
        </w:r>
        <w:r>
          <w:rPr>
            <w:noProof/>
            <w:webHidden/>
          </w:rPr>
          <w:fldChar w:fldCharType="separate"/>
        </w:r>
        <w:r>
          <w:rPr>
            <w:noProof/>
            <w:webHidden/>
          </w:rPr>
          <w:t>422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23" w:history="1">
        <w:r w:rsidRPr="00CC53E5">
          <w:rPr>
            <w:rStyle w:val="Hyperlink"/>
            <w:noProof/>
          </w:rPr>
          <w:t>2.1.940</w:t>
        </w:r>
        <w:r>
          <w:rPr>
            <w:rFonts w:asciiTheme="minorHAnsi" w:eastAsiaTheme="minorEastAsia" w:hAnsiTheme="minorHAnsi" w:cstheme="minorBidi"/>
            <w:noProof/>
            <w:sz w:val="22"/>
            <w:szCs w:val="22"/>
          </w:rPr>
          <w:tab/>
        </w:r>
        <w:r w:rsidRPr="00CC53E5">
          <w:rPr>
            <w:rStyle w:val="Hyperlink"/>
            <w:noProof/>
          </w:rPr>
          <w:t>Part 1 Section 18.17.7.99, DSTDEVP</w:t>
        </w:r>
        <w:r>
          <w:rPr>
            <w:noProof/>
            <w:webHidden/>
          </w:rPr>
          <w:tab/>
        </w:r>
        <w:r>
          <w:rPr>
            <w:noProof/>
            <w:webHidden/>
          </w:rPr>
          <w:fldChar w:fldCharType="begin"/>
        </w:r>
        <w:r>
          <w:rPr>
            <w:noProof/>
            <w:webHidden/>
          </w:rPr>
          <w:instrText xml:space="preserve"> PAGEREF _Toc69878723 \h </w:instrText>
        </w:r>
        <w:r>
          <w:rPr>
            <w:noProof/>
            <w:webHidden/>
          </w:rPr>
        </w:r>
        <w:r>
          <w:rPr>
            <w:noProof/>
            <w:webHidden/>
          </w:rPr>
          <w:fldChar w:fldCharType="separate"/>
        </w:r>
        <w:r>
          <w:rPr>
            <w:noProof/>
            <w:webHidden/>
          </w:rPr>
          <w:t>422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24" w:history="1">
        <w:r w:rsidRPr="00CC53E5">
          <w:rPr>
            <w:rStyle w:val="Hyperlink"/>
            <w:noProof/>
          </w:rPr>
          <w:t>2.1.941</w:t>
        </w:r>
        <w:r>
          <w:rPr>
            <w:rFonts w:asciiTheme="minorHAnsi" w:eastAsiaTheme="minorEastAsia" w:hAnsiTheme="minorHAnsi" w:cstheme="minorBidi"/>
            <w:noProof/>
            <w:sz w:val="22"/>
            <w:szCs w:val="22"/>
          </w:rPr>
          <w:tab/>
        </w:r>
        <w:r w:rsidRPr="00CC53E5">
          <w:rPr>
            <w:rStyle w:val="Hyperlink"/>
            <w:noProof/>
          </w:rPr>
          <w:t>Part 1 Section 18.17.7.100, DSUM</w:t>
        </w:r>
        <w:r>
          <w:rPr>
            <w:noProof/>
            <w:webHidden/>
          </w:rPr>
          <w:tab/>
        </w:r>
        <w:r>
          <w:rPr>
            <w:noProof/>
            <w:webHidden/>
          </w:rPr>
          <w:fldChar w:fldCharType="begin"/>
        </w:r>
        <w:r>
          <w:rPr>
            <w:noProof/>
            <w:webHidden/>
          </w:rPr>
          <w:instrText xml:space="preserve"> PAGEREF _Toc69878724 \h </w:instrText>
        </w:r>
        <w:r>
          <w:rPr>
            <w:noProof/>
            <w:webHidden/>
          </w:rPr>
        </w:r>
        <w:r>
          <w:rPr>
            <w:noProof/>
            <w:webHidden/>
          </w:rPr>
          <w:fldChar w:fldCharType="separate"/>
        </w:r>
        <w:r>
          <w:rPr>
            <w:noProof/>
            <w:webHidden/>
          </w:rPr>
          <w:t>423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25" w:history="1">
        <w:r w:rsidRPr="00CC53E5">
          <w:rPr>
            <w:rStyle w:val="Hyperlink"/>
            <w:noProof/>
          </w:rPr>
          <w:t>2.1.942</w:t>
        </w:r>
        <w:r>
          <w:rPr>
            <w:rFonts w:asciiTheme="minorHAnsi" w:eastAsiaTheme="minorEastAsia" w:hAnsiTheme="minorHAnsi" w:cstheme="minorBidi"/>
            <w:noProof/>
            <w:sz w:val="22"/>
            <w:szCs w:val="22"/>
          </w:rPr>
          <w:tab/>
        </w:r>
        <w:r w:rsidRPr="00CC53E5">
          <w:rPr>
            <w:rStyle w:val="Hyperlink"/>
            <w:noProof/>
          </w:rPr>
          <w:t>Part 1 Section 18.17.7.101, DURATION</w:t>
        </w:r>
        <w:r>
          <w:rPr>
            <w:noProof/>
            <w:webHidden/>
          </w:rPr>
          <w:tab/>
        </w:r>
        <w:r>
          <w:rPr>
            <w:noProof/>
            <w:webHidden/>
          </w:rPr>
          <w:fldChar w:fldCharType="begin"/>
        </w:r>
        <w:r>
          <w:rPr>
            <w:noProof/>
            <w:webHidden/>
          </w:rPr>
          <w:instrText xml:space="preserve"> PAGEREF _Toc69878725 \h </w:instrText>
        </w:r>
        <w:r>
          <w:rPr>
            <w:noProof/>
            <w:webHidden/>
          </w:rPr>
        </w:r>
        <w:r>
          <w:rPr>
            <w:noProof/>
            <w:webHidden/>
          </w:rPr>
          <w:fldChar w:fldCharType="separate"/>
        </w:r>
        <w:r>
          <w:rPr>
            <w:noProof/>
            <w:webHidden/>
          </w:rPr>
          <w:t>423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26" w:history="1">
        <w:r w:rsidRPr="00CC53E5">
          <w:rPr>
            <w:rStyle w:val="Hyperlink"/>
            <w:noProof/>
          </w:rPr>
          <w:t>2.1.943</w:t>
        </w:r>
        <w:r>
          <w:rPr>
            <w:rFonts w:asciiTheme="minorHAnsi" w:eastAsiaTheme="minorEastAsia" w:hAnsiTheme="minorHAnsi" w:cstheme="minorBidi"/>
            <w:noProof/>
            <w:sz w:val="22"/>
            <w:szCs w:val="22"/>
          </w:rPr>
          <w:tab/>
        </w:r>
        <w:r w:rsidRPr="00CC53E5">
          <w:rPr>
            <w:rStyle w:val="Hyperlink"/>
            <w:noProof/>
          </w:rPr>
          <w:t>Part 1 Section 18.17.7.102, DVAR</w:t>
        </w:r>
        <w:r>
          <w:rPr>
            <w:noProof/>
            <w:webHidden/>
          </w:rPr>
          <w:tab/>
        </w:r>
        <w:r>
          <w:rPr>
            <w:noProof/>
            <w:webHidden/>
          </w:rPr>
          <w:fldChar w:fldCharType="begin"/>
        </w:r>
        <w:r>
          <w:rPr>
            <w:noProof/>
            <w:webHidden/>
          </w:rPr>
          <w:instrText xml:space="preserve"> PAGEREF _Toc69878726 \h </w:instrText>
        </w:r>
        <w:r>
          <w:rPr>
            <w:noProof/>
            <w:webHidden/>
          </w:rPr>
        </w:r>
        <w:r>
          <w:rPr>
            <w:noProof/>
            <w:webHidden/>
          </w:rPr>
          <w:fldChar w:fldCharType="separate"/>
        </w:r>
        <w:r>
          <w:rPr>
            <w:noProof/>
            <w:webHidden/>
          </w:rPr>
          <w:t>424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27" w:history="1">
        <w:r w:rsidRPr="00CC53E5">
          <w:rPr>
            <w:rStyle w:val="Hyperlink"/>
            <w:noProof/>
          </w:rPr>
          <w:t>2.1.944</w:t>
        </w:r>
        <w:r>
          <w:rPr>
            <w:rFonts w:asciiTheme="minorHAnsi" w:eastAsiaTheme="minorEastAsia" w:hAnsiTheme="minorHAnsi" w:cstheme="minorBidi"/>
            <w:noProof/>
            <w:sz w:val="22"/>
            <w:szCs w:val="22"/>
          </w:rPr>
          <w:tab/>
        </w:r>
        <w:r w:rsidRPr="00CC53E5">
          <w:rPr>
            <w:rStyle w:val="Hyperlink"/>
            <w:noProof/>
          </w:rPr>
          <w:t>Part 1 Section 18.17.7.103, DVARP</w:t>
        </w:r>
        <w:r>
          <w:rPr>
            <w:noProof/>
            <w:webHidden/>
          </w:rPr>
          <w:tab/>
        </w:r>
        <w:r>
          <w:rPr>
            <w:noProof/>
            <w:webHidden/>
          </w:rPr>
          <w:fldChar w:fldCharType="begin"/>
        </w:r>
        <w:r>
          <w:rPr>
            <w:noProof/>
            <w:webHidden/>
          </w:rPr>
          <w:instrText xml:space="preserve"> PAGEREF _Toc69878727 \h </w:instrText>
        </w:r>
        <w:r>
          <w:rPr>
            <w:noProof/>
            <w:webHidden/>
          </w:rPr>
        </w:r>
        <w:r>
          <w:rPr>
            <w:noProof/>
            <w:webHidden/>
          </w:rPr>
          <w:fldChar w:fldCharType="separate"/>
        </w:r>
        <w:r>
          <w:rPr>
            <w:noProof/>
            <w:webHidden/>
          </w:rPr>
          <w:t>424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28" w:history="1">
        <w:r w:rsidRPr="00CC53E5">
          <w:rPr>
            <w:rStyle w:val="Hyperlink"/>
            <w:noProof/>
          </w:rPr>
          <w:t>2.1.945</w:t>
        </w:r>
        <w:r>
          <w:rPr>
            <w:rFonts w:asciiTheme="minorHAnsi" w:eastAsiaTheme="minorEastAsia" w:hAnsiTheme="minorHAnsi" w:cstheme="minorBidi"/>
            <w:noProof/>
            <w:sz w:val="22"/>
            <w:szCs w:val="22"/>
          </w:rPr>
          <w:tab/>
        </w:r>
        <w:r w:rsidRPr="00CC53E5">
          <w:rPr>
            <w:rStyle w:val="Hyperlink"/>
            <w:noProof/>
          </w:rPr>
          <w:t>Part 1 Section 18.17.7.105, EDATE</w:t>
        </w:r>
        <w:r>
          <w:rPr>
            <w:noProof/>
            <w:webHidden/>
          </w:rPr>
          <w:tab/>
        </w:r>
        <w:r>
          <w:rPr>
            <w:noProof/>
            <w:webHidden/>
          </w:rPr>
          <w:fldChar w:fldCharType="begin"/>
        </w:r>
        <w:r>
          <w:rPr>
            <w:noProof/>
            <w:webHidden/>
          </w:rPr>
          <w:instrText xml:space="preserve"> PAGEREF _Toc69878728 \h </w:instrText>
        </w:r>
        <w:r>
          <w:rPr>
            <w:noProof/>
            <w:webHidden/>
          </w:rPr>
        </w:r>
        <w:r>
          <w:rPr>
            <w:noProof/>
            <w:webHidden/>
          </w:rPr>
          <w:fldChar w:fldCharType="separate"/>
        </w:r>
        <w:r>
          <w:rPr>
            <w:noProof/>
            <w:webHidden/>
          </w:rPr>
          <w:t>424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29" w:history="1">
        <w:r w:rsidRPr="00CC53E5">
          <w:rPr>
            <w:rStyle w:val="Hyperlink"/>
            <w:noProof/>
          </w:rPr>
          <w:t>2.1.946</w:t>
        </w:r>
        <w:r>
          <w:rPr>
            <w:rFonts w:asciiTheme="minorHAnsi" w:eastAsiaTheme="minorEastAsia" w:hAnsiTheme="minorHAnsi" w:cstheme="minorBidi"/>
            <w:noProof/>
            <w:sz w:val="22"/>
            <w:szCs w:val="22"/>
          </w:rPr>
          <w:tab/>
        </w:r>
        <w:r w:rsidRPr="00CC53E5">
          <w:rPr>
            <w:rStyle w:val="Hyperlink"/>
            <w:noProof/>
          </w:rPr>
          <w:t>Part 1 Section 18.17.7.108, ERF</w:t>
        </w:r>
        <w:r>
          <w:rPr>
            <w:noProof/>
            <w:webHidden/>
          </w:rPr>
          <w:tab/>
        </w:r>
        <w:r>
          <w:rPr>
            <w:noProof/>
            <w:webHidden/>
          </w:rPr>
          <w:fldChar w:fldCharType="begin"/>
        </w:r>
        <w:r>
          <w:rPr>
            <w:noProof/>
            <w:webHidden/>
          </w:rPr>
          <w:instrText xml:space="preserve"> PAGEREF _Toc69878729 \h </w:instrText>
        </w:r>
        <w:r>
          <w:rPr>
            <w:noProof/>
            <w:webHidden/>
          </w:rPr>
        </w:r>
        <w:r>
          <w:rPr>
            <w:noProof/>
            <w:webHidden/>
          </w:rPr>
          <w:fldChar w:fldCharType="separate"/>
        </w:r>
        <w:r>
          <w:rPr>
            <w:noProof/>
            <w:webHidden/>
          </w:rPr>
          <w:t>424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30" w:history="1">
        <w:r w:rsidRPr="00CC53E5">
          <w:rPr>
            <w:rStyle w:val="Hyperlink"/>
            <w:noProof/>
          </w:rPr>
          <w:t>2.1.947</w:t>
        </w:r>
        <w:r>
          <w:rPr>
            <w:rFonts w:asciiTheme="minorHAnsi" w:eastAsiaTheme="minorEastAsia" w:hAnsiTheme="minorHAnsi" w:cstheme="minorBidi"/>
            <w:noProof/>
            <w:sz w:val="22"/>
            <w:szCs w:val="22"/>
          </w:rPr>
          <w:tab/>
        </w:r>
        <w:r w:rsidRPr="00CC53E5">
          <w:rPr>
            <w:rStyle w:val="Hyperlink"/>
            <w:noProof/>
          </w:rPr>
          <w:t>Part 1 Section 18.17.7.109, ERFC</w:t>
        </w:r>
        <w:r>
          <w:rPr>
            <w:noProof/>
            <w:webHidden/>
          </w:rPr>
          <w:tab/>
        </w:r>
        <w:r>
          <w:rPr>
            <w:noProof/>
            <w:webHidden/>
          </w:rPr>
          <w:fldChar w:fldCharType="begin"/>
        </w:r>
        <w:r>
          <w:rPr>
            <w:noProof/>
            <w:webHidden/>
          </w:rPr>
          <w:instrText xml:space="preserve"> PAGEREF _Toc69878730 \h </w:instrText>
        </w:r>
        <w:r>
          <w:rPr>
            <w:noProof/>
            <w:webHidden/>
          </w:rPr>
        </w:r>
        <w:r>
          <w:rPr>
            <w:noProof/>
            <w:webHidden/>
          </w:rPr>
          <w:fldChar w:fldCharType="separate"/>
        </w:r>
        <w:r>
          <w:rPr>
            <w:noProof/>
            <w:webHidden/>
          </w:rPr>
          <w:t>424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31" w:history="1">
        <w:r w:rsidRPr="00CC53E5">
          <w:rPr>
            <w:rStyle w:val="Hyperlink"/>
            <w:noProof/>
          </w:rPr>
          <w:t>2.1.948</w:t>
        </w:r>
        <w:r>
          <w:rPr>
            <w:rFonts w:asciiTheme="minorHAnsi" w:eastAsiaTheme="minorEastAsia" w:hAnsiTheme="minorHAnsi" w:cstheme="minorBidi"/>
            <w:noProof/>
            <w:sz w:val="22"/>
            <w:szCs w:val="22"/>
          </w:rPr>
          <w:tab/>
        </w:r>
        <w:r w:rsidRPr="00CC53E5">
          <w:rPr>
            <w:rStyle w:val="Hyperlink"/>
            <w:noProof/>
          </w:rPr>
          <w:t>Part 1 Section 18.17.7.110, ERROR.TYPE</w:t>
        </w:r>
        <w:r>
          <w:rPr>
            <w:noProof/>
            <w:webHidden/>
          </w:rPr>
          <w:tab/>
        </w:r>
        <w:r>
          <w:rPr>
            <w:noProof/>
            <w:webHidden/>
          </w:rPr>
          <w:fldChar w:fldCharType="begin"/>
        </w:r>
        <w:r>
          <w:rPr>
            <w:noProof/>
            <w:webHidden/>
          </w:rPr>
          <w:instrText xml:space="preserve"> PAGEREF _Toc69878731 \h </w:instrText>
        </w:r>
        <w:r>
          <w:rPr>
            <w:noProof/>
            <w:webHidden/>
          </w:rPr>
        </w:r>
        <w:r>
          <w:rPr>
            <w:noProof/>
            <w:webHidden/>
          </w:rPr>
          <w:fldChar w:fldCharType="separate"/>
        </w:r>
        <w:r>
          <w:rPr>
            <w:noProof/>
            <w:webHidden/>
          </w:rPr>
          <w:t>424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32" w:history="1">
        <w:r w:rsidRPr="00CC53E5">
          <w:rPr>
            <w:rStyle w:val="Hyperlink"/>
            <w:noProof/>
          </w:rPr>
          <w:t>2.1.949</w:t>
        </w:r>
        <w:r>
          <w:rPr>
            <w:rFonts w:asciiTheme="minorHAnsi" w:eastAsiaTheme="minorEastAsia" w:hAnsiTheme="minorHAnsi" w:cstheme="minorBidi"/>
            <w:noProof/>
            <w:sz w:val="22"/>
            <w:szCs w:val="22"/>
          </w:rPr>
          <w:tab/>
        </w:r>
        <w:r w:rsidRPr="00CC53E5">
          <w:rPr>
            <w:rStyle w:val="Hyperlink"/>
            <w:noProof/>
          </w:rPr>
          <w:t>Part 1 Section 18.17.7.119, FIND</w:t>
        </w:r>
        <w:r>
          <w:rPr>
            <w:noProof/>
            <w:webHidden/>
          </w:rPr>
          <w:tab/>
        </w:r>
        <w:r>
          <w:rPr>
            <w:noProof/>
            <w:webHidden/>
          </w:rPr>
          <w:fldChar w:fldCharType="begin"/>
        </w:r>
        <w:r>
          <w:rPr>
            <w:noProof/>
            <w:webHidden/>
          </w:rPr>
          <w:instrText xml:space="preserve"> PAGEREF _Toc69878732 \h </w:instrText>
        </w:r>
        <w:r>
          <w:rPr>
            <w:noProof/>
            <w:webHidden/>
          </w:rPr>
        </w:r>
        <w:r>
          <w:rPr>
            <w:noProof/>
            <w:webHidden/>
          </w:rPr>
          <w:fldChar w:fldCharType="separate"/>
        </w:r>
        <w:r>
          <w:rPr>
            <w:noProof/>
            <w:webHidden/>
          </w:rPr>
          <w:t>424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33" w:history="1">
        <w:r w:rsidRPr="00CC53E5">
          <w:rPr>
            <w:rStyle w:val="Hyperlink"/>
            <w:noProof/>
          </w:rPr>
          <w:t>2.1.950</w:t>
        </w:r>
        <w:r>
          <w:rPr>
            <w:rFonts w:asciiTheme="minorHAnsi" w:eastAsiaTheme="minorEastAsia" w:hAnsiTheme="minorHAnsi" w:cstheme="minorBidi"/>
            <w:noProof/>
            <w:sz w:val="22"/>
            <w:szCs w:val="22"/>
          </w:rPr>
          <w:tab/>
        </w:r>
        <w:r w:rsidRPr="00CC53E5">
          <w:rPr>
            <w:rStyle w:val="Hyperlink"/>
            <w:noProof/>
          </w:rPr>
          <w:t>Part 1 Section 18.17.7.120, FINDB</w:t>
        </w:r>
        <w:r>
          <w:rPr>
            <w:noProof/>
            <w:webHidden/>
          </w:rPr>
          <w:tab/>
        </w:r>
        <w:r>
          <w:rPr>
            <w:noProof/>
            <w:webHidden/>
          </w:rPr>
          <w:fldChar w:fldCharType="begin"/>
        </w:r>
        <w:r>
          <w:rPr>
            <w:noProof/>
            <w:webHidden/>
          </w:rPr>
          <w:instrText xml:space="preserve"> PAGEREF _Toc69878733 \h </w:instrText>
        </w:r>
        <w:r>
          <w:rPr>
            <w:noProof/>
            <w:webHidden/>
          </w:rPr>
        </w:r>
        <w:r>
          <w:rPr>
            <w:noProof/>
            <w:webHidden/>
          </w:rPr>
          <w:fldChar w:fldCharType="separate"/>
        </w:r>
        <w:r>
          <w:rPr>
            <w:noProof/>
            <w:webHidden/>
          </w:rPr>
          <w:t>425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34" w:history="1">
        <w:r w:rsidRPr="00CC53E5">
          <w:rPr>
            <w:rStyle w:val="Hyperlink"/>
            <w:noProof/>
          </w:rPr>
          <w:t>2.1.951</w:t>
        </w:r>
        <w:r>
          <w:rPr>
            <w:rFonts w:asciiTheme="minorHAnsi" w:eastAsiaTheme="minorEastAsia" w:hAnsiTheme="minorHAnsi" w:cstheme="minorBidi"/>
            <w:noProof/>
            <w:sz w:val="22"/>
            <w:szCs w:val="22"/>
          </w:rPr>
          <w:tab/>
        </w:r>
        <w:r w:rsidRPr="00CC53E5">
          <w:rPr>
            <w:rStyle w:val="Hyperlink"/>
            <w:noProof/>
          </w:rPr>
          <w:t>Part 1 Section 18.17.7.121, FINV</w:t>
        </w:r>
        <w:r>
          <w:rPr>
            <w:noProof/>
            <w:webHidden/>
          </w:rPr>
          <w:tab/>
        </w:r>
        <w:r>
          <w:rPr>
            <w:noProof/>
            <w:webHidden/>
          </w:rPr>
          <w:fldChar w:fldCharType="begin"/>
        </w:r>
        <w:r>
          <w:rPr>
            <w:noProof/>
            <w:webHidden/>
          </w:rPr>
          <w:instrText xml:space="preserve"> PAGEREF _Toc69878734 \h </w:instrText>
        </w:r>
        <w:r>
          <w:rPr>
            <w:noProof/>
            <w:webHidden/>
          </w:rPr>
        </w:r>
        <w:r>
          <w:rPr>
            <w:noProof/>
            <w:webHidden/>
          </w:rPr>
          <w:fldChar w:fldCharType="separate"/>
        </w:r>
        <w:r>
          <w:rPr>
            <w:noProof/>
            <w:webHidden/>
          </w:rPr>
          <w:t>425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35" w:history="1">
        <w:r w:rsidRPr="00CC53E5">
          <w:rPr>
            <w:rStyle w:val="Hyperlink"/>
            <w:noProof/>
          </w:rPr>
          <w:t>2.1.952</w:t>
        </w:r>
        <w:r>
          <w:rPr>
            <w:rFonts w:asciiTheme="minorHAnsi" w:eastAsiaTheme="minorEastAsia" w:hAnsiTheme="minorHAnsi" w:cstheme="minorBidi"/>
            <w:noProof/>
            <w:sz w:val="22"/>
            <w:szCs w:val="22"/>
          </w:rPr>
          <w:tab/>
        </w:r>
        <w:r w:rsidRPr="00CC53E5">
          <w:rPr>
            <w:rStyle w:val="Hyperlink"/>
            <w:noProof/>
          </w:rPr>
          <w:t>Part 1 Section 18.17.7.124, FIXED</w:t>
        </w:r>
        <w:r>
          <w:rPr>
            <w:noProof/>
            <w:webHidden/>
          </w:rPr>
          <w:tab/>
        </w:r>
        <w:r>
          <w:rPr>
            <w:noProof/>
            <w:webHidden/>
          </w:rPr>
          <w:fldChar w:fldCharType="begin"/>
        </w:r>
        <w:r>
          <w:rPr>
            <w:noProof/>
            <w:webHidden/>
          </w:rPr>
          <w:instrText xml:space="preserve"> PAGEREF _Toc69878735 \h </w:instrText>
        </w:r>
        <w:r>
          <w:rPr>
            <w:noProof/>
            <w:webHidden/>
          </w:rPr>
        </w:r>
        <w:r>
          <w:rPr>
            <w:noProof/>
            <w:webHidden/>
          </w:rPr>
          <w:fldChar w:fldCharType="separate"/>
        </w:r>
        <w:r>
          <w:rPr>
            <w:noProof/>
            <w:webHidden/>
          </w:rPr>
          <w:t>425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36" w:history="1">
        <w:r w:rsidRPr="00CC53E5">
          <w:rPr>
            <w:rStyle w:val="Hyperlink"/>
            <w:noProof/>
          </w:rPr>
          <w:t>2.1.953</w:t>
        </w:r>
        <w:r>
          <w:rPr>
            <w:rFonts w:asciiTheme="minorHAnsi" w:eastAsiaTheme="minorEastAsia" w:hAnsiTheme="minorHAnsi" w:cstheme="minorBidi"/>
            <w:noProof/>
            <w:sz w:val="22"/>
            <w:szCs w:val="22"/>
          </w:rPr>
          <w:tab/>
        </w:r>
        <w:r w:rsidRPr="00CC53E5">
          <w:rPr>
            <w:rStyle w:val="Hyperlink"/>
            <w:noProof/>
          </w:rPr>
          <w:t>Part 1 Section 18.17.7.125, FLOOR</w:t>
        </w:r>
        <w:r>
          <w:rPr>
            <w:noProof/>
            <w:webHidden/>
          </w:rPr>
          <w:tab/>
        </w:r>
        <w:r>
          <w:rPr>
            <w:noProof/>
            <w:webHidden/>
          </w:rPr>
          <w:fldChar w:fldCharType="begin"/>
        </w:r>
        <w:r>
          <w:rPr>
            <w:noProof/>
            <w:webHidden/>
          </w:rPr>
          <w:instrText xml:space="preserve"> PAGEREF _Toc69878736 \h </w:instrText>
        </w:r>
        <w:r>
          <w:rPr>
            <w:noProof/>
            <w:webHidden/>
          </w:rPr>
        </w:r>
        <w:r>
          <w:rPr>
            <w:noProof/>
            <w:webHidden/>
          </w:rPr>
          <w:fldChar w:fldCharType="separate"/>
        </w:r>
        <w:r>
          <w:rPr>
            <w:noProof/>
            <w:webHidden/>
          </w:rPr>
          <w:t>425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37" w:history="1">
        <w:r w:rsidRPr="00CC53E5">
          <w:rPr>
            <w:rStyle w:val="Hyperlink"/>
            <w:noProof/>
          </w:rPr>
          <w:t>2.1.954</w:t>
        </w:r>
        <w:r>
          <w:rPr>
            <w:rFonts w:asciiTheme="minorHAnsi" w:eastAsiaTheme="minorEastAsia" w:hAnsiTheme="minorHAnsi" w:cstheme="minorBidi"/>
            <w:noProof/>
            <w:sz w:val="22"/>
            <w:szCs w:val="22"/>
          </w:rPr>
          <w:tab/>
        </w:r>
        <w:r w:rsidRPr="00CC53E5">
          <w:rPr>
            <w:rStyle w:val="Hyperlink"/>
            <w:noProof/>
          </w:rPr>
          <w:t>Part 1 Section 18.17.7.126, FORECAST</w:t>
        </w:r>
        <w:r>
          <w:rPr>
            <w:noProof/>
            <w:webHidden/>
          </w:rPr>
          <w:tab/>
        </w:r>
        <w:r>
          <w:rPr>
            <w:noProof/>
            <w:webHidden/>
          </w:rPr>
          <w:fldChar w:fldCharType="begin"/>
        </w:r>
        <w:r>
          <w:rPr>
            <w:noProof/>
            <w:webHidden/>
          </w:rPr>
          <w:instrText xml:space="preserve"> PAGEREF _Toc69878737 \h </w:instrText>
        </w:r>
        <w:r>
          <w:rPr>
            <w:noProof/>
            <w:webHidden/>
          </w:rPr>
        </w:r>
        <w:r>
          <w:rPr>
            <w:noProof/>
            <w:webHidden/>
          </w:rPr>
          <w:fldChar w:fldCharType="separate"/>
        </w:r>
        <w:r>
          <w:rPr>
            <w:noProof/>
            <w:webHidden/>
          </w:rPr>
          <w:t>425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38" w:history="1">
        <w:r w:rsidRPr="00CC53E5">
          <w:rPr>
            <w:rStyle w:val="Hyperlink"/>
            <w:noProof/>
          </w:rPr>
          <w:t>2.1.955</w:t>
        </w:r>
        <w:r>
          <w:rPr>
            <w:rFonts w:asciiTheme="minorHAnsi" w:eastAsiaTheme="minorEastAsia" w:hAnsiTheme="minorHAnsi" w:cstheme="minorBidi"/>
            <w:noProof/>
            <w:sz w:val="22"/>
            <w:szCs w:val="22"/>
          </w:rPr>
          <w:tab/>
        </w:r>
        <w:r w:rsidRPr="00CC53E5">
          <w:rPr>
            <w:rStyle w:val="Hyperlink"/>
            <w:noProof/>
          </w:rPr>
          <w:t>Part 1 Section 18.17.7.129, FV</w:t>
        </w:r>
        <w:r>
          <w:rPr>
            <w:noProof/>
            <w:webHidden/>
          </w:rPr>
          <w:tab/>
        </w:r>
        <w:r>
          <w:rPr>
            <w:noProof/>
            <w:webHidden/>
          </w:rPr>
          <w:fldChar w:fldCharType="begin"/>
        </w:r>
        <w:r>
          <w:rPr>
            <w:noProof/>
            <w:webHidden/>
          </w:rPr>
          <w:instrText xml:space="preserve"> PAGEREF _Toc69878738 \h </w:instrText>
        </w:r>
        <w:r>
          <w:rPr>
            <w:noProof/>
            <w:webHidden/>
          </w:rPr>
        </w:r>
        <w:r>
          <w:rPr>
            <w:noProof/>
            <w:webHidden/>
          </w:rPr>
          <w:fldChar w:fldCharType="separate"/>
        </w:r>
        <w:r>
          <w:rPr>
            <w:noProof/>
            <w:webHidden/>
          </w:rPr>
          <w:t>426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39" w:history="1">
        <w:r w:rsidRPr="00CC53E5">
          <w:rPr>
            <w:rStyle w:val="Hyperlink"/>
            <w:noProof/>
          </w:rPr>
          <w:t>2.1.956</w:t>
        </w:r>
        <w:r>
          <w:rPr>
            <w:rFonts w:asciiTheme="minorHAnsi" w:eastAsiaTheme="minorEastAsia" w:hAnsiTheme="minorHAnsi" w:cstheme="minorBidi"/>
            <w:noProof/>
            <w:sz w:val="22"/>
            <w:szCs w:val="22"/>
          </w:rPr>
          <w:tab/>
        </w:r>
        <w:r w:rsidRPr="00CC53E5">
          <w:rPr>
            <w:rStyle w:val="Hyperlink"/>
            <w:noProof/>
          </w:rPr>
          <w:t>Part 1 Section 18.17.7.132, GAMMAINV</w:t>
        </w:r>
        <w:r>
          <w:rPr>
            <w:noProof/>
            <w:webHidden/>
          </w:rPr>
          <w:tab/>
        </w:r>
        <w:r>
          <w:rPr>
            <w:noProof/>
            <w:webHidden/>
          </w:rPr>
          <w:fldChar w:fldCharType="begin"/>
        </w:r>
        <w:r>
          <w:rPr>
            <w:noProof/>
            <w:webHidden/>
          </w:rPr>
          <w:instrText xml:space="preserve"> PAGEREF _Toc69878739 \h </w:instrText>
        </w:r>
        <w:r>
          <w:rPr>
            <w:noProof/>
            <w:webHidden/>
          </w:rPr>
        </w:r>
        <w:r>
          <w:rPr>
            <w:noProof/>
            <w:webHidden/>
          </w:rPr>
          <w:fldChar w:fldCharType="separate"/>
        </w:r>
        <w:r>
          <w:rPr>
            <w:noProof/>
            <w:webHidden/>
          </w:rPr>
          <w:t>426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40" w:history="1">
        <w:r w:rsidRPr="00CC53E5">
          <w:rPr>
            <w:rStyle w:val="Hyperlink"/>
            <w:noProof/>
          </w:rPr>
          <w:t>2.1.957</w:t>
        </w:r>
        <w:r>
          <w:rPr>
            <w:rFonts w:asciiTheme="minorHAnsi" w:eastAsiaTheme="minorEastAsia" w:hAnsiTheme="minorHAnsi" w:cstheme="minorBidi"/>
            <w:noProof/>
            <w:sz w:val="22"/>
            <w:szCs w:val="22"/>
          </w:rPr>
          <w:tab/>
        </w:r>
        <w:r w:rsidRPr="00CC53E5">
          <w:rPr>
            <w:rStyle w:val="Hyperlink"/>
            <w:noProof/>
          </w:rPr>
          <w:t>Part 1 Section 18.17.7.135, GEOMEAN</w:t>
        </w:r>
        <w:r>
          <w:rPr>
            <w:noProof/>
            <w:webHidden/>
          </w:rPr>
          <w:tab/>
        </w:r>
        <w:r>
          <w:rPr>
            <w:noProof/>
            <w:webHidden/>
          </w:rPr>
          <w:fldChar w:fldCharType="begin"/>
        </w:r>
        <w:r>
          <w:rPr>
            <w:noProof/>
            <w:webHidden/>
          </w:rPr>
          <w:instrText xml:space="preserve"> PAGEREF _Toc69878740 \h </w:instrText>
        </w:r>
        <w:r>
          <w:rPr>
            <w:noProof/>
            <w:webHidden/>
          </w:rPr>
        </w:r>
        <w:r>
          <w:rPr>
            <w:noProof/>
            <w:webHidden/>
          </w:rPr>
          <w:fldChar w:fldCharType="separate"/>
        </w:r>
        <w:r>
          <w:rPr>
            <w:noProof/>
            <w:webHidden/>
          </w:rPr>
          <w:t>426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41" w:history="1">
        <w:r w:rsidRPr="00CC53E5">
          <w:rPr>
            <w:rStyle w:val="Hyperlink"/>
            <w:noProof/>
          </w:rPr>
          <w:t>2.1.958</w:t>
        </w:r>
        <w:r>
          <w:rPr>
            <w:rFonts w:asciiTheme="minorHAnsi" w:eastAsiaTheme="minorEastAsia" w:hAnsiTheme="minorHAnsi" w:cstheme="minorBidi"/>
            <w:noProof/>
            <w:sz w:val="22"/>
            <w:szCs w:val="22"/>
          </w:rPr>
          <w:tab/>
        </w:r>
        <w:r w:rsidRPr="00CC53E5">
          <w:rPr>
            <w:rStyle w:val="Hyperlink"/>
            <w:noProof/>
          </w:rPr>
          <w:t>Part 1 Section 18.17.7.137, GETPIVOTDATA</w:t>
        </w:r>
        <w:r>
          <w:rPr>
            <w:noProof/>
            <w:webHidden/>
          </w:rPr>
          <w:tab/>
        </w:r>
        <w:r>
          <w:rPr>
            <w:noProof/>
            <w:webHidden/>
          </w:rPr>
          <w:fldChar w:fldCharType="begin"/>
        </w:r>
        <w:r>
          <w:rPr>
            <w:noProof/>
            <w:webHidden/>
          </w:rPr>
          <w:instrText xml:space="preserve"> PAGEREF _Toc69878741 \h </w:instrText>
        </w:r>
        <w:r>
          <w:rPr>
            <w:noProof/>
            <w:webHidden/>
          </w:rPr>
        </w:r>
        <w:r>
          <w:rPr>
            <w:noProof/>
            <w:webHidden/>
          </w:rPr>
          <w:fldChar w:fldCharType="separate"/>
        </w:r>
        <w:r>
          <w:rPr>
            <w:noProof/>
            <w:webHidden/>
          </w:rPr>
          <w:t>426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42" w:history="1">
        <w:r w:rsidRPr="00CC53E5">
          <w:rPr>
            <w:rStyle w:val="Hyperlink"/>
            <w:noProof/>
          </w:rPr>
          <w:t>2.1.959</w:t>
        </w:r>
        <w:r>
          <w:rPr>
            <w:rFonts w:asciiTheme="minorHAnsi" w:eastAsiaTheme="minorEastAsia" w:hAnsiTheme="minorHAnsi" w:cstheme="minorBidi"/>
            <w:noProof/>
            <w:sz w:val="22"/>
            <w:szCs w:val="22"/>
          </w:rPr>
          <w:tab/>
        </w:r>
        <w:r w:rsidRPr="00CC53E5">
          <w:rPr>
            <w:rStyle w:val="Hyperlink"/>
            <w:noProof/>
          </w:rPr>
          <w:t>Part 1 Section 18.17.7.139, HARMEAN</w:t>
        </w:r>
        <w:r>
          <w:rPr>
            <w:noProof/>
            <w:webHidden/>
          </w:rPr>
          <w:tab/>
        </w:r>
        <w:r>
          <w:rPr>
            <w:noProof/>
            <w:webHidden/>
          </w:rPr>
          <w:fldChar w:fldCharType="begin"/>
        </w:r>
        <w:r>
          <w:rPr>
            <w:noProof/>
            <w:webHidden/>
          </w:rPr>
          <w:instrText xml:space="preserve"> PAGEREF _Toc69878742 \h </w:instrText>
        </w:r>
        <w:r>
          <w:rPr>
            <w:noProof/>
            <w:webHidden/>
          </w:rPr>
        </w:r>
        <w:r>
          <w:rPr>
            <w:noProof/>
            <w:webHidden/>
          </w:rPr>
          <w:fldChar w:fldCharType="separate"/>
        </w:r>
        <w:r>
          <w:rPr>
            <w:noProof/>
            <w:webHidden/>
          </w:rPr>
          <w:t>426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43" w:history="1">
        <w:r w:rsidRPr="00CC53E5">
          <w:rPr>
            <w:rStyle w:val="Hyperlink"/>
            <w:noProof/>
          </w:rPr>
          <w:t>2.1.960</w:t>
        </w:r>
        <w:r>
          <w:rPr>
            <w:rFonts w:asciiTheme="minorHAnsi" w:eastAsiaTheme="minorEastAsia" w:hAnsiTheme="minorHAnsi" w:cstheme="minorBidi"/>
            <w:noProof/>
            <w:sz w:val="22"/>
            <w:szCs w:val="22"/>
          </w:rPr>
          <w:tab/>
        </w:r>
        <w:r w:rsidRPr="00CC53E5">
          <w:rPr>
            <w:rStyle w:val="Hyperlink"/>
            <w:noProof/>
          </w:rPr>
          <w:t>Part 1 Section 18.17.7.143, HLOOKUP</w:t>
        </w:r>
        <w:r>
          <w:rPr>
            <w:noProof/>
            <w:webHidden/>
          </w:rPr>
          <w:tab/>
        </w:r>
        <w:r>
          <w:rPr>
            <w:noProof/>
            <w:webHidden/>
          </w:rPr>
          <w:fldChar w:fldCharType="begin"/>
        </w:r>
        <w:r>
          <w:rPr>
            <w:noProof/>
            <w:webHidden/>
          </w:rPr>
          <w:instrText xml:space="preserve"> PAGEREF _Toc69878743 \h </w:instrText>
        </w:r>
        <w:r>
          <w:rPr>
            <w:noProof/>
            <w:webHidden/>
          </w:rPr>
        </w:r>
        <w:r>
          <w:rPr>
            <w:noProof/>
            <w:webHidden/>
          </w:rPr>
          <w:fldChar w:fldCharType="separate"/>
        </w:r>
        <w:r>
          <w:rPr>
            <w:noProof/>
            <w:webHidden/>
          </w:rPr>
          <w:t>426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44" w:history="1">
        <w:r w:rsidRPr="00CC53E5">
          <w:rPr>
            <w:rStyle w:val="Hyperlink"/>
            <w:noProof/>
          </w:rPr>
          <w:t>2.1.961</w:t>
        </w:r>
        <w:r>
          <w:rPr>
            <w:rFonts w:asciiTheme="minorHAnsi" w:eastAsiaTheme="minorEastAsia" w:hAnsiTheme="minorHAnsi" w:cstheme="minorBidi"/>
            <w:noProof/>
            <w:sz w:val="22"/>
            <w:szCs w:val="22"/>
          </w:rPr>
          <w:tab/>
        </w:r>
        <w:r w:rsidRPr="00CC53E5">
          <w:rPr>
            <w:rStyle w:val="Hyperlink"/>
            <w:noProof/>
          </w:rPr>
          <w:t>Part 1 Section 18.17.7.144, HOUR</w:t>
        </w:r>
        <w:r>
          <w:rPr>
            <w:noProof/>
            <w:webHidden/>
          </w:rPr>
          <w:tab/>
        </w:r>
        <w:r>
          <w:rPr>
            <w:noProof/>
            <w:webHidden/>
          </w:rPr>
          <w:fldChar w:fldCharType="begin"/>
        </w:r>
        <w:r>
          <w:rPr>
            <w:noProof/>
            <w:webHidden/>
          </w:rPr>
          <w:instrText xml:space="preserve"> PAGEREF _Toc69878744 \h </w:instrText>
        </w:r>
        <w:r>
          <w:rPr>
            <w:noProof/>
            <w:webHidden/>
          </w:rPr>
        </w:r>
        <w:r>
          <w:rPr>
            <w:noProof/>
            <w:webHidden/>
          </w:rPr>
          <w:fldChar w:fldCharType="separate"/>
        </w:r>
        <w:r>
          <w:rPr>
            <w:noProof/>
            <w:webHidden/>
          </w:rPr>
          <w:t>426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45" w:history="1">
        <w:r w:rsidRPr="00CC53E5">
          <w:rPr>
            <w:rStyle w:val="Hyperlink"/>
            <w:noProof/>
          </w:rPr>
          <w:t>2.1.962</w:t>
        </w:r>
        <w:r>
          <w:rPr>
            <w:rFonts w:asciiTheme="minorHAnsi" w:eastAsiaTheme="minorEastAsia" w:hAnsiTheme="minorHAnsi" w:cstheme="minorBidi"/>
            <w:noProof/>
            <w:sz w:val="22"/>
            <w:szCs w:val="22"/>
          </w:rPr>
          <w:tab/>
        </w:r>
        <w:r w:rsidRPr="00CC53E5">
          <w:rPr>
            <w:rStyle w:val="Hyperlink"/>
            <w:noProof/>
          </w:rPr>
          <w:t>Part 1 Section 18.17.7.147, IF</w:t>
        </w:r>
        <w:r>
          <w:rPr>
            <w:noProof/>
            <w:webHidden/>
          </w:rPr>
          <w:tab/>
        </w:r>
        <w:r>
          <w:rPr>
            <w:noProof/>
            <w:webHidden/>
          </w:rPr>
          <w:fldChar w:fldCharType="begin"/>
        </w:r>
        <w:r>
          <w:rPr>
            <w:noProof/>
            <w:webHidden/>
          </w:rPr>
          <w:instrText xml:space="preserve"> PAGEREF _Toc69878745 \h </w:instrText>
        </w:r>
        <w:r>
          <w:rPr>
            <w:noProof/>
            <w:webHidden/>
          </w:rPr>
        </w:r>
        <w:r>
          <w:rPr>
            <w:noProof/>
            <w:webHidden/>
          </w:rPr>
          <w:fldChar w:fldCharType="separate"/>
        </w:r>
        <w:r>
          <w:rPr>
            <w:noProof/>
            <w:webHidden/>
          </w:rPr>
          <w:t>427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46" w:history="1">
        <w:r w:rsidRPr="00CC53E5">
          <w:rPr>
            <w:rStyle w:val="Hyperlink"/>
            <w:noProof/>
          </w:rPr>
          <w:t>2.1.963</w:t>
        </w:r>
        <w:r>
          <w:rPr>
            <w:rFonts w:asciiTheme="minorHAnsi" w:eastAsiaTheme="minorEastAsia" w:hAnsiTheme="minorHAnsi" w:cstheme="minorBidi"/>
            <w:noProof/>
            <w:sz w:val="22"/>
            <w:szCs w:val="22"/>
          </w:rPr>
          <w:tab/>
        </w:r>
        <w:r w:rsidRPr="00CC53E5">
          <w:rPr>
            <w:rStyle w:val="Hyperlink"/>
            <w:noProof/>
          </w:rPr>
          <w:t>Part 1 Section 18.17.7.148, IFERROR</w:t>
        </w:r>
        <w:r>
          <w:rPr>
            <w:noProof/>
            <w:webHidden/>
          </w:rPr>
          <w:tab/>
        </w:r>
        <w:r>
          <w:rPr>
            <w:noProof/>
            <w:webHidden/>
          </w:rPr>
          <w:fldChar w:fldCharType="begin"/>
        </w:r>
        <w:r>
          <w:rPr>
            <w:noProof/>
            <w:webHidden/>
          </w:rPr>
          <w:instrText xml:space="preserve"> PAGEREF _Toc69878746 \h </w:instrText>
        </w:r>
        <w:r>
          <w:rPr>
            <w:noProof/>
            <w:webHidden/>
          </w:rPr>
        </w:r>
        <w:r>
          <w:rPr>
            <w:noProof/>
            <w:webHidden/>
          </w:rPr>
          <w:fldChar w:fldCharType="separate"/>
        </w:r>
        <w:r>
          <w:rPr>
            <w:noProof/>
            <w:webHidden/>
          </w:rPr>
          <w:t>427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47" w:history="1">
        <w:r w:rsidRPr="00CC53E5">
          <w:rPr>
            <w:rStyle w:val="Hyperlink"/>
            <w:noProof/>
          </w:rPr>
          <w:t>2.1.964</w:t>
        </w:r>
        <w:r>
          <w:rPr>
            <w:rFonts w:asciiTheme="minorHAnsi" w:eastAsiaTheme="minorEastAsia" w:hAnsiTheme="minorHAnsi" w:cstheme="minorBidi"/>
            <w:noProof/>
            <w:sz w:val="22"/>
            <w:szCs w:val="22"/>
          </w:rPr>
          <w:tab/>
        </w:r>
        <w:r w:rsidRPr="00CC53E5">
          <w:rPr>
            <w:rStyle w:val="Hyperlink"/>
            <w:noProof/>
          </w:rPr>
          <w:t>Part 1 Section 18.17.7.151, IMARGUMENT</w:t>
        </w:r>
        <w:r>
          <w:rPr>
            <w:noProof/>
            <w:webHidden/>
          </w:rPr>
          <w:tab/>
        </w:r>
        <w:r>
          <w:rPr>
            <w:noProof/>
            <w:webHidden/>
          </w:rPr>
          <w:fldChar w:fldCharType="begin"/>
        </w:r>
        <w:r>
          <w:rPr>
            <w:noProof/>
            <w:webHidden/>
          </w:rPr>
          <w:instrText xml:space="preserve"> PAGEREF _Toc69878747 \h </w:instrText>
        </w:r>
        <w:r>
          <w:rPr>
            <w:noProof/>
            <w:webHidden/>
          </w:rPr>
        </w:r>
        <w:r>
          <w:rPr>
            <w:noProof/>
            <w:webHidden/>
          </w:rPr>
          <w:fldChar w:fldCharType="separate"/>
        </w:r>
        <w:r>
          <w:rPr>
            <w:noProof/>
            <w:webHidden/>
          </w:rPr>
          <w:t>427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48" w:history="1">
        <w:r w:rsidRPr="00CC53E5">
          <w:rPr>
            <w:rStyle w:val="Hyperlink"/>
            <w:noProof/>
          </w:rPr>
          <w:t>2.1.965</w:t>
        </w:r>
        <w:r>
          <w:rPr>
            <w:rFonts w:asciiTheme="minorHAnsi" w:eastAsiaTheme="minorEastAsia" w:hAnsiTheme="minorHAnsi" w:cstheme="minorBidi"/>
            <w:noProof/>
            <w:sz w:val="22"/>
            <w:szCs w:val="22"/>
          </w:rPr>
          <w:tab/>
        </w:r>
        <w:r w:rsidRPr="00CC53E5">
          <w:rPr>
            <w:rStyle w:val="Hyperlink"/>
            <w:noProof/>
          </w:rPr>
          <w:t>Part 1 Section 18.17.7.154, IMDIV</w:t>
        </w:r>
        <w:r>
          <w:rPr>
            <w:noProof/>
            <w:webHidden/>
          </w:rPr>
          <w:tab/>
        </w:r>
        <w:r>
          <w:rPr>
            <w:noProof/>
            <w:webHidden/>
          </w:rPr>
          <w:fldChar w:fldCharType="begin"/>
        </w:r>
        <w:r>
          <w:rPr>
            <w:noProof/>
            <w:webHidden/>
          </w:rPr>
          <w:instrText xml:space="preserve"> PAGEREF _Toc69878748 \h </w:instrText>
        </w:r>
        <w:r>
          <w:rPr>
            <w:noProof/>
            <w:webHidden/>
          </w:rPr>
        </w:r>
        <w:r>
          <w:rPr>
            <w:noProof/>
            <w:webHidden/>
          </w:rPr>
          <w:fldChar w:fldCharType="separate"/>
        </w:r>
        <w:r>
          <w:rPr>
            <w:noProof/>
            <w:webHidden/>
          </w:rPr>
          <w:t>427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49" w:history="1">
        <w:r w:rsidRPr="00CC53E5">
          <w:rPr>
            <w:rStyle w:val="Hyperlink"/>
            <w:noProof/>
          </w:rPr>
          <w:t>2.1.966</w:t>
        </w:r>
        <w:r>
          <w:rPr>
            <w:rFonts w:asciiTheme="minorHAnsi" w:eastAsiaTheme="minorEastAsia" w:hAnsiTheme="minorHAnsi" w:cstheme="minorBidi"/>
            <w:noProof/>
            <w:sz w:val="22"/>
            <w:szCs w:val="22"/>
          </w:rPr>
          <w:tab/>
        </w:r>
        <w:r w:rsidRPr="00CC53E5">
          <w:rPr>
            <w:rStyle w:val="Hyperlink"/>
            <w:noProof/>
          </w:rPr>
          <w:t>Part 1 Section 18.17.7.156, IMLN</w:t>
        </w:r>
        <w:r>
          <w:rPr>
            <w:noProof/>
            <w:webHidden/>
          </w:rPr>
          <w:tab/>
        </w:r>
        <w:r>
          <w:rPr>
            <w:noProof/>
            <w:webHidden/>
          </w:rPr>
          <w:fldChar w:fldCharType="begin"/>
        </w:r>
        <w:r>
          <w:rPr>
            <w:noProof/>
            <w:webHidden/>
          </w:rPr>
          <w:instrText xml:space="preserve"> PAGEREF _Toc69878749 \h </w:instrText>
        </w:r>
        <w:r>
          <w:rPr>
            <w:noProof/>
            <w:webHidden/>
          </w:rPr>
        </w:r>
        <w:r>
          <w:rPr>
            <w:noProof/>
            <w:webHidden/>
          </w:rPr>
          <w:fldChar w:fldCharType="separate"/>
        </w:r>
        <w:r>
          <w:rPr>
            <w:noProof/>
            <w:webHidden/>
          </w:rPr>
          <w:t>427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50" w:history="1">
        <w:r w:rsidRPr="00CC53E5">
          <w:rPr>
            <w:rStyle w:val="Hyperlink"/>
            <w:noProof/>
          </w:rPr>
          <w:t>2.1.967</w:t>
        </w:r>
        <w:r>
          <w:rPr>
            <w:rFonts w:asciiTheme="minorHAnsi" w:eastAsiaTheme="minorEastAsia" w:hAnsiTheme="minorHAnsi" w:cstheme="minorBidi"/>
            <w:noProof/>
            <w:sz w:val="22"/>
            <w:szCs w:val="22"/>
          </w:rPr>
          <w:tab/>
        </w:r>
        <w:r w:rsidRPr="00CC53E5">
          <w:rPr>
            <w:rStyle w:val="Hyperlink"/>
            <w:noProof/>
          </w:rPr>
          <w:t>Part 1 Section 18.17.7.157, IMLOG10</w:t>
        </w:r>
        <w:r>
          <w:rPr>
            <w:noProof/>
            <w:webHidden/>
          </w:rPr>
          <w:tab/>
        </w:r>
        <w:r>
          <w:rPr>
            <w:noProof/>
            <w:webHidden/>
          </w:rPr>
          <w:fldChar w:fldCharType="begin"/>
        </w:r>
        <w:r>
          <w:rPr>
            <w:noProof/>
            <w:webHidden/>
          </w:rPr>
          <w:instrText xml:space="preserve"> PAGEREF _Toc69878750 \h </w:instrText>
        </w:r>
        <w:r>
          <w:rPr>
            <w:noProof/>
            <w:webHidden/>
          </w:rPr>
        </w:r>
        <w:r>
          <w:rPr>
            <w:noProof/>
            <w:webHidden/>
          </w:rPr>
          <w:fldChar w:fldCharType="separate"/>
        </w:r>
        <w:r>
          <w:rPr>
            <w:noProof/>
            <w:webHidden/>
          </w:rPr>
          <w:t>427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51" w:history="1">
        <w:r w:rsidRPr="00CC53E5">
          <w:rPr>
            <w:rStyle w:val="Hyperlink"/>
            <w:noProof/>
          </w:rPr>
          <w:t>2.1.968</w:t>
        </w:r>
        <w:r>
          <w:rPr>
            <w:rFonts w:asciiTheme="minorHAnsi" w:eastAsiaTheme="minorEastAsia" w:hAnsiTheme="minorHAnsi" w:cstheme="minorBidi"/>
            <w:noProof/>
            <w:sz w:val="22"/>
            <w:szCs w:val="22"/>
          </w:rPr>
          <w:tab/>
        </w:r>
        <w:r w:rsidRPr="00CC53E5">
          <w:rPr>
            <w:rStyle w:val="Hyperlink"/>
            <w:noProof/>
          </w:rPr>
          <w:t>Part 1 Section 18.17.7.158, IMLOG2</w:t>
        </w:r>
        <w:r>
          <w:rPr>
            <w:noProof/>
            <w:webHidden/>
          </w:rPr>
          <w:tab/>
        </w:r>
        <w:r>
          <w:rPr>
            <w:noProof/>
            <w:webHidden/>
          </w:rPr>
          <w:fldChar w:fldCharType="begin"/>
        </w:r>
        <w:r>
          <w:rPr>
            <w:noProof/>
            <w:webHidden/>
          </w:rPr>
          <w:instrText xml:space="preserve"> PAGEREF _Toc69878751 \h </w:instrText>
        </w:r>
        <w:r>
          <w:rPr>
            <w:noProof/>
            <w:webHidden/>
          </w:rPr>
        </w:r>
        <w:r>
          <w:rPr>
            <w:noProof/>
            <w:webHidden/>
          </w:rPr>
          <w:fldChar w:fldCharType="separate"/>
        </w:r>
        <w:r>
          <w:rPr>
            <w:noProof/>
            <w:webHidden/>
          </w:rPr>
          <w:t>428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52" w:history="1">
        <w:r w:rsidRPr="00CC53E5">
          <w:rPr>
            <w:rStyle w:val="Hyperlink"/>
            <w:noProof/>
          </w:rPr>
          <w:t>2.1.969</w:t>
        </w:r>
        <w:r>
          <w:rPr>
            <w:rFonts w:asciiTheme="minorHAnsi" w:eastAsiaTheme="minorEastAsia" w:hAnsiTheme="minorHAnsi" w:cstheme="minorBidi"/>
            <w:noProof/>
            <w:sz w:val="22"/>
            <w:szCs w:val="22"/>
          </w:rPr>
          <w:tab/>
        </w:r>
        <w:r w:rsidRPr="00CC53E5">
          <w:rPr>
            <w:rStyle w:val="Hyperlink"/>
            <w:noProof/>
          </w:rPr>
          <w:t>Part 1 Section 18.17.7.159, IMPOWER</w:t>
        </w:r>
        <w:r>
          <w:rPr>
            <w:noProof/>
            <w:webHidden/>
          </w:rPr>
          <w:tab/>
        </w:r>
        <w:r>
          <w:rPr>
            <w:noProof/>
            <w:webHidden/>
          </w:rPr>
          <w:fldChar w:fldCharType="begin"/>
        </w:r>
        <w:r>
          <w:rPr>
            <w:noProof/>
            <w:webHidden/>
          </w:rPr>
          <w:instrText xml:space="preserve"> PAGEREF _Toc69878752 \h </w:instrText>
        </w:r>
        <w:r>
          <w:rPr>
            <w:noProof/>
            <w:webHidden/>
          </w:rPr>
        </w:r>
        <w:r>
          <w:rPr>
            <w:noProof/>
            <w:webHidden/>
          </w:rPr>
          <w:fldChar w:fldCharType="separate"/>
        </w:r>
        <w:r>
          <w:rPr>
            <w:noProof/>
            <w:webHidden/>
          </w:rPr>
          <w:t>428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53" w:history="1">
        <w:r w:rsidRPr="00CC53E5">
          <w:rPr>
            <w:rStyle w:val="Hyperlink"/>
            <w:noProof/>
          </w:rPr>
          <w:t>2.1.970</w:t>
        </w:r>
        <w:r>
          <w:rPr>
            <w:rFonts w:asciiTheme="minorHAnsi" w:eastAsiaTheme="minorEastAsia" w:hAnsiTheme="minorHAnsi" w:cstheme="minorBidi"/>
            <w:noProof/>
            <w:sz w:val="22"/>
            <w:szCs w:val="22"/>
          </w:rPr>
          <w:tab/>
        </w:r>
        <w:r w:rsidRPr="00CC53E5">
          <w:rPr>
            <w:rStyle w:val="Hyperlink"/>
            <w:noProof/>
          </w:rPr>
          <w:t>Part 1 Section 18.17.7.162, IMSIN</w:t>
        </w:r>
        <w:r>
          <w:rPr>
            <w:noProof/>
            <w:webHidden/>
          </w:rPr>
          <w:tab/>
        </w:r>
        <w:r>
          <w:rPr>
            <w:noProof/>
            <w:webHidden/>
          </w:rPr>
          <w:fldChar w:fldCharType="begin"/>
        </w:r>
        <w:r>
          <w:rPr>
            <w:noProof/>
            <w:webHidden/>
          </w:rPr>
          <w:instrText xml:space="preserve"> PAGEREF _Toc69878753 \h </w:instrText>
        </w:r>
        <w:r>
          <w:rPr>
            <w:noProof/>
            <w:webHidden/>
          </w:rPr>
        </w:r>
        <w:r>
          <w:rPr>
            <w:noProof/>
            <w:webHidden/>
          </w:rPr>
          <w:fldChar w:fldCharType="separate"/>
        </w:r>
        <w:r>
          <w:rPr>
            <w:noProof/>
            <w:webHidden/>
          </w:rPr>
          <w:t>428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54" w:history="1">
        <w:r w:rsidRPr="00CC53E5">
          <w:rPr>
            <w:rStyle w:val="Hyperlink"/>
            <w:noProof/>
          </w:rPr>
          <w:t>2.1.971</w:t>
        </w:r>
        <w:r>
          <w:rPr>
            <w:rFonts w:asciiTheme="minorHAnsi" w:eastAsiaTheme="minorEastAsia" w:hAnsiTheme="minorHAnsi" w:cstheme="minorBidi"/>
            <w:noProof/>
            <w:sz w:val="22"/>
            <w:szCs w:val="22"/>
          </w:rPr>
          <w:tab/>
        </w:r>
        <w:r w:rsidRPr="00CC53E5">
          <w:rPr>
            <w:rStyle w:val="Hyperlink"/>
            <w:noProof/>
          </w:rPr>
          <w:t>Part 1 Section 18.17.7.163, IMSQRT</w:t>
        </w:r>
        <w:r>
          <w:rPr>
            <w:noProof/>
            <w:webHidden/>
          </w:rPr>
          <w:tab/>
        </w:r>
        <w:r>
          <w:rPr>
            <w:noProof/>
            <w:webHidden/>
          </w:rPr>
          <w:fldChar w:fldCharType="begin"/>
        </w:r>
        <w:r>
          <w:rPr>
            <w:noProof/>
            <w:webHidden/>
          </w:rPr>
          <w:instrText xml:space="preserve"> PAGEREF _Toc69878754 \h </w:instrText>
        </w:r>
        <w:r>
          <w:rPr>
            <w:noProof/>
            <w:webHidden/>
          </w:rPr>
        </w:r>
        <w:r>
          <w:rPr>
            <w:noProof/>
            <w:webHidden/>
          </w:rPr>
          <w:fldChar w:fldCharType="separate"/>
        </w:r>
        <w:r>
          <w:rPr>
            <w:noProof/>
            <w:webHidden/>
          </w:rPr>
          <w:t>428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55" w:history="1">
        <w:r w:rsidRPr="00CC53E5">
          <w:rPr>
            <w:rStyle w:val="Hyperlink"/>
            <w:noProof/>
          </w:rPr>
          <w:t>2.1.972</w:t>
        </w:r>
        <w:r>
          <w:rPr>
            <w:rFonts w:asciiTheme="minorHAnsi" w:eastAsiaTheme="minorEastAsia" w:hAnsiTheme="minorHAnsi" w:cstheme="minorBidi"/>
            <w:noProof/>
            <w:sz w:val="22"/>
            <w:szCs w:val="22"/>
          </w:rPr>
          <w:tab/>
        </w:r>
        <w:r w:rsidRPr="00CC53E5">
          <w:rPr>
            <w:rStyle w:val="Hyperlink"/>
            <w:noProof/>
          </w:rPr>
          <w:t>Part 1 Section 18.17.7.166, INDEX</w:t>
        </w:r>
        <w:r>
          <w:rPr>
            <w:noProof/>
            <w:webHidden/>
          </w:rPr>
          <w:tab/>
        </w:r>
        <w:r>
          <w:rPr>
            <w:noProof/>
            <w:webHidden/>
          </w:rPr>
          <w:fldChar w:fldCharType="begin"/>
        </w:r>
        <w:r>
          <w:rPr>
            <w:noProof/>
            <w:webHidden/>
          </w:rPr>
          <w:instrText xml:space="preserve"> PAGEREF _Toc69878755 \h </w:instrText>
        </w:r>
        <w:r>
          <w:rPr>
            <w:noProof/>
            <w:webHidden/>
          </w:rPr>
        </w:r>
        <w:r>
          <w:rPr>
            <w:noProof/>
            <w:webHidden/>
          </w:rPr>
          <w:fldChar w:fldCharType="separate"/>
        </w:r>
        <w:r>
          <w:rPr>
            <w:noProof/>
            <w:webHidden/>
          </w:rPr>
          <w:t>428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56" w:history="1">
        <w:r w:rsidRPr="00CC53E5">
          <w:rPr>
            <w:rStyle w:val="Hyperlink"/>
            <w:noProof/>
          </w:rPr>
          <w:t>2.1.973</w:t>
        </w:r>
        <w:r>
          <w:rPr>
            <w:rFonts w:asciiTheme="minorHAnsi" w:eastAsiaTheme="minorEastAsia" w:hAnsiTheme="minorHAnsi" w:cstheme="minorBidi"/>
            <w:noProof/>
            <w:sz w:val="22"/>
            <w:szCs w:val="22"/>
          </w:rPr>
          <w:tab/>
        </w:r>
        <w:r w:rsidRPr="00CC53E5">
          <w:rPr>
            <w:rStyle w:val="Hyperlink"/>
            <w:noProof/>
          </w:rPr>
          <w:t>Part 1 Section 18.17.7.167, INDIRECT</w:t>
        </w:r>
        <w:r>
          <w:rPr>
            <w:noProof/>
            <w:webHidden/>
          </w:rPr>
          <w:tab/>
        </w:r>
        <w:r>
          <w:rPr>
            <w:noProof/>
            <w:webHidden/>
          </w:rPr>
          <w:fldChar w:fldCharType="begin"/>
        </w:r>
        <w:r>
          <w:rPr>
            <w:noProof/>
            <w:webHidden/>
          </w:rPr>
          <w:instrText xml:space="preserve"> PAGEREF _Toc69878756 \h </w:instrText>
        </w:r>
        <w:r>
          <w:rPr>
            <w:noProof/>
            <w:webHidden/>
          </w:rPr>
        </w:r>
        <w:r>
          <w:rPr>
            <w:noProof/>
            <w:webHidden/>
          </w:rPr>
          <w:fldChar w:fldCharType="separate"/>
        </w:r>
        <w:r>
          <w:rPr>
            <w:noProof/>
            <w:webHidden/>
          </w:rPr>
          <w:t>428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57" w:history="1">
        <w:r w:rsidRPr="00CC53E5">
          <w:rPr>
            <w:rStyle w:val="Hyperlink"/>
            <w:noProof/>
          </w:rPr>
          <w:t>2.1.974</w:t>
        </w:r>
        <w:r>
          <w:rPr>
            <w:rFonts w:asciiTheme="minorHAnsi" w:eastAsiaTheme="minorEastAsia" w:hAnsiTheme="minorHAnsi" w:cstheme="minorBidi"/>
            <w:noProof/>
            <w:sz w:val="22"/>
            <w:szCs w:val="22"/>
          </w:rPr>
          <w:tab/>
        </w:r>
        <w:r w:rsidRPr="00CC53E5">
          <w:rPr>
            <w:rStyle w:val="Hyperlink"/>
            <w:noProof/>
          </w:rPr>
          <w:t>Part 1 Section 18.17.7.168, INFO</w:t>
        </w:r>
        <w:r>
          <w:rPr>
            <w:noProof/>
            <w:webHidden/>
          </w:rPr>
          <w:tab/>
        </w:r>
        <w:r>
          <w:rPr>
            <w:noProof/>
            <w:webHidden/>
          </w:rPr>
          <w:fldChar w:fldCharType="begin"/>
        </w:r>
        <w:r>
          <w:rPr>
            <w:noProof/>
            <w:webHidden/>
          </w:rPr>
          <w:instrText xml:space="preserve"> PAGEREF _Toc69878757 \h </w:instrText>
        </w:r>
        <w:r>
          <w:rPr>
            <w:noProof/>
            <w:webHidden/>
          </w:rPr>
        </w:r>
        <w:r>
          <w:rPr>
            <w:noProof/>
            <w:webHidden/>
          </w:rPr>
          <w:fldChar w:fldCharType="separate"/>
        </w:r>
        <w:r>
          <w:rPr>
            <w:noProof/>
            <w:webHidden/>
          </w:rPr>
          <w:t>429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58" w:history="1">
        <w:r w:rsidRPr="00CC53E5">
          <w:rPr>
            <w:rStyle w:val="Hyperlink"/>
            <w:noProof/>
          </w:rPr>
          <w:t>2.1.975</w:t>
        </w:r>
        <w:r>
          <w:rPr>
            <w:rFonts w:asciiTheme="minorHAnsi" w:eastAsiaTheme="minorEastAsia" w:hAnsiTheme="minorHAnsi" w:cstheme="minorBidi"/>
            <w:noProof/>
            <w:sz w:val="22"/>
            <w:szCs w:val="22"/>
          </w:rPr>
          <w:tab/>
        </w:r>
        <w:r w:rsidRPr="00CC53E5">
          <w:rPr>
            <w:rStyle w:val="Hyperlink"/>
            <w:noProof/>
          </w:rPr>
          <w:t>Part 1 Section 18.17.7.170, INTERCEPT</w:t>
        </w:r>
        <w:r>
          <w:rPr>
            <w:noProof/>
            <w:webHidden/>
          </w:rPr>
          <w:tab/>
        </w:r>
        <w:r>
          <w:rPr>
            <w:noProof/>
            <w:webHidden/>
          </w:rPr>
          <w:fldChar w:fldCharType="begin"/>
        </w:r>
        <w:r>
          <w:rPr>
            <w:noProof/>
            <w:webHidden/>
          </w:rPr>
          <w:instrText xml:space="preserve"> PAGEREF _Toc69878758 \h </w:instrText>
        </w:r>
        <w:r>
          <w:rPr>
            <w:noProof/>
            <w:webHidden/>
          </w:rPr>
        </w:r>
        <w:r>
          <w:rPr>
            <w:noProof/>
            <w:webHidden/>
          </w:rPr>
          <w:fldChar w:fldCharType="separate"/>
        </w:r>
        <w:r>
          <w:rPr>
            <w:noProof/>
            <w:webHidden/>
          </w:rPr>
          <w:t>429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59" w:history="1">
        <w:r w:rsidRPr="00CC53E5">
          <w:rPr>
            <w:rStyle w:val="Hyperlink"/>
            <w:noProof/>
          </w:rPr>
          <w:t>2.1.976</w:t>
        </w:r>
        <w:r>
          <w:rPr>
            <w:rFonts w:asciiTheme="minorHAnsi" w:eastAsiaTheme="minorEastAsia" w:hAnsiTheme="minorHAnsi" w:cstheme="minorBidi"/>
            <w:noProof/>
            <w:sz w:val="22"/>
            <w:szCs w:val="22"/>
          </w:rPr>
          <w:tab/>
        </w:r>
        <w:r w:rsidRPr="00CC53E5">
          <w:rPr>
            <w:rStyle w:val="Hyperlink"/>
            <w:noProof/>
          </w:rPr>
          <w:t>Part 1 Section 18.17.7.171, INTRATE</w:t>
        </w:r>
        <w:r>
          <w:rPr>
            <w:noProof/>
            <w:webHidden/>
          </w:rPr>
          <w:tab/>
        </w:r>
        <w:r>
          <w:rPr>
            <w:noProof/>
            <w:webHidden/>
          </w:rPr>
          <w:fldChar w:fldCharType="begin"/>
        </w:r>
        <w:r>
          <w:rPr>
            <w:noProof/>
            <w:webHidden/>
          </w:rPr>
          <w:instrText xml:space="preserve"> PAGEREF _Toc69878759 \h </w:instrText>
        </w:r>
        <w:r>
          <w:rPr>
            <w:noProof/>
            <w:webHidden/>
          </w:rPr>
        </w:r>
        <w:r>
          <w:rPr>
            <w:noProof/>
            <w:webHidden/>
          </w:rPr>
          <w:fldChar w:fldCharType="separate"/>
        </w:r>
        <w:r>
          <w:rPr>
            <w:noProof/>
            <w:webHidden/>
          </w:rPr>
          <w:t>429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60" w:history="1">
        <w:r w:rsidRPr="00CC53E5">
          <w:rPr>
            <w:rStyle w:val="Hyperlink"/>
            <w:noProof/>
          </w:rPr>
          <w:t>2.1.977</w:t>
        </w:r>
        <w:r>
          <w:rPr>
            <w:rFonts w:asciiTheme="minorHAnsi" w:eastAsiaTheme="minorEastAsia" w:hAnsiTheme="minorHAnsi" w:cstheme="minorBidi"/>
            <w:noProof/>
            <w:sz w:val="22"/>
            <w:szCs w:val="22"/>
          </w:rPr>
          <w:tab/>
        </w:r>
        <w:r w:rsidRPr="00CC53E5">
          <w:rPr>
            <w:rStyle w:val="Hyperlink"/>
            <w:noProof/>
          </w:rPr>
          <w:t>Part 1 Section 18.17.7.172, IPMT</w:t>
        </w:r>
        <w:r>
          <w:rPr>
            <w:noProof/>
            <w:webHidden/>
          </w:rPr>
          <w:tab/>
        </w:r>
        <w:r>
          <w:rPr>
            <w:noProof/>
            <w:webHidden/>
          </w:rPr>
          <w:fldChar w:fldCharType="begin"/>
        </w:r>
        <w:r>
          <w:rPr>
            <w:noProof/>
            <w:webHidden/>
          </w:rPr>
          <w:instrText xml:space="preserve"> PAGEREF _Toc69878760 \h </w:instrText>
        </w:r>
        <w:r>
          <w:rPr>
            <w:noProof/>
            <w:webHidden/>
          </w:rPr>
        </w:r>
        <w:r>
          <w:rPr>
            <w:noProof/>
            <w:webHidden/>
          </w:rPr>
          <w:fldChar w:fldCharType="separate"/>
        </w:r>
        <w:r>
          <w:rPr>
            <w:noProof/>
            <w:webHidden/>
          </w:rPr>
          <w:t>430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61" w:history="1">
        <w:r w:rsidRPr="00CC53E5">
          <w:rPr>
            <w:rStyle w:val="Hyperlink"/>
            <w:noProof/>
          </w:rPr>
          <w:t>2.1.978</w:t>
        </w:r>
        <w:r>
          <w:rPr>
            <w:rFonts w:asciiTheme="minorHAnsi" w:eastAsiaTheme="minorEastAsia" w:hAnsiTheme="minorHAnsi" w:cstheme="minorBidi"/>
            <w:noProof/>
            <w:sz w:val="22"/>
            <w:szCs w:val="22"/>
          </w:rPr>
          <w:tab/>
        </w:r>
        <w:r w:rsidRPr="00CC53E5">
          <w:rPr>
            <w:rStyle w:val="Hyperlink"/>
            <w:noProof/>
          </w:rPr>
          <w:t>Part 1 Section 18.17.7.173, IRR</w:t>
        </w:r>
        <w:r>
          <w:rPr>
            <w:noProof/>
            <w:webHidden/>
          </w:rPr>
          <w:tab/>
        </w:r>
        <w:r>
          <w:rPr>
            <w:noProof/>
            <w:webHidden/>
          </w:rPr>
          <w:fldChar w:fldCharType="begin"/>
        </w:r>
        <w:r>
          <w:rPr>
            <w:noProof/>
            <w:webHidden/>
          </w:rPr>
          <w:instrText xml:space="preserve"> PAGEREF _Toc69878761 \h </w:instrText>
        </w:r>
        <w:r>
          <w:rPr>
            <w:noProof/>
            <w:webHidden/>
          </w:rPr>
        </w:r>
        <w:r>
          <w:rPr>
            <w:noProof/>
            <w:webHidden/>
          </w:rPr>
          <w:fldChar w:fldCharType="separate"/>
        </w:r>
        <w:r>
          <w:rPr>
            <w:noProof/>
            <w:webHidden/>
          </w:rPr>
          <w:t>431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62" w:history="1">
        <w:r w:rsidRPr="00CC53E5">
          <w:rPr>
            <w:rStyle w:val="Hyperlink"/>
            <w:noProof/>
          </w:rPr>
          <w:t>2.1.979</w:t>
        </w:r>
        <w:r>
          <w:rPr>
            <w:rFonts w:asciiTheme="minorHAnsi" w:eastAsiaTheme="minorEastAsia" w:hAnsiTheme="minorHAnsi" w:cstheme="minorBidi"/>
            <w:noProof/>
            <w:sz w:val="22"/>
            <w:szCs w:val="22"/>
          </w:rPr>
          <w:tab/>
        </w:r>
        <w:r w:rsidRPr="00CC53E5">
          <w:rPr>
            <w:rStyle w:val="Hyperlink"/>
            <w:noProof/>
          </w:rPr>
          <w:t>Part 1 Section 18.17.7.184, ISPMT</w:t>
        </w:r>
        <w:r>
          <w:rPr>
            <w:noProof/>
            <w:webHidden/>
          </w:rPr>
          <w:tab/>
        </w:r>
        <w:r>
          <w:rPr>
            <w:noProof/>
            <w:webHidden/>
          </w:rPr>
          <w:fldChar w:fldCharType="begin"/>
        </w:r>
        <w:r>
          <w:rPr>
            <w:noProof/>
            <w:webHidden/>
          </w:rPr>
          <w:instrText xml:space="preserve"> PAGEREF _Toc69878762 \h </w:instrText>
        </w:r>
        <w:r>
          <w:rPr>
            <w:noProof/>
            <w:webHidden/>
          </w:rPr>
        </w:r>
        <w:r>
          <w:rPr>
            <w:noProof/>
            <w:webHidden/>
          </w:rPr>
          <w:fldChar w:fldCharType="separate"/>
        </w:r>
        <w:r>
          <w:rPr>
            <w:noProof/>
            <w:webHidden/>
          </w:rPr>
          <w:t>431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63" w:history="1">
        <w:r w:rsidRPr="00CC53E5">
          <w:rPr>
            <w:rStyle w:val="Hyperlink"/>
            <w:noProof/>
          </w:rPr>
          <w:t>2.1.980</w:t>
        </w:r>
        <w:r>
          <w:rPr>
            <w:rFonts w:asciiTheme="minorHAnsi" w:eastAsiaTheme="minorEastAsia" w:hAnsiTheme="minorHAnsi" w:cstheme="minorBidi"/>
            <w:noProof/>
            <w:sz w:val="22"/>
            <w:szCs w:val="22"/>
          </w:rPr>
          <w:tab/>
        </w:r>
        <w:r w:rsidRPr="00CC53E5">
          <w:rPr>
            <w:rStyle w:val="Hyperlink"/>
            <w:noProof/>
          </w:rPr>
          <w:t>Part 1 Section 18.17.7.191, LEFT</w:t>
        </w:r>
        <w:r>
          <w:rPr>
            <w:noProof/>
            <w:webHidden/>
          </w:rPr>
          <w:tab/>
        </w:r>
        <w:r>
          <w:rPr>
            <w:noProof/>
            <w:webHidden/>
          </w:rPr>
          <w:fldChar w:fldCharType="begin"/>
        </w:r>
        <w:r>
          <w:rPr>
            <w:noProof/>
            <w:webHidden/>
          </w:rPr>
          <w:instrText xml:space="preserve"> PAGEREF _Toc69878763 \h </w:instrText>
        </w:r>
        <w:r>
          <w:rPr>
            <w:noProof/>
            <w:webHidden/>
          </w:rPr>
        </w:r>
        <w:r>
          <w:rPr>
            <w:noProof/>
            <w:webHidden/>
          </w:rPr>
          <w:fldChar w:fldCharType="separate"/>
        </w:r>
        <w:r>
          <w:rPr>
            <w:noProof/>
            <w:webHidden/>
          </w:rPr>
          <w:t>431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64" w:history="1">
        <w:r w:rsidRPr="00CC53E5">
          <w:rPr>
            <w:rStyle w:val="Hyperlink"/>
            <w:noProof/>
          </w:rPr>
          <w:t>2.1.981</w:t>
        </w:r>
        <w:r>
          <w:rPr>
            <w:rFonts w:asciiTheme="minorHAnsi" w:eastAsiaTheme="minorEastAsia" w:hAnsiTheme="minorHAnsi" w:cstheme="minorBidi"/>
            <w:noProof/>
            <w:sz w:val="22"/>
            <w:szCs w:val="22"/>
          </w:rPr>
          <w:tab/>
        </w:r>
        <w:r w:rsidRPr="00CC53E5">
          <w:rPr>
            <w:rStyle w:val="Hyperlink"/>
            <w:noProof/>
          </w:rPr>
          <w:t>Part 1 Section 18.17.7.192, LEFTB</w:t>
        </w:r>
        <w:r>
          <w:rPr>
            <w:noProof/>
            <w:webHidden/>
          </w:rPr>
          <w:tab/>
        </w:r>
        <w:r>
          <w:rPr>
            <w:noProof/>
            <w:webHidden/>
          </w:rPr>
          <w:fldChar w:fldCharType="begin"/>
        </w:r>
        <w:r>
          <w:rPr>
            <w:noProof/>
            <w:webHidden/>
          </w:rPr>
          <w:instrText xml:space="preserve"> PAGEREF _Toc69878764 \h </w:instrText>
        </w:r>
        <w:r>
          <w:rPr>
            <w:noProof/>
            <w:webHidden/>
          </w:rPr>
        </w:r>
        <w:r>
          <w:rPr>
            <w:noProof/>
            <w:webHidden/>
          </w:rPr>
          <w:fldChar w:fldCharType="separate"/>
        </w:r>
        <w:r>
          <w:rPr>
            <w:noProof/>
            <w:webHidden/>
          </w:rPr>
          <w:t>431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65" w:history="1">
        <w:r w:rsidRPr="00CC53E5">
          <w:rPr>
            <w:rStyle w:val="Hyperlink"/>
            <w:noProof/>
          </w:rPr>
          <w:t>2.1.982</w:t>
        </w:r>
        <w:r>
          <w:rPr>
            <w:rFonts w:asciiTheme="minorHAnsi" w:eastAsiaTheme="minorEastAsia" w:hAnsiTheme="minorHAnsi" w:cstheme="minorBidi"/>
            <w:noProof/>
            <w:sz w:val="22"/>
            <w:szCs w:val="22"/>
          </w:rPr>
          <w:tab/>
        </w:r>
        <w:r w:rsidRPr="00CC53E5">
          <w:rPr>
            <w:rStyle w:val="Hyperlink"/>
            <w:noProof/>
          </w:rPr>
          <w:t>Part 1 Section 18.17.7.193, LEN</w:t>
        </w:r>
        <w:r>
          <w:rPr>
            <w:noProof/>
            <w:webHidden/>
          </w:rPr>
          <w:tab/>
        </w:r>
        <w:r>
          <w:rPr>
            <w:noProof/>
            <w:webHidden/>
          </w:rPr>
          <w:fldChar w:fldCharType="begin"/>
        </w:r>
        <w:r>
          <w:rPr>
            <w:noProof/>
            <w:webHidden/>
          </w:rPr>
          <w:instrText xml:space="preserve"> PAGEREF _Toc69878765 \h </w:instrText>
        </w:r>
        <w:r>
          <w:rPr>
            <w:noProof/>
            <w:webHidden/>
          </w:rPr>
        </w:r>
        <w:r>
          <w:rPr>
            <w:noProof/>
            <w:webHidden/>
          </w:rPr>
          <w:fldChar w:fldCharType="separate"/>
        </w:r>
        <w:r>
          <w:rPr>
            <w:noProof/>
            <w:webHidden/>
          </w:rPr>
          <w:t>431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66" w:history="1">
        <w:r w:rsidRPr="00CC53E5">
          <w:rPr>
            <w:rStyle w:val="Hyperlink"/>
            <w:noProof/>
          </w:rPr>
          <w:t>2.1.983</w:t>
        </w:r>
        <w:r>
          <w:rPr>
            <w:rFonts w:asciiTheme="minorHAnsi" w:eastAsiaTheme="minorEastAsia" w:hAnsiTheme="minorHAnsi" w:cstheme="minorBidi"/>
            <w:noProof/>
            <w:sz w:val="22"/>
            <w:szCs w:val="22"/>
          </w:rPr>
          <w:tab/>
        </w:r>
        <w:r w:rsidRPr="00CC53E5">
          <w:rPr>
            <w:rStyle w:val="Hyperlink"/>
            <w:noProof/>
          </w:rPr>
          <w:t>Part 1 Section 18.17.7.194, LENB</w:t>
        </w:r>
        <w:r>
          <w:rPr>
            <w:noProof/>
            <w:webHidden/>
          </w:rPr>
          <w:tab/>
        </w:r>
        <w:r>
          <w:rPr>
            <w:noProof/>
            <w:webHidden/>
          </w:rPr>
          <w:fldChar w:fldCharType="begin"/>
        </w:r>
        <w:r>
          <w:rPr>
            <w:noProof/>
            <w:webHidden/>
          </w:rPr>
          <w:instrText xml:space="preserve"> PAGEREF _Toc69878766 \h </w:instrText>
        </w:r>
        <w:r>
          <w:rPr>
            <w:noProof/>
            <w:webHidden/>
          </w:rPr>
        </w:r>
        <w:r>
          <w:rPr>
            <w:noProof/>
            <w:webHidden/>
          </w:rPr>
          <w:fldChar w:fldCharType="separate"/>
        </w:r>
        <w:r>
          <w:rPr>
            <w:noProof/>
            <w:webHidden/>
          </w:rPr>
          <w:t>432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67" w:history="1">
        <w:r w:rsidRPr="00CC53E5">
          <w:rPr>
            <w:rStyle w:val="Hyperlink"/>
            <w:noProof/>
          </w:rPr>
          <w:t>2.1.984</w:t>
        </w:r>
        <w:r>
          <w:rPr>
            <w:rFonts w:asciiTheme="minorHAnsi" w:eastAsiaTheme="minorEastAsia" w:hAnsiTheme="minorHAnsi" w:cstheme="minorBidi"/>
            <w:noProof/>
            <w:sz w:val="22"/>
            <w:szCs w:val="22"/>
          </w:rPr>
          <w:tab/>
        </w:r>
        <w:r w:rsidRPr="00CC53E5">
          <w:rPr>
            <w:rStyle w:val="Hyperlink"/>
            <w:noProof/>
          </w:rPr>
          <w:t>Part 1 Section 18.17.7.195, LINEST</w:t>
        </w:r>
        <w:r>
          <w:rPr>
            <w:noProof/>
            <w:webHidden/>
          </w:rPr>
          <w:tab/>
        </w:r>
        <w:r>
          <w:rPr>
            <w:noProof/>
            <w:webHidden/>
          </w:rPr>
          <w:fldChar w:fldCharType="begin"/>
        </w:r>
        <w:r>
          <w:rPr>
            <w:noProof/>
            <w:webHidden/>
          </w:rPr>
          <w:instrText xml:space="preserve"> PAGEREF _Toc69878767 \h </w:instrText>
        </w:r>
        <w:r>
          <w:rPr>
            <w:noProof/>
            <w:webHidden/>
          </w:rPr>
        </w:r>
        <w:r>
          <w:rPr>
            <w:noProof/>
            <w:webHidden/>
          </w:rPr>
          <w:fldChar w:fldCharType="separate"/>
        </w:r>
        <w:r>
          <w:rPr>
            <w:noProof/>
            <w:webHidden/>
          </w:rPr>
          <w:t>432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68" w:history="1">
        <w:r w:rsidRPr="00CC53E5">
          <w:rPr>
            <w:rStyle w:val="Hyperlink"/>
            <w:noProof/>
          </w:rPr>
          <w:t>2.1.985</w:t>
        </w:r>
        <w:r>
          <w:rPr>
            <w:rFonts w:asciiTheme="minorHAnsi" w:eastAsiaTheme="minorEastAsia" w:hAnsiTheme="minorHAnsi" w:cstheme="minorBidi"/>
            <w:noProof/>
            <w:sz w:val="22"/>
            <w:szCs w:val="22"/>
          </w:rPr>
          <w:tab/>
        </w:r>
        <w:r w:rsidRPr="00CC53E5">
          <w:rPr>
            <w:rStyle w:val="Hyperlink"/>
            <w:noProof/>
          </w:rPr>
          <w:t>Part 1 Section 18.17.7.197, LOG</w:t>
        </w:r>
        <w:r>
          <w:rPr>
            <w:noProof/>
            <w:webHidden/>
          </w:rPr>
          <w:tab/>
        </w:r>
        <w:r>
          <w:rPr>
            <w:noProof/>
            <w:webHidden/>
          </w:rPr>
          <w:fldChar w:fldCharType="begin"/>
        </w:r>
        <w:r>
          <w:rPr>
            <w:noProof/>
            <w:webHidden/>
          </w:rPr>
          <w:instrText xml:space="preserve"> PAGEREF _Toc69878768 \h </w:instrText>
        </w:r>
        <w:r>
          <w:rPr>
            <w:noProof/>
            <w:webHidden/>
          </w:rPr>
        </w:r>
        <w:r>
          <w:rPr>
            <w:noProof/>
            <w:webHidden/>
          </w:rPr>
          <w:fldChar w:fldCharType="separate"/>
        </w:r>
        <w:r>
          <w:rPr>
            <w:noProof/>
            <w:webHidden/>
          </w:rPr>
          <w:t>432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69" w:history="1">
        <w:r w:rsidRPr="00CC53E5">
          <w:rPr>
            <w:rStyle w:val="Hyperlink"/>
            <w:noProof/>
          </w:rPr>
          <w:t>2.1.986</w:t>
        </w:r>
        <w:r>
          <w:rPr>
            <w:rFonts w:asciiTheme="minorHAnsi" w:eastAsiaTheme="minorEastAsia" w:hAnsiTheme="minorHAnsi" w:cstheme="minorBidi"/>
            <w:noProof/>
            <w:sz w:val="22"/>
            <w:szCs w:val="22"/>
          </w:rPr>
          <w:tab/>
        </w:r>
        <w:r w:rsidRPr="00CC53E5">
          <w:rPr>
            <w:rStyle w:val="Hyperlink"/>
            <w:noProof/>
          </w:rPr>
          <w:t>Part 1 Section 18.17.7.199, LOGEST</w:t>
        </w:r>
        <w:r>
          <w:rPr>
            <w:noProof/>
            <w:webHidden/>
          </w:rPr>
          <w:tab/>
        </w:r>
        <w:r>
          <w:rPr>
            <w:noProof/>
            <w:webHidden/>
          </w:rPr>
          <w:fldChar w:fldCharType="begin"/>
        </w:r>
        <w:r>
          <w:rPr>
            <w:noProof/>
            <w:webHidden/>
          </w:rPr>
          <w:instrText xml:space="preserve"> PAGEREF _Toc69878769 \h </w:instrText>
        </w:r>
        <w:r>
          <w:rPr>
            <w:noProof/>
            <w:webHidden/>
          </w:rPr>
        </w:r>
        <w:r>
          <w:rPr>
            <w:noProof/>
            <w:webHidden/>
          </w:rPr>
          <w:fldChar w:fldCharType="separate"/>
        </w:r>
        <w:r>
          <w:rPr>
            <w:noProof/>
            <w:webHidden/>
          </w:rPr>
          <w:t>433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70" w:history="1">
        <w:r w:rsidRPr="00CC53E5">
          <w:rPr>
            <w:rStyle w:val="Hyperlink"/>
            <w:noProof/>
          </w:rPr>
          <w:t>2.1.987</w:t>
        </w:r>
        <w:r>
          <w:rPr>
            <w:rFonts w:asciiTheme="minorHAnsi" w:eastAsiaTheme="minorEastAsia" w:hAnsiTheme="minorHAnsi" w:cstheme="minorBidi"/>
            <w:noProof/>
            <w:sz w:val="22"/>
            <w:szCs w:val="22"/>
          </w:rPr>
          <w:tab/>
        </w:r>
        <w:r w:rsidRPr="00CC53E5">
          <w:rPr>
            <w:rStyle w:val="Hyperlink"/>
            <w:noProof/>
          </w:rPr>
          <w:t>Part 1 Section 18.17.7.200, LOGINV</w:t>
        </w:r>
        <w:r>
          <w:rPr>
            <w:noProof/>
            <w:webHidden/>
          </w:rPr>
          <w:tab/>
        </w:r>
        <w:r>
          <w:rPr>
            <w:noProof/>
            <w:webHidden/>
          </w:rPr>
          <w:fldChar w:fldCharType="begin"/>
        </w:r>
        <w:r>
          <w:rPr>
            <w:noProof/>
            <w:webHidden/>
          </w:rPr>
          <w:instrText xml:space="preserve"> PAGEREF _Toc69878770 \h </w:instrText>
        </w:r>
        <w:r>
          <w:rPr>
            <w:noProof/>
            <w:webHidden/>
          </w:rPr>
        </w:r>
        <w:r>
          <w:rPr>
            <w:noProof/>
            <w:webHidden/>
          </w:rPr>
          <w:fldChar w:fldCharType="separate"/>
        </w:r>
        <w:r>
          <w:rPr>
            <w:noProof/>
            <w:webHidden/>
          </w:rPr>
          <w:t>433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71" w:history="1">
        <w:r w:rsidRPr="00CC53E5">
          <w:rPr>
            <w:rStyle w:val="Hyperlink"/>
            <w:noProof/>
          </w:rPr>
          <w:t>2.1.988</w:t>
        </w:r>
        <w:r>
          <w:rPr>
            <w:rFonts w:asciiTheme="minorHAnsi" w:eastAsiaTheme="minorEastAsia" w:hAnsiTheme="minorHAnsi" w:cstheme="minorBidi"/>
            <w:noProof/>
            <w:sz w:val="22"/>
            <w:szCs w:val="22"/>
          </w:rPr>
          <w:tab/>
        </w:r>
        <w:r w:rsidRPr="00CC53E5">
          <w:rPr>
            <w:rStyle w:val="Hyperlink"/>
            <w:noProof/>
          </w:rPr>
          <w:t>Part 1 Section 18.17.7.201, LOGNORMDIST</w:t>
        </w:r>
        <w:r>
          <w:rPr>
            <w:noProof/>
            <w:webHidden/>
          </w:rPr>
          <w:tab/>
        </w:r>
        <w:r>
          <w:rPr>
            <w:noProof/>
            <w:webHidden/>
          </w:rPr>
          <w:fldChar w:fldCharType="begin"/>
        </w:r>
        <w:r>
          <w:rPr>
            <w:noProof/>
            <w:webHidden/>
          </w:rPr>
          <w:instrText xml:space="preserve"> PAGEREF _Toc69878771 \h </w:instrText>
        </w:r>
        <w:r>
          <w:rPr>
            <w:noProof/>
            <w:webHidden/>
          </w:rPr>
        </w:r>
        <w:r>
          <w:rPr>
            <w:noProof/>
            <w:webHidden/>
          </w:rPr>
          <w:fldChar w:fldCharType="separate"/>
        </w:r>
        <w:r>
          <w:rPr>
            <w:noProof/>
            <w:webHidden/>
          </w:rPr>
          <w:t>433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72" w:history="1">
        <w:r w:rsidRPr="00CC53E5">
          <w:rPr>
            <w:rStyle w:val="Hyperlink"/>
            <w:noProof/>
          </w:rPr>
          <w:t>2.1.989</w:t>
        </w:r>
        <w:r>
          <w:rPr>
            <w:rFonts w:asciiTheme="minorHAnsi" w:eastAsiaTheme="minorEastAsia" w:hAnsiTheme="minorHAnsi" w:cstheme="minorBidi"/>
            <w:noProof/>
            <w:sz w:val="22"/>
            <w:szCs w:val="22"/>
          </w:rPr>
          <w:tab/>
        </w:r>
        <w:r w:rsidRPr="00CC53E5">
          <w:rPr>
            <w:rStyle w:val="Hyperlink"/>
            <w:noProof/>
          </w:rPr>
          <w:t>Part 1 Section 18.17.7.204, MATCH</w:t>
        </w:r>
        <w:r>
          <w:rPr>
            <w:noProof/>
            <w:webHidden/>
          </w:rPr>
          <w:tab/>
        </w:r>
        <w:r>
          <w:rPr>
            <w:noProof/>
            <w:webHidden/>
          </w:rPr>
          <w:fldChar w:fldCharType="begin"/>
        </w:r>
        <w:r>
          <w:rPr>
            <w:noProof/>
            <w:webHidden/>
          </w:rPr>
          <w:instrText xml:space="preserve"> PAGEREF _Toc69878772 \h </w:instrText>
        </w:r>
        <w:r>
          <w:rPr>
            <w:noProof/>
            <w:webHidden/>
          </w:rPr>
        </w:r>
        <w:r>
          <w:rPr>
            <w:noProof/>
            <w:webHidden/>
          </w:rPr>
          <w:fldChar w:fldCharType="separate"/>
        </w:r>
        <w:r>
          <w:rPr>
            <w:noProof/>
            <w:webHidden/>
          </w:rPr>
          <w:t>433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73" w:history="1">
        <w:r w:rsidRPr="00CC53E5">
          <w:rPr>
            <w:rStyle w:val="Hyperlink"/>
            <w:noProof/>
          </w:rPr>
          <w:t>2.1.990</w:t>
        </w:r>
        <w:r>
          <w:rPr>
            <w:rFonts w:asciiTheme="minorHAnsi" w:eastAsiaTheme="minorEastAsia" w:hAnsiTheme="minorHAnsi" w:cstheme="minorBidi"/>
            <w:noProof/>
            <w:sz w:val="22"/>
            <w:szCs w:val="22"/>
          </w:rPr>
          <w:tab/>
        </w:r>
        <w:r w:rsidRPr="00CC53E5">
          <w:rPr>
            <w:rStyle w:val="Hyperlink"/>
            <w:noProof/>
          </w:rPr>
          <w:t>Part 1 Section 18.17.7.208, MDURATION</w:t>
        </w:r>
        <w:r>
          <w:rPr>
            <w:noProof/>
            <w:webHidden/>
          </w:rPr>
          <w:tab/>
        </w:r>
        <w:r>
          <w:rPr>
            <w:noProof/>
            <w:webHidden/>
          </w:rPr>
          <w:fldChar w:fldCharType="begin"/>
        </w:r>
        <w:r>
          <w:rPr>
            <w:noProof/>
            <w:webHidden/>
          </w:rPr>
          <w:instrText xml:space="preserve"> PAGEREF _Toc69878773 \h </w:instrText>
        </w:r>
        <w:r>
          <w:rPr>
            <w:noProof/>
            <w:webHidden/>
          </w:rPr>
        </w:r>
        <w:r>
          <w:rPr>
            <w:noProof/>
            <w:webHidden/>
          </w:rPr>
          <w:fldChar w:fldCharType="separate"/>
        </w:r>
        <w:r>
          <w:rPr>
            <w:noProof/>
            <w:webHidden/>
          </w:rPr>
          <w:t>433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74" w:history="1">
        <w:r w:rsidRPr="00CC53E5">
          <w:rPr>
            <w:rStyle w:val="Hyperlink"/>
            <w:noProof/>
          </w:rPr>
          <w:t>2.1.991</w:t>
        </w:r>
        <w:r>
          <w:rPr>
            <w:rFonts w:asciiTheme="minorHAnsi" w:eastAsiaTheme="minorEastAsia" w:hAnsiTheme="minorHAnsi" w:cstheme="minorBidi"/>
            <w:noProof/>
            <w:sz w:val="22"/>
            <w:szCs w:val="22"/>
          </w:rPr>
          <w:tab/>
        </w:r>
        <w:r w:rsidRPr="00CC53E5">
          <w:rPr>
            <w:rStyle w:val="Hyperlink"/>
            <w:noProof/>
          </w:rPr>
          <w:t>Part 1 Section 18.17.7.210, MID</w:t>
        </w:r>
        <w:r>
          <w:rPr>
            <w:noProof/>
            <w:webHidden/>
          </w:rPr>
          <w:tab/>
        </w:r>
        <w:r>
          <w:rPr>
            <w:noProof/>
            <w:webHidden/>
          </w:rPr>
          <w:fldChar w:fldCharType="begin"/>
        </w:r>
        <w:r>
          <w:rPr>
            <w:noProof/>
            <w:webHidden/>
          </w:rPr>
          <w:instrText xml:space="preserve"> PAGEREF _Toc69878774 \h </w:instrText>
        </w:r>
        <w:r>
          <w:rPr>
            <w:noProof/>
            <w:webHidden/>
          </w:rPr>
        </w:r>
        <w:r>
          <w:rPr>
            <w:noProof/>
            <w:webHidden/>
          </w:rPr>
          <w:fldChar w:fldCharType="separate"/>
        </w:r>
        <w:r>
          <w:rPr>
            <w:noProof/>
            <w:webHidden/>
          </w:rPr>
          <w:t>434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75" w:history="1">
        <w:r w:rsidRPr="00CC53E5">
          <w:rPr>
            <w:rStyle w:val="Hyperlink"/>
            <w:noProof/>
          </w:rPr>
          <w:t>2.1.992</w:t>
        </w:r>
        <w:r>
          <w:rPr>
            <w:rFonts w:asciiTheme="minorHAnsi" w:eastAsiaTheme="minorEastAsia" w:hAnsiTheme="minorHAnsi" w:cstheme="minorBidi"/>
            <w:noProof/>
            <w:sz w:val="22"/>
            <w:szCs w:val="22"/>
          </w:rPr>
          <w:tab/>
        </w:r>
        <w:r w:rsidRPr="00CC53E5">
          <w:rPr>
            <w:rStyle w:val="Hyperlink"/>
            <w:noProof/>
          </w:rPr>
          <w:t>Part 1 Section 18.17.7.211, MIDB</w:t>
        </w:r>
        <w:r>
          <w:rPr>
            <w:noProof/>
            <w:webHidden/>
          </w:rPr>
          <w:tab/>
        </w:r>
        <w:r>
          <w:rPr>
            <w:noProof/>
            <w:webHidden/>
          </w:rPr>
          <w:fldChar w:fldCharType="begin"/>
        </w:r>
        <w:r>
          <w:rPr>
            <w:noProof/>
            <w:webHidden/>
          </w:rPr>
          <w:instrText xml:space="preserve"> PAGEREF _Toc69878775 \h </w:instrText>
        </w:r>
        <w:r>
          <w:rPr>
            <w:noProof/>
            <w:webHidden/>
          </w:rPr>
        </w:r>
        <w:r>
          <w:rPr>
            <w:noProof/>
            <w:webHidden/>
          </w:rPr>
          <w:fldChar w:fldCharType="separate"/>
        </w:r>
        <w:r>
          <w:rPr>
            <w:noProof/>
            <w:webHidden/>
          </w:rPr>
          <w:t>435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76" w:history="1">
        <w:r w:rsidRPr="00CC53E5">
          <w:rPr>
            <w:rStyle w:val="Hyperlink"/>
            <w:noProof/>
          </w:rPr>
          <w:t>2.1.993</w:t>
        </w:r>
        <w:r>
          <w:rPr>
            <w:rFonts w:asciiTheme="minorHAnsi" w:eastAsiaTheme="minorEastAsia" w:hAnsiTheme="minorHAnsi" w:cstheme="minorBidi"/>
            <w:noProof/>
            <w:sz w:val="22"/>
            <w:szCs w:val="22"/>
          </w:rPr>
          <w:tab/>
        </w:r>
        <w:r w:rsidRPr="00CC53E5">
          <w:rPr>
            <w:rStyle w:val="Hyperlink"/>
            <w:noProof/>
          </w:rPr>
          <w:t>Part 1 Section 18.17.7.212, MIN</w:t>
        </w:r>
        <w:r>
          <w:rPr>
            <w:noProof/>
            <w:webHidden/>
          </w:rPr>
          <w:tab/>
        </w:r>
        <w:r>
          <w:rPr>
            <w:noProof/>
            <w:webHidden/>
          </w:rPr>
          <w:fldChar w:fldCharType="begin"/>
        </w:r>
        <w:r>
          <w:rPr>
            <w:noProof/>
            <w:webHidden/>
          </w:rPr>
          <w:instrText xml:space="preserve"> PAGEREF _Toc69878776 \h </w:instrText>
        </w:r>
        <w:r>
          <w:rPr>
            <w:noProof/>
            <w:webHidden/>
          </w:rPr>
        </w:r>
        <w:r>
          <w:rPr>
            <w:noProof/>
            <w:webHidden/>
          </w:rPr>
          <w:fldChar w:fldCharType="separate"/>
        </w:r>
        <w:r>
          <w:rPr>
            <w:noProof/>
            <w:webHidden/>
          </w:rPr>
          <w:t>435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77" w:history="1">
        <w:r w:rsidRPr="00CC53E5">
          <w:rPr>
            <w:rStyle w:val="Hyperlink"/>
            <w:noProof/>
          </w:rPr>
          <w:t>2.1.994</w:t>
        </w:r>
        <w:r>
          <w:rPr>
            <w:rFonts w:asciiTheme="minorHAnsi" w:eastAsiaTheme="minorEastAsia" w:hAnsiTheme="minorHAnsi" w:cstheme="minorBidi"/>
            <w:noProof/>
            <w:sz w:val="22"/>
            <w:szCs w:val="22"/>
          </w:rPr>
          <w:tab/>
        </w:r>
        <w:r w:rsidRPr="00CC53E5">
          <w:rPr>
            <w:rStyle w:val="Hyperlink"/>
            <w:noProof/>
          </w:rPr>
          <w:t>Part 1 Section 18.17.7.213, MINA</w:t>
        </w:r>
        <w:r>
          <w:rPr>
            <w:noProof/>
            <w:webHidden/>
          </w:rPr>
          <w:tab/>
        </w:r>
        <w:r>
          <w:rPr>
            <w:noProof/>
            <w:webHidden/>
          </w:rPr>
          <w:fldChar w:fldCharType="begin"/>
        </w:r>
        <w:r>
          <w:rPr>
            <w:noProof/>
            <w:webHidden/>
          </w:rPr>
          <w:instrText xml:space="preserve"> PAGEREF _Toc69878777 \h </w:instrText>
        </w:r>
        <w:r>
          <w:rPr>
            <w:noProof/>
            <w:webHidden/>
          </w:rPr>
        </w:r>
        <w:r>
          <w:rPr>
            <w:noProof/>
            <w:webHidden/>
          </w:rPr>
          <w:fldChar w:fldCharType="separate"/>
        </w:r>
        <w:r>
          <w:rPr>
            <w:noProof/>
            <w:webHidden/>
          </w:rPr>
          <w:t>435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78" w:history="1">
        <w:r w:rsidRPr="00CC53E5">
          <w:rPr>
            <w:rStyle w:val="Hyperlink"/>
            <w:noProof/>
          </w:rPr>
          <w:t>2.1.995</w:t>
        </w:r>
        <w:r>
          <w:rPr>
            <w:rFonts w:asciiTheme="minorHAnsi" w:eastAsiaTheme="minorEastAsia" w:hAnsiTheme="minorHAnsi" w:cstheme="minorBidi"/>
            <w:noProof/>
            <w:sz w:val="22"/>
            <w:szCs w:val="22"/>
          </w:rPr>
          <w:tab/>
        </w:r>
        <w:r w:rsidRPr="00CC53E5">
          <w:rPr>
            <w:rStyle w:val="Hyperlink"/>
            <w:noProof/>
          </w:rPr>
          <w:t>Part 1 Section 18.17.7.215, MINVERSE</w:t>
        </w:r>
        <w:r>
          <w:rPr>
            <w:noProof/>
            <w:webHidden/>
          </w:rPr>
          <w:tab/>
        </w:r>
        <w:r>
          <w:rPr>
            <w:noProof/>
            <w:webHidden/>
          </w:rPr>
          <w:fldChar w:fldCharType="begin"/>
        </w:r>
        <w:r>
          <w:rPr>
            <w:noProof/>
            <w:webHidden/>
          </w:rPr>
          <w:instrText xml:space="preserve"> PAGEREF _Toc69878778 \h </w:instrText>
        </w:r>
        <w:r>
          <w:rPr>
            <w:noProof/>
            <w:webHidden/>
          </w:rPr>
        </w:r>
        <w:r>
          <w:rPr>
            <w:noProof/>
            <w:webHidden/>
          </w:rPr>
          <w:fldChar w:fldCharType="separate"/>
        </w:r>
        <w:r>
          <w:rPr>
            <w:noProof/>
            <w:webHidden/>
          </w:rPr>
          <w:t>436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79" w:history="1">
        <w:r w:rsidRPr="00CC53E5">
          <w:rPr>
            <w:rStyle w:val="Hyperlink"/>
            <w:noProof/>
          </w:rPr>
          <w:t>2.1.996</w:t>
        </w:r>
        <w:r>
          <w:rPr>
            <w:rFonts w:asciiTheme="minorHAnsi" w:eastAsiaTheme="minorEastAsia" w:hAnsiTheme="minorHAnsi" w:cstheme="minorBidi"/>
            <w:noProof/>
            <w:sz w:val="22"/>
            <w:szCs w:val="22"/>
          </w:rPr>
          <w:tab/>
        </w:r>
        <w:r w:rsidRPr="00CC53E5">
          <w:rPr>
            <w:rStyle w:val="Hyperlink"/>
            <w:noProof/>
          </w:rPr>
          <w:t>Part 1 Section 18.17.7.222, MULTINOMIAL</w:t>
        </w:r>
        <w:r>
          <w:rPr>
            <w:noProof/>
            <w:webHidden/>
          </w:rPr>
          <w:tab/>
        </w:r>
        <w:r>
          <w:rPr>
            <w:noProof/>
            <w:webHidden/>
          </w:rPr>
          <w:fldChar w:fldCharType="begin"/>
        </w:r>
        <w:r>
          <w:rPr>
            <w:noProof/>
            <w:webHidden/>
          </w:rPr>
          <w:instrText xml:space="preserve"> PAGEREF _Toc69878779 \h </w:instrText>
        </w:r>
        <w:r>
          <w:rPr>
            <w:noProof/>
            <w:webHidden/>
          </w:rPr>
        </w:r>
        <w:r>
          <w:rPr>
            <w:noProof/>
            <w:webHidden/>
          </w:rPr>
          <w:fldChar w:fldCharType="separate"/>
        </w:r>
        <w:r>
          <w:rPr>
            <w:noProof/>
            <w:webHidden/>
          </w:rPr>
          <w:t>436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80" w:history="1">
        <w:r w:rsidRPr="00CC53E5">
          <w:rPr>
            <w:rStyle w:val="Hyperlink"/>
            <w:noProof/>
          </w:rPr>
          <w:t>2.1.997</w:t>
        </w:r>
        <w:r>
          <w:rPr>
            <w:rFonts w:asciiTheme="minorHAnsi" w:eastAsiaTheme="minorEastAsia" w:hAnsiTheme="minorHAnsi" w:cstheme="minorBidi"/>
            <w:noProof/>
            <w:sz w:val="22"/>
            <w:szCs w:val="22"/>
          </w:rPr>
          <w:tab/>
        </w:r>
        <w:r w:rsidRPr="00CC53E5">
          <w:rPr>
            <w:rStyle w:val="Hyperlink"/>
            <w:noProof/>
          </w:rPr>
          <w:t>Part 1 Section 18.17.7.223, N</w:t>
        </w:r>
        <w:r>
          <w:rPr>
            <w:noProof/>
            <w:webHidden/>
          </w:rPr>
          <w:tab/>
        </w:r>
        <w:r>
          <w:rPr>
            <w:noProof/>
            <w:webHidden/>
          </w:rPr>
          <w:fldChar w:fldCharType="begin"/>
        </w:r>
        <w:r>
          <w:rPr>
            <w:noProof/>
            <w:webHidden/>
          </w:rPr>
          <w:instrText xml:space="preserve"> PAGEREF _Toc69878780 \h </w:instrText>
        </w:r>
        <w:r>
          <w:rPr>
            <w:noProof/>
            <w:webHidden/>
          </w:rPr>
        </w:r>
        <w:r>
          <w:rPr>
            <w:noProof/>
            <w:webHidden/>
          </w:rPr>
          <w:fldChar w:fldCharType="separate"/>
        </w:r>
        <w:r>
          <w:rPr>
            <w:noProof/>
            <w:webHidden/>
          </w:rPr>
          <w:t>436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81" w:history="1">
        <w:r w:rsidRPr="00CC53E5">
          <w:rPr>
            <w:rStyle w:val="Hyperlink"/>
            <w:noProof/>
          </w:rPr>
          <w:t>2.1.998</w:t>
        </w:r>
        <w:r>
          <w:rPr>
            <w:rFonts w:asciiTheme="minorHAnsi" w:eastAsiaTheme="minorEastAsia" w:hAnsiTheme="minorHAnsi" w:cstheme="minorBidi"/>
            <w:noProof/>
            <w:sz w:val="22"/>
            <w:szCs w:val="22"/>
          </w:rPr>
          <w:tab/>
        </w:r>
        <w:r w:rsidRPr="00CC53E5">
          <w:rPr>
            <w:rStyle w:val="Hyperlink"/>
            <w:noProof/>
          </w:rPr>
          <w:t>Part 1 Section 18.17.7.225, NEGBINOMDIST</w:t>
        </w:r>
        <w:r>
          <w:rPr>
            <w:noProof/>
            <w:webHidden/>
          </w:rPr>
          <w:tab/>
        </w:r>
        <w:r>
          <w:rPr>
            <w:noProof/>
            <w:webHidden/>
          </w:rPr>
          <w:fldChar w:fldCharType="begin"/>
        </w:r>
        <w:r>
          <w:rPr>
            <w:noProof/>
            <w:webHidden/>
          </w:rPr>
          <w:instrText xml:space="preserve"> PAGEREF _Toc69878781 \h </w:instrText>
        </w:r>
        <w:r>
          <w:rPr>
            <w:noProof/>
            <w:webHidden/>
          </w:rPr>
        </w:r>
        <w:r>
          <w:rPr>
            <w:noProof/>
            <w:webHidden/>
          </w:rPr>
          <w:fldChar w:fldCharType="separate"/>
        </w:r>
        <w:r>
          <w:rPr>
            <w:noProof/>
            <w:webHidden/>
          </w:rPr>
          <w:t>436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82" w:history="1">
        <w:r w:rsidRPr="00CC53E5">
          <w:rPr>
            <w:rStyle w:val="Hyperlink"/>
            <w:noProof/>
          </w:rPr>
          <w:t>2.1.999</w:t>
        </w:r>
        <w:r>
          <w:rPr>
            <w:rFonts w:asciiTheme="minorHAnsi" w:eastAsiaTheme="minorEastAsia" w:hAnsiTheme="minorHAnsi" w:cstheme="minorBidi"/>
            <w:noProof/>
            <w:sz w:val="22"/>
            <w:szCs w:val="22"/>
          </w:rPr>
          <w:tab/>
        </w:r>
        <w:r w:rsidRPr="00CC53E5">
          <w:rPr>
            <w:rStyle w:val="Hyperlink"/>
            <w:noProof/>
          </w:rPr>
          <w:t>Part 1 Section 18.17.7.226, NETWORKDAYS</w:t>
        </w:r>
        <w:r>
          <w:rPr>
            <w:noProof/>
            <w:webHidden/>
          </w:rPr>
          <w:tab/>
        </w:r>
        <w:r>
          <w:rPr>
            <w:noProof/>
            <w:webHidden/>
          </w:rPr>
          <w:fldChar w:fldCharType="begin"/>
        </w:r>
        <w:r>
          <w:rPr>
            <w:noProof/>
            <w:webHidden/>
          </w:rPr>
          <w:instrText xml:space="preserve"> PAGEREF _Toc69878782 \h </w:instrText>
        </w:r>
        <w:r>
          <w:rPr>
            <w:noProof/>
            <w:webHidden/>
          </w:rPr>
        </w:r>
        <w:r>
          <w:rPr>
            <w:noProof/>
            <w:webHidden/>
          </w:rPr>
          <w:fldChar w:fldCharType="separate"/>
        </w:r>
        <w:r>
          <w:rPr>
            <w:noProof/>
            <w:webHidden/>
          </w:rPr>
          <w:t>436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83" w:history="1">
        <w:r w:rsidRPr="00CC53E5">
          <w:rPr>
            <w:rStyle w:val="Hyperlink"/>
            <w:noProof/>
          </w:rPr>
          <w:t>2.1.1000</w:t>
        </w:r>
        <w:r>
          <w:rPr>
            <w:rFonts w:asciiTheme="minorHAnsi" w:eastAsiaTheme="minorEastAsia" w:hAnsiTheme="minorHAnsi" w:cstheme="minorBidi"/>
            <w:noProof/>
            <w:sz w:val="22"/>
            <w:szCs w:val="22"/>
          </w:rPr>
          <w:tab/>
        </w:r>
        <w:r w:rsidRPr="00CC53E5">
          <w:rPr>
            <w:rStyle w:val="Hyperlink"/>
            <w:noProof/>
          </w:rPr>
          <w:t>Part 1 Section 18.17.7.230, NORMINV</w:t>
        </w:r>
        <w:r>
          <w:rPr>
            <w:noProof/>
            <w:webHidden/>
          </w:rPr>
          <w:tab/>
        </w:r>
        <w:r>
          <w:rPr>
            <w:noProof/>
            <w:webHidden/>
          </w:rPr>
          <w:fldChar w:fldCharType="begin"/>
        </w:r>
        <w:r>
          <w:rPr>
            <w:noProof/>
            <w:webHidden/>
          </w:rPr>
          <w:instrText xml:space="preserve"> PAGEREF _Toc69878783 \h </w:instrText>
        </w:r>
        <w:r>
          <w:rPr>
            <w:noProof/>
            <w:webHidden/>
          </w:rPr>
        </w:r>
        <w:r>
          <w:rPr>
            <w:noProof/>
            <w:webHidden/>
          </w:rPr>
          <w:fldChar w:fldCharType="separate"/>
        </w:r>
        <w:r>
          <w:rPr>
            <w:noProof/>
            <w:webHidden/>
          </w:rPr>
          <w:t>436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84" w:history="1">
        <w:r w:rsidRPr="00CC53E5">
          <w:rPr>
            <w:rStyle w:val="Hyperlink"/>
            <w:noProof/>
          </w:rPr>
          <w:t>2.1.1001</w:t>
        </w:r>
        <w:r>
          <w:rPr>
            <w:rFonts w:asciiTheme="minorHAnsi" w:eastAsiaTheme="minorEastAsia" w:hAnsiTheme="minorHAnsi" w:cstheme="minorBidi"/>
            <w:noProof/>
            <w:sz w:val="22"/>
            <w:szCs w:val="22"/>
          </w:rPr>
          <w:tab/>
        </w:r>
        <w:r w:rsidRPr="00CC53E5">
          <w:rPr>
            <w:rStyle w:val="Hyperlink"/>
            <w:noProof/>
          </w:rPr>
          <w:t>Part 1 Section 18.17.7.231, NORMSDIST</w:t>
        </w:r>
        <w:r>
          <w:rPr>
            <w:noProof/>
            <w:webHidden/>
          </w:rPr>
          <w:tab/>
        </w:r>
        <w:r>
          <w:rPr>
            <w:noProof/>
            <w:webHidden/>
          </w:rPr>
          <w:fldChar w:fldCharType="begin"/>
        </w:r>
        <w:r>
          <w:rPr>
            <w:noProof/>
            <w:webHidden/>
          </w:rPr>
          <w:instrText xml:space="preserve"> PAGEREF _Toc69878784 \h </w:instrText>
        </w:r>
        <w:r>
          <w:rPr>
            <w:noProof/>
            <w:webHidden/>
          </w:rPr>
        </w:r>
        <w:r>
          <w:rPr>
            <w:noProof/>
            <w:webHidden/>
          </w:rPr>
          <w:fldChar w:fldCharType="separate"/>
        </w:r>
        <w:r>
          <w:rPr>
            <w:noProof/>
            <w:webHidden/>
          </w:rPr>
          <w:t>437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85" w:history="1">
        <w:r w:rsidRPr="00CC53E5">
          <w:rPr>
            <w:rStyle w:val="Hyperlink"/>
            <w:noProof/>
          </w:rPr>
          <w:t>2.1.1002</w:t>
        </w:r>
        <w:r>
          <w:rPr>
            <w:rFonts w:asciiTheme="minorHAnsi" w:eastAsiaTheme="minorEastAsia" w:hAnsiTheme="minorHAnsi" w:cstheme="minorBidi"/>
            <w:noProof/>
            <w:sz w:val="22"/>
            <w:szCs w:val="22"/>
          </w:rPr>
          <w:tab/>
        </w:r>
        <w:r w:rsidRPr="00CC53E5">
          <w:rPr>
            <w:rStyle w:val="Hyperlink"/>
            <w:noProof/>
          </w:rPr>
          <w:t>Part 1 Section 18.17.7.232, NORMSINV</w:t>
        </w:r>
        <w:r>
          <w:rPr>
            <w:noProof/>
            <w:webHidden/>
          </w:rPr>
          <w:tab/>
        </w:r>
        <w:r>
          <w:rPr>
            <w:noProof/>
            <w:webHidden/>
          </w:rPr>
          <w:fldChar w:fldCharType="begin"/>
        </w:r>
        <w:r>
          <w:rPr>
            <w:noProof/>
            <w:webHidden/>
          </w:rPr>
          <w:instrText xml:space="preserve"> PAGEREF _Toc69878785 \h </w:instrText>
        </w:r>
        <w:r>
          <w:rPr>
            <w:noProof/>
            <w:webHidden/>
          </w:rPr>
        </w:r>
        <w:r>
          <w:rPr>
            <w:noProof/>
            <w:webHidden/>
          </w:rPr>
          <w:fldChar w:fldCharType="separate"/>
        </w:r>
        <w:r>
          <w:rPr>
            <w:noProof/>
            <w:webHidden/>
          </w:rPr>
          <w:t>437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86" w:history="1">
        <w:r w:rsidRPr="00CC53E5">
          <w:rPr>
            <w:rStyle w:val="Hyperlink"/>
            <w:noProof/>
          </w:rPr>
          <w:t>2.1.1003</w:t>
        </w:r>
        <w:r>
          <w:rPr>
            <w:rFonts w:asciiTheme="minorHAnsi" w:eastAsiaTheme="minorEastAsia" w:hAnsiTheme="minorHAnsi" w:cstheme="minorBidi"/>
            <w:noProof/>
            <w:sz w:val="22"/>
            <w:szCs w:val="22"/>
          </w:rPr>
          <w:tab/>
        </w:r>
        <w:r w:rsidRPr="00CC53E5">
          <w:rPr>
            <w:rStyle w:val="Hyperlink"/>
            <w:noProof/>
          </w:rPr>
          <w:t>Part 1 Section 18.17.7.235, NPER</w:t>
        </w:r>
        <w:r>
          <w:rPr>
            <w:noProof/>
            <w:webHidden/>
          </w:rPr>
          <w:tab/>
        </w:r>
        <w:r>
          <w:rPr>
            <w:noProof/>
            <w:webHidden/>
          </w:rPr>
          <w:fldChar w:fldCharType="begin"/>
        </w:r>
        <w:r>
          <w:rPr>
            <w:noProof/>
            <w:webHidden/>
          </w:rPr>
          <w:instrText xml:space="preserve"> PAGEREF _Toc69878786 \h </w:instrText>
        </w:r>
        <w:r>
          <w:rPr>
            <w:noProof/>
            <w:webHidden/>
          </w:rPr>
        </w:r>
        <w:r>
          <w:rPr>
            <w:noProof/>
            <w:webHidden/>
          </w:rPr>
          <w:fldChar w:fldCharType="separate"/>
        </w:r>
        <w:r>
          <w:rPr>
            <w:noProof/>
            <w:webHidden/>
          </w:rPr>
          <w:t>437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87" w:history="1">
        <w:r w:rsidRPr="00CC53E5">
          <w:rPr>
            <w:rStyle w:val="Hyperlink"/>
            <w:noProof/>
          </w:rPr>
          <w:t>2.1.1004</w:t>
        </w:r>
        <w:r>
          <w:rPr>
            <w:rFonts w:asciiTheme="minorHAnsi" w:eastAsiaTheme="minorEastAsia" w:hAnsiTheme="minorHAnsi" w:cstheme="minorBidi"/>
            <w:noProof/>
            <w:sz w:val="22"/>
            <w:szCs w:val="22"/>
          </w:rPr>
          <w:tab/>
        </w:r>
        <w:r w:rsidRPr="00CC53E5">
          <w:rPr>
            <w:rStyle w:val="Hyperlink"/>
            <w:noProof/>
          </w:rPr>
          <w:t>Part 1 Section 18.17.7.236, NPV</w:t>
        </w:r>
        <w:r>
          <w:rPr>
            <w:noProof/>
            <w:webHidden/>
          </w:rPr>
          <w:tab/>
        </w:r>
        <w:r>
          <w:rPr>
            <w:noProof/>
            <w:webHidden/>
          </w:rPr>
          <w:fldChar w:fldCharType="begin"/>
        </w:r>
        <w:r>
          <w:rPr>
            <w:noProof/>
            <w:webHidden/>
          </w:rPr>
          <w:instrText xml:space="preserve"> PAGEREF _Toc69878787 \h </w:instrText>
        </w:r>
        <w:r>
          <w:rPr>
            <w:noProof/>
            <w:webHidden/>
          </w:rPr>
        </w:r>
        <w:r>
          <w:rPr>
            <w:noProof/>
            <w:webHidden/>
          </w:rPr>
          <w:fldChar w:fldCharType="separate"/>
        </w:r>
        <w:r>
          <w:rPr>
            <w:noProof/>
            <w:webHidden/>
          </w:rPr>
          <w:t>437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88" w:history="1">
        <w:r w:rsidRPr="00CC53E5">
          <w:rPr>
            <w:rStyle w:val="Hyperlink"/>
            <w:noProof/>
          </w:rPr>
          <w:t>2.1.1005</w:t>
        </w:r>
        <w:r>
          <w:rPr>
            <w:rFonts w:asciiTheme="minorHAnsi" w:eastAsiaTheme="minorEastAsia" w:hAnsiTheme="minorHAnsi" w:cstheme="minorBidi"/>
            <w:noProof/>
            <w:sz w:val="22"/>
            <w:szCs w:val="22"/>
          </w:rPr>
          <w:tab/>
        </w:r>
        <w:r w:rsidRPr="00CC53E5">
          <w:rPr>
            <w:rStyle w:val="Hyperlink"/>
            <w:noProof/>
          </w:rPr>
          <w:t>Part 1 Section 18.17.7.237, OCT2BIN</w:t>
        </w:r>
        <w:r>
          <w:rPr>
            <w:noProof/>
            <w:webHidden/>
          </w:rPr>
          <w:tab/>
        </w:r>
        <w:r>
          <w:rPr>
            <w:noProof/>
            <w:webHidden/>
          </w:rPr>
          <w:fldChar w:fldCharType="begin"/>
        </w:r>
        <w:r>
          <w:rPr>
            <w:noProof/>
            <w:webHidden/>
          </w:rPr>
          <w:instrText xml:space="preserve"> PAGEREF _Toc69878788 \h </w:instrText>
        </w:r>
        <w:r>
          <w:rPr>
            <w:noProof/>
            <w:webHidden/>
          </w:rPr>
        </w:r>
        <w:r>
          <w:rPr>
            <w:noProof/>
            <w:webHidden/>
          </w:rPr>
          <w:fldChar w:fldCharType="separate"/>
        </w:r>
        <w:r>
          <w:rPr>
            <w:noProof/>
            <w:webHidden/>
          </w:rPr>
          <w:t>438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89" w:history="1">
        <w:r w:rsidRPr="00CC53E5">
          <w:rPr>
            <w:rStyle w:val="Hyperlink"/>
            <w:noProof/>
          </w:rPr>
          <w:t>2.1.1006</w:t>
        </w:r>
        <w:r>
          <w:rPr>
            <w:rFonts w:asciiTheme="minorHAnsi" w:eastAsiaTheme="minorEastAsia" w:hAnsiTheme="minorHAnsi" w:cstheme="minorBidi"/>
            <w:noProof/>
            <w:sz w:val="22"/>
            <w:szCs w:val="22"/>
          </w:rPr>
          <w:tab/>
        </w:r>
        <w:r w:rsidRPr="00CC53E5">
          <w:rPr>
            <w:rStyle w:val="Hyperlink"/>
            <w:noProof/>
          </w:rPr>
          <w:t>Part 1 Section 18.17.7.238, OCT2DEC</w:t>
        </w:r>
        <w:r>
          <w:rPr>
            <w:noProof/>
            <w:webHidden/>
          </w:rPr>
          <w:tab/>
        </w:r>
        <w:r>
          <w:rPr>
            <w:noProof/>
            <w:webHidden/>
          </w:rPr>
          <w:fldChar w:fldCharType="begin"/>
        </w:r>
        <w:r>
          <w:rPr>
            <w:noProof/>
            <w:webHidden/>
          </w:rPr>
          <w:instrText xml:space="preserve"> PAGEREF _Toc69878789 \h </w:instrText>
        </w:r>
        <w:r>
          <w:rPr>
            <w:noProof/>
            <w:webHidden/>
          </w:rPr>
        </w:r>
        <w:r>
          <w:rPr>
            <w:noProof/>
            <w:webHidden/>
          </w:rPr>
          <w:fldChar w:fldCharType="separate"/>
        </w:r>
        <w:r>
          <w:rPr>
            <w:noProof/>
            <w:webHidden/>
          </w:rPr>
          <w:t>438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90" w:history="1">
        <w:r w:rsidRPr="00CC53E5">
          <w:rPr>
            <w:rStyle w:val="Hyperlink"/>
            <w:noProof/>
          </w:rPr>
          <w:t>2.1.1007</w:t>
        </w:r>
        <w:r>
          <w:rPr>
            <w:rFonts w:asciiTheme="minorHAnsi" w:eastAsiaTheme="minorEastAsia" w:hAnsiTheme="minorHAnsi" w:cstheme="minorBidi"/>
            <w:noProof/>
            <w:sz w:val="22"/>
            <w:szCs w:val="22"/>
          </w:rPr>
          <w:tab/>
        </w:r>
        <w:r w:rsidRPr="00CC53E5">
          <w:rPr>
            <w:rStyle w:val="Hyperlink"/>
            <w:noProof/>
          </w:rPr>
          <w:t>Part 1 Section 18.17.7.241, ODDFPRICE</w:t>
        </w:r>
        <w:r>
          <w:rPr>
            <w:noProof/>
            <w:webHidden/>
          </w:rPr>
          <w:tab/>
        </w:r>
        <w:r>
          <w:rPr>
            <w:noProof/>
            <w:webHidden/>
          </w:rPr>
          <w:fldChar w:fldCharType="begin"/>
        </w:r>
        <w:r>
          <w:rPr>
            <w:noProof/>
            <w:webHidden/>
          </w:rPr>
          <w:instrText xml:space="preserve"> PAGEREF _Toc69878790 \h </w:instrText>
        </w:r>
        <w:r>
          <w:rPr>
            <w:noProof/>
            <w:webHidden/>
          </w:rPr>
        </w:r>
        <w:r>
          <w:rPr>
            <w:noProof/>
            <w:webHidden/>
          </w:rPr>
          <w:fldChar w:fldCharType="separate"/>
        </w:r>
        <w:r>
          <w:rPr>
            <w:noProof/>
            <w:webHidden/>
          </w:rPr>
          <w:t>438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91" w:history="1">
        <w:r w:rsidRPr="00CC53E5">
          <w:rPr>
            <w:rStyle w:val="Hyperlink"/>
            <w:noProof/>
          </w:rPr>
          <w:t>2.1.1008</w:t>
        </w:r>
        <w:r>
          <w:rPr>
            <w:rFonts w:asciiTheme="minorHAnsi" w:eastAsiaTheme="minorEastAsia" w:hAnsiTheme="minorHAnsi" w:cstheme="minorBidi"/>
            <w:noProof/>
            <w:sz w:val="22"/>
            <w:szCs w:val="22"/>
          </w:rPr>
          <w:tab/>
        </w:r>
        <w:r w:rsidRPr="00CC53E5">
          <w:rPr>
            <w:rStyle w:val="Hyperlink"/>
            <w:noProof/>
          </w:rPr>
          <w:t>Part 1 Section 18.17.7.242, ODDFYIELD</w:t>
        </w:r>
        <w:r>
          <w:rPr>
            <w:noProof/>
            <w:webHidden/>
          </w:rPr>
          <w:tab/>
        </w:r>
        <w:r>
          <w:rPr>
            <w:noProof/>
            <w:webHidden/>
          </w:rPr>
          <w:fldChar w:fldCharType="begin"/>
        </w:r>
        <w:r>
          <w:rPr>
            <w:noProof/>
            <w:webHidden/>
          </w:rPr>
          <w:instrText xml:space="preserve"> PAGEREF _Toc69878791 \h </w:instrText>
        </w:r>
        <w:r>
          <w:rPr>
            <w:noProof/>
            <w:webHidden/>
          </w:rPr>
        </w:r>
        <w:r>
          <w:rPr>
            <w:noProof/>
            <w:webHidden/>
          </w:rPr>
          <w:fldChar w:fldCharType="separate"/>
        </w:r>
        <w:r>
          <w:rPr>
            <w:noProof/>
            <w:webHidden/>
          </w:rPr>
          <w:t>439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92" w:history="1">
        <w:r w:rsidRPr="00CC53E5">
          <w:rPr>
            <w:rStyle w:val="Hyperlink"/>
            <w:noProof/>
          </w:rPr>
          <w:t>2.1.1009</w:t>
        </w:r>
        <w:r>
          <w:rPr>
            <w:rFonts w:asciiTheme="minorHAnsi" w:eastAsiaTheme="minorEastAsia" w:hAnsiTheme="minorHAnsi" w:cstheme="minorBidi"/>
            <w:noProof/>
            <w:sz w:val="22"/>
            <w:szCs w:val="22"/>
          </w:rPr>
          <w:tab/>
        </w:r>
        <w:r w:rsidRPr="00CC53E5">
          <w:rPr>
            <w:rStyle w:val="Hyperlink"/>
            <w:noProof/>
          </w:rPr>
          <w:t>Part 1 Section 18.17.7.243, ODDLPRICE</w:t>
        </w:r>
        <w:r>
          <w:rPr>
            <w:noProof/>
            <w:webHidden/>
          </w:rPr>
          <w:tab/>
        </w:r>
        <w:r>
          <w:rPr>
            <w:noProof/>
            <w:webHidden/>
          </w:rPr>
          <w:fldChar w:fldCharType="begin"/>
        </w:r>
        <w:r>
          <w:rPr>
            <w:noProof/>
            <w:webHidden/>
          </w:rPr>
          <w:instrText xml:space="preserve"> PAGEREF _Toc69878792 \h </w:instrText>
        </w:r>
        <w:r>
          <w:rPr>
            <w:noProof/>
            <w:webHidden/>
          </w:rPr>
        </w:r>
        <w:r>
          <w:rPr>
            <w:noProof/>
            <w:webHidden/>
          </w:rPr>
          <w:fldChar w:fldCharType="separate"/>
        </w:r>
        <w:r>
          <w:rPr>
            <w:noProof/>
            <w:webHidden/>
          </w:rPr>
          <w:t>440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93" w:history="1">
        <w:r w:rsidRPr="00CC53E5">
          <w:rPr>
            <w:rStyle w:val="Hyperlink"/>
            <w:noProof/>
          </w:rPr>
          <w:t>2.1.1010</w:t>
        </w:r>
        <w:r>
          <w:rPr>
            <w:rFonts w:asciiTheme="minorHAnsi" w:eastAsiaTheme="minorEastAsia" w:hAnsiTheme="minorHAnsi" w:cstheme="minorBidi"/>
            <w:noProof/>
            <w:sz w:val="22"/>
            <w:szCs w:val="22"/>
          </w:rPr>
          <w:tab/>
        </w:r>
        <w:r w:rsidRPr="00CC53E5">
          <w:rPr>
            <w:rStyle w:val="Hyperlink"/>
            <w:noProof/>
          </w:rPr>
          <w:t>Part 1 Section 18.17.7.244, ODDLYIELD</w:t>
        </w:r>
        <w:r>
          <w:rPr>
            <w:noProof/>
            <w:webHidden/>
          </w:rPr>
          <w:tab/>
        </w:r>
        <w:r>
          <w:rPr>
            <w:noProof/>
            <w:webHidden/>
          </w:rPr>
          <w:fldChar w:fldCharType="begin"/>
        </w:r>
        <w:r>
          <w:rPr>
            <w:noProof/>
            <w:webHidden/>
          </w:rPr>
          <w:instrText xml:space="preserve"> PAGEREF _Toc69878793 \h </w:instrText>
        </w:r>
        <w:r>
          <w:rPr>
            <w:noProof/>
            <w:webHidden/>
          </w:rPr>
        </w:r>
        <w:r>
          <w:rPr>
            <w:noProof/>
            <w:webHidden/>
          </w:rPr>
          <w:fldChar w:fldCharType="separate"/>
        </w:r>
        <w:r>
          <w:rPr>
            <w:noProof/>
            <w:webHidden/>
          </w:rPr>
          <w:t>440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94" w:history="1">
        <w:r w:rsidRPr="00CC53E5">
          <w:rPr>
            <w:rStyle w:val="Hyperlink"/>
            <w:noProof/>
          </w:rPr>
          <w:t>2.1.1011</w:t>
        </w:r>
        <w:r>
          <w:rPr>
            <w:rFonts w:asciiTheme="minorHAnsi" w:eastAsiaTheme="minorEastAsia" w:hAnsiTheme="minorHAnsi" w:cstheme="minorBidi"/>
            <w:noProof/>
            <w:sz w:val="22"/>
            <w:szCs w:val="22"/>
          </w:rPr>
          <w:tab/>
        </w:r>
        <w:r w:rsidRPr="00CC53E5">
          <w:rPr>
            <w:rStyle w:val="Hyperlink"/>
            <w:noProof/>
          </w:rPr>
          <w:t>Part 1 Section 18.17.7.245, OFFSET</w:t>
        </w:r>
        <w:r>
          <w:rPr>
            <w:noProof/>
            <w:webHidden/>
          </w:rPr>
          <w:tab/>
        </w:r>
        <w:r>
          <w:rPr>
            <w:noProof/>
            <w:webHidden/>
          </w:rPr>
          <w:fldChar w:fldCharType="begin"/>
        </w:r>
        <w:r>
          <w:rPr>
            <w:noProof/>
            <w:webHidden/>
          </w:rPr>
          <w:instrText xml:space="preserve"> PAGEREF _Toc69878794 \h </w:instrText>
        </w:r>
        <w:r>
          <w:rPr>
            <w:noProof/>
            <w:webHidden/>
          </w:rPr>
        </w:r>
        <w:r>
          <w:rPr>
            <w:noProof/>
            <w:webHidden/>
          </w:rPr>
          <w:fldChar w:fldCharType="separate"/>
        </w:r>
        <w:r>
          <w:rPr>
            <w:noProof/>
            <w:webHidden/>
          </w:rPr>
          <w:t>441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95" w:history="1">
        <w:r w:rsidRPr="00CC53E5">
          <w:rPr>
            <w:rStyle w:val="Hyperlink"/>
            <w:noProof/>
          </w:rPr>
          <w:t>2.1.1012</w:t>
        </w:r>
        <w:r>
          <w:rPr>
            <w:rFonts w:asciiTheme="minorHAnsi" w:eastAsiaTheme="minorEastAsia" w:hAnsiTheme="minorHAnsi" w:cstheme="minorBidi"/>
            <w:noProof/>
            <w:sz w:val="22"/>
            <w:szCs w:val="22"/>
          </w:rPr>
          <w:tab/>
        </w:r>
        <w:r w:rsidRPr="00CC53E5">
          <w:rPr>
            <w:rStyle w:val="Hyperlink"/>
            <w:noProof/>
          </w:rPr>
          <w:t>Part 1 Section 18.17.7.247, PEARSON</w:t>
        </w:r>
        <w:r>
          <w:rPr>
            <w:noProof/>
            <w:webHidden/>
          </w:rPr>
          <w:tab/>
        </w:r>
        <w:r>
          <w:rPr>
            <w:noProof/>
            <w:webHidden/>
          </w:rPr>
          <w:fldChar w:fldCharType="begin"/>
        </w:r>
        <w:r>
          <w:rPr>
            <w:noProof/>
            <w:webHidden/>
          </w:rPr>
          <w:instrText xml:space="preserve"> PAGEREF _Toc69878795 \h </w:instrText>
        </w:r>
        <w:r>
          <w:rPr>
            <w:noProof/>
            <w:webHidden/>
          </w:rPr>
        </w:r>
        <w:r>
          <w:rPr>
            <w:noProof/>
            <w:webHidden/>
          </w:rPr>
          <w:fldChar w:fldCharType="separate"/>
        </w:r>
        <w:r>
          <w:rPr>
            <w:noProof/>
            <w:webHidden/>
          </w:rPr>
          <w:t>441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96" w:history="1">
        <w:r w:rsidRPr="00CC53E5">
          <w:rPr>
            <w:rStyle w:val="Hyperlink"/>
            <w:noProof/>
          </w:rPr>
          <w:t>2.1.1013</w:t>
        </w:r>
        <w:r>
          <w:rPr>
            <w:rFonts w:asciiTheme="minorHAnsi" w:eastAsiaTheme="minorEastAsia" w:hAnsiTheme="minorHAnsi" w:cstheme="minorBidi"/>
            <w:noProof/>
            <w:sz w:val="22"/>
            <w:szCs w:val="22"/>
          </w:rPr>
          <w:tab/>
        </w:r>
        <w:r w:rsidRPr="00CC53E5">
          <w:rPr>
            <w:rStyle w:val="Hyperlink"/>
            <w:noProof/>
          </w:rPr>
          <w:t>Part 1 Section 18.17.7.248, PERCENTILE</w:t>
        </w:r>
        <w:r>
          <w:rPr>
            <w:noProof/>
            <w:webHidden/>
          </w:rPr>
          <w:tab/>
        </w:r>
        <w:r>
          <w:rPr>
            <w:noProof/>
            <w:webHidden/>
          </w:rPr>
          <w:fldChar w:fldCharType="begin"/>
        </w:r>
        <w:r>
          <w:rPr>
            <w:noProof/>
            <w:webHidden/>
          </w:rPr>
          <w:instrText xml:space="preserve"> PAGEREF _Toc69878796 \h </w:instrText>
        </w:r>
        <w:r>
          <w:rPr>
            <w:noProof/>
            <w:webHidden/>
          </w:rPr>
        </w:r>
        <w:r>
          <w:rPr>
            <w:noProof/>
            <w:webHidden/>
          </w:rPr>
          <w:fldChar w:fldCharType="separate"/>
        </w:r>
        <w:r>
          <w:rPr>
            <w:noProof/>
            <w:webHidden/>
          </w:rPr>
          <w:t>442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97" w:history="1">
        <w:r w:rsidRPr="00CC53E5">
          <w:rPr>
            <w:rStyle w:val="Hyperlink"/>
            <w:noProof/>
          </w:rPr>
          <w:t>2.1.1014</w:t>
        </w:r>
        <w:r>
          <w:rPr>
            <w:rFonts w:asciiTheme="minorHAnsi" w:eastAsiaTheme="minorEastAsia" w:hAnsiTheme="minorHAnsi" w:cstheme="minorBidi"/>
            <w:noProof/>
            <w:sz w:val="22"/>
            <w:szCs w:val="22"/>
          </w:rPr>
          <w:tab/>
        </w:r>
        <w:r w:rsidRPr="00CC53E5">
          <w:rPr>
            <w:rStyle w:val="Hyperlink"/>
            <w:noProof/>
          </w:rPr>
          <w:t>Part 1 Section 18.17.7.249, PERCENTRANK</w:t>
        </w:r>
        <w:r>
          <w:rPr>
            <w:noProof/>
            <w:webHidden/>
          </w:rPr>
          <w:tab/>
        </w:r>
        <w:r>
          <w:rPr>
            <w:noProof/>
            <w:webHidden/>
          </w:rPr>
          <w:fldChar w:fldCharType="begin"/>
        </w:r>
        <w:r>
          <w:rPr>
            <w:noProof/>
            <w:webHidden/>
          </w:rPr>
          <w:instrText xml:space="preserve"> PAGEREF _Toc69878797 \h </w:instrText>
        </w:r>
        <w:r>
          <w:rPr>
            <w:noProof/>
            <w:webHidden/>
          </w:rPr>
        </w:r>
        <w:r>
          <w:rPr>
            <w:noProof/>
            <w:webHidden/>
          </w:rPr>
          <w:fldChar w:fldCharType="separate"/>
        </w:r>
        <w:r>
          <w:rPr>
            <w:noProof/>
            <w:webHidden/>
          </w:rPr>
          <w:t>442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98" w:history="1">
        <w:r w:rsidRPr="00CC53E5">
          <w:rPr>
            <w:rStyle w:val="Hyperlink"/>
            <w:noProof/>
          </w:rPr>
          <w:t>2.1.1015</w:t>
        </w:r>
        <w:r>
          <w:rPr>
            <w:rFonts w:asciiTheme="minorHAnsi" w:eastAsiaTheme="minorEastAsia" w:hAnsiTheme="minorHAnsi" w:cstheme="minorBidi"/>
            <w:noProof/>
            <w:sz w:val="22"/>
            <w:szCs w:val="22"/>
          </w:rPr>
          <w:tab/>
        </w:r>
        <w:r w:rsidRPr="00CC53E5">
          <w:rPr>
            <w:rStyle w:val="Hyperlink"/>
            <w:noProof/>
          </w:rPr>
          <w:t>Part 1 Section 18.17.7.253, PMT</w:t>
        </w:r>
        <w:r>
          <w:rPr>
            <w:noProof/>
            <w:webHidden/>
          </w:rPr>
          <w:tab/>
        </w:r>
        <w:r>
          <w:rPr>
            <w:noProof/>
            <w:webHidden/>
          </w:rPr>
          <w:fldChar w:fldCharType="begin"/>
        </w:r>
        <w:r>
          <w:rPr>
            <w:noProof/>
            <w:webHidden/>
          </w:rPr>
          <w:instrText xml:space="preserve"> PAGEREF _Toc69878798 \h </w:instrText>
        </w:r>
        <w:r>
          <w:rPr>
            <w:noProof/>
            <w:webHidden/>
          </w:rPr>
        </w:r>
        <w:r>
          <w:rPr>
            <w:noProof/>
            <w:webHidden/>
          </w:rPr>
          <w:fldChar w:fldCharType="separate"/>
        </w:r>
        <w:r>
          <w:rPr>
            <w:noProof/>
            <w:webHidden/>
          </w:rPr>
          <w:t>442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799" w:history="1">
        <w:r w:rsidRPr="00CC53E5">
          <w:rPr>
            <w:rStyle w:val="Hyperlink"/>
            <w:noProof/>
          </w:rPr>
          <w:t>2.1.1016</w:t>
        </w:r>
        <w:r>
          <w:rPr>
            <w:rFonts w:asciiTheme="minorHAnsi" w:eastAsiaTheme="minorEastAsia" w:hAnsiTheme="minorHAnsi" w:cstheme="minorBidi"/>
            <w:noProof/>
            <w:sz w:val="22"/>
            <w:szCs w:val="22"/>
          </w:rPr>
          <w:tab/>
        </w:r>
        <w:r w:rsidRPr="00CC53E5">
          <w:rPr>
            <w:rStyle w:val="Hyperlink"/>
            <w:noProof/>
          </w:rPr>
          <w:t>Part 1 Section 18.17.7.254, POISSON</w:t>
        </w:r>
        <w:r>
          <w:rPr>
            <w:noProof/>
            <w:webHidden/>
          </w:rPr>
          <w:tab/>
        </w:r>
        <w:r>
          <w:rPr>
            <w:noProof/>
            <w:webHidden/>
          </w:rPr>
          <w:fldChar w:fldCharType="begin"/>
        </w:r>
        <w:r>
          <w:rPr>
            <w:noProof/>
            <w:webHidden/>
          </w:rPr>
          <w:instrText xml:space="preserve"> PAGEREF _Toc69878799 \h </w:instrText>
        </w:r>
        <w:r>
          <w:rPr>
            <w:noProof/>
            <w:webHidden/>
          </w:rPr>
        </w:r>
        <w:r>
          <w:rPr>
            <w:noProof/>
            <w:webHidden/>
          </w:rPr>
          <w:fldChar w:fldCharType="separate"/>
        </w:r>
        <w:r>
          <w:rPr>
            <w:noProof/>
            <w:webHidden/>
          </w:rPr>
          <w:t>442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00" w:history="1">
        <w:r w:rsidRPr="00CC53E5">
          <w:rPr>
            <w:rStyle w:val="Hyperlink"/>
            <w:noProof/>
          </w:rPr>
          <w:t>2.1.1017</w:t>
        </w:r>
        <w:r>
          <w:rPr>
            <w:rFonts w:asciiTheme="minorHAnsi" w:eastAsiaTheme="minorEastAsia" w:hAnsiTheme="minorHAnsi" w:cstheme="minorBidi"/>
            <w:noProof/>
            <w:sz w:val="22"/>
            <w:szCs w:val="22"/>
          </w:rPr>
          <w:tab/>
        </w:r>
        <w:r w:rsidRPr="00CC53E5">
          <w:rPr>
            <w:rStyle w:val="Hyperlink"/>
            <w:noProof/>
          </w:rPr>
          <w:t>Part 1 Section 18.17.7.255, POWER</w:t>
        </w:r>
        <w:r>
          <w:rPr>
            <w:noProof/>
            <w:webHidden/>
          </w:rPr>
          <w:tab/>
        </w:r>
        <w:r>
          <w:rPr>
            <w:noProof/>
            <w:webHidden/>
          </w:rPr>
          <w:fldChar w:fldCharType="begin"/>
        </w:r>
        <w:r>
          <w:rPr>
            <w:noProof/>
            <w:webHidden/>
          </w:rPr>
          <w:instrText xml:space="preserve"> PAGEREF _Toc69878800 \h </w:instrText>
        </w:r>
        <w:r>
          <w:rPr>
            <w:noProof/>
            <w:webHidden/>
          </w:rPr>
        </w:r>
        <w:r>
          <w:rPr>
            <w:noProof/>
            <w:webHidden/>
          </w:rPr>
          <w:fldChar w:fldCharType="separate"/>
        </w:r>
        <w:r>
          <w:rPr>
            <w:noProof/>
            <w:webHidden/>
          </w:rPr>
          <w:t>442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01" w:history="1">
        <w:r w:rsidRPr="00CC53E5">
          <w:rPr>
            <w:rStyle w:val="Hyperlink"/>
            <w:noProof/>
          </w:rPr>
          <w:t>2.1.1018</w:t>
        </w:r>
        <w:r>
          <w:rPr>
            <w:rFonts w:asciiTheme="minorHAnsi" w:eastAsiaTheme="minorEastAsia" w:hAnsiTheme="minorHAnsi" w:cstheme="minorBidi"/>
            <w:noProof/>
            <w:sz w:val="22"/>
            <w:szCs w:val="22"/>
          </w:rPr>
          <w:tab/>
        </w:r>
        <w:r w:rsidRPr="00CC53E5">
          <w:rPr>
            <w:rStyle w:val="Hyperlink"/>
            <w:noProof/>
          </w:rPr>
          <w:t>Part 1 Section 18.17.7.256, PPMT</w:t>
        </w:r>
        <w:r>
          <w:rPr>
            <w:noProof/>
            <w:webHidden/>
          </w:rPr>
          <w:tab/>
        </w:r>
        <w:r>
          <w:rPr>
            <w:noProof/>
            <w:webHidden/>
          </w:rPr>
          <w:fldChar w:fldCharType="begin"/>
        </w:r>
        <w:r>
          <w:rPr>
            <w:noProof/>
            <w:webHidden/>
          </w:rPr>
          <w:instrText xml:space="preserve"> PAGEREF _Toc69878801 \h </w:instrText>
        </w:r>
        <w:r>
          <w:rPr>
            <w:noProof/>
            <w:webHidden/>
          </w:rPr>
        </w:r>
        <w:r>
          <w:rPr>
            <w:noProof/>
            <w:webHidden/>
          </w:rPr>
          <w:fldChar w:fldCharType="separate"/>
        </w:r>
        <w:r>
          <w:rPr>
            <w:noProof/>
            <w:webHidden/>
          </w:rPr>
          <w:t>442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02" w:history="1">
        <w:r w:rsidRPr="00CC53E5">
          <w:rPr>
            <w:rStyle w:val="Hyperlink"/>
            <w:noProof/>
          </w:rPr>
          <w:t>2.1.1019</w:t>
        </w:r>
        <w:r>
          <w:rPr>
            <w:rFonts w:asciiTheme="minorHAnsi" w:eastAsiaTheme="minorEastAsia" w:hAnsiTheme="minorHAnsi" w:cstheme="minorBidi"/>
            <w:noProof/>
            <w:sz w:val="22"/>
            <w:szCs w:val="22"/>
          </w:rPr>
          <w:tab/>
        </w:r>
        <w:r w:rsidRPr="00CC53E5">
          <w:rPr>
            <w:rStyle w:val="Hyperlink"/>
            <w:noProof/>
          </w:rPr>
          <w:t>Part 1 Section 18.17.7.257, PRICE</w:t>
        </w:r>
        <w:r>
          <w:rPr>
            <w:noProof/>
            <w:webHidden/>
          </w:rPr>
          <w:tab/>
        </w:r>
        <w:r>
          <w:rPr>
            <w:noProof/>
            <w:webHidden/>
          </w:rPr>
          <w:fldChar w:fldCharType="begin"/>
        </w:r>
        <w:r>
          <w:rPr>
            <w:noProof/>
            <w:webHidden/>
          </w:rPr>
          <w:instrText xml:space="preserve"> PAGEREF _Toc69878802 \h </w:instrText>
        </w:r>
        <w:r>
          <w:rPr>
            <w:noProof/>
            <w:webHidden/>
          </w:rPr>
        </w:r>
        <w:r>
          <w:rPr>
            <w:noProof/>
            <w:webHidden/>
          </w:rPr>
          <w:fldChar w:fldCharType="separate"/>
        </w:r>
        <w:r>
          <w:rPr>
            <w:noProof/>
            <w:webHidden/>
          </w:rPr>
          <w:t>443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03" w:history="1">
        <w:r w:rsidRPr="00CC53E5">
          <w:rPr>
            <w:rStyle w:val="Hyperlink"/>
            <w:noProof/>
          </w:rPr>
          <w:t>2.1.1020</w:t>
        </w:r>
        <w:r>
          <w:rPr>
            <w:rFonts w:asciiTheme="minorHAnsi" w:eastAsiaTheme="minorEastAsia" w:hAnsiTheme="minorHAnsi" w:cstheme="minorBidi"/>
            <w:noProof/>
            <w:sz w:val="22"/>
            <w:szCs w:val="22"/>
          </w:rPr>
          <w:tab/>
        </w:r>
        <w:r w:rsidRPr="00CC53E5">
          <w:rPr>
            <w:rStyle w:val="Hyperlink"/>
            <w:noProof/>
          </w:rPr>
          <w:t>Part 1 Section 18.17.7.258, PRICEDISC</w:t>
        </w:r>
        <w:r>
          <w:rPr>
            <w:noProof/>
            <w:webHidden/>
          </w:rPr>
          <w:tab/>
        </w:r>
        <w:r>
          <w:rPr>
            <w:noProof/>
            <w:webHidden/>
          </w:rPr>
          <w:fldChar w:fldCharType="begin"/>
        </w:r>
        <w:r>
          <w:rPr>
            <w:noProof/>
            <w:webHidden/>
          </w:rPr>
          <w:instrText xml:space="preserve"> PAGEREF _Toc69878803 \h </w:instrText>
        </w:r>
        <w:r>
          <w:rPr>
            <w:noProof/>
            <w:webHidden/>
          </w:rPr>
        </w:r>
        <w:r>
          <w:rPr>
            <w:noProof/>
            <w:webHidden/>
          </w:rPr>
          <w:fldChar w:fldCharType="separate"/>
        </w:r>
        <w:r>
          <w:rPr>
            <w:noProof/>
            <w:webHidden/>
          </w:rPr>
          <w:t>444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04" w:history="1">
        <w:r w:rsidRPr="00CC53E5">
          <w:rPr>
            <w:rStyle w:val="Hyperlink"/>
            <w:noProof/>
          </w:rPr>
          <w:t>2.1.1021</w:t>
        </w:r>
        <w:r>
          <w:rPr>
            <w:rFonts w:asciiTheme="minorHAnsi" w:eastAsiaTheme="minorEastAsia" w:hAnsiTheme="minorHAnsi" w:cstheme="minorBidi"/>
            <w:noProof/>
            <w:sz w:val="22"/>
            <w:szCs w:val="22"/>
          </w:rPr>
          <w:tab/>
        </w:r>
        <w:r w:rsidRPr="00CC53E5">
          <w:rPr>
            <w:rStyle w:val="Hyperlink"/>
            <w:noProof/>
          </w:rPr>
          <w:t>Part 1 Section 18.17.7.259, PRICEMAT</w:t>
        </w:r>
        <w:r>
          <w:rPr>
            <w:noProof/>
            <w:webHidden/>
          </w:rPr>
          <w:tab/>
        </w:r>
        <w:r>
          <w:rPr>
            <w:noProof/>
            <w:webHidden/>
          </w:rPr>
          <w:fldChar w:fldCharType="begin"/>
        </w:r>
        <w:r>
          <w:rPr>
            <w:noProof/>
            <w:webHidden/>
          </w:rPr>
          <w:instrText xml:space="preserve"> PAGEREF _Toc69878804 \h </w:instrText>
        </w:r>
        <w:r>
          <w:rPr>
            <w:noProof/>
            <w:webHidden/>
          </w:rPr>
        </w:r>
        <w:r>
          <w:rPr>
            <w:noProof/>
            <w:webHidden/>
          </w:rPr>
          <w:fldChar w:fldCharType="separate"/>
        </w:r>
        <w:r>
          <w:rPr>
            <w:noProof/>
            <w:webHidden/>
          </w:rPr>
          <w:t>444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05" w:history="1">
        <w:r w:rsidRPr="00CC53E5">
          <w:rPr>
            <w:rStyle w:val="Hyperlink"/>
            <w:noProof/>
          </w:rPr>
          <w:t>2.1.1022</w:t>
        </w:r>
        <w:r>
          <w:rPr>
            <w:rFonts w:asciiTheme="minorHAnsi" w:eastAsiaTheme="minorEastAsia" w:hAnsiTheme="minorHAnsi" w:cstheme="minorBidi"/>
            <w:noProof/>
            <w:sz w:val="22"/>
            <w:szCs w:val="22"/>
          </w:rPr>
          <w:tab/>
        </w:r>
        <w:r w:rsidRPr="00CC53E5">
          <w:rPr>
            <w:rStyle w:val="Hyperlink"/>
            <w:noProof/>
          </w:rPr>
          <w:t>Part 1 Section 18.17.7.260, PROB</w:t>
        </w:r>
        <w:r>
          <w:rPr>
            <w:noProof/>
            <w:webHidden/>
          </w:rPr>
          <w:tab/>
        </w:r>
        <w:r>
          <w:rPr>
            <w:noProof/>
            <w:webHidden/>
          </w:rPr>
          <w:fldChar w:fldCharType="begin"/>
        </w:r>
        <w:r>
          <w:rPr>
            <w:noProof/>
            <w:webHidden/>
          </w:rPr>
          <w:instrText xml:space="preserve"> PAGEREF _Toc69878805 \h </w:instrText>
        </w:r>
        <w:r>
          <w:rPr>
            <w:noProof/>
            <w:webHidden/>
          </w:rPr>
        </w:r>
        <w:r>
          <w:rPr>
            <w:noProof/>
            <w:webHidden/>
          </w:rPr>
          <w:fldChar w:fldCharType="separate"/>
        </w:r>
        <w:r>
          <w:rPr>
            <w:noProof/>
            <w:webHidden/>
          </w:rPr>
          <w:t>445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06" w:history="1">
        <w:r w:rsidRPr="00CC53E5">
          <w:rPr>
            <w:rStyle w:val="Hyperlink"/>
            <w:noProof/>
          </w:rPr>
          <w:t>2.1.1023</w:t>
        </w:r>
        <w:r>
          <w:rPr>
            <w:rFonts w:asciiTheme="minorHAnsi" w:eastAsiaTheme="minorEastAsia" w:hAnsiTheme="minorHAnsi" w:cstheme="minorBidi"/>
            <w:noProof/>
            <w:sz w:val="22"/>
            <w:szCs w:val="22"/>
          </w:rPr>
          <w:tab/>
        </w:r>
        <w:r w:rsidRPr="00CC53E5">
          <w:rPr>
            <w:rStyle w:val="Hyperlink"/>
            <w:noProof/>
          </w:rPr>
          <w:t>Part 1 Section 18.17.7.261, PRODUCT</w:t>
        </w:r>
        <w:r>
          <w:rPr>
            <w:noProof/>
            <w:webHidden/>
          </w:rPr>
          <w:tab/>
        </w:r>
        <w:r>
          <w:rPr>
            <w:noProof/>
            <w:webHidden/>
          </w:rPr>
          <w:fldChar w:fldCharType="begin"/>
        </w:r>
        <w:r>
          <w:rPr>
            <w:noProof/>
            <w:webHidden/>
          </w:rPr>
          <w:instrText xml:space="preserve"> PAGEREF _Toc69878806 \h </w:instrText>
        </w:r>
        <w:r>
          <w:rPr>
            <w:noProof/>
            <w:webHidden/>
          </w:rPr>
        </w:r>
        <w:r>
          <w:rPr>
            <w:noProof/>
            <w:webHidden/>
          </w:rPr>
          <w:fldChar w:fldCharType="separate"/>
        </w:r>
        <w:r>
          <w:rPr>
            <w:noProof/>
            <w:webHidden/>
          </w:rPr>
          <w:t>445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07" w:history="1">
        <w:r w:rsidRPr="00CC53E5">
          <w:rPr>
            <w:rStyle w:val="Hyperlink"/>
            <w:noProof/>
          </w:rPr>
          <w:t>2.1.1024</w:t>
        </w:r>
        <w:r>
          <w:rPr>
            <w:rFonts w:asciiTheme="minorHAnsi" w:eastAsiaTheme="minorEastAsia" w:hAnsiTheme="minorHAnsi" w:cstheme="minorBidi"/>
            <w:noProof/>
            <w:sz w:val="22"/>
            <w:szCs w:val="22"/>
          </w:rPr>
          <w:tab/>
        </w:r>
        <w:r w:rsidRPr="00CC53E5">
          <w:rPr>
            <w:rStyle w:val="Hyperlink"/>
            <w:noProof/>
          </w:rPr>
          <w:t>Part 1 Section 18.17.7.263, PV</w:t>
        </w:r>
        <w:r>
          <w:rPr>
            <w:noProof/>
            <w:webHidden/>
          </w:rPr>
          <w:tab/>
        </w:r>
        <w:r>
          <w:rPr>
            <w:noProof/>
            <w:webHidden/>
          </w:rPr>
          <w:fldChar w:fldCharType="begin"/>
        </w:r>
        <w:r>
          <w:rPr>
            <w:noProof/>
            <w:webHidden/>
          </w:rPr>
          <w:instrText xml:space="preserve"> PAGEREF _Toc69878807 \h </w:instrText>
        </w:r>
        <w:r>
          <w:rPr>
            <w:noProof/>
            <w:webHidden/>
          </w:rPr>
        </w:r>
        <w:r>
          <w:rPr>
            <w:noProof/>
            <w:webHidden/>
          </w:rPr>
          <w:fldChar w:fldCharType="separate"/>
        </w:r>
        <w:r>
          <w:rPr>
            <w:noProof/>
            <w:webHidden/>
          </w:rPr>
          <w:t>446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08" w:history="1">
        <w:r w:rsidRPr="00CC53E5">
          <w:rPr>
            <w:rStyle w:val="Hyperlink"/>
            <w:noProof/>
          </w:rPr>
          <w:t>2.1.1025</w:t>
        </w:r>
        <w:r>
          <w:rPr>
            <w:rFonts w:asciiTheme="minorHAnsi" w:eastAsiaTheme="minorEastAsia" w:hAnsiTheme="minorHAnsi" w:cstheme="minorBidi"/>
            <w:noProof/>
            <w:sz w:val="22"/>
            <w:szCs w:val="22"/>
          </w:rPr>
          <w:tab/>
        </w:r>
        <w:r w:rsidRPr="00CC53E5">
          <w:rPr>
            <w:rStyle w:val="Hyperlink"/>
            <w:noProof/>
          </w:rPr>
          <w:t>Part 1 Section 18.17.7.269, RANK</w:t>
        </w:r>
        <w:r>
          <w:rPr>
            <w:noProof/>
            <w:webHidden/>
          </w:rPr>
          <w:tab/>
        </w:r>
        <w:r>
          <w:rPr>
            <w:noProof/>
            <w:webHidden/>
          </w:rPr>
          <w:fldChar w:fldCharType="begin"/>
        </w:r>
        <w:r>
          <w:rPr>
            <w:noProof/>
            <w:webHidden/>
          </w:rPr>
          <w:instrText xml:space="preserve"> PAGEREF _Toc69878808 \h </w:instrText>
        </w:r>
        <w:r>
          <w:rPr>
            <w:noProof/>
            <w:webHidden/>
          </w:rPr>
        </w:r>
        <w:r>
          <w:rPr>
            <w:noProof/>
            <w:webHidden/>
          </w:rPr>
          <w:fldChar w:fldCharType="separate"/>
        </w:r>
        <w:r>
          <w:rPr>
            <w:noProof/>
            <w:webHidden/>
          </w:rPr>
          <w:t>446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09" w:history="1">
        <w:r w:rsidRPr="00CC53E5">
          <w:rPr>
            <w:rStyle w:val="Hyperlink"/>
            <w:noProof/>
          </w:rPr>
          <w:t>2.1.1026</w:t>
        </w:r>
        <w:r>
          <w:rPr>
            <w:rFonts w:asciiTheme="minorHAnsi" w:eastAsiaTheme="minorEastAsia" w:hAnsiTheme="minorHAnsi" w:cstheme="minorBidi"/>
            <w:noProof/>
            <w:sz w:val="22"/>
            <w:szCs w:val="22"/>
          </w:rPr>
          <w:tab/>
        </w:r>
        <w:r w:rsidRPr="00CC53E5">
          <w:rPr>
            <w:rStyle w:val="Hyperlink"/>
            <w:noProof/>
          </w:rPr>
          <w:t>Part 1 Section 18.17.7.270, RATE</w:t>
        </w:r>
        <w:r>
          <w:rPr>
            <w:noProof/>
            <w:webHidden/>
          </w:rPr>
          <w:tab/>
        </w:r>
        <w:r>
          <w:rPr>
            <w:noProof/>
            <w:webHidden/>
          </w:rPr>
          <w:fldChar w:fldCharType="begin"/>
        </w:r>
        <w:r>
          <w:rPr>
            <w:noProof/>
            <w:webHidden/>
          </w:rPr>
          <w:instrText xml:space="preserve"> PAGEREF _Toc69878809 \h </w:instrText>
        </w:r>
        <w:r>
          <w:rPr>
            <w:noProof/>
            <w:webHidden/>
          </w:rPr>
        </w:r>
        <w:r>
          <w:rPr>
            <w:noProof/>
            <w:webHidden/>
          </w:rPr>
          <w:fldChar w:fldCharType="separate"/>
        </w:r>
        <w:r>
          <w:rPr>
            <w:noProof/>
            <w:webHidden/>
          </w:rPr>
          <w:t>446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10" w:history="1">
        <w:r w:rsidRPr="00CC53E5">
          <w:rPr>
            <w:rStyle w:val="Hyperlink"/>
            <w:noProof/>
          </w:rPr>
          <w:t>2.1.1027</w:t>
        </w:r>
        <w:r>
          <w:rPr>
            <w:rFonts w:asciiTheme="minorHAnsi" w:eastAsiaTheme="minorEastAsia" w:hAnsiTheme="minorHAnsi" w:cstheme="minorBidi"/>
            <w:noProof/>
            <w:sz w:val="22"/>
            <w:szCs w:val="22"/>
          </w:rPr>
          <w:tab/>
        </w:r>
        <w:r w:rsidRPr="00CC53E5">
          <w:rPr>
            <w:rStyle w:val="Hyperlink"/>
            <w:noProof/>
          </w:rPr>
          <w:t>Part 1 Section 18.17.7.271, RECEIVED</w:t>
        </w:r>
        <w:r>
          <w:rPr>
            <w:noProof/>
            <w:webHidden/>
          </w:rPr>
          <w:tab/>
        </w:r>
        <w:r>
          <w:rPr>
            <w:noProof/>
            <w:webHidden/>
          </w:rPr>
          <w:fldChar w:fldCharType="begin"/>
        </w:r>
        <w:r>
          <w:rPr>
            <w:noProof/>
            <w:webHidden/>
          </w:rPr>
          <w:instrText xml:space="preserve"> PAGEREF _Toc69878810 \h </w:instrText>
        </w:r>
        <w:r>
          <w:rPr>
            <w:noProof/>
            <w:webHidden/>
          </w:rPr>
        </w:r>
        <w:r>
          <w:rPr>
            <w:noProof/>
            <w:webHidden/>
          </w:rPr>
          <w:fldChar w:fldCharType="separate"/>
        </w:r>
        <w:r>
          <w:rPr>
            <w:noProof/>
            <w:webHidden/>
          </w:rPr>
          <w:t>446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11" w:history="1">
        <w:r w:rsidRPr="00CC53E5">
          <w:rPr>
            <w:rStyle w:val="Hyperlink"/>
            <w:noProof/>
          </w:rPr>
          <w:t>2.1.1028</w:t>
        </w:r>
        <w:r>
          <w:rPr>
            <w:rFonts w:asciiTheme="minorHAnsi" w:eastAsiaTheme="minorEastAsia" w:hAnsiTheme="minorHAnsi" w:cstheme="minorBidi"/>
            <w:noProof/>
            <w:sz w:val="22"/>
            <w:szCs w:val="22"/>
          </w:rPr>
          <w:tab/>
        </w:r>
        <w:r w:rsidRPr="00CC53E5">
          <w:rPr>
            <w:rStyle w:val="Hyperlink"/>
            <w:noProof/>
          </w:rPr>
          <w:t>Part 1 Section 18.17.7.272, REPLACE</w:t>
        </w:r>
        <w:r>
          <w:rPr>
            <w:noProof/>
            <w:webHidden/>
          </w:rPr>
          <w:tab/>
        </w:r>
        <w:r>
          <w:rPr>
            <w:noProof/>
            <w:webHidden/>
          </w:rPr>
          <w:fldChar w:fldCharType="begin"/>
        </w:r>
        <w:r>
          <w:rPr>
            <w:noProof/>
            <w:webHidden/>
          </w:rPr>
          <w:instrText xml:space="preserve"> PAGEREF _Toc69878811 \h </w:instrText>
        </w:r>
        <w:r>
          <w:rPr>
            <w:noProof/>
            <w:webHidden/>
          </w:rPr>
        </w:r>
        <w:r>
          <w:rPr>
            <w:noProof/>
            <w:webHidden/>
          </w:rPr>
          <w:fldChar w:fldCharType="separate"/>
        </w:r>
        <w:r>
          <w:rPr>
            <w:noProof/>
            <w:webHidden/>
          </w:rPr>
          <w:t>447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12" w:history="1">
        <w:r w:rsidRPr="00CC53E5">
          <w:rPr>
            <w:rStyle w:val="Hyperlink"/>
            <w:noProof/>
          </w:rPr>
          <w:t>2.1.1029</w:t>
        </w:r>
        <w:r>
          <w:rPr>
            <w:rFonts w:asciiTheme="minorHAnsi" w:eastAsiaTheme="minorEastAsia" w:hAnsiTheme="minorHAnsi" w:cstheme="minorBidi"/>
            <w:noProof/>
            <w:sz w:val="22"/>
            <w:szCs w:val="22"/>
          </w:rPr>
          <w:tab/>
        </w:r>
        <w:r w:rsidRPr="00CC53E5">
          <w:rPr>
            <w:rStyle w:val="Hyperlink"/>
            <w:noProof/>
          </w:rPr>
          <w:t>Part 1 Section 18.17.7.273, REPLACEB</w:t>
        </w:r>
        <w:r>
          <w:rPr>
            <w:noProof/>
            <w:webHidden/>
          </w:rPr>
          <w:tab/>
        </w:r>
        <w:r>
          <w:rPr>
            <w:noProof/>
            <w:webHidden/>
          </w:rPr>
          <w:fldChar w:fldCharType="begin"/>
        </w:r>
        <w:r>
          <w:rPr>
            <w:noProof/>
            <w:webHidden/>
          </w:rPr>
          <w:instrText xml:space="preserve"> PAGEREF _Toc69878812 \h </w:instrText>
        </w:r>
        <w:r>
          <w:rPr>
            <w:noProof/>
            <w:webHidden/>
          </w:rPr>
        </w:r>
        <w:r>
          <w:rPr>
            <w:noProof/>
            <w:webHidden/>
          </w:rPr>
          <w:fldChar w:fldCharType="separate"/>
        </w:r>
        <w:r>
          <w:rPr>
            <w:noProof/>
            <w:webHidden/>
          </w:rPr>
          <w:t>447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13" w:history="1">
        <w:r w:rsidRPr="00CC53E5">
          <w:rPr>
            <w:rStyle w:val="Hyperlink"/>
            <w:noProof/>
          </w:rPr>
          <w:t>2.1.1030</w:t>
        </w:r>
        <w:r>
          <w:rPr>
            <w:rFonts w:asciiTheme="minorHAnsi" w:eastAsiaTheme="minorEastAsia" w:hAnsiTheme="minorHAnsi" w:cstheme="minorBidi"/>
            <w:noProof/>
            <w:sz w:val="22"/>
            <w:szCs w:val="22"/>
          </w:rPr>
          <w:tab/>
        </w:r>
        <w:r w:rsidRPr="00CC53E5">
          <w:rPr>
            <w:rStyle w:val="Hyperlink"/>
            <w:noProof/>
          </w:rPr>
          <w:t>Part 1 Section 18.17.7.275, RIGHT</w:t>
        </w:r>
        <w:r>
          <w:rPr>
            <w:noProof/>
            <w:webHidden/>
          </w:rPr>
          <w:tab/>
        </w:r>
        <w:r>
          <w:rPr>
            <w:noProof/>
            <w:webHidden/>
          </w:rPr>
          <w:fldChar w:fldCharType="begin"/>
        </w:r>
        <w:r>
          <w:rPr>
            <w:noProof/>
            <w:webHidden/>
          </w:rPr>
          <w:instrText xml:space="preserve"> PAGEREF _Toc69878813 \h </w:instrText>
        </w:r>
        <w:r>
          <w:rPr>
            <w:noProof/>
            <w:webHidden/>
          </w:rPr>
        </w:r>
        <w:r>
          <w:rPr>
            <w:noProof/>
            <w:webHidden/>
          </w:rPr>
          <w:fldChar w:fldCharType="separate"/>
        </w:r>
        <w:r>
          <w:rPr>
            <w:noProof/>
            <w:webHidden/>
          </w:rPr>
          <w:t>448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14" w:history="1">
        <w:r w:rsidRPr="00CC53E5">
          <w:rPr>
            <w:rStyle w:val="Hyperlink"/>
            <w:noProof/>
          </w:rPr>
          <w:t>2.1.1031</w:t>
        </w:r>
        <w:r>
          <w:rPr>
            <w:rFonts w:asciiTheme="minorHAnsi" w:eastAsiaTheme="minorEastAsia" w:hAnsiTheme="minorHAnsi" w:cstheme="minorBidi"/>
            <w:noProof/>
            <w:sz w:val="22"/>
            <w:szCs w:val="22"/>
          </w:rPr>
          <w:tab/>
        </w:r>
        <w:r w:rsidRPr="00CC53E5">
          <w:rPr>
            <w:rStyle w:val="Hyperlink"/>
            <w:noProof/>
          </w:rPr>
          <w:t>Part 1 Section 18.17.7.276, RIGHTB</w:t>
        </w:r>
        <w:r>
          <w:rPr>
            <w:noProof/>
            <w:webHidden/>
          </w:rPr>
          <w:tab/>
        </w:r>
        <w:r>
          <w:rPr>
            <w:noProof/>
            <w:webHidden/>
          </w:rPr>
          <w:fldChar w:fldCharType="begin"/>
        </w:r>
        <w:r>
          <w:rPr>
            <w:noProof/>
            <w:webHidden/>
          </w:rPr>
          <w:instrText xml:space="preserve"> PAGEREF _Toc69878814 \h </w:instrText>
        </w:r>
        <w:r>
          <w:rPr>
            <w:noProof/>
            <w:webHidden/>
          </w:rPr>
        </w:r>
        <w:r>
          <w:rPr>
            <w:noProof/>
            <w:webHidden/>
          </w:rPr>
          <w:fldChar w:fldCharType="separate"/>
        </w:r>
        <w:r>
          <w:rPr>
            <w:noProof/>
            <w:webHidden/>
          </w:rPr>
          <w:t>448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15" w:history="1">
        <w:r w:rsidRPr="00CC53E5">
          <w:rPr>
            <w:rStyle w:val="Hyperlink"/>
            <w:noProof/>
          </w:rPr>
          <w:t>2.1.1032</w:t>
        </w:r>
        <w:r>
          <w:rPr>
            <w:rFonts w:asciiTheme="minorHAnsi" w:eastAsiaTheme="minorEastAsia" w:hAnsiTheme="minorHAnsi" w:cstheme="minorBidi"/>
            <w:noProof/>
            <w:sz w:val="22"/>
            <w:szCs w:val="22"/>
          </w:rPr>
          <w:tab/>
        </w:r>
        <w:r w:rsidRPr="00CC53E5">
          <w:rPr>
            <w:rStyle w:val="Hyperlink"/>
            <w:noProof/>
          </w:rPr>
          <w:t>Part 1 Section 18.17.7.277, ROMAN</w:t>
        </w:r>
        <w:r>
          <w:rPr>
            <w:noProof/>
            <w:webHidden/>
          </w:rPr>
          <w:tab/>
        </w:r>
        <w:r>
          <w:rPr>
            <w:noProof/>
            <w:webHidden/>
          </w:rPr>
          <w:fldChar w:fldCharType="begin"/>
        </w:r>
        <w:r>
          <w:rPr>
            <w:noProof/>
            <w:webHidden/>
          </w:rPr>
          <w:instrText xml:space="preserve"> PAGEREF _Toc69878815 \h </w:instrText>
        </w:r>
        <w:r>
          <w:rPr>
            <w:noProof/>
            <w:webHidden/>
          </w:rPr>
        </w:r>
        <w:r>
          <w:rPr>
            <w:noProof/>
            <w:webHidden/>
          </w:rPr>
          <w:fldChar w:fldCharType="separate"/>
        </w:r>
        <w:r>
          <w:rPr>
            <w:noProof/>
            <w:webHidden/>
          </w:rPr>
          <w:t>448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16" w:history="1">
        <w:r w:rsidRPr="00CC53E5">
          <w:rPr>
            <w:rStyle w:val="Hyperlink"/>
            <w:noProof/>
          </w:rPr>
          <w:t>2.1.1033</w:t>
        </w:r>
        <w:r>
          <w:rPr>
            <w:rFonts w:asciiTheme="minorHAnsi" w:eastAsiaTheme="minorEastAsia" w:hAnsiTheme="minorHAnsi" w:cstheme="minorBidi"/>
            <w:noProof/>
            <w:sz w:val="22"/>
            <w:szCs w:val="22"/>
          </w:rPr>
          <w:tab/>
        </w:r>
        <w:r w:rsidRPr="00CC53E5">
          <w:rPr>
            <w:rStyle w:val="Hyperlink"/>
            <w:noProof/>
          </w:rPr>
          <w:t>Part 1 Section 18.17.7.278, ROUND</w:t>
        </w:r>
        <w:r>
          <w:rPr>
            <w:noProof/>
            <w:webHidden/>
          </w:rPr>
          <w:tab/>
        </w:r>
        <w:r>
          <w:rPr>
            <w:noProof/>
            <w:webHidden/>
          </w:rPr>
          <w:fldChar w:fldCharType="begin"/>
        </w:r>
        <w:r>
          <w:rPr>
            <w:noProof/>
            <w:webHidden/>
          </w:rPr>
          <w:instrText xml:space="preserve"> PAGEREF _Toc69878816 \h </w:instrText>
        </w:r>
        <w:r>
          <w:rPr>
            <w:noProof/>
            <w:webHidden/>
          </w:rPr>
        </w:r>
        <w:r>
          <w:rPr>
            <w:noProof/>
            <w:webHidden/>
          </w:rPr>
          <w:fldChar w:fldCharType="separate"/>
        </w:r>
        <w:r>
          <w:rPr>
            <w:noProof/>
            <w:webHidden/>
          </w:rPr>
          <w:t>448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17" w:history="1">
        <w:r w:rsidRPr="00CC53E5">
          <w:rPr>
            <w:rStyle w:val="Hyperlink"/>
            <w:noProof/>
          </w:rPr>
          <w:t>2.1.1034</w:t>
        </w:r>
        <w:r>
          <w:rPr>
            <w:rFonts w:asciiTheme="minorHAnsi" w:eastAsiaTheme="minorEastAsia" w:hAnsiTheme="minorHAnsi" w:cstheme="minorBidi"/>
            <w:noProof/>
            <w:sz w:val="22"/>
            <w:szCs w:val="22"/>
          </w:rPr>
          <w:tab/>
        </w:r>
        <w:r w:rsidRPr="00CC53E5">
          <w:rPr>
            <w:rStyle w:val="Hyperlink"/>
            <w:noProof/>
          </w:rPr>
          <w:t>Part 1 Section 18.17.7.282, ROWS</w:t>
        </w:r>
        <w:r>
          <w:rPr>
            <w:noProof/>
            <w:webHidden/>
          </w:rPr>
          <w:tab/>
        </w:r>
        <w:r>
          <w:rPr>
            <w:noProof/>
            <w:webHidden/>
          </w:rPr>
          <w:fldChar w:fldCharType="begin"/>
        </w:r>
        <w:r>
          <w:rPr>
            <w:noProof/>
            <w:webHidden/>
          </w:rPr>
          <w:instrText xml:space="preserve"> PAGEREF _Toc69878817 \h </w:instrText>
        </w:r>
        <w:r>
          <w:rPr>
            <w:noProof/>
            <w:webHidden/>
          </w:rPr>
        </w:r>
        <w:r>
          <w:rPr>
            <w:noProof/>
            <w:webHidden/>
          </w:rPr>
          <w:fldChar w:fldCharType="separate"/>
        </w:r>
        <w:r>
          <w:rPr>
            <w:noProof/>
            <w:webHidden/>
          </w:rPr>
          <w:t>448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18" w:history="1">
        <w:r w:rsidRPr="00CC53E5">
          <w:rPr>
            <w:rStyle w:val="Hyperlink"/>
            <w:noProof/>
          </w:rPr>
          <w:t>2.1.1035</w:t>
        </w:r>
        <w:r>
          <w:rPr>
            <w:rFonts w:asciiTheme="minorHAnsi" w:eastAsiaTheme="minorEastAsia" w:hAnsiTheme="minorHAnsi" w:cstheme="minorBidi"/>
            <w:noProof/>
            <w:sz w:val="22"/>
            <w:szCs w:val="22"/>
          </w:rPr>
          <w:tab/>
        </w:r>
        <w:r w:rsidRPr="00CC53E5">
          <w:rPr>
            <w:rStyle w:val="Hyperlink"/>
            <w:noProof/>
          </w:rPr>
          <w:t>Part 1 Section 18.17.7.284, RTD</w:t>
        </w:r>
        <w:r>
          <w:rPr>
            <w:noProof/>
            <w:webHidden/>
          </w:rPr>
          <w:tab/>
        </w:r>
        <w:r>
          <w:rPr>
            <w:noProof/>
            <w:webHidden/>
          </w:rPr>
          <w:fldChar w:fldCharType="begin"/>
        </w:r>
        <w:r>
          <w:rPr>
            <w:noProof/>
            <w:webHidden/>
          </w:rPr>
          <w:instrText xml:space="preserve"> PAGEREF _Toc69878818 \h </w:instrText>
        </w:r>
        <w:r>
          <w:rPr>
            <w:noProof/>
            <w:webHidden/>
          </w:rPr>
        </w:r>
        <w:r>
          <w:rPr>
            <w:noProof/>
            <w:webHidden/>
          </w:rPr>
          <w:fldChar w:fldCharType="separate"/>
        </w:r>
        <w:r>
          <w:rPr>
            <w:noProof/>
            <w:webHidden/>
          </w:rPr>
          <w:t>448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19" w:history="1">
        <w:r w:rsidRPr="00CC53E5">
          <w:rPr>
            <w:rStyle w:val="Hyperlink"/>
            <w:noProof/>
          </w:rPr>
          <w:t>2.1.1036</w:t>
        </w:r>
        <w:r>
          <w:rPr>
            <w:rFonts w:asciiTheme="minorHAnsi" w:eastAsiaTheme="minorEastAsia" w:hAnsiTheme="minorHAnsi" w:cstheme="minorBidi"/>
            <w:noProof/>
            <w:sz w:val="22"/>
            <w:szCs w:val="22"/>
          </w:rPr>
          <w:tab/>
        </w:r>
        <w:r w:rsidRPr="00CC53E5">
          <w:rPr>
            <w:rStyle w:val="Hyperlink"/>
            <w:noProof/>
          </w:rPr>
          <w:t>Part 1 Section 18.17.7.285, SEARCH</w:t>
        </w:r>
        <w:r>
          <w:rPr>
            <w:noProof/>
            <w:webHidden/>
          </w:rPr>
          <w:tab/>
        </w:r>
        <w:r>
          <w:rPr>
            <w:noProof/>
            <w:webHidden/>
          </w:rPr>
          <w:fldChar w:fldCharType="begin"/>
        </w:r>
        <w:r>
          <w:rPr>
            <w:noProof/>
            <w:webHidden/>
          </w:rPr>
          <w:instrText xml:space="preserve"> PAGEREF _Toc69878819 \h </w:instrText>
        </w:r>
        <w:r>
          <w:rPr>
            <w:noProof/>
            <w:webHidden/>
          </w:rPr>
        </w:r>
        <w:r>
          <w:rPr>
            <w:noProof/>
            <w:webHidden/>
          </w:rPr>
          <w:fldChar w:fldCharType="separate"/>
        </w:r>
        <w:r>
          <w:rPr>
            <w:noProof/>
            <w:webHidden/>
          </w:rPr>
          <w:t>449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20" w:history="1">
        <w:r w:rsidRPr="00CC53E5">
          <w:rPr>
            <w:rStyle w:val="Hyperlink"/>
            <w:noProof/>
          </w:rPr>
          <w:t>2.1.1037</w:t>
        </w:r>
        <w:r>
          <w:rPr>
            <w:rFonts w:asciiTheme="minorHAnsi" w:eastAsiaTheme="minorEastAsia" w:hAnsiTheme="minorHAnsi" w:cstheme="minorBidi"/>
            <w:noProof/>
            <w:sz w:val="22"/>
            <w:szCs w:val="22"/>
          </w:rPr>
          <w:tab/>
        </w:r>
        <w:r w:rsidRPr="00CC53E5">
          <w:rPr>
            <w:rStyle w:val="Hyperlink"/>
            <w:noProof/>
          </w:rPr>
          <w:t>Part 1 Section 18.17.7.286, SEARCHB</w:t>
        </w:r>
        <w:r>
          <w:rPr>
            <w:noProof/>
            <w:webHidden/>
          </w:rPr>
          <w:tab/>
        </w:r>
        <w:r>
          <w:rPr>
            <w:noProof/>
            <w:webHidden/>
          </w:rPr>
          <w:fldChar w:fldCharType="begin"/>
        </w:r>
        <w:r>
          <w:rPr>
            <w:noProof/>
            <w:webHidden/>
          </w:rPr>
          <w:instrText xml:space="preserve"> PAGEREF _Toc69878820 \h </w:instrText>
        </w:r>
        <w:r>
          <w:rPr>
            <w:noProof/>
            <w:webHidden/>
          </w:rPr>
        </w:r>
        <w:r>
          <w:rPr>
            <w:noProof/>
            <w:webHidden/>
          </w:rPr>
          <w:fldChar w:fldCharType="separate"/>
        </w:r>
        <w:r>
          <w:rPr>
            <w:noProof/>
            <w:webHidden/>
          </w:rPr>
          <w:t>449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21" w:history="1">
        <w:r w:rsidRPr="00CC53E5">
          <w:rPr>
            <w:rStyle w:val="Hyperlink"/>
            <w:noProof/>
          </w:rPr>
          <w:t>2.1.1038</w:t>
        </w:r>
        <w:r>
          <w:rPr>
            <w:rFonts w:asciiTheme="minorHAnsi" w:eastAsiaTheme="minorEastAsia" w:hAnsiTheme="minorHAnsi" w:cstheme="minorBidi"/>
            <w:noProof/>
            <w:sz w:val="22"/>
            <w:szCs w:val="22"/>
          </w:rPr>
          <w:tab/>
        </w:r>
        <w:r w:rsidRPr="00CC53E5">
          <w:rPr>
            <w:rStyle w:val="Hyperlink"/>
            <w:noProof/>
          </w:rPr>
          <w:t>Part 1 Section 18.17.7.288, SERIESSUM</w:t>
        </w:r>
        <w:r>
          <w:rPr>
            <w:noProof/>
            <w:webHidden/>
          </w:rPr>
          <w:tab/>
        </w:r>
        <w:r>
          <w:rPr>
            <w:noProof/>
            <w:webHidden/>
          </w:rPr>
          <w:fldChar w:fldCharType="begin"/>
        </w:r>
        <w:r>
          <w:rPr>
            <w:noProof/>
            <w:webHidden/>
          </w:rPr>
          <w:instrText xml:space="preserve"> PAGEREF _Toc69878821 \h </w:instrText>
        </w:r>
        <w:r>
          <w:rPr>
            <w:noProof/>
            <w:webHidden/>
          </w:rPr>
        </w:r>
        <w:r>
          <w:rPr>
            <w:noProof/>
            <w:webHidden/>
          </w:rPr>
          <w:fldChar w:fldCharType="separate"/>
        </w:r>
        <w:r>
          <w:rPr>
            <w:noProof/>
            <w:webHidden/>
          </w:rPr>
          <w:t>449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22" w:history="1">
        <w:r w:rsidRPr="00CC53E5">
          <w:rPr>
            <w:rStyle w:val="Hyperlink"/>
            <w:noProof/>
          </w:rPr>
          <w:t>2.1.1039</w:t>
        </w:r>
        <w:r>
          <w:rPr>
            <w:rFonts w:asciiTheme="minorHAnsi" w:eastAsiaTheme="minorEastAsia" w:hAnsiTheme="minorHAnsi" w:cstheme="minorBidi"/>
            <w:noProof/>
            <w:sz w:val="22"/>
            <w:szCs w:val="22"/>
          </w:rPr>
          <w:tab/>
        </w:r>
        <w:r w:rsidRPr="00CC53E5">
          <w:rPr>
            <w:rStyle w:val="Hyperlink"/>
            <w:noProof/>
          </w:rPr>
          <w:t>Part 1 Section 18.17.7.290, SIN</w:t>
        </w:r>
        <w:r>
          <w:rPr>
            <w:noProof/>
            <w:webHidden/>
          </w:rPr>
          <w:tab/>
        </w:r>
        <w:r>
          <w:rPr>
            <w:noProof/>
            <w:webHidden/>
          </w:rPr>
          <w:fldChar w:fldCharType="begin"/>
        </w:r>
        <w:r>
          <w:rPr>
            <w:noProof/>
            <w:webHidden/>
          </w:rPr>
          <w:instrText xml:space="preserve"> PAGEREF _Toc69878822 \h </w:instrText>
        </w:r>
        <w:r>
          <w:rPr>
            <w:noProof/>
            <w:webHidden/>
          </w:rPr>
        </w:r>
        <w:r>
          <w:rPr>
            <w:noProof/>
            <w:webHidden/>
          </w:rPr>
          <w:fldChar w:fldCharType="separate"/>
        </w:r>
        <w:r>
          <w:rPr>
            <w:noProof/>
            <w:webHidden/>
          </w:rPr>
          <w:t>450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23" w:history="1">
        <w:r w:rsidRPr="00CC53E5">
          <w:rPr>
            <w:rStyle w:val="Hyperlink"/>
            <w:noProof/>
          </w:rPr>
          <w:t>2.1.1040</w:t>
        </w:r>
        <w:r>
          <w:rPr>
            <w:rFonts w:asciiTheme="minorHAnsi" w:eastAsiaTheme="minorEastAsia" w:hAnsiTheme="minorHAnsi" w:cstheme="minorBidi"/>
            <w:noProof/>
            <w:sz w:val="22"/>
            <w:szCs w:val="22"/>
          </w:rPr>
          <w:tab/>
        </w:r>
        <w:r w:rsidRPr="00CC53E5">
          <w:rPr>
            <w:rStyle w:val="Hyperlink"/>
            <w:noProof/>
          </w:rPr>
          <w:t>Part 1 Section 18.17.7.294, SLOPE</w:t>
        </w:r>
        <w:r>
          <w:rPr>
            <w:noProof/>
            <w:webHidden/>
          </w:rPr>
          <w:tab/>
        </w:r>
        <w:r>
          <w:rPr>
            <w:noProof/>
            <w:webHidden/>
          </w:rPr>
          <w:fldChar w:fldCharType="begin"/>
        </w:r>
        <w:r>
          <w:rPr>
            <w:noProof/>
            <w:webHidden/>
          </w:rPr>
          <w:instrText xml:space="preserve"> PAGEREF _Toc69878823 \h </w:instrText>
        </w:r>
        <w:r>
          <w:rPr>
            <w:noProof/>
            <w:webHidden/>
          </w:rPr>
        </w:r>
        <w:r>
          <w:rPr>
            <w:noProof/>
            <w:webHidden/>
          </w:rPr>
          <w:fldChar w:fldCharType="separate"/>
        </w:r>
        <w:r>
          <w:rPr>
            <w:noProof/>
            <w:webHidden/>
          </w:rPr>
          <w:t>450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24" w:history="1">
        <w:r w:rsidRPr="00CC53E5">
          <w:rPr>
            <w:rStyle w:val="Hyperlink"/>
            <w:noProof/>
          </w:rPr>
          <w:t>2.1.1041</w:t>
        </w:r>
        <w:r>
          <w:rPr>
            <w:rFonts w:asciiTheme="minorHAnsi" w:eastAsiaTheme="minorEastAsia" w:hAnsiTheme="minorHAnsi" w:cstheme="minorBidi"/>
            <w:noProof/>
            <w:sz w:val="22"/>
            <w:szCs w:val="22"/>
          </w:rPr>
          <w:tab/>
        </w:r>
        <w:r w:rsidRPr="00CC53E5">
          <w:rPr>
            <w:rStyle w:val="Hyperlink"/>
            <w:noProof/>
          </w:rPr>
          <w:t>Part 1 Section 18.17.7.299, STDEV</w:t>
        </w:r>
        <w:r>
          <w:rPr>
            <w:noProof/>
            <w:webHidden/>
          </w:rPr>
          <w:tab/>
        </w:r>
        <w:r>
          <w:rPr>
            <w:noProof/>
            <w:webHidden/>
          </w:rPr>
          <w:fldChar w:fldCharType="begin"/>
        </w:r>
        <w:r>
          <w:rPr>
            <w:noProof/>
            <w:webHidden/>
          </w:rPr>
          <w:instrText xml:space="preserve"> PAGEREF _Toc69878824 \h </w:instrText>
        </w:r>
        <w:r>
          <w:rPr>
            <w:noProof/>
            <w:webHidden/>
          </w:rPr>
        </w:r>
        <w:r>
          <w:rPr>
            <w:noProof/>
            <w:webHidden/>
          </w:rPr>
          <w:fldChar w:fldCharType="separate"/>
        </w:r>
        <w:r>
          <w:rPr>
            <w:noProof/>
            <w:webHidden/>
          </w:rPr>
          <w:t>450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25" w:history="1">
        <w:r w:rsidRPr="00CC53E5">
          <w:rPr>
            <w:rStyle w:val="Hyperlink"/>
            <w:noProof/>
          </w:rPr>
          <w:t>2.1.1042</w:t>
        </w:r>
        <w:r>
          <w:rPr>
            <w:rFonts w:asciiTheme="minorHAnsi" w:eastAsiaTheme="minorEastAsia" w:hAnsiTheme="minorHAnsi" w:cstheme="minorBidi"/>
            <w:noProof/>
            <w:sz w:val="22"/>
            <w:szCs w:val="22"/>
          </w:rPr>
          <w:tab/>
        </w:r>
        <w:r w:rsidRPr="00CC53E5">
          <w:rPr>
            <w:rStyle w:val="Hyperlink"/>
            <w:noProof/>
          </w:rPr>
          <w:t>Part 1 Section 18.17.7.300, STDEVA</w:t>
        </w:r>
        <w:r>
          <w:rPr>
            <w:noProof/>
            <w:webHidden/>
          </w:rPr>
          <w:tab/>
        </w:r>
        <w:r>
          <w:rPr>
            <w:noProof/>
            <w:webHidden/>
          </w:rPr>
          <w:fldChar w:fldCharType="begin"/>
        </w:r>
        <w:r>
          <w:rPr>
            <w:noProof/>
            <w:webHidden/>
          </w:rPr>
          <w:instrText xml:space="preserve"> PAGEREF _Toc69878825 \h </w:instrText>
        </w:r>
        <w:r>
          <w:rPr>
            <w:noProof/>
            <w:webHidden/>
          </w:rPr>
        </w:r>
        <w:r>
          <w:rPr>
            <w:noProof/>
            <w:webHidden/>
          </w:rPr>
          <w:fldChar w:fldCharType="separate"/>
        </w:r>
        <w:r>
          <w:rPr>
            <w:noProof/>
            <w:webHidden/>
          </w:rPr>
          <w:t>450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26" w:history="1">
        <w:r w:rsidRPr="00CC53E5">
          <w:rPr>
            <w:rStyle w:val="Hyperlink"/>
            <w:noProof/>
          </w:rPr>
          <w:t>2.1.1043</w:t>
        </w:r>
        <w:r>
          <w:rPr>
            <w:rFonts w:asciiTheme="minorHAnsi" w:eastAsiaTheme="minorEastAsia" w:hAnsiTheme="minorHAnsi" w:cstheme="minorBidi"/>
            <w:noProof/>
            <w:sz w:val="22"/>
            <w:szCs w:val="22"/>
          </w:rPr>
          <w:tab/>
        </w:r>
        <w:r w:rsidRPr="00CC53E5">
          <w:rPr>
            <w:rStyle w:val="Hyperlink"/>
            <w:noProof/>
          </w:rPr>
          <w:t>Part 1 Section 18.17.7.301, STDEVP</w:t>
        </w:r>
        <w:r>
          <w:rPr>
            <w:noProof/>
            <w:webHidden/>
          </w:rPr>
          <w:tab/>
        </w:r>
        <w:r>
          <w:rPr>
            <w:noProof/>
            <w:webHidden/>
          </w:rPr>
          <w:fldChar w:fldCharType="begin"/>
        </w:r>
        <w:r>
          <w:rPr>
            <w:noProof/>
            <w:webHidden/>
          </w:rPr>
          <w:instrText xml:space="preserve"> PAGEREF _Toc69878826 \h </w:instrText>
        </w:r>
        <w:r>
          <w:rPr>
            <w:noProof/>
            <w:webHidden/>
          </w:rPr>
        </w:r>
        <w:r>
          <w:rPr>
            <w:noProof/>
            <w:webHidden/>
          </w:rPr>
          <w:fldChar w:fldCharType="separate"/>
        </w:r>
        <w:r>
          <w:rPr>
            <w:noProof/>
            <w:webHidden/>
          </w:rPr>
          <w:t>450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27" w:history="1">
        <w:r w:rsidRPr="00CC53E5">
          <w:rPr>
            <w:rStyle w:val="Hyperlink"/>
            <w:noProof/>
          </w:rPr>
          <w:t>2.1.1044</w:t>
        </w:r>
        <w:r>
          <w:rPr>
            <w:rFonts w:asciiTheme="minorHAnsi" w:eastAsiaTheme="minorEastAsia" w:hAnsiTheme="minorHAnsi" w:cstheme="minorBidi"/>
            <w:noProof/>
            <w:sz w:val="22"/>
            <w:szCs w:val="22"/>
          </w:rPr>
          <w:tab/>
        </w:r>
        <w:r w:rsidRPr="00CC53E5">
          <w:rPr>
            <w:rStyle w:val="Hyperlink"/>
            <w:noProof/>
          </w:rPr>
          <w:t>Part 1 Section 18.17.7.302, STDEVPA</w:t>
        </w:r>
        <w:r>
          <w:rPr>
            <w:noProof/>
            <w:webHidden/>
          </w:rPr>
          <w:tab/>
        </w:r>
        <w:r>
          <w:rPr>
            <w:noProof/>
            <w:webHidden/>
          </w:rPr>
          <w:fldChar w:fldCharType="begin"/>
        </w:r>
        <w:r>
          <w:rPr>
            <w:noProof/>
            <w:webHidden/>
          </w:rPr>
          <w:instrText xml:space="preserve"> PAGEREF _Toc69878827 \h </w:instrText>
        </w:r>
        <w:r>
          <w:rPr>
            <w:noProof/>
            <w:webHidden/>
          </w:rPr>
        </w:r>
        <w:r>
          <w:rPr>
            <w:noProof/>
            <w:webHidden/>
          </w:rPr>
          <w:fldChar w:fldCharType="separate"/>
        </w:r>
        <w:r>
          <w:rPr>
            <w:noProof/>
            <w:webHidden/>
          </w:rPr>
          <w:t>450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28" w:history="1">
        <w:r w:rsidRPr="00CC53E5">
          <w:rPr>
            <w:rStyle w:val="Hyperlink"/>
            <w:noProof/>
          </w:rPr>
          <w:t>2.1.1045</w:t>
        </w:r>
        <w:r>
          <w:rPr>
            <w:rFonts w:asciiTheme="minorHAnsi" w:eastAsiaTheme="minorEastAsia" w:hAnsiTheme="minorHAnsi" w:cstheme="minorBidi"/>
            <w:noProof/>
            <w:sz w:val="22"/>
            <w:szCs w:val="22"/>
          </w:rPr>
          <w:tab/>
        </w:r>
        <w:r w:rsidRPr="00CC53E5">
          <w:rPr>
            <w:rStyle w:val="Hyperlink"/>
            <w:noProof/>
          </w:rPr>
          <w:t>Part 1 Section 18.17.7.304, SUBSTITUTE</w:t>
        </w:r>
        <w:r>
          <w:rPr>
            <w:noProof/>
            <w:webHidden/>
          </w:rPr>
          <w:tab/>
        </w:r>
        <w:r>
          <w:rPr>
            <w:noProof/>
            <w:webHidden/>
          </w:rPr>
          <w:fldChar w:fldCharType="begin"/>
        </w:r>
        <w:r>
          <w:rPr>
            <w:noProof/>
            <w:webHidden/>
          </w:rPr>
          <w:instrText xml:space="preserve"> PAGEREF _Toc69878828 \h </w:instrText>
        </w:r>
        <w:r>
          <w:rPr>
            <w:noProof/>
            <w:webHidden/>
          </w:rPr>
        </w:r>
        <w:r>
          <w:rPr>
            <w:noProof/>
            <w:webHidden/>
          </w:rPr>
          <w:fldChar w:fldCharType="separate"/>
        </w:r>
        <w:r>
          <w:rPr>
            <w:noProof/>
            <w:webHidden/>
          </w:rPr>
          <w:t>451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29" w:history="1">
        <w:r w:rsidRPr="00CC53E5">
          <w:rPr>
            <w:rStyle w:val="Hyperlink"/>
            <w:noProof/>
          </w:rPr>
          <w:t>2.1.1046</w:t>
        </w:r>
        <w:r>
          <w:rPr>
            <w:rFonts w:asciiTheme="minorHAnsi" w:eastAsiaTheme="minorEastAsia" w:hAnsiTheme="minorHAnsi" w:cstheme="minorBidi"/>
            <w:noProof/>
            <w:sz w:val="22"/>
            <w:szCs w:val="22"/>
          </w:rPr>
          <w:tab/>
        </w:r>
        <w:r w:rsidRPr="00CC53E5">
          <w:rPr>
            <w:rStyle w:val="Hyperlink"/>
            <w:noProof/>
          </w:rPr>
          <w:t>Part 1 Section 18.17.7.306, SUM</w:t>
        </w:r>
        <w:r>
          <w:rPr>
            <w:noProof/>
            <w:webHidden/>
          </w:rPr>
          <w:tab/>
        </w:r>
        <w:r>
          <w:rPr>
            <w:noProof/>
            <w:webHidden/>
          </w:rPr>
          <w:fldChar w:fldCharType="begin"/>
        </w:r>
        <w:r>
          <w:rPr>
            <w:noProof/>
            <w:webHidden/>
          </w:rPr>
          <w:instrText xml:space="preserve"> PAGEREF _Toc69878829 \h </w:instrText>
        </w:r>
        <w:r>
          <w:rPr>
            <w:noProof/>
            <w:webHidden/>
          </w:rPr>
        </w:r>
        <w:r>
          <w:rPr>
            <w:noProof/>
            <w:webHidden/>
          </w:rPr>
          <w:fldChar w:fldCharType="separate"/>
        </w:r>
        <w:r>
          <w:rPr>
            <w:noProof/>
            <w:webHidden/>
          </w:rPr>
          <w:t>451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30" w:history="1">
        <w:r w:rsidRPr="00CC53E5">
          <w:rPr>
            <w:rStyle w:val="Hyperlink"/>
            <w:noProof/>
          </w:rPr>
          <w:t>2.1.1047</w:t>
        </w:r>
        <w:r>
          <w:rPr>
            <w:rFonts w:asciiTheme="minorHAnsi" w:eastAsiaTheme="minorEastAsia" w:hAnsiTheme="minorHAnsi" w:cstheme="minorBidi"/>
            <w:noProof/>
            <w:sz w:val="22"/>
            <w:szCs w:val="22"/>
          </w:rPr>
          <w:tab/>
        </w:r>
        <w:r w:rsidRPr="00CC53E5">
          <w:rPr>
            <w:rStyle w:val="Hyperlink"/>
            <w:noProof/>
          </w:rPr>
          <w:t>Part 1 Section 18.17.7.308, SUMIFS</w:t>
        </w:r>
        <w:r>
          <w:rPr>
            <w:noProof/>
            <w:webHidden/>
          </w:rPr>
          <w:tab/>
        </w:r>
        <w:r>
          <w:rPr>
            <w:noProof/>
            <w:webHidden/>
          </w:rPr>
          <w:fldChar w:fldCharType="begin"/>
        </w:r>
        <w:r>
          <w:rPr>
            <w:noProof/>
            <w:webHidden/>
          </w:rPr>
          <w:instrText xml:space="preserve"> PAGEREF _Toc69878830 \h </w:instrText>
        </w:r>
        <w:r>
          <w:rPr>
            <w:noProof/>
            <w:webHidden/>
          </w:rPr>
        </w:r>
        <w:r>
          <w:rPr>
            <w:noProof/>
            <w:webHidden/>
          </w:rPr>
          <w:fldChar w:fldCharType="separate"/>
        </w:r>
        <w:r>
          <w:rPr>
            <w:noProof/>
            <w:webHidden/>
          </w:rPr>
          <w:t>451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31" w:history="1">
        <w:r w:rsidRPr="00CC53E5">
          <w:rPr>
            <w:rStyle w:val="Hyperlink"/>
            <w:noProof/>
          </w:rPr>
          <w:t>2.1.1048</w:t>
        </w:r>
        <w:r>
          <w:rPr>
            <w:rFonts w:asciiTheme="minorHAnsi" w:eastAsiaTheme="minorEastAsia" w:hAnsiTheme="minorHAnsi" w:cstheme="minorBidi"/>
            <w:noProof/>
            <w:sz w:val="22"/>
            <w:szCs w:val="22"/>
          </w:rPr>
          <w:tab/>
        </w:r>
        <w:r w:rsidRPr="00CC53E5">
          <w:rPr>
            <w:rStyle w:val="Hyperlink"/>
            <w:noProof/>
          </w:rPr>
          <w:t>Part 1 Section 18.17.7.309, SUMPRODUCT</w:t>
        </w:r>
        <w:r>
          <w:rPr>
            <w:noProof/>
            <w:webHidden/>
          </w:rPr>
          <w:tab/>
        </w:r>
        <w:r>
          <w:rPr>
            <w:noProof/>
            <w:webHidden/>
          </w:rPr>
          <w:fldChar w:fldCharType="begin"/>
        </w:r>
        <w:r>
          <w:rPr>
            <w:noProof/>
            <w:webHidden/>
          </w:rPr>
          <w:instrText xml:space="preserve"> PAGEREF _Toc69878831 \h </w:instrText>
        </w:r>
        <w:r>
          <w:rPr>
            <w:noProof/>
            <w:webHidden/>
          </w:rPr>
        </w:r>
        <w:r>
          <w:rPr>
            <w:noProof/>
            <w:webHidden/>
          </w:rPr>
          <w:fldChar w:fldCharType="separate"/>
        </w:r>
        <w:r>
          <w:rPr>
            <w:noProof/>
            <w:webHidden/>
          </w:rPr>
          <w:t>451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32" w:history="1">
        <w:r w:rsidRPr="00CC53E5">
          <w:rPr>
            <w:rStyle w:val="Hyperlink"/>
            <w:noProof/>
          </w:rPr>
          <w:t>2.1.1049</w:t>
        </w:r>
        <w:r>
          <w:rPr>
            <w:rFonts w:asciiTheme="minorHAnsi" w:eastAsiaTheme="minorEastAsia" w:hAnsiTheme="minorHAnsi" w:cstheme="minorBidi"/>
            <w:noProof/>
            <w:sz w:val="22"/>
            <w:szCs w:val="22"/>
          </w:rPr>
          <w:tab/>
        </w:r>
        <w:r w:rsidRPr="00CC53E5">
          <w:rPr>
            <w:rStyle w:val="Hyperlink"/>
            <w:noProof/>
          </w:rPr>
          <w:t>Part 1 Section 18.17.7.310, SUMSQ</w:t>
        </w:r>
        <w:r>
          <w:rPr>
            <w:noProof/>
            <w:webHidden/>
          </w:rPr>
          <w:tab/>
        </w:r>
        <w:r>
          <w:rPr>
            <w:noProof/>
            <w:webHidden/>
          </w:rPr>
          <w:fldChar w:fldCharType="begin"/>
        </w:r>
        <w:r>
          <w:rPr>
            <w:noProof/>
            <w:webHidden/>
          </w:rPr>
          <w:instrText xml:space="preserve"> PAGEREF _Toc69878832 \h </w:instrText>
        </w:r>
        <w:r>
          <w:rPr>
            <w:noProof/>
            <w:webHidden/>
          </w:rPr>
        </w:r>
        <w:r>
          <w:rPr>
            <w:noProof/>
            <w:webHidden/>
          </w:rPr>
          <w:fldChar w:fldCharType="separate"/>
        </w:r>
        <w:r>
          <w:rPr>
            <w:noProof/>
            <w:webHidden/>
          </w:rPr>
          <w:t>451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33" w:history="1">
        <w:r w:rsidRPr="00CC53E5">
          <w:rPr>
            <w:rStyle w:val="Hyperlink"/>
            <w:noProof/>
          </w:rPr>
          <w:t>2.1.1050</w:t>
        </w:r>
        <w:r>
          <w:rPr>
            <w:rFonts w:asciiTheme="minorHAnsi" w:eastAsiaTheme="minorEastAsia" w:hAnsiTheme="minorHAnsi" w:cstheme="minorBidi"/>
            <w:noProof/>
            <w:sz w:val="22"/>
            <w:szCs w:val="22"/>
          </w:rPr>
          <w:tab/>
        </w:r>
        <w:r w:rsidRPr="00CC53E5">
          <w:rPr>
            <w:rStyle w:val="Hyperlink"/>
            <w:noProof/>
          </w:rPr>
          <w:t>Part 1 Section 18.17.7.316, TAN</w:t>
        </w:r>
        <w:r>
          <w:rPr>
            <w:noProof/>
            <w:webHidden/>
          </w:rPr>
          <w:tab/>
        </w:r>
        <w:r>
          <w:rPr>
            <w:noProof/>
            <w:webHidden/>
          </w:rPr>
          <w:fldChar w:fldCharType="begin"/>
        </w:r>
        <w:r>
          <w:rPr>
            <w:noProof/>
            <w:webHidden/>
          </w:rPr>
          <w:instrText xml:space="preserve"> PAGEREF _Toc69878833 \h </w:instrText>
        </w:r>
        <w:r>
          <w:rPr>
            <w:noProof/>
            <w:webHidden/>
          </w:rPr>
        </w:r>
        <w:r>
          <w:rPr>
            <w:noProof/>
            <w:webHidden/>
          </w:rPr>
          <w:fldChar w:fldCharType="separate"/>
        </w:r>
        <w:r>
          <w:rPr>
            <w:noProof/>
            <w:webHidden/>
          </w:rPr>
          <w:t>451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34" w:history="1">
        <w:r w:rsidRPr="00CC53E5">
          <w:rPr>
            <w:rStyle w:val="Hyperlink"/>
            <w:noProof/>
          </w:rPr>
          <w:t>2.1.1051</w:t>
        </w:r>
        <w:r>
          <w:rPr>
            <w:rFonts w:asciiTheme="minorHAnsi" w:eastAsiaTheme="minorEastAsia" w:hAnsiTheme="minorHAnsi" w:cstheme="minorBidi"/>
            <w:noProof/>
            <w:sz w:val="22"/>
            <w:szCs w:val="22"/>
          </w:rPr>
          <w:tab/>
        </w:r>
        <w:r w:rsidRPr="00CC53E5">
          <w:rPr>
            <w:rStyle w:val="Hyperlink"/>
            <w:noProof/>
          </w:rPr>
          <w:t>Part 1 Section 18.17.7.319, TBILLPRICE</w:t>
        </w:r>
        <w:r>
          <w:rPr>
            <w:noProof/>
            <w:webHidden/>
          </w:rPr>
          <w:tab/>
        </w:r>
        <w:r>
          <w:rPr>
            <w:noProof/>
            <w:webHidden/>
          </w:rPr>
          <w:fldChar w:fldCharType="begin"/>
        </w:r>
        <w:r>
          <w:rPr>
            <w:noProof/>
            <w:webHidden/>
          </w:rPr>
          <w:instrText xml:space="preserve"> PAGEREF _Toc69878834 \h </w:instrText>
        </w:r>
        <w:r>
          <w:rPr>
            <w:noProof/>
            <w:webHidden/>
          </w:rPr>
        </w:r>
        <w:r>
          <w:rPr>
            <w:noProof/>
            <w:webHidden/>
          </w:rPr>
          <w:fldChar w:fldCharType="separate"/>
        </w:r>
        <w:r>
          <w:rPr>
            <w:noProof/>
            <w:webHidden/>
          </w:rPr>
          <w:t>451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35" w:history="1">
        <w:r w:rsidRPr="00CC53E5">
          <w:rPr>
            <w:rStyle w:val="Hyperlink"/>
            <w:noProof/>
          </w:rPr>
          <w:t>2.1.1052</w:t>
        </w:r>
        <w:r>
          <w:rPr>
            <w:rFonts w:asciiTheme="minorHAnsi" w:eastAsiaTheme="minorEastAsia" w:hAnsiTheme="minorHAnsi" w:cstheme="minorBidi"/>
            <w:noProof/>
            <w:sz w:val="22"/>
            <w:szCs w:val="22"/>
          </w:rPr>
          <w:tab/>
        </w:r>
        <w:r w:rsidRPr="00CC53E5">
          <w:rPr>
            <w:rStyle w:val="Hyperlink"/>
            <w:noProof/>
          </w:rPr>
          <w:t>Part 1 Section 18.17.7.320, TBILLYIELD</w:t>
        </w:r>
        <w:r>
          <w:rPr>
            <w:noProof/>
            <w:webHidden/>
          </w:rPr>
          <w:tab/>
        </w:r>
        <w:r>
          <w:rPr>
            <w:noProof/>
            <w:webHidden/>
          </w:rPr>
          <w:fldChar w:fldCharType="begin"/>
        </w:r>
        <w:r>
          <w:rPr>
            <w:noProof/>
            <w:webHidden/>
          </w:rPr>
          <w:instrText xml:space="preserve"> PAGEREF _Toc69878835 \h </w:instrText>
        </w:r>
        <w:r>
          <w:rPr>
            <w:noProof/>
            <w:webHidden/>
          </w:rPr>
        </w:r>
        <w:r>
          <w:rPr>
            <w:noProof/>
            <w:webHidden/>
          </w:rPr>
          <w:fldChar w:fldCharType="separate"/>
        </w:r>
        <w:r>
          <w:rPr>
            <w:noProof/>
            <w:webHidden/>
          </w:rPr>
          <w:t>452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36" w:history="1">
        <w:r w:rsidRPr="00CC53E5">
          <w:rPr>
            <w:rStyle w:val="Hyperlink"/>
            <w:noProof/>
          </w:rPr>
          <w:t>2.1.1053</w:t>
        </w:r>
        <w:r>
          <w:rPr>
            <w:rFonts w:asciiTheme="minorHAnsi" w:eastAsiaTheme="minorEastAsia" w:hAnsiTheme="minorHAnsi" w:cstheme="minorBidi"/>
            <w:noProof/>
            <w:sz w:val="22"/>
            <w:szCs w:val="22"/>
          </w:rPr>
          <w:tab/>
        </w:r>
        <w:r w:rsidRPr="00CC53E5">
          <w:rPr>
            <w:rStyle w:val="Hyperlink"/>
            <w:noProof/>
          </w:rPr>
          <w:t>Part 1 Section 18.17.7.323, TIME</w:t>
        </w:r>
        <w:r>
          <w:rPr>
            <w:noProof/>
            <w:webHidden/>
          </w:rPr>
          <w:tab/>
        </w:r>
        <w:r>
          <w:rPr>
            <w:noProof/>
            <w:webHidden/>
          </w:rPr>
          <w:fldChar w:fldCharType="begin"/>
        </w:r>
        <w:r>
          <w:rPr>
            <w:noProof/>
            <w:webHidden/>
          </w:rPr>
          <w:instrText xml:space="preserve"> PAGEREF _Toc69878836 \h </w:instrText>
        </w:r>
        <w:r>
          <w:rPr>
            <w:noProof/>
            <w:webHidden/>
          </w:rPr>
        </w:r>
        <w:r>
          <w:rPr>
            <w:noProof/>
            <w:webHidden/>
          </w:rPr>
          <w:fldChar w:fldCharType="separate"/>
        </w:r>
        <w:r>
          <w:rPr>
            <w:noProof/>
            <w:webHidden/>
          </w:rPr>
          <w:t>452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37" w:history="1">
        <w:r w:rsidRPr="00CC53E5">
          <w:rPr>
            <w:rStyle w:val="Hyperlink"/>
            <w:noProof/>
          </w:rPr>
          <w:t>2.1.1054</w:t>
        </w:r>
        <w:r>
          <w:rPr>
            <w:rFonts w:asciiTheme="minorHAnsi" w:eastAsiaTheme="minorEastAsia" w:hAnsiTheme="minorHAnsi" w:cstheme="minorBidi"/>
            <w:noProof/>
            <w:sz w:val="22"/>
            <w:szCs w:val="22"/>
          </w:rPr>
          <w:tab/>
        </w:r>
        <w:r w:rsidRPr="00CC53E5">
          <w:rPr>
            <w:rStyle w:val="Hyperlink"/>
            <w:noProof/>
          </w:rPr>
          <w:t>Part 1 Section 18.17.7.324, TIMEVALUE</w:t>
        </w:r>
        <w:r>
          <w:rPr>
            <w:noProof/>
            <w:webHidden/>
          </w:rPr>
          <w:tab/>
        </w:r>
        <w:r>
          <w:rPr>
            <w:noProof/>
            <w:webHidden/>
          </w:rPr>
          <w:fldChar w:fldCharType="begin"/>
        </w:r>
        <w:r>
          <w:rPr>
            <w:noProof/>
            <w:webHidden/>
          </w:rPr>
          <w:instrText xml:space="preserve"> PAGEREF _Toc69878837 \h </w:instrText>
        </w:r>
        <w:r>
          <w:rPr>
            <w:noProof/>
            <w:webHidden/>
          </w:rPr>
        </w:r>
        <w:r>
          <w:rPr>
            <w:noProof/>
            <w:webHidden/>
          </w:rPr>
          <w:fldChar w:fldCharType="separate"/>
        </w:r>
        <w:r>
          <w:rPr>
            <w:noProof/>
            <w:webHidden/>
          </w:rPr>
          <w:t>452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38" w:history="1">
        <w:r w:rsidRPr="00CC53E5">
          <w:rPr>
            <w:rStyle w:val="Hyperlink"/>
            <w:noProof/>
          </w:rPr>
          <w:t>2.1.1055</w:t>
        </w:r>
        <w:r>
          <w:rPr>
            <w:rFonts w:asciiTheme="minorHAnsi" w:eastAsiaTheme="minorEastAsia" w:hAnsiTheme="minorHAnsi" w:cstheme="minorBidi"/>
            <w:noProof/>
            <w:sz w:val="22"/>
            <w:szCs w:val="22"/>
          </w:rPr>
          <w:tab/>
        </w:r>
        <w:r w:rsidRPr="00CC53E5">
          <w:rPr>
            <w:rStyle w:val="Hyperlink"/>
            <w:noProof/>
          </w:rPr>
          <w:t>Part 1 Section 18.17.7.330, TRIMMEAN</w:t>
        </w:r>
        <w:r>
          <w:rPr>
            <w:noProof/>
            <w:webHidden/>
          </w:rPr>
          <w:tab/>
        </w:r>
        <w:r>
          <w:rPr>
            <w:noProof/>
            <w:webHidden/>
          </w:rPr>
          <w:fldChar w:fldCharType="begin"/>
        </w:r>
        <w:r>
          <w:rPr>
            <w:noProof/>
            <w:webHidden/>
          </w:rPr>
          <w:instrText xml:space="preserve"> PAGEREF _Toc69878838 \h </w:instrText>
        </w:r>
        <w:r>
          <w:rPr>
            <w:noProof/>
            <w:webHidden/>
          </w:rPr>
        </w:r>
        <w:r>
          <w:rPr>
            <w:noProof/>
            <w:webHidden/>
          </w:rPr>
          <w:fldChar w:fldCharType="separate"/>
        </w:r>
        <w:r>
          <w:rPr>
            <w:noProof/>
            <w:webHidden/>
          </w:rPr>
          <w:t>452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39" w:history="1">
        <w:r w:rsidRPr="00CC53E5">
          <w:rPr>
            <w:rStyle w:val="Hyperlink"/>
            <w:noProof/>
          </w:rPr>
          <w:t>2.1.1056</w:t>
        </w:r>
        <w:r>
          <w:rPr>
            <w:rFonts w:asciiTheme="minorHAnsi" w:eastAsiaTheme="minorEastAsia" w:hAnsiTheme="minorHAnsi" w:cstheme="minorBidi"/>
            <w:noProof/>
            <w:sz w:val="22"/>
            <w:szCs w:val="22"/>
          </w:rPr>
          <w:tab/>
        </w:r>
        <w:r w:rsidRPr="00CC53E5">
          <w:rPr>
            <w:rStyle w:val="Hyperlink"/>
            <w:noProof/>
          </w:rPr>
          <w:t>Part 1 Section 18.17.7.332, TRUNC</w:t>
        </w:r>
        <w:r>
          <w:rPr>
            <w:noProof/>
            <w:webHidden/>
          </w:rPr>
          <w:tab/>
        </w:r>
        <w:r>
          <w:rPr>
            <w:noProof/>
            <w:webHidden/>
          </w:rPr>
          <w:fldChar w:fldCharType="begin"/>
        </w:r>
        <w:r>
          <w:rPr>
            <w:noProof/>
            <w:webHidden/>
          </w:rPr>
          <w:instrText xml:space="preserve"> PAGEREF _Toc69878839 \h </w:instrText>
        </w:r>
        <w:r>
          <w:rPr>
            <w:noProof/>
            <w:webHidden/>
          </w:rPr>
        </w:r>
        <w:r>
          <w:rPr>
            <w:noProof/>
            <w:webHidden/>
          </w:rPr>
          <w:fldChar w:fldCharType="separate"/>
        </w:r>
        <w:r>
          <w:rPr>
            <w:noProof/>
            <w:webHidden/>
          </w:rPr>
          <w:t>452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40" w:history="1">
        <w:r w:rsidRPr="00CC53E5">
          <w:rPr>
            <w:rStyle w:val="Hyperlink"/>
            <w:noProof/>
          </w:rPr>
          <w:t>2.1.1057</w:t>
        </w:r>
        <w:r>
          <w:rPr>
            <w:rFonts w:asciiTheme="minorHAnsi" w:eastAsiaTheme="minorEastAsia" w:hAnsiTheme="minorHAnsi" w:cstheme="minorBidi"/>
            <w:noProof/>
            <w:sz w:val="22"/>
            <w:szCs w:val="22"/>
          </w:rPr>
          <w:tab/>
        </w:r>
        <w:r w:rsidRPr="00CC53E5">
          <w:rPr>
            <w:rStyle w:val="Hyperlink"/>
            <w:noProof/>
          </w:rPr>
          <w:t>Part 1 Section 18.17.7.333, TTEST</w:t>
        </w:r>
        <w:r>
          <w:rPr>
            <w:noProof/>
            <w:webHidden/>
          </w:rPr>
          <w:tab/>
        </w:r>
        <w:r>
          <w:rPr>
            <w:noProof/>
            <w:webHidden/>
          </w:rPr>
          <w:fldChar w:fldCharType="begin"/>
        </w:r>
        <w:r>
          <w:rPr>
            <w:noProof/>
            <w:webHidden/>
          </w:rPr>
          <w:instrText xml:space="preserve"> PAGEREF _Toc69878840 \h </w:instrText>
        </w:r>
        <w:r>
          <w:rPr>
            <w:noProof/>
            <w:webHidden/>
          </w:rPr>
        </w:r>
        <w:r>
          <w:rPr>
            <w:noProof/>
            <w:webHidden/>
          </w:rPr>
          <w:fldChar w:fldCharType="separate"/>
        </w:r>
        <w:r>
          <w:rPr>
            <w:noProof/>
            <w:webHidden/>
          </w:rPr>
          <w:t>452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41" w:history="1">
        <w:r w:rsidRPr="00CC53E5">
          <w:rPr>
            <w:rStyle w:val="Hyperlink"/>
            <w:noProof/>
          </w:rPr>
          <w:t>2.1.1058</w:t>
        </w:r>
        <w:r>
          <w:rPr>
            <w:rFonts w:asciiTheme="minorHAnsi" w:eastAsiaTheme="minorEastAsia" w:hAnsiTheme="minorHAnsi" w:cstheme="minorBidi"/>
            <w:noProof/>
            <w:sz w:val="22"/>
            <w:szCs w:val="22"/>
          </w:rPr>
          <w:tab/>
        </w:r>
        <w:r w:rsidRPr="00CC53E5">
          <w:rPr>
            <w:rStyle w:val="Hyperlink"/>
            <w:noProof/>
          </w:rPr>
          <w:t>Part 1 Section 18.17.7.334, TYPE</w:t>
        </w:r>
        <w:r>
          <w:rPr>
            <w:noProof/>
            <w:webHidden/>
          </w:rPr>
          <w:tab/>
        </w:r>
        <w:r>
          <w:rPr>
            <w:noProof/>
            <w:webHidden/>
          </w:rPr>
          <w:fldChar w:fldCharType="begin"/>
        </w:r>
        <w:r>
          <w:rPr>
            <w:noProof/>
            <w:webHidden/>
          </w:rPr>
          <w:instrText xml:space="preserve"> PAGEREF _Toc69878841 \h </w:instrText>
        </w:r>
        <w:r>
          <w:rPr>
            <w:noProof/>
            <w:webHidden/>
          </w:rPr>
        </w:r>
        <w:r>
          <w:rPr>
            <w:noProof/>
            <w:webHidden/>
          </w:rPr>
          <w:fldChar w:fldCharType="separate"/>
        </w:r>
        <w:r>
          <w:rPr>
            <w:noProof/>
            <w:webHidden/>
          </w:rPr>
          <w:t>452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42" w:history="1">
        <w:r w:rsidRPr="00CC53E5">
          <w:rPr>
            <w:rStyle w:val="Hyperlink"/>
            <w:noProof/>
          </w:rPr>
          <w:t>2.1.1059</w:t>
        </w:r>
        <w:r>
          <w:rPr>
            <w:rFonts w:asciiTheme="minorHAnsi" w:eastAsiaTheme="minorEastAsia" w:hAnsiTheme="minorHAnsi" w:cstheme="minorBidi"/>
            <w:noProof/>
            <w:sz w:val="22"/>
            <w:szCs w:val="22"/>
          </w:rPr>
          <w:tab/>
        </w:r>
        <w:r w:rsidRPr="00CC53E5">
          <w:rPr>
            <w:rStyle w:val="Hyperlink"/>
            <w:noProof/>
          </w:rPr>
          <w:t>Part 1 Section 18.17.7.336, USDOLLAR</w:t>
        </w:r>
        <w:r>
          <w:rPr>
            <w:noProof/>
            <w:webHidden/>
          </w:rPr>
          <w:tab/>
        </w:r>
        <w:r>
          <w:rPr>
            <w:noProof/>
            <w:webHidden/>
          </w:rPr>
          <w:fldChar w:fldCharType="begin"/>
        </w:r>
        <w:r>
          <w:rPr>
            <w:noProof/>
            <w:webHidden/>
          </w:rPr>
          <w:instrText xml:space="preserve"> PAGEREF _Toc69878842 \h </w:instrText>
        </w:r>
        <w:r>
          <w:rPr>
            <w:noProof/>
            <w:webHidden/>
          </w:rPr>
        </w:r>
        <w:r>
          <w:rPr>
            <w:noProof/>
            <w:webHidden/>
          </w:rPr>
          <w:fldChar w:fldCharType="separate"/>
        </w:r>
        <w:r>
          <w:rPr>
            <w:noProof/>
            <w:webHidden/>
          </w:rPr>
          <w:t>452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43" w:history="1">
        <w:r w:rsidRPr="00CC53E5">
          <w:rPr>
            <w:rStyle w:val="Hyperlink"/>
            <w:noProof/>
          </w:rPr>
          <w:t>2.1.1060</w:t>
        </w:r>
        <w:r>
          <w:rPr>
            <w:rFonts w:asciiTheme="minorHAnsi" w:eastAsiaTheme="minorEastAsia" w:hAnsiTheme="minorHAnsi" w:cstheme="minorBidi"/>
            <w:noProof/>
            <w:sz w:val="22"/>
            <w:szCs w:val="22"/>
          </w:rPr>
          <w:tab/>
        </w:r>
        <w:r w:rsidRPr="00CC53E5">
          <w:rPr>
            <w:rStyle w:val="Hyperlink"/>
            <w:noProof/>
          </w:rPr>
          <w:t>Part 1 Section 18.17.7.337, VALUE</w:t>
        </w:r>
        <w:r>
          <w:rPr>
            <w:noProof/>
            <w:webHidden/>
          </w:rPr>
          <w:tab/>
        </w:r>
        <w:r>
          <w:rPr>
            <w:noProof/>
            <w:webHidden/>
          </w:rPr>
          <w:fldChar w:fldCharType="begin"/>
        </w:r>
        <w:r>
          <w:rPr>
            <w:noProof/>
            <w:webHidden/>
          </w:rPr>
          <w:instrText xml:space="preserve"> PAGEREF _Toc69878843 \h </w:instrText>
        </w:r>
        <w:r>
          <w:rPr>
            <w:noProof/>
            <w:webHidden/>
          </w:rPr>
        </w:r>
        <w:r>
          <w:rPr>
            <w:noProof/>
            <w:webHidden/>
          </w:rPr>
          <w:fldChar w:fldCharType="separate"/>
        </w:r>
        <w:r>
          <w:rPr>
            <w:noProof/>
            <w:webHidden/>
          </w:rPr>
          <w:t>453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44" w:history="1">
        <w:r w:rsidRPr="00CC53E5">
          <w:rPr>
            <w:rStyle w:val="Hyperlink"/>
            <w:noProof/>
          </w:rPr>
          <w:t>2.1.1061</w:t>
        </w:r>
        <w:r>
          <w:rPr>
            <w:rFonts w:asciiTheme="minorHAnsi" w:eastAsiaTheme="minorEastAsia" w:hAnsiTheme="minorHAnsi" w:cstheme="minorBidi"/>
            <w:noProof/>
            <w:sz w:val="22"/>
            <w:szCs w:val="22"/>
          </w:rPr>
          <w:tab/>
        </w:r>
        <w:r w:rsidRPr="00CC53E5">
          <w:rPr>
            <w:rStyle w:val="Hyperlink"/>
            <w:noProof/>
          </w:rPr>
          <w:t>Part 1 Section 18.17.7.338, VAR</w:t>
        </w:r>
        <w:r>
          <w:rPr>
            <w:noProof/>
            <w:webHidden/>
          </w:rPr>
          <w:tab/>
        </w:r>
        <w:r>
          <w:rPr>
            <w:noProof/>
            <w:webHidden/>
          </w:rPr>
          <w:fldChar w:fldCharType="begin"/>
        </w:r>
        <w:r>
          <w:rPr>
            <w:noProof/>
            <w:webHidden/>
          </w:rPr>
          <w:instrText xml:space="preserve"> PAGEREF _Toc69878844 \h </w:instrText>
        </w:r>
        <w:r>
          <w:rPr>
            <w:noProof/>
            <w:webHidden/>
          </w:rPr>
        </w:r>
        <w:r>
          <w:rPr>
            <w:noProof/>
            <w:webHidden/>
          </w:rPr>
          <w:fldChar w:fldCharType="separate"/>
        </w:r>
        <w:r>
          <w:rPr>
            <w:noProof/>
            <w:webHidden/>
          </w:rPr>
          <w:t>453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45" w:history="1">
        <w:r w:rsidRPr="00CC53E5">
          <w:rPr>
            <w:rStyle w:val="Hyperlink"/>
            <w:noProof/>
          </w:rPr>
          <w:t>2.1.1062</w:t>
        </w:r>
        <w:r>
          <w:rPr>
            <w:rFonts w:asciiTheme="minorHAnsi" w:eastAsiaTheme="minorEastAsia" w:hAnsiTheme="minorHAnsi" w:cstheme="minorBidi"/>
            <w:noProof/>
            <w:sz w:val="22"/>
            <w:szCs w:val="22"/>
          </w:rPr>
          <w:tab/>
        </w:r>
        <w:r w:rsidRPr="00CC53E5">
          <w:rPr>
            <w:rStyle w:val="Hyperlink"/>
            <w:noProof/>
          </w:rPr>
          <w:t>Part 1 Section 18.17.7.339, VARA</w:t>
        </w:r>
        <w:r>
          <w:rPr>
            <w:noProof/>
            <w:webHidden/>
          </w:rPr>
          <w:tab/>
        </w:r>
        <w:r>
          <w:rPr>
            <w:noProof/>
            <w:webHidden/>
          </w:rPr>
          <w:fldChar w:fldCharType="begin"/>
        </w:r>
        <w:r>
          <w:rPr>
            <w:noProof/>
            <w:webHidden/>
          </w:rPr>
          <w:instrText xml:space="preserve"> PAGEREF _Toc69878845 \h </w:instrText>
        </w:r>
        <w:r>
          <w:rPr>
            <w:noProof/>
            <w:webHidden/>
          </w:rPr>
        </w:r>
        <w:r>
          <w:rPr>
            <w:noProof/>
            <w:webHidden/>
          </w:rPr>
          <w:fldChar w:fldCharType="separate"/>
        </w:r>
        <w:r>
          <w:rPr>
            <w:noProof/>
            <w:webHidden/>
          </w:rPr>
          <w:t>453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46" w:history="1">
        <w:r w:rsidRPr="00CC53E5">
          <w:rPr>
            <w:rStyle w:val="Hyperlink"/>
            <w:noProof/>
          </w:rPr>
          <w:t>2.1.1063</w:t>
        </w:r>
        <w:r>
          <w:rPr>
            <w:rFonts w:asciiTheme="minorHAnsi" w:eastAsiaTheme="minorEastAsia" w:hAnsiTheme="minorHAnsi" w:cstheme="minorBidi"/>
            <w:noProof/>
            <w:sz w:val="22"/>
            <w:szCs w:val="22"/>
          </w:rPr>
          <w:tab/>
        </w:r>
        <w:r w:rsidRPr="00CC53E5">
          <w:rPr>
            <w:rStyle w:val="Hyperlink"/>
            <w:noProof/>
          </w:rPr>
          <w:t>Part 1 Section 18.17.7.340, VARP</w:t>
        </w:r>
        <w:r>
          <w:rPr>
            <w:noProof/>
            <w:webHidden/>
          </w:rPr>
          <w:tab/>
        </w:r>
        <w:r>
          <w:rPr>
            <w:noProof/>
            <w:webHidden/>
          </w:rPr>
          <w:fldChar w:fldCharType="begin"/>
        </w:r>
        <w:r>
          <w:rPr>
            <w:noProof/>
            <w:webHidden/>
          </w:rPr>
          <w:instrText xml:space="preserve"> PAGEREF _Toc69878846 \h </w:instrText>
        </w:r>
        <w:r>
          <w:rPr>
            <w:noProof/>
            <w:webHidden/>
          </w:rPr>
        </w:r>
        <w:r>
          <w:rPr>
            <w:noProof/>
            <w:webHidden/>
          </w:rPr>
          <w:fldChar w:fldCharType="separate"/>
        </w:r>
        <w:r>
          <w:rPr>
            <w:noProof/>
            <w:webHidden/>
          </w:rPr>
          <w:t>453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47" w:history="1">
        <w:r w:rsidRPr="00CC53E5">
          <w:rPr>
            <w:rStyle w:val="Hyperlink"/>
            <w:noProof/>
          </w:rPr>
          <w:t>2.1.1064</w:t>
        </w:r>
        <w:r>
          <w:rPr>
            <w:rFonts w:asciiTheme="minorHAnsi" w:eastAsiaTheme="minorEastAsia" w:hAnsiTheme="minorHAnsi" w:cstheme="minorBidi"/>
            <w:noProof/>
            <w:sz w:val="22"/>
            <w:szCs w:val="22"/>
          </w:rPr>
          <w:tab/>
        </w:r>
        <w:r w:rsidRPr="00CC53E5">
          <w:rPr>
            <w:rStyle w:val="Hyperlink"/>
            <w:noProof/>
          </w:rPr>
          <w:t>Part 1 Section 18.17.7.341, VARPA</w:t>
        </w:r>
        <w:r>
          <w:rPr>
            <w:noProof/>
            <w:webHidden/>
          </w:rPr>
          <w:tab/>
        </w:r>
        <w:r>
          <w:rPr>
            <w:noProof/>
            <w:webHidden/>
          </w:rPr>
          <w:fldChar w:fldCharType="begin"/>
        </w:r>
        <w:r>
          <w:rPr>
            <w:noProof/>
            <w:webHidden/>
          </w:rPr>
          <w:instrText xml:space="preserve"> PAGEREF _Toc69878847 \h </w:instrText>
        </w:r>
        <w:r>
          <w:rPr>
            <w:noProof/>
            <w:webHidden/>
          </w:rPr>
        </w:r>
        <w:r>
          <w:rPr>
            <w:noProof/>
            <w:webHidden/>
          </w:rPr>
          <w:fldChar w:fldCharType="separate"/>
        </w:r>
        <w:r>
          <w:rPr>
            <w:noProof/>
            <w:webHidden/>
          </w:rPr>
          <w:t>453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48" w:history="1">
        <w:r w:rsidRPr="00CC53E5">
          <w:rPr>
            <w:rStyle w:val="Hyperlink"/>
            <w:noProof/>
          </w:rPr>
          <w:t>2.1.1065</w:t>
        </w:r>
        <w:r>
          <w:rPr>
            <w:rFonts w:asciiTheme="minorHAnsi" w:eastAsiaTheme="minorEastAsia" w:hAnsiTheme="minorHAnsi" w:cstheme="minorBidi"/>
            <w:noProof/>
            <w:sz w:val="22"/>
            <w:szCs w:val="22"/>
          </w:rPr>
          <w:tab/>
        </w:r>
        <w:r w:rsidRPr="00CC53E5">
          <w:rPr>
            <w:rStyle w:val="Hyperlink"/>
            <w:noProof/>
          </w:rPr>
          <w:t>Part 1 Section 18.17.7.342, VDB</w:t>
        </w:r>
        <w:r>
          <w:rPr>
            <w:noProof/>
            <w:webHidden/>
          </w:rPr>
          <w:tab/>
        </w:r>
        <w:r>
          <w:rPr>
            <w:noProof/>
            <w:webHidden/>
          </w:rPr>
          <w:fldChar w:fldCharType="begin"/>
        </w:r>
        <w:r>
          <w:rPr>
            <w:noProof/>
            <w:webHidden/>
          </w:rPr>
          <w:instrText xml:space="preserve"> PAGEREF _Toc69878848 \h </w:instrText>
        </w:r>
        <w:r>
          <w:rPr>
            <w:noProof/>
            <w:webHidden/>
          </w:rPr>
        </w:r>
        <w:r>
          <w:rPr>
            <w:noProof/>
            <w:webHidden/>
          </w:rPr>
          <w:fldChar w:fldCharType="separate"/>
        </w:r>
        <w:r>
          <w:rPr>
            <w:noProof/>
            <w:webHidden/>
          </w:rPr>
          <w:t>454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49" w:history="1">
        <w:r w:rsidRPr="00CC53E5">
          <w:rPr>
            <w:rStyle w:val="Hyperlink"/>
            <w:noProof/>
          </w:rPr>
          <w:t>2.1.1066</w:t>
        </w:r>
        <w:r>
          <w:rPr>
            <w:rFonts w:asciiTheme="minorHAnsi" w:eastAsiaTheme="minorEastAsia" w:hAnsiTheme="minorHAnsi" w:cstheme="minorBidi"/>
            <w:noProof/>
            <w:sz w:val="22"/>
            <w:szCs w:val="22"/>
          </w:rPr>
          <w:tab/>
        </w:r>
        <w:r w:rsidRPr="00CC53E5">
          <w:rPr>
            <w:rStyle w:val="Hyperlink"/>
            <w:noProof/>
          </w:rPr>
          <w:t>Part 1 Section 18.17.7.343, VLOOKUP</w:t>
        </w:r>
        <w:r>
          <w:rPr>
            <w:noProof/>
            <w:webHidden/>
          </w:rPr>
          <w:tab/>
        </w:r>
        <w:r>
          <w:rPr>
            <w:noProof/>
            <w:webHidden/>
          </w:rPr>
          <w:fldChar w:fldCharType="begin"/>
        </w:r>
        <w:r>
          <w:rPr>
            <w:noProof/>
            <w:webHidden/>
          </w:rPr>
          <w:instrText xml:space="preserve"> PAGEREF _Toc69878849 \h </w:instrText>
        </w:r>
        <w:r>
          <w:rPr>
            <w:noProof/>
            <w:webHidden/>
          </w:rPr>
        </w:r>
        <w:r>
          <w:rPr>
            <w:noProof/>
            <w:webHidden/>
          </w:rPr>
          <w:fldChar w:fldCharType="separate"/>
        </w:r>
        <w:r>
          <w:rPr>
            <w:noProof/>
            <w:webHidden/>
          </w:rPr>
          <w:t>454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50" w:history="1">
        <w:r w:rsidRPr="00CC53E5">
          <w:rPr>
            <w:rStyle w:val="Hyperlink"/>
            <w:noProof/>
          </w:rPr>
          <w:t>2.1.1067</w:t>
        </w:r>
        <w:r>
          <w:rPr>
            <w:rFonts w:asciiTheme="minorHAnsi" w:eastAsiaTheme="minorEastAsia" w:hAnsiTheme="minorHAnsi" w:cstheme="minorBidi"/>
            <w:noProof/>
            <w:sz w:val="22"/>
            <w:szCs w:val="22"/>
          </w:rPr>
          <w:tab/>
        </w:r>
        <w:r w:rsidRPr="00CC53E5">
          <w:rPr>
            <w:rStyle w:val="Hyperlink"/>
            <w:noProof/>
          </w:rPr>
          <w:t>Part 1 Section 18.17.7.346, WEIBULL</w:t>
        </w:r>
        <w:r>
          <w:rPr>
            <w:noProof/>
            <w:webHidden/>
          </w:rPr>
          <w:tab/>
        </w:r>
        <w:r>
          <w:rPr>
            <w:noProof/>
            <w:webHidden/>
          </w:rPr>
          <w:fldChar w:fldCharType="begin"/>
        </w:r>
        <w:r>
          <w:rPr>
            <w:noProof/>
            <w:webHidden/>
          </w:rPr>
          <w:instrText xml:space="preserve"> PAGEREF _Toc69878850 \h </w:instrText>
        </w:r>
        <w:r>
          <w:rPr>
            <w:noProof/>
            <w:webHidden/>
          </w:rPr>
        </w:r>
        <w:r>
          <w:rPr>
            <w:noProof/>
            <w:webHidden/>
          </w:rPr>
          <w:fldChar w:fldCharType="separate"/>
        </w:r>
        <w:r>
          <w:rPr>
            <w:noProof/>
            <w:webHidden/>
          </w:rPr>
          <w:t>454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51" w:history="1">
        <w:r w:rsidRPr="00CC53E5">
          <w:rPr>
            <w:rStyle w:val="Hyperlink"/>
            <w:noProof/>
          </w:rPr>
          <w:t>2.1.1068</w:t>
        </w:r>
        <w:r>
          <w:rPr>
            <w:rFonts w:asciiTheme="minorHAnsi" w:eastAsiaTheme="minorEastAsia" w:hAnsiTheme="minorHAnsi" w:cstheme="minorBidi"/>
            <w:noProof/>
            <w:sz w:val="22"/>
            <w:szCs w:val="22"/>
          </w:rPr>
          <w:tab/>
        </w:r>
        <w:r w:rsidRPr="00CC53E5">
          <w:rPr>
            <w:rStyle w:val="Hyperlink"/>
            <w:noProof/>
          </w:rPr>
          <w:t>Part 1 Section 18.17.7.347, WORKDAY</w:t>
        </w:r>
        <w:r>
          <w:rPr>
            <w:noProof/>
            <w:webHidden/>
          </w:rPr>
          <w:tab/>
        </w:r>
        <w:r>
          <w:rPr>
            <w:noProof/>
            <w:webHidden/>
          </w:rPr>
          <w:fldChar w:fldCharType="begin"/>
        </w:r>
        <w:r>
          <w:rPr>
            <w:noProof/>
            <w:webHidden/>
          </w:rPr>
          <w:instrText xml:space="preserve"> PAGEREF _Toc69878851 \h </w:instrText>
        </w:r>
        <w:r>
          <w:rPr>
            <w:noProof/>
            <w:webHidden/>
          </w:rPr>
        </w:r>
        <w:r>
          <w:rPr>
            <w:noProof/>
            <w:webHidden/>
          </w:rPr>
          <w:fldChar w:fldCharType="separate"/>
        </w:r>
        <w:r>
          <w:rPr>
            <w:noProof/>
            <w:webHidden/>
          </w:rPr>
          <w:t>454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52" w:history="1">
        <w:r w:rsidRPr="00CC53E5">
          <w:rPr>
            <w:rStyle w:val="Hyperlink"/>
            <w:noProof/>
          </w:rPr>
          <w:t>2.1.1069</w:t>
        </w:r>
        <w:r>
          <w:rPr>
            <w:rFonts w:asciiTheme="minorHAnsi" w:eastAsiaTheme="minorEastAsia" w:hAnsiTheme="minorHAnsi" w:cstheme="minorBidi"/>
            <w:noProof/>
            <w:sz w:val="22"/>
            <w:szCs w:val="22"/>
          </w:rPr>
          <w:tab/>
        </w:r>
        <w:r w:rsidRPr="00CC53E5">
          <w:rPr>
            <w:rStyle w:val="Hyperlink"/>
            <w:noProof/>
          </w:rPr>
          <w:t>Part 1 Section 18.17.7.349, XIRR</w:t>
        </w:r>
        <w:r>
          <w:rPr>
            <w:noProof/>
            <w:webHidden/>
          </w:rPr>
          <w:tab/>
        </w:r>
        <w:r>
          <w:rPr>
            <w:noProof/>
            <w:webHidden/>
          </w:rPr>
          <w:fldChar w:fldCharType="begin"/>
        </w:r>
        <w:r>
          <w:rPr>
            <w:noProof/>
            <w:webHidden/>
          </w:rPr>
          <w:instrText xml:space="preserve"> PAGEREF _Toc69878852 \h </w:instrText>
        </w:r>
        <w:r>
          <w:rPr>
            <w:noProof/>
            <w:webHidden/>
          </w:rPr>
        </w:r>
        <w:r>
          <w:rPr>
            <w:noProof/>
            <w:webHidden/>
          </w:rPr>
          <w:fldChar w:fldCharType="separate"/>
        </w:r>
        <w:r>
          <w:rPr>
            <w:noProof/>
            <w:webHidden/>
          </w:rPr>
          <w:t>454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53" w:history="1">
        <w:r w:rsidRPr="00CC53E5">
          <w:rPr>
            <w:rStyle w:val="Hyperlink"/>
            <w:noProof/>
          </w:rPr>
          <w:t>2.1.1070</w:t>
        </w:r>
        <w:r>
          <w:rPr>
            <w:rFonts w:asciiTheme="minorHAnsi" w:eastAsiaTheme="minorEastAsia" w:hAnsiTheme="minorHAnsi" w:cstheme="minorBidi"/>
            <w:noProof/>
            <w:sz w:val="22"/>
            <w:szCs w:val="22"/>
          </w:rPr>
          <w:tab/>
        </w:r>
        <w:r w:rsidRPr="00CC53E5">
          <w:rPr>
            <w:rStyle w:val="Hyperlink"/>
            <w:noProof/>
          </w:rPr>
          <w:t>Part 1 Section 18.17.7.350, XNPV</w:t>
        </w:r>
        <w:r>
          <w:rPr>
            <w:noProof/>
            <w:webHidden/>
          </w:rPr>
          <w:tab/>
        </w:r>
        <w:r>
          <w:rPr>
            <w:noProof/>
            <w:webHidden/>
          </w:rPr>
          <w:fldChar w:fldCharType="begin"/>
        </w:r>
        <w:r>
          <w:rPr>
            <w:noProof/>
            <w:webHidden/>
          </w:rPr>
          <w:instrText xml:space="preserve"> PAGEREF _Toc69878853 \h </w:instrText>
        </w:r>
        <w:r>
          <w:rPr>
            <w:noProof/>
            <w:webHidden/>
          </w:rPr>
        </w:r>
        <w:r>
          <w:rPr>
            <w:noProof/>
            <w:webHidden/>
          </w:rPr>
          <w:fldChar w:fldCharType="separate"/>
        </w:r>
        <w:r>
          <w:rPr>
            <w:noProof/>
            <w:webHidden/>
          </w:rPr>
          <w:t>455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54" w:history="1">
        <w:r w:rsidRPr="00CC53E5">
          <w:rPr>
            <w:rStyle w:val="Hyperlink"/>
            <w:noProof/>
          </w:rPr>
          <w:t>2.1.1071</w:t>
        </w:r>
        <w:r>
          <w:rPr>
            <w:rFonts w:asciiTheme="minorHAnsi" w:eastAsiaTheme="minorEastAsia" w:hAnsiTheme="minorHAnsi" w:cstheme="minorBidi"/>
            <w:noProof/>
            <w:sz w:val="22"/>
            <w:szCs w:val="22"/>
          </w:rPr>
          <w:tab/>
        </w:r>
        <w:r w:rsidRPr="00CC53E5">
          <w:rPr>
            <w:rStyle w:val="Hyperlink"/>
            <w:noProof/>
          </w:rPr>
          <w:t>Part 1 Section 18.17.7.352, YEARFRAC</w:t>
        </w:r>
        <w:r>
          <w:rPr>
            <w:noProof/>
            <w:webHidden/>
          </w:rPr>
          <w:tab/>
        </w:r>
        <w:r>
          <w:rPr>
            <w:noProof/>
            <w:webHidden/>
          </w:rPr>
          <w:fldChar w:fldCharType="begin"/>
        </w:r>
        <w:r>
          <w:rPr>
            <w:noProof/>
            <w:webHidden/>
          </w:rPr>
          <w:instrText xml:space="preserve"> PAGEREF _Toc69878854 \h </w:instrText>
        </w:r>
        <w:r>
          <w:rPr>
            <w:noProof/>
            <w:webHidden/>
          </w:rPr>
        </w:r>
        <w:r>
          <w:rPr>
            <w:noProof/>
            <w:webHidden/>
          </w:rPr>
          <w:fldChar w:fldCharType="separate"/>
        </w:r>
        <w:r>
          <w:rPr>
            <w:noProof/>
            <w:webHidden/>
          </w:rPr>
          <w:t>455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55" w:history="1">
        <w:r w:rsidRPr="00CC53E5">
          <w:rPr>
            <w:rStyle w:val="Hyperlink"/>
            <w:noProof/>
          </w:rPr>
          <w:t>2.1.1072</w:t>
        </w:r>
        <w:r>
          <w:rPr>
            <w:rFonts w:asciiTheme="minorHAnsi" w:eastAsiaTheme="minorEastAsia" w:hAnsiTheme="minorHAnsi" w:cstheme="minorBidi"/>
            <w:noProof/>
            <w:sz w:val="22"/>
            <w:szCs w:val="22"/>
          </w:rPr>
          <w:tab/>
        </w:r>
        <w:r w:rsidRPr="00CC53E5">
          <w:rPr>
            <w:rStyle w:val="Hyperlink"/>
            <w:noProof/>
          </w:rPr>
          <w:t>Part 1 Section 18.17.7.353, YIELD</w:t>
        </w:r>
        <w:r>
          <w:rPr>
            <w:noProof/>
            <w:webHidden/>
          </w:rPr>
          <w:tab/>
        </w:r>
        <w:r>
          <w:rPr>
            <w:noProof/>
            <w:webHidden/>
          </w:rPr>
          <w:fldChar w:fldCharType="begin"/>
        </w:r>
        <w:r>
          <w:rPr>
            <w:noProof/>
            <w:webHidden/>
          </w:rPr>
          <w:instrText xml:space="preserve"> PAGEREF _Toc69878855 \h </w:instrText>
        </w:r>
        <w:r>
          <w:rPr>
            <w:noProof/>
            <w:webHidden/>
          </w:rPr>
        </w:r>
        <w:r>
          <w:rPr>
            <w:noProof/>
            <w:webHidden/>
          </w:rPr>
          <w:fldChar w:fldCharType="separate"/>
        </w:r>
        <w:r>
          <w:rPr>
            <w:noProof/>
            <w:webHidden/>
          </w:rPr>
          <w:t>456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56" w:history="1">
        <w:r w:rsidRPr="00CC53E5">
          <w:rPr>
            <w:rStyle w:val="Hyperlink"/>
            <w:noProof/>
          </w:rPr>
          <w:t>2.1.1073</w:t>
        </w:r>
        <w:r>
          <w:rPr>
            <w:rFonts w:asciiTheme="minorHAnsi" w:eastAsiaTheme="minorEastAsia" w:hAnsiTheme="minorHAnsi" w:cstheme="minorBidi"/>
            <w:noProof/>
            <w:sz w:val="22"/>
            <w:szCs w:val="22"/>
          </w:rPr>
          <w:tab/>
        </w:r>
        <w:r w:rsidRPr="00CC53E5">
          <w:rPr>
            <w:rStyle w:val="Hyperlink"/>
            <w:noProof/>
          </w:rPr>
          <w:t>Part 1 Section 18.17.7.354, YIELDDISC</w:t>
        </w:r>
        <w:r>
          <w:rPr>
            <w:noProof/>
            <w:webHidden/>
          </w:rPr>
          <w:tab/>
        </w:r>
        <w:r>
          <w:rPr>
            <w:noProof/>
            <w:webHidden/>
          </w:rPr>
          <w:fldChar w:fldCharType="begin"/>
        </w:r>
        <w:r>
          <w:rPr>
            <w:noProof/>
            <w:webHidden/>
          </w:rPr>
          <w:instrText xml:space="preserve"> PAGEREF _Toc69878856 \h </w:instrText>
        </w:r>
        <w:r>
          <w:rPr>
            <w:noProof/>
            <w:webHidden/>
          </w:rPr>
        </w:r>
        <w:r>
          <w:rPr>
            <w:noProof/>
            <w:webHidden/>
          </w:rPr>
          <w:fldChar w:fldCharType="separate"/>
        </w:r>
        <w:r>
          <w:rPr>
            <w:noProof/>
            <w:webHidden/>
          </w:rPr>
          <w:t>456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57" w:history="1">
        <w:r w:rsidRPr="00CC53E5">
          <w:rPr>
            <w:rStyle w:val="Hyperlink"/>
            <w:noProof/>
          </w:rPr>
          <w:t>2.1.1074</w:t>
        </w:r>
        <w:r>
          <w:rPr>
            <w:rFonts w:asciiTheme="minorHAnsi" w:eastAsiaTheme="minorEastAsia" w:hAnsiTheme="minorHAnsi" w:cstheme="minorBidi"/>
            <w:noProof/>
            <w:sz w:val="22"/>
            <w:szCs w:val="22"/>
          </w:rPr>
          <w:tab/>
        </w:r>
        <w:r w:rsidRPr="00CC53E5">
          <w:rPr>
            <w:rStyle w:val="Hyperlink"/>
            <w:noProof/>
          </w:rPr>
          <w:t>Part 1 Section 18.17.7.355, YIELDMAT</w:t>
        </w:r>
        <w:r>
          <w:rPr>
            <w:noProof/>
            <w:webHidden/>
          </w:rPr>
          <w:tab/>
        </w:r>
        <w:r>
          <w:rPr>
            <w:noProof/>
            <w:webHidden/>
          </w:rPr>
          <w:fldChar w:fldCharType="begin"/>
        </w:r>
        <w:r>
          <w:rPr>
            <w:noProof/>
            <w:webHidden/>
          </w:rPr>
          <w:instrText xml:space="preserve"> PAGEREF _Toc69878857 \h </w:instrText>
        </w:r>
        <w:r>
          <w:rPr>
            <w:noProof/>
            <w:webHidden/>
          </w:rPr>
        </w:r>
        <w:r>
          <w:rPr>
            <w:noProof/>
            <w:webHidden/>
          </w:rPr>
          <w:fldChar w:fldCharType="separate"/>
        </w:r>
        <w:r>
          <w:rPr>
            <w:noProof/>
            <w:webHidden/>
          </w:rPr>
          <w:t>457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58" w:history="1">
        <w:r w:rsidRPr="00CC53E5">
          <w:rPr>
            <w:rStyle w:val="Hyperlink"/>
            <w:noProof/>
          </w:rPr>
          <w:t>2.1.1075</w:t>
        </w:r>
        <w:r>
          <w:rPr>
            <w:rFonts w:asciiTheme="minorHAnsi" w:eastAsiaTheme="minorEastAsia" w:hAnsiTheme="minorHAnsi" w:cstheme="minorBidi"/>
            <w:noProof/>
            <w:sz w:val="22"/>
            <w:szCs w:val="22"/>
          </w:rPr>
          <w:tab/>
        </w:r>
        <w:r w:rsidRPr="00CC53E5">
          <w:rPr>
            <w:rStyle w:val="Hyperlink"/>
            <w:noProof/>
          </w:rPr>
          <w:t>Part 1 Section 18.17.7.356, ZTEST</w:t>
        </w:r>
        <w:r>
          <w:rPr>
            <w:noProof/>
            <w:webHidden/>
          </w:rPr>
          <w:tab/>
        </w:r>
        <w:r>
          <w:rPr>
            <w:noProof/>
            <w:webHidden/>
          </w:rPr>
          <w:fldChar w:fldCharType="begin"/>
        </w:r>
        <w:r>
          <w:rPr>
            <w:noProof/>
            <w:webHidden/>
          </w:rPr>
          <w:instrText xml:space="preserve"> PAGEREF _Toc69878858 \h </w:instrText>
        </w:r>
        <w:r>
          <w:rPr>
            <w:noProof/>
            <w:webHidden/>
          </w:rPr>
        </w:r>
        <w:r>
          <w:rPr>
            <w:noProof/>
            <w:webHidden/>
          </w:rPr>
          <w:fldChar w:fldCharType="separate"/>
        </w:r>
        <w:r>
          <w:rPr>
            <w:noProof/>
            <w:webHidden/>
          </w:rPr>
          <w:t>458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59" w:history="1">
        <w:r w:rsidRPr="00CC53E5">
          <w:rPr>
            <w:rStyle w:val="Hyperlink"/>
            <w:noProof/>
          </w:rPr>
          <w:t>2.1.1076</w:t>
        </w:r>
        <w:r>
          <w:rPr>
            <w:rFonts w:asciiTheme="minorHAnsi" w:eastAsiaTheme="minorEastAsia" w:hAnsiTheme="minorHAnsi" w:cstheme="minorBidi"/>
            <w:noProof/>
            <w:sz w:val="22"/>
            <w:szCs w:val="22"/>
          </w:rPr>
          <w:tab/>
        </w:r>
        <w:r w:rsidRPr="00CC53E5">
          <w:rPr>
            <w:rStyle w:val="Hyperlink"/>
            <w:noProof/>
          </w:rPr>
          <w:t>Part 1 Section 18.18.2, ST_BorderId (Border Id)</w:t>
        </w:r>
        <w:r>
          <w:rPr>
            <w:noProof/>
            <w:webHidden/>
          </w:rPr>
          <w:tab/>
        </w:r>
        <w:r>
          <w:rPr>
            <w:noProof/>
            <w:webHidden/>
          </w:rPr>
          <w:fldChar w:fldCharType="begin"/>
        </w:r>
        <w:r>
          <w:rPr>
            <w:noProof/>
            <w:webHidden/>
          </w:rPr>
          <w:instrText xml:space="preserve"> PAGEREF _Toc69878859 \h </w:instrText>
        </w:r>
        <w:r>
          <w:rPr>
            <w:noProof/>
            <w:webHidden/>
          </w:rPr>
        </w:r>
        <w:r>
          <w:rPr>
            <w:noProof/>
            <w:webHidden/>
          </w:rPr>
          <w:fldChar w:fldCharType="separate"/>
        </w:r>
        <w:r>
          <w:rPr>
            <w:noProof/>
            <w:webHidden/>
          </w:rPr>
          <w:t>458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60" w:history="1">
        <w:r w:rsidRPr="00CC53E5">
          <w:rPr>
            <w:rStyle w:val="Hyperlink"/>
            <w:noProof/>
          </w:rPr>
          <w:t>2.1.1077</w:t>
        </w:r>
        <w:r>
          <w:rPr>
            <w:rFonts w:asciiTheme="minorHAnsi" w:eastAsiaTheme="minorEastAsia" w:hAnsiTheme="minorHAnsi" w:cstheme="minorBidi"/>
            <w:noProof/>
            <w:sz w:val="22"/>
            <w:szCs w:val="22"/>
          </w:rPr>
          <w:tab/>
        </w:r>
        <w:r w:rsidRPr="00CC53E5">
          <w:rPr>
            <w:rStyle w:val="Hyperlink"/>
            <w:noProof/>
          </w:rPr>
          <w:t>Part 1 Section 18.18.6, ST_CellFormulaType (Formula Type)</w:t>
        </w:r>
        <w:r>
          <w:rPr>
            <w:noProof/>
            <w:webHidden/>
          </w:rPr>
          <w:tab/>
        </w:r>
        <w:r>
          <w:rPr>
            <w:noProof/>
            <w:webHidden/>
          </w:rPr>
          <w:fldChar w:fldCharType="begin"/>
        </w:r>
        <w:r>
          <w:rPr>
            <w:noProof/>
            <w:webHidden/>
          </w:rPr>
          <w:instrText xml:space="preserve"> PAGEREF _Toc69878860 \h </w:instrText>
        </w:r>
        <w:r>
          <w:rPr>
            <w:noProof/>
            <w:webHidden/>
          </w:rPr>
        </w:r>
        <w:r>
          <w:rPr>
            <w:noProof/>
            <w:webHidden/>
          </w:rPr>
          <w:fldChar w:fldCharType="separate"/>
        </w:r>
        <w:r>
          <w:rPr>
            <w:noProof/>
            <w:webHidden/>
          </w:rPr>
          <w:t>458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61" w:history="1">
        <w:r w:rsidRPr="00CC53E5">
          <w:rPr>
            <w:rStyle w:val="Hyperlink"/>
            <w:noProof/>
          </w:rPr>
          <w:t>2.1.1078</w:t>
        </w:r>
        <w:r>
          <w:rPr>
            <w:rFonts w:asciiTheme="minorHAnsi" w:eastAsiaTheme="minorEastAsia" w:hAnsiTheme="minorHAnsi" w:cstheme="minorBidi"/>
            <w:noProof/>
            <w:sz w:val="22"/>
            <w:szCs w:val="22"/>
          </w:rPr>
          <w:tab/>
        </w:r>
        <w:r w:rsidRPr="00CC53E5">
          <w:rPr>
            <w:rStyle w:val="Hyperlink"/>
            <w:noProof/>
          </w:rPr>
          <w:t>Part 1 Section 18.18.7, ST_CellRef (Cell Reference)</w:t>
        </w:r>
        <w:r>
          <w:rPr>
            <w:noProof/>
            <w:webHidden/>
          </w:rPr>
          <w:tab/>
        </w:r>
        <w:r>
          <w:rPr>
            <w:noProof/>
            <w:webHidden/>
          </w:rPr>
          <w:fldChar w:fldCharType="begin"/>
        </w:r>
        <w:r>
          <w:rPr>
            <w:noProof/>
            <w:webHidden/>
          </w:rPr>
          <w:instrText xml:space="preserve"> PAGEREF _Toc69878861 \h </w:instrText>
        </w:r>
        <w:r>
          <w:rPr>
            <w:noProof/>
            <w:webHidden/>
          </w:rPr>
        </w:r>
        <w:r>
          <w:rPr>
            <w:noProof/>
            <w:webHidden/>
          </w:rPr>
          <w:fldChar w:fldCharType="separate"/>
        </w:r>
        <w:r>
          <w:rPr>
            <w:noProof/>
            <w:webHidden/>
          </w:rPr>
          <w:t>458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62" w:history="1">
        <w:r w:rsidRPr="00CC53E5">
          <w:rPr>
            <w:rStyle w:val="Hyperlink"/>
            <w:noProof/>
          </w:rPr>
          <w:t>2.1.1079</w:t>
        </w:r>
        <w:r>
          <w:rPr>
            <w:rFonts w:asciiTheme="minorHAnsi" w:eastAsiaTheme="minorEastAsia" w:hAnsiTheme="minorHAnsi" w:cstheme="minorBidi"/>
            <w:noProof/>
            <w:sz w:val="22"/>
            <w:szCs w:val="22"/>
          </w:rPr>
          <w:tab/>
        </w:r>
        <w:r w:rsidRPr="00CC53E5">
          <w:rPr>
            <w:rStyle w:val="Hyperlink"/>
            <w:noProof/>
          </w:rPr>
          <w:t>Part 1 Section 18.18.8, ST_CellSpan (Cell Span Type)</w:t>
        </w:r>
        <w:r>
          <w:rPr>
            <w:noProof/>
            <w:webHidden/>
          </w:rPr>
          <w:tab/>
        </w:r>
        <w:r>
          <w:rPr>
            <w:noProof/>
            <w:webHidden/>
          </w:rPr>
          <w:fldChar w:fldCharType="begin"/>
        </w:r>
        <w:r>
          <w:rPr>
            <w:noProof/>
            <w:webHidden/>
          </w:rPr>
          <w:instrText xml:space="preserve"> PAGEREF _Toc69878862 \h </w:instrText>
        </w:r>
        <w:r>
          <w:rPr>
            <w:noProof/>
            <w:webHidden/>
          </w:rPr>
        </w:r>
        <w:r>
          <w:rPr>
            <w:noProof/>
            <w:webHidden/>
          </w:rPr>
          <w:fldChar w:fldCharType="separate"/>
        </w:r>
        <w:r>
          <w:rPr>
            <w:noProof/>
            <w:webHidden/>
          </w:rPr>
          <w:t>459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63" w:history="1">
        <w:r w:rsidRPr="00CC53E5">
          <w:rPr>
            <w:rStyle w:val="Hyperlink"/>
            <w:noProof/>
          </w:rPr>
          <w:t>2.1.1080</w:t>
        </w:r>
        <w:r>
          <w:rPr>
            <w:rFonts w:asciiTheme="minorHAnsi" w:eastAsiaTheme="minorEastAsia" w:hAnsiTheme="minorHAnsi" w:cstheme="minorBidi"/>
            <w:noProof/>
            <w:sz w:val="22"/>
            <w:szCs w:val="22"/>
          </w:rPr>
          <w:tab/>
        </w:r>
        <w:r w:rsidRPr="00CC53E5">
          <w:rPr>
            <w:rStyle w:val="Hyperlink"/>
            <w:noProof/>
          </w:rPr>
          <w:t>Part 1 Section 18.18.16, ST_CredMethod (Credentials Method)</w:t>
        </w:r>
        <w:r>
          <w:rPr>
            <w:noProof/>
            <w:webHidden/>
          </w:rPr>
          <w:tab/>
        </w:r>
        <w:r>
          <w:rPr>
            <w:noProof/>
            <w:webHidden/>
          </w:rPr>
          <w:fldChar w:fldCharType="begin"/>
        </w:r>
        <w:r>
          <w:rPr>
            <w:noProof/>
            <w:webHidden/>
          </w:rPr>
          <w:instrText xml:space="preserve"> PAGEREF _Toc69878863 \h </w:instrText>
        </w:r>
        <w:r>
          <w:rPr>
            <w:noProof/>
            <w:webHidden/>
          </w:rPr>
        </w:r>
        <w:r>
          <w:rPr>
            <w:noProof/>
            <w:webHidden/>
          </w:rPr>
          <w:fldChar w:fldCharType="separate"/>
        </w:r>
        <w:r>
          <w:rPr>
            <w:noProof/>
            <w:webHidden/>
          </w:rPr>
          <w:t>459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64" w:history="1">
        <w:r w:rsidRPr="00CC53E5">
          <w:rPr>
            <w:rStyle w:val="Hyperlink"/>
            <w:noProof/>
          </w:rPr>
          <w:t>2.1.1081</w:t>
        </w:r>
        <w:r>
          <w:rPr>
            <w:rFonts w:asciiTheme="minorHAnsi" w:eastAsiaTheme="minorEastAsia" w:hAnsiTheme="minorHAnsi" w:cstheme="minorBidi"/>
            <w:noProof/>
            <w:sz w:val="22"/>
            <w:szCs w:val="22"/>
          </w:rPr>
          <w:tab/>
        </w:r>
        <w:r w:rsidRPr="00CC53E5">
          <w:rPr>
            <w:rStyle w:val="Hyperlink"/>
            <w:noProof/>
          </w:rPr>
          <w:t>Part 1 Section 18.18.25, ST_DxfId (Format Id)</w:t>
        </w:r>
        <w:r>
          <w:rPr>
            <w:noProof/>
            <w:webHidden/>
          </w:rPr>
          <w:tab/>
        </w:r>
        <w:r>
          <w:rPr>
            <w:noProof/>
            <w:webHidden/>
          </w:rPr>
          <w:fldChar w:fldCharType="begin"/>
        </w:r>
        <w:r>
          <w:rPr>
            <w:noProof/>
            <w:webHidden/>
          </w:rPr>
          <w:instrText xml:space="preserve"> PAGEREF _Toc69878864 \h </w:instrText>
        </w:r>
        <w:r>
          <w:rPr>
            <w:noProof/>
            <w:webHidden/>
          </w:rPr>
        </w:r>
        <w:r>
          <w:rPr>
            <w:noProof/>
            <w:webHidden/>
          </w:rPr>
          <w:fldChar w:fldCharType="separate"/>
        </w:r>
        <w:r>
          <w:rPr>
            <w:noProof/>
            <w:webHidden/>
          </w:rPr>
          <w:t>460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65" w:history="1">
        <w:r w:rsidRPr="00CC53E5">
          <w:rPr>
            <w:rStyle w:val="Hyperlink"/>
            <w:noProof/>
          </w:rPr>
          <w:t>2.1.1082</w:t>
        </w:r>
        <w:r>
          <w:rPr>
            <w:rFonts w:asciiTheme="minorHAnsi" w:eastAsiaTheme="minorEastAsia" w:hAnsiTheme="minorHAnsi" w:cstheme="minorBidi"/>
            <w:noProof/>
            <w:sz w:val="22"/>
            <w:szCs w:val="22"/>
          </w:rPr>
          <w:tab/>
        </w:r>
        <w:r w:rsidRPr="00CC53E5">
          <w:rPr>
            <w:rStyle w:val="Hyperlink"/>
            <w:noProof/>
          </w:rPr>
          <w:t>Part 1 Section 18.18.29, ST_FileType (File Type)</w:t>
        </w:r>
        <w:r>
          <w:rPr>
            <w:noProof/>
            <w:webHidden/>
          </w:rPr>
          <w:tab/>
        </w:r>
        <w:r>
          <w:rPr>
            <w:noProof/>
            <w:webHidden/>
          </w:rPr>
          <w:fldChar w:fldCharType="begin"/>
        </w:r>
        <w:r>
          <w:rPr>
            <w:noProof/>
            <w:webHidden/>
          </w:rPr>
          <w:instrText xml:space="preserve"> PAGEREF _Toc69878865 \h </w:instrText>
        </w:r>
        <w:r>
          <w:rPr>
            <w:noProof/>
            <w:webHidden/>
          </w:rPr>
        </w:r>
        <w:r>
          <w:rPr>
            <w:noProof/>
            <w:webHidden/>
          </w:rPr>
          <w:fldChar w:fldCharType="separate"/>
        </w:r>
        <w:r>
          <w:rPr>
            <w:noProof/>
            <w:webHidden/>
          </w:rPr>
          <w:t>460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66" w:history="1">
        <w:r w:rsidRPr="00CC53E5">
          <w:rPr>
            <w:rStyle w:val="Hyperlink"/>
            <w:noProof/>
          </w:rPr>
          <w:t>2.1.1083</w:t>
        </w:r>
        <w:r>
          <w:rPr>
            <w:rFonts w:asciiTheme="minorHAnsi" w:eastAsiaTheme="minorEastAsia" w:hAnsiTheme="minorHAnsi" w:cstheme="minorBidi"/>
            <w:noProof/>
            <w:sz w:val="22"/>
            <w:szCs w:val="22"/>
          </w:rPr>
          <w:tab/>
        </w:r>
        <w:r w:rsidRPr="00CC53E5">
          <w:rPr>
            <w:rStyle w:val="Hyperlink"/>
            <w:noProof/>
          </w:rPr>
          <w:t>Part 1 Section 18.18.30, ST_FillId (Fill Id)</w:t>
        </w:r>
        <w:r>
          <w:rPr>
            <w:noProof/>
            <w:webHidden/>
          </w:rPr>
          <w:tab/>
        </w:r>
        <w:r>
          <w:rPr>
            <w:noProof/>
            <w:webHidden/>
          </w:rPr>
          <w:fldChar w:fldCharType="begin"/>
        </w:r>
        <w:r>
          <w:rPr>
            <w:noProof/>
            <w:webHidden/>
          </w:rPr>
          <w:instrText xml:space="preserve"> PAGEREF _Toc69878866 \h </w:instrText>
        </w:r>
        <w:r>
          <w:rPr>
            <w:noProof/>
            <w:webHidden/>
          </w:rPr>
        </w:r>
        <w:r>
          <w:rPr>
            <w:noProof/>
            <w:webHidden/>
          </w:rPr>
          <w:fldChar w:fldCharType="separate"/>
        </w:r>
        <w:r>
          <w:rPr>
            <w:noProof/>
            <w:webHidden/>
          </w:rPr>
          <w:t>460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67" w:history="1">
        <w:r w:rsidRPr="00CC53E5">
          <w:rPr>
            <w:rStyle w:val="Hyperlink"/>
            <w:noProof/>
          </w:rPr>
          <w:t>2.1.1084</w:t>
        </w:r>
        <w:r>
          <w:rPr>
            <w:rFonts w:asciiTheme="minorHAnsi" w:eastAsiaTheme="minorEastAsia" w:hAnsiTheme="minorHAnsi" w:cstheme="minorBidi"/>
            <w:noProof/>
            <w:sz w:val="22"/>
            <w:szCs w:val="22"/>
          </w:rPr>
          <w:tab/>
        </w:r>
        <w:r w:rsidRPr="00CC53E5">
          <w:rPr>
            <w:rStyle w:val="Hyperlink"/>
            <w:noProof/>
          </w:rPr>
          <w:t>Part 1 Section 18.18.35, ST_Formula (Formula)</w:t>
        </w:r>
        <w:r>
          <w:rPr>
            <w:noProof/>
            <w:webHidden/>
          </w:rPr>
          <w:tab/>
        </w:r>
        <w:r>
          <w:rPr>
            <w:noProof/>
            <w:webHidden/>
          </w:rPr>
          <w:fldChar w:fldCharType="begin"/>
        </w:r>
        <w:r>
          <w:rPr>
            <w:noProof/>
            <w:webHidden/>
          </w:rPr>
          <w:instrText xml:space="preserve"> PAGEREF _Toc69878867 \h </w:instrText>
        </w:r>
        <w:r>
          <w:rPr>
            <w:noProof/>
            <w:webHidden/>
          </w:rPr>
        </w:r>
        <w:r>
          <w:rPr>
            <w:noProof/>
            <w:webHidden/>
          </w:rPr>
          <w:fldChar w:fldCharType="separate"/>
        </w:r>
        <w:r>
          <w:rPr>
            <w:noProof/>
            <w:webHidden/>
          </w:rPr>
          <w:t>460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68" w:history="1">
        <w:r w:rsidRPr="00CC53E5">
          <w:rPr>
            <w:rStyle w:val="Hyperlink"/>
            <w:noProof/>
          </w:rPr>
          <w:t>2.1.1085</w:t>
        </w:r>
        <w:r>
          <w:rPr>
            <w:rFonts w:asciiTheme="minorHAnsi" w:eastAsiaTheme="minorEastAsia" w:hAnsiTheme="minorHAnsi" w:cstheme="minorBidi"/>
            <w:noProof/>
            <w:sz w:val="22"/>
            <w:szCs w:val="22"/>
          </w:rPr>
          <w:tab/>
        </w:r>
        <w:r w:rsidRPr="00CC53E5">
          <w:rPr>
            <w:rStyle w:val="Hyperlink"/>
            <w:noProof/>
          </w:rPr>
          <w:t>Part 1 Section 18.18.42, ST_IconSetType (Icon Set Type)</w:t>
        </w:r>
        <w:r>
          <w:rPr>
            <w:noProof/>
            <w:webHidden/>
          </w:rPr>
          <w:tab/>
        </w:r>
        <w:r>
          <w:rPr>
            <w:noProof/>
            <w:webHidden/>
          </w:rPr>
          <w:fldChar w:fldCharType="begin"/>
        </w:r>
        <w:r>
          <w:rPr>
            <w:noProof/>
            <w:webHidden/>
          </w:rPr>
          <w:instrText xml:space="preserve"> PAGEREF _Toc69878868 \h </w:instrText>
        </w:r>
        <w:r>
          <w:rPr>
            <w:noProof/>
            <w:webHidden/>
          </w:rPr>
        </w:r>
        <w:r>
          <w:rPr>
            <w:noProof/>
            <w:webHidden/>
          </w:rPr>
          <w:fldChar w:fldCharType="separate"/>
        </w:r>
        <w:r>
          <w:rPr>
            <w:noProof/>
            <w:webHidden/>
          </w:rPr>
          <w:t>460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69" w:history="1">
        <w:r w:rsidRPr="00CC53E5">
          <w:rPr>
            <w:rStyle w:val="Hyperlink"/>
            <w:noProof/>
          </w:rPr>
          <w:t>2.1.1086</w:t>
        </w:r>
        <w:r>
          <w:rPr>
            <w:rFonts w:asciiTheme="minorHAnsi" w:eastAsiaTheme="minorEastAsia" w:hAnsiTheme="minorHAnsi" w:cstheme="minorBidi"/>
            <w:noProof/>
            <w:sz w:val="22"/>
            <w:szCs w:val="22"/>
          </w:rPr>
          <w:tab/>
        </w:r>
        <w:r w:rsidRPr="00CC53E5">
          <w:rPr>
            <w:rStyle w:val="Hyperlink"/>
            <w:noProof/>
          </w:rPr>
          <w:t>Part 1 Section 18.18.47, ST_NumFmtId (Number Format Id)</w:t>
        </w:r>
        <w:r>
          <w:rPr>
            <w:noProof/>
            <w:webHidden/>
          </w:rPr>
          <w:tab/>
        </w:r>
        <w:r>
          <w:rPr>
            <w:noProof/>
            <w:webHidden/>
          </w:rPr>
          <w:fldChar w:fldCharType="begin"/>
        </w:r>
        <w:r>
          <w:rPr>
            <w:noProof/>
            <w:webHidden/>
          </w:rPr>
          <w:instrText xml:space="preserve"> PAGEREF _Toc69878869 \h </w:instrText>
        </w:r>
        <w:r>
          <w:rPr>
            <w:noProof/>
            <w:webHidden/>
          </w:rPr>
        </w:r>
        <w:r>
          <w:rPr>
            <w:noProof/>
            <w:webHidden/>
          </w:rPr>
          <w:fldChar w:fldCharType="separate"/>
        </w:r>
        <w:r>
          <w:rPr>
            <w:noProof/>
            <w:webHidden/>
          </w:rPr>
          <w:t>460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70" w:history="1">
        <w:r w:rsidRPr="00CC53E5">
          <w:rPr>
            <w:rStyle w:val="Hyperlink"/>
            <w:noProof/>
          </w:rPr>
          <w:t>2.1.1087</w:t>
        </w:r>
        <w:r>
          <w:rPr>
            <w:rFonts w:asciiTheme="minorHAnsi" w:eastAsiaTheme="minorEastAsia" w:hAnsiTheme="minorHAnsi" w:cstheme="minorBidi"/>
            <w:noProof/>
            <w:sz w:val="22"/>
            <w:szCs w:val="22"/>
          </w:rPr>
          <w:tab/>
        </w:r>
        <w:r w:rsidRPr="00CC53E5">
          <w:rPr>
            <w:rStyle w:val="Hyperlink"/>
            <w:noProof/>
          </w:rPr>
          <w:t>Part 1 Section 18.18.57, ST_PhoneticType (Phonetic Type)</w:t>
        </w:r>
        <w:r>
          <w:rPr>
            <w:noProof/>
            <w:webHidden/>
          </w:rPr>
          <w:tab/>
        </w:r>
        <w:r>
          <w:rPr>
            <w:noProof/>
            <w:webHidden/>
          </w:rPr>
          <w:fldChar w:fldCharType="begin"/>
        </w:r>
        <w:r>
          <w:rPr>
            <w:noProof/>
            <w:webHidden/>
          </w:rPr>
          <w:instrText xml:space="preserve"> PAGEREF _Toc69878870 \h </w:instrText>
        </w:r>
        <w:r>
          <w:rPr>
            <w:noProof/>
            <w:webHidden/>
          </w:rPr>
        </w:r>
        <w:r>
          <w:rPr>
            <w:noProof/>
            <w:webHidden/>
          </w:rPr>
          <w:fldChar w:fldCharType="separate"/>
        </w:r>
        <w:r>
          <w:rPr>
            <w:noProof/>
            <w:webHidden/>
          </w:rPr>
          <w:t>461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71" w:history="1">
        <w:r w:rsidRPr="00CC53E5">
          <w:rPr>
            <w:rStyle w:val="Hyperlink"/>
            <w:noProof/>
          </w:rPr>
          <w:t>2.1.1088</w:t>
        </w:r>
        <w:r>
          <w:rPr>
            <w:rFonts w:asciiTheme="minorHAnsi" w:eastAsiaTheme="minorEastAsia" w:hAnsiTheme="minorHAnsi" w:cstheme="minorBidi"/>
            <w:noProof/>
            <w:sz w:val="22"/>
            <w:szCs w:val="22"/>
          </w:rPr>
          <w:tab/>
        </w:r>
        <w:r w:rsidRPr="00CC53E5">
          <w:rPr>
            <w:rStyle w:val="Hyperlink"/>
            <w:noProof/>
          </w:rPr>
          <w:t>Part 1 Section 18.18.59, ST_PivotFilterType (Pivot Filter Types)</w:t>
        </w:r>
        <w:r>
          <w:rPr>
            <w:noProof/>
            <w:webHidden/>
          </w:rPr>
          <w:tab/>
        </w:r>
        <w:r>
          <w:rPr>
            <w:noProof/>
            <w:webHidden/>
          </w:rPr>
          <w:fldChar w:fldCharType="begin"/>
        </w:r>
        <w:r>
          <w:rPr>
            <w:noProof/>
            <w:webHidden/>
          </w:rPr>
          <w:instrText xml:space="preserve"> PAGEREF _Toc69878871 \h </w:instrText>
        </w:r>
        <w:r>
          <w:rPr>
            <w:noProof/>
            <w:webHidden/>
          </w:rPr>
        </w:r>
        <w:r>
          <w:rPr>
            <w:noProof/>
            <w:webHidden/>
          </w:rPr>
          <w:fldChar w:fldCharType="separate"/>
        </w:r>
        <w:r>
          <w:rPr>
            <w:noProof/>
            <w:webHidden/>
          </w:rPr>
          <w:t>461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72" w:history="1">
        <w:r w:rsidRPr="00CC53E5">
          <w:rPr>
            <w:rStyle w:val="Hyperlink"/>
            <w:noProof/>
          </w:rPr>
          <w:t>2.1.1089</w:t>
        </w:r>
        <w:r>
          <w:rPr>
            <w:rFonts w:asciiTheme="minorHAnsi" w:eastAsiaTheme="minorEastAsia" w:hAnsiTheme="minorHAnsi" w:cstheme="minorBidi"/>
            <w:noProof/>
            <w:sz w:val="22"/>
            <w:szCs w:val="22"/>
          </w:rPr>
          <w:tab/>
        </w:r>
        <w:r w:rsidRPr="00CC53E5">
          <w:rPr>
            <w:rStyle w:val="Hyperlink"/>
            <w:noProof/>
          </w:rPr>
          <w:t>Part 1 Section 18.18.62, ST_Ref (Cell References)</w:t>
        </w:r>
        <w:r>
          <w:rPr>
            <w:noProof/>
            <w:webHidden/>
          </w:rPr>
          <w:tab/>
        </w:r>
        <w:r>
          <w:rPr>
            <w:noProof/>
            <w:webHidden/>
          </w:rPr>
          <w:fldChar w:fldCharType="begin"/>
        </w:r>
        <w:r>
          <w:rPr>
            <w:noProof/>
            <w:webHidden/>
          </w:rPr>
          <w:instrText xml:space="preserve"> PAGEREF _Toc69878872 \h </w:instrText>
        </w:r>
        <w:r>
          <w:rPr>
            <w:noProof/>
            <w:webHidden/>
          </w:rPr>
        </w:r>
        <w:r>
          <w:rPr>
            <w:noProof/>
            <w:webHidden/>
          </w:rPr>
          <w:fldChar w:fldCharType="separate"/>
        </w:r>
        <w:r>
          <w:rPr>
            <w:noProof/>
            <w:webHidden/>
          </w:rPr>
          <w:t>461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73" w:history="1">
        <w:r w:rsidRPr="00CC53E5">
          <w:rPr>
            <w:rStyle w:val="Hyperlink"/>
            <w:noProof/>
          </w:rPr>
          <w:t>2.1.1090</w:t>
        </w:r>
        <w:r>
          <w:rPr>
            <w:rFonts w:asciiTheme="minorHAnsi" w:eastAsiaTheme="minorEastAsia" w:hAnsiTheme="minorHAnsi" w:cstheme="minorBidi"/>
            <w:noProof/>
            <w:sz w:val="22"/>
            <w:szCs w:val="22"/>
          </w:rPr>
          <w:tab/>
        </w:r>
        <w:r w:rsidRPr="00CC53E5">
          <w:rPr>
            <w:rStyle w:val="Hyperlink"/>
            <w:noProof/>
          </w:rPr>
          <w:t>Part 1 Section 18.18.63, ST_RefA (Single Cell Reference)</w:t>
        </w:r>
        <w:r>
          <w:rPr>
            <w:noProof/>
            <w:webHidden/>
          </w:rPr>
          <w:tab/>
        </w:r>
        <w:r>
          <w:rPr>
            <w:noProof/>
            <w:webHidden/>
          </w:rPr>
          <w:fldChar w:fldCharType="begin"/>
        </w:r>
        <w:r>
          <w:rPr>
            <w:noProof/>
            <w:webHidden/>
          </w:rPr>
          <w:instrText xml:space="preserve"> PAGEREF _Toc69878873 \h </w:instrText>
        </w:r>
        <w:r>
          <w:rPr>
            <w:noProof/>
            <w:webHidden/>
          </w:rPr>
        </w:r>
        <w:r>
          <w:rPr>
            <w:noProof/>
            <w:webHidden/>
          </w:rPr>
          <w:fldChar w:fldCharType="separate"/>
        </w:r>
        <w:r>
          <w:rPr>
            <w:noProof/>
            <w:webHidden/>
          </w:rPr>
          <w:t>461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74" w:history="1">
        <w:r w:rsidRPr="00CC53E5">
          <w:rPr>
            <w:rStyle w:val="Hyperlink"/>
            <w:noProof/>
          </w:rPr>
          <w:t>2.1.1091</w:t>
        </w:r>
        <w:r>
          <w:rPr>
            <w:rFonts w:asciiTheme="minorHAnsi" w:eastAsiaTheme="minorEastAsia" w:hAnsiTheme="minorHAnsi" w:cstheme="minorBidi"/>
            <w:noProof/>
            <w:sz w:val="22"/>
            <w:szCs w:val="22"/>
          </w:rPr>
          <w:tab/>
        </w:r>
        <w:r w:rsidRPr="00CC53E5">
          <w:rPr>
            <w:rStyle w:val="Hyperlink"/>
            <w:noProof/>
          </w:rPr>
          <w:t>Part 1 Section 18.18.76, ST_Sqref (Reference Sequence)</w:t>
        </w:r>
        <w:r>
          <w:rPr>
            <w:noProof/>
            <w:webHidden/>
          </w:rPr>
          <w:tab/>
        </w:r>
        <w:r>
          <w:rPr>
            <w:noProof/>
            <w:webHidden/>
          </w:rPr>
          <w:fldChar w:fldCharType="begin"/>
        </w:r>
        <w:r>
          <w:rPr>
            <w:noProof/>
            <w:webHidden/>
          </w:rPr>
          <w:instrText xml:space="preserve"> PAGEREF _Toc69878874 \h </w:instrText>
        </w:r>
        <w:r>
          <w:rPr>
            <w:noProof/>
            <w:webHidden/>
          </w:rPr>
        </w:r>
        <w:r>
          <w:rPr>
            <w:noProof/>
            <w:webHidden/>
          </w:rPr>
          <w:fldChar w:fldCharType="separate"/>
        </w:r>
        <w:r>
          <w:rPr>
            <w:noProof/>
            <w:webHidden/>
          </w:rPr>
          <w:t>461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75" w:history="1">
        <w:r w:rsidRPr="00CC53E5">
          <w:rPr>
            <w:rStyle w:val="Hyperlink"/>
            <w:noProof/>
          </w:rPr>
          <w:t>2.1.1092</w:t>
        </w:r>
        <w:r>
          <w:rPr>
            <w:rFonts w:asciiTheme="minorHAnsi" w:eastAsiaTheme="minorEastAsia" w:hAnsiTheme="minorHAnsi" w:cstheme="minorBidi"/>
            <w:noProof/>
            <w:sz w:val="22"/>
            <w:szCs w:val="22"/>
          </w:rPr>
          <w:tab/>
        </w:r>
        <w:r w:rsidRPr="00CC53E5">
          <w:rPr>
            <w:rStyle w:val="Hyperlink"/>
            <w:noProof/>
          </w:rPr>
          <w:t>Part 1 Section 18.18.77, ST_TableStyleType (Table Style Type)</w:t>
        </w:r>
        <w:r>
          <w:rPr>
            <w:noProof/>
            <w:webHidden/>
          </w:rPr>
          <w:tab/>
        </w:r>
        <w:r>
          <w:rPr>
            <w:noProof/>
            <w:webHidden/>
          </w:rPr>
          <w:fldChar w:fldCharType="begin"/>
        </w:r>
        <w:r>
          <w:rPr>
            <w:noProof/>
            <w:webHidden/>
          </w:rPr>
          <w:instrText xml:space="preserve"> PAGEREF _Toc69878875 \h </w:instrText>
        </w:r>
        <w:r>
          <w:rPr>
            <w:noProof/>
            <w:webHidden/>
          </w:rPr>
        </w:r>
        <w:r>
          <w:rPr>
            <w:noProof/>
            <w:webHidden/>
          </w:rPr>
          <w:fldChar w:fldCharType="separate"/>
        </w:r>
        <w:r>
          <w:rPr>
            <w:noProof/>
            <w:webHidden/>
          </w:rPr>
          <w:t>462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76" w:history="1">
        <w:r w:rsidRPr="00CC53E5">
          <w:rPr>
            <w:rStyle w:val="Hyperlink"/>
            <w:noProof/>
          </w:rPr>
          <w:t>2.1.1093</w:t>
        </w:r>
        <w:r>
          <w:rPr>
            <w:rFonts w:asciiTheme="minorHAnsi" w:eastAsiaTheme="minorEastAsia" w:hAnsiTheme="minorHAnsi" w:cstheme="minorBidi"/>
            <w:noProof/>
            <w:sz w:val="22"/>
            <w:szCs w:val="22"/>
          </w:rPr>
          <w:tab/>
        </w:r>
        <w:r w:rsidRPr="00CC53E5">
          <w:rPr>
            <w:rStyle w:val="Hyperlink"/>
            <w:noProof/>
          </w:rPr>
          <w:t>Part 1 Section 18.18.83, ST_TotalsRowFunction (Totals Row Function Types)</w:t>
        </w:r>
        <w:r>
          <w:rPr>
            <w:noProof/>
            <w:webHidden/>
          </w:rPr>
          <w:tab/>
        </w:r>
        <w:r>
          <w:rPr>
            <w:noProof/>
            <w:webHidden/>
          </w:rPr>
          <w:fldChar w:fldCharType="begin"/>
        </w:r>
        <w:r>
          <w:rPr>
            <w:noProof/>
            <w:webHidden/>
          </w:rPr>
          <w:instrText xml:space="preserve"> PAGEREF _Toc69878876 \h </w:instrText>
        </w:r>
        <w:r>
          <w:rPr>
            <w:noProof/>
            <w:webHidden/>
          </w:rPr>
        </w:r>
        <w:r>
          <w:rPr>
            <w:noProof/>
            <w:webHidden/>
          </w:rPr>
          <w:fldChar w:fldCharType="separate"/>
        </w:r>
        <w:r>
          <w:rPr>
            <w:noProof/>
            <w:webHidden/>
          </w:rPr>
          <w:t>462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77" w:history="1">
        <w:r w:rsidRPr="00CC53E5">
          <w:rPr>
            <w:rStyle w:val="Hyperlink"/>
            <w:noProof/>
          </w:rPr>
          <w:t>2.1.1094</w:t>
        </w:r>
        <w:r>
          <w:rPr>
            <w:rFonts w:asciiTheme="minorHAnsi" w:eastAsiaTheme="minorEastAsia" w:hAnsiTheme="minorHAnsi" w:cstheme="minorBidi"/>
            <w:noProof/>
            <w:sz w:val="22"/>
            <w:szCs w:val="22"/>
          </w:rPr>
          <w:tab/>
        </w:r>
        <w:r w:rsidRPr="00CC53E5">
          <w:rPr>
            <w:rStyle w:val="Hyperlink"/>
            <w:noProof/>
          </w:rPr>
          <w:t>Part 1 Section 18.18.87, ST_UpdateLinks (Update Links Behavior Types)</w:t>
        </w:r>
        <w:r>
          <w:rPr>
            <w:noProof/>
            <w:webHidden/>
          </w:rPr>
          <w:tab/>
        </w:r>
        <w:r>
          <w:rPr>
            <w:noProof/>
            <w:webHidden/>
          </w:rPr>
          <w:fldChar w:fldCharType="begin"/>
        </w:r>
        <w:r>
          <w:rPr>
            <w:noProof/>
            <w:webHidden/>
          </w:rPr>
          <w:instrText xml:space="preserve"> PAGEREF _Toc69878877 \h </w:instrText>
        </w:r>
        <w:r>
          <w:rPr>
            <w:noProof/>
            <w:webHidden/>
          </w:rPr>
        </w:r>
        <w:r>
          <w:rPr>
            <w:noProof/>
            <w:webHidden/>
          </w:rPr>
          <w:fldChar w:fldCharType="separate"/>
        </w:r>
        <w:r>
          <w:rPr>
            <w:noProof/>
            <w:webHidden/>
          </w:rPr>
          <w:t>462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78" w:history="1">
        <w:r w:rsidRPr="00CC53E5">
          <w:rPr>
            <w:rStyle w:val="Hyperlink"/>
            <w:noProof/>
          </w:rPr>
          <w:t>2.1.1095</w:t>
        </w:r>
        <w:r>
          <w:rPr>
            <w:rFonts w:asciiTheme="minorHAnsi" w:eastAsiaTheme="minorEastAsia" w:hAnsiTheme="minorHAnsi" w:cstheme="minorBidi"/>
            <w:noProof/>
            <w:sz w:val="22"/>
            <w:szCs w:val="22"/>
          </w:rPr>
          <w:tab/>
        </w:r>
        <w:r w:rsidRPr="00CC53E5">
          <w:rPr>
            <w:rStyle w:val="Hyperlink"/>
            <w:noProof/>
          </w:rPr>
          <w:t>Part 1 Section 18.18.89, ST_Visibility (Visibility Types)</w:t>
        </w:r>
        <w:r>
          <w:rPr>
            <w:noProof/>
            <w:webHidden/>
          </w:rPr>
          <w:tab/>
        </w:r>
        <w:r>
          <w:rPr>
            <w:noProof/>
            <w:webHidden/>
          </w:rPr>
          <w:fldChar w:fldCharType="begin"/>
        </w:r>
        <w:r>
          <w:rPr>
            <w:noProof/>
            <w:webHidden/>
          </w:rPr>
          <w:instrText xml:space="preserve"> PAGEREF _Toc69878878 \h </w:instrText>
        </w:r>
        <w:r>
          <w:rPr>
            <w:noProof/>
            <w:webHidden/>
          </w:rPr>
        </w:r>
        <w:r>
          <w:rPr>
            <w:noProof/>
            <w:webHidden/>
          </w:rPr>
          <w:fldChar w:fldCharType="separate"/>
        </w:r>
        <w:r>
          <w:rPr>
            <w:noProof/>
            <w:webHidden/>
          </w:rPr>
          <w:t>463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79" w:history="1">
        <w:r w:rsidRPr="00CC53E5">
          <w:rPr>
            <w:rStyle w:val="Hyperlink"/>
            <w:noProof/>
          </w:rPr>
          <w:t>2.1.1096</w:t>
        </w:r>
        <w:r>
          <w:rPr>
            <w:rFonts w:asciiTheme="minorHAnsi" w:eastAsiaTheme="minorEastAsia" w:hAnsiTheme="minorHAnsi" w:cstheme="minorBidi"/>
            <w:noProof/>
            <w:sz w:val="22"/>
            <w:szCs w:val="22"/>
          </w:rPr>
          <w:tab/>
        </w:r>
        <w:r w:rsidRPr="00CC53E5">
          <w:rPr>
            <w:rStyle w:val="Hyperlink"/>
            <w:noProof/>
          </w:rPr>
          <w:t>Part 1 Section 18.18.92, ST_WebSourceType (Web Source Type)</w:t>
        </w:r>
        <w:r>
          <w:rPr>
            <w:noProof/>
            <w:webHidden/>
          </w:rPr>
          <w:tab/>
        </w:r>
        <w:r>
          <w:rPr>
            <w:noProof/>
            <w:webHidden/>
          </w:rPr>
          <w:fldChar w:fldCharType="begin"/>
        </w:r>
        <w:r>
          <w:rPr>
            <w:noProof/>
            <w:webHidden/>
          </w:rPr>
          <w:instrText xml:space="preserve"> PAGEREF _Toc69878879 \h </w:instrText>
        </w:r>
        <w:r>
          <w:rPr>
            <w:noProof/>
            <w:webHidden/>
          </w:rPr>
        </w:r>
        <w:r>
          <w:rPr>
            <w:noProof/>
            <w:webHidden/>
          </w:rPr>
          <w:fldChar w:fldCharType="separate"/>
        </w:r>
        <w:r>
          <w:rPr>
            <w:noProof/>
            <w:webHidden/>
          </w:rPr>
          <w:t>463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80" w:history="1">
        <w:r w:rsidRPr="00CC53E5">
          <w:rPr>
            <w:rStyle w:val="Hyperlink"/>
            <w:noProof/>
          </w:rPr>
          <w:t>2.1.1097</w:t>
        </w:r>
        <w:r>
          <w:rPr>
            <w:rFonts w:asciiTheme="minorHAnsi" w:eastAsiaTheme="minorEastAsia" w:hAnsiTheme="minorHAnsi" w:cstheme="minorBidi"/>
            <w:noProof/>
            <w:sz w:val="22"/>
            <w:szCs w:val="22"/>
          </w:rPr>
          <w:tab/>
        </w:r>
        <w:r w:rsidRPr="00CC53E5">
          <w:rPr>
            <w:rStyle w:val="Hyperlink"/>
            <w:noProof/>
          </w:rPr>
          <w:t>Part 1 Section 19.2.1.5, custShow (Custom Show)</w:t>
        </w:r>
        <w:r>
          <w:rPr>
            <w:noProof/>
            <w:webHidden/>
          </w:rPr>
          <w:tab/>
        </w:r>
        <w:r>
          <w:rPr>
            <w:noProof/>
            <w:webHidden/>
          </w:rPr>
          <w:fldChar w:fldCharType="begin"/>
        </w:r>
        <w:r>
          <w:rPr>
            <w:noProof/>
            <w:webHidden/>
          </w:rPr>
          <w:instrText xml:space="preserve"> PAGEREF _Toc69878880 \h </w:instrText>
        </w:r>
        <w:r>
          <w:rPr>
            <w:noProof/>
            <w:webHidden/>
          </w:rPr>
        </w:r>
        <w:r>
          <w:rPr>
            <w:noProof/>
            <w:webHidden/>
          </w:rPr>
          <w:fldChar w:fldCharType="separate"/>
        </w:r>
        <w:r>
          <w:rPr>
            <w:noProof/>
            <w:webHidden/>
          </w:rPr>
          <w:t>463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81" w:history="1">
        <w:r w:rsidRPr="00CC53E5">
          <w:rPr>
            <w:rStyle w:val="Hyperlink"/>
            <w:noProof/>
          </w:rPr>
          <w:t>2.1.1098</w:t>
        </w:r>
        <w:r>
          <w:rPr>
            <w:rFonts w:asciiTheme="minorHAnsi" w:eastAsiaTheme="minorEastAsia" w:hAnsiTheme="minorHAnsi" w:cstheme="minorBidi"/>
            <w:noProof/>
            <w:sz w:val="22"/>
            <w:szCs w:val="22"/>
          </w:rPr>
          <w:tab/>
        </w:r>
        <w:r w:rsidRPr="00CC53E5">
          <w:rPr>
            <w:rStyle w:val="Hyperlink"/>
            <w:noProof/>
          </w:rPr>
          <w:t>Part 1 Section 19.2.1.6, custShow (Custom Show)</w:t>
        </w:r>
        <w:r>
          <w:rPr>
            <w:noProof/>
            <w:webHidden/>
          </w:rPr>
          <w:tab/>
        </w:r>
        <w:r>
          <w:rPr>
            <w:noProof/>
            <w:webHidden/>
          </w:rPr>
          <w:fldChar w:fldCharType="begin"/>
        </w:r>
        <w:r>
          <w:rPr>
            <w:noProof/>
            <w:webHidden/>
          </w:rPr>
          <w:instrText xml:space="preserve"> PAGEREF _Toc69878881 \h </w:instrText>
        </w:r>
        <w:r>
          <w:rPr>
            <w:noProof/>
            <w:webHidden/>
          </w:rPr>
        </w:r>
        <w:r>
          <w:rPr>
            <w:noProof/>
            <w:webHidden/>
          </w:rPr>
          <w:fldChar w:fldCharType="separate"/>
        </w:r>
        <w:r>
          <w:rPr>
            <w:noProof/>
            <w:webHidden/>
          </w:rPr>
          <w:t>463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82" w:history="1">
        <w:r w:rsidRPr="00CC53E5">
          <w:rPr>
            <w:rStyle w:val="Hyperlink"/>
            <w:noProof/>
          </w:rPr>
          <w:t>2.1.1099</w:t>
        </w:r>
        <w:r>
          <w:rPr>
            <w:rFonts w:asciiTheme="minorHAnsi" w:eastAsiaTheme="minorEastAsia" w:hAnsiTheme="minorHAnsi" w:cstheme="minorBidi"/>
            <w:noProof/>
            <w:sz w:val="22"/>
            <w:szCs w:val="22"/>
          </w:rPr>
          <w:tab/>
        </w:r>
        <w:r w:rsidRPr="00CC53E5">
          <w:rPr>
            <w:rStyle w:val="Hyperlink"/>
            <w:noProof/>
          </w:rPr>
          <w:t>Part 1 Section 19.2.1.10, embeddedFontLst (Embedded Font List)</w:t>
        </w:r>
        <w:r>
          <w:rPr>
            <w:noProof/>
            <w:webHidden/>
          </w:rPr>
          <w:tab/>
        </w:r>
        <w:r>
          <w:rPr>
            <w:noProof/>
            <w:webHidden/>
          </w:rPr>
          <w:fldChar w:fldCharType="begin"/>
        </w:r>
        <w:r>
          <w:rPr>
            <w:noProof/>
            <w:webHidden/>
          </w:rPr>
          <w:instrText xml:space="preserve"> PAGEREF _Toc69878882 \h </w:instrText>
        </w:r>
        <w:r>
          <w:rPr>
            <w:noProof/>
            <w:webHidden/>
          </w:rPr>
        </w:r>
        <w:r>
          <w:rPr>
            <w:noProof/>
            <w:webHidden/>
          </w:rPr>
          <w:fldChar w:fldCharType="separate"/>
        </w:r>
        <w:r>
          <w:rPr>
            <w:noProof/>
            <w:webHidden/>
          </w:rPr>
          <w:t>463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83" w:history="1">
        <w:r w:rsidRPr="00CC53E5">
          <w:rPr>
            <w:rStyle w:val="Hyperlink"/>
            <w:noProof/>
          </w:rPr>
          <w:t>2.1.1100</w:t>
        </w:r>
        <w:r>
          <w:rPr>
            <w:rFonts w:asciiTheme="minorHAnsi" w:eastAsiaTheme="minorEastAsia" w:hAnsiTheme="minorHAnsi" w:cstheme="minorBidi"/>
            <w:noProof/>
            <w:sz w:val="22"/>
            <w:szCs w:val="22"/>
          </w:rPr>
          <w:tab/>
        </w:r>
        <w:r w:rsidRPr="00CC53E5">
          <w:rPr>
            <w:rStyle w:val="Hyperlink"/>
            <w:noProof/>
          </w:rPr>
          <w:t>Part 1 Section 19.2.1.11, ext (Extension)</w:t>
        </w:r>
        <w:r>
          <w:rPr>
            <w:noProof/>
            <w:webHidden/>
          </w:rPr>
          <w:tab/>
        </w:r>
        <w:r>
          <w:rPr>
            <w:noProof/>
            <w:webHidden/>
          </w:rPr>
          <w:fldChar w:fldCharType="begin"/>
        </w:r>
        <w:r>
          <w:rPr>
            <w:noProof/>
            <w:webHidden/>
          </w:rPr>
          <w:instrText xml:space="preserve"> PAGEREF _Toc69878883 \h </w:instrText>
        </w:r>
        <w:r>
          <w:rPr>
            <w:noProof/>
            <w:webHidden/>
          </w:rPr>
        </w:r>
        <w:r>
          <w:rPr>
            <w:noProof/>
            <w:webHidden/>
          </w:rPr>
          <w:fldChar w:fldCharType="separate"/>
        </w:r>
        <w:r>
          <w:rPr>
            <w:noProof/>
            <w:webHidden/>
          </w:rPr>
          <w:t>463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84" w:history="1">
        <w:r w:rsidRPr="00CC53E5">
          <w:rPr>
            <w:rStyle w:val="Hyperlink"/>
            <w:noProof/>
          </w:rPr>
          <w:t>2.1.1101</w:t>
        </w:r>
        <w:r>
          <w:rPr>
            <w:rFonts w:asciiTheme="minorHAnsi" w:eastAsiaTheme="minorEastAsia" w:hAnsiTheme="minorHAnsi" w:cstheme="minorBidi"/>
            <w:noProof/>
            <w:sz w:val="22"/>
            <w:szCs w:val="22"/>
          </w:rPr>
          <w:tab/>
        </w:r>
        <w:r w:rsidRPr="00CC53E5">
          <w:rPr>
            <w:rStyle w:val="Hyperlink"/>
            <w:noProof/>
          </w:rPr>
          <w:t>Part 1 Section 19.2.1.13, font (Embedded Font Name)</w:t>
        </w:r>
        <w:r>
          <w:rPr>
            <w:noProof/>
            <w:webHidden/>
          </w:rPr>
          <w:tab/>
        </w:r>
        <w:r>
          <w:rPr>
            <w:noProof/>
            <w:webHidden/>
          </w:rPr>
          <w:fldChar w:fldCharType="begin"/>
        </w:r>
        <w:r>
          <w:rPr>
            <w:noProof/>
            <w:webHidden/>
          </w:rPr>
          <w:instrText xml:space="preserve"> PAGEREF _Toc69878884 \h </w:instrText>
        </w:r>
        <w:r>
          <w:rPr>
            <w:noProof/>
            <w:webHidden/>
          </w:rPr>
        </w:r>
        <w:r>
          <w:rPr>
            <w:noProof/>
            <w:webHidden/>
          </w:rPr>
          <w:fldChar w:fldCharType="separate"/>
        </w:r>
        <w:r>
          <w:rPr>
            <w:noProof/>
            <w:webHidden/>
          </w:rPr>
          <w:t>463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85" w:history="1">
        <w:r w:rsidRPr="00CC53E5">
          <w:rPr>
            <w:rStyle w:val="Hyperlink"/>
            <w:noProof/>
          </w:rPr>
          <w:t>2.1.1102</w:t>
        </w:r>
        <w:r>
          <w:rPr>
            <w:rFonts w:asciiTheme="minorHAnsi" w:eastAsiaTheme="minorEastAsia" w:hAnsiTheme="minorHAnsi" w:cstheme="minorBidi"/>
            <w:noProof/>
            <w:sz w:val="22"/>
            <w:szCs w:val="22"/>
          </w:rPr>
          <w:tab/>
        </w:r>
        <w:r w:rsidRPr="00CC53E5">
          <w:rPr>
            <w:rStyle w:val="Hyperlink"/>
            <w:noProof/>
          </w:rPr>
          <w:t>Part 1 Section 19.2.1.17, kinsoku (Kinsoku Settings)</w:t>
        </w:r>
        <w:r>
          <w:rPr>
            <w:noProof/>
            <w:webHidden/>
          </w:rPr>
          <w:tab/>
        </w:r>
        <w:r>
          <w:rPr>
            <w:noProof/>
            <w:webHidden/>
          </w:rPr>
          <w:fldChar w:fldCharType="begin"/>
        </w:r>
        <w:r>
          <w:rPr>
            <w:noProof/>
            <w:webHidden/>
          </w:rPr>
          <w:instrText xml:space="preserve"> PAGEREF _Toc69878885 \h </w:instrText>
        </w:r>
        <w:r>
          <w:rPr>
            <w:noProof/>
            <w:webHidden/>
          </w:rPr>
        </w:r>
        <w:r>
          <w:rPr>
            <w:noProof/>
            <w:webHidden/>
          </w:rPr>
          <w:fldChar w:fldCharType="separate"/>
        </w:r>
        <w:r>
          <w:rPr>
            <w:noProof/>
            <w:webHidden/>
          </w:rPr>
          <w:t>464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86" w:history="1">
        <w:r w:rsidRPr="00CC53E5">
          <w:rPr>
            <w:rStyle w:val="Hyperlink"/>
            <w:noProof/>
          </w:rPr>
          <w:t>2.1.1103</w:t>
        </w:r>
        <w:r>
          <w:rPr>
            <w:rFonts w:asciiTheme="minorHAnsi" w:eastAsiaTheme="minorEastAsia" w:hAnsiTheme="minorHAnsi" w:cstheme="minorBidi"/>
            <w:noProof/>
            <w:sz w:val="22"/>
            <w:szCs w:val="22"/>
          </w:rPr>
          <w:tab/>
        </w:r>
        <w:r w:rsidRPr="00CC53E5">
          <w:rPr>
            <w:rStyle w:val="Hyperlink"/>
            <w:noProof/>
          </w:rPr>
          <w:t>Part 1 Section 19.2.1.19, modifyVerifier (Modification Verifier)</w:t>
        </w:r>
        <w:r>
          <w:rPr>
            <w:noProof/>
            <w:webHidden/>
          </w:rPr>
          <w:tab/>
        </w:r>
        <w:r>
          <w:rPr>
            <w:noProof/>
            <w:webHidden/>
          </w:rPr>
          <w:fldChar w:fldCharType="begin"/>
        </w:r>
        <w:r>
          <w:rPr>
            <w:noProof/>
            <w:webHidden/>
          </w:rPr>
          <w:instrText xml:space="preserve"> PAGEREF _Toc69878886 \h </w:instrText>
        </w:r>
        <w:r>
          <w:rPr>
            <w:noProof/>
            <w:webHidden/>
          </w:rPr>
        </w:r>
        <w:r>
          <w:rPr>
            <w:noProof/>
            <w:webHidden/>
          </w:rPr>
          <w:fldChar w:fldCharType="separate"/>
        </w:r>
        <w:r>
          <w:rPr>
            <w:noProof/>
            <w:webHidden/>
          </w:rPr>
          <w:t>464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87" w:history="1">
        <w:r w:rsidRPr="00CC53E5">
          <w:rPr>
            <w:rStyle w:val="Hyperlink"/>
            <w:noProof/>
          </w:rPr>
          <w:t>2.1.1104</w:t>
        </w:r>
        <w:r>
          <w:rPr>
            <w:rFonts w:asciiTheme="minorHAnsi" w:eastAsiaTheme="minorEastAsia" w:hAnsiTheme="minorHAnsi" w:cstheme="minorBidi"/>
            <w:noProof/>
            <w:sz w:val="22"/>
            <w:szCs w:val="22"/>
          </w:rPr>
          <w:tab/>
        </w:r>
        <w:r w:rsidRPr="00CC53E5">
          <w:rPr>
            <w:rStyle w:val="Hyperlink"/>
            <w:noProof/>
          </w:rPr>
          <w:t>Part 1 Section 19.2.1.22, notesSz (Notes Slide Size)</w:t>
        </w:r>
        <w:r>
          <w:rPr>
            <w:noProof/>
            <w:webHidden/>
          </w:rPr>
          <w:tab/>
        </w:r>
        <w:r>
          <w:rPr>
            <w:noProof/>
            <w:webHidden/>
          </w:rPr>
          <w:fldChar w:fldCharType="begin"/>
        </w:r>
        <w:r>
          <w:rPr>
            <w:noProof/>
            <w:webHidden/>
          </w:rPr>
          <w:instrText xml:space="preserve"> PAGEREF _Toc69878887 \h </w:instrText>
        </w:r>
        <w:r>
          <w:rPr>
            <w:noProof/>
            <w:webHidden/>
          </w:rPr>
        </w:r>
        <w:r>
          <w:rPr>
            <w:noProof/>
            <w:webHidden/>
          </w:rPr>
          <w:fldChar w:fldCharType="separate"/>
        </w:r>
        <w:r>
          <w:rPr>
            <w:noProof/>
            <w:webHidden/>
          </w:rPr>
          <w:t>466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88" w:history="1">
        <w:r w:rsidRPr="00CC53E5">
          <w:rPr>
            <w:rStyle w:val="Hyperlink"/>
            <w:noProof/>
          </w:rPr>
          <w:t>2.1.1105</w:t>
        </w:r>
        <w:r>
          <w:rPr>
            <w:rFonts w:asciiTheme="minorHAnsi" w:eastAsiaTheme="minorEastAsia" w:hAnsiTheme="minorHAnsi" w:cstheme="minorBidi"/>
            <w:noProof/>
            <w:sz w:val="22"/>
            <w:szCs w:val="22"/>
          </w:rPr>
          <w:tab/>
        </w:r>
        <w:r w:rsidRPr="00CC53E5">
          <w:rPr>
            <w:rStyle w:val="Hyperlink"/>
            <w:noProof/>
          </w:rPr>
          <w:t>Part 1 Section 19.2.1.24, photoAlbum (Photo Album Information)</w:t>
        </w:r>
        <w:r>
          <w:rPr>
            <w:noProof/>
            <w:webHidden/>
          </w:rPr>
          <w:tab/>
        </w:r>
        <w:r>
          <w:rPr>
            <w:noProof/>
            <w:webHidden/>
          </w:rPr>
          <w:fldChar w:fldCharType="begin"/>
        </w:r>
        <w:r>
          <w:rPr>
            <w:noProof/>
            <w:webHidden/>
          </w:rPr>
          <w:instrText xml:space="preserve"> PAGEREF _Toc69878888 \h </w:instrText>
        </w:r>
        <w:r>
          <w:rPr>
            <w:noProof/>
            <w:webHidden/>
          </w:rPr>
        </w:r>
        <w:r>
          <w:rPr>
            <w:noProof/>
            <w:webHidden/>
          </w:rPr>
          <w:fldChar w:fldCharType="separate"/>
        </w:r>
        <w:r>
          <w:rPr>
            <w:noProof/>
            <w:webHidden/>
          </w:rPr>
          <w:t>467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89" w:history="1">
        <w:r w:rsidRPr="00CC53E5">
          <w:rPr>
            <w:rStyle w:val="Hyperlink"/>
            <w:noProof/>
          </w:rPr>
          <w:t>2.1.1106</w:t>
        </w:r>
        <w:r>
          <w:rPr>
            <w:rFonts w:asciiTheme="minorHAnsi" w:eastAsiaTheme="minorEastAsia" w:hAnsiTheme="minorHAnsi" w:cstheme="minorBidi"/>
            <w:noProof/>
            <w:sz w:val="22"/>
            <w:szCs w:val="22"/>
          </w:rPr>
          <w:tab/>
        </w:r>
        <w:r w:rsidRPr="00CC53E5">
          <w:rPr>
            <w:rStyle w:val="Hyperlink"/>
            <w:noProof/>
          </w:rPr>
          <w:t>Part 1 Section 19.2.1.25, present (Presenter Slide Show Mode)</w:t>
        </w:r>
        <w:r>
          <w:rPr>
            <w:noProof/>
            <w:webHidden/>
          </w:rPr>
          <w:tab/>
        </w:r>
        <w:r>
          <w:rPr>
            <w:noProof/>
            <w:webHidden/>
          </w:rPr>
          <w:fldChar w:fldCharType="begin"/>
        </w:r>
        <w:r>
          <w:rPr>
            <w:noProof/>
            <w:webHidden/>
          </w:rPr>
          <w:instrText xml:space="preserve"> PAGEREF _Toc69878889 \h </w:instrText>
        </w:r>
        <w:r>
          <w:rPr>
            <w:noProof/>
            <w:webHidden/>
          </w:rPr>
        </w:r>
        <w:r>
          <w:rPr>
            <w:noProof/>
            <w:webHidden/>
          </w:rPr>
          <w:fldChar w:fldCharType="separate"/>
        </w:r>
        <w:r>
          <w:rPr>
            <w:noProof/>
            <w:webHidden/>
          </w:rPr>
          <w:t>467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90" w:history="1">
        <w:r w:rsidRPr="00CC53E5">
          <w:rPr>
            <w:rStyle w:val="Hyperlink"/>
            <w:noProof/>
          </w:rPr>
          <w:t>2.1.1107</w:t>
        </w:r>
        <w:r>
          <w:rPr>
            <w:rFonts w:asciiTheme="minorHAnsi" w:eastAsiaTheme="minorEastAsia" w:hAnsiTheme="minorHAnsi" w:cstheme="minorBidi"/>
            <w:noProof/>
            <w:sz w:val="22"/>
            <w:szCs w:val="22"/>
          </w:rPr>
          <w:tab/>
        </w:r>
        <w:r w:rsidRPr="00CC53E5">
          <w:rPr>
            <w:rStyle w:val="Hyperlink"/>
            <w:noProof/>
          </w:rPr>
          <w:t>Part 1 Section 19.2.1.26, presentation (Presentation)</w:t>
        </w:r>
        <w:r>
          <w:rPr>
            <w:noProof/>
            <w:webHidden/>
          </w:rPr>
          <w:tab/>
        </w:r>
        <w:r>
          <w:rPr>
            <w:noProof/>
            <w:webHidden/>
          </w:rPr>
          <w:fldChar w:fldCharType="begin"/>
        </w:r>
        <w:r>
          <w:rPr>
            <w:noProof/>
            <w:webHidden/>
          </w:rPr>
          <w:instrText xml:space="preserve"> PAGEREF _Toc69878890 \h </w:instrText>
        </w:r>
        <w:r>
          <w:rPr>
            <w:noProof/>
            <w:webHidden/>
          </w:rPr>
        </w:r>
        <w:r>
          <w:rPr>
            <w:noProof/>
            <w:webHidden/>
          </w:rPr>
          <w:fldChar w:fldCharType="separate"/>
        </w:r>
        <w:r>
          <w:rPr>
            <w:noProof/>
            <w:webHidden/>
          </w:rPr>
          <w:t>467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91" w:history="1">
        <w:r w:rsidRPr="00CC53E5">
          <w:rPr>
            <w:rStyle w:val="Hyperlink"/>
            <w:noProof/>
          </w:rPr>
          <w:t>2.1.1108</w:t>
        </w:r>
        <w:r>
          <w:rPr>
            <w:rFonts w:asciiTheme="minorHAnsi" w:eastAsiaTheme="minorEastAsia" w:hAnsiTheme="minorHAnsi" w:cstheme="minorBidi"/>
            <w:noProof/>
            <w:sz w:val="22"/>
            <w:szCs w:val="22"/>
          </w:rPr>
          <w:tab/>
        </w:r>
        <w:r w:rsidRPr="00CC53E5">
          <w:rPr>
            <w:rStyle w:val="Hyperlink"/>
            <w:noProof/>
          </w:rPr>
          <w:t>Part 1 Section 19.2.1.38, sldRg (Slide Range)</w:t>
        </w:r>
        <w:r>
          <w:rPr>
            <w:noProof/>
            <w:webHidden/>
          </w:rPr>
          <w:tab/>
        </w:r>
        <w:r>
          <w:rPr>
            <w:noProof/>
            <w:webHidden/>
          </w:rPr>
          <w:fldChar w:fldCharType="begin"/>
        </w:r>
        <w:r>
          <w:rPr>
            <w:noProof/>
            <w:webHidden/>
          </w:rPr>
          <w:instrText xml:space="preserve"> PAGEREF _Toc69878891 \h </w:instrText>
        </w:r>
        <w:r>
          <w:rPr>
            <w:noProof/>
            <w:webHidden/>
          </w:rPr>
        </w:r>
        <w:r>
          <w:rPr>
            <w:noProof/>
            <w:webHidden/>
          </w:rPr>
          <w:fldChar w:fldCharType="separate"/>
        </w:r>
        <w:r>
          <w:rPr>
            <w:noProof/>
            <w:webHidden/>
          </w:rPr>
          <w:t>468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92" w:history="1">
        <w:r w:rsidRPr="00CC53E5">
          <w:rPr>
            <w:rStyle w:val="Hyperlink"/>
            <w:noProof/>
          </w:rPr>
          <w:t>2.1.1109</w:t>
        </w:r>
        <w:r>
          <w:rPr>
            <w:rFonts w:asciiTheme="minorHAnsi" w:eastAsiaTheme="minorEastAsia" w:hAnsiTheme="minorHAnsi" w:cstheme="minorBidi"/>
            <w:noProof/>
            <w:sz w:val="22"/>
            <w:szCs w:val="22"/>
          </w:rPr>
          <w:tab/>
        </w:r>
        <w:r w:rsidRPr="00CC53E5">
          <w:rPr>
            <w:rStyle w:val="Hyperlink"/>
            <w:noProof/>
          </w:rPr>
          <w:t>Part 1 Section 19.2.1.39, sldSz (Presentation Slide Size)</w:t>
        </w:r>
        <w:r>
          <w:rPr>
            <w:noProof/>
            <w:webHidden/>
          </w:rPr>
          <w:tab/>
        </w:r>
        <w:r>
          <w:rPr>
            <w:noProof/>
            <w:webHidden/>
          </w:rPr>
          <w:fldChar w:fldCharType="begin"/>
        </w:r>
        <w:r>
          <w:rPr>
            <w:noProof/>
            <w:webHidden/>
          </w:rPr>
          <w:instrText xml:space="preserve"> PAGEREF _Toc69878892 \h </w:instrText>
        </w:r>
        <w:r>
          <w:rPr>
            <w:noProof/>
            <w:webHidden/>
          </w:rPr>
        </w:r>
        <w:r>
          <w:rPr>
            <w:noProof/>
            <w:webHidden/>
          </w:rPr>
          <w:fldChar w:fldCharType="separate"/>
        </w:r>
        <w:r>
          <w:rPr>
            <w:noProof/>
            <w:webHidden/>
          </w:rPr>
          <w:t>468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93" w:history="1">
        <w:r w:rsidRPr="00CC53E5">
          <w:rPr>
            <w:rStyle w:val="Hyperlink"/>
            <w:noProof/>
          </w:rPr>
          <w:t>2.1.1110</w:t>
        </w:r>
        <w:r>
          <w:rPr>
            <w:rFonts w:asciiTheme="minorHAnsi" w:eastAsiaTheme="minorEastAsia" w:hAnsiTheme="minorHAnsi" w:cstheme="minorBidi"/>
            <w:noProof/>
            <w:sz w:val="22"/>
            <w:szCs w:val="22"/>
          </w:rPr>
          <w:tab/>
        </w:r>
        <w:r w:rsidRPr="00CC53E5">
          <w:rPr>
            <w:rStyle w:val="Hyperlink"/>
            <w:noProof/>
          </w:rPr>
          <w:t>Part 1 Section 19.2.1.40, smartTags (Smart Tags)</w:t>
        </w:r>
        <w:r>
          <w:rPr>
            <w:noProof/>
            <w:webHidden/>
          </w:rPr>
          <w:tab/>
        </w:r>
        <w:r>
          <w:rPr>
            <w:noProof/>
            <w:webHidden/>
          </w:rPr>
          <w:fldChar w:fldCharType="begin"/>
        </w:r>
        <w:r>
          <w:rPr>
            <w:noProof/>
            <w:webHidden/>
          </w:rPr>
          <w:instrText xml:space="preserve"> PAGEREF _Toc69878893 \h </w:instrText>
        </w:r>
        <w:r>
          <w:rPr>
            <w:noProof/>
            <w:webHidden/>
          </w:rPr>
        </w:r>
        <w:r>
          <w:rPr>
            <w:noProof/>
            <w:webHidden/>
          </w:rPr>
          <w:fldChar w:fldCharType="separate"/>
        </w:r>
        <w:r>
          <w:rPr>
            <w:noProof/>
            <w:webHidden/>
          </w:rPr>
          <w:t>468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94" w:history="1">
        <w:r w:rsidRPr="00CC53E5">
          <w:rPr>
            <w:rStyle w:val="Hyperlink"/>
            <w:noProof/>
          </w:rPr>
          <w:t>2.1.1111</w:t>
        </w:r>
        <w:r>
          <w:rPr>
            <w:rFonts w:asciiTheme="minorHAnsi" w:eastAsiaTheme="minorEastAsia" w:hAnsiTheme="minorHAnsi" w:cstheme="minorBidi"/>
            <w:noProof/>
            <w:sz w:val="22"/>
            <w:szCs w:val="22"/>
          </w:rPr>
          <w:tab/>
        </w:r>
        <w:r w:rsidRPr="00CC53E5">
          <w:rPr>
            <w:rStyle w:val="Hyperlink"/>
            <w:noProof/>
          </w:rPr>
          <w:t>Part 1 Section 19.2.2.4, guide (A Guide)</w:t>
        </w:r>
        <w:r>
          <w:rPr>
            <w:noProof/>
            <w:webHidden/>
          </w:rPr>
          <w:tab/>
        </w:r>
        <w:r>
          <w:rPr>
            <w:noProof/>
            <w:webHidden/>
          </w:rPr>
          <w:fldChar w:fldCharType="begin"/>
        </w:r>
        <w:r>
          <w:rPr>
            <w:noProof/>
            <w:webHidden/>
          </w:rPr>
          <w:instrText xml:space="preserve"> PAGEREF _Toc69878894 \h </w:instrText>
        </w:r>
        <w:r>
          <w:rPr>
            <w:noProof/>
            <w:webHidden/>
          </w:rPr>
        </w:r>
        <w:r>
          <w:rPr>
            <w:noProof/>
            <w:webHidden/>
          </w:rPr>
          <w:fldChar w:fldCharType="separate"/>
        </w:r>
        <w:r>
          <w:rPr>
            <w:noProof/>
            <w:webHidden/>
          </w:rPr>
          <w:t>469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95" w:history="1">
        <w:r w:rsidRPr="00CC53E5">
          <w:rPr>
            <w:rStyle w:val="Hyperlink"/>
            <w:noProof/>
          </w:rPr>
          <w:t>2.1.1112</w:t>
        </w:r>
        <w:r>
          <w:rPr>
            <w:rFonts w:asciiTheme="minorHAnsi" w:eastAsiaTheme="minorEastAsia" w:hAnsiTheme="minorHAnsi" w:cstheme="minorBidi"/>
            <w:noProof/>
            <w:sz w:val="22"/>
            <w:szCs w:val="22"/>
          </w:rPr>
          <w:tab/>
        </w:r>
        <w:r w:rsidRPr="00CC53E5">
          <w:rPr>
            <w:rStyle w:val="Hyperlink"/>
            <w:noProof/>
          </w:rPr>
          <w:t>Part 1 Section 19.2.2.6, normalViewPr (Normal View Properties)</w:t>
        </w:r>
        <w:r>
          <w:rPr>
            <w:noProof/>
            <w:webHidden/>
          </w:rPr>
          <w:tab/>
        </w:r>
        <w:r>
          <w:rPr>
            <w:noProof/>
            <w:webHidden/>
          </w:rPr>
          <w:fldChar w:fldCharType="begin"/>
        </w:r>
        <w:r>
          <w:rPr>
            <w:noProof/>
            <w:webHidden/>
          </w:rPr>
          <w:instrText xml:space="preserve"> PAGEREF _Toc69878895 \h </w:instrText>
        </w:r>
        <w:r>
          <w:rPr>
            <w:noProof/>
            <w:webHidden/>
          </w:rPr>
        </w:r>
        <w:r>
          <w:rPr>
            <w:noProof/>
            <w:webHidden/>
          </w:rPr>
          <w:fldChar w:fldCharType="separate"/>
        </w:r>
        <w:r>
          <w:rPr>
            <w:noProof/>
            <w:webHidden/>
          </w:rPr>
          <w:t>469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96" w:history="1">
        <w:r w:rsidRPr="00CC53E5">
          <w:rPr>
            <w:rStyle w:val="Hyperlink"/>
            <w:noProof/>
          </w:rPr>
          <w:t>2.1.1113</w:t>
        </w:r>
        <w:r>
          <w:rPr>
            <w:rFonts w:asciiTheme="minorHAnsi" w:eastAsiaTheme="minorEastAsia" w:hAnsiTheme="minorHAnsi" w:cstheme="minorBidi"/>
            <w:noProof/>
            <w:sz w:val="22"/>
            <w:szCs w:val="22"/>
          </w:rPr>
          <w:tab/>
        </w:r>
        <w:r w:rsidRPr="00CC53E5">
          <w:rPr>
            <w:rStyle w:val="Hyperlink"/>
            <w:noProof/>
          </w:rPr>
          <w:t>Part 1 Section 19.2.2.9, origin (View Origin)</w:t>
        </w:r>
        <w:r>
          <w:rPr>
            <w:noProof/>
            <w:webHidden/>
          </w:rPr>
          <w:tab/>
        </w:r>
        <w:r>
          <w:rPr>
            <w:noProof/>
            <w:webHidden/>
          </w:rPr>
          <w:fldChar w:fldCharType="begin"/>
        </w:r>
        <w:r>
          <w:rPr>
            <w:noProof/>
            <w:webHidden/>
          </w:rPr>
          <w:instrText xml:space="preserve"> PAGEREF _Toc69878896 \h </w:instrText>
        </w:r>
        <w:r>
          <w:rPr>
            <w:noProof/>
            <w:webHidden/>
          </w:rPr>
        </w:r>
        <w:r>
          <w:rPr>
            <w:noProof/>
            <w:webHidden/>
          </w:rPr>
          <w:fldChar w:fldCharType="separate"/>
        </w:r>
        <w:r>
          <w:rPr>
            <w:noProof/>
            <w:webHidden/>
          </w:rPr>
          <w:t>469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97" w:history="1">
        <w:r w:rsidRPr="00CC53E5">
          <w:rPr>
            <w:rStyle w:val="Hyperlink"/>
            <w:noProof/>
          </w:rPr>
          <w:t>2.1.1114</w:t>
        </w:r>
        <w:r>
          <w:rPr>
            <w:rFonts w:asciiTheme="minorHAnsi" w:eastAsiaTheme="minorEastAsia" w:hAnsiTheme="minorHAnsi" w:cstheme="minorBidi"/>
            <w:noProof/>
            <w:sz w:val="22"/>
            <w:szCs w:val="22"/>
          </w:rPr>
          <w:tab/>
        </w:r>
        <w:r w:rsidRPr="00CC53E5">
          <w:rPr>
            <w:rStyle w:val="Hyperlink"/>
            <w:noProof/>
          </w:rPr>
          <w:t>Part 1 Section 19.2.2.11, restoredLeft (Normal View Restored Left Properties)</w:t>
        </w:r>
        <w:r>
          <w:rPr>
            <w:noProof/>
            <w:webHidden/>
          </w:rPr>
          <w:tab/>
        </w:r>
        <w:r>
          <w:rPr>
            <w:noProof/>
            <w:webHidden/>
          </w:rPr>
          <w:fldChar w:fldCharType="begin"/>
        </w:r>
        <w:r>
          <w:rPr>
            <w:noProof/>
            <w:webHidden/>
          </w:rPr>
          <w:instrText xml:space="preserve"> PAGEREF _Toc69878897 \h </w:instrText>
        </w:r>
        <w:r>
          <w:rPr>
            <w:noProof/>
            <w:webHidden/>
          </w:rPr>
        </w:r>
        <w:r>
          <w:rPr>
            <w:noProof/>
            <w:webHidden/>
          </w:rPr>
          <w:fldChar w:fldCharType="separate"/>
        </w:r>
        <w:r>
          <w:rPr>
            <w:noProof/>
            <w:webHidden/>
          </w:rPr>
          <w:t>469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98" w:history="1">
        <w:r w:rsidRPr="00CC53E5">
          <w:rPr>
            <w:rStyle w:val="Hyperlink"/>
            <w:noProof/>
          </w:rPr>
          <w:t>2.1.1115</w:t>
        </w:r>
        <w:r>
          <w:rPr>
            <w:rFonts w:asciiTheme="minorHAnsi" w:eastAsiaTheme="minorEastAsia" w:hAnsiTheme="minorHAnsi" w:cstheme="minorBidi"/>
            <w:noProof/>
            <w:sz w:val="22"/>
            <w:szCs w:val="22"/>
          </w:rPr>
          <w:tab/>
        </w:r>
        <w:r w:rsidRPr="00CC53E5">
          <w:rPr>
            <w:rStyle w:val="Hyperlink"/>
            <w:noProof/>
          </w:rPr>
          <w:t>Part 1 Section 19.2.2.12, restoredTop (Normal View Restored Top Properties)</w:t>
        </w:r>
        <w:r>
          <w:rPr>
            <w:noProof/>
            <w:webHidden/>
          </w:rPr>
          <w:tab/>
        </w:r>
        <w:r>
          <w:rPr>
            <w:noProof/>
            <w:webHidden/>
          </w:rPr>
          <w:fldChar w:fldCharType="begin"/>
        </w:r>
        <w:r>
          <w:rPr>
            <w:noProof/>
            <w:webHidden/>
          </w:rPr>
          <w:instrText xml:space="preserve"> PAGEREF _Toc69878898 \h </w:instrText>
        </w:r>
        <w:r>
          <w:rPr>
            <w:noProof/>
            <w:webHidden/>
          </w:rPr>
        </w:r>
        <w:r>
          <w:rPr>
            <w:noProof/>
            <w:webHidden/>
          </w:rPr>
          <w:fldChar w:fldCharType="separate"/>
        </w:r>
        <w:r>
          <w:rPr>
            <w:noProof/>
            <w:webHidden/>
          </w:rPr>
          <w:t>469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899" w:history="1">
        <w:r w:rsidRPr="00CC53E5">
          <w:rPr>
            <w:rStyle w:val="Hyperlink"/>
            <w:noProof/>
          </w:rPr>
          <w:t>2.1.1116</w:t>
        </w:r>
        <w:r>
          <w:rPr>
            <w:rFonts w:asciiTheme="minorHAnsi" w:eastAsiaTheme="minorEastAsia" w:hAnsiTheme="minorHAnsi" w:cstheme="minorBidi"/>
            <w:noProof/>
            <w:sz w:val="22"/>
            <w:szCs w:val="22"/>
          </w:rPr>
          <w:tab/>
        </w:r>
        <w:r w:rsidRPr="00CC53E5">
          <w:rPr>
            <w:rStyle w:val="Hyperlink"/>
            <w:noProof/>
          </w:rPr>
          <w:t>Part 1 Section 19.2.2.13, scale (View Scale)</w:t>
        </w:r>
        <w:r>
          <w:rPr>
            <w:noProof/>
            <w:webHidden/>
          </w:rPr>
          <w:tab/>
        </w:r>
        <w:r>
          <w:rPr>
            <w:noProof/>
            <w:webHidden/>
          </w:rPr>
          <w:fldChar w:fldCharType="begin"/>
        </w:r>
        <w:r>
          <w:rPr>
            <w:noProof/>
            <w:webHidden/>
          </w:rPr>
          <w:instrText xml:space="preserve"> PAGEREF _Toc69878899 \h </w:instrText>
        </w:r>
        <w:r>
          <w:rPr>
            <w:noProof/>
            <w:webHidden/>
          </w:rPr>
        </w:r>
        <w:r>
          <w:rPr>
            <w:noProof/>
            <w:webHidden/>
          </w:rPr>
          <w:fldChar w:fldCharType="separate"/>
        </w:r>
        <w:r>
          <w:rPr>
            <w:noProof/>
            <w:webHidden/>
          </w:rPr>
          <w:t>470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00" w:history="1">
        <w:r w:rsidRPr="00CC53E5">
          <w:rPr>
            <w:rStyle w:val="Hyperlink"/>
            <w:noProof/>
          </w:rPr>
          <w:t>2.1.1117</w:t>
        </w:r>
        <w:r>
          <w:rPr>
            <w:rFonts w:asciiTheme="minorHAnsi" w:eastAsiaTheme="minorEastAsia" w:hAnsiTheme="minorHAnsi" w:cstheme="minorBidi"/>
            <w:noProof/>
            <w:sz w:val="22"/>
            <w:szCs w:val="22"/>
          </w:rPr>
          <w:tab/>
        </w:r>
        <w:r w:rsidRPr="00CC53E5">
          <w:rPr>
            <w:rStyle w:val="Hyperlink"/>
            <w:noProof/>
          </w:rPr>
          <w:t>Part 1 Section 19.3.1.1, bg (Slide Background)</w:t>
        </w:r>
        <w:r>
          <w:rPr>
            <w:noProof/>
            <w:webHidden/>
          </w:rPr>
          <w:tab/>
        </w:r>
        <w:r>
          <w:rPr>
            <w:noProof/>
            <w:webHidden/>
          </w:rPr>
          <w:fldChar w:fldCharType="begin"/>
        </w:r>
        <w:r>
          <w:rPr>
            <w:noProof/>
            <w:webHidden/>
          </w:rPr>
          <w:instrText xml:space="preserve"> PAGEREF _Toc69878900 \h </w:instrText>
        </w:r>
        <w:r>
          <w:rPr>
            <w:noProof/>
            <w:webHidden/>
          </w:rPr>
        </w:r>
        <w:r>
          <w:rPr>
            <w:noProof/>
            <w:webHidden/>
          </w:rPr>
          <w:fldChar w:fldCharType="separate"/>
        </w:r>
        <w:r>
          <w:rPr>
            <w:noProof/>
            <w:webHidden/>
          </w:rPr>
          <w:t>470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01" w:history="1">
        <w:r w:rsidRPr="00CC53E5">
          <w:rPr>
            <w:rStyle w:val="Hyperlink"/>
            <w:noProof/>
          </w:rPr>
          <w:t>2.1.1118</w:t>
        </w:r>
        <w:r>
          <w:rPr>
            <w:rFonts w:asciiTheme="minorHAnsi" w:eastAsiaTheme="minorEastAsia" w:hAnsiTheme="minorHAnsi" w:cstheme="minorBidi"/>
            <w:noProof/>
            <w:sz w:val="22"/>
            <w:szCs w:val="22"/>
          </w:rPr>
          <w:tab/>
        </w:r>
        <w:r w:rsidRPr="00CC53E5">
          <w:rPr>
            <w:rStyle w:val="Hyperlink"/>
            <w:noProof/>
          </w:rPr>
          <w:t>Part 1 Section 19.3.1.2, bgPr (Background Properties)</w:t>
        </w:r>
        <w:r>
          <w:rPr>
            <w:noProof/>
            <w:webHidden/>
          </w:rPr>
          <w:tab/>
        </w:r>
        <w:r>
          <w:rPr>
            <w:noProof/>
            <w:webHidden/>
          </w:rPr>
          <w:fldChar w:fldCharType="begin"/>
        </w:r>
        <w:r>
          <w:rPr>
            <w:noProof/>
            <w:webHidden/>
          </w:rPr>
          <w:instrText xml:space="preserve"> PAGEREF _Toc69878901 \h </w:instrText>
        </w:r>
        <w:r>
          <w:rPr>
            <w:noProof/>
            <w:webHidden/>
          </w:rPr>
        </w:r>
        <w:r>
          <w:rPr>
            <w:noProof/>
            <w:webHidden/>
          </w:rPr>
          <w:fldChar w:fldCharType="separate"/>
        </w:r>
        <w:r>
          <w:rPr>
            <w:noProof/>
            <w:webHidden/>
          </w:rPr>
          <w:t>470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02" w:history="1">
        <w:r w:rsidRPr="00CC53E5">
          <w:rPr>
            <w:rStyle w:val="Hyperlink"/>
            <w:noProof/>
          </w:rPr>
          <w:t>2.1.1119</w:t>
        </w:r>
        <w:r>
          <w:rPr>
            <w:rFonts w:asciiTheme="minorHAnsi" w:eastAsiaTheme="minorEastAsia" w:hAnsiTheme="minorHAnsi" w:cstheme="minorBidi"/>
            <w:noProof/>
            <w:sz w:val="22"/>
            <w:szCs w:val="22"/>
          </w:rPr>
          <w:tab/>
        </w:r>
        <w:r w:rsidRPr="00CC53E5">
          <w:rPr>
            <w:rStyle w:val="Hyperlink"/>
            <w:noProof/>
          </w:rPr>
          <w:t>Part 1 Section 19.3.1.4, blipFill (Picture Fill)</w:t>
        </w:r>
        <w:r>
          <w:rPr>
            <w:noProof/>
            <w:webHidden/>
          </w:rPr>
          <w:tab/>
        </w:r>
        <w:r>
          <w:rPr>
            <w:noProof/>
            <w:webHidden/>
          </w:rPr>
          <w:fldChar w:fldCharType="begin"/>
        </w:r>
        <w:r>
          <w:rPr>
            <w:noProof/>
            <w:webHidden/>
          </w:rPr>
          <w:instrText xml:space="preserve"> PAGEREF _Toc69878902 \h </w:instrText>
        </w:r>
        <w:r>
          <w:rPr>
            <w:noProof/>
            <w:webHidden/>
          </w:rPr>
        </w:r>
        <w:r>
          <w:rPr>
            <w:noProof/>
            <w:webHidden/>
          </w:rPr>
          <w:fldChar w:fldCharType="separate"/>
        </w:r>
        <w:r>
          <w:rPr>
            <w:noProof/>
            <w:webHidden/>
          </w:rPr>
          <w:t>470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03" w:history="1">
        <w:r w:rsidRPr="00CC53E5">
          <w:rPr>
            <w:rStyle w:val="Hyperlink"/>
            <w:noProof/>
          </w:rPr>
          <w:t>2.1.1120</w:t>
        </w:r>
        <w:r>
          <w:rPr>
            <w:rFonts w:asciiTheme="minorHAnsi" w:eastAsiaTheme="minorEastAsia" w:hAnsiTheme="minorHAnsi" w:cstheme="minorBidi"/>
            <w:noProof/>
            <w:sz w:val="22"/>
            <w:szCs w:val="22"/>
          </w:rPr>
          <w:tab/>
        </w:r>
        <w:r w:rsidRPr="00CC53E5">
          <w:rPr>
            <w:rStyle w:val="Hyperlink"/>
            <w:noProof/>
          </w:rPr>
          <w:t>Part 1 Section 19.3.1.16, cSld (Common Slide Data)</w:t>
        </w:r>
        <w:r>
          <w:rPr>
            <w:noProof/>
            <w:webHidden/>
          </w:rPr>
          <w:tab/>
        </w:r>
        <w:r>
          <w:rPr>
            <w:noProof/>
            <w:webHidden/>
          </w:rPr>
          <w:fldChar w:fldCharType="begin"/>
        </w:r>
        <w:r>
          <w:rPr>
            <w:noProof/>
            <w:webHidden/>
          </w:rPr>
          <w:instrText xml:space="preserve"> PAGEREF _Toc69878903 \h </w:instrText>
        </w:r>
        <w:r>
          <w:rPr>
            <w:noProof/>
            <w:webHidden/>
          </w:rPr>
        </w:r>
        <w:r>
          <w:rPr>
            <w:noProof/>
            <w:webHidden/>
          </w:rPr>
          <w:fldChar w:fldCharType="separate"/>
        </w:r>
        <w:r>
          <w:rPr>
            <w:noProof/>
            <w:webHidden/>
          </w:rPr>
          <w:t>470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04" w:history="1">
        <w:r w:rsidRPr="00CC53E5">
          <w:rPr>
            <w:rStyle w:val="Hyperlink"/>
            <w:noProof/>
          </w:rPr>
          <w:t>2.1.1121</w:t>
        </w:r>
        <w:r>
          <w:rPr>
            <w:rFonts w:asciiTheme="minorHAnsi" w:eastAsiaTheme="minorEastAsia" w:hAnsiTheme="minorHAnsi" w:cstheme="minorBidi"/>
            <w:noProof/>
            <w:sz w:val="22"/>
            <w:szCs w:val="22"/>
          </w:rPr>
          <w:tab/>
        </w:r>
        <w:r w:rsidRPr="00CC53E5">
          <w:rPr>
            <w:rStyle w:val="Hyperlink"/>
            <w:noProof/>
          </w:rPr>
          <w:t>Part 1 Section 19.3.1.17, custData (Customer Data)</w:t>
        </w:r>
        <w:r>
          <w:rPr>
            <w:noProof/>
            <w:webHidden/>
          </w:rPr>
          <w:tab/>
        </w:r>
        <w:r>
          <w:rPr>
            <w:noProof/>
            <w:webHidden/>
          </w:rPr>
          <w:fldChar w:fldCharType="begin"/>
        </w:r>
        <w:r>
          <w:rPr>
            <w:noProof/>
            <w:webHidden/>
          </w:rPr>
          <w:instrText xml:space="preserve"> PAGEREF _Toc69878904 \h </w:instrText>
        </w:r>
        <w:r>
          <w:rPr>
            <w:noProof/>
            <w:webHidden/>
          </w:rPr>
        </w:r>
        <w:r>
          <w:rPr>
            <w:noProof/>
            <w:webHidden/>
          </w:rPr>
          <w:fldChar w:fldCharType="separate"/>
        </w:r>
        <w:r>
          <w:rPr>
            <w:noProof/>
            <w:webHidden/>
          </w:rPr>
          <w:t>470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05" w:history="1">
        <w:r w:rsidRPr="00CC53E5">
          <w:rPr>
            <w:rStyle w:val="Hyperlink"/>
            <w:noProof/>
          </w:rPr>
          <w:t>2.1.1122</w:t>
        </w:r>
        <w:r>
          <w:rPr>
            <w:rFonts w:asciiTheme="minorHAnsi" w:eastAsiaTheme="minorEastAsia" w:hAnsiTheme="minorHAnsi" w:cstheme="minorBidi"/>
            <w:noProof/>
            <w:sz w:val="22"/>
            <w:szCs w:val="22"/>
          </w:rPr>
          <w:tab/>
        </w:r>
        <w:r w:rsidRPr="00CC53E5">
          <w:rPr>
            <w:rStyle w:val="Hyperlink"/>
            <w:noProof/>
          </w:rPr>
          <w:t>Part 1 Section 19.3.1.23, grpSpPr (Group Shape Properties)</w:t>
        </w:r>
        <w:r>
          <w:rPr>
            <w:noProof/>
            <w:webHidden/>
          </w:rPr>
          <w:tab/>
        </w:r>
        <w:r>
          <w:rPr>
            <w:noProof/>
            <w:webHidden/>
          </w:rPr>
          <w:fldChar w:fldCharType="begin"/>
        </w:r>
        <w:r>
          <w:rPr>
            <w:noProof/>
            <w:webHidden/>
          </w:rPr>
          <w:instrText xml:space="preserve"> PAGEREF _Toc69878905 \h </w:instrText>
        </w:r>
        <w:r>
          <w:rPr>
            <w:noProof/>
            <w:webHidden/>
          </w:rPr>
        </w:r>
        <w:r>
          <w:rPr>
            <w:noProof/>
            <w:webHidden/>
          </w:rPr>
          <w:fldChar w:fldCharType="separate"/>
        </w:r>
        <w:r>
          <w:rPr>
            <w:noProof/>
            <w:webHidden/>
          </w:rPr>
          <w:t>470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06" w:history="1">
        <w:r w:rsidRPr="00CC53E5">
          <w:rPr>
            <w:rStyle w:val="Hyperlink"/>
            <w:noProof/>
          </w:rPr>
          <w:t>2.1.1123</w:t>
        </w:r>
        <w:r>
          <w:rPr>
            <w:rFonts w:asciiTheme="minorHAnsi" w:eastAsiaTheme="minorEastAsia" w:hAnsiTheme="minorHAnsi" w:cstheme="minorBidi"/>
            <w:noProof/>
            <w:sz w:val="22"/>
            <w:szCs w:val="22"/>
          </w:rPr>
          <w:tab/>
        </w:r>
        <w:r w:rsidRPr="00CC53E5">
          <w:rPr>
            <w:rStyle w:val="Hyperlink"/>
            <w:noProof/>
          </w:rPr>
          <w:t>Part 1 Section 19.3.1.27, notesMaster (Notes Master)</w:t>
        </w:r>
        <w:r>
          <w:rPr>
            <w:noProof/>
            <w:webHidden/>
          </w:rPr>
          <w:tab/>
        </w:r>
        <w:r>
          <w:rPr>
            <w:noProof/>
            <w:webHidden/>
          </w:rPr>
          <w:fldChar w:fldCharType="begin"/>
        </w:r>
        <w:r>
          <w:rPr>
            <w:noProof/>
            <w:webHidden/>
          </w:rPr>
          <w:instrText xml:space="preserve"> PAGEREF _Toc69878906 \h </w:instrText>
        </w:r>
        <w:r>
          <w:rPr>
            <w:noProof/>
            <w:webHidden/>
          </w:rPr>
        </w:r>
        <w:r>
          <w:rPr>
            <w:noProof/>
            <w:webHidden/>
          </w:rPr>
          <w:fldChar w:fldCharType="separate"/>
        </w:r>
        <w:r>
          <w:rPr>
            <w:noProof/>
            <w:webHidden/>
          </w:rPr>
          <w:t>471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07" w:history="1">
        <w:r w:rsidRPr="00CC53E5">
          <w:rPr>
            <w:rStyle w:val="Hyperlink"/>
            <w:noProof/>
          </w:rPr>
          <w:t>2.1.1124</w:t>
        </w:r>
        <w:r>
          <w:rPr>
            <w:rFonts w:asciiTheme="minorHAnsi" w:eastAsiaTheme="minorEastAsia" w:hAnsiTheme="minorHAnsi" w:cstheme="minorBidi"/>
            <w:noProof/>
            <w:sz w:val="22"/>
            <w:szCs w:val="22"/>
          </w:rPr>
          <w:tab/>
        </w:r>
        <w:r w:rsidRPr="00CC53E5">
          <w:rPr>
            <w:rStyle w:val="Hyperlink"/>
            <w:noProof/>
          </w:rPr>
          <w:t>Part 1 Section 19.3.1.28, notesStyle (Notes Text Style)</w:t>
        </w:r>
        <w:r>
          <w:rPr>
            <w:noProof/>
            <w:webHidden/>
          </w:rPr>
          <w:tab/>
        </w:r>
        <w:r>
          <w:rPr>
            <w:noProof/>
            <w:webHidden/>
          </w:rPr>
          <w:fldChar w:fldCharType="begin"/>
        </w:r>
        <w:r>
          <w:rPr>
            <w:noProof/>
            <w:webHidden/>
          </w:rPr>
          <w:instrText xml:space="preserve"> PAGEREF _Toc69878907 \h </w:instrText>
        </w:r>
        <w:r>
          <w:rPr>
            <w:noProof/>
            <w:webHidden/>
          </w:rPr>
        </w:r>
        <w:r>
          <w:rPr>
            <w:noProof/>
            <w:webHidden/>
          </w:rPr>
          <w:fldChar w:fldCharType="separate"/>
        </w:r>
        <w:r>
          <w:rPr>
            <w:noProof/>
            <w:webHidden/>
          </w:rPr>
          <w:t>471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08" w:history="1">
        <w:r w:rsidRPr="00CC53E5">
          <w:rPr>
            <w:rStyle w:val="Hyperlink"/>
            <w:noProof/>
          </w:rPr>
          <w:t>2.1.1125</w:t>
        </w:r>
        <w:r>
          <w:rPr>
            <w:rFonts w:asciiTheme="minorHAnsi" w:eastAsiaTheme="minorEastAsia" w:hAnsiTheme="minorHAnsi" w:cstheme="minorBidi"/>
            <w:noProof/>
            <w:sz w:val="22"/>
            <w:szCs w:val="22"/>
          </w:rPr>
          <w:tab/>
        </w:r>
        <w:r w:rsidRPr="00CC53E5">
          <w:rPr>
            <w:rStyle w:val="Hyperlink"/>
            <w:noProof/>
          </w:rPr>
          <w:t>Part 1 Section 19.3.1.33, nvPr (Non-Visual Properties)</w:t>
        </w:r>
        <w:r>
          <w:rPr>
            <w:noProof/>
            <w:webHidden/>
          </w:rPr>
          <w:tab/>
        </w:r>
        <w:r>
          <w:rPr>
            <w:noProof/>
            <w:webHidden/>
          </w:rPr>
          <w:fldChar w:fldCharType="begin"/>
        </w:r>
        <w:r>
          <w:rPr>
            <w:noProof/>
            <w:webHidden/>
          </w:rPr>
          <w:instrText xml:space="preserve"> PAGEREF _Toc69878908 \h </w:instrText>
        </w:r>
        <w:r>
          <w:rPr>
            <w:noProof/>
            <w:webHidden/>
          </w:rPr>
        </w:r>
        <w:r>
          <w:rPr>
            <w:noProof/>
            <w:webHidden/>
          </w:rPr>
          <w:fldChar w:fldCharType="separate"/>
        </w:r>
        <w:r>
          <w:rPr>
            <w:noProof/>
            <w:webHidden/>
          </w:rPr>
          <w:t>471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09" w:history="1">
        <w:r w:rsidRPr="00CC53E5">
          <w:rPr>
            <w:rStyle w:val="Hyperlink"/>
            <w:noProof/>
          </w:rPr>
          <w:t>2.1.1126</w:t>
        </w:r>
        <w:r>
          <w:rPr>
            <w:rFonts w:asciiTheme="minorHAnsi" w:eastAsiaTheme="minorEastAsia" w:hAnsiTheme="minorHAnsi" w:cstheme="minorBidi"/>
            <w:noProof/>
            <w:sz w:val="22"/>
            <w:szCs w:val="22"/>
          </w:rPr>
          <w:tab/>
        </w:r>
        <w:r w:rsidRPr="00CC53E5">
          <w:rPr>
            <w:rStyle w:val="Hyperlink"/>
            <w:noProof/>
          </w:rPr>
          <w:t>Part 1 Section 19.3.1.36, ph (Placeholder Shape)</w:t>
        </w:r>
        <w:r>
          <w:rPr>
            <w:noProof/>
            <w:webHidden/>
          </w:rPr>
          <w:tab/>
        </w:r>
        <w:r>
          <w:rPr>
            <w:noProof/>
            <w:webHidden/>
          </w:rPr>
          <w:fldChar w:fldCharType="begin"/>
        </w:r>
        <w:r>
          <w:rPr>
            <w:noProof/>
            <w:webHidden/>
          </w:rPr>
          <w:instrText xml:space="preserve"> PAGEREF _Toc69878909 \h </w:instrText>
        </w:r>
        <w:r>
          <w:rPr>
            <w:noProof/>
            <w:webHidden/>
          </w:rPr>
        </w:r>
        <w:r>
          <w:rPr>
            <w:noProof/>
            <w:webHidden/>
          </w:rPr>
          <w:fldChar w:fldCharType="separate"/>
        </w:r>
        <w:r>
          <w:rPr>
            <w:noProof/>
            <w:webHidden/>
          </w:rPr>
          <w:t>471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10" w:history="1">
        <w:r w:rsidRPr="00CC53E5">
          <w:rPr>
            <w:rStyle w:val="Hyperlink"/>
            <w:noProof/>
          </w:rPr>
          <w:t>2.1.1127</w:t>
        </w:r>
        <w:r>
          <w:rPr>
            <w:rFonts w:asciiTheme="minorHAnsi" w:eastAsiaTheme="minorEastAsia" w:hAnsiTheme="minorHAnsi" w:cstheme="minorBidi"/>
            <w:noProof/>
            <w:sz w:val="22"/>
            <w:szCs w:val="22"/>
          </w:rPr>
          <w:tab/>
        </w:r>
        <w:r w:rsidRPr="00CC53E5">
          <w:rPr>
            <w:rStyle w:val="Hyperlink"/>
            <w:noProof/>
          </w:rPr>
          <w:t>Part 1 Section 19.3.1.38, sld (Presentation Slide)</w:t>
        </w:r>
        <w:r>
          <w:rPr>
            <w:noProof/>
            <w:webHidden/>
          </w:rPr>
          <w:tab/>
        </w:r>
        <w:r>
          <w:rPr>
            <w:noProof/>
            <w:webHidden/>
          </w:rPr>
          <w:fldChar w:fldCharType="begin"/>
        </w:r>
        <w:r>
          <w:rPr>
            <w:noProof/>
            <w:webHidden/>
          </w:rPr>
          <w:instrText xml:space="preserve"> PAGEREF _Toc69878910 \h </w:instrText>
        </w:r>
        <w:r>
          <w:rPr>
            <w:noProof/>
            <w:webHidden/>
          </w:rPr>
        </w:r>
        <w:r>
          <w:rPr>
            <w:noProof/>
            <w:webHidden/>
          </w:rPr>
          <w:fldChar w:fldCharType="separate"/>
        </w:r>
        <w:r>
          <w:rPr>
            <w:noProof/>
            <w:webHidden/>
          </w:rPr>
          <w:t>471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11" w:history="1">
        <w:r w:rsidRPr="00CC53E5">
          <w:rPr>
            <w:rStyle w:val="Hyperlink"/>
            <w:noProof/>
          </w:rPr>
          <w:t>2.1.1128</w:t>
        </w:r>
        <w:r>
          <w:rPr>
            <w:rFonts w:asciiTheme="minorHAnsi" w:eastAsiaTheme="minorEastAsia" w:hAnsiTheme="minorHAnsi" w:cstheme="minorBidi"/>
            <w:noProof/>
            <w:sz w:val="22"/>
            <w:szCs w:val="22"/>
          </w:rPr>
          <w:tab/>
        </w:r>
        <w:r w:rsidRPr="00CC53E5">
          <w:rPr>
            <w:rStyle w:val="Hyperlink"/>
            <w:noProof/>
          </w:rPr>
          <w:t>Part 1 Section 19.3.1.44, spPr (Shape Properties)</w:t>
        </w:r>
        <w:r>
          <w:rPr>
            <w:noProof/>
            <w:webHidden/>
          </w:rPr>
          <w:tab/>
        </w:r>
        <w:r>
          <w:rPr>
            <w:noProof/>
            <w:webHidden/>
          </w:rPr>
          <w:fldChar w:fldCharType="begin"/>
        </w:r>
        <w:r>
          <w:rPr>
            <w:noProof/>
            <w:webHidden/>
          </w:rPr>
          <w:instrText xml:space="preserve"> PAGEREF _Toc69878911 \h </w:instrText>
        </w:r>
        <w:r>
          <w:rPr>
            <w:noProof/>
            <w:webHidden/>
          </w:rPr>
        </w:r>
        <w:r>
          <w:rPr>
            <w:noProof/>
            <w:webHidden/>
          </w:rPr>
          <w:fldChar w:fldCharType="separate"/>
        </w:r>
        <w:r>
          <w:rPr>
            <w:noProof/>
            <w:webHidden/>
          </w:rPr>
          <w:t>472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12" w:history="1">
        <w:r w:rsidRPr="00CC53E5">
          <w:rPr>
            <w:rStyle w:val="Hyperlink"/>
            <w:noProof/>
          </w:rPr>
          <w:t>2.1.1129</w:t>
        </w:r>
        <w:r>
          <w:rPr>
            <w:rFonts w:asciiTheme="minorHAnsi" w:eastAsiaTheme="minorEastAsia" w:hAnsiTheme="minorHAnsi" w:cstheme="minorBidi"/>
            <w:noProof/>
            <w:sz w:val="22"/>
            <w:szCs w:val="22"/>
          </w:rPr>
          <w:tab/>
        </w:r>
        <w:r w:rsidRPr="00CC53E5">
          <w:rPr>
            <w:rStyle w:val="Hyperlink"/>
            <w:noProof/>
          </w:rPr>
          <w:t>Part 1 Section 19.3.1.53, xfrm (2D Transform for Graphic Frame)</w:t>
        </w:r>
        <w:r>
          <w:rPr>
            <w:noProof/>
            <w:webHidden/>
          </w:rPr>
          <w:tab/>
        </w:r>
        <w:r>
          <w:rPr>
            <w:noProof/>
            <w:webHidden/>
          </w:rPr>
          <w:fldChar w:fldCharType="begin"/>
        </w:r>
        <w:r>
          <w:rPr>
            <w:noProof/>
            <w:webHidden/>
          </w:rPr>
          <w:instrText xml:space="preserve"> PAGEREF _Toc69878912 \h </w:instrText>
        </w:r>
        <w:r>
          <w:rPr>
            <w:noProof/>
            <w:webHidden/>
          </w:rPr>
        </w:r>
        <w:r>
          <w:rPr>
            <w:noProof/>
            <w:webHidden/>
          </w:rPr>
          <w:fldChar w:fldCharType="separate"/>
        </w:r>
        <w:r>
          <w:rPr>
            <w:noProof/>
            <w:webHidden/>
          </w:rPr>
          <w:t>472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13" w:history="1">
        <w:r w:rsidRPr="00CC53E5">
          <w:rPr>
            <w:rStyle w:val="Hyperlink"/>
            <w:noProof/>
          </w:rPr>
          <w:t>2.1.1130</w:t>
        </w:r>
        <w:r>
          <w:rPr>
            <w:rFonts w:asciiTheme="minorHAnsi" w:eastAsiaTheme="minorEastAsia" w:hAnsiTheme="minorHAnsi" w:cstheme="minorBidi"/>
            <w:noProof/>
            <w:sz w:val="22"/>
            <w:szCs w:val="22"/>
          </w:rPr>
          <w:tab/>
        </w:r>
        <w:r w:rsidRPr="00CC53E5">
          <w:rPr>
            <w:rStyle w:val="Hyperlink"/>
            <w:noProof/>
          </w:rPr>
          <w:t>Part 1 Section 19.3.2.1, control (Embedded Control)</w:t>
        </w:r>
        <w:r>
          <w:rPr>
            <w:noProof/>
            <w:webHidden/>
          </w:rPr>
          <w:tab/>
        </w:r>
        <w:r>
          <w:rPr>
            <w:noProof/>
            <w:webHidden/>
          </w:rPr>
          <w:fldChar w:fldCharType="begin"/>
        </w:r>
        <w:r>
          <w:rPr>
            <w:noProof/>
            <w:webHidden/>
          </w:rPr>
          <w:instrText xml:space="preserve"> PAGEREF _Toc69878913 \h </w:instrText>
        </w:r>
        <w:r>
          <w:rPr>
            <w:noProof/>
            <w:webHidden/>
          </w:rPr>
        </w:r>
        <w:r>
          <w:rPr>
            <w:noProof/>
            <w:webHidden/>
          </w:rPr>
          <w:fldChar w:fldCharType="separate"/>
        </w:r>
        <w:r>
          <w:rPr>
            <w:noProof/>
            <w:webHidden/>
          </w:rPr>
          <w:t>472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14" w:history="1">
        <w:r w:rsidRPr="00CC53E5">
          <w:rPr>
            <w:rStyle w:val="Hyperlink"/>
            <w:noProof/>
          </w:rPr>
          <w:t>2.1.1131</w:t>
        </w:r>
        <w:r>
          <w:rPr>
            <w:rFonts w:asciiTheme="minorHAnsi" w:eastAsiaTheme="minorEastAsia" w:hAnsiTheme="minorHAnsi" w:cstheme="minorBidi"/>
            <w:noProof/>
            <w:sz w:val="22"/>
            <w:szCs w:val="22"/>
          </w:rPr>
          <w:tab/>
        </w:r>
        <w:r w:rsidRPr="00CC53E5">
          <w:rPr>
            <w:rStyle w:val="Hyperlink"/>
            <w:noProof/>
          </w:rPr>
          <w:t>Part 1 Section 19.3.2.2, embed (Embedded Object or Control)</w:t>
        </w:r>
        <w:r>
          <w:rPr>
            <w:noProof/>
            <w:webHidden/>
          </w:rPr>
          <w:tab/>
        </w:r>
        <w:r>
          <w:rPr>
            <w:noProof/>
            <w:webHidden/>
          </w:rPr>
          <w:fldChar w:fldCharType="begin"/>
        </w:r>
        <w:r>
          <w:rPr>
            <w:noProof/>
            <w:webHidden/>
          </w:rPr>
          <w:instrText xml:space="preserve"> PAGEREF _Toc69878914 \h </w:instrText>
        </w:r>
        <w:r>
          <w:rPr>
            <w:noProof/>
            <w:webHidden/>
          </w:rPr>
        </w:r>
        <w:r>
          <w:rPr>
            <w:noProof/>
            <w:webHidden/>
          </w:rPr>
          <w:fldChar w:fldCharType="separate"/>
        </w:r>
        <w:r>
          <w:rPr>
            <w:noProof/>
            <w:webHidden/>
          </w:rPr>
          <w:t>472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15" w:history="1">
        <w:r w:rsidRPr="00CC53E5">
          <w:rPr>
            <w:rStyle w:val="Hyperlink"/>
            <w:noProof/>
          </w:rPr>
          <w:t>2.1.1132</w:t>
        </w:r>
        <w:r>
          <w:rPr>
            <w:rFonts w:asciiTheme="minorHAnsi" w:eastAsiaTheme="minorEastAsia" w:hAnsiTheme="minorHAnsi" w:cstheme="minorBidi"/>
            <w:noProof/>
            <w:sz w:val="22"/>
            <w:szCs w:val="22"/>
          </w:rPr>
          <w:tab/>
        </w:r>
        <w:r w:rsidRPr="00CC53E5">
          <w:rPr>
            <w:rStyle w:val="Hyperlink"/>
            <w:noProof/>
          </w:rPr>
          <w:t>Part 1 Section 19.3.2.3, link (Linked Object or Control)</w:t>
        </w:r>
        <w:r>
          <w:rPr>
            <w:noProof/>
            <w:webHidden/>
          </w:rPr>
          <w:tab/>
        </w:r>
        <w:r>
          <w:rPr>
            <w:noProof/>
            <w:webHidden/>
          </w:rPr>
          <w:fldChar w:fldCharType="begin"/>
        </w:r>
        <w:r>
          <w:rPr>
            <w:noProof/>
            <w:webHidden/>
          </w:rPr>
          <w:instrText xml:space="preserve"> PAGEREF _Toc69878915 \h </w:instrText>
        </w:r>
        <w:r>
          <w:rPr>
            <w:noProof/>
            <w:webHidden/>
          </w:rPr>
        </w:r>
        <w:r>
          <w:rPr>
            <w:noProof/>
            <w:webHidden/>
          </w:rPr>
          <w:fldChar w:fldCharType="separate"/>
        </w:r>
        <w:r>
          <w:rPr>
            <w:noProof/>
            <w:webHidden/>
          </w:rPr>
          <w:t>472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16" w:history="1">
        <w:r w:rsidRPr="00CC53E5">
          <w:rPr>
            <w:rStyle w:val="Hyperlink"/>
            <w:noProof/>
          </w:rPr>
          <w:t>2.1.1133</w:t>
        </w:r>
        <w:r>
          <w:rPr>
            <w:rFonts w:asciiTheme="minorHAnsi" w:eastAsiaTheme="minorEastAsia" w:hAnsiTheme="minorHAnsi" w:cstheme="minorBidi"/>
            <w:noProof/>
            <w:sz w:val="22"/>
            <w:szCs w:val="22"/>
          </w:rPr>
          <w:tab/>
        </w:r>
        <w:r w:rsidRPr="00CC53E5">
          <w:rPr>
            <w:rStyle w:val="Hyperlink"/>
            <w:noProof/>
          </w:rPr>
          <w:t>Part 1 Section 19.3.2.4, oleObj (Global Element for Embedded objects and Controls)</w:t>
        </w:r>
        <w:r>
          <w:rPr>
            <w:noProof/>
            <w:webHidden/>
          </w:rPr>
          <w:tab/>
        </w:r>
        <w:r>
          <w:rPr>
            <w:noProof/>
            <w:webHidden/>
          </w:rPr>
          <w:fldChar w:fldCharType="begin"/>
        </w:r>
        <w:r>
          <w:rPr>
            <w:noProof/>
            <w:webHidden/>
          </w:rPr>
          <w:instrText xml:space="preserve"> PAGEREF _Toc69878916 \h </w:instrText>
        </w:r>
        <w:r>
          <w:rPr>
            <w:noProof/>
            <w:webHidden/>
          </w:rPr>
        </w:r>
        <w:r>
          <w:rPr>
            <w:noProof/>
            <w:webHidden/>
          </w:rPr>
          <w:fldChar w:fldCharType="separate"/>
        </w:r>
        <w:r>
          <w:rPr>
            <w:noProof/>
            <w:webHidden/>
          </w:rPr>
          <w:t>472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17" w:history="1">
        <w:r w:rsidRPr="00CC53E5">
          <w:rPr>
            <w:rStyle w:val="Hyperlink"/>
            <w:noProof/>
          </w:rPr>
          <w:t>2.1.1134</w:t>
        </w:r>
        <w:r>
          <w:rPr>
            <w:rFonts w:asciiTheme="minorHAnsi" w:eastAsiaTheme="minorEastAsia" w:hAnsiTheme="minorHAnsi" w:cstheme="minorBidi"/>
            <w:noProof/>
            <w:sz w:val="22"/>
            <w:szCs w:val="22"/>
          </w:rPr>
          <w:tab/>
        </w:r>
        <w:r w:rsidRPr="00CC53E5">
          <w:rPr>
            <w:rStyle w:val="Hyperlink"/>
            <w:noProof/>
          </w:rPr>
          <w:t>Part 1 Section 19.3.3.1, tag (Programmable Extensibility Tag)</w:t>
        </w:r>
        <w:r>
          <w:rPr>
            <w:noProof/>
            <w:webHidden/>
          </w:rPr>
          <w:tab/>
        </w:r>
        <w:r>
          <w:rPr>
            <w:noProof/>
            <w:webHidden/>
          </w:rPr>
          <w:fldChar w:fldCharType="begin"/>
        </w:r>
        <w:r>
          <w:rPr>
            <w:noProof/>
            <w:webHidden/>
          </w:rPr>
          <w:instrText xml:space="preserve"> PAGEREF _Toc69878917 \h </w:instrText>
        </w:r>
        <w:r>
          <w:rPr>
            <w:noProof/>
            <w:webHidden/>
          </w:rPr>
        </w:r>
        <w:r>
          <w:rPr>
            <w:noProof/>
            <w:webHidden/>
          </w:rPr>
          <w:fldChar w:fldCharType="separate"/>
        </w:r>
        <w:r>
          <w:rPr>
            <w:noProof/>
            <w:webHidden/>
          </w:rPr>
          <w:t>473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18" w:history="1">
        <w:r w:rsidRPr="00CC53E5">
          <w:rPr>
            <w:rStyle w:val="Hyperlink"/>
            <w:noProof/>
          </w:rPr>
          <w:t>2.1.1135</w:t>
        </w:r>
        <w:r>
          <w:rPr>
            <w:rFonts w:asciiTheme="minorHAnsi" w:eastAsiaTheme="minorEastAsia" w:hAnsiTheme="minorHAnsi" w:cstheme="minorBidi"/>
            <w:noProof/>
            <w:sz w:val="22"/>
            <w:szCs w:val="22"/>
          </w:rPr>
          <w:tab/>
        </w:r>
        <w:r w:rsidRPr="00CC53E5">
          <w:rPr>
            <w:rStyle w:val="Hyperlink"/>
            <w:noProof/>
          </w:rPr>
          <w:t>Part 1 Section 19.4.1, cm (Comment)</w:t>
        </w:r>
        <w:r>
          <w:rPr>
            <w:noProof/>
            <w:webHidden/>
          </w:rPr>
          <w:tab/>
        </w:r>
        <w:r>
          <w:rPr>
            <w:noProof/>
            <w:webHidden/>
          </w:rPr>
          <w:fldChar w:fldCharType="begin"/>
        </w:r>
        <w:r>
          <w:rPr>
            <w:noProof/>
            <w:webHidden/>
          </w:rPr>
          <w:instrText xml:space="preserve"> PAGEREF _Toc69878918 \h </w:instrText>
        </w:r>
        <w:r>
          <w:rPr>
            <w:noProof/>
            <w:webHidden/>
          </w:rPr>
        </w:r>
        <w:r>
          <w:rPr>
            <w:noProof/>
            <w:webHidden/>
          </w:rPr>
          <w:fldChar w:fldCharType="separate"/>
        </w:r>
        <w:r>
          <w:rPr>
            <w:noProof/>
            <w:webHidden/>
          </w:rPr>
          <w:t>473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19" w:history="1">
        <w:r w:rsidRPr="00CC53E5">
          <w:rPr>
            <w:rStyle w:val="Hyperlink"/>
            <w:noProof/>
          </w:rPr>
          <w:t>2.1.1136</w:t>
        </w:r>
        <w:r>
          <w:rPr>
            <w:rFonts w:asciiTheme="minorHAnsi" w:eastAsiaTheme="minorEastAsia" w:hAnsiTheme="minorHAnsi" w:cstheme="minorBidi"/>
            <w:noProof/>
            <w:sz w:val="22"/>
            <w:szCs w:val="22"/>
          </w:rPr>
          <w:tab/>
        </w:r>
        <w:r w:rsidRPr="00CC53E5">
          <w:rPr>
            <w:rStyle w:val="Hyperlink"/>
            <w:noProof/>
          </w:rPr>
          <w:t>Part 1 Section 19.4.5, pos (Comment Position)</w:t>
        </w:r>
        <w:r>
          <w:rPr>
            <w:noProof/>
            <w:webHidden/>
          </w:rPr>
          <w:tab/>
        </w:r>
        <w:r>
          <w:rPr>
            <w:noProof/>
            <w:webHidden/>
          </w:rPr>
          <w:fldChar w:fldCharType="begin"/>
        </w:r>
        <w:r>
          <w:rPr>
            <w:noProof/>
            <w:webHidden/>
          </w:rPr>
          <w:instrText xml:space="preserve"> PAGEREF _Toc69878919 \h </w:instrText>
        </w:r>
        <w:r>
          <w:rPr>
            <w:noProof/>
            <w:webHidden/>
          </w:rPr>
        </w:r>
        <w:r>
          <w:rPr>
            <w:noProof/>
            <w:webHidden/>
          </w:rPr>
          <w:fldChar w:fldCharType="separate"/>
        </w:r>
        <w:r>
          <w:rPr>
            <w:noProof/>
            <w:webHidden/>
          </w:rPr>
          <w:t>474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20" w:history="1">
        <w:r w:rsidRPr="00CC53E5">
          <w:rPr>
            <w:rStyle w:val="Hyperlink"/>
            <w:noProof/>
          </w:rPr>
          <w:t>2.1.1137</w:t>
        </w:r>
        <w:r>
          <w:rPr>
            <w:rFonts w:asciiTheme="minorHAnsi" w:eastAsiaTheme="minorEastAsia" w:hAnsiTheme="minorHAnsi" w:cstheme="minorBidi"/>
            <w:noProof/>
            <w:sz w:val="22"/>
            <w:szCs w:val="22"/>
          </w:rPr>
          <w:tab/>
        </w:r>
        <w:r w:rsidRPr="00CC53E5">
          <w:rPr>
            <w:rStyle w:val="Hyperlink"/>
            <w:noProof/>
          </w:rPr>
          <w:t>Part 1 Section 19.5.1, anim (Animate)</w:t>
        </w:r>
        <w:r>
          <w:rPr>
            <w:noProof/>
            <w:webHidden/>
          </w:rPr>
          <w:tab/>
        </w:r>
        <w:r>
          <w:rPr>
            <w:noProof/>
            <w:webHidden/>
          </w:rPr>
          <w:fldChar w:fldCharType="begin"/>
        </w:r>
        <w:r>
          <w:rPr>
            <w:noProof/>
            <w:webHidden/>
          </w:rPr>
          <w:instrText xml:space="preserve"> PAGEREF _Toc69878920 \h </w:instrText>
        </w:r>
        <w:r>
          <w:rPr>
            <w:noProof/>
            <w:webHidden/>
          </w:rPr>
        </w:r>
        <w:r>
          <w:rPr>
            <w:noProof/>
            <w:webHidden/>
          </w:rPr>
          <w:fldChar w:fldCharType="separate"/>
        </w:r>
        <w:r>
          <w:rPr>
            <w:noProof/>
            <w:webHidden/>
          </w:rPr>
          <w:t>474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21" w:history="1">
        <w:r w:rsidRPr="00CC53E5">
          <w:rPr>
            <w:rStyle w:val="Hyperlink"/>
            <w:noProof/>
          </w:rPr>
          <w:t>2.1.1138</w:t>
        </w:r>
        <w:r>
          <w:rPr>
            <w:rFonts w:asciiTheme="minorHAnsi" w:eastAsiaTheme="minorEastAsia" w:hAnsiTheme="minorHAnsi" w:cstheme="minorBidi"/>
            <w:noProof/>
            <w:sz w:val="22"/>
            <w:szCs w:val="22"/>
          </w:rPr>
          <w:tab/>
        </w:r>
        <w:r w:rsidRPr="00CC53E5">
          <w:rPr>
            <w:rStyle w:val="Hyperlink"/>
            <w:noProof/>
          </w:rPr>
          <w:t>Part 1 Section 19.5.2, animClr (Animate Color Behavior)</w:t>
        </w:r>
        <w:r>
          <w:rPr>
            <w:noProof/>
            <w:webHidden/>
          </w:rPr>
          <w:tab/>
        </w:r>
        <w:r>
          <w:rPr>
            <w:noProof/>
            <w:webHidden/>
          </w:rPr>
          <w:fldChar w:fldCharType="begin"/>
        </w:r>
        <w:r>
          <w:rPr>
            <w:noProof/>
            <w:webHidden/>
          </w:rPr>
          <w:instrText xml:space="preserve"> PAGEREF _Toc69878921 \h </w:instrText>
        </w:r>
        <w:r>
          <w:rPr>
            <w:noProof/>
            <w:webHidden/>
          </w:rPr>
        </w:r>
        <w:r>
          <w:rPr>
            <w:noProof/>
            <w:webHidden/>
          </w:rPr>
          <w:fldChar w:fldCharType="separate"/>
        </w:r>
        <w:r>
          <w:rPr>
            <w:noProof/>
            <w:webHidden/>
          </w:rPr>
          <w:t>475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22" w:history="1">
        <w:r w:rsidRPr="00CC53E5">
          <w:rPr>
            <w:rStyle w:val="Hyperlink"/>
            <w:noProof/>
          </w:rPr>
          <w:t>2.1.1139</w:t>
        </w:r>
        <w:r>
          <w:rPr>
            <w:rFonts w:asciiTheme="minorHAnsi" w:eastAsiaTheme="minorEastAsia" w:hAnsiTheme="minorHAnsi" w:cstheme="minorBidi"/>
            <w:noProof/>
            <w:sz w:val="22"/>
            <w:szCs w:val="22"/>
          </w:rPr>
          <w:tab/>
        </w:r>
        <w:r w:rsidRPr="00CC53E5">
          <w:rPr>
            <w:rStyle w:val="Hyperlink"/>
            <w:noProof/>
          </w:rPr>
          <w:t>Part 1 Section 19.5.3, animEffect (Animate Effect)</w:t>
        </w:r>
        <w:r>
          <w:rPr>
            <w:noProof/>
            <w:webHidden/>
          </w:rPr>
          <w:tab/>
        </w:r>
        <w:r>
          <w:rPr>
            <w:noProof/>
            <w:webHidden/>
          </w:rPr>
          <w:fldChar w:fldCharType="begin"/>
        </w:r>
        <w:r>
          <w:rPr>
            <w:noProof/>
            <w:webHidden/>
          </w:rPr>
          <w:instrText xml:space="preserve"> PAGEREF _Toc69878922 \h </w:instrText>
        </w:r>
        <w:r>
          <w:rPr>
            <w:noProof/>
            <w:webHidden/>
          </w:rPr>
        </w:r>
        <w:r>
          <w:rPr>
            <w:noProof/>
            <w:webHidden/>
          </w:rPr>
          <w:fldChar w:fldCharType="separate"/>
        </w:r>
        <w:r>
          <w:rPr>
            <w:noProof/>
            <w:webHidden/>
          </w:rPr>
          <w:t>475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23" w:history="1">
        <w:r w:rsidRPr="00CC53E5">
          <w:rPr>
            <w:rStyle w:val="Hyperlink"/>
            <w:noProof/>
          </w:rPr>
          <w:t>2.1.1140</w:t>
        </w:r>
        <w:r>
          <w:rPr>
            <w:rFonts w:asciiTheme="minorHAnsi" w:eastAsiaTheme="minorEastAsia" w:hAnsiTheme="minorHAnsi" w:cstheme="minorBidi"/>
            <w:noProof/>
            <w:sz w:val="22"/>
            <w:szCs w:val="22"/>
          </w:rPr>
          <w:tab/>
        </w:r>
        <w:r w:rsidRPr="00CC53E5">
          <w:rPr>
            <w:rStyle w:val="Hyperlink"/>
            <w:noProof/>
          </w:rPr>
          <w:t>Part 1 Section 19.5.4, animMotion (Animate Motion)</w:t>
        </w:r>
        <w:r>
          <w:rPr>
            <w:noProof/>
            <w:webHidden/>
          </w:rPr>
          <w:tab/>
        </w:r>
        <w:r>
          <w:rPr>
            <w:noProof/>
            <w:webHidden/>
          </w:rPr>
          <w:fldChar w:fldCharType="begin"/>
        </w:r>
        <w:r>
          <w:rPr>
            <w:noProof/>
            <w:webHidden/>
          </w:rPr>
          <w:instrText xml:space="preserve"> PAGEREF _Toc69878923 \h </w:instrText>
        </w:r>
        <w:r>
          <w:rPr>
            <w:noProof/>
            <w:webHidden/>
          </w:rPr>
        </w:r>
        <w:r>
          <w:rPr>
            <w:noProof/>
            <w:webHidden/>
          </w:rPr>
          <w:fldChar w:fldCharType="separate"/>
        </w:r>
        <w:r>
          <w:rPr>
            <w:noProof/>
            <w:webHidden/>
          </w:rPr>
          <w:t>476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24" w:history="1">
        <w:r w:rsidRPr="00CC53E5">
          <w:rPr>
            <w:rStyle w:val="Hyperlink"/>
            <w:noProof/>
          </w:rPr>
          <w:t>2.1.1141</w:t>
        </w:r>
        <w:r>
          <w:rPr>
            <w:rFonts w:asciiTheme="minorHAnsi" w:eastAsiaTheme="minorEastAsia" w:hAnsiTheme="minorHAnsi" w:cstheme="minorBidi"/>
            <w:noProof/>
            <w:sz w:val="22"/>
            <w:szCs w:val="22"/>
          </w:rPr>
          <w:tab/>
        </w:r>
        <w:r w:rsidRPr="00CC53E5">
          <w:rPr>
            <w:rStyle w:val="Hyperlink"/>
            <w:noProof/>
          </w:rPr>
          <w:t>Part 1 Section 19.5.5, animRot (Animate Rotation)</w:t>
        </w:r>
        <w:r>
          <w:rPr>
            <w:noProof/>
            <w:webHidden/>
          </w:rPr>
          <w:tab/>
        </w:r>
        <w:r>
          <w:rPr>
            <w:noProof/>
            <w:webHidden/>
          </w:rPr>
          <w:fldChar w:fldCharType="begin"/>
        </w:r>
        <w:r>
          <w:rPr>
            <w:noProof/>
            <w:webHidden/>
          </w:rPr>
          <w:instrText xml:space="preserve"> PAGEREF _Toc69878924 \h </w:instrText>
        </w:r>
        <w:r>
          <w:rPr>
            <w:noProof/>
            <w:webHidden/>
          </w:rPr>
        </w:r>
        <w:r>
          <w:rPr>
            <w:noProof/>
            <w:webHidden/>
          </w:rPr>
          <w:fldChar w:fldCharType="separate"/>
        </w:r>
        <w:r>
          <w:rPr>
            <w:noProof/>
            <w:webHidden/>
          </w:rPr>
          <w:t>477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25" w:history="1">
        <w:r w:rsidRPr="00CC53E5">
          <w:rPr>
            <w:rStyle w:val="Hyperlink"/>
            <w:noProof/>
          </w:rPr>
          <w:t>2.1.1142</w:t>
        </w:r>
        <w:r>
          <w:rPr>
            <w:rFonts w:asciiTheme="minorHAnsi" w:eastAsiaTheme="minorEastAsia" w:hAnsiTheme="minorHAnsi" w:cstheme="minorBidi"/>
            <w:noProof/>
            <w:sz w:val="22"/>
            <w:szCs w:val="22"/>
          </w:rPr>
          <w:tab/>
        </w:r>
        <w:r w:rsidRPr="00CC53E5">
          <w:rPr>
            <w:rStyle w:val="Hyperlink"/>
            <w:noProof/>
          </w:rPr>
          <w:t>Part 1 Section 19.5.6, animScale (Animate Scale)</w:t>
        </w:r>
        <w:r>
          <w:rPr>
            <w:noProof/>
            <w:webHidden/>
          </w:rPr>
          <w:tab/>
        </w:r>
        <w:r>
          <w:rPr>
            <w:noProof/>
            <w:webHidden/>
          </w:rPr>
          <w:fldChar w:fldCharType="begin"/>
        </w:r>
        <w:r>
          <w:rPr>
            <w:noProof/>
            <w:webHidden/>
          </w:rPr>
          <w:instrText xml:space="preserve"> PAGEREF _Toc69878925 \h </w:instrText>
        </w:r>
        <w:r>
          <w:rPr>
            <w:noProof/>
            <w:webHidden/>
          </w:rPr>
        </w:r>
        <w:r>
          <w:rPr>
            <w:noProof/>
            <w:webHidden/>
          </w:rPr>
          <w:fldChar w:fldCharType="separate"/>
        </w:r>
        <w:r>
          <w:rPr>
            <w:noProof/>
            <w:webHidden/>
          </w:rPr>
          <w:t>478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26" w:history="1">
        <w:r w:rsidRPr="00CC53E5">
          <w:rPr>
            <w:rStyle w:val="Hyperlink"/>
            <w:noProof/>
          </w:rPr>
          <w:t>2.1.1143</w:t>
        </w:r>
        <w:r>
          <w:rPr>
            <w:rFonts w:asciiTheme="minorHAnsi" w:eastAsiaTheme="minorEastAsia" w:hAnsiTheme="minorHAnsi" w:cstheme="minorBidi"/>
            <w:noProof/>
            <w:sz w:val="22"/>
            <w:szCs w:val="22"/>
          </w:rPr>
          <w:tab/>
        </w:r>
        <w:r w:rsidRPr="00CC53E5">
          <w:rPr>
            <w:rStyle w:val="Hyperlink"/>
            <w:noProof/>
          </w:rPr>
          <w:t>Part 1 Section 19.5.7, attrName (Attribute Name)</w:t>
        </w:r>
        <w:r>
          <w:rPr>
            <w:noProof/>
            <w:webHidden/>
          </w:rPr>
          <w:tab/>
        </w:r>
        <w:r>
          <w:rPr>
            <w:noProof/>
            <w:webHidden/>
          </w:rPr>
          <w:fldChar w:fldCharType="begin"/>
        </w:r>
        <w:r>
          <w:rPr>
            <w:noProof/>
            <w:webHidden/>
          </w:rPr>
          <w:instrText xml:space="preserve"> PAGEREF _Toc69878926 \h </w:instrText>
        </w:r>
        <w:r>
          <w:rPr>
            <w:noProof/>
            <w:webHidden/>
          </w:rPr>
        </w:r>
        <w:r>
          <w:rPr>
            <w:noProof/>
            <w:webHidden/>
          </w:rPr>
          <w:fldChar w:fldCharType="separate"/>
        </w:r>
        <w:r>
          <w:rPr>
            <w:noProof/>
            <w:webHidden/>
          </w:rPr>
          <w:t>478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27" w:history="1">
        <w:r w:rsidRPr="00CC53E5">
          <w:rPr>
            <w:rStyle w:val="Hyperlink"/>
            <w:noProof/>
          </w:rPr>
          <w:t>2.1.1144</w:t>
        </w:r>
        <w:r>
          <w:rPr>
            <w:rFonts w:asciiTheme="minorHAnsi" w:eastAsiaTheme="minorEastAsia" w:hAnsiTheme="minorHAnsi" w:cstheme="minorBidi"/>
            <w:noProof/>
            <w:sz w:val="22"/>
            <w:szCs w:val="22"/>
          </w:rPr>
          <w:tab/>
        </w:r>
        <w:r w:rsidRPr="00CC53E5">
          <w:rPr>
            <w:rStyle w:val="Hyperlink"/>
            <w:noProof/>
          </w:rPr>
          <w:t>Part 1 Section 19.5.9, audio (Audio)</w:t>
        </w:r>
        <w:r>
          <w:rPr>
            <w:noProof/>
            <w:webHidden/>
          </w:rPr>
          <w:tab/>
        </w:r>
        <w:r>
          <w:rPr>
            <w:noProof/>
            <w:webHidden/>
          </w:rPr>
          <w:fldChar w:fldCharType="begin"/>
        </w:r>
        <w:r>
          <w:rPr>
            <w:noProof/>
            <w:webHidden/>
          </w:rPr>
          <w:instrText xml:space="preserve"> PAGEREF _Toc69878927 \h </w:instrText>
        </w:r>
        <w:r>
          <w:rPr>
            <w:noProof/>
            <w:webHidden/>
          </w:rPr>
        </w:r>
        <w:r>
          <w:rPr>
            <w:noProof/>
            <w:webHidden/>
          </w:rPr>
          <w:fldChar w:fldCharType="separate"/>
        </w:r>
        <w:r>
          <w:rPr>
            <w:noProof/>
            <w:webHidden/>
          </w:rPr>
          <w:t>479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28" w:history="1">
        <w:r w:rsidRPr="00CC53E5">
          <w:rPr>
            <w:rStyle w:val="Hyperlink"/>
            <w:noProof/>
          </w:rPr>
          <w:t>2.1.1145</w:t>
        </w:r>
        <w:r>
          <w:rPr>
            <w:rFonts w:asciiTheme="minorHAnsi" w:eastAsiaTheme="minorEastAsia" w:hAnsiTheme="minorHAnsi" w:cstheme="minorBidi"/>
            <w:noProof/>
            <w:sz w:val="22"/>
            <w:szCs w:val="22"/>
          </w:rPr>
          <w:tab/>
        </w:r>
        <w:r w:rsidRPr="00CC53E5">
          <w:rPr>
            <w:rStyle w:val="Hyperlink"/>
            <w:noProof/>
          </w:rPr>
          <w:t>Part 1 Section 19.5.12, bldDgm (Build Diagram)</w:t>
        </w:r>
        <w:r>
          <w:rPr>
            <w:noProof/>
            <w:webHidden/>
          </w:rPr>
          <w:tab/>
        </w:r>
        <w:r>
          <w:rPr>
            <w:noProof/>
            <w:webHidden/>
          </w:rPr>
          <w:fldChar w:fldCharType="begin"/>
        </w:r>
        <w:r>
          <w:rPr>
            <w:noProof/>
            <w:webHidden/>
          </w:rPr>
          <w:instrText xml:space="preserve"> PAGEREF _Toc69878928 \h </w:instrText>
        </w:r>
        <w:r>
          <w:rPr>
            <w:noProof/>
            <w:webHidden/>
          </w:rPr>
        </w:r>
        <w:r>
          <w:rPr>
            <w:noProof/>
            <w:webHidden/>
          </w:rPr>
          <w:fldChar w:fldCharType="separate"/>
        </w:r>
        <w:r>
          <w:rPr>
            <w:noProof/>
            <w:webHidden/>
          </w:rPr>
          <w:t>480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29" w:history="1">
        <w:r w:rsidRPr="00CC53E5">
          <w:rPr>
            <w:rStyle w:val="Hyperlink"/>
            <w:noProof/>
          </w:rPr>
          <w:t>2.1.1146</w:t>
        </w:r>
        <w:r>
          <w:rPr>
            <w:rFonts w:asciiTheme="minorHAnsi" w:eastAsiaTheme="minorEastAsia" w:hAnsiTheme="minorHAnsi" w:cstheme="minorBidi"/>
            <w:noProof/>
            <w:sz w:val="22"/>
            <w:szCs w:val="22"/>
          </w:rPr>
          <w:tab/>
        </w:r>
        <w:r w:rsidRPr="00CC53E5">
          <w:rPr>
            <w:rStyle w:val="Hyperlink"/>
            <w:noProof/>
          </w:rPr>
          <w:t>Part 1 Section 19.5.13, bldGraphic (Build Graphics)</w:t>
        </w:r>
        <w:r>
          <w:rPr>
            <w:noProof/>
            <w:webHidden/>
          </w:rPr>
          <w:tab/>
        </w:r>
        <w:r>
          <w:rPr>
            <w:noProof/>
            <w:webHidden/>
          </w:rPr>
          <w:fldChar w:fldCharType="begin"/>
        </w:r>
        <w:r>
          <w:rPr>
            <w:noProof/>
            <w:webHidden/>
          </w:rPr>
          <w:instrText xml:space="preserve"> PAGEREF _Toc69878929 \h </w:instrText>
        </w:r>
        <w:r>
          <w:rPr>
            <w:noProof/>
            <w:webHidden/>
          </w:rPr>
        </w:r>
        <w:r>
          <w:rPr>
            <w:noProof/>
            <w:webHidden/>
          </w:rPr>
          <w:fldChar w:fldCharType="separate"/>
        </w:r>
        <w:r>
          <w:rPr>
            <w:noProof/>
            <w:webHidden/>
          </w:rPr>
          <w:t>480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30" w:history="1">
        <w:r w:rsidRPr="00CC53E5">
          <w:rPr>
            <w:rStyle w:val="Hyperlink"/>
            <w:noProof/>
          </w:rPr>
          <w:t>2.1.1147</w:t>
        </w:r>
        <w:r>
          <w:rPr>
            <w:rFonts w:asciiTheme="minorHAnsi" w:eastAsiaTheme="minorEastAsia" w:hAnsiTheme="minorHAnsi" w:cstheme="minorBidi"/>
            <w:noProof/>
            <w:sz w:val="22"/>
            <w:szCs w:val="22"/>
          </w:rPr>
          <w:tab/>
        </w:r>
        <w:r w:rsidRPr="00CC53E5">
          <w:rPr>
            <w:rStyle w:val="Hyperlink"/>
            <w:noProof/>
          </w:rPr>
          <w:t>Part 1 Section 19.5.15, bldOleChart (Build Embedded Chart)</w:t>
        </w:r>
        <w:r>
          <w:rPr>
            <w:noProof/>
            <w:webHidden/>
          </w:rPr>
          <w:tab/>
        </w:r>
        <w:r>
          <w:rPr>
            <w:noProof/>
            <w:webHidden/>
          </w:rPr>
          <w:fldChar w:fldCharType="begin"/>
        </w:r>
        <w:r>
          <w:rPr>
            <w:noProof/>
            <w:webHidden/>
          </w:rPr>
          <w:instrText xml:space="preserve"> PAGEREF _Toc69878930 \h </w:instrText>
        </w:r>
        <w:r>
          <w:rPr>
            <w:noProof/>
            <w:webHidden/>
          </w:rPr>
        </w:r>
        <w:r>
          <w:rPr>
            <w:noProof/>
            <w:webHidden/>
          </w:rPr>
          <w:fldChar w:fldCharType="separate"/>
        </w:r>
        <w:r>
          <w:rPr>
            <w:noProof/>
            <w:webHidden/>
          </w:rPr>
          <w:t>480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31" w:history="1">
        <w:r w:rsidRPr="00CC53E5">
          <w:rPr>
            <w:rStyle w:val="Hyperlink"/>
            <w:noProof/>
          </w:rPr>
          <w:t>2.1.1148</w:t>
        </w:r>
        <w:r>
          <w:rPr>
            <w:rFonts w:asciiTheme="minorHAnsi" w:eastAsiaTheme="minorEastAsia" w:hAnsiTheme="minorHAnsi" w:cstheme="minorBidi"/>
            <w:noProof/>
            <w:sz w:val="22"/>
            <w:szCs w:val="22"/>
          </w:rPr>
          <w:tab/>
        </w:r>
        <w:r w:rsidRPr="00CC53E5">
          <w:rPr>
            <w:rStyle w:val="Hyperlink"/>
            <w:noProof/>
          </w:rPr>
          <w:t>Part 1 Section 19.5.16, bldP (Build Paragraph)</w:t>
        </w:r>
        <w:r>
          <w:rPr>
            <w:noProof/>
            <w:webHidden/>
          </w:rPr>
          <w:tab/>
        </w:r>
        <w:r>
          <w:rPr>
            <w:noProof/>
            <w:webHidden/>
          </w:rPr>
          <w:fldChar w:fldCharType="begin"/>
        </w:r>
        <w:r>
          <w:rPr>
            <w:noProof/>
            <w:webHidden/>
          </w:rPr>
          <w:instrText xml:space="preserve"> PAGEREF _Toc69878931 \h </w:instrText>
        </w:r>
        <w:r>
          <w:rPr>
            <w:noProof/>
            <w:webHidden/>
          </w:rPr>
        </w:r>
        <w:r>
          <w:rPr>
            <w:noProof/>
            <w:webHidden/>
          </w:rPr>
          <w:fldChar w:fldCharType="separate"/>
        </w:r>
        <w:r>
          <w:rPr>
            <w:noProof/>
            <w:webHidden/>
          </w:rPr>
          <w:t>481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32" w:history="1">
        <w:r w:rsidRPr="00CC53E5">
          <w:rPr>
            <w:rStyle w:val="Hyperlink"/>
            <w:noProof/>
          </w:rPr>
          <w:t>2.1.1149</w:t>
        </w:r>
        <w:r>
          <w:rPr>
            <w:rFonts w:asciiTheme="minorHAnsi" w:eastAsiaTheme="minorEastAsia" w:hAnsiTheme="minorHAnsi" w:cstheme="minorBidi"/>
            <w:noProof/>
            <w:sz w:val="22"/>
            <w:szCs w:val="22"/>
          </w:rPr>
          <w:tab/>
        </w:r>
        <w:r w:rsidRPr="00CC53E5">
          <w:rPr>
            <w:rStyle w:val="Hyperlink"/>
            <w:noProof/>
          </w:rPr>
          <w:t>Part 1 Section 19.5.17, bldSub (Build Sub Elements)</w:t>
        </w:r>
        <w:r>
          <w:rPr>
            <w:noProof/>
            <w:webHidden/>
          </w:rPr>
          <w:tab/>
        </w:r>
        <w:r>
          <w:rPr>
            <w:noProof/>
            <w:webHidden/>
          </w:rPr>
          <w:fldChar w:fldCharType="begin"/>
        </w:r>
        <w:r>
          <w:rPr>
            <w:noProof/>
            <w:webHidden/>
          </w:rPr>
          <w:instrText xml:space="preserve"> PAGEREF _Toc69878932 \h </w:instrText>
        </w:r>
        <w:r>
          <w:rPr>
            <w:noProof/>
            <w:webHidden/>
          </w:rPr>
        </w:r>
        <w:r>
          <w:rPr>
            <w:noProof/>
            <w:webHidden/>
          </w:rPr>
          <w:fldChar w:fldCharType="separate"/>
        </w:r>
        <w:r>
          <w:rPr>
            <w:noProof/>
            <w:webHidden/>
          </w:rPr>
          <w:t>481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33" w:history="1">
        <w:r w:rsidRPr="00CC53E5">
          <w:rPr>
            <w:rStyle w:val="Hyperlink"/>
            <w:noProof/>
          </w:rPr>
          <w:t>2.1.1150</w:t>
        </w:r>
        <w:r>
          <w:rPr>
            <w:rFonts w:asciiTheme="minorHAnsi" w:eastAsiaTheme="minorEastAsia" w:hAnsiTheme="minorHAnsi" w:cstheme="minorBidi"/>
            <w:noProof/>
            <w:sz w:val="22"/>
            <w:szCs w:val="22"/>
          </w:rPr>
          <w:tab/>
        </w:r>
        <w:r w:rsidRPr="00CC53E5">
          <w:rPr>
            <w:rStyle w:val="Hyperlink"/>
            <w:noProof/>
          </w:rPr>
          <w:t>Part 1 Section 19.5.21, by (By)</w:t>
        </w:r>
        <w:r>
          <w:rPr>
            <w:noProof/>
            <w:webHidden/>
          </w:rPr>
          <w:tab/>
        </w:r>
        <w:r>
          <w:rPr>
            <w:noProof/>
            <w:webHidden/>
          </w:rPr>
          <w:fldChar w:fldCharType="begin"/>
        </w:r>
        <w:r>
          <w:rPr>
            <w:noProof/>
            <w:webHidden/>
          </w:rPr>
          <w:instrText xml:space="preserve"> PAGEREF _Toc69878933 \h </w:instrText>
        </w:r>
        <w:r>
          <w:rPr>
            <w:noProof/>
            <w:webHidden/>
          </w:rPr>
        </w:r>
        <w:r>
          <w:rPr>
            <w:noProof/>
            <w:webHidden/>
          </w:rPr>
          <w:fldChar w:fldCharType="separate"/>
        </w:r>
        <w:r>
          <w:rPr>
            <w:noProof/>
            <w:webHidden/>
          </w:rPr>
          <w:t>481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34" w:history="1">
        <w:r w:rsidRPr="00CC53E5">
          <w:rPr>
            <w:rStyle w:val="Hyperlink"/>
            <w:noProof/>
          </w:rPr>
          <w:t>2.1.1151</w:t>
        </w:r>
        <w:r>
          <w:rPr>
            <w:rFonts w:asciiTheme="minorHAnsi" w:eastAsiaTheme="minorEastAsia" w:hAnsiTheme="minorHAnsi" w:cstheme="minorBidi"/>
            <w:noProof/>
            <w:sz w:val="22"/>
            <w:szCs w:val="22"/>
          </w:rPr>
          <w:tab/>
        </w:r>
        <w:r w:rsidRPr="00CC53E5">
          <w:rPr>
            <w:rStyle w:val="Hyperlink"/>
            <w:noProof/>
          </w:rPr>
          <w:t>Part 1 Section 19.5.22, cBhvr (Common Behavior)</w:t>
        </w:r>
        <w:r>
          <w:rPr>
            <w:noProof/>
            <w:webHidden/>
          </w:rPr>
          <w:tab/>
        </w:r>
        <w:r>
          <w:rPr>
            <w:noProof/>
            <w:webHidden/>
          </w:rPr>
          <w:fldChar w:fldCharType="begin"/>
        </w:r>
        <w:r>
          <w:rPr>
            <w:noProof/>
            <w:webHidden/>
          </w:rPr>
          <w:instrText xml:space="preserve"> PAGEREF _Toc69878934 \h </w:instrText>
        </w:r>
        <w:r>
          <w:rPr>
            <w:noProof/>
            <w:webHidden/>
          </w:rPr>
        </w:r>
        <w:r>
          <w:rPr>
            <w:noProof/>
            <w:webHidden/>
          </w:rPr>
          <w:fldChar w:fldCharType="separate"/>
        </w:r>
        <w:r>
          <w:rPr>
            <w:noProof/>
            <w:webHidden/>
          </w:rPr>
          <w:t>482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35" w:history="1">
        <w:r w:rsidRPr="00CC53E5">
          <w:rPr>
            <w:rStyle w:val="Hyperlink"/>
            <w:noProof/>
          </w:rPr>
          <w:t>2.1.1152</w:t>
        </w:r>
        <w:r>
          <w:rPr>
            <w:rFonts w:asciiTheme="minorHAnsi" w:eastAsiaTheme="minorEastAsia" w:hAnsiTheme="minorHAnsi" w:cstheme="minorBidi"/>
            <w:noProof/>
            <w:sz w:val="22"/>
            <w:szCs w:val="22"/>
          </w:rPr>
          <w:tab/>
        </w:r>
        <w:r w:rsidRPr="00CC53E5">
          <w:rPr>
            <w:rStyle w:val="Hyperlink"/>
            <w:noProof/>
          </w:rPr>
          <w:t>Part 1 Section 19.5.23, charRg (Character Range)</w:t>
        </w:r>
        <w:r>
          <w:rPr>
            <w:noProof/>
            <w:webHidden/>
          </w:rPr>
          <w:tab/>
        </w:r>
        <w:r>
          <w:rPr>
            <w:noProof/>
            <w:webHidden/>
          </w:rPr>
          <w:fldChar w:fldCharType="begin"/>
        </w:r>
        <w:r>
          <w:rPr>
            <w:noProof/>
            <w:webHidden/>
          </w:rPr>
          <w:instrText xml:space="preserve"> PAGEREF _Toc69878935 \h </w:instrText>
        </w:r>
        <w:r>
          <w:rPr>
            <w:noProof/>
            <w:webHidden/>
          </w:rPr>
        </w:r>
        <w:r>
          <w:rPr>
            <w:noProof/>
            <w:webHidden/>
          </w:rPr>
          <w:fldChar w:fldCharType="separate"/>
        </w:r>
        <w:r>
          <w:rPr>
            <w:noProof/>
            <w:webHidden/>
          </w:rPr>
          <w:t>483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36" w:history="1">
        <w:r w:rsidRPr="00CC53E5">
          <w:rPr>
            <w:rStyle w:val="Hyperlink"/>
            <w:noProof/>
          </w:rPr>
          <w:t>2.1.1153</w:t>
        </w:r>
        <w:r>
          <w:rPr>
            <w:rFonts w:asciiTheme="minorHAnsi" w:eastAsiaTheme="minorEastAsia" w:hAnsiTheme="minorHAnsi" w:cstheme="minorBidi"/>
            <w:noProof/>
            <w:sz w:val="22"/>
            <w:szCs w:val="22"/>
          </w:rPr>
          <w:tab/>
        </w:r>
        <w:r w:rsidRPr="00CC53E5">
          <w:rPr>
            <w:rStyle w:val="Hyperlink"/>
            <w:noProof/>
          </w:rPr>
          <w:t>Part 1 Section 19.5.28, cmd (Command)</w:t>
        </w:r>
        <w:r>
          <w:rPr>
            <w:noProof/>
            <w:webHidden/>
          </w:rPr>
          <w:tab/>
        </w:r>
        <w:r>
          <w:rPr>
            <w:noProof/>
            <w:webHidden/>
          </w:rPr>
          <w:fldChar w:fldCharType="begin"/>
        </w:r>
        <w:r>
          <w:rPr>
            <w:noProof/>
            <w:webHidden/>
          </w:rPr>
          <w:instrText xml:space="preserve"> PAGEREF _Toc69878936 \h </w:instrText>
        </w:r>
        <w:r>
          <w:rPr>
            <w:noProof/>
            <w:webHidden/>
          </w:rPr>
        </w:r>
        <w:r>
          <w:rPr>
            <w:noProof/>
            <w:webHidden/>
          </w:rPr>
          <w:fldChar w:fldCharType="separate"/>
        </w:r>
        <w:r>
          <w:rPr>
            <w:noProof/>
            <w:webHidden/>
          </w:rPr>
          <w:t>483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37" w:history="1">
        <w:r w:rsidRPr="00CC53E5">
          <w:rPr>
            <w:rStyle w:val="Hyperlink"/>
            <w:noProof/>
          </w:rPr>
          <w:t>2.1.1154</w:t>
        </w:r>
        <w:r>
          <w:rPr>
            <w:rFonts w:asciiTheme="minorHAnsi" w:eastAsiaTheme="minorEastAsia" w:hAnsiTheme="minorHAnsi" w:cstheme="minorBidi"/>
            <w:noProof/>
            <w:sz w:val="22"/>
            <w:szCs w:val="22"/>
          </w:rPr>
          <w:tab/>
        </w:r>
        <w:r w:rsidRPr="00CC53E5">
          <w:rPr>
            <w:rStyle w:val="Hyperlink"/>
            <w:noProof/>
          </w:rPr>
          <w:t>Part 1 Section 19.5.29, cMediaNode (Common Media Node Properties)</w:t>
        </w:r>
        <w:r>
          <w:rPr>
            <w:noProof/>
            <w:webHidden/>
          </w:rPr>
          <w:tab/>
        </w:r>
        <w:r>
          <w:rPr>
            <w:noProof/>
            <w:webHidden/>
          </w:rPr>
          <w:fldChar w:fldCharType="begin"/>
        </w:r>
        <w:r>
          <w:rPr>
            <w:noProof/>
            <w:webHidden/>
          </w:rPr>
          <w:instrText xml:space="preserve"> PAGEREF _Toc69878937 \h </w:instrText>
        </w:r>
        <w:r>
          <w:rPr>
            <w:noProof/>
            <w:webHidden/>
          </w:rPr>
        </w:r>
        <w:r>
          <w:rPr>
            <w:noProof/>
            <w:webHidden/>
          </w:rPr>
          <w:fldChar w:fldCharType="separate"/>
        </w:r>
        <w:r>
          <w:rPr>
            <w:noProof/>
            <w:webHidden/>
          </w:rPr>
          <w:t>484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38" w:history="1">
        <w:r w:rsidRPr="00CC53E5">
          <w:rPr>
            <w:rStyle w:val="Hyperlink"/>
            <w:noProof/>
          </w:rPr>
          <w:t>2.1.1155</w:t>
        </w:r>
        <w:r>
          <w:rPr>
            <w:rFonts w:asciiTheme="minorHAnsi" w:eastAsiaTheme="minorEastAsia" w:hAnsiTheme="minorHAnsi" w:cstheme="minorBidi"/>
            <w:noProof/>
            <w:sz w:val="22"/>
            <w:szCs w:val="22"/>
          </w:rPr>
          <w:tab/>
        </w:r>
        <w:r w:rsidRPr="00CC53E5">
          <w:rPr>
            <w:rStyle w:val="Hyperlink"/>
            <w:noProof/>
          </w:rPr>
          <w:t>Part 1 Section 19.5.31, cond (Condition)</w:t>
        </w:r>
        <w:r>
          <w:rPr>
            <w:noProof/>
            <w:webHidden/>
          </w:rPr>
          <w:tab/>
        </w:r>
        <w:r>
          <w:rPr>
            <w:noProof/>
            <w:webHidden/>
          </w:rPr>
          <w:fldChar w:fldCharType="begin"/>
        </w:r>
        <w:r>
          <w:rPr>
            <w:noProof/>
            <w:webHidden/>
          </w:rPr>
          <w:instrText xml:space="preserve"> PAGEREF _Toc69878938 \h </w:instrText>
        </w:r>
        <w:r>
          <w:rPr>
            <w:noProof/>
            <w:webHidden/>
          </w:rPr>
        </w:r>
        <w:r>
          <w:rPr>
            <w:noProof/>
            <w:webHidden/>
          </w:rPr>
          <w:fldChar w:fldCharType="separate"/>
        </w:r>
        <w:r>
          <w:rPr>
            <w:noProof/>
            <w:webHidden/>
          </w:rPr>
          <w:t>484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39" w:history="1">
        <w:r w:rsidRPr="00CC53E5">
          <w:rPr>
            <w:rStyle w:val="Hyperlink"/>
            <w:noProof/>
          </w:rPr>
          <w:t>2.1.1156</w:t>
        </w:r>
        <w:r>
          <w:rPr>
            <w:rFonts w:asciiTheme="minorHAnsi" w:eastAsiaTheme="minorEastAsia" w:hAnsiTheme="minorHAnsi" w:cstheme="minorBidi"/>
            <w:noProof/>
            <w:sz w:val="22"/>
            <w:szCs w:val="22"/>
          </w:rPr>
          <w:tab/>
        </w:r>
        <w:r w:rsidRPr="00CC53E5">
          <w:rPr>
            <w:rStyle w:val="Hyperlink"/>
            <w:noProof/>
          </w:rPr>
          <w:t>Part 1 Section 19.5.33, cTn (Common Time Node Properties)</w:t>
        </w:r>
        <w:r>
          <w:rPr>
            <w:noProof/>
            <w:webHidden/>
          </w:rPr>
          <w:tab/>
        </w:r>
        <w:r>
          <w:rPr>
            <w:noProof/>
            <w:webHidden/>
          </w:rPr>
          <w:fldChar w:fldCharType="begin"/>
        </w:r>
        <w:r>
          <w:rPr>
            <w:noProof/>
            <w:webHidden/>
          </w:rPr>
          <w:instrText xml:space="preserve"> PAGEREF _Toc69878939 \h </w:instrText>
        </w:r>
        <w:r>
          <w:rPr>
            <w:noProof/>
            <w:webHidden/>
          </w:rPr>
        </w:r>
        <w:r>
          <w:rPr>
            <w:noProof/>
            <w:webHidden/>
          </w:rPr>
          <w:fldChar w:fldCharType="separate"/>
        </w:r>
        <w:r>
          <w:rPr>
            <w:noProof/>
            <w:webHidden/>
          </w:rPr>
          <w:t>484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40" w:history="1">
        <w:r w:rsidRPr="00CC53E5">
          <w:rPr>
            <w:rStyle w:val="Hyperlink"/>
            <w:noProof/>
          </w:rPr>
          <w:t>2.1.1157</w:t>
        </w:r>
        <w:r>
          <w:rPr>
            <w:rFonts w:asciiTheme="minorHAnsi" w:eastAsiaTheme="minorEastAsia" w:hAnsiTheme="minorHAnsi" w:cstheme="minorBidi"/>
            <w:noProof/>
            <w:sz w:val="22"/>
            <w:szCs w:val="22"/>
          </w:rPr>
          <w:tab/>
        </w:r>
        <w:r w:rsidRPr="00CC53E5">
          <w:rPr>
            <w:rStyle w:val="Hyperlink"/>
            <w:noProof/>
          </w:rPr>
          <w:t>Part 1 Section 19.5.39, endSync (EndSync)</w:t>
        </w:r>
        <w:r>
          <w:rPr>
            <w:noProof/>
            <w:webHidden/>
          </w:rPr>
          <w:tab/>
        </w:r>
        <w:r>
          <w:rPr>
            <w:noProof/>
            <w:webHidden/>
          </w:rPr>
          <w:fldChar w:fldCharType="begin"/>
        </w:r>
        <w:r>
          <w:rPr>
            <w:noProof/>
            <w:webHidden/>
          </w:rPr>
          <w:instrText xml:space="preserve"> PAGEREF _Toc69878940 \h </w:instrText>
        </w:r>
        <w:r>
          <w:rPr>
            <w:noProof/>
            <w:webHidden/>
          </w:rPr>
        </w:r>
        <w:r>
          <w:rPr>
            <w:noProof/>
            <w:webHidden/>
          </w:rPr>
          <w:fldChar w:fldCharType="separate"/>
        </w:r>
        <w:r>
          <w:rPr>
            <w:noProof/>
            <w:webHidden/>
          </w:rPr>
          <w:t>485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41" w:history="1">
        <w:r w:rsidRPr="00CC53E5">
          <w:rPr>
            <w:rStyle w:val="Hyperlink"/>
            <w:noProof/>
          </w:rPr>
          <w:t>2.1.1158</w:t>
        </w:r>
        <w:r>
          <w:rPr>
            <w:rFonts w:asciiTheme="minorHAnsi" w:eastAsiaTheme="minorEastAsia" w:hAnsiTheme="minorHAnsi" w:cstheme="minorBidi"/>
            <w:noProof/>
            <w:sz w:val="22"/>
            <w:szCs w:val="22"/>
          </w:rPr>
          <w:tab/>
        </w:r>
        <w:r w:rsidRPr="00CC53E5">
          <w:rPr>
            <w:rStyle w:val="Hyperlink"/>
            <w:noProof/>
          </w:rPr>
          <w:t>Part 1 Section 19.5.40, excl (Exclusive)</w:t>
        </w:r>
        <w:r>
          <w:rPr>
            <w:noProof/>
            <w:webHidden/>
          </w:rPr>
          <w:tab/>
        </w:r>
        <w:r>
          <w:rPr>
            <w:noProof/>
            <w:webHidden/>
          </w:rPr>
          <w:fldChar w:fldCharType="begin"/>
        </w:r>
        <w:r>
          <w:rPr>
            <w:noProof/>
            <w:webHidden/>
          </w:rPr>
          <w:instrText xml:space="preserve"> PAGEREF _Toc69878941 \h </w:instrText>
        </w:r>
        <w:r>
          <w:rPr>
            <w:noProof/>
            <w:webHidden/>
          </w:rPr>
        </w:r>
        <w:r>
          <w:rPr>
            <w:noProof/>
            <w:webHidden/>
          </w:rPr>
          <w:fldChar w:fldCharType="separate"/>
        </w:r>
        <w:r>
          <w:rPr>
            <w:noProof/>
            <w:webHidden/>
          </w:rPr>
          <w:t>485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42" w:history="1">
        <w:r w:rsidRPr="00CC53E5">
          <w:rPr>
            <w:rStyle w:val="Hyperlink"/>
            <w:noProof/>
          </w:rPr>
          <w:t>2.1.1159</w:t>
        </w:r>
        <w:r>
          <w:rPr>
            <w:rFonts w:asciiTheme="minorHAnsi" w:eastAsiaTheme="minorEastAsia" w:hAnsiTheme="minorHAnsi" w:cstheme="minorBidi"/>
            <w:noProof/>
            <w:sz w:val="22"/>
            <w:szCs w:val="22"/>
          </w:rPr>
          <w:tab/>
        </w:r>
        <w:r w:rsidRPr="00CC53E5">
          <w:rPr>
            <w:rStyle w:val="Hyperlink"/>
            <w:noProof/>
          </w:rPr>
          <w:t>Part 1 Section 19.5.43, from (From)</w:t>
        </w:r>
        <w:r>
          <w:rPr>
            <w:noProof/>
            <w:webHidden/>
          </w:rPr>
          <w:tab/>
        </w:r>
        <w:r>
          <w:rPr>
            <w:noProof/>
            <w:webHidden/>
          </w:rPr>
          <w:fldChar w:fldCharType="begin"/>
        </w:r>
        <w:r>
          <w:rPr>
            <w:noProof/>
            <w:webHidden/>
          </w:rPr>
          <w:instrText xml:space="preserve"> PAGEREF _Toc69878942 \h </w:instrText>
        </w:r>
        <w:r>
          <w:rPr>
            <w:noProof/>
            <w:webHidden/>
          </w:rPr>
        </w:r>
        <w:r>
          <w:rPr>
            <w:noProof/>
            <w:webHidden/>
          </w:rPr>
          <w:fldChar w:fldCharType="separate"/>
        </w:r>
        <w:r>
          <w:rPr>
            <w:noProof/>
            <w:webHidden/>
          </w:rPr>
          <w:t>485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43" w:history="1">
        <w:r w:rsidRPr="00CC53E5">
          <w:rPr>
            <w:rStyle w:val="Hyperlink"/>
            <w:noProof/>
          </w:rPr>
          <w:t>2.1.1160</w:t>
        </w:r>
        <w:r>
          <w:rPr>
            <w:rFonts w:asciiTheme="minorHAnsi" w:eastAsiaTheme="minorEastAsia" w:hAnsiTheme="minorHAnsi" w:cstheme="minorBidi"/>
            <w:noProof/>
            <w:sz w:val="22"/>
            <w:szCs w:val="22"/>
          </w:rPr>
          <w:tab/>
        </w:r>
        <w:r w:rsidRPr="00CC53E5">
          <w:rPr>
            <w:rStyle w:val="Hyperlink"/>
            <w:noProof/>
          </w:rPr>
          <w:t>Part 1 Section 19.5.44, from (From)</w:t>
        </w:r>
        <w:r>
          <w:rPr>
            <w:noProof/>
            <w:webHidden/>
          </w:rPr>
          <w:tab/>
        </w:r>
        <w:r>
          <w:rPr>
            <w:noProof/>
            <w:webHidden/>
          </w:rPr>
          <w:fldChar w:fldCharType="begin"/>
        </w:r>
        <w:r>
          <w:rPr>
            <w:noProof/>
            <w:webHidden/>
          </w:rPr>
          <w:instrText xml:space="preserve"> PAGEREF _Toc69878943 \h </w:instrText>
        </w:r>
        <w:r>
          <w:rPr>
            <w:noProof/>
            <w:webHidden/>
          </w:rPr>
        </w:r>
        <w:r>
          <w:rPr>
            <w:noProof/>
            <w:webHidden/>
          </w:rPr>
          <w:fldChar w:fldCharType="separate"/>
        </w:r>
        <w:r>
          <w:rPr>
            <w:noProof/>
            <w:webHidden/>
          </w:rPr>
          <w:t>486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44" w:history="1">
        <w:r w:rsidRPr="00CC53E5">
          <w:rPr>
            <w:rStyle w:val="Hyperlink"/>
            <w:noProof/>
          </w:rPr>
          <w:t>2.1.1161</w:t>
        </w:r>
        <w:r>
          <w:rPr>
            <w:rFonts w:asciiTheme="minorHAnsi" w:eastAsiaTheme="minorEastAsia" w:hAnsiTheme="minorHAnsi" w:cstheme="minorBidi"/>
            <w:noProof/>
            <w:sz w:val="22"/>
            <w:szCs w:val="22"/>
          </w:rPr>
          <w:tab/>
        </w:r>
        <w:r w:rsidRPr="00CC53E5">
          <w:rPr>
            <w:rStyle w:val="Hyperlink"/>
            <w:noProof/>
          </w:rPr>
          <w:t>Part 1 Section 19.5.45, graphicEl (Graphic Element)</w:t>
        </w:r>
        <w:r>
          <w:rPr>
            <w:noProof/>
            <w:webHidden/>
          </w:rPr>
          <w:tab/>
        </w:r>
        <w:r>
          <w:rPr>
            <w:noProof/>
            <w:webHidden/>
          </w:rPr>
          <w:fldChar w:fldCharType="begin"/>
        </w:r>
        <w:r>
          <w:rPr>
            <w:noProof/>
            <w:webHidden/>
          </w:rPr>
          <w:instrText xml:space="preserve"> PAGEREF _Toc69878944 \h </w:instrText>
        </w:r>
        <w:r>
          <w:rPr>
            <w:noProof/>
            <w:webHidden/>
          </w:rPr>
        </w:r>
        <w:r>
          <w:rPr>
            <w:noProof/>
            <w:webHidden/>
          </w:rPr>
          <w:fldChar w:fldCharType="separate"/>
        </w:r>
        <w:r>
          <w:rPr>
            <w:noProof/>
            <w:webHidden/>
          </w:rPr>
          <w:t>486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45" w:history="1">
        <w:r w:rsidRPr="00CC53E5">
          <w:rPr>
            <w:rStyle w:val="Hyperlink"/>
            <w:noProof/>
          </w:rPr>
          <w:t>2.1.1162</w:t>
        </w:r>
        <w:r>
          <w:rPr>
            <w:rFonts w:asciiTheme="minorHAnsi" w:eastAsiaTheme="minorEastAsia" w:hAnsiTheme="minorHAnsi" w:cstheme="minorBidi"/>
            <w:noProof/>
            <w:sz w:val="22"/>
            <w:szCs w:val="22"/>
          </w:rPr>
          <w:tab/>
        </w:r>
        <w:r w:rsidRPr="00CC53E5">
          <w:rPr>
            <w:rStyle w:val="Hyperlink"/>
            <w:noProof/>
          </w:rPr>
          <w:t>Part 1 Section 19.5.46, hsl (HSL)</w:t>
        </w:r>
        <w:r>
          <w:rPr>
            <w:noProof/>
            <w:webHidden/>
          </w:rPr>
          <w:tab/>
        </w:r>
        <w:r>
          <w:rPr>
            <w:noProof/>
            <w:webHidden/>
          </w:rPr>
          <w:fldChar w:fldCharType="begin"/>
        </w:r>
        <w:r>
          <w:rPr>
            <w:noProof/>
            <w:webHidden/>
          </w:rPr>
          <w:instrText xml:space="preserve"> PAGEREF _Toc69878945 \h </w:instrText>
        </w:r>
        <w:r>
          <w:rPr>
            <w:noProof/>
            <w:webHidden/>
          </w:rPr>
        </w:r>
        <w:r>
          <w:rPr>
            <w:noProof/>
            <w:webHidden/>
          </w:rPr>
          <w:fldChar w:fldCharType="separate"/>
        </w:r>
        <w:r>
          <w:rPr>
            <w:noProof/>
            <w:webHidden/>
          </w:rPr>
          <w:t>486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46" w:history="1">
        <w:r w:rsidRPr="00CC53E5">
          <w:rPr>
            <w:rStyle w:val="Hyperlink"/>
            <w:noProof/>
          </w:rPr>
          <w:t>2.1.1163</w:t>
        </w:r>
        <w:r>
          <w:rPr>
            <w:rFonts w:asciiTheme="minorHAnsi" w:eastAsiaTheme="minorEastAsia" w:hAnsiTheme="minorHAnsi" w:cstheme="minorBidi"/>
            <w:noProof/>
            <w:sz w:val="22"/>
            <w:szCs w:val="22"/>
          </w:rPr>
          <w:tab/>
        </w:r>
        <w:r w:rsidRPr="00CC53E5">
          <w:rPr>
            <w:rStyle w:val="Hyperlink"/>
            <w:noProof/>
          </w:rPr>
          <w:t>Part 1 Section 19.5.47, inkTgt (Ink Target)</w:t>
        </w:r>
        <w:r>
          <w:rPr>
            <w:noProof/>
            <w:webHidden/>
          </w:rPr>
          <w:tab/>
        </w:r>
        <w:r>
          <w:rPr>
            <w:noProof/>
            <w:webHidden/>
          </w:rPr>
          <w:fldChar w:fldCharType="begin"/>
        </w:r>
        <w:r>
          <w:rPr>
            <w:noProof/>
            <w:webHidden/>
          </w:rPr>
          <w:instrText xml:space="preserve"> PAGEREF _Toc69878946 \h </w:instrText>
        </w:r>
        <w:r>
          <w:rPr>
            <w:noProof/>
            <w:webHidden/>
          </w:rPr>
        </w:r>
        <w:r>
          <w:rPr>
            <w:noProof/>
            <w:webHidden/>
          </w:rPr>
          <w:fldChar w:fldCharType="separate"/>
        </w:r>
        <w:r>
          <w:rPr>
            <w:noProof/>
            <w:webHidden/>
          </w:rPr>
          <w:t>486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47" w:history="1">
        <w:r w:rsidRPr="00CC53E5">
          <w:rPr>
            <w:rStyle w:val="Hyperlink"/>
            <w:noProof/>
          </w:rPr>
          <w:t>2.1.1164</w:t>
        </w:r>
        <w:r>
          <w:rPr>
            <w:rFonts w:asciiTheme="minorHAnsi" w:eastAsiaTheme="minorEastAsia" w:hAnsiTheme="minorHAnsi" w:cstheme="minorBidi"/>
            <w:noProof/>
            <w:sz w:val="22"/>
            <w:szCs w:val="22"/>
          </w:rPr>
          <w:tab/>
        </w:r>
        <w:r w:rsidRPr="00CC53E5">
          <w:rPr>
            <w:rStyle w:val="Hyperlink"/>
            <w:noProof/>
          </w:rPr>
          <w:t>Part 1 Section 19.5.49, iterate (Iterate)</w:t>
        </w:r>
        <w:r>
          <w:rPr>
            <w:noProof/>
            <w:webHidden/>
          </w:rPr>
          <w:tab/>
        </w:r>
        <w:r>
          <w:rPr>
            <w:noProof/>
            <w:webHidden/>
          </w:rPr>
          <w:fldChar w:fldCharType="begin"/>
        </w:r>
        <w:r>
          <w:rPr>
            <w:noProof/>
            <w:webHidden/>
          </w:rPr>
          <w:instrText xml:space="preserve"> PAGEREF _Toc69878947 \h </w:instrText>
        </w:r>
        <w:r>
          <w:rPr>
            <w:noProof/>
            <w:webHidden/>
          </w:rPr>
        </w:r>
        <w:r>
          <w:rPr>
            <w:noProof/>
            <w:webHidden/>
          </w:rPr>
          <w:fldChar w:fldCharType="separate"/>
        </w:r>
        <w:r>
          <w:rPr>
            <w:noProof/>
            <w:webHidden/>
          </w:rPr>
          <w:t>487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48" w:history="1">
        <w:r w:rsidRPr="00CC53E5">
          <w:rPr>
            <w:rStyle w:val="Hyperlink"/>
            <w:noProof/>
          </w:rPr>
          <w:t>2.1.1165</w:t>
        </w:r>
        <w:r>
          <w:rPr>
            <w:rFonts w:asciiTheme="minorHAnsi" w:eastAsiaTheme="minorEastAsia" w:hAnsiTheme="minorHAnsi" w:cstheme="minorBidi"/>
            <w:noProof/>
            <w:sz w:val="22"/>
            <w:szCs w:val="22"/>
          </w:rPr>
          <w:tab/>
        </w:r>
        <w:r w:rsidRPr="00CC53E5">
          <w:rPr>
            <w:rStyle w:val="Hyperlink"/>
            <w:noProof/>
          </w:rPr>
          <w:t>Part 1 Section 19.5.51, nextCondLst (Next Conditions List)</w:t>
        </w:r>
        <w:r>
          <w:rPr>
            <w:noProof/>
            <w:webHidden/>
          </w:rPr>
          <w:tab/>
        </w:r>
        <w:r>
          <w:rPr>
            <w:noProof/>
            <w:webHidden/>
          </w:rPr>
          <w:fldChar w:fldCharType="begin"/>
        </w:r>
        <w:r>
          <w:rPr>
            <w:noProof/>
            <w:webHidden/>
          </w:rPr>
          <w:instrText xml:space="preserve"> PAGEREF _Toc69878948 \h </w:instrText>
        </w:r>
        <w:r>
          <w:rPr>
            <w:noProof/>
            <w:webHidden/>
          </w:rPr>
        </w:r>
        <w:r>
          <w:rPr>
            <w:noProof/>
            <w:webHidden/>
          </w:rPr>
          <w:fldChar w:fldCharType="separate"/>
        </w:r>
        <w:r>
          <w:rPr>
            <w:noProof/>
            <w:webHidden/>
          </w:rPr>
          <w:t>487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49" w:history="1">
        <w:r w:rsidRPr="00CC53E5">
          <w:rPr>
            <w:rStyle w:val="Hyperlink"/>
            <w:noProof/>
          </w:rPr>
          <w:t>2.1.1166</w:t>
        </w:r>
        <w:r>
          <w:rPr>
            <w:rFonts w:asciiTheme="minorHAnsi" w:eastAsiaTheme="minorEastAsia" w:hAnsiTheme="minorHAnsi" w:cstheme="minorBidi"/>
            <w:noProof/>
            <w:sz w:val="22"/>
            <w:szCs w:val="22"/>
          </w:rPr>
          <w:tab/>
        </w:r>
        <w:r w:rsidRPr="00CC53E5">
          <w:rPr>
            <w:rStyle w:val="Hyperlink"/>
            <w:noProof/>
          </w:rPr>
          <w:t>Part 1 Section 19.5.52, oleChartEl (Embedded Chart Element)</w:t>
        </w:r>
        <w:r>
          <w:rPr>
            <w:noProof/>
            <w:webHidden/>
          </w:rPr>
          <w:tab/>
        </w:r>
        <w:r>
          <w:rPr>
            <w:noProof/>
            <w:webHidden/>
          </w:rPr>
          <w:fldChar w:fldCharType="begin"/>
        </w:r>
        <w:r>
          <w:rPr>
            <w:noProof/>
            <w:webHidden/>
          </w:rPr>
          <w:instrText xml:space="preserve"> PAGEREF _Toc69878949 \h </w:instrText>
        </w:r>
        <w:r>
          <w:rPr>
            <w:noProof/>
            <w:webHidden/>
          </w:rPr>
        </w:r>
        <w:r>
          <w:rPr>
            <w:noProof/>
            <w:webHidden/>
          </w:rPr>
          <w:fldChar w:fldCharType="separate"/>
        </w:r>
        <w:r>
          <w:rPr>
            <w:noProof/>
            <w:webHidden/>
          </w:rPr>
          <w:t>487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50" w:history="1">
        <w:r w:rsidRPr="00CC53E5">
          <w:rPr>
            <w:rStyle w:val="Hyperlink"/>
            <w:noProof/>
          </w:rPr>
          <w:t>2.1.1167</w:t>
        </w:r>
        <w:r>
          <w:rPr>
            <w:rFonts w:asciiTheme="minorHAnsi" w:eastAsiaTheme="minorEastAsia" w:hAnsiTheme="minorHAnsi" w:cstheme="minorBidi"/>
            <w:noProof/>
            <w:sz w:val="22"/>
            <w:szCs w:val="22"/>
          </w:rPr>
          <w:tab/>
        </w:r>
        <w:r w:rsidRPr="00CC53E5">
          <w:rPr>
            <w:rStyle w:val="Hyperlink"/>
            <w:noProof/>
          </w:rPr>
          <w:t>Part 1 Section 19.5.55, prevCondLst (Previous Conditions List)</w:t>
        </w:r>
        <w:r>
          <w:rPr>
            <w:noProof/>
            <w:webHidden/>
          </w:rPr>
          <w:tab/>
        </w:r>
        <w:r>
          <w:rPr>
            <w:noProof/>
            <w:webHidden/>
          </w:rPr>
          <w:fldChar w:fldCharType="begin"/>
        </w:r>
        <w:r>
          <w:rPr>
            <w:noProof/>
            <w:webHidden/>
          </w:rPr>
          <w:instrText xml:space="preserve"> PAGEREF _Toc69878950 \h </w:instrText>
        </w:r>
        <w:r>
          <w:rPr>
            <w:noProof/>
            <w:webHidden/>
          </w:rPr>
        </w:r>
        <w:r>
          <w:rPr>
            <w:noProof/>
            <w:webHidden/>
          </w:rPr>
          <w:fldChar w:fldCharType="separate"/>
        </w:r>
        <w:r>
          <w:rPr>
            <w:noProof/>
            <w:webHidden/>
          </w:rPr>
          <w:t>487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51" w:history="1">
        <w:r w:rsidRPr="00CC53E5">
          <w:rPr>
            <w:rStyle w:val="Hyperlink"/>
            <w:noProof/>
          </w:rPr>
          <w:t>2.1.1168</w:t>
        </w:r>
        <w:r>
          <w:rPr>
            <w:rFonts w:asciiTheme="minorHAnsi" w:eastAsiaTheme="minorEastAsia" w:hAnsiTheme="minorHAnsi" w:cstheme="minorBidi"/>
            <w:noProof/>
            <w:sz w:val="22"/>
            <w:szCs w:val="22"/>
          </w:rPr>
          <w:tab/>
        </w:r>
        <w:r w:rsidRPr="00CC53E5">
          <w:rPr>
            <w:rStyle w:val="Hyperlink"/>
            <w:noProof/>
          </w:rPr>
          <w:t>Part 1 Section 19.5.56, pRg (Paragraph Text Range)</w:t>
        </w:r>
        <w:r>
          <w:rPr>
            <w:noProof/>
            <w:webHidden/>
          </w:rPr>
          <w:tab/>
        </w:r>
        <w:r>
          <w:rPr>
            <w:noProof/>
            <w:webHidden/>
          </w:rPr>
          <w:fldChar w:fldCharType="begin"/>
        </w:r>
        <w:r>
          <w:rPr>
            <w:noProof/>
            <w:webHidden/>
          </w:rPr>
          <w:instrText xml:space="preserve"> PAGEREF _Toc69878951 \h </w:instrText>
        </w:r>
        <w:r>
          <w:rPr>
            <w:noProof/>
            <w:webHidden/>
          </w:rPr>
        </w:r>
        <w:r>
          <w:rPr>
            <w:noProof/>
            <w:webHidden/>
          </w:rPr>
          <w:fldChar w:fldCharType="separate"/>
        </w:r>
        <w:r>
          <w:rPr>
            <w:noProof/>
            <w:webHidden/>
          </w:rPr>
          <w:t>487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52" w:history="1">
        <w:r w:rsidRPr="00CC53E5">
          <w:rPr>
            <w:rStyle w:val="Hyperlink"/>
            <w:noProof/>
          </w:rPr>
          <w:t>2.1.1169</w:t>
        </w:r>
        <w:r>
          <w:rPr>
            <w:rFonts w:asciiTheme="minorHAnsi" w:eastAsiaTheme="minorEastAsia" w:hAnsiTheme="minorHAnsi" w:cstheme="minorBidi"/>
            <w:noProof/>
            <w:sz w:val="22"/>
            <w:szCs w:val="22"/>
          </w:rPr>
          <w:tab/>
        </w:r>
        <w:r w:rsidRPr="00CC53E5">
          <w:rPr>
            <w:rStyle w:val="Hyperlink"/>
            <w:noProof/>
          </w:rPr>
          <w:t>Part 1 Section 19.5.57, progress (Progress)</w:t>
        </w:r>
        <w:r>
          <w:rPr>
            <w:noProof/>
            <w:webHidden/>
          </w:rPr>
          <w:tab/>
        </w:r>
        <w:r>
          <w:rPr>
            <w:noProof/>
            <w:webHidden/>
          </w:rPr>
          <w:fldChar w:fldCharType="begin"/>
        </w:r>
        <w:r>
          <w:rPr>
            <w:noProof/>
            <w:webHidden/>
          </w:rPr>
          <w:instrText xml:space="preserve"> PAGEREF _Toc69878952 \h </w:instrText>
        </w:r>
        <w:r>
          <w:rPr>
            <w:noProof/>
            <w:webHidden/>
          </w:rPr>
        </w:r>
        <w:r>
          <w:rPr>
            <w:noProof/>
            <w:webHidden/>
          </w:rPr>
          <w:fldChar w:fldCharType="separate"/>
        </w:r>
        <w:r>
          <w:rPr>
            <w:noProof/>
            <w:webHidden/>
          </w:rPr>
          <w:t>487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53" w:history="1">
        <w:r w:rsidRPr="00CC53E5">
          <w:rPr>
            <w:rStyle w:val="Hyperlink"/>
            <w:noProof/>
          </w:rPr>
          <w:t>2.1.1170</w:t>
        </w:r>
        <w:r>
          <w:rPr>
            <w:rFonts w:asciiTheme="minorHAnsi" w:eastAsiaTheme="minorEastAsia" w:hAnsiTheme="minorHAnsi" w:cstheme="minorBidi"/>
            <w:noProof/>
            <w:sz w:val="22"/>
            <w:szCs w:val="22"/>
          </w:rPr>
          <w:tab/>
        </w:r>
        <w:r w:rsidRPr="00CC53E5">
          <w:rPr>
            <w:rStyle w:val="Hyperlink"/>
            <w:noProof/>
          </w:rPr>
          <w:t>Part 1 Section 19.5.62, rCtr (Rotation Center)</w:t>
        </w:r>
        <w:r>
          <w:rPr>
            <w:noProof/>
            <w:webHidden/>
          </w:rPr>
          <w:tab/>
        </w:r>
        <w:r>
          <w:rPr>
            <w:noProof/>
            <w:webHidden/>
          </w:rPr>
          <w:fldChar w:fldCharType="begin"/>
        </w:r>
        <w:r>
          <w:rPr>
            <w:noProof/>
            <w:webHidden/>
          </w:rPr>
          <w:instrText xml:space="preserve"> PAGEREF _Toc69878953 \h </w:instrText>
        </w:r>
        <w:r>
          <w:rPr>
            <w:noProof/>
            <w:webHidden/>
          </w:rPr>
        </w:r>
        <w:r>
          <w:rPr>
            <w:noProof/>
            <w:webHidden/>
          </w:rPr>
          <w:fldChar w:fldCharType="separate"/>
        </w:r>
        <w:r>
          <w:rPr>
            <w:noProof/>
            <w:webHidden/>
          </w:rPr>
          <w:t>488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54" w:history="1">
        <w:r w:rsidRPr="00CC53E5">
          <w:rPr>
            <w:rStyle w:val="Hyperlink"/>
            <w:noProof/>
          </w:rPr>
          <w:t>2.1.1171</w:t>
        </w:r>
        <w:r>
          <w:rPr>
            <w:rFonts w:asciiTheme="minorHAnsi" w:eastAsiaTheme="minorEastAsia" w:hAnsiTheme="minorHAnsi" w:cstheme="minorBidi"/>
            <w:noProof/>
            <w:sz w:val="22"/>
            <w:szCs w:val="22"/>
          </w:rPr>
          <w:tab/>
        </w:r>
        <w:r w:rsidRPr="00CC53E5">
          <w:rPr>
            <w:rStyle w:val="Hyperlink"/>
            <w:noProof/>
          </w:rPr>
          <w:t>Part 1 Section 19.5.63, rgb (RGB)</w:t>
        </w:r>
        <w:r>
          <w:rPr>
            <w:noProof/>
            <w:webHidden/>
          </w:rPr>
          <w:tab/>
        </w:r>
        <w:r>
          <w:rPr>
            <w:noProof/>
            <w:webHidden/>
          </w:rPr>
          <w:fldChar w:fldCharType="begin"/>
        </w:r>
        <w:r>
          <w:rPr>
            <w:noProof/>
            <w:webHidden/>
          </w:rPr>
          <w:instrText xml:space="preserve"> PAGEREF _Toc69878954 \h </w:instrText>
        </w:r>
        <w:r>
          <w:rPr>
            <w:noProof/>
            <w:webHidden/>
          </w:rPr>
        </w:r>
        <w:r>
          <w:rPr>
            <w:noProof/>
            <w:webHidden/>
          </w:rPr>
          <w:fldChar w:fldCharType="separate"/>
        </w:r>
        <w:r>
          <w:rPr>
            <w:noProof/>
            <w:webHidden/>
          </w:rPr>
          <w:t>488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55" w:history="1">
        <w:r w:rsidRPr="00CC53E5">
          <w:rPr>
            <w:rStyle w:val="Hyperlink"/>
            <w:noProof/>
          </w:rPr>
          <w:t>2.1.1172</w:t>
        </w:r>
        <w:r>
          <w:rPr>
            <w:rFonts w:asciiTheme="minorHAnsi" w:eastAsiaTheme="minorEastAsia" w:hAnsiTheme="minorHAnsi" w:cstheme="minorBidi"/>
            <w:noProof/>
            <w:sz w:val="22"/>
            <w:szCs w:val="22"/>
          </w:rPr>
          <w:tab/>
        </w:r>
        <w:r w:rsidRPr="00CC53E5">
          <w:rPr>
            <w:rStyle w:val="Hyperlink"/>
            <w:noProof/>
          </w:rPr>
          <w:t>Part 1 Section 19.5.65, seq (Sequence Time Node)</w:t>
        </w:r>
        <w:r>
          <w:rPr>
            <w:noProof/>
            <w:webHidden/>
          </w:rPr>
          <w:tab/>
        </w:r>
        <w:r>
          <w:rPr>
            <w:noProof/>
            <w:webHidden/>
          </w:rPr>
          <w:fldChar w:fldCharType="begin"/>
        </w:r>
        <w:r>
          <w:rPr>
            <w:noProof/>
            <w:webHidden/>
          </w:rPr>
          <w:instrText xml:space="preserve"> PAGEREF _Toc69878955 \h </w:instrText>
        </w:r>
        <w:r>
          <w:rPr>
            <w:noProof/>
            <w:webHidden/>
          </w:rPr>
        </w:r>
        <w:r>
          <w:rPr>
            <w:noProof/>
            <w:webHidden/>
          </w:rPr>
          <w:fldChar w:fldCharType="separate"/>
        </w:r>
        <w:r>
          <w:rPr>
            <w:noProof/>
            <w:webHidden/>
          </w:rPr>
          <w:t>488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56" w:history="1">
        <w:r w:rsidRPr="00CC53E5">
          <w:rPr>
            <w:rStyle w:val="Hyperlink"/>
            <w:noProof/>
          </w:rPr>
          <w:t>2.1.1173</w:t>
        </w:r>
        <w:r>
          <w:rPr>
            <w:rFonts w:asciiTheme="minorHAnsi" w:eastAsiaTheme="minorEastAsia" w:hAnsiTheme="minorHAnsi" w:cstheme="minorBidi"/>
            <w:noProof/>
            <w:sz w:val="22"/>
            <w:szCs w:val="22"/>
          </w:rPr>
          <w:tab/>
        </w:r>
        <w:r w:rsidRPr="00CC53E5">
          <w:rPr>
            <w:rStyle w:val="Hyperlink"/>
            <w:noProof/>
          </w:rPr>
          <w:t>Part 1 Section 19.5.66, set (Set Time Node Behavior)</w:t>
        </w:r>
        <w:r>
          <w:rPr>
            <w:noProof/>
            <w:webHidden/>
          </w:rPr>
          <w:tab/>
        </w:r>
        <w:r>
          <w:rPr>
            <w:noProof/>
            <w:webHidden/>
          </w:rPr>
          <w:fldChar w:fldCharType="begin"/>
        </w:r>
        <w:r>
          <w:rPr>
            <w:noProof/>
            <w:webHidden/>
          </w:rPr>
          <w:instrText xml:space="preserve"> PAGEREF _Toc69878956 \h </w:instrText>
        </w:r>
        <w:r>
          <w:rPr>
            <w:noProof/>
            <w:webHidden/>
          </w:rPr>
        </w:r>
        <w:r>
          <w:rPr>
            <w:noProof/>
            <w:webHidden/>
          </w:rPr>
          <w:fldChar w:fldCharType="separate"/>
        </w:r>
        <w:r>
          <w:rPr>
            <w:noProof/>
            <w:webHidden/>
          </w:rPr>
          <w:t>488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57" w:history="1">
        <w:r w:rsidRPr="00CC53E5">
          <w:rPr>
            <w:rStyle w:val="Hyperlink"/>
            <w:noProof/>
          </w:rPr>
          <w:t>2.1.1174</w:t>
        </w:r>
        <w:r>
          <w:rPr>
            <w:rFonts w:asciiTheme="minorHAnsi" w:eastAsiaTheme="minorEastAsia" w:hAnsiTheme="minorHAnsi" w:cstheme="minorBidi"/>
            <w:noProof/>
            <w:sz w:val="22"/>
            <w:szCs w:val="22"/>
          </w:rPr>
          <w:tab/>
        </w:r>
        <w:r w:rsidRPr="00CC53E5">
          <w:rPr>
            <w:rStyle w:val="Hyperlink"/>
            <w:noProof/>
          </w:rPr>
          <w:t>Part 1 Section 19.5.67, sldTgt (Slide Target)</w:t>
        </w:r>
        <w:r>
          <w:rPr>
            <w:noProof/>
            <w:webHidden/>
          </w:rPr>
          <w:tab/>
        </w:r>
        <w:r>
          <w:rPr>
            <w:noProof/>
            <w:webHidden/>
          </w:rPr>
          <w:fldChar w:fldCharType="begin"/>
        </w:r>
        <w:r>
          <w:rPr>
            <w:noProof/>
            <w:webHidden/>
          </w:rPr>
          <w:instrText xml:space="preserve"> PAGEREF _Toc69878957 \h </w:instrText>
        </w:r>
        <w:r>
          <w:rPr>
            <w:noProof/>
            <w:webHidden/>
          </w:rPr>
        </w:r>
        <w:r>
          <w:rPr>
            <w:noProof/>
            <w:webHidden/>
          </w:rPr>
          <w:fldChar w:fldCharType="separate"/>
        </w:r>
        <w:r>
          <w:rPr>
            <w:noProof/>
            <w:webHidden/>
          </w:rPr>
          <w:t>488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58" w:history="1">
        <w:r w:rsidRPr="00CC53E5">
          <w:rPr>
            <w:rStyle w:val="Hyperlink"/>
            <w:noProof/>
          </w:rPr>
          <w:t>2.1.1175</w:t>
        </w:r>
        <w:r>
          <w:rPr>
            <w:rFonts w:asciiTheme="minorHAnsi" w:eastAsiaTheme="minorEastAsia" w:hAnsiTheme="minorHAnsi" w:cstheme="minorBidi"/>
            <w:noProof/>
            <w:sz w:val="22"/>
            <w:szCs w:val="22"/>
          </w:rPr>
          <w:tab/>
        </w:r>
        <w:r w:rsidRPr="00CC53E5">
          <w:rPr>
            <w:rStyle w:val="Hyperlink"/>
            <w:noProof/>
          </w:rPr>
          <w:t>Part 1 Section 19.5.72, spTgt (Shape Target)</w:t>
        </w:r>
        <w:r>
          <w:rPr>
            <w:noProof/>
            <w:webHidden/>
          </w:rPr>
          <w:tab/>
        </w:r>
        <w:r>
          <w:rPr>
            <w:noProof/>
            <w:webHidden/>
          </w:rPr>
          <w:fldChar w:fldCharType="begin"/>
        </w:r>
        <w:r>
          <w:rPr>
            <w:noProof/>
            <w:webHidden/>
          </w:rPr>
          <w:instrText xml:space="preserve"> PAGEREF _Toc69878958 \h </w:instrText>
        </w:r>
        <w:r>
          <w:rPr>
            <w:noProof/>
            <w:webHidden/>
          </w:rPr>
        </w:r>
        <w:r>
          <w:rPr>
            <w:noProof/>
            <w:webHidden/>
          </w:rPr>
          <w:fldChar w:fldCharType="separate"/>
        </w:r>
        <w:r>
          <w:rPr>
            <w:noProof/>
            <w:webHidden/>
          </w:rPr>
          <w:t>488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59" w:history="1">
        <w:r w:rsidRPr="00CC53E5">
          <w:rPr>
            <w:rStyle w:val="Hyperlink"/>
            <w:noProof/>
          </w:rPr>
          <w:t>2.1.1176</w:t>
        </w:r>
        <w:r>
          <w:rPr>
            <w:rFonts w:asciiTheme="minorHAnsi" w:eastAsiaTheme="minorEastAsia" w:hAnsiTheme="minorHAnsi" w:cstheme="minorBidi"/>
            <w:noProof/>
            <w:sz w:val="22"/>
            <w:szCs w:val="22"/>
          </w:rPr>
          <w:tab/>
        </w:r>
        <w:r w:rsidRPr="00CC53E5">
          <w:rPr>
            <w:rStyle w:val="Hyperlink"/>
            <w:noProof/>
          </w:rPr>
          <w:t>Part 1 Section 19.5.77, subSp (Subshape)</w:t>
        </w:r>
        <w:r>
          <w:rPr>
            <w:noProof/>
            <w:webHidden/>
          </w:rPr>
          <w:tab/>
        </w:r>
        <w:r>
          <w:rPr>
            <w:noProof/>
            <w:webHidden/>
          </w:rPr>
          <w:fldChar w:fldCharType="begin"/>
        </w:r>
        <w:r>
          <w:rPr>
            <w:noProof/>
            <w:webHidden/>
          </w:rPr>
          <w:instrText xml:space="preserve"> PAGEREF _Toc69878959 \h </w:instrText>
        </w:r>
        <w:r>
          <w:rPr>
            <w:noProof/>
            <w:webHidden/>
          </w:rPr>
        </w:r>
        <w:r>
          <w:rPr>
            <w:noProof/>
            <w:webHidden/>
          </w:rPr>
          <w:fldChar w:fldCharType="separate"/>
        </w:r>
        <w:r>
          <w:rPr>
            <w:noProof/>
            <w:webHidden/>
          </w:rPr>
          <w:t>489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60" w:history="1">
        <w:r w:rsidRPr="00CC53E5">
          <w:rPr>
            <w:rStyle w:val="Hyperlink"/>
            <w:noProof/>
          </w:rPr>
          <w:t>2.1.1177</w:t>
        </w:r>
        <w:r>
          <w:rPr>
            <w:rFonts w:asciiTheme="minorHAnsi" w:eastAsiaTheme="minorEastAsia" w:hAnsiTheme="minorHAnsi" w:cstheme="minorBidi"/>
            <w:noProof/>
            <w:sz w:val="22"/>
            <w:szCs w:val="22"/>
          </w:rPr>
          <w:tab/>
        </w:r>
        <w:r w:rsidRPr="00CC53E5">
          <w:rPr>
            <w:rStyle w:val="Hyperlink"/>
            <w:noProof/>
          </w:rPr>
          <w:t>Part 1 Section 19.5.78, subTnLst (Sub-TimeNodes List)</w:t>
        </w:r>
        <w:r>
          <w:rPr>
            <w:noProof/>
            <w:webHidden/>
          </w:rPr>
          <w:tab/>
        </w:r>
        <w:r>
          <w:rPr>
            <w:noProof/>
            <w:webHidden/>
          </w:rPr>
          <w:fldChar w:fldCharType="begin"/>
        </w:r>
        <w:r>
          <w:rPr>
            <w:noProof/>
            <w:webHidden/>
          </w:rPr>
          <w:instrText xml:space="preserve"> PAGEREF _Toc69878960 \h </w:instrText>
        </w:r>
        <w:r>
          <w:rPr>
            <w:noProof/>
            <w:webHidden/>
          </w:rPr>
        </w:r>
        <w:r>
          <w:rPr>
            <w:noProof/>
            <w:webHidden/>
          </w:rPr>
          <w:fldChar w:fldCharType="separate"/>
        </w:r>
        <w:r>
          <w:rPr>
            <w:noProof/>
            <w:webHidden/>
          </w:rPr>
          <w:t>489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61" w:history="1">
        <w:r w:rsidRPr="00CC53E5">
          <w:rPr>
            <w:rStyle w:val="Hyperlink"/>
            <w:noProof/>
          </w:rPr>
          <w:t>2.1.1178</w:t>
        </w:r>
        <w:r>
          <w:rPr>
            <w:rFonts w:asciiTheme="minorHAnsi" w:eastAsiaTheme="minorEastAsia" w:hAnsiTheme="minorHAnsi" w:cstheme="minorBidi"/>
            <w:noProof/>
            <w:sz w:val="22"/>
            <w:szCs w:val="22"/>
          </w:rPr>
          <w:tab/>
        </w:r>
        <w:r w:rsidRPr="00CC53E5">
          <w:rPr>
            <w:rStyle w:val="Hyperlink"/>
            <w:noProof/>
          </w:rPr>
          <w:t>Part 1 Section 19.5.84, tmpl (Template Effects)</w:t>
        </w:r>
        <w:r>
          <w:rPr>
            <w:noProof/>
            <w:webHidden/>
          </w:rPr>
          <w:tab/>
        </w:r>
        <w:r>
          <w:rPr>
            <w:noProof/>
            <w:webHidden/>
          </w:rPr>
          <w:fldChar w:fldCharType="begin"/>
        </w:r>
        <w:r>
          <w:rPr>
            <w:noProof/>
            <w:webHidden/>
          </w:rPr>
          <w:instrText xml:space="preserve"> PAGEREF _Toc69878961 \h </w:instrText>
        </w:r>
        <w:r>
          <w:rPr>
            <w:noProof/>
            <w:webHidden/>
          </w:rPr>
        </w:r>
        <w:r>
          <w:rPr>
            <w:noProof/>
            <w:webHidden/>
          </w:rPr>
          <w:fldChar w:fldCharType="separate"/>
        </w:r>
        <w:r>
          <w:rPr>
            <w:noProof/>
            <w:webHidden/>
          </w:rPr>
          <w:t>489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62" w:history="1">
        <w:r w:rsidRPr="00CC53E5">
          <w:rPr>
            <w:rStyle w:val="Hyperlink"/>
            <w:noProof/>
          </w:rPr>
          <w:t>2.1.1179</w:t>
        </w:r>
        <w:r>
          <w:rPr>
            <w:rFonts w:asciiTheme="minorHAnsi" w:eastAsiaTheme="minorEastAsia" w:hAnsiTheme="minorHAnsi" w:cstheme="minorBidi"/>
            <w:noProof/>
            <w:sz w:val="22"/>
            <w:szCs w:val="22"/>
          </w:rPr>
          <w:tab/>
        </w:r>
        <w:r w:rsidRPr="00CC53E5">
          <w:rPr>
            <w:rStyle w:val="Hyperlink"/>
            <w:noProof/>
          </w:rPr>
          <w:t>Part 1 Section 19.5.85, tmplLst (Template effects)</w:t>
        </w:r>
        <w:r>
          <w:rPr>
            <w:noProof/>
            <w:webHidden/>
          </w:rPr>
          <w:tab/>
        </w:r>
        <w:r>
          <w:rPr>
            <w:noProof/>
            <w:webHidden/>
          </w:rPr>
          <w:fldChar w:fldCharType="begin"/>
        </w:r>
        <w:r>
          <w:rPr>
            <w:noProof/>
            <w:webHidden/>
          </w:rPr>
          <w:instrText xml:space="preserve"> PAGEREF _Toc69878962 \h </w:instrText>
        </w:r>
        <w:r>
          <w:rPr>
            <w:noProof/>
            <w:webHidden/>
          </w:rPr>
        </w:r>
        <w:r>
          <w:rPr>
            <w:noProof/>
            <w:webHidden/>
          </w:rPr>
          <w:fldChar w:fldCharType="separate"/>
        </w:r>
        <w:r>
          <w:rPr>
            <w:noProof/>
            <w:webHidden/>
          </w:rPr>
          <w:t>489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63" w:history="1">
        <w:r w:rsidRPr="00CC53E5">
          <w:rPr>
            <w:rStyle w:val="Hyperlink"/>
            <w:noProof/>
          </w:rPr>
          <w:t>2.1.1180</w:t>
        </w:r>
        <w:r>
          <w:rPr>
            <w:rFonts w:asciiTheme="minorHAnsi" w:eastAsiaTheme="minorEastAsia" w:hAnsiTheme="minorHAnsi" w:cstheme="minorBidi"/>
            <w:noProof/>
            <w:sz w:val="22"/>
            <w:szCs w:val="22"/>
          </w:rPr>
          <w:tab/>
        </w:r>
        <w:r w:rsidRPr="00CC53E5">
          <w:rPr>
            <w:rStyle w:val="Hyperlink"/>
            <w:noProof/>
          </w:rPr>
          <w:t>Part 1 Section 19.5.87, tnLst (Time Node List)</w:t>
        </w:r>
        <w:r>
          <w:rPr>
            <w:noProof/>
            <w:webHidden/>
          </w:rPr>
          <w:tab/>
        </w:r>
        <w:r>
          <w:rPr>
            <w:noProof/>
            <w:webHidden/>
          </w:rPr>
          <w:fldChar w:fldCharType="begin"/>
        </w:r>
        <w:r>
          <w:rPr>
            <w:noProof/>
            <w:webHidden/>
          </w:rPr>
          <w:instrText xml:space="preserve"> PAGEREF _Toc69878963 \h </w:instrText>
        </w:r>
        <w:r>
          <w:rPr>
            <w:noProof/>
            <w:webHidden/>
          </w:rPr>
        </w:r>
        <w:r>
          <w:rPr>
            <w:noProof/>
            <w:webHidden/>
          </w:rPr>
          <w:fldChar w:fldCharType="separate"/>
        </w:r>
        <w:r>
          <w:rPr>
            <w:noProof/>
            <w:webHidden/>
          </w:rPr>
          <w:t>490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64" w:history="1">
        <w:r w:rsidRPr="00CC53E5">
          <w:rPr>
            <w:rStyle w:val="Hyperlink"/>
            <w:noProof/>
          </w:rPr>
          <w:t>2.1.1181</w:t>
        </w:r>
        <w:r>
          <w:rPr>
            <w:rFonts w:asciiTheme="minorHAnsi" w:eastAsiaTheme="minorEastAsia" w:hAnsiTheme="minorHAnsi" w:cstheme="minorBidi"/>
            <w:noProof/>
            <w:sz w:val="22"/>
            <w:szCs w:val="22"/>
          </w:rPr>
          <w:tab/>
        </w:r>
        <w:r w:rsidRPr="00CC53E5">
          <w:rPr>
            <w:rStyle w:val="Hyperlink"/>
            <w:noProof/>
          </w:rPr>
          <w:t>Part 1 Section 19.5.88, to (To)</w:t>
        </w:r>
        <w:r>
          <w:rPr>
            <w:noProof/>
            <w:webHidden/>
          </w:rPr>
          <w:tab/>
        </w:r>
        <w:r>
          <w:rPr>
            <w:noProof/>
            <w:webHidden/>
          </w:rPr>
          <w:fldChar w:fldCharType="begin"/>
        </w:r>
        <w:r>
          <w:rPr>
            <w:noProof/>
            <w:webHidden/>
          </w:rPr>
          <w:instrText xml:space="preserve"> PAGEREF _Toc69878964 \h </w:instrText>
        </w:r>
        <w:r>
          <w:rPr>
            <w:noProof/>
            <w:webHidden/>
          </w:rPr>
        </w:r>
        <w:r>
          <w:rPr>
            <w:noProof/>
            <w:webHidden/>
          </w:rPr>
          <w:fldChar w:fldCharType="separate"/>
        </w:r>
        <w:r>
          <w:rPr>
            <w:noProof/>
            <w:webHidden/>
          </w:rPr>
          <w:t>490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65" w:history="1">
        <w:r w:rsidRPr="00CC53E5">
          <w:rPr>
            <w:rStyle w:val="Hyperlink"/>
            <w:noProof/>
          </w:rPr>
          <w:t>2.1.1182</w:t>
        </w:r>
        <w:r>
          <w:rPr>
            <w:rFonts w:asciiTheme="minorHAnsi" w:eastAsiaTheme="minorEastAsia" w:hAnsiTheme="minorHAnsi" w:cstheme="minorBidi"/>
            <w:noProof/>
            <w:sz w:val="22"/>
            <w:szCs w:val="22"/>
          </w:rPr>
          <w:tab/>
        </w:r>
        <w:r w:rsidRPr="00CC53E5">
          <w:rPr>
            <w:rStyle w:val="Hyperlink"/>
            <w:noProof/>
          </w:rPr>
          <w:t>Part 1 Section 19.5.89, to (To)</w:t>
        </w:r>
        <w:r>
          <w:rPr>
            <w:noProof/>
            <w:webHidden/>
          </w:rPr>
          <w:tab/>
        </w:r>
        <w:r>
          <w:rPr>
            <w:noProof/>
            <w:webHidden/>
          </w:rPr>
          <w:fldChar w:fldCharType="begin"/>
        </w:r>
        <w:r>
          <w:rPr>
            <w:noProof/>
            <w:webHidden/>
          </w:rPr>
          <w:instrText xml:space="preserve"> PAGEREF _Toc69878965 \h </w:instrText>
        </w:r>
        <w:r>
          <w:rPr>
            <w:noProof/>
            <w:webHidden/>
          </w:rPr>
        </w:r>
        <w:r>
          <w:rPr>
            <w:noProof/>
            <w:webHidden/>
          </w:rPr>
          <w:fldChar w:fldCharType="separate"/>
        </w:r>
        <w:r>
          <w:rPr>
            <w:noProof/>
            <w:webHidden/>
          </w:rPr>
          <w:t>490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66" w:history="1">
        <w:r w:rsidRPr="00CC53E5">
          <w:rPr>
            <w:rStyle w:val="Hyperlink"/>
            <w:noProof/>
          </w:rPr>
          <w:t>2.1.1183</w:t>
        </w:r>
        <w:r>
          <w:rPr>
            <w:rFonts w:asciiTheme="minorHAnsi" w:eastAsiaTheme="minorEastAsia" w:hAnsiTheme="minorHAnsi" w:cstheme="minorBidi"/>
            <w:noProof/>
            <w:sz w:val="22"/>
            <w:szCs w:val="22"/>
          </w:rPr>
          <w:tab/>
        </w:r>
        <w:r w:rsidRPr="00CC53E5">
          <w:rPr>
            <w:rStyle w:val="Hyperlink"/>
            <w:noProof/>
          </w:rPr>
          <w:t>Part 1 Section 19.5.90, to (To)</w:t>
        </w:r>
        <w:r>
          <w:rPr>
            <w:noProof/>
            <w:webHidden/>
          </w:rPr>
          <w:tab/>
        </w:r>
        <w:r>
          <w:rPr>
            <w:noProof/>
            <w:webHidden/>
          </w:rPr>
          <w:fldChar w:fldCharType="begin"/>
        </w:r>
        <w:r>
          <w:rPr>
            <w:noProof/>
            <w:webHidden/>
          </w:rPr>
          <w:instrText xml:space="preserve"> PAGEREF _Toc69878966 \h </w:instrText>
        </w:r>
        <w:r>
          <w:rPr>
            <w:noProof/>
            <w:webHidden/>
          </w:rPr>
        </w:r>
        <w:r>
          <w:rPr>
            <w:noProof/>
            <w:webHidden/>
          </w:rPr>
          <w:fldChar w:fldCharType="separate"/>
        </w:r>
        <w:r>
          <w:rPr>
            <w:noProof/>
            <w:webHidden/>
          </w:rPr>
          <w:t>493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67" w:history="1">
        <w:r w:rsidRPr="00CC53E5">
          <w:rPr>
            <w:rStyle w:val="Hyperlink"/>
            <w:noProof/>
          </w:rPr>
          <w:t>2.1.1184</w:t>
        </w:r>
        <w:r>
          <w:rPr>
            <w:rFonts w:asciiTheme="minorHAnsi" w:eastAsiaTheme="minorEastAsia" w:hAnsiTheme="minorHAnsi" w:cstheme="minorBidi"/>
            <w:noProof/>
            <w:sz w:val="22"/>
            <w:szCs w:val="22"/>
          </w:rPr>
          <w:tab/>
        </w:r>
        <w:r w:rsidRPr="00CC53E5">
          <w:rPr>
            <w:rStyle w:val="Hyperlink"/>
            <w:noProof/>
          </w:rPr>
          <w:t>Part 1 Section 19.5.93, video (Video)</w:t>
        </w:r>
        <w:r>
          <w:rPr>
            <w:noProof/>
            <w:webHidden/>
          </w:rPr>
          <w:tab/>
        </w:r>
        <w:r>
          <w:rPr>
            <w:noProof/>
            <w:webHidden/>
          </w:rPr>
          <w:fldChar w:fldCharType="begin"/>
        </w:r>
        <w:r>
          <w:rPr>
            <w:noProof/>
            <w:webHidden/>
          </w:rPr>
          <w:instrText xml:space="preserve"> PAGEREF _Toc69878967 \h </w:instrText>
        </w:r>
        <w:r>
          <w:rPr>
            <w:noProof/>
            <w:webHidden/>
          </w:rPr>
        </w:r>
        <w:r>
          <w:rPr>
            <w:noProof/>
            <w:webHidden/>
          </w:rPr>
          <w:fldChar w:fldCharType="separate"/>
        </w:r>
        <w:r>
          <w:rPr>
            <w:noProof/>
            <w:webHidden/>
          </w:rPr>
          <w:t>493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68" w:history="1">
        <w:r w:rsidRPr="00CC53E5">
          <w:rPr>
            <w:rStyle w:val="Hyperlink"/>
            <w:noProof/>
          </w:rPr>
          <w:t>2.1.1185</w:t>
        </w:r>
        <w:r>
          <w:rPr>
            <w:rFonts w:asciiTheme="minorHAnsi" w:eastAsiaTheme="minorEastAsia" w:hAnsiTheme="minorHAnsi" w:cstheme="minorBidi"/>
            <w:noProof/>
            <w:sz w:val="22"/>
            <w:szCs w:val="22"/>
          </w:rPr>
          <w:tab/>
        </w:r>
        <w:r w:rsidRPr="00CC53E5">
          <w:rPr>
            <w:rStyle w:val="Hyperlink"/>
            <w:noProof/>
          </w:rPr>
          <w:t>Part 1 Section 19.5.95, wheel (Wheel Slide Transition)</w:t>
        </w:r>
        <w:r>
          <w:rPr>
            <w:noProof/>
            <w:webHidden/>
          </w:rPr>
          <w:tab/>
        </w:r>
        <w:r>
          <w:rPr>
            <w:noProof/>
            <w:webHidden/>
          </w:rPr>
          <w:fldChar w:fldCharType="begin"/>
        </w:r>
        <w:r>
          <w:rPr>
            <w:noProof/>
            <w:webHidden/>
          </w:rPr>
          <w:instrText xml:space="preserve"> PAGEREF _Toc69878968 \h </w:instrText>
        </w:r>
        <w:r>
          <w:rPr>
            <w:noProof/>
            <w:webHidden/>
          </w:rPr>
        </w:r>
        <w:r>
          <w:rPr>
            <w:noProof/>
            <w:webHidden/>
          </w:rPr>
          <w:fldChar w:fldCharType="separate"/>
        </w:r>
        <w:r>
          <w:rPr>
            <w:noProof/>
            <w:webHidden/>
          </w:rPr>
          <w:t>493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69" w:history="1">
        <w:r w:rsidRPr="00CC53E5">
          <w:rPr>
            <w:rStyle w:val="Hyperlink"/>
            <w:noProof/>
          </w:rPr>
          <w:t>2.1.1186</w:t>
        </w:r>
        <w:r>
          <w:rPr>
            <w:rFonts w:asciiTheme="minorHAnsi" w:eastAsiaTheme="minorEastAsia" w:hAnsiTheme="minorHAnsi" w:cstheme="minorBidi"/>
            <w:noProof/>
            <w:sz w:val="22"/>
            <w:szCs w:val="22"/>
          </w:rPr>
          <w:tab/>
        </w:r>
        <w:r w:rsidRPr="00CC53E5">
          <w:rPr>
            <w:rStyle w:val="Hyperlink"/>
            <w:noProof/>
          </w:rPr>
          <w:t>Part 1 Section 19.7.7, ST_PhotoAlbumFrameShape (Photo Album Shape for Photo Mask)</w:t>
        </w:r>
        <w:r>
          <w:rPr>
            <w:noProof/>
            <w:webHidden/>
          </w:rPr>
          <w:tab/>
        </w:r>
        <w:r>
          <w:rPr>
            <w:noProof/>
            <w:webHidden/>
          </w:rPr>
          <w:fldChar w:fldCharType="begin"/>
        </w:r>
        <w:r>
          <w:rPr>
            <w:noProof/>
            <w:webHidden/>
          </w:rPr>
          <w:instrText xml:space="preserve"> PAGEREF _Toc69878969 \h </w:instrText>
        </w:r>
        <w:r>
          <w:rPr>
            <w:noProof/>
            <w:webHidden/>
          </w:rPr>
        </w:r>
        <w:r>
          <w:rPr>
            <w:noProof/>
            <w:webHidden/>
          </w:rPr>
          <w:fldChar w:fldCharType="separate"/>
        </w:r>
        <w:r>
          <w:rPr>
            <w:noProof/>
            <w:webHidden/>
          </w:rPr>
          <w:t>494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70" w:history="1">
        <w:r w:rsidRPr="00CC53E5">
          <w:rPr>
            <w:rStyle w:val="Hyperlink"/>
            <w:noProof/>
          </w:rPr>
          <w:t>2.1.1187</w:t>
        </w:r>
        <w:r>
          <w:rPr>
            <w:rFonts w:asciiTheme="minorHAnsi" w:eastAsiaTheme="minorEastAsia" w:hAnsiTheme="minorHAnsi" w:cstheme="minorBidi"/>
            <w:noProof/>
            <w:sz w:val="22"/>
            <w:szCs w:val="22"/>
          </w:rPr>
          <w:tab/>
        </w:r>
        <w:r w:rsidRPr="00CC53E5">
          <w:rPr>
            <w:rStyle w:val="Hyperlink"/>
            <w:noProof/>
          </w:rPr>
          <w:t>Part 1 Section 19.7.24, ST_TLAnimateEffectTransition (Time List Animate Effect Transition)</w:t>
        </w:r>
        <w:r>
          <w:rPr>
            <w:noProof/>
            <w:webHidden/>
          </w:rPr>
          <w:tab/>
        </w:r>
        <w:r>
          <w:rPr>
            <w:noProof/>
            <w:webHidden/>
          </w:rPr>
          <w:fldChar w:fldCharType="begin"/>
        </w:r>
        <w:r>
          <w:rPr>
            <w:noProof/>
            <w:webHidden/>
          </w:rPr>
          <w:instrText xml:space="preserve"> PAGEREF _Toc69878970 \h </w:instrText>
        </w:r>
        <w:r>
          <w:rPr>
            <w:noProof/>
            <w:webHidden/>
          </w:rPr>
        </w:r>
        <w:r>
          <w:rPr>
            <w:noProof/>
            <w:webHidden/>
          </w:rPr>
          <w:fldChar w:fldCharType="separate"/>
        </w:r>
        <w:r>
          <w:rPr>
            <w:noProof/>
            <w:webHidden/>
          </w:rPr>
          <w:t>496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71" w:history="1">
        <w:r w:rsidRPr="00CC53E5">
          <w:rPr>
            <w:rStyle w:val="Hyperlink"/>
            <w:noProof/>
          </w:rPr>
          <w:t>2.1.1188</w:t>
        </w:r>
        <w:r>
          <w:rPr>
            <w:rFonts w:asciiTheme="minorHAnsi" w:eastAsiaTheme="minorEastAsia" w:hAnsiTheme="minorHAnsi" w:cstheme="minorBidi"/>
            <w:noProof/>
            <w:sz w:val="22"/>
            <w:szCs w:val="22"/>
          </w:rPr>
          <w:tab/>
        </w:r>
        <w:r w:rsidRPr="00CC53E5">
          <w:rPr>
            <w:rStyle w:val="Hyperlink"/>
            <w:noProof/>
          </w:rPr>
          <w:t>Part 1 Section 19.7.25, ST_TLAnimateMotionBehaviorOrigin (Time List Animate Motion Behavior Origin)</w:t>
        </w:r>
        <w:r>
          <w:rPr>
            <w:noProof/>
            <w:webHidden/>
          </w:rPr>
          <w:tab/>
        </w:r>
        <w:r>
          <w:rPr>
            <w:noProof/>
            <w:webHidden/>
          </w:rPr>
          <w:fldChar w:fldCharType="begin"/>
        </w:r>
        <w:r>
          <w:rPr>
            <w:noProof/>
            <w:webHidden/>
          </w:rPr>
          <w:instrText xml:space="preserve"> PAGEREF _Toc69878971 \h </w:instrText>
        </w:r>
        <w:r>
          <w:rPr>
            <w:noProof/>
            <w:webHidden/>
          </w:rPr>
        </w:r>
        <w:r>
          <w:rPr>
            <w:noProof/>
            <w:webHidden/>
          </w:rPr>
          <w:fldChar w:fldCharType="separate"/>
        </w:r>
        <w:r>
          <w:rPr>
            <w:noProof/>
            <w:webHidden/>
          </w:rPr>
          <w:t>496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72" w:history="1">
        <w:r w:rsidRPr="00CC53E5">
          <w:rPr>
            <w:rStyle w:val="Hyperlink"/>
            <w:noProof/>
          </w:rPr>
          <w:t>2.1.1189</w:t>
        </w:r>
        <w:r>
          <w:rPr>
            <w:rFonts w:asciiTheme="minorHAnsi" w:eastAsiaTheme="minorEastAsia" w:hAnsiTheme="minorHAnsi" w:cstheme="minorBidi"/>
            <w:noProof/>
            <w:sz w:val="22"/>
            <w:szCs w:val="22"/>
          </w:rPr>
          <w:tab/>
        </w:r>
        <w:r w:rsidRPr="00CC53E5">
          <w:rPr>
            <w:rStyle w:val="Hyperlink"/>
            <w:noProof/>
          </w:rPr>
          <w:t>Part 1 Section 19.7.28, ST_TLBehaviorAdditiveType (Behavior Additive Type)</w:t>
        </w:r>
        <w:r>
          <w:rPr>
            <w:noProof/>
            <w:webHidden/>
          </w:rPr>
          <w:tab/>
        </w:r>
        <w:r>
          <w:rPr>
            <w:noProof/>
            <w:webHidden/>
          </w:rPr>
          <w:fldChar w:fldCharType="begin"/>
        </w:r>
        <w:r>
          <w:rPr>
            <w:noProof/>
            <w:webHidden/>
          </w:rPr>
          <w:instrText xml:space="preserve"> PAGEREF _Toc69878972 \h </w:instrText>
        </w:r>
        <w:r>
          <w:rPr>
            <w:noProof/>
            <w:webHidden/>
          </w:rPr>
        </w:r>
        <w:r>
          <w:rPr>
            <w:noProof/>
            <w:webHidden/>
          </w:rPr>
          <w:fldChar w:fldCharType="separate"/>
        </w:r>
        <w:r>
          <w:rPr>
            <w:noProof/>
            <w:webHidden/>
          </w:rPr>
          <w:t>496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73" w:history="1">
        <w:r w:rsidRPr="00CC53E5">
          <w:rPr>
            <w:rStyle w:val="Hyperlink"/>
            <w:noProof/>
          </w:rPr>
          <w:t>2.1.1190</w:t>
        </w:r>
        <w:r>
          <w:rPr>
            <w:rFonts w:asciiTheme="minorHAnsi" w:eastAsiaTheme="minorEastAsia" w:hAnsiTheme="minorHAnsi" w:cstheme="minorBidi"/>
            <w:noProof/>
            <w:sz w:val="22"/>
            <w:szCs w:val="22"/>
          </w:rPr>
          <w:tab/>
        </w:r>
        <w:r w:rsidRPr="00CC53E5">
          <w:rPr>
            <w:rStyle w:val="Hyperlink"/>
            <w:noProof/>
          </w:rPr>
          <w:t>Part 1 Section 19.7.30, ST_TLBehaviorTransformType (Behavior Transform Type)</w:t>
        </w:r>
        <w:r>
          <w:rPr>
            <w:noProof/>
            <w:webHidden/>
          </w:rPr>
          <w:tab/>
        </w:r>
        <w:r>
          <w:rPr>
            <w:noProof/>
            <w:webHidden/>
          </w:rPr>
          <w:fldChar w:fldCharType="begin"/>
        </w:r>
        <w:r>
          <w:rPr>
            <w:noProof/>
            <w:webHidden/>
          </w:rPr>
          <w:instrText xml:space="preserve"> PAGEREF _Toc69878973 \h </w:instrText>
        </w:r>
        <w:r>
          <w:rPr>
            <w:noProof/>
            <w:webHidden/>
          </w:rPr>
        </w:r>
        <w:r>
          <w:rPr>
            <w:noProof/>
            <w:webHidden/>
          </w:rPr>
          <w:fldChar w:fldCharType="separate"/>
        </w:r>
        <w:r>
          <w:rPr>
            <w:noProof/>
            <w:webHidden/>
          </w:rPr>
          <w:t>496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74" w:history="1">
        <w:r w:rsidRPr="00CC53E5">
          <w:rPr>
            <w:rStyle w:val="Hyperlink"/>
            <w:noProof/>
          </w:rPr>
          <w:t>2.1.1191</w:t>
        </w:r>
        <w:r>
          <w:rPr>
            <w:rFonts w:asciiTheme="minorHAnsi" w:eastAsiaTheme="minorEastAsia" w:hAnsiTheme="minorHAnsi" w:cstheme="minorBidi"/>
            <w:noProof/>
            <w:sz w:val="22"/>
            <w:szCs w:val="22"/>
          </w:rPr>
          <w:tab/>
        </w:r>
        <w:r w:rsidRPr="00CC53E5">
          <w:rPr>
            <w:rStyle w:val="Hyperlink"/>
            <w:noProof/>
          </w:rPr>
          <w:t>Part 1 Section 19.7.38, ST_TLTime (Time)</w:t>
        </w:r>
        <w:r>
          <w:rPr>
            <w:noProof/>
            <w:webHidden/>
          </w:rPr>
          <w:tab/>
        </w:r>
        <w:r>
          <w:rPr>
            <w:noProof/>
            <w:webHidden/>
          </w:rPr>
          <w:fldChar w:fldCharType="begin"/>
        </w:r>
        <w:r>
          <w:rPr>
            <w:noProof/>
            <w:webHidden/>
          </w:rPr>
          <w:instrText xml:space="preserve"> PAGEREF _Toc69878974 \h </w:instrText>
        </w:r>
        <w:r>
          <w:rPr>
            <w:noProof/>
            <w:webHidden/>
          </w:rPr>
        </w:r>
        <w:r>
          <w:rPr>
            <w:noProof/>
            <w:webHidden/>
          </w:rPr>
          <w:fldChar w:fldCharType="separate"/>
        </w:r>
        <w:r>
          <w:rPr>
            <w:noProof/>
            <w:webHidden/>
          </w:rPr>
          <w:t>496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75" w:history="1">
        <w:r w:rsidRPr="00CC53E5">
          <w:rPr>
            <w:rStyle w:val="Hyperlink"/>
            <w:noProof/>
          </w:rPr>
          <w:t>2.1.1192</w:t>
        </w:r>
        <w:r>
          <w:rPr>
            <w:rFonts w:asciiTheme="minorHAnsi" w:eastAsiaTheme="minorEastAsia" w:hAnsiTheme="minorHAnsi" w:cstheme="minorBidi"/>
            <w:noProof/>
            <w:sz w:val="22"/>
            <w:szCs w:val="22"/>
          </w:rPr>
          <w:tab/>
        </w:r>
        <w:r w:rsidRPr="00CC53E5">
          <w:rPr>
            <w:rStyle w:val="Hyperlink"/>
            <w:noProof/>
          </w:rPr>
          <w:t>Part 1 Section 19.7.41, ST_TLTimeNodeFillType (Time Node Fill Type)</w:t>
        </w:r>
        <w:r>
          <w:rPr>
            <w:noProof/>
            <w:webHidden/>
          </w:rPr>
          <w:tab/>
        </w:r>
        <w:r>
          <w:rPr>
            <w:noProof/>
            <w:webHidden/>
          </w:rPr>
          <w:fldChar w:fldCharType="begin"/>
        </w:r>
        <w:r>
          <w:rPr>
            <w:noProof/>
            <w:webHidden/>
          </w:rPr>
          <w:instrText xml:space="preserve"> PAGEREF _Toc69878975 \h </w:instrText>
        </w:r>
        <w:r>
          <w:rPr>
            <w:noProof/>
            <w:webHidden/>
          </w:rPr>
        </w:r>
        <w:r>
          <w:rPr>
            <w:noProof/>
            <w:webHidden/>
          </w:rPr>
          <w:fldChar w:fldCharType="separate"/>
        </w:r>
        <w:r>
          <w:rPr>
            <w:noProof/>
            <w:webHidden/>
          </w:rPr>
          <w:t>496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76" w:history="1">
        <w:r w:rsidRPr="00CC53E5">
          <w:rPr>
            <w:rStyle w:val="Hyperlink"/>
            <w:noProof/>
          </w:rPr>
          <w:t>2.1.1193</w:t>
        </w:r>
        <w:r>
          <w:rPr>
            <w:rFonts w:asciiTheme="minorHAnsi" w:eastAsiaTheme="minorEastAsia" w:hAnsiTheme="minorHAnsi" w:cstheme="minorBidi"/>
            <w:noProof/>
            <w:sz w:val="22"/>
            <w:szCs w:val="22"/>
          </w:rPr>
          <w:tab/>
        </w:r>
        <w:r w:rsidRPr="00CC53E5">
          <w:rPr>
            <w:rStyle w:val="Hyperlink"/>
            <w:noProof/>
          </w:rPr>
          <w:t>Part 1 Section 19.7.43, ST_TLTimeNodeMasterRelation (Time Node Master Relation)</w:t>
        </w:r>
        <w:r>
          <w:rPr>
            <w:noProof/>
            <w:webHidden/>
          </w:rPr>
          <w:tab/>
        </w:r>
        <w:r>
          <w:rPr>
            <w:noProof/>
            <w:webHidden/>
          </w:rPr>
          <w:fldChar w:fldCharType="begin"/>
        </w:r>
        <w:r>
          <w:rPr>
            <w:noProof/>
            <w:webHidden/>
          </w:rPr>
          <w:instrText xml:space="preserve"> PAGEREF _Toc69878976 \h </w:instrText>
        </w:r>
        <w:r>
          <w:rPr>
            <w:noProof/>
            <w:webHidden/>
          </w:rPr>
        </w:r>
        <w:r>
          <w:rPr>
            <w:noProof/>
            <w:webHidden/>
          </w:rPr>
          <w:fldChar w:fldCharType="separate"/>
        </w:r>
        <w:r>
          <w:rPr>
            <w:noProof/>
            <w:webHidden/>
          </w:rPr>
          <w:t>497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77" w:history="1">
        <w:r w:rsidRPr="00CC53E5">
          <w:rPr>
            <w:rStyle w:val="Hyperlink"/>
            <w:noProof/>
          </w:rPr>
          <w:t>2.1.1194</w:t>
        </w:r>
        <w:r>
          <w:rPr>
            <w:rFonts w:asciiTheme="minorHAnsi" w:eastAsiaTheme="minorEastAsia" w:hAnsiTheme="minorHAnsi" w:cstheme="minorBidi"/>
            <w:noProof/>
            <w:sz w:val="22"/>
            <w:szCs w:val="22"/>
          </w:rPr>
          <w:tab/>
        </w:r>
        <w:r w:rsidRPr="00CC53E5">
          <w:rPr>
            <w:rStyle w:val="Hyperlink"/>
            <w:noProof/>
          </w:rPr>
          <w:t>Part 1 Section 19.7.45, ST_TLTimeNodeRestartType (Time Node Restart Type)</w:t>
        </w:r>
        <w:r>
          <w:rPr>
            <w:noProof/>
            <w:webHidden/>
          </w:rPr>
          <w:tab/>
        </w:r>
        <w:r>
          <w:rPr>
            <w:noProof/>
            <w:webHidden/>
          </w:rPr>
          <w:fldChar w:fldCharType="begin"/>
        </w:r>
        <w:r>
          <w:rPr>
            <w:noProof/>
            <w:webHidden/>
          </w:rPr>
          <w:instrText xml:space="preserve"> PAGEREF _Toc69878977 \h </w:instrText>
        </w:r>
        <w:r>
          <w:rPr>
            <w:noProof/>
            <w:webHidden/>
          </w:rPr>
        </w:r>
        <w:r>
          <w:rPr>
            <w:noProof/>
            <w:webHidden/>
          </w:rPr>
          <w:fldChar w:fldCharType="separate"/>
        </w:r>
        <w:r>
          <w:rPr>
            <w:noProof/>
            <w:webHidden/>
          </w:rPr>
          <w:t>497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78" w:history="1">
        <w:r w:rsidRPr="00CC53E5">
          <w:rPr>
            <w:rStyle w:val="Hyperlink"/>
            <w:noProof/>
          </w:rPr>
          <w:t>2.1.1195</w:t>
        </w:r>
        <w:r>
          <w:rPr>
            <w:rFonts w:asciiTheme="minorHAnsi" w:eastAsiaTheme="minorEastAsia" w:hAnsiTheme="minorHAnsi" w:cstheme="minorBidi"/>
            <w:noProof/>
            <w:sz w:val="22"/>
            <w:szCs w:val="22"/>
          </w:rPr>
          <w:tab/>
        </w:r>
        <w:r w:rsidRPr="00CC53E5">
          <w:rPr>
            <w:rStyle w:val="Hyperlink"/>
            <w:noProof/>
          </w:rPr>
          <w:t>Part 1 Section 19.7.48, ST_TLTriggerEvent (Trigger Event)</w:t>
        </w:r>
        <w:r>
          <w:rPr>
            <w:noProof/>
            <w:webHidden/>
          </w:rPr>
          <w:tab/>
        </w:r>
        <w:r>
          <w:rPr>
            <w:noProof/>
            <w:webHidden/>
          </w:rPr>
          <w:fldChar w:fldCharType="begin"/>
        </w:r>
        <w:r>
          <w:rPr>
            <w:noProof/>
            <w:webHidden/>
          </w:rPr>
          <w:instrText xml:space="preserve"> PAGEREF _Toc69878978 \h </w:instrText>
        </w:r>
        <w:r>
          <w:rPr>
            <w:noProof/>
            <w:webHidden/>
          </w:rPr>
        </w:r>
        <w:r>
          <w:rPr>
            <w:noProof/>
            <w:webHidden/>
          </w:rPr>
          <w:fldChar w:fldCharType="separate"/>
        </w:r>
        <w:r>
          <w:rPr>
            <w:noProof/>
            <w:webHidden/>
          </w:rPr>
          <w:t>497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79" w:history="1">
        <w:r w:rsidRPr="00CC53E5">
          <w:rPr>
            <w:rStyle w:val="Hyperlink"/>
            <w:noProof/>
          </w:rPr>
          <w:t>2.1.1196</w:t>
        </w:r>
        <w:r>
          <w:rPr>
            <w:rFonts w:asciiTheme="minorHAnsi" w:eastAsiaTheme="minorEastAsia" w:hAnsiTheme="minorHAnsi" w:cstheme="minorBidi"/>
            <w:noProof/>
            <w:sz w:val="22"/>
            <w:szCs w:val="22"/>
          </w:rPr>
          <w:tab/>
        </w:r>
        <w:r w:rsidRPr="00CC53E5">
          <w:rPr>
            <w:rStyle w:val="Hyperlink"/>
            <w:noProof/>
          </w:rPr>
          <w:t>Part 1 Section 19.7.55, ST_ViewType (List of View Types)</w:t>
        </w:r>
        <w:r>
          <w:rPr>
            <w:noProof/>
            <w:webHidden/>
          </w:rPr>
          <w:tab/>
        </w:r>
        <w:r>
          <w:rPr>
            <w:noProof/>
            <w:webHidden/>
          </w:rPr>
          <w:fldChar w:fldCharType="begin"/>
        </w:r>
        <w:r>
          <w:rPr>
            <w:noProof/>
            <w:webHidden/>
          </w:rPr>
          <w:instrText xml:space="preserve"> PAGEREF _Toc69878979 \h </w:instrText>
        </w:r>
        <w:r>
          <w:rPr>
            <w:noProof/>
            <w:webHidden/>
          </w:rPr>
        </w:r>
        <w:r>
          <w:rPr>
            <w:noProof/>
            <w:webHidden/>
          </w:rPr>
          <w:fldChar w:fldCharType="separate"/>
        </w:r>
        <w:r>
          <w:rPr>
            <w:noProof/>
            <w:webHidden/>
          </w:rPr>
          <w:t>498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80" w:history="1">
        <w:r w:rsidRPr="00CC53E5">
          <w:rPr>
            <w:rStyle w:val="Hyperlink"/>
            <w:noProof/>
          </w:rPr>
          <w:t>2.1.1197</w:t>
        </w:r>
        <w:r>
          <w:rPr>
            <w:rFonts w:asciiTheme="minorHAnsi" w:eastAsiaTheme="minorEastAsia" w:hAnsiTheme="minorHAnsi" w:cstheme="minorBidi"/>
            <w:noProof/>
            <w:sz w:val="22"/>
            <w:szCs w:val="22"/>
          </w:rPr>
          <w:tab/>
        </w:r>
        <w:r w:rsidRPr="00CC53E5">
          <w:rPr>
            <w:rStyle w:val="Hyperlink"/>
            <w:noProof/>
          </w:rPr>
          <w:t>Part 1 Section 20.1.2.2.1, bldChart (Build Chart)</w:t>
        </w:r>
        <w:r>
          <w:rPr>
            <w:noProof/>
            <w:webHidden/>
          </w:rPr>
          <w:tab/>
        </w:r>
        <w:r>
          <w:rPr>
            <w:noProof/>
            <w:webHidden/>
          </w:rPr>
          <w:fldChar w:fldCharType="begin"/>
        </w:r>
        <w:r>
          <w:rPr>
            <w:noProof/>
            <w:webHidden/>
          </w:rPr>
          <w:instrText xml:space="preserve"> PAGEREF _Toc69878980 \h </w:instrText>
        </w:r>
        <w:r>
          <w:rPr>
            <w:noProof/>
            <w:webHidden/>
          </w:rPr>
        </w:r>
        <w:r>
          <w:rPr>
            <w:noProof/>
            <w:webHidden/>
          </w:rPr>
          <w:fldChar w:fldCharType="separate"/>
        </w:r>
        <w:r>
          <w:rPr>
            <w:noProof/>
            <w:webHidden/>
          </w:rPr>
          <w:t>498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81" w:history="1">
        <w:r w:rsidRPr="00CC53E5">
          <w:rPr>
            <w:rStyle w:val="Hyperlink"/>
            <w:noProof/>
          </w:rPr>
          <w:t>2.1.1198</w:t>
        </w:r>
        <w:r>
          <w:rPr>
            <w:rFonts w:asciiTheme="minorHAnsi" w:eastAsiaTheme="minorEastAsia" w:hAnsiTheme="minorHAnsi" w:cstheme="minorBidi"/>
            <w:noProof/>
            <w:sz w:val="22"/>
            <w:szCs w:val="22"/>
          </w:rPr>
          <w:tab/>
        </w:r>
        <w:r w:rsidRPr="00CC53E5">
          <w:rPr>
            <w:rStyle w:val="Hyperlink"/>
            <w:noProof/>
          </w:rPr>
          <w:t>Part 1 Section 20.1.2.2.2, bldDgm (Build Diagram)</w:t>
        </w:r>
        <w:r>
          <w:rPr>
            <w:noProof/>
            <w:webHidden/>
          </w:rPr>
          <w:tab/>
        </w:r>
        <w:r>
          <w:rPr>
            <w:noProof/>
            <w:webHidden/>
          </w:rPr>
          <w:fldChar w:fldCharType="begin"/>
        </w:r>
        <w:r>
          <w:rPr>
            <w:noProof/>
            <w:webHidden/>
          </w:rPr>
          <w:instrText xml:space="preserve"> PAGEREF _Toc69878981 \h </w:instrText>
        </w:r>
        <w:r>
          <w:rPr>
            <w:noProof/>
            <w:webHidden/>
          </w:rPr>
        </w:r>
        <w:r>
          <w:rPr>
            <w:noProof/>
            <w:webHidden/>
          </w:rPr>
          <w:fldChar w:fldCharType="separate"/>
        </w:r>
        <w:r>
          <w:rPr>
            <w:noProof/>
            <w:webHidden/>
          </w:rPr>
          <w:t>498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82" w:history="1">
        <w:r w:rsidRPr="00CC53E5">
          <w:rPr>
            <w:rStyle w:val="Hyperlink"/>
            <w:noProof/>
          </w:rPr>
          <w:t>2.1.1199</w:t>
        </w:r>
        <w:r>
          <w:rPr>
            <w:rFonts w:asciiTheme="minorHAnsi" w:eastAsiaTheme="minorEastAsia" w:hAnsiTheme="minorHAnsi" w:cstheme="minorBidi"/>
            <w:noProof/>
            <w:sz w:val="22"/>
            <w:szCs w:val="22"/>
          </w:rPr>
          <w:tab/>
        </w:r>
        <w:r w:rsidRPr="00CC53E5">
          <w:rPr>
            <w:rStyle w:val="Hyperlink"/>
            <w:noProof/>
          </w:rPr>
          <w:t>Part 1 Section 20.1.2.2.4, cNvCxnSpPr (Non-Visual Connector Shape Drawing Properties)</w:t>
        </w:r>
        <w:r>
          <w:rPr>
            <w:noProof/>
            <w:webHidden/>
          </w:rPr>
          <w:tab/>
        </w:r>
        <w:r>
          <w:rPr>
            <w:noProof/>
            <w:webHidden/>
          </w:rPr>
          <w:fldChar w:fldCharType="begin"/>
        </w:r>
        <w:r>
          <w:rPr>
            <w:noProof/>
            <w:webHidden/>
          </w:rPr>
          <w:instrText xml:space="preserve"> PAGEREF _Toc69878982 \h </w:instrText>
        </w:r>
        <w:r>
          <w:rPr>
            <w:noProof/>
            <w:webHidden/>
          </w:rPr>
        </w:r>
        <w:r>
          <w:rPr>
            <w:noProof/>
            <w:webHidden/>
          </w:rPr>
          <w:fldChar w:fldCharType="separate"/>
        </w:r>
        <w:r>
          <w:rPr>
            <w:noProof/>
            <w:webHidden/>
          </w:rPr>
          <w:t>498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83" w:history="1">
        <w:r w:rsidRPr="00CC53E5">
          <w:rPr>
            <w:rStyle w:val="Hyperlink"/>
            <w:noProof/>
          </w:rPr>
          <w:t>2.1.1200</w:t>
        </w:r>
        <w:r>
          <w:rPr>
            <w:rFonts w:asciiTheme="minorHAnsi" w:eastAsiaTheme="minorEastAsia" w:hAnsiTheme="minorHAnsi" w:cstheme="minorBidi"/>
            <w:noProof/>
            <w:sz w:val="22"/>
            <w:szCs w:val="22"/>
          </w:rPr>
          <w:tab/>
        </w:r>
        <w:r w:rsidRPr="00CC53E5">
          <w:rPr>
            <w:rStyle w:val="Hyperlink"/>
            <w:noProof/>
          </w:rPr>
          <w:t>Part 1 Section 20.1.2.2.5, cNvGraphicFramePr (Non-Visual Graphic Frame Drawing Properties)</w:t>
        </w:r>
        <w:r>
          <w:rPr>
            <w:noProof/>
            <w:webHidden/>
          </w:rPr>
          <w:tab/>
        </w:r>
        <w:r>
          <w:rPr>
            <w:noProof/>
            <w:webHidden/>
          </w:rPr>
          <w:fldChar w:fldCharType="begin"/>
        </w:r>
        <w:r>
          <w:rPr>
            <w:noProof/>
            <w:webHidden/>
          </w:rPr>
          <w:instrText xml:space="preserve"> PAGEREF _Toc69878983 \h </w:instrText>
        </w:r>
        <w:r>
          <w:rPr>
            <w:noProof/>
            <w:webHidden/>
          </w:rPr>
        </w:r>
        <w:r>
          <w:rPr>
            <w:noProof/>
            <w:webHidden/>
          </w:rPr>
          <w:fldChar w:fldCharType="separate"/>
        </w:r>
        <w:r>
          <w:rPr>
            <w:noProof/>
            <w:webHidden/>
          </w:rPr>
          <w:t>498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84" w:history="1">
        <w:r w:rsidRPr="00CC53E5">
          <w:rPr>
            <w:rStyle w:val="Hyperlink"/>
            <w:noProof/>
          </w:rPr>
          <w:t>2.1.1201</w:t>
        </w:r>
        <w:r>
          <w:rPr>
            <w:rFonts w:asciiTheme="minorHAnsi" w:eastAsiaTheme="minorEastAsia" w:hAnsiTheme="minorHAnsi" w:cstheme="minorBidi"/>
            <w:noProof/>
            <w:sz w:val="22"/>
            <w:szCs w:val="22"/>
          </w:rPr>
          <w:tab/>
        </w:r>
        <w:r w:rsidRPr="00CC53E5">
          <w:rPr>
            <w:rStyle w:val="Hyperlink"/>
            <w:noProof/>
          </w:rPr>
          <w:t>Part 1 Section 20.1.2.2.6, cNvGrpSpPr (Non-Visual Group Shape Drawing Properties)</w:t>
        </w:r>
        <w:r>
          <w:rPr>
            <w:noProof/>
            <w:webHidden/>
          </w:rPr>
          <w:tab/>
        </w:r>
        <w:r>
          <w:rPr>
            <w:noProof/>
            <w:webHidden/>
          </w:rPr>
          <w:fldChar w:fldCharType="begin"/>
        </w:r>
        <w:r>
          <w:rPr>
            <w:noProof/>
            <w:webHidden/>
          </w:rPr>
          <w:instrText xml:space="preserve"> PAGEREF _Toc69878984 \h </w:instrText>
        </w:r>
        <w:r>
          <w:rPr>
            <w:noProof/>
            <w:webHidden/>
          </w:rPr>
        </w:r>
        <w:r>
          <w:rPr>
            <w:noProof/>
            <w:webHidden/>
          </w:rPr>
          <w:fldChar w:fldCharType="separate"/>
        </w:r>
        <w:r>
          <w:rPr>
            <w:noProof/>
            <w:webHidden/>
          </w:rPr>
          <w:t>498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85" w:history="1">
        <w:r w:rsidRPr="00CC53E5">
          <w:rPr>
            <w:rStyle w:val="Hyperlink"/>
            <w:noProof/>
          </w:rPr>
          <w:t>2.1.1202</w:t>
        </w:r>
        <w:r>
          <w:rPr>
            <w:rFonts w:asciiTheme="minorHAnsi" w:eastAsiaTheme="minorEastAsia" w:hAnsiTheme="minorHAnsi" w:cstheme="minorBidi"/>
            <w:noProof/>
            <w:sz w:val="22"/>
            <w:szCs w:val="22"/>
          </w:rPr>
          <w:tab/>
        </w:r>
        <w:r w:rsidRPr="00CC53E5">
          <w:rPr>
            <w:rStyle w:val="Hyperlink"/>
            <w:noProof/>
          </w:rPr>
          <w:t>Part 1 Section 20.1.2.2.11, cxnSpLocks (Connection Shape Locks)</w:t>
        </w:r>
        <w:r>
          <w:rPr>
            <w:noProof/>
            <w:webHidden/>
          </w:rPr>
          <w:tab/>
        </w:r>
        <w:r>
          <w:rPr>
            <w:noProof/>
            <w:webHidden/>
          </w:rPr>
          <w:fldChar w:fldCharType="begin"/>
        </w:r>
        <w:r>
          <w:rPr>
            <w:noProof/>
            <w:webHidden/>
          </w:rPr>
          <w:instrText xml:space="preserve"> PAGEREF _Toc69878985 \h </w:instrText>
        </w:r>
        <w:r>
          <w:rPr>
            <w:noProof/>
            <w:webHidden/>
          </w:rPr>
        </w:r>
        <w:r>
          <w:rPr>
            <w:noProof/>
            <w:webHidden/>
          </w:rPr>
          <w:fldChar w:fldCharType="separate"/>
        </w:r>
        <w:r>
          <w:rPr>
            <w:noProof/>
            <w:webHidden/>
          </w:rPr>
          <w:t>498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86" w:history="1">
        <w:r w:rsidRPr="00CC53E5">
          <w:rPr>
            <w:rStyle w:val="Hyperlink"/>
            <w:noProof/>
          </w:rPr>
          <w:t>2.1.1203</w:t>
        </w:r>
        <w:r>
          <w:rPr>
            <w:rFonts w:asciiTheme="minorHAnsi" w:eastAsiaTheme="minorEastAsia" w:hAnsiTheme="minorHAnsi" w:cstheme="minorBidi"/>
            <w:noProof/>
            <w:sz w:val="22"/>
            <w:szCs w:val="22"/>
          </w:rPr>
          <w:tab/>
        </w:r>
        <w:r w:rsidRPr="00CC53E5">
          <w:rPr>
            <w:rStyle w:val="Hyperlink"/>
            <w:noProof/>
          </w:rPr>
          <w:t>Part 1 Section 20.1.2.2.12, dgm (Diagram to Animate)</w:t>
        </w:r>
        <w:r>
          <w:rPr>
            <w:noProof/>
            <w:webHidden/>
          </w:rPr>
          <w:tab/>
        </w:r>
        <w:r>
          <w:rPr>
            <w:noProof/>
            <w:webHidden/>
          </w:rPr>
          <w:fldChar w:fldCharType="begin"/>
        </w:r>
        <w:r>
          <w:rPr>
            <w:noProof/>
            <w:webHidden/>
          </w:rPr>
          <w:instrText xml:space="preserve"> PAGEREF _Toc69878986 \h </w:instrText>
        </w:r>
        <w:r>
          <w:rPr>
            <w:noProof/>
            <w:webHidden/>
          </w:rPr>
        </w:r>
        <w:r>
          <w:rPr>
            <w:noProof/>
            <w:webHidden/>
          </w:rPr>
          <w:fldChar w:fldCharType="separate"/>
        </w:r>
        <w:r>
          <w:rPr>
            <w:noProof/>
            <w:webHidden/>
          </w:rPr>
          <w:t>499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87" w:history="1">
        <w:r w:rsidRPr="00CC53E5">
          <w:rPr>
            <w:rStyle w:val="Hyperlink"/>
            <w:noProof/>
          </w:rPr>
          <w:t>2.1.1204</w:t>
        </w:r>
        <w:r>
          <w:rPr>
            <w:rFonts w:asciiTheme="minorHAnsi" w:eastAsiaTheme="minorEastAsia" w:hAnsiTheme="minorHAnsi" w:cstheme="minorBidi"/>
            <w:noProof/>
            <w:sz w:val="22"/>
            <w:szCs w:val="22"/>
          </w:rPr>
          <w:tab/>
        </w:r>
        <w:r w:rsidRPr="00CC53E5">
          <w:rPr>
            <w:rStyle w:val="Hyperlink"/>
            <w:noProof/>
          </w:rPr>
          <w:t>Part 1 Section 20.1.2.2.13, endCxn (Connection End)</w:t>
        </w:r>
        <w:r>
          <w:rPr>
            <w:noProof/>
            <w:webHidden/>
          </w:rPr>
          <w:tab/>
        </w:r>
        <w:r>
          <w:rPr>
            <w:noProof/>
            <w:webHidden/>
          </w:rPr>
          <w:fldChar w:fldCharType="begin"/>
        </w:r>
        <w:r>
          <w:rPr>
            <w:noProof/>
            <w:webHidden/>
          </w:rPr>
          <w:instrText xml:space="preserve"> PAGEREF _Toc69878987 \h </w:instrText>
        </w:r>
        <w:r>
          <w:rPr>
            <w:noProof/>
            <w:webHidden/>
          </w:rPr>
        </w:r>
        <w:r>
          <w:rPr>
            <w:noProof/>
            <w:webHidden/>
          </w:rPr>
          <w:fldChar w:fldCharType="separate"/>
        </w:r>
        <w:r>
          <w:rPr>
            <w:noProof/>
            <w:webHidden/>
          </w:rPr>
          <w:t>499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88" w:history="1">
        <w:r w:rsidRPr="00CC53E5">
          <w:rPr>
            <w:rStyle w:val="Hyperlink"/>
            <w:noProof/>
          </w:rPr>
          <w:t>2.1.1205</w:t>
        </w:r>
        <w:r>
          <w:rPr>
            <w:rFonts w:asciiTheme="minorHAnsi" w:eastAsiaTheme="minorEastAsia" w:hAnsiTheme="minorHAnsi" w:cstheme="minorBidi"/>
            <w:noProof/>
            <w:sz w:val="22"/>
            <w:szCs w:val="22"/>
          </w:rPr>
          <w:tab/>
        </w:r>
        <w:r w:rsidRPr="00CC53E5">
          <w:rPr>
            <w:rStyle w:val="Hyperlink"/>
            <w:noProof/>
          </w:rPr>
          <w:t>Part 1 Section 20.1.2.2.14, ext (Extension)</w:t>
        </w:r>
        <w:r>
          <w:rPr>
            <w:noProof/>
            <w:webHidden/>
          </w:rPr>
          <w:tab/>
        </w:r>
        <w:r>
          <w:rPr>
            <w:noProof/>
            <w:webHidden/>
          </w:rPr>
          <w:fldChar w:fldCharType="begin"/>
        </w:r>
        <w:r>
          <w:rPr>
            <w:noProof/>
            <w:webHidden/>
          </w:rPr>
          <w:instrText xml:space="preserve"> PAGEREF _Toc69878988 \h </w:instrText>
        </w:r>
        <w:r>
          <w:rPr>
            <w:noProof/>
            <w:webHidden/>
          </w:rPr>
        </w:r>
        <w:r>
          <w:rPr>
            <w:noProof/>
            <w:webHidden/>
          </w:rPr>
          <w:fldChar w:fldCharType="separate"/>
        </w:r>
        <w:r>
          <w:rPr>
            <w:noProof/>
            <w:webHidden/>
          </w:rPr>
          <w:t>499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89" w:history="1">
        <w:r w:rsidRPr="00CC53E5">
          <w:rPr>
            <w:rStyle w:val="Hyperlink"/>
            <w:noProof/>
          </w:rPr>
          <w:t>2.1.1206</w:t>
        </w:r>
        <w:r>
          <w:rPr>
            <w:rFonts w:asciiTheme="minorHAnsi" w:eastAsiaTheme="minorEastAsia" w:hAnsiTheme="minorHAnsi" w:cstheme="minorBidi"/>
            <w:noProof/>
            <w:sz w:val="22"/>
            <w:szCs w:val="22"/>
          </w:rPr>
          <w:tab/>
        </w:r>
        <w:r w:rsidRPr="00CC53E5">
          <w:rPr>
            <w:rStyle w:val="Hyperlink"/>
            <w:noProof/>
          </w:rPr>
          <w:t>Part 1 Section 20.1.2.2.17, graphicData (Graphic Object Data)</w:t>
        </w:r>
        <w:r>
          <w:rPr>
            <w:noProof/>
            <w:webHidden/>
          </w:rPr>
          <w:tab/>
        </w:r>
        <w:r>
          <w:rPr>
            <w:noProof/>
            <w:webHidden/>
          </w:rPr>
          <w:fldChar w:fldCharType="begin"/>
        </w:r>
        <w:r>
          <w:rPr>
            <w:noProof/>
            <w:webHidden/>
          </w:rPr>
          <w:instrText xml:space="preserve"> PAGEREF _Toc69878989 \h </w:instrText>
        </w:r>
        <w:r>
          <w:rPr>
            <w:noProof/>
            <w:webHidden/>
          </w:rPr>
        </w:r>
        <w:r>
          <w:rPr>
            <w:noProof/>
            <w:webHidden/>
          </w:rPr>
          <w:fldChar w:fldCharType="separate"/>
        </w:r>
        <w:r>
          <w:rPr>
            <w:noProof/>
            <w:webHidden/>
          </w:rPr>
          <w:t>499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90" w:history="1">
        <w:r w:rsidRPr="00CC53E5">
          <w:rPr>
            <w:rStyle w:val="Hyperlink"/>
            <w:noProof/>
          </w:rPr>
          <w:t>2.1.1207</w:t>
        </w:r>
        <w:r>
          <w:rPr>
            <w:rFonts w:asciiTheme="minorHAnsi" w:eastAsiaTheme="minorEastAsia" w:hAnsiTheme="minorHAnsi" w:cstheme="minorBidi"/>
            <w:noProof/>
            <w:sz w:val="22"/>
            <w:szCs w:val="22"/>
          </w:rPr>
          <w:tab/>
        </w:r>
        <w:r w:rsidRPr="00CC53E5">
          <w:rPr>
            <w:rStyle w:val="Hyperlink"/>
            <w:noProof/>
          </w:rPr>
          <w:t>Part 1 Section 20.1.2.2.19, graphicFrameLocks (Graphic Frame Locks)</w:t>
        </w:r>
        <w:r>
          <w:rPr>
            <w:noProof/>
            <w:webHidden/>
          </w:rPr>
          <w:tab/>
        </w:r>
        <w:r>
          <w:rPr>
            <w:noProof/>
            <w:webHidden/>
          </w:rPr>
          <w:fldChar w:fldCharType="begin"/>
        </w:r>
        <w:r>
          <w:rPr>
            <w:noProof/>
            <w:webHidden/>
          </w:rPr>
          <w:instrText xml:space="preserve"> PAGEREF _Toc69878990 \h </w:instrText>
        </w:r>
        <w:r>
          <w:rPr>
            <w:noProof/>
            <w:webHidden/>
          </w:rPr>
        </w:r>
        <w:r>
          <w:rPr>
            <w:noProof/>
            <w:webHidden/>
          </w:rPr>
          <w:fldChar w:fldCharType="separate"/>
        </w:r>
        <w:r>
          <w:rPr>
            <w:noProof/>
            <w:webHidden/>
          </w:rPr>
          <w:t>500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91" w:history="1">
        <w:r w:rsidRPr="00CC53E5">
          <w:rPr>
            <w:rStyle w:val="Hyperlink"/>
            <w:noProof/>
          </w:rPr>
          <w:t>2.1.1208</w:t>
        </w:r>
        <w:r>
          <w:rPr>
            <w:rFonts w:asciiTheme="minorHAnsi" w:eastAsiaTheme="minorEastAsia" w:hAnsiTheme="minorHAnsi" w:cstheme="minorBidi"/>
            <w:noProof/>
            <w:sz w:val="22"/>
            <w:szCs w:val="22"/>
          </w:rPr>
          <w:tab/>
        </w:r>
        <w:r w:rsidRPr="00CC53E5">
          <w:rPr>
            <w:rStyle w:val="Hyperlink"/>
            <w:noProof/>
          </w:rPr>
          <w:t>Part 1 Section 20.1.2.2.21, grpSpLocks (Group Shape Locks)</w:t>
        </w:r>
        <w:r>
          <w:rPr>
            <w:noProof/>
            <w:webHidden/>
          </w:rPr>
          <w:tab/>
        </w:r>
        <w:r>
          <w:rPr>
            <w:noProof/>
            <w:webHidden/>
          </w:rPr>
          <w:fldChar w:fldCharType="begin"/>
        </w:r>
        <w:r>
          <w:rPr>
            <w:noProof/>
            <w:webHidden/>
          </w:rPr>
          <w:instrText xml:space="preserve"> PAGEREF _Toc69878991 \h </w:instrText>
        </w:r>
        <w:r>
          <w:rPr>
            <w:noProof/>
            <w:webHidden/>
          </w:rPr>
        </w:r>
        <w:r>
          <w:rPr>
            <w:noProof/>
            <w:webHidden/>
          </w:rPr>
          <w:fldChar w:fldCharType="separate"/>
        </w:r>
        <w:r>
          <w:rPr>
            <w:noProof/>
            <w:webHidden/>
          </w:rPr>
          <w:t>500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92" w:history="1">
        <w:r w:rsidRPr="00CC53E5">
          <w:rPr>
            <w:rStyle w:val="Hyperlink"/>
            <w:noProof/>
          </w:rPr>
          <w:t>2.1.1209</w:t>
        </w:r>
        <w:r>
          <w:rPr>
            <w:rFonts w:asciiTheme="minorHAnsi" w:eastAsiaTheme="minorEastAsia" w:hAnsiTheme="minorHAnsi" w:cstheme="minorBidi"/>
            <w:noProof/>
            <w:sz w:val="22"/>
            <w:szCs w:val="22"/>
          </w:rPr>
          <w:tab/>
        </w:r>
        <w:r w:rsidRPr="00CC53E5">
          <w:rPr>
            <w:rStyle w:val="Hyperlink"/>
            <w:noProof/>
          </w:rPr>
          <w:t>Part 1 Section 20.1.2.2.22, grpSpPr (Visual Group Shape Properties)</w:t>
        </w:r>
        <w:r>
          <w:rPr>
            <w:noProof/>
            <w:webHidden/>
          </w:rPr>
          <w:tab/>
        </w:r>
        <w:r>
          <w:rPr>
            <w:noProof/>
            <w:webHidden/>
          </w:rPr>
          <w:fldChar w:fldCharType="begin"/>
        </w:r>
        <w:r>
          <w:rPr>
            <w:noProof/>
            <w:webHidden/>
          </w:rPr>
          <w:instrText xml:space="preserve"> PAGEREF _Toc69878992 \h </w:instrText>
        </w:r>
        <w:r>
          <w:rPr>
            <w:noProof/>
            <w:webHidden/>
          </w:rPr>
        </w:r>
        <w:r>
          <w:rPr>
            <w:noProof/>
            <w:webHidden/>
          </w:rPr>
          <w:fldChar w:fldCharType="separate"/>
        </w:r>
        <w:r>
          <w:rPr>
            <w:noProof/>
            <w:webHidden/>
          </w:rPr>
          <w:t>500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93" w:history="1">
        <w:r w:rsidRPr="00CC53E5">
          <w:rPr>
            <w:rStyle w:val="Hyperlink"/>
            <w:noProof/>
          </w:rPr>
          <w:t>2.1.1210</w:t>
        </w:r>
        <w:r>
          <w:rPr>
            <w:rFonts w:asciiTheme="minorHAnsi" w:eastAsiaTheme="minorEastAsia" w:hAnsiTheme="minorHAnsi" w:cstheme="minorBidi"/>
            <w:noProof/>
            <w:sz w:val="22"/>
            <w:szCs w:val="22"/>
          </w:rPr>
          <w:tab/>
        </w:r>
        <w:r w:rsidRPr="00CC53E5">
          <w:rPr>
            <w:rStyle w:val="Hyperlink"/>
            <w:noProof/>
          </w:rPr>
          <w:t>Part 1 Section 20.1.2.2.23, hlinkHover (Hyperlink for Hover)</w:t>
        </w:r>
        <w:r>
          <w:rPr>
            <w:noProof/>
            <w:webHidden/>
          </w:rPr>
          <w:tab/>
        </w:r>
        <w:r>
          <w:rPr>
            <w:noProof/>
            <w:webHidden/>
          </w:rPr>
          <w:fldChar w:fldCharType="begin"/>
        </w:r>
        <w:r>
          <w:rPr>
            <w:noProof/>
            <w:webHidden/>
          </w:rPr>
          <w:instrText xml:space="preserve"> PAGEREF _Toc69878993 \h </w:instrText>
        </w:r>
        <w:r>
          <w:rPr>
            <w:noProof/>
            <w:webHidden/>
          </w:rPr>
        </w:r>
        <w:r>
          <w:rPr>
            <w:noProof/>
            <w:webHidden/>
          </w:rPr>
          <w:fldChar w:fldCharType="separate"/>
        </w:r>
        <w:r>
          <w:rPr>
            <w:noProof/>
            <w:webHidden/>
          </w:rPr>
          <w:t>500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94" w:history="1">
        <w:r w:rsidRPr="00CC53E5">
          <w:rPr>
            <w:rStyle w:val="Hyperlink"/>
            <w:noProof/>
          </w:rPr>
          <w:t>2.1.1211</w:t>
        </w:r>
        <w:r>
          <w:rPr>
            <w:rFonts w:asciiTheme="minorHAnsi" w:eastAsiaTheme="minorEastAsia" w:hAnsiTheme="minorHAnsi" w:cstheme="minorBidi"/>
            <w:noProof/>
            <w:sz w:val="22"/>
            <w:szCs w:val="22"/>
          </w:rPr>
          <w:tab/>
        </w:r>
        <w:r w:rsidRPr="00CC53E5">
          <w:rPr>
            <w:rStyle w:val="Hyperlink"/>
            <w:noProof/>
          </w:rPr>
          <w:t>Part 1 Section 20.1.2.2.24, ln (Outline)</w:t>
        </w:r>
        <w:r>
          <w:rPr>
            <w:noProof/>
            <w:webHidden/>
          </w:rPr>
          <w:tab/>
        </w:r>
        <w:r>
          <w:rPr>
            <w:noProof/>
            <w:webHidden/>
          </w:rPr>
          <w:fldChar w:fldCharType="begin"/>
        </w:r>
        <w:r>
          <w:rPr>
            <w:noProof/>
            <w:webHidden/>
          </w:rPr>
          <w:instrText xml:space="preserve"> PAGEREF _Toc69878994 \h </w:instrText>
        </w:r>
        <w:r>
          <w:rPr>
            <w:noProof/>
            <w:webHidden/>
          </w:rPr>
        </w:r>
        <w:r>
          <w:rPr>
            <w:noProof/>
            <w:webHidden/>
          </w:rPr>
          <w:fldChar w:fldCharType="separate"/>
        </w:r>
        <w:r>
          <w:rPr>
            <w:noProof/>
            <w:webHidden/>
          </w:rPr>
          <w:t>500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95" w:history="1">
        <w:r w:rsidRPr="00CC53E5">
          <w:rPr>
            <w:rStyle w:val="Hyperlink"/>
            <w:noProof/>
          </w:rPr>
          <w:t>2.1.1212</w:t>
        </w:r>
        <w:r>
          <w:rPr>
            <w:rFonts w:asciiTheme="minorHAnsi" w:eastAsiaTheme="minorEastAsia" w:hAnsiTheme="minorHAnsi" w:cstheme="minorBidi"/>
            <w:noProof/>
            <w:sz w:val="22"/>
            <w:szCs w:val="22"/>
          </w:rPr>
          <w:tab/>
        </w:r>
        <w:r w:rsidRPr="00CC53E5">
          <w:rPr>
            <w:rStyle w:val="Hyperlink"/>
            <w:noProof/>
          </w:rPr>
          <w:t>Part 1 Section 20.1.2.2.31, picLocks (Picture Locks)</w:t>
        </w:r>
        <w:r>
          <w:rPr>
            <w:noProof/>
            <w:webHidden/>
          </w:rPr>
          <w:tab/>
        </w:r>
        <w:r>
          <w:rPr>
            <w:noProof/>
            <w:webHidden/>
          </w:rPr>
          <w:fldChar w:fldCharType="begin"/>
        </w:r>
        <w:r>
          <w:rPr>
            <w:noProof/>
            <w:webHidden/>
          </w:rPr>
          <w:instrText xml:space="preserve"> PAGEREF _Toc69878995 \h </w:instrText>
        </w:r>
        <w:r>
          <w:rPr>
            <w:noProof/>
            <w:webHidden/>
          </w:rPr>
        </w:r>
        <w:r>
          <w:rPr>
            <w:noProof/>
            <w:webHidden/>
          </w:rPr>
          <w:fldChar w:fldCharType="separate"/>
        </w:r>
        <w:r>
          <w:rPr>
            <w:noProof/>
            <w:webHidden/>
          </w:rPr>
          <w:t>501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96" w:history="1">
        <w:r w:rsidRPr="00CC53E5">
          <w:rPr>
            <w:rStyle w:val="Hyperlink"/>
            <w:noProof/>
          </w:rPr>
          <w:t>2.1.1213</w:t>
        </w:r>
        <w:r>
          <w:rPr>
            <w:rFonts w:asciiTheme="minorHAnsi" w:eastAsiaTheme="minorEastAsia" w:hAnsiTheme="minorHAnsi" w:cstheme="minorBidi"/>
            <w:noProof/>
            <w:sz w:val="22"/>
            <w:szCs w:val="22"/>
          </w:rPr>
          <w:tab/>
        </w:r>
        <w:r w:rsidRPr="00CC53E5">
          <w:rPr>
            <w:rStyle w:val="Hyperlink"/>
            <w:noProof/>
          </w:rPr>
          <w:t>Part 1 Section 20.1.2.2.34, spLocks (Shape Locks)</w:t>
        </w:r>
        <w:r>
          <w:rPr>
            <w:noProof/>
            <w:webHidden/>
          </w:rPr>
          <w:tab/>
        </w:r>
        <w:r>
          <w:rPr>
            <w:noProof/>
            <w:webHidden/>
          </w:rPr>
          <w:fldChar w:fldCharType="begin"/>
        </w:r>
        <w:r>
          <w:rPr>
            <w:noProof/>
            <w:webHidden/>
          </w:rPr>
          <w:instrText xml:space="preserve"> PAGEREF _Toc69878996 \h </w:instrText>
        </w:r>
        <w:r>
          <w:rPr>
            <w:noProof/>
            <w:webHidden/>
          </w:rPr>
        </w:r>
        <w:r>
          <w:rPr>
            <w:noProof/>
            <w:webHidden/>
          </w:rPr>
          <w:fldChar w:fldCharType="separate"/>
        </w:r>
        <w:r>
          <w:rPr>
            <w:noProof/>
            <w:webHidden/>
          </w:rPr>
          <w:t>501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97" w:history="1">
        <w:r w:rsidRPr="00CC53E5">
          <w:rPr>
            <w:rStyle w:val="Hyperlink"/>
            <w:noProof/>
          </w:rPr>
          <w:t>2.1.1214</w:t>
        </w:r>
        <w:r>
          <w:rPr>
            <w:rFonts w:asciiTheme="minorHAnsi" w:eastAsiaTheme="minorEastAsia" w:hAnsiTheme="minorHAnsi" w:cstheme="minorBidi"/>
            <w:noProof/>
            <w:sz w:val="22"/>
            <w:szCs w:val="22"/>
          </w:rPr>
          <w:tab/>
        </w:r>
        <w:r w:rsidRPr="00CC53E5">
          <w:rPr>
            <w:rStyle w:val="Hyperlink"/>
            <w:noProof/>
          </w:rPr>
          <w:t>Part 1 Section 20.1.2.2.35, spPr (Shape Properties)</w:t>
        </w:r>
        <w:r>
          <w:rPr>
            <w:noProof/>
            <w:webHidden/>
          </w:rPr>
          <w:tab/>
        </w:r>
        <w:r>
          <w:rPr>
            <w:noProof/>
            <w:webHidden/>
          </w:rPr>
          <w:fldChar w:fldCharType="begin"/>
        </w:r>
        <w:r>
          <w:rPr>
            <w:noProof/>
            <w:webHidden/>
          </w:rPr>
          <w:instrText xml:space="preserve"> PAGEREF _Toc69878997 \h </w:instrText>
        </w:r>
        <w:r>
          <w:rPr>
            <w:noProof/>
            <w:webHidden/>
          </w:rPr>
        </w:r>
        <w:r>
          <w:rPr>
            <w:noProof/>
            <w:webHidden/>
          </w:rPr>
          <w:fldChar w:fldCharType="separate"/>
        </w:r>
        <w:r>
          <w:rPr>
            <w:noProof/>
            <w:webHidden/>
          </w:rPr>
          <w:t>501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98" w:history="1">
        <w:r w:rsidRPr="00CC53E5">
          <w:rPr>
            <w:rStyle w:val="Hyperlink"/>
            <w:noProof/>
          </w:rPr>
          <w:t>2.1.1215</w:t>
        </w:r>
        <w:r>
          <w:rPr>
            <w:rFonts w:asciiTheme="minorHAnsi" w:eastAsiaTheme="minorEastAsia" w:hAnsiTheme="minorHAnsi" w:cstheme="minorBidi"/>
            <w:noProof/>
            <w:sz w:val="22"/>
            <w:szCs w:val="22"/>
          </w:rPr>
          <w:tab/>
        </w:r>
        <w:r w:rsidRPr="00CC53E5">
          <w:rPr>
            <w:rStyle w:val="Hyperlink"/>
            <w:noProof/>
          </w:rPr>
          <w:t>Part 1 Section 20.1.2.2.36, stCxn (Connection Start)</w:t>
        </w:r>
        <w:r>
          <w:rPr>
            <w:noProof/>
            <w:webHidden/>
          </w:rPr>
          <w:tab/>
        </w:r>
        <w:r>
          <w:rPr>
            <w:noProof/>
            <w:webHidden/>
          </w:rPr>
          <w:fldChar w:fldCharType="begin"/>
        </w:r>
        <w:r>
          <w:rPr>
            <w:noProof/>
            <w:webHidden/>
          </w:rPr>
          <w:instrText xml:space="preserve"> PAGEREF _Toc69878998 \h </w:instrText>
        </w:r>
        <w:r>
          <w:rPr>
            <w:noProof/>
            <w:webHidden/>
          </w:rPr>
        </w:r>
        <w:r>
          <w:rPr>
            <w:noProof/>
            <w:webHidden/>
          </w:rPr>
          <w:fldChar w:fldCharType="separate"/>
        </w:r>
        <w:r>
          <w:rPr>
            <w:noProof/>
            <w:webHidden/>
          </w:rPr>
          <w:t>501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8999" w:history="1">
        <w:r w:rsidRPr="00CC53E5">
          <w:rPr>
            <w:rStyle w:val="Hyperlink"/>
            <w:noProof/>
          </w:rPr>
          <w:t>2.1.1216</w:t>
        </w:r>
        <w:r>
          <w:rPr>
            <w:rFonts w:asciiTheme="minorHAnsi" w:eastAsiaTheme="minorEastAsia" w:hAnsiTheme="minorHAnsi" w:cstheme="minorBidi"/>
            <w:noProof/>
            <w:sz w:val="22"/>
            <w:szCs w:val="22"/>
          </w:rPr>
          <w:tab/>
        </w:r>
        <w:r w:rsidRPr="00CC53E5">
          <w:rPr>
            <w:rStyle w:val="Hyperlink"/>
            <w:noProof/>
          </w:rPr>
          <w:t>Part 1 Section 20.1.2.2.37, style (Shape Style)</w:t>
        </w:r>
        <w:r>
          <w:rPr>
            <w:noProof/>
            <w:webHidden/>
          </w:rPr>
          <w:tab/>
        </w:r>
        <w:r>
          <w:rPr>
            <w:noProof/>
            <w:webHidden/>
          </w:rPr>
          <w:fldChar w:fldCharType="begin"/>
        </w:r>
        <w:r>
          <w:rPr>
            <w:noProof/>
            <w:webHidden/>
          </w:rPr>
          <w:instrText xml:space="preserve"> PAGEREF _Toc69878999 \h </w:instrText>
        </w:r>
        <w:r>
          <w:rPr>
            <w:noProof/>
            <w:webHidden/>
          </w:rPr>
        </w:r>
        <w:r>
          <w:rPr>
            <w:noProof/>
            <w:webHidden/>
          </w:rPr>
          <w:fldChar w:fldCharType="separate"/>
        </w:r>
        <w:r>
          <w:rPr>
            <w:noProof/>
            <w:webHidden/>
          </w:rPr>
          <w:t>501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00" w:history="1">
        <w:r w:rsidRPr="00CC53E5">
          <w:rPr>
            <w:rStyle w:val="Hyperlink"/>
            <w:noProof/>
          </w:rPr>
          <w:t>2.1.1217</w:t>
        </w:r>
        <w:r>
          <w:rPr>
            <w:rFonts w:asciiTheme="minorHAnsi" w:eastAsiaTheme="minorEastAsia" w:hAnsiTheme="minorHAnsi" w:cstheme="minorBidi"/>
            <w:noProof/>
            <w:sz w:val="22"/>
            <w:szCs w:val="22"/>
          </w:rPr>
          <w:tab/>
        </w:r>
        <w:r w:rsidRPr="00CC53E5">
          <w:rPr>
            <w:rStyle w:val="Hyperlink"/>
            <w:noProof/>
          </w:rPr>
          <w:t>Part 1 Section 20.1.2.3.1, alpha (Alpha)</w:t>
        </w:r>
        <w:r>
          <w:rPr>
            <w:noProof/>
            <w:webHidden/>
          </w:rPr>
          <w:tab/>
        </w:r>
        <w:r>
          <w:rPr>
            <w:noProof/>
            <w:webHidden/>
          </w:rPr>
          <w:fldChar w:fldCharType="begin"/>
        </w:r>
        <w:r>
          <w:rPr>
            <w:noProof/>
            <w:webHidden/>
          </w:rPr>
          <w:instrText xml:space="preserve"> PAGEREF _Toc69879000 \h </w:instrText>
        </w:r>
        <w:r>
          <w:rPr>
            <w:noProof/>
            <w:webHidden/>
          </w:rPr>
        </w:r>
        <w:r>
          <w:rPr>
            <w:noProof/>
            <w:webHidden/>
          </w:rPr>
          <w:fldChar w:fldCharType="separate"/>
        </w:r>
        <w:r>
          <w:rPr>
            <w:noProof/>
            <w:webHidden/>
          </w:rPr>
          <w:t>502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01" w:history="1">
        <w:r w:rsidRPr="00CC53E5">
          <w:rPr>
            <w:rStyle w:val="Hyperlink"/>
            <w:noProof/>
          </w:rPr>
          <w:t>2.1.1218</w:t>
        </w:r>
        <w:r>
          <w:rPr>
            <w:rFonts w:asciiTheme="minorHAnsi" w:eastAsiaTheme="minorEastAsia" w:hAnsiTheme="minorHAnsi" w:cstheme="minorBidi"/>
            <w:noProof/>
            <w:sz w:val="22"/>
            <w:szCs w:val="22"/>
          </w:rPr>
          <w:tab/>
        </w:r>
        <w:r w:rsidRPr="00CC53E5">
          <w:rPr>
            <w:rStyle w:val="Hyperlink"/>
            <w:noProof/>
          </w:rPr>
          <w:t>Part 1 Section 20.1.2.3.2, alphaMod (Alpha Modulation)</w:t>
        </w:r>
        <w:r>
          <w:rPr>
            <w:noProof/>
            <w:webHidden/>
          </w:rPr>
          <w:tab/>
        </w:r>
        <w:r>
          <w:rPr>
            <w:noProof/>
            <w:webHidden/>
          </w:rPr>
          <w:fldChar w:fldCharType="begin"/>
        </w:r>
        <w:r>
          <w:rPr>
            <w:noProof/>
            <w:webHidden/>
          </w:rPr>
          <w:instrText xml:space="preserve"> PAGEREF _Toc69879001 \h </w:instrText>
        </w:r>
        <w:r>
          <w:rPr>
            <w:noProof/>
            <w:webHidden/>
          </w:rPr>
        </w:r>
        <w:r>
          <w:rPr>
            <w:noProof/>
            <w:webHidden/>
          </w:rPr>
          <w:fldChar w:fldCharType="separate"/>
        </w:r>
        <w:r>
          <w:rPr>
            <w:noProof/>
            <w:webHidden/>
          </w:rPr>
          <w:t>502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02" w:history="1">
        <w:r w:rsidRPr="00CC53E5">
          <w:rPr>
            <w:rStyle w:val="Hyperlink"/>
            <w:noProof/>
          </w:rPr>
          <w:t>2.1.1219</w:t>
        </w:r>
        <w:r>
          <w:rPr>
            <w:rFonts w:asciiTheme="minorHAnsi" w:eastAsiaTheme="minorEastAsia" w:hAnsiTheme="minorHAnsi" w:cstheme="minorBidi"/>
            <w:noProof/>
            <w:sz w:val="22"/>
            <w:szCs w:val="22"/>
          </w:rPr>
          <w:tab/>
        </w:r>
        <w:r w:rsidRPr="00CC53E5">
          <w:rPr>
            <w:rStyle w:val="Hyperlink"/>
            <w:noProof/>
          </w:rPr>
          <w:t>Part 1 Section 20.1.2.3.3, alphaOff (Alpha Offset)</w:t>
        </w:r>
        <w:r>
          <w:rPr>
            <w:noProof/>
            <w:webHidden/>
          </w:rPr>
          <w:tab/>
        </w:r>
        <w:r>
          <w:rPr>
            <w:noProof/>
            <w:webHidden/>
          </w:rPr>
          <w:fldChar w:fldCharType="begin"/>
        </w:r>
        <w:r>
          <w:rPr>
            <w:noProof/>
            <w:webHidden/>
          </w:rPr>
          <w:instrText xml:space="preserve"> PAGEREF _Toc69879002 \h </w:instrText>
        </w:r>
        <w:r>
          <w:rPr>
            <w:noProof/>
            <w:webHidden/>
          </w:rPr>
        </w:r>
        <w:r>
          <w:rPr>
            <w:noProof/>
            <w:webHidden/>
          </w:rPr>
          <w:fldChar w:fldCharType="separate"/>
        </w:r>
        <w:r>
          <w:rPr>
            <w:noProof/>
            <w:webHidden/>
          </w:rPr>
          <w:t>502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03" w:history="1">
        <w:r w:rsidRPr="00CC53E5">
          <w:rPr>
            <w:rStyle w:val="Hyperlink"/>
            <w:noProof/>
          </w:rPr>
          <w:t>2.1.1220</w:t>
        </w:r>
        <w:r>
          <w:rPr>
            <w:rFonts w:asciiTheme="minorHAnsi" w:eastAsiaTheme="minorEastAsia" w:hAnsiTheme="minorHAnsi" w:cstheme="minorBidi"/>
            <w:noProof/>
            <w:sz w:val="22"/>
            <w:szCs w:val="22"/>
          </w:rPr>
          <w:tab/>
        </w:r>
        <w:r w:rsidRPr="00CC53E5">
          <w:rPr>
            <w:rStyle w:val="Hyperlink"/>
            <w:noProof/>
          </w:rPr>
          <w:t>Part 1 Section 20.1.2.3.4, blue (Blue)</w:t>
        </w:r>
        <w:r>
          <w:rPr>
            <w:noProof/>
            <w:webHidden/>
          </w:rPr>
          <w:tab/>
        </w:r>
        <w:r>
          <w:rPr>
            <w:noProof/>
            <w:webHidden/>
          </w:rPr>
          <w:fldChar w:fldCharType="begin"/>
        </w:r>
        <w:r>
          <w:rPr>
            <w:noProof/>
            <w:webHidden/>
          </w:rPr>
          <w:instrText xml:space="preserve"> PAGEREF _Toc69879003 \h </w:instrText>
        </w:r>
        <w:r>
          <w:rPr>
            <w:noProof/>
            <w:webHidden/>
          </w:rPr>
        </w:r>
        <w:r>
          <w:rPr>
            <w:noProof/>
            <w:webHidden/>
          </w:rPr>
          <w:fldChar w:fldCharType="separate"/>
        </w:r>
        <w:r>
          <w:rPr>
            <w:noProof/>
            <w:webHidden/>
          </w:rPr>
          <w:t>502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04" w:history="1">
        <w:r w:rsidRPr="00CC53E5">
          <w:rPr>
            <w:rStyle w:val="Hyperlink"/>
            <w:noProof/>
          </w:rPr>
          <w:t>2.1.1221</w:t>
        </w:r>
        <w:r>
          <w:rPr>
            <w:rFonts w:asciiTheme="minorHAnsi" w:eastAsiaTheme="minorEastAsia" w:hAnsiTheme="minorHAnsi" w:cstheme="minorBidi"/>
            <w:noProof/>
            <w:sz w:val="22"/>
            <w:szCs w:val="22"/>
          </w:rPr>
          <w:tab/>
        </w:r>
        <w:r w:rsidRPr="00CC53E5">
          <w:rPr>
            <w:rStyle w:val="Hyperlink"/>
            <w:noProof/>
          </w:rPr>
          <w:t>Part 1 Section 20.1.2.3.5, blueMod (Blue Modification)</w:t>
        </w:r>
        <w:r>
          <w:rPr>
            <w:noProof/>
            <w:webHidden/>
          </w:rPr>
          <w:tab/>
        </w:r>
        <w:r>
          <w:rPr>
            <w:noProof/>
            <w:webHidden/>
          </w:rPr>
          <w:fldChar w:fldCharType="begin"/>
        </w:r>
        <w:r>
          <w:rPr>
            <w:noProof/>
            <w:webHidden/>
          </w:rPr>
          <w:instrText xml:space="preserve"> PAGEREF _Toc69879004 \h </w:instrText>
        </w:r>
        <w:r>
          <w:rPr>
            <w:noProof/>
            <w:webHidden/>
          </w:rPr>
        </w:r>
        <w:r>
          <w:rPr>
            <w:noProof/>
            <w:webHidden/>
          </w:rPr>
          <w:fldChar w:fldCharType="separate"/>
        </w:r>
        <w:r>
          <w:rPr>
            <w:noProof/>
            <w:webHidden/>
          </w:rPr>
          <w:t>502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05" w:history="1">
        <w:r w:rsidRPr="00CC53E5">
          <w:rPr>
            <w:rStyle w:val="Hyperlink"/>
            <w:noProof/>
          </w:rPr>
          <w:t>2.1.1222</w:t>
        </w:r>
        <w:r>
          <w:rPr>
            <w:rFonts w:asciiTheme="minorHAnsi" w:eastAsiaTheme="minorEastAsia" w:hAnsiTheme="minorHAnsi" w:cstheme="minorBidi"/>
            <w:noProof/>
            <w:sz w:val="22"/>
            <w:szCs w:val="22"/>
          </w:rPr>
          <w:tab/>
        </w:r>
        <w:r w:rsidRPr="00CC53E5">
          <w:rPr>
            <w:rStyle w:val="Hyperlink"/>
            <w:noProof/>
          </w:rPr>
          <w:t>Part 1 Section 20.1.2.3.6, blueOff (Blue Offset)</w:t>
        </w:r>
        <w:r>
          <w:rPr>
            <w:noProof/>
            <w:webHidden/>
          </w:rPr>
          <w:tab/>
        </w:r>
        <w:r>
          <w:rPr>
            <w:noProof/>
            <w:webHidden/>
          </w:rPr>
          <w:fldChar w:fldCharType="begin"/>
        </w:r>
        <w:r>
          <w:rPr>
            <w:noProof/>
            <w:webHidden/>
          </w:rPr>
          <w:instrText xml:space="preserve"> PAGEREF _Toc69879005 \h </w:instrText>
        </w:r>
        <w:r>
          <w:rPr>
            <w:noProof/>
            <w:webHidden/>
          </w:rPr>
        </w:r>
        <w:r>
          <w:rPr>
            <w:noProof/>
            <w:webHidden/>
          </w:rPr>
          <w:fldChar w:fldCharType="separate"/>
        </w:r>
        <w:r>
          <w:rPr>
            <w:noProof/>
            <w:webHidden/>
          </w:rPr>
          <w:t>503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06" w:history="1">
        <w:r w:rsidRPr="00CC53E5">
          <w:rPr>
            <w:rStyle w:val="Hyperlink"/>
            <w:noProof/>
          </w:rPr>
          <w:t>2.1.1223</w:t>
        </w:r>
        <w:r>
          <w:rPr>
            <w:rFonts w:asciiTheme="minorHAnsi" w:eastAsiaTheme="minorEastAsia" w:hAnsiTheme="minorHAnsi" w:cstheme="minorBidi"/>
            <w:noProof/>
            <w:sz w:val="22"/>
            <w:szCs w:val="22"/>
          </w:rPr>
          <w:tab/>
        </w:r>
        <w:r w:rsidRPr="00CC53E5">
          <w:rPr>
            <w:rStyle w:val="Hyperlink"/>
            <w:noProof/>
          </w:rPr>
          <w:t>Part 1 Section 20.1.2.3.10, green (Green)</w:t>
        </w:r>
        <w:r>
          <w:rPr>
            <w:noProof/>
            <w:webHidden/>
          </w:rPr>
          <w:tab/>
        </w:r>
        <w:r>
          <w:rPr>
            <w:noProof/>
            <w:webHidden/>
          </w:rPr>
          <w:fldChar w:fldCharType="begin"/>
        </w:r>
        <w:r>
          <w:rPr>
            <w:noProof/>
            <w:webHidden/>
          </w:rPr>
          <w:instrText xml:space="preserve"> PAGEREF _Toc69879006 \h </w:instrText>
        </w:r>
        <w:r>
          <w:rPr>
            <w:noProof/>
            <w:webHidden/>
          </w:rPr>
        </w:r>
        <w:r>
          <w:rPr>
            <w:noProof/>
            <w:webHidden/>
          </w:rPr>
          <w:fldChar w:fldCharType="separate"/>
        </w:r>
        <w:r>
          <w:rPr>
            <w:noProof/>
            <w:webHidden/>
          </w:rPr>
          <w:t>503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07" w:history="1">
        <w:r w:rsidRPr="00CC53E5">
          <w:rPr>
            <w:rStyle w:val="Hyperlink"/>
            <w:noProof/>
          </w:rPr>
          <w:t>2.1.1224</w:t>
        </w:r>
        <w:r>
          <w:rPr>
            <w:rFonts w:asciiTheme="minorHAnsi" w:eastAsiaTheme="minorEastAsia" w:hAnsiTheme="minorHAnsi" w:cstheme="minorBidi"/>
            <w:noProof/>
            <w:sz w:val="22"/>
            <w:szCs w:val="22"/>
          </w:rPr>
          <w:tab/>
        </w:r>
        <w:r w:rsidRPr="00CC53E5">
          <w:rPr>
            <w:rStyle w:val="Hyperlink"/>
            <w:noProof/>
          </w:rPr>
          <w:t>Part 1 Section 20.1.2.3.11, greenMod (Green Modification)</w:t>
        </w:r>
        <w:r>
          <w:rPr>
            <w:noProof/>
            <w:webHidden/>
          </w:rPr>
          <w:tab/>
        </w:r>
        <w:r>
          <w:rPr>
            <w:noProof/>
            <w:webHidden/>
          </w:rPr>
          <w:fldChar w:fldCharType="begin"/>
        </w:r>
        <w:r>
          <w:rPr>
            <w:noProof/>
            <w:webHidden/>
          </w:rPr>
          <w:instrText xml:space="preserve"> PAGEREF _Toc69879007 \h </w:instrText>
        </w:r>
        <w:r>
          <w:rPr>
            <w:noProof/>
            <w:webHidden/>
          </w:rPr>
        </w:r>
        <w:r>
          <w:rPr>
            <w:noProof/>
            <w:webHidden/>
          </w:rPr>
          <w:fldChar w:fldCharType="separate"/>
        </w:r>
        <w:r>
          <w:rPr>
            <w:noProof/>
            <w:webHidden/>
          </w:rPr>
          <w:t>503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08" w:history="1">
        <w:r w:rsidRPr="00CC53E5">
          <w:rPr>
            <w:rStyle w:val="Hyperlink"/>
            <w:noProof/>
          </w:rPr>
          <w:t>2.1.1225</w:t>
        </w:r>
        <w:r>
          <w:rPr>
            <w:rFonts w:asciiTheme="minorHAnsi" w:eastAsiaTheme="minorEastAsia" w:hAnsiTheme="minorHAnsi" w:cstheme="minorBidi"/>
            <w:noProof/>
            <w:sz w:val="22"/>
            <w:szCs w:val="22"/>
          </w:rPr>
          <w:tab/>
        </w:r>
        <w:r w:rsidRPr="00CC53E5">
          <w:rPr>
            <w:rStyle w:val="Hyperlink"/>
            <w:noProof/>
          </w:rPr>
          <w:t>Part 1 Section 20.1.2.3.12, greenOff (Green Offset)</w:t>
        </w:r>
        <w:r>
          <w:rPr>
            <w:noProof/>
            <w:webHidden/>
          </w:rPr>
          <w:tab/>
        </w:r>
        <w:r>
          <w:rPr>
            <w:noProof/>
            <w:webHidden/>
          </w:rPr>
          <w:fldChar w:fldCharType="begin"/>
        </w:r>
        <w:r>
          <w:rPr>
            <w:noProof/>
            <w:webHidden/>
          </w:rPr>
          <w:instrText xml:space="preserve"> PAGEREF _Toc69879008 \h </w:instrText>
        </w:r>
        <w:r>
          <w:rPr>
            <w:noProof/>
            <w:webHidden/>
          </w:rPr>
        </w:r>
        <w:r>
          <w:rPr>
            <w:noProof/>
            <w:webHidden/>
          </w:rPr>
          <w:fldChar w:fldCharType="separate"/>
        </w:r>
        <w:r>
          <w:rPr>
            <w:noProof/>
            <w:webHidden/>
          </w:rPr>
          <w:t>503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09" w:history="1">
        <w:r w:rsidRPr="00CC53E5">
          <w:rPr>
            <w:rStyle w:val="Hyperlink"/>
            <w:noProof/>
          </w:rPr>
          <w:t>2.1.1226</w:t>
        </w:r>
        <w:r>
          <w:rPr>
            <w:rFonts w:asciiTheme="minorHAnsi" w:eastAsiaTheme="minorEastAsia" w:hAnsiTheme="minorHAnsi" w:cstheme="minorBidi"/>
            <w:noProof/>
            <w:sz w:val="22"/>
            <w:szCs w:val="22"/>
          </w:rPr>
          <w:tab/>
        </w:r>
        <w:r w:rsidRPr="00CC53E5">
          <w:rPr>
            <w:rStyle w:val="Hyperlink"/>
            <w:noProof/>
          </w:rPr>
          <w:t>Part 1 Section 20.1.2.3.13, hslClr (Hue, Saturation, Luminance Color Model)</w:t>
        </w:r>
        <w:r>
          <w:rPr>
            <w:noProof/>
            <w:webHidden/>
          </w:rPr>
          <w:tab/>
        </w:r>
        <w:r>
          <w:rPr>
            <w:noProof/>
            <w:webHidden/>
          </w:rPr>
          <w:fldChar w:fldCharType="begin"/>
        </w:r>
        <w:r>
          <w:rPr>
            <w:noProof/>
            <w:webHidden/>
          </w:rPr>
          <w:instrText xml:space="preserve"> PAGEREF _Toc69879009 \h </w:instrText>
        </w:r>
        <w:r>
          <w:rPr>
            <w:noProof/>
            <w:webHidden/>
          </w:rPr>
        </w:r>
        <w:r>
          <w:rPr>
            <w:noProof/>
            <w:webHidden/>
          </w:rPr>
          <w:fldChar w:fldCharType="separate"/>
        </w:r>
        <w:r>
          <w:rPr>
            <w:noProof/>
            <w:webHidden/>
          </w:rPr>
          <w:t>503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10" w:history="1">
        <w:r w:rsidRPr="00CC53E5">
          <w:rPr>
            <w:rStyle w:val="Hyperlink"/>
            <w:noProof/>
          </w:rPr>
          <w:t>2.1.1227</w:t>
        </w:r>
        <w:r>
          <w:rPr>
            <w:rFonts w:asciiTheme="minorHAnsi" w:eastAsiaTheme="minorEastAsia" w:hAnsiTheme="minorHAnsi" w:cstheme="minorBidi"/>
            <w:noProof/>
            <w:sz w:val="22"/>
            <w:szCs w:val="22"/>
          </w:rPr>
          <w:tab/>
        </w:r>
        <w:r w:rsidRPr="00CC53E5">
          <w:rPr>
            <w:rStyle w:val="Hyperlink"/>
            <w:noProof/>
          </w:rPr>
          <w:t>Part 1 Section 20.1.2.3.14, hue (Hue)</w:t>
        </w:r>
        <w:r>
          <w:rPr>
            <w:noProof/>
            <w:webHidden/>
          </w:rPr>
          <w:tab/>
        </w:r>
        <w:r>
          <w:rPr>
            <w:noProof/>
            <w:webHidden/>
          </w:rPr>
          <w:fldChar w:fldCharType="begin"/>
        </w:r>
        <w:r>
          <w:rPr>
            <w:noProof/>
            <w:webHidden/>
          </w:rPr>
          <w:instrText xml:space="preserve"> PAGEREF _Toc69879010 \h </w:instrText>
        </w:r>
        <w:r>
          <w:rPr>
            <w:noProof/>
            <w:webHidden/>
          </w:rPr>
        </w:r>
        <w:r>
          <w:rPr>
            <w:noProof/>
            <w:webHidden/>
          </w:rPr>
          <w:fldChar w:fldCharType="separate"/>
        </w:r>
        <w:r>
          <w:rPr>
            <w:noProof/>
            <w:webHidden/>
          </w:rPr>
          <w:t>504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11" w:history="1">
        <w:r w:rsidRPr="00CC53E5">
          <w:rPr>
            <w:rStyle w:val="Hyperlink"/>
            <w:noProof/>
          </w:rPr>
          <w:t>2.1.1228</w:t>
        </w:r>
        <w:r>
          <w:rPr>
            <w:rFonts w:asciiTheme="minorHAnsi" w:eastAsiaTheme="minorEastAsia" w:hAnsiTheme="minorHAnsi" w:cstheme="minorBidi"/>
            <w:noProof/>
            <w:sz w:val="22"/>
            <w:szCs w:val="22"/>
          </w:rPr>
          <w:tab/>
        </w:r>
        <w:r w:rsidRPr="00CC53E5">
          <w:rPr>
            <w:rStyle w:val="Hyperlink"/>
            <w:noProof/>
          </w:rPr>
          <w:t>Part 1 Section 20.1.2.3.15, hueMod (Hue Modulate)</w:t>
        </w:r>
        <w:r>
          <w:rPr>
            <w:noProof/>
            <w:webHidden/>
          </w:rPr>
          <w:tab/>
        </w:r>
        <w:r>
          <w:rPr>
            <w:noProof/>
            <w:webHidden/>
          </w:rPr>
          <w:fldChar w:fldCharType="begin"/>
        </w:r>
        <w:r>
          <w:rPr>
            <w:noProof/>
            <w:webHidden/>
          </w:rPr>
          <w:instrText xml:space="preserve"> PAGEREF _Toc69879011 \h </w:instrText>
        </w:r>
        <w:r>
          <w:rPr>
            <w:noProof/>
            <w:webHidden/>
          </w:rPr>
        </w:r>
        <w:r>
          <w:rPr>
            <w:noProof/>
            <w:webHidden/>
          </w:rPr>
          <w:fldChar w:fldCharType="separate"/>
        </w:r>
        <w:r>
          <w:rPr>
            <w:noProof/>
            <w:webHidden/>
          </w:rPr>
          <w:t>504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12" w:history="1">
        <w:r w:rsidRPr="00CC53E5">
          <w:rPr>
            <w:rStyle w:val="Hyperlink"/>
            <w:noProof/>
          </w:rPr>
          <w:t>2.1.1229</w:t>
        </w:r>
        <w:r>
          <w:rPr>
            <w:rFonts w:asciiTheme="minorHAnsi" w:eastAsiaTheme="minorEastAsia" w:hAnsiTheme="minorHAnsi" w:cstheme="minorBidi"/>
            <w:noProof/>
            <w:sz w:val="22"/>
            <w:szCs w:val="22"/>
          </w:rPr>
          <w:tab/>
        </w:r>
        <w:r w:rsidRPr="00CC53E5">
          <w:rPr>
            <w:rStyle w:val="Hyperlink"/>
            <w:noProof/>
          </w:rPr>
          <w:t>Part 1 Section 20.1.2.3.16, hueOff (Hue Offset)</w:t>
        </w:r>
        <w:r>
          <w:rPr>
            <w:noProof/>
            <w:webHidden/>
          </w:rPr>
          <w:tab/>
        </w:r>
        <w:r>
          <w:rPr>
            <w:noProof/>
            <w:webHidden/>
          </w:rPr>
          <w:fldChar w:fldCharType="begin"/>
        </w:r>
        <w:r>
          <w:rPr>
            <w:noProof/>
            <w:webHidden/>
          </w:rPr>
          <w:instrText xml:space="preserve"> PAGEREF _Toc69879012 \h </w:instrText>
        </w:r>
        <w:r>
          <w:rPr>
            <w:noProof/>
            <w:webHidden/>
          </w:rPr>
        </w:r>
        <w:r>
          <w:rPr>
            <w:noProof/>
            <w:webHidden/>
          </w:rPr>
          <w:fldChar w:fldCharType="separate"/>
        </w:r>
        <w:r>
          <w:rPr>
            <w:noProof/>
            <w:webHidden/>
          </w:rPr>
          <w:t>504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13" w:history="1">
        <w:r w:rsidRPr="00CC53E5">
          <w:rPr>
            <w:rStyle w:val="Hyperlink"/>
            <w:noProof/>
          </w:rPr>
          <w:t>2.1.1230</w:t>
        </w:r>
        <w:r>
          <w:rPr>
            <w:rFonts w:asciiTheme="minorHAnsi" w:eastAsiaTheme="minorEastAsia" w:hAnsiTheme="minorHAnsi" w:cstheme="minorBidi"/>
            <w:noProof/>
            <w:sz w:val="22"/>
            <w:szCs w:val="22"/>
          </w:rPr>
          <w:tab/>
        </w:r>
        <w:r w:rsidRPr="00CC53E5">
          <w:rPr>
            <w:rStyle w:val="Hyperlink"/>
            <w:noProof/>
          </w:rPr>
          <w:t>Part 1 Section 20.1.2.3.19, lum (Luminance)</w:t>
        </w:r>
        <w:r>
          <w:rPr>
            <w:noProof/>
            <w:webHidden/>
          </w:rPr>
          <w:tab/>
        </w:r>
        <w:r>
          <w:rPr>
            <w:noProof/>
            <w:webHidden/>
          </w:rPr>
          <w:fldChar w:fldCharType="begin"/>
        </w:r>
        <w:r>
          <w:rPr>
            <w:noProof/>
            <w:webHidden/>
          </w:rPr>
          <w:instrText xml:space="preserve"> PAGEREF _Toc69879013 \h </w:instrText>
        </w:r>
        <w:r>
          <w:rPr>
            <w:noProof/>
            <w:webHidden/>
          </w:rPr>
        </w:r>
        <w:r>
          <w:rPr>
            <w:noProof/>
            <w:webHidden/>
          </w:rPr>
          <w:fldChar w:fldCharType="separate"/>
        </w:r>
        <w:r>
          <w:rPr>
            <w:noProof/>
            <w:webHidden/>
          </w:rPr>
          <w:t>504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14" w:history="1">
        <w:r w:rsidRPr="00CC53E5">
          <w:rPr>
            <w:rStyle w:val="Hyperlink"/>
            <w:noProof/>
          </w:rPr>
          <w:t>2.1.1231</w:t>
        </w:r>
        <w:r>
          <w:rPr>
            <w:rFonts w:asciiTheme="minorHAnsi" w:eastAsiaTheme="minorEastAsia" w:hAnsiTheme="minorHAnsi" w:cstheme="minorBidi"/>
            <w:noProof/>
            <w:sz w:val="22"/>
            <w:szCs w:val="22"/>
          </w:rPr>
          <w:tab/>
        </w:r>
        <w:r w:rsidRPr="00CC53E5">
          <w:rPr>
            <w:rStyle w:val="Hyperlink"/>
            <w:noProof/>
          </w:rPr>
          <w:t>Part 1 Section 20.1.2.3.20, lumMod (Luminance Modulation)</w:t>
        </w:r>
        <w:r>
          <w:rPr>
            <w:noProof/>
            <w:webHidden/>
          </w:rPr>
          <w:tab/>
        </w:r>
        <w:r>
          <w:rPr>
            <w:noProof/>
            <w:webHidden/>
          </w:rPr>
          <w:fldChar w:fldCharType="begin"/>
        </w:r>
        <w:r>
          <w:rPr>
            <w:noProof/>
            <w:webHidden/>
          </w:rPr>
          <w:instrText xml:space="preserve"> PAGEREF _Toc69879014 \h </w:instrText>
        </w:r>
        <w:r>
          <w:rPr>
            <w:noProof/>
            <w:webHidden/>
          </w:rPr>
        </w:r>
        <w:r>
          <w:rPr>
            <w:noProof/>
            <w:webHidden/>
          </w:rPr>
          <w:fldChar w:fldCharType="separate"/>
        </w:r>
        <w:r>
          <w:rPr>
            <w:noProof/>
            <w:webHidden/>
          </w:rPr>
          <w:t>504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15" w:history="1">
        <w:r w:rsidRPr="00CC53E5">
          <w:rPr>
            <w:rStyle w:val="Hyperlink"/>
            <w:noProof/>
          </w:rPr>
          <w:t>2.1.1232</w:t>
        </w:r>
        <w:r>
          <w:rPr>
            <w:rFonts w:asciiTheme="minorHAnsi" w:eastAsiaTheme="minorEastAsia" w:hAnsiTheme="minorHAnsi" w:cstheme="minorBidi"/>
            <w:noProof/>
            <w:sz w:val="22"/>
            <w:szCs w:val="22"/>
          </w:rPr>
          <w:tab/>
        </w:r>
        <w:r w:rsidRPr="00CC53E5">
          <w:rPr>
            <w:rStyle w:val="Hyperlink"/>
            <w:noProof/>
          </w:rPr>
          <w:t>Part 1 Section 20.1.2.3.21, lumOff (Luminance Offset)</w:t>
        </w:r>
        <w:r>
          <w:rPr>
            <w:noProof/>
            <w:webHidden/>
          </w:rPr>
          <w:tab/>
        </w:r>
        <w:r>
          <w:rPr>
            <w:noProof/>
            <w:webHidden/>
          </w:rPr>
          <w:fldChar w:fldCharType="begin"/>
        </w:r>
        <w:r>
          <w:rPr>
            <w:noProof/>
            <w:webHidden/>
          </w:rPr>
          <w:instrText xml:space="preserve"> PAGEREF _Toc69879015 \h </w:instrText>
        </w:r>
        <w:r>
          <w:rPr>
            <w:noProof/>
            <w:webHidden/>
          </w:rPr>
        </w:r>
        <w:r>
          <w:rPr>
            <w:noProof/>
            <w:webHidden/>
          </w:rPr>
          <w:fldChar w:fldCharType="separate"/>
        </w:r>
        <w:r>
          <w:rPr>
            <w:noProof/>
            <w:webHidden/>
          </w:rPr>
          <w:t>505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16" w:history="1">
        <w:r w:rsidRPr="00CC53E5">
          <w:rPr>
            <w:rStyle w:val="Hyperlink"/>
            <w:noProof/>
          </w:rPr>
          <w:t>2.1.1233</w:t>
        </w:r>
        <w:r>
          <w:rPr>
            <w:rFonts w:asciiTheme="minorHAnsi" w:eastAsiaTheme="minorEastAsia" w:hAnsiTheme="minorHAnsi" w:cstheme="minorBidi"/>
            <w:noProof/>
            <w:sz w:val="22"/>
            <w:szCs w:val="22"/>
          </w:rPr>
          <w:tab/>
        </w:r>
        <w:r w:rsidRPr="00CC53E5">
          <w:rPr>
            <w:rStyle w:val="Hyperlink"/>
            <w:noProof/>
          </w:rPr>
          <w:t>Part 1 Section 20.1.2.3.22, prstClr (Preset Color)</w:t>
        </w:r>
        <w:r>
          <w:rPr>
            <w:noProof/>
            <w:webHidden/>
          </w:rPr>
          <w:tab/>
        </w:r>
        <w:r>
          <w:rPr>
            <w:noProof/>
            <w:webHidden/>
          </w:rPr>
          <w:fldChar w:fldCharType="begin"/>
        </w:r>
        <w:r>
          <w:rPr>
            <w:noProof/>
            <w:webHidden/>
          </w:rPr>
          <w:instrText xml:space="preserve"> PAGEREF _Toc69879016 \h </w:instrText>
        </w:r>
        <w:r>
          <w:rPr>
            <w:noProof/>
            <w:webHidden/>
          </w:rPr>
        </w:r>
        <w:r>
          <w:rPr>
            <w:noProof/>
            <w:webHidden/>
          </w:rPr>
          <w:fldChar w:fldCharType="separate"/>
        </w:r>
        <w:r>
          <w:rPr>
            <w:noProof/>
            <w:webHidden/>
          </w:rPr>
          <w:t>505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17" w:history="1">
        <w:r w:rsidRPr="00CC53E5">
          <w:rPr>
            <w:rStyle w:val="Hyperlink"/>
            <w:noProof/>
          </w:rPr>
          <w:t>2.1.1234</w:t>
        </w:r>
        <w:r>
          <w:rPr>
            <w:rFonts w:asciiTheme="minorHAnsi" w:eastAsiaTheme="minorEastAsia" w:hAnsiTheme="minorHAnsi" w:cstheme="minorBidi"/>
            <w:noProof/>
            <w:sz w:val="22"/>
            <w:szCs w:val="22"/>
          </w:rPr>
          <w:tab/>
        </w:r>
        <w:r w:rsidRPr="00CC53E5">
          <w:rPr>
            <w:rStyle w:val="Hyperlink"/>
            <w:noProof/>
          </w:rPr>
          <w:t>Part 1 Section 20.1.2.3.23, red (Red)</w:t>
        </w:r>
        <w:r>
          <w:rPr>
            <w:noProof/>
            <w:webHidden/>
          </w:rPr>
          <w:tab/>
        </w:r>
        <w:r>
          <w:rPr>
            <w:noProof/>
            <w:webHidden/>
          </w:rPr>
          <w:fldChar w:fldCharType="begin"/>
        </w:r>
        <w:r>
          <w:rPr>
            <w:noProof/>
            <w:webHidden/>
          </w:rPr>
          <w:instrText xml:space="preserve"> PAGEREF _Toc69879017 \h </w:instrText>
        </w:r>
        <w:r>
          <w:rPr>
            <w:noProof/>
            <w:webHidden/>
          </w:rPr>
        </w:r>
        <w:r>
          <w:rPr>
            <w:noProof/>
            <w:webHidden/>
          </w:rPr>
          <w:fldChar w:fldCharType="separate"/>
        </w:r>
        <w:r>
          <w:rPr>
            <w:noProof/>
            <w:webHidden/>
          </w:rPr>
          <w:t>505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18" w:history="1">
        <w:r w:rsidRPr="00CC53E5">
          <w:rPr>
            <w:rStyle w:val="Hyperlink"/>
            <w:noProof/>
          </w:rPr>
          <w:t>2.1.1235</w:t>
        </w:r>
        <w:r>
          <w:rPr>
            <w:rFonts w:asciiTheme="minorHAnsi" w:eastAsiaTheme="minorEastAsia" w:hAnsiTheme="minorHAnsi" w:cstheme="minorBidi"/>
            <w:noProof/>
            <w:sz w:val="22"/>
            <w:szCs w:val="22"/>
          </w:rPr>
          <w:tab/>
        </w:r>
        <w:r w:rsidRPr="00CC53E5">
          <w:rPr>
            <w:rStyle w:val="Hyperlink"/>
            <w:noProof/>
          </w:rPr>
          <w:t>Part 1 Section 20.1.2.3.24, redMod (Red Modulation)</w:t>
        </w:r>
        <w:r>
          <w:rPr>
            <w:noProof/>
            <w:webHidden/>
          </w:rPr>
          <w:tab/>
        </w:r>
        <w:r>
          <w:rPr>
            <w:noProof/>
            <w:webHidden/>
          </w:rPr>
          <w:fldChar w:fldCharType="begin"/>
        </w:r>
        <w:r>
          <w:rPr>
            <w:noProof/>
            <w:webHidden/>
          </w:rPr>
          <w:instrText xml:space="preserve"> PAGEREF _Toc69879018 \h </w:instrText>
        </w:r>
        <w:r>
          <w:rPr>
            <w:noProof/>
            <w:webHidden/>
          </w:rPr>
        </w:r>
        <w:r>
          <w:rPr>
            <w:noProof/>
            <w:webHidden/>
          </w:rPr>
          <w:fldChar w:fldCharType="separate"/>
        </w:r>
        <w:r>
          <w:rPr>
            <w:noProof/>
            <w:webHidden/>
          </w:rPr>
          <w:t>505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19" w:history="1">
        <w:r w:rsidRPr="00CC53E5">
          <w:rPr>
            <w:rStyle w:val="Hyperlink"/>
            <w:noProof/>
          </w:rPr>
          <w:t>2.1.1236</w:t>
        </w:r>
        <w:r>
          <w:rPr>
            <w:rFonts w:asciiTheme="minorHAnsi" w:eastAsiaTheme="minorEastAsia" w:hAnsiTheme="minorHAnsi" w:cstheme="minorBidi"/>
            <w:noProof/>
            <w:sz w:val="22"/>
            <w:szCs w:val="22"/>
          </w:rPr>
          <w:tab/>
        </w:r>
        <w:r w:rsidRPr="00CC53E5">
          <w:rPr>
            <w:rStyle w:val="Hyperlink"/>
            <w:noProof/>
          </w:rPr>
          <w:t>Part 1 Section 20.1.2.3.25, redOff (Red Offset)</w:t>
        </w:r>
        <w:r>
          <w:rPr>
            <w:noProof/>
            <w:webHidden/>
          </w:rPr>
          <w:tab/>
        </w:r>
        <w:r>
          <w:rPr>
            <w:noProof/>
            <w:webHidden/>
          </w:rPr>
          <w:fldChar w:fldCharType="begin"/>
        </w:r>
        <w:r>
          <w:rPr>
            <w:noProof/>
            <w:webHidden/>
          </w:rPr>
          <w:instrText xml:space="preserve"> PAGEREF _Toc69879019 \h </w:instrText>
        </w:r>
        <w:r>
          <w:rPr>
            <w:noProof/>
            <w:webHidden/>
          </w:rPr>
        </w:r>
        <w:r>
          <w:rPr>
            <w:noProof/>
            <w:webHidden/>
          </w:rPr>
          <w:fldChar w:fldCharType="separate"/>
        </w:r>
        <w:r>
          <w:rPr>
            <w:noProof/>
            <w:webHidden/>
          </w:rPr>
          <w:t>505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20" w:history="1">
        <w:r w:rsidRPr="00CC53E5">
          <w:rPr>
            <w:rStyle w:val="Hyperlink"/>
            <w:noProof/>
          </w:rPr>
          <w:t>2.1.1237</w:t>
        </w:r>
        <w:r>
          <w:rPr>
            <w:rFonts w:asciiTheme="minorHAnsi" w:eastAsiaTheme="minorEastAsia" w:hAnsiTheme="minorHAnsi" w:cstheme="minorBidi"/>
            <w:noProof/>
            <w:sz w:val="22"/>
            <w:szCs w:val="22"/>
          </w:rPr>
          <w:tab/>
        </w:r>
        <w:r w:rsidRPr="00CC53E5">
          <w:rPr>
            <w:rStyle w:val="Hyperlink"/>
            <w:noProof/>
          </w:rPr>
          <w:t>Part 1 Section 20.1.2.3.26, sat (Saturation)</w:t>
        </w:r>
        <w:r>
          <w:rPr>
            <w:noProof/>
            <w:webHidden/>
          </w:rPr>
          <w:tab/>
        </w:r>
        <w:r>
          <w:rPr>
            <w:noProof/>
            <w:webHidden/>
          </w:rPr>
          <w:fldChar w:fldCharType="begin"/>
        </w:r>
        <w:r>
          <w:rPr>
            <w:noProof/>
            <w:webHidden/>
          </w:rPr>
          <w:instrText xml:space="preserve"> PAGEREF _Toc69879020 \h </w:instrText>
        </w:r>
        <w:r>
          <w:rPr>
            <w:noProof/>
            <w:webHidden/>
          </w:rPr>
        </w:r>
        <w:r>
          <w:rPr>
            <w:noProof/>
            <w:webHidden/>
          </w:rPr>
          <w:fldChar w:fldCharType="separate"/>
        </w:r>
        <w:r>
          <w:rPr>
            <w:noProof/>
            <w:webHidden/>
          </w:rPr>
          <w:t>506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21" w:history="1">
        <w:r w:rsidRPr="00CC53E5">
          <w:rPr>
            <w:rStyle w:val="Hyperlink"/>
            <w:noProof/>
          </w:rPr>
          <w:t>2.1.1238</w:t>
        </w:r>
        <w:r>
          <w:rPr>
            <w:rFonts w:asciiTheme="minorHAnsi" w:eastAsiaTheme="minorEastAsia" w:hAnsiTheme="minorHAnsi" w:cstheme="minorBidi"/>
            <w:noProof/>
            <w:sz w:val="22"/>
            <w:szCs w:val="22"/>
          </w:rPr>
          <w:tab/>
        </w:r>
        <w:r w:rsidRPr="00CC53E5">
          <w:rPr>
            <w:rStyle w:val="Hyperlink"/>
            <w:noProof/>
          </w:rPr>
          <w:t>Part 1 Section 20.1.2.3.27, satMod (Saturation Modulation)</w:t>
        </w:r>
        <w:r>
          <w:rPr>
            <w:noProof/>
            <w:webHidden/>
          </w:rPr>
          <w:tab/>
        </w:r>
        <w:r>
          <w:rPr>
            <w:noProof/>
            <w:webHidden/>
          </w:rPr>
          <w:fldChar w:fldCharType="begin"/>
        </w:r>
        <w:r>
          <w:rPr>
            <w:noProof/>
            <w:webHidden/>
          </w:rPr>
          <w:instrText xml:space="preserve"> PAGEREF _Toc69879021 \h </w:instrText>
        </w:r>
        <w:r>
          <w:rPr>
            <w:noProof/>
            <w:webHidden/>
          </w:rPr>
        </w:r>
        <w:r>
          <w:rPr>
            <w:noProof/>
            <w:webHidden/>
          </w:rPr>
          <w:fldChar w:fldCharType="separate"/>
        </w:r>
        <w:r>
          <w:rPr>
            <w:noProof/>
            <w:webHidden/>
          </w:rPr>
          <w:t>506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22" w:history="1">
        <w:r w:rsidRPr="00CC53E5">
          <w:rPr>
            <w:rStyle w:val="Hyperlink"/>
            <w:noProof/>
          </w:rPr>
          <w:t>2.1.1239</w:t>
        </w:r>
        <w:r>
          <w:rPr>
            <w:rFonts w:asciiTheme="minorHAnsi" w:eastAsiaTheme="minorEastAsia" w:hAnsiTheme="minorHAnsi" w:cstheme="minorBidi"/>
            <w:noProof/>
            <w:sz w:val="22"/>
            <w:szCs w:val="22"/>
          </w:rPr>
          <w:tab/>
        </w:r>
        <w:r w:rsidRPr="00CC53E5">
          <w:rPr>
            <w:rStyle w:val="Hyperlink"/>
            <w:noProof/>
          </w:rPr>
          <w:t>Part 1 Section 20.1.2.3.28, satOff (Saturation Offset)</w:t>
        </w:r>
        <w:r>
          <w:rPr>
            <w:noProof/>
            <w:webHidden/>
          </w:rPr>
          <w:tab/>
        </w:r>
        <w:r>
          <w:rPr>
            <w:noProof/>
            <w:webHidden/>
          </w:rPr>
          <w:fldChar w:fldCharType="begin"/>
        </w:r>
        <w:r>
          <w:rPr>
            <w:noProof/>
            <w:webHidden/>
          </w:rPr>
          <w:instrText xml:space="preserve"> PAGEREF _Toc69879022 \h </w:instrText>
        </w:r>
        <w:r>
          <w:rPr>
            <w:noProof/>
            <w:webHidden/>
          </w:rPr>
        </w:r>
        <w:r>
          <w:rPr>
            <w:noProof/>
            <w:webHidden/>
          </w:rPr>
          <w:fldChar w:fldCharType="separate"/>
        </w:r>
        <w:r>
          <w:rPr>
            <w:noProof/>
            <w:webHidden/>
          </w:rPr>
          <w:t>506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23" w:history="1">
        <w:r w:rsidRPr="00CC53E5">
          <w:rPr>
            <w:rStyle w:val="Hyperlink"/>
            <w:noProof/>
          </w:rPr>
          <w:t>2.1.1240</w:t>
        </w:r>
        <w:r>
          <w:rPr>
            <w:rFonts w:asciiTheme="minorHAnsi" w:eastAsiaTheme="minorEastAsia" w:hAnsiTheme="minorHAnsi" w:cstheme="minorBidi"/>
            <w:noProof/>
            <w:sz w:val="22"/>
            <w:szCs w:val="22"/>
          </w:rPr>
          <w:tab/>
        </w:r>
        <w:r w:rsidRPr="00CC53E5">
          <w:rPr>
            <w:rStyle w:val="Hyperlink"/>
            <w:noProof/>
          </w:rPr>
          <w:t>Part 1 Section 20.1.2.3.31, shade (Shade)</w:t>
        </w:r>
        <w:r>
          <w:rPr>
            <w:noProof/>
            <w:webHidden/>
          </w:rPr>
          <w:tab/>
        </w:r>
        <w:r>
          <w:rPr>
            <w:noProof/>
            <w:webHidden/>
          </w:rPr>
          <w:fldChar w:fldCharType="begin"/>
        </w:r>
        <w:r>
          <w:rPr>
            <w:noProof/>
            <w:webHidden/>
          </w:rPr>
          <w:instrText xml:space="preserve"> PAGEREF _Toc69879023 \h </w:instrText>
        </w:r>
        <w:r>
          <w:rPr>
            <w:noProof/>
            <w:webHidden/>
          </w:rPr>
        </w:r>
        <w:r>
          <w:rPr>
            <w:noProof/>
            <w:webHidden/>
          </w:rPr>
          <w:fldChar w:fldCharType="separate"/>
        </w:r>
        <w:r>
          <w:rPr>
            <w:noProof/>
            <w:webHidden/>
          </w:rPr>
          <w:t>506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24" w:history="1">
        <w:r w:rsidRPr="00CC53E5">
          <w:rPr>
            <w:rStyle w:val="Hyperlink"/>
            <w:noProof/>
          </w:rPr>
          <w:t>2.1.1241</w:t>
        </w:r>
        <w:r>
          <w:rPr>
            <w:rFonts w:asciiTheme="minorHAnsi" w:eastAsiaTheme="minorEastAsia" w:hAnsiTheme="minorHAnsi" w:cstheme="minorBidi"/>
            <w:noProof/>
            <w:sz w:val="22"/>
            <w:szCs w:val="22"/>
          </w:rPr>
          <w:tab/>
        </w:r>
        <w:r w:rsidRPr="00CC53E5">
          <w:rPr>
            <w:rStyle w:val="Hyperlink"/>
            <w:noProof/>
          </w:rPr>
          <w:t>Part 1 Section 20.1.2.3.33, sysClr (System Color)</w:t>
        </w:r>
        <w:r>
          <w:rPr>
            <w:noProof/>
            <w:webHidden/>
          </w:rPr>
          <w:tab/>
        </w:r>
        <w:r>
          <w:rPr>
            <w:noProof/>
            <w:webHidden/>
          </w:rPr>
          <w:fldChar w:fldCharType="begin"/>
        </w:r>
        <w:r>
          <w:rPr>
            <w:noProof/>
            <w:webHidden/>
          </w:rPr>
          <w:instrText xml:space="preserve"> PAGEREF _Toc69879024 \h </w:instrText>
        </w:r>
        <w:r>
          <w:rPr>
            <w:noProof/>
            <w:webHidden/>
          </w:rPr>
        </w:r>
        <w:r>
          <w:rPr>
            <w:noProof/>
            <w:webHidden/>
          </w:rPr>
          <w:fldChar w:fldCharType="separate"/>
        </w:r>
        <w:r>
          <w:rPr>
            <w:noProof/>
            <w:webHidden/>
          </w:rPr>
          <w:t>507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25" w:history="1">
        <w:r w:rsidRPr="00CC53E5">
          <w:rPr>
            <w:rStyle w:val="Hyperlink"/>
            <w:noProof/>
          </w:rPr>
          <w:t>2.1.1242</w:t>
        </w:r>
        <w:r>
          <w:rPr>
            <w:rFonts w:asciiTheme="minorHAnsi" w:eastAsiaTheme="minorEastAsia" w:hAnsiTheme="minorHAnsi" w:cstheme="minorBidi"/>
            <w:noProof/>
            <w:sz w:val="22"/>
            <w:szCs w:val="22"/>
          </w:rPr>
          <w:tab/>
        </w:r>
        <w:r w:rsidRPr="00CC53E5">
          <w:rPr>
            <w:rStyle w:val="Hyperlink"/>
            <w:noProof/>
          </w:rPr>
          <w:t>Part 1 Section 20.1.2.3.34, tint (Tint)</w:t>
        </w:r>
        <w:r>
          <w:rPr>
            <w:noProof/>
            <w:webHidden/>
          </w:rPr>
          <w:tab/>
        </w:r>
        <w:r>
          <w:rPr>
            <w:noProof/>
            <w:webHidden/>
          </w:rPr>
          <w:fldChar w:fldCharType="begin"/>
        </w:r>
        <w:r>
          <w:rPr>
            <w:noProof/>
            <w:webHidden/>
          </w:rPr>
          <w:instrText xml:space="preserve"> PAGEREF _Toc69879025 \h </w:instrText>
        </w:r>
        <w:r>
          <w:rPr>
            <w:noProof/>
            <w:webHidden/>
          </w:rPr>
        </w:r>
        <w:r>
          <w:rPr>
            <w:noProof/>
            <w:webHidden/>
          </w:rPr>
          <w:fldChar w:fldCharType="separate"/>
        </w:r>
        <w:r>
          <w:rPr>
            <w:noProof/>
            <w:webHidden/>
          </w:rPr>
          <w:t>507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26" w:history="1">
        <w:r w:rsidRPr="00CC53E5">
          <w:rPr>
            <w:rStyle w:val="Hyperlink"/>
            <w:noProof/>
          </w:rPr>
          <w:t>2.1.1243</w:t>
        </w:r>
        <w:r>
          <w:rPr>
            <w:rFonts w:asciiTheme="minorHAnsi" w:eastAsiaTheme="minorEastAsia" w:hAnsiTheme="minorHAnsi" w:cstheme="minorBidi"/>
            <w:noProof/>
            <w:sz w:val="22"/>
            <w:szCs w:val="22"/>
          </w:rPr>
          <w:tab/>
        </w:r>
        <w:r w:rsidRPr="00CC53E5">
          <w:rPr>
            <w:rStyle w:val="Hyperlink"/>
            <w:noProof/>
          </w:rPr>
          <w:t>Part 1 Section 20.1.3.2, audioFile (Audio from File)</w:t>
        </w:r>
        <w:r>
          <w:rPr>
            <w:noProof/>
            <w:webHidden/>
          </w:rPr>
          <w:tab/>
        </w:r>
        <w:r>
          <w:rPr>
            <w:noProof/>
            <w:webHidden/>
          </w:rPr>
          <w:fldChar w:fldCharType="begin"/>
        </w:r>
        <w:r>
          <w:rPr>
            <w:noProof/>
            <w:webHidden/>
          </w:rPr>
          <w:instrText xml:space="preserve"> PAGEREF _Toc69879026 \h </w:instrText>
        </w:r>
        <w:r>
          <w:rPr>
            <w:noProof/>
            <w:webHidden/>
          </w:rPr>
        </w:r>
        <w:r>
          <w:rPr>
            <w:noProof/>
            <w:webHidden/>
          </w:rPr>
          <w:fldChar w:fldCharType="separate"/>
        </w:r>
        <w:r>
          <w:rPr>
            <w:noProof/>
            <w:webHidden/>
          </w:rPr>
          <w:t>507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27" w:history="1">
        <w:r w:rsidRPr="00CC53E5">
          <w:rPr>
            <w:rStyle w:val="Hyperlink"/>
            <w:noProof/>
          </w:rPr>
          <w:t>2.1.1244</w:t>
        </w:r>
        <w:r>
          <w:rPr>
            <w:rFonts w:asciiTheme="minorHAnsi" w:eastAsiaTheme="minorEastAsia" w:hAnsiTheme="minorHAnsi" w:cstheme="minorBidi"/>
            <w:noProof/>
            <w:sz w:val="22"/>
            <w:szCs w:val="22"/>
          </w:rPr>
          <w:tab/>
        </w:r>
        <w:r w:rsidRPr="00CC53E5">
          <w:rPr>
            <w:rStyle w:val="Hyperlink"/>
            <w:noProof/>
          </w:rPr>
          <w:t>Part 1 Section 20.1.3.3, end (Audio End Time)</w:t>
        </w:r>
        <w:r>
          <w:rPr>
            <w:noProof/>
            <w:webHidden/>
          </w:rPr>
          <w:tab/>
        </w:r>
        <w:r>
          <w:rPr>
            <w:noProof/>
            <w:webHidden/>
          </w:rPr>
          <w:fldChar w:fldCharType="begin"/>
        </w:r>
        <w:r>
          <w:rPr>
            <w:noProof/>
            <w:webHidden/>
          </w:rPr>
          <w:instrText xml:space="preserve"> PAGEREF _Toc69879027 \h </w:instrText>
        </w:r>
        <w:r>
          <w:rPr>
            <w:noProof/>
            <w:webHidden/>
          </w:rPr>
        </w:r>
        <w:r>
          <w:rPr>
            <w:noProof/>
            <w:webHidden/>
          </w:rPr>
          <w:fldChar w:fldCharType="separate"/>
        </w:r>
        <w:r>
          <w:rPr>
            <w:noProof/>
            <w:webHidden/>
          </w:rPr>
          <w:t>507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28" w:history="1">
        <w:r w:rsidRPr="00CC53E5">
          <w:rPr>
            <w:rStyle w:val="Hyperlink"/>
            <w:noProof/>
          </w:rPr>
          <w:t>2.1.1245</w:t>
        </w:r>
        <w:r>
          <w:rPr>
            <w:rFonts w:asciiTheme="minorHAnsi" w:eastAsiaTheme="minorEastAsia" w:hAnsiTheme="minorHAnsi" w:cstheme="minorBidi"/>
            <w:noProof/>
            <w:sz w:val="22"/>
            <w:szCs w:val="22"/>
          </w:rPr>
          <w:tab/>
        </w:r>
        <w:r w:rsidRPr="00CC53E5">
          <w:rPr>
            <w:rStyle w:val="Hyperlink"/>
            <w:noProof/>
          </w:rPr>
          <w:t>Part 1 Section 20.1.3.5, st (Audio Start Time)</w:t>
        </w:r>
        <w:r>
          <w:rPr>
            <w:noProof/>
            <w:webHidden/>
          </w:rPr>
          <w:tab/>
        </w:r>
        <w:r>
          <w:rPr>
            <w:noProof/>
            <w:webHidden/>
          </w:rPr>
          <w:fldChar w:fldCharType="begin"/>
        </w:r>
        <w:r>
          <w:rPr>
            <w:noProof/>
            <w:webHidden/>
          </w:rPr>
          <w:instrText xml:space="preserve"> PAGEREF _Toc69879028 \h </w:instrText>
        </w:r>
        <w:r>
          <w:rPr>
            <w:noProof/>
            <w:webHidden/>
          </w:rPr>
        </w:r>
        <w:r>
          <w:rPr>
            <w:noProof/>
            <w:webHidden/>
          </w:rPr>
          <w:fldChar w:fldCharType="separate"/>
        </w:r>
        <w:r>
          <w:rPr>
            <w:noProof/>
            <w:webHidden/>
          </w:rPr>
          <w:t>507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29" w:history="1">
        <w:r w:rsidRPr="00CC53E5">
          <w:rPr>
            <w:rStyle w:val="Hyperlink"/>
            <w:noProof/>
          </w:rPr>
          <w:t>2.1.1246</w:t>
        </w:r>
        <w:r>
          <w:rPr>
            <w:rFonts w:asciiTheme="minorHAnsi" w:eastAsiaTheme="minorEastAsia" w:hAnsiTheme="minorHAnsi" w:cstheme="minorBidi"/>
            <w:noProof/>
            <w:sz w:val="22"/>
            <w:szCs w:val="22"/>
          </w:rPr>
          <w:tab/>
        </w:r>
        <w:r w:rsidRPr="00CC53E5">
          <w:rPr>
            <w:rStyle w:val="Hyperlink"/>
            <w:noProof/>
          </w:rPr>
          <w:t>Part 1 Section 20.1.3.6, videoFile (Video from File)</w:t>
        </w:r>
        <w:r>
          <w:rPr>
            <w:noProof/>
            <w:webHidden/>
          </w:rPr>
          <w:tab/>
        </w:r>
        <w:r>
          <w:rPr>
            <w:noProof/>
            <w:webHidden/>
          </w:rPr>
          <w:fldChar w:fldCharType="begin"/>
        </w:r>
        <w:r>
          <w:rPr>
            <w:noProof/>
            <w:webHidden/>
          </w:rPr>
          <w:instrText xml:space="preserve"> PAGEREF _Toc69879029 \h </w:instrText>
        </w:r>
        <w:r>
          <w:rPr>
            <w:noProof/>
            <w:webHidden/>
          </w:rPr>
        </w:r>
        <w:r>
          <w:rPr>
            <w:noProof/>
            <w:webHidden/>
          </w:rPr>
          <w:fldChar w:fldCharType="separate"/>
        </w:r>
        <w:r>
          <w:rPr>
            <w:noProof/>
            <w:webHidden/>
          </w:rPr>
          <w:t>507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30" w:history="1">
        <w:r w:rsidRPr="00CC53E5">
          <w:rPr>
            <w:rStyle w:val="Hyperlink"/>
            <w:noProof/>
          </w:rPr>
          <w:t>2.1.1247</w:t>
        </w:r>
        <w:r>
          <w:rPr>
            <w:rFonts w:asciiTheme="minorHAnsi" w:eastAsiaTheme="minorEastAsia" w:hAnsiTheme="minorHAnsi" w:cstheme="minorBidi"/>
            <w:noProof/>
            <w:sz w:val="22"/>
            <w:szCs w:val="22"/>
          </w:rPr>
          <w:tab/>
        </w:r>
        <w:r w:rsidRPr="00CC53E5">
          <w:rPr>
            <w:rStyle w:val="Hyperlink"/>
            <w:noProof/>
          </w:rPr>
          <w:t>Part 1 Section 20.1.4.1.1, accent1 (Accent 1)</w:t>
        </w:r>
        <w:r>
          <w:rPr>
            <w:noProof/>
            <w:webHidden/>
          </w:rPr>
          <w:tab/>
        </w:r>
        <w:r>
          <w:rPr>
            <w:noProof/>
            <w:webHidden/>
          </w:rPr>
          <w:fldChar w:fldCharType="begin"/>
        </w:r>
        <w:r>
          <w:rPr>
            <w:noProof/>
            <w:webHidden/>
          </w:rPr>
          <w:instrText xml:space="preserve"> PAGEREF _Toc69879030 \h </w:instrText>
        </w:r>
        <w:r>
          <w:rPr>
            <w:noProof/>
            <w:webHidden/>
          </w:rPr>
        </w:r>
        <w:r>
          <w:rPr>
            <w:noProof/>
            <w:webHidden/>
          </w:rPr>
          <w:fldChar w:fldCharType="separate"/>
        </w:r>
        <w:r>
          <w:rPr>
            <w:noProof/>
            <w:webHidden/>
          </w:rPr>
          <w:t>507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31" w:history="1">
        <w:r w:rsidRPr="00CC53E5">
          <w:rPr>
            <w:rStyle w:val="Hyperlink"/>
            <w:noProof/>
          </w:rPr>
          <w:t>2.1.1248</w:t>
        </w:r>
        <w:r>
          <w:rPr>
            <w:rFonts w:asciiTheme="minorHAnsi" w:eastAsiaTheme="minorEastAsia" w:hAnsiTheme="minorHAnsi" w:cstheme="minorBidi"/>
            <w:noProof/>
            <w:sz w:val="22"/>
            <w:szCs w:val="22"/>
          </w:rPr>
          <w:tab/>
        </w:r>
        <w:r w:rsidRPr="00CC53E5">
          <w:rPr>
            <w:rStyle w:val="Hyperlink"/>
            <w:noProof/>
          </w:rPr>
          <w:t>Part 1 Section 20.1.4.1.2, accent2 (Accent 2)</w:t>
        </w:r>
        <w:r>
          <w:rPr>
            <w:noProof/>
            <w:webHidden/>
          </w:rPr>
          <w:tab/>
        </w:r>
        <w:r>
          <w:rPr>
            <w:noProof/>
            <w:webHidden/>
          </w:rPr>
          <w:fldChar w:fldCharType="begin"/>
        </w:r>
        <w:r>
          <w:rPr>
            <w:noProof/>
            <w:webHidden/>
          </w:rPr>
          <w:instrText xml:space="preserve"> PAGEREF _Toc69879031 \h </w:instrText>
        </w:r>
        <w:r>
          <w:rPr>
            <w:noProof/>
            <w:webHidden/>
          </w:rPr>
        </w:r>
        <w:r>
          <w:rPr>
            <w:noProof/>
            <w:webHidden/>
          </w:rPr>
          <w:fldChar w:fldCharType="separate"/>
        </w:r>
        <w:r>
          <w:rPr>
            <w:noProof/>
            <w:webHidden/>
          </w:rPr>
          <w:t>507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32" w:history="1">
        <w:r w:rsidRPr="00CC53E5">
          <w:rPr>
            <w:rStyle w:val="Hyperlink"/>
            <w:noProof/>
          </w:rPr>
          <w:t>2.1.1249</w:t>
        </w:r>
        <w:r>
          <w:rPr>
            <w:rFonts w:asciiTheme="minorHAnsi" w:eastAsiaTheme="minorEastAsia" w:hAnsiTheme="minorHAnsi" w:cstheme="minorBidi"/>
            <w:noProof/>
            <w:sz w:val="22"/>
            <w:szCs w:val="22"/>
          </w:rPr>
          <w:tab/>
        </w:r>
        <w:r w:rsidRPr="00CC53E5">
          <w:rPr>
            <w:rStyle w:val="Hyperlink"/>
            <w:noProof/>
          </w:rPr>
          <w:t>Part 1 Section 20.1.4.1.3, accent3 (Accent 3)</w:t>
        </w:r>
        <w:r>
          <w:rPr>
            <w:noProof/>
            <w:webHidden/>
          </w:rPr>
          <w:tab/>
        </w:r>
        <w:r>
          <w:rPr>
            <w:noProof/>
            <w:webHidden/>
          </w:rPr>
          <w:fldChar w:fldCharType="begin"/>
        </w:r>
        <w:r>
          <w:rPr>
            <w:noProof/>
            <w:webHidden/>
          </w:rPr>
          <w:instrText xml:space="preserve"> PAGEREF _Toc69879032 \h </w:instrText>
        </w:r>
        <w:r>
          <w:rPr>
            <w:noProof/>
            <w:webHidden/>
          </w:rPr>
        </w:r>
        <w:r>
          <w:rPr>
            <w:noProof/>
            <w:webHidden/>
          </w:rPr>
          <w:fldChar w:fldCharType="separate"/>
        </w:r>
        <w:r>
          <w:rPr>
            <w:noProof/>
            <w:webHidden/>
          </w:rPr>
          <w:t>508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33" w:history="1">
        <w:r w:rsidRPr="00CC53E5">
          <w:rPr>
            <w:rStyle w:val="Hyperlink"/>
            <w:noProof/>
          </w:rPr>
          <w:t>2.1.1250</w:t>
        </w:r>
        <w:r>
          <w:rPr>
            <w:rFonts w:asciiTheme="minorHAnsi" w:eastAsiaTheme="minorEastAsia" w:hAnsiTheme="minorHAnsi" w:cstheme="minorBidi"/>
            <w:noProof/>
            <w:sz w:val="22"/>
            <w:szCs w:val="22"/>
          </w:rPr>
          <w:tab/>
        </w:r>
        <w:r w:rsidRPr="00CC53E5">
          <w:rPr>
            <w:rStyle w:val="Hyperlink"/>
            <w:noProof/>
          </w:rPr>
          <w:t>Part 1 Section 20.1.4.1.4, accent4 (Accent 4)</w:t>
        </w:r>
        <w:r>
          <w:rPr>
            <w:noProof/>
            <w:webHidden/>
          </w:rPr>
          <w:tab/>
        </w:r>
        <w:r>
          <w:rPr>
            <w:noProof/>
            <w:webHidden/>
          </w:rPr>
          <w:fldChar w:fldCharType="begin"/>
        </w:r>
        <w:r>
          <w:rPr>
            <w:noProof/>
            <w:webHidden/>
          </w:rPr>
          <w:instrText xml:space="preserve"> PAGEREF _Toc69879033 \h </w:instrText>
        </w:r>
        <w:r>
          <w:rPr>
            <w:noProof/>
            <w:webHidden/>
          </w:rPr>
        </w:r>
        <w:r>
          <w:rPr>
            <w:noProof/>
            <w:webHidden/>
          </w:rPr>
          <w:fldChar w:fldCharType="separate"/>
        </w:r>
        <w:r>
          <w:rPr>
            <w:noProof/>
            <w:webHidden/>
          </w:rPr>
          <w:t>508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34" w:history="1">
        <w:r w:rsidRPr="00CC53E5">
          <w:rPr>
            <w:rStyle w:val="Hyperlink"/>
            <w:noProof/>
          </w:rPr>
          <w:t>2.1.1251</w:t>
        </w:r>
        <w:r>
          <w:rPr>
            <w:rFonts w:asciiTheme="minorHAnsi" w:eastAsiaTheme="minorEastAsia" w:hAnsiTheme="minorHAnsi" w:cstheme="minorBidi"/>
            <w:noProof/>
            <w:sz w:val="22"/>
            <w:szCs w:val="22"/>
          </w:rPr>
          <w:tab/>
        </w:r>
        <w:r w:rsidRPr="00CC53E5">
          <w:rPr>
            <w:rStyle w:val="Hyperlink"/>
            <w:noProof/>
          </w:rPr>
          <w:t>Part 1 Section 20.1.4.1.5, accent5 (Accent 5)</w:t>
        </w:r>
        <w:r>
          <w:rPr>
            <w:noProof/>
            <w:webHidden/>
          </w:rPr>
          <w:tab/>
        </w:r>
        <w:r>
          <w:rPr>
            <w:noProof/>
            <w:webHidden/>
          </w:rPr>
          <w:fldChar w:fldCharType="begin"/>
        </w:r>
        <w:r>
          <w:rPr>
            <w:noProof/>
            <w:webHidden/>
          </w:rPr>
          <w:instrText xml:space="preserve"> PAGEREF _Toc69879034 \h </w:instrText>
        </w:r>
        <w:r>
          <w:rPr>
            <w:noProof/>
            <w:webHidden/>
          </w:rPr>
        </w:r>
        <w:r>
          <w:rPr>
            <w:noProof/>
            <w:webHidden/>
          </w:rPr>
          <w:fldChar w:fldCharType="separate"/>
        </w:r>
        <w:r>
          <w:rPr>
            <w:noProof/>
            <w:webHidden/>
          </w:rPr>
          <w:t>508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35" w:history="1">
        <w:r w:rsidRPr="00CC53E5">
          <w:rPr>
            <w:rStyle w:val="Hyperlink"/>
            <w:noProof/>
          </w:rPr>
          <w:t>2.1.1252</w:t>
        </w:r>
        <w:r>
          <w:rPr>
            <w:rFonts w:asciiTheme="minorHAnsi" w:eastAsiaTheme="minorEastAsia" w:hAnsiTheme="minorHAnsi" w:cstheme="minorBidi"/>
            <w:noProof/>
            <w:sz w:val="22"/>
            <w:szCs w:val="22"/>
          </w:rPr>
          <w:tab/>
        </w:r>
        <w:r w:rsidRPr="00CC53E5">
          <w:rPr>
            <w:rStyle w:val="Hyperlink"/>
            <w:noProof/>
          </w:rPr>
          <w:t>Part 1 Section 20.1.4.1.6, accent6 (Accent 6)</w:t>
        </w:r>
        <w:r>
          <w:rPr>
            <w:noProof/>
            <w:webHidden/>
          </w:rPr>
          <w:tab/>
        </w:r>
        <w:r>
          <w:rPr>
            <w:noProof/>
            <w:webHidden/>
          </w:rPr>
          <w:fldChar w:fldCharType="begin"/>
        </w:r>
        <w:r>
          <w:rPr>
            <w:noProof/>
            <w:webHidden/>
          </w:rPr>
          <w:instrText xml:space="preserve"> PAGEREF _Toc69879035 \h </w:instrText>
        </w:r>
        <w:r>
          <w:rPr>
            <w:noProof/>
            <w:webHidden/>
          </w:rPr>
        </w:r>
        <w:r>
          <w:rPr>
            <w:noProof/>
            <w:webHidden/>
          </w:rPr>
          <w:fldChar w:fldCharType="separate"/>
        </w:r>
        <w:r>
          <w:rPr>
            <w:noProof/>
            <w:webHidden/>
          </w:rPr>
          <w:t>508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36" w:history="1">
        <w:r w:rsidRPr="00CC53E5">
          <w:rPr>
            <w:rStyle w:val="Hyperlink"/>
            <w:noProof/>
          </w:rPr>
          <w:t>2.1.1253</w:t>
        </w:r>
        <w:r>
          <w:rPr>
            <w:rFonts w:asciiTheme="minorHAnsi" w:eastAsiaTheme="minorEastAsia" w:hAnsiTheme="minorHAnsi" w:cstheme="minorBidi"/>
            <w:noProof/>
            <w:sz w:val="22"/>
            <w:szCs w:val="22"/>
          </w:rPr>
          <w:tab/>
        </w:r>
        <w:r w:rsidRPr="00CC53E5">
          <w:rPr>
            <w:rStyle w:val="Hyperlink"/>
            <w:noProof/>
          </w:rPr>
          <w:t>Part 1 Section 20.1.4.1.9, dk1 (Dark 1)</w:t>
        </w:r>
        <w:r>
          <w:rPr>
            <w:noProof/>
            <w:webHidden/>
          </w:rPr>
          <w:tab/>
        </w:r>
        <w:r>
          <w:rPr>
            <w:noProof/>
            <w:webHidden/>
          </w:rPr>
          <w:fldChar w:fldCharType="begin"/>
        </w:r>
        <w:r>
          <w:rPr>
            <w:noProof/>
            <w:webHidden/>
          </w:rPr>
          <w:instrText xml:space="preserve"> PAGEREF _Toc69879036 \h </w:instrText>
        </w:r>
        <w:r>
          <w:rPr>
            <w:noProof/>
            <w:webHidden/>
          </w:rPr>
        </w:r>
        <w:r>
          <w:rPr>
            <w:noProof/>
            <w:webHidden/>
          </w:rPr>
          <w:fldChar w:fldCharType="separate"/>
        </w:r>
        <w:r>
          <w:rPr>
            <w:noProof/>
            <w:webHidden/>
          </w:rPr>
          <w:t>508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37" w:history="1">
        <w:r w:rsidRPr="00CC53E5">
          <w:rPr>
            <w:rStyle w:val="Hyperlink"/>
            <w:noProof/>
          </w:rPr>
          <w:t>2.1.1254</w:t>
        </w:r>
        <w:r>
          <w:rPr>
            <w:rFonts w:asciiTheme="minorHAnsi" w:eastAsiaTheme="minorEastAsia" w:hAnsiTheme="minorHAnsi" w:cstheme="minorBidi"/>
            <w:noProof/>
            <w:sz w:val="22"/>
            <w:szCs w:val="22"/>
          </w:rPr>
          <w:tab/>
        </w:r>
        <w:r w:rsidRPr="00CC53E5">
          <w:rPr>
            <w:rStyle w:val="Hyperlink"/>
            <w:noProof/>
          </w:rPr>
          <w:t>Part 1 Section 20.1.4.1.10, dk2 (Dark 2)</w:t>
        </w:r>
        <w:r>
          <w:rPr>
            <w:noProof/>
            <w:webHidden/>
          </w:rPr>
          <w:tab/>
        </w:r>
        <w:r>
          <w:rPr>
            <w:noProof/>
            <w:webHidden/>
          </w:rPr>
          <w:fldChar w:fldCharType="begin"/>
        </w:r>
        <w:r>
          <w:rPr>
            <w:noProof/>
            <w:webHidden/>
          </w:rPr>
          <w:instrText xml:space="preserve"> PAGEREF _Toc69879037 \h </w:instrText>
        </w:r>
        <w:r>
          <w:rPr>
            <w:noProof/>
            <w:webHidden/>
          </w:rPr>
        </w:r>
        <w:r>
          <w:rPr>
            <w:noProof/>
            <w:webHidden/>
          </w:rPr>
          <w:fldChar w:fldCharType="separate"/>
        </w:r>
        <w:r>
          <w:rPr>
            <w:noProof/>
            <w:webHidden/>
          </w:rPr>
          <w:t>508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38" w:history="1">
        <w:r w:rsidRPr="00CC53E5">
          <w:rPr>
            <w:rStyle w:val="Hyperlink"/>
            <w:noProof/>
          </w:rPr>
          <w:t>2.1.1255</w:t>
        </w:r>
        <w:r>
          <w:rPr>
            <w:rFonts w:asciiTheme="minorHAnsi" w:eastAsiaTheme="minorEastAsia" w:hAnsiTheme="minorHAnsi" w:cstheme="minorBidi"/>
            <w:noProof/>
            <w:sz w:val="22"/>
            <w:szCs w:val="22"/>
          </w:rPr>
          <w:tab/>
        </w:r>
        <w:r w:rsidRPr="00CC53E5">
          <w:rPr>
            <w:rStyle w:val="Hyperlink"/>
            <w:noProof/>
          </w:rPr>
          <w:t>Part 1 Section 20.1.4.1.15, folHlink (Followed Hyperlink)</w:t>
        </w:r>
        <w:r>
          <w:rPr>
            <w:noProof/>
            <w:webHidden/>
          </w:rPr>
          <w:tab/>
        </w:r>
        <w:r>
          <w:rPr>
            <w:noProof/>
            <w:webHidden/>
          </w:rPr>
          <w:fldChar w:fldCharType="begin"/>
        </w:r>
        <w:r>
          <w:rPr>
            <w:noProof/>
            <w:webHidden/>
          </w:rPr>
          <w:instrText xml:space="preserve"> PAGEREF _Toc69879038 \h </w:instrText>
        </w:r>
        <w:r>
          <w:rPr>
            <w:noProof/>
            <w:webHidden/>
          </w:rPr>
        </w:r>
        <w:r>
          <w:rPr>
            <w:noProof/>
            <w:webHidden/>
          </w:rPr>
          <w:fldChar w:fldCharType="separate"/>
        </w:r>
        <w:r>
          <w:rPr>
            <w:noProof/>
            <w:webHidden/>
          </w:rPr>
          <w:t>508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39" w:history="1">
        <w:r w:rsidRPr="00CC53E5">
          <w:rPr>
            <w:rStyle w:val="Hyperlink"/>
            <w:noProof/>
          </w:rPr>
          <w:t>2.1.1256</w:t>
        </w:r>
        <w:r>
          <w:rPr>
            <w:rFonts w:asciiTheme="minorHAnsi" w:eastAsiaTheme="minorEastAsia" w:hAnsiTheme="minorHAnsi" w:cstheme="minorBidi"/>
            <w:noProof/>
            <w:sz w:val="22"/>
            <w:szCs w:val="22"/>
          </w:rPr>
          <w:tab/>
        </w:r>
        <w:r w:rsidRPr="00CC53E5">
          <w:rPr>
            <w:rStyle w:val="Hyperlink"/>
            <w:noProof/>
          </w:rPr>
          <w:t>Part 1 Section 20.1.4.1.17, fontRef (Font Reference)</w:t>
        </w:r>
        <w:r>
          <w:rPr>
            <w:noProof/>
            <w:webHidden/>
          </w:rPr>
          <w:tab/>
        </w:r>
        <w:r>
          <w:rPr>
            <w:noProof/>
            <w:webHidden/>
          </w:rPr>
          <w:fldChar w:fldCharType="begin"/>
        </w:r>
        <w:r>
          <w:rPr>
            <w:noProof/>
            <w:webHidden/>
          </w:rPr>
          <w:instrText xml:space="preserve"> PAGEREF _Toc69879039 \h </w:instrText>
        </w:r>
        <w:r>
          <w:rPr>
            <w:noProof/>
            <w:webHidden/>
          </w:rPr>
        </w:r>
        <w:r>
          <w:rPr>
            <w:noProof/>
            <w:webHidden/>
          </w:rPr>
          <w:fldChar w:fldCharType="separate"/>
        </w:r>
        <w:r>
          <w:rPr>
            <w:noProof/>
            <w:webHidden/>
          </w:rPr>
          <w:t>508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40" w:history="1">
        <w:r w:rsidRPr="00CC53E5">
          <w:rPr>
            <w:rStyle w:val="Hyperlink"/>
            <w:noProof/>
          </w:rPr>
          <w:t>2.1.1257</w:t>
        </w:r>
        <w:r>
          <w:rPr>
            <w:rFonts w:asciiTheme="minorHAnsi" w:eastAsiaTheme="minorEastAsia" w:hAnsiTheme="minorHAnsi" w:cstheme="minorBidi"/>
            <w:noProof/>
            <w:sz w:val="22"/>
            <w:szCs w:val="22"/>
          </w:rPr>
          <w:tab/>
        </w:r>
        <w:r w:rsidRPr="00CC53E5">
          <w:rPr>
            <w:rStyle w:val="Hyperlink"/>
            <w:noProof/>
          </w:rPr>
          <w:t>Part 1 Section 20.1.4.1.19, hlink (Hyperlink)</w:t>
        </w:r>
        <w:r>
          <w:rPr>
            <w:noProof/>
            <w:webHidden/>
          </w:rPr>
          <w:tab/>
        </w:r>
        <w:r>
          <w:rPr>
            <w:noProof/>
            <w:webHidden/>
          </w:rPr>
          <w:fldChar w:fldCharType="begin"/>
        </w:r>
        <w:r>
          <w:rPr>
            <w:noProof/>
            <w:webHidden/>
          </w:rPr>
          <w:instrText xml:space="preserve"> PAGEREF _Toc69879040 \h </w:instrText>
        </w:r>
        <w:r>
          <w:rPr>
            <w:noProof/>
            <w:webHidden/>
          </w:rPr>
        </w:r>
        <w:r>
          <w:rPr>
            <w:noProof/>
            <w:webHidden/>
          </w:rPr>
          <w:fldChar w:fldCharType="separate"/>
        </w:r>
        <w:r>
          <w:rPr>
            <w:noProof/>
            <w:webHidden/>
          </w:rPr>
          <w:t>508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41" w:history="1">
        <w:r w:rsidRPr="00CC53E5">
          <w:rPr>
            <w:rStyle w:val="Hyperlink"/>
            <w:noProof/>
          </w:rPr>
          <w:t>2.1.1258</w:t>
        </w:r>
        <w:r>
          <w:rPr>
            <w:rFonts w:asciiTheme="minorHAnsi" w:eastAsiaTheme="minorEastAsia" w:hAnsiTheme="minorHAnsi" w:cstheme="minorBidi"/>
            <w:noProof/>
            <w:sz w:val="22"/>
            <w:szCs w:val="22"/>
          </w:rPr>
          <w:tab/>
        </w:r>
        <w:r w:rsidRPr="00CC53E5">
          <w:rPr>
            <w:rStyle w:val="Hyperlink"/>
            <w:noProof/>
          </w:rPr>
          <w:t>Part 1 Section 20.1.4.1.22, lt1 (Light 1)</w:t>
        </w:r>
        <w:r>
          <w:rPr>
            <w:noProof/>
            <w:webHidden/>
          </w:rPr>
          <w:tab/>
        </w:r>
        <w:r>
          <w:rPr>
            <w:noProof/>
            <w:webHidden/>
          </w:rPr>
          <w:fldChar w:fldCharType="begin"/>
        </w:r>
        <w:r>
          <w:rPr>
            <w:noProof/>
            <w:webHidden/>
          </w:rPr>
          <w:instrText xml:space="preserve"> PAGEREF _Toc69879041 \h </w:instrText>
        </w:r>
        <w:r>
          <w:rPr>
            <w:noProof/>
            <w:webHidden/>
          </w:rPr>
        </w:r>
        <w:r>
          <w:rPr>
            <w:noProof/>
            <w:webHidden/>
          </w:rPr>
          <w:fldChar w:fldCharType="separate"/>
        </w:r>
        <w:r>
          <w:rPr>
            <w:noProof/>
            <w:webHidden/>
          </w:rPr>
          <w:t>509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42" w:history="1">
        <w:r w:rsidRPr="00CC53E5">
          <w:rPr>
            <w:rStyle w:val="Hyperlink"/>
            <w:noProof/>
          </w:rPr>
          <w:t>2.1.1259</w:t>
        </w:r>
        <w:r>
          <w:rPr>
            <w:rFonts w:asciiTheme="minorHAnsi" w:eastAsiaTheme="minorEastAsia" w:hAnsiTheme="minorHAnsi" w:cstheme="minorBidi"/>
            <w:noProof/>
            <w:sz w:val="22"/>
            <w:szCs w:val="22"/>
          </w:rPr>
          <w:tab/>
        </w:r>
        <w:r w:rsidRPr="00CC53E5">
          <w:rPr>
            <w:rStyle w:val="Hyperlink"/>
            <w:noProof/>
          </w:rPr>
          <w:t>Part 1 Section 20.1.4.1.23, lt2 (Light 2)</w:t>
        </w:r>
        <w:r>
          <w:rPr>
            <w:noProof/>
            <w:webHidden/>
          </w:rPr>
          <w:tab/>
        </w:r>
        <w:r>
          <w:rPr>
            <w:noProof/>
            <w:webHidden/>
          </w:rPr>
          <w:fldChar w:fldCharType="begin"/>
        </w:r>
        <w:r>
          <w:rPr>
            <w:noProof/>
            <w:webHidden/>
          </w:rPr>
          <w:instrText xml:space="preserve"> PAGEREF _Toc69879042 \h </w:instrText>
        </w:r>
        <w:r>
          <w:rPr>
            <w:noProof/>
            <w:webHidden/>
          </w:rPr>
        </w:r>
        <w:r>
          <w:rPr>
            <w:noProof/>
            <w:webHidden/>
          </w:rPr>
          <w:fldChar w:fldCharType="separate"/>
        </w:r>
        <w:r>
          <w:rPr>
            <w:noProof/>
            <w:webHidden/>
          </w:rPr>
          <w:t>509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43" w:history="1">
        <w:r w:rsidRPr="00CC53E5">
          <w:rPr>
            <w:rStyle w:val="Hyperlink"/>
            <w:noProof/>
          </w:rPr>
          <w:t>2.1.1260</w:t>
        </w:r>
        <w:r>
          <w:rPr>
            <w:rFonts w:asciiTheme="minorHAnsi" w:eastAsiaTheme="minorEastAsia" w:hAnsiTheme="minorHAnsi" w:cstheme="minorBidi"/>
            <w:noProof/>
            <w:sz w:val="22"/>
            <w:szCs w:val="22"/>
          </w:rPr>
          <w:tab/>
        </w:r>
        <w:r w:rsidRPr="00CC53E5">
          <w:rPr>
            <w:rStyle w:val="Hyperlink"/>
            <w:noProof/>
          </w:rPr>
          <w:t>Part 1 Section 20.1.4.2.2, band1V (Band 1 Vertical)</w:t>
        </w:r>
        <w:r>
          <w:rPr>
            <w:noProof/>
            <w:webHidden/>
          </w:rPr>
          <w:tab/>
        </w:r>
        <w:r>
          <w:rPr>
            <w:noProof/>
            <w:webHidden/>
          </w:rPr>
          <w:fldChar w:fldCharType="begin"/>
        </w:r>
        <w:r>
          <w:rPr>
            <w:noProof/>
            <w:webHidden/>
          </w:rPr>
          <w:instrText xml:space="preserve"> PAGEREF _Toc69879043 \h </w:instrText>
        </w:r>
        <w:r>
          <w:rPr>
            <w:noProof/>
            <w:webHidden/>
          </w:rPr>
        </w:r>
        <w:r>
          <w:rPr>
            <w:noProof/>
            <w:webHidden/>
          </w:rPr>
          <w:fldChar w:fldCharType="separate"/>
        </w:r>
        <w:r>
          <w:rPr>
            <w:noProof/>
            <w:webHidden/>
          </w:rPr>
          <w:t>509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44" w:history="1">
        <w:r w:rsidRPr="00CC53E5">
          <w:rPr>
            <w:rStyle w:val="Hyperlink"/>
            <w:noProof/>
          </w:rPr>
          <w:t>2.1.1261</w:t>
        </w:r>
        <w:r>
          <w:rPr>
            <w:rFonts w:asciiTheme="minorHAnsi" w:eastAsiaTheme="minorEastAsia" w:hAnsiTheme="minorHAnsi" w:cstheme="minorBidi"/>
            <w:noProof/>
            <w:sz w:val="22"/>
            <w:szCs w:val="22"/>
          </w:rPr>
          <w:tab/>
        </w:r>
        <w:r w:rsidRPr="00CC53E5">
          <w:rPr>
            <w:rStyle w:val="Hyperlink"/>
            <w:noProof/>
          </w:rPr>
          <w:t>Part 1 Section 20.1.4.2.4, band2V (Band 2 Vertical)</w:t>
        </w:r>
        <w:r>
          <w:rPr>
            <w:noProof/>
            <w:webHidden/>
          </w:rPr>
          <w:tab/>
        </w:r>
        <w:r>
          <w:rPr>
            <w:noProof/>
            <w:webHidden/>
          </w:rPr>
          <w:fldChar w:fldCharType="begin"/>
        </w:r>
        <w:r>
          <w:rPr>
            <w:noProof/>
            <w:webHidden/>
          </w:rPr>
          <w:instrText xml:space="preserve"> PAGEREF _Toc69879044 \h </w:instrText>
        </w:r>
        <w:r>
          <w:rPr>
            <w:noProof/>
            <w:webHidden/>
          </w:rPr>
        </w:r>
        <w:r>
          <w:rPr>
            <w:noProof/>
            <w:webHidden/>
          </w:rPr>
          <w:fldChar w:fldCharType="separate"/>
        </w:r>
        <w:r>
          <w:rPr>
            <w:noProof/>
            <w:webHidden/>
          </w:rPr>
          <w:t>509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45" w:history="1">
        <w:r w:rsidRPr="00CC53E5">
          <w:rPr>
            <w:rStyle w:val="Hyperlink"/>
            <w:noProof/>
          </w:rPr>
          <w:t>2.1.1262</w:t>
        </w:r>
        <w:r>
          <w:rPr>
            <w:rFonts w:asciiTheme="minorHAnsi" w:eastAsiaTheme="minorEastAsia" w:hAnsiTheme="minorHAnsi" w:cstheme="minorBidi"/>
            <w:noProof/>
            <w:sz w:val="22"/>
            <w:szCs w:val="22"/>
          </w:rPr>
          <w:tab/>
        </w:r>
        <w:r w:rsidRPr="00CC53E5">
          <w:rPr>
            <w:rStyle w:val="Hyperlink"/>
            <w:noProof/>
          </w:rPr>
          <w:t>Part 1 Section 20.1.4.2.9, fill (Fill)</w:t>
        </w:r>
        <w:r>
          <w:rPr>
            <w:noProof/>
            <w:webHidden/>
          </w:rPr>
          <w:tab/>
        </w:r>
        <w:r>
          <w:rPr>
            <w:noProof/>
            <w:webHidden/>
          </w:rPr>
          <w:fldChar w:fldCharType="begin"/>
        </w:r>
        <w:r>
          <w:rPr>
            <w:noProof/>
            <w:webHidden/>
          </w:rPr>
          <w:instrText xml:space="preserve"> PAGEREF _Toc69879045 \h </w:instrText>
        </w:r>
        <w:r>
          <w:rPr>
            <w:noProof/>
            <w:webHidden/>
          </w:rPr>
        </w:r>
        <w:r>
          <w:rPr>
            <w:noProof/>
            <w:webHidden/>
          </w:rPr>
          <w:fldChar w:fldCharType="separate"/>
        </w:r>
        <w:r>
          <w:rPr>
            <w:noProof/>
            <w:webHidden/>
          </w:rPr>
          <w:t>509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46" w:history="1">
        <w:r w:rsidRPr="00CC53E5">
          <w:rPr>
            <w:rStyle w:val="Hyperlink"/>
            <w:noProof/>
          </w:rPr>
          <w:t>2.1.1263</w:t>
        </w:r>
        <w:r>
          <w:rPr>
            <w:rFonts w:asciiTheme="minorHAnsi" w:eastAsiaTheme="minorEastAsia" w:hAnsiTheme="minorHAnsi" w:cstheme="minorBidi"/>
            <w:noProof/>
            <w:sz w:val="22"/>
            <w:szCs w:val="22"/>
          </w:rPr>
          <w:tab/>
        </w:r>
        <w:r w:rsidRPr="00CC53E5">
          <w:rPr>
            <w:rStyle w:val="Hyperlink"/>
            <w:noProof/>
          </w:rPr>
          <w:t>Part 1 Section 20.1.4.2.19, lnRef (Line Reference)</w:t>
        </w:r>
        <w:r>
          <w:rPr>
            <w:noProof/>
            <w:webHidden/>
          </w:rPr>
          <w:tab/>
        </w:r>
        <w:r>
          <w:rPr>
            <w:noProof/>
            <w:webHidden/>
          </w:rPr>
          <w:fldChar w:fldCharType="begin"/>
        </w:r>
        <w:r>
          <w:rPr>
            <w:noProof/>
            <w:webHidden/>
          </w:rPr>
          <w:instrText xml:space="preserve"> PAGEREF _Toc69879046 \h </w:instrText>
        </w:r>
        <w:r>
          <w:rPr>
            <w:noProof/>
            <w:webHidden/>
          </w:rPr>
        </w:r>
        <w:r>
          <w:rPr>
            <w:noProof/>
            <w:webHidden/>
          </w:rPr>
          <w:fldChar w:fldCharType="separate"/>
        </w:r>
        <w:r>
          <w:rPr>
            <w:noProof/>
            <w:webHidden/>
          </w:rPr>
          <w:t>509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47" w:history="1">
        <w:r w:rsidRPr="00CC53E5">
          <w:rPr>
            <w:rStyle w:val="Hyperlink"/>
            <w:noProof/>
          </w:rPr>
          <w:t>2.1.1264</w:t>
        </w:r>
        <w:r>
          <w:rPr>
            <w:rFonts w:asciiTheme="minorHAnsi" w:eastAsiaTheme="minorEastAsia" w:hAnsiTheme="minorHAnsi" w:cstheme="minorBidi"/>
            <w:noProof/>
            <w:sz w:val="22"/>
            <w:szCs w:val="22"/>
          </w:rPr>
          <w:tab/>
        </w:r>
        <w:r w:rsidRPr="00CC53E5">
          <w:rPr>
            <w:rStyle w:val="Hyperlink"/>
            <w:noProof/>
          </w:rPr>
          <w:t>Part 1 Section 20.1.4.2.26, tblStyle (Table Style)</w:t>
        </w:r>
        <w:r>
          <w:rPr>
            <w:noProof/>
            <w:webHidden/>
          </w:rPr>
          <w:tab/>
        </w:r>
        <w:r>
          <w:rPr>
            <w:noProof/>
            <w:webHidden/>
          </w:rPr>
          <w:fldChar w:fldCharType="begin"/>
        </w:r>
        <w:r>
          <w:rPr>
            <w:noProof/>
            <w:webHidden/>
          </w:rPr>
          <w:instrText xml:space="preserve"> PAGEREF _Toc69879047 \h </w:instrText>
        </w:r>
        <w:r>
          <w:rPr>
            <w:noProof/>
            <w:webHidden/>
          </w:rPr>
        </w:r>
        <w:r>
          <w:rPr>
            <w:noProof/>
            <w:webHidden/>
          </w:rPr>
          <w:fldChar w:fldCharType="separate"/>
        </w:r>
        <w:r>
          <w:rPr>
            <w:noProof/>
            <w:webHidden/>
          </w:rPr>
          <w:t>509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48" w:history="1">
        <w:r w:rsidRPr="00CC53E5">
          <w:rPr>
            <w:rStyle w:val="Hyperlink"/>
            <w:noProof/>
          </w:rPr>
          <w:t>2.1.1265</w:t>
        </w:r>
        <w:r>
          <w:rPr>
            <w:rFonts w:asciiTheme="minorHAnsi" w:eastAsiaTheme="minorEastAsia" w:hAnsiTheme="minorHAnsi" w:cstheme="minorBidi"/>
            <w:noProof/>
            <w:sz w:val="22"/>
            <w:szCs w:val="22"/>
          </w:rPr>
          <w:tab/>
        </w:r>
        <w:r w:rsidRPr="00CC53E5">
          <w:rPr>
            <w:rStyle w:val="Hyperlink"/>
            <w:noProof/>
          </w:rPr>
          <w:t>Part 1 Section 20.1.5.1, anchor (Anchor Point)</w:t>
        </w:r>
        <w:r>
          <w:rPr>
            <w:noProof/>
            <w:webHidden/>
          </w:rPr>
          <w:tab/>
        </w:r>
        <w:r>
          <w:rPr>
            <w:noProof/>
            <w:webHidden/>
          </w:rPr>
          <w:fldChar w:fldCharType="begin"/>
        </w:r>
        <w:r>
          <w:rPr>
            <w:noProof/>
            <w:webHidden/>
          </w:rPr>
          <w:instrText xml:space="preserve"> PAGEREF _Toc69879048 \h </w:instrText>
        </w:r>
        <w:r>
          <w:rPr>
            <w:noProof/>
            <w:webHidden/>
          </w:rPr>
        </w:r>
        <w:r>
          <w:rPr>
            <w:noProof/>
            <w:webHidden/>
          </w:rPr>
          <w:fldChar w:fldCharType="separate"/>
        </w:r>
        <w:r>
          <w:rPr>
            <w:noProof/>
            <w:webHidden/>
          </w:rPr>
          <w:t>510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49" w:history="1">
        <w:r w:rsidRPr="00CC53E5">
          <w:rPr>
            <w:rStyle w:val="Hyperlink"/>
            <w:noProof/>
          </w:rPr>
          <w:t>2.1.1266</w:t>
        </w:r>
        <w:r>
          <w:rPr>
            <w:rFonts w:asciiTheme="minorHAnsi" w:eastAsiaTheme="minorEastAsia" w:hAnsiTheme="minorHAnsi" w:cstheme="minorBidi"/>
            <w:noProof/>
            <w:sz w:val="22"/>
            <w:szCs w:val="22"/>
          </w:rPr>
          <w:tab/>
        </w:r>
        <w:r w:rsidRPr="00CC53E5">
          <w:rPr>
            <w:rStyle w:val="Hyperlink"/>
            <w:noProof/>
          </w:rPr>
          <w:t>Part 1 Section 20.1.5.2, backdrop (Backdrop Plane)</w:t>
        </w:r>
        <w:r>
          <w:rPr>
            <w:noProof/>
            <w:webHidden/>
          </w:rPr>
          <w:tab/>
        </w:r>
        <w:r>
          <w:rPr>
            <w:noProof/>
            <w:webHidden/>
          </w:rPr>
          <w:fldChar w:fldCharType="begin"/>
        </w:r>
        <w:r>
          <w:rPr>
            <w:noProof/>
            <w:webHidden/>
          </w:rPr>
          <w:instrText xml:space="preserve"> PAGEREF _Toc69879049 \h </w:instrText>
        </w:r>
        <w:r>
          <w:rPr>
            <w:noProof/>
            <w:webHidden/>
          </w:rPr>
        </w:r>
        <w:r>
          <w:rPr>
            <w:noProof/>
            <w:webHidden/>
          </w:rPr>
          <w:fldChar w:fldCharType="separate"/>
        </w:r>
        <w:r>
          <w:rPr>
            <w:noProof/>
            <w:webHidden/>
          </w:rPr>
          <w:t>510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50" w:history="1">
        <w:r w:rsidRPr="00CC53E5">
          <w:rPr>
            <w:rStyle w:val="Hyperlink"/>
            <w:noProof/>
          </w:rPr>
          <w:t>2.1.1267</w:t>
        </w:r>
        <w:r>
          <w:rPr>
            <w:rFonts w:asciiTheme="minorHAnsi" w:eastAsiaTheme="minorEastAsia" w:hAnsiTheme="minorHAnsi" w:cstheme="minorBidi"/>
            <w:noProof/>
            <w:sz w:val="22"/>
            <w:szCs w:val="22"/>
          </w:rPr>
          <w:tab/>
        </w:r>
        <w:r w:rsidRPr="00CC53E5">
          <w:rPr>
            <w:rStyle w:val="Hyperlink"/>
            <w:noProof/>
          </w:rPr>
          <w:t>Part 1 Section 20.1.5.3, bevelB (Bottom Bevel)</w:t>
        </w:r>
        <w:r>
          <w:rPr>
            <w:noProof/>
            <w:webHidden/>
          </w:rPr>
          <w:tab/>
        </w:r>
        <w:r>
          <w:rPr>
            <w:noProof/>
            <w:webHidden/>
          </w:rPr>
          <w:fldChar w:fldCharType="begin"/>
        </w:r>
        <w:r>
          <w:rPr>
            <w:noProof/>
            <w:webHidden/>
          </w:rPr>
          <w:instrText xml:space="preserve"> PAGEREF _Toc69879050 \h </w:instrText>
        </w:r>
        <w:r>
          <w:rPr>
            <w:noProof/>
            <w:webHidden/>
          </w:rPr>
        </w:r>
        <w:r>
          <w:rPr>
            <w:noProof/>
            <w:webHidden/>
          </w:rPr>
          <w:fldChar w:fldCharType="separate"/>
        </w:r>
        <w:r>
          <w:rPr>
            <w:noProof/>
            <w:webHidden/>
          </w:rPr>
          <w:t>510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51" w:history="1">
        <w:r w:rsidRPr="00CC53E5">
          <w:rPr>
            <w:rStyle w:val="Hyperlink"/>
            <w:noProof/>
          </w:rPr>
          <w:t>2.1.1268</w:t>
        </w:r>
        <w:r>
          <w:rPr>
            <w:rFonts w:asciiTheme="minorHAnsi" w:eastAsiaTheme="minorEastAsia" w:hAnsiTheme="minorHAnsi" w:cstheme="minorBidi"/>
            <w:noProof/>
            <w:sz w:val="22"/>
            <w:szCs w:val="22"/>
          </w:rPr>
          <w:tab/>
        </w:r>
        <w:r w:rsidRPr="00CC53E5">
          <w:rPr>
            <w:rStyle w:val="Hyperlink"/>
            <w:noProof/>
          </w:rPr>
          <w:t>Part 1 Section 20.1.5.4, bevelT (Top Bevel)</w:t>
        </w:r>
        <w:r>
          <w:rPr>
            <w:noProof/>
            <w:webHidden/>
          </w:rPr>
          <w:tab/>
        </w:r>
        <w:r>
          <w:rPr>
            <w:noProof/>
            <w:webHidden/>
          </w:rPr>
          <w:fldChar w:fldCharType="begin"/>
        </w:r>
        <w:r>
          <w:rPr>
            <w:noProof/>
            <w:webHidden/>
          </w:rPr>
          <w:instrText xml:space="preserve"> PAGEREF _Toc69879051 \h </w:instrText>
        </w:r>
        <w:r>
          <w:rPr>
            <w:noProof/>
            <w:webHidden/>
          </w:rPr>
        </w:r>
        <w:r>
          <w:rPr>
            <w:noProof/>
            <w:webHidden/>
          </w:rPr>
          <w:fldChar w:fldCharType="separate"/>
        </w:r>
        <w:r>
          <w:rPr>
            <w:noProof/>
            <w:webHidden/>
          </w:rPr>
          <w:t>510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52" w:history="1">
        <w:r w:rsidRPr="00CC53E5">
          <w:rPr>
            <w:rStyle w:val="Hyperlink"/>
            <w:noProof/>
          </w:rPr>
          <w:t>2.1.1269</w:t>
        </w:r>
        <w:r>
          <w:rPr>
            <w:rFonts w:asciiTheme="minorHAnsi" w:eastAsiaTheme="minorEastAsia" w:hAnsiTheme="minorHAnsi" w:cstheme="minorBidi"/>
            <w:noProof/>
            <w:sz w:val="22"/>
            <w:szCs w:val="22"/>
          </w:rPr>
          <w:tab/>
        </w:r>
        <w:r w:rsidRPr="00CC53E5">
          <w:rPr>
            <w:rStyle w:val="Hyperlink"/>
            <w:noProof/>
          </w:rPr>
          <w:t>Part 1 Section 20.1.5.5, camera (Camera)</w:t>
        </w:r>
        <w:r>
          <w:rPr>
            <w:noProof/>
            <w:webHidden/>
          </w:rPr>
          <w:tab/>
        </w:r>
        <w:r>
          <w:rPr>
            <w:noProof/>
            <w:webHidden/>
          </w:rPr>
          <w:fldChar w:fldCharType="begin"/>
        </w:r>
        <w:r>
          <w:rPr>
            <w:noProof/>
            <w:webHidden/>
          </w:rPr>
          <w:instrText xml:space="preserve"> PAGEREF _Toc69879052 \h </w:instrText>
        </w:r>
        <w:r>
          <w:rPr>
            <w:noProof/>
            <w:webHidden/>
          </w:rPr>
        </w:r>
        <w:r>
          <w:rPr>
            <w:noProof/>
            <w:webHidden/>
          </w:rPr>
          <w:fldChar w:fldCharType="separate"/>
        </w:r>
        <w:r>
          <w:rPr>
            <w:noProof/>
            <w:webHidden/>
          </w:rPr>
          <w:t>510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53" w:history="1">
        <w:r w:rsidRPr="00CC53E5">
          <w:rPr>
            <w:rStyle w:val="Hyperlink"/>
            <w:noProof/>
          </w:rPr>
          <w:t>2.1.1270</w:t>
        </w:r>
        <w:r>
          <w:rPr>
            <w:rFonts w:asciiTheme="minorHAnsi" w:eastAsiaTheme="minorEastAsia" w:hAnsiTheme="minorHAnsi" w:cstheme="minorBidi"/>
            <w:noProof/>
            <w:sz w:val="22"/>
            <w:szCs w:val="22"/>
          </w:rPr>
          <w:tab/>
        </w:r>
        <w:r w:rsidRPr="00CC53E5">
          <w:rPr>
            <w:rStyle w:val="Hyperlink"/>
            <w:noProof/>
          </w:rPr>
          <w:t>Part 1 Section 20.1.5.6, contourClr (Contour Color)</w:t>
        </w:r>
        <w:r>
          <w:rPr>
            <w:noProof/>
            <w:webHidden/>
          </w:rPr>
          <w:tab/>
        </w:r>
        <w:r>
          <w:rPr>
            <w:noProof/>
            <w:webHidden/>
          </w:rPr>
          <w:fldChar w:fldCharType="begin"/>
        </w:r>
        <w:r>
          <w:rPr>
            <w:noProof/>
            <w:webHidden/>
          </w:rPr>
          <w:instrText xml:space="preserve"> PAGEREF _Toc69879053 \h </w:instrText>
        </w:r>
        <w:r>
          <w:rPr>
            <w:noProof/>
            <w:webHidden/>
          </w:rPr>
        </w:r>
        <w:r>
          <w:rPr>
            <w:noProof/>
            <w:webHidden/>
          </w:rPr>
          <w:fldChar w:fldCharType="separate"/>
        </w:r>
        <w:r>
          <w:rPr>
            <w:noProof/>
            <w:webHidden/>
          </w:rPr>
          <w:t>510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54" w:history="1">
        <w:r w:rsidRPr="00CC53E5">
          <w:rPr>
            <w:rStyle w:val="Hyperlink"/>
            <w:noProof/>
          </w:rPr>
          <w:t>2.1.1271</w:t>
        </w:r>
        <w:r>
          <w:rPr>
            <w:rFonts w:asciiTheme="minorHAnsi" w:eastAsiaTheme="minorEastAsia" w:hAnsiTheme="minorHAnsi" w:cstheme="minorBidi"/>
            <w:noProof/>
            <w:sz w:val="22"/>
            <w:szCs w:val="22"/>
          </w:rPr>
          <w:tab/>
        </w:r>
        <w:r w:rsidRPr="00CC53E5">
          <w:rPr>
            <w:rStyle w:val="Hyperlink"/>
            <w:noProof/>
          </w:rPr>
          <w:t>Part 1 Section 20.1.5.7, extrusionClr (Extrusion Color)</w:t>
        </w:r>
        <w:r>
          <w:rPr>
            <w:noProof/>
            <w:webHidden/>
          </w:rPr>
          <w:tab/>
        </w:r>
        <w:r>
          <w:rPr>
            <w:noProof/>
            <w:webHidden/>
          </w:rPr>
          <w:fldChar w:fldCharType="begin"/>
        </w:r>
        <w:r>
          <w:rPr>
            <w:noProof/>
            <w:webHidden/>
          </w:rPr>
          <w:instrText xml:space="preserve"> PAGEREF _Toc69879054 \h </w:instrText>
        </w:r>
        <w:r>
          <w:rPr>
            <w:noProof/>
            <w:webHidden/>
          </w:rPr>
        </w:r>
        <w:r>
          <w:rPr>
            <w:noProof/>
            <w:webHidden/>
          </w:rPr>
          <w:fldChar w:fldCharType="separate"/>
        </w:r>
        <w:r>
          <w:rPr>
            <w:noProof/>
            <w:webHidden/>
          </w:rPr>
          <w:t>510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55" w:history="1">
        <w:r w:rsidRPr="00CC53E5">
          <w:rPr>
            <w:rStyle w:val="Hyperlink"/>
            <w:noProof/>
          </w:rPr>
          <w:t>2.1.1272</w:t>
        </w:r>
        <w:r>
          <w:rPr>
            <w:rFonts w:asciiTheme="minorHAnsi" w:eastAsiaTheme="minorEastAsia" w:hAnsiTheme="minorHAnsi" w:cstheme="minorBidi"/>
            <w:noProof/>
            <w:sz w:val="22"/>
            <w:szCs w:val="22"/>
          </w:rPr>
          <w:tab/>
        </w:r>
        <w:r w:rsidRPr="00CC53E5">
          <w:rPr>
            <w:rStyle w:val="Hyperlink"/>
            <w:noProof/>
          </w:rPr>
          <w:t>Part 1 Section 20.1.5.8, flatTx (No text in 3D scene)</w:t>
        </w:r>
        <w:r>
          <w:rPr>
            <w:noProof/>
            <w:webHidden/>
          </w:rPr>
          <w:tab/>
        </w:r>
        <w:r>
          <w:rPr>
            <w:noProof/>
            <w:webHidden/>
          </w:rPr>
          <w:fldChar w:fldCharType="begin"/>
        </w:r>
        <w:r>
          <w:rPr>
            <w:noProof/>
            <w:webHidden/>
          </w:rPr>
          <w:instrText xml:space="preserve"> PAGEREF _Toc69879055 \h </w:instrText>
        </w:r>
        <w:r>
          <w:rPr>
            <w:noProof/>
            <w:webHidden/>
          </w:rPr>
        </w:r>
        <w:r>
          <w:rPr>
            <w:noProof/>
            <w:webHidden/>
          </w:rPr>
          <w:fldChar w:fldCharType="separate"/>
        </w:r>
        <w:r>
          <w:rPr>
            <w:noProof/>
            <w:webHidden/>
          </w:rPr>
          <w:t>511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56" w:history="1">
        <w:r w:rsidRPr="00CC53E5">
          <w:rPr>
            <w:rStyle w:val="Hyperlink"/>
            <w:noProof/>
          </w:rPr>
          <w:t>2.1.1273</w:t>
        </w:r>
        <w:r>
          <w:rPr>
            <w:rFonts w:asciiTheme="minorHAnsi" w:eastAsiaTheme="minorEastAsia" w:hAnsiTheme="minorHAnsi" w:cstheme="minorBidi"/>
            <w:noProof/>
            <w:sz w:val="22"/>
            <w:szCs w:val="22"/>
          </w:rPr>
          <w:tab/>
        </w:r>
        <w:r w:rsidRPr="00CC53E5">
          <w:rPr>
            <w:rStyle w:val="Hyperlink"/>
            <w:noProof/>
          </w:rPr>
          <w:t>Part 1 Section 20.1.5.9, lightRig (Light Rig)</w:t>
        </w:r>
        <w:r>
          <w:rPr>
            <w:noProof/>
            <w:webHidden/>
          </w:rPr>
          <w:tab/>
        </w:r>
        <w:r>
          <w:rPr>
            <w:noProof/>
            <w:webHidden/>
          </w:rPr>
          <w:fldChar w:fldCharType="begin"/>
        </w:r>
        <w:r>
          <w:rPr>
            <w:noProof/>
            <w:webHidden/>
          </w:rPr>
          <w:instrText xml:space="preserve"> PAGEREF _Toc69879056 \h </w:instrText>
        </w:r>
        <w:r>
          <w:rPr>
            <w:noProof/>
            <w:webHidden/>
          </w:rPr>
        </w:r>
        <w:r>
          <w:rPr>
            <w:noProof/>
            <w:webHidden/>
          </w:rPr>
          <w:fldChar w:fldCharType="separate"/>
        </w:r>
        <w:r>
          <w:rPr>
            <w:noProof/>
            <w:webHidden/>
          </w:rPr>
          <w:t>511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57" w:history="1">
        <w:r w:rsidRPr="00CC53E5">
          <w:rPr>
            <w:rStyle w:val="Hyperlink"/>
            <w:noProof/>
          </w:rPr>
          <w:t>2.1.1274</w:t>
        </w:r>
        <w:r>
          <w:rPr>
            <w:rFonts w:asciiTheme="minorHAnsi" w:eastAsiaTheme="minorEastAsia" w:hAnsiTheme="minorHAnsi" w:cstheme="minorBidi"/>
            <w:noProof/>
            <w:sz w:val="22"/>
            <w:szCs w:val="22"/>
          </w:rPr>
          <w:tab/>
        </w:r>
        <w:r w:rsidRPr="00CC53E5">
          <w:rPr>
            <w:rStyle w:val="Hyperlink"/>
            <w:noProof/>
          </w:rPr>
          <w:t>Part 1 Section 20.1.5.10, norm (Normal)</w:t>
        </w:r>
        <w:r>
          <w:rPr>
            <w:noProof/>
            <w:webHidden/>
          </w:rPr>
          <w:tab/>
        </w:r>
        <w:r>
          <w:rPr>
            <w:noProof/>
            <w:webHidden/>
          </w:rPr>
          <w:fldChar w:fldCharType="begin"/>
        </w:r>
        <w:r>
          <w:rPr>
            <w:noProof/>
            <w:webHidden/>
          </w:rPr>
          <w:instrText xml:space="preserve"> PAGEREF _Toc69879057 \h </w:instrText>
        </w:r>
        <w:r>
          <w:rPr>
            <w:noProof/>
            <w:webHidden/>
          </w:rPr>
        </w:r>
        <w:r>
          <w:rPr>
            <w:noProof/>
            <w:webHidden/>
          </w:rPr>
          <w:fldChar w:fldCharType="separate"/>
        </w:r>
        <w:r>
          <w:rPr>
            <w:noProof/>
            <w:webHidden/>
          </w:rPr>
          <w:t>511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58" w:history="1">
        <w:r w:rsidRPr="00CC53E5">
          <w:rPr>
            <w:rStyle w:val="Hyperlink"/>
            <w:noProof/>
          </w:rPr>
          <w:t>2.1.1275</w:t>
        </w:r>
        <w:r>
          <w:rPr>
            <w:rFonts w:asciiTheme="minorHAnsi" w:eastAsiaTheme="minorEastAsia" w:hAnsiTheme="minorHAnsi" w:cstheme="minorBidi"/>
            <w:noProof/>
            <w:sz w:val="22"/>
            <w:szCs w:val="22"/>
          </w:rPr>
          <w:tab/>
        </w:r>
        <w:r w:rsidRPr="00CC53E5">
          <w:rPr>
            <w:rStyle w:val="Hyperlink"/>
            <w:noProof/>
          </w:rPr>
          <w:t>Part 1 Section 20.1.5.12, sp3d (Apply 3D shape properties)</w:t>
        </w:r>
        <w:r>
          <w:rPr>
            <w:noProof/>
            <w:webHidden/>
          </w:rPr>
          <w:tab/>
        </w:r>
        <w:r>
          <w:rPr>
            <w:noProof/>
            <w:webHidden/>
          </w:rPr>
          <w:fldChar w:fldCharType="begin"/>
        </w:r>
        <w:r>
          <w:rPr>
            <w:noProof/>
            <w:webHidden/>
          </w:rPr>
          <w:instrText xml:space="preserve"> PAGEREF _Toc69879058 \h </w:instrText>
        </w:r>
        <w:r>
          <w:rPr>
            <w:noProof/>
            <w:webHidden/>
          </w:rPr>
        </w:r>
        <w:r>
          <w:rPr>
            <w:noProof/>
            <w:webHidden/>
          </w:rPr>
          <w:fldChar w:fldCharType="separate"/>
        </w:r>
        <w:r>
          <w:rPr>
            <w:noProof/>
            <w:webHidden/>
          </w:rPr>
          <w:t>511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59" w:history="1">
        <w:r w:rsidRPr="00CC53E5">
          <w:rPr>
            <w:rStyle w:val="Hyperlink"/>
            <w:noProof/>
          </w:rPr>
          <w:t>2.1.1276</w:t>
        </w:r>
        <w:r>
          <w:rPr>
            <w:rFonts w:asciiTheme="minorHAnsi" w:eastAsiaTheme="minorEastAsia" w:hAnsiTheme="minorHAnsi" w:cstheme="minorBidi"/>
            <w:noProof/>
            <w:sz w:val="22"/>
            <w:szCs w:val="22"/>
          </w:rPr>
          <w:tab/>
        </w:r>
        <w:r w:rsidRPr="00CC53E5">
          <w:rPr>
            <w:rStyle w:val="Hyperlink"/>
            <w:noProof/>
          </w:rPr>
          <w:t>Part 1 Section 20.1.5.13, up (Up Vector)</w:t>
        </w:r>
        <w:r>
          <w:rPr>
            <w:noProof/>
            <w:webHidden/>
          </w:rPr>
          <w:tab/>
        </w:r>
        <w:r>
          <w:rPr>
            <w:noProof/>
            <w:webHidden/>
          </w:rPr>
          <w:fldChar w:fldCharType="begin"/>
        </w:r>
        <w:r>
          <w:rPr>
            <w:noProof/>
            <w:webHidden/>
          </w:rPr>
          <w:instrText xml:space="preserve"> PAGEREF _Toc69879059 \h </w:instrText>
        </w:r>
        <w:r>
          <w:rPr>
            <w:noProof/>
            <w:webHidden/>
          </w:rPr>
        </w:r>
        <w:r>
          <w:rPr>
            <w:noProof/>
            <w:webHidden/>
          </w:rPr>
          <w:fldChar w:fldCharType="separate"/>
        </w:r>
        <w:r>
          <w:rPr>
            <w:noProof/>
            <w:webHidden/>
          </w:rPr>
          <w:t>511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60" w:history="1">
        <w:r w:rsidRPr="00CC53E5">
          <w:rPr>
            <w:rStyle w:val="Hyperlink"/>
            <w:noProof/>
          </w:rPr>
          <w:t>2.1.1277</w:t>
        </w:r>
        <w:r>
          <w:rPr>
            <w:rFonts w:asciiTheme="minorHAnsi" w:eastAsiaTheme="minorEastAsia" w:hAnsiTheme="minorHAnsi" w:cstheme="minorBidi"/>
            <w:noProof/>
            <w:sz w:val="22"/>
            <w:szCs w:val="22"/>
          </w:rPr>
          <w:tab/>
        </w:r>
        <w:r w:rsidRPr="00CC53E5">
          <w:rPr>
            <w:rStyle w:val="Hyperlink"/>
            <w:noProof/>
          </w:rPr>
          <w:t>Part 1 Section 20.1.7.1, chExt (Child Extents)</w:t>
        </w:r>
        <w:r>
          <w:rPr>
            <w:noProof/>
            <w:webHidden/>
          </w:rPr>
          <w:tab/>
        </w:r>
        <w:r>
          <w:rPr>
            <w:noProof/>
            <w:webHidden/>
          </w:rPr>
          <w:fldChar w:fldCharType="begin"/>
        </w:r>
        <w:r>
          <w:rPr>
            <w:noProof/>
            <w:webHidden/>
          </w:rPr>
          <w:instrText xml:space="preserve"> PAGEREF _Toc69879060 \h </w:instrText>
        </w:r>
        <w:r>
          <w:rPr>
            <w:noProof/>
            <w:webHidden/>
          </w:rPr>
        </w:r>
        <w:r>
          <w:rPr>
            <w:noProof/>
            <w:webHidden/>
          </w:rPr>
          <w:fldChar w:fldCharType="separate"/>
        </w:r>
        <w:r>
          <w:rPr>
            <w:noProof/>
            <w:webHidden/>
          </w:rPr>
          <w:t>511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61" w:history="1">
        <w:r w:rsidRPr="00CC53E5">
          <w:rPr>
            <w:rStyle w:val="Hyperlink"/>
            <w:noProof/>
          </w:rPr>
          <w:t>2.1.1278</w:t>
        </w:r>
        <w:r>
          <w:rPr>
            <w:rFonts w:asciiTheme="minorHAnsi" w:eastAsiaTheme="minorEastAsia" w:hAnsiTheme="minorHAnsi" w:cstheme="minorBidi"/>
            <w:noProof/>
            <w:sz w:val="22"/>
            <w:szCs w:val="22"/>
          </w:rPr>
          <w:tab/>
        </w:r>
        <w:r w:rsidRPr="00CC53E5">
          <w:rPr>
            <w:rStyle w:val="Hyperlink"/>
            <w:noProof/>
          </w:rPr>
          <w:t>Part 1 Section 20.1.7.2, chOff (Child Offset)</w:t>
        </w:r>
        <w:r>
          <w:rPr>
            <w:noProof/>
            <w:webHidden/>
          </w:rPr>
          <w:tab/>
        </w:r>
        <w:r>
          <w:rPr>
            <w:noProof/>
            <w:webHidden/>
          </w:rPr>
          <w:fldChar w:fldCharType="begin"/>
        </w:r>
        <w:r>
          <w:rPr>
            <w:noProof/>
            <w:webHidden/>
          </w:rPr>
          <w:instrText xml:space="preserve"> PAGEREF _Toc69879061 \h </w:instrText>
        </w:r>
        <w:r>
          <w:rPr>
            <w:noProof/>
            <w:webHidden/>
          </w:rPr>
        </w:r>
        <w:r>
          <w:rPr>
            <w:noProof/>
            <w:webHidden/>
          </w:rPr>
          <w:fldChar w:fldCharType="separate"/>
        </w:r>
        <w:r>
          <w:rPr>
            <w:noProof/>
            <w:webHidden/>
          </w:rPr>
          <w:t>512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62" w:history="1">
        <w:r w:rsidRPr="00CC53E5">
          <w:rPr>
            <w:rStyle w:val="Hyperlink"/>
            <w:noProof/>
          </w:rPr>
          <w:t>2.1.1279</w:t>
        </w:r>
        <w:r>
          <w:rPr>
            <w:rFonts w:asciiTheme="minorHAnsi" w:eastAsiaTheme="minorEastAsia" w:hAnsiTheme="minorHAnsi" w:cstheme="minorBidi"/>
            <w:noProof/>
            <w:sz w:val="22"/>
            <w:szCs w:val="22"/>
          </w:rPr>
          <w:tab/>
        </w:r>
        <w:r w:rsidRPr="00CC53E5">
          <w:rPr>
            <w:rStyle w:val="Hyperlink"/>
            <w:noProof/>
          </w:rPr>
          <w:t>Part 1 Section 20.1.7.3, ext (Extents)</w:t>
        </w:r>
        <w:r>
          <w:rPr>
            <w:noProof/>
            <w:webHidden/>
          </w:rPr>
          <w:tab/>
        </w:r>
        <w:r>
          <w:rPr>
            <w:noProof/>
            <w:webHidden/>
          </w:rPr>
          <w:fldChar w:fldCharType="begin"/>
        </w:r>
        <w:r>
          <w:rPr>
            <w:noProof/>
            <w:webHidden/>
          </w:rPr>
          <w:instrText xml:space="preserve"> PAGEREF _Toc69879062 \h </w:instrText>
        </w:r>
        <w:r>
          <w:rPr>
            <w:noProof/>
            <w:webHidden/>
          </w:rPr>
        </w:r>
        <w:r>
          <w:rPr>
            <w:noProof/>
            <w:webHidden/>
          </w:rPr>
          <w:fldChar w:fldCharType="separate"/>
        </w:r>
        <w:r>
          <w:rPr>
            <w:noProof/>
            <w:webHidden/>
          </w:rPr>
          <w:t>512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63" w:history="1">
        <w:r w:rsidRPr="00CC53E5">
          <w:rPr>
            <w:rStyle w:val="Hyperlink"/>
            <w:noProof/>
          </w:rPr>
          <w:t>2.1.1280</w:t>
        </w:r>
        <w:r>
          <w:rPr>
            <w:rFonts w:asciiTheme="minorHAnsi" w:eastAsiaTheme="minorEastAsia" w:hAnsiTheme="minorHAnsi" w:cstheme="minorBidi"/>
            <w:noProof/>
            <w:sz w:val="22"/>
            <w:szCs w:val="22"/>
          </w:rPr>
          <w:tab/>
        </w:r>
        <w:r w:rsidRPr="00CC53E5">
          <w:rPr>
            <w:rStyle w:val="Hyperlink"/>
            <w:noProof/>
          </w:rPr>
          <w:t>Part 1 Section 20.1.7.4, off (Offset)</w:t>
        </w:r>
        <w:r>
          <w:rPr>
            <w:noProof/>
            <w:webHidden/>
          </w:rPr>
          <w:tab/>
        </w:r>
        <w:r>
          <w:rPr>
            <w:noProof/>
            <w:webHidden/>
          </w:rPr>
          <w:fldChar w:fldCharType="begin"/>
        </w:r>
        <w:r>
          <w:rPr>
            <w:noProof/>
            <w:webHidden/>
          </w:rPr>
          <w:instrText xml:space="preserve"> PAGEREF _Toc69879063 \h </w:instrText>
        </w:r>
        <w:r>
          <w:rPr>
            <w:noProof/>
            <w:webHidden/>
          </w:rPr>
        </w:r>
        <w:r>
          <w:rPr>
            <w:noProof/>
            <w:webHidden/>
          </w:rPr>
          <w:fldChar w:fldCharType="separate"/>
        </w:r>
        <w:r>
          <w:rPr>
            <w:noProof/>
            <w:webHidden/>
          </w:rPr>
          <w:t>512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64" w:history="1">
        <w:r w:rsidRPr="00CC53E5">
          <w:rPr>
            <w:rStyle w:val="Hyperlink"/>
            <w:noProof/>
          </w:rPr>
          <w:t>2.1.1281</w:t>
        </w:r>
        <w:r>
          <w:rPr>
            <w:rFonts w:asciiTheme="minorHAnsi" w:eastAsiaTheme="minorEastAsia" w:hAnsiTheme="minorHAnsi" w:cstheme="minorBidi"/>
            <w:noProof/>
            <w:sz w:val="22"/>
            <w:szCs w:val="22"/>
          </w:rPr>
          <w:tab/>
        </w:r>
        <w:r w:rsidRPr="00CC53E5">
          <w:rPr>
            <w:rStyle w:val="Hyperlink"/>
            <w:noProof/>
          </w:rPr>
          <w:t>Part 1 Section 20.1.7.5, xfrm (2D Transform for Grouped Objects)</w:t>
        </w:r>
        <w:r>
          <w:rPr>
            <w:noProof/>
            <w:webHidden/>
          </w:rPr>
          <w:tab/>
        </w:r>
        <w:r>
          <w:rPr>
            <w:noProof/>
            <w:webHidden/>
          </w:rPr>
          <w:fldChar w:fldCharType="begin"/>
        </w:r>
        <w:r>
          <w:rPr>
            <w:noProof/>
            <w:webHidden/>
          </w:rPr>
          <w:instrText xml:space="preserve"> PAGEREF _Toc69879064 \h </w:instrText>
        </w:r>
        <w:r>
          <w:rPr>
            <w:noProof/>
            <w:webHidden/>
          </w:rPr>
        </w:r>
        <w:r>
          <w:rPr>
            <w:noProof/>
            <w:webHidden/>
          </w:rPr>
          <w:fldChar w:fldCharType="separate"/>
        </w:r>
        <w:r>
          <w:rPr>
            <w:noProof/>
            <w:webHidden/>
          </w:rPr>
          <w:t>512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65" w:history="1">
        <w:r w:rsidRPr="00CC53E5">
          <w:rPr>
            <w:rStyle w:val="Hyperlink"/>
            <w:noProof/>
          </w:rPr>
          <w:t>2.1.1282</w:t>
        </w:r>
        <w:r>
          <w:rPr>
            <w:rFonts w:asciiTheme="minorHAnsi" w:eastAsiaTheme="minorEastAsia" w:hAnsiTheme="minorHAnsi" w:cstheme="minorBidi"/>
            <w:noProof/>
            <w:sz w:val="22"/>
            <w:szCs w:val="22"/>
          </w:rPr>
          <w:tab/>
        </w:r>
        <w:r w:rsidRPr="00CC53E5">
          <w:rPr>
            <w:rStyle w:val="Hyperlink"/>
            <w:noProof/>
          </w:rPr>
          <w:t>Part 1 Section 20.1.7.6, xfrm (2D Transform for Individual Objects)</w:t>
        </w:r>
        <w:r>
          <w:rPr>
            <w:noProof/>
            <w:webHidden/>
          </w:rPr>
          <w:tab/>
        </w:r>
        <w:r>
          <w:rPr>
            <w:noProof/>
            <w:webHidden/>
          </w:rPr>
          <w:fldChar w:fldCharType="begin"/>
        </w:r>
        <w:r>
          <w:rPr>
            <w:noProof/>
            <w:webHidden/>
          </w:rPr>
          <w:instrText xml:space="preserve"> PAGEREF _Toc69879065 \h </w:instrText>
        </w:r>
        <w:r>
          <w:rPr>
            <w:noProof/>
            <w:webHidden/>
          </w:rPr>
        </w:r>
        <w:r>
          <w:rPr>
            <w:noProof/>
            <w:webHidden/>
          </w:rPr>
          <w:fldChar w:fldCharType="separate"/>
        </w:r>
        <w:r>
          <w:rPr>
            <w:noProof/>
            <w:webHidden/>
          </w:rPr>
          <w:t>512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66" w:history="1">
        <w:r w:rsidRPr="00CC53E5">
          <w:rPr>
            <w:rStyle w:val="Hyperlink"/>
            <w:noProof/>
          </w:rPr>
          <w:t>2.1.1283</w:t>
        </w:r>
        <w:r>
          <w:rPr>
            <w:rFonts w:asciiTheme="minorHAnsi" w:eastAsiaTheme="minorEastAsia" w:hAnsiTheme="minorHAnsi" w:cstheme="minorBidi"/>
            <w:noProof/>
            <w:sz w:val="22"/>
            <w:szCs w:val="22"/>
          </w:rPr>
          <w:tab/>
        </w:r>
        <w:r w:rsidRPr="00CC53E5">
          <w:rPr>
            <w:rStyle w:val="Hyperlink"/>
            <w:noProof/>
          </w:rPr>
          <w:t>Part 1 Section 20.1.8, Shape, Fills, Effects and Line Properties</w:t>
        </w:r>
        <w:r>
          <w:rPr>
            <w:noProof/>
            <w:webHidden/>
          </w:rPr>
          <w:tab/>
        </w:r>
        <w:r>
          <w:rPr>
            <w:noProof/>
            <w:webHidden/>
          </w:rPr>
          <w:fldChar w:fldCharType="begin"/>
        </w:r>
        <w:r>
          <w:rPr>
            <w:noProof/>
            <w:webHidden/>
          </w:rPr>
          <w:instrText xml:space="preserve"> PAGEREF _Toc69879066 \h </w:instrText>
        </w:r>
        <w:r>
          <w:rPr>
            <w:noProof/>
            <w:webHidden/>
          </w:rPr>
        </w:r>
        <w:r>
          <w:rPr>
            <w:noProof/>
            <w:webHidden/>
          </w:rPr>
          <w:fldChar w:fldCharType="separate"/>
        </w:r>
        <w:r>
          <w:rPr>
            <w:noProof/>
            <w:webHidden/>
          </w:rPr>
          <w:t>513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67" w:history="1">
        <w:r w:rsidRPr="00CC53E5">
          <w:rPr>
            <w:rStyle w:val="Hyperlink"/>
            <w:noProof/>
          </w:rPr>
          <w:t>2.1.1284</w:t>
        </w:r>
        <w:r>
          <w:rPr>
            <w:rFonts w:asciiTheme="minorHAnsi" w:eastAsiaTheme="minorEastAsia" w:hAnsiTheme="minorHAnsi" w:cstheme="minorBidi"/>
            <w:noProof/>
            <w:sz w:val="22"/>
            <w:szCs w:val="22"/>
          </w:rPr>
          <w:tab/>
        </w:r>
        <w:r w:rsidRPr="00CC53E5">
          <w:rPr>
            <w:rStyle w:val="Hyperlink"/>
            <w:noProof/>
          </w:rPr>
          <w:t>Part 1 Section 20.1.8.4, alphaInv (Alpha Inverse Effect)</w:t>
        </w:r>
        <w:r>
          <w:rPr>
            <w:noProof/>
            <w:webHidden/>
          </w:rPr>
          <w:tab/>
        </w:r>
        <w:r>
          <w:rPr>
            <w:noProof/>
            <w:webHidden/>
          </w:rPr>
          <w:fldChar w:fldCharType="begin"/>
        </w:r>
        <w:r>
          <w:rPr>
            <w:noProof/>
            <w:webHidden/>
          </w:rPr>
          <w:instrText xml:space="preserve"> PAGEREF _Toc69879067 \h </w:instrText>
        </w:r>
        <w:r>
          <w:rPr>
            <w:noProof/>
            <w:webHidden/>
          </w:rPr>
        </w:r>
        <w:r>
          <w:rPr>
            <w:noProof/>
            <w:webHidden/>
          </w:rPr>
          <w:fldChar w:fldCharType="separate"/>
        </w:r>
        <w:r>
          <w:rPr>
            <w:noProof/>
            <w:webHidden/>
          </w:rPr>
          <w:t>514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68" w:history="1">
        <w:r w:rsidRPr="00CC53E5">
          <w:rPr>
            <w:rStyle w:val="Hyperlink"/>
            <w:noProof/>
          </w:rPr>
          <w:t>2.1.1285</w:t>
        </w:r>
        <w:r>
          <w:rPr>
            <w:rFonts w:asciiTheme="minorHAnsi" w:eastAsiaTheme="minorEastAsia" w:hAnsiTheme="minorHAnsi" w:cstheme="minorBidi"/>
            <w:noProof/>
            <w:sz w:val="22"/>
            <w:szCs w:val="22"/>
          </w:rPr>
          <w:tab/>
        </w:r>
        <w:r w:rsidRPr="00CC53E5">
          <w:rPr>
            <w:rStyle w:val="Hyperlink"/>
            <w:noProof/>
          </w:rPr>
          <w:t>Part 1 Section 20.1.8.5, alphaMod (Alpha Modulate Effect)</w:t>
        </w:r>
        <w:r>
          <w:rPr>
            <w:noProof/>
            <w:webHidden/>
          </w:rPr>
          <w:tab/>
        </w:r>
        <w:r>
          <w:rPr>
            <w:noProof/>
            <w:webHidden/>
          </w:rPr>
          <w:fldChar w:fldCharType="begin"/>
        </w:r>
        <w:r>
          <w:rPr>
            <w:noProof/>
            <w:webHidden/>
          </w:rPr>
          <w:instrText xml:space="preserve"> PAGEREF _Toc69879068 \h </w:instrText>
        </w:r>
        <w:r>
          <w:rPr>
            <w:noProof/>
            <w:webHidden/>
          </w:rPr>
        </w:r>
        <w:r>
          <w:rPr>
            <w:noProof/>
            <w:webHidden/>
          </w:rPr>
          <w:fldChar w:fldCharType="separate"/>
        </w:r>
        <w:r>
          <w:rPr>
            <w:noProof/>
            <w:webHidden/>
          </w:rPr>
          <w:t>514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69" w:history="1">
        <w:r w:rsidRPr="00CC53E5">
          <w:rPr>
            <w:rStyle w:val="Hyperlink"/>
            <w:noProof/>
          </w:rPr>
          <w:t>2.1.1286</w:t>
        </w:r>
        <w:r>
          <w:rPr>
            <w:rFonts w:asciiTheme="minorHAnsi" w:eastAsiaTheme="minorEastAsia" w:hAnsiTheme="minorHAnsi" w:cstheme="minorBidi"/>
            <w:noProof/>
            <w:sz w:val="22"/>
            <w:szCs w:val="22"/>
          </w:rPr>
          <w:tab/>
        </w:r>
        <w:r w:rsidRPr="00CC53E5">
          <w:rPr>
            <w:rStyle w:val="Hyperlink"/>
            <w:noProof/>
          </w:rPr>
          <w:t>Part 1 Section 20.1.8.6, alphaModFix (Alpha Modulate Fixed Effect)</w:t>
        </w:r>
        <w:r>
          <w:rPr>
            <w:noProof/>
            <w:webHidden/>
          </w:rPr>
          <w:tab/>
        </w:r>
        <w:r>
          <w:rPr>
            <w:noProof/>
            <w:webHidden/>
          </w:rPr>
          <w:fldChar w:fldCharType="begin"/>
        </w:r>
        <w:r>
          <w:rPr>
            <w:noProof/>
            <w:webHidden/>
          </w:rPr>
          <w:instrText xml:space="preserve"> PAGEREF _Toc69879069 \h </w:instrText>
        </w:r>
        <w:r>
          <w:rPr>
            <w:noProof/>
            <w:webHidden/>
          </w:rPr>
        </w:r>
        <w:r>
          <w:rPr>
            <w:noProof/>
            <w:webHidden/>
          </w:rPr>
          <w:fldChar w:fldCharType="separate"/>
        </w:r>
        <w:r>
          <w:rPr>
            <w:noProof/>
            <w:webHidden/>
          </w:rPr>
          <w:t>514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70" w:history="1">
        <w:r w:rsidRPr="00CC53E5">
          <w:rPr>
            <w:rStyle w:val="Hyperlink"/>
            <w:noProof/>
          </w:rPr>
          <w:t>2.1.1287</w:t>
        </w:r>
        <w:r>
          <w:rPr>
            <w:rFonts w:asciiTheme="minorHAnsi" w:eastAsiaTheme="minorEastAsia" w:hAnsiTheme="minorHAnsi" w:cstheme="minorBidi"/>
            <w:noProof/>
            <w:sz w:val="22"/>
            <w:szCs w:val="22"/>
          </w:rPr>
          <w:tab/>
        </w:r>
        <w:r w:rsidRPr="00CC53E5">
          <w:rPr>
            <w:rStyle w:val="Hyperlink"/>
            <w:noProof/>
          </w:rPr>
          <w:t>Part 1 Section 20.1.8.14, blipFill (Picture Fill)</w:t>
        </w:r>
        <w:r>
          <w:rPr>
            <w:noProof/>
            <w:webHidden/>
          </w:rPr>
          <w:tab/>
        </w:r>
        <w:r>
          <w:rPr>
            <w:noProof/>
            <w:webHidden/>
          </w:rPr>
          <w:fldChar w:fldCharType="begin"/>
        </w:r>
        <w:r>
          <w:rPr>
            <w:noProof/>
            <w:webHidden/>
          </w:rPr>
          <w:instrText xml:space="preserve"> PAGEREF _Toc69879070 \h </w:instrText>
        </w:r>
        <w:r>
          <w:rPr>
            <w:noProof/>
            <w:webHidden/>
          </w:rPr>
        </w:r>
        <w:r>
          <w:rPr>
            <w:noProof/>
            <w:webHidden/>
          </w:rPr>
          <w:fldChar w:fldCharType="separate"/>
        </w:r>
        <w:r>
          <w:rPr>
            <w:noProof/>
            <w:webHidden/>
          </w:rPr>
          <w:t>515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71" w:history="1">
        <w:r w:rsidRPr="00CC53E5">
          <w:rPr>
            <w:rStyle w:val="Hyperlink"/>
            <w:noProof/>
          </w:rPr>
          <w:t>2.1.1288</w:t>
        </w:r>
        <w:r>
          <w:rPr>
            <w:rFonts w:asciiTheme="minorHAnsi" w:eastAsiaTheme="minorEastAsia" w:hAnsiTheme="minorHAnsi" w:cstheme="minorBidi"/>
            <w:noProof/>
            <w:sz w:val="22"/>
            <w:szCs w:val="22"/>
          </w:rPr>
          <w:tab/>
        </w:r>
        <w:r w:rsidRPr="00CC53E5">
          <w:rPr>
            <w:rStyle w:val="Hyperlink"/>
            <w:noProof/>
          </w:rPr>
          <w:t>Part 1 Section 20.1.8.15, blur (Blur Effect)</w:t>
        </w:r>
        <w:r>
          <w:rPr>
            <w:noProof/>
            <w:webHidden/>
          </w:rPr>
          <w:tab/>
        </w:r>
        <w:r>
          <w:rPr>
            <w:noProof/>
            <w:webHidden/>
          </w:rPr>
          <w:fldChar w:fldCharType="begin"/>
        </w:r>
        <w:r>
          <w:rPr>
            <w:noProof/>
            <w:webHidden/>
          </w:rPr>
          <w:instrText xml:space="preserve"> PAGEREF _Toc69879071 \h </w:instrText>
        </w:r>
        <w:r>
          <w:rPr>
            <w:noProof/>
            <w:webHidden/>
          </w:rPr>
        </w:r>
        <w:r>
          <w:rPr>
            <w:noProof/>
            <w:webHidden/>
          </w:rPr>
          <w:fldChar w:fldCharType="separate"/>
        </w:r>
        <w:r>
          <w:rPr>
            <w:noProof/>
            <w:webHidden/>
          </w:rPr>
          <w:t>515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72" w:history="1">
        <w:r w:rsidRPr="00CC53E5">
          <w:rPr>
            <w:rStyle w:val="Hyperlink"/>
            <w:noProof/>
          </w:rPr>
          <w:t>2.1.1289</w:t>
        </w:r>
        <w:r>
          <w:rPr>
            <w:rFonts w:asciiTheme="minorHAnsi" w:eastAsiaTheme="minorEastAsia" w:hAnsiTheme="minorHAnsi" w:cstheme="minorBidi"/>
            <w:noProof/>
            <w:sz w:val="22"/>
            <w:szCs w:val="22"/>
          </w:rPr>
          <w:tab/>
        </w:r>
        <w:r w:rsidRPr="00CC53E5">
          <w:rPr>
            <w:rStyle w:val="Hyperlink"/>
            <w:noProof/>
          </w:rPr>
          <w:t>Part 1 Section 20.1.8.16, clrChange (Color Change Effect)</w:t>
        </w:r>
        <w:r>
          <w:rPr>
            <w:noProof/>
            <w:webHidden/>
          </w:rPr>
          <w:tab/>
        </w:r>
        <w:r>
          <w:rPr>
            <w:noProof/>
            <w:webHidden/>
          </w:rPr>
          <w:fldChar w:fldCharType="begin"/>
        </w:r>
        <w:r>
          <w:rPr>
            <w:noProof/>
            <w:webHidden/>
          </w:rPr>
          <w:instrText xml:space="preserve"> PAGEREF _Toc69879072 \h </w:instrText>
        </w:r>
        <w:r>
          <w:rPr>
            <w:noProof/>
            <w:webHidden/>
          </w:rPr>
        </w:r>
        <w:r>
          <w:rPr>
            <w:noProof/>
            <w:webHidden/>
          </w:rPr>
          <w:fldChar w:fldCharType="separate"/>
        </w:r>
        <w:r>
          <w:rPr>
            <w:noProof/>
            <w:webHidden/>
          </w:rPr>
          <w:t>515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73" w:history="1">
        <w:r w:rsidRPr="00CC53E5">
          <w:rPr>
            <w:rStyle w:val="Hyperlink"/>
            <w:noProof/>
          </w:rPr>
          <w:t>2.1.1290</w:t>
        </w:r>
        <w:r>
          <w:rPr>
            <w:rFonts w:asciiTheme="minorHAnsi" w:eastAsiaTheme="minorEastAsia" w:hAnsiTheme="minorHAnsi" w:cstheme="minorBidi"/>
            <w:noProof/>
            <w:sz w:val="22"/>
            <w:szCs w:val="22"/>
          </w:rPr>
          <w:tab/>
        </w:r>
        <w:r w:rsidRPr="00CC53E5">
          <w:rPr>
            <w:rStyle w:val="Hyperlink"/>
            <w:noProof/>
          </w:rPr>
          <w:t>Part 1 Section 20.1.8.20, cont (Effect Container)</w:t>
        </w:r>
        <w:r>
          <w:rPr>
            <w:noProof/>
            <w:webHidden/>
          </w:rPr>
          <w:tab/>
        </w:r>
        <w:r>
          <w:rPr>
            <w:noProof/>
            <w:webHidden/>
          </w:rPr>
          <w:fldChar w:fldCharType="begin"/>
        </w:r>
        <w:r>
          <w:rPr>
            <w:noProof/>
            <w:webHidden/>
          </w:rPr>
          <w:instrText xml:space="preserve"> PAGEREF _Toc69879073 \h </w:instrText>
        </w:r>
        <w:r>
          <w:rPr>
            <w:noProof/>
            <w:webHidden/>
          </w:rPr>
        </w:r>
        <w:r>
          <w:rPr>
            <w:noProof/>
            <w:webHidden/>
          </w:rPr>
          <w:fldChar w:fldCharType="separate"/>
        </w:r>
        <w:r>
          <w:rPr>
            <w:noProof/>
            <w:webHidden/>
          </w:rPr>
          <w:t>515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74" w:history="1">
        <w:r w:rsidRPr="00CC53E5">
          <w:rPr>
            <w:rStyle w:val="Hyperlink"/>
            <w:noProof/>
          </w:rPr>
          <w:t>2.1.1291</w:t>
        </w:r>
        <w:r>
          <w:rPr>
            <w:rFonts w:asciiTheme="minorHAnsi" w:eastAsiaTheme="minorEastAsia" w:hAnsiTheme="minorHAnsi" w:cstheme="minorBidi"/>
            <w:noProof/>
            <w:sz w:val="22"/>
            <w:szCs w:val="22"/>
          </w:rPr>
          <w:tab/>
        </w:r>
        <w:r w:rsidRPr="00CC53E5">
          <w:rPr>
            <w:rStyle w:val="Hyperlink"/>
            <w:noProof/>
          </w:rPr>
          <w:t>Part 1 Section 20.1.8.22, ds (Dash Stop)</w:t>
        </w:r>
        <w:r>
          <w:rPr>
            <w:noProof/>
            <w:webHidden/>
          </w:rPr>
          <w:tab/>
        </w:r>
        <w:r>
          <w:rPr>
            <w:noProof/>
            <w:webHidden/>
          </w:rPr>
          <w:fldChar w:fldCharType="begin"/>
        </w:r>
        <w:r>
          <w:rPr>
            <w:noProof/>
            <w:webHidden/>
          </w:rPr>
          <w:instrText xml:space="preserve"> PAGEREF _Toc69879074 \h </w:instrText>
        </w:r>
        <w:r>
          <w:rPr>
            <w:noProof/>
            <w:webHidden/>
          </w:rPr>
        </w:r>
        <w:r>
          <w:rPr>
            <w:noProof/>
            <w:webHidden/>
          </w:rPr>
          <w:fldChar w:fldCharType="separate"/>
        </w:r>
        <w:r>
          <w:rPr>
            <w:noProof/>
            <w:webHidden/>
          </w:rPr>
          <w:t>515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75" w:history="1">
        <w:r w:rsidRPr="00CC53E5">
          <w:rPr>
            <w:rStyle w:val="Hyperlink"/>
            <w:noProof/>
          </w:rPr>
          <w:t>2.1.1292</w:t>
        </w:r>
        <w:r>
          <w:rPr>
            <w:rFonts w:asciiTheme="minorHAnsi" w:eastAsiaTheme="minorEastAsia" w:hAnsiTheme="minorHAnsi" w:cstheme="minorBidi"/>
            <w:noProof/>
            <w:sz w:val="22"/>
            <w:szCs w:val="22"/>
          </w:rPr>
          <w:tab/>
        </w:r>
        <w:r w:rsidRPr="00CC53E5">
          <w:rPr>
            <w:rStyle w:val="Hyperlink"/>
            <w:noProof/>
          </w:rPr>
          <w:t>Part 1 Section 20.1.8.23, duotone (Duotone Effect)</w:t>
        </w:r>
        <w:r>
          <w:rPr>
            <w:noProof/>
            <w:webHidden/>
          </w:rPr>
          <w:tab/>
        </w:r>
        <w:r>
          <w:rPr>
            <w:noProof/>
            <w:webHidden/>
          </w:rPr>
          <w:fldChar w:fldCharType="begin"/>
        </w:r>
        <w:r>
          <w:rPr>
            <w:noProof/>
            <w:webHidden/>
          </w:rPr>
          <w:instrText xml:space="preserve"> PAGEREF _Toc69879075 \h </w:instrText>
        </w:r>
        <w:r>
          <w:rPr>
            <w:noProof/>
            <w:webHidden/>
          </w:rPr>
        </w:r>
        <w:r>
          <w:rPr>
            <w:noProof/>
            <w:webHidden/>
          </w:rPr>
          <w:fldChar w:fldCharType="separate"/>
        </w:r>
        <w:r>
          <w:rPr>
            <w:noProof/>
            <w:webHidden/>
          </w:rPr>
          <w:t>515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76" w:history="1">
        <w:r w:rsidRPr="00CC53E5">
          <w:rPr>
            <w:rStyle w:val="Hyperlink"/>
            <w:noProof/>
          </w:rPr>
          <w:t>2.1.1293</w:t>
        </w:r>
        <w:r>
          <w:rPr>
            <w:rFonts w:asciiTheme="minorHAnsi" w:eastAsiaTheme="minorEastAsia" w:hAnsiTheme="minorHAnsi" w:cstheme="minorBidi"/>
            <w:noProof/>
            <w:sz w:val="22"/>
            <w:szCs w:val="22"/>
          </w:rPr>
          <w:tab/>
        </w:r>
        <w:r w:rsidRPr="00CC53E5">
          <w:rPr>
            <w:rStyle w:val="Hyperlink"/>
            <w:noProof/>
          </w:rPr>
          <w:t>Part 1 Section 20.1.8.24, effect (Effect)</w:t>
        </w:r>
        <w:r>
          <w:rPr>
            <w:noProof/>
            <w:webHidden/>
          </w:rPr>
          <w:tab/>
        </w:r>
        <w:r>
          <w:rPr>
            <w:noProof/>
            <w:webHidden/>
          </w:rPr>
          <w:fldChar w:fldCharType="begin"/>
        </w:r>
        <w:r>
          <w:rPr>
            <w:noProof/>
            <w:webHidden/>
          </w:rPr>
          <w:instrText xml:space="preserve"> PAGEREF _Toc69879076 \h </w:instrText>
        </w:r>
        <w:r>
          <w:rPr>
            <w:noProof/>
            <w:webHidden/>
          </w:rPr>
        </w:r>
        <w:r>
          <w:rPr>
            <w:noProof/>
            <w:webHidden/>
          </w:rPr>
          <w:fldChar w:fldCharType="separate"/>
        </w:r>
        <w:r>
          <w:rPr>
            <w:noProof/>
            <w:webHidden/>
          </w:rPr>
          <w:t>516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77" w:history="1">
        <w:r w:rsidRPr="00CC53E5">
          <w:rPr>
            <w:rStyle w:val="Hyperlink"/>
            <w:noProof/>
          </w:rPr>
          <w:t>2.1.1294</w:t>
        </w:r>
        <w:r>
          <w:rPr>
            <w:rFonts w:asciiTheme="minorHAnsi" w:eastAsiaTheme="minorEastAsia" w:hAnsiTheme="minorHAnsi" w:cstheme="minorBidi"/>
            <w:noProof/>
            <w:sz w:val="22"/>
            <w:szCs w:val="22"/>
          </w:rPr>
          <w:tab/>
        </w:r>
        <w:r w:rsidRPr="00CC53E5">
          <w:rPr>
            <w:rStyle w:val="Hyperlink"/>
            <w:noProof/>
          </w:rPr>
          <w:t>Part 1 Section 20.1.8.25, effectDag (Effect Container)</w:t>
        </w:r>
        <w:r>
          <w:rPr>
            <w:noProof/>
            <w:webHidden/>
          </w:rPr>
          <w:tab/>
        </w:r>
        <w:r>
          <w:rPr>
            <w:noProof/>
            <w:webHidden/>
          </w:rPr>
          <w:fldChar w:fldCharType="begin"/>
        </w:r>
        <w:r>
          <w:rPr>
            <w:noProof/>
            <w:webHidden/>
          </w:rPr>
          <w:instrText xml:space="preserve"> PAGEREF _Toc69879077 \h </w:instrText>
        </w:r>
        <w:r>
          <w:rPr>
            <w:noProof/>
            <w:webHidden/>
          </w:rPr>
        </w:r>
        <w:r>
          <w:rPr>
            <w:noProof/>
            <w:webHidden/>
          </w:rPr>
          <w:fldChar w:fldCharType="separate"/>
        </w:r>
        <w:r>
          <w:rPr>
            <w:noProof/>
            <w:webHidden/>
          </w:rPr>
          <w:t>516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78" w:history="1">
        <w:r w:rsidRPr="00CC53E5">
          <w:rPr>
            <w:rStyle w:val="Hyperlink"/>
            <w:noProof/>
          </w:rPr>
          <w:t>2.1.1295</w:t>
        </w:r>
        <w:r>
          <w:rPr>
            <w:rFonts w:asciiTheme="minorHAnsi" w:eastAsiaTheme="minorEastAsia" w:hAnsiTheme="minorHAnsi" w:cstheme="minorBidi"/>
            <w:noProof/>
            <w:sz w:val="22"/>
            <w:szCs w:val="22"/>
          </w:rPr>
          <w:tab/>
        </w:r>
        <w:r w:rsidRPr="00CC53E5">
          <w:rPr>
            <w:rStyle w:val="Hyperlink"/>
            <w:noProof/>
          </w:rPr>
          <w:t>Part 1 Section 20.1.8.31, fillToRect (Fill To Rectangle)</w:t>
        </w:r>
        <w:r>
          <w:rPr>
            <w:noProof/>
            <w:webHidden/>
          </w:rPr>
          <w:tab/>
        </w:r>
        <w:r>
          <w:rPr>
            <w:noProof/>
            <w:webHidden/>
          </w:rPr>
          <w:fldChar w:fldCharType="begin"/>
        </w:r>
        <w:r>
          <w:rPr>
            <w:noProof/>
            <w:webHidden/>
          </w:rPr>
          <w:instrText xml:space="preserve"> PAGEREF _Toc69879078 \h </w:instrText>
        </w:r>
        <w:r>
          <w:rPr>
            <w:noProof/>
            <w:webHidden/>
          </w:rPr>
        </w:r>
        <w:r>
          <w:rPr>
            <w:noProof/>
            <w:webHidden/>
          </w:rPr>
          <w:fldChar w:fldCharType="separate"/>
        </w:r>
        <w:r>
          <w:rPr>
            <w:noProof/>
            <w:webHidden/>
          </w:rPr>
          <w:t>516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79" w:history="1">
        <w:r w:rsidRPr="00CC53E5">
          <w:rPr>
            <w:rStyle w:val="Hyperlink"/>
            <w:noProof/>
          </w:rPr>
          <w:t>2.1.1296</w:t>
        </w:r>
        <w:r>
          <w:rPr>
            <w:rFonts w:asciiTheme="minorHAnsi" w:eastAsiaTheme="minorEastAsia" w:hAnsiTheme="minorHAnsi" w:cstheme="minorBidi"/>
            <w:noProof/>
            <w:sz w:val="22"/>
            <w:szCs w:val="22"/>
          </w:rPr>
          <w:tab/>
        </w:r>
        <w:r w:rsidRPr="00CC53E5">
          <w:rPr>
            <w:rStyle w:val="Hyperlink"/>
            <w:noProof/>
          </w:rPr>
          <w:t>Part 1 Section 20.1.8.33, gradFill (Gradient Fill)</w:t>
        </w:r>
        <w:r>
          <w:rPr>
            <w:noProof/>
            <w:webHidden/>
          </w:rPr>
          <w:tab/>
        </w:r>
        <w:r>
          <w:rPr>
            <w:noProof/>
            <w:webHidden/>
          </w:rPr>
          <w:fldChar w:fldCharType="begin"/>
        </w:r>
        <w:r>
          <w:rPr>
            <w:noProof/>
            <w:webHidden/>
          </w:rPr>
          <w:instrText xml:space="preserve"> PAGEREF _Toc69879079 \h </w:instrText>
        </w:r>
        <w:r>
          <w:rPr>
            <w:noProof/>
            <w:webHidden/>
          </w:rPr>
        </w:r>
        <w:r>
          <w:rPr>
            <w:noProof/>
            <w:webHidden/>
          </w:rPr>
          <w:fldChar w:fldCharType="separate"/>
        </w:r>
        <w:r>
          <w:rPr>
            <w:noProof/>
            <w:webHidden/>
          </w:rPr>
          <w:t>516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80" w:history="1">
        <w:r w:rsidRPr="00CC53E5">
          <w:rPr>
            <w:rStyle w:val="Hyperlink"/>
            <w:noProof/>
          </w:rPr>
          <w:t>2.1.1297</w:t>
        </w:r>
        <w:r>
          <w:rPr>
            <w:rFonts w:asciiTheme="minorHAnsi" w:eastAsiaTheme="minorEastAsia" w:hAnsiTheme="minorHAnsi" w:cstheme="minorBidi"/>
            <w:noProof/>
            <w:sz w:val="22"/>
            <w:szCs w:val="22"/>
          </w:rPr>
          <w:tab/>
        </w:r>
        <w:r w:rsidRPr="00CC53E5">
          <w:rPr>
            <w:rStyle w:val="Hyperlink"/>
            <w:noProof/>
          </w:rPr>
          <w:t>Part 1 Section 20.1.8.35, grpFill (Group Fill)</w:t>
        </w:r>
        <w:r>
          <w:rPr>
            <w:noProof/>
            <w:webHidden/>
          </w:rPr>
          <w:tab/>
        </w:r>
        <w:r>
          <w:rPr>
            <w:noProof/>
            <w:webHidden/>
          </w:rPr>
          <w:fldChar w:fldCharType="begin"/>
        </w:r>
        <w:r>
          <w:rPr>
            <w:noProof/>
            <w:webHidden/>
          </w:rPr>
          <w:instrText xml:space="preserve"> PAGEREF _Toc69879080 \h </w:instrText>
        </w:r>
        <w:r>
          <w:rPr>
            <w:noProof/>
            <w:webHidden/>
          </w:rPr>
        </w:r>
        <w:r>
          <w:rPr>
            <w:noProof/>
            <w:webHidden/>
          </w:rPr>
          <w:fldChar w:fldCharType="separate"/>
        </w:r>
        <w:r>
          <w:rPr>
            <w:noProof/>
            <w:webHidden/>
          </w:rPr>
          <w:t>517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81" w:history="1">
        <w:r w:rsidRPr="00CC53E5">
          <w:rPr>
            <w:rStyle w:val="Hyperlink"/>
            <w:noProof/>
          </w:rPr>
          <w:t>2.1.1298</w:t>
        </w:r>
        <w:r>
          <w:rPr>
            <w:rFonts w:asciiTheme="minorHAnsi" w:eastAsiaTheme="minorEastAsia" w:hAnsiTheme="minorHAnsi" w:cstheme="minorBidi"/>
            <w:noProof/>
            <w:sz w:val="22"/>
            <w:szCs w:val="22"/>
          </w:rPr>
          <w:tab/>
        </w:r>
        <w:r w:rsidRPr="00CC53E5">
          <w:rPr>
            <w:rStyle w:val="Hyperlink"/>
            <w:noProof/>
          </w:rPr>
          <w:t>Part 1 Section 20.1.8.39, hsl (Hue Saturation Luminance Effect)</w:t>
        </w:r>
        <w:r>
          <w:rPr>
            <w:noProof/>
            <w:webHidden/>
          </w:rPr>
          <w:tab/>
        </w:r>
        <w:r>
          <w:rPr>
            <w:noProof/>
            <w:webHidden/>
          </w:rPr>
          <w:fldChar w:fldCharType="begin"/>
        </w:r>
        <w:r>
          <w:rPr>
            <w:noProof/>
            <w:webHidden/>
          </w:rPr>
          <w:instrText xml:space="preserve"> PAGEREF _Toc69879081 \h </w:instrText>
        </w:r>
        <w:r>
          <w:rPr>
            <w:noProof/>
            <w:webHidden/>
          </w:rPr>
        </w:r>
        <w:r>
          <w:rPr>
            <w:noProof/>
            <w:webHidden/>
          </w:rPr>
          <w:fldChar w:fldCharType="separate"/>
        </w:r>
        <w:r>
          <w:rPr>
            <w:noProof/>
            <w:webHidden/>
          </w:rPr>
          <w:t>517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82" w:history="1">
        <w:r w:rsidRPr="00CC53E5">
          <w:rPr>
            <w:rStyle w:val="Hyperlink"/>
            <w:noProof/>
          </w:rPr>
          <w:t>2.1.1299</w:t>
        </w:r>
        <w:r>
          <w:rPr>
            <w:rFonts w:asciiTheme="minorHAnsi" w:eastAsiaTheme="minorEastAsia" w:hAnsiTheme="minorHAnsi" w:cstheme="minorBidi"/>
            <w:noProof/>
            <w:sz w:val="22"/>
            <w:szCs w:val="22"/>
          </w:rPr>
          <w:tab/>
        </w:r>
        <w:r w:rsidRPr="00CC53E5">
          <w:rPr>
            <w:rStyle w:val="Hyperlink"/>
            <w:noProof/>
          </w:rPr>
          <w:t>Part 1 Section 20.1.8.40, innerShdw (Inner Shadow Effect)</w:t>
        </w:r>
        <w:r>
          <w:rPr>
            <w:noProof/>
            <w:webHidden/>
          </w:rPr>
          <w:tab/>
        </w:r>
        <w:r>
          <w:rPr>
            <w:noProof/>
            <w:webHidden/>
          </w:rPr>
          <w:fldChar w:fldCharType="begin"/>
        </w:r>
        <w:r>
          <w:rPr>
            <w:noProof/>
            <w:webHidden/>
          </w:rPr>
          <w:instrText xml:space="preserve"> PAGEREF _Toc69879082 \h </w:instrText>
        </w:r>
        <w:r>
          <w:rPr>
            <w:noProof/>
            <w:webHidden/>
          </w:rPr>
        </w:r>
        <w:r>
          <w:rPr>
            <w:noProof/>
            <w:webHidden/>
          </w:rPr>
          <w:fldChar w:fldCharType="separate"/>
        </w:r>
        <w:r>
          <w:rPr>
            <w:noProof/>
            <w:webHidden/>
          </w:rPr>
          <w:t>518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83" w:history="1">
        <w:r w:rsidRPr="00CC53E5">
          <w:rPr>
            <w:rStyle w:val="Hyperlink"/>
            <w:noProof/>
          </w:rPr>
          <w:t>2.1.1300</w:t>
        </w:r>
        <w:r>
          <w:rPr>
            <w:rFonts w:asciiTheme="minorHAnsi" w:eastAsiaTheme="minorEastAsia" w:hAnsiTheme="minorHAnsi" w:cstheme="minorBidi"/>
            <w:noProof/>
            <w:sz w:val="22"/>
            <w:szCs w:val="22"/>
          </w:rPr>
          <w:tab/>
        </w:r>
        <w:r w:rsidRPr="00CC53E5">
          <w:rPr>
            <w:rStyle w:val="Hyperlink"/>
            <w:noProof/>
          </w:rPr>
          <w:t>Part 1 Section 20.1.8.42, lum (Luminance Effect)</w:t>
        </w:r>
        <w:r>
          <w:rPr>
            <w:noProof/>
            <w:webHidden/>
          </w:rPr>
          <w:tab/>
        </w:r>
        <w:r>
          <w:rPr>
            <w:noProof/>
            <w:webHidden/>
          </w:rPr>
          <w:fldChar w:fldCharType="begin"/>
        </w:r>
        <w:r>
          <w:rPr>
            <w:noProof/>
            <w:webHidden/>
          </w:rPr>
          <w:instrText xml:space="preserve"> PAGEREF _Toc69879083 \h </w:instrText>
        </w:r>
        <w:r>
          <w:rPr>
            <w:noProof/>
            <w:webHidden/>
          </w:rPr>
        </w:r>
        <w:r>
          <w:rPr>
            <w:noProof/>
            <w:webHidden/>
          </w:rPr>
          <w:fldChar w:fldCharType="separate"/>
        </w:r>
        <w:r>
          <w:rPr>
            <w:noProof/>
            <w:webHidden/>
          </w:rPr>
          <w:t>518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84" w:history="1">
        <w:r w:rsidRPr="00CC53E5">
          <w:rPr>
            <w:rStyle w:val="Hyperlink"/>
            <w:noProof/>
          </w:rPr>
          <w:t>2.1.1301</w:t>
        </w:r>
        <w:r>
          <w:rPr>
            <w:rFonts w:asciiTheme="minorHAnsi" w:eastAsiaTheme="minorEastAsia" w:hAnsiTheme="minorHAnsi" w:cstheme="minorBidi"/>
            <w:noProof/>
            <w:sz w:val="22"/>
            <w:szCs w:val="22"/>
          </w:rPr>
          <w:tab/>
        </w:r>
        <w:r w:rsidRPr="00CC53E5">
          <w:rPr>
            <w:rStyle w:val="Hyperlink"/>
            <w:noProof/>
          </w:rPr>
          <w:t>Part 1 Section 20.1.8.43, miter (Miter Line Join)</w:t>
        </w:r>
        <w:r>
          <w:rPr>
            <w:noProof/>
            <w:webHidden/>
          </w:rPr>
          <w:tab/>
        </w:r>
        <w:r>
          <w:rPr>
            <w:noProof/>
            <w:webHidden/>
          </w:rPr>
          <w:fldChar w:fldCharType="begin"/>
        </w:r>
        <w:r>
          <w:rPr>
            <w:noProof/>
            <w:webHidden/>
          </w:rPr>
          <w:instrText xml:space="preserve"> PAGEREF _Toc69879084 \h </w:instrText>
        </w:r>
        <w:r>
          <w:rPr>
            <w:noProof/>
            <w:webHidden/>
          </w:rPr>
        </w:r>
        <w:r>
          <w:rPr>
            <w:noProof/>
            <w:webHidden/>
          </w:rPr>
          <w:fldChar w:fldCharType="separate"/>
        </w:r>
        <w:r>
          <w:rPr>
            <w:noProof/>
            <w:webHidden/>
          </w:rPr>
          <w:t>518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85" w:history="1">
        <w:r w:rsidRPr="00CC53E5">
          <w:rPr>
            <w:rStyle w:val="Hyperlink"/>
            <w:noProof/>
          </w:rPr>
          <w:t>2.1.1302</w:t>
        </w:r>
        <w:r>
          <w:rPr>
            <w:rFonts w:asciiTheme="minorHAnsi" w:eastAsiaTheme="minorEastAsia" w:hAnsiTheme="minorHAnsi" w:cstheme="minorBidi"/>
            <w:noProof/>
            <w:sz w:val="22"/>
            <w:szCs w:val="22"/>
          </w:rPr>
          <w:tab/>
        </w:r>
        <w:r w:rsidRPr="00CC53E5">
          <w:rPr>
            <w:rStyle w:val="Hyperlink"/>
            <w:noProof/>
          </w:rPr>
          <w:t>Part 1 Section 20.1.8.45, outerShdw (Outer Shadow Effect)</w:t>
        </w:r>
        <w:r>
          <w:rPr>
            <w:noProof/>
            <w:webHidden/>
          </w:rPr>
          <w:tab/>
        </w:r>
        <w:r>
          <w:rPr>
            <w:noProof/>
            <w:webHidden/>
          </w:rPr>
          <w:fldChar w:fldCharType="begin"/>
        </w:r>
        <w:r>
          <w:rPr>
            <w:noProof/>
            <w:webHidden/>
          </w:rPr>
          <w:instrText xml:space="preserve"> PAGEREF _Toc69879085 \h </w:instrText>
        </w:r>
        <w:r>
          <w:rPr>
            <w:noProof/>
            <w:webHidden/>
          </w:rPr>
        </w:r>
        <w:r>
          <w:rPr>
            <w:noProof/>
            <w:webHidden/>
          </w:rPr>
          <w:fldChar w:fldCharType="separate"/>
        </w:r>
        <w:r>
          <w:rPr>
            <w:noProof/>
            <w:webHidden/>
          </w:rPr>
          <w:t>518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86" w:history="1">
        <w:r w:rsidRPr="00CC53E5">
          <w:rPr>
            <w:rStyle w:val="Hyperlink"/>
            <w:noProof/>
          </w:rPr>
          <w:t>2.1.1303</w:t>
        </w:r>
        <w:r>
          <w:rPr>
            <w:rFonts w:asciiTheme="minorHAnsi" w:eastAsiaTheme="minorEastAsia" w:hAnsiTheme="minorHAnsi" w:cstheme="minorBidi"/>
            <w:noProof/>
            <w:sz w:val="22"/>
            <w:szCs w:val="22"/>
          </w:rPr>
          <w:tab/>
        </w:r>
        <w:r w:rsidRPr="00CC53E5">
          <w:rPr>
            <w:rStyle w:val="Hyperlink"/>
            <w:noProof/>
          </w:rPr>
          <w:t>Part 1 Section 20.1.8.50, reflection (Reflection Effect)</w:t>
        </w:r>
        <w:r>
          <w:rPr>
            <w:noProof/>
            <w:webHidden/>
          </w:rPr>
          <w:tab/>
        </w:r>
        <w:r>
          <w:rPr>
            <w:noProof/>
            <w:webHidden/>
          </w:rPr>
          <w:fldChar w:fldCharType="begin"/>
        </w:r>
        <w:r>
          <w:rPr>
            <w:noProof/>
            <w:webHidden/>
          </w:rPr>
          <w:instrText xml:space="preserve"> PAGEREF _Toc69879086 \h </w:instrText>
        </w:r>
        <w:r>
          <w:rPr>
            <w:noProof/>
            <w:webHidden/>
          </w:rPr>
        </w:r>
        <w:r>
          <w:rPr>
            <w:noProof/>
            <w:webHidden/>
          </w:rPr>
          <w:fldChar w:fldCharType="separate"/>
        </w:r>
        <w:r>
          <w:rPr>
            <w:noProof/>
            <w:webHidden/>
          </w:rPr>
          <w:t>518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87" w:history="1">
        <w:r w:rsidRPr="00CC53E5">
          <w:rPr>
            <w:rStyle w:val="Hyperlink"/>
            <w:noProof/>
          </w:rPr>
          <w:t>2.1.1304</w:t>
        </w:r>
        <w:r>
          <w:rPr>
            <w:rFonts w:asciiTheme="minorHAnsi" w:eastAsiaTheme="minorEastAsia" w:hAnsiTheme="minorHAnsi" w:cstheme="minorBidi"/>
            <w:noProof/>
            <w:sz w:val="22"/>
            <w:szCs w:val="22"/>
          </w:rPr>
          <w:tab/>
        </w:r>
        <w:r w:rsidRPr="00CC53E5">
          <w:rPr>
            <w:rStyle w:val="Hyperlink"/>
            <w:noProof/>
          </w:rPr>
          <w:t>Part 1 Section 20.1.8.52, round (Round Line Join)</w:t>
        </w:r>
        <w:r>
          <w:rPr>
            <w:noProof/>
            <w:webHidden/>
          </w:rPr>
          <w:tab/>
        </w:r>
        <w:r>
          <w:rPr>
            <w:noProof/>
            <w:webHidden/>
          </w:rPr>
          <w:fldChar w:fldCharType="begin"/>
        </w:r>
        <w:r>
          <w:rPr>
            <w:noProof/>
            <w:webHidden/>
          </w:rPr>
          <w:instrText xml:space="preserve"> PAGEREF _Toc69879087 \h </w:instrText>
        </w:r>
        <w:r>
          <w:rPr>
            <w:noProof/>
            <w:webHidden/>
          </w:rPr>
        </w:r>
        <w:r>
          <w:rPr>
            <w:noProof/>
            <w:webHidden/>
          </w:rPr>
          <w:fldChar w:fldCharType="separate"/>
        </w:r>
        <w:r>
          <w:rPr>
            <w:noProof/>
            <w:webHidden/>
          </w:rPr>
          <w:t>518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88" w:history="1">
        <w:r w:rsidRPr="00CC53E5">
          <w:rPr>
            <w:rStyle w:val="Hyperlink"/>
            <w:noProof/>
          </w:rPr>
          <w:t>2.1.1305</w:t>
        </w:r>
        <w:r>
          <w:rPr>
            <w:rFonts w:asciiTheme="minorHAnsi" w:eastAsiaTheme="minorEastAsia" w:hAnsiTheme="minorHAnsi" w:cstheme="minorBidi"/>
            <w:noProof/>
            <w:sz w:val="22"/>
            <w:szCs w:val="22"/>
          </w:rPr>
          <w:tab/>
        </w:r>
        <w:r w:rsidRPr="00CC53E5">
          <w:rPr>
            <w:rStyle w:val="Hyperlink"/>
            <w:noProof/>
          </w:rPr>
          <w:t>Part 1 Section 20.1.8.53, softEdge (Soft Edge Effect)</w:t>
        </w:r>
        <w:r>
          <w:rPr>
            <w:noProof/>
            <w:webHidden/>
          </w:rPr>
          <w:tab/>
        </w:r>
        <w:r>
          <w:rPr>
            <w:noProof/>
            <w:webHidden/>
          </w:rPr>
          <w:fldChar w:fldCharType="begin"/>
        </w:r>
        <w:r>
          <w:rPr>
            <w:noProof/>
            <w:webHidden/>
          </w:rPr>
          <w:instrText xml:space="preserve"> PAGEREF _Toc69879088 \h </w:instrText>
        </w:r>
        <w:r>
          <w:rPr>
            <w:noProof/>
            <w:webHidden/>
          </w:rPr>
        </w:r>
        <w:r>
          <w:rPr>
            <w:noProof/>
            <w:webHidden/>
          </w:rPr>
          <w:fldChar w:fldCharType="separate"/>
        </w:r>
        <w:r>
          <w:rPr>
            <w:noProof/>
            <w:webHidden/>
          </w:rPr>
          <w:t>519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89" w:history="1">
        <w:r w:rsidRPr="00CC53E5">
          <w:rPr>
            <w:rStyle w:val="Hyperlink"/>
            <w:noProof/>
          </w:rPr>
          <w:t>2.1.1306</w:t>
        </w:r>
        <w:r>
          <w:rPr>
            <w:rFonts w:asciiTheme="minorHAnsi" w:eastAsiaTheme="minorEastAsia" w:hAnsiTheme="minorHAnsi" w:cstheme="minorBidi"/>
            <w:noProof/>
            <w:sz w:val="22"/>
            <w:szCs w:val="22"/>
          </w:rPr>
          <w:tab/>
        </w:r>
        <w:r w:rsidRPr="00CC53E5">
          <w:rPr>
            <w:rStyle w:val="Hyperlink"/>
            <w:noProof/>
          </w:rPr>
          <w:t>Part 1 Section 20.1.8.55, srcRect (Source Rectangle)</w:t>
        </w:r>
        <w:r>
          <w:rPr>
            <w:noProof/>
            <w:webHidden/>
          </w:rPr>
          <w:tab/>
        </w:r>
        <w:r>
          <w:rPr>
            <w:noProof/>
            <w:webHidden/>
          </w:rPr>
          <w:fldChar w:fldCharType="begin"/>
        </w:r>
        <w:r>
          <w:rPr>
            <w:noProof/>
            <w:webHidden/>
          </w:rPr>
          <w:instrText xml:space="preserve"> PAGEREF _Toc69879089 \h </w:instrText>
        </w:r>
        <w:r>
          <w:rPr>
            <w:noProof/>
            <w:webHidden/>
          </w:rPr>
        </w:r>
        <w:r>
          <w:rPr>
            <w:noProof/>
            <w:webHidden/>
          </w:rPr>
          <w:fldChar w:fldCharType="separate"/>
        </w:r>
        <w:r>
          <w:rPr>
            <w:noProof/>
            <w:webHidden/>
          </w:rPr>
          <w:t>519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90" w:history="1">
        <w:r w:rsidRPr="00CC53E5">
          <w:rPr>
            <w:rStyle w:val="Hyperlink"/>
            <w:noProof/>
          </w:rPr>
          <w:t>2.1.1307</w:t>
        </w:r>
        <w:r>
          <w:rPr>
            <w:rFonts w:asciiTheme="minorHAnsi" w:eastAsiaTheme="minorEastAsia" w:hAnsiTheme="minorHAnsi" w:cstheme="minorBidi"/>
            <w:noProof/>
            <w:sz w:val="22"/>
            <w:szCs w:val="22"/>
          </w:rPr>
          <w:tab/>
        </w:r>
        <w:r w:rsidRPr="00CC53E5">
          <w:rPr>
            <w:rStyle w:val="Hyperlink"/>
            <w:noProof/>
          </w:rPr>
          <w:t>Part 1 Section 20.1.8.59, tileRect (Tile Rectangle)</w:t>
        </w:r>
        <w:r>
          <w:rPr>
            <w:noProof/>
            <w:webHidden/>
          </w:rPr>
          <w:tab/>
        </w:r>
        <w:r>
          <w:rPr>
            <w:noProof/>
            <w:webHidden/>
          </w:rPr>
          <w:fldChar w:fldCharType="begin"/>
        </w:r>
        <w:r>
          <w:rPr>
            <w:noProof/>
            <w:webHidden/>
          </w:rPr>
          <w:instrText xml:space="preserve"> PAGEREF _Toc69879090 \h </w:instrText>
        </w:r>
        <w:r>
          <w:rPr>
            <w:noProof/>
            <w:webHidden/>
          </w:rPr>
        </w:r>
        <w:r>
          <w:rPr>
            <w:noProof/>
            <w:webHidden/>
          </w:rPr>
          <w:fldChar w:fldCharType="separate"/>
        </w:r>
        <w:r>
          <w:rPr>
            <w:noProof/>
            <w:webHidden/>
          </w:rPr>
          <w:t>519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91" w:history="1">
        <w:r w:rsidRPr="00CC53E5">
          <w:rPr>
            <w:rStyle w:val="Hyperlink"/>
            <w:noProof/>
          </w:rPr>
          <w:t>2.1.1308</w:t>
        </w:r>
        <w:r>
          <w:rPr>
            <w:rFonts w:asciiTheme="minorHAnsi" w:eastAsiaTheme="minorEastAsia" w:hAnsiTheme="minorHAnsi" w:cstheme="minorBidi"/>
            <w:noProof/>
            <w:sz w:val="22"/>
            <w:szCs w:val="22"/>
          </w:rPr>
          <w:tab/>
        </w:r>
        <w:r w:rsidRPr="00CC53E5">
          <w:rPr>
            <w:rStyle w:val="Hyperlink"/>
            <w:noProof/>
          </w:rPr>
          <w:t>Part 1 Section 20.1.9.11, gd (Shape Guide)</w:t>
        </w:r>
        <w:r>
          <w:rPr>
            <w:noProof/>
            <w:webHidden/>
          </w:rPr>
          <w:tab/>
        </w:r>
        <w:r>
          <w:rPr>
            <w:noProof/>
            <w:webHidden/>
          </w:rPr>
          <w:fldChar w:fldCharType="begin"/>
        </w:r>
        <w:r>
          <w:rPr>
            <w:noProof/>
            <w:webHidden/>
          </w:rPr>
          <w:instrText xml:space="preserve"> PAGEREF _Toc69879091 \h </w:instrText>
        </w:r>
        <w:r>
          <w:rPr>
            <w:noProof/>
            <w:webHidden/>
          </w:rPr>
        </w:r>
        <w:r>
          <w:rPr>
            <w:noProof/>
            <w:webHidden/>
          </w:rPr>
          <w:fldChar w:fldCharType="separate"/>
        </w:r>
        <w:r>
          <w:rPr>
            <w:noProof/>
            <w:webHidden/>
          </w:rPr>
          <w:t>519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92" w:history="1">
        <w:r w:rsidRPr="00CC53E5">
          <w:rPr>
            <w:rStyle w:val="Hyperlink"/>
            <w:noProof/>
          </w:rPr>
          <w:t>2.1.1309</w:t>
        </w:r>
        <w:r>
          <w:rPr>
            <w:rFonts w:asciiTheme="minorHAnsi" w:eastAsiaTheme="minorEastAsia" w:hAnsiTheme="minorHAnsi" w:cstheme="minorBidi"/>
            <w:noProof/>
            <w:sz w:val="22"/>
            <w:szCs w:val="22"/>
          </w:rPr>
          <w:tab/>
        </w:r>
        <w:r w:rsidRPr="00CC53E5">
          <w:rPr>
            <w:rStyle w:val="Hyperlink"/>
            <w:noProof/>
          </w:rPr>
          <w:t>Part 1 Section 20.1.9.15, path (Shape Path)</w:t>
        </w:r>
        <w:r>
          <w:rPr>
            <w:noProof/>
            <w:webHidden/>
          </w:rPr>
          <w:tab/>
        </w:r>
        <w:r>
          <w:rPr>
            <w:noProof/>
            <w:webHidden/>
          </w:rPr>
          <w:fldChar w:fldCharType="begin"/>
        </w:r>
        <w:r>
          <w:rPr>
            <w:noProof/>
            <w:webHidden/>
          </w:rPr>
          <w:instrText xml:space="preserve"> PAGEREF _Toc69879092 \h </w:instrText>
        </w:r>
        <w:r>
          <w:rPr>
            <w:noProof/>
            <w:webHidden/>
          </w:rPr>
        </w:r>
        <w:r>
          <w:rPr>
            <w:noProof/>
            <w:webHidden/>
          </w:rPr>
          <w:fldChar w:fldCharType="separate"/>
        </w:r>
        <w:r>
          <w:rPr>
            <w:noProof/>
            <w:webHidden/>
          </w:rPr>
          <w:t>519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93" w:history="1">
        <w:r w:rsidRPr="00CC53E5">
          <w:rPr>
            <w:rStyle w:val="Hyperlink"/>
            <w:noProof/>
          </w:rPr>
          <w:t>2.1.1310</w:t>
        </w:r>
        <w:r>
          <w:rPr>
            <w:rFonts w:asciiTheme="minorHAnsi" w:eastAsiaTheme="minorEastAsia" w:hAnsiTheme="minorHAnsi" w:cstheme="minorBidi"/>
            <w:noProof/>
            <w:sz w:val="22"/>
            <w:szCs w:val="22"/>
          </w:rPr>
          <w:tab/>
        </w:r>
        <w:r w:rsidRPr="00CC53E5">
          <w:rPr>
            <w:rStyle w:val="Hyperlink"/>
            <w:noProof/>
          </w:rPr>
          <w:t>Part 1 Section 20.1.9.17, pos (Shape Position Coordinate)</w:t>
        </w:r>
        <w:r>
          <w:rPr>
            <w:noProof/>
            <w:webHidden/>
          </w:rPr>
          <w:tab/>
        </w:r>
        <w:r>
          <w:rPr>
            <w:noProof/>
            <w:webHidden/>
          </w:rPr>
          <w:fldChar w:fldCharType="begin"/>
        </w:r>
        <w:r>
          <w:rPr>
            <w:noProof/>
            <w:webHidden/>
          </w:rPr>
          <w:instrText xml:space="preserve"> PAGEREF _Toc69879093 \h </w:instrText>
        </w:r>
        <w:r>
          <w:rPr>
            <w:noProof/>
            <w:webHidden/>
          </w:rPr>
        </w:r>
        <w:r>
          <w:rPr>
            <w:noProof/>
            <w:webHidden/>
          </w:rPr>
          <w:fldChar w:fldCharType="separate"/>
        </w:r>
        <w:r>
          <w:rPr>
            <w:noProof/>
            <w:webHidden/>
          </w:rPr>
          <w:t>520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94" w:history="1">
        <w:r w:rsidRPr="00CC53E5">
          <w:rPr>
            <w:rStyle w:val="Hyperlink"/>
            <w:noProof/>
          </w:rPr>
          <w:t>2.1.1311</w:t>
        </w:r>
        <w:r>
          <w:rPr>
            <w:rFonts w:asciiTheme="minorHAnsi" w:eastAsiaTheme="minorEastAsia" w:hAnsiTheme="minorHAnsi" w:cstheme="minorBidi"/>
            <w:noProof/>
            <w:sz w:val="22"/>
            <w:szCs w:val="22"/>
          </w:rPr>
          <w:tab/>
        </w:r>
        <w:r w:rsidRPr="00CC53E5">
          <w:rPr>
            <w:rStyle w:val="Hyperlink"/>
            <w:noProof/>
          </w:rPr>
          <w:t>Part 1 Section 20.1.9.20, pt (Shape Path Point)</w:t>
        </w:r>
        <w:r>
          <w:rPr>
            <w:noProof/>
            <w:webHidden/>
          </w:rPr>
          <w:tab/>
        </w:r>
        <w:r>
          <w:rPr>
            <w:noProof/>
            <w:webHidden/>
          </w:rPr>
          <w:fldChar w:fldCharType="begin"/>
        </w:r>
        <w:r>
          <w:rPr>
            <w:noProof/>
            <w:webHidden/>
          </w:rPr>
          <w:instrText xml:space="preserve"> PAGEREF _Toc69879094 \h </w:instrText>
        </w:r>
        <w:r>
          <w:rPr>
            <w:noProof/>
            <w:webHidden/>
          </w:rPr>
        </w:r>
        <w:r>
          <w:rPr>
            <w:noProof/>
            <w:webHidden/>
          </w:rPr>
          <w:fldChar w:fldCharType="separate"/>
        </w:r>
        <w:r>
          <w:rPr>
            <w:noProof/>
            <w:webHidden/>
          </w:rPr>
          <w:t>520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95" w:history="1">
        <w:r w:rsidRPr="00CC53E5">
          <w:rPr>
            <w:rStyle w:val="Hyperlink"/>
            <w:noProof/>
          </w:rPr>
          <w:t>2.1.1312</w:t>
        </w:r>
        <w:r>
          <w:rPr>
            <w:rFonts w:asciiTheme="minorHAnsi" w:eastAsiaTheme="minorEastAsia" w:hAnsiTheme="minorHAnsi" w:cstheme="minorBidi"/>
            <w:noProof/>
            <w:sz w:val="22"/>
            <w:szCs w:val="22"/>
          </w:rPr>
          <w:tab/>
        </w:r>
        <w:r w:rsidRPr="00CC53E5">
          <w:rPr>
            <w:rStyle w:val="Hyperlink"/>
            <w:noProof/>
          </w:rPr>
          <w:t>Part 1 Section 20.1.10.12, ST_BlipCompression (Blip Compression Type)</w:t>
        </w:r>
        <w:r>
          <w:rPr>
            <w:noProof/>
            <w:webHidden/>
          </w:rPr>
          <w:tab/>
        </w:r>
        <w:r>
          <w:rPr>
            <w:noProof/>
            <w:webHidden/>
          </w:rPr>
          <w:fldChar w:fldCharType="begin"/>
        </w:r>
        <w:r>
          <w:rPr>
            <w:noProof/>
            <w:webHidden/>
          </w:rPr>
          <w:instrText xml:space="preserve"> PAGEREF _Toc69879095 \h </w:instrText>
        </w:r>
        <w:r>
          <w:rPr>
            <w:noProof/>
            <w:webHidden/>
          </w:rPr>
        </w:r>
        <w:r>
          <w:rPr>
            <w:noProof/>
            <w:webHidden/>
          </w:rPr>
          <w:fldChar w:fldCharType="separate"/>
        </w:r>
        <w:r>
          <w:rPr>
            <w:noProof/>
            <w:webHidden/>
          </w:rPr>
          <w:t>520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96" w:history="1">
        <w:r w:rsidRPr="00CC53E5">
          <w:rPr>
            <w:rStyle w:val="Hyperlink"/>
            <w:noProof/>
          </w:rPr>
          <w:t>2.1.1313</w:t>
        </w:r>
        <w:r>
          <w:rPr>
            <w:rFonts w:asciiTheme="minorHAnsi" w:eastAsiaTheme="minorEastAsia" w:hAnsiTheme="minorHAnsi" w:cstheme="minorBidi"/>
            <w:noProof/>
            <w:sz w:val="22"/>
            <w:szCs w:val="22"/>
          </w:rPr>
          <w:tab/>
        </w:r>
        <w:r w:rsidRPr="00CC53E5">
          <w:rPr>
            <w:rStyle w:val="Hyperlink"/>
            <w:noProof/>
          </w:rPr>
          <w:t>Part 1 Section 20.1.10.15, ST_CompoundLine (Compound Line Type)</w:t>
        </w:r>
        <w:r>
          <w:rPr>
            <w:noProof/>
            <w:webHidden/>
          </w:rPr>
          <w:tab/>
        </w:r>
        <w:r>
          <w:rPr>
            <w:noProof/>
            <w:webHidden/>
          </w:rPr>
          <w:fldChar w:fldCharType="begin"/>
        </w:r>
        <w:r>
          <w:rPr>
            <w:noProof/>
            <w:webHidden/>
          </w:rPr>
          <w:instrText xml:space="preserve"> PAGEREF _Toc69879096 \h </w:instrText>
        </w:r>
        <w:r>
          <w:rPr>
            <w:noProof/>
            <w:webHidden/>
          </w:rPr>
        </w:r>
        <w:r>
          <w:rPr>
            <w:noProof/>
            <w:webHidden/>
          </w:rPr>
          <w:fldChar w:fldCharType="separate"/>
        </w:r>
        <w:r>
          <w:rPr>
            <w:noProof/>
            <w:webHidden/>
          </w:rPr>
          <w:t>520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97" w:history="1">
        <w:r w:rsidRPr="00CC53E5">
          <w:rPr>
            <w:rStyle w:val="Hyperlink"/>
            <w:noProof/>
          </w:rPr>
          <w:t>2.1.1314</w:t>
        </w:r>
        <w:r>
          <w:rPr>
            <w:rFonts w:asciiTheme="minorHAnsi" w:eastAsiaTheme="minorEastAsia" w:hAnsiTheme="minorHAnsi" w:cstheme="minorBidi"/>
            <w:noProof/>
            <w:sz w:val="22"/>
            <w:szCs w:val="22"/>
          </w:rPr>
          <w:tab/>
        </w:r>
        <w:r w:rsidRPr="00CC53E5">
          <w:rPr>
            <w:rStyle w:val="Hyperlink"/>
            <w:noProof/>
          </w:rPr>
          <w:t>Part 1 Section 20.1.10.16, ST_Coordinate (Coordinate)</w:t>
        </w:r>
        <w:r>
          <w:rPr>
            <w:noProof/>
            <w:webHidden/>
          </w:rPr>
          <w:tab/>
        </w:r>
        <w:r>
          <w:rPr>
            <w:noProof/>
            <w:webHidden/>
          </w:rPr>
          <w:fldChar w:fldCharType="begin"/>
        </w:r>
        <w:r>
          <w:rPr>
            <w:noProof/>
            <w:webHidden/>
          </w:rPr>
          <w:instrText xml:space="preserve"> PAGEREF _Toc69879097 \h </w:instrText>
        </w:r>
        <w:r>
          <w:rPr>
            <w:noProof/>
            <w:webHidden/>
          </w:rPr>
        </w:r>
        <w:r>
          <w:rPr>
            <w:noProof/>
            <w:webHidden/>
          </w:rPr>
          <w:fldChar w:fldCharType="separate"/>
        </w:r>
        <w:r>
          <w:rPr>
            <w:noProof/>
            <w:webHidden/>
          </w:rPr>
          <w:t>520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98" w:history="1">
        <w:r w:rsidRPr="00CC53E5">
          <w:rPr>
            <w:rStyle w:val="Hyperlink"/>
            <w:noProof/>
          </w:rPr>
          <w:t>2.1.1315</w:t>
        </w:r>
        <w:r>
          <w:rPr>
            <w:rFonts w:asciiTheme="minorHAnsi" w:eastAsiaTheme="minorEastAsia" w:hAnsiTheme="minorHAnsi" w:cstheme="minorBidi"/>
            <w:noProof/>
            <w:sz w:val="22"/>
            <w:szCs w:val="22"/>
          </w:rPr>
          <w:tab/>
        </w:r>
        <w:r w:rsidRPr="00CC53E5">
          <w:rPr>
            <w:rStyle w:val="Hyperlink"/>
            <w:noProof/>
          </w:rPr>
          <w:t>Part 1 Section 20.1.10.17, ST_Coordinate32 (Coordinate Point)</w:t>
        </w:r>
        <w:r>
          <w:rPr>
            <w:noProof/>
            <w:webHidden/>
          </w:rPr>
          <w:tab/>
        </w:r>
        <w:r>
          <w:rPr>
            <w:noProof/>
            <w:webHidden/>
          </w:rPr>
          <w:fldChar w:fldCharType="begin"/>
        </w:r>
        <w:r>
          <w:rPr>
            <w:noProof/>
            <w:webHidden/>
          </w:rPr>
          <w:instrText xml:space="preserve"> PAGEREF _Toc69879098 \h </w:instrText>
        </w:r>
        <w:r>
          <w:rPr>
            <w:noProof/>
            <w:webHidden/>
          </w:rPr>
        </w:r>
        <w:r>
          <w:rPr>
            <w:noProof/>
            <w:webHidden/>
          </w:rPr>
          <w:fldChar w:fldCharType="separate"/>
        </w:r>
        <w:r>
          <w:rPr>
            <w:noProof/>
            <w:webHidden/>
          </w:rPr>
          <w:t>520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099" w:history="1">
        <w:r w:rsidRPr="00CC53E5">
          <w:rPr>
            <w:rStyle w:val="Hyperlink"/>
            <w:noProof/>
          </w:rPr>
          <w:t>2.1.1316</w:t>
        </w:r>
        <w:r>
          <w:rPr>
            <w:rFonts w:asciiTheme="minorHAnsi" w:eastAsiaTheme="minorEastAsia" w:hAnsiTheme="minorHAnsi" w:cstheme="minorBidi"/>
            <w:noProof/>
            <w:sz w:val="22"/>
            <w:szCs w:val="22"/>
          </w:rPr>
          <w:tab/>
        </w:r>
        <w:r w:rsidRPr="00CC53E5">
          <w:rPr>
            <w:rStyle w:val="Hyperlink"/>
            <w:noProof/>
          </w:rPr>
          <w:t>Part 1 Section 20.1.10.21, ST_DrawingElementId (Drawing Element ID)</w:t>
        </w:r>
        <w:r>
          <w:rPr>
            <w:noProof/>
            <w:webHidden/>
          </w:rPr>
          <w:tab/>
        </w:r>
        <w:r>
          <w:rPr>
            <w:noProof/>
            <w:webHidden/>
          </w:rPr>
          <w:fldChar w:fldCharType="begin"/>
        </w:r>
        <w:r>
          <w:rPr>
            <w:noProof/>
            <w:webHidden/>
          </w:rPr>
          <w:instrText xml:space="preserve"> PAGEREF _Toc69879099 \h </w:instrText>
        </w:r>
        <w:r>
          <w:rPr>
            <w:noProof/>
            <w:webHidden/>
          </w:rPr>
        </w:r>
        <w:r>
          <w:rPr>
            <w:noProof/>
            <w:webHidden/>
          </w:rPr>
          <w:fldChar w:fldCharType="separate"/>
        </w:r>
        <w:r>
          <w:rPr>
            <w:noProof/>
            <w:webHidden/>
          </w:rPr>
          <w:t>520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00" w:history="1">
        <w:r w:rsidRPr="00CC53E5">
          <w:rPr>
            <w:rStyle w:val="Hyperlink"/>
            <w:noProof/>
          </w:rPr>
          <w:t>2.1.1317</w:t>
        </w:r>
        <w:r>
          <w:rPr>
            <w:rFonts w:asciiTheme="minorHAnsi" w:eastAsiaTheme="minorEastAsia" w:hAnsiTheme="minorHAnsi" w:cstheme="minorBidi"/>
            <w:noProof/>
            <w:sz w:val="22"/>
            <w:szCs w:val="22"/>
          </w:rPr>
          <w:tab/>
        </w:r>
        <w:r w:rsidRPr="00CC53E5">
          <w:rPr>
            <w:rStyle w:val="Hyperlink"/>
            <w:noProof/>
          </w:rPr>
          <w:t>Part 1 Section 20.1.10.24, ST_FixedPercentage (Fixed Percentage)</w:t>
        </w:r>
        <w:r>
          <w:rPr>
            <w:noProof/>
            <w:webHidden/>
          </w:rPr>
          <w:tab/>
        </w:r>
        <w:r>
          <w:rPr>
            <w:noProof/>
            <w:webHidden/>
          </w:rPr>
          <w:fldChar w:fldCharType="begin"/>
        </w:r>
        <w:r>
          <w:rPr>
            <w:noProof/>
            <w:webHidden/>
          </w:rPr>
          <w:instrText xml:space="preserve"> PAGEREF _Toc69879100 \h </w:instrText>
        </w:r>
        <w:r>
          <w:rPr>
            <w:noProof/>
            <w:webHidden/>
          </w:rPr>
        </w:r>
        <w:r>
          <w:rPr>
            <w:noProof/>
            <w:webHidden/>
          </w:rPr>
          <w:fldChar w:fldCharType="separate"/>
        </w:r>
        <w:r>
          <w:rPr>
            <w:noProof/>
            <w:webHidden/>
          </w:rPr>
          <w:t>521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01" w:history="1">
        <w:r w:rsidRPr="00CC53E5">
          <w:rPr>
            <w:rStyle w:val="Hyperlink"/>
            <w:noProof/>
          </w:rPr>
          <w:t>2.1.1318</w:t>
        </w:r>
        <w:r>
          <w:rPr>
            <w:rFonts w:asciiTheme="minorHAnsi" w:eastAsiaTheme="minorEastAsia" w:hAnsiTheme="minorHAnsi" w:cstheme="minorBidi"/>
            <w:noProof/>
            <w:sz w:val="22"/>
            <w:szCs w:val="22"/>
          </w:rPr>
          <w:tab/>
        </w:r>
        <w:r w:rsidRPr="00CC53E5">
          <w:rPr>
            <w:rStyle w:val="Hyperlink"/>
            <w:noProof/>
          </w:rPr>
          <w:t>Part 1 Section 20.1.10.29, ST_LightRigDirection (Light Rig Direction)</w:t>
        </w:r>
        <w:r>
          <w:rPr>
            <w:noProof/>
            <w:webHidden/>
          </w:rPr>
          <w:tab/>
        </w:r>
        <w:r>
          <w:rPr>
            <w:noProof/>
            <w:webHidden/>
          </w:rPr>
          <w:fldChar w:fldCharType="begin"/>
        </w:r>
        <w:r>
          <w:rPr>
            <w:noProof/>
            <w:webHidden/>
          </w:rPr>
          <w:instrText xml:space="preserve"> PAGEREF _Toc69879101 \h </w:instrText>
        </w:r>
        <w:r>
          <w:rPr>
            <w:noProof/>
            <w:webHidden/>
          </w:rPr>
        </w:r>
        <w:r>
          <w:rPr>
            <w:noProof/>
            <w:webHidden/>
          </w:rPr>
          <w:fldChar w:fldCharType="separate"/>
        </w:r>
        <w:r>
          <w:rPr>
            <w:noProof/>
            <w:webHidden/>
          </w:rPr>
          <w:t>521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02" w:history="1">
        <w:r w:rsidRPr="00CC53E5">
          <w:rPr>
            <w:rStyle w:val="Hyperlink"/>
            <w:noProof/>
          </w:rPr>
          <w:t>2.1.1319</w:t>
        </w:r>
        <w:r>
          <w:rPr>
            <w:rFonts w:asciiTheme="minorHAnsi" w:eastAsiaTheme="minorEastAsia" w:hAnsiTheme="minorHAnsi" w:cstheme="minorBidi"/>
            <w:noProof/>
            <w:sz w:val="22"/>
            <w:szCs w:val="22"/>
          </w:rPr>
          <w:tab/>
        </w:r>
        <w:r w:rsidRPr="00CC53E5">
          <w:rPr>
            <w:rStyle w:val="Hyperlink"/>
            <w:noProof/>
          </w:rPr>
          <w:t>Part 1 Section 20.1.10.30, ST_LightRigType (Light Rig Type)</w:t>
        </w:r>
        <w:r>
          <w:rPr>
            <w:noProof/>
            <w:webHidden/>
          </w:rPr>
          <w:tab/>
        </w:r>
        <w:r>
          <w:rPr>
            <w:noProof/>
            <w:webHidden/>
          </w:rPr>
          <w:fldChar w:fldCharType="begin"/>
        </w:r>
        <w:r>
          <w:rPr>
            <w:noProof/>
            <w:webHidden/>
          </w:rPr>
          <w:instrText xml:space="preserve"> PAGEREF _Toc69879102 \h </w:instrText>
        </w:r>
        <w:r>
          <w:rPr>
            <w:noProof/>
            <w:webHidden/>
          </w:rPr>
        </w:r>
        <w:r>
          <w:rPr>
            <w:noProof/>
            <w:webHidden/>
          </w:rPr>
          <w:fldChar w:fldCharType="separate"/>
        </w:r>
        <w:r>
          <w:rPr>
            <w:noProof/>
            <w:webHidden/>
          </w:rPr>
          <w:t>521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03" w:history="1">
        <w:r w:rsidRPr="00CC53E5">
          <w:rPr>
            <w:rStyle w:val="Hyperlink"/>
            <w:noProof/>
          </w:rPr>
          <w:t>2.1.1320</w:t>
        </w:r>
        <w:r>
          <w:rPr>
            <w:rFonts w:asciiTheme="minorHAnsi" w:eastAsiaTheme="minorEastAsia" w:hAnsiTheme="minorHAnsi" w:cstheme="minorBidi"/>
            <w:noProof/>
            <w:sz w:val="22"/>
            <w:szCs w:val="22"/>
          </w:rPr>
          <w:tab/>
        </w:r>
        <w:r w:rsidRPr="00CC53E5">
          <w:rPr>
            <w:rStyle w:val="Hyperlink"/>
            <w:noProof/>
          </w:rPr>
          <w:t>Part 1 Section 20.1.10.32, ST_LineEndLength (Line End Length)</w:t>
        </w:r>
        <w:r>
          <w:rPr>
            <w:noProof/>
            <w:webHidden/>
          </w:rPr>
          <w:tab/>
        </w:r>
        <w:r>
          <w:rPr>
            <w:noProof/>
            <w:webHidden/>
          </w:rPr>
          <w:fldChar w:fldCharType="begin"/>
        </w:r>
        <w:r>
          <w:rPr>
            <w:noProof/>
            <w:webHidden/>
          </w:rPr>
          <w:instrText xml:space="preserve"> PAGEREF _Toc69879103 \h </w:instrText>
        </w:r>
        <w:r>
          <w:rPr>
            <w:noProof/>
            <w:webHidden/>
          </w:rPr>
        </w:r>
        <w:r>
          <w:rPr>
            <w:noProof/>
            <w:webHidden/>
          </w:rPr>
          <w:fldChar w:fldCharType="separate"/>
        </w:r>
        <w:r>
          <w:rPr>
            <w:noProof/>
            <w:webHidden/>
          </w:rPr>
          <w:t>521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04" w:history="1">
        <w:r w:rsidRPr="00CC53E5">
          <w:rPr>
            <w:rStyle w:val="Hyperlink"/>
            <w:noProof/>
          </w:rPr>
          <w:t>2.1.1321</w:t>
        </w:r>
        <w:r>
          <w:rPr>
            <w:rFonts w:asciiTheme="minorHAnsi" w:eastAsiaTheme="minorEastAsia" w:hAnsiTheme="minorHAnsi" w:cstheme="minorBidi"/>
            <w:noProof/>
            <w:sz w:val="22"/>
            <w:szCs w:val="22"/>
          </w:rPr>
          <w:tab/>
        </w:r>
        <w:r w:rsidRPr="00CC53E5">
          <w:rPr>
            <w:rStyle w:val="Hyperlink"/>
            <w:noProof/>
          </w:rPr>
          <w:t>Part 1 Section 20.1.10.35, ST_LineWidth (Line Width)</w:t>
        </w:r>
        <w:r>
          <w:rPr>
            <w:noProof/>
            <w:webHidden/>
          </w:rPr>
          <w:tab/>
        </w:r>
        <w:r>
          <w:rPr>
            <w:noProof/>
            <w:webHidden/>
          </w:rPr>
          <w:fldChar w:fldCharType="begin"/>
        </w:r>
        <w:r>
          <w:rPr>
            <w:noProof/>
            <w:webHidden/>
          </w:rPr>
          <w:instrText xml:space="preserve"> PAGEREF _Toc69879104 \h </w:instrText>
        </w:r>
        <w:r>
          <w:rPr>
            <w:noProof/>
            <w:webHidden/>
          </w:rPr>
        </w:r>
        <w:r>
          <w:rPr>
            <w:noProof/>
            <w:webHidden/>
          </w:rPr>
          <w:fldChar w:fldCharType="separate"/>
        </w:r>
        <w:r>
          <w:rPr>
            <w:noProof/>
            <w:webHidden/>
          </w:rPr>
          <w:t>522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05" w:history="1">
        <w:r w:rsidRPr="00CC53E5">
          <w:rPr>
            <w:rStyle w:val="Hyperlink"/>
            <w:noProof/>
          </w:rPr>
          <w:t>2.1.1322</w:t>
        </w:r>
        <w:r>
          <w:rPr>
            <w:rFonts w:asciiTheme="minorHAnsi" w:eastAsiaTheme="minorEastAsia" w:hAnsiTheme="minorHAnsi" w:cstheme="minorBidi"/>
            <w:noProof/>
            <w:sz w:val="22"/>
            <w:szCs w:val="22"/>
          </w:rPr>
          <w:tab/>
        </w:r>
        <w:r w:rsidRPr="00CC53E5">
          <w:rPr>
            <w:rStyle w:val="Hyperlink"/>
            <w:noProof/>
          </w:rPr>
          <w:t>Part 1 Section 20.1.10.37, ST_PathFillMode (Path Fill Mode)</w:t>
        </w:r>
        <w:r>
          <w:rPr>
            <w:noProof/>
            <w:webHidden/>
          </w:rPr>
          <w:tab/>
        </w:r>
        <w:r>
          <w:rPr>
            <w:noProof/>
            <w:webHidden/>
          </w:rPr>
          <w:fldChar w:fldCharType="begin"/>
        </w:r>
        <w:r>
          <w:rPr>
            <w:noProof/>
            <w:webHidden/>
          </w:rPr>
          <w:instrText xml:space="preserve"> PAGEREF _Toc69879105 \h </w:instrText>
        </w:r>
        <w:r>
          <w:rPr>
            <w:noProof/>
            <w:webHidden/>
          </w:rPr>
        </w:r>
        <w:r>
          <w:rPr>
            <w:noProof/>
            <w:webHidden/>
          </w:rPr>
          <w:fldChar w:fldCharType="separate"/>
        </w:r>
        <w:r>
          <w:rPr>
            <w:noProof/>
            <w:webHidden/>
          </w:rPr>
          <w:t>522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06" w:history="1">
        <w:r w:rsidRPr="00CC53E5">
          <w:rPr>
            <w:rStyle w:val="Hyperlink"/>
            <w:noProof/>
          </w:rPr>
          <w:t>2.1.1323</w:t>
        </w:r>
        <w:r>
          <w:rPr>
            <w:rFonts w:asciiTheme="minorHAnsi" w:eastAsiaTheme="minorEastAsia" w:hAnsiTheme="minorHAnsi" w:cstheme="minorBidi"/>
            <w:noProof/>
            <w:sz w:val="22"/>
            <w:szCs w:val="22"/>
          </w:rPr>
          <w:tab/>
        </w:r>
        <w:r w:rsidRPr="00CC53E5">
          <w:rPr>
            <w:rStyle w:val="Hyperlink"/>
            <w:noProof/>
          </w:rPr>
          <w:t>Part 1 Section 20.1.10.39, ST_PenAlignment (Alignment Type)</w:t>
        </w:r>
        <w:r>
          <w:rPr>
            <w:noProof/>
            <w:webHidden/>
          </w:rPr>
          <w:tab/>
        </w:r>
        <w:r>
          <w:rPr>
            <w:noProof/>
            <w:webHidden/>
          </w:rPr>
          <w:fldChar w:fldCharType="begin"/>
        </w:r>
        <w:r>
          <w:rPr>
            <w:noProof/>
            <w:webHidden/>
          </w:rPr>
          <w:instrText xml:space="preserve"> PAGEREF _Toc69879106 \h </w:instrText>
        </w:r>
        <w:r>
          <w:rPr>
            <w:noProof/>
            <w:webHidden/>
          </w:rPr>
        </w:r>
        <w:r>
          <w:rPr>
            <w:noProof/>
            <w:webHidden/>
          </w:rPr>
          <w:fldChar w:fldCharType="separate"/>
        </w:r>
        <w:r>
          <w:rPr>
            <w:noProof/>
            <w:webHidden/>
          </w:rPr>
          <w:t>522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07" w:history="1">
        <w:r w:rsidRPr="00CC53E5">
          <w:rPr>
            <w:rStyle w:val="Hyperlink"/>
            <w:noProof/>
          </w:rPr>
          <w:t>2.1.1324</w:t>
        </w:r>
        <w:r>
          <w:rPr>
            <w:rFonts w:asciiTheme="minorHAnsi" w:eastAsiaTheme="minorEastAsia" w:hAnsiTheme="minorHAnsi" w:cstheme="minorBidi"/>
            <w:noProof/>
            <w:sz w:val="22"/>
            <w:szCs w:val="22"/>
          </w:rPr>
          <w:tab/>
        </w:r>
        <w:r w:rsidRPr="00CC53E5">
          <w:rPr>
            <w:rStyle w:val="Hyperlink"/>
            <w:noProof/>
          </w:rPr>
          <w:t>Part 1 Section 20.1.10.40, ST_Percentage (Percentage)</w:t>
        </w:r>
        <w:r>
          <w:rPr>
            <w:noProof/>
            <w:webHidden/>
          </w:rPr>
          <w:tab/>
        </w:r>
        <w:r>
          <w:rPr>
            <w:noProof/>
            <w:webHidden/>
          </w:rPr>
          <w:fldChar w:fldCharType="begin"/>
        </w:r>
        <w:r>
          <w:rPr>
            <w:noProof/>
            <w:webHidden/>
          </w:rPr>
          <w:instrText xml:space="preserve"> PAGEREF _Toc69879107 \h </w:instrText>
        </w:r>
        <w:r>
          <w:rPr>
            <w:noProof/>
            <w:webHidden/>
          </w:rPr>
        </w:r>
        <w:r>
          <w:rPr>
            <w:noProof/>
            <w:webHidden/>
          </w:rPr>
          <w:fldChar w:fldCharType="separate"/>
        </w:r>
        <w:r>
          <w:rPr>
            <w:noProof/>
            <w:webHidden/>
          </w:rPr>
          <w:t>522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08" w:history="1">
        <w:r w:rsidRPr="00CC53E5">
          <w:rPr>
            <w:rStyle w:val="Hyperlink"/>
            <w:noProof/>
          </w:rPr>
          <w:t>2.1.1325</w:t>
        </w:r>
        <w:r>
          <w:rPr>
            <w:rFonts w:asciiTheme="minorHAnsi" w:eastAsiaTheme="minorEastAsia" w:hAnsiTheme="minorHAnsi" w:cstheme="minorBidi"/>
            <w:noProof/>
            <w:sz w:val="22"/>
            <w:szCs w:val="22"/>
          </w:rPr>
          <w:tab/>
        </w:r>
        <w:r w:rsidRPr="00CC53E5">
          <w:rPr>
            <w:rStyle w:val="Hyperlink"/>
            <w:noProof/>
          </w:rPr>
          <w:t>Part 1 Section 20.1.10.41, ST_PositiveCoordinate (Positive Coordinate)</w:t>
        </w:r>
        <w:r>
          <w:rPr>
            <w:noProof/>
            <w:webHidden/>
          </w:rPr>
          <w:tab/>
        </w:r>
        <w:r>
          <w:rPr>
            <w:noProof/>
            <w:webHidden/>
          </w:rPr>
          <w:fldChar w:fldCharType="begin"/>
        </w:r>
        <w:r>
          <w:rPr>
            <w:noProof/>
            <w:webHidden/>
          </w:rPr>
          <w:instrText xml:space="preserve"> PAGEREF _Toc69879108 \h </w:instrText>
        </w:r>
        <w:r>
          <w:rPr>
            <w:noProof/>
            <w:webHidden/>
          </w:rPr>
        </w:r>
        <w:r>
          <w:rPr>
            <w:noProof/>
            <w:webHidden/>
          </w:rPr>
          <w:fldChar w:fldCharType="separate"/>
        </w:r>
        <w:r>
          <w:rPr>
            <w:noProof/>
            <w:webHidden/>
          </w:rPr>
          <w:t>522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09" w:history="1">
        <w:r w:rsidRPr="00CC53E5">
          <w:rPr>
            <w:rStyle w:val="Hyperlink"/>
            <w:noProof/>
          </w:rPr>
          <w:t>2.1.1326</w:t>
        </w:r>
        <w:r>
          <w:rPr>
            <w:rFonts w:asciiTheme="minorHAnsi" w:eastAsiaTheme="minorEastAsia" w:hAnsiTheme="minorHAnsi" w:cstheme="minorBidi"/>
            <w:noProof/>
            <w:sz w:val="22"/>
            <w:szCs w:val="22"/>
          </w:rPr>
          <w:tab/>
        </w:r>
        <w:r w:rsidRPr="00CC53E5">
          <w:rPr>
            <w:rStyle w:val="Hyperlink"/>
            <w:noProof/>
          </w:rPr>
          <w:t>Part 1 Section 20.1.10.44, ST_PositiveFixedPercentage (Positive Fixed Percentage)</w:t>
        </w:r>
        <w:r>
          <w:rPr>
            <w:noProof/>
            <w:webHidden/>
          </w:rPr>
          <w:tab/>
        </w:r>
        <w:r>
          <w:rPr>
            <w:noProof/>
            <w:webHidden/>
          </w:rPr>
          <w:fldChar w:fldCharType="begin"/>
        </w:r>
        <w:r>
          <w:rPr>
            <w:noProof/>
            <w:webHidden/>
          </w:rPr>
          <w:instrText xml:space="preserve"> PAGEREF _Toc69879109 \h </w:instrText>
        </w:r>
        <w:r>
          <w:rPr>
            <w:noProof/>
            <w:webHidden/>
          </w:rPr>
        </w:r>
        <w:r>
          <w:rPr>
            <w:noProof/>
            <w:webHidden/>
          </w:rPr>
          <w:fldChar w:fldCharType="separate"/>
        </w:r>
        <w:r>
          <w:rPr>
            <w:noProof/>
            <w:webHidden/>
          </w:rPr>
          <w:t>523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10" w:history="1">
        <w:r w:rsidRPr="00CC53E5">
          <w:rPr>
            <w:rStyle w:val="Hyperlink"/>
            <w:noProof/>
          </w:rPr>
          <w:t>2.1.1327</w:t>
        </w:r>
        <w:r>
          <w:rPr>
            <w:rFonts w:asciiTheme="minorHAnsi" w:eastAsiaTheme="minorEastAsia" w:hAnsiTheme="minorHAnsi" w:cstheme="minorBidi"/>
            <w:noProof/>
            <w:sz w:val="22"/>
            <w:szCs w:val="22"/>
          </w:rPr>
          <w:tab/>
        </w:r>
        <w:r w:rsidRPr="00CC53E5">
          <w:rPr>
            <w:rStyle w:val="Hyperlink"/>
            <w:noProof/>
          </w:rPr>
          <w:t>Part 1 Section 20.1.10.45, ST_PositivePercentage (Positive Percentage)</w:t>
        </w:r>
        <w:r>
          <w:rPr>
            <w:noProof/>
            <w:webHidden/>
          </w:rPr>
          <w:tab/>
        </w:r>
        <w:r>
          <w:rPr>
            <w:noProof/>
            <w:webHidden/>
          </w:rPr>
          <w:fldChar w:fldCharType="begin"/>
        </w:r>
        <w:r>
          <w:rPr>
            <w:noProof/>
            <w:webHidden/>
          </w:rPr>
          <w:instrText xml:space="preserve"> PAGEREF _Toc69879110 \h </w:instrText>
        </w:r>
        <w:r>
          <w:rPr>
            <w:noProof/>
            <w:webHidden/>
          </w:rPr>
        </w:r>
        <w:r>
          <w:rPr>
            <w:noProof/>
            <w:webHidden/>
          </w:rPr>
          <w:fldChar w:fldCharType="separate"/>
        </w:r>
        <w:r>
          <w:rPr>
            <w:noProof/>
            <w:webHidden/>
          </w:rPr>
          <w:t>523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11" w:history="1">
        <w:r w:rsidRPr="00CC53E5">
          <w:rPr>
            <w:rStyle w:val="Hyperlink"/>
            <w:noProof/>
          </w:rPr>
          <w:t>2.1.1328</w:t>
        </w:r>
        <w:r>
          <w:rPr>
            <w:rFonts w:asciiTheme="minorHAnsi" w:eastAsiaTheme="minorEastAsia" w:hAnsiTheme="minorHAnsi" w:cstheme="minorBidi"/>
            <w:noProof/>
            <w:sz w:val="22"/>
            <w:szCs w:val="22"/>
          </w:rPr>
          <w:tab/>
        </w:r>
        <w:r w:rsidRPr="00CC53E5">
          <w:rPr>
            <w:rStyle w:val="Hyperlink"/>
            <w:noProof/>
          </w:rPr>
          <w:t>Part 1 Section 20.1.10.47, ST_PresetColorVal (Preset Color Value)</w:t>
        </w:r>
        <w:r>
          <w:rPr>
            <w:noProof/>
            <w:webHidden/>
          </w:rPr>
          <w:tab/>
        </w:r>
        <w:r>
          <w:rPr>
            <w:noProof/>
            <w:webHidden/>
          </w:rPr>
          <w:fldChar w:fldCharType="begin"/>
        </w:r>
        <w:r>
          <w:rPr>
            <w:noProof/>
            <w:webHidden/>
          </w:rPr>
          <w:instrText xml:space="preserve"> PAGEREF _Toc69879111 \h </w:instrText>
        </w:r>
        <w:r>
          <w:rPr>
            <w:noProof/>
            <w:webHidden/>
          </w:rPr>
        </w:r>
        <w:r>
          <w:rPr>
            <w:noProof/>
            <w:webHidden/>
          </w:rPr>
          <w:fldChar w:fldCharType="separate"/>
        </w:r>
        <w:r>
          <w:rPr>
            <w:noProof/>
            <w:webHidden/>
          </w:rPr>
          <w:t>523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12" w:history="1">
        <w:r w:rsidRPr="00CC53E5">
          <w:rPr>
            <w:rStyle w:val="Hyperlink"/>
            <w:noProof/>
          </w:rPr>
          <w:t>2.1.1329</w:t>
        </w:r>
        <w:r>
          <w:rPr>
            <w:rFonts w:asciiTheme="minorHAnsi" w:eastAsiaTheme="minorEastAsia" w:hAnsiTheme="minorHAnsi" w:cstheme="minorBidi"/>
            <w:noProof/>
            <w:sz w:val="22"/>
            <w:szCs w:val="22"/>
          </w:rPr>
          <w:tab/>
        </w:r>
        <w:r w:rsidRPr="00CC53E5">
          <w:rPr>
            <w:rStyle w:val="Hyperlink"/>
            <w:noProof/>
          </w:rPr>
          <w:t>Part 1 Section 20.1.10.49, ST_PresetMaterialType (Preset Material Type)</w:t>
        </w:r>
        <w:r>
          <w:rPr>
            <w:noProof/>
            <w:webHidden/>
          </w:rPr>
          <w:tab/>
        </w:r>
        <w:r>
          <w:rPr>
            <w:noProof/>
            <w:webHidden/>
          </w:rPr>
          <w:fldChar w:fldCharType="begin"/>
        </w:r>
        <w:r>
          <w:rPr>
            <w:noProof/>
            <w:webHidden/>
          </w:rPr>
          <w:instrText xml:space="preserve"> PAGEREF _Toc69879112 \h </w:instrText>
        </w:r>
        <w:r>
          <w:rPr>
            <w:noProof/>
            <w:webHidden/>
          </w:rPr>
        </w:r>
        <w:r>
          <w:rPr>
            <w:noProof/>
            <w:webHidden/>
          </w:rPr>
          <w:fldChar w:fldCharType="separate"/>
        </w:r>
        <w:r>
          <w:rPr>
            <w:noProof/>
            <w:webHidden/>
          </w:rPr>
          <w:t>523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13" w:history="1">
        <w:r w:rsidRPr="00CC53E5">
          <w:rPr>
            <w:rStyle w:val="Hyperlink"/>
            <w:noProof/>
          </w:rPr>
          <w:t>2.1.1330</w:t>
        </w:r>
        <w:r>
          <w:rPr>
            <w:rFonts w:asciiTheme="minorHAnsi" w:eastAsiaTheme="minorEastAsia" w:hAnsiTheme="minorHAnsi" w:cstheme="minorBidi"/>
            <w:noProof/>
            <w:sz w:val="22"/>
            <w:szCs w:val="22"/>
          </w:rPr>
          <w:tab/>
        </w:r>
        <w:r w:rsidRPr="00CC53E5">
          <w:rPr>
            <w:rStyle w:val="Hyperlink"/>
            <w:noProof/>
          </w:rPr>
          <w:t>Part 1 Section 20.1.10.54, ST_ShapeID (Shape ID)</w:t>
        </w:r>
        <w:r>
          <w:rPr>
            <w:noProof/>
            <w:webHidden/>
          </w:rPr>
          <w:tab/>
        </w:r>
        <w:r>
          <w:rPr>
            <w:noProof/>
            <w:webHidden/>
          </w:rPr>
          <w:fldChar w:fldCharType="begin"/>
        </w:r>
        <w:r>
          <w:rPr>
            <w:noProof/>
            <w:webHidden/>
          </w:rPr>
          <w:instrText xml:space="preserve"> PAGEREF _Toc69879113 \h </w:instrText>
        </w:r>
        <w:r>
          <w:rPr>
            <w:noProof/>
            <w:webHidden/>
          </w:rPr>
        </w:r>
        <w:r>
          <w:rPr>
            <w:noProof/>
            <w:webHidden/>
          </w:rPr>
          <w:fldChar w:fldCharType="separate"/>
        </w:r>
        <w:r>
          <w:rPr>
            <w:noProof/>
            <w:webHidden/>
          </w:rPr>
          <w:t>523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14" w:history="1">
        <w:r w:rsidRPr="00CC53E5">
          <w:rPr>
            <w:rStyle w:val="Hyperlink"/>
            <w:noProof/>
          </w:rPr>
          <w:t>2.1.1331</w:t>
        </w:r>
        <w:r>
          <w:rPr>
            <w:rFonts w:asciiTheme="minorHAnsi" w:eastAsiaTheme="minorEastAsia" w:hAnsiTheme="minorHAnsi" w:cstheme="minorBidi"/>
            <w:noProof/>
            <w:sz w:val="22"/>
            <w:szCs w:val="22"/>
          </w:rPr>
          <w:tab/>
        </w:r>
        <w:r w:rsidRPr="00CC53E5">
          <w:rPr>
            <w:rStyle w:val="Hyperlink"/>
            <w:noProof/>
          </w:rPr>
          <w:t>Part 1 Section 20.1.10.55, ST_ShapeType (Preset Shape Types)</w:t>
        </w:r>
        <w:r>
          <w:rPr>
            <w:noProof/>
            <w:webHidden/>
          </w:rPr>
          <w:tab/>
        </w:r>
        <w:r>
          <w:rPr>
            <w:noProof/>
            <w:webHidden/>
          </w:rPr>
          <w:fldChar w:fldCharType="begin"/>
        </w:r>
        <w:r>
          <w:rPr>
            <w:noProof/>
            <w:webHidden/>
          </w:rPr>
          <w:instrText xml:space="preserve"> PAGEREF _Toc69879114 \h </w:instrText>
        </w:r>
        <w:r>
          <w:rPr>
            <w:noProof/>
            <w:webHidden/>
          </w:rPr>
        </w:r>
        <w:r>
          <w:rPr>
            <w:noProof/>
            <w:webHidden/>
          </w:rPr>
          <w:fldChar w:fldCharType="separate"/>
        </w:r>
        <w:r>
          <w:rPr>
            <w:noProof/>
            <w:webHidden/>
          </w:rPr>
          <w:t>524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15" w:history="1">
        <w:r w:rsidRPr="00CC53E5">
          <w:rPr>
            <w:rStyle w:val="Hyperlink"/>
            <w:noProof/>
          </w:rPr>
          <w:t>2.1.1332</w:t>
        </w:r>
        <w:r>
          <w:rPr>
            <w:rFonts w:asciiTheme="minorHAnsi" w:eastAsiaTheme="minorEastAsia" w:hAnsiTheme="minorHAnsi" w:cstheme="minorBidi"/>
            <w:noProof/>
            <w:sz w:val="22"/>
            <w:szCs w:val="22"/>
          </w:rPr>
          <w:tab/>
        </w:r>
        <w:r w:rsidRPr="00CC53E5">
          <w:rPr>
            <w:rStyle w:val="Hyperlink"/>
            <w:noProof/>
          </w:rPr>
          <w:t>Part 1 Section 20.1.10.59, ST_TextAnchoringType (Text Anchoring Types)</w:t>
        </w:r>
        <w:r>
          <w:rPr>
            <w:noProof/>
            <w:webHidden/>
          </w:rPr>
          <w:tab/>
        </w:r>
        <w:r>
          <w:rPr>
            <w:noProof/>
            <w:webHidden/>
          </w:rPr>
          <w:fldChar w:fldCharType="begin"/>
        </w:r>
        <w:r>
          <w:rPr>
            <w:noProof/>
            <w:webHidden/>
          </w:rPr>
          <w:instrText xml:space="preserve"> PAGEREF _Toc69879115 \h </w:instrText>
        </w:r>
        <w:r>
          <w:rPr>
            <w:noProof/>
            <w:webHidden/>
          </w:rPr>
        </w:r>
        <w:r>
          <w:rPr>
            <w:noProof/>
            <w:webHidden/>
          </w:rPr>
          <w:fldChar w:fldCharType="separate"/>
        </w:r>
        <w:r>
          <w:rPr>
            <w:noProof/>
            <w:webHidden/>
          </w:rPr>
          <w:t>524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16" w:history="1">
        <w:r w:rsidRPr="00CC53E5">
          <w:rPr>
            <w:rStyle w:val="Hyperlink"/>
            <w:noProof/>
          </w:rPr>
          <w:t>2.1.1333</w:t>
        </w:r>
        <w:r>
          <w:rPr>
            <w:rFonts w:asciiTheme="minorHAnsi" w:eastAsiaTheme="minorEastAsia" w:hAnsiTheme="minorHAnsi" w:cstheme="minorBidi"/>
            <w:noProof/>
            <w:sz w:val="22"/>
            <w:szCs w:val="22"/>
          </w:rPr>
          <w:tab/>
        </w:r>
        <w:r w:rsidRPr="00CC53E5">
          <w:rPr>
            <w:rStyle w:val="Hyperlink"/>
            <w:noProof/>
          </w:rPr>
          <w:t>Part 1 Section 20.1.10.61, ST_TextAutonumberScheme (Text Auto-number Schemes)</w:t>
        </w:r>
        <w:r>
          <w:rPr>
            <w:noProof/>
            <w:webHidden/>
          </w:rPr>
          <w:tab/>
        </w:r>
        <w:r>
          <w:rPr>
            <w:noProof/>
            <w:webHidden/>
          </w:rPr>
          <w:fldChar w:fldCharType="begin"/>
        </w:r>
        <w:r>
          <w:rPr>
            <w:noProof/>
            <w:webHidden/>
          </w:rPr>
          <w:instrText xml:space="preserve"> PAGEREF _Toc69879116 \h </w:instrText>
        </w:r>
        <w:r>
          <w:rPr>
            <w:noProof/>
            <w:webHidden/>
          </w:rPr>
        </w:r>
        <w:r>
          <w:rPr>
            <w:noProof/>
            <w:webHidden/>
          </w:rPr>
          <w:fldChar w:fldCharType="separate"/>
        </w:r>
        <w:r>
          <w:rPr>
            <w:noProof/>
            <w:webHidden/>
          </w:rPr>
          <w:t>524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17" w:history="1">
        <w:r w:rsidRPr="00CC53E5">
          <w:rPr>
            <w:rStyle w:val="Hyperlink"/>
            <w:noProof/>
          </w:rPr>
          <w:t>2.1.1334</w:t>
        </w:r>
        <w:r>
          <w:rPr>
            <w:rFonts w:asciiTheme="minorHAnsi" w:eastAsiaTheme="minorEastAsia" w:hAnsiTheme="minorHAnsi" w:cstheme="minorBidi"/>
            <w:noProof/>
            <w:sz w:val="22"/>
            <w:szCs w:val="22"/>
          </w:rPr>
          <w:tab/>
        </w:r>
        <w:r w:rsidRPr="00CC53E5">
          <w:rPr>
            <w:rStyle w:val="Hyperlink"/>
            <w:noProof/>
          </w:rPr>
          <w:t>Part 1 Section 20.1.10.63, ST_TextCapsType (Text Cap Types)</w:t>
        </w:r>
        <w:r>
          <w:rPr>
            <w:noProof/>
            <w:webHidden/>
          </w:rPr>
          <w:tab/>
        </w:r>
        <w:r>
          <w:rPr>
            <w:noProof/>
            <w:webHidden/>
          </w:rPr>
          <w:fldChar w:fldCharType="begin"/>
        </w:r>
        <w:r>
          <w:rPr>
            <w:noProof/>
            <w:webHidden/>
          </w:rPr>
          <w:instrText xml:space="preserve"> PAGEREF _Toc69879117 \h </w:instrText>
        </w:r>
        <w:r>
          <w:rPr>
            <w:noProof/>
            <w:webHidden/>
          </w:rPr>
        </w:r>
        <w:r>
          <w:rPr>
            <w:noProof/>
            <w:webHidden/>
          </w:rPr>
          <w:fldChar w:fldCharType="separate"/>
        </w:r>
        <w:r>
          <w:rPr>
            <w:noProof/>
            <w:webHidden/>
          </w:rPr>
          <w:t>524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18" w:history="1">
        <w:r w:rsidRPr="00CC53E5">
          <w:rPr>
            <w:rStyle w:val="Hyperlink"/>
            <w:noProof/>
          </w:rPr>
          <w:t>2.1.1335</w:t>
        </w:r>
        <w:r>
          <w:rPr>
            <w:rFonts w:asciiTheme="minorHAnsi" w:eastAsiaTheme="minorEastAsia" w:hAnsiTheme="minorHAnsi" w:cstheme="minorBidi"/>
            <w:noProof/>
            <w:sz w:val="22"/>
            <w:szCs w:val="22"/>
          </w:rPr>
          <w:tab/>
        </w:r>
        <w:r w:rsidRPr="00CC53E5">
          <w:rPr>
            <w:rStyle w:val="Hyperlink"/>
            <w:noProof/>
          </w:rPr>
          <w:t>Part 1 Section 20.1.10.66, ST_TextFontScalePercentOrPercentString (Text Font Scale Percentage)</w:t>
        </w:r>
        <w:r>
          <w:rPr>
            <w:noProof/>
            <w:webHidden/>
          </w:rPr>
          <w:tab/>
        </w:r>
        <w:r>
          <w:rPr>
            <w:noProof/>
            <w:webHidden/>
          </w:rPr>
          <w:fldChar w:fldCharType="begin"/>
        </w:r>
        <w:r>
          <w:rPr>
            <w:noProof/>
            <w:webHidden/>
          </w:rPr>
          <w:instrText xml:space="preserve"> PAGEREF _Toc69879118 \h </w:instrText>
        </w:r>
        <w:r>
          <w:rPr>
            <w:noProof/>
            <w:webHidden/>
          </w:rPr>
        </w:r>
        <w:r>
          <w:rPr>
            <w:noProof/>
            <w:webHidden/>
          </w:rPr>
          <w:fldChar w:fldCharType="separate"/>
        </w:r>
        <w:r>
          <w:rPr>
            <w:noProof/>
            <w:webHidden/>
          </w:rPr>
          <w:t>525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19" w:history="1">
        <w:r w:rsidRPr="00CC53E5">
          <w:rPr>
            <w:rStyle w:val="Hyperlink"/>
            <w:noProof/>
          </w:rPr>
          <w:t>2.1.1336</w:t>
        </w:r>
        <w:r>
          <w:rPr>
            <w:rFonts w:asciiTheme="minorHAnsi" w:eastAsiaTheme="minorEastAsia" w:hAnsiTheme="minorHAnsi" w:cstheme="minorBidi"/>
            <w:noProof/>
            <w:sz w:val="22"/>
            <w:szCs w:val="22"/>
          </w:rPr>
          <w:tab/>
        </w:r>
        <w:r w:rsidRPr="00CC53E5">
          <w:rPr>
            <w:rStyle w:val="Hyperlink"/>
            <w:noProof/>
          </w:rPr>
          <w:t>Part 1 Section 20.1.10.72, ST_TextNonNegativePoint (Text Non-Negative Point)</w:t>
        </w:r>
        <w:r>
          <w:rPr>
            <w:noProof/>
            <w:webHidden/>
          </w:rPr>
          <w:tab/>
        </w:r>
        <w:r>
          <w:rPr>
            <w:noProof/>
            <w:webHidden/>
          </w:rPr>
          <w:fldChar w:fldCharType="begin"/>
        </w:r>
        <w:r>
          <w:rPr>
            <w:noProof/>
            <w:webHidden/>
          </w:rPr>
          <w:instrText xml:space="preserve"> PAGEREF _Toc69879119 \h </w:instrText>
        </w:r>
        <w:r>
          <w:rPr>
            <w:noProof/>
            <w:webHidden/>
          </w:rPr>
        </w:r>
        <w:r>
          <w:rPr>
            <w:noProof/>
            <w:webHidden/>
          </w:rPr>
          <w:fldChar w:fldCharType="separate"/>
        </w:r>
        <w:r>
          <w:rPr>
            <w:noProof/>
            <w:webHidden/>
          </w:rPr>
          <w:t>525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20" w:history="1">
        <w:r w:rsidRPr="00CC53E5">
          <w:rPr>
            <w:rStyle w:val="Hyperlink"/>
            <w:noProof/>
          </w:rPr>
          <w:t>2.1.1337</w:t>
        </w:r>
        <w:r>
          <w:rPr>
            <w:rFonts w:asciiTheme="minorHAnsi" w:eastAsiaTheme="minorEastAsia" w:hAnsiTheme="minorHAnsi" w:cstheme="minorBidi"/>
            <w:noProof/>
            <w:sz w:val="22"/>
            <w:szCs w:val="22"/>
          </w:rPr>
          <w:tab/>
        </w:r>
        <w:r w:rsidRPr="00CC53E5">
          <w:rPr>
            <w:rStyle w:val="Hyperlink"/>
            <w:noProof/>
          </w:rPr>
          <w:t>Part 1 Section 20.1.10.73, ST_TextPoint (Text Point)</w:t>
        </w:r>
        <w:r>
          <w:rPr>
            <w:noProof/>
            <w:webHidden/>
          </w:rPr>
          <w:tab/>
        </w:r>
        <w:r>
          <w:rPr>
            <w:noProof/>
            <w:webHidden/>
          </w:rPr>
          <w:fldChar w:fldCharType="begin"/>
        </w:r>
        <w:r>
          <w:rPr>
            <w:noProof/>
            <w:webHidden/>
          </w:rPr>
          <w:instrText xml:space="preserve"> PAGEREF _Toc69879120 \h </w:instrText>
        </w:r>
        <w:r>
          <w:rPr>
            <w:noProof/>
            <w:webHidden/>
          </w:rPr>
        </w:r>
        <w:r>
          <w:rPr>
            <w:noProof/>
            <w:webHidden/>
          </w:rPr>
          <w:fldChar w:fldCharType="separate"/>
        </w:r>
        <w:r>
          <w:rPr>
            <w:noProof/>
            <w:webHidden/>
          </w:rPr>
          <w:t>525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21" w:history="1">
        <w:r w:rsidRPr="00CC53E5">
          <w:rPr>
            <w:rStyle w:val="Hyperlink"/>
            <w:noProof/>
          </w:rPr>
          <w:t>2.1.1338</w:t>
        </w:r>
        <w:r>
          <w:rPr>
            <w:rFonts w:asciiTheme="minorHAnsi" w:eastAsiaTheme="minorEastAsia" w:hAnsiTheme="minorHAnsi" w:cstheme="minorBidi"/>
            <w:noProof/>
            <w:sz w:val="22"/>
            <w:szCs w:val="22"/>
          </w:rPr>
          <w:tab/>
        </w:r>
        <w:r w:rsidRPr="00CC53E5">
          <w:rPr>
            <w:rStyle w:val="Hyperlink"/>
            <w:noProof/>
          </w:rPr>
          <w:t>Part 1 Section 20.1.10.75, ST_TextShapeType (Preset Text Shape Types)</w:t>
        </w:r>
        <w:r>
          <w:rPr>
            <w:noProof/>
            <w:webHidden/>
          </w:rPr>
          <w:tab/>
        </w:r>
        <w:r>
          <w:rPr>
            <w:noProof/>
            <w:webHidden/>
          </w:rPr>
          <w:fldChar w:fldCharType="begin"/>
        </w:r>
        <w:r>
          <w:rPr>
            <w:noProof/>
            <w:webHidden/>
          </w:rPr>
          <w:instrText xml:space="preserve"> PAGEREF _Toc69879121 \h </w:instrText>
        </w:r>
        <w:r>
          <w:rPr>
            <w:noProof/>
            <w:webHidden/>
          </w:rPr>
        </w:r>
        <w:r>
          <w:rPr>
            <w:noProof/>
            <w:webHidden/>
          </w:rPr>
          <w:fldChar w:fldCharType="separate"/>
        </w:r>
        <w:r>
          <w:rPr>
            <w:noProof/>
            <w:webHidden/>
          </w:rPr>
          <w:t>525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22" w:history="1">
        <w:r w:rsidRPr="00CC53E5">
          <w:rPr>
            <w:rStyle w:val="Hyperlink"/>
            <w:noProof/>
          </w:rPr>
          <w:t>2.1.1339</w:t>
        </w:r>
        <w:r>
          <w:rPr>
            <w:rFonts w:asciiTheme="minorHAnsi" w:eastAsiaTheme="minorEastAsia" w:hAnsiTheme="minorHAnsi" w:cstheme="minorBidi"/>
            <w:noProof/>
            <w:sz w:val="22"/>
            <w:szCs w:val="22"/>
          </w:rPr>
          <w:tab/>
        </w:r>
        <w:r w:rsidRPr="00CC53E5">
          <w:rPr>
            <w:rStyle w:val="Hyperlink"/>
            <w:noProof/>
          </w:rPr>
          <w:t>Part 1 Section 20.1.10.76, ST_TextSpacingPercentOrPercentString (Text Spacing Percent)</w:t>
        </w:r>
        <w:r>
          <w:rPr>
            <w:noProof/>
            <w:webHidden/>
          </w:rPr>
          <w:tab/>
        </w:r>
        <w:r>
          <w:rPr>
            <w:noProof/>
            <w:webHidden/>
          </w:rPr>
          <w:fldChar w:fldCharType="begin"/>
        </w:r>
        <w:r>
          <w:rPr>
            <w:noProof/>
            <w:webHidden/>
          </w:rPr>
          <w:instrText xml:space="preserve"> PAGEREF _Toc69879122 \h </w:instrText>
        </w:r>
        <w:r>
          <w:rPr>
            <w:noProof/>
            <w:webHidden/>
          </w:rPr>
        </w:r>
        <w:r>
          <w:rPr>
            <w:noProof/>
            <w:webHidden/>
          </w:rPr>
          <w:fldChar w:fldCharType="separate"/>
        </w:r>
        <w:r>
          <w:rPr>
            <w:noProof/>
            <w:webHidden/>
          </w:rPr>
          <w:t>526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23" w:history="1">
        <w:r w:rsidRPr="00CC53E5">
          <w:rPr>
            <w:rStyle w:val="Hyperlink"/>
            <w:noProof/>
          </w:rPr>
          <w:t>2.1.1340</w:t>
        </w:r>
        <w:r>
          <w:rPr>
            <w:rFonts w:asciiTheme="minorHAnsi" w:eastAsiaTheme="minorEastAsia" w:hAnsiTheme="minorHAnsi" w:cstheme="minorBidi"/>
            <w:noProof/>
            <w:sz w:val="22"/>
            <w:szCs w:val="22"/>
          </w:rPr>
          <w:tab/>
        </w:r>
        <w:r w:rsidRPr="00CC53E5">
          <w:rPr>
            <w:rStyle w:val="Hyperlink"/>
            <w:noProof/>
          </w:rPr>
          <w:t>Part 1 Section 20.1.10.77, ST_TextSpacingPoint (Text Spacing Point)</w:t>
        </w:r>
        <w:r>
          <w:rPr>
            <w:noProof/>
            <w:webHidden/>
          </w:rPr>
          <w:tab/>
        </w:r>
        <w:r>
          <w:rPr>
            <w:noProof/>
            <w:webHidden/>
          </w:rPr>
          <w:fldChar w:fldCharType="begin"/>
        </w:r>
        <w:r>
          <w:rPr>
            <w:noProof/>
            <w:webHidden/>
          </w:rPr>
          <w:instrText xml:space="preserve"> PAGEREF _Toc69879123 \h </w:instrText>
        </w:r>
        <w:r>
          <w:rPr>
            <w:noProof/>
            <w:webHidden/>
          </w:rPr>
        </w:r>
        <w:r>
          <w:rPr>
            <w:noProof/>
            <w:webHidden/>
          </w:rPr>
          <w:fldChar w:fldCharType="separate"/>
        </w:r>
        <w:r>
          <w:rPr>
            <w:noProof/>
            <w:webHidden/>
          </w:rPr>
          <w:t>526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24" w:history="1">
        <w:r w:rsidRPr="00CC53E5">
          <w:rPr>
            <w:rStyle w:val="Hyperlink"/>
            <w:noProof/>
          </w:rPr>
          <w:t>2.1.1341</w:t>
        </w:r>
        <w:r>
          <w:rPr>
            <w:rFonts w:asciiTheme="minorHAnsi" w:eastAsiaTheme="minorEastAsia" w:hAnsiTheme="minorHAnsi" w:cstheme="minorBidi"/>
            <w:noProof/>
            <w:sz w:val="22"/>
            <w:szCs w:val="22"/>
          </w:rPr>
          <w:tab/>
        </w:r>
        <w:r w:rsidRPr="00CC53E5">
          <w:rPr>
            <w:rStyle w:val="Hyperlink"/>
            <w:noProof/>
          </w:rPr>
          <w:t>Part 1 Section 20.1.10.81, ST_TextUnderlineType (Text Underline Types)</w:t>
        </w:r>
        <w:r>
          <w:rPr>
            <w:noProof/>
            <w:webHidden/>
          </w:rPr>
          <w:tab/>
        </w:r>
        <w:r>
          <w:rPr>
            <w:noProof/>
            <w:webHidden/>
          </w:rPr>
          <w:fldChar w:fldCharType="begin"/>
        </w:r>
        <w:r>
          <w:rPr>
            <w:noProof/>
            <w:webHidden/>
          </w:rPr>
          <w:instrText xml:space="preserve"> PAGEREF _Toc69879124 \h </w:instrText>
        </w:r>
        <w:r>
          <w:rPr>
            <w:noProof/>
            <w:webHidden/>
          </w:rPr>
        </w:r>
        <w:r>
          <w:rPr>
            <w:noProof/>
            <w:webHidden/>
          </w:rPr>
          <w:fldChar w:fldCharType="separate"/>
        </w:r>
        <w:r>
          <w:rPr>
            <w:noProof/>
            <w:webHidden/>
          </w:rPr>
          <w:t>526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25" w:history="1">
        <w:r w:rsidRPr="00CC53E5">
          <w:rPr>
            <w:rStyle w:val="Hyperlink"/>
            <w:noProof/>
          </w:rPr>
          <w:t>2.1.1342</w:t>
        </w:r>
        <w:r>
          <w:rPr>
            <w:rFonts w:asciiTheme="minorHAnsi" w:eastAsiaTheme="minorEastAsia" w:hAnsiTheme="minorHAnsi" w:cstheme="minorBidi"/>
            <w:noProof/>
            <w:sz w:val="22"/>
            <w:szCs w:val="22"/>
          </w:rPr>
          <w:tab/>
        </w:r>
        <w:r w:rsidRPr="00CC53E5">
          <w:rPr>
            <w:rStyle w:val="Hyperlink"/>
            <w:noProof/>
          </w:rPr>
          <w:t>Part 1 Section 20.1.10.85, ST_TextWrappingType (Text Wrapping Types)</w:t>
        </w:r>
        <w:r>
          <w:rPr>
            <w:noProof/>
            <w:webHidden/>
          </w:rPr>
          <w:tab/>
        </w:r>
        <w:r>
          <w:rPr>
            <w:noProof/>
            <w:webHidden/>
          </w:rPr>
          <w:fldChar w:fldCharType="begin"/>
        </w:r>
        <w:r>
          <w:rPr>
            <w:noProof/>
            <w:webHidden/>
          </w:rPr>
          <w:instrText xml:space="preserve"> PAGEREF _Toc69879125 \h </w:instrText>
        </w:r>
        <w:r>
          <w:rPr>
            <w:noProof/>
            <w:webHidden/>
          </w:rPr>
        </w:r>
        <w:r>
          <w:rPr>
            <w:noProof/>
            <w:webHidden/>
          </w:rPr>
          <w:fldChar w:fldCharType="separate"/>
        </w:r>
        <w:r>
          <w:rPr>
            <w:noProof/>
            <w:webHidden/>
          </w:rPr>
          <w:t>526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26" w:history="1">
        <w:r w:rsidRPr="00CC53E5">
          <w:rPr>
            <w:rStyle w:val="Hyperlink"/>
            <w:noProof/>
          </w:rPr>
          <w:t>2.1.1343</w:t>
        </w:r>
        <w:r>
          <w:rPr>
            <w:rFonts w:asciiTheme="minorHAnsi" w:eastAsiaTheme="minorEastAsia" w:hAnsiTheme="minorHAnsi" w:cstheme="minorBidi"/>
            <w:noProof/>
            <w:sz w:val="22"/>
            <w:szCs w:val="22"/>
          </w:rPr>
          <w:tab/>
        </w:r>
        <w:r w:rsidRPr="00CC53E5">
          <w:rPr>
            <w:rStyle w:val="Hyperlink"/>
            <w:noProof/>
          </w:rPr>
          <w:t>Part 1 Section 20.2.2.1, blipFill (Picture Fill)</w:t>
        </w:r>
        <w:r>
          <w:rPr>
            <w:noProof/>
            <w:webHidden/>
          </w:rPr>
          <w:tab/>
        </w:r>
        <w:r>
          <w:rPr>
            <w:noProof/>
            <w:webHidden/>
          </w:rPr>
          <w:fldChar w:fldCharType="begin"/>
        </w:r>
        <w:r>
          <w:rPr>
            <w:noProof/>
            <w:webHidden/>
          </w:rPr>
          <w:instrText xml:space="preserve"> PAGEREF _Toc69879126 \h </w:instrText>
        </w:r>
        <w:r>
          <w:rPr>
            <w:noProof/>
            <w:webHidden/>
          </w:rPr>
        </w:r>
        <w:r>
          <w:rPr>
            <w:noProof/>
            <w:webHidden/>
          </w:rPr>
          <w:fldChar w:fldCharType="separate"/>
        </w:r>
        <w:r>
          <w:rPr>
            <w:noProof/>
            <w:webHidden/>
          </w:rPr>
          <w:t>526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27" w:history="1">
        <w:r w:rsidRPr="00CC53E5">
          <w:rPr>
            <w:rStyle w:val="Hyperlink"/>
            <w:noProof/>
          </w:rPr>
          <w:t>2.1.1344</w:t>
        </w:r>
        <w:r>
          <w:rPr>
            <w:rFonts w:asciiTheme="minorHAnsi" w:eastAsiaTheme="minorEastAsia" w:hAnsiTheme="minorHAnsi" w:cstheme="minorBidi"/>
            <w:noProof/>
            <w:sz w:val="22"/>
            <w:szCs w:val="22"/>
          </w:rPr>
          <w:tab/>
        </w:r>
        <w:r w:rsidRPr="00CC53E5">
          <w:rPr>
            <w:rStyle w:val="Hyperlink"/>
            <w:noProof/>
          </w:rPr>
          <w:t>Part 1 Section 20.2.2.6, spPr (Shape Properties)</w:t>
        </w:r>
        <w:r>
          <w:rPr>
            <w:noProof/>
            <w:webHidden/>
          </w:rPr>
          <w:tab/>
        </w:r>
        <w:r>
          <w:rPr>
            <w:noProof/>
            <w:webHidden/>
          </w:rPr>
          <w:fldChar w:fldCharType="begin"/>
        </w:r>
        <w:r>
          <w:rPr>
            <w:noProof/>
            <w:webHidden/>
          </w:rPr>
          <w:instrText xml:space="preserve"> PAGEREF _Toc69879127 \h </w:instrText>
        </w:r>
        <w:r>
          <w:rPr>
            <w:noProof/>
            <w:webHidden/>
          </w:rPr>
        </w:r>
        <w:r>
          <w:rPr>
            <w:noProof/>
            <w:webHidden/>
          </w:rPr>
          <w:fldChar w:fldCharType="separate"/>
        </w:r>
        <w:r>
          <w:rPr>
            <w:noProof/>
            <w:webHidden/>
          </w:rPr>
          <w:t>527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28" w:history="1">
        <w:r w:rsidRPr="00CC53E5">
          <w:rPr>
            <w:rStyle w:val="Hyperlink"/>
            <w:noProof/>
          </w:rPr>
          <w:t>2.1.1345</w:t>
        </w:r>
        <w:r>
          <w:rPr>
            <w:rFonts w:asciiTheme="minorHAnsi" w:eastAsiaTheme="minorEastAsia" w:hAnsiTheme="minorHAnsi" w:cstheme="minorBidi"/>
            <w:noProof/>
            <w:sz w:val="22"/>
            <w:szCs w:val="22"/>
          </w:rPr>
          <w:tab/>
        </w:r>
        <w:r w:rsidRPr="00CC53E5">
          <w:rPr>
            <w:rStyle w:val="Hyperlink"/>
            <w:noProof/>
          </w:rPr>
          <w:t>Part 1 Section 20.4.2.3, anchor (Anchor for Floating DrawingML Object)</w:t>
        </w:r>
        <w:r>
          <w:rPr>
            <w:noProof/>
            <w:webHidden/>
          </w:rPr>
          <w:tab/>
        </w:r>
        <w:r>
          <w:rPr>
            <w:noProof/>
            <w:webHidden/>
          </w:rPr>
          <w:fldChar w:fldCharType="begin"/>
        </w:r>
        <w:r>
          <w:rPr>
            <w:noProof/>
            <w:webHidden/>
          </w:rPr>
          <w:instrText xml:space="preserve"> PAGEREF _Toc69879128 \h </w:instrText>
        </w:r>
        <w:r>
          <w:rPr>
            <w:noProof/>
            <w:webHidden/>
          </w:rPr>
        </w:r>
        <w:r>
          <w:rPr>
            <w:noProof/>
            <w:webHidden/>
          </w:rPr>
          <w:fldChar w:fldCharType="separate"/>
        </w:r>
        <w:r>
          <w:rPr>
            <w:noProof/>
            <w:webHidden/>
          </w:rPr>
          <w:t>527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29" w:history="1">
        <w:r w:rsidRPr="00CC53E5">
          <w:rPr>
            <w:rStyle w:val="Hyperlink"/>
            <w:noProof/>
          </w:rPr>
          <w:t>2.1.1346</w:t>
        </w:r>
        <w:r>
          <w:rPr>
            <w:rFonts w:asciiTheme="minorHAnsi" w:eastAsiaTheme="minorEastAsia" w:hAnsiTheme="minorHAnsi" w:cstheme="minorBidi"/>
            <w:noProof/>
            <w:sz w:val="22"/>
            <w:szCs w:val="22"/>
          </w:rPr>
          <w:tab/>
        </w:r>
        <w:r w:rsidRPr="00CC53E5">
          <w:rPr>
            <w:rStyle w:val="Hyperlink"/>
            <w:noProof/>
          </w:rPr>
          <w:t>Part 1 Section 20.4.2.5, docPr (Drawing Object Non-Visual Properties)</w:t>
        </w:r>
        <w:r>
          <w:rPr>
            <w:noProof/>
            <w:webHidden/>
          </w:rPr>
          <w:tab/>
        </w:r>
        <w:r>
          <w:rPr>
            <w:noProof/>
            <w:webHidden/>
          </w:rPr>
          <w:fldChar w:fldCharType="begin"/>
        </w:r>
        <w:r>
          <w:rPr>
            <w:noProof/>
            <w:webHidden/>
          </w:rPr>
          <w:instrText xml:space="preserve"> PAGEREF _Toc69879129 \h </w:instrText>
        </w:r>
        <w:r>
          <w:rPr>
            <w:noProof/>
            <w:webHidden/>
          </w:rPr>
        </w:r>
        <w:r>
          <w:rPr>
            <w:noProof/>
            <w:webHidden/>
          </w:rPr>
          <w:fldChar w:fldCharType="separate"/>
        </w:r>
        <w:r>
          <w:rPr>
            <w:noProof/>
            <w:webHidden/>
          </w:rPr>
          <w:t>527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30" w:history="1">
        <w:r w:rsidRPr="00CC53E5">
          <w:rPr>
            <w:rStyle w:val="Hyperlink"/>
            <w:noProof/>
          </w:rPr>
          <w:t>2.1.1347</w:t>
        </w:r>
        <w:r>
          <w:rPr>
            <w:rFonts w:asciiTheme="minorHAnsi" w:eastAsiaTheme="minorEastAsia" w:hAnsiTheme="minorHAnsi" w:cstheme="minorBidi"/>
            <w:noProof/>
            <w:sz w:val="22"/>
            <w:szCs w:val="22"/>
          </w:rPr>
          <w:tab/>
        </w:r>
        <w:r w:rsidRPr="00CC53E5">
          <w:rPr>
            <w:rStyle w:val="Hyperlink"/>
            <w:noProof/>
          </w:rPr>
          <w:t>Part 1 Section 20.4.2.6, effectExtent (Object Extents Including Effects)</w:t>
        </w:r>
        <w:r>
          <w:rPr>
            <w:noProof/>
            <w:webHidden/>
          </w:rPr>
          <w:tab/>
        </w:r>
        <w:r>
          <w:rPr>
            <w:noProof/>
            <w:webHidden/>
          </w:rPr>
          <w:fldChar w:fldCharType="begin"/>
        </w:r>
        <w:r>
          <w:rPr>
            <w:noProof/>
            <w:webHidden/>
          </w:rPr>
          <w:instrText xml:space="preserve"> PAGEREF _Toc69879130 \h </w:instrText>
        </w:r>
        <w:r>
          <w:rPr>
            <w:noProof/>
            <w:webHidden/>
          </w:rPr>
        </w:r>
        <w:r>
          <w:rPr>
            <w:noProof/>
            <w:webHidden/>
          </w:rPr>
          <w:fldChar w:fldCharType="separate"/>
        </w:r>
        <w:r>
          <w:rPr>
            <w:noProof/>
            <w:webHidden/>
          </w:rPr>
          <w:t>527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31" w:history="1">
        <w:r w:rsidRPr="00CC53E5">
          <w:rPr>
            <w:rStyle w:val="Hyperlink"/>
            <w:noProof/>
          </w:rPr>
          <w:t>2.1.1348</w:t>
        </w:r>
        <w:r>
          <w:rPr>
            <w:rFonts w:asciiTheme="minorHAnsi" w:eastAsiaTheme="minorEastAsia" w:hAnsiTheme="minorHAnsi" w:cstheme="minorBidi"/>
            <w:noProof/>
            <w:sz w:val="22"/>
            <w:szCs w:val="22"/>
          </w:rPr>
          <w:tab/>
        </w:r>
        <w:r w:rsidRPr="00CC53E5">
          <w:rPr>
            <w:rStyle w:val="Hyperlink"/>
            <w:noProof/>
          </w:rPr>
          <w:t>Part 1 Section 20.4.2.7, extent (Drawing Object Size)</w:t>
        </w:r>
        <w:r>
          <w:rPr>
            <w:noProof/>
            <w:webHidden/>
          </w:rPr>
          <w:tab/>
        </w:r>
        <w:r>
          <w:rPr>
            <w:noProof/>
            <w:webHidden/>
          </w:rPr>
          <w:fldChar w:fldCharType="begin"/>
        </w:r>
        <w:r>
          <w:rPr>
            <w:noProof/>
            <w:webHidden/>
          </w:rPr>
          <w:instrText xml:space="preserve"> PAGEREF _Toc69879131 \h </w:instrText>
        </w:r>
        <w:r>
          <w:rPr>
            <w:noProof/>
            <w:webHidden/>
          </w:rPr>
        </w:r>
        <w:r>
          <w:rPr>
            <w:noProof/>
            <w:webHidden/>
          </w:rPr>
          <w:fldChar w:fldCharType="separate"/>
        </w:r>
        <w:r>
          <w:rPr>
            <w:noProof/>
            <w:webHidden/>
          </w:rPr>
          <w:t>527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32" w:history="1">
        <w:r w:rsidRPr="00CC53E5">
          <w:rPr>
            <w:rStyle w:val="Hyperlink"/>
            <w:noProof/>
          </w:rPr>
          <w:t>2.1.1349</w:t>
        </w:r>
        <w:r>
          <w:rPr>
            <w:rFonts w:asciiTheme="minorHAnsi" w:eastAsiaTheme="minorEastAsia" w:hAnsiTheme="minorHAnsi" w:cstheme="minorBidi"/>
            <w:noProof/>
            <w:sz w:val="22"/>
            <w:szCs w:val="22"/>
          </w:rPr>
          <w:tab/>
        </w:r>
        <w:r w:rsidRPr="00CC53E5">
          <w:rPr>
            <w:rStyle w:val="Hyperlink"/>
            <w:noProof/>
          </w:rPr>
          <w:t>Part 1 Section 20.4.2.9, lineTo (Wrapping Polygon Line End Position)</w:t>
        </w:r>
        <w:r>
          <w:rPr>
            <w:noProof/>
            <w:webHidden/>
          </w:rPr>
          <w:tab/>
        </w:r>
        <w:r>
          <w:rPr>
            <w:noProof/>
            <w:webHidden/>
          </w:rPr>
          <w:fldChar w:fldCharType="begin"/>
        </w:r>
        <w:r>
          <w:rPr>
            <w:noProof/>
            <w:webHidden/>
          </w:rPr>
          <w:instrText xml:space="preserve"> PAGEREF _Toc69879132 \h </w:instrText>
        </w:r>
        <w:r>
          <w:rPr>
            <w:noProof/>
            <w:webHidden/>
          </w:rPr>
        </w:r>
        <w:r>
          <w:rPr>
            <w:noProof/>
            <w:webHidden/>
          </w:rPr>
          <w:fldChar w:fldCharType="separate"/>
        </w:r>
        <w:r>
          <w:rPr>
            <w:noProof/>
            <w:webHidden/>
          </w:rPr>
          <w:t>527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33" w:history="1">
        <w:r w:rsidRPr="00CC53E5">
          <w:rPr>
            <w:rStyle w:val="Hyperlink"/>
            <w:noProof/>
          </w:rPr>
          <w:t>2.1.1350</w:t>
        </w:r>
        <w:r>
          <w:rPr>
            <w:rFonts w:asciiTheme="minorHAnsi" w:eastAsiaTheme="minorEastAsia" w:hAnsiTheme="minorHAnsi" w:cstheme="minorBidi"/>
            <w:noProof/>
            <w:sz w:val="22"/>
            <w:szCs w:val="22"/>
          </w:rPr>
          <w:tab/>
        </w:r>
        <w:r w:rsidRPr="00CC53E5">
          <w:rPr>
            <w:rStyle w:val="Hyperlink"/>
            <w:noProof/>
          </w:rPr>
          <w:t>Part 1 Section 20.4.2.11, positionV (Vertical Positioning)</w:t>
        </w:r>
        <w:r>
          <w:rPr>
            <w:noProof/>
            <w:webHidden/>
          </w:rPr>
          <w:tab/>
        </w:r>
        <w:r>
          <w:rPr>
            <w:noProof/>
            <w:webHidden/>
          </w:rPr>
          <w:fldChar w:fldCharType="begin"/>
        </w:r>
        <w:r>
          <w:rPr>
            <w:noProof/>
            <w:webHidden/>
          </w:rPr>
          <w:instrText xml:space="preserve"> PAGEREF _Toc69879133 \h </w:instrText>
        </w:r>
        <w:r>
          <w:rPr>
            <w:noProof/>
            <w:webHidden/>
          </w:rPr>
        </w:r>
        <w:r>
          <w:rPr>
            <w:noProof/>
            <w:webHidden/>
          </w:rPr>
          <w:fldChar w:fldCharType="separate"/>
        </w:r>
        <w:r>
          <w:rPr>
            <w:noProof/>
            <w:webHidden/>
          </w:rPr>
          <w:t>527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34" w:history="1">
        <w:r w:rsidRPr="00CC53E5">
          <w:rPr>
            <w:rStyle w:val="Hyperlink"/>
            <w:noProof/>
          </w:rPr>
          <w:t>2.1.1351</w:t>
        </w:r>
        <w:r>
          <w:rPr>
            <w:rFonts w:asciiTheme="minorHAnsi" w:eastAsiaTheme="minorEastAsia" w:hAnsiTheme="minorHAnsi" w:cstheme="minorBidi"/>
            <w:noProof/>
            <w:sz w:val="22"/>
            <w:szCs w:val="22"/>
          </w:rPr>
          <w:tab/>
        </w:r>
        <w:r w:rsidRPr="00CC53E5">
          <w:rPr>
            <w:rStyle w:val="Hyperlink"/>
            <w:noProof/>
          </w:rPr>
          <w:t>Part 1 Section 20.4.2.13, simplePos (Simple Positioning Coordinates)</w:t>
        </w:r>
        <w:r>
          <w:rPr>
            <w:noProof/>
            <w:webHidden/>
          </w:rPr>
          <w:tab/>
        </w:r>
        <w:r>
          <w:rPr>
            <w:noProof/>
            <w:webHidden/>
          </w:rPr>
          <w:fldChar w:fldCharType="begin"/>
        </w:r>
        <w:r>
          <w:rPr>
            <w:noProof/>
            <w:webHidden/>
          </w:rPr>
          <w:instrText xml:space="preserve"> PAGEREF _Toc69879134 \h </w:instrText>
        </w:r>
        <w:r>
          <w:rPr>
            <w:noProof/>
            <w:webHidden/>
          </w:rPr>
        </w:r>
        <w:r>
          <w:rPr>
            <w:noProof/>
            <w:webHidden/>
          </w:rPr>
          <w:fldChar w:fldCharType="separate"/>
        </w:r>
        <w:r>
          <w:rPr>
            <w:noProof/>
            <w:webHidden/>
          </w:rPr>
          <w:t>527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35" w:history="1">
        <w:r w:rsidRPr="00CC53E5">
          <w:rPr>
            <w:rStyle w:val="Hyperlink"/>
            <w:noProof/>
          </w:rPr>
          <w:t>2.1.1352</w:t>
        </w:r>
        <w:r>
          <w:rPr>
            <w:rFonts w:asciiTheme="minorHAnsi" w:eastAsiaTheme="minorEastAsia" w:hAnsiTheme="minorHAnsi" w:cstheme="minorBidi"/>
            <w:noProof/>
            <w:sz w:val="22"/>
            <w:szCs w:val="22"/>
          </w:rPr>
          <w:tab/>
        </w:r>
        <w:r w:rsidRPr="00CC53E5">
          <w:rPr>
            <w:rStyle w:val="Hyperlink"/>
            <w:noProof/>
          </w:rPr>
          <w:t>Part 1 Section 20.4.2.14, start (Wrapping Polygon Start)</w:t>
        </w:r>
        <w:r>
          <w:rPr>
            <w:noProof/>
            <w:webHidden/>
          </w:rPr>
          <w:tab/>
        </w:r>
        <w:r>
          <w:rPr>
            <w:noProof/>
            <w:webHidden/>
          </w:rPr>
          <w:fldChar w:fldCharType="begin"/>
        </w:r>
        <w:r>
          <w:rPr>
            <w:noProof/>
            <w:webHidden/>
          </w:rPr>
          <w:instrText xml:space="preserve"> PAGEREF _Toc69879135 \h </w:instrText>
        </w:r>
        <w:r>
          <w:rPr>
            <w:noProof/>
            <w:webHidden/>
          </w:rPr>
        </w:r>
        <w:r>
          <w:rPr>
            <w:noProof/>
            <w:webHidden/>
          </w:rPr>
          <w:fldChar w:fldCharType="separate"/>
        </w:r>
        <w:r>
          <w:rPr>
            <w:noProof/>
            <w:webHidden/>
          </w:rPr>
          <w:t>528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36" w:history="1">
        <w:r w:rsidRPr="00CC53E5">
          <w:rPr>
            <w:rStyle w:val="Hyperlink"/>
            <w:noProof/>
          </w:rPr>
          <w:t>2.1.1353</w:t>
        </w:r>
        <w:r>
          <w:rPr>
            <w:rFonts w:asciiTheme="minorHAnsi" w:eastAsiaTheme="minorEastAsia" w:hAnsiTheme="minorHAnsi" w:cstheme="minorBidi"/>
            <w:noProof/>
            <w:sz w:val="22"/>
            <w:szCs w:val="22"/>
          </w:rPr>
          <w:tab/>
        </w:r>
        <w:r w:rsidRPr="00CC53E5">
          <w:rPr>
            <w:rStyle w:val="Hyperlink"/>
            <w:noProof/>
          </w:rPr>
          <w:t>Part 1 Section 20.5.2.2, blipFill (Picture Fill)</w:t>
        </w:r>
        <w:r>
          <w:rPr>
            <w:noProof/>
            <w:webHidden/>
          </w:rPr>
          <w:tab/>
        </w:r>
        <w:r>
          <w:rPr>
            <w:noProof/>
            <w:webHidden/>
          </w:rPr>
          <w:fldChar w:fldCharType="begin"/>
        </w:r>
        <w:r>
          <w:rPr>
            <w:noProof/>
            <w:webHidden/>
          </w:rPr>
          <w:instrText xml:space="preserve"> PAGEREF _Toc69879136 \h </w:instrText>
        </w:r>
        <w:r>
          <w:rPr>
            <w:noProof/>
            <w:webHidden/>
          </w:rPr>
        </w:r>
        <w:r>
          <w:rPr>
            <w:noProof/>
            <w:webHidden/>
          </w:rPr>
          <w:fldChar w:fldCharType="separate"/>
        </w:r>
        <w:r>
          <w:rPr>
            <w:noProof/>
            <w:webHidden/>
          </w:rPr>
          <w:t>528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37" w:history="1">
        <w:r w:rsidRPr="00CC53E5">
          <w:rPr>
            <w:rStyle w:val="Hyperlink"/>
            <w:noProof/>
          </w:rPr>
          <w:t>2.1.1354</w:t>
        </w:r>
        <w:r>
          <w:rPr>
            <w:rFonts w:asciiTheme="minorHAnsi" w:eastAsiaTheme="minorEastAsia" w:hAnsiTheme="minorHAnsi" w:cstheme="minorBidi"/>
            <w:noProof/>
            <w:sz w:val="22"/>
            <w:szCs w:val="22"/>
          </w:rPr>
          <w:tab/>
        </w:r>
        <w:r w:rsidRPr="00CC53E5">
          <w:rPr>
            <w:rStyle w:val="Hyperlink"/>
            <w:noProof/>
          </w:rPr>
          <w:t>Part 1 Section 20.5.2.8, cNvPr (Non-Visual Drawing Properties)</w:t>
        </w:r>
        <w:r>
          <w:rPr>
            <w:noProof/>
            <w:webHidden/>
          </w:rPr>
          <w:tab/>
        </w:r>
        <w:r>
          <w:rPr>
            <w:noProof/>
            <w:webHidden/>
          </w:rPr>
          <w:fldChar w:fldCharType="begin"/>
        </w:r>
        <w:r>
          <w:rPr>
            <w:noProof/>
            <w:webHidden/>
          </w:rPr>
          <w:instrText xml:space="preserve"> PAGEREF _Toc69879137 \h </w:instrText>
        </w:r>
        <w:r>
          <w:rPr>
            <w:noProof/>
            <w:webHidden/>
          </w:rPr>
        </w:r>
        <w:r>
          <w:rPr>
            <w:noProof/>
            <w:webHidden/>
          </w:rPr>
          <w:fldChar w:fldCharType="separate"/>
        </w:r>
        <w:r>
          <w:rPr>
            <w:noProof/>
            <w:webHidden/>
          </w:rPr>
          <w:t>528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38" w:history="1">
        <w:r w:rsidRPr="00CC53E5">
          <w:rPr>
            <w:rStyle w:val="Hyperlink"/>
            <w:noProof/>
          </w:rPr>
          <w:t>2.1.1355</w:t>
        </w:r>
        <w:r>
          <w:rPr>
            <w:rFonts w:asciiTheme="minorHAnsi" w:eastAsiaTheme="minorEastAsia" w:hAnsiTheme="minorHAnsi" w:cstheme="minorBidi"/>
            <w:noProof/>
            <w:sz w:val="22"/>
            <w:szCs w:val="22"/>
          </w:rPr>
          <w:tab/>
        </w:r>
        <w:r w:rsidRPr="00CC53E5">
          <w:rPr>
            <w:rStyle w:val="Hyperlink"/>
            <w:noProof/>
          </w:rPr>
          <w:t>Part 1 Section 20.5.2.9, cNvSpPr (Connection Non-Visual Shape Properties)</w:t>
        </w:r>
        <w:r>
          <w:rPr>
            <w:noProof/>
            <w:webHidden/>
          </w:rPr>
          <w:tab/>
        </w:r>
        <w:r>
          <w:rPr>
            <w:noProof/>
            <w:webHidden/>
          </w:rPr>
          <w:fldChar w:fldCharType="begin"/>
        </w:r>
        <w:r>
          <w:rPr>
            <w:noProof/>
            <w:webHidden/>
          </w:rPr>
          <w:instrText xml:space="preserve"> PAGEREF _Toc69879138 \h </w:instrText>
        </w:r>
        <w:r>
          <w:rPr>
            <w:noProof/>
            <w:webHidden/>
          </w:rPr>
        </w:r>
        <w:r>
          <w:rPr>
            <w:noProof/>
            <w:webHidden/>
          </w:rPr>
          <w:fldChar w:fldCharType="separate"/>
        </w:r>
        <w:r>
          <w:rPr>
            <w:noProof/>
            <w:webHidden/>
          </w:rPr>
          <w:t>528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39" w:history="1">
        <w:r w:rsidRPr="00CC53E5">
          <w:rPr>
            <w:rStyle w:val="Hyperlink"/>
            <w:noProof/>
          </w:rPr>
          <w:t>2.1.1356</w:t>
        </w:r>
        <w:r>
          <w:rPr>
            <w:rFonts w:asciiTheme="minorHAnsi" w:eastAsiaTheme="minorEastAsia" w:hAnsiTheme="minorHAnsi" w:cstheme="minorBidi"/>
            <w:noProof/>
            <w:sz w:val="22"/>
            <w:szCs w:val="22"/>
          </w:rPr>
          <w:tab/>
        </w:r>
        <w:r w:rsidRPr="00CC53E5">
          <w:rPr>
            <w:rStyle w:val="Hyperlink"/>
            <w:noProof/>
          </w:rPr>
          <w:t>Part 1 Section 20.5.2.10, col (Column))</w:t>
        </w:r>
        <w:r>
          <w:rPr>
            <w:noProof/>
            <w:webHidden/>
          </w:rPr>
          <w:tab/>
        </w:r>
        <w:r>
          <w:rPr>
            <w:noProof/>
            <w:webHidden/>
          </w:rPr>
          <w:fldChar w:fldCharType="begin"/>
        </w:r>
        <w:r>
          <w:rPr>
            <w:noProof/>
            <w:webHidden/>
          </w:rPr>
          <w:instrText xml:space="preserve"> PAGEREF _Toc69879139 \h </w:instrText>
        </w:r>
        <w:r>
          <w:rPr>
            <w:noProof/>
            <w:webHidden/>
          </w:rPr>
        </w:r>
        <w:r>
          <w:rPr>
            <w:noProof/>
            <w:webHidden/>
          </w:rPr>
          <w:fldChar w:fldCharType="separate"/>
        </w:r>
        <w:r>
          <w:rPr>
            <w:noProof/>
            <w:webHidden/>
          </w:rPr>
          <w:t>528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40" w:history="1">
        <w:r w:rsidRPr="00CC53E5">
          <w:rPr>
            <w:rStyle w:val="Hyperlink"/>
            <w:noProof/>
          </w:rPr>
          <w:t>2.1.1357</w:t>
        </w:r>
        <w:r>
          <w:rPr>
            <w:rFonts w:asciiTheme="minorHAnsi" w:eastAsiaTheme="minorEastAsia" w:hAnsiTheme="minorHAnsi" w:cstheme="minorBidi"/>
            <w:noProof/>
            <w:sz w:val="22"/>
            <w:szCs w:val="22"/>
          </w:rPr>
          <w:tab/>
        </w:r>
        <w:r w:rsidRPr="00CC53E5">
          <w:rPr>
            <w:rStyle w:val="Hyperlink"/>
            <w:noProof/>
          </w:rPr>
          <w:t>Part 1 Section 20.5.2.11, colOff (Column Offset)</w:t>
        </w:r>
        <w:r>
          <w:rPr>
            <w:noProof/>
            <w:webHidden/>
          </w:rPr>
          <w:tab/>
        </w:r>
        <w:r>
          <w:rPr>
            <w:noProof/>
            <w:webHidden/>
          </w:rPr>
          <w:fldChar w:fldCharType="begin"/>
        </w:r>
        <w:r>
          <w:rPr>
            <w:noProof/>
            <w:webHidden/>
          </w:rPr>
          <w:instrText xml:space="preserve"> PAGEREF _Toc69879140 \h </w:instrText>
        </w:r>
        <w:r>
          <w:rPr>
            <w:noProof/>
            <w:webHidden/>
          </w:rPr>
        </w:r>
        <w:r>
          <w:rPr>
            <w:noProof/>
            <w:webHidden/>
          </w:rPr>
          <w:fldChar w:fldCharType="separate"/>
        </w:r>
        <w:r>
          <w:rPr>
            <w:noProof/>
            <w:webHidden/>
          </w:rPr>
          <w:t>528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41" w:history="1">
        <w:r w:rsidRPr="00CC53E5">
          <w:rPr>
            <w:rStyle w:val="Hyperlink"/>
            <w:noProof/>
          </w:rPr>
          <w:t>2.1.1358</w:t>
        </w:r>
        <w:r>
          <w:rPr>
            <w:rFonts w:asciiTheme="minorHAnsi" w:eastAsiaTheme="minorEastAsia" w:hAnsiTheme="minorHAnsi" w:cstheme="minorBidi"/>
            <w:noProof/>
            <w:sz w:val="22"/>
            <w:szCs w:val="22"/>
          </w:rPr>
          <w:tab/>
        </w:r>
        <w:r w:rsidRPr="00CC53E5">
          <w:rPr>
            <w:rStyle w:val="Hyperlink"/>
            <w:noProof/>
          </w:rPr>
          <w:t>Part 1 Section 20.5.2.13, cxnSp (Connection Shape)</w:t>
        </w:r>
        <w:r>
          <w:rPr>
            <w:noProof/>
            <w:webHidden/>
          </w:rPr>
          <w:tab/>
        </w:r>
        <w:r>
          <w:rPr>
            <w:noProof/>
            <w:webHidden/>
          </w:rPr>
          <w:fldChar w:fldCharType="begin"/>
        </w:r>
        <w:r>
          <w:rPr>
            <w:noProof/>
            <w:webHidden/>
          </w:rPr>
          <w:instrText xml:space="preserve"> PAGEREF _Toc69879141 \h </w:instrText>
        </w:r>
        <w:r>
          <w:rPr>
            <w:noProof/>
            <w:webHidden/>
          </w:rPr>
        </w:r>
        <w:r>
          <w:rPr>
            <w:noProof/>
            <w:webHidden/>
          </w:rPr>
          <w:fldChar w:fldCharType="separate"/>
        </w:r>
        <w:r>
          <w:rPr>
            <w:noProof/>
            <w:webHidden/>
          </w:rPr>
          <w:t>528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42" w:history="1">
        <w:r w:rsidRPr="00CC53E5">
          <w:rPr>
            <w:rStyle w:val="Hyperlink"/>
            <w:noProof/>
          </w:rPr>
          <w:t>2.1.1359</w:t>
        </w:r>
        <w:r>
          <w:rPr>
            <w:rFonts w:asciiTheme="minorHAnsi" w:eastAsiaTheme="minorEastAsia" w:hAnsiTheme="minorHAnsi" w:cstheme="minorBidi"/>
            <w:noProof/>
            <w:sz w:val="22"/>
            <w:szCs w:val="22"/>
          </w:rPr>
          <w:tab/>
        </w:r>
        <w:r w:rsidRPr="00CC53E5">
          <w:rPr>
            <w:rStyle w:val="Hyperlink"/>
            <w:noProof/>
          </w:rPr>
          <w:t>Part 1 Section 20.5.2.14, ext (Shape Extent)</w:t>
        </w:r>
        <w:r>
          <w:rPr>
            <w:noProof/>
            <w:webHidden/>
          </w:rPr>
          <w:tab/>
        </w:r>
        <w:r>
          <w:rPr>
            <w:noProof/>
            <w:webHidden/>
          </w:rPr>
          <w:fldChar w:fldCharType="begin"/>
        </w:r>
        <w:r>
          <w:rPr>
            <w:noProof/>
            <w:webHidden/>
          </w:rPr>
          <w:instrText xml:space="preserve"> PAGEREF _Toc69879142 \h </w:instrText>
        </w:r>
        <w:r>
          <w:rPr>
            <w:noProof/>
            <w:webHidden/>
          </w:rPr>
        </w:r>
        <w:r>
          <w:rPr>
            <w:noProof/>
            <w:webHidden/>
          </w:rPr>
          <w:fldChar w:fldCharType="separate"/>
        </w:r>
        <w:r>
          <w:rPr>
            <w:noProof/>
            <w:webHidden/>
          </w:rPr>
          <w:t>528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43" w:history="1">
        <w:r w:rsidRPr="00CC53E5">
          <w:rPr>
            <w:rStyle w:val="Hyperlink"/>
            <w:noProof/>
          </w:rPr>
          <w:t>2.1.1360</w:t>
        </w:r>
        <w:r>
          <w:rPr>
            <w:rFonts w:asciiTheme="minorHAnsi" w:eastAsiaTheme="minorEastAsia" w:hAnsiTheme="minorHAnsi" w:cstheme="minorBidi"/>
            <w:noProof/>
            <w:sz w:val="22"/>
            <w:szCs w:val="22"/>
          </w:rPr>
          <w:tab/>
        </w:r>
        <w:r w:rsidRPr="00CC53E5">
          <w:rPr>
            <w:rStyle w:val="Hyperlink"/>
            <w:noProof/>
          </w:rPr>
          <w:t>Part 1 Section 20.5.2.15, from (Starting Anchor Point)</w:t>
        </w:r>
        <w:r>
          <w:rPr>
            <w:noProof/>
            <w:webHidden/>
          </w:rPr>
          <w:tab/>
        </w:r>
        <w:r>
          <w:rPr>
            <w:noProof/>
            <w:webHidden/>
          </w:rPr>
          <w:fldChar w:fldCharType="begin"/>
        </w:r>
        <w:r>
          <w:rPr>
            <w:noProof/>
            <w:webHidden/>
          </w:rPr>
          <w:instrText xml:space="preserve"> PAGEREF _Toc69879143 \h </w:instrText>
        </w:r>
        <w:r>
          <w:rPr>
            <w:noProof/>
            <w:webHidden/>
          </w:rPr>
        </w:r>
        <w:r>
          <w:rPr>
            <w:noProof/>
            <w:webHidden/>
          </w:rPr>
          <w:fldChar w:fldCharType="separate"/>
        </w:r>
        <w:r>
          <w:rPr>
            <w:noProof/>
            <w:webHidden/>
          </w:rPr>
          <w:t>529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44" w:history="1">
        <w:r w:rsidRPr="00CC53E5">
          <w:rPr>
            <w:rStyle w:val="Hyperlink"/>
            <w:noProof/>
          </w:rPr>
          <w:t>2.1.1361</w:t>
        </w:r>
        <w:r>
          <w:rPr>
            <w:rFonts w:asciiTheme="minorHAnsi" w:eastAsiaTheme="minorEastAsia" w:hAnsiTheme="minorHAnsi" w:cstheme="minorBidi"/>
            <w:noProof/>
            <w:sz w:val="22"/>
            <w:szCs w:val="22"/>
          </w:rPr>
          <w:tab/>
        </w:r>
        <w:r w:rsidRPr="00CC53E5">
          <w:rPr>
            <w:rStyle w:val="Hyperlink"/>
            <w:noProof/>
          </w:rPr>
          <w:t>Part 1 Section 20.5.2.16, graphicFrame (Graphic Frame)</w:t>
        </w:r>
        <w:r>
          <w:rPr>
            <w:noProof/>
            <w:webHidden/>
          </w:rPr>
          <w:tab/>
        </w:r>
        <w:r>
          <w:rPr>
            <w:noProof/>
            <w:webHidden/>
          </w:rPr>
          <w:fldChar w:fldCharType="begin"/>
        </w:r>
        <w:r>
          <w:rPr>
            <w:noProof/>
            <w:webHidden/>
          </w:rPr>
          <w:instrText xml:space="preserve"> PAGEREF _Toc69879144 \h </w:instrText>
        </w:r>
        <w:r>
          <w:rPr>
            <w:noProof/>
            <w:webHidden/>
          </w:rPr>
        </w:r>
        <w:r>
          <w:rPr>
            <w:noProof/>
            <w:webHidden/>
          </w:rPr>
          <w:fldChar w:fldCharType="separate"/>
        </w:r>
        <w:r>
          <w:rPr>
            <w:noProof/>
            <w:webHidden/>
          </w:rPr>
          <w:t>529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45" w:history="1">
        <w:r w:rsidRPr="00CC53E5">
          <w:rPr>
            <w:rStyle w:val="Hyperlink"/>
            <w:noProof/>
          </w:rPr>
          <w:t>2.1.1362</w:t>
        </w:r>
        <w:r>
          <w:rPr>
            <w:rFonts w:asciiTheme="minorHAnsi" w:eastAsiaTheme="minorEastAsia" w:hAnsiTheme="minorHAnsi" w:cstheme="minorBidi"/>
            <w:noProof/>
            <w:sz w:val="22"/>
            <w:szCs w:val="22"/>
          </w:rPr>
          <w:tab/>
        </w:r>
        <w:r w:rsidRPr="00CC53E5">
          <w:rPr>
            <w:rStyle w:val="Hyperlink"/>
            <w:noProof/>
          </w:rPr>
          <w:t>Part 1 Section 20.5.2.18, grpSpPr (Group Shape Properties)</w:t>
        </w:r>
        <w:r>
          <w:rPr>
            <w:noProof/>
            <w:webHidden/>
          </w:rPr>
          <w:tab/>
        </w:r>
        <w:r>
          <w:rPr>
            <w:noProof/>
            <w:webHidden/>
          </w:rPr>
          <w:fldChar w:fldCharType="begin"/>
        </w:r>
        <w:r>
          <w:rPr>
            <w:noProof/>
            <w:webHidden/>
          </w:rPr>
          <w:instrText xml:space="preserve"> PAGEREF _Toc69879145 \h </w:instrText>
        </w:r>
        <w:r>
          <w:rPr>
            <w:noProof/>
            <w:webHidden/>
          </w:rPr>
        </w:r>
        <w:r>
          <w:rPr>
            <w:noProof/>
            <w:webHidden/>
          </w:rPr>
          <w:fldChar w:fldCharType="separate"/>
        </w:r>
        <w:r>
          <w:rPr>
            <w:noProof/>
            <w:webHidden/>
          </w:rPr>
          <w:t>529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46" w:history="1">
        <w:r w:rsidRPr="00CC53E5">
          <w:rPr>
            <w:rStyle w:val="Hyperlink"/>
            <w:noProof/>
          </w:rPr>
          <w:t>2.1.1363</w:t>
        </w:r>
        <w:r>
          <w:rPr>
            <w:rFonts w:asciiTheme="minorHAnsi" w:eastAsiaTheme="minorEastAsia" w:hAnsiTheme="minorHAnsi" w:cstheme="minorBidi"/>
            <w:noProof/>
            <w:sz w:val="22"/>
            <w:szCs w:val="22"/>
          </w:rPr>
          <w:tab/>
        </w:r>
        <w:r w:rsidRPr="00CC53E5">
          <w:rPr>
            <w:rStyle w:val="Hyperlink"/>
            <w:noProof/>
          </w:rPr>
          <w:t>Part 1 Section 20.5.2.25, pic (Picture)</w:t>
        </w:r>
        <w:r>
          <w:rPr>
            <w:noProof/>
            <w:webHidden/>
          </w:rPr>
          <w:tab/>
        </w:r>
        <w:r>
          <w:rPr>
            <w:noProof/>
            <w:webHidden/>
          </w:rPr>
          <w:fldChar w:fldCharType="begin"/>
        </w:r>
        <w:r>
          <w:rPr>
            <w:noProof/>
            <w:webHidden/>
          </w:rPr>
          <w:instrText xml:space="preserve"> PAGEREF _Toc69879146 \h </w:instrText>
        </w:r>
        <w:r>
          <w:rPr>
            <w:noProof/>
            <w:webHidden/>
          </w:rPr>
        </w:r>
        <w:r>
          <w:rPr>
            <w:noProof/>
            <w:webHidden/>
          </w:rPr>
          <w:fldChar w:fldCharType="separate"/>
        </w:r>
        <w:r>
          <w:rPr>
            <w:noProof/>
            <w:webHidden/>
          </w:rPr>
          <w:t>529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47" w:history="1">
        <w:r w:rsidRPr="00CC53E5">
          <w:rPr>
            <w:rStyle w:val="Hyperlink"/>
            <w:noProof/>
          </w:rPr>
          <w:t>2.1.1364</w:t>
        </w:r>
        <w:r>
          <w:rPr>
            <w:rFonts w:asciiTheme="minorHAnsi" w:eastAsiaTheme="minorEastAsia" w:hAnsiTheme="minorHAnsi" w:cstheme="minorBidi"/>
            <w:noProof/>
            <w:sz w:val="22"/>
            <w:szCs w:val="22"/>
          </w:rPr>
          <w:tab/>
        </w:r>
        <w:r w:rsidRPr="00CC53E5">
          <w:rPr>
            <w:rStyle w:val="Hyperlink"/>
            <w:noProof/>
          </w:rPr>
          <w:t>Part 1 Section 20.5.2.26, pos (Position)</w:t>
        </w:r>
        <w:r>
          <w:rPr>
            <w:noProof/>
            <w:webHidden/>
          </w:rPr>
          <w:tab/>
        </w:r>
        <w:r>
          <w:rPr>
            <w:noProof/>
            <w:webHidden/>
          </w:rPr>
          <w:fldChar w:fldCharType="begin"/>
        </w:r>
        <w:r>
          <w:rPr>
            <w:noProof/>
            <w:webHidden/>
          </w:rPr>
          <w:instrText xml:space="preserve"> PAGEREF _Toc69879147 \h </w:instrText>
        </w:r>
        <w:r>
          <w:rPr>
            <w:noProof/>
            <w:webHidden/>
          </w:rPr>
        </w:r>
        <w:r>
          <w:rPr>
            <w:noProof/>
            <w:webHidden/>
          </w:rPr>
          <w:fldChar w:fldCharType="separate"/>
        </w:r>
        <w:r>
          <w:rPr>
            <w:noProof/>
            <w:webHidden/>
          </w:rPr>
          <w:t>529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48" w:history="1">
        <w:r w:rsidRPr="00CC53E5">
          <w:rPr>
            <w:rStyle w:val="Hyperlink"/>
            <w:noProof/>
          </w:rPr>
          <w:t>2.1.1365</w:t>
        </w:r>
        <w:r>
          <w:rPr>
            <w:rFonts w:asciiTheme="minorHAnsi" w:eastAsiaTheme="minorEastAsia" w:hAnsiTheme="minorHAnsi" w:cstheme="minorBidi"/>
            <w:noProof/>
            <w:sz w:val="22"/>
            <w:szCs w:val="22"/>
          </w:rPr>
          <w:tab/>
        </w:r>
        <w:r w:rsidRPr="00CC53E5">
          <w:rPr>
            <w:rStyle w:val="Hyperlink"/>
            <w:noProof/>
          </w:rPr>
          <w:t>Part 1 Section 20.5.2.27, row (Row)</w:t>
        </w:r>
        <w:r>
          <w:rPr>
            <w:noProof/>
            <w:webHidden/>
          </w:rPr>
          <w:tab/>
        </w:r>
        <w:r>
          <w:rPr>
            <w:noProof/>
            <w:webHidden/>
          </w:rPr>
          <w:fldChar w:fldCharType="begin"/>
        </w:r>
        <w:r>
          <w:rPr>
            <w:noProof/>
            <w:webHidden/>
          </w:rPr>
          <w:instrText xml:space="preserve"> PAGEREF _Toc69879148 \h </w:instrText>
        </w:r>
        <w:r>
          <w:rPr>
            <w:noProof/>
            <w:webHidden/>
          </w:rPr>
        </w:r>
        <w:r>
          <w:rPr>
            <w:noProof/>
            <w:webHidden/>
          </w:rPr>
          <w:fldChar w:fldCharType="separate"/>
        </w:r>
        <w:r>
          <w:rPr>
            <w:noProof/>
            <w:webHidden/>
          </w:rPr>
          <w:t>529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49" w:history="1">
        <w:r w:rsidRPr="00CC53E5">
          <w:rPr>
            <w:rStyle w:val="Hyperlink"/>
            <w:noProof/>
          </w:rPr>
          <w:t>2.1.1366</w:t>
        </w:r>
        <w:r>
          <w:rPr>
            <w:rFonts w:asciiTheme="minorHAnsi" w:eastAsiaTheme="minorEastAsia" w:hAnsiTheme="minorHAnsi" w:cstheme="minorBidi"/>
            <w:noProof/>
            <w:sz w:val="22"/>
            <w:szCs w:val="22"/>
          </w:rPr>
          <w:tab/>
        </w:r>
        <w:r w:rsidRPr="00CC53E5">
          <w:rPr>
            <w:rStyle w:val="Hyperlink"/>
            <w:noProof/>
          </w:rPr>
          <w:t>Part 1 Section 20.5.2.28, rowOff (Row Offset)</w:t>
        </w:r>
        <w:r>
          <w:rPr>
            <w:noProof/>
            <w:webHidden/>
          </w:rPr>
          <w:tab/>
        </w:r>
        <w:r>
          <w:rPr>
            <w:noProof/>
            <w:webHidden/>
          </w:rPr>
          <w:fldChar w:fldCharType="begin"/>
        </w:r>
        <w:r>
          <w:rPr>
            <w:noProof/>
            <w:webHidden/>
          </w:rPr>
          <w:instrText xml:space="preserve"> PAGEREF _Toc69879149 \h </w:instrText>
        </w:r>
        <w:r>
          <w:rPr>
            <w:noProof/>
            <w:webHidden/>
          </w:rPr>
        </w:r>
        <w:r>
          <w:rPr>
            <w:noProof/>
            <w:webHidden/>
          </w:rPr>
          <w:fldChar w:fldCharType="separate"/>
        </w:r>
        <w:r>
          <w:rPr>
            <w:noProof/>
            <w:webHidden/>
          </w:rPr>
          <w:t>529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50" w:history="1">
        <w:r w:rsidRPr="00CC53E5">
          <w:rPr>
            <w:rStyle w:val="Hyperlink"/>
            <w:noProof/>
          </w:rPr>
          <w:t>2.1.1367</w:t>
        </w:r>
        <w:r>
          <w:rPr>
            <w:rFonts w:asciiTheme="minorHAnsi" w:eastAsiaTheme="minorEastAsia" w:hAnsiTheme="minorHAnsi" w:cstheme="minorBidi"/>
            <w:noProof/>
            <w:sz w:val="22"/>
            <w:szCs w:val="22"/>
          </w:rPr>
          <w:tab/>
        </w:r>
        <w:r w:rsidRPr="00CC53E5">
          <w:rPr>
            <w:rStyle w:val="Hyperlink"/>
            <w:noProof/>
          </w:rPr>
          <w:t>Part 1 Section 20.5.2.29, sp (Shape)</w:t>
        </w:r>
        <w:r>
          <w:rPr>
            <w:noProof/>
            <w:webHidden/>
          </w:rPr>
          <w:tab/>
        </w:r>
        <w:r>
          <w:rPr>
            <w:noProof/>
            <w:webHidden/>
          </w:rPr>
          <w:fldChar w:fldCharType="begin"/>
        </w:r>
        <w:r>
          <w:rPr>
            <w:noProof/>
            <w:webHidden/>
          </w:rPr>
          <w:instrText xml:space="preserve"> PAGEREF _Toc69879150 \h </w:instrText>
        </w:r>
        <w:r>
          <w:rPr>
            <w:noProof/>
            <w:webHidden/>
          </w:rPr>
        </w:r>
        <w:r>
          <w:rPr>
            <w:noProof/>
            <w:webHidden/>
          </w:rPr>
          <w:fldChar w:fldCharType="separate"/>
        </w:r>
        <w:r>
          <w:rPr>
            <w:noProof/>
            <w:webHidden/>
          </w:rPr>
          <w:t>530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51" w:history="1">
        <w:r w:rsidRPr="00CC53E5">
          <w:rPr>
            <w:rStyle w:val="Hyperlink"/>
            <w:noProof/>
          </w:rPr>
          <w:t>2.1.1368</w:t>
        </w:r>
        <w:r>
          <w:rPr>
            <w:rFonts w:asciiTheme="minorHAnsi" w:eastAsiaTheme="minorEastAsia" w:hAnsiTheme="minorHAnsi" w:cstheme="minorBidi"/>
            <w:noProof/>
            <w:sz w:val="22"/>
            <w:szCs w:val="22"/>
          </w:rPr>
          <w:tab/>
        </w:r>
        <w:r w:rsidRPr="00CC53E5">
          <w:rPr>
            <w:rStyle w:val="Hyperlink"/>
            <w:noProof/>
          </w:rPr>
          <w:t>Part 1 Section 20.5.2.30, spPr (Shape Properties)</w:t>
        </w:r>
        <w:r>
          <w:rPr>
            <w:noProof/>
            <w:webHidden/>
          </w:rPr>
          <w:tab/>
        </w:r>
        <w:r>
          <w:rPr>
            <w:noProof/>
            <w:webHidden/>
          </w:rPr>
          <w:fldChar w:fldCharType="begin"/>
        </w:r>
        <w:r>
          <w:rPr>
            <w:noProof/>
            <w:webHidden/>
          </w:rPr>
          <w:instrText xml:space="preserve"> PAGEREF _Toc69879151 \h </w:instrText>
        </w:r>
        <w:r>
          <w:rPr>
            <w:noProof/>
            <w:webHidden/>
          </w:rPr>
        </w:r>
        <w:r>
          <w:rPr>
            <w:noProof/>
            <w:webHidden/>
          </w:rPr>
          <w:fldChar w:fldCharType="separate"/>
        </w:r>
        <w:r>
          <w:rPr>
            <w:noProof/>
            <w:webHidden/>
          </w:rPr>
          <w:t>530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52" w:history="1">
        <w:r w:rsidRPr="00CC53E5">
          <w:rPr>
            <w:rStyle w:val="Hyperlink"/>
            <w:noProof/>
          </w:rPr>
          <w:t>2.1.1369</w:t>
        </w:r>
        <w:r>
          <w:rPr>
            <w:rFonts w:asciiTheme="minorHAnsi" w:eastAsiaTheme="minorEastAsia" w:hAnsiTheme="minorHAnsi" w:cstheme="minorBidi"/>
            <w:noProof/>
            <w:sz w:val="22"/>
            <w:szCs w:val="22"/>
          </w:rPr>
          <w:tab/>
        </w:r>
        <w:r w:rsidRPr="00CC53E5">
          <w:rPr>
            <w:rStyle w:val="Hyperlink"/>
            <w:noProof/>
          </w:rPr>
          <w:t>Part 1 Section 20.5.2.31, style (Shape Style)</w:t>
        </w:r>
        <w:r>
          <w:rPr>
            <w:noProof/>
            <w:webHidden/>
          </w:rPr>
          <w:tab/>
        </w:r>
        <w:r>
          <w:rPr>
            <w:noProof/>
            <w:webHidden/>
          </w:rPr>
          <w:fldChar w:fldCharType="begin"/>
        </w:r>
        <w:r>
          <w:rPr>
            <w:noProof/>
            <w:webHidden/>
          </w:rPr>
          <w:instrText xml:space="preserve"> PAGEREF _Toc69879152 \h </w:instrText>
        </w:r>
        <w:r>
          <w:rPr>
            <w:noProof/>
            <w:webHidden/>
          </w:rPr>
        </w:r>
        <w:r>
          <w:rPr>
            <w:noProof/>
            <w:webHidden/>
          </w:rPr>
          <w:fldChar w:fldCharType="separate"/>
        </w:r>
        <w:r>
          <w:rPr>
            <w:noProof/>
            <w:webHidden/>
          </w:rPr>
          <w:t>530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53" w:history="1">
        <w:r w:rsidRPr="00CC53E5">
          <w:rPr>
            <w:rStyle w:val="Hyperlink"/>
            <w:noProof/>
          </w:rPr>
          <w:t>2.1.1370</w:t>
        </w:r>
        <w:r>
          <w:rPr>
            <w:rFonts w:asciiTheme="minorHAnsi" w:eastAsiaTheme="minorEastAsia" w:hAnsiTheme="minorHAnsi" w:cstheme="minorBidi"/>
            <w:noProof/>
            <w:sz w:val="22"/>
            <w:szCs w:val="22"/>
          </w:rPr>
          <w:tab/>
        </w:r>
        <w:r w:rsidRPr="00CC53E5">
          <w:rPr>
            <w:rStyle w:val="Hyperlink"/>
            <w:noProof/>
          </w:rPr>
          <w:t>Part 1 Section 20.5.2.32, to (Ending Anchor Point)</w:t>
        </w:r>
        <w:r>
          <w:rPr>
            <w:noProof/>
            <w:webHidden/>
          </w:rPr>
          <w:tab/>
        </w:r>
        <w:r>
          <w:rPr>
            <w:noProof/>
            <w:webHidden/>
          </w:rPr>
          <w:fldChar w:fldCharType="begin"/>
        </w:r>
        <w:r>
          <w:rPr>
            <w:noProof/>
            <w:webHidden/>
          </w:rPr>
          <w:instrText xml:space="preserve"> PAGEREF _Toc69879153 \h </w:instrText>
        </w:r>
        <w:r>
          <w:rPr>
            <w:noProof/>
            <w:webHidden/>
          </w:rPr>
        </w:r>
        <w:r>
          <w:rPr>
            <w:noProof/>
            <w:webHidden/>
          </w:rPr>
          <w:fldChar w:fldCharType="separate"/>
        </w:r>
        <w:r>
          <w:rPr>
            <w:noProof/>
            <w:webHidden/>
          </w:rPr>
          <w:t>531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54" w:history="1">
        <w:r w:rsidRPr="00CC53E5">
          <w:rPr>
            <w:rStyle w:val="Hyperlink"/>
            <w:noProof/>
          </w:rPr>
          <w:t>2.1.1371</w:t>
        </w:r>
        <w:r>
          <w:rPr>
            <w:rFonts w:asciiTheme="minorHAnsi" w:eastAsiaTheme="minorEastAsia" w:hAnsiTheme="minorHAnsi" w:cstheme="minorBidi"/>
            <w:noProof/>
            <w:sz w:val="22"/>
            <w:szCs w:val="22"/>
          </w:rPr>
          <w:tab/>
        </w:r>
        <w:r w:rsidRPr="00CC53E5">
          <w:rPr>
            <w:rStyle w:val="Hyperlink"/>
            <w:noProof/>
          </w:rPr>
          <w:t>Part 1 Section 20.5.2.34, txBody (Shape Text Body)</w:t>
        </w:r>
        <w:r>
          <w:rPr>
            <w:noProof/>
            <w:webHidden/>
          </w:rPr>
          <w:tab/>
        </w:r>
        <w:r>
          <w:rPr>
            <w:noProof/>
            <w:webHidden/>
          </w:rPr>
          <w:fldChar w:fldCharType="begin"/>
        </w:r>
        <w:r>
          <w:rPr>
            <w:noProof/>
            <w:webHidden/>
          </w:rPr>
          <w:instrText xml:space="preserve"> PAGEREF _Toc69879154 \h </w:instrText>
        </w:r>
        <w:r>
          <w:rPr>
            <w:noProof/>
            <w:webHidden/>
          </w:rPr>
        </w:r>
        <w:r>
          <w:rPr>
            <w:noProof/>
            <w:webHidden/>
          </w:rPr>
          <w:fldChar w:fldCharType="separate"/>
        </w:r>
        <w:r>
          <w:rPr>
            <w:noProof/>
            <w:webHidden/>
          </w:rPr>
          <w:t>531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55" w:history="1">
        <w:r w:rsidRPr="00CC53E5">
          <w:rPr>
            <w:rStyle w:val="Hyperlink"/>
            <w:noProof/>
          </w:rPr>
          <w:t>2.1.1372</w:t>
        </w:r>
        <w:r>
          <w:rPr>
            <w:rFonts w:asciiTheme="minorHAnsi" w:eastAsiaTheme="minorEastAsia" w:hAnsiTheme="minorHAnsi" w:cstheme="minorBidi"/>
            <w:noProof/>
            <w:sz w:val="22"/>
            <w:szCs w:val="22"/>
          </w:rPr>
          <w:tab/>
        </w:r>
        <w:r w:rsidRPr="00CC53E5">
          <w:rPr>
            <w:rStyle w:val="Hyperlink"/>
            <w:noProof/>
          </w:rPr>
          <w:t>Part 1 Section 20.5.2.36, xfrm (2D Transform for Graphic Frames)</w:t>
        </w:r>
        <w:r>
          <w:rPr>
            <w:noProof/>
            <w:webHidden/>
          </w:rPr>
          <w:tab/>
        </w:r>
        <w:r>
          <w:rPr>
            <w:noProof/>
            <w:webHidden/>
          </w:rPr>
          <w:fldChar w:fldCharType="begin"/>
        </w:r>
        <w:r>
          <w:rPr>
            <w:noProof/>
            <w:webHidden/>
          </w:rPr>
          <w:instrText xml:space="preserve"> PAGEREF _Toc69879155 \h </w:instrText>
        </w:r>
        <w:r>
          <w:rPr>
            <w:noProof/>
            <w:webHidden/>
          </w:rPr>
        </w:r>
        <w:r>
          <w:rPr>
            <w:noProof/>
            <w:webHidden/>
          </w:rPr>
          <w:fldChar w:fldCharType="separate"/>
        </w:r>
        <w:r>
          <w:rPr>
            <w:noProof/>
            <w:webHidden/>
          </w:rPr>
          <w:t>531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56" w:history="1">
        <w:r w:rsidRPr="00CC53E5">
          <w:rPr>
            <w:rStyle w:val="Hyperlink"/>
            <w:noProof/>
          </w:rPr>
          <w:t>2.1.1373</w:t>
        </w:r>
        <w:r>
          <w:rPr>
            <w:rFonts w:asciiTheme="minorHAnsi" w:eastAsiaTheme="minorEastAsia" w:hAnsiTheme="minorHAnsi" w:cstheme="minorBidi"/>
            <w:noProof/>
            <w:sz w:val="22"/>
            <w:szCs w:val="22"/>
          </w:rPr>
          <w:tab/>
        </w:r>
        <w:r w:rsidRPr="00CC53E5">
          <w:rPr>
            <w:rStyle w:val="Hyperlink"/>
            <w:noProof/>
          </w:rPr>
          <w:t>Part 1 Section 21.1.2.1, Body Formatting</w:t>
        </w:r>
        <w:r>
          <w:rPr>
            <w:noProof/>
            <w:webHidden/>
          </w:rPr>
          <w:tab/>
        </w:r>
        <w:r>
          <w:rPr>
            <w:noProof/>
            <w:webHidden/>
          </w:rPr>
          <w:fldChar w:fldCharType="begin"/>
        </w:r>
        <w:r>
          <w:rPr>
            <w:noProof/>
            <w:webHidden/>
          </w:rPr>
          <w:instrText xml:space="preserve"> PAGEREF _Toc69879156 \h </w:instrText>
        </w:r>
        <w:r>
          <w:rPr>
            <w:noProof/>
            <w:webHidden/>
          </w:rPr>
        </w:r>
        <w:r>
          <w:rPr>
            <w:noProof/>
            <w:webHidden/>
          </w:rPr>
          <w:fldChar w:fldCharType="separate"/>
        </w:r>
        <w:r>
          <w:rPr>
            <w:noProof/>
            <w:webHidden/>
          </w:rPr>
          <w:t>531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57" w:history="1">
        <w:r w:rsidRPr="00CC53E5">
          <w:rPr>
            <w:rStyle w:val="Hyperlink"/>
            <w:noProof/>
          </w:rPr>
          <w:t>2.1.1374</w:t>
        </w:r>
        <w:r>
          <w:rPr>
            <w:rFonts w:asciiTheme="minorHAnsi" w:eastAsiaTheme="minorEastAsia" w:hAnsiTheme="minorHAnsi" w:cstheme="minorBidi"/>
            <w:noProof/>
            <w:sz w:val="22"/>
            <w:szCs w:val="22"/>
          </w:rPr>
          <w:tab/>
        </w:r>
        <w:r w:rsidRPr="00CC53E5">
          <w:rPr>
            <w:rStyle w:val="Hyperlink"/>
            <w:noProof/>
          </w:rPr>
          <w:t>Part 1 Section 21.1.2.1.1, bodyPr (Body Properties)</w:t>
        </w:r>
        <w:r>
          <w:rPr>
            <w:noProof/>
            <w:webHidden/>
          </w:rPr>
          <w:tab/>
        </w:r>
        <w:r>
          <w:rPr>
            <w:noProof/>
            <w:webHidden/>
          </w:rPr>
          <w:fldChar w:fldCharType="begin"/>
        </w:r>
        <w:r>
          <w:rPr>
            <w:noProof/>
            <w:webHidden/>
          </w:rPr>
          <w:instrText xml:space="preserve"> PAGEREF _Toc69879157 \h </w:instrText>
        </w:r>
        <w:r>
          <w:rPr>
            <w:noProof/>
            <w:webHidden/>
          </w:rPr>
        </w:r>
        <w:r>
          <w:rPr>
            <w:noProof/>
            <w:webHidden/>
          </w:rPr>
          <w:fldChar w:fldCharType="separate"/>
        </w:r>
        <w:r>
          <w:rPr>
            <w:noProof/>
            <w:webHidden/>
          </w:rPr>
          <w:t>531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58" w:history="1">
        <w:r w:rsidRPr="00CC53E5">
          <w:rPr>
            <w:rStyle w:val="Hyperlink"/>
            <w:noProof/>
          </w:rPr>
          <w:t>2.1.1375</w:t>
        </w:r>
        <w:r>
          <w:rPr>
            <w:rFonts w:asciiTheme="minorHAnsi" w:eastAsiaTheme="minorEastAsia" w:hAnsiTheme="minorHAnsi" w:cstheme="minorBidi"/>
            <w:noProof/>
            <w:sz w:val="22"/>
            <w:szCs w:val="22"/>
          </w:rPr>
          <w:tab/>
        </w:r>
        <w:r w:rsidRPr="00CC53E5">
          <w:rPr>
            <w:rStyle w:val="Hyperlink"/>
            <w:noProof/>
          </w:rPr>
          <w:t>Part 1 Section 21.1.2.1.2, noAutofit (No AutoFit)</w:t>
        </w:r>
        <w:r>
          <w:rPr>
            <w:noProof/>
            <w:webHidden/>
          </w:rPr>
          <w:tab/>
        </w:r>
        <w:r>
          <w:rPr>
            <w:noProof/>
            <w:webHidden/>
          </w:rPr>
          <w:fldChar w:fldCharType="begin"/>
        </w:r>
        <w:r>
          <w:rPr>
            <w:noProof/>
            <w:webHidden/>
          </w:rPr>
          <w:instrText xml:space="preserve"> PAGEREF _Toc69879158 \h </w:instrText>
        </w:r>
        <w:r>
          <w:rPr>
            <w:noProof/>
            <w:webHidden/>
          </w:rPr>
        </w:r>
        <w:r>
          <w:rPr>
            <w:noProof/>
            <w:webHidden/>
          </w:rPr>
          <w:fldChar w:fldCharType="separate"/>
        </w:r>
        <w:r>
          <w:rPr>
            <w:noProof/>
            <w:webHidden/>
          </w:rPr>
          <w:t>532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59" w:history="1">
        <w:r w:rsidRPr="00CC53E5">
          <w:rPr>
            <w:rStyle w:val="Hyperlink"/>
            <w:noProof/>
          </w:rPr>
          <w:t>2.1.1376</w:t>
        </w:r>
        <w:r>
          <w:rPr>
            <w:rFonts w:asciiTheme="minorHAnsi" w:eastAsiaTheme="minorEastAsia" w:hAnsiTheme="minorHAnsi" w:cstheme="minorBidi"/>
            <w:noProof/>
            <w:sz w:val="22"/>
            <w:szCs w:val="22"/>
          </w:rPr>
          <w:tab/>
        </w:r>
        <w:r w:rsidRPr="00CC53E5">
          <w:rPr>
            <w:rStyle w:val="Hyperlink"/>
            <w:noProof/>
          </w:rPr>
          <w:t>Part 1 Section 21.1.2.1.3, normAutofit (Normal AutoFit)</w:t>
        </w:r>
        <w:r>
          <w:rPr>
            <w:noProof/>
            <w:webHidden/>
          </w:rPr>
          <w:tab/>
        </w:r>
        <w:r>
          <w:rPr>
            <w:noProof/>
            <w:webHidden/>
          </w:rPr>
          <w:fldChar w:fldCharType="begin"/>
        </w:r>
        <w:r>
          <w:rPr>
            <w:noProof/>
            <w:webHidden/>
          </w:rPr>
          <w:instrText xml:space="preserve"> PAGEREF _Toc69879159 \h </w:instrText>
        </w:r>
        <w:r>
          <w:rPr>
            <w:noProof/>
            <w:webHidden/>
          </w:rPr>
        </w:r>
        <w:r>
          <w:rPr>
            <w:noProof/>
            <w:webHidden/>
          </w:rPr>
          <w:fldChar w:fldCharType="separate"/>
        </w:r>
        <w:r>
          <w:rPr>
            <w:noProof/>
            <w:webHidden/>
          </w:rPr>
          <w:t>532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60" w:history="1">
        <w:r w:rsidRPr="00CC53E5">
          <w:rPr>
            <w:rStyle w:val="Hyperlink"/>
            <w:noProof/>
          </w:rPr>
          <w:t>2.1.1377</w:t>
        </w:r>
        <w:r>
          <w:rPr>
            <w:rFonts w:asciiTheme="minorHAnsi" w:eastAsiaTheme="minorEastAsia" w:hAnsiTheme="minorHAnsi" w:cstheme="minorBidi"/>
            <w:noProof/>
            <w:sz w:val="22"/>
            <w:szCs w:val="22"/>
          </w:rPr>
          <w:tab/>
        </w:r>
        <w:r w:rsidRPr="00CC53E5">
          <w:rPr>
            <w:rStyle w:val="Hyperlink"/>
            <w:noProof/>
          </w:rPr>
          <w:t>Part 1 Section 21.1.2.1.4, spAutoFit (Shape AutoFit)</w:t>
        </w:r>
        <w:r>
          <w:rPr>
            <w:noProof/>
            <w:webHidden/>
          </w:rPr>
          <w:tab/>
        </w:r>
        <w:r>
          <w:rPr>
            <w:noProof/>
            <w:webHidden/>
          </w:rPr>
          <w:fldChar w:fldCharType="begin"/>
        </w:r>
        <w:r>
          <w:rPr>
            <w:noProof/>
            <w:webHidden/>
          </w:rPr>
          <w:instrText xml:space="preserve"> PAGEREF _Toc69879160 \h </w:instrText>
        </w:r>
        <w:r>
          <w:rPr>
            <w:noProof/>
            <w:webHidden/>
          </w:rPr>
        </w:r>
        <w:r>
          <w:rPr>
            <w:noProof/>
            <w:webHidden/>
          </w:rPr>
          <w:fldChar w:fldCharType="separate"/>
        </w:r>
        <w:r>
          <w:rPr>
            <w:noProof/>
            <w:webHidden/>
          </w:rPr>
          <w:t>532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61" w:history="1">
        <w:r w:rsidRPr="00CC53E5">
          <w:rPr>
            <w:rStyle w:val="Hyperlink"/>
            <w:noProof/>
          </w:rPr>
          <w:t>2.1.1378</w:t>
        </w:r>
        <w:r>
          <w:rPr>
            <w:rFonts w:asciiTheme="minorHAnsi" w:eastAsiaTheme="minorEastAsia" w:hAnsiTheme="minorHAnsi" w:cstheme="minorBidi"/>
            <w:noProof/>
            <w:sz w:val="22"/>
            <w:szCs w:val="22"/>
          </w:rPr>
          <w:tab/>
        </w:r>
        <w:r w:rsidRPr="00CC53E5">
          <w:rPr>
            <w:rStyle w:val="Hyperlink"/>
            <w:noProof/>
          </w:rPr>
          <w:t>Part 1 Section 21.1.2.2.2, defPPr (Default Paragraph Style)</w:t>
        </w:r>
        <w:r>
          <w:rPr>
            <w:noProof/>
            <w:webHidden/>
          </w:rPr>
          <w:tab/>
        </w:r>
        <w:r>
          <w:rPr>
            <w:noProof/>
            <w:webHidden/>
          </w:rPr>
          <w:fldChar w:fldCharType="begin"/>
        </w:r>
        <w:r>
          <w:rPr>
            <w:noProof/>
            <w:webHidden/>
          </w:rPr>
          <w:instrText xml:space="preserve"> PAGEREF _Toc69879161 \h </w:instrText>
        </w:r>
        <w:r>
          <w:rPr>
            <w:noProof/>
            <w:webHidden/>
          </w:rPr>
        </w:r>
        <w:r>
          <w:rPr>
            <w:noProof/>
            <w:webHidden/>
          </w:rPr>
          <w:fldChar w:fldCharType="separate"/>
        </w:r>
        <w:r>
          <w:rPr>
            <w:noProof/>
            <w:webHidden/>
          </w:rPr>
          <w:t>532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62" w:history="1">
        <w:r w:rsidRPr="00CC53E5">
          <w:rPr>
            <w:rStyle w:val="Hyperlink"/>
            <w:noProof/>
          </w:rPr>
          <w:t>2.1.1379</w:t>
        </w:r>
        <w:r>
          <w:rPr>
            <w:rFonts w:asciiTheme="minorHAnsi" w:eastAsiaTheme="minorEastAsia" w:hAnsiTheme="minorHAnsi" w:cstheme="minorBidi"/>
            <w:noProof/>
            <w:sz w:val="22"/>
            <w:szCs w:val="22"/>
          </w:rPr>
          <w:tab/>
        </w:r>
        <w:r w:rsidRPr="00CC53E5">
          <w:rPr>
            <w:rStyle w:val="Hyperlink"/>
            <w:noProof/>
          </w:rPr>
          <w:t>Part 1 Section 21.1.2.2.3, endParaRPr (End Paragraph Run Properties)</w:t>
        </w:r>
        <w:r>
          <w:rPr>
            <w:noProof/>
            <w:webHidden/>
          </w:rPr>
          <w:tab/>
        </w:r>
        <w:r>
          <w:rPr>
            <w:noProof/>
            <w:webHidden/>
          </w:rPr>
          <w:fldChar w:fldCharType="begin"/>
        </w:r>
        <w:r>
          <w:rPr>
            <w:noProof/>
            <w:webHidden/>
          </w:rPr>
          <w:instrText xml:space="preserve"> PAGEREF _Toc69879162 \h </w:instrText>
        </w:r>
        <w:r>
          <w:rPr>
            <w:noProof/>
            <w:webHidden/>
          </w:rPr>
        </w:r>
        <w:r>
          <w:rPr>
            <w:noProof/>
            <w:webHidden/>
          </w:rPr>
          <w:fldChar w:fldCharType="separate"/>
        </w:r>
        <w:r>
          <w:rPr>
            <w:noProof/>
            <w:webHidden/>
          </w:rPr>
          <w:t>533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63" w:history="1">
        <w:r w:rsidRPr="00CC53E5">
          <w:rPr>
            <w:rStyle w:val="Hyperlink"/>
            <w:noProof/>
          </w:rPr>
          <w:t>2.1.1380</w:t>
        </w:r>
        <w:r>
          <w:rPr>
            <w:rFonts w:asciiTheme="minorHAnsi" w:eastAsiaTheme="minorEastAsia" w:hAnsiTheme="minorHAnsi" w:cstheme="minorBidi"/>
            <w:noProof/>
            <w:sz w:val="22"/>
            <w:szCs w:val="22"/>
          </w:rPr>
          <w:tab/>
        </w:r>
        <w:r w:rsidRPr="00CC53E5">
          <w:rPr>
            <w:rStyle w:val="Hyperlink"/>
            <w:noProof/>
          </w:rPr>
          <w:t>Part 1 Section 21.1.2.2.4, fld (Text Field)</w:t>
        </w:r>
        <w:r>
          <w:rPr>
            <w:noProof/>
            <w:webHidden/>
          </w:rPr>
          <w:tab/>
        </w:r>
        <w:r>
          <w:rPr>
            <w:noProof/>
            <w:webHidden/>
          </w:rPr>
          <w:fldChar w:fldCharType="begin"/>
        </w:r>
        <w:r>
          <w:rPr>
            <w:noProof/>
            <w:webHidden/>
          </w:rPr>
          <w:instrText xml:space="preserve"> PAGEREF _Toc69879163 \h </w:instrText>
        </w:r>
        <w:r>
          <w:rPr>
            <w:noProof/>
            <w:webHidden/>
          </w:rPr>
        </w:r>
        <w:r>
          <w:rPr>
            <w:noProof/>
            <w:webHidden/>
          </w:rPr>
          <w:fldChar w:fldCharType="separate"/>
        </w:r>
        <w:r>
          <w:rPr>
            <w:noProof/>
            <w:webHidden/>
          </w:rPr>
          <w:t>533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64" w:history="1">
        <w:r w:rsidRPr="00CC53E5">
          <w:rPr>
            <w:rStyle w:val="Hyperlink"/>
            <w:noProof/>
          </w:rPr>
          <w:t>2.1.1381</w:t>
        </w:r>
        <w:r>
          <w:rPr>
            <w:rFonts w:asciiTheme="minorHAnsi" w:eastAsiaTheme="minorEastAsia" w:hAnsiTheme="minorHAnsi" w:cstheme="minorBidi"/>
            <w:noProof/>
            <w:sz w:val="22"/>
            <w:szCs w:val="22"/>
          </w:rPr>
          <w:tab/>
        </w:r>
        <w:r w:rsidRPr="00CC53E5">
          <w:rPr>
            <w:rStyle w:val="Hyperlink"/>
            <w:noProof/>
          </w:rPr>
          <w:t>Part 1 Section 21.1.2.2.5, lnSpc (Line Spacing)</w:t>
        </w:r>
        <w:r>
          <w:rPr>
            <w:noProof/>
            <w:webHidden/>
          </w:rPr>
          <w:tab/>
        </w:r>
        <w:r>
          <w:rPr>
            <w:noProof/>
            <w:webHidden/>
          </w:rPr>
          <w:fldChar w:fldCharType="begin"/>
        </w:r>
        <w:r>
          <w:rPr>
            <w:noProof/>
            <w:webHidden/>
          </w:rPr>
          <w:instrText xml:space="preserve"> PAGEREF _Toc69879164 \h </w:instrText>
        </w:r>
        <w:r>
          <w:rPr>
            <w:noProof/>
            <w:webHidden/>
          </w:rPr>
        </w:r>
        <w:r>
          <w:rPr>
            <w:noProof/>
            <w:webHidden/>
          </w:rPr>
          <w:fldChar w:fldCharType="separate"/>
        </w:r>
        <w:r>
          <w:rPr>
            <w:noProof/>
            <w:webHidden/>
          </w:rPr>
          <w:t>535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65" w:history="1">
        <w:r w:rsidRPr="00CC53E5">
          <w:rPr>
            <w:rStyle w:val="Hyperlink"/>
            <w:noProof/>
          </w:rPr>
          <w:t>2.1.1382</w:t>
        </w:r>
        <w:r>
          <w:rPr>
            <w:rFonts w:asciiTheme="minorHAnsi" w:eastAsiaTheme="minorEastAsia" w:hAnsiTheme="minorHAnsi" w:cstheme="minorBidi"/>
            <w:noProof/>
            <w:sz w:val="22"/>
            <w:szCs w:val="22"/>
          </w:rPr>
          <w:tab/>
        </w:r>
        <w:r w:rsidRPr="00CC53E5">
          <w:rPr>
            <w:rStyle w:val="Hyperlink"/>
            <w:noProof/>
          </w:rPr>
          <w:t>Part 1 Section 21.1.2.2.6, p (Text Paragraphs)</w:t>
        </w:r>
        <w:r>
          <w:rPr>
            <w:noProof/>
            <w:webHidden/>
          </w:rPr>
          <w:tab/>
        </w:r>
        <w:r>
          <w:rPr>
            <w:noProof/>
            <w:webHidden/>
          </w:rPr>
          <w:fldChar w:fldCharType="begin"/>
        </w:r>
        <w:r>
          <w:rPr>
            <w:noProof/>
            <w:webHidden/>
          </w:rPr>
          <w:instrText xml:space="preserve"> PAGEREF _Toc69879165 \h </w:instrText>
        </w:r>
        <w:r>
          <w:rPr>
            <w:noProof/>
            <w:webHidden/>
          </w:rPr>
        </w:r>
        <w:r>
          <w:rPr>
            <w:noProof/>
            <w:webHidden/>
          </w:rPr>
          <w:fldChar w:fldCharType="separate"/>
        </w:r>
        <w:r>
          <w:rPr>
            <w:noProof/>
            <w:webHidden/>
          </w:rPr>
          <w:t>535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66" w:history="1">
        <w:r w:rsidRPr="00CC53E5">
          <w:rPr>
            <w:rStyle w:val="Hyperlink"/>
            <w:noProof/>
          </w:rPr>
          <w:t>2.1.1383</w:t>
        </w:r>
        <w:r>
          <w:rPr>
            <w:rFonts w:asciiTheme="minorHAnsi" w:eastAsiaTheme="minorEastAsia" w:hAnsiTheme="minorHAnsi" w:cstheme="minorBidi"/>
            <w:noProof/>
            <w:sz w:val="22"/>
            <w:szCs w:val="22"/>
          </w:rPr>
          <w:tab/>
        </w:r>
        <w:r w:rsidRPr="00CC53E5">
          <w:rPr>
            <w:rStyle w:val="Hyperlink"/>
            <w:noProof/>
          </w:rPr>
          <w:t>Part 1 Section 21.1.2.2.7, pPr (Text Paragraph Properties)</w:t>
        </w:r>
        <w:r>
          <w:rPr>
            <w:noProof/>
            <w:webHidden/>
          </w:rPr>
          <w:tab/>
        </w:r>
        <w:r>
          <w:rPr>
            <w:noProof/>
            <w:webHidden/>
          </w:rPr>
          <w:fldChar w:fldCharType="begin"/>
        </w:r>
        <w:r>
          <w:rPr>
            <w:noProof/>
            <w:webHidden/>
          </w:rPr>
          <w:instrText xml:space="preserve"> PAGEREF _Toc69879166 \h </w:instrText>
        </w:r>
        <w:r>
          <w:rPr>
            <w:noProof/>
            <w:webHidden/>
          </w:rPr>
        </w:r>
        <w:r>
          <w:rPr>
            <w:noProof/>
            <w:webHidden/>
          </w:rPr>
          <w:fldChar w:fldCharType="separate"/>
        </w:r>
        <w:r>
          <w:rPr>
            <w:noProof/>
            <w:webHidden/>
          </w:rPr>
          <w:t>535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67" w:history="1">
        <w:r w:rsidRPr="00CC53E5">
          <w:rPr>
            <w:rStyle w:val="Hyperlink"/>
            <w:noProof/>
          </w:rPr>
          <w:t>2.1.1384</w:t>
        </w:r>
        <w:r>
          <w:rPr>
            <w:rFonts w:asciiTheme="minorHAnsi" w:eastAsiaTheme="minorEastAsia" w:hAnsiTheme="minorHAnsi" w:cstheme="minorBidi"/>
            <w:noProof/>
            <w:sz w:val="22"/>
            <w:szCs w:val="22"/>
          </w:rPr>
          <w:tab/>
        </w:r>
        <w:r w:rsidRPr="00CC53E5">
          <w:rPr>
            <w:rStyle w:val="Hyperlink"/>
            <w:noProof/>
          </w:rPr>
          <w:t>Part 1 Section 21.1.2.2.9, spcAft (Space After)</w:t>
        </w:r>
        <w:r>
          <w:rPr>
            <w:noProof/>
            <w:webHidden/>
          </w:rPr>
          <w:tab/>
        </w:r>
        <w:r>
          <w:rPr>
            <w:noProof/>
            <w:webHidden/>
          </w:rPr>
          <w:fldChar w:fldCharType="begin"/>
        </w:r>
        <w:r>
          <w:rPr>
            <w:noProof/>
            <w:webHidden/>
          </w:rPr>
          <w:instrText xml:space="preserve"> PAGEREF _Toc69879167 \h </w:instrText>
        </w:r>
        <w:r>
          <w:rPr>
            <w:noProof/>
            <w:webHidden/>
          </w:rPr>
        </w:r>
        <w:r>
          <w:rPr>
            <w:noProof/>
            <w:webHidden/>
          </w:rPr>
          <w:fldChar w:fldCharType="separate"/>
        </w:r>
        <w:r>
          <w:rPr>
            <w:noProof/>
            <w:webHidden/>
          </w:rPr>
          <w:t>536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68" w:history="1">
        <w:r w:rsidRPr="00CC53E5">
          <w:rPr>
            <w:rStyle w:val="Hyperlink"/>
            <w:noProof/>
          </w:rPr>
          <w:t>2.1.1385</w:t>
        </w:r>
        <w:r>
          <w:rPr>
            <w:rFonts w:asciiTheme="minorHAnsi" w:eastAsiaTheme="minorEastAsia" w:hAnsiTheme="minorHAnsi" w:cstheme="minorBidi"/>
            <w:noProof/>
            <w:sz w:val="22"/>
            <w:szCs w:val="22"/>
          </w:rPr>
          <w:tab/>
        </w:r>
        <w:r w:rsidRPr="00CC53E5">
          <w:rPr>
            <w:rStyle w:val="Hyperlink"/>
            <w:noProof/>
          </w:rPr>
          <w:t>Part 1 Section 21.1.2.2.10, spcBef (Space Before)</w:t>
        </w:r>
        <w:r>
          <w:rPr>
            <w:noProof/>
            <w:webHidden/>
          </w:rPr>
          <w:tab/>
        </w:r>
        <w:r>
          <w:rPr>
            <w:noProof/>
            <w:webHidden/>
          </w:rPr>
          <w:fldChar w:fldCharType="begin"/>
        </w:r>
        <w:r>
          <w:rPr>
            <w:noProof/>
            <w:webHidden/>
          </w:rPr>
          <w:instrText xml:space="preserve"> PAGEREF _Toc69879168 \h </w:instrText>
        </w:r>
        <w:r>
          <w:rPr>
            <w:noProof/>
            <w:webHidden/>
          </w:rPr>
        </w:r>
        <w:r>
          <w:rPr>
            <w:noProof/>
            <w:webHidden/>
          </w:rPr>
          <w:fldChar w:fldCharType="separate"/>
        </w:r>
        <w:r>
          <w:rPr>
            <w:noProof/>
            <w:webHidden/>
          </w:rPr>
          <w:t>536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69" w:history="1">
        <w:r w:rsidRPr="00CC53E5">
          <w:rPr>
            <w:rStyle w:val="Hyperlink"/>
            <w:noProof/>
          </w:rPr>
          <w:t>2.1.1386</w:t>
        </w:r>
        <w:r>
          <w:rPr>
            <w:rFonts w:asciiTheme="minorHAnsi" w:eastAsiaTheme="minorEastAsia" w:hAnsiTheme="minorHAnsi" w:cstheme="minorBidi"/>
            <w:noProof/>
            <w:sz w:val="22"/>
            <w:szCs w:val="22"/>
          </w:rPr>
          <w:tab/>
        </w:r>
        <w:r w:rsidRPr="00CC53E5">
          <w:rPr>
            <w:rStyle w:val="Hyperlink"/>
            <w:noProof/>
          </w:rPr>
          <w:t>Part 1 Section 21.1.2.2.11, spcPct (Spacing Percent)</w:t>
        </w:r>
        <w:r>
          <w:rPr>
            <w:noProof/>
            <w:webHidden/>
          </w:rPr>
          <w:tab/>
        </w:r>
        <w:r>
          <w:rPr>
            <w:noProof/>
            <w:webHidden/>
          </w:rPr>
          <w:fldChar w:fldCharType="begin"/>
        </w:r>
        <w:r>
          <w:rPr>
            <w:noProof/>
            <w:webHidden/>
          </w:rPr>
          <w:instrText xml:space="preserve"> PAGEREF _Toc69879169 \h </w:instrText>
        </w:r>
        <w:r>
          <w:rPr>
            <w:noProof/>
            <w:webHidden/>
          </w:rPr>
        </w:r>
        <w:r>
          <w:rPr>
            <w:noProof/>
            <w:webHidden/>
          </w:rPr>
          <w:fldChar w:fldCharType="separate"/>
        </w:r>
        <w:r>
          <w:rPr>
            <w:noProof/>
            <w:webHidden/>
          </w:rPr>
          <w:t>536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70" w:history="1">
        <w:r w:rsidRPr="00CC53E5">
          <w:rPr>
            <w:rStyle w:val="Hyperlink"/>
            <w:noProof/>
          </w:rPr>
          <w:t>2.1.1387</w:t>
        </w:r>
        <w:r>
          <w:rPr>
            <w:rFonts w:asciiTheme="minorHAnsi" w:eastAsiaTheme="minorEastAsia" w:hAnsiTheme="minorHAnsi" w:cstheme="minorBidi"/>
            <w:noProof/>
            <w:sz w:val="22"/>
            <w:szCs w:val="22"/>
          </w:rPr>
          <w:tab/>
        </w:r>
        <w:r w:rsidRPr="00CC53E5">
          <w:rPr>
            <w:rStyle w:val="Hyperlink"/>
            <w:noProof/>
          </w:rPr>
          <w:t>Part 1 Section 21.1.2.3.1, cs (Complex Script Font)</w:t>
        </w:r>
        <w:r>
          <w:rPr>
            <w:noProof/>
            <w:webHidden/>
          </w:rPr>
          <w:tab/>
        </w:r>
        <w:r>
          <w:rPr>
            <w:noProof/>
            <w:webHidden/>
          </w:rPr>
          <w:fldChar w:fldCharType="begin"/>
        </w:r>
        <w:r>
          <w:rPr>
            <w:noProof/>
            <w:webHidden/>
          </w:rPr>
          <w:instrText xml:space="preserve"> PAGEREF _Toc69879170 \h </w:instrText>
        </w:r>
        <w:r>
          <w:rPr>
            <w:noProof/>
            <w:webHidden/>
          </w:rPr>
        </w:r>
        <w:r>
          <w:rPr>
            <w:noProof/>
            <w:webHidden/>
          </w:rPr>
          <w:fldChar w:fldCharType="separate"/>
        </w:r>
        <w:r>
          <w:rPr>
            <w:noProof/>
            <w:webHidden/>
          </w:rPr>
          <w:t>536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71" w:history="1">
        <w:r w:rsidRPr="00CC53E5">
          <w:rPr>
            <w:rStyle w:val="Hyperlink"/>
            <w:noProof/>
          </w:rPr>
          <w:t>2.1.1388</w:t>
        </w:r>
        <w:r>
          <w:rPr>
            <w:rFonts w:asciiTheme="minorHAnsi" w:eastAsiaTheme="minorEastAsia" w:hAnsiTheme="minorHAnsi" w:cstheme="minorBidi"/>
            <w:noProof/>
            <w:sz w:val="22"/>
            <w:szCs w:val="22"/>
          </w:rPr>
          <w:tab/>
        </w:r>
        <w:r w:rsidRPr="00CC53E5">
          <w:rPr>
            <w:rStyle w:val="Hyperlink"/>
            <w:noProof/>
          </w:rPr>
          <w:t>Part 1 Section 21.1.2.3.2, defRPr (Default Text Run Properties)</w:t>
        </w:r>
        <w:r>
          <w:rPr>
            <w:noProof/>
            <w:webHidden/>
          </w:rPr>
          <w:tab/>
        </w:r>
        <w:r>
          <w:rPr>
            <w:noProof/>
            <w:webHidden/>
          </w:rPr>
          <w:fldChar w:fldCharType="begin"/>
        </w:r>
        <w:r>
          <w:rPr>
            <w:noProof/>
            <w:webHidden/>
          </w:rPr>
          <w:instrText xml:space="preserve"> PAGEREF _Toc69879171 \h </w:instrText>
        </w:r>
        <w:r>
          <w:rPr>
            <w:noProof/>
            <w:webHidden/>
          </w:rPr>
        </w:r>
        <w:r>
          <w:rPr>
            <w:noProof/>
            <w:webHidden/>
          </w:rPr>
          <w:fldChar w:fldCharType="separate"/>
        </w:r>
        <w:r>
          <w:rPr>
            <w:noProof/>
            <w:webHidden/>
          </w:rPr>
          <w:t>536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72" w:history="1">
        <w:r w:rsidRPr="00CC53E5">
          <w:rPr>
            <w:rStyle w:val="Hyperlink"/>
            <w:noProof/>
          </w:rPr>
          <w:t>2.1.1389</w:t>
        </w:r>
        <w:r>
          <w:rPr>
            <w:rFonts w:asciiTheme="minorHAnsi" w:eastAsiaTheme="minorEastAsia" w:hAnsiTheme="minorHAnsi" w:cstheme="minorBidi"/>
            <w:noProof/>
            <w:sz w:val="22"/>
            <w:szCs w:val="22"/>
          </w:rPr>
          <w:tab/>
        </w:r>
        <w:r w:rsidRPr="00CC53E5">
          <w:rPr>
            <w:rStyle w:val="Hyperlink"/>
            <w:noProof/>
          </w:rPr>
          <w:t>Part 1 Section 21.1.2.3.3, ea (East Asian Font)</w:t>
        </w:r>
        <w:r>
          <w:rPr>
            <w:noProof/>
            <w:webHidden/>
          </w:rPr>
          <w:tab/>
        </w:r>
        <w:r>
          <w:rPr>
            <w:noProof/>
            <w:webHidden/>
          </w:rPr>
          <w:fldChar w:fldCharType="begin"/>
        </w:r>
        <w:r>
          <w:rPr>
            <w:noProof/>
            <w:webHidden/>
          </w:rPr>
          <w:instrText xml:space="preserve"> PAGEREF _Toc69879172 \h </w:instrText>
        </w:r>
        <w:r>
          <w:rPr>
            <w:noProof/>
            <w:webHidden/>
          </w:rPr>
        </w:r>
        <w:r>
          <w:rPr>
            <w:noProof/>
            <w:webHidden/>
          </w:rPr>
          <w:fldChar w:fldCharType="separate"/>
        </w:r>
        <w:r>
          <w:rPr>
            <w:noProof/>
            <w:webHidden/>
          </w:rPr>
          <w:t>536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73" w:history="1">
        <w:r w:rsidRPr="00CC53E5">
          <w:rPr>
            <w:rStyle w:val="Hyperlink"/>
            <w:noProof/>
          </w:rPr>
          <w:t>2.1.1390</w:t>
        </w:r>
        <w:r>
          <w:rPr>
            <w:rFonts w:asciiTheme="minorHAnsi" w:eastAsiaTheme="minorEastAsia" w:hAnsiTheme="minorHAnsi" w:cstheme="minorBidi"/>
            <w:noProof/>
            <w:sz w:val="22"/>
            <w:szCs w:val="22"/>
          </w:rPr>
          <w:tab/>
        </w:r>
        <w:r w:rsidRPr="00CC53E5">
          <w:rPr>
            <w:rStyle w:val="Hyperlink"/>
            <w:noProof/>
          </w:rPr>
          <w:t>Part 1 Section 21.1.2.3.5, hlinkClick (Click Hyperlink)</w:t>
        </w:r>
        <w:r>
          <w:rPr>
            <w:noProof/>
            <w:webHidden/>
          </w:rPr>
          <w:tab/>
        </w:r>
        <w:r>
          <w:rPr>
            <w:noProof/>
            <w:webHidden/>
          </w:rPr>
          <w:fldChar w:fldCharType="begin"/>
        </w:r>
        <w:r>
          <w:rPr>
            <w:noProof/>
            <w:webHidden/>
          </w:rPr>
          <w:instrText xml:space="preserve"> PAGEREF _Toc69879173 \h </w:instrText>
        </w:r>
        <w:r>
          <w:rPr>
            <w:noProof/>
            <w:webHidden/>
          </w:rPr>
        </w:r>
        <w:r>
          <w:rPr>
            <w:noProof/>
            <w:webHidden/>
          </w:rPr>
          <w:fldChar w:fldCharType="separate"/>
        </w:r>
        <w:r>
          <w:rPr>
            <w:noProof/>
            <w:webHidden/>
          </w:rPr>
          <w:t>536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74" w:history="1">
        <w:r w:rsidRPr="00CC53E5">
          <w:rPr>
            <w:rStyle w:val="Hyperlink"/>
            <w:noProof/>
          </w:rPr>
          <w:t>2.1.1391</w:t>
        </w:r>
        <w:r>
          <w:rPr>
            <w:rFonts w:asciiTheme="minorHAnsi" w:eastAsiaTheme="minorEastAsia" w:hAnsiTheme="minorHAnsi" w:cstheme="minorBidi"/>
            <w:noProof/>
            <w:sz w:val="22"/>
            <w:szCs w:val="22"/>
          </w:rPr>
          <w:tab/>
        </w:r>
        <w:r w:rsidRPr="00CC53E5">
          <w:rPr>
            <w:rStyle w:val="Hyperlink"/>
            <w:noProof/>
          </w:rPr>
          <w:t>Part 1 Section 21.1.2.3.6, hlinkMouseOver (Mouse-Over Hyperlink)</w:t>
        </w:r>
        <w:r>
          <w:rPr>
            <w:noProof/>
            <w:webHidden/>
          </w:rPr>
          <w:tab/>
        </w:r>
        <w:r>
          <w:rPr>
            <w:noProof/>
            <w:webHidden/>
          </w:rPr>
          <w:fldChar w:fldCharType="begin"/>
        </w:r>
        <w:r>
          <w:rPr>
            <w:noProof/>
            <w:webHidden/>
          </w:rPr>
          <w:instrText xml:space="preserve"> PAGEREF _Toc69879174 \h </w:instrText>
        </w:r>
        <w:r>
          <w:rPr>
            <w:noProof/>
            <w:webHidden/>
          </w:rPr>
        </w:r>
        <w:r>
          <w:rPr>
            <w:noProof/>
            <w:webHidden/>
          </w:rPr>
          <w:fldChar w:fldCharType="separate"/>
        </w:r>
        <w:r>
          <w:rPr>
            <w:noProof/>
            <w:webHidden/>
          </w:rPr>
          <w:t>538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75" w:history="1">
        <w:r w:rsidRPr="00CC53E5">
          <w:rPr>
            <w:rStyle w:val="Hyperlink"/>
            <w:noProof/>
          </w:rPr>
          <w:t>2.1.1392</w:t>
        </w:r>
        <w:r>
          <w:rPr>
            <w:rFonts w:asciiTheme="minorHAnsi" w:eastAsiaTheme="minorEastAsia" w:hAnsiTheme="minorHAnsi" w:cstheme="minorBidi"/>
            <w:noProof/>
            <w:sz w:val="22"/>
            <w:szCs w:val="22"/>
          </w:rPr>
          <w:tab/>
        </w:r>
        <w:r w:rsidRPr="00CC53E5">
          <w:rPr>
            <w:rStyle w:val="Hyperlink"/>
            <w:noProof/>
          </w:rPr>
          <w:t>Part 1 Section 21.1.2.3.7, latin (Latin Font)</w:t>
        </w:r>
        <w:r>
          <w:rPr>
            <w:noProof/>
            <w:webHidden/>
          </w:rPr>
          <w:tab/>
        </w:r>
        <w:r>
          <w:rPr>
            <w:noProof/>
            <w:webHidden/>
          </w:rPr>
          <w:fldChar w:fldCharType="begin"/>
        </w:r>
        <w:r>
          <w:rPr>
            <w:noProof/>
            <w:webHidden/>
          </w:rPr>
          <w:instrText xml:space="preserve"> PAGEREF _Toc69879175 \h </w:instrText>
        </w:r>
        <w:r>
          <w:rPr>
            <w:noProof/>
            <w:webHidden/>
          </w:rPr>
        </w:r>
        <w:r>
          <w:rPr>
            <w:noProof/>
            <w:webHidden/>
          </w:rPr>
          <w:fldChar w:fldCharType="separate"/>
        </w:r>
        <w:r>
          <w:rPr>
            <w:noProof/>
            <w:webHidden/>
          </w:rPr>
          <w:t>538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76" w:history="1">
        <w:r w:rsidRPr="00CC53E5">
          <w:rPr>
            <w:rStyle w:val="Hyperlink"/>
            <w:noProof/>
          </w:rPr>
          <w:t>2.1.1393</w:t>
        </w:r>
        <w:r>
          <w:rPr>
            <w:rFonts w:asciiTheme="minorHAnsi" w:eastAsiaTheme="minorEastAsia" w:hAnsiTheme="minorHAnsi" w:cstheme="minorBidi"/>
            <w:noProof/>
            <w:sz w:val="22"/>
            <w:szCs w:val="22"/>
          </w:rPr>
          <w:tab/>
        </w:r>
        <w:r w:rsidRPr="00CC53E5">
          <w:rPr>
            <w:rStyle w:val="Hyperlink"/>
            <w:noProof/>
          </w:rPr>
          <w:t>Part 1 Section 21.1.2.3.8, r (Text Run)</w:t>
        </w:r>
        <w:r>
          <w:rPr>
            <w:noProof/>
            <w:webHidden/>
          </w:rPr>
          <w:tab/>
        </w:r>
        <w:r>
          <w:rPr>
            <w:noProof/>
            <w:webHidden/>
          </w:rPr>
          <w:fldChar w:fldCharType="begin"/>
        </w:r>
        <w:r>
          <w:rPr>
            <w:noProof/>
            <w:webHidden/>
          </w:rPr>
          <w:instrText xml:space="preserve"> PAGEREF _Toc69879176 \h </w:instrText>
        </w:r>
        <w:r>
          <w:rPr>
            <w:noProof/>
            <w:webHidden/>
          </w:rPr>
        </w:r>
        <w:r>
          <w:rPr>
            <w:noProof/>
            <w:webHidden/>
          </w:rPr>
          <w:fldChar w:fldCharType="separate"/>
        </w:r>
        <w:r>
          <w:rPr>
            <w:noProof/>
            <w:webHidden/>
          </w:rPr>
          <w:t>540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77" w:history="1">
        <w:r w:rsidRPr="00CC53E5">
          <w:rPr>
            <w:rStyle w:val="Hyperlink"/>
            <w:noProof/>
          </w:rPr>
          <w:t>2.1.1394</w:t>
        </w:r>
        <w:r>
          <w:rPr>
            <w:rFonts w:asciiTheme="minorHAnsi" w:eastAsiaTheme="minorEastAsia" w:hAnsiTheme="minorHAnsi" w:cstheme="minorBidi"/>
            <w:noProof/>
            <w:sz w:val="22"/>
            <w:szCs w:val="22"/>
          </w:rPr>
          <w:tab/>
        </w:r>
        <w:r w:rsidRPr="00CC53E5">
          <w:rPr>
            <w:rStyle w:val="Hyperlink"/>
            <w:noProof/>
          </w:rPr>
          <w:t>Part 1 Section 21.1.2.3.9, rPr (Text Run Properties)</w:t>
        </w:r>
        <w:r>
          <w:rPr>
            <w:noProof/>
            <w:webHidden/>
          </w:rPr>
          <w:tab/>
        </w:r>
        <w:r>
          <w:rPr>
            <w:noProof/>
            <w:webHidden/>
          </w:rPr>
          <w:fldChar w:fldCharType="begin"/>
        </w:r>
        <w:r>
          <w:rPr>
            <w:noProof/>
            <w:webHidden/>
          </w:rPr>
          <w:instrText xml:space="preserve"> PAGEREF _Toc69879177 \h </w:instrText>
        </w:r>
        <w:r>
          <w:rPr>
            <w:noProof/>
            <w:webHidden/>
          </w:rPr>
        </w:r>
        <w:r>
          <w:rPr>
            <w:noProof/>
            <w:webHidden/>
          </w:rPr>
          <w:fldChar w:fldCharType="separate"/>
        </w:r>
        <w:r>
          <w:rPr>
            <w:noProof/>
            <w:webHidden/>
          </w:rPr>
          <w:t>540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78" w:history="1">
        <w:r w:rsidRPr="00CC53E5">
          <w:rPr>
            <w:rStyle w:val="Hyperlink"/>
            <w:noProof/>
          </w:rPr>
          <w:t>2.1.1395</w:t>
        </w:r>
        <w:r>
          <w:rPr>
            <w:rFonts w:asciiTheme="minorHAnsi" w:eastAsiaTheme="minorEastAsia" w:hAnsiTheme="minorHAnsi" w:cstheme="minorBidi"/>
            <w:noProof/>
            <w:sz w:val="22"/>
            <w:szCs w:val="22"/>
          </w:rPr>
          <w:tab/>
        </w:r>
        <w:r w:rsidRPr="00CC53E5">
          <w:rPr>
            <w:rStyle w:val="Hyperlink"/>
            <w:noProof/>
          </w:rPr>
          <w:t>Part 1 Section 21.1.2.3.10, sym (Symbol Font)</w:t>
        </w:r>
        <w:r>
          <w:rPr>
            <w:noProof/>
            <w:webHidden/>
          </w:rPr>
          <w:tab/>
        </w:r>
        <w:r>
          <w:rPr>
            <w:noProof/>
            <w:webHidden/>
          </w:rPr>
          <w:fldChar w:fldCharType="begin"/>
        </w:r>
        <w:r>
          <w:rPr>
            <w:noProof/>
            <w:webHidden/>
          </w:rPr>
          <w:instrText xml:space="preserve"> PAGEREF _Toc69879178 \h </w:instrText>
        </w:r>
        <w:r>
          <w:rPr>
            <w:noProof/>
            <w:webHidden/>
          </w:rPr>
        </w:r>
        <w:r>
          <w:rPr>
            <w:noProof/>
            <w:webHidden/>
          </w:rPr>
          <w:fldChar w:fldCharType="separate"/>
        </w:r>
        <w:r>
          <w:rPr>
            <w:noProof/>
            <w:webHidden/>
          </w:rPr>
          <w:t>541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79" w:history="1">
        <w:r w:rsidRPr="00CC53E5">
          <w:rPr>
            <w:rStyle w:val="Hyperlink"/>
            <w:noProof/>
          </w:rPr>
          <w:t>2.1.1396</w:t>
        </w:r>
        <w:r>
          <w:rPr>
            <w:rFonts w:asciiTheme="minorHAnsi" w:eastAsiaTheme="minorEastAsia" w:hAnsiTheme="minorHAnsi" w:cstheme="minorBidi"/>
            <w:noProof/>
            <w:sz w:val="22"/>
            <w:szCs w:val="22"/>
          </w:rPr>
          <w:tab/>
        </w:r>
        <w:r w:rsidRPr="00CC53E5">
          <w:rPr>
            <w:rStyle w:val="Hyperlink"/>
            <w:noProof/>
          </w:rPr>
          <w:t>Part 1 Section 21.1.2.3.13, uFillTx (Underline Fill Properties Follow Text)</w:t>
        </w:r>
        <w:r>
          <w:rPr>
            <w:noProof/>
            <w:webHidden/>
          </w:rPr>
          <w:tab/>
        </w:r>
        <w:r>
          <w:rPr>
            <w:noProof/>
            <w:webHidden/>
          </w:rPr>
          <w:fldChar w:fldCharType="begin"/>
        </w:r>
        <w:r>
          <w:rPr>
            <w:noProof/>
            <w:webHidden/>
          </w:rPr>
          <w:instrText xml:space="preserve"> PAGEREF _Toc69879179 \h </w:instrText>
        </w:r>
        <w:r>
          <w:rPr>
            <w:noProof/>
            <w:webHidden/>
          </w:rPr>
        </w:r>
        <w:r>
          <w:rPr>
            <w:noProof/>
            <w:webHidden/>
          </w:rPr>
          <w:fldChar w:fldCharType="separate"/>
        </w:r>
        <w:r>
          <w:rPr>
            <w:noProof/>
            <w:webHidden/>
          </w:rPr>
          <w:t>541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80" w:history="1">
        <w:r w:rsidRPr="00CC53E5">
          <w:rPr>
            <w:rStyle w:val="Hyperlink"/>
            <w:noProof/>
          </w:rPr>
          <w:t>2.1.1397</w:t>
        </w:r>
        <w:r>
          <w:rPr>
            <w:rFonts w:asciiTheme="minorHAnsi" w:eastAsiaTheme="minorEastAsia" w:hAnsiTheme="minorHAnsi" w:cstheme="minorBidi"/>
            <w:noProof/>
            <w:sz w:val="22"/>
            <w:szCs w:val="22"/>
          </w:rPr>
          <w:tab/>
        </w:r>
        <w:r w:rsidRPr="00CC53E5">
          <w:rPr>
            <w:rStyle w:val="Hyperlink"/>
            <w:noProof/>
          </w:rPr>
          <w:t>Part 1 Section 21.1.2.3.14, uLn (Underline Stroke)</w:t>
        </w:r>
        <w:r>
          <w:rPr>
            <w:noProof/>
            <w:webHidden/>
          </w:rPr>
          <w:tab/>
        </w:r>
        <w:r>
          <w:rPr>
            <w:noProof/>
            <w:webHidden/>
          </w:rPr>
          <w:fldChar w:fldCharType="begin"/>
        </w:r>
        <w:r>
          <w:rPr>
            <w:noProof/>
            <w:webHidden/>
          </w:rPr>
          <w:instrText xml:space="preserve"> PAGEREF _Toc69879180 \h </w:instrText>
        </w:r>
        <w:r>
          <w:rPr>
            <w:noProof/>
            <w:webHidden/>
          </w:rPr>
        </w:r>
        <w:r>
          <w:rPr>
            <w:noProof/>
            <w:webHidden/>
          </w:rPr>
          <w:fldChar w:fldCharType="separate"/>
        </w:r>
        <w:r>
          <w:rPr>
            <w:noProof/>
            <w:webHidden/>
          </w:rPr>
          <w:t>541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81" w:history="1">
        <w:r w:rsidRPr="00CC53E5">
          <w:rPr>
            <w:rStyle w:val="Hyperlink"/>
            <w:noProof/>
          </w:rPr>
          <w:t>2.1.1398</w:t>
        </w:r>
        <w:r>
          <w:rPr>
            <w:rFonts w:asciiTheme="minorHAnsi" w:eastAsiaTheme="minorEastAsia" w:hAnsiTheme="minorHAnsi" w:cstheme="minorBidi"/>
            <w:noProof/>
            <w:sz w:val="22"/>
            <w:szCs w:val="22"/>
          </w:rPr>
          <w:tab/>
        </w:r>
        <w:r w:rsidRPr="00CC53E5">
          <w:rPr>
            <w:rStyle w:val="Hyperlink"/>
            <w:noProof/>
          </w:rPr>
          <w:t>Part 1 Section 21.1.2.4.6, buFont (Specified)</w:t>
        </w:r>
        <w:r>
          <w:rPr>
            <w:noProof/>
            <w:webHidden/>
          </w:rPr>
          <w:tab/>
        </w:r>
        <w:r>
          <w:rPr>
            <w:noProof/>
            <w:webHidden/>
          </w:rPr>
          <w:fldChar w:fldCharType="begin"/>
        </w:r>
        <w:r>
          <w:rPr>
            <w:noProof/>
            <w:webHidden/>
          </w:rPr>
          <w:instrText xml:space="preserve"> PAGEREF _Toc69879181 \h </w:instrText>
        </w:r>
        <w:r>
          <w:rPr>
            <w:noProof/>
            <w:webHidden/>
          </w:rPr>
        </w:r>
        <w:r>
          <w:rPr>
            <w:noProof/>
            <w:webHidden/>
          </w:rPr>
          <w:fldChar w:fldCharType="separate"/>
        </w:r>
        <w:r>
          <w:rPr>
            <w:noProof/>
            <w:webHidden/>
          </w:rPr>
          <w:t>542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82" w:history="1">
        <w:r w:rsidRPr="00CC53E5">
          <w:rPr>
            <w:rStyle w:val="Hyperlink"/>
            <w:noProof/>
          </w:rPr>
          <w:t>2.1.1399</w:t>
        </w:r>
        <w:r>
          <w:rPr>
            <w:rFonts w:asciiTheme="minorHAnsi" w:eastAsiaTheme="minorEastAsia" w:hAnsiTheme="minorHAnsi" w:cstheme="minorBidi"/>
            <w:noProof/>
            <w:sz w:val="22"/>
            <w:szCs w:val="22"/>
          </w:rPr>
          <w:tab/>
        </w:r>
        <w:r w:rsidRPr="00CC53E5">
          <w:rPr>
            <w:rStyle w:val="Hyperlink"/>
            <w:noProof/>
          </w:rPr>
          <w:t>Part 1 Section 21.1.2.4.9, buSzPct (Bullet Size Percentage)</w:t>
        </w:r>
        <w:r>
          <w:rPr>
            <w:noProof/>
            <w:webHidden/>
          </w:rPr>
          <w:tab/>
        </w:r>
        <w:r>
          <w:rPr>
            <w:noProof/>
            <w:webHidden/>
          </w:rPr>
          <w:fldChar w:fldCharType="begin"/>
        </w:r>
        <w:r>
          <w:rPr>
            <w:noProof/>
            <w:webHidden/>
          </w:rPr>
          <w:instrText xml:space="preserve"> PAGEREF _Toc69879182 \h </w:instrText>
        </w:r>
        <w:r>
          <w:rPr>
            <w:noProof/>
            <w:webHidden/>
          </w:rPr>
        </w:r>
        <w:r>
          <w:rPr>
            <w:noProof/>
            <w:webHidden/>
          </w:rPr>
          <w:fldChar w:fldCharType="separate"/>
        </w:r>
        <w:r>
          <w:rPr>
            <w:noProof/>
            <w:webHidden/>
          </w:rPr>
          <w:t>542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83" w:history="1">
        <w:r w:rsidRPr="00CC53E5">
          <w:rPr>
            <w:rStyle w:val="Hyperlink"/>
            <w:noProof/>
          </w:rPr>
          <w:t>2.1.1400</w:t>
        </w:r>
        <w:r>
          <w:rPr>
            <w:rFonts w:asciiTheme="minorHAnsi" w:eastAsiaTheme="minorEastAsia" w:hAnsiTheme="minorHAnsi" w:cstheme="minorBidi"/>
            <w:noProof/>
            <w:sz w:val="22"/>
            <w:szCs w:val="22"/>
          </w:rPr>
          <w:tab/>
        </w:r>
        <w:r w:rsidRPr="00CC53E5">
          <w:rPr>
            <w:rStyle w:val="Hyperlink"/>
            <w:noProof/>
          </w:rPr>
          <w:t>Part 1 Section 21.1.2.4.10, buSzPts (Bullet Size Points)</w:t>
        </w:r>
        <w:r>
          <w:rPr>
            <w:noProof/>
            <w:webHidden/>
          </w:rPr>
          <w:tab/>
        </w:r>
        <w:r>
          <w:rPr>
            <w:noProof/>
            <w:webHidden/>
          </w:rPr>
          <w:fldChar w:fldCharType="begin"/>
        </w:r>
        <w:r>
          <w:rPr>
            <w:noProof/>
            <w:webHidden/>
          </w:rPr>
          <w:instrText xml:space="preserve"> PAGEREF _Toc69879183 \h </w:instrText>
        </w:r>
        <w:r>
          <w:rPr>
            <w:noProof/>
            <w:webHidden/>
          </w:rPr>
        </w:r>
        <w:r>
          <w:rPr>
            <w:noProof/>
            <w:webHidden/>
          </w:rPr>
          <w:fldChar w:fldCharType="separate"/>
        </w:r>
        <w:r>
          <w:rPr>
            <w:noProof/>
            <w:webHidden/>
          </w:rPr>
          <w:t>542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84" w:history="1">
        <w:r w:rsidRPr="00CC53E5">
          <w:rPr>
            <w:rStyle w:val="Hyperlink"/>
            <w:noProof/>
          </w:rPr>
          <w:t>2.1.1401</w:t>
        </w:r>
        <w:r>
          <w:rPr>
            <w:rFonts w:asciiTheme="minorHAnsi" w:eastAsiaTheme="minorEastAsia" w:hAnsiTheme="minorHAnsi" w:cstheme="minorBidi"/>
            <w:noProof/>
            <w:sz w:val="22"/>
            <w:szCs w:val="22"/>
          </w:rPr>
          <w:tab/>
        </w:r>
        <w:r w:rsidRPr="00CC53E5">
          <w:rPr>
            <w:rStyle w:val="Hyperlink"/>
            <w:noProof/>
          </w:rPr>
          <w:t>Part 1 Section 21.1.2.4.13, lvl1pPr (List Level 1 Text Style)</w:t>
        </w:r>
        <w:r>
          <w:rPr>
            <w:noProof/>
            <w:webHidden/>
          </w:rPr>
          <w:tab/>
        </w:r>
        <w:r>
          <w:rPr>
            <w:noProof/>
            <w:webHidden/>
          </w:rPr>
          <w:fldChar w:fldCharType="begin"/>
        </w:r>
        <w:r>
          <w:rPr>
            <w:noProof/>
            <w:webHidden/>
          </w:rPr>
          <w:instrText xml:space="preserve"> PAGEREF _Toc69879184 \h </w:instrText>
        </w:r>
        <w:r>
          <w:rPr>
            <w:noProof/>
            <w:webHidden/>
          </w:rPr>
        </w:r>
        <w:r>
          <w:rPr>
            <w:noProof/>
            <w:webHidden/>
          </w:rPr>
          <w:fldChar w:fldCharType="separate"/>
        </w:r>
        <w:r>
          <w:rPr>
            <w:noProof/>
            <w:webHidden/>
          </w:rPr>
          <w:t>542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85" w:history="1">
        <w:r w:rsidRPr="00CC53E5">
          <w:rPr>
            <w:rStyle w:val="Hyperlink"/>
            <w:noProof/>
          </w:rPr>
          <w:t>2.1.1402</w:t>
        </w:r>
        <w:r>
          <w:rPr>
            <w:rFonts w:asciiTheme="minorHAnsi" w:eastAsiaTheme="minorEastAsia" w:hAnsiTheme="minorHAnsi" w:cstheme="minorBidi"/>
            <w:noProof/>
            <w:sz w:val="22"/>
            <w:szCs w:val="22"/>
          </w:rPr>
          <w:tab/>
        </w:r>
        <w:r w:rsidRPr="00CC53E5">
          <w:rPr>
            <w:rStyle w:val="Hyperlink"/>
            <w:noProof/>
          </w:rPr>
          <w:t>Part 1 Section 21.1.2.4.14, lvl2pPr (List Level 2 Text Style)</w:t>
        </w:r>
        <w:r>
          <w:rPr>
            <w:noProof/>
            <w:webHidden/>
          </w:rPr>
          <w:tab/>
        </w:r>
        <w:r>
          <w:rPr>
            <w:noProof/>
            <w:webHidden/>
          </w:rPr>
          <w:fldChar w:fldCharType="begin"/>
        </w:r>
        <w:r>
          <w:rPr>
            <w:noProof/>
            <w:webHidden/>
          </w:rPr>
          <w:instrText xml:space="preserve"> PAGEREF _Toc69879185 \h </w:instrText>
        </w:r>
        <w:r>
          <w:rPr>
            <w:noProof/>
            <w:webHidden/>
          </w:rPr>
        </w:r>
        <w:r>
          <w:rPr>
            <w:noProof/>
            <w:webHidden/>
          </w:rPr>
          <w:fldChar w:fldCharType="separate"/>
        </w:r>
        <w:r>
          <w:rPr>
            <w:noProof/>
            <w:webHidden/>
          </w:rPr>
          <w:t>543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86" w:history="1">
        <w:r w:rsidRPr="00CC53E5">
          <w:rPr>
            <w:rStyle w:val="Hyperlink"/>
            <w:noProof/>
          </w:rPr>
          <w:t>2.1.1403</w:t>
        </w:r>
        <w:r>
          <w:rPr>
            <w:rFonts w:asciiTheme="minorHAnsi" w:eastAsiaTheme="minorEastAsia" w:hAnsiTheme="minorHAnsi" w:cstheme="minorBidi"/>
            <w:noProof/>
            <w:sz w:val="22"/>
            <w:szCs w:val="22"/>
          </w:rPr>
          <w:tab/>
        </w:r>
        <w:r w:rsidRPr="00CC53E5">
          <w:rPr>
            <w:rStyle w:val="Hyperlink"/>
            <w:noProof/>
          </w:rPr>
          <w:t>Part 1 Section 21.1.2.4.15, lvl3pPr (List Level 3 Text Style)</w:t>
        </w:r>
        <w:r>
          <w:rPr>
            <w:noProof/>
            <w:webHidden/>
          </w:rPr>
          <w:tab/>
        </w:r>
        <w:r>
          <w:rPr>
            <w:noProof/>
            <w:webHidden/>
          </w:rPr>
          <w:fldChar w:fldCharType="begin"/>
        </w:r>
        <w:r>
          <w:rPr>
            <w:noProof/>
            <w:webHidden/>
          </w:rPr>
          <w:instrText xml:space="preserve"> PAGEREF _Toc69879186 \h </w:instrText>
        </w:r>
        <w:r>
          <w:rPr>
            <w:noProof/>
            <w:webHidden/>
          </w:rPr>
        </w:r>
        <w:r>
          <w:rPr>
            <w:noProof/>
            <w:webHidden/>
          </w:rPr>
          <w:fldChar w:fldCharType="separate"/>
        </w:r>
        <w:r>
          <w:rPr>
            <w:noProof/>
            <w:webHidden/>
          </w:rPr>
          <w:t>543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87" w:history="1">
        <w:r w:rsidRPr="00CC53E5">
          <w:rPr>
            <w:rStyle w:val="Hyperlink"/>
            <w:noProof/>
          </w:rPr>
          <w:t>2.1.1404</w:t>
        </w:r>
        <w:r>
          <w:rPr>
            <w:rFonts w:asciiTheme="minorHAnsi" w:eastAsiaTheme="minorEastAsia" w:hAnsiTheme="minorHAnsi" w:cstheme="minorBidi"/>
            <w:noProof/>
            <w:sz w:val="22"/>
            <w:szCs w:val="22"/>
          </w:rPr>
          <w:tab/>
        </w:r>
        <w:r w:rsidRPr="00CC53E5">
          <w:rPr>
            <w:rStyle w:val="Hyperlink"/>
            <w:noProof/>
          </w:rPr>
          <w:t>Part 1 Section 21.1.2.4.16, lvl4pPr (List Level 4 Text Style)</w:t>
        </w:r>
        <w:r>
          <w:rPr>
            <w:noProof/>
            <w:webHidden/>
          </w:rPr>
          <w:tab/>
        </w:r>
        <w:r>
          <w:rPr>
            <w:noProof/>
            <w:webHidden/>
          </w:rPr>
          <w:fldChar w:fldCharType="begin"/>
        </w:r>
        <w:r>
          <w:rPr>
            <w:noProof/>
            <w:webHidden/>
          </w:rPr>
          <w:instrText xml:space="preserve"> PAGEREF _Toc69879187 \h </w:instrText>
        </w:r>
        <w:r>
          <w:rPr>
            <w:noProof/>
            <w:webHidden/>
          </w:rPr>
        </w:r>
        <w:r>
          <w:rPr>
            <w:noProof/>
            <w:webHidden/>
          </w:rPr>
          <w:fldChar w:fldCharType="separate"/>
        </w:r>
        <w:r>
          <w:rPr>
            <w:noProof/>
            <w:webHidden/>
          </w:rPr>
          <w:t>543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88" w:history="1">
        <w:r w:rsidRPr="00CC53E5">
          <w:rPr>
            <w:rStyle w:val="Hyperlink"/>
            <w:noProof/>
          </w:rPr>
          <w:t>2.1.1405</w:t>
        </w:r>
        <w:r>
          <w:rPr>
            <w:rFonts w:asciiTheme="minorHAnsi" w:eastAsiaTheme="minorEastAsia" w:hAnsiTheme="minorHAnsi" w:cstheme="minorBidi"/>
            <w:noProof/>
            <w:sz w:val="22"/>
            <w:szCs w:val="22"/>
          </w:rPr>
          <w:tab/>
        </w:r>
        <w:r w:rsidRPr="00CC53E5">
          <w:rPr>
            <w:rStyle w:val="Hyperlink"/>
            <w:noProof/>
          </w:rPr>
          <w:t>Part 1 Section 21.1.2.4.17, lvl5pPr (List Level 5 Text Style)</w:t>
        </w:r>
        <w:r>
          <w:rPr>
            <w:noProof/>
            <w:webHidden/>
          </w:rPr>
          <w:tab/>
        </w:r>
        <w:r>
          <w:rPr>
            <w:noProof/>
            <w:webHidden/>
          </w:rPr>
          <w:fldChar w:fldCharType="begin"/>
        </w:r>
        <w:r>
          <w:rPr>
            <w:noProof/>
            <w:webHidden/>
          </w:rPr>
          <w:instrText xml:space="preserve"> PAGEREF _Toc69879188 \h </w:instrText>
        </w:r>
        <w:r>
          <w:rPr>
            <w:noProof/>
            <w:webHidden/>
          </w:rPr>
        </w:r>
        <w:r>
          <w:rPr>
            <w:noProof/>
            <w:webHidden/>
          </w:rPr>
          <w:fldChar w:fldCharType="separate"/>
        </w:r>
        <w:r>
          <w:rPr>
            <w:noProof/>
            <w:webHidden/>
          </w:rPr>
          <w:t>543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89" w:history="1">
        <w:r w:rsidRPr="00CC53E5">
          <w:rPr>
            <w:rStyle w:val="Hyperlink"/>
            <w:noProof/>
          </w:rPr>
          <w:t>2.1.1406</w:t>
        </w:r>
        <w:r>
          <w:rPr>
            <w:rFonts w:asciiTheme="minorHAnsi" w:eastAsiaTheme="minorEastAsia" w:hAnsiTheme="minorHAnsi" w:cstheme="minorBidi"/>
            <w:noProof/>
            <w:sz w:val="22"/>
            <w:szCs w:val="22"/>
          </w:rPr>
          <w:tab/>
        </w:r>
        <w:r w:rsidRPr="00CC53E5">
          <w:rPr>
            <w:rStyle w:val="Hyperlink"/>
            <w:noProof/>
          </w:rPr>
          <w:t>Part 1 Section 21.1.2.4.18, lvl6pPr (List Level 6 Text Style)</w:t>
        </w:r>
        <w:r>
          <w:rPr>
            <w:noProof/>
            <w:webHidden/>
          </w:rPr>
          <w:tab/>
        </w:r>
        <w:r>
          <w:rPr>
            <w:noProof/>
            <w:webHidden/>
          </w:rPr>
          <w:fldChar w:fldCharType="begin"/>
        </w:r>
        <w:r>
          <w:rPr>
            <w:noProof/>
            <w:webHidden/>
          </w:rPr>
          <w:instrText xml:space="preserve"> PAGEREF _Toc69879189 \h </w:instrText>
        </w:r>
        <w:r>
          <w:rPr>
            <w:noProof/>
            <w:webHidden/>
          </w:rPr>
        </w:r>
        <w:r>
          <w:rPr>
            <w:noProof/>
            <w:webHidden/>
          </w:rPr>
          <w:fldChar w:fldCharType="separate"/>
        </w:r>
        <w:r>
          <w:rPr>
            <w:noProof/>
            <w:webHidden/>
          </w:rPr>
          <w:t>543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90" w:history="1">
        <w:r w:rsidRPr="00CC53E5">
          <w:rPr>
            <w:rStyle w:val="Hyperlink"/>
            <w:noProof/>
          </w:rPr>
          <w:t>2.1.1407</w:t>
        </w:r>
        <w:r>
          <w:rPr>
            <w:rFonts w:asciiTheme="minorHAnsi" w:eastAsiaTheme="minorEastAsia" w:hAnsiTheme="minorHAnsi" w:cstheme="minorBidi"/>
            <w:noProof/>
            <w:sz w:val="22"/>
            <w:szCs w:val="22"/>
          </w:rPr>
          <w:tab/>
        </w:r>
        <w:r w:rsidRPr="00CC53E5">
          <w:rPr>
            <w:rStyle w:val="Hyperlink"/>
            <w:noProof/>
          </w:rPr>
          <w:t>Part 1 Section 21.1.2.4.19, lvl7pPr (List Level 7 Text Style)</w:t>
        </w:r>
        <w:r>
          <w:rPr>
            <w:noProof/>
            <w:webHidden/>
          </w:rPr>
          <w:tab/>
        </w:r>
        <w:r>
          <w:rPr>
            <w:noProof/>
            <w:webHidden/>
          </w:rPr>
          <w:fldChar w:fldCharType="begin"/>
        </w:r>
        <w:r>
          <w:rPr>
            <w:noProof/>
            <w:webHidden/>
          </w:rPr>
          <w:instrText xml:space="preserve"> PAGEREF _Toc69879190 \h </w:instrText>
        </w:r>
        <w:r>
          <w:rPr>
            <w:noProof/>
            <w:webHidden/>
          </w:rPr>
        </w:r>
        <w:r>
          <w:rPr>
            <w:noProof/>
            <w:webHidden/>
          </w:rPr>
          <w:fldChar w:fldCharType="separate"/>
        </w:r>
        <w:r>
          <w:rPr>
            <w:noProof/>
            <w:webHidden/>
          </w:rPr>
          <w:t>543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91" w:history="1">
        <w:r w:rsidRPr="00CC53E5">
          <w:rPr>
            <w:rStyle w:val="Hyperlink"/>
            <w:noProof/>
          </w:rPr>
          <w:t>2.1.1408</w:t>
        </w:r>
        <w:r>
          <w:rPr>
            <w:rFonts w:asciiTheme="minorHAnsi" w:eastAsiaTheme="minorEastAsia" w:hAnsiTheme="minorHAnsi" w:cstheme="minorBidi"/>
            <w:noProof/>
            <w:sz w:val="22"/>
            <w:szCs w:val="22"/>
          </w:rPr>
          <w:tab/>
        </w:r>
        <w:r w:rsidRPr="00CC53E5">
          <w:rPr>
            <w:rStyle w:val="Hyperlink"/>
            <w:noProof/>
          </w:rPr>
          <w:t>Part 1 Section 21.1.2.4.20, lvl8pPr (List Level 8 Text Style)</w:t>
        </w:r>
        <w:r>
          <w:rPr>
            <w:noProof/>
            <w:webHidden/>
          </w:rPr>
          <w:tab/>
        </w:r>
        <w:r>
          <w:rPr>
            <w:noProof/>
            <w:webHidden/>
          </w:rPr>
          <w:fldChar w:fldCharType="begin"/>
        </w:r>
        <w:r>
          <w:rPr>
            <w:noProof/>
            <w:webHidden/>
          </w:rPr>
          <w:instrText xml:space="preserve"> PAGEREF _Toc69879191 \h </w:instrText>
        </w:r>
        <w:r>
          <w:rPr>
            <w:noProof/>
            <w:webHidden/>
          </w:rPr>
        </w:r>
        <w:r>
          <w:rPr>
            <w:noProof/>
            <w:webHidden/>
          </w:rPr>
          <w:fldChar w:fldCharType="separate"/>
        </w:r>
        <w:r>
          <w:rPr>
            <w:noProof/>
            <w:webHidden/>
          </w:rPr>
          <w:t>543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92" w:history="1">
        <w:r w:rsidRPr="00CC53E5">
          <w:rPr>
            <w:rStyle w:val="Hyperlink"/>
            <w:noProof/>
          </w:rPr>
          <w:t>2.1.1409</w:t>
        </w:r>
        <w:r>
          <w:rPr>
            <w:rFonts w:asciiTheme="minorHAnsi" w:eastAsiaTheme="minorEastAsia" w:hAnsiTheme="minorHAnsi" w:cstheme="minorBidi"/>
            <w:noProof/>
            <w:sz w:val="22"/>
            <w:szCs w:val="22"/>
          </w:rPr>
          <w:tab/>
        </w:r>
        <w:r w:rsidRPr="00CC53E5">
          <w:rPr>
            <w:rStyle w:val="Hyperlink"/>
            <w:noProof/>
          </w:rPr>
          <w:t>Part 1 Section 21.1.2.4.21, lvl9pPr (List Level 9 Text Style)</w:t>
        </w:r>
        <w:r>
          <w:rPr>
            <w:noProof/>
            <w:webHidden/>
          </w:rPr>
          <w:tab/>
        </w:r>
        <w:r>
          <w:rPr>
            <w:noProof/>
            <w:webHidden/>
          </w:rPr>
          <w:fldChar w:fldCharType="begin"/>
        </w:r>
        <w:r>
          <w:rPr>
            <w:noProof/>
            <w:webHidden/>
          </w:rPr>
          <w:instrText xml:space="preserve"> PAGEREF _Toc69879192 \h </w:instrText>
        </w:r>
        <w:r>
          <w:rPr>
            <w:noProof/>
            <w:webHidden/>
          </w:rPr>
        </w:r>
        <w:r>
          <w:rPr>
            <w:noProof/>
            <w:webHidden/>
          </w:rPr>
          <w:fldChar w:fldCharType="separate"/>
        </w:r>
        <w:r>
          <w:rPr>
            <w:noProof/>
            <w:webHidden/>
          </w:rPr>
          <w:t>543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93" w:history="1">
        <w:r w:rsidRPr="00CC53E5">
          <w:rPr>
            <w:rStyle w:val="Hyperlink"/>
            <w:noProof/>
          </w:rPr>
          <w:t>2.1.1410</w:t>
        </w:r>
        <w:r>
          <w:rPr>
            <w:rFonts w:asciiTheme="minorHAnsi" w:eastAsiaTheme="minorEastAsia" w:hAnsiTheme="minorHAnsi" w:cstheme="minorBidi"/>
            <w:noProof/>
            <w:sz w:val="22"/>
            <w:szCs w:val="22"/>
          </w:rPr>
          <w:tab/>
        </w:r>
        <w:r w:rsidRPr="00CC53E5">
          <w:rPr>
            <w:rStyle w:val="Hyperlink"/>
            <w:noProof/>
          </w:rPr>
          <w:t>Part 1 Section 21.1.3.1, cell3D (Cell 3-D)</w:t>
        </w:r>
        <w:r>
          <w:rPr>
            <w:noProof/>
            <w:webHidden/>
          </w:rPr>
          <w:tab/>
        </w:r>
        <w:r>
          <w:rPr>
            <w:noProof/>
            <w:webHidden/>
          </w:rPr>
          <w:fldChar w:fldCharType="begin"/>
        </w:r>
        <w:r>
          <w:rPr>
            <w:noProof/>
            <w:webHidden/>
          </w:rPr>
          <w:instrText xml:space="preserve"> PAGEREF _Toc69879193 \h </w:instrText>
        </w:r>
        <w:r>
          <w:rPr>
            <w:noProof/>
            <w:webHidden/>
          </w:rPr>
        </w:r>
        <w:r>
          <w:rPr>
            <w:noProof/>
            <w:webHidden/>
          </w:rPr>
          <w:fldChar w:fldCharType="separate"/>
        </w:r>
        <w:r>
          <w:rPr>
            <w:noProof/>
            <w:webHidden/>
          </w:rPr>
          <w:t>543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94" w:history="1">
        <w:r w:rsidRPr="00CC53E5">
          <w:rPr>
            <w:rStyle w:val="Hyperlink"/>
            <w:noProof/>
          </w:rPr>
          <w:t>2.1.1411</w:t>
        </w:r>
        <w:r>
          <w:rPr>
            <w:rFonts w:asciiTheme="minorHAnsi" w:eastAsiaTheme="minorEastAsia" w:hAnsiTheme="minorHAnsi" w:cstheme="minorBidi"/>
            <w:noProof/>
            <w:sz w:val="22"/>
            <w:szCs w:val="22"/>
          </w:rPr>
          <w:tab/>
        </w:r>
        <w:r w:rsidRPr="00CC53E5">
          <w:rPr>
            <w:rStyle w:val="Hyperlink"/>
            <w:noProof/>
          </w:rPr>
          <w:t>Part 1 Section 21.1.3.2, gridCol (Table Grid Column)</w:t>
        </w:r>
        <w:r>
          <w:rPr>
            <w:noProof/>
            <w:webHidden/>
          </w:rPr>
          <w:tab/>
        </w:r>
        <w:r>
          <w:rPr>
            <w:noProof/>
            <w:webHidden/>
          </w:rPr>
          <w:fldChar w:fldCharType="begin"/>
        </w:r>
        <w:r>
          <w:rPr>
            <w:noProof/>
            <w:webHidden/>
          </w:rPr>
          <w:instrText xml:space="preserve"> PAGEREF _Toc69879194 \h </w:instrText>
        </w:r>
        <w:r>
          <w:rPr>
            <w:noProof/>
            <w:webHidden/>
          </w:rPr>
        </w:r>
        <w:r>
          <w:rPr>
            <w:noProof/>
            <w:webHidden/>
          </w:rPr>
          <w:fldChar w:fldCharType="separate"/>
        </w:r>
        <w:r>
          <w:rPr>
            <w:noProof/>
            <w:webHidden/>
          </w:rPr>
          <w:t>544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95" w:history="1">
        <w:r w:rsidRPr="00CC53E5">
          <w:rPr>
            <w:rStyle w:val="Hyperlink"/>
            <w:noProof/>
          </w:rPr>
          <w:t>2.1.1412</w:t>
        </w:r>
        <w:r>
          <w:rPr>
            <w:rFonts w:asciiTheme="minorHAnsi" w:eastAsiaTheme="minorEastAsia" w:hAnsiTheme="minorHAnsi" w:cstheme="minorBidi"/>
            <w:noProof/>
            <w:sz w:val="22"/>
            <w:szCs w:val="22"/>
          </w:rPr>
          <w:tab/>
        </w:r>
        <w:r w:rsidRPr="00CC53E5">
          <w:rPr>
            <w:rStyle w:val="Hyperlink"/>
            <w:noProof/>
          </w:rPr>
          <w:t>Part 1 Section 21.1.3.5, lnB (Bottom Border Line Properties)</w:t>
        </w:r>
        <w:r>
          <w:rPr>
            <w:noProof/>
            <w:webHidden/>
          </w:rPr>
          <w:tab/>
        </w:r>
        <w:r>
          <w:rPr>
            <w:noProof/>
            <w:webHidden/>
          </w:rPr>
          <w:fldChar w:fldCharType="begin"/>
        </w:r>
        <w:r>
          <w:rPr>
            <w:noProof/>
            <w:webHidden/>
          </w:rPr>
          <w:instrText xml:space="preserve"> PAGEREF _Toc69879195 \h </w:instrText>
        </w:r>
        <w:r>
          <w:rPr>
            <w:noProof/>
            <w:webHidden/>
          </w:rPr>
        </w:r>
        <w:r>
          <w:rPr>
            <w:noProof/>
            <w:webHidden/>
          </w:rPr>
          <w:fldChar w:fldCharType="separate"/>
        </w:r>
        <w:r>
          <w:rPr>
            <w:noProof/>
            <w:webHidden/>
          </w:rPr>
          <w:t>544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96" w:history="1">
        <w:r w:rsidRPr="00CC53E5">
          <w:rPr>
            <w:rStyle w:val="Hyperlink"/>
            <w:noProof/>
          </w:rPr>
          <w:t>2.1.1413</w:t>
        </w:r>
        <w:r>
          <w:rPr>
            <w:rFonts w:asciiTheme="minorHAnsi" w:eastAsiaTheme="minorEastAsia" w:hAnsiTheme="minorHAnsi" w:cstheme="minorBidi"/>
            <w:noProof/>
            <w:sz w:val="22"/>
            <w:szCs w:val="22"/>
          </w:rPr>
          <w:tab/>
        </w:r>
        <w:r w:rsidRPr="00CC53E5">
          <w:rPr>
            <w:rStyle w:val="Hyperlink"/>
            <w:noProof/>
          </w:rPr>
          <w:t>Part 1 Section 21.1.3.6, lnBlToTr (Bottom-Left to Top-Right Border Line Properties)</w:t>
        </w:r>
        <w:r>
          <w:rPr>
            <w:noProof/>
            <w:webHidden/>
          </w:rPr>
          <w:tab/>
        </w:r>
        <w:r>
          <w:rPr>
            <w:noProof/>
            <w:webHidden/>
          </w:rPr>
          <w:fldChar w:fldCharType="begin"/>
        </w:r>
        <w:r>
          <w:rPr>
            <w:noProof/>
            <w:webHidden/>
          </w:rPr>
          <w:instrText xml:space="preserve"> PAGEREF _Toc69879196 \h </w:instrText>
        </w:r>
        <w:r>
          <w:rPr>
            <w:noProof/>
            <w:webHidden/>
          </w:rPr>
        </w:r>
        <w:r>
          <w:rPr>
            <w:noProof/>
            <w:webHidden/>
          </w:rPr>
          <w:fldChar w:fldCharType="separate"/>
        </w:r>
        <w:r>
          <w:rPr>
            <w:noProof/>
            <w:webHidden/>
          </w:rPr>
          <w:t>544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97" w:history="1">
        <w:r w:rsidRPr="00CC53E5">
          <w:rPr>
            <w:rStyle w:val="Hyperlink"/>
            <w:noProof/>
          </w:rPr>
          <w:t>2.1.1414</w:t>
        </w:r>
        <w:r>
          <w:rPr>
            <w:rFonts w:asciiTheme="minorHAnsi" w:eastAsiaTheme="minorEastAsia" w:hAnsiTheme="minorHAnsi" w:cstheme="minorBidi"/>
            <w:noProof/>
            <w:sz w:val="22"/>
            <w:szCs w:val="22"/>
          </w:rPr>
          <w:tab/>
        </w:r>
        <w:r w:rsidRPr="00CC53E5">
          <w:rPr>
            <w:rStyle w:val="Hyperlink"/>
            <w:noProof/>
          </w:rPr>
          <w:t>Part 1 Section 21.1.3.7, lnL (Left Border Line Properties)</w:t>
        </w:r>
        <w:r>
          <w:rPr>
            <w:noProof/>
            <w:webHidden/>
          </w:rPr>
          <w:tab/>
        </w:r>
        <w:r>
          <w:rPr>
            <w:noProof/>
            <w:webHidden/>
          </w:rPr>
          <w:fldChar w:fldCharType="begin"/>
        </w:r>
        <w:r>
          <w:rPr>
            <w:noProof/>
            <w:webHidden/>
          </w:rPr>
          <w:instrText xml:space="preserve"> PAGEREF _Toc69879197 \h </w:instrText>
        </w:r>
        <w:r>
          <w:rPr>
            <w:noProof/>
            <w:webHidden/>
          </w:rPr>
        </w:r>
        <w:r>
          <w:rPr>
            <w:noProof/>
            <w:webHidden/>
          </w:rPr>
          <w:fldChar w:fldCharType="separate"/>
        </w:r>
        <w:r>
          <w:rPr>
            <w:noProof/>
            <w:webHidden/>
          </w:rPr>
          <w:t>544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98" w:history="1">
        <w:r w:rsidRPr="00CC53E5">
          <w:rPr>
            <w:rStyle w:val="Hyperlink"/>
            <w:noProof/>
          </w:rPr>
          <w:t>2.1.1415</w:t>
        </w:r>
        <w:r>
          <w:rPr>
            <w:rFonts w:asciiTheme="minorHAnsi" w:eastAsiaTheme="minorEastAsia" w:hAnsiTheme="minorHAnsi" w:cstheme="minorBidi"/>
            <w:noProof/>
            <w:sz w:val="22"/>
            <w:szCs w:val="22"/>
          </w:rPr>
          <w:tab/>
        </w:r>
        <w:r w:rsidRPr="00CC53E5">
          <w:rPr>
            <w:rStyle w:val="Hyperlink"/>
            <w:noProof/>
          </w:rPr>
          <w:t>Part 1 Section 21.1.3.8, lnR (Right Border Line Properties)</w:t>
        </w:r>
        <w:r>
          <w:rPr>
            <w:noProof/>
            <w:webHidden/>
          </w:rPr>
          <w:tab/>
        </w:r>
        <w:r>
          <w:rPr>
            <w:noProof/>
            <w:webHidden/>
          </w:rPr>
          <w:fldChar w:fldCharType="begin"/>
        </w:r>
        <w:r>
          <w:rPr>
            <w:noProof/>
            <w:webHidden/>
          </w:rPr>
          <w:instrText xml:space="preserve"> PAGEREF _Toc69879198 \h </w:instrText>
        </w:r>
        <w:r>
          <w:rPr>
            <w:noProof/>
            <w:webHidden/>
          </w:rPr>
        </w:r>
        <w:r>
          <w:rPr>
            <w:noProof/>
            <w:webHidden/>
          </w:rPr>
          <w:fldChar w:fldCharType="separate"/>
        </w:r>
        <w:r>
          <w:rPr>
            <w:noProof/>
            <w:webHidden/>
          </w:rPr>
          <w:t>544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199" w:history="1">
        <w:r w:rsidRPr="00CC53E5">
          <w:rPr>
            <w:rStyle w:val="Hyperlink"/>
            <w:noProof/>
          </w:rPr>
          <w:t>2.1.1416</w:t>
        </w:r>
        <w:r>
          <w:rPr>
            <w:rFonts w:asciiTheme="minorHAnsi" w:eastAsiaTheme="minorEastAsia" w:hAnsiTheme="minorHAnsi" w:cstheme="minorBidi"/>
            <w:noProof/>
            <w:sz w:val="22"/>
            <w:szCs w:val="22"/>
          </w:rPr>
          <w:tab/>
        </w:r>
        <w:r w:rsidRPr="00CC53E5">
          <w:rPr>
            <w:rStyle w:val="Hyperlink"/>
            <w:noProof/>
          </w:rPr>
          <w:t>Part 1 Section 21.1.3.9, lnT (Top Border Line Properties)</w:t>
        </w:r>
        <w:r>
          <w:rPr>
            <w:noProof/>
            <w:webHidden/>
          </w:rPr>
          <w:tab/>
        </w:r>
        <w:r>
          <w:rPr>
            <w:noProof/>
            <w:webHidden/>
          </w:rPr>
          <w:fldChar w:fldCharType="begin"/>
        </w:r>
        <w:r>
          <w:rPr>
            <w:noProof/>
            <w:webHidden/>
          </w:rPr>
          <w:instrText xml:space="preserve"> PAGEREF _Toc69879199 \h </w:instrText>
        </w:r>
        <w:r>
          <w:rPr>
            <w:noProof/>
            <w:webHidden/>
          </w:rPr>
        </w:r>
        <w:r>
          <w:rPr>
            <w:noProof/>
            <w:webHidden/>
          </w:rPr>
          <w:fldChar w:fldCharType="separate"/>
        </w:r>
        <w:r>
          <w:rPr>
            <w:noProof/>
            <w:webHidden/>
          </w:rPr>
          <w:t>544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00" w:history="1">
        <w:r w:rsidRPr="00CC53E5">
          <w:rPr>
            <w:rStyle w:val="Hyperlink"/>
            <w:noProof/>
          </w:rPr>
          <w:t>2.1.1417</w:t>
        </w:r>
        <w:r>
          <w:rPr>
            <w:rFonts w:asciiTheme="minorHAnsi" w:eastAsiaTheme="minorEastAsia" w:hAnsiTheme="minorHAnsi" w:cstheme="minorBidi"/>
            <w:noProof/>
            <w:sz w:val="22"/>
            <w:szCs w:val="22"/>
          </w:rPr>
          <w:tab/>
        </w:r>
        <w:r w:rsidRPr="00CC53E5">
          <w:rPr>
            <w:rStyle w:val="Hyperlink"/>
            <w:noProof/>
          </w:rPr>
          <w:t>Part 1 Section 21.1.3.10, lnTlToBr (Top-Left to Bottom-Right Border Line Properties)</w:t>
        </w:r>
        <w:r>
          <w:rPr>
            <w:noProof/>
            <w:webHidden/>
          </w:rPr>
          <w:tab/>
        </w:r>
        <w:r>
          <w:rPr>
            <w:noProof/>
            <w:webHidden/>
          </w:rPr>
          <w:fldChar w:fldCharType="begin"/>
        </w:r>
        <w:r>
          <w:rPr>
            <w:noProof/>
            <w:webHidden/>
          </w:rPr>
          <w:instrText xml:space="preserve"> PAGEREF _Toc69879200 \h </w:instrText>
        </w:r>
        <w:r>
          <w:rPr>
            <w:noProof/>
            <w:webHidden/>
          </w:rPr>
        </w:r>
        <w:r>
          <w:rPr>
            <w:noProof/>
            <w:webHidden/>
          </w:rPr>
          <w:fldChar w:fldCharType="separate"/>
        </w:r>
        <w:r>
          <w:rPr>
            <w:noProof/>
            <w:webHidden/>
          </w:rPr>
          <w:t>544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01" w:history="1">
        <w:r w:rsidRPr="00CC53E5">
          <w:rPr>
            <w:rStyle w:val="Hyperlink"/>
            <w:noProof/>
          </w:rPr>
          <w:t>2.1.1418</w:t>
        </w:r>
        <w:r>
          <w:rPr>
            <w:rFonts w:asciiTheme="minorHAnsi" w:eastAsiaTheme="minorEastAsia" w:hAnsiTheme="minorHAnsi" w:cstheme="minorBidi"/>
            <w:noProof/>
            <w:sz w:val="22"/>
            <w:szCs w:val="22"/>
          </w:rPr>
          <w:tab/>
        </w:r>
        <w:r w:rsidRPr="00CC53E5">
          <w:rPr>
            <w:rStyle w:val="Hyperlink"/>
            <w:noProof/>
          </w:rPr>
          <w:t>Part 1 Section 21.1.3.12, tableStyleId (Table Style ID)</w:t>
        </w:r>
        <w:r>
          <w:rPr>
            <w:noProof/>
            <w:webHidden/>
          </w:rPr>
          <w:tab/>
        </w:r>
        <w:r>
          <w:rPr>
            <w:noProof/>
            <w:webHidden/>
          </w:rPr>
          <w:fldChar w:fldCharType="begin"/>
        </w:r>
        <w:r>
          <w:rPr>
            <w:noProof/>
            <w:webHidden/>
          </w:rPr>
          <w:instrText xml:space="preserve"> PAGEREF _Toc69879201 \h </w:instrText>
        </w:r>
        <w:r>
          <w:rPr>
            <w:noProof/>
            <w:webHidden/>
          </w:rPr>
        </w:r>
        <w:r>
          <w:rPr>
            <w:noProof/>
            <w:webHidden/>
          </w:rPr>
          <w:fldChar w:fldCharType="separate"/>
        </w:r>
        <w:r>
          <w:rPr>
            <w:noProof/>
            <w:webHidden/>
          </w:rPr>
          <w:t>544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02" w:history="1">
        <w:r w:rsidRPr="00CC53E5">
          <w:rPr>
            <w:rStyle w:val="Hyperlink"/>
            <w:noProof/>
          </w:rPr>
          <w:t>2.1.1419</w:t>
        </w:r>
        <w:r>
          <w:rPr>
            <w:rFonts w:asciiTheme="minorHAnsi" w:eastAsiaTheme="minorEastAsia" w:hAnsiTheme="minorHAnsi" w:cstheme="minorBidi"/>
            <w:noProof/>
            <w:sz w:val="22"/>
            <w:szCs w:val="22"/>
          </w:rPr>
          <w:tab/>
        </w:r>
        <w:r w:rsidRPr="00CC53E5">
          <w:rPr>
            <w:rStyle w:val="Hyperlink"/>
            <w:noProof/>
          </w:rPr>
          <w:t>Part 1 Section 21.1.3.13, tbl (Table)</w:t>
        </w:r>
        <w:r>
          <w:rPr>
            <w:noProof/>
            <w:webHidden/>
          </w:rPr>
          <w:tab/>
        </w:r>
        <w:r>
          <w:rPr>
            <w:noProof/>
            <w:webHidden/>
          </w:rPr>
          <w:fldChar w:fldCharType="begin"/>
        </w:r>
        <w:r>
          <w:rPr>
            <w:noProof/>
            <w:webHidden/>
          </w:rPr>
          <w:instrText xml:space="preserve"> PAGEREF _Toc69879202 \h </w:instrText>
        </w:r>
        <w:r>
          <w:rPr>
            <w:noProof/>
            <w:webHidden/>
          </w:rPr>
        </w:r>
        <w:r>
          <w:rPr>
            <w:noProof/>
            <w:webHidden/>
          </w:rPr>
          <w:fldChar w:fldCharType="separate"/>
        </w:r>
        <w:r>
          <w:rPr>
            <w:noProof/>
            <w:webHidden/>
          </w:rPr>
          <w:t>544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03" w:history="1">
        <w:r w:rsidRPr="00CC53E5">
          <w:rPr>
            <w:rStyle w:val="Hyperlink"/>
            <w:noProof/>
          </w:rPr>
          <w:t>2.1.1420</w:t>
        </w:r>
        <w:r>
          <w:rPr>
            <w:rFonts w:asciiTheme="minorHAnsi" w:eastAsiaTheme="minorEastAsia" w:hAnsiTheme="minorHAnsi" w:cstheme="minorBidi"/>
            <w:noProof/>
            <w:sz w:val="22"/>
            <w:szCs w:val="22"/>
          </w:rPr>
          <w:tab/>
        </w:r>
        <w:r w:rsidRPr="00CC53E5">
          <w:rPr>
            <w:rStyle w:val="Hyperlink"/>
            <w:noProof/>
          </w:rPr>
          <w:t>Part 1 Section 21.1.3.14, tblGrid (Table Grid)</w:t>
        </w:r>
        <w:r>
          <w:rPr>
            <w:noProof/>
            <w:webHidden/>
          </w:rPr>
          <w:tab/>
        </w:r>
        <w:r>
          <w:rPr>
            <w:noProof/>
            <w:webHidden/>
          </w:rPr>
          <w:fldChar w:fldCharType="begin"/>
        </w:r>
        <w:r>
          <w:rPr>
            <w:noProof/>
            <w:webHidden/>
          </w:rPr>
          <w:instrText xml:space="preserve"> PAGEREF _Toc69879203 \h </w:instrText>
        </w:r>
        <w:r>
          <w:rPr>
            <w:noProof/>
            <w:webHidden/>
          </w:rPr>
        </w:r>
        <w:r>
          <w:rPr>
            <w:noProof/>
            <w:webHidden/>
          </w:rPr>
          <w:fldChar w:fldCharType="separate"/>
        </w:r>
        <w:r>
          <w:rPr>
            <w:noProof/>
            <w:webHidden/>
          </w:rPr>
          <w:t>545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04" w:history="1">
        <w:r w:rsidRPr="00CC53E5">
          <w:rPr>
            <w:rStyle w:val="Hyperlink"/>
            <w:noProof/>
          </w:rPr>
          <w:t>2.1.1421</w:t>
        </w:r>
        <w:r>
          <w:rPr>
            <w:rFonts w:asciiTheme="minorHAnsi" w:eastAsiaTheme="minorEastAsia" w:hAnsiTheme="minorHAnsi" w:cstheme="minorBidi"/>
            <w:noProof/>
            <w:sz w:val="22"/>
            <w:szCs w:val="22"/>
          </w:rPr>
          <w:tab/>
        </w:r>
        <w:r w:rsidRPr="00CC53E5">
          <w:rPr>
            <w:rStyle w:val="Hyperlink"/>
            <w:noProof/>
          </w:rPr>
          <w:t>Part 1 Section 21.1.3.16, tc (Table Cell)</w:t>
        </w:r>
        <w:r>
          <w:rPr>
            <w:noProof/>
            <w:webHidden/>
          </w:rPr>
          <w:tab/>
        </w:r>
        <w:r>
          <w:rPr>
            <w:noProof/>
            <w:webHidden/>
          </w:rPr>
          <w:fldChar w:fldCharType="begin"/>
        </w:r>
        <w:r>
          <w:rPr>
            <w:noProof/>
            <w:webHidden/>
          </w:rPr>
          <w:instrText xml:space="preserve"> PAGEREF _Toc69879204 \h </w:instrText>
        </w:r>
        <w:r>
          <w:rPr>
            <w:noProof/>
            <w:webHidden/>
          </w:rPr>
        </w:r>
        <w:r>
          <w:rPr>
            <w:noProof/>
            <w:webHidden/>
          </w:rPr>
          <w:fldChar w:fldCharType="separate"/>
        </w:r>
        <w:r>
          <w:rPr>
            <w:noProof/>
            <w:webHidden/>
          </w:rPr>
          <w:t>545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05" w:history="1">
        <w:r w:rsidRPr="00CC53E5">
          <w:rPr>
            <w:rStyle w:val="Hyperlink"/>
            <w:noProof/>
          </w:rPr>
          <w:t>2.1.1422</w:t>
        </w:r>
        <w:r>
          <w:rPr>
            <w:rFonts w:asciiTheme="minorHAnsi" w:eastAsiaTheme="minorEastAsia" w:hAnsiTheme="minorHAnsi" w:cstheme="minorBidi"/>
            <w:noProof/>
            <w:sz w:val="22"/>
            <w:szCs w:val="22"/>
          </w:rPr>
          <w:tab/>
        </w:r>
        <w:r w:rsidRPr="00CC53E5">
          <w:rPr>
            <w:rStyle w:val="Hyperlink"/>
            <w:noProof/>
          </w:rPr>
          <w:t>Part 1 Section 21.1.3.18, tr (Table Row)</w:t>
        </w:r>
        <w:r>
          <w:rPr>
            <w:noProof/>
            <w:webHidden/>
          </w:rPr>
          <w:tab/>
        </w:r>
        <w:r>
          <w:rPr>
            <w:noProof/>
            <w:webHidden/>
          </w:rPr>
          <w:fldChar w:fldCharType="begin"/>
        </w:r>
        <w:r>
          <w:rPr>
            <w:noProof/>
            <w:webHidden/>
          </w:rPr>
          <w:instrText xml:space="preserve"> PAGEREF _Toc69879205 \h </w:instrText>
        </w:r>
        <w:r>
          <w:rPr>
            <w:noProof/>
            <w:webHidden/>
          </w:rPr>
        </w:r>
        <w:r>
          <w:rPr>
            <w:noProof/>
            <w:webHidden/>
          </w:rPr>
          <w:fldChar w:fldCharType="separate"/>
        </w:r>
        <w:r>
          <w:rPr>
            <w:noProof/>
            <w:webHidden/>
          </w:rPr>
          <w:t>546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06" w:history="1">
        <w:r w:rsidRPr="00CC53E5">
          <w:rPr>
            <w:rStyle w:val="Hyperlink"/>
            <w:noProof/>
          </w:rPr>
          <w:t>2.1.1423</w:t>
        </w:r>
        <w:r>
          <w:rPr>
            <w:rFonts w:asciiTheme="minorHAnsi" w:eastAsiaTheme="minorEastAsia" w:hAnsiTheme="minorHAnsi" w:cstheme="minorBidi"/>
            <w:noProof/>
            <w:sz w:val="22"/>
            <w:szCs w:val="22"/>
          </w:rPr>
          <w:tab/>
        </w:r>
        <w:r w:rsidRPr="00CC53E5">
          <w:rPr>
            <w:rStyle w:val="Hyperlink"/>
            <w:noProof/>
          </w:rPr>
          <w:t>Part 1 Section 21.2.2.2, applyToFront (Apply To Front)</w:t>
        </w:r>
        <w:r>
          <w:rPr>
            <w:noProof/>
            <w:webHidden/>
          </w:rPr>
          <w:tab/>
        </w:r>
        <w:r>
          <w:rPr>
            <w:noProof/>
            <w:webHidden/>
          </w:rPr>
          <w:fldChar w:fldCharType="begin"/>
        </w:r>
        <w:r>
          <w:rPr>
            <w:noProof/>
            <w:webHidden/>
          </w:rPr>
          <w:instrText xml:space="preserve"> PAGEREF _Toc69879206 \h </w:instrText>
        </w:r>
        <w:r>
          <w:rPr>
            <w:noProof/>
            <w:webHidden/>
          </w:rPr>
        </w:r>
        <w:r>
          <w:rPr>
            <w:noProof/>
            <w:webHidden/>
          </w:rPr>
          <w:fldChar w:fldCharType="separate"/>
        </w:r>
        <w:r>
          <w:rPr>
            <w:noProof/>
            <w:webHidden/>
          </w:rPr>
          <w:t>546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07" w:history="1">
        <w:r w:rsidRPr="00CC53E5">
          <w:rPr>
            <w:rStyle w:val="Hyperlink"/>
            <w:noProof/>
          </w:rPr>
          <w:t>2.1.1424</w:t>
        </w:r>
        <w:r>
          <w:rPr>
            <w:rFonts w:asciiTheme="minorHAnsi" w:eastAsiaTheme="minorEastAsia" w:hAnsiTheme="minorHAnsi" w:cstheme="minorBidi"/>
            <w:noProof/>
            <w:sz w:val="22"/>
            <w:szCs w:val="22"/>
          </w:rPr>
          <w:tab/>
        </w:r>
        <w:r w:rsidRPr="00CC53E5">
          <w:rPr>
            <w:rStyle w:val="Hyperlink"/>
            <w:noProof/>
          </w:rPr>
          <w:t>Part 1 Section 21.2.2.3, applyToSides (Apply To Sides)</w:t>
        </w:r>
        <w:r>
          <w:rPr>
            <w:noProof/>
            <w:webHidden/>
          </w:rPr>
          <w:tab/>
        </w:r>
        <w:r>
          <w:rPr>
            <w:noProof/>
            <w:webHidden/>
          </w:rPr>
          <w:fldChar w:fldCharType="begin"/>
        </w:r>
        <w:r>
          <w:rPr>
            <w:noProof/>
            <w:webHidden/>
          </w:rPr>
          <w:instrText xml:space="preserve"> PAGEREF _Toc69879207 \h </w:instrText>
        </w:r>
        <w:r>
          <w:rPr>
            <w:noProof/>
            <w:webHidden/>
          </w:rPr>
        </w:r>
        <w:r>
          <w:rPr>
            <w:noProof/>
            <w:webHidden/>
          </w:rPr>
          <w:fldChar w:fldCharType="separate"/>
        </w:r>
        <w:r>
          <w:rPr>
            <w:noProof/>
            <w:webHidden/>
          </w:rPr>
          <w:t>546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08" w:history="1">
        <w:r w:rsidRPr="00CC53E5">
          <w:rPr>
            <w:rStyle w:val="Hyperlink"/>
            <w:noProof/>
          </w:rPr>
          <w:t>2.1.1425</w:t>
        </w:r>
        <w:r>
          <w:rPr>
            <w:rFonts w:asciiTheme="minorHAnsi" w:eastAsiaTheme="minorEastAsia" w:hAnsiTheme="minorHAnsi" w:cstheme="minorBidi"/>
            <w:noProof/>
            <w:sz w:val="22"/>
            <w:szCs w:val="22"/>
          </w:rPr>
          <w:tab/>
        </w:r>
        <w:r w:rsidRPr="00CC53E5">
          <w:rPr>
            <w:rStyle w:val="Hyperlink"/>
            <w:noProof/>
          </w:rPr>
          <w:t>Part 1 Section 21.2.2.5, areaChart (Area Charts)</w:t>
        </w:r>
        <w:r>
          <w:rPr>
            <w:noProof/>
            <w:webHidden/>
          </w:rPr>
          <w:tab/>
        </w:r>
        <w:r>
          <w:rPr>
            <w:noProof/>
            <w:webHidden/>
          </w:rPr>
          <w:fldChar w:fldCharType="begin"/>
        </w:r>
        <w:r>
          <w:rPr>
            <w:noProof/>
            <w:webHidden/>
          </w:rPr>
          <w:instrText xml:space="preserve"> PAGEREF _Toc69879208 \h </w:instrText>
        </w:r>
        <w:r>
          <w:rPr>
            <w:noProof/>
            <w:webHidden/>
          </w:rPr>
        </w:r>
        <w:r>
          <w:rPr>
            <w:noProof/>
            <w:webHidden/>
          </w:rPr>
          <w:fldChar w:fldCharType="separate"/>
        </w:r>
        <w:r>
          <w:rPr>
            <w:noProof/>
            <w:webHidden/>
          </w:rPr>
          <w:t>546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09" w:history="1">
        <w:r w:rsidRPr="00CC53E5">
          <w:rPr>
            <w:rStyle w:val="Hyperlink"/>
            <w:noProof/>
          </w:rPr>
          <w:t>2.1.1426</w:t>
        </w:r>
        <w:r>
          <w:rPr>
            <w:rFonts w:asciiTheme="minorHAnsi" w:eastAsiaTheme="minorEastAsia" w:hAnsiTheme="minorHAnsi" w:cstheme="minorBidi"/>
            <w:noProof/>
            <w:sz w:val="22"/>
            <w:szCs w:val="22"/>
          </w:rPr>
          <w:tab/>
        </w:r>
        <w:r w:rsidRPr="00CC53E5">
          <w:rPr>
            <w:rStyle w:val="Hyperlink"/>
            <w:noProof/>
          </w:rPr>
          <w:t>Part 1 Section 21.2.2.7, autoTitleDeleted (Auto Title Is Deleted)</w:t>
        </w:r>
        <w:r>
          <w:rPr>
            <w:noProof/>
            <w:webHidden/>
          </w:rPr>
          <w:tab/>
        </w:r>
        <w:r>
          <w:rPr>
            <w:noProof/>
            <w:webHidden/>
          </w:rPr>
          <w:fldChar w:fldCharType="begin"/>
        </w:r>
        <w:r>
          <w:rPr>
            <w:noProof/>
            <w:webHidden/>
          </w:rPr>
          <w:instrText xml:space="preserve"> PAGEREF _Toc69879209 \h </w:instrText>
        </w:r>
        <w:r>
          <w:rPr>
            <w:noProof/>
            <w:webHidden/>
          </w:rPr>
        </w:r>
        <w:r>
          <w:rPr>
            <w:noProof/>
            <w:webHidden/>
          </w:rPr>
          <w:fldChar w:fldCharType="separate"/>
        </w:r>
        <w:r>
          <w:rPr>
            <w:noProof/>
            <w:webHidden/>
          </w:rPr>
          <w:t>546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10" w:history="1">
        <w:r w:rsidRPr="00CC53E5">
          <w:rPr>
            <w:rStyle w:val="Hyperlink"/>
            <w:noProof/>
          </w:rPr>
          <w:t>2.1.1427</w:t>
        </w:r>
        <w:r>
          <w:rPr>
            <w:rFonts w:asciiTheme="minorHAnsi" w:eastAsiaTheme="minorEastAsia" w:hAnsiTheme="minorHAnsi" w:cstheme="minorBidi"/>
            <w:noProof/>
            <w:sz w:val="22"/>
            <w:szCs w:val="22"/>
          </w:rPr>
          <w:tab/>
        </w:r>
        <w:r w:rsidRPr="00CC53E5">
          <w:rPr>
            <w:rStyle w:val="Hyperlink"/>
            <w:noProof/>
          </w:rPr>
          <w:t>Part 1 Section 21.2.2.9, axId (Axis ID)</w:t>
        </w:r>
        <w:r>
          <w:rPr>
            <w:noProof/>
            <w:webHidden/>
          </w:rPr>
          <w:tab/>
        </w:r>
        <w:r>
          <w:rPr>
            <w:noProof/>
            <w:webHidden/>
          </w:rPr>
          <w:fldChar w:fldCharType="begin"/>
        </w:r>
        <w:r>
          <w:rPr>
            <w:noProof/>
            <w:webHidden/>
          </w:rPr>
          <w:instrText xml:space="preserve"> PAGEREF _Toc69879210 \h </w:instrText>
        </w:r>
        <w:r>
          <w:rPr>
            <w:noProof/>
            <w:webHidden/>
          </w:rPr>
        </w:r>
        <w:r>
          <w:rPr>
            <w:noProof/>
            <w:webHidden/>
          </w:rPr>
          <w:fldChar w:fldCharType="separate"/>
        </w:r>
        <w:r>
          <w:rPr>
            <w:noProof/>
            <w:webHidden/>
          </w:rPr>
          <w:t>547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11" w:history="1">
        <w:r w:rsidRPr="00CC53E5">
          <w:rPr>
            <w:rStyle w:val="Hyperlink"/>
            <w:noProof/>
          </w:rPr>
          <w:t>2.1.1428</w:t>
        </w:r>
        <w:r>
          <w:rPr>
            <w:rFonts w:asciiTheme="minorHAnsi" w:eastAsiaTheme="minorEastAsia" w:hAnsiTheme="minorHAnsi" w:cstheme="minorBidi"/>
            <w:noProof/>
            <w:sz w:val="22"/>
            <w:szCs w:val="22"/>
          </w:rPr>
          <w:tab/>
        </w:r>
        <w:r w:rsidRPr="00CC53E5">
          <w:rPr>
            <w:rStyle w:val="Hyperlink"/>
            <w:noProof/>
          </w:rPr>
          <w:t>Part 1 Section 21.2.2.10, axPos (Axis Position)</w:t>
        </w:r>
        <w:r>
          <w:rPr>
            <w:noProof/>
            <w:webHidden/>
          </w:rPr>
          <w:tab/>
        </w:r>
        <w:r>
          <w:rPr>
            <w:noProof/>
            <w:webHidden/>
          </w:rPr>
          <w:fldChar w:fldCharType="begin"/>
        </w:r>
        <w:r>
          <w:rPr>
            <w:noProof/>
            <w:webHidden/>
          </w:rPr>
          <w:instrText xml:space="preserve"> PAGEREF _Toc69879211 \h </w:instrText>
        </w:r>
        <w:r>
          <w:rPr>
            <w:noProof/>
            <w:webHidden/>
          </w:rPr>
        </w:r>
        <w:r>
          <w:rPr>
            <w:noProof/>
            <w:webHidden/>
          </w:rPr>
          <w:fldChar w:fldCharType="separate"/>
        </w:r>
        <w:r>
          <w:rPr>
            <w:noProof/>
            <w:webHidden/>
          </w:rPr>
          <w:t>547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12" w:history="1">
        <w:r w:rsidRPr="00CC53E5">
          <w:rPr>
            <w:rStyle w:val="Hyperlink"/>
            <w:noProof/>
          </w:rPr>
          <w:t>2.1.1429</w:t>
        </w:r>
        <w:r>
          <w:rPr>
            <w:rFonts w:asciiTheme="minorHAnsi" w:eastAsiaTheme="minorEastAsia" w:hAnsiTheme="minorHAnsi" w:cstheme="minorBidi"/>
            <w:noProof/>
            <w:sz w:val="22"/>
            <w:szCs w:val="22"/>
          </w:rPr>
          <w:tab/>
        </w:r>
        <w:r w:rsidRPr="00CC53E5">
          <w:rPr>
            <w:rStyle w:val="Hyperlink"/>
            <w:noProof/>
          </w:rPr>
          <w:t>Part 1 Section 21.2.2.11, backWall (Back Wall)</w:t>
        </w:r>
        <w:r>
          <w:rPr>
            <w:noProof/>
            <w:webHidden/>
          </w:rPr>
          <w:tab/>
        </w:r>
        <w:r>
          <w:rPr>
            <w:noProof/>
            <w:webHidden/>
          </w:rPr>
          <w:fldChar w:fldCharType="begin"/>
        </w:r>
        <w:r>
          <w:rPr>
            <w:noProof/>
            <w:webHidden/>
          </w:rPr>
          <w:instrText xml:space="preserve"> PAGEREF _Toc69879212 \h </w:instrText>
        </w:r>
        <w:r>
          <w:rPr>
            <w:noProof/>
            <w:webHidden/>
          </w:rPr>
        </w:r>
        <w:r>
          <w:rPr>
            <w:noProof/>
            <w:webHidden/>
          </w:rPr>
          <w:fldChar w:fldCharType="separate"/>
        </w:r>
        <w:r>
          <w:rPr>
            <w:noProof/>
            <w:webHidden/>
          </w:rPr>
          <w:t>547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13" w:history="1">
        <w:r w:rsidRPr="00CC53E5">
          <w:rPr>
            <w:rStyle w:val="Hyperlink"/>
            <w:noProof/>
          </w:rPr>
          <w:t>2.1.1430</w:t>
        </w:r>
        <w:r>
          <w:rPr>
            <w:rFonts w:asciiTheme="minorHAnsi" w:eastAsiaTheme="minorEastAsia" w:hAnsiTheme="minorHAnsi" w:cstheme="minorBidi"/>
            <w:noProof/>
            <w:sz w:val="22"/>
            <w:szCs w:val="22"/>
          </w:rPr>
          <w:tab/>
        </w:r>
        <w:r w:rsidRPr="00CC53E5">
          <w:rPr>
            <w:rStyle w:val="Hyperlink"/>
            <w:noProof/>
          </w:rPr>
          <w:t>Part 1 Section 21.2.2.12, backward (Backward)</w:t>
        </w:r>
        <w:r>
          <w:rPr>
            <w:noProof/>
            <w:webHidden/>
          </w:rPr>
          <w:tab/>
        </w:r>
        <w:r>
          <w:rPr>
            <w:noProof/>
            <w:webHidden/>
          </w:rPr>
          <w:fldChar w:fldCharType="begin"/>
        </w:r>
        <w:r>
          <w:rPr>
            <w:noProof/>
            <w:webHidden/>
          </w:rPr>
          <w:instrText xml:space="preserve"> PAGEREF _Toc69879213 \h </w:instrText>
        </w:r>
        <w:r>
          <w:rPr>
            <w:noProof/>
            <w:webHidden/>
          </w:rPr>
        </w:r>
        <w:r>
          <w:rPr>
            <w:noProof/>
            <w:webHidden/>
          </w:rPr>
          <w:fldChar w:fldCharType="separate"/>
        </w:r>
        <w:r>
          <w:rPr>
            <w:noProof/>
            <w:webHidden/>
          </w:rPr>
          <w:t>547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14" w:history="1">
        <w:r w:rsidRPr="00CC53E5">
          <w:rPr>
            <w:rStyle w:val="Hyperlink"/>
            <w:noProof/>
          </w:rPr>
          <w:t>2.1.1431</w:t>
        </w:r>
        <w:r>
          <w:rPr>
            <w:rFonts w:asciiTheme="minorHAnsi" w:eastAsiaTheme="minorEastAsia" w:hAnsiTheme="minorHAnsi" w:cstheme="minorBidi"/>
            <w:noProof/>
            <w:sz w:val="22"/>
            <w:szCs w:val="22"/>
          </w:rPr>
          <w:tab/>
        </w:r>
        <w:r w:rsidRPr="00CC53E5">
          <w:rPr>
            <w:rStyle w:val="Hyperlink"/>
            <w:noProof/>
          </w:rPr>
          <w:t>Part 1 Section 21.2.2.14, bandFmts (Band Formats)</w:t>
        </w:r>
        <w:r>
          <w:rPr>
            <w:noProof/>
            <w:webHidden/>
          </w:rPr>
          <w:tab/>
        </w:r>
        <w:r>
          <w:rPr>
            <w:noProof/>
            <w:webHidden/>
          </w:rPr>
          <w:fldChar w:fldCharType="begin"/>
        </w:r>
        <w:r>
          <w:rPr>
            <w:noProof/>
            <w:webHidden/>
          </w:rPr>
          <w:instrText xml:space="preserve"> PAGEREF _Toc69879214 \h </w:instrText>
        </w:r>
        <w:r>
          <w:rPr>
            <w:noProof/>
            <w:webHidden/>
          </w:rPr>
        </w:r>
        <w:r>
          <w:rPr>
            <w:noProof/>
            <w:webHidden/>
          </w:rPr>
          <w:fldChar w:fldCharType="separate"/>
        </w:r>
        <w:r>
          <w:rPr>
            <w:noProof/>
            <w:webHidden/>
          </w:rPr>
          <w:t>547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15" w:history="1">
        <w:r w:rsidRPr="00CC53E5">
          <w:rPr>
            <w:rStyle w:val="Hyperlink"/>
            <w:noProof/>
          </w:rPr>
          <w:t>2.1.1432</w:t>
        </w:r>
        <w:r>
          <w:rPr>
            <w:rFonts w:asciiTheme="minorHAnsi" w:eastAsiaTheme="minorEastAsia" w:hAnsiTheme="minorHAnsi" w:cstheme="minorBidi"/>
            <w:noProof/>
            <w:sz w:val="22"/>
            <w:szCs w:val="22"/>
          </w:rPr>
          <w:tab/>
        </w:r>
        <w:r w:rsidRPr="00CC53E5">
          <w:rPr>
            <w:rStyle w:val="Hyperlink"/>
            <w:noProof/>
          </w:rPr>
          <w:t>Part 1 Section 21.2.2.15, bar3DChart (3D Bar Charts)</w:t>
        </w:r>
        <w:r>
          <w:rPr>
            <w:noProof/>
            <w:webHidden/>
          </w:rPr>
          <w:tab/>
        </w:r>
        <w:r>
          <w:rPr>
            <w:noProof/>
            <w:webHidden/>
          </w:rPr>
          <w:fldChar w:fldCharType="begin"/>
        </w:r>
        <w:r>
          <w:rPr>
            <w:noProof/>
            <w:webHidden/>
          </w:rPr>
          <w:instrText xml:space="preserve"> PAGEREF _Toc69879215 \h </w:instrText>
        </w:r>
        <w:r>
          <w:rPr>
            <w:noProof/>
            <w:webHidden/>
          </w:rPr>
        </w:r>
        <w:r>
          <w:rPr>
            <w:noProof/>
            <w:webHidden/>
          </w:rPr>
          <w:fldChar w:fldCharType="separate"/>
        </w:r>
        <w:r>
          <w:rPr>
            <w:noProof/>
            <w:webHidden/>
          </w:rPr>
          <w:t>547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16" w:history="1">
        <w:r w:rsidRPr="00CC53E5">
          <w:rPr>
            <w:rStyle w:val="Hyperlink"/>
            <w:noProof/>
          </w:rPr>
          <w:t>2.1.1433</w:t>
        </w:r>
        <w:r>
          <w:rPr>
            <w:rFonts w:asciiTheme="minorHAnsi" w:eastAsiaTheme="minorEastAsia" w:hAnsiTheme="minorHAnsi" w:cstheme="minorBidi"/>
            <w:noProof/>
            <w:sz w:val="22"/>
            <w:szCs w:val="22"/>
          </w:rPr>
          <w:tab/>
        </w:r>
        <w:r w:rsidRPr="00CC53E5">
          <w:rPr>
            <w:rStyle w:val="Hyperlink"/>
            <w:noProof/>
          </w:rPr>
          <w:t>Part 1 Section 21.2.2.16, barChart (Bar Charts)</w:t>
        </w:r>
        <w:r>
          <w:rPr>
            <w:noProof/>
            <w:webHidden/>
          </w:rPr>
          <w:tab/>
        </w:r>
        <w:r>
          <w:rPr>
            <w:noProof/>
            <w:webHidden/>
          </w:rPr>
          <w:fldChar w:fldCharType="begin"/>
        </w:r>
        <w:r>
          <w:rPr>
            <w:noProof/>
            <w:webHidden/>
          </w:rPr>
          <w:instrText xml:space="preserve"> PAGEREF _Toc69879216 \h </w:instrText>
        </w:r>
        <w:r>
          <w:rPr>
            <w:noProof/>
            <w:webHidden/>
          </w:rPr>
        </w:r>
        <w:r>
          <w:rPr>
            <w:noProof/>
            <w:webHidden/>
          </w:rPr>
          <w:fldChar w:fldCharType="separate"/>
        </w:r>
        <w:r>
          <w:rPr>
            <w:noProof/>
            <w:webHidden/>
          </w:rPr>
          <w:t>548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17" w:history="1">
        <w:r w:rsidRPr="00CC53E5">
          <w:rPr>
            <w:rStyle w:val="Hyperlink"/>
            <w:noProof/>
          </w:rPr>
          <w:t>2.1.1434</w:t>
        </w:r>
        <w:r>
          <w:rPr>
            <w:rFonts w:asciiTheme="minorHAnsi" w:eastAsiaTheme="minorEastAsia" w:hAnsiTheme="minorHAnsi" w:cstheme="minorBidi"/>
            <w:noProof/>
            <w:sz w:val="22"/>
            <w:szCs w:val="22"/>
          </w:rPr>
          <w:tab/>
        </w:r>
        <w:r w:rsidRPr="00CC53E5">
          <w:rPr>
            <w:rStyle w:val="Hyperlink"/>
            <w:noProof/>
          </w:rPr>
          <w:t>Part 1 Section 21.2.2.17, barDir (Bar Direction)</w:t>
        </w:r>
        <w:r>
          <w:rPr>
            <w:noProof/>
            <w:webHidden/>
          </w:rPr>
          <w:tab/>
        </w:r>
        <w:r>
          <w:rPr>
            <w:noProof/>
            <w:webHidden/>
          </w:rPr>
          <w:fldChar w:fldCharType="begin"/>
        </w:r>
        <w:r>
          <w:rPr>
            <w:noProof/>
            <w:webHidden/>
          </w:rPr>
          <w:instrText xml:space="preserve"> PAGEREF _Toc69879217 \h </w:instrText>
        </w:r>
        <w:r>
          <w:rPr>
            <w:noProof/>
            <w:webHidden/>
          </w:rPr>
        </w:r>
        <w:r>
          <w:rPr>
            <w:noProof/>
            <w:webHidden/>
          </w:rPr>
          <w:fldChar w:fldCharType="separate"/>
        </w:r>
        <w:r>
          <w:rPr>
            <w:noProof/>
            <w:webHidden/>
          </w:rPr>
          <w:t>548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18" w:history="1">
        <w:r w:rsidRPr="00CC53E5">
          <w:rPr>
            <w:rStyle w:val="Hyperlink"/>
            <w:noProof/>
          </w:rPr>
          <w:t>2.1.1435</w:t>
        </w:r>
        <w:r>
          <w:rPr>
            <w:rFonts w:asciiTheme="minorHAnsi" w:eastAsiaTheme="minorEastAsia" w:hAnsiTheme="minorHAnsi" w:cstheme="minorBidi"/>
            <w:noProof/>
            <w:sz w:val="22"/>
            <w:szCs w:val="22"/>
          </w:rPr>
          <w:tab/>
        </w:r>
        <w:r w:rsidRPr="00CC53E5">
          <w:rPr>
            <w:rStyle w:val="Hyperlink"/>
            <w:noProof/>
          </w:rPr>
          <w:t>Part 1 Section 21.2.2.19, bubble3D (3D Bubble)</w:t>
        </w:r>
        <w:r>
          <w:rPr>
            <w:noProof/>
            <w:webHidden/>
          </w:rPr>
          <w:tab/>
        </w:r>
        <w:r>
          <w:rPr>
            <w:noProof/>
            <w:webHidden/>
          </w:rPr>
          <w:fldChar w:fldCharType="begin"/>
        </w:r>
        <w:r>
          <w:rPr>
            <w:noProof/>
            <w:webHidden/>
          </w:rPr>
          <w:instrText xml:space="preserve"> PAGEREF _Toc69879218 \h </w:instrText>
        </w:r>
        <w:r>
          <w:rPr>
            <w:noProof/>
            <w:webHidden/>
          </w:rPr>
        </w:r>
        <w:r>
          <w:rPr>
            <w:noProof/>
            <w:webHidden/>
          </w:rPr>
          <w:fldChar w:fldCharType="separate"/>
        </w:r>
        <w:r>
          <w:rPr>
            <w:noProof/>
            <w:webHidden/>
          </w:rPr>
          <w:t>548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19" w:history="1">
        <w:r w:rsidRPr="00CC53E5">
          <w:rPr>
            <w:rStyle w:val="Hyperlink"/>
            <w:noProof/>
          </w:rPr>
          <w:t>2.1.1436</w:t>
        </w:r>
        <w:r>
          <w:rPr>
            <w:rFonts w:asciiTheme="minorHAnsi" w:eastAsiaTheme="minorEastAsia" w:hAnsiTheme="minorHAnsi" w:cstheme="minorBidi"/>
            <w:noProof/>
            <w:sz w:val="22"/>
            <w:szCs w:val="22"/>
          </w:rPr>
          <w:tab/>
        </w:r>
        <w:r w:rsidRPr="00CC53E5">
          <w:rPr>
            <w:rStyle w:val="Hyperlink"/>
            <w:noProof/>
          </w:rPr>
          <w:t>Part 1 Section 21.2.2.20, bubbleChart (Bubble Charts)</w:t>
        </w:r>
        <w:r>
          <w:rPr>
            <w:noProof/>
            <w:webHidden/>
          </w:rPr>
          <w:tab/>
        </w:r>
        <w:r>
          <w:rPr>
            <w:noProof/>
            <w:webHidden/>
          </w:rPr>
          <w:fldChar w:fldCharType="begin"/>
        </w:r>
        <w:r>
          <w:rPr>
            <w:noProof/>
            <w:webHidden/>
          </w:rPr>
          <w:instrText xml:space="preserve"> PAGEREF _Toc69879219 \h </w:instrText>
        </w:r>
        <w:r>
          <w:rPr>
            <w:noProof/>
            <w:webHidden/>
          </w:rPr>
        </w:r>
        <w:r>
          <w:rPr>
            <w:noProof/>
            <w:webHidden/>
          </w:rPr>
          <w:fldChar w:fldCharType="separate"/>
        </w:r>
        <w:r>
          <w:rPr>
            <w:noProof/>
            <w:webHidden/>
          </w:rPr>
          <w:t>548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20" w:history="1">
        <w:r w:rsidRPr="00CC53E5">
          <w:rPr>
            <w:rStyle w:val="Hyperlink"/>
            <w:noProof/>
          </w:rPr>
          <w:t>2.1.1437</w:t>
        </w:r>
        <w:r>
          <w:rPr>
            <w:rFonts w:asciiTheme="minorHAnsi" w:eastAsiaTheme="minorEastAsia" w:hAnsiTheme="minorHAnsi" w:cstheme="minorBidi"/>
            <w:noProof/>
            <w:sz w:val="22"/>
            <w:szCs w:val="22"/>
          </w:rPr>
          <w:tab/>
        </w:r>
        <w:r w:rsidRPr="00CC53E5">
          <w:rPr>
            <w:rStyle w:val="Hyperlink"/>
            <w:noProof/>
          </w:rPr>
          <w:t>Part 1 Section 21.2.2.23, builtInUnit (Built in Display Unit Value)</w:t>
        </w:r>
        <w:r>
          <w:rPr>
            <w:noProof/>
            <w:webHidden/>
          </w:rPr>
          <w:tab/>
        </w:r>
        <w:r>
          <w:rPr>
            <w:noProof/>
            <w:webHidden/>
          </w:rPr>
          <w:fldChar w:fldCharType="begin"/>
        </w:r>
        <w:r>
          <w:rPr>
            <w:noProof/>
            <w:webHidden/>
          </w:rPr>
          <w:instrText xml:space="preserve"> PAGEREF _Toc69879220 \h </w:instrText>
        </w:r>
        <w:r>
          <w:rPr>
            <w:noProof/>
            <w:webHidden/>
          </w:rPr>
        </w:r>
        <w:r>
          <w:rPr>
            <w:noProof/>
            <w:webHidden/>
          </w:rPr>
          <w:fldChar w:fldCharType="separate"/>
        </w:r>
        <w:r>
          <w:rPr>
            <w:noProof/>
            <w:webHidden/>
          </w:rPr>
          <w:t>548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21" w:history="1">
        <w:r w:rsidRPr="00CC53E5">
          <w:rPr>
            <w:rStyle w:val="Hyperlink"/>
            <w:noProof/>
          </w:rPr>
          <w:t>2.1.1438</w:t>
        </w:r>
        <w:r>
          <w:rPr>
            <w:rFonts w:asciiTheme="minorHAnsi" w:eastAsiaTheme="minorEastAsia" w:hAnsiTheme="minorHAnsi" w:cstheme="minorBidi"/>
            <w:noProof/>
            <w:sz w:val="22"/>
            <w:szCs w:val="22"/>
          </w:rPr>
          <w:tab/>
        </w:r>
        <w:r w:rsidRPr="00CC53E5">
          <w:rPr>
            <w:rStyle w:val="Hyperlink"/>
            <w:noProof/>
          </w:rPr>
          <w:t>Part 1 Section 21.2.2.24, cat (Category Axis Data)</w:t>
        </w:r>
        <w:r>
          <w:rPr>
            <w:noProof/>
            <w:webHidden/>
          </w:rPr>
          <w:tab/>
        </w:r>
        <w:r>
          <w:rPr>
            <w:noProof/>
            <w:webHidden/>
          </w:rPr>
          <w:fldChar w:fldCharType="begin"/>
        </w:r>
        <w:r>
          <w:rPr>
            <w:noProof/>
            <w:webHidden/>
          </w:rPr>
          <w:instrText xml:space="preserve"> PAGEREF _Toc69879221 \h </w:instrText>
        </w:r>
        <w:r>
          <w:rPr>
            <w:noProof/>
            <w:webHidden/>
          </w:rPr>
        </w:r>
        <w:r>
          <w:rPr>
            <w:noProof/>
            <w:webHidden/>
          </w:rPr>
          <w:fldChar w:fldCharType="separate"/>
        </w:r>
        <w:r>
          <w:rPr>
            <w:noProof/>
            <w:webHidden/>
          </w:rPr>
          <w:t>548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22" w:history="1">
        <w:r w:rsidRPr="00CC53E5">
          <w:rPr>
            <w:rStyle w:val="Hyperlink"/>
            <w:noProof/>
          </w:rPr>
          <w:t>2.1.1439</w:t>
        </w:r>
        <w:r>
          <w:rPr>
            <w:rFonts w:asciiTheme="minorHAnsi" w:eastAsiaTheme="minorEastAsia" w:hAnsiTheme="minorHAnsi" w:cstheme="minorBidi"/>
            <w:noProof/>
            <w:sz w:val="22"/>
            <w:szCs w:val="22"/>
          </w:rPr>
          <w:tab/>
        </w:r>
        <w:r w:rsidRPr="00CC53E5">
          <w:rPr>
            <w:rStyle w:val="Hyperlink"/>
            <w:noProof/>
          </w:rPr>
          <w:t>Part 1 Section 21.2.2.25, catAx (Category Axis Data)</w:t>
        </w:r>
        <w:r>
          <w:rPr>
            <w:noProof/>
            <w:webHidden/>
          </w:rPr>
          <w:tab/>
        </w:r>
        <w:r>
          <w:rPr>
            <w:noProof/>
            <w:webHidden/>
          </w:rPr>
          <w:fldChar w:fldCharType="begin"/>
        </w:r>
        <w:r>
          <w:rPr>
            <w:noProof/>
            <w:webHidden/>
          </w:rPr>
          <w:instrText xml:space="preserve"> PAGEREF _Toc69879222 \h </w:instrText>
        </w:r>
        <w:r>
          <w:rPr>
            <w:noProof/>
            <w:webHidden/>
          </w:rPr>
        </w:r>
        <w:r>
          <w:rPr>
            <w:noProof/>
            <w:webHidden/>
          </w:rPr>
          <w:fldChar w:fldCharType="separate"/>
        </w:r>
        <w:r>
          <w:rPr>
            <w:noProof/>
            <w:webHidden/>
          </w:rPr>
          <w:t>548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23" w:history="1">
        <w:r w:rsidRPr="00CC53E5">
          <w:rPr>
            <w:rStyle w:val="Hyperlink"/>
            <w:noProof/>
          </w:rPr>
          <w:t>2.1.1440</w:t>
        </w:r>
        <w:r>
          <w:rPr>
            <w:rFonts w:asciiTheme="minorHAnsi" w:eastAsiaTheme="minorEastAsia" w:hAnsiTheme="minorHAnsi" w:cstheme="minorBidi"/>
            <w:noProof/>
            <w:sz w:val="22"/>
            <w:szCs w:val="22"/>
          </w:rPr>
          <w:tab/>
        </w:r>
        <w:r w:rsidRPr="00CC53E5">
          <w:rPr>
            <w:rStyle w:val="Hyperlink"/>
            <w:noProof/>
          </w:rPr>
          <w:t>Part 1 Section 21.2.2.28, chartObject (Chart Object)</w:t>
        </w:r>
        <w:r>
          <w:rPr>
            <w:noProof/>
            <w:webHidden/>
          </w:rPr>
          <w:tab/>
        </w:r>
        <w:r>
          <w:rPr>
            <w:noProof/>
            <w:webHidden/>
          </w:rPr>
          <w:fldChar w:fldCharType="begin"/>
        </w:r>
        <w:r>
          <w:rPr>
            <w:noProof/>
            <w:webHidden/>
          </w:rPr>
          <w:instrText xml:space="preserve"> PAGEREF _Toc69879223 \h </w:instrText>
        </w:r>
        <w:r>
          <w:rPr>
            <w:noProof/>
            <w:webHidden/>
          </w:rPr>
        </w:r>
        <w:r>
          <w:rPr>
            <w:noProof/>
            <w:webHidden/>
          </w:rPr>
          <w:fldChar w:fldCharType="separate"/>
        </w:r>
        <w:r>
          <w:rPr>
            <w:noProof/>
            <w:webHidden/>
          </w:rPr>
          <w:t>549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24" w:history="1">
        <w:r w:rsidRPr="00CC53E5">
          <w:rPr>
            <w:rStyle w:val="Hyperlink"/>
            <w:noProof/>
          </w:rPr>
          <w:t>2.1.1441</w:t>
        </w:r>
        <w:r>
          <w:rPr>
            <w:rFonts w:asciiTheme="minorHAnsi" w:eastAsiaTheme="minorEastAsia" w:hAnsiTheme="minorHAnsi" w:cstheme="minorBidi"/>
            <w:noProof/>
            <w:sz w:val="22"/>
            <w:szCs w:val="22"/>
          </w:rPr>
          <w:tab/>
        </w:r>
        <w:r w:rsidRPr="00CC53E5">
          <w:rPr>
            <w:rStyle w:val="Hyperlink"/>
            <w:noProof/>
          </w:rPr>
          <w:t>Part 1 Section 21.2.2.31, crossAx (Crossing Axis ID)</w:t>
        </w:r>
        <w:r>
          <w:rPr>
            <w:noProof/>
            <w:webHidden/>
          </w:rPr>
          <w:tab/>
        </w:r>
        <w:r>
          <w:rPr>
            <w:noProof/>
            <w:webHidden/>
          </w:rPr>
          <w:fldChar w:fldCharType="begin"/>
        </w:r>
        <w:r>
          <w:rPr>
            <w:noProof/>
            <w:webHidden/>
          </w:rPr>
          <w:instrText xml:space="preserve"> PAGEREF _Toc69879224 \h </w:instrText>
        </w:r>
        <w:r>
          <w:rPr>
            <w:noProof/>
            <w:webHidden/>
          </w:rPr>
        </w:r>
        <w:r>
          <w:rPr>
            <w:noProof/>
            <w:webHidden/>
          </w:rPr>
          <w:fldChar w:fldCharType="separate"/>
        </w:r>
        <w:r>
          <w:rPr>
            <w:noProof/>
            <w:webHidden/>
          </w:rPr>
          <w:t>549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25" w:history="1">
        <w:r w:rsidRPr="00CC53E5">
          <w:rPr>
            <w:rStyle w:val="Hyperlink"/>
            <w:noProof/>
          </w:rPr>
          <w:t>2.1.1442</w:t>
        </w:r>
        <w:r>
          <w:rPr>
            <w:rFonts w:asciiTheme="minorHAnsi" w:eastAsiaTheme="minorEastAsia" w:hAnsiTheme="minorHAnsi" w:cstheme="minorBidi"/>
            <w:noProof/>
            <w:sz w:val="22"/>
            <w:szCs w:val="22"/>
          </w:rPr>
          <w:tab/>
        </w:r>
        <w:r w:rsidRPr="00CC53E5">
          <w:rPr>
            <w:rStyle w:val="Hyperlink"/>
            <w:noProof/>
          </w:rPr>
          <w:t>Part 1 Section 21.2.2.34, crossesAt (Crossing Value)</w:t>
        </w:r>
        <w:r>
          <w:rPr>
            <w:noProof/>
            <w:webHidden/>
          </w:rPr>
          <w:tab/>
        </w:r>
        <w:r>
          <w:rPr>
            <w:noProof/>
            <w:webHidden/>
          </w:rPr>
          <w:fldChar w:fldCharType="begin"/>
        </w:r>
        <w:r>
          <w:rPr>
            <w:noProof/>
            <w:webHidden/>
          </w:rPr>
          <w:instrText xml:space="preserve"> PAGEREF _Toc69879225 \h </w:instrText>
        </w:r>
        <w:r>
          <w:rPr>
            <w:noProof/>
            <w:webHidden/>
          </w:rPr>
        </w:r>
        <w:r>
          <w:rPr>
            <w:noProof/>
            <w:webHidden/>
          </w:rPr>
          <w:fldChar w:fldCharType="separate"/>
        </w:r>
        <w:r>
          <w:rPr>
            <w:noProof/>
            <w:webHidden/>
          </w:rPr>
          <w:t>549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26" w:history="1">
        <w:r w:rsidRPr="00CC53E5">
          <w:rPr>
            <w:rStyle w:val="Hyperlink"/>
            <w:noProof/>
          </w:rPr>
          <w:t>2.1.1443</w:t>
        </w:r>
        <w:r>
          <w:rPr>
            <w:rFonts w:asciiTheme="minorHAnsi" w:eastAsiaTheme="minorEastAsia" w:hAnsiTheme="minorHAnsi" w:cstheme="minorBidi"/>
            <w:noProof/>
            <w:sz w:val="22"/>
            <w:szCs w:val="22"/>
          </w:rPr>
          <w:tab/>
        </w:r>
        <w:r w:rsidRPr="00CC53E5">
          <w:rPr>
            <w:rStyle w:val="Hyperlink"/>
            <w:noProof/>
          </w:rPr>
          <w:t>Part 1 Section 21.2.2.36, custUnit (Custom Display Unit)</w:t>
        </w:r>
        <w:r>
          <w:rPr>
            <w:noProof/>
            <w:webHidden/>
          </w:rPr>
          <w:tab/>
        </w:r>
        <w:r>
          <w:rPr>
            <w:noProof/>
            <w:webHidden/>
          </w:rPr>
          <w:fldChar w:fldCharType="begin"/>
        </w:r>
        <w:r>
          <w:rPr>
            <w:noProof/>
            <w:webHidden/>
          </w:rPr>
          <w:instrText xml:space="preserve"> PAGEREF _Toc69879226 \h </w:instrText>
        </w:r>
        <w:r>
          <w:rPr>
            <w:noProof/>
            <w:webHidden/>
          </w:rPr>
        </w:r>
        <w:r>
          <w:rPr>
            <w:noProof/>
            <w:webHidden/>
          </w:rPr>
          <w:fldChar w:fldCharType="separate"/>
        </w:r>
        <w:r>
          <w:rPr>
            <w:noProof/>
            <w:webHidden/>
          </w:rPr>
          <w:t>549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27" w:history="1">
        <w:r w:rsidRPr="00CC53E5">
          <w:rPr>
            <w:rStyle w:val="Hyperlink"/>
            <w:noProof/>
          </w:rPr>
          <w:t>2.1.1444</w:t>
        </w:r>
        <w:r>
          <w:rPr>
            <w:rFonts w:asciiTheme="minorHAnsi" w:eastAsiaTheme="minorEastAsia" w:hAnsiTheme="minorHAnsi" w:cstheme="minorBidi"/>
            <w:noProof/>
            <w:sz w:val="22"/>
            <w:szCs w:val="22"/>
          </w:rPr>
          <w:tab/>
        </w:r>
        <w:r w:rsidRPr="00CC53E5">
          <w:rPr>
            <w:rStyle w:val="Hyperlink"/>
            <w:noProof/>
          </w:rPr>
          <w:t>Part 1 Section 21.2.2.37, data (Data Cannot Be Changed)</w:t>
        </w:r>
        <w:r>
          <w:rPr>
            <w:noProof/>
            <w:webHidden/>
          </w:rPr>
          <w:tab/>
        </w:r>
        <w:r>
          <w:rPr>
            <w:noProof/>
            <w:webHidden/>
          </w:rPr>
          <w:fldChar w:fldCharType="begin"/>
        </w:r>
        <w:r>
          <w:rPr>
            <w:noProof/>
            <w:webHidden/>
          </w:rPr>
          <w:instrText xml:space="preserve"> PAGEREF _Toc69879227 \h </w:instrText>
        </w:r>
        <w:r>
          <w:rPr>
            <w:noProof/>
            <w:webHidden/>
          </w:rPr>
        </w:r>
        <w:r>
          <w:rPr>
            <w:noProof/>
            <w:webHidden/>
          </w:rPr>
          <w:fldChar w:fldCharType="separate"/>
        </w:r>
        <w:r>
          <w:rPr>
            <w:noProof/>
            <w:webHidden/>
          </w:rPr>
          <w:t>550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28" w:history="1">
        <w:r w:rsidRPr="00CC53E5">
          <w:rPr>
            <w:rStyle w:val="Hyperlink"/>
            <w:noProof/>
          </w:rPr>
          <w:t>2.1.1445</w:t>
        </w:r>
        <w:r>
          <w:rPr>
            <w:rFonts w:asciiTheme="minorHAnsi" w:eastAsiaTheme="minorEastAsia" w:hAnsiTheme="minorHAnsi" w:cstheme="minorBidi"/>
            <w:noProof/>
            <w:sz w:val="22"/>
            <w:szCs w:val="22"/>
          </w:rPr>
          <w:tab/>
        </w:r>
        <w:r w:rsidRPr="00CC53E5">
          <w:rPr>
            <w:rStyle w:val="Hyperlink"/>
            <w:noProof/>
          </w:rPr>
          <w:t>Part 1 Section 21.2.2.39, dateAx (Date Axis)</w:t>
        </w:r>
        <w:r>
          <w:rPr>
            <w:noProof/>
            <w:webHidden/>
          </w:rPr>
          <w:tab/>
        </w:r>
        <w:r>
          <w:rPr>
            <w:noProof/>
            <w:webHidden/>
          </w:rPr>
          <w:fldChar w:fldCharType="begin"/>
        </w:r>
        <w:r>
          <w:rPr>
            <w:noProof/>
            <w:webHidden/>
          </w:rPr>
          <w:instrText xml:space="preserve"> PAGEREF _Toc69879228 \h </w:instrText>
        </w:r>
        <w:r>
          <w:rPr>
            <w:noProof/>
            <w:webHidden/>
          </w:rPr>
        </w:r>
        <w:r>
          <w:rPr>
            <w:noProof/>
            <w:webHidden/>
          </w:rPr>
          <w:fldChar w:fldCharType="separate"/>
        </w:r>
        <w:r>
          <w:rPr>
            <w:noProof/>
            <w:webHidden/>
          </w:rPr>
          <w:t>550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29" w:history="1">
        <w:r w:rsidRPr="00CC53E5">
          <w:rPr>
            <w:rStyle w:val="Hyperlink"/>
            <w:noProof/>
          </w:rPr>
          <w:t>2.1.1446</w:t>
        </w:r>
        <w:r>
          <w:rPr>
            <w:rFonts w:asciiTheme="minorHAnsi" w:eastAsiaTheme="minorEastAsia" w:hAnsiTheme="minorHAnsi" w:cstheme="minorBidi"/>
            <w:noProof/>
            <w:sz w:val="22"/>
            <w:szCs w:val="22"/>
          </w:rPr>
          <w:tab/>
        </w:r>
        <w:r w:rsidRPr="00CC53E5">
          <w:rPr>
            <w:rStyle w:val="Hyperlink"/>
            <w:noProof/>
          </w:rPr>
          <w:t>Part 1 Section 21.2.2.41, depthPercent (Depth Percent)</w:t>
        </w:r>
        <w:r>
          <w:rPr>
            <w:noProof/>
            <w:webHidden/>
          </w:rPr>
          <w:tab/>
        </w:r>
        <w:r>
          <w:rPr>
            <w:noProof/>
            <w:webHidden/>
          </w:rPr>
          <w:fldChar w:fldCharType="begin"/>
        </w:r>
        <w:r>
          <w:rPr>
            <w:noProof/>
            <w:webHidden/>
          </w:rPr>
          <w:instrText xml:space="preserve"> PAGEREF _Toc69879229 \h </w:instrText>
        </w:r>
        <w:r>
          <w:rPr>
            <w:noProof/>
            <w:webHidden/>
          </w:rPr>
        </w:r>
        <w:r>
          <w:rPr>
            <w:noProof/>
            <w:webHidden/>
          </w:rPr>
          <w:fldChar w:fldCharType="separate"/>
        </w:r>
        <w:r>
          <w:rPr>
            <w:noProof/>
            <w:webHidden/>
          </w:rPr>
          <w:t>550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30" w:history="1">
        <w:r w:rsidRPr="00CC53E5">
          <w:rPr>
            <w:rStyle w:val="Hyperlink"/>
            <w:noProof/>
          </w:rPr>
          <w:t>2.1.1447</w:t>
        </w:r>
        <w:r>
          <w:rPr>
            <w:rFonts w:asciiTheme="minorHAnsi" w:eastAsiaTheme="minorEastAsia" w:hAnsiTheme="minorHAnsi" w:cstheme="minorBidi"/>
            <w:noProof/>
            <w:sz w:val="22"/>
            <w:szCs w:val="22"/>
          </w:rPr>
          <w:tab/>
        </w:r>
        <w:r w:rsidRPr="00CC53E5">
          <w:rPr>
            <w:rStyle w:val="Hyperlink"/>
            <w:noProof/>
          </w:rPr>
          <w:t>Part 1 Section 21.2.2.42, dispBlanksAs (Display Blanks As)</w:t>
        </w:r>
        <w:r>
          <w:rPr>
            <w:noProof/>
            <w:webHidden/>
          </w:rPr>
          <w:tab/>
        </w:r>
        <w:r>
          <w:rPr>
            <w:noProof/>
            <w:webHidden/>
          </w:rPr>
          <w:fldChar w:fldCharType="begin"/>
        </w:r>
        <w:r>
          <w:rPr>
            <w:noProof/>
            <w:webHidden/>
          </w:rPr>
          <w:instrText xml:space="preserve"> PAGEREF _Toc69879230 \h </w:instrText>
        </w:r>
        <w:r>
          <w:rPr>
            <w:noProof/>
            <w:webHidden/>
          </w:rPr>
        </w:r>
        <w:r>
          <w:rPr>
            <w:noProof/>
            <w:webHidden/>
          </w:rPr>
          <w:fldChar w:fldCharType="separate"/>
        </w:r>
        <w:r>
          <w:rPr>
            <w:noProof/>
            <w:webHidden/>
          </w:rPr>
          <w:t>550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31" w:history="1">
        <w:r w:rsidRPr="00CC53E5">
          <w:rPr>
            <w:rStyle w:val="Hyperlink"/>
            <w:noProof/>
          </w:rPr>
          <w:t>2.1.1448</w:t>
        </w:r>
        <w:r>
          <w:rPr>
            <w:rFonts w:asciiTheme="minorHAnsi" w:eastAsiaTheme="minorEastAsia" w:hAnsiTheme="minorHAnsi" w:cstheme="minorBidi"/>
            <w:noProof/>
            <w:sz w:val="22"/>
            <w:szCs w:val="22"/>
          </w:rPr>
          <w:tab/>
        </w:r>
        <w:r w:rsidRPr="00CC53E5">
          <w:rPr>
            <w:rStyle w:val="Hyperlink"/>
            <w:noProof/>
          </w:rPr>
          <w:t>Part 1 Section 21.2.2.43, dispEq (Display Equation)</w:t>
        </w:r>
        <w:r>
          <w:rPr>
            <w:noProof/>
            <w:webHidden/>
          </w:rPr>
          <w:tab/>
        </w:r>
        <w:r>
          <w:rPr>
            <w:noProof/>
            <w:webHidden/>
          </w:rPr>
          <w:fldChar w:fldCharType="begin"/>
        </w:r>
        <w:r>
          <w:rPr>
            <w:noProof/>
            <w:webHidden/>
          </w:rPr>
          <w:instrText xml:space="preserve"> PAGEREF _Toc69879231 \h </w:instrText>
        </w:r>
        <w:r>
          <w:rPr>
            <w:noProof/>
            <w:webHidden/>
          </w:rPr>
        </w:r>
        <w:r>
          <w:rPr>
            <w:noProof/>
            <w:webHidden/>
          </w:rPr>
          <w:fldChar w:fldCharType="separate"/>
        </w:r>
        <w:r>
          <w:rPr>
            <w:noProof/>
            <w:webHidden/>
          </w:rPr>
          <w:t>551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32" w:history="1">
        <w:r w:rsidRPr="00CC53E5">
          <w:rPr>
            <w:rStyle w:val="Hyperlink"/>
            <w:noProof/>
          </w:rPr>
          <w:t>2.1.1449</w:t>
        </w:r>
        <w:r>
          <w:rPr>
            <w:rFonts w:asciiTheme="minorHAnsi" w:eastAsiaTheme="minorEastAsia" w:hAnsiTheme="minorHAnsi" w:cstheme="minorBidi"/>
            <w:noProof/>
            <w:sz w:val="22"/>
            <w:szCs w:val="22"/>
          </w:rPr>
          <w:tab/>
        </w:r>
        <w:r w:rsidRPr="00CC53E5">
          <w:rPr>
            <w:rStyle w:val="Hyperlink"/>
            <w:noProof/>
          </w:rPr>
          <w:t>Part 1 Section 21.2.2.44, dispRSqr (Display R Squared Value)</w:t>
        </w:r>
        <w:r>
          <w:rPr>
            <w:noProof/>
            <w:webHidden/>
          </w:rPr>
          <w:tab/>
        </w:r>
        <w:r>
          <w:rPr>
            <w:noProof/>
            <w:webHidden/>
          </w:rPr>
          <w:fldChar w:fldCharType="begin"/>
        </w:r>
        <w:r>
          <w:rPr>
            <w:noProof/>
            <w:webHidden/>
          </w:rPr>
          <w:instrText xml:space="preserve"> PAGEREF _Toc69879232 \h </w:instrText>
        </w:r>
        <w:r>
          <w:rPr>
            <w:noProof/>
            <w:webHidden/>
          </w:rPr>
        </w:r>
        <w:r>
          <w:rPr>
            <w:noProof/>
            <w:webHidden/>
          </w:rPr>
          <w:fldChar w:fldCharType="separate"/>
        </w:r>
        <w:r>
          <w:rPr>
            <w:noProof/>
            <w:webHidden/>
          </w:rPr>
          <w:t>551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33" w:history="1">
        <w:r w:rsidRPr="00CC53E5">
          <w:rPr>
            <w:rStyle w:val="Hyperlink"/>
            <w:noProof/>
          </w:rPr>
          <w:t>2.1.1450</w:t>
        </w:r>
        <w:r>
          <w:rPr>
            <w:rFonts w:asciiTheme="minorHAnsi" w:eastAsiaTheme="minorEastAsia" w:hAnsiTheme="minorHAnsi" w:cstheme="minorBidi"/>
            <w:noProof/>
            <w:sz w:val="22"/>
            <w:szCs w:val="22"/>
          </w:rPr>
          <w:tab/>
        </w:r>
        <w:r w:rsidRPr="00CC53E5">
          <w:rPr>
            <w:rStyle w:val="Hyperlink"/>
            <w:noProof/>
          </w:rPr>
          <w:t>Part 1 Section 21.2.2.47, dLbl (Data Label)</w:t>
        </w:r>
        <w:r>
          <w:rPr>
            <w:noProof/>
            <w:webHidden/>
          </w:rPr>
          <w:tab/>
        </w:r>
        <w:r>
          <w:rPr>
            <w:noProof/>
            <w:webHidden/>
          </w:rPr>
          <w:fldChar w:fldCharType="begin"/>
        </w:r>
        <w:r>
          <w:rPr>
            <w:noProof/>
            <w:webHidden/>
          </w:rPr>
          <w:instrText xml:space="preserve"> PAGEREF _Toc69879233 \h </w:instrText>
        </w:r>
        <w:r>
          <w:rPr>
            <w:noProof/>
            <w:webHidden/>
          </w:rPr>
        </w:r>
        <w:r>
          <w:rPr>
            <w:noProof/>
            <w:webHidden/>
          </w:rPr>
          <w:fldChar w:fldCharType="separate"/>
        </w:r>
        <w:r>
          <w:rPr>
            <w:noProof/>
            <w:webHidden/>
          </w:rPr>
          <w:t>551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34" w:history="1">
        <w:r w:rsidRPr="00CC53E5">
          <w:rPr>
            <w:rStyle w:val="Hyperlink"/>
            <w:noProof/>
          </w:rPr>
          <w:t>2.1.1451</w:t>
        </w:r>
        <w:r>
          <w:rPr>
            <w:rFonts w:asciiTheme="minorHAnsi" w:eastAsiaTheme="minorEastAsia" w:hAnsiTheme="minorHAnsi" w:cstheme="minorBidi"/>
            <w:noProof/>
            <w:sz w:val="22"/>
            <w:szCs w:val="22"/>
          </w:rPr>
          <w:tab/>
        </w:r>
        <w:r w:rsidRPr="00CC53E5">
          <w:rPr>
            <w:rStyle w:val="Hyperlink"/>
            <w:noProof/>
          </w:rPr>
          <w:t>Part 1 Section 21.2.2.48, dLblPos (Data Label Position)</w:t>
        </w:r>
        <w:r>
          <w:rPr>
            <w:noProof/>
            <w:webHidden/>
          </w:rPr>
          <w:tab/>
        </w:r>
        <w:r>
          <w:rPr>
            <w:noProof/>
            <w:webHidden/>
          </w:rPr>
          <w:fldChar w:fldCharType="begin"/>
        </w:r>
        <w:r>
          <w:rPr>
            <w:noProof/>
            <w:webHidden/>
          </w:rPr>
          <w:instrText xml:space="preserve"> PAGEREF _Toc69879234 \h </w:instrText>
        </w:r>
        <w:r>
          <w:rPr>
            <w:noProof/>
            <w:webHidden/>
          </w:rPr>
        </w:r>
        <w:r>
          <w:rPr>
            <w:noProof/>
            <w:webHidden/>
          </w:rPr>
          <w:fldChar w:fldCharType="separate"/>
        </w:r>
        <w:r>
          <w:rPr>
            <w:noProof/>
            <w:webHidden/>
          </w:rPr>
          <w:t>552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35" w:history="1">
        <w:r w:rsidRPr="00CC53E5">
          <w:rPr>
            <w:rStyle w:val="Hyperlink"/>
            <w:noProof/>
          </w:rPr>
          <w:t>2.1.1452</w:t>
        </w:r>
        <w:r>
          <w:rPr>
            <w:rFonts w:asciiTheme="minorHAnsi" w:eastAsiaTheme="minorEastAsia" w:hAnsiTheme="minorHAnsi" w:cstheme="minorBidi"/>
            <w:noProof/>
            <w:sz w:val="22"/>
            <w:szCs w:val="22"/>
          </w:rPr>
          <w:tab/>
        </w:r>
        <w:r w:rsidRPr="00CC53E5">
          <w:rPr>
            <w:rStyle w:val="Hyperlink"/>
            <w:noProof/>
          </w:rPr>
          <w:t>Part 1 Section 21.2.2.49, dLbls (Data Labels)</w:t>
        </w:r>
        <w:r>
          <w:rPr>
            <w:noProof/>
            <w:webHidden/>
          </w:rPr>
          <w:tab/>
        </w:r>
        <w:r>
          <w:rPr>
            <w:noProof/>
            <w:webHidden/>
          </w:rPr>
          <w:fldChar w:fldCharType="begin"/>
        </w:r>
        <w:r>
          <w:rPr>
            <w:noProof/>
            <w:webHidden/>
          </w:rPr>
          <w:instrText xml:space="preserve"> PAGEREF _Toc69879235 \h </w:instrText>
        </w:r>
        <w:r>
          <w:rPr>
            <w:noProof/>
            <w:webHidden/>
          </w:rPr>
        </w:r>
        <w:r>
          <w:rPr>
            <w:noProof/>
            <w:webHidden/>
          </w:rPr>
          <w:fldChar w:fldCharType="separate"/>
        </w:r>
        <w:r>
          <w:rPr>
            <w:noProof/>
            <w:webHidden/>
          </w:rPr>
          <w:t>552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36" w:history="1">
        <w:r w:rsidRPr="00CC53E5">
          <w:rPr>
            <w:rStyle w:val="Hyperlink"/>
            <w:noProof/>
          </w:rPr>
          <w:t>2.1.1453</w:t>
        </w:r>
        <w:r>
          <w:rPr>
            <w:rFonts w:asciiTheme="minorHAnsi" w:eastAsiaTheme="minorEastAsia" w:hAnsiTheme="minorHAnsi" w:cstheme="minorBidi"/>
            <w:noProof/>
            <w:sz w:val="22"/>
            <w:szCs w:val="22"/>
          </w:rPr>
          <w:tab/>
        </w:r>
        <w:r w:rsidRPr="00CC53E5">
          <w:rPr>
            <w:rStyle w:val="Hyperlink"/>
            <w:noProof/>
          </w:rPr>
          <w:t>Part 1 Section 21.2.2.50, doughnutChart (Doughnut Charts)</w:t>
        </w:r>
        <w:r>
          <w:rPr>
            <w:noProof/>
            <w:webHidden/>
          </w:rPr>
          <w:tab/>
        </w:r>
        <w:r>
          <w:rPr>
            <w:noProof/>
            <w:webHidden/>
          </w:rPr>
          <w:fldChar w:fldCharType="begin"/>
        </w:r>
        <w:r>
          <w:rPr>
            <w:noProof/>
            <w:webHidden/>
          </w:rPr>
          <w:instrText xml:space="preserve"> PAGEREF _Toc69879236 \h </w:instrText>
        </w:r>
        <w:r>
          <w:rPr>
            <w:noProof/>
            <w:webHidden/>
          </w:rPr>
        </w:r>
        <w:r>
          <w:rPr>
            <w:noProof/>
            <w:webHidden/>
          </w:rPr>
          <w:fldChar w:fldCharType="separate"/>
        </w:r>
        <w:r>
          <w:rPr>
            <w:noProof/>
            <w:webHidden/>
          </w:rPr>
          <w:t>553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37" w:history="1">
        <w:r w:rsidRPr="00CC53E5">
          <w:rPr>
            <w:rStyle w:val="Hyperlink"/>
            <w:noProof/>
          </w:rPr>
          <w:t>2.1.1454</w:t>
        </w:r>
        <w:r>
          <w:rPr>
            <w:rFonts w:asciiTheme="minorHAnsi" w:eastAsiaTheme="minorEastAsia" w:hAnsiTheme="minorHAnsi" w:cstheme="minorBidi"/>
            <w:noProof/>
            <w:sz w:val="22"/>
            <w:szCs w:val="22"/>
          </w:rPr>
          <w:tab/>
        </w:r>
        <w:r w:rsidRPr="00CC53E5">
          <w:rPr>
            <w:rStyle w:val="Hyperlink"/>
            <w:noProof/>
          </w:rPr>
          <w:t>Part 1 Section 21.2.2.55, errBars (Error Bars)</w:t>
        </w:r>
        <w:r>
          <w:rPr>
            <w:noProof/>
            <w:webHidden/>
          </w:rPr>
          <w:tab/>
        </w:r>
        <w:r>
          <w:rPr>
            <w:noProof/>
            <w:webHidden/>
          </w:rPr>
          <w:fldChar w:fldCharType="begin"/>
        </w:r>
        <w:r>
          <w:rPr>
            <w:noProof/>
            <w:webHidden/>
          </w:rPr>
          <w:instrText xml:space="preserve"> PAGEREF _Toc69879237 \h </w:instrText>
        </w:r>
        <w:r>
          <w:rPr>
            <w:noProof/>
            <w:webHidden/>
          </w:rPr>
        </w:r>
        <w:r>
          <w:rPr>
            <w:noProof/>
            <w:webHidden/>
          </w:rPr>
          <w:fldChar w:fldCharType="separate"/>
        </w:r>
        <w:r>
          <w:rPr>
            <w:noProof/>
            <w:webHidden/>
          </w:rPr>
          <w:t>553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38" w:history="1">
        <w:r w:rsidRPr="00CC53E5">
          <w:rPr>
            <w:rStyle w:val="Hyperlink"/>
            <w:noProof/>
          </w:rPr>
          <w:t>2.1.1455</w:t>
        </w:r>
        <w:r>
          <w:rPr>
            <w:rFonts w:asciiTheme="minorHAnsi" w:eastAsiaTheme="minorEastAsia" w:hAnsiTheme="minorHAnsi" w:cstheme="minorBidi"/>
            <w:noProof/>
            <w:sz w:val="22"/>
            <w:szCs w:val="22"/>
          </w:rPr>
          <w:tab/>
        </w:r>
        <w:r w:rsidRPr="00CC53E5">
          <w:rPr>
            <w:rStyle w:val="Hyperlink"/>
            <w:noProof/>
          </w:rPr>
          <w:t>Part 1 Section 21.2.2.56, errBarType (Error Bar Type)</w:t>
        </w:r>
        <w:r>
          <w:rPr>
            <w:noProof/>
            <w:webHidden/>
          </w:rPr>
          <w:tab/>
        </w:r>
        <w:r>
          <w:rPr>
            <w:noProof/>
            <w:webHidden/>
          </w:rPr>
          <w:fldChar w:fldCharType="begin"/>
        </w:r>
        <w:r>
          <w:rPr>
            <w:noProof/>
            <w:webHidden/>
          </w:rPr>
          <w:instrText xml:space="preserve"> PAGEREF _Toc69879238 \h </w:instrText>
        </w:r>
        <w:r>
          <w:rPr>
            <w:noProof/>
            <w:webHidden/>
          </w:rPr>
        </w:r>
        <w:r>
          <w:rPr>
            <w:noProof/>
            <w:webHidden/>
          </w:rPr>
          <w:fldChar w:fldCharType="separate"/>
        </w:r>
        <w:r>
          <w:rPr>
            <w:noProof/>
            <w:webHidden/>
          </w:rPr>
          <w:t>553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39" w:history="1">
        <w:r w:rsidRPr="00CC53E5">
          <w:rPr>
            <w:rStyle w:val="Hyperlink"/>
            <w:noProof/>
          </w:rPr>
          <w:t>2.1.1456</w:t>
        </w:r>
        <w:r>
          <w:rPr>
            <w:rFonts w:asciiTheme="minorHAnsi" w:eastAsiaTheme="minorEastAsia" w:hAnsiTheme="minorHAnsi" w:cstheme="minorBidi"/>
            <w:noProof/>
            <w:sz w:val="22"/>
            <w:szCs w:val="22"/>
          </w:rPr>
          <w:tab/>
        </w:r>
        <w:r w:rsidRPr="00CC53E5">
          <w:rPr>
            <w:rStyle w:val="Hyperlink"/>
            <w:noProof/>
          </w:rPr>
          <w:t>Part 1 Section 21.2.2.57, errDir (Error Bar Direction)</w:t>
        </w:r>
        <w:r>
          <w:rPr>
            <w:noProof/>
            <w:webHidden/>
          </w:rPr>
          <w:tab/>
        </w:r>
        <w:r>
          <w:rPr>
            <w:noProof/>
            <w:webHidden/>
          </w:rPr>
          <w:fldChar w:fldCharType="begin"/>
        </w:r>
        <w:r>
          <w:rPr>
            <w:noProof/>
            <w:webHidden/>
          </w:rPr>
          <w:instrText xml:space="preserve"> PAGEREF _Toc69879239 \h </w:instrText>
        </w:r>
        <w:r>
          <w:rPr>
            <w:noProof/>
            <w:webHidden/>
          </w:rPr>
        </w:r>
        <w:r>
          <w:rPr>
            <w:noProof/>
            <w:webHidden/>
          </w:rPr>
          <w:fldChar w:fldCharType="separate"/>
        </w:r>
        <w:r>
          <w:rPr>
            <w:noProof/>
            <w:webHidden/>
          </w:rPr>
          <w:t>553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40" w:history="1">
        <w:r w:rsidRPr="00CC53E5">
          <w:rPr>
            <w:rStyle w:val="Hyperlink"/>
            <w:noProof/>
          </w:rPr>
          <w:t>2.1.1457</w:t>
        </w:r>
        <w:r>
          <w:rPr>
            <w:rFonts w:asciiTheme="minorHAnsi" w:eastAsiaTheme="minorEastAsia" w:hAnsiTheme="minorHAnsi" w:cstheme="minorBidi"/>
            <w:noProof/>
            <w:sz w:val="22"/>
            <w:szCs w:val="22"/>
          </w:rPr>
          <w:tab/>
        </w:r>
        <w:r w:rsidRPr="00CC53E5">
          <w:rPr>
            <w:rStyle w:val="Hyperlink"/>
            <w:noProof/>
          </w:rPr>
          <w:t>Part 1 Section 21.2.2.58, errValType (Error Bar Value Type)</w:t>
        </w:r>
        <w:r>
          <w:rPr>
            <w:noProof/>
            <w:webHidden/>
          </w:rPr>
          <w:tab/>
        </w:r>
        <w:r>
          <w:rPr>
            <w:noProof/>
            <w:webHidden/>
          </w:rPr>
          <w:fldChar w:fldCharType="begin"/>
        </w:r>
        <w:r>
          <w:rPr>
            <w:noProof/>
            <w:webHidden/>
          </w:rPr>
          <w:instrText xml:space="preserve"> PAGEREF _Toc69879240 \h </w:instrText>
        </w:r>
        <w:r>
          <w:rPr>
            <w:noProof/>
            <w:webHidden/>
          </w:rPr>
        </w:r>
        <w:r>
          <w:rPr>
            <w:noProof/>
            <w:webHidden/>
          </w:rPr>
          <w:fldChar w:fldCharType="separate"/>
        </w:r>
        <w:r>
          <w:rPr>
            <w:noProof/>
            <w:webHidden/>
          </w:rPr>
          <w:t>553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41" w:history="1">
        <w:r w:rsidRPr="00CC53E5">
          <w:rPr>
            <w:rStyle w:val="Hyperlink"/>
            <w:noProof/>
          </w:rPr>
          <w:t>2.1.1458</w:t>
        </w:r>
        <w:r>
          <w:rPr>
            <w:rFonts w:asciiTheme="minorHAnsi" w:eastAsiaTheme="minorEastAsia" w:hAnsiTheme="minorHAnsi" w:cstheme="minorBidi"/>
            <w:noProof/>
            <w:sz w:val="22"/>
            <w:szCs w:val="22"/>
          </w:rPr>
          <w:tab/>
        </w:r>
        <w:r w:rsidRPr="00CC53E5">
          <w:rPr>
            <w:rStyle w:val="Hyperlink"/>
            <w:noProof/>
          </w:rPr>
          <w:t>Part 1 Section 21.2.2.59, evenFooter (Even Footer)</w:t>
        </w:r>
        <w:r>
          <w:rPr>
            <w:noProof/>
            <w:webHidden/>
          </w:rPr>
          <w:tab/>
        </w:r>
        <w:r>
          <w:rPr>
            <w:noProof/>
            <w:webHidden/>
          </w:rPr>
          <w:fldChar w:fldCharType="begin"/>
        </w:r>
        <w:r>
          <w:rPr>
            <w:noProof/>
            <w:webHidden/>
          </w:rPr>
          <w:instrText xml:space="preserve"> PAGEREF _Toc69879241 \h </w:instrText>
        </w:r>
        <w:r>
          <w:rPr>
            <w:noProof/>
            <w:webHidden/>
          </w:rPr>
        </w:r>
        <w:r>
          <w:rPr>
            <w:noProof/>
            <w:webHidden/>
          </w:rPr>
          <w:fldChar w:fldCharType="separate"/>
        </w:r>
        <w:r>
          <w:rPr>
            <w:noProof/>
            <w:webHidden/>
          </w:rPr>
          <w:t>553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42" w:history="1">
        <w:r w:rsidRPr="00CC53E5">
          <w:rPr>
            <w:rStyle w:val="Hyperlink"/>
            <w:noProof/>
          </w:rPr>
          <w:t>2.1.1459</w:t>
        </w:r>
        <w:r>
          <w:rPr>
            <w:rFonts w:asciiTheme="minorHAnsi" w:eastAsiaTheme="minorEastAsia" w:hAnsiTheme="minorHAnsi" w:cstheme="minorBidi"/>
            <w:noProof/>
            <w:sz w:val="22"/>
            <w:szCs w:val="22"/>
          </w:rPr>
          <w:tab/>
        </w:r>
        <w:r w:rsidRPr="00CC53E5">
          <w:rPr>
            <w:rStyle w:val="Hyperlink"/>
            <w:noProof/>
          </w:rPr>
          <w:t>Part 1 Section 21.2.2.60, evenHeader (Even Header)</w:t>
        </w:r>
        <w:r>
          <w:rPr>
            <w:noProof/>
            <w:webHidden/>
          </w:rPr>
          <w:tab/>
        </w:r>
        <w:r>
          <w:rPr>
            <w:noProof/>
            <w:webHidden/>
          </w:rPr>
          <w:fldChar w:fldCharType="begin"/>
        </w:r>
        <w:r>
          <w:rPr>
            <w:noProof/>
            <w:webHidden/>
          </w:rPr>
          <w:instrText xml:space="preserve"> PAGEREF _Toc69879242 \h </w:instrText>
        </w:r>
        <w:r>
          <w:rPr>
            <w:noProof/>
            <w:webHidden/>
          </w:rPr>
        </w:r>
        <w:r>
          <w:rPr>
            <w:noProof/>
            <w:webHidden/>
          </w:rPr>
          <w:fldChar w:fldCharType="separate"/>
        </w:r>
        <w:r>
          <w:rPr>
            <w:noProof/>
            <w:webHidden/>
          </w:rPr>
          <w:t>554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43" w:history="1">
        <w:r w:rsidRPr="00CC53E5">
          <w:rPr>
            <w:rStyle w:val="Hyperlink"/>
            <w:noProof/>
          </w:rPr>
          <w:t>2.1.1460</w:t>
        </w:r>
        <w:r>
          <w:rPr>
            <w:rFonts w:asciiTheme="minorHAnsi" w:eastAsiaTheme="minorEastAsia" w:hAnsiTheme="minorHAnsi" w:cstheme="minorBidi"/>
            <w:noProof/>
            <w:sz w:val="22"/>
            <w:szCs w:val="22"/>
          </w:rPr>
          <w:tab/>
        </w:r>
        <w:r w:rsidRPr="00CC53E5">
          <w:rPr>
            <w:rStyle w:val="Hyperlink"/>
            <w:noProof/>
          </w:rPr>
          <w:t>Part 1 Section 21.2.2.61, explosion (Explosion)</w:t>
        </w:r>
        <w:r>
          <w:rPr>
            <w:noProof/>
            <w:webHidden/>
          </w:rPr>
          <w:tab/>
        </w:r>
        <w:r>
          <w:rPr>
            <w:noProof/>
            <w:webHidden/>
          </w:rPr>
          <w:fldChar w:fldCharType="begin"/>
        </w:r>
        <w:r>
          <w:rPr>
            <w:noProof/>
            <w:webHidden/>
          </w:rPr>
          <w:instrText xml:space="preserve"> PAGEREF _Toc69879243 \h </w:instrText>
        </w:r>
        <w:r>
          <w:rPr>
            <w:noProof/>
            <w:webHidden/>
          </w:rPr>
        </w:r>
        <w:r>
          <w:rPr>
            <w:noProof/>
            <w:webHidden/>
          </w:rPr>
          <w:fldChar w:fldCharType="separate"/>
        </w:r>
        <w:r>
          <w:rPr>
            <w:noProof/>
            <w:webHidden/>
          </w:rPr>
          <w:t>554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44" w:history="1">
        <w:r w:rsidRPr="00CC53E5">
          <w:rPr>
            <w:rStyle w:val="Hyperlink"/>
            <w:noProof/>
          </w:rPr>
          <w:t>2.1.1461</w:t>
        </w:r>
        <w:r>
          <w:rPr>
            <w:rFonts w:asciiTheme="minorHAnsi" w:eastAsiaTheme="minorEastAsia" w:hAnsiTheme="minorHAnsi" w:cstheme="minorBidi"/>
            <w:noProof/>
            <w:sz w:val="22"/>
            <w:szCs w:val="22"/>
          </w:rPr>
          <w:tab/>
        </w:r>
        <w:r w:rsidRPr="00CC53E5">
          <w:rPr>
            <w:rStyle w:val="Hyperlink"/>
            <w:noProof/>
          </w:rPr>
          <w:t>Part 1 Section 21.2.2.63, externalData (External Data Relationship)</w:t>
        </w:r>
        <w:r>
          <w:rPr>
            <w:noProof/>
            <w:webHidden/>
          </w:rPr>
          <w:tab/>
        </w:r>
        <w:r>
          <w:rPr>
            <w:noProof/>
            <w:webHidden/>
          </w:rPr>
          <w:fldChar w:fldCharType="begin"/>
        </w:r>
        <w:r>
          <w:rPr>
            <w:noProof/>
            <w:webHidden/>
          </w:rPr>
          <w:instrText xml:space="preserve"> PAGEREF _Toc69879244 \h </w:instrText>
        </w:r>
        <w:r>
          <w:rPr>
            <w:noProof/>
            <w:webHidden/>
          </w:rPr>
        </w:r>
        <w:r>
          <w:rPr>
            <w:noProof/>
            <w:webHidden/>
          </w:rPr>
          <w:fldChar w:fldCharType="separate"/>
        </w:r>
        <w:r>
          <w:rPr>
            <w:noProof/>
            <w:webHidden/>
          </w:rPr>
          <w:t>554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45" w:history="1">
        <w:r w:rsidRPr="00CC53E5">
          <w:rPr>
            <w:rStyle w:val="Hyperlink"/>
            <w:noProof/>
          </w:rPr>
          <w:t>2.1.1462</w:t>
        </w:r>
        <w:r>
          <w:rPr>
            <w:rFonts w:asciiTheme="minorHAnsi" w:eastAsiaTheme="minorEastAsia" w:hAnsiTheme="minorHAnsi" w:cstheme="minorBidi"/>
            <w:noProof/>
            <w:sz w:val="22"/>
            <w:szCs w:val="22"/>
          </w:rPr>
          <w:tab/>
        </w:r>
        <w:r w:rsidRPr="00CC53E5">
          <w:rPr>
            <w:rStyle w:val="Hyperlink"/>
            <w:noProof/>
          </w:rPr>
          <w:t>Part 1 Section 21.2.2.65, f (Formula)</w:t>
        </w:r>
        <w:r>
          <w:rPr>
            <w:noProof/>
            <w:webHidden/>
          </w:rPr>
          <w:tab/>
        </w:r>
        <w:r>
          <w:rPr>
            <w:noProof/>
            <w:webHidden/>
          </w:rPr>
          <w:fldChar w:fldCharType="begin"/>
        </w:r>
        <w:r>
          <w:rPr>
            <w:noProof/>
            <w:webHidden/>
          </w:rPr>
          <w:instrText xml:space="preserve"> PAGEREF _Toc69879245 \h </w:instrText>
        </w:r>
        <w:r>
          <w:rPr>
            <w:noProof/>
            <w:webHidden/>
          </w:rPr>
        </w:r>
        <w:r>
          <w:rPr>
            <w:noProof/>
            <w:webHidden/>
          </w:rPr>
          <w:fldChar w:fldCharType="separate"/>
        </w:r>
        <w:r>
          <w:rPr>
            <w:noProof/>
            <w:webHidden/>
          </w:rPr>
          <w:t>554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46" w:history="1">
        <w:r w:rsidRPr="00CC53E5">
          <w:rPr>
            <w:rStyle w:val="Hyperlink"/>
            <w:noProof/>
          </w:rPr>
          <w:t>2.1.1463</w:t>
        </w:r>
        <w:r>
          <w:rPr>
            <w:rFonts w:asciiTheme="minorHAnsi" w:eastAsiaTheme="minorEastAsia" w:hAnsiTheme="minorHAnsi" w:cstheme="minorBidi"/>
            <w:noProof/>
            <w:sz w:val="22"/>
            <w:szCs w:val="22"/>
          </w:rPr>
          <w:tab/>
        </w:r>
        <w:r w:rsidRPr="00CC53E5">
          <w:rPr>
            <w:rStyle w:val="Hyperlink"/>
            <w:noProof/>
          </w:rPr>
          <w:t>Part 1 Section 21.2.2.66, firstFooter (First Footer)</w:t>
        </w:r>
        <w:r>
          <w:rPr>
            <w:noProof/>
            <w:webHidden/>
          </w:rPr>
          <w:tab/>
        </w:r>
        <w:r>
          <w:rPr>
            <w:noProof/>
            <w:webHidden/>
          </w:rPr>
          <w:fldChar w:fldCharType="begin"/>
        </w:r>
        <w:r>
          <w:rPr>
            <w:noProof/>
            <w:webHidden/>
          </w:rPr>
          <w:instrText xml:space="preserve"> PAGEREF _Toc69879246 \h </w:instrText>
        </w:r>
        <w:r>
          <w:rPr>
            <w:noProof/>
            <w:webHidden/>
          </w:rPr>
        </w:r>
        <w:r>
          <w:rPr>
            <w:noProof/>
            <w:webHidden/>
          </w:rPr>
          <w:fldChar w:fldCharType="separate"/>
        </w:r>
        <w:r>
          <w:rPr>
            <w:noProof/>
            <w:webHidden/>
          </w:rPr>
          <w:t>554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47" w:history="1">
        <w:r w:rsidRPr="00CC53E5">
          <w:rPr>
            <w:rStyle w:val="Hyperlink"/>
            <w:noProof/>
          </w:rPr>
          <w:t>2.1.1464</w:t>
        </w:r>
        <w:r>
          <w:rPr>
            <w:rFonts w:asciiTheme="minorHAnsi" w:eastAsiaTheme="minorEastAsia" w:hAnsiTheme="minorHAnsi" w:cstheme="minorBidi"/>
            <w:noProof/>
            <w:sz w:val="22"/>
            <w:szCs w:val="22"/>
          </w:rPr>
          <w:tab/>
        </w:r>
        <w:r w:rsidRPr="00CC53E5">
          <w:rPr>
            <w:rStyle w:val="Hyperlink"/>
            <w:noProof/>
          </w:rPr>
          <w:t>Part 1 Section 21.2.2.67, firstHeader (First Header)</w:t>
        </w:r>
        <w:r>
          <w:rPr>
            <w:noProof/>
            <w:webHidden/>
          </w:rPr>
          <w:tab/>
        </w:r>
        <w:r>
          <w:rPr>
            <w:noProof/>
            <w:webHidden/>
          </w:rPr>
          <w:fldChar w:fldCharType="begin"/>
        </w:r>
        <w:r>
          <w:rPr>
            <w:noProof/>
            <w:webHidden/>
          </w:rPr>
          <w:instrText xml:space="preserve"> PAGEREF _Toc69879247 \h </w:instrText>
        </w:r>
        <w:r>
          <w:rPr>
            <w:noProof/>
            <w:webHidden/>
          </w:rPr>
        </w:r>
        <w:r>
          <w:rPr>
            <w:noProof/>
            <w:webHidden/>
          </w:rPr>
          <w:fldChar w:fldCharType="separate"/>
        </w:r>
        <w:r>
          <w:rPr>
            <w:noProof/>
            <w:webHidden/>
          </w:rPr>
          <w:t>554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48" w:history="1">
        <w:r w:rsidRPr="00CC53E5">
          <w:rPr>
            <w:rStyle w:val="Hyperlink"/>
            <w:noProof/>
          </w:rPr>
          <w:t>2.1.1465</w:t>
        </w:r>
        <w:r>
          <w:rPr>
            <w:rFonts w:asciiTheme="minorHAnsi" w:eastAsiaTheme="minorEastAsia" w:hAnsiTheme="minorHAnsi" w:cstheme="minorBidi"/>
            <w:noProof/>
            <w:sz w:val="22"/>
            <w:szCs w:val="22"/>
          </w:rPr>
          <w:tab/>
        </w:r>
        <w:r w:rsidRPr="00CC53E5">
          <w:rPr>
            <w:rStyle w:val="Hyperlink"/>
            <w:noProof/>
          </w:rPr>
          <w:t>Part 1 Section 21.2.2.69, floor (Floor)</w:t>
        </w:r>
        <w:r>
          <w:rPr>
            <w:noProof/>
            <w:webHidden/>
          </w:rPr>
          <w:tab/>
        </w:r>
        <w:r>
          <w:rPr>
            <w:noProof/>
            <w:webHidden/>
          </w:rPr>
          <w:fldChar w:fldCharType="begin"/>
        </w:r>
        <w:r>
          <w:rPr>
            <w:noProof/>
            <w:webHidden/>
          </w:rPr>
          <w:instrText xml:space="preserve"> PAGEREF _Toc69879248 \h </w:instrText>
        </w:r>
        <w:r>
          <w:rPr>
            <w:noProof/>
            <w:webHidden/>
          </w:rPr>
        </w:r>
        <w:r>
          <w:rPr>
            <w:noProof/>
            <w:webHidden/>
          </w:rPr>
          <w:fldChar w:fldCharType="separate"/>
        </w:r>
        <w:r>
          <w:rPr>
            <w:noProof/>
            <w:webHidden/>
          </w:rPr>
          <w:t>555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49" w:history="1">
        <w:r w:rsidRPr="00CC53E5">
          <w:rPr>
            <w:rStyle w:val="Hyperlink"/>
            <w:noProof/>
          </w:rPr>
          <w:t>2.1.1466</w:t>
        </w:r>
        <w:r>
          <w:rPr>
            <w:rFonts w:asciiTheme="minorHAnsi" w:eastAsiaTheme="minorEastAsia" w:hAnsiTheme="minorHAnsi" w:cstheme="minorBidi"/>
            <w:noProof/>
            <w:sz w:val="22"/>
            <w:szCs w:val="22"/>
          </w:rPr>
          <w:tab/>
        </w:r>
        <w:r w:rsidRPr="00CC53E5">
          <w:rPr>
            <w:rStyle w:val="Hyperlink"/>
            <w:noProof/>
          </w:rPr>
          <w:t>Part 1 Section 21.2.2.70, fmtId (Format ID)</w:t>
        </w:r>
        <w:r>
          <w:rPr>
            <w:noProof/>
            <w:webHidden/>
          </w:rPr>
          <w:tab/>
        </w:r>
        <w:r>
          <w:rPr>
            <w:noProof/>
            <w:webHidden/>
          </w:rPr>
          <w:fldChar w:fldCharType="begin"/>
        </w:r>
        <w:r>
          <w:rPr>
            <w:noProof/>
            <w:webHidden/>
          </w:rPr>
          <w:instrText xml:space="preserve"> PAGEREF _Toc69879249 \h </w:instrText>
        </w:r>
        <w:r>
          <w:rPr>
            <w:noProof/>
            <w:webHidden/>
          </w:rPr>
        </w:r>
        <w:r>
          <w:rPr>
            <w:noProof/>
            <w:webHidden/>
          </w:rPr>
          <w:fldChar w:fldCharType="separate"/>
        </w:r>
        <w:r>
          <w:rPr>
            <w:noProof/>
            <w:webHidden/>
          </w:rPr>
          <w:t>555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50" w:history="1">
        <w:r w:rsidRPr="00CC53E5">
          <w:rPr>
            <w:rStyle w:val="Hyperlink"/>
            <w:noProof/>
          </w:rPr>
          <w:t>2.1.1467</w:t>
        </w:r>
        <w:r>
          <w:rPr>
            <w:rFonts w:asciiTheme="minorHAnsi" w:eastAsiaTheme="minorEastAsia" w:hAnsiTheme="minorHAnsi" w:cstheme="minorBidi"/>
            <w:noProof/>
            <w:sz w:val="22"/>
            <w:szCs w:val="22"/>
          </w:rPr>
          <w:tab/>
        </w:r>
        <w:r w:rsidRPr="00CC53E5">
          <w:rPr>
            <w:rStyle w:val="Hyperlink"/>
            <w:noProof/>
          </w:rPr>
          <w:t>Part 1 Section 21.2.2.72, formatting (Formatting)</w:t>
        </w:r>
        <w:r>
          <w:rPr>
            <w:noProof/>
            <w:webHidden/>
          </w:rPr>
          <w:tab/>
        </w:r>
        <w:r>
          <w:rPr>
            <w:noProof/>
            <w:webHidden/>
          </w:rPr>
          <w:fldChar w:fldCharType="begin"/>
        </w:r>
        <w:r>
          <w:rPr>
            <w:noProof/>
            <w:webHidden/>
          </w:rPr>
          <w:instrText xml:space="preserve"> PAGEREF _Toc69879250 \h </w:instrText>
        </w:r>
        <w:r>
          <w:rPr>
            <w:noProof/>
            <w:webHidden/>
          </w:rPr>
        </w:r>
        <w:r>
          <w:rPr>
            <w:noProof/>
            <w:webHidden/>
          </w:rPr>
          <w:fldChar w:fldCharType="separate"/>
        </w:r>
        <w:r>
          <w:rPr>
            <w:noProof/>
            <w:webHidden/>
          </w:rPr>
          <w:t>555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51" w:history="1">
        <w:r w:rsidRPr="00CC53E5">
          <w:rPr>
            <w:rStyle w:val="Hyperlink"/>
            <w:noProof/>
          </w:rPr>
          <w:t>2.1.1468</w:t>
        </w:r>
        <w:r>
          <w:rPr>
            <w:rFonts w:asciiTheme="minorHAnsi" w:eastAsiaTheme="minorEastAsia" w:hAnsiTheme="minorHAnsi" w:cstheme="minorBidi"/>
            <w:noProof/>
            <w:sz w:val="22"/>
            <w:szCs w:val="22"/>
          </w:rPr>
          <w:tab/>
        </w:r>
        <w:r w:rsidRPr="00CC53E5">
          <w:rPr>
            <w:rStyle w:val="Hyperlink"/>
            <w:noProof/>
          </w:rPr>
          <w:t>Part 1 Section 21.2.2.73, forward (Forward)</w:t>
        </w:r>
        <w:r>
          <w:rPr>
            <w:noProof/>
            <w:webHidden/>
          </w:rPr>
          <w:tab/>
        </w:r>
        <w:r>
          <w:rPr>
            <w:noProof/>
            <w:webHidden/>
          </w:rPr>
          <w:fldChar w:fldCharType="begin"/>
        </w:r>
        <w:r>
          <w:rPr>
            <w:noProof/>
            <w:webHidden/>
          </w:rPr>
          <w:instrText xml:space="preserve"> PAGEREF _Toc69879251 \h </w:instrText>
        </w:r>
        <w:r>
          <w:rPr>
            <w:noProof/>
            <w:webHidden/>
          </w:rPr>
        </w:r>
        <w:r>
          <w:rPr>
            <w:noProof/>
            <w:webHidden/>
          </w:rPr>
          <w:fldChar w:fldCharType="separate"/>
        </w:r>
        <w:r>
          <w:rPr>
            <w:noProof/>
            <w:webHidden/>
          </w:rPr>
          <w:t>555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52" w:history="1">
        <w:r w:rsidRPr="00CC53E5">
          <w:rPr>
            <w:rStyle w:val="Hyperlink"/>
            <w:noProof/>
          </w:rPr>
          <w:t>2.1.1469</w:t>
        </w:r>
        <w:r>
          <w:rPr>
            <w:rFonts w:asciiTheme="minorHAnsi" w:eastAsiaTheme="minorEastAsia" w:hAnsiTheme="minorHAnsi" w:cstheme="minorBidi"/>
            <w:noProof/>
            <w:sz w:val="22"/>
            <w:szCs w:val="22"/>
          </w:rPr>
          <w:tab/>
        </w:r>
        <w:r w:rsidRPr="00CC53E5">
          <w:rPr>
            <w:rStyle w:val="Hyperlink"/>
            <w:noProof/>
          </w:rPr>
          <w:t>Part 1 Section 21.2.2.74, gapDepth (Gap Depth)</w:t>
        </w:r>
        <w:r>
          <w:rPr>
            <w:noProof/>
            <w:webHidden/>
          </w:rPr>
          <w:tab/>
        </w:r>
        <w:r>
          <w:rPr>
            <w:noProof/>
            <w:webHidden/>
          </w:rPr>
          <w:fldChar w:fldCharType="begin"/>
        </w:r>
        <w:r>
          <w:rPr>
            <w:noProof/>
            <w:webHidden/>
          </w:rPr>
          <w:instrText xml:space="preserve"> PAGEREF _Toc69879252 \h </w:instrText>
        </w:r>
        <w:r>
          <w:rPr>
            <w:noProof/>
            <w:webHidden/>
          </w:rPr>
        </w:r>
        <w:r>
          <w:rPr>
            <w:noProof/>
            <w:webHidden/>
          </w:rPr>
          <w:fldChar w:fldCharType="separate"/>
        </w:r>
        <w:r>
          <w:rPr>
            <w:noProof/>
            <w:webHidden/>
          </w:rPr>
          <w:t>555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53" w:history="1">
        <w:r w:rsidRPr="00CC53E5">
          <w:rPr>
            <w:rStyle w:val="Hyperlink"/>
            <w:noProof/>
          </w:rPr>
          <w:t>2.1.1470</w:t>
        </w:r>
        <w:r>
          <w:rPr>
            <w:rFonts w:asciiTheme="minorHAnsi" w:eastAsiaTheme="minorEastAsia" w:hAnsiTheme="minorHAnsi" w:cstheme="minorBidi"/>
            <w:noProof/>
            <w:sz w:val="22"/>
            <w:szCs w:val="22"/>
          </w:rPr>
          <w:tab/>
        </w:r>
        <w:r w:rsidRPr="00CC53E5">
          <w:rPr>
            <w:rStyle w:val="Hyperlink"/>
            <w:noProof/>
          </w:rPr>
          <w:t>Part 1 Section 21.2.2.75, gapWidth (Gap Width)</w:t>
        </w:r>
        <w:r>
          <w:rPr>
            <w:noProof/>
            <w:webHidden/>
          </w:rPr>
          <w:tab/>
        </w:r>
        <w:r>
          <w:rPr>
            <w:noProof/>
            <w:webHidden/>
          </w:rPr>
          <w:fldChar w:fldCharType="begin"/>
        </w:r>
        <w:r>
          <w:rPr>
            <w:noProof/>
            <w:webHidden/>
          </w:rPr>
          <w:instrText xml:space="preserve"> PAGEREF _Toc69879253 \h </w:instrText>
        </w:r>
        <w:r>
          <w:rPr>
            <w:noProof/>
            <w:webHidden/>
          </w:rPr>
        </w:r>
        <w:r>
          <w:rPr>
            <w:noProof/>
            <w:webHidden/>
          </w:rPr>
          <w:fldChar w:fldCharType="separate"/>
        </w:r>
        <w:r>
          <w:rPr>
            <w:noProof/>
            <w:webHidden/>
          </w:rPr>
          <w:t>555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54" w:history="1">
        <w:r w:rsidRPr="00CC53E5">
          <w:rPr>
            <w:rStyle w:val="Hyperlink"/>
            <w:noProof/>
          </w:rPr>
          <w:t>2.1.1471</w:t>
        </w:r>
        <w:r>
          <w:rPr>
            <w:rFonts w:asciiTheme="minorHAnsi" w:eastAsiaTheme="minorEastAsia" w:hAnsiTheme="minorHAnsi" w:cstheme="minorBidi"/>
            <w:noProof/>
            <w:sz w:val="22"/>
            <w:szCs w:val="22"/>
          </w:rPr>
          <w:tab/>
        </w:r>
        <w:r w:rsidRPr="00CC53E5">
          <w:rPr>
            <w:rStyle w:val="Hyperlink"/>
            <w:noProof/>
          </w:rPr>
          <w:t>Part 1 Section 21.2.2.76, grouping (Grouping)</w:t>
        </w:r>
        <w:r>
          <w:rPr>
            <w:noProof/>
            <w:webHidden/>
          </w:rPr>
          <w:tab/>
        </w:r>
        <w:r>
          <w:rPr>
            <w:noProof/>
            <w:webHidden/>
          </w:rPr>
          <w:fldChar w:fldCharType="begin"/>
        </w:r>
        <w:r>
          <w:rPr>
            <w:noProof/>
            <w:webHidden/>
          </w:rPr>
          <w:instrText xml:space="preserve"> PAGEREF _Toc69879254 \h </w:instrText>
        </w:r>
        <w:r>
          <w:rPr>
            <w:noProof/>
            <w:webHidden/>
          </w:rPr>
        </w:r>
        <w:r>
          <w:rPr>
            <w:noProof/>
            <w:webHidden/>
          </w:rPr>
          <w:fldChar w:fldCharType="separate"/>
        </w:r>
        <w:r>
          <w:rPr>
            <w:noProof/>
            <w:webHidden/>
          </w:rPr>
          <w:t>556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55" w:history="1">
        <w:r w:rsidRPr="00CC53E5">
          <w:rPr>
            <w:rStyle w:val="Hyperlink"/>
            <w:noProof/>
          </w:rPr>
          <w:t>2.1.1472</w:t>
        </w:r>
        <w:r>
          <w:rPr>
            <w:rFonts w:asciiTheme="minorHAnsi" w:eastAsiaTheme="minorEastAsia" w:hAnsiTheme="minorHAnsi" w:cstheme="minorBidi"/>
            <w:noProof/>
            <w:sz w:val="22"/>
            <w:szCs w:val="22"/>
          </w:rPr>
          <w:tab/>
        </w:r>
        <w:r w:rsidRPr="00CC53E5">
          <w:rPr>
            <w:rStyle w:val="Hyperlink"/>
            <w:noProof/>
          </w:rPr>
          <w:t>Part 1 Section 21.2.2.78, h (Height)</w:t>
        </w:r>
        <w:r>
          <w:rPr>
            <w:noProof/>
            <w:webHidden/>
          </w:rPr>
          <w:tab/>
        </w:r>
        <w:r>
          <w:rPr>
            <w:noProof/>
            <w:webHidden/>
          </w:rPr>
          <w:fldChar w:fldCharType="begin"/>
        </w:r>
        <w:r>
          <w:rPr>
            <w:noProof/>
            <w:webHidden/>
          </w:rPr>
          <w:instrText xml:space="preserve"> PAGEREF _Toc69879255 \h </w:instrText>
        </w:r>
        <w:r>
          <w:rPr>
            <w:noProof/>
            <w:webHidden/>
          </w:rPr>
        </w:r>
        <w:r>
          <w:rPr>
            <w:noProof/>
            <w:webHidden/>
          </w:rPr>
          <w:fldChar w:fldCharType="separate"/>
        </w:r>
        <w:r>
          <w:rPr>
            <w:noProof/>
            <w:webHidden/>
          </w:rPr>
          <w:t>556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56" w:history="1">
        <w:r w:rsidRPr="00CC53E5">
          <w:rPr>
            <w:rStyle w:val="Hyperlink"/>
            <w:noProof/>
          </w:rPr>
          <w:t>2.1.1473</w:t>
        </w:r>
        <w:r>
          <w:rPr>
            <w:rFonts w:asciiTheme="minorHAnsi" w:eastAsiaTheme="minorEastAsia" w:hAnsiTheme="minorHAnsi" w:cstheme="minorBidi"/>
            <w:noProof/>
            <w:sz w:val="22"/>
            <w:szCs w:val="22"/>
          </w:rPr>
          <w:tab/>
        </w:r>
        <w:r w:rsidRPr="00CC53E5">
          <w:rPr>
            <w:rStyle w:val="Hyperlink"/>
            <w:noProof/>
          </w:rPr>
          <w:t>Part 1 Section 21.2.2.79, headerFooter (Header and Footer)</w:t>
        </w:r>
        <w:r>
          <w:rPr>
            <w:noProof/>
            <w:webHidden/>
          </w:rPr>
          <w:tab/>
        </w:r>
        <w:r>
          <w:rPr>
            <w:noProof/>
            <w:webHidden/>
          </w:rPr>
          <w:fldChar w:fldCharType="begin"/>
        </w:r>
        <w:r>
          <w:rPr>
            <w:noProof/>
            <w:webHidden/>
          </w:rPr>
          <w:instrText xml:space="preserve"> PAGEREF _Toc69879256 \h </w:instrText>
        </w:r>
        <w:r>
          <w:rPr>
            <w:noProof/>
            <w:webHidden/>
          </w:rPr>
        </w:r>
        <w:r>
          <w:rPr>
            <w:noProof/>
            <w:webHidden/>
          </w:rPr>
          <w:fldChar w:fldCharType="separate"/>
        </w:r>
        <w:r>
          <w:rPr>
            <w:noProof/>
            <w:webHidden/>
          </w:rPr>
          <w:t>556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57" w:history="1">
        <w:r w:rsidRPr="00CC53E5">
          <w:rPr>
            <w:rStyle w:val="Hyperlink"/>
            <w:noProof/>
          </w:rPr>
          <w:t>2.1.1474</w:t>
        </w:r>
        <w:r>
          <w:rPr>
            <w:rFonts w:asciiTheme="minorHAnsi" w:eastAsiaTheme="minorEastAsia" w:hAnsiTheme="minorHAnsi" w:cstheme="minorBidi"/>
            <w:noProof/>
            <w:sz w:val="22"/>
            <w:szCs w:val="22"/>
          </w:rPr>
          <w:tab/>
        </w:r>
        <w:r w:rsidRPr="00CC53E5">
          <w:rPr>
            <w:rStyle w:val="Hyperlink"/>
            <w:noProof/>
          </w:rPr>
          <w:t>Part 1 Section 21.2.2.81, hMode (Height Mode)</w:t>
        </w:r>
        <w:r>
          <w:rPr>
            <w:noProof/>
            <w:webHidden/>
          </w:rPr>
          <w:tab/>
        </w:r>
        <w:r>
          <w:rPr>
            <w:noProof/>
            <w:webHidden/>
          </w:rPr>
          <w:fldChar w:fldCharType="begin"/>
        </w:r>
        <w:r>
          <w:rPr>
            <w:noProof/>
            <w:webHidden/>
          </w:rPr>
          <w:instrText xml:space="preserve"> PAGEREF _Toc69879257 \h </w:instrText>
        </w:r>
        <w:r>
          <w:rPr>
            <w:noProof/>
            <w:webHidden/>
          </w:rPr>
        </w:r>
        <w:r>
          <w:rPr>
            <w:noProof/>
            <w:webHidden/>
          </w:rPr>
          <w:fldChar w:fldCharType="separate"/>
        </w:r>
        <w:r>
          <w:rPr>
            <w:noProof/>
            <w:webHidden/>
          </w:rPr>
          <w:t>556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58" w:history="1">
        <w:r w:rsidRPr="00CC53E5">
          <w:rPr>
            <w:rStyle w:val="Hyperlink"/>
            <w:noProof/>
          </w:rPr>
          <w:t>2.1.1475</w:t>
        </w:r>
        <w:r>
          <w:rPr>
            <w:rFonts w:asciiTheme="minorHAnsi" w:eastAsiaTheme="minorEastAsia" w:hAnsiTheme="minorHAnsi" w:cstheme="minorBidi"/>
            <w:noProof/>
            <w:sz w:val="22"/>
            <w:szCs w:val="22"/>
          </w:rPr>
          <w:tab/>
        </w:r>
        <w:r w:rsidRPr="00CC53E5">
          <w:rPr>
            <w:rStyle w:val="Hyperlink"/>
            <w:noProof/>
          </w:rPr>
          <w:t>Part 1 Section 21.2.2.82, holeSize (Hole Size)</w:t>
        </w:r>
        <w:r>
          <w:rPr>
            <w:noProof/>
            <w:webHidden/>
          </w:rPr>
          <w:tab/>
        </w:r>
        <w:r>
          <w:rPr>
            <w:noProof/>
            <w:webHidden/>
          </w:rPr>
          <w:fldChar w:fldCharType="begin"/>
        </w:r>
        <w:r>
          <w:rPr>
            <w:noProof/>
            <w:webHidden/>
          </w:rPr>
          <w:instrText xml:space="preserve"> PAGEREF _Toc69879258 \h </w:instrText>
        </w:r>
        <w:r>
          <w:rPr>
            <w:noProof/>
            <w:webHidden/>
          </w:rPr>
        </w:r>
        <w:r>
          <w:rPr>
            <w:noProof/>
            <w:webHidden/>
          </w:rPr>
          <w:fldChar w:fldCharType="separate"/>
        </w:r>
        <w:r>
          <w:rPr>
            <w:noProof/>
            <w:webHidden/>
          </w:rPr>
          <w:t>556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59" w:history="1">
        <w:r w:rsidRPr="00CC53E5">
          <w:rPr>
            <w:rStyle w:val="Hyperlink"/>
            <w:noProof/>
          </w:rPr>
          <w:t>2.1.1476</w:t>
        </w:r>
        <w:r>
          <w:rPr>
            <w:rFonts w:asciiTheme="minorHAnsi" w:eastAsiaTheme="minorEastAsia" w:hAnsiTheme="minorHAnsi" w:cstheme="minorBidi"/>
            <w:noProof/>
            <w:sz w:val="22"/>
            <w:szCs w:val="22"/>
          </w:rPr>
          <w:tab/>
        </w:r>
        <w:r w:rsidRPr="00CC53E5">
          <w:rPr>
            <w:rStyle w:val="Hyperlink"/>
            <w:noProof/>
          </w:rPr>
          <w:t>Part 1 Section 21.2.2.83, hPercent (Height Percent)</w:t>
        </w:r>
        <w:r>
          <w:rPr>
            <w:noProof/>
            <w:webHidden/>
          </w:rPr>
          <w:tab/>
        </w:r>
        <w:r>
          <w:rPr>
            <w:noProof/>
            <w:webHidden/>
          </w:rPr>
          <w:fldChar w:fldCharType="begin"/>
        </w:r>
        <w:r>
          <w:rPr>
            <w:noProof/>
            <w:webHidden/>
          </w:rPr>
          <w:instrText xml:space="preserve"> PAGEREF _Toc69879259 \h </w:instrText>
        </w:r>
        <w:r>
          <w:rPr>
            <w:noProof/>
            <w:webHidden/>
          </w:rPr>
        </w:r>
        <w:r>
          <w:rPr>
            <w:noProof/>
            <w:webHidden/>
          </w:rPr>
          <w:fldChar w:fldCharType="separate"/>
        </w:r>
        <w:r>
          <w:rPr>
            <w:noProof/>
            <w:webHidden/>
          </w:rPr>
          <w:t>557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60" w:history="1">
        <w:r w:rsidRPr="00CC53E5">
          <w:rPr>
            <w:rStyle w:val="Hyperlink"/>
            <w:noProof/>
          </w:rPr>
          <w:t>2.1.1477</w:t>
        </w:r>
        <w:r>
          <w:rPr>
            <w:rFonts w:asciiTheme="minorHAnsi" w:eastAsiaTheme="minorEastAsia" w:hAnsiTheme="minorHAnsi" w:cstheme="minorBidi"/>
            <w:noProof/>
            <w:sz w:val="22"/>
            <w:szCs w:val="22"/>
          </w:rPr>
          <w:tab/>
        </w:r>
        <w:r w:rsidRPr="00CC53E5">
          <w:rPr>
            <w:rStyle w:val="Hyperlink"/>
            <w:noProof/>
          </w:rPr>
          <w:t>Part 1 Section 21.2.2.84, idx (Index)</w:t>
        </w:r>
        <w:r>
          <w:rPr>
            <w:noProof/>
            <w:webHidden/>
          </w:rPr>
          <w:tab/>
        </w:r>
        <w:r>
          <w:rPr>
            <w:noProof/>
            <w:webHidden/>
          </w:rPr>
          <w:fldChar w:fldCharType="begin"/>
        </w:r>
        <w:r>
          <w:rPr>
            <w:noProof/>
            <w:webHidden/>
          </w:rPr>
          <w:instrText xml:space="preserve"> PAGEREF _Toc69879260 \h </w:instrText>
        </w:r>
        <w:r>
          <w:rPr>
            <w:noProof/>
            <w:webHidden/>
          </w:rPr>
        </w:r>
        <w:r>
          <w:rPr>
            <w:noProof/>
            <w:webHidden/>
          </w:rPr>
          <w:fldChar w:fldCharType="separate"/>
        </w:r>
        <w:r>
          <w:rPr>
            <w:noProof/>
            <w:webHidden/>
          </w:rPr>
          <w:t>557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61" w:history="1">
        <w:r w:rsidRPr="00CC53E5">
          <w:rPr>
            <w:rStyle w:val="Hyperlink"/>
            <w:noProof/>
          </w:rPr>
          <w:t>2.1.1478</w:t>
        </w:r>
        <w:r>
          <w:rPr>
            <w:rFonts w:asciiTheme="minorHAnsi" w:eastAsiaTheme="minorEastAsia" w:hAnsiTheme="minorHAnsi" w:cstheme="minorBidi"/>
            <w:noProof/>
            <w:sz w:val="22"/>
            <w:szCs w:val="22"/>
          </w:rPr>
          <w:tab/>
        </w:r>
        <w:r w:rsidRPr="00CC53E5">
          <w:rPr>
            <w:rStyle w:val="Hyperlink"/>
            <w:noProof/>
          </w:rPr>
          <w:t>Part 1 Section 21.2.2.85, intercept (Intercept)</w:t>
        </w:r>
        <w:r>
          <w:rPr>
            <w:noProof/>
            <w:webHidden/>
          </w:rPr>
          <w:tab/>
        </w:r>
        <w:r>
          <w:rPr>
            <w:noProof/>
            <w:webHidden/>
          </w:rPr>
          <w:fldChar w:fldCharType="begin"/>
        </w:r>
        <w:r>
          <w:rPr>
            <w:noProof/>
            <w:webHidden/>
          </w:rPr>
          <w:instrText xml:space="preserve"> PAGEREF _Toc69879261 \h </w:instrText>
        </w:r>
        <w:r>
          <w:rPr>
            <w:noProof/>
            <w:webHidden/>
          </w:rPr>
        </w:r>
        <w:r>
          <w:rPr>
            <w:noProof/>
            <w:webHidden/>
          </w:rPr>
          <w:fldChar w:fldCharType="separate"/>
        </w:r>
        <w:r>
          <w:rPr>
            <w:noProof/>
            <w:webHidden/>
          </w:rPr>
          <w:t>557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62" w:history="1">
        <w:r w:rsidRPr="00CC53E5">
          <w:rPr>
            <w:rStyle w:val="Hyperlink"/>
            <w:noProof/>
          </w:rPr>
          <w:t>2.1.1479</w:t>
        </w:r>
        <w:r>
          <w:rPr>
            <w:rFonts w:asciiTheme="minorHAnsi" w:eastAsiaTheme="minorEastAsia" w:hAnsiTheme="minorHAnsi" w:cstheme="minorBidi"/>
            <w:noProof/>
            <w:sz w:val="22"/>
            <w:szCs w:val="22"/>
          </w:rPr>
          <w:tab/>
        </w:r>
        <w:r w:rsidRPr="00CC53E5">
          <w:rPr>
            <w:rStyle w:val="Hyperlink"/>
            <w:noProof/>
          </w:rPr>
          <w:t>Part 1 Section 21.2.2.86, invertIfNegative (Invert if Negative)</w:t>
        </w:r>
        <w:r>
          <w:rPr>
            <w:noProof/>
            <w:webHidden/>
          </w:rPr>
          <w:tab/>
        </w:r>
        <w:r>
          <w:rPr>
            <w:noProof/>
            <w:webHidden/>
          </w:rPr>
          <w:fldChar w:fldCharType="begin"/>
        </w:r>
        <w:r>
          <w:rPr>
            <w:noProof/>
            <w:webHidden/>
          </w:rPr>
          <w:instrText xml:space="preserve"> PAGEREF _Toc69879262 \h </w:instrText>
        </w:r>
        <w:r>
          <w:rPr>
            <w:noProof/>
            <w:webHidden/>
          </w:rPr>
        </w:r>
        <w:r>
          <w:rPr>
            <w:noProof/>
            <w:webHidden/>
          </w:rPr>
          <w:fldChar w:fldCharType="separate"/>
        </w:r>
        <w:r>
          <w:rPr>
            <w:noProof/>
            <w:webHidden/>
          </w:rPr>
          <w:t>557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63" w:history="1">
        <w:r w:rsidRPr="00CC53E5">
          <w:rPr>
            <w:rStyle w:val="Hyperlink"/>
            <w:noProof/>
          </w:rPr>
          <w:t>2.1.1480</w:t>
        </w:r>
        <w:r>
          <w:rPr>
            <w:rFonts w:asciiTheme="minorHAnsi" w:eastAsiaTheme="minorEastAsia" w:hAnsiTheme="minorHAnsi" w:cstheme="minorBidi"/>
            <w:noProof/>
            <w:sz w:val="22"/>
            <w:szCs w:val="22"/>
          </w:rPr>
          <w:tab/>
        </w:r>
        <w:r w:rsidRPr="00CC53E5">
          <w:rPr>
            <w:rStyle w:val="Hyperlink"/>
            <w:noProof/>
          </w:rPr>
          <w:t>Part 1 Section 21.2.2.88, layout (Layout)</w:t>
        </w:r>
        <w:r>
          <w:rPr>
            <w:noProof/>
            <w:webHidden/>
          </w:rPr>
          <w:tab/>
        </w:r>
        <w:r>
          <w:rPr>
            <w:noProof/>
            <w:webHidden/>
          </w:rPr>
          <w:fldChar w:fldCharType="begin"/>
        </w:r>
        <w:r>
          <w:rPr>
            <w:noProof/>
            <w:webHidden/>
          </w:rPr>
          <w:instrText xml:space="preserve"> PAGEREF _Toc69879263 \h </w:instrText>
        </w:r>
        <w:r>
          <w:rPr>
            <w:noProof/>
            <w:webHidden/>
          </w:rPr>
        </w:r>
        <w:r>
          <w:rPr>
            <w:noProof/>
            <w:webHidden/>
          </w:rPr>
          <w:fldChar w:fldCharType="separate"/>
        </w:r>
        <w:r>
          <w:rPr>
            <w:noProof/>
            <w:webHidden/>
          </w:rPr>
          <w:t>557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64" w:history="1">
        <w:r w:rsidRPr="00CC53E5">
          <w:rPr>
            <w:rStyle w:val="Hyperlink"/>
            <w:noProof/>
          </w:rPr>
          <w:t>2.1.1481</w:t>
        </w:r>
        <w:r>
          <w:rPr>
            <w:rFonts w:asciiTheme="minorHAnsi" w:eastAsiaTheme="minorEastAsia" w:hAnsiTheme="minorHAnsi" w:cstheme="minorBidi"/>
            <w:noProof/>
            <w:sz w:val="22"/>
            <w:szCs w:val="22"/>
          </w:rPr>
          <w:tab/>
        </w:r>
        <w:r w:rsidRPr="00CC53E5">
          <w:rPr>
            <w:rStyle w:val="Hyperlink"/>
            <w:noProof/>
          </w:rPr>
          <w:t>Part 1 Section 21.2.2.89, layoutTarget (Layout Target)</w:t>
        </w:r>
        <w:r>
          <w:rPr>
            <w:noProof/>
            <w:webHidden/>
          </w:rPr>
          <w:tab/>
        </w:r>
        <w:r>
          <w:rPr>
            <w:noProof/>
            <w:webHidden/>
          </w:rPr>
          <w:fldChar w:fldCharType="begin"/>
        </w:r>
        <w:r>
          <w:rPr>
            <w:noProof/>
            <w:webHidden/>
          </w:rPr>
          <w:instrText xml:space="preserve"> PAGEREF _Toc69879264 \h </w:instrText>
        </w:r>
        <w:r>
          <w:rPr>
            <w:noProof/>
            <w:webHidden/>
          </w:rPr>
        </w:r>
        <w:r>
          <w:rPr>
            <w:noProof/>
            <w:webHidden/>
          </w:rPr>
          <w:fldChar w:fldCharType="separate"/>
        </w:r>
        <w:r>
          <w:rPr>
            <w:noProof/>
            <w:webHidden/>
          </w:rPr>
          <w:t>557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65" w:history="1">
        <w:r w:rsidRPr="00CC53E5">
          <w:rPr>
            <w:rStyle w:val="Hyperlink"/>
            <w:noProof/>
          </w:rPr>
          <w:t>2.1.1482</w:t>
        </w:r>
        <w:r>
          <w:rPr>
            <w:rFonts w:asciiTheme="minorHAnsi" w:eastAsiaTheme="minorEastAsia" w:hAnsiTheme="minorHAnsi" w:cstheme="minorBidi"/>
            <w:noProof/>
            <w:sz w:val="22"/>
            <w:szCs w:val="22"/>
          </w:rPr>
          <w:tab/>
        </w:r>
        <w:r w:rsidRPr="00CC53E5">
          <w:rPr>
            <w:rStyle w:val="Hyperlink"/>
            <w:noProof/>
          </w:rPr>
          <w:t>Part 1 Section 21.2.2.92, leaderLines (Leader Lines)</w:t>
        </w:r>
        <w:r>
          <w:rPr>
            <w:noProof/>
            <w:webHidden/>
          </w:rPr>
          <w:tab/>
        </w:r>
        <w:r>
          <w:rPr>
            <w:noProof/>
            <w:webHidden/>
          </w:rPr>
          <w:fldChar w:fldCharType="begin"/>
        </w:r>
        <w:r>
          <w:rPr>
            <w:noProof/>
            <w:webHidden/>
          </w:rPr>
          <w:instrText xml:space="preserve"> PAGEREF _Toc69879265 \h </w:instrText>
        </w:r>
        <w:r>
          <w:rPr>
            <w:noProof/>
            <w:webHidden/>
          </w:rPr>
        </w:r>
        <w:r>
          <w:rPr>
            <w:noProof/>
            <w:webHidden/>
          </w:rPr>
          <w:fldChar w:fldCharType="separate"/>
        </w:r>
        <w:r>
          <w:rPr>
            <w:noProof/>
            <w:webHidden/>
          </w:rPr>
          <w:t>558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66" w:history="1">
        <w:r w:rsidRPr="00CC53E5">
          <w:rPr>
            <w:rStyle w:val="Hyperlink"/>
            <w:noProof/>
          </w:rPr>
          <w:t>2.1.1483</w:t>
        </w:r>
        <w:r>
          <w:rPr>
            <w:rFonts w:asciiTheme="minorHAnsi" w:eastAsiaTheme="minorEastAsia" w:hAnsiTheme="minorHAnsi" w:cstheme="minorBidi"/>
            <w:noProof/>
            <w:sz w:val="22"/>
            <w:szCs w:val="22"/>
          </w:rPr>
          <w:tab/>
        </w:r>
        <w:r w:rsidRPr="00CC53E5">
          <w:rPr>
            <w:rStyle w:val="Hyperlink"/>
            <w:noProof/>
          </w:rPr>
          <w:t>Part 1 Section 21.2.2.95, legendPos (Legend Position)</w:t>
        </w:r>
        <w:r>
          <w:rPr>
            <w:noProof/>
            <w:webHidden/>
          </w:rPr>
          <w:tab/>
        </w:r>
        <w:r>
          <w:rPr>
            <w:noProof/>
            <w:webHidden/>
          </w:rPr>
          <w:fldChar w:fldCharType="begin"/>
        </w:r>
        <w:r>
          <w:rPr>
            <w:noProof/>
            <w:webHidden/>
          </w:rPr>
          <w:instrText xml:space="preserve"> PAGEREF _Toc69879266 \h </w:instrText>
        </w:r>
        <w:r>
          <w:rPr>
            <w:noProof/>
            <w:webHidden/>
          </w:rPr>
        </w:r>
        <w:r>
          <w:rPr>
            <w:noProof/>
            <w:webHidden/>
          </w:rPr>
          <w:fldChar w:fldCharType="separate"/>
        </w:r>
        <w:r>
          <w:rPr>
            <w:noProof/>
            <w:webHidden/>
          </w:rPr>
          <w:t>558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67" w:history="1">
        <w:r w:rsidRPr="00CC53E5">
          <w:rPr>
            <w:rStyle w:val="Hyperlink"/>
            <w:noProof/>
          </w:rPr>
          <w:t>2.1.1484</w:t>
        </w:r>
        <w:r>
          <w:rPr>
            <w:rFonts w:asciiTheme="minorHAnsi" w:eastAsiaTheme="minorEastAsia" w:hAnsiTheme="minorHAnsi" w:cstheme="minorBidi"/>
            <w:noProof/>
            <w:sz w:val="22"/>
            <w:szCs w:val="22"/>
          </w:rPr>
          <w:tab/>
        </w:r>
        <w:r w:rsidRPr="00CC53E5">
          <w:rPr>
            <w:rStyle w:val="Hyperlink"/>
            <w:noProof/>
          </w:rPr>
          <w:t>Part 1 Section 21.2.2.96, line3DChart (3D Line Charts)</w:t>
        </w:r>
        <w:r>
          <w:rPr>
            <w:noProof/>
            <w:webHidden/>
          </w:rPr>
          <w:tab/>
        </w:r>
        <w:r>
          <w:rPr>
            <w:noProof/>
            <w:webHidden/>
          </w:rPr>
          <w:fldChar w:fldCharType="begin"/>
        </w:r>
        <w:r>
          <w:rPr>
            <w:noProof/>
            <w:webHidden/>
          </w:rPr>
          <w:instrText xml:space="preserve"> PAGEREF _Toc69879267 \h </w:instrText>
        </w:r>
        <w:r>
          <w:rPr>
            <w:noProof/>
            <w:webHidden/>
          </w:rPr>
        </w:r>
        <w:r>
          <w:rPr>
            <w:noProof/>
            <w:webHidden/>
          </w:rPr>
          <w:fldChar w:fldCharType="separate"/>
        </w:r>
        <w:r>
          <w:rPr>
            <w:noProof/>
            <w:webHidden/>
          </w:rPr>
          <w:t>558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68" w:history="1">
        <w:r w:rsidRPr="00CC53E5">
          <w:rPr>
            <w:rStyle w:val="Hyperlink"/>
            <w:noProof/>
          </w:rPr>
          <w:t>2.1.1485</w:t>
        </w:r>
        <w:r>
          <w:rPr>
            <w:rFonts w:asciiTheme="minorHAnsi" w:eastAsiaTheme="minorEastAsia" w:hAnsiTheme="minorHAnsi" w:cstheme="minorBidi"/>
            <w:noProof/>
            <w:sz w:val="22"/>
            <w:szCs w:val="22"/>
          </w:rPr>
          <w:tab/>
        </w:r>
        <w:r w:rsidRPr="00CC53E5">
          <w:rPr>
            <w:rStyle w:val="Hyperlink"/>
            <w:noProof/>
          </w:rPr>
          <w:t>Part 1 Section 21.2.2.97, lineChart (Line Charts)</w:t>
        </w:r>
        <w:r>
          <w:rPr>
            <w:noProof/>
            <w:webHidden/>
          </w:rPr>
          <w:tab/>
        </w:r>
        <w:r>
          <w:rPr>
            <w:noProof/>
            <w:webHidden/>
          </w:rPr>
          <w:fldChar w:fldCharType="begin"/>
        </w:r>
        <w:r>
          <w:rPr>
            <w:noProof/>
            <w:webHidden/>
          </w:rPr>
          <w:instrText xml:space="preserve"> PAGEREF _Toc69879268 \h </w:instrText>
        </w:r>
        <w:r>
          <w:rPr>
            <w:noProof/>
            <w:webHidden/>
          </w:rPr>
        </w:r>
        <w:r>
          <w:rPr>
            <w:noProof/>
            <w:webHidden/>
          </w:rPr>
          <w:fldChar w:fldCharType="separate"/>
        </w:r>
        <w:r>
          <w:rPr>
            <w:noProof/>
            <w:webHidden/>
          </w:rPr>
          <w:t>558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69" w:history="1">
        <w:r w:rsidRPr="00CC53E5">
          <w:rPr>
            <w:rStyle w:val="Hyperlink"/>
            <w:noProof/>
          </w:rPr>
          <w:t>2.1.1486</w:t>
        </w:r>
        <w:r>
          <w:rPr>
            <w:rFonts w:asciiTheme="minorHAnsi" w:eastAsiaTheme="minorEastAsia" w:hAnsiTheme="minorHAnsi" w:cstheme="minorBidi"/>
            <w:noProof/>
            <w:sz w:val="22"/>
            <w:szCs w:val="22"/>
          </w:rPr>
          <w:tab/>
        </w:r>
        <w:r w:rsidRPr="00CC53E5">
          <w:rPr>
            <w:rStyle w:val="Hyperlink"/>
            <w:noProof/>
          </w:rPr>
          <w:t>Part 1 Section 21.2.2.99, lvl (Level)</w:t>
        </w:r>
        <w:r>
          <w:rPr>
            <w:noProof/>
            <w:webHidden/>
          </w:rPr>
          <w:tab/>
        </w:r>
        <w:r>
          <w:rPr>
            <w:noProof/>
            <w:webHidden/>
          </w:rPr>
          <w:fldChar w:fldCharType="begin"/>
        </w:r>
        <w:r>
          <w:rPr>
            <w:noProof/>
            <w:webHidden/>
          </w:rPr>
          <w:instrText xml:space="preserve"> PAGEREF _Toc69879269 \h </w:instrText>
        </w:r>
        <w:r>
          <w:rPr>
            <w:noProof/>
            <w:webHidden/>
          </w:rPr>
        </w:r>
        <w:r>
          <w:rPr>
            <w:noProof/>
            <w:webHidden/>
          </w:rPr>
          <w:fldChar w:fldCharType="separate"/>
        </w:r>
        <w:r>
          <w:rPr>
            <w:noProof/>
            <w:webHidden/>
          </w:rPr>
          <w:t>558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70" w:history="1">
        <w:r w:rsidRPr="00CC53E5">
          <w:rPr>
            <w:rStyle w:val="Hyperlink"/>
            <w:noProof/>
          </w:rPr>
          <w:t>2.1.1487</w:t>
        </w:r>
        <w:r>
          <w:rPr>
            <w:rFonts w:asciiTheme="minorHAnsi" w:eastAsiaTheme="minorEastAsia" w:hAnsiTheme="minorHAnsi" w:cstheme="minorBidi"/>
            <w:noProof/>
            <w:sz w:val="22"/>
            <w:szCs w:val="22"/>
          </w:rPr>
          <w:tab/>
        </w:r>
        <w:r w:rsidRPr="00CC53E5">
          <w:rPr>
            <w:rStyle w:val="Hyperlink"/>
            <w:noProof/>
          </w:rPr>
          <w:t>Part 1 Section 21.2.2.101, majorTickMark (Major Tick Mark)</w:t>
        </w:r>
        <w:r>
          <w:rPr>
            <w:noProof/>
            <w:webHidden/>
          </w:rPr>
          <w:tab/>
        </w:r>
        <w:r>
          <w:rPr>
            <w:noProof/>
            <w:webHidden/>
          </w:rPr>
          <w:fldChar w:fldCharType="begin"/>
        </w:r>
        <w:r>
          <w:rPr>
            <w:noProof/>
            <w:webHidden/>
          </w:rPr>
          <w:instrText xml:space="preserve"> PAGEREF _Toc69879270 \h </w:instrText>
        </w:r>
        <w:r>
          <w:rPr>
            <w:noProof/>
            <w:webHidden/>
          </w:rPr>
        </w:r>
        <w:r>
          <w:rPr>
            <w:noProof/>
            <w:webHidden/>
          </w:rPr>
          <w:fldChar w:fldCharType="separate"/>
        </w:r>
        <w:r>
          <w:rPr>
            <w:noProof/>
            <w:webHidden/>
          </w:rPr>
          <w:t>558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71" w:history="1">
        <w:r w:rsidRPr="00CC53E5">
          <w:rPr>
            <w:rStyle w:val="Hyperlink"/>
            <w:noProof/>
          </w:rPr>
          <w:t>2.1.1488</w:t>
        </w:r>
        <w:r>
          <w:rPr>
            <w:rFonts w:asciiTheme="minorHAnsi" w:eastAsiaTheme="minorEastAsia" w:hAnsiTheme="minorHAnsi" w:cstheme="minorBidi"/>
            <w:noProof/>
            <w:sz w:val="22"/>
            <w:szCs w:val="22"/>
          </w:rPr>
          <w:tab/>
        </w:r>
        <w:r w:rsidRPr="00CC53E5">
          <w:rPr>
            <w:rStyle w:val="Hyperlink"/>
            <w:noProof/>
          </w:rPr>
          <w:t>Part 1 Section 21.2.2.103, majorUnit (Major Unit)</w:t>
        </w:r>
        <w:r>
          <w:rPr>
            <w:noProof/>
            <w:webHidden/>
          </w:rPr>
          <w:tab/>
        </w:r>
        <w:r>
          <w:rPr>
            <w:noProof/>
            <w:webHidden/>
          </w:rPr>
          <w:fldChar w:fldCharType="begin"/>
        </w:r>
        <w:r>
          <w:rPr>
            <w:noProof/>
            <w:webHidden/>
          </w:rPr>
          <w:instrText xml:space="preserve"> PAGEREF _Toc69879271 \h </w:instrText>
        </w:r>
        <w:r>
          <w:rPr>
            <w:noProof/>
            <w:webHidden/>
          </w:rPr>
        </w:r>
        <w:r>
          <w:rPr>
            <w:noProof/>
            <w:webHidden/>
          </w:rPr>
          <w:fldChar w:fldCharType="separate"/>
        </w:r>
        <w:r>
          <w:rPr>
            <w:noProof/>
            <w:webHidden/>
          </w:rPr>
          <w:t>558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72" w:history="1">
        <w:r w:rsidRPr="00CC53E5">
          <w:rPr>
            <w:rStyle w:val="Hyperlink"/>
            <w:noProof/>
          </w:rPr>
          <w:t>2.1.1489</w:t>
        </w:r>
        <w:r>
          <w:rPr>
            <w:rFonts w:asciiTheme="minorHAnsi" w:eastAsiaTheme="minorEastAsia" w:hAnsiTheme="minorHAnsi" w:cstheme="minorBidi"/>
            <w:noProof/>
            <w:sz w:val="22"/>
            <w:szCs w:val="22"/>
          </w:rPr>
          <w:tab/>
        </w:r>
        <w:r w:rsidRPr="00CC53E5">
          <w:rPr>
            <w:rStyle w:val="Hyperlink"/>
            <w:noProof/>
          </w:rPr>
          <w:t>Part 1 Section 21.2.2.104, manualLayout (Manual Layout)</w:t>
        </w:r>
        <w:r>
          <w:rPr>
            <w:noProof/>
            <w:webHidden/>
          </w:rPr>
          <w:tab/>
        </w:r>
        <w:r>
          <w:rPr>
            <w:noProof/>
            <w:webHidden/>
          </w:rPr>
          <w:fldChar w:fldCharType="begin"/>
        </w:r>
        <w:r>
          <w:rPr>
            <w:noProof/>
            <w:webHidden/>
          </w:rPr>
          <w:instrText xml:space="preserve"> PAGEREF _Toc69879272 \h </w:instrText>
        </w:r>
        <w:r>
          <w:rPr>
            <w:noProof/>
            <w:webHidden/>
          </w:rPr>
        </w:r>
        <w:r>
          <w:rPr>
            <w:noProof/>
            <w:webHidden/>
          </w:rPr>
          <w:fldChar w:fldCharType="separate"/>
        </w:r>
        <w:r>
          <w:rPr>
            <w:noProof/>
            <w:webHidden/>
          </w:rPr>
          <w:t>559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73" w:history="1">
        <w:r w:rsidRPr="00CC53E5">
          <w:rPr>
            <w:rStyle w:val="Hyperlink"/>
            <w:noProof/>
          </w:rPr>
          <w:t>2.1.1490</w:t>
        </w:r>
        <w:r>
          <w:rPr>
            <w:rFonts w:asciiTheme="minorHAnsi" w:eastAsiaTheme="minorEastAsia" w:hAnsiTheme="minorHAnsi" w:cstheme="minorBidi"/>
            <w:noProof/>
            <w:sz w:val="22"/>
            <w:szCs w:val="22"/>
          </w:rPr>
          <w:tab/>
        </w:r>
        <w:r w:rsidRPr="00CC53E5">
          <w:rPr>
            <w:rStyle w:val="Hyperlink"/>
            <w:noProof/>
          </w:rPr>
          <w:t>Part 1 Section 21.2.2.105, marker (Show Marker)</w:t>
        </w:r>
        <w:r>
          <w:rPr>
            <w:noProof/>
            <w:webHidden/>
          </w:rPr>
          <w:tab/>
        </w:r>
        <w:r>
          <w:rPr>
            <w:noProof/>
            <w:webHidden/>
          </w:rPr>
          <w:fldChar w:fldCharType="begin"/>
        </w:r>
        <w:r>
          <w:rPr>
            <w:noProof/>
            <w:webHidden/>
          </w:rPr>
          <w:instrText xml:space="preserve"> PAGEREF _Toc69879273 \h </w:instrText>
        </w:r>
        <w:r>
          <w:rPr>
            <w:noProof/>
            <w:webHidden/>
          </w:rPr>
        </w:r>
        <w:r>
          <w:rPr>
            <w:noProof/>
            <w:webHidden/>
          </w:rPr>
          <w:fldChar w:fldCharType="separate"/>
        </w:r>
        <w:r>
          <w:rPr>
            <w:noProof/>
            <w:webHidden/>
          </w:rPr>
          <w:t>559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74" w:history="1">
        <w:r w:rsidRPr="00CC53E5">
          <w:rPr>
            <w:rStyle w:val="Hyperlink"/>
            <w:noProof/>
          </w:rPr>
          <w:t>2.1.1491</w:t>
        </w:r>
        <w:r>
          <w:rPr>
            <w:rFonts w:asciiTheme="minorHAnsi" w:eastAsiaTheme="minorEastAsia" w:hAnsiTheme="minorHAnsi" w:cstheme="minorBidi"/>
            <w:noProof/>
            <w:sz w:val="22"/>
            <w:szCs w:val="22"/>
          </w:rPr>
          <w:tab/>
        </w:r>
        <w:r w:rsidRPr="00CC53E5">
          <w:rPr>
            <w:rStyle w:val="Hyperlink"/>
            <w:noProof/>
          </w:rPr>
          <w:t>Part 1 Section 21.2.2.106, marker (Marker)</w:t>
        </w:r>
        <w:r>
          <w:rPr>
            <w:noProof/>
            <w:webHidden/>
          </w:rPr>
          <w:tab/>
        </w:r>
        <w:r>
          <w:rPr>
            <w:noProof/>
            <w:webHidden/>
          </w:rPr>
          <w:fldChar w:fldCharType="begin"/>
        </w:r>
        <w:r>
          <w:rPr>
            <w:noProof/>
            <w:webHidden/>
          </w:rPr>
          <w:instrText xml:space="preserve"> PAGEREF _Toc69879274 \h </w:instrText>
        </w:r>
        <w:r>
          <w:rPr>
            <w:noProof/>
            <w:webHidden/>
          </w:rPr>
        </w:r>
        <w:r>
          <w:rPr>
            <w:noProof/>
            <w:webHidden/>
          </w:rPr>
          <w:fldChar w:fldCharType="separate"/>
        </w:r>
        <w:r>
          <w:rPr>
            <w:noProof/>
            <w:webHidden/>
          </w:rPr>
          <w:t>559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75" w:history="1">
        <w:r w:rsidRPr="00CC53E5">
          <w:rPr>
            <w:rStyle w:val="Hyperlink"/>
            <w:noProof/>
          </w:rPr>
          <w:t>2.1.1492</w:t>
        </w:r>
        <w:r>
          <w:rPr>
            <w:rFonts w:asciiTheme="minorHAnsi" w:eastAsiaTheme="minorEastAsia" w:hAnsiTheme="minorHAnsi" w:cstheme="minorBidi"/>
            <w:noProof/>
            <w:sz w:val="22"/>
            <w:szCs w:val="22"/>
          </w:rPr>
          <w:tab/>
        </w:r>
        <w:r w:rsidRPr="00CC53E5">
          <w:rPr>
            <w:rStyle w:val="Hyperlink"/>
            <w:noProof/>
          </w:rPr>
          <w:t>Part 1 Section 21.2.2.107, max (Maximum)</w:t>
        </w:r>
        <w:r>
          <w:rPr>
            <w:noProof/>
            <w:webHidden/>
          </w:rPr>
          <w:tab/>
        </w:r>
        <w:r>
          <w:rPr>
            <w:noProof/>
            <w:webHidden/>
          </w:rPr>
          <w:fldChar w:fldCharType="begin"/>
        </w:r>
        <w:r>
          <w:rPr>
            <w:noProof/>
            <w:webHidden/>
          </w:rPr>
          <w:instrText xml:space="preserve"> PAGEREF _Toc69879275 \h </w:instrText>
        </w:r>
        <w:r>
          <w:rPr>
            <w:noProof/>
            <w:webHidden/>
          </w:rPr>
        </w:r>
        <w:r>
          <w:rPr>
            <w:noProof/>
            <w:webHidden/>
          </w:rPr>
          <w:fldChar w:fldCharType="separate"/>
        </w:r>
        <w:r>
          <w:rPr>
            <w:noProof/>
            <w:webHidden/>
          </w:rPr>
          <w:t>559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76" w:history="1">
        <w:r w:rsidRPr="00CC53E5">
          <w:rPr>
            <w:rStyle w:val="Hyperlink"/>
            <w:noProof/>
          </w:rPr>
          <w:t>2.1.1493</w:t>
        </w:r>
        <w:r>
          <w:rPr>
            <w:rFonts w:asciiTheme="minorHAnsi" w:eastAsiaTheme="minorEastAsia" w:hAnsiTheme="minorHAnsi" w:cstheme="minorBidi"/>
            <w:noProof/>
            <w:sz w:val="22"/>
            <w:szCs w:val="22"/>
          </w:rPr>
          <w:tab/>
        </w:r>
        <w:r w:rsidRPr="00CC53E5">
          <w:rPr>
            <w:rStyle w:val="Hyperlink"/>
            <w:noProof/>
          </w:rPr>
          <w:t>Part 1 Section 21.2.2.108, min (Minimum)</w:t>
        </w:r>
        <w:r>
          <w:rPr>
            <w:noProof/>
            <w:webHidden/>
          </w:rPr>
          <w:tab/>
        </w:r>
        <w:r>
          <w:rPr>
            <w:noProof/>
            <w:webHidden/>
          </w:rPr>
          <w:fldChar w:fldCharType="begin"/>
        </w:r>
        <w:r>
          <w:rPr>
            <w:noProof/>
            <w:webHidden/>
          </w:rPr>
          <w:instrText xml:space="preserve"> PAGEREF _Toc69879276 \h </w:instrText>
        </w:r>
        <w:r>
          <w:rPr>
            <w:noProof/>
            <w:webHidden/>
          </w:rPr>
        </w:r>
        <w:r>
          <w:rPr>
            <w:noProof/>
            <w:webHidden/>
          </w:rPr>
          <w:fldChar w:fldCharType="separate"/>
        </w:r>
        <w:r>
          <w:rPr>
            <w:noProof/>
            <w:webHidden/>
          </w:rPr>
          <w:t>559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77" w:history="1">
        <w:r w:rsidRPr="00CC53E5">
          <w:rPr>
            <w:rStyle w:val="Hyperlink"/>
            <w:noProof/>
          </w:rPr>
          <w:t>2.1.1494</w:t>
        </w:r>
        <w:r>
          <w:rPr>
            <w:rFonts w:asciiTheme="minorHAnsi" w:eastAsiaTheme="minorEastAsia" w:hAnsiTheme="minorHAnsi" w:cstheme="minorBidi"/>
            <w:noProof/>
            <w:sz w:val="22"/>
            <w:szCs w:val="22"/>
          </w:rPr>
          <w:tab/>
        </w:r>
        <w:r w:rsidRPr="00CC53E5">
          <w:rPr>
            <w:rStyle w:val="Hyperlink"/>
            <w:noProof/>
          </w:rPr>
          <w:t>Part 1 Section 21.2.2.112, minorUnit (Minor Unit)</w:t>
        </w:r>
        <w:r>
          <w:rPr>
            <w:noProof/>
            <w:webHidden/>
          </w:rPr>
          <w:tab/>
        </w:r>
        <w:r>
          <w:rPr>
            <w:noProof/>
            <w:webHidden/>
          </w:rPr>
          <w:fldChar w:fldCharType="begin"/>
        </w:r>
        <w:r>
          <w:rPr>
            <w:noProof/>
            <w:webHidden/>
          </w:rPr>
          <w:instrText xml:space="preserve"> PAGEREF _Toc69879277 \h </w:instrText>
        </w:r>
        <w:r>
          <w:rPr>
            <w:noProof/>
            <w:webHidden/>
          </w:rPr>
        </w:r>
        <w:r>
          <w:rPr>
            <w:noProof/>
            <w:webHidden/>
          </w:rPr>
          <w:fldChar w:fldCharType="separate"/>
        </w:r>
        <w:r>
          <w:rPr>
            <w:noProof/>
            <w:webHidden/>
          </w:rPr>
          <w:t>559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78" w:history="1">
        <w:r w:rsidRPr="00CC53E5">
          <w:rPr>
            <w:rStyle w:val="Hyperlink"/>
            <w:noProof/>
          </w:rPr>
          <w:t>2.1.1495</w:t>
        </w:r>
        <w:r>
          <w:rPr>
            <w:rFonts w:asciiTheme="minorHAnsi" w:eastAsiaTheme="minorEastAsia" w:hAnsiTheme="minorHAnsi" w:cstheme="minorBidi"/>
            <w:noProof/>
            <w:sz w:val="22"/>
            <w:szCs w:val="22"/>
          </w:rPr>
          <w:tab/>
        </w:r>
        <w:r w:rsidRPr="00CC53E5">
          <w:rPr>
            <w:rStyle w:val="Hyperlink"/>
            <w:noProof/>
          </w:rPr>
          <w:t>Part 1 Section 21.2.2.113, minus (Minus)</w:t>
        </w:r>
        <w:r>
          <w:rPr>
            <w:noProof/>
            <w:webHidden/>
          </w:rPr>
          <w:tab/>
        </w:r>
        <w:r>
          <w:rPr>
            <w:noProof/>
            <w:webHidden/>
          </w:rPr>
          <w:fldChar w:fldCharType="begin"/>
        </w:r>
        <w:r>
          <w:rPr>
            <w:noProof/>
            <w:webHidden/>
          </w:rPr>
          <w:instrText xml:space="preserve"> PAGEREF _Toc69879278 \h </w:instrText>
        </w:r>
        <w:r>
          <w:rPr>
            <w:noProof/>
            <w:webHidden/>
          </w:rPr>
        </w:r>
        <w:r>
          <w:rPr>
            <w:noProof/>
            <w:webHidden/>
          </w:rPr>
          <w:fldChar w:fldCharType="separate"/>
        </w:r>
        <w:r>
          <w:rPr>
            <w:noProof/>
            <w:webHidden/>
          </w:rPr>
          <w:t>559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79" w:history="1">
        <w:r w:rsidRPr="00CC53E5">
          <w:rPr>
            <w:rStyle w:val="Hyperlink"/>
            <w:noProof/>
          </w:rPr>
          <w:t>2.1.1496</w:t>
        </w:r>
        <w:r>
          <w:rPr>
            <w:rFonts w:asciiTheme="minorHAnsi" w:eastAsiaTheme="minorEastAsia" w:hAnsiTheme="minorHAnsi" w:cstheme="minorBidi"/>
            <w:noProof/>
            <w:sz w:val="22"/>
            <w:szCs w:val="22"/>
          </w:rPr>
          <w:tab/>
        </w:r>
        <w:r w:rsidRPr="00CC53E5">
          <w:rPr>
            <w:rStyle w:val="Hyperlink"/>
            <w:noProof/>
          </w:rPr>
          <w:t>Part 1 Section 21.2.2.114, multiLvlStrCache (Multi Level String Cache)</w:t>
        </w:r>
        <w:r>
          <w:rPr>
            <w:noProof/>
            <w:webHidden/>
          </w:rPr>
          <w:tab/>
        </w:r>
        <w:r>
          <w:rPr>
            <w:noProof/>
            <w:webHidden/>
          </w:rPr>
          <w:fldChar w:fldCharType="begin"/>
        </w:r>
        <w:r>
          <w:rPr>
            <w:noProof/>
            <w:webHidden/>
          </w:rPr>
          <w:instrText xml:space="preserve"> PAGEREF _Toc69879279 \h </w:instrText>
        </w:r>
        <w:r>
          <w:rPr>
            <w:noProof/>
            <w:webHidden/>
          </w:rPr>
        </w:r>
        <w:r>
          <w:rPr>
            <w:noProof/>
            <w:webHidden/>
          </w:rPr>
          <w:fldChar w:fldCharType="separate"/>
        </w:r>
        <w:r>
          <w:rPr>
            <w:noProof/>
            <w:webHidden/>
          </w:rPr>
          <w:t>559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80" w:history="1">
        <w:r w:rsidRPr="00CC53E5">
          <w:rPr>
            <w:rStyle w:val="Hyperlink"/>
            <w:noProof/>
          </w:rPr>
          <w:t>2.1.1497</w:t>
        </w:r>
        <w:r>
          <w:rPr>
            <w:rFonts w:asciiTheme="minorHAnsi" w:eastAsiaTheme="minorEastAsia" w:hAnsiTheme="minorHAnsi" w:cstheme="minorBidi"/>
            <w:noProof/>
            <w:sz w:val="22"/>
            <w:szCs w:val="22"/>
          </w:rPr>
          <w:tab/>
        </w:r>
        <w:r w:rsidRPr="00CC53E5">
          <w:rPr>
            <w:rStyle w:val="Hyperlink"/>
            <w:noProof/>
          </w:rPr>
          <w:t>Part 1 Section 21.2.2.115, multiLvlStrRef (Multi Level String Reference)</w:t>
        </w:r>
        <w:r>
          <w:rPr>
            <w:noProof/>
            <w:webHidden/>
          </w:rPr>
          <w:tab/>
        </w:r>
        <w:r>
          <w:rPr>
            <w:noProof/>
            <w:webHidden/>
          </w:rPr>
          <w:fldChar w:fldCharType="begin"/>
        </w:r>
        <w:r>
          <w:rPr>
            <w:noProof/>
            <w:webHidden/>
          </w:rPr>
          <w:instrText xml:space="preserve"> PAGEREF _Toc69879280 \h </w:instrText>
        </w:r>
        <w:r>
          <w:rPr>
            <w:noProof/>
            <w:webHidden/>
          </w:rPr>
        </w:r>
        <w:r>
          <w:rPr>
            <w:noProof/>
            <w:webHidden/>
          </w:rPr>
          <w:fldChar w:fldCharType="separate"/>
        </w:r>
        <w:r>
          <w:rPr>
            <w:noProof/>
            <w:webHidden/>
          </w:rPr>
          <w:t>560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81" w:history="1">
        <w:r w:rsidRPr="00CC53E5">
          <w:rPr>
            <w:rStyle w:val="Hyperlink"/>
            <w:noProof/>
          </w:rPr>
          <w:t>2.1.1498</w:t>
        </w:r>
        <w:r>
          <w:rPr>
            <w:rFonts w:asciiTheme="minorHAnsi" w:eastAsiaTheme="minorEastAsia" w:hAnsiTheme="minorHAnsi" w:cstheme="minorBidi"/>
            <w:noProof/>
            <w:sz w:val="22"/>
            <w:szCs w:val="22"/>
          </w:rPr>
          <w:tab/>
        </w:r>
        <w:r w:rsidRPr="00CC53E5">
          <w:rPr>
            <w:rStyle w:val="Hyperlink"/>
            <w:noProof/>
          </w:rPr>
          <w:t>Part 1 Section 21.2.2.117, name (Pivot Name)</w:t>
        </w:r>
        <w:r>
          <w:rPr>
            <w:noProof/>
            <w:webHidden/>
          </w:rPr>
          <w:tab/>
        </w:r>
        <w:r>
          <w:rPr>
            <w:noProof/>
            <w:webHidden/>
          </w:rPr>
          <w:fldChar w:fldCharType="begin"/>
        </w:r>
        <w:r>
          <w:rPr>
            <w:noProof/>
            <w:webHidden/>
          </w:rPr>
          <w:instrText xml:space="preserve"> PAGEREF _Toc69879281 \h </w:instrText>
        </w:r>
        <w:r>
          <w:rPr>
            <w:noProof/>
            <w:webHidden/>
          </w:rPr>
        </w:r>
        <w:r>
          <w:rPr>
            <w:noProof/>
            <w:webHidden/>
          </w:rPr>
          <w:fldChar w:fldCharType="separate"/>
        </w:r>
        <w:r>
          <w:rPr>
            <w:noProof/>
            <w:webHidden/>
          </w:rPr>
          <w:t>560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82" w:history="1">
        <w:r w:rsidRPr="00CC53E5">
          <w:rPr>
            <w:rStyle w:val="Hyperlink"/>
            <w:noProof/>
          </w:rPr>
          <w:t>2.1.1499</w:t>
        </w:r>
        <w:r>
          <w:rPr>
            <w:rFonts w:asciiTheme="minorHAnsi" w:eastAsiaTheme="minorEastAsia" w:hAnsiTheme="minorHAnsi" w:cstheme="minorBidi"/>
            <w:noProof/>
            <w:sz w:val="22"/>
            <w:szCs w:val="22"/>
          </w:rPr>
          <w:tab/>
        </w:r>
        <w:r w:rsidRPr="00CC53E5">
          <w:rPr>
            <w:rStyle w:val="Hyperlink"/>
            <w:noProof/>
          </w:rPr>
          <w:t>Part 1 Section 21.2.2.121, numFmt (Number Format)</w:t>
        </w:r>
        <w:r>
          <w:rPr>
            <w:noProof/>
            <w:webHidden/>
          </w:rPr>
          <w:tab/>
        </w:r>
        <w:r>
          <w:rPr>
            <w:noProof/>
            <w:webHidden/>
          </w:rPr>
          <w:fldChar w:fldCharType="begin"/>
        </w:r>
        <w:r>
          <w:rPr>
            <w:noProof/>
            <w:webHidden/>
          </w:rPr>
          <w:instrText xml:space="preserve"> PAGEREF _Toc69879282 \h </w:instrText>
        </w:r>
        <w:r>
          <w:rPr>
            <w:noProof/>
            <w:webHidden/>
          </w:rPr>
        </w:r>
        <w:r>
          <w:rPr>
            <w:noProof/>
            <w:webHidden/>
          </w:rPr>
          <w:fldChar w:fldCharType="separate"/>
        </w:r>
        <w:r>
          <w:rPr>
            <w:noProof/>
            <w:webHidden/>
          </w:rPr>
          <w:t>560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83" w:history="1">
        <w:r w:rsidRPr="00CC53E5">
          <w:rPr>
            <w:rStyle w:val="Hyperlink"/>
            <w:noProof/>
          </w:rPr>
          <w:t>2.1.1500</w:t>
        </w:r>
        <w:r>
          <w:rPr>
            <w:rFonts w:asciiTheme="minorHAnsi" w:eastAsiaTheme="minorEastAsia" w:hAnsiTheme="minorHAnsi" w:cstheme="minorBidi"/>
            <w:noProof/>
            <w:sz w:val="22"/>
            <w:szCs w:val="22"/>
          </w:rPr>
          <w:tab/>
        </w:r>
        <w:r w:rsidRPr="00CC53E5">
          <w:rPr>
            <w:rStyle w:val="Hyperlink"/>
            <w:noProof/>
          </w:rPr>
          <w:t>Part 1 Section 21.2.2.124, oddFooter (Odd Footer)</w:t>
        </w:r>
        <w:r>
          <w:rPr>
            <w:noProof/>
            <w:webHidden/>
          </w:rPr>
          <w:tab/>
        </w:r>
        <w:r>
          <w:rPr>
            <w:noProof/>
            <w:webHidden/>
          </w:rPr>
          <w:fldChar w:fldCharType="begin"/>
        </w:r>
        <w:r>
          <w:rPr>
            <w:noProof/>
            <w:webHidden/>
          </w:rPr>
          <w:instrText xml:space="preserve"> PAGEREF _Toc69879283 \h </w:instrText>
        </w:r>
        <w:r>
          <w:rPr>
            <w:noProof/>
            <w:webHidden/>
          </w:rPr>
        </w:r>
        <w:r>
          <w:rPr>
            <w:noProof/>
            <w:webHidden/>
          </w:rPr>
          <w:fldChar w:fldCharType="separate"/>
        </w:r>
        <w:r>
          <w:rPr>
            <w:noProof/>
            <w:webHidden/>
          </w:rPr>
          <w:t>560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84" w:history="1">
        <w:r w:rsidRPr="00CC53E5">
          <w:rPr>
            <w:rStyle w:val="Hyperlink"/>
            <w:noProof/>
          </w:rPr>
          <w:t>2.1.1501</w:t>
        </w:r>
        <w:r>
          <w:rPr>
            <w:rFonts w:asciiTheme="minorHAnsi" w:eastAsiaTheme="minorEastAsia" w:hAnsiTheme="minorHAnsi" w:cstheme="minorBidi"/>
            <w:noProof/>
            <w:sz w:val="22"/>
            <w:szCs w:val="22"/>
          </w:rPr>
          <w:tab/>
        </w:r>
        <w:r w:rsidRPr="00CC53E5">
          <w:rPr>
            <w:rStyle w:val="Hyperlink"/>
            <w:noProof/>
          </w:rPr>
          <w:t>Part 1 Section 21.2.2.125, oddHeader (Odd Header)</w:t>
        </w:r>
        <w:r>
          <w:rPr>
            <w:noProof/>
            <w:webHidden/>
          </w:rPr>
          <w:tab/>
        </w:r>
        <w:r>
          <w:rPr>
            <w:noProof/>
            <w:webHidden/>
          </w:rPr>
          <w:fldChar w:fldCharType="begin"/>
        </w:r>
        <w:r>
          <w:rPr>
            <w:noProof/>
            <w:webHidden/>
          </w:rPr>
          <w:instrText xml:space="preserve"> PAGEREF _Toc69879284 \h </w:instrText>
        </w:r>
        <w:r>
          <w:rPr>
            <w:noProof/>
            <w:webHidden/>
          </w:rPr>
        </w:r>
        <w:r>
          <w:rPr>
            <w:noProof/>
            <w:webHidden/>
          </w:rPr>
          <w:fldChar w:fldCharType="separate"/>
        </w:r>
        <w:r>
          <w:rPr>
            <w:noProof/>
            <w:webHidden/>
          </w:rPr>
          <w:t>560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85" w:history="1">
        <w:r w:rsidRPr="00CC53E5">
          <w:rPr>
            <w:rStyle w:val="Hyperlink"/>
            <w:noProof/>
          </w:rPr>
          <w:t>2.1.1502</w:t>
        </w:r>
        <w:r>
          <w:rPr>
            <w:rFonts w:asciiTheme="minorHAnsi" w:eastAsiaTheme="minorEastAsia" w:hAnsiTheme="minorHAnsi" w:cstheme="minorBidi"/>
            <w:noProof/>
            <w:sz w:val="22"/>
            <w:szCs w:val="22"/>
          </w:rPr>
          <w:tab/>
        </w:r>
        <w:r w:rsidRPr="00CC53E5">
          <w:rPr>
            <w:rStyle w:val="Hyperlink"/>
            <w:noProof/>
          </w:rPr>
          <w:t>Part 1 Section 21.2.2.126, ofPieChart (Pie of Pie or Bar of Pie Charts)</w:t>
        </w:r>
        <w:r>
          <w:rPr>
            <w:noProof/>
            <w:webHidden/>
          </w:rPr>
          <w:tab/>
        </w:r>
        <w:r>
          <w:rPr>
            <w:noProof/>
            <w:webHidden/>
          </w:rPr>
          <w:fldChar w:fldCharType="begin"/>
        </w:r>
        <w:r>
          <w:rPr>
            <w:noProof/>
            <w:webHidden/>
          </w:rPr>
          <w:instrText xml:space="preserve"> PAGEREF _Toc69879285 \h </w:instrText>
        </w:r>
        <w:r>
          <w:rPr>
            <w:noProof/>
            <w:webHidden/>
          </w:rPr>
        </w:r>
        <w:r>
          <w:rPr>
            <w:noProof/>
            <w:webHidden/>
          </w:rPr>
          <w:fldChar w:fldCharType="separate"/>
        </w:r>
        <w:r>
          <w:rPr>
            <w:noProof/>
            <w:webHidden/>
          </w:rPr>
          <w:t>561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86" w:history="1">
        <w:r w:rsidRPr="00CC53E5">
          <w:rPr>
            <w:rStyle w:val="Hyperlink"/>
            <w:noProof/>
          </w:rPr>
          <w:t>2.1.1503</w:t>
        </w:r>
        <w:r>
          <w:rPr>
            <w:rFonts w:asciiTheme="minorHAnsi" w:eastAsiaTheme="minorEastAsia" w:hAnsiTheme="minorHAnsi" w:cstheme="minorBidi"/>
            <w:noProof/>
            <w:sz w:val="22"/>
            <w:szCs w:val="22"/>
          </w:rPr>
          <w:tab/>
        </w:r>
        <w:r w:rsidRPr="00CC53E5">
          <w:rPr>
            <w:rStyle w:val="Hyperlink"/>
            <w:noProof/>
          </w:rPr>
          <w:t>Part 1 Section 21.2.2.127, ofPieType (Pie of Pie or Bar of Pie Type)</w:t>
        </w:r>
        <w:r>
          <w:rPr>
            <w:noProof/>
            <w:webHidden/>
          </w:rPr>
          <w:tab/>
        </w:r>
        <w:r>
          <w:rPr>
            <w:noProof/>
            <w:webHidden/>
          </w:rPr>
          <w:fldChar w:fldCharType="begin"/>
        </w:r>
        <w:r>
          <w:rPr>
            <w:noProof/>
            <w:webHidden/>
          </w:rPr>
          <w:instrText xml:space="preserve"> PAGEREF _Toc69879286 \h </w:instrText>
        </w:r>
        <w:r>
          <w:rPr>
            <w:noProof/>
            <w:webHidden/>
          </w:rPr>
        </w:r>
        <w:r>
          <w:rPr>
            <w:noProof/>
            <w:webHidden/>
          </w:rPr>
          <w:fldChar w:fldCharType="separate"/>
        </w:r>
        <w:r>
          <w:rPr>
            <w:noProof/>
            <w:webHidden/>
          </w:rPr>
          <w:t>561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87" w:history="1">
        <w:r w:rsidRPr="00CC53E5">
          <w:rPr>
            <w:rStyle w:val="Hyperlink"/>
            <w:noProof/>
          </w:rPr>
          <w:t>2.1.1504</w:t>
        </w:r>
        <w:r>
          <w:rPr>
            <w:rFonts w:asciiTheme="minorHAnsi" w:eastAsiaTheme="minorEastAsia" w:hAnsiTheme="minorHAnsi" w:cstheme="minorBidi"/>
            <w:noProof/>
            <w:sz w:val="22"/>
            <w:szCs w:val="22"/>
          </w:rPr>
          <w:tab/>
        </w:r>
        <w:r w:rsidRPr="00CC53E5">
          <w:rPr>
            <w:rStyle w:val="Hyperlink"/>
            <w:noProof/>
          </w:rPr>
          <w:t>Part 1 Section 21.2.2.128, order (Order)</w:t>
        </w:r>
        <w:r>
          <w:rPr>
            <w:noProof/>
            <w:webHidden/>
          </w:rPr>
          <w:tab/>
        </w:r>
        <w:r>
          <w:rPr>
            <w:noProof/>
            <w:webHidden/>
          </w:rPr>
          <w:fldChar w:fldCharType="begin"/>
        </w:r>
        <w:r>
          <w:rPr>
            <w:noProof/>
            <w:webHidden/>
          </w:rPr>
          <w:instrText xml:space="preserve"> PAGEREF _Toc69879287 \h </w:instrText>
        </w:r>
        <w:r>
          <w:rPr>
            <w:noProof/>
            <w:webHidden/>
          </w:rPr>
        </w:r>
        <w:r>
          <w:rPr>
            <w:noProof/>
            <w:webHidden/>
          </w:rPr>
          <w:fldChar w:fldCharType="separate"/>
        </w:r>
        <w:r>
          <w:rPr>
            <w:noProof/>
            <w:webHidden/>
          </w:rPr>
          <w:t>561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88" w:history="1">
        <w:r w:rsidRPr="00CC53E5">
          <w:rPr>
            <w:rStyle w:val="Hyperlink"/>
            <w:noProof/>
          </w:rPr>
          <w:t>2.1.1505</w:t>
        </w:r>
        <w:r>
          <w:rPr>
            <w:rFonts w:asciiTheme="minorHAnsi" w:eastAsiaTheme="minorEastAsia" w:hAnsiTheme="minorHAnsi" w:cstheme="minorBidi"/>
            <w:noProof/>
            <w:sz w:val="22"/>
            <w:szCs w:val="22"/>
          </w:rPr>
          <w:tab/>
        </w:r>
        <w:r w:rsidRPr="00CC53E5">
          <w:rPr>
            <w:rStyle w:val="Hyperlink"/>
            <w:noProof/>
          </w:rPr>
          <w:t>Part 1 Section 21.2.2.129, order (Polynomial Trendline Order)</w:t>
        </w:r>
        <w:r>
          <w:rPr>
            <w:noProof/>
            <w:webHidden/>
          </w:rPr>
          <w:tab/>
        </w:r>
        <w:r>
          <w:rPr>
            <w:noProof/>
            <w:webHidden/>
          </w:rPr>
          <w:fldChar w:fldCharType="begin"/>
        </w:r>
        <w:r>
          <w:rPr>
            <w:noProof/>
            <w:webHidden/>
          </w:rPr>
          <w:instrText xml:space="preserve"> PAGEREF _Toc69879288 \h </w:instrText>
        </w:r>
        <w:r>
          <w:rPr>
            <w:noProof/>
            <w:webHidden/>
          </w:rPr>
        </w:r>
        <w:r>
          <w:rPr>
            <w:noProof/>
            <w:webHidden/>
          </w:rPr>
          <w:fldChar w:fldCharType="separate"/>
        </w:r>
        <w:r>
          <w:rPr>
            <w:noProof/>
            <w:webHidden/>
          </w:rPr>
          <w:t>561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89" w:history="1">
        <w:r w:rsidRPr="00CC53E5">
          <w:rPr>
            <w:rStyle w:val="Hyperlink"/>
            <w:noProof/>
          </w:rPr>
          <w:t>2.1.1506</w:t>
        </w:r>
        <w:r>
          <w:rPr>
            <w:rFonts w:asciiTheme="minorHAnsi" w:eastAsiaTheme="minorEastAsia" w:hAnsiTheme="minorHAnsi" w:cstheme="minorBidi"/>
            <w:noProof/>
            <w:sz w:val="22"/>
            <w:szCs w:val="22"/>
          </w:rPr>
          <w:tab/>
        </w:r>
        <w:r w:rsidRPr="00CC53E5">
          <w:rPr>
            <w:rStyle w:val="Hyperlink"/>
            <w:noProof/>
          </w:rPr>
          <w:t>Part 1 Section 21.2.2.130, orientation (Axis Orientation)</w:t>
        </w:r>
        <w:r>
          <w:rPr>
            <w:noProof/>
            <w:webHidden/>
          </w:rPr>
          <w:tab/>
        </w:r>
        <w:r>
          <w:rPr>
            <w:noProof/>
            <w:webHidden/>
          </w:rPr>
          <w:fldChar w:fldCharType="begin"/>
        </w:r>
        <w:r>
          <w:rPr>
            <w:noProof/>
            <w:webHidden/>
          </w:rPr>
          <w:instrText xml:space="preserve"> PAGEREF _Toc69879289 \h </w:instrText>
        </w:r>
        <w:r>
          <w:rPr>
            <w:noProof/>
            <w:webHidden/>
          </w:rPr>
        </w:r>
        <w:r>
          <w:rPr>
            <w:noProof/>
            <w:webHidden/>
          </w:rPr>
          <w:fldChar w:fldCharType="separate"/>
        </w:r>
        <w:r>
          <w:rPr>
            <w:noProof/>
            <w:webHidden/>
          </w:rPr>
          <w:t>561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90" w:history="1">
        <w:r w:rsidRPr="00CC53E5">
          <w:rPr>
            <w:rStyle w:val="Hyperlink"/>
            <w:noProof/>
          </w:rPr>
          <w:t>2.1.1507</w:t>
        </w:r>
        <w:r>
          <w:rPr>
            <w:rFonts w:asciiTheme="minorHAnsi" w:eastAsiaTheme="minorEastAsia" w:hAnsiTheme="minorHAnsi" w:cstheme="minorBidi"/>
            <w:noProof/>
            <w:sz w:val="22"/>
            <w:szCs w:val="22"/>
          </w:rPr>
          <w:tab/>
        </w:r>
        <w:r w:rsidRPr="00CC53E5">
          <w:rPr>
            <w:rStyle w:val="Hyperlink"/>
            <w:noProof/>
          </w:rPr>
          <w:t>Part 1 Section 21.2.2.131, overlap (Overlap)</w:t>
        </w:r>
        <w:r>
          <w:rPr>
            <w:noProof/>
            <w:webHidden/>
          </w:rPr>
          <w:tab/>
        </w:r>
        <w:r>
          <w:rPr>
            <w:noProof/>
            <w:webHidden/>
          </w:rPr>
          <w:fldChar w:fldCharType="begin"/>
        </w:r>
        <w:r>
          <w:rPr>
            <w:noProof/>
            <w:webHidden/>
          </w:rPr>
          <w:instrText xml:space="preserve"> PAGEREF _Toc69879290 \h </w:instrText>
        </w:r>
        <w:r>
          <w:rPr>
            <w:noProof/>
            <w:webHidden/>
          </w:rPr>
        </w:r>
        <w:r>
          <w:rPr>
            <w:noProof/>
            <w:webHidden/>
          </w:rPr>
          <w:fldChar w:fldCharType="separate"/>
        </w:r>
        <w:r>
          <w:rPr>
            <w:noProof/>
            <w:webHidden/>
          </w:rPr>
          <w:t>561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91" w:history="1">
        <w:r w:rsidRPr="00CC53E5">
          <w:rPr>
            <w:rStyle w:val="Hyperlink"/>
            <w:noProof/>
          </w:rPr>
          <w:t>2.1.1508</w:t>
        </w:r>
        <w:r>
          <w:rPr>
            <w:rFonts w:asciiTheme="minorHAnsi" w:eastAsiaTheme="minorEastAsia" w:hAnsiTheme="minorHAnsi" w:cstheme="minorBidi"/>
            <w:noProof/>
            <w:sz w:val="22"/>
            <w:szCs w:val="22"/>
          </w:rPr>
          <w:tab/>
        </w:r>
        <w:r w:rsidRPr="00CC53E5">
          <w:rPr>
            <w:rStyle w:val="Hyperlink"/>
            <w:noProof/>
          </w:rPr>
          <w:t>Part 1 Section 21.2.2.133, pageMargins (Page Margins)</w:t>
        </w:r>
        <w:r>
          <w:rPr>
            <w:noProof/>
            <w:webHidden/>
          </w:rPr>
          <w:tab/>
        </w:r>
        <w:r>
          <w:rPr>
            <w:noProof/>
            <w:webHidden/>
          </w:rPr>
          <w:fldChar w:fldCharType="begin"/>
        </w:r>
        <w:r>
          <w:rPr>
            <w:noProof/>
            <w:webHidden/>
          </w:rPr>
          <w:instrText xml:space="preserve"> PAGEREF _Toc69879291 \h </w:instrText>
        </w:r>
        <w:r>
          <w:rPr>
            <w:noProof/>
            <w:webHidden/>
          </w:rPr>
        </w:r>
        <w:r>
          <w:rPr>
            <w:noProof/>
            <w:webHidden/>
          </w:rPr>
          <w:fldChar w:fldCharType="separate"/>
        </w:r>
        <w:r>
          <w:rPr>
            <w:noProof/>
            <w:webHidden/>
          </w:rPr>
          <w:t>562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92" w:history="1">
        <w:r w:rsidRPr="00CC53E5">
          <w:rPr>
            <w:rStyle w:val="Hyperlink"/>
            <w:noProof/>
          </w:rPr>
          <w:t>2.1.1509</w:t>
        </w:r>
        <w:r>
          <w:rPr>
            <w:rFonts w:asciiTheme="minorHAnsi" w:eastAsiaTheme="minorEastAsia" w:hAnsiTheme="minorHAnsi" w:cstheme="minorBidi"/>
            <w:noProof/>
            <w:sz w:val="22"/>
            <w:szCs w:val="22"/>
          </w:rPr>
          <w:tab/>
        </w:r>
        <w:r w:rsidRPr="00CC53E5">
          <w:rPr>
            <w:rStyle w:val="Hyperlink"/>
            <w:noProof/>
          </w:rPr>
          <w:t>Part 1 Section 21.2.2.134, pageSetup (Page Setup)</w:t>
        </w:r>
        <w:r>
          <w:rPr>
            <w:noProof/>
            <w:webHidden/>
          </w:rPr>
          <w:tab/>
        </w:r>
        <w:r>
          <w:rPr>
            <w:noProof/>
            <w:webHidden/>
          </w:rPr>
          <w:fldChar w:fldCharType="begin"/>
        </w:r>
        <w:r>
          <w:rPr>
            <w:noProof/>
            <w:webHidden/>
          </w:rPr>
          <w:instrText xml:space="preserve"> PAGEREF _Toc69879292 \h </w:instrText>
        </w:r>
        <w:r>
          <w:rPr>
            <w:noProof/>
            <w:webHidden/>
          </w:rPr>
        </w:r>
        <w:r>
          <w:rPr>
            <w:noProof/>
            <w:webHidden/>
          </w:rPr>
          <w:fldChar w:fldCharType="separate"/>
        </w:r>
        <w:r>
          <w:rPr>
            <w:noProof/>
            <w:webHidden/>
          </w:rPr>
          <w:t>562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93" w:history="1">
        <w:r w:rsidRPr="00CC53E5">
          <w:rPr>
            <w:rStyle w:val="Hyperlink"/>
            <w:noProof/>
          </w:rPr>
          <w:t>2.1.1510</w:t>
        </w:r>
        <w:r>
          <w:rPr>
            <w:rFonts w:asciiTheme="minorHAnsi" w:eastAsiaTheme="minorEastAsia" w:hAnsiTheme="minorHAnsi" w:cstheme="minorBidi"/>
            <w:noProof/>
            <w:sz w:val="22"/>
            <w:szCs w:val="22"/>
          </w:rPr>
          <w:tab/>
        </w:r>
        <w:r w:rsidRPr="00CC53E5">
          <w:rPr>
            <w:rStyle w:val="Hyperlink"/>
            <w:noProof/>
          </w:rPr>
          <w:t>Part 1 Section 21.2.2.135, period (Period)</w:t>
        </w:r>
        <w:r>
          <w:rPr>
            <w:noProof/>
            <w:webHidden/>
          </w:rPr>
          <w:tab/>
        </w:r>
        <w:r>
          <w:rPr>
            <w:noProof/>
            <w:webHidden/>
          </w:rPr>
          <w:fldChar w:fldCharType="begin"/>
        </w:r>
        <w:r>
          <w:rPr>
            <w:noProof/>
            <w:webHidden/>
          </w:rPr>
          <w:instrText xml:space="preserve"> PAGEREF _Toc69879293 \h </w:instrText>
        </w:r>
        <w:r>
          <w:rPr>
            <w:noProof/>
            <w:webHidden/>
          </w:rPr>
        </w:r>
        <w:r>
          <w:rPr>
            <w:noProof/>
            <w:webHidden/>
          </w:rPr>
          <w:fldChar w:fldCharType="separate"/>
        </w:r>
        <w:r>
          <w:rPr>
            <w:noProof/>
            <w:webHidden/>
          </w:rPr>
          <w:t>566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94" w:history="1">
        <w:r w:rsidRPr="00CC53E5">
          <w:rPr>
            <w:rStyle w:val="Hyperlink"/>
            <w:noProof/>
          </w:rPr>
          <w:t>2.1.1511</w:t>
        </w:r>
        <w:r>
          <w:rPr>
            <w:rFonts w:asciiTheme="minorHAnsi" w:eastAsiaTheme="minorEastAsia" w:hAnsiTheme="minorHAnsi" w:cstheme="minorBidi"/>
            <w:noProof/>
            <w:sz w:val="22"/>
            <w:szCs w:val="22"/>
          </w:rPr>
          <w:tab/>
        </w:r>
        <w:r w:rsidRPr="00CC53E5">
          <w:rPr>
            <w:rStyle w:val="Hyperlink"/>
            <w:noProof/>
          </w:rPr>
          <w:t>Part 1 Section 21.2.2.136, perspective (Perspective)</w:t>
        </w:r>
        <w:r>
          <w:rPr>
            <w:noProof/>
            <w:webHidden/>
          </w:rPr>
          <w:tab/>
        </w:r>
        <w:r>
          <w:rPr>
            <w:noProof/>
            <w:webHidden/>
          </w:rPr>
          <w:fldChar w:fldCharType="begin"/>
        </w:r>
        <w:r>
          <w:rPr>
            <w:noProof/>
            <w:webHidden/>
          </w:rPr>
          <w:instrText xml:space="preserve"> PAGEREF _Toc69879294 \h </w:instrText>
        </w:r>
        <w:r>
          <w:rPr>
            <w:noProof/>
            <w:webHidden/>
          </w:rPr>
        </w:r>
        <w:r>
          <w:rPr>
            <w:noProof/>
            <w:webHidden/>
          </w:rPr>
          <w:fldChar w:fldCharType="separate"/>
        </w:r>
        <w:r>
          <w:rPr>
            <w:noProof/>
            <w:webHidden/>
          </w:rPr>
          <w:t>567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95" w:history="1">
        <w:r w:rsidRPr="00CC53E5">
          <w:rPr>
            <w:rStyle w:val="Hyperlink"/>
            <w:noProof/>
          </w:rPr>
          <w:t>2.1.1512</w:t>
        </w:r>
        <w:r>
          <w:rPr>
            <w:rFonts w:asciiTheme="minorHAnsi" w:eastAsiaTheme="minorEastAsia" w:hAnsiTheme="minorHAnsi" w:cstheme="minorBidi"/>
            <w:noProof/>
            <w:sz w:val="22"/>
            <w:szCs w:val="22"/>
          </w:rPr>
          <w:tab/>
        </w:r>
        <w:r w:rsidRPr="00CC53E5">
          <w:rPr>
            <w:rStyle w:val="Hyperlink"/>
            <w:noProof/>
          </w:rPr>
          <w:t>Part 1 Section 21.2.2.138, pictureOptions (Picture Options)</w:t>
        </w:r>
        <w:r>
          <w:rPr>
            <w:noProof/>
            <w:webHidden/>
          </w:rPr>
          <w:tab/>
        </w:r>
        <w:r>
          <w:rPr>
            <w:noProof/>
            <w:webHidden/>
          </w:rPr>
          <w:fldChar w:fldCharType="begin"/>
        </w:r>
        <w:r>
          <w:rPr>
            <w:noProof/>
            <w:webHidden/>
          </w:rPr>
          <w:instrText xml:space="preserve"> PAGEREF _Toc69879295 \h </w:instrText>
        </w:r>
        <w:r>
          <w:rPr>
            <w:noProof/>
            <w:webHidden/>
          </w:rPr>
        </w:r>
        <w:r>
          <w:rPr>
            <w:noProof/>
            <w:webHidden/>
          </w:rPr>
          <w:fldChar w:fldCharType="separate"/>
        </w:r>
        <w:r>
          <w:rPr>
            <w:noProof/>
            <w:webHidden/>
          </w:rPr>
          <w:t>567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96" w:history="1">
        <w:r w:rsidRPr="00CC53E5">
          <w:rPr>
            <w:rStyle w:val="Hyperlink"/>
            <w:noProof/>
          </w:rPr>
          <w:t>2.1.1513</w:t>
        </w:r>
        <w:r>
          <w:rPr>
            <w:rFonts w:asciiTheme="minorHAnsi" w:eastAsiaTheme="minorEastAsia" w:hAnsiTheme="minorHAnsi" w:cstheme="minorBidi"/>
            <w:noProof/>
            <w:sz w:val="22"/>
            <w:szCs w:val="22"/>
          </w:rPr>
          <w:tab/>
        </w:r>
        <w:r w:rsidRPr="00CC53E5">
          <w:rPr>
            <w:rStyle w:val="Hyperlink"/>
            <w:noProof/>
          </w:rPr>
          <w:t>Part 1 Section 21.2.2.140, pie3DChart (3D Pie Charts)</w:t>
        </w:r>
        <w:r>
          <w:rPr>
            <w:noProof/>
            <w:webHidden/>
          </w:rPr>
          <w:tab/>
        </w:r>
        <w:r>
          <w:rPr>
            <w:noProof/>
            <w:webHidden/>
          </w:rPr>
          <w:fldChar w:fldCharType="begin"/>
        </w:r>
        <w:r>
          <w:rPr>
            <w:noProof/>
            <w:webHidden/>
          </w:rPr>
          <w:instrText xml:space="preserve"> PAGEREF _Toc69879296 \h </w:instrText>
        </w:r>
        <w:r>
          <w:rPr>
            <w:noProof/>
            <w:webHidden/>
          </w:rPr>
        </w:r>
        <w:r>
          <w:rPr>
            <w:noProof/>
            <w:webHidden/>
          </w:rPr>
          <w:fldChar w:fldCharType="separate"/>
        </w:r>
        <w:r>
          <w:rPr>
            <w:noProof/>
            <w:webHidden/>
          </w:rPr>
          <w:t>567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97" w:history="1">
        <w:r w:rsidRPr="00CC53E5">
          <w:rPr>
            <w:rStyle w:val="Hyperlink"/>
            <w:noProof/>
          </w:rPr>
          <w:t>2.1.1514</w:t>
        </w:r>
        <w:r>
          <w:rPr>
            <w:rFonts w:asciiTheme="minorHAnsi" w:eastAsiaTheme="minorEastAsia" w:hAnsiTheme="minorHAnsi" w:cstheme="minorBidi"/>
            <w:noProof/>
            <w:sz w:val="22"/>
            <w:szCs w:val="22"/>
          </w:rPr>
          <w:tab/>
        </w:r>
        <w:r w:rsidRPr="00CC53E5">
          <w:rPr>
            <w:rStyle w:val="Hyperlink"/>
            <w:noProof/>
          </w:rPr>
          <w:t>Part 1 Section 21.2.2.141, pieChart (Pie Charts)</w:t>
        </w:r>
        <w:r>
          <w:rPr>
            <w:noProof/>
            <w:webHidden/>
          </w:rPr>
          <w:tab/>
        </w:r>
        <w:r>
          <w:rPr>
            <w:noProof/>
            <w:webHidden/>
          </w:rPr>
          <w:fldChar w:fldCharType="begin"/>
        </w:r>
        <w:r>
          <w:rPr>
            <w:noProof/>
            <w:webHidden/>
          </w:rPr>
          <w:instrText xml:space="preserve"> PAGEREF _Toc69879297 \h </w:instrText>
        </w:r>
        <w:r>
          <w:rPr>
            <w:noProof/>
            <w:webHidden/>
          </w:rPr>
        </w:r>
        <w:r>
          <w:rPr>
            <w:noProof/>
            <w:webHidden/>
          </w:rPr>
          <w:fldChar w:fldCharType="separate"/>
        </w:r>
        <w:r>
          <w:rPr>
            <w:noProof/>
            <w:webHidden/>
          </w:rPr>
          <w:t>567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98" w:history="1">
        <w:r w:rsidRPr="00CC53E5">
          <w:rPr>
            <w:rStyle w:val="Hyperlink"/>
            <w:noProof/>
          </w:rPr>
          <w:t>2.1.1515</w:t>
        </w:r>
        <w:r>
          <w:rPr>
            <w:rFonts w:asciiTheme="minorHAnsi" w:eastAsiaTheme="minorEastAsia" w:hAnsiTheme="minorHAnsi" w:cstheme="minorBidi"/>
            <w:noProof/>
            <w:sz w:val="22"/>
            <w:szCs w:val="22"/>
          </w:rPr>
          <w:tab/>
        </w:r>
        <w:r w:rsidRPr="00CC53E5">
          <w:rPr>
            <w:rStyle w:val="Hyperlink"/>
            <w:noProof/>
          </w:rPr>
          <w:t>Part 1 Section 21.2.2.142, pivotFmt (Pivot Format)</w:t>
        </w:r>
        <w:r>
          <w:rPr>
            <w:noProof/>
            <w:webHidden/>
          </w:rPr>
          <w:tab/>
        </w:r>
        <w:r>
          <w:rPr>
            <w:noProof/>
            <w:webHidden/>
          </w:rPr>
          <w:fldChar w:fldCharType="begin"/>
        </w:r>
        <w:r>
          <w:rPr>
            <w:noProof/>
            <w:webHidden/>
          </w:rPr>
          <w:instrText xml:space="preserve"> PAGEREF _Toc69879298 \h </w:instrText>
        </w:r>
        <w:r>
          <w:rPr>
            <w:noProof/>
            <w:webHidden/>
          </w:rPr>
        </w:r>
        <w:r>
          <w:rPr>
            <w:noProof/>
            <w:webHidden/>
          </w:rPr>
          <w:fldChar w:fldCharType="separate"/>
        </w:r>
        <w:r>
          <w:rPr>
            <w:noProof/>
            <w:webHidden/>
          </w:rPr>
          <w:t>568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299" w:history="1">
        <w:r w:rsidRPr="00CC53E5">
          <w:rPr>
            <w:rStyle w:val="Hyperlink"/>
            <w:noProof/>
          </w:rPr>
          <w:t>2.1.1516</w:t>
        </w:r>
        <w:r>
          <w:rPr>
            <w:rFonts w:asciiTheme="minorHAnsi" w:eastAsiaTheme="minorEastAsia" w:hAnsiTheme="minorHAnsi" w:cstheme="minorBidi"/>
            <w:noProof/>
            <w:sz w:val="22"/>
            <w:szCs w:val="22"/>
          </w:rPr>
          <w:tab/>
        </w:r>
        <w:r w:rsidRPr="00CC53E5">
          <w:rPr>
            <w:rStyle w:val="Hyperlink"/>
            <w:noProof/>
          </w:rPr>
          <w:t>Part 1 Section 21.2.2.143, pivotFmts (Pivot Formats)</w:t>
        </w:r>
        <w:r>
          <w:rPr>
            <w:noProof/>
            <w:webHidden/>
          </w:rPr>
          <w:tab/>
        </w:r>
        <w:r>
          <w:rPr>
            <w:noProof/>
            <w:webHidden/>
          </w:rPr>
          <w:fldChar w:fldCharType="begin"/>
        </w:r>
        <w:r>
          <w:rPr>
            <w:noProof/>
            <w:webHidden/>
          </w:rPr>
          <w:instrText xml:space="preserve"> PAGEREF _Toc69879299 \h </w:instrText>
        </w:r>
        <w:r>
          <w:rPr>
            <w:noProof/>
            <w:webHidden/>
          </w:rPr>
        </w:r>
        <w:r>
          <w:rPr>
            <w:noProof/>
            <w:webHidden/>
          </w:rPr>
          <w:fldChar w:fldCharType="separate"/>
        </w:r>
        <w:r>
          <w:rPr>
            <w:noProof/>
            <w:webHidden/>
          </w:rPr>
          <w:t>568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00" w:history="1">
        <w:r w:rsidRPr="00CC53E5">
          <w:rPr>
            <w:rStyle w:val="Hyperlink"/>
            <w:noProof/>
          </w:rPr>
          <w:t>2.1.1517</w:t>
        </w:r>
        <w:r>
          <w:rPr>
            <w:rFonts w:asciiTheme="minorHAnsi" w:eastAsiaTheme="minorEastAsia" w:hAnsiTheme="minorHAnsi" w:cstheme="minorBidi"/>
            <w:noProof/>
            <w:sz w:val="22"/>
            <w:szCs w:val="22"/>
          </w:rPr>
          <w:tab/>
        </w:r>
        <w:r w:rsidRPr="00CC53E5">
          <w:rPr>
            <w:rStyle w:val="Hyperlink"/>
            <w:noProof/>
          </w:rPr>
          <w:t>Part 1 Section 21.2.2.144, pivotSource (Pivot Source)</w:t>
        </w:r>
        <w:r>
          <w:rPr>
            <w:noProof/>
            <w:webHidden/>
          </w:rPr>
          <w:tab/>
        </w:r>
        <w:r>
          <w:rPr>
            <w:noProof/>
            <w:webHidden/>
          </w:rPr>
          <w:fldChar w:fldCharType="begin"/>
        </w:r>
        <w:r>
          <w:rPr>
            <w:noProof/>
            <w:webHidden/>
          </w:rPr>
          <w:instrText xml:space="preserve"> PAGEREF _Toc69879300 \h </w:instrText>
        </w:r>
        <w:r>
          <w:rPr>
            <w:noProof/>
            <w:webHidden/>
          </w:rPr>
        </w:r>
        <w:r>
          <w:rPr>
            <w:noProof/>
            <w:webHidden/>
          </w:rPr>
          <w:fldChar w:fldCharType="separate"/>
        </w:r>
        <w:r>
          <w:rPr>
            <w:noProof/>
            <w:webHidden/>
          </w:rPr>
          <w:t>568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01" w:history="1">
        <w:r w:rsidRPr="00CC53E5">
          <w:rPr>
            <w:rStyle w:val="Hyperlink"/>
            <w:noProof/>
          </w:rPr>
          <w:t>2.1.1518</w:t>
        </w:r>
        <w:r>
          <w:rPr>
            <w:rFonts w:asciiTheme="minorHAnsi" w:eastAsiaTheme="minorEastAsia" w:hAnsiTheme="minorHAnsi" w:cstheme="minorBidi"/>
            <w:noProof/>
            <w:sz w:val="22"/>
            <w:szCs w:val="22"/>
          </w:rPr>
          <w:tab/>
        </w:r>
        <w:r w:rsidRPr="00CC53E5">
          <w:rPr>
            <w:rStyle w:val="Hyperlink"/>
            <w:noProof/>
          </w:rPr>
          <w:t>Part 1 Section 21.2.2.145, plotArea (Plot Area)</w:t>
        </w:r>
        <w:r>
          <w:rPr>
            <w:noProof/>
            <w:webHidden/>
          </w:rPr>
          <w:tab/>
        </w:r>
        <w:r>
          <w:rPr>
            <w:noProof/>
            <w:webHidden/>
          </w:rPr>
          <w:fldChar w:fldCharType="begin"/>
        </w:r>
        <w:r>
          <w:rPr>
            <w:noProof/>
            <w:webHidden/>
          </w:rPr>
          <w:instrText xml:space="preserve"> PAGEREF _Toc69879301 \h </w:instrText>
        </w:r>
        <w:r>
          <w:rPr>
            <w:noProof/>
            <w:webHidden/>
          </w:rPr>
        </w:r>
        <w:r>
          <w:rPr>
            <w:noProof/>
            <w:webHidden/>
          </w:rPr>
          <w:fldChar w:fldCharType="separate"/>
        </w:r>
        <w:r>
          <w:rPr>
            <w:noProof/>
            <w:webHidden/>
          </w:rPr>
          <w:t>568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02" w:history="1">
        <w:r w:rsidRPr="00CC53E5">
          <w:rPr>
            <w:rStyle w:val="Hyperlink"/>
            <w:noProof/>
          </w:rPr>
          <w:t>2.1.1519</w:t>
        </w:r>
        <w:r>
          <w:rPr>
            <w:rFonts w:asciiTheme="minorHAnsi" w:eastAsiaTheme="minorEastAsia" w:hAnsiTheme="minorHAnsi" w:cstheme="minorBidi"/>
            <w:noProof/>
            <w:sz w:val="22"/>
            <w:szCs w:val="22"/>
          </w:rPr>
          <w:tab/>
        </w:r>
        <w:r w:rsidRPr="00CC53E5">
          <w:rPr>
            <w:rStyle w:val="Hyperlink"/>
            <w:noProof/>
          </w:rPr>
          <w:t>Part 1 Section 21.2.2.147, plus (Plus)</w:t>
        </w:r>
        <w:r>
          <w:rPr>
            <w:noProof/>
            <w:webHidden/>
          </w:rPr>
          <w:tab/>
        </w:r>
        <w:r>
          <w:rPr>
            <w:noProof/>
            <w:webHidden/>
          </w:rPr>
          <w:fldChar w:fldCharType="begin"/>
        </w:r>
        <w:r>
          <w:rPr>
            <w:noProof/>
            <w:webHidden/>
          </w:rPr>
          <w:instrText xml:space="preserve"> PAGEREF _Toc69879302 \h </w:instrText>
        </w:r>
        <w:r>
          <w:rPr>
            <w:noProof/>
            <w:webHidden/>
          </w:rPr>
        </w:r>
        <w:r>
          <w:rPr>
            <w:noProof/>
            <w:webHidden/>
          </w:rPr>
          <w:fldChar w:fldCharType="separate"/>
        </w:r>
        <w:r>
          <w:rPr>
            <w:noProof/>
            <w:webHidden/>
          </w:rPr>
          <w:t>568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03" w:history="1">
        <w:r w:rsidRPr="00CC53E5">
          <w:rPr>
            <w:rStyle w:val="Hyperlink"/>
            <w:noProof/>
          </w:rPr>
          <w:t>2.1.1520</w:t>
        </w:r>
        <w:r>
          <w:rPr>
            <w:rFonts w:asciiTheme="minorHAnsi" w:eastAsiaTheme="minorEastAsia" w:hAnsiTheme="minorHAnsi" w:cstheme="minorBidi"/>
            <w:noProof/>
            <w:sz w:val="22"/>
            <w:szCs w:val="22"/>
          </w:rPr>
          <w:tab/>
        </w:r>
        <w:r w:rsidRPr="00CC53E5">
          <w:rPr>
            <w:rStyle w:val="Hyperlink"/>
            <w:noProof/>
          </w:rPr>
          <w:t>Part 1 Section 21.2.2.148, printSettings (Print Settings)</w:t>
        </w:r>
        <w:r>
          <w:rPr>
            <w:noProof/>
            <w:webHidden/>
          </w:rPr>
          <w:tab/>
        </w:r>
        <w:r>
          <w:rPr>
            <w:noProof/>
            <w:webHidden/>
          </w:rPr>
          <w:fldChar w:fldCharType="begin"/>
        </w:r>
        <w:r>
          <w:rPr>
            <w:noProof/>
            <w:webHidden/>
          </w:rPr>
          <w:instrText xml:space="preserve"> PAGEREF _Toc69879303 \h </w:instrText>
        </w:r>
        <w:r>
          <w:rPr>
            <w:noProof/>
            <w:webHidden/>
          </w:rPr>
        </w:r>
        <w:r>
          <w:rPr>
            <w:noProof/>
            <w:webHidden/>
          </w:rPr>
          <w:fldChar w:fldCharType="separate"/>
        </w:r>
        <w:r>
          <w:rPr>
            <w:noProof/>
            <w:webHidden/>
          </w:rPr>
          <w:t>568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04" w:history="1">
        <w:r w:rsidRPr="00CC53E5">
          <w:rPr>
            <w:rStyle w:val="Hyperlink"/>
            <w:noProof/>
          </w:rPr>
          <w:t>2.1.1521</w:t>
        </w:r>
        <w:r>
          <w:rPr>
            <w:rFonts w:asciiTheme="minorHAnsi" w:eastAsiaTheme="minorEastAsia" w:hAnsiTheme="minorHAnsi" w:cstheme="minorBidi"/>
            <w:noProof/>
            <w:sz w:val="22"/>
            <w:szCs w:val="22"/>
          </w:rPr>
          <w:tab/>
        </w:r>
        <w:r w:rsidRPr="00CC53E5">
          <w:rPr>
            <w:rStyle w:val="Hyperlink"/>
            <w:noProof/>
          </w:rPr>
          <w:t>Part 1 Section 21.2.2.149, protection (Protection)</w:t>
        </w:r>
        <w:r>
          <w:rPr>
            <w:noProof/>
            <w:webHidden/>
          </w:rPr>
          <w:tab/>
        </w:r>
        <w:r>
          <w:rPr>
            <w:noProof/>
            <w:webHidden/>
          </w:rPr>
          <w:fldChar w:fldCharType="begin"/>
        </w:r>
        <w:r>
          <w:rPr>
            <w:noProof/>
            <w:webHidden/>
          </w:rPr>
          <w:instrText xml:space="preserve"> PAGEREF _Toc69879304 \h </w:instrText>
        </w:r>
        <w:r>
          <w:rPr>
            <w:noProof/>
            <w:webHidden/>
          </w:rPr>
        </w:r>
        <w:r>
          <w:rPr>
            <w:noProof/>
            <w:webHidden/>
          </w:rPr>
          <w:fldChar w:fldCharType="separate"/>
        </w:r>
        <w:r>
          <w:rPr>
            <w:noProof/>
            <w:webHidden/>
          </w:rPr>
          <w:t>568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05" w:history="1">
        <w:r w:rsidRPr="00CC53E5">
          <w:rPr>
            <w:rStyle w:val="Hyperlink"/>
            <w:noProof/>
          </w:rPr>
          <w:t>2.1.1522</w:t>
        </w:r>
        <w:r>
          <w:rPr>
            <w:rFonts w:asciiTheme="minorHAnsi" w:eastAsiaTheme="minorEastAsia" w:hAnsiTheme="minorHAnsi" w:cstheme="minorBidi"/>
            <w:noProof/>
            <w:sz w:val="22"/>
            <w:szCs w:val="22"/>
          </w:rPr>
          <w:tab/>
        </w:r>
        <w:r w:rsidRPr="00CC53E5">
          <w:rPr>
            <w:rStyle w:val="Hyperlink"/>
            <w:noProof/>
          </w:rPr>
          <w:t>Part 1 Section 21.2.2.150, pt (Numeric Point)</w:t>
        </w:r>
        <w:r>
          <w:rPr>
            <w:noProof/>
            <w:webHidden/>
          </w:rPr>
          <w:tab/>
        </w:r>
        <w:r>
          <w:rPr>
            <w:noProof/>
            <w:webHidden/>
          </w:rPr>
          <w:fldChar w:fldCharType="begin"/>
        </w:r>
        <w:r>
          <w:rPr>
            <w:noProof/>
            <w:webHidden/>
          </w:rPr>
          <w:instrText xml:space="preserve"> PAGEREF _Toc69879305 \h </w:instrText>
        </w:r>
        <w:r>
          <w:rPr>
            <w:noProof/>
            <w:webHidden/>
          </w:rPr>
        </w:r>
        <w:r>
          <w:rPr>
            <w:noProof/>
            <w:webHidden/>
          </w:rPr>
          <w:fldChar w:fldCharType="separate"/>
        </w:r>
        <w:r>
          <w:rPr>
            <w:noProof/>
            <w:webHidden/>
          </w:rPr>
          <w:t>569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06" w:history="1">
        <w:r w:rsidRPr="00CC53E5">
          <w:rPr>
            <w:rStyle w:val="Hyperlink"/>
            <w:noProof/>
          </w:rPr>
          <w:t>2.1.1523</w:t>
        </w:r>
        <w:r>
          <w:rPr>
            <w:rFonts w:asciiTheme="minorHAnsi" w:eastAsiaTheme="minorEastAsia" w:hAnsiTheme="minorHAnsi" w:cstheme="minorBidi"/>
            <w:noProof/>
            <w:sz w:val="22"/>
            <w:szCs w:val="22"/>
          </w:rPr>
          <w:tab/>
        </w:r>
        <w:r w:rsidRPr="00CC53E5">
          <w:rPr>
            <w:rStyle w:val="Hyperlink"/>
            <w:noProof/>
          </w:rPr>
          <w:t>Part 1 Section 21.2.2.151, pt (String Point)</w:t>
        </w:r>
        <w:r>
          <w:rPr>
            <w:noProof/>
            <w:webHidden/>
          </w:rPr>
          <w:tab/>
        </w:r>
        <w:r>
          <w:rPr>
            <w:noProof/>
            <w:webHidden/>
          </w:rPr>
          <w:fldChar w:fldCharType="begin"/>
        </w:r>
        <w:r>
          <w:rPr>
            <w:noProof/>
            <w:webHidden/>
          </w:rPr>
          <w:instrText xml:space="preserve"> PAGEREF _Toc69879306 \h </w:instrText>
        </w:r>
        <w:r>
          <w:rPr>
            <w:noProof/>
            <w:webHidden/>
          </w:rPr>
        </w:r>
        <w:r>
          <w:rPr>
            <w:noProof/>
            <w:webHidden/>
          </w:rPr>
          <w:fldChar w:fldCharType="separate"/>
        </w:r>
        <w:r>
          <w:rPr>
            <w:noProof/>
            <w:webHidden/>
          </w:rPr>
          <w:t>569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07" w:history="1">
        <w:r w:rsidRPr="00CC53E5">
          <w:rPr>
            <w:rStyle w:val="Hyperlink"/>
            <w:noProof/>
          </w:rPr>
          <w:t>2.1.1524</w:t>
        </w:r>
        <w:r>
          <w:rPr>
            <w:rFonts w:asciiTheme="minorHAnsi" w:eastAsiaTheme="minorEastAsia" w:hAnsiTheme="minorHAnsi" w:cstheme="minorBidi"/>
            <w:noProof/>
            <w:sz w:val="22"/>
            <w:szCs w:val="22"/>
          </w:rPr>
          <w:tab/>
        </w:r>
        <w:r w:rsidRPr="00CC53E5">
          <w:rPr>
            <w:rStyle w:val="Hyperlink"/>
            <w:noProof/>
          </w:rPr>
          <w:t>Part 1 Section 21.2.2.152, ptCount (Point Count)</w:t>
        </w:r>
        <w:r>
          <w:rPr>
            <w:noProof/>
            <w:webHidden/>
          </w:rPr>
          <w:tab/>
        </w:r>
        <w:r>
          <w:rPr>
            <w:noProof/>
            <w:webHidden/>
          </w:rPr>
          <w:fldChar w:fldCharType="begin"/>
        </w:r>
        <w:r>
          <w:rPr>
            <w:noProof/>
            <w:webHidden/>
          </w:rPr>
          <w:instrText xml:space="preserve"> PAGEREF _Toc69879307 \h </w:instrText>
        </w:r>
        <w:r>
          <w:rPr>
            <w:noProof/>
            <w:webHidden/>
          </w:rPr>
        </w:r>
        <w:r>
          <w:rPr>
            <w:noProof/>
            <w:webHidden/>
          </w:rPr>
          <w:fldChar w:fldCharType="separate"/>
        </w:r>
        <w:r>
          <w:rPr>
            <w:noProof/>
            <w:webHidden/>
          </w:rPr>
          <w:t>569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08" w:history="1">
        <w:r w:rsidRPr="00CC53E5">
          <w:rPr>
            <w:rStyle w:val="Hyperlink"/>
            <w:noProof/>
          </w:rPr>
          <w:t>2.1.1525</w:t>
        </w:r>
        <w:r>
          <w:rPr>
            <w:rFonts w:asciiTheme="minorHAnsi" w:eastAsiaTheme="minorEastAsia" w:hAnsiTheme="minorHAnsi" w:cstheme="minorBidi"/>
            <w:noProof/>
            <w:sz w:val="22"/>
            <w:szCs w:val="22"/>
          </w:rPr>
          <w:tab/>
        </w:r>
        <w:r w:rsidRPr="00CC53E5">
          <w:rPr>
            <w:rStyle w:val="Hyperlink"/>
            <w:noProof/>
          </w:rPr>
          <w:t>Part 1 Section 21.2.2.153, radarChart (Radar Charts)</w:t>
        </w:r>
        <w:r>
          <w:rPr>
            <w:noProof/>
            <w:webHidden/>
          </w:rPr>
          <w:tab/>
        </w:r>
        <w:r>
          <w:rPr>
            <w:noProof/>
            <w:webHidden/>
          </w:rPr>
          <w:fldChar w:fldCharType="begin"/>
        </w:r>
        <w:r>
          <w:rPr>
            <w:noProof/>
            <w:webHidden/>
          </w:rPr>
          <w:instrText xml:space="preserve"> PAGEREF _Toc69879308 \h </w:instrText>
        </w:r>
        <w:r>
          <w:rPr>
            <w:noProof/>
            <w:webHidden/>
          </w:rPr>
        </w:r>
        <w:r>
          <w:rPr>
            <w:noProof/>
            <w:webHidden/>
          </w:rPr>
          <w:fldChar w:fldCharType="separate"/>
        </w:r>
        <w:r>
          <w:rPr>
            <w:noProof/>
            <w:webHidden/>
          </w:rPr>
          <w:t>569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09" w:history="1">
        <w:r w:rsidRPr="00CC53E5">
          <w:rPr>
            <w:rStyle w:val="Hyperlink"/>
            <w:noProof/>
          </w:rPr>
          <w:t>2.1.1526</w:t>
        </w:r>
        <w:r>
          <w:rPr>
            <w:rFonts w:asciiTheme="minorHAnsi" w:eastAsiaTheme="minorEastAsia" w:hAnsiTheme="minorHAnsi" w:cstheme="minorBidi"/>
            <w:noProof/>
            <w:sz w:val="22"/>
            <w:szCs w:val="22"/>
          </w:rPr>
          <w:tab/>
        </w:r>
        <w:r w:rsidRPr="00CC53E5">
          <w:rPr>
            <w:rStyle w:val="Hyperlink"/>
            <w:noProof/>
          </w:rPr>
          <w:t>Part 1 Section 21.2.2.154, radarStyle (Radar Style)</w:t>
        </w:r>
        <w:r>
          <w:rPr>
            <w:noProof/>
            <w:webHidden/>
          </w:rPr>
          <w:tab/>
        </w:r>
        <w:r>
          <w:rPr>
            <w:noProof/>
            <w:webHidden/>
          </w:rPr>
          <w:fldChar w:fldCharType="begin"/>
        </w:r>
        <w:r>
          <w:rPr>
            <w:noProof/>
            <w:webHidden/>
          </w:rPr>
          <w:instrText xml:space="preserve"> PAGEREF _Toc69879309 \h </w:instrText>
        </w:r>
        <w:r>
          <w:rPr>
            <w:noProof/>
            <w:webHidden/>
          </w:rPr>
        </w:r>
        <w:r>
          <w:rPr>
            <w:noProof/>
            <w:webHidden/>
          </w:rPr>
          <w:fldChar w:fldCharType="separate"/>
        </w:r>
        <w:r>
          <w:rPr>
            <w:noProof/>
            <w:webHidden/>
          </w:rPr>
          <w:t>569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10" w:history="1">
        <w:r w:rsidRPr="00CC53E5">
          <w:rPr>
            <w:rStyle w:val="Hyperlink"/>
            <w:noProof/>
          </w:rPr>
          <w:t>2.1.1527</w:t>
        </w:r>
        <w:r>
          <w:rPr>
            <w:rFonts w:asciiTheme="minorHAnsi" w:eastAsiaTheme="minorEastAsia" w:hAnsiTheme="minorHAnsi" w:cstheme="minorBidi"/>
            <w:noProof/>
            <w:sz w:val="22"/>
            <w:szCs w:val="22"/>
          </w:rPr>
          <w:tab/>
        </w:r>
        <w:r w:rsidRPr="00CC53E5">
          <w:rPr>
            <w:rStyle w:val="Hyperlink"/>
            <w:noProof/>
          </w:rPr>
          <w:t>Part 1 Section 21.2.2.155, rAngAx (Right Angle Axes)</w:t>
        </w:r>
        <w:r>
          <w:rPr>
            <w:noProof/>
            <w:webHidden/>
          </w:rPr>
          <w:tab/>
        </w:r>
        <w:r>
          <w:rPr>
            <w:noProof/>
            <w:webHidden/>
          </w:rPr>
          <w:fldChar w:fldCharType="begin"/>
        </w:r>
        <w:r>
          <w:rPr>
            <w:noProof/>
            <w:webHidden/>
          </w:rPr>
          <w:instrText xml:space="preserve"> PAGEREF _Toc69879310 \h </w:instrText>
        </w:r>
        <w:r>
          <w:rPr>
            <w:noProof/>
            <w:webHidden/>
          </w:rPr>
        </w:r>
        <w:r>
          <w:rPr>
            <w:noProof/>
            <w:webHidden/>
          </w:rPr>
          <w:fldChar w:fldCharType="separate"/>
        </w:r>
        <w:r>
          <w:rPr>
            <w:noProof/>
            <w:webHidden/>
          </w:rPr>
          <w:t>569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11" w:history="1">
        <w:r w:rsidRPr="00CC53E5">
          <w:rPr>
            <w:rStyle w:val="Hyperlink"/>
            <w:noProof/>
          </w:rPr>
          <w:t>2.1.1528</w:t>
        </w:r>
        <w:r>
          <w:rPr>
            <w:rFonts w:asciiTheme="minorHAnsi" w:eastAsiaTheme="minorEastAsia" w:hAnsiTheme="minorHAnsi" w:cstheme="minorBidi"/>
            <w:noProof/>
            <w:sz w:val="22"/>
            <w:szCs w:val="22"/>
          </w:rPr>
          <w:tab/>
        </w:r>
        <w:r w:rsidRPr="00CC53E5">
          <w:rPr>
            <w:rStyle w:val="Hyperlink"/>
            <w:noProof/>
          </w:rPr>
          <w:t>Part 1 Section 21.2.2.156, rich (Rich Text)</w:t>
        </w:r>
        <w:r>
          <w:rPr>
            <w:noProof/>
            <w:webHidden/>
          </w:rPr>
          <w:tab/>
        </w:r>
        <w:r>
          <w:rPr>
            <w:noProof/>
            <w:webHidden/>
          </w:rPr>
          <w:fldChar w:fldCharType="begin"/>
        </w:r>
        <w:r>
          <w:rPr>
            <w:noProof/>
            <w:webHidden/>
          </w:rPr>
          <w:instrText xml:space="preserve"> PAGEREF _Toc69879311 \h </w:instrText>
        </w:r>
        <w:r>
          <w:rPr>
            <w:noProof/>
            <w:webHidden/>
          </w:rPr>
        </w:r>
        <w:r>
          <w:rPr>
            <w:noProof/>
            <w:webHidden/>
          </w:rPr>
          <w:fldChar w:fldCharType="separate"/>
        </w:r>
        <w:r>
          <w:rPr>
            <w:noProof/>
            <w:webHidden/>
          </w:rPr>
          <w:t>570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12" w:history="1">
        <w:r w:rsidRPr="00CC53E5">
          <w:rPr>
            <w:rStyle w:val="Hyperlink"/>
            <w:noProof/>
          </w:rPr>
          <w:t>2.1.1529</w:t>
        </w:r>
        <w:r>
          <w:rPr>
            <w:rFonts w:asciiTheme="minorHAnsi" w:eastAsiaTheme="minorEastAsia" w:hAnsiTheme="minorHAnsi" w:cstheme="minorBidi"/>
            <w:noProof/>
            <w:sz w:val="22"/>
            <w:szCs w:val="22"/>
          </w:rPr>
          <w:tab/>
        </w:r>
        <w:r w:rsidRPr="00CC53E5">
          <w:rPr>
            <w:rStyle w:val="Hyperlink"/>
            <w:noProof/>
          </w:rPr>
          <w:t>Part 1 Section 21.2.2.161, scatterChart (Scatter Charts)</w:t>
        </w:r>
        <w:r>
          <w:rPr>
            <w:noProof/>
            <w:webHidden/>
          </w:rPr>
          <w:tab/>
        </w:r>
        <w:r>
          <w:rPr>
            <w:noProof/>
            <w:webHidden/>
          </w:rPr>
          <w:fldChar w:fldCharType="begin"/>
        </w:r>
        <w:r>
          <w:rPr>
            <w:noProof/>
            <w:webHidden/>
          </w:rPr>
          <w:instrText xml:space="preserve"> PAGEREF _Toc69879312 \h </w:instrText>
        </w:r>
        <w:r>
          <w:rPr>
            <w:noProof/>
            <w:webHidden/>
          </w:rPr>
        </w:r>
        <w:r>
          <w:rPr>
            <w:noProof/>
            <w:webHidden/>
          </w:rPr>
          <w:fldChar w:fldCharType="separate"/>
        </w:r>
        <w:r>
          <w:rPr>
            <w:noProof/>
            <w:webHidden/>
          </w:rPr>
          <w:t>570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13" w:history="1">
        <w:r w:rsidRPr="00CC53E5">
          <w:rPr>
            <w:rStyle w:val="Hyperlink"/>
            <w:noProof/>
          </w:rPr>
          <w:t>2.1.1530</w:t>
        </w:r>
        <w:r>
          <w:rPr>
            <w:rFonts w:asciiTheme="minorHAnsi" w:eastAsiaTheme="minorEastAsia" w:hAnsiTheme="minorHAnsi" w:cstheme="minorBidi"/>
            <w:noProof/>
            <w:sz w:val="22"/>
            <w:szCs w:val="22"/>
          </w:rPr>
          <w:tab/>
        </w:r>
        <w:r w:rsidRPr="00CC53E5">
          <w:rPr>
            <w:rStyle w:val="Hyperlink"/>
            <w:noProof/>
          </w:rPr>
          <w:t>Part 1 Section 21.2.2.163, secondPiePt (Second Pie Point)</w:t>
        </w:r>
        <w:r>
          <w:rPr>
            <w:noProof/>
            <w:webHidden/>
          </w:rPr>
          <w:tab/>
        </w:r>
        <w:r>
          <w:rPr>
            <w:noProof/>
            <w:webHidden/>
          </w:rPr>
          <w:fldChar w:fldCharType="begin"/>
        </w:r>
        <w:r>
          <w:rPr>
            <w:noProof/>
            <w:webHidden/>
          </w:rPr>
          <w:instrText xml:space="preserve"> PAGEREF _Toc69879313 \h </w:instrText>
        </w:r>
        <w:r>
          <w:rPr>
            <w:noProof/>
            <w:webHidden/>
          </w:rPr>
        </w:r>
        <w:r>
          <w:rPr>
            <w:noProof/>
            <w:webHidden/>
          </w:rPr>
          <w:fldChar w:fldCharType="separate"/>
        </w:r>
        <w:r>
          <w:rPr>
            <w:noProof/>
            <w:webHidden/>
          </w:rPr>
          <w:t>570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14" w:history="1">
        <w:r w:rsidRPr="00CC53E5">
          <w:rPr>
            <w:rStyle w:val="Hyperlink"/>
            <w:noProof/>
          </w:rPr>
          <w:t>2.1.1531</w:t>
        </w:r>
        <w:r>
          <w:rPr>
            <w:rFonts w:asciiTheme="minorHAnsi" w:eastAsiaTheme="minorEastAsia" w:hAnsiTheme="minorHAnsi" w:cstheme="minorBidi"/>
            <w:noProof/>
            <w:sz w:val="22"/>
            <w:szCs w:val="22"/>
          </w:rPr>
          <w:tab/>
        </w:r>
        <w:r w:rsidRPr="00CC53E5">
          <w:rPr>
            <w:rStyle w:val="Hyperlink"/>
            <w:noProof/>
          </w:rPr>
          <w:t>Part 1 Section 21.2.2.166, separator (Separator)</w:t>
        </w:r>
        <w:r>
          <w:rPr>
            <w:noProof/>
            <w:webHidden/>
          </w:rPr>
          <w:tab/>
        </w:r>
        <w:r>
          <w:rPr>
            <w:noProof/>
            <w:webHidden/>
          </w:rPr>
          <w:fldChar w:fldCharType="begin"/>
        </w:r>
        <w:r>
          <w:rPr>
            <w:noProof/>
            <w:webHidden/>
          </w:rPr>
          <w:instrText xml:space="preserve"> PAGEREF _Toc69879314 \h </w:instrText>
        </w:r>
        <w:r>
          <w:rPr>
            <w:noProof/>
            <w:webHidden/>
          </w:rPr>
        </w:r>
        <w:r>
          <w:rPr>
            <w:noProof/>
            <w:webHidden/>
          </w:rPr>
          <w:fldChar w:fldCharType="separate"/>
        </w:r>
        <w:r>
          <w:rPr>
            <w:noProof/>
            <w:webHidden/>
          </w:rPr>
          <w:t>570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15" w:history="1">
        <w:r w:rsidRPr="00CC53E5">
          <w:rPr>
            <w:rStyle w:val="Hyperlink"/>
            <w:noProof/>
          </w:rPr>
          <w:t>2.1.1532</w:t>
        </w:r>
        <w:r>
          <w:rPr>
            <w:rFonts w:asciiTheme="minorHAnsi" w:eastAsiaTheme="minorEastAsia" w:hAnsiTheme="minorHAnsi" w:cstheme="minorBidi"/>
            <w:noProof/>
            <w:sz w:val="22"/>
            <w:szCs w:val="22"/>
          </w:rPr>
          <w:tab/>
        </w:r>
        <w:r w:rsidRPr="00CC53E5">
          <w:rPr>
            <w:rStyle w:val="Hyperlink"/>
            <w:noProof/>
          </w:rPr>
          <w:t>Part 1 Section 21.2.2.167, ser (Scatter Chart Series)</w:t>
        </w:r>
        <w:r>
          <w:rPr>
            <w:noProof/>
            <w:webHidden/>
          </w:rPr>
          <w:tab/>
        </w:r>
        <w:r>
          <w:rPr>
            <w:noProof/>
            <w:webHidden/>
          </w:rPr>
          <w:fldChar w:fldCharType="begin"/>
        </w:r>
        <w:r>
          <w:rPr>
            <w:noProof/>
            <w:webHidden/>
          </w:rPr>
          <w:instrText xml:space="preserve"> PAGEREF _Toc69879315 \h </w:instrText>
        </w:r>
        <w:r>
          <w:rPr>
            <w:noProof/>
            <w:webHidden/>
          </w:rPr>
        </w:r>
        <w:r>
          <w:rPr>
            <w:noProof/>
            <w:webHidden/>
          </w:rPr>
          <w:fldChar w:fldCharType="separate"/>
        </w:r>
        <w:r>
          <w:rPr>
            <w:noProof/>
            <w:webHidden/>
          </w:rPr>
          <w:t>570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16" w:history="1">
        <w:r w:rsidRPr="00CC53E5">
          <w:rPr>
            <w:rStyle w:val="Hyperlink"/>
            <w:noProof/>
          </w:rPr>
          <w:t>2.1.1533</w:t>
        </w:r>
        <w:r>
          <w:rPr>
            <w:rFonts w:asciiTheme="minorHAnsi" w:eastAsiaTheme="minorEastAsia" w:hAnsiTheme="minorHAnsi" w:cstheme="minorBidi"/>
            <w:noProof/>
            <w:sz w:val="22"/>
            <w:szCs w:val="22"/>
          </w:rPr>
          <w:tab/>
        </w:r>
        <w:r w:rsidRPr="00CC53E5">
          <w:rPr>
            <w:rStyle w:val="Hyperlink"/>
            <w:noProof/>
          </w:rPr>
          <w:t>Part 1 Section 21.2.2.168, ser (Area Chart Series)</w:t>
        </w:r>
        <w:r>
          <w:rPr>
            <w:noProof/>
            <w:webHidden/>
          </w:rPr>
          <w:tab/>
        </w:r>
        <w:r>
          <w:rPr>
            <w:noProof/>
            <w:webHidden/>
          </w:rPr>
          <w:fldChar w:fldCharType="begin"/>
        </w:r>
        <w:r>
          <w:rPr>
            <w:noProof/>
            <w:webHidden/>
          </w:rPr>
          <w:instrText xml:space="preserve"> PAGEREF _Toc69879316 \h </w:instrText>
        </w:r>
        <w:r>
          <w:rPr>
            <w:noProof/>
            <w:webHidden/>
          </w:rPr>
        </w:r>
        <w:r>
          <w:rPr>
            <w:noProof/>
            <w:webHidden/>
          </w:rPr>
          <w:fldChar w:fldCharType="separate"/>
        </w:r>
        <w:r>
          <w:rPr>
            <w:noProof/>
            <w:webHidden/>
          </w:rPr>
          <w:t>570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17" w:history="1">
        <w:r w:rsidRPr="00CC53E5">
          <w:rPr>
            <w:rStyle w:val="Hyperlink"/>
            <w:noProof/>
          </w:rPr>
          <w:t>2.1.1534</w:t>
        </w:r>
        <w:r>
          <w:rPr>
            <w:rFonts w:asciiTheme="minorHAnsi" w:eastAsiaTheme="minorEastAsia" w:hAnsiTheme="minorHAnsi" w:cstheme="minorBidi"/>
            <w:noProof/>
            <w:sz w:val="22"/>
            <w:szCs w:val="22"/>
          </w:rPr>
          <w:tab/>
        </w:r>
        <w:r w:rsidRPr="00CC53E5">
          <w:rPr>
            <w:rStyle w:val="Hyperlink"/>
            <w:noProof/>
          </w:rPr>
          <w:t>Part 1 Section 21.2.2.169, ser (Radar Chart Series)</w:t>
        </w:r>
        <w:r>
          <w:rPr>
            <w:noProof/>
            <w:webHidden/>
          </w:rPr>
          <w:tab/>
        </w:r>
        <w:r>
          <w:rPr>
            <w:noProof/>
            <w:webHidden/>
          </w:rPr>
          <w:fldChar w:fldCharType="begin"/>
        </w:r>
        <w:r>
          <w:rPr>
            <w:noProof/>
            <w:webHidden/>
          </w:rPr>
          <w:instrText xml:space="preserve"> PAGEREF _Toc69879317 \h </w:instrText>
        </w:r>
        <w:r>
          <w:rPr>
            <w:noProof/>
            <w:webHidden/>
          </w:rPr>
        </w:r>
        <w:r>
          <w:rPr>
            <w:noProof/>
            <w:webHidden/>
          </w:rPr>
          <w:fldChar w:fldCharType="separate"/>
        </w:r>
        <w:r>
          <w:rPr>
            <w:noProof/>
            <w:webHidden/>
          </w:rPr>
          <w:t>571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18" w:history="1">
        <w:r w:rsidRPr="00CC53E5">
          <w:rPr>
            <w:rStyle w:val="Hyperlink"/>
            <w:noProof/>
          </w:rPr>
          <w:t>2.1.1535</w:t>
        </w:r>
        <w:r>
          <w:rPr>
            <w:rFonts w:asciiTheme="minorHAnsi" w:eastAsiaTheme="minorEastAsia" w:hAnsiTheme="minorHAnsi" w:cstheme="minorBidi"/>
            <w:noProof/>
            <w:sz w:val="22"/>
            <w:szCs w:val="22"/>
          </w:rPr>
          <w:tab/>
        </w:r>
        <w:r w:rsidRPr="00CC53E5">
          <w:rPr>
            <w:rStyle w:val="Hyperlink"/>
            <w:noProof/>
          </w:rPr>
          <w:t>Part 1 Section 21.2.2.170, ser (Bar Chart Series)</w:t>
        </w:r>
        <w:r>
          <w:rPr>
            <w:noProof/>
            <w:webHidden/>
          </w:rPr>
          <w:tab/>
        </w:r>
        <w:r>
          <w:rPr>
            <w:noProof/>
            <w:webHidden/>
          </w:rPr>
          <w:fldChar w:fldCharType="begin"/>
        </w:r>
        <w:r>
          <w:rPr>
            <w:noProof/>
            <w:webHidden/>
          </w:rPr>
          <w:instrText xml:space="preserve"> PAGEREF _Toc69879318 \h </w:instrText>
        </w:r>
        <w:r>
          <w:rPr>
            <w:noProof/>
            <w:webHidden/>
          </w:rPr>
        </w:r>
        <w:r>
          <w:rPr>
            <w:noProof/>
            <w:webHidden/>
          </w:rPr>
          <w:fldChar w:fldCharType="separate"/>
        </w:r>
        <w:r>
          <w:rPr>
            <w:noProof/>
            <w:webHidden/>
          </w:rPr>
          <w:t>571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19" w:history="1">
        <w:r w:rsidRPr="00CC53E5">
          <w:rPr>
            <w:rStyle w:val="Hyperlink"/>
            <w:noProof/>
          </w:rPr>
          <w:t>2.1.1536</w:t>
        </w:r>
        <w:r>
          <w:rPr>
            <w:rFonts w:asciiTheme="minorHAnsi" w:eastAsiaTheme="minorEastAsia" w:hAnsiTheme="minorHAnsi" w:cstheme="minorBidi"/>
            <w:noProof/>
            <w:sz w:val="22"/>
            <w:szCs w:val="22"/>
          </w:rPr>
          <w:tab/>
        </w:r>
        <w:r w:rsidRPr="00CC53E5">
          <w:rPr>
            <w:rStyle w:val="Hyperlink"/>
            <w:noProof/>
          </w:rPr>
          <w:t>Part 1 Section 21.2.2.171, ser (Line Chart Series)</w:t>
        </w:r>
        <w:r>
          <w:rPr>
            <w:noProof/>
            <w:webHidden/>
          </w:rPr>
          <w:tab/>
        </w:r>
        <w:r>
          <w:rPr>
            <w:noProof/>
            <w:webHidden/>
          </w:rPr>
          <w:fldChar w:fldCharType="begin"/>
        </w:r>
        <w:r>
          <w:rPr>
            <w:noProof/>
            <w:webHidden/>
          </w:rPr>
          <w:instrText xml:space="preserve"> PAGEREF _Toc69879319 \h </w:instrText>
        </w:r>
        <w:r>
          <w:rPr>
            <w:noProof/>
            <w:webHidden/>
          </w:rPr>
        </w:r>
        <w:r>
          <w:rPr>
            <w:noProof/>
            <w:webHidden/>
          </w:rPr>
          <w:fldChar w:fldCharType="separate"/>
        </w:r>
        <w:r>
          <w:rPr>
            <w:noProof/>
            <w:webHidden/>
          </w:rPr>
          <w:t>571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20" w:history="1">
        <w:r w:rsidRPr="00CC53E5">
          <w:rPr>
            <w:rStyle w:val="Hyperlink"/>
            <w:noProof/>
          </w:rPr>
          <w:t>2.1.1537</w:t>
        </w:r>
        <w:r>
          <w:rPr>
            <w:rFonts w:asciiTheme="minorHAnsi" w:eastAsiaTheme="minorEastAsia" w:hAnsiTheme="minorHAnsi" w:cstheme="minorBidi"/>
            <w:noProof/>
            <w:sz w:val="22"/>
            <w:szCs w:val="22"/>
          </w:rPr>
          <w:tab/>
        </w:r>
        <w:r w:rsidRPr="00CC53E5">
          <w:rPr>
            <w:rStyle w:val="Hyperlink"/>
            <w:noProof/>
          </w:rPr>
          <w:t>Part 1 Section 21.2.2.172, ser (Pie Chart Series)</w:t>
        </w:r>
        <w:r>
          <w:rPr>
            <w:noProof/>
            <w:webHidden/>
          </w:rPr>
          <w:tab/>
        </w:r>
        <w:r>
          <w:rPr>
            <w:noProof/>
            <w:webHidden/>
          </w:rPr>
          <w:fldChar w:fldCharType="begin"/>
        </w:r>
        <w:r>
          <w:rPr>
            <w:noProof/>
            <w:webHidden/>
          </w:rPr>
          <w:instrText xml:space="preserve"> PAGEREF _Toc69879320 \h </w:instrText>
        </w:r>
        <w:r>
          <w:rPr>
            <w:noProof/>
            <w:webHidden/>
          </w:rPr>
        </w:r>
        <w:r>
          <w:rPr>
            <w:noProof/>
            <w:webHidden/>
          </w:rPr>
          <w:fldChar w:fldCharType="separate"/>
        </w:r>
        <w:r>
          <w:rPr>
            <w:noProof/>
            <w:webHidden/>
          </w:rPr>
          <w:t>571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21" w:history="1">
        <w:r w:rsidRPr="00CC53E5">
          <w:rPr>
            <w:rStyle w:val="Hyperlink"/>
            <w:noProof/>
          </w:rPr>
          <w:t>2.1.1538</w:t>
        </w:r>
        <w:r>
          <w:rPr>
            <w:rFonts w:asciiTheme="minorHAnsi" w:eastAsiaTheme="minorEastAsia" w:hAnsiTheme="minorHAnsi" w:cstheme="minorBidi"/>
            <w:noProof/>
            <w:sz w:val="22"/>
            <w:szCs w:val="22"/>
          </w:rPr>
          <w:tab/>
        </w:r>
        <w:r w:rsidRPr="00CC53E5">
          <w:rPr>
            <w:rStyle w:val="Hyperlink"/>
            <w:noProof/>
          </w:rPr>
          <w:t>Part 1 Section 21.2.2.174, ser (Bubble Chart Series)</w:t>
        </w:r>
        <w:r>
          <w:rPr>
            <w:noProof/>
            <w:webHidden/>
          </w:rPr>
          <w:tab/>
        </w:r>
        <w:r>
          <w:rPr>
            <w:noProof/>
            <w:webHidden/>
          </w:rPr>
          <w:fldChar w:fldCharType="begin"/>
        </w:r>
        <w:r>
          <w:rPr>
            <w:noProof/>
            <w:webHidden/>
          </w:rPr>
          <w:instrText xml:space="preserve"> PAGEREF _Toc69879321 \h </w:instrText>
        </w:r>
        <w:r>
          <w:rPr>
            <w:noProof/>
            <w:webHidden/>
          </w:rPr>
        </w:r>
        <w:r>
          <w:rPr>
            <w:noProof/>
            <w:webHidden/>
          </w:rPr>
          <w:fldChar w:fldCharType="separate"/>
        </w:r>
        <w:r>
          <w:rPr>
            <w:noProof/>
            <w:webHidden/>
          </w:rPr>
          <w:t>571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22" w:history="1">
        <w:r w:rsidRPr="00CC53E5">
          <w:rPr>
            <w:rStyle w:val="Hyperlink"/>
            <w:noProof/>
          </w:rPr>
          <w:t>2.1.1539</w:t>
        </w:r>
        <w:r>
          <w:rPr>
            <w:rFonts w:asciiTheme="minorHAnsi" w:eastAsiaTheme="minorEastAsia" w:hAnsiTheme="minorHAnsi" w:cstheme="minorBidi"/>
            <w:noProof/>
            <w:sz w:val="22"/>
            <w:szCs w:val="22"/>
          </w:rPr>
          <w:tab/>
        </w:r>
        <w:r w:rsidRPr="00CC53E5">
          <w:rPr>
            <w:rStyle w:val="Hyperlink"/>
            <w:noProof/>
          </w:rPr>
          <w:t>Part 1 Section 21.2.2.175, serAx (Series Axis)</w:t>
        </w:r>
        <w:r>
          <w:rPr>
            <w:noProof/>
            <w:webHidden/>
          </w:rPr>
          <w:tab/>
        </w:r>
        <w:r>
          <w:rPr>
            <w:noProof/>
            <w:webHidden/>
          </w:rPr>
          <w:fldChar w:fldCharType="begin"/>
        </w:r>
        <w:r>
          <w:rPr>
            <w:noProof/>
            <w:webHidden/>
          </w:rPr>
          <w:instrText xml:space="preserve"> PAGEREF _Toc69879322 \h </w:instrText>
        </w:r>
        <w:r>
          <w:rPr>
            <w:noProof/>
            <w:webHidden/>
          </w:rPr>
        </w:r>
        <w:r>
          <w:rPr>
            <w:noProof/>
            <w:webHidden/>
          </w:rPr>
          <w:fldChar w:fldCharType="separate"/>
        </w:r>
        <w:r>
          <w:rPr>
            <w:noProof/>
            <w:webHidden/>
          </w:rPr>
          <w:t>571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23" w:history="1">
        <w:r w:rsidRPr="00CC53E5">
          <w:rPr>
            <w:rStyle w:val="Hyperlink"/>
            <w:noProof/>
          </w:rPr>
          <w:t>2.1.1540</w:t>
        </w:r>
        <w:r>
          <w:rPr>
            <w:rFonts w:asciiTheme="minorHAnsi" w:eastAsiaTheme="minorEastAsia" w:hAnsiTheme="minorHAnsi" w:cstheme="minorBidi"/>
            <w:noProof/>
            <w:sz w:val="22"/>
            <w:szCs w:val="22"/>
          </w:rPr>
          <w:tab/>
        </w:r>
        <w:r w:rsidRPr="00CC53E5">
          <w:rPr>
            <w:rStyle w:val="Hyperlink"/>
            <w:noProof/>
          </w:rPr>
          <w:t>Part 1 Section 21.2.2.176, serLines (Series Lines)</w:t>
        </w:r>
        <w:r>
          <w:rPr>
            <w:noProof/>
            <w:webHidden/>
          </w:rPr>
          <w:tab/>
        </w:r>
        <w:r>
          <w:rPr>
            <w:noProof/>
            <w:webHidden/>
          </w:rPr>
          <w:fldChar w:fldCharType="begin"/>
        </w:r>
        <w:r>
          <w:rPr>
            <w:noProof/>
            <w:webHidden/>
          </w:rPr>
          <w:instrText xml:space="preserve"> PAGEREF _Toc69879323 \h </w:instrText>
        </w:r>
        <w:r>
          <w:rPr>
            <w:noProof/>
            <w:webHidden/>
          </w:rPr>
        </w:r>
        <w:r>
          <w:rPr>
            <w:noProof/>
            <w:webHidden/>
          </w:rPr>
          <w:fldChar w:fldCharType="separate"/>
        </w:r>
        <w:r>
          <w:rPr>
            <w:noProof/>
            <w:webHidden/>
          </w:rPr>
          <w:t>572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24" w:history="1">
        <w:r w:rsidRPr="00CC53E5">
          <w:rPr>
            <w:rStyle w:val="Hyperlink"/>
            <w:noProof/>
          </w:rPr>
          <w:t>2.1.1541</w:t>
        </w:r>
        <w:r>
          <w:rPr>
            <w:rFonts w:asciiTheme="minorHAnsi" w:eastAsiaTheme="minorEastAsia" w:hAnsiTheme="minorHAnsi" w:cstheme="minorBidi"/>
            <w:noProof/>
            <w:sz w:val="22"/>
            <w:szCs w:val="22"/>
          </w:rPr>
          <w:tab/>
        </w:r>
        <w:r w:rsidRPr="00CC53E5">
          <w:rPr>
            <w:rStyle w:val="Hyperlink"/>
            <w:noProof/>
          </w:rPr>
          <w:t>Part 1 Section 21.2.2.177, shape (Shape)</w:t>
        </w:r>
        <w:r>
          <w:rPr>
            <w:noProof/>
            <w:webHidden/>
          </w:rPr>
          <w:tab/>
        </w:r>
        <w:r>
          <w:rPr>
            <w:noProof/>
            <w:webHidden/>
          </w:rPr>
          <w:fldChar w:fldCharType="begin"/>
        </w:r>
        <w:r>
          <w:rPr>
            <w:noProof/>
            <w:webHidden/>
          </w:rPr>
          <w:instrText xml:space="preserve"> PAGEREF _Toc69879324 \h </w:instrText>
        </w:r>
        <w:r>
          <w:rPr>
            <w:noProof/>
            <w:webHidden/>
          </w:rPr>
        </w:r>
        <w:r>
          <w:rPr>
            <w:noProof/>
            <w:webHidden/>
          </w:rPr>
          <w:fldChar w:fldCharType="separate"/>
        </w:r>
        <w:r>
          <w:rPr>
            <w:noProof/>
            <w:webHidden/>
          </w:rPr>
          <w:t>572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25" w:history="1">
        <w:r w:rsidRPr="00CC53E5">
          <w:rPr>
            <w:rStyle w:val="Hyperlink"/>
            <w:noProof/>
          </w:rPr>
          <w:t>2.1.1542</w:t>
        </w:r>
        <w:r>
          <w:rPr>
            <w:rFonts w:asciiTheme="minorHAnsi" w:eastAsiaTheme="minorEastAsia" w:hAnsiTheme="minorHAnsi" w:cstheme="minorBidi"/>
            <w:noProof/>
            <w:sz w:val="22"/>
            <w:szCs w:val="22"/>
          </w:rPr>
          <w:tab/>
        </w:r>
        <w:r w:rsidRPr="00CC53E5">
          <w:rPr>
            <w:rStyle w:val="Hyperlink"/>
            <w:noProof/>
          </w:rPr>
          <w:t>Part 1 Section 21.2.2.178, showBubbleSize (Show Bubble Size)</w:t>
        </w:r>
        <w:r>
          <w:rPr>
            <w:noProof/>
            <w:webHidden/>
          </w:rPr>
          <w:tab/>
        </w:r>
        <w:r>
          <w:rPr>
            <w:noProof/>
            <w:webHidden/>
          </w:rPr>
          <w:fldChar w:fldCharType="begin"/>
        </w:r>
        <w:r>
          <w:rPr>
            <w:noProof/>
            <w:webHidden/>
          </w:rPr>
          <w:instrText xml:space="preserve"> PAGEREF _Toc69879325 \h </w:instrText>
        </w:r>
        <w:r>
          <w:rPr>
            <w:noProof/>
            <w:webHidden/>
          </w:rPr>
        </w:r>
        <w:r>
          <w:rPr>
            <w:noProof/>
            <w:webHidden/>
          </w:rPr>
          <w:fldChar w:fldCharType="separate"/>
        </w:r>
        <w:r>
          <w:rPr>
            <w:noProof/>
            <w:webHidden/>
          </w:rPr>
          <w:t>572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26" w:history="1">
        <w:r w:rsidRPr="00CC53E5">
          <w:rPr>
            <w:rStyle w:val="Hyperlink"/>
            <w:noProof/>
          </w:rPr>
          <w:t>2.1.1543</w:t>
        </w:r>
        <w:r>
          <w:rPr>
            <w:rFonts w:asciiTheme="minorHAnsi" w:eastAsiaTheme="minorEastAsia" w:hAnsiTheme="minorHAnsi" w:cstheme="minorBidi"/>
            <w:noProof/>
            <w:sz w:val="22"/>
            <w:szCs w:val="22"/>
          </w:rPr>
          <w:tab/>
        </w:r>
        <w:r w:rsidRPr="00CC53E5">
          <w:rPr>
            <w:rStyle w:val="Hyperlink"/>
            <w:noProof/>
          </w:rPr>
          <w:t>Part 1 Section 21.2.2.180, showDLblsOverMax (Show Data Labels over Maximum)</w:t>
        </w:r>
        <w:r>
          <w:rPr>
            <w:noProof/>
            <w:webHidden/>
          </w:rPr>
          <w:tab/>
        </w:r>
        <w:r>
          <w:rPr>
            <w:noProof/>
            <w:webHidden/>
          </w:rPr>
          <w:fldChar w:fldCharType="begin"/>
        </w:r>
        <w:r>
          <w:rPr>
            <w:noProof/>
            <w:webHidden/>
          </w:rPr>
          <w:instrText xml:space="preserve"> PAGEREF _Toc69879326 \h </w:instrText>
        </w:r>
        <w:r>
          <w:rPr>
            <w:noProof/>
            <w:webHidden/>
          </w:rPr>
        </w:r>
        <w:r>
          <w:rPr>
            <w:noProof/>
            <w:webHidden/>
          </w:rPr>
          <w:fldChar w:fldCharType="separate"/>
        </w:r>
        <w:r>
          <w:rPr>
            <w:noProof/>
            <w:webHidden/>
          </w:rPr>
          <w:t>572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27" w:history="1">
        <w:r w:rsidRPr="00CC53E5">
          <w:rPr>
            <w:rStyle w:val="Hyperlink"/>
            <w:noProof/>
          </w:rPr>
          <w:t>2.1.1544</w:t>
        </w:r>
        <w:r>
          <w:rPr>
            <w:rFonts w:asciiTheme="minorHAnsi" w:eastAsiaTheme="minorEastAsia" w:hAnsiTheme="minorHAnsi" w:cstheme="minorBidi"/>
            <w:noProof/>
            <w:sz w:val="22"/>
            <w:szCs w:val="22"/>
          </w:rPr>
          <w:tab/>
        </w:r>
        <w:r w:rsidRPr="00CC53E5">
          <w:rPr>
            <w:rStyle w:val="Hyperlink"/>
            <w:noProof/>
          </w:rPr>
          <w:t>Part 1 Section 21.2.2.183, showLeaderLines (Show Leader Lines)</w:t>
        </w:r>
        <w:r>
          <w:rPr>
            <w:noProof/>
            <w:webHidden/>
          </w:rPr>
          <w:tab/>
        </w:r>
        <w:r>
          <w:rPr>
            <w:noProof/>
            <w:webHidden/>
          </w:rPr>
          <w:fldChar w:fldCharType="begin"/>
        </w:r>
        <w:r>
          <w:rPr>
            <w:noProof/>
            <w:webHidden/>
          </w:rPr>
          <w:instrText xml:space="preserve"> PAGEREF _Toc69879327 \h </w:instrText>
        </w:r>
        <w:r>
          <w:rPr>
            <w:noProof/>
            <w:webHidden/>
          </w:rPr>
        </w:r>
        <w:r>
          <w:rPr>
            <w:noProof/>
            <w:webHidden/>
          </w:rPr>
          <w:fldChar w:fldCharType="separate"/>
        </w:r>
        <w:r>
          <w:rPr>
            <w:noProof/>
            <w:webHidden/>
          </w:rPr>
          <w:t>572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28" w:history="1">
        <w:r w:rsidRPr="00CC53E5">
          <w:rPr>
            <w:rStyle w:val="Hyperlink"/>
            <w:noProof/>
          </w:rPr>
          <w:t>2.1.1545</w:t>
        </w:r>
        <w:r>
          <w:rPr>
            <w:rFonts w:asciiTheme="minorHAnsi" w:eastAsiaTheme="minorEastAsia" w:hAnsiTheme="minorHAnsi" w:cstheme="minorBidi"/>
            <w:noProof/>
            <w:sz w:val="22"/>
            <w:szCs w:val="22"/>
          </w:rPr>
          <w:tab/>
        </w:r>
        <w:r w:rsidRPr="00CC53E5">
          <w:rPr>
            <w:rStyle w:val="Hyperlink"/>
            <w:noProof/>
          </w:rPr>
          <w:t>Part 1 Section 21.2.2.184, showLegendKey (Show Legend Key)</w:t>
        </w:r>
        <w:r>
          <w:rPr>
            <w:noProof/>
            <w:webHidden/>
          </w:rPr>
          <w:tab/>
        </w:r>
        <w:r>
          <w:rPr>
            <w:noProof/>
            <w:webHidden/>
          </w:rPr>
          <w:fldChar w:fldCharType="begin"/>
        </w:r>
        <w:r>
          <w:rPr>
            <w:noProof/>
            <w:webHidden/>
          </w:rPr>
          <w:instrText xml:space="preserve"> PAGEREF _Toc69879328 \h </w:instrText>
        </w:r>
        <w:r>
          <w:rPr>
            <w:noProof/>
            <w:webHidden/>
          </w:rPr>
        </w:r>
        <w:r>
          <w:rPr>
            <w:noProof/>
            <w:webHidden/>
          </w:rPr>
          <w:fldChar w:fldCharType="separate"/>
        </w:r>
        <w:r>
          <w:rPr>
            <w:noProof/>
            <w:webHidden/>
          </w:rPr>
          <w:t>573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29" w:history="1">
        <w:r w:rsidRPr="00CC53E5">
          <w:rPr>
            <w:rStyle w:val="Hyperlink"/>
            <w:noProof/>
          </w:rPr>
          <w:t>2.1.1546</w:t>
        </w:r>
        <w:r>
          <w:rPr>
            <w:rFonts w:asciiTheme="minorHAnsi" w:eastAsiaTheme="minorEastAsia" w:hAnsiTheme="minorHAnsi" w:cstheme="minorBidi"/>
            <w:noProof/>
            <w:sz w:val="22"/>
            <w:szCs w:val="22"/>
          </w:rPr>
          <w:tab/>
        </w:r>
        <w:r w:rsidRPr="00CC53E5">
          <w:rPr>
            <w:rStyle w:val="Hyperlink"/>
            <w:noProof/>
          </w:rPr>
          <w:t>Part 1 Section 21.2.2.187, showPercent (Show Percent)</w:t>
        </w:r>
        <w:r>
          <w:rPr>
            <w:noProof/>
            <w:webHidden/>
          </w:rPr>
          <w:tab/>
        </w:r>
        <w:r>
          <w:rPr>
            <w:noProof/>
            <w:webHidden/>
          </w:rPr>
          <w:fldChar w:fldCharType="begin"/>
        </w:r>
        <w:r>
          <w:rPr>
            <w:noProof/>
            <w:webHidden/>
          </w:rPr>
          <w:instrText xml:space="preserve"> PAGEREF _Toc69879329 \h </w:instrText>
        </w:r>
        <w:r>
          <w:rPr>
            <w:noProof/>
            <w:webHidden/>
          </w:rPr>
        </w:r>
        <w:r>
          <w:rPr>
            <w:noProof/>
            <w:webHidden/>
          </w:rPr>
          <w:fldChar w:fldCharType="separate"/>
        </w:r>
        <w:r>
          <w:rPr>
            <w:noProof/>
            <w:webHidden/>
          </w:rPr>
          <w:t>573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30" w:history="1">
        <w:r w:rsidRPr="00CC53E5">
          <w:rPr>
            <w:rStyle w:val="Hyperlink"/>
            <w:noProof/>
          </w:rPr>
          <w:t>2.1.1547</w:t>
        </w:r>
        <w:r>
          <w:rPr>
            <w:rFonts w:asciiTheme="minorHAnsi" w:eastAsiaTheme="minorEastAsia" w:hAnsiTheme="minorHAnsi" w:cstheme="minorBidi"/>
            <w:noProof/>
            <w:sz w:val="22"/>
            <w:szCs w:val="22"/>
          </w:rPr>
          <w:tab/>
        </w:r>
        <w:r w:rsidRPr="00CC53E5">
          <w:rPr>
            <w:rStyle w:val="Hyperlink"/>
            <w:noProof/>
          </w:rPr>
          <w:t>Part 1 Section 21.2.2.191, sideWall (Side Wall)</w:t>
        </w:r>
        <w:r>
          <w:rPr>
            <w:noProof/>
            <w:webHidden/>
          </w:rPr>
          <w:tab/>
        </w:r>
        <w:r>
          <w:rPr>
            <w:noProof/>
            <w:webHidden/>
          </w:rPr>
          <w:fldChar w:fldCharType="begin"/>
        </w:r>
        <w:r>
          <w:rPr>
            <w:noProof/>
            <w:webHidden/>
          </w:rPr>
          <w:instrText xml:space="preserve"> PAGEREF _Toc69879330 \h </w:instrText>
        </w:r>
        <w:r>
          <w:rPr>
            <w:noProof/>
            <w:webHidden/>
          </w:rPr>
        </w:r>
        <w:r>
          <w:rPr>
            <w:noProof/>
            <w:webHidden/>
          </w:rPr>
          <w:fldChar w:fldCharType="separate"/>
        </w:r>
        <w:r>
          <w:rPr>
            <w:noProof/>
            <w:webHidden/>
          </w:rPr>
          <w:t>573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31" w:history="1">
        <w:r w:rsidRPr="00CC53E5">
          <w:rPr>
            <w:rStyle w:val="Hyperlink"/>
            <w:noProof/>
          </w:rPr>
          <w:t>2.1.1548</w:t>
        </w:r>
        <w:r>
          <w:rPr>
            <w:rFonts w:asciiTheme="minorHAnsi" w:eastAsiaTheme="minorEastAsia" w:hAnsiTheme="minorHAnsi" w:cstheme="minorBidi"/>
            <w:noProof/>
            <w:sz w:val="22"/>
            <w:szCs w:val="22"/>
          </w:rPr>
          <w:tab/>
        </w:r>
        <w:r w:rsidRPr="00CC53E5">
          <w:rPr>
            <w:rStyle w:val="Hyperlink"/>
            <w:noProof/>
          </w:rPr>
          <w:t>Part 1 Section 21.2.2.195, splitPos (Split Position)</w:t>
        </w:r>
        <w:r>
          <w:rPr>
            <w:noProof/>
            <w:webHidden/>
          </w:rPr>
          <w:tab/>
        </w:r>
        <w:r>
          <w:rPr>
            <w:noProof/>
            <w:webHidden/>
          </w:rPr>
          <w:fldChar w:fldCharType="begin"/>
        </w:r>
        <w:r>
          <w:rPr>
            <w:noProof/>
            <w:webHidden/>
          </w:rPr>
          <w:instrText xml:space="preserve"> PAGEREF _Toc69879331 \h </w:instrText>
        </w:r>
        <w:r>
          <w:rPr>
            <w:noProof/>
            <w:webHidden/>
          </w:rPr>
        </w:r>
        <w:r>
          <w:rPr>
            <w:noProof/>
            <w:webHidden/>
          </w:rPr>
          <w:fldChar w:fldCharType="separate"/>
        </w:r>
        <w:r>
          <w:rPr>
            <w:noProof/>
            <w:webHidden/>
          </w:rPr>
          <w:t>573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32" w:history="1">
        <w:r w:rsidRPr="00CC53E5">
          <w:rPr>
            <w:rStyle w:val="Hyperlink"/>
            <w:noProof/>
          </w:rPr>
          <w:t>2.1.1549</w:t>
        </w:r>
        <w:r>
          <w:rPr>
            <w:rFonts w:asciiTheme="minorHAnsi" w:eastAsiaTheme="minorEastAsia" w:hAnsiTheme="minorHAnsi" w:cstheme="minorBidi"/>
            <w:noProof/>
            <w:sz w:val="22"/>
            <w:szCs w:val="22"/>
          </w:rPr>
          <w:tab/>
        </w:r>
        <w:r w:rsidRPr="00CC53E5">
          <w:rPr>
            <w:rStyle w:val="Hyperlink"/>
            <w:noProof/>
          </w:rPr>
          <w:t>Part 1 Section 21.2.2.196, splitType (Split Type)</w:t>
        </w:r>
        <w:r>
          <w:rPr>
            <w:noProof/>
            <w:webHidden/>
          </w:rPr>
          <w:tab/>
        </w:r>
        <w:r>
          <w:rPr>
            <w:noProof/>
            <w:webHidden/>
          </w:rPr>
          <w:fldChar w:fldCharType="begin"/>
        </w:r>
        <w:r>
          <w:rPr>
            <w:noProof/>
            <w:webHidden/>
          </w:rPr>
          <w:instrText xml:space="preserve"> PAGEREF _Toc69879332 \h </w:instrText>
        </w:r>
        <w:r>
          <w:rPr>
            <w:noProof/>
            <w:webHidden/>
          </w:rPr>
        </w:r>
        <w:r>
          <w:rPr>
            <w:noProof/>
            <w:webHidden/>
          </w:rPr>
          <w:fldChar w:fldCharType="separate"/>
        </w:r>
        <w:r>
          <w:rPr>
            <w:noProof/>
            <w:webHidden/>
          </w:rPr>
          <w:t>573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33" w:history="1">
        <w:r w:rsidRPr="00CC53E5">
          <w:rPr>
            <w:rStyle w:val="Hyperlink"/>
            <w:noProof/>
          </w:rPr>
          <w:t>2.1.1550</w:t>
        </w:r>
        <w:r>
          <w:rPr>
            <w:rFonts w:asciiTheme="minorHAnsi" w:eastAsiaTheme="minorEastAsia" w:hAnsiTheme="minorHAnsi" w:cstheme="minorBidi"/>
            <w:noProof/>
            <w:sz w:val="22"/>
            <w:szCs w:val="22"/>
          </w:rPr>
          <w:tab/>
        </w:r>
        <w:r w:rsidRPr="00CC53E5">
          <w:rPr>
            <w:rStyle w:val="Hyperlink"/>
            <w:noProof/>
          </w:rPr>
          <w:t>Part 1 Section 21.2.2.197, spPr (Shape Properties)</w:t>
        </w:r>
        <w:r>
          <w:rPr>
            <w:noProof/>
            <w:webHidden/>
          </w:rPr>
          <w:tab/>
        </w:r>
        <w:r>
          <w:rPr>
            <w:noProof/>
            <w:webHidden/>
          </w:rPr>
          <w:fldChar w:fldCharType="begin"/>
        </w:r>
        <w:r>
          <w:rPr>
            <w:noProof/>
            <w:webHidden/>
          </w:rPr>
          <w:instrText xml:space="preserve"> PAGEREF _Toc69879333 \h </w:instrText>
        </w:r>
        <w:r>
          <w:rPr>
            <w:noProof/>
            <w:webHidden/>
          </w:rPr>
        </w:r>
        <w:r>
          <w:rPr>
            <w:noProof/>
            <w:webHidden/>
          </w:rPr>
          <w:fldChar w:fldCharType="separate"/>
        </w:r>
        <w:r>
          <w:rPr>
            <w:noProof/>
            <w:webHidden/>
          </w:rPr>
          <w:t>574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34" w:history="1">
        <w:r w:rsidRPr="00CC53E5">
          <w:rPr>
            <w:rStyle w:val="Hyperlink"/>
            <w:noProof/>
          </w:rPr>
          <w:t>2.1.1551</w:t>
        </w:r>
        <w:r>
          <w:rPr>
            <w:rFonts w:asciiTheme="minorHAnsi" w:eastAsiaTheme="minorEastAsia" w:hAnsiTheme="minorHAnsi" w:cstheme="minorBidi"/>
            <w:noProof/>
            <w:sz w:val="22"/>
            <w:szCs w:val="22"/>
          </w:rPr>
          <w:tab/>
        </w:r>
        <w:r w:rsidRPr="00CC53E5">
          <w:rPr>
            <w:rStyle w:val="Hyperlink"/>
            <w:noProof/>
          </w:rPr>
          <w:t>Part 1 Section 21.2.2.203, surface3DChart (3D Surface Charts)</w:t>
        </w:r>
        <w:r>
          <w:rPr>
            <w:noProof/>
            <w:webHidden/>
          </w:rPr>
          <w:tab/>
        </w:r>
        <w:r>
          <w:rPr>
            <w:noProof/>
            <w:webHidden/>
          </w:rPr>
          <w:fldChar w:fldCharType="begin"/>
        </w:r>
        <w:r>
          <w:rPr>
            <w:noProof/>
            <w:webHidden/>
          </w:rPr>
          <w:instrText xml:space="preserve"> PAGEREF _Toc69879334 \h </w:instrText>
        </w:r>
        <w:r>
          <w:rPr>
            <w:noProof/>
            <w:webHidden/>
          </w:rPr>
        </w:r>
        <w:r>
          <w:rPr>
            <w:noProof/>
            <w:webHidden/>
          </w:rPr>
          <w:fldChar w:fldCharType="separate"/>
        </w:r>
        <w:r>
          <w:rPr>
            <w:noProof/>
            <w:webHidden/>
          </w:rPr>
          <w:t>574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35" w:history="1">
        <w:r w:rsidRPr="00CC53E5">
          <w:rPr>
            <w:rStyle w:val="Hyperlink"/>
            <w:noProof/>
          </w:rPr>
          <w:t>2.1.1552</w:t>
        </w:r>
        <w:r>
          <w:rPr>
            <w:rFonts w:asciiTheme="minorHAnsi" w:eastAsiaTheme="minorEastAsia" w:hAnsiTheme="minorHAnsi" w:cstheme="minorBidi"/>
            <w:noProof/>
            <w:sz w:val="22"/>
            <w:szCs w:val="22"/>
          </w:rPr>
          <w:tab/>
        </w:r>
        <w:r w:rsidRPr="00CC53E5">
          <w:rPr>
            <w:rStyle w:val="Hyperlink"/>
            <w:noProof/>
          </w:rPr>
          <w:t>Part 1 Section 21.2.2.204, surfaceChart (Surface Charts)</w:t>
        </w:r>
        <w:r>
          <w:rPr>
            <w:noProof/>
            <w:webHidden/>
          </w:rPr>
          <w:tab/>
        </w:r>
        <w:r>
          <w:rPr>
            <w:noProof/>
            <w:webHidden/>
          </w:rPr>
          <w:fldChar w:fldCharType="begin"/>
        </w:r>
        <w:r>
          <w:rPr>
            <w:noProof/>
            <w:webHidden/>
          </w:rPr>
          <w:instrText xml:space="preserve"> PAGEREF _Toc69879335 \h </w:instrText>
        </w:r>
        <w:r>
          <w:rPr>
            <w:noProof/>
            <w:webHidden/>
          </w:rPr>
        </w:r>
        <w:r>
          <w:rPr>
            <w:noProof/>
            <w:webHidden/>
          </w:rPr>
          <w:fldChar w:fldCharType="separate"/>
        </w:r>
        <w:r>
          <w:rPr>
            <w:noProof/>
            <w:webHidden/>
          </w:rPr>
          <w:t>574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36" w:history="1">
        <w:r w:rsidRPr="00CC53E5">
          <w:rPr>
            <w:rStyle w:val="Hyperlink"/>
            <w:noProof/>
          </w:rPr>
          <w:t>2.1.1553</w:t>
        </w:r>
        <w:r>
          <w:rPr>
            <w:rFonts w:asciiTheme="minorHAnsi" w:eastAsiaTheme="minorEastAsia" w:hAnsiTheme="minorHAnsi" w:cstheme="minorBidi"/>
            <w:noProof/>
            <w:sz w:val="22"/>
            <w:szCs w:val="22"/>
          </w:rPr>
          <w:tab/>
        </w:r>
        <w:r w:rsidRPr="00CC53E5">
          <w:rPr>
            <w:rStyle w:val="Hyperlink"/>
            <w:noProof/>
          </w:rPr>
          <w:t>Part 1 Section 21.2.2.206, thickness (Thickness)</w:t>
        </w:r>
        <w:r>
          <w:rPr>
            <w:noProof/>
            <w:webHidden/>
          </w:rPr>
          <w:tab/>
        </w:r>
        <w:r>
          <w:rPr>
            <w:noProof/>
            <w:webHidden/>
          </w:rPr>
          <w:fldChar w:fldCharType="begin"/>
        </w:r>
        <w:r>
          <w:rPr>
            <w:noProof/>
            <w:webHidden/>
          </w:rPr>
          <w:instrText xml:space="preserve"> PAGEREF _Toc69879336 \h </w:instrText>
        </w:r>
        <w:r>
          <w:rPr>
            <w:noProof/>
            <w:webHidden/>
          </w:rPr>
        </w:r>
        <w:r>
          <w:rPr>
            <w:noProof/>
            <w:webHidden/>
          </w:rPr>
          <w:fldChar w:fldCharType="separate"/>
        </w:r>
        <w:r>
          <w:rPr>
            <w:noProof/>
            <w:webHidden/>
          </w:rPr>
          <w:t>574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37" w:history="1">
        <w:r w:rsidRPr="00CC53E5">
          <w:rPr>
            <w:rStyle w:val="Hyperlink"/>
            <w:noProof/>
          </w:rPr>
          <w:t>2.1.1554</w:t>
        </w:r>
        <w:r>
          <w:rPr>
            <w:rFonts w:asciiTheme="minorHAnsi" w:eastAsiaTheme="minorEastAsia" w:hAnsiTheme="minorHAnsi" w:cstheme="minorBidi"/>
            <w:noProof/>
            <w:sz w:val="22"/>
            <w:szCs w:val="22"/>
          </w:rPr>
          <w:tab/>
        </w:r>
        <w:r w:rsidRPr="00CC53E5">
          <w:rPr>
            <w:rStyle w:val="Hyperlink"/>
            <w:noProof/>
          </w:rPr>
          <w:t>Part 1 Section 21.2.2.208, tickLblSkip (Tick Label Skip)</w:t>
        </w:r>
        <w:r>
          <w:rPr>
            <w:noProof/>
            <w:webHidden/>
          </w:rPr>
          <w:tab/>
        </w:r>
        <w:r>
          <w:rPr>
            <w:noProof/>
            <w:webHidden/>
          </w:rPr>
          <w:fldChar w:fldCharType="begin"/>
        </w:r>
        <w:r>
          <w:rPr>
            <w:noProof/>
            <w:webHidden/>
          </w:rPr>
          <w:instrText xml:space="preserve"> PAGEREF _Toc69879337 \h </w:instrText>
        </w:r>
        <w:r>
          <w:rPr>
            <w:noProof/>
            <w:webHidden/>
          </w:rPr>
        </w:r>
        <w:r>
          <w:rPr>
            <w:noProof/>
            <w:webHidden/>
          </w:rPr>
          <w:fldChar w:fldCharType="separate"/>
        </w:r>
        <w:r>
          <w:rPr>
            <w:noProof/>
            <w:webHidden/>
          </w:rPr>
          <w:t>575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38" w:history="1">
        <w:r w:rsidRPr="00CC53E5">
          <w:rPr>
            <w:rStyle w:val="Hyperlink"/>
            <w:noProof/>
          </w:rPr>
          <w:t>2.1.1555</w:t>
        </w:r>
        <w:r>
          <w:rPr>
            <w:rFonts w:asciiTheme="minorHAnsi" w:eastAsiaTheme="minorEastAsia" w:hAnsiTheme="minorHAnsi" w:cstheme="minorBidi"/>
            <w:noProof/>
            <w:sz w:val="22"/>
            <w:szCs w:val="22"/>
          </w:rPr>
          <w:tab/>
        </w:r>
        <w:r w:rsidRPr="00CC53E5">
          <w:rPr>
            <w:rStyle w:val="Hyperlink"/>
            <w:noProof/>
          </w:rPr>
          <w:t>Part 1 Section 21.2.2.209, tickMarkSkip (Tick Mark Skip)</w:t>
        </w:r>
        <w:r>
          <w:rPr>
            <w:noProof/>
            <w:webHidden/>
          </w:rPr>
          <w:tab/>
        </w:r>
        <w:r>
          <w:rPr>
            <w:noProof/>
            <w:webHidden/>
          </w:rPr>
          <w:fldChar w:fldCharType="begin"/>
        </w:r>
        <w:r>
          <w:rPr>
            <w:noProof/>
            <w:webHidden/>
          </w:rPr>
          <w:instrText xml:space="preserve"> PAGEREF _Toc69879338 \h </w:instrText>
        </w:r>
        <w:r>
          <w:rPr>
            <w:noProof/>
            <w:webHidden/>
          </w:rPr>
        </w:r>
        <w:r>
          <w:rPr>
            <w:noProof/>
            <w:webHidden/>
          </w:rPr>
          <w:fldChar w:fldCharType="separate"/>
        </w:r>
        <w:r>
          <w:rPr>
            <w:noProof/>
            <w:webHidden/>
          </w:rPr>
          <w:t>575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39" w:history="1">
        <w:r w:rsidRPr="00CC53E5">
          <w:rPr>
            <w:rStyle w:val="Hyperlink"/>
            <w:noProof/>
          </w:rPr>
          <w:t>2.1.1556</w:t>
        </w:r>
        <w:r>
          <w:rPr>
            <w:rFonts w:asciiTheme="minorHAnsi" w:eastAsiaTheme="minorEastAsia" w:hAnsiTheme="minorHAnsi" w:cstheme="minorBidi"/>
            <w:noProof/>
            <w:sz w:val="22"/>
            <w:szCs w:val="22"/>
          </w:rPr>
          <w:tab/>
        </w:r>
        <w:r w:rsidRPr="00CC53E5">
          <w:rPr>
            <w:rStyle w:val="Hyperlink"/>
            <w:noProof/>
          </w:rPr>
          <w:t>Part 1 Section 21.2.2.210, title (Title)</w:t>
        </w:r>
        <w:r>
          <w:rPr>
            <w:noProof/>
            <w:webHidden/>
          </w:rPr>
          <w:tab/>
        </w:r>
        <w:r>
          <w:rPr>
            <w:noProof/>
            <w:webHidden/>
          </w:rPr>
          <w:fldChar w:fldCharType="begin"/>
        </w:r>
        <w:r>
          <w:rPr>
            <w:noProof/>
            <w:webHidden/>
          </w:rPr>
          <w:instrText xml:space="preserve"> PAGEREF _Toc69879339 \h </w:instrText>
        </w:r>
        <w:r>
          <w:rPr>
            <w:noProof/>
            <w:webHidden/>
          </w:rPr>
        </w:r>
        <w:r>
          <w:rPr>
            <w:noProof/>
            <w:webHidden/>
          </w:rPr>
          <w:fldChar w:fldCharType="separate"/>
        </w:r>
        <w:r>
          <w:rPr>
            <w:noProof/>
            <w:webHidden/>
          </w:rPr>
          <w:t>575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40" w:history="1">
        <w:r w:rsidRPr="00CC53E5">
          <w:rPr>
            <w:rStyle w:val="Hyperlink"/>
            <w:noProof/>
          </w:rPr>
          <w:t>2.1.1557</w:t>
        </w:r>
        <w:r>
          <w:rPr>
            <w:rFonts w:asciiTheme="minorHAnsi" w:eastAsiaTheme="minorEastAsia" w:hAnsiTheme="minorHAnsi" w:cstheme="minorBidi"/>
            <w:noProof/>
            <w:sz w:val="22"/>
            <w:szCs w:val="22"/>
          </w:rPr>
          <w:tab/>
        </w:r>
        <w:r w:rsidRPr="00CC53E5">
          <w:rPr>
            <w:rStyle w:val="Hyperlink"/>
            <w:noProof/>
          </w:rPr>
          <w:t>Part 1 Section 21.2.2.211, trendline (Trendlines)</w:t>
        </w:r>
        <w:r>
          <w:rPr>
            <w:noProof/>
            <w:webHidden/>
          </w:rPr>
          <w:tab/>
        </w:r>
        <w:r>
          <w:rPr>
            <w:noProof/>
            <w:webHidden/>
          </w:rPr>
          <w:fldChar w:fldCharType="begin"/>
        </w:r>
        <w:r>
          <w:rPr>
            <w:noProof/>
            <w:webHidden/>
          </w:rPr>
          <w:instrText xml:space="preserve"> PAGEREF _Toc69879340 \h </w:instrText>
        </w:r>
        <w:r>
          <w:rPr>
            <w:noProof/>
            <w:webHidden/>
          </w:rPr>
        </w:r>
        <w:r>
          <w:rPr>
            <w:noProof/>
            <w:webHidden/>
          </w:rPr>
          <w:fldChar w:fldCharType="separate"/>
        </w:r>
        <w:r>
          <w:rPr>
            <w:noProof/>
            <w:webHidden/>
          </w:rPr>
          <w:t>575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41" w:history="1">
        <w:r w:rsidRPr="00CC53E5">
          <w:rPr>
            <w:rStyle w:val="Hyperlink"/>
            <w:noProof/>
          </w:rPr>
          <w:t>2.1.1558</w:t>
        </w:r>
        <w:r>
          <w:rPr>
            <w:rFonts w:asciiTheme="minorHAnsi" w:eastAsiaTheme="minorEastAsia" w:hAnsiTheme="minorHAnsi" w:cstheme="minorBidi"/>
            <w:noProof/>
            <w:sz w:val="22"/>
            <w:szCs w:val="22"/>
          </w:rPr>
          <w:tab/>
        </w:r>
        <w:r w:rsidRPr="00CC53E5">
          <w:rPr>
            <w:rStyle w:val="Hyperlink"/>
            <w:noProof/>
          </w:rPr>
          <w:t>Part 1 Section 21.2.2.212, trendlineLbl (Trendline Label)</w:t>
        </w:r>
        <w:r>
          <w:rPr>
            <w:noProof/>
            <w:webHidden/>
          </w:rPr>
          <w:tab/>
        </w:r>
        <w:r>
          <w:rPr>
            <w:noProof/>
            <w:webHidden/>
          </w:rPr>
          <w:fldChar w:fldCharType="begin"/>
        </w:r>
        <w:r>
          <w:rPr>
            <w:noProof/>
            <w:webHidden/>
          </w:rPr>
          <w:instrText xml:space="preserve"> PAGEREF _Toc69879341 \h </w:instrText>
        </w:r>
        <w:r>
          <w:rPr>
            <w:noProof/>
            <w:webHidden/>
          </w:rPr>
        </w:r>
        <w:r>
          <w:rPr>
            <w:noProof/>
            <w:webHidden/>
          </w:rPr>
          <w:fldChar w:fldCharType="separate"/>
        </w:r>
        <w:r>
          <w:rPr>
            <w:noProof/>
            <w:webHidden/>
          </w:rPr>
          <w:t>575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42" w:history="1">
        <w:r w:rsidRPr="00CC53E5">
          <w:rPr>
            <w:rStyle w:val="Hyperlink"/>
            <w:noProof/>
          </w:rPr>
          <w:t>2.1.1559</w:t>
        </w:r>
        <w:r>
          <w:rPr>
            <w:rFonts w:asciiTheme="minorHAnsi" w:eastAsiaTheme="minorEastAsia" w:hAnsiTheme="minorHAnsi" w:cstheme="minorBidi"/>
            <w:noProof/>
            <w:sz w:val="22"/>
            <w:szCs w:val="22"/>
          </w:rPr>
          <w:tab/>
        </w:r>
        <w:r w:rsidRPr="00CC53E5">
          <w:rPr>
            <w:rStyle w:val="Hyperlink"/>
            <w:noProof/>
          </w:rPr>
          <w:t>Part 1 Section 21.2.2.213, trendlineType (Trendline Type)</w:t>
        </w:r>
        <w:r>
          <w:rPr>
            <w:noProof/>
            <w:webHidden/>
          </w:rPr>
          <w:tab/>
        </w:r>
        <w:r>
          <w:rPr>
            <w:noProof/>
            <w:webHidden/>
          </w:rPr>
          <w:fldChar w:fldCharType="begin"/>
        </w:r>
        <w:r>
          <w:rPr>
            <w:noProof/>
            <w:webHidden/>
          </w:rPr>
          <w:instrText xml:space="preserve"> PAGEREF _Toc69879342 \h </w:instrText>
        </w:r>
        <w:r>
          <w:rPr>
            <w:noProof/>
            <w:webHidden/>
          </w:rPr>
        </w:r>
        <w:r>
          <w:rPr>
            <w:noProof/>
            <w:webHidden/>
          </w:rPr>
          <w:fldChar w:fldCharType="separate"/>
        </w:r>
        <w:r>
          <w:rPr>
            <w:noProof/>
            <w:webHidden/>
          </w:rPr>
          <w:t>576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43" w:history="1">
        <w:r w:rsidRPr="00CC53E5">
          <w:rPr>
            <w:rStyle w:val="Hyperlink"/>
            <w:noProof/>
          </w:rPr>
          <w:t>2.1.1560</w:t>
        </w:r>
        <w:r>
          <w:rPr>
            <w:rFonts w:asciiTheme="minorHAnsi" w:eastAsiaTheme="minorEastAsia" w:hAnsiTheme="minorHAnsi" w:cstheme="minorBidi"/>
            <w:noProof/>
            <w:sz w:val="22"/>
            <w:szCs w:val="22"/>
          </w:rPr>
          <w:tab/>
        </w:r>
        <w:r w:rsidRPr="00CC53E5">
          <w:rPr>
            <w:rStyle w:val="Hyperlink"/>
            <w:noProof/>
          </w:rPr>
          <w:t>Part 1 Section 21.2.2.215, tx (Series Text)</w:t>
        </w:r>
        <w:r>
          <w:rPr>
            <w:noProof/>
            <w:webHidden/>
          </w:rPr>
          <w:tab/>
        </w:r>
        <w:r>
          <w:rPr>
            <w:noProof/>
            <w:webHidden/>
          </w:rPr>
          <w:fldChar w:fldCharType="begin"/>
        </w:r>
        <w:r>
          <w:rPr>
            <w:noProof/>
            <w:webHidden/>
          </w:rPr>
          <w:instrText xml:space="preserve"> PAGEREF _Toc69879343 \h </w:instrText>
        </w:r>
        <w:r>
          <w:rPr>
            <w:noProof/>
            <w:webHidden/>
          </w:rPr>
        </w:r>
        <w:r>
          <w:rPr>
            <w:noProof/>
            <w:webHidden/>
          </w:rPr>
          <w:fldChar w:fldCharType="separate"/>
        </w:r>
        <w:r>
          <w:rPr>
            <w:noProof/>
            <w:webHidden/>
          </w:rPr>
          <w:t>576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44" w:history="1">
        <w:r w:rsidRPr="00CC53E5">
          <w:rPr>
            <w:rStyle w:val="Hyperlink"/>
            <w:noProof/>
          </w:rPr>
          <w:t>2.1.1561</w:t>
        </w:r>
        <w:r>
          <w:rPr>
            <w:rFonts w:asciiTheme="minorHAnsi" w:eastAsiaTheme="minorEastAsia" w:hAnsiTheme="minorHAnsi" w:cstheme="minorBidi"/>
            <w:noProof/>
            <w:sz w:val="22"/>
            <w:szCs w:val="22"/>
          </w:rPr>
          <w:tab/>
        </w:r>
        <w:r w:rsidRPr="00CC53E5">
          <w:rPr>
            <w:rStyle w:val="Hyperlink"/>
            <w:noProof/>
          </w:rPr>
          <w:t>Part 1 Section 21.2.2.216, txPr (Text Properties)</w:t>
        </w:r>
        <w:r>
          <w:rPr>
            <w:noProof/>
            <w:webHidden/>
          </w:rPr>
          <w:tab/>
        </w:r>
        <w:r>
          <w:rPr>
            <w:noProof/>
            <w:webHidden/>
          </w:rPr>
          <w:fldChar w:fldCharType="begin"/>
        </w:r>
        <w:r>
          <w:rPr>
            <w:noProof/>
            <w:webHidden/>
          </w:rPr>
          <w:instrText xml:space="preserve"> PAGEREF _Toc69879344 \h </w:instrText>
        </w:r>
        <w:r>
          <w:rPr>
            <w:noProof/>
            <w:webHidden/>
          </w:rPr>
        </w:r>
        <w:r>
          <w:rPr>
            <w:noProof/>
            <w:webHidden/>
          </w:rPr>
          <w:fldChar w:fldCharType="separate"/>
        </w:r>
        <w:r>
          <w:rPr>
            <w:noProof/>
            <w:webHidden/>
          </w:rPr>
          <w:t>576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45" w:history="1">
        <w:r w:rsidRPr="00CC53E5">
          <w:rPr>
            <w:rStyle w:val="Hyperlink"/>
            <w:noProof/>
          </w:rPr>
          <w:t>2.1.1562</w:t>
        </w:r>
        <w:r>
          <w:rPr>
            <w:rFonts w:asciiTheme="minorHAnsi" w:eastAsiaTheme="minorEastAsia" w:hAnsiTheme="minorHAnsi" w:cstheme="minorBidi"/>
            <w:noProof/>
            <w:sz w:val="22"/>
            <w:szCs w:val="22"/>
          </w:rPr>
          <w:tab/>
        </w:r>
        <w:r w:rsidRPr="00CC53E5">
          <w:rPr>
            <w:rStyle w:val="Hyperlink"/>
            <w:noProof/>
          </w:rPr>
          <w:t>Part 1 Section 21.2.2.219, userInterface (User Interface)</w:t>
        </w:r>
        <w:r>
          <w:rPr>
            <w:noProof/>
            <w:webHidden/>
          </w:rPr>
          <w:tab/>
        </w:r>
        <w:r>
          <w:rPr>
            <w:noProof/>
            <w:webHidden/>
          </w:rPr>
          <w:fldChar w:fldCharType="begin"/>
        </w:r>
        <w:r>
          <w:rPr>
            <w:noProof/>
            <w:webHidden/>
          </w:rPr>
          <w:instrText xml:space="preserve"> PAGEREF _Toc69879345 \h </w:instrText>
        </w:r>
        <w:r>
          <w:rPr>
            <w:noProof/>
            <w:webHidden/>
          </w:rPr>
        </w:r>
        <w:r>
          <w:rPr>
            <w:noProof/>
            <w:webHidden/>
          </w:rPr>
          <w:fldChar w:fldCharType="separate"/>
        </w:r>
        <w:r>
          <w:rPr>
            <w:noProof/>
            <w:webHidden/>
          </w:rPr>
          <w:t>576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46" w:history="1">
        <w:r w:rsidRPr="00CC53E5">
          <w:rPr>
            <w:rStyle w:val="Hyperlink"/>
            <w:noProof/>
          </w:rPr>
          <w:t>2.1.1563</w:t>
        </w:r>
        <w:r>
          <w:rPr>
            <w:rFonts w:asciiTheme="minorHAnsi" w:eastAsiaTheme="minorEastAsia" w:hAnsiTheme="minorHAnsi" w:cstheme="minorBidi"/>
            <w:noProof/>
            <w:sz w:val="22"/>
            <w:szCs w:val="22"/>
          </w:rPr>
          <w:tab/>
        </w:r>
        <w:r w:rsidRPr="00CC53E5">
          <w:rPr>
            <w:rStyle w:val="Hyperlink"/>
            <w:noProof/>
          </w:rPr>
          <w:t>Part 1 Section 21.2.2.222, v (Numeric Value)</w:t>
        </w:r>
        <w:r>
          <w:rPr>
            <w:noProof/>
            <w:webHidden/>
          </w:rPr>
          <w:tab/>
        </w:r>
        <w:r>
          <w:rPr>
            <w:noProof/>
            <w:webHidden/>
          </w:rPr>
          <w:fldChar w:fldCharType="begin"/>
        </w:r>
        <w:r>
          <w:rPr>
            <w:noProof/>
            <w:webHidden/>
          </w:rPr>
          <w:instrText xml:space="preserve"> PAGEREF _Toc69879346 \h </w:instrText>
        </w:r>
        <w:r>
          <w:rPr>
            <w:noProof/>
            <w:webHidden/>
          </w:rPr>
        </w:r>
        <w:r>
          <w:rPr>
            <w:noProof/>
            <w:webHidden/>
          </w:rPr>
          <w:fldChar w:fldCharType="separate"/>
        </w:r>
        <w:r>
          <w:rPr>
            <w:noProof/>
            <w:webHidden/>
          </w:rPr>
          <w:t>576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47" w:history="1">
        <w:r w:rsidRPr="00CC53E5">
          <w:rPr>
            <w:rStyle w:val="Hyperlink"/>
            <w:noProof/>
          </w:rPr>
          <w:t>2.1.1564</w:t>
        </w:r>
        <w:r>
          <w:rPr>
            <w:rFonts w:asciiTheme="minorHAnsi" w:eastAsiaTheme="minorEastAsia" w:hAnsiTheme="minorHAnsi" w:cstheme="minorBidi"/>
            <w:noProof/>
            <w:sz w:val="22"/>
            <w:szCs w:val="22"/>
          </w:rPr>
          <w:tab/>
        </w:r>
        <w:r w:rsidRPr="00CC53E5">
          <w:rPr>
            <w:rStyle w:val="Hyperlink"/>
            <w:noProof/>
          </w:rPr>
          <w:t>Part 1 Section 21.2.2.225, val (Error Bar Value)</w:t>
        </w:r>
        <w:r>
          <w:rPr>
            <w:noProof/>
            <w:webHidden/>
          </w:rPr>
          <w:tab/>
        </w:r>
        <w:r>
          <w:rPr>
            <w:noProof/>
            <w:webHidden/>
          </w:rPr>
          <w:fldChar w:fldCharType="begin"/>
        </w:r>
        <w:r>
          <w:rPr>
            <w:noProof/>
            <w:webHidden/>
          </w:rPr>
          <w:instrText xml:space="preserve"> PAGEREF _Toc69879347 \h </w:instrText>
        </w:r>
        <w:r>
          <w:rPr>
            <w:noProof/>
            <w:webHidden/>
          </w:rPr>
        </w:r>
        <w:r>
          <w:rPr>
            <w:noProof/>
            <w:webHidden/>
          </w:rPr>
          <w:fldChar w:fldCharType="separate"/>
        </w:r>
        <w:r>
          <w:rPr>
            <w:noProof/>
            <w:webHidden/>
          </w:rPr>
          <w:t>576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48" w:history="1">
        <w:r w:rsidRPr="00CC53E5">
          <w:rPr>
            <w:rStyle w:val="Hyperlink"/>
            <w:noProof/>
          </w:rPr>
          <w:t>2.1.1565</w:t>
        </w:r>
        <w:r>
          <w:rPr>
            <w:rFonts w:asciiTheme="minorHAnsi" w:eastAsiaTheme="minorEastAsia" w:hAnsiTheme="minorHAnsi" w:cstheme="minorBidi"/>
            <w:noProof/>
            <w:sz w:val="22"/>
            <w:szCs w:val="22"/>
          </w:rPr>
          <w:tab/>
        </w:r>
        <w:r w:rsidRPr="00CC53E5">
          <w:rPr>
            <w:rStyle w:val="Hyperlink"/>
            <w:noProof/>
          </w:rPr>
          <w:t>Part 1 Section 21.2.2.226, valAx (Value Axis)</w:t>
        </w:r>
        <w:r>
          <w:rPr>
            <w:noProof/>
            <w:webHidden/>
          </w:rPr>
          <w:tab/>
        </w:r>
        <w:r>
          <w:rPr>
            <w:noProof/>
            <w:webHidden/>
          </w:rPr>
          <w:fldChar w:fldCharType="begin"/>
        </w:r>
        <w:r>
          <w:rPr>
            <w:noProof/>
            <w:webHidden/>
          </w:rPr>
          <w:instrText xml:space="preserve"> PAGEREF _Toc69879348 \h </w:instrText>
        </w:r>
        <w:r>
          <w:rPr>
            <w:noProof/>
            <w:webHidden/>
          </w:rPr>
        </w:r>
        <w:r>
          <w:rPr>
            <w:noProof/>
            <w:webHidden/>
          </w:rPr>
          <w:fldChar w:fldCharType="separate"/>
        </w:r>
        <w:r>
          <w:rPr>
            <w:noProof/>
            <w:webHidden/>
          </w:rPr>
          <w:t>576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49" w:history="1">
        <w:r w:rsidRPr="00CC53E5">
          <w:rPr>
            <w:rStyle w:val="Hyperlink"/>
            <w:noProof/>
          </w:rPr>
          <w:t>2.1.1566</w:t>
        </w:r>
        <w:r>
          <w:rPr>
            <w:rFonts w:asciiTheme="minorHAnsi" w:eastAsiaTheme="minorEastAsia" w:hAnsiTheme="minorHAnsi" w:cstheme="minorBidi"/>
            <w:noProof/>
            <w:sz w:val="22"/>
            <w:szCs w:val="22"/>
          </w:rPr>
          <w:tab/>
        </w:r>
        <w:r w:rsidRPr="00CC53E5">
          <w:rPr>
            <w:rStyle w:val="Hyperlink"/>
            <w:noProof/>
          </w:rPr>
          <w:t>Part 1 Section 21.2.2.227, varyColors (Vary Colors by Point)</w:t>
        </w:r>
        <w:r>
          <w:rPr>
            <w:noProof/>
            <w:webHidden/>
          </w:rPr>
          <w:tab/>
        </w:r>
        <w:r>
          <w:rPr>
            <w:noProof/>
            <w:webHidden/>
          </w:rPr>
          <w:fldChar w:fldCharType="begin"/>
        </w:r>
        <w:r>
          <w:rPr>
            <w:noProof/>
            <w:webHidden/>
          </w:rPr>
          <w:instrText xml:space="preserve"> PAGEREF _Toc69879349 \h </w:instrText>
        </w:r>
        <w:r>
          <w:rPr>
            <w:noProof/>
            <w:webHidden/>
          </w:rPr>
        </w:r>
        <w:r>
          <w:rPr>
            <w:noProof/>
            <w:webHidden/>
          </w:rPr>
          <w:fldChar w:fldCharType="separate"/>
        </w:r>
        <w:r>
          <w:rPr>
            <w:noProof/>
            <w:webHidden/>
          </w:rPr>
          <w:t>577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50" w:history="1">
        <w:r w:rsidRPr="00CC53E5">
          <w:rPr>
            <w:rStyle w:val="Hyperlink"/>
            <w:noProof/>
          </w:rPr>
          <w:t>2.1.1567</w:t>
        </w:r>
        <w:r>
          <w:rPr>
            <w:rFonts w:asciiTheme="minorHAnsi" w:eastAsiaTheme="minorEastAsia" w:hAnsiTheme="minorHAnsi" w:cstheme="minorBidi"/>
            <w:noProof/>
            <w:sz w:val="22"/>
            <w:szCs w:val="22"/>
          </w:rPr>
          <w:tab/>
        </w:r>
        <w:r w:rsidRPr="00CC53E5">
          <w:rPr>
            <w:rStyle w:val="Hyperlink"/>
            <w:noProof/>
          </w:rPr>
          <w:t>Part 1 Section 21.2.2.228, view3D (View In 3D)</w:t>
        </w:r>
        <w:r>
          <w:rPr>
            <w:noProof/>
            <w:webHidden/>
          </w:rPr>
          <w:tab/>
        </w:r>
        <w:r>
          <w:rPr>
            <w:noProof/>
            <w:webHidden/>
          </w:rPr>
          <w:fldChar w:fldCharType="begin"/>
        </w:r>
        <w:r>
          <w:rPr>
            <w:noProof/>
            <w:webHidden/>
          </w:rPr>
          <w:instrText xml:space="preserve"> PAGEREF _Toc69879350 \h </w:instrText>
        </w:r>
        <w:r>
          <w:rPr>
            <w:noProof/>
            <w:webHidden/>
          </w:rPr>
        </w:r>
        <w:r>
          <w:rPr>
            <w:noProof/>
            <w:webHidden/>
          </w:rPr>
          <w:fldChar w:fldCharType="separate"/>
        </w:r>
        <w:r>
          <w:rPr>
            <w:noProof/>
            <w:webHidden/>
          </w:rPr>
          <w:t>577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51" w:history="1">
        <w:r w:rsidRPr="00CC53E5">
          <w:rPr>
            <w:rStyle w:val="Hyperlink"/>
            <w:noProof/>
          </w:rPr>
          <w:t>2.1.1568</w:t>
        </w:r>
        <w:r>
          <w:rPr>
            <w:rFonts w:asciiTheme="minorHAnsi" w:eastAsiaTheme="minorEastAsia" w:hAnsiTheme="minorHAnsi" w:cstheme="minorBidi"/>
            <w:noProof/>
            <w:sz w:val="22"/>
            <w:szCs w:val="22"/>
          </w:rPr>
          <w:tab/>
        </w:r>
        <w:r w:rsidRPr="00CC53E5">
          <w:rPr>
            <w:rStyle w:val="Hyperlink"/>
            <w:noProof/>
          </w:rPr>
          <w:t>Part 1 Section 21.2.2.229, w (Width)</w:t>
        </w:r>
        <w:r>
          <w:rPr>
            <w:noProof/>
            <w:webHidden/>
          </w:rPr>
          <w:tab/>
        </w:r>
        <w:r>
          <w:rPr>
            <w:noProof/>
            <w:webHidden/>
          </w:rPr>
          <w:fldChar w:fldCharType="begin"/>
        </w:r>
        <w:r>
          <w:rPr>
            <w:noProof/>
            <w:webHidden/>
          </w:rPr>
          <w:instrText xml:space="preserve"> PAGEREF _Toc69879351 \h </w:instrText>
        </w:r>
        <w:r>
          <w:rPr>
            <w:noProof/>
            <w:webHidden/>
          </w:rPr>
        </w:r>
        <w:r>
          <w:rPr>
            <w:noProof/>
            <w:webHidden/>
          </w:rPr>
          <w:fldChar w:fldCharType="separate"/>
        </w:r>
        <w:r>
          <w:rPr>
            <w:noProof/>
            <w:webHidden/>
          </w:rPr>
          <w:t>577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52" w:history="1">
        <w:r w:rsidRPr="00CC53E5">
          <w:rPr>
            <w:rStyle w:val="Hyperlink"/>
            <w:noProof/>
          </w:rPr>
          <w:t>2.1.1569</w:t>
        </w:r>
        <w:r>
          <w:rPr>
            <w:rFonts w:asciiTheme="minorHAnsi" w:eastAsiaTheme="minorEastAsia" w:hAnsiTheme="minorHAnsi" w:cstheme="minorBidi"/>
            <w:noProof/>
            <w:sz w:val="22"/>
            <w:szCs w:val="22"/>
          </w:rPr>
          <w:tab/>
        </w:r>
        <w:r w:rsidRPr="00CC53E5">
          <w:rPr>
            <w:rStyle w:val="Hyperlink"/>
            <w:noProof/>
          </w:rPr>
          <w:t>Part 1 Section 21.2.2.231, wMode (Width Mode)</w:t>
        </w:r>
        <w:r>
          <w:rPr>
            <w:noProof/>
            <w:webHidden/>
          </w:rPr>
          <w:tab/>
        </w:r>
        <w:r>
          <w:rPr>
            <w:noProof/>
            <w:webHidden/>
          </w:rPr>
          <w:fldChar w:fldCharType="begin"/>
        </w:r>
        <w:r>
          <w:rPr>
            <w:noProof/>
            <w:webHidden/>
          </w:rPr>
          <w:instrText xml:space="preserve"> PAGEREF _Toc69879352 \h </w:instrText>
        </w:r>
        <w:r>
          <w:rPr>
            <w:noProof/>
            <w:webHidden/>
          </w:rPr>
        </w:r>
        <w:r>
          <w:rPr>
            <w:noProof/>
            <w:webHidden/>
          </w:rPr>
          <w:fldChar w:fldCharType="separate"/>
        </w:r>
        <w:r>
          <w:rPr>
            <w:noProof/>
            <w:webHidden/>
          </w:rPr>
          <w:t>577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53" w:history="1">
        <w:r w:rsidRPr="00CC53E5">
          <w:rPr>
            <w:rStyle w:val="Hyperlink"/>
            <w:noProof/>
          </w:rPr>
          <w:t>2.1.1570</w:t>
        </w:r>
        <w:r>
          <w:rPr>
            <w:rFonts w:asciiTheme="minorHAnsi" w:eastAsiaTheme="minorEastAsia" w:hAnsiTheme="minorHAnsi" w:cstheme="minorBidi"/>
            <w:noProof/>
            <w:sz w:val="22"/>
            <w:szCs w:val="22"/>
          </w:rPr>
          <w:tab/>
        </w:r>
        <w:r w:rsidRPr="00CC53E5">
          <w:rPr>
            <w:rStyle w:val="Hyperlink"/>
            <w:noProof/>
          </w:rPr>
          <w:t>Part 1 Section 21.2.2.232, x (Left)</w:t>
        </w:r>
        <w:r>
          <w:rPr>
            <w:noProof/>
            <w:webHidden/>
          </w:rPr>
          <w:tab/>
        </w:r>
        <w:r>
          <w:rPr>
            <w:noProof/>
            <w:webHidden/>
          </w:rPr>
          <w:fldChar w:fldCharType="begin"/>
        </w:r>
        <w:r>
          <w:rPr>
            <w:noProof/>
            <w:webHidden/>
          </w:rPr>
          <w:instrText xml:space="preserve"> PAGEREF _Toc69879353 \h </w:instrText>
        </w:r>
        <w:r>
          <w:rPr>
            <w:noProof/>
            <w:webHidden/>
          </w:rPr>
        </w:r>
        <w:r>
          <w:rPr>
            <w:noProof/>
            <w:webHidden/>
          </w:rPr>
          <w:fldChar w:fldCharType="separate"/>
        </w:r>
        <w:r>
          <w:rPr>
            <w:noProof/>
            <w:webHidden/>
          </w:rPr>
          <w:t>578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54" w:history="1">
        <w:r w:rsidRPr="00CC53E5">
          <w:rPr>
            <w:rStyle w:val="Hyperlink"/>
            <w:noProof/>
          </w:rPr>
          <w:t>2.1.1571</w:t>
        </w:r>
        <w:r>
          <w:rPr>
            <w:rFonts w:asciiTheme="minorHAnsi" w:eastAsiaTheme="minorEastAsia" w:hAnsiTheme="minorHAnsi" w:cstheme="minorBidi"/>
            <w:noProof/>
            <w:sz w:val="22"/>
            <w:szCs w:val="22"/>
          </w:rPr>
          <w:tab/>
        </w:r>
        <w:r w:rsidRPr="00CC53E5">
          <w:rPr>
            <w:rStyle w:val="Hyperlink"/>
            <w:noProof/>
          </w:rPr>
          <w:t>Part 1 Section 21.2.2.233, xMode (Left Mode)</w:t>
        </w:r>
        <w:r>
          <w:rPr>
            <w:noProof/>
            <w:webHidden/>
          </w:rPr>
          <w:tab/>
        </w:r>
        <w:r>
          <w:rPr>
            <w:noProof/>
            <w:webHidden/>
          </w:rPr>
          <w:fldChar w:fldCharType="begin"/>
        </w:r>
        <w:r>
          <w:rPr>
            <w:noProof/>
            <w:webHidden/>
          </w:rPr>
          <w:instrText xml:space="preserve"> PAGEREF _Toc69879354 \h </w:instrText>
        </w:r>
        <w:r>
          <w:rPr>
            <w:noProof/>
            <w:webHidden/>
          </w:rPr>
        </w:r>
        <w:r>
          <w:rPr>
            <w:noProof/>
            <w:webHidden/>
          </w:rPr>
          <w:fldChar w:fldCharType="separate"/>
        </w:r>
        <w:r>
          <w:rPr>
            <w:noProof/>
            <w:webHidden/>
          </w:rPr>
          <w:t>578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55" w:history="1">
        <w:r w:rsidRPr="00CC53E5">
          <w:rPr>
            <w:rStyle w:val="Hyperlink"/>
            <w:noProof/>
          </w:rPr>
          <w:t>2.1.1572</w:t>
        </w:r>
        <w:r>
          <w:rPr>
            <w:rFonts w:asciiTheme="minorHAnsi" w:eastAsiaTheme="minorEastAsia" w:hAnsiTheme="minorHAnsi" w:cstheme="minorBidi"/>
            <w:noProof/>
            <w:sz w:val="22"/>
            <w:szCs w:val="22"/>
          </w:rPr>
          <w:tab/>
        </w:r>
        <w:r w:rsidRPr="00CC53E5">
          <w:rPr>
            <w:rStyle w:val="Hyperlink"/>
            <w:noProof/>
          </w:rPr>
          <w:t>Part 1 Section 21.2.2.235, y (Top)</w:t>
        </w:r>
        <w:r>
          <w:rPr>
            <w:noProof/>
            <w:webHidden/>
          </w:rPr>
          <w:tab/>
        </w:r>
        <w:r>
          <w:rPr>
            <w:noProof/>
            <w:webHidden/>
          </w:rPr>
          <w:fldChar w:fldCharType="begin"/>
        </w:r>
        <w:r>
          <w:rPr>
            <w:noProof/>
            <w:webHidden/>
          </w:rPr>
          <w:instrText xml:space="preserve"> PAGEREF _Toc69879355 \h </w:instrText>
        </w:r>
        <w:r>
          <w:rPr>
            <w:noProof/>
            <w:webHidden/>
          </w:rPr>
        </w:r>
        <w:r>
          <w:rPr>
            <w:noProof/>
            <w:webHidden/>
          </w:rPr>
          <w:fldChar w:fldCharType="separate"/>
        </w:r>
        <w:r>
          <w:rPr>
            <w:noProof/>
            <w:webHidden/>
          </w:rPr>
          <w:t>578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56" w:history="1">
        <w:r w:rsidRPr="00CC53E5">
          <w:rPr>
            <w:rStyle w:val="Hyperlink"/>
            <w:noProof/>
          </w:rPr>
          <w:t>2.1.1573</w:t>
        </w:r>
        <w:r>
          <w:rPr>
            <w:rFonts w:asciiTheme="minorHAnsi" w:eastAsiaTheme="minorEastAsia" w:hAnsiTheme="minorHAnsi" w:cstheme="minorBidi"/>
            <w:noProof/>
            <w:sz w:val="22"/>
            <w:szCs w:val="22"/>
          </w:rPr>
          <w:tab/>
        </w:r>
        <w:r w:rsidRPr="00CC53E5">
          <w:rPr>
            <w:rStyle w:val="Hyperlink"/>
            <w:noProof/>
          </w:rPr>
          <w:t>Part 1 Section 21.2.2.236, yMode (Top Mode)</w:t>
        </w:r>
        <w:r>
          <w:rPr>
            <w:noProof/>
            <w:webHidden/>
          </w:rPr>
          <w:tab/>
        </w:r>
        <w:r>
          <w:rPr>
            <w:noProof/>
            <w:webHidden/>
          </w:rPr>
          <w:fldChar w:fldCharType="begin"/>
        </w:r>
        <w:r>
          <w:rPr>
            <w:noProof/>
            <w:webHidden/>
          </w:rPr>
          <w:instrText xml:space="preserve"> PAGEREF _Toc69879356 \h </w:instrText>
        </w:r>
        <w:r>
          <w:rPr>
            <w:noProof/>
            <w:webHidden/>
          </w:rPr>
        </w:r>
        <w:r>
          <w:rPr>
            <w:noProof/>
            <w:webHidden/>
          </w:rPr>
          <w:fldChar w:fldCharType="separate"/>
        </w:r>
        <w:r>
          <w:rPr>
            <w:noProof/>
            <w:webHidden/>
          </w:rPr>
          <w:t>579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57" w:history="1">
        <w:r w:rsidRPr="00CC53E5">
          <w:rPr>
            <w:rStyle w:val="Hyperlink"/>
            <w:noProof/>
          </w:rPr>
          <w:t>2.1.1574</w:t>
        </w:r>
        <w:r>
          <w:rPr>
            <w:rFonts w:asciiTheme="minorHAnsi" w:eastAsiaTheme="minorEastAsia" w:hAnsiTheme="minorHAnsi" w:cstheme="minorBidi"/>
            <w:noProof/>
            <w:sz w:val="22"/>
            <w:szCs w:val="22"/>
          </w:rPr>
          <w:tab/>
        </w:r>
        <w:r w:rsidRPr="00CC53E5">
          <w:rPr>
            <w:rStyle w:val="Hyperlink"/>
            <w:noProof/>
          </w:rPr>
          <w:t>Part 1 Section 21.2.3.1, ST_AxisUnit (Axis Unit)</w:t>
        </w:r>
        <w:r>
          <w:rPr>
            <w:noProof/>
            <w:webHidden/>
          </w:rPr>
          <w:tab/>
        </w:r>
        <w:r>
          <w:rPr>
            <w:noProof/>
            <w:webHidden/>
          </w:rPr>
          <w:fldChar w:fldCharType="begin"/>
        </w:r>
        <w:r>
          <w:rPr>
            <w:noProof/>
            <w:webHidden/>
          </w:rPr>
          <w:instrText xml:space="preserve"> PAGEREF _Toc69879357 \h </w:instrText>
        </w:r>
        <w:r>
          <w:rPr>
            <w:noProof/>
            <w:webHidden/>
          </w:rPr>
        </w:r>
        <w:r>
          <w:rPr>
            <w:noProof/>
            <w:webHidden/>
          </w:rPr>
          <w:fldChar w:fldCharType="separate"/>
        </w:r>
        <w:r>
          <w:rPr>
            <w:noProof/>
            <w:webHidden/>
          </w:rPr>
          <w:t>579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58" w:history="1">
        <w:r w:rsidRPr="00CC53E5">
          <w:rPr>
            <w:rStyle w:val="Hyperlink"/>
            <w:noProof/>
          </w:rPr>
          <w:t>2.1.1575</w:t>
        </w:r>
        <w:r>
          <w:rPr>
            <w:rFonts w:asciiTheme="minorHAnsi" w:eastAsiaTheme="minorEastAsia" w:hAnsiTheme="minorHAnsi" w:cstheme="minorBidi"/>
            <w:noProof/>
            <w:sz w:val="22"/>
            <w:szCs w:val="22"/>
          </w:rPr>
          <w:tab/>
        </w:r>
        <w:r w:rsidRPr="00CC53E5">
          <w:rPr>
            <w:rStyle w:val="Hyperlink"/>
            <w:noProof/>
          </w:rPr>
          <w:t>Part 1 Section 21.2.3.3, ST_BarDir (Bar Direction)</w:t>
        </w:r>
        <w:r>
          <w:rPr>
            <w:noProof/>
            <w:webHidden/>
          </w:rPr>
          <w:tab/>
        </w:r>
        <w:r>
          <w:rPr>
            <w:noProof/>
            <w:webHidden/>
          </w:rPr>
          <w:fldChar w:fldCharType="begin"/>
        </w:r>
        <w:r>
          <w:rPr>
            <w:noProof/>
            <w:webHidden/>
          </w:rPr>
          <w:instrText xml:space="preserve"> PAGEREF _Toc69879358 \h </w:instrText>
        </w:r>
        <w:r>
          <w:rPr>
            <w:noProof/>
            <w:webHidden/>
          </w:rPr>
        </w:r>
        <w:r>
          <w:rPr>
            <w:noProof/>
            <w:webHidden/>
          </w:rPr>
          <w:fldChar w:fldCharType="separate"/>
        </w:r>
        <w:r>
          <w:rPr>
            <w:noProof/>
            <w:webHidden/>
          </w:rPr>
          <w:t>579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59" w:history="1">
        <w:r w:rsidRPr="00CC53E5">
          <w:rPr>
            <w:rStyle w:val="Hyperlink"/>
            <w:noProof/>
          </w:rPr>
          <w:t>2.1.1576</w:t>
        </w:r>
        <w:r>
          <w:rPr>
            <w:rFonts w:asciiTheme="minorHAnsi" w:eastAsiaTheme="minorEastAsia" w:hAnsiTheme="minorHAnsi" w:cstheme="minorBidi"/>
            <w:noProof/>
            <w:sz w:val="22"/>
            <w:szCs w:val="22"/>
          </w:rPr>
          <w:tab/>
        </w:r>
        <w:r w:rsidRPr="00CC53E5">
          <w:rPr>
            <w:rStyle w:val="Hyperlink"/>
            <w:noProof/>
          </w:rPr>
          <w:t>Part 1 Section 21.2.3.4, ST_BarGrouping (Bar Grouping)</w:t>
        </w:r>
        <w:r>
          <w:rPr>
            <w:noProof/>
            <w:webHidden/>
          </w:rPr>
          <w:tab/>
        </w:r>
        <w:r>
          <w:rPr>
            <w:noProof/>
            <w:webHidden/>
          </w:rPr>
          <w:fldChar w:fldCharType="begin"/>
        </w:r>
        <w:r>
          <w:rPr>
            <w:noProof/>
            <w:webHidden/>
          </w:rPr>
          <w:instrText xml:space="preserve"> PAGEREF _Toc69879359 \h </w:instrText>
        </w:r>
        <w:r>
          <w:rPr>
            <w:noProof/>
            <w:webHidden/>
          </w:rPr>
        </w:r>
        <w:r>
          <w:rPr>
            <w:noProof/>
            <w:webHidden/>
          </w:rPr>
          <w:fldChar w:fldCharType="separate"/>
        </w:r>
        <w:r>
          <w:rPr>
            <w:noProof/>
            <w:webHidden/>
          </w:rPr>
          <w:t>579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60" w:history="1">
        <w:r w:rsidRPr="00CC53E5">
          <w:rPr>
            <w:rStyle w:val="Hyperlink"/>
            <w:noProof/>
          </w:rPr>
          <w:t>2.1.1577</w:t>
        </w:r>
        <w:r>
          <w:rPr>
            <w:rFonts w:asciiTheme="minorHAnsi" w:eastAsiaTheme="minorEastAsia" w:hAnsiTheme="minorHAnsi" w:cstheme="minorBidi"/>
            <w:noProof/>
            <w:sz w:val="22"/>
            <w:szCs w:val="22"/>
          </w:rPr>
          <w:tab/>
        </w:r>
        <w:r w:rsidRPr="00CC53E5">
          <w:rPr>
            <w:rStyle w:val="Hyperlink"/>
            <w:noProof/>
          </w:rPr>
          <w:t>Part 1 Section 21.2.3.6, ST_BuiltInUnit (Built-In Unit)</w:t>
        </w:r>
        <w:r>
          <w:rPr>
            <w:noProof/>
            <w:webHidden/>
          </w:rPr>
          <w:tab/>
        </w:r>
        <w:r>
          <w:rPr>
            <w:noProof/>
            <w:webHidden/>
          </w:rPr>
          <w:fldChar w:fldCharType="begin"/>
        </w:r>
        <w:r>
          <w:rPr>
            <w:noProof/>
            <w:webHidden/>
          </w:rPr>
          <w:instrText xml:space="preserve"> PAGEREF _Toc69879360 \h </w:instrText>
        </w:r>
        <w:r>
          <w:rPr>
            <w:noProof/>
            <w:webHidden/>
          </w:rPr>
        </w:r>
        <w:r>
          <w:rPr>
            <w:noProof/>
            <w:webHidden/>
          </w:rPr>
          <w:fldChar w:fldCharType="separate"/>
        </w:r>
        <w:r>
          <w:rPr>
            <w:noProof/>
            <w:webHidden/>
          </w:rPr>
          <w:t>579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61" w:history="1">
        <w:r w:rsidRPr="00CC53E5">
          <w:rPr>
            <w:rStyle w:val="Hyperlink"/>
            <w:noProof/>
          </w:rPr>
          <w:t>2.1.1578</w:t>
        </w:r>
        <w:r>
          <w:rPr>
            <w:rFonts w:asciiTheme="minorHAnsi" w:eastAsiaTheme="minorEastAsia" w:hAnsiTheme="minorHAnsi" w:cstheme="minorBidi"/>
            <w:noProof/>
            <w:sz w:val="22"/>
            <w:szCs w:val="22"/>
          </w:rPr>
          <w:tab/>
        </w:r>
        <w:r w:rsidRPr="00CC53E5">
          <w:rPr>
            <w:rStyle w:val="Hyperlink"/>
            <w:noProof/>
          </w:rPr>
          <w:t>Part 1 Section 21.2.3.8, ST_Crosses (Crosses)</w:t>
        </w:r>
        <w:r>
          <w:rPr>
            <w:noProof/>
            <w:webHidden/>
          </w:rPr>
          <w:tab/>
        </w:r>
        <w:r>
          <w:rPr>
            <w:noProof/>
            <w:webHidden/>
          </w:rPr>
          <w:fldChar w:fldCharType="begin"/>
        </w:r>
        <w:r>
          <w:rPr>
            <w:noProof/>
            <w:webHidden/>
          </w:rPr>
          <w:instrText xml:space="preserve"> PAGEREF _Toc69879361 \h </w:instrText>
        </w:r>
        <w:r>
          <w:rPr>
            <w:noProof/>
            <w:webHidden/>
          </w:rPr>
        </w:r>
        <w:r>
          <w:rPr>
            <w:noProof/>
            <w:webHidden/>
          </w:rPr>
          <w:fldChar w:fldCharType="separate"/>
        </w:r>
        <w:r>
          <w:rPr>
            <w:noProof/>
            <w:webHidden/>
          </w:rPr>
          <w:t>579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62" w:history="1">
        <w:r w:rsidRPr="00CC53E5">
          <w:rPr>
            <w:rStyle w:val="Hyperlink"/>
            <w:noProof/>
          </w:rPr>
          <w:t>2.1.1579</w:t>
        </w:r>
        <w:r>
          <w:rPr>
            <w:rFonts w:asciiTheme="minorHAnsi" w:eastAsiaTheme="minorEastAsia" w:hAnsiTheme="minorHAnsi" w:cstheme="minorBidi"/>
            <w:noProof/>
            <w:sz w:val="22"/>
            <w:szCs w:val="22"/>
          </w:rPr>
          <w:tab/>
        </w:r>
        <w:r w:rsidRPr="00CC53E5">
          <w:rPr>
            <w:rStyle w:val="Hyperlink"/>
            <w:noProof/>
          </w:rPr>
          <w:t>Part 1 Section 21.2.3.14, ST_ErrValType (Error Value Type)</w:t>
        </w:r>
        <w:r>
          <w:rPr>
            <w:noProof/>
            <w:webHidden/>
          </w:rPr>
          <w:tab/>
        </w:r>
        <w:r>
          <w:rPr>
            <w:noProof/>
            <w:webHidden/>
          </w:rPr>
          <w:fldChar w:fldCharType="begin"/>
        </w:r>
        <w:r>
          <w:rPr>
            <w:noProof/>
            <w:webHidden/>
          </w:rPr>
          <w:instrText xml:space="preserve"> PAGEREF _Toc69879362 \h </w:instrText>
        </w:r>
        <w:r>
          <w:rPr>
            <w:noProof/>
            <w:webHidden/>
          </w:rPr>
        </w:r>
        <w:r>
          <w:rPr>
            <w:noProof/>
            <w:webHidden/>
          </w:rPr>
          <w:fldChar w:fldCharType="separate"/>
        </w:r>
        <w:r>
          <w:rPr>
            <w:noProof/>
            <w:webHidden/>
          </w:rPr>
          <w:t>580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63" w:history="1">
        <w:r w:rsidRPr="00CC53E5">
          <w:rPr>
            <w:rStyle w:val="Hyperlink"/>
            <w:noProof/>
          </w:rPr>
          <w:t>2.1.1580</w:t>
        </w:r>
        <w:r>
          <w:rPr>
            <w:rFonts w:asciiTheme="minorHAnsi" w:eastAsiaTheme="minorEastAsia" w:hAnsiTheme="minorHAnsi" w:cstheme="minorBidi"/>
            <w:noProof/>
            <w:sz w:val="22"/>
            <w:szCs w:val="22"/>
          </w:rPr>
          <w:tab/>
        </w:r>
        <w:r w:rsidRPr="00CC53E5">
          <w:rPr>
            <w:rStyle w:val="Hyperlink"/>
            <w:noProof/>
          </w:rPr>
          <w:t>Part 1 Section 21.2.3.17, ST_Grouping (Grouping)</w:t>
        </w:r>
        <w:r>
          <w:rPr>
            <w:noProof/>
            <w:webHidden/>
          </w:rPr>
          <w:tab/>
        </w:r>
        <w:r>
          <w:rPr>
            <w:noProof/>
            <w:webHidden/>
          </w:rPr>
          <w:fldChar w:fldCharType="begin"/>
        </w:r>
        <w:r>
          <w:rPr>
            <w:noProof/>
            <w:webHidden/>
          </w:rPr>
          <w:instrText xml:space="preserve"> PAGEREF _Toc69879363 \h </w:instrText>
        </w:r>
        <w:r>
          <w:rPr>
            <w:noProof/>
            <w:webHidden/>
          </w:rPr>
        </w:r>
        <w:r>
          <w:rPr>
            <w:noProof/>
            <w:webHidden/>
          </w:rPr>
          <w:fldChar w:fldCharType="separate"/>
        </w:r>
        <w:r>
          <w:rPr>
            <w:noProof/>
            <w:webHidden/>
          </w:rPr>
          <w:t>580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64" w:history="1">
        <w:r w:rsidRPr="00CC53E5">
          <w:rPr>
            <w:rStyle w:val="Hyperlink"/>
            <w:noProof/>
          </w:rPr>
          <w:t>2.1.1581</w:t>
        </w:r>
        <w:r>
          <w:rPr>
            <w:rFonts w:asciiTheme="minorHAnsi" w:eastAsiaTheme="minorEastAsia" w:hAnsiTheme="minorHAnsi" w:cstheme="minorBidi"/>
            <w:noProof/>
            <w:sz w:val="22"/>
            <w:szCs w:val="22"/>
          </w:rPr>
          <w:tab/>
        </w:r>
        <w:r w:rsidRPr="00CC53E5">
          <w:rPr>
            <w:rStyle w:val="Hyperlink"/>
            <w:noProof/>
          </w:rPr>
          <w:t>Part 1 Section 21.2.3.18, ST_HoleSize (Hole Size)</w:t>
        </w:r>
        <w:r>
          <w:rPr>
            <w:noProof/>
            <w:webHidden/>
          </w:rPr>
          <w:tab/>
        </w:r>
        <w:r>
          <w:rPr>
            <w:noProof/>
            <w:webHidden/>
          </w:rPr>
          <w:fldChar w:fldCharType="begin"/>
        </w:r>
        <w:r>
          <w:rPr>
            <w:noProof/>
            <w:webHidden/>
          </w:rPr>
          <w:instrText xml:space="preserve"> PAGEREF _Toc69879364 \h </w:instrText>
        </w:r>
        <w:r>
          <w:rPr>
            <w:noProof/>
            <w:webHidden/>
          </w:rPr>
        </w:r>
        <w:r>
          <w:rPr>
            <w:noProof/>
            <w:webHidden/>
          </w:rPr>
          <w:fldChar w:fldCharType="separate"/>
        </w:r>
        <w:r>
          <w:rPr>
            <w:noProof/>
            <w:webHidden/>
          </w:rPr>
          <w:t>580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65" w:history="1">
        <w:r w:rsidRPr="00CC53E5">
          <w:rPr>
            <w:rStyle w:val="Hyperlink"/>
            <w:noProof/>
          </w:rPr>
          <w:t>2.1.1582</w:t>
        </w:r>
        <w:r>
          <w:rPr>
            <w:rFonts w:asciiTheme="minorHAnsi" w:eastAsiaTheme="minorEastAsia" w:hAnsiTheme="minorHAnsi" w:cstheme="minorBidi"/>
            <w:noProof/>
            <w:sz w:val="22"/>
            <w:szCs w:val="22"/>
          </w:rPr>
          <w:tab/>
        </w:r>
        <w:r w:rsidRPr="00CC53E5">
          <w:rPr>
            <w:rStyle w:val="Hyperlink"/>
            <w:noProof/>
          </w:rPr>
          <w:t>Part 1 Section 21.2.3.20, ST_LayoutMode (Layout Mode)</w:t>
        </w:r>
        <w:r>
          <w:rPr>
            <w:noProof/>
            <w:webHidden/>
          </w:rPr>
          <w:tab/>
        </w:r>
        <w:r>
          <w:rPr>
            <w:noProof/>
            <w:webHidden/>
          </w:rPr>
          <w:fldChar w:fldCharType="begin"/>
        </w:r>
        <w:r>
          <w:rPr>
            <w:noProof/>
            <w:webHidden/>
          </w:rPr>
          <w:instrText xml:space="preserve"> PAGEREF _Toc69879365 \h </w:instrText>
        </w:r>
        <w:r>
          <w:rPr>
            <w:noProof/>
            <w:webHidden/>
          </w:rPr>
        </w:r>
        <w:r>
          <w:rPr>
            <w:noProof/>
            <w:webHidden/>
          </w:rPr>
          <w:fldChar w:fldCharType="separate"/>
        </w:r>
        <w:r>
          <w:rPr>
            <w:noProof/>
            <w:webHidden/>
          </w:rPr>
          <w:t>580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66" w:history="1">
        <w:r w:rsidRPr="00CC53E5">
          <w:rPr>
            <w:rStyle w:val="Hyperlink"/>
            <w:noProof/>
          </w:rPr>
          <w:t>2.1.1583</w:t>
        </w:r>
        <w:r>
          <w:rPr>
            <w:rFonts w:asciiTheme="minorHAnsi" w:eastAsiaTheme="minorEastAsia" w:hAnsiTheme="minorHAnsi" w:cstheme="minorBidi"/>
            <w:noProof/>
            <w:sz w:val="22"/>
            <w:szCs w:val="22"/>
          </w:rPr>
          <w:tab/>
        </w:r>
        <w:r w:rsidRPr="00CC53E5">
          <w:rPr>
            <w:rStyle w:val="Hyperlink"/>
            <w:noProof/>
          </w:rPr>
          <w:t>Part 1 Section 21.2.3.27, ST_MarkerStyle (Marker Style)</w:t>
        </w:r>
        <w:r>
          <w:rPr>
            <w:noProof/>
            <w:webHidden/>
          </w:rPr>
          <w:tab/>
        </w:r>
        <w:r>
          <w:rPr>
            <w:noProof/>
            <w:webHidden/>
          </w:rPr>
          <w:fldChar w:fldCharType="begin"/>
        </w:r>
        <w:r>
          <w:rPr>
            <w:noProof/>
            <w:webHidden/>
          </w:rPr>
          <w:instrText xml:space="preserve"> PAGEREF _Toc69879366 \h </w:instrText>
        </w:r>
        <w:r>
          <w:rPr>
            <w:noProof/>
            <w:webHidden/>
          </w:rPr>
        </w:r>
        <w:r>
          <w:rPr>
            <w:noProof/>
            <w:webHidden/>
          </w:rPr>
          <w:fldChar w:fldCharType="separate"/>
        </w:r>
        <w:r>
          <w:rPr>
            <w:noProof/>
            <w:webHidden/>
          </w:rPr>
          <w:t>580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67" w:history="1">
        <w:r w:rsidRPr="00CC53E5">
          <w:rPr>
            <w:rStyle w:val="Hyperlink"/>
            <w:noProof/>
          </w:rPr>
          <w:t>2.1.1584</w:t>
        </w:r>
        <w:r>
          <w:rPr>
            <w:rFonts w:asciiTheme="minorHAnsi" w:eastAsiaTheme="minorEastAsia" w:hAnsiTheme="minorHAnsi" w:cstheme="minorBidi"/>
            <w:noProof/>
            <w:sz w:val="22"/>
            <w:szCs w:val="22"/>
          </w:rPr>
          <w:tab/>
        </w:r>
        <w:r w:rsidRPr="00CC53E5">
          <w:rPr>
            <w:rStyle w:val="Hyperlink"/>
            <w:noProof/>
          </w:rPr>
          <w:t>Part 1 Section 21.2.3.30, ST_Orientation (Orientation)</w:t>
        </w:r>
        <w:r>
          <w:rPr>
            <w:noProof/>
            <w:webHidden/>
          </w:rPr>
          <w:tab/>
        </w:r>
        <w:r>
          <w:rPr>
            <w:noProof/>
            <w:webHidden/>
          </w:rPr>
          <w:fldChar w:fldCharType="begin"/>
        </w:r>
        <w:r>
          <w:rPr>
            <w:noProof/>
            <w:webHidden/>
          </w:rPr>
          <w:instrText xml:space="preserve"> PAGEREF _Toc69879367 \h </w:instrText>
        </w:r>
        <w:r>
          <w:rPr>
            <w:noProof/>
            <w:webHidden/>
          </w:rPr>
        </w:r>
        <w:r>
          <w:rPr>
            <w:noProof/>
            <w:webHidden/>
          </w:rPr>
          <w:fldChar w:fldCharType="separate"/>
        </w:r>
        <w:r>
          <w:rPr>
            <w:noProof/>
            <w:webHidden/>
          </w:rPr>
          <w:t>581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68" w:history="1">
        <w:r w:rsidRPr="00CC53E5">
          <w:rPr>
            <w:rStyle w:val="Hyperlink"/>
            <w:noProof/>
          </w:rPr>
          <w:t>2.1.1585</w:t>
        </w:r>
        <w:r>
          <w:rPr>
            <w:rFonts w:asciiTheme="minorHAnsi" w:eastAsiaTheme="minorEastAsia" w:hAnsiTheme="minorHAnsi" w:cstheme="minorBidi"/>
            <w:noProof/>
            <w:sz w:val="22"/>
            <w:szCs w:val="22"/>
          </w:rPr>
          <w:tab/>
        </w:r>
        <w:r w:rsidRPr="00CC53E5">
          <w:rPr>
            <w:rStyle w:val="Hyperlink"/>
            <w:noProof/>
          </w:rPr>
          <w:t>Part 1 Section 21.2.3.33, ST_Period (Period)</w:t>
        </w:r>
        <w:r>
          <w:rPr>
            <w:noProof/>
            <w:webHidden/>
          </w:rPr>
          <w:tab/>
        </w:r>
        <w:r>
          <w:rPr>
            <w:noProof/>
            <w:webHidden/>
          </w:rPr>
          <w:fldChar w:fldCharType="begin"/>
        </w:r>
        <w:r>
          <w:rPr>
            <w:noProof/>
            <w:webHidden/>
          </w:rPr>
          <w:instrText xml:space="preserve"> PAGEREF _Toc69879368 \h </w:instrText>
        </w:r>
        <w:r>
          <w:rPr>
            <w:noProof/>
            <w:webHidden/>
          </w:rPr>
        </w:r>
        <w:r>
          <w:rPr>
            <w:noProof/>
            <w:webHidden/>
          </w:rPr>
          <w:fldChar w:fldCharType="separate"/>
        </w:r>
        <w:r>
          <w:rPr>
            <w:noProof/>
            <w:webHidden/>
          </w:rPr>
          <w:t>581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69" w:history="1">
        <w:r w:rsidRPr="00CC53E5">
          <w:rPr>
            <w:rStyle w:val="Hyperlink"/>
            <w:noProof/>
          </w:rPr>
          <w:t>2.1.1586</w:t>
        </w:r>
        <w:r>
          <w:rPr>
            <w:rFonts w:asciiTheme="minorHAnsi" w:eastAsiaTheme="minorEastAsia" w:hAnsiTheme="minorHAnsi" w:cstheme="minorBidi"/>
            <w:noProof/>
            <w:sz w:val="22"/>
            <w:szCs w:val="22"/>
          </w:rPr>
          <w:tab/>
        </w:r>
        <w:r w:rsidRPr="00CC53E5">
          <w:rPr>
            <w:rStyle w:val="Hyperlink"/>
            <w:noProof/>
          </w:rPr>
          <w:t>Part 1 Section 21.2.3.34, ST_Perspective (Perspective)</w:t>
        </w:r>
        <w:r>
          <w:rPr>
            <w:noProof/>
            <w:webHidden/>
          </w:rPr>
          <w:tab/>
        </w:r>
        <w:r>
          <w:rPr>
            <w:noProof/>
            <w:webHidden/>
          </w:rPr>
          <w:fldChar w:fldCharType="begin"/>
        </w:r>
        <w:r>
          <w:rPr>
            <w:noProof/>
            <w:webHidden/>
          </w:rPr>
          <w:instrText xml:space="preserve"> PAGEREF _Toc69879369 \h </w:instrText>
        </w:r>
        <w:r>
          <w:rPr>
            <w:noProof/>
            <w:webHidden/>
          </w:rPr>
        </w:r>
        <w:r>
          <w:rPr>
            <w:noProof/>
            <w:webHidden/>
          </w:rPr>
          <w:fldChar w:fldCharType="separate"/>
        </w:r>
        <w:r>
          <w:rPr>
            <w:noProof/>
            <w:webHidden/>
          </w:rPr>
          <w:t>581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70" w:history="1">
        <w:r w:rsidRPr="00CC53E5">
          <w:rPr>
            <w:rStyle w:val="Hyperlink"/>
            <w:noProof/>
          </w:rPr>
          <w:t>2.1.1587</w:t>
        </w:r>
        <w:r>
          <w:rPr>
            <w:rFonts w:asciiTheme="minorHAnsi" w:eastAsiaTheme="minorEastAsia" w:hAnsiTheme="minorHAnsi" w:cstheme="minorBidi"/>
            <w:noProof/>
            <w:sz w:val="22"/>
            <w:szCs w:val="22"/>
          </w:rPr>
          <w:tab/>
        </w:r>
        <w:r w:rsidRPr="00CC53E5">
          <w:rPr>
            <w:rStyle w:val="Hyperlink"/>
            <w:noProof/>
          </w:rPr>
          <w:t>Part 1 Section 21.2.3.35, ST_PictureFormat (Picture Format)</w:t>
        </w:r>
        <w:r>
          <w:rPr>
            <w:noProof/>
            <w:webHidden/>
          </w:rPr>
          <w:tab/>
        </w:r>
        <w:r>
          <w:rPr>
            <w:noProof/>
            <w:webHidden/>
          </w:rPr>
          <w:fldChar w:fldCharType="begin"/>
        </w:r>
        <w:r>
          <w:rPr>
            <w:noProof/>
            <w:webHidden/>
          </w:rPr>
          <w:instrText xml:space="preserve"> PAGEREF _Toc69879370 \h </w:instrText>
        </w:r>
        <w:r>
          <w:rPr>
            <w:noProof/>
            <w:webHidden/>
          </w:rPr>
        </w:r>
        <w:r>
          <w:rPr>
            <w:noProof/>
            <w:webHidden/>
          </w:rPr>
          <w:fldChar w:fldCharType="separate"/>
        </w:r>
        <w:r>
          <w:rPr>
            <w:noProof/>
            <w:webHidden/>
          </w:rPr>
          <w:t>581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71" w:history="1">
        <w:r w:rsidRPr="00CC53E5">
          <w:rPr>
            <w:rStyle w:val="Hyperlink"/>
            <w:noProof/>
          </w:rPr>
          <w:t>2.1.1588</w:t>
        </w:r>
        <w:r>
          <w:rPr>
            <w:rFonts w:asciiTheme="minorHAnsi" w:eastAsiaTheme="minorEastAsia" w:hAnsiTheme="minorHAnsi" w:cstheme="minorBidi"/>
            <w:noProof/>
            <w:sz w:val="22"/>
            <w:szCs w:val="22"/>
          </w:rPr>
          <w:tab/>
        </w:r>
        <w:r w:rsidRPr="00CC53E5">
          <w:rPr>
            <w:rStyle w:val="Hyperlink"/>
            <w:noProof/>
          </w:rPr>
          <w:t>Part 1 Section 21.2.3.37, ST_RadarStyle (Radar Style)</w:t>
        </w:r>
        <w:r>
          <w:rPr>
            <w:noProof/>
            <w:webHidden/>
          </w:rPr>
          <w:tab/>
        </w:r>
        <w:r>
          <w:rPr>
            <w:noProof/>
            <w:webHidden/>
          </w:rPr>
          <w:fldChar w:fldCharType="begin"/>
        </w:r>
        <w:r>
          <w:rPr>
            <w:noProof/>
            <w:webHidden/>
          </w:rPr>
          <w:instrText xml:space="preserve"> PAGEREF _Toc69879371 \h </w:instrText>
        </w:r>
        <w:r>
          <w:rPr>
            <w:noProof/>
            <w:webHidden/>
          </w:rPr>
        </w:r>
        <w:r>
          <w:rPr>
            <w:noProof/>
            <w:webHidden/>
          </w:rPr>
          <w:fldChar w:fldCharType="separate"/>
        </w:r>
        <w:r>
          <w:rPr>
            <w:noProof/>
            <w:webHidden/>
          </w:rPr>
          <w:t>581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72" w:history="1">
        <w:r w:rsidRPr="00CC53E5">
          <w:rPr>
            <w:rStyle w:val="Hyperlink"/>
            <w:noProof/>
          </w:rPr>
          <w:t>2.1.1589</w:t>
        </w:r>
        <w:r>
          <w:rPr>
            <w:rFonts w:asciiTheme="minorHAnsi" w:eastAsiaTheme="minorEastAsia" w:hAnsiTheme="minorHAnsi" w:cstheme="minorBidi"/>
            <w:noProof/>
            <w:sz w:val="22"/>
            <w:szCs w:val="22"/>
          </w:rPr>
          <w:tab/>
        </w:r>
        <w:r w:rsidRPr="00CC53E5">
          <w:rPr>
            <w:rStyle w:val="Hyperlink"/>
            <w:noProof/>
          </w:rPr>
          <w:t>Part 1 Section 21.2.3.40, ST_ScatterStyle (Scatter Style)</w:t>
        </w:r>
        <w:r>
          <w:rPr>
            <w:noProof/>
            <w:webHidden/>
          </w:rPr>
          <w:tab/>
        </w:r>
        <w:r>
          <w:rPr>
            <w:noProof/>
            <w:webHidden/>
          </w:rPr>
          <w:fldChar w:fldCharType="begin"/>
        </w:r>
        <w:r>
          <w:rPr>
            <w:noProof/>
            <w:webHidden/>
          </w:rPr>
          <w:instrText xml:space="preserve"> PAGEREF _Toc69879372 \h </w:instrText>
        </w:r>
        <w:r>
          <w:rPr>
            <w:noProof/>
            <w:webHidden/>
          </w:rPr>
        </w:r>
        <w:r>
          <w:rPr>
            <w:noProof/>
            <w:webHidden/>
          </w:rPr>
          <w:fldChar w:fldCharType="separate"/>
        </w:r>
        <w:r>
          <w:rPr>
            <w:noProof/>
            <w:webHidden/>
          </w:rPr>
          <w:t>581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73" w:history="1">
        <w:r w:rsidRPr="00CC53E5">
          <w:rPr>
            <w:rStyle w:val="Hyperlink"/>
            <w:noProof/>
          </w:rPr>
          <w:t>2.1.1590</w:t>
        </w:r>
        <w:r>
          <w:rPr>
            <w:rFonts w:asciiTheme="minorHAnsi" w:eastAsiaTheme="minorEastAsia" w:hAnsiTheme="minorHAnsi" w:cstheme="minorBidi"/>
            <w:noProof/>
            <w:sz w:val="22"/>
            <w:szCs w:val="22"/>
          </w:rPr>
          <w:tab/>
        </w:r>
        <w:r w:rsidRPr="00CC53E5">
          <w:rPr>
            <w:rStyle w:val="Hyperlink"/>
            <w:noProof/>
          </w:rPr>
          <w:t>Part 1 Section 21.2.3.42, ST_Shape (Shape)</w:t>
        </w:r>
        <w:r>
          <w:rPr>
            <w:noProof/>
            <w:webHidden/>
          </w:rPr>
          <w:tab/>
        </w:r>
        <w:r>
          <w:rPr>
            <w:noProof/>
            <w:webHidden/>
          </w:rPr>
          <w:fldChar w:fldCharType="begin"/>
        </w:r>
        <w:r>
          <w:rPr>
            <w:noProof/>
            <w:webHidden/>
          </w:rPr>
          <w:instrText xml:space="preserve"> PAGEREF _Toc69879373 \h </w:instrText>
        </w:r>
        <w:r>
          <w:rPr>
            <w:noProof/>
            <w:webHidden/>
          </w:rPr>
        </w:r>
        <w:r>
          <w:rPr>
            <w:noProof/>
            <w:webHidden/>
          </w:rPr>
          <w:fldChar w:fldCharType="separate"/>
        </w:r>
        <w:r>
          <w:rPr>
            <w:noProof/>
            <w:webHidden/>
          </w:rPr>
          <w:t>582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74" w:history="1">
        <w:r w:rsidRPr="00CC53E5">
          <w:rPr>
            <w:rStyle w:val="Hyperlink"/>
            <w:noProof/>
          </w:rPr>
          <w:t>2.1.1591</w:t>
        </w:r>
        <w:r>
          <w:rPr>
            <w:rFonts w:asciiTheme="minorHAnsi" w:eastAsiaTheme="minorEastAsia" w:hAnsiTheme="minorHAnsi" w:cstheme="minorBidi"/>
            <w:noProof/>
            <w:sz w:val="22"/>
            <w:szCs w:val="22"/>
          </w:rPr>
          <w:tab/>
        </w:r>
        <w:r w:rsidRPr="00CC53E5">
          <w:rPr>
            <w:rStyle w:val="Hyperlink"/>
            <w:noProof/>
          </w:rPr>
          <w:t>Part 1 Section 21.2.3.44, ST_Skip (Skip)</w:t>
        </w:r>
        <w:r>
          <w:rPr>
            <w:noProof/>
            <w:webHidden/>
          </w:rPr>
          <w:tab/>
        </w:r>
        <w:r>
          <w:rPr>
            <w:noProof/>
            <w:webHidden/>
          </w:rPr>
          <w:fldChar w:fldCharType="begin"/>
        </w:r>
        <w:r>
          <w:rPr>
            <w:noProof/>
            <w:webHidden/>
          </w:rPr>
          <w:instrText xml:space="preserve"> PAGEREF _Toc69879374 \h </w:instrText>
        </w:r>
        <w:r>
          <w:rPr>
            <w:noProof/>
            <w:webHidden/>
          </w:rPr>
        </w:r>
        <w:r>
          <w:rPr>
            <w:noProof/>
            <w:webHidden/>
          </w:rPr>
          <w:fldChar w:fldCharType="separate"/>
        </w:r>
        <w:r>
          <w:rPr>
            <w:noProof/>
            <w:webHidden/>
          </w:rPr>
          <w:t>582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75" w:history="1">
        <w:r w:rsidRPr="00CC53E5">
          <w:rPr>
            <w:rStyle w:val="Hyperlink"/>
            <w:noProof/>
          </w:rPr>
          <w:t>2.1.1592</w:t>
        </w:r>
        <w:r>
          <w:rPr>
            <w:rFonts w:asciiTheme="minorHAnsi" w:eastAsiaTheme="minorEastAsia" w:hAnsiTheme="minorHAnsi" w:cstheme="minorBidi"/>
            <w:noProof/>
            <w:sz w:val="22"/>
            <w:szCs w:val="22"/>
          </w:rPr>
          <w:tab/>
        </w:r>
        <w:r w:rsidRPr="00CC53E5">
          <w:rPr>
            <w:rStyle w:val="Hyperlink"/>
            <w:noProof/>
          </w:rPr>
          <w:t>Part 1 Section 21.2.3.45, ST_SplitType (Split Type)</w:t>
        </w:r>
        <w:r>
          <w:rPr>
            <w:noProof/>
            <w:webHidden/>
          </w:rPr>
          <w:tab/>
        </w:r>
        <w:r>
          <w:rPr>
            <w:noProof/>
            <w:webHidden/>
          </w:rPr>
          <w:fldChar w:fldCharType="begin"/>
        </w:r>
        <w:r>
          <w:rPr>
            <w:noProof/>
            <w:webHidden/>
          </w:rPr>
          <w:instrText xml:space="preserve"> PAGEREF _Toc69879375 \h </w:instrText>
        </w:r>
        <w:r>
          <w:rPr>
            <w:noProof/>
            <w:webHidden/>
          </w:rPr>
        </w:r>
        <w:r>
          <w:rPr>
            <w:noProof/>
            <w:webHidden/>
          </w:rPr>
          <w:fldChar w:fldCharType="separate"/>
        </w:r>
        <w:r>
          <w:rPr>
            <w:noProof/>
            <w:webHidden/>
          </w:rPr>
          <w:t>582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76" w:history="1">
        <w:r w:rsidRPr="00CC53E5">
          <w:rPr>
            <w:rStyle w:val="Hyperlink"/>
            <w:noProof/>
          </w:rPr>
          <w:t>2.1.1593</w:t>
        </w:r>
        <w:r>
          <w:rPr>
            <w:rFonts w:asciiTheme="minorHAnsi" w:eastAsiaTheme="minorEastAsia" w:hAnsiTheme="minorHAnsi" w:cstheme="minorBidi"/>
            <w:noProof/>
            <w:sz w:val="22"/>
            <w:szCs w:val="22"/>
          </w:rPr>
          <w:tab/>
        </w:r>
        <w:r w:rsidRPr="00CC53E5">
          <w:rPr>
            <w:rStyle w:val="Hyperlink"/>
            <w:noProof/>
          </w:rPr>
          <w:t>Part 1 Section 21.2.3.46, ST_Style (Style)</w:t>
        </w:r>
        <w:r>
          <w:rPr>
            <w:noProof/>
            <w:webHidden/>
          </w:rPr>
          <w:tab/>
        </w:r>
        <w:r>
          <w:rPr>
            <w:noProof/>
            <w:webHidden/>
          </w:rPr>
          <w:fldChar w:fldCharType="begin"/>
        </w:r>
        <w:r>
          <w:rPr>
            <w:noProof/>
            <w:webHidden/>
          </w:rPr>
          <w:instrText xml:space="preserve"> PAGEREF _Toc69879376 \h </w:instrText>
        </w:r>
        <w:r>
          <w:rPr>
            <w:noProof/>
            <w:webHidden/>
          </w:rPr>
        </w:r>
        <w:r>
          <w:rPr>
            <w:noProof/>
            <w:webHidden/>
          </w:rPr>
          <w:fldChar w:fldCharType="separate"/>
        </w:r>
        <w:r>
          <w:rPr>
            <w:noProof/>
            <w:webHidden/>
          </w:rPr>
          <w:t>582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77" w:history="1">
        <w:r w:rsidRPr="00CC53E5">
          <w:rPr>
            <w:rStyle w:val="Hyperlink"/>
            <w:noProof/>
          </w:rPr>
          <w:t>2.1.1594</w:t>
        </w:r>
        <w:r>
          <w:rPr>
            <w:rFonts w:asciiTheme="minorHAnsi" w:eastAsiaTheme="minorEastAsia" w:hAnsiTheme="minorHAnsi" w:cstheme="minorBidi"/>
            <w:noProof/>
            <w:sz w:val="22"/>
            <w:szCs w:val="22"/>
          </w:rPr>
          <w:tab/>
        </w:r>
        <w:r w:rsidRPr="00CC53E5">
          <w:rPr>
            <w:rStyle w:val="Hyperlink"/>
            <w:noProof/>
          </w:rPr>
          <w:t>Part 1 Section 21.2.3.50, ST_TrendlineType (Trendline Type)</w:t>
        </w:r>
        <w:r>
          <w:rPr>
            <w:noProof/>
            <w:webHidden/>
          </w:rPr>
          <w:tab/>
        </w:r>
        <w:r>
          <w:rPr>
            <w:noProof/>
            <w:webHidden/>
          </w:rPr>
          <w:fldChar w:fldCharType="begin"/>
        </w:r>
        <w:r>
          <w:rPr>
            <w:noProof/>
            <w:webHidden/>
          </w:rPr>
          <w:instrText xml:space="preserve"> PAGEREF _Toc69879377 \h </w:instrText>
        </w:r>
        <w:r>
          <w:rPr>
            <w:noProof/>
            <w:webHidden/>
          </w:rPr>
        </w:r>
        <w:r>
          <w:rPr>
            <w:noProof/>
            <w:webHidden/>
          </w:rPr>
          <w:fldChar w:fldCharType="separate"/>
        </w:r>
        <w:r>
          <w:rPr>
            <w:noProof/>
            <w:webHidden/>
          </w:rPr>
          <w:t>582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78" w:history="1">
        <w:r w:rsidRPr="00CC53E5">
          <w:rPr>
            <w:rStyle w:val="Hyperlink"/>
            <w:noProof/>
          </w:rPr>
          <w:t>2.1.1595</w:t>
        </w:r>
        <w:r>
          <w:rPr>
            <w:rFonts w:asciiTheme="minorHAnsi" w:eastAsiaTheme="minorEastAsia" w:hAnsiTheme="minorHAnsi" w:cstheme="minorBidi"/>
            <w:noProof/>
            <w:sz w:val="22"/>
            <w:szCs w:val="22"/>
          </w:rPr>
          <w:tab/>
        </w:r>
        <w:r w:rsidRPr="00CC53E5">
          <w:rPr>
            <w:rStyle w:val="Hyperlink"/>
            <w:noProof/>
          </w:rPr>
          <w:t>Part 1 Section 21.3.2.1, absSizeAnchor (Absolute Anchor Shape Size)</w:t>
        </w:r>
        <w:r>
          <w:rPr>
            <w:noProof/>
            <w:webHidden/>
          </w:rPr>
          <w:tab/>
        </w:r>
        <w:r>
          <w:rPr>
            <w:noProof/>
            <w:webHidden/>
          </w:rPr>
          <w:fldChar w:fldCharType="begin"/>
        </w:r>
        <w:r>
          <w:rPr>
            <w:noProof/>
            <w:webHidden/>
          </w:rPr>
          <w:instrText xml:space="preserve"> PAGEREF _Toc69879378 \h </w:instrText>
        </w:r>
        <w:r>
          <w:rPr>
            <w:noProof/>
            <w:webHidden/>
          </w:rPr>
        </w:r>
        <w:r>
          <w:rPr>
            <w:noProof/>
            <w:webHidden/>
          </w:rPr>
          <w:fldChar w:fldCharType="separate"/>
        </w:r>
        <w:r>
          <w:rPr>
            <w:noProof/>
            <w:webHidden/>
          </w:rPr>
          <w:t>583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79" w:history="1">
        <w:r w:rsidRPr="00CC53E5">
          <w:rPr>
            <w:rStyle w:val="Hyperlink"/>
            <w:noProof/>
          </w:rPr>
          <w:t>2.1.1596</w:t>
        </w:r>
        <w:r>
          <w:rPr>
            <w:rFonts w:asciiTheme="minorHAnsi" w:eastAsiaTheme="minorEastAsia" w:hAnsiTheme="minorHAnsi" w:cstheme="minorBidi"/>
            <w:noProof/>
            <w:sz w:val="22"/>
            <w:szCs w:val="22"/>
          </w:rPr>
          <w:tab/>
        </w:r>
        <w:r w:rsidRPr="00CC53E5">
          <w:rPr>
            <w:rStyle w:val="Hyperlink"/>
            <w:noProof/>
          </w:rPr>
          <w:t>Part 1 Section 21.3.2.2, blipFill (Picture Fill)</w:t>
        </w:r>
        <w:r>
          <w:rPr>
            <w:noProof/>
            <w:webHidden/>
          </w:rPr>
          <w:tab/>
        </w:r>
        <w:r>
          <w:rPr>
            <w:noProof/>
            <w:webHidden/>
          </w:rPr>
          <w:fldChar w:fldCharType="begin"/>
        </w:r>
        <w:r>
          <w:rPr>
            <w:noProof/>
            <w:webHidden/>
          </w:rPr>
          <w:instrText xml:space="preserve"> PAGEREF _Toc69879379 \h </w:instrText>
        </w:r>
        <w:r>
          <w:rPr>
            <w:noProof/>
            <w:webHidden/>
          </w:rPr>
        </w:r>
        <w:r>
          <w:rPr>
            <w:noProof/>
            <w:webHidden/>
          </w:rPr>
          <w:fldChar w:fldCharType="separate"/>
        </w:r>
        <w:r>
          <w:rPr>
            <w:noProof/>
            <w:webHidden/>
          </w:rPr>
          <w:t>583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80" w:history="1">
        <w:r w:rsidRPr="00CC53E5">
          <w:rPr>
            <w:rStyle w:val="Hyperlink"/>
            <w:noProof/>
          </w:rPr>
          <w:t>2.1.1597</w:t>
        </w:r>
        <w:r>
          <w:rPr>
            <w:rFonts w:asciiTheme="minorHAnsi" w:eastAsiaTheme="minorEastAsia" w:hAnsiTheme="minorHAnsi" w:cstheme="minorBidi"/>
            <w:noProof/>
            <w:sz w:val="22"/>
            <w:szCs w:val="22"/>
          </w:rPr>
          <w:tab/>
        </w:r>
        <w:r w:rsidRPr="00CC53E5">
          <w:rPr>
            <w:rStyle w:val="Hyperlink"/>
            <w:noProof/>
          </w:rPr>
          <w:t>Part 1 Section 21.3.2.7, cNvPr (Non-Visual Drawing Properties)</w:t>
        </w:r>
        <w:r>
          <w:rPr>
            <w:noProof/>
            <w:webHidden/>
          </w:rPr>
          <w:tab/>
        </w:r>
        <w:r>
          <w:rPr>
            <w:noProof/>
            <w:webHidden/>
          </w:rPr>
          <w:fldChar w:fldCharType="begin"/>
        </w:r>
        <w:r>
          <w:rPr>
            <w:noProof/>
            <w:webHidden/>
          </w:rPr>
          <w:instrText xml:space="preserve"> PAGEREF _Toc69879380 \h </w:instrText>
        </w:r>
        <w:r>
          <w:rPr>
            <w:noProof/>
            <w:webHidden/>
          </w:rPr>
        </w:r>
        <w:r>
          <w:rPr>
            <w:noProof/>
            <w:webHidden/>
          </w:rPr>
          <w:fldChar w:fldCharType="separate"/>
        </w:r>
        <w:r>
          <w:rPr>
            <w:noProof/>
            <w:webHidden/>
          </w:rPr>
          <w:t>583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81" w:history="1">
        <w:r w:rsidRPr="00CC53E5">
          <w:rPr>
            <w:rStyle w:val="Hyperlink"/>
            <w:noProof/>
          </w:rPr>
          <w:t>2.1.1598</w:t>
        </w:r>
        <w:r>
          <w:rPr>
            <w:rFonts w:asciiTheme="minorHAnsi" w:eastAsiaTheme="minorEastAsia" w:hAnsiTheme="minorHAnsi" w:cstheme="minorBidi"/>
            <w:noProof/>
            <w:sz w:val="22"/>
            <w:szCs w:val="22"/>
          </w:rPr>
          <w:tab/>
        </w:r>
        <w:r w:rsidRPr="00CC53E5">
          <w:rPr>
            <w:rStyle w:val="Hyperlink"/>
            <w:noProof/>
          </w:rPr>
          <w:t>Part 1 Section 21.3.2.9, cxnSp (Connection Shape)</w:t>
        </w:r>
        <w:r>
          <w:rPr>
            <w:noProof/>
            <w:webHidden/>
          </w:rPr>
          <w:tab/>
        </w:r>
        <w:r>
          <w:rPr>
            <w:noProof/>
            <w:webHidden/>
          </w:rPr>
          <w:fldChar w:fldCharType="begin"/>
        </w:r>
        <w:r>
          <w:rPr>
            <w:noProof/>
            <w:webHidden/>
          </w:rPr>
          <w:instrText xml:space="preserve"> PAGEREF _Toc69879381 \h </w:instrText>
        </w:r>
        <w:r>
          <w:rPr>
            <w:noProof/>
            <w:webHidden/>
          </w:rPr>
        </w:r>
        <w:r>
          <w:rPr>
            <w:noProof/>
            <w:webHidden/>
          </w:rPr>
          <w:fldChar w:fldCharType="separate"/>
        </w:r>
        <w:r>
          <w:rPr>
            <w:noProof/>
            <w:webHidden/>
          </w:rPr>
          <w:t>583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82" w:history="1">
        <w:r w:rsidRPr="00CC53E5">
          <w:rPr>
            <w:rStyle w:val="Hyperlink"/>
            <w:noProof/>
          </w:rPr>
          <w:t>2.1.1599</w:t>
        </w:r>
        <w:r>
          <w:rPr>
            <w:rFonts w:asciiTheme="minorHAnsi" w:eastAsiaTheme="minorEastAsia" w:hAnsiTheme="minorHAnsi" w:cstheme="minorBidi"/>
            <w:noProof/>
            <w:sz w:val="22"/>
            <w:szCs w:val="22"/>
          </w:rPr>
          <w:tab/>
        </w:r>
        <w:r w:rsidRPr="00CC53E5">
          <w:rPr>
            <w:rStyle w:val="Hyperlink"/>
            <w:noProof/>
          </w:rPr>
          <w:t>Part 1 Section 21.3.2.10, ext (Shape Extent)</w:t>
        </w:r>
        <w:r>
          <w:rPr>
            <w:noProof/>
            <w:webHidden/>
          </w:rPr>
          <w:tab/>
        </w:r>
        <w:r>
          <w:rPr>
            <w:noProof/>
            <w:webHidden/>
          </w:rPr>
          <w:fldChar w:fldCharType="begin"/>
        </w:r>
        <w:r>
          <w:rPr>
            <w:noProof/>
            <w:webHidden/>
          </w:rPr>
          <w:instrText xml:space="preserve"> PAGEREF _Toc69879382 \h </w:instrText>
        </w:r>
        <w:r>
          <w:rPr>
            <w:noProof/>
            <w:webHidden/>
          </w:rPr>
        </w:r>
        <w:r>
          <w:rPr>
            <w:noProof/>
            <w:webHidden/>
          </w:rPr>
          <w:fldChar w:fldCharType="separate"/>
        </w:r>
        <w:r>
          <w:rPr>
            <w:noProof/>
            <w:webHidden/>
          </w:rPr>
          <w:t>583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83" w:history="1">
        <w:r w:rsidRPr="00CC53E5">
          <w:rPr>
            <w:rStyle w:val="Hyperlink"/>
            <w:noProof/>
          </w:rPr>
          <w:t>2.1.1600</w:t>
        </w:r>
        <w:r>
          <w:rPr>
            <w:rFonts w:asciiTheme="minorHAnsi" w:eastAsiaTheme="minorEastAsia" w:hAnsiTheme="minorHAnsi" w:cstheme="minorBidi"/>
            <w:noProof/>
            <w:sz w:val="22"/>
            <w:szCs w:val="22"/>
          </w:rPr>
          <w:tab/>
        </w:r>
        <w:r w:rsidRPr="00CC53E5">
          <w:rPr>
            <w:rStyle w:val="Hyperlink"/>
            <w:noProof/>
          </w:rPr>
          <w:t>Part 1 Section 21.3.2.12, graphicFrame (Graphic Frame)</w:t>
        </w:r>
        <w:r>
          <w:rPr>
            <w:noProof/>
            <w:webHidden/>
          </w:rPr>
          <w:tab/>
        </w:r>
        <w:r>
          <w:rPr>
            <w:noProof/>
            <w:webHidden/>
          </w:rPr>
          <w:fldChar w:fldCharType="begin"/>
        </w:r>
        <w:r>
          <w:rPr>
            <w:noProof/>
            <w:webHidden/>
          </w:rPr>
          <w:instrText xml:space="preserve"> PAGEREF _Toc69879383 \h </w:instrText>
        </w:r>
        <w:r>
          <w:rPr>
            <w:noProof/>
            <w:webHidden/>
          </w:rPr>
        </w:r>
        <w:r>
          <w:rPr>
            <w:noProof/>
            <w:webHidden/>
          </w:rPr>
          <w:fldChar w:fldCharType="separate"/>
        </w:r>
        <w:r>
          <w:rPr>
            <w:noProof/>
            <w:webHidden/>
          </w:rPr>
          <w:t>583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84" w:history="1">
        <w:r w:rsidRPr="00CC53E5">
          <w:rPr>
            <w:rStyle w:val="Hyperlink"/>
            <w:noProof/>
          </w:rPr>
          <w:t>2.1.1601</w:t>
        </w:r>
        <w:r>
          <w:rPr>
            <w:rFonts w:asciiTheme="minorHAnsi" w:eastAsiaTheme="minorEastAsia" w:hAnsiTheme="minorHAnsi" w:cstheme="minorBidi"/>
            <w:noProof/>
            <w:sz w:val="22"/>
            <w:szCs w:val="22"/>
          </w:rPr>
          <w:tab/>
        </w:r>
        <w:r w:rsidRPr="00CC53E5">
          <w:rPr>
            <w:rStyle w:val="Hyperlink"/>
            <w:noProof/>
          </w:rPr>
          <w:t>Part 1 Section 21.3.2.14, grpSpPr (Group Shape Properties)</w:t>
        </w:r>
        <w:r>
          <w:rPr>
            <w:noProof/>
            <w:webHidden/>
          </w:rPr>
          <w:tab/>
        </w:r>
        <w:r>
          <w:rPr>
            <w:noProof/>
            <w:webHidden/>
          </w:rPr>
          <w:fldChar w:fldCharType="begin"/>
        </w:r>
        <w:r>
          <w:rPr>
            <w:noProof/>
            <w:webHidden/>
          </w:rPr>
          <w:instrText xml:space="preserve"> PAGEREF _Toc69879384 \h </w:instrText>
        </w:r>
        <w:r>
          <w:rPr>
            <w:noProof/>
            <w:webHidden/>
          </w:rPr>
        </w:r>
        <w:r>
          <w:rPr>
            <w:noProof/>
            <w:webHidden/>
          </w:rPr>
          <w:fldChar w:fldCharType="separate"/>
        </w:r>
        <w:r>
          <w:rPr>
            <w:noProof/>
            <w:webHidden/>
          </w:rPr>
          <w:t>584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85" w:history="1">
        <w:r w:rsidRPr="00CC53E5">
          <w:rPr>
            <w:rStyle w:val="Hyperlink"/>
            <w:noProof/>
          </w:rPr>
          <w:t>2.1.1602</w:t>
        </w:r>
        <w:r>
          <w:rPr>
            <w:rFonts w:asciiTheme="minorHAnsi" w:eastAsiaTheme="minorEastAsia" w:hAnsiTheme="minorHAnsi" w:cstheme="minorBidi"/>
            <w:noProof/>
            <w:sz w:val="22"/>
            <w:szCs w:val="22"/>
          </w:rPr>
          <w:tab/>
        </w:r>
        <w:r w:rsidRPr="00CC53E5">
          <w:rPr>
            <w:rStyle w:val="Hyperlink"/>
            <w:noProof/>
          </w:rPr>
          <w:t>Part 1 Section 21.3.2.20, pic (Picture)</w:t>
        </w:r>
        <w:r>
          <w:rPr>
            <w:noProof/>
            <w:webHidden/>
          </w:rPr>
          <w:tab/>
        </w:r>
        <w:r>
          <w:rPr>
            <w:noProof/>
            <w:webHidden/>
          </w:rPr>
          <w:fldChar w:fldCharType="begin"/>
        </w:r>
        <w:r>
          <w:rPr>
            <w:noProof/>
            <w:webHidden/>
          </w:rPr>
          <w:instrText xml:space="preserve"> PAGEREF _Toc69879385 \h </w:instrText>
        </w:r>
        <w:r>
          <w:rPr>
            <w:noProof/>
            <w:webHidden/>
          </w:rPr>
        </w:r>
        <w:r>
          <w:rPr>
            <w:noProof/>
            <w:webHidden/>
          </w:rPr>
          <w:fldChar w:fldCharType="separate"/>
        </w:r>
        <w:r>
          <w:rPr>
            <w:noProof/>
            <w:webHidden/>
          </w:rPr>
          <w:t>584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86" w:history="1">
        <w:r w:rsidRPr="00CC53E5">
          <w:rPr>
            <w:rStyle w:val="Hyperlink"/>
            <w:noProof/>
          </w:rPr>
          <w:t>2.1.1603</w:t>
        </w:r>
        <w:r>
          <w:rPr>
            <w:rFonts w:asciiTheme="minorHAnsi" w:eastAsiaTheme="minorEastAsia" w:hAnsiTheme="minorHAnsi" w:cstheme="minorBidi"/>
            <w:noProof/>
            <w:sz w:val="22"/>
            <w:szCs w:val="22"/>
          </w:rPr>
          <w:tab/>
        </w:r>
        <w:r w:rsidRPr="00CC53E5">
          <w:rPr>
            <w:rStyle w:val="Hyperlink"/>
            <w:noProof/>
          </w:rPr>
          <w:t>Part 1 Section 21.3.2.21, relSizeAnchor (Relative Anchor Shape Size)</w:t>
        </w:r>
        <w:r>
          <w:rPr>
            <w:noProof/>
            <w:webHidden/>
          </w:rPr>
          <w:tab/>
        </w:r>
        <w:r>
          <w:rPr>
            <w:noProof/>
            <w:webHidden/>
          </w:rPr>
          <w:fldChar w:fldCharType="begin"/>
        </w:r>
        <w:r>
          <w:rPr>
            <w:noProof/>
            <w:webHidden/>
          </w:rPr>
          <w:instrText xml:space="preserve"> PAGEREF _Toc69879386 \h </w:instrText>
        </w:r>
        <w:r>
          <w:rPr>
            <w:noProof/>
            <w:webHidden/>
          </w:rPr>
        </w:r>
        <w:r>
          <w:rPr>
            <w:noProof/>
            <w:webHidden/>
          </w:rPr>
          <w:fldChar w:fldCharType="separate"/>
        </w:r>
        <w:r>
          <w:rPr>
            <w:noProof/>
            <w:webHidden/>
          </w:rPr>
          <w:t>584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87" w:history="1">
        <w:r w:rsidRPr="00CC53E5">
          <w:rPr>
            <w:rStyle w:val="Hyperlink"/>
            <w:noProof/>
          </w:rPr>
          <w:t>2.1.1604</w:t>
        </w:r>
        <w:r>
          <w:rPr>
            <w:rFonts w:asciiTheme="minorHAnsi" w:eastAsiaTheme="minorEastAsia" w:hAnsiTheme="minorHAnsi" w:cstheme="minorBidi"/>
            <w:noProof/>
            <w:sz w:val="22"/>
            <w:szCs w:val="22"/>
          </w:rPr>
          <w:tab/>
        </w:r>
        <w:r w:rsidRPr="00CC53E5">
          <w:rPr>
            <w:rStyle w:val="Hyperlink"/>
            <w:noProof/>
          </w:rPr>
          <w:t>Part 1 Section 21.3.2.22, sp (Shape)</w:t>
        </w:r>
        <w:r>
          <w:rPr>
            <w:noProof/>
            <w:webHidden/>
          </w:rPr>
          <w:tab/>
        </w:r>
        <w:r>
          <w:rPr>
            <w:noProof/>
            <w:webHidden/>
          </w:rPr>
          <w:fldChar w:fldCharType="begin"/>
        </w:r>
        <w:r>
          <w:rPr>
            <w:noProof/>
            <w:webHidden/>
          </w:rPr>
          <w:instrText xml:space="preserve"> PAGEREF _Toc69879387 \h </w:instrText>
        </w:r>
        <w:r>
          <w:rPr>
            <w:noProof/>
            <w:webHidden/>
          </w:rPr>
        </w:r>
        <w:r>
          <w:rPr>
            <w:noProof/>
            <w:webHidden/>
          </w:rPr>
          <w:fldChar w:fldCharType="separate"/>
        </w:r>
        <w:r>
          <w:rPr>
            <w:noProof/>
            <w:webHidden/>
          </w:rPr>
          <w:t>584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88" w:history="1">
        <w:r w:rsidRPr="00CC53E5">
          <w:rPr>
            <w:rStyle w:val="Hyperlink"/>
            <w:noProof/>
          </w:rPr>
          <w:t>2.1.1605</w:t>
        </w:r>
        <w:r>
          <w:rPr>
            <w:rFonts w:asciiTheme="minorHAnsi" w:eastAsiaTheme="minorEastAsia" w:hAnsiTheme="minorHAnsi" w:cstheme="minorBidi"/>
            <w:noProof/>
            <w:sz w:val="22"/>
            <w:szCs w:val="22"/>
          </w:rPr>
          <w:tab/>
        </w:r>
        <w:r w:rsidRPr="00CC53E5">
          <w:rPr>
            <w:rStyle w:val="Hyperlink"/>
            <w:noProof/>
          </w:rPr>
          <w:t>Part 1 Section 21.3.2.23, spPr (Shape Properties)</w:t>
        </w:r>
        <w:r>
          <w:rPr>
            <w:noProof/>
            <w:webHidden/>
          </w:rPr>
          <w:tab/>
        </w:r>
        <w:r>
          <w:rPr>
            <w:noProof/>
            <w:webHidden/>
          </w:rPr>
          <w:fldChar w:fldCharType="begin"/>
        </w:r>
        <w:r>
          <w:rPr>
            <w:noProof/>
            <w:webHidden/>
          </w:rPr>
          <w:instrText xml:space="preserve"> PAGEREF _Toc69879388 \h </w:instrText>
        </w:r>
        <w:r>
          <w:rPr>
            <w:noProof/>
            <w:webHidden/>
          </w:rPr>
        </w:r>
        <w:r>
          <w:rPr>
            <w:noProof/>
            <w:webHidden/>
          </w:rPr>
          <w:fldChar w:fldCharType="separate"/>
        </w:r>
        <w:r>
          <w:rPr>
            <w:noProof/>
            <w:webHidden/>
          </w:rPr>
          <w:t>585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89" w:history="1">
        <w:r w:rsidRPr="00CC53E5">
          <w:rPr>
            <w:rStyle w:val="Hyperlink"/>
            <w:noProof/>
          </w:rPr>
          <w:t>2.1.1606</w:t>
        </w:r>
        <w:r>
          <w:rPr>
            <w:rFonts w:asciiTheme="minorHAnsi" w:eastAsiaTheme="minorEastAsia" w:hAnsiTheme="minorHAnsi" w:cstheme="minorBidi"/>
            <w:noProof/>
            <w:sz w:val="22"/>
            <w:szCs w:val="22"/>
          </w:rPr>
          <w:tab/>
        </w:r>
        <w:r w:rsidRPr="00CC53E5">
          <w:rPr>
            <w:rStyle w:val="Hyperlink"/>
            <w:noProof/>
          </w:rPr>
          <w:t>Part 1 Section 21.3.2.24, style (Shape Style)</w:t>
        </w:r>
        <w:r>
          <w:rPr>
            <w:noProof/>
            <w:webHidden/>
          </w:rPr>
          <w:tab/>
        </w:r>
        <w:r>
          <w:rPr>
            <w:noProof/>
            <w:webHidden/>
          </w:rPr>
          <w:fldChar w:fldCharType="begin"/>
        </w:r>
        <w:r>
          <w:rPr>
            <w:noProof/>
            <w:webHidden/>
          </w:rPr>
          <w:instrText xml:space="preserve"> PAGEREF _Toc69879389 \h </w:instrText>
        </w:r>
        <w:r>
          <w:rPr>
            <w:noProof/>
            <w:webHidden/>
          </w:rPr>
        </w:r>
        <w:r>
          <w:rPr>
            <w:noProof/>
            <w:webHidden/>
          </w:rPr>
          <w:fldChar w:fldCharType="separate"/>
        </w:r>
        <w:r>
          <w:rPr>
            <w:noProof/>
            <w:webHidden/>
          </w:rPr>
          <w:t>585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90" w:history="1">
        <w:r w:rsidRPr="00CC53E5">
          <w:rPr>
            <w:rStyle w:val="Hyperlink"/>
            <w:noProof/>
          </w:rPr>
          <w:t>2.1.1607</w:t>
        </w:r>
        <w:r>
          <w:rPr>
            <w:rFonts w:asciiTheme="minorHAnsi" w:eastAsiaTheme="minorEastAsia" w:hAnsiTheme="minorHAnsi" w:cstheme="minorBidi"/>
            <w:noProof/>
            <w:sz w:val="22"/>
            <w:szCs w:val="22"/>
          </w:rPr>
          <w:tab/>
        </w:r>
        <w:r w:rsidRPr="00CC53E5">
          <w:rPr>
            <w:rStyle w:val="Hyperlink"/>
            <w:noProof/>
          </w:rPr>
          <w:t>Part 1 Section 21.3.2.25, to (Ending Anchor Point)</w:t>
        </w:r>
        <w:r>
          <w:rPr>
            <w:noProof/>
            <w:webHidden/>
          </w:rPr>
          <w:tab/>
        </w:r>
        <w:r>
          <w:rPr>
            <w:noProof/>
            <w:webHidden/>
          </w:rPr>
          <w:fldChar w:fldCharType="begin"/>
        </w:r>
        <w:r>
          <w:rPr>
            <w:noProof/>
            <w:webHidden/>
          </w:rPr>
          <w:instrText xml:space="preserve"> PAGEREF _Toc69879390 \h </w:instrText>
        </w:r>
        <w:r>
          <w:rPr>
            <w:noProof/>
            <w:webHidden/>
          </w:rPr>
        </w:r>
        <w:r>
          <w:rPr>
            <w:noProof/>
            <w:webHidden/>
          </w:rPr>
          <w:fldChar w:fldCharType="separate"/>
        </w:r>
        <w:r>
          <w:rPr>
            <w:noProof/>
            <w:webHidden/>
          </w:rPr>
          <w:t>585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91" w:history="1">
        <w:r w:rsidRPr="00CC53E5">
          <w:rPr>
            <w:rStyle w:val="Hyperlink"/>
            <w:noProof/>
          </w:rPr>
          <w:t>2.1.1608</w:t>
        </w:r>
        <w:r>
          <w:rPr>
            <w:rFonts w:asciiTheme="minorHAnsi" w:eastAsiaTheme="minorEastAsia" w:hAnsiTheme="minorHAnsi" w:cstheme="minorBidi"/>
            <w:noProof/>
            <w:sz w:val="22"/>
            <w:szCs w:val="22"/>
          </w:rPr>
          <w:tab/>
        </w:r>
        <w:r w:rsidRPr="00CC53E5">
          <w:rPr>
            <w:rStyle w:val="Hyperlink"/>
            <w:noProof/>
          </w:rPr>
          <w:t>Part 1 Section 21.3.2.26, txBody (Shape Text Body)</w:t>
        </w:r>
        <w:r>
          <w:rPr>
            <w:noProof/>
            <w:webHidden/>
          </w:rPr>
          <w:tab/>
        </w:r>
        <w:r>
          <w:rPr>
            <w:noProof/>
            <w:webHidden/>
          </w:rPr>
          <w:fldChar w:fldCharType="begin"/>
        </w:r>
        <w:r>
          <w:rPr>
            <w:noProof/>
            <w:webHidden/>
          </w:rPr>
          <w:instrText xml:space="preserve"> PAGEREF _Toc69879391 \h </w:instrText>
        </w:r>
        <w:r>
          <w:rPr>
            <w:noProof/>
            <w:webHidden/>
          </w:rPr>
        </w:r>
        <w:r>
          <w:rPr>
            <w:noProof/>
            <w:webHidden/>
          </w:rPr>
          <w:fldChar w:fldCharType="separate"/>
        </w:r>
        <w:r>
          <w:rPr>
            <w:noProof/>
            <w:webHidden/>
          </w:rPr>
          <w:t>585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92" w:history="1">
        <w:r w:rsidRPr="00CC53E5">
          <w:rPr>
            <w:rStyle w:val="Hyperlink"/>
            <w:noProof/>
          </w:rPr>
          <w:t>2.1.1609</w:t>
        </w:r>
        <w:r>
          <w:rPr>
            <w:rFonts w:asciiTheme="minorHAnsi" w:eastAsiaTheme="minorEastAsia" w:hAnsiTheme="minorHAnsi" w:cstheme="minorBidi"/>
            <w:noProof/>
            <w:sz w:val="22"/>
            <w:szCs w:val="22"/>
          </w:rPr>
          <w:tab/>
        </w:r>
        <w:r w:rsidRPr="00CC53E5">
          <w:rPr>
            <w:rStyle w:val="Hyperlink"/>
            <w:noProof/>
          </w:rPr>
          <w:t>Part 1 Section 21.3.2.28, xfrm (Graphic Frame Transform)</w:t>
        </w:r>
        <w:r>
          <w:rPr>
            <w:noProof/>
            <w:webHidden/>
          </w:rPr>
          <w:tab/>
        </w:r>
        <w:r>
          <w:rPr>
            <w:noProof/>
            <w:webHidden/>
          </w:rPr>
          <w:fldChar w:fldCharType="begin"/>
        </w:r>
        <w:r>
          <w:rPr>
            <w:noProof/>
            <w:webHidden/>
          </w:rPr>
          <w:instrText xml:space="preserve"> PAGEREF _Toc69879392 \h </w:instrText>
        </w:r>
        <w:r>
          <w:rPr>
            <w:noProof/>
            <w:webHidden/>
          </w:rPr>
        </w:r>
        <w:r>
          <w:rPr>
            <w:noProof/>
            <w:webHidden/>
          </w:rPr>
          <w:fldChar w:fldCharType="separate"/>
        </w:r>
        <w:r>
          <w:rPr>
            <w:noProof/>
            <w:webHidden/>
          </w:rPr>
          <w:t>586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93" w:history="1">
        <w:r w:rsidRPr="00CC53E5">
          <w:rPr>
            <w:rStyle w:val="Hyperlink"/>
            <w:noProof/>
          </w:rPr>
          <w:t>2.1.1610</w:t>
        </w:r>
        <w:r>
          <w:rPr>
            <w:rFonts w:asciiTheme="minorHAnsi" w:eastAsiaTheme="minorEastAsia" w:hAnsiTheme="minorHAnsi" w:cstheme="minorBidi"/>
            <w:noProof/>
            <w:sz w:val="22"/>
            <w:szCs w:val="22"/>
          </w:rPr>
          <w:tab/>
        </w:r>
        <w:r w:rsidRPr="00CC53E5">
          <w:rPr>
            <w:rStyle w:val="Hyperlink"/>
            <w:noProof/>
          </w:rPr>
          <w:t>Part 1 Section 21.4.2.1, adj (Shape Adjust)</w:t>
        </w:r>
        <w:r>
          <w:rPr>
            <w:noProof/>
            <w:webHidden/>
          </w:rPr>
          <w:tab/>
        </w:r>
        <w:r>
          <w:rPr>
            <w:noProof/>
            <w:webHidden/>
          </w:rPr>
          <w:fldChar w:fldCharType="begin"/>
        </w:r>
        <w:r>
          <w:rPr>
            <w:noProof/>
            <w:webHidden/>
          </w:rPr>
          <w:instrText xml:space="preserve"> PAGEREF _Toc69879393 \h </w:instrText>
        </w:r>
        <w:r>
          <w:rPr>
            <w:noProof/>
            <w:webHidden/>
          </w:rPr>
        </w:r>
        <w:r>
          <w:rPr>
            <w:noProof/>
            <w:webHidden/>
          </w:rPr>
          <w:fldChar w:fldCharType="separate"/>
        </w:r>
        <w:r>
          <w:rPr>
            <w:noProof/>
            <w:webHidden/>
          </w:rPr>
          <w:t>586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94" w:history="1">
        <w:r w:rsidRPr="00CC53E5">
          <w:rPr>
            <w:rStyle w:val="Hyperlink"/>
            <w:noProof/>
          </w:rPr>
          <w:t>2.1.1611</w:t>
        </w:r>
        <w:r>
          <w:rPr>
            <w:rFonts w:asciiTheme="minorHAnsi" w:eastAsiaTheme="minorEastAsia" w:hAnsiTheme="minorHAnsi" w:cstheme="minorBidi"/>
            <w:noProof/>
            <w:sz w:val="22"/>
            <w:szCs w:val="22"/>
          </w:rPr>
          <w:tab/>
        </w:r>
        <w:r w:rsidRPr="00CC53E5">
          <w:rPr>
            <w:rStyle w:val="Hyperlink"/>
            <w:noProof/>
          </w:rPr>
          <w:t>Part 1 Section 21.4.2.7, clrData (Color Transform Sample Data)</w:t>
        </w:r>
        <w:r>
          <w:rPr>
            <w:noProof/>
            <w:webHidden/>
          </w:rPr>
          <w:tab/>
        </w:r>
        <w:r>
          <w:rPr>
            <w:noProof/>
            <w:webHidden/>
          </w:rPr>
          <w:fldChar w:fldCharType="begin"/>
        </w:r>
        <w:r>
          <w:rPr>
            <w:noProof/>
            <w:webHidden/>
          </w:rPr>
          <w:instrText xml:space="preserve"> PAGEREF _Toc69879394 \h </w:instrText>
        </w:r>
        <w:r>
          <w:rPr>
            <w:noProof/>
            <w:webHidden/>
          </w:rPr>
        </w:r>
        <w:r>
          <w:rPr>
            <w:noProof/>
            <w:webHidden/>
          </w:rPr>
          <w:fldChar w:fldCharType="separate"/>
        </w:r>
        <w:r>
          <w:rPr>
            <w:noProof/>
            <w:webHidden/>
          </w:rPr>
          <w:t>586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95" w:history="1">
        <w:r w:rsidRPr="00CC53E5">
          <w:rPr>
            <w:rStyle w:val="Hyperlink"/>
            <w:noProof/>
          </w:rPr>
          <w:t>2.1.1612</w:t>
        </w:r>
        <w:r>
          <w:rPr>
            <w:rFonts w:asciiTheme="minorHAnsi" w:eastAsiaTheme="minorEastAsia" w:hAnsiTheme="minorHAnsi" w:cstheme="minorBidi"/>
            <w:noProof/>
            <w:sz w:val="22"/>
            <w:szCs w:val="22"/>
          </w:rPr>
          <w:tab/>
        </w:r>
        <w:r w:rsidRPr="00CC53E5">
          <w:rPr>
            <w:rStyle w:val="Hyperlink"/>
            <w:noProof/>
          </w:rPr>
          <w:t>Part 1 Section 21.4.2.13, extLst (Extension List)</w:t>
        </w:r>
        <w:r>
          <w:rPr>
            <w:noProof/>
            <w:webHidden/>
          </w:rPr>
          <w:tab/>
        </w:r>
        <w:r>
          <w:rPr>
            <w:noProof/>
            <w:webHidden/>
          </w:rPr>
          <w:fldChar w:fldCharType="begin"/>
        </w:r>
        <w:r>
          <w:rPr>
            <w:noProof/>
            <w:webHidden/>
          </w:rPr>
          <w:instrText xml:space="preserve"> PAGEREF _Toc69879395 \h </w:instrText>
        </w:r>
        <w:r>
          <w:rPr>
            <w:noProof/>
            <w:webHidden/>
          </w:rPr>
        </w:r>
        <w:r>
          <w:rPr>
            <w:noProof/>
            <w:webHidden/>
          </w:rPr>
          <w:fldChar w:fldCharType="separate"/>
        </w:r>
        <w:r>
          <w:rPr>
            <w:noProof/>
            <w:webHidden/>
          </w:rPr>
          <w:t>586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96" w:history="1">
        <w:r w:rsidRPr="00CC53E5">
          <w:rPr>
            <w:rStyle w:val="Hyperlink"/>
            <w:noProof/>
          </w:rPr>
          <w:t>2.1.1613</w:t>
        </w:r>
        <w:r>
          <w:rPr>
            <w:rFonts w:asciiTheme="minorHAnsi" w:eastAsiaTheme="minorEastAsia" w:hAnsiTheme="minorHAnsi" w:cstheme="minorBidi"/>
            <w:noProof/>
            <w:sz w:val="22"/>
            <w:szCs w:val="22"/>
          </w:rPr>
          <w:tab/>
        </w:r>
        <w:r w:rsidRPr="00CC53E5">
          <w:rPr>
            <w:rStyle w:val="Hyperlink"/>
            <w:noProof/>
          </w:rPr>
          <w:t>Part 1 Section 21.4.2.14, forEach (For Each)</w:t>
        </w:r>
        <w:r>
          <w:rPr>
            <w:noProof/>
            <w:webHidden/>
          </w:rPr>
          <w:tab/>
        </w:r>
        <w:r>
          <w:rPr>
            <w:noProof/>
            <w:webHidden/>
          </w:rPr>
          <w:fldChar w:fldCharType="begin"/>
        </w:r>
        <w:r>
          <w:rPr>
            <w:noProof/>
            <w:webHidden/>
          </w:rPr>
          <w:instrText xml:space="preserve"> PAGEREF _Toc69879396 \h </w:instrText>
        </w:r>
        <w:r>
          <w:rPr>
            <w:noProof/>
            <w:webHidden/>
          </w:rPr>
        </w:r>
        <w:r>
          <w:rPr>
            <w:noProof/>
            <w:webHidden/>
          </w:rPr>
          <w:fldChar w:fldCharType="separate"/>
        </w:r>
        <w:r>
          <w:rPr>
            <w:noProof/>
            <w:webHidden/>
          </w:rPr>
          <w:t>586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97" w:history="1">
        <w:r w:rsidRPr="00CC53E5">
          <w:rPr>
            <w:rStyle w:val="Hyperlink"/>
            <w:noProof/>
          </w:rPr>
          <w:t>2.1.1614</w:t>
        </w:r>
        <w:r>
          <w:rPr>
            <w:rFonts w:asciiTheme="minorHAnsi" w:eastAsiaTheme="minorEastAsia" w:hAnsiTheme="minorHAnsi" w:cstheme="minorBidi"/>
            <w:noProof/>
            <w:sz w:val="22"/>
            <w:szCs w:val="22"/>
          </w:rPr>
          <w:tab/>
        </w:r>
        <w:r w:rsidRPr="00CC53E5">
          <w:rPr>
            <w:rStyle w:val="Hyperlink"/>
            <w:noProof/>
          </w:rPr>
          <w:t>Part 1 Section 21.4.2.20, param (Parameter)</w:t>
        </w:r>
        <w:r>
          <w:rPr>
            <w:noProof/>
            <w:webHidden/>
          </w:rPr>
          <w:tab/>
        </w:r>
        <w:r>
          <w:rPr>
            <w:noProof/>
            <w:webHidden/>
          </w:rPr>
          <w:fldChar w:fldCharType="begin"/>
        </w:r>
        <w:r>
          <w:rPr>
            <w:noProof/>
            <w:webHidden/>
          </w:rPr>
          <w:instrText xml:space="preserve"> PAGEREF _Toc69879397 \h </w:instrText>
        </w:r>
        <w:r>
          <w:rPr>
            <w:noProof/>
            <w:webHidden/>
          </w:rPr>
        </w:r>
        <w:r>
          <w:rPr>
            <w:noProof/>
            <w:webHidden/>
          </w:rPr>
          <w:fldChar w:fldCharType="separate"/>
        </w:r>
        <w:r>
          <w:rPr>
            <w:noProof/>
            <w:webHidden/>
          </w:rPr>
          <w:t>586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98" w:history="1">
        <w:r w:rsidRPr="00CC53E5">
          <w:rPr>
            <w:rStyle w:val="Hyperlink"/>
            <w:noProof/>
          </w:rPr>
          <w:t>2.1.1615</w:t>
        </w:r>
        <w:r>
          <w:rPr>
            <w:rFonts w:asciiTheme="minorHAnsi" w:eastAsiaTheme="minorEastAsia" w:hAnsiTheme="minorHAnsi" w:cstheme="minorBidi"/>
            <w:noProof/>
            <w:sz w:val="22"/>
            <w:szCs w:val="22"/>
          </w:rPr>
          <w:tab/>
        </w:r>
        <w:r w:rsidRPr="00CC53E5">
          <w:rPr>
            <w:rStyle w:val="Hyperlink"/>
            <w:noProof/>
          </w:rPr>
          <w:t>Part 1 Section 21.4.2.26, sampData (Sample Data)</w:t>
        </w:r>
        <w:r>
          <w:rPr>
            <w:noProof/>
            <w:webHidden/>
          </w:rPr>
          <w:tab/>
        </w:r>
        <w:r>
          <w:rPr>
            <w:noProof/>
            <w:webHidden/>
          </w:rPr>
          <w:fldChar w:fldCharType="begin"/>
        </w:r>
        <w:r>
          <w:rPr>
            <w:noProof/>
            <w:webHidden/>
          </w:rPr>
          <w:instrText xml:space="preserve"> PAGEREF _Toc69879398 \h </w:instrText>
        </w:r>
        <w:r>
          <w:rPr>
            <w:noProof/>
            <w:webHidden/>
          </w:rPr>
        </w:r>
        <w:r>
          <w:rPr>
            <w:noProof/>
            <w:webHidden/>
          </w:rPr>
          <w:fldChar w:fldCharType="separate"/>
        </w:r>
        <w:r>
          <w:rPr>
            <w:noProof/>
            <w:webHidden/>
          </w:rPr>
          <w:t>587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399" w:history="1">
        <w:r w:rsidRPr="00CC53E5">
          <w:rPr>
            <w:rStyle w:val="Hyperlink"/>
            <w:noProof/>
          </w:rPr>
          <w:t>2.1.1616</w:t>
        </w:r>
        <w:r>
          <w:rPr>
            <w:rFonts w:asciiTheme="minorHAnsi" w:eastAsiaTheme="minorEastAsia" w:hAnsiTheme="minorHAnsi" w:cstheme="minorBidi"/>
            <w:noProof/>
            <w:sz w:val="22"/>
            <w:szCs w:val="22"/>
          </w:rPr>
          <w:tab/>
        </w:r>
        <w:r w:rsidRPr="00CC53E5">
          <w:rPr>
            <w:rStyle w:val="Hyperlink"/>
            <w:noProof/>
          </w:rPr>
          <w:t>Part 1 Section 21.4.2.27, shape (Shape)</w:t>
        </w:r>
        <w:r>
          <w:rPr>
            <w:noProof/>
            <w:webHidden/>
          </w:rPr>
          <w:tab/>
        </w:r>
        <w:r>
          <w:rPr>
            <w:noProof/>
            <w:webHidden/>
          </w:rPr>
          <w:fldChar w:fldCharType="begin"/>
        </w:r>
        <w:r>
          <w:rPr>
            <w:noProof/>
            <w:webHidden/>
          </w:rPr>
          <w:instrText xml:space="preserve"> PAGEREF _Toc69879399 \h </w:instrText>
        </w:r>
        <w:r>
          <w:rPr>
            <w:noProof/>
            <w:webHidden/>
          </w:rPr>
        </w:r>
        <w:r>
          <w:rPr>
            <w:noProof/>
            <w:webHidden/>
          </w:rPr>
          <w:fldChar w:fldCharType="separate"/>
        </w:r>
        <w:r>
          <w:rPr>
            <w:noProof/>
            <w:webHidden/>
          </w:rPr>
          <w:t>587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00" w:history="1">
        <w:r w:rsidRPr="00CC53E5">
          <w:rPr>
            <w:rStyle w:val="Hyperlink"/>
            <w:noProof/>
          </w:rPr>
          <w:t>2.1.1617</w:t>
        </w:r>
        <w:r>
          <w:rPr>
            <w:rFonts w:asciiTheme="minorHAnsi" w:eastAsiaTheme="minorEastAsia" w:hAnsiTheme="minorHAnsi" w:cstheme="minorBidi"/>
            <w:noProof/>
            <w:sz w:val="22"/>
            <w:szCs w:val="22"/>
          </w:rPr>
          <w:tab/>
        </w:r>
        <w:r w:rsidRPr="00CC53E5">
          <w:rPr>
            <w:rStyle w:val="Hyperlink"/>
            <w:noProof/>
          </w:rPr>
          <w:t>Part 1 Section 21.4.2.29, styleData (Style Data)</w:t>
        </w:r>
        <w:r>
          <w:rPr>
            <w:noProof/>
            <w:webHidden/>
          </w:rPr>
          <w:tab/>
        </w:r>
        <w:r>
          <w:rPr>
            <w:noProof/>
            <w:webHidden/>
          </w:rPr>
          <w:fldChar w:fldCharType="begin"/>
        </w:r>
        <w:r>
          <w:rPr>
            <w:noProof/>
            <w:webHidden/>
          </w:rPr>
          <w:instrText xml:space="preserve"> PAGEREF _Toc69879400 \h </w:instrText>
        </w:r>
        <w:r>
          <w:rPr>
            <w:noProof/>
            <w:webHidden/>
          </w:rPr>
        </w:r>
        <w:r>
          <w:rPr>
            <w:noProof/>
            <w:webHidden/>
          </w:rPr>
          <w:fldChar w:fldCharType="separate"/>
        </w:r>
        <w:r>
          <w:rPr>
            <w:noProof/>
            <w:webHidden/>
          </w:rPr>
          <w:t>587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01" w:history="1">
        <w:r w:rsidRPr="00CC53E5">
          <w:rPr>
            <w:rStyle w:val="Hyperlink"/>
            <w:noProof/>
          </w:rPr>
          <w:t>2.1.1618</w:t>
        </w:r>
        <w:r>
          <w:rPr>
            <w:rFonts w:asciiTheme="minorHAnsi" w:eastAsiaTheme="minorEastAsia" w:hAnsiTheme="minorHAnsi" w:cstheme="minorBidi"/>
            <w:noProof/>
            <w:sz w:val="22"/>
            <w:szCs w:val="22"/>
          </w:rPr>
          <w:tab/>
        </w:r>
        <w:r w:rsidRPr="00CC53E5">
          <w:rPr>
            <w:rStyle w:val="Hyperlink"/>
            <w:noProof/>
          </w:rPr>
          <w:t>Part 1 Section 21.4.3.2, cxn (Connection)</w:t>
        </w:r>
        <w:r>
          <w:rPr>
            <w:noProof/>
            <w:webHidden/>
          </w:rPr>
          <w:tab/>
        </w:r>
        <w:r>
          <w:rPr>
            <w:noProof/>
            <w:webHidden/>
          </w:rPr>
          <w:fldChar w:fldCharType="begin"/>
        </w:r>
        <w:r>
          <w:rPr>
            <w:noProof/>
            <w:webHidden/>
          </w:rPr>
          <w:instrText xml:space="preserve"> PAGEREF _Toc69879401 \h </w:instrText>
        </w:r>
        <w:r>
          <w:rPr>
            <w:noProof/>
            <w:webHidden/>
          </w:rPr>
        </w:r>
        <w:r>
          <w:rPr>
            <w:noProof/>
            <w:webHidden/>
          </w:rPr>
          <w:fldChar w:fldCharType="separate"/>
        </w:r>
        <w:r>
          <w:rPr>
            <w:noProof/>
            <w:webHidden/>
          </w:rPr>
          <w:t>587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02" w:history="1">
        <w:r w:rsidRPr="00CC53E5">
          <w:rPr>
            <w:rStyle w:val="Hyperlink"/>
            <w:noProof/>
          </w:rPr>
          <w:t>2.1.1619</w:t>
        </w:r>
        <w:r>
          <w:rPr>
            <w:rFonts w:asciiTheme="minorHAnsi" w:eastAsiaTheme="minorEastAsia" w:hAnsiTheme="minorHAnsi" w:cstheme="minorBidi"/>
            <w:noProof/>
            <w:sz w:val="22"/>
            <w:szCs w:val="22"/>
          </w:rPr>
          <w:tab/>
        </w:r>
        <w:r w:rsidRPr="00CC53E5">
          <w:rPr>
            <w:rStyle w:val="Hyperlink"/>
            <w:noProof/>
          </w:rPr>
          <w:t>Part 1 Section 21.4.3.4, prSet (Property Set)</w:t>
        </w:r>
        <w:r>
          <w:rPr>
            <w:noProof/>
            <w:webHidden/>
          </w:rPr>
          <w:tab/>
        </w:r>
        <w:r>
          <w:rPr>
            <w:noProof/>
            <w:webHidden/>
          </w:rPr>
          <w:fldChar w:fldCharType="begin"/>
        </w:r>
        <w:r>
          <w:rPr>
            <w:noProof/>
            <w:webHidden/>
          </w:rPr>
          <w:instrText xml:space="preserve"> PAGEREF _Toc69879402 \h </w:instrText>
        </w:r>
        <w:r>
          <w:rPr>
            <w:noProof/>
            <w:webHidden/>
          </w:rPr>
        </w:r>
        <w:r>
          <w:rPr>
            <w:noProof/>
            <w:webHidden/>
          </w:rPr>
          <w:fldChar w:fldCharType="separate"/>
        </w:r>
        <w:r>
          <w:rPr>
            <w:noProof/>
            <w:webHidden/>
          </w:rPr>
          <w:t>587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03" w:history="1">
        <w:r w:rsidRPr="00CC53E5">
          <w:rPr>
            <w:rStyle w:val="Hyperlink"/>
            <w:noProof/>
          </w:rPr>
          <w:t>2.1.1620</w:t>
        </w:r>
        <w:r>
          <w:rPr>
            <w:rFonts w:asciiTheme="minorHAnsi" w:eastAsiaTheme="minorEastAsia" w:hAnsiTheme="minorHAnsi" w:cstheme="minorBidi"/>
            <w:noProof/>
            <w:sz w:val="22"/>
            <w:szCs w:val="22"/>
          </w:rPr>
          <w:tab/>
        </w:r>
        <w:r w:rsidRPr="00CC53E5">
          <w:rPr>
            <w:rStyle w:val="Hyperlink"/>
            <w:noProof/>
          </w:rPr>
          <w:t>Part 1 Section 21.4.3.5, pt (Point)</w:t>
        </w:r>
        <w:r>
          <w:rPr>
            <w:noProof/>
            <w:webHidden/>
          </w:rPr>
          <w:tab/>
        </w:r>
        <w:r>
          <w:rPr>
            <w:noProof/>
            <w:webHidden/>
          </w:rPr>
          <w:fldChar w:fldCharType="begin"/>
        </w:r>
        <w:r>
          <w:rPr>
            <w:noProof/>
            <w:webHidden/>
          </w:rPr>
          <w:instrText xml:space="preserve"> PAGEREF _Toc69879403 \h </w:instrText>
        </w:r>
        <w:r>
          <w:rPr>
            <w:noProof/>
            <w:webHidden/>
          </w:rPr>
        </w:r>
        <w:r>
          <w:rPr>
            <w:noProof/>
            <w:webHidden/>
          </w:rPr>
          <w:fldChar w:fldCharType="separate"/>
        </w:r>
        <w:r>
          <w:rPr>
            <w:noProof/>
            <w:webHidden/>
          </w:rPr>
          <w:t>587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04" w:history="1">
        <w:r w:rsidRPr="00CC53E5">
          <w:rPr>
            <w:rStyle w:val="Hyperlink"/>
            <w:noProof/>
          </w:rPr>
          <w:t>2.1.1621</w:t>
        </w:r>
        <w:r>
          <w:rPr>
            <w:rFonts w:asciiTheme="minorHAnsi" w:eastAsiaTheme="minorEastAsia" w:hAnsiTheme="minorHAnsi" w:cstheme="minorBidi"/>
            <w:noProof/>
            <w:sz w:val="22"/>
            <w:szCs w:val="22"/>
          </w:rPr>
          <w:tab/>
        </w:r>
        <w:r w:rsidRPr="00CC53E5">
          <w:rPr>
            <w:rStyle w:val="Hyperlink"/>
            <w:noProof/>
          </w:rPr>
          <w:t>Part 1 Section 21.4.3.7, spPr (Shape Properties)</w:t>
        </w:r>
        <w:r>
          <w:rPr>
            <w:noProof/>
            <w:webHidden/>
          </w:rPr>
          <w:tab/>
        </w:r>
        <w:r>
          <w:rPr>
            <w:noProof/>
            <w:webHidden/>
          </w:rPr>
          <w:fldChar w:fldCharType="begin"/>
        </w:r>
        <w:r>
          <w:rPr>
            <w:noProof/>
            <w:webHidden/>
          </w:rPr>
          <w:instrText xml:space="preserve"> PAGEREF _Toc69879404 \h </w:instrText>
        </w:r>
        <w:r>
          <w:rPr>
            <w:noProof/>
            <w:webHidden/>
          </w:rPr>
        </w:r>
        <w:r>
          <w:rPr>
            <w:noProof/>
            <w:webHidden/>
          </w:rPr>
          <w:fldChar w:fldCharType="separate"/>
        </w:r>
        <w:r>
          <w:rPr>
            <w:noProof/>
            <w:webHidden/>
          </w:rPr>
          <w:t>588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05" w:history="1">
        <w:r w:rsidRPr="00CC53E5">
          <w:rPr>
            <w:rStyle w:val="Hyperlink"/>
            <w:noProof/>
          </w:rPr>
          <w:t>2.1.1622</w:t>
        </w:r>
        <w:r>
          <w:rPr>
            <w:rFonts w:asciiTheme="minorHAnsi" w:eastAsiaTheme="minorEastAsia" w:hAnsiTheme="minorHAnsi" w:cstheme="minorBidi"/>
            <w:noProof/>
            <w:sz w:val="22"/>
            <w:szCs w:val="22"/>
          </w:rPr>
          <w:tab/>
        </w:r>
        <w:r w:rsidRPr="00CC53E5">
          <w:rPr>
            <w:rStyle w:val="Hyperlink"/>
            <w:noProof/>
          </w:rPr>
          <w:t>Part 1 Section 21.4.3.8, t (Text Body)</w:t>
        </w:r>
        <w:r>
          <w:rPr>
            <w:noProof/>
            <w:webHidden/>
          </w:rPr>
          <w:tab/>
        </w:r>
        <w:r>
          <w:rPr>
            <w:noProof/>
            <w:webHidden/>
          </w:rPr>
          <w:fldChar w:fldCharType="begin"/>
        </w:r>
        <w:r>
          <w:rPr>
            <w:noProof/>
            <w:webHidden/>
          </w:rPr>
          <w:instrText xml:space="preserve"> PAGEREF _Toc69879405 \h </w:instrText>
        </w:r>
        <w:r>
          <w:rPr>
            <w:noProof/>
            <w:webHidden/>
          </w:rPr>
        </w:r>
        <w:r>
          <w:rPr>
            <w:noProof/>
            <w:webHidden/>
          </w:rPr>
          <w:fldChar w:fldCharType="separate"/>
        </w:r>
        <w:r>
          <w:rPr>
            <w:noProof/>
            <w:webHidden/>
          </w:rPr>
          <w:t>588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06" w:history="1">
        <w:r w:rsidRPr="00CC53E5">
          <w:rPr>
            <w:rStyle w:val="Hyperlink"/>
            <w:noProof/>
          </w:rPr>
          <w:t>2.1.1623</w:t>
        </w:r>
        <w:r>
          <w:rPr>
            <w:rFonts w:asciiTheme="minorHAnsi" w:eastAsiaTheme="minorEastAsia" w:hAnsiTheme="minorHAnsi" w:cstheme="minorBidi"/>
            <w:noProof/>
            <w:sz w:val="22"/>
            <w:szCs w:val="22"/>
          </w:rPr>
          <w:tab/>
        </w:r>
        <w:r w:rsidRPr="00CC53E5">
          <w:rPr>
            <w:rStyle w:val="Hyperlink"/>
            <w:noProof/>
          </w:rPr>
          <w:t>Part 1 Section 21.4.4.3, colorsDef (Color Transform Definitions)</w:t>
        </w:r>
        <w:r>
          <w:rPr>
            <w:noProof/>
            <w:webHidden/>
          </w:rPr>
          <w:tab/>
        </w:r>
        <w:r>
          <w:rPr>
            <w:noProof/>
            <w:webHidden/>
          </w:rPr>
          <w:fldChar w:fldCharType="begin"/>
        </w:r>
        <w:r>
          <w:rPr>
            <w:noProof/>
            <w:webHidden/>
          </w:rPr>
          <w:instrText xml:space="preserve"> PAGEREF _Toc69879406 \h </w:instrText>
        </w:r>
        <w:r>
          <w:rPr>
            <w:noProof/>
            <w:webHidden/>
          </w:rPr>
        </w:r>
        <w:r>
          <w:rPr>
            <w:noProof/>
            <w:webHidden/>
          </w:rPr>
          <w:fldChar w:fldCharType="separate"/>
        </w:r>
        <w:r>
          <w:rPr>
            <w:noProof/>
            <w:webHidden/>
          </w:rPr>
          <w:t>588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07" w:history="1">
        <w:r w:rsidRPr="00CC53E5">
          <w:rPr>
            <w:rStyle w:val="Hyperlink"/>
            <w:noProof/>
          </w:rPr>
          <w:t>2.1.1624</w:t>
        </w:r>
        <w:r>
          <w:rPr>
            <w:rFonts w:asciiTheme="minorHAnsi" w:eastAsiaTheme="minorEastAsia" w:hAnsiTheme="minorHAnsi" w:cstheme="minorBidi"/>
            <w:noProof/>
            <w:sz w:val="22"/>
            <w:szCs w:val="22"/>
          </w:rPr>
          <w:tab/>
        </w:r>
        <w:r w:rsidRPr="00CC53E5">
          <w:rPr>
            <w:rStyle w:val="Hyperlink"/>
            <w:noProof/>
          </w:rPr>
          <w:t>Part 1 Section 21.4.4.7, effectClrLst (Effect Color List)</w:t>
        </w:r>
        <w:r>
          <w:rPr>
            <w:noProof/>
            <w:webHidden/>
          </w:rPr>
          <w:tab/>
        </w:r>
        <w:r>
          <w:rPr>
            <w:noProof/>
            <w:webHidden/>
          </w:rPr>
          <w:fldChar w:fldCharType="begin"/>
        </w:r>
        <w:r>
          <w:rPr>
            <w:noProof/>
            <w:webHidden/>
          </w:rPr>
          <w:instrText xml:space="preserve"> PAGEREF _Toc69879407 \h </w:instrText>
        </w:r>
        <w:r>
          <w:rPr>
            <w:noProof/>
            <w:webHidden/>
          </w:rPr>
        </w:r>
        <w:r>
          <w:rPr>
            <w:noProof/>
            <w:webHidden/>
          </w:rPr>
          <w:fldChar w:fldCharType="separate"/>
        </w:r>
        <w:r>
          <w:rPr>
            <w:noProof/>
            <w:webHidden/>
          </w:rPr>
          <w:t>588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08" w:history="1">
        <w:r w:rsidRPr="00CC53E5">
          <w:rPr>
            <w:rStyle w:val="Hyperlink"/>
            <w:noProof/>
          </w:rPr>
          <w:t>2.1.1625</w:t>
        </w:r>
        <w:r>
          <w:rPr>
            <w:rFonts w:asciiTheme="minorHAnsi" w:eastAsiaTheme="minorEastAsia" w:hAnsiTheme="minorHAnsi" w:cstheme="minorBidi"/>
            <w:noProof/>
            <w:sz w:val="22"/>
            <w:szCs w:val="22"/>
          </w:rPr>
          <w:tab/>
        </w:r>
        <w:r w:rsidRPr="00CC53E5">
          <w:rPr>
            <w:rStyle w:val="Hyperlink"/>
            <w:noProof/>
          </w:rPr>
          <w:t>Part 1 Section 21.4.4.8, fillClrLst (Fill Color List)</w:t>
        </w:r>
        <w:r>
          <w:rPr>
            <w:noProof/>
            <w:webHidden/>
          </w:rPr>
          <w:tab/>
        </w:r>
        <w:r>
          <w:rPr>
            <w:noProof/>
            <w:webHidden/>
          </w:rPr>
          <w:fldChar w:fldCharType="begin"/>
        </w:r>
        <w:r>
          <w:rPr>
            <w:noProof/>
            <w:webHidden/>
          </w:rPr>
          <w:instrText xml:space="preserve"> PAGEREF _Toc69879408 \h </w:instrText>
        </w:r>
        <w:r>
          <w:rPr>
            <w:noProof/>
            <w:webHidden/>
          </w:rPr>
        </w:r>
        <w:r>
          <w:rPr>
            <w:noProof/>
            <w:webHidden/>
          </w:rPr>
          <w:fldChar w:fldCharType="separate"/>
        </w:r>
        <w:r>
          <w:rPr>
            <w:noProof/>
            <w:webHidden/>
          </w:rPr>
          <w:t>588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09" w:history="1">
        <w:r w:rsidRPr="00CC53E5">
          <w:rPr>
            <w:rStyle w:val="Hyperlink"/>
            <w:noProof/>
          </w:rPr>
          <w:t>2.1.1626</w:t>
        </w:r>
        <w:r>
          <w:rPr>
            <w:rFonts w:asciiTheme="minorHAnsi" w:eastAsiaTheme="minorEastAsia" w:hAnsiTheme="minorHAnsi" w:cstheme="minorBidi"/>
            <w:noProof/>
            <w:sz w:val="22"/>
            <w:szCs w:val="22"/>
          </w:rPr>
          <w:tab/>
        </w:r>
        <w:r w:rsidRPr="00CC53E5">
          <w:rPr>
            <w:rStyle w:val="Hyperlink"/>
            <w:noProof/>
          </w:rPr>
          <w:t>Part 1 Section 21.4.4.9, linClrLst (Line Color List)</w:t>
        </w:r>
        <w:r>
          <w:rPr>
            <w:noProof/>
            <w:webHidden/>
          </w:rPr>
          <w:tab/>
        </w:r>
        <w:r>
          <w:rPr>
            <w:noProof/>
            <w:webHidden/>
          </w:rPr>
          <w:fldChar w:fldCharType="begin"/>
        </w:r>
        <w:r>
          <w:rPr>
            <w:noProof/>
            <w:webHidden/>
          </w:rPr>
          <w:instrText xml:space="preserve"> PAGEREF _Toc69879409 \h </w:instrText>
        </w:r>
        <w:r>
          <w:rPr>
            <w:noProof/>
            <w:webHidden/>
          </w:rPr>
        </w:r>
        <w:r>
          <w:rPr>
            <w:noProof/>
            <w:webHidden/>
          </w:rPr>
          <w:fldChar w:fldCharType="separate"/>
        </w:r>
        <w:r>
          <w:rPr>
            <w:noProof/>
            <w:webHidden/>
          </w:rPr>
          <w:t>588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10" w:history="1">
        <w:r w:rsidRPr="00CC53E5">
          <w:rPr>
            <w:rStyle w:val="Hyperlink"/>
            <w:noProof/>
          </w:rPr>
          <w:t>2.1.1627</w:t>
        </w:r>
        <w:r>
          <w:rPr>
            <w:rFonts w:asciiTheme="minorHAnsi" w:eastAsiaTheme="minorEastAsia" w:hAnsiTheme="minorHAnsi" w:cstheme="minorBidi"/>
            <w:noProof/>
            <w:sz w:val="22"/>
            <w:szCs w:val="22"/>
          </w:rPr>
          <w:tab/>
        </w:r>
        <w:r w:rsidRPr="00CC53E5">
          <w:rPr>
            <w:rStyle w:val="Hyperlink"/>
            <w:noProof/>
          </w:rPr>
          <w:t>Part 1 Section 21.4.4.12, txEffectClrLst (Text Effect Color List)</w:t>
        </w:r>
        <w:r>
          <w:rPr>
            <w:noProof/>
            <w:webHidden/>
          </w:rPr>
          <w:tab/>
        </w:r>
        <w:r>
          <w:rPr>
            <w:noProof/>
            <w:webHidden/>
          </w:rPr>
          <w:fldChar w:fldCharType="begin"/>
        </w:r>
        <w:r>
          <w:rPr>
            <w:noProof/>
            <w:webHidden/>
          </w:rPr>
          <w:instrText xml:space="preserve"> PAGEREF _Toc69879410 \h </w:instrText>
        </w:r>
        <w:r>
          <w:rPr>
            <w:noProof/>
            <w:webHidden/>
          </w:rPr>
        </w:r>
        <w:r>
          <w:rPr>
            <w:noProof/>
            <w:webHidden/>
          </w:rPr>
          <w:fldChar w:fldCharType="separate"/>
        </w:r>
        <w:r>
          <w:rPr>
            <w:noProof/>
            <w:webHidden/>
          </w:rPr>
          <w:t>589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11" w:history="1">
        <w:r w:rsidRPr="00CC53E5">
          <w:rPr>
            <w:rStyle w:val="Hyperlink"/>
            <w:noProof/>
          </w:rPr>
          <w:t>2.1.1628</w:t>
        </w:r>
        <w:r>
          <w:rPr>
            <w:rFonts w:asciiTheme="minorHAnsi" w:eastAsiaTheme="minorEastAsia" w:hAnsiTheme="minorHAnsi" w:cstheme="minorBidi"/>
            <w:noProof/>
            <w:sz w:val="22"/>
            <w:szCs w:val="22"/>
          </w:rPr>
          <w:tab/>
        </w:r>
        <w:r w:rsidRPr="00CC53E5">
          <w:rPr>
            <w:rStyle w:val="Hyperlink"/>
            <w:noProof/>
          </w:rPr>
          <w:t>Part 1 Section 21.4.4.13, txFillClrLst (Text Fill Color List)</w:t>
        </w:r>
        <w:r>
          <w:rPr>
            <w:noProof/>
            <w:webHidden/>
          </w:rPr>
          <w:tab/>
        </w:r>
        <w:r>
          <w:rPr>
            <w:noProof/>
            <w:webHidden/>
          </w:rPr>
          <w:fldChar w:fldCharType="begin"/>
        </w:r>
        <w:r>
          <w:rPr>
            <w:noProof/>
            <w:webHidden/>
          </w:rPr>
          <w:instrText xml:space="preserve"> PAGEREF _Toc69879411 \h </w:instrText>
        </w:r>
        <w:r>
          <w:rPr>
            <w:noProof/>
            <w:webHidden/>
          </w:rPr>
        </w:r>
        <w:r>
          <w:rPr>
            <w:noProof/>
            <w:webHidden/>
          </w:rPr>
          <w:fldChar w:fldCharType="separate"/>
        </w:r>
        <w:r>
          <w:rPr>
            <w:noProof/>
            <w:webHidden/>
          </w:rPr>
          <w:t>589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12" w:history="1">
        <w:r w:rsidRPr="00CC53E5">
          <w:rPr>
            <w:rStyle w:val="Hyperlink"/>
            <w:noProof/>
          </w:rPr>
          <w:t>2.1.1629</w:t>
        </w:r>
        <w:r>
          <w:rPr>
            <w:rFonts w:asciiTheme="minorHAnsi" w:eastAsiaTheme="minorEastAsia" w:hAnsiTheme="minorHAnsi" w:cstheme="minorBidi"/>
            <w:noProof/>
            <w:sz w:val="22"/>
            <w:szCs w:val="22"/>
          </w:rPr>
          <w:tab/>
        </w:r>
        <w:r w:rsidRPr="00CC53E5">
          <w:rPr>
            <w:rStyle w:val="Hyperlink"/>
            <w:noProof/>
          </w:rPr>
          <w:t>Part 1 Section 21.4.4.14, txLinClrLst (Text Line Color List)</w:t>
        </w:r>
        <w:r>
          <w:rPr>
            <w:noProof/>
            <w:webHidden/>
          </w:rPr>
          <w:tab/>
        </w:r>
        <w:r>
          <w:rPr>
            <w:noProof/>
            <w:webHidden/>
          </w:rPr>
          <w:fldChar w:fldCharType="begin"/>
        </w:r>
        <w:r>
          <w:rPr>
            <w:noProof/>
            <w:webHidden/>
          </w:rPr>
          <w:instrText xml:space="preserve"> PAGEREF _Toc69879412 \h </w:instrText>
        </w:r>
        <w:r>
          <w:rPr>
            <w:noProof/>
            <w:webHidden/>
          </w:rPr>
        </w:r>
        <w:r>
          <w:rPr>
            <w:noProof/>
            <w:webHidden/>
          </w:rPr>
          <w:fldChar w:fldCharType="separate"/>
        </w:r>
        <w:r>
          <w:rPr>
            <w:noProof/>
            <w:webHidden/>
          </w:rPr>
          <w:t>589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13" w:history="1">
        <w:r w:rsidRPr="00CC53E5">
          <w:rPr>
            <w:rStyle w:val="Hyperlink"/>
            <w:noProof/>
          </w:rPr>
          <w:t>2.1.1630</w:t>
        </w:r>
        <w:r>
          <w:rPr>
            <w:rFonts w:asciiTheme="minorHAnsi" w:eastAsiaTheme="minorEastAsia" w:hAnsiTheme="minorHAnsi" w:cstheme="minorBidi"/>
            <w:noProof/>
            <w:sz w:val="22"/>
            <w:szCs w:val="22"/>
          </w:rPr>
          <w:tab/>
        </w:r>
        <w:r w:rsidRPr="00CC53E5">
          <w:rPr>
            <w:rStyle w:val="Hyperlink"/>
            <w:noProof/>
          </w:rPr>
          <w:t>Part 1 Section 21.4.5.6, sp3d (3-D Shape Properties)</w:t>
        </w:r>
        <w:r>
          <w:rPr>
            <w:noProof/>
            <w:webHidden/>
          </w:rPr>
          <w:tab/>
        </w:r>
        <w:r>
          <w:rPr>
            <w:noProof/>
            <w:webHidden/>
          </w:rPr>
          <w:fldChar w:fldCharType="begin"/>
        </w:r>
        <w:r>
          <w:rPr>
            <w:noProof/>
            <w:webHidden/>
          </w:rPr>
          <w:instrText xml:space="preserve"> PAGEREF _Toc69879413 \h </w:instrText>
        </w:r>
        <w:r>
          <w:rPr>
            <w:noProof/>
            <w:webHidden/>
          </w:rPr>
        </w:r>
        <w:r>
          <w:rPr>
            <w:noProof/>
            <w:webHidden/>
          </w:rPr>
          <w:fldChar w:fldCharType="separate"/>
        </w:r>
        <w:r>
          <w:rPr>
            <w:noProof/>
            <w:webHidden/>
          </w:rPr>
          <w:t>589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14" w:history="1">
        <w:r w:rsidRPr="00CC53E5">
          <w:rPr>
            <w:rStyle w:val="Hyperlink"/>
            <w:noProof/>
          </w:rPr>
          <w:t>2.1.1631</w:t>
        </w:r>
        <w:r>
          <w:rPr>
            <w:rFonts w:asciiTheme="minorHAnsi" w:eastAsiaTheme="minorEastAsia" w:hAnsiTheme="minorHAnsi" w:cstheme="minorBidi"/>
            <w:noProof/>
            <w:sz w:val="22"/>
            <w:szCs w:val="22"/>
          </w:rPr>
          <w:tab/>
        </w:r>
        <w:r w:rsidRPr="00CC53E5">
          <w:rPr>
            <w:rStyle w:val="Hyperlink"/>
            <w:noProof/>
          </w:rPr>
          <w:t>Part 1 Section 21.4.5.10, styleLbl (Style Label)</w:t>
        </w:r>
        <w:r>
          <w:rPr>
            <w:noProof/>
            <w:webHidden/>
          </w:rPr>
          <w:tab/>
        </w:r>
        <w:r>
          <w:rPr>
            <w:noProof/>
            <w:webHidden/>
          </w:rPr>
          <w:fldChar w:fldCharType="begin"/>
        </w:r>
        <w:r>
          <w:rPr>
            <w:noProof/>
            <w:webHidden/>
          </w:rPr>
          <w:instrText xml:space="preserve"> PAGEREF _Toc69879414 \h </w:instrText>
        </w:r>
        <w:r>
          <w:rPr>
            <w:noProof/>
            <w:webHidden/>
          </w:rPr>
        </w:r>
        <w:r>
          <w:rPr>
            <w:noProof/>
            <w:webHidden/>
          </w:rPr>
          <w:fldChar w:fldCharType="separate"/>
        </w:r>
        <w:r>
          <w:rPr>
            <w:noProof/>
            <w:webHidden/>
          </w:rPr>
          <w:t>589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15" w:history="1">
        <w:r w:rsidRPr="00CC53E5">
          <w:rPr>
            <w:rStyle w:val="Hyperlink"/>
            <w:noProof/>
          </w:rPr>
          <w:t>2.1.1632</w:t>
        </w:r>
        <w:r>
          <w:rPr>
            <w:rFonts w:asciiTheme="minorHAnsi" w:eastAsiaTheme="minorEastAsia" w:hAnsiTheme="minorHAnsi" w:cstheme="minorBidi"/>
            <w:noProof/>
            <w:sz w:val="22"/>
            <w:szCs w:val="22"/>
          </w:rPr>
          <w:tab/>
        </w:r>
        <w:r w:rsidRPr="00CC53E5">
          <w:rPr>
            <w:rStyle w:val="Hyperlink"/>
            <w:noProof/>
          </w:rPr>
          <w:t>Part 1 Section 21.4.7.3, ST_AnimOneStr (One by One Animation Value Definition)</w:t>
        </w:r>
        <w:r>
          <w:rPr>
            <w:noProof/>
            <w:webHidden/>
          </w:rPr>
          <w:tab/>
        </w:r>
        <w:r>
          <w:rPr>
            <w:noProof/>
            <w:webHidden/>
          </w:rPr>
          <w:fldChar w:fldCharType="begin"/>
        </w:r>
        <w:r>
          <w:rPr>
            <w:noProof/>
            <w:webHidden/>
          </w:rPr>
          <w:instrText xml:space="preserve"> PAGEREF _Toc69879415 \h </w:instrText>
        </w:r>
        <w:r>
          <w:rPr>
            <w:noProof/>
            <w:webHidden/>
          </w:rPr>
        </w:r>
        <w:r>
          <w:rPr>
            <w:noProof/>
            <w:webHidden/>
          </w:rPr>
          <w:fldChar w:fldCharType="separate"/>
        </w:r>
        <w:r>
          <w:rPr>
            <w:noProof/>
            <w:webHidden/>
          </w:rPr>
          <w:t>589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16" w:history="1">
        <w:r w:rsidRPr="00CC53E5">
          <w:rPr>
            <w:rStyle w:val="Hyperlink"/>
            <w:noProof/>
          </w:rPr>
          <w:t>2.1.1633</w:t>
        </w:r>
        <w:r>
          <w:rPr>
            <w:rFonts w:asciiTheme="minorHAnsi" w:eastAsiaTheme="minorEastAsia" w:hAnsiTheme="minorHAnsi" w:cstheme="minorBidi"/>
            <w:noProof/>
            <w:sz w:val="22"/>
            <w:szCs w:val="22"/>
          </w:rPr>
          <w:tab/>
        </w:r>
        <w:r w:rsidRPr="00CC53E5">
          <w:rPr>
            <w:rStyle w:val="Hyperlink"/>
            <w:noProof/>
          </w:rPr>
          <w:t>Part 1 Section 21.4.7.6, ST_AxisType (Axis Type)</w:t>
        </w:r>
        <w:r>
          <w:rPr>
            <w:noProof/>
            <w:webHidden/>
          </w:rPr>
          <w:tab/>
        </w:r>
        <w:r>
          <w:rPr>
            <w:noProof/>
            <w:webHidden/>
          </w:rPr>
          <w:fldChar w:fldCharType="begin"/>
        </w:r>
        <w:r>
          <w:rPr>
            <w:noProof/>
            <w:webHidden/>
          </w:rPr>
          <w:instrText xml:space="preserve"> PAGEREF _Toc69879416 \h </w:instrText>
        </w:r>
        <w:r>
          <w:rPr>
            <w:noProof/>
            <w:webHidden/>
          </w:rPr>
        </w:r>
        <w:r>
          <w:rPr>
            <w:noProof/>
            <w:webHidden/>
          </w:rPr>
          <w:fldChar w:fldCharType="separate"/>
        </w:r>
        <w:r>
          <w:rPr>
            <w:noProof/>
            <w:webHidden/>
          </w:rPr>
          <w:t>589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17" w:history="1">
        <w:r w:rsidRPr="00CC53E5">
          <w:rPr>
            <w:rStyle w:val="Hyperlink"/>
            <w:noProof/>
          </w:rPr>
          <w:t>2.1.1634</w:t>
        </w:r>
        <w:r>
          <w:rPr>
            <w:rFonts w:asciiTheme="minorHAnsi" w:eastAsiaTheme="minorEastAsia" w:hAnsiTheme="minorHAnsi" w:cstheme="minorBidi"/>
            <w:noProof/>
            <w:sz w:val="22"/>
            <w:szCs w:val="22"/>
          </w:rPr>
          <w:tab/>
        </w:r>
        <w:r w:rsidRPr="00CC53E5">
          <w:rPr>
            <w:rStyle w:val="Hyperlink"/>
            <w:noProof/>
          </w:rPr>
          <w:t>Part 1 Section 21.4.7.49, ST_ParameterId (Parameter Identifier)</w:t>
        </w:r>
        <w:r>
          <w:rPr>
            <w:noProof/>
            <w:webHidden/>
          </w:rPr>
          <w:tab/>
        </w:r>
        <w:r>
          <w:rPr>
            <w:noProof/>
            <w:webHidden/>
          </w:rPr>
          <w:fldChar w:fldCharType="begin"/>
        </w:r>
        <w:r>
          <w:rPr>
            <w:noProof/>
            <w:webHidden/>
          </w:rPr>
          <w:instrText xml:space="preserve"> PAGEREF _Toc69879417 \h </w:instrText>
        </w:r>
        <w:r>
          <w:rPr>
            <w:noProof/>
            <w:webHidden/>
          </w:rPr>
        </w:r>
        <w:r>
          <w:rPr>
            <w:noProof/>
            <w:webHidden/>
          </w:rPr>
          <w:fldChar w:fldCharType="separate"/>
        </w:r>
        <w:r>
          <w:rPr>
            <w:noProof/>
            <w:webHidden/>
          </w:rPr>
          <w:t>589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18" w:history="1">
        <w:r w:rsidRPr="00CC53E5">
          <w:rPr>
            <w:rStyle w:val="Hyperlink"/>
            <w:noProof/>
          </w:rPr>
          <w:t>2.1.1635</w:t>
        </w:r>
        <w:r>
          <w:rPr>
            <w:rFonts w:asciiTheme="minorHAnsi" w:eastAsiaTheme="minorEastAsia" w:hAnsiTheme="minorHAnsi" w:cstheme="minorBidi"/>
            <w:noProof/>
            <w:sz w:val="22"/>
            <w:szCs w:val="22"/>
          </w:rPr>
          <w:tab/>
        </w:r>
        <w:r w:rsidRPr="00CC53E5">
          <w:rPr>
            <w:rStyle w:val="Hyperlink"/>
            <w:noProof/>
          </w:rPr>
          <w:t>Part 1 Section 21.4.7.56, ST_SecondaryChildAlignment (Secondary Child Alignment)</w:t>
        </w:r>
        <w:r>
          <w:rPr>
            <w:noProof/>
            <w:webHidden/>
          </w:rPr>
          <w:tab/>
        </w:r>
        <w:r>
          <w:rPr>
            <w:noProof/>
            <w:webHidden/>
          </w:rPr>
          <w:fldChar w:fldCharType="begin"/>
        </w:r>
        <w:r>
          <w:rPr>
            <w:noProof/>
            <w:webHidden/>
          </w:rPr>
          <w:instrText xml:space="preserve"> PAGEREF _Toc69879418 \h </w:instrText>
        </w:r>
        <w:r>
          <w:rPr>
            <w:noProof/>
            <w:webHidden/>
          </w:rPr>
        </w:r>
        <w:r>
          <w:rPr>
            <w:noProof/>
            <w:webHidden/>
          </w:rPr>
          <w:fldChar w:fldCharType="separate"/>
        </w:r>
        <w:r>
          <w:rPr>
            <w:noProof/>
            <w:webHidden/>
          </w:rPr>
          <w:t>596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19" w:history="1">
        <w:r w:rsidRPr="00CC53E5">
          <w:rPr>
            <w:rStyle w:val="Hyperlink"/>
            <w:noProof/>
          </w:rPr>
          <w:t>2.1.1636</w:t>
        </w:r>
        <w:r>
          <w:rPr>
            <w:rFonts w:asciiTheme="minorHAnsi" w:eastAsiaTheme="minorEastAsia" w:hAnsiTheme="minorHAnsi" w:cstheme="minorBidi"/>
            <w:noProof/>
            <w:sz w:val="22"/>
            <w:szCs w:val="22"/>
          </w:rPr>
          <w:tab/>
        </w:r>
        <w:r w:rsidRPr="00CC53E5">
          <w:rPr>
            <w:rStyle w:val="Hyperlink"/>
            <w:noProof/>
          </w:rPr>
          <w:t>Part 1 Section 21.4.7.57, ST_SecondaryLinearDirection (Secondary Linear Direction)</w:t>
        </w:r>
        <w:r>
          <w:rPr>
            <w:noProof/>
            <w:webHidden/>
          </w:rPr>
          <w:tab/>
        </w:r>
        <w:r>
          <w:rPr>
            <w:noProof/>
            <w:webHidden/>
          </w:rPr>
          <w:fldChar w:fldCharType="begin"/>
        </w:r>
        <w:r>
          <w:rPr>
            <w:noProof/>
            <w:webHidden/>
          </w:rPr>
          <w:instrText xml:space="preserve"> PAGEREF _Toc69879419 \h </w:instrText>
        </w:r>
        <w:r>
          <w:rPr>
            <w:noProof/>
            <w:webHidden/>
          </w:rPr>
        </w:r>
        <w:r>
          <w:rPr>
            <w:noProof/>
            <w:webHidden/>
          </w:rPr>
          <w:fldChar w:fldCharType="separate"/>
        </w:r>
        <w:r>
          <w:rPr>
            <w:noProof/>
            <w:webHidden/>
          </w:rPr>
          <w:t>596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20" w:history="1">
        <w:r w:rsidRPr="00CC53E5">
          <w:rPr>
            <w:rStyle w:val="Hyperlink"/>
            <w:noProof/>
          </w:rPr>
          <w:t>2.1.1637</w:t>
        </w:r>
        <w:r>
          <w:rPr>
            <w:rFonts w:asciiTheme="minorHAnsi" w:eastAsiaTheme="minorEastAsia" w:hAnsiTheme="minorHAnsi" w:cstheme="minorBidi"/>
            <w:noProof/>
            <w:sz w:val="22"/>
            <w:szCs w:val="22"/>
          </w:rPr>
          <w:tab/>
        </w:r>
        <w:r w:rsidRPr="00CC53E5">
          <w:rPr>
            <w:rStyle w:val="Hyperlink"/>
            <w:noProof/>
          </w:rPr>
          <w:t>Part 1 Section 22.1, Math</w:t>
        </w:r>
        <w:r>
          <w:rPr>
            <w:noProof/>
            <w:webHidden/>
          </w:rPr>
          <w:tab/>
        </w:r>
        <w:r>
          <w:rPr>
            <w:noProof/>
            <w:webHidden/>
          </w:rPr>
          <w:fldChar w:fldCharType="begin"/>
        </w:r>
        <w:r>
          <w:rPr>
            <w:noProof/>
            <w:webHidden/>
          </w:rPr>
          <w:instrText xml:space="preserve"> PAGEREF _Toc69879420 \h </w:instrText>
        </w:r>
        <w:r>
          <w:rPr>
            <w:noProof/>
            <w:webHidden/>
          </w:rPr>
        </w:r>
        <w:r>
          <w:rPr>
            <w:noProof/>
            <w:webHidden/>
          </w:rPr>
          <w:fldChar w:fldCharType="separate"/>
        </w:r>
        <w:r>
          <w:rPr>
            <w:noProof/>
            <w:webHidden/>
          </w:rPr>
          <w:t>596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21" w:history="1">
        <w:r w:rsidRPr="00CC53E5">
          <w:rPr>
            <w:rStyle w:val="Hyperlink"/>
            <w:noProof/>
          </w:rPr>
          <w:t>2.1.1638</w:t>
        </w:r>
        <w:r>
          <w:rPr>
            <w:rFonts w:asciiTheme="minorHAnsi" w:eastAsiaTheme="minorEastAsia" w:hAnsiTheme="minorHAnsi" w:cstheme="minorBidi"/>
            <w:noProof/>
            <w:sz w:val="22"/>
            <w:szCs w:val="22"/>
          </w:rPr>
          <w:tab/>
        </w:r>
        <w:r w:rsidRPr="00CC53E5">
          <w:rPr>
            <w:rStyle w:val="Hyperlink"/>
            <w:noProof/>
          </w:rPr>
          <w:t>Part 1 Section 22.1.2.1, acc (Accent)</w:t>
        </w:r>
        <w:r>
          <w:rPr>
            <w:noProof/>
            <w:webHidden/>
          </w:rPr>
          <w:tab/>
        </w:r>
        <w:r>
          <w:rPr>
            <w:noProof/>
            <w:webHidden/>
          </w:rPr>
          <w:fldChar w:fldCharType="begin"/>
        </w:r>
        <w:r>
          <w:rPr>
            <w:noProof/>
            <w:webHidden/>
          </w:rPr>
          <w:instrText xml:space="preserve"> PAGEREF _Toc69879421 \h </w:instrText>
        </w:r>
        <w:r>
          <w:rPr>
            <w:noProof/>
            <w:webHidden/>
          </w:rPr>
        </w:r>
        <w:r>
          <w:rPr>
            <w:noProof/>
            <w:webHidden/>
          </w:rPr>
          <w:fldChar w:fldCharType="separate"/>
        </w:r>
        <w:r>
          <w:rPr>
            <w:noProof/>
            <w:webHidden/>
          </w:rPr>
          <w:t>596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22" w:history="1">
        <w:r w:rsidRPr="00CC53E5">
          <w:rPr>
            <w:rStyle w:val="Hyperlink"/>
            <w:noProof/>
          </w:rPr>
          <w:t>2.1.1639</w:t>
        </w:r>
        <w:r>
          <w:rPr>
            <w:rFonts w:asciiTheme="minorHAnsi" w:eastAsiaTheme="minorEastAsia" w:hAnsiTheme="minorHAnsi" w:cstheme="minorBidi"/>
            <w:noProof/>
            <w:sz w:val="22"/>
            <w:szCs w:val="22"/>
          </w:rPr>
          <w:tab/>
        </w:r>
        <w:r w:rsidRPr="00CC53E5">
          <w:rPr>
            <w:rStyle w:val="Hyperlink"/>
            <w:noProof/>
          </w:rPr>
          <w:t>Part 1 Section 22.1.2.3, aln (Alignment)</w:t>
        </w:r>
        <w:r>
          <w:rPr>
            <w:noProof/>
            <w:webHidden/>
          </w:rPr>
          <w:tab/>
        </w:r>
        <w:r>
          <w:rPr>
            <w:noProof/>
            <w:webHidden/>
          </w:rPr>
          <w:fldChar w:fldCharType="begin"/>
        </w:r>
        <w:r>
          <w:rPr>
            <w:noProof/>
            <w:webHidden/>
          </w:rPr>
          <w:instrText xml:space="preserve"> PAGEREF _Toc69879422 \h </w:instrText>
        </w:r>
        <w:r>
          <w:rPr>
            <w:noProof/>
            <w:webHidden/>
          </w:rPr>
        </w:r>
        <w:r>
          <w:rPr>
            <w:noProof/>
            <w:webHidden/>
          </w:rPr>
          <w:fldChar w:fldCharType="separate"/>
        </w:r>
        <w:r>
          <w:rPr>
            <w:noProof/>
            <w:webHidden/>
          </w:rPr>
          <w:t>597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23" w:history="1">
        <w:r w:rsidRPr="00CC53E5">
          <w:rPr>
            <w:rStyle w:val="Hyperlink"/>
            <w:noProof/>
          </w:rPr>
          <w:t>2.1.1640</w:t>
        </w:r>
        <w:r>
          <w:rPr>
            <w:rFonts w:asciiTheme="minorHAnsi" w:eastAsiaTheme="minorEastAsia" w:hAnsiTheme="minorHAnsi" w:cstheme="minorBidi"/>
            <w:noProof/>
            <w:sz w:val="22"/>
            <w:szCs w:val="22"/>
          </w:rPr>
          <w:tab/>
        </w:r>
        <w:r w:rsidRPr="00CC53E5">
          <w:rPr>
            <w:rStyle w:val="Hyperlink"/>
            <w:noProof/>
          </w:rPr>
          <w:t>Part 1 Section 22.1.2.7, bar (Bar)</w:t>
        </w:r>
        <w:r>
          <w:rPr>
            <w:noProof/>
            <w:webHidden/>
          </w:rPr>
          <w:tab/>
        </w:r>
        <w:r>
          <w:rPr>
            <w:noProof/>
            <w:webHidden/>
          </w:rPr>
          <w:fldChar w:fldCharType="begin"/>
        </w:r>
        <w:r>
          <w:rPr>
            <w:noProof/>
            <w:webHidden/>
          </w:rPr>
          <w:instrText xml:space="preserve"> PAGEREF _Toc69879423 \h </w:instrText>
        </w:r>
        <w:r>
          <w:rPr>
            <w:noProof/>
            <w:webHidden/>
          </w:rPr>
        </w:r>
        <w:r>
          <w:rPr>
            <w:noProof/>
            <w:webHidden/>
          </w:rPr>
          <w:fldChar w:fldCharType="separate"/>
        </w:r>
        <w:r>
          <w:rPr>
            <w:noProof/>
            <w:webHidden/>
          </w:rPr>
          <w:t>597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24" w:history="1">
        <w:r w:rsidRPr="00CC53E5">
          <w:rPr>
            <w:rStyle w:val="Hyperlink"/>
            <w:noProof/>
          </w:rPr>
          <w:t>2.1.1641</w:t>
        </w:r>
        <w:r>
          <w:rPr>
            <w:rFonts w:asciiTheme="minorHAnsi" w:eastAsiaTheme="minorEastAsia" w:hAnsiTheme="minorHAnsi" w:cstheme="minorBidi"/>
            <w:noProof/>
            <w:sz w:val="22"/>
            <w:szCs w:val="22"/>
          </w:rPr>
          <w:tab/>
        </w:r>
        <w:r w:rsidRPr="00CC53E5">
          <w:rPr>
            <w:rStyle w:val="Hyperlink"/>
            <w:noProof/>
          </w:rPr>
          <w:t>Part 1 Section 22.1.2.8, barPr (Bar Properties)</w:t>
        </w:r>
        <w:r>
          <w:rPr>
            <w:noProof/>
            <w:webHidden/>
          </w:rPr>
          <w:tab/>
        </w:r>
        <w:r>
          <w:rPr>
            <w:noProof/>
            <w:webHidden/>
          </w:rPr>
          <w:fldChar w:fldCharType="begin"/>
        </w:r>
        <w:r>
          <w:rPr>
            <w:noProof/>
            <w:webHidden/>
          </w:rPr>
          <w:instrText xml:space="preserve"> PAGEREF _Toc69879424 \h </w:instrText>
        </w:r>
        <w:r>
          <w:rPr>
            <w:noProof/>
            <w:webHidden/>
          </w:rPr>
        </w:r>
        <w:r>
          <w:rPr>
            <w:noProof/>
            <w:webHidden/>
          </w:rPr>
          <w:fldChar w:fldCharType="separate"/>
        </w:r>
        <w:r>
          <w:rPr>
            <w:noProof/>
            <w:webHidden/>
          </w:rPr>
          <w:t>597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25" w:history="1">
        <w:r w:rsidRPr="00CC53E5">
          <w:rPr>
            <w:rStyle w:val="Hyperlink"/>
            <w:noProof/>
          </w:rPr>
          <w:t>2.1.1642</w:t>
        </w:r>
        <w:r>
          <w:rPr>
            <w:rFonts w:asciiTheme="minorHAnsi" w:eastAsiaTheme="minorEastAsia" w:hAnsiTheme="minorHAnsi" w:cstheme="minorBidi"/>
            <w:noProof/>
            <w:sz w:val="22"/>
            <w:szCs w:val="22"/>
          </w:rPr>
          <w:tab/>
        </w:r>
        <w:r w:rsidRPr="00CC53E5">
          <w:rPr>
            <w:rStyle w:val="Hyperlink"/>
            <w:noProof/>
          </w:rPr>
          <w:t>Part 1 Section 22.1.2.9, baseJc (Matrix Base Justification)</w:t>
        </w:r>
        <w:r>
          <w:rPr>
            <w:noProof/>
            <w:webHidden/>
          </w:rPr>
          <w:tab/>
        </w:r>
        <w:r>
          <w:rPr>
            <w:noProof/>
            <w:webHidden/>
          </w:rPr>
          <w:fldChar w:fldCharType="begin"/>
        </w:r>
        <w:r>
          <w:rPr>
            <w:noProof/>
            <w:webHidden/>
          </w:rPr>
          <w:instrText xml:space="preserve"> PAGEREF _Toc69879425 \h </w:instrText>
        </w:r>
        <w:r>
          <w:rPr>
            <w:noProof/>
            <w:webHidden/>
          </w:rPr>
        </w:r>
        <w:r>
          <w:rPr>
            <w:noProof/>
            <w:webHidden/>
          </w:rPr>
          <w:fldChar w:fldCharType="separate"/>
        </w:r>
        <w:r>
          <w:rPr>
            <w:noProof/>
            <w:webHidden/>
          </w:rPr>
          <w:t>597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26" w:history="1">
        <w:r w:rsidRPr="00CC53E5">
          <w:rPr>
            <w:rStyle w:val="Hyperlink"/>
            <w:noProof/>
          </w:rPr>
          <w:t>2.1.1643</w:t>
        </w:r>
        <w:r>
          <w:rPr>
            <w:rFonts w:asciiTheme="minorHAnsi" w:eastAsiaTheme="minorEastAsia" w:hAnsiTheme="minorHAnsi" w:cstheme="minorBidi"/>
            <w:noProof/>
            <w:sz w:val="22"/>
            <w:szCs w:val="22"/>
          </w:rPr>
          <w:tab/>
        </w:r>
        <w:r w:rsidRPr="00CC53E5">
          <w:rPr>
            <w:rStyle w:val="Hyperlink"/>
            <w:noProof/>
          </w:rPr>
          <w:t>Part 1 Section 22.1.2.11, borderBox (Border-Box Object)</w:t>
        </w:r>
        <w:r>
          <w:rPr>
            <w:noProof/>
            <w:webHidden/>
          </w:rPr>
          <w:tab/>
        </w:r>
        <w:r>
          <w:rPr>
            <w:noProof/>
            <w:webHidden/>
          </w:rPr>
          <w:fldChar w:fldCharType="begin"/>
        </w:r>
        <w:r>
          <w:rPr>
            <w:noProof/>
            <w:webHidden/>
          </w:rPr>
          <w:instrText xml:space="preserve"> PAGEREF _Toc69879426 \h </w:instrText>
        </w:r>
        <w:r>
          <w:rPr>
            <w:noProof/>
            <w:webHidden/>
          </w:rPr>
        </w:r>
        <w:r>
          <w:rPr>
            <w:noProof/>
            <w:webHidden/>
          </w:rPr>
          <w:fldChar w:fldCharType="separate"/>
        </w:r>
        <w:r>
          <w:rPr>
            <w:noProof/>
            <w:webHidden/>
          </w:rPr>
          <w:t>597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27" w:history="1">
        <w:r w:rsidRPr="00CC53E5">
          <w:rPr>
            <w:rStyle w:val="Hyperlink"/>
            <w:noProof/>
          </w:rPr>
          <w:t>2.1.1644</w:t>
        </w:r>
        <w:r>
          <w:rPr>
            <w:rFonts w:asciiTheme="minorHAnsi" w:eastAsiaTheme="minorEastAsia" w:hAnsiTheme="minorHAnsi" w:cstheme="minorBidi"/>
            <w:noProof/>
            <w:sz w:val="22"/>
            <w:szCs w:val="22"/>
          </w:rPr>
          <w:tab/>
        </w:r>
        <w:r w:rsidRPr="00CC53E5">
          <w:rPr>
            <w:rStyle w:val="Hyperlink"/>
            <w:noProof/>
          </w:rPr>
          <w:t>Part 1 Section 22.1.2.13, box (Box Object)</w:t>
        </w:r>
        <w:r>
          <w:rPr>
            <w:noProof/>
            <w:webHidden/>
          </w:rPr>
          <w:tab/>
        </w:r>
        <w:r>
          <w:rPr>
            <w:noProof/>
            <w:webHidden/>
          </w:rPr>
          <w:fldChar w:fldCharType="begin"/>
        </w:r>
        <w:r>
          <w:rPr>
            <w:noProof/>
            <w:webHidden/>
          </w:rPr>
          <w:instrText xml:space="preserve"> PAGEREF _Toc69879427 \h </w:instrText>
        </w:r>
        <w:r>
          <w:rPr>
            <w:noProof/>
            <w:webHidden/>
          </w:rPr>
        </w:r>
        <w:r>
          <w:rPr>
            <w:noProof/>
            <w:webHidden/>
          </w:rPr>
          <w:fldChar w:fldCharType="separate"/>
        </w:r>
        <w:r>
          <w:rPr>
            <w:noProof/>
            <w:webHidden/>
          </w:rPr>
          <w:t>597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28" w:history="1">
        <w:r w:rsidRPr="00CC53E5">
          <w:rPr>
            <w:rStyle w:val="Hyperlink"/>
            <w:noProof/>
          </w:rPr>
          <w:t>2.1.1645</w:t>
        </w:r>
        <w:r>
          <w:rPr>
            <w:rFonts w:asciiTheme="minorHAnsi" w:eastAsiaTheme="minorEastAsia" w:hAnsiTheme="minorHAnsi" w:cstheme="minorBidi"/>
            <w:noProof/>
            <w:sz w:val="22"/>
            <w:szCs w:val="22"/>
          </w:rPr>
          <w:tab/>
        </w:r>
        <w:r w:rsidRPr="00CC53E5">
          <w:rPr>
            <w:rStyle w:val="Hyperlink"/>
            <w:noProof/>
          </w:rPr>
          <w:t>Part 1 Section 22.1.2.15, brk (Break)</w:t>
        </w:r>
        <w:r>
          <w:rPr>
            <w:noProof/>
            <w:webHidden/>
          </w:rPr>
          <w:tab/>
        </w:r>
        <w:r>
          <w:rPr>
            <w:noProof/>
            <w:webHidden/>
          </w:rPr>
          <w:fldChar w:fldCharType="begin"/>
        </w:r>
        <w:r>
          <w:rPr>
            <w:noProof/>
            <w:webHidden/>
          </w:rPr>
          <w:instrText xml:space="preserve"> PAGEREF _Toc69879428 \h </w:instrText>
        </w:r>
        <w:r>
          <w:rPr>
            <w:noProof/>
            <w:webHidden/>
          </w:rPr>
        </w:r>
        <w:r>
          <w:rPr>
            <w:noProof/>
            <w:webHidden/>
          </w:rPr>
          <w:fldChar w:fldCharType="separate"/>
        </w:r>
        <w:r>
          <w:rPr>
            <w:noProof/>
            <w:webHidden/>
          </w:rPr>
          <w:t>597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29" w:history="1">
        <w:r w:rsidRPr="00CC53E5">
          <w:rPr>
            <w:rStyle w:val="Hyperlink"/>
            <w:noProof/>
          </w:rPr>
          <w:t>2.1.1646</w:t>
        </w:r>
        <w:r>
          <w:rPr>
            <w:rFonts w:asciiTheme="minorHAnsi" w:eastAsiaTheme="minorEastAsia" w:hAnsiTheme="minorHAnsi" w:cstheme="minorBidi"/>
            <w:noProof/>
            <w:sz w:val="22"/>
            <w:szCs w:val="22"/>
          </w:rPr>
          <w:tab/>
        </w:r>
        <w:r w:rsidRPr="00CC53E5">
          <w:rPr>
            <w:rStyle w:val="Hyperlink"/>
            <w:noProof/>
          </w:rPr>
          <w:t>Part 1 Section 22.1.2.18, cGp (Matrix Column Gap)</w:t>
        </w:r>
        <w:r>
          <w:rPr>
            <w:noProof/>
            <w:webHidden/>
          </w:rPr>
          <w:tab/>
        </w:r>
        <w:r>
          <w:rPr>
            <w:noProof/>
            <w:webHidden/>
          </w:rPr>
          <w:fldChar w:fldCharType="begin"/>
        </w:r>
        <w:r>
          <w:rPr>
            <w:noProof/>
            <w:webHidden/>
          </w:rPr>
          <w:instrText xml:space="preserve"> PAGEREF _Toc69879429 \h </w:instrText>
        </w:r>
        <w:r>
          <w:rPr>
            <w:noProof/>
            <w:webHidden/>
          </w:rPr>
        </w:r>
        <w:r>
          <w:rPr>
            <w:noProof/>
            <w:webHidden/>
          </w:rPr>
          <w:fldChar w:fldCharType="separate"/>
        </w:r>
        <w:r>
          <w:rPr>
            <w:noProof/>
            <w:webHidden/>
          </w:rPr>
          <w:t>598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30" w:history="1">
        <w:r w:rsidRPr="00CC53E5">
          <w:rPr>
            <w:rStyle w:val="Hyperlink"/>
            <w:noProof/>
          </w:rPr>
          <w:t>2.1.1647</w:t>
        </w:r>
        <w:r>
          <w:rPr>
            <w:rFonts w:asciiTheme="minorHAnsi" w:eastAsiaTheme="minorEastAsia" w:hAnsiTheme="minorHAnsi" w:cstheme="minorBidi"/>
            <w:noProof/>
            <w:sz w:val="22"/>
            <w:szCs w:val="22"/>
          </w:rPr>
          <w:tab/>
        </w:r>
        <w:r w:rsidRPr="00CC53E5">
          <w:rPr>
            <w:rStyle w:val="Hyperlink"/>
            <w:noProof/>
          </w:rPr>
          <w:t>Part 1 Section 22.1.2.19, cGpRule (Matrix Column Gap Rule)</w:t>
        </w:r>
        <w:r>
          <w:rPr>
            <w:noProof/>
            <w:webHidden/>
          </w:rPr>
          <w:tab/>
        </w:r>
        <w:r>
          <w:rPr>
            <w:noProof/>
            <w:webHidden/>
          </w:rPr>
          <w:fldChar w:fldCharType="begin"/>
        </w:r>
        <w:r>
          <w:rPr>
            <w:noProof/>
            <w:webHidden/>
          </w:rPr>
          <w:instrText xml:space="preserve"> PAGEREF _Toc69879430 \h </w:instrText>
        </w:r>
        <w:r>
          <w:rPr>
            <w:noProof/>
            <w:webHidden/>
          </w:rPr>
        </w:r>
        <w:r>
          <w:rPr>
            <w:noProof/>
            <w:webHidden/>
          </w:rPr>
          <w:fldChar w:fldCharType="separate"/>
        </w:r>
        <w:r>
          <w:rPr>
            <w:noProof/>
            <w:webHidden/>
          </w:rPr>
          <w:t>598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31" w:history="1">
        <w:r w:rsidRPr="00CC53E5">
          <w:rPr>
            <w:rStyle w:val="Hyperlink"/>
            <w:noProof/>
          </w:rPr>
          <w:t>2.1.1648</w:t>
        </w:r>
        <w:r>
          <w:rPr>
            <w:rFonts w:asciiTheme="minorHAnsi" w:eastAsiaTheme="minorEastAsia" w:hAnsiTheme="minorHAnsi" w:cstheme="minorBidi"/>
            <w:noProof/>
            <w:sz w:val="22"/>
            <w:szCs w:val="22"/>
          </w:rPr>
          <w:tab/>
        </w:r>
        <w:r w:rsidRPr="00CC53E5">
          <w:rPr>
            <w:rStyle w:val="Hyperlink"/>
            <w:noProof/>
          </w:rPr>
          <w:t>Part 1 Section 22.1.2.21, count (Matrix Column Count)</w:t>
        </w:r>
        <w:r>
          <w:rPr>
            <w:noProof/>
            <w:webHidden/>
          </w:rPr>
          <w:tab/>
        </w:r>
        <w:r>
          <w:rPr>
            <w:noProof/>
            <w:webHidden/>
          </w:rPr>
          <w:fldChar w:fldCharType="begin"/>
        </w:r>
        <w:r>
          <w:rPr>
            <w:noProof/>
            <w:webHidden/>
          </w:rPr>
          <w:instrText xml:space="preserve"> PAGEREF _Toc69879431 \h </w:instrText>
        </w:r>
        <w:r>
          <w:rPr>
            <w:noProof/>
            <w:webHidden/>
          </w:rPr>
        </w:r>
        <w:r>
          <w:rPr>
            <w:noProof/>
            <w:webHidden/>
          </w:rPr>
          <w:fldChar w:fldCharType="separate"/>
        </w:r>
        <w:r>
          <w:rPr>
            <w:noProof/>
            <w:webHidden/>
          </w:rPr>
          <w:t>598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32" w:history="1">
        <w:r w:rsidRPr="00CC53E5">
          <w:rPr>
            <w:rStyle w:val="Hyperlink"/>
            <w:noProof/>
          </w:rPr>
          <w:t>2.1.1649</w:t>
        </w:r>
        <w:r>
          <w:rPr>
            <w:rFonts w:asciiTheme="minorHAnsi" w:eastAsiaTheme="minorEastAsia" w:hAnsiTheme="minorHAnsi" w:cstheme="minorBidi"/>
            <w:noProof/>
            <w:sz w:val="22"/>
            <w:szCs w:val="22"/>
          </w:rPr>
          <w:tab/>
        </w:r>
        <w:r w:rsidRPr="00CC53E5">
          <w:rPr>
            <w:rStyle w:val="Hyperlink"/>
            <w:noProof/>
          </w:rPr>
          <w:t>Part 1 Section 22.1.2.22, cSp (Minimum Matrix Column Width)</w:t>
        </w:r>
        <w:r>
          <w:rPr>
            <w:noProof/>
            <w:webHidden/>
          </w:rPr>
          <w:tab/>
        </w:r>
        <w:r>
          <w:rPr>
            <w:noProof/>
            <w:webHidden/>
          </w:rPr>
          <w:fldChar w:fldCharType="begin"/>
        </w:r>
        <w:r>
          <w:rPr>
            <w:noProof/>
            <w:webHidden/>
          </w:rPr>
          <w:instrText xml:space="preserve"> PAGEREF _Toc69879432 \h </w:instrText>
        </w:r>
        <w:r>
          <w:rPr>
            <w:noProof/>
            <w:webHidden/>
          </w:rPr>
        </w:r>
        <w:r>
          <w:rPr>
            <w:noProof/>
            <w:webHidden/>
          </w:rPr>
          <w:fldChar w:fldCharType="separate"/>
        </w:r>
        <w:r>
          <w:rPr>
            <w:noProof/>
            <w:webHidden/>
          </w:rPr>
          <w:t>598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33" w:history="1">
        <w:r w:rsidRPr="00CC53E5">
          <w:rPr>
            <w:rStyle w:val="Hyperlink"/>
            <w:noProof/>
          </w:rPr>
          <w:t>2.1.1650</w:t>
        </w:r>
        <w:r>
          <w:rPr>
            <w:rFonts w:asciiTheme="minorHAnsi" w:eastAsiaTheme="minorEastAsia" w:hAnsiTheme="minorHAnsi" w:cstheme="minorBidi"/>
            <w:noProof/>
            <w:sz w:val="22"/>
            <w:szCs w:val="22"/>
          </w:rPr>
          <w:tab/>
        </w:r>
        <w:r w:rsidRPr="00CC53E5">
          <w:rPr>
            <w:rStyle w:val="Hyperlink"/>
            <w:noProof/>
          </w:rPr>
          <w:t>Part 1 Section 22.1.2.23, ctrlPr (Control Properties)</w:t>
        </w:r>
        <w:r>
          <w:rPr>
            <w:noProof/>
            <w:webHidden/>
          </w:rPr>
          <w:tab/>
        </w:r>
        <w:r>
          <w:rPr>
            <w:noProof/>
            <w:webHidden/>
          </w:rPr>
          <w:fldChar w:fldCharType="begin"/>
        </w:r>
        <w:r>
          <w:rPr>
            <w:noProof/>
            <w:webHidden/>
          </w:rPr>
          <w:instrText xml:space="preserve"> PAGEREF _Toc69879433 \h </w:instrText>
        </w:r>
        <w:r>
          <w:rPr>
            <w:noProof/>
            <w:webHidden/>
          </w:rPr>
        </w:r>
        <w:r>
          <w:rPr>
            <w:noProof/>
            <w:webHidden/>
          </w:rPr>
          <w:fldChar w:fldCharType="separate"/>
        </w:r>
        <w:r>
          <w:rPr>
            <w:noProof/>
            <w:webHidden/>
          </w:rPr>
          <w:t>598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34" w:history="1">
        <w:r w:rsidRPr="00CC53E5">
          <w:rPr>
            <w:rStyle w:val="Hyperlink"/>
            <w:noProof/>
          </w:rPr>
          <w:t>2.1.1651</w:t>
        </w:r>
        <w:r>
          <w:rPr>
            <w:rFonts w:asciiTheme="minorHAnsi" w:eastAsiaTheme="minorEastAsia" w:hAnsiTheme="minorHAnsi" w:cstheme="minorBidi"/>
            <w:noProof/>
            <w:sz w:val="22"/>
            <w:szCs w:val="22"/>
          </w:rPr>
          <w:tab/>
        </w:r>
        <w:r w:rsidRPr="00CC53E5">
          <w:rPr>
            <w:rStyle w:val="Hyperlink"/>
            <w:noProof/>
          </w:rPr>
          <w:t>Part 1 Section 22.1.2.24, d (Delimiter Object)</w:t>
        </w:r>
        <w:r>
          <w:rPr>
            <w:noProof/>
            <w:webHidden/>
          </w:rPr>
          <w:tab/>
        </w:r>
        <w:r>
          <w:rPr>
            <w:noProof/>
            <w:webHidden/>
          </w:rPr>
          <w:fldChar w:fldCharType="begin"/>
        </w:r>
        <w:r>
          <w:rPr>
            <w:noProof/>
            <w:webHidden/>
          </w:rPr>
          <w:instrText xml:space="preserve"> PAGEREF _Toc69879434 \h </w:instrText>
        </w:r>
        <w:r>
          <w:rPr>
            <w:noProof/>
            <w:webHidden/>
          </w:rPr>
        </w:r>
        <w:r>
          <w:rPr>
            <w:noProof/>
            <w:webHidden/>
          </w:rPr>
          <w:fldChar w:fldCharType="separate"/>
        </w:r>
        <w:r>
          <w:rPr>
            <w:noProof/>
            <w:webHidden/>
          </w:rPr>
          <w:t>598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35" w:history="1">
        <w:r w:rsidRPr="00CC53E5">
          <w:rPr>
            <w:rStyle w:val="Hyperlink"/>
            <w:noProof/>
          </w:rPr>
          <w:t>2.1.1652</w:t>
        </w:r>
        <w:r>
          <w:rPr>
            <w:rFonts w:asciiTheme="minorHAnsi" w:eastAsiaTheme="minorEastAsia" w:hAnsiTheme="minorHAnsi" w:cstheme="minorBidi"/>
            <w:noProof/>
            <w:sz w:val="22"/>
            <w:szCs w:val="22"/>
          </w:rPr>
          <w:tab/>
        </w:r>
        <w:r w:rsidRPr="00CC53E5">
          <w:rPr>
            <w:rStyle w:val="Hyperlink"/>
            <w:noProof/>
          </w:rPr>
          <w:t>Part 1 Section 22.1.2.25, defJc (Default Justification)</w:t>
        </w:r>
        <w:r>
          <w:rPr>
            <w:noProof/>
            <w:webHidden/>
          </w:rPr>
          <w:tab/>
        </w:r>
        <w:r>
          <w:rPr>
            <w:noProof/>
            <w:webHidden/>
          </w:rPr>
          <w:fldChar w:fldCharType="begin"/>
        </w:r>
        <w:r>
          <w:rPr>
            <w:noProof/>
            <w:webHidden/>
          </w:rPr>
          <w:instrText xml:space="preserve"> PAGEREF _Toc69879435 \h </w:instrText>
        </w:r>
        <w:r>
          <w:rPr>
            <w:noProof/>
            <w:webHidden/>
          </w:rPr>
        </w:r>
        <w:r>
          <w:rPr>
            <w:noProof/>
            <w:webHidden/>
          </w:rPr>
          <w:fldChar w:fldCharType="separate"/>
        </w:r>
        <w:r>
          <w:rPr>
            <w:noProof/>
            <w:webHidden/>
          </w:rPr>
          <w:t>598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36" w:history="1">
        <w:r w:rsidRPr="00CC53E5">
          <w:rPr>
            <w:rStyle w:val="Hyperlink"/>
            <w:noProof/>
          </w:rPr>
          <w:t>2.1.1653</w:t>
        </w:r>
        <w:r>
          <w:rPr>
            <w:rFonts w:asciiTheme="minorHAnsi" w:eastAsiaTheme="minorEastAsia" w:hAnsiTheme="minorHAnsi" w:cstheme="minorBidi"/>
            <w:noProof/>
            <w:sz w:val="22"/>
            <w:szCs w:val="22"/>
          </w:rPr>
          <w:tab/>
        </w:r>
        <w:r w:rsidRPr="00CC53E5">
          <w:rPr>
            <w:rStyle w:val="Hyperlink"/>
            <w:noProof/>
          </w:rPr>
          <w:t>Part 1 Section 22.1.2.26, deg (Degree)</w:t>
        </w:r>
        <w:r>
          <w:rPr>
            <w:noProof/>
            <w:webHidden/>
          </w:rPr>
          <w:tab/>
        </w:r>
        <w:r>
          <w:rPr>
            <w:noProof/>
            <w:webHidden/>
          </w:rPr>
          <w:fldChar w:fldCharType="begin"/>
        </w:r>
        <w:r>
          <w:rPr>
            <w:noProof/>
            <w:webHidden/>
          </w:rPr>
          <w:instrText xml:space="preserve"> PAGEREF _Toc69879436 \h </w:instrText>
        </w:r>
        <w:r>
          <w:rPr>
            <w:noProof/>
            <w:webHidden/>
          </w:rPr>
        </w:r>
        <w:r>
          <w:rPr>
            <w:noProof/>
            <w:webHidden/>
          </w:rPr>
          <w:fldChar w:fldCharType="separate"/>
        </w:r>
        <w:r>
          <w:rPr>
            <w:noProof/>
            <w:webHidden/>
          </w:rPr>
          <w:t>599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37" w:history="1">
        <w:r w:rsidRPr="00CC53E5">
          <w:rPr>
            <w:rStyle w:val="Hyperlink"/>
            <w:noProof/>
          </w:rPr>
          <w:t>2.1.1654</w:t>
        </w:r>
        <w:r>
          <w:rPr>
            <w:rFonts w:asciiTheme="minorHAnsi" w:eastAsiaTheme="minorEastAsia" w:hAnsiTheme="minorHAnsi" w:cstheme="minorBidi"/>
            <w:noProof/>
            <w:sz w:val="22"/>
            <w:szCs w:val="22"/>
          </w:rPr>
          <w:tab/>
        </w:r>
        <w:r w:rsidRPr="00CC53E5">
          <w:rPr>
            <w:rStyle w:val="Hyperlink"/>
            <w:noProof/>
          </w:rPr>
          <w:t>Part 1 Section 22.1.2.27, degHide (Hide Degree)</w:t>
        </w:r>
        <w:r>
          <w:rPr>
            <w:noProof/>
            <w:webHidden/>
          </w:rPr>
          <w:tab/>
        </w:r>
        <w:r>
          <w:rPr>
            <w:noProof/>
            <w:webHidden/>
          </w:rPr>
          <w:fldChar w:fldCharType="begin"/>
        </w:r>
        <w:r>
          <w:rPr>
            <w:noProof/>
            <w:webHidden/>
          </w:rPr>
          <w:instrText xml:space="preserve"> PAGEREF _Toc69879437 \h </w:instrText>
        </w:r>
        <w:r>
          <w:rPr>
            <w:noProof/>
            <w:webHidden/>
          </w:rPr>
        </w:r>
        <w:r>
          <w:rPr>
            <w:noProof/>
            <w:webHidden/>
          </w:rPr>
          <w:fldChar w:fldCharType="separate"/>
        </w:r>
        <w:r>
          <w:rPr>
            <w:noProof/>
            <w:webHidden/>
          </w:rPr>
          <w:t>599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38" w:history="1">
        <w:r w:rsidRPr="00CC53E5">
          <w:rPr>
            <w:rStyle w:val="Hyperlink"/>
            <w:noProof/>
          </w:rPr>
          <w:t>2.1.1655</w:t>
        </w:r>
        <w:r>
          <w:rPr>
            <w:rFonts w:asciiTheme="minorHAnsi" w:eastAsiaTheme="minorEastAsia" w:hAnsiTheme="minorHAnsi" w:cstheme="minorBidi"/>
            <w:noProof/>
            <w:sz w:val="22"/>
            <w:szCs w:val="22"/>
          </w:rPr>
          <w:tab/>
        </w:r>
        <w:r w:rsidRPr="00CC53E5">
          <w:rPr>
            <w:rStyle w:val="Hyperlink"/>
            <w:noProof/>
          </w:rPr>
          <w:t>Part 1 Section 22.1.2.28, den (Denominator)</w:t>
        </w:r>
        <w:r>
          <w:rPr>
            <w:noProof/>
            <w:webHidden/>
          </w:rPr>
          <w:tab/>
        </w:r>
        <w:r>
          <w:rPr>
            <w:noProof/>
            <w:webHidden/>
          </w:rPr>
          <w:fldChar w:fldCharType="begin"/>
        </w:r>
        <w:r>
          <w:rPr>
            <w:noProof/>
            <w:webHidden/>
          </w:rPr>
          <w:instrText xml:space="preserve"> PAGEREF _Toc69879438 \h </w:instrText>
        </w:r>
        <w:r>
          <w:rPr>
            <w:noProof/>
            <w:webHidden/>
          </w:rPr>
        </w:r>
        <w:r>
          <w:rPr>
            <w:noProof/>
            <w:webHidden/>
          </w:rPr>
          <w:fldChar w:fldCharType="separate"/>
        </w:r>
        <w:r>
          <w:rPr>
            <w:noProof/>
            <w:webHidden/>
          </w:rPr>
          <w:t>599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39" w:history="1">
        <w:r w:rsidRPr="00CC53E5">
          <w:rPr>
            <w:rStyle w:val="Hyperlink"/>
            <w:noProof/>
          </w:rPr>
          <w:t>2.1.1656</w:t>
        </w:r>
        <w:r>
          <w:rPr>
            <w:rFonts w:asciiTheme="minorHAnsi" w:eastAsiaTheme="minorEastAsia" w:hAnsiTheme="minorHAnsi" w:cstheme="minorBidi"/>
            <w:noProof/>
            <w:sz w:val="22"/>
            <w:szCs w:val="22"/>
          </w:rPr>
          <w:tab/>
        </w:r>
        <w:r w:rsidRPr="00CC53E5">
          <w:rPr>
            <w:rStyle w:val="Hyperlink"/>
            <w:noProof/>
          </w:rPr>
          <w:t>Part 1 Section 22.1.2.30, dispDef (Use Display Math Defaults)</w:t>
        </w:r>
        <w:r>
          <w:rPr>
            <w:noProof/>
            <w:webHidden/>
          </w:rPr>
          <w:tab/>
        </w:r>
        <w:r>
          <w:rPr>
            <w:noProof/>
            <w:webHidden/>
          </w:rPr>
          <w:fldChar w:fldCharType="begin"/>
        </w:r>
        <w:r>
          <w:rPr>
            <w:noProof/>
            <w:webHidden/>
          </w:rPr>
          <w:instrText xml:space="preserve"> PAGEREF _Toc69879439 \h </w:instrText>
        </w:r>
        <w:r>
          <w:rPr>
            <w:noProof/>
            <w:webHidden/>
          </w:rPr>
        </w:r>
        <w:r>
          <w:rPr>
            <w:noProof/>
            <w:webHidden/>
          </w:rPr>
          <w:fldChar w:fldCharType="separate"/>
        </w:r>
        <w:r>
          <w:rPr>
            <w:noProof/>
            <w:webHidden/>
          </w:rPr>
          <w:t>599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40" w:history="1">
        <w:r w:rsidRPr="00CC53E5">
          <w:rPr>
            <w:rStyle w:val="Hyperlink"/>
            <w:noProof/>
          </w:rPr>
          <w:t>2.1.1657</w:t>
        </w:r>
        <w:r>
          <w:rPr>
            <w:rFonts w:asciiTheme="minorHAnsi" w:eastAsiaTheme="minorEastAsia" w:hAnsiTheme="minorHAnsi" w:cstheme="minorBidi"/>
            <w:noProof/>
            <w:sz w:val="22"/>
            <w:szCs w:val="22"/>
          </w:rPr>
          <w:tab/>
        </w:r>
        <w:r w:rsidRPr="00CC53E5">
          <w:rPr>
            <w:rStyle w:val="Hyperlink"/>
            <w:noProof/>
          </w:rPr>
          <w:t>Part 1 Section 22.1.2.32, e (Element (Argument))</w:t>
        </w:r>
        <w:r>
          <w:rPr>
            <w:noProof/>
            <w:webHidden/>
          </w:rPr>
          <w:tab/>
        </w:r>
        <w:r>
          <w:rPr>
            <w:noProof/>
            <w:webHidden/>
          </w:rPr>
          <w:fldChar w:fldCharType="begin"/>
        </w:r>
        <w:r>
          <w:rPr>
            <w:noProof/>
            <w:webHidden/>
          </w:rPr>
          <w:instrText xml:space="preserve"> PAGEREF _Toc69879440 \h </w:instrText>
        </w:r>
        <w:r>
          <w:rPr>
            <w:noProof/>
            <w:webHidden/>
          </w:rPr>
        </w:r>
        <w:r>
          <w:rPr>
            <w:noProof/>
            <w:webHidden/>
          </w:rPr>
          <w:fldChar w:fldCharType="separate"/>
        </w:r>
        <w:r>
          <w:rPr>
            <w:noProof/>
            <w:webHidden/>
          </w:rPr>
          <w:t>599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41" w:history="1">
        <w:r w:rsidRPr="00CC53E5">
          <w:rPr>
            <w:rStyle w:val="Hyperlink"/>
            <w:noProof/>
          </w:rPr>
          <w:t>2.1.1658</w:t>
        </w:r>
        <w:r>
          <w:rPr>
            <w:rFonts w:asciiTheme="minorHAnsi" w:eastAsiaTheme="minorEastAsia" w:hAnsiTheme="minorHAnsi" w:cstheme="minorBidi"/>
            <w:noProof/>
            <w:sz w:val="22"/>
            <w:szCs w:val="22"/>
          </w:rPr>
          <w:tab/>
        </w:r>
        <w:r w:rsidRPr="00CC53E5">
          <w:rPr>
            <w:rStyle w:val="Hyperlink"/>
            <w:noProof/>
          </w:rPr>
          <w:t>Part 1 Section 22.1.2.34, eqArr (Array Object)</w:t>
        </w:r>
        <w:r>
          <w:rPr>
            <w:noProof/>
            <w:webHidden/>
          </w:rPr>
          <w:tab/>
        </w:r>
        <w:r>
          <w:rPr>
            <w:noProof/>
            <w:webHidden/>
          </w:rPr>
          <w:fldChar w:fldCharType="begin"/>
        </w:r>
        <w:r>
          <w:rPr>
            <w:noProof/>
            <w:webHidden/>
          </w:rPr>
          <w:instrText xml:space="preserve"> PAGEREF _Toc69879441 \h </w:instrText>
        </w:r>
        <w:r>
          <w:rPr>
            <w:noProof/>
            <w:webHidden/>
          </w:rPr>
        </w:r>
        <w:r>
          <w:rPr>
            <w:noProof/>
            <w:webHidden/>
          </w:rPr>
          <w:fldChar w:fldCharType="separate"/>
        </w:r>
        <w:r>
          <w:rPr>
            <w:noProof/>
            <w:webHidden/>
          </w:rPr>
          <w:t>599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42" w:history="1">
        <w:r w:rsidRPr="00CC53E5">
          <w:rPr>
            <w:rStyle w:val="Hyperlink"/>
            <w:noProof/>
          </w:rPr>
          <w:t>2.1.1659</w:t>
        </w:r>
        <w:r>
          <w:rPr>
            <w:rFonts w:asciiTheme="minorHAnsi" w:eastAsiaTheme="minorEastAsia" w:hAnsiTheme="minorHAnsi" w:cstheme="minorBidi"/>
            <w:noProof/>
            <w:sz w:val="22"/>
            <w:szCs w:val="22"/>
          </w:rPr>
          <w:tab/>
        </w:r>
        <w:r w:rsidRPr="00CC53E5">
          <w:rPr>
            <w:rStyle w:val="Hyperlink"/>
            <w:noProof/>
          </w:rPr>
          <w:t>Part 1 Section 22.1.2.36, f (Fraction Object)</w:t>
        </w:r>
        <w:r>
          <w:rPr>
            <w:noProof/>
            <w:webHidden/>
          </w:rPr>
          <w:tab/>
        </w:r>
        <w:r>
          <w:rPr>
            <w:noProof/>
            <w:webHidden/>
          </w:rPr>
          <w:fldChar w:fldCharType="begin"/>
        </w:r>
        <w:r>
          <w:rPr>
            <w:noProof/>
            <w:webHidden/>
          </w:rPr>
          <w:instrText xml:space="preserve"> PAGEREF _Toc69879442 \h </w:instrText>
        </w:r>
        <w:r>
          <w:rPr>
            <w:noProof/>
            <w:webHidden/>
          </w:rPr>
        </w:r>
        <w:r>
          <w:rPr>
            <w:noProof/>
            <w:webHidden/>
          </w:rPr>
          <w:fldChar w:fldCharType="separate"/>
        </w:r>
        <w:r>
          <w:rPr>
            <w:noProof/>
            <w:webHidden/>
          </w:rPr>
          <w:t>599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43" w:history="1">
        <w:r w:rsidRPr="00CC53E5">
          <w:rPr>
            <w:rStyle w:val="Hyperlink"/>
            <w:noProof/>
          </w:rPr>
          <w:t>2.1.1660</w:t>
        </w:r>
        <w:r>
          <w:rPr>
            <w:rFonts w:asciiTheme="minorHAnsi" w:eastAsiaTheme="minorEastAsia" w:hAnsiTheme="minorHAnsi" w:cstheme="minorBidi"/>
            <w:noProof/>
            <w:sz w:val="22"/>
            <w:szCs w:val="22"/>
          </w:rPr>
          <w:tab/>
        </w:r>
        <w:r w:rsidRPr="00CC53E5">
          <w:rPr>
            <w:rStyle w:val="Hyperlink"/>
            <w:noProof/>
          </w:rPr>
          <w:t>Part 1 Section 22.1.2.37, fName (Function Name)</w:t>
        </w:r>
        <w:r>
          <w:rPr>
            <w:noProof/>
            <w:webHidden/>
          </w:rPr>
          <w:tab/>
        </w:r>
        <w:r>
          <w:rPr>
            <w:noProof/>
            <w:webHidden/>
          </w:rPr>
          <w:fldChar w:fldCharType="begin"/>
        </w:r>
        <w:r>
          <w:rPr>
            <w:noProof/>
            <w:webHidden/>
          </w:rPr>
          <w:instrText xml:space="preserve"> PAGEREF _Toc69879443 \h </w:instrText>
        </w:r>
        <w:r>
          <w:rPr>
            <w:noProof/>
            <w:webHidden/>
          </w:rPr>
        </w:r>
        <w:r>
          <w:rPr>
            <w:noProof/>
            <w:webHidden/>
          </w:rPr>
          <w:fldChar w:fldCharType="separate"/>
        </w:r>
        <w:r>
          <w:rPr>
            <w:noProof/>
            <w:webHidden/>
          </w:rPr>
          <w:t>599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44" w:history="1">
        <w:r w:rsidRPr="00CC53E5">
          <w:rPr>
            <w:rStyle w:val="Hyperlink"/>
            <w:noProof/>
          </w:rPr>
          <w:t>2.1.1661</w:t>
        </w:r>
        <w:r>
          <w:rPr>
            <w:rFonts w:asciiTheme="minorHAnsi" w:eastAsiaTheme="minorEastAsia" w:hAnsiTheme="minorHAnsi" w:cstheme="minorBidi"/>
            <w:noProof/>
            <w:sz w:val="22"/>
            <w:szCs w:val="22"/>
          </w:rPr>
          <w:tab/>
        </w:r>
        <w:r w:rsidRPr="00CC53E5">
          <w:rPr>
            <w:rStyle w:val="Hyperlink"/>
            <w:noProof/>
          </w:rPr>
          <w:t>Part 1 Section 22.1.2.39, func (Function Apply Object)</w:t>
        </w:r>
        <w:r>
          <w:rPr>
            <w:noProof/>
            <w:webHidden/>
          </w:rPr>
          <w:tab/>
        </w:r>
        <w:r>
          <w:rPr>
            <w:noProof/>
            <w:webHidden/>
          </w:rPr>
          <w:fldChar w:fldCharType="begin"/>
        </w:r>
        <w:r>
          <w:rPr>
            <w:noProof/>
            <w:webHidden/>
          </w:rPr>
          <w:instrText xml:space="preserve"> PAGEREF _Toc69879444 \h </w:instrText>
        </w:r>
        <w:r>
          <w:rPr>
            <w:noProof/>
            <w:webHidden/>
          </w:rPr>
        </w:r>
        <w:r>
          <w:rPr>
            <w:noProof/>
            <w:webHidden/>
          </w:rPr>
          <w:fldChar w:fldCharType="separate"/>
        </w:r>
        <w:r>
          <w:rPr>
            <w:noProof/>
            <w:webHidden/>
          </w:rPr>
          <w:t>599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45" w:history="1">
        <w:r w:rsidRPr="00CC53E5">
          <w:rPr>
            <w:rStyle w:val="Hyperlink"/>
            <w:noProof/>
          </w:rPr>
          <w:t>2.1.1662</w:t>
        </w:r>
        <w:r>
          <w:rPr>
            <w:rFonts w:asciiTheme="minorHAnsi" w:eastAsiaTheme="minorEastAsia" w:hAnsiTheme="minorHAnsi" w:cstheme="minorBidi"/>
            <w:noProof/>
            <w:sz w:val="22"/>
            <w:szCs w:val="22"/>
          </w:rPr>
          <w:tab/>
        </w:r>
        <w:r w:rsidRPr="00CC53E5">
          <w:rPr>
            <w:rStyle w:val="Hyperlink"/>
            <w:noProof/>
          </w:rPr>
          <w:t>Part 1 Section 22.1.2.41, groupChr (Group-Character Object)</w:t>
        </w:r>
        <w:r>
          <w:rPr>
            <w:noProof/>
            <w:webHidden/>
          </w:rPr>
          <w:tab/>
        </w:r>
        <w:r>
          <w:rPr>
            <w:noProof/>
            <w:webHidden/>
          </w:rPr>
          <w:fldChar w:fldCharType="begin"/>
        </w:r>
        <w:r>
          <w:rPr>
            <w:noProof/>
            <w:webHidden/>
          </w:rPr>
          <w:instrText xml:space="preserve"> PAGEREF _Toc69879445 \h </w:instrText>
        </w:r>
        <w:r>
          <w:rPr>
            <w:noProof/>
            <w:webHidden/>
          </w:rPr>
        </w:r>
        <w:r>
          <w:rPr>
            <w:noProof/>
            <w:webHidden/>
          </w:rPr>
          <w:fldChar w:fldCharType="separate"/>
        </w:r>
        <w:r>
          <w:rPr>
            <w:noProof/>
            <w:webHidden/>
          </w:rPr>
          <w:t>600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46" w:history="1">
        <w:r w:rsidRPr="00CC53E5">
          <w:rPr>
            <w:rStyle w:val="Hyperlink"/>
            <w:noProof/>
          </w:rPr>
          <w:t>2.1.1663</w:t>
        </w:r>
        <w:r>
          <w:rPr>
            <w:rFonts w:asciiTheme="minorHAnsi" w:eastAsiaTheme="minorEastAsia" w:hAnsiTheme="minorHAnsi" w:cstheme="minorBidi"/>
            <w:noProof/>
            <w:sz w:val="22"/>
            <w:szCs w:val="22"/>
          </w:rPr>
          <w:tab/>
        </w:r>
        <w:r w:rsidRPr="00CC53E5">
          <w:rPr>
            <w:rStyle w:val="Hyperlink"/>
            <w:noProof/>
          </w:rPr>
          <w:t>Part 1 Section 22.1.2.43, grow (n-ary Grow)</w:t>
        </w:r>
        <w:r>
          <w:rPr>
            <w:noProof/>
            <w:webHidden/>
          </w:rPr>
          <w:tab/>
        </w:r>
        <w:r>
          <w:rPr>
            <w:noProof/>
            <w:webHidden/>
          </w:rPr>
          <w:fldChar w:fldCharType="begin"/>
        </w:r>
        <w:r>
          <w:rPr>
            <w:noProof/>
            <w:webHidden/>
          </w:rPr>
          <w:instrText xml:space="preserve"> PAGEREF _Toc69879446 \h </w:instrText>
        </w:r>
        <w:r>
          <w:rPr>
            <w:noProof/>
            <w:webHidden/>
          </w:rPr>
        </w:r>
        <w:r>
          <w:rPr>
            <w:noProof/>
            <w:webHidden/>
          </w:rPr>
          <w:fldChar w:fldCharType="separate"/>
        </w:r>
        <w:r>
          <w:rPr>
            <w:noProof/>
            <w:webHidden/>
          </w:rPr>
          <w:t>600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47" w:history="1">
        <w:r w:rsidRPr="00CC53E5">
          <w:rPr>
            <w:rStyle w:val="Hyperlink"/>
            <w:noProof/>
          </w:rPr>
          <w:t>2.1.1664</w:t>
        </w:r>
        <w:r>
          <w:rPr>
            <w:rFonts w:asciiTheme="minorHAnsi" w:eastAsiaTheme="minorEastAsia" w:hAnsiTheme="minorHAnsi" w:cstheme="minorBidi"/>
            <w:noProof/>
            <w:sz w:val="22"/>
            <w:szCs w:val="22"/>
          </w:rPr>
          <w:tab/>
        </w:r>
        <w:r w:rsidRPr="00CC53E5">
          <w:rPr>
            <w:rStyle w:val="Hyperlink"/>
            <w:noProof/>
          </w:rPr>
          <w:t>Part 1 Section 22.1.2.48, interSp (Inter-Equation Spacing)</w:t>
        </w:r>
        <w:r>
          <w:rPr>
            <w:noProof/>
            <w:webHidden/>
          </w:rPr>
          <w:tab/>
        </w:r>
        <w:r>
          <w:rPr>
            <w:noProof/>
            <w:webHidden/>
          </w:rPr>
          <w:fldChar w:fldCharType="begin"/>
        </w:r>
        <w:r>
          <w:rPr>
            <w:noProof/>
            <w:webHidden/>
          </w:rPr>
          <w:instrText xml:space="preserve"> PAGEREF _Toc69879447 \h </w:instrText>
        </w:r>
        <w:r>
          <w:rPr>
            <w:noProof/>
            <w:webHidden/>
          </w:rPr>
        </w:r>
        <w:r>
          <w:rPr>
            <w:noProof/>
            <w:webHidden/>
          </w:rPr>
          <w:fldChar w:fldCharType="separate"/>
        </w:r>
        <w:r>
          <w:rPr>
            <w:noProof/>
            <w:webHidden/>
          </w:rPr>
          <w:t>600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48" w:history="1">
        <w:r w:rsidRPr="00CC53E5">
          <w:rPr>
            <w:rStyle w:val="Hyperlink"/>
            <w:noProof/>
          </w:rPr>
          <w:t>2.1.1665</w:t>
        </w:r>
        <w:r>
          <w:rPr>
            <w:rFonts w:asciiTheme="minorHAnsi" w:eastAsiaTheme="minorEastAsia" w:hAnsiTheme="minorHAnsi" w:cstheme="minorBidi"/>
            <w:noProof/>
            <w:sz w:val="22"/>
            <w:szCs w:val="22"/>
          </w:rPr>
          <w:tab/>
        </w:r>
        <w:r w:rsidRPr="00CC53E5">
          <w:rPr>
            <w:rStyle w:val="Hyperlink"/>
            <w:noProof/>
          </w:rPr>
          <w:t>Part 1 Section 22.1.2.49, intLim (Integral Limit Locations)</w:t>
        </w:r>
        <w:r>
          <w:rPr>
            <w:noProof/>
            <w:webHidden/>
          </w:rPr>
          <w:tab/>
        </w:r>
        <w:r>
          <w:rPr>
            <w:noProof/>
            <w:webHidden/>
          </w:rPr>
          <w:fldChar w:fldCharType="begin"/>
        </w:r>
        <w:r>
          <w:rPr>
            <w:noProof/>
            <w:webHidden/>
          </w:rPr>
          <w:instrText xml:space="preserve"> PAGEREF _Toc69879448 \h </w:instrText>
        </w:r>
        <w:r>
          <w:rPr>
            <w:noProof/>
            <w:webHidden/>
          </w:rPr>
        </w:r>
        <w:r>
          <w:rPr>
            <w:noProof/>
            <w:webHidden/>
          </w:rPr>
          <w:fldChar w:fldCharType="separate"/>
        </w:r>
        <w:r>
          <w:rPr>
            <w:noProof/>
            <w:webHidden/>
          </w:rPr>
          <w:t>600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49" w:history="1">
        <w:r w:rsidRPr="00CC53E5">
          <w:rPr>
            <w:rStyle w:val="Hyperlink"/>
            <w:noProof/>
          </w:rPr>
          <w:t>2.1.1666</w:t>
        </w:r>
        <w:r>
          <w:rPr>
            <w:rFonts w:asciiTheme="minorHAnsi" w:eastAsiaTheme="minorEastAsia" w:hAnsiTheme="minorHAnsi" w:cstheme="minorBidi"/>
            <w:noProof/>
            <w:sz w:val="22"/>
            <w:szCs w:val="22"/>
          </w:rPr>
          <w:tab/>
        </w:r>
        <w:r w:rsidRPr="00CC53E5">
          <w:rPr>
            <w:rStyle w:val="Hyperlink"/>
            <w:noProof/>
          </w:rPr>
          <w:t>Part 1 Section 22.1.2.50, intraSp (Intra-Equation Spacing)</w:t>
        </w:r>
        <w:r>
          <w:rPr>
            <w:noProof/>
            <w:webHidden/>
          </w:rPr>
          <w:tab/>
        </w:r>
        <w:r>
          <w:rPr>
            <w:noProof/>
            <w:webHidden/>
          </w:rPr>
          <w:fldChar w:fldCharType="begin"/>
        </w:r>
        <w:r>
          <w:rPr>
            <w:noProof/>
            <w:webHidden/>
          </w:rPr>
          <w:instrText xml:space="preserve"> PAGEREF _Toc69879449 \h </w:instrText>
        </w:r>
        <w:r>
          <w:rPr>
            <w:noProof/>
            <w:webHidden/>
          </w:rPr>
        </w:r>
        <w:r>
          <w:rPr>
            <w:noProof/>
            <w:webHidden/>
          </w:rPr>
          <w:fldChar w:fldCharType="separate"/>
        </w:r>
        <w:r>
          <w:rPr>
            <w:noProof/>
            <w:webHidden/>
          </w:rPr>
          <w:t>600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50" w:history="1">
        <w:r w:rsidRPr="00CC53E5">
          <w:rPr>
            <w:rStyle w:val="Hyperlink"/>
            <w:noProof/>
          </w:rPr>
          <w:t>2.1.1667</w:t>
        </w:r>
        <w:r>
          <w:rPr>
            <w:rFonts w:asciiTheme="minorHAnsi" w:eastAsiaTheme="minorEastAsia" w:hAnsiTheme="minorHAnsi" w:cstheme="minorBidi"/>
            <w:noProof/>
            <w:sz w:val="22"/>
            <w:szCs w:val="22"/>
          </w:rPr>
          <w:tab/>
        </w:r>
        <w:r w:rsidRPr="00CC53E5">
          <w:rPr>
            <w:rStyle w:val="Hyperlink"/>
            <w:noProof/>
          </w:rPr>
          <w:t>Part 1 Section 22.1.2.51, jc (Justification)</w:t>
        </w:r>
        <w:r>
          <w:rPr>
            <w:noProof/>
            <w:webHidden/>
          </w:rPr>
          <w:tab/>
        </w:r>
        <w:r>
          <w:rPr>
            <w:noProof/>
            <w:webHidden/>
          </w:rPr>
          <w:fldChar w:fldCharType="begin"/>
        </w:r>
        <w:r>
          <w:rPr>
            <w:noProof/>
            <w:webHidden/>
          </w:rPr>
          <w:instrText xml:space="preserve"> PAGEREF _Toc69879450 \h </w:instrText>
        </w:r>
        <w:r>
          <w:rPr>
            <w:noProof/>
            <w:webHidden/>
          </w:rPr>
        </w:r>
        <w:r>
          <w:rPr>
            <w:noProof/>
            <w:webHidden/>
          </w:rPr>
          <w:fldChar w:fldCharType="separate"/>
        </w:r>
        <w:r>
          <w:rPr>
            <w:noProof/>
            <w:webHidden/>
          </w:rPr>
          <w:t>600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51" w:history="1">
        <w:r w:rsidRPr="00CC53E5">
          <w:rPr>
            <w:rStyle w:val="Hyperlink"/>
            <w:noProof/>
          </w:rPr>
          <w:t>2.1.1668</w:t>
        </w:r>
        <w:r>
          <w:rPr>
            <w:rFonts w:asciiTheme="minorHAnsi" w:eastAsiaTheme="minorEastAsia" w:hAnsiTheme="minorHAnsi" w:cstheme="minorBidi"/>
            <w:noProof/>
            <w:sz w:val="22"/>
            <w:szCs w:val="22"/>
          </w:rPr>
          <w:tab/>
        </w:r>
        <w:r w:rsidRPr="00CC53E5">
          <w:rPr>
            <w:rStyle w:val="Hyperlink"/>
            <w:noProof/>
          </w:rPr>
          <w:t>Part 1 Section 22.1.2.52, lim (Limit)</w:t>
        </w:r>
        <w:r>
          <w:rPr>
            <w:noProof/>
            <w:webHidden/>
          </w:rPr>
          <w:tab/>
        </w:r>
        <w:r>
          <w:rPr>
            <w:noProof/>
            <w:webHidden/>
          </w:rPr>
          <w:fldChar w:fldCharType="begin"/>
        </w:r>
        <w:r>
          <w:rPr>
            <w:noProof/>
            <w:webHidden/>
          </w:rPr>
          <w:instrText xml:space="preserve"> PAGEREF _Toc69879451 \h </w:instrText>
        </w:r>
        <w:r>
          <w:rPr>
            <w:noProof/>
            <w:webHidden/>
          </w:rPr>
        </w:r>
        <w:r>
          <w:rPr>
            <w:noProof/>
            <w:webHidden/>
          </w:rPr>
          <w:fldChar w:fldCharType="separate"/>
        </w:r>
        <w:r>
          <w:rPr>
            <w:noProof/>
            <w:webHidden/>
          </w:rPr>
          <w:t>600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52" w:history="1">
        <w:r w:rsidRPr="00CC53E5">
          <w:rPr>
            <w:rStyle w:val="Hyperlink"/>
            <w:noProof/>
          </w:rPr>
          <w:t>2.1.1669</w:t>
        </w:r>
        <w:r>
          <w:rPr>
            <w:rFonts w:asciiTheme="minorHAnsi" w:eastAsiaTheme="minorEastAsia" w:hAnsiTheme="minorHAnsi" w:cstheme="minorBidi"/>
            <w:noProof/>
            <w:sz w:val="22"/>
            <w:szCs w:val="22"/>
          </w:rPr>
          <w:tab/>
        </w:r>
        <w:r w:rsidRPr="00CC53E5">
          <w:rPr>
            <w:rStyle w:val="Hyperlink"/>
            <w:noProof/>
          </w:rPr>
          <w:t>Part 1 Section 22.1.2.54, limLow (Lower-Limit Object)</w:t>
        </w:r>
        <w:r>
          <w:rPr>
            <w:noProof/>
            <w:webHidden/>
          </w:rPr>
          <w:tab/>
        </w:r>
        <w:r>
          <w:rPr>
            <w:noProof/>
            <w:webHidden/>
          </w:rPr>
          <w:fldChar w:fldCharType="begin"/>
        </w:r>
        <w:r>
          <w:rPr>
            <w:noProof/>
            <w:webHidden/>
          </w:rPr>
          <w:instrText xml:space="preserve"> PAGEREF _Toc69879452 \h </w:instrText>
        </w:r>
        <w:r>
          <w:rPr>
            <w:noProof/>
            <w:webHidden/>
          </w:rPr>
        </w:r>
        <w:r>
          <w:rPr>
            <w:noProof/>
            <w:webHidden/>
          </w:rPr>
          <w:fldChar w:fldCharType="separate"/>
        </w:r>
        <w:r>
          <w:rPr>
            <w:noProof/>
            <w:webHidden/>
          </w:rPr>
          <w:t>601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53" w:history="1">
        <w:r w:rsidRPr="00CC53E5">
          <w:rPr>
            <w:rStyle w:val="Hyperlink"/>
            <w:noProof/>
          </w:rPr>
          <w:t>2.1.1670</w:t>
        </w:r>
        <w:r>
          <w:rPr>
            <w:rFonts w:asciiTheme="minorHAnsi" w:eastAsiaTheme="minorEastAsia" w:hAnsiTheme="minorHAnsi" w:cstheme="minorBidi"/>
            <w:noProof/>
            <w:sz w:val="22"/>
            <w:szCs w:val="22"/>
          </w:rPr>
          <w:tab/>
        </w:r>
        <w:r w:rsidRPr="00CC53E5">
          <w:rPr>
            <w:rStyle w:val="Hyperlink"/>
            <w:noProof/>
          </w:rPr>
          <w:t>Part 1 Section 22.1.2.56, limUpp (Upper-Limit Object)</w:t>
        </w:r>
        <w:r>
          <w:rPr>
            <w:noProof/>
            <w:webHidden/>
          </w:rPr>
          <w:tab/>
        </w:r>
        <w:r>
          <w:rPr>
            <w:noProof/>
            <w:webHidden/>
          </w:rPr>
          <w:fldChar w:fldCharType="begin"/>
        </w:r>
        <w:r>
          <w:rPr>
            <w:noProof/>
            <w:webHidden/>
          </w:rPr>
          <w:instrText xml:space="preserve"> PAGEREF _Toc69879453 \h </w:instrText>
        </w:r>
        <w:r>
          <w:rPr>
            <w:noProof/>
            <w:webHidden/>
          </w:rPr>
        </w:r>
        <w:r>
          <w:rPr>
            <w:noProof/>
            <w:webHidden/>
          </w:rPr>
          <w:fldChar w:fldCharType="separate"/>
        </w:r>
        <w:r>
          <w:rPr>
            <w:noProof/>
            <w:webHidden/>
          </w:rPr>
          <w:t>601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54" w:history="1">
        <w:r w:rsidRPr="00CC53E5">
          <w:rPr>
            <w:rStyle w:val="Hyperlink"/>
            <w:noProof/>
          </w:rPr>
          <w:t>2.1.1671</w:t>
        </w:r>
        <w:r>
          <w:rPr>
            <w:rFonts w:asciiTheme="minorHAnsi" w:eastAsiaTheme="minorEastAsia" w:hAnsiTheme="minorHAnsi" w:cstheme="minorBidi"/>
            <w:noProof/>
            <w:sz w:val="22"/>
            <w:szCs w:val="22"/>
          </w:rPr>
          <w:tab/>
        </w:r>
        <w:r w:rsidRPr="00CC53E5">
          <w:rPr>
            <w:rStyle w:val="Hyperlink"/>
            <w:noProof/>
          </w:rPr>
          <w:t>Part 1 Section 22.1.2.60, m (Matrix Object)</w:t>
        </w:r>
        <w:r>
          <w:rPr>
            <w:noProof/>
            <w:webHidden/>
          </w:rPr>
          <w:tab/>
        </w:r>
        <w:r>
          <w:rPr>
            <w:noProof/>
            <w:webHidden/>
          </w:rPr>
          <w:fldChar w:fldCharType="begin"/>
        </w:r>
        <w:r>
          <w:rPr>
            <w:noProof/>
            <w:webHidden/>
          </w:rPr>
          <w:instrText xml:space="preserve"> PAGEREF _Toc69879454 \h </w:instrText>
        </w:r>
        <w:r>
          <w:rPr>
            <w:noProof/>
            <w:webHidden/>
          </w:rPr>
        </w:r>
        <w:r>
          <w:rPr>
            <w:noProof/>
            <w:webHidden/>
          </w:rPr>
          <w:fldChar w:fldCharType="separate"/>
        </w:r>
        <w:r>
          <w:rPr>
            <w:noProof/>
            <w:webHidden/>
          </w:rPr>
          <w:t>601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55" w:history="1">
        <w:r w:rsidRPr="00CC53E5">
          <w:rPr>
            <w:rStyle w:val="Hyperlink"/>
            <w:noProof/>
          </w:rPr>
          <w:t>2.1.1672</w:t>
        </w:r>
        <w:r>
          <w:rPr>
            <w:rFonts w:asciiTheme="minorHAnsi" w:eastAsiaTheme="minorEastAsia" w:hAnsiTheme="minorHAnsi" w:cstheme="minorBidi"/>
            <w:noProof/>
            <w:sz w:val="22"/>
            <w:szCs w:val="22"/>
          </w:rPr>
          <w:tab/>
        </w:r>
        <w:r w:rsidRPr="00CC53E5">
          <w:rPr>
            <w:rStyle w:val="Hyperlink"/>
            <w:noProof/>
          </w:rPr>
          <w:t>Part 1 Section 22.1.2.61, mathFont (Math Font)</w:t>
        </w:r>
        <w:r>
          <w:rPr>
            <w:noProof/>
            <w:webHidden/>
          </w:rPr>
          <w:tab/>
        </w:r>
        <w:r>
          <w:rPr>
            <w:noProof/>
            <w:webHidden/>
          </w:rPr>
          <w:fldChar w:fldCharType="begin"/>
        </w:r>
        <w:r>
          <w:rPr>
            <w:noProof/>
            <w:webHidden/>
          </w:rPr>
          <w:instrText xml:space="preserve"> PAGEREF _Toc69879455 \h </w:instrText>
        </w:r>
        <w:r>
          <w:rPr>
            <w:noProof/>
            <w:webHidden/>
          </w:rPr>
        </w:r>
        <w:r>
          <w:rPr>
            <w:noProof/>
            <w:webHidden/>
          </w:rPr>
          <w:fldChar w:fldCharType="separate"/>
        </w:r>
        <w:r>
          <w:rPr>
            <w:noProof/>
            <w:webHidden/>
          </w:rPr>
          <w:t>601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56" w:history="1">
        <w:r w:rsidRPr="00CC53E5">
          <w:rPr>
            <w:rStyle w:val="Hyperlink"/>
            <w:noProof/>
          </w:rPr>
          <w:t>2.1.1673</w:t>
        </w:r>
        <w:r>
          <w:rPr>
            <w:rFonts w:asciiTheme="minorHAnsi" w:eastAsiaTheme="minorEastAsia" w:hAnsiTheme="minorHAnsi" w:cstheme="minorBidi"/>
            <w:noProof/>
            <w:sz w:val="22"/>
            <w:szCs w:val="22"/>
          </w:rPr>
          <w:tab/>
        </w:r>
        <w:r w:rsidRPr="00CC53E5">
          <w:rPr>
            <w:rStyle w:val="Hyperlink"/>
            <w:noProof/>
          </w:rPr>
          <w:t>Part 1 Section 22.1.2.63, maxDist (Maximum Distribution)</w:t>
        </w:r>
        <w:r>
          <w:rPr>
            <w:noProof/>
            <w:webHidden/>
          </w:rPr>
          <w:tab/>
        </w:r>
        <w:r>
          <w:rPr>
            <w:noProof/>
            <w:webHidden/>
          </w:rPr>
          <w:fldChar w:fldCharType="begin"/>
        </w:r>
        <w:r>
          <w:rPr>
            <w:noProof/>
            <w:webHidden/>
          </w:rPr>
          <w:instrText xml:space="preserve"> PAGEREF _Toc69879456 \h </w:instrText>
        </w:r>
        <w:r>
          <w:rPr>
            <w:noProof/>
            <w:webHidden/>
          </w:rPr>
        </w:r>
        <w:r>
          <w:rPr>
            <w:noProof/>
            <w:webHidden/>
          </w:rPr>
          <w:fldChar w:fldCharType="separate"/>
        </w:r>
        <w:r>
          <w:rPr>
            <w:noProof/>
            <w:webHidden/>
          </w:rPr>
          <w:t>601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57" w:history="1">
        <w:r w:rsidRPr="00CC53E5">
          <w:rPr>
            <w:rStyle w:val="Hyperlink"/>
            <w:noProof/>
          </w:rPr>
          <w:t>2.1.1674</w:t>
        </w:r>
        <w:r>
          <w:rPr>
            <w:rFonts w:asciiTheme="minorHAnsi" w:eastAsiaTheme="minorEastAsia" w:hAnsiTheme="minorHAnsi" w:cstheme="minorBidi"/>
            <w:noProof/>
            <w:sz w:val="22"/>
            <w:szCs w:val="22"/>
          </w:rPr>
          <w:tab/>
        </w:r>
        <w:r w:rsidRPr="00CC53E5">
          <w:rPr>
            <w:rStyle w:val="Hyperlink"/>
            <w:noProof/>
          </w:rPr>
          <w:t>Part 1 Section 22.1.2.64, mc (Matrix Column)</w:t>
        </w:r>
        <w:r>
          <w:rPr>
            <w:noProof/>
            <w:webHidden/>
          </w:rPr>
          <w:tab/>
        </w:r>
        <w:r>
          <w:rPr>
            <w:noProof/>
            <w:webHidden/>
          </w:rPr>
          <w:fldChar w:fldCharType="begin"/>
        </w:r>
        <w:r>
          <w:rPr>
            <w:noProof/>
            <w:webHidden/>
          </w:rPr>
          <w:instrText xml:space="preserve"> PAGEREF _Toc69879457 \h </w:instrText>
        </w:r>
        <w:r>
          <w:rPr>
            <w:noProof/>
            <w:webHidden/>
          </w:rPr>
        </w:r>
        <w:r>
          <w:rPr>
            <w:noProof/>
            <w:webHidden/>
          </w:rPr>
          <w:fldChar w:fldCharType="separate"/>
        </w:r>
        <w:r>
          <w:rPr>
            <w:noProof/>
            <w:webHidden/>
          </w:rPr>
          <w:t>601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58" w:history="1">
        <w:r w:rsidRPr="00CC53E5">
          <w:rPr>
            <w:rStyle w:val="Hyperlink"/>
            <w:noProof/>
          </w:rPr>
          <w:t>2.1.1675</w:t>
        </w:r>
        <w:r>
          <w:rPr>
            <w:rFonts w:asciiTheme="minorHAnsi" w:eastAsiaTheme="minorEastAsia" w:hAnsiTheme="minorHAnsi" w:cstheme="minorBidi"/>
            <w:noProof/>
            <w:sz w:val="22"/>
            <w:szCs w:val="22"/>
          </w:rPr>
          <w:tab/>
        </w:r>
        <w:r w:rsidRPr="00CC53E5">
          <w:rPr>
            <w:rStyle w:val="Hyperlink"/>
            <w:noProof/>
          </w:rPr>
          <w:t>Part 1 Section 22.1.2.67, mcs (Matrix Columns)</w:t>
        </w:r>
        <w:r>
          <w:rPr>
            <w:noProof/>
            <w:webHidden/>
          </w:rPr>
          <w:tab/>
        </w:r>
        <w:r>
          <w:rPr>
            <w:noProof/>
            <w:webHidden/>
          </w:rPr>
          <w:fldChar w:fldCharType="begin"/>
        </w:r>
        <w:r>
          <w:rPr>
            <w:noProof/>
            <w:webHidden/>
          </w:rPr>
          <w:instrText xml:space="preserve"> PAGEREF _Toc69879458 \h </w:instrText>
        </w:r>
        <w:r>
          <w:rPr>
            <w:noProof/>
            <w:webHidden/>
          </w:rPr>
        </w:r>
        <w:r>
          <w:rPr>
            <w:noProof/>
            <w:webHidden/>
          </w:rPr>
          <w:fldChar w:fldCharType="separate"/>
        </w:r>
        <w:r>
          <w:rPr>
            <w:noProof/>
            <w:webHidden/>
          </w:rPr>
          <w:t>601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59" w:history="1">
        <w:r w:rsidRPr="00CC53E5">
          <w:rPr>
            <w:rStyle w:val="Hyperlink"/>
            <w:noProof/>
          </w:rPr>
          <w:t>2.1.1676</w:t>
        </w:r>
        <w:r>
          <w:rPr>
            <w:rFonts w:asciiTheme="minorHAnsi" w:eastAsiaTheme="minorEastAsia" w:hAnsiTheme="minorHAnsi" w:cstheme="minorBidi"/>
            <w:noProof/>
            <w:sz w:val="22"/>
            <w:szCs w:val="22"/>
          </w:rPr>
          <w:tab/>
        </w:r>
        <w:r w:rsidRPr="00CC53E5">
          <w:rPr>
            <w:rStyle w:val="Hyperlink"/>
            <w:noProof/>
          </w:rPr>
          <w:t>Part 1 Section 22.1.2.69, mr (Matrix Row)</w:t>
        </w:r>
        <w:r>
          <w:rPr>
            <w:noProof/>
            <w:webHidden/>
          </w:rPr>
          <w:tab/>
        </w:r>
        <w:r>
          <w:rPr>
            <w:noProof/>
            <w:webHidden/>
          </w:rPr>
          <w:fldChar w:fldCharType="begin"/>
        </w:r>
        <w:r>
          <w:rPr>
            <w:noProof/>
            <w:webHidden/>
          </w:rPr>
          <w:instrText xml:space="preserve"> PAGEREF _Toc69879459 \h </w:instrText>
        </w:r>
        <w:r>
          <w:rPr>
            <w:noProof/>
            <w:webHidden/>
          </w:rPr>
        </w:r>
        <w:r>
          <w:rPr>
            <w:noProof/>
            <w:webHidden/>
          </w:rPr>
          <w:fldChar w:fldCharType="separate"/>
        </w:r>
        <w:r>
          <w:rPr>
            <w:noProof/>
            <w:webHidden/>
          </w:rPr>
          <w:t>602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60" w:history="1">
        <w:r w:rsidRPr="00CC53E5">
          <w:rPr>
            <w:rStyle w:val="Hyperlink"/>
            <w:noProof/>
          </w:rPr>
          <w:t>2.1.1677</w:t>
        </w:r>
        <w:r>
          <w:rPr>
            <w:rFonts w:asciiTheme="minorHAnsi" w:eastAsiaTheme="minorEastAsia" w:hAnsiTheme="minorHAnsi" w:cstheme="minorBidi"/>
            <w:noProof/>
            <w:sz w:val="22"/>
            <w:szCs w:val="22"/>
          </w:rPr>
          <w:tab/>
        </w:r>
        <w:r w:rsidRPr="00CC53E5">
          <w:rPr>
            <w:rStyle w:val="Hyperlink"/>
            <w:noProof/>
          </w:rPr>
          <w:t>Part 1 Section 22.1.2.70, nary (n-ary Operator Object)</w:t>
        </w:r>
        <w:r>
          <w:rPr>
            <w:noProof/>
            <w:webHidden/>
          </w:rPr>
          <w:tab/>
        </w:r>
        <w:r>
          <w:rPr>
            <w:noProof/>
            <w:webHidden/>
          </w:rPr>
          <w:fldChar w:fldCharType="begin"/>
        </w:r>
        <w:r>
          <w:rPr>
            <w:noProof/>
            <w:webHidden/>
          </w:rPr>
          <w:instrText xml:space="preserve"> PAGEREF _Toc69879460 \h </w:instrText>
        </w:r>
        <w:r>
          <w:rPr>
            <w:noProof/>
            <w:webHidden/>
          </w:rPr>
        </w:r>
        <w:r>
          <w:rPr>
            <w:noProof/>
            <w:webHidden/>
          </w:rPr>
          <w:fldChar w:fldCharType="separate"/>
        </w:r>
        <w:r>
          <w:rPr>
            <w:noProof/>
            <w:webHidden/>
          </w:rPr>
          <w:t>602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61" w:history="1">
        <w:r w:rsidRPr="00CC53E5">
          <w:rPr>
            <w:rStyle w:val="Hyperlink"/>
            <w:noProof/>
          </w:rPr>
          <w:t>2.1.1678</w:t>
        </w:r>
        <w:r>
          <w:rPr>
            <w:rFonts w:asciiTheme="minorHAnsi" w:eastAsiaTheme="minorEastAsia" w:hAnsiTheme="minorHAnsi" w:cstheme="minorBidi"/>
            <w:noProof/>
            <w:sz w:val="22"/>
            <w:szCs w:val="22"/>
          </w:rPr>
          <w:tab/>
        </w:r>
        <w:r w:rsidRPr="00CC53E5">
          <w:rPr>
            <w:rStyle w:val="Hyperlink"/>
            <w:noProof/>
          </w:rPr>
          <w:t>Part 1 Section 22.1.2.71, naryLim (n-ary Limit Location)</w:t>
        </w:r>
        <w:r>
          <w:rPr>
            <w:noProof/>
            <w:webHidden/>
          </w:rPr>
          <w:tab/>
        </w:r>
        <w:r>
          <w:rPr>
            <w:noProof/>
            <w:webHidden/>
          </w:rPr>
          <w:fldChar w:fldCharType="begin"/>
        </w:r>
        <w:r>
          <w:rPr>
            <w:noProof/>
            <w:webHidden/>
          </w:rPr>
          <w:instrText xml:space="preserve"> PAGEREF _Toc69879461 \h </w:instrText>
        </w:r>
        <w:r>
          <w:rPr>
            <w:noProof/>
            <w:webHidden/>
          </w:rPr>
        </w:r>
        <w:r>
          <w:rPr>
            <w:noProof/>
            <w:webHidden/>
          </w:rPr>
          <w:fldChar w:fldCharType="separate"/>
        </w:r>
        <w:r>
          <w:rPr>
            <w:noProof/>
            <w:webHidden/>
          </w:rPr>
          <w:t>602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62" w:history="1">
        <w:r w:rsidRPr="00CC53E5">
          <w:rPr>
            <w:rStyle w:val="Hyperlink"/>
            <w:noProof/>
          </w:rPr>
          <w:t>2.1.1679</w:t>
        </w:r>
        <w:r>
          <w:rPr>
            <w:rFonts w:asciiTheme="minorHAnsi" w:eastAsiaTheme="minorEastAsia" w:hAnsiTheme="minorHAnsi" w:cstheme="minorBidi"/>
            <w:noProof/>
            <w:sz w:val="22"/>
            <w:szCs w:val="22"/>
          </w:rPr>
          <w:tab/>
        </w:r>
        <w:r w:rsidRPr="00CC53E5">
          <w:rPr>
            <w:rStyle w:val="Hyperlink"/>
            <w:noProof/>
          </w:rPr>
          <w:t>Part 1 Section 22.1.2.73, noBreak (No Break)</w:t>
        </w:r>
        <w:r>
          <w:rPr>
            <w:noProof/>
            <w:webHidden/>
          </w:rPr>
          <w:tab/>
        </w:r>
        <w:r>
          <w:rPr>
            <w:noProof/>
            <w:webHidden/>
          </w:rPr>
          <w:fldChar w:fldCharType="begin"/>
        </w:r>
        <w:r>
          <w:rPr>
            <w:noProof/>
            <w:webHidden/>
          </w:rPr>
          <w:instrText xml:space="preserve"> PAGEREF _Toc69879462 \h </w:instrText>
        </w:r>
        <w:r>
          <w:rPr>
            <w:noProof/>
            <w:webHidden/>
          </w:rPr>
        </w:r>
        <w:r>
          <w:rPr>
            <w:noProof/>
            <w:webHidden/>
          </w:rPr>
          <w:fldChar w:fldCharType="separate"/>
        </w:r>
        <w:r>
          <w:rPr>
            <w:noProof/>
            <w:webHidden/>
          </w:rPr>
          <w:t>602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63" w:history="1">
        <w:r w:rsidRPr="00CC53E5">
          <w:rPr>
            <w:rStyle w:val="Hyperlink"/>
            <w:noProof/>
          </w:rPr>
          <w:t>2.1.1680</w:t>
        </w:r>
        <w:r>
          <w:rPr>
            <w:rFonts w:asciiTheme="minorHAnsi" w:eastAsiaTheme="minorEastAsia" w:hAnsiTheme="minorHAnsi" w:cstheme="minorBidi"/>
            <w:noProof/>
            <w:sz w:val="22"/>
            <w:szCs w:val="22"/>
          </w:rPr>
          <w:tab/>
        </w:r>
        <w:r w:rsidRPr="00CC53E5">
          <w:rPr>
            <w:rStyle w:val="Hyperlink"/>
            <w:noProof/>
          </w:rPr>
          <w:t>Part 1 Section 22.1.2.75, num (Numerator)</w:t>
        </w:r>
        <w:r>
          <w:rPr>
            <w:noProof/>
            <w:webHidden/>
          </w:rPr>
          <w:tab/>
        </w:r>
        <w:r>
          <w:rPr>
            <w:noProof/>
            <w:webHidden/>
          </w:rPr>
          <w:fldChar w:fldCharType="begin"/>
        </w:r>
        <w:r>
          <w:rPr>
            <w:noProof/>
            <w:webHidden/>
          </w:rPr>
          <w:instrText xml:space="preserve"> PAGEREF _Toc69879463 \h </w:instrText>
        </w:r>
        <w:r>
          <w:rPr>
            <w:noProof/>
            <w:webHidden/>
          </w:rPr>
        </w:r>
        <w:r>
          <w:rPr>
            <w:noProof/>
            <w:webHidden/>
          </w:rPr>
          <w:fldChar w:fldCharType="separate"/>
        </w:r>
        <w:r>
          <w:rPr>
            <w:noProof/>
            <w:webHidden/>
          </w:rPr>
          <w:t>602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64" w:history="1">
        <w:r w:rsidRPr="00CC53E5">
          <w:rPr>
            <w:rStyle w:val="Hyperlink"/>
            <w:noProof/>
          </w:rPr>
          <w:t>2.1.1681</w:t>
        </w:r>
        <w:r>
          <w:rPr>
            <w:rFonts w:asciiTheme="minorHAnsi" w:eastAsiaTheme="minorEastAsia" w:hAnsiTheme="minorHAnsi" w:cstheme="minorBidi"/>
            <w:noProof/>
            <w:sz w:val="22"/>
            <w:szCs w:val="22"/>
          </w:rPr>
          <w:tab/>
        </w:r>
        <w:r w:rsidRPr="00CC53E5">
          <w:rPr>
            <w:rStyle w:val="Hyperlink"/>
            <w:noProof/>
          </w:rPr>
          <w:t>Part 1 Section 22.1.2.76, objDist (Object Distribution)</w:t>
        </w:r>
        <w:r>
          <w:rPr>
            <w:noProof/>
            <w:webHidden/>
          </w:rPr>
          <w:tab/>
        </w:r>
        <w:r>
          <w:rPr>
            <w:noProof/>
            <w:webHidden/>
          </w:rPr>
          <w:fldChar w:fldCharType="begin"/>
        </w:r>
        <w:r>
          <w:rPr>
            <w:noProof/>
            <w:webHidden/>
          </w:rPr>
          <w:instrText xml:space="preserve"> PAGEREF _Toc69879464 \h </w:instrText>
        </w:r>
        <w:r>
          <w:rPr>
            <w:noProof/>
            <w:webHidden/>
          </w:rPr>
        </w:r>
        <w:r>
          <w:rPr>
            <w:noProof/>
            <w:webHidden/>
          </w:rPr>
          <w:fldChar w:fldCharType="separate"/>
        </w:r>
        <w:r>
          <w:rPr>
            <w:noProof/>
            <w:webHidden/>
          </w:rPr>
          <w:t>602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65" w:history="1">
        <w:r w:rsidRPr="00CC53E5">
          <w:rPr>
            <w:rStyle w:val="Hyperlink"/>
            <w:noProof/>
          </w:rPr>
          <w:t>2.1.1682</w:t>
        </w:r>
        <w:r>
          <w:rPr>
            <w:rFonts w:asciiTheme="minorHAnsi" w:eastAsiaTheme="minorEastAsia" w:hAnsiTheme="minorHAnsi" w:cstheme="minorBidi"/>
            <w:noProof/>
            <w:sz w:val="22"/>
            <w:szCs w:val="22"/>
          </w:rPr>
          <w:tab/>
        </w:r>
        <w:r w:rsidRPr="00CC53E5">
          <w:rPr>
            <w:rStyle w:val="Hyperlink"/>
            <w:noProof/>
          </w:rPr>
          <w:t>Part 1 Section 22.1.2.77, oMath (Office Math)</w:t>
        </w:r>
        <w:r>
          <w:rPr>
            <w:noProof/>
            <w:webHidden/>
          </w:rPr>
          <w:tab/>
        </w:r>
        <w:r>
          <w:rPr>
            <w:noProof/>
            <w:webHidden/>
          </w:rPr>
          <w:fldChar w:fldCharType="begin"/>
        </w:r>
        <w:r>
          <w:rPr>
            <w:noProof/>
            <w:webHidden/>
          </w:rPr>
          <w:instrText xml:space="preserve"> PAGEREF _Toc69879465 \h </w:instrText>
        </w:r>
        <w:r>
          <w:rPr>
            <w:noProof/>
            <w:webHidden/>
          </w:rPr>
        </w:r>
        <w:r>
          <w:rPr>
            <w:noProof/>
            <w:webHidden/>
          </w:rPr>
          <w:fldChar w:fldCharType="separate"/>
        </w:r>
        <w:r>
          <w:rPr>
            <w:noProof/>
            <w:webHidden/>
          </w:rPr>
          <w:t>602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66" w:history="1">
        <w:r w:rsidRPr="00CC53E5">
          <w:rPr>
            <w:rStyle w:val="Hyperlink"/>
            <w:noProof/>
          </w:rPr>
          <w:t>2.1.1683</w:t>
        </w:r>
        <w:r>
          <w:rPr>
            <w:rFonts w:asciiTheme="minorHAnsi" w:eastAsiaTheme="minorEastAsia" w:hAnsiTheme="minorHAnsi" w:cstheme="minorBidi"/>
            <w:noProof/>
            <w:sz w:val="22"/>
            <w:szCs w:val="22"/>
          </w:rPr>
          <w:tab/>
        </w:r>
        <w:r w:rsidRPr="00CC53E5">
          <w:rPr>
            <w:rStyle w:val="Hyperlink"/>
            <w:noProof/>
          </w:rPr>
          <w:t>Part 1 Section 22.1.2.78, oMathPara (Office Math Paragraph)</w:t>
        </w:r>
        <w:r>
          <w:rPr>
            <w:noProof/>
            <w:webHidden/>
          </w:rPr>
          <w:tab/>
        </w:r>
        <w:r>
          <w:rPr>
            <w:noProof/>
            <w:webHidden/>
          </w:rPr>
          <w:fldChar w:fldCharType="begin"/>
        </w:r>
        <w:r>
          <w:rPr>
            <w:noProof/>
            <w:webHidden/>
          </w:rPr>
          <w:instrText xml:space="preserve"> PAGEREF _Toc69879466 \h </w:instrText>
        </w:r>
        <w:r>
          <w:rPr>
            <w:noProof/>
            <w:webHidden/>
          </w:rPr>
        </w:r>
        <w:r>
          <w:rPr>
            <w:noProof/>
            <w:webHidden/>
          </w:rPr>
          <w:fldChar w:fldCharType="separate"/>
        </w:r>
        <w:r>
          <w:rPr>
            <w:noProof/>
            <w:webHidden/>
          </w:rPr>
          <w:t>603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67" w:history="1">
        <w:r w:rsidRPr="00CC53E5">
          <w:rPr>
            <w:rStyle w:val="Hyperlink"/>
            <w:noProof/>
          </w:rPr>
          <w:t>2.1.1684</w:t>
        </w:r>
        <w:r>
          <w:rPr>
            <w:rFonts w:asciiTheme="minorHAnsi" w:eastAsiaTheme="minorEastAsia" w:hAnsiTheme="minorHAnsi" w:cstheme="minorBidi"/>
            <w:noProof/>
            <w:sz w:val="22"/>
            <w:szCs w:val="22"/>
          </w:rPr>
          <w:tab/>
        </w:r>
        <w:r w:rsidRPr="00CC53E5">
          <w:rPr>
            <w:rStyle w:val="Hyperlink"/>
            <w:noProof/>
          </w:rPr>
          <w:t>Part 1 Section 22.1.2.80, opEmu (Operator Emulator)</w:t>
        </w:r>
        <w:r>
          <w:rPr>
            <w:noProof/>
            <w:webHidden/>
          </w:rPr>
          <w:tab/>
        </w:r>
        <w:r>
          <w:rPr>
            <w:noProof/>
            <w:webHidden/>
          </w:rPr>
          <w:fldChar w:fldCharType="begin"/>
        </w:r>
        <w:r>
          <w:rPr>
            <w:noProof/>
            <w:webHidden/>
          </w:rPr>
          <w:instrText xml:space="preserve"> PAGEREF _Toc69879467 \h </w:instrText>
        </w:r>
        <w:r>
          <w:rPr>
            <w:noProof/>
            <w:webHidden/>
          </w:rPr>
        </w:r>
        <w:r>
          <w:rPr>
            <w:noProof/>
            <w:webHidden/>
          </w:rPr>
          <w:fldChar w:fldCharType="separate"/>
        </w:r>
        <w:r>
          <w:rPr>
            <w:noProof/>
            <w:webHidden/>
          </w:rPr>
          <w:t>603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68" w:history="1">
        <w:r w:rsidRPr="00CC53E5">
          <w:rPr>
            <w:rStyle w:val="Hyperlink"/>
            <w:noProof/>
          </w:rPr>
          <w:t>2.1.1685</w:t>
        </w:r>
        <w:r>
          <w:rPr>
            <w:rFonts w:asciiTheme="minorHAnsi" w:eastAsiaTheme="minorEastAsia" w:hAnsiTheme="minorHAnsi" w:cstheme="minorBidi"/>
            <w:noProof/>
            <w:sz w:val="22"/>
            <w:szCs w:val="22"/>
          </w:rPr>
          <w:tab/>
        </w:r>
        <w:r w:rsidRPr="00CC53E5">
          <w:rPr>
            <w:rStyle w:val="Hyperlink"/>
            <w:noProof/>
          </w:rPr>
          <w:t>Part 1 Section 22.1.2.81, phant (Phantom Object)</w:t>
        </w:r>
        <w:r>
          <w:rPr>
            <w:noProof/>
            <w:webHidden/>
          </w:rPr>
          <w:tab/>
        </w:r>
        <w:r>
          <w:rPr>
            <w:noProof/>
            <w:webHidden/>
          </w:rPr>
          <w:fldChar w:fldCharType="begin"/>
        </w:r>
        <w:r>
          <w:rPr>
            <w:noProof/>
            <w:webHidden/>
          </w:rPr>
          <w:instrText xml:space="preserve"> PAGEREF _Toc69879468 \h </w:instrText>
        </w:r>
        <w:r>
          <w:rPr>
            <w:noProof/>
            <w:webHidden/>
          </w:rPr>
        </w:r>
        <w:r>
          <w:rPr>
            <w:noProof/>
            <w:webHidden/>
          </w:rPr>
          <w:fldChar w:fldCharType="separate"/>
        </w:r>
        <w:r>
          <w:rPr>
            <w:noProof/>
            <w:webHidden/>
          </w:rPr>
          <w:t>603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69" w:history="1">
        <w:r w:rsidRPr="00CC53E5">
          <w:rPr>
            <w:rStyle w:val="Hyperlink"/>
            <w:noProof/>
          </w:rPr>
          <w:t>2.1.1686</w:t>
        </w:r>
        <w:r>
          <w:rPr>
            <w:rFonts w:asciiTheme="minorHAnsi" w:eastAsiaTheme="minorEastAsia" w:hAnsiTheme="minorHAnsi" w:cstheme="minorBidi"/>
            <w:noProof/>
            <w:sz w:val="22"/>
            <w:szCs w:val="22"/>
          </w:rPr>
          <w:tab/>
        </w:r>
        <w:r w:rsidRPr="00CC53E5">
          <w:rPr>
            <w:rStyle w:val="Hyperlink"/>
            <w:noProof/>
          </w:rPr>
          <w:t>Part 1 Section 22.1.2.84, pos (Position)</w:t>
        </w:r>
        <w:r>
          <w:rPr>
            <w:noProof/>
            <w:webHidden/>
          </w:rPr>
          <w:tab/>
        </w:r>
        <w:r>
          <w:rPr>
            <w:noProof/>
            <w:webHidden/>
          </w:rPr>
          <w:fldChar w:fldCharType="begin"/>
        </w:r>
        <w:r>
          <w:rPr>
            <w:noProof/>
            <w:webHidden/>
          </w:rPr>
          <w:instrText xml:space="preserve"> PAGEREF _Toc69879469 \h </w:instrText>
        </w:r>
        <w:r>
          <w:rPr>
            <w:noProof/>
            <w:webHidden/>
          </w:rPr>
        </w:r>
        <w:r>
          <w:rPr>
            <w:noProof/>
            <w:webHidden/>
          </w:rPr>
          <w:fldChar w:fldCharType="separate"/>
        </w:r>
        <w:r>
          <w:rPr>
            <w:noProof/>
            <w:webHidden/>
          </w:rPr>
          <w:t>603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70" w:history="1">
        <w:r w:rsidRPr="00CC53E5">
          <w:rPr>
            <w:rStyle w:val="Hyperlink"/>
            <w:noProof/>
          </w:rPr>
          <w:t>2.1.1687</w:t>
        </w:r>
        <w:r>
          <w:rPr>
            <w:rFonts w:asciiTheme="minorHAnsi" w:eastAsiaTheme="minorEastAsia" w:hAnsiTheme="minorHAnsi" w:cstheme="minorBidi"/>
            <w:noProof/>
            <w:sz w:val="22"/>
            <w:szCs w:val="22"/>
          </w:rPr>
          <w:tab/>
        </w:r>
        <w:r w:rsidRPr="00CC53E5">
          <w:rPr>
            <w:rStyle w:val="Hyperlink"/>
            <w:noProof/>
          </w:rPr>
          <w:t>Part 1 Section 22.1.2.85, postSp (Post-Paragraph Spacing)</w:t>
        </w:r>
        <w:r>
          <w:rPr>
            <w:noProof/>
            <w:webHidden/>
          </w:rPr>
          <w:tab/>
        </w:r>
        <w:r>
          <w:rPr>
            <w:noProof/>
            <w:webHidden/>
          </w:rPr>
          <w:fldChar w:fldCharType="begin"/>
        </w:r>
        <w:r>
          <w:rPr>
            <w:noProof/>
            <w:webHidden/>
          </w:rPr>
          <w:instrText xml:space="preserve"> PAGEREF _Toc69879470 \h </w:instrText>
        </w:r>
        <w:r>
          <w:rPr>
            <w:noProof/>
            <w:webHidden/>
          </w:rPr>
        </w:r>
        <w:r>
          <w:rPr>
            <w:noProof/>
            <w:webHidden/>
          </w:rPr>
          <w:fldChar w:fldCharType="separate"/>
        </w:r>
        <w:r>
          <w:rPr>
            <w:noProof/>
            <w:webHidden/>
          </w:rPr>
          <w:t>604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71" w:history="1">
        <w:r w:rsidRPr="00CC53E5">
          <w:rPr>
            <w:rStyle w:val="Hyperlink"/>
            <w:noProof/>
          </w:rPr>
          <w:t>2.1.1688</w:t>
        </w:r>
        <w:r>
          <w:rPr>
            <w:rFonts w:asciiTheme="minorHAnsi" w:eastAsiaTheme="minorEastAsia" w:hAnsiTheme="minorHAnsi" w:cstheme="minorBidi"/>
            <w:noProof/>
            <w:sz w:val="22"/>
            <w:szCs w:val="22"/>
          </w:rPr>
          <w:tab/>
        </w:r>
        <w:r w:rsidRPr="00CC53E5">
          <w:rPr>
            <w:rStyle w:val="Hyperlink"/>
            <w:noProof/>
          </w:rPr>
          <w:t>Part 1 Section 22.1.2.86, preSp (Pre-Paragraph Spacing)</w:t>
        </w:r>
        <w:r>
          <w:rPr>
            <w:noProof/>
            <w:webHidden/>
          </w:rPr>
          <w:tab/>
        </w:r>
        <w:r>
          <w:rPr>
            <w:noProof/>
            <w:webHidden/>
          </w:rPr>
          <w:fldChar w:fldCharType="begin"/>
        </w:r>
        <w:r>
          <w:rPr>
            <w:noProof/>
            <w:webHidden/>
          </w:rPr>
          <w:instrText xml:space="preserve"> PAGEREF _Toc69879471 \h </w:instrText>
        </w:r>
        <w:r>
          <w:rPr>
            <w:noProof/>
            <w:webHidden/>
          </w:rPr>
        </w:r>
        <w:r>
          <w:rPr>
            <w:noProof/>
            <w:webHidden/>
          </w:rPr>
          <w:fldChar w:fldCharType="separate"/>
        </w:r>
        <w:r>
          <w:rPr>
            <w:noProof/>
            <w:webHidden/>
          </w:rPr>
          <w:t>604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72" w:history="1">
        <w:r w:rsidRPr="00CC53E5">
          <w:rPr>
            <w:rStyle w:val="Hyperlink"/>
            <w:noProof/>
          </w:rPr>
          <w:t>2.1.1689</w:t>
        </w:r>
        <w:r>
          <w:rPr>
            <w:rFonts w:asciiTheme="minorHAnsi" w:eastAsiaTheme="minorEastAsia" w:hAnsiTheme="minorHAnsi" w:cstheme="minorBidi"/>
            <w:noProof/>
            <w:sz w:val="22"/>
            <w:szCs w:val="22"/>
          </w:rPr>
          <w:tab/>
        </w:r>
        <w:r w:rsidRPr="00CC53E5">
          <w:rPr>
            <w:rStyle w:val="Hyperlink"/>
            <w:noProof/>
          </w:rPr>
          <w:t>Part 1 Section 22.1.2.87, r (Run)</w:t>
        </w:r>
        <w:r>
          <w:rPr>
            <w:noProof/>
            <w:webHidden/>
          </w:rPr>
          <w:tab/>
        </w:r>
        <w:r>
          <w:rPr>
            <w:noProof/>
            <w:webHidden/>
          </w:rPr>
          <w:fldChar w:fldCharType="begin"/>
        </w:r>
        <w:r>
          <w:rPr>
            <w:noProof/>
            <w:webHidden/>
          </w:rPr>
          <w:instrText xml:space="preserve"> PAGEREF _Toc69879472 \h </w:instrText>
        </w:r>
        <w:r>
          <w:rPr>
            <w:noProof/>
            <w:webHidden/>
          </w:rPr>
        </w:r>
        <w:r>
          <w:rPr>
            <w:noProof/>
            <w:webHidden/>
          </w:rPr>
          <w:fldChar w:fldCharType="separate"/>
        </w:r>
        <w:r>
          <w:rPr>
            <w:noProof/>
            <w:webHidden/>
          </w:rPr>
          <w:t>604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73" w:history="1">
        <w:r w:rsidRPr="00CC53E5">
          <w:rPr>
            <w:rStyle w:val="Hyperlink"/>
            <w:noProof/>
          </w:rPr>
          <w:t>2.1.1690</w:t>
        </w:r>
        <w:r>
          <w:rPr>
            <w:rFonts w:asciiTheme="minorHAnsi" w:eastAsiaTheme="minorEastAsia" w:hAnsiTheme="minorHAnsi" w:cstheme="minorBidi"/>
            <w:noProof/>
            <w:sz w:val="22"/>
            <w:szCs w:val="22"/>
          </w:rPr>
          <w:tab/>
        </w:r>
        <w:r w:rsidRPr="00CC53E5">
          <w:rPr>
            <w:rStyle w:val="Hyperlink"/>
            <w:noProof/>
          </w:rPr>
          <w:t>Part 1 Section 22.1.2.88, rad (Radical Object)</w:t>
        </w:r>
        <w:r>
          <w:rPr>
            <w:noProof/>
            <w:webHidden/>
          </w:rPr>
          <w:tab/>
        </w:r>
        <w:r>
          <w:rPr>
            <w:noProof/>
            <w:webHidden/>
          </w:rPr>
          <w:fldChar w:fldCharType="begin"/>
        </w:r>
        <w:r>
          <w:rPr>
            <w:noProof/>
            <w:webHidden/>
          </w:rPr>
          <w:instrText xml:space="preserve"> PAGEREF _Toc69879473 \h </w:instrText>
        </w:r>
        <w:r>
          <w:rPr>
            <w:noProof/>
            <w:webHidden/>
          </w:rPr>
        </w:r>
        <w:r>
          <w:rPr>
            <w:noProof/>
            <w:webHidden/>
          </w:rPr>
          <w:fldChar w:fldCharType="separate"/>
        </w:r>
        <w:r>
          <w:rPr>
            <w:noProof/>
            <w:webHidden/>
          </w:rPr>
          <w:t>604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74" w:history="1">
        <w:r w:rsidRPr="00CC53E5">
          <w:rPr>
            <w:rStyle w:val="Hyperlink"/>
            <w:noProof/>
          </w:rPr>
          <w:t>2.1.1691</w:t>
        </w:r>
        <w:r>
          <w:rPr>
            <w:rFonts w:asciiTheme="minorHAnsi" w:eastAsiaTheme="minorEastAsia" w:hAnsiTheme="minorHAnsi" w:cstheme="minorBidi"/>
            <w:noProof/>
            <w:sz w:val="22"/>
            <w:szCs w:val="22"/>
          </w:rPr>
          <w:tab/>
        </w:r>
        <w:r w:rsidRPr="00CC53E5">
          <w:rPr>
            <w:rStyle w:val="Hyperlink"/>
            <w:noProof/>
          </w:rPr>
          <w:t>Part 1 Section 22.1.2.92, rSp (Row Spacing (Array))</w:t>
        </w:r>
        <w:r>
          <w:rPr>
            <w:noProof/>
            <w:webHidden/>
          </w:rPr>
          <w:tab/>
        </w:r>
        <w:r>
          <w:rPr>
            <w:noProof/>
            <w:webHidden/>
          </w:rPr>
          <w:fldChar w:fldCharType="begin"/>
        </w:r>
        <w:r>
          <w:rPr>
            <w:noProof/>
            <w:webHidden/>
          </w:rPr>
          <w:instrText xml:space="preserve"> PAGEREF _Toc69879474 \h </w:instrText>
        </w:r>
        <w:r>
          <w:rPr>
            <w:noProof/>
            <w:webHidden/>
          </w:rPr>
        </w:r>
        <w:r>
          <w:rPr>
            <w:noProof/>
            <w:webHidden/>
          </w:rPr>
          <w:fldChar w:fldCharType="separate"/>
        </w:r>
        <w:r>
          <w:rPr>
            <w:noProof/>
            <w:webHidden/>
          </w:rPr>
          <w:t>604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75" w:history="1">
        <w:r w:rsidRPr="00CC53E5">
          <w:rPr>
            <w:rStyle w:val="Hyperlink"/>
            <w:noProof/>
          </w:rPr>
          <w:t>2.1.1692</w:t>
        </w:r>
        <w:r>
          <w:rPr>
            <w:rFonts w:asciiTheme="minorHAnsi" w:eastAsiaTheme="minorEastAsia" w:hAnsiTheme="minorHAnsi" w:cstheme="minorBidi"/>
            <w:noProof/>
            <w:sz w:val="22"/>
            <w:szCs w:val="22"/>
          </w:rPr>
          <w:tab/>
        </w:r>
        <w:r w:rsidRPr="00CC53E5">
          <w:rPr>
            <w:rStyle w:val="Hyperlink"/>
            <w:noProof/>
          </w:rPr>
          <w:t>Part 1 Section 22.1.2.93, rSpRule (Row Spacing Rule)</w:t>
        </w:r>
        <w:r>
          <w:rPr>
            <w:noProof/>
            <w:webHidden/>
          </w:rPr>
          <w:tab/>
        </w:r>
        <w:r>
          <w:rPr>
            <w:noProof/>
            <w:webHidden/>
          </w:rPr>
          <w:fldChar w:fldCharType="begin"/>
        </w:r>
        <w:r>
          <w:rPr>
            <w:noProof/>
            <w:webHidden/>
          </w:rPr>
          <w:instrText xml:space="preserve"> PAGEREF _Toc69879475 \h </w:instrText>
        </w:r>
        <w:r>
          <w:rPr>
            <w:noProof/>
            <w:webHidden/>
          </w:rPr>
        </w:r>
        <w:r>
          <w:rPr>
            <w:noProof/>
            <w:webHidden/>
          </w:rPr>
          <w:fldChar w:fldCharType="separate"/>
        </w:r>
        <w:r>
          <w:rPr>
            <w:noProof/>
            <w:webHidden/>
          </w:rPr>
          <w:t>605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76" w:history="1">
        <w:r w:rsidRPr="00CC53E5">
          <w:rPr>
            <w:rStyle w:val="Hyperlink"/>
            <w:noProof/>
          </w:rPr>
          <w:t>2.1.1693</w:t>
        </w:r>
        <w:r>
          <w:rPr>
            <w:rFonts w:asciiTheme="minorHAnsi" w:eastAsiaTheme="minorEastAsia" w:hAnsiTheme="minorHAnsi" w:cstheme="minorBidi"/>
            <w:noProof/>
            <w:sz w:val="22"/>
            <w:szCs w:val="22"/>
          </w:rPr>
          <w:tab/>
        </w:r>
        <w:r w:rsidRPr="00CC53E5">
          <w:rPr>
            <w:rStyle w:val="Hyperlink"/>
            <w:noProof/>
          </w:rPr>
          <w:t>Part 1 Section 22.1.2.94, scr (Script)</w:t>
        </w:r>
        <w:r>
          <w:rPr>
            <w:noProof/>
            <w:webHidden/>
          </w:rPr>
          <w:tab/>
        </w:r>
        <w:r>
          <w:rPr>
            <w:noProof/>
            <w:webHidden/>
          </w:rPr>
          <w:fldChar w:fldCharType="begin"/>
        </w:r>
        <w:r>
          <w:rPr>
            <w:noProof/>
            <w:webHidden/>
          </w:rPr>
          <w:instrText xml:space="preserve"> PAGEREF _Toc69879476 \h </w:instrText>
        </w:r>
        <w:r>
          <w:rPr>
            <w:noProof/>
            <w:webHidden/>
          </w:rPr>
        </w:r>
        <w:r>
          <w:rPr>
            <w:noProof/>
            <w:webHidden/>
          </w:rPr>
          <w:fldChar w:fldCharType="separate"/>
        </w:r>
        <w:r>
          <w:rPr>
            <w:noProof/>
            <w:webHidden/>
          </w:rPr>
          <w:t>605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77" w:history="1">
        <w:r w:rsidRPr="00CC53E5">
          <w:rPr>
            <w:rStyle w:val="Hyperlink"/>
            <w:noProof/>
          </w:rPr>
          <w:t>2.1.1694</w:t>
        </w:r>
        <w:r>
          <w:rPr>
            <w:rFonts w:asciiTheme="minorHAnsi" w:eastAsiaTheme="minorEastAsia" w:hAnsiTheme="minorHAnsi" w:cstheme="minorBidi"/>
            <w:noProof/>
            <w:sz w:val="22"/>
            <w:szCs w:val="22"/>
          </w:rPr>
          <w:tab/>
        </w:r>
        <w:r w:rsidRPr="00CC53E5">
          <w:rPr>
            <w:rStyle w:val="Hyperlink"/>
            <w:noProof/>
          </w:rPr>
          <w:t>Part 1 Section 22.1.2.97, shp (Shape (Delimiters))</w:t>
        </w:r>
        <w:r>
          <w:rPr>
            <w:noProof/>
            <w:webHidden/>
          </w:rPr>
          <w:tab/>
        </w:r>
        <w:r>
          <w:rPr>
            <w:noProof/>
            <w:webHidden/>
          </w:rPr>
          <w:fldChar w:fldCharType="begin"/>
        </w:r>
        <w:r>
          <w:rPr>
            <w:noProof/>
            <w:webHidden/>
          </w:rPr>
          <w:instrText xml:space="preserve"> PAGEREF _Toc69879477 \h </w:instrText>
        </w:r>
        <w:r>
          <w:rPr>
            <w:noProof/>
            <w:webHidden/>
          </w:rPr>
        </w:r>
        <w:r>
          <w:rPr>
            <w:noProof/>
            <w:webHidden/>
          </w:rPr>
          <w:fldChar w:fldCharType="separate"/>
        </w:r>
        <w:r>
          <w:rPr>
            <w:noProof/>
            <w:webHidden/>
          </w:rPr>
          <w:t>605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78" w:history="1">
        <w:r w:rsidRPr="00CC53E5">
          <w:rPr>
            <w:rStyle w:val="Hyperlink"/>
            <w:noProof/>
          </w:rPr>
          <w:t>2.1.1695</w:t>
        </w:r>
        <w:r>
          <w:rPr>
            <w:rFonts w:asciiTheme="minorHAnsi" w:eastAsiaTheme="minorEastAsia" w:hAnsiTheme="minorHAnsi" w:cstheme="minorBidi"/>
            <w:noProof/>
            <w:sz w:val="22"/>
            <w:szCs w:val="22"/>
          </w:rPr>
          <w:tab/>
        </w:r>
        <w:r w:rsidRPr="00CC53E5">
          <w:rPr>
            <w:rStyle w:val="Hyperlink"/>
            <w:noProof/>
          </w:rPr>
          <w:t>Part 1 Section 22.1.2.98, smallFrac (Small Fraction)</w:t>
        </w:r>
        <w:r>
          <w:rPr>
            <w:noProof/>
            <w:webHidden/>
          </w:rPr>
          <w:tab/>
        </w:r>
        <w:r>
          <w:rPr>
            <w:noProof/>
            <w:webHidden/>
          </w:rPr>
          <w:fldChar w:fldCharType="begin"/>
        </w:r>
        <w:r>
          <w:rPr>
            <w:noProof/>
            <w:webHidden/>
          </w:rPr>
          <w:instrText xml:space="preserve"> PAGEREF _Toc69879478 \h </w:instrText>
        </w:r>
        <w:r>
          <w:rPr>
            <w:noProof/>
            <w:webHidden/>
          </w:rPr>
        </w:r>
        <w:r>
          <w:rPr>
            <w:noProof/>
            <w:webHidden/>
          </w:rPr>
          <w:fldChar w:fldCharType="separate"/>
        </w:r>
        <w:r>
          <w:rPr>
            <w:noProof/>
            <w:webHidden/>
          </w:rPr>
          <w:t>605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79" w:history="1">
        <w:r w:rsidRPr="00CC53E5">
          <w:rPr>
            <w:rStyle w:val="Hyperlink"/>
            <w:noProof/>
          </w:rPr>
          <w:t>2.1.1696</w:t>
        </w:r>
        <w:r>
          <w:rPr>
            <w:rFonts w:asciiTheme="minorHAnsi" w:eastAsiaTheme="minorEastAsia" w:hAnsiTheme="minorHAnsi" w:cstheme="minorBidi"/>
            <w:noProof/>
            <w:sz w:val="22"/>
            <w:szCs w:val="22"/>
          </w:rPr>
          <w:tab/>
        </w:r>
        <w:r w:rsidRPr="00CC53E5">
          <w:rPr>
            <w:rStyle w:val="Hyperlink"/>
            <w:noProof/>
          </w:rPr>
          <w:t>Part 1 Section 22.1.2.99, sPre (Pre-Sub-Superscript Object)</w:t>
        </w:r>
        <w:r>
          <w:rPr>
            <w:noProof/>
            <w:webHidden/>
          </w:rPr>
          <w:tab/>
        </w:r>
        <w:r>
          <w:rPr>
            <w:noProof/>
            <w:webHidden/>
          </w:rPr>
          <w:fldChar w:fldCharType="begin"/>
        </w:r>
        <w:r>
          <w:rPr>
            <w:noProof/>
            <w:webHidden/>
          </w:rPr>
          <w:instrText xml:space="preserve"> PAGEREF _Toc69879479 \h </w:instrText>
        </w:r>
        <w:r>
          <w:rPr>
            <w:noProof/>
            <w:webHidden/>
          </w:rPr>
        </w:r>
        <w:r>
          <w:rPr>
            <w:noProof/>
            <w:webHidden/>
          </w:rPr>
          <w:fldChar w:fldCharType="separate"/>
        </w:r>
        <w:r>
          <w:rPr>
            <w:noProof/>
            <w:webHidden/>
          </w:rPr>
          <w:t>606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80" w:history="1">
        <w:r w:rsidRPr="00CC53E5">
          <w:rPr>
            <w:rStyle w:val="Hyperlink"/>
            <w:noProof/>
          </w:rPr>
          <w:t>2.1.1697</w:t>
        </w:r>
        <w:r>
          <w:rPr>
            <w:rFonts w:asciiTheme="minorHAnsi" w:eastAsiaTheme="minorEastAsia" w:hAnsiTheme="minorHAnsi" w:cstheme="minorBidi"/>
            <w:noProof/>
            <w:sz w:val="22"/>
            <w:szCs w:val="22"/>
          </w:rPr>
          <w:tab/>
        </w:r>
        <w:r w:rsidRPr="00CC53E5">
          <w:rPr>
            <w:rStyle w:val="Hyperlink"/>
            <w:noProof/>
          </w:rPr>
          <w:t>Part 1 Section 22.1.2.101, sSub (Subscript Object)</w:t>
        </w:r>
        <w:r>
          <w:rPr>
            <w:noProof/>
            <w:webHidden/>
          </w:rPr>
          <w:tab/>
        </w:r>
        <w:r>
          <w:rPr>
            <w:noProof/>
            <w:webHidden/>
          </w:rPr>
          <w:fldChar w:fldCharType="begin"/>
        </w:r>
        <w:r>
          <w:rPr>
            <w:noProof/>
            <w:webHidden/>
          </w:rPr>
          <w:instrText xml:space="preserve"> PAGEREF _Toc69879480 \h </w:instrText>
        </w:r>
        <w:r>
          <w:rPr>
            <w:noProof/>
            <w:webHidden/>
          </w:rPr>
        </w:r>
        <w:r>
          <w:rPr>
            <w:noProof/>
            <w:webHidden/>
          </w:rPr>
          <w:fldChar w:fldCharType="separate"/>
        </w:r>
        <w:r>
          <w:rPr>
            <w:noProof/>
            <w:webHidden/>
          </w:rPr>
          <w:t>606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81" w:history="1">
        <w:r w:rsidRPr="00CC53E5">
          <w:rPr>
            <w:rStyle w:val="Hyperlink"/>
            <w:noProof/>
          </w:rPr>
          <w:t>2.1.1698</w:t>
        </w:r>
        <w:r>
          <w:rPr>
            <w:rFonts w:asciiTheme="minorHAnsi" w:eastAsiaTheme="minorEastAsia" w:hAnsiTheme="minorHAnsi" w:cstheme="minorBidi"/>
            <w:noProof/>
            <w:sz w:val="22"/>
            <w:szCs w:val="22"/>
          </w:rPr>
          <w:tab/>
        </w:r>
        <w:r w:rsidRPr="00CC53E5">
          <w:rPr>
            <w:rStyle w:val="Hyperlink"/>
            <w:noProof/>
          </w:rPr>
          <w:t>Part 1 Section 22.1.2.103, sSubSup (Sub-Superscript Object)</w:t>
        </w:r>
        <w:r>
          <w:rPr>
            <w:noProof/>
            <w:webHidden/>
          </w:rPr>
          <w:tab/>
        </w:r>
        <w:r>
          <w:rPr>
            <w:noProof/>
            <w:webHidden/>
          </w:rPr>
          <w:fldChar w:fldCharType="begin"/>
        </w:r>
        <w:r>
          <w:rPr>
            <w:noProof/>
            <w:webHidden/>
          </w:rPr>
          <w:instrText xml:space="preserve"> PAGEREF _Toc69879481 \h </w:instrText>
        </w:r>
        <w:r>
          <w:rPr>
            <w:noProof/>
            <w:webHidden/>
          </w:rPr>
        </w:r>
        <w:r>
          <w:rPr>
            <w:noProof/>
            <w:webHidden/>
          </w:rPr>
          <w:fldChar w:fldCharType="separate"/>
        </w:r>
        <w:r>
          <w:rPr>
            <w:noProof/>
            <w:webHidden/>
          </w:rPr>
          <w:t>606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82" w:history="1">
        <w:r w:rsidRPr="00CC53E5">
          <w:rPr>
            <w:rStyle w:val="Hyperlink"/>
            <w:noProof/>
          </w:rPr>
          <w:t>2.1.1699</w:t>
        </w:r>
        <w:r>
          <w:rPr>
            <w:rFonts w:asciiTheme="minorHAnsi" w:eastAsiaTheme="minorEastAsia" w:hAnsiTheme="minorHAnsi" w:cstheme="minorBidi"/>
            <w:noProof/>
            <w:sz w:val="22"/>
            <w:szCs w:val="22"/>
          </w:rPr>
          <w:tab/>
        </w:r>
        <w:r w:rsidRPr="00CC53E5">
          <w:rPr>
            <w:rStyle w:val="Hyperlink"/>
            <w:noProof/>
          </w:rPr>
          <w:t>Part 1 Section 22.1.2.105, sSup (Superscript Object)</w:t>
        </w:r>
        <w:r>
          <w:rPr>
            <w:noProof/>
            <w:webHidden/>
          </w:rPr>
          <w:tab/>
        </w:r>
        <w:r>
          <w:rPr>
            <w:noProof/>
            <w:webHidden/>
          </w:rPr>
          <w:fldChar w:fldCharType="begin"/>
        </w:r>
        <w:r>
          <w:rPr>
            <w:noProof/>
            <w:webHidden/>
          </w:rPr>
          <w:instrText xml:space="preserve"> PAGEREF _Toc69879482 \h </w:instrText>
        </w:r>
        <w:r>
          <w:rPr>
            <w:noProof/>
            <w:webHidden/>
          </w:rPr>
        </w:r>
        <w:r>
          <w:rPr>
            <w:noProof/>
            <w:webHidden/>
          </w:rPr>
          <w:fldChar w:fldCharType="separate"/>
        </w:r>
        <w:r>
          <w:rPr>
            <w:noProof/>
            <w:webHidden/>
          </w:rPr>
          <w:t>606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83" w:history="1">
        <w:r w:rsidRPr="00CC53E5">
          <w:rPr>
            <w:rStyle w:val="Hyperlink"/>
            <w:noProof/>
          </w:rPr>
          <w:t>2.1.1700</w:t>
        </w:r>
        <w:r>
          <w:rPr>
            <w:rFonts w:asciiTheme="minorHAnsi" w:eastAsiaTheme="minorEastAsia" w:hAnsiTheme="minorHAnsi" w:cstheme="minorBidi"/>
            <w:noProof/>
            <w:sz w:val="22"/>
            <w:szCs w:val="22"/>
          </w:rPr>
          <w:tab/>
        </w:r>
        <w:r w:rsidRPr="00CC53E5">
          <w:rPr>
            <w:rStyle w:val="Hyperlink"/>
            <w:noProof/>
          </w:rPr>
          <w:t>Part 1 Section 22.1.2.111, sty (style)</w:t>
        </w:r>
        <w:r>
          <w:rPr>
            <w:noProof/>
            <w:webHidden/>
          </w:rPr>
          <w:tab/>
        </w:r>
        <w:r>
          <w:rPr>
            <w:noProof/>
            <w:webHidden/>
          </w:rPr>
          <w:fldChar w:fldCharType="begin"/>
        </w:r>
        <w:r>
          <w:rPr>
            <w:noProof/>
            <w:webHidden/>
          </w:rPr>
          <w:instrText xml:space="preserve"> PAGEREF _Toc69879483 \h </w:instrText>
        </w:r>
        <w:r>
          <w:rPr>
            <w:noProof/>
            <w:webHidden/>
          </w:rPr>
        </w:r>
        <w:r>
          <w:rPr>
            <w:noProof/>
            <w:webHidden/>
          </w:rPr>
          <w:fldChar w:fldCharType="separate"/>
        </w:r>
        <w:r>
          <w:rPr>
            <w:noProof/>
            <w:webHidden/>
          </w:rPr>
          <w:t>606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84" w:history="1">
        <w:r w:rsidRPr="00CC53E5">
          <w:rPr>
            <w:rStyle w:val="Hyperlink"/>
            <w:noProof/>
          </w:rPr>
          <w:t>2.1.1701</w:t>
        </w:r>
        <w:r>
          <w:rPr>
            <w:rFonts w:asciiTheme="minorHAnsi" w:eastAsiaTheme="minorEastAsia" w:hAnsiTheme="minorHAnsi" w:cstheme="minorBidi"/>
            <w:noProof/>
            <w:sz w:val="22"/>
            <w:szCs w:val="22"/>
          </w:rPr>
          <w:tab/>
        </w:r>
        <w:r w:rsidRPr="00CC53E5">
          <w:rPr>
            <w:rStyle w:val="Hyperlink"/>
            <w:noProof/>
          </w:rPr>
          <w:t>Part 1 Section 22.1.2.112, sub (Subscript (Pre-Sub-Superscript))</w:t>
        </w:r>
        <w:r>
          <w:rPr>
            <w:noProof/>
            <w:webHidden/>
          </w:rPr>
          <w:tab/>
        </w:r>
        <w:r>
          <w:rPr>
            <w:noProof/>
            <w:webHidden/>
          </w:rPr>
          <w:fldChar w:fldCharType="begin"/>
        </w:r>
        <w:r>
          <w:rPr>
            <w:noProof/>
            <w:webHidden/>
          </w:rPr>
          <w:instrText xml:space="preserve"> PAGEREF _Toc69879484 \h </w:instrText>
        </w:r>
        <w:r>
          <w:rPr>
            <w:noProof/>
            <w:webHidden/>
          </w:rPr>
        </w:r>
        <w:r>
          <w:rPr>
            <w:noProof/>
            <w:webHidden/>
          </w:rPr>
          <w:fldChar w:fldCharType="separate"/>
        </w:r>
        <w:r>
          <w:rPr>
            <w:noProof/>
            <w:webHidden/>
          </w:rPr>
          <w:t>606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85" w:history="1">
        <w:r w:rsidRPr="00CC53E5">
          <w:rPr>
            <w:rStyle w:val="Hyperlink"/>
            <w:noProof/>
          </w:rPr>
          <w:t>2.1.1702</w:t>
        </w:r>
        <w:r>
          <w:rPr>
            <w:rFonts w:asciiTheme="minorHAnsi" w:eastAsiaTheme="minorEastAsia" w:hAnsiTheme="minorHAnsi" w:cstheme="minorBidi"/>
            <w:noProof/>
            <w:sz w:val="22"/>
            <w:szCs w:val="22"/>
          </w:rPr>
          <w:tab/>
        </w:r>
        <w:r w:rsidRPr="00CC53E5">
          <w:rPr>
            <w:rStyle w:val="Hyperlink"/>
            <w:noProof/>
          </w:rPr>
          <w:t>Part 1 Section 22.1.2.113, subHide (Hide Subscript (n-ary))</w:t>
        </w:r>
        <w:r>
          <w:rPr>
            <w:noProof/>
            <w:webHidden/>
          </w:rPr>
          <w:tab/>
        </w:r>
        <w:r>
          <w:rPr>
            <w:noProof/>
            <w:webHidden/>
          </w:rPr>
          <w:fldChar w:fldCharType="begin"/>
        </w:r>
        <w:r>
          <w:rPr>
            <w:noProof/>
            <w:webHidden/>
          </w:rPr>
          <w:instrText xml:space="preserve"> PAGEREF _Toc69879485 \h </w:instrText>
        </w:r>
        <w:r>
          <w:rPr>
            <w:noProof/>
            <w:webHidden/>
          </w:rPr>
        </w:r>
        <w:r>
          <w:rPr>
            <w:noProof/>
            <w:webHidden/>
          </w:rPr>
          <w:fldChar w:fldCharType="separate"/>
        </w:r>
        <w:r>
          <w:rPr>
            <w:noProof/>
            <w:webHidden/>
          </w:rPr>
          <w:t>606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86" w:history="1">
        <w:r w:rsidRPr="00CC53E5">
          <w:rPr>
            <w:rStyle w:val="Hyperlink"/>
            <w:noProof/>
          </w:rPr>
          <w:t>2.1.1703</w:t>
        </w:r>
        <w:r>
          <w:rPr>
            <w:rFonts w:asciiTheme="minorHAnsi" w:eastAsiaTheme="minorEastAsia" w:hAnsiTheme="minorHAnsi" w:cstheme="minorBidi"/>
            <w:noProof/>
            <w:sz w:val="22"/>
            <w:szCs w:val="22"/>
          </w:rPr>
          <w:tab/>
        </w:r>
        <w:r w:rsidRPr="00CC53E5">
          <w:rPr>
            <w:rStyle w:val="Hyperlink"/>
            <w:noProof/>
          </w:rPr>
          <w:t>Part 1 Section 22.1.2.114, sup (Superscript (Superscript object))</w:t>
        </w:r>
        <w:r>
          <w:rPr>
            <w:noProof/>
            <w:webHidden/>
          </w:rPr>
          <w:tab/>
        </w:r>
        <w:r>
          <w:rPr>
            <w:noProof/>
            <w:webHidden/>
          </w:rPr>
          <w:fldChar w:fldCharType="begin"/>
        </w:r>
        <w:r>
          <w:rPr>
            <w:noProof/>
            <w:webHidden/>
          </w:rPr>
          <w:instrText xml:space="preserve"> PAGEREF _Toc69879486 \h </w:instrText>
        </w:r>
        <w:r>
          <w:rPr>
            <w:noProof/>
            <w:webHidden/>
          </w:rPr>
        </w:r>
        <w:r>
          <w:rPr>
            <w:noProof/>
            <w:webHidden/>
          </w:rPr>
          <w:fldChar w:fldCharType="separate"/>
        </w:r>
        <w:r>
          <w:rPr>
            <w:noProof/>
            <w:webHidden/>
          </w:rPr>
          <w:t>607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87" w:history="1">
        <w:r w:rsidRPr="00CC53E5">
          <w:rPr>
            <w:rStyle w:val="Hyperlink"/>
            <w:noProof/>
          </w:rPr>
          <w:t>2.1.1704</w:t>
        </w:r>
        <w:r>
          <w:rPr>
            <w:rFonts w:asciiTheme="minorHAnsi" w:eastAsiaTheme="minorEastAsia" w:hAnsiTheme="minorHAnsi" w:cstheme="minorBidi"/>
            <w:noProof/>
            <w:sz w:val="22"/>
            <w:szCs w:val="22"/>
          </w:rPr>
          <w:tab/>
        </w:r>
        <w:r w:rsidRPr="00CC53E5">
          <w:rPr>
            <w:rStyle w:val="Hyperlink"/>
            <w:noProof/>
          </w:rPr>
          <w:t>Part 1 Section 22.1.2.115, supHide (Hide Superscript (n-ary))</w:t>
        </w:r>
        <w:r>
          <w:rPr>
            <w:noProof/>
            <w:webHidden/>
          </w:rPr>
          <w:tab/>
        </w:r>
        <w:r>
          <w:rPr>
            <w:noProof/>
            <w:webHidden/>
          </w:rPr>
          <w:fldChar w:fldCharType="begin"/>
        </w:r>
        <w:r>
          <w:rPr>
            <w:noProof/>
            <w:webHidden/>
          </w:rPr>
          <w:instrText xml:space="preserve"> PAGEREF _Toc69879487 \h </w:instrText>
        </w:r>
        <w:r>
          <w:rPr>
            <w:noProof/>
            <w:webHidden/>
          </w:rPr>
        </w:r>
        <w:r>
          <w:rPr>
            <w:noProof/>
            <w:webHidden/>
          </w:rPr>
          <w:fldChar w:fldCharType="separate"/>
        </w:r>
        <w:r>
          <w:rPr>
            <w:noProof/>
            <w:webHidden/>
          </w:rPr>
          <w:t>607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88" w:history="1">
        <w:r w:rsidRPr="00CC53E5">
          <w:rPr>
            <w:rStyle w:val="Hyperlink"/>
            <w:noProof/>
          </w:rPr>
          <w:t>2.1.1705</w:t>
        </w:r>
        <w:r>
          <w:rPr>
            <w:rFonts w:asciiTheme="minorHAnsi" w:eastAsiaTheme="minorEastAsia" w:hAnsiTheme="minorHAnsi" w:cstheme="minorBidi"/>
            <w:noProof/>
            <w:sz w:val="22"/>
            <w:szCs w:val="22"/>
          </w:rPr>
          <w:tab/>
        </w:r>
        <w:r w:rsidRPr="00CC53E5">
          <w:rPr>
            <w:rStyle w:val="Hyperlink"/>
            <w:noProof/>
          </w:rPr>
          <w:t>Part 1 Section 22.1.2.116, t (Text)</w:t>
        </w:r>
        <w:r>
          <w:rPr>
            <w:noProof/>
            <w:webHidden/>
          </w:rPr>
          <w:tab/>
        </w:r>
        <w:r>
          <w:rPr>
            <w:noProof/>
            <w:webHidden/>
          </w:rPr>
          <w:fldChar w:fldCharType="begin"/>
        </w:r>
        <w:r>
          <w:rPr>
            <w:noProof/>
            <w:webHidden/>
          </w:rPr>
          <w:instrText xml:space="preserve"> PAGEREF _Toc69879488 \h </w:instrText>
        </w:r>
        <w:r>
          <w:rPr>
            <w:noProof/>
            <w:webHidden/>
          </w:rPr>
        </w:r>
        <w:r>
          <w:rPr>
            <w:noProof/>
            <w:webHidden/>
          </w:rPr>
          <w:fldChar w:fldCharType="separate"/>
        </w:r>
        <w:r>
          <w:rPr>
            <w:noProof/>
            <w:webHidden/>
          </w:rPr>
          <w:t>607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89" w:history="1">
        <w:r w:rsidRPr="00CC53E5">
          <w:rPr>
            <w:rStyle w:val="Hyperlink"/>
            <w:noProof/>
          </w:rPr>
          <w:t>2.1.1706</w:t>
        </w:r>
        <w:r>
          <w:rPr>
            <w:rFonts w:asciiTheme="minorHAnsi" w:eastAsiaTheme="minorEastAsia" w:hAnsiTheme="minorHAnsi" w:cstheme="minorBidi"/>
            <w:noProof/>
            <w:sz w:val="22"/>
            <w:szCs w:val="22"/>
          </w:rPr>
          <w:tab/>
        </w:r>
        <w:r w:rsidRPr="00CC53E5">
          <w:rPr>
            <w:rStyle w:val="Hyperlink"/>
            <w:noProof/>
          </w:rPr>
          <w:t>Part 1 Section 22.1.2.117, transp (Transparent (Phantom))</w:t>
        </w:r>
        <w:r>
          <w:rPr>
            <w:noProof/>
            <w:webHidden/>
          </w:rPr>
          <w:tab/>
        </w:r>
        <w:r>
          <w:rPr>
            <w:noProof/>
            <w:webHidden/>
          </w:rPr>
          <w:fldChar w:fldCharType="begin"/>
        </w:r>
        <w:r>
          <w:rPr>
            <w:noProof/>
            <w:webHidden/>
          </w:rPr>
          <w:instrText xml:space="preserve"> PAGEREF _Toc69879489 \h </w:instrText>
        </w:r>
        <w:r>
          <w:rPr>
            <w:noProof/>
            <w:webHidden/>
          </w:rPr>
        </w:r>
        <w:r>
          <w:rPr>
            <w:noProof/>
            <w:webHidden/>
          </w:rPr>
          <w:fldChar w:fldCharType="separate"/>
        </w:r>
        <w:r>
          <w:rPr>
            <w:noProof/>
            <w:webHidden/>
          </w:rPr>
          <w:t>607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90" w:history="1">
        <w:r w:rsidRPr="00CC53E5">
          <w:rPr>
            <w:rStyle w:val="Hyperlink"/>
            <w:noProof/>
          </w:rPr>
          <w:t>2.1.1707</w:t>
        </w:r>
        <w:r>
          <w:rPr>
            <w:rFonts w:asciiTheme="minorHAnsi" w:eastAsiaTheme="minorEastAsia" w:hAnsiTheme="minorHAnsi" w:cstheme="minorBidi"/>
            <w:noProof/>
            <w:sz w:val="22"/>
            <w:szCs w:val="22"/>
          </w:rPr>
          <w:tab/>
        </w:r>
        <w:r w:rsidRPr="00CC53E5">
          <w:rPr>
            <w:rStyle w:val="Hyperlink"/>
            <w:noProof/>
          </w:rPr>
          <w:t>Part 1 Section 22.1.3.1, ST_BreakBin (Break Binary Operators)</w:t>
        </w:r>
        <w:r>
          <w:rPr>
            <w:noProof/>
            <w:webHidden/>
          </w:rPr>
          <w:tab/>
        </w:r>
        <w:r>
          <w:rPr>
            <w:noProof/>
            <w:webHidden/>
          </w:rPr>
          <w:fldChar w:fldCharType="begin"/>
        </w:r>
        <w:r>
          <w:rPr>
            <w:noProof/>
            <w:webHidden/>
          </w:rPr>
          <w:instrText xml:space="preserve"> PAGEREF _Toc69879490 \h </w:instrText>
        </w:r>
        <w:r>
          <w:rPr>
            <w:noProof/>
            <w:webHidden/>
          </w:rPr>
        </w:r>
        <w:r>
          <w:rPr>
            <w:noProof/>
            <w:webHidden/>
          </w:rPr>
          <w:fldChar w:fldCharType="separate"/>
        </w:r>
        <w:r>
          <w:rPr>
            <w:noProof/>
            <w:webHidden/>
          </w:rPr>
          <w:t>607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91" w:history="1">
        <w:r w:rsidRPr="00CC53E5">
          <w:rPr>
            <w:rStyle w:val="Hyperlink"/>
            <w:noProof/>
          </w:rPr>
          <w:t>2.1.1708</w:t>
        </w:r>
        <w:r>
          <w:rPr>
            <w:rFonts w:asciiTheme="minorHAnsi" w:eastAsiaTheme="minorEastAsia" w:hAnsiTheme="minorHAnsi" w:cstheme="minorBidi"/>
            <w:noProof/>
            <w:sz w:val="22"/>
            <w:szCs w:val="22"/>
          </w:rPr>
          <w:tab/>
        </w:r>
        <w:r w:rsidRPr="00CC53E5">
          <w:rPr>
            <w:rStyle w:val="Hyperlink"/>
            <w:noProof/>
          </w:rPr>
          <w:t>Part 1 Section 22.1.3.7, ST_Jc (Justification)</w:t>
        </w:r>
        <w:r>
          <w:rPr>
            <w:noProof/>
            <w:webHidden/>
          </w:rPr>
          <w:tab/>
        </w:r>
        <w:r>
          <w:rPr>
            <w:noProof/>
            <w:webHidden/>
          </w:rPr>
          <w:fldChar w:fldCharType="begin"/>
        </w:r>
        <w:r>
          <w:rPr>
            <w:noProof/>
            <w:webHidden/>
          </w:rPr>
          <w:instrText xml:space="preserve"> PAGEREF _Toc69879491 \h </w:instrText>
        </w:r>
        <w:r>
          <w:rPr>
            <w:noProof/>
            <w:webHidden/>
          </w:rPr>
        </w:r>
        <w:r>
          <w:rPr>
            <w:noProof/>
            <w:webHidden/>
          </w:rPr>
          <w:fldChar w:fldCharType="separate"/>
        </w:r>
        <w:r>
          <w:rPr>
            <w:noProof/>
            <w:webHidden/>
          </w:rPr>
          <w:t>608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92" w:history="1">
        <w:r w:rsidRPr="00CC53E5">
          <w:rPr>
            <w:rStyle w:val="Hyperlink"/>
            <w:noProof/>
          </w:rPr>
          <w:t>2.1.1709</w:t>
        </w:r>
        <w:r>
          <w:rPr>
            <w:rFonts w:asciiTheme="minorHAnsi" w:eastAsiaTheme="minorEastAsia" w:hAnsiTheme="minorHAnsi" w:cstheme="minorBidi"/>
            <w:noProof/>
            <w:sz w:val="22"/>
            <w:szCs w:val="22"/>
          </w:rPr>
          <w:tab/>
        </w:r>
        <w:r w:rsidRPr="00CC53E5">
          <w:rPr>
            <w:rStyle w:val="Hyperlink"/>
            <w:noProof/>
          </w:rPr>
          <w:t>Part 1 Section 22.1.3.10, ST_Shp (Shape (Delimiters))</w:t>
        </w:r>
        <w:r>
          <w:rPr>
            <w:noProof/>
            <w:webHidden/>
          </w:rPr>
          <w:tab/>
        </w:r>
        <w:r>
          <w:rPr>
            <w:noProof/>
            <w:webHidden/>
          </w:rPr>
          <w:fldChar w:fldCharType="begin"/>
        </w:r>
        <w:r>
          <w:rPr>
            <w:noProof/>
            <w:webHidden/>
          </w:rPr>
          <w:instrText xml:space="preserve"> PAGEREF _Toc69879492 \h </w:instrText>
        </w:r>
        <w:r>
          <w:rPr>
            <w:noProof/>
            <w:webHidden/>
          </w:rPr>
        </w:r>
        <w:r>
          <w:rPr>
            <w:noProof/>
            <w:webHidden/>
          </w:rPr>
          <w:fldChar w:fldCharType="separate"/>
        </w:r>
        <w:r>
          <w:rPr>
            <w:noProof/>
            <w:webHidden/>
          </w:rPr>
          <w:t>608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93" w:history="1">
        <w:r w:rsidRPr="00CC53E5">
          <w:rPr>
            <w:rStyle w:val="Hyperlink"/>
            <w:noProof/>
          </w:rPr>
          <w:t>2.1.1710</w:t>
        </w:r>
        <w:r>
          <w:rPr>
            <w:rFonts w:asciiTheme="minorHAnsi" w:eastAsiaTheme="minorEastAsia" w:hAnsiTheme="minorHAnsi" w:cstheme="minorBidi"/>
            <w:noProof/>
            <w:sz w:val="22"/>
            <w:szCs w:val="22"/>
          </w:rPr>
          <w:tab/>
        </w:r>
        <w:r w:rsidRPr="00CC53E5">
          <w:rPr>
            <w:rStyle w:val="Hyperlink"/>
            <w:noProof/>
          </w:rPr>
          <w:t>Part 1 Section 22.1.3.13, ST_TopBot (Top-Bottom)</w:t>
        </w:r>
        <w:r>
          <w:rPr>
            <w:noProof/>
            <w:webHidden/>
          </w:rPr>
          <w:tab/>
        </w:r>
        <w:r>
          <w:rPr>
            <w:noProof/>
            <w:webHidden/>
          </w:rPr>
          <w:fldChar w:fldCharType="begin"/>
        </w:r>
        <w:r>
          <w:rPr>
            <w:noProof/>
            <w:webHidden/>
          </w:rPr>
          <w:instrText xml:space="preserve"> PAGEREF _Toc69879493 \h </w:instrText>
        </w:r>
        <w:r>
          <w:rPr>
            <w:noProof/>
            <w:webHidden/>
          </w:rPr>
        </w:r>
        <w:r>
          <w:rPr>
            <w:noProof/>
            <w:webHidden/>
          </w:rPr>
          <w:fldChar w:fldCharType="separate"/>
        </w:r>
        <w:r>
          <w:rPr>
            <w:noProof/>
            <w:webHidden/>
          </w:rPr>
          <w:t>608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94" w:history="1">
        <w:r w:rsidRPr="00CC53E5">
          <w:rPr>
            <w:rStyle w:val="Hyperlink"/>
            <w:noProof/>
          </w:rPr>
          <w:t>2.1.1711</w:t>
        </w:r>
        <w:r>
          <w:rPr>
            <w:rFonts w:asciiTheme="minorHAnsi" w:eastAsiaTheme="minorEastAsia" w:hAnsiTheme="minorHAnsi" w:cstheme="minorBidi"/>
            <w:noProof/>
            <w:sz w:val="22"/>
            <w:szCs w:val="22"/>
          </w:rPr>
          <w:tab/>
        </w:r>
        <w:r w:rsidRPr="00CC53E5">
          <w:rPr>
            <w:rStyle w:val="Hyperlink"/>
            <w:noProof/>
          </w:rPr>
          <w:t>Part 1 Section 22.1.3.14, ST_UnSignedInteger (Unsigned integer.)</w:t>
        </w:r>
        <w:r>
          <w:rPr>
            <w:noProof/>
            <w:webHidden/>
          </w:rPr>
          <w:tab/>
        </w:r>
        <w:r>
          <w:rPr>
            <w:noProof/>
            <w:webHidden/>
          </w:rPr>
          <w:fldChar w:fldCharType="begin"/>
        </w:r>
        <w:r>
          <w:rPr>
            <w:noProof/>
            <w:webHidden/>
          </w:rPr>
          <w:instrText xml:space="preserve"> PAGEREF _Toc69879494 \h </w:instrText>
        </w:r>
        <w:r>
          <w:rPr>
            <w:noProof/>
            <w:webHidden/>
          </w:rPr>
        </w:r>
        <w:r>
          <w:rPr>
            <w:noProof/>
            <w:webHidden/>
          </w:rPr>
          <w:fldChar w:fldCharType="separate"/>
        </w:r>
        <w:r>
          <w:rPr>
            <w:noProof/>
            <w:webHidden/>
          </w:rPr>
          <w:t>608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95" w:history="1">
        <w:r w:rsidRPr="00CC53E5">
          <w:rPr>
            <w:rStyle w:val="Hyperlink"/>
            <w:noProof/>
          </w:rPr>
          <w:t>2.1.1712</w:t>
        </w:r>
        <w:r>
          <w:rPr>
            <w:rFonts w:asciiTheme="minorHAnsi" w:eastAsiaTheme="minorEastAsia" w:hAnsiTheme="minorHAnsi" w:cstheme="minorBidi"/>
            <w:noProof/>
            <w:sz w:val="22"/>
            <w:szCs w:val="22"/>
          </w:rPr>
          <w:tab/>
        </w:r>
        <w:r w:rsidRPr="00CC53E5">
          <w:rPr>
            <w:rStyle w:val="Hyperlink"/>
            <w:noProof/>
          </w:rPr>
          <w:t>Part 1 Section 22.2.2.2, AppVersion (Application Version)</w:t>
        </w:r>
        <w:r>
          <w:rPr>
            <w:noProof/>
            <w:webHidden/>
          </w:rPr>
          <w:tab/>
        </w:r>
        <w:r>
          <w:rPr>
            <w:noProof/>
            <w:webHidden/>
          </w:rPr>
          <w:fldChar w:fldCharType="begin"/>
        </w:r>
        <w:r>
          <w:rPr>
            <w:noProof/>
            <w:webHidden/>
          </w:rPr>
          <w:instrText xml:space="preserve"> PAGEREF _Toc69879495 \h </w:instrText>
        </w:r>
        <w:r>
          <w:rPr>
            <w:noProof/>
            <w:webHidden/>
          </w:rPr>
        </w:r>
        <w:r>
          <w:rPr>
            <w:noProof/>
            <w:webHidden/>
          </w:rPr>
          <w:fldChar w:fldCharType="separate"/>
        </w:r>
        <w:r>
          <w:rPr>
            <w:noProof/>
            <w:webHidden/>
          </w:rPr>
          <w:t>608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96" w:history="1">
        <w:r w:rsidRPr="00CC53E5">
          <w:rPr>
            <w:rStyle w:val="Hyperlink"/>
            <w:noProof/>
          </w:rPr>
          <w:t>2.1.1713</w:t>
        </w:r>
        <w:r>
          <w:rPr>
            <w:rFonts w:asciiTheme="minorHAnsi" w:eastAsiaTheme="minorEastAsia" w:hAnsiTheme="minorHAnsi" w:cstheme="minorBidi"/>
            <w:noProof/>
            <w:sz w:val="22"/>
            <w:szCs w:val="22"/>
          </w:rPr>
          <w:tab/>
        </w:r>
        <w:r w:rsidRPr="00CC53E5">
          <w:rPr>
            <w:rStyle w:val="Hyperlink"/>
            <w:noProof/>
          </w:rPr>
          <w:t>Part 1 Section 22.2.2.6, DigSig (Digital Signature)</w:t>
        </w:r>
        <w:r>
          <w:rPr>
            <w:noProof/>
            <w:webHidden/>
          </w:rPr>
          <w:tab/>
        </w:r>
        <w:r>
          <w:rPr>
            <w:noProof/>
            <w:webHidden/>
          </w:rPr>
          <w:fldChar w:fldCharType="begin"/>
        </w:r>
        <w:r>
          <w:rPr>
            <w:noProof/>
            <w:webHidden/>
          </w:rPr>
          <w:instrText xml:space="preserve"> PAGEREF _Toc69879496 \h </w:instrText>
        </w:r>
        <w:r>
          <w:rPr>
            <w:noProof/>
            <w:webHidden/>
          </w:rPr>
        </w:r>
        <w:r>
          <w:rPr>
            <w:noProof/>
            <w:webHidden/>
          </w:rPr>
          <w:fldChar w:fldCharType="separate"/>
        </w:r>
        <w:r>
          <w:rPr>
            <w:noProof/>
            <w:webHidden/>
          </w:rPr>
          <w:t>608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97" w:history="1">
        <w:r w:rsidRPr="00CC53E5">
          <w:rPr>
            <w:rStyle w:val="Hyperlink"/>
            <w:noProof/>
          </w:rPr>
          <w:t>2.1.1714</w:t>
        </w:r>
        <w:r>
          <w:rPr>
            <w:rFonts w:asciiTheme="minorHAnsi" w:eastAsiaTheme="minorEastAsia" w:hAnsiTheme="minorHAnsi" w:cstheme="minorBidi"/>
            <w:noProof/>
            <w:sz w:val="22"/>
            <w:szCs w:val="22"/>
          </w:rPr>
          <w:tab/>
        </w:r>
        <w:r w:rsidRPr="00CC53E5">
          <w:rPr>
            <w:rStyle w:val="Hyperlink"/>
            <w:noProof/>
          </w:rPr>
          <w:t>Part 1 Section 22.2.2.7, DocSecurity (Document Security)</w:t>
        </w:r>
        <w:r>
          <w:rPr>
            <w:noProof/>
            <w:webHidden/>
          </w:rPr>
          <w:tab/>
        </w:r>
        <w:r>
          <w:rPr>
            <w:noProof/>
            <w:webHidden/>
          </w:rPr>
          <w:fldChar w:fldCharType="begin"/>
        </w:r>
        <w:r>
          <w:rPr>
            <w:noProof/>
            <w:webHidden/>
          </w:rPr>
          <w:instrText xml:space="preserve"> PAGEREF _Toc69879497 \h </w:instrText>
        </w:r>
        <w:r>
          <w:rPr>
            <w:noProof/>
            <w:webHidden/>
          </w:rPr>
        </w:r>
        <w:r>
          <w:rPr>
            <w:noProof/>
            <w:webHidden/>
          </w:rPr>
          <w:fldChar w:fldCharType="separate"/>
        </w:r>
        <w:r>
          <w:rPr>
            <w:noProof/>
            <w:webHidden/>
          </w:rPr>
          <w:t>609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98" w:history="1">
        <w:r w:rsidRPr="00CC53E5">
          <w:rPr>
            <w:rStyle w:val="Hyperlink"/>
            <w:noProof/>
          </w:rPr>
          <w:t>2.1.1715</w:t>
        </w:r>
        <w:r>
          <w:rPr>
            <w:rFonts w:asciiTheme="minorHAnsi" w:eastAsiaTheme="minorEastAsia" w:hAnsiTheme="minorHAnsi" w:cstheme="minorBidi"/>
            <w:noProof/>
            <w:sz w:val="22"/>
            <w:szCs w:val="22"/>
          </w:rPr>
          <w:tab/>
        </w:r>
        <w:r w:rsidRPr="00CC53E5">
          <w:rPr>
            <w:rStyle w:val="Hyperlink"/>
            <w:noProof/>
          </w:rPr>
          <w:t>Part 1 Section 22.2.2.8, HeadingPairs (Heading Pairs)</w:t>
        </w:r>
        <w:r>
          <w:rPr>
            <w:noProof/>
            <w:webHidden/>
          </w:rPr>
          <w:tab/>
        </w:r>
        <w:r>
          <w:rPr>
            <w:noProof/>
            <w:webHidden/>
          </w:rPr>
          <w:fldChar w:fldCharType="begin"/>
        </w:r>
        <w:r>
          <w:rPr>
            <w:noProof/>
            <w:webHidden/>
          </w:rPr>
          <w:instrText xml:space="preserve"> PAGEREF _Toc69879498 \h </w:instrText>
        </w:r>
        <w:r>
          <w:rPr>
            <w:noProof/>
            <w:webHidden/>
          </w:rPr>
        </w:r>
        <w:r>
          <w:rPr>
            <w:noProof/>
            <w:webHidden/>
          </w:rPr>
          <w:fldChar w:fldCharType="separate"/>
        </w:r>
        <w:r>
          <w:rPr>
            <w:noProof/>
            <w:webHidden/>
          </w:rPr>
          <w:t>609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499" w:history="1">
        <w:r w:rsidRPr="00CC53E5">
          <w:rPr>
            <w:rStyle w:val="Hyperlink"/>
            <w:noProof/>
          </w:rPr>
          <w:t>2.1.1716</w:t>
        </w:r>
        <w:r>
          <w:rPr>
            <w:rFonts w:asciiTheme="minorHAnsi" w:eastAsiaTheme="minorEastAsia" w:hAnsiTheme="minorHAnsi" w:cstheme="minorBidi"/>
            <w:noProof/>
            <w:sz w:val="22"/>
            <w:szCs w:val="22"/>
          </w:rPr>
          <w:tab/>
        </w:r>
        <w:r w:rsidRPr="00CC53E5">
          <w:rPr>
            <w:rStyle w:val="Hyperlink"/>
            <w:noProof/>
          </w:rPr>
          <w:t>Part 1 Section 22.2.2.10, HLinks (Hyperlink List)</w:t>
        </w:r>
        <w:r>
          <w:rPr>
            <w:noProof/>
            <w:webHidden/>
          </w:rPr>
          <w:tab/>
        </w:r>
        <w:r>
          <w:rPr>
            <w:noProof/>
            <w:webHidden/>
          </w:rPr>
          <w:fldChar w:fldCharType="begin"/>
        </w:r>
        <w:r>
          <w:rPr>
            <w:noProof/>
            <w:webHidden/>
          </w:rPr>
          <w:instrText xml:space="preserve"> PAGEREF _Toc69879499 \h </w:instrText>
        </w:r>
        <w:r>
          <w:rPr>
            <w:noProof/>
            <w:webHidden/>
          </w:rPr>
        </w:r>
        <w:r>
          <w:rPr>
            <w:noProof/>
            <w:webHidden/>
          </w:rPr>
          <w:fldChar w:fldCharType="separate"/>
        </w:r>
        <w:r>
          <w:rPr>
            <w:noProof/>
            <w:webHidden/>
          </w:rPr>
          <w:t>609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00" w:history="1">
        <w:r w:rsidRPr="00CC53E5">
          <w:rPr>
            <w:rStyle w:val="Hyperlink"/>
            <w:noProof/>
          </w:rPr>
          <w:t>2.1.1717</w:t>
        </w:r>
        <w:r>
          <w:rPr>
            <w:rFonts w:asciiTheme="minorHAnsi" w:eastAsiaTheme="minorEastAsia" w:hAnsiTheme="minorHAnsi" w:cstheme="minorBidi"/>
            <w:noProof/>
            <w:sz w:val="22"/>
            <w:szCs w:val="22"/>
          </w:rPr>
          <w:tab/>
        </w:r>
        <w:r w:rsidRPr="00CC53E5">
          <w:rPr>
            <w:rStyle w:val="Hyperlink"/>
            <w:noProof/>
          </w:rPr>
          <w:t>Part 1 Section 22.2.2.26, TitlesOfParts (Part Titles)</w:t>
        </w:r>
        <w:r>
          <w:rPr>
            <w:noProof/>
            <w:webHidden/>
          </w:rPr>
          <w:tab/>
        </w:r>
        <w:r>
          <w:rPr>
            <w:noProof/>
            <w:webHidden/>
          </w:rPr>
          <w:fldChar w:fldCharType="begin"/>
        </w:r>
        <w:r>
          <w:rPr>
            <w:noProof/>
            <w:webHidden/>
          </w:rPr>
          <w:instrText xml:space="preserve"> PAGEREF _Toc69879500 \h </w:instrText>
        </w:r>
        <w:r>
          <w:rPr>
            <w:noProof/>
            <w:webHidden/>
          </w:rPr>
        </w:r>
        <w:r>
          <w:rPr>
            <w:noProof/>
            <w:webHidden/>
          </w:rPr>
          <w:fldChar w:fldCharType="separate"/>
        </w:r>
        <w:r>
          <w:rPr>
            <w:noProof/>
            <w:webHidden/>
          </w:rPr>
          <w:t>610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01" w:history="1">
        <w:r w:rsidRPr="00CC53E5">
          <w:rPr>
            <w:rStyle w:val="Hyperlink"/>
            <w:noProof/>
          </w:rPr>
          <w:t>2.1.1718</w:t>
        </w:r>
        <w:r>
          <w:rPr>
            <w:rFonts w:asciiTheme="minorHAnsi" w:eastAsiaTheme="minorEastAsia" w:hAnsiTheme="minorHAnsi" w:cstheme="minorBidi"/>
            <w:noProof/>
            <w:sz w:val="22"/>
            <w:szCs w:val="22"/>
          </w:rPr>
          <w:tab/>
        </w:r>
        <w:r w:rsidRPr="00CC53E5">
          <w:rPr>
            <w:rStyle w:val="Hyperlink"/>
            <w:noProof/>
          </w:rPr>
          <w:t>Part 1 Section 22.2.2.27, TotalTime (Total Edit Time Metadata Element)</w:t>
        </w:r>
        <w:r>
          <w:rPr>
            <w:noProof/>
            <w:webHidden/>
          </w:rPr>
          <w:tab/>
        </w:r>
        <w:r>
          <w:rPr>
            <w:noProof/>
            <w:webHidden/>
          </w:rPr>
          <w:fldChar w:fldCharType="begin"/>
        </w:r>
        <w:r>
          <w:rPr>
            <w:noProof/>
            <w:webHidden/>
          </w:rPr>
          <w:instrText xml:space="preserve"> PAGEREF _Toc69879501 \h </w:instrText>
        </w:r>
        <w:r>
          <w:rPr>
            <w:noProof/>
            <w:webHidden/>
          </w:rPr>
        </w:r>
        <w:r>
          <w:rPr>
            <w:noProof/>
            <w:webHidden/>
          </w:rPr>
          <w:fldChar w:fldCharType="separate"/>
        </w:r>
        <w:r>
          <w:rPr>
            <w:noProof/>
            <w:webHidden/>
          </w:rPr>
          <w:t>611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02" w:history="1">
        <w:r w:rsidRPr="00CC53E5">
          <w:rPr>
            <w:rStyle w:val="Hyperlink"/>
            <w:noProof/>
          </w:rPr>
          <w:t>2.1.1719</w:t>
        </w:r>
        <w:r>
          <w:rPr>
            <w:rFonts w:asciiTheme="minorHAnsi" w:eastAsiaTheme="minorEastAsia" w:hAnsiTheme="minorHAnsi" w:cstheme="minorBidi"/>
            <w:noProof/>
            <w:sz w:val="22"/>
            <w:szCs w:val="22"/>
          </w:rPr>
          <w:tab/>
        </w:r>
        <w:r w:rsidRPr="00CC53E5">
          <w:rPr>
            <w:rStyle w:val="Hyperlink"/>
            <w:noProof/>
          </w:rPr>
          <w:t>Part 1 Section 22.3.2.2, property (Custom File Property)</w:t>
        </w:r>
        <w:r>
          <w:rPr>
            <w:noProof/>
            <w:webHidden/>
          </w:rPr>
          <w:tab/>
        </w:r>
        <w:r>
          <w:rPr>
            <w:noProof/>
            <w:webHidden/>
          </w:rPr>
          <w:fldChar w:fldCharType="begin"/>
        </w:r>
        <w:r>
          <w:rPr>
            <w:noProof/>
            <w:webHidden/>
          </w:rPr>
          <w:instrText xml:space="preserve"> PAGEREF _Toc69879502 \h </w:instrText>
        </w:r>
        <w:r>
          <w:rPr>
            <w:noProof/>
            <w:webHidden/>
          </w:rPr>
        </w:r>
        <w:r>
          <w:rPr>
            <w:noProof/>
            <w:webHidden/>
          </w:rPr>
          <w:fldChar w:fldCharType="separate"/>
        </w:r>
        <w:r>
          <w:rPr>
            <w:noProof/>
            <w:webHidden/>
          </w:rPr>
          <w:t>611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03" w:history="1">
        <w:r w:rsidRPr="00CC53E5">
          <w:rPr>
            <w:rStyle w:val="Hyperlink"/>
            <w:noProof/>
          </w:rPr>
          <w:t>2.1.1720</w:t>
        </w:r>
        <w:r>
          <w:rPr>
            <w:rFonts w:asciiTheme="minorHAnsi" w:eastAsiaTheme="minorEastAsia" w:hAnsiTheme="minorHAnsi" w:cstheme="minorBidi"/>
            <w:noProof/>
            <w:sz w:val="22"/>
            <w:szCs w:val="22"/>
          </w:rPr>
          <w:tab/>
        </w:r>
        <w:r w:rsidRPr="00CC53E5">
          <w:rPr>
            <w:rStyle w:val="Hyperlink"/>
            <w:noProof/>
          </w:rPr>
          <w:t>Part 1 Section 22.4.2.1, array (Array)</w:t>
        </w:r>
        <w:r>
          <w:rPr>
            <w:noProof/>
            <w:webHidden/>
          </w:rPr>
          <w:tab/>
        </w:r>
        <w:r>
          <w:rPr>
            <w:noProof/>
            <w:webHidden/>
          </w:rPr>
          <w:fldChar w:fldCharType="begin"/>
        </w:r>
        <w:r>
          <w:rPr>
            <w:noProof/>
            <w:webHidden/>
          </w:rPr>
          <w:instrText xml:space="preserve"> PAGEREF _Toc69879503 \h </w:instrText>
        </w:r>
        <w:r>
          <w:rPr>
            <w:noProof/>
            <w:webHidden/>
          </w:rPr>
        </w:r>
        <w:r>
          <w:rPr>
            <w:noProof/>
            <w:webHidden/>
          </w:rPr>
          <w:fldChar w:fldCharType="separate"/>
        </w:r>
        <w:r>
          <w:rPr>
            <w:noProof/>
            <w:webHidden/>
          </w:rPr>
          <w:t>613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04" w:history="1">
        <w:r w:rsidRPr="00CC53E5">
          <w:rPr>
            <w:rStyle w:val="Hyperlink"/>
            <w:noProof/>
          </w:rPr>
          <w:t>2.1.1721</w:t>
        </w:r>
        <w:r>
          <w:rPr>
            <w:rFonts w:asciiTheme="minorHAnsi" w:eastAsiaTheme="minorEastAsia" w:hAnsiTheme="minorHAnsi" w:cstheme="minorBidi"/>
            <w:noProof/>
            <w:sz w:val="22"/>
            <w:szCs w:val="22"/>
          </w:rPr>
          <w:tab/>
        </w:r>
        <w:r w:rsidRPr="00CC53E5">
          <w:rPr>
            <w:rStyle w:val="Hyperlink"/>
            <w:noProof/>
          </w:rPr>
          <w:t>Part 1 Section 22.4.2.5, clsid (Class ID)</w:t>
        </w:r>
        <w:r>
          <w:rPr>
            <w:noProof/>
            <w:webHidden/>
          </w:rPr>
          <w:tab/>
        </w:r>
        <w:r>
          <w:rPr>
            <w:noProof/>
            <w:webHidden/>
          </w:rPr>
          <w:fldChar w:fldCharType="begin"/>
        </w:r>
        <w:r>
          <w:rPr>
            <w:noProof/>
            <w:webHidden/>
          </w:rPr>
          <w:instrText xml:space="preserve"> PAGEREF _Toc69879504 \h </w:instrText>
        </w:r>
        <w:r>
          <w:rPr>
            <w:noProof/>
            <w:webHidden/>
          </w:rPr>
        </w:r>
        <w:r>
          <w:rPr>
            <w:noProof/>
            <w:webHidden/>
          </w:rPr>
          <w:fldChar w:fldCharType="separate"/>
        </w:r>
        <w:r>
          <w:rPr>
            <w:noProof/>
            <w:webHidden/>
          </w:rPr>
          <w:t>614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05" w:history="1">
        <w:r w:rsidRPr="00CC53E5">
          <w:rPr>
            <w:rStyle w:val="Hyperlink"/>
            <w:noProof/>
          </w:rPr>
          <w:t>2.1.1722</w:t>
        </w:r>
        <w:r>
          <w:rPr>
            <w:rFonts w:asciiTheme="minorHAnsi" w:eastAsiaTheme="minorEastAsia" w:hAnsiTheme="minorHAnsi" w:cstheme="minorBidi"/>
            <w:noProof/>
            <w:sz w:val="22"/>
            <w:szCs w:val="22"/>
          </w:rPr>
          <w:tab/>
        </w:r>
        <w:r w:rsidRPr="00CC53E5">
          <w:rPr>
            <w:rStyle w:val="Hyperlink"/>
            <w:noProof/>
          </w:rPr>
          <w:t>Part 1 Section 22.4.2.7, date (Date and Time)</w:t>
        </w:r>
        <w:r>
          <w:rPr>
            <w:noProof/>
            <w:webHidden/>
          </w:rPr>
          <w:tab/>
        </w:r>
        <w:r>
          <w:rPr>
            <w:noProof/>
            <w:webHidden/>
          </w:rPr>
          <w:fldChar w:fldCharType="begin"/>
        </w:r>
        <w:r>
          <w:rPr>
            <w:noProof/>
            <w:webHidden/>
          </w:rPr>
          <w:instrText xml:space="preserve"> PAGEREF _Toc69879505 \h </w:instrText>
        </w:r>
        <w:r>
          <w:rPr>
            <w:noProof/>
            <w:webHidden/>
          </w:rPr>
        </w:r>
        <w:r>
          <w:rPr>
            <w:noProof/>
            <w:webHidden/>
          </w:rPr>
          <w:fldChar w:fldCharType="separate"/>
        </w:r>
        <w:r>
          <w:rPr>
            <w:noProof/>
            <w:webHidden/>
          </w:rPr>
          <w:t>614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06" w:history="1">
        <w:r w:rsidRPr="00CC53E5">
          <w:rPr>
            <w:rStyle w:val="Hyperlink"/>
            <w:noProof/>
          </w:rPr>
          <w:t>2.1.1723</w:t>
        </w:r>
        <w:r>
          <w:rPr>
            <w:rFonts w:asciiTheme="minorHAnsi" w:eastAsiaTheme="minorEastAsia" w:hAnsiTheme="minorHAnsi" w:cstheme="minorBidi"/>
            <w:noProof/>
            <w:sz w:val="22"/>
            <w:szCs w:val="22"/>
          </w:rPr>
          <w:tab/>
        </w:r>
        <w:r w:rsidRPr="00CC53E5">
          <w:rPr>
            <w:rStyle w:val="Hyperlink"/>
            <w:noProof/>
          </w:rPr>
          <w:t>Part 1 Section 22.4.2.11, filetime (File Time)</w:t>
        </w:r>
        <w:r>
          <w:rPr>
            <w:noProof/>
            <w:webHidden/>
          </w:rPr>
          <w:tab/>
        </w:r>
        <w:r>
          <w:rPr>
            <w:noProof/>
            <w:webHidden/>
          </w:rPr>
          <w:fldChar w:fldCharType="begin"/>
        </w:r>
        <w:r>
          <w:rPr>
            <w:noProof/>
            <w:webHidden/>
          </w:rPr>
          <w:instrText xml:space="preserve"> PAGEREF _Toc69879506 \h </w:instrText>
        </w:r>
        <w:r>
          <w:rPr>
            <w:noProof/>
            <w:webHidden/>
          </w:rPr>
        </w:r>
        <w:r>
          <w:rPr>
            <w:noProof/>
            <w:webHidden/>
          </w:rPr>
          <w:fldChar w:fldCharType="separate"/>
        </w:r>
        <w:r>
          <w:rPr>
            <w:noProof/>
            <w:webHidden/>
          </w:rPr>
          <w:t>614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07" w:history="1">
        <w:r w:rsidRPr="00CC53E5">
          <w:rPr>
            <w:rStyle w:val="Hyperlink"/>
            <w:noProof/>
          </w:rPr>
          <w:t>2.1.1724</w:t>
        </w:r>
        <w:r>
          <w:rPr>
            <w:rFonts w:asciiTheme="minorHAnsi" w:eastAsiaTheme="minorEastAsia" w:hAnsiTheme="minorHAnsi" w:cstheme="minorBidi"/>
            <w:noProof/>
            <w:sz w:val="22"/>
            <w:szCs w:val="22"/>
          </w:rPr>
          <w:tab/>
        </w:r>
        <w:r w:rsidRPr="00CC53E5">
          <w:rPr>
            <w:rStyle w:val="Hyperlink"/>
            <w:noProof/>
          </w:rPr>
          <w:t>Part 1 Section 22.4.2.19, null (Null)</w:t>
        </w:r>
        <w:r>
          <w:rPr>
            <w:noProof/>
            <w:webHidden/>
          </w:rPr>
          <w:tab/>
        </w:r>
        <w:r>
          <w:rPr>
            <w:noProof/>
            <w:webHidden/>
          </w:rPr>
          <w:fldChar w:fldCharType="begin"/>
        </w:r>
        <w:r>
          <w:rPr>
            <w:noProof/>
            <w:webHidden/>
          </w:rPr>
          <w:instrText xml:space="preserve"> PAGEREF _Toc69879507 \h </w:instrText>
        </w:r>
        <w:r>
          <w:rPr>
            <w:noProof/>
            <w:webHidden/>
          </w:rPr>
        </w:r>
        <w:r>
          <w:rPr>
            <w:noProof/>
            <w:webHidden/>
          </w:rPr>
          <w:fldChar w:fldCharType="separate"/>
        </w:r>
        <w:r>
          <w:rPr>
            <w:noProof/>
            <w:webHidden/>
          </w:rPr>
          <w:t>614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08" w:history="1">
        <w:r w:rsidRPr="00CC53E5">
          <w:rPr>
            <w:rStyle w:val="Hyperlink"/>
            <w:noProof/>
          </w:rPr>
          <w:t>2.1.1725</w:t>
        </w:r>
        <w:r>
          <w:rPr>
            <w:rFonts w:asciiTheme="minorHAnsi" w:eastAsiaTheme="minorEastAsia" w:hAnsiTheme="minorHAnsi" w:cstheme="minorBidi"/>
            <w:noProof/>
            <w:sz w:val="22"/>
            <w:szCs w:val="22"/>
          </w:rPr>
          <w:tab/>
        </w:r>
        <w:r w:rsidRPr="00CC53E5">
          <w:rPr>
            <w:rStyle w:val="Hyperlink"/>
            <w:noProof/>
          </w:rPr>
          <w:t>Part 1 Section 22.4.2.21, ostorage (Binary Storage Object)</w:t>
        </w:r>
        <w:r>
          <w:rPr>
            <w:noProof/>
            <w:webHidden/>
          </w:rPr>
          <w:tab/>
        </w:r>
        <w:r>
          <w:rPr>
            <w:noProof/>
            <w:webHidden/>
          </w:rPr>
          <w:fldChar w:fldCharType="begin"/>
        </w:r>
        <w:r>
          <w:rPr>
            <w:noProof/>
            <w:webHidden/>
          </w:rPr>
          <w:instrText xml:space="preserve"> PAGEREF _Toc69879508 \h </w:instrText>
        </w:r>
        <w:r>
          <w:rPr>
            <w:noProof/>
            <w:webHidden/>
          </w:rPr>
        </w:r>
        <w:r>
          <w:rPr>
            <w:noProof/>
            <w:webHidden/>
          </w:rPr>
          <w:fldChar w:fldCharType="separate"/>
        </w:r>
        <w:r>
          <w:rPr>
            <w:noProof/>
            <w:webHidden/>
          </w:rPr>
          <w:t>614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09" w:history="1">
        <w:r w:rsidRPr="00CC53E5">
          <w:rPr>
            <w:rStyle w:val="Hyperlink"/>
            <w:noProof/>
          </w:rPr>
          <w:t>2.1.1726</w:t>
        </w:r>
        <w:r>
          <w:rPr>
            <w:rFonts w:asciiTheme="minorHAnsi" w:eastAsiaTheme="minorEastAsia" w:hAnsiTheme="minorHAnsi" w:cstheme="minorBidi"/>
            <w:noProof/>
            <w:sz w:val="22"/>
            <w:szCs w:val="22"/>
          </w:rPr>
          <w:tab/>
        </w:r>
        <w:r w:rsidRPr="00CC53E5">
          <w:rPr>
            <w:rStyle w:val="Hyperlink"/>
            <w:noProof/>
          </w:rPr>
          <w:t>Part 1 Section 22.4.2.25, storage (Binary Storage)</w:t>
        </w:r>
        <w:r>
          <w:rPr>
            <w:noProof/>
            <w:webHidden/>
          </w:rPr>
          <w:tab/>
        </w:r>
        <w:r>
          <w:rPr>
            <w:noProof/>
            <w:webHidden/>
          </w:rPr>
          <w:fldChar w:fldCharType="begin"/>
        </w:r>
        <w:r>
          <w:rPr>
            <w:noProof/>
            <w:webHidden/>
          </w:rPr>
          <w:instrText xml:space="preserve"> PAGEREF _Toc69879509 \h </w:instrText>
        </w:r>
        <w:r>
          <w:rPr>
            <w:noProof/>
            <w:webHidden/>
          </w:rPr>
        </w:r>
        <w:r>
          <w:rPr>
            <w:noProof/>
            <w:webHidden/>
          </w:rPr>
          <w:fldChar w:fldCharType="separate"/>
        </w:r>
        <w:r>
          <w:rPr>
            <w:noProof/>
            <w:webHidden/>
          </w:rPr>
          <w:t>614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10" w:history="1">
        <w:r w:rsidRPr="00CC53E5">
          <w:rPr>
            <w:rStyle w:val="Hyperlink"/>
            <w:noProof/>
          </w:rPr>
          <w:t>2.1.1727</w:t>
        </w:r>
        <w:r>
          <w:rPr>
            <w:rFonts w:asciiTheme="minorHAnsi" w:eastAsiaTheme="minorEastAsia" w:hAnsiTheme="minorHAnsi" w:cstheme="minorBidi"/>
            <w:noProof/>
            <w:sz w:val="22"/>
            <w:szCs w:val="22"/>
          </w:rPr>
          <w:tab/>
        </w:r>
        <w:r w:rsidRPr="00CC53E5">
          <w:rPr>
            <w:rStyle w:val="Hyperlink"/>
            <w:noProof/>
          </w:rPr>
          <w:t>Part 1 Section 22.4.2.34, vstream (Binary Versioned Stream)</w:t>
        </w:r>
        <w:r>
          <w:rPr>
            <w:noProof/>
            <w:webHidden/>
          </w:rPr>
          <w:tab/>
        </w:r>
        <w:r>
          <w:rPr>
            <w:noProof/>
            <w:webHidden/>
          </w:rPr>
          <w:fldChar w:fldCharType="begin"/>
        </w:r>
        <w:r>
          <w:rPr>
            <w:noProof/>
            <w:webHidden/>
          </w:rPr>
          <w:instrText xml:space="preserve"> PAGEREF _Toc69879510 \h </w:instrText>
        </w:r>
        <w:r>
          <w:rPr>
            <w:noProof/>
            <w:webHidden/>
          </w:rPr>
        </w:r>
        <w:r>
          <w:rPr>
            <w:noProof/>
            <w:webHidden/>
          </w:rPr>
          <w:fldChar w:fldCharType="separate"/>
        </w:r>
        <w:r>
          <w:rPr>
            <w:noProof/>
            <w:webHidden/>
          </w:rPr>
          <w:t>614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11" w:history="1">
        <w:r w:rsidRPr="00CC53E5">
          <w:rPr>
            <w:rStyle w:val="Hyperlink"/>
            <w:noProof/>
          </w:rPr>
          <w:t>2.1.1728</w:t>
        </w:r>
        <w:r>
          <w:rPr>
            <w:rFonts w:asciiTheme="minorHAnsi" w:eastAsiaTheme="minorEastAsia" w:hAnsiTheme="minorHAnsi" w:cstheme="minorBidi"/>
            <w:noProof/>
            <w:sz w:val="22"/>
            <w:szCs w:val="22"/>
          </w:rPr>
          <w:tab/>
        </w:r>
        <w:r w:rsidRPr="00CC53E5">
          <w:rPr>
            <w:rStyle w:val="Hyperlink"/>
            <w:noProof/>
          </w:rPr>
          <w:t>Part 1 Section 22.4.3.3, ST_Error (Error Status Code Simple Type)</w:t>
        </w:r>
        <w:r>
          <w:rPr>
            <w:noProof/>
            <w:webHidden/>
          </w:rPr>
          <w:tab/>
        </w:r>
        <w:r>
          <w:rPr>
            <w:noProof/>
            <w:webHidden/>
          </w:rPr>
          <w:fldChar w:fldCharType="begin"/>
        </w:r>
        <w:r>
          <w:rPr>
            <w:noProof/>
            <w:webHidden/>
          </w:rPr>
          <w:instrText xml:space="preserve"> PAGEREF _Toc69879511 \h </w:instrText>
        </w:r>
        <w:r>
          <w:rPr>
            <w:noProof/>
            <w:webHidden/>
          </w:rPr>
        </w:r>
        <w:r>
          <w:rPr>
            <w:noProof/>
            <w:webHidden/>
          </w:rPr>
          <w:fldChar w:fldCharType="separate"/>
        </w:r>
        <w:r>
          <w:rPr>
            <w:noProof/>
            <w:webHidden/>
          </w:rPr>
          <w:t>614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12" w:history="1">
        <w:r w:rsidRPr="00CC53E5">
          <w:rPr>
            <w:rStyle w:val="Hyperlink"/>
            <w:noProof/>
          </w:rPr>
          <w:t>2.1.1729</w:t>
        </w:r>
        <w:r>
          <w:rPr>
            <w:rFonts w:asciiTheme="minorHAnsi" w:eastAsiaTheme="minorEastAsia" w:hAnsiTheme="minorHAnsi" w:cstheme="minorBidi"/>
            <w:noProof/>
            <w:sz w:val="22"/>
            <w:szCs w:val="22"/>
          </w:rPr>
          <w:tab/>
        </w:r>
        <w:r w:rsidRPr="00CC53E5">
          <w:rPr>
            <w:rStyle w:val="Hyperlink"/>
            <w:noProof/>
          </w:rPr>
          <w:t>Part 1 Section 22.6.2.4, Author (Contributors List)</w:t>
        </w:r>
        <w:r>
          <w:rPr>
            <w:noProof/>
            <w:webHidden/>
          </w:rPr>
          <w:tab/>
        </w:r>
        <w:r>
          <w:rPr>
            <w:noProof/>
            <w:webHidden/>
          </w:rPr>
          <w:fldChar w:fldCharType="begin"/>
        </w:r>
        <w:r>
          <w:rPr>
            <w:noProof/>
            <w:webHidden/>
          </w:rPr>
          <w:instrText xml:space="preserve"> PAGEREF _Toc69879512 \h </w:instrText>
        </w:r>
        <w:r>
          <w:rPr>
            <w:noProof/>
            <w:webHidden/>
          </w:rPr>
        </w:r>
        <w:r>
          <w:rPr>
            <w:noProof/>
            <w:webHidden/>
          </w:rPr>
          <w:fldChar w:fldCharType="separate"/>
        </w:r>
        <w:r>
          <w:rPr>
            <w:noProof/>
            <w:webHidden/>
          </w:rPr>
          <w:t>615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13" w:history="1">
        <w:r w:rsidRPr="00CC53E5">
          <w:rPr>
            <w:rStyle w:val="Hyperlink"/>
            <w:noProof/>
          </w:rPr>
          <w:t>2.1.1730</w:t>
        </w:r>
        <w:r>
          <w:rPr>
            <w:rFonts w:asciiTheme="minorHAnsi" w:eastAsiaTheme="minorEastAsia" w:hAnsiTheme="minorHAnsi" w:cstheme="minorBidi"/>
            <w:noProof/>
            <w:sz w:val="22"/>
            <w:szCs w:val="22"/>
          </w:rPr>
          <w:tab/>
        </w:r>
        <w:r w:rsidRPr="00CC53E5">
          <w:rPr>
            <w:rStyle w:val="Hyperlink"/>
            <w:noProof/>
          </w:rPr>
          <w:t>Part 1 Section 22.6.2.30, Guid (GUID)</w:t>
        </w:r>
        <w:r>
          <w:rPr>
            <w:noProof/>
            <w:webHidden/>
          </w:rPr>
          <w:tab/>
        </w:r>
        <w:r>
          <w:rPr>
            <w:noProof/>
            <w:webHidden/>
          </w:rPr>
          <w:fldChar w:fldCharType="begin"/>
        </w:r>
        <w:r>
          <w:rPr>
            <w:noProof/>
            <w:webHidden/>
          </w:rPr>
          <w:instrText xml:space="preserve"> PAGEREF _Toc69879513 \h </w:instrText>
        </w:r>
        <w:r>
          <w:rPr>
            <w:noProof/>
            <w:webHidden/>
          </w:rPr>
        </w:r>
        <w:r>
          <w:rPr>
            <w:noProof/>
            <w:webHidden/>
          </w:rPr>
          <w:fldChar w:fldCharType="separate"/>
        </w:r>
        <w:r>
          <w:rPr>
            <w:noProof/>
            <w:webHidden/>
          </w:rPr>
          <w:t>615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14" w:history="1">
        <w:r w:rsidRPr="00CC53E5">
          <w:rPr>
            <w:rStyle w:val="Hyperlink"/>
            <w:noProof/>
          </w:rPr>
          <w:t>2.1.1731</w:t>
        </w:r>
        <w:r>
          <w:rPr>
            <w:rFonts w:asciiTheme="minorHAnsi" w:eastAsiaTheme="minorEastAsia" w:hAnsiTheme="minorHAnsi" w:cstheme="minorBidi"/>
            <w:noProof/>
            <w:sz w:val="22"/>
            <w:szCs w:val="22"/>
          </w:rPr>
          <w:tab/>
        </w:r>
        <w:r w:rsidRPr="00CC53E5">
          <w:rPr>
            <w:rStyle w:val="Hyperlink"/>
            <w:noProof/>
          </w:rPr>
          <w:t>Part 1 Section 22.6.2.39, LCID (Locale ID)</w:t>
        </w:r>
        <w:r>
          <w:rPr>
            <w:noProof/>
            <w:webHidden/>
          </w:rPr>
          <w:tab/>
        </w:r>
        <w:r>
          <w:rPr>
            <w:noProof/>
            <w:webHidden/>
          </w:rPr>
          <w:fldChar w:fldCharType="begin"/>
        </w:r>
        <w:r>
          <w:rPr>
            <w:noProof/>
            <w:webHidden/>
          </w:rPr>
          <w:instrText xml:space="preserve"> PAGEREF _Toc69879514 \h </w:instrText>
        </w:r>
        <w:r>
          <w:rPr>
            <w:noProof/>
            <w:webHidden/>
          </w:rPr>
        </w:r>
        <w:r>
          <w:rPr>
            <w:noProof/>
            <w:webHidden/>
          </w:rPr>
          <w:fldChar w:fldCharType="separate"/>
        </w:r>
        <w:r>
          <w:rPr>
            <w:noProof/>
            <w:webHidden/>
          </w:rPr>
          <w:t>615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15" w:history="1">
        <w:r w:rsidRPr="00CC53E5">
          <w:rPr>
            <w:rStyle w:val="Hyperlink"/>
            <w:noProof/>
          </w:rPr>
          <w:t>2.1.1732</w:t>
        </w:r>
        <w:r>
          <w:rPr>
            <w:rFonts w:asciiTheme="minorHAnsi" w:eastAsiaTheme="minorEastAsia" w:hAnsiTheme="minorHAnsi" w:cstheme="minorBidi"/>
            <w:noProof/>
            <w:sz w:val="22"/>
            <w:szCs w:val="22"/>
          </w:rPr>
          <w:tab/>
        </w:r>
        <w:r w:rsidRPr="00CC53E5">
          <w:rPr>
            <w:rStyle w:val="Hyperlink"/>
            <w:noProof/>
          </w:rPr>
          <w:t>Part 1 Section 22.6.2.50, Person (Person)</w:t>
        </w:r>
        <w:r>
          <w:rPr>
            <w:noProof/>
            <w:webHidden/>
          </w:rPr>
          <w:tab/>
        </w:r>
        <w:r>
          <w:rPr>
            <w:noProof/>
            <w:webHidden/>
          </w:rPr>
          <w:fldChar w:fldCharType="begin"/>
        </w:r>
        <w:r>
          <w:rPr>
            <w:noProof/>
            <w:webHidden/>
          </w:rPr>
          <w:instrText xml:space="preserve"> PAGEREF _Toc69879515 \h </w:instrText>
        </w:r>
        <w:r>
          <w:rPr>
            <w:noProof/>
            <w:webHidden/>
          </w:rPr>
        </w:r>
        <w:r>
          <w:rPr>
            <w:noProof/>
            <w:webHidden/>
          </w:rPr>
          <w:fldChar w:fldCharType="separate"/>
        </w:r>
        <w:r>
          <w:rPr>
            <w:noProof/>
            <w:webHidden/>
          </w:rPr>
          <w:t>615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16" w:history="1">
        <w:r w:rsidRPr="00CC53E5">
          <w:rPr>
            <w:rStyle w:val="Hyperlink"/>
            <w:noProof/>
          </w:rPr>
          <w:t>2.1.1733</w:t>
        </w:r>
        <w:r>
          <w:rPr>
            <w:rFonts w:asciiTheme="minorHAnsi" w:eastAsiaTheme="minorEastAsia" w:hAnsiTheme="minorHAnsi" w:cstheme="minorBidi"/>
            <w:noProof/>
            <w:sz w:val="22"/>
            <w:szCs w:val="22"/>
          </w:rPr>
          <w:tab/>
        </w:r>
        <w:r w:rsidRPr="00CC53E5">
          <w:rPr>
            <w:rStyle w:val="Hyperlink"/>
            <w:noProof/>
          </w:rPr>
          <w:t>Part 1 Section 22.6.2.59, Source (Source)</w:t>
        </w:r>
        <w:r>
          <w:rPr>
            <w:noProof/>
            <w:webHidden/>
          </w:rPr>
          <w:tab/>
        </w:r>
        <w:r>
          <w:rPr>
            <w:noProof/>
            <w:webHidden/>
          </w:rPr>
          <w:fldChar w:fldCharType="begin"/>
        </w:r>
        <w:r>
          <w:rPr>
            <w:noProof/>
            <w:webHidden/>
          </w:rPr>
          <w:instrText xml:space="preserve"> PAGEREF _Toc69879516 \h </w:instrText>
        </w:r>
        <w:r>
          <w:rPr>
            <w:noProof/>
            <w:webHidden/>
          </w:rPr>
        </w:r>
        <w:r>
          <w:rPr>
            <w:noProof/>
            <w:webHidden/>
          </w:rPr>
          <w:fldChar w:fldCharType="separate"/>
        </w:r>
        <w:r>
          <w:rPr>
            <w:noProof/>
            <w:webHidden/>
          </w:rPr>
          <w:t>615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17" w:history="1">
        <w:r w:rsidRPr="00CC53E5">
          <w:rPr>
            <w:rStyle w:val="Hyperlink"/>
            <w:noProof/>
          </w:rPr>
          <w:t>2.1.1734</w:t>
        </w:r>
        <w:r>
          <w:rPr>
            <w:rFonts w:asciiTheme="minorHAnsi" w:eastAsiaTheme="minorEastAsia" w:hAnsiTheme="minorHAnsi" w:cstheme="minorBidi"/>
            <w:noProof/>
            <w:sz w:val="22"/>
            <w:szCs w:val="22"/>
          </w:rPr>
          <w:tab/>
        </w:r>
        <w:r w:rsidRPr="00CC53E5">
          <w:rPr>
            <w:rStyle w:val="Hyperlink"/>
            <w:noProof/>
          </w:rPr>
          <w:t>Part 1 Section 22.6.2.65, Tag (Tag)</w:t>
        </w:r>
        <w:r>
          <w:rPr>
            <w:noProof/>
            <w:webHidden/>
          </w:rPr>
          <w:tab/>
        </w:r>
        <w:r>
          <w:rPr>
            <w:noProof/>
            <w:webHidden/>
          </w:rPr>
          <w:fldChar w:fldCharType="begin"/>
        </w:r>
        <w:r>
          <w:rPr>
            <w:noProof/>
            <w:webHidden/>
          </w:rPr>
          <w:instrText xml:space="preserve"> PAGEREF _Toc69879517 \h </w:instrText>
        </w:r>
        <w:r>
          <w:rPr>
            <w:noProof/>
            <w:webHidden/>
          </w:rPr>
        </w:r>
        <w:r>
          <w:rPr>
            <w:noProof/>
            <w:webHidden/>
          </w:rPr>
          <w:fldChar w:fldCharType="separate"/>
        </w:r>
        <w:r>
          <w:rPr>
            <w:noProof/>
            <w:webHidden/>
          </w:rPr>
          <w:t>615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18" w:history="1">
        <w:r w:rsidRPr="00CC53E5">
          <w:rPr>
            <w:rStyle w:val="Hyperlink"/>
            <w:noProof/>
          </w:rPr>
          <w:t>2.1.1735</w:t>
        </w:r>
        <w:r>
          <w:rPr>
            <w:rFonts w:asciiTheme="minorHAnsi" w:eastAsiaTheme="minorEastAsia" w:hAnsiTheme="minorHAnsi" w:cstheme="minorBidi"/>
            <w:noProof/>
            <w:sz w:val="22"/>
            <w:szCs w:val="22"/>
          </w:rPr>
          <w:tab/>
        </w:r>
        <w:r w:rsidRPr="00CC53E5">
          <w:rPr>
            <w:rStyle w:val="Hyperlink"/>
            <w:noProof/>
          </w:rPr>
          <w:t>Part 1 Section 22.6.2.76, YearAccessed (Year Accessed)</w:t>
        </w:r>
        <w:r>
          <w:rPr>
            <w:noProof/>
            <w:webHidden/>
          </w:rPr>
          <w:tab/>
        </w:r>
        <w:r>
          <w:rPr>
            <w:noProof/>
            <w:webHidden/>
          </w:rPr>
          <w:fldChar w:fldCharType="begin"/>
        </w:r>
        <w:r>
          <w:rPr>
            <w:noProof/>
            <w:webHidden/>
          </w:rPr>
          <w:instrText xml:space="preserve"> PAGEREF _Toc69879518 \h </w:instrText>
        </w:r>
        <w:r>
          <w:rPr>
            <w:noProof/>
            <w:webHidden/>
          </w:rPr>
        </w:r>
        <w:r>
          <w:rPr>
            <w:noProof/>
            <w:webHidden/>
          </w:rPr>
          <w:fldChar w:fldCharType="separate"/>
        </w:r>
        <w:r>
          <w:rPr>
            <w:noProof/>
            <w:webHidden/>
          </w:rPr>
          <w:t>615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19" w:history="1">
        <w:r w:rsidRPr="00CC53E5">
          <w:rPr>
            <w:rStyle w:val="Hyperlink"/>
            <w:noProof/>
          </w:rPr>
          <w:t>2.1.1736</w:t>
        </w:r>
        <w:r>
          <w:rPr>
            <w:rFonts w:asciiTheme="minorHAnsi" w:eastAsiaTheme="minorEastAsia" w:hAnsiTheme="minorHAnsi" w:cstheme="minorBidi"/>
            <w:noProof/>
            <w:sz w:val="22"/>
            <w:szCs w:val="22"/>
          </w:rPr>
          <w:tab/>
        </w:r>
        <w:r w:rsidRPr="00CC53E5">
          <w:rPr>
            <w:rStyle w:val="Hyperlink"/>
            <w:noProof/>
          </w:rPr>
          <w:t>Part 1 Section 22.8.2.1, ST_RelationshipId (Explicit Relationship ID)</w:t>
        </w:r>
        <w:r>
          <w:rPr>
            <w:noProof/>
            <w:webHidden/>
          </w:rPr>
          <w:tab/>
        </w:r>
        <w:r>
          <w:rPr>
            <w:noProof/>
            <w:webHidden/>
          </w:rPr>
          <w:fldChar w:fldCharType="begin"/>
        </w:r>
        <w:r>
          <w:rPr>
            <w:noProof/>
            <w:webHidden/>
          </w:rPr>
          <w:instrText xml:space="preserve"> PAGEREF _Toc69879519 \h </w:instrText>
        </w:r>
        <w:r>
          <w:rPr>
            <w:noProof/>
            <w:webHidden/>
          </w:rPr>
        </w:r>
        <w:r>
          <w:rPr>
            <w:noProof/>
            <w:webHidden/>
          </w:rPr>
          <w:fldChar w:fldCharType="separate"/>
        </w:r>
        <w:r>
          <w:rPr>
            <w:noProof/>
            <w:webHidden/>
          </w:rPr>
          <w:t>615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20" w:history="1">
        <w:r w:rsidRPr="00CC53E5">
          <w:rPr>
            <w:rStyle w:val="Hyperlink"/>
            <w:noProof/>
          </w:rPr>
          <w:t>2.1.1737</w:t>
        </w:r>
        <w:r>
          <w:rPr>
            <w:rFonts w:asciiTheme="minorHAnsi" w:eastAsiaTheme="minorEastAsia" w:hAnsiTheme="minorHAnsi" w:cstheme="minorBidi"/>
            <w:noProof/>
            <w:sz w:val="22"/>
            <w:szCs w:val="22"/>
          </w:rPr>
          <w:tab/>
        </w:r>
        <w:r w:rsidRPr="00CC53E5">
          <w:rPr>
            <w:rStyle w:val="Hyperlink"/>
            <w:noProof/>
          </w:rPr>
          <w:t>Part 1 Section 22.9.2.1, ST_CalendarType (Calendar Types)</w:t>
        </w:r>
        <w:r>
          <w:rPr>
            <w:noProof/>
            <w:webHidden/>
          </w:rPr>
          <w:tab/>
        </w:r>
        <w:r>
          <w:rPr>
            <w:noProof/>
            <w:webHidden/>
          </w:rPr>
          <w:fldChar w:fldCharType="begin"/>
        </w:r>
        <w:r>
          <w:rPr>
            <w:noProof/>
            <w:webHidden/>
          </w:rPr>
          <w:instrText xml:space="preserve"> PAGEREF _Toc69879520 \h </w:instrText>
        </w:r>
        <w:r>
          <w:rPr>
            <w:noProof/>
            <w:webHidden/>
          </w:rPr>
        </w:r>
        <w:r>
          <w:rPr>
            <w:noProof/>
            <w:webHidden/>
          </w:rPr>
          <w:fldChar w:fldCharType="separate"/>
        </w:r>
        <w:r>
          <w:rPr>
            <w:noProof/>
            <w:webHidden/>
          </w:rPr>
          <w:t>616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21" w:history="1">
        <w:r w:rsidRPr="00CC53E5">
          <w:rPr>
            <w:rStyle w:val="Hyperlink"/>
            <w:noProof/>
          </w:rPr>
          <w:t>2.1.1738</w:t>
        </w:r>
        <w:r>
          <w:rPr>
            <w:rFonts w:asciiTheme="minorHAnsi" w:eastAsiaTheme="minorEastAsia" w:hAnsiTheme="minorHAnsi" w:cstheme="minorBidi"/>
            <w:noProof/>
            <w:sz w:val="22"/>
            <w:szCs w:val="22"/>
          </w:rPr>
          <w:tab/>
        </w:r>
        <w:r w:rsidRPr="00CC53E5">
          <w:rPr>
            <w:rStyle w:val="Hyperlink"/>
            <w:noProof/>
          </w:rPr>
          <w:t>Part 1 Section 22.9.2.6, ST_Lang (Language Reference)</w:t>
        </w:r>
        <w:r>
          <w:rPr>
            <w:noProof/>
            <w:webHidden/>
          </w:rPr>
          <w:tab/>
        </w:r>
        <w:r>
          <w:rPr>
            <w:noProof/>
            <w:webHidden/>
          </w:rPr>
          <w:fldChar w:fldCharType="begin"/>
        </w:r>
        <w:r>
          <w:rPr>
            <w:noProof/>
            <w:webHidden/>
          </w:rPr>
          <w:instrText xml:space="preserve"> PAGEREF _Toc69879521 \h </w:instrText>
        </w:r>
        <w:r>
          <w:rPr>
            <w:noProof/>
            <w:webHidden/>
          </w:rPr>
        </w:r>
        <w:r>
          <w:rPr>
            <w:noProof/>
            <w:webHidden/>
          </w:rPr>
          <w:fldChar w:fldCharType="separate"/>
        </w:r>
        <w:r>
          <w:rPr>
            <w:noProof/>
            <w:webHidden/>
          </w:rPr>
          <w:t>616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22" w:history="1">
        <w:r w:rsidRPr="00CC53E5">
          <w:rPr>
            <w:rStyle w:val="Hyperlink"/>
            <w:noProof/>
          </w:rPr>
          <w:t>2.1.1739</w:t>
        </w:r>
        <w:r>
          <w:rPr>
            <w:rFonts w:asciiTheme="minorHAnsi" w:eastAsiaTheme="minorEastAsia" w:hAnsiTheme="minorHAnsi" w:cstheme="minorBidi"/>
            <w:noProof/>
            <w:sz w:val="22"/>
            <w:szCs w:val="22"/>
          </w:rPr>
          <w:tab/>
        </w:r>
        <w:r w:rsidRPr="00CC53E5">
          <w:rPr>
            <w:rStyle w:val="Hyperlink"/>
            <w:noProof/>
          </w:rPr>
          <w:t>Part 1 Section 22.9.2.7, ST_OnOff (On/Off Value)</w:t>
        </w:r>
        <w:r>
          <w:rPr>
            <w:noProof/>
            <w:webHidden/>
          </w:rPr>
          <w:tab/>
        </w:r>
        <w:r>
          <w:rPr>
            <w:noProof/>
            <w:webHidden/>
          </w:rPr>
          <w:fldChar w:fldCharType="begin"/>
        </w:r>
        <w:r>
          <w:rPr>
            <w:noProof/>
            <w:webHidden/>
          </w:rPr>
          <w:instrText xml:space="preserve"> PAGEREF _Toc69879522 \h </w:instrText>
        </w:r>
        <w:r>
          <w:rPr>
            <w:noProof/>
            <w:webHidden/>
          </w:rPr>
        </w:r>
        <w:r>
          <w:rPr>
            <w:noProof/>
            <w:webHidden/>
          </w:rPr>
          <w:fldChar w:fldCharType="separate"/>
        </w:r>
        <w:r>
          <w:rPr>
            <w:noProof/>
            <w:webHidden/>
          </w:rPr>
          <w:t>623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23" w:history="1">
        <w:r w:rsidRPr="00CC53E5">
          <w:rPr>
            <w:rStyle w:val="Hyperlink"/>
            <w:noProof/>
          </w:rPr>
          <w:t>2.1.1740</w:t>
        </w:r>
        <w:r>
          <w:rPr>
            <w:rFonts w:asciiTheme="minorHAnsi" w:eastAsiaTheme="minorEastAsia" w:hAnsiTheme="minorHAnsi" w:cstheme="minorBidi"/>
            <w:noProof/>
            <w:sz w:val="22"/>
            <w:szCs w:val="22"/>
          </w:rPr>
          <w:tab/>
        </w:r>
        <w:r w:rsidRPr="00CC53E5">
          <w:rPr>
            <w:rStyle w:val="Hyperlink"/>
            <w:noProof/>
          </w:rPr>
          <w:t>Part 1 Section 22.9.2.14, ST_TwipsMeasure (Measurement in Twentieths of a Point)</w:t>
        </w:r>
        <w:r>
          <w:rPr>
            <w:noProof/>
            <w:webHidden/>
          </w:rPr>
          <w:tab/>
        </w:r>
        <w:r>
          <w:rPr>
            <w:noProof/>
            <w:webHidden/>
          </w:rPr>
          <w:fldChar w:fldCharType="begin"/>
        </w:r>
        <w:r>
          <w:rPr>
            <w:noProof/>
            <w:webHidden/>
          </w:rPr>
          <w:instrText xml:space="preserve"> PAGEREF _Toc69879523 \h </w:instrText>
        </w:r>
        <w:r>
          <w:rPr>
            <w:noProof/>
            <w:webHidden/>
          </w:rPr>
        </w:r>
        <w:r>
          <w:rPr>
            <w:noProof/>
            <w:webHidden/>
          </w:rPr>
          <w:fldChar w:fldCharType="separate"/>
        </w:r>
        <w:r>
          <w:rPr>
            <w:noProof/>
            <w:webHidden/>
          </w:rPr>
          <w:t>623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24" w:history="1">
        <w:r w:rsidRPr="00CC53E5">
          <w:rPr>
            <w:rStyle w:val="Hyperlink"/>
            <w:noProof/>
          </w:rPr>
          <w:t>2.1.1741</w:t>
        </w:r>
        <w:r>
          <w:rPr>
            <w:rFonts w:asciiTheme="minorHAnsi" w:eastAsiaTheme="minorEastAsia" w:hAnsiTheme="minorHAnsi" w:cstheme="minorBidi"/>
            <w:noProof/>
            <w:sz w:val="22"/>
            <w:szCs w:val="22"/>
          </w:rPr>
          <w:tab/>
        </w:r>
        <w:r w:rsidRPr="00CC53E5">
          <w:rPr>
            <w:rStyle w:val="Hyperlink"/>
            <w:noProof/>
          </w:rPr>
          <w:t>Part 1 Section 22.9.2.16, ST_UnsignedDecimalNumber (Unsigned Decimal Number Value)</w:t>
        </w:r>
        <w:r>
          <w:rPr>
            <w:noProof/>
            <w:webHidden/>
          </w:rPr>
          <w:tab/>
        </w:r>
        <w:r>
          <w:rPr>
            <w:noProof/>
            <w:webHidden/>
          </w:rPr>
          <w:fldChar w:fldCharType="begin"/>
        </w:r>
        <w:r>
          <w:rPr>
            <w:noProof/>
            <w:webHidden/>
          </w:rPr>
          <w:instrText xml:space="preserve"> PAGEREF _Toc69879524 \h </w:instrText>
        </w:r>
        <w:r>
          <w:rPr>
            <w:noProof/>
            <w:webHidden/>
          </w:rPr>
        </w:r>
        <w:r>
          <w:rPr>
            <w:noProof/>
            <w:webHidden/>
          </w:rPr>
          <w:fldChar w:fldCharType="separate"/>
        </w:r>
        <w:r>
          <w:rPr>
            <w:noProof/>
            <w:webHidden/>
          </w:rPr>
          <w:t>624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25" w:history="1">
        <w:r w:rsidRPr="00CC53E5">
          <w:rPr>
            <w:rStyle w:val="Hyperlink"/>
            <w:noProof/>
          </w:rPr>
          <w:t>2.1.1742</w:t>
        </w:r>
        <w:r>
          <w:rPr>
            <w:rFonts w:asciiTheme="minorHAnsi" w:eastAsiaTheme="minorEastAsia" w:hAnsiTheme="minorHAnsi" w:cstheme="minorBidi"/>
            <w:noProof/>
            <w:sz w:val="22"/>
            <w:szCs w:val="22"/>
          </w:rPr>
          <w:tab/>
        </w:r>
        <w:r w:rsidRPr="00CC53E5">
          <w:rPr>
            <w:rStyle w:val="Hyperlink"/>
            <w:noProof/>
          </w:rPr>
          <w:t>Part 1 Section 22.9.2.19, ST_Xstring (Escaped String)</w:t>
        </w:r>
        <w:r>
          <w:rPr>
            <w:noProof/>
            <w:webHidden/>
          </w:rPr>
          <w:tab/>
        </w:r>
        <w:r>
          <w:rPr>
            <w:noProof/>
            <w:webHidden/>
          </w:rPr>
          <w:fldChar w:fldCharType="begin"/>
        </w:r>
        <w:r>
          <w:rPr>
            <w:noProof/>
            <w:webHidden/>
          </w:rPr>
          <w:instrText xml:space="preserve"> PAGEREF _Toc69879525 \h </w:instrText>
        </w:r>
        <w:r>
          <w:rPr>
            <w:noProof/>
            <w:webHidden/>
          </w:rPr>
        </w:r>
        <w:r>
          <w:rPr>
            <w:noProof/>
            <w:webHidden/>
          </w:rPr>
          <w:fldChar w:fldCharType="separate"/>
        </w:r>
        <w:r>
          <w:rPr>
            <w:noProof/>
            <w:webHidden/>
          </w:rPr>
          <w:t>624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26" w:history="1">
        <w:r w:rsidRPr="00CC53E5">
          <w:rPr>
            <w:rStyle w:val="Hyperlink"/>
            <w:noProof/>
          </w:rPr>
          <w:t>2.1.1743</w:t>
        </w:r>
        <w:r>
          <w:rPr>
            <w:rFonts w:asciiTheme="minorHAnsi" w:eastAsiaTheme="minorEastAsia" w:hAnsiTheme="minorHAnsi" w:cstheme="minorBidi"/>
            <w:noProof/>
            <w:sz w:val="22"/>
            <w:szCs w:val="22"/>
          </w:rPr>
          <w:tab/>
        </w:r>
        <w:r w:rsidRPr="00CC53E5">
          <w:rPr>
            <w:rStyle w:val="Hyperlink"/>
            <w:noProof/>
          </w:rPr>
          <w:t>Part 1 Section 23.2.1, schema (Custom XML Schema Reference)</w:t>
        </w:r>
        <w:r>
          <w:rPr>
            <w:noProof/>
            <w:webHidden/>
          </w:rPr>
          <w:tab/>
        </w:r>
        <w:r>
          <w:rPr>
            <w:noProof/>
            <w:webHidden/>
          </w:rPr>
          <w:fldChar w:fldCharType="begin"/>
        </w:r>
        <w:r>
          <w:rPr>
            <w:noProof/>
            <w:webHidden/>
          </w:rPr>
          <w:instrText xml:space="preserve"> PAGEREF _Toc69879526 \h </w:instrText>
        </w:r>
        <w:r>
          <w:rPr>
            <w:noProof/>
            <w:webHidden/>
          </w:rPr>
        </w:r>
        <w:r>
          <w:rPr>
            <w:noProof/>
            <w:webHidden/>
          </w:rPr>
          <w:fldChar w:fldCharType="separate"/>
        </w:r>
        <w:r>
          <w:rPr>
            <w:noProof/>
            <w:webHidden/>
          </w:rPr>
          <w:t>624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27" w:history="1">
        <w:r w:rsidRPr="00CC53E5">
          <w:rPr>
            <w:rStyle w:val="Hyperlink"/>
            <w:noProof/>
          </w:rPr>
          <w:t>2.1.1744</w:t>
        </w:r>
        <w:r>
          <w:rPr>
            <w:rFonts w:asciiTheme="minorHAnsi" w:eastAsiaTheme="minorEastAsia" w:hAnsiTheme="minorHAnsi" w:cstheme="minorBidi"/>
            <w:noProof/>
            <w:sz w:val="22"/>
            <w:szCs w:val="22"/>
          </w:rPr>
          <w:tab/>
        </w:r>
        <w:r w:rsidRPr="00CC53E5">
          <w:rPr>
            <w:rStyle w:val="Hyperlink"/>
            <w:noProof/>
          </w:rPr>
          <w:t>Part 2 Section 9.1.1.1, Part Name Syntax</w:t>
        </w:r>
        <w:r>
          <w:rPr>
            <w:noProof/>
            <w:webHidden/>
          </w:rPr>
          <w:tab/>
        </w:r>
        <w:r>
          <w:rPr>
            <w:noProof/>
            <w:webHidden/>
          </w:rPr>
          <w:fldChar w:fldCharType="begin"/>
        </w:r>
        <w:r>
          <w:rPr>
            <w:noProof/>
            <w:webHidden/>
          </w:rPr>
          <w:instrText xml:space="preserve"> PAGEREF _Toc69879527 \h </w:instrText>
        </w:r>
        <w:r>
          <w:rPr>
            <w:noProof/>
            <w:webHidden/>
          </w:rPr>
        </w:r>
        <w:r>
          <w:rPr>
            <w:noProof/>
            <w:webHidden/>
          </w:rPr>
          <w:fldChar w:fldCharType="separate"/>
        </w:r>
        <w:r>
          <w:rPr>
            <w:noProof/>
            <w:webHidden/>
          </w:rPr>
          <w:t>624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28" w:history="1">
        <w:r w:rsidRPr="00CC53E5">
          <w:rPr>
            <w:rStyle w:val="Hyperlink"/>
            <w:noProof/>
          </w:rPr>
          <w:t>2.1.1745</w:t>
        </w:r>
        <w:r>
          <w:rPr>
            <w:rFonts w:asciiTheme="minorHAnsi" w:eastAsiaTheme="minorEastAsia" w:hAnsiTheme="minorHAnsi" w:cstheme="minorBidi"/>
            <w:noProof/>
            <w:sz w:val="22"/>
            <w:szCs w:val="22"/>
          </w:rPr>
          <w:tab/>
        </w:r>
        <w:r w:rsidRPr="00CC53E5">
          <w:rPr>
            <w:rStyle w:val="Hyperlink"/>
            <w:noProof/>
          </w:rPr>
          <w:t>Part 2 Section 10.2.5, ZIP Package Limitations</w:t>
        </w:r>
        <w:r>
          <w:rPr>
            <w:noProof/>
            <w:webHidden/>
          </w:rPr>
          <w:tab/>
        </w:r>
        <w:r>
          <w:rPr>
            <w:noProof/>
            <w:webHidden/>
          </w:rPr>
          <w:fldChar w:fldCharType="begin"/>
        </w:r>
        <w:r>
          <w:rPr>
            <w:noProof/>
            <w:webHidden/>
          </w:rPr>
          <w:instrText xml:space="preserve"> PAGEREF _Toc69879528 \h </w:instrText>
        </w:r>
        <w:r>
          <w:rPr>
            <w:noProof/>
            <w:webHidden/>
          </w:rPr>
        </w:r>
        <w:r>
          <w:rPr>
            <w:noProof/>
            <w:webHidden/>
          </w:rPr>
          <w:fldChar w:fldCharType="separate"/>
        </w:r>
        <w:r>
          <w:rPr>
            <w:noProof/>
            <w:webHidden/>
          </w:rPr>
          <w:t>625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29" w:history="1">
        <w:r w:rsidRPr="00CC53E5">
          <w:rPr>
            <w:rStyle w:val="Hyperlink"/>
            <w:noProof/>
          </w:rPr>
          <w:t>2.1.1746</w:t>
        </w:r>
        <w:r>
          <w:rPr>
            <w:rFonts w:asciiTheme="minorHAnsi" w:eastAsiaTheme="minorEastAsia" w:hAnsiTheme="minorHAnsi" w:cstheme="minorBidi"/>
            <w:noProof/>
            <w:sz w:val="22"/>
            <w:szCs w:val="22"/>
          </w:rPr>
          <w:tab/>
        </w:r>
        <w:r w:rsidRPr="00CC53E5">
          <w:rPr>
            <w:rStyle w:val="Hyperlink"/>
            <w:noProof/>
          </w:rPr>
          <w:t>Part 2 Section 11, Core Properties</w:t>
        </w:r>
        <w:r>
          <w:rPr>
            <w:noProof/>
            <w:webHidden/>
          </w:rPr>
          <w:tab/>
        </w:r>
        <w:r>
          <w:rPr>
            <w:noProof/>
            <w:webHidden/>
          </w:rPr>
          <w:fldChar w:fldCharType="begin"/>
        </w:r>
        <w:r>
          <w:rPr>
            <w:noProof/>
            <w:webHidden/>
          </w:rPr>
          <w:instrText xml:space="preserve"> PAGEREF _Toc69879529 \h </w:instrText>
        </w:r>
        <w:r>
          <w:rPr>
            <w:noProof/>
            <w:webHidden/>
          </w:rPr>
        </w:r>
        <w:r>
          <w:rPr>
            <w:noProof/>
            <w:webHidden/>
          </w:rPr>
          <w:fldChar w:fldCharType="separate"/>
        </w:r>
        <w:r>
          <w:rPr>
            <w:noProof/>
            <w:webHidden/>
          </w:rPr>
          <w:t>625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30" w:history="1">
        <w:r w:rsidRPr="00CC53E5">
          <w:rPr>
            <w:rStyle w:val="Hyperlink"/>
            <w:noProof/>
          </w:rPr>
          <w:t>2.1.1747</w:t>
        </w:r>
        <w:r>
          <w:rPr>
            <w:rFonts w:asciiTheme="minorHAnsi" w:eastAsiaTheme="minorEastAsia" w:hAnsiTheme="minorHAnsi" w:cstheme="minorBidi"/>
            <w:noProof/>
            <w:sz w:val="22"/>
            <w:szCs w:val="22"/>
          </w:rPr>
          <w:tab/>
        </w:r>
        <w:r w:rsidRPr="00CC53E5">
          <w:rPr>
            <w:rStyle w:val="Hyperlink"/>
            <w:noProof/>
          </w:rPr>
          <w:t>Part 2 Section 13.2.4.24, Relationships Transform Algorithm</w:t>
        </w:r>
        <w:r>
          <w:rPr>
            <w:noProof/>
            <w:webHidden/>
          </w:rPr>
          <w:tab/>
        </w:r>
        <w:r>
          <w:rPr>
            <w:noProof/>
            <w:webHidden/>
          </w:rPr>
          <w:fldChar w:fldCharType="begin"/>
        </w:r>
        <w:r>
          <w:rPr>
            <w:noProof/>
            <w:webHidden/>
          </w:rPr>
          <w:instrText xml:space="preserve"> PAGEREF _Toc69879530 \h </w:instrText>
        </w:r>
        <w:r>
          <w:rPr>
            <w:noProof/>
            <w:webHidden/>
          </w:rPr>
        </w:r>
        <w:r>
          <w:rPr>
            <w:noProof/>
            <w:webHidden/>
          </w:rPr>
          <w:fldChar w:fldCharType="separate"/>
        </w:r>
        <w:r>
          <w:rPr>
            <w:noProof/>
            <w:webHidden/>
          </w:rPr>
          <w:t>625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31" w:history="1">
        <w:r w:rsidRPr="00CC53E5">
          <w:rPr>
            <w:rStyle w:val="Hyperlink"/>
            <w:noProof/>
          </w:rPr>
          <w:t>2.1.1748</w:t>
        </w:r>
        <w:r>
          <w:rPr>
            <w:rFonts w:asciiTheme="minorHAnsi" w:eastAsiaTheme="minorEastAsia" w:hAnsiTheme="minorHAnsi" w:cstheme="minorBidi"/>
            <w:noProof/>
            <w:sz w:val="22"/>
            <w:szCs w:val="22"/>
          </w:rPr>
          <w:tab/>
        </w:r>
        <w:r w:rsidRPr="00CC53E5">
          <w:rPr>
            <w:rStyle w:val="Hyperlink"/>
            <w:noProof/>
          </w:rPr>
          <w:t>Part 3 Section 10, Markup Compatibility Attributes and Elements</w:t>
        </w:r>
        <w:r>
          <w:rPr>
            <w:noProof/>
            <w:webHidden/>
          </w:rPr>
          <w:tab/>
        </w:r>
        <w:r>
          <w:rPr>
            <w:noProof/>
            <w:webHidden/>
          </w:rPr>
          <w:fldChar w:fldCharType="begin"/>
        </w:r>
        <w:r>
          <w:rPr>
            <w:noProof/>
            <w:webHidden/>
          </w:rPr>
          <w:instrText xml:space="preserve"> PAGEREF _Toc69879531 \h </w:instrText>
        </w:r>
        <w:r>
          <w:rPr>
            <w:noProof/>
            <w:webHidden/>
          </w:rPr>
        </w:r>
        <w:r>
          <w:rPr>
            <w:noProof/>
            <w:webHidden/>
          </w:rPr>
          <w:fldChar w:fldCharType="separate"/>
        </w:r>
        <w:r>
          <w:rPr>
            <w:noProof/>
            <w:webHidden/>
          </w:rPr>
          <w:t>625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32" w:history="1">
        <w:r w:rsidRPr="00CC53E5">
          <w:rPr>
            <w:rStyle w:val="Hyperlink"/>
            <w:noProof/>
          </w:rPr>
          <w:t>2.1.1749</w:t>
        </w:r>
        <w:r>
          <w:rPr>
            <w:rFonts w:asciiTheme="minorHAnsi" w:eastAsiaTheme="minorEastAsia" w:hAnsiTheme="minorHAnsi" w:cstheme="minorBidi"/>
            <w:noProof/>
            <w:sz w:val="22"/>
            <w:szCs w:val="22"/>
          </w:rPr>
          <w:tab/>
        </w:r>
        <w:r w:rsidRPr="00CC53E5">
          <w:rPr>
            <w:rStyle w:val="Hyperlink"/>
            <w:noProof/>
          </w:rPr>
          <w:t>Part 4 Section 8.1, VML Drawing Part</w:t>
        </w:r>
        <w:r>
          <w:rPr>
            <w:noProof/>
            <w:webHidden/>
          </w:rPr>
          <w:tab/>
        </w:r>
        <w:r>
          <w:rPr>
            <w:noProof/>
            <w:webHidden/>
          </w:rPr>
          <w:fldChar w:fldCharType="begin"/>
        </w:r>
        <w:r>
          <w:rPr>
            <w:noProof/>
            <w:webHidden/>
          </w:rPr>
          <w:instrText xml:space="preserve"> PAGEREF _Toc69879532 \h </w:instrText>
        </w:r>
        <w:r>
          <w:rPr>
            <w:noProof/>
            <w:webHidden/>
          </w:rPr>
        </w:r>
        <w:r>
          <w:rPr>
            <w:noProof/>
            <w:webHidden/>
          </w:rPr>
          <w:fldChar w:fldCharType="separate"/>
        </w:r>
        <w:r>
          <w:rPr>
            <w:noProof/>
            <w:webHidden/>
          </w:rPr>
          <w:t>625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33" w:history="1">
        <w:r w:rsidRPr="00CC53E5">
          <w:rPr>
            <w:rStyle w:val="Hyperlink"/>
            <w:noProof/>
          </w:rPr>
          <w:t>2.1.1750</w:t>
        </w:r>
        <w:r>
          <w:rPr>
            <w:rFonts w:asciiTheme="minorHAnsi" w:eastAsiaTheme="minorEastAsia" w:hAnsiTheme="minorHAnsi" w:cstheme="minorBidi"/>
            <w:noProof/>
            <w:sz w:val="22"/>
            <w:szCs w:val="22"/>
          </w:rPr>
          <w:tab/>
        </w:r>
        <w:r w:rsidRPr="00CC53E5">
          <w:rPr>
            <w:rStyle w:val="Hyperlink"/>
            <w:noProof/>
          </w:rPr>
          <w:t>Part 4 Section 14.2.1.1, Additional attribute for cnfStyle element (Part 1, 17.3.1.8)</w:t>
        </w:r>
        <w:r>
          <w:rPr>
            <w:noProof/>
            <w:webHidden/>
          </w:rPr>
          <w:tab/>
        </w:r>
        <w:r>
          <w:rPr>
            <w:noProof/>
            <w:webHidden/>
          </w:rPr>
          <w:fldChar w:fldCharType="begin"/>
        </w:r>
        <w:r>
          <w:rPr>
            <w:noProof/>
            <w:webHidden/>
          </w:rPr>
          <w:instrText xml:space="preserve"> PAGEREF _Toc69879533 \h </w:instrText>
        </w:r>
        <w:r>
          <w:rPr>
            <w:noProof/>
            <w:webHidden/>
          </w:rPr>
        </w:r>
        <w:r>
          <w:rPr>
            <w:noProof/>
            <w:webHidden/>
          </w:rPr>
          <w:fldChar w:fldCharType="separate"/>
        </w:r>
        <w:r>
          <w:rPr>
            <w:noProof/>
            <w:webHidden/>
          </w:rPr>
          <w:t>625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34" w:history="1">
        <w:r w:rsidRPr="00CC53E5">
          <w:rPr>
            <w:rStyle w:val="Hyperlink"/>
            <w:noProof/>
          </w:rPr>
          <w:t>2.1.1751</w:t>
        </w:r>
        <w:r>
          <w:rPr>
            <w:rFonts w:asciiTheme="minorHAnsi" w:eastAsiaTheme="minorEastAsia" w:hAnsiTheme="minorHAnsi" w:cstheme="minorBidi"/>
            <w:noProof/>
            <w:sz w:val="22"/>
            <w:szCs w:val="22"/>
          </w:rPr>
          <w:tab/>
        </w:r>
        <w:r w:rsidRPr="00CC53E5">
          <w:rPr>
            <w:rStyle w:val="Hyperlink"/>
            <w:noProof/>
          </w:rPr>
          <w:t>Part 4 Section 14.2.2.1, control (Floating Embedded Control)</w:t>
        </w:r>
        <w:r>
          <w:rPr>
            <w:noProof/>
            <w:webHidden/>
          </w:rPr>
          <w:tab/>
        </w:r>
        <w:r>
          <w:rPr>
            <w:noProof/>
            <w:webHidden/>
          </w:rPr>
          <w:fldChar w:fldCharType="begin"/>
        </w:r>
        <w:r>
          <w:rPr>
            <w:noProof/>
            <w:webHidden/>
          </w:rPr>
          <w:instrText xml:space="preserve"> PAGEREF _Toc69879534 \h </w:instrText>
        </w:r>
        <w:r>
          <w:rPr>
            <w:noProof/>
            <w:webHidden/>
          </w:rPr>
        </w:r>
        <w:r>
          <w:rPr>
            <w:noProof/>
            <w:webHidden/>
          </w:rPr>
          <w:fldChar w:fldCharType="separate"/>
        </w:r>
        <w:r>
          <w:rPr>
            <w:noProof/>
            <w:webHidden/>
          </w:rPr>
          <w:t>625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35" w:history="1">
        <w:r w:rsidRPr="00CC53E5">
          <w:rPr>
            <w:rStyle w:val="Hyperlink"/>
            <w:noProof/>
          </w:rPr>
          <w:t>2.1.1752</w:t>
        </w:r>
        <w:r>
          <w:rPr>
            <w:rFonts w:asciiTheme="minorHAnsi" w:eastAsiaTheme="minorEastAsia" w:hAnsiTheme="minorHAnsi" w:cstheme="minorBidi"/>
            <w:noProof/>
            <w:sz w:val="22"/>
            <w:szCs w:val="22"/>
          </w:rPr>
          <w:tab/>
        </w:r>
        <w:r w:rsidRPr="00CC53E5">
          <w:rPr>
            <w:rStyle w:val="Hyperlink"/>
            <w:noProof/>
          </w:rPr>
          <w:t>Part 4 Section 14.2.2.2, pict (VML Object)</w:t>
        </w:r>
        <w:r>
          <w:rPr>
            <w:noProof/>
            <w:webHidden/>
          </w:rPr>
          <w:tab/>
        </w:r>
        <w:r>
          <w:rPr>
            <w:noProof/>
            <w:webHidden/>
          </w:rPr>
          <w:fldChar w:fldCharType="begin"/>
        </w:r>
        <w:r>
          <w:rPr>
            <w:noProof/>
            <w:webHidden/>
          </w:rPr>
          <w:instrText xml:space="preserve"> PAGEREF _Toc69879535 \h </w:instrText>
        </w:r>
        <w:r>
          <w:rPr>
            <w:noProof/>
            <w:webHidden/>
          </w:rPr>
        </w:r>
        <w:r>
          <w:rPr>
            <w:noProof/>
            <w:webHidden/>
          </w:rPr>
          <w:fldChar w:fldCharType="separate"/>
        </w:r>
        <w:r>
          <w:rPr>
            <w:noProof/>
            <w:webHidden/>
          </w:rPr>
          <w:t>626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36" w:history="1">
        <w:r w:rsidRPr="00CC53E5">
          <w:rPr>
            <w:rStyle w:val="Hyperlink"/>
            <w:noProof/>
          </w:rPr>
          <w:t>2.1.1753</w:t>
        </w:r>
        <w:r>
          <w:rPr>
            <w:rFonts w:asciiTheme="minorHAnsi" w:eastAsiaTheme="minorEastAsia" w:hAnsiTheme="minorHAnsi" w:cstheme="minorBidi"/>
            <w:noProof/>
            <w:sz w:val="22"/>
            <w:szCs w:val="22"/>
          </w:rPr>
          <w:tab/>
        </w:r>
        <w:r w:rsidRPr="00CC53E5">
          <w:rPr>
            <w:rStyle w:val="Hyperlink"/>
            <w:noProof/>
          </w:rPr>
          <w:t>Part 4 Section 14.3.1, left (Table Cell Leading Edge Border)</w:t>
        </w:r>
        <w:r>
          <w:rPr>
            <w:noProof/>
            <w:webHidden/>
          </w:rPr>
          <w:tab/>
        </w:r>
        <w:r>
          <w:rPr>
            <w:noProof/>
            <w:webHidden/>
          </w:rPr>
          <w:fldChar w:fldCharType="begin"/>
        </w:r>
        <w:r>
          <w:rPr>
            <w:noProof/>
            <w:webHidden/>
          </w:rPr>
          <w:instrText xml:space="preserve"> PAGEREF _Toc69879536 \h </w:instrText>
        </w:r>
        <w:r>
          <w:rPr>
            <w:noProof/>
            <w:webHidden/>
          </w:rPr>
        </w:r>
        <w:r>
          <w:rPr>
            <w:noProof/>
            <w:webHidden/>
          </w:rPr>
          <w:fldChar w:fldCharType="separate"/>
        </w:r>
        <w:r>
          <w:rPr>
            <w:noProof/>
            <w:webHidden/>
          </w:rPr>
          <w:t>626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37" w:history="1">
        <w:r w:rsidRPr="00CC53E5">
          <w:rPr>
            <w:rStyle w:val="Hyperlink"/>
            <w:noProof/>
          </w:rPr>
          <w:t>2.1.1754</w:t>
        </w:r>
        <w:r>
          <w:rPr>
            <w:rFonts w:asciiTheme="minorHAnsi" w:eastAsiaTheme="minorEastAsia" w:hAnsiTheme="minorHAnsi" w:cstheme="minorBidi"/>
            <w:noProof/>
            <w:sz w:val="22"/>
            <w:szCs w:val="22"/>
          </w:rPr>
          <w:tab/>
        </w:r>
        <w:r w:rsidRPr="00CC53E5">
          <w:rPr>
            <w:rStyle w:val="Hyperlink"/>
            <w:noProof/>
          </w:rPr>
          <w:t>Part 4 Section 14.3.2, left (Table Leading Edge Border)</w:t>
        </w:r>
        <w:r>
          <w:rPr>
            <w:noProof/>
            <w:webHidden/>
          </w:rPr>
          <w:tab/>
        </w:r>
        <w:r>
          <w:rPr>
            <w:noProof/>
            <w:webHidden/>
          </w:rPr>
          <w:fldChar w:fldCharType="begin"/>
        </w:r>
        <w:r>
          <w:rPr>
            <w:noProof/>
            <w:webHidden/>
          </w:rPr>
          <w:instrText xml:space="preserve"> PAGEREF _Toc69879537 \h </w:instrText>
        </w:r>
        <w:r>
          <w:rPr>
            <w:noProof/>
            <w:webHidden/>
          </w:rPr>
        </w:r>
        <w:r>
          <w:rPr>
            <w:noProof/>
            <w:webHidden/>
          </w:rPr>
          <w:fldChar w:fldCharType="separate"/>
        </w:r>
        <w:r>
          <w:rPr>
            <w:noProof/>
            <w:webHidden/>
          </w:rPr>
          <w:t>626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38" w:history="1">
        <w:r w:rsidRPr="00CC53E5">
          <w:rPr>
            <w:rStyle w:val="Hyperlink"/>
            <w:noProof/>
          </w:rPr>
          <w:t>2.1.1755</w:t>
        </w:r>
        <w:r>
          <w:rPr>
            <w:rFonts w:asciiTheme="minorHAnsi" w:eastAsiaTheme="minorEastAsia" w:hAnsiTheme="minorHAnsi" w:cstheme="minorBidi"/>
            <w:noProof/>
            <w:sz w:val="22"/>
            <w:szCs w:val="22"/>
          </w:rPr>
          <w:tab/>
        </w:r>
        <w:r w:rsidRPr="00CC53E5">
          <w:rPr>
            <w:rStyle w:val="Hyperlink"/>
            <w:noProof/>
          </w:rPr>
          <w:t>Part 4 Section 14.3.3, left (Table Cell Leading Margin Exception)</w:t>
        </w:r>
        <w:r>
          <w:rPr>
            <w:noProof/>
            <w:webHidden/>
          </w:rPr>
          <w:tab/>
        </w:r>
        <w:r>
          <w:rPr>
            <w:noProof/>
            <w:webHidden/>
          </w:rPr>
          <w:fldChar w:fldCharType="begin"/>
        </w:r>
        <w:r>
          <w:rPr>
            <w:noProof/>
            <w:webHidden/>
          </w:rPr>
          <w:instrText xml:space="preserve"> PAGEREF _Toc69879538 \h </w:instrText>
        </w:r>
        <w:r>
          <w:rPr>
            <w:noProof/>
            <w:webHidden/>
          </w:rPr>
        </w:r>
        <w:r>
          <w:rPr>
            <w:noProof/>
            <w:webHidden/>
          </w:rPr>
          <w:fldChar w:fldCharType="separate"/>
        </w:r>
        <w:r>
          <w:rPr>
            <w:noProof/>
            <w:webHidden/>
          </w:rPr>
          <w:t>626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39" w:history="1">
        <w:r w:rsidRPr="00CC53E5">
          <w:rPr>
            <w:rStyle w:val="Hyperlink"/>
            <w:noProof/>
          </w:rPr>
          <w:t>2.1.1756</w:t>
        </w:r>
        <w:r>
          <w:rPr>
            <w:rFonts w:asciiTheme="minorHAnsi" w:eastAsiaTheme="minorEastAsia" w:hAnsiTheme="minorHAnsi" w:cstheme="minorBidi"/>
            <w:noProof/>
            <w:sz w:val="22"/>
            <w:szCs w:val="22"/>
          </w:rPr>
          <w:tab/>
        </w:r>
        <w:r w:rsidRPr="00CC53E5">
          <w:rPr>
            <w:rStyle w:val="Hyperlink"/>
            <w:noProof/>
          </w:rPr>
          <w:t>Part 4 Section 14.3.4, left (Table Cell Leading Margin Default)</w:t>
        </w:r>
        <w:r>
          <w:rPr>
            <w:noProof/>
            <w:webHidden/>
          </w:rPr>
          <w:tab/>
        </w:r>
        <w:r>
          <w:rPr>
            <w:noProof/>
            <w:webHidden/>
          </w:rPr>
          <w:fldChar w:fldCharType="begin"/>
        </w:r>
        <w:r>
          <w:rPr>
            <w:noProof/>
            <w:webHidden/>
          </w:rPr>
          <w:instrText xml:space="preserve"> PAGEREF _Toc69879539 \h </w:instrText>
        </w:r>
        <w:r>
          <w:rPr>
            <w:noProof/>
            <w:webHidden/>
          </w:rPr>
        </w:r>
        <w:r>
          <w:rPr>
            <w:noProof/>
            <w:webHidden/>
          </w:rPr>
          <w:fldChar w:fldCharType="separate"/>
        </w:r>
        <w:r>
          <w:rPr>
            <w:noProof/>
            <w:webHidden/>
          </w:rPr>
          <w:t>626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40" w:history="1">
        <w:r w:rsidRPr="00CC53E5">
          <w:rPr>
            <w:rStyle w:val="Hyperlink"/>
            <w:noProof/>
          </w:rPr>
          <w:t>2.1.1757</w:t>
        </w:r>
        <w:r>
          <w:rPr>
            <w:rFonts w:asciiTheme="minorHAnsi" w:eastAsiaTheme="minorEastAsia" w:hAnsiTheme="minorHAnsi" w:cstheme="minorBidi"/>
            <w:noProof/>
            <w:sz w:val="22"/>
            <w:szCs w:val="22"/>
          </w:rPr>
          <w:tab/>
        </w:r>
        <w:r w:rsidRPr="00CC53E5">
          <w:rPr>
            <w:rStyle w:val="Hyperlink"/>
            <w:noProof/>
          </w:rPr>
          <w:t>Part 4 Section 14.3.5, right (Table Cell Trailing Edge Border)</w:t>
        </w:r>
        <w:r>
          <w:rPr>
            <w:noProof/>
            <w:webHidden/>
          </w:rPr>
          <w:tab/>
        </w:r>
        <w:r>
          <w:rPr>
            <w:noProof/>
            <w:webHidden/>
          </w:rPr>
          <w:fldChar w:fldCharType="begin"/>
        </w:r>
        <w:r>
          <w:rPr>
            <w:noProof/>
            <w:webHidden/>
          </w:rPr>
          <w:instrText xml:space="preserve"> PAGEREF _Toc69879540 \h </w:instrText>
        </w:r>
        <w:r>
          <w:rPr>
            <w:noProof/>
            <w:webHidden/>
          </w:rPr>
        </w:r>
        <w:r>
          <w:rPr>
            <w:noProof/>
            <w:webHidden/>
          </w:rPr>
          <w:fldChar w:fldCharType="separate"/>
        </w:r>
        <w:r>
          <w:rPr>
            <w:noProof/>
            <w:webHidden/>
          </w:rPr>
          <w:t>626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41" w:history="1">
        <w:r w:rsidRPr="00CC53E5">
          <w:rPr>
            <w:rStyle w:val="Hyperlink"/>
            <w:noProof/>
          </w:rPr>
          <w:t>2.1.1758</w:t>
        </w:r>
        <w:r>
          <w:rPr>
            <w:rFonts w:asciiTheme="minorHAnsi" w:eastAsiaTheme="minorEastAsia" w:hAnsiTheme="minorHAnsi" w:cstheme="minorBidi"/>
            <w:noProof/>
            <w:sz w:val="22"/>
            <w:szCs w:val="22"/>
          </w:rPr>
          <w:tab/>
        </w:r>
        <w:r w:rsidRPr="00CC53E5">
          <w:rPr>
            <w:rStyle w:val="Hyperlink"/>
            <w:noProof/>
          </w:rPr>
          <w:t>Part 4 Section 14.3.6, right (Table Trailing Edge Border)</w:t>
        </w:r>
        <w:r>
          <w:rPr>
            <w:noProof/>
            <w:webHidden/>
          </w:rPr>
          <w:tab/>
        </w:r>
        <w:r>
          <w:rPr>
            <w:noProof/>
            <w:webHidden/>
          </w:rPr>
          <w:fldChar w:fldCharType="begin"/>
        </w:r>
        <w:r>
          <w:rPr>
            <w:noProof/>
            <w:webHidden/>
          </w:rPr>
          <w:instrText xml:space="preserve"> PAGEREF _Toc69879541 \h </w:instrText>
        </w:r>
        <w:r>
          <w:rPr>
            <w:noProof/>
            <w:webHidden/>
          </w:rPr>
        </w:r>
        <w:r>
          <w:rPr>
            <w:noProof/>
            <w:webHidden/>
          </w:rPr>
          <w:fldChar w:fldCharType="separate"/>
        </w:r>
        <w:r>
          <w:rPr>
            <w:noProof/>
            <w:webHidden/>
          </w:rPr>
          <w:t>627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42" w:history="1">
        <w:r w:rsidRPr="00CC53E5">
          <w:rPr>
            <w:rStyle w:val="Hyperlink"/>
            <w:noProof/>
          </w:rPr>
          <w:t>2.1.1759</w:t>
        </w:r>
        <w:r>
          <w:rPr>
            <w:rFonts w:asciiTheme="minorHAnsi" w:eastAsiaTheme="minorEastAsia" w:hAnsiTheme="minorHAnsi" w:cstheme="minorBidi"/>
            <w:noProof/>
            <w:sz w:val="22"/>
            <w:szCs w:val="22"/>
          </w:rPr>
          <w:tab/>
        </w:r>
        <w:r w:rsidRPr="00CC53E5">
          <w:rPr>
            <w:rStyle w:val="Hyperlink"/>
            <w:noProof/>
          </w:rPr>
          <w:t>Part 4 Section 14.3.7, right (Table Cell Trailing Margin Default)</w:t>
        </w:r>
        <w:r>
          <w:rPr>
            <w:noProof/>
            <w:webHidden/>
          </w:rPr>
          <w:tab/>
        </w:r>
        <w:r>
          <w:rPr>
            <w:noProof/>
            <w:webHidden/>
          </w:rPr>
          <w:fldChar w:fldCharType="begin"/>
        </w:r>
        <w:r>
          <w:rPr>
            <w:noProof/>
            <w:webHidden/>
          </w:rPr>
          <w:instrText xml:space="preserve"> PAGEREF _Toc69879542 \h </w:instrText>
        </w:r>
        <w:r>
          <w:rPr>
            <w:noProof/>
            <w:webHidden/>
          </w:rPr>
        </w:r>
        <w:r>
          <w:rPr>
            <w:noProof/>
            <w:webHidden/>
          </w:rPr>
          <w:fldChar w:fldCharType="separate"/>
        </w:r>
        <w:r>
          <w:rPr>
            <w:noProof/>
            <w:webHidden/>
          </w:rPr>
          <w:t>627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43" w:history="1">
        <w:r w:rsidRPr="00CC53E5">
          <w:rPr>
            <w:rStyle w:val="Hyperlink"/>
            <w:noProof/>
          </w:rPr>
          <w:t>2.1.1760</w:t>
        </w:r>
        <w:r>
          <w:rPr>
            <w:rFonts w:asciiTheme="minorHAnsi" w:eastAsiaTheme="minorEastAsia" w:hAnsiTheme="minorHAnsi" w:cstheme="minorBidi"/>
            <w:noProof/>
            <w:sz w:val="22"/>
            <w:szCs w:val="22"/>
          </w:rPr>
          <w:tab/>
        </w:r>
        <w:r w:rsidRPr="00CC53E5">
          <w:rPr>
            <w:rStyle w:val="Hyperlink"/>
            <w:noProof/>
          </w:rPr>
          <w:t>Part 4 Section 14.3.8, right (Table Cell Trailing Margin Exception)</w:t>
        </w:r>
        <w:r>
          <w:rPr>
            <w:noProof/>
            <w:webHidden/>
          </w:rPr>
          <w:tab/>
        </w:r>
        <w:r>
          <w:rPr>
            <w:noProof/>
            <w:webHidden/>
          </w:rPr>
          <w:fldChar w:fldCharType="begin"/>
        </w:r>
        <w:r>
          <w:rPr>
            <w:noProof/>
            <w:webHidden/>
          </w:rPr>
          <w:instrText xml:space="preserve"> PAGEREF _Toc69879543 \h </w:instrText>
        </w:r>
        <w:r>
          <w:rPr>
            <w:noProof/>
            <w:webHidden/>
          </w:rPr>
        </w:r>
        <w:r>
          <w:rPr>
            <w:noProof/>
            <w:webHidden/>
          </w:rPr>
          <w:fldChar w:fldCharType="separate"/>
        </w:r>
        <w:r>
          <w:rPr>
            <w:noProof/>
            <w:webHidden/>
          </w:rPr>
          <w:t>627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44" w:history="1">
        <w:r w:rsidRPr="00CC53E5">
          <w:rPr>
            <w:rStyle w:val="Hyperlink"/>
            <w:noProof/>
          </w:rPr>
          <w:t>2.1.1761</w:t>
        </w:r>
        <w:r>
          <w:rPr>
            <w:rFonts w:asciiTheme="minorHAnsi" w:eastAsiaTheme="minorEastAsia" w:hAnsiTheme="minorHAnsi" w:cstheme="minorBidi"/>
            <w:noProof/>
            <w:sz w:val="22"/>
            <w:szCs w:val="22"/>
          </w:rPr>
          <w:tab/>
        </w:r>
        <w:r w:rsidRPr="00CC53E5">
          <w:rPr>
            <w:rStyle w:val="Hyperlink"/>
            <w:noProof/>
          </w:rPr>
          <w:t>Part 4 Section 14.3.9, Additional attribute for cnfStyle element (Part 1, 17.4.7)</w:t>
        </w:r>
        <w:r>
          <w:rPr>
            <w:noProof/>
            <w:webHidden/>
          </w:rPr>
          <w:tab/>
        </w:r>
        <w:r>
          <w:rPr>
            <w:noProof/>
            <w:webHidden/>
          </w:rPr>
          <w:fldChar w:fldCharType="begin"/>
        </w:r>
        <w:r>
          <w:rPr>
            <w:noProof/>
            <w:webHidden/>
          </w:rPr>
          <w:instrText xml:space="preserve"> PAGEREF _Toc69879544 \h </w:instrText>
        </w:r>
        <w:r>
          <w:rPr>
            <w:noProof/>
            <w:webHidden/>
          </w:rPr>
        </w:r>
        <w:r>
          <w:rPr>
            <w:noProof/>
            <w:webHidden/>
          </w:rPr>
          <w:fldChar w:fldCharType="separate"/>
        </w:r>
        <w:r>
          <w:rPr>
            <w:noProof/>
            <w:webHidden/>
          </w:rPr>
          <w:t>627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45" w:history="1">
        <w:r w:rsidRPr="00CC53E5">
          <w:rPr>
            <w:rStyle w:val="Hyperlink"/>
            <w:noProof/>
          </w:rPr>
          <w:t>2.1.1762</w:t>
        </w:r>
        <w:r>
          <w:rPr>
            <w:rFonts w:asciiTheme="minorHAnsi" w:eastAsiaTheme="minorEastAsia" w:hAnsiTheme="minorHAnsi" w:cstheme="minorBidi"/>
            <w:noProof/>
            <w:sz w:val="22"/>
            <w:szCs w:val="22"/>
          </w:rPr>
          <w:tab/>
        </w:r>
        <w:r w:rsidRPr="00CC53E5">
          <w:rPr>
            <w:rStyle w:val="Hyperlink"/>
            <w:noProof/>
          </w:rPr>
          <w:t>Part 4 Section 14.3.10, Additional attribute for cnfStyle element (Part 1, 17.4.8)</w:t>
        </w:r>
        <w:r>
          <w:rPr>
            <w:noProof/>
            <w:webHidden/>
          </w:rPr>
          <w:tab/>
        </w:r>
        <w:r>
          <w:rPr>
            <w:noProof/>
            <w:webHidden/>
          </w:rPr>
          <w:fldChar w:fldCharType="begin"/>
        </w:r>
        <w:r>
          <w:rPr>
            <w:noProof/>
            <w:webHidden/>
          </w:rPr>
          <w:instrText xml:space="preserve"> PAGEREF _Toc69879545 \h </w:instrText>
        </w:r>
        <w:r>
          <w:rPr>
            <w:noProof/>
            <w:webHidden/>
          </w:rPr>
        </w:r>
        <w:r>
          <w:rPr>
            <w:noProof/>
            <w:webHidden/>
          </w:rPr>
          <w:fldChar w:fldCharType="separate"/>
        </w:r>
        <w:r>
          <w:rPr>
            <w:noProof/>
            <w:webHidden/>
          </w:rPr>
          <w:t>627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46" w:history="1">
        <w:r w:rsidRPr="00CC53E5">
          <w:rPr>
            <w:rStyle w:val="Hyperlink"/>
            <w:noProof/>
          </w:rPr>
          <w:t>2.1.1763</w:t>
        </w:r>
        <w:r>
          <w:rPr>
            <w:rFonts w:asciiTheme="minorHAnsi" w:eastAsiaTheme="minorEastAsia" w:hAnsiTheme="minorHAnsi" w:cstheme="minorBidi"/>
            <w:noProof/>
            <w:sz w:val="22"/>
            <w:szCs w:val="22"/>
          </w:rPr>
          <w:tab/>
        </w:r>
        <w:r w:rsidRPr="00CC53E5">
          <w:rPr>
            <w:rStyle w:val="Hyperlink"/>
            <w:noProof/>
          </w:rPr>
          <w:t>Part 4 Section 14.3.13, hMerge (Horizontally Merged Cell)</w:t>
        </w:r>
        <w:r>
          <w:rPr>
            <w:noProof/>
            <w:webHidden/>
          </w:rPr>
          <w:tab/>
        </w:r>
        <w:r>
          <w:rPr>
            <w:noProof/>
            <w:webHidden/>
          </w:rPr>
          <w:fldChar w:fldCharType="begin"/>
        </w:r>
        <w:r>
          <w:rPr>
            <w:noProof/>
            <w:webHidden/>
          </w:rPr>
          <w:instrText xml:space="preserve"> PAGEREF _Toc69879546 \h </w:instrText>
        </w:r>
        <w:r>
          <w:rPr>
            <w:noProof/>
            <w:webHidden/>
          </w:rPr>
        </w:r>
        <w:r>
          <w:rPr>
            <w:noProof/>
            <w:webHidden/>
          </w:rPr>
          <w:fldChar w:fldCharType="separate"/>
        </w:r>
        <w:r>
          <w:rPr>
            <w:noProof/>
            <w:webHidden/>
          </w:rPr>
          <w:t>627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47" w:history="1">
        <w:r w:rsidRPr="00CC53E5">
          <w:rPr>
            <w:rStyle w:val="Hyperlink"/>
            <w:noProof/>
          </w:rPr>
          <w:t>2.1.1764</w:t>
        </w:r>
        <w:r>
          <w:rPr>
            <w:rFonts w:asciiTheme="minorHAnsi" w:eastAsiaTheme="minorEastAsia" w:hAnsiTheme="minorHAnsi" w:cstheme="minorBidi"/>
            <w:noProof/>
            <w:sz w:val="22"/>
            <w:szCs w:val="22"/>
          </w:rPr>
          <w:tab/>
        </w:r>
        <w:r w:rsidRPr="00CC53E5">
          <w:rPr>
            <w:rStyle w:val="Hyperlink"/>
            <w:noProof/>
          </w:rPr>
          <w:t>Part 4 Section 14.5.1, pict (Picture Numbering Symbol Properties)</w:t>
        </w:r>
        <w:r>
          <w:rPr>
            <w:noProof/>
            <w:webHidden/>
          </w:rPr>
          <w:tab/>
        </w:r>
        <w:r>
          <w:rPr>
            <w:noProof/>
            <w:webHidden/>
          </w:rPr>
          <w:fldChar w:fldCharType="begin"/>
        </w:r>
        <w:r>
          <w:rPr>
            <w:noProof/>
            <w:webHidden/>
          </w:rPr>
          <w:instrText xml:space="preserve"> PAGEREF _Toc69879547 \h </w:instrText>
        </w:r>
        <w:r>
          <w:rPr>
            <w:noProof/>
            <w:webHidden/>
          </w:rPr>
        </w:r>
        <w:r>
          <w:rPr>
            <w:noProof/>
            <w:webHidden/>
          </w:rPr>
          <w:fldChar w:fldCharType="separate"/>
        </w:r>
        <w:r>
          <w:rPr>
            <w:noProof/>
            <w:webHidden/>
          </w:rPr>
          <w:t>627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48" w:history="1">
        <w:r w:rsidRPr="00CC53E5">
          <w:rPr>
            <w:rStyle w:val="Hyperlink"/>
            <w:noProof/>
          </w:rPr>
          <w:t>2.1.1765</w:t>
        </w:r>
        <w:r>
          <w:rPr>
            <w:rFonts w:asciiTheme="minorHAnsi" w:eastAsiaTheme="minorEastAsia" w:hAnsiTheme="minorHAnsi" w:cstheme="minorBidi"/>
            <w:noProof/>
            <w:sz w:val="22"/>
            <w:szCs w:val="22"/>
          </w:rPr>
          <w:tab/>
        </w:r>
        <w:r w:rsidRPr="00CC53E5">
          <w:rPr>
            <w:rStyle w:val="Hyperlink"/>
            <w:noProof/>
          </w:rPr>
          <w:t>Part 4 Section 14.5.2, legacy (Legacy Numbering Level Properties)</w:t>
        </w:r>
        <w:r>
          <w:rPr>
            <w:noProof/>
            <w:webHidden/>
          </w:rPr>
          <w:tab/>
        </w:r>
        <w:r>
          <w:rPr>
            <w:noProof/>
            <w:webHidden/>
          </w:rPr>
          <w:fldChar w:fldCharType="begin"/>
        </w:r>
        <w:r>
          <w:rPr>
            <w:noProof/>
            <w:webHidden/>
          </w:rPr>
          <w:instrText xml:space="preserve"> PAGEREF _Toc69879548 \h </w:instrText>
        </w:r>
        <w:r>
          <w:rPr>
            <w:noProof/>
            <w:webHidden/>
          </w:rPr>
        </w:r>
        <w:r>
          <w:rPr>
            <w:noProof/>
            <w:webHidden/>
          </w:rPr>
          <w:fldChar w:fldCharType="separate"/>
        </w:r>
        <w:r>
          <w:rPr>
            <w:noProof/>
            <w:webHidden/>
          </w:rPr>
          <w:t>628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49" w:history="1">
        <w:r w:rsidRPr="00CC53E5">
          <w:rPr>
            <w:rStyle w:val="Hyperlink"/>
            <w:noProof/>
          </w:rPr>
          <w:t>2.1.1766</w:t>
        </w:r>
        <w:r>
          <w:rPr>
            <w:rFonts w:asciiTheme="minorHAnsi" w:eastAsiaTheme="minorEastAsia" w:hAnsiTheme="minorHAnsi" w:cstheme="minorBidi"/>
            <w:noProof/>
            <w:sz w:val="22"/>
            <w:szCs w:val="22"/>
          </w:rPr>
          <w:tab/>
        </w:r>
        <w:r w:rsidRPr="00CC53E5">
          <w:rPr>
            <w:rStyle w:val="Hyperlink"/>
            <w:noProof/>
          </w:rPr>
          <w:t>Part 4 Section 14.6.1.1, numberingChange (Previous Numbering Field Properties)</w:t>
        </w:r>
        <w:r>
          <w:rPr>
            <w:noProof/>
            <w:webHidden/>
          </w:rPr>
          <w:tab/>
        </w:r>
        <w:r>
          <w:rPr>
            <w:noProof/>
            <w:webHidden/>
          </w:rPr>
          <w:fldChar w:fldCharType="begin"/>
        </w:r>
        <w:r>
          <w:rPr>
            <w:noProof/>
            <w:webHidden/>
          </w:rPr>
          <w:instrText xml:space="preserve"> PAGEREF _Toc69879549 \h </w:instrText>
        </w:r>
        <w:r>
          <w:rPr>
            <w:noProof/>
            <w:webHidden/>
          </w:rPr>
        </w:r>
        <w:r>
          <w:rPr>
            <w:noProof/>
            <w:webHidden/>
          </w:rPr>
          <w:fldChar w:fldCharType="separate"/>
        </w:r>
        <w:r>
          <w:rPr>
            <w:noProof/>
            <w:webHidden/>
          </w:rPr>
          <w:t>628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50" w:history="1">
        <w:r w:rsidRPr="00CC53E5">
          <w:rPr>
            <w:rStyle w:val="Hyperlink"/>
            <w:noProof/>
          </w:rPr>
          <w:t>2.1.1767</w:t>
        </w:r>
        <w:r>
          <w:rPr>
            <w:rFonts w:asciiTheme="minorHAnsi" w:eastAsiaTheme="minorEastAsia" w:hAnsiTheme="minorHAnsi" w:cstheme="minorBidi"/>
            <w:noProof/>
            <w:sz w:val="22"/>
            <w:szCs w:val="22"/>
          </w:rPr>
          <w:tab/>
        </w:r>
        <w:r w:rsidRPr="00CC53E5">
          <w:rPr>
            <w:rStyle w:val="Hyperlink"/>
            <w:noProof/>
          </w:rPr>
          <w:t>Part 4 Section 14.6.1.2, numberingChange (Previous Paragraph Numbering Properties)</w:t>
        </w:r>
        <w:r>
          <w:rPr>
            <w:noProof/>
            <w:webHidden/>
          </w:rPr>
          <w:tab/>
        </w:r>
        <w:r>
          <w:rPr>
            <w:noProof/>
            <w:webHidden/>
          </w:rPr>
          <w:fldChar w:fldCharType="begin"/>
        </w:r>
        <w:r>
          <w:rPr>
            <w:noProof/>
            <w:webHidden/>
          </w:rPr>
          <w:instrText xml:space="preserve"> PAGEREF _Toc69879550 \h </w:instrText>
        </w:r>
        <w:r>
          <w:rPr>
            <w:noProof/>
            <w:webHidden/>
          </w:rPr>
        </w:r>
        <w:r>
          <w:rPr>
            <w:noProof/>
            <w:webHidden/>
          </w:rPr>
          <w:fldChar w:fldCharType="separate"/>
        </w:r>
        <w:r>
          <w:rPr>
            <w:noProof/>
            <w:webHidden/>
          </w:rPr>
          <w:t>628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51" w:history="1">
        <w:r w:rsidRPr="00CC53E5">
          <w:rPr>
            <w:rStyle w:val="Hyperlink"/>
            <w:noProof/>
          </w:rPr>
          <w:t>2.1.1768</w:t>
        </w:r>
        <w:r>
          <w:rPr>
            <w:rFonts w:asciiTheme="minorHAnsi" w:eastAsiaTheme="minorEastAsia" w:hAnsiTheme="minorHAnsi" w:cstheme="minorBidi"/>
            <w:noProof/>
            <w:sz w:val="22"/>
            <w:szCs w:val="22"/>
          </w:rPr>
          <w:tab/>
        </w:r>
        <w:r w:rsidRPr="00CC53E5">
          <w:rPr>
            <w:rStyle w:val="Hyperlink"/>
            <w:noProof/>
          </w:rPr>
          <w:t>Part 4 Section 14.7.2.1, hdrShapeDefaults (Default Properties for VML Objects in Header and Footer)</w:t>
        </w:r>
        <w:r>
          <w:rPr>
            <w:noProof/>
            <w:webHidden/>
          </w:rPr>
          <w:tab/>
        </w:r>
        <w:r>
          <w:rPr>
            <w:noProof/>
            <w:webHidden/>
          </w:rPr>
          <w:fldChar w:fldCharType="begin"/>
        </w:r>
        <w:r>
          <w:rPr>
            <w:noProof/>
            <w:webHidden/>
          </w:rPr>
          <w:instrText xml:space="preserve"> PAGEREF _Toc69879551 \h </w:instrText>
        </w:r>
        <w:r>
          <w:rPr>
            <w:noProof/>
            <w:webHidden/>
          </w:rPr>
        </w:r>
        <w:r>
          <w:rPr>
            <w:noProof/>
            <w:webHidden/>
          </w:rPr>
          <w:fldChar w:fldCharType="separate"/>
        </w:r>
        <w:r>
          <w:rPr>
            <w:noProof/>
            <w:webHidden/>
          </w:rPr>
          <w:t>631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52" w:history="1">
        <w:r w:rsidRPr="00CC53E5">
          <w:rPr>
            <w:rStyle w:val="Hyperlink"/>
            <w:noProof/>
          </w:rPr>
          <w:t>2.1.1769</w:t>
        </w:r>
        <w:r>
          <w:rPr>
            <w:rFonts w:asciiTheme="minorHAnsi" w:eastAsiaTheme="minorEastAsia" w:hAnsiTheme="minorHAnsi" w:cstheme="minorBidi"/>
            <w:noProof/>
            <w:sz w:val="22"/>
            <w:szCs w:val="22"/>
          </w:rPr>
          <w:tab/>
        </w:r>
        <w:r w:rsidRPr="00CC53E5">
          <w:rPr>
            <w:rStyle w:val="Hyperlink"/>
            <w:noProof/>
          </w:rPr>
          <w:t>Part 4 Section 14.7.2.2, shapeDefaults (Default Properties for VML Objects in Main Document)</w:t>
        </w:r>
        <w:r>
          <w:rPr>
            <w:noProof/>
            <w:webHidden/>
          </w:rPr>
          <w:tab/>
        </w:r>
        <w:r>
          <w:rPr>
            <w:noProof/>
            <w:webHidden/>
          </w:rPr>
          <w:fldChar w:fldCharType="begin"/>
        </w:r>
        <w:r>
          <w:rPr>
            <w:noProof/>
            <w:webHidden/>
          </w:rPr>
          <w:instrText xml:space="preserve"> PAGEREF _Toc69879552 \h </w:instrText>
        </w:r>
        <w:r>
          <w:rPr>
            <w:noProof/>
            <w:webHidden/>
          </w:rPr>
        </w:r>
        <w:r>
          <w:rPr>
            <w:noProof/>
            <w:webHidden/>
          </w:rPr>
          <w:fldChar w:fldCharType="separate"/>
        </w:r>
        <w:r>
          <w:rPr>
            <w:noProof/>
            <w:webHidden/>
          </w:rPr>
          <w:t>631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53" w:history="1">
        <w:r w:rsidRPr="00CC53E5">
          <w:rPr>
            <w:rStyle w:val="Hyperlink"/>
            <w:noProof/>
          </w:rPr>
          <w:t>2.1.1770</w:t>
        </w:r>
        <w:r>
          <w:rPr>
            <w:rFonts w:asciiTheme="minorHAnsi" w:eastAsiaTheme="minorEastAsia" w:hAnsiTheme="minorHAnsi" w:cstheme="minorBidi"/>
            <w:noProof/>
            <w:sz w:val="22"/>
            <w:szCs w:val="22"/>
          </w:rPr>
          <w:tab/>
        </w:r>
        <w:r w:rsidRPr="00CC53E5">
          <w:rPr>
            <w:rStyle w:val="Hyperlink"/>
            <w:noProof/>
          </w:rPr>
          <w:t>Part 4 Section 14.7.2.5, Additional attributes for writeProtection element (Part 1, 17.15.1.93)</w:t>
        </w:r>
        <w:r>
          <w:rPr>
            <w:noProof/>
            <w:webHidden/>
          </w:rPr>
          <w:tab/>
        </w:r>
        <w:r>
          <w:rPr>
            <w:noProof/>
            <w:webHidden/>
          </w:rPr>
          <w:fldChar w:fldCharType="begin"/>
        </w:r>
        <w:r>
          <w:rPr>
            <w:noProof/>
            <w:webHidden/>
          </w:rPr>
          <w:instrText xml:space="preserve"> PAGEREF _Toc69879553 \h </w:instrText>
        </w:r>
        <w:r>
          <w:rPr>
            <w:noProof/>
            <w:webHidden/>
          </w:rPr>
        </w:r>
        <w:r>
          <w:rPr>
            <w:noProof/>
            <w:webHidden/>
          </w:rPr>
          <w:fldChar w:fldCharType="separate"/>
        </w:r>
        <w:r>
          <w:rPr>
            <w:noProof/>
            <w:webHidden/>
          </w:rPr>
          <w:t>631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54" w:history="1">
        <w:r w:rsidRPr="00CC53E5">
          <w:rPr>
            <w:rStyle w:val="Hyperlink"/>
            <w:noProof/>
          </w:rPr>
          <w:t>2.1.1771</w:t>
        </w:r>
        <w:r>
          <w:rPr>
            <w:rFonts w:asciiTheme="minorHAnsi" w:eastAsiaTheme="minorEastAsia" w:hAnsiTheme="minorHAnsi" w:cstheme="minorBidi"/>
            <w:noProof/>
            <w:sz w:val="22"/>
            <w:szCs w:val="22"/>
          </w:rPr>
          <w:tab/>
        </w:r>
        <w:r w:rsidRPr="00CC53E5">
          <w:rPr>
            <w:rStyle w:val="Hyperlink"/>
            <w:noProof/>
          </w:rPr>
          <w:t>Part 4 Section 14.7.3.6, convMailMergeEsc (Treat Backslash Quotation Delimiter as Two Quotation Marks)</w:t>
        </w:r>
        <w:r>
          <w:rPr>
            <w:noProof/>
            <w:webHidden/>
          </w:rPr>
          <w:tab/>
        </w:r>
        <w:r>
          <w:rPr>
            <w:noProof/>
            <w:webHidden/>
          </w:rPr>
          <w:fldChar w:fldCharType="begin"/>
        </w:r>
        <w:r>
          <w:rPr>
            <w:noProof/>
            <w:webHidden/>
          </w:rPr>
          <w:instrText xml:space="preserve"> PAGEREF _Toc69879554 \h </w:instrText>
        </w:r>
        <w:r>
          <w:rPr>
            <w:noProof/>
            <w:webHidden/>
          </w:rPr>
        </w:r>
        <w:r>
          <w:rPr>
            <w:noProof/>
            <w:webHidden/>
          </w:rPr>
          <w:fldChar w:fldCharType="separate"/>
        </w:r>
        <w:r>
          <w:rPr>
            <w:noProof/>
            <w:webHidden/>
          </w:rPr>
          <w:t>631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55" w:history="1">
        <w:r w:rsidRPr="00CC53E5">
          <w:rPr>
            <w:rStyle w:val="Hyperlink"/>
            <w:noProof/>
          </w:rPr>
          <w:t>2.1.1772</w:t>
        </w:r>
        <w:r>
          <w:rPr>
            <w:rFonts w:asciiTheme="minorHAnsi" w:eastAsiaTheme="minorEastAsia" w:hAnsiTheme="minorHAnsi" w:cstheme="minorBidi"/>
            <w:noProof/>
            <w:sz w:val="22"/>
            <w:szCs w:val="22"/>
          </w:rPr>
          <w:tab/>
        </w:r>
        <w:r w:rsidRPr="00CC53E5">
          <w:rPr>
            <w:rStyle w:val="Hyperlink"/>
            <w:noProof/>
          </w:rPr>
          <w:t>Part 4 Section 14.7.3.8, doNotAutofitConstrainedTables (Do Not AutoFit Tables To Fit Next To Wrapped Objects)</w:t>
        </w:r>
        <w:r>
          <w:rPr>
            <w:noProof/>
            <w:webHidden/>
          </w:rPr>
          <w:tab/>
        </w:r>
        <w:r>
          <w:rPr>
            <w:noProof/>
            <w:webHidden/>
          </w:rPr>
          <w:fldChar w:fldCharType="begin"/>
        </w:r>
        <w:r>
          <w:rPr>
            <w:noProof/>
            <w:webHidden/>
          </w:rPr>
          <w:instrText xml:space="preserve"> PAGEREF _Toc69879555 \h </w:instrText>
        </w:r>
        <w:r>
          <w:rPr>
            <w:noProof/>
            <w:webHidden/>
          </w:rPr>
        </w:r>
        <w:r>
          <w:rPr>
            <w:noProof/>
            <w:webHidden/>
          </w:rPr>
          <w:fldChar w:fldCharType="separate"/>
        </w:r>
        <w:r>
          <w:rPr>
            <w:noProof/>
            <w:webHidden/>
          </w:rPr>
          <w:t>631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56" w:history="1">
        <w:r w:rsidRPr="00CC53E5">
          <w:rPr>
            <w:rStyle w:val="Hyperlink"/>
            <w:noProof/>
          </w:rPr>
          <w:t>2.1.1773</w:t>
        </w:r>
        <w:r>
          <w:rPr>
            <w:rFonts w:asciiTheme="minorHAnsi" w:eastAsiaTheme="minorEastAsia" w:hAnsiTheme="minorHAnsi" w:cstheme="minorBidi"/>
            <w:noProof/>
            <w:sz w:val="22"/>
            <w:szCs w:val="22"/>
          </w:rPr>
          <w:tab/>
        </w:r>
        <w:r w:rsidRPr="00CC53E5">
          <w:rPr>
            <w:rStyle w:val="Hyperlink"/>
            <w:noProof/>
          </w:rPr>
          <w:t>Part 4 Section 14.7.3.13, doNotSuppressParagraphBorders (Do Not Suppress Paragraph Borders Next To Frames)</w:t>
        </w:r>
        <w:r>
          <w:rPr>
            <w:noProof/>
            <w:webHidden/>
          </w:rPr>
          <w:tab/>
        </w:r>
        <w:r>
          <w:rPr>
            <w:noProof/>
            <w:webHidden/>
          </w:rPr>
          <w:fldChar w:fldCharType="begin"/>
        </w:r>
        <w:r>
          <w:rPr>
            <w:noProof/>
            <w:webHidden/>
          </w:rPr>
          <w:instrText xml:space="preserve"> PAGEREF _Toc69879556 \h </w:instrText>
        </w:r>
        <w:r>
          <w:rPr>
            <w:noProof/>
            <w:webHidden/>
          </w:rPr>
        </w:r>
        <w:r>
          <w:rPr>
            <w:noProof/>
            <w:webHidden/>
          </w:rPr>
          <w:fldChar w:fldCharType="separate"/>
        </w:r>
        <w:r>
          <w:rPr>
            <w:noProof/>
            <w:webHidden/>
          </w:rPr>
          <w:t>632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57" w:history="1">
        <w:r w:rsidRPr="00CC53E5">
          <w:rPr>
            <w:rStyle w:val="Hyperlink"/>
            <w:noProof/>
          </w:rPr>
          <w:t>2.1.1774</w:t>
        </w:r>
        <w:r>
          <w:rPr>
            <w:rFonts w:asciiTheme="minorHAnsi" w:eastAsiaTheme="minorEastAsia" w:hAnsiTheme="minorHAnsi" w:cstheme="minorBidi"/>
            <w:noProof/>
            <w:sz w:val="22"/>
            <w:szCs w:val="22"/>
          </w:rPr>
          <w:tab/>
        </w:r>
        <w:r w:rsidRPr="00CC53E5">
          <w:rPr>
            <w:rStyle w:val="Hyperlink"/>
            <w:noProof/>
          </w:rPr>
          <w:t>Part 4 Section 14.8.1.1, txbxContent (Rich Text Box Content Container)</w:t>
        </w:r>
        <w:r>
          <w:rPr>
            <w:noProof/>
            <w:webHidden/>
          </w:rPr>
          <w:tab/>
        </w:r>
        <w:r>
          <w:rPr>
            <w:noProof/>
            <w:webHidden/>
          </w:rPr>
          <w:fldChar w:fldCharType="begin"/>
        </w:r>
        <w:r>
          <w:rPr>
            <w:noProof/>
            <w:webHidden/>
          </w:rPr>
          <w:instrText xml:space="preserve"> PAGEREF _Toc69879557 \h </w:instrText>
        </w:r>
        <w:r>
          <w:rPr>
            <w:noProof/>
            <w:webHidden/>
          </w:rPr>
        </w:r>
        <w:r>
          <w:rPr>
            <w:noProof/>
            <w:webHidden/>
          </w:rPr>
          <w:fldChar w:fldCharType="separate"/>
        </w:r>
        <w:r>
          <w:rPr>
            <w:noProof/>
            <w:webHidden/>
          </w:rPr>
          <w:t>632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58" w:history="1">
        <w:r w:rsidRPr="00CC53E5">
          <w:rPr>
            <w:rStyle w:val="Hyperlink"/>
            <w:noProof/>
          </w:rPr>
          <w:t>2.1.1775</w:t>
        </w:r>
        <w:r>
          <w:rPr>
            <w:rFonts w:asciiTheme="minorHAnsi" w:eastAsiaTheme="minorEastAsia" w:hAnsiTheme="minorHAnsi" w:cstheme="minorBidi"/>
            <w:noProof/>
            <w:sz w:val="22"/>
            <w:szCs w:val="22"/>
          </w:rPr>
          <w:tab/>
        </w:r>
        <w:r w:rsidRPr="00CC53E5">
          <w:rPr>
            <w:rStyle w:val="Hyperlink"/>
            <w:noProof/>
          </w:rPr>
          <w:t>Part 4 Section 14.9.4.1, AUTONUM</w:t>
        </w:r>
        <w:r>
          <w:rPr>
            <w:noProof/>
            <w:webHidden/>
          </w:rPr>
          <w:tab/>
        </w:r>
        <w:r>
          <w:rPr>
            <w:noProof/>
            <w:webHidden/>
          </w:rPr>
          <w:fldChar w:fldCharType="begin"/>
        </w:r>
        <w:r>
          <w:rPr>
            <w:noProof/>
            <w:webHidden/>
          </w:rPr>
          <w:instrText xml:space="preserve"> PAGEREF _Toc69879558 \h </w:instrText>
        </w:r>
        <w:r>
          <w:rPr>
            <w:noProof/>
            <w:webHidden/>
          </w:rPr>
        </w:r>
        <w:r>
          <w:rPr>
            <w:noProof/>
            <w:webHidden/>
          </w:rPr>
          <w:fldChar w:fldCharType="separate"/>
        </w:r>
        <w:r>
          <w:rPr>
            <w:noProof/>
            <w:webHidden/>
          </w:rPr>
          <w:t>632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59" w:history="1">
        <w:r w:rsidRPr="00CC53E5">
          <w:rPr>
            <w:rStyle w:val="Hyperlink"/>
            <w:noProof/>
          </w:rPr>
          <w:t>2.1.1776</w:t>
        </w:r>
        <w:r>
          <w:rPr>
            <w:rFonts w:asciiTheme="minorHAnsi" w:eastAsiaTheme="minorEastAsia" w:hAnsiTheme="minorHAnsi" w:cstheme="minorBidi"/>
            <w:noProof/>
            <w:sz w:val="22"/>
            <w:szCs w:val="22"/>
          </w:rPr>
          <w:tab/>
        </w:r>
        <w:r w:rsidRPr="00CC53E5">
          <w:rPr>
            <w:rStyle w:val="Hyperlink"/>
            <w:noProof/>
          </w:rPr>
          <w:t>Part 4 Section 14.9.4.2, AUTONUMLGL</w:t>
        </w:r>
        <w:r>
          <w:rPr>
            <w:noProof/>
            <w:webHidden/>
          </w:rPr>
          <w:tab/>
        </w:r>
        <w:r>
          <w:rPr>
            <w:noProof/>
            <w:webHidden/>
          </w:rPr>
          <w:fldChar w:fldCharType="begin"/>
        </w:r>
        <w:r>
          <w:rPr>
            <w:noProof/>
            <w:webHidden/>
          </w:rPr>
          <w:instrText xml:space="preserve"> PAGEREF _Toc69879559 \h </w:instrText>
        </w:r>
        <w:r>
          <w:rPr>
            <w:noProof/>
            <w:webHidden/>
          </w:rPr>
        </w:r>
        <w:r>
          <w:rPr>
            <w:noProof/>
            <w:webHidden/>
          </w:rPr>
          <w:fldChar w:fldCharType="separate"/>
        </w:r>
        <w:r>
          <w:rPr>
            <w:noProof/>
            <w:webHidden/>
          </w:rPr>
          <w:t>632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60" w:history="1">
        <w:r w:rsidRPr="00CC53E5">
          <w:rPr>
            <w:rStyle w:val="Hyperlink"/>
            <w:noProof/>
          </w:rPr>
          <w:t>2.1.1777</w:t>
        </w:r>
        <w:r>
          <w:rPr>
            <w:rFonts w:asciiTheme="minorHAnsi" w:eastAsiaTheme="minorEastAsia" w:hAnsiTheme="minorHAnsi" w:cstheme="minorBidi"/>
            <w:noProof/>
            <w:sz w:val="22"/>
            <w:szCs w:val="22"/>
          </w:rPr>
          <w:tab/>
        </w:r>
        <w:r w:rsidRPr="00CC53E5">
          <w:rPr>
            <w:rStyle w:val="Hyperlink"/>
            <w:noProof/>
          </w:rPr>
          <w:t>Part 4 Section 14.9.4.3, AUTONUMOUT</w:t>
        </w:r>
        <w:r>
          <w:rPr>
            <w:noProof/>
            <w:webHidden/>
          </w:rPr>
          <w:tab/>
        </w:r>
        <w:r>
          <w:rPr>
            <w:noProof/>
            <w:webHidden/>
          </w:rPr>
          <w:fldChar w:fldCharType="begin"/>
        </w:r>
        <w:r>
          <w:rPr>
            <w:noProof/>
            <w:webHidden/>
          </w:rPr>
          <w:instrText xml:space="preserve"> PAGEREF _Toc69879560 \h </w:instrText>
        </w:r>
        <w:r>
          <w:rPr>
            <w:noProof/>
            <w:webHidden/>
          </w:rPr>
        </w:r>
        <w:r>
          <w:rPr>
            <w:noProof/>
            <w:webHidden/>
          </w:rPr>
          <w:fldChar w:fldCharType="separate"/>
        </w:r>
        <w:r>
          <w:rPr>
            <w:noProof/>
            <w:webHidden/>
          </w:rPr>
          <w:t>632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61" w:history="1">
        <w:r w:rsidRPr="00CC53E5">
          <w:rPr>
            <w:rStyle w:val="Hyperlink"/>
            <w:noProof/>
          </w:rPr>
          <w:t>2.1.1778</w:t>
        </w:r>
        <w:r>
          <w:rPr>
            <w:rFonts w:asciiTheme="minorHAnsi" w:eastAsiaTheme="minorEastAsia" w:hAnsiTheme="minorHAnsi" w:cstheme="minorBidi"/>
            <w:noProof/>
            <w:sz w:val="22"/>
            <w:szCs w:val="22"/>
          </w:rPr>
          <w:tab/>
        </w:r>
        <w:r w:rsidRPr="00CC53E5">
          <w:rPr>
            <w:rStyle w:val="Hyperlink"/>
            <w:noProof/>
          </w:rPr>
          <w:t>Part 4 Section 14.9.4.4, BARCODE</w:t>
        </w:r>
        <w:r>
          <w:rPr>
            <w:noProof/>
            <w:webHidden/>
          </w:rPr>
          <w:tab/>
        </w:r>
        <w:r>
          <w:rPr>
            <w:noProof/>
            <w:webHidden/>
          </w:rPr>
          <w:fldChar w:fldCharType="begin"/>
        </w:r>
        <w:r>
          <w:rPr>
            <w:noProof/>
            <w:webHidden/>
          </w:rPr>
          <w:instrText xml:space="preserve"> PAGEREF _Toc69879561 \h </w:instrText>
        </w:r>
        <w:r>
          <w:rPr>
            <w:noProof/>
            <w:webHidden/>
          </w:rPr>
        </w:r>
        <w:r>
          <w:rPr>
            <w:noProof/>
            <w:webHidden/>
          </w:rPr>
          <w:fldChar w:fldCharType="separate"/>
        </w:r>
        <w:r>
          <w:rPr>
            <w:noProof/>
            <w:webHidden/>
          </w:rPr>
          <w:t>633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62" w:history="1">
        <w:r w:rsidRPr="00CC53E5">
          <w:rPr>
            <w:rStyle w:val="Hyperlink"/>
            <w:noProof/>
          </w:rPr>
          <w:t>2.1.1779</w:t>
        </w:r>
        <w:r>
          <w:rPr>
            <w:rFonts w:asciiTheme="minorHAnsi" w:eastAsiaTheme="minorEastAsia" w:hAnsiTheme="minorHAnsi" w:cstheme="minorBidi"/>
            <w:noProof/>
            <w:sz w:val="22"/>
            <w:szCs w:val="22"/>
          </w:rPr>
          <w:tab/>
        </w:r>
        <w:r w:rsidRPr="00CC53E5">
          <w:rPr>
            <w:rStyle w:val="Hyperlink"/>
            <w:noProof/>
          </w:rPr>
          <w:t>Part 4 Section 14.9.4.5, BIDIOUTLINE</w:t>
        </w:r>
        <w:r>
          <w:rPr>
            <w:noProof/>
            <w:webHidden/>
          </w:rPr>
          <w:tab/>
        </w:r>
        <w:r>
          <w:rPr>
            <w:noProof/>
            <w:webHidden/>
          </w:rPr>
          <w:fldChar w:fldCharType="begin"/>
        </w:r>
        <w:r>
          <w:rPr>
            <w:noProof/>
            <w:webHidden/>
          </w:rPr>
          <w:instrText xml:space="preserve"> PAGEREF _Toc69879562 \h </w:instrText>
        </w:r>
        <w:r>
          <w:rPr>
            <w:noProof/>
            <w:webHidden/>
          </w:rPr>
        </w:r>
        <w:r>
          <w:rPr>
            <w:noProof/>
            <w:webHidden/>
          </w:rPr>
          <w:fldChar w:fldCharType="separate"/>
        </w:r>
        <w:r>
          <w:rPr>
            <w:noProof/>
            <w:webHidden/>
          </w:rPr>
          <w:t>633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63" w:history="1">
        <w:r w:rsidRPr="00CC53E5">
          <w:rPr>
            <w:rStyle w:val="Hyperlink"/>
            <w:noProof/>
          </w:rPr>
          <w:t>2.1.1780</w:t>
        </w:r>
        <w:r>
          <w:rPr>
            <w:rFonts w:asciiTheme="minorHAnsi" w:eastAsiaTheme="minorEastAsia" w:hAnsiTheme="minorHAnsi" w:cstheme="minorBidi"/>
            <w:noProof/>
            <w:sz w:val="22"/>
            <w:szCs w:val="22"/>
          </w:rPr>
          <w:tab/>
        </w:r>
        <w:r w:rsidRPr="00CC53E5">
          <w:rPr>
            <w:rStyle w:val="Hyperlink"/>
            <w:noProof/>
          </w:rPr>
          <w:t>Part 4 Section 14.9.4.6, EQ</w:t>
        </w:r>
        <w:r>
          <w:rPr>
            <w:noProof/>
            <w:webHidden/>
          </w:rPr>
          <w:tab/>
        </w:r>
        <w:r>
          <w:rPr>
            <w:noProof/>
            <w:webHidden/>
          </w:rPr>
          <w:fldChar w:fldCharType="begin"/>
        </w:r>
        <w:r>
          <w:rPr>
            <w:noProof/>
            <w:webHidden/>
          </w:rPr>
          <w:instrText xml:space="preserve"> PAGEREF _Toc69879563 \h </w:instrText>
        </w:r>
        <w:r>
          <w:rPr>
            <w:noProof/>
            <w:webHidden/>
          </w:rPr>
        </w:r>
        <w:r>
          <w:rPr>
            <w:noProof/>
            <w:webHidden/>
          </w:rPr>
          <w:fldChar w:fldCharType="separate"/>
        </w:r>
        <w:r>
          <w:rPr>
            <w:noProof/>
            <w:webHidden/>
          </w:rPr>
          <w:t>633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64" w:history="1">
        <w:r w:rsidRPr="00CC53E5">
          <w:rPr>
            <w:rStyle w:val="Hyperlink"/>
            <w:noProof/>
          </w:rPr>
          <w:t>2.1.1781</w:t>
        </w:r>
        <w:r>
          <w:rPr>
            <w:rFonts w:asciiTheme="minorHAnsi" w:eastAsiaTheme="minorEastAsia" w:hAnsiTheme="minorHAnsi" w:cstheme="minorBidi"/>
            <w:noProof/>
            <w:sz w:val="22"/>
            <w:szCs w:val="22"/>
          </w:rPr>
          <w:tab/>
        </w:r>
        <w:r w:rsidRPr="00CC53E5">
          <w:rPr>
            <w:rStyle w:val="Hyperlink"/>
            <w:noProof/>
          </w:rPr>
          <w:t>Part 4 Section 14.10.5, Additional enumeration values for ST_StyleSort (Part 1, 17.18.82)</w:t>
        </w:r>
        <w:r>
          <w:rPr>
            <w:noProof/>
            <w:webHidden/>
          </w:rPr>
          <w:tab/>
        </w:r>
        <w:r>
          <w:rPr>
            <w:noProof/>
            <w:webHidden/>
          </w:rPr>
          <w:fldChar w:fldCharType="begin"/>
        </w:r>
        <w:r>
          <w:rPr>
            <w:noProof/>
            <w:webHidden/>
          </w:rPr>
          <w:instrText xml:space="preserve"> PAGEREF _Toc69879564 \h </w:instrText>
        </w:r>
        <w:r>
          <w:rPr>
            <w:noProof/>
            <w:webHidden/>
          </w:rPr>
        </w:r>
        <w:r>
          <w:rPr>
            <w:noProof/>
            <w:webHidden/>
          </w:rPr>
          <w:fldChar w:fldCharType="separate"/>
        </w:r>
        <w:r>
          <w:rPr>
            <w:noProof/>
            <w:webHidden/>
          </w:rPr>
          <w:t>634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65" w:history="1">
        <w:r w:rsidRPr="00CC53E5">
          <w:rPr>
            <w:rStyle w:val="Hyperlink"/>
            <w:noProof/>
          </w:rPr>
          <w:t>2.1.1782</w:t>
        </w:r>
        <w:r>
          <w:rPr>
            <w:rFonts w:asciiTheme="minorHAnsi" w:eastAsiaTheme="minorEastAsia" w:hAnsiTheme="minorHAnsi" w:cstheme="minorBidi"/>
            <w:noProof/>
            <w:sz w:val="22"/>
            <w:szCs w:val="22"/>
          </w:rPr>
          <w:tab/>
        </w:r>
        <w:r w:rsidRPr="00CC53E5">
          <w:rPr>
            <w:rStyle w:val="Hyperlink"/>
            <w:noProof/>
          </w:rPr>
          <w:t>Part 4 Section 17.1.2.10, ST_TextFontScalePercent (Text Font Scale Percentage)</w:t>
        </w:r>
        <w:r>
          <w:rPr>
            <w:noProof/>
            <w:webHidden/>
          </w:rPr>
          <w:tab/>
        </w:r>
        <w:r>
          <w:rPr>
            <w:noProof/>
            <w:webHidden/>
          </w:rPr>
          <w:fldChar w:fldCharType="begin"/>
        </w:r>
        <w:r>
          <w:rPr>
            <w:noProof/>
            <w:webHidden/>
          </w:rPr>
          <w:instrText xml:space="preserve"> PAGEREF _Toc69879565 \h </w:instrText>
        </w:r>
        <w:r>
          <w:rPr>
            <w:noProof/>
            <w:webHidden/>
          </w:rPr>
        </w:r>
        <w:r>
          <w:rPr>
            <w:noProof/>
            <w:webHidden/>
          </w:rPr>
          <w:fldChar w:fldCharType="separate"/>
        </w:r>
        <w:r>
          <w:rPr>
            <w:noProof/>
            <w:webHidden/>
          </w:rPr>
          <w:t>634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66" w:history="1">
        <w:r w:rsidRPr="00CC53E5">
          <w:rPr>
            <w:rStyle w:val="Hyperlink"/>
            <w:noProof/>
          </w:rPr>
          <w:t>2.1.1783</w:t>
        </w:r>
        <w:r>
          <w:rPr>
            <w:rFonts w:asciiTheme="minorHAnsi" w:eastAsiaTheme="minorEastAsia" w:hAnsiTheme="minorHAnsi" w:cstheme="minorBidi"/>
            <w:noProof/>
            <w:sz w:val="22"/>
            <w:szCs w:val="22"/>
          </w:rPr>
          <w:tab/>
        </w:r>
        <w:r w:rsidRPr="00CC53E5">
          <w:rPr>
            <w:rStyle w:val="Hyperlink"/>
            <w:noProof/>
          </w:rPr>
          <w:t>Part 4 Section 17.1.2.11, ST_TextSpacingPercent (Text Spacing Percent)</w:t>
        </w:r>
        <w:r>
          <w:rPr>
            <w:noProof/>
            <w:webHidden/>
          </w:rPr>
          <w:tab/>
        </w:r>
        <w:r>
          <w:rPr>
            <w:noProof/>
            <w:webHidden/>
          </w:rPr>
          <w:fldChar w:fldCharType="begin"/>
        </w:r>
        <w:r>
          <w:rPr>
            <w:noProof/>
            <w:webHidden/>
          </w:rPr>
          <w:instrText xml:space="preserve"> PAGEREF _Toc69879566 \h </w:instrText>
        </w:r>
        <w:r>
          <w:rPr>
            <w:noProof/>
            <w:webHidden/>
          </w:rPr>
        </w:r>
        <w:r>
          <w:rPr>
            <w:noProof/>
            <w:webHidden/>
          </w:rPr>
          <w:fldChar w:fldCharType="separate"/>
        </w:r>
        <w:r>
          <w:rPr>
            <w:noProof/>
            <w:webHidden/>
          </w:rPr>
          <w:t>634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67" w:history="1">
        <w:r w:rsidRPr="00CC53E5">
          <w:rPr>
            <w:rStyle w:val="Hyperlink"/>
            <w:noProof/>
          </w:rPr>
          <w:t>2.1.1784</w:t>
        </w:r>
        <w:r>
          <w:rPr>
            <w:rFonts w:asciiTheme="minorHAnsi" w:eastAsiaTheme="minorEastAsia" w:hAnsiTheme="minorHAnsi" w:cstheme="minorBidi"/>
            <w:noProof/>
            <w:sz w:val="22"/>
            <w:szCs w:val="22"/>
          </w:rPr>
          <w:tab/>
        </w:r>
        <w:r w:rsidRPr="00CC53E5">
          <w:rPr>
            <w:rStyle w:val="Hyperlink"/>
            <w:noProof/>
          </w:rPr>
          <w:t>Part 4 Section 19.1, VML</w:t>
        </w:r>
        <w:r>
          <w:rPr>
            <w:noProof/>
            <w:webHidden/>
          </w:rPr>
          <w:tab/>
        </w:r>
        <w:r>
          <w:rPr>
            <w:noProof/>
            <w:webHidden/>
          </w:rPr>
          <w:fldChar w:fldCharType="begin"/>
        </w:r>
        <w:r>
          <w:rPr>
            <w:noProof/>
            <w:webHidden/>
          </w:rPr>
          <w:instrText xml:space="preserve"> PAGEREF _Toc69879567 \h </w:instrText>
        </w:r>
        <w:r>
          <w:rPr>
            <w:noProof/>
            <w:webHidden/>
          </w:rPr>
        </w:r>
        <w:r>
          <w:rPr>
            <w:noProof/>
            <w:webHidden/>
          </w:rPr>
          <w:fldChar w:fldCharType="separate"/>
        </w:r>
        <w:r>
          <w:rPr>
            <w:noProof/>
            <w:webHidden/>
          </w:rPr>
          <w:t>634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68" w:history="1">
        <w:r w:rsidRPr="00CC53E5">
          <w:rPr>
            <w:rStyle w:val="Hyperlink"/>
            <w:noProof/>
          </w:rPr>
          <w:t>2.1.1785</w:t>
        </w:r>
        <w:r>
          <w:rPr>
            <w:rFonts w:asciiTheme="minorHAnsi" w:eastAsiaTheme="minorEastAsia" w:hAnsiTheme="minorHAnsi" w:cstheme="minorBidi"/>
            <w:noProof/>
            <w:sz w:val="22"/>
            <w:szCs w:val="22"/>
          </w:rPr>
          <w:tab/>
        </w:r>
        <w:r w:rsidRPr="00CC53E5">
          <w:rPr>
            <w:rStyle w:val="Hyperlink"/>
            <w:noProof/>
          </w:rPr>
          <w:t>Part 4 Section 19.1.2.1, arc (Arc Segment)</w:t>
        </w:r>
        <w:r>
          <w:rPr>
            <w:noProof/>
            <w:webHidden/>
          </w:rPr>
          <w:tab/>
        </w:r>
        <w:r>
          <w:rPr>
            <w:noProof/>
            <w:webHidden/>
          </w:rPr>
          <w:fldChar w:fldCharType="begin"/>
        </w:r>
        <w:r>
          <w:rPr>
            <w:noProof/>
            <w:webHidden/>
          </w:rPr>
          <w:instrText xml:space="preserve"> PAGEREF _Toc69879568 \h </w:instrText>
        </w:r>
        <w:r>
          <w:rPr>
            <w:noProof/>
            <w:webHidden/>
          </w:rPr>
        </w:r>
        <w:r>
          <w:rPr>
            <w:noProof/>
            <w:webHidden/>
          </w:rPr>
          <w:fldChar w:fldCharType="separate"/>
        </w:r>
        <w:r>
          <w:rPr>
            <w:noProof/>
            <w:webHidden/>
          </w:rPr>
          <w:t>635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69" w:history="1">
        <w:r w:rsidRPr="00CC53E5">
          <w:rPr>
            <w:rStyle w:val="Hyperlink"/>
            <w:noProof/>
          </w:rPr>
          <w:t>2.1.1786</w:t>
        </w:r>
        <w:r>
          <w:rPr>
            <w:rFonts w:asciiTheme="minorHAnsi" w:eastAsiaTheme="minorEastAsia" w:hAnsiTheme="minorHAnsi" w:cstheme="minorBidi"/>
            <w:noProof/>
            <w:sz w:val="22"/>
            <w:szCs w:val="22"/>
          </w:rPr>
          <w:tab/>
        </w:r>
        <w:r w:rsidRPr="00CC53E5">
          <w:rPr>
            <w:rStyle w:val="Hyperlink"/>
            <w:noProof/>
          </w:rPr>
          <w:t>Part 4 Section 19.1.2.2, background (Document Background)</w:t>
        </w:r>
        <w:r>
          <w:rPr>
            <w:noProof/>
            <w:webHidden/>
          </w:rPr>
          <w:tab/>
        </w:r>
        <w:r>
          <w:rPr>
            <w:noProof/>
            <w:webHidden/>
          </w:rPr>
          <w:fldChar w:fldCharType="begin"/>
        </w:r>
        <w:r>
          <w:rPr>
            <w:noProof/>
            <w:webHidden/>
          </w:rPr>
          <w:instrText xml:space="preserve"> PAGEREF _Toc69879569 \h </w:instrText>
        </w:r>
        <w:r>
          <w:rPr>
            <w:noProof/>
            <w:webHidden/>
          </w:rPr>
        </w:r>
        <w:r>
          <w:rPr>
            <w:noProof/>
            <w:webHidden/>
          </w:rPr>
          <w:fldChar w:fldCharType="separate"/>
        </w:r>
        <w:r>
          <w:rPr>
            <w:noProof/>
            <w:webHidden/>
          </w:rPr>
          <w:t>643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70" w:history="1">
        <w:r w:rsidRPr="00CC53E5">
          <w:rPr>
            <w:rStyle w:val="Hyperlink"/>
            <w:noProof/>
          </w:rPr>
          <w:t>2.1.1787</w:t>
        </w:r>
        <w:r>
          <w:rPr>
            <w:rFonts w:asciiTheme="minorHAnsi" w:eastAsiaTheme="minorEastAsia" w:hAnsiTheme="minorHAnsi" w:cstheme="minorBidi"/>
            <w:noProof/>
            <w:sz w:val="22"/>
            <w:szCs w:val="22"/>
          </w:rPr>
          <w:tab/>
        </w:r>
        <w:r w:rsidRPr="00CC53E5">
          <w:rPr>
            <w:rStyle w:val="Hyperlink"/>
            <w:noProof/>
          </w:rPr>
          <w:t>Part 4 Section 19.1.2.3, curve (Bezier Curve)</w:t>
        </w:r>
        <w:r>
          <w:rPr>
            <w:noProof/>
            <w:webHidden/>
          </w:rPr>
          <w:tab/>
        </w:r>
        <w:r>
          <w:rPr>
            <w:noProof/>
            <w:webHidden/>
          </w:rPr>
          <w:fldChar w:fldCharType="begin"/>
        </w:r>
        <w:r>
          <w:rPr>
            <w:noProof/>
            <w:webHidden/>
          </w:rPr>
          <w:instrText xml:space="preserve"> PAGEREF _Toc69879570 \h </w:instrText>
        </w:r>
        <w:r>
          <w:rPr>
            <w:noProof/>
            <w:webHidden/>
          </w:rPr>
        </w:r>
        <w:r>
          <w:rPr>
            <w:noProof/>
            <w:webHidden/>
          </w:rPr>
          <w:fldChar w:fldCharType="separate"/>
        </w:r>
        <w:r>
          <w:rPr>
            <w:noProof/>
            <w:webHidden/>
          </w:rPr>
          <w:t>643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71" w:history="1">
        <w:r w:rsidRPr="00CC53E5">
          <w:rPr>
            <w:rStyle w:val="Hyperlink"/>
            <w:noProof/>
          </w:rPr>
          <w:t>2.1.1788</w:t>
        </w:r>
        <w:r>
          <w:rPr>
            <w:rFonts w:asciiTheme="minorHAnsi" w:eastAsiaTheme="minorEastAsia" w:hAnsiTheme="minorHAnsi" w:cstheme="minorBidi"/>
            <w:noProof/>
            <w:sz w:val="22"/>
            <w:szCs w:val="22"/>
          </w:rPr>
          <w:tab/>
        </w:r>
        <w:r w:rsidRPr="00CC53E5">
          <w:rPr>
            <w:rStyle w:val="Hyperlink"/>
            <w:noProof/>
          </w:rPr>
          <w:t>Part 4 Section 19.1.2.4, f (Single Formula)</w:t>
        </w:r>
        <w:r>
          <w:rPr>
            <w:noProof/>
            <w:webHidden/>
          </w:rPr>
          <w:tab/>
        </w:r>
        <w:r>
          <w:rPr>
            <w:noProof/>
            <w:webHidden/>
          </w:rPr>
          <w:fldChar w:fldCharType="begin"/>
        </w:r>
        <w:r>
          <w:rPr>
            <w:noProof/>
            <w:webHidden/>
          </w:rPr>
          <w:instrText xml:space="preserve"> PAGEREF _Toc69879571 \h </w:instrText>
        </w:r>
        <w:r>
          <w:rPr>
            <w:noProof/>
            <w:webHidden/>
          </w:rPr>
        </w:r>
        <w:r>
          <w:rPr>
            <w:noProof/>
            <w:webHidden/>
          </w:rPr>
          <w:fldChar w:fldCharType="separate"/>
        </w:r>
        <w:r>
          <w:rPr>
            <w:noProof/>
            <w:webHidden/>
          </w:rPr>
          <w:t>644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72" w:history="1">
        <w:r w:rsidRPr="00CC53E5">
          <w:rPr>
            <w:rStyle w:val="Hyperlink"/>
            <w:noProof/>
          </w:rPr>
          <w:t>2.1.1789</w:t>
        </w:r>
        <w:r>
          <w:rPr>
            <w:rFonts w:asciiTheme="minorHAnsi" w:eastAsiaTheme="minorEastAsia" w:hAnsiTheme="minorHAnsi" w:cstheme="minorBidi"/>
            <w:noProof/>
            <w:sz w:val="22"/>
            <w:szCs w:val="22"/>
          </w:rPr>
          <w:tab/>
        </w:r>
        <w:r w:rsidRPr="00CC53E5">
          <w:rPr>
            <w:rStyle w:val="Hyperlink"/>
            <w:noProof/>
          </w:rPr>
          <w:t>Part 4 Section 19.1.2.5, fill (Shape Fill Properties)</w:t>
        </w:r>
        <w:r>
          <w:rPr>
            <w:noProof/>
            <w:webHidden/>
          </w:rPr>
          <w:tab/>
        </w:r>
        <w:r>
          <w:rPr>
            <w:noProof/>
            <w:webHidden/>
          </w:rPr>
          <w:fldChar w:fldCharType="begin"/>
        </w:r>
        <w:r>
          <w:rPr>
            <w:noProof/>
            <w:webHidden/>
          </w:rPr>
          <w:instrText xml:space="preserve"> PAGEREF _Toc69879572 \h </w:instrText>
        </w:r>
        <w:r>
          <w:rPr>
            <w:noProof/>
            <w:webHidden/>
          </w:rPr>
        </w:r>
        <w:r>
          <w:rPr>
            <w:noProof/>
            <w:webHidden/>
          </w:rPr>
          <w:fldChar w:fldCharType="separate"/>
        </w:r>
        <w:r>
          <w:rPr>
            <w:noProof/>
            <w:webHidden/>
          </w:rPr>
          <w:t>644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73" w:history="1">
        <w:r w:rsidRPr="00CC53E5">
          <w:rPr>
            <w:rStyle w:val="Hyperlink"/>
            <w:noProof/>
          </w:rPr>
          <w:t>2.1.1790</w:t>
        </w:r>
        <w:r>
          <w:rPr>
            <w:rFonts w:asciiTheme="minorHAnsi" w:eastAsiaTheme="minorEastAsia" w:hAnsiTheme="minorHAnsi" w:cstheme="minorBidi"/>
            <w:noProof/>
            <w:sz w:val="22"/>
            <w:szCs w:val="22"/>
          </w:rPr>
          <w:tab/>
        </w:r>
        <w:r w:rsidRPr="00CC53E5">
          <w:rPr>
            <w:rStyle w:val="Hyperlink"/>
            <w:noProof/>
          </w:rPr>
          <w:t>Part 4 Section 19.1.2.6, formulas (Set of Formulas)</w:t>
        </w:r>
        <w:r>
          <w:rPr>
            <w:noProof/>
            <w:webHidden/>
          </w:rPr>
          <w:tab/>
        </w:r>
        <w:r>
          <w:rPr>
            <w:noProof/>
            <w:webHidden/>
          </w:rPr>
          <w:fldChar w:fldCharType="begin"/>
        </w:r>
        <w:r>
          <w:rPr>
            <w:noProof/>
            <w:webHidden/>
          </w:rPr>
          <w:instrText xml:space="preserve"> PAGEREF _Toc69879573 \h </w:instrText>
        </w:r>
        <w:r>
          <w:rPr>
            <w:noProof/>
            <w:webHidden/>
          </w:rPr>
        </w:r>
        <w:r>
          <w:rPr>
            <w:noProof/>
            <w:webHidden/>
          </w:rPr>
          <w:fldChar w:fldCharType="separate"/>
        </w:r>
        <w:r>
          <w:rPr>
            <w:noProof/>
            <w:webHidden/>
          </w:rPr>
          <w:t>646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74" w:history="1">
        <w:r w:rsidRPr="00CC53E5">
          <w:rPr>
            <w:rStyle w:val="Hyperlink"/>
            <w:noProof/>
          </w:rPr>
          <w:t>2.1.1791</w:t>
        </w:r>
        <w:r>
          <w:rPr>
            <w:rFonts w:asciiTheme="minorHAnsi" w:eastAsiaTheme="minorEastAsia" w:hAnsiTheme="minorHAnsi" w:cstheme="minorBidi"/>
            <w:noProof/>
            <w:sz w:val="22"/>
            <w:szCs w:val="22"/>
          </w:rPr>
          <w:tab/>
        </w:r>
        <w:r w:rsidRPr="00CC53E5">
          <w:rPr>
            <w:rStyle w:val="Hyperlink"/>
            <w:noProof/>
          </w:rPr>
          <w:t>Part 4 Section 19.1.2.7, group (Shape Group)</w:t>
        </w:r>
        <w:r>
          <w:rPr>
            <w:noProof/>
            <w:webHidden/>
          </w:rPr>
          <w:tab/>
        </w:r>
        <w:r>
          <w:rPr>
            <w:noProof/>
            <w:webHidden/>
          </w:rPr>
          <w:fldChar w:fldCharType="begin"/>
        </w:r>
        <w:r>
          <w:rPr>
            <w:noProof/>
            <w:webHidden/>
          </w:rPr>
          <w:instrText xml:space="preserve"> PAGEREF _Toc69879574 \h </w:instrText>
        </w:r>
        <w:r>
          <w:rPr>
            <w:noProof/>
            <w:webHidden/>
          </w:rPr>
        </w:r>
        <w:r>
          <w:rPr>
            <w:noProof/>
            <w:webHidden/>
          </w:rPr>
          <w:fldChar w:fldCharType="separate"/>
        </w:r>
        <w:r>
          <w:rPr>
            <w:noProof/>
            <w:webHidden/>
          </w:rPr>
          <w:t>646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75" w:history="1">
        <w:r w:rsidRPr="00CC53E5">
          <w:rPr>
            <w:rStyle w:val="Hyperlink"/>
            <w:noProof/>
          </w:rPr>
          <w:t>2.1.1792</w:t>
        </w:r>
        <w:r>
          <w:rPr>
            <w:rFonts w:asciiTheme="minorHAnsi" w:eastAsiaTheme="minorEastAsia" w:hAnsiTheme="minorHAnsi" w:cstheme="minorBidi"/>
            <w:noProof/>
            <w:sz w:val="22"/>
            <w:szCs w:val="22"/>
          </w:rPr>
          <w:tab/>
        </w:r>
        <w:r w:rsidRPr="00CC53E5">
          <w:rPr>
            <w:rStyle w:val="Hyperlink"/>
            <w:noProof/>
          </w:rPr>
          <w:t>Part 4 Section 19.1.2.8, h (Shape Handle)</w:t>
        </w:r>
        <w:r>
          <w:rPr>
            <w:noProof/>
            <w:webHidden/>
          </w:rPr>
          <w:tab/>
        </w:r>
        <w:r>
          <w:rPr>
            <w:noProof/>
            <w:webHidden/>
          </w:rPr>
          <w:fldChar w:fldCharType="begin"/>
        </w:r>
        <w:r>
          <w:rPr>
            <w:noProof/>
            <w:webHidden/>
          </w:rPr>
          <w:instrText xml:space="preserve"> PAGEREF _Toc69879575 \h </w:instrText>
        </w:r>
        <w:r>
          <w:rPr>
            <w:noProof/>
            <w:webHidden/>
          </w:rPr>
        </w:r>
        <w:r>
          <w:rPr>
            <w:noProof/>
            <w:webHidden/>
          </w:rPr>
          <w:fldChar w:fldCharType="separate"/>
        </w:r>
        <w:r>
          <w:rPr>
            <w:noProof/>
            <w:webHidden/>
          </w:rPr>
          <w:t>646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76" w:history="1">
        <w:r w:rsidRPr="00CC53E5">
          <w:rPr>
            <w:rStyle w:val="Hyperlink"/>
            <w:noProof/>
          </w:rPr>
          <w:t>2.1.1793</w:t>
        </w:r>
        <w:r>
          <w:rPr>
            <w:rFonts w:asciiTheme="minorHAnsi" w:eastAsiaTheme="minorEastAsia" w:hAnsiTheme="minorHAnsi" w:cstheme="minorBidi"/>
            <w:noProof/>
            <w:sz w:val="22"/>
            <w:szCs w:val="22"/>
          </w:rPr>
          <w:tab/>
        </w:r>
        <w:r w:rsidRPr="00CC53E5">
          <w:rPr>
            <w:rStyle w:val="Hyperlink"/>
            <w:noProof/>
          </w:rPr>
          <w:t>Part 4 Section 19.1.2.9, handles (Set of Handles)</w:t>
        </w:r>
        <w:r>
          <w:rPr>
            <w:noProof/>
            <w:webHidden/>
          </w:rPr>
          <w:tab/>
        </w:r>
        <w:r>
          <w:rPr>
            <w:noProof/>
            <w:webHidden/>
          </w:rPr>
          <w:fldChar w:fldCharType="begin"/>
        </w:r>
        <w:r>
          <w:rPr>
            <w:noProof/>
            <w:webHidden/>
          </w:rPr>
          <w:instrText xml:space="preserve"> PAGEREF _Toc69879576 \h </w:instrText>
        </w:r>
        <w:r>
          <w:rPr>
            <w:noProof/>
            <w:webHidden/>
          </w:rPr>
        </w:r>
        <w:r>
          <w:rPr>
            <w:noProof/>
            <w:webHidden/>
          </w:rPr>
          <w:fldChar w:fldCharType="separate"/>
        </w:r>
        <w:r>
          <w:rPr>
            <w:noProof/>
            <w:webHidden/>
          </w:rPr>
          <w:t>647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77" w:history="1">
        <w:r w:rsidRPr="00CC53E5">
          <w:rPr>
            <w:rStyle w:val="Hyperlink"/>
            <w:noProof/>
          </w:rPr>
          <w:t>2.1.1794</w:t>
        </w:r>
        <w:r>
          <w:rPr>
            <w:rFonts w:asciiTheme="minorHAnsi" w:eastAsiaTheme="minorEastAsia" w:hAnsiTheme="minorHAnsi" w:cstheme="minorBidi"/>
            <w:noProof/>
            <w:sz w:val="22"/>
            <w:szCs w:val="22"/>
          </w:rPr>
          <w:tab/>
        </w:r>
        <w:r w:rsidRPr="00CC53E5">
          <w:rPr>
            <w:rStyle w:val="Hyperlink"/>
            <w:noProof/>
          </w:rPr>
          <w:t>Part 4 Section 19.1.2.10, image (Image File)</w:t>
        </w:r>
        <w:r>
          <w:rPr>
            <w:noProof/>
            <w:webHidden/>
          </w:rPr>
          <w:tab/>
        </w:r>
        <w:r>
          <w:rPr>
            <w:noProof/>
            <w:webHidden/>
          </w:rPr>
          <w:fldChar w:fldCharType="begin"/>
        </w:r>
        <w:r>
          <w:rPr>
            <w:noProof/>
            <w:webHidden/>
          </w:rPr>
          <w:instrText xml:space="preserve"> PAGEREF _Toc69879577 \h </w:instrText>
        </w:r>
        <w:r>
          <w:rPr>
            <w:noProof/>
            <w:webHidden/>
          </w:rPr>
        </w:r>
        <w:r>
          <w:rPr>
            <w:noProof/>
            <w:webHidden/>
          </w:rPr>
          <w:fldChar w:fldCharType="separate"/>
        </w:r>
        <w:r>
          <w:rPr>
            <w:noProof/>
            <w:webHidden/>
          </w:rPr>
          <w:t>647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78" w:history="1">
        <w:r w:rsidRPr="00CC53E5">
          <w:rPr>
            <w:rStyle w:val="Hyperlink"/>
            <w:noProof/>
          </w:rPr>
          <w:t>2.1.1795</w:t>
        </w:r>
        <w:r>
          <w:rPr>
            <w:rFonts w:asciiTheme="minorHAnsi" w:eastAsiaTheme="minorEastAsia" w:hAnsiTheme="minorHAnsi" w:cstheme="minorBidi"/>
            <w:noProof/>
            <w:sz w:val="22"/>
            <w:szCs w:val="22"/>
          </w:rPr>
          <w:tab/>
        </w:r>
        <w:r w:rsidRPr="00CC53E5">
          <w:rPr>
            <w:rStyle w:val="Hyperlink"/>
            <w:noProof/>
          </w:rPr>
          <w:t>Part 4 Section 19.1.2.11, imagedata (Image Data)</w:t>
        </w:r>
        <w:r>
          <w:rPr>
            <w:noProof/>
            <w:webHidden/>
          </w:rPr>
          <w:tab/>
        </w:r>
        <w:r>
          <w:rPr>
            <w:noProof/>
            <w:webHidden/>
          </w:rPr>
          <w:fldChar w:fldCharType="begin"/>
        </w:r>
        <w:r>
          <w:rPr>
            <w:noProof/>
            <w:webHidden/>
          </w:rPr>
          <w:instrText xml:space="preserve"> PAGEREF _Toc69879578 \h </w:instrText>
        </w:r>
        <w:r>
          <w:rPr>
            <w:noProof/>
            <w:webHidden/>
          </w:rPr>
        </w:r>
        <w:r>
          <w:rPr>
            <w:noProof/>
            <w:webHidden/>
          </w:rPr>
          <w:fldChar w:fldCharType="separate"/>
        </w:r>
        <w:r>
          <w:rPr>
            <w:noProof/>
            <w:webHidden/>
          </w:rPr>
          <w:t>648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79" w:history="1">
        <w:r w:rsidRPr="00CC53E5">
          <w:rPr>
            <w:rStyle w:val="Hyperlink"/>
            <w:noProof/>
          </w:rPr>
          <w:t>2.1.1796</w:t>
        </w:r>
        <w:r>
          <w:rPr>
            <w:rFonts w:asciiTheme="minorHAnsi" w:eastAsiaTheme="minorEastAsia" w:hAnsiTheme="minorHAnsi" w:cstheme="minorBidi"/>
            <w:noProof/>
            <w:sz w:val="22"/>
            <w:szCs w:val="22"/>
          </w:rPr>
          <w:tab/>
        </w:r>
        <w:r w:rsidRPr="00CC53E5">
          <w:rPr>
            <w:rStyle w:val="Hyperlink"/>
            <w:noProof/>
          </w:rPr>
          <w:t>Part 4 Section 19.1.2.12, line (Line)</w:t>
        </w:r>
        <w:r>
          <w:rPr>
            <w:noProof/>
            <w:webHidden/>
          </w:rPr>
          <w:tab/>
        </w:r>
        <w:r>
          <w:rPr>
            <w:noProof/>
            <w:webHidden/>
          </w:rPr>
          <w:fldChar w:fldCharType="begin"/>
        </w:r>
        <w:r>
          <w:rPr>
            <w:noProof/>
            <w:webHidden/>
          </w:rPr>
          <w:instrText xml:space="preserve"> PAGEREF _Toc69879579 \h </w:instrText>
        </w:r>
        <w:r>
          <w:rPr>
            <w:noProof/>
            <w:webHidden/>
          </w:rPr>
        </w:r>
        <w:r>
          <w:rPr>
            <w:noProof/>
            <w:webHidden/>
          </w:rPr>
          <w:fldChar w:fldCharType="separate"/>
        </w:r>
        <w:r>
          <w:rPr>
            <w:noProof/>
            <w:webHidden/>
          </w:rPr>
          <w:t>649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80" w:history="1">
        <w:r w:rsidRPr="00CC53E5">
          <w:rPr>
            <w:rStyle w:val="Hyperlink"/>
            <w:noProof/>
          </w:rPr>
          <w:t>2.1.1797</w:t>
        </w:r>
        <w:r>
          <w:rPr>
            <w:rFonts w:asciiTheme="minorHAnsi" w:eastAsiaTheme="minorEastAsia" w:hAnsiTheme="minorHAnsi" w:cstheme="minorBidi"/>
            <w:noProof/>
            <w:sz w:val="22"/>
            <w:szCs w:val="22"/>
          </w:rPr>
          <w:tab/>
        </w:r>
        <w:r w:rsidRPr="00CC53E5">
          <w:rPr>
            <w:rStyle w:val="Hyperlink"/>
            <w:noProof/>
          </w:rPr>
          <w:t>Part 4 Section 19.1.2.13, oval (Oval)</w:t>
        </w:r>
        <w:r>
          <w:rPr>
            <w:noProof/>
            <w:webHidden/>
          </w:rPr>
          <w:tab/>
        </w:r>
        <w:r>
          <w:rPr>
            <w:noProof/>
            <w:webHidden/>
          </w:rPr>
          <w:fldChar w:fldCharType="begin"/>
        </w:r>
        <w:r>
          <w:rPr>
            <w:noProof/>
            <w:webHidden/>
          </w:rPr>
          <w:instrText xml:space="preserve"> PAGEREF _Toc69879580 \h </w:instrText>
        </w:r>
        <w:r>
          <w:rPr>
            <w:noProof/>
            <w:webHidden/>
          </w:rPr>
        </w:r>
        <w:r>
          <w:rPr>
            <w:noProof/>
            <w:webHidden/>
          </w:rPr>
          <w:fldChar w:fldCharType="separate"/>
        </w:r>
        <w:r>
          <w:rPr>
            <w:noProof/>
            <w:webHidden/>
          </w:rPr>
          <w:t>650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81" w:history="1">
        <w:r w:rsidRPr="00CC53E5">
          <w:rPr>
            <w:rStyle w:val="Hyperlink"/>
            <w:noProof/>
          </w:rPr>
          <w:t>2.1.1798</w:t>
        </w:r>
        <w:r>
          <w:rPr>
            <w:rFonts w:asciiTheme="minorHAnsi" w:eastAsiaTheme="minorEastAsia" w:hAnsiTheme="minorHAnsi" w:cstheme="minorBidi"/>
            <w:noProof/>
            <w:sz w:val="22"/>
            <w:szCs w:val="22"/>
          </w:rPr>
          <w:tab/>
        </w:r>
        <w:r w:rsidRPr="00CC53E5">
          <w:rPr>
            <w:rStyle w:val="Hyperlink"/>
            <w:noProof/>
          </w:rPr>
          <w:t>Part 4 Section 19.1.2.14, path (Shape Path)</w:t>
        </w:r>
        <w:r>
          <w:rPr>
            <w:noProof/>
            <w:webHidden/>
          </w:rPr>
          <w:tab/>
        </w:r>
        <w:r>
          <w:rPr>
            <w:noProof/>
            <w:webHidden/>
          </w:rPr>
          <w:fldChar w:fldCharType="begin"/>
        </w:r>
        <w:r>
          <w:rPr>
            <w:noProof/>
            <w:webHidden/>
          </w:rPr>
          <w:instrText xml:space="preserve"> PAGEREF _Toc69879581 \h </w:instrText>
        </w:r>
        <w:r>
          <w:rPr>
            <w:noProof/>
            <w:webHidden/>
          </w:rPr>
        </w:r>
        <w:r>
          <w:rPr>
            <w:noProof/>
            <w:webHidden/>
          </w:rPr>
          <w:fldChar w:fldCharType="separate"/>
        </w:r>
        <w:r>
          <w:rPr>
            <w:noProof/>
            <w:webHidden/>
          </w:rPr>
          <w:t>650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82" w:history="1">
        <w:r w:rsidRPr="00CC53E5">
          <w:rPr>
            <w:rStyle w:val="Hyperlink"/>
            <w:noProof/>
          </w:rPr>
          <w:t>2.1.1799</w:t>
        </w:r>
        <w:r>
          <w:rPr>
            <w:rFonts w:asciiTheme="minorHAnsi" w:eastAsiaTheme="minorEastAsia" w:hAnsiTheme="minorHAnsi" w:cstheme="minorBidi"/>
            <w:noProof/>
            <w:sz w:val="22"/>
            <w:szCs w:val="22"/>
          </w:rPr>
          <w:tab/>
        </w:r>
        <w:r w:rsidRPr="00CC53E5">
          <w:rPr>
            <w:rStyle w:val="Hyperlink"/>
            <w:noProof/>
          </w:rPr>
          <w:t>Part 4 Section 19.1.2.15, polyline (Multiple Path Line)</w:t>
        </w:r>
        <w:r>
          <w:rPr>
            <w:noProof/>
            <w:webHidden/>
          </w:rPr>
          <w:tab/>
        </w:r>
        <w:r>
          <w:rPr>
            <w:noProof/>
            <w:webHidden/>
          </w:rPr>
          <w:fldChar w:fldCharType="begin"/>
        </w:r>
        <w:r>
          <w:rPr>
            <w:noProof/>
            <w:webHidden/>
          </w:rPr>
          <w:instrText xml:space="preserve"> PAGEREF _Toc69879582 \h </w:instrText>
        </w:r>
        <w:r>
          <w:rPr>
            <w:noProof/>
            <w:webHidden/>
          </w:rPr>
        </w:r>
        <w:r>
          <w:rPr>
            <w:noProof/>
            <w:webHidden/>
          </w:rPr>
          <w:fldChar w:fldCharType="separate"/>
        </w:r>
        <w:r>
          <w:rPr>
            <w:noProof/>
            <w:webHidden/>
          </w:rPr>
          <w:t>653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83" w:history="1">
        <w:r w:rsidRPr="00CC53E5">
          <w:rPr>
            <w:rStyle w:val="Hyperlink"/>
            <w:noProof/>
          </w:rPr>
          <w:t>2.1.1800</w:t>
        </w:r>
        <w:r>
          <w:rPr>
            <w:rFonts w:asciiTheme="minorHAnsi" w:eastAsiaTheme="minorEastAsia" w:hAnsiTheme="minorHAnsi" w:cstheme="minorBidi"/>
            <w:noProof/>
            <w:sz w:val="22"/>
            <w:szCs w:val="22"/>
          </w:rPr>
          <w:tab/>
        </w:r>
        <w:r w:rsidRPr="00CC53E5">
          <w:rPr>
            <w:rStyle w:val="Hyperlink"/>
            <w:noProof/>
          </w:rPr>
          <w:t>Part 4 Section 19.1.2.16, rect (Rectangle)</w:t>
        </w:r>
        <w:r>
          <w:rPr>
            <w:noProof/>
            <w:webHidden/>
          </w:rPr>
          <w:tab/>
        </w:r>
        <w:r>
          <w:rPr>
            <w:noProof/>
            <w:webHidden/>
          </w:rPr>
          <w:fldChar w:fldCharType="begin"/>
        </w:r>
        <w:r>
          <w:rPr>
            <w:noProof/>
            <w:webHidden/>
          </w:rPr>
          <w:instrText xml:space="preserve"> PAGEREF _Toc69879583 \h </w:instrText>
        </w:r>
        <w:r>
          <w:rPr>
            <w:noProof/>
            <w:webHidden/>
          </w:rPr>
        </w:r>
        <w:r>
          <w:rPr>
            <w:noProof/>
            <w:webHidden/>
          </w:rPr>
          <w:fldChar w:fldCharType="separate"/>
        </w:r>
        <w:r>
          <w:rPr>
            <w:noProof/>
            <w:webHidden/>
          </w:rPr>
          <w:t>653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84" w:history="1">
        <w:r w:rsidRPr="00CC53E5">
          <w:rPr>
            <w:rStyle w:val="Hyperlink"/>
            <w:noProof/>
          </w:rPr>
          <w:t>2.1.1801</w:t>
        </w:r>
        <w:r>
          <w:rPr>
            <w:rFonts w:asciiTheme="minorHAnsi" w:eastAsiaTheme="minorEastAsia" w:hAnsiTheme="minorHAnsi" w:cstheme="minorBidi"/>
            <w:noProof/>
            <w:sz w:val="22"/>
            <w:szCs w:val="22"/>
          </w:rPr>
          <w:tab/>
        </w:r>
        <w:r w:rsidRPr="00CC53E5">
          <w:rPr>
            <w:rStyle w:val="Hyperlink"/>
            <w:noProof/>
          </w:rPr>
          <w:t>Part 4 Section 19.1.2.17, roundrect (Rounded Rectangle)</w:t>
        </w:r>
        <w:r>
          <w:rPr>
            <w:noProof/>
            <w:webHidden/>
          </w:rPr>
          <w:tab/>
        </w:r>
        <w:r>
          <w:rPr>
            <w:noProof/>
            <w:webHidden/>
          </w:rPr>
          <w:fldChar w:fldCharType="begin"/>
        </w:r>
        <w:r>
          <w:rPr>
            <w:noProof/>
            <w:webHidden/>
          </w:rPr>
          <w:instrText xml:space="preserve"> PAGEREF _Toc69879584 \h </w:instrText>
        </w:r>
        <w:r>
          <w:rPr>
            <w:noProof/>
            <w:webHidden/>
          </w:rPr>
        </w:r>
        <w:r>
          <w:rPr>
            <w:noProof/>
            <w:webHidden/>
          </w:rPr>
          <w:fldChar w:fldCharType="separate"/>
        </w:r>
        <w:r>
          <w:rPr>
            <w:noProof/>
            <w:webHidden/>
          </w:rPr>
          <w:t>654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85" w:history="1">
        <w:r w:rsidRPr="00CC53E5">
          <w:rPr>
            <w:rStyle w:val="Hyperlink"/>
            <w:noProof/>
          </w:rPr>
          <w:t>2.1.1802</w:t>
        </w:r>
        <w:r>
          <w:rPr>
            <w:rFonts w:asciiTheme="minorHAnsi" w:eastAsiaTheme="minorEastAsia" w:hAnsiTheme="minorHAnsi" w:cstheme="minorBidi"/>
            <w:noProof/>
            <w:sz w:val="22"/>
            <w:szCs w:val="22"/>
          </w:rPr>
          <w:tab/>
        </w:r>
        <w:r w:rsidRPr="00CC53E5">
          <w:rPr>
            <w:rStyle w:val="Hyperlink"/>
            <w:noProof/>
          </w:rPr>
          <w:t>Part 4 Section 19.1.2.18, shadow (Shadow Effect)</w:t>
        </w:r>
        <w:r>
          <w:rPr>
            <w:noProof/>
            <w:webHidden/>
          </w:rPr>
          <w:tab/>
        </w:r>
        <w:r>
          <w:rPr>
            <w:noProof/>
            <w:webHidden/>
          </w:rPr>
          <w:fldChar w:fldCharType="begin"/>
        </w:r>
        <w:r>
          <w:rPr>
            <w:noProof/>
            <w:webHidden/>
          </w:rPr>
          <w:instrText xml:space="preserve"> PAGEREF _Toc69879585 \h </w:instrText>
        </w:r>
        <w:r>
          <w:rPr>
            <w:noProof/>
            <w:webHidden/>
          </w:rPr>
        </w:r>
        <w:r>
          <w:rPr>
            <w:noProof/>
            <w:webHidden/>
          </w:rPr>
          <w:fldChar w:fldCharType="separate"/>
        </w:r>
        <w:r>
          <w:rPr>
            <w:noProof/>
            <w:webHidden/>
          </w:rPr>
          <w:t>654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86" w:history="1">
        <w:r w:rsidRPr="00CC53E5">
          <w:rPr>
            <w:rStyle w:val="Hyperlink"/>
            <w:noProof/>
          </w:rPr>
          <w:t>2.1.1803</w:t>
        </w:r>
        <w:r>
          <w:rPr>
            <w:rFonts w:asciiTheme="minorHAnsi" w:eastAsiaTheme="minorEastAsia" w:hAnsiTheme="minorHAnsi" w:cstheme="minorBidi"/>
            <w:noProof/>
            <w:sz w:val="22"/>
            <w:szCs w:val="22"/>
          </w:rPr>
          <w:tab/>
        </w:r>
        <w:r w:rsidRPr="00CC53E5">
          <w:rPr>
            <w:rStyle w:val="Hyperlink"/>
            <w:noProof/>
          </w:rPr>
          <w:t>Part 4 Section 19.1.2.19, shape (Shape Definition)</w:t>
        </w:r>
        <w:r>
          <w:rPr>
            <w:noProof/>
            <w:webHidden/>
          </w:rPr>
          <w:tab/>
        </w:r>
        <w:r>
          <w:rPr>
            <w:noProof/>
            <w:webHidden/>
          </w:rPr>
          <w:fldChar w:fldCharType="begin"/>
        </w:r>
        <w:r>
          <w:rPr>
            <w:noProof/>
            <w:webHidden/>
          </w:rPr>
          <w:instrText xml:space="preserve"> PAGEREF _Toc69879586 \h </w:instrText>
        </w:r>
        <w:r>
          <w:rPr>
            <w:noProof/>
            <w:webHidden/>
          </w:rPr>
        </w:r>
        <w:r>
          <w:rPr>
            <w:noProof/>
            <w:webHidden/>
          </w:rPr>
          <w:fldChar w:fldCharType="separate"/>
        </w:r>
        <w:r>
          <w:rPr>
            <w:noProof/>
            <w:webHidden/>
          </w:rPr>
          <w:t>655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87" w:history="1">
        <w:r w:rsidRPr="00CC53E5">
          <w:rPr>
            <w:rStyle w:val="Hyperlink"/>
            <w:noProof/>
          </w:rPr>
          <w:t>2.1.1804</w:t>
        </w:r>
        <w:r>
          <w:rPr>
            <w:rFonts w:asciiTheme="minorHAnsi" w:eastAsiaTheme="minorEastAsia" w:hAnsiTheme="minorHAnsi" w:cstheme="minorBidi"/>
            <w:noProof/>
            <w:sz w:val="22"/>
            <w:szCs w:val="22"/>
          </w:rPr>
          <w:tab/>
        </w:r>
        <w:r w:rsidRPr="00CC53E5">
          <w:rPr>
            <w:rStyle w:val="Hyperlink"/>
            <w:noProof/>
          </w:rPr>
          <w:t>Part 4 Section 19.1.2.20, shapetype (Shape Template)</w:t>
        </w:r>
        <w:r>
          <w:rPr>
            <w:noProof/>
            <w:webHidden/>
          </w:rPr>
          <w:tab/>
        </w:r>
        <w:r>
          <w:rPr>
            <w:noProof/>
            <w:webHidden/>
          </w:rPr>
          <w:fldChar w:fldCharType="begin"/>
        </w:r>
        <w:r>
          <w:rPr>
            <w:noProof/>
            <w:webHidden/>
          </w:rPr>
          <w:instrText xml:space="preserve"> PAGEREF _Toc69879587 \h </w:instrText>
        </w:r>
        <w:r>
          <w:rPr>
            <w:noProof/>
            <w:webHidden/>
          </w:rPr>
        </w:r>
        <w:r>
          <w:rPr>
            <w:noProof/>
            <w:webHidden/>
          </w:rPr>
          <w:fldChar w:fldCharType="separate"/>
        </w:r>
        <w:r>
          <w:rPr>
            <w:noProof/>
            <w:webHidden/>
          </w:rPr>
          <w:t>657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88" w:history="1">
        <w:r w:rsidRPr="00CC53E5">
          <w:rPr>
            <w:rStyle w:val="Hyperlink"/>
            <w:noProof/>
          </w:rPr>
          <w:t>2.1.1805</w:t>
        </w:r>
        <w:r>
          <w:rPr>
            <w:rFonts w:asciiTheme="minorHAnsi" w:eastAsiaTheme="minorEastAsia" w:hAnsiTheme="minorHAnsi" w:cstheme="minorBidi"/>
            <w:noProof/>
            <w:sz w:val="22"/>
            <w:szCs w:val="22"/>
          </w:rPr>
          <w:tab/>
        </w:r>
        <w:r w:rsidRPr="00CC53E5">
          <w:rPr>
            <w:rStyle w:val="Hyperlink"/>
            <w:noProof/>
          </w:rPr>
          <w:t>Part 4 Section 19.1.2.21, stroke (Line Stroke Settings)</w:t>
        </w:r>
        <w:r>
          <w:rPr>
            <w:noProof/>
            <w:webHidden/>
          </w:rPr>
          <w:tab/>
        </w:r>
        <w:r>
          <w:rPr>
            <w:noProof/>
            <w:webHidden/>
          </w:rPr>
          <w:fldChar w:fldCharType="begin"/>
        </w:r>
        <w:r>
          <w:rPr>
            <w:noProof/>
            <w:webHidden/>
          </w:rPr>
          <w:instrText xml:space="preserve"> PAGEREF _Toc69879588 \h </w:instrText>
        </w:r>
        <w:r>
          <w:rPr>
            <w:noProof/>
            <w:webHidden/>
          </w:rPr>
        </w:r>
        <w:r>
          <w:rPr>
            <w:noProof/>
            <w:webHidden/>
          </w:rPr>
          <w:fldChar w:fldCharType="separate"/>
        </w:r>
        <w:r>
          <w:rPr>
            <w:noProof/>
            <w:webHidden/>
          </w:rPr>
          <w:t>657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89" w:history="1">
        <w:r w:rsidRPr="00CC53E5">
          <w:rPr>
            <w:rStyle w:val="Hyperlink"/>
            <w:noProof/>
          </w:rPr>
          <w:t>2.1.1806</w:t>
        </w:r>
        <w:r>
          <w:rPr>
            <w:rFonts w:asciiTheme="minorHAnsi" w:eastAsiaTheme="minorEastAsia" w:hAnsiTheme="minorHAnsi" w:cstheme="minorBidi"/>
            <w:noProof/>
            <w:sz w:val="22"/>
            <w:szCs w:val="22"/>
          </w:rPr>
          <w:tab/>
        </w:r>
        <w:r w:rsidRPr="00CC53E5">
          <w:rPr>
            <w:rStyle w:val="Hyperlink"/>
            <w:noProof/>
          </w:rPr>
          <w:t>Part 4 Section 19.1.2.22, textbox (Text Box)</w:t>
        </w:r>
        <w:r>
          <w:rPr>
            <w:noProof/>
            <w:webHidden/>
          </w:rPr>
          <w:tab/>
        </w:r>
        <w:r>
          <w:rPr>
            <w:noProof/>
            <w:webHidden/>
          </w:rPr>
          <w:fldChar w:fldCharType="begin"/>
        </w:r>
        <w:r>
          <w:rPr>
            <w:noProof/>
            <w:webHidden/>
          </w:rPr>
          <w:instrText xml:space="preserve"> PAGEREF _Toc69879589 \h </w:instrText>
        </w:r>
        <w:r>
          <w:rPr>
            <w:noProof/>
            <w:webHidden/>
          </w:rPr>
        </w:r>
        <w:r>
          <w:rPr>
            <w:noProof/>
            <w:webHidden/>
          </w:rPr>
          <w:fldChar w:fldCharType="separate"/>
        </w:r>
        <w:r>
          <w:rPr>
            <w:noProof/>
            <w:webHidden/>
          </w:rPr>
          <w:t>658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90" w:history="1">
        <w:r w:rsidRPr="00CC53E5">
          <w:rPr>
            <w:rStyle w:val="Hyperlink"/>
            <w:noProof/>
          </w:rPr>
          <w:t>2.1.1807</w:t>
        </w:r>
        <w:r>
          <w:rPr>
            <w:rFonts w:asciiTheme="minorHAnsi" w:eastAsiaTheme="minorEastAsia" w:hAnsiTheme="minorHAnsi" w:cstheme="minorBidi"/>
            <w:noProof/>
            <w:sz w:val="22"/>
            <w:szCs w:val="22"/>
          </w:rPr>
          <w:tab/>
        </w:r>
        <w:r w:rsidRPr="00CC53E5">
          <w:rPr>
            <w:rStyle w:val="Hyperlink"/>
            <w:noProof/>
          </w:rPr>
          <w:t>Part 4 Section 19.1.2.23, textpath (Text Layout Path)</w:t>
        </w:r>
        <w:r>
          <w:rPr>
            <w:noProof/>
            <w:webHidden/>
          </w:rPr>
          <w:tab/>
        </w:r>
        <w:r>
          <w:rPr>
            <w:noProof/>
            <w:webHidden/>
          </w:rPr>
          <w:fldChar w:fldCharType="begin"/>
        </w:r>
        <w:r>
          <w:rPr>
            <w:noProof/>
            <w:webHidden/>
          </w:rPr>
          <w:instrText xml:space="preserve"> PAGEREF _Toc69879590 \h </w:instrText>
        </w:r>
        <w:r>
          <w:rPr>
            <w:noProof/>
            <w:webHidden/>
          </w:rPr>
        </w:r>
        <w:r>
          <w:rPr>
            <w:noProof/>
            <w:webHidden/>
          </w:rPr>
          <w:fldChar w:fldCharType="separate"/>
        </w:r>
        <w:r>
          <w:rPr>
            <w:noProof/>
            <w:webHidden/>
          </w:rPr>
          <w:t>660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91" w:history="1">
        <w:r w:rsidRPr="00CC53E5">
          <w:rPr>
            <w:rStyle w:val="Hyperlink"/>
            <w:noProof/>
          </w:rPr>
          <w:t>2.1.1808</w:t>
        </w:r>
        <w:r>
          <w:rPr>
            <w:rFonts w:asciiTheme="minorHAnsi" w:eastAsiaTheme="minorEastAsia" w:hAnsiTheme="minorHAnsi" w:cstheme="minorBidi"/>
            <w:noProof/>
            <w:sz w:val="22"/>
            <w:szCs w:val="22"/>
          </w:rPr>
          <w:tab/>
        </w:r>
        <w:r w:rsidRPr="00CC53E5">
          <w:rPr>
            <w:rStyle w:val="Hyperlink"/>
            <w:noProof/>
          </w:rPr>
          <w:t>Part 4 Section 19.1.3.2, ST_Ext (VML Extension Handling Behaviors)</w:t>
        </w:r>
        <w:r>
          <w:rPr>
            <w:noProof/>
            <w:webHidden/>
          </w:rPr>
          <w:tab/>
        </w:r>
        <w:r>
          <w:rPr>
            <w:noProof/>
            <w:webHidden/>
          </w:rPr>
          <w:fldChar w:fldCharType="begin"/>
        </w:r>
        <w:r>
          <w:rPr>
            <w:noProof/>
            <w:webHidden/>
          </w:rPr>
          <w:instrText xml:space="preserve"> PAGEREF _Toc69879591 \h </w:instrText>
        </w:r>
        <w:r>
          <w:rPr>
            <w:noProof/>
            <w:webHidden/>
          </w:rPr>
        </w:r>
        <w:r>
          <w:rPr>
            <w:noProof/>
            <w:webHidden/>
          </w:rPr>
          <w:fldChar w:fldCharType="separate"/>
        </w:r>
        <w:r>
          <w:rPr>
            <w:noProof/>
            <w:webHidden/>
          </w:rPr>
          <w:t>661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92" w:history="1">
        <w:r w:rsidRPr="00CC53E5">
          <w:rPr>
            <w:rStyle w:val="Hyperlink"/>
            <w:noProof/>
          </w:rPr>
          <w:t>2.1.1809</w:t>
        </w:r>
        <w:r>
          <w:rPr>
            <w:rFonts w:asciiTheme="minorHAnsi" w:eastAsiaTheme="minorEastAsia" w:hAnsiTheme="minorHAnsi" w:cstheme="minorBidi"/>
            <w:noProof/>
            <w:sz w:val="22"/>
            <w:szCs w:val="22"/>
          </w:rPr>
          <w:tab/>
        </w:r>
        <w:r w:rsidRPr="00CC53E5">
          <w:rPr>
            <w:rStyle w:val="Hyperlink"/>
            <w:noProof/>
          </w:rPr>
          <w:t>Part 4 Section 19.1.3.3, ST_FillMethod (Gradient Fill Computation Type)</w:t>
        </w:r>
        <w:r>
          <w:rPr>
            <w:noProof/>
            <w:webHidden/>
          </w:rPr>
          <w:tab/>
        </w:r>
        <w:r>
          <w:rPr>
            <w:noProof/>
            <w:webHidden/>
          </w:rPr>
          <w:fldChar w:fldCharType="begin"/>
        </w:r>
        <w:r>
          <w:rPr>
            <w:noProof/>
            <w:webHidden/>
          </w:rPr>
          <w:instrText xml:space="preserve"> PAGEREF _Toc69879592 \h </w:instrText>
        </w:r>
        <w:r>
          <w:rPr>
            <w:noProof/>
            <w:webHidden/>
          </w:rPr>
        </w:r>
        <w:r>
          <w:rPr>
            <w:noProof/>
            <w:webHidden/>
          </w:rPr>
          <w:fldChar w:fldCharType="separate"/>
        </w:r>
        <w:r>
          <w:rPr>
            <w:noProof/>
            <w:webHidden/>
          </w:rPr>
          <w:t>662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93" w:history="1">
        <w:r w:rsidRPr="00CC53E5">
          <w:rPr>
            <w:rStyle w:val="Hyperlink"/>
            <w:noProof/>
          </w:rPr>
          <w:t>2.1.1810</w:t>
        </w:r>
        <w:r>
          <w:rPr>
            <w:rFonts w:asciiTheme="minorHAnsi" w:eastAsiaTheme="minorEastAsia" w:hAnsiTheme="minorHAnsi" w:cstheme="minorBidi"/>
            <w:noProof/>
            <w:sz w:val="22"/>
            <w:szCs w:val="22"/>
          </w:rPr>
          <w:tab/>
        </w:r>
        <w:r w:rsidRPr="00CC53E5">
          <w:rPr>
            <w:rStyle w:val="Hyperlink"/>
            <w:noProof/>
          </w:rPr>
          <w:t>Part 4 Section 19.1.3.4, ST_FillType (Shape Fill Type)</w:t>
        </w:r>
        <w:r>
          <w:rPr>
            <w:noProof/>
            <w:webHidden/>
          </w:rPr>
          <w:tab/>
        </w:r>
        <w:r>
          <w:rPr>
            <w:noProof/>
            <w:webHidden/>
          </w:rPr>
          <w:fldChar w:fldCharType="begin"/>
        </w:r>
        <w:r>
          <w:rPr>
            <w:noProof/>
            <w:webHidden/>
          </w:rPr>
          <w:instrText xml:space="preserve"> PAGEREF _Toc69879593 \h </w:instrText>
        </w:r>
        <w:r>
          <w:rPr>
            <w:noProof/>
            <w:webHidden/>
          </w:rPr>
        </w:r>
        <w:r>
          <w:rPr>
            <w:noProof/>
            <w:webHidden/>
          </w:rPr>
          <w:fldChar w:fldCharType="separate"/>
        </w:r>
        <w:r>
          <w:rPr>
            <w:noProof/>
            <w:webHidden/>
          </w:rPr>
          <w:t>662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94" w:history="1">
        <w:r w:rsidRPr="00CC53E5">
          <w:rPr>
            <w:rStyle w:val="Hyperlink"/>
            <w:noProof/>
          </w:rPr>
          <w:t>2.1.1811</w:t>
        </w:r>
        <w:r>
          <w:rPr>
            <w:rFonts w:asciiTheme="minorHAnsi" w:eastAsiaTheme="minorEastAsia" w:hAnsiTheme="minorHAnsi" w:cstheme="minorBidi"/>
            <w:noProof/>
            <w:sz w:val="22"/>
            <w:szCs w:val="22"/>
          </w:rPr>
          <w:tab/>
        </w:r>
        <w:r w:rsidRPr="00CC53E5">
          <w:rPr>
            <w:rStyle w:val="Hyperlink"/>
            <w:noProof/>
          </w:rPr>
          <w:t>Part 4 Section 19.1.3.6, ST_ShadowType (Shadow Type)</w:t>
        </w:r>
        <w:r>
          <w:rPr>
            <w:noProof/>
            <w:webHidden/>
          </w:rPr>
          <w:tab/>
        </w:r>
        <w:r>
          <w:rPr>
            <w:noProof/>
            <w:webHidden/>
          </w:rPr>
          <w:fldChar w:fldCharType="begin"/>
        </w:r>
        <w:r>
          <w:rPr>
            <w:noProof/>
            <w:webHidden/>
          </w:rPr>
          <w:instrText xml:space="preserve"> PAGEREF _Toc69879594 \h </w:instrText>
        </w:r>
        <w:r>
          <w:rPr>
            <w:noProof/>
            <w:webHidden/>
          </w:rPr>
        </w:r>
        <w:r>
          <w:rPr>
            <w:noProof/>
            <w:webHidden/>
          </w:rPr>
          <w:fldChar w:fldCharType="separate"/>
        </w:r>
        <w:r>
          <w:rPr>
            <w:noProof/>
            <w:webHidden/>
          </w:rPr>
          <w:t>662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95" w:history="1">
        <w:r w:rsidRPr="00CC53E5">
          <w:rPr>
            <w:rStyle w:val="Hyperlink"/>
            <w:noProof/>
          </w:rPr>
          <w:t>2.1.1812</w:t>
        </w:r>
        <w:r>
          <w:rPr>
            <w:rFonts w:asciiTheme="minorHAnsi" w:eastAsiaTheme="minorEastAsia" w:hAnsiTheme="minorHAnsi" w:cstheme="minorBidi"/>
            <w:noProof/>
            <w:sz w:val="22"/>
            <w:szCs w:val="22"/>
          </w:rPr>
          <w:tab/>
        </w:r>
        <w:r w:rsidRPr="00CC53E5">
          <w:rPr>
            <w:rStyle w:val="Hyperlink"/>
            <w:noProof/>
          </w:rPr>
          <w:t>Part 4 Section 19.2.2.1, bottom (Text Box Bottom Stroke)</w:t>
        </w:r>
        <w:r>
          <w:rPr>
            <w:noProof/>
            <w:webHidden/>
          </w:rPr>
          <w:tab/>
        </w:r>
        <w:r>
          <w:rPr>
            <w:noProof/>
            <w:webHidden/>
          </w:rPr>
          <w:fldChar w:fldCharType="begin"/>
        </w:r>
        <w:r>
          <w:rPr>
            <w:noProof/>
            <w:webHidden/>
          </w:rPr>
          <w:instrText xml:space="preserve"> PAGEREF _Toc69879595 \h </w:instrText>
        </w:r>
        <w:r>
          <w:rPr>
            <w:noProof/>
            <w:webHidden/>
          </w:rPr>
        </w:r>
        <w:r>
          <w:rPr>
            <w:noProof/>
            <w:webHidden/>
          </w:rPr>
          <w:fldChar w:fldCharType="separate"/>
        </w:r>
        <w:r>
          <w:rPr>
            <w:noProof/>
            <w:webHidden/>
          </w:rPr>
          <w:t>662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96" w:history="1">
        <w:r w:rsidRPr="00CC53E5">
          <w:rPr>
            <w:rStyle w:val="Hyperlink"/>
            <w:noProof/>
          </w:rPr>
          <w:t>2.1.1813</w:t>
        </w:r>
        <w:r>
          <w:rPr>
            <w:rFonts w:asciiTheme="minorHAnsi" w:eastAsiaTheme="minorEastAsia" w:hAnsiTheme="minorHAnsi" w:cstheme="minorBidi"/>
            <w:noProof/>
            <w:sz w:val="22"/>
            <w:szCs w:val="22"/>
          </w:rPr>
          <w:tab/>
        </w:r>
        <w:r w:rsidRPr="00CC53E5">
          <w:rPr>
            <w:rStyle w:val="Hyperlink"/>
            <w:noProof/>
          </w:rPr>
          <w:t>Part 4 Section 19.2.2.2, callout (Callout)</w:t>
        </w:r>
        <w:r>
          <w:rPr>
            <w:noProof/>
            <w:webHidden/>
          </w:rPr>
          <w:tab/>
        </w:r>
        <w:r>
          <w:rPr>
            <w:noProof/>
            <w:webHidden/>
          </w:rPr>
          <w:fldChar w:fldCharType="begin"/>
        </w:r>
        <w:r>
          <w:rPr>
            <w:noProof/>
            <w:webHidden/>
          </w:rPr>
          <w:instrText xml:space="preserve"> PAGEREF _Toc69879596 \h </w:instrText>
        </w:r>
        <w:r>
          <w:rPr>
            <w:noProof/>
            <w:webHidden/>
          </w:rPr>
        </w:r>
        <w:r>
          <w:rPr>
            <w:noProof/>
            <w:webHidden/>
          </w:rPr>
          <w:fldChar w:fldCharType="separate"/>
        </w:r>
        <w:r>
          <w:rPr>
            <w:noProof/>
            <w:webHidden/>
          </w:rPr>
          <w:t>664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97" w:history="1">
        <w:r w:rsidRPr="00CC53E5">
          <w:rPr>
            <w:rStyle w:val="Hyperlink"/>
            <w:noProof/>
          </w:rPr>
          <w:t>2.1.1814</w:t>
        </w:r>
        <w:r>
          <w:rPr>
            <w:rFonts w:asciiTheme="minorHAnsi" w:eastAsiaTheme="minorEastAsia" w:hAnsiTheme="minorHAnsi" w:cstheme="minorBidi"/>
            <w:noProof/>
            <w:sz w:val="22"/>
            <w:szCs w:val="22"/>
          </w:rPr>
          <w:tab/>
        </w:r>
        <w:r w:rsidRPr="00CC53E5">
          <w:rPr>
            <w:rStyle w:val="Hyperlink"/>
            <w:noProof/>
          </w:rPr>
          <w:t>Part 4 Section 19.2.2.3, clippath (Shape Clipping Path)</w:t>
        </w:r>
        <w:r>
          <w:rPr>
            <w:noProof/>
            <w:webHidden/>
          </w:rPr>
          <w:tab/>
        </w:r>
        <w:r>
          <w:rPr>
            <w:noProof/>
            <w:webHidden/>
          </w:rPr>
          <w:fldChar w:fldCharType="begin"/>
        </w:r>
        <w:r>
          <w:rPr>
            <w:noProof/>
            <w:webHidden/>
          </w:rPr>
          <w:instrText xml:space="preserve"> PAGEREF _Toc69879597 \h </w:instrText>
        </w:r>
        <w:r>
          <w:rPr>
            <w:noProof/>
            <w:webHidden/>
          </w:rPr>
        </w:r>
        <w:r>
          <w:rPr>
            <w:noProof/>
            <w:webHidden/>
          </w:rPr>
          <w:fldChar w:fldCharType="separate"/>
        </w:r>
        <w:r>
          <w:rPr>
            <w:noProof/>
            <w:webHidden/>
          </w:rPr>
          <w:t>666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98" w:history="1">
        <w:r w:rsidRPr="00CC53E5">
          <w:rPr>
            <w:rStyle w:val="Hyperlink"/>
            <w:noProof/>
          </w:rPr>
          <w:t>2.1.1815</w:t>
        </w:r>
        <w:r>
          <w:rPr>
            <w:rFonts w:asciiTheme="minorHAnsi" w:eastAsiaTheme="minorEastAsia" w:hAnsiTheme="minorHAnsi" w:cstheme="minorBidi"/>
            <w:noProof/>
            <w:sz w:val="22"/>
            <w:szCs w:val="22"/>
          </w:rPr>
          <w:tab/>
        </w:r>
        <w:r w:rsidRPr="00CC53E5">
          <w:rPr>
            <w:rStyle w:val="Hyperlink"/>
            <w:noProof/>
          </w:rPr>
          <w:t>Part 4 Section 19.2.2.4, colormenu (UI Default Colors)</w:t>
        </w:r>
        <w:r>
          <w:rPr>
            <w:noProof/>
            <w:webHidden/>
          </w:rPr>
          <w:tab/>
        </w:r>
        <w:r>
          <w:rPr>
            <w:noProof/>
            <w:webHidden/>
          </w:rPr>
          <w:fldChar w:fldCharType="begin"/>
        </w:r>
        <w:r>
          <w:rPr>
            <w:noProof/>
            <w:webHidden/>
          </w:rPr>
          <w:instrText xml:space="preserve"> PAGEREF _Toc69879598 \h </w:instrText>
        </w:r>
        <w:r>
          <w:rPr>
            <w:noProof/>
            <w:webHidden/>
          </w:rPr>
        </w:r>
        <w:r>
          <w:rPr>
            <w:noProof/>
            <w:webHidden/>
          </w:rPr>
          <w:fldChar w:fldCharType="separate"/>
        </w:r>
        <w:r>
          <w:rPr>
            <w:noProof/>
            <w:webHidden/>
          </w:rPr>
          <w:t>666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599" w:history="1">
        <w:r w:rsidRPr="00CC53E5">
          <w:rPr>
            <w:rStyle w:val="Hyperlink"/>
            <w:noProof/>
          </w:rPr>
          <w:t>2.1.1816</w:t>
        </w:r>
        <w:r>
          <w:rPr>
            <w:rFonts w:asciiTheme="minorHAnsi" w:eastAsiaTheme="minorEastAsia" w:hAnsiTheme="minorHAnsi" w:cstheme="minorBidi"/>
            <w:noProof/>
            <w:sz w:val="22"/>
            <w:szCs w:val="22"/>
          </w:rPr>
          <w:tab/>
        </w:r>
        <w:r w:rsidRPr="00CC53E5">
          <w:rPr>
            <w:rStyle w:val="Hyperlink"/>
            <w:noProof/>
          </w:rPr>
          <w:t>Part 4 Section 19.2.2.5, colormru (Most Recently Used Colors)</w:t>
        </w:r>
        <w:r>
          <w:rPr>
            <w:noProof/>
            <w:webHidden/>
          </w:rPr>
          <w:tab/>
        </w:r>
        <w:r>
          <w:rPr>
            <w:noProof/>
            <w:webHidden/>
          </w:rPr>
          <w:fldChar w:fldCharType="begin"/>
        </w:r>
        <w:r>
          <w:rPr>
            <w:noProof/>
            <w:webHidden/>
          </w:rPr>
          <w:instrText xml:space="preserve"> PAGEREF _Toc69879599 \h </w:instrText>
        </w:r>
        <w:r>
          <w:rPr>
            <w:noProof/>
            <w:webHidden/>
          </w:rPr>
        </w:r>
        <w:r>
          <w:rPr>
            <w:noProof/>
            <w:webHidden/>
          </w:rPr>
          <w:fldChar w:fldCharType="separate"/>
        </w:r>
        <w:r>
          <w:rPr>
            <w:noProof/>
            <w:webHidden/>
          </w:rPr>
          <w:t>666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00" w:history="1">
        <w:r w:rsidRPr="00CC53E5">
          <w:rPr>
            <w:rStyle w:val="Hyperlink"/>
            <w:noProof/>
          </w:rPr>
          <w:t>2.1.1817</w:t>
        </w:r>
        <w:r>
          <w:rPr>
            <w:rFonts w:asciiTheme="minorHAnsi" w:eastAsiaTheme="minorEastAsia" w:hAnsiTheme="minorHAnsi" w:cstheme="minorBidi"/>
            <w:noProof/>
            <w:sz w:val="22"/>
            <w:szCs w:val="22"/>
          </w:rPr>
          <w:tab/>
        </w:r>
        <w:r w:rsidRPr="00CC53E5">
          <w:rPr>
            <w:rStyle w:val="Hyperlink"/>
            <w:noProof/>
          </w:rPr>
          <w:t>Part 4 Section 19.2.2.6, column (Text Box Interior Stroke)</w:t>
        </w:r>
        <w:r>
          <w:rPr>
            <w:noProof/>
            <w:webHidden/>
          </w:rPr>
          <w:tab/>
        </w:r>
        <w:r>
          <w:rPr>
            <w:noProof/>
            <w:webHidden/>
          </w:rPr>
          <w:fldChar w:fldCharType="begin"/>
        </w:r>
        <w:r>
          <w:rPr>
            <w:noProof/>
            <w:webHidden/>
          </w:rPr>
          <w:instrText xml:space="preserve"> PAGEREF _Toc69879600 \h </w:instrText>
        </w:r>
        <w:r>
          <w:rPr>
            <w:noProof/>
            <w:webHidden/>
          </w:rPr>
        </w:r>
        <w:r>
          <w:rPr>
            <w:noProof/>
            <w:webHidden/>
          </w:rPr>
          <w:fldChar w:fldCharType="separate"/>
        </w:r>
        <w:r>
          <w:rPr>
            <w:noProof/>
            <w:webHidden/>
          </w:rPr>
          <w:t>667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01" w:history="1">
        <w:r w:rsidRPr="00CC53E5">
          <w:rPr>
            <w:rStyle w:val="Hyperlink"/>
            <w:noProof/>
          </w:rPr>
          <w:t>2.1.1818</w:t>
        </w:r>
        <w:r>
          <w:rPr>
            <w:rFonts w:asciiTheme="minorHAnsi" w:eastAsiaTheme="minorEastAsia" w:hAnsiTheme="minorHAnsi" w:cstheme="minorBidi"/>
            <w:noProof/>
            <w:sz w:val="22"/>
            <w:szCs w:val="22"/>
          </w:rPr>
          <w:tab/>
        </w:r>
        <w:r w:rsidRPr="00CC53E5">
          <w:rPr>
            <w:rStyle w:val="Hyperlink"/>
            <w:noProof/>
          </w:rPr>
          <w:t>Part 4 Section 19.2.2.7, complex (Complex)</w:t>
        </w:r>
        <w:r>
          <w:rPr>
            <w:noProof/>
            <w:webHidden/>
          </w:rPr>
          <w:tab/>
        </w:r>
        <w:r>
          <w:rPr>
            <w:noProof/>
            <w:webHidden/>
          </w:rPr>
          <w:fldChar w:fldCharType="begin"/>
        </w:r>
        <w:r>
          <w:rPr>
            <w:noProof/>
            <w:webHidden/>
          </w:rPr>
          <w:instrText xml:space="preserve"> PAGEREF _Toc69879601 \h </w:instrText>
        </w:r>
        <w:r>
          <w:rPr>
            <w:noProof/>
            <w:webHidden/>
          </w:rPr>
        </w:r>
        <w:r>
          <w:rPr>
            <w:noProof/>
            <w:webHidden/>
          </w:rPr>
          <w:fldChar w:fldCharType="separate"/>
        </w:r>
        <w:r>
          <w:rPr>
            <w:noProof/>
            <w:webHidden/>
          </w:rPr>
          <w:t>667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02" w:history="1">
        <w:r w:rsidRPr="00CC53E5">
          <w:rPr>
            <w:rStyle w:val="Hyperlink"/>
            <w:noProof/>
          </w:rPr>
          <w:t>2.1.1819</w:t>
        </w:r>
        <w:r>
          <w:rPr>
            <w:rFonts w:asciiTheme="minorHAnsi" w:eastAsiaTheme="minorEastAsia" w:hAnsiTheme="minorHAnsi" w:cstheme="minorBidi"/>
            <w:noProof/>
            <w:sz w:val="22"/>
            <w:szCs w:val="22"/>
          </w:rPr>
          <w:tab/>
        </w:r>
        <w:r w:rsidRPr="00CC53E5">
          <w:rPr>
            <w:rStyle w:val="Hyperlink"/>
            <w:noProof/>
          </w:rPr>
          <w:t>Part 4 Section 19.2.2.8, diagram (VML Diagram)</w:t>
        </w:r>
        <w:r>
          <w:rPr>
            <w:noProof/>
            <w:webHidden/>
          </w:rPr>
          <w:tab/>
        </w:r>
        <w:r>
          <w:rPr>
            <w:noProof/>
            <w:webHidden/>
          </w:rPr>
          <w:fldChar w:fldCharType="begin"/>
        </w:r>
        <w:r>
          <w:rPr>
            <w:noProof/>
            <w:webHidden/>
          </w:rPr>
          <w:instrText xml:space="preserve"> PAGEREF _Toc69879602 \h </w:instrText>
        </w:r>
        <w:r>
          <w:rPr>
            <w:noProof/>
            <w:webHidden/>
          </w:rPr>
        </w:r>
        <w:r>
          <w:rPr>
            <w:noProof/>
            <w:webHidden/>
          </w:rPr>
          <w:fldChar w:fldCharType="separate"/>
        </w:r>
        <w:r>
          <w:rPr>
            <w:noProof/>
            <w:webHidden/>
          </w:rPr>
          <w:t>667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03" w:history="1">
        <w:r w:rsidRPr="00CC53E5">
          <w:rPr>
            <w:rStyle w:val="Hyperlink"/>
            <w:noProof/>
          </w:rPr>
          <w:t>2.1.1820</w:t>
        </w:r>
        <w:r>
          <w:rPr>
            <w:rFonts w:asciiTheme="minorHAnsi" w:eastAsiaTheme="minorEastAsia" w:hAnsiTheme="minorHAnsi" w:cstheme="minorBidi"/>
            <w:noProof/>
            <w:sz w:val="22"/>
            <w:szCs w:val="22"/>
          </w:rPr>
          <w:tab/>
        </w:r>
        <w:r w:rsidRPr="00CC53E5">
          <w:rPr>
            <w:rStyle w:val="Hyperlink"/>
            <w:noProof/>
          </w:rPr>
          <w:t>Part 4 Section 19.2.2.11, extrusion (3D Extrusion)</w:t>
        </w:r>
        <w:r>
          <w:rPr>
            <w:noProof/>
            <w:webHidden/>
          </w:rPr>
          <w:tab/>
        </w:r>
        <w:r>
          <w:rPr>
            <w:noProof/>
            <w:webHidden/>
          </w:rPr>
          <w:fldChar w:fldCharType="begin"/>
        </w:r>
        <w:r>
          <w:rPr>
            <w:noProof/>
            <w:webHidden/>
          </w:rPr>
          <w:instrText xml:space="preserve"> PAGEREF _Toc69879603 \h </w:instrText>
        </w:r>
        <w:r>
          <w:rPr>
            <w:noProof/>
            <w:webHidden/>
          </w:rPr>
        </w:r>
        <w:r>
          <w:rPr>
            <w:noProof/>
            <w:webHidden/>
          </w:rPr>
          <w:fldChar w:fldCharType="separate"/>
        </w:r>
        <w:r>
          <w:rPr>
            <w:noProof/>
            <w:webHidden/>
          </w:rPr>
          <w:t>668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04" w:history="1">
        <w:r w:rsidRPr="00CC53E5">
          <w:rPr>
            <w:rStyle w:val="Hyperlink"/>
            <w:noProof/>
          </w:rPr>
          <w:t>2.1.1821</w:t>
        </w:r>
        <w:r>
          <w:rPr>
            <w:rFonts w:asciiTheme="minorHAnsi" w:eastAsiaTheme="minorEastAsia" w:hAnsiTheme="minorHAnsi" w:cstheme="minorBidi"/>
            <w:noProof/>
            <w:sz w:val="22"/>
            <w:szCs w:val="22"/>
          </w:rPr>
          <w:tab/>
        </w:r>
        <w:r w:rsidRPr="00CC53E5">
          <w:rPr>
            <w:rStyle w:val="Hyperlink"/>
            <w:noProof/>
          </w:rPr>
          <w:t>Part 4 Section 19.2.2.12, FieldCodes (WordprocessingML Field Switches)</w:t>
        </w:r>
        <w:r>
          <w:rPr>
            <w:noProof/>
            <w:webHidden/>
          </w:rPr>
          <w:tab/>
        </w:r>
        <w:r>
          <w:rPr>
            <w:noProof/>
            <w:webHidden/>
          </w:rPr>
          <w:fldChar w:fldCharType="begin"/>
        </w:r>
        <w:r>
          <w:rPr>
            <w:noProof/>
            <w:webHidden/>
          </w:rPr>
          <w:instrText xml:space="preserve"> PAGEREF _Toc69879604 \h </w:instrText>
        </w:r>
        <w:r>
          <w:rPr>
            <w:noProof/>
            <w:webHidden/>
          </w:rPr>
        </w:r>
        <w:r>
          <w:rPr>
            <w:noProof/>
            <w:webHidden/>
          </w:rPr>
          <w:fldChar w:fldCharType="separate"/>
        </w:r>
        <w:r>
          <w:rPr>
            <w:noProof/>
            <w:webHidden/>
          </w:rPr>
          <w:t>670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05" w:history="1">
        <w:r w:rsidRPr="00CC53E5">
          <w:rPr>
            <w:rStyle w:val="Hyperlink"/>
            <w:noProof/>
          </w:rPr>
          <w:t>2.1.1822</w:t>
        </w:r>
        <w:r>
          <w:rPr>
            <w:rFonts w:asciiTheme="minorHAnsi" w:eastAsiaTheme="minorEastAsia" w:hAnsiTheme="minorHAnsi" w:cstheme="minorBidi"/>
            <w:noProof/>
            <w:sz w:val="22"/>
            <w:szCs w:val="22"/>
          </w:rPr>
          <w:tab/>
        </w:r>
        <w:r w:rsidRPr="00CC53E5">
          <w:rPr>
            <w:rStyle w:val="Hyperlink"/>
            <w:noProof/>
          </w:rPr>
          <w:t>Part 4 Section 19.2.2.13, fill (Shape Fill Extended Properties)</w:t>
        </w:r>
        <w:r>
          <w:rPr>
            <w:noProof/>
            <w:webHidden/>
          </w:rPr>
          <w:tab/>
        </w:r>
        <w:r>
          <w:rPr>
            <w:noProof/>
            <w:webHidden/>
          </w:rPr>
          <w:fldChar w:fldCharType="begin"/>
        </w:r>
        <w:r>
          <w:rPr>
            <w:noProof/>
            <w:webHidden/>
          </w:rPr>
          <w:instrText xml:space="preserve"> PAGEREF _Toc69879605 \h </w:instrText>
        </w:r>
        <w:r>
          <w:rPr>
            <w:noProof/>
            <w:webHidden/>
          </w:rPr>
        </w:r>
        <w:r>
          <w:rPr>
            <w:noProof/>
            <w:webHidden/>
          </w:rPr>
          <w:fldChar w:fldCharType="separate"/>
        </w:r>
        <w:r>
          <w:rPr>
            <w:noProof/>
            <w:webHidden/>
          </w:rPr>
          <w:t>670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06" w:history="1">
        <w:r w:rsidRPr="00CC53E5">
          <w:rPr>
            <w:rStyle w:val="Hyperlink"/>
            <w:noProof/>
          </w:rPr>
          <w:t>2.1.1823</w:t>
        </w:r>
        <w:r>
          <w:rPr>
            <w:rFonts w:asciiTheme="minorHAnsi" w:eastAsiaTheme="minorEastAsia" w:hAnsiTheme="minorHAnsi" w:cstheme="minorBidi"/>
            <w:noProof/>
            <w:sz w:val="22"/>
            <w:szCs w:val="22"/>
          </w:rPr>
          <w:tab/>
        </w:r>
        <w:r w:rsidRPr="00CC53E5">
          <w:rPr>
            <w:rStyle w:val="Hyperlink"/>
            <w:noProof/>
          </w:rPr>
          <w:t>Part 4 Section 19.2.2.14, idmap (Shape ID Map)</w:t>
        </w:r>
        <w:r>
          <w:rPr>
            <w:noProof/>
            <w:webHidden/>
          </w:rPr>
          <w:tab/>
        </w:r>
        <w:r>
          <w:rPr>
            <w:noProof/>
            <w:webHidden/>
          </w:rPr>
          <w:fldChar w:fldCharType="begin"/>
        </w:r>
        <w:r>
          <w:rPr>
            <w:noProof/>
            <w:webHidden/>
          </w:rPr>
          <w:instrText xml:space="preserve"> PAGEREF _Toc69879606 \h </w:instrText>
        </w:r>
        <w:r>
          <w:rPr>
            <w:noProof/>
            <w:webHidden/>
          </w:rPr>
        </w:r>
        <w:r>
          <w:rPr>
            <w:noProof/>
            <w:webHidden/>
          </w:rPr>
          <w:fldChar w:fldCharType="separate"/>
        </w:r>
        <w:r>
          <w:rPr>
            <w:noProof/>
            <w:webHidden/>
          </w:rPr>
          <w:t>671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07" w:history="1">
        <w:r w:rsidRPr="00CC53E5">
          <w:rPr>
            <w:rStyle w:val="Hyperlink"/>
            <w:noProof/>
          </w:rPr>
          <w:t>2.1.1824</w:t>
        </w:r>
        <w:r>
          <w:rPr>
            <w:rFonts w:asciiTheme="minorHAnsi" w:eastAsiaTheme="minorEastAsia" w:hAnsiTheme="minorHAnsi" w:cstheme="minorBidi"/>
            <w:noProof/>
            <w:sz w:val="22"/>
            <w:szCs w:val="22"/>
          </w:rPr>
          <w:tab/>
        </w:r>
        <w:r w:rsidRPr="00CC53E5">
          <w:rPr>
            <w:rStyle w:val="Hyperlink"/>
            <w:noProof/>
          </w:rPr>
          <w:t>Part 4 Section 19.2.2.15, ink (Ink)</w:t>
        </w:r>
        <w:r>
          <w:rPr>
            <w:noProof/>
            <w:webHidden/>
          </w:rPr>
          <w:tab/>
        </w:r>
        <w:r>
          <w:rPr>
            <w:noProof/>
            <w:webHidden/>
          </w:rPr>
          <w:fldChar w:fldCharType="begin"/>
        </w:r>
        <w:r>
          <w:rPr>
            <w:noProof/>
            <w:webHidden/>
          </w:rPr>
          <w:instrText xml:space="preserve"> PAGEREF _Toc69879607 \h </w:instrText>
        </w:r>
        <w:r>
          <w:rPr>
            <w:noProof/>
            <w:webHidden/>
          </w:rPr>
        </w:r>
        <w:r>
          <w:rPr>
            <w:noProof/>
            <w:webHidden/>
          </w:rPr>
          <w:fldChar w:fldCharType="separate"/>
        </w:r>
        <w:r>
          <w:rPr>
            <w:noProof/>
            <w:webHidden/>
          </w:rPr>
          <w:t>671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08" w:history="1">
        <w:r w:rsidRPr="00CC53E5">
          <w:rPr>
            <w:rStyle w:val="Hyperlink"/>
            <w:noProof/>
          </w:rPr>
          <w:t>2.1.1825</w:t>
        </w:r>
        <w:r>
          <w:rPr>
            <w:rFonts w:asciiTheme="minorHAnsi" w:eastAsiaTheme="minorEastAsia" w:hAnsiTheme="minorHAnsi" w:cstheme="minorBidi"/>
            <w:noProof/>
            <w:sz w:val="22"/>
            <w:szCs w:val="22"/>
          </w:rPr>
          <w:tab/>
        </w:r>
        <w:r w:rsidRPr="00CC53E5">
          <w:rPr>
            <w:rStyle w:val="Hyperlink"/>
            <w:noProof/>
          </w:rPr>
          <w:t>Part 4 Section 19.2.2.16, left (Text Box Left Stroke)</w:t>
        </w:r>
        <w:r>
          <w:rPr>
            <w:noProof/>
            <w:webHidden/>
          </w:rPr>
          <w:tab/>
        </w:r>
        <w:r>
          <w:rPr>
            <w:noProof/>
            <w:webHidden/>
          </w:rPr>
          <w:fldChar w:fldCharType="begin"/>
        </w:r>
        <w:r>
          <w:rPr>
            <w:noProof/>
            <w:webHidden/>
          </w:rPr>
          <w:instrText xml:space="preserve"> PAGEREF _Toc69879608 \h </w:instrText>
        </w:r>
        <w:r>
          <w:rPr>
            <w:noProof/>
            <w:webHidden/>
          </w:rPr>
        </w:r>
        <w:r>
          <w:rPr>
            <w:noProof/>
            <w:webHidden/>
          </w:rPr>
          <w:fldChar w:fldCharType="separate"/>
        </w:r>
        <w:r>
          <w:rPr>
            <w:noProof/>
            <w:webHidden/>
          </w:rPr>
          <w:t>671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09" w:history="1">
        <w:r w:rsidRPr="00CC53E5">
          <w:rPr>
            <w:rStyle w:val="Hyperlink"/>
            <w:noProof/>
          </w:rPr>
          <w:t>2.1.1826</w:t>
        </w:r>
        <w:r>
          <w:rPr>
            <w:rFonts w:asciiTheme="minorHAnsi" w:eastAsiaTheme="minorEastAsia" w:hAnsiTheme="minorHAnsi" w:cstheme="minorBidi"/>
            <w:noProof/>
            <w:sz w:val="22"/>
            <w:szCs w:val="22"/>
          </w:rPr>
          <w:tab/>
        </w:r>
        <w:r w:rsidRPr="00CC53E5">
          <w:rPr>
            <w:rStyle w:val="Hyperlink"/>
            <w:noProof/>
          </w:rPr>
          <w:t>Part 4 Section 19.2.2.17, LinkType (Embedded Object Alternate Image Request)</w:t>
        </w:r>
        <w:r>
          <w:rPr>
            <w:noProof/>
            <w:webHidden/>
          </w:rPr>
          <w:tab/>
        </w:r>
        <w:r>
          <w:rPr>
            <w:noProof/>
            <w:webHidden/>
          </w:rPr>
          <w:fldChar w:fldCharType="begin"/>
        </w:r>
        <w:r>
          <w:rPr>
            <w:noProof/>
            <w:webHidden/>
          </w:rPr>
          <w:instrText xml:space="preserve"> PAGEREF _Toc69879609 \h </w:instrText>
        </w:r>
        <w:r>
          <w:rPr>
            <w:noProof/>
            <w:webHidden/>
          </w:rPr>
        </w:r>
        <w:r>
          <w:rPr>
            <w:noProof/>
            <w:webHidden/>
          </w:rPr>
          <w:fldChar w:fldCharType="separate"/>
        </w:r>
        <w:r>
          <w:rPr>
            <w:noProof/>
            <w:webHidden/>
          </w:rPr>
          <w:t>672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10" w:history="1">
        <w:r w:rsidRPr="00CC53E5">
          <w:rPr>
            <w:rStyle w:val="Hyperlink"/>
            <w:noProof/>
          </w:rPr>
          <w:t>2.1.1827</w:t>
        </w:r>
        <w:r>
          <w:rPr>
            <w:rFonts w:asciiTheme="minorHAnsi" w:eastAsiaTheme="minorEastAsia" w:hAnsiTheme="minorHAnsi" w:cstheme="minorBidi"/>
            <w:noProof/>
            <w:sz w:val="22"/>
            <w:szCs w:val="22"/>
          </w:rPr>
          <w:tab/>
        </w:r>
        <w:r w:rsidRPr="00CC53E5">
          <w:rPr>
            <w:rStyle w:val="Hyperlink"/>
            <w:noProof/>
          </w:rPr>
          <w:t>Part 4 Section 19.2.2.18, lock (Shape Protections)</w:t>
        </w:r>
        <w:r>
          <w:rPr>
            <w:noProof/>
            <w:webHidden/>
          </w:rPr>
          <w:tab/>
        </w:r>
        <w:r>
          <w:rPr>
            <w:noProof/>
            <w:webHidden/>
          </w:rPr>
          <w:fldChar w:fldCharType="begin"/>
        </w:r>
        <w:r>
          <w:rPr>
            <w:noProof/>
            <w:webHidden/>
          </w:rPr>
          <w:instrText xml:space="preserve"> PAGEREF _Toc69879610 \h </w:instrText>
        </w:r>
        <w:r>
          <w:rPr>
            <w:noProof/>
            <w:webHidden/>
          </w:rPr>
        </w:r>
        <w:r>
          <w:rPr>
            <w:noProof/>
            <w:webHidden/>
          </w:rPr>
          <w:fldChar w:fldCharType="separate"/>
        </w:r>
        <w:r>
          <w:rPr>
            <w:noProof/>
            <w:webHidden/>
          </w:rPr>
          <w:t>672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11" w:history="1">
        <w:r w:rsidRPr="00CC53E5">
          <w:rPr>
            <w:rStyle w:val="Hyperlink"/>
            <w:noProof/>
          </w:rPr>
          <w:t>2.1.1828</w:t>
        </w:r>
        <w:r>
          <w:rPr>
            <w:rFonts w:asciiTheme="minorHAnsi" w:eastAsiaTheme="minorEastAsia" w:hAnsiTheme="minorHAnsi" w:cstheme="minorBidi"/>
            <w:noProof/>
            <w:sz w:val="22"/>
            <w:szCs w:val="22"/>
          </w:rPr>
          <w:tab/>
        </w:r>
        <w:r w:rsidRPr="00CC53E5">
          <w:rPr>
            <w:rStyle w:val="Hyperlink"/>
            <w:noProof/>
          </w:rPr>
          <w:t>Part 4 Section 19.2.2.19, LockedField (Embedded Object Cannot Be Refreshed)</w:t>
        </w:r>
        <w:r>
          <w:rPr>
            <w:noProof/>
            <w:webHidden/>
          </w:rPr>
          <w:tab/>
        </w:r>
        <w:r>
          <w:rPr>
            <w:noProof/>
            <w:webHidden/>
          </w:rPr>
          <w:fldChar w:fldCharType="begin"/>
        </w:r>
        <w:r>
          <w:rPr>
            <w:noProof/>
            <w:webHidden/>
          </w:rPr>
          <w:instrText xml:space="preserve"> PAGEREF _Toc69879611 \h </w:instrText>
        </w:r>
        <w:r>
          <w:rPr>
            <w:noProof/>
            <w:webHidden/>
          </w:rPr>
        </w:r>
        <w:r>
          <w:rPr>
            <w:noProof/>
            <w:webHidden/>
          </w:rPr>
          <w:fldChar w:fldCharType="separate"/>
        </w:r>
        <w:r>
          <w:rPr>
            <w:noProof/>
            <w:webHidden/>
          </w:rPr>
          <w:t>672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12" w:history="1">
        <w:r w:rsidRPr="00CC53E5">
          <w:rPr>
            <w:rStyle w:val="Hyperlink"/>
            <w:noProof/>
          </w:rPr>
          <w:t>2.1.1829</w:t>
        </w:r>
        <w:r>
          <w:rPr>
            <w:rFonts w:asciiTheme="minorHAnsi" w:eastAsiaTheme="minorEastAsia" w:hAnsiTheme="minorHAnsi" w:cstheme="minorBidi"/>
            <w:noProof/>
            <w:sz w:val="22"/>
            <w:szCs w:val="22"/>
          </w:rPr>
          <w:tab/>
        </w:r>
        <w:r w:rsidRPr="00CC53E5">
          <w:rPr>
            <w:rStyle w:val="Hyperlink"/>
            <w:noProof/>
          </w:rPr>
          <w:t>Part 4 Section 19.2.2.20, OLEObject (Embedded OLE Object)</w:t>
        </w:r>
        <w:r>
          <w:rPr>
            <w:noProof/>
            <w:webHidden/>
          </w:rPr>
          <w:tab/>
        </w:r>
        <w:r>
          <w:rPr>
            <w:noProof/>
            <w:webHidden/>
          </w:rPr>
          <w:fldChar w:fldCharType="begin"/>
        </w:r>
        <w:r>
          <w:rPr>
            <w:noProof/>
            <w:webHidden/>
          </w:rPr>
          <w:instrText xml:space="preserve"> PAGEREF _Toc69879612 \h </w:instrText>
        </w:r>
        <w:r>
          <w:rPr>
            <w:noProof/>
            <w:webHidden/>
          </w:rPr>
        </w:r>
        <w:r>
          <w:rPr>
            <w:noProof/>
            <w:webHidden/>
          </w:rPr>
          <w:fldChar w:fldCharType="separate"/>
        </w:r>
        <w:r>
          <w:rPr>
            <w:noProof/>
            <w:webHidden/>
          </w:rPr>
          <w:t>673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13" w:history="1">
        <w:r w:rsidRPr="00CC53E5">
          <w:rPr>
            <w:rStyle w:val="Hyperlink"/>
            <w:noProof/>
          </w:rPr>
          <w:t>2.1.1830</w:t>
        </w:r>
        <w:r>
          <w:rPr>
            <w:rFonts w:asciiTheme="minorHAnsi" w:eastAsiaTheme="minorEastAsia" w:hAnsiTheme="minorHAnsi" w:cstheme="minorBidi"/>
            <w:noProof/>
            <w:sz w:val="22"/>
            <w:szCs w:val="22"/>
          </w:rPr>
          <w:tab/>
        </w:r>
        <w:r w:rsidRPr="00CC53E5">
          <w:rPr>
            <w:rStyle w:val="Hyperlink"/>
            <w:noProof/>
          </w:rPr>
          <w:t>Part 4 Section 19.2.2.21, proxy (Shape Reference)</w:t>
        </w:r>
        <w:r>
          <w:rPr>
            <w:noProof/>
            <w:webHidden/>
          </w:rPr>
          <w:tab/>
        </w:r>
        <w:r>
          <w:rPr>
            <w:noProof/>
            <w:webHidden/>
          </w:rPr>
          <w:fldChar w:fldCharType="begin"/>
        </w:r>
        <w:r>
          <w:rPr>
            <w:noProof/>
            <w:webHidden/>
          </w:rPr>
          <w:instrText xml:space="preserve"> PAGEREF _Toc69879613 \h </w:instrText>
        </w:r>
        <w:r>
          <w:rPr>
            <w:noProof/>
            <w:webHidden/>
          </w:rPr>
        </w:r>
        <w:r>
          <w:rPr>
            <w:noProof/>
            <w:webHidden/>
          </w:rPr>
          <w:fldChar w:fldCharType="separate"/>
        </w:r>
        <w:r>
          <w:rPr>
            <w:noProof/>
            <w:webHidden/>
          </w:rPr>
          <w:t>673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14" w:history="1">
        <w:r w:rsidRPr="00CC53E5">
          <w:rPr>
            <w:rStyle w:val="Hyperlink"/>
            <w:noProof/>
          </w:rPr>
          <w:t>2.1.1831</w:t>
        </w:r>
        <w:r>
          <w:rPr>
            <w:rFonts w:asciiTheme="minorHAnsi" w:eastAsiaTheme="minorEastAsia" w:hAnsiTheme="minorHAnsi" w:cstheme="minorBidi"/>
            <w:noProof/>
            <w:sz w:val="22"/>
            <w:szCs w:val="22"/>
          </w:rPr>
          <w:tab/>
        </w:r>
        <w:r w:rsidRPr="00CC53E5">
          <w:rPr>
            <w:rStyle w:val="Hyperlink"/>
            <w:noProof/>
          </w:rPr>
          <w:t>Part 4 Section 19.2.2.22, r (Rule)</w:t>
        </w:r>
        <w:r>
          <w:rPr>
            <w:noProof/>
            <w:webHidden/>
          </w:rPr>
          <w:tab/>
        </w:r>
        <w:r>
          <w:rPr>
            <w:noProof/>
            <w:webHidden/>
          </w:rPr>
          <w:fldChar w:fldCharType="begin"/>
        </w:r>
        <w:r>
          <w:rPr>
            <w:noProof/>
            <w:webHidden/>
          </w:rPr>
          <w:instrText xml:space="preserve"> PAGEREF _Toc69879614 \h </w:instrText>
        </w:r>
        <w:r>
          <w:rPr>
            <w:noProof/>
            <w:webHidden/>
          </w:rPr>
        </w:r>
        <w:r>
          <w:rPr>
            <w:noProof/>
            <w:webHidden/>
          </w:rPr>
          <w:fldChar w:fldCharType="separate"/>
        </w:r>
        <w:r>
          <w:rPr>
            <w:noProof/>
            <w:webHidden/>
          </w:rPr>
          <w:t>674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15" w:history="1">
        <w:r w:rsidRPr="00CC53E5">
          <w:rPr>
            <w:rStyle w:val="Hyperlink"/>
            <w:noProof/>
          </w:rPr>
          <w:t>2.1.1832</w:t>
        </w:r>
        <w:r>
          <w:rPr>
            <w:rFonts w:asciiTheme="minorHAnsi" w:eastAsiaTheme="minorEastAsia" w:hAnsiTheme="minorHAnsi" w:cstheme="minorBidi"/>
            <w:noProof/>
            <w:sz w:val="22"/>
            <w:szCs w:val="22"/>
          </w:rPr>
          <w:tab/>
        </w:r>
        <w:r w:rsidRPr="00CC53E5">
          <w:rPr>
            <w:rStyle w:val="Hyperlink"/>
            <w:noProof/>
          </w:rPr>
          <w:t>Part 4 Section 19.2.2.24, rel (Diagram Relationship)</w:t>
        </w:r>
        <w:r>
          <w:rPr>
            <w:noProof/>
            <w:webHidden/>
          </w:rPr>
          <w:tab/>
        </w:r>
        <w:r>
          <w:rPr>
            <w:noProof/>
            <w:webHidden/>
          </w:rPr>
          <w:fldChar w:fldCharType="begin"/>
        </w:r>
        <w:r>
          <w:rPr>
            <w:noProof/>
            <w:webHidden/>
          </w:rPr>
          <w:instrText xml:space="preserve"> PAGEREF _Toc69879615 \h </w:instrText>
        </w:r>
        <w:r>
          <w:rPr>
            <w:noProof/>
            <w:webHidden/>
          </w:rPr>
        </w:r>
        <w:r>
          <w:rPr>
            <w:noProof/>
            <w:webHidden/>
          </w:rPr>
          <w:fldChar w:fldCharType="separate"/>
        </w:r>
        <w:r>
          <w:rPr>
            <w:noProof/>
            <w:webHidden/>
          </w:rPr>
          <w:t>674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16" w:history="1">
        <w:r w:rsidRPr="00CC53E5">
          <w:rPr>
            <w:rStyle w:val="Hyperlink"/>
            <w:noProof/>
          </w:rPr>
          <w:t>2.1.1833</w:t>
        </w:r>
        <w:r>
          <w:rPr>
            <w:rFonts w:asciiTheme="minorHAnsi" w:eastAsiaTheme="minorEastAsia" w:hAnsiTheme="minorHAnsi" w:cstheme="minorBidi"/>
            <w:noProof/>
            <w:sz w:val="22"/>
            <w:szCs w:val="22"/>
          </w:rPr>
          <w:tab/>
        </w:r>
        <w:r w:rsidRPr="00CC53E5">
          <w:rPr>
            <w:rStyle w:val="Hyperlink"/>
            <w:noProof/>
          </w:rPr>
          <w:t>Part 4 Section 19.2.2.26, right (Text Box Right Stroke)</w:t>
        </w:r>
        <w:r>
          <w:rPr>
            <w:noProof/>
            <w:webHidden/>
          </w:rPr>
          <w:tab/>
        </w:r>
        <w:r>
          <w:rPr>
            <w:noProof/>
            <w:webHidden/>
          </w:rPr>
          <w:fldChar w:fldCharType="begin"/>
        </w:r>
        <w:r>
          <w:rPr>
            <w:noProof/>
            <w:webHidden/>
          </w:rPr>
          <w:instrText xml:space="preserve"> PAGEREF _Toc69879616 \h </w:instrText>
        </w:r>
        <w:r>
          <w:rPr>
            <w:noProof/>
            <w:webHidden/>
          </w:rPr>
        </w:r>
        <w:r>
          <w:rPr>
            <w:noProof/>
            <w:webHidden/>
          </w:rPr>
          <w:fldChar w:fldCharType="separate"/>
        </w:r>
        <w:r>
          <w:rPr>
            <w:noProof/>
            <w:webHidden/>
          </w:rPr>
          <w:t>674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17" w:history="1">
        <w:r w:rsidRPr="00CC53E5">
          <w:rPr>
            <w:rStyle w:val="Hyperlink"/>
            <w:noProof/>
          </w:rPr>
          <w:t>2.1.1834</w:t>
        </w:r>
        <w:r>
          <w:rPr>
            <w:rFonts w:asciiTheme="minorHAnsi" w:eastAsiaTheme="minorEastAsia" w:hAnsiTheme="minorHAnsi" w:cstheme="minorBidi"/>
            <w:noProof/>
            <w:sz w:val="22"/>
            <w:szCs w:val="22"/>
          </w:rPr>
          <w:tab/>
        </w:r>
        <w:r w:rsidRPr="00CC53E5">
          <w:rPr>
            <w:rStyle w:val="Hyperlink"/>
            <w:noProof/>
          </w:rPr>
          <w:t>Part 4 Section 19.2.2.28, shapedefaults (New Shape Defaults)</w:t>
        </w:r>
        <w:r>
          <w:rPr>
            <w:noProof/>
            <w:webHidden/>
          </w:rPr>
          <w:tab/>
        </w:r>
        <w:r>
          <w:rPr>
            <w:noProof/>
            <w:webHidden/>
          </w:rPr>
          <w:fldChar w:fldCharType="begin"/>
        </w:r>
        <w:r>
          <w:rPr>
            <w:noProof/>
            <w:webHidden/>
          </w:rPr>
          <w:instrText xml:space="preserve"> PAGEREF _Toc69879617 \h </w:instrText>
        </w:r>
        <w:r>
          <w:rPr>
            <w:noProof/>
            <w:webHidden/>
          </w:rPr>
        </w:r>
        <w:r>
          <w:rPr>
            <w:noProof/>
            <w:webHidden/>
          </w:rPr>
          <w:fldChar w:fldCharType="separate"/>
        </w:r>
        <w:r>
          <w:rPr>
            <w:noProof/>
            <w:webHidden/>
          </w:rPr>
          <w:t>675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18" w:history="1">
        <w:r w:rsidRPr="00CC53E5">
          <w:rPr>
            <w:rStyle w:val="Hyperlink"/>
            <w:noProof/>
          </w:rPr>
          <w:t>2.1.1835</w:t>
        </w:r>
        <w:r>
          <w:rPr>
            <w:rFonts w:asciiTheme="minorHAnsi" w:eastAsiaTheme="minorEastAsia" w:hAnsiTheme="minorHAnsi" w:cstheme="minorBidi"/>
            <w:noProof/>
            <w:sz w:val="22"/>
            <w:szCs w:val="22"/>
          </w:rPr>
          <w:tab/>
        </w:r>
        <w:r w:rsidRPr="00CC53E5">
          <w:rPr>
            <w:rStyle w:val="Hyperlink"/>
            <w:noProof/>
          </w:rPr>
          <w:t>Part 4 Section 19.2.2.29, shapelayout (Shape Layout Properties)</w:t>
        </w:r>
        <w:r>
          <w:rPr>
            <w:noProof/>
            <w:webHidden/>
          </w:rPr>
          <w:tab/>
        </w:r>
        <w:r>
          <w:rPr>
            <w:noProof/>
            <w:webHidden/>
          </w:rPr>
          <w:fldChar w:fldCharType="begin"/>
        </w:r>
        <w:r>
          <w:rPr>
            <w:noProof/>
            <w:webHidden/>
          </w:rPr>
          <w:instrText xml:space="preserve"> PAGEREF _Toc69879618 \h </w:instrText>
        </w:r>
        <w:r>
          <w:rPr>
            <w:noProof/>
            <w:webHidden/>
          </w:rPr>
        </w:r>
        <w:r>
          <w:rPr>
            <w:noProof/>
            <w:webHidden/>
          </w:rPr>
          <w:fldChar w:fldCharType="separate"/>
        </w:r>
        <w:r>
          <w:rPr>
            <w:noProof/>
            <w:webHidden/>
          </w:rPr>
          <w:t>675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19" w:history="1">
        <w:r w:rsidRPr="00CC53E5">
          <w:rPr>
            <w:rStyle w:val="Hyperlink"/>
            <w:noProof/>
          </w:rPr>
          <w:t>2.1.1836</w:t>
        </w:r>
        <w:r>
          <w:rPr>
            <w:rFonts w:asciiTheme="minorHAnsi" w:eastAsiaTheme="minorEastAsia" w:hAnsiTheme="minorHAnsi" w:cstheme="minorBidi"/>
            <w:noProof/>
            <w:sz w:val="22"/>
            <w:szCs w:val="22"/>
          </w:rPr>
          <w:tab/>
        </w:r>
        <w:r w:rsidRPr="00CC53E5">
          <w:rPr>
            <w:rStyle w:val="Hyperlink"/>
            <w:noProof/>
          </w:rPr>
          <w:t>Part 4 Section 19.2.2.30, signatureline (Digital Signature Line)</w:t>
        </w:r>
        <w:r>
          <w:rPr>
            <w:noProof/>
            <w:webHidden/>
          </w:rPr>
          <w:tab/>
        </w:r>
        <w:r>
          <w:rPr>
            <w:noProof/>
            <w:webHidden/>
          </w:rPr>
          <w:fldChar w:fldCharType="begin"/>
        </w:r>
        <w:r>
          <w:rPr>
            <w:noProof/>
            <w:webHidden/>
          </w:rPr>
          <w:instrText xml:space="preserve"> PAGEREF _Toc69879619 \h </w:instrText>
        </w:r>
        <w:r>
          <w:rPr>
            <w:noProof/>
            <w:webHidden/>
          </w:rPr>
        </w:r>
        <w:r>
          <w:rPr>
            <w:noProof/>
            <w:webHidden/>
          </w:rPr>
          <w:fldChar w:fldCharType="separate"/>
        </w:r>
        <w:r>
          <w:rPr>
            <w:noProof/>
            <w:webHidden/>
          </w:rPr>
          <w:t>675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20" w:history="1">
        <w:r w:rsidRPr="00CC53E5">
          <w:rPr>
            <w:rStyle w:val="Hyperlink"/>
            <w:noProof/>
          </w:rPr>
          <w:t>2.1.1837</w:t>
        </w:r>
        <w:r>
          <w:rPr>
            <w:rFonts w:asciiTheme="minorHAnsi" w:eastAsiaTheme="minorEastAsia" w:hAnsiTheme="minorHAnsi" w:cstheme="minorBidi"/>
            <w:noProof/>
            <w:sz w:val="22"/>
            <w:szCs w:val="22"/>
          </w:rPr>
          <w:tab/>
        </w:r>
        <w:r w:rsidRPr="00CC53E5">
          <w:rPr>
            <w:rStyle w:val="Hyperlink"/>
            <w:noProof/>
          </w:rPr>
          <w:t>Part 4 Section 19.2.2.31, skew (Skew Transform)</w:t>
        </w:r>
        <w:r>
          <w:rPr>
            <w:noProof/>
            <w:webHidden/>
          </w:rPr>
          <w:tab/>
        </w:r>
        <w:r>
          <w:rPr>
            <w:noProof/>
            <w:webHidden/>
          </w:rPr>
          <w:fldChar w:fldCharType="begin"/>
        </w:r>
        <w:r>
          <w:rPr>
            <w:noProof/>
            <w:webHidden/>
          </w:rPr>
          <w:instrText xml:space="preserve"> PAGEREF _Toc69879620 \h </w:instrText>
        </w:r>
        <w:r>
          <w:rPr>
            <w:noProof/>
            <w:webHidden/>
          </w:rPr>
        </w:r>
        <w:r>
          <w:rPr>
            <w:noProof/>
            <w:webHidden/>
          </w:rPr>
          <w:fldChar w:fldCharType="separate"/>
        </w:r>
        <w:r>
          <w:rPr>
            <w:noProof/>
            <w:webHidden/>
          </w:rPr>
          <w:t>676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21" w:history="1">
        <w:r w:rsidRPr="00CC53E5">
          <w:rPr>
            <w:rStyle w:val="Hyperlink"/>
            <w:noProof/>
          </w:rPr>
          <w:t>2.1.1838</w:t>
        </w:r>
        <w:r>
          <w:rPr>
            <w:rFonts w:asciiTheme="minorHAnsi" w:eastAsiaTheme="minorEastAsia" w:hAnsiTheme="minorHAnsi" w:cstheme="minorBidi"/>
            <w:noProof/>
            <w:sz w:val="22"/>
            <w:szCs w:val="22"/>
          </w:rPr>
          <w:tab/>
        </w:r>
        <w:r w:rsidRPr="00CC53E5">
          <w:rPr>
            <w:rStyle w:val="Hyperlink"/>
            <w:noProof/>
          </w:rPr>
          <w:t>Part 4 Section 19.2.2.32, top (Text Box Top Stroke)</w:t>
        </w:r>
        <w:r>
          <w:rPr>
            <w:noProof/>
            <w:webHidden/>
          </w:rPr>
          <w:tab/>
        </w:r>
        <w:r>
          <w:rPr>
            <w:noProof/>
            <w:webHidden/>
          </w:rPr>
          <w:fldChar w:fldCharType="begin"/>
        </w:r>
        <w:r>
          <w:rPr>
            <w:noProof/>
            <w:webHidden/>
          </w:rPr>
          <w:instrText xml:space="preserve"> PAGEREF _Toc69879621 \h </w:instrText>
        </w:r>
        <w:r>
          <w:rPr>
            <w:noProof/>
            <w:webHidden/>
          </w:rPr>
        </w:r>
        <w:r>
          <w:rPr>
            <w:noProof/>
            <w:webHidden/>
          </w:rPr>
          <w:fldChar w:fldCharType="separate"/>
        </w:r>
        <w:r>
          <w:rPr>
            <w:noProof/>
            <w:webHidden/>
          </w:rPr>
          <w:t>676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22" w:history="1">
        <w:r w:rsidRPr="00CC53E5">
          <w:rPr>
            <w:rStyle w:val="Hyperlink"/>
            <w:noProof/>
          </w:rPr>
          <w:t>2.1.1839</w:t>
        </w:r>
        <w:r>
          <w:rPr>
            <w:rFonts w:asciiTheme="minorHAnsi" w:eastAsiaTheme="minorEastAsia" w:hAnsiTheme="minorHAnsi" w:cstheme="minorBidi"/>
            <w:noProof/>
            <w:sz w:val="22"/>
            <w:szCs w:val="22"/>
          </w:rPr>
          <w:tab/>
        </w:r>
        <w:r w:rsidRPr="00CC53E5">
          <w:rPr>
            <w:rStyle w:val="Hyperlink"/>
            <w:noProof/>
          </w:rPr>
          <w:t>Part 4 Section 19.2.3.3, ST_BWMode (Black And White Modes)</w:t>
        </w:r>
        <w:r>
          <w:rPr>
            <w:noProof/>
            <w:webHidden/>
          </w:rPr>
          <w:tab/>
        </w:r>
        <w:r>
          <w:rPr>
            <w:noProof/>
            <w:webHidden/>
          </w:rPr>
          <w:fldChar w:fldCharType="begin"/>
        </w:r>
        <w:r>
          <w:rPr>
            <w:noProof/>
            <w:webHidden/>
          </w:rPr>
          <w:instrText xml:space="preserve"> PAGEREF _Toc69879622 \h </w:instrText>
        </w:r>
        <w:r>
          <w:rPr>
            <w:noProof/>
            <w:webHidden/>
          </w:rPr>
        </w:r>
        <w:r>
          <w:rPr>
            <w:noProof/>
            <w:webHidden/>
          </w:rPr>
          <w:fldChar w:fldCharType="separate"/>
        </w:r>
        <w:r>
          <w:rPr>
            <w:noProof/>
            <w:webHidden/>
          </w:rPr>
          <w:t>677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23" w:history="1">
        <w:r w:rsidRPr="00CC53E5">
          <w:rPr>
            <w:rStyle w:val="Hyperlink"/>
            <w:noProof/>
          </w:rPr>
          <w:t>2.1.1840</w:t>
        </w:r>
        <w:r>
          <w:rPr>
            <w:rFonts w:asciiTheme="minorHAnsi" w:eastAsiaTheme="minorEastAsia" w:hAnsiTheme="minorHAnsi" w:cstheme="minorBidi"/>
            <w:noProof/>
            <w:sz w:val="22"/>
            <w:szCs w:val="22"/>
          </w:rPr>
          <w:tab/>
        </w:r>
        <w:r w:rsidRPr="00CC53E5">
          <w:rPr>
            <w:rStyle w:val="Hyperlink"/>
            <w:noProof/>
          </w:rPr>
          <w:t>Part 4 Section 19.2.3.4, ST_CalloutDrop (Callout Drop Location)</w:t>
        </w:r>
        <w:r>
          <w:rPr>
            <w:noProof/>
            <w:webHidden/>
          </w:rPr>
          <w:tab/>
        </w:r>
        <w:r>
          <w:rPr>
            <w:noProof/>
            <w:webHidden/>
          </w:rPr>
          <w:fldChar w:fldCharType="begin"/>
        </w:r>
        <w:r>
          <w:rPr>
            <w:noProof/>
            <w:webHidden/>
          </w:rPr>
          <w:instrText xml:space="preserve"> PAGEREF _Toc69879623 \h </w:instrText>
        </w:r>
        <w:r>
          <w:rPr>
            <w:noProof/>
            <w:webHidden/>
          </w:rPr>
        </w:r>
        <w:r>
          <w:rPr>
            <w:noProof/>
            <w:webHidden/>
          </w:rPr>
          <w:fldChar w:fldCharType="separate"/>
        </w:r>
        <w:r>
          <w:rPr>
            <w:noProof/>
            <w:webHidden/>
          </w:rPr>
          <w:t>677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24" w:history="1">
        <w:r w:rsidRPr="00CC53E5">
          <w:rPr>
            <w:rStyle w:val="Hyperlink"/>
            <w:noProof/>
          </w:rPr>
          <w:t>2.1.1841</w:t>
        </w:r>
        <w:r>
          <w:rPr>
            <w:rFonts w:asciiTheme="minorHAnsi" w:eastAsiaTheme="minorEastAsia" w:hAnsiTheme="minorHAnsi" w:cstheme="minorBidi"/>
            <w:noProof/>
            <w:sz w:val="22"/>
            <w:szCs w:val="22"/>
          </w:rPr>
          <w:tab/>
        </w:r>
        <w:r w:rsidRPr="00CC53E5">
          <w:rPr>
            <w:rStyle w:val="Hyperlink"/>
            <w:noProof/>
          </w:rPr>
          <w:t>Part 4 Section 19.2.3.14, ST_FillType (Shape Fill Type)</w:t>
        </w:r>
        <w:r>
          <w:rPr>
            <w:noProof/>
            <w:webHidden/>
          </w:rPr>
          <w:tab/>
        </w:r>
        <w:r>
          <w:rPr>
            <w:noProof/>
            <w:webHidden/>
          </w:rPr>
          <w:fldChar w:fldCharType="begin"/>
        </w:r>
        <w:r>
          <w:rPr>
            <w:noProof/>
            <w:webHidden/>
          </w:rPr>
          <w:instrText xml:space="preserve"> PAGEREF _Toc69879624 \h </w:instrText>
        </w:r>
        <w:r>
          <w:rPr>
            <w:noProof/>
            <w:webHidden/>
          </w:rPr>
        </w:r>
        <w:r>
          <w:rPr>
            <w:noProof/>
            <w:webHidden/>
          </w:rPr>
          <w:fldChar w:fldCharType="separate"/>
        </w:r>
        <w:r>
          <w:rPr>
            <w:noProof/>
            <w:webHidden/>
          </w:rPr>
          <w:t>677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25" w:history="1">
        <w:r w:rsidRPr="00CC53E5">
          <w:rPr>
            <w:rStyle w:val="Hyperlink"/>
            <w:noProof/>
          </w:rPr>
          <w:t>2.1.1842</w:t>
        </w:r>
        <w:r>
          <w:rPr>
            <w:rFonts w:asciiTheme="minorHAnsi" w:eastAsiaTheme="minorEastAsia" w:hAnsiTheme="minorHAnsi" w:cstheme="minorBidi"/>
            <w:noProof/>
            <w:sz w:val="22"/>
            <w:szCs w:val="22"/>
          </w:rPr>
          <w:tab/>
        </w:r>
        <w:r w:rsidRPr="00CC53E5">
          <w:rPr>
            <w:rStyle w:val="Hyperlink"/>
            <w:noProof/>
          </w:rPr>
          <w:t>Part 4 Section 19.2.3.19, ST_OLELinkType (Embedded Object Alternate Image Request Types)</w:t>
        </w:r>
        <w:r>
          <w:rPr>
            <w:noProof/>
            <w:webHidden/>
          </w:rPr>
          <w:tab/>
        </w:r>
        <w:r>
          <w:rPr>
            <w:noProof/>
            <w:webHidden/>
          </w:rPr>
          <w:fldChar w:fldCharType="begin"/>
        </w:r>
        <w:r>
          <w:rPr>
            <w:noProof/>
            <w:webHidden/>
          </w:rPr>
          <w:instrText xml:space="preserve"> PAGEREF _Toc69879625 \h </w:instrText>
        </w:r>
        <w:r>
          <w:rPr>
            <w:noProof/>
            <w:webHidden/>
          </w:rPr>
        </w:r>
        <w:r>
          <w:rPr>
            <w:noProof/>
            <w:webHidden/>
          </w:rPr>
          <w:fldChar w:fldCharType="separate"/>
        </w:r>
        <w:r>
          <w:rPr>
            <w:noProof/>
            <w:webHidden/>
          </w:rPr>
          <w:t>677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26" w:history="1">
        <w:r w:rsidRPr="00CC53E5">
          <w:rPr>
            <w:rStyle w:val="Hyperlink"/>
            <w:noProof/>
          </w:rPr>
          <w:t>2.1.1843</w:t>
        </w:r>
        <w:r>
          <w:rPr>
            <w:rFonts w:asciiTheme="minorHAnsi" w:eastAsiaTheme="minorEastAsia" w:hAnsiTheme="minorHAnsi" w:cstheme="minorBidi"/>
            <w:noProof/>
            <w:sz w:val="22"/>
            <w:szCs w:val="22"/>
          </w:rPr>
          <w:tab/>
        </w:r>
        <w:r w:rsidRPr="00CC53E5">
          <w:rPr>
            <w:rStyle w:val="Hyperlink"/>
            <w:noProof/>
          </w:rPr>
          <w:t>Part 4 Section 19.3.2.2, borderbottom (Bottom Border)</w:t>
        </w:r>
        <w:r>
          <w:rPr>
            <w:noProof/>
            <w:webHidden/>
          </w:rPr>
          <w:tab/>
        </w:r>
        <w:r>
          <w:rPr>
            <w:noProof/>
            <w:webHidden/>
          </w:rPr>
          <w:fldChar w:fldCharType="begin"/>
        </w:r>
        <w:r>
          <w:rPr>
            <w:noProof/>
            <w:webHidden/>
          </w:rPr>
          <w:instrText xml:space="preserve"> PAGEREF _Toc69879626 \h </w:instrText>
        </w:r>
        <w:r>
          <w:rPr>
            <w:noProof/>
            <w:webHidden/>
          </w:rPr>
        </w:r>
        <w:r>
          <w:rPr>
            <w:noProof/>
            <w:webHidden/>
          </w:rPr>
          <w:fldChar w:fldCharType="separate"/>
        </w:r>
        <w:r>
          <w:rPr>
            <w:noProof/>
            <w:webHidden/>
          </w:rPr>
          <w:t>678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27" w:history="1">
        <w:r w:rsidRPr="00CC53E5">
          <w:rPr>
            <w:rStyle w:val="Hyperlink"/>
            <w:noProof/>
          </w:rPr>
          <w:t>2.1.1844</w:t>
        </w:r>
        <w:r>
          <w:rPr>
            <w:rFonts w:asciiTheme="minorHAnsi" w:eastAsiaTheme="minorEastAsia" w:hAnsiTheme="minorHAnsi" w:cstheme="minorBidi"/>
            <w:noProof/>
            <w:sz w:val="22"/>
            <w:szCs w:val="22"/>
          </w:rPr>
          <w:tab/>
        </w:r>
        <w:r w:rsidRPr="00CC53E5">
          <w:rPr>
            <w:rStyle w:val="Hyperlink"/>
            <w:noProof/>
          </w:rPr>
          <w:t>Part 4 Section 19.3.2.3, borderleft (Left Border)</w:t>
        </w:r>
        <w:r>
          <w:rPr>
            <w:noProof/>
            <w:webHidden/>
          </w:rPr>
          <w:tab/>
        </w:r>
        <w:r>
          <w:rPr>
            <w:noProof/>
            <w:webHidden/>
          </w:rPr>
          <w:fldChar w:fldCharType="begin"/>
        </w:r>
        <w:r>
          <w:rPr>
            <w:noProof/>
            <w:webHidden/>
          </w:rPr>
          <w:instrText xml:space="preserve"> PAGEREF _Toc69879627 \h </w:instrText>
        </w:r>
        <w:r>
          <w:rPr>
            <w:noProof/>
            <w:webHidden/>
          </w:rPr>
        </w:r>
        <w:r>
          <w:rPr>
            <w:noProof/>
            <w:webHidden/>
          </w:rPr>
          <w:fldChar w:fldCharType="separate"/>
        </w:r>
        <w:r>
          <w:rPr>
            <w:noProof/>
            <w:webHidden/>
          </w:rPr>
          <w:t>678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28" w:history="1">
        <w:r w:rsidRPr="00CC53E5">
          <w:rPr>
            <w:rStyle w:val="Hyperlink"/>
            <w:noProof/>
          </w:rPr>
          <w:t>2.1.1845</w:t>
        </w:r>
        <w:r>
          <w:rPr>
            <w:rFonts w:asciiTheme="minorHAnsi" w:eastAsiaTheme="minorEastAsia" w:hAnsiTheme="minorHAnsi" w:cstheme="minorBidi"/>
            <w:noProof/>
            <w:sz w:val="22"/>
            <w:szCs w:val="22"/>
          </w:rPr>
          <w:tab/>
        </w:r>
        <w:r w:rsidRPr="00CC53E5">
          <w:rPr>
            <w:rStyle w:val="Hyperlink"/>
            <w:noProof/>
          </w:rPr>
          <w:t>Part 4 Section 19.3.2.4, borderright (Right Border)</w:t>
        </w:r>
        <w:r>
          <w:rPr>
            <w:noProof/>
            <w:webHidden/>
          </w:rPr>
          <w:tab/>
        </w:r>
        <w:r>
          <w:rPr>
            <w:noProof/>
            <w:webHidden/>
          </w:rPr>
          <w:fldChar w:fldCharType="begin"/>
        </w:r>
        <w:r>
          <w:rPr>
            <w:noProof/>
            <w:webHidden/>
          </w:rPr>
          <w:instrText xml:space="preserve"> PAGEREF _Toc69879628 \h </w:instrText>
        </w:r>
        <w:r>
          <w:rPr>
            <w:noProof/>
            <w:webHidden/>
          </w:rPr>
        </w:r>
        <w:r>
          <w:rPr>
            <w:noProof/>
            <w:webHidden/>
          </w:rPr>
          <w:fldChar w:fldCharType="separate"/>
        </w:r>
        <w:r>
          <w:rPr>
            <w:noProof/>
            <w:webHidden/>
          </w:rPr>
          <w:t>678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29" w:history="1">
        <w:r w:rsidRPr="00CC53E5">
          <w:rPr>
            <w:rStyle w:val="Hyperlink"/>
            <w:noProof/>
          </w:rPr>
          <w:t>2.1.1846</w:t>
        </w:r>
        <w:r>
          <w:rPr>
            <w:rFonts w:asciiTheme="minorHAnsi" w:eastAsiaTheme="minorEastAsia" w:hAnsiTheme="minorHAnsi" w:cstheme="minorBidi"/>
            <w:noProof/>
            <w:sz w:val="22"/>
            <w:szCs w:val="22"/>
          </w:rPr>
          <w:tab/>
        </w:r>
        <w:r w:rsidRPr="00CC53E5">
          <w:rPr>
            <w:rStyle w:val="Hyperlink"/>
            <w:noProof/>
          </w:rPr>
          <w:t>Part 4 Section 19.3.2.5, bordertop (Top Border)</w:t>
        </w:r>
        <w:r>
          <w:rPr>
            <w:noProof/>
            <w:webHidden/>
          </w:rPr>
          <w:tab/>
        </w:r>
        <w:r>
          <w:rPr>
            <w:noProof/>
            <w:webHidden/>
          </w:rPr>
          <w:fldChar w:fldCharType="begin"/>
        </w:r>
        <w:r>
          <w:rPr>
            <w:noProof/>
            <w:webHidden/>
          </w:rPr>
          <w:instrText xml:space="preserve"> PAGEREF _Toc69879629 \h </w:instrText>
        </w:r>
        <w:r>
          <w:rPr>
            <w:noProof/>
            <w:webHidden/>
          </w:rPr>
        </w:r>
        <w:r>
          <w:rPr>
            <w:noProof/>
            <w:webHidden/>
          </w:rPr>
          <w:fldChar w:fldCharType="separate"/>
        </w:r>
        <w:r>
          <w:rPr>
            <w:noProof/>
            <w:webHidden/>
          </w:rPr>
          <w:t>678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30" w:history="1">
        <w:r w:rsidRPr="00CC53E5">
          <w:rPr>
            <w:rStyle w:val="Hyperlink"/>
            <w:noProof/>
          </w:rPr>
          <w:t>2.1.1847</w:t>
        </w:r>
        <w:r>
          <w:rPr>
            <w:rFonts w:asciiTheme="minorHAnsi" w:eastAsiaTheme="minorEastAsia" w:hAnsiTheme="minorHAnsi" w:cstheme="minorBidi"/>
            <w:noProof/>
            <w:sz w:val="22"/>
            <w:szCs w:val="22"/>
          </w:rPr>
          <w:tab/>
        </w:r>
        <w:r w:rsidRPr="00CC53E5">
          <w:rPr>
            <w:rStyle w:val="Hyperlink"/>
            <w:noProof/>
          </w:rPr>
          <w:t>Part 4 Section 19.3.2.6, wrap (Text Wrapping)</w:t>
        </w:r>
        <w:r>
          <w:rPr>
            <w:noProof/>
            <w:webHidden/>
          </w:rPr>
          <w:tab/>
        </w:r>
        <w:r>
          <w:rPr>
            <w:noProof/>
            <w:webHidden/>
          </w:rPr>
          <w:fldChar w:fldCharType="begin"/>
        </w:r>
        <w:r>
          <w:rPr>
            <w:noProof/>
            <w:webHidden/>
          </w:rPr>
          <w:instrText xml:space="preserve"> PAGEREF _Toc69879630 \h </w:instrText>
        </w:r>
        <w:r>
          <w:rPr>
            <w:noProof/>
            <w:webHidden/>
          </w:rPr>
        </w:r>
        <w:r>
          <w:rPr>
            <w:noProof/>
            <w:webHidden/>
          </w:rPr>
          <w:fldChar w:fldCharType="separate"/>
        </w:r>
        <w:r>
          <w:rPr>
            <w:noProof/>
            <w:webHidden/>
          </w:rPr>
          <w:t>678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31" w:history="1">
        <w:r w:rsidRPr="00CC53E5">
          <w:rPr>
            <w:rStyle w:val="Hyperlink"/>
            <w:noProof/>
          </w:rPr>
          <w:t>2.1.1848</w:t>
        </w:r>
        <w:r>
          <w:rPr>
            <w:rFonts w:asciiTheme="minorHAnsi" w:eastAsiaTheme="minorEastAsia" w:hAnsiTheme="minorHAnsi" w:cstheme="minorBidi"/>
            <w:noProof/>
            <w:sz w:val="22"/>
            <w:szCs w:val="22"/>
          </w:rPr>
          <w:tab/>
        </w:r>
        <w:r w:rsidRPr="00CC53E5">
          <w:rPr>
            <w:rStyle w:val="Hyperlink"/>
            <w:noProof/>
          </w:rPr>
          <w:t>Part 4 Section 19.3.3.3, ST_HorizontalAnchor (Horizontal Anchor Type)</w:t>
        </w:r>
        <w:r>
          <w:rPr>
            <w:noProof/>
            <w:webHidden/>
          </w:rPr>
          <w:tab/>
        </w:r>
        <w:r>
          <w:rPr>
            <w:noProof/>
            <w:webHidden/>
          </w:rPr>
          <w:fldChar w:fldCharType="begin"/>
        </w:r>
        <w:r>
          <w:rPr>
            <w:noProof/>
            <w:webHidden/>
          </w:rPr>
          <w:instrText xml:space="preserve"> PAGEREF _Toc69879631 \h </w:instrText>
        </w:r>
        <w:r>
          <w:rPr>
            <w:noProof/>
            <w:webHidden/>
          </w:rPr>
        </w:r>
        <w:r>
          <w:rPr>
            <w:noProof/>
            <w:webHidden/>
          </w:rPr>
          <w:fldChar w:fldCharType="separate"/>
        </w:r>
        <w:r>
          <w:rPr>
            <w:noProof/>
            <w:webHidden/>
          </w:rPr>
          <w:t>678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32" w:history="1">
        <w:r w:rsidRPr="00CC53E5">
          <w:rPr>
            <w:rStyle w:val="Hyperlink"/>
            <w:noProof/>
          </w:rPr>
          <w:t>2.1.1849</w:t>
        </w:r>
        <w:r>
          <w:rPr>
            <w:rFonts w:asciiTheme="minorHAnsi" w:eastAsiaTheme="minorEastAsia" w:hAnsiTheme="minorHAnsi" w:cstheme="minorBidi"/>
            <w:noProof/>
            <w:sz w:val="22"/>
            <w:szCs w:val="22"/>
          </w:rPr>
          <w:tab/>
        </w:r>
        <w:r w:rsidRPr="00CC53E5">
          <w:rPr>
            <w:rStyle w:val="Hyperlink"/>
            <w:noProof/>
          </w:rPr>
          <w:t>Part 4 Section 19.3.3.4, ST_VerticalAnchor (Vertical Anchor Type)</w:t>
        </w:r>
        <w:r>
          <w:rPr>
            <w:noProof/>
            <w:webHidden/>
          </w:rPr>
          <w:tab/>
        </w:r>
        <w:r>
          <w:rPr>
            <w:noProof/>
            <w:webHidden/>
          </w:rPr>
          <w:fldChar w:fldCharType="begin"/>
        </w:r>
        <w:r>
          <w:rPr>
            <w:noProof/>
            <w:webHidden/>
          </w:rPr>
          <w:instrText xml:space="preserve"> PAGEREF _Toc69879632 \h </w:instrText>
        </w:r>
        <w:r>
          <w:rPr>
            <w:noProof/>
            <w:webHidden/>
          </w:rPr>
        </w:r>
        <w:r>
          <w:rPr>
            <w:noProof/>
            <w:webHidden/>
          </w:rPr>
          <w:fldChar w:fldCharType="separate"/>
        </w:r>
        <w:r>
          <w:rPr>
            <w:noProof/>
            <w:webHidden/>
          </w:rPr>
          <w:t>678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33" w:history="1">
        <w:r w:rsidRPr="00CC53E5">
          <w:rPr>
            <w:rStyle w:val="Hyperlink"/>
            <w:noProof/>
          </w:rPr>
          <w:t>2.1.1850</w:t>
        </w:r>
        <w:r>
          <w:rPr>
            <w:rFonts w:asciiTheme="minorHAnsi" w:eastAsiaTheme="minorEastAsia" w:hAnsiTheme="minorHAnsi" w:cstheme="minorBidi"/>
            <w:noProof/>
            <w:sz w:val="22"/>
            <w:szCs w:val="22"/>
          </w:rPr>
          <w:tab/>
        </w:r>
        <w:r w:rsidRPr="00CC53E5">
          <w:rPr>
            <w:rStyle w:val="Hyperlink"/>
            <w:noProof/>
          </w:rPr>
          <w:t>Part 4 Section 19.4.2.1, Accel (Primary Keyboard Accelerator)</w:t>
        </w:r>
        <w:r>
          <w:rPr>
            <w:noProof/>
            <w:webHidden/>
          </w:rPr>
          <w:tab/>
        </w:r>
        <w:r>
          <w:rPr>
            <w:noProof/>
            <w:webHidden/>
          </w:rPr>
          <w:fldChar w:fldCharType="begin"/>
        </w:r>
        <w:r>
          <w:rPr>
            <w:noProof/>
            <w:webHidden/>
          </w:rPr>
          <w:instrText xml:space="preserve"> PAGEREF _Toc69879633 \h </w:instrText>
        </w:r>
        <w:r>
          <w:rPr>
            <w:noProof/>
            <w:webHidden/>
          </w:rPr>
        </w:r>
        <w:r>
          <w:rPr>
            <w:noProof/>
            <w:webHidden/>
          </w:rPr>
          <w:fldChar w:fldCharType="separate"/>
        </w:r>
        <w:r>
          <w:rPr>
            <w:noProof/>
            <w:webHidden/>
          </w:rPr>
          <w:t>678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34" w:history="1">
        <w:r w:rsidRPr="00CC53E5">
          <w:rPr>
            <w:rStyle w:val="Hyperlink"/>
            <w:noProof/>
          </w:rPr>
          <w:t>2.1.1851</w:t>
        </w:r>
        <w:r>
          <w:rPr>
            <w:rFonts w:asciiTheme="minorHAnsi" w:eastAsiaTheme="minorEastAsia" w:hAnsiTheme="minorHAnsi" w:cstheme="minorBidi"/>
            <w:noProof/>
            <w:sz w:val="22"/>
            <w:szCs w:val="22"/>
          </w:rPr>
          <w:tab/>
        </w:r>
        <w:r w:rsidRPr="00CC53E5">
          <w:rPr>
            <w:rStyle w:val="Hyperlink"/>
            <w:noProof/>
          </w:rPr>
          <w:t>Part 4 Section 19.4.2.2, Accel2 (Secondary Keyboard Accelerator)</w:t>
        </w:r>
        <w:r>
          <w:rPr>
            <w:noProof/>
            <w:webHidden/>
          </w:rPr>
          <w:tab/>
        </w:r>
        <w:r>
          <w:rPr>
            <w:noProof/>
            <w:webHidden/>
          </w:rPr>
          <w:fldChar w:fldCharType="begin"/>
        </w:r>
        <w:r>
          <w:rPr>
            <w:noProof/>
            <w:webHidden/>
          </w:rPr>
          <w:instrText xml:space="preserve"> PAGEREF _Toc69879634 \h </w:instrText>
        </w:r>
        <w:r>
          <w:rPr>
            <w:noProof/>
            <w:webHidden/>
          </w:rPr>
        </w:r>
        <w:r>
          <w:rPr>
            <w:noProof/>
            <w:webHidden/>
          </w:rPr>
          <w:fldChar w:fldCharType="separate"/>
        </w:r>
        <w:r>
          <w:rPr>
            <w:noProof/>
            <w:webHidden/>
          </w:rPr>
          <w:t>678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35" w:history="1">
        <w:r w:rsidRPr="00CC53E5">
          <w:rPr>
            <w:rStyle w:val="Hyperlink"/>
            <w:noProof/>
          </w:rPr>
          <w:t>2.1.1852</w:t>
        </w:r>
        <w:r>
          <w:rPr>
            <w:rFonts w:asciiTheme="minorHAnsi" w:eastAsiaTheme="minorEastAsia" w:hAnsiTheme="minorHAnsi" w:cstheme="minorBidi"/>
            <w:noProof/>
            <w:sz w:val="22"/>
            <w:szCs w:val="22"/>
          </w:rPr>
          <w:tab/>
        </w:r>
        <w:r w:rsidRPr="00CC53E5">
          <w:rPr>
            <w:rStyle w:val="Hyperlink"/>
            <w:noProof/>
          </w:rPr>
          <w:t>Part 4 Section 19.4.2.3, Anchor (Anchor)</w:t>
        </w:r>
        <w:r>
          <w:rPr>
            <w:noProof/>
            <w:webHidden/>
          </w:rPr>
          <w:tab/>
        </w:r>
        <w:r>
          <w:rPr>
            <w:noProof/>
            <w:webHidden/>
          </w:rPr>
          <w:fldChar w:fldCharType="begin"/>
        </w:r>
        <w:r>
          <w:rPr>
            <w:noProof/>
            <w:webHidden/>
          </w:rPr>
          <w:instrText xml:space="preserve"> PAGEREF _Toc69879635 \h </w:instrText>
        </w:r>
        <w:r>
          <w:rPr>
            <w:noProof/>
            <w:webHidden/>
          </w:rPr>
        </w:r>
        <w:r>
          <w:rPr>
            <w:noProof/>
            <w:webHidden/>
          </w:rPr>
          <w:fldChar w:fldCharType="separate"/>
        </w:r>
        <w:r>
          <w:rPr>
            <w:noProof/>
            <w:webHidden/>
          </w:rPr>
          <w:t>679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36" w:history="1">
        <w:r w:rsidRPr="00CC53E5">
          <w:rPr>
            <w:rStyle w:val="Hyperlink"/>
            <w:noProof/>
          </w:rPr>
          <w:t>2.1.1853</w:t>
        </w:r>
        <w:r>
          <w:rPr>
            <w:rFonts w:asciiTheme="minorHAnsi" w:eastAsiaTheme="minorEastAsia" w:hAnsiTheme="minorHAnsi" w:cstheme="minorBidi"/>
            <w:noProof/>
            <w:sz w:val="22"/>
            <w:szCs w:val="22"/>
          </w:rPr>
          <w:tab/>
        </w:r>
        <w:r w:rsidRPr="00CC53E5">
          <w:rPr>
            <w:rStyle w:val="Hyperlink"/>
            <w:noProof/>
          </w:rPr>
          <w:t>Part 4 Section 19.4.2.4, AutoFill (AutoFill)</w:t>
        </w:r>
        <w:r>
          <w:rPr>
            <w:noProof/>
            <w:webHidden/>
          </w:rPr>
          <w:tab/>
        </w:r>
        <w:r>
          <w:rPr>
            <w:noProof/>
            <w:webHidden/>
          </w:rPr>
          <w:fldChar w:fldCharType="begin"/>
        </w:r>
        <w:r>
          <w:rPr>
            <w:noProof/>
            <w:webHidden/>
          </w:rPr>
          <w:instrText xml:space="preserve"> PAGEREF _Toc69879636 \h </w:instrText>
        </w:r>
        <w:r>
          <w:rPr>
            <w:noProof/>
            <w:webHidden/>
          </w:rPr>
        </w:r>
        <w:r>
          <w:rPr>
            <w:noProof/>
            <w:webHidden/>
          </w:rPr>
          <w:fldChar w:fldCharType="separate"/>
        </w:r>
        <w:r>
          <w:rPr>
            <w:noProof/>
            <w:webHidden/>
          </w:rPr>
          <w:t>679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37" w:history="1">
        <w:r w:rsidRPr="00CC53E5">
          <w:rPr>
            <w:rStyle w:val="Hyperlink"/>
            <w:noProof/>
          </w:rPr>
          <w:t>2.1.1854</w:t>
        </w:r>
        <w:r>
          <w:rPr>
            <w:rFonts w:asciiTheme="minorHAnsi" w:eastAsiaTheme="minorEastAsia" w:hAnsiTheme="minorHAnsi" w:cstheme="minorBidi"/>
            <w:noProof/>
            <w:sz w:val="22"/>
            <w:szCs w:val="22"/>
          </w:rPr>
          <w:tab/>
        </w:r>
        <w:r w:rsidRPr="00CC53E5">
          <w:rPr>
            <w:rStyle w:val="Hyperlink"/>
            <w:noProof/>
          </w:rPr>
          <w:t>Part 4 Section 19.4.2.5, AutoLine (AutoLine)</w:t>
        </w:r>
        <w:r>
          <w:rPr>
            <w:noProof/>
            <w:webHidden/>
          </w:rPr>
          <w:tab/>
        </w:r>
        <w:r>
          <w:rPr>
            <w:noProof/>
            <w:webHidden/>
          </w:rPr>
          <w:fldChar w:fldCharType="begin"/>
        </w:r>
        <w:r>
          <w:rPr>
            <w:noProof/>
            <w:webHidden/>
          </w:rPr>
          <w:instrText xml:space="preserve"> PAGEREF _Toc69879637 \h </w:instrText>
        </w:r>
        <w:r>
          <w:rPr>
            <w:noProof/>
            <w:webHidden/>
          </w:rPr>
        </w:r>
        <w:r>
          <w:rPr>
            <w:noProof/>
            <w:webHidden/>
          </w:rPr>
          <w:fldChar w:fldCharType="separate"/>
        </w:r>
        <w:r>
          <w:rPr>
            <w:noProof/>
            <w:webHidden/>
          </w:rPr>
          <w:t>679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38" w:history="1">
        <w:r w:rsidRPr="00CC53E5">
          <w:rPr>
            <w:rStyle w:val="Hyperlink"/>
            <w:noProof/>
          </w:rPr>
          <w:t>2.1.1855</w:t>
        </w:r>
        <w:r>
          <w:rPr>
            <w:rFonts w:asciiTheme="minorHAnsi" w:eastAsiaTheme="minorEastAsia" w:hAnsiTheme="minorHAnsi" w:cstheme="minorBidi"/>
            <w:noProof/>
            <w:sz w:val="22"/>
            <w:szCs w:val="22"/>
          </w:rPr>
          <w:tab/>
        </w:r>
        <w:r w:rsidRPr="00CC53E5">
          <w:rPr>
            <w:rStyle w:val="Hyperlink"/>
            <w:noProof/>
          </w:rPr>
          <w:t>Part 4 Section 19.4.2.7, AutoScale (Font AutoScale)</w:t>
        </w:r>
        <w:r>
          <w:rPr>
            <w:noProof/>
            <w:webHidden/>
          </w:rPr>
          <w:tab/>
        </w:r>
        <w:r>
          <w:rPr>
            <w:noProof/>
            <w:webHidden/>
          </w:rPr>
          <w:fldChar w:fldCharType="begin"/>
        </w:r>
        <w:r>
          <w:rPr>
            <w:noProof/>
            <w:webHidden/>
          </w:rPr>
          <w:instrText xml:space="preserve"> PAGEREF _Toc69879638 \h </w:instrText>
        </w:r>
        <w:r>
          <w:rPr>
            <w:noProof/>
            <w:webHidden/>
          </w:rPr>
        </w:r>
        <w:r>
          <w:rPr>
            <w:noProof/>
            <w:webHidden/>
          </w:rPr>
          <w:fldChar w:fldCharType="separate"/>
        </w:r>
        <w:r>
          <w:rPr>
            <w:noProof/>
            <w:webHidden/>
          </w:rPr>
          <w:t>679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39" w:history="1">
        <w:r w:rsidRPr="00CC53E5">
          <w:rPr>
            <w:rStyle w:val="Hyperlink"/>
            <w:noProof/>
          </w:rPr>
          <w:t>2.1.1856</w:t>
        </w:r>
        <w:r>
          <w:rPr>
            <w:rFonts w:asciiTheme="minorHAnsi" w:eastAsiaTheme="minorEastAsia" w:hAnsiTheme="minorHAnsi" w:cstheme="minorBidi"/>
            <w:noProof/>
            <w:sz w:val="22"/>
            <w:szCs w:val="22"/>
          </w:rPr>
          <w:tab/>
        </w:r>
        <w:r w:rsidRPr="00CC53E5">
          <w:rPr>
            <w:rStyle w:val="Hyperlink"/>
            <w:noProof/>
          </w:rPr>
          <w:t>Part 4 Section 19.4.2.8, Camera (Camera Tool)</w:t>
        </w:r>
        <w:r>
          <w:rPr>
            <w:noProof/>
            <w:webHidden/>
          </w:rPr>
          <w:tab/>
        </w:r>
        <w:r>
          <w:rPr>
            <w:noProof/>
            <w:webHidden/>
          </w:rPr>
          <w:fldChar w:fldCharType="begin"/>
        </w:r>
        <w:r>
          <w:rPr>
            <w:noProof/>
            <w:webHidden/>
          </w:rPr>
          <w:instrText xml:space="preserve"> PAGEREF _Toc69879639 \h </w:instrText>
        </w:r>
        <w:r>
          <w:rPr>
            <w:noProof/>
            <w:webHidden/>
          </w:rPr>
        </w:r>
        <w:r>
          <w:rPr>
            <w:noProof/>
            <w:webHidden/>
          </w:rPr>
          <w:fldChar w:fldCharType="separate"/>
        </w:r>
        <w:r>
          <w:rPr>
            <w:noProof/>
            <w:webHidden/>
          </w:rPr>
          <w:t>679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40" w:history="1">
        <w:r w:rsidRPr="00CC53E5">
          <w:rPr>
            <w:rStyle w:val="Hyperlink"/>
            <w:noProof/>
          </w:rPr>
          <w:t>2.1.1857</w:t>
        </w:r>
        <w:r>
          <w:rPr>
            <w:rFonts w:asciiTheme="minorHAnsi" w:eastAsiaTheme="minorEastAsia" w:hAnsiTheme="minorHAnsi" w:cstheme="minorBidi"/>
            <w:noProof/>
            <w:sz w:val="22"/>
            <w:szCs w:val="22"/>
          </w:rPr>
          <w:tab/>
        </w:r>
        <w:r w:rsidRPr="00CC53E5">
          <w:rPr>
            <w:rStyle w:val="Hyperlink"/>
            <w:noProof/>
          </w:rPr>
          <w:t>Part 4 Section 19.4.2.10, CF (Clipboard Format)</w:t>
        </w:r>
        <w:r>
          <w:rPr>
            <w:noProof/>
            <w:webHidden/>
          </w:rPr>
          <w:tab/>
        </w:r>
        <w:r>
          <w:rPr>
            <w:noProof/>
            <w:webHidden/>
          </w:rPr>
          <w:fldChar w:fldCharType="begin"/>
        </w:r>
        <w:r>
          <w:rPr>
            <w:noProof/>
            <w:webHidden/>
          </w:rPr>
          <w:instrText xml:space="preserve"> PAGEREF _Toc69879640 \h </w:instrText>
        </w:r>
        <w:r>
          <w:rPr>
            <w:noProof/>
            <w:webHidden/>
          </w:rPr>
        </w:r>
        <w:r>
          <w:rPr>
            <w:noProof/>
            <w:webHidden/>
          </w:rPr>
          <w:fldChar w:fldCharType="separate"/>
        </w:r>
        <w:r>
          <w:rPr>
            <w:noProof/>
            <w:webHidden/>
          </w:rPr>
          <w:t>680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41" w:history="1">
        <w:r w:rsidRPr="00CC53E5">
          <w:rPr>
            <w:rStyle w:val="Hyperlink"/>
            <w:noProof/>
          </w:rPr>
          <w:t>2.1.1858</w:t>
        </w:r>
        <w:r>
          <w:rPr>
            <w:rFonts w:asciiTheme="minorHAnsi" w:eastAsiaTheme="minorEastAsia" w:hAnsiTheme="minorHAnsi" w:cstheme="minorBidi"/>
            <w:noProof/>
            <w:sz w:val="22"/>
            <w:szCs w:val="22"/>
          </w:rPr>
          <w:tab/>
        </w:r>
        <w:r w:rsidRPr="00CC53E5">
          <w:rPr>
            <w:rStyle w:val="Hyperlink"/>
            <w:noProof/>
          </w:rPr>
          <w:t>Part 4 Section 19.4.2.12, ClientData (Attached Object Data)</w:t>
        </w:r>
        <w:r>
          <w:rPr>
            <w:noProof/>
            <w:webHidden/>
          </w:rPr>
          <w:tab/>
        </w:r>
        <w:r>
          <w:rPr>
            <w:noProof/>
            <w:webHidden/>
          </w:rPr>
          <w:fldChar w:fldCharType="begin"/>
        </w:r>
        <w:r>
          <w:rPr>
            <w:noProof/>
            <w:webHidden/>
          </w:rPr>
          <w:instrText xml:space="preserve"> PAGEREF _Toc69879641 \h </w:instrText>
        </w:r>
        <w:r>
          <w:rPr>
            <w:noProof/>
            <w:webHidden/>
          </w:rPr>
        </w:r>
        <w:r>
          <w:rPr>
            <w:noProof/>
            <w:webHidden/>
          </w:rPr>
          <w:fldChar w:fldCharType="separate"/>
        </w:r>
        <w:r>
          <w:rPr>
            <w:noProof/>
            <w:webHidden/>
          </w:rPr>
          <w:t>680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42" w:history="1">
        <w:r w:rsidRPr="00CC53E5">
          <w:rPr>
            <w:rStyle w:val="Hyperlink"/>
            <w:noProof/>
          </w:rPr>
          <w:t>2.1.1859</w:t>
        </w:r>
        <w:r>
          <w:rPr>
            <w:rFonts w:asciiTheme="minorHAnsi" w:eastAsiaTheme="minorEastAsia" w:hAnsiTheme="minorHAnsi" w:cstheme="minorBidi"/>
            <w:noProof/>
            <w:sz w:val="22"/>
            <w:szCs w:val="22"/>
          </w:rPr>
          <w:tab/>
        </w:r>
        <w:r w:rsidRPr="00CC53E5">
          <w:rPr>
            <w:rStyle w:val="Hyperlink"/>
            <w:noProof/>
          </w:rPr>
          <w:t>Part 4 Section 19.4.2.13, ColHidden (Comment's Column is Hidden)</w:t>
        </w:r>
        <w:r>
          <w:rPr>
            <w:noProof/>
            <w:webHidden/>
          </w:rPr>
          <w:tab/>
        </w:r>
        <w:r>
          <w:rPr>
            <w:noProof/>
            <w:webHidden/>
          </w:rPr>
          <w:fldChar w:fldCharType="begin"/>
        </w:r>
        <w:r>
          <w:rPr>
            <w:noProof/>
            <w:webHidden/>
          </w:rPr>
          <w:instrText xml:space="preserve"> PAGEREF _Toc69879642 \h </w:instrText>
        </w:r>
        <w:r>
          <w:rPr>
            <w:noProof/>
            <w:webHidden/>
          </w:rPr>
        </w:r>
        <w:r>
          <w:rPr>
            <w:noProof/>
            <w:webHidden/>
          </w:rPr>
          <w:fldChar w:fldCharType="separate"/>
        </w:r>
        <w:r>
          <w:rPr>
            <w:noProof/>
            <w:webHidden/>
          </w:rPr>
          <w:t>680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43" w:history="1">
        <w:r w:rsidRPr="00CC53E5">
          <w:rPr>
            <w:rStyle w:val="Hyperlink"/>
            <w:noProof/>
          </w:rPr>
          <w:t>2.1.1860</w:t>
        </w:r>
        <w:r>
          <w:rPr>
            <w:rFonts w:asciiTheme="minorHAnsi" w:eastAsiaTheme="minorEastAsia" w:hAnsiTheme="minorHAnsi" w:cstheme="minorBidi"/>
            <w:noProof/>
            <w:sz w:val="22"/>
            <w:szCs w:val="22"/>
          </w:rPr>
          <w:tab/>
        </w:r>
        <w:r w:rsidRPr="00CC53E5">
          <w:rPr>
            <w:rStyle w:val="Hyperlink"/>
            <w:noProof/>
          </w:rPr>
          <w:t>Part 4 Section 19.4.2.14, Colored (Dropdown Color Toggle)</w:t>
        </w:r>
        <w:r>
          <w:rPr>
            <w:noProof/>
            <w:webHidden/>
          </w:rPr>
          <w:tab/>
        </w:r>
        <w:r>
          <w:rPr>
            <w:noProof/>
            <w:webHidden/>
          </w:rPr>
          <w:fldChar w:fldCharType="begin"/>
        </w:r>
        <w:r>
          <w:rPr>
            <w:noProof/>
            <w:webHidden/>
          </w:rPr>
          <w:instrText xml:space="preserve"> PAGEREF _Toc69879643 \h </w:instrText>
        </w:r>
        <w:r>
          <w:rPr>
            <w:noProof/>
            <w:webHidden/>
          </w:rPr>
        </w:r>
        <w:r>
          <w:rPr>
            <w:noProof/>
            <w:webHidden/>
          </w:rPr>
          <w:fldChar w:fldCharType="separate"/>
        </w:r>
        <w:r>
          <w:rPr>
            <w:noProof/>
            <w:webHidden/>
          </w:rPr>
          <w:t>680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44" w:history="1">
        <w:r w:rsidRPr="00CC53E5">
          <w:rPr>
            <w:rStyle w:val="Hyperlink"/>
            <w:noProof/>
          </w:rPr>
          <w:t>2.1.1861</w:t>
        </w:r>
        <w:r>
          <w:rPr>
            <w:rFonts w:asciiTheme="minorHAnsi" w:eastAsiaTheme="minorEastAsia" w:hAnsiTheme="minorHAnsi" w:cstheme="minorBidi"/>
            <w:noProof/>
            <w:sz w:val="22"/>
            <w:szCs w:val="22"/>
          </w:rPr>
          <w:tab/>
        </w:r>
        <w:r w:rsidRPr="00CC53E5">
          <w:rPr>
            <w:rStyle w:val="Hyperlink"/>
            <w:noProof/>
          </w:rPr>
          <w:t>Part 4 Section 19.4.2.16, DDE (Dynamic Data Exchange)</w:t>
        </w:r>
        <w:r>
          <w:rPr>
            <w:noProof/>
            <w:webHidden/>
          </w:rPr>
          <w:tab/>
        </w:r>
        <w:r>
          <w:rPr>
            <w:noProof/>
            <w:webHidden/>
          </w:rPr>
          <w:fldChar w:fldCharType="begin"/>
        </w:r>
        <w:r>
          <w:rPr>
            <w:noProof/>
            <w:webHidden/>
          </w:rPr>
          <w:instrText xml:space="preserve"> PAGEREF _Toc69879644 \h </w:instrText>
        </w:r>
        <w:r>
          <w:rPr>
            <w:noProof/>
            <w:webHidden/>
          </w:rPr>
        </w:r>
        <w:r>
          <w:rPr>
            <w:noProof/>
            <w:webHidden/>
          </w:rPr>
          <w:fldChar w:fldCharType="separate"/>
        </w:r>
        <w:r>
          <w:rPr>
            <w:noProof/>
            <w:webHidden/>
          </w:rPr>
          <w:t>680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45" w:history="1">
        <w:r w:rsidRPr="00CC53E5">
          <w:rPr>
            <w:rStyle w:val="Hyperlink"/>
            <w:noProof/>
          </w:rPr>
          <w:t>2.1.1862</w:t>
        </w:r>
        <w:r>
          <w:rPr>
            <w:rFonts w:asciiTheme="minorHAnsi" w:eastAsiaTheme="minorEastAsia" w:hAnsiTheme="minorHAnsi" w:cstheme="minorBidi"/>
            <w:noProof/>
            <w:sz w:val="22"/>
            <w:szCs w:val="22"/>
          </w:rPr>
          <w:tab/>
        </w:r>
        <w:r w:rsidRPr="00CC53E5">
          <w:rPr>
            <w:rStyle w:val="Hyperlink"/>
            <w:noProof/>
          </w:rPr>
          <w:t>Part 4 Section 19.4.2.18, DefaultSize (Default Size Toggle)</w:t>
        </w:r>
        <w:r>
          <w:rPr>
            <w:noProof/>
            <w:webHidden/>
          </w:rPr>
          <w:tab/>
        </w:r>
        <w:r>
          <w:rPr>
            <w:noProof/>
            <w:webHidden/>
          </w:rPr>
          <w:fldChar w:fldCharType="begin"/>
        </w:r>
        <w:r>
          <w:rPr>
            <w:noProof/>
            <w:webHidden/>
          </w:rPr>
          <w:instrText xml:space="preserve"> PAGEREF _Toc69879645 \h </w:instrText>
        </w:r>
        <w:r>
          <w:rPr>
            <w:noProof/>
            <w:webHidden/>
          </w:rPr>
        </w:r>
        <w:r>
          <w:rPr>
            <w:noProof/>
            <w:webHidden/>
          </w:rPr>
          <w:fldChar w:fldCharType="separate"/>
        </w:r>
        <w:r>
          <w:rPr>
            <w:noProof/>
            <w:webHidden/>
          </w:rPr>
          <w:t>680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46" w:history="1">
        <w:r w:rsidRPr="00CC53E5">
          <w:rPr>
            <w:rStyle w:val="Hyperlink"/>
            <w:noProof/>
          </w:rPr>
          <w:t>2.1.1863</w:t>
        </w:r>
        <w:r>
          <w:rPr>
            <w:rFonts w:asciiTheme="minorHAnsi" w:eastAsiaTheme="minorEastAsia" w:hAnsiTheme="minorHAnsi" w:cstheme="minorBidi"/>
            <w:noProof/>
            <w:sz w:val="22"/>
            <w:szCs w:val="22"/>
          </w:rPr>
          <w:tab/>
        </w:r>
        <w:r w:rsidRPr="00CC53E5">
          <w:rPr>
            <w:rStyle w:val="Hyperlink"/>
            <w:noProof/>
          </w:rPr>
          <w:t>Part 4 Section 19.4.2.21, DropLines (Dropdown Maximum Lines)</w:t>
        </w:r>
        <w:r>
          <w:rPr>
            <w:noProof/>
            <w:webHidden/>
          </w:rPr>
          <w:tab/>
        </w:r>
        <w:r>
          <w:rPr>
            <w:noProof/>
            <w:webHidden/>
          </w:rPr>
          <w:fldChar w:fldCharType="begin"/>
        </w:r>
        <w:r>
          <w:rPr>
            <w:noProof/>
            <w:webHidden/>
          </w:rPr>
          <w:instrText xml:space="preserve"> PAGEREF _Toc69879646 \h </w:instrText>
        </w:r>
        <w:r>
          <w:rPr>
            <w:noProof/>
            <w:webHidden/>
          </w:rPr>
        </w:r>
        <w:r>
          <w:rPr>
            <w:noProof/>
            <w:webHidden/>
          </w:rPr>
          <w:fldChar w:fldCharType="separate"/>
        </w:r>
        <w:r>
          <w:rPr>
            <w:noProof/>
            <w:webHidden/>
          </w:rPr>
          <w:t>680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47" w:history="1">
        <w:r w:rsidRPr="00CC53E5">
          <w:rPr>
            <w:rStyle w:val="Hyperlink"/>
            <w:noProof/>
          </w:rPr>
          <w:t>2.1.1864</w:t>
        </w:r>
        <w:r>
          <w:rPr>
            <w:rFonts w:asciiTheme="minorHAnsi" w:eastAsiaTheme="minorEastAsia" w:hAnsiTheme="minorHAnsi" w:cstheme="minorBidi"/>
            <w:noProof/>
            <w:sz w:val="22"/>
            <w:szCs w:val="22"/>
          </w:rPr>
          <w:tab/>
        </w:r>
        <w:r w:rsidRPr="00CC53E5">
          <w:rPr>
            <w:rStyle w:val="Hyperlink"/>
            <w:noProof/>
          </w:rPr>
          <w:t>Part 4 Section 19.4.2.22, DropStyle (Dropdown Style)</w:t>
        </w:r>
        <w:r>
          <w:rPr>
            <w:noProof/>
            <w:webHidden/>
          </w:rPr>
          <w:tab/>
        </w:r>
        <w:r>
          <w:rPr>
            <w:noProof/>
            <w:webHidden/>
          </w:rPr>
          <w:fldChar w:fldCharType="begin"/>
        </w:r>
        <w:r>
          <w:rPr>
            <w:noProof/>
            <w:webHidden/>
          </w:rPr>
          <w:instrText xml:space="preserve"> PAGEREF _Toc69879647 \h </w:instrText>
        </w:r>
        <w:r>
          <w:rPr>
            <w:noProof/>
            <w:webHidden/>
          </w:rPr>
        </w:r>
        <w:r>
          <w:rPr>
            <w:noProof/>
            <w:webHidden/>
          </w:rPr>
          <w:fldChar w:fldCharType="separate"/>
        </w:r>
        <w:r>
          <w:rPr>
            <w:noProof/>
            <w:webHidden/>
          </w:rPr>
          <w:t>680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48" w:history="1">
        <w:r w:rsidRPr="00CC53E5">
          <w:rPr>
            <w:rStyle w:val="Hyperlink"/>
            <w:noProof/>
          </w:rPr>
          <w:t>2.1.1865</w:t>
        </w:r>
        <w:r>
          <w:rPr>
            <w:rFonts w:asciiTheme="minorHAnsi" w:eastAsiaTheme="minorEastAsia" w:hAnsiTheme="minorHAnsi" w:cstheme="minorBidi"/>
            <w:noProof/>
            <w:sz w:val="22"/>
            <w:szCs w:val="22"/>
          </w:rPr>
          <w:tab/>
        </w:r>
        <w:r w:rsidRPr="00CC53E5">
          <w:rPr>
            <w:rStyle w:val="Hyperlink"/>
            <w:noProof/>
          </w:rPr>
          <w:t>Part 4 Section 19.4.2.23, Dx (Scroll Bar Width)</w:t>
        </w:r>
        <w:r>
          <w:rPr>
            <w:noProof/>
            <w:webHidden/>
          </w:rPr>
          <w:tab/>
        </w:r>
        <w:r>
          <w:rPr>
            <w:noProof/>
            <w:webHidden/>
          </w:rPr>
          <w:fldChar w:fldCharType="begin"/>
        </w:r>
        <w:r>
          <w:rPr>
            <w:noProof/>
            <w:webHidden/>
          </w:rPr>
          <w:instrText xml:space="preserve"> PAGEREF _Toc69879648 \h </w:instrText>
        </w:r>
        <w:r>
          <w:rPr>
            <w:noProof/>
            <w:webHidden/>
          </w:rPr>
        </w:r>
        <w:r>
          <w:rPr>
            <w:noProof/>
            <w:webHidden/>
          </w:rPr>
          <w:fldChar w:fldCharType="separate"/>
        </w:r>
        <w:r>
          <w:rPr>
            <w:noProof/>
            <w:webHidden/>
          </w:rPr>
          <w:t>681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49" w:history="1">
        <w:r w:rsidRPr="00CC53E5">
          <w:rPr>
            <w:rStyle w:val="Hyperlink"/>
            <w:noProof/>
          </w:rPr>
          <w:t>2.1.1866</w:t>
        </w:r>
        <w:r>
          <w:rPr>
            <w:rFonts w:asciiTheme="minorHAnsi" w:eastAsiaTheme="minorEastAsia" w:hAnsiTheme="minorHAnsi" w:cstheme="minorBidi"/>
            <w:noProof/>
            <w:sz w:val="22"/>
            <w:szCs w:val="22"/>
          </w:rPr>
          <w:tab/>
        </w:r>
        <w:r w:rsidRPr="00CC53E5">
          <w:rPr>
            <w:rStyle w:val="Hyperlink"/>
            <w:noProof/>
          </w:rPr>
          <w:t>Part 4 Section 19.4.2.25, FmlaGroup (Linked Formula - Group Box)</w:t>
        </w:r>
        <w:r>
          <w:rPr>
            <w:noProof/>
            <w:webHidden/>
          </w:rPr>
          <w:tab/>
        </w:r>
        <w:r>
          <w:rPr>
            <w:noProof/>
            <w:webHidden/>
          </w:rPr>
          <w:fldChar w:fldCharType="begin"/>
        </w:r>
        <w:r>
          <w:rPr>
            <w:noProof/>
            <w:webHidden/>
          </w:rPr>
          <w:instrText xml:space="preserve"> PAGEREF _Toc69879649 \h </w:instrText>
        </w:r>
        <w:r>
          <w:rPr>
            <w:noProof/>
            <w:webHidden/>
          </w:rPr>
        </w:r>
        <w:r>
          <w:rPr>
            <w:noProof/>
            <w:webHidden/>
          </w:rPr>
          <w:fldChar w:fldCharType="separate"/>
        </w:r>
        <w:r>
          <w:rPr>
            <w:noProof/>
            <w:webHidden/>
          </w:rPr>
          <w:t>681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50" w:history="1">
        <w:r w:rsidRPr="00CC53E5">
          <w:rPr>
            <w:rStyle w:val="Hyperlink"/>
            <w:noProof/>
          </w:rPr>
          <w:t>2.1.1867</w:t>
        </w:r>
        <w:r>
          <w:rPr>
            <w:rFonts w:asciiTheme="minorHAnsi" w:eastAsiaTheme="minorEastAsia" w:hAnsiTheme="minorHAnsi" w:cstheme="minorBidi"/>
            <w:noProof/>
            <w:sz w:val="22"/>
            <w:szCs w:val="22"/>
          </w:rPr>
          <w:tab/>
        </w:r>
        <w:r w:rsidRPr="00CC53E5">
          <w:rPr>
            <w:rStyle w:val="Hyperlink"/>
            <w:noProof/>
          </w:rPr>
          <w:t>Part 4 Section 19.4.2.27, FmlaMacro (Reference to Custom Function)</w:t>
        </w:r>
        <w:r>
          <w:rPr>
            <w:noProof/>
            <w:webHidden/>
          </w:rPr>
          <w:tab/>
        </w:r>
        <w:r>
          <w:rPr>
            <w:noProof/>
            <w:webHidden/>
          </w:rPr>
          <w:fldChar w:fldCharType="begin"/>
        </w:r>
        <w:r>
          <w:rPr>
            <w:noProof/>
            <w:webHidden/>
          </w:rPr>
          <w:instrText xml:space="preserve"> PAGEREF _Toc69879650 \h </w:instrText>
        </w:r>
        <w:r>
          <w:rPr>
            <w:noProof/>
            <w:webHidden/>
          </w:rPr>
        </w:r>
        <w:r>
          <w:rPr>
            <w:noProof/>
            <w:webHidden/>
          </w:rPr>
          <w:fldChar w:fldCharType="separate"/>
        </w:r>
        <w:r>
          <w:rPr>
            <w:noProof/>
            <w:webHidden/>
          </w:rPr>
          <w:t>681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51" w:history="1">
        <w:r w:rsidRPr="00CC53E5">
          <w:rPr>
            <w:rStyle w:val="Hyperlink"/>
            <w:noProof/>
          </w:rPr>
          <w:t>2.1.1868</w:t>
        </w:r>
        <w:r>
          <w:rPr>
            <w:rFonts w:asciiTheme="minorHAnsi" w:eastAsiaTheme="minorEastAsia" w:hAnsiTheme="minorHAnsi" w:cstheme="minorBidi"/>
            <w:noProof/>
            <w:sz w:val="22"/>
            <w:szCs w:val="22"/>
          </w:rPr>
          <w:tab/>
        </w:r>
        <w:r w:rsidRPr="00CC53E5">
          <w:rPr>
            <w:rStyle w:val="Hyperlink"/>
            <w:noProof/>
          </w:rPr>
          <w:t>Part 4 Section 19.4.2.29, FmlaRange (List Items Source Range)</w:t>
        </w:r>
        <w:r>
          <w:rPr>
            <w:noProof/>
            <w:webHidden/>
          </w:rPr>
          <w:tab/>
        </w:r>
        <w:r>
          <w:rPr>
            <w:noProof/>
            <w:webHidden/>
          </w:rPr>
          <w:fldChar w:fldCharType="begin"/>
        </w:r>
        <w:r>
          <w:rPr>
            <w:noProof/>
            <w:webHidden/>
          </w:rPr>
          <w:instrText xml:space="preserve"> PAGEREF _Toc69879651 \h </w:instrText>
        </w:r>
        <w:r>
          <w:rPr>
            <w:noProof/>
            <w:webHidden/>
          </w:rPr>
        </w:r>
        <w:r>
          <w:rPr>
            <w:noProof/>
            <w:webHidden/>
          </w:rPr>
          <w:fldChar w:fldCharType="separate"/>
        </w:r>
        <w:r>
          <w:rPr>
            <w:noProof/>
            <w:webHidden/>
          </w:rPr>
          <w:t>681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52" w:history="1">
        <w:r w:rsidRPr="00CC53E5">
          <w:rPr>
            <w:rStyle w:val="Hyperlink"/>
            <w:noProof/>
          </w:rPr>
          <w:t>2.1.1869</w:t>
        </w:r>
        <w:r>
          <w:rPr>
            <w:rFonts w:asciiTheme="minorHAnsi" w:eastAsiaTheme="minorEastAsia" w:hAnsiTheme="minorHAnsi" w:cstheme="minorBidi"/>
            <w:noProof/>
            <w:sz w:val="22"/>
            <w:szCs w:val="22"/>
          </w:rPr>
          <w:tab/>
        </w:r>
        <w:r w:rsidRPr="00CC53E5">
          <w:rPr>
            <w:rStyle w:val="Hyperlink"/>
            <w:noProof/>
          </w:rPr>
          <w:t>Part 4 Section 19.4.2.30, FmlaTxbx (Text Formula)</w:t>
        </w:r>
        <w:r>
          <w:rPr>
            <w:noProof/>
            <w:webHidden/>
          </w:rPr>
          <w:tab/>
        </w:r>
        <w:r>
          <w:rPr>
            <w:noProof/>
            <w:webHidden/>
          </w:rPr>
          <w:fldChar w:fldCharType="begin"/>
        </w:r>
        <w:r>
          <w:rPr>
            <w:noProof/>
            <w:webHidden/>
          </w:rPr>
          <w:instrText xml:space="preserve"> PAGEREF _Toc69879652 \h </w:instrText>
        </w:r>
        <w:r>
          <w:rPr>
            <w:noProof/>
            <w:webHidden/>
          </w:rPr>
        </w:r>
        <w:r>
          <w:rPr>
            <w:noProof/>
            <w:webHidden/>
          </w:rPr>
          <w:fldChar w:fldCharType="separate"/>
        </w:r>
        <w:r>
          <w:rPr>
            <w:noProof/>
            <w:webHidden/>
          </w:rPr>
          <w:t>681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53" w:history="1">
        <w:r w:rsidRPr="00CC53E5">
          <w:rPr>
            <w:rStyle w:val="Hyperlink"/>
            <w:noProof/>
          </w:rPr>
          <w:t>2.1.1870</w:t>
        </w:r>
        <w:r>
          <w:rPr>
            <w:rFonts w:asciiTheme="minorHAnsi" w:eastAsiaTheme="minorEastAsia" w:hAnsiTheme="minorHAnsi" w:cstheme="minorBidi"/>
            <w:noProof/>
            <w:sz w:val="22"/>
            <w:szCs w:val="22"/>
          </w:rPr>
          <w:tab/>
        </w:r>
        <w:r w:rsidRPr="00CC53E5">
          <w:rPr>
            <w:rStyle w:val="Hyperlink"/>
            <w:noProof/>
          </w:rPr>
          <w:t>Part 4 Section 19.4.2.32, Horiz (Scroll Bar Orientation)</w:t>
        </w:r>
        <w:r>
          <w:rPr>
            <w:noProof/>
            <w:webHidden/>
          </w:rPr>
          <w:tab/>
        </w:r>
        <w:r>
          <w:rPr>
            <w:noProof/>
            <w:webHidden/>
          </w:rPr>
          <w:fldChar w:fldCharType="begin"/>
        </w:r>
        <w:r>
          <w:rPr>
            <w:noProof/>
            <w:webHidden/>
          </w:rPr>
          <w:instrText xml:space="preserve"> PAGEREF _Toc69879653 \h </w:instrText>
        </w:r>
        <w:r>
          <w:rPr>
            <w:noProof/>
            <w:webHidden/>
          </w:rPr>
        </w:r>
        <w:r>
          <w:rPr>
            <w:noProof/>
            <w:webHidden/>
          </w:rPr>
          <w:fldChar w:fldCharType="separate"/>
        </w:r>
        <w:r>
          <w:rPr>
            <w:noProof/>
            <w:webHidden/>
          </w:rPr>
          <w:t>681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54" w:history="1">
        <w:r w:rsidRPr="00CC53E5">
          <w:rPr>
            <w:rStyle w:val="Hyperlink"/>
            <w:noProof/>
          </w:rPr>
          <w:t>2.1.1871</w:t>
        </w:r>
        <w:r>
          <w:rPr>
            <w:rFonts w:asciiTheme="minorHAnsi" w:eastAsiaTheme="minorEastAsia" w:hAnsiTheme="minorHAnsi" w:cstheme="minorBidi"/>
            <w:noProof/>
            <w:sz w:val="22"/>
            <w:szCs w:val="22"/>
          </w:rPr>
          <w:tab/>
        </w:r>
        <w:r w:rsidRPr="00CC53E5">
          <w:rPr>
            <w:rStyle w:val="Hyperlink"/>
            <w:noProof/>
          </w:rPr>
          <w:t>Part 4 Section 19.4.2.33, Inc (Scroll Bar Increment)</w:t>
        </w:r>
        <w:r>
          <w:rPr>
            <w:noProof/>
            <w:webHidden/>
          </w:rPr>
          <w:tab/>
        </w:r>
        <w:r>
          <w:rPr>
            <w:noProof/>
            <w:webHidden/>
          </w:rPr>
          <w:fldChar w:fldCharType="begin"/>
        </w:r>
        <w:r>
          <w:rPr>
            <w:noProof/>
            <w:webHidden/>
          </w:rPr>
          <w:instrText xml:space="preserve"> PAGEREF _Toc69879654 \h </w:instrText>
        </w:r>
        <w:r>
          <w:rPr>
            <w:noProof/>
            <w:webHidden/>
          </w:rPr>
        </w:r>
        <w:r>
          <w:rPr>
            <w:noProof/>
            <w:webHidden/>
          </w:rPr>
          <w:fldChar w:fldCharType="separate"/>
        </w:r>
        <w:r>
          <w:rPr>
            <w:noProof/>
            <w:webHidden/>
          </w:rPr>
          <w:t>681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55" w:history="1">
        <w:r w:rsidRPr="00CC53E5">
          <w:rPr>
            <w:rStyle w:val="Hyperlink"/>
            <w:noProof/>
          </w:rPr>
          <w:t>2.1.1872</w:t>
        </w:r>
        <w:r>
          <w:rPr>
            <w:rFonts w:asciiTheme="minorHAnsi" w:eastAsiaTheme="minorEastAsia" w:hAnsiTheme="minorHAnsi" w:cstheme="minorBidi"/>
            <w:noProof/>
            <w:sz w:val="22"/>
            <w:szCs w:val="22"/>
          </w:rPr>
          <w:tab/>
        </w:r>
        <w:r w:rsidRPr="00CC53E5">
          <w:rPr>
            <w:rStyle w:val="Hyperlink"/>
            <w:noProof/>
          </w:rPr>
          <w:t>Part 4 Section 19.4.2.35, LCT (Callback Type)</w:t>
        </w:r>
        <w:r>
          <w:rPr>
            <w:noProof/>
            <w:webHidden/>
          </w:rPr>
          <w:tab/>
        </w:r>
        <w:r>
          <w:rPr>
            <w:noProof/>
            <w:webHidden/>
          </w:rPr>
          <w:fldChar w:fldCharType="begin"/>
        </w:r>
        <w:r>
          <w:rPr>
            <w:noProof/>
            <w:webHidden/>
          </w:rPr>
          <w:instrText xml:space="preserve"> PAGEREF _Toc69879655 \h </w:instrText>
        </w:r>
        <w:r>
          <w:rPr>
            <w:noProof/>
            <w:webHidden/>
          </w:rPr>
        </w:r>
        <w:r>
          <w:rPr>
            <w:noProof/>
            <w:webHidden/>
          </w:rPr>
          <w:fldChar w:fldCharType="separate"/>
        </w:r>
        <w:r>
          <w:rPr>
            <w:noProof/>
            <w:webHidden/>
          </w:rPr>
          <w:t>682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56" w:history="1">
        <w:r w:rsidRPr="00CC53E5">
          <w:rPr>
            <w:rStyle w:val="Hyperlink"/>
            <w:noProof/>
          </w:rPr>
          <w:t>2.1.1873</w:t>
        </w:r>
        <w:r>
          <w:rPr>
            <w:rFonts w:asciiTheme="minorHAnsi" w:eastAsiaTheme="minorEastAsia" w:hAnsiTheme="minorHAnsi" w:cstheme="minorBidi"/>
            <w:noProof/>
            <w:sz w:val="22"/>
            <w:szCs w:val="22"/>
          </w:rPr>
          <w:tab/>
        </w:r>
        <w:r w:rsidRPr="00CC53E5">
          <w:rPr>
            <w:rStyle w:val="Hyperlink"/>
            <w:noProof/>
          </w:rPr>
          <w:t>Part 4 Section 19.4.2.36, ListItem (Non-linked List Item)</w:t>
        </w:r>
        <w:r>
          <w:rPr>
            <w:noProof/>
            <w:webHidden/>
          </w:rPr>
          <w:tab/>
        </w:r>
        <w:r>
          <w:rPr>
            <w:noProof/>
            <w:webHidden/>
          </w:rPr>
          <w:fldChar w:fldCharType="begin"/>
        </w:r>
        <w:r>
          <w:rPr>
            <w:noProof/>
            <w:webHidden/>
          </w:rPr>
          <w:instrText xml:space="preserve"> PAGEREF _Toc69879656 \h </w:instrText>
        </w:r>
        <w:r>
          <w:rPr>
            <w:noProof/>
            <w:webHidden/>
          </w:rPr>
        </w:r>
        <w:r>
          <w:rPr>
            <w:noProof/>
            <w:webHidden/>
          </w:rPr>
          <w:fldChar w:fldCharType="separate"/>
        </w:r>
        <w:r>
          <w:rPr>
            <w:noProof/>
            <w:webHidden/>
          </w:rPr>
          <w:t>682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57" w:history="1">
        <w:r w:rsidRPr="00CC53E5">
          <w:rPr>
            <w:rStyle w:val="Hyperlink"/>
            <w:noProof/>
          </w:rPr>
          <w:t>2.1.1874</w:t>
        </w:r>
        <w:r>
          <w:rPr>
            <w:rFonts w:asciiTheme="minorHAnsi" w:eastAsiaTheme="minorEastAsia" w:hAnsiTheme="minorHAnsi" w:cstheme="minorBidi"/>
            <w:noProof/>
            <w:sz w:val="22"/>
            <w:szCs w:val="22"/>
          </w:rPr>
          <w:tab/>
        </w:r>
        <w:r w:rsidRPr="00CC53E5">
          <w:rPr>
            <w:rStyle w:val="Hyperlink"/>
            <w:noProof/>
          </w:rPr>
          <w:t>Part 4 Section 19.4.2.40, Max (Scroll Bar Maximum)</w:t>
        </w:r>
        <w:r>
          <w:rPr>
            <w:noProof/>
            <w:webHidden/>
          </w:rPr>
          <w:tab/>
        </w:r>
        <w:r>
          <w:rPr>
            <w:noProof/>
            <w:webHidden/>
          </w:rPr>
          <w:fldChar w:fldCharType="begin"/>
        </w:r>
        <w:r>
          <w:rPr>
            <w:noProof/>
            <w:webHidden/>
          </w:rPr>
          <w:instrText xml:space="preserve"> PAGEREF _Toc69879657 \h </w:instrText>
        </w:r>
        <w:r>
          <w:rPr>
            <w:noProof/>
            <w:webHidden/>
          </w:rPr>
        </w:r>
        <w:r>
          <w:rPr>
            <w:noProof/>
            <w:webHidden/>
          </w:rPr>
          <w:fldChar w:fldCharType="separate"/>
        </w:r>
        <w:r>
          <w:rPr>
            <w:noProof/>
            <w:webHidden/>
          </w:rPr>
          <w:t>682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58" w:history="1">
        <w:r w:rsidRPr="00CC53E5">
          <w:rPr>
            <w:rStyle w:val="Hyperlink"/>
            <w:noProof/>
          </w:rPr>
          <w:t>2.1.1875</w:t>
        </w:r>
        <w:r>
          <w:rPr>
            <w:rFonts w:asciiTheme="minorHAnsi" w:eastAsiaTheme="minorEastAsia" w:hAnsiTheme="minorHAnsi" w:cstheme="minorBidi"/>
            <w:noProof/>
            <w:sz w:val="22"/>
            <w:szCs w:val="22"/>
          </w:rPr>
          <w:tab/>
        </w:r>
        <w:r w:rsidRPr="00CC53E5">
          <w:rPr>
            <w:rStyle w:val="Hyperlink"/>
            <w:noProof/>
          </w:rPr>
          <w:t>Part 4 Section 19.4.2.41, Min (Scroll Bar Minimum)</w:t>
        </w:r>
        <w:r>
          <w:rPr>
            <w:noProof/>
            <w:webHidden/>
          </w:rPr>
          <w:tab/>
        </w:r>
        <w:r>
          <w:rPr>
            <w:noProof/>
            <w:webHidden/>
          </w:rPr>
          <w:fldChar w:fldCharType="begin"/>
        </w:r>
        <w:r>
          <w:rPr>
            <w:noProof/>
            <w:webHidden/>
          </w:rPr>
          <w:instrText xml:space="preserve"> PAGEREF _Toc69879658 \h </w:instrText>
        </w:r>
        <w:r>
          <w:rPr>
            <w:noProof/>
            <w:webHidden/>
          </w:rPr>
        </w:r>
        <w:r>
          <w:rPr>
            <w:noProof/>
            <w:webHidden/>
          </w:rPr>
          <w:fldChar w:fldCharType="separate"/>
        </w:r>
        <w:r>
          <w:rPr>
            <w:noProof/>
            <w:webHidden/>
          </w:rPr>
          <w:t>682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59" w:history="1">
        <w:r w:rsidRPr="00CC53E5">
          <w:rPr>
            <w:rStyle w:val="Hyperlink"/>
            <w:noProof/>
          </w:rPr>
          <w:t>2.1.1876</w:t>
        </w:r>
        <w:r>
          <w:rPr>
            <w:rFonts w:asciiTheme="minorHAnsi" w:eastAsiaTheme="minorEastAsia" w:hAnsiTheme="minorHAnsi" w:cstheme="minorBidi"/>
            <w:noProof/>
            <w:sz w:val="22"/>
            <w:szCs w:val="22"/>
          </w:rPr>
          <w:tab/>
        </w:r>
        <w:r w:rsidRPr="00CC53E5">
          <w:rPr>
            <w:rStyle w:val="Hyperlink"/>
            <w:noProof/>
          </w:rPr>
          <w:t>Part 4 Section 19.4.2.42, MoveWithCells (Move with Cells)</w:t>
        </w:r>
        <w:r>
          <w:rPr>
            <w:noProof/>
            <w:webHidden/>
          </w:rPr>
          <w:tab/>
        </w:r>
        <w:r>
          <w:rPr>
            <w:noProof/>
            <w:webHidden/>
          </w:rPr>
          <w:fldChar w:fldCharType="begin"/>
        </w:r>
        <w:r>
          <w:rPr>
            <w:noProof/>
            <w:webHidden/>
          </w:rPr>
          <w:instrText xml:space="preserve"> PAGEREF _Toc69879659 \h </w:instrText>
        </w:r>
        <w:r>
          <w:rPr>
            <w:noProof/>
            <w:webHidden/>
          </w:rPr>
        </w:r>
        <w:r>
          <w:rPr>
            <w:noProof/>
            <w:webHidden/>
          </w:rPr>
          <w:fldChar w:fldCharType="separate"/>
        </w:r>
        <w:r>
          <w:rPr>
            <w:noProof/>
            <w:webHidden/>
          </w:rPr>
          <w:t>682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60" w:history="1">
        <w:r w:rsidRPr="00CC53E5">
          <w:rPr>
            <w:rStyle w:val="Hyperlink"/>
            <w:noProof/>
          </w:rPr>
          <w:t>2.1.1877</w:t>
        </w:r>
        <w:r>
          <w:rPr>
            <w:rFonts w:asciiTheme="minorHAnsi" w:eastAsiaTheme="minorEastAsia" w:hAnsiTheme="minorHAnsi" w:cstheme="minorBidi"/>
            <w:noProof/>
            <w:sz w:val="22"/>
            <w:szCs w:val="22"/>
          </w:rPr>
          <w:tab/>
        </w:r>
        <w:r w:rsidRPr="00CC53E5">
          <w:rPr>
            <w:rStyle w:val="Hyperlink"/>
            <w:noProof/>
          </w:rPr>
          <w:t>Part 4 Section 19.4.2.45, NoThreeD (Disable 3D)</w:t>
        </w:r>
        <w:r>
          <w:rPr>
            <w:noProof/>
            <w:webHidden/>
          </w:rPr>
          <w:tab/>
        </w:r>
        <w:r>
          <w:rPr>
            <w:noProof/>
            <w:webHidden/>
          </w:rPr>
          <w:fldChar w:fldCharType="begin"/>
        </w:r>
        <w:r>
          <w:rPr>
            <w:noProof/>
            <w:webHidden/>
          </w:rPr>
          <w:instrText xml:space="preserve"> PAGEREF _Toc69879660 \h </w:instrText>
        </w:r>
        <w:r>
          <w:rPr>
            <w:noProof/>
            <w:webHidden/>
          </w:rPr>
        </w:r>
        <w:r>
          <w:rPr>
            <w:noProof/>
            <w:webHidden/>
          </w:rPr>
          <w:fldChar w:fldCharType="separate"/>
        </w:r>
        <w:r>
          <w:rPr>
            <w:noProof/>
            <w:webHidden/>
          </w:rPr>
          <w:t>682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61" w:history="1">
        <w:r w:rsidRPr="00CC53E5">
          <w:rPr>
            <w:rStyle w:val="Hyperlink"/>
            <w:noProof/>
          </w:rPr>
          <w:t>2.1.1878</w:t>
        </w:r>
        <w:r>
          <w:rPr>
            <w:rFonts w:asciiTheme="minorHAnsi" w:eastAsiaTheme="minorEastAsia" w:hAnsiTheme="minorHAnsi" w:cstheme="minorBidi"/>
            <w:noProof/>
            <w:sz w:val="22"/>
            <w:szCs w:val="22"/>
          </w:rPr>
          <w:tab/>
        </w:r>
        <w:r w:rsidRPr="00CC53E5">
          <w:rPr>
            <w:rStyle w:val="Hyperlink"/>
            <w:noProof/>
          </w:rPr>
          <w:t>Part 4 Section 19.4.2.47, Page (Scroll Bar Page Increment)</w:t>
        </w:r>
        <w:r>
          <w:rPr>
            <w:noProof/>
            <w:webHidden/>
          </w:rPr>
          <w:tab/>
        </w:r>
        <w:r>
          <w:rPr>
            <w:noProof/>
            <w:webHidden/>
          </w:rPr>
          <w:fldChar w:fldCharType="begin"/>
        </w:r>
        <w:r>
          <w:rPr>
            <w:noProof/>
            <w:webHidden/>
          </w:rPr>
          <w:instrText xml:space="preserve"> PAGEREF _Toc69879661 \h </w:instrText>
        </w:r>
        <w:r>
          <w:rPr>
            <w:noProof/>
            <w:webHidden/>
          </w:rPr>
        </w:r>
        <w:r>
          <w:rPr>
            <w:noProof/>
            <w:webHidden/>
          </w:rPr>
          <w:fldChar w:fldCharType="separate"/>
        </w:r>
        <w:r>
          <w:rPr>
            <w:noProof/>
            <w:webHidden/>
          </w:rPr>
          <w:t>682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62" w:history="1">
        <w:r w:rsidRPr="00CC53E5">
          <w:rPr>
            <w:rStyle w:val="Hyperlink"/>
            <w:noProof/>
          </w:rPr>
          <w:t>2.1.1879</w:t>
        </w:r>
        <w:r>
          <w:rPr>
            <w:rFonts w:asciiTheme="minorHAnsi" w:eastAsiaTheme="minorEastAsia" w:hAnsiTheme="minorHAnsi" w:cstheme="minorBidi"/>
            <w:noProof/>
            <w:sz w:val="22"/>
            <w:szCs w:val="22"/>
          </w:rPr>
          <w:tab/>
        </w:r>
        <w:r w:rsidRPr="00CC53E5">
          <w:rPr>
            <w:rStyle w:val="Hyperlink"/>
            <w:noProof/>
          </w:rPr>
          <w:t>Part 4 Section 19.4.2.49, RecalcAlways (Recalculation Toggle)</w:t>
        </w:r>
        <w:r>
          <w:rPr>
            <w:noProof/>
            <w:webHidden/>
          </w:rPr>
          <w:tab/>
        </w:r>
        <w:r>
          <w:rPr>
            <w:noProof/>
            <w:webHidden/>
          </w:rPr>
          <w:fldChar w:fldCharType="begin"/>
        </w:r>
        <w:r>
          <w:rPr>
            <w:noProof/>
            <w:webHidden/>
          </w:rPr>
          <w:instrText xml:space="preserve"> PAGEREF _Toc69879662 \h </w:instrText>
        </w:r>
        <w:r>
          <w:rPr>
            <w:noProof/>
            <w:webHidden/>
          </w:rPr>
        </w:r>
        <w:r>
          <w:rPr>
            <w:noProof/>
            <w:webHidden/>
          </w:rPr>
          <w:fldChar w:fldCharType="separate"/>
        </w:r>
        <w:r>
          <w:rPr>
            <w:noProof/>
            <w:webHidden/>
          </w:rPr>
          <w:t>682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63" w:history="1">
        <w:r w:rsidRPr="00CC53E5">
          <w:rPr>
            <w:rStyle w:val="Hyperlink"/>
            <w:noProof/>
          </w:rPr>
          <w:t>2.1.1880</w:t>
        </w:r>
        <w:r>
          <w:rPr>
            <w:rFonts w:asciiTheme="minorHAnsi" w:eastAsiaTheme="minorEastAsia" w:hAnsiTheme="minorHAnsi" w:cstheme="minorBidi"/>
            <w:noProof/>
            <w:sz w:val="22"/>
            <w:szCs w:val="22"/>
          </w:rPr>
          <w:tab/>
        </w:r>
        <w:r w:rsidRPr="00CC53E5">
          <w:rPr>
            <w:rStyle w:val="Hyperlink"/>
            <w:noProof/>
          </w:rPr>
          <w:t>Part 4 Section 19.4.2.51, RowHidden (Comment's Row is Hidden)</w:t>
        </w:r>
        <w:r>
          <w:rPr>
            <w:noProof/>
            <w:webHidden/>
          </w:rPr>
          <w:tab/>
        </w:r>
        <w:r>
          <w:rPr>
            <w:noProof/>
            <w:webHidden/>
          </w:rPr>
          <w:fldChar w:fldCharType="begin"/>
        </w:r>
        <w:r>
          <w:rPr>
            <w:noProof/>
            <w:webHidden/>
          </w:rPr>
          <w:instrText xml:space="preserve"> PAGEREF _Toc69879663 \h </w:instrText>
        </w:r>
        <w:r>
          <w:rPr>
            <w:noProof/>
            <w:webHidden/>
          </w:rPr>
        </w:r>
        <w:r>
          <w:rPr>
            <w:noProof/>
            <w:webHidden/>
          </w:rPr>
          <w:fldChar w:fldCharType="separate"/>
        </w:r>
        <w:r>
          <w:rPr>
            <w:noProof/>
            <w:webHidden/>
          </w:rPr>
          <w:t>683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64" w:history="1">
        <w:r w:rsidRPr="00CC53E5">
          <w:rPr>
            <w:rStyle w:val="Hyperlink"/>
            <w:noProof/>
          </w:rPr>
          <w:t>2.1.1881</w:t>
        </w:r>
        <w:r>
          <w:rPr>
            <w:rFonts w:asciiTheme="minorHAnsi" w:eastAsiaTheme="minorEastAsia" w:hAnsiTheme="minorHAnsi" w:cstheme="minorBidi"/>
            <w:noProof/>
            <w:sz w:val="22"/>
            <w:szCs w:val="22"/>
          </w:rPr>
          <w:tab/>
        </w:r>
        <w:r w:rsidRPr="00CC53E5">
          <w:rPr>
            <w:rStyle w:val="Hyperlink"/>
            <w:noProof/>
          </w:rPr>
          <w:t>Part 4 Section 19.4.2.59, SizeWithCells (Resize with Cells)</w:t>
        </w:r>
        <w:r>
          <w:rPr>
            <w:noProof/>
            <w:webHidden/>
          </w:rPr>
          <w:tab/>
        </w:r>
        <w:r>
          <w:rPr>
            <w:noProof/>
            <w:webHidden/>
          </w:rPr>
          <w:fldChar w:fldCharType="begin"/>
        </w:r>
        <w:r>
          <w:rPr>
            <w:noProof/>
            <w:webHidden/>
          </w:rPr>
          <w:instrText xml:space="preserve"> PAGEREF _Toc69879664 \h </w:instrText>
        </w:r>
        <w:r>
          <w:rPr>
            <w:noProof/>
            <w:webHidden/>
          </w:rPr>
        </w:r>
        <w:r>
          <w:rPr>
            <w:noProof/>
            <w:webHidden/>
          </w:rPr>
          <w:fldChar w:fldCharType="separate"/>
        </w:r>
        <w:r>
          <w:rPr>
            <w:noProof/>
            <w:webHidden/>
          </w:rPr>
          <w:t>683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65" w:history="1">
        <w:r w:rsidRPr="00CC53E5">
          <w:rPr>
            <w:rStyle w:val="Hyperlink"/>
            <w:noProof/>
          </w:rPr>
          <w:t>2.1.1882</w:t>
        </w:r>
        <w:r>
          <w:rPr>
            <w:rFonts w:asciiTheme="minorHAnsi" w:eastAsiaTheme="minorEastAsia" w:hAnsiTheme="minorHAnsi" w:cstheme="minorBidi"/>
            <w:noProof/>
            <w:sz w:val="22"/>
            <w:szCs w:val="22"/>
          </w:rPr>
          <w:tab/>
        </w:r>
        <w:r w:rsidRPr="00CC53E5">
          <w:rPr>
            <w:rStyle w:val="Hyperlink"/>
            <w:noProof/>
          </w:rPr>
          <w:t>Part 4 Section 19.4.2.61, TextVAlign (Vertical Text Alignment)</w:t>
        </w:r>
        <w:r>
          <w:rPr>
            <w:noProof/>
            <w:webHidden/>
          </w:rPr>
          <w:tab/>
        </w:r>
        <w:r>
          <w:rPr>
            <w:noProof/>
            <w:webHidden/>
          </w:rPr>
          <w:fldChar w:fldCharType="begin"/>
        </w:r>
        <w:r>
          <w:rPr>
            <w:noProof/>
            <w:webHidden/>
          </w:rPr>
          <w:instrText xml:space="preserve"> PAGEREF _Toc69879665 \h </w:instrText>
        </w:r>
        <w:r>
          <w:rPr>
            <w:noProof/>
            <w:webHidden/>
          </w:rPr>
        </w:r>
        <w:r>
          <w:rPr>
            <w:noProof/>
            <w:webHidden/>
          </w:rPr>
          <w:fldChar w:fldCharType="separate"/>
        </w:r>
        <w:r>
          <w:rPr>
            <w:noProof/>
            <w:webHidden/>
          </w:rPr>
          <w:t>683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66" w:history="1">
        <w:r w:rsidRPr="00CC53E5">
          <w:rPr>
            <w:rStyle w:val="Hyperlink"/>
            <w:noProof/>
          </w:rPr>
          <w:t>2.1.1883</w:t>
        </w:r>
        <w:r>
          <w:rPr>
            <w:rFonts w:asciiTheme="minorHAnsi" w:eastAsiaTheme="minorEastAsia" w:hAnsiTheme="minorHAnsi" w:cstheme="minorBidi"/>
            <w:noProof/>
            <w:sz w:val="22"/>
            <w:szCs w:val="22"/>
          </w:rPr>
          <w:tab/>
        </w:r>
        <w:r w:rsidRPr="00CC53E5">
          <w:rPr>
            <w:rStyle w:val="Hyperlink"/>
            <w:noProof/>
          </w:rPr>
          <w:t>Part 4 Section 19.4.2.62, UIObj (UI Object Toggle)</w:t>
        </w:r>
        <w:r>
          <w:rPr>
            <w:noProof/>
            <w:webHidden/>
          </w:rPr>
          <w:tab/>
        </w:r>
        <w:r>
          <w:rPr>
            <w:noProof/>
            <w:webHidden/>
          </w:rPr>
          <w:fldChar w:fldCharType="begin"/>
        </w:r>
        <w:r>
          <w:rPr>
            <w:noProof/>
            <w:webHidden/>
          </w:rPr>
          <w:instrText xml:space="preserve"> PAGEREF _Toc69879666 \h </w:instrText>
        </w:r>
        <w:r>
          <w:rPr>
            <w:noProof/>
            <w:webHidden/>
          </w:rPr>
        </w:r>
        <w:r>
          <w:rPr>
            <w:noProof/>
            <w:webHidden/>
          </w:rPr>
          <w:fldChar w:fldCharType="separate"/>
        </w:r>
        <w:r>
          <w:rPr>
            <w:noProof/>
            <w:webHidden/>
          </w:rPr>
          <w:t>683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67" w:history="1">
        <w:r w:rsidRPr="00CC53E5">
          <w:rPr>
            <w:rStyle w:val="Hyperlink"/>
            <w:noProof/>
          </w:rPr>
          <w:t>2.1.1884</w:t>
        </w:r>
        <w:r>
          <w:rPr>
            <w:rFonts w:asciiTheme="minorHAnsi" w:eastAsiaTheme="minorEastAsia" w:hAnsiTheme="minorHAnsi" w:cstheme="minorBidi"/>
            <w:noProof/>
            <w:sz w:val="22"/>
            <w:szCs w:val="22"/>
          </w:rPr>
          <w:tab/>
        </w:r>
        <w:r w:rsidRPr="00CC53E5">
          <w:rPr>
            <w:rStyle w:val="Hyperlink"/>
            <w:noProof/>
          </w:rPr>
          <w:t>Part 4 Section 19.4.2.63, Val (Scroll bar position)</w:t>
        </w:r>
        <w:r>
          <w:rPr>
            <w:noProof/>
            <w:webHidden/>
          </w:rPr>
          <w:tab/>
        </w:r>
        <w:r>
          <w:rPr>
            <w:noProof/>
            <w:webHidden/>
          </w:rPr>
          <w:fldChar w:fldCharType="begin"/>
        </w:r>
        <w:r>
          <w:rPr>
            <w:noProof/>
            <w:webHidden/>
          </w:rPr>
          <w:instrText xml:space="preserve"> PAGEREF _Toc69879667 \h </w:instrText>
        </w:r>
        <w:r>
          <w:rPr>
            <w:noProof/>
            <w:webHidden/>
          </w:rPr>
        </w:r>
        <w:r>
          <w:rPr>
            <w:noProof/>
            <w:webHidden/>
          </w:rPr>
          <w:fldChar w:fldCharType="separate"/>
        </w:r>
        <w:r>
          <w:rPr>
            <w:noProof/>
            <w:webHidden/>
          </w:rPr>
          <w:t>683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68" w:history="1">
        <w:r w:rsidRPr="00CC53E5">
          <w:rPr>
            <w:rStyle w:val="Hyperlink"/>
            <w:noProof/>
          </w:rPr>
          <w:t>2.1.1885</w:t>
        </w:r>
        <w:r>
          <w:rPr>
            <w:rFonts w:asciiTheme="minorHAnsi" w:eastAsiaTheme="minorEastAsia" w:hAnsiTheme="minorHAnsi" w:cstheme="minorBidi"/>
            <w:noProof/>
            <w:sz w:val="22"/>
            <w:szCs w:val="22"/>
          </w:rPr>
          <w:tab/>
        </w:r>
        <w:r w:rsidRPr="00CC53E5">
          <w:rPr>
            <w:rStyle w:val="Hyperlink"/>
            <w:noProof/>
          </w:rPr>
          <w:t>Part 4 Section 19.4.2.64, ValidIds (Valid ID)</w:t>
        </w:r>
        <w:r>
          <w:rPr>
            <w:noProof/>
            <w:webHidden/>
          </w:rPr>
          <w:tab/>
        </w:r>
        <w:r>
          <w:rPr>
            <w:noProof/>
            <w:webHidden/>
          </w:rPr>
          <w:fldChar w:fldCharType="begin"/>
        </w:r>
        <w:r>
          <w:rPr>
            <w:noProof/>
            <w:webHidden/>
          </w:rPr>
          <w:instrText xml:space="preserve"> PAGEREF _Toc69879668 \h </w:instrText>
        </w:r>
        <w:r>
          <w:rPr>
            <w:noProof/>
            <w:webHidden/>
          </w:rPr>
        </w:r>
        <w:r>
          <w:rPr>
            <w:noProof/>
            <w:webHidden/>
          </w:rPr>
          <w:fldChar w:fldCharType="separate"/>
        </w:r>
        <w:r>
          <w:rPr>
            <w:noProof/>
            <w:webHidden/>
          </w:rPr>
          <w:t>683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69" w:history="1">
        <w:r w:rsidRPr="00CC53E5">
          <w:rPr>
            <w:rStyle w:val="Hyperlink"/>
            <w:noProof/>
          </w:rPr>
          <w:t>2.1.1886</w:t>
        </w:r>
        <w:r>
          <w:rPr>
            <w:rFonts w:asciiTheme="minorHAnsi" w:eastAsiaTheme="minorEastAsia" w:hAnsiTheme="minorHAnsi" w:cstheme="minorBidi"/>
            <w:noProof/>
            <w:sz w:val="22"/>
            <w:szCs w:val="22"/>
          </w:rPr>
          <w:tab/>
        </w:r>
        <w:r w:rsidRPr="00CC53E5">
          <w:rPr>
            <w:rStyle w:val="Hyperlink"/>
            <w:noProof/>
          </w:rPr>
          <w:t>Part 4 Section 19.4.2.68, WidthMin (Minimum Width)</w:t>
        </w:r>
        <w:r>
          <w:rPr>
            <w:noProof/>
            <w:webHidden/>
          </w:rPr>
          <w:tab/>
        </w:r>
        <w:r>
          <w:rPr>
            <w:noProof/>
            <w:webHidden/>
          </w:rPr>
          <w:fldChar w:fldCharType="begin"/>
        </w:r>
        <w:r>
          <w:rPr>
            <w:noProof/>
            <w:webHidden/>
          </w:rPr>
          <w:instrText xml:space="preserve"> PAGEREF _Toc69879669 \h </w:instrText>
        </w:r>
        <w:r>
          <w:rPr>
            <w:noProof/>
            <w:webHidden/>
          </w:rPr>
        </w:r>
        <w:r>
          <w:rPr>
            <w:noProof/>
            <w:webHidden/>
          </w:rPr>
          <w:fldChar w:fldCharType="separate"/>
        </w:r>
        <w:r>
          <w:rPr>
            <w:noProof/>
            <w:webHidden/>
          </w:rPr>
          <w:t>683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70" w:history="1">
        <w:r w:rsidRPr="00CC53E5">
          <w:rPr>
            <w:rStyle w:val="Hyperlink"/>
            <w:noProof/>
          </w:rPr>
          <w:t>2.1.1887</w:t>
        </w:r>
        <w:r>
          <w:rPr>
            <w:rFonts w:asciiTheme="minorHAnsi" w:eastAsiaTheme="minorEastAsia" w:hAnsiTheme="minorHAnsi" w:cstheme="minorBidi"/>
            <w:noProof/>
            <w:sz w:val="22"/>
            <w:szCs w:val="22"/>
          </w:rPr>
          <w:tab/>
        </w:r>
        <w:r w:rsidRPr="00CC53E5">
          <w:rPr>
            <w:rStyle w:val="Hyperlink"/>
            <w:noProof/>
          </w:rPr>
          <w:t>Part 4 Section 19.5.2.2, textdata (VML Diagram Text)</w:t>
        </w:r>
        <w:r>
          <w:rPr>
            <w:noProof/>
            <w:webHidden/>
          </w:rPr>
          <w:tab/>
        </w:r>
        <w:r>
          <w:rPr>
            <w:noProof/>
            <w:webHidden/>
          </w:rPr>
          <w:fldChar w:fldCharType="begin"/>
        </w:r>
        <w:r>
          <w:rPr>
            <w:noProof/>
            <w:webHidden/>
          </w:rPr>
          <w:instrText xml:space="preserve"> PAGEREF _Toc69879670 \h </w:instrText>
        </w:r>
        <w:r>
          <w:rPr>
            <w:noProof/>
            <w:webHidden/>
          </w:rPr>
        </w:r>
        <w:r>
          <w:rPr>
            <w:noProof/>
            <w:webHidden/>
          </w:rPr>
          <w:fldChar w:fldCharType="separate"/>
        </w:r>
        <w:r>
          <w:rPr>
            <w:noProof/>
            <w:webHidden/>
          </w:rPr>
          <w:t>683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71" w:history="1">
        <w:r w:rsidRPr="00CC53E5">
          <w:rPr>
            <w:rStyle w:val="Hyperlink"/>
            <w:noProof/>
          </w:rPr>
          <w:t>2.1.1888</w:t>
        </w:r>
        <w:r>
          <w:rPr>
            <w:rFonts w:asciiTheme="minorHAnsi" w:eastAsiaTheme="minorEastAsia" w:hAnsiTheme="minorHAnsi" w:cstheme="minorBidi"/>
            <w:noProof/>
            <w:sz w:val="22"/>
            <w:szCs w:val="22"/>
          </w:rPr>
          <w:tab/>
        </w:r>
        <w:r w:rsidRPr="00CC53E5">
          <w:rPr>
            <w:rStyle w:val="Hyperlink"/>
            <w:noProof/>
          </w:rPr>
          <w:t>Part 4 Section 20.1.2.3, ST_ColorType (Color Type)</w:t>
        </w:r>
        <w:r>
          <w:rPr>
            <w:noProof/>
            <w:webHidden/>
          </w:rPr>
          <w:tab/>
        </w:r>
        <w:r>
          <w:rPr>
            <w:noProof/>
            <w:webHidden/>
          </w:rPr>
          <w:fldChar w:fldCharType="begin"/>
        </w:r>
        <w:r>
          <w:rPr>
            <w:noProof/>
            <w:webHidden/>
          </w:rPr>
          <w:instrText xml:space="preserve"> PAGEREF _Toc69879671 \h </w:instrText>
        </w:r>
        <w:r>
          <w:rPr>
            <w:noProof/>
            <w:webHidden/>
          </w:rPr>
        </w:r>
        <w:r>
          <w:rPr>
            <w:noProof/>
            <w:webHidden/>
          </w:rPr>
          <w:fldChar w:fldCharType="separate"/>
        </w:r>
        <w:r>
          <w:rPr>
            <w:noProof/>
            <w:webHidden/>
          </w:rPr>
          <w:t>684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72" w:history="1">
        <w:r w:rsidRPr="00CC53E5">
          <w:rPr>
            <w:rStyle w:val="Hyperlink"/>
            <w:noProof/>
          </w:rPr>
          <w:t>2.1.1889</w:t>
        </w:r>
        <w:r>
          <w:rPr>
            <w:rFonts w:asciiTheme="minorHAnsi" w:eastAsiaTheme="minorEastAsia" w:hAnsiTheme="minorHAnsi" w:cstheme="minorBidi"/>
            <w:noProof/>
            <w:sz w:val="22"/>
            <w:szCs w:val="22"/>
          </w:rPr>
          <w:tab/>
        </w:r>
        <w:r w:rsidRPr="00CC53E5">
          <w:rPr>
            <w:rStyle w:val="Hyperlink"/>
            <w:noProof/>
          </w:rPr>
          <w:t>Part 4 Section 20.1.2.6, ST_TrueFalseBlank (Boolean Value with Blank [False] State)</w:t>
        </w:r>
        <w:r>
          <w:rPr>
            <w:noProof/>
            <w:webHidden/>
          </w:rPr>
          <w:tab/>
        </w:r>
        <w:r>
          <w:rPr>
            <w:noProof/>
            <w:webHidden/>
          </w:rPr>
          <w:fldChar w:fldCharType="begin"/>
        </w:r>
        <w:r>
          <w:rPr>
            <w:noProof/>
            <w:webHidden/>
          </w:rPr>
          <w:instrText xml:space="preserve"> PAGEREF _Toc69879672 \h </w:instrText>
        </w:r>
        <w:r>
          <w:rPr>
            <w:noProof/>
            <w:webHidden/>
          </w:rPr>
        </w:r>
        <w:r>
          <w:rPr>
            <w:noProof/>
            <w:webHidden/>
          </w:rPr>
          <w:fldChar w:fldCharType="separate"/>
        </w:r>
        <w:r>
          <w:rPr>
            <w:noProof/>
            <w:webHidden/>
          </w:rPr>
          <w:t>689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73" w:history="1">
        <w:r w:rsidRPr="00CC53E5">
          <w:rPr>
            <w:rStyle w:val="Hyperlink"/>
            <w:noProof/>
          </w:rPr>
          <w:t>2.1.1890</w:t>
        </w:r>
        <w:r>
          <w:rPr>
            <w:rFonts w:asciiTheme="minorHAnsi" w:eastAsiaTheme="minorEastAsia" w:hAnsiTheme="minorHAnsi" w:cstheme="minorBidi"/>
            <w:noProof/>
            <w:sz w:val="22"/>
            <w:szCs w:val="22"/>
          </w:rPr>
          <w:tab/>
        </w:r>
        <w:r w:rsidRPr="00CC53E5">
          <w:rPr>
            <w:rStyle w:val="Hyperlink"/>
            <w:noProof/>
          </w:rPr>
          <w:t>Part 4 Section 20.1.9.2, ahPolar (PolarAdjustHandle)</w:t>
        </w:r>
        <w:r>
          <w:rPr>
            <w:noProof/>
            <w:webHidden/>
          </w:rPr>
          <w:tab/>
        </w:r>
        <w:r>
          <w:rPr>
            <w:noProof/>
            <w:webHidden/>
          </w:rPr>
          <w:fldChar w:fldCharType="begin"/>
        </w:r>
        <w:r>
          <w:rPr>
            <w:noProof/>
            <w:webHidden/>
          </w:rPr>
          <w:instrText xml:space="preserve"> PAGEREF _Toc69879673 \h </w:instrText>
        </w:r>
        <w:r>
          <w:rPr>
            <w:noProof/>
            <w:webHidden/>
          </w:rPr>
        </w:r>
        <w:r>
          <w:rPr>
            <w:noProof/>
            <w:webHidden/>
          </w:rPr>
          <w:fldChar w:fldCharType="separate"/>
        </w:r>
        <w:r>
          <w:rPr>
            <w:noProof/>
            <w:webHidden/>
          </w:rPr>
          <w:t>689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74" w:history="1">
        <w:r w:rsidRPr="00CC53E5">
          <w:rPr>
            <w:rStyle w:val="Hyperlink"/>
            <w:noProof/>
          </w:rPr>
          <w:t>2.1.1891</w:t>
        </w:r>
        <w:r>
          <w:rPr>
            <w:rFonts w:asciiTheme="minorHAnsi" w:eastAsiaTheme="minorEastAsia" w:hAnsiTheme="minorHAnsi" w:cstheme="minorBidi"/>
            <w:noProof/>
            <w:sz w:val="22"/>
            <w:szCs w:val="22"/>
          </w:rPr>
          <w:tab/>
        </w:r>
        <w:r w:rsidRPr="00CC53E5">
          <w:rPr>
            <w:rStyle w:val="Hyperlink"/>
            <w:noProof/>
          </w:rPr>
          <w:t>Part 4 Section 20.1.9.3, ahXY (XYAdjustHandle)</w:t>
        </w:r>
        <w:r>
          <w:rPr>
            <w:noProof/>
            <w:webHidden/>
          </w:rPr>
          <w:tab/>
        </w:r>
        <w:r>
          <w:rPr>
            <w:noProof/>
            <w:webHidden/>
          </w:rPr>
          <w:fldChar w:fldCharType="begin"/>
        </w:r>
        <w:r>
          <w:rPr>
            <w:noProof/>
            <w:webHidden/>
          </w:rPr>
          <w:instrText xml:space="preserve"> PAGEREF _Toc69879674 \h </w:instrText>
        </w:r>
        <w:r>
          <w:rPr>
            <w:noProof/>
            <w:webHidden/>
          </w:rPr>
        </w:r>
        <w:r>
          <w:rPr>
            <w:noProof/>
            <w:webHidden/>
          </w:rPr>
          <w:fldChar w:fldCharType="separate"/>
        </w:r>
        <w:r>
          <w:rPr>
            <w:noProof/>
            <w:webHidden/>
          </w:rPr>
          <w:t>689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75" w:history="1">
        <w:r w:rsidRPr="00CC53E5">
          <w:rPr>
            <w:rStyle w:val="Hyperlink"/>
            <w:noProof/>
          </w:rPr>
          <w:t>2.1.1892</w:t>
        </w:r>
        <w:r>
          <w:rPr>
            <w:rFonts w:asciiTheme="minorHAnsi" w:eastAsiaTheme="minorEastAsia" w:hAnsiTheme="minorHAnsi" w:cstheme="minorBidi"/>
            <w:noProof/>
            <w:sz w:val="22"/>
            <w:szCs w:val="22"/>
          </w:rPr>
          <w:tab/>
        </w:r>
        <w:r w:rsidRPr="00CC53E5">
          <w:rPr>
            <w:rStyle w:val="Hyperlink"/>
            <w:noProof/>
          </w:rPr>
          <w:t>Part 4 Section 20.1.9.22, Rect (Shape Text Rectangle)</w:t>
        </w:r>
        <w:r>
          <w:rPr>
            <w:noProof/>
            <w:webHidden/>
          </w:rPr>
          <w:tab/>
        </w:r>
        <w:r>
          <w:rPr>
            <w:noProof/>
            <w:webHidden/>
          </w:rPr>
          <w:fldChar w:fldCharType="begin"/>
        </w:r>
        <w:r>
          <w:rPr>
            <w:noProof/>
            <w:webHidden/>
          </w:rPr>
          <w:instrText xml:space="preserve"> PAGEREF _Toc69879675 \h </w:instrText>
        </w:r>
        <w:r>
          <w:rPr>
            <w:noProof/>
            <w:webHidden/>
          </w:rPr>
        </w:r>
        <w:r>
          <w:rPr>
            <w:noProof/>
            <w:webHidden/>
          </w:rPr>
          <w:fldChar w:fldCharType="separate"/>
        </w:r>
        <w:r>
          <w:rPr>
            <w:noProof/>
            <w:webHidden/>
          </w:rPr>
          <w:t>690</w:t>
        </w:r>
        <w:r>
          <w:rPr>
            <w:noProof/>
            <w:webHidden/>
          </w:rPr>
          <w:fldChar w:fldCharType="end"/>
        </w:r>
      </w:hyperlink>
    </w:p>
    <w:p w:rsidR="00B42EF3" w:rsidRDefault="00B42EF3">
      <w:pPr>
        <w:pStyle w:val="TOC1"/>
        <w:rPr>
          <w:rFonts w:asciiTheme="minorHAnsi" w:eastAsiaTheme="minorEastAsia" w:hAnsiTheme="minorHAnsi" w:cstheme="minorBidi"/>
          <w:b w:val="0"/>
          <w:bCs w:val="0"/>
          <w:noProof/>
          <w:sz w:val="22"/>
          <w:szCs w:val="22"/>
        </w:rPr>
      </w:pPr>
      <w:hyperlink w:anchor="_Toc69879676" w:history="1">
        <w:r w:rsidRPr="00CC53E5">
          <w:rPr>
            <w:rStyle w:val="Hyperlink"/>
            <w:noProof/>
          </w:rPr>
          <w:t>3</w:t>
        </w:r>
        <w:r>
          <w:rPr>
            <w:rFonts w:asciiTheme="minorHAnsi" w:eastAsiaTheme="minorEastAsia" w:hAnsiTheme="minorHAnsi" w:cstheme="minorBidi"/>
            <w:b w:val="0"/>
            <w:bCs w:val="0"/>
            <w:noProof/>
            <w:sz w:val="22"/>
            <w:szCs w:val="22"/>
          </w:rPr>
          <w:tab/>
        </w:r>
        <w:r w:rsidRPr="00CC53E5">
          <w:rPr>
            <w:rStyle w:val="Hyperlink"/>
            <w:noProof/>
          </w:rPr>
          <w:t>Appendix A: Additional Information</w:t>
        </w:r>
        <w:r>
          <w:rPr>
            <w:noProof/>
            <w:webHidden/>
          </w:rPr>
          <w:tab/>
        </w:r>
        <w:r>
          <w:rPr>
            <w:noProof/>
            <w:webHidden/>
          </w:rPr>
          <w:fldChar w:fldCharType="begin"/>
        </w:r>
        <w:r>
          <w:rPr>
            <w:noProof/>
            <w:webHidden/>
          </w:rPr>
          <w:instrText xml:space="preserve"> PAGEREF _Toc69879676 \h </w:instrText>
        </w:r>
        <w:r>
          <w:rPr>
            <w:noProof/>
            <w:webHidden/>
          </w:rPr>
        </w:r>
        <w:r>
          <w:rPr>
            <w:noProof/>
            <w:webHidden/>
          </w:rPr>
          <w:fldChar w:fldCharType="separate"/>
        </w:r>
        <w:r>
          <w:rPr>
            <w:noProof/>
            <w:webHidden/>
          </w:rPr>
          <w:t>691</w:t>
        </w:r>
        <w:r>
          <w:rPr>
            <w:noProof/>
            <w:webHidden/>
          </w:rPr>
          <w:fldChar w:fldCharType="end"/>
        </w:r>
      </w:hyperlink>
    </w:p>
    <w:p w:rsidR="00B42EF3" w:rsidRDefault="00B42EF3">
      <w:pPr>
        <w:pStyle w:val="TOC2"/>
        <w:rPr>
          <w:rFonts w:asciiTheme="minorHAnsi" w:eastAsiaTheme="minorEastAsia" w:hAnsiTheme="minorHAnsi" w:cstheme="minorBidi"/>
          <w:noProof/>
          <w:sz w:val="22"/>
          <w:szCs w:val="22"/>
        </w:rPr>
      </w:pPr>
      <w:hyperlink w:anchor="_Toc69879677" w:history="1">
        <w:r w:rsidRPr="00CC53E5">
          <w:rPr>
            <w:rStyle w:val="Hyperlink"/>
            <w:noProof/>
          </w:rPr>
          <w:t>3.1</w:t>
        </w:r>
        <w:r>
          <w:rPr>
            <w:rFonts w:asciiTheme="minorHAnsi" w:eastAsiaTheme="minorEastAsia" w:hAnsiTheme="minorHAnsi" w:cstheme="minorBidi"/>
            <w:noProof/>
            <w:sz w:val="22"/>
            <w:szCs w:val="22"/>
          </w:rPr>
          <w:tab/>
        </w:r>
        <w:r w:rsidRPr="00CC53E5">
          <w:rPr>
            <w:rStyle w:val="Hyperlink"/>
            <w:noProof/>
          </w:rPr>
          <w:t>Word</w:t>
        </w:r>
        <w:r>
          <w:rPr>
            <w:noProof/>
            <w:webHidden/>
          </w:rPr>
          <w:tab/>
        </w:r>
        <w:r>
          <w:rPr>
            <w:noProof/>
            <w:webHidden/>
          </w:rPr>
          <w:fldChar w:fldCharType="begin"/>
        </w:r>
        <w:r>
          <w:rPr>
            <w:noProof/>
            <w:webHidden/>
          </w:rPr>
          <w:instrText xml:space="preserve"> PAGEREF _Toc69879677 \h </w:instrText>
        </w:r>
        <w:r>
          <w:rPr>
            <w:noProof/>
            <w:webHidden/>
          </w:rPr>
        </w:r>
        <w:r>
          <w:rPr>
            <w:noProof/>
            <w:webHidden/>
          </w:rPr>
          <w:fldChar w:fldCharType="separate"/>
        </w:r>
        <w:r>
          <w:rPr>
            <w:noProof/>
            <w:webHidden/>
          </w:rPr>
          <w:t>691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78" w:history="1">
        <w:r w:rsidRPr="00CC53E5">
          <w:rPr>
            <w:rStyle w:val="Hyperlink"/>
            <w:noProof/>
          </w:rPr>
          <w:t>3.1.1</w:t>
        </w:r>
        <w:r>
          <w:rPr>
            <w:rFonts w:asciiTheme="minorHAnsi" w:eastAsiaTheme="minorEastAsia" w:hAnsiTheme="minorHAnsi" w:cstheme="minorBidi"/>
            <w:noProof/>
            <w:sz w:val="22"/>
            <w:szCs w:val="22"/>
          </w:rPr>
          <w:tab/>
        </w:r>
        <w:r w:rsidRPr="00CC53E5">
          <w:rPr>
            <w:rStyle w:val="Hyperlink"/>
            <w:noProof/>
          </w:rPr>
          <w:t>Additional Parts</w:t>
        </w:r>
        <w:r>
          <w:rPr>
            <w:noProof/>
            <w:webHidden/>
          </w:rPr>
          <w:tab/>
        </w:r>
        <w:r>
          <w:rPr>
            <w:noProof/>
            <w:webHidden/>
          </w:rPr>
          <w:fldChar w:fldCharType="begin"/>
        </w:r>
        <w:r>
          <w:rPr>
            <w:noProof/>
            <w:webHidden/>
          </w:rPr>
          <w:instrText xml:space="preserve"> PAGEREF _Toc69879678 \h </w:instrText>
        </w:r>
        <w:r>
          <w:rPr>
            <w:noProof/>
            <w:webHidden/>
          </w:rPr>
        </w:r>
        <w:r>
          <w:rPr>
            <w:noProof/>
            <w:webHidden/>
          </w:rPr>
          <w:fldChar w:fldCharType="separate"/>
        </w:r>
        <w:r>
          <w:rPr>
            <w:noProof/>
            <w:webHidden/>
          </w:rPr>
          <w:t>691</w:t>
        </w:r>
        <w:r>
          <w:rPr>
            <w:noProof/>
            <w:webHidden/>
          </w:rPr>
          <w:fldChar w:fldCharType="end"/>
        </w:r>
      </w:hyperlink>
    </w:p>
    <w:p w:rsidR="00B42EF3" w:rsidRDefault="00B42EF3">
      <w:pPr>
        <w:pStyle w:val="TOC4"/>
        <w:rPr>
          <w:rFonts w:asciiTheme="minorHAnsi" w:eastAsiaTheme="minorEastAsia" w:hAnsiTheme="minorHAnsi" w:cstheme="minorBidi"/>
          <w:noProof/>
          <w:sz w:val="22"/>
          <w:szCs w:val="22"/>
        </w:rPr>
      </w:pPr>
      <w:hyperlink w:anchor="_Toc69879679" w:history="1">
        <w:r w:rsidRPr="00CC53E5">
          <w:rPr>
            <w:rStyle w:val="Hyperlink"/>
            <w:noProof/>
          </w:rPr>
          <w:t>3.1.1.1</w:t>
        </w:r>
        <w:r>
          <w:rPr>
            <w:rFonts w:asciiTheme="minorHAnsi" w:eastAsiaTheme="minorEastAsia" w:hAnsiTheme="minorHAnsi" w:cstheme="minorBidi"/>
            <w:noProof/>
            <w:sz w:val="22"/>
            <w:szCs w:val="22"/>
          </w:rPr>
          <w:tab/>
        </w:r>
        <w:r w:rsidRPr="00CC53E5">
          <w:rPr>
            <w:rStyle w:val="Hyperlink"/>
            <w:noProof/>
          </w:rPr>
          <w:t>Word Attached Toolbars Part</w:t>
        </w:r>
        <w:r>
          <w:rPr>
            <w:noProof/>
            <w:webHidden/>
          </w:rPr>
          <w:tab/>
        </w:r>
        <w:r>
          <w:rPr>
            <w:noProof/>
            <w:webHidden/>
          </w:rPr>
          <w:fldChar w:fldCharType="begin"/>
        </w:r>
        <w:r>
          <w:rPr>
            <w:noProof/>
            <w:webHidden/>
          </w:rPr>
          <w:instrText xml:space="preserve"> PAGEREF _Toc69879679 \h </w:instrText>
        </w:r>
        <w:r>
          <w:rPr>
            <w:noProof/>
            <w:webHidden/>
          </w:rPr>
        </w:r>
        <w:r>
          <w:rPr>
            <w:noProof/>
            <w:webHidden/>
          </w:rPr>
          <w:fldChar w:fldCharType="separate"/>
        </w:r>
        <w:r>
          <w:rPr>
            <w:noProof/>
            <w:webHidden/>
          </w:rPr>
          <w:t>691</w:t>
        </w:r>
        <w:r>
          <w:rPr>
            <w:noProof/>
            <w:webHidden/>
          </w:rPr>
          <w:fldChar w:fldCharType="end"/>
        </w:r>
      </w:hyperlink>
    </w:p>
    <w:p w:rsidR="00B42EF3" w:rsidRDefault="00B42EF3">
      <w:pPr>
        <w:pStyle w:val="TOC4"/>
        <w:rPr>
          <w:rFonts w:asciiTheme="minorHAnsi" w:eastAsiaTheme="minorEastAsia" w:hAnsiTheme="minorHAnsi" w:cstheme="minorBidi"/>
          <w:noProof/>
          <w:sz w:val="22"/>
          <w:szCs w:val="22"/>
        </w:rPr>
      </w:pPr>
      <w:hyperlink w:anchor="_Toc69879680" w:history="1">
        <w:r w:rsidRPr="00CC53E5">
          <w:rPr>
            <w:rStyle w:val="Hyperlink"/>
            <w:noProof/>
          </w:rPr>
          <w:t>3.1.1.2</w:t>
        </w:r>
        <w:r>
          <w:rPr>
            <w:rFonts w:asciiTheme="minorHAnsi" w:eastAsiaTheme="minorEastAsia" w:hAnsiTheme="minorHAnsi" w:cstheme="minorBidi"/>
            <w:noProof/>
            <w:sz w:val="22"/>
            <w:szCs w:val="22"/>
          </w:rPr>
          <w:tab/>
        </w:r>
        <w:r w:rsidRPr="00CC53E5">
          <w:rPr>
            <w:rStyle w:val="Hyperlink"/>
            <w:noProof/>
          </w:rPr>
          <w:t>Customizations Part</w:t>
        </w:r>
        <w:r>
          <w:rPr>
            <w:noProof/>
            <w:webHidden/>
          </w:rPr>
          <w:tab/>
        </w:r>
        <w:r>
          <w:rPr>
            <w:noProof/>
            <w:webHidden/>
          </w:rPr>
          <w:fldChar w:fldCharType="begin"/>
        </w:r>
        <w:r>
          <w:rPr>
            <w:noProof/>
            <w:webHidden/>
          </w:rPr>
          <w:instrText xml:space="preserve"> PAGEREF _Toc69879680 \h </w:instrText>
        </w:r>
        <w:r>
          <w:rPr>
            <w:noProof/>
            <w:webHidden/>
          </w:rPr>
        </w:r>
        <w:r>
          <w:rPr>
            <w:noProof/>
            <w:webHidden/>
          </w:rPr>
          <w:fldChar w:fldCharType="separate"/>
        </w:r>
        <w:r>
          <w:rPr>
            <w:noProof/>
            <w:webHidden/>
          </w:rPr>
          <w:t>691</w:t>
        </w:r>
        <w:r>
          <w:rPr>
            <w:noProof/>
            <w:webHidden/>
          </w:rPr>
          <w:fldChar w:fldCharType="end"/>
        </w:r>
      </w:hyperlink>
    </w:p>
    <w:p w:rsidR="00B42EF3" w:rsidRDefault="00B42EF3">
      <w:pPr>
        <w:pStyle w:val="TOC4"/>
        <w:rPr>
          <w:rFonts w:asciiTheme="minorHAnsi" w:eastAsiaTheme="minorEastAsia" w:hAnsiTheme="minorHAnsi" w:cstheme="minorBidi"/>
          <w:noProof/>
          <w:sz w:val="22"/>
          <w:szCs w:val="22"/>
        </w:rPr>
      </w:pPr>
      <w:hyperlink w:anchor="_Toc69879681" w:history="1">
        <w:r w:rsidRPr="00CC53E5">
          <w:rPr>
            <w:rStyle w:val="Hyperlink"/>
            <w:noProof/>
          </w:rPr>
          <w:t>3.1.1.3</w:t>
        </w:r>
        <w:r>
          <w:rPr>
            <w:rFonts w:asciiTheme="minorHAnsi" w:eastAsiaTheme="minorEastAsia" w:hAnsiTheme="minorHAnsi" w:cstheme="minorBidi"/>
            <w:noProof/>
            <w:sz w:val="22"/>
            <w:szCs w:val="22"/>
          </w:rPr>
          <w:tab/>
        </w:r>
        <w:r w:rsidRPr="00CC53E5">
          <w:rPr>
            <w:rStyle w:val="Hyperlink"/>
            <w:noProof/>
          </w:rPr>
          <w:t>Mail Merge Recipient Data Part</w:t>
        </w:r>
        <w:r>
          <w:rPr>
            <w:noProof/>
            <w:webHidden/>
          </w:rPr>
          <w:tab/>
        </w:r>
        <w:r>
          <w:rPr>
            <w:noProof/>
            <w:webHidden/>
          </w:rPr>
          <w:fldChar w:fldCharType="begin"/>
        </w:r>
        <w:r>
          <w:rPr>
            <w:noProof/>
            <w:webHidden/>
          </w:rPr>
          <w:instrText xml:space="preserve"> PAGEREF _Toc69879681 \h </w:instrText>
        </w:r>
        <w:r>
          <w:rPr>
            <w:noProof/>
            <w:webHidden/>
          </w:rPr>
        </w:r>
        <w:r>
          <w:rPr>
            <w:noProof/>
            <w:webHidden/>
          </w:rPr>
          <w:fldChar w:fldCharType="separate"/>
        </w:r>
        <w:r>
          <w:rPr>
            <w:noProof/>
            <w:webHidden/>
          </w:rPr>
          <w:t>692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682" w:history="1">
        <w:r w:rsidRPr="00CC53E5">
          <w:rPr>
            <w:rStyle w:val="Hyperlink"/>
            <w:noProof/>
          </w:rPr>
          <w:t>3.1.2</w:t>
        </w:r>
        <w:r>
          <w:rPr>
            <w:rFonts w:asciiTheme="minorHAnsi" w:eastAsiaTheme="minorEastAsia" w:hAnsiTheme="minorHAnsi" w:cstheme="minorBidi"/>
            <w:noProof/>
            <w:sz w:val="22"/>
            <w:szCs w:val="22"/>
          </w:rPr>
          <w:tab/>
        </w:r>
        <w:r w:rsidRPr="00CC53E5">
          <w:rPr>
            <w:rStyle w:val="Hyperlink"/>
            <w:noProof/>
          </w:rPr>
          <w:t>Word Schema</w:t>
        </w:r>
        <w:r>
          <w:rPr>
            <w:noProof/>
            <w:webHidden/>
          </w:rPr>
          <w:tab/>
        </w:r>
        <w:r>
          <w:rPr>
            <w:noProof/>
            <w:webHidden/>
          </w:rPr>
          <w:fldChar w:fldCharType="begin"/>
        </w:r>
        <w:r>
          <w:rPr>
            <w:noProof/>
            <w:webHidden/>
          </w:rPr>
          <w:instrText xml:space="preserve"> PAGEREF _Toc69879682 \h </w:instrText>
        </w:r>
        <w:r>
          <w:rPr>
            <w:noProof/>
            <w:webHidden/>
          </w:rPr>
        </w:r>
        <w:r>
          <w:rPr>
            <w:noProof/>
            <w:webHidden/>
          </w:rPr>
          <w:fldChar w:fldCharType="separate"/>
        </w:r>
        <w:r>
          <w:rPr>
            <w:noProof/>
            <w:webHidden/>
          </w:rPr>
          <w:t>694</w:t>
        </w:r>
        <w:r>
          <w:rPr>
            <w:noProof/>
            <w:webHidden/>
          </w:rPr>
          <w:fldChar w:fldCharType="end"/>
        </w:r>
      </w:hyperlink>
    </w:p>
    <w:p w:rsidR="00B42EF3" w:rsidRDefault="00B42EF3">
      <w:pPr>
        <w:pStyle w:val="TOC4"/>
        <w:rPr>
          <w:rFonts w:asciiTheme="minorHAnsi" w:eastAsiaTheme="minorEastAsia" w:hAnsiTheme="minorHAnsi" w:cstheme="minorBidi"/>
          <w:noProof/>
          <w:sz w:val="22"/>
          <w:szCs w:val="22"/>
        </w:rPr>
      </w:pPr>
      <w:hyperlink w:anchor="_Toc69879683" w:history="1">
        <w:r w:rsidRPr="00CC53E5">
          <w:rPr>
            <w:rStyle w:val="Hyperlink"/>
            <w:noProof/>
          </w:rPr>
          <w:t>3.1.2.1</w:t>
        </w:r>
        <w:r>
          <w:rPr>
            <w:rFonts w:asciiTheme="minorHAnsi" w:eastAsiaTheme="minorEastAsia" w:hAnsiTheme="minorHAnsi" w:cstheme="minorBidi"/>
            <w:noProof/>
            <w:sz w:val="22"/>
            <w:szCs w:val="22"/>
          </w:rPr>
          <w:tab/>
        </w:r>
        <w:r w:rsidRPr="00CC53E5">
          <w:rPr>
            <w:rStyle w:val="Hyperlink"/>
            <w:noProof/>
          </w:rPr>
          <w:t>Keyboard and Toolbar Customizations</w:t>
        </w:r>
        <w:r>
          <w:rPr>
            <w:noProof/>
            <w:webHidden/>
          </w:rPr>
          <w:tab/>
        </w:r>
        <w:r>
          <w:rPr>
            <w:noProof/>
            <w:webHidden/>
          </w:rPr>
          <w:fldChar w:fldCharType="begin"/>
        </w:r>
        <w:r>
          <w:rPr>
            <w:noProof/>
            <w:webHidden/>
          </w:rPr>
          <w:instrText xml:space="preserve"> PAGEREF _Toc69879683 \h </w:instrText>
        </w:r>
        <w:r>
          <w:rPr>
            <w:noProof/>
            <w:webHidden/>
          </w:rPr>
        </w:r>
        <w:r>
          <w:rPr>
            <w:noProof/>
            <w:webHidden/>
          </w:rPr>
          <w:fldChar w:fldCharType="separate"/>
        </w:r>
        <w:r>
          <w:rPr>
            <w:noProof/>
            <w:webHidden/>
          </w:rPr>
          <w:t>694</w:t>
        </w:r>
        <w:r>
          <w:rPr>
            <w:noProof/>
            <w:webHidden/>
          </w:rPr>
          <w:fldChar w:fldCharType="end"/>
        </w:r>
      </w:hyperlink>
    </w:p>
    <w:p w:rsidR="00B42EF3" w:rsidRDefault="00B42EF3">
      <w:pPr>
        <w:pStyle w:val="TOC5"/>
        <w:rPr>
          <w:rFonts w:asciiTheme="minorHAnsi" w:eastAsiaTheme="minorEastAsia" w:hAnsiTheme="minorHAnsi" w:cstheme="minorBidi"/>
          <w:noProof/>
          <w:sz w:val="22"/>
          <w:szCs w:val="22"/>
        </w:rPr>
      </w:pPr>
      <w:hyperlink w:anchor="_Toc69879684" w:history="1">
        <w:r w:rsidRPr="00CC53E5">
          <w:rPr>
            <w:rStyle w:val="Hyperlink"/>
            <w:noProof/>
          </w:rPr>
          <w:t>3.1.2.1.1</w:t>
        </w:r>
        <w:r>
          <w:rPr>
            <w:rFonts w:asciiTheme="minorHAnsi" w:eastAsiaTheme="minorEastAsia" w:hAnsiTheme="minorHAnsi" w:cstheme="minorBidi"/>
            <w:noProof/>
            <w:sz w:val="22"/>
            <w:szCs w:val="22"/>
          </w:rPr>
          <w:tab/>
        </w:r>
        <w:r w:rsidRPr="00CC53E5">
          <w:rPr>
            <w:rStyle w:val="Hyperlink"/>
            <w:noProof/>
          </w:rPr>
          <w:t>Elements</w:t>
        </w:r>
        <w:r>
          <w:rPr>
            <w:noProof/>
            <w:webHidden/>
          </w:rPr>
          <w:tab/>
        </w:r>
        <w:r>
          <w:rPr>
            <w:noProof/>
            <w:webHidden/>
          </w:rPr>
          <w:fldChar w:fldCharType="begin"/>
        </w:r>
        <w:r>
          <w:rPr>
            <w:noProof/>
            <w:webHidden/>
          </w:rPr>
          <w:instrText xml:space="preserve"> PAGEREF _Toc69879684 \h </w:instrText>
        </w:r>
        <w:r>
          <w:rPr>
            <w:noProof/>
            <w:webHidden/>
          </w:rPr>
        </w:r>
        <w:r>
          <w:rPr>
            <w:noProof/>
            <w:webHidden/>
          </w:rPr>
          <w:fldChar w:fldCharType="separate"/>
        </w:r>
        <w:r>
          <w:rPr>
            <w:noProof/>
            <w:webHidden/>
          </w:rPr>
          <w:t>694</w:t>
        </w:r>
        <w:r>
          <w:rPr>
            <w:noProof/>
            <w:webHidden/>
          </w:rPr>
          <w:fldChar w:fldCharType="end"/>
        </w:r>
      </w:hyperlink>
    </w:p>
    <w:p w:rsidR="00B42EF3" w:rsidRDefault="00B42EF3">
      <w:pPr>
        <w:pStyle w:val="TOC6"/>
        <w:rPr>
          <w:rFonts w:asciiTheme="minorHAnsi" w:eastAsiaTheme="minorEastAsia" w:hAnsiTheme="minorHAnsi" w:cstheme="minorBidi"/>
          <w:noProof/>
          <w:sz w:val="22"/>
          <w:szCs w:val="22"/>
        </w:rPr>
      </w:pPr>
      <w:hyperlink w:anchor="_Toc69879685" w:history="1">
        <w:r w:rsidRPr="00CC53E5">
          <w:rPr>
            <w:rStyle w:val="Hyperlink"/>
            <w:noProof/>
          </w:rPr>
          <w:t>3.1.2.1.1.1</w:t>
        </w:r>
        <w:r>
          <w:rPr>
            <w:rFonts w:asciiTheme="minorHAnsi" w:eastAsiaTheme="minorEastAsia" w:hAnsiTheme="minorHAnsi" w:cstheme="minorBidi"/>
            <w:noProof/>
            <w:sz w:val="22"/>
            <w:szCs w:val="22"/>
          </w:rPr>
          <w:tab/>
        </w:r>
        <w:r w:rsidRPr="00CC53E5">
          <w:rPr>
            <w:rStyle w:val="Hyperlink"/>
            <w:noProof/>
          </w:rPr>
          <w:t>acd (Allocated Command)</w:t>
        </w:r>
        <w:r>
          <w:rPr>
            <w:noProof/>
            <w:webHidden/>
          </w:rPr>
          <w:tab/>
        </w:r>
        <w:r>
          <w:rPr>
            <w:noProof/>
            <w:webHidden/>
          </w:rPr>
          <w:fldChar w:fldCharType="begin"/>
        </w:r>
        <w:r>
          <w:rPr>
            <w:noProof/>
            <w:webHidden/>
          </w:rPr>
          <w:instrText xml:space="preserve"> PAGEREF _Toc69879685 \h </w:instrText>
        </w:r>
        <w:r>
          <w:rPr>
            <w:noProof/>
            <w:webHidden/>
          </w:rPr>
        </w:r>
        <w:r>
          <w:rPr>
            <w:noProof/>
            <w:webHidden/>
          </w:rPr>
          <w:fldChar w:fldCharType="separate"/>
        </w:r>
        <w:r>
          <w:rPr>
            <w:noProof/>
            <w:webHidden/>
          </w:rPr>
          <w:t>694</w:t>
        </w:r>
        <w:r>
          <w:rPr>
            <w:noProof/>
            <w:webHidden/>
          </w:rPr>
          <w:fldChar w:fldCharType="end"/>
        </w:r>
      </w:hyperlink>
    </w:p>
    <w:p w:rsidR="00B42EF3" w:rsidRDefault="00B42EF3">
      <w:pPr>
        <w:pStyle w:val="TOC6"/>
        <w:rPr>
          <w:rFonts w:asciiTheme="minorHAnsi" w:eastAsiaTheme="minorEastAsia" w:hAnsiTheme="minorHAnsi" w:cstheme="minorBidi"/>
          <w:noProof/>
          <w:sz w:val="22"/>
          <w:szCs w:val="22"/>
        </w:rPr>
      </w:pPr>
      <w:hyperlink w:anchor="_Toc69879686" w:history="1">
        <w:r w:rsidRPr="00CC53E5">
          <w:rPr>
            <w:rStyle w:val="Hyperlink"/>
            <w:noProof/>
          </w:rPr>
          <w:t>3.1.2.1.1.2</w:t>
        </w:r>
        <w:r>
          <w:rPr>
            <w:rFonts w:asciiTheme="minorHAnsi" w:eastAsiaTheme="minorEastAsia" w:hAnsiTheme="minorHAnsi" w:cstheme="minorBidi"/>
            <w:noProof/>
            <w:sz w:val="22"/>
            <w:szCs w:val="22"/>
          </w:rPr>
          <w:tab/>
        </w:r>
        <w:r w:rsidRPr="00CC53E5">
          <w:rPr>
            <w:rStyle w:val="Hyperlink"/>
            <w:noProof/>
          </w:rPr>
          <w:t>acd (Allocated Command Keyboard Customization Action)</w:t>
        </w:r>
        <w:r>
          <w:rPr>
            <w:noProof/>
            <w:webHidden/>
          </w:rPr>
          <w:tab/>
        </w:r>
        <w:r>
          <w:rPr>
            <w:noProof/>
            <w:webHidden/>
          </w:rPr>
          <w:fldChar w:fldCharType="begin"/>
        </w:r>
        <w:r>
          <w:rPr>
            <w:noProof/>
            <w:webHidden/>
          </w:rPr>
          <w:instrText xml:space="preserve"> PAGEREF _Toc69879686 \h </w:instrText>
        </w:r>
        <w:r>
          <w:rPr>
            <w:noProof/>
            <w:webHidden/>
          </w:rPr>
        </w:r>
        <w:r>
          <w:rPr>
            <w:noProof/>
            <w:webHidden/>
          </w:rPr>
          <w:fldChar w:fldCharType="separate"/>
        </w:r>
        <w:r>
          <w:rPr>
            <w:noProof/>
            <w:webHidden/>
          </w:rPr>
          <w:t>695</w:t>
        </w:r>
        <w:r>
          <w:rPr>
            <w:noProof/>
            <w:webHidden/>
          </w:rPr>
          <w:fldChar w:fldCharType="end"/>
        </w:r>
      </w:hyperlink>
    </w:p>
    <w:p w:rsidR="00B42EF3" w:rsidRDefault="00B42EF3">
      <w:pPr>
        <w:pStyle w:val="TOC6"/>
        <w:rPr>
          <w:rFonts w:asciiTheme="minorHAnsi" w:eastAsiaTheme="minorEastAsia" w:hAnsiTheme="minorHAnsi" w:cstheme="minorBidi"/>
          <w:noProof/>
          <w:sz w:val="22"/>
          <w:szCs w:val="22"/>
        </w:rPr>
      </w:pPr>
      <w:hyperlink w:anchor="_Toc69879687" w:history="1">
        <w:r w:rsidRPr="00CC53E5">
          <w:rPr>
            <w:rStyle w:val="Hyperlink"/>
            <w:noProof/>
          </w:rPr>
          <w:t>3.1.2.1.1.3</w:t>
        </w:r>
        <w:r>
          <w:rPr>
            <w:rFonts w:asciiTheme="minorHAnsi" w:eastAsiaTheme="minorEastAsia" w:hAnsiTheme="minorHAnsi" w:cstheme="minorBidi"/>
            <w:noProof/>
            <w:sz w:val="22"/>
            <w:szCs w:val="22"/>
          </w:rPr>
          <w:tab/>
        </w:r>
        <w:r w:rsidRPr="00CC53E5">
          <w:rPr>
            <w:rStyle w:val="Hyperlink"/>
            <w:noProof/>
          </w:rPr>
          <w:t>acdEntry (Allocated Command Manifest Entry)</w:t>
        </w:r>
        <w:r>
          <w:rPr>
            <w:noProof/>
            <w:webHidden/>
          </w:rPr>
          <w:tab/>
        </w:r>
        <w:r>
          <w:rPr>
            <w:noProof/>
            <w:webHidden/>
          </w:rPr>
          <w:fldChar w:fldCharType="begin"/>
        </w:r>
        <w:r>
          <w:rPr>
            <w:noProof/>
            <w:webHidden/>
          </w:rPr>
          <w:instrText xml:space="preserve"> PAGEREF _Toc69879687 \h </w:instrText>
        </w:r>
        <w:r>
          <w:rPr>
            <w:noProof/>
            <w:webHidden/>
          </w:rPr>
        </w:r>
        <w:r>
          <w:rPr>
            <w:noProof/>
            <w:webHidden/>
          </w:rPr>
          <w:fldChar w:fldCharType="separate"/>
        </w:r>
        <w:r>
          <w:rPr>
            <w:noProof/>
            <w:webHidden/>
          </w:rPr>
          <w:t>696</w:t>
        </w:r>
        <w:r>
          <w:rPr>
            <w:noProof/>
            <w:webHidden/>
          </w:rPr>
          <w:fldChar w:fldCharType="end"/>
        </w:r>
      </w:hyperlink>
    </w:p>
    <w:p w:rsidR="00B42EF3" w:rsidRDefault="00B42EF3">
      <w:pPr>
        <w:pStyle w:val="TOC6"/>
        <w:rPr>
          <w:rFonts w:asciiTheme="minorHAnsi" w:eastAsiaTheme="minorEastAsia" w:hAnsiTheme="minorHAnsi" w:cstheme="minorBidi"/>
          <w:noProof/>
          <w:sz w:val="22"/>
          <w:szCs w:val="22"/>
        </w:rPr>
      </w:pPr>
      <w:hyperlink w:anchor="_Toc69879688" w:history="1">
        <w:r w:rsidRPr="00CC53E5">
          <w:rPr>
            <w:rStyle w:val="Hyperlink"/>
            <w:noProof/>
          </w:rPr>
          <w:t>3.1.2.1.1.4</w:t>
        </w:r>
        <w:r>
          <w:rPr>
            <w:rFonts w:asciiTheme="minorHAnsi" w:eastAsiaTheme="minorEastAsia" w:hAnsiTheme="minorHAnsi" w:cstheme="minorBidi"/>
            <w:noProof/>
            <w:sz w:val="22"/>
            <w:szCs w:val="22"/>
          </w:rPr>
          <w:tab/>
        </w:r>
        <w:r w:rsidRPr="00CC53E5">
          <w:rPr>
            <w:rStyle w:val="Hyperlink"/>
            <w:noProof/>
          </w:rPr>
          <w:t>acdManifest (Allocated Command Manifest)</w:t>
        </w:r>
        <w:r>
          <w:rPr>
            <w:noProof/>
            <w:webHidden/>
          </w:rPr>
          <w:tab/>
        </w:r>
        <w:r>
          <w:rPr>
            <w:noProof/>
            <w:webHidden/>
          </w:rPr>
          <w:fldChar w:fldCharType="begin"/>
        </w:r>
        <w:r>
          <w:rPr>
            <w:noProof/>
            <w:webHidden/>
          </w:rPr>
          <w:instrText xml:space="preserve"> PAGEREF _Toc69879688 \h </w:instrText>
        </w:r>
        <w:r>
          <w:rPr>
            <w:noProof/>
            <w:webHidden/>
          </w:rPr>
        </w:r>
        <w:r>
          <w:rPr>
            <w:noProof/>
            <w:webHidden/>
          </w:rPr>
          <w:fldChar w:fldCharType="separate"/>
        </w:r>
        <w:r>
          <w:rPr>
            <w:noProof/>
            <w:webHidden/>
          </w:rPr>
          <w:t>696</w:t>
        </w:r>
        <w:r>
          <w:rPr>
            <w:noProof/>
            <w:webHidden/>
          </w:rPr>
          <w:fldChar w:fldCharType="end"/>
        </w:r>
      </w:hyperlink>
    </w:p>
    <w:p w:rsidR="00B42EF3" w:rsidRDefault="00B42EF3">
      <w:pPr>
        <w:pStyle w:val="TOC6"/>
        <w:rPr>
          <w:rFonts w:asciiTheme="minorHAnsi" w:eastAsiaTheme="minorEastAsia" w:hAnsiTheme="minorHAnsi" w:cstheme="minorBidi"/>
          <w:noProof/>
          <w:sz w:val="22"/>
          <w:szCs w:val="22"/>
        </w:rPr>
      </w:pPr>
      <w:hyperlink w:anchor="_Toc69879689" w:history="1">
        <w:r w:rsidRPr="00CC53E5">
          <w:rPr>
            <w:rStyle w:val="Hyperlink"/>
            <w:noProof/>
          </w:rPr>
          <w:t>3.1.2.1.1.5</w:t>
        </w:r>
        <w:r>
          <w:rPr>
            <w:rFonts w:asciiTheme="minorHAnsi" w:eastAsiaTheme="minorEastAsia" w:hAnsiTheme="minorHAnsi" w:cstheme="minorBidi"/>
            <w:noProof/>
            <w:sz w:val="22"/>
            <w:szCs w:val="22"/>
          </w:rPr>
          <w:tab/>
        </w:r>
        <w:r w:rsidRPr="00CC53E5">
          <w:rPr>
            <w:rStyle w:val="Hyperlink"/>
            <w:noProof/>
          </w:rPr>
          <w:t>acds (Allocated Commands)</w:t>
        </w:r>
        <w:r>
          <w:rPr>
            <w:noProof/>
            <w:webHidden/>
          </w:rPr>
          <w:tab/>
        </w:r>
        <w:r>
          <w:rPr>
            <w:noProof/>
            <w:webHidden/>
          </w:rPr>
          <w:fldChar w:fldCharType="begin"/>
        </w:r>
        <w:r>
          <w:rPr>
            <w:noProof/>
            <w:webHidden/>
          </w:rPr>
          <w:instrText xml:space="preserve"> PAGEREF _Toc69879689 \h </w:instrText>
        </w:r>
        <w:r>
          <w:rPr>
            <w:noProof/>
            <w:webHidden/>
          </w:rPr>
        </w:r>
        <w:r>
          <w:rPr>
            <w:noProof/>
            <w:webHidden/>
          </w:rPr>
          <w:fldChar w:fldCharType="separate"/>
        </w:r>
        <w:r>
          <w:rPr>
            <w:noProof/>
            <w:webHidden/>
          </w:rPr>
          <w:t>697</w:t>
        </w:r>
        <w:r>
          <w:rPr>
            <w:noProof/>
            <w:webHidden/>
          </w:rPr>
          <w:fldChar w:fldCharType="end"/>
        </w:r>
      </w:hyperlink>
    </w:p>
    <w:p w:rsidR="00B42EF3" w:rsidRDefault="00B42EF3">
      <w:pPr>
        <w:pStyle w:val="TOC6"/>
        <w:rPr>
          <w:rFonts w:asciiTheme="minorHAnsi" w:eastAsiaTheme="minorEastAsia" w:hAnsiTheme="minorHAnsi" w:cstheme="minorBidi"/>
          <w:noProof/>
          <w:sz w:val="22"/>
          <w:szCs w:val="22"/>
        </w:rPr>
      </w:pPr>
      <w:hyperlink w:anchor="_Toc69879690" w:history="1">
        <w:r w:rsidRPr="00CC53E5">
          <w:rPr>
            <w:rStyle w:val="Hyperlink"/>
            <w:noProof/>
          </w:rPr>
          <w:t>3.1.2.1.1.6</w:t>
        </w:r>
        <w:r>
          <w:rPr>
            <w:rFonts w:asciiTheme="minorHAnsi" w:eastAsiaTheme="minorEastAsia" w:hAnsiTheme="minorHAnsi" w:cstheme="minorBidi"/>
            <w:noProof/>
            <w:sz w:val="22"/>
            <w:szCs w:val="22"/>
          </w:rPr>
          <w:tab/>
        </w:r>
        <w:r w:rsidRPr="00CC53E5">
          <w:rPr>
            <w:rStyle w:val="Hyperlink"/>
            <w:noProof/>
          </w:rPr>
          <w:t>active (Record Is Included in Mail Merge)</w:t>
        </w:r>
        <w:r>
          <w:rPr>
            <w:noProof/>
            <w:webHidden/>
          </w:rPr>
          <w:tab/>
        </w:r>
        <w:r>
          <w:rPr>
            <w:noProof/>
            <w:webHidden/>
          </w:rPr>
          <w:fldChar w:fldCharType="begin"/>
        </w:r>
        <w:r>
          <w:rPr>
            <w:noProof/>
            <w:webHidden/>
          </w:rPr>
          <w:instrText xml:space="preserve"> PAGEREF _Toc69879690 \h </w:instrText>
        </w:r>
        <w:r>
          <w:rPr>
            <w:noProof/>
            <w:webHidden/>
          </w:rPr>
        </w:r>
        <w:r>
          <w:rPr>
            <w:noProof/>
            <w:webHidden/>
          </w:rPr>
          <w:fldChar w:fldCharType="separate"/>
        </w:r>
        <w:r>
          <w:rPr>
            <w:noProof/>
            <w:webHidden/>
          </w:rPr>
          <w:t>698</w:t>
        </w:r>
        <w:r>
          <w:rPr>
            <w:noProof/>
            <w:webHidden/>
          </w:rPr>
          <w:fldChar w:fldCharType="end"/>
        </w:r>
      </w:hyperlink>
    </w:p>
    <w:p w:rsidR="00B42EF3" w:rsidRDefault="00B42EF3">
      <w:pPr>
        <w:pStyle w:val="TOC6"/>
        <w:rPr>
          <w:rFonts w:asciiTheme="minorHAnsi" w:eastAsiaTheme="minorEastAsia" w:hAnsiTheme="minorHAnsi" w:cstheme="minorBidi"/>
          <w:noProof/>
          <w:sz w:val="22"/>
          <w:szCs w:val="22"/>
        </w:rPr>
      </w:pPr>
      <w:hyperlink w:anchor="_Toc69879691" w:history="1">
        <w:r w:rsidRPr="00CC53E5">
          <w:rPr>
            <w:rStyle w:val="Hyperlink"/>
            <w:noProof/>
          </w:rPr>
          <w:t>3.1.2.1.1.7</w:t>
        </w:r>
        <w:r>
          <w:rPr>
            <w:rFonts w:asciiTheme="minorHAnsi" w:eastAsiaTheme="minorEastAsia" w:hAnsiTheme="minorHAnsi" w:cstheme="minorBidi"/>
            <w:noProof/>
            <w:sz w:val="22"/>
            <w:szCs w:val="22"/>
          </w:rPr>
          <w:tab/>
        </w:r>
        <w:r w:rsidRPr="00CC53E5">
          <w:rPr>
            <w:rStyle w:val="Hyperlink"/>
            <w:noProof/>
          </w:rPr>
          <w:t>fci (Fixed Command Keyboard Customization Action)</w:t>
        </w:r>
        <w:r>
          <w:rPr>
            <w:noProof/>
            <w:webHidden/>
          </w:rPr>
          <w:tab/>
        </w:r>
        <w:r>
          <w:rPr>
            <w:noProof/>
            <w:webHidden/>
          </w:rPr>
          <w:fldChar w:fldCharType="begin"/>
        </w:r>
        <w:r>
          <w:rPr>
            <w:noProof/>
            <w:webHidden/>
          </w:rPr>
          <w:instrText xml:space="preserve"> PAGEREF _Toc69879691 \h </w:instrText>
        </w:r>
        <w:r>
          <w:rPr>
            <w:noProof/>
            <w:webHidden/>
          </w:rPr>
        </w:r>
        <w:r>
          <w:rPr>
            <w:noProof/>
            <w:webHidden/>
          </w:rPr>
          <w:fldChar w:fldCharType="separate"/>
        </w:r>
        <w:r>
          <w:rPr>
            <w:noProof/>
            <w:webHidden/>
          </w:rPr>
          <w:t>699</w:t>
        </w:r>
        <w:r>
          <w:rPr>
            <w:noProof/>
            <w:webHidden/>
          </w:rPr>
          <w:fldChar w:fldCharType="end"/>
        </w:r>
      </w:hyperlink>
    </w:p>
    <w:p w:rsidR="00B42EF3" w:rsidRDefault="00B42EF3">
      <w:pPr>
        <w:pStyle w:val="TOC6"/>
        <w:rPr>
          <w:rFonts w:asciiTheme="minorHAnsi" w:eastAsiaTheme="minorEastAsia" w:hAnsiTheme="minorHAnsi" w:cstheme="minorBidi"/>
          <w:noProof/>
          <w:sz w:val="22"/>
          <w:szCs w:val="22"/>
        </w:rPr>
      </w:pPr>
      <w:hyperlink w:anchor="_Toc69879692" w:history="1">
        <w:r w:rsidRPr="00CC53E5">
          <w:rPr>
            <w:rStyle w:val="Hyperlink"/>
            <w:noProof/>
          </w:rPr>
          <w:t>3.1.2.1.1.8</w:t>
        </w:r>
        <w:r>
          <w:rPr>
            <w:rFonts w:asciiTheme="minorHAnsi" w:eastAsiaTheme="minorEastAsia" w:hAnsiTheme="minorHAnsi" w:cstheme="minorBidi"/>
            <w:noProof/>
            <w:sz w:val="22"/>
            <w:szCs w:val="22"/>
          </w:rPr>
          <w:tab/>
        </w:r>
        <w:r w:rsidRPr="00CC53E5">
          <w:rPr>
            <w:rStyle w:val="Hyperlink"/>
            <w:noProof/>
          </w:rPr>
          <w:t>keymap (Key Map Entry)</w:t>
        </w:r>
        <w:r>
          <w:rPr>
            <w:noProof/>
            <w:webHidden/>
          </w:rPr>
          <w:tab/>
        </w:r>
        <w:r>
          <w:rPr>
            <w:noProof/>
            <w:webHidden/>
          </w:rPr>
          <w:fldChar w:fldCharType="begin"/>
        </w:r>
        <w:r>
          <w:rPr>
            <w:noProof/>
            <w:webHidden/>
          </w:rPr>
          <w:instrText xml:space="preserve"> PAGEREF _Toc69879692 \h </w:instrText>
        </w:r>
        <w:r>
          <w:rPr>
            <w:noProof/>
            <w:webHidden/>
          </w:rPr>
        </w:r>
        <w:r>
          <w:rPr>
            <w:noProof/>
            <w:webHidden/>
          </w:rPr>
          <w:fldChar w:fldCharType="separate"/>
        </w:r>
        <w:r>
          <w:rPr>
            <w:noProof/>
            <w:webHidden/>
          </w:rPr>
          <w:t>700</w:t>
        </w:r>
        <w:r>
          <w:rPr>
            <w:noProof/>
            <w:webHidden/>
          </w:rPr>
          <w:fldChar w:fldCharType="end"/>
        </w:r>
      </w:hyperlink>
    </w:p>
    <w:p w:rsidR="00B42EF3" w:rsidRDefault="00B42EF3">
      <w:pPr>
        <w:pStyle w:val="TOC6"/>
        <w:rPr>
          <w:rFonts w:asciiTheme="minorHAnsi" w:eastAsiaTheme="minorEastAsia" w:hAnsiTheme="minorHAnsi" w:cstheme="minorBidi"/>
          <w:noProof/>
          <w:sz w:val="22"/>
          <w:szCs w:val="22"/>
        </w:rPr>
      </w:pPr>
      <w:hyperlink w:anchor="_Toc69879693" w:history="1">
        <w:r w:rsidRPr="00CC53E5">
          <w:rPr>
            <w:rStyle w:val="Hyperlink"/>
            <w:noProof/>
          </w:rPr>
          <w:t>3.1.2.1.1.9</w:t>
        </w:r>
        <w:r>
          <w:rPr>
            <w:rFonts w:asciiTheme="minorHAnsi" w:eastAsiaTheme="minorEastAsia" w:hAnsiTheme="minorHAnsi" w:cstheme="minorBidi"/>
            <w:noProof/>
            <w:sz w:val="22"/>
            <w:szCs w:val="22"/>
          </w:rPr>
          <w:tab/>
        </w:r>
        <w:r w:rsidRPr="00CC53E5">
          <w:rPr>
            <w:rStyle w:val="Hyperlink"/>
            <w:noProof/>
          </w:rPr>
          <w:t>keymaps (Key Map Customizations)</w:t>
        </w:r>
        <w:r>
          <w:rPr>
            <w:noProof/>
            <w:webHidden/>
          </w:rPr>
          <w:tab/>
        </w:r>
        <w:r>
          <w:rPr>
            <w:noProof/>
            <w:webHidden/>
          </w:rPr>
          <w:fldChar w:fldCharType="begin"/>
        </w:r>
        <w:r>
          <w:rPr>
            <w:noProof/>
            <w:webHidden/>
          </w:rPr>
          <w:instrText xml:space="preserve"> PAGEREF _Toc69879693 \h </w:instrText>
        </w:r>
        <w:r>
          <w:rPr>
            <w:noProof/>
            <w:webHidden/>
          </w:rPr>
        </w:r>
        <w:r>
          <w:rPr>
            <w:noProof/>
            <w:webHidden/>
          </w:rPr>
          <w:fldChar w:fldCharType="separate"/>
        </w:r>
        <w:r>
          <w:rPr>
            <w:noProof/>
            <w:webHidden/>
          </w:rPr>
          <w:t>703</w:t>
        </w:r>
        <w:r>
          <w:rPr>
            <w:noProof/>
            <w:webHidden/>
          </w:rPr>
          <w:fldChar w:fldCharType="end"/>
        </w:r>
      </w:hyperlink>
    </w:p>
    <w:p w:rsidR="00B42EF3" w:rsidRDefault="00B42EF3">
      <w:pPr>
        <w:pStyle w:val="TOC6"/>
        <w:rPr>
          <w:rFonts w:asciiTheme="minorHAnsi" w:eastAsiaTheme="minorEastAsia" w:hAnsiTheme="minorHAnsi" w:cstheme="minorBidi"/>
          <w:noProof/>
          <w:sz w:val="22"/>
          <w:szCs w:val="22"/>
        </w:rPr>
      </w:pPr>
      <w:hyperlink w:anchor="_Toc69879694" w:history="1">
        <w:r w:rsidRPr="00CC53E5">
          <w:rPr>
            <w:rStyle w:val="Hyperlink"/>
            <w:noProof/>
          </w:rPr>
          <w:t>3.1.2.1.1.10</w:t>
        </w:r>
        <w:r>
          <w:rPr>
            <w:rFonts w:asciiTheme="minorHAnsi" w:eastAsiaTheme="minorEastAsia" w:hAnsiTheme="minorHAnsi" w:cstheme="minorBidi"/>
            <w:noProof/>
            <w:sz w:val="22"/>
            <w:szCs w:val="22"/>
          </w:rPr>
          <w:tab/>
        </w:r>
        <w:r w:rsidRPr="00CC53E5">
          <w:rPr>
            <w:rStyle w:val="Hyperlink"/>
            <w:noProof/>
          </w:rPr>
          <w:t>keymapsBad (Key Map Customizations for Mismatched Keyboards)</w:t>
        </w:r>
        <w:r>
          <w:rPr>
            <w:noProof/>
            <w:webHidden/>
          </w:rPr>
          <w:tab/>
        </w:r>
        <w:r>
          <w:rPr>
            <w:noProof/>
            <w:webHidden/>
          </w:rPr>
          <w:fldChar w:fldCharType="begin"/>
        </w:r>
        <w:r>
          <w:rPr>
            <w:noProof/>
            <w:webHidden/>
          </w:rPr>
          <w:instrText xml:space="preserve"> PAGEREF _Toc69879694 \h </w:instrText>
        </w:r>
        <w:r>
          <w:rPr>
            <w:noProof/>
            <w:webHidden/>
          </w:rPr>
        </w:r>
        <w:r>
          <w:rPr>
            <w:noProof/>
            <w:webHidden/>
          </w:rPr>
          <w:fldChar w:fldCharType="separate"/>
        </w:r>
        <w:r>
          <w:rPr>
            <w:noProof/>
            <w:webHidden/>
          </w:rPr>
          <w:t>704</w:t>
        </w:r>
        <w:r>
          <w:rPr>
            <w:noProof/>
            <w:webHidden/>
          </w:rPr>
          <w:fldChar w:fldCharType="end"/>
        </w:r>
      </w:hyperlink>
    </w:p>
    <w:p w:rsidR="00B42EF3" w:rsidRDefault="00B42EF3">
      <w:pPr>
        <w:pStyle w:val="TOC6"/>
        <w:rPr>
          <w:rFonts w:asciiTheme="minorHAnsi" w:eastAsiaTheme="minorEastAsia" w:hAnsiTheme="minorHAnsi" w:cstheme="minorBidi"/>
          <w:noProof/>
          <w:sz w:val="22"/>
          <w:szCs w:val="22"/>
        </w:rPr>
      </w:pPr>
      <w:hyperlink w:anchor="_Toc69879695" w:history="1">
        <w:r w:rsidRPr="00CC53E5">
          <w:rPr>
            <w:rStyle w:val="Hyperlink"/>
            <w:noProof/>
          </w:rPr>
          <w:t>3.1.2.1.1.11</w:t>
        </w:r>
        <w:r>
          <w:rPr>
            <w:rFonts w:asciiTheme="minorHAnsi" w:eastAsiaTheme="minorEastAsia" w:hAnsiTheme="minorHAnsi" w:cstheme="minorBidi"/>
            <w:noProof/>
            <w:sz w:val="22"/>
            <w:szCs w:val="22"/>
          </w:rPr>
          <w:tab/>
        </w:r>
        <w:r w:rsidRPr="00CC53E5">
          <w:rPr>
            <w:rStyle w:val="Hyperlink"/>
            <w:noProof/>
          </w:rPr>
          <w:t>macro (Macro Keyboard Customization Action)</w:t>
        </w:r>
        <w:r>
          <w:rPr>
            <w:noProof/>
            <w:webHidden/>
          </w:rPr>
          <w:tab/>
        </w:r>
        <w:r>
          <w:rPr>
            <w:noProof/>
            <w:webHidden/>
          </w:rPr>
          <w:fldChar w:fldCharType="begin"/>
        </w:r>
        <w:r>
          <w:rPr>
            <w:noProof/>
            <w:webHidden/>
          </w:rPr>
          <w:instrText xml:space="preserve"> PAGEREF _Toc69879695 \h </w:instrText>
        </w:r>
        <w:r>
          <w:rPr>
            <w:noProof/>
            <w:webHidden/>
          </w:rPr>
        </w:r>
        <w:r>
          <w:rPr>
            <w:noProof/>
            <w:webHidden/>
          </w:rPr>
          <w:fldChar w:fldCharType="separate"/>
        </w:r>
        <w:r>
          <w:rPr>
            <w:noProof/>
            <w:webHidden/>
          </w:rPr>
          <w:t>705</w:t>
        </w:r>
        <w:r>
          <w:rPr>
            <w:noProof/>
            <w:webHidden/>
          </w:rPr>
          <w:fldChar w:fldCharType="end"/>
        </w:r>
      </w:hyperlink>
    </w:p>
    <w:p w:rsidR="00B42EF3" w:rsidRDefault="00B42EF3">
      <w:pPr>
        <w:pStyle w:val="TOC6"/>
        <w:rPr>
          <w:rFonts w:asciiTheme="minorHAnsi" w:eastAsiaTheme="minorEastAsia" w:hAnsiTheme="minorHAnsi" w:cstheme="minorBidi"/>
          <w:noProof/>
          <w:sz w:val="22"/>
          <w:szCs w:val="22"/>
        </w:rPr>
      </w:pPr>
      <w:hyperlink w:anchor="_Toc69879696" w:history="1">
        <w:r w:rsidRPr="00CC53E5">
          <w:rPr>
            <w:rStyle w:val="Hyperlink"/>
            <w:noProof/>
          </w:rPr>
          <w:t>3.1.2.1.1.12</w:t>
        </w:r>
        <w:r>
          <w:rPr>
            <w:rFonts w:asciiTheme="minorHAnsi" w:eastAsiaTheme="minorEastAsia" w:hAnsiTheme="minorHAnsi" w:cstheme="minorBidi"/>
            <w:noProof/>
            <w:sz w:val="22"/>
            <w:szCs w:val="22"/>
          </w:rPr>
          <w:tab/>
        </w:r>
        <w:r w:rsidRPr="00CC53E5">
          <w:rPr>
            <w:rStyle w:val="Hyperlink"/>
            <w:noProof/>
          </w:rPr>
          <w:t>tcg (Keyboard and Toolbar Customizations)</w:t>
        </w:r>
        <w:r>
          <w:rPr>
            <w:noProof/>
            <w:webHidden/>
          </w:rPr>
          <w:tab/>
        </w:r>
        <w:r>
          <w:rPr>
            <w:noProof/>
            <w:webHidden/>
          </w:rPr>
          <w:fldChar w:fldCharType="begin"/>
        </w:r>
        <w:r>
          <w:rPr>
            <w:noProof/>
            <w:webHidden/>
          </w:rPr>
          <w:instrText xml:space="preserve"> PAGEREF _Toc69879696 \h </w:instrText>
        </w:r>
        <w:r>
          <w:rPr>
            <w:noProof/>
            <w:webHidden/>
          </w:rPr>
        </w:r>
        <w:r>
          <w:rPr>
            <w:noProof/>
            <w:webHidden/>
          </w:rPr>
          <w:fldChar w:fldCharType="separate"/>
        </w:r>
        <w:r>
          <w:rPr>
            <w:noProof/>
            <w:webHidden/>
          </w:rPr>
          <w:t>705</w:t>
        </w:r>
        <w:r>
          <w:rPr>
            <w:noProof/>
            <w:webHidden/>
          </w:rPr>
          <w:fldChar w:fldCharType="end"/>
        </w:r>
      </w:hyperlink>
    </w:p>
    <w:p w:rsidR="00B42EF3" w:rsidRDefault="00B42EF3">
      <w:pPr>
        <w:pStyle w:val="TOC6"/>
        <w:rPr>
          <w:rFonts w:asciiTheme="minorHAnsi" w:eastAsiaTheme="minorEastAsia" w:hAnsiTheme="minorHAnsi" w:cstheme="minorBidi"/>
          <w:noProof/>
          <w:sz w:val="22"/>
          <w:szCs w:val="22"/>
        </w:rPr>
      </w:pPr>
      <w:hyperlink w:anchor="_Toc69879697" w:history="1">
        <w:r w:rsidRPr="00CC53E5">
          <w:rPr>
            <w:rStyle w:val="Hyperlink"/>
            <w:noProof/>
          </w:rPr>
          <w:t>3.1.2.1.1.13</w:t>
        </w:r>
        <w:r>
          <w:rPr>
            <w:rFonts w:asciiTheme="minorHAnsi" w:eastAsiaTheme="minorEastAsia" w:hAnsiTheme="minorHAnsi" w:cstheme="minorBidi"/>
            <w:noProof/>
            <w:sz w:val="22"/>
            <w:szCs w:val="22"/>
          </w:rPr>
          <w:tab/>
        </w:r>
        <w:r w:rsidRPr="00CC53E5">
          <w:rPr>
            <w:rStyle w:val="Hyperlink"/>
            <w:noProof/>
          </w:rPr>
          <w:t>toolbarData (Toolbar data)</w:t>
        </w:r>
        <w:r>
          <w:rPr>
            <w:noProof/>
            <w:webHidden/>
          </w:rPr>
          <w:tab/>
        </w:r>
        <w:r>
          <w:rPr>
            <w:noProof/>
            <w:webHidden/>
          </w:rPr>
          <w:fldChar w:fldCharType="begin"/>
        </w:r>
        <w:r>
          <w:rPr>
            <w:noProof/>
            <w:webHidden/>
          </w:rPr>
          <w:instrText xml:space="preserve"> PAGEREF _Toc69879697 \h </w:instrText>
        </w:r>
        <w:r>
          <w:rPr>
            <w:noProof/>
            <w:webHidden/>
          </w:rPr>
        </w:r>
        <w:r>
          <w:rPr>
            <w:noProof/>
            <w:webHidden/>
          </w:rPr>
          <w:fldChar w:fldCharType="separate"/>
        </w:r>
        <w:r>
          <w:rPr>
            <w:noProof/>
            <w:webHidden/>
          </w:rPr>
          <w:t>706</w:t>
        </w:r>
        <w:r>
          <w:rPr>
            <w:noProof/>
            <w:webHidden/>
          </w:rPr>
          <w:fldChar w:fldCharType="end"/>
        </w:r>
      </w:hyperlink>
    </w:p>
    <w:p w:rsidR="00B42EF3" w:rsidRDefault="00B42EF3">
      <w:pPr>
        <w:pStyle w:val="TOC6"/>
        <w:rPr>
          <w:rFonts w:asciiTheme="minorHAnsi" w:eastAsiaTheme="minorEastAsia" w:hAnsiTheme="minorHAnsi" w:cstheme="minorBidi"/>
          <w:noProof/>
          <w:sz w:val="22"/>
          <w:szCs w:val="22"/>
        </w:rPr>
      </w:pPr>
      <w:hyperlink w:anchor="_Toc69879698" w:history="1">
        <w:r w:rsidRPr="00CC53E5">
          <w:rPr>
            <w:rStyle w:val="Hyperlink"/>
            <w:noProof/>
          </w:rPr>
          <w:t>3.1.2.1.1.14</w:t>
        </w:r>
        <w:r>
          <w:rPr>
            <w:rFonts w:asciiTheme="minorHAnsi" w:eastAsiaTheme="minorEastAsia" w:hAnsiTheme="minorHAnsi" w:cstheme="minorBidi"/>
            <w:noProof/>
            <w:sz w:val="22"/>
            <w:szCs w:val="22"/>
          </w:rPr>
          <w:tab/>
        </w:r>
        <w:r w:rsidRPr="00CC53E5">
          <w:rPr>
            <w:rStyle w:val="Hyperlink"/>
            <w:noProof/>
          </w:rPr>
          <w:t>toolbars (Legacy Toolbar Customizations)</w:t>
        </w:r>
        <w:r>
          <w:rPr>
            <w:noProof/>
            <w:webHidden/>
          </w:rPr>
          <w:tab/>
        </w:r>
        <w:r>
          <w:rPr>
            <w:noProof/>
            <w:webHidden/>
          </w:rPr>
          <w:fldChar w:fldCharType="begin"/>
        </w:r>
        <w:r>
          <w:rPr>
            <w:noProof/>
            <w:webHidden/>
          </w:rPr>
          <w:instrText xml:space="preserve"> PAGEREF _Toc69879698 \h </w:instrText>
        </w:r>
        <w:r>
          <w:rPr>
            <w:noProof/>
            <w:webHidden/>
          </w:rPr>
        </w:r>
        <w:r>
          <w:rPr>
            <w:noProof/>
            <w:webHidden/>
          </w:rPr>
          <w:fldChar w:fldCharType="separate"/>
        </w:r>
        <w:r>
          <w:rPr>
            <w:noProof/>
            <w:webHidden/>
          </w:rPr>
          <w:t>707</w:t>
        </w:r>
        <w:r>
          <w:rPr>
            <w:noProof/>
            <w:webHidden/>
          </w:rPr>
          <w:fldChar w:fldCharType="end"/>
        </w:r>
      </w:hyperlink>
    </w:p>
    <w:p w:rsidR="00B42EF3" w:rsidRDefault="00B42EF3">
      <w:pPr>
        <w:pStyle w:val="TOC6"/>
        <w:rPr>
          <w:rFonts w:asciiTheme="minorHAnsi" w:eastAsiaTheme="minorEastAsia" w:hAnsiTheme="minorHAnsi" w:cstheme="minorBidi"/>
          <w:noProof/>
          <w:sz w:val="22"/>
          <w:szCs w:val="22"/>
        </w:rPr>
      </w:pPr>
      <w:hyperlink w:anchor="_Toc69879699" w:history="1">
        <w:r w:rsidRPr="00CC53E5">
          <w:rPr>
            <w:rStyle w:val="Hyperlink"/>
            <w:noProof/>
          </w:rPr>
          <w:t>3.1.2.1.1.15</w:t>
        </w:r>
        <w:r>
          <w:rPr>
            <w:rFonts w:asciiTheme="minorHAnsi" w:eastAsiaTheme="minorEastAsia" w:hAnsiTheme="minorHAnsi" w:cstheme="minorBidi"/>
            <w:noProof/>
            <w:sz w:val="22"/>
            <w:szCs w:val="22"/>
          </w:rPr>
          <w:tab/>
        </w:r>
        <w:r w:rsidRPr="00CC53E5">
          <w:rPr>
            <w:rStyle w:val="Hyperlink"/>
            <w:noProof/>
          </w:rPr>
          <w:t>wch (Character Insertion Keyboard Customization Action)</w:t>
        </w:r>
        <w:r>
          <w:rPr>
            <w:noProof/>
            <w:webHidden/>
          </w:rPr>
          <w:tab/>
        </w:r>
        <w:r>
          <w:rPr>
            <w:noProof/>
            <w:webHidden/>
          </w:rPr>
          <w:fldChar w:fldCharType="begin"/>
        </w:r>
        <w:r>
          <w:rPr>
            <w:noProof/>
            <w:webHidden/>
          </w:rPr>
          <w:instrText xml:space="preserve"> PAGEREF _Toc69879699 \h </w:instrText>
        </w:r>
        <w:r>
          <w:rPr>
            <w:noProof/>
            <w:webHidden/>
          </w:rPr>
        </w:r>
        <w:r>
          <w:rPr>
            <w:noProof/>
            <w:webHidden/>
          </w:rPr>
          <w:fldChar w:fldCharType="separate"/>
        </w:r>
        <w:r>
          <w:rPr>
            <w:noProof/>
            <w:webHidden/>
          </w:rPr>
          <w:t>707</w:t>
        </w:r>
        <w:r>
          <w:rPr>
            <w:noProof/>
            <w:webHidden/>
          </w:rPr>
          <w:fldChar w:fldCharType="end"/>
        </w:r>
      </w:hyperlink>
    </w:p>
    <w:p w:rsidR="00B42EF3" w:rsidRDefault="00B42EF3">
      <w:pPr>
        <w:pStyle w:val="TOC6"/>
        <w:rPr>
          <w:rFonts w:asciiTheme="minorHAnsi" w:eastAsiaTheme="minorEastAsia" w:hAnsiTheme="minorHAnsi" w:cstheme="minorBidi"/>
          <w:noProof/>
          <w:sz w:val="22"/>
          <w:szCs w:val="22"/>
        </w:rPr>
      </w:pPr>
      <w:hyperlink w:anchor="_Toc69879700" w:history="1">
        <w:r w:rsidRPr="00CC53E5">
          <w:rPr>
            <w:rStyle w:val="Hyperlink"/>
            <w:noProof/>
          </w:rPr>
          <w:t>3.1.2.1.1.16</w:t>
        </w:r>
        <w:r>
          <w:rPr>
            <w:rFonts w:asciiTheme="minorHAnsi" w:eastAsiaTheme="minorEastAsia" w:hAnsiTheme="minorHAnsi" w:cstheme="minorBidi"/>
            <w:noProof/>
            <w:sz w:val="22"/>
            <w:szCs w:val="22"/>
          </w:rPr>
          <w:tab/>
        </w:r>
        <w:r w:rsidRPr="00CC53E5">
          <w:rPr>
            <w:rStyle w:val="Hyperlink"/>
            <w:noProof/>
          </w:rPr>
          <w:t>wll (WLL Macro Keyboard Customization Action)</w:t>
        </w:r>
        <w:r>
          <w:rPr>
            <w:noProof/>
            <w:webHidden/>
          </w:rPr>
          <w:tab/>
        </w:r>
        <w:r>
          <w:rPr>
            <w:noProof/>
            <w:webHidden/>
          </w:rPr>
          <w:fldChar w:fldCharType="begin"/>
        </w:r>
        <w:r>
          <w:rPr>
            <w:noProof/>
            <w:webHidden/>
          </w:rPr>
          <w:instrText xml:space="preserve"> PAGEREF _Toc69879700 \h </w:instrText>
        </w:r>
        <w:r>
          <w:rPr>
            <w:noProof/>
            <w:webHidden/>
          </w:rPr>
        </w:r>
        <w:r>
          <w:rPr>
            <w:noProof/>
            <w:webHidden/>
          </w:rPr>
          <w:fldChar w:fldCharType="separate"/>
        </w:r>
        <w:r>
          <w:rPr>
            <w:noProof/>
            <w:webHidden/>
          </w:rPr>
          <w:t>708</w:t>
        </w:r>
        <w:r>
          <w:rPr>
            <w:noProof/>
            <w:webHidden/>
          </w:rPr>
          <w:fldChar w:fldCharType="end"/>
        </w:r>
      </w:hyperlink>
    </w:p>
    <w:p w:rsidR="00B42EF3" w:rsidRDefault="00B42EF3">
      <w:pPr>
        <w:pStyle w:val="TOC5"/>
        <w:rPr>
          <w:rFonts w:asciiTheme="minorHAnsi" w:eastAsiaTheme="minorEastAsia" w:hAnsiTheme="minorHAnsi" w:cstheme="minorBidi"/>
          <w:noProof/>
          <w:sz w:val="22"/>
          <w:szCs w:val="22"/>
        </w:rPr>
      </w:pPr>
      <w:hyperlink w:anchor="_Toc69879701" w:history="1">
        <w:r w:rsidRPr="00CC53E5">
          <w:rPr>
            <w:rStyle w:val="Hyperlink"/>
            <w:noProof/>
          </w:rPr>
          <w:t>3.1.2.1.2</w:t>
        </w:r>
        <w:r>
          <w:rPr>
            <w:rFonts w:asciiTheme="minorHAnsi" w:eastAsiaTheme="minorEastAsia" w:hAnsiTheme="minorHAnsi" w:cstheme="minorBidi"/>
            <w:noProof/>
            <w:sz w:val="22"/>
            <w:szCs w:val="22"/>
          </w:rPr>
          <w:tab/>
        </w:r>
        <w:r w:rsidRPr="00CC53E5">
          <w:rPr>
            <w:rStyle w:val="Hyperlink"/>
            <w:noProof/>
          </w:rPr>
          <w:t>Fixed Commands</w:t>
        </w:r>
        <w:r>
          <w:rPr>
            <w:noProof/>
            <w:webHidden/>
          </w:rPr>
          <w:tab/>
        </w:r>
        <w:r>
          <w:rPr>
            <w:noProof/>
            <w:webHidden/>
          </w:rPr>
          <w:fldChar w:fldCharType="begin"/>
        </w:r>
        <w:r>
          <w:rPr>
            <w:noProof/>
            <w:webHidden/>
          </w:rPr>
          <w:instrText xml:space="preserve"> PAGEREF _Toc69879701 \h </w:instrText>
        </w:r>
        <w:r>
          <w:rPr>
            <w:noProof/>
            <w:webHidden/>
          </w:rPr>
        </w:r>
        <w:r>
          <w:rPr>
            <w:noProof/>
            <w:webHidden/>
          </w:rPr>
          <w:fldChar w:fldCharType="separate"/>
        </w:r>
        <w:r>
          <w:rPr>
            <w:noProof/>
            <w:webHidden/>
          </w:rPr>
          <w:t>709</w:t>
        </w:r>
        <w:r>
          <w:rPr>
            <w:noProof/>
            <w:webHidden/>
          </w:rPr>
          <w:fldChar w:fldCharType="end"/>
        </w:r>
      </w:hyperlink>
    </w:p>
    <w:p w:rsidR="00B42EF3" w:rsidRDefault="00B42EF3">
      <w:pPr>
        <w:pStyle w:val="TOC5"/>
        <w:rPr>
          <w:rFonts w:asciiTheme="minorHAnsi" w:eastAsiaTheme="minorEastAsia" w:hAnsiTheme="minorHAnsi" w:cstheme="minorBidi"/>
          <w:noProof/>
          <w:sz w:val="22"/>
          <w:szCs w:val="22"/>
        </w:rPr>
      </w:pPr>
      <w:hyperlink w:anchor="_Toc69879702" w:history="1">
        <w:r w:rsidRPr="00CC53E5">
          <w:rPr>
            <w:rStyle w:val="Hyperlink"/>
            <w:noProof/>
          </w:rPr>
          <w:t>3.1.2.1.3</w:t>
        </w:r>
        <w:r>
          <w:rPr>
            <w:rFonts w:asciiTheme="minorHAnsi" w:eastAsiaTheme="minorEastAsia" w:hAnsiTheme="minorHAnsi" w:cstheme="minorBidi"/>
            <w:noProof/>
            <w:sz w:val="22"/>
            <w:szCs w:val="22"/>
          </w:rPr>
          <w:tab/>
        </w:r>
        <w:r w:rsidRPr="00CC53E5">
          <w:rPr>
            <w:rStyle w:val="Hyperlink"/>
            <w:noProof/>
          </w:rPr>
          <w:t>Statements</w:t>
        </w:r>
        <w:r>
          <w:rPr>
            <w:noProof/>
            <w:webHidden/>
          </w:rPr>
          <w:tab/>
        </w:r>
        <w:r>
          <w:rPr>
            <w:noProof/>
            <w:webHidden/>
          </w:rPr>
          <w:fldChar w:fldCharType="begin"/>
        </w:r>
        <w:r>
          <w:rPr>
            <w:noProof/>
            <w:webHidden/>
          </w:rPr>
          <w:instrText xml:space="preserve"> PAGEREF _Toc69879702 \h </w:instrText>
        </w:r>
        <w:r>
          <w:rPr>
            <w:noProof/>
            <w:webHidden/>
          </w:rPr>
        </w:r>
        <w:r>
          <w:rPr>
            <w:noProof/>
            <w:webHidden/>
          </w:rPr>
          <w:fldChar w:fldCharType="separate"/>
        </w:r>
        <w:r>
          <w:rPr>
            <w:noProof/>
            <w:webHidden/>
          </w:rPr>
          <w:t>769</w:t>
        </w:r>
        <w:r>
          <w:rPr>
            <w:noProof/>
            <w:webHidden/>
          </w:rPr>
          <w:fldChar w:fldCharType="end"/>
        </w:r>
      </w:hyperlink>
    </w:p>
    <w:p w:rsidR="00B42EF3" w:rsidRDefault="00B42EF3">
      <w:pPr>
        <w:pStyle w:val="TOC4"/>
        <w:rPr>
          <w:rFonts w:asciiTheme="minorHAnsi" w:eastAsiaTheme="minorEastAsia" w:hAnsiTheme="minorHAnsi" w:cstheme="minorBidi"/>
          <w:noProof/>
          <w:sz w:val="22"/>
          <w:szCs w:val="22"/>
        </w:rPr>
      </w:pPr>
      <w:hyperlink w:anchor="_Toc69879703" w:history="1">
        <w:r w:rsidRPr="00CC53E5">
          <w:rPr>
            <w:rStyle w:val="Hyperlink"/>
            <w:noProof/>
          </w:rPr>
          <w:t>3.1.2.2</w:t>
        </w:r>
        <w:r>
          <w:rPr>
            <w:rFonts w:asciiTheme="minorHAnsi" w:eastAsiaTheme="minorEastAsia" w:hAnsiTheme="minorHAnsi" w:cstheme="minorBidi"/>
            <w:noProof/>
            <w:sz w:val="22"/>
            <w:szCs w:val="22"/>
          </w:rPr>
          <w:tab/>
        </w:r>
        <w:r w:rsidRPr="00CC53E5">
          <w:rPr>
            <w:rStyle w:val="Hyperlink"/>
            <w:noProof/>
          </w:rPr>
          <w:t>Mail Merge</w:t>
        </w:r>
        <w:r>
          <w:rPr>
            <w:noProof/>
            <w:webHidden/>
          </w:rPr>
          <w:tab/>
        </w:r>
        <w:r>
          <w:rPr>
            <w:noProof/>
            <w:webHidden/>
          </w:rPr>
          <w:fldChar w:fldCharType="begin"/>
        </w:r>
        <w:r>
          <w:rPr>
            <w:noProof/>
            <w:webHidden/>
          </w:rPr>
          <w:instrText xml:space="preserve"> PAGEREF _Toc69879703 \h </w:instrText>
        </w:r>
        <w:r>
          <w:rPr>
            <w:noProof/>
            <w:webHidden/>
          </w:rPr>
        </w:r>
        <w:r>
          <w:rPr>
            <w:noProof/>
            <w:webHidden/>
          </w:rPr>
          <w:fldChar w:fldCharType="separate"/>
        </w:r>
        <w:r>
          <w:rPr>
            <w:noProof/>
            <w:webHidden/>
          </w:rPr>
          <w:t>784</w:t>
        </w:r>
        <w:r>
          <w:rPr>
            <w:noProof/>
            <w:webHidden/>
          </w:rPr>
          <w:fldChar w:fldCharType="end"/>
        </w:r>
      </w:hyperlink>
    </w:p>
    <w:p w:rsidR="00B42EF3" w:rsidRDefault="00B42EF3">
      <w:pPr>
        <w:pStyle w:val="TOC5"/>
        <w:rPr>
          <w:rFonts w:asciiTheme="minorHAnsi" w:eastAsiaTheme="minorEastAsia" w:hAnsiTheme="minorHAnsi" w:cstheme="minorBidi"/>
          <w:noProof/>
          <w:sz w:val="22"/>
          <w:szCs w:val="22"/>
        </w:rPr>
      </w:pPr>
      <w:hyperlink w:anchor="_Toc69879704" w:history="1">
        <w:r w:rsidRPr="00CC53E5">
          <w:rPr>
            <w:rStyle w:val="Hyperlink"/>
            <w:noProof/>
          </w:rPr>
          <w:t>3.1.2.2.1</w:t>
        </w:r>
        <w:r>
          <w:rPr>
            <w:rFonts w:asciiTheme="minorHAnsi" w:eastAsiaTheme="minorEastAsia" w:hAnsiTheme="minorHAnsi" w:cstheme="minorBidi"/>
            <w:noProof/>
            <w:sz w:val="22"/>
            <w:szCs w:val="22"/>
          </w:rPr>
          <w:tab/>
        </w:r>
        <w:r w:rsidRPr="00CC53E5">
          <w:rPr>
            <w:rStyle w:val="Hyperlink"/>
            <w:noProof/>
          </w:rPr>
          <w:t>Elements</w:t>
        </w:r>
        <w:r>
          <w:rPr>
            <w:noProof/>
            <w:webHidden/>
          </w:rPr>
          <w:tab/>
        </w:r>
        <w:r>
          <w:rPr>
            <w:noProof/>
            <w:webHidden/>
          </w:rPr>
          <w:fldChar w:fldCharType="begin"/>
        </w:r>
        <w:r>
          <w:rPr>
            <w:noProof/>
            <w:webHidden/>
          </w:rPr>
          <w:instrText xml:space="preserve"> PAGEREF _Toc69879704 \h </w:instrText>
        </w:r>
        <w:r>
          <w:rPr>
            <w:noProof/>
            <w:webHidden/>
          </w:rPr>
        </w:r>
        <w:r>
          <w:rPr>
            <w:noProof/>
            <w:webHidden/>
          </w:rPr>
          <w:fldChar w:fldCharType="separate"/>
        </w:r>
        <w:r>
          <w:rPr>
            <w:noProof/>
            <w:webHidden/>
          </w:rPr>
          <w:t>784</w:t>
        </w:r>
        <w:r>
          <w:rPr>
            <w:noProof/>
            <w:webHidden/>
          </w:rPr>
          <w:fldChar w:fldCharType="end"/>
        </w:r>
      </w:hyperlink>
    </w:p>
    <w:p w:rsidR="00B42EF3" w:rsidRDefault="00B42EF3">
      <w:pPr>
        <w:pStyle w:val="TOC6"/>
        <w:rPr>
          <w:rFonts w:asciiTheme="minorHAnsi" w:eastAsiaTheme="minorEastAsia" w:hAnsiTheme="minorHAnsi" w:cstheme="minorBidi"/>
          <w:noProof/>
          <w:sz w:val="22"/>
          <w:szCs w:val="22"/>
        </w:rPr>
      </w:pPr>
      <w:hyperlink w:anchor="_Toc69879705" w:history="1">
        <w:r w:rsidRPr="00CC53E5">
          <w:rPr>
            <w:rStyle w:val="Hyperlink"/>
            <w:noProof/>
          </w:rPr>
          <w:t>3.1.2.2.1.1</w:t>
        </w:r>
        <w:r>
          <w:rPr>
            <w:rFonts w:asciiTheme="minorHAnsi" w:eastAsiaTheme="minorEastAsia" w:hAnsiTheme="minorHAnsi" w:cstheme="minorBidi"/>
            <w:noProof/>
            <w:sz w:val="22"/>
            <w:szCs w:val="22"/>
          </w:rPr>
          <w:tab/>
        </w:r>
        <w:r w:rsidRPr="00CC53E5">
          <w:rPr>
            <w:rStyle w:val="Hyperlink"/>
            <w:noProof/>
          </w:rPr>
          <w:t>hash (Hash Code for Record)</w:t>
        </w:r>
        <w:r>
          <w:rPr>
            <w:noProof/>
            <w:webHidden/>
          </w:rPr>
          <w:tab/>
        </w:r>
        <w:r>
          <w:rPr>
            <w:noProof/>
            <w:webHidden/>
          </w:rPr>
          <w:fldChar w:fldCharType="begin"/>
        </w:r>
        <w:r>
          <w:rPr>
            <w:noProof/>
            <w:webHidden/>
          </w:rPr>
          <w:instrText xml:space="preserve"> PAGEREF _Toc69879705 \h </w:instrText>
        </w:r>
        <w:r>
          <w:rPr>
            <w:noProof/>
            <w:webHidden/>
          </w:rPr>
        </w:r>
        <w:r>
          <w:rPr>
            <w:noProof/>
            <w:webHidden/>
          </w:rPr>
          <w:fldChar w:fldCharType="separate"/>
        </w:r>
        <w:r>
          <w:rPr>
            <w:noProof/>
            <w:webHidden/>
          </w:rPr>
          <w:t>784</w:t>
        </w:r>
        <w:r>
          <w:rPr>
            <w:noProof/>
            <w:webHidden/>
          </w:rPr>
          <w:fldChar w:fldCharType="end"/>
        </w:r>
      </w:hyperlink>
    </w:p>
    <w:p w:rsidR="00B42EF3" w:rsidRDefault="00B42EF3">
      <w:pPr>
        <w:pStyle w:val="TOC6"/>
        <w:rPr>
          <w:rFonts w:asciiTheme="minorHAnsi" w:eastAsiaTheme="minorEastAsia" w:hAnsiTheme="minorHAnsi" w:cstheme="minorBidi"/>
          <w:noProof/>
          <w:sz w:val="22"/>
          <w:szCs w:val="22"/>
        </w:rPr>
      </w:pPr>
      <w:hyperlink w:anchor="_Toc69879706" w:history="1">
        <w:r w:rsidRPr="00CC53E5">
          <w:rPr>
            <w:rStyle w:val="Hyperlink"/>
            <w:noProof/>
          </w:rPr>
          <w:t>3.1.2.2.1.2</w:t>
        </w:r>
        <w:r>
          <w:rPr>
            <w:rFonts w:asciiTheme="minorHAnsi" w:eastAsiaTheme="minorEastAsia" w:hAnsiTheme="minorHAnsi" w:cstheme="minorBidi"/>
            <w:noProof/>
            <w:sz w:val="22"/>
            <w:szCs w:val="22"/>
          </w:rPr>
          <w:tab/>
        </w:r>
        <w:r w:rsidRPr="00CC53E5">
          <w:rPr>
            <w:rStyle w:val="Hyperlink"/>
            <w:noProof/>
          </w:rPr>
          <w:t>recipientData (Data About Single Data Source Record)</w:t>
        </w:r>
        <w:r>
          <w:rPr>
            <w:noProof/>
            <w:webHidden/>
          </w:rPr>
          <w:tab/>
        </w:r>
        <w:r>
          <w:rPr>
            <w:noProof/>
            <w:webHidden/>
          </w:rPr>
          <w:fldChar w:fldCharType="begin"/>
        </w:r>
        <w:r>
          <w:rPr>
            <w:noProof/>
            <w:webHidden/>
          </w:rPr>
          <w:instrText xml:space="preserve"> PAGEREF _Toc69879706 \h </w:instrText>
        </w:r>
        <w:r>
          <w:rPr>
            <w:noProof/>
            <w:webHidden/>
          </w:rPr>
        </w:r>
        <w:r>
          <w:rPr>
            <w:noProof/>
            <w:webHidden/>
          </w:rPr>
          <w:fldChar w:fldCharType="separate"/>
        </w:r>
        <w:r>
          <w:rPr>
            <w:noProof/>
            <w:webHidden/>
          </w:rPr>
          <w:t>786</w:t>
        </w:r>
        <w:r>
          <w:rPr>
            <w:noProof/>
            <w:webHidden/>
          </w:rPr>
          <w:fldChar w:fldCharType="end"/>
        </w:r>
      </w:hyperlink>
    </w:p>
    <w:p w:rsidR="00B42EF3" w:rsidRDefault="00B42EF3">
      <w:pPr>
        <w:pStyle w:val="TOC6"/>
        <w:rPr>
          <w:rFonts w:asciiTheme="minorHAnsi" w:eastAsiaTheme="minorEastAsia" w:hAnsiTheme="minorHAnsi" w:cstheme="minorBidi"/>
          <w:noProof/>
          <w:sz w:val="22"/>
          <w:szCs w:val="22"/>
        </w:rPr>
      </w:pPr>
      <w:hyperlink w:anchor="_Toc69879707" w:history="1">
        <w:r w:rsidRPr="00CC53E5">
          <w:rPr>
            <w:rStyle w:val="Hyperlink"/>
            <w:noProof/>
          </w:rPr>
          <w:t>3.1.2.2.1.3</w:t>
        </w:r>
        <w:r>
          <w:rPr>
            <w:rFonts w:asciiTheme="minorHAnsi" w:eastAsiaTheme="minorEastAsia" w:hAnsiTheme="minorHAnsi" w:cstheme="minorBidi"/>
            <w:noProof/>
            <w:sz w:val="22"/>
            <w:szCs w:val="22"/>
          </w:rPr>
          <w:tab/>
        </w:r>
        <w:r w:rsidRPr="00CC53E5">
          <w:rPr>
            <w:rStyle w:val="Hyperlink"/>
            <w:noProof/>
          </w:rPr>
          <w:t>recipients (Inclusion/Exclusion Data for Data Source)</w:t>
        </w:r>
        <w:r>
          <w:rPr>
            <w:noProof/>
            <w:webHidden/>
          </w:rPr>
          <w:tab/>
        </w:r>
        <w:r>
          <w:rPr>
            <w:noProof/>
            <w:webHidden/>
          </w:rPr>
          <w:fldChar w:fldCharType="begin"/>
        </w:r>
        <w:r>
          <w:rPr>
            <w:noProof/>
            <w:webHidden/>
          </w:rPr>
          <w:instrText xml:space="preserve"> PAGEREF _Toc69879707 \h </w:instrText>
        </w:r>
        <w:r>
          <w:rPr>
            <w:noProof/>
            <w:webHidden/>
          </w:rPr>
        </w:r>
        <w:r>
          <w:rPr>
            <w:noProof/>
            <w:webHidden/>
          </w:rPr>
          <w:fldChar w:fldCharType="separate"/>
        </w:r>
        <w:r>
          <w:rPr>
            <w:noProof/>
            <w:webHidden/>
          </w:rPr>
          <w:t>787</w:t>
        </w:r>
        <w:r>
          <w:rPr>
            <w:noProof/>
            <w:webHidden/>
          </w:rPr>
          <w:fldChar w:fldCharType="end"/>
        </w:r>
      </w:hyperlink>
    </w:p>
    <w:p w:rsidR="00B42EF3" w:rsidRDefault="00B42EF3">
      <w:pPr>
        <w:pStyle w:val="TOC4"/>
        <w:rPr>
          <w:rFonts w:asciiTheme="minorHAnsi" w:eastAsiaTheme="minorEastAsia" w:hAnsiTheme="minorHAnsi" w:cstheme="minorBidi"/>
          <w:noProof/>
          <w:sz w:val="22"/>
          <w:szCs w:val="22"/>
        </w:rPr>
      </w:pPr>
      <w:hyperlink w:anchor="_Toc69879708" w:history="1">
        <w:r w:rsidRPr="00CC53E5">
          <w:rPr>
            <w:rStyle w:val="Hyperlink"/>
            <w:noProof/>
          </w:rPr>
          <w:t>3.1.2.3</w:t>
        </w:r>
        <w:r>
          <w:rPr>
            <w:rFonts w:asciiTheme="minorHAnsi" w:eastAsiaTheme="minorEastAsia" w:hAnsiTheme="minorHAnsi" w:cstheme="minorBidi"/>
            <w:noProof/>
            <w:sz w:val="22"/>
            <w:szCs w:val="22"/>
          </w:rPr>
          <w:tab/>
        </w:r>
        <w:r w:rsidRPr="00CC53E5">
          <w:rPr>
            <w:rStyle w:val="Hyperlink"/>
            <w:noProof/>
          </w:rPr>
          <w:t>Simple Types</w:t>
        </w:r>
        <w:r>
          <w:rPr>
            <w:noProof/>
            <w:webHidden/>
          </w:rPr>
          <w:tab/>
        </w:r>
        <w:r>
          <w:rPr>
            <w:noProof/>
            <w:webHidden/>
          </w:rPr>
          <w:fldChar w:fldCharType="begin"/>
        </w:r>
        <w:r>
          <w:rPr>
            <w:noProof/>
            <w:webHidden/>
          </w:rPr>
          <w:instrText xml:space="preserve"> PAGEREF _Toc69879708 \h </w:instrText>
        </w:r>
        <w:r>
          <w:rPr>
            <w:noProof/>
            <w:webHidden/>
          </w:rPr>
        </w:r>
        <w:r>
          <w:rPr>
            <w:noProof/>
            <w:webHidden/>
          </w:rPr>
          <w:fldChar w:fldCharType="separate"/>
        </w:r>
        <w:r>
          <w:rPr>
            <w:noProof/>
            <w:webHidden/>
          </w:rPr>
          <w:t>788</w:t>
        </w:r>
        <w:r>
          <w:rPr>
            <w:noProof/>
            <w:webHidden/>
          </w:rPr>
          <w:fldChar w:fldCharType="end"/>
        </w:r>
      </w:hyperlink>
    </w:p>
    <w:p w:rsidR="00B42EF3" w:rsidRDefault="00B42EF3">
      <w:pPr>
        <w:pStyle w:val="TOC5"/>
        <w:rPr>
          <w:rFonts w:asciiTheme="minorHAnsi" w:eastAsiaTheme="minorEastAsia" w:hAnsiTheme="minorHAnsi" w:cstheme="minorBidi"/>
          <w:noProof/>
          <w:sz w:val="22"/>
          <w:szCs w:val="22"/>
        </w:rPr>
      </w:pPr>
      <w:hyperlink w:anchor="_Toc69879709" w:history="1">
        <w:r w:rsidRPr="00CC53E5">
          <w:rPr>
            <w:rStyle w:val="Hyperlink"/>
            <w:noProof/>
          </w:rPr>
          <w:t>3.1.2.3.1</w:t>
        </w:r>
        <w:r>
          <w:rPr>
            <w:rFonts w:asciiTheme="minorHAnsi" w:eastAsiaTheme="minorEastAsia" w:hAnsiTheme="minorHAnsi" w:cstheme="minorBidi"/>
            <w:noProof/>
            <w:sz w:val="22"/>
            <w:szCs w:val="22"/>
          </w:rPr>
          <w:tab/>
        </w:r>
        <w:r w:rsidRPr="00CC53E5">
          <w:rPr>
            <w:rStyle w:val="Hyperlink"/>
            <w:noProof/>
          </w:rPr>
          <w:t>ST_DecimalNumber (Decimal Number Value)</w:t>
        </w:r>
        <w:r>
          <w:rPr>
            <w:noProof/>
            <w:webHidden/>
          </w:rPr>
          <w:tab/>
        </w:r>
        <w:r>
          <w:rPr>
            <w:noProof/>
            <w:webHidden/>
          </w:rPr>
          <w:fldChar w:fldCharType="begin"/>
        </w:r>
        <w:r>
          <w:rPr>
            <w:noProof/>
            <w:webHidden/>
          </w:rPr>
          <w:instrText xml:space="preserve"> PAGEREF _Toc69879709 \h </w:instrText>
        </w:r>
        <w:r>
          <w:rPr>
            <w:noProof/>
            <w:webHidden/>
          </w:rPr>
        </w:r>
        <w:r>
          <w:rPr>
            <w:noProof/>
            <w:webHidden/>
          </w:rPr>
          <w:fldChar w:fldCharType="separate"/>
        </w:r>
        <w:r>
          <w:rPr>
            <w:noProof/>
            <w:webHidden/>
          </w:rPr>
          <w:t>788</w:t>
        </w:r>
        <w:r>
          <w:rPr>
            <w:noProof/>
            <w:webHidden/>
          </w:rPr>
          <w:fldChar w:fldCharType="end"/>
        </w:r>
      </w:hyperlink>
    </w:p>
    <w:p w:rsidR="00B42EF3" w:rsidRDefault="00B42EF3">
      <w:pPr>
        <w:pStyle w:val="TOC5"/>
        <w:rPr>
          <w:rFonts w:asciiTheme="minorHAnsi" w:eastAsiaTheme="minorEastAsia" w:hAnsiTheme="minorHAnsi" w:cstheme="minorBidi"/>
          <w:noProof/>
          <w:sz w:val="22"/>
          <w:szCs w:val="22"/>
        </w:rPr>
      </w:pPr>
      <w:hyperlink w:anchor="_Toc69879710" w:history="1">
        <w:r w:rsidRPr="00CC53E5">
          <w:rPr>
            <w:rStyle w:val="Hyperlink"/>
            <w:noProof/>
          </w:rPr>
          <w:t>3.1.2.3.2</w:t>
        </w:r>
        <w:r>
          <w:rPr>
            <w:rFonts w:asciiTheme="minorHAnsi" w:eastAsiaTheme="minorEastAsia" w:hAnsiTheme="minorHAnsi" w:cstheme="minorBidi"/>
            <w:noProof/>
            <w:sz w:val="22"/>
            <w:szCs w:val="22"/>
          </w:rPr>
          <w:tab/>
        </w:r>
        <w:r w:rsidRPr="00CC53E5">
          <w:rPr>
            <w:rStyle w:val="Hyperlink"/>
            <w:noProof/>
          </w:rPr>
          <w:t>ST_LongHexNumber (Four Digit Hexadecimal Number Value)</w:t>
        </w:r>
        <w:r>
          <w:rPr>
            <w:noProof/>
            <w:webHidden/>
          </w:rPr>
          <w:tab/>
        </w:r>
        <w:r>
          <w:rPr>
            <w:noProof/>
            <w:webHidden/>
          </w:rPr>
          <w:fldChar w:fldCharType="begin"/>
        </w:r>
        <w:r>
          <w:rPr>
            <w:noProof/>
            <w:webHidden/>
          </w:rPr>
          <w:instrText xml:space="preserve"> PAGEREF _Toc69879710 \h </w:instrText>
        </w:r>
        <w:r>
          <w:rPr>
            <w:noProof/>
            <w:webHidden/>
          </w:rPr>
        </w:r>
        <w:r>
          <w:rPr>
            <w:noProof/>
            <w:webHidden/>
          </w:rPr>
          <w:fldChar w:fldCharType="separate"/>
        </w:r>
        <w:r>
          <w:rPr>
            <w:noProof/>
            <w:webHidden/>
          </w:rPr>
          <w:t>789</w:t>
        </w:r>
        <w:r>
          <w:rPr>
            <w:noProof/>
            <w:webHidden/>
          </w:rPr>
          <w:fldChar w:fldCharType="end"/>
        </w:r>
      </w:hyperlink>
    </w:p>
    <w:p w:rsidR="00B42EF3" w:rsidRDefault="00B42EF3">
      <w:pPr>
        <w:pStyle w:val="TOC5"/>
        <w:rPr>
          <w:rFonts w:asciiTheme="minorHAnsi" w:eastAsiaTheme="minorEastAsia" w:hAnsiTheme="minorHAnsi" w:cstheme="minorBidi"/>
          <w:noProof/>
          <w:sz w:val="22"/>
          <w:szCs w:val="22"/>
        </w:rPr>
      </w:pPr>
      <w:hyperlink w:anchor="_Toc69879711" w:history="1">
        <w:r w:rsidRPr="00CC53E5">
          <w:rPr>
            <w:rStyle w:val="Hyperlink"/>
            <w:noProof/>
          </w:rPr>
          <w:t>3.1.2.3.3</w:t>
        </w:r>
        <w:r>
          <w:rPr>
            <w:rFonts w:asciiTheme="minorHAnsi" w:eastAsiaTheme="minorEastAsia" w:hAnsiTheme="minorHAnsi" w:cstheme="minorBidi"/>
            <w:noProof/>
            <w:sz w:val="22"/>
            <w:szCs w:val="22"/>
          </w:rPr>
          <w:tab/>
        </w:r>
        <w:r w:rsidRPr="00CC53E5">
          <w:rPr>
            <w:rStyle w:val="Hyperlink"/>
            <w:noProof/>
          </w:rPr>
          <w:t>ST_OnOff (On/Off Value)</w:t>
        </w:r>
        <w:r>
          <w:rPr>
            <w:noProof/>
            <w:webHidden/>
          </w:rPr>
          <w:tab/>
        </w:r>
        <w:r>
          <w:rPr>
            <w:noProof/>
            <w:webHidden/>
          </w:rPr>
          <w:fldChar w:fldCharType="begin"/>
        </w:r>
        <w:r>
          <w:rPr>
            <w:noProof/>
            <w:webHidden/>
          </w:rPr>
          <w:instrText xml:space="preserve"> PAGEREF _Toc69879711 \h </w:instrText>
        </w:r>
        <w:r>
          <w:rPr>
            <w:noProof/>
            <w:webHidden/>
          </w:rPr>
        </w:r>
        <w:r>
          <w:rPr>
            <w:noProof/>
            <w:webHidden/>
          </w:rPr>
          <w:fldChar w:fldCharType="separate"/>
        </w:r>
        <w:r>
          <w:rPr>
            <w:noProof/>
            <w:webHidden/>
          </w:rPr>
          <w:t>789</w:t>
        </w:r>
        <w:r>
          <w:rPr>
            <w:noProof/>
            <w:webHidden/>
          </w:rPr>
          <w:fldChar w:fldCharType="end"/>
        </w:r>
      </w:hyperlink>
    </w:p>
    <w:p w:rsidR="00B42EF3" w:rsidRDefault="00B42EF3">
      <w:pPr>
        <w:pStyle w:val="TOC5"/>
        <w:rPr>
          <w:rFonts w:asciiTheme="minorHAnsi" w:eastAsiaTheme="minorEastAsia" w:hAnsiTheme="minorHAnsi" w:cstheme="minorBidi"/>
          <w:noProof/>
          <w:sz w:val="22"/>
          <w:szCs w:val="22"/>
        </w:rPr>
      </w:pPr>
      <w:hyperlink w:anchor="_Toc69879712" w:history="1">
        <w:r w:rsidRPr="00CC53E5">
          <w:rPr>
            <w:rStyle w:val="Hyperlink"/>
            <w:noProof/>
          </w:rPr>
          <w:t>3.1.2.3.4</w:t>
        </w:r>
        <w:r>
          <w:rPr>
            <w:rFonts w:asciiTheme="minorHAnsi" w:eastAsiaTheme="minorEastAsia" w:hAnsiTheme="minorHAnsi" w:cstheme="minorBidi"/>
            <w:noProof/>
            <w:sz w:val="22"/>
            <w:szCs w:val="22"/>
          </w:rPr>
          <w:tab/>
        </w:r>
        <w:r w:rsidRPr="00CC53E5">
          <w:rPr>
            <w:rStyle w:val="Hyperlink"/>
            <w:noProof/>
          </w:rPr>
          <w:t>ST_ShortHexNumber (Two Digit Hexadecimal Number Value)</w:t>
        </w:r>
        <w:r>
          <w:rPr>
            <w:noProof/>
            <w:webHidden/>
          </w:rPr>
          <w:tab/>
        </w:r>
        <w:r>
          <w:rPr>
            <w:noProof/>
            <w:webHidden/>
          </w:rPr>
          <w:fldChar w:fldCharType="begin"/>
        </w:r>
        <w:r>
          <w:rPr>
            <w:noProof/>
            <w:webHidden/>
          </w:rPr>
          <w:instrText xml:space="preserve"> PAGEREF _Toc69879712 \h </w:instrText>
        </w:r>
        <w:r>
          <w:rPr>
            <w:noProof/>
            <w:webHidden/>
          </w:rPr>
        </w:r>
        <w:r>
          <w:rPr>
            <w:noProof/>
            <w:webHidden/>
          </w:rPr>
          <w:fldChar w:fldCharType="separate"/>
        </w:r>
        <w:r>
          <w:rPr>
            <w:noProof/>
            <w:webHidden/>
          </w:rPr>
          <w:t>790</w:t>
        </w:r>
        <w:r>
          <w:rPr>
            <w:noProof/>
            <w:webHidden/>
          </w:rPr>
          <w:fldChar w:fldCharType="end"/>
        </w:r>
      </w:hyperlink>
    </w:p>
    <w:p w:rsidR="00B42EF3" w:rsidRDefault="00B42EF3">
      <w:pPr>
        <w:pStyle w:val="TOC5"/>
        <w:rPr>
          <w:rFonts w:asciiTheme="minorHAnsi" w:eastAsiaTheme="minorEastAsia" w:hAnsiTheme="minorHAnsi" w:cstheme="minorBidi"/>
          <w:noProof/>
          <w:sz w:val="22"/>
          <w:szCs w:val="22"/>
        </w:rPr>
      </w:pPr>
      <w:hyperlink w:anchor="_Toc69879713" w:history="1">
        <w:r w:rsidRPr="00CC53E5">
          <w:rPr>
            <w:rStyle w:val="Hyperlink"/>
            <w:noProof/>
          </w:rPr>
          <w:t>3.1.2.3.5</w:t>
        </w:r>
        <w:r>
          <w:rPr>
            <w:rFonts w:asciiTheme="minorHAnsi" w:eastAsiaTheme="minorEastAsia" w:hAnsiTheme="minorHAnsi" w:cstheme="minorBidi"/>
            <w:noProof/>
            <w:sz w:val="22"/>
            <w:szCs w:val="22"/>
          </w:rPr>
          <w:tab/>
        </w:r>
        <w:r w:rsidRPr="00CC53E5">
          <w:rPr>
            <w:rStyle w:val="Hyperlink"/>
            <w:noProof/>
          </w:rPr>
          <w:t>ST_String (String)</w:t>
        </w:r>
        <w:r>
          <w:rPr>
            <w:noProof/>
            <w:webHidden/>
          </w:rPr>
          <w:tab/>
        </w:r>
        <w:r>
          <w:rPr>
            <w:noProof/>
            <w:webHidden/>
          </w:rPr>
          <w:fldChar w:fldCharType="begin"/>
        </w:r>
        <w:r>
          <w:rPr>
            <w:noProof/>
            <w:webHidden/>
          </w:rPr>
          <w:instrText xml:space="preserve"> PAGEREF _Toc69879713 \h </w:instrText>
        </w:r>
        <w:r>
          <w:rPr>
            <w:noProof/>
            <w:webHidden/>
          </w:rPr>
        </w:r>
        <w:r>
          <w:rPr>
            <w:noProof/>
            <w:webHidden/>
          </w:rPr>
          <w:fldChar w:fldCharType="separate"/>
        </w:r>
        <w:r>
          <w:rPr>
            <w:noProof/>
            <w:webHidden/>
          </w:rPr>
          <w:t>791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714" w:history="1">
        <w:r w:rsidRPr="00CC53E5">
          <w:rPr>
            <w:rStyle w:val="Hyperlink"/>
            <w:noProof/>
          </w:rPr>
          <w:t>3.1.3</w:t>
        </w:r>
        <w:r>
          <w:rPr>
            <w:rFonts w:asciiTheme="minorHAnsi" w:eastAsiaTheme="minorEastAsia" w:hAnsiTheme="minorHAnsi" w:cstheme="minorBidi"/>
            <w:noProof/>
            <w:sz w:val="22"/>
            <w:szCs w:val="22"/>
          </w:rPr>
          <w:tab/>
        </w:r>
        <w:r w:rsidRPr="00CC53E5">
          <w:rPr>
            <w:rStyle w:val="Hyperlink"/>
            <w:noProof/>
          </w:rPr>
          <w:t>Additional WordprocessingML Schema</w:t>
        </w:r>
        <w:r>
          <w:rPr>
            <w:noProof/>
            <w:webHidden/>
          </w:rPr>
          <w:tab/>
        </w:r>
        <w:r>
          <w:rPr>
            <w:noProof/>
            <w:webHidden/>
          </w:rPr>
          <w:fldChar w:fldCharType="begin"/>
        </w:r>
        <w:r>
          <w:rPr>
            <w:noProof/>
            <w:webHidden/>
          </w:rPr>
          <w:instrText xml:space="preserve"> PAGEREF _Toc69879714 \h </w:instrText>
        </w:r>
        <w:r>
          <w:rPr>
            <w:noProof/>
            <w:webHidden/>
          </w:rPr>
        </w:r>
        <w:r>
          <w:rPr>
            <w:noProof/>
            <w:webHidden/>
          </w:rPr>
          <w:fldChar w:fldCharType="separate"/>
        </w:r>
        <w:r>
          <w:rPr>
            <w:noProof/>
            <w:webHidden/>
          </w:rPr>
          <w:t>792</w:t>
        </w:r>
        <w:r>
          <w:rPr>
            <w:noProof/>
            <w:webHidden/>
          </w:rPr>
          <w:fldChar w:fldCharType="end"/>
        </w:r>
      </w:hyperlink>
    </w:p>
    <w:p w:rsidR="00B42EF3" w:rsidRDefault="00B42EF3">
      <w:pPr>
        <w:pStyle w:val="TOC4"/>
        <w:rPr>
          <w:rFonts w:asciiTheme="minorHAnsi" w:eastAsiaTheme="minorEastAsia" w:hAnsiTheme="minorHAnsi" w:cstheme="minorBidi"/>
          <w:noProof/>
          <w:sz w:val="22"/>
          <w:szCs w:val="22"/>
        </w:rPr>
      </w:pPr>
      <w:hyperlink w:anchor="_Toc69879715" w:history="1">
        <w:r w:rsidRPr="00CC53E5">
          <w:rPr>
            <w:rStyle w:val="Hyperlink"/>
            <w:noProof/>
          </w:rPr>
          <w:t>3.1.3.1</w:t>
        </w:r>
        <w:r>
          <w:rPr>
            <w:rFonts w:asciiTheme="minorHAnsi" w:eastAsiaTheme="minorEastAsia" w:hAnsiTheme="minorHAnsi" w:cstheme="minorBidi"/>
            <w:noProof/>
            <w:sz w:val="22"/>
            <w:szCs w:val="22"/>
          </w:rPr>
          <w:tab/>
        </w:r>
        <w:r w:rsidRPr="00CC53E5">
          <w:rPr>
            <w:rStyle w:val="Hyperlink"/>
            <w:noProof/>
          </w:rPr>
          <w:t>Additional Elements</w:t>
        </w:r>
        <w:r>
          <w:rPr>
            <w:noProof/>
            <w:webHidden/>
          </w:rPr>
          <w:tab/>
        </w:r>
        <w:r>
          <w:rPr>
            <w:noProof/>
            <w:webHidden/>
          </w:rPr>
          <w:fldChar w:fldCharType="begin"/>
        </w:r>
        <w:r>
          <w:rPr>
            <w:noProof/>
            <w:webHidden/>
          </w:rPr>
          <w:instrText xml:space="preserve"> PAGEREF _Toc69879715 \h </w:instrText>
        </w:r>
        <w:r>
          <w:rPr>
            <w:noProof/>
            <w:webHidden/>
          </w:rPr>
        </w:r>
        <w:r>
          <w:rPr>
            <w:noProof/>
            <w:webHidden/>
          </w:rPr>
          <w:fldChar w:fldCharType="separate"/>
        </w:r>
        <w:r>
          <w:rPr>
            <w:noProof/>
            <w:webHidden/>
          </w:rPr>
          <w:t>792</w:t>
        </w:r>
        <w:r>
          <w:rPr>
            <w:noProof/>
            <w:webHidden/>
          </w:rPr>
          <w:fldChar w:fldCharType="end"/>
        </w:r>
      </w:hyperlink>
    </w:p>
    <w:p w:rsidR="00B42EF3" w:rsidRDefault="00B42EF3">
      <w:pPr>
        <w:pStyle w:val="TOC5"/>
        <w:rPr>
          <w:rFonts w:asciiTheme="minorHAnsi" w:eastAsiaTheme="minorEastAsia" w:hAnsiTheme="minorHAnsi" w:cstheme="minorBidi"/>
          <w:noProof/>
          <w:sz w:val="22"/>
          <w:szCs w:val="22"/>
        </w:rPr>
      </w:pPr>
      <w:hyperlink w:anchor="_Toc69879716" w:history="1">
        <w:r w:rsidRPr="00CC53E5">
          <w:rPr>
            <w:rStyle w:val="Hyperlink"/>
            <w:noProof/>
          </w:rPr>
          <w:t>3.1.3.1.1</w:t>
        </w:r>
        <w:r>
          <w:rPr>
            <w:rFonts w:asciiTheme="minorHAnsi" w:eastAsiaTheme="minorEastAsia" w:hAnsiTheme="minorHAnsi" w:cstheme="minorBidi"/>
            <w:noProof/>
            <w:sz w:val="22"/>
            <w:szCs w:val="22"/>
          </w:rPr>
          <w:tab/>
        </w:r>
        <w:r w:rsidRPr="00CC53E5">
          <w:rPr>
            <w:rStyle w:val="Hyperlink"/>
            <w:noProof/>
          </w:rPr>
          <w:t>customXml (Ruby Inline-Level Custom XML Element)</w:t>
        </w:r>
        <w:r>
          <w:rPr>
            <w:noProof/>
            <w:webHidden/>
          </w:rPr>
          <w:tab/>
        </w:r>
        <w:r>
          <w:rPr>
            <w:noProof/>
            <w:webHidden/>
          </w:rPr>
          <w:fldChar w:fldCharType="begin"/>
        </w:r>
        <w:r>
          <w:rPr>
            <w:noProof/>
            <w:webHidden/>
          </w:rPr>
          <w:instrText xml:space="preserve"> PAGEREF _Toc69879716 \h </w:instrText>
        </w:r>
        <w:r>
          <w:rPr>
            <w:noProof/>
            <w:webHidden/>
          </w:rPr>
        </w:r>
        <w:r>
          <w:rPr>
            <w:noProof/>
            <w:webHidden/>
          </w:rPr>
          <w:fldChar w:fldCharType="separate"/>
        </w:r>
        <w:r>
          <w:rPr>
            <w:noProof/>
            <w:webHidden/>
          </w:rPr>
          <w:t>792</w:t>
        </w:r>
        <w:r>
          <w:rPr>
            <w:noProof/>
            <w:webHidden/>
          </w:rPr>
          <w:fldChar w:fldCharType="end"/>
        </w:r>
      </w:hyperlink>
    </w:p>
    <w:p w:rsidR="00B42EF3" w:rsidRDefault="00B42EF3">
      <w:pPr>
        <w:pStyle w:val="TOC5"/>
        <w:rPr>
          <w:rFonts w:asciiTheme="minorHAnsi" w:eastAsiaTheme="minorEastAsia" w:hAnsiTheme="minorHAnsi" w:cstheme="minorBidi"/>
          <w:noProof/>
          <w:sz w:val="22"/>
          <w:szCs w:val="22"/>
        </w:rPr>
      </w:pPr>
      <w:hyperlink w:anchor="_Toc69879717" w:history="1">
        <w:r w:rsidRPr="00CC53E5">
          <w:rPr>
            <w:rStyle w:val="Hyperlink"/>
            <w:noProof/>
          </w:rPr>
          <w:t>3.1.3.1.2</w:t>
        </w:r>
        <w:r>
          <w:rPr>
            <w:rFonts w:asciiTheme="minorHAnsi" w:eastAsiaTheme="minorEastAsia" w:hAnsiTheme="minorHAnsi" w:cstheme="minorBidi"/>
            <w:noProof/>
            <w:sz w:val="22"/>
            <w:szCs w:val="22"/>
          </w:rPr>
          <w:tab/>
        </w:r>
        <w:r w:rsidRPr="00CC53E5">
          <w:rPr>
            <w:rStyle w:val="Hyperlink"/>
            <w:noProof/>
          </w:rPr>
          <w:t>fldSimple (Ruby Simple Field)</w:t>
        </w:r>
        <w:r>
          <w:rPr>
            <w:noProof/>
            <w:webHidden/>
          </w:rPr>
          <w:tab/>
        </w:r>
        <w:r>
          <w:rPr>
            <w:noProof/>
            <w:webHidden/>
          </w:rPr>
          <w:fldChar w:fldCharType="begin"/>
        </w:r>
        <w:r>
          <w:rPr>
            <w:noProof/>
            <w:webHidden/>
          </w:rPr>
          <w:instrText xml:space="preserve"> PAGEREF _Toc69879717 \h </w:instrText>
        </w:r>
        <w:r>
          <w:rPr>
            <w:noProof/>
            <w:webHidden/>
          </w:rPr>
        </w:r>
        <w:r>
          <w:rPr>
            <w:noProof/>
            <w:webHidden/>
          </w:rPr>
          <w:fldChar w:fldCharType="separate"/>
        </w:r>
        <w:r>
          <w:rPr>
            <w:noProof/>
            <w:webHidden/>
          </w:rPr>
          <w:t>796</w:t>
        </w:r>
        <w:r>
          <w:rPr>
            <w:noProof/>
            <w:webHidden/>
          </w:rPr>
          <w:fldChar w:fldCharType="end"/>
        </w:r>
      </w:hyperlink>
    </w:p>
    <w:p w:rsidR="00B42EF3" w:rsidRDefault="00B42EF3">
      <w:pPr>
        <w:pStyle w:val="TOC5"/>
        <w:rPr>
          <w:rFonts w:asciiTheme="minorHAnsi" w:eastAsiaTheme="minorEastAsia" w:hAnsiTheme="minorHAnsi" w:cstheme="minorBidi"/>
          <w:noProof/>
          <w:sz w:val="22"/>
          <w:szCs w:val="22"/>
        </w:rPr>
      </w:pPr>
      <w:hyperlink w:anchor="_Toc69879718" w:history="1">
        <w:r w:rsidRPr="00CC53E5">
          <w:rPr>
            <w:rStyle w:val="Hyperlink"/>
            <w:noProof/>
          </w:rPr>
          <w:t>3.1.3.1.3</w:t>
        </w:r>
        <w:r>
          <w:rPr>
            <w:rFonts w:asciiTheme="minorHAnsi" w:eastAsiaTheme="minorEastAsia" w:hAnsiTheme="minorHAnsi" w:cstheme="minorBidi"/>
            <w:noProof/>
            <w:sz w:val="22"/>
            <w:szCs w:val="22"/>
          </w:rPr>
          <w:tab/>
        </w:r>
        <w:r w:rsidRPr="00CC53E5">
          <w:rPr>
            <w:rStyle w:val="Hyperlink"/>
            <w:noProof/>
          </w:rPr>
          <w:t>hyperlink (Ruby Hyperlink)</w:t>
        </w:r>
        <w:r>
          <w:rPr>
            <w:noProof/>
            <w:webHidden/>
          </w:rPr>
          <w:tab/>
        </w:r>
        <w:r>
          <w:rPr>
            <w:noProof/>
            <w:webHidden/>
          </w:rPr>
          <w:fldChar w:fldCharType="begin"/>
        </w:r>
        <w:r>
          <w:rPr>
            <w:noProof/>
            <w:webHidden/>
          </w:rPr>
          <w:instrText xml:space="preserve"> PAGEREF _Toc69879718 \h </w:instrText>
        </w:r>
        <w:r>
          <w:rPr>
            <w:noProof/>
            <w:webHidden/>
          </w:rPr>
        </w:r>
        <w:r>
          <w:rPr>
            <w:noProof/>
            <w:webHidden/>
          </w:rPr>
          <w:fldChar w:fldCharType="separate"/>
        </w:r>
        <w:r>
          <w:rPr>
            <w:noProof/>
            <w:webHidden/>
          </w:rPr>
          <w:t>800</w:t>
        </w:r>
        <w:r>
          <w:rPr>
            <w:noProof/>
            <w:webHidden/>
          </w:rPr>
          <w:fldChar w:fldCharType="end"/>
        </w:r>
      </w:hyperlink>
    </w:p>
    <w:p w:rsidR="00B42EF3" w:rsidRDefault="00B42EF3">
      <w:pPr>
        <w:pStyle w:val="TOC5"/>
        <w:rPr>
          <w:rFonts w:asciiTheme="minorHAnsi" w:eastAsiaTheme="minorEastAsia" w:hAnsiTheme="minorHAnsi" w:cstheme="minorBidi"/>
          <w:noProof/>
          <w:sz w:val="22"/>
          <w:szCs w:val="22"/>
        </w:rPr>
      </w:pPr>
      <w:hyperlink w:anchor="_Toc69879719" w:history="1">
        <w:r w:rsidRPr="00CC53E5">
          <w:rPr>
            <w:rStyle w:val="Hyperlink"/>
            <w:noProof/>
          </w:rPr>
          <w:t>3.1.3.1.4</w:t>
        </w:r>
        <w:r>
          <w:rPr>
            <w:rFonts w:asciiTheme="minorHAnsi" w:eastAsiaTheme="minorEastAsia" w:hAnsiTheme="minorHAnsi" w:cstheme="minorBidi"/>
            <w:noProof/>
            <w:sz w:val="22"/>
            <w:szCs w:val="22"/>
          </w:rPr>
          <w:tab/>
        </w:r>
        <w:r w:rsidRPr="00CC53E5">
          <w:rPr>
            <w:rStyle w:val="Hyperlink"/>
            <w:noProof/>
          </w:rPr>
          <w:t>moveFrom (Move Source Math Control Character)</w:t>
        </w:r>
        <w:r>
          <w:rPr>
            <w:noProof/>
            <w:webHidden/>
          </w:rPr>
          <w:tab/>
        </w:r>
        <w:r>
          <w:rPr>
            <w:noProof/>
            <w:webHidden/>
          </w:rPr>
          <w:fldChar w:fldCharType="begin"/>
        </w:r>
        <w:r>
          <w:rPr>
            <w:noProof/>
            <w:webHidden/>
          </w:rPr>
          <w:instrText xml:space="preserve"> PAGEREF _Toc69879719 \h </w:instrText>
        </w:r>
        <w:r>
          <w:rPr>
            <w:noProof/>
            <w:webHidden/>
          </w:rPr>
        </w:r>
        <w:r>
          <w:rPr>
            <w:noProof/>
            <w:webHidden/>
          </w:rPr>
          <w:fldChar w:fldCharType="separate"/>
        </w:r>
        <w:r>
          <w:rPr>
            <w:noProof/>
            <w:webHidden/>
          </w:rPr>
          <w:t>807</w:t>
        </w:r>
        <w:r>
          <w:rPr>
            <w:noProof/>
            <w:webHidden/>
          </w:rPr>
          <w:fldChar w:fldCharType="end"/>
        </w:r>
      </w:hyperlink>
    </w:p>
    <w:p w:rsidR="00B42EF3" w:rsidRDefault="00B42EF3">
      <w:pPr>
        <w:pStyle w:val="TOC5"/>
        <w:rPr>
          <w:rFonts w:asciiTheme="minorHAnsi" w:eastAsiaTheme="minorEastAsia" w:hAnsiTheme="minorHAnsi" w:cstheme="minorBidi"/>
          <w:noProof/>
          <w:sz w:val="22"/>
          <w:szCs w:val="22"/>
        </w:rPr>
      </w:pPr>
      <w:hyperlink w:anchor="_Toc69879720" w:history="1">
        <w:r w:rsidRPr="00CC53E5">
          <w:rPr>
            <w:rStyle w:val="Hyperlink"/>
            <w:noProof/>
          </w:rPr>
          <w:t>3.1.3.1.5</w:t>
        </w:r>
        <w:r>
          <w:rPr>
            <w:rFonts w:asciiTheme="minorHAnsi" w:eastAsiaTheme="minorEastAsia" w:hAnsiTheme="minorHAnsi" w:cstheme="minorBidi"/>
            <w:noProof/>
            <w:sz w:val="22"/>
            <w:szCs w:val="22"/>
          </w:rPr>
          <w:tab/>
        </w:r>
        <w:r w:rsidRPr="00CC53E5">
          <w:rPr>
            <w:rStyle w:val="Hyperlink"/>
            <w:noProof/>
          </w:rPr>
          <w:t>moveTo (Move Destination Math Control Character)</w:t>
        </w:r>
        <w:r>
          <w:rPr>
            <w:noProof/>
            <w:webHidden/>
          </w:rPr>
          <w:tab/>
        </w:r>
        <w:r>
          <w:rPr>
            <w:noProof/>
            <w:webHidden/>
          </w:rPr>
          <w:fldChar w:fldCharType="begin"/>
        </w:r>
        <w:r>
          <w:rPr>
            <w:noProof/>
            <w:webHidden/>
          </w:rPr>
          <w:instrText xml:space="preserve"> PAGEREF _Toc69879720 \h </w:instrText>
        </w:r>
        <w:r>
          <w:rPr>
            <w:noProof/>
            <w:webHidden/>
          </w:rPr>
        </w:r>
        <w:r>
          <w:rPr>
            <w:noProof/>
            <w:webHidden/>
          </w:rPr>
          <w:fldChar w:fldCharType="separate"/>
        </w:r>
        <w:r>
          <w:rPr>
            <w:noProof/>
            <w:webHidden/>
          </w:rPr>
          <w:t>809</w:t>
        </w:r>
        <w:r>
          <w:rPr>
            <w:noProof/>
            <w:webHidden/>
          </w:rPr>
          <w:fldChar w:fldCharType="end"/>
        </w:r>
      </w:hyperlink>
    </w:p>
    <w:p w:rsidR="00B42EF3" w:rsidRDefault="00B42EF3">
      <w:pPr>
        <w:pStyle w:val="TOC5"/>
        <w:rPr>
          <w:rFonts w:asciiTheme="minorHAnsi" w:eastAsiaTheme="minorEastAsia" w:hAnsiTheme="minorHAnsi" w:cstheme="minorBidi"/>
          <w:noProof/>
          <w:sz w:val="22"/>
          <w:szCs w:val="22"/>
        </w:rPr>
      </w:pPr>
      <w:hyperlink w:anchor="_Toc69879721" w:history="1">
        <w:r w:rsidRPr="00CC53E5">
          <w:rPr>
            <w:rStyle w:val="Hyperlink"/>
            <w:noProof/>
          </w:rPr>
          <w:t>3.1.3.1.6</w:t>
        </w:r>
        <w:r>
          <w:rPr>
            <w:rFonts w:asciiTheme="minorHAnsi" w:eastAsiaTheme="minorEastAsia" w:hAnsiTheme="minorHAnsi" w:cstheme="minorBidi"/>
            <w:noProof/>
            <w:sz w:val="22"/>
            <w:szCs w:val="22"/>
          </w:rPr>
          <w:tab/>
        </w:r>
        <w:r w:rsidRPr="00CC53E5">
          <w:rPr>
            <w:rStyle w:val="Hyperlink"/>
            <w:noProof/>
          </w:rPr>
          <w:t>sdt (Ruby Inline-Level Structured Document Tag)</w:t>
        </w:r>
        <w:r>
          <w:rPr>
            <w:noProof/>
            <w:webHidden/>
          </w:rPr>
          <w:tab/>
        </w:r>
        <w:r>
          <w:rPr>
            <w:noProof/>
            <w:webHidden/>
          </w:rPr>
          <w:fldChar w:fldCharType="begin"/>
        </w:r>
        <w:r>
          <w:rPr>
            <w:noProof/>
            <w:webHidden/>
          </w:rPr>
          <w:instrText xml:space="preserve"> PAGEREF _Toc69879721 \h </w:instrText>
        </w:r>
        <w:r>
          <w:rPr>
            <w:noProof/>
            <w:webHidden/>
          </w:rPr>
        </w:r>
        <w:r>
          <w:rPr>
            <w:noProof/>
            <w:webHidden/>
          </w:rPr>
          <w:fldChar w:fldCharType="separate"/>
        </w:r>
        <w:r>
          <w:rPr>
            <w:noProof/>
            <w:webHidden/>
          </w:rPr>
          <w:t>810</w:t>
        </w:r>
        <w:r>
          <w:rPr>
            <w:noProof/>
            <w:webHidden/>
          </w:rPr>
          <w:fldChar w:fldCharType="end"/>
        </w:r>
      </w:hyperlink>
    </w:p>
    <w:p w:rsidR="00B42EF3" w:rsidRDefault="00B42EF3">
      <w:pPr>
        <w:pStyle w:val="TOC5"/>
        <w:rPr>
          <w:rFonts w:asciiTheme="minorHAnsi" w:eastAsiaTheme="minorEastAsia" w:hAnsiTheme="minorHAnsi" w:cstheme="minorBidi"/>
          <w:noProof/>
          <w:sz w:val="22"/>
          <w:szCs w:val="22"/>
        </w:rPr>
      </w:pPr>
      <w:hyperlink w:anchor="_Toc69879722" w:history="1">
        <w:r w:rsidRPr="00CC53E5">
          <w:rPr>
            <w:rStyle w:val="Hyperlink"/>
            <w:noProof/>
          </w:rPr>
          <w:t>3.1.3.1.7</w:t>
        </w:r>
        <w:r>
          <w:rPr>
            <w:rFonts w:asciiTheme="minorHAnsi" w:eastAsiaTheme="minorEastAsia" w:hAnsiTheme="minorHAnsi" w:cstheme="minorBidi"/>
            <w:noProof/>
            <w:sz w:val="22"/>
            <w:szCs w:val="22"/>
          </w:rPr>
          <w:tab/>
        </w:r>
        <w:r w:rsidRPr="00CC53E5">
          <w:rPr>
            <w:rStyle w:val="Hyperlink"/>
            <w:noProof/>
          </w:rPr>
          <w:t>sdtContent (Ruby Inline-Level Structured Document Tag Content)</w:t>
        </w:r>
        <w:r>
          <w:rPr>
            <w:noProof/>
            <w:webHidden/>
          </w:rPr>
          <w:tab/>
        </w:r>
        <w:r>
          <w:rPr>
            <w:noProof/>
            <w:webHidden/>
          </w:rPr>
          <w:fldChar w:fldCharType="begin"/>
        </w:r>
        <w:r>
          <w:rPr>
            <w:noProof/>
            <w:webHidden/>
          </w:rPr>
          <w:instrText xml:space="preserve"> PAGEREF _Toc69879722 \h </w:instrText>
        </w:r>
        <w:r>
          <w:rPr>
            <w:noProof/>
            <w:webHidden/>
          </w:rPr>
        </w:r>
        <w:r>
          <w:rPr>
            <w:noProof/>
            <w:webHidden/>
          </w:rPr>
          <w:fldChar w:fldCharType="separate"/>
        </w:r>
        <w:r>
          <w:rPr>
            <w:noProof/>
            <w:webHidden/>
          </w:rPr>
          <w:t>812</w:t>
        </w:r>
        <w:r>
          <w:rPr>
            <w:noProof/>
            <w:webHidden/>
          </w:rPr>
          <w:fldChar w:fldCharType="end"/>
        </w:r>
      </w:hyperlink>
    </w:p>
    <w:p w:rsidR="00B42EF3" w:rsidRDefault="00B42EF3">
      <w:pPr>
        <w:pStyle w:val="TOC4"/>
        <w:rPr>
          <w:rFonts w:asciiTheme="minorHAnsi" w:eastAsiaTheme="minorEastAsia" w:hAnsiTheme="minorHAnsi" w:cstheme="minorBidi"/>
          <w:noProof/>
          <w:sz w:val="22"/>
          <w:szCs w:val="22"/>
        </w:rPr>
      </w:pPr>
      <w:hyperlink w:anchor="_Toc69879723" w:history="1">
        <w:r w:rsidRPr="00CC53E5">
          <w:rPr>
            <w:rStyle w:val="Hyperlink"/>
            <w:noProof/>
          </w:rPr>
          <w:t>3.1.3.2</w:t>
        </w:r>
        <w:r>
          <w:rPr>
            <w:rFonts w:asciiTheme="minorHAnsi" w:eastAsiaTheme="minorEastAsia" w:hAnsiTheme="minorHAnsi" w:cstheme="minorBidi"/>
            <w:noProof/>
            <w:sz w:val="22"/>
            <w:szCs w:val="22"/>
          </w:rPr>
          <w:tab/>
        </w:r>
        <w:r w:rsidRPr="00CC53E5">
          <w:rPr>
            <w:rStyle w:val="Hyperlink"/>
            <w:noProof/>
          </w:rPr>
          <w:t>Additional Fields</w:t>
        </w:r>
        <w:r>
          <w:rPr>
            <w:noProof/>
            <w:webHidden/>
          </w:rPr>
          <w:tab/>
        </w:r>
        <w:r>
          <w:rPr>
            <w:noProof/>
            <w:webHidden/>
          </w:rPr>
          <w:fldChar w:fldCharType="begin"/>
        </w:r>
        <w:r>
          <w:rPr>
            <w:noProof/>
            <w:webHidden/>
          </w:rPr>
          <w:instrText xml:space="preserve"> PAGEREF _Toc69879723 \h </w:instrText>
        </w:r>
        <w:r>
          <w:rPr>
            <w:noProof/>
            <w:webHidden/>
          </w:rPr>
        </w:r>
        <w:r>
          <w:rPr>
            <w:noProof/>
            <w:webHidden/>
          </w:rPr>
          <w:fldChar w:fldCharType="separate"/>
        </w:r>
        <w:r>
          <w:rPr>
            <w:noProof/>
            <w:webHidden/>
          </w:rPr>
          <w:t>816</w:t>
        </w:r>
        <w:r>
          <w:rPr>
            <w:noProof/>
            <w:webHidden/>
          </w:rPr>
          <w:fldChar w:fldCharType="end"/>
        </w:r>
      </w:hyperlink>
    </w:p>
    <w:p w:rsidR="00B42EF3" w:rsidRDefault="00B42EF3">
      <w:pPr>
        <w:pStyle w:val="TOC5"/>
        <w:rPr>
          <w:rFonts w:asciiTheme="minorHAnsi" w:eastAsiaTheme="minorEastAsia" w:hAnsiTheme="minorHAnsi" w:cstheme="minorBidi"/>
          <w:noProof/>
          <w:sz w:val="22"/>
          <w:szCs w:val="22"/>
        </w:rPr>
      </w:pPr>
      <w:hyperlink w:anchor="_Toc69879724" w:history="1">
        <w:r w:rsidRPr="00CC53E5">
          <w:rPr>
            <w:rStyle w:val="Hyperlink"/>
            <w:noProof/>
          </w:rPr>
          <w:t>3.1.3.2.1</w:t>
        </w:r>
        <w:r>
          <w:rPr>
            <w:rFonts w:asciiTheme="minorHAnsi" w:eastAsiaTheme="minorEastAsia" w:hAnsiTheme="minorHAnsi" w:cstheme="minorBidi"/>
            <w:noProof/>
            <w:sz w:val="22"/>
            <w:szCs w:val="22"/>
          </w:rPr>
          <w:tab/>
        </w:r>
        <w:r w:rsidRPr="00CC53E5">
          <w:rPr>
            <w:rStyle w:val="Hyperlink"/>
            <w:noProof/>
          </w:rPr>
          <w:t>DDE</w:t>
        </w:r>
        <w:r>
          <w:rPr>
            <w:noProof/>
            <w:webHidden/>
          </w:rPr>
          <w:tab/>
        </w:r>
        <w:r>
          <w:rPr>
            <w:noProof/>
            <w:webHidden/>
          </w:rPr>
          <w:fldChar w:fldCharType="begin"/>
        </w:r>
        <w:r>
          <w:rPr>
            <w:noProof/>
            <w:webHidden/>
          </w:rPr>
          <w:instrText xml:space="preserve"> PAGEREF _Toc69879724 \h </w:instrText>
        </w:r>
        <w:r>
          <w:rPr>
            <w:noProof/>
            <w:webHidden/>
          </w:rPr>
        </w:r>
        <w:r>
          <w:rPr>
            <w:noProof/>
            <w:webHidden/>
          </w:rPr>
          <w:fldChar w:fldCharType="separate"/>
        </w:r>
        <w:r>
          <w:rPr>
            <w:noProof/>
            <w:webHidden/>
          </w:rPr>
          <w:t>816</w:t>
        </w:r>
        <w:r>
          <w:rPr>
            <w:noProof/>
            <w:webHidden/>
          </w:rPr>
          <w:fldChar w:fldCharType="end"/>
        </w:r>
      </w:hyperlink>
    </w:p>
    <w:p w:rsidR="00B42EF3" w:rsidRDefault="00B42EF3">
      <w:pPr>
        <w:pStyle w:val="TOC5"/>
        <w:rPr>
          <w:rFonts w:asciiTheme="minorHAnsi" w:eastAsiaTheme="minorEastAsia" w:hAnsiTheme="minorHAnsi" w:cstheme="minorBidi"/>
          <w:noProof/>
          <w:sz w:val="22"/>
          <w:szCs w:val="22"/>
        </w:rPr>
      </w:pPr>
      <w:hyperlink w:anchor="_Toc69879725" w:history="1">
        <w:r w:rsidRPr="00CC53E5">
          <w:rPr>
            <w:rStyle w:val="Hyperlink"/>
            <w:noProof/>
          </w:rPr>
          <w:t>3.1.3.2.2</w:t>
        </w:r>
        <w:r>
          <w:rPr>
            <w:rFonts w:asciiTheme="minorHAnsi" w:eastAsiaTheme="minorEastAsia" w:hAnsiTheme="minorHAnsi" w:cstheme="minorBidi"/>
            <w:noProof/>
            <w:sz w:val="22"/>
            <w:szCs w:val="22"/>
          </w:rPr>
          <w:tab/>
        </w:r>
        <w:r w:rsidRPr="00CC53E5">
          <w:rPr>
            <w:rStyle w:val="Hyperlink"/>
            <w:noProof/>
          </w:rPr>
          <w:t>DDEAUTO</w:t>
        </w:r>
        <w:r>
          <w:rPr>
            <w:noProof/>
            <w:webHidden/>
          </w:rPr>
          <w:tab/>
        </w:r>
        <w:r>
          <w:rPr>
            <w:noProof/>
            <w:webHidden/>
          </w:rPr>
          <w:fldChar w:fldCharType="begin"/>
        </w:r>
        <w:r>
          <w:rPr>
            <w:noProof/>
            <w:webHidden/>
          </w:rPr>
          <w:instrText xml:space="preserve"> PAGEREF _Toc69879725 \h </w:instrText>
        </w:r>
        <w:r>
          <w:rPr>
            <w:noProof/>
            <w:webHidden/>
          </w:rPr>
        </w:r>
        <w:r>
          <w:rPr>
            <w:noProof/>
            <w:webHidden/>
          </w:rPr>
          <w:fldChar w:fldCharType="separate"/>
        </w:r>
        <w:r>
          <w:rPr>
            <w:noProof/>
            <w:webHidden/>
          </w:rPr>
          <w:t>817</w:t>
        </w:r>
        <w:r>
          <w:rPr>
            <w:noProof/>
            <w:webHidden/>
          </w:rPr>
          <w:fldChar w:fldCharType="end"/>
        </w:r>
      </w:hyperlink>
    </w:p>
    <w:p w:rsidR="00B42EF3" w:rsidRDefault="00B42EF3">
      <w:pPr>
        <w:pStyle w:val="TOC5"/>
        <w:rPr>
          <w:rFonts w:asciiTheme="minorHAnsi" w:eastAsiaTheme="minorEastAsia" w:hAnsiTheme="minorHAnsi" w:cstheme="minorBidi"/>
          <w:noProof/>
          <w:sz w:val="22"/>
          <w:szCs w:val="22"/>
        </w:rPr>
      </w:pPr>
      <w:hyperlink w:anchor="_Toc69879726" w:history="1">
        <w:r w:rsidRPr="00CC53E5">
          <w:rPr>
            <w:rStyle w:val="Hyperlink"/>
            <w:noProof/>
          </w:rPr>
          <w:t>3.1.3.2.3</w:t>
        </w:r>
        <w:r>
          <w:rPr>
            <w:rFonts w:asciiTheme="minorHAnsi" w:eastAsiaTheme="minorEastAsia" w:hAnsiTheme="minorHAnsi" w:cstheme="minorBidi"/>
            <w:noProof/>
            <w:sz w:val="22"/>
            <w:szCs w:val="22"/>
          </w:rPr>
          <w:tab/>
        </w:r>
        <w:r w:rsidRPr="00CC53E5">
          <w:rPr>
            <w:rStyle w:val="Hyperlink"/>
            <w:noProof/>
          </w:rPr>
          <w:t>GLOSSARY</w:t>
        </w:r>
        <w:r>
          <w:rPr>
            <w:noProof/>
            <w:webHidden/>
          </w:rPr>
          <w:tab/>
        </w:r>
        <w:r>
          <w:rPr>
            <w:noProof/>
            <w:webHidden/>
          </w:rPr>
          <w:fldChar w:fldCharType="begin"/>
        </w:r>
        <w:r>
          <w:rPr>
            <w:noProof/>
            <w:webHidden/>
          </w:rPr>
          <w:instrText xml:space="preserve"> PAGEREF _Toc69879726 \h </w:instrText>
        </w:r>
        <w:r>
          <w:rPr>
            <w:noProof/>
            <w:webHidden/>
          </w:rPr>
        </w:r>
        <w:r>
          <w:rPr>
            <w:noProof/>
            <w:webHidden/>
          </w:rPr>
          <w:fldChar w:fldCharType="separate"/>
        </w:r>
        <w:r>
          <w:rPr>
            <w:noProof/>
            <w:webHidden/>
          </w:rPr>
          <w:t>818</w:t>
        </w:r>
        <w:r>
          <w:rPr>
            <w:noProof/>
            <w:webHidden/>
          </w:rPr>
          <w:fldChar w:fldCharType="end"/>
        </w:r>
      </w:hyperlink>
    </w:p>
    <w:p w:rsidR="00B42EF3" w:rsidRDefault="00B42EF3">
      <w:pPr>
        <w:pStyle w:val="TOC5"/>
        <w:rPr>
          <w:rFonts w:asciiTheme="minorHAnsi" w:eastAsiaTheme="minorEastAsia" w:hAnsiTheme="minorHAnsi" w:cstheme="minorBidi"/>
          <w:noProof/>
          <w:sz w:val="22"/>
          <w:szCs w:val="22"/>
        </w:rPr>
      </w:pPr>
      <w:hyperlink w:anchor="_Toc69879727" w:history="1">
        <w:r w:rsidRPr="00CC53E5">
          <w:rPr>
            <w:rStyle w:val="Hyperlink"/>
            <w:noProof/>
          </w:rPr>
          <w:t>3.1.3.2.4</w:t>
        </w:r>
        <w:r>
          <w:rPr>
            <w:rFonts w:asciiTheme="minorHAnsi" w:eastAsiaTheme="minorEastAsia" w:hAnsiTheme="minorHAnsi" w:cstheme="minorBidi"/>
            <w:noProof/>
            <w:sz w:val="22"/>
            <w:szCs w:val="22"/>
          </w:rPr>
          <w:tab/>
        </w:r>
        <w:r w:rsidRPr="00CC53E5">
          <w:rPr>
            <w:rStyle w:val="Hyperlink"/>
            <w:noProof/>
          </w:rPr>
          <w:t>IMPORT</w:t>
        </w:r>
        <w:r>
          <w:rPr>
            <w:noProof/>
            <w:webHidden/>
          </w:rPr>
          <w:tab/>
        </w:r>
        <w:r>
          <w:rPr>
            <w:noProof/>
            <w:webHidden/>
          </w:rPr>
          <w:fldChar w:fldCharType="begin"/>
        </w:r>
        <w:r>
          <w:rPr>
            <w:noProof/>
            <w:webHidden/>
          </w:rPr>
          <w:instrText xml:space="preserve"> PAGEREF _Toc69879727 \h </w:instrText>
        </w:r>
        <w:r>
          <w:rPr>
            <w:noProof/>
            <w:webHidden/>
          </w:rPr>
        </w:r>
        <w:r>
          <w:rPr>
            <w:noProof/>
            <w:webHidden/>
          </w:rPr>
          <w:fldChar w:fldCharType="separate"/>
        </w:r>
        <w:r>
          <w:rPr>
            <w:noProof/>
            <w:webHidden/>
          </w:rPr>
          <w:t>819</w:t>
        </w:r>
        <w:r>
          <w:rPr>
            <w:noProof/>
            <w:webHidden/>
          </w:rPr>
          <w:fldChar w:fldCharType="end"/>
        </w:r>
      </w:hyperlink>
    </w:p>
    <w:p w:rsidR="00B42EF3" w:rsidRDefault="00B42EF3">
      <w:pPr>
        <w:pStyle w:val="TOC5"/>
        <w:rPr>
          <w:rFonts w:asciiTheme="minorHAnsi" w:eastAsiaTheme="minorEastAsia" w:hAnsiTheme="minorHAnsi" w:cstheme="minorBidi"/>
          <w:noProof/>
          <w:sz w:val="22"/>
          <w:szCs w:val="22"/>
        </w:rPr>
      </w:pPr>
      <w:hyperlink w:anchor="_Toc69879728" w:history="1">
        <w:r w:rsidRPr="00CC53E5">
          <w:rPr>
            <w:rStyle w:val="Hyperlink"/>
            <w:noProof/>
          </w:rPr>
          <w:t>3.1.3.2.5</w:t>
        </w:r>
        <w:r>
          <w:rPr>
            <w:rFonts w:asciiTheme="minorHAnsi" w:eastAsiaTheme="minorEastAsia" w:hAnsiTheme="minorHAnsi" w:cstheme="minorBidi"/>
            <w:noProof/>
            <w:sz w:val="22"/>
            <w:szCs w:val="22"/>
          </w:rPr>
          <w:tab/>
        </w:r>
        <w:r w:rsidRPr="00CC53E5">
          <w:rPr>
            <w:rStyle w:val="Hyperlink"/>
            <w:noProof/>
          </w:rPr>
          <w:t>INCLUDE</w:t>
        </w:r>
        <w:r>
          <w:rPr>
            <w:noProof/>
            <w:webHidden/>
          </w:rPr>
          <w:tab/>
        </w:r>
        <w:r>
          <w:rPr>
            <w:noProof/>
            <w:webHidden/>
          </w:rPr>
          <w:fldChar w:fldCharType="begin"/>
        </w:r>
        <w:r>
          <w:rPr>
            <w:noProof/>
            <w:webHidden/>
          </w:rPr>
          <w:instrText xml:space="preserve"> PAGEREF _Toc69879728 \h </w:instrText>
        </w:r>
        <w:r>
          <w:rPr>
            <w:noProof/>
            <w:webHidden/>
          </w:rPr>
        </w:r>
        <w:r>
          <w:rPr>
            <w:noProof/>
            <w:webHidden/>
          </w:rPr>
          <w:fldChar w:fldCharType="separate"/>
        </w:r>
        <w:r>
          <w:rPr>
            <w:noProof/>
            <w:webHidden/>
          </w:rPr>
          <w:t>819</w:t>
        </w:r>
        <w:r>
          <w:rPr>
            <w:noProof/>
            <w:webHidden/>
          </w:rPr>
          <w:fldChar w:fldCharType="end"/>
        </w:r>
      </w:hyperlink>
    </w:p>
    <w:p w:rsidR="00B42EF3" w:rsidRDefault="00B42EF3">
      <w:pPr>
        <w:pStyle w:val="TOC5"/>
        <w:rPr>
          <w:rFonts w:asciiTheme="minorHAnsi" w:eastAsiaTheme="minorEastAsia" w:hAnsiTheme="minorHAnsi" w:cstheme="minorBidi"/>
          <w:noProof/>
          <w:sz w:val="22"/>
          <w:szCs w:val="22"/>
        </w:rPr>
      </w:pPr>
      <w:hyperlink w:anchor="_Toc69879729" w:history="1">
        <w:r w:rsidRPr="00CC53E5">
          <w:rPr>
            <w:rStyle w:val="Hyperlink"/>
            <w:noProof/>
          </w:rPr>
          <w:t>3.1.3.2.6</w:t>
        </w:r>
        <w:r>
          <w:rPr>
            <w:rFonts w:asciiTheme="minorHAnsi" w:eastAsiaTheme="minorEastAsia" w:hAnsiTheme="minorHAnsi" w:cstheme="minorBidi"/>
            <w:noProof/>
            <w:sz w:val="22"/>
            <w:szCs w:val="22"/>
          </w:rPr>
          <w:tab/>
        </w:r>
        <w:r w:rsidRPr="00CC53E5">
          <w:rPr>
            <w:rStyle w:val="Hyperlink"/>
            <w:noProof/>
          </w:rPr>
          <w:t>SHAPE</w:t>
        </w:r>
        <w:r>
          <w:rPr>
            <w:noProof/>
            <w:webHidden/>
          </w:rPr>
          <w:tab/>
        </w:r>
        <w:r>
          <w:rPr>
            <w:noProof/>
            <w:webHidden/>
          </w:rPr>
          <w:fldChar w:fldCharType="begin"/>
        </w:r>
        <w:r>
          <w:rPr>
            <w:noProof/>
            <w:webHidden/>
          </w:rPr>
          <w:instrText xml:space="preserve"> PAGEREF _Toc69879729 \h </w:instrText>
        </w:r>
        <w:r>
          <w:rPr>
            <w:noProof/>
            <w:webHidden/>
          </w:rPr>
        </w:r>
        <w:r>
          <w:rPr>
            <w:noProof/>
            <w:webHidden/>
          </w:rPr>
          <w:fldChar w:fldCharType="separate"/>
        </w:r>
        <w:r>
          <w:rPr>
            <w:noProof/>
            <w:webHidden/>
          </w:rPr>
          <w:t>820</w:t>
        </w:r>
        <w:r>
          <w:rPr>
            <w:noProof/>
            <w:webHidden/>
          </w:rPr>
          <w:fldChar w:fldCharType="end"/>
        </w:r>
      </w:hyperlink>
    </w:p>
    <w:p w:rsidR="00B42EF3" w:rsidRDefault="00B42EF3">
      <w:pPr>
        <w:pStyle w:val="TOC5"/>
        <w:rPr>
          <w:rFonts w:asciiTheme="minorHAnsi" w:eastAsiaTheme="minorEastAsia" w:hAnsiTheme="minorHAnsi" w:cstheme="minorBidi"/>
          <w:noProof/>
          <w:sz w:val="22"/>
          <w:szCs w:val="22"/>
        </w:rPr>
      </w:pPr>
      <w:hyperlink w:anchor="_Toc69879730" w:history="1">
        <w:r w:rsidRPr="00CC53E5">
          <w:rPr>
            <w:rStyle w:val="Hyperlink"/>
            <w:noProof/>
          </w:rPr>
          <w:t>3.1.3.2.7</w:t>
        </w:r>
        <w:r>
          <w:rPr>
            <w:rFonts w:asciiTheme="minorHAnsi" w:eastAsiaTheme="minorEastAsia" w:hAnsiTheme="minorHAnsi" w:cstheme="minorBidi"/>
            <w:noProof/>
            <w:sz w:val="22"/>
            <w:szCs w:val="22"/>
          </w:rPr>
          <w:tab/>
        </w:r>
        <w:r w:rsidRPr="00CC53E5">
          <w:rPr>
            <w:rStyle w:val="Hyperlink"/>
            <w:noProof/>
          </w:rPr>
          <w:t>DISPLAYBARCODE</w:t>
        </w:r>
        <w:r>
          <w:rPr>
            <w:noProof/>
            <w:webHidden/>
          </w:rPr>
          <w:tab/>
        </w:r>
        <w:r>
          <w:rPr>
            <w:noProof/>
            <w:webHidden/>
          </w:rPr>
          <w:fldChar w:fldCharType="begin"/>
        </w:r>
        <w:r>
          <w:rPr>
            <w:noProof/>
            <w:webHidden/>
          </w:rPr>
          <w:instrText xml:space="preserve"> PAGEREF _Toc69879730 \h </w:instrText>
        </w:r>
        <w:r>
          <w:rPr>
            <w:noProof/>
            <w:webHidden/>
          </w:rPr>
        </w:r>
        <w:r>
          <w:rPr>
            <w:noProof/>
            <w:webHidden/>
          </w:rPr>
          <w:fldChar w:fldCharType="separate"/>
        </w:r>
        <w:r>
          <w:rPr>
            <w:noProof/>
            <w:webHidden/>
          </w:rPr>
          <w:t>820</w:t>
        </w:r>
        <w:r>
          <w:rPr>
            <w:noProof/>
            <w:webHidden/>
          </w:rPr>
          <w:fldChar w:fldCharType="end"/>
        </w:r>
      </w:hyperlink>
    </w:p>
    <w:p w:rsidR="00B42EF3" w:rsidRDefault="00B42EF3">
      <w:pPr>
        <w:pStyle w:val="TOC5"/>
        <w:rPr>
          <w:rFonts w:asciiTheme="minorHAnsi" w:eastAsiaTheme="minorEastAsia" w:hAnsiTheme="minorHAnsi" w:cstheme="minorBidi"/>
          <w:noProof/>
          <w:sz w:val="22"/>
          <w:szCs w:val="22"/>
        </w:rPr>
      </w:pPr>
      <w:hyperlink w:anchor="_Toc69879731" w:history="1">
        <w:r w:rsidRPr="00CC53E5">
          <w:rPr>
            <w:rStyle w:val="Hyperlink"/>
            <w:noProof/>
          </w:rPr>
          <w:t>3.1.3.2.8</w:t>
        </w:r>
        <w:r>
          <w:rPr>
            <w:rFonts w:asciiTheme="minorHAnsi" w:eastAsiaTheme="minorEastAsia" w:hAnsiTheme="minorHAnsi" w:cstheme="minorBidi"/>
            <w:noProof/>
            <w:sz w:val="22"/>
            <w:szCs w:val="22"/>
          </w:rPr>
          <w:tab/>
        </w:r>
        <w:r w:rsidRPr="00CC53E5">
          <w:rPr>
            <w:rStyle w:val="Hyperlink"/>
            <w:noProof/>
          </w:rPr>
          <w:t>MERGEBARCODE</w:t>
        </w:r>
        <w:r>
          <w:rPr>
            <w:noProof/>
            <w:webHidden/>
          </w:rPr>
          <w:tab/>
        </w:r>
        <w:r>
          <w:rPr>
            <w:noProof/>
            <w:webHidden/>
          </w:rPr>
          <w:fldChar w:fldCharType="begin"/>
        </w:r>
        <w:r>
          <w:rPr>
            <w:noProof/>
            <w:webHidden/>
          </w:rPr>
          <w:instrText xml:space="preserve"> PAGEREF _Toc69879731 \h </w:instrText>
        </w:r>
        <w:r>
          <w:rPr>
            <w:noProof/>
            <w:webHidden/>
          </w:rPr>
        </w:r>
        <w:r>
          <w:rPr>
            <w:noProof/>
            <w:webHidden/>
          </w:rPr>
          <w:fldChar w:fldCharType="separate"/>
        </w:r>
        <w:r>
          <w:rPr>
            <w:noProof/>
            <w:webHidden/>
          </w:rPr>
          <w:t>822</w:t>
        </w:r>
        <w:r>
          <w:rPr>
            <w:noProof/>
            <w:webHidden/>
          </w:rPr>
          <w:fldChar w:fldCharType="end"/>
        </w:r>
      </w:hyperlink>
    </w:p>
    <w:p w:rsidR="00B42EF3" w:rsidRDefault="00B42EF3">
      <w:pPr>
        <w:pStyle w:val="TOC4"/>
        <w:rPr>
          <w:rFonts w:asciiTheme="minorHAnsi" w:eastAsiaTheme="minorEastAsia" w:hAnsiTheme="minorHAnsi" w:cstheme="minorBidi"/>
          <w:noProof/>
          <w:sz w:val="22"/>
          <w:szCs w:val="22"/>
        </w:rPr>
      </w:pPr>
      <w:hyperlink w:anchor="_Toc69879732" w:history="1">
        <w:r w:rsidRPr="00CC53E5">
          <w:rPr>
            <w:rStyle w:val="Hyperlink"/>
            <w:noProof/>
          </w:rPr>
          <w:t>3.1.3.3</w:t>
        </w:r>
        <w:r>
          <w:rPr>
            <w:rFonts w:asciiTheme="minorHAnsi" w:eastAsiaTheme="minorEastAsia" w:hAnsiTheme="minorHAnsi" w:cstheme="minorBidi"/>
            <w:noProof/>
            <w:sz w:val="22"/>
            <w:szCs w:val="22"/>
          </w:rPr>
          <w:tab/>
        </w:r>
        <w:r w:rsidRPr="00CC53E5">
          <w:rPr>
            <w:rStyle w:val="Hyperlink"/>
            <w:noProof/>
          </w:rPr>
          <w:t>Simple Types</w:t>
        </w:r>
        <w:r>
          <w:rPr>
            <w:noProof/>
            <w:webHidden/>
          </w:rPr>
          <w:tab/>
        </w:r>
        <w:r>
          <w:rPr>
            <w:noProof/>
            <w:webHidden/>
          </w:rPr>
          <w:fldChar w:fldCharType="begin"/>
        </w:r>
        <w:r>
          <w:rPr>
            <w:noProof/>
            <w:webHidden/>
          </w:rPr>
          <w:instrText xml:space="preserve"> PAGEREF _Toc69879732 \h </w:instrText>
        </w:r>
        <w:r>
          <w:rPr>
            <w:noProof/>
            <w:webHidden/>
          </w:rPr>
        </w:r>
        <w:r>
          <w:rPr>
            <w:noProof/>
            <w:webHidden/>
          </w:rPr>
          <w:fldChar w:fldCharType="separate"/>
        </w:r>
        <w:r>
          <w:rPr>
            <w:noProof/>
            <w:webHidden/>
          </w:rPr>
          <w:t>825</w:t>
        </w:r>
        <w:r>
          <w:rPr>
            <w:noProof/>
            <w:webHidden/>
          </w:rPr>
          <w:fldChar w:fldCharType="end"/>
        </w:r>
      </w:hyperlink>
    </w:p>
    <w:p w:rsidR="00B42EF3" w:rsidRDefault="00B42EF3">
      <w:pPr>
        <w:pStyle w:val="TOC5"/>
        <w:rPr>
          <w:rFonts w:asciiTheme="minorHAnsi" w:eastAsiaTheme="minorEastAsia" w:hAnsiTheme="minorHAnsi" w:cstheme="minorBidi"/>
          <w:noProof/>
          <w:sz w:val="22"/>
          <w:szCs w:val="22"/>
        </w:rPr>
      </w:pPr>
      <w:hyperlink w:anchor="_Toc69879733" w:history="1">
        <w:r w:rsidRPr="00CC53E5">
          <w:rPr>
            <w:rStyle w:val="Hyperlink"/>
            <w:noProof/>
          </w:rPr>
          <w:t>3.1.3.3.1</w:t>
        </w:r>
        <w:r>
          <w:rPr>
            <w:rFonts w:asciiTheme="minorHAnsi" w:eastAsiaTheme="minorEastAsia" w:hAnsiTheme="minorHAnsi" w:cstheme="minorBidi"/>
            <w:noProof/>
            <w:sz w:val="22"/>
            <w:szCs w:val="22"/>
          </w:rPr>
          <w:tab/>
        </w:r>
        <w:r w:rsidRPr="00CC53E5">
          <w:rPr>
            <w:rStyle w:val="Hyperlink"/>
            <w:noProof/>
          </w:rPr>
          <w:t>ST_CustomXmlURI (URI for Custom XML)</w:t>
        </w:r>
        <w:r>
          <w:rPr>
            <w:noProof/>
            <w:webHidden/>
          </w:rPr>
          <w:tab/>
        </w:r>
        <w:r>
          <w:rPr>
            <w:noProof/>
            <w:webHidden/>
          </w:rPr>
          <w:fldChar w:fldCharType="begin"/>
        </w:r>
        <w:r>
          <w:rPr>
            <w:noProof/>
            <w:webHidden/>
          </w:rPr>
          <w:instrText xml:space="preserve"> PAGEREF _Toc69879733 \h </w:instrText>
        </w:r>
        <w:r>
          <w:rPr>
            <w:noProof/>
            <w:webHidden/>
          </w:rPr>
        </w:r>
        <w:r>
          <w:rPr>
            <w:noProof/>
            <w:webHidden/>
          </w:rPr>
          <w:fldChar w:fldCharType="separate"/>
        </w:r>
        <w:r>
          <w:rPr>
            <w:noProof/>
            <w:webHidden/>
          </w:rPr>
          <w:t>825</w:t>
        </w:r>
        <w:r>
          <w:rPr>
            <w:noProof/>
            <w:webHidden/>
          </w:rPr>
          <w:fldChar w:fldCharType="end"/>
        </w:r>
      </w:hyperlink>
    </w:p>
    <w:p w:rsidR="00B42EF3" w:rsidRDefault="00B42EF3">
      <w:pPr>
        <w:pStyle w:val="TOC5"/>
        <w:rPr>
          <w:rFonts w:asciiTheme="minorHAnsi" w:eastAsiaTheme="minorEastAsia" w:hAnsiTheme="minorHAnsi" w:cstheme="minorBidi"/>
          <w:noProof/>
          <w:sz w:val="22"/>
          <w:szCs w:val="22"/>
        </w:rPr>
      </w:pPr>
      <w:hyperlink w:anchor="_Toc69879734" w:history="1">
        <w:r w:rsidRPr="00CC53E5">
          <w:rPr>
            <w:rStyle w:val="Hyperlink"/>
            <w:noProof/>
          </w:rPr>
          <w:t>3.1.3.3.2</w:t>
        </w:r>
        <w:r>
          <w:rPr>
            <w:rFonts w:asciiTheme="minorHAnsi" w:eastAsiaTheme="minorEastAsia" w:hAnsiTheme="minorHAnsi" w:cstheme="minorBidi"/>
            <w:noProof/>
            <w:sz w:val="22"/>
            <w:szCs w:val="22"/>
          </w:rPr>
          <w:tab/>
        </w:r>
        <w:r w:rsidRPr="00CC53E5">
          <w:rPr>
            <w:rStyle w:val="Hyperlink"/>
            <w:noProof/>
          </w:rPr>
          <w:t>ST_DateTime (Standard Date and Time Storage Format)</w:t>
        </w:r>
        <w:r>
          <w:rPr>
            <w:noProof/>
            <w:webHidden/>
          </w:rPr>
          <w:tab/>
        </w:r>
        <w:r>
          <w:rPr>
            <w:noProof/>
            <w:webHidden/>
          </w:rPr>
          <w:fldChar w:fldCharType="begin"/>
        </w:r>
        <w:r>
          <w:rPr>
            <w:noProof/>
            <w:webHidden/>
          </w:rPr>
          <w:instrText xml:space="preserve"> PAGEREF _Toc69879734 \h </w:instrText>
        </w:r>
        <w:r>
          <w:rPr>
            <w:noProof/>
            <w:webHidden/>
          </w:rPr>
        </w:r>
        <w:r>
          <w:rPr>
            <w:noProof/>
            <w:webHidden/>
          </w:rPr>
          <w:fldChar w:fldCharType="separate"/>
        </w:r>
        <w:r>
          <w:rPr>
            <w:noProof/>
            <w:webHidden/>
          </w:rPr>
          <w:t>825</w:t>
        </w:r>
        <w:r>
          <w:rPr>
            <w:noProof/>
            <w:webHidden/>
          </w:rPr>
          <w:fldChar w:fldCharType="end"/>
        </w:r>
      </w:hyperlink>
    </w:p>
    <w:p w:rsidR="00B42EF3" w:rsidRDefault="00B42EF3">
      <w:pPr>
        <w:pStyle w:val="TOC5"/>
        <w:rPr>
          <w:rFonts w:asciiTheme="minorHAnsi" w:eastAsiaTheme="minorEastAsia" w:hAnsiTheme="minorHAnsi" w:cstheme="minorBidi"/>
          <w:noProof/>
          <w:sz w:val="22"/>
          <w:szCs w:val="22"/>
        </w:rPr>
      </w:pPr>
      <w:hyperlink w:anchor="_Toc69879735" w:history="1">
        <w:r w:rsidRPr="00CC53E5">
          <w:rPr>
            <w:rStyle w:val="Hyperlink"/>
            <w:noProof/>
          </w:rPr>
          <w:t>3.1.3.3.3</w:t>
        </w:r>
        <w:r>
          <w:rPr>
            <w:rFonts w:asciiTheme="minorHAnsi" w:eastAsiaTheme="minorEastAsia" w:hAnsiTheme="minorHAnsi" w:cstheme="minorBidi"/>
            <w:noProof/>
            <w:sz w:val="22"/>
            <w:szCs w:val="22"/>
          </w:rPr>
          <w:tab/>
        </w:r>
        <w:r w:rsidRPr="00CC53E5">
          <w:rPr>
            <w:rStyle w:val="Hyperlink"/>
            <w:noProof/>
          </w:rPr>
          <w:t>ST_MarkupId (Annotation Identifier)</w:t>
        </w:r>
        <w:r>
          <w:rPr>
            <w:noProof/>
            <w:webHidden/>
          </w:rPr>
          <w:tab/>
        </w:r>
        <w:r>
          <w:rPr>
            <w:noProof/>
            <w:webHidden/>
          </w:rPr>
          <w:fldChar w:fldCharType="begin"/>
        </w:r>
        <w:r>
          <w:rPr>
            <w:noProof/>
            <w:webHidden/>
          </w:rPr>
          <w:instrText xml:space="preserve"> PAGEREF _Toc69879735 \h </w:instrText>
        </w:r>
        <w:r>
          <w:rPr>
            <w:noProof/>
            <w:webHidden/>
          </w:rPr>
        </w:r>
        <w:r>
          <w:rPr>
            <w:noProof/>
            <w:webHidden/>
          </w:rPr>
          <w:fldChar w:fldCharType="separate"/>
        </w:r>
        <w:r>
          <w:rPr>
            <w:noProof/>
            <w:webHidden/>
          </w:rPr>
          <w:t>826</w:t>
        </w:r>
        <w:r>
          <w:rPr>
            <w:noProof/>
            <w:webHidden/>
          </w:rPr>
          <w:fldChar w:fldCharType="end"/>
        </w:r>
      </w:hyperlink>
    </w:p>
    <w:p w:rsidR="00B42EF3" w:rsidRDefault="00B42EF3">
      <w:pPr>
        <w:pStyle w:val="TOC5"/>
        <w:rPr>
          <w:rFonts w:asciiTheme="minorHAnsi" w:eastAsiaTheme="minorEastAsia" w:hAnsiTheme="minorHAnsi" w:cstheme="minorBidi"/>
          <w:noProof/>
          <w:sz w:val="22"/>
          <w:szCs w:val="22"/>
        </w:rPr>
      </w:pPr>
      <w:hyperlink w:anchor="_Toc69879736" w:history="1">
        <w:r w:rsidRPr="00CC53E5">
          <w:rPr>
            <w:rStyle w:val="Hyperlink"/>
            <w:noProof/>
          </w:rPr>
          <w:t>3.1.3.3.4</w:t>
        </w:r>
        <w:r>
          <w:rPr>
            <w:rFonts w:asciiTheme="minorHAnsi" w:eastAsiaTheme="minorEastAsia" w:hAnsiTheme="minorHAnsi" w:cstheme="minorBidi"/>
            <w:noProof/>
            <w:sz w:val="22"/>
            <w:szCs w:val="22"/>
          </w:rPr>
          <w:tab/>
        </w:r>
        <w:r w:rsidRPr="00CC53E5">
          <w:rPr>
            <w:rStyle w:val="Hyperlink"/>
            <w:noProof/>
          </w:rPr>
          <w:t>ST_NcName255 (Non-colonized Name)</w:t>
        </w:r>
        <w:r>
          <w:rPr>
            <w:noProof/>
            <w:webHidden/>
          </w:rPr>
          <w:tab/>
        </w:r>
        <w:r>
          <w:rPr>
            <w:noProof/>
            <w:webHidden/>
          </w:rPr>
          <w:fldChar w:fldCharType="begin"/>
        </w:r>
        <w:r>
          <w:rPr>
            <w:noProof/>
            <w:webHidden/>
          </w:rPr>
          <w:instrText xml:space="preserve"> PAGEREF _Toc69879736 \h </w:instrText>
        </w:r>
        <w:r>
          <w:rPr>
            <w:noProof/>
            <w:webHidden/>
          </w:rPr>
        </w:r>
        <w:r>
          <w:rPr>
            <w:noProof/>
            <w:webHidden/>
          </w:rPr>
          <w:fldChar w:fldCharType="separate"/>
        </w:r>
        <w:r>
          <w:rPr>
            <w:noProof/>
            <w:webHidden/>
          </w:rPr>
          <w:t>826</w:t>
        </w:r>
        <w:r>
          <w:rPr>
            <w:noProof/>
            <w:webHidden/>
          </w:rPr>
          <w:fldChar w:fldCharType="end"/>
        </w:r>
      </w:hyperlink>
    </w:p>
    <w:p w:rsidR="00B42EF3" w:rsidRDefault="00B42EF3">
      <w:pPr>
        <w:pStyle w:val="TOC5"/>
        <w:rPr>
          <w:rFonts w:asciiTheme="minorHAnsi" w:eastAsiaTheme="minorEastAsia" w:hAnsiTheme="minorHAnsi" w:cstheme="minorBidi"/>
          <w:noProof/>
          <w:sz w:val="22"/>
          <w:szCs w:val="22"/>
        </w:rPr>
      </w:pPr>
      <w:hyperlink w:anchor="_Toc69879737" w:history="1">
        <w:r w:rsidRPr="00CC53E5">
          <w:rPr>
            <w:rStyle w:val="Hyperlink"/>
            <w:noProof/>
          </w:rPr>
          <w:t>3.1.3.3.5</w:t>
        </w:r>
        <w:r>
          <w:rPr>
            <w:rFonts w:asciiTheme="minorHAnsi" w:eastAsiaTheme="minorEastAsia" w:hAnsiTheme="minorHAnsi" w:cstheme="minorBidi"/>
            <w:noProof/>
            <w:sz w:val="22"/>
            <w:szCs w:val="22"/>
          </w:rPr>
          <w:tab/>
        </w:r>
        <w:r w:rsidRPr="00CC53E5">
          <w:rPr>
            <w:rStyle w:val="Hyperlink"/>
            <w:noProof/>
          </w:rPr>
          <w:t>ST_NonNegativeDecimalNumber (Non-Negative Decimal Number Value)</w:t>
        </w:r>
        <w:r>
          <w:rPr>
            <w:noProof/>
            <w:webHidden/>
          </w:rPr>
          <w:tab/>
        </w:r>
        <w:r>
          <w:rPr>
            <w:noProof/>
            <w:webHidden/>
          </w:rPr>
          <w:fldChar w:fldCharType="begin"/>
        </w:r>
        <w:r>
          <w:rPr>
            <w:noProof/>
            <w:webHidden/>
          </w:rPr>
          <w:instrText xml:space="preserve"> PAGEREF _Toc69879737 \h </w:instrText>
        </w:r>
        <w:r>
          <w:rPr>
            <w:noProof/>
            <w:webHidden/>
          </w:rPr>
        </w:r>
        <w:r>
          <w:rPr>
            <w:noProof/>
            <w:webHidden/>
          </w:rPr>
          <w:fldChar w:fldCharType="separate"/>
        </w:r>
        <w:r>
          <w:rPr>
            <w:noProof/>
            <w:webHidden/>
          </w:rPr>
          <w:t>826</w:t>
        </w:r>
        <w:r>
          <w:rPr>
            <w:noProof/>
            <w:webHidden/>
          </w:rPr>
          <w:fldChar w:fldCharType="end"/>
        </w:r>
      </w:hyperlink>
    </w:p>
    <w:p w:rsidR="00B42EF3" w:rsidRDefault="00B42EF3">
      <w:pPr>
        <w:pStyle w:val="TOC5"/>
        <w:rPr>
          <w:rFonts w:asciiTheme="minorHAnsi" w:eastAsiaTheme="minorEastAsia" w:hAnsiTheme="minorHAnsi" w:cstheme="minorBidi"/>
          <w:noProof/>
          <w:sz w:val="22"/>
          <w:szCs w:val="22"/>
        </w:rPr>
      </w:pPr>
      <w:hyperlink w:anchor="_Toc69879738" w:history="1">
        <w:r w:rsidRPr="00CC53E5">
          <w:rPr>
            <w:rStyle w:val="Hyperlink"/>
            <w:noProof/>
          </w:rPr>
          <w:t>3.1.3.3.6</w:t>
        </w:r>
        <w:r>
          <w:rPr>
            <w:rFonts w:asciiTheme="minorHAnsi" w:eastAsiaTheme="minorEastAsia" w:hAnsiTheme="minorHAnsi" w:cstheme="minorBidi"/>
            <w:noProof/>
            <w:sz w:val="22"/>
            <w:szCs w:val="22"/>
          </w:rPr>
          <w:tab/>
        </w:r>
        <w:r w:rsidRPr="00CC53E5">
          <w:rPr>
            <w:rStyle w:val="Hyperlink"/>
            <w:noProof/>
          </w:rPr>
          <w:t>ST_OnOff (On/Off Value)</w:t>
        </w:r>
        <w:r>
          <w:rPr>
            <w:noProof/>
            <w:webHidden/>
          </w:rPr>
          <w:tab/>
        </w:r>
        <w:r>
          <w:rPr>
            <w:noProof/>
            <w:webHidden/>
          </w:rPr>
          <w:fldChar w:fldCharType="begin"/>
        </w:r>
        <w:r>
          <w:rPr>
            <w:noProof/>
            <w:webHidden/>
          </w:rPr>
          <w:instrText xml:space="preserve"> PAGEREF _Toc69879738 \h </w:instrText>
        </w:r>
        <w:r>
          <w:rPr>
            <w:noProof/>
            <w:webHidden/>
          </w:rPr>
        </w:r>
        <w:r>
          <w:rPr>
            <w:noProof/>
            <w:webHidden/>
          </w:rPr>
          <w:fldChar w:fldCharType="separate"/>
        </w:r>
        <w:r>
          <w:rPr>
            <w:noProof/>
            <w:webHidden/>
          </w:rPr>
          <w:t>827</w:t>
        </w:r>
        <w:r>
          <w:rPr>
            <w:noProof/>
            <w:webHidden/>
          </w:rPr>
          <w:fldChar w:fldCharType="end"/>
        </w:r>
      </w:hyperlink>
    </w:p>
    <w:p w:rsidR="00B42EF3" w:rsidRDefault="00B42EF3">
      <w:pPr>
        <w:pStyle w:val="TOC5"/>
        <w:rPr>
          <w:rFonts w:asciiTheme="minorHAnsi" w:eastAsiaTheme="minorEastAsia" w:hAnsiTheme="minorHAnsi" w:cstheme="minorBidi"/>
          <w:noProof/>
          <w:sz w:val="22"/>
          <w:szCs w:val="22"/>
        </w:rPr>
      </w:pPr>
      <w:hyperlink w:anchor="_Toc69879739" w:history="1">
        <w:r w:rsidRPr="00CC53E5">
          <w:rPr>
            <w:rStyle w:val="Hyperlink"/>
            <w:noProof/>
          </w:rPr>
          <w:t>3.1.3.3.7</w:t>
        </w:r>
        <w:r>
          <w:rPr>
            <w:rFonts w:asciiTheme="minorHAnsi" w:eastAsiaTheme="minorEastAsia" w:hAnsiTheme="minorHAnsi" w:cstheme="minorBidi"/>
            <w:noProof/>
            <w:sz w:val="22"/>
            <w:szCs w:val="22"/>
          </w:rPr>
          <w:tab/>
        </w:r>
        <w:r w:rsidRPr="00CC53E5">
          <w:rPr>
            <w:rStyle w:val="Hyperlink"/>
            <w:noProof/>
          </w:rPr>
          <w:t>ST_SignedDecimalNumberMax-2 (Decimal Number Value Max -2)</w:t>
        </w:r>
        <w:r>
          <w:rPr>
            <w:noProof/>
            <w:webHidden/>
          </w:rPr>
          <w:tab/>
        </w:r>
        <w:r>
          <w:rPr>
            <w:noProof/>
            <w:webHidden/>
          </w:rPr>
          <w:fldChar w:fldCharType="begin"/>
        </w:r>
        <w:r>
          <w:rPr>
            <w:noProof/>
            <w:webHidden/>
          </w:rPr>
          <w:instrText xml:space="preserve"> PAGEREF _Toc69879739 \h </w:instrText>
        </w:r>
        <w:r>
          <w:rPr>
            <w:noProof/>
            <w:webHidden/>
          </w:rPr>
        </w:r>
        <w:r>
          <w:rPr>
            <w:noProof/>
            <w:webHidden/>
          </w:rPr>
          <w:fldChar w:fldCharType="separate"/>
        </w:r>
        <w:r>
          <w:rPr>
            <w:noProof/>
            <w:webHidden/>
          </w:rPr>
          <w:t>828</w:t>
        </w:r>
        <w:r>
          <w:rPr>
            <w:noProof/>
            <w:webHidden/>
          </w:rPr>
          <w:fldChar w:fldCharType="end"/>
        </w:r>
      </w:hyperlink>
    </w:p>
    <w:p w:rsidR="00B42EF3" w:rsidRDefault="00B42EF3">
      <w:pPr>
        <w:pStyle w:val="TOC5"/>
        <w:rPr>
          <w:rFonts w:asciiTheme="minorHAnsi" w:eastAsiaTheme="minorEastAsia" w:hAnsiTheme="minorHAnsi" w:cstheme="minorBidi"/>
          <w:noProof/>
          <w:sz w:val="22"/>
          <w:szCs w:val="22"/>
        </w:rPr>
      </w:pPr>
      <w:hyperlink w:anchor="_Toc69879740" w:history="1">
        <w:r w:rsidRPr="00CC53E5">
          <w:rPr>
            <w:rStyle w:val="Hyperlink"/>
            <w:noProof/>
          </w:rPr>
          <w:t>3.1.3.3.8</w:t>
        </w:r>
        <w:r>
          <w:rPr>
            <w:rFonts w:asciiTheme="minorHAnsi" w:eastAsiaTheme="minorEastAsia" w:hAnsiTheme="minorHAnsi" w:cstheme="minorBidi"/>
            <w:noProof/>
            <w:sz w:val="22"/>
            <w:szCs w:val="22"/>
          </w:rPr>
          <w:tab/>
        </w:r>
        <w:r w:rsidRPr="00CC53E5">
          <w:rPr>
            <w:rStyle w:val="Hyperlink"/>
            <w:noProof/>
          </w:rPr>
          <w:t>ST_String (String)</w:t>
        </w:r>
        <w:r>
          <w:rPr>
            <w:noProof/>
            <w:webHidden/>
          </w:rPr>
          <w:tab/>
        </w:r>
        <w:r>
          <w:rPr>
            <w:noProof/>
            <w:webHidden/>
          </w:rPr>
          <w:fldChar w:fldCharType="begin"/>
        </w:r>
        <w:r>
          <w:rPr>
            <w:noProof/>
            <w:webHidden/>
          </w:rPr>
          <w:instrText xml:space="preserve"> PAGEREF _Toc69879740 \h </w:instrText>
        </w:r>
        <w:r>
          <w:rPr>
            <w:noProof/>
            <w:webHidden/>
          </w:rPr>
        </w:r>
        <w:r>
          <w:rPr>
            <w:noProof/>
            <w:webHidden/>
          </w:rPr>
          <w:fldChar w:fldCharType="separate"/>
        </w:r>
        <w:r>
          <w:rPr>
            <w:noProof/>
            <w:webHidden/>
          </w:rPr>
          <w:t>828</w:t>
        </w:r>
        <w:r>
          <w:rPr>
            <w:noProof/>
            <w:webHidden/>
          </w:rPr>
          <w:fldChar w:fldCharType="end"/>
        </w:r>
      </w:hyperlink>
    </w:p>
    <w:p w:rsidR="00B42EF3" w:rsidRDefault="00B42EF3">
      <w:pPr>
        <w:pStyle w:val="TOC5"/>
        <w:rPr>
          <w:rFonts w:asciiTheme="minorHAnsi" w:eastAsiaTheme="minorEastAsia" w:hAnsiTheme="minorHAnsi" w:cstheme="minorBidi"/>
          <w:noProof/>
          <w:sz w:val="22"/>
          <w:szCs w:val="22"/>
        </w:rPr>
      </w:pPr>
      <w:hyperlink w:anchor="_Toc69879741" w:history="1">
        <w:r w:rsidRPr="00CC53E5">
          <w:rPr>
            <w:rStyle w:val="Hyperlink"/>
            <w:noProof/>
          </w:rPr>
          <w:t>3.1.3.3.9</w:t>
        </w:r>
        <w:r>
          <w:rPr>
            <w:rFonts w:asciiTheme="minorHAnsi" w:eastAsiaTheme="minorEastAsia" w:hAnsiTheme="minorHAnsi" w:cstheme="minorBidi"/>
            <w:noProof/>
            <w:sz w:val="22"/>
            <w:szCs w:val="22"/>
          </w:rPr>
          <w:tab/>
        </w:r>
        <w:r w:rsidRPr="00CC53E5">
          <w:rPr>
            <w:rStyle w:val="Hyperlink"/>
            <w:noProof/>
          </w:rPr>
          <w:t>ST_String255 (String)</w:t>
        </w:r>
        <w:r>
          <w:rPr>
            <w:noProof/>
            <w:webHidden/>
          </w:rPr>
          <w:tab/>
        </w:r>
        <w:r>
          <w:rPr>
            <w:noProof/>
            <w:webHidden/>
          </w:rPr>
          <w:fldChar w:fldCharType="begin"/>
        </w:r>
        <w:r>
          <w:rPr>
            <w:noProof/>
            <w:webHidden/>
          </w:rPr>
          <w:instrText xml:space="preserve"> PAGEREF _Toc69879741 \h </w:instrText>
        </w:r>
        <w:r>
          <w:rPr>
            <w:noProof/>
            <w:webHidden/>
          </w:rPr>
        </w:r>
        <w:r>
          <w:rPr>
            <w:noProof/>
            <w:webHidden/>
          </w:rPr>
          <w:fldChar w:fldCharType="separate"/>
        </w:r>
        <w:r>
          <w:rPr>
            <w:noProof/>
            <w:webHidden/>
          </w:rPr>
          <w:t>829</w:t>
        </w:r>
        <w:r>
          <w:rPr>
            <w:noProof/>
            <w:webHidden/>
          </w:rPr>
          <w:fldChar w:fldCharType="end"/>
        </w:r>
      </w:hyperlink>
    </w:p>
    <w:p w:rsidR="00B42EF3" w:rsidRDefault="00B42EF3">
      <w:pPr>
        <w:pStyle w:val="TOC5"/>
        <w:rPr>
          <w:rFonts w:asciiTheme="minorHAnsi" w:eastAsiaTheme="minorEastAsia" w:hAnsiTheme="minorHAnsi" w:cstheme="minorBidi"/>
          <w:noProof/>
          <w:sz w:val="22"/>
          <w:szCs w:val="22"/>
        </w:rPr>
      </w:pPr>
      <w:hyperlink w:anchor="_Toc69879742" w:history="1">
        <w:r w:rsidRPr="00CC53E5">
          <w:rPr>
            <w:rStyle w:val="Hyperlink"/>
            <w:noProof/>
          </w:rPr>
          <w:t>3.1.3.3.10</w:t>
        </w:r>
        <w:r>
          <w:rPr>
            <w:rFonts w:asciiTheme="minorHAnsi" w:eastAsiaTheme="minorEastAsia" w:hAnsiTheme="minorHAnsi" w:cstheme="minorBidi"/>
            <w:noProof/>
            <w:sz w:val="22"/>
            <w:szCs w:val="22"/>
          </w:rPr>
          <w:tab/>
        </w:r>
        <w:r w:rsidRPr="00CC53E5">
          <w:rPr>
            <w:rStyle w:val="Hyperlink"/>
            <w:noProof/>
          </w:rPr>
          <w:t>ST_String260 (String)</w:t>
        </w:r>
        <w:r>
          <w:rPr>
            <w:noProof/>
            <w:webHidden/>
          </w:rPr>
          <w:tab/>
        </w:r>
        <w:r>
          <w:rPr>
            <w:noProof/>
            <w:webHidden/>
          </w:rPr>
          <w:fldChar w:fldCharType="begin"/>
        </w:r>
        <w:r>
          <w:rPr>
            <w:noProof/>
            <w:webHidden/>
          </w:rPr>
          <w:instrText xml:space="preserve"> PAGEREF _Toc69879742 \h </w:instrText>
        </w:r>
        <w:r>
          <w:rPr>
            <w:noProof/>
            <w:webHidden/>
          </w:rPr>
        </w:r>
        <w:r>
          <w:rPr>
            <w:noProof/>
            <w:webHidden/>
          </w:rPr>
          <w:fldChar w:fldCharType="separate"/>
        </w:r>
        <w:r>
          <w:rPr>
            <w:noProof/>
            <w:webHidden/>
          </w:rPr>
          <w:t>829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743" w:history="1">
        <w:r w:rsidRPr="00CC53E5">
          <w:rPr>
            <w:rStyle w:val="Hyperlink"/>
            <w:noProof/>
          </w:rPr>
          <w:t>3.1.4</w:t>
        </w:r>
        <w:r>
          <w:rPr>
            <w:rFonts w:asciiTheme="minorHAnsi" w:eastAsiaTheme="minorEastAsia" w:hAnsiTheme="minorHAnsi" w:cstheme="minorBidi"/>
            <w:noProof/>
            <w:sz w:val="22"/>
            <w:szCs w:val="22"/>
          </w:rPr>
          <w:tab/>
        </w:r>
        <w:r w:rsidRPr="00CC53E5">
          <w:rPr>
            <w:rStyle w:val="Hyperlink"/>
            <w:noProof/>
          </w:rPr>
          <w:t>DrawingML Persistence Part</w:t>
        </w:r>
        <w:r>
          <w:rPr>
            <w:noProof/>
            <w:webHidden/>
          </w:rPr>
          <w:tab/>
        </w:r>
        <w:r>
          <w:rPr>
            <w:noProof/>
            <w:webHidden/>
          </w:rPr>
          <w:fldChar w:fldCharType="begin"/>
        </w:r>
        <w:r>
          <w:rPr>
            <w:noProof/>
            <w:webHidden/>
          </w:rPr>
          <w:instrText xml:space="preserve"> PAGEREF _Toc69879743 \h </w:instrText>
        </w:r>
        <w:r>
          <w:rPr>
            <w:noProof/>
            <w:webHidden/>
          </w:rPr>
        </w:r>
        <w:r>
          <w:rPr>
            <w:noProof/>
            <w:webHidden/>
          </w:rPr>
          <w:fldChar w:fldCharType="separate"/>
        </w:r>
        <w:r>
          <w:rPr>
            <w:noProof/>
            <w:webHidden/>
          </w:rPr>
          <w:t>830</w:t>
        </w:r>
        <w:r>
          <w:rPr>
            <w:noProof/>
            <w:webHidden/>
          </w:rPr>
          <w:fldChar w:fldCharType="end"/>
        </w:r>
      </w:hyperlink>
    </w:p>
    <w:p w:rsidR="00B42EF3" w:rsidRDefault="00B42EF3">
      <w:pPr>
        <w:pStyle w:val="TOC4"/>
        <w:rPr>
          <w:rFonts w:asciiTheme="minorHAnsi" w:eastAsiaTheme="minorEastAsia" w:hAnsiTheme="minorHAnsi" w:cstheme="minorBidi"/>
          <w:noProof/>
          <w:sz w:val="22"/>
          <w:szCs w:val="22"/>
        </w:rPr>
      </w:pPr>
      <w:hyperlink w:anchor="_Toc69879744" w:history="1">
        <w:r w:rsidRPr="00CC53E5">
          <w:rPr>
            <w:rStyle w:val="Hyperlink"/>
            <w:noProof/>
          </w:rPr>
          <w:t>3.1.4.1</w:t>
        </w:r>
        <w:r>
          <w:rPr>
            <w:rFonts w:asciiTheme="minorHAnsi" w:eastAsiaTheme="minorEastAsia" w:hAnsiTheme="minorHAnsi" w:cstheme="minorBidi"/>
            <w:noProof/>
            <w:sz w:val="22"/>
            <w:szCs w:val="22"/>
          </w:rPr>
          <w:tab/>
        </w:r>
        <w:r w:rsidRPr="00CC53E5">
          <w:rPr>
            <w:rStyle w:val="Hyperlink"/>
            <w:noProof/>
          </w:rPr>
          <w:t>DrawingML Persistence Parts</w:t>
        </w:r>
        <w:r>
          <w:rPr>
            <w:noProof/>
            <w:webHidden/>
          </w:rPr>
          <w:tab/>
        </w:r>
        <w:r>
          <w:rPr>
            <w:noProof/>
            <w:webHidden/>
          </w:rPr>
          <w:fldChar w:fldCharType="begin"/>
        </w:r>
        <w:r>
          <w:rPr>
            <w:noProof/>
            <w:webHidden/>
          </w:rPr>
          <w:instrText xml:space="preserve"> PAGEREF _Toc69879744 \h </w:instrText>
        </w:r>
        <w:r>
          <w:rPr>
            <w:noProof/>
            <w:webHidden/>
          </w:rPr>
        </w:r>
        <w:r>
          <w:rPr>
            <w:noProof/>
            <w:webHidden/>
          </w:rPr>
          <w:fldChar w:fldCharType="separate"/>
        </w:r>
        <w:r>
          <w:rPr>
            <w:noProof/>
            <w:webHidden/>
          </w:rPr>
          <w:t>830</w:t>
        </w:r>
        <w:r>
          <w:rPr>
            <w:noProof/>
            <w:webHidden/>
          </w:rPr>
          <w:fldChar w:fldCharType="end"/>
        </w:r>
      </w:hyperlink>
    </w:p>
    <w:p w:rsidR="00B42EF3" w:rsidRDefault="00B42EF3">
      <w:pPr>
        <w:pStyle w:val="TOC5"/>
        <w:rPr>
          <w:rFonts w:asciiTheme="minorHAnsi" w:eastAsiaTheme="minorEastAsia" w:hAnsiTheme="minorHAnsi" w:cstheme="minorBidi"/>
          <w:noProof/>
          <w:sz w:val="22"/>
          <w:szCs w:val="22"/>
        </w:rPr>
      </w:pPr>
      <w:hyperlink w:anchor="_Toc69879745" w:history="1">
        <w:r w:rsidRPr="00CC53E5">
          <w:rPr>
            <w:rStyle w:val="Hyperlink"/>
            <w:noProof/>
          </w:rPr>
          <w:t>3.1.4.1.1</w:t>
        </w:r>
        <w:r>
          <w:rPr>
            <w:rFonts w:asciiTheme="minorHAnsi" w:eastAsiaTheme="minorEastAsia" w:hAnsiTheme="minorHAnsi" w:cstheme="minorBidi"/>
            <w:noProof/>
            <w:sz w:val="22"/>
            <w:szCs w:val="22"/>
          </w:rPr>
          <w:tab/>
        </w:r>
        <w:r w:rsidRPr="00CC53E5">
          <w:rPr>
            <w:rStyle w:val="Hyperlink"/>
            <w:noProof/>
          </w:rPr>
          <w:t>Graphic Frame Doc</w:t>
        </w:r>
        <w:r>
          <w:rPr>
            <w:noProof/>
            <w:webHidden/>
          </w:rPr>
          <w:tab/>
        </w:r>
        <w:r>
          <w:rPr>
            <w:noProof/>
            <w:webHidden/>
          </w:rPr>
          <w:fldChar w:fldCharType="begin"/>
        </w:r>
        <w:r>
          <w:rPr>
            <w:noProof/>
            <w:webHidden/>
          </w:rPr>
          <w:instrText xml:space="preserve"> PAGEREF _Toc69879745 \h </w:instrText>
        </w:r>
        <w:r>
          <w:rPr>
            <w:noProof/>
            <w:webHidden/>
          </w:rPr>
        </w:r>
        <w:r>
          <w:rPr>
            <w:noProof/>
            <w:webHidden/>
          </w:rPr>
          <w:fldChar w:fldCharType="separate"/>
        </w:r>
        <w:r>
          <w:rPr>
            <w:noProof/>
            <w:webHidden/>
          </w:rPr>
          <w:t>830</w:t>
        </w:r>
        <w:r>
          <w:rPr>
            <w:noProof/>
            <w:webHidden/>
          </w:rPr>
          <w:fldChar w:fldCharType="end"/>
        </w:r>
      </w:hyperlink>
    </w:p>
    <w:p w:rsidR="00B42EF3" w:rsidRDefault="00B42EF3">
      <w:pPr>
        <w:pStyle w:val="TOC5"/>
        <w:rPr>
          <w:rFonts w:asciiTheme="minorHAnsi" w:eastAsiaTheme="minorEastAsia" w:hAnsiTheme="minorHAnsi" w:cstheme="minorBidi"/>
          <w:noProof/>
          <w:sz w:val="22"/>
          <w:szCs w:val="22"/>
        </w:rPr>
      </w:pPr>
      <w:hyperlink w:anchor="_Toc69879746" w:history="1">
        <w:r w:rsidRPr="00CC53E5">
          <w:rPr>
            <w:rStyle w:val="Hyperlink"/>
            <w:noProof/>
          </w:rPr>
          <w:t>3.1.4.1.2</w:t>
        </w:r>
        <w:r>
          <w:rPr>
            <w:rFonts w:asciiTheme="minorHAnsi" w:eastAsiaTheme="minorEastAsia" w:hAnsiTheme="minorHAnsi" w:cstheme="minorBidi"/>
            <w:noProof/>
            <w:sz w:val="22"/>
            <w:szCs w:val="22"/>
          </w:rPr>
          <w:tab/>
        </w:r>
        <w:r w:rsidRPr="00CC53E5">
          <w:rPr>
            <w:rStyle w:val="Hyperlink"/>
            <w:noProof/>
          </w:rPr>
          <w:t>Downrev Storage</w:t>
        </w:r>
        <w:r>
          <w:rPr>
            <w:noProof/>
            <w:webHidden/>
          </w:rPr>
          <w:tab/>
        </w:r>
        <w:r>
          <w:rPr>
            <w:noProof/>
            <w:webHidden/>
          </w:rPr>
          <w:fldChar w:fldCharType="begin"/>
        </w:r>
        <w:r>
          <w:rPr>
            <w:noProof/>
            <w:webHidden/>
          </w:rPr>
          <w:instrText xml:space="preserve"> PAGEREF _Toc69879746 \h </w:instrText>
        </w:r>
        <w:r>
          <w:rPr>
            <w:noProof/>
            <w:webHidden/>
          </w:rPr>
        </w:r>
        <w:r>
          <w:rPr>
            <w:noProof/>
            <w:webHidden/>
          </w:rPr>
          <w:fldChar w:fldCharType="separate"/>
        </w:r>
        <w:r>
          <w:rPr>
            <w:noProof/>
            <w:webHidden/>
          </w:rPr>
          <w:t>831</w:t>
        </w:r>
        <w:r>
          <w:rPr>
            <w:noProof/>
            <w:webHidden/>
          </w:rPr>
          <w:fldChar w:fldCharType="end"/>
        </w:r>
      </w:hyperlink>
    </w:p>
    <w:p w:rsidR="00B42EF3" w:rsidRDefault="00B42EF3">
      <w:pPr>
        <w:pStyle w:val="TOC4"/>
        <w:rPr>
          <w:rFonts w:asciiTheme="minorHAnsi" w:eastAsiaTheme="minorEastAsia" w:hAnsiTheme="minorHAnsi" w:cstheme="minorBidi"/>
          <w:noProof/>
          <w:sz w:val="22"/>
          <w:szCs w:val="22"/>
        </w:rPr>
      </w:pPr>
      <w:hyperlink w:anchor="_Toc69879747" w:history="1">
        <w:r w:rsidRPr="00CC53E5">
          <w:rPr>
            <w:rStyle w:val="Hyperlink"/>
            <w:noProof/>
          </w:rPr>
          <w:t>3.1.4.2</w:t>
        </w:r>
        <w:r>
          <w:rPr>
            <w:rFonts w:asciiTheme="minorHAnsi" w:eastAsiaTheme="minorEastAsia" w:hAnsiTheme="minorHAnsi" w:cstheme="minorBidi"/>
            <w:noProof/>
            <w:sz w:val="22"/>
            <w:szCs w:val="22"/>
          </w:rPr>
          <w:tab/>
        </w:r>
        <w:r w:rsidRPr="00CC53E5">
          <w:rPr>
            <w:rStyle w:val="Hyperlink"/>
            <w:noProof/>
          </w:rPr>
          <w:t>Additional DrawingML - Main Schema</w:t>
        </w:r>
        <w:r>
          <w:rPr>
            <w:noProof/>
            <w:webHidden/>
          </w:rPr>
          <w:tab/>
        </w:r>
        <w:r>
          <w:rPr>
            <w:noProof/>
            <w:webHidden/>
          </w:rPr>
          <w:fldChar w:fldCharType="begin"/>
        </w:r>
        <w:r>
          <w:rPr>
            <w:noProof/>
            <w:webHidden/>
          </w:rPr>
          <w:instrText xml:space="preserve"> PAGEREF _Toc69879747 \h </w:instrText>
        </w:r>
        <w:r>
          <w:rPr>
            <w:noProof/>
            <w:webHidden/>
          </w:rPr>
        </w:r>
        <w:r>
          <w:rPr>
            <w:noProof/>
            <w:webHidden/>
          </w:rPr>
          <w:fldChar w:fldCharType="separate"/>
        </w:r>
        <w:r>
          <w:rPr>
            <w:noProof/>
            <w:webHidden/>
          </w:rPr>
          <w:t>832</w:t>
        </w:r>
        <w:r>
          <w:rPr>
            <w:noProof/>
            <w:webHidden/>
          </w:rPr>
          <w:fldChar w:fldCharType="end"/>
        </w:r>
      </w:hyperlink>
    </w:p>
    <w:p w:rsidR="00B42EF3" w:rsidRDefault="00B42EF3">
      <w:pPr>
        <w:pStyle w:val="TOC5"/>
        <w:rPr>
          <w:rFonts w:asciiTheme="minorHAnsi" w:eastAsiaTheme="minorEastAsia" w:hAnsiTheme="minorHAnsi" w:cstheme="minorBidi"/>
          <w:noProof/>
          <w:sz w:val="22"/>
          <w:szCs w:val="22"/>
        </w:rPr>
      </w:pPr>
      <w:hyperlink w:anchor="_Toc69879748" w:history="1">
        <w:r w:rsidRPr="00CC53E5">
          <w:rPr>
            <w:rStyle w:val="Hyperlink"/>
            <w:noProof/>
          </w:rPr>
          <w:t>3.1.4.2.1</w:t>
        </w:r>
        <w:r>
          <w:rPr>
            <w:rFonts w:asciiTheme="minorHAnsi" w:eastAsiaTheme="minorEastAsia" w:hAnsiTheme="minorHAnsi" w:cstheme="minorBidi"/>
            <w:noProof/>
            <w:sz w:val="22"/>
            <w:szCs w:val="22"/>
          </w:rPr>
          <w:tab/>
        </w:r>
        <w:r w:rsidRPr="00CC53E5">
          <w:rPr>
            <w:rStyle w:val="Hyperlink"/>
            <w:noProof/>
          </w:rPr>
          <w:t>Additional Elements</w:t>
        </w:r>
        <w:r>
          <w:rPr>
            <w:noProof/>
            <w:webHidden/>
          </w:rPr>
          <w:tab/>
        </w:r>
        <w:r>
          <w:rPr>
            <w:noProof/>
            <w:webHidden/>
          </w:rPr>
          <w:fldChar w:fldCharType="begin"/>
        </w:r>
        <w:r>
          <w:rPr>
            <w:noProof/>
            <w:webHidden/>
          </w:rPr>
          <w:instrText xml:space="preserve"> PAGEREF _Toc69879748 \h </w:instrText>
        </w:r>
        <w:r>
          <w:rPr>
            <w:noProof/>
            <w:webHidden/>
          </w:rPr>
        </w:r>
        <w:r>
          <w:rPr>
            <w:noProof/>
            <w:webHidden/>
          </w:rPr>
          <w:fldChar w:fldCharType="separate"/>
        </w:r>
        <w:r>
          <w:rPr>
            <w:noProof/>
            <w:webHidden/>
          </w:rPr>
          <w:t>832</w:t>
        </w:r>
        <w:r>
          <w:rPr>
            <w:noProof/>
            <w:webHidden/>
          </w:rPr>
          <w:fldChar w:fldCharType="end"/>
        </w:r>
      </w:hyperlink>
    </w:p>
    <w:p w:rsidR="00B42EF3" w:rsidRDefault="00B42EF3">
      <w:pPr>
        <w:pStyle w:val="TOC6"/>
        <w:rPr>
          <w:rFonts w:asciiTheme="minorHAnsi" w:eastAsiaTheme="minorEastAsia" w:hAnsiTheme="minorHAnsi" w:cstheme="minorBidi"/>
          <w:noProof/>
          <w:sz w:val="22"/>
          <w:szCs w:val="22"/>
        </w:rPr>
      </w:pPr>
      <w:hyperlink w:anchor="_Toc69879749" w:history="1">
        <w:r w:rsidRPr="00CC53E5">
          <w:rPr>
            <w:rStyle w:val="Hyperlink"/>
            <w:noProof/>
          </w:rPr>
          <w:t>3.1.4.2.1.1</w:t>
        </w:r>
        <w:r>
          <w:rPr>
            <w:rFonts w:asciiTheme="minorHAnsi" w:eastAsiaTheme="minorEastAsia" w:hAnsiTheme="minorHAnsi" w:cstheme="minorBidi"/>
            <w:noProof/>
            <w:sz w:val="22"/>
            <w:szCs w:val="22"/>
          </w:rPr>
          <w:tab/>
        </w:r>
        <w:r w:rsidRPr="00CC53E5">
          <w:rPr>
            <w:rStyle w:val="Hyperlink"/>
            <w:noProof/>
          </w:rPr>
          <w:t>bounds (Bounds)</w:t>
        </w:r>
        <w:r>
          <w:rPr>
            <w:noProof/>
            <w:webHidden/>
          </w:rPr>
          <w:tab/>
        </w:r>
        <w:r>
          <w:rPr>
            <w:noProof/>
            <w:webHidden/>
          </w:rPr>
          <w:fldChar w:fldCharType="begin"/>
        </w:r>
        <w:r>
          <w:rPr>
            <w:noProof/>
            <w:webHidden/>
          </w:rPr>
          <w:instrText xml:space="preserve"> PAGEREF _Toc69879749 \h </w:instrText>
        </w:r>
        <w:r>
          <w:rPr>
            <w:noProof/>
            <w:webHidden/>
          </w:rPr>
        </w:r>
        <w:r>
          <w:rPr>
            <w:noProof/>
            <w:webHidden/>
          </w:rPr>
          <w:fldChar w:fldCharType="separate"/>
        </w:r>
        <w:r>
          <w:rPr>
            <w:noProof/>
            <w:webHidden/>
          </w:rPr>
          <w:t>832</w:t>
        </w:r>
        <w:r>
          <w:rPr>
            <w:noProof/>
            <w:webHidden/>
          </w:rPr>
          <w:fldChar w:fldCharType="end"/>
        </w:r>
      </w:hyperlink>
    </w:p>
    <w:p w:rsidR="00B42EF3" w:rsidRDefault="00B42EF3">
      <w:pPr>
        <w:pStyle w:val="TOC6"/>
        <w:rPr>
          <w:rFonts w:asciiTheme="minorHAnsi" w:eastAsiaTheme="minorEastAsia" w:hAnsiTheme="minorHAnsi" w:cstheme="minorBidi"/>
          <w:noProof/>
          <w:sz w:val="22"/>
          <w:szCs w:val="22"/>
        </w:rPr>
      </w:pPr>
      <w:hyperlink w:anchor="_Toc69879750" w:history="1">
        <w:r w:rsidRPr="00CC53E5">
          <w:rPr>
            <w:rStyle w:val="Hyperlink"/>
            <w:noProof/>
          </w:rPr>
          <w:t>3.1.4.2.1.2</w:t>
        </w:r>
        <w:r>
          <w:rPr>
            <w:rFonts w:asciiTheme="minorHAnsi" w:eastAsiaTheme="minorEastAsia" w:hAnsiTheme="minorHAnsi" w:cstheme="minorBidi"/>
            <w:noProof/>
            <w:sz w:val="22"/>
            <w:szCs w:val="22"/>
          </w:rPr>
          <w:tab/>
        </w:r>
        <w:r w:rsidRPr="00CC53E5">
          <w:rPr>
            <w:rStyle w:val="Hyperlink"/>
            <w:noProof/>
          </w:rPr>
          <w:t>downRevStg (DownRev Storage)</w:t>
        </w:r>
        <w:r>
          <w:rPr>
            <w:noProof/>
            <w:webHidden/>
          </w:rPr>
          <w:tab/>
        </w:r>
        <w:r>
          <w:rPr>
            <w:noProof/>
            <w:webHidden/>
          </w:rPr>
          <w:fldChar w:fldCharType="begin"/>
        </w:r>
        <w:r>
          <w:rPr>
            <w:noProof/>
            <w:webHidden/>
          </w:rPr>
          <w:instrText xml:space="preserve"> PAGEREF _Toc69879750 \h </w:instrText>
        </w:r>
        <w:r>
          <w:rPr>
            <w:noProof/>
            <w:webHidden/>
          </w:rPr>
        </w:r>
        <w:r>
          <w:rPr>
            <w:noProof/>
            <w:webHidden/>
          </w:rPr>
          <w:fldChar w:fldCharType="separate"/>
        </w:r>
        <w:r>
          <w:rPr>
            <w:noProof/>
            <w:webHidden/>
          </w:rPr>
          <w:t>833</w:t>
        </w:r>
        <w:r>
          <w:rPr>
            <w:noProof/>
            <w:webHidden/>
          </w:rPr>
          <w:fldChar w:fldCharType="end"/>
        </w:r>
      </w:hyperlink>
    </w:p>
    <w:p w:rsidR="00B42EF3" w:rsidRDefault="00B42EF3">
      <w:pPr>
        <w:pStyle w:val="TOC5"/>
        <w:rPr>
          <w:rFonts w:asciiTheme="minorHAnsi" w:eastAsiaTheme="minorEastAsia" w:hAnsiTheme="minorHAnsi" w:cstheme="minorBidi"/>
          <w:noProof/>
          <w:sz w:val="22"/>
          <w:szCs w:val="22"/>
        </w:rPr>
      </w:pPr>
      <w:hyperlink w:anchor="_Toc69879751" w:history="1">
        <w:r w:rsidRPr="00CC53E5">
          <w:rPr>
            <w:rStyle w:val="Hyperlink"/>
            <w:noProof/>
          </w:rPr>
          <w:t>3.1.4.2.2</w:t>
        </w:r>
        <w:r>
          <w:rPr>
            <w:rFonts w:asciiTheme="minorHAnsi" w:eastAsiaTheme="minorEastAsia" w:hAnsiTheme="minorHAnsi" w:cstheme="minorBidi"/>
            <w:noProof/>
            <w:sz w:val="22"/>
            <w:szCs w:val="22"/>
          </w:rPr>
          <w:tab/>
        </w:r>
        <w:r w:rsidRPr="00CC53E5">
          <w:rPr>
            <w:rStyle w:val="Hyperlink"/>
            <w:noProof/>
          </w:rPr>
          <w:t>Simple Types</w:t>
        </w:r>
        <w:r>
          <w:rPr>
            <w:noProof/>
            <w:webHidden/>
          </w:rPr>
          <w:tab/>
        </w:r>
        <w:r>
          <w:rPr>
            <w:noProof/>
            <w:webHidden/>
          </w:rPr>
          <w:fldChar w:fldCharType="begin"/>
        </w:r>
        <w:r>
          <w:rPr>
            <w:noProof/>
            <w:webHidden/>
          </w:rPr>
          <w:instrText xml:space="preserve"> PAGEREF _Toc69879751 \h </w:instrText>
        </w:r>
        <w:r>
          <w:rPr>
            <w:noProof/>
            <w:webHidden/>
          </w:rPr>
        </w:r>
        <w:r>
          <w:rPr>
            <w:noProof/>
            <w:webHidden/>
          </w:rPr>
          <w:fldChar w:fldCharType="separate"/>
        </w:r>
        <w:r>
          <w:rPr>
            <w:noProof/>
            <w:webHidden/>
          </w:rPr>
          <w:t>834</w:t>
        </w:r>
        <w:r>
          <w:rPr>
            <w:noProof/>
            <w:webHidden/>
          </w:rPr>
          <w:fldChar w:fldCharType="end"/>
        </w:r>
      </w:hyperlink>
    </w:p>
    <w:p w:rsidR="00B42EF3" w:rsidRDefault="00B42EF3">
      <w:pPr>
        <w:pStyle w:val="TOC6"/>
        <w:rPr>
          <w:rFonts w:asciiTheme="minorHAnsi" w:eastAsiaTheme="minorEastAsia" w:hAnsiTheme="minorHAnsi" w:cstheme="minorBidi"/>
          <w:noProof/>
          <w:sz w:val="22"/>
          <w:szCs w:val="22"/>
        </w:rPr>
      </w:pPr>
      <w:hyperlink w:anchor="_Toc69879752" w:history="1">
        <w:r w:rsidRPr="00CC53E5">
          <w:rPr>
            <w:rStyle w:val="Hyperlink"/>
            <w:noProof/>
          </w:rPr>
          <w:t>3.1.4.2.2.1</w:t>
        </w:r>
        <w:r>
          <w:rPr>
            <w:rFonts w:asciiTheme="minorHAnsi" w:eastAsiaTheme="minorEastAsia" w:hAnsiTheme="minorHAnsi" w:cstheme="minorBidi"/>
            <w:noProof/>
            <w:sz w:val="22"/>
            <w:szCs w:val="22"/>
          </w:rPr>
          <w:tab/>
        </w:r>
        <w:r w:rsidRPr="00CC53E5">
          <w:rPr>
            <w:rStyle w:val="Hyperlink"/>
            <w:noProof/>
          </w:rPr>
          <w:t>ST_CoordinateUnqualified (Coordinate)</w:t>
        </w:r>
        <w:r>
          <w:rPr>
            <w:noProof/>
            <w:webHidden/>
          </w:rPr>
          <w:tab/>
        </w:r>
        <w:r>
          <w:rPr>
            <w:noProof/>
            <w:webHidden/>
          </w:rPr>
          <w:fldChar w:fldCharType="begin"/>
        </w:r>
        <w:r>
          <w:rPr>
            <w:noProof/>
            <w:webHidden/>
          </w:rPr>
          <w:instrText xml:space="preserve"> PAGEREF _Toc69879752 \h </w:instrText>
        </w:r>
        <w:r>
          <w:rPr>
            <w:noProof/>
            <w:webHidden/>
          </w:rPr>
        </w:r>
        <w:r>
          <w:rPr>
            <w:noProof/>
            <w:webHidden/>
          </w:rPr>
          <w:fldChar w:fldCharType="separate"/>
        </w:r>
        <w:r>
          <w:rPr>
            <w:noProof/>
            <w:webHidden/>
          </w:rPr>
          <w:t>834</w:t>
        </w:r>
        <w:r>
          <w:rPr>
            <w:noProof/>
            <w:webHidden/>
          </w:rPr>
          <w:fldChar w:fldCharType="end"/>
        </w:r>
      </w:hyperlink>
    </w:p>
    <w:p w:rsidR="00B42EF3" w:rsidRDefault="00B42EF3">
      <w:pPr>
        <w:pStyle w:val="TOC4"/>
        <w:rPr>
          <w:rFonts w:asciiTheme="minorHAnsi" w:eastAsiaTheme="minorEastAsia" w:hAnsiTheme="minorHAnsi" w:cstheme="minorBidi"/>
          <w:noProof/>
          <w:sz w:val="22"/>
          <w:szCs w:val="22"/>
        </w:rPr>
      </w:pPr>
      <w:hyperlink w:anchor="_Toc69879753" w:history="1">
        <w:r w:rsidRPr="00CC53E5">
          <w:rPr>
            <w:rStyle w:val="Hyperlink"/>
            <w:noProof/>
          </w:rPr>
          <w:t>3.1.4.3</w:t>
        </w:r>
        <w:r>
          <w:rPr>
            <w:rFonts w:asciiTheme="minorHAnsi" w:eastAsiaTheme="minorEastAsia" w:hAnsiTheme="minorHAnsi" w:cstheme="minorBidi"/>
            <w:noProof/>
            <w:sz w:val="22"/>
            <w:szCs w:val="22"/>
          </w:rPr>
          <w:tab/>
        </w:r>
        <w:r w:rsidRPr="00CC53E5">
          <w:rPr>
            <w:rStyle w:val="Hyperlink"/>
            <w:noProof/>
          </w:rPr>
          <w:t>Additional DrawingML - WordprocessingML Schema</w:t>
        </w:r>
        <w:r>
          <w:rPr>
            <w:noProof/>
            <w:webHidden/>
          </w:rPr>
          <w:tab/>
        </w:r>
        <w:r>
          <w:rPr>
            <w:noProof/>
            <w:webHidden/>
          </w:rPr>
          <w:fldChar w:fldCharType="begin"/>
        </w:r>
        <w:r>
          <w:rPr>
            <w:noProof/>
            <w:webHidden/>
          </w:rPr>
          <w:instrText xml:space="preserve"> PAGEREF _Toc69879753 \h </w:instrText>
        </w:r>
        <w:r>
          <w:rPr>
            <w:noProof/>
            <w:webHidden/>
          </w:rPr>
        </w:r>
        <w:r>
          <w:rPr>
            <w:noProof/>
            <w:webHidden/>
          </w:rPr>
          <w:fldChar w:fldCharType="separate"/>
        </w:r>
        <w:r>
          <w:rPr>
            <w:noProof/>
            <w:webHidden/>
          </w:rPr>
          <w:t>834</w:t>
        </w:r>
        <w:r>
          <w:rPr>
            <w:noProof/>
            <w:webHidden/>
          </w:rPr>
          <w:fldChar w:fldCharType="end"/>
        </w:r>
      </w:hyperlink>
    </w:p>
    <w:p w:rsidR="00B42EF3" w:rsidRDefault="00B42EF3">
      <w:pPr>
        <w:pStyle w:val="TOC5"/>
        <w:rPr>
          <w:rFonts w:asciiTheme="minorHAnsi" w:eastAsiaTheme="minorEastAsia" w:hAnsiTheme="minorHAnsi" w:cstheme="minorBidi"/>
          <w:noProof/>
          <w:sz w:val="22"/>
          <w:szCs w:val="22"/>
        </w:rPr>
      </w:pPr>
      <w:hyperlink w:anchor="_Toc69879754" w:history="1">
        <w:r w:rsidRPr="00CC53E5">
          <w:rPr>
            <w:rStyle w:val="Hyperlink"/>
            <w:noProof/>
          </w:rPr>
          <w:t>3.1.4.3.1</w:t>
        </w:r>
        <w:r>
          <w:rPr>
            <w:rFonts w:asciiTheme="minorHAnsi" w:eastAsiaTheme="minorEastAsia" w:hAnsiTheme="minorHAnsi" w:cstheme="minorBidi"/>
            <w:noProof/>
            <w:sz w:val="22"/>
            <w:szCs w:val="22"/>
          </w:rPr>
          <w:tab/>
        </w:r>
        <w:r w:rsidRPr="00CC53E5">
          <w:rPr>
            <w:rStyle w:val="Hyperlink"/>
            <w:noProof/>
          </w:rPr>
          <w:t>Additional Elements</w:t>
        </w:r>
        <w:r>
          <w:rPr>
            <w:noProof/>
            <w:webHidden/>
          </w:rPr>
          <w:tab/>
        </w:r>
        <w:r>
          <w:rPr>
            <w:noProof/>
            <w:webHidden/>
          </w:rPr>
          <w:fldChar w:fldCharType="begin"/>
        </w:r>
        <w:r>
          <w:rPr>
            <w:noProof/>
            <w:webHidden/>
          </w:rPr>
          <w:instrText xml:space="preserve"> PAGEREF _Toc69879754 \h </w:instrText>
        </w:r>
        <w:r>
          <w:rPr>
            <w:noProof/>
            <w:webHidden/>
          </w:rPr>
        </w:r>
        <w:r>
          <w:rPr>
            <w:noProof/>
            <w:webHidden/>
          </w:rPr>
          <w:fldChar w:fldCharType="separate"/>
        </w:r>
        <w:r>
          <w:rPr>
            <w:noProof/>
            <w:webHidden/>
          </w:rPr>
          <w:t>834</w:t>
        </w:r>
        <w:r>
          <w:rPr>
            <w:noProof/>
            <w:webHidden/>
          </w:rPr>
          <w:fldChar w:fldCharType="end"/>
        </w:r>
      </w:hyperlink>
    </w:p>
    <w:p w:rsidR="00B42EF3" w:rsidRDefault="00B42EF3">
      <w:pPr>
        <w:pStyle w:val="TOC6"/>
        <w:rPr>
          <w:rFonts w:asciiTheme="minorHAnsi" w:eastAsiaTheme="minorEastAsia" w:hAnsiTheme="minorHAnsi" w:cstheme="minorBidi"/>
          <w:noProof/>
          <w:sz w:val="22"/>
          <w:szCs w:val="22"/>
        </w:rPr>
      </w:pPr>
      <w:hyperlink w:anchor="_Toc69879755" w:history="1">
        <w:r w:rsidRPr="00CC53E5">
          <w:rPr>
            <w:rStyle w:val="Hyperlink"/>
            <w:noProof/>
          </w:rPr>
          <w:t>3.1.4.3.1.1</w:t>
        </w:r>
        <w:r>
          <w:rPr>
            <w:rFonts w:asciiTheme="minorHAnsi" w:eastAsiaTheme="minorEastAsia" w:hAnsiTheme="minorHAnsi" w:cstheme="minorBidi"/>
            <w:noProof/>
            <w:sz w:val="22"/>
            <w:szCs w:val="22"/>
          </w:rPr>
          <w:tab/>
        </w:r>
        <w:r w:rsidRPr="00CC53E5">
          <w:rPr>
            <w:rStyle w:val="Hyperlink"/>
            <w:noProof/>
          </w:rPr>
          <w:t>e2oholder (E2o Holder)</w:t>
        </w:r>
        <w:r>
          <w:rPr>
            <w:noProof/>
            <w:webHidden/>
          </w:rPr>
          <w:tab/>
        </w:r>
        <w:r>
          <w:rPr>
            <w:noProof/>
            <w:webHidden/>
          </w:rPr>
          <w:fldChar w:fldCharType="begin"/>
        </w:r>
        <w:r>
          <w:rPr>
            <w:noProof/>
            <w:webHidden/>
          </w:rPr>
          <w:instrText xml:space="preserve"> PAGEREF _Toc69879755 \h </w:instrText>
        </w:r>
        <w:r>
          <w:rPr>
            <w:noProof/>
            <w:webHidden/>
          </w:rPr>
        </w:r>
        <w:r>
          <w:rPr>
            <w:noProof/>
            <w:webHidden/>
          </w:rPr>
          <w:fldChar w:fldCharType="separate"/>
        </w:r>
        <w:r>
          <w:rPr>
            <w:noProof/>
            <w:webHidden/>
          </w:rPr>
          <w:t>834</w:t>
        </w:r>
        <w:r>
          <w:rPr>
            <w:noProof/>
            <w:webHidden/>
          </w:rPr>
          <w:fldChar w:fldCharType="end"/>
        </w:r>
      </w:hyperlink>
    </w:p>
    <w:p w:rsidR="00B42EF3" w:rsidRDefault="00B42EF3">
      <w:pPr>
        <w:pStyle w:val="TOC6"/>
        <w:rPr>
          <w:rFonts w:asciiTheme="minorHAnsi" w:eastAsiaTheme="minorEastAsia" w:hAnsiTheme="minorHAnsi" w:cstheme="minorBidi"/>
          <w:noProof/>
          <w:sz w:val="22"/>
          <w:szCs w:val="22"/>
        </w:rPr>
      </w:pPr>
      <w:hyperlink w:anchor="_Toc69879756" w:history="1">
        <w:r w:rsidRPr="00CC53E5">
          <w:rPr>
            <w:rStyle w:val="Hyperlink"/>
            <w:noProof/>
          </w:rPr>
          <w:t>3.1.4.3.1.2</w:t>
        </w:r>
        <w:r>
          <w:rPr>
            <w:rFonts w:asciiTheme="minorHAnsi" w:eastAsiaTheme="minorEastAsia" w:hAnsiTheme="minorHAnsi" w:cstheme="minorBidi"/>
            <w:noProof/>
            <w:sz w:val="22"/>
            <w:szCs w:val="22"/>
          </w:rPr>
          <w:tab/>
        </w:r>
        <w:r w:rsidRPr="00CC53E5">
          <w:rPr>
            <w:rStyle w:val="Hyperlink"/>
            <w:noProof/>
          </w:rPr>
          <w:t>effectOffset (Effect Offset)</w:t>
        </w:r>
        <w:r>
          <w:rPr>
            <w:noProof/>
            <w:webHidden/>
          </w:rPr>
          <w:tab/>
        </w:r>
        <w:r>
          <w:rPr>
            <w:noProof/>
            <w:webHidden/>
          </w:rPr>
          <w:fldChar w:fldCharType="begin"/>
        </w:r>
        <w:r>
          <w:rPr>
            <w:noProof/>
            <w:webHidden/>
          </w:rPr>
          <w:instrText xml:space="preserve"> PAGEREF _Toc69879756 \h </w:instrText>
        </w:r>
        <w:r>
          <w:rPr>
            <w:noProof/>
            <w:webHidden/>
          </w:rPr>
        </w:r>
        <w:r>
          <w:rPr>
            <w:noProof/>
            <w:webHidden/>
          </w:rPr>
          <w:fldChar w:fldCharType="separate"/>
        </w:r>
        <w:r>
          <w:rPr>
            <w:noProof/>
            <w:webHidden/>
          </w:rPr>
          <w:t>835</w:t>
        </w:r>
        <w:r>
          <w:rPr>
            <w:noProof/>
            <w:webHidden/>
          </w:rPr>
          <w:fldChar w:fldCharType="end"/>
        </w:r>
      </w:hyperlink>
    </w:p>
    <w:p w:rsidR="00B42EF3" w:rsidRDefault="00B42EF3">
      <w:pPr>
        <w:pStyle w:val="TOC2"/>
        <w:rPr>
          <w:rFonts w:asciiTheme="minorHAnsi" w:eastAsiaTheme="minorEastAsia" w:hAnsiTheme="minorHAnsi" w:cstheme="minorBidi"/>
          <w:noProof/>
          <w:sz w:val="22"/>
          <w:szCs w:val="22"/>
        </w:rPr>
      </w:pPr>
      <w:hyperlink w:anchor="_Toc69879757" w:history="1">
        <w:r w:rsidRPr="00CC53E5">
          <w:rPr>
            <w:rStyle w:val="Hyperlink"/>
            <w:noProof/>
          </w:rPr>
          <w:t>3.2</w:t>
        </w:r>
        <w:r>
          <w:rPr>
            <w:rFonts w:asciiTheme="minorHAnsi" w:eastAsiaTheme="minorEastAsia" w:hAnsiTheme="minorHAnsi" w:cstheme="minorBidi"/>
            <w:noProof/>
            <w:sz w:val="22"/>
            <w:szCs w:val="22"/>
          </w:rPr>
          <w:tab/>
        </w:r>
        <w:r w:rsidRPr="00CC53E5">
          <w:rPr>
            <w:rStyle w:val="Hyperlink"/>
            <w:noProof/>
          </w:rPr>
          <w:t>Excel</w:t>
        </w:r>
        <w:r>
          <w:rPr>
            <w:noProof/>
            <w:webHidden/>
          </w:rPr>
          <w:tab/>
        </w:r>
        <w:r>
          <w:rPr>
            <w:noProof/>
            <w:webHidden/>
          </w:rPr>
          <w:fldChar w:fldCharType="begin"/>
        </w:r>
        <w:r>
          <w:rPr>
            <w:noProof/>
            <w:webHidden/>
          </w:rPr>
          <w:instrText xml:space="preserve"> PAGEREF _Toc69879757 \h </w:instrText>
        </w:r>
        <w:r>
          <w:rPr>
            <w:noProof/>
            <w:webHidden/>
          </w:rPr>
        </w:r>
        <w:r>
          <w:rPr>
            <w:noProof/>
            <w:webHidden/>
          </w:rPr>
          <w:fldChar w:fldCharType="separate"/>
        </w:r>
        <w:r>
          <w:rPr>
            <w:noProof/>
            <w:webHidden/>
          </w:rPr>
          <w:t>836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758" w:history="1">
        <w:r w:rsidRPr="00CC53E5">
          <w:rPr>
            <w:rStyle w:val="Hyperlink"/>
            <w:noProof/>
          </w:rPr>
          <w:t>3.2.1</w:t>
        </w:r>
        <w:r>
          <w:rPr>
            <w:rFonts w:asciiTheme="minorHAnsi" w:eastAsiaTheme="minorEastAsia" w:hAnsiTheme="minorHAnsi" w:cstheme="minorBidi"/>
            <w:noProof/>
            <w:sz w:val="22"/>
            <w:szCs w:val="22"/>
          </w:rPr>
          <w:tab/>
        </w:r>
        <w:r w:rsidRPr="00CC53E5">
          <w:rPr>
            <w:rStyle w:val="Hyperlink"/>
            <w:noProof/>
          </w:rPr>
          <w:t>Additional Parts</w:t>
        </w:r>
        <w:r>
          <w:rPr>
            <w:noProof/>
            <w:webHidden/>
          </w:rPr>
          <w:tab/>
        </w:r>
        <w:r>
          <w:rPr>
            <w:noProof/>
            <w:webHidden/>
          </w:rPr>
          <w:fldChar w:fldCharType="begin"/>
        </w:r>
        <w:r>
          <w:rPr>
            <w:noProof/>
            <w:webHidden/>
          </w:rPr>
          <w:instrText xml:space="preserve"> PAGEREF _Toc69879758 \h </w:instrText>
        </w:r>
        <w:r>
          <w:rPr>
            <w:noProof/>
            <w:webHidden/>
          </w:rPr>
        </w:r>
        <w:r>
          <w:rPr>
            <w:noProof/>
            <w:webHidden/>
          </w:rPr>
          <w:fldChar w:fldCharType="separate"/>
        </w:r>
        <w:r>
          <w:rPr>
            <w:noProof/>
            <w:webHidden/>
          </w:rPr>
          <w:t>836</w:t>
        </w:r>
        <w:r>
          <w:rPr>
            <w:noProof/>
            <w:webHidden/>
          </w:rPr>
          <w:fldChar w:fldCharType="end"/>
        </w:r>
      </w:hyperlink>
    </w:p>
    <w:p w:rsidR="00B42EF3" w:rsidRDefault="00B42EF3">
      <w:pPr>
        <w:pStyle w:val="TOC4"/>
        <w:rPr>
          <w:rFonts w:asciiTheme="minorHAnsi" w:eastAsiaTheme="minorEastAsia" w:hAnsiTheme="minorHAnsi" w:cstheme="minorBidi"/>
          <w:noProof/>
          <w:sz w:val="22"/>
          <w:szCs w:val="22"/>
        </w:rPr>
      </w:pPr>
      <w:hyperlink w:anchor="_Toc69879759" w:history="1">
        <w:r w:rsidRPr="00CC53E5">
          <w:rPr>
            <w:rStyle w:val="Hyperlink"/>
            <w:noProof/>
          </w:rPr>
          <w:t>3.2.1.1</w:t>
        </w:r>
        <w:r>
          <w:rPr>
            <w:rFonts w:asciiTheme="minorHAnsi" w:eastAsiaTheme="minorEastAsia" w:hAnsiTheme="minorHAnsi" w:cstheme="minorBidi"/>
            <w:noProof/>
            <w:sz w:val="22"/>
            <w:szCs w:val="22"/>
          </w:rPr>
          <w:tab/>
        </w:r>
        <w:r w:rsidRPr="00CC53E5">
          <w:rPr>
            <w:rStyle w:val="Hyperlink"/>
            <w:noProof/>
          </w:rPr>
          <w:t>Excel Attached Toolbars Part</w:t>
        </w:r>
        <w:r>
          <w:rPr>
            <w:noProof/>
            <w:webHidden/>
          </w:rPr>
          <w:tab/>
        </w:r>
        <w:r>
          <w:rPr>
            <w:noProof/>
            <w:webHidden/>
          </w:rPr>
          <w:fldChar w:fldCharType="begin"/>
        </w:r>
        <w:r>
          <w:rPr>
            <w:noProof/>
            <w:webHidden/>
          </w:rPr>
          <w:instrText xml:space="preserve"> PAGEREF _Toc69879759 \h </w:instrText>
        </w:r>
        <w:r>
          <w:rPr>
            <w:noProof/>
            <w:webHidden/>
          </w:rPr>
        </w:r>
        <w:r>
          <w:rPr>
            <w:noProof/>
            <w:webHidden/>
          </w:rPr>
          <w:fldChar w:fldCharType="separate"/>
        </w:r>
        <w:r>
          <w:rPr>
            <w:noProof/>
            <w:webHidden/>
          </w:rPr>
          <w:t>836</w:t>
        </w:r>
        <w:r>
          <w:rPr>
            <w:noProof/>
            <w:webHidden/>
          </w:rPr>
          <w:fldChar w:fldCharType="end"/>
        </w:r>
      </w:hyperlink>
    </w:p>
    <w:p w:rsidR="00B42EF3" w:rsidRDefault="00B42EF3">
      <w:pPr>
        <w:pStyle w:val="TOC4"/>
        <w:rPr>
          <w:rFonts w:asciiTheme="minorHAnsi" w:eastAsiaTheme="minorEastAsia" w:hAnsiTheme="minorHAnsi" w:cstheme="minorBidi"/>
          <w:noProof/>
          <w:sz w:val="22"/>
          <w:szCs w:val="22"/>
        </w:rPr>
      </w:pPr>
      <w:hyperlink w:anchor="_Toc69879760" w:history="1">
        <w:r w:rsidRPr="00CC53E5">
          <w:rPr>
            <w:rStyle w:val="Hyperlink"/>
            <w:noProof/>
          </w:rPr>
          <w:t>3.2.1.2</w:t>
        </w:r>
        <w:r>
          <w:rPr>
            <w:rFonts w:asciiTheme="minorHAnsi" w:eastAsiaTheme="minorEastAsia" w:hAnsiTheme="minorHAnsi" w:cstheme="minorBidi"/>
            <w:noProof/>
            <w:sz w:val="22"/>
            <w:szCs w:val="22"/>
          </w:rPr>
          <w:tab/>
        </w:r>
        <w:r w:rsidRPr="00CC53E5">
          <w:rPr>
            <w:rStyle w:val="Hyperlink"/>
            <w:noProof/>
          </w:rPr>
          <w:t>Worksheet Sort Map Part</w:t>
        </w:r>
        <w:r>
          <w:rPr>
            <w:noProof/>
            <w:webHidden/>
          </w:rPr>
          <w:tab/>
        </w:r>
        <w:r>
          <w:rPr>
            <w:noProof/>
            <w:webHidden/>
          </w:rPr>
          <w:fldChar w:fldCharType="begin"/>
        </w:r>
        <w:r>
          <w:rPr>
            <w:noProof/>
            <w:webHidden/>
          </w:rPr>
          <w:instrText xml:space="preserve"> PAGEREF _Toc69879760 \h </w:instrText>
        </w:r>
        <w:r>
          <w:rPr>
            <w:noProof/>
            <w:webHidden/>
          </w:rPr>
        </w:r>
        <w:r>
          <w:rPr>
            <w:noProof/>
            <w:webHidden/>
          </w:rPr>
          <w:fldChar w:fldCharType="separate"/>
        </w:r>
        <w:r>
          <w:rPr>
            <w:noProof/>
            <w:webHidden/>
          </w:rPr>
          <w:t>837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761" w:history="1">
        <w:r w:rsidRPr="00CC53E5">
          <w:rPr>
            <w:rStyle w:val="Hyperlink"/>
            <w:noProof/>
          </w:rPr>
          <w:t>3.2.2</w:t>
        </w:r>
        <w:r>
          <w:rPr>
            <w:rFonts w:asciiTheme="minorHAnsi" w:eastAsiaTheme="minorEastAsia" w:hAnsiTheme="minorHAnsi" w:cstheme="minorBidi"/>
            <w:noProof/>
            <w:sz w:val="22"/>
            <w:szCs w:val="22"/>
          </w:rPr>
          <w:tab/>
        </w:r>
        <w:r w:rsidRPr="00CC53E5">
          <w:rPr>
            <w:rStyle w:val="Hyperlink"/>
            <w:noProof/>
          </w:rPr>
          <w:t>Microsoft Office Excel Sortmap</w:t>
        </w:r>
        <w:r>
          <w:rPr>
            <w:noProof/>
            <w:webHidden/>
          </w:rPr>
          <w:tab/>
        </w:r>
        <w:r>
          <w:rPr>
            <w:noProof/>
            <w:webHidden/>
          </w:rPr>
          <w:fldChar w:fldCharType="begin"/>
        </w:r>
        <w:r>
          <w:rPr>
            <w:noProof/>
            <w:webHidden/>
          </w:rPr>
          <w:instrText xml:space="preserve"> PAGEREF _Toc69879761 \h </w:instrText>
        </w:r>
        <w:r>
          <w:rPr>
            <w:noProof/>
            <w:webHidden/>
          </w:rPr>
        </w:r>
        <w:r>
          <w:rPr>
            <w:noProof/>
            <w:webHidden/>
          </w:rPr>
          <w:fldChar w:fldCharType="separate"/>
        </w:r>
        <w:r>
          <w:rPr>
            <w:noProof/>
            <w:webHidden/>
          </w:rPr>
          <w:t>837</w:t>
        </w:r>
        <w:r>
          <w:rPr>
            <w:noProof/>
            <w:webHidden/>
          </w:rPr>
          <w:fldChar w:fldCharType="end"/>
        </w:r>
      </w:hyperlink>
    </w:p>
    <w:p w:rsidR="00B42EF3" w:rsidRDefault="00B42EF3">
      <w:pPr>
        <w:pStyle w:val="TOC4"/>
        <w:rPr>
          <w:rFonts w:asciiTheme="minorHAnsi" w:eastAsiaTheme="minorEastAsia" w:hAnsiTheme="minorHAnsi" w:cstheme="minorBidi"/>
          <w:noProof/>
          <w:sz w:val="22"/>
          <w:szCs w:val="22"/>
        </w:rPr>
      </w:pPr>
      <w:hyperlink w:anchor="_Toc69879762" w:history="1">
        <w:r w:rsidRPr="00CC53E5">
          <w:rPr>
            <w:rStyle w:val="Hyperlink"/>
            <w:noProof/>
          </w:rPr>
          <w:t>3.2.2.1</w:t>
        </w:r>
        <w:r>
          <w:rPr>
            <w:rFonts w:asciiTheme="minorHAnsi" w:eastAsiaTheme="minorEastAsia" w:hAnsiTheme="minorHAnsi" w:cstheme="minorBidi"/>
            <w:noProof/>
            <w:sz w:val="22"/>
            <w:szCs w:val="22"/>
          </w:rPr>
          <w:tab/>
        </w:r>
        <w:r w:rsidRPr="00CC53E5">
          <w:rPr>
            <w:rStyle w:val="Hyperlink"/>
            <w:noProof/>
          </w:rPr>
          <w:t>Sortmap Elements</w:t>
        </w:r>
        <w:r>
          <w:rPr>
            <w:noProof/>
            <w:webHidden/>
          </w:rPr>
          <w:tab/>
        </w:r>
        <w:r>
          <w:rPr>
            <w:noProof/>
            <w:webHidden/>
          </w:rPr>
          <w:fldChar w:fldCharType="begin"/>
        </w:r>
        <w:r>
          <w:rPr>
            <w:noProof/>
            <w:webHidden/>
          </w:rPr>
          <w:instrText xml:space="preserve"> PAGEREF _Toc69879762 \h </w:instrText>
        </w:r>
        <w:r>
          <w:rPr>
            <w:noProof/>
            <w:webHidden/>
          </w:rPr>
        </w:r>
        <w:r>
          <w:rPr>
            <w:noProof/>
            <w:webHidden/>
          </w:rPr>
          <w:fldChar w:fldCharType="separate"/>
        </w:r>
        <w:r>
          <w:rPr>
            <w:noProof/>
            <w:webHidden/>
          </w:rPr>
          <w:t>838</w:t>
        </w:r>
        <w:r>
          <w:rPr>
            <w:noProof/>
            <w:webHidden/>
          </w:rPr>
          <w:fldChar w:fldCharType="end"/>
        </w:r>
      </w:hyperlink>
    </w:p>
    <w:p w:rsidR="00B42EF3" w:rsidRDefault="00B42EF3">
      <w:pPr>
        <w:pStyle w:val="TOC5"/>
        <w:rPr>
          <w:rFonts w:asciiTheme="minorHAnsi" w:eastAsiaTheme="minorEastAsia" w:hAnsiTheme="minorHAnsi" w:cstheme="minorBidi"/>
          <w:noProof/>
          <w:sz w:val="22"/>
          <w:szCs w:val="22"/>
        </w:rPr>
      </w:pPr>
      <w:hyperlink w:anchor="_Toc69879763" w:history="1">
        <w:r w:rsidRPr="00CC53E5">
          <w:rPr>
            <w:rStyle w:val="Hyperlink"/>
            <w:noProof/>
          </w:rPr>
          <w:t>3.2.2.1.1</w:t>
        </w:r>
        <w:r>
          <w:rPr>
            <w:rFonts w:asciiTheme="minorHAnsi" w:eastAsiaTheme="minorEastAsia" w:hAnsiTheme="minorHAnsi" w:cstheme="minorBidi"/>
            <w:noProof/>
            <w:sz w:val="22"/>
            <w:szCs w:val="22"/>
          </w:rPr>
          <w:tab/>
        </w:r>
        <w:r w:rsidRPr="00CC53E5">
          <w:rPr>
            <w:rStyle w:val="Hyperlink"/>
            <w:noProof/>
          </w:rPr>
          <w:t>col (Column)</w:t>
        </w:r>
        <w:r>
          <w:rPr>
            <w:noProof/>
            <w:webHidden/>
          </w:rPr>
          <w:tab/>
        </w:r>
        <w:r>
          <w:rPr>
            <w:noProof/>
            <w:webHidden/>
          </w:rPr>
          <w:fldChar w:fldCharType="begin"/>
        </w:r>
        <w:r>
          <w:rPr>
            <w:noProof/>
            <w:webHidden/>
          </w:rPr>
          <w:instrText xml:space="preserve"> PAGEREF _Toc69879763 \h </w:instrText>
        </w:r>
        <w:r>
          <w:rPr>
            <w:noProof/>
            <w:webHidden/>
          </w:rPr>
        </w:r>
        <w:r>
          <w:rPr>
            <w:noProof/>
            <w:webHidden/>
          </w:rPr>
          <w:fldChar w:fldCharType="separate"/>
        </w:r>
        <w:r>
          <w:rPr>
            <w:noProof/>
            <w:webHidden/>
          </w:rPr>
          <w:t>839</w:t>
        </w:r>
        <w:r>
          <w:rPr>
            <w:noProof/>
            <w:webHidden/>
          </w:rPr>
          <w:fldChar w:fldCharType="end"/>
        </w:r>
      </w:hyperlink>
    </w:p>
    <w:p w:rsidR="00B42EF3" w:rsidRDefault="00B42EF3">
      <w:pPr>
        <w:pStyle w:val="TOC5"/>
        <w:rPr>
          <w:rFonts w:asciiTheme="minorHAnsi" w:eastAsiaTheme="minorEastAsia" w:hAnsiTheme="minorHAnsi" w:cstheme="minorBidi"/>
          <w:noProof/>
          <w:sz w:val="22"/>
          <w:szCs w:val="22"/>
        </w:rPr>
      </w:pPr>
      <w:hyperlink w:anchor="_Toc69879764" w:history="1">
        <w:r w:rsidRPr="00CC53E5">
          <w:rPr>
            <w:rStyle w:val="Hyperlink"/>
            <w:noProof/>
          </w:rPr>
          <w:t>3.2.2.1.2</w:t>
        </w:r>
        <w:r>
          <w:rPr>
            <w:rFonts w:asciiTheme="minorHAnsi" w:eastAsiaTheme="minorEastAsia" w:hAnsiTheme="minorHAnsi" w:cstheme="minorBidi"/>
            <w:noProof/>
            <w:sz w:val="22"/>
            <w:szCs w:val="22"/>
          </w:rPr>
          <w:tab/>
        </w:r>
        <w:r w:rsidRPr="00CC53E5">
          <w:rPr>
            <w:rStyle w:val="Hyperlink"/>
            <w:noProof/>
          </w:rPr>
          <w:t>colSortMap (Column Sort Map)</w:t>
        </w:r>
        <w:r>
          <w:rPr>
            <w:noProof/>
            <w:webHidden/>
          </w:rPr>
          <w:tab/>
        </w:r>
        <w:r>
          <w:rPr>
            <w:noProof/>
            <w:webHidden/>
          </w:rPr>
          <w:fldChar w:fldCharType="begin"/>
        </w:r>
        <w:r>
          <w:rPr>
            <w:noProof/>
            <w:webHidden/>
          </w:rPr>
          <w:instrText xml:space="preserve"> PAGEREF _Toc69879764 \h </w:instrText>
        </w:r>
        <w:r>
          <w:rPr>
            <w:noProof/>
            <w:webHidden/>
          </w:rPr>
        </w:r>
        <w:r>
          <w:rPr>
            <w:noProof/>
            <w:webHidden/>
          </w:rPr>
          <w:fldChar w:fldCharType="separate"/>
        </w:r>
        <w:r>
          <w:rPr>
            <w:noProof/>
            <w:webHidden/>
          </w:rPr>
          <w:t>840</w:t>
        </w:r>
        <w:r>
          <w:rPr>
            <w:noProof/>
            <w:webHidden/>
          </w:rPr>
          <w:fldChar w:fldCharType="end"/>
        </w:r>
      </w:hyperlink>
    </w:p>
    <w:p w:rsidR="00B42EF3" w:rsidRDefault="00B42EF3">
      <w:pPr>
        <w:pStyle w:val="TOC5"/>
        <w:rPr>
          <w:rFonts w:asciiTheme="minorHAnsi" w:eastAsiaTheme="minorEastAsia" w:hAnsiTheme="minorHAnsi" w:cstheme="minorBidi"/>
          <w:noProof/>
          <w:sz w:val="22"/>
          <w:szCs w:val="22"/>
        </w:rPr>
      </w:pPr>
      <w:hyperlink w:anchor="_Toc69879765" w:history="1">
        <w:r w:rsidRPr="00CC53E5">
          <w:rPr>
            <w:rStyle w:val="Hyperlink"/>
            <w:noProof/>
          </w:rPr>
          <w:t>3.2.2.1.3</w:t>
        </w:r>
        <w:r>
          <w:rPr>
            <w:rFonts w:asciiTheme="minorHAnsi" w:eastAsiaTheme="minorEastAsia" w:hAnsiTheme="minorHAnsi" w:cstheme="minorBidi"/>
            <w:noProof/>
            <w:sz w:val="22"/>
            <w:szCs w:val="22"/>
          </w:rPr>
          <w:tab/>
        </w:r>
        <w:r w:rsidRPr="00CC53E5">
          <w:rPr>
            <w:rStyle w:val="Hyperlink"/>
            <w:noProof/>
          </w:rPr>
          <w:t>row (Row)</w:t>
        </w:r>
        <w:r>
          <w:rPr>
            <w:noProof/>
            <w:webHidden/>
          </w:rPr>
          <w:tab/>
        </w:r>
        <w:r>
          <w:rPr>
            <w:noProof/>
            <w:webHidden/>
          </w:rPr>
          <w:fldChar w:fldCharType="begin"/>
        </w:r>
        <w:r>
          <w:rPr>
            <w:noProof/>
            <w:webHidden/>
          </w:rPr>
          <w:instrText xml:space="preserve"> PAGEREF _Toc69879765 \h </w:instrText>
        </w:r>
        <w:r>
          <w:rPr>
            <w:noProof/>
            <w:webHidden/>
          </w:rPr>
        </w:r>
        <w:r>
          <w:rPr>
            <w:noProof/>
            <w:webHidden/>
          </w:rPr>
          <w:fldChar w:fldCharType="separate"/>
        </w:r>
        <w:r>
          <w:rPr>
            <w:noProof/>
            <w:webHidden/>
          </w:rPr>
          <w:t>841</w:t>
        </w:r>
        <w:r>
          <w:rPr>
            <w:noProof/>
            <w:webHidden/>
          </w:rPr>
          <w:fldChar w:fldCharType="end"/>
        </w:r>
      </w:hyperlink>
    </w:p>
    <w:p w:rsidR="00B42EF3" w:rsidRDefault="00B42EF3">
      <w:pPr>
        <w:pStyle w:val="TOC5"/>
        <w:rPr>
          <w:rFonts w:asciiTheme="minorHAnsi" w:eastAsiaTheme="minorEastAsia" w:hAnsiTheme="minorHAnsi" w:cstheme="minorBidi"/>
          <w:noProof/>
          <w:sz w:val="22"/>
          <w:szCs w:val="22"/>
        </w:rPr>
      </w:pPr>
      <w:hyperlink w:anchor="_Toc69879766" w:history="1">
        <w:r w:rsidRPr="00CC53E5">
          <w:rPr>
            <w:rStyle w:val="Hyperlink"/>
            <w:noProof/>
          </w:rPr>
          <w:t>3.2.2.1.4</w:t>
        </w:r>
        <w:r>
          <w:rPr>
            <w:rFonts w:asciiTheme="minorHAnsi" w:eastAsiaTheme="minorEastAsia" w:hAnsiTheme="minorHAnsi" w:cstheme="minorBidi"/>
            <w:noProof/>
            <w:sz w:val="22"/>
            <w:szCs w:val="22"/>
          </w:rPr>
          <w:tab/>
        </w:r>
        <w:r w:rsidRPr="00CC53E5">
          <w:rPr>
            <w:rStyle w:val="Hyperlink"/>
            <w:noProof/>
          </w:rPr>
          <w:t>rowSortMap (Row Sort Map)</w:t>
        </w:r>
        <w:r>
          <w:rPr>
            <w:noProof/>
            <w:webHidden/>
          </w:rPr>
          <w:tab/>
        </w:r>
        <w:r>
          <w:rPr>
            <w:noProof/>
            <w:webHidden/>
          </w:rPr>
          <w:fldChar w:fldCharType="begin"/>
        </w:r>
        <w:r>
          <w:rPr>
            <w:noProof/>
            <w:webHidden/>
          </w:rPr>
          <w:instrText xml:space="preserve"> PAGEREF _Toc69879766 \h </w:instrText>
        </w:r>
        <w:r>
          <w:rPr>
            <w:noProof/>
            <w:webHidden/>
          </w:rPr>
        </w:r>
        <w:r>
          <w:rPr>
            <w:noProof/>
            <w:webHidden/>
          </w:rPr>
          <w:fldChar w:fldCharType="separate"/>
        </w:r>
        <w:r>
          <w:rPr>
            <w:noProof/>
            <w:webHidden/>
          </w:rPr>
          <w:t>841</w:t>
        </w:r>
        <w:r>
          <w:rPr>
            <w:noProof/>
            <w:webHidden/>
          </w:rPr>
          <w:fldChar w:fldCharType="end"/>
        </w:r>
      </w:hyperlink>
    </w:p>
    <w:p w:rsidR="00B42EF3" w:rsidRDefault="00B42EF3">
      <w:pPr>
        <w:pStyle w:val="TOC5"/>
        <w:rPr>
          <w:rFonts w:asciiTheme="minorHAnsi" w:eastAsiaTheme="minorEastAsia" w:hAnsiTheme="minorHAnsi" w:cstheme="minorBidi"/>
          <w:noProof/>
          <w:sz w:val="22"/>
          <w:szCs w:val="22"/>
        </w:rPr>
      </w:pPr>
      <w:hyperlink w:anchor="_Toc69879767" w:history="1">
        <w:r w:rsidRPr="00CC53E5">
          <w:rPr>
            <w:rStyle w:val="Hyperlink"/>
            <w:noProof/>
          </w:rPr>
          <w:t>3.2.2.1.5</w:t>
        </w:r>
        <w:r>
          <w:rPr>
            <w:rFonts w:asciiTheme="minorHAnsi" w:eastAsiaTheme="minorEastAsia" w:hAnsiTheme="minorHAnsi" w:cstheme="minorBidi"/>
            <w:noProof/>
            <w:sz w:val="22"/>
            <w:szCs w:val="22"/>
          </w:rPr>
          <w:tab/>
        </w:r>
        <w:r w:rsidRPr="00CC53E5">
          <w:rPr>
            <w:rStyle w:val="Hyperlink"/>
            <w:noProof/>
          </w:rPr>
          <w:t>worksheetSortMap (Worksheet Sort Map)</w:t>
        </w:r>
        <w:r>
          <w:rPr>
            <w:noProof/>
            <w:webHidden/>
          </w:rPr>
          <w:tab/>
        </w:r>
        <w:r>
          <w:rPr>
            <w:noProof/>
            <w:webHidden/>
          </w:rPr>
          <w:fldChar w:fldCharType="begin"/>
        </w:r>
        <w:r>
          <w:rPr>
            <w:noProof/>
            <w:webHidden/>
          </w:rPr>
          <w:instrText xml:space="preserve"> PAGEREF _Toc69879767 \h </w:instrText>
        </w:r>
        <w:r>
          <w:rPr>
            <w:noProof/>
            <w:webHidden/>
          </w:rPr>
        </w:r>
        <w:r>
          <w:rPr>
            <w:noProof/>
            <w:webHidden/>
          </w:rPr>
          <w:fldChar w:fldCharType="separate"/>
        </w:r>
        <w:r>
          <w:rPr>
            <w:noProof/>
            <w:webHidden/>
          </w:rPr>
          <w:t>842</w:t>
        </w:r>
        <w:r>
          <w:rPr>
            <w:noProof/>
            <w:webHidden/>
          </w:rPr>
          <w:fldChar w:fldCharType="end"/>
        </w:r>
      </w:hyperlink>
    </w:p>
    <w:p w:rsidR="00B42EF3" w:rsidRDefault="00B42EF3">
      <w:pPr>
        <w:pStyle w:val="TOC4"/>
        <w:rPr>
          <w:rFonts w:asciiTheme="minorHAnsi" w:eastAsiaTheme="minorEastAsia" w:hAnsiTheme="minorHAnsi" w:cstheme="minorBidi"/>
          <w:noProof/>
          <w:sz w:val="22"/>
          <w:szCs w:val="22"/>
        </w:rPr>
      </w:pPr>
      <w:hyperlink w:anchor="_Toc69879768" w:history="1">
        <w:r w:rsidRPr="00CC53E5">
          <w:rPr>
            <w:rStyle w:val="Hyperlink"/>
            <w:noProof/>
          </w:rPr>
          <w:t>3.2.2.2</w:t>
        </w:r>
        <w:r>
          <w:rPr>
            <w:rFonts w:asciiTheme="minorHAnsi" w:eastAsiaTheme="minorEastAsia" w:hAnsiTheme="minorHAnsi" w:cstheme="minorBidi"/>
            <w:noProof/>
            <w:sz w:val="22"/>
            <w:szCs w:val="22"/>
          </w:rPr>
          <w:tab/>
        </w:r>
        <w:r w:rsidRPr="00CC53E5">
          <w:rPr>
            <w:rStyle w:val="Hyperlink"/>
            <w:noProof/>
          </w:rPr>
          <w:t>Simple Types</w:t>
        </w:r>
        <w:r>
          <w:rPr>
            <w:noProof/>
            <w:webHidden/>
          </w:rPr>
          <w:tab/>
        </w:r>
        <w:r>
          <w:rPr>
            <w:noProof/>
            <w:webHidden/>
          </w:rPr>
          <w:fldChar w:fldCharType="begin"/>
        </w:r>
        <w:r>
          <w:rPr>
            <w:noProof/>
            <w:webHidden/>
          </w:rPr>
          <w:instrText xml:space="preserve"> PAGEREF _Toc69879768 \h </w:instrText>
        </w:r>
        <w:r>
          <w:rPr>
            <w:noProof/>
            <w:webHidden/>
          </w:rPr>
        </w:r>
        <w:r>
          <w:rPr>
            <w:noProof/>
            <w:webHidden/>
          </w:rPr>
          <w:fldChar w:fldCharType="separate"/>
        </w:r>
        <w:r>
          <w:rPr>
            <w:noProof/>
            <w:webHidden/>
          </w:rPr>
          <w:t>843</w:t>
        </w:r>
        <w:r>
          <w:rPr>
            <w:noProof/>
            <w:webHidden/>
          </w:rPr>
          <w:fldChar w:fldCharType="end"/>
        </w:r>
      </w:hyperlink>
    </w:p>
    <w:p w:rsidR="00B42EF3" w:rsidRDefault="00B42EF3">
      <w:pPr>
        <w:pStyle w:val="TOC5"/>
        <w:rPr>
          <w:rFonts w:asciiTheme="minorHAnsi" w:eastAsiaTheme="minorEastAsia" w:hAnsiTheme="minorHAnsi" w:cstheme="minorBidi"/>
          <w:noProof/>
          <w:sz w:val="22"/>
          <w:szCs w:val="22"/>
        </w:rPr>
      </w:pPr>
      <w:hyperlink w:anchor="_Toc69879769" w:history="1">
        <w:r w:rsidRPr="00CC53E5">
          <w:rPr>
            <w:rStyle w:val="Hyperlink"/>
            <w:noProof/>
          </w:rPr>
          <w:t>3.2.2.2.1</w:t>
        </w:r>
        <w:r>
          <w:rPr>
            <w:rFonts w:asciiTheme="minorHAnsi" w:eastAsiaTheme="minorEastAsia" w:hAnsiTheme="minorHAnsi" w:cstheme="minorBidi"/>
            <w:noProof/>
            <w:sz w:val="22"/>
            <w:szCs w:val="22"/>
          </w:rPr>
          <w:tab/>
        </w:r>
        <w:r w:rsidRPr="00CC53E5">
          <w:rPr>
            <w:rStyle w:val="Hyperlink"/>
            <w:noProof/>
          </w:rPr>
          <w:t>ST_SortMapCount (Sort Map Count)</w:t>
        </w:r>
        <w:r>
          <w:rPr>
            <w:noProof/>
            <w:webHidden/>
          </w:rPr>
          <w:tab/>
        </w:r>
        <w:r>
          <w:rPr>
            <w:noProof/>
            <w:webHidden/>
          </w:rPr>
          <w:fldChar w:fldCharType="begin"/>
        </w:r>
        <w:r>
          <w:rPr>
            <w:noProof/>
            <w:webHidden/>
          </w:rPr>
          <w:instrText xml:space="preserve"> PAGEREF _Toc69879769 \h </w:instrText>
        </w:r>
        <w:r>
          <w:rPr>
            <w:noProof/>
            <w:webHidden/>
          </w:rPr>
        </w:r>
        <w:r>
          <w:rPr>
            <w:noProof/>
            <w:webHidden/>
          </w:rPr>
          <w:fldChar w:fldCharType="separate"/>
        </w:r>
        <w:r>
          <w:rPr>
            <w:noProof/>
            <w:webHidden/>
          </w:rPr>
          <w:t>843</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770" w:history="1">
        <w:r w:rsidRPr="00CC53E5">
          <w:rPr>
            <w:rStyle w:val="Hyperlink"/>
            <w:noProof/>
          </w:rPr>
          <w:t>3.2.3</w:t>
        </w:r>
        <w:r>
          <w:rPr>
            <w:rFonts w:asciiTheme="minorHAnsi" w:eastAsiaTheme="minorEastAsia" w:hAnsiTheme="minorHAnsi" w:cstheme="minorBidi"/>
            <w:noProof/>
            <w:sz w:val="22"/>
            <w:szCs w:val="22"/>
          </w:rPr>
          <w:tab/>
        </w:r>
        <w:r w:rsidRPr="00CC53E5">
          <w:rPr>
            <w:rStyle w:val="Hyperlink"/>
            <w:noProof/>
          </w:rPr>
          <w:t>Additional SpreadsheetML Schema</w:t>
        </w:r>
        <w:r>
          <w:rPr>
            <w:noProof/>
            <w:webHidden/>
          </w:rPr>
          <w:tab/>
        </w:r>
        <w:r>
          <w:rPr>
            <w:noProof/>
            <w:webHidden/>
          </w:rPr>
          <w:fldChar w:fldCharType="begin"/>
        </w:r>
        <w:r>
          <w:rPr>
            <w:noProof/>
            <w:webHidden/>
          </w:rPr>
          <w:instrText xml:space="preserve"> PAGEREF _Toc69879770 \h </w:instrText>
        </w:r>
        <w:r>
          <w:rPr>
            <w:noProof/>
            <w:webHidden/>
          </w:rPr>
        </w:r>
        <w:r>
          <w:rPr>
            <w:noProof/>
            <w:webHidden/>
          </w:rPr>
          <w:fldChar w:fldCharType="separate"/>
        </w:r>
        <w:r>
          <w:rPr>
            <w:noProof/>
            <w:webHidden/>
          </w:rPr>
          <w:t>843</w:t>
        </w:r>
        <w:r>
          <w:rPr>
            <w:noProof/>
            <w:webHidden/>
          </w:rPr>
          <w:fldChar w:fldCharType="end"/>
        </w:r>
      </w:hyperlink>
    </w:p>
    <w:p w:rsidR="00B42EF3" w:rsidRDefault="00B42EF3">
      <w:pPr>
        <w:pStyle w:val="TOC4"/>
        <w:rPr>
          <w:rFonts w:asciiTheme="minorHAnsi" w:eastAsiaTheme="minorEastAsia" w:hAnsiTheme="minorHAnsi" w:cstheme="minorBidi"/>
          <w:noProof/>
          <w:sz w:val="22"/>
          <w:szCs w:val="22"/>
        </w:rPr>
      </w:pPr>
      <w:hyperlink w:anchor="_Toc69879771" w:history="1">
        <w:r w:rsidRPr="00CC53E5">
          <w:rPr>
            <w:rStyle w:val="Hyperlink"/>
            <w:noProof/>
          </w:rPr>
          <w:t>3.2.3.1</w:t>
        </w:r>
        <w:r>
          <w:rPr>
            <w:rFonts w:asciiTheme="minorHAnsi" w:eastAsiaTheme="minorEastAsia" w:hAnsiTheme="minorHAnsi" w:cstheme="minorBidi"/>
            <w:noProof/>
            <w:sz w:val="22"/>
            <w:szCs w:val="22"/>
          </w:rPr>
          <w:tab/>
        </w:r>
        <w:r w:rsidRPr="00CC53E5">
          <w:rPr>
            <w:rStyle w:val="Hyperlink"/>
            <w:noProof/>
          </w:rPr>
          <w:t>Formulas</w:t>
        </w:r>
        <w:r>
          <w:rPr>
            <w:noProof/>
            <w:webHidden/>
          </w:rPr>
          <w:tab/>
        </w:r>
        <w:r>
          <w:rPr>
            <w:noProof/>
            <w:webHidden/>
          </w:rPr>
          <w:fldChar w:fldCharType="begin"/>
        </w:r>
        <w:r>
          <w:rPr>
            <w:noProof/>
            <w:webHidden/>
          </w:rPr>
          <w:instrText xml:space="preserve"> PAGEREF _Toc69879771 \h </w:instrText>
        </w:r>
        <w:r>
          <w:rPr>
            <w:noProof/>
            <w:webHidden/>
          </w:rPr>
        </w:r>
        <w:r>
          <w:rPr>
            <w:noProof/>
            <w:webHidden/>
          </w:rPr>
          <w:fldChar w:fldCharType="separate"/>
        </w:r>
        <w:r>
          <w:rPr>
            <w:noProof/>
            <w:webHidden/>
          </w:rPr>
          <w:t>843</w:t>
        </w:r>
        <w:r>
          <w:rPr>
            <w:noProof/>
            <w:webHidden/>
          </w:rPr>
          <w:fldChar w:fldCharType="end"/>
        </w:r>
      </w:hyperlink>
    </w:p>
    <w:p w:rsidR="00B42EF3" w:rsidRDefault="00B42EF3">
      <w:pPr>
        <w:pStyle w:val="TOC5"/>
        <w:rPr>
          <w:rFonts w:asciiTheme="minorHAnsi" w:eastAsiaTheme="minorEastAsia" w:hAnsiTheme="minorHAnsi" w:cstheme="minorBidi"/>
          <w:noProof/>
          <w:sz w:val="22"/>
          <w:szCs w:val="22"/>
        </w:rPr>
      </w:pPr>
      <w:hyperlink w:anchor="_Toc69879772" w:history="1">
        <w:r w:rsidRPr="00CC53E5">
          <w:rPr>
            <w:rStyle w:val="Hyperlink"/>
            <w:noProof/>
          </w:rPr>
          <w:t>3.2.3.1.1</w:t>
        </w:r>
        <w:r>
          <w:rPr>
            <w:rFonts w:asciiTheme="minorHAnsi" w:eastAsiaTheme="minorEastAsia" w:hAnsiTheme="minorHAnsi" w:cstheme="minorBidi"/>
            <w:noProof/>
            <w:sz w:val="22"/>
            <w:szCs w:val="22"/>
          </w:rPr>
          <w:tab/>
        </w:r>
        <w:r w:rsidRPr="00CC53E5">
          <w:rPr>
            <w:rStyle w:val="Hyperlink"/>
            <w:noProof/>
          </w:rPr>
          <w:t>Structure References</w:t>
        </w:r>
        <w:r>
          <w:rPr>
            <w:noProof/>
            <w:webHidden/>
          </w:rPr>
          <w:tab/>
        </w:r>
        <w:r>
          <w:rPr>
            <w:noProof/>
            <w:webHidden/>
          </w:rPr>
          <w:fldChar w:fldCharType="begin"/>
        </w:r>
        <w:r>
          <w:rPr>
            <w:noProof/>
            <w:webHidden/>
          </w:rPr>
          <w:instrText xml:space="preserve"> PAGEREF _Toc69879772 \h </w:instrText>
        </w:r>
        <w:r>
          <w:rPr>
            <w:noProof/>
            <w:webHidden/>
          </w:rPr>
        </w:r>
        <w:r>
          <w:rPr>
            <w:noProof/>
            <w:webHidden/>
          </w:rPr>
          <w:fldChar w:fldCharType="separate"/>
        </w:r>
        <w:r>
          <w:rPr>
            <w:noProof/>
            <w:webHidden/>
          </w:rPr>
          <w:t>843</w:t>
        </w:r>
        <w:r>
          <w:rPr>
            <w:noProof/>
            <w:webHidden/>
          </w:rPr>
          <w:fldChar w:fldCharType="end"/>
        </w:r>
      </w:hyperlink>
    </w:p>
    <w:p w:rsidR="00B42EF3" w:rsidRDefault="00B42EF3">
      <w:pPr>
        <w:pStyle w:val="TOC5"/>
        <w:rPr>
          <w:rFonts w:asciiTheme="minorHAnsi" w:eastAsiaTheme="minorEastAsia" w:hAnsiTheme="minorHAnsi" w:cstheme="minorBidi"/>
          <w:noProof/>
          <w:sz w:val="22"/>
          <w:szCs w:val="22"/>
        </w:rPr>
      </w:pPr>
      <w:hyperlink w:anchor="_Toc69879773" w:history="1">
        <w:r w:rsidRPr="00CC53E5">
          <w:rPr>
            <w:rStyle w:val="Hyperlink"/>
            <w:noProof/>
          </w:rPr>
          <w:t>3.2.3.1.2</w:t>
        </w:r>
        <w:r>
          <w:rPr>
            <w:rFonts w:asciiTheme="minorHAnsi" w:eastAsiaTheme="minorEastAsia" w:hAnsiTheme="minorHAnsi" w:cstheme="minorBidi"/>
            <w:noProof/>
            <w:sz w:val="22"/>
            <w:szCs w:val="22"/>
          </w:rPr>
          <w:tab/>
        </w:r>
        <w:r w:rsidRPr="00CC53E5">
          <w:rPr>
            <w:rStyle w:val="Hyperlink"/>
            <w:noProof/>
          </w:rPr>
          <w:t>Conditional Formatting Formulas</w:t>
        </w:r>
        <w:r>
          <w:rPr>
            <w:noProof/>
            <w:webHidden/>
          </w:rPr>
          <w:tab/>
        </w:r>
        <w:r>
          <w:rPr>
            <w:noProof/>
            <w:webHidden/>
          </w:rPr>
          <w:fldChar w:fldCharType="begin"/>
        </w:r>
        <w:r>
          <w:rPr>
            <w:noProof/>
            <w:webHidden/>
          </w:rPr>
          <w:instrText xml:space="preserve"> PAGEREF _Toc69879773 \h </w:instrText>
        </w:r>
        <w:r>
          <w:rPr>
            <w:noProof/>
            <w:webHidden/>
          </w:rPr>
        </w:r>
        <w:r>
          <w:rPr>
            <w:noProof/>
            <w:webHidden/>
          </w:rPr>
          <w:fldChar w:fldCharType="separate"/>
        </w:r>
        <w:r>
          <w:rPr>
            <w:noProof/>
            <w:webHidden/>
          </w:rPr>
          <w:t>845</w:t>
        </w:r>
        <w:r>
          <w:rPr>
            <w:noProof/>
            <w:webHidden/>
          </w:rPr>
          <w:fldChar w:fldCharType="end"/>
        </w:r>
      </w:hyperlink>
    </w:p>
    <w:p w:rsidR="00B42EF3" w:rsidRDefault="00B42EF3">
      <w:pPr>
        <w:pStyle w:val="TOC5"/>
        <w:rPr>
          <w:rFonts w:asciiTheme="minorHAnsi" w:eastAsiaTheme="minorEastAsia" w:hAnsiTheme="minorHAnsi" w:cstheme="minorBidi"/>
          <w:noProof/>
          <w:sz w:val="22"/>
          <w:szCs w:val="22"/>
        </w:rPr>
      </w:pPr>
      <w:hyperlink w:anchor="_Toc69879774" w:history="1">
        <w:r w:rsidRPr="00CC53E5">
          <w:rPr>
            <w:rStyle w:val="Hyperlink"/>
            <w:noProof/>
          </w:rPr>
          <w:t>3.2.3.1.3</w:t>
        </w:r>
        <w:r>
          <w:rPr>
            <w:rFonts w:asciiTheme="minorHAnsi" w:eastAsiaTheme="minorEastAsia" w:hAnsiTheme="minorHAnsi" w:cstheme="minorBidi"/>
            <w:noProof/>
            <w:sz w:val="22"/>
            <w:szCs w:val="22"/>
          </w:rPr>
          <w:tab/>
        </w:r>
        <w:r w:rsidRPr="00CC53E5">
          <w:rPr>
            <w:rStyle w:val="Hyperlink"/>
            <w:noProof/>
          </w:rPr>
          <w:t>Data Validation Formulas</w:t>
        </w:r>
        <w:r>
          <w:rPr>
            <w:noProof/>
            <w:webHidden/>
          </w:rPr>
          <w:tab/>
        </w:r>
        <w:r>
          <w:rPr>
            <w:noProof/>
            <w:webHidden/>
          </w:rPr>
          <w:fldChar w:fldCharType="begin"/>
        </w:r>
        <w:r>
          <w:rPr>
            <w:noProof/>
            <w:webHidden/>
          </w:rPr>
          <w:instrText xml:space="preserve"> PAGEREF _Toc69879774 \h </w:instrText>
        </w:r>
        <w:r>
          <w:rPr>
            <w:noProof/>
            <w:webHidden/>
          </w:rPr>
        </w:r>
        <w:r>
          <w:rPr>
            <w:noProof/>
            <w:webHidden/>
          </w:rPr>
          <w:fldChar w:fldCharType="separate"/>
        </w:r>
        <w:r>
          <w:rPr>
            <w:noProof/>
            <w:webHidden/>
          </w:rPr>
          <w:t>845</w:t>
        </w:r>
        <w:r>
          <w:rPr>
            <w:noProof/>
            <w:webHidden/>
          </w:rPr>
          <w:fldChar w:fldCharType="end"/>
        </w:r>
      </w:hyperlink>
    </w:p>
    <w:p w:rsidR="00B42EF3" w:rsidRDefault="00B42EF3">
      <w:pPr>
        <w:pStyle w:val="TOC5"/>
        <w:rPr>
          <w:rFonts w:asciiTheme="minorHAnsi" w:eastAsiaTheme="minorEastAsia" w:hAnsiTheme="minorHAnsi" w:cstheme="minorBidi"/>
          <w:noProof/>
          <w:sz w:val="22"/>
          <w:szCs w:val="22"/>
        </w:rPr>
      </w:pPr>
      <w:hyperlink w:anchor="_Toc69879775" w:history="1">
        <w:r w:rsidRPr="00CC53E5">
          <w:rPr>
            <w:rStyle w:val="Hyperlink"/>
            <w:noProof/>
          </w:rPr>
          <w:t>3.2.3.1.4</w:t>
        </w:r>
        <w:r>
          <w:rPr>
            <w:rFonts w:asciiTheme="minorHAnsi" w:eastAsiaTheme="minorEastAsia" w:hAnsiTheme="minorHAnsi" w:cstheme="minorBidi"/>
            <w:noProof/>
            <w:sz w:val="22"/>
            <w:szCs w:val="22"/>
          </w:rPr>
          <w:tab/>
        </w:r>
        <w:r w:rsidRPr="00CC53E5">
          <w:rPr>
            <w:rStyle w:val="Hyperlink"/>
            <w:noProof/>
          </w:rPr>
          <w:t>Name Formulas</w:t>
        </w:r>
        <w:r>
          <w:rPr>
            <w:noProof/>
            <w:webHidden/>
          </w:rPr>
          <w:tab/>
        </w:r>
        <w:r>
          <w:rPr>
            <w:noProof/>
            <w:webHidden/>
          </w:rPr>
          <w:fldChar w:fldCharType="begin"/>
        </w:r>
        <w:r>
          <w:rPr>
            <w:noProof/>
            <w:webHidden/>
          </w:rPr>
          <w:instrText xml:space="preserve"> PAGEREF _Toc69879775 \h </w:instrText>
        </w:r>
        <w:r>
          <w:rPr>
            <w:noProof/>
            <w:webHidden/>
          </w:rPr>
        </w:r>
        <w:r>
          <w:rPr>
            <w:noProof/>
            <w:webHidden/>
          </w:rPr>
          <w:fldChar w:fldCharType="separate"/>
        </w:r>
        <w:r>
          <w:rPr>
            <w:noProof/>
            <w:webHidden/>
          </w:rPr>
          <w:t>846</w:t>
        </w:r>
        <w:r>
          <w:rPr>
            <w:noProof/>
            <w:webHidden/>
          </w:rPr>
          <w:fldChar w:fldCharType="end"/>
        </w:r>
      </w:hyperlink>
    </w:p>
    <w:p w:rsidR="00B42EF3" w:rsidRDefault="00B42EF3">
      <w:pPr>
        <w:pStyle w:val="TOC5"/>
        <w:rPr>
          <w:rFonts w:asciiTheme="minorHAnsi" w:eastAsiaTheme="minorEastAsia" w:hAnsiTheme="minorHAnsi" w:cstheme="minorBidi"/>
          <w:noProof/>
          <w:sz w:val="22"/>
          <w:szCs w:val="22"/>
        </w:rPr>
      </w:pPr>
      <w:hyperlink w:anchor="_Toc69879776" w:history="1">
        <w:r w:rsidRPr="00CC53E5">
          <w:rPr>
            <w:rStyle w:val="Hyperlink"/>
            <w:noProof/>
          </w:rPr>
          <w:t>3.2.3.1.5</w:t>
        </w:r>
        <w:r>
          <w:rPr>
            <w:rFonts w:asciiTheme="minorHAnsi" w:eastAsiaTheme="minorEastAsia" w:hAnsiTheme="minorHAnsi" w:cstheme="minorBidi"/>
            <w:noProof/>
            <w:sz w:val="22"/>
            <w:szCs w:val="22"/>
          </w:rPr>
          <w:tab/>
        </w:r>
        <w:r w:rsidRPr="00CC53E5">
          <w:rPr>
            <w:rStyle w:val="Hyperlink"/>
            <w:noProof/>
          </w:rPr>
          <w:t>External Name Formulas</w:t>
        </w:r>
        <w:r>
          <w:rPr>
            <w:noProof/>
            <w:webHidden/>
          </w:rPr>
          <w:tab/>
        </w:r>
        <w:r>
          <w:rPr>
            <w:noProof/>
            <w:webHidden/>
          </w:rPr>
          <w:fldChar w:fldCharType="begin"/>
        </w:r>
        <w:r>
          <w:rPr>
            <w:noProof/>
            <w:webHidden/>
          </w:rPr>
          <w:instrText xml:space="preserve"> PAGEREF _Toc69879776 \h </w:instrText>
        </w:r>
        <w:r>
          <w:rPr>
            <w:noProof/>
            <w:webHidden/>
          </w:rPr>
        </w:r>
        <w:r>
          <w:rPr>
            <w:noProof/>
            <w:webHidden/>
          </w:rPr>
          <w:fldChar w:fldCharType="separate"/>
        </w:r>
        <w:r>
          <w:rPr>
            <w:noProof/>
            <w:webHidden/>
          </w:rPr>
          <w:t>846</w:t>
        </w:r>
        <w:r>
          <w:rPr>
            <w:noProof/>
            <w:webHidden/>
          </w:rPr>
          <w:fldChar w:fldCharType="end"/>
        </w:r>
      </w:hyperlink>
    </w:p>
    <w:p w:rsidR="00B42EF3" w:rsidRDefault="00B42EF3">
      <w:pPr>
        <w:pStyle w:val="TOC5"/>
        <w:rPr>
          <w:rFonts w:asciiTheme="minorHAnsi" w:eastAsiaTheme="minorEastAsia" w:hAnsiTheme="minorHAnsi" w:cstheme="minorBidi"/>
          <w:noProof/>
          <w:sz w:val="22"/>
          <w:szCs w:val="22"/>
        </w:rPr>
      </w:pPr>
      <w:hyperlink w:anchor="_Toc69879777" w:history="1">
        <w:r w:rsidRPr="00CC53E5">
          <w:rPr>
            <w:rStyle w:val="Hyperlink"/>
            <w:noProof/>
          </w:rPr>
          <w:t>3.2.3.1.6</w:t>
        </w:r>
        <w:r>
          <w:rPr>
            <w:rFonts w:asciiTheme="minorHAnsi" w:eastAsiaTheme="minorEastAsia" w:hAnsiTheme="minorHAnsi" w:cstheme="minorBidi"/>
            <w:noProof/>
            <w:sz w:val="22"/>
            <w:szCs w:val="22"/>
          </w:rPr>
          <w:tab/>
        </w:r>
        <w:r w:rsidRPr="00CC53E5">
          <w:rPr>
            <w:rStyle w:val="Hyperlink"/>
            <w:noProof/>
          </w:rPr>
          <w:t>Chart formulas</w:t>
        </w:r>
        <w:r>
          <w:rPr>
            <w:noProof/>
            <w:webHidden/>
          </w:rPr>
          <w:tab/>
        </w:r>
        <w:r>
          <w:rPr>
            <w:noProof/>
            <w:webHidden/>
          </w:rPr>
          <w:fldChar w:fldCharType="begin"/>
        </w:r>
        <w:r>
          <w:rPr>
            <w:noProof/>
            <w:webHidden/>
          </w:rPr>
          <w:instrText xml:space="preserve"> PAGEREF _Toc69879777 \h </w:instrText>
        </w:r>
        <w:r>
          <w:rPr>
            <w:noProof/>
            <w:webHidden/>
          </w:rPr>
        </w:r>
        <w:r>
          <w:rPr>
            <w:noProof/>
            <w:webHidden/>
          </w:rPr>
          <w:fldChar w:fldCharType="separate"/>
        </w:r>
        <w:r>
          <w:rPr>
            <w:noProof/>
            <w:webHidden/>
          </w:rPr>
          <w:t>847</w:t>
        </w:r>
        <w:r>
          <w:rPr>
            <w:noProof/>
            <w:webHidden/>
          </w:rPr>
          <w:fldChar w:fldCharType="end"/>
        </w:r>
      </w:hyperlink>
    </w:p>
    <w:p w:rsidR="00B42EF3" w:rsidRDefault="00B42EF3">
      <w:pPr>
        <w:pStyle w:val="TOC5"/>
        <w:rPr>
          <w:rFonts w:asciiTheme="minorHAnsi" w:eastAsiaTheme="minorEastAsia" w:hAnsiTheme="minorHAnsi" w:cstheme="minorBidi"/>
          <w:noProof/>
          <w:sz w:val="22"/>
          <w:szCs w:val="22"/>
        </w:rPr>
      </w:pPr>
      <w:hyperlink w:anchor="_Toc69879778" w:history="1">
        <w:r w:rsidRPr="00CC53E5">
          <w:rPr>
            <w:rStyle w:val="Hyperlink"/>
            <w:noProof/>
          </w:rPr>
          <w:t>3.2.3.1.7</w:t>
        </w:r>
        <w:r>
          <w:rPr>
            <w:rFonts w:asciiTheme="minorHAnsi" w:eastAsiaTheme="minorEastAsia" w:hAnsiTheme="minorHAnsi" w:cstheme="minorBidi"/>
            <w:noProof/>
            <w:sz w:val="22"/>
            <w:szCs w:val="22"/>
          </w:rPr>
          <w:tab/>
        </w:r>
        <w:r w:rsidRPr="00CC53E5">
          <w:rPr>
            <w:rStyle w:val="Hyperlink"/>
            <w:noProof/>
          </w:rPr>
          <w:t>R1C1 formulas</w:t>
        </w:r>
        <w:r>
          <w:rPr>
            <w:noProof/>
            <w:webHidden/>
          </w:rPr>
          <w:tab/>
        </w:r>
        <w:r>
          <w:rPr>
            <w:noProof/>
            <w:webHidden/>
          </w:rPr>
          <w:fldChar w:fldCharType="begin"/>
        </w:r>
        <w:r>
          <w:rPr>
            <w:noProof/>
            <w:webHidden/>
          </w:rPr>
          <w:instrText xml:space="preserve"> PAGEREF _Toc69879778 \h </w:instrText>
        </w:r>
        <w:r>
          <w:rPr>
            <w:noProof/>
            <w:webHidden/>
          </w:rPr>
        </w:r>
        <w:r>
          <w:rPr>
            <w:noProof/>
            <w:webHidden/>
          </w:rPr>
          <w:fldChar w:fldCharType="separate"/>
        </w:r>
        <w:r>
          <w:rPr>
            <w:noProof/>
            <w:webHidden/>
          </w:rPr>
          <w:t>847</w:t>
        </w:r>
        <w:r>
          <w:rPr>
            <w:noProof/>
            <w:webHidden/>
          </w:rPr>
          <w:fldChar w:fldCharType="end"/>
        </w:r>
      </w:hyperlink>
    </w:p>
    <w:p w:rsidR="00B42EF3" w:rsidRDefault="00B42EF3">
      <w:pPr>
        <w:pStyle w:val="TOC5"/>
        <w:rPr>
          <w:rFonts w:asciiTheme="minorHAnsi" w:eastAsiaTheme="minorEastAsia" w:hAnsiTheme="minorHAnsi" w:cstheme="minorBidi"/>
          <w:noProof/>
          <w:sz w:val="22"/>
          <w:szCs w:val="22"/>
        </w:rPr>
      </w:pPr>
      <w:hyperlink w:anchor="_Toc69879779" w:history="1">
        <w:r w:rsidRPr="00CC53E5">
          <w:rPr>
            <w:rStyle w:val="Hyperlink"/>
            <w:noProof/>
          </w:rPr>
          <w:t>3.2.3.1.8</w:t>
        </w:r>
        <w:r>
          <w:rPr>
            <w:rFonts w:asciiTheme="minorHAnsi" w:eastAsiaTheme="minorEastAsia" w:hAnsiTheme="minorHAnsi" w:cstheme="minorBidi"/>
            <w:noProof/>
            <w:sz w:val="22"/>
            <w:szCs w:val="22"/>
          </w:rPr>
          <w:tab/>
        </w:r>
        <w:r w:rsidRPr="00CC53E5">
          <w:rPr>
            <w:rStyle w:val="Hyperlink"/>
            <w:noProof/>
          </w:rPr>
          <w:t>Pivot Formulas</w:t>
        </w:r>
        <w:r>
          <w:rPr>
            <w:noProof/>
            <w:webHidden/>
          </w:rPr>
          <w:tab/>
        </w:r>
        <w:r>
          <w:rPr>
            <w:noProof/>
            <w:webHidden/>
          </w:rPr>
          <w:fldChar w:fldCharType="begin"/>
        </w:r>
        <w:r>
          <w:rPr>
            <w:noProof/>
            <w:webHidden/>
          </w:rPr>
          <w:instrText xml:space="preserve"> PAGEREF _Toc69879779 \h </w:instrText>
        </w:r>
        <w:r>
          <w:rPr>
            <w:noProof/>
            <w:webHidden/>
          </w:rPr>
        </w:r>
        <w:r>
          <w:rPr>
            <w:noProof/>
            <w:webHidden/>
          </w:rPr>
          <w:fldChar w:fldCharType="separate"/>
        </w:r>
        <w:r>
          <w:rPr>
            <w:noProof/>
            <w:webHidden/>
          </w:rPr>
          <w:t>847</w:t>
        </w:r>
        <w:r>
          <w:rPr>
            <w:noProof/>
            <w:webHidden/>
          </w:rPr>
          <w:fldChar w:fldCharType="end"/>
        </w:r>
      </w:hyperlink>
    </w:p>
    <w:p w:rsidR="00B42EF3" w:rsidRDefault="00B42EF3">
      <w:pPr>
        <w:pStyle w:val="TOC6"/>
        <w:rPr>
          <w:rFonts w:asciiTheme="minorHAnsi" w:eastAsiaTheme="minorEastAsia" w:hAnsiTheme="minorHAnsi" w:cstheme="minorBidi"/>
          <w:noProof/>
          <w:sz w:val="22"/>
          <w:szCs w:val="22"/>
        </w:rPr>
      </w:pPr>
      <w:hyperlink w:anchor="_Toc69879780" w:history="1">
        <w:r w:rsidRPr="00CC53E5">
          <w:rPr>
            <w:rStyle w:val="Hyperlink"/>
            <w:noProof/>
          </w:rPr>
          <w:t>3.2.3.1.8.1</w:t>
        </w:r>
        <w:r>
          <w:rPr>
            <w:rFonts w:asciiTheme="minorHAnsi" w:eastAsiaTheme="minorEastAsia" w:hAnsiTheme="minorHAnsi" w:cstheme="minorBidi"/>
            <w:noProof/>
            <w:sz w:val="22"/>
            <w:szCs w:val="22"/>
          </w:rPr>
          <w:tab/>
        </w:r>
        <w:r w:rsidRPr="00CC53E5">
          <w:rPr>
            <w:rStyle w:val="Hyperlink"/>
            <w:noProof/>
          </w:rPr>
          <w:t>Calculated Field Formulas</w:t>
        </w:r>
        <w:r>
          <w:rPr>
            <w:noProof/>
            <w:webHidden/>
          </w:rPr>
          <w:tab/>
        </w:r>
        <w:r>
          <w:rPr>
            <w:noProof/>
            <w:webHidden/>
          </w:rPr>
          <w:fldChar w:fldCharType="begin"/>
        </w:r>
        <w:r>
          <w:rPr>
            <w:noProof/>
            <w:webHidden/>
          </w:rPr>
          <w:instrText xml:space="preserve"> PAGEREF _Toc69879780 \h </w:instrText>
        </w:r>
        <w:r>
          <w:rPr>
            <w:noProof/>
            <w:webHidden/>
          </w:rPr>
        </w:r>
        <w:r>
          <w:rPr>
            <w:noProof/>
            <w:webHidden/>
          </w:rPr>
          <w:fldChar w:fldCharType="separate"/>
        </w:r>
        <w:r>
          <w:rPr>
            <w:noProof/>
            <w:webHidden/>
          </w:rPr>
          <w:t>848</w:t>
        </w:r>
        <w:r>
          <w:rPr>
            <w:noProof/>
            <w:webHidden/>
          </w:rPr>
          <w:fldChar w:fldCharType="end"/>
        </w:r>
      </w:hyperlink>
    </w:p>
    <w:p w:rsidR="00B42EF3" w:rsidRDefault="00B42EF3">
      <w:pPr>
        <w:pStyle w:val="TOC6"/>
        <w:rPr>
          <w:rFonts w:asciiTheme="minorHAnsi" w:eastAsiaTheme="minorEastAsia" w:hAnsiTheme="minorHAnsi" w:cstheme="minorBidi"/>
          <w:noProof/>
          <w:sz w:val="22"/>
          <w:szCs w:val="22"/>
        </w:rPr>
      </w:pPr>
      <w:hyperlink w:anchor="_Toc69879781" w:history="1">
        <w:r w:rsidRPr="00CC53E5">
          <w:rPr>
            <w:rStyle w:val="Hyperlink"/>
            <w:noProof/>
          </w:rPr>
          <w:t>3.2.3.1.8.2</w:t>
        </w:r>
        <w:r>
          <w:rPr>
            <w:rFonts w:asciiTheme="minorHAnsi" w:eastAsiaTheme="minorEastAsia" w:hAnsiTheme="minorHAnsi" w:cstheme="minorBidi"/>
            <w:noProof/>
            <w:sz w:val="22"/>
            <w:szCs w:val="22"/>
          </w:rPr>
          <w:tab/>
        </w:r>
        <w:r w:rsidRPr="00CC53E5">
          <w:rPr>
            <w:rStyle w:val="Hyperlink"/>
            <w:noProof/>
          </w:rPr>
          <w:t>Calculated Item Formulas</w:t>
        </w:r>
        <w:r>
          <w:rPr>
            <w:noProof/>
            <w:webHidden/>
          </w:rPr>
          <w:tab/>
        </w:r>
        <w:r>
          <w:rPr>
            <w:noProof/>
            <w:webHidden/>
          </w:rPr>
          <w:fldChar w:fldCharType="begin"/>
        </w:r>
        <w:r>
          <w:rPr>
            <w:noProof/>
            <w:webHidden/>
          </w:rPr>
          <w:instrText xml:space="preserve"> PAGEREF _Toc69879781 \h </w:instrText>
        </w:r>
        <w:r>
          <w:rPr>
            <w:noProof/>
            <w:webHidden/>
          </w:rPr>
        </w:r>
        <w:r>
          <w:rPr>
            <w:noProof/>
            <w:webHidden/>
          </w:rPr>
          <w:fldChar w:fldCharType="separate"/>
        </w:r>
        <w:r>
          <w:rPr>
            <w:noProof/>
            <w:webHidden/>
          </w:rPr>
          <w:t>848</w:t>
        </w:r>
        <w:r>
          <w:rPr>
            <w:noProof/>
            <w:webHidden/>
          </w:rPr>
          <w:fldChar w:fldCharType="end"/>
        </w:r>
      </w:hyperlink>
    </w:p>
    <w:p w:rsidR="00B42EF3" w:rsidRDefault="00B42EF3">
      <w:pPr>
        <w:pStyle w:val="TOC5"/>
        <w:rPr>
          <w:rFonts w:asciiTheme="minorHAnsi" w:eastAsiaTheme="minorEastAsia" w:hAnsiTheme="minorHAnsi" w:cstheme="minorBidi"/>
          <w:noProof/>
          <w:sz w:val="22"/>
          <w:szCs w:val="22"/>
        </w:rPr>
      </w:pPr>
      <w:hyperlink w:anchor="_Toc69879782" w:history="1">
        <w:r w:rsidRPr="00CC53E5">
          <w:rPr>
            <w:rStyle w:val="Hyperlink"/>
            <w:noProof/>
          </w:rPr>
          <w:t>3.2.3.1.9</w:t>
        </w:r>
        <w:r>
          <w:rPr>
            <w:rFonts w:asciiTheme="minorHAnsi" w:eastAsiaTheme="minorEastAsia" w:hAnsiTheme="minorHAnsi" w:cstheme="minorBidi"/>
            <w:noProof/>
            <w:sz w:val="22"/>
            <w:szCs w:val="22"/>
          </w:rPr>
          <w:tab/>
        </w:r>
        <w:r w:rsidRPr="00CC53E5">
          <w:rPr>
            <w:rStyle w:val="Hyperlink"/>
            <w:noProof/>
          </w:rPr>
          <w:t>OLE Link Formulas</w:t>
        </w:r>
        <w:r>
          <w:rPr>
            <w:noProof/>
            <w:webHidden/>
          </w:rPr>
          <w:tab/>
        </w:r>
        <w:r>
          <w:rPr>
            <w:noProof/>
            <w:webHidden/>
          </w:rPr>
          <w:fldChar w:fldCharType="begin"/>
        </w:r>
        <w:r>
          <w:rPr>
            <w:noProof/>
            <w:webHidden/>
          </w:rPr>
          <w:instrText xml:space="preserve"> PAGEREF _Toc69879782 \h </w:instrText>
        </w:r>
        <w:r>
          <w:rPr>
            <w:noProof/>
            <w:webHidden/>
          </w:rPr>
        </w:r>
        <w:r>
          <w:rPr>
            <w:noProof/>
            <w:webHidden/>
          </w:rPr>
          <w:fldChar w:fldCharType="separate"/>
        </w:r>
        <w:r>
          <w:rPr>
            <w:noProof/>
            <w:webHidden/>
          </w:rPr>
          <w:t>849</w:t>
        </w:r>
        <w:r>
          <w:rPr>
            <w:noProof/>
            <w:webHidden/>
          </w:rPr>
          <w:fldChar w:fldCharType="end"/>
        </w:r>
      </w:hyperlink>
    </w:p>
    <w:p w:rsidR="00B42EF3" w:rsidRDefault="00B42EF3">
      <w:pPr>
        <w:pStyle w:val="TOC2"/>
        <w:rPr>
          <w:rFonts w:asciiTheme="minorHAnsi" w:eastAsiaTheme="minorEastAsia" w:hAnsiTheme="minorHAnsi" w:cstheme="minorBidi"/>
          <w:noProof/>
          <w:sz w:val="22"/>
          <w:szCs w:val="22"/>
        </w:rPr>
      </w:pPr>
      <w:hyperlink w:anchor="_Toc69879783" w:history="1">
        <w:r w:rsidRPr="00CC53E5">
          <w:rPr>
            <w:rStyle w:val="Hyperlink"/>
            <w:noProof/>
          </w:rPr>
          <w:t>3.3</w:t>
        </w:r>
        <w:r>
          <w:rPr>
            <w:rFonts w:asciiTheme="minorHAnsi" w:eastAsiaTheme="minorEastAsia" w:hAnsiTheme="minorHAnsi" w:cstheme="minorBidi"/>
            <w:noProof/>
            <w:sz w:val="22"/>
            <w:szCs w:val="22"/>
          </w:rPr>
          <w:tab/>
        </w:r>
        <w:r w:rsidRPr="00CC53E5">
          <w:rPr>
            <w:rStyle w:val="Hyperlink"/>
            <w:noProof/>
          </w:rPr>
          <w:t>PowerPoint</w:t>
        </w:r>
        <w:r>
          <w:rPr>
            <w:noProof/>
            <w:webHidden/>
          </w:rPr>
          <w:tab/>
        </w:r>
        <w:r>
          <w:rPr>
            <w:noProof/>
            <w:webHidden/>
          </w:rPr>
          <w:fldChar w:fldCharType="begin"/>
        </w:r>
        <w:r>
          <w:rPr>
            <w:noProof/>
            <w:webHidden/>
          </w:rPr>
          <w:instrText xml:space="preserve"> PAGEREF _Toc69879783 \h </w:instrText>
        </w:r>
        <w:r>
          <w:rPr>
            <w:noProof/>
            <w:webHidden/>
          </w:rPr>
        </w:r>
        <w:r>
          <w:rPr>
            <w:noProof/>
            <w:webHidden/>
          </w:rPr>
          <w:fldChar w:fldCharType="separate"/>
        </w:r>
        <w:r>
          <w:rPr>
            <w:noProof/>
            <w:webHidden/>
          </w:rPr>
          <w:t>849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784" w:history="1">
        <w:r w:rsidRPr="00CC53E5">
          <w:rPr>
            <w:rStyle w:val="Hyperlink"/>
            <w:noProof/>
          </w:rPr>
          <w:t>3.3.1</w:t>
        </w:r>
        <w:r>
          <w:rPr>
            <w:rFonts w:asciiTheme="minorHAnsi" w:eastAsiaTheme="minorEastAsia" w:hAnsiTheme="minorHAnsi" w:cstheme="minorBidi"/>
            <w:noProof/>
            <w:sz w:val="22"/>
            <w:szCs w:val="22"/>
          </w:rPr>
          <w:tab/>
        </w:r>
        <w:r w:rsidRPr="00CC53E5">
          <w:rPr>
            <w:rStyle w:val="Hyperlink"/>
            <w:noProof/>
          </w:rPr>
          <w:t>Additional Parts</w:t>
        </w:r>
        <w:r>
          <w:rPr>
            <w:noProof/>
            <w:webHidden/>
          </w:rPr>
          <w:tab/>
        </w:r>
        <w:r>
          <w:rPr>
            <w:noProof/>
            <w:webHidden/>
          </w:rPr>
          <w:fldChar w:fldCharType="begin"/>
        </w:r>
        <w:r>
          <w:rPr>
            <w:noProof/>
            <w:webHidden/>
          </w:rPr>
          <w:instrText xml:space="preserve"> PAGEREF _Toc69879784 \h </w:instrText>
        </w:r>
        <w:r>
          <w:rPr>
            <w:noProof/>
            <w:webHidden/>
          </w:rPr>
        </w:r>
        <w:r>
          <w:rPr>
            <w:noProof/>
            <w:webHidden/>
          </w:rPr>
          <w:fldChar w:fldCharType="separate"/>
        </w:r>
        <w:r>
          <w:rPr>
            <w:noProof/>
            <w:webHidden/>
          </w:rPr>
          <w:t>849</w:t>
        </w:r>
        <w:r>
          <w:rPr>
            <w:noProof/>
            <w:webHidden/>
          </w:rPr>
          <w:fldChar w:fldCharType="end"/>
        </w:r>
      </w:hyperlink>
    </w:p>
    <w:p w:rsidR="00B42EF3" w:rsidRDefault="00B42EF3">
      <w:pPr>
        <w:pStyle w:val="TOC4"/>
        <w:rPr>
          <w:rFonts w:asciiTheme="minorHAnsi" w:eastAsiaTheme="minorEastAsia" w:hAnsiTheme="minorHAnsi" w:cstheme="minorBidi"/>
          <w:noProof/>
          <w:sz w:val="22"/>
          <w:szCs w:val="22"/>
        </w:rPr>
      </w:pPr>
      <w:hyperlink w:anchor="_Toc69879785" w:history="1">
        <w:r w:rsidRPr="00CC53E5">
          <w:rPr>
            <w:rStyle w:val="Hyperlink"/>
            <w:noProof/>
          </w:rPr>
          <w:t>3.3.1.1</w:t>
        </w:r>
        <w:r>
          <w:rPr>
            <w:rFonts w:asciiTheme="minorHAnsi" w:eastAsiaTheme="minorEastAsia" w:hAnsiTheme="minorHAnsi" w:cstheme="minorBidi"/>
            <w:noProof/>
            <w:sz w:val="22"/>
            <w:szCs w:val="22"/>
          </w:rPr>
          <w:tab/>
        </w:r>
        <w:r w:rsidRPr="00CC53E5">
          <w:rPr>
            <w:rStyle w:val="Hyperlink"/>
            <w:noProof/>
          </w:rPr>
          <w:t>Legacy Diagram Text part</w:t>
        </w:r>
        <w:r>
          <w:rPr>
            <w:noProof/>
            <w:webHidden/>
          </w:rPr>
          <w:tab/>
        </w:r>
        <w:r>
          <w:rPr>
            <w:noProof/>
            <w:webHidden/>
          </w:rPr>
          <w:fldChar w:fldCharType="begin"/>
        </w:r>
        <w:r>
          <w:rPr>
            <w:noProof/>
            <w:webHidden/>
          </w:rPr>
          <w:instrText xml:space="preserve"> PAGEREF _Toc69879785 \h </w:instrText>
        </w:r>
        <w:r>
          <w:rPr>
            <w:noProof/>
            <w:webHidden/>
          </w:rPr>
        </w:r>
        <w:r>
          <w:rPr>
            <w:noProof/>
            <w:webHidden/>
          </w:rPr>
          <w:fldChar w:fldCharType="separate"/>
        </w:r>
        <w:r>
          <w:rPr>
            <w:noProof/>
            <w:webHidden/>
          </w:rPr>
          <w:t>850</w:t>
        </w:r>
        <w:r>
          <w:rPr>
            <w:noProof/>
            <w:webHidden/>
          </w:rPr>
          <w:fldChar w:fldCharType="end"/>
        </w:r>
      </w:hyperlink>
    </w:p>
    <w:p w:rsidR="00B42EF3" w:rsidRDefault="00B42EF3">
      <w:pPr>
        <w:pStyle w:val="TOC4"/>
        <w:rPr>
          <w:rFonts w:asciiTheme="minorHAnsi" w:eastAsiaTheme="minorEastAsia" w:hAnsiTheme="minorHAnsi" w:cstheme="minorBidi"/>
          <w:noProof/>
          <w:sz w:val="22"/>
          <w:szCs w:val="22"/>
        </w:rPr>
      </w:pPr>
      <w:hyperlink w:anchor="_Toc69879786" w:history="1">
        <w:r w:rsidRPr="00CC53E5">
          <w:rPr>
            <w:rStyle w:val="Hyperlink"/>
            <w:noProof/>
          </w:rPr>
          <w:t>3.3.1.2</w:t>
        </w:r>
        <w:r>
          <w:rPr>
            <w:rFonts w:asciiTheme="minorHAnsi" w:eastAsiaTheme="minorEastAsia" w:hAnsiTheme="minorHAnsi" w:cstheme="minorBidi"/>
            <w:noProof/>
            <w:sz w:val="22"/>
            <w:szCs w:val="22"/>
          </w:rPr>
          <w:tab/>
        </w:r>
        <w:r w:rsidRPr="00CC53E5">
          <w:rPr>
            <w:rStyle w:val="Hyperlink"/>
            <w:noProof/>
          </w:rPr>
          <w:t>Legacy Diagram Text Info part</w:t>
        </w:r>
        <w:r>
          <w:rPr>
            <w:noProof/>
            <w:webHidden/>
          </w:rPr>
          <w:tab/>
        </w:r>
        <w:r>
          <w:rPr>
            <w:noProof/>
            <w:webHidden/>
          </w:rPr>
          <w:fldChar w:fldCharType="begin"/>
        </w:r>
        <w:r>
          <w:rPr>
            <w:noProof/>
            <w:webHidden/>
          </w:rPr>
          <w:instrText xml:space="preserve"> PAGEREF _Toc69879786 \h </w:instrText>
        </w:r>
        <w:r>
          <w:rPr>
            <w:noProof/>
            <w:webHidden/>
          </w:rPr>
        </w:r>
        <w:r>
          <w:rPr>
            <w:noProof/>
            <w:webHidden/>
          </w:rPr>
          <w:fldChar w:fldCharType="separate"/>
        </w:r>
        <w:r>
          <w:rPr>
            <w:noProof/>
            <w:webHidden/>
          </w:rPr>
          <w:t>850</w:t>
        </w:r>
        <w:r>
          <w:rPr>
            <w:noProof/>
            <w:webHidden/>
          </w:rPr>
          <w:fldChar w:fldCharType="end"/>
        </w:r>
      </w:hyperlink>
    </w:p>
    <w:p w:rsidR="00B42EF3" w:rsidRDefault="00B42EF3">
      <w:pPr>
        <w:pStyle w:val="TOC4"/>
        <w:rPr>
          <w:rFonts w:asciiTheme="minorHAnsi" w:eastAsiaTheme="minorEastAsia" w:hAnsiTheme="minorHAnsi" w:cstheme="minorBidi"/>
          <w:noProof/>
          <w:sz w:val="22"/>
          <w:szCs w:val="22"/>
        </w:rPr>
      </w:pPr>
      <w:hyperlink w:anchor="_Toc69879787" w:history="1">
        <w:r w:rsidRPr="00CC53E5">
          <w:rPr>
            <w:rStyle w:val="Hyperlink"/>
            <w:noProof/>
          </w:rPr>
          <w:t>3.3.1.3</w:t>
        </w:r>
        <w:r>
          <w:rPr>
            <w:rFonts w:asciiTheme="minorHAnsi" w:eastAsiaTheme="minorEastAsia" w:hAnsiTheme="minorHAnsi" w:cstheme="minorBidi"/>
            <w:noProof/>
            <w:sz w:val="22"/>
            <w:szCs w:val="22"/>
          </w:rPr>
          <w:tab/>
        </w:r>
        <w:r w:rsidRPr="00CC53E5">
          <w:rPr>
            <w:rStyle w:val="Hyperlink"/>
            <w:noProof/>
          </w:rPr>
          <w:t>SmartTags part</w:t>
        </w:r>
        <w:r>
          <w:rPr>
            <w:noProof/>
            <w:webHidden/>
          </w:rPr>
          <w:tab/>
        </w:r>
        <w:r>
          <w:rPr>
            <w:noProof/>
            <w:webHidden/>
          </w:rPr>
          <w:fldChar w:fldCharType="begin"/>
        </w:r>
        <w:r>
          <w:rPr>
            <w:noProof/>
            <w:webHidden/>
          </w:rPr>
          <w:instrText xml:space="preserve"> PAGEREF _Toc69879787 \h </w:instrText>
        </w:r>
        <w:r>
          <w:rPr>
            <w:noProof/>
            <w:webHidden/>
          </w:rPr>
        </w:r>
        <w:r>
          <w:rPr>
            <w:noProof/>
            <w:webHidden/>
          </w:rPr>
          <w:fldChar w:fldCharType="separate"/>
        </w:r>
        <w:r>
          <w:rPr>
            <w:noProof/>
            <w:webHidden/>
          </w:rPr>
          <w:t>851</w:t>
        </w:r>
        <w:r>
          <w:rPr>
            <w:noProof/>
            <w:webHidden/>
          </w:rPr>
          <w:fldChar w:fldCharType="end"/>
        </w:r>
      </w:hyperlink>
    </w:p>
    <w:p w:rsidR="00B42EF3" w:rsidRDefault="00B42EF3">
      <w:pPr>
        <w:pStyle w:val="TOC2"/>
        <w:rPr>
          <w:rFonts w:asciiTheme="minorHAnsi" w:eastAsiaTheme="minorEastAsia" w:hAnsiTheme="minorHAnsi" w:cstheme="minorBidi"/>
          <w:noProof/>
          <w:sz w:val="22"/>
          <w:szCs w:val="22"/>
        </w:rPr>
      </w:pPr>
      <w:hyperlink w:anchor="_Toc69879788" w:history="1">
        <w:r w:rsidRPr="00CC53E5">
          <w:rPr>
            <w:rStyle w:val="Hyperlink"/>
            <w:noProof/>
          </w:rPr>
          <w:t>3.4</w:t>
        </w:r>
        <w:r>
          <w:rPr>
            <w:rFonts w:asciiTheme="minorHAnsi" w:eastAsiaTheme="minorEastAsia" w:hAnsiTheme="minorHAnsi" w:cstheme="minorBidi"/>
            <w:noProof/>
            <w:sz w:val="22"/>
            <w:szCs w:val="22"/>
          </w:rPr>
          <w:tab/>
        </w:r>
        <w:r w:rsidRPr="00CC53E5">
          <w:rPr>
            <w:rStyle w:val="Hyperlink"/>
            <w:noProof/>
          </w:rPr>
          <w:t>Shared</w:t>
        </w:r>
        <w:r>
          <w:rPr>
            <w:noProof/>
            <w:webHidden/>
          </w:rPr>
          <w:tab/>
        </w:r>
        <w:r>
          <w:rPr>
            <w:noProof/>
            <w:webHidden/>
          </w:rPr>
          <w:fldChar w:fldCharType="begin"/>
        </w:r>
        <w:r>
          <w:rPr>
            <w:noProof/>
            <w:webHidden/>
          </w:rPr>
          <w:instrText xml:space="preserve"> PAGEREF _Toc69879788 \h </w:instrText>
        </w:r>
        <w:r>
          <w:rPr>
            <w:noProof/>
            <w:webHidden/>
          </w:rPr>
        </w:r>
        <w:r>
          <w:rPr>
            <w:noProof/>
            <w:webHidden/>
          </w:rPr>
          <w:fldChar w:fldCharType="separate"/>
        </w:r>
        <w:r>
          <w:rPr>
            <w:noProof/>
            <w:webHidden/>
          </w:rPr>
          <w:t>851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789" w:history="1">
        <w:r w:rsidRPr="00CC53E5">
          <w:rPr>
            <w:rStyle w:val="Hyperlink"/>
            <w:noProof/>
          </w:rPr>
          <w:t>3.4.1</w:t>
        </w:r>
        <w:r>
          <w:rPr>
            <w:rFonts w:asciiTheme="minorHAnsi" w:eastAsiaTheme="minorEastAsia" w:hAnsiTheme="minorHAnsi" w:cstheme="minorBidi"/>
            <w:noProof/>
            <w:sz w:val="22"/>
            <w:szCs w:val="22"/>
          </w:rPr>
          <w:tab/>
        </w:r>
        <w:r w:rsidRPr="00CC53E5">
          <w:rPr>
            <w:rStyle w:val="Hyperlink"/>
            <w:noProof/>
          </w:rPr>
          <w:t>Additional Parts</w:t>
        </w:r>
        <w:r>
          <w:rPr>
            <w:noProof/>
            <w:webHidden/>
          </w:rPr>
          <w:tab/>
        </w:r>
        <w:r>
          <w:rPr>
            <w:noProof/>
            <w:webHidden/>
          </w:rPr>
          <w:fldChar w:fldCharType="begin"/>
        </w:r>
        <w:r>
          <w:rPr>
            <w:noProof/>
            <w:webHidden/>
          </w:rPr>
          <w:instrText xml:space="preserve"> PAGEREF _Toc69879789 \h </w:instrText>
        </w:r>
        <w:r>
          <w:rPr>
            <w:noProof/>
            <w:webHidden/>
          </w:rPr>
        </w:r>
        <w:r>
          <w:rPr>
            <w:noProof/>
            <w:webHidden/>
          </w:rPr>
          <w:fldChar w:fldCharType="separate"/>
        </w:r>
        <w:r>
          <w:rPr>
            <w:noProof/>
            <w:webHidden/>
          </w:rPr>
          <w:t>851</w:t>
        </w:r>
        <w:r>
          <w:rPr>
            <w:noProof/>
            <w:webHidden/>
          </w:rPr>
          <w:fldChar w:fldCharType="end"/>
        </w:r>
      </w:hyperlink>
    </w:p>
    <w:p w:rsidR="00B42EF3" w:rsidRDefault="00B42EF3">
      <w:pPr>
        <w:pStyle w:val="TOC4"/>
        <w:rPr>
          <w:rFonts w:asciiTheme="minorHAnsi" w:eastAsiaTheme="minorEastAsia" w:hAnsiTheme="minorHAnsi" w:cstheme="minorBidi"/>
          <w:noProof/>
          <w:sz w:val="22"/>
          <w:szCs w:val="22"/>
        </w:rPr>
      </w:pPr>
      <w:hyperlink w:anchor="_Toc69879790" w:history="1">
        <w:r w:rsidRPr="00CC53E5">
          <w:rPr>
            <w:rStyle w:val="Hyperlink"/>
            <w:noProof/>
          </w:rPr>
          <w:t>3.4.1.1</w:t>
        </w:r>
        <w:r>
          <w:rPr>
            <w:rFonts w:asciiTheme="minorHAnsi" w:eastAsiaTheme="minorEastAsia" w:hAnsiTheme="minorHAnsi" w:cstheme="minorBidi"/>
            <w:noProof/>
            <w:sz w:val="22"/>
            <w:szCs w:val="22"/>
          </w:rPr>
          <w:tab/>
        </w:r>
        <w:r w:rsidRPr="00CC53E5">
          <w:rPr>
            <w:rStyle w:val="Hyperlink"/>
            <w:noProof/>
          </w:rPr>
          <w:t>Embedded Control Persistence Binary Data Part</w:t>
        </w:r>
        <w:r>
          <w:rPr>
            <w:noProof/>
            <w:webHidden/>
          </w:rPr>
          <w:tab/>
        </w:r>
        <w:r>
          <w:rPr>
            <w:noProof/>
            <w:webHidden/>
          </w:rPr>
          <w:fldChar w:fldCharType="begin"/>
        </w:r>
        <w:r>
          <w:rPr>
            <w:noProof/>
            <w:webHidden/>
          </w:rPr>
          <w:instrText xml:space="preserve"> PAGEREF _Toc69879790 \h </w:instrText>
        </w:r>
        <w:r>
          <w:rPr>
            <w:noProof/>
            <w:webHidden/>
          </w:rPr>
        </w:r>
        <w:r>
          <w:rPr>
            <w:noProof/>
            <w:webHidden/>
          </w:rPr>
          <w:fldChar w:fldCharType="separate"/>
        </w:r>
        <w:r>
          <w:rPr>
            <w:noProof/>
            <w:webHidden/>
          </w:rPr>
          <w:t>851</w:t>
        </w:r>
        <w:r>
          <w:rPr>
            <w:noProof/>
            <w:webHidden/>
          </w:rPr>
          <w:fldChar w:fldCharType="end"/>
        </w:r>
      </w:hyperlink>
    </w:p>
    <w:p w:rsidR="00B42EF3" w:rsidRDefault="00B42EF3">
      <w:pPr>
        <w:pStyle w:val="TOC4"/>
        <w:rPr>
          <w:rFonts w:asciiTheme="minorHAnsi" w:eastAsiaTheme="minorEastAsia" w:hAnsiTheme="minorHAnsi" w:cstheme="minorBidi"/>
          <w:noProof/>
          <w:sz w:val="22"/>
          <w:szCs w:val="22"/>
        </w:rPr>
      </w:pPr>
      <w:hyperlink w:anchor="_Toc69879791" w:history="1">
        <w:r w:rsidRPr="00CC53E5">
          <w:rPr>
            <w:rStyle w:val="Hyperlink"/>
            <w:noProof/>
          </w:rPr>
          <w:t>3.4.1.2</w:t>
        </w:r>
        <w:r>
          <w:rPr>
            <w:rFonts w:asciiTheme="minorHAnsi" w:eastAsiaTheme="minorEastAsia" w:hAnsiTheme="minorHAnsi" w:cstheme="minorBidi"/>
            <w:noProof/>
            <w:sz w:val="22"/>
            <w:szCs w:val="22"/>
          </w:rPr>
          <w:tab/>
        </w:r>
        <w:r w:rsidRPr="00CC53E5">
          <w:rPr>
            <w:rStyle w:val="Hyperlink"/>
            <w:noProof/>
          </w:rPr>
          <w:t>Quick Access Toolbar Customizations Part</w:t>
        </w:r>
        <w:r>
          <w:rPr>
            <w:noProof/>
            <w:webHidden/>
          </w:rPr>
          <w:tab/>
        </w:r>
        <w:r>
          <w:rPr>
            <w:noProof/>
            <w:webHidden/>
          </w:rPr>
          <w:fldChar w:fldCharType="begin"/>
        </w:r>
        <w:r>
          <w:rPr>
            <w:noProof/>
            <w:webHidden/>
          </w:rPr>
          <w:instrText xml:space="preserve"> PAGEREF _Toc69879791 \h </w:instrText>
        </w:r>
        <w:r>
          <w:rPr>
            <w:noProof/>
            <w:webHidden/>
          </w:rPr>
        </w:r>
        <w:r>
          <w:rPr>
            <w:noProof/>
            <w:webHidden/>
          </w:rPr>
          <w:fldChar w:fldCharType="separate"/>
        </w:r>
        <w:r>
          <w:rPr>
            <w:noProof/>
            <w:webHidden/>
          </w:rPr>
          <w:t>852</w:t>
        </w:r>
        <w:r>
          <w:rPr>
            <w:noProof/>
            <w:webHidden/>
          </w:rPr>
          <w:fldChar w:fldCharType="end"/>
        </w:r>
      </w:hyperlink>
    </w:p>
    <w:p w:rsidR="00B42EF3" w:rsidRDefault="00B42EF3">
      <w:pPr>
        <w:pStyle w:val="TOC4"/>
        <w:rPr>
          <w:rFonts w:asciiTheme="minorHAnsi" w:eastAsiaTheme="minorEastAsia" w:hAnsiTheme="minorHAnsi" w:cstheme="minorBidi"/>
          <w:noProof/>
          <w:sz w:val="22"/>
          <w:szCs w:val="22"/>
        </w:rPr>
      </w:pPr>
      <w:hyperlink w:anchor="_Toc69879792" w:history="1">
        <w:r w:rsidRPr="00CC53E5">
          <w:rPr>
            <w:rStyle w:val="Hyperlink"/>
            <w:noProof/>
          </w:rPr>
          <w:t>3.4.1.3</w:t>
        </w:r>
        <w:r>
          <w:rPr>
            <w:rFonts w:asciiTheme="minorHAnsi" w:eastAsiaTheme="minorEastAsia" w:hAnsiTheme="minorHAnsi" w:cstheme="minorBidi"/>
            <w:noProof/>
            <w:sz w:val="22"/>
            <w:szCs w:val="22"/>
          </w:rPr>
          <w:tab/>
        </w:r>
        <w:r w:rsidRPr="00CC53E5">
          <w:rPr>
            <w:rStyle w:val="Hyperlink"/>
            <w:noProof/>
          </w:rPr>
          <w:t>CustomUI Part</w:t>
        </w:r>
        <w:r>
          <w:rPr>
            <w:noProof/>
            <w:webHidden/>
          </w:rPr>
          <w:tab/>
        </w:r>
        <w:r>
          <w:rPr>
            <w:noProof/>
            <w:webHidden/>
          </w:rPr>
          <w:fldChar w:fldCharType="begin"/>
        </w:r>
        <w:r>
          <w:rPr>
            <w:noProof/>
            <w:webHidden/>
          </w:rPr>
          <w:instrText xml:space="preserve"> PAGEREF _Toc69879792 \h </w:instrText>
        </w:r>
        <w:r>
          <w:rPr>
            <w:noProof/>
            <w:webHidden/>
          </w:rPr>
        </w:r>
        <w:r>
          <w:rPr>
            <w:noProof/>
            <w:webHidden/>
          </w:rPr>
          <w:fldChar w:fldCharType="separate"/>
        </w:r>
        <w:r>
          <w:rPr>
            <w:noProof/>
            <w:webHidden/>
          </w:rPr>
          <w:t>853</w:t>
        </w:r>
        <w:r>
          <w:rPr>
            <w:noProof/>
            <w:webHidden/>
          </w:rPr>
          <w:fldChar w:fldCharType="end"/>
        </w:r>
      </w:hyperlink>
    </w:p>
    <w:p w:rsidR="00B42EF3" w:rsidRDefault="00B42EF3">
      <w:pPr>
        <w:pStyle w:val="TOC4"/>
        <w:rPr>
          <w:rFonts w:asciiTheme="minorHAnsi" w:eastAsiaTheme="minorEastAsia" w:hAnsiTheme="minorHAnsi" w:cstheme="minorBidi"/>
          <w:noProof/>
          <w:sz w:val="22"/>
          <w:szCs w:val="22"/>
        </w:rPr>
      </w:pPr>
      <w:hyperlink w:anchor="_Toc69879793" w:history="1">
        <w:r w:rsidRPr="00CC53E5">
          <w:rPr>
            <w:rStyle w:val="Hyperlink"/>
            <w:noProof/>
          </w:rPr>
          <w:t>3.4.1.4</w:t>
        </w:r>
        <w:r>
          <w:rPr>
            <w:rFonts w:asciiTheme="minorHAnsi" w:eastAsiaTheme="minorEastAsia" w:hAnsiTheme="minorHAnsi" w:cstheme="minorBidi"/>
            <w:noProof/>
            <w:sz w:val="22"/>
            <w:szCs w:val="22"/>
          </w:rPr>
          <w:tab/>
        </w:r>
        <w:r w:rsidRPr="00CC53E5">
          <w:rPr>
            <w:rStyle w:val="Hyperlink"/>
            <w:noProof/>
          </w:rPr>
          <w:t>CustomUI2 Part</w:t>
        </w:r>
        <w:r>
          <w:rPr>
            <w:noProof/>
            <w:webHidden/>
          </w:rPr>
          <w:tab/>
        </w:r>
        <w:r>
          <w:rPr>
            <w:noProof/>
            <w:webHidden/>
          </w:rPr>
          <w:fldChar w:fldCharType="begin"/>
        </w:r>
        <w:r>
          <w:rPr>
            <w:noProof/>
            <w:webHidden/>
          </w:rPr>
          <w:instrText xml:space="preserve"> PAGEREF _Toc69879793 \h </w:instrText>
        </w:r>
        <w:r>
          <w:rPr>
            <w:noProof/>
            <w:webHidden/>
          </w:rPr>
        </w:r>
        <w:r>
          <w:rPr>
            <w:noProof/>
            <w:webHidden/>
          </w:rPr>
          <w:fldChar w:fldCharType="separate"/>
        </w:r>
        <w:r>
          <w:rPr>
            <w:noProof/>
            <w:webHidden/>
          </w:rPr>
          <w:t>854</w:t>
        </w:r>
        <w:r>
          <w:rPr>
            <w:noProof/>
            <w:webHidden/>
          </w:rPr>
          <w:fldChar w:fldCharType="end"/>
        </w:r>
      </w:hyperlink>
    </w:p>
    <w:p w:rsidR="00B42EF3" w:rsidRDefault="00B42EF3">
      <w:pPr>
        <w:pStyle w:val="TOC4"/>
        <w:rPr>
          <w:rFonts w:asciiTheme="minorHAnsi" w:eastAsiaTheme="minorEastAsia" w:hAnsiTheme="minorHAnsi" w:cstheme="minorBidi"/>
          <w:noProof/>
          <w:sz w:val="22"/>
          <w:szCs w:val="22"/>
        </w:rPr>
      </w:pPr>
      <w:hyperlink w:anchor="_Toc69879794" w:history="1">
        <w:r w:rsidRPr="00CC53E5">
          <w:rPr>
            <w:rStyle w:val="Hyperlink"/>
            <w:noProof/>
          </w:rPr>
          <w:t>3.4.1.5</w:t>
        </w:r>
        <w:r>
          <w:rPr>
            <w:rFonts w:asciiTheme="minorHAnsi" w:eastAsiaTheme="minorEastAsia" w:hAnsiTheme="minorHAnsi" w:cstheme="minorBidi"/>
            <w:noProof/>
            <w:sz w:val="22"/>
            <w:szCs w:val="22"/>
          </w:rPr>
          <w:tab/>
        </w:r>
        <w:r w:rsidRPr="00CC53E5">
          <w:rPr>
            <w:rStyle w:val="Hyperlink"/>
            <w:noProof/>
          </w:rPr>
          <w:t>Sensitivity Label Information Part</w:t>
        </w:r>
        <w:r>
          <w:rPr>
            <w:noProof/>
            <w:webHidden/>
          </w:rPr>
          <w:tab/>
        </w:r>
        <w:r>
          <w:rPr>
            <w:noProof/>
            <w:webHidden/>
          </w:rPr>
          <w:fldChar w:fldCharType="begin"/>
        </w:r>
        <w:r>
          <w:rPr>
            <w:noProof/>
            <w:webHidden/>
          </w:rPr>
          <w:instrText xml:space="preserve"> PAGEREF _Toc69879794 \h </w:instrText>
        </w:r>
        <w:r>
          <w:rPr>
            <w:noProof/>
            <w:webHidden/>
          </w:rPr>
        </w:r>
        <w:r>
          <w:rPr>
            <w:noProof/>
            <w:webHidden/>
          </w:rPr>
          <w:fldChar w:fldCharType="separate"/>
        </w:r>
        <w:r>
          <w:rPr>
            <w:noProof/>
            <w:webHidden/>
          </w:rPr>
          <w:t>855</w:t>
        </w:r>
        <w:r>
          <w:rPr>
            <w:noProof/>
            <w:webHidden/>
          </w:rPr>
          <w:fldChar w:fldCharType="end"/>
        </w:r>
      </w:hyperlink>
    </w:p>
    <w:p w:rsidR="00B42EF3" w:rsidRDefault="00B42EF3">
      <w:pPr>
        <w:pStyle w:val="TOC2"/>
        <w:rPr>
          <w:rFonts w:asciiTheme="minorHAnsi" w:eastAsiaTheme="minorEastAsia" w:hAnsiTheme="minorHAnsi" w:cstheme="minorBidi"/>
          <w:noProof/>
          <w:sz w:val="22"/>
          <w:szCs w:val="22"/>
        </w:rPr>
      </w:pPr>
      <w:hyperlink w:anchor="_Toc69879795" w:history="1">
        <w:r w:rsidRPr="00CC53E5">
          <w:rPr>
            <w:rStyle w:val="Hyperlink"/>
            <w:noProof/>
          </w:rPr>
          <w:t>3.5</w:t>
        </w:r>
        <w:r>
          <w:rPr>
            <w:rFonts w:asciiTheme="minorHAnsi" w:eastAsiaTheme="minorEastAsia" w:hAnsiTheme="minorHAnsi" w:cstheme="minorBidi"/>
            <w:noProof/>
            <w:sz w:val="22"/>
            <w:szCs w:val="22"/>
          </w:rPr>
          <w:tab/>
        </w:r>
        <w:r w:rsidRPr="00CC53E5">
          <w:rPr>
            <w:rStyle w:val="Hyperlink"/>
            <w:noProof/>
          </w:rPr>
          <w:t>Office Well Defined Custom XML Parts</w:t>
        </w:r>
        <w:r>
          <w:rPr>
            <w:noProof/>
            <w:webHidden/>
          </w:rPr>
          <w:tab/>
        </w:r>
        <w:r>
          <w:rPr>
            <w:noProof/>
            <w:webHidden/>
          </w:rPr>
          <w:fldChar w:fldCharType="begin"/>
        </w:r>
        <w:r>
          <w:rPr>
            <w:noProof/>
            <w:webHidden/>
          </w:rPr>
          <w:instrText xml:space="preserve"> PAGEREF _Toc69879795 \h </w:instrText>
        </w:r>
        <w:r>
          <w:rPr>
            <w:noProof/>
            <w:webHidden/>
          </w:rPr>
        </w:r>
        <w:r>
          <w:rPr>
            <w:noProof/>
            <w:webHidden/>
          </w:rPr>
          <w:fldChar w:fldCharType="separate"/>
        </w:r>
        <w:r>
          <w:rPr>
            <w:noProof/>
            <w:webHidden/>
          </w:rPr>
          <w:t>856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796" w:history="1">
        <w:r w:rsidRPr="00CC53E5">
          <w:rPr>
            <w:rStyle w:val="Hyperlink"/>
            <w:noProof/>
          </w:rPr>
          <w:t>3.5.1</w:t>
        </w:r>
        <w:r>
          <w:rPr>
            <w:rFonts w:asciiTheme="minorHAnsi" w:eastAsiaTheme="minorEastAsia" w:hAnsiTheme="minorHAnsi" w:cstheme="minorBidi"/>
            <w:noProof/>
            <w:sz w:val="22"/>
            <w:szCs w:val="22"/>
          </w:rPr>
          <w:tab/>
        </w:r>
        <w:r w:rsidRPr="00CC53E5">
          <w:rPr>
            <w:rStyle w:val="Hyperlink"/>
            <w:noProof/>
          </w:rPr>
          <w:t>Cover Page Properties</w:t>
        </w:r>
        <w:r>
          <w:rPr>
            <w:noProof/>
            <w:webHidden/>
          </w:rPr>
          <w:tab/>
        </w:r>
        <w:r>
          <w:rPr>
            <w:noProof/>
            <w:webHidden/>
          </w:rPr>
          <w:fldChar w:fldCharType="begin"/>
        </w:r>
        <w:r>
          <w:rPr>
            <w:noProof/>
            <w:webHidden/>
          </w:rPr>
          <w:instrText xml:space="preserve"> PAGEREF _Toc69879796 \h </w:instrText>
        </w:r>
        <w:r>
          <w:rPr>
            <w:noProof/>
            <w:webHidden/>
          </w:rPr>
        </w:r>
        <w:r>
          <w:rPr>
            <w:noProof/>
            <w:webHidden/>
          </w:rPr>
          <w:fldChar w:fldCharType="separate"/>
        </w:r>
        <w:r>
          <w:rPr>
            <w:noProof/>
            <w:webHidden/>
          </w:rPr>
          <w:t>857</w:t>
        </w:r>
        <w:r>
          <w:rPr>
            <w:noProof/>
            <w:webHidden/>
          </w:rPr>
          <w:fldChar w:fldCharType="end"/>
        </w:r>
      </w:hyperlink>
    </w:p>
    <w:p w:rsidR="00B42EF3" w:rsidRDefault="00B42EF3">
      <w:pPr>
        <w:pStyle w:val="TOC4"/>
        <w:rPr>
          <w:rFonts w:asciiTheme="minorHAnsi" w:eastAsiaTheme="minorEastAsia" w:hAnsiTheme="minorHAnsi" w:cstheme="minorBidi"/>
          <w:noProof/>
          <w:sz w:val="22"/>
          <w:szCs w:val="22"/>
        </w:rPr>
      </w:pPr>
      <w:hyperlink w:anchor="_Toc69879797" w:history="1">
        <w:r w:rsidRPr="00CC53E5">
          <w:rPr>
            <w:rStyle w:val="Hyperlink"/>
            <w:noProof/>
          </w:rPr>
          <w:t>3.5.1.1</w:t>
        </w:r>
        <w:r>
          <w:rPr>
            <w:rFonts w:asciiTheme="minorHAnsi" w:eastAsiaTheme="minorEastAsia" w:hAnsiTheme="minorHAnsi" w:cstheme="minorBidi"/>
            <w:noProof/>
            <w:sz w:val="22"/>
            <w:szCs w:val="22"/>
          </w:rPr>
          <w:tab/>
        </w:r>
        <w:r w:rsidRPr="00CC53E5">
          <w:rPr>
            <w:rStyle w:val="Hyperlink"/>
            <w:noProof/>
          </w:rPr>
          <w:t>Cover Page Properties Schema</w:t>
        </w:r>
        <w:r>
          <w:rPr>
            <w:noProof/>
            <w:webHidden/>
          </w:rPr>
          <w:tab/>
        </w:r>
        <w:r>
          <w:rPr>
            <w:noProof/>
            <w:webHidden/>
          </w:rPr>
          <w:fldChar w:fldCharType="begin"/>
        </w:r>
        <w:r>
          <w:rPr>
            <w:noProof/>
            <w:webHidden/>
          </w:rPr>
          <w:instrText xml:space="preserve"> PAGEREF _Toc69879797 \h </w:instrText>
        </w:r>
        <w:r>
          <w:rPr>
            <w:noProof/>
            <w:webHidden/>
          </w:rPr>
        </w:r>
        <w:r>
          <w:rPr>
            <w:noProof/>
            <w:webHidden/>
          </w:rPr>
          <w:fldChar w:fldCharType="separate"/>
        </w:r>
        <w:r>
          <w:rPr>
            <w:noProof/>
            <w:webHidden/>
          </w:rPr>
          <w:t>857</w:t>
        </w:r>
        <w:r>
          <w:rPr>
            <w:noProof/>
            <w:webHidden/>
          </w:rPr>
          <w:fldChar w:fldCharType="end"/>
        </w:r>
      </w:hyperlink>
    </w:p>
    <w:p w:rsidR="00B42EF3" w:rsidRDefault="00B42EF3">
      <w:pPr>
        <w:pStyle w:val="TOC5"/>
        <w:rPr>
          <w:rFonts w:asciiTheme="minorHAnsi" w:eastAsiaTheme="minorEastAsia" w:hAnsiTheme="minorHAnsi" w:cstheme="minorBidi"/>
          <w:noProof/>
          <w:sz w:val="22"/>
          <w:szCs w:val="22"/>
        </w:rPr>
      </w:pPr>
      <w:hyperlink w:anchor="_Toc69879798" w:history="1">
        <w:r w:rsidRPr="00CC53E5">
          <w:rPr>
            <w:rStyle w:val="Hyperlink"/>
            <w:noProof/>
          </w:rPr>
          <w:t>3.5.1.1.1</w:t>
        </w:r>
        <w:r>
          <w:rPr>
            <w:rFonts w:asciiTheme="minorHAnsi" w:eastAsiaTheme="minorEastAsia" w:hAnsiTheme="minorHAnsi" w:cstheme="minorBidi"/>
            <w:noProof/>
            <w:sz w:val="22"/>
            <w:szCs w:val="22"/>
          </w:rPr>
          <w:tab/>
        </w:r>
        <w:r w:rsidRPr="00CC53E5">
          <w:rPr>
            <w:rStyle w:val="Hyperlink"/>
            <w:noProof/>
          </w:rPr>
          <w:t>Elements</w:t>
        </w:r>
        <w:r>
          <w:rPr>
            <w:noProof/>
            <w:webHidden/>
          </w:rPr>
          <w:tab/>
        </w:r>
        <w:r>
          <w:rPr>
            <w:noProof/>
            <w:webHidden/>
          </w:rPr>
          <w:fldChar w:fldCharType="begin"/>
        </w:r>
        <w:r>
          <w:rPr>
            <w:noProof/>
            <w:webHidden/>
          </w:rPr>
          <w:instrText xml:space="preserve"> PAGEREF _Toc69879798 \h </w:instrText>
        </w:r>
        <w:r>
          <w:rPr>
            <w:noProof/>
            <w:webHidden/>
          </w:rPr>
        </w:r>
        <w:r>
          <w:rPr>
            <w:noProof/>
            <w:webHidden/>
          </w:rPr>
          <w:fldChar w:fldCharType="separate"/>
        </w:r>
        <w:r>
          <w:rPr>
            <w:noProof/>
            <w:webHidden/>
          </w:rPr>
          <w:t>857</w:t>
        </w:r>
        <w:r>
          <w:rPr>
            <w:noProof/>
            <w:webHidden/>
          </w:rPr>
          <w:fldChar w:fldCharType="end"/>
        </w:r>
      </w:hyperlink>
    </w:p>
    <w:p w:rsidR="00B42EF3" w:rsidRDefault="00B42EF3">
      <w:pPr>
        <w:pStyle w:val="TOC6"/>
        <w:rPr>
          <w:rFonts w:asciiTheme="minorHAnsi" w:eastAsiaTheme="minorEastAsia" w:hAnsiTheme="minorHAnsi" w:cstheme="minorBidi"/>
          <w:noProof/>
          <w:sz w:val="22"/>
          <w:szCs w:val="22"/>
        </w:rPr>
      </w:pPr>
      <w:hyperlink w:anchor="_Toc69879799" w:history="1">
        <w:r w:rsidRPr="00CC53E5">
          <w:rPr>
            <w:rStyle w:val="Hyperlink"/>
            <w:noProof/>
          </w:rPr>
          <w:t>3.5.1.1.1.1</w:t>
        </w:r>
        <w:r>
          <w:rPr>
            <w:rFonts w:asciiTheme="minorHAnsi" w:eastAsiaTheme="minorEastAsia" w:hAnsiTheme="minorHAnsi" w:cstheme="minorBidi"/>
            <w:noProof/>
            <w:sz w:val="22"/>
            <w:szCs w:val="22"/>
          </w:rPr>
          <w:tab/>
        </w:r>
        <w:r w:rsidRPr="00CC53E5">
          <w:rPr>
            <w:rStyle w:val="Hyperlink"/>
            <w:noProof/>
          </w:rPr>
          <w:t>Abstract (Document Abstract)</w:t>
        </w:r>
        <w:r>
          <w:rPr>
            <w:noProof/>
            <w:webHidden/>
          </w:rPr>
          <w:tab/>
        </w:r>
        <w:r>
          <w:rPr>
            <w:noProof/>
            <w:webHidden/>
          </w:rPr>
          <w:fldChar w:fldCharType="begin"/>
        </w:r>
        <w:r>
          <w:rPr>
            <w:noProof/>
            <w:webHidden/>
          </w:rPr>
          <w:instrText xml:space="preserve"> PAGEREF _Toc69879799 \h </w:instrText>
        </w:r>
        <w:r>
          <w:rPr>
            <w:noProof/>
            <w:webHidden/>
          </w:rPr>
        </w:r>
        <w:r>
          <w:rPr>
            <w:noProof/>
            <w:webHidden/>
          </w:rPr>
          <w:fldChar w:fldCharType="separate"/>
        </w:r>
        <w:r>
          <w:rPr>
            <w:noProof/>
            <w:webHidden/>
          </w:rPr>
          <w:t>857</w:t>
        </w:r>
        <w:r>
          <w:rPr>
            <w:noProof/>
            <w:webHidden/>
          </w:rPr>
          <w:fldChar w:fldCharType="end"/>
        </w:r>
      </w:hyperlink>
    </w:p>
    <w:p w:rsidR="00B42EF3" w:rsidRDefault="00B42EF3">
      <w:pPr>
        <w:pStyle w:val="TOC6"/>
        <w:rPr>
          <w:rFonts w:asciiTheme="minorHAnsi" w:eastAsiaTheme="minorEastAsia" w:hAnsiTheme="minorHAnsi" w:cstheme="minorBidi"/>
          <w:noProof/>
          <w:sz w:val="22"/>
          <w:szCs w:val="22"/>
        </w:rPr>
      </w:pPr>
      <w:hyperlink w:anchor="_Toc69879800" w:history="1">
        <w:r w:rsidRPr="00CC53E5">
          <w:rPr>
            <w:rStyle w:val="Hyperlink"/>
            <w:noProof/>
          </w:rPr>
          <w:t>3.5.1.1.1.2</w:t>
        </w:r>
        <w:r>
          <w:rPr>
            <w:rFonts w:asciiTheme="minorHAnsi" w:eastAsiaTheme="minorEastAsia" w:hAnsiTheme="minorHAnsi" w:cstheme="minorBidi"/>
            <w:noProof/>
            <w:sz w:val="22"/>
            <w:szCs w:val="22"/>
          </w:rPr>
          <w:tab/>
        </w:r>
        <w:r w:rsidRPr="00CC53E5">
          <w:rPr>
            <w:rStyle w:val="Hyperlink"/>
            <w:noProof/>
          </w:rPr>
          <w:t>CompanyAddress (Company Address)</w:t>
        </w:r>
        <w:r>
          <w:rPr>
            <w:noProof/>
            <w:webHidden/>
          </w:rPr>
          <w:tab/>
        </w:r>
        <w:r>
          <w:rPr>
            <w:noProof/>
            <w:webHidden/>
          </w:rPr>
          <w:fldChar w:fldCharType="begin"/>
        </w:r>
        <w:r>
          <w:rPr>
            <w:noProof/>
            <w:webHidden/>
          </w:rPr>
          <w:instrText xml:space="preserve"> PAGEREF _Toc69879800 \h </w:instrText>
        </w:r>
        <w:r>
          <w:rPr>
            <w:noProof/>
            <w:webHidden/>
          </w:rPr>
        </w:r>
        <w:r>
          <w:rPr>
            <w:noProof/>
            <w:webHidden/>
          </w:rPr>
          <w:fldChar w:fldCharType="separate"/>
        </w:r>
        <w:r>
          <w:rPr>
            <w:noProof/>
            <w:webHidden/>
          </w:rPr>
          <w:t>857</w:t>
        </w:r>
        <w:r>
          <w:rPr>
            <w:noProof/>
            <w:webHidden/>
          </w:rPr>
          <w:fldChar w:fldCharType="end"/>
        </w:r>
      </w:hyperlink>
    </w:p>
    <w:p w:rsidR="00B42EF3" w:rsidRDefault="00B42EF3">
      <w:pPr>
        <w:pStyle w:val="TOC6"/>
        <w:rPr>
          <w:rFonts w:asciiTheme="minorHAnsi" w:eastAsiaTheme="minorEastAsia" w:hAnsiTheme="minorHAnsi" w:cstheme="minorBidi"/>
          <w:noProof/>
          <w:sz w:val="22"/>
          <w:szCs w:val="22"/>
        </w:rPr>
      </w:pPr>
      <w:hyperlink w:anchor="_Toc69879801" w:history="1">
        <w:r w:rsidRPr="00CC53E5">
          <w:rPr>
            <w:rStyle w:val="Hyperlink"/>
            <w:noProof/>
          </w:rPr>
          <w:t>3.5.1.1.1.3</w:t>
        </w:r>
        <w:r>
          <w:rPr>
            <w:rFonts w:asciiTheme="minorHAnsi" w:eastAsiaTheme="minorEastAsia" w:hAnsiTheme="minorHAnsi" w:cstheme="minorBidi"/>
            <w:noProof/>
            <w:sz w:val="22"/>
            <w:szCs w:val="22"/>
          </w:rPr>
          <w:tab/>
        </w:r>
        <w:r w:rsidRPr="00CC53E5">
          <w:rPr>
            <w:rStyle w:val="Hyperlink"/>
            <w:noProof/>
          </w:rPr>
          <w:t>CompanyEmail (Company Email Address)</w:t>
        </w:r>
        <w:r>
          <w:rPr>
            <w:noProof/>
            <w:webHidden/>
          </w:rPr>
          <w:tab/>
        </w:r>
        <w:r>
          <w:rPr>
            <w:noProof/>
            <w:webHidden/>
          </w:rPr>
          <w:fldChar w:fldCharType="begin"/>
        </w:r>
        <w:r>
          <w:rPr>
            <w:noProof/>
            <w:webHidden/>
          </w:rPr>
          <w:instrText xml:space="preserve"> PAGEREF _Toc69879801 \h </w:instrText>
        </w:r>
        <w:r>
          <w:rPr>
            <w:noProof/>
            <w:webHidden/>
          </w:rPr>
        </w:r>
        <w:r>
          <w:rPr>
            <w:noProof/>
            <w:webHidden/>
          </w:rPr>
          <w:fldChar w:fldCharType="separate"/>
        </w:r>
        <w:r>
          <w:rPr>
            <w:noProof/>
            <w:webHidden/>
          </w:rPr>
          <w:t>857</w:t>
        </w:r>
        <w:r>
          <w:rPr>
            <w:noProof/>
            <w:webHidden/>
          </w:rPr>
          <w:fldChar w:fldCharType="end"/>
        </w:r>
      </w:hyperlink>
    </w:p>
    <w:p w:rsidR="00B42EF3" w:rsidRDefault="00B42EF3">
      <w:pPr>
        <w:pStyle w:val="TOC6"/>
        <w:rPr>
          <w:rFonts w:asciiTheme="minorHAnsi" w:eastAsiaTheme="minorEastAsia" w:hAnsiTheme="minorHAnsi" w:cstheme="minorBidi"/>
          <w:noProof/>
          <w:sz w:val="22"/>
          <w:szCs w:val="22"/>
        </w:rPr>
      </w:pPr>
      <w:hyperlink w:anchor="_Toc69879802" w:history="1">
        <w:r w:rsidRPr="00CC53E5">
          <w:rPr>
            <w:rStyle w:val="Hyperlink"/>
            <w:noProof/>
          </w:rPr>
          <w:t>3.5.1.1.1.4</w:t>
        </w:r>
        <w:r>
          <w:rPr>
            <w:rFonts w:asciiTheme="minorHAnsi" w:eastAsiaTheme="minorEastAsia" w:hAnsiTheme="minorHAnsi" w:cstheme="minorBidi"/>
            <w:noProof/>
            <w:sz w:val="22"/>
            <w:szCs w:val="22"/>
          </w:rPr>
          <w:tab/>
        </w:r>
        <w:r w:rsidRPr="00CC53E5">
          <w:rPr>
            <w:rStyle w:val="Hyperlink"/>
            <w:noProof/>
          </w:rPr>
          <w:t>CompanyFax (Company Fax Number)</w:t>
        </w:r>
        <w:r>
          <w:rPr>
            <w:noProof/>
            <w:webHidden/>
          </w:rPr>
          <w:tab/>
        </w:r>
        <w:r>
          <w:rPr>
            <w:noProof/>
            <w:webHidden/>
          </w:rPr>
          <w:fldChar w:fldCharType="begin"/>
        </w:r>
        <w:r>
          <w:rPr>
            <w:noProof/>
            <w:webHidden/>
          </w:rPr>
          <w:instrText xml:space="preserve"> PAGEREF _Toc69879802 \h </w:instrText>
        </w:r>
        <w:r>
          <w:rPr>
            <w:noProof/>
            <w:webHidden/>
          </w:rPr>
        </w:r>
        <w:r>
          <w:rPr>
            <w:noProof/>
            <w:webHidden/>
          </w:rPr>
          <w:fldChar w:fldCharType="separate"/>
        </w:r>
        <w:r>
          <w:rPr>
            <w:noProof/>
            <w:webHidden/>
          </w:rPr>
          <w:t>857</w:t>
        </w:r>
        <w:r>
          <w:rPr>
            <w:noProof/>
            <w:webHidden/>
          </w:rPr>
          <w:fldChar w:fldCharType="end"/>
        </w:r>
      </w:hyperlink>
    </w:p>
    <w:p w:rsidR="00B42EF3" w:rsidRDefault="00B42EF3">
      <w:pPr>
        <w:pStyle w:val="TOC6"/>
        <w:rPr>
          <w:rFonts w:asciiTheme="minorHAnsi" w:eastAsiaTheme="minorEastAsia" w:hAnsiTheme="minorHAnsi" w:cstheme="minorBidi"/>
          <w:noProof/>
          <w:sz w:val="22"/>
          <w:szCs w:val="22"/>
        </w:rPr>
      </w:pPr>
      <w:hyperlink w:anchor="_Toc69879803" w:history="1">
        <w:r w:rsidRPr="00CC53E5">
          <w:rPr>
            <w:rStyle w:val="Hyperlink"/>
            <w:noProof/>
          </w:rPr>
          <w:t>3.5.1.1.1.5</w:t>
        </w:r>
        <w:r>
          <w:rPr>
            <w:rFonts w:asciiTheme="minorHAnsi" w:eastAsiaTheme="minorEastAsia" w:hAnsiTheme="minorHAnsi" w:cstheme="minorBidi"/>
            <w:noProof/>
            <w:sz w:val="22"/>
            <w:szCs w:val="22"/>
          </w:rPr>
          <w:tab/>
        </w:r>
        <w:r w:rsidRPr="00CC53E5">
          <w:rPr>
            <w:rStyle w:val="Hyperlink"/>
            <w:noProof/>
          </w:rPr>
          <w:t>CompanyPhone (Company Phone Number)</w:t>
        </w:r>
        <w:r>
          <w:rPr>
            <w:noProof/>
            <w:webHidden/>
          </w:rPr>
          <w:tab/>
        </w:r>
        <w:r>
          <w:rPr>
            <w:noProof/>
            <w:webHidden/>
          </w:rPr>
          <w:fldChar w:fldCharType="begin"/>
        </w:r>
        <w:r>
          <w:rPr>
            <w:noProof/>
            <w:webHidden/>
          </w:rPr>
          <w:instrText xml:space="preserve"> PAGEREF _Toc69879803 \h </w:instrText>
        </w:r>
        <w:r>
          <w:rPr>
            <w:noProof/>
            <w:webHidden/>
          </w:rPr>
        </w:r>
        <w:r>
          <w:rPr>
            <w:noProof/>
            <w:webHidden/>
          </w:rPr>
          <w:fldChar w:fldCharType="separate"/>
        </w:r>
        <w:r>
          <w:rPr>
            <w:noProof/>
            <w:webHidden/>
          </w:rPr>
          <w:t>858</w:t>
        </w:r>
        <w:r>
          <w:rPr>
            <w:noProof/>
            <w:webHidden/>
          </w:rPr>
          <w:fldChar w:fldCharType="end"/>
        </w:r>
      </w:hyperlink>
    </w:p>
    <w:p w:rsidR="00B42EF3" w:rsidRDefault="00B42EF3">
      <w:pPr>
        <w:pStyle w:val="TOC6"/>
        <w:rPr>
          <w:rFonts w:asciiTheme="minorHAnsi" w:eastAsiaTheme="minorEastAsia" w:hAnsiTheme="minorHAnsi" w:cstheme="minorBidi"/>
          <w:noProof/>
          <w:sz w:val="22"/>
          <w:szCs w:val="22"/>
        </w:rPr>
      </w:pPr>
      <w:hyperlink w:anchor="_Toc69879804" w:history="1">
        <w:r w:rsidRPr="00CC53E5">
          <w:rPr>
            <w:rStyle w:val="Hyperlink"/>
            <w:noProof/>
          </w:rPr>
          <w:t>3.5.1.1.1.6</w:t>
        </w:r>
        <w:r>
          <w:rPr>
            <w:rFonts w:asciiTheme="minorHAnsi" w:eastAsiaTheme="minorEastAsia" w:hAnsiTheme="minorHAnsi" w:cstheme="minorBidi"/>
            <w:noProof/>
            <w:sz w:val="22"/>
            <w:szCs w:val="22"/>
          </w:rPr>
          <w:tab/>
        </w:r>
        <w:r w:rsidRPr="00CC53E5">
          <w:rPr>
            <w:rStyle w:val="Hyperlink"/>
            <w:noProof/>
          </w:rPr>
          <w:t>CoverPageProperties (Cover Page Properties)</w:t>
        </w:r>
        <w:r>
          <w:rPr>
            <w:noProof/>
            <w:webHidden/>
          </w:rPr>
          <w:tab/>
        </w:r>
        <w:r>
          <w:rPr>
            <w:noProof/>
            <w:webHidden/>
          </w:rPr>
          <w:fldChar w:fldCharType="begin"/>
        </w:r>
        <w:r>
          <w:rPr>
            <w:noProof/>
            <w:webHidden/>
          </w:rPr>
          <w:instrText xml:space="preserve"> PAGEREF _Toc69879804 \h </w:instrText>
        </w:r>
        <w:r>
          <w:rPr>
            <w:noProof/>
            <w:webHidden/>
          </w:rPr>
        </w:r>
        <w:r>
          <w:rPr>
            <w:noProof/>
            <w:webHidden/>
          </w:rPr>
          <w:fldChar w:fldCharType="separate"/>
        </w:r>
        <w:r>
          <w:rPr>
            <w:noProof/>
            <w:webHidden/>
          </w:rPr>
          <w:t>858</w:t>
        </w:r>
        <w:r>
          <w:rPr>
            <w:noProof/>
            <w:webHidden/>
          </w:rPr>
          <w:fldChar w:fldCharType="end"/>
        </w:r>
      </w:hyperlink>
    </w:p>
    <w:p w:rsidR="00B42EF3" w:rsidRDefault="00B42EF3">
      <w:pPr>
        <w:pStyle w:val="TOC6"/>
        <w:rPr>
          <w:rFonts w:asciiTheme="minorHAnsi" w:eastAsiaTheme="minorEastAsia" w:hAnsiTheme="minorHAnsi" w:cstheme="minorBidi"/>
          <w:noProof/>
          <w:sz w:val="22"/>
          <w:szCs w:val="22"/>
        </w:rPr>
      </w:pPr>
      <w:hyperlink w:anchor="_Toc69879805" w:history="1">
        <w:r w:rsidRPr="00CC53E5">
          <w:rPr>
            <w:rStyle w:val="Hyperlink"/>
            <w:noProof/>
          </w:rPr>
          <w:t>3.5.1.1.1.7</w:t>
        </w:r>
        <w:r>
          <w:rPr>
            <w:rFonts w:asciiTheme="minorHAnsi" w:eastAsiaTheme="minorEastAsia" w:hAnsiTheme="minorHAnsi" w:cstheme="minorBidi"/>
            <w:noProof/>
            <w:sz w:val="22"/>
            <w:szCs w:val="22"/>
          </w:rPr>
          <w:tab/>
        </w:r>
        <w:r w:rsidRPr="00CC53E5">
          <w:rPr>
            <w:rStyle w:val="Hyperlink"/>
            <w:noProof/>
          </w:rPr>
          <w:t>PublishDate (Document Publish Date)</w:t>
        </w:r>
        <w:r>
          <w:rPr>
            <w:noProof/>
            <w:webHidden/>
          </w:rPr>
          <w:tab/>
        </w:r>
        <w:r>
          <w:rPr>
            <w:noProof/>
            <w:webHidden/>
          </w:rPr>
          <w:fldChar w:fldCharType="begin"/>
        </w:r>
        <w:r>
          <w:rPr>
            <w:noProof/>
            <w:webHidden/>
          </w:rPr>
          <w:instrText xml:space="preserve"> PAGEREF _Toc69879805 \h </w:instrText>
        </w:r>
        <w:r>
          <w:rPr>
            <w:noProof/>
            <w:webHidden/>
          </w:rPr>
        </w:r>
        <w:r>
          <w:rPr>
            <w:noProof/>
            <w:webHidden/>
          </w:rPr>
          <w:fldChar w:fldCharType="separate"/>
        </w:r>
        <w:r>
          <w:rPr>
            <w:noProof/>
            <w:webHidden/>
          </w:rPr>
          <w:t>858</w:t>
        </w:r>
        <w:r>
          <w:rPr>
            <w:noProof/>
            <w:webHidden/>
          </w:rPr>
          <w:fldChar w:fldCharType="end"/>
        </w:r>
      </w:hyperlink>
    </w:p>
    <w:p w:rsidR="00B42EF3" w:rsidRDefault="00B42EF3">
      <w:pPr>
        <w:pStyle w:val="TOC5"/>
        <w:rPr>
          <w:rFonts w:asciiTheme="minorHAnsi" w:eastAsiaTheme="minorEastAsia" w:hAnsiTheme="minorHAnsi" w:cstheme="minorBidi"/>
          <w:noProof/>
          <w:sz w:val="22"/>
          <w:szCs w:val="22"/>
        </w:rPr>
      </w:pPr>
      <w:hyperlink w:anchor="_Toc69879806" w:history="1">
        <w:r w:rsidRPr="00CC53E5">
          <w:rPr>
            <w:rStyle w:val="Hyperlink"/>
            <w:noProof/>
          </w:rPr>
          <w:t>3.5.1.1.2</w:t>
        </w:r>
        <w:r>
          <w:rPr>
            <w:rFonts w:asciiTheme="minorHAnsi" w:eastAsiaTheme="minorEastAsia" w:hAnsiTheme="minorHAnsi" w:cstheme="minorBidi"/>
            <w:noProof/>
            <w:sz w:val="22"/>
            <w:szCs w:val="22"/>
          </w:rPr>
          <w:tab/>
        </w:r>
        <w:r w:rsidRPr="00CC53E5">
          <w:rPr>
            <w:rStyle w:val="Hyperlink"/>
            <w:noProof/>
          </w:rPr>
          <w:t>Simple Types</w:t>
        </w:r>
        <w:r>
          <w:rPr>
            <w:noProof/>
            <w:webHidden/>
          </w:rPr>
          <w:tab/>
        </w:r>
        <w:r>
          <w:rPr>
            <w:noProof/>
            <w:webHidden/>
          </w:rPr>
          <w:fldChar w:fldCharType="begin"/>
        </w:r>
        <w:r>
          <w:rPr>
            <w:noProof/>
            <w:webHidden/>
          </w:rPr>
          <w:instrText xml:space="preserve"> PAGEREF _Toc69879806 \h </w:instrText>
        </w:r>
        <w:r>
          <w:rPr>
            <w:noProof/>
            <w:webHidden/>
          </w:rPr>
        </w:r>
        <w:r>
          <w:rPr>
            <w:noProof/>
            <w:webHidden/>
          </w:rPr>
          <w:fldChar w:fldCharType="separate"/>
        </w:r>
        <w:r>
          <w:rPr>
            <w:noProof/>
            <w:webHidden/>
          </w:rPr>
          <w:t>859</w:t>
        </w:r>
        <w:r>
          <w:rPr>
            <w:noProof/>
            <w:webHidden/>
          </w:rPr>
          <w:fldChar w:fldCharType="end"/>
        </w:r>
      </w:hyperlink>
    </w:p>
    <w:p w:rsidR="00B42EF3" w:rsidRDefault="00B42EF3">
      <w:pPr>
        <w:pStyle w:val="TOC6"/>
        <w:rPr>
          <w:rFonts w:asciiTheme="minorHAnsi" w:eastAsiaTheme="minorEastAsia" w:hAnsiTheme="minorHAnsi" w:cstheme="minorBidi"/>
          <w:noProof/>
          <w:sz w:val="22"/>
          <w:szCs w:val="22"/>
        </w:rPr>
      </w:pPr>
      <w:hyperlink w:anchor="_Toc69879807" w:history="1">
        <w:r w:rsidRPr="00CC53E5">
          <w:rPr>
            <w:rStyle w:val="Hyperlink"/>
            <w:noProof/>
          </w:rPr>
          <w:t>3.5.1.1.2.1</w:t>
        </w:r>
        <w:r>
          <w:rPr>
            <w:rFonts w:asciiTheme="minorHAnsi" w:eastAsiaTheme="minorEastAsia" w:hAnsiTheme="minorHAnsi" w:cstheme="minorBidi"/>
            <w:noProof/>
            <w:sz w:val="22"/>
            <w:szCs w:val="22"/>
          </w:rPr>
          <w:tab/>
        </w:r>
        <w:r w:rsidRPr="00CC53E5">
          <w:rPr>
            <w:rStyle w:val="Hyperlink"/>
            <w:noProof/>
          </w:rPr>
          <w:t>ST_PublishDate (Publish Date Value)</w:t>
        </w:r>
        <w:r>
          <w:rPr>
            <w:noProof/>
            <w:webHidden/>
          </w:rPr>
          <w:tab/>
        </w:r>
        <w:r>
          <w:rPr>
            <w:noProof/>
            <w:webHidden/>
          </w:rPr>
          <w:fldChar w:fldCharType="begin"/>
        </w:r>
        <w:r>
          <w:rPr>
            <w:noProof/>
            <w:webHidden/>
          </w:rPr>
          <w:instrText xml:space="preserve"> PAGEREF _Toc69879807 \h </w:instrText>
        </w:r>
        <w:r>
          <w:rPr>
            <w:noProof/>
            <w:webHidden/>
          </w:rPr>
        </w:r>
        <w:r>
          <w:rPr>
            <w:noProof/>
            <w:webHidden/>
          </w:rPr>
          <w:fldChar w:fldCharType="separate"/>
        </w:r>
        <w:r>
          <w:rPr>
            <w:noProof/>
            <w:webHidden/>
          </w:rPr>
          <w:t>859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808" w:history="1">
        <w:r w:rsidRPr="00CC53E5">
          <w:rPr>
            <w:rStyle w:val="Hyperlink"/>
            <w:noProof/>
          </w:rPr>
          <w:t>3.5.2</w:t>
        </w:r>
        <w:r>
          <w:rPr>
            <w:rFonts w:asciiTheme="minorHAnsi" w:eastAsiaTheme="minorEastAsia" w:hAnsiTheme="minorHAnsi" w:cstheme="minorBidi"/>
            <w:noProof/>
            <w:sz w:val="22"/>
            <w:szCs w:val="22"/>
          </w:rPr>
          <w:tab/>
        </w:r>
        <w:r w:rsidRPr="00CC53E5">
          <w:rPr>
            <w:rStyle w:val="Hyperlink"/>
            <w:noProof/>
          </w:rPr>
          <w:t>Content Type Schemas</w:t>
        </w:r>
        <w:r>
          <w:rPr>
            <w:noProof/>
            <w:webHidden/>
          </w:rPr>
          <w:tab/>
        </w:r>
        <w:r>
          <w:rPr>
            <w:noProof/>
            <w:webHidden/>
          </w:rPr>
          <w:fldChar w:fldCharType="begin"/>
        </w:r>
        <w:r>
          <w:rPr>
            <w:noProof/>
            <w:webHidden/>
          </w:rPr>
          <w:instrText xml:space="preserve"> PAGEREF _Toc69879808 \h </w:instrText>
        </w:r>
        <w:r>
          <w:rPr>
            <w:noProof/>
            <w:webHidden/>
          </w:rPr>
        </w:r>
        <w:r>
          <w:rPr>
            <w:noProof/>
            <w:webHidden/>
          </w:rPr>
          <w:fldChar w:fldCharType="separate"/>
        </w:r>
        <w:r>
          <w:rPr>
            <w:noProof/>
            <w:webHidden/>
          </w:rPr>
          <w:t>859</w:t>
        </w:r>
        <w:r>
          <w:rPr>
            <w:noProof/>
            <w:webHidden/>
          </w:rPr>
          <w:fldChar w:fldCharType="end"/>
        </w:r>
      </w:hyperlink>
    </w:p>
    <w:p w:rsidR="00B42EF3" w:rsidRDefault="00B42EF3">
      <w:pPr>
        <w:pStyle w:val="TOC4"/>
        <w:rPr>
          <w:rFonts w:asciiTheme="minorHAnsi" w:eastAsiaTheme="minorEastAsia" w:hAnsiTheme="minorHAnsi" w:cstheme="minorBidi"/>
          <w:noProof/>
          <w:sz w:val="22"/>
          <w:szCs w:val="22"/>
        </w:rPr>
      </w:pPr>
      <w:hyperlink w:anchor="_Toc69879809" w:history="1">
        <w:r w:rsidRPr="00CC53E5">
          <w:rPr>
            <w:rStyle w:val="Hyperlink"/>
            <w:noProof/>
          </w:rPr>
          <w:t>3.5.2.1</w:t>
        </w:r>
        <w:r>
          <w:rPr>
            <w:rFonts w:asciiTheme="minorHAnsi" w:eastAsiaTheme="minorEastAsia" w:hAnsiTheme="minorHAnsi" w:cstheme="minorBidi"/>
            <w:noProof/>
            <w:sz w:val="22"/>
            <w:szCs w:val="22"/>
          </w:rPr>
          <w:tab/>
        </w:r>
        <w:r w:rsidRPr="00CC53E5">
          <w:rPr>
            <w:rStyle w:val="Hyperlink"/>
            <w:noProof/>
          </w:rPr>
          <w:t>Content Type Schemas Schema</w:t>
        </w:r>
        <w:r>
          <w:rPr>
            <w:noProof/>
            <w:webHidden/>
          </w:rPr>
          <w:tab/>
        </w:r>
        <w:r>
          <w:rPr>
            <w:noProof/>
            <w:webHidden/>
          </w:rPr>
          <w:fldChar w:fldCharType="begin"/>
        </w:r>
        <w:r>
          <w:rPr>
            <w:noProof/>
            <w:webHidden/>
          </w:rPr>
          <w:instrText xml:space="preserve"> PAGEREF _Toc69879809 \h </w:instrText>
        </w:r>
        <w:r>
          <w:rPr>
            <w:noProof/>
            <w:webHidden/>
          </w:rPr>
        </w:r>
        <w:r>
          <w:rPr>
            <w:noProof/>
            <w:webHidden/>
          </w:rPr>
          <w:fldChar w:fldCharType="separate"/>
        </w:r>
        <w:r>
          <w:rPr>
            <w:noProof/>
            <w:webHidden/>
          </w:rPr>
          <w:t>859</w:t>
        </w:r>
        <w:r>
          <w:rPr>
            <w:noProof/>
            <w:webHidden/>
          </w:rPr>
          <w:fldChar w:fldCharType="end"/>
        </w:r>
      </w:hyperlink>
    </w:p>
    <w:p w:rsidR="00B42EF3" w:rsidRDefault="00B42EF3">
      <w:pPr>
        <w:pStyle w:val="TOC5"/>
        <w:rPr>
          <w:rFonts w:asciiTheme="minorHAnsi" w:eastAsiaTheme="minorEastAsia" w:hAnsiTheme="minorHAnsi" w:cstheme="minorBidi"/>
          <w:noProof/>
          <w:sz w:val="22"/>
          <w:szCs w:val="22"/>
        </w:rPr>
      </w:pPr>
      <w:hyperlink w:anchor="_Toc69879810" w:history="1">
        <w:r w:rsidRPr="00CC53E5">
          <w:rPr>
            <w:rStyle w:val="Hyperlink"/>
            <w:noProof/>
          </w:rPr>
          <w:t>3.5.2.1.1</w:t>
        </w:r>
        <w:r>
          <w:rPr>
            <w:rFonts w:asciiTheme="minorHAnsi" w:eastAsiaTheme="minorEastAsia" w:hAnsiTheme="minorHAnsi" w:cstheme="minorBidi"/>
            <w:noProof/>
            <w:sz w:val="22"/>
            <w:szCs w:val="22"/>
          </w:rPr>
          <w:tab/>
        </w:r>
        <w:r w:rsidRPr="00CC53E5">
          <w:rPr>
            <w:rStyle w:val="Hyperlink"/>
            <w:noProof/>
          </w:rPr>
          <w:t>Elements</w:t>
        </w:r>
        <w:r>
          <w:rPr>
            <w:noProof/>
            <w:webHidden/>
          </w:rPr>
          <w:tab/>
        </w:r>
        <w:r>
          <w:rPr>
            <w:noProof/>
            <w:webHidden/>
          </w:rPr>
          <w:fldChar w:fldCharType="begin"/>
        </w:r>
        <w:r>
          <w:rPr>
            <w:noProof/>
            <w:webHidden/>
          </w:rPr>
          <w:instrText xml:space="preserve"> PAGEREF _Toc69879810 \h </w:instrText>
        </w:r>
        <w:r>
          <w:rPr>
            <w:noProof/>
            <w:webHidden/>
          </w:rPr>
        </w:r>
        <w:r>
          <w:rPr>
            <w:noProof/>
            <w:webHidden/>
          </w:rPr>
          <w:fldChar w:fldCharType="separate"/>
        </w:r>
        <w:r>
          <w:rPr>
            <w:noProof/>
            <w:webHidden/>
          </w:rPr>
          <w:t>860</w:t>
        </w:r>
        <w:r>
          <w:rPr>
            <w:noProof/>
            <w:webHidden/>
          </w:rPr>
          <w:fldChar w:fldCharType="end"/>
        </w:r>
      </w:hyperlink>
    </w:p>
    <w:p w:rsidR="00B42EF3" w:rsidRDefault="00B42EF3">
      <w:pPr>
        <w:pStyle w:val="TOC6"/>
        <w:rPr>
          <w:rFonts w:asciiTheme="minorHAnsi" w:eastAsiaTheme="minorEastAsia" w:hAnsiTheme="minorHAnsi" w:cstheme="minorBidi"/>
          <w:noProof/>
          <w:sz w:val="22"/>
          <w:szCs w:val="22"/>
        </w:rPr>
      </w:pPr>
      <w:hyperlink w:anchor="_Toc69879811" w:history="1">
        <w:r w:rsidRPr="00CC53E5">
          <w:rPr>
            <w:rStyle w:val="Hyperlink"/>
            <w:noProof/>
          </w:rPr>
          <w:t>3.5.2.1.1.1</w:t>
        </w:r>
        <w:r>
          <w:rPr>
            <w:rFonts w:asciiTheme="minorHAnsi" w:eastAsiaTheme="minorEastAsia" w:hAnsiTheme="minorHAnsi" w:cstheme="minorBidi"/>
            <w:noProof/>
            <w:sz w:val="22"/>
            <w:szCs w:val="22"/>
          </w:rPr>
          <w:tab/>
        </w:r>
        <w:r w:rsidRPr="00CC53E5">
          <w:rPr>
            <w:rStyle w:val="Hyperlink"/>
            <w:noProof/>
          </w:rPr>
          <w:t>contentTypeSchema (Schema for Content Type)</w:t>
        </w:r>
        <w:r>
          <w:rPr>
            <w:noProof/>
            <w:webHidden/>
          </w:rPr>
          <w:tab/>
        </w:r>
        <w:r>
          <w:rPr>
            <w:noProof/>
            <w:webHidden/>
          </w:rPr>
          <w:fldChar w:fldCharType="begin"/>
        </w:r>
        <w:r>
          <w:rPr>
            <w:noProof/>
            <w:webHidden/>
          </w:rPr>
          <w:instrText xml:space="preserve"> PAGEREF _Toc69879811 \h </w:instrText>
        </w:r>
        <w:r>
          <w:rPr>
            <w:noProof/>
            <w:webHidden/>
          </w:rPr>
        </w:r>
        <w:r>
          <w:rPr>
            <w:noProof/>
            <w:webHidden/>
          </w:rPr>
          <w:fldChar w:fldCharType="separate"/>
        </w:r>
        <w:r>
          <w:rPr>
            <w:noProof/>
            <w:webHidden/>
          </w:rPr>
          <w:t>860</w:t>
        </w:r>
        <w:r>
          <w:rPr>
            <w:noProof/>
            <w:webHidden/>
          </w:rPr>
          <w:fldChar w:fldCharType="end"/>
        </w:r>
      </w:hyperlink>
    </w:p>
    <w:p w:rsidR="00B42EF3" w:rsidRDefault="00B42EF3">
      <w:pPr>
        <w:pStyle w:val="TOC4"/>
        <w:rPr>
          <w:rFonts w:asciiTheme="minorHAnsi" w:eastAsiaTheme="minorEastAsia" w:hAnsiTheme="minorHAnsi" w:cstheme="minorBidi"/>
          <w:noProof/>
          <w:sz w:val="22"/>
          <w:szCs w:val="22"/>
        </w:rPr>
      </w:pPr>
      <w:hyperlink w:anchor="_Toc69879812" w:history="1">
        <w:r w:rsidRPr="00CC53E5">
          <w:rPr>
            <w:rStyle w:val="Hyperlink"/>
            <w:noProof/>
          </w:rPr>
          <w:t>3.5.2.2</w:t>
        </w:r>
        <w:r>
          <w:rPr>
            <w:rFonts w:asciiTheme="minorHAnsi" w:eastAsiaTheme="minorEastAsia" w:hAnsiTheme="minorHAnsi" w:cstheme="minorBidi"/>
            <w:noProof/>
            <w:sz w:val="22"/>
            <w:szCs w:val="22"/>
          </w:rPr>
          <w:tab/>
        </w:r>
        <w:r w:rsidRPr="00CC53E5">
          <w:rPr>
            <w:rStyle w:val="Hyperlink"/>
            <w:noProof/>
          </w:rPr>
          <w:t>Metadata Attributes</w:t>
        </w:r>
        <w:r>
          <w:rPr>
            <w:noProof/>
            <w:webHidden/>
          </w:rPr>
          <w:tab/>
        </w:r>
        <w:r>
          <w:rPr>
            <w:noProof/>
            <w:webHidden/>
          </w:rPr>
          <w:fldChar w:fldCharType="begin"/>
        </w:r>
        <w:r>
          <w:rPr>
            <w:noProof/>
            <w:webHidden/>
          </w:rPr>
          <w:instrText xml:space="preserve"> PAGEREF _Toc69879812 \h </w:instrText>
        </w:r>
        <w:r>
          <w:rPr>
            <w:noProof/>
            <w:webHidden/>
          </w:rPr>
        </w:r>
        <w:r>
          <w:rPr>
            <w:noProof/>
            <w:webHidden/>
          </w:rPr>
          <w:fldChar w:fldCharType="separate"/>
        </w:r>
        <w:r>
          <w:rPr>
            <w:noProof/>
            <w:webHidden/>
          </w:rPr>
          <w:t>863</w:t>
        </w:r>
        <w:r>
          <w:rPr>
            <w:noProof/>
            <w:webHidden/>
          </w:rPr>
          <w:fldChar w:fldCharType="end"/>
        </w:r>
      </w:hyperlink>
    </w:p>
    <w:p w:rsidR="00B42EF3" w:rsidRDefault="00B42EF3">
      <w:pPr>
        <w:pStyle w:val="TOC5"/>
        <w:rPr>
          <w:rFonts w:asciiTheme="minorHAnsi" w:eastAsiaTheme="minorEastAsia" w:hAnsiTheme="minorHAnsi" w:cstheme="minorBidi"/>
          <w:noProof/>
          <w:sz w:val="22"/>
          <w:szCs w:val="22"/>
        </w:rPr>
      </w:pPr>
      <w:hyperlink w:anchor="_Toc69879813" w:history="1">
        <w:r w:rsidRPr="00CC53E5">
          <w:rPr>
            <w:rStyle w:val="Hyperlink"/>
            <w:noProof/>
          </w:rPr>
          <w:t>3.5.2.2.1</w:t>
        </w:r>
        <w:r>
          <w:rPr>
            <w:rFonts w:asciiTheme="minorHAnsi" w:eastAsiaTheme="minorEastAsia" w:hAnsiTheme="minorHAnsi" w:cstheme="minorBidi"/>
            <w:noProof/>
            <w:sz w:val="22"/>
            <w:szCs w:val="22"/>
          </w:rPr>
          <w:tab/>
        </w:r>
        <w:r w:rsidRPr="00CC53E5">
          <w:rPr>
            <w:rStyle w:val="Hyperlink"/>
            <w:noProof/>
          </w:rPr>
          <w:t>Shared Attributes (Content Type Schemas)</w:t>
        </w:r>
        <w:r>
          <w:rPr>
            <w:noProof/>
            <w:webHidden/>
          </w:rPr>
          <w:tab/>
        </w:r>
        <w:r>
          <w:rPr>
            <w:noProof/>
            <w:webHidden/>
          </w:rPr>
          <w:fldChar w:fldCharType="begin"/>
        </w:r>
        <w:r>
          <w:rPr>
            <w:noProof/>
            <w:webHidden/>
          </w:rPr>
          <w:instrText xml:space="preserve"> PAGEREF _Toc69879813 \h </w:instrText>
        </w:r>
        <w:r>
          <w:rPr>
            <w:noProof/>
            <w:webHidden/>
          </w:rPr>
        </w:r>
        <w:r>
          <w:rPr>
            <w:noProof/>
            <w:webHidden/>
          </w:rPr>
          <w:fldChar w:fldCharType="separate"/>
        </w:r>
        <w:r>
          <w:rPr>
            <w:noProof/>
            <w:webHidden/>
          </w:rPr>
          <w:t>863</w:t>
        </w:r>
        <w:r>
          <w:rPr>
            <w:noProof/>
            <w:webHidden/>
          </w:rPr>
          <w:fldChar w:fldCharType="end"/>
        </w:r>
      </w:hyperlink>
    </w:p>
    <w:p w:rsidR="00B42EF3" w:rsidRDefault="00B42EF3">
      <w:pPr>
        <w:pStyle w:val="TOC5"/>
        <w:rPr>
          <w:rFonts w:asciiTheme="minorHAnsi" w:eastAsiaTheme="minorEastAsia" w:hAnsiTheme="minorHAnsi" w:cstheme="minorBidi"/>
          <w:noProof/>
          <w:sz w:val="22"/>
          <w:szCs w:val="22"/>
        </w:rPr>
      </w:pPr>
      <w:hyperlink w:anchor="_Toc69879814" w:history="1">
        <w:r w:rsidRPr="00CC53E5">
          <w:rPr>
            <w:rStyle w:val="Hyperlink"/>
            <w:noProof/>
          </w:rPr>
          <w:t>3.5.2.2.2</w:t>
        </w:r>
        <w:r>
          <w:rPr>
            <w:rFonts w:asciiTheme="minorHAnsi" w:eastAsiaTheme="minorEastAsia" w:hAnsiTheme="minorHAnsi" w:cstheme="minorBidi"/>
            <w:noProof/>
            <w:sz w:val="22"/>
            <w:szCs w:val="22"/>
          </w:rPr>
          <w:tab/>
        </w:r>
        <w:r w:rsidRPr="00CC53E5">
          <w:rPr>
            <w:rStyle w:val="Hyperlink"/>
            <w:noProof/>
          </w:rPr>
          <w:t>Simple Types</w:t>
        </w:r>
        <w:r>
          <w:rPr>
            <w:noProof/>
            <w:webHidden/>
          </w:rPr>
          <w:tab/>
        </w:r>
        <w:r>
          <w:rPr>
            <w:noProof/>
            <w:webHidden/>
          </w:rPr>
          <w:fldChar w:fldCharType="begin"/>
        </w:r>
        <w:r>
          <w:rPr>
            <w:noProof/>
            <w:webHidden/>
          </w:rPr>
          <w:instrText xml:space="preserve"> PAGEREF _Toc69879814 \h </w:instrText>
        </w:r>
        <w:r>
          <w:rPr>
            <w:noProof/>
            <w:webHidden/>
          </w:rPr>
        </w:r>
        <w:r>
          <w:rPr>
            <w:noProof/>
            <w:webHidden/>
          </w:rPr>
          <w:fldChar w:fldCharType="separate"/>
        </w:r>
        <w:r>
          <w:rPr>
            <w:noProof/>
            <w:webHidden/>
          </w:rPr>
          <w:t>870</w:t>
        </w:r>
        <w:r>
          <w:rPr>
            <w:noProof/>
            <w:webHidden/>
          </w:rPr>
          <w:fldChar w:fldCharType="end"/>
        </w:r>
      </w:hyperlink>
    </w:p>
    <w:p w:rsidR="00B42EF3" w:rsidRDefault="00B42EF3">
      <w:pPr>
        <w:pStyle w:val="TOC6"/>
        <w:rPr>
          <w:rFonts w:asciiTheme="minorHAnsi" w:eastAsiaTheme="minorEastAsia" w:hAnsiTheme="minorHAnsi" w:cstheme="minorBidi"/>
          <w:noProof/>
          <w:sz w:val="22"/>
          <w:szCs w:val="22"/>
        </w:rPr>
      </w:pPr>
      <w:hyperlink w:anchor="_Toc69879815" w:history="1">
        <w:r w:rsidRPr="00CC53E5">
          <w:rPr>
            <w:rStyle w:val="Hyperlink"/>
            <w:noProof/>
          </w:rPr>
          <w:t>3.5.2.2.2.1</w:t>
        </w:r>
        <w:r>
          <w:rPr>
            <w:rFonts w:asciiTheme="minorHAnsi" w:eastAsiaTheme="minorEastAsia" w:hAnsiTheme="minorHAnsi" w:cstheme="minorBidi"/>
            <w:noProof/>
            <w:sz w:val="22"/>
            <w:szCs w:val="22"/>
          </w:rPr>
          <w:tab/>
        </w:r>
        <w:r w:rsidRPr="00CC53E5">
          <w:rPr>
            <w:rStyle w:val="Hyperlink"/>
            <w:noProof/>
          </w:rPr>
          <w:t>ST_ContentTypeId (Content Type ID)</w:t>
        </w:r>
        <w:r>
          <w:rPr>
            <w:noProof/>
            <w:webHidden/>
          </w:rPr>
          <w:tab/>
        </w:r>
        <w:r>
          <w:rPr>
            <w:noProof/>
            <w:webHidden/>
          </w:rPr>
          <w:fldChar w:fldCharType="begin"/>
        </w:r>
        <w:r>
          <w:rPr>
            <w:noProof/>
            <w:webHidden/>
          </w:rPr>
          <w:instrText xml:space="preserve"> PAGEREF _Toc69879815 \h </w:instrText>
        </w:r>
        <w:r>
          <w:rPr>
            <w:noProof/>
            <w:webHidden/>
          </w:rPr>
        </w:r>
        <w:r>
          <w:rPr>
            <w:noProof/>
            <w:webHidden/>
          </w:rPr>
          <w:fldChar w:fldCharType="separate"/>
        </w:r>
        <w:r>
          <w:rPr>
            <w:noProof/>
            <w:webHidden/>
          </w:rPr>
          <w:t>870</w:t>
        </w:r>
        <w:r>
          <w:rPr>
            <w:noProof/>
            <w:webHidden/>
          </w:rPr>
          <w:fldChar w:fldCharType="end"/>
        </w:r>
      </w:hyperlink>
    </w:p>
    <w:p w:rsidR="00B42EF3" w:rsidRDefault="00B42EF3">
      <w:pPr>
        <w:pStyle w:val="TOC6"/>
        <w:rPr>
          <w:rFonts w:asciiTheme="minorHAnsi" w:eastAsiaTheme="minorEastAsia" w:hAnsiTheme="minorHAnsi" w:cstheme="minorBidi"/>
          <w:noProof/>
          <w:sz w:val="22"/>
          <w:szCs w:val="22"/>
        </w:rPr>
      </w:pPr>
      <w:hyperlink w:anchor="_Toc69879816" w:history="1">
        <w:r w:rsidRPr="00CC53E5">
          <w:rPr>
            <w:rStyle w:val="Hyperlink"/>
            <w:noProof/>
          </w:rPr>
          <w:t>3.5.2.2.2.2</w:t>
        </w:r>
        <w:r>
          <w:rPr>
            <w:rFonts w:asciiTheme="minorHAnsi" w:eastAsiaTheme="minorEastAsia" w:hAnsiTheme="minorHAnsi" w:cstheme="minorBidi"/>
            <w:noProof/>
            <w:sz w:val="22"/>
            <w:szCs w:val="22"/>
          </w:rPr>
          <w:tab/>
        </w:r>
        <w:r w:rsidRPr="00CC53E5">
          <w:rPr>
            <w:rStyle w:val="Hyperlink"/>
            <w:noProof/>
          </w:rPr>
          <w:t>ST_IntNonNegative (Non-Negative Integer)</w:t>
        </w:r>
        <w:r>
          <w:rPr>
            <w:noProof/>
            <w:webHidden/>
          </w:rPr>
          <w:tab/>
        </w:r>
        <w:r>
          <w:rPr>
            <w:noProof/>
            <w:webHidden/>
          </w:rPr>
          <w:fldChar w:fldCharType="begin"/>
        </w:r>
        <w:r>
          <w:rPr>
            <w:noProof/>
            <w:webHidden/>
          </w:rPr>
          <w:instrText xml:space="preserve"> PAGEREF _Toc69879816 \h </w:instrText>
        </w:r>
        <w:r>
          <w:rPr>
            <w:noProof/>
            <w:webHidden/>
          </w:rPr>
        </w:r>
        <w:r>
          <w:rPr>
            <w:noProof/>
            <w:webHidden/>
          </w:rPr>
          <w:fldChar w:fldCharType="separate"/>
        </w:r>
        <w:r>
          <w:rPr>
            <w:noProof/>
            <w:webHidden/>
          </w:rPr>
          <w:t>870</w:t>
        </w:r>
        <w:r>
          <w:rPr>
            <w:noProof/>
            <w:webHidden/>
          </w:rPr>
          <w:fldChar w:fldCharType="end"/>
        </w:r>
      </w:hyperlink>
    </w:p>
    <w:p w:rsidR="00B42EF3" w:rsidRDefault="00B42EF3">
      <w:pPr>
        <w:pStyle w:val="TOC6"/>
        <w:rPr>
          <w:rFonts w:asciiTheme="minorHAnsi" w:eastAsiaTheme="minorEastAsia" w:hAnsiTheme="minorHAnsi" w:cstheme="minorBidi"/>
          <w:noProof/>
          <w:sz w:val="22"/>
          <w:szCs w:val="22"/>
        </w:rPr>
      </w:pPr>
      <w:hyperlink w:anchor="_Toc69879817" w:history="1">
        <w:r w:rsidRPr="00CC53E5">
          <w:rPr>
            <w:rStyle w:val="Hyperlink"/>
            <w:noProof/>
          </w:rPr>
          <w:t>3.5.2.2.2.3</w:t>
        </w:r>
        <w:r>
          <w:rPr>
            <w:rFonts w:asciiTheme="minorHAnsi" w:eastAsiaTheme="minorEastAsia" w:hAnsiTheme="minorHAnsi" w:cstheme="minorBidi"/>
            <w:noProof/>
            <w:sz w:val="22"/>
            <w:szCs w:val="22"/>
          </w:rPr>
          <w:tab/>
        </w:r>
        <w:r w:rsidRPr="00CC53E5">
          <w:rPr>
            <w:rStyle w:val="Hyperlink"/>
            <w:noProof/>
          </w:rPr>
          <w:t>ST_TrueOnly (True Only)</w:t>
        </w:r>
        <w:r>
          <w:rPr>
            <w:noProof/>
            <w:webHidden/>
          </w:rPr>
          <w:tab/>
        </w:r>
        <w:r>
          <w:rPr>
            <w:noProof/>
            <w:webHidden/>
          </w:rPr>
          <w:fldChar w:fldCharType="begin"/>
        </w:r>
        <w:r>
          <w:rPr>
            <w:noProof/>
            <w:webHidden/>
          </w:rPr>
          <w:instrText xml:space="preserve"> PAGEREF _Toc69879817 \h </w:instrText>
        </w:r>
        <w:r>
          <w:rPr>
            <w:noProof/>
            <w:webHidden/>
          </w:rPr>
        </w:r>
        <w:r>
          <w:rPr>
            <w:noProof/>
            <w:webHidden/>
          </w:rPr>
          <w:fldChar w:fldCharType="separate"/>
        </w:r>
        <w:r>
          <w:rPr>
            <w:noProof/>
            <w:webHidden/>
          </w:rPr>
          <w:t>871</w:t>
        </w:r>
        <w:r>
          <w:rPr>
            <w:noProof/>
            <w:webHidden/>
          </w:rPr>
          <w:fldChar w:fldCharType="end"/>
        </w:r>
      </w:hyperlink>
    </w:p>
    <w:p w:rsidR="00B42EF3" w:rsidRDefault="00B42EF3">
      <w:pPr>
        <w:pStyle w:val="TOC6"/>
        <w:rPr>
          <w:rFonts w:asciiTheme="minorHAnsi" w:eastAsiaTheme="minorEastAsia" w:hAnsiTheme="minorHAnsi" w:cstheme="minorBidi"/>
          <w:noProof/>
          <w:sz w:val="22"/>
          <w:szCs w:val="22"/>
        </w:rPr>
      </w:pPr>
      <w:hyperlink w:anchor="_Toc69879818" w:history="1">
        <w:r w:rsidRPr="00CC53E5">
          <w:rPr>
            <w:rStyle w:val="Hyperlink"/>
            <w:noProof/>
          </w:rPr>
          <w:t>3.5.2.2.2.4</w:t>
        </w:r>
        <w:r>
          <w:rPr>
            <w:rFonts w:asciiTheme="minorHAnsi" w:eastAsiaTheme="minorEastAsia" w:hAnsiTheme="minorHAnsi" w:cstheme="minorBidi"/>
            <w:noProof/>
            <w:sz w:val="22"/>
            <w:szCs w:val="22"/>
          </w:rPr>
          <w:tab/>
        </w:r>
        <w:r w:rsidRPr="00CC53E5">
          <w:rPr>
            <w:rStyle w:val="Hyperlink"/>
            <w:noProof/>
          </w:rPr>
          <w:t>ST_UniqueIdentifier ()</w:t>
        </w:r>
        <w:r>
          <w:rPr>
            <w:noProof/>
            <w:webHidden/>
          </w:rPr>
          <w:tab/>
        </w:r>
        <w:r>
          <w:rPr>
            <w:noProof/>
            <w:webHidden/>
          </w:rPr>
          <w:fldChar w:fldCharType="begin"/>
        </w:r>
        <w:r>
          <w:rPr>
            <w:noProof/>
            <w:webHidden/>
          </w:rPr>
          <w:instrText xml:space="preserve"> PAGEREF _Toc69879818 \h </w:instrText>
        </w:r>
        <w:r>
          <w:rPr>
            <w:noProof/>
            <w:webHidden/>
          </w:rPr>
        </w:r>
        <w:r>
          <w:rPr>
            <w:noProof/>
            <w:webHidden/>
          </w:rPr>
          <w:fldChar w:fldCharType="separate"/>
        </w:r>
        <w:r>
          <w:rPr>
            <w:noProof/>
            <w:webHidden/>
          </w:rPr>
          <w:t>871</w:t>
        </w:r>
        <w:r>
          <w:rPr>
            <w:noProof/>
            <w:webHidden/>
          </w:rPr>
          <w:fldChar w:fldCharType="end"/>
        </w:r>
      </w:hyperlink>
    </w:p>
    <w:p w:rsidR="00B42EF3" w:rsidRDefault="00B42EF3">
      <w:pPr>
        <w:pStyle w:val="TOC6"/>
        <w:rPr>
          <w:rFonts w:asciiTheme="minorHAnsi" w:eastAsiaTheme="minorEastAsia" w:hAnsiTheme="minorHAnsi" w:cstheme="minorBidi"/>
          <w:noProof/>
          <w:sz w:val="22"/>
          <w:szCs w:val="22"/>
        </w:rPr>
      </w:pPr>
      <w:hyperlink w:anchor="_Toc69879819" w:history="1">
        <w:r w:rsidRPr="00CC53E5">
          <w:rPr>
            <w:rStyle w:val="Hyperlink"/>
            <w:noProof/>
          </w:rPr>
          <w:t>3.5.2.2.2.5</w:t>
        </w:r>
        <w:r>
          <w:rPr>
            <w:rFonts w:asciiTheme="minorHAnsi" w:eastAsiaTheme="minorEastAsia" w:hAnsiTheme="minorHAnsi" w:cstheme="minorBidi"/>
            <w:noProof/>
            <w:sz w:val="22"/>
            <w:szCs w:val="22"/>
          </w:rPr>
          <w:tab/>
        </w:r>
        <w:r w:rsidRPr="00CC53E5">
          <w:rPr>
            <w:rStyle w:val="Hyperlink"/>
            <w:noProof/>
          </w:rPr>
          <w:t>ST_UniqueIdentifierWithoutBraces (Unique Identifier without Braces)</w:t>
        </w:r>
        <w:r>
          <w:rPr>
            <w:noProof/>
            <w:webHidden/>
          </w:rPr>
          <w:tab/>
        </w:r>
        <w:r>
          <w:rPr>
            <w:noProof/>
            <w:webHidden/>
          </w:rPr>
          <w:fldChar w:fldCharType="begin"/>
        </w:r>
        <w:r>
          <w:rPr>
            <w:noProof/>
            <w:webHidden/>
          </w:rPr>
          <w:instrText xml:space="preserve"> PAGEREF _Toc69879819 \h </w:instrText>
        </w:r>
        <w:r>
          <w:rPr>
            <w:noProof/>
            <w:webHidden/>
          </w:rPr>
        </w:r>
        <w:r>
          <w:rPr>
            <w:noProof/>
            <w:webHidden/>
          </w:rPr>
          <w:fldChar w:fldCharType="separate"/>
        </w:r>
        <w:r>
          <w:rPr>
            <w:noProof/>
            <w:webHidden/>
          </w:rPr>
          <w:t>872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820" w:history="1">
        <w:r w:rsidRPr="00CC53E5">
          <w:rPr>
            <w:rStyle w:val="Hyperlink"/>
            <w:noProof/>
          </w:rPr>
          <w:t>3.5.3</w:t>
        </w:r>
        <w:r>
          <w:rPr>
            <w:rFonts w:asciiTheme="minorHAnsi" w:eastAsiaTheme="minorEastAsia" w:hAnsiTheme="minorHAnsi" w:cstheme="minorBidi"/>
            <w:noProof/>
            <w:sz w:val="22"/>
            <w:szCs w:val="22"/>
          </w:rPr>
          <w:tab/>
        </w:r>
        <w:r w:rsidRPr="00CC53E5">
          <w:rPr>
            <w:rStyle w:val="Hyperlink"/>
            <w:noProof/>
          </w:rPr>
          <w:t>Custom Document Information Panel</w:t>
        </w:r>
        <w:r>
          <w:rPr>
            <w:noProof/>
            <w:webHidden/>
          </w:rPr>
          <w:tab/>
        </w:r>
        <w:r>
          <w:rPr>
            <w:noProof/>
            <w:webHidden/>
          </w:rPr>
          <w:fldChar w:fldCharType="begin"/>
        </w:r>
        <w:r>
          <w:rPr>
            <w:noProof/>
            <w:webHidden/>
          </w:rPr>
          <w:instrText xml:space="preserve"> PAGEREF _Toc69879820 \h </w:instrText>
        </w:r>
        <w:r>
          <w:rPr>
            <w:noProof/>
            <w:webHidden/>
          </w:rPr>
        </w:r>
        <w:r>
          <w:rPr>
            <w:noProof/>
            <w:webHidden/>
          </w:rPr>
          <w:fldChar w:fldCharType="separate"/>
        </w:r>
        <w:r>
          <w:rPr>
            <w:noProof/>
            <w:webHidden/>
          </w:rPr>
          <w:t>872</w:t>
        </w:r>
        <w:r>
          <w:rPr>
            <w:noProof/>
            <w:webHidden/>
          </w:rPr>
          <w:fldChar w:fldCharType="end"/>
        </w:r>
      </w:hyperlink>
    </w:p>
    <w:p w:rsidR="00B42EF3" w:rsidRDefault="00B42EF3">
      <w:pPr>
        <w:pStyle w:val="TOC4"/>
        <w:rPr>
          <w:rFonts w:asciiTheme="minorHAnsi" w:eastAsiaTheme="minorEastAsia" w:hAnsiTheme="minorHAnsi" w:cstheme="minorBidi"/>
          <w:noProof/>
          <w:sz w:val="22"/>
          <w:szCs w:val="22"/>
        </w:rPr>
      </w:pPr>
      <w:hyperlink w:anchor="_Toc69879821" w:history="1">
        <w:r w:rsidRPr="00CC53E5">
          <w:rPr>
            <w:rStyle w:val="Hyperlink"/>
            <w:noProof/>
          </w:rPr>
          <w:t>3.5.3.1</w:t>
        </w:r>
        <w:r>
          <w:rPr>
            <w:rFonts w:asciiTheme="minorHAnsi" w:eastAsiaTheme="minorEastAsia" w:hAnsiTheme="minorHAnsi" w:cstheme="minorBidi"/>
            <w:noProof/>
            <w:sz w:val="22"/>
            <w:szCs w:val="22"/>
          </w:rPr>
          <w:tab/>
        </w:r>
        <w:r w:rsidRPr="00CC53E5">
          <w:rPr>
            <w:rStyle w:val="Hyperlink"/>
            <w:noProof/>
          </w:rPr>
          <w:t>Custom Document Information Panel Schema</w:t>
        </w:r>
        <w:r>
          <w:rPr>
            <w:noProof/>
            <w:webHidden/>
          </w:rPr>
          <w:tab/>
        </w:r>
        <w:r>
          <w:rPr>
            <w:noProof/>
            <w:webHidden/>
          </w:rPr>
          <w:fldChar w:fldCharType="begin"/>
        </w:r>
        <w:r>
          <w:rPr>
            <w:noProof/>
            <w:webHidden/>
          </w:rPr>
          <w:instrText xml:space="preserve"> PAGEREF _Toc69879821 \h </w:instrText>
        </w:r>
        <w:r>
          <w:rPr>
            <w:noProof/>
            <w:webHidden/>
          </w:rPr>
        </w:r>
        <w:r>
          <w:rPr>
            <w:noProof/>
            <w:webHidden/>
          </w:rPr>
          <w:fldChar w:fldCharType="separate"/>
        </w:r>
        <w:r>
          <w:rPr>
            <w:noProof/>
            <w:webHidden/>
          </w:rPr>
          <w:t>872</w:t>
        </w:r>
        <w:r>
          <w:rPr>
            <w:noProof/>
            <w:webHidden/>
          </w:rPr>
          <w:fldChar w:fldCharType="end"/>
        </w:r>
      </w:hyperlink>
    </w:p>
    <w:p w:rsidR="00B42EF3" w:rsidRDefault="00B42EF3">
      <w:pPr>
        <w:pStyle w:val="TOC5"/>
        <w:rPr>
          <w:rFonts w:asciiTheme="minorHAnsi" w:eastAsiaTheme="minorEastAsia" w:hAnsiTheme="minorHAnsi" w:cstheme="minorBidi"/>
          <w:noProof/>
          <w:sz w:val="22"/>
          <w:szCs w:val="22"/>
        </w:rPr>
      </w:pPr>
      <w:hyperlink w:anchor="_Toc69879822" w:history="1">
        <w:r w:rsidRPr="00CC53E5">
          <w:rPr>
            <w:rStyle w:val="Hyperlink"/>
            <w:noProof/>
          </w:rPr>
          <w:t>3.5.3.1.1</w:t>
        </w:r>
        <w:r>
          <w:rPr>
            <w:rFonts w:asciiTheme="minorHAnsi" w:eastAsiaTheme="minorEastAsia" w:hAnsiTheme="minorHAnsi" w:cstheme="minorBidi"/>
            <w:noProof/>
            <w:sz w:val="22"/>
            <w:szCs w:val="22"/>
          </w:rPr>
          <w:tab/>
        </w:r>
        <w:r w:rsidRPr="00CC53E5">
          <w:rPr>
            <w:rStyle w:val="Hyperlink"/>
            <w:noProof/>
          </w:rPr>
          <w:t>Elements</w:t>
        </w:r>
        <w:r>
          <w:rPr>
            <w:noProof/>
            <w:webHidden/>
          </w:rPr>
          <w:tab/>
        </w:r>
        <w:r>
          <w:rPr>
            <w:noProof/>
            <w:webHidden/>
          </w:rPr>
          <w:fldChar w:fldCharType="begin"/>
        </w:r>
        <w:r>
          <w:rPr>
            <w:noProof/>
            <w:webHidden/>
          </w:rPr>
          <w:instrText xml:space="preserve"> PAGEREF _Toc69879822 \h </w:instrText>
        </w:r>
        <w:r>
          <w:rPr>
            <w:noProof/>
            <w:webHidden/>
          </w:rPr>
        </w:r>
        <w:r>
          <w:rPr>
            <w:noProof/>
            <w:webHidden/>
          </w:rPr>
          <w:fldChar w:fldCharType="separate"/>
        </w:r>
        <w:r>
          <w:rPr>
            <w:noProof/>
            <w:webHidden/>
          </w:rPr>
          <w:t>873</w:t>
        </w:r>
        <w:r>
          <w:rPr>
            <w:noProof/>
            <w:webHidden/>
          </w:rPr>
          <w:fldChar w:fldCharType="end"/>
        </w:r>
      </w:hyperlink>
    </w:p>
    <w:p w:rsidR="00B42EF3" w:rsidRDefault="00B42EF3">
      <w:pPr>
        <w:pStyle w:val="TOC6"/>
        <w:rPr>
          <w:rFonts w:asciiTheme="minorHAnsi" w:eastAsiaTheme="minorEastAsia" w:hAnsiTheme="minorHAnsi" w:cstheme="minorBidi"/>
          <w:noProof/>
          <w:sz w:val="22"/>
          <w:szCs w:val="22"/>
        </w:rPr>
      </w:pPr>
      <w:hyperlink w:anchor="_Toc69879823" w:history="1">
        <w:r w:rsidRPr="00CC53E5">
          <w:rPr>
            <w:rStyle w:val="Hyperlink"/>
            <w:noProof/>
          </w:rPr>
          <w:t>3.5.3.1.1.1</w:t>
        </w:r>
        <w:r>
          <w:rPr>
            <w:rFonts w:asciiTheme="minorHAnsi" w:eastAsiaTheme="minorEastAsia" w:hAnsiTheme="minorHAnsi" w:cstheme="minorBidi"/>
            <w:noProof/>
            <w:sz w:val="22"/>
            <w:szCs w:val="22"/>
          </w:rPr>
          <w:tab/>
        </w:r>
        <w:r w:rsidRPr="00CC53E5">
          <w:rPr>
            <w:rStyle w:val="Hyperlink"/>
            <w:noProof/>
          </w:rPr>
          <w:t>customPropertyEditor (Custom Property Editor)</w:t>
        </w:r>
        <w:r>
          <w:rPr>
            <w:noProof/>
            <w:webHidden/>
          </w:rPr>
          <w:tab/>
        </w:r>
        <w:r>
          <w:rPr>
            <w:noProof/>
            <w:webHidden/>
          </w:rPr>
          <w:fldChar w:fldCharType="begin"/>
        </w:r>
        <w:r>
          <w:rPr>
            <w:noProof/>
            <w:webHidden/>
          </w:rPr>
          <w:instrText xml:space="preserve"> PAGEREF _Toc69879823 \h </w:instrText>
        </w:r>
        <w:r>
          <w:rPr>
            <w:noProof/>
            <w:webHidden/>
          </w:rPr>
        </w:r>
        <w:r>
          <w:rPr>
            <w:noProof/>
            <w:webHidden/>
          </w:rPr>
          <w:fldChar w:fldCharType="separate"/>
        </w:r>
        <w:r>
          <w:rPr>
            <w:noProof/>
            <w:webHidden/>
          </w:rPr>
          <w:t>873</w:t>
        </w:r>
        <w:r>
          <w:rPr>
            <w:noProof/>
            <w:webHidden/>
          </w:rPr>
          <w:fldChar w:fldCharType="end"/>
        </w:r>
      </w:hyperlink>
    </w:p>
    <w:p w:rsidR="00B42EF3" w:rsidRDefault="00B42EF3">
      <w:pPr>
        <w:pStyle w:val="TOC6"/>
        <w:rPr>
          <w:rFonts w:asciiTheme="minorHAnsi" w:eastAsiaTheme="minorEastAsia" w:hAnsiTheme="minorHAnsi" w:cstheme="minorBidi"/>
          <w:noProof/>
          <w:sz w:val="22"/>
          <w:szCs w:val="22"/>
        </w:rPr>
      </w:pPr>
      <w:hyperlink w:anchor="_Toc69879824" w:history="1">
        <w:r w:rsidRPr="00CC53E5">
          <w:rPr>
            <w:rStyle w:val="Hyperlink"/>
            <w:noProof/>
          </w:rPr>
          <w:t>3.5.3.1.1.2</w:t>
        </w:r>
        <w:r>
          <w:rPr>
            <w:rFonts w:asciiTheme="minorHAnsi" w:eastAsiaTheme="minorEastAsia" w:hAnsiTheme="minorHAnsi" w:cstheme="minorBidi"/>
            <w:noProof/>
            <w:sz w:val="22"/>
            <w:szCs w:val="22"/>
          </w:rPr>
          <w:tab/>
        </w:r>
        <w:r w:rsidRPr="00CC53E5">
          <w:rPr>
            <w:rStyle w:val="Hyperlink"/>
            <w:noProof/>
          </w:rPr>
          <w:t>customPropertyEditors (Custom Property Editors List)</w:t>
        </w:r>
        <w:r>
          <w:rPr>
            <w:noProof/>
            <w:webHidden/>
          </w:rPr>
          <w:tab/>
        </w:r>
        <w:r>
          <w:rPr>
            <w:noProof/>
            <w:webHidden/>
          </w:rPr>
          <w:fldChar w:fldCharType="begin"/>
        </w:r>
        <w:r>
          <w:rPr>
            <w:noProof/>
            <w:webHidden/>
          </w:rPr>
          <w:instrText xml:space="preserve"> PAGEREF _Toc69879824 \h </w:instrText>
        </w:r>
        <w:r>
          <w:rPr>
            <w:noProof/>
            <w:webHidden/>
          </w:rPr>
        </w:r>
        <w:r>
          <w:rPr>
            <w:noProof/>
            <w:webHidden/>
          </w:rPr>
          <w:fldChar w:fldCharType="separate"/>
        </w:r>
        <w:r>
          <w:rPr>
            <w:noProof/>
            <w:webHidden/>
          </w:rPr>
          <w:t>873</w:t>
        </w:r>
        <w:r>
          <w:rPr>
            <w:noProof/>
            <w:webHidden/>
          </w:rPr>
          <w:fldChar w:fldCharType="end"/>
        </w:r>
      </w:hyperlink>
    </w:p>
    <w:p w:rsidR="00B42EF3" w:rsidRDefault="00B42EF3">
      <w:pPr>
        <w:pStyle w:val="TOC6"/>
        <w:rPr>
          <w:rFonts w:asciiTheme="minorHAnsi" w:eastAsiaTheme="minorEastAsia" w:hAnsiTheme="minorHAnsi" w:cstheme="minorBidi"/>
          <w:noProof/>
          <w:sz w:val="22"/>
          <w:szCs w:val="22"/>
        </w:rPr>
      </w:pPr>
      <w:hyperlink w:anchor="_Toc69879825" w:history="1">
        <w:r w:rsidRPr="00CC53E5">
          <w:rPr>
            <w:rStyle w:val="Hyperlink"/>
            <w:noProof/>
          </w:rPr>
          <w:t>3.5.3.1.1.3</w:t>
        </w:r>
        <w:r>
          <w:rPr>
            <w:rFonts w:asciiTheme="minorHAnsi" w:eastAsiaTheme="minorEastAsia" w:hAnsiTheme="minorHAnsi" w:cstheme="minorBidi"/>
            <w:noProof/>
            <w:sz w:val="22"/>
            <w:szCs w:val="22"/>
          </w:rPr>
          <w:tab/>
        </w:r>
        <w:r w:rsidRPr="00CC53E5">
          <w:rPr>
            <w:rStyle w:val="Hyperlink"/>
            <w:noProof/>
          </w:rPr>
          <w:t>defaultPropertyEditorNamespace (Default Namespace)</w:t>
        </w:r>
        <w:r>
          <w:rPr>
            <w:noProof/>
            <w:webHidden/>
          </w:rPr>
          <w:tab/>
        </w:r>
        <w:r>
          <w:rPr>
            <w:noProof/>
            <w:webHidden/>
          </w:rPr>
          <w:fldChar w:fldCharType="begin"/>
        </w:r>
        <w:r>
          <w:rPr>
            <w:noProof/>
            <w:webHidden/>
          </w:rPr>
          <w:instrText xml:space="preserve"> PAGEREF _Toc69879825 \h </w:instrText>
        </w:r>
        <w:r>
          <w:rPr>
            <w:noProof/>
            <w:webHidden/>
          </w:rPr>
        </w:r>
        <w:r>
          <w:rPr>
            <w:noProof/>
            <w:webHidden/>
          </w:rPr>
          <w:fldChar w:fldCharType="separate"/>
        </w:r>
        <w:r>
          <w:rPr>
            <w:noProof/>
            <w:webHidden/>
          </w:rPr>
          <w:t>874</w:t>
        </w:r>
        <w:r>
          <w:rPr>
            <w:noProof/>
            <w:webHidden/>
          </w:rPr>
          <w:fldChar w:fldCharType="end"/>
        </w:r>
      </w:hyperlink>
    </w:p>
    <w:p w:rsidR="00B42EF3" w:rsidRDefault="00B42EF3">
      <w:pPr>
        <w:pStyle w:val="TOC6"/>
        <w:rPr>
          <w:rFonts w:asciiTheme="minorHAnsi" w:eastAsiaTheme="minorEastAsia" w:hAnsiTheme="minorHAnsi" w:cstheme="minorBidi"/>
          <w:noProof/>
          <w:sz w:val="22"/>
          <w:szCs w:val="22"/>
        </w:rPr>
      </w:pPr>
      <w:hyperlink w:anchor="_Toc69879826" w:history="1">
        <w:r w:rsidRPr="00CC53E5">
          <w:rPr>
            <w:rStyle w:val="Hyperlink"/>
            <w:noProof/>
          </w:rPr>
          <w:t>3.5.3.1.1.4</w:t>
        </w:r>
        <w:r>
          <w:rPr>
            <w:rFonts w:asciiTheme="minorHAnsi" w:eastAsiaTheme="minorEastAsia" w:hAnsiTheme="minorHAnsi" w:cstheme="minorBidi"/>
            <w:noProof/>
            <w:sz w:val="22"/>
            <w:szCs w:val="22"/>
          </w:rPr>
          <w:tab/>
        </w:r>
        <w:r w:rsidRPr="00CC53E5">
          <w:rPr>
            <w:rStyle w:val="Hyperlink"/>
            <w:noProof/>
          </w:rPr>
          <w:t>showOnOpen (Show On Open)</w:t>
        </w:r>
        <w:r>
          <w:rPr>
            <w:noProof/>
            <w:webHidden/>
          </w:rPr>
          <w:tab/>
        </w:r>
        <w:r>
          <w:rPr>
            <w:noProof/>
            <w:webHidden/>
          </w:rPr>
          <w:fldChar w:fldCharType="begin"/>
        </w:r>
        <w:r>
          <w:rPr>
            <w:noProof/>
            <w:webHidden/>
          </w:rPr>
          <w:instrText xml:space="preserve"> PAGEREF _Toc69879826 \h </w:instrText>
        </w:r>
        <w:r>
          <w:rPr>
            <w:noProof/>
            <w:webHidden/>
          </w:rPr>
        </w:r>
        <w:r>
          <w:rPr>
            <w:noProof/>
            <w:webHidden/>
          </w:rPr>
          <w:fldChar w:fldCharType="separate"/>
        </w:r>
        <w:r>
          <w:rPr>
            <w:noProof/>
            <w:webHidden/>
          </w:rPr>
          <w:t>874</w:t>
        </w:r>
        <w:r>
          <w:rPr>
            <w:noProof/>
            <w:webHidden/>
          </w:rPr>
          <w:fldChar w:fldCharType="end"/>
        </w:r>
      </w:hyperlink>
    </w:p>
    <w:p w:rsidR="00B42EF3" w:rsidRDefault="00B42EF3">
      <w:pPr>
        <w:pStyle w:val="TOC6"/>
        <w:rPr>
          <w:rFonts w:asciiTheme="minorHAnsi" w:eastAsiaTheme="minorEastAsia" w:hAnsiTheme="minorHAnsi" w:cstheme="minorBidi"/>
          <w:noProof/>
          <w:sz w:val="22"/>
          <w:szCs w:val="22"/>
        </w:rPr>
      </w:pPr>
      <w:hyperlink w:anchor="_Toc69879827" w:history="1">
        <w:r w:rsidRPr="00CC53E5">
          <w:rPr>
            <w:rStyle w:val="Hyperlink"/>
            <w:noProof/>
          </w:rPr>
          <w:t>3.5.3.1.1.5</w:t>
        </w:r>
        <w:r>
          <w:rPr>
            <w:rFonts w:asciiTheme="minorHAnsi" w:eastAsiaTheme="minorEastAsia" w:hAnsiTheme="minorHAnsi" w:cstheme="minorBidi"/>
            <w:noProof/>
            <w:sz w:val="22"/>
            <w:szCs w:val="22"/>
          </w:rPr>
          <w:tab/>
        </w:r>
        <w:r w:rsidRPr="00CC53E5">
          <w:rPr>
            <w:rStyle w:val="Hyperlink"/>
            <w:noProof/>
          </w:rPr>
          <w:t>XMLNamespace (Namespace for Property Editor)</w:t>
        </w:r>
        <w:r>
          <w:rPr>
            <w:noProof/>
            <w:webHidden/>
          </w:rPr>
          <w:tab/>
        </w:r>
        <w:r>
          <w:rPr>
            <w:noProof/>
            <w:webHidden/>
          </w:rPr>
          <w:fldChar w:fldCharType="begin"/>
        </w:r>
        <w:r>
          <w:rPr>
            <w:noProof/>
            <w:webHidden/>
          </w:rPr>
          <w:instrText xml:space="preserve"> PAGEREF _Toc69879827 \h </w:instrText>
        </w:r>
        <w:r>
          <w:rPr>
            <w:noProof/>
            <w:webHidden/>
          </w:rPr>
        </w:r>
        <w:r>
          <w:rPr>
            <w:noProof/>
            <w:webHidden/>
          </w:rPr>
          <w:fldChar w:fldCharType="separate"/>
        </w:r>
        <w:r>
          <w:rPr>
            <w:noProof/>
            <w:webHidden/>
          </w:rPr>
          <w:t>874</w:t>
        </w:r>
        <w:r>
          <w:rPr>
            <w:noProof/>
            <w:webHidden/>
          </w:rPr>
          <w:fldChar w:fldCharType="end"/>
        </w:r>
      </w:hyperlink>
    </w:p>
    <w:p w:rsidR="00B42EF3" w:rsidRDefault="00B42EF3">
      <w:pPr>
        <w:pStyle w:val="TOC6"/>
        <w:rPr>
          <w:rFonts w:asciiTheme="minorHAnsi" w:eastAsiaTheme="minorEastAsia" w:hAnsiTheme="minorHAnsi" w:cstheme="minorBidi"/>
          <w:noProof/>
          <w:sz w:val="22"/>
          <w:szCs w:val="22"/>
        </w:rPr>
      </w:pPr>
      <w:hyperlink w:anchor="_Toc69879828" w:history="1">
        <w:r w:rsidRPr="00CC53E5">
          <w:rPr>
            <w:rStyle w:val="Hyperlink"/>
            <w:noProof/>
          </w:rPr>
          <w:t>3.5.3.1.1.6</w:t>
        </w:r>
        <w:r>
          <w:rPr>
            <w:rFonts w:asciiTheme="minorHAnsi" w:eastAsiaTheme="minorEastAsia" w:hAnsiTheme="minorHAnsi" w:cstheme="minorBidi"/>
            <w:noProof/>
            <w:sz w:val="22"/>
            <w:szCs w:val="22"/>
          </w:rPr>
          <w:tab/>
        </w:r>
        <w:r w:rsidRPr="00CC53E5">
          <w:rPr>
            <w:rStyle w:val="Hyperlink"/>
            <w:noProof/>
          </w:rPr>
          <w:t>XSNLocation (Location of XSN File)</w:t>
        </w:r>
        <w:r>
          <w:rPr>
            <w:noProof/>
            <w:webHidden/>
          </w:rPr>
          <w:tab/>
        </w:r>
        <w:r>
          <w:rPr>
            <w:noProof/>
            <w:webHidden/>
          </w:rPr>
          <w:fldChar w:fldCharType="begin"/>
        </w:r>
        <w:r>
          <w:rPr>
            <w:noProof/>
            <w:webHidden/>
          </w:rPr>
          <w:instrText xml:space="preserve"> PAGEREF _Toc69879828 \h </w:instrText>
        </w:r>
        <w:r>
          <w:rPr>
            <w:noProof/>
            <w:webHidden/>
          </w:rPr>
        </w:r>
        <w:r>
          <w:rPr>
            <w:noProof/>
            <w:webHidden/>
          </w:rPr>
          <w:fldChar w:fldCharType="separate"/>
        </w:r>
        <w:r>
          <w:rPr>
            <w:noProof/>
            <w:webHidden/>
          </w:rPr>
          <w:t>874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829" w:history="1">
        <w:r w:rsidRPr="00CC53E5">
          <w:rPr>
            <w:rStyle w:val="Hyperlink"/>
            <w:noProof/>
          </w:rPr>
          <w:t>3.5.4</w:t>
        </w:r>
        <w:r>
          <w:rPr>
            <w:rFonts w:asciiTheme="minorHAnsi" w:eastAsiaTheme="minorEastAsia" w:hAnsiTheme="minorHAnsi" w:cstheme="minorBidi"/>
            <w:noProof/>
            <w:sz w:val="22"/>
            <w:szCs w:val="22"/>
          </w:rPr>
          <w:tab/>
        </w:r>
        <w:r w:rsidRPr="00CC53E5">
          <w:rPr>
            <w:rStyle w:val="Hyperlink"/>
            <w:noProof/>
          </w:rPr>
          <w:t>Custom XSN</w:t>
        </w:r>
        <w:r>
          <w:rPr>
            <w:noProof/>
            <w:webHidden/>
          </w:rPr>
          <w:tab/>
        </w:r>
        <w:r>
          <w:rPr>
            <w:noProof/>
            <w:webHidden/>
          </w:rPr>
          <w:fldChar w:fldCharType="begin"/>
        </w:r>
        <w:r>
          <w:rPr>
            <w:noProof/>
            <w:webHidden/>
          </w:rPr>
          <w:instrText xml:space="preserve"> PAGEREF _Toc69879829 \h </w:instrText>
        </w:r>
        <w:r>
          <w:rPr>
            <w:noProof/>
            <w:webHidden/>
          </w:rPr>
        </w:r>
        <w:r>
          <w:rPr>
            <w:noProof/>
            <w:webHidden/>
          </w:rPr>
          <w:fldChar w:fldCharType="separate"/>
        </w:r>
        <w:r>
          <w:rPr>
            <w:noProof/>
            <w:webHidden/>
          </w:rPr>
          <w:t>875</w:t>
        </w:r>
        <w:r>
          <w:rPr>
            <w:noProof/>
            <w:webHidden/>
          </w:rPr>
          <w:fldChar w:fldCharType="end"/>
        </w:r>
      </w:hyperlink>
    </w:p>
    <w:p w:rsidR="00B42EF3" w:rsidRDefault="00B42EF3">
      <w:pPr>
        <w:pStyle w:val="TOC4"/>
        <w:rPr>
          <w:rFonts w:asciiTheme="minorHAnsi" w:eastAsiaTheme="minorEastAsia" w:hAnsiTheme="minorHAnsi" w:cstheme="minorBidi"/>
          <w:noProof/>
          <w:sz w:val="22"/>
          <w:szCs w:val="22"/>
        </w:rPr>
      </w:pPr>
      <w:hyperlink w:anchor="_Toc69879830" w:history="1">
        <w:r w:rsidRPr="00CC53E5">
          <w:rPr>
            <w:rStyle w:val="Hyperlink"/>
            <w:noProof/>
          </w:rPr>
          <w:t>3.5.4.1</w:t>
        </w:r>
        <w:r>
          <w:rPr>
            <w:rFonts w:asciiTheme="minorHAnsi" w:eastAsiaTheme="minorEastAsia" w:hAnsiTheme="minorHAnsi" w:cstheme="minorBidi"/>
            <w:noProof/>
            <w:sz w:val="22"/>
            <w:szCs w:val="22"/>
          </w:rPr>
          <w:tab/>
        </w:r>
        <w:r w:rsidRPr="00CC53E5">
          <w:rPr>
            <w:rStyle w:val="Hyperlink"/>
            <w:noProof/>
          </w:rPr>
          <w:t>Custom XSN Schema</w:t>
        </w:r>
        <w:r>
          <w:rPr>
            <w:noProof/>
            <w:webHidden/>
          </w:rPr>
          <w:tab/>
        </w:r>
        <w:r>
          <w:rPr>
            <w:noProof/>
            <w:webHidden/>
          </w:rPr>
          <w:fldChar w:fldCharType="begin"/>
        </w:r>
        <w:r>
          <w:rPr>
            <w:noProof/>
            <w:webHidden/>
          </w:rPr>
          <w:instrText xml:space="preserve"> PAGEREF _Toc69879830 \h </w:instrText>
        </w:r>
        <w:r>
          <w:rPr>
            <w:noProof/>
            <w:webHidden/>
          </w:rPr>
        </w:r>
        <w:r>
          <w:rPr>
            <w:noProof/>
            <w:webHidden/>
          </w:rPr>
          <w:fldChar w:fldCharType="separate"/>
        </w:r>
        <w:r>
          <w:rPr>
            <w:noProof/>
            <w:webHidden/>
          </w:rPr>
          <w:t>875</w:t>
        </w:r>
        <w:r>
          <w:rPr>
            <w:noProof/>
            <w:webHidden/>
          </w:rPr>
          <w:fldChar w:fldCharType="end"/>
        </w:r>
      </w:hyperlink>
    </w:p>
    <w:p w:rsidR="00B42EF3" w:rsidRDefault="00B42EF3">
      <w:pPr>
        <w:pStyle w:val="TOC5"/>
        <w:rPr>
          <w:rFonts w:asciiTheme="minorHAnsi" w:eastAsiaTheme="minorEastAsia" w:hAnsiTheme="minorHAnsi" w:cstheme="minorBidi"/>
          <w:noProof/>
          <w:sz w:val="22"/>
          <w:szCs w:val="22"/>
        </w:rPr>
      </w:pPr>
      <w:hyperlink w:anchor="_Toc69879831" w:history="1">
        <w:r w:rsidRPr="00CC53E5">
          <w:rPr>
            <w:rStyle w:val="Hyperlink"/>
            <w:noProof/>
          </w:rPr>
          <w:t>3.5.4.1.1</w:t>
        </w:r>
        <w:r>
          <w:rPr>
            <w:rFonts w:asciiTheme="minorHAnsi" w:eastAsiaTheme="minorEastAsia" w:hAnsiTheme="minorHAnsi" w:cstheme="minorBidi"/>
            <w:noProof/>
            <w:sz w:val="22"/>
            <w:szCs w:val="22"/>
          </w:rPr>
          <w:tab/>
        </w:r>
        <w:r w:rsidRPr="00CC53E5">
          <w:rPr>
            <w:rStyle w:val="Hyperlink"/>
            <w:noProof/>
          </w:rPr>
          <w:t>Elements</w:t>
        </w:r>
        <w:r>
          <w:rPr>
            <w:noProof/>
            <w:webHidden/>
          </w:rPr>
          <w:tab/>
        </w:r>
        <w:r>
          <w:rPr>
            <w:noProof/>
            <w:webHidden/>
          </w:rPr>
          <w:fldChar w:fldCharType="begin"/>
        </w:r>
        <w:r>
          <w:rPr>
            <w:noProof/>
            <w:webHidden/>
          </w:rPr>
          <w:instrText xml:space="preserve"> PAGEREF _Toc69879831 \h </w:instrText>
        </w:r>
        <w:r>
          <w:rPr>
            <w:noProof/>
            <w:webHidden/>
          </w:rPr>
        </w:r>
        <w:r>
          <w:rPr>
            <w:noProof/>
            <w:webHidden/>
          </w:rPr>
          <w:fldChar w:fldCharType="separate"/>
        </w:r>
        <w:r>
          <w:rPr>
            <w:noProof/>
            <w:webHidden/>
          </w:rPr>
          <w:t>875</w:t>
        </w:r>
        <w:r>
          <w:rPr>
            <w:noProof/>
            <w:webHidden/>
          </w:rPr>
          <w:fldChar w:fldCharType="end"/>
        </w:r>
      </w:hyperlink>
    </w:p>
    <w:p w:rsidR="00B42EF3" w:rsidRDefault="00B42EF3">
      <w:pPr>
        <w:pStyle w:val="TOC6"/>
        <w:rPr>
          <w:rFonts w:asciiTheme="minorHAnsi" w:eastAsiaTheme="minorEastAsia" w:hAnsiTheme="minorHAnsi" w:cstheme="minorBidi"/>
          <w:noProof/>
          <w:sz w:val="22"/>
          <w:szCs w:val="22"/>
        </w:rPr>
      </w:pPr>
      <w:hyperlink w:anchor="_Toc69879832" w:history="1">
        <w:r w:rsidRPr="00CC53E5">
          <w:rPr>
            <w:rStyle w:val="Hyperlink"/>
            <w:noProof/>
          </w:rPr>
          <w:t>3.5.4.1.1.1</w:t>
        </w:r>
        <w:r>
          <w:rPr>
            <w:rFonts w:asciiTheme="minorHAnsi" w:eastAsiaTheme="minorEastAsia" w:hAnsiTheme="minorHAnsi" w:cstheme="minorBidi"/>
            <w:noProof/>
            <w:sz w:val="22"/>
            <w:szCs w:val="22"/>
          </w:rPr>
          <w:tab/>
        </w:r>
        <w:r w:rsidRPr="00CC53E5">
          <w:rPr>
            <w:rStyle w:val="Hyperlink"/>
            <w:noProof/>
          </w:rPr>
          <w:t>cached (Cached View)</w:t>
        </w:r>
        <w:r>
          <w:rPr>
            <w:noProof/>
            <w:webHidden/>
          </w:rPr>
          <w:tab/>
        </w:r>
        <w:r>
          <w:rPr>
            <w:noProof/>
            <w:webHidden/>
          </w:rPr>
          <w:fldChar w:fldCharType="begin"/>
        </w:r>
        <w:r>
          <w:rPr>
            <w:noProof/>
            <w:webHidden/>
          </w:rPr>
          <w:instrText xml:space="preserve"> PAGEREF _Toc69879832 \h </w:instrText>
        </w:r>
        <w:r>
          <w:rPr>
            <w:noProof/>
            <w:webHidden/>
          </w:rPr>
        </w:r>
        <w:r>
          <w:rPr>
            <w:noProof/>
            <w:webHidden/>
          </w:rPr>
          <w:fldChar w:fldCharType="separate"/>
        </w:r>
        <w:r>
          <w:rPr>
            <w:noProof/>
            <w:webHidden/>
          </w:rPr>
          <w:t>875</w:t>
        </w:r>
        <w:r>
          <w:rPr>
            <w:noProof/>
            <w:webHidden/>
          </w:rPr>
          <w:fldChar w:fldCharType="end"/>
        </w:r>
      </w:hyperlink>
    </w:p>
    <w:p w:rsidR="00B42EF3" w:rsidRDefault="00B42EF3">
      <w:pPr>
        <w:pStyle w:val="TOC6"/>
        <w:rPr>
          <w:rFonts w:asciiTheme="minorHAnsi" w:eastAsiaTheme="minorEastAsia" w:hAnsiTheme="minorHAnsi" w:cstheme="minorBidi"/>
          <w:noProof/>
          <w:sz w:val="22"/>
          <w:szCs w:val="22"/>
        </w:rPr>
      </w:pPr>
      <w:hyperlink w:anchor="_Toc69879833" w:history="1">
        <w:r w:rsidRPr="00CC53E5">
          <w:rPr>
            <w:rStyle w:val="Hyperlink"/>
            <w:noProof/>
          </w:rPr>
          <w:t>3.5.4.1.1.2</w:t>
        </w:r>
        <w:r>
          <w:rPr>
            <w:rFonts w:asciiTheme="minorHAnsi" w:eastAsiaTheme="minorEastAsia" w:hAnsiTheme="minorHAnsi" w:cstheme="minorBidi"/>
            <w:noProof/>
            <w:sz w:val="22"/>
            <w:szCs w:val="22"/>
          </w:rPr>
          <w:tab/>
        </w:r>
        <w:r w:rsidRPr="00CC53E5">
          <w:rPr>
            <w:rStyle w:val="Hyperlink"/>
            <w:noProof/>
          </w:rPr>
          <w:t>customXsn (Custom XSN)</w:t>
        </w:r>
        <w:r>
          <w:rPr>
            <w:noProof/>
            <w:webHidden/>
          </w:rPr>
          <w:tab/>
        </w:r>
        <w:r>
          <w:rPr>
            <w:noProof/>
            <w:webHidden/>
          </w:rPr>
          <w:fldChar w:fldCharType="begin"/>
        </w:r>
        <w:r>
          <w:rPr>
            <w:noProof/>
            <w:webHidden/>
          </w:rPr>
          <w:instrText xml:space="preserve"> PAGEREF _Toc69879833 \h </w:instrText>
        </w:r>
        <w:r>
          <w:rPr>
            <w:noProof/>
            <w:webHidden/>
          </w:rPr>
        </w:r>
        <w:r>
          <w:rPr>
            <w:noProof/>
            <w:webHidden/>
          </w:rPr>
          <w:fldChar w:fldCharType="separate"/>
        </w:r>
        <w:r>
          <w:rPr>
            <w:noProof/>
            <w:webHidden/>
          </w:rPr>
          <w:t>875</w:t>
        </w:r>
        <w:r>
          <w:rPr>
            <w:noProof/>
            <w:webHidden/>
          </w:rPr>
          <w:fldChar w:fldCharType="end"/>
        </w:r>
      </w:hyperlink>
    </w:p>
    <w:p w:rsidR="00B42EF3" w:rsidRDefault="00B42EF3">
      <w:pPr>
        <w:pStyle w:val="TOC6"/>
        <w:rPr>
          <w:rFonts w:asciiTheme="minorHAnsi" w:eastAsiaTheme="minorEastAsia" w:hAnsiTheme="minorHAnsi" w:cstheme="minorBidi"/>
          <w:noProof/>
          <w:sz w:val="22"/>
          <w:szCs w:val="22"/>
        </w:rPr>
      </w:pPr>
      <w:hyperlink w:anchor="_Toc69879834" w:history="1">
        <w:r w:rsidRPr="00CC53E5">
          <w:rPr>
            <w:rStyle w:val="Hyperlink"/>
            <w:noProof/>
          </w:rPr>
          <w:t>3.5.4.1.1.3</w:t>
        </w:r>
        <w:r>
          <w:rPr>
            <w:rFonts w:asciiTheme="minorHAnsi" w:eastAsiaTheme="minorEastAsia" w:hAnsiTheme="minorHAnsi" w:cstheme="minorBidi"/>
            <w:noProof/>
            <w:sz w:val="22"/>
            <w:szCs w:val="22"/>
          </w:rPr>
          <w:tab/>
        </w:r>
        <w:r w:rsidRPr="00CC53E5">
          <w:rPr>
            <w:rStyle w:val="Hyperlink"/>
            <w:noProof/>
          </w:rPr>
          <w:t>openByDefault (Open By Default)</w:t>
        </w:r>
        <w:r>
          <w:rPr>
            <w:noProof/>
            <w:webHidden/>
          </w:rPr>
          <w:tab/>
        </w:r>
        <w:r>
          <w:rPr>
            <w:noProof/>
            <w:webHidden/>
          </w:rPr>
          <w:fldChar w:fldCharType="begin"/>
        </w:r>
        <w:r>
          <w:rPr>
            <w:noProof/>
            <w:webHidden/>
          </w:rPr>
          <w:instrText xml:space="preserve"> PAGEREF _Toc69879834 \h </w:instrText>
        </w:r>
        <w:r>
          <w:rPr>
            <w:noProof/>
            <w:webHidden/>
          </w:rPr>
        </w:r>
        <w:r>
          <w:rPr>
            <w:noProof/>
            <w:webHidden/>
          </w:rPr>
          <w:fldChar w:fldCharType="separate"/>
        </w:r>
        <w:r>
          <w:rPr>
            <w:noProof/>
            <w:webHidden/>
          </w:rPr>
          <w:t>876</w:t>
        </w:r>
        <w:r>
          <w:rPr>
            <w:noProof/>
            <w:webHidden/>
          </w:rPr>
          <w:fldChar w:fldCharType="end"/>
        </w:r>
      </w:hyperlink>
    </w:p>
    <w:p w:rsidR="00B42EF3" w:rsidRDefault="00B42EF3">
      <w:pPr>
        <w:pStyle w:val="TOC6"/>
        <w:rPr>
          <w:rFonts w:asciiTheme="minorHAnsi" w:eastAsiaTheme="minorEastAsia" w:hAnsiTheme="minorHAnsi" w:cstheme="minorBidi"/>
          <w:noProof/>
          <w:sz w:val="22"/>
          <w:szCs w:val="22"/>
        </w:rPr>
      </w:pPr>
      <w:hyperlink w:anchor="_Toc69879835" w:history="1">
        <w:r w:rsidRPr="00CC53E5">
          <w:rPr>
            <w:rStyle w:val="Hyperlink"/>
            <w:noProof/>
          </w:rPr>
          <w:t>3.5.4.1.1.4</w:t>
        </w:r>
        <w:r>
          <w:rPr>
            <w:rFonts w:asciiTheme="minorHAnsi" w:eastAsiaTheme="minorEastAsia" w:hAnsiTheme="minorHAnsi" w:cstheme="minorBidi"/>
            <w:noProof/>
            <w:sz w:val="22"/>
            <w:szCs w:val="22"/>
          </w:rPr>
          <w:tab/>
        </w:r>
        <w:r w:rsidRPr="00CC53E5">
          <w:rPr>
            <w:rStyle w:val="Hyperlink"/>
            <w:noProof/>
          </w:rPr>
          <w:t>xsnLocation (XSN Location)</w:t>
        </w:r>
        <w:r>
          <w:rPr>
            <w:noProof/>
            <w:webHidden/>
          </w:rPr>
          <w:tab/>
        </w:r>
        <w:r>
          <w:rPr>
            <w:noProof/>
            <w:webHidden/>
          </w:rPr>
          <w:fldChar w:fldCharType="begin"/>
        </w:r>
        <w:r>
          <w:rPr>
            <w:noProof/>
            <w:webHidden/>
          </w:rPr>
          <w:instrText xml:space="preserve"> PAGEREF _Toc69879835 \h </w:instrText>
        </w:r>
        <w:r>
          <w:rPr>
            <w:noProof/>
            <w:webHidden/>
          </w:rPr>
        </w:r>
        <w:r>
          <w:rPr>
            <w:noProof/>
            <w:webHidden/>
          </w:rPr>
          <w:fldChar w:fldCharType="separate"/>
        </w:r>
        <w:r>
          <w:rPr>
            <w:noProof/>
            <w:webHidden/>
          </w:rPr>
          <w:t>876</w:t>
        </w:r>
        <w:r>
          <w:rPr>
            <w:noProof/>
            <w:webHidden/>
          </w:rPr>
          <w:fldChar w:fldCharType="end"/>
        </w:r>
      </w:hyperlink>
    </w:p>
    <w:p w:rsidR="00B42EF3" w:rsidRDefault="00B42EF3">
      <w:pPr>
        <w:pStyle w:val="TOC6"/>
        <w:rPr>
          <w:rFonts w:asciiTheme="minorHAnsi" w:eastAsiaTheme="minorEastAsia" w:hAnsiTheme="minorHAnsi" w:cstheme="minorBidi"/>
          <w:noProof/>
          <w:sz w:val="22"/>
          <w:szCs w:val="22"/>
        </w:rPr>
      </w:pPr>
      <w:hyperlink w:anchor="_Toc69879836" w:history="1">
        <w:r w:rsidRPr="00CC53E5">
          <w:rPr>
            <w:rStyle w:val="Hyperlink"/>
            <w:noProof/>
          </w:rPr>
          <w:t>3.5.4.1.1.5</w:t>
        </w:r>
        <w:r>
          <w:rPr>
            <w:rFonts w:asciiTheme="minorHAnsi" w:eastAsiaTheme="minorEastAsia" w:hAnsiTheme="minorHAnsi" w:cstheme="minorBidi"/>
            <w:noProof/>
            <w:sz w:val="22"/>
            <w:szCs w:val="22"/>
          </w:rPr>
          <w:tab/>
        </w:r>
        <w:r w:rsidRPr="00CC53E5">
          <w:rPr>
            <w:rStyle w:val="Hyperlink"/>
            <w:noProof/>
          </w:rPr>
          <w:t>xsnScope (Scope)</w:t>
        </w:r>
        <w:r>
          <w:rPr>
            <w:noProof/>
            <w:webHidden/>
          </w:rPr>
          <w:tab/>
        </w:r>
        <w:r>
          <w:rPr>
            <w:noProof/>
            <w:webHidden/>
          </w:rPr>
          <w:fldChar w:fldCharType="begin"/>
        </w:r>
        <w:r>
          <w:rPr>
            <w:noProof/>
            <w:webHidden/>
          </w:rPr>
          <w:instrText xml:space="preserve"> PAGEREF _Toc69879836 \h </w:instrText>
        </w:r>
        <w:r>
          <w:rPr>
            <w:noProof/>
            <w:webHidden/>
          </w:rPr>
        </w:r>
        <w:r>
          <w:rPr>
            <w:noProof/>
            <w:webHidden/>
          </w:rPr>
          <w:fldChar w:fldCharType="separate"/>
        </w:r>
        <w:r>
          <w:rPr>
            <w:noProof/>
            <w:webHidden/>
          </w:rPr>
          <w:t>876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837" w:history="1">
        <w:r w:rsidRPr="00CC53E5">
          <w:rPr>
            <w:rStyle w:val="Hyperlink"/>
            <w:noProof/>
          </w:rPr>
          <w:t>3.5.5</w:t>
        </w:r>
        <w:r>
          <w:rPr>
            <w:rFonts w:asciiTheme="minorHAnsi" w:eastAsiaTheme="minorEastAsia" w:hAnsiTheme="minorHAnsi" w:cstheme="minorBidi"/>
            <w:noProof/>
            <w:sz w:val="22"/>
            <w:szCs w:val="22"/>
          </w:rPr>
          <w:tab/>
        </w:r>
        <w:r w:rsidRPr="00CC53E5">
          <w:rPr>
            <w:rStyle w:val="Hyperlink"/>
            <w:noProof/>
          </w:rPr>
          <w:t>Long Properties</w:t>
        </w:r>
        <w:r>
          <w:rPr>
            <w:noProof/>
            <w:webHidden/>
          </w:rPr>
          <w:tab/>
        </w:r>
        <w:r>
          <w:rPr>
            <w:noProof/>
            <w:webHidden/>
          </w:rPr>
          <w:fldChar w:fldCharType="begin"/>
        </w:r>
        <w:r>
          <w:rPr>
            <w:noProof/>
            <w:webHidden/>
          </w:rPr>
          <w:instrText xml:space="preserve"> PAGEREF _Toc69879837 \h </w:instrText>
        </w:r>
        <w:r>
          <w:rPr>
            <w:noProof/>
            <w:webHidden/>
          </w:rPr>
        </w:r>
        <w:r>
          <w:rPr>
            <w:noProof/>
            <w:webHidden/>
          </w:rPr>
          <w:fldChar w:fldCharType="separate"/>
        </w:r>
        <w:r>
          <w:rPr>
            <w:noProof/>
            <w:webHidden/>
          </w:rPr>
          <w:t>876</w:t>
        </w:r>
        <w:r>
          <w:rPr>
            <w:noProof/>
            <w:webHidden/>
          </w:rPr>
          <w:fldChar w:fldCharType="end"/>
        </w:r>
      </w:hyperlink>
    </w:p>
    <w:p w:rsidR="00B42EF3" w:rsidRDefault="00B42EF3">
      <w:pPr>
        <w:pStyle w:val="TOC4"/>
        <w:rPr>
          <w:rFonts w:asciiTheme="minorHAnsi" w:eastAsiaTheme="minorEastAsia" w:hAnsiTheme="minorHAnsi" w:cstheme="minorBidi"/>
          <w:noProof/>
          <w:sz w:val="22"/>
          <w:szCs w:val="22"/>
        </w:rPr>
      </w:pPr>
      <w:hyperlink w:anchor="_Toc69879838" w:history="1">
        <w:r w:rsidRPr="00CC53E5">
          <w:rPr>
            <w:rStyle w:val="Hyperlink"/>
            <w:noProof/>
          </w:rPr>
          <w:t>3.5.5.1</w:t>
        </w:r>
        <w:r>
          <w:rPr>
            <w:rFonts w:asciiTheme="minorHAnsi" w:eastAsiaTheme="minorEastAsia" w:hAnsiTheme="minorHAnsi" w:cstheme="minorBidi"/>
            <w:noProof/>
            <w:sz w:val="22"/>
            <w:szCs w:val="22"/>
          </w:rPr>
          <w:tab/>
        </w:r>
        <w:r w:rsidRPr="00CC53E5">
          <w:rPr>
            <w:rStyle w:val="Hyperlink"/>
            <w:noProof/>
          </w:rPr>
          <w:t>Long Properties Schema</w:t>
        </w:r>
        <w:r>
          <w:rPr>
            <w:noProof/>
            <w:webHidden/>
          </w:rPr>
          <w:tab/>
        </w:r>
        <w:r>
          <w:rPr>
            <w:noProof/>
            <w:webHidden/>
          </w:rPr>
          <w:fldChar w:fldCharType="begin"/>
        </w:r>
        <w:r>
          <w:rPr>
            <w:noProof/>
            <w:webHidden/>
          </w:rPr>
          <w:instrText xml:space="preserve"> PAGEREF _Toc69879838 \h </w:instrText>
        </w:r>
        <w:r>
          <w:rPr>
            <w:noProof/>
            <w:webHidden/>
          </w:rPr>
        </w:r>
        <w:r>
          <w:rPr>
            <w:noProof/>
            <w:webHidden/>
          </w:rPr>
          <w:fldChar w:fldCharType="separate"/>
        </w:r>
        <w:r>
          <w:rPr>
            <w:noProof/>
            <w:webHidden/>
          </w:rPr>
          <w:t>876</w:t>
        </w:r>
        <w:r>
          <w:rPr>
            <w:noProof/>
            <w:webHidden/>
          </w:rPr>
          <w:fldChar w:fldCharType="end"/>
        </w:r>
      </w:hyperlink>
    </w:p>
    <w:p w:rsidR="00B42EF3" w:rsidRDefault="00B42EF3">
      <w:pPr>
        <w:pStyle w:val="TOC5"/>
        <w:rPr>
          <w:rFonts w:asciiTheme="minorHAnsi" w:eastAsiaTheme="minorEastAsia" w:hAnsiTheme="minorHAnsi" w:cstheme="minorBidi"/>
          <w:noProof/>
          <w:sz w:val="22"/>
          <w:szCs w:val="22"/>
        </w:rPr>
      </w:pPr>
      <w:hyperlink w:anchor="_Toc69879839" w:history="1">
        <w:r w:rsidRPr="00CC53E5">
          <w:rPr>
            <w:rStyle w:val="Hyperlink"/>
            <w:noProof/>
          </w:rPr>
          <w:t>3.5.5.1.1</w:t>
        </w:r>
        <w:r>
          <w:rPr>
            <w:rFonts w:asciiTheme="minorHAnsi" w:eastAsiaTheme="minorEastAsia" w:hAnsiTheme="minorHAnsi" w:cstheme="minorBidi"/>
            <w:noProof/>
            <w:sz w:val="22"/>
            <w:szCs w:val="22"/>
          </w:rPr>
          <w:tab/>
        </w:r>
        <w:r w:rsidRPr="00CC53E5">
          <w:rPr>
            <w:rStyle w:val="Hyperlink"/>
            <w:noProof/>
          </w:rPr>
          <w:t>Elements</w:t>
        </w:r>
        <w:r>
          <w:rPr>
            <w:noProof/>
            <w:webHidden/>
          </w:rPr>
          <w:tab/>
        </w:r>
        <w:r>
          <w:rPr>
            <w:noProof/>
            <w:webHidden/>
          </w:rPr>
          <w:fldChar w:fldCharType="begin"/>
        </w:r>
        <w:r>
          <w:rPr>
            <w:noProof/>
            <w:webHidden/>
          </w:rPr>
          <w:instrText xml:space="preserve"> PAGEREF _Toc69879839 \h </w:instrText>
        </w:r>
        <w:r>
          <w:rPr>
            <w:noProof/>
            <w:webHidden/>
          </w:rPr>
        </w:r>
        <w:r>
          <w:rPr>
            <w:noProof/>
            <w:webHidden/>
          </w:rPr>
          <w:fldChar w:fldCharType="separate"/>
        </w:r>
        <w:r>
          <w:rPr>
            <w:noProof/>
            <w:webHidden/>
          </w:rPr>
          <w:t>877</w:t>
        </w:r>
        <w:r>
          <w:rPr>
            <w:noProof/>
            <w:webHidden/>
          </w:rPr>
          <w:fldChar w:fldCharType="end"/>
        </w:r>
      </w:hyperlink>
    </w:p>
    <w:p w:rsidR="00B42EF3" w:rsidRDefault="00B42EF3">
      <w:pPr>
        <w:pStyle w:val="TOC6"/>
        <w:rPr>
          <w:rFonts w:asciiTheme="minorHAnsi" w:eastAsiaTheme="minorEastAsia" w:hAnsiTheme="minorHAnsi" w:cstheme="minorBidi"/>
          <w:noProof/>
          <w:sz w:val="22"/>
          <w:szCs w:val="22"/>
        </w:rPr>
      </w:pPr>
      <w:hyperlink w:anchor="_Toc69879840" w:history="1">
        <w:r w:rsidRPr="00CC53E5">
          <w:rPr>
            <w:rStyle w:val="Hyperlink"/>
            <w:noProof/>
          </w:rPr>
          <w:t>3.5.5.1.1.1</w:t>
        </w:r>
        <w:r>
          <w:rPr>
            <w:rFonts w:asciiTheme="minorHAnsi" w:eastAsiaTheme="minorEastAsia" w:hAnsiTheme="minorHAnsi" w:cstheme="minorBidi"/>
            <w:noProof/>
            <w:sz w:val="22"/>
            <w:szCs w:val="22"/>
          </w:rPr>
          <w:tab/>
        </w:r>
        <w:r w:rsidRPr="00CC53E5">
          <w:rPr>
            <w:rStyle w:val="Hyperlink"/>
            <w:noProof/>
          </w:rPr>
          <w:t>LongProp (Custom XML Server Property - Long Property)</w:t>
        </w:r>
        <w:r>
          <w:rPr>
            <w:noProof/>
            <w:webHidden/>
          </w:rPr>
          <w:tab/>
        </w:r>
        <w:r>
          <w:rPr>
            <w:noProof/>
            <w:webHidden/>
          </w:rPr>
          <w:fldChar w:fldCharType="begin"/>
        </w:r>
        <w:r>
          <w:rPr>
            <w:noProof/>
            <w:webHidden/>
          </w:rPr>
          <w:instrText xml:space="preserve"> PAGEREF _Toc69879840 \h </w:instrText>
        </w:r>
        <w:r>
          <w:rPr>
            <w:noProof/>
            <w:webHidden/>
          </w:rPr>
        </w:r>
        <w:r>
          <w:rPr>
            <w:noProof/>
            <w:webHidden/>
          </w:rPr>
          <w:fldChar w:fldCharType="separate"/>
        </w:r>
        <w:r>
          <w:rPr>
            <w:noProof/>
            <w:webHidden/>
          </w:rPr>
          <w:t>877</w:t>
        </w:r>
        <w:r>
          <w:rPr>
            <w:noProof/>
            <w:webHidden/>
          </w:rPr>
          <w:fldChar w:fldCharType="end"/>
        </w:r>
      </w:hyperlink>
    </w:p>
    <w:p w:rsidR="00B42EF3" w:rsidRDefault="00B42EF3">
      <w:pPr>
        <w:pStyle w:val="TOC6"/>
        <w:rPr>
          <w:rFonts w:asciiTheme="minorHAnsi" w:eastAsiaTheme="minorEastAsia" w:hAnsiTheme="minorHAnsi" w:cstheme="minorBidi"/>
          <w:noProof/>
          <w:sz w:val="22"/>
          <w:szCs w:val="22"/>
        </w:rPr>
      </w:pPr>
      <w:hyperlink w:anchor="_Toc69879841" w:history="1">
        <w:r w:rsidRPr="00CC53E5">
          <w:rPr>
            <w:rStyle w:val="Hyperlink"/>
            <w:noProof/>
          </w:rPr>
          <w:t>3.5.5.1.1.2</w:t>
        </w:r>
        <w:r>
          <w:rPr>
            <w:rFonts w:asciiTheme="minorHAnsi" w:eastAsiaTheme="minorEastAsia" w:hAnsiTheme="minorHAnsi" w:cstheme="minorBidi"/>
            <w:noProof/>
            <w:sz w:val="22"/>
            <w:szCs w:val="22"/>
          </w:rPr>
          <w:tab/>
        </w:r>
        <w:r w:rsidRPr="00CC53E5">
          <w:rPr>
            <w:rStyle w:val="Hyperlink"/>
            <w:noProof/>
          </w:rPr>
          <w:t>LongProperties (Custom XML Server Properties - Long Properties)</w:t>
        </w:r>
        <w:r>
          <w:rPr>
            <w:noProof/>
            <w:webHidden/>
          </w:rPr>
          <w:tab/>
        </w:r>
        <w:r>
          <w:rPr>
            <w:noProof/>
            <w:webHidden/>
          </w:rPr>
          <w:fldChar w:fldCharType="begin"/>
        </w:r>
        <w:r>
          <w:rPr>
            <w:noProof/>
            <w:webHidden/>
          </w:rPr>
          <w:instrText xml:space="preserve"> PAGEREF _Toc69879841 \h </w:instrText>
        </w:r>
        <w:r>
          <w:rPr>
            <w:noProof/>
            <w:webHidden/>
          </w:rPr>
        </w:r>
        <w:r>
          <w:rPr>
            <w:noProof/>
            <w:webHidden/>
          </w:rPr>
          <w:fldChar w:fldCharType="separate"/>
        </w:r>
        <w:r>
          <w:rPr>
            <w:noProof/>
            <w:webHidden/>
          </w:rPr>
          <w:t>877</w:t>
        </w:r>
        <w:r>
          <w:rPr>
            <w:noProof/>
            <w:webHidden/>
          </w:rPr>
          <w:fldChar w:fldCharType="end"/>
        </w:r>
      </w:hyperlink>
    </w:p>
    <w:p w:rsidR="00B42EF3" w:rsidRDefault="00B42EF3">
      <w:pPr>
        <w:pStyle w:val="TOC2"/>
        <w:rPr>
          <w:rFonts w:asciiTheme="minorHAnsi" w:eastAsiaTheme="minorEastAsia" w:hAnsiTheme="minorHAnsi" w:cstheme="minorBidi"/>
          <w:noProof/>
          <w:sz w:val="22"/>
          <w:szCs w:val="22"/>
        </w:rPr>
      </w:pPr>
      <w:hyperlink w:anchor="_Toc69879842" w:history="1">
        <w:r w:rsidRPr="00CC53E5">
          <w:rPr>
            <w:rStyle w:val="Hyperlink"/>
            <w:noProof/>
          </w:rPr>
          <w:t>3.6</w:t>
        </w:r>
        <w:r>
          <w:rPr>
            <w:rFonts w:asciiTheme="minorHAnsi" w:eastAsiaTheme="minorEastAsia" w:hAnsiTheme="minorHAnsi" w:cstheme="minorBidi"/>
            <w:noProof/>
            <w:sz w:val="22"/>
            <w:szCs w:val="22"/>
          </w:rPr>
          <w:tab/>
        </w:r>
        <w:r w:rsidRPr="00CC53E5">
          <w:rPr>
            <w:rStyle w:val="Hyperlink"/>
            <w:noProof/>
          </w:rPr>
          <w:t>Office ActiveX Supplemental Information</w:t>
        </w:r>
        <w:r>
          <w:rPr>
            <w:noProof/>
            <w:webHidden/>
          </w:rPr>
          <w:tab/>
        </w:r>
        <w:r>
          <w:rPr>
            <w:noProof/>
            <w:webHidden/>
          </w:rPr>
          <w:fldChar w:fldCharType="begin"/>
        </w:r>
        <w:r>
          <w:rPr>
            <w:noProof/>
            <w:webHidden/>
          </w:rPr>
          <w:instrText xml:space="preserve"> PAGEREF _Toc69879842 \h </w:instrText>
        </w:r>
        <w:r>
          <w:rPr>
            <w:noProof/>
            <w:webHidden/>
          </w:rPr>
        </w:r>
        <w:r>
          <w:rPr>
            <w:noProof/>
            <w:webHidden/>
          </w:rPr>
          <w:fldChar w:fldCharType="separate"/>
        </w:r>
        <w:r>
          <w:rPr>
            <w:noProof/>
            <w:webHidden/>
          </w:rPr>
          <w:t>878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843" w:history="1">
        <w:r w:rsidRPr="00CC53E5">
          <w:rPr>
            <w:rStyle w:val="Hyperlink"/>
            <w:noProof/>
          </w:rPr>
          <w:t>3.6.1</w:t>
        </w:r>
        <w:r>
          <w:rPr>
            <w:rFonts w:asciiTheme="minorHAnsi" w:eastAsiaTheme="minorEastAsia" w:hAnsiTheme="minorHAnsi" w:cstheme="minorBidi"/>
            <w:noProof/>
            <w:sz w:val="22"/>
            <w:szCs w:val="22"/>
          </w:rPr>
          <w:tab/>
        </w:r>
        <w:r w:rsidRPr="00CC53E5">
          <w:rPr>
            <w:rStyle w:val="Hyperlink"/>
            <w:noProof/>
          </w:rPr>
          <w:t>Elements</w:t>
        </w:r>
        <w:r>
          <w:rPr>
            <w:noProof/>
            <w:webHidden/>
          </w:rPr>
          <w:tab/>
        </w:r>
        <w:r>
          <w:rPr>
            <w:noProof/>
            <w:webHidden/>
          </w:rPr>
          <w:fldChar w:fldCharType="begin"/>
        </w:r>
        <w:r>
          <w:rPr>
            <w:noProof/>
            <w:webHidden/>
          </w:rPr>
          <w:instrText xml:space="preserve"> PAGEREF _Toc69879843 \h </w:instrText>
        </w:r>
        <w:r>
          <w:rPr>
            <w:noProof/>
            <w:webHidden/>
          </w:rPr>
        </w:r>
        <w:r>
          <w:rPr>
            <w:noProof/>
            <w:webHidden/>
          </w:rPr>
          <w:fldChar w:fldCharType="separate"/>
        </w:r>
        <w:r>
          <w:rPr>
            <w:noProof/>
            <w:webHidden/>
          </w:rPr>
          <w:t>878</w:t>
        </w:r>
        <w:r>
          <w:rPr>
            <w:noProof/>
            <w:webHidden/>
          </w:rPr>
          <w:fldChar w:fldCharType="end"/>
        </w:r>
      </w:hyperlink>
    </w:p>
    <w:p w:rsidR="00B42EF3" w:rsidRDefault="00B42EF3">
      <w:pPr>
        <w:pStyle w:val="TOC4"/>
        <w:rPr>
          <w:rFonts w:asciiTheme="minorHAnsi" w:eastAsiaTheme="minorEastAsia" w:hAnsiTheme="minorHAnsi" w:cstheme="minorBidi"/>
          <w:noProof/>
          <w:sz w:val="22"/>
          <w:szCs w:val="22"/>
        </w:rPr>
      </w:pPr>
      <w:hyperlink w:anchor="_Toc69879844" w:history="1">
        <w:r w:rsidRPr="00CC53E5">
          <w:rPr>
            <w:rStyle w:val="Hyperlink"/>
            <w:noProof/>
          </w:rPr>
          <w:t>3.6.1.1</w:t>
        </w:r>
        <w:r>
          <w:rPr>
            <w:rFonts w:asciiTheme="minorHAnsi" w:eastAsiaTheme="minorEastAsia" w:hAnsiTheme="minorHAnsi" w:cstheme="minorBidi"/>
            <w:noProof/>
            <w:sz w:val="22"/>
            <w:szCs w:val="22"/>
          </w:rPr>
          <w:tab/>
        </w:r>
        <w:r w:rsidRPr="00CC53E5">
          <w:rPr>
            <w:rStyle w:val="Hyperlink"/>
            <w:noProof/>
          </w:rPr>
          <w:t>font (Standard COM Font Object)</w:t>
        </w:r>
        <w:r>
          <w:rPr>
            <w:noProof/>
            <w:webHidden/>
          </w:rPr>
          <w:tab/>
        </w:r>
        <w:r>
          <w:rPr>
            <w:noProof/>
            <w:webHidden/>
          </w:rPr>
          <w:fldChar w:fldCharType="begin"/>
        </w:r>
        <w:r>
          <w:rPr>
            <w:noProof/>
            <w:webHidden/>
          </w:rPr>
          <w:instrText xml:space="preserve"> PAGEREF _Toc69879844 \h </w:instrText>
        </w:r>
        <w:r>
          <w:rPr>
            <w:noProof/>
            <w:webHidden/>
          </w:rPr>
        </w:r>
        <w:r>
          <w:rPr>
            <w:noProof/>
            <w:webHidden/>
          </w:rPr>
          <w:fldChar w:fldCharType="separate"/>
        </w:r>
        <w:r>
          <w:rPr>
            <w:noProof/>
            <w:webHidden/>
          </w:rPr>
          <w:t>878</w:t>
        </w:r>
        <w:r>
          <w:rPr>
            <w:noProof/>
            <w:webHidden/>
          </w:rPr>
          <w:fldChar w:fldCharType="end"/>
        </w:r>
      </w:hyperlink>
    </w:p>
    <w:p w:rsidR="00B42EF3" w:rsidRDefault="00B42EF3">
      <w:pPr>
        <w:pStyle w:val="TOC4"/>
        <w:rPr>
          <w:rFonts w:asciiTheme="minorHAnsi" w:eastAsiaTheme="minorEastAsia" w:hAnsiTheme="minorHAnsi" w:cstheme="minorBidi"/>
          <w:noProof/>
          <w:sz w:val="22"/>
          <w:szCs w:val="22"/>
        </w:rPr>
      </w:pPr>
      <w:hyperlink w:anchor="_Toc69879845" w:history="1">
        <w:r w:rsidRPr="00CC53E5">
          <w:rPr>
            <w:rStyle w:val="Hyperlink"/>
            <w:noProof/>
          </w:rPr>
          <w:t>3.6.1.2</w:t>
        </w:r>
        <w:r>
          <w:rPr>
            <w:rFonts w:asciiTheme="minorHAnsi" w:eastAsiaTheme="minorEastAsia" w:hAnsiTheme="minorHAnsi" w:cstheme="minorBidi"/>
            <w:noProof/>
            <w:sz w:val="22"/>
            <w:szCs w:val="22"/>
          </w:rPr>
          <w:tab/>
        </w:r>
        <w:r w:rsidRPr="00CC53E5">
          <w:rPr>
            <w:rStyle w:val="Hyperlink"/>
            <w:noProof/>
          </w:rPr>
          <w:t>ocx (ActiveX Control Data)</w:t>
        </w:r>
        <w:r>
          <w:rPr>
            <w:noProof/>
            <w:webHidden/>
          </w:rPr>
          <w:tab/>
        </w:r>
        <w:r>
          <w:rPr>
            <w:noProof/>
            <w:webHidden/>
          </w:rPr>
          <w:fldChar w:fldCharType="begin"/>
        </w:r>
        <w:r>
          <w:rPr>
            <w:noProof/>
            <w:webHidden/>
          </w:rPr>
          <w:instrText xml:space="preserve"> PAGEREF _Toc69879845 \h </w:instrText>
        </w:r>
        <w:r>
          <w:rPr>
            <w:noProof/>
            <w:webHidden/>
          </w:rPr>
        </w:r>
        <w:r>
          <w:rPr>
            <w:noProof/>
            <w:webHidden/>
          </w:rPr>
          <w:fldChar w:fldCharType="separate"/>
        </w:r>
        <w:r>
          <w:rPr>
            <w:noProof/>
            <w:webHidden/>
          </w:rPr>
          <w:t>879</w:t>
        </w:r>
        <w:r>
          <w:rPr>
            <w:noProof/>
            <w:webHidden/>
          </w:rPr>
          <w:fldChar w:fldCharType="end"/>
        </w:r>
      </w:hyperlink>
    </w:p>
    <w:p w:rsidR="00B42EF3" w:rsidRDefault="00B42EF3">
      <w:pPr>
        <w:pStyle w:val="TOC4"/>
        <w:rPr>
          <w:rFonts w:asciiTheme="minorHAnsi" w:eastAsiaTheme="minorEastAsia" w:hAnsiTheme="minorHAnsi" w:cstheme="minorBidi"/>
          <w:noProof/>
          <w:sz w:val="22"/>
          <w:szCs w:val="22"/>
        </w:rPr>
      </w:pPr>
      <w:hyperlink w:anchor="_Toc69879846" w:history="1">
        <w:r w:rsidRPr="00CC53E5">
          <w:rPr>
            <w:rStyle w:val="Hyperlink"/>
            <w:noProof/>
          </w:rPr>
          <w:t>3.6.1.3</w:t>
        </w:r>
        <w:r>
          <w:rPr>
            <w:rFonts w:asciiTheme="minorHAnsi" w:eastAsiaTheme="minorEastAsia" w:hAnsiTheme="minorHAnsi" w:cstheme="minorBidi"/>
            <w:noProof/>
            <w:sz w:val="22"/>
            <w:szCs w:val="22"/>
          </w:rPr>
          <w:tab/>
        </w:r>
        <w:r w:rsidRPr="00CC53E5">
          <w:rPr>
            <w:rStyle w:val="Hyperlink"/>
            <w:noProof/>
          </w:rPr>
          <w:t>ocxPr (Object Property)</w:t>
        </w:r>
        <w:r>
          <w:rPr>
            <w:noProof/>
            <w:webHidden/>
          </w:rPr>
          <w:tab/>
        </w:r>
        <w:r>
          <w:rPr>
            <w:noProof/>
            <w:webHidden/>
          </w:rPr>
          <w:fldChar w:fldCharType="begin"/>
        </w:r>
        <w:r>
          <w:rPr>
            <w:noProof/>
            <w:webHidden/>
          </w:rPr>
          <w:instrText xml:space="preserve"> PAGEREF _Toc69879846 \h </w:instrText>
        </w:r>
        <w:r>
          <w:rPr>
            <w:noProof/>
            <w:webHidden/>
          </w:rPr>
        </w:r>
        <w:r>
          <w:rPr>
            <w:noProof/>
            <w:webHidden/>
          </w:rPr>
          <w:fldChar w:fldCharType="separate"/>
        </w:r>
        <w:r>
          <w:rPr>
            <w:noProof/>
            <w:webHidden/>
          </w:rPr>
          <w:t>881</w:t>
        </w:r>
        <w:r>
          <w:rPr>
            <w:noProof/>
            <w:webHidden/>
          </w:rPr>
          <w:fldChar w:fldCharType="end"/>
        </w:r>
      </w:hyperlink>
    </w:p>
    <w:p w:rsidR="00B42EF3" w:rsidRDefault="00B42EF3">
      <w:pPr>
        <w:pStyle w:val="TOC4"/>
        <w:rPr>
          <w:rFonts w:asciiTheme="minorHAnsi" w:eastAsiaTheme="minorEastAsia" w:hAnsiTheme="minorHAnsi" w:cstheme="minorBidi"/>
          <w:noProof/>
          <w:sz w:val="22"/>
          <w:szCs w:val="22"/>
        </w:rPr>
      </w:pPr>
      <w:hyperlink w:anchor="_Toc69879847" w:history="1">
        <w:r w:rsidRPr="00CC53E5">
          <w:rPr>
            <w:rStyle w:val="Hyperlink"/>
            <w:noProof/>
          </w:rPr>
          <w:t>3.6.1.4</w:t>
        </w:r>
        <w:r>
          <w:rPr>
            <w:rFonts w:asciiTheme="minorHAnsi" w:eastAsiaTheme="minorEastAsia" w:hAnsiTheme="minorHAnsi" w:cstheme="minorBidi"/>
            <w:noProof/>
            <w:sz w:val="22"/>
            <w:szCs w:val="22"/>
          </w:rPr>
          <w:tab/>
        </w:r>
        <w:r w:rsidRPr="00CC53E5">
          <w:rPr>
            <w:rStyle w:val="Hyperlink"/>
            <w:noProof/>
          </w:rPr>
          <w:t>picture (Standard COM Picture Object)</w:t>
        </w:r>
        <w:r>
          <w:rPr>
            <w:noProof/>
            <w:webHidden/>
          </w:rPr>
          <w:tab/>
        </w:r>
        <w:r>
          <w:rPr>
            <w:noProof/>
            <w:webHidden/>
          </w:rPr>
          <w:fldChar w:fldCharType="begin"/>
        </w:r>
        <w:r>
          <w:rPr>
            <w:noProof/>
            <w:webHidden/>
          </w:rPr>
          <w:instrText xml:space="preserve"> PAGEREF _Toc69879847 \h </w:instrText>
        </w:r>
        <w:r>
          <w:rPr>
            <w:noProof/>
            <w:webHidden/>
          </w:rPr>
        </w:r>
        <w:r>
          <w:rPr>
            <w:noProof/>
            <w:webHidden/>
          </w:rPr>
          <w:fldChar w:fldCharType="separate"/>
        </w:r>
        <w:r>
          <w:rPr>
            <w:noProof/>
            <w:webHidden/>
          </w:rPr>
          <w:t>882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848" w:history="1">
        <w:r w:rsidRPr="00CC53E5">
          <w:rPr>
            <w:rStyle w:val="Hyperlink"/>
            <w:noProof/>
          </w:rPr>
          <w:t>3.6.2</w:t>
        </w:r>
        <w:r>
          <w:rPr>
            <w:rFonts w:asciiTheme="minorHAnsi" w:eastAsiaTheme="minorEastAsia" w:hAnsiTheme="minorHAnsi" w:cstheme="minorBidi"/>
            <w:noProof/>
            <w:sz w:val="22"/>
            <w:szCs w:val="22"/>
          </w:rPr>
          <w:tab/>
        </w:r>
        <w:r w:rsidRPr="00CC53E5">
          <w:rPr>
            <w:rStyle w:val="Hyperlink"/>
            <w:noProof/>
          </w:rPr>
          <w:t>Simple Types</w:t>
        </w:r>
        <w:r>
          <w:rPr>
            <w:noProof/>
            <w:webHidden/>
          </w:rPr>
          <w:tab/>
        </w:r>
        <w:r>
          <w:rPr>
            <w:noProof/>
            <w:webHidden/>
          </w:rPr>
          <w:fldChar w:fldCharType="begin"/>
        </w:r>
        <w:r>
          <w:rPr>
            <w:noProof/>
            <w:webHidden/>
          </w:rPr>
          <w:instrText xml:space="preserve"> PAGEREF _Toc69879848 \h </w:instrText>
        </w:r>
        <w:r>
          <w:rPr>
            <w:noProof/>
            <w:webHidden/>
          </w:rPr>
        </w:r>
        <w:r>
          <w:rPr>
            <w:noProof/>
            <w:webHidden/>
          </w:rPr>
          <w:fldChar w:fldCharType="separate"/>
        </w:r>
        <w:r>
          <w:rPr>
            <w:noProof/>
            <w:webHidden/>
          </w:rPr>
          <w:t>883</w:t>
        </w:r>
        <w:r>
          <w:rPr>
            <w:noProof/>
            <w:webHidden/>
          </w:rPr>
          <w:fldChar w:fldCharType="end"/>
        </w:r>
      </w:hyperlink>
    </w:p>
    <w:p w:rsidR="00B42EF3" w:rsidRDefault="00B42EF3">
      <w:pPr>
        <w:pStyle w:val="TOC4"/>
        <w:rPr>
          <w:rFonts w:asciiTheme="minorHAnsi" w:eastAsiaTheme="minorEastAsia" w:hAnsiTheme="minorHAnsi" w:cstheme="minorBidi"/>
          <w:noProof/>
          <w:sz w:val="22"/>
          <w:szCs w:val="22"/>
        </w:rPr>
      </w:pPr>
      <w:hyperlink w:anchor="_Toc69879849" w:history="1">
        <w:r w:rsidRPr="00CC53E5">
          <w:rPr>
            <w:rStyle w:val="Hyperlink"/>
            <w:noProof/>
          </w:rPr>
          <w:t>3.6.2.1</w:t>
        </w:r>
        <w:r>
          <w:rPr>
            <w:rFonts w:asciiTheme="minorHAnsi" w:eastAsiaTheme="minorEastAsia" w:hAnsiTheme="minorHAnsi" w:cstheme="minorBidi"/>
            <w:noProof/>
            <w:sz w:val="22"/>
            <w:szCs w:val="22"/>
          </w:rPr>
          <w:tab/>
        </w:r>
        <w:r w:rsidRPr="00CC53E5">
          <w:rPr>
            <w:rStyle w:val="Hyperlink"/>
            <w:noProof/>
          </w:rPr>
          <w:t>ST_Persistence (Control Persistence Attribute Contents)</w:t>
        </w:r>
        <w:r>
          <w:rPr>
            <w:noProof/>
            <w:webHidden/>
          </w:rPr>
          <w:tab/>
        </w:r>
        <w:r>
          <w:rPr>
            <w:noProof/>
            <w:webHidden/>
          </w:rPr>
          <w:fldChar w:fldCharType="begin"/>
        </w:r>
        <w:r>
          <w:rPr>
            <w:noProof/>
            <w:webHidden/>
          </w:rPr>
          <w:instrText xml:space="preserve"> PAGEREF _Toc69879849 \h </w:instrText>
        </w:r>
        <w:r>
          <w:rPr>
            <w:noProof/>
            <w:webHidden/>
          </w:rPr>
        </w:r>
        <w:r>
          <w:rPr>
            <w:noProof/>
            <w:webHidden/>
          </w:rPr>
          <w:fldChar w:fldCharType="separate"/>
        </w:r>
        <w:r>
          <w:rPr>
            <w:noProof/>
            <w:webHidden/>
          </w:rPr>
          <w:t>883</w:t>
        </w:r>
        <w:r>
          <w:rPr>
            <w:noProof/>
            <w:webHidden/>
          </w:rPr>
          <w:fldChar w:fldCharType="end"/>
        </w:r>
      </w:hyperlink>
    </w:p>
    <w:p w:rsidR="00B42EF3" w:rsidRDefault="00B42EF3">
      <w:pPr>
        <w:pStyle w:val="TOC4"/>
        <w:rPr>
          <w:rFonts w:asciiTheme="minorHAnsi" w:eastAsiaTheme="minorEastAsia" w:hAnsiTheme="minorHAnsi" w:cstheme="minorBidi"/>
          <w:noProof/>
          <w:sz w:val="22"/>
          <w:szCs w:val="22"/>
        </w:rPr>
      </w:pPr>
      <w:hyperlink w:anchor="_Toc69879850" w:history="1">
        <w:r w:rsidRPr="00CC53E5">
          <w:rPr>
            <w:rStyle w:val="Hyperlink"/>
            <w:noProof/>
          </w:rPr>
          <w:t>3.6.2.2</w:t>
        </w:r>
        <w:r>
          <w:rPr>
            <w:rFonts w:asciiTheme="minorHAnsi" w:eastAsiaTheme="minorEastAsia" w:hAnsiTheme="minorHAnsi" w:cstheme="minorBidi"/>
            <w:noProof/>
            <w:sz w:val="22"/>
            <w:szCs w:val="22"/>
          </w:rPr>
          <w:tab/>
        </w:r>
        <w:r w:rsidRPr="00CC53E5">
          <w:rPr>
            <w:rStyle w:val="Hyperlink"/>
            <w:noProof/>
          </w:rPr>
          <w:t>ST_String (String Type)</w:t>
        </w:r>
        <w:r>
          <w:rPr>
            <w:noProof/>
            <w:webHidden/>
          </w:rPr>
          <w:tab/>
        </w:r>
        <w:r>
          <w:rPr>
            <w:noProof/>
            <w:webHidden/>
          </w:rPr>
          <w:fldChar w:fldCharType="begin"/>
        </w:r>
        <w:r>
          <w:rPr>
            <w:noProof/>
            <w:webHidden/>
          </w:rPr>
          <w:instrText xml:space="preserve"> PAGEREF _Toc69879850 \h </w:instrText>
        </w:r>
        <w:r>
          <w:rPr>
            <w:noProof/>
            <w:webHidden/>
          </w:rPr>
        </w:r>
        <w:r>
          <w:rPr>
            <w:noProof/>
            <w:webHidden/>
          </w:rPr>
          <w:fldChar w:fldCharType="separate"/>
        </w:r>
        <w:r>
          <w:rPr>
            <w:noProof/>
            <w:webHidden/>
          </w:rPr>
          <w:t>884</w:t>
        </w:r>
        <w:r>
          <w:rPr>
            <w:noProof/>
            <w:webHidden/>
          </w:rPr>
          <w:fldChar w:fldCharType="end"/>
        </w:r>
      </w:hyperlink>
    </w:p>
    <w:p w:rsidR="00B42EF3" w:rsidRDefault="00B42EF3">
      <w:pPr>
        <w:pStyle w:val="TOC2"/>
        <w:rPr>
          <w:rFonts w:asciiTheme="minorHAnsi" w:eastAsiaTheme="minorEastAsia" w:hAnsiTheme="minorHAnsi" w:cstheme="minorBidi"/>
          <w:noProof/>
          <w:sz w:val="22"/>
          <w:szCs w:val="22"/>
        </w:rPr>
      </w:pPr>
      <w:hyperlink w:anchor="_Toc69879851" w:history="1">
        <w:r w:rsidRPr="00CC53E5">
          <w:rPr>
            <w:rStyle w:val="Hyperlink"/>
            <w:noProof/>
          </w:rPr>
          <w:t>3.7</w:t>
        </w:r>
        <w:r>
          <w:rPr>
            <w:rFonts w:asciiTheme="minorHAnsi" w:eastAsiaTheme="minorEastAsia" w:hAnsiTheme="minorHAnsi" w:cstheme="minorBidi"/>
            <w:noProof/>
            <w:sz w:val="22"/>
            <w:szCs w:val="22"/>
          </w:rPr>
          <w:tab/>
        </w:r>
        <w:r w:rsidRPr="00CC53E5">
          <w:rPr>
            <w:rStyle w:val="Hyperlink"/>
            <w:noProof/>
          </w:rPr>
          <w:t>Office Digital Signature</w:t>
        </w:r>
        <w:r>
          <w:rPr>
            <w:noProof/>
            <w:webHidden/>
          </w:rPr>
          <w:tab/>
        </w:r>
        <w:r>
          <w:rPr>
            <w:noProof/>
            <w:webHidden/>
          </w:rPr>
          <w:fldChar w:fldCharType="begin"/>
        </w:r>
        <w:r>
          <w:rPr>
            <w:noProof/>
            <w:webHidden/>
          </w:rPr>
          <w:instrText xml:space="preserve"> PAGEREF _Toc69879851 \h </w:instrText>
        </w:r>
        <w:r>
          <w:rPr>
            <w:noProof/>
            <w:webHidden/>
          </w:rPr>
        </w:r>
        <w:r>
          <w:rPr>
            <w:noProof/>
            <w:webHidden/>
          </w:rPr>
          <w:fldChar w:fldCharType="separate"/>
        </w:r>
        <w:r>
          <w:rPr>
            <w:noProof/>
            <w:webHidden/>
          </w:rPr>
          <w:t>884</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852" w:history="1">
        <w:r w:rsidRPr="00CC53E5">
          <w:rPr>
            <w:rStyle w:val="Hyperlink"/>
            <w:noProof/>
          </w:rPr>
          <w:t>3.7.1</w:t>
        </w:r>
        <w:r>
          <w:rPr>
            <w:rFonts w:asciiTheme="minorHAnsi" w:eastAsiaTheme="minorEastAsia" w:hAnsiTheme="minorHAnsi" w:cstheme="minorBidi"/>
            <w:noProof/>
            <w:sz w:val="22"/>
            <w:szCs w:val="22"/>
          </w:rPr>
          <w:tab/>
        </w:r>
        <w:r w:rsidRPr="00CC53E5">
          <w:rPr>
            <w:rStyle w:val="Hyperlink"/>
            <w:noProof/>
          </w:rPr>
          <w:t>Elements</w:t>
        </w:r>
        <w:r>
          <w:rPr>
            <w:noProof/>
            <w:webHidden/>
          </w:rPr>
          <w:tab/>
        </w:r>
        <w:r>
          <w:rPr>
            <w:noProof/>
            <w:webHidden/>
          </w:rPr>
          <w:fldChar w:fldCharType="begin"/>
        </w:r>
        <w:r>
          <w:rPr>
            <w:noProof/>
            <w:webHidden/>
          </w:rPr>
          <w:instrText xml:space="preserve"> PAGEREF _Toc69879852 \h </w:instrText>
        </w:r>
        <w:r>
          <w:rPr>
            <w:noProof/>
            <w:webHidden/>
          </w:rPr>
        </w:r>
        <w:r>
          <w:rPr>
            <w:noProof/>
            <w:webHidden/>
          </w:rPr>
          <w:fldChar w:fldCharType="separate"/>
        </w:r>
        <w:r>
          <w:rPr>
            <w:noProof/>
            <w:webHidden/>
          </w:rPr>
          <w:t>884</w:t>
        </w:r>
        <w:r>
          <w:rPr>
            <w:noProof/>
            <w:webHidden/>
          </w:rPr>
          <w:fldChar w:fldCharType="end"/>
        </w:r>
      </w:hyperlink>
    </w:p>
    <w:p w:rsidR="00B42EF3" w:rsidRDefault="00B42EF3">
      <w:pPr>
        <w:pStyle w:val="TOC4"/>
        <w:rPr>
          <w:rFonts w:asciiTheme="minorHAnsi" w:eastAsiaTheme="minorEastAsia" w:hAnsiTheme="minorHAnsi" w:cstheme="minorBidi"/>
          <w:noProof/>
          <w:sz w:val="22"/>
          <w:szCs w:val="22"/>
        </w:rPr>
      </w:pPr>
      <w:hyperlink w:anchor="_Toc69879853" w:history="1">
        <w:r w:rsidRPr="00CC53E5">
          <w:rPr>
            <w:rStyle w:val="Hyperlink"/>
            <w:noProof/>
          </w:rPr>
          <w:t>3.7.1.1</w:t>
        </w:r>
        <w:r>
          <w:rPr>
            <w:rFonts w:asciiTheme="minorHAnsi" w:eastAsiaTheme="minorEastAsia" w:hAnsiTheme="minorHAnsi" w:cstheme="minorBidi"/>
            <w:noProof/>
            <w:sz w:val="22"/>
            <w:szCs w:val="22"/>
          </w:rPr>
          <w:tab/>
        </w:r>
        <w:r w:rsidRPr="00CC53E5">
          <w:rPr>
            <w:rStyle w:val="Hyperlink"/>
            <w:noProof/>
          </w:rPr>
          <w:t>ApplicationVersion (Application Version)</w:t>
        </w:r>
        <w:r>
          <w:rPr>
            <w:noProof/>
            <w:webHidden/>
          </w:rPr>
          <w:tab/>
        </w:r>
        <w:r>
          <w:rPr>
            <w:noProof/>
            <w:webHidden/>
          </w:rPr>
          <w:fldChar w:fldCharType="begin"/>
        </w:r>
        <w:r>
          <w:rPr>
            <w:noProof/>
            <w:webHidden/>
          </w:rPr>
          <w:instrText xml:space="preserve"> PAGEREF _Toc69879853 \h </w:instrText>
        </w:r>
        <w:r>
          <w:rPr>
            <w:noProof/>
            <w:webHidden/>
          </w:rPr>
        </w:r>
        <w:r>
          <w:rPr>
            <w:noProof/>
            <w:webHidden/>
          </w:rPr>
          <w:fldChar w:fldCharType="separate"/>
        </w:r>
        <w:r>
          <w:rPr>
            <w:noProof/>
            <w:webHidden/>
          </w:rPr>
          <w:t>884</w:t>
        </w:r>
        <w:r>
          <w:rPr>
            <w:noProof/>
            <w:webHidden/>
          </w:rPr>
          <w:fldChar w:fldCharType="end"/>
        </w:r>
      </w:hyperlink>
    </w:p>
    <w:p w:rsidR="00B42EF3" w:rsidRDefault="00B42EF3">
      <w:pPr>
        <w:pStyle w:val="TOC4"/>
        <w:rPr>
          <w:rFonts w:asciiTheme="minorHAnsi" w:eastAsiaTheme="minorEastAsia" w:hAnsiTheme="minorHAnsi" w:cstheme="minorBidi"/>
          <w:noProof/>
          <w:sz w:val="22"/>
          <w:szCs w:val="22"/>
        </w:rPr>
      </w:pPr>
      <w:hyperlink w:anchor="_Toc69879854" w:history="1">
        <w:r w:rsidRPr="00CC53E5">
          <w:rPr>
            <w:rStyle w:val="Hyperlink"/>
            <w:noProof/>
          </w:rPr>
          <w:t>3.7.1.2</w:t>
        </w:r>
        <w:r>
          <w:rPr>
            <w:rFonts w:asciiTheme="minorHAnsi" w:eastAsiaTheme="minorEastAsia" w:hAnsiTheme="minorHAnsi" w:cstheme="minorBidi"/>
            <w:noProof/>
            <w:sz w:val="22"/>
            <w:szCs w:val="22"/>
          </w:rPr>
          <w:tab/>
        </w:r>
        <w:r w:rsidRPr="00CC53E5">
          <w:rPr>
            <w:rStyle w:val="Hyperlink"/>
            <w:noProof/>
          </w:rPr>
          <w:t>ColorDepth (Color Depth)</w:t>
        </w:r>
        <w:r>
          <w:rPr>
            <w:noProof/>
            <w:webHidden/>
          </w:rPr>
          <w:tab/>
        </w:r>
        <w:r>
          <w:rPr>
            <w:noProof/>
            <w:webHidden/>
          </w:rPr>
          <w:fldChar w:fldCharType="begin"/>
        </w:r>
        <w:r>
          <w:rPr>
            <w:noProof/>
            <w:webHidden/>
          </w:rPr>
          <w:instrText xml:space="preserve"> PAGEREF _Toc69879854 \h </w:instrText>
        </w:r>
        <w:r>
          <w:rPr>
            <w:noProof/>
            <w:webHidden/>
          </w:rPr>
        </w:r>
        <w:r>
          <w:rPr>
            <w:noProof/>
            <w:webHidden/>
          </w:rPr>
          <w:fldChar w:fldCharType="separate"/>
        </w:r>
        <w:r>
          <w:rPr>
            <w:noProof/>
            <w:webHidden/>
          </w:rPr>
          <w:t>885</w:t>
        </w:r>
        <w:r>
          <w:rPr>
            <w:noProof/>
            <w:webHidden/>
          </w:rPr>
          <w:fldChar w:fldCharType="end"/>
        </w:r>
      </w:hyperlink>
    </w:p>
    <w:p w:rsidR="00B42EF3" w:rsidRDefault="00B42EF3">
      <w:pPr>
        <w:pStyle w:val="TOC4"/>
        <w:rPr>
          <w:rFonts w:asciiTheme="minorHAnsi" w:eastAsiaTheme="minorEastAsia" w:hAnsiTheme="minorHAnsi" w:cstheme="minorBidi"/>
          <w:noProof/>
          <w:sz w:val="22"/>
          <w:szCs w:val="22"/>
        </w:rPr>
      </w:pPr>
      <w:hyperlink w:anchor="_Toc69879855" w:history="1">
        <w:r w:rsidRPr="00CC53E5">
          <w:rPr>
            <w:rStyle w:val="Hyperlink"/>
            <w:noProof/>
          </w:rPr>
          <w:t>3.7.1.3</w:t>
        </w:r>
        <w:r>
          <w:rPr>
            <w:rFonts w:asciiTheme="minorHAnsi" w:eastAsiaTheme="minorEastAsia" w:hAnsiTheme="minorHAnsi" w:cstheme="minorBidi"/>
            <w:noProof/>
            <w:sz w:val="22"/>
            <w:szCs w:val="22"/>
          </w:rPr>
          <w:tab/>
        </w:r>
        <w:r w:rsidRPr="00CC53E5">
          <w:rPr>
            <w:rStyle w:val="Hyperlink"/>
            <w:noProof/>
          </w:rPr>
          <w:t>DelegateSuggestedSigner (Delegate Suggested Signer)</w:t>
        </w:r>
        <w:r>
          <w:rPr>
            <w:noProof/>
            <w:webHidden/>
          </w:rPr>
          <w:tab/>
        </w:r>
        <w:r>
          <w:rPr>
            <w:noProof/>
            <w:webHidden/>
          </w:rPr>
          <w:fldChar w:fldCharType="begin"/>
        </w:r>
        <w:r>
          <w:rPr>
            <w:noProof/>
            <w:webHidden/>
          </w:rPr>
          <w:instrText xml:space="preserve"> PAGEREF _Toc69879855 \h </w:instrText>
        </w:r>
        <w:r>
          <w:rPr>
            <w:noProof/>
            <w:webHidden/>
          </w:rPr>
        </w:r>
        <w:r>
          <w:rPr>
            <w:noProof/>
            <w:webHidden/>
          </w:rPr>
          <w:fldChar w:fldCharType="separate"/>
        </w:r>
        <w:r>
          <w:rPr>
            <w:noProof/>
            <w:webHidden/>
          </w:rPr>
          <w:t>885</w:t>
        </w:r>
        <w:r>
          <w:rPr>
            <w:noProof/>
            <w:webHidden/>
          </w:rPr>
          <w:fldChar w:fldCharType="end"/>
        </w:r>
      </w:hyperlink>
    </w:p>
    <w:p w:rsidR="00B42EF3" w:rsidRDefault="00B42EF3">
      <w:pPr>
        <w:pStyle w:val="TOC4"/>
        <w:rPr>
          <w:rFonts w:asciiTheme="minorHAnsi" w:eastAsiaTheme="minorEastAsia" w:hAnsiTheme="minorHAnsi" w:cstheme="minorBidi"/>
          <w:noProof/>
          <w:sz w:val="22"/>
          <w:szCs w:val="22"/>
        </w:rPr>
      </w:pPr>
      <w:hyperlink w:anchor="_Toc69879856" w:history="1">
        <w:r w:rsidRPr="00CC53E5">
          <w:rPr>
            <w:rStyle w:val="Hyperlink"/>
            <w:noProof/>
          </w:rPr>
          <w:t>3.7.1.4</w:t>
        </w:r>
        <w:r>
          <w:rPr>
            <w:rFonts w:asciiTheme="minorHAnsi" w:eastAsiaTheme="minorEastAsia" w:hAnsiTheme="minorHAnsi" w:cstheme="minorBidi"/>
            <w:noProof/>
            <w:sz w:val="22"/>
            <w:szCs w:val="22"/>
          </w:rPr>
          <w:tab/>
        </w:r>
        <w:r w:rsidRPr="00CC53E5">
          <w:rPr>
            <w:rStyle w:val="Hyperlink"/>
            <w:noProof/>
          </w:rPr>
          <w:t>DelegateSuggestedSigner2 (Delegate Suggested Signer)</w:t>
        </w:r>
        <w:r>
          <w:rPr>
            <w:noProof/>
            <w:webHidden/>
          </w:rPr>
          <w:tab/>
        </w:r>
        <w:r>
          <w:rPr>
            <w:noProof/>
            <w:webHidden/>
          </w:rPr>
          <w:fldChar w:fldCharType="begin"/>
        </w:r>
        <w:r>
          <w:rPr>
            <w:noProof/>
            <w:webHidden/>
          </w:rPr>
          <w:instrText xml:space="preserve"> PAGEREF _Toc69879856 \h </w:instrText>
        </w:r>
        <w:r>
          <w:rPr>
            <w:noProof/>
            <w:webHidden/>
          </w:rPr>
        </w:r>
        <w:r>
          <w:rPr>
            <w:noProof/>
            <w:webHidden/>
          </w:rPr>
          <w:fldChar w:fldCharType="separate"/>
        </w:r>
        <w:r>
          <w:rPr>
            <w:noProof/>
            <w:webHidden/>
          </w:rPr>
          <w:t>885</w:t>
        </w:r>
        <w:r>
          <w:rPr>
            <w:noProof/>
            <w:webHidden/>
          </w:rPr>
          <w:fldChar w:fldCharType="end"/>
        </w:r>
      </w:hyperlink>
    </w:p>
    <w:p w:rsidR="00B42EF3" w:rsidRDefault="00B42EF3">
      <w:pPr>
        <w:pStyle w:val="TOC4"/>
        <w:rPr>
          <w:rFonts w:asciiTheme="minorHAnsi" w:eastAsiaTheme="minorEastAsia" w:hAnsiTheme="minorHAnsi" w:cstheme="minorBidi"/>
          <w:noProof/>
          <w:sz w:val="22"/>
          <w:szCs w:val="22"/>
        </w:rPr>
      </w:pPr>
      <w:hyperlink w:anchor="_Toc69879857" w:history="1">
        <w:r w:rsidRPr="00CC53E5">
          <w:rPr>
            <w:rStyle w:val="Hyperlink"/>
            <w:noProof/>
          </w:rPr>
          <w:t>3.7.1.5</w:t>
        </w:r>
        <w:r>
          <w:rPr>
            <w:rFonts w:asciiTheme="minorHAnsi" w:eastAsiaTheme="minorEastAsia" w:hAnsiTheme="minorHAnsi" w:cstheme="minorBidi"/>
            <w:noProof/>
            <w:sz w:val="22"/>
            <w:szCs w:val="22"/>
          </w:rPr>
          <w:tab/>
        </w:r>
        <w:r w:rsidRPr="00CC53E5">
          <w:rPr>
            <w:rStyle w:val="Hyperlink"/>
            <w:noProof/>
          </w:rPr>
          <w:t>DelegateSuggestedSignerEmail (Delegate Suggested Signer E-mail Address)</w:t>
        </w:r>
        <w:r>
          <w:rPr>
            <w:noProof/>
            <w:webHidden/>
          </w:rPr>
          <w:tab/>
        </w:r>
        <w:r>
          <w:rPr>
            <w:noProof/>
            <w:webHidden/>
          </w:rPr>
          <w:fldChar w:fldCharType="begin"/>
        </w:r>
        <w:r>
          <w:rPr>
            <w:noProof/>
            <w:webHidden/>
          </w:rPr>
          <w:instrText xml:space="preserve"> PAGEREF _Toc69879857 \h </w:instrText>
        </w:r>
        <w:r>
          <w:rPr>
            <w:noProof/>
            <w:webHidden/>
          </w:rPr>
        </w:r>
        <w:r>
          <w:rPr>
            <w:noProof/>
            <w:webHidden/>
          </w:rPr>
          <w:fldChar w:fldCharType="separate"/>
        </w:r>
        <w:r>
          <w:rPr>
            <w:noProof/>
            <w:webHidden/>
          </w:rPr>
          <w:t>886</w:t>
        </w:r>
        <w:r>
          <w:rPr>
            <w:noProof/>
            <w:webHidden/>
          </w:rPr>
          <w:fldChar w:fldCharType="end"/>
        </w:r>
      </w:hyperlink>
    </w:p>
    <w:p w:rsidR="00B42EF3" w:rsidRDefault="00B42EF3">
      <w:pPr>
        <w:pStyle w:val="TOC4"/>
        <w:rPr>
          <w:rFonts w:asciiTheme="minorHAnsi" w:eastAsiaTheme="minorEastAsia" w:hAnsiTheme="minorHAnsi" w:cstheme="minorBidi"/>
          <w:noProof/>
          <w:sz w:val="22"/>
          <w:szCs w:val="22"/>
        </w:rPr>
      </w:pPr>
      <w:hyperlink w:anchor="_Toc69879858" w:history="1">
        <w:r w:rsidRPr="00CC53E5">
          <w:rPr>
            <w:rStyle w:val="Hyperlink"/>
            <w:noProof/>
          </w:rPr>
          <w:t>3.7.1.6</w:t>
        </w:r>
        <w:r>
          <w:rPr>
            <w:rFonts w:asciiTheme="minorHAnsi" w:eastAsiaTheme="minorEastAsia" w:hAnsiTheme="minorHAnsi" w:cstheme="minorBidi"/>
            <w:noProof/>
            <w:sz w:val="22"/>
            <w:szCs w:val="22"/>
          </w:rPr>
          <w:tab/>
        </w:r>
        <w:r w:rsidRPr="00CC53E5">
          <w:rPr>
            <w:rStyle w:val="Hyperlink"/>
            <w:noProof/>
          </w:rPr>
          <w:t>HorizontalResolution (Horizontal Resolution)</w:t>
        </w:r>
        <w:r>
          <w:rPr>
            <w:noProof/>
            <w:webHidden/>
          </w:rPr>
          <w:tab/>
        </w:r>
        <w:r>
          <w:rPr>
            <w:noProof/>
            <w:webHidden/>
          </w:rPr>
          <w:fldChar w:fldCharType="begin"/>
        </w:r>
        <w:r>
          <w:rPr>
            <w:noProof/>
            <w:webHidden/>
          </w:rPr>
          <w:instrText xml:space="preserve"> PAGEREF _Toc69879858 \h </w:instrText>
        </w:r>
        <w:r>
          <w:rPr>
            <w:noProof/>
            <w:webHidden/>
          </w:rPr>
        </w:r>
        <w:r>
          <w:rPr>
            <w:noProof/>
            <w:webHidden/>
          </w:rPr>
          <w:fldChar w:fldCharType="separate"/>
        </w:r>
        <w:r>
          <w:rPr>
            <w:noProof/>
            <w:webHidden/>
          </w:rPr>
          <w:t>886</w:t>
        </w:r>
        <w:r>
          <w:rPr>
            <w:noProof/>
            <w:webHidden/>
          </w:rPr>
          <w:fldChar w:fldCharType="end"/>
        </w:r>
      </w:hyperlink>
    </w:p>
    <w:p w:rsidR="00B42EF3" w:rsidRDefault="00B42EF3">
      <w:pPr>
        <w:pStyle w:val="TOC4"/>
        <w:rPr>
          <w:rFonts w:asciiTheme="minorHAnsi" w:eastAsiaTheme="minorEastAsia" w:hAnsiTheme="minorHAnsi" w:cstheme="minorBidi"/>
          <w:noProof/>
          <w:sz w:val="22"/>
          <w:szCs w:val="22"/>
        </w:rPr>
      </w:pPr>
      <w:hyperlink w:anchor="_Toc69879859" w:history="1">
        <w:r w:rsidRPr="00CC53E5">
          <w:rPr>
            <w:rStyle w:val="Hyperlink"/>
            <w:noProof/>
          </w:rPr>
          <w:t>3.7.1.7</w:t>
        </w:r>
        <w:r>
          <w:rPr>
            <w:rFonts w:asciiTheme="minorHAnsi" w:eastAsiaTheme="minorEastAsia" w:hAnsiTheme="minorHAnsi" w:cstheme="minorBidi"/>
            <w:noProof/>
            <w:sz w:val="22"/>
            <w:szCs w:val="22"/>
          </w:rPr>
          <w:tab/>
        </w:r>
        <w:r w:rsidRPr="00CC53E5">
          <w:rPr>
            <w:rStyle w:val="Hyperlink"/>
            <w:noProof/>
          </w:rPr>
          <w:t>ManifestHashAlgorithm (Manifest Hash Algorithm)</w:t>
        </w:r>
        <w:r>
          <w:rPr>
            <w:noProof/>
            <w:webHidden/>
          </w:rPr>
          <w:tab/>
        </w:r>
        <w:r>
          <w:rPr>
            <w:noProof/>
            <w:webHidden/>
          </w:rPr>
          <w:fldChar w:fldCharType="begin"/>
        </w:r>
        <w:r>
          <w:rPr>
            <w:noProof/>
            <w:webHidden/>
          </w:rPr>
          <w:instrText xml:space="preserve"> PAGEREF _Toc69879859 \h </w:instrText>
        </w:r>
        <w:r>
          <w:rPr>
            <w:noProof/>
            <w:webHidden/>
          </w:rPr>
        </w:r>
        <w:r>
          <w:rPr>
            <w:noProof/>
            <w:webHidden/>
          </w:rPr>
          <w:fldChar w:fldCharType="separate"/>
        </w:r>
        <w:r>
          <w:rPr>
            <w:noProof/>
            <w:webHidden/>
          </w:rPr>
          <w:t>886</w:t>
        </w:r>
        <w:r>
          <w:rPr>
            <w:noProof/>
            <w:webHidden/>
          </w:rPr>
          <w:fldChar w:fldCharType="end"/>
        </w:r>
      </w:hyperlink>
    </w:p>
    <w:p w:rsidR="00B42EF3" w:rsidRDefault="00B42EF3">
      <w:pPr>
        <w:pStyle w:val="TOC4"/>
        <w:rPr>
          <w:rFonts w:asciiTheme="minorHAnsi" w:eastAsiaTheme="minorEastAsia" w:hAnsiTheme="minorHAnsi" w:cstheme="minorBidi"/>
          <w:noProof/>
          <w:sz w:val="22"/>
          <w:szCs w:val="22"/>
        </w:rPr>
      </w:pPr>
      <w:hyperlink w:anchor="_Toc69879860" w:history="1">
        <w:r w:rsidRPr="00CC53E5">
          <w:rPr>
            <w:rStyle w:val="Hyperlink"/>
            <w:noProof/>
          </w:rPr>
          <w:t>3.7.1.8</w:t>
        </w:r>
        <w:r>
          <w:rPr>
            <w:rFonts w:asciiTheme="minorHAnsi" w:eastAsiaTheme="minorEastAsia" w:hAnsiTheme="minorHAnsi" w:cstheme="minorBidi"/>
            <w:noProof/>
            <w:sz w:val="22"/>
            <w:szCs w:val="22"/>
          </w:rPr>
          <w:tab/>
        </w:r>
        <w:r w:rsidRPr="00CC53E5">
          <w:rPr>
            <w:rStyle w:val="Hyperlink"/>
            <w:noProof/>
          </w:rPr>
          <w:t>Monitors (Monitor Count)</w:t>
        </w:r>
        <w:r>
          <w:rPr>
            <w:noProof/>
            <w:webHidden/>
          </w:rPr>
          <w:tab/>
        </w:r>
        <w:r>
          <w:rPr>
            <w:noProof/>
            <w:webHidden/>
          </w:rPr>
          <w:fldChar w:fldCharType="begin"/>
        </w:r>
        <w:r>
          <w:rPr>
            <w:noProof/>
            <w:webHidden/>
          </w:rPr>
          <w:instrText xml:space="preserve"> PAGEREF _Toc69879860 \h </w:instrText>
        </w:r>
        <w:r>
          <w:rPr>
            <w:noProof/>
            <w:webHidden/>
          </w:rPr>
        </w:r>
        <w:r>
          <w:rPr>
            <w:noProof/>
            <w:webHidden/>
          </w:rPr>
          <w:fldChar w:fldCharType="separate"/>
        </w:r>
        <w:r>
          <w:rPr>
            <w:noProof/>
            <w:webHidden/>
          </w:rPr>
          <w:t>886</w:t>
        </w:r>
        <w:r>
          <w:rPr>
            <w:noProof/>
            <w:webHidden/>
          </w:rPr>
          <w:fldChar w:fldCharType="end"/>
        </w:r>
      </w:hyperlink>
    </w:p>
    <w:p w:rsidR="00B42EF3" w:rsidRDefault="00B42EF3">
      <w:pPr>
        <w:pStyle w:val="TOC4"/>
        <w:rPr>
          <w:rFonts w:asciiTheme="minorHAnsi" w:eastAsiaTheme="minorEastAsia" w:hAnsiTheme="minorHAnsi" w:cstheme="minorBidi"/>
          <w:noProof/>
          <w:sz w:val="22"/>
          <w:szCs w:val="22"/>
        </w:rPr>
      </w:pPr>
      <w:hyperlink w:anchor="_Toc69879861" w:history="1">
        <w:r w:rsidRPr="00CC53E5">
          <w:rPr>
            <w:rStyle w:val="Hyperlink"/>
            <w:noProof/>
          </w:rPr>
          <w:t>3.7.1.9</w:t>
        </w:r>
        <w:r>
          <w:rPr>
            <w:rFonts w:asciiTheme="minorHAnsi" w:eastAsiaTheme="minorEastAsia" w:hAnsiTheme="minorHAnsi" w:cstheme="minorBidi"/>
            <w:noProof/>
            <w:sz w:val="22"/>
            <w:szCs w:val="22"/>
          </w:rPr>
          <w:tab/>
        </w:r>
        <w:r w:rsidRPr="00CC53E5">
          <w:rPr>
            <w:rStyle w:val="Hyperlink"/>
            <w:noProof/>
          </w:rPr>
          <w:t>OfficeVersion (Office Version)</w:t>
        </w:r>
        <w:r>
          <w:rPr>
            <w:noProof/>
            <w:webHidden/>
          </w:rPr>
          <w:tab/>
        </w:r>
        <w:r>
          <w:rPr>
            <w:noProof/>
            <w:webHidden/>
          </w:rPr>
          <w:fldChar w:fldCharType="begin"/>
        </w:r>
        <w:r>
          <w:rPr>
            <w:noProof/>
            <w:webHidden/>
          </w:rPr>
          <w:instrText xml:space="preserve"> PAGEREF _Toc69879861 \h </w:instrText>
        </w:r>
        <w:r>
          <w:rPr>
            <w:noProof/>
            <w:webHidden/>
          </w:rPr>
        </w:r>
        <w:r>
          <w:rPr>
            <w:noProof/>
            <w:webHidden/>
          </w:rPr>
          <w:fldChar w:fldCharType="separate"/>
        </w:r>
        <w:r>
          <w:rPr>
            <w:noProof/>
            <w:webHidden/>
          </w:rPr>
          <w:t>887</w:t>
        </w:r>
        <w:r>
          <w:rPr>
            <w:noProof/>
            <w:webHidden/>
          </w:rPr>
          <w:fldChar w:fldCharType="end"/>
        </w:r>
      </w:hyperlink>
    </w:p>
    <w:p w:rsidR="00B42EF3" w:rsidRDefault="00B42EF3">
      <w:pPr>
        <w:pStyle w:val="TOC4"/>
        <w:rPr>
          <w:rFonts w:asciiTheme="minorHAnsi" w:eastAsiaTheme="minorEastAsia" w:hAnsiTheme="minorHAnsi" w:cstheme="minorBidi"/>
          <w:noProof/>
          <w:sz w:val="22"/>
          <w:szCs w:val="22"/>
        </w:rPr>
      </w:pPr>
      <w:hyperlink w:anchor="_Toc69879862" w:history="1">
        <w:r w:rsidRPr="00CC53E5">
          <w:rPr>
            <w:rStyle w:val="Hyperlink"/>
            <w:noProof/>
          </w:rPr>
          <w:t>3.7.1.10</w:t>
        </w:r>
        <w:r>
          <w:rPr>
            <w:rFonts w:asciiTheme="minorHAnsi" w:eastAsiaTheme="minorEastAsia" w:hAnsiTheme="minorHAnsi" w:cstheme="minorBidi"/>
            <w:noProof/>
            <w:sz w:val="22"/>
            <w:szCs w:val="22"/>
          </w:rPr>
          <w:tab/>
        </w:r>
        <w:r w:rsidRPr="00CC53E5">
          <w:rPr>
            <w:rStyle w:val="Hyperlink"/>
            <w:noProof/>
          </w:rPr>
          <w:t>SetupID (Setup ID)</w:t>
        </w:r>
        <w:r>
          <w:rPr>
            <w:noProof/>
            <w:webHidden/>
          </w:rPr>
          <w:tab/>
        </w:r>
        <w:r>
          <w:rPr>
            <w:noProof/>
            <w:webHidden/>
          </w:rPr>
          <w:fldChar w:fldCharType="begin"/>
        </w:r>
        <w:r>
          <w:rPr>
            <w:noProof/>
            <w:webHidden/>
          </w:rPr>
          <w:instrText xml:space="preserve"> PAGEREF _Toc69879862 \h </w:instrText>
        </w:r>
        <w:r>
          <w:rPr>
            <w:noProof/>
            <w:webHidden/>
          </w:rPr>
        </w:r>
        <w:r>
          <w:rPr>
            <w:noProof/>
            <w:webHidden/>
          </w:rPr>
          <w:fldChar w:fldCharType="separate"/>
        </w:r>
        <w:r>
          <w:rPr>
            <w:noProof/>
            <w:webHidden/>
          </w:rPr>
          <w:t>887</w:t>
        </w:r>
        <w:r>
          <w:rPr>
            <w:noProof/>
            <w:webHidden/>
          </w:rPr>
          <w:fldChar w:fldCharType="end"/>
        </w:r>
      </w:hyperlink>
    </w:p>
    <w:p w:rsidR="00B42EF3" w:rsidRDefault="00B42EF3">
      <w:pPr>
        <w:pStyle w:val="TOC4"/>
        <w:rPr>
          <w:rFonts w:asciiTheme="minorHAnsi" w:eastAsiaTheme="minorEastAsia" w:hAnsiTheme="minorHAnsi" w:cstheme="minorBidi"/>
          <w:noProof/>
          <w:sz w:val="22"/>
          <w:szCs w:val="22"/>
        </w:rPr>
      </w:pPr>
      <w:hyperlink w:anchor="_Toc69879863" w:history="1">
        <w:r w:rsidRPr="00CC53E5">
          <w:rPr>
            <w:rStyle w:val="Hyperlink"/>
            <w:noProof/>
          </w:rPr>
          <w:t>3.7.1.11</w:t>
        </w:r>
        <w:r>
          <w:rPr>
            <w:rFonts w:asciiTheme="minorHAnsi" w:eastAsiaTheme="minorEastAsia" w:hAnsiTheme="minorHAnsi" w:cstheme="minorBidi"/>
            <w:noProof/>
            <w:sz w:val="22"/>
            <w:szCs w:val="22"/>
          </w:rPr>
          <w:tab/>
        </w:r>
        <w:r w:rsidRPr="00CC53E5">
          <w:rPr>
            <w:rStyle w:val="Hyperlink"/>
            <w:noProof/>
          </w:rPr>
          <w:t>SignatureComments (Signature Comments)</w:t>
        </w:r>
        <w:r>
          <w:rPr>
            <w:noProof/>
            <w:webHidden/>
          </w:rPr>
          <w:tab/>
        </w:r>
        <w:r>
          <w:rPr>
            <w:noProof/>
            <w:webHidden/>
          </w:rPr>
          <w:fldChar w:fldCharType="begin"/>
        </w:r>
        <w:r>
          <w:rPr>
            <w:noProof/>
            <w:webHidden/>
          </w:rPr>
          <w:instrText xml:space="preserve"> PAGEREF _Toc69879863 \h </w:instrText>
        </w:r>
        <w:r>
          <w:rPr>
            <w:noProof/>
            <w:webHidden/>
          </w:rPr>
        </w:r>
        <w:r>
          <w:rPr>
            <w:noProof/>
            <w:webHidden/>
          </w:rPr>
          <w:fldChar w:fldCharType="separate"/>
        </w:r>
        <w:r>
          <w:rPr>
            <w:noProof/>
            <w:webHidden/>
          </w:rPr>
          <w:t>888</w:t>
        </w:r>
        <w:r>
          <w:rPr>
            <w:noProof/>
            <w:webHidden/>
          </w:rPr>
          <w:fldChar w:fldCharType="end"/>
        </w:r>
      </w:hyperlink>
    </w:p>
    <w:p w:rsidR="00B42EF3" w:rsidRDefault="00B42EF3">
      <w:pPr>
        <w:pStyle w:val="TOC4"/>
        <w:rPr>
          <w:rFonts w:asciiTheme="minorHAnsi" w:eastAsiaTheme="minorEastAsia" w:hAnsiTheme="minorHAnsi" w:cstheme="minorBidi"/>
          <w:noProof/>
          <w:sz w:val="22"/>
          <w:szCs w:val="22"/>
        </w:rPr>
      </w:pPr>
      <w:hyperlink w:anchor="_Toc69879864" w:history="1">
        <w:r w:rsidRPr="00CC53E5">
          <w:rPr>
            <w:rStyle w:val="Hyperlink"/>
            <w:noProof/>
          </w:rPr>
          <w:t>3.7.1.12</w:t>
        </w:r>
        <w:r>
          <w:rPr>
            <w:rFonts w:asciiTheme="minorHAnsi" w:eastAsiaTheme="minorEastAsia" w:hAnsiTheme="minorHAnsi" w:cstheme="minorBidi"/>
            <w:noProof/>
            <w:sz w:val="22"/>
            <w:szCs w:val="22"/>
          </w:rPr>
          <w:tab/>
        </w:r>
        <w:r w:rsidRPr="00CC53E5">
          <w:rPr>
            <w:rStyle w:val="Hyperlink"/>
            <w:noProof/>
          </w:rPr>
          <w:t>SignatureImage (Signature Image)</w:t>
        </w:r>
        <w:r>
          <w:rPr>
            <w:noProof/>
            <w:webHidden/>
          </w:rPr>
          <w:tab/>
        </w:r>
        <w:r>
          <w:rPr>
            <w:noProof/>
            <w:webHidden/>
          </w:rPr>
          <w:fldChar w:fldCharType="begin"/>
        </w:r>
        <w:r>
          <w:rPr>
            <w:noProof/>
            <w:webHidden/>
          </w:rPr>
          <w:instrText xml:space="preserve"> PAGEREF _Toc69879864 \h </w:instrText>
        </w:r>
        <w:r>
          <w:rPr>
            <w:noProof/>
            <w:webHidden/>
          </w:rPr>
        </w:r>
        <w:r>
          <w:rPr>
            <w:noProof/>
            <w:webHidden/>
          </w:rPr>
          <w:fldChar w:fldCharType="separate"/>
        </w:r>
        <w:r>
          <w:rPr>
            <w:noProof/>
            <w:webHidden/>
          </w:rPr>
          <w:t>888</w:t>
        </w:r>
        <w:r>
          <w:rPr>
            <w:noProof/>
            <w:webHidden/>
          </w:rPr>
          <w:fldChar w:fldCharType="end"/>
        </w:r>
      </w:hyperlink>
    </w:p>
    <w:p w:rsidR="00B42EF3" w:rsidRDefault="00B42EF3">
      <w:pPr>
        <w:pStyle w:val="TOC4"/>
        <w:rPr>
          <w:rFonts w:asciiTheme="minorHAnsi" w:eastAsiaTheme="minorEastAsia" w:hAnsiTheme="minorHAnsi" w:cstheme="minorBidi"/>
          <w:noProof/>
          <w:sz w:val="22"/>
          <w:szCs w:val="22"/>
        </w:rPr>
      </w:pPr>
      <w:hyperlink w:anchor="_Toc69879865" w:history="1">
        <w:r w:rsidRPr="00CC53E5">
          <w:rPr>
            <w:rStyle w:val="Hyperlink"/>
            <w:noProof/>
          </w:rPr>
          <w:t>3.7.1.13</w:t>
        </w:r>
        <w:r>
          <w:rPr>
            <w:rFonts w:asciiTheme="minorHAnsi" w:eastAsiaTheme="minorEastAsia" w:hAnsiTheme="minorHAnsi" w:cstheme="minorBidi"/>
            <w:noProof/>
            <w:sz w:val="22"/>
            <w:szCs w:val="22"/>
          </w:rPr>
          <w:tab/>
        </w:r>
        <w:r w:rsidRPr="00CC53E5">
          <w:rPr>
            <w:rStyle w:val="Hyperlink"/>
            <w:noProof/>
          </w:rPr>
          <w:t>SignatureInfoV1 (Office Digital Signature V1 Info)</w:t>
        </w:r>
        <w:r>
          <w:rPr>
            <w:noProof/>
            <w:webHidden/>
          </w:rPr>
          <w:tab/>
        </w:r>
        <w:r>
          <w:rPr>
            <w:noProof/>
            <w:webHidden/>
          </w:rPr>
          <w:fldChar w:fldCharType="begin"/>
        </w:r>
        <w:r>
          <w:rPr>
            <w:noProof/>
            <w:webHidden/>
          </w:rPr>
          <w:instrText xml:space="preserve"> PAGEREF _Toc69879865 \h </w:instrText>
        </w:r>
        <w:r>
          <w:rPr>
            <w:noProof/>
            <w:webHidden/>
          </w:rPr>
        </w:r>
        <w:r>
          <w:rPr>
            <w:noProof/>
            <w:webHidden/>
          </w:rPr>
          <w:fldChar w:fldCharType="separate"/>
        </w:r>
        <w:r>
          <w:rPr>
            <w:noProof/>
            <w:webHidden/>
          </w:rPr>
          <w:t>888</w:t>
        </w:r>
        <w:r>
          <w:rPr>
            <w:noProof/>
            <w:webHidden/>
          </w:rPr>
          <w:fldChar w:fldCharType="end"/>
        </w:r>
      </w:hyperlink>
    </w:p>
    <w:p w:rsidR="00B42EF3" w:rsidRDefault="00B42EF3">
      <w:pPr>
        <w:pStyle w:val="TOC4"/>
        <w:rPr>
          <w:rFonts w:asciiTheme="minorHAnsi" w:eastAsiaTheme="minorEastAsia" w:hAnsiTheme="minorHAnsi" w:cstheme="minorBidi"/>
          <w:noProof/>
          <w:sz w:val="22"/>
          <w:szCs w:val="22"/>
        </w:rPr>
      </w:pPr>
      <w:hyperlink w:anchor="_Toc69879866" w:history="1">
        <w:r w:rsidRPr="00CC53E5">
          <w:rPr>
            <w:rStyle w:val="Hyperlink"/>
            <w:noProof/>
          </w:rPr>
          <w:t>3.7.1.14</w:t>
        </w:r>
        <w:r>
          <w:rPr>
            <w:rFonts w:asciiTheme="minorHAnsi" w:eastAsiaTheme="minorEastAsia" w:hAnsiTheme="minorHAnsi" w:cstheme="minorBidi"/>
            <w:noProof/>
            <w:sz w:val="22"/>
            <w:szCs w:val="22"/>
          </w:rPr>
          <w:tab/>
        </w:r>
        <w:r w:rsidRPr="00CC53E5">
          <w:rPr>
            <w:rStyle w:val="Hyperlink"/>
            <w:noProof/>
          </w:rPr>
          <w:t>SignatureProviderDetails (Signature Provider Details)</w:t>
        </w:r>
        <w:r>
          <w:rPr>
            <w:noProof/>
            <w:webHidden/>
          </w:rPr>
          <w:tab/>
        </w:r>
        <w:r>
          <w:rPr>
            <w:noProof/>
            <w:webHidden/>
          </w:rPr>
          <w:fldChar w:fldCharType="begin"/>
        </w:r>
        <w:r>
          <w:rPr>
            <w:noProof/>
            <w:webHidden/>
          </w:rPr>
          <w:instrText xml:space="preserve"> PAGEREF _Toc69879866 \h </w:instrText>
        </w:r>
        <w:r>
          <w:rPr>
            <w:noProof/>
            <w:webHidden/>
          </w:rPr>
        </w:r>
        <w:r>
          <w:rPr>
            <w:noProof/>
            <w:webHidden/>
          </w:rPr>
          <w:fldChar w:fldCharType="separate"/>
        </w:r>
        <w:r>
          <w:rPr>
            <w:noProof/>
            <w:webHidden/>
          </w:rPr>
          <w:t>889</w:t>
        </w:r>
        <w:r>
          <w:rPr>
            <w:noProof/>
            <w:webHidden/>
          </w:rPr>
          <w:fldChar w:fldCharType="end"/>
        </w:r>
      </w:hyperlink>
    </w:p>
    <w:p w:rsidR="00B42EF3" w:rsidRDefault="00B42EF3">
      <w:pPr>
        <w:pStyle w:val="TOC4"/>
        <w:rPr>
          <w:rFonts w:asciiTheme="minorHAnsi" w:eastAsiaTheme="minorEastAsia" w:hAnsiTheme="minorHAnsi" w:cstheme="minorBidi"/>
          <w:noProof/>
          <w:sz w:val="22"/>
          <w:szCs w:val="22"/>
        </w:rPr>
      </w:pPr>
      <w:hyperlink w:anchor="_Toc69879867" w:history="1">
        <w:r w:rsidRPr="00CC53E5">
          <w:rPr>
            <w:rStyle w:val="Hyperlink"/>
            <w:noProof/>
          </w:rPr>
          <w:t>3.7.1.15</w:t>
        </w:r>
        <w:r>
          <w:rPr>
            <w:rFonts w:asciiTheme="minorHAnsi" w:eastAsiaTheme="minorEastAsia" w:hAnsiTheme="minorHAnsi" w:cstheme="minorBidi"/>
            <w:noProof/>
            <w:sz w:val="22"/>
            <w:szCs w:val="22"/>
          </w:rPr>
          <w:tab/>
        </w:r>
        <w:r w:rsidRPr="00CC53E5">
          <w:rPr>
            <w:rStyle w:val="Hyperlink"/>
            <w:noProof/>
          </w:rPr>
          <w:t>SignatureProviderId (Signature Provider ID)</w:t>
        </w:r>
        <w:r>
          <w:rPr>
            <w:noProof/>
            <w:webHidden/>
          </w:rPr>
          <w:tab/>
        </w:r>
        <w:r>
          <w:rPr>
            <w:noProof/>
            <w:webHidden/>
          </w:rPr>
          <w:fldChar w:fldCharType="begin"/>
        </w:r>
        <w:r>
          <w:rPr>
            <w:noProof/>
            <w:webHidden/>
          </w:rPr>
          <w:instrText xml:space="preserve"> PAGEREF _Toc69879867 \h </w:instrText>
        </w:r>
        <w:r>
          <w:rPr>
            <w:noProof/>
            <w:webHidden/>
          </w:rPr>
        </w:r>
        <w:r>
          <w:rPr>
            <w:noProof/>
            <w:webHidden/>
          </w:rPr>
          <w:fldChar w:fldCharType="separate"/>
        </w:r>
        <w:r>
          <w:rPr>
            <w:noProof/>
            <w:webHidden/>
          </w:rPr>
          <w:t>890</w:t>
        </w:r>
        <w:r>
          <w:rPr>
            <w:noProof/>
            <w:webHidden/>
          </w:rPr>
          <w:fldChar w:fldCharType="end"/>
        </w:r>
      </w:hyperlink>
    </w:p>
    <w:p w:rsidR="00B42EF3" w:rsidRDefault="00B42EF3">
      <w:pPr>
        <w:pStyle w:val="TOC4"/>
        <w:rPr>
          <w:rFonts w:asciiTheme="minorHAnsi" w:eastAsiaTheme="minorEastAsia" w:hAnsiTheme="minorHAnsi" w:cstheme="minorBidi"/>
          <w:noProof/>
          <w:sz w:val="22"/>
          <w:szCs w:val="22"/>
        </w:rPr>
      </w:pPr>
      <w:hyperlink w:anchor="_Toc69879868" w:history="1">
        <w:r w:rsidRPr="00CC53E5">
          <w:rPr>
            <w:rStyle w:val="Hyperlink"/>
            <w:noProof/>
          </w:rPr>
          <w:t>3.7.1.16</w:t>
        </w:r>
        <w:r>
          <w:rPr>
            <w:rFonts w:asciiTheme="minorHAnsi" w:eastAsiaTheme="minorEastAsia" w:hAnsiTheme="minorHAnsi" w:cstheme="minorBidi"/>
            <w:noProof/>
            <w:sz w:val="22"/>
            <w:szCs w:val="22"/>
          </w:rPr>
          <w:tab/>
        </w:r>
        <w:r w:rsidRPr="00CC53E5">
          <w:rPr>
            <w:rStyle w:val="Hyperlink"/>
            <w:noProof/>
          </w:rPr>
          <w:t>SignatureProviderUrl (Signature Provider URL)</w:t>
        </w:r>
        <w:r>
          <w:rPr>
            <w:noProof/>
            <w:webHidden/>
          </w:rPr>
          <w:tab/>
        </w:r>
        <w:r>
          <w:rPr>
            <w:noProof/>
            <w:webHidden/>
          </w:rPr>
          <w:fldChar w:fldCharType="begin"/>
        </w:r>
        <w:r>
          <w:rPr>
            <w:noProof/>
            <w:webHidden/>
          </w:rPr>
          <w:instrText xml:space="preserve"> PAGEREF _Toc69879868 \h </w:instrText>
        </w:r>
        <w:r>
          <w:rPr>
            <w:noProof/>
            <w:webHidden/>
          </w:rPr>
        </w:r>
        <w:r>
          <w:rPr>
            <w:noProof/>
            <w:webHidden/>
          </w:rPr>
          <w:fldChar w:fldCharType="separate"/>
        </w:r>
        <w:r>
          <w:rPr>
            <w:noProof/>
            <w:webHidden/>
          </w:rPr>
          <w:t>890</w:t>
        </w:r>
        <w:r>
          <w:rPr>
            <w:noProof/>
            <w:webHidden/>
          </w:rPr>
          <w:fldChar w:fldCharType="end"/>
        </w:r>
      </w:hyperlink>
    </w:p>
    <w:p w:rsidR="00B42EF3" w:rsidRDefault="00B42EF3">
      <w:pPr>
        <w:pStyle w:val="TOC4"/>
        <w:rPr>
          <w:rFonts w:asciiTheme="minorHAnsi" w:eastAsiaTheme="minorEastAsia" w:hAnsiTheme="minorHAnsi" w:cstheme="minorBidi"/>
          <w:noProof/>
          <w:sz w:val="22"/>
          <w:szCs w:val="22"/>
        </w:rPr>
      </w:pPr>
      <w:hyperlink w:anchor="_Toc69879869" w:history="1">
        <w:r w:rsidRPr="00CC53E5">
          <w:rPr>
            <w:rStyle w:val="Hyperlink"/>
            <w:noProof/>
          </w:rPr>
          <w:t>3.7.1.17</w:t>
        </w:r>
        <w:r>
          <w:rPr>
            <w:rFonts w:asciiTheme="minorHAnsi" w:eastAsiaTheme="minorEastAsia" w:hAnsiTheme="minorHAnsi" w:cstheme="minorBidi"/>
            <w:noProof/>
            <w:sz w:val="22"/>
            <w:szCs w:val="22"/>
          </w:rPr>
          <w:tab/>
        </w:r>
        <w:r w:rsidRPr="00CC53E5">
          <w:rPr>
            <w:rStyle w:val="Hyperlink"/>
            <w:noProof/>
          </w:rPr>
          <w:t>SignatureText (Signature Text)</w:t>
        </w:r>
        <w:r>
          <w:rPr>
            <w:noProof/>
            <w:webHidden/>
          </w:rPr>
          <w:tab/>
        </w:r>
        <w:r>
          <w:rPr>
            <w:noProof/>
            <w:webHidden/>
          </w:rPr>
          <w:fldChar w:fldCharType="begin"/>
        </w:r>
        <w:r>
          <w:rPr>
            <w:noProof/>
            <w:webHidden/>
          </w:rPr>
          <w:instrText xml:space="preserve"> PAGEREF _Toc69879869 \h </w:instrText>
        </w:r>
        <w:r>
          <w:rPr>
            <w:noProof/>
            <w:webHidden/>
          </w:rPr>
        </w:r>
        <w:r>
          <w:rPr>
            <w:noProof/>
            <w:webHidden/>
          </w:rPr>
          <w:fldChar w:fldCharType="separate"/>
        </w:r>
        <w:r>
          <w:rPr>
            <w:noProof/>
            <w:webHidden/>
          </w:rPr>
          <w:t>890</w:t>
        </w:r>
        <w:r>
          <w:rPr>
            <w:noProof/>
            <w:webHidden/>
          </w:rPr>
          <w:fldChar w:fldCharType="end"/>
        </w:r>
      </w:hyperlink>
    </w:p>
    <w:p w:rsidR="00B42EF3" w:rsidRDefault="00B42EF3">
      <w:pPr>
        <w:pStyle w:val="TOC4"/>
        <w:rPr>
          <w:rFonts w:asciiTheme="minorHAnsi" w:eastAsiaTheme="minorEastAsia" w:hAnsiTheme="minorHAnsi" w:cstheme="minorBidi"/>
          <w:noProof/>
          <w:sz w:val="22"/>
          <w:szCs w:val="22"/>
        </w:rPr>
      </w:pPr>
      <w:hyperlink w:anchor="_Toc69879870" w:history="1">
        <w:r w:rsidRPr="00CC53E5">
          <w:rPr>
            <w:rStyle w:val="Hyperlink"/>
            <w:noProof/>
          </w:rPr>
          <w:t>3.7.1.18</w:t>
        </w:r>
        <w:r>
          <w:rPr>
            <w:rFonts w:asciiTheme="minorHAnsi" w:eastAsiaTheme="minorEastAsia" w:hAnsiTheme="minorHAnsi" w:cstheme="minorBidi"/>
            <w:noProof/>
            <w:sz w:val="22"/>
            <w:szCs w:val="22"/>
          </w:rPr>
          <w:tab/>
        </w:r>
        <w:r w:rsidRPr="00CC53E5">
          <w:rPr>
            <w:rStyle w:val="Hyperlink"/>
            <w:noProof/>
          </w:rPr>
          <w:t>SignatureType (Signature Type)</w:t>
        </w:r>
        <w:r>
          <w:rPr>
            <w:noProof/>
            <w:webHidden/>
          </w:rPr>
          <w:tab/>
        </w:r>
        <w:r>
          <w:rPr>
            <w:noProof/>
            <w:webHidden/>
          </w:rPr>
          <w:fldChar w:fldCharType="begin"/>
        </w:r>
        <w:r>
          <w:rPr>
            <w:noProof/>
            <w:webHidden/>
          </w:rPr>
          <w:instrText xml:space="preserve"> PAGEREF _Toc69879870 \h </w:instrText>
        </w:r>
        <w:r>
          <w:rPr>
            <w:noProof/>
            <w:webHidden/>
          </w:rPr>
        </w:r>
        <w:r>
          <w:rPr>
            <w:noProof/>
            <w:webHidden/>
          </w:rPr>
          <w:fldChar w:fldCharType="separate"/>
        </w:r>
        <w:r>
          <w:rPr>
            <w:noProof/>
            <w:webHidden/>
          </w:rPr>
          <w:t>891</w:t>
        </w:r>
        <w:r>
          <w:rPr>
            <w:noProof/>
            <w:webHidden/>
          </w:rPr>
          <w:fldChar w:fldCharType="end"/>
        </w:r>
      </w:hyperlink>
    </w:p>
    <w:p w:rsidR="00B42EF3" w:rsidRDefault="00B42EF3">
      <w:pPr>
        <w:pStyle w:val="TOC4"/>
        <w:rPr>
          <w:rFonts w:asciiTheme="minorHAnsi" w:eastAsiaTheme="minorEastAsia" w:hAnsiTheme="minorHAnsi" w:cstheme="minorBidi"/>
          <w:noProof/>
          <w:sz w:val="22"/>
          <w:szCs w:val="22"/>
        </w:rPr>
      </w:pPr>
      <w:hyperlink w:anchor="_Toc69879871" w:history="1">
        <w:r w:rsidRPr="00CC53E5">
          <w:rPr>
            <w:rStyle w:val="Hyperlink"/>
            <w:noProof/>
          </w:rPr>
          <w:t>3.7.1.19</w:t>
        </w:r>
        <w:r>
          <w:rPr>
            <w:rFonts w:asciiTheme="minorHAnsi" w:eastAsiaTheme="minorEastAsia" w:hAnsiTheme="minorHAnsi" w:cstheme="minorBidi"/>
            <w:noProof/>
            <w:sz w:val="22"/>
            <w:szCs w:val="22"/>
          </w:rPr>
          <w:tab/>
        </w:r>
        <w:r w:rsidRPr="00CC53E5">
          <w:rPr>
            <w:rStyle w:val="Hyperlink"/>
            <w:noProof/>
          </w:rPr>
          <w:t>VerticalResolution (Vertical Resolution)</w:t>
        </w:r>
        <w:r>
          <w:rPr>
            <w:noProof/>
            <w:webHidden/>
          </w:rPr>
          <w:tab/>
        </w:r>
        <w:r>
          <w:rPr>
            <w:noProof/>
            <w:webHidden/>
          </w:rPr>
          <w:fldChar w:fldCharType="begin"/>
        </w:r>
        <w:r>
          <w:rPr>
            <w:noProof/>
            <w:webHidden/>
          </w:rPr>
          <w:instrText xml:space="preserve"> PAGEREF _Toc69879871 \h </w:instrText>
        </w:r>
        <w:r>
          <w:rPr>
            <w:noProof/>
            <w:webHidden/>
          </w:rPr>
        </w:r>
        <w:r>
          <w:rPr>
            <w:noProof/>
            <w:webHidden/>
          </w:rPr>
          <w:fldChar w:fldCharType="separate"/>
        </w:r>
        <w:r>
          <w:rPr>
            <w:noProof/>
            <w:webHidden/>
          </w:rPr>
          <w:t>891</w:t>
        </w:r>
        <w:r>
          <w:rPr>
            <w:noProof/>
            <w:webHidden/>
          </w:rPr>
          <w:fldChar w:fldCharType="end"/>
        </w:r>
      </w:hyperlink>
    </w:p>
    <w:p w:rsidR="00B42EF3" w:rsidRDefault="00B42EF3">
      <w:pPr>
        <w:pStyle w:val="TOC4"/>
        <w:rPr>
          <w:rFonts w:asciiTheme="minorHAnsi" w:eastAsiaTheme="minorEastAsia" w:hAnsiTheme="minorHAnsi" w:cstheme="minorBidi"/>
          <w:noProof/>
          <w:sz w:val="22"/>
          <w:szCs w:val="22"/>
        </w:rPr>
      </w:pPr>
      <w:hyperlink w:anchor="_Toc69879872" w:history="1">
        <w:r w:rsidRPr="00CC53E5">
          <w:rPr>
            <w:rStyle w:val="Hyperlink"/>
            <w:noProof/>
          </w:rPr>
          <w:t>3.7.1.20</w:t>
        </w:r>
        <w:r>
          <w:rPr>
            <w:rFonts w:asciiTheme="minorHAnsi" w:eastAsiaTheme="minorEastAsia" w:hAnsiTheme="minorHAnsi" w:cstheme="minorBidi"/>
            <w:noProof/>
            <w:sz w:val="22"/>
            <w:szCs w:val="22"/>
          </w:rPr>
          <w:tab/>
        </w:r>
        <w:r w:rsidRPr="00CC53E5">
          <w:rPr>
            <w:rStyle w:val="Hyperlink"/>
            <w:noProof/>
          </w:rPr>
          <w:t>WindowsVersion (Windows Version)</w:t>
        </w:r>
        <w:r>
          <w:rPr>
            <w:noProof/>
            <w:webHidden/>
          </w:rPr>
          <w:tab/>
        </w:r>
        <w:r>
          <w:rPr>
            <w:noProof/>
            <w:webHidden/>
          </w:rPr>
          <w:fldChar w:fldCharType="begin"/>
        </w:r>
        <w:r>
          <w:rPr>
            <w:noProof/>
            <w:webHidden/>
          </w:rPr>
          <w:instrText xml:space="preserve"> PAGEREF _Toc69879872 \h </w:instrText>
        </w:r>
        <w:r>
          <w:rPr>
            <w:noProof/>
            <w:webHidden/>
          </w:rPr>
        </w:r>
        <w:r>
          <w:rPr>
            <w:noProof/>
            <w:webHidden/>
          </w:rPr>
          <w:fldChar w:fldCharType="separate"/>
        </w:r>
        <w:r>
          <w:rPr>
            <w:noProof/>
            <w:webHidden/>
          </w:rPr>
          <w:t>892</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873" w:history="1">
        <w:r w:rsidRPr="00CC53E5">
          <w:rPr>
            <w:rStyle w:val="Hyperlink"/>
            <w:noProof/>
          </w:rPr>
          <w:t>3.7.2</w:t>
        </w:r>
        <w:r>
          <w:rPr>
            <w:rFonts w:asciiTheme="minorHAnsi" w:eastAsiaTheme="minorEastAsia" w:hAnsiTheme="minorHAnsi" w:cstheme="minorBidi"/>
            <w:noProof/>
            <w:sz w:val="22"/>
            <w:szCs w:val="22"/>
          </w:rPr>
          <w:tab/>
        </w:r>
        <w:r w:rsidRPr="00CC53E5">
          <w:rPr>
            <w:rStyle w:val="Hyperlink"/>
            <w:noProof/>
          </w:rPr>
          <w:t>Simple Types</w:t>
        </w:r>
        <w:r>
          <w:rPr>
            <w:noProof/>
            <w:webHidden/>
          </w:rPr>
          <w:tab/>
        </w:r>
        <w:r>
          <w:rPr>
            <w:noProof/>
            <w:webHidden/>
          </w:rPr>
          <w:fldChar w:fldCharType="begin"/>
        </w:r>
        <w:r>
          <w:rPr>
            <w:noProof/>
            <w:webHidden/>
          </w:rPr>
          <w:instrText xml:space="preserve"> PAGEREF _Toc69879873 \h </w:instrText>
        </w:r>
        <w:r>
          <w:rPr>
            <w:noProof/>
            <w:webHidden/>
          </w:rPr>
        </w:r>
        <w:r>
          <w:rPr>
            <w:noProof/>
            <w:webHidden/>
          </w:rPr>
          <w:fldChar w:fldCharType="separate"/>
        </w:r>
        <w:r>
          <w:rPr>
            <w:noProof/>
            <w:webHidden/>
          </w:rPr>
          <w:t>892</w:t>
        </w:r>
        <w:r>
          <w:rPr>
            <w:noProof/>
            <w:webHidden/>
          </w:rPr>
          <w:fldChar w:fldCharType="end"/>
        </w:r>
      </w:hyperlink>
    </w:p>
    <w:p w:rsidR="00B42EF3" w:rsidRDefault="00B42EF3">
      <w:pPr>
        <w:pStyle w:val="TOC4"/>
        <w:rPr>
          <w:rFonts w:asciiTheme="minorHAnsi" w:eastAsiaTheme="minorEastAsia" w:hAnsiTheme="minorHAnsi" w:cstheme="minorBidi"/>
          <w:noProof/>
          <w:sz w:val="22"/>
          <w:szCs w:val="22"/>
        </w:rPr>
      </w:pPr>
      <w:hyperlink w:anchor="_Toc69879874" w:history="1">
        <w:r w:rsidRPr="00CC53E5">
          <w:rPr>
            <w:rStyle w:val="Hyperlink"/>
            <w:noProof/>
          </w:rPr>
          <w:t>3.7.2.1</w:t>
        </w:r>
        <w:r>
          <w:rPr>
            <w:rFonts w:asciiTheme="minorHAnsi" w:eastAsiaTheme="minorEastAsia" w:hAnsiTheme="minorHAnsi" w:cstheme="minorBidi"/>
            <w:noProof/>
            <w:sz w:val="22"/>
            <w:szCs w:val="22"/>
          </w:rPr>
          <w:tab/>
        </w:r>
        <w:r w:rsidRPr="00CC53E5">
          <w:rPr>
            <w:rStyle w:val="Hyperlink"/>
            <w:noProof/>
          </w:rPr>
          <w:t>ST_PositiveInteger (Positive Integer)</w:t>
        </w:r>
        <w:r>
          <w:rPr>
            <w:noProof/>
            <w:webHidden/>
          </w:rPr>
          <w:tab/>
        </w:r>
        <w:r>
          <w:rPr>
            <w:noProof/>
            <w:webHidden/>
          </w:rPr>
          <w:fldChar w:fldCharType="begin"/>
        </w:r>
        <w:r>
          <w:rPr>
            <w:noProof/>
            <w:webHidden/>
          </w:rPr>
          <w:instrText xml:space="preserve"> PAGEREF _Toc69879874 \h </w:instrText>
        </w:r>
        <w:r>
          <w:rPr>
            <w:noProof/>
            <w:webHidden/>
          </w:rPr>
        </w:r>
        <w:r>
          <w:rPr>
            <w:noProof/>
            <w:webHidden/>
          </w:rPr>
          <w:fldChar w:fldCharType="separate"/>
        </w:r>
        <w:r>
          <w:rPr>
            <w:noProof/>
            <w:webHidden/>
          </w:rPr>
          <w:t>892</w:t>
        </w:r>
        <w:r>
          <w:rPr>
            <w:noProof/>
            <w:webHidden/>
          </w:rPr>
          <w:fldChar w:fldCharType="end"/>
        </w:r>
      </w:hyperlink>
    </w:p>
    <w:p w:rsidR="00B42EF3" w:rsidRDefault="00B42EF3">
      <w:pPr>
        <w:pStyle w:val="TOC4"/>
        <w:rPr>
          <w:rFonts w:asciiTheme="minorHAnsi" w:eastAsiaTheme="minorEastAsia" w:hAnsiTheme="minorHAnsi" w:cstheme="minorBidi"/>
          <w:noProof/>
          <w:sz w:val="22"/>
          <w:szCs w:val="22"/>
        </w:rPr>
      </w:pPr>
      <w:hyperlink w:anchor="_Toc69879875" w:history="1">
        <w:r w:rsidRPr="00CC53E5">
          <w:rPr>
            <w:rStyle w:val="Hyperlink"/>
            <w:noProof/>
          </w:rPr>
          <w:t>3.7.2.2</w:t>
        </w:r>
        <w:r>
          <w:rPr>
            <w:rFonts w:asciiTheme="minorHAnsi" w:eastAsiaTheme="minorEastAsia" w:hAnsiTheme="minorHAnsi" w:cstheme="minorBidi"/>
            <w:noProof/>
            <w:sz w:val="22"/>
            <w:szCs w:val="22"/>
          </w:rPr>
          <w:tab/>
        </w:r>
        <w:r w:rsidRPr="00CC53E5">
          <w:rPr>
            <w:rStyle w:val="Hyperlink"/>
            <w:noProof/>
          </w:rPr>
          <w:t>ST_SignatureComments (Signature Comments)</w:t>
        </w:r>
        <w:r>
          <w:rPr>
            <w:noProof/>
            <w:webHidden/>
          </w:rPr>
          <w:tab/>
        </w:r>
        <w:r>
          <w:rPr>
            <w:noProof/>
            <w:webHidden/>
          </w:rPr>
          <w:fldChar w:fldCharType="begin"/>
        </w:r>
        <w:r>
          <w:rPr>
            <w:noProof/>
            <w:webHidden/>
          </w:rPr>
          <w:instrText xml:space="preserve"> PAGEREF _Toc69879875 \h </w:instrText>
        </w:r>
        <w:r>
          <w:rPr>
            <w:noProof/>
            <w:webHidden/>
          </w:rPr>
        </w:r>
        <w:r>
          <w:rPr>
            <w:noProof/>
            <w:webHidden/>
          </w:rPr>
          <w:fldChar w:fldCharType="separate"/>
        </w:r>
        <w:r>
          <w:rPr>
            <w:noProof/>
            <w:webHidden/>
          </w:rPr>
          <w:t>893</w:t>
        </w:r>
        <w:r>
          <w:rPr>
            <w:noProof/>
            <w:webHidden/>
          </w:rPr>
          <w:fldChar w:fldCharType="end"/>
        </w:r>
      </w:hyperlink>
    </w:p>
    <w:p w:rsidR="00B42EF3" w:rsidRDefault="00B42EF3">
      <w:pPr>
        <w:pStyle w:val="TOC4"/>
        <w:rPr>
          <w:rFonts w:asciiTheme="minorHAnsi" w:eastAsiaTheme="minorEastAsia" w:hAnsiTheme="minorHAnsi" w:cstheme="minorBidi"/>
          <w:noProof/>
          <w:sz w:val="22"/>
          <w:szCs w:val="22"/>
        </w:rPr>
      </w:pPr>
      <w:hyperlink w:anchor="_Toc69879876" w:history="1">
        <w:r w:rsidRPr="00CC53E5">
          <w:rPr>
            <w:rStyle w:val="Hyperlink"/>
            <w:noProof/>
          </w:rPr>
          <w:t>3.7.2.3</w:t>
        </w:r>
        <w:r>
          <w:rPr>
            <w:rFonts w:asciiTheme="minorHAnsi" w:eastAsiaTheme="minorEastAsia" w:hAnsiTheme="minorHAnsi" w:cstheme="minorBidi"/>
            <w:noProof/>
            <w:sz w:val="22"/>
            <w:szCs w:val="22"/>
          </w:rPr>
          <w:tab/>
        </w:r>
        <w:r w:rsidRPr="00CC53E5">
          <w:rPr>
            <w:rStyle w:val="Hyperlink"/>
            <w:noProof/>
          </w:rPr>
          <w:t>ST_SignatureProviderUrl (Signature Provider URL)</w:t>
        </w:r>
        <w:r>
          <w:rPr>
            <w:noProof/>
            <w:webHidden/>
          </w:rPr>
          <w:tab/>
        </w:r>
        <w:r>
          <w:rPr>
            <w:noProof/>
            <w:webHidden/>
          </w:rPr>
          <w:fldChar w:fldCharType="begin"/>
        </w:r>
        <w:r>
          <w:rPr>
            <w:noProof/>
            <w:webHidden/>
          </w:rPr>
          <w:instrText xml:space="preserve"> PAGEREF _Toc69879876 \h </w:instrText>
        </w:r>
        <w:r>
          <w:rPr>
            <w:noProof/>
            <w:webHidden/>
          </w:rPr>
        </w:r>
        <w:r>
          <w:rPr>
            <w:noProof/>
            <w:webHidden/>
          </w:rPr>
          <w:fldChar w:fldCharType="separate"/>
        </w:r>
        <w:r>
          <w:rPr>
            <w:noProof/>
            <w:webHidden/>
          </w:rPr>
          <w:t>893</w:t>
        </w:r>
        <w:r>
          <w:rPr>
            <w:noProof/>
            <w:webHidden/>
          </w:rPr>
          <w:fldChar w:fldCharType="end"/>
        </w:r>
      </w:hyperlink>
    </w:p>
    <w:p w:rsidR="00B42EF3" w:rsidRDefault="00B42EF3">
      <w:pPr>
        <w:pStyle w:val="TOC4"/>
        <w:rPr>
          <w:rFonts w:asciiTheme="minorHAnsi" w:eastAsiaTheme="minorEastAsia" w:hAnsiTheme="minorHAnsi" w:cstheme="minorBidi"/>
          <w:noProof/>
          <w:sz w:val="22"/>
          <w:szCs w:val="22"/>
        </w:rPr>
      </w:pPr>
      <w:hyperlink w:anchor="_Toc69879877" w:history="1">
        <w:r w:rsidRPr="00CC53E5">
          <w:rPr>
            <w:rStyle w:val="Hyperlink"/>
            <w:noProof/>
          </w:rPr>
          <w:t>3.7.2.4</w:t>
        </w:r>
        <w:r>
          <w:rPr>
            <w:rFonts w:asciiTheme="minorHAnsi" w:eastAsiaTheme="minorEastAsia" w:hAnsiTheme="minorHAnsi" w:cstheme="minorBidi"/>
            <w:noProof/>
            <w:sz w:val="22"/>
            <w:szCs w:val="22"/>
          </w:rPr>
          <w:tab/>
        </w:r>
        <w:r w:rsidRPr="00CC53E5">
          <w:rPr>
            <w:rStyle w:val="Hyperlink"/>
            <w:noProof/>
          </w:rPr>
          <w:t>ST_SignatureText (Signature Text)</w:t>
        </w:r>
        <w:r>
          <w:rPr>
            <w:noProof/>
            <w:webHidden/>
          </w:rPr>
          <w:tab/>
        </w:r>
        <w:r>
          <w:rPr>
            <w:noProof/>
            <w:webHidden/>
          </w:rPr>
          <w:fldChar w:fldCharType="begin"/>
        </w:r>
        <w:r>
          <w:rPr>
            <w:noProof/>
            <w:webHidden/>
          </w:rPr>
          <w:instrText xml:space="preserve"> PAGEREF _Toc69879877 \h </w:instrText>
        </w:r>
        <w:r>
          <w:rPr>
            <w:noProof/>
            <w:webHidden/>
          </w:rPr>
        </w:r>
        <w:r>
          <w:rPr>
            <w:noProof/>
            <w:webHidden/>
          </w:rPr>
          <w:fldChar w:fldCharType="separate"/>
        </w:r>
        <w:r>
          <w:rPr>
            <w:noProof/>
            <w:webHidden/>
          </w:rPr>
          <w:t>893</w:t>
        </w:r>
        <w:r>
          <w:rPr>
            <w:noProof/>
            <w:webHidden/>
          </w:rPr>
          <w:fldChar w:fldCharType="end"/>
        </w:r>
      </w:hyperlink>
    </w:p>
    <w:p w:rsidR="00B42EF3" w:rsidRDefault="00B42EF3">
      <w:pPr>
        <w:pStyle w:val="TOC4"/>
        <w:rPr>
          <w:rFonts w:asciiTheme="minorHAnsi" w:eastAsiaTheme="minorEastAsia" w:hAnsiTheme="minorHAnsi" w:cstheme="minorBidi"/>
          <w:noProof/>
          <w:sz w:val="22"/>
          <w:szCs w:val="22"/>
        </w:rPr>
      </w:pPr>
      <w:hyperlink w:anchor="_Toc69879878" w:history="1">
        <w:r w:rsidRPr="00CC53E5">
          <w:rPr>
            <w:rStyle w:val="Hyperlink"/>
            <w:noProof/>
          </w:rPr>
          <w:t>3.7.2.5</w:t>
        </w:r>
        <w:r>
          <w:rPr>
            <w:rFonts w:asciiTheme="minorHAnsi" w:eastAsiaTheme="minorEastAsia" w:hAnsiTheme="minorHAnsi" w:cstheme="minorBidi"/>
            <w:noProof/>
            <w:sz w:val="22"/>
            <w:szCs w:val="22"/>
          </w:rPr>
          <w:tab/>
        </w:r>
        <w:r w:rsidRPr="00CC53E5">
          <w:rPr>
            <w:rStyle w:val="Hyperlink"/>
            <w:noProof/>
          </w:rPr>
          <w:t>ST_SignatureType (Signature Type)</w:t>
        </w:r>
        <w:r>
          <w:rPr>
            <w:noProof/>
            <w:webHidden/>
          </w:rPr>
          <w:tab/>
        </w:r>
        <w:r>
          <w:rPr>
            <w:noProof/>
            <w:webHidden/>
          </w:rPr>
          <w:fldChar w:fldCharType="begin"/>
        </w:r>
        <w:r>
          <w:rPr>
            <w:noProof/>
            <w:webHidden/>
          </w:rPr>
          <w:instrText xml:space="preserve"> PAGEREF _Toc69879878 \h </w:instrText>
        </w:r>
        <w:r>
          <w:rPr>
            <w:noProof/>
            <w:webHidden/>
          </w:rPr>
        </w:r>
        <w:r>
          <w:rPr>
            <w:noProof/>
            <w:webHidden/>
          </w:rPr>
          <w:fldChar w:fldCharType="separate"/>
        </w:r>
        <w:r>
          <w:rPr>
            <w:noProof/>
            <w:webHidden/>
          </w:rPr>
          <w:t>894</w:t>
        </w:r>
        <w:r>
          <w:rPr>
            <w:noProof/>
            <w:webHidden/>
          </w:rPr>
          <w:fldChar w:fldCharType="end"/>
        </w:r>
      </w:hyperlink>
    </w:p>
    <w:p w:rsidR="00B42EF3" w:rsidRDefault="00B42EF3">
      <w:pPr>
        <w:pStyle w:val="TOC4"/>
        <w:rPr>
          <w:rFonts w:asciiTheme="minorHAnsi" w:eastAsiaTheme="minorEastAsia" w:hAnsiTheme="minorHAnsi" w:cstheme="minorBidi"/>
          <w:noProof/>
          <w:sz w:val="22"/>
          <w:szCs w:val="22"/>
        </w:rPr>
      </w:pPr>
      <w:hyperlink w:anchor="_Toc69879879" w:history="1">
        <w:r w:rsidRPr="00CC53E5">
          <w:rPr>
            <w:rStyle w:val="Hyperlink"/>
            <w:noProof/>
          </w:rPr>
          <w:t>3.7.2.6</w:t>
        </w:r>
        <w:r>
          <w:rPr>
            <w:rFonts w:asciiTheme="minorHAnsi" w:eastAsiaTheme="minorEastAsia" w:hAnsiTheme="minorHAnsi" w:cstheme="minorBidi"/>
            <w:noProof/>
            <w:sz w:val="22"/>
            <w:szCs w:val="22"/>
          </w:rPr>
          <w:tab/>
        </w:r>
        <w:r w:rsidRPr="00CC53E5">
          <w:rPr>
            <w:rStyle w:val="Hyperlink"/>
            <w:noProof/>
          </w:rPr>
          <w:t>ST_UniqueIdentifierWithBraces (Unique Identifier with Braces)</w:t>
        </w:r>
        <w:r>
          <w:rPr>
            <w:noProof/>
            <w:webHidden/>
          </w:rPr>
          <w:tab/>
        </w:r>
        <w:r>
          <w:rPr>
            <w:noProof/>
            <w:webHidden/>
          </w:rPr>
          <w:fldChar w:fldCharType="begin"/>
        </w:r>
        <w:r>
          <w:rPr>
            <w:noProof/>
            <w:webHidden/>
          </w:rPr>
          <w:instrText xml:space="preserve"> PAGEREF _Toc69879879 \h </w:instrText>
        </w:r>
        <w:r>
          <w:rPr>
            <w:noProof/>
            <w:webHidden/>
          </w:rPr>
        </w:r>
        <w:r>
          <w:rPr>
            <w:noProof/>
            <w:webHidden/>
          </w:rPr>
          <w:fldChar w:fldCharType="separate"/>
        </w:r>
        <w:r>
          <w:rPr>
            <w:noProof/>
            <w:webHidden/>
          </w:rPr>
          <w:t>894</w:t>
        </w:r>
        <w:r>
          <w:rPr>
            <w:noProof/>
            <w:webHidden/>
          </w:rPr>
          <w:fldChar w:fldCharType="end"/>
        </w:r>
      </w:hyperlink>
    </w:p>
    <w:p w:rsidR="00B42EF3" w:rsidRDefault="00B42EF3">
      <w:pPr>
        <w:pStyle w:val="TOC4"/>
        <w:rPr>
          <w:rFonts w:asciiTheme="minorHAnsi" w:eastAsiaTheme="minorEastAsia" w:hAnsiTheme="minorHAnsi" w:cstheme="minorBidi"/>
          <w:noProof/>
          <w:sz w:val="22"/>
          <w:szCs w:val="22"/>
        </w:rPr>
      </w:pPr>
      <w:hyperlink w:anchor="_Toc69879880" w:history="1">
        <w:r w:rsidRPr="00CC53E5">
          <w:rPr>
            <w:rStyle w:val="Hyperlink"/>
            <w:noProof/>
          </w:rPr>
          <w:t>3.7.2.7</w:t>
        </w:r>
        <w:r>
          <w:rPr>
            <w:rFonts w:asciiTheme="minorHAnsi" w:eastAsiaTheme="minorEastAsia" w:hAnsiTheme="minorHAnsi" w:cstheme="minorBidi"/>
            <w:noProof/>
            <w:sz w:val="22"/>
            <w:szCs w:val="22"/>
          </w:rPr>
          <w:tab/>
        </w:r>
        <w:r w:rsidRPr="00CC53E5">
          <w:rPr>
            <w:rStyle w:val="Hyperlink"/>
            <w:noProof/>
          </w:rPr>
          <w:t>ST_Version (Version)</w:t>
        </w:r>
        <w:r>
          <w:rPr>
            <w:noProof/>
            <w:webHidden/>
          </w:rPr>
          <w:tab/>
        </w:r>
        <w:r>
          <w:rPr>
            <w:noProof/>
            <w:webHidden/>
          </w:rPr>
          <w:fldChar w:fldCharType="begin"/>
        </w:r>
        <w:r>
          <w:rPr>
            <w:noProof/>
            <w:webHidden/>
          </w:rPr>
          <w:instrText xml:space="preserve"> PAGEREF _Toc69879880 \h </w:instrText>
        </w:r>
        <w:r>
          <w:rPr>
            <w:noProof/>
            <w:webHidden/>
          </w:rPr>
        </w:r>
        <w:r>
          <w:rPr>
            <w:noProof/>
            <w:webHidden/>
          </w:rPr>
          <w:fldChar w:fldCharType="separate"/>
        </w:r>
        <w:r>
          <w:rPr>
            <w:noProof/>
            <w:webHidden/>
          </w:rPr>
          <w:t>895</w:t>
        </w:r>
        <w:r>
          <w:rPr>
            <w:noProof/>
            <w:webHidden/>
          </w:rPr>
          <w:fldChar w:fldCharType="end"/>
        </w:r>
      </w:hyperlink>
    </w:p>
    <w:p w:rsidR="00B42EF3" w:rsidRDefault="00B42EF3">
      <w:pPr>
        <w:pStyle w:val="TOC2"/>
        <w:rPr>
          <w:rFonts w:asciiTheme="minorHAnsi" w:eastAsiaTheme="minorEastAsia" w:hAnsiTheme="minorHAnsi" w:cstheme="minorBidi"/>
          <w:noProof/>
          <w:sz w:val="22"/>
          <w:szCs w:val="22"/>
        </w:rPr>
      </w:pPr>
      <w:hyperlink w:anchor="_Toc69879881" w:history="1">
        <w:r w:rsidRPr="00CC53E5">
          <w:rPr>
            <w:rStyle w:val="Hyperlink"/>
            <w:noProof/>
          </w:rPr>
          <w:t>3.8</w:t>
        </w:r>
        <w:r>
          <w:rPr>
            <w:rFonts w:asciiTheme="minorHAnsi" w:eastAsiaTheme="minorEastAsia" w:hAnsiTheme="minorHAnsi" w:cstheme="minorBidi"/>
            <w:noProof/>
            <w:sz w:val="22"/>
            <w:szCs w:val="22"/>
          </w:rPr>
          <w:tab/>
        </w:r>
        <w:r w:rsidRPr="00CC53E5">
          <w:rPr>
            <w:rStyle w:val="Hyperlink"/>
            <w:noProof/>
          </w:rPr>
          <w:t>Equation XML</w:t>
        </w:r>
        <w:r>
          <w:rPr>
            <w:noProof/>
            <w:webHidden/>
          </w:rPr>
          <w:tab/>
        </w:r>
        <w:r>
          <w:rPr>
            <w:noProof/>
            <w:webHidden/>
          </w:rPr>
          <w:fldChar w:fldCharType="begin"/>
        </w:r>
        <w:r>
          <w:rPr>
            <w:noProof/>
            <w:webHidden/>
          </w:rPr>
          <w:instrText xml:space="preserve"> PAGEREF _Toc69879881 \h </w:instrText>
        </w:r>
        <w:r>
          <w:rPr>
            <w:noProof/>
            <w:webHidden/>
          </w:rPr>
        </w:r>
        <w:r>
          <w:rPr>
            <w:noProof/>
            <w:webHidden/>
          </w:rPr>
          <w:fldChar w:fldCharType="separate"/>
        </w:r>
        <w:r>
          <w:rPr>
            <w:noProof/>
            <w:webHidden/>
          </w:rPr>
          <w:t>895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882" w:history="1">
        <w:r w:rsidRPr="00CC53E5">
          <w:rPr>
            <w:rStyle w:val="Hyperlink"/>
            <w:noProof/>
          </w:rPr>
          <w:t>3.8.1</w:t>
        </w:r>
        <w:r>
          <w:rPr>
            <w:rFonts w:asciiTheme="minorHAnsi" w:eastAsiaTheme="minorEastAsia" w:hAnsiTheme="minorHAnsi" w:cstheme="minorBidi"/>
            <w:noProof/>
            <w:sz w:val="22"/>
            <w:szCs w:val="22"/>
          </w:rPr>
          <w:tab/>
        </w:r>
        <w:r w:rsidRPr="00CC53E5">
          <w:rPr>
            <w:rStyle w:val="Hyperlink"/>
            <w:noProof/>
          </w:rPr>
          <w:t>Introduction</w:t>
        </w:r>
        <w:r>
          <w:rPr>
            <w:noProof/>
            <w:webHidden/>
          </w:rPr>
          <w:tab/>
        </w:r>
        <w:r>
          <w:rPr>
            <w:noProof/>
            <w:webHidden/>
          </w:rPr>
          <w:fldChar w:fldCharType="begin"/>
        </w:r>
        <w:r>
          <w:rPr>
            <w:noProof/>
            <w:webHidden/>
          </w:rPr>
          <w:instrText xml:space="preserve"> PAGEREF _Toc69879882 \h </w:instrText>
        </w:r>
        <w:r>
          <w:rPr>
            <w:noProof/>
            <w:webHidden/>
          </w:rPr>
        </w:r>
        <w:r>
          <w:rPr>
            <w:noProof/>
            <w:webHidden/>
          </w:rPr>
          <w:fldChar w:fldCharType="separate"/>
        </w:r>
        <w:r>
          <w:rPr>
            <w:noProof/>
            <w:webHidden/>
          </w:rPr>
          <w:t>895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883" w:history="1">
        <w:r w:rsidRPr="00CC53E5">
          <w:rPr>
            <w:rStyle w:val="Hyperlink"/>
            <w:noProof/>
          </w:rPr>
          <w:t>3.8.2</w:t>
        </w:r>
        <w:r>
          <w:rPr>
            <w:rFonts w:asciiTheme="minorHAnsi" w:eastAsiaTheme="minorEastAsia" w:hAnsiTheme="minorHAnsi" w:cstheme="minorBidi"/>
            <w:noProof/>
            <w:sz w:val="22"/>
            <w:szCs w:val="22"/>
          </w:rPr>
          <w:tab/>
        </w:r>
        <w:r w:rsidRPr="00CC53E5">
          <w:rPr>
            <w:rStyle w:val="Hyperlink"/>
            <w:noProof/>
          </w:rPr>
          <w:t>Basic Format</w:t>
        </w:r>
        <w:r>
          <w:rPr>
            <w:noProof/>
            <w:webHidden/>
          </w:rPr>
          <w:tab/>
        </w:r>
        <w:r>
          <w:rPr>
            <w:noProof/>
            <w:webHidden/>
          </w:rPr>
          <w:fldChar w:fldCharType="begin"/>
        </w:r>
        <w:r>
          <w:rPr>
            <w:noProof/>
            <w:webHidden/>
          </w:rPr>
          <w:instrText xml:space="preserve"> PAGEREF _Toc69879883 \h </w:instrText>
        </w:r>
        <w:r>
          <w:rPr>
            <w:noProof/>
            <w:webHidden/>
          </w:rPr>
        </w:r>
        <w:r>
          <w:rPr>
            <w:noProof/>
            <w:webHidden/>
          </w:rPr>
          <w:fldChar w:fldCharType="separate"/>
        </w:r>
        <w:r>
          <w:rPr>
            <w:noProof/>
            <w:webHidden/>
          </w:rPr>
          <w:t>895</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884" w:history="1">
        <w:r w:rsidRPr="00CC53E5">
          <w:rPr>
            <w:rStyle w:val="Hyperlink"/>
            <w:noProof/>
          </w:rPr>
          <w:t>3.8.3</w:t>
        </w:r>
        <w:r>
          <w:rPr>
            <w:rFonts w:asciiTheme="minorHAnsi" w:eastAsiaTheme="minorEastAsia" w:hAnsiTheme="minorHAnsi" w:cstheme="minorBidi"/>
            <w:noProof/>
            <w:sz w:val="22"/>
            <w:szCs w:val="22"/>
          </w:rPr>
          <w:tab/>
        </w:r>
        <w:r w:rsidRPr="00CC53E5">
          <w:rPr>
            <w:rStyle w:val="Hyperlink"/>
            <w:noProof/>
          </w:rPr>
          <w:t>Reading the equationXml attribute</w:t>
        </w:r>
        <w:r>
          <w:rPr>
            <w:noProof/>
            <w:webHidden/>
          </w:rPr>
          <w:tab/>
        </w:r>
        <w:r>
          <w:rPr>
            <w:noProof/>
            <w:webHidden/>
          </w:rPr>
          <w:fldChar w:fldCharType="begin"/>
        </w:r>
        <w:r>
          <w:rPr>
            <w:noProof/>
            <w:webHidden/>
          </w:rPr>
          <w:instrText xml:space="preserve"> PAGEREF _Toc69879884 \h </w:instrText>
        </w:r>
        <w:r>
          <w:rPr>
            <w:noProof/>
            <w:webHidden/>
          </w:rPr>
        </w:r>
        <w:r>
          <w:rPr>
            <w:noProof/>
            <w:webHidden/>
          </w:rPr>
          <w:fldChar w:fldCharType="separate"/>
        </w:r>
        <w:r>
          <w:rPr>
            <w:noProof/>
            <w:webHidden/>
          </w:rPr>
          <w:t>896</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885" w:history="1">
        <w:r w:rsidRPr="00CC53E5">
          <w:rPr>
            <w:rStyle w:val="Hyperlink"/>
            <w:noProof/>
          </w:rPr>
          <w:t>3.8.4</w:t>
        </w:r>
        <w:r>
          <w:rPr>
            <w:rFonts w:asciiTheme="minorHAnsi" w:eastAsiaTheme="minorEastAsia" w:hAnsiTheme="minorHAnsi" w:cstheme="minorBidi"/>
            <w:noProof/>
            <w:sz w:val="22"/>
            <w:szCs w:val="22"/>
          </w:rPr>
          <w:tab/>
        </w:r>
        <w:r w:rsidRPr="00CC53E5">
          <w:rPr>
            <w:rStyle w:val="Hyperlink"/>
            <w:noProof/>
          </w:rPr>
          <w:t>Word 2003 XML elements which can contain Office Open XML Math elements</w:t>
        </w:r>
        <w:r>
          <w:rPr>
            <w:noProof/>
            <w:webHidden/>
          </w:rPr>
          <w:tab/>
        </w:r>
        <w:r>
          <w:rPr>
            <w:noProof/>
            <w:webHidden/>
          </w:rPr>
          <w:fldChar w:fldCharType="begin"/>
        </w:r>
        <w:r>
          <w:rPr>
            <w:noProof/>
            <w:webHidden/>
          </w:rPr>
          <w:instrText xml:space="preserve"> PAGEREF _Toc69879885 \h </w:instrText>
        </w:r>
        <w:r>
          <w:rPr>
            <w:noProof/>
            <w:webHidden/>
          </w:rPr>
        </w:r>
        <w:r>
          <w:rPr>
            <w:noProof/>
            <w:webHidden/>
          </w:rPr>
          <w:fldChar w:fldCharType="separate"/>
        </w:r>
        <w:r>
          <w:rPr>
            <w:noProof/>
            <w:webHidden/>
          </w:rPr>
          <w:t>897</w:t>
        </w:r>
        <w:r>
          <w:rPr>
            <w:noProof/>
            <w:webHidden/>
          </w:rPr>
          <w:fldChar w:fldCharType="end"/>
        </w:r>
      </w:hyperlink>
    </w:p>
    <w:p w:rsidR="00B42EF3" w:rsidRDefault="00B42EF3">
      <w:pPr>
        <w:pStyle w:val="TOC4"/>
        <w:rPr>
          <w:rFonts w:asciiTheme="minorHAnsi" w:eastAsiaTheme="minorEastAsia" w:hAnsiTheme="minorHAnsi" w:cstheme="minorBidi"/>
          <w:noProof/>
          <w:sz w:val="22"/>
          <w:szCs w:val="22"/>
        </w:rPr>
      </w:pPr>
      <w:hyperlink w:anchor="_Toc69879886" w:history="1">
        <w:r w:rsidRPr="00CC53E5">
          <w:rPr>
            <w:rStyle w:val="Hyperlink"/>
            <w:noProof/>
          </w:rPr>
          <w:t>3.8.4.1</w:t>
        </w:r>
        <w:r>
          <w:rPr>
            <w:rFonts w:asciiTheme="minorHAnsi" w:eastAsiaTheme="minorEastAsia" w:hAnsiTheme="minorHAnsi" w:cstheme="minorBidi"/>
            <w:noProof/>
            <w:sz w:val="22"/>
            <w:szCs w:val="22"/>
          </w:rPr>
          <w:tab/>
        </w:r>
        <w:r w:rsidRPr="00CC53E5">
          <w:rPr>
            <w:rStyle w:val="Hyperlink"/>
            <w:noProof/>
          </w:rPr>
          <w:t>Containment of the oMathPara element</w:t>
        </w:r>
        <w:r>
          <w:rPr>
            <w:noProof/>
            <w:webHidden/>
          </w:rPr>
          <w:tab/>
        </w:r>
        <w:r>
          <w:rPr>
            <w:noProof/>
            <w:webHidden/>
          </w:rPr>
          <w:fldChar w:fldCharType="begin"/>
        </w:r>
        <w:r>
          <w:rPr>
            <w:noProof/>
            <w:webHidden/>
          </w:rPr>
          <w:instrText xml:space="preserve"> PAGEREF _Toc69879886 \h </w:instrText>
        </w:r>
        <w:r>
          <w:rPr>
            <w:noProof/>
            <w:webHidden/>
          </w:rPr>
        </w:r>
        <w:r>
          <w:rPr>
            <w:noProof/>
            <w:webHidden/>
          </w:rPr>
          <w:fldChar w:fldCharType="separate"/>
        </w:r>
        <w:r>
          <w:rPr>
            <w:noProof/>
            <w:webHidden/>
          </w:rPr>
          <w:t>897</w:t>
        </w:r>
        <w:r>
          <w:rPr>
            <w:noProof/>
            <w:webHidden/>
          </w:rPr>
          <w:fldChar w:fldCharType="end"/>
        </w:r>
      </w:hyperlink>
    </w:p>
    <w:p w:rsidR="00B42EF3" w:rsidRDefault="00B42EF3">
      <w:pPr>
        <w:pStyle w:val="TOC4"/>
        <w:rPr>
          <w:rFonts w:asciiTheme="minorHAnsi" w:eastAsiaTheme="minorEastAsia" w:hAnsiTheme="minorHAnsi" w:cstheme="minorBidi"/>
          <w:noProof/>
          <w:sz w:val="22"/>
          <w:szCs w:val="22"/>
        </w:rPr>
      </w:pPr>
      <w:hyperlink w:anchor="_Toc69879887" w:history="1">
        <w:r w:rsidRPr="00CC53E5">
          <w:rPr>
            <w:rStyle w:val="Hyperlink"/>
            <w:noProof/>
          </w:rPr>
          <w:t>3.8.4.2</w:t>
        </w:r>
        <w:r>
          <w:rPr>
            <w:rFonts w:asciiTheme="minorHAnsi" w:eastAsiaTheme="minorEastAsia" w:hAnsiTheme="minorHAnsi" w:cstheme="minorBidi"/>
            <w:noProof/>
            <w:sz w:val="22"/>
            <w:szCs w:val="22"/>
          </w:rPr>
          <w:tab/>
        </w:r>
        <w:r w:rsidRPr="00CC53E5">
          <w:rPr>
            <w:rStyle w:val="Hyperlink"/>
            <w:noProof/>
          </w:rPr>
          <w:t>Containment of Math runs and Math functions and objects</w:t>
        </w:r>
        <w:r>
          <w:rPr>
            <w:noProof/>
            <w:webHidden/>
          </w:rPr>
          <w:tab/>
        </w:r>
        <w:r>
          <w:rPr>
            <w:noProof/>
            <w:webHidden/>
          </w:rPr>
          <w:fldChar w:fldCharType="begin"/>
        </w:r>
        <w:r>
          <w:rPr>
            <w:noProof/>
            <w:webHidden/>
          </w:rPr>
          <w:instrText xml:space="preserve"> PAGEREF _Toc69879887 \h </w:instrText>
        </w:r>
        <w:r>
          <w:rPr>
            <w:noProof/>
            <w:webHidden/>
          </w:rPr>
        </w:r>
        <w:r>
          <w:rPr>
            <w:noProof/>
            <w:webHidden/>
          </w:rPr>
          <w:fldChar w:fldCharType="separate"/>
        </w:r>
        <w:r>
          <w:rPr>
            <w:noProof/>
            <w:webHidden/>
          </w:rPr>
          <w:t>897</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888" w:history="1">
        <w:r w:rsidRPr="00CC53E5">
          <w:rPr>
            <w:rStyle w:val="Hyperlink"/>
            <w:noProof/>
          </w:rPr>
          <w:t>3.8.5</w:t>
        </w:r>
        <w:r>
          <w:rPr>
            <w:rFonts w:asciiTheme="minorHAnsi" w:eastAsiaTheme="minorEastAsia" w:hAnsiTheme="minorHAnsi" w:cstheme="minorBidi"/>
            <w:noProof/>
            <w:sz w:val="22"/>
            <w:szCs w:val="22"/>
          </w:rPr>
          <w:tab/>
        </w:r>
        <w:r w:rsidRPr="00CC53E5">
          <w:rPr>
            <w:rStyle w:val="Hyperlink"/>
            <w:noProof/>
          </w:rPr>
          <w:t>Office Open XML Math elements which can contain Word 2003 XML elements</w:t>
        </w:r>
        <w:r>
          <w:rPr>
            <w:noProof/>
            <w:webHidden/>
          </w:rPr>
          <w:tab/>
        </w:r>
        <w:r>
          <w:rPr>
            <w:noProof/>
            <w:webHidden/>
          </w:rPr>
          <w:fldChar w:fldCharType="begin"/>
        </w:r>
        <w:r>
          <w:rPr>
            <w:noProof/>
            <w:webHidden/>
          </w:rPr>
          <w:instrText xml:space="preserve"> PAGEREF _Toc69879888 \h </w:instrText>
        </w:r>
        <w:r>
          <w:rPr>
            <w:noProof/>
            <w:webHidden/>
          </w:rPr>
        </w:r>
        <w:r>
          <w:rPr>
            <w:noProof/>
            <w:webHidden/>
          </w:rPr>
          <w:fldChar w:fldCharType="separate"/>
        </w:r>
        <w:r>
          <w:rPr>
            <w:noProof/>
            <w:webHidden/>
          </w:rPr>
          <w:t>898</w:t>
        </w:r>
        <w:r>
          <w:rPr>
            <w:noProof/>
            <w:webHidden/>
          </w:rPr>
          <w:fldChar w:fldCharType="end"/>
        </w:r>
      </w:hyperlink>
    </w:p>
    <w:p w:rsidR="00B42EF3" w:rsidRDefault="00B42EF3">
      <w:pPr>
        <w:pStyle w:val="TOC4"/>
        <w:rPr>
          <w:rFonts w:asciiTheme="minorHAnsi" w:eastAsiaTheme="minorEastAsia" w:hAnsiTheme="minorHAnsi" w:cstheme="minorBidi"/>
          <w:noProof/>
          <w:sz w:val="22"/>
          <w:szCs w:val="22"/>
        </w:rPr>
      </w:pPr>
      <w:hyperlink w:anchor="_Toc69879889" w:history="1">
        <w:r w:rsidRPr="00CC53E5">
          <w:rPr>
            <w:rStyle w:val="Hyperlink"/>
            <w:noProof/>
          </w:rPr>
          <w:t>3.8.5.1</w:t>
        </w:r>
        <w:r>
          <w:rPr>
            <w:rFonts w:asciiTheme="minorHAnsi" w:eastAsiaTheme="minorEastAsia" w:hAnsiTheme="minorHAnsi" w:cstheme="minorBidi"/>
            <w:noProof/>
            <w:sz w:val="22"/>
            <w:szCs w:val="22"/>
          </w:rPr>
          <w:tab/>
        </w:r>
        <w:r w:rsidRPr="00CC53E5">
          <w:rPr>
            <w:rStyle w:val="Hyperlink"/>
            <w:noProof/>
          </w:rPr>
          <w:t>Control Properties</w:t>
        </w:r>
        <w:r>
          <w:rPr>
            <w:noProof/>
            <w:webHidden/>
          </w:rPr>
          <w:tab/>
        </w:r>
        <w:r>
          <w:rPr>
            <w:noProof/>
            <w:webHidden/>
          </w:rPr>
          <w:fldChar w:fldCharType="begin"/>
        </w:r>
        <w:r>
          <w:rPr>
            <w:noProof/>
            <w:webHidden/>
          </w:rPr>
          <w:instrText xml:space="preserve"> PAGEREF _Toc69879889 \h </w:instrText>
        </w:r>
        <w:r>
          <w:rPr>
            <w:noProof/>
            <w:webHidden/>
          </w:rPr>
        </w:r>
        <w:r>
          <w:rPr>
            <w:noProof/>
            <w:webHidden/>
          </w:rPr>
          <w:fldChar w:fldCharType="separate"/>
        </w:r>
        <w:r>
          <w:rPr>
            <w:noProof/>
            <w:webHidden/>
          </w:rPr>
          <w:t>898</w:t>
        </w:r>
        <w:r>
          <w:rPr>
            <w:noProof/>
            <w:webHidden/>
          </w:rPr>
          <w:fldChar w:fldCharType="end"/>
        </w:r>
      </w:hyperlink>
    </w:p>
    <w:p w:rsidR="00B42EF3" w:rsidRDefault="00B42EF3">
      <w:pPr>
        <w:pStyle w:val="TOC4"/>
        <w:rPr>
          <w:rFonts w:asciiTheme="minorHAnsi" w:eastAsiaTheme="minorEastAsia" w:hAnsiTheme="minorHAnsi" w:cstheme="minorBidi"/>
          <w:noProof/>
          <w:sz w:val="22"/>
          <w:szCs w:val="22"/>
        </w:rPr>
      </w:pPr>
      <w:hyperlink w:anchor="_Toc69879890" w:history="1">
        <w:r w:rsidRPr="00CC53E5">
          <w:rPr>
            <w:rStyle w:val="Hyperlink"/>
            <w:noProof/>
          </w:rPr>
          <w:t>3.8.5.2</w:t>
        </w:r>
        <w:r>
          <w:rPr>
            <w:rFonts w:asciiTheme="minorHAnsi" w:eastAsiaTheme="minorEastAsia" w:hAnsiTheme="minorHAnsi" w:cstheme="minorBidi"/>
            <w:noProof/>
            <w:sz w:val="22"/>
            <w:szCs w:val="22"/>
          </w:rPr>
          <w:tab/>
        </w:r>
        <w:r w:rsidRPr="00CC53E5">
          <w:rPr>
            <w:rStyle w:val="Hyperlink"/>
            <w:noProof/>
          </w:rPr>
          <w:t>oMath and Math Arguments</w:t>
        </w:r>
        <w:r>
          <w:rPr>
            <w:noProof/>
            <w:webHidden/>
          </w:rPr>
          <w:tab/>
        </w:r>
        <w:r>
          <w:rPr>
            <w:noProof/>
            <w:webHidden/>
          </w:rPr>
          <w:fldChar w:fldCharType="begin"/>
        </w:r>
        <w:r>
          <w:rPr>
            <w:noProof/>
            <w:webHidden/>
          </w:rPr>
          <w:instrText xml:space="preserve"> PAGEREF _Toc69879890 \h </w:instrText>
        </w:r>
        <w:r>
          <w:rPr>
            <w:noProof/>
            <w:webHidden/>
          </w:rPr>
        </w:r>
        <w:r>
          <w:rPr>
            <w:noProof/>
            <w:webHidden/>
          </w:rPr>
          <w:fldChar w:fldCharType="separate"/>
        </w:r>
        <w:r>
          <w:rPr>
            <w:noProof/>
            <w:webHidden/>
          </w:rPr>
          <w:t>898</w:t>
        </w:r>
        <w:r>
          <w:rPr>
            <w:noProof/>
            <w:webHidden/>
          </w:rPr>
          <w:fldChar w:fldCharType="end"/>
        </w:r>
      </w:hyperlink>
    </w:p>
    <w:p w:rsidR="00B42EF3" w:rsidRDefault="00B42EF3">
      <w:pPr>
        <w:pStyle w:val="TOC4"/>
        <w:rPr>
          <w:rFonts w:asciiTheme="minorHAnsi" w:eastAsiaTheme="minorEastAsia" w:hAnsiTheme="minorHAnsi" w:cstheme="minorBidi"/>
          <w:noProof/>
          <w:sz w:val="22"/>
          <w:szCs w:val="22"/>
        </w:rPr>
      </w:pPr>
      <w:hyperlink w:anchor="_Toc69879891" w:history="1">
        <w:r w:rsidRPr="00CC53E5">
          <w:rPr>
            <w:rStyle w:val="Hyperlink"/>
            <w:noProof/>
          </w:rPr>
          <w:t>3.8.5.3</w:t>
        </w:r>
        <w:r>
          <w:rPr>
            <w:rFonts w:asciiTheme="minorHAnsi" w:eastAsiaTheme="minorEastAsia" w:hAnsiTheme="minorHAnsi" w:cstheme="minorBidi"/>
            <w:noProof/>
            <w:sz w:val="22"/>
            <w:szCs w:val="22"/>
          </w:rPr>
          <w:tab/>
        </w:r>
        <w:r w:rsidRPr="00CC53E5">
          <w:rPr>
            <w:rStyle w:val="Hyperlink"/>
            <w:noProof/>
          </w:rPr>
          <w:t>Math Run</w:t>
        </w:r>
        <w:r>
          <w:rPr>
            <w:noProof/>
            <w:webHidden/>
          </w:rPr>
          <w:tab/>
        </w:r>
        <w:r>
          <w:rPr>
            <w:noProof/>
            <w:webHidden/>
          </w:rPr>
          <w:fldChar w:fldCharType="begin"/>
        </w:r>
        <w:r>
          <w:rPr>
            <w:noProof/>
            <w:webHidden/>
          </w:rPr>
          <w:instrText xml:space="preserve"> PAGEREF _Toc69879891 \h </w:instrText>
        </w:r>
        <w:r>
          <w:rPr>
            <w:noProof/>
            <w:webHidden/>
          </w:rPr>
        </w:r>
        <w:r>
          <w:rPr>
            <w:noProof/>
            <w:webHidden/>
          </w:rPr>
          <w:fldChar w:fldCharType="separate"/>
        </w:r>
        <w:r>
          <w:rPr>
            <w:noProof/>
            <w:webHidden/>
          </w:rPr>
          <w:t>898</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892" w:history="1">
        <w:r w:rsidRPr="00CC53E5">
          <w:rPr>
            <w:rStyle w:val="Hyperlink"/>
            <w:noProof/>
          </w:rPr>
          <w:t>3.8.6</w:t>
        </w:r>
        <w:r>
          <w:rPr>
            <w:rFonts w:asciiTheme="minorHAnsi" w:eastAsiaTheme="minorEastAsia" w:hAnsiTheme="minorHAnsi" w:cstheme="minorBidi"/>
            <w:noProof/>
            <w:sz w:val="22"/>
            <w:szCs w:val="22"/>
          </w:rPr>
          <w:tab/>
        </w:r>
        <w:r w:rsidRPr="00CC53E5">
          <w:rPr>
            <w:rStyle w:val="Hyperlink"/>
            <w:noProof/>
          </w:rPr>
          <w:t>Limitations in Word</w:t>
        </w:r>
        <w:r>
          <w:rPr>
            <w:noProof/>
            <w:webHidden/>
          </w:rPr>
          <w:tab/>
        </w:r>
        <w:r>
          <w:rPr>
            <w:noProof/>
            <w:webHidden/>
          </w:rPr>
          <w:fldChar w:fldCharType="begin"/>
        </w:r>
        <w:r>
          <w:rPr>
            <w:noProof/>
            <w:webHidden/>
          </w:rPr>
          <w:instrText xml:space="preserve"> PAGEREF _Toc69879892 \h </w:instrText>
        </w:r>
        <w:r>
          <w:rPr>
            <w:noProof/>
            <w:webHidden/>
          </w:rPr>
        </w:r>
        <w:r>
          <w:rPr>
            <w:noProof/>
            <w:webHidden/>
          </w:rPr>
          <w:fldChar w:fldCharType="separate"/>
        </w:r>
        <w:r>
          <w:rPr>
            <w:noProof/>
            <w:webHidden/>
          </w:rPr>
          <w:t>899</w:t>
        </w:r>
        <w:r>
          <w:rPr>
            <w:noProof/>
            <w:webHidden/>
          </w:rPr>
          <w:fldChar w:fldCharType="end"/>
        </w:r>
      </w:hyperlink>
    </w:p>
    <w:p w:rsidR="00B42EF3" w:rsidRDefault="00B42EF3">
      <w:pPr>
        <w:pStyle w:val="TOC2"/>
        <w:rPr>
          <w:rFonts w:asciiTheme="minorHAnsi" w:eastAsiaTheme="minorEastAsia" w:hAnsiTheme="minorHAnsi" w:cstheme="minorBidi"/>
          <w:noProof/>
          <w:sz w:val="22"/>
          <w:szCs w:val="22"/>
        </w:rPr>
      </w:pPr>
      <w:hyperlink w:anchor="_Toc69879893" w:history="1">
        <w:r w:rsidRPr="00CC53E5">
          <w:rPr>
            <w:rStyle w:val="Hyperlink"/>
            <w:noProof/>
          </w:rPr>
          <w:t>3.9</w:t>
        </w:r>
        <w:r>
          <w:rPr>
            <w:rFonts w:asciiTheme="minorHAnsi" w:eastAsiaTheme="minorEastAsia" w:hAnsiTheme="minorHAnsi" w:cstheme="minorBidi"/>
            <w:noProof/>
            <w:sz w:val="22"/>
            <w:szCs w:val="22"/>
          </w:rPr>
          <w:tab/>
        </w:r>
        <w:r w:rsidRPr="00CC53E5">
          <w:rPr>
            <w:rStyle w:val="Hyperlink"/>
            <w:noProof/>
          </w:rPr>
          <w:t>Simple Types</w:t>
        </w:r>
        <w:r>
          <w:rPr>
            <w:noProof/>
            <w:webHidden/>
          </w:rPr>
          <w:tab/>
        </w:r>
        <w:r>
          <w:rPr>
            <w:noProof/>
            <w:webHidden/>
          </w:rPr>
          <w:fldChar w:fldCharType="begin"/>
        </w:r>
        <w:r>
          <w:rPr>
            <w:noProof/>
            <w:webHidden/>
          </w:rPr>
          <w:instrText xml:space="preserve"> PAGEREF _Toc69879893 \h </w:instrText>
        </w:r>
        <w:r>
          <w:rPr>
            <w:noProof/>
            <w:webHidden/>
          </w:rPr>
        </w:r>
        <w:r>
          <w:rPr>
            <w:noProof/>
            <w:webHidden/>
          </w:rPr>
          <w:fldChar w:fldCharType="separate"/>
        </w:r>
        <w:r>
          <w:rPr>
            <w:noProof/>
            <w:webHidden/>
          </w:rPr>
          <w:t>899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894" w:history="1">
        <w:r w:rsidRPr="00CC53E5">
          <w:rPr>
            <w:rStyle w:val="Hyperlink"/>
            <w:noProof/>
          </w:rPr>
          <w:t>3.9.1</w:t>
        </w:r>
        <w:r>
          <w:rPr>
            <w:rFonts w:asciiTheme="minorHAnsi" w:eastAsiaTheme="minorEastAsia" w:hAnsiTheme="minorHAnsi" w:cstheme="minorBidi"/>
            <w:noProof/>
            <w:sz w:val="22"/>
            <w:szCs w:val="22"/>
          </w:rPr>
          <w:tab/>
        </w:r>
        <w:r w:rsidRPr="00CC53E5">
          <w:rPr>
            <w:rStyle w:val="Hyperlink"/>
            <w:noProof/>
          </w:rPr>
          <w:t>ST_Fraction (Fraction Type)</w:t>
        </w:r>
        <w:r>
          <w:rPr>
            <w:noProof/>
            <w:webHidden/>
          </w:rPr>
          <w:tab/>
        </w:r>
        <w:r>
          <w:rPr>
            <w:noProof/>
            <w:webHidden/>
          </w:rPr>
          <w:fldChar w:fldCharType="begin"/>
        </w:r>
        <w:r>
          <w:rPr>
            <w:noProof/>
            <w:webHidden/>
          </w:rPr>
          <w:instrText xml:space="preserve"> PAGEREF _Toc69879894 \h </w:instrText>
        </w:r>
        <w:r>
          <w:rPr>
            <w:noProof/>
            <w:webHidden/>
          </w:rPr>
        </w:r>
        <w:r>
          <w:rPr>
            <w:noProof/>
            <w:webHidden/>
          </w:rPr>
          <w:fldChar w:fldCharType="separate"/>
        </w:r>
        <w:r>
          <w:rPr>
            <w:noProof/>
            <w:webHidden/>
          </w:rPr>
          <w:t>899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895" w:history="1">
        <w:r w:rsidRPr="00CC53E5">
          <w:rPr>
            <w:rStyle w:val="Hyperlink"/>
            <w:noProof/>
          </w:rPr>
          <w:t>3.9.2</w:t>
        </w:r>
        <w:r>
          <w:rPr>
            <w:rFonts w:asciiTheme="minorHAnsi" w:eastAsiaTheme="minorEastAsia" w:hAnsiTheme="minorHAnsi" w:cstheme="minorBidi"/>
            <w:noProof/>
            <w:sz w:val="22"/>
            <w:szCs w:val="22"/>
          </w:rPr>
          <w:tab/>
        </w:r>
        <w:r w:rsidRPr="00CC53E5">
          <w:rPr>
            <w:rStyle w:val="Hyperlink"/>
            <w:noProof/>
          </w:rPr>
          <w:t>ST_Macro (Custom Function Name Type)</w:t>
        </w:r>
        <w:r>
          <w:rPr>
            <w:noProof/>
            <w:webHidden/>
          </w:rPr>
          <w:tab/>
        </w:r>
        <w:r>
          <w:rPr>
            <w:noProof/>
            <w:webHidden/>
          </w:rPr>
          <w:fldChar w:fldCharType="begin"/>
        </w:r>
        <w:r>
          <w:rPr>
            <w:noProof/>
            <w:webHidden/>
          </w:rPr>
          <w:instrText xml:space="preserve"> PAGEREF _Toc69879895 \h </w:instrText>
        </w:r>
        <w:r>
          <w:rPr>
            <w:noProof/>
            <w:webHidden/>
          </w:rPr>
        </w:r>
        <w:r>
          <w:rPr>
            <w:noProof/>
            <w:webHidden/>
          </w:rPr>
          <w:fldChar w:fldCharType="separate"/>
        </w:r>
        <w:r>
          <w:rPr>
            <w:noProof/>
            <w:webHidden/>
          </w:rPr>
          <w:t>899</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896" w:history="1">
        <w:r w:rsidRPr="00CC53E5">
          <w:rPr>
            <w:rStyle w:val="Hyperlink"/>
            <w:noProof/>
          </w:rPr>
          <w:t>3.9.3</w:t>
        </w:r>
        <w:r>
          <w:rPr>
            <w:rFonts w:asciiTheme="minorHAnsi" w:eastAsiaTheme="minorEastAsia" w:hAnsiTheme="minorHAnsi" w:cstheme="minorBidi"/>
            <w:noProof/>
            <w:sz w:val="22"/>
            <w:szCs w:val="22"/>
          </w:rPr>
          <w:tab/>
        </w:r>
        <w:r w:rsidRPr="00CC53E5">
          <w:rPr>
            <w:rStyle w:val="Hyperlink"/>
            <w:noProof/>
          </w:rPr>
          <w:t>ST_ObjID (Object ID)</w:t>
        </w:r>
        <w:r>
          <w:rPr>
            <w:noProof/>
            <w:webHidden/>
          </w:rPr>
          <w:tab/>
        </w:r>
        <w:r>
          <w:rPr>
            <w:noProof/>
            <w:webHidden/>
          </w:rPr>
          <w:fldChar w:fldCharType="begin"/>
        </w:r>
        <w:r>
          <w:rPr>
            <w:noProof/>
            <w:webHidden/>
          </w:rPr>
          <w:instrText xml:space="preserve"> PAGEREF _Toc69879896 \h </w:instrText>
        </w:r>
        <w:r>
          <w:rPr>
            <w:noProof/>
            <w:webHidden/>
          </w:rPr>
        </w:r>
        <w:r>
          <w:rPr>
            <w:noProof/>
            <w:webHidden/>
          </w:rPr>
          <w:fldChar w:fldCharType="separate"/>
        </w:r>
        <w:r>
          <w:rPr>
            <w:noProof/>
            <w:webHidden/>
          </w:rPr>
          <w:t>900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897" w:history="1">
        <w:r w:rsidRPr="00CC53E5">
          <w:rPr>
            <w:rStyle w:val="Hyperlink"/>
            <w:noProof/>
          </w:rPr>
          <w:t>3.9.4</w:t>
        </w:r>
        <w:r>
          <w:rPr>
            <w:rFonts w:asciiTheme="minorHAnsi" w:eastAsiaTheme="minorEastAsia" w:hAnsiTheme="minorHAnsi" w:cstheme="minorBidi"/>
            <w:noProof/>
            <w:sz w:val="22"/>
            <w:szCs w:val="22"/>
          </w:rPr>
          <w:tab/>
        </w:r>
        <w:r w:rsidRPr="00CC53E5">
          <w:rPr>
            <w:rStyle w:val="Hyperlink"/>
            <w:noProof/>
          </w:rPr>
          <w:t>ST_ObjIDRef (Object ID Reference)</w:t>
        </w:r>
        <w:r>
          <w:rPr>
            <w:noProof/>
            <w:webHidden/>
          </w:rPr>
          <w:tab/>
        </w:r>
        <w:r>
          <w:rPr>
            <w:noProof/>
            <w:webHidden/>
          </w:rPr>
          <w:fldChar w:fldCharType="begin"/>
        </w:r>
        <w:r>
          <w:rPr>
            <w:noProof/>
            <w:webHidden/>
          </w:rPr>
          <w:instrText xml:space="preserve"> PAGEREF _Toc69879897 \h </w:instrText>
        </w:r>
        <w:r>
          <w:rPr>
            <w:noProof/>
            <w:webHidden/>
          </w:rPr>
        </w:r>
        <w:r>
          <w:rPr>
            <w:noProof/>
            <w:webHidden/>
          </w:rPr>
          <w:fldChar w:fldCharType="separate"/>
        </w:r>
        <w:r>
          <w:rPr>
            <w:noProof/>
            <w:webHidden/>
          </w:rPr>
          <w:t>900</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898" w:history="1">
        <w:r w:rsidRPr="00CC53E5">
          <w:rPr>
            <w:rStyle w:val="Hyperlink"/>
            <w:noProof/>
          </w:rPr>
          <w:t>3.9.5</w:t>
        </w:r>
        <w:r>
          <w:rPr>
            <w:rFonts w:asciiTheme="minorHAnsi" w:eastAsiaTheme="minorEastAsia" w:hAnsiTheme="minorHAnsi" w:cstheme="minorBidi"/>
            <w:noProof/>
            <w:sz w:val="22"/>
            <w:szCs w:val="22"/>
          </w:rPr>
          <w:tab/>
        </w:r>
        <w:r w:rsidRPr="00CC53E5">
          <w:rPr>
            <w:rStyle w:val="Hyperlink"/>
            <w:noProof/>
          </w:rPr>
          <w:t>ST_ShapeType (Shape Type)</w:t>
        </w:r>
        <w:r>
          <w:rPr>
            <w:noProof/>
            <w:webHidden/>
          </w:rPr>
          <w:tab/>
        </w:r>
        <w:r>
          <w:rPr>
            <w:noProof/>
            <w:webHidden/>
          </w:rPr>
          <w:fldChar w:fldCharType="begin"/>
        </w:r>
        <w:r>
          <w:rPr>
            <w:noProof/>
            <w:webHidden/>
          </w:rPr>
          <w:instrText xml:space="preserve"> PAGEREF _Toc69879898 \h </w:instrText>
        </w:r>
        <w:r>
          <w:rPr>
            <w:noProof/>
            <w:webHidden/>
          </w:rPr>
        </w:r>
        <w:r>
          <w:rPr>
            <w:noProof/>
            <w:webHidden/>
          </w:rPr>
          <w:fldChar w:fldCharType="separate"/>
        </w:r>
        <w:r>
          <w:rPr>
            <w:noProof/>
            <w:webHidden/>
          </w:rPr>
          <w:t>901</w:t>
        </w:r>
        <w:r>
          <w:rPr>
            <w:noProof/>
            <w:webHidden/>
          </w:rPr>
          <w:fldChar w:fldCharType="end"/>
        </w:r>
      </w:hyperlink>
    </w:p>
    <w:p w:rsidR="00B42EF3" w:rsidRDefault="00B42EF3">
      <w:pPr>
        <w:pStyle w:val="TOC3"/>
        <w:rPr>
          <w:rFonts w:asciiTheme="minorHAnsi" w:eastAsiaTheme="minorEastAsia" w:hAnsiTheme="minorHAnsi" w:cstheme="minorBidi"/>
          <w:noProof/>
          <w:sz w:val="22"/>
          <w:szCs w:val="22"/>
        </w:rPr>
      </w:pPr>
      <w:hyperlink w:anchor="_Toc69879899" w:history="1">
        <w:r w:rsidRPr="00CC53E5">
          <w:rPr>
            <w:rStyle w:val="Hyperlink"/>
            <w:noProof/>
          </w:rPr>
          <w:t>3.9.6</w:t>
        </w:r>
        <w:r>
          <w:rPr>
            <w:rFonts w:asciiTheme="minorHAnsi" w:eastAsiaTheme="minorEastAsia" w:hAnsiTheme="minorHAnsi" w:cstheme="minorBidi"/>
            <w:noProof/>
            <w:sz w:val="22"/>
            <w:szCs w:val="22"/>
          </w:rPr>
          <w:tab/>
        </w:r>
        <w:r w:rsidRPr="00CC53E5">
          <w:rPr>
            <w:rStyle w:val="Hyperlink"/>
            <w:noProof/>
          </w:rPr>
          <w:t>ST_SpId (Shape ID Type)</w:t>
        </w:r>
        <w:r>
          <w:rPr>
            <w:noProof/>
            <w:webHidden/>
          </w:rPr>
          <w:tab/>
        </w:r>
        <w:r>
          <w:rPr>
            <w:noProof/>
            <w:webHidden/>
          </w:rPr>
          <w:fldChar w:fldCharType="begin"/>
        </w:r>
        <w:r>
          <w:rPr>
            <w:noProof/>
            <w:webHidden/>
          </w:rPr>
          <w:instrText xml:space="preserve"> PAGEREF _Toc69879899 \h </w:instrText>
        </w:r>
        <w:r>
          <w:rPr>
            <w:noProof/>
            <w:webHidden/>
          </w:rPr>
        </w:r>
        <w:r>
          <w:rPr>
            <w:noProof/>
            <w:webHidden/>
          </w:rPr>
          <w:fldChar w:fldCharType="separate"/>
        </w:r>
        <w:r>
          <w:rPr>
            <w:noProof/>
            <w:webHidden/>
          </w:rPr>
          <w:t>905</w:t>
        </w:r>
        <w:r>
          <w:rPr>
            <w:noProof/>
            <w:webHidden/>
          </w:rPr>
          <w:fldChar w:fldCharType="end"/>
        </w:r>
      </w:hyperlink>
    </w:p>
    <w:p w:rsidR="00B42EF3" w:rsidRDefault="00B42EF3">
      <w:pPr>
        <w:pStyle w:val="TOC1"/>
        <w:rPr>
          <w:rFonts w:asciiTheme="minorHAnsi" w:eastAsiaTheme="minorEastAsia" w:hAnsiTheme="minorHAnsi" w:cstheme="minorBidi"/>
          <w:b w:val="0"/>
          <w:bCs w:val="0"/>
          <w:noProof/>
          <w:sz w:val="22"/>
          <w:szCs w:val="22"/>
        </w:rPr>
      </w:pPr>
      <w:hyperlink w:anchor="_Toc69879900" w:history="1">
        <w:r w:rsidRPr="00CC53E5">
          <w:rPr>
            <w:rStyle w:val="Hyperlink"/>
            <w:noProof/>
          </w:rPr>
          <w:t>4</w:t>
        </w:r>
        <w:r>
          <w:rPr>
            <w:rFonts w:asciiTheme="minorHAnsi" w:eastAsiaTheme="minorEastAsia" w:hAnsiTheme="minorHAnsi" w:cstheme="minorBidi"/>
            <w:b w:val="0"/>
            <w:bCs w:val="0"/>
            <w:noProof/>
            <w:sz w:val="22"/>
            <w:szCs w:val="22"/>
          </w:rPr>
          <w:tab/>
        </w:r>
        <w:r w:rsidRPr="00CC53E5">
          <w:rPr>
            <w:rStyle w:val="Hyperlink"/>
            <w:noProof/>
          </w:rPr>
          <w:t>Change Tracking</w:t>
        </w:r>
        <w:r>
          <w:rPr>
            <w:noProof/>
            <w:webHidden/>
          </w:rPr>
          <w:tab/>
        </w:r>
        <w:r>
          <w:rPr>
            <w:noProof/>
            <w:webHidden/>
          </w:rPr>
          <w:fldChar w:fldCharType="begin"/>
        </w:r>
        <w:r>
          <w:rPr>
            <w:noProof/>
            <w:webHidden/>
          </w:rPr>
          <w:instrText xml:space="preserve"> PAGEREF _Toc69879900 \h </w:instrText>
        </w:r>
        <w:r>
          <w:rPr>
            <w:noProof/>
            <w:webHidden/>
          </w:rPr>
        </w:r>
        <w:r>
          <w:rPr>
            <w:noProof/>
            <w:webHidden/>
          </w:rPr>
          <w:fldChar w:fldCharType="separate"/>
        </w:r>
        <w:r>
          <w:rPr>
            <w:noProof/>
            <w:webHidden/>
          </w:rPr>
          <w:t>907</w:t>
        </w:r>
        <w:r>
          <w:rPr>
            <w:noProof/>
            <w:webHidden/>
          </w:rPr>
          <w:fldChar w:fldCharType="end"/>
        </w:r>
      </w:hyperlink>
    </w:p>
    <w:p w:rsidR="00B42EF3" w:rsidRDefault="00B42EF3">
      <w:pPr>
        <w:pStyle w:val="TOC1"/>
        <w:rPr>
          <w:rFonts w:asciiTheme="minorHAnsi" w:eastAsiaTheme="minorEastAsia" w:hAnsiTheme="minorHAnsi" w:cstheme="minorBidi"/>
          <w:b w:val="0"/>
          <w:bCs w:val="0"/>
          <w:noProof/>
          <w:sz w:val="22"/>
          <w:szCs w:val="22"/>
        </w:rPr>
      </w:pPr>
      <w:hyperlink w:anchor="_Toc69879901" w:history="1">
        <w:r w:rsidRPr="00CC53E5">
          <w:rPr>
            <w:rStyle w:val="Hyperlink"/>
            <w:noProof/>
          </w:rPr>
          <w:t>5</w:t>
        </w:r>
        <w:r>
          <w:rPr>
            <w:rFonts w:asciiTheme="minorHAnsi" w:eastAsiaTheme="minorEastAsia" w:hAnsiTheme="minorHAnsi" w:cstheme="minorBidi"/>
            <w:b w:val="0"/>
            <w:bCs w:val="0"/>
            <w:noProof/>
            <w:sz w:val="22"/>
            <w:szCs w:val="22"/>
          </w:rPr>
          <w:tab/>
        </w:r>
        <w:r w:rsidRPr="00CC53E5">
          <w:rPr>
            <w:rStyle w:val="Hyperlink"/>
            <w:noProof/>
          </w:rPr>
          <w:t>Index</w:t>
        </w:r>
        <w:r>
          <w:rPr>
            <w:noProof/>
            <w:webHidden/>
          </w:rPr>
          <w:tab/>
        </w:r>
        <w:r>
          <w:rPr>
            <w:noProof/>
            <w:webHidden/>
          </w:rPr>
          <w:fldChar w:fldCharType="begin"/>
        </w:r>
        <w:r>
          <w:rPr>
            <w:noProof/>
            <w:webHidden/>
          </w:rPr>
          <w:instrText xml:space="preserve"> PAGEREF _Toc69879901 \h </w:instrText>
        </w:r>
        <w:r>
          <w:rPr>
            <w:noProof/>
            <w:webHidden/>
          </w:rPr>
        </w:r>
        <w:r>
          <w:rPr>
            <w:noProof/>
            <w:webHidden/>
          </w:rPr>
          <w:fldChar w:fldCharType="separate"/>
        </w:r>
        <w:r>
          <w:rPr>
            <w:noProof/>
            <w:webHidden/>
          </w:rPr>
          <w:t>908</w:t>
        </w:r>
        <w:r>
          <w:rPr>
            <w:noProof/>
            <w:webHidden/>
          </w:rPr>
          <w:fldChar w:fldCharType="end"/>
        </w:r>
      </w:hyperlink>
    </w:p>
    <w:p w:rsidR="005F78FC" w:rsidRDefault="00B42EF3">
      <w:r>
        <w:fldChar w:fldCharType="end"/>
      </w:r>
    </w:p>
    <w:p w:rsidR="005F78FC" w:rsidRDefault="00B42EF3">
      <w:pPr>
        <w:pStyle w:val="Heading1"/>
      </w:pPr>
      <w:bookmarkStart w:id="1" w:name="section_cc8df712c9b7445087ba208fd1079a2a"/>
      <w:bookmarkStart w:id="2" w:name="_Toc69877775"/>
      <w:r>
        <w:lastRenderedPageBreak/>
        <w:t>Introduction</w:t>
      </w:r>
      <w:bookmarkEnd w:id="1"/>
      <w:bookmarkEnd w:id="2"/>
      <w:r>
        <w:fldChar w:fldCharType="begin"/>
      </w:r>
      <w:r>
        <w:instrText xml:space="preserve"> XE "Introduction" </w:instrText>
      </w:r>
      <w:r>
        <w:fldChar w:fldCharType="end"/>
      </w:r>
    </w:p>
    <w:p w:rsidR="005F78FC" w:rsidRDefault="00B42EF3">
      <w:r>
        <w:t>In creating an interoperable implementation, it may be helpful to understand specific implementation choices made by other products implementing the same standard. For example, portions of the standard may provide only general guidance, leaving specific im</w:t>
      </w:r>
      <w:r>
        <w:t>plementation choices up to the application implementer; in some circumstances, it may be helpful for other implementers to understand those choices. In addition, products often vary from or extend standards either because of application deviations or to al</w:t>
      </w:r>
      <w:r>
        <w:t xml:space="preserve">low for use scenarios not originally envisioned by the specifications. Documentation of those variations and/or extensions may also be helpful to other implementers. </w:t>
      </w:r>
    </w:p>
    <w:p w:rsidR="005F78FC" w:rsidRDefault="00B42EF3">
      <w:r>
        <w:t xml:space="preserve">The implementer notes contained in this document provide information about how Office implements ISO/IEC-29500 Office Open XML File Formats </w:t>
      </w:r>
      <w:hyperlink r:id="rId15">
        <w:r>
          <w:rPr>
            <w:rStyle w:val="Hyperlink"/>
          </w:rPr>
          <w:t>[ISO/IEC29500:2012]</w:t>
        </w:r>
      </w:hyperlink>
      <w:r>
        <w:t>, including areas where additio</w:t>
      </w:r>
      <w:r>
        <w:t>nal detail may be of benefit to other implementers and areas where the product is known to vary from or extend the specification.</w:t>
      </w:r>
    </w:p>
    <w:p w:rsidR="005F78FC" w:rsidRDefault="00B42EF3">
      <w:pPr>
        <w:pStyle w:val="Heading2"/>
      </w:pPr>
      <w:bookmarkStart w:id="3" w:name="section_844a3afe7f7f4ff8bcd759e7a6a4b1ea"/>
      <w:bookmarkStart w:id="4" w:name="_Toc69877776"/>
      <w:r>
        <w:t>Glossary</w:t>
      </w:r>
      <w:bookmarkEnd w:id="3"/>
      <w:bookmarkEnd w:id="4"/>
      <w:r>
        <w:fldChar w:fldCharType="begin"/>
      </w:r>
      <w:r>
        <w:instrText xml:space="preserve"> XE "Glossary" </w:instrText>
      </w:r>
      <w:r>
        <w:fldChar w:fldCharType="end"/>
      </w:r>
    </w:p>
    <w:p w:rsidR="005F78FC" w:rsidRDefault="00B42EF3">
      <w:r>
        <w:t>This document uses the following terms:</w:t>
      </w:r>
    </w:p>
    <w:p w:rsidR="005F78FC" w:rsidRDefault="00B42EF3">
      <w:pPr>
        <w:ind w:left="548" w:hanging="274"/>
      </w:pPr>
      <w:bookmarkStart w:id="5" w:name="gt_ff35237a-a497-42aa-b0d5-7a0116328759"/>
      <w:r>
        <w:rPr>
          <w:b/>
        </w:rPr>
        <w:t>Information Rights Management (IRM)</w:t>
      </w:r>
      <w:r>
        <w:t>: A technology that provi</w:t>
      </w:r>
      <w:r>
        <w:t>des persistent protection to digital data by using encryption, certificates, and authentication. Authorized recipients or users acquire a license to gain access to the protected files according to the rights or business rules that are set by the content ow</w:t>
      </w:r>
      <w:r>
        <w:t>ner.</w:t>
      </w:r>
      <w:bookmarkEnd w:id="5"/>
    </w:p>
    <w:p w:rsidR="005F78FC" w:rsidRDefault="00B42EF3">
      <w:pPr>
        <w:ind w:left="548" w:hanging="274"/>
      </w:pPr>
      <w:bookmarkStart w:id="6" w:name="gt_ae6b3334-fd18-48b8-81a1-70580357c7ea"/>
      <w:r>
        <w:rPr>
          <w:b/>
        </w:rPr>
        <w:t>sensitivity label metadata</w:t>
      </w:r>
      <w:r>
        <w:t>: Information specific to a particular instance of one or more sensitivity labels as applied to content.</w:t>
      </w:r>
      <w:bookmarkEnd w:id="6"/>
    </w:p>
    <w:p w:rsidR="005F78FC" w:rsidRDefault="00B42EF3">
      <w:pPr>
        <w:ind w:left="548" w:hanging="274"/>
      </w:pPr>
      <w:bookmarkStart w:id="7" w:name="gt_f3529cd8-50da-4f36-aa0b-66af455edbb6"/>
      <w:r>
        <w:rPr>
          <w:b/>
        </w:rPr>
        <w:t>stream</w:t>
      </w:r>
      <w:r>
        <w:t xml:space="preserve">: An element of a compound file, as described in </w:t>
      </w:r>
      <w:hyperlink r:id="rId16" w:anchor="Section_53989ce47b054f8d829bd08d6148375b">
        <w:r>
          <w:rPr>
            <w:rStyle w:val="Hyperlink"/>
          </w:rPr>
          <w:t>[MS-CFB]</w:t>
        </w:r>
      </w:hyperlink>
      <w:r>
        <w:t>. A stream contains a sequence of bytes that can be read from or written to by an application, and they can exist only in storages.</w:t>
      </w:r>
      <w:bookmarkEnd w:id="7"/>
    </w:p>
    <w:p w:rsidR="005F78FC" w:rsidRDefault="00B42EF3">
      <w:pPr>
        <w:ind w:left="548" w:hanging="274"/>
      </w:pPr>
      <w:r>
        <w:rPr>
          <w:b/>
        </w:rPr>
        <w:t>MAY, SHOULD, MUST, SHOULD NOT, MUST NOT:</w:t>
      </w:r>
      <w:r>
        <w:t xml:space="preserve"> These terms (in all caps) are used as defined in </w:t>
      </w:r>
      <w:hyperlink r:id="rId17">
        <w:r>
          <w:rPr>
            <w:rStyle w:val="Hyperlink"/>
          </w:rPr>
          <w:t>[RFC2119]</w:t>
        </w:r>
      </w:hyperlink>
      <w:r>
        <w:t>. All statements of optional behavior use either MAY, SHOULD, or SHOULD NOT.</w:t>
      </w:r>
    </w:p>
    <w:p w:rsidR="005F78FC" w:rsidRDefault="00B42EF3">
      <w:pPr>
        <w:pStyle w:val="Heading2"/>
      </w:pPr>
      <w:bookmarkStart w:id="8" w:name="section_d407dfa99fa74df9b932eae91729f7a0"/>
      <w:bookmarkStart w:id="9" w:name="_Toc69877777"/>
      <w:r>
        <w:t>References</w:t>
      </w:r>
      <w:bookmarkEnd w:id="8"/>
      <w:bookmarkEnd w:id="9"/>
    </w:p>
    <w:p w:rsidR="005F78FC" w:rsidRDefault="00B42EF3">
      <w:r w:rsidRPr="00301053">
        <w:t>Links to a document in the Microsoft Open Specifications library point to the correct section in the most r</w:t>
      </w:r>
      <w:r w:rsidRPr="00301053">
        <w:t xml:space="preserve">ecently published version of the referenced document. However, because individual documents in the library are not updated at the same time, the section numbers in the documents may not match. You can confirm the correct section numbering by checking the </w:t>
      </w:r>
      <w:hyperlink r:id="rId18" w:history="1">
        <w:r w:rsidRPr="00874DB6">
          <w:rPr>
            <w:rStyle w:val="Hyperlink"/>
          </w:rPr>
          <w:t>Errata</w:t>
        </w:r>
      </w:hyperlink>
      <w:r w:rsidRPr="00301053">
        <w:t xml:space="preserve">.  </w:t>
      </w:r>
    </w:p>
    <w:p w:rsidR="005F78FC" w:rsidRDefault="00B42EF3">
      <w:pPr>
        <w:pStyle w:val="Heading3"/>
      </w:pPr>
      <w:bookmarkStart w:id="10" w:name="section_d4b9098aeabb46c4a334260d55267084"/>
      <w:bookmarkStart w:id="11" w:name="_Toc69877778"/>
      <w:r>
        <w:t>Normative References</w:t>
      </w:r>
      <w:bookmarkEnd w:id="10"/>
      <w:bookmarkEnd w:id="11"/>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5F78FC" w:rsidRDefault="00B42EF3">
      <w:r>
        <w:t>We conduct frequent surveys of the normative references to assure their continued availability. If you ha</w:t>
      </w:r>
      <w:r>
        <w:t xml:space="preserve">ve any issue with finding a normative reference, please contact </w:t>
      </w:r>
      <w:hyperlink r:id="rId19" w:history="1">
        <w:r>
          <w:rPr>
            <w:rStyle w:val="Hyperlink"/>
          </w:rPr>
          <w:t>dochelp@microsoft.com</w:t>
        </w:r>
      </w:hyperlink>
      <w:r>
        <w:t xml:space="preserve">. We will assist you in finding the relevant information. </w:t>
      </w:r>
    </w:p>
    <w:p w:rsidR="005F78FC" w:rsidRDefault="00B42EF3">
      <w:pPr>
        <w:spacing w:after="200"/>
      </w:pPr>
      <w:r>
        <w:t>[AIM-BC1-1995-Code39] AIM, "Information technology Automatic identi</w:t>
      </w:r>
      <w:r>
        <w:t xml:space="preserve">fication and data capture techniques Code 39 bar code symbology specification", </w:t>
      </w:r>
      <w:hyperlink r:id="rId20">
        <w:r>
          <w:rPr>
            <w:rStyle w:val="Hyperlink"/>
          </w:rPr>
          <w:t>https://aimglobal.site-ym.com/store/ViewProduct.aspx?id=2759598</w:t>
        </w:r>
      </w:hyperlink>
    </w:p>
    <w:p w:rsidR="005F78FC" w:rsidRDefault="00B42EF3">
      <w:r>
        <w:rPr>
          <w:b/>
        </w:rPr>
        <w:t xml:space="preserve">Note </w:t>
      </w:r>
      <w:r>
        <w:t>There is a charge to download this specif</w:t>
      </w:r>
      <w:r>
        <w:t>ication.</w:t>
      </w:r>
    </w:p>
    <w:p w:rsidR="005F78FC" w:rsidRDefault="00B42EF3">
      <w:pPr>
        <w:spacing w:after="200"/>
      </w:pPr>
      <w:r>
        <w:t xml:space="preserve">[AIM-BC3-1995-Codabar] AIM, "AIM BC3-1995 - USS - Codabar", </w:t>
      </w:r>
      <w:hyperlink r:id="rId21">
        <w:r>
          <w:rPr>
            <w:rStyle w:val="Hyperlink"/>
          </w:rPr>
          <w:t>https://aimglobal.site-ym.com/store/ViewProduct.aspx?id=1586895</w:t>
        </w:r>
      </w:hyperlink>
    </w:p>
    <w:p w:rsidR="005F78FC" w:rsidRDefault="00B42EF3">
      <w:r>
        <w:rPr>
          <w:b/>
        </w:rPr>
        <w:t xml:space="preserve">Note </w:t>
      </w:r>
      <w:r>
        <w:t>There is a charge to download this specification.</w:t>
      </w:r>
    </w:p>
    <w:p w:rsidR="005F78FC" w:rsidRDefault="00B42EF3">
      <w:pPr>
        <w:spacing w:after="200"/>
      </w:pPr>
      <w:r>
        <w:lastRenderedPageBreak/>
        <w:t>[A</w:t>
      </w:r>
      <w:r>
        <w:t xml:space="preserve">IM-BC4-1995-Code128] AIM, "ISO/IEC 15417:2007-Information technology Automatic identification and data capture techniques Code 128 bar code symbology specification", </w:t>
      </w:r>
      <w:hyperlink r:id="rId22">
        <w:r>
          <w:rPr>
            <w:rStyle w:val="Hyperlink"/>
          </w:rPr>
          <w:t>https://aimglobal.site-y</w:t>
        </w:r>
        <w:r>
          <w:rPr>
            <w:rStyle w:val="Hyperlink"/>
          </w:rPr>
          <w:t>m.com/store/ViewProduct.aspx?id=1326663</w:t>
        </w:r>
      </w:hyperlink>
    </w:p>
    <w:p w:rsidR="005F78FC" w:rsidRDefault="00B42EF3">
      <w:r>
        <w:rPr>
          <w:b/>
        </w:rPr>
        <w:t xml:space="preserve">Note </w:t>
      </w:r>
      <w:r>
        <w:t>There is a charge to download this specification.</w:t>
      </w:r>
    </w:p>
    <w:p w:rsidR="005F78FC" w:rsidRDefault="00B42EF3">
      <w:pPr>
        <w:spacing w:after="200"/>
      </w:pPr>
      <w:r>
        <w:t>[CSS-LEVEL2] Bos, B., Celik, T., Hickson, I., and Lie, H., "Cascading Style Sheets Level 2 Revision 1 (CSS2.1) Specification: W3C Candidate Recommendation", July</w:t>
      </w:r>
      <w:r>
        <w:t xml:space="preserve"> 2007, </w:t>
      </w:r>
      <w:hyperlink r:id="rId23">
        <w:r>
          <w:rPr>
            <w:rStyle w:val="Hyperlink"/>
          </w:rPr>
          <w:t>http://www.w3.org/TR/2007/CR-CSS21-20070719/</w:t>
        </w:r>
      </w:hyperlink>
    </w:p>
    <w:p w:rsidR="005F78FC" w:rsidRDefault="00B42EF3">
      <w:pPr>
        <w:spacing w:after="200"/>
      </w:pPr>
      <w:r>
        <w:t xml:space="preserve">[DEVMODE] Microsoft Corporation, "DEVMODE structure", </w:t>
      </w:r>
      <w:hyperlink r:id="rId24">
        <w:r>
          <w:rPr>
            <w:rStyle w:val="Hyperlink"/>
          </w:rPr>
          <w:t>http://msdn.microsoft.com/en-us/library/dd183565(VS.85).aspx</w:t>
        </w:r>
      </w:hyperlink>
    </w:p>
    <w:p w:rsidR="005F78FC" w:rsidRDefault="00B42EF3">
      <w:pPr>
        <w:spacing w:after="200"/>
      </w:pPr>
      <w:r>
        <w:t xml:space="preserve">[Embed-Open-Type-Format] Nelson, P., "Embedded OpenType (EOT) File Format", W3C Member Submission, March 2008, </w:t>
      </w:r>
      <w:hyperlink r:id="rId25">
        <w:r>
          <w:rPr>
            <w:rStyle w:val="Hyperlink"/>
          </w:rPr>
          <w:t>http://www.w3.org/</w:t>
        </w:r>
        <w:r>
          <w:rPr>
            <w:rStyle w:val="Hyperlink"/>
          </w:rPr>
          <w:t>Submission/2008/SUBM-EOT-20080305/</w:t>
        </w:r>
      </w:hyperlink>
    </w:p>
    <w:p w:rsidR="005F78FC" w:rsidRDefault="00B42EF3">
      <w:pPr>
        <w:spacing w:after="200"/>
      </w:pPr>
      <w:r>
        <w:t xml:space="preserve">[GS1-BARCODE] GS1, "Bar Code Types", </w:t>
      </w:r>
      <w:hyperlink r:id="rId26">
        <w:r>
          <w:rPr>
            <w:rStyle w:val="Hyperlink"/>
          </w:rPr>
          <w:t>http://www.gs1.org/barcodes/technical/bar_code_types</w:t>
        </w:r>
      </w:hyperlink>
    </w:p>
    <w:p w:rsidR="005F78FC" w:rsidRDefault="00B42EF3">
      <w:pPr>
        <w:spacing w:after="200"/>
      </w:pPr>
      <w:r>
        <w:t xml:space="preserve">[ISO-8601] International Organization for Standardization, "Data </w:t>
      </w:r>
      <w:r>
        <w:t xml:space="preserve">Elements and Interchange Formats - Information Interchange - Representation of Dates and Times", ISO/IEC 8601:2004, December 2004, </w:t>
      </w:r>
      <w:hyperlink r:id="rId27">
        <w:r>
          <w:rPr>
            <w:rStyle w:val="Hyperlink"/>
          </w:rPr>
          <w:t>http://www.iso.org/iso/en/CatalogueDetailPage.CatalogueDetai</w:t>
        </w:r>
        <w:r>
          <w:rPr>
            <w:rStyle w:val="Hyperlink"/>
          </w:rPr>
          <w:t>l?CSNUMBER=40874&amp;ICS1=1&amp;ICS2=140&amp;ICS3=30</w:t>
        </w:r>
      </w:hyperlink>
    </w:p>
    <w:p w:rsidR="005F78FC" w:rsidRDefault="00B42EF3">
      <w:r>
        <w:rPr>
          <w:b/>
        </w:rPr>
        <w:t xml:space="preserve">Note </w:t>
      </w:r>
      <w:r>
        <w:t>There is a charge to download the specification.</w:t>
      </w:r>
    </w:p>
    <w:p w:rsidR="005F78FC" w:rsidRDefault="00B42EF3">
      <w:pPr>
        <w:spacing w:after="200"/>
      </w:pPr>
      <w:r>
        <w:t>[ISO/IEC-14496-22] International Organization for Standardization, "Information technology -- Coding of audio-visual objects -- Part 22: Open Font Format", 2007,</w:t>
      </w:r>
      <w:r>
        <w:t xml:space="preserve"> </w:t>
      </w:r>
      <w:hyperlink r:id="rId28">
        <w:r>
          <w:rPr>
            <w:rStyle w:val="Hyperlink"/>
          </w:rPr>
          <w:t>http://www.iso.org/iso/iso_catalogue/catalogue_tc/catalogue_detail.htm?csnumber=43466</w:t>
        </w:r>
      </w:hyperlink>
    </w:p>
    <w:p w:rsidR="005F78FC" w:rsidRDefault="00B42EF3">
      <w:pPr>
        <w:spacing w:after="200"/>
      </w:pPr>
      <w:r>
        <w:t xml:space="preserve">[ISO/IEC-29500-1] International Organization for Standardization, "Information technology -- Document description and processing languages -- Office Open XML File Formats -- Part 1: Fundamentals and Markup Language Reference", ISO/IEC 29500-1:2008, </w:t>
      </w:r>
      <w:hyperlink r:id="rId29">
        <w:r>
          <w:rPr>
            <w:rStyle w:val="Hyperlink"/>
          </w:rPr>
          <w:t>http://www.iso.org/iso/iso_catalogue/catalogue_tc/catalogue_detail.htm?csnumber=51463</w:t>
        </w:r>
      </w:hyperlink>
    </w:p>
    <w:p w:rsidR="005F78FC" w:rsidRDefault="00B42EF3">
      <w:pPr>
        <w:spacing w:after="200"/>
      </w:pPr>
      <w:r>
        <w:t>[ISO/IEC-29500-2] International Organization for Standardization, "Information technology -- Document descripti</w:t>
      </w:r>
      <w:r>
        <w:t xml:space="preserve">on and processing languages -- Office Open XML File Formats -- Part 2: Open Packaging Conventions", ISO/IEC 29500-2:2008, </w:t>
      </w:r>
      <w:hyperlink r:id="rId30">
        <w:r>
          <w:rPr>
            <w:rStyle w:val="Hyperlink"/>
          </w:rPr>
          <w:t>http://www.iso.org/iso/iso_catalogue/catalogue_tc/catalogue_detail.h</w:t>
        </w:r>
        <w:r>
          <w:rPr>
            <w:rStyle w:val="Hyperlink"/>
          </w:rPr>
          <w:t>tm?csnumber=51459</w:t>
        </w:r>
      </w:hyperlink>
    </w:p>
    <w:p w:rsidR="005F78FC" w:rsidRDefault="00B42EF3">
      <w:pPr>
        <w:spacing w:after="200"/>
      </w:pPr>
      <w:r>
        <w:t xml:space="preserve">[ISO/IEC-29500-4] International Organization for Standardization, "Information technology -- Document description and processing languages -- Office Open XML File Formats -- Part 4: Transitional Migration Features", ISO/IEC 29500-4:2008, </w:t>
      </w:r>
      <w:hyperlink r:id="rId31">
        <w:r>
          <w:rPr>
            <w:rStyle w:val="Hyperlink"/>
          </w:rPr>
          <w:t>http://www.iso.org/iso/iso_catalogue/catalogue_tc/catalogue_detail.htm?csnumber=51462</w:t>
        </w:r>
      </w:hyperlink>
    </w:p>
    <w:p w:rsidR="005F78FC" w:rsidRDefault="00B42EF3">
      <w:pPr>
        <w:spacing w:after="200"/>
      </w:pPr>
      <w:r>
        <w:t>[ISO/IEC-29500:2008] International Organization for Standardization, "Information technology -- Document</w:t>
      </w:r>
      <w:r>
        <w:t xml:space="preserve"> description and processing languages -- Office Open XML File Formats -- Parts 1-4", ISO/IEC 29500-1:2008, http://www.iso.org/iso/iso_catalogue/catalogue_tc/catalogue_detail.htm?csnumber=51463</w:t>
      </w:r>
    </w:p>
    <w:p w:rsidR="005F78FC" w:rsidRDefault="00B42EF3">
      <w:pPr>
        <w:spacing w:after="200"/>
      </w:pPr>
      <w:r>
        <w:t>[ISO/IEC18004:2006] ISO/IEC, "Information technology -- Automat</w:t>
      </w:r>
      <w:r>
        <w:t xml:space="preserve">ic identification and data capture techniques -- QR Code 2005 bar code symbology specification", </w:t>
      </w:r>
      <w:hyperlink r:id="rId32">
        <w:r>
          <w:rPr>
            <w:rStyle w:val="Hyperlink"/>
          </w:rPr>
          <w:t>http://www.iso.org/iso/catalogue_detail?csnumber=43655</w:t>
        </w:r>
      </w:hyperlink>
    </w:p>
    <w:p w:rsidR="005F78FC" w:rsidRDefault="00B42EF3">
      <w:r>
        <w:rPr>
          <w:b/>
        </w:rPr>
        <w:t xml:space="preserve">Note </w:t>
      </w:r>
      <w:r>
        <w:t>There is a charge to download thi</w:t>
      </w:r>
      <w:r>
        <w:t>s specification.</w:t>
      </w:r>
    </w:p>
    <w:p w:rsidR="005F78FC" w:rsidRDefault="00B42EF3">
      <w:pPr>
        <w:spacing w:after="200"/>
      </w:pPr>
      <w:r>
        <w:t xml:space="preserve">[ISO/IEC29500:2012] ISO/IEC, "Information Technology -- Document description and processing languages -- Office Open XML File Formats -- Parts 1-4", ISO/IEC 29500-1:2012, </w:t>
      </w:r>
      <w:hyperlink r:id="rId33">
        <w:r>
          <w:rPr>
            <w:rStyle w:val="Hyperlink"/>
          </w:rPr>
          <w:t>ht</w:t>
        </w:r>
        <w:r>
          <w:rPr>
            <w:rStyle w:val="Hyperlink"/>
          </w:rPr>
          <w:t>tp://www.iso.org/iso/home/store/catalogue_ics/catalogue_detail_ics.htm?csnumber=61750</w:t>
        </w:r>
      </w:hyperlink>
    </w:p>
    <w:p w:rsidR="005F78FC" w:rsidRDefault="00B42EF3">
      <w:pPr>
        <w:spacing w:after="200"/>
      </w:pPr>
      <w:r>
        <w:lastRenderedPageBreak/>
        <w:t xml:space="preserve">[MC-ISF] Microsoft Corporation, "Ink Serialized Format (ISF) Specification", 2007, </w:t>
      </w:r>
      <w:hyperlink r:id="rId34">
        <w:r>
          <w:rPr>
            <w:rStyle w:val="Hyperlink"/>
          </w:rPr>
          <w:t>http://download.micro</w:t>
        </w:r>
        <w:r>
          <w:rPr>
            <w:rStyle w:val="Hyperlink"/>
          </w:rPr>
          <w:t>soft.com/download/0/B/E/0BE8BDD7-E5E8-422A-ABFD-4342ED7AD886/InkSerializedFormat(ISF)Specification.pdf</w:t>
        </w:r>
      </w:hyperlink>
    </w:p>
    <w:p w:rsidR="005F78FC" w:rsidRDefault="00B42EF3">
      <w:pPr>
        <w:spacing w:after="200"/>
      </w:pPr>
      <w:r>
        <w:t>[Micro-Type-Exp-Format] Martin, S., Ristow, A., Martin, S., Levantovsky, V., and Chapman, C., "MicroType Express (MTX) Font Format", W3C Member Submissio</w:t>
      </w:r>
      <w:r>
        <w:t xml:space="preserve">n, March 2008, </w:t>
      </w:r>
      <w:hyperlink r:id="rId35">
        <w:r>
          <w:rPr>
            <w:rStyle w:val="Hyperlink"/>
          </w:rPr>
          <w:t>http://www.w3.org/Submission/2008/SUBM-MTX-20080305/</w:t>
        </w:r>
      </w:hyperlink>
    </w:p>
    <w:p w:rsidR="005F78FC" w:rsidRDefault="00B42EF3">
      <w:pPr>
        <w:spacing w:after="200"/>
      </w:pPr>
      <w:r>
        <w:t>[MS-CFB] Microsoft Corporation, "</w:t>
      </w:r>
      <w:hyperlink r:id="rId36" w:anchor="Section_53989ce47b054f8d829bd08d6148375b">
        <w:r>
          <w:rPr>
            <w:rStyle w:val="Hyperlink"/>
          </w:rPr>
          <w:t>Compound Fi</w:t>
        </w:r>
        <w:r>
          <w:rPr>
            <w:rStyle w:val="Hyperlink"/>
          </w:rPr>
          <w:t>le Binary File Format</w:t>
        </w:r>
      </w:hyperlink>
      <w:r>
        <w:t>".</w:t>
      </w:r>
    </w:p>
    <w:p w:rsidR="005F78FC" w:rsidRDefault="00B42EF3">
      <w:pPr>
        <w:spacing w:after="200"/>
      </w:pPr>
      <w:r>
        <w:t>[MS-CUSTOMUI2] Microsoft Corporation, "</w:t>
      </w:r>
      <w:hyperlink r:id="rId37" w:anchor="Section_bad56c217b1541bcaf328b5afe6e922e">
        <w:r>
          <w:rPr>
            <w:rStyle w:val="Hyperlink"/>
          </w:rPr>
          <w:t>Custom UI XML Markup Version 2 Specification</w:t>
        </w:r>
      </w:hyperlink>
      <w:r>
        <w:t>".</w:t>
      </w:r>
    </w:p>
    <w:p w:rsidR="005F78FC" w:rsidRDefault="00B42EF3">
      <w:pPr>
        <w:spacing w:after="200"/>
      </w:pPr>
      <w:r>
        <w:t>[MS-CUSTOMUI] Microsoft Corporation, "</w:t>
      </w:r>
      <w:hyperlink r:id="rId38" w:anchor="Section_31f152d62a5d4b50a8679dbc6d01aa43">
        <w:r>
          <w:rPr>
            <w:rStyle w:val="Hyperlink"/>
          </w:rPr>
          <w:t>Custom UI XML Markup Specification</w:t>
        </w:r>
      </w:hyperlink>
      <w:r>
        <w:t>".</w:t>
      </w:r>
    </w:p>
    <w:p w:rsidR="005F78FC" w:rsidRDefault="00B42EF3">
      <w:pPr>
        <w:spacing w:after="200"/>
      </w:pPr>
      <w:r>
        <w:t>[MS-DOC] Microsoft Corporation, "</w:t>
      </w:r>
      <w:hyperlink r:id="rId39" w:anchor="Section_ccd7b4867881484ca13751170af7cc22">
        <w:r>
          <w:rPr>
            <w:rStyle w:val="Hyperlink"/>
          </w:rPr>
          <w:t>Word (.doc) Binary File For</w:t>
        </w:r>
        <w:r>
          <w:rPr>
            <w:rStyle w:val="Hyperlink"/>
          </w:rPr>
          <w:t>mat</w:t>
        </w:r>
      </w:hyperlink>
      <w:r>
        <w:t>".</w:t>
      </w:r>
    </w:p>
    <w:p w:rsidR="005F78FC" w:rsidRDefault="00B42EF3">
      <w:pPr>
        <w:spacing w:after="200"/>
      </w:pPr>
      <w:r>
        <w:t>[MS-EMFPLUS] Microsoft Corporation, "</w:t>
      </w:r>
      <w:hyperlink r:id="rId40" w:anchor="Section_5f92c78964f246b59ed415a9bb0946c6">
        <w:r>
          <w:rPr>
            <w:rStyle w:val="Hyperlink"/>
          </w:rPr>
          <w:t>Enhanced Metafile Format Plus Extensions</w:t>
        </w:r>
      </w:hyperlink>
      <w:r>
        <w:t>".</w:t>
      </w:r>
    </w:p>
    <w:p w:rsidR="005F78FC" w:rsidRDefault="00B42EF3">
      <w:pPr>
        <w:spacing w:after="200"/>
      </w:pPr>
      <w:r>
        <w:t>[MS-EMF] Microsoft Corporation, "</w:t>
      </w:r>
      <w:hyperlink r:id="rId41" w:anchor="Section_91c257d7c39d4a369b1f63e3f73d30ca">
        <w:r>
          <w:rPr>
            <w:rStyle w:val="Hyperlink"/>
          </w:rPr>
          <w:t>Enhanced Metafile Format</w:t>
        </w:r>
      </w:hyperlink>
      <w:r>
        <w:t>".</w:t>
      </w:r>
    </w:p>
    <w:p w:rsidR="005F78FC" w:rsidRDefault="00B42EF3">
      <w:pPr>
        <w:spacing w:after="200"/>
      </w:pPr>
      <w:r>
        <w:t>[MS-IPFF] Microsoft Corporation, "</w:t>
      </w:r>
      <w:hyperlink r:id="rId42" w:anchor="Section_93482ffc8be24c288de5324a835e66b1">
        <w:r>
          <w:rPr>
            <w:rStyle w:val="Hyperlink"/>
          </w:rPr>
          <w:t>InfoPath Form Template Format</w:t>
        </w:r>
      </w:hyperlink>
      <w:r>
        <w:t>".</w:t>
      </w:r>
    </w:p>
    <w:p w:rsidR="005F78FC" w:rsidRDefault="00B42EF3">
      <w:pPr>
        <w:spacing w:after="200"/>
      </w:pPr>
      <w:r>
        <w:t>[MS-LCID] Microsoft Corporation, "</w:t>
      </w:r>
      <w:hyperlink r:id="rId43" w:anchor="Section_70feba9f294e491eb6eb56532684c37f">
        <w:r>
          <w:rPr>
            <w:rStyle w:val="Hyperlink"/>
          </w:rPr>
          <w:t>Windows Language Code Identifier (LCID) Reference</w:t>
        </w:r>
      </w:hyperlink>
      <w:r>
        <w:t>".</w:t>
      </w:r>
    </w:p>
    <w:p w:rsidR="005F78FC" w:rsidRDefault="00B42EF3">
      <w:pPr>
        <w:spacing w:after="200"/>
      </w:pPr>
      <w:r>
        <w:t>[MS-LISTSWS] Microsoft Corporation, "</w:t>
      </w:r>
      <w:hyperlink r:id="rId44" w:anchor="Section_30b364cc38374e839ce81963292e2ee5">
        <w:r>
          <w:rPr>
            <w:rStyle w:val="Hyperlink"/>
          </w:rPr>
          <w:t>Lists Web Service Protocol</w:t>
        </w:r>
      </w:hyperlink>
      <w:r>
        <w:t>".</w:t>
      </w:r>
    </w:p>
    <w:p w:rsidR="005F78FC" w:rsidRDefault="00B42EF3">
      <w:pPr>
        <w:spacing w:after="200"/>
      </w:pPr>
      <w:r>
        <w:t>[MS-</w:t>
      </w:r>
      <w:r>
        <w:t>ODRAWXML] Microsoft Corporation, "</w:t>
      </w:r>
      <w:hyperlink r:id="rId45" w:anchor="Section_06cff208c6e14db7bb68665135e5f0de">
        <w:r>
          <w:rPr>
            <w:rStyle w:val="Hyperlink"/>
          </w:rPr>
          <w:t>Office Drawing Extensions to Office Open XML Structure</w:t>
        </w:r>
      </w:hyperlink>
      <w:r>
        <w:t>".</w:t>
      </w:r>
    </w:p>
    <w:p w:rsidR="005F78FC" w:rsidRDefault="00B42EF3">
      <w:pPr>
        <w:spacing w:after="200"/>
      </w:pPr>
      <w:r>
        <w:t>[MS-OFFCRYPTO] Microsoft Corporation, "</w:t>
      </w:r>
      <w:hyperlink r:id="rId46" w:anchor="Section_3c34d72a1a614b52a893196f9157f083">
        <w:r>
          <w:rPr>
            <w:rStyle w:val="Hyperlink"/>
          </w:rPr>
          <w:t>Office Document Cryptography Structure</w:t>
        </w:r>
      </w:hyperlink>
      <w:r>
        <w:t>".</w:t>
      </w:r>
    </w:p>
    <w:p w:rsidR="005F78FC" w:rsidRDefault="00B42EF3">
      <w:pPr>
        <w:spacing w:after="200"/>
      </w:pPr>
      <w:r>
        <w:t>[MS-OFORMS] Microsoft Corporation, "</w:t>
      </w:r>
      <w:hyperlink r:id="rId47" w:anchor="Section_9c79701a8c3e4429a139b60ac3a1d50a">
        <w:r>
          <w:rPr>
            <w:rStyle w:val="Hyperlink"/>
          </w:rPr>
          <w:t>Office Forms Binary File Formats</w:t>
        </w:r>
      </w:hyperlink>
      <w:r>
        <w:t>".</w:t>
      </w:r>
    </w:p>
    <w:p w:rsidR="005F78FC" w:rsidRDefault="00B42EF3">
      <w:pPr>
        <w:spacing w:after="200"/>
      </w:pPr>
      <w:r>
        <w:t>[MS-PPT] Microsoft Cor</w:t>
      </w:r>
      <w:r>
        <w:t>poration, "</w:t>
      </w:r>
      <w:hyperlink r:id="rId48" w:anchor="Section_6be79dde33c14c1b8ccc4b2301c08662">
        <w:r>
          <w:rPr>
            <w:rStyle w:val="Hyperlink"/>
          </w:rPr>
          <w:t>PowerPoint (.ppt) Binary File Format</w:t>
        </w:r>
      </w:hyperlink>
      <w:r>
        <w:t>".</w:t>
      </w:r>
    </w:p>
    <w:p w:rsidR="005F78FC" w:rsidRDefault="00B42EF3">
      <w:pPr>
        <w:spacing w:after="200"/>
      </w:pPr>
      <w:r>
        <w:t>[MS-WMF] Microsoft Corporation, "</w:t>
      </w:r>
      <w:hyperlink r:id="rId49" w:anchor="Section_4813e7fd52d04f42965f228c8b7488d2">
        <w:r>
          <w:rPr>
            <w:rStyle w:val="Hyperlink"/>
          </w:rPr>
          <w:t xml:space="preserve">Windows Metafile </w:t>
        </w:r>
        <w:r>
          <w:rPr>
            <w:rStyle w:val="Hyperlink"/>
          </w:rPr>
          <w:t>Format</w:t>
        </w:r>
      </w:hyperlink>
      <w:r>
        <w:t>".</w:t>
      </w:r>
    </w:p>
    <w:p w:rsidR="005F78FC" w:rsidRDefault="00B42EF3">
      <w:pPr>
        <w:spacing w:after="200"/>
      </w:pPr>
      <w:r>
        <w:t>[MS-WSSCAML] Microsoft Corporation, "</w:t>
      </w:r>
      <w:hyperlink r:id="rId50" w:anchor="Section_8d6156fd646842949594644a946ed6a6">
        <w:r>
          <w:rPr>
            <w:rStyle w:val="Hyperlink"/>
          </w:rPr>
          <w:t>Collaborative Application Markup Language (CAML) Structure</w:t>
        </w:r>
      </w:hyperlink>
      <w:r>
        <w:t>".</w:t>
      </w:r>
    </w:p>
    <w:p w:rsidR="005F78FC" w:rsidRDefault="00B42EF3">
      <w:pPr>
        <w:spacing w:after="200"/>
      </w:pPr>
      <w:r>
        <w:t>[MS-XLS] Microsoft Corporation, "</w:t>
      </w:r>
      <w:hyperlink r:id="rId51" w:anchor="Section_cd03cb5fca024934a391bb674cb8aa06">
        <w:r>
          <w:rPr>
            <w:rStyle w:val="Hyperlink"/>
          </w:rPr>
          <w:t>Excel Binary File Format (.xls) Structure</w:t>
        </w:r>
      </w:hyperlink>
      <w:r>
        <w:t>".</w:t>
      </w:r>
    </w:p>
    <w:p w:rsidR="005F78FC" w:rsidRDefault="00B42EF3">
      <w:pPr>
        <w:spacing w:after="200"/>
      </w:pPr>
      <w:r>
        <w:t xml:space="preserve">[RFC2119] Bradner, S., "Key words for use in RFCs to Indicate Requirement Levels", BCP 14, RFC 2119, March 1997, </w:t>
      </w:r>
      <w:hyperlink r:id="rId52">
        <w:r>
          <w:rPr>
            <w:rStyle w:val="Hyperlink"/>
          </w:rPr>
          <w:t>http://www.rfc-editor.org/rfc/rfc2119.txt</w:t>
        </w:r>
      </w:hyperlink>
    </w:p>
    <w:p w:rsidR="005F78FC" w:rsidRDefault="00B42EF3">
      <w:pPr>
        <w:pStyle w:val="Heading3"/>
      </w:pPr>
      <w:bookmarkStart w:id="12" w:name="section_94d2b16ecf4446248c7be2f0afe1a072"/>
      <w:bookmarkStart w:id="13" w:name="_Toc69877779"/>
      <w:r>
        <w:t>Informative References</w:t>
      </w:r>
      <w:bookmarkEnd w:id="12"/>
      <w:bookmarkEnd w:id="13"/>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5F78FC" w:rsidRDefault="00B42EF3">
      <w:pPr>
        <w:spacing w:after="200"/>
      </w:pPr>
      <w:r>
        <w:t>[MS-XLSX] Microsoft Corporation, "</w:t>
      </w:r>
      <w:hyperlink r:id="rId53" w:anchor="Section_2c5dee00eff24b2292b60738acd4475e">
        <w:r>
          <w:rPr>
            <w:rStyle w:val="Hyperlink"/>
          </w:rPr>
          <w:t>Excel (.xlsx) Extensions to the Office Open XML SpreadsheetML File Format</w:t>
        </w:r>
      </w:hyperlink>
      <w:r>
        <w:t>".</w:t>
      </w:r>
    </w:p>
    <w:p w:rsidR="005F78FC" w:rsidRDefault="00B42EF3">
      <w:pPr>
        <w:spacing w:after="200"/>
      </w:pPr>
      <w:r>
        <w:t xml:space="preserve">[MSFT-MIPSDK] Microsoft Corporation, "Microsoft Information Protection SDK documentation", </w:t>
      </w:r>
      <w:hyperlink r:id="rId54">
        <w:r>
          <w:rPr>
            <w:rStyle w:val="Hyperlink"/>
          </w:rPr>
          <w:t>https://docs.microsoft.com/en-us/information-protection/develop/</w:t>
        </w:r>
      </w:hyperlink>
    </w:p>
    <w:p w:rsidR="005F78FC" w:rsidRDefault="00B42EF3">
      <w:pPr>
        <w:pStyle w:val="Heading2"/>
      </w:pPr>
      <w:bookmarkStart w:id="14" w:name="section_21a135a0df4f404dad43ba943b828c63"/>
      <w:bookmarkStart w:id="15" w:name="_Toc69877780"/>
      <w:r>
        <w:t>Microsoft Implementations</w:t>
      </w:r>
      <w:bookmarkEnd w:id="14"/>
      <w:bookmarkEnd w:id="15"/>
    </w:p>
    <w:p w:rsidR="005F78FC" w:rsidRDefault="00B42EF3">
      <w:pPr>
        <w:ind w:firstLine="576"/>
      </w:pPr>
      <w:r>
        <w:t>Microsoft Excel 2010</w:t>
      </w:r>
    </w:p>
    <w:p w:rsidR="005F78FC" w:rsidRDefault="00B42EF3">
      <w:pPr>
        <w:ind w:firstLine="576"/>
      </w:pPr>
      <w:r>
        <w:t>Microsoft Excel 2013</w:t>
      </w:r>
    </w:p>
    <w:p w:rsidR="005F78FC" w:rsidRDefault="00B42EF3">
      <w:pPr>
        <w:ind w:firstLine="576"/>
      </w:pPr>
      <w:r>
        <w:t>Microsoft Excel 2016</w:t>
      </w:r>
    </w:p>
    <w:p w:rsidR="005F78FC" w:rsidRDefault="00B42EF3">
      <w:pPr>
        <w:ind w:firstLine="576"/>
      </w:pPr>
      <w:r>
        <w:lastRenderedPageBreak/>
        <w:t xml:space="preserve">Microsoft Excel 2019 </w:t>
      </w:r>
    </w:p>
    <w:p w:rsidR="005F78FC" w:rsidRDefault="00B42EF3">
      <w:pPr>
        <w:ind w:firstLine="576"/>
      </w:pPr>
      <w:r>
        <w:t xml:space="preserve">Microsoft Excel 2021 </w:t>
      </w:r>
    </w:p>
    <w:p w:rsidR="005F78FC" w:rsidRDefault="00B42EF3">
      <w:pPr>
        <w:ind w:firstLine="576"/>
      </w:pPr>
      <w:r>
        <w:t>Microsoft PowerPoint 2010</w:t>
      </w:r>
    </w:p>
    <w:p w:rsidR="005F78FC" w:rsidRDefault="00B42EF3">
      <w:pPr>
        <w:ind w:firstLine="576"/>
      </w:pPr>
      <w:r>
        <w:t>Microsoft PowerPoint 2013</w:t>
      </w:r>
    </w:p>
    <w:p w:rsidR="005F78FC" w:rsidRDefault="00B42EF3">
      <w:pPr>
        <w:ind w:firstLine="576"/>
      </w:pPr>
      <w:r>
        <w:t>Micros</w:t>
      </w:r>
      <w:r>
        <w:t>oft PowerPoint 2016</w:t>
      </w:r>
    </w:p>
    <w:p w:rsidR="005F78FC" w:rsidRDefault="00B42EF3">
      <w:pPr>
        <w:ind w:firstLine="576"/>
      </w:pPr>
      <w:r>
        <w:t xml:space="preserve">Microsoft PowerPoint 2019 </w:t>
      </w:r>
    </w:p>
    <w:p w:rsidR="005F78FC" w:rsidRDefault="00B42EF3">
      <w:pPr>
        <w:ind w:firstLine="576"/>
      </w:pPr>
      <w:r>
        <w:t xml:space="preserve">Microsoft PowerPoint 2021 </w:t>
      </w:r>
    </w:p>
    <w:p w:rsidR="005F78FC" w:rsidRDefault="00B42EF3">
      <w:pPr>
        <w:ind w:firstLine="576"/>
      </w:pPr>
      <w:r>
        <w:t>Microsoft Word 2010</w:t>
      </w:r>
    </w:p>
    <w:p w:rsidR="005F78FC" w:rsidRDefault="00B42EF3">
      <w:pPr>
        <w:ind w:firstLine="576"/>
      </w:pPr>
      <w:r>
        <w:t>Microsoft Word 2013</w:t>
      </w:r>
    </w:p>
    <w:p w:rsidR="005F78FC" w:rsidRDefault="00B42EF3">
      <w:pPr>
        <w:ind w:firstLine="576"/>
      </w:pPr>
      <w:r>
        <w:t>Microsoft Word 2016</w:t>
      </w:r>
    </w:p>
    <w:p w:rsidR="005F78FC" w:rsidRDefault="00B42EF3">
      <w:pPr>
        <w:ind w:firstLine="576"/>
      </w:pPr>
      <w:r>
        <w:t xml:space="preserve">Microsoft Word 2019 </w:t>
      </w:r>
    </w:p>
    <w:p w:rsidR="005F78FC" w:rsidRDefault="00B42EF3">
      <w:pPr>
        <w:ind w:firstLine="576"/>
      </w:pPr>
      <w:r>
        <w:t xml:space="preserve">Microsoft Word 2021 </w:t>
      </w:r>
    </w:p>
    <w:p w:rsidR="005F78FC" w:rsidRDefault="00B42EF3">
      <w:pPr>
        <w:pStyle w:val="Heading1"/>
      </w:pPr>
      <w:bookmarkStart w:id="16" w:name="section_bd9e8289844a42e2980966c7005bd9e2"/>
      <w:bookmarkStart w:id="17" w:name="_Toc69877781"/>
      <w:r>
        <w:lastRenderedPageBreak/>
        <w:t>Conformance Statements</w:t>
      </w:r>
      <w:bookmarkEnd w:id="16"/>
      <w:bookmarkEnd w:id="17"/>
    </w:p>
    <w:p w:rsidR="005F78FC" w:rsidRDefault="00B42EF3">
      <w:r>
        <w:t>This section contains implementation information about ho</w:t>
      </w:r>
      <w:r>
        <w:t>w Microsoft Excel 2010, Microsoft PowerPoint 2010, Microsoft Word 2010 and later versions implement ISO-IEC 29500 Office Open XML File Formats [ISO/IEC29500-1:2016, ISO/IEC29500-2:2012, ISO/IEC29500-3:2015, ISO/IEC29500-4a:2016].  Unless otherwise specifie</w:t>
      </w:r>
      <w:r>
        <w:t>d, implementation information in this document pertains to both Client and Server as well as Strict and Transitional implementations of Microsoft Office 2010 suites and later versions of the Microsoft Excel, Word and PowerPoint products.  The Office Implem</w:t>
      </w:r>
      <w:r>
        <w:t>entation Information section follows the organization of the Office Open XML File Formats.</w:t>
      </w:r>
    </w:p>
    <w:p w:rsidR="005F78FC" w:rsidRDefault="00B42EF3">
      <w:pPr>
        <w:pStyle w:val="Heading2"/>
      </w:pPr>
      <w:bookmarkStart w:id="18" w:name="section_e40a8fd6d09945c3bee10774e2bd1f7a"/>
      <w:bookmarkStart w:id="19" w:name="_Toc69877782"/>
      <w:r>
        <w:t>Normative Variations</w:t>
      </w:r>
      <w:bookmarkEnd w:id="18"/>
      <w:bookmarkEnd w:id="19"/>
    </w:p>
    <w:p w:rsidR="005F78FC" w:rsidRDefault="00B42EF3">
      <w:pPr>
        <w:pStyle w:val="Heading3"/>
      </w:pPr>
      <w:bookmarkStart w:id="20" w:name="section_4893beff89e44326a9c3a89ddf80f063"/>
      <w:bookmarkStart w:id="21" w:name="_Toc69877783"/>
      <w:r>
        <w:t>Part 1 Section 2.2, Application Conformance</w:t>
      </w:r>
      <w:bookmarkEnd w:id="20"/>
      <w:bookmarkEnd w:id="21"/>
      <w:r>
        <w:fldChar w:fldCharType="begin"/>
      </w:r>
      <w:r>
        <w:instrText xml:space="preserve"> XE "Application Conformance" </w:instrText>
      </w:r>
      <w:r>
        <w:fldChar w:fldCharType="end"/>
      </w:r>
    </w:p>
    <w:p w:rsidR="005F78FC" w:rsidRDefault="00B42EF3">
      <w:pPr>
        <w:pStyle w:val="Definition-Field"/>
      </w:pPr>
      <w:r>
        <w:t xml:space="preserve">a.   </w:t>
      </w:r>
      <w:r>
        <w:rPr>
          <w:i/>
        </w:rPr>
        <w:t>The standard specifies that white space content in strings repr</w:t>
      </w:r>
      <w:r>
        <w:rPr>
          <w:i/>
        </w:rPr>
        <w:t>esenting atomic data must be normalized as part of processing.</w:t>
      </w:r>
    </w:p>
    <w:p w:rsidR="005F78FC" w:rsidRDefault="00B42EF3">
      <w:pPr>
        <w:pStyle w:val="Definition-Field2"/>
      </w:pPr>
      <w:r>
        <w:t>Office will only accept XML in which atomic content of attributes and elements is represented with white space content already normalized.</w:t>
      </w:r>
    </w:p>
    <w:p w:rsidR="005F78FC" w:rsidRDefault="00B42EF3">
      <w:pPr>
        <w:pStyle w:val="Definition-Field"/>
      </w:pPr>
      <w:r>
        <w:t xml:space="preserve">b.   </w:t>
      </w:r>
      <w:r>
        <w:rPr>
          <w:i/>
        </w:rPr>
        <w:t>The standard allows INF, NaN, and -INF as legal r</w:t>
      </w:r>
      <w:r>
        <w:rPr>
          <w:i/>
        </w:rPr>
        <w:t>epresentations for double and float XML Schema types.</w:t>
      </w:r>
    </w:p>
    <w:p w:rsidR="005F78FC" w:rsidRDefault="00B42EF3">
      <w:pPr>
        <w:pStyle w:val="Definition-Field2"/>
      </w:pPr>
      <w:r>
        <w:t>Office does not accept INF, NaN, and -INF as valid representations for double and float data.</w:t>
      </w:r>
    </w:p>
    <w:p w:rsidR="005F78FC" w:rsidRDefault="00B42EF3">
      <w:pPr>
        <w:pStyle w:val="Heading3"/>
      </w:pPr>
      <w:bookmarkStart w:id="22" w:name="section_fa1be7cffc314bb698c9fd1db9cede94"/>
      <w:bookmarkStart w:id="23" w:name="_Toc69877784"/>
      <w:r>
        <w:t>Part 1 Section 8.5, PresentationML</w:t>
      </w:r>
      <w:bookmarkEnd w:id="22"/>
      <w:bookmarkEnd w:id="23"/>
      <w:r>
        <w:fldChar w:fldCharType="begin"/>
      </w:r>
      <w:r>
        <w:instrText xml:space="preserve"> XE "PresentationML" </w:instrText>
      </w:r>
      <w:r>
        <w:fldChar w:fldCharType="end"/>
      </w:r>
    </w:p>
    <w:p w:rsidR="005F78FC" w:rsidRDefault="00B42EF3">
      <w:pPr>
        <w:pStyle w:val="Definition-Field"/>
      </w:pPr>
      <w:r>
        <w:t xml:space="preserve">a.   </w:t>
      </w:r>
      <w:r>
        <w:rPr>
          <w:i/>
        </w:rPr>
        <w:t xml:space="preserve">The standard states that all comment authors </w:t>
      </w:r>
      <w:r>
        <w:rPr>
          <w:i/>
        </w:rPr>
        <w:t>in a document are stored in one comment-authors part while each slide has its own part.</w:t>
      </w:r>
    </w:p>
    <w:p w:rsidR="005F78FC" w:rsidRDefault="00B42EF3">
      <w:pPr>
        <w:pStyle w:val="Definition-Field2"/>
      </w:pPr>
      <w:r>
        <w:t>Office interprets comments to mean comment authors in this context.</w:t>
      </w:r>
    </w:p>
    <w:p w:rsidR="005F78FC" w:rsidRDefault="00B42EF3">
      <w:pPr>
        <w:pStyle w:val="Heading3"/>
      </w:pPr>
      <w:bookmarkStart w:id="24" w:name="section_245fab239fe44f6f9b45e6d17e5ccadf"/>
      <w:bookmarkStart w:id="25" w:name="_Toc69877785"/>
      <w:r>
        <w:t>Part 1 Section 9, Packages</w:t>
      </w:r>
      <w:bookmarkEnd w:id="24"/>
      <w:bookmarkEnd w:id="25"/>
      <w:r>
        <w:fldChar w:fldCharType="begin"/>
      </w:r>
      <w:r>
        <w:instrText xml:space="preserve"> XE "Packages" </w:instrText>
      </w:r>
      <w:r>
        <w:fldChar w:fldCharType="end"/>
      </w:r>
    </w:p>
    <w:p w:rsidR="005F78FC" w:rsidRDefault="00B42EF3">
      <w:pPr>
        <w:pStyle w:val="Definition-Field"/>
      </w:pPr>
      <w:r>
        <w:t xml:space="preserve">a.   </w:t>
      </w:r>
      <w:r>
        <w:rPr>
          <w:i/>
        </w:rPr>
        <w:t>The standard does not define idOfficeObject digital</w:t>
      </w:r>
      <w:r>
        <w:rPr>
          <w:i/>
        </w:rPr>
        <w:t xml:space="preserve"> signature.</w:t>
      </w:r>
    </w:p>
    <w:p w:rsidR="005F78FC" w:rsidRDefault="00B42EF3">
      <w:pPr>
        <w:pStyle w:val="Definition-Field2"/>
      </w:pPr>
      <w:r>
        <w:t>Office reserves the object ID of idOfficeObject (</w:t>
      </w:r>
      <w:hyperlink w:anchor="Section_e8dafc63570a444fa0aedd1af1966d76">
        <w:r>
          <w:rPr>
            <w:rStyle w:val="Hyperlink"/>
          </w:rPr>
          <w:t>§3.7, Office Digital Signature</w:t>
        </w:r>
      </w:hyperlink>
      <w:r>
        <w:t>) for its digital signature.</w:t>
      </w:r>
    </w:p>
    <w:p w:rsidR="005F78FC" w:rsidRDefault="00B42EF3">
      <w:pPr>
        <w:pStyle w:val="Heading3"/>
      </w:pPr>
      <w:bookmarkStart w:id="26" w:name="section_19b9c0c565dd491c94d31487769154cf"/>
      <w:bookmarkStart w:id="27" w:name="_Toc69877786"/>
      <w:r>
        <w:t>Part 1 Section 11, WordprocessingML</w:t>
      </w:r>
      <w:bookmarkEnd w:id="26"/>
      <w:bookmarkEnd w:id="27"/>
      <w:r>
        <w:fldChar w:fldCharType="begin"/>
      </w:r>
      <w:r>
        <w:instrText xml:space="preserve"> XE "WordprocessingML" </w:instrText>
      </w:r>
      <w:r>
        <w:fldChar w:fldCharType="end"/>
      </w:r>
    </w:p>
    <w:p w:rsidR="005F78FC" w:rsidRDefault="00B42EF3">
      <w:pPr>
        <w:pStyle w:val="Definition-Field"/>
      </w:pPr>
      <w:r>
        <w:t xml:space="preserve">a.   </w:t>
      </w:r>
      <w:r>
        <w:rPr>
          <w:i/>
        </w:rPr>
        <w:t xml:space="preserve">The </w:t>
      </w:r>
      <w:r>
        <w:rPr>
          <w:i/>
        </w:rPr>
        <w:t>standard defines a document setting as "A reusable element in a template."</w:t>
      </w:r>
    </w:p>
    <w:p w:rsidR="005F78FC" w:rsidRDefault="00B42EF3">
      <w:pPr>
        <w:pStyle w:val="Definition-Field2"/>
      </w:pPr>
      <w:r>
        <w:t>Office defines a document setting to be "A document-level property that affects the handling of a given document, and influences the appearance and behavior of the current document,</w:t>
      </w:r>
      <w:r>
        <w:t xml:space="preserve"> as well as the stored document-level state."</w:t>
      </w:r>
    </w:p>
    <w:p w:rsidR="005F78FC" w:rsidRDefault="00B42EF3">
      <w:pPr>
        <w:pStyle w:val="Heading3"/>
      </w:pPr>
      <w:bookmarkStart w:id="28" w:name="section_c3233670f36446ed8ddf853d74c2bbc1"/>
      <w:bookmarkStart w:id="29" w:name="_Toc69877787"/>
      <w:r>
        <w:t>Part 1 Section 11.3, Part Summary</w:t>
      </w:r>
      <w:bookmarkEnd w:id="28"/>
      <w:bookmarkEnd w:id="29"/>
      <w:r>
        <w:fldChar w:fldCharType="begin"/>
      </w:r>
      <w:r>
        <w:instrText xml:space="preserve"> XE "Part Summary" </w:instrText>
      </w:r>
      <w:r>
        <w:fldChar w:fldCharType="end"/>
      </w:r>
    </w:p>
    <w:p w:rsidR="005F78FC" w:rsidRDefault="00B42EF3">
      <w:pPr>
        <w:pStyle w:val="Definition-Field"/>
      </w:pPr>
      <w:r>
        <w:t xml:space="preserve">a.   </w:t>
      </w:r>
      <w:r>
        <w:rPr>
          <w:i/>
        </w:rPr>
        <w:t>The standard does not document a Customizations part for key mapping and toolbar customizations.</w:t>
      </w:r>
    </w:p>
    <w:p w:rsidR="005F78FC" w:rsidRDefault="00B42EF3">
      <w:pPr>
        <w:pStyle w:val="Definition-Field2"/>
      </w:pPr>
      <w:r>
        <w:t>Word defines a Customizations part (</w:t>
      </w:r>
      <w:hyperlink w:anchor="Section_25472ee1074b4741b3bd5d72b5a55bdc">
        <w:r>
          <w:rPr>
            <w:rStyle w:val="Hyperlink"/>
          </w:rPr>
          <w:t>§3.1.1.2, Customizations Part</w:t>
        </w:r>
      </w:hyperlink>
      <w:r>
        <w:t>) for key mapping and toolbar customizations.</w:t>
      </w:r>
    </w:p>
    <w:p w:rsidR="005F78FC" w:rsidRDefault="00B42EF3">
      <w:pPr>
        <w:pStyle w:val="Definition-Field"/>
      </w:pPr>
      <w:r>
        <w:t xml:space="preserve">b.   </w:t>
      </w:r>
      <w:r>
        <w:rPr>
          <w:i/>
        </w:rPr>
        <w:t>The standard does not include documentation for the Attachedtoolbars part.</w:t>
      </w:r>
    </w:p>
    <w:p w:rsidR="005F78FC" w:rsidRDefault="00B42EF3">
      <w:pPr>
        <w:pStyle w:val="Definition-Field2"/>
      </w:pPr>
      <w:r>
        <w:lastRenderedPageBreak/>
        <w:t>Word defines an Attachedtoolbars part (</w:t>
      </w:r>
      <w:hyperlink w:anchor="Section_618afd53b3d54eb4836da647299f9e39">
        <w:r>
          <w:rPr>
            <w:rStyle w:val="Hyperlink"/>
          </w:rPr>
          <w:t>§3.1.1.1, Word Attached Toolbars Part</w:t>
        </w:r>
      </w:hyperlink>
      <w:r>
        <w:t>), which supports the storage of custom toolbars created by the user.</w:t>
      </w:r>
    </w:p>
    <w:p w:rsidR="005F78FC" w:rsidRDefault="00B42EF3">
      <w:pPr>
        <w:pStyle w:val="Definition-Field"/>
      </w:pPr>
      <w:r>
        <w:t xml:space="preserve">c.   </w:t>
      </w:r>
      <w:r>
        <w:rPr>
          <w:i/>
        </w:rPr>
        <w:t>The standard does not document a Mail Merge Recipient Data part for storage of mail merge recipie</w:t>
      </w:r>
      <w:r>
        <w:rPr>
          <w:i/>
        </w:rPr>
        <w:t>nt data.</w:t>
      </w:r>
    </w:p>
    <w:p w:rsidR="005F78FC" w:rsidRDefault="00B42EF3">
      <w:pPr>
        <w:pStyle w:val="Definition-Field2"/>
      </w:pPr>
      <w:r>
        <w:t>Word defines a Mail Merge Recipient Data part (</w:t>
      </w:r>
      <w:hyperlink w:anchor="Section_af3dc9138c084843ab40495a92170b96">
        <w:r>
          <w:rPr>
            <w:rStyle w:val="Hyperlink"/>
          </w:rPr>
          <w:t>§3.1.1.3, Mail Merge Recipient Data Part</w:t>
        </w:r>
      </w:hyperlink>
      <w:r>
        <w:t>) for storage of mail merge recipient data.</w:t>
      </w:r>
    </w:p>
    <w:p w:rsidR="005F78FC" w:rsidRDefault="00B42EF3">
      <w:pPr>
        <w:pStyle w:val="Heading3"/>
      </w:pPr>
      <w:bookmarkStart w:id="30" w:name="section_559aaaa9dbea49feaeebcd2aeb99f924"/>
      <w:bookmarkStart w:id="31" w:name="_Toc69877788"/>
      <w:r>
        <w:t>Part 1 Section 12.3, Part Summary</w:t>
      </w:r>
      <w:bookmarkEnd w:id="30"/>
      <w:bookmarkEnd w:id="31"/>
      <w:r>
        <w:fldChar w:fldCharType="begin"/>
      </w:r>
      <w:r>
        <w:instrText xml:space="preserve"> XE "Part Summary" </w:instrText>
      </w:r>
      <w:r>
        <w:fldChar w:fldCharType="end"/>
      </w:r>
    </w:p>
    <w:p w:rsidR="005F78FC" w:rsidRDefault="00B42EF3">
      <w:pPr>
        <w:pStyle w:val="Definition-Field"/>
      </w:pPr>
      <w:r>
        <w:t xml:space="preserve">a.   </w:t>
      </w:r>
      <w:r>
        <w:rPr>
          <w:i/>
        </w:rPr>
        <w:t>The standard does not include documentation for the Attachedtoolbars part.</w:t>
      </w:r>
    </w:p>
    <w:p w:rsidR="005F78FC" w:rsidRDefault="00B42EF3">
      <w:pPr>
        <w:pStyle w:val="Definition-Field2"/>
      </w:pPr>
      <w:r>
        <w:t>Office defines an Attachedtoolbars part (</w:t>
      </w:r>
      <w:hyperlink w:anchor="Section_693389eed71540f89ef4055de69fd6a8">
        <w:r>
          <w:rPr>
            <w:rStyle w:val="Hyperlink"/>
          </w:rPr>
          <w:t>§3.2.1.1, Excel Attached Toolbars Part</w:t>
        </w:r>
      </w:hyperlink>
      <w:r>
        <w:t>), which supports the storage of</w:t>
      </w:r>
      <w:r>
        <w:t xml:space="preserve"> custom toolbars created by the user.</w:t>
      </w:r>
    </w:p>
    <w:p w:rsidR="005F78FC" w:rsidRDefault="00B42EF3">
      <w:pPr>
        <w:pStyle w:val="Definition-Field"/>
      </w:pPr>
      <w:r>
        <w:t xml:space="preserve">b.   </w:t>
      </w:r>
      <w:r>
        <w:rPr>
          <w:i/>
        </w:rPr>
        <w:t>The standard lists the Comment part as a relationship target of the Chartsheet part and the Dialogsheet part.</w:t>
      </w:r>
    </w:p>
    <w:p w:rsidR="005F78FC" w:rsidRDefault="00B42EF3">
      <w:pPr>
        <w:pStyle w:val="Definition-Field2"/>
      </w:pPr>
      <w:r>
        <w:t>Office does not allow the Comment part as a valid relationship target of the Chartsheet part or the Dia</w:t>
      </w:r>
      <w:r>
        <w:t>logsheet part.</w:t>
      </w:r>
    </w:p>
    <w:p w:rsidR="005F78FC" w:rsidRDefault="00B42EF3">
      <w:pPr>
        <w:pStyle w:val="Definition-Field"/>
      </w:pPr>
      <w:r>
        <w:t xml:space="preserve">c.   </w:t>
      </w:r>
      <w:r>
        <w:rPr>
          <w:i/>
        </w:rPr>
        <w:t>The standard states that the Custom Property part is a relationship target of the Workbook part.</w:t>
      </w:r>
    </w:p>
    <w:p w:rsidR="005F78FC" w:rsidRDefault="00B42EF3">
      <w:pPr>
        <w:pStyle w:val="Definition-Field2"/>
      </w:pPr>
      <w:r>
        <w:t>Office requires that the Custom Property part is a relationship target of the Worksheet part.</w:t>
      </w:r>
    </w:p>
    <w:p w:rsidR="005F78FC" w:rsidRDefault="00B42EF3">
      <w:pPr>
        <w:pStyle w:val="Definition-Field"/>
      </w:pPr>
      <w:r>
        <w:t xml:space="preserve">d.   </w:t>
      </w:r>
      <w:r>
        <w:rPr>
          <w:i/>
        </w:rPr>
        <w:t>The standard states that the Single Cell</w:t>
      </w:r>
      <w:r>
        <w:rPr>
          <w:i/>
        </w:rPr>
        <w:t xml:space="preserve"> Table Definitions part is a valid relationship target of the Dialogsheet part.</w:t>
      </w:r>
    </w:p>
    <w:p w:rsidR="005F78FC" w:rsidRDefault="00B42EF3">
      <w:pPr>
        <w:pStyle w:val="Definition-Field2"/>
      </w:pPr>
      <w:r>
        <w:t>Office does not allow the Single Cell Table Definitions part as a relationship target of the Dialogsheet part.</w:t>
      </w:r>
    </w:p>
    <w:p w:rsidR="005F78FC" w:rsidRDefault="00B42EF3">
      <w:pPr>
        <w:pStyle w:val="Definition-Field"/>
      </w:pPr>
      <w:r>
        <w:t xml:space="preserve">e.   </w:t>
      </w:r>
      <w:r>
        <w:rPr>
          <w:i/>
        </w:rPr>
        <w:t>The standard states that the Table Definition part is a vali</w:t>
      </w:r>
      <w:r>
        <w:rPr>
          <w:i/>
        </w:rPr>
        <w:t>d relationship target of the Dialogsheet part.</w:t>
      </w:r>
    </w:p>
    <w:p w:rsidR="005F78FC" w:rsidRDefault="00B42EF3">
      <w:pPr>
        <w:pStyle w:val="Definition-Field2"/>
      </w:pPr>
      <w:r>
        <w:t>Office does not allow the Table Definition part as a relationship target of the Dialogsheet part.</w:t>
      </w:r>
    </w:p>
    <w:p w:rsidR="005F78FC" w:rsidRDefault="00B42EF3">
      <w:pPr>
        <w:pStyle w:val="Definition-Field"/>
      </w:pPr>
      <w:r>
        <w:t xml:space="preserve">f.   </w:t>
      </w:r>
      <w:r>
        <w:rPr>
          <w:i/>
        </w:rPr>
        <w:t>The standard specifies the Root Element of the Dialogsheet part as dialogSheet.</w:t>
      </w:r>
    </w:p>
    <w:p w:rsidR="005F78FC" w:rsidRDefault="00B42EF3">
      <w:pPr>
        <w:pStyle w:val="Definition-Field2"/>
      </w:pPr>
      <w:r>
        <w:t>Office requires the Root E</w:t>
      </w:r>
      <w:r>
        <w:t>lement to be dialogsheet.</w:t>
      </w:r>
    </w:p>
    <w:p w:rsidR="005F78FC" w:rsidRDefault="00B42EF3">
      <w:pPr>
        <w:pStyle w:val="Definition-Field"/>
      </w:pPr>
      <w:r>
        <w:t xml:space="preserve">g.   </w:t>
      </w:r>
      <w:r>
        <w:rPr>
          <w:i/>
        </w:rPr>
        <w:t>The standard specifies the Root Element of the External Workbook References part as externalReference.</w:t>
      </w:r>
    </w:p>
    <w:p w:rsidR="005F78FC" w:rsidRDefault="00B42EF3">
      <w:pPr>
        <w:pStyle w:val="Definition-Field2"/>
      </w:pPr>
      <w:r>
        <w:t>Office requires the Root Element to be externalLink.</w:t>
      </w:r>
    </w:p>
    <w:p w:rsidR="005F78FC" w:rsidRDefault="00B42EF3">
      <w:pPr>
        <w:pStyle w:val="Definition-Field"/>
      </w:pPr>
      <w:r>
        <w:t xml:space="preserve">h.   </w:t>
      </w:r>
      <w:r>
        <w:rPr>
          <w:i/>
        </w:rPr>
        <w:t xml:space="preserve">The standard does not include documentation for the Worksheet </w:t>
      </w:r>
      <w:r>
        <w:rPr>
          <w:i/>
        </w:rPr>
        <w:t>Sort Map part.</w:t>
      </w:r>
    </w:p>
    <w:p w:rsidR="005F78FC" w:rsidRDefault="00B42EF3">
      <w:pPr>
        <w:pStyle w:val="Definition-Field2"/>
      </w:pPr>
      <w:r>
        <w:t>Office defines a Worksheet Sort Map part (</w:t>
      </w:r>
      <w:hyperlink w:anchor="Section_a24b67311ed74c89ab5828431df113ee">
        <w:r>
          <w:rPr>
            <w:rStyle w:val="Hyperlink"/>
          </w:rPr>
          <w:t>§3.2.2, Microsoft Office Excel Sortmap</w:t>
        </w:r>
      </w:hyperlink>
      <w:r>
        <w:t>) to reconcile different sort operations on the worksheet in a shared workbook.</w:t>
      </w:r>
    </w:p>
    <w:p w:rsidR="005F78FC" w:rsidRDefault="00B42EF3">
      <w:pPr>
        <w:pStyle w:val="Definition-Field"/>
      </w:pPr>
      <w:r>
        <w:t xml:space="preserve">i.   </w:t>
      </w:r>
      <w:r>
        <w:rPr>
          <w:i/>
        </w:rPr>
        <w:t xml:space="preserve">The standard </w:t>
      </w:r>
      <w:r>
        <w:rPr>
          <w:i/>
        </w:rPr>
        <w:t>does not list the Query Table part as a relationship target of the Table Definition part.</w:t>
      </w:r>
    </w:p>
    <w:p w:rsidR="005F78FC" w:rsidRDefault="00B42EF3">
      <w:pPr>
        <w:pStyle w:val="Definition-Field2"/>
      </w:pPr>
      <w:r>
        <w:t>Office allows the Query Table part as a valid relationship target of the Table Definition part.</w:t>
      </w:r>
    </w:p>
    <w:p w:rsidR="005F78FC" w:rsidRDefault="00B42EF3">
      <w:pPr>
        <w:pStyle w:val="Heading3"/>
      </w:pPr>
      <w:bookmarkStart w:id="32" w:name="section_ad7b4b63522f4b6191bc56ec1602b872"/>
      <w:bookmarkStart w:id="33" w:name="_Toc69877789"/>
      <w:r>
        <w:t>Part 1 Section 12.3.2, Chartsheet Part</w:t>
      </w:r>
      <w:bookmarkEnd w:id="32"/>
      <w:bookmarkEnd w:id="33"/>
      <w:r>
        <w:fldChar w:fldCharType="begin"/>
      </w:r>
      <w:r>
        <w:instrText xml:space="preserve"> XE "Chartsheet Part" </w:instrText>
      </w:r>
      <w:r>
        <w:fldChar w:fldCharType="end"/>
      </w:r>
    </w:p>
    <w:p w:rsidR="005F78FC" w:rsidRDefault="00B42EF3">
      <w:pPr>
        <w:pStyle w:val="Definition-Field"/>
      </w:pPr>
      <w:r>
        <w:t xml:space="preserve">a.   </w:t>
      </w:r>
      <w:r>
        <w:rPr>
          <w:i/>
        </w:rPr>
        <w:t>Th</w:t>
      </w:r>
      <w:r>
        <w:rPr>
          <w:i/>
        </w:rPr>
        <w:t>e standard does not allow the Chartsheet part to have an explicit relationship with the VML Drawing part.</w:t>
      </w:r>
    </w:p>
    <w:p w:rsidR="005F78FC" w:rsidRDefault="00B42EF3">
      <w:pPr>
        <w:pStyle w:val="Definition-Field2"/>
      </w:pPr>
      <w:r>
        <w:t>Office allows the Chartsheet part to have an explicit relationship with the VML Drawing part.</w:t>
      </w:r>
    </w:p>
    <w:p w:rsidR="005F78FC" w:rsidRDefault="00B42EF3">
      <w:pPr>
        <w:pStyle w:val="Definition-Field"/>
      </w:pPr>
      <w:r>
        <w:lastRenderedPageBreak/>
        <w:t xml:space="preserve">b.   </w:t>
      </w:r>
      <w:r>
        <w:rPr>
          <w:i/>
        </w:rPr>
        <w:t xml:space="preserve">The standard does not allow the Chartsheet part to </w:t>
      </w:r>
      <w:r>
        <w:rPr>
          <w:i/>
        </w:rPr>
        <w:t>have an explicit relationship with the Images part.</w:t>
      </w:r>
    </w:p>
    <w:p w:rsidR="005F78FC" w:rsidRDefault="00B42EF3">
      <w:pPr>
        <w:pStyle w:val="Definition-Field2"/>
      </w:pPr>
      <w:r>
        <w:t>Office allows the Chartsheet part to have an explicit relationship with the Images part.</w:t>
      </w:r>
    </w:p>
    <w:p w:rsidR="005F78FC" w:rsidRDefault="00B42EF3">
      <w:pPr>
        <w:pStyle w:val="Heading3"/>
      </w:pPr>
      <w:bookmarkStart w:id="34" w:name="section_af4b5f43ab984970bd5ae569ff550042"/>
      <w:bookmarkStart w:id="35" w:name="_Toc69877790"/>
      <w:r>
        <w:t>Part 1 Section 12.3.6, Custom XML Mappings Part</w:t>
      </w:r>
      <w:bookmarkEnd w:id="34"/>
      <w:bookmarkEnd w:id="35"/>
      <w:r>
        <w:fldChar w:fldCharType="begin"/>
      </w:r>
      <w:r>
        <w:instrText xml:space="preserve"> XE "Custom XML Mappings Part" </w:instrText>
      </w:r>
      <w:r>
        <w:fldChar w:fldCharType="end"/>
      </w:r>
    </w:p>
    <w:p w:rsidR="005F78FC" w:rsidRDefault="00B42EF3">
      <w:pPr>
        <w:pStyle w:val="Definition-Field"/>
      </w:pPr>
      <w:r>
        <w:t xml:space="preserve">a.   </w:t>
      </w:r>
      <w:r>
        <w:rPr>
          <w:i/>
        </w:rPr>
        <w:t>The standard specifies the Ro</w:t>
      </w:r>
      <w:r>
        <w:rPr>
          <w:i/>
        </w:rPr>
        <w:t>ot Element of the Custom XML Mapping part as mapInfo.</w:t>
      </w:r>
    </w:p>
    <w:p w:rsidR="005F78FC" w:rsidRDefault="00B42EF3">
      <w:pPr>
        <w:pStyle w:val="Definition-Field2"/>
      </w:pPr>
      <w:r>
        <w:t>Office requires the Root Element to be MapInfo.</w:t>
      </w:r>
    </w:p>
    <w:p w:rsidR="005F78FC" w:rsidRDefault="00B42EF3">
      <w:pPr>
        <w:pStyle w:val="Heading3"/>
      </w:pPr>
      <w:bookmarkStart w:id="36" w:name="section_df608f0d3ef3449a98cd7319467fa01e"/>
      <w:bookmarkStart w:id="37" w:name="_Toc69877791"/>
      <w:r>
        <w:t>Part 1 Section 12.3.7, Dialogsheet Part</w:t>
      </w:r>
      <w:bookmarkEnd w:id="36"/>
      <w:bookmarkEnd w:id="37"/>
      <w:r>
        <w:fldChar w:fldCharType="begin"/>
      </w:r>
      <w:r>
        <w:instrText xml:space="preserve"> XE "Dialogsheet Part" </w:instrText>
      </w:r>
      <w:r>
        <w:fldChar w:fldCharType="end"/>
      </w:r>
    </w:p>
    <w:p w:rsidR="005F78FC" w:rsidRDefault="00B42EF3">
      <w:pPr>
        <w:pStyle w:val="Definition-Field"/>
      </w:pPr>
      <w:r>
        <w:t xml:space="preserve">a.   </w:t>
      </w:r>
      <w:r>
        <w:rPr>
          <w:i/>
        </w:rPr>
        <w:t>The standard states that a Dialogsheet part is permitted to have an explicit relatio</w:t>
      </w:r>
      <w:r>
        <w:rPr>
          <w:i/>
        </w:rPr>
        <w:t>nship with the Embedded Control Persistence part.</w:t>
      </w:r>
    </w:p>
    <w:p w:rsidR="005F78FC" w:rsidRDefault="00B42EF3">
      <w:pPr>
        <w:pStyle w:val="Definition-Field2"/>
      </w:pPr>
      <w:r>
        <w:t>Office does not allow a Dialogsheet part to have an explicit relationship to the Embedded Control Persistence part.</w:t>
      </w:r>
    </w:p>
    <w:p w:rsidR="005F78FC" w:rsidRDefault="00B42EF3">
      <w:pPr>
        <w:pStyle w:val="Definition-Field"/>
      </w:pPr>
      <w:r>
        <w:t xml:space="preserve">b.   </w:t>
      </w:r>
      <w:r>
        <w:rPr>
          <w:i/>
        </w:rPr>
        <w:t>The standard does not allow the Dialogsheet part to have an explicit relationship wit</w:t>
      </w:r>
      <w:r>
        <w:rPr>
          <w:i/>
        </w:rPr>
        <w:t>h the VML Drawing part.</w:t>
      </w:r>
    </w:p>
    <w:p w:rsidR="005F78FC" w:rsidRDefault="00B42EF3">
      <w:pPr>
        <w:pStyle w:val="Definition-Field2"/>
      </w:pPr>
      <w:r>
        <w:t>Office allows the Dialogsheet part to have an explicit relationship with the VML Drawing part.</w:t>
      </w:r>
    </w:p>
    <w:p w:rsidR="005F78FC" w:rsidRDefault="00B42EF3">
      <w:pPr>
        <w:pStyle w:val="Heading3"/>
      </w:pPr>
      <w:bookmarkStart w:id="38" w:name="section_739cf85bb45b4850ba8f6f7b737607be"/>
      <w:bookmarkStart w:id="39" w:name="_Toc69877792"/>
      <w:r>
        <w:t>Part 1 Section 12.3.19, Single Cell Table Definitions Part</w:t>
      </w:r>
      <w:bookmarkEnd w:id="38"/>
      <w:bookmarkEnd w:id="39"/>
      <w:r>
        <w:fldChar w:fldCharType="begin"/>
      </w:r>
      <w:r>
        <w:instrText xml:space="preserve"> XE "Single Cell Table Definitions Part" </w:instrText>
      </w:r>
      <w:r>
        <w:fldChar w:fldCharType="end"/>
      </w:r>
    </w:p>
    <w:p w:rsidR="005F78FC" w:rsidRDefault="00B42EF3">
      <w:pPr>
        <w:pStyle w:val="Definition-Field"/>
      </w:pPr>
      <w:r>
        <w:t xml:space="preserve">a.   </w:t>
      </w:r>
      <w:r>
        <w:rPr>
          <w:i/>
        </w:rPr>
        <w:t>The standard specifies the Roo</w:t>
      </w:r>
      <w:r>
        <w:rPr>
          <w:i/>
        </w:rPr>
        <w:t>t Element of the Single Cell Table Definitions part as singleCells.</w:t>
      </w:r>
    </w:p>
    <w:p w:rsidR="005F78FC" w:rsidRDefault="00B42EF3">
      <w:pPr>
        <w:pStyle w:val="Definition-Field2"/>
      </w:pPr>
      <w:r>
        <w:t>Office requires the Root Element to be singleXmlCells.</w:t>
      </w:r>
    </w:p>
    <w:p w:rsidR="005F78FC" w:rsidRDefault="00B42EF3">
      <w:pPr>
        <w:pStyle w:val="Heading3"/>
      </w:pPr>
      <w:bookmarkStart w:id="40" w:name="section_88c100b9aa6a4adea91c045eac37812e"/>
      <w:bookmarkStart w:id="41" w:name="_Toc69877793"/>
      <w:r>
        <w:t>Part 1 Section 12.3.20, Styles Part</w:t>
      </w:r>
      <w:bookmarkEnd w:id="40"/>
      <w:bookmarkEnd w:id="41"/>
      <w:r>
        <w:fldChar w:fldCharType="begin"/>
      </w:r>
      <w:r>
        <w:instrText xml:space="preserve"> XE "Styles Part" </w:instrText>
      </w:r>
      <w:r>
        <w:fldChar w:fldCharType="end"/>
      </w:r>
    </w:p>
    <w:p w:rsidR="005F78FC" w:rsidRDefault="00B42EF3">
      <w:pPr>
        <w:pStyle w:val="Definition-Field"/>
      </w:pPr>
      <w:r>
        <w:t xml:space="preserve">a.   </w:t>
      </w:r>
      <w:r>
        <w:rPr>
          <w:i/>
        </w:rPr>
        <w:t>The standard specifies the Root Namespace for the Styles Part as http://</w:t>
      </w:r>
      <w:r>
        <w:rPr>
          <w:i/>
        </w:rPr>
        <w:t>schemas.openxmlformats.org/spreadsheetml/2006/mains.</w:t>
      </w:r>
    </w:p>
    <w:p w:rsidR="005F78FC" w:rsidRDefault="00B42EF3">
      <w:pPr>
        <w:pStyle w:val="Definition-Field2"/>
      </w:pPr>
      <w:r>
        <w:t>Office requires the Root Namespace to be http://schemas.openxmlformats.org/spreadhseetml/2006/main.</w:t>
      </w:r>
    </w:p>
    <w:p w:rsidR="005F78FC" w:rsidRDefault="00B42EF3">
      <w:pPr>
        <w:pStyle w:val="Heading3"/>
      </w:pPr>
      <w:bookmarkStart w:id="42" w:name="section_a7964130cdca418e927282ca6b66f915"/>
      <w:bookmarkStart w:id="43" w:name="_Toc69877794"/>
      <w:r>
        <w:t>Part 1 Section 12.3.24, Worksheet Part</w:t>
      </w:r>
      <w:bookmarkEnd w:id="42"/>
      <w:bookmarkEnd w:id="43"/>
      <w:r>
        <w:fldChar w:fldCharType="begin"/>
      </w:r>
      <w:r>
        <w:instrText xml:space="preserve"> XE "Worksheet Part" </w:instrText>
      </w:r>
      <w:r>
        <w:fldChar w:fldCharType="end"/>
      </w:r>
    </w:p>
    <w:p w:rsidR="005F78FC" w:rsidRDefault="00B42EF3">
      <w:pPr>
        <w:pStyle w:val="Definition-Field"/>
      </w:pPr>
      <w:r>
        <w:t xml:space="preserve">a.   </w:t>
      </w:r>
      <w:r>
        <w:rPr>
          <w:i/>
        </w:rPr>
        <w:t>The standard does not allow the Work</w:t>
      </w:r>
      <w:r>
        <w:rPr>
          <w:i/>
        </w:rPr>
        <w:t>sheet part to have an implicit relationship with the Worksheet Sort Map part.</w:t>
      </w:r>
    </w:p>
    <w:p w:rsidR="005F78FC" w:rsidRDefault="00B42EF3">
      <w:pPr>
        <w:pStyle w:val="Definition-Field2"/>
      </w:pPr>
      <w:r>
        <w:t>Office allows the Worksheet part to have an implicit relationship with the Worksheet Sort Map part.</w:t>
      </w:r>
    </w:p>
    <w:p w:rsidR="005F78FC" w:rsidRDefault="00B42EF3">
      <w:pPr>
        <w:pStyle w:val="Definition-Field"/>
      </w:pPr>
      <w:r>
        <w:t xml:space="preserve">b.   </w:t>
      </w:r>
      <w:r>
        <w:rPr>
          <w:i/>
        </w:rPr>
        <w:t>The standard does not allow the Worksheet part to have an implicit relati</w:t>
      </w:r>
      <w:r>
        <w:rPr>
          <w:i/>
        </w:rPr>
        <w:t>onship with the Query Table part.</w:t>
      </w:r>
    </w:p>
    <w:p w:rsidR="005F78FC" w:rsidRDefault="00B42EF3">
      <w:pPr>
        <w:pStyle w:val="Definition-Field2"/>
      </w:pPr>
      <w:r>
        <w:t>Office allows the Worksheet part to have an implicit relationship with the Query Table part.</w:t>
      </w:r>
    </w:p>
    <w:p w:rsidR="005F78FC" w:rsidRDefault="00B42EF3">
      <w:pPr>
        <w:pStyle w:val="Definition-Field"/>
      </w:pPr>
      <w:r>
        <w:t xml:space="preserve">c.   </w:t>
      </w:r>
      <w:r>
        <w:rPr>
          <w:i/>
        </w:rPr>
        <w:t>The standard does not allow the Worksheet part to have an explicit relationship with the Custom Property part.</w:t>
      </w:r>
    </w:p>
    <w:p w:rsidR="005F78FC" w:rsidRDefault="00B42EF3">
      <w:pPr>
        <w:pStyle w:val="Definition-Field2"/>
      </w:pPr>
      <w:r>
        <w:t>Office allows</w:t>
      </w:r>
      <w:r>
        <w:t xml:space="preserve"> the Worksheet part to have an explicit relationship with the Custom Property part.</w:t>
      </w:r>
    </w:p>
    <w:p w:rsidR="005F78FC" w:rsidRDefault="00B42EF3">
      <w:pPr>
        <w:pStyle w:val="Heading3"/>
      </w:pPr>
      <w:bookmarkStart w:id="44" w:name="section_69a5e5d3789449c299d7db87b61f4302"/>
      <w:bookmarkStart w:id="45" w:name="_Toc69877795"/>
      <w:r>
        <w:lastRenderedPageBreak/>
        <w:t>Part 1 Section 12.4, External Workbooks</w:t>
      </w:r>
      <w:bookmarkEnd w:id="44"/>
      <w:bookmarkEnd w:id="45"/>
      <w:r>
        <w:fldChar w:fldCharType="begin"/>
      </w:r>
      <w:r>
        <w:instrText xml:space="preserve"> XE "External Workbooks" </w:instrText>
      </w:r>
      <w:r>
        <w:fldChar w:fldCharType="end"/>
      </w:r>
    </w:p>
    <w:p w:rsidR="005F78FC" w:rsidRDefault="00B42EF3">
      <w:pPr>
        <w:pStyle w:val="Definition-Field"/>
      </w:pPr>
      <w:r>
        <w:t xml:space="preserve">a.   </w:t>
      </w:r>
      <w:r>
        <w:rPr>
          <w:i/>
        </w:rPr>
        <w:t>The standard does not specify the meaning of the http://schemas.microsoft.com/office/2006/relationsh</w:t>
      </w:r>
      <w:r>
        <w:rPr>
          <w:i/>
        </w:rPr>
        <w:t>ips/xlExternalLinkPath/xlStartup relationship type.</w:t>
      </w:r>
    </w:p>
    <w:p w:rsidR="005F78FC" w:rsidRDefault="00B42EF3">
      <w:pPr>
        <w:pStyle w:val="Definition-Field2"/>
      </w:pPr>
      <w:r>
        <w:t>Excel uses the http://schemas.microsoft.com/office/2006/relationships/xlExternalLinkPath/xlStartup relationship type to specify a base path of an application-defined startup directory.</w:t>
      </w:r>
    </w:p>
    <w:p w:rsidR="005F78FC" w:rsidRDefault="00B42EF3">
      <w:pPr>
        <w:pStyle w:val="Definition-Field"/>
      </w:pPr>
      <w:r>
        <w:t xml:space="preserve">b.   </w:t>
      </w:r>
      <w:r>
        <w:rPr>
          <w:i/>
        </w:rPr>
        <w:t>The standard d</w:t>
      </w:r>
      <w:r>
        <w:rPr>
          <w:i/>
        </w:rPr>
        <w:t>oes not specify the meaning of the http://schemas.microsoft.com/office/2006/relationships/xlExternalLinkPath/xlAlternateStartup relationship type.</w:t>
      </w:r>
    </w:p>
    <w:p w:rsidR="005F78FC" w:rsidRDefault="00B42EF3">
      <w:pPr>
        <w:pStyle w:val="Definition-Field2"/>
      </w:pPr>
      <w:r>
        <w:t>Excel uses the http://schemas.microsoft.com/office/2006/relationships/xlExternalLinkPath/xlAlternateStartup r</w:t>
      </w:r>
      <w:r>
        <w:t>elationship type to specify a base path of an application-defined alternate startup directory.</w:t>
      </w:r>
    </w:p>
    <w:p w:rsidR="005F78FC" w:rsidRDefault="00B42EF3">
      <w:pPr>
        <w:pStyle w:val="Definition-Field"/>
      </w:pPr>
      <w:r>
        <w:t xml:space="preserve">c.   </w:t>
      </w:r>
      <w:r>
        <w:rPr>
          <w:i/>
        </w:rPr>
        <w:t>The standard does not specify the meaning of the http://schemas.microsoft.com/office/2006/relationships/xlExternalLinkPath/xlPathMissing relationship type.</w:t>
      </w:r>
    </w:p>
    <w:p w:rsidR="005F78FC" w:rsidRDefault="00B42EF3">
      <w:pPr>
        <w:pStyle w:val="Definition-Field2"/>
      </w:pPr>
      <w:r>
        <w:t>Excel uses the http://schemas.microsoft.com/office/2006/relationships/xlExternalLinkPath/xlPathMissing relationship type to specify that a base path should not be inferred.</w:t>
      </w:r>
    </w:p>
    <w:p w:rsidR="005F78FC" w:rsidRDefault="00B42EF3">
      <w:pPr>
        <w:pStyle w:val="Definition-Field"/>
      </w:pPr>
      <w:r>
        <w:t xml:space="preserve">d.   </w:t>
      </w:r>
      <w:r>
        <w:rPr>
          <w:i/>
        </w:rPr>
        <w:t xml:space="preserve">The standard does not specify the meaning of the </w:t>
      </w:r>
      <w:r>
        <w:rPr>
          <w:i/>
        </w:rPr>
        <w:t>http://schemas.microsoft.com/office/2006/relationships/xlExternalLinkPath/xlLibrary relationship type.</w:t>
      </w:r>
    </w:p>
    <w:p w:rsidR="005F78FC" w:rsidRDefault="00B42EF3">
      <w:pPr>
        <w:pStyle w:val="Definition-Field2"/>
      </w:pPr>
      <w:r>
        <w:t>Excel uses the http://schemas.microsoft.com/office/2006/relationships/xlExternalLinkPath/xlLibrary relationship type to specify a base path of an applica</w:t>
      </w:r>
      <w:r>
        <w:t>tion-defined library directory.</w:t>
      </w:r>
    </w:p>
    <w:p w:rsidR="005F78FC" w:rsidRDefault="00B42EF3">
      <w:pPr>
        <w:pStyle w:val="Definition-Field"/>
      </w:pPr>
      <w:r>
        <w:t xml:space="preserve">e.   </w:t>
      </w:r>
      <w:r>
        <w:rPr>
          <w:i/>
        </w:rPr>
        <w:t>The standard states that this part can only contain links to external workbooks.</w:t>
      </w:r>
    </w:p>
    <w:p w:rsidR="005F78FC" w:rsidRDefault="00B42EF3">
      <w:pPr>
        <w:pStyle w:val="Definition-Field2"/>
      </w:pPr>
      <w:r>
        <w:t>Excel also allows this part to contain OLE links and DDE links.</w:t>
      </w:r>
    </w:p>
    <w:p w:rsidR="005F78FC" w:rsidRDefault="00B42EF3">
      <w:pPr>
        <w:pStyle w:val="Definition-Field"/>
      </w:pPr>
      <w:r>
        <w:t>f.</w:t>
      </w:r>
      <w:r>
        <w:tab/>
      </w:r>
      <w:r>
        <w:rPr>
          <w:i/>
        </w:rPr>
        <w:t>The standard does not specify the meaning of the http://schemas.microso</w:t>
      </w:r>
      <w:r>
        <w:rPr>
          <w:i/>
        </w:rPr>
        <w:t>ft.com/office/2019/04/relationships/externalLinkLongPath relationship type.</w:t>
      </w:r>
    </w:p>
    <w:p w:rsidR="005F78FC" w:rsidRDefault="00B42EF3">
      <w:pPr>
        <w:pStyle w:val="Definition-Field2"/>
      </w:pPr>
      <w:r>
        <w:t>Excel uses the http://schemas.microsoft.com/office/2019/04/relationships/externalLinkLongPath relationship type to specify a path that is longer than 218 characters.</w:t>
      </w:r>
    </w:p>
    <w:p w:rsidR="005F78FC" w:rsidRDefault="00B42EF3">
      <w:pPr>
        <w:pStyle w:val="Definition-Field"/>
      </w:pPr>
      <w:r>
        <w:t>g.</w:t>
      </w:r>
      <w:r>
        <w:tab/>
      </w:r>
      <w:r>
        <w:rPr>
          <w:i/>
        </w:rPr>
        <w:t>The standar</w:t>
      </w:r>
      <w:r>
        <w:rPr>
          <w:i/>
        </w:rPr>
        <w:t>d does not specify the meaning of the http://schemas.microsoft.com/office/2019/04/relationships/oleObjectLinkLongPath relationship type.</w:t>
      </w:r>
    </w:p>
    <w:p w:rsidR="005F78FC" w:rsidRDefault="00B42EF3">
      <w:pPr>
        <w:pStyle w:val="Definition-Field2"/>
      </w:pPr>
      <w:r>
        <w:t>Excel uses the http://schemas.microsoft.com/office/2019/04/relationships/oleObjectLinkLongPath relationship type to spe</w:t>
      </w:r>
      <w:r>
        <w:t>cify an OLE object link path that is longer than 218 characters.</w:t>
      </w:r>
    </w:p>
    <w:p w:rsidR="005F78FC" w:rsidRDefault="00B42EF3">
      <w:pPr>
        <w:pStyle w:val="Definition-Field"/>
      </w:pPr>
      <w:r>
        <w:t>h.</w:t>
      </w:r>
      <w:r>
        <w:tab/>
      </w:r>
      <w:r>
        <w:rPr>
          <w:i/>
        </w:rPr>
        <w:t>The standard does not specify the meaning of the http://schemas.microsoft.com/office/2019/04/relationships/xlExternalLinkLongPath/xlStartup relationship type.</w:t>
      </w:r>
    </w:p>
    <w:p w:rsidR="005F78FC" w:rsidRDefault="00B42EF3">
      <w:pPr>
        <w:pStyle w:val="Definition-Field2"/>
      </w:pPr>
      <w:r>
        <w:t>Excel uses the http://schemas</w:t>
      </w:r>
      <w:r>
        <w:t>.microsoft.com/office/2019/04/relationships/xlExternalLinkLongPath/xlStartup relationship type to specify a longer than 218-character base path of an application-defined startup directory.</w:t>
      </w:r>
    </w:p>
    <w:p w:rsidR="005F78FC" w:rsidRDefault="00B42EF3">
      <w:pPr>
        <w:pStyle w:val="Definition-Field"/>
      </w:pPr>
      <w:r>
        <w:lastRenderedPageBreak/>
        <w:t>i.</w:t>
      </w:r>
      <w:r>
        <w:tab/>
      </w:r>
      <w:r>
        <w:rPr>
          <w:i/>
        </w:rPr>
        <w:t>The standard does not specify the meaning of the http://schemas.</w:t>
      </w:r>
      <w:r>
        <w:rPr>
          <w:i/>
        </w:rPr>
        <w:t>microsoft.com/office/2019/04/relationships/xlExternalLinkLongPath/xlAlternateStartup relationship type.</w:t>
      </w:r>
    </w:p>
    <w:p w:rsidR="005F78FC" w:rsidRDefault="00B42EF3">
      <w:pPr>
        <w:pStyle w:val="Definition-Field2"/>
      </w:pPr>
      <w:r>
        <w:t>Excel uses the http://schemas.microsoft.com/office/2019/04/relationships/xlExternalLinkLongPath/xlAlternateStartup relationship type to specify a longer</w:t>
      </w:r>
      <w:r>
        <w:t xml:space="preserve"> than 218-character base path of an application-defined alternate startup directory.</w:t>
      </w:r>
    </w:p>
    <w:p w:rsidR="005F78FC" w:rsidRDefault="00B42EF3">
      <w:pPr>
        <w:pStyle w:val="Definition-Field"/>
      </w:pPr>
      <w:r>
        <w:rPr>
          <w:i/>
        </w:rPr>
        <w:t>j.</w:t>
      </w:r>
      <w:r>
        <w:rPr>
          <w:i/>
        </w:rPr>
        <w:tab/>
        <w:t>The standard does not specify the meaning of the http://schemas.microsoft.com/office/2009/04/relationships/xlExternalLinkLongPath/xlPathMissing relationship type.</w:t>
      </w:r>
    </w:p>
    <w:p w:rsidR="005F78FC" w:rsidRDefault="00B42EF3">
      <w:pPr>
        <w:pStyle w:val="Definition-Field2"/>
      </w:pPr>
      <w:r>
        <w:t>Excel</w:t>
      </w:r>
      <w:r>
        <w:t xml:space="preserve"> uses the http://schemas.microsoft.com/office/2009/04/relationships/xlExternalLinkLongPath/xlPathMissing relationship type to specify that a longer than 218-character base path should not be inferred.</w:t>
      </w:r>
    </w:p>
    <w:p w:rsidR="005F78FC" w:rsidRDefault="00B42EF3">
      <w:pPr>
        <w:pStyle w:val="Definition-Field"/>
      </w:pPr>
      <w:r>
        <w:rPr>
          <w:i/>
        </w:rPr>
        <w:t>k.</w:t>
      </w:r>
      <w:r>
        <w:rPr>
          <w:i/>
        </w:rPr>
        <w:tab/>
        <w:t>The standard does not specify the meaning of the htt</w:t>
      </w:r>
      <w:r>
        <w:rPr>
          <w:i/>
        </w:rPr>
        <w:t>p://schemas.microsoft.com/office/2009/04/relationships/xlExternalLinkLongPath/xlLibrary relationship type.</w:t>
      </w:r>
    </w:p>
    <w:p w:rsidR="005F78FC" w:rsidRDefault="00B42EF3">
      <w:pPr>
        <w:pStyle w:val="Definition-Field2"/>
      </w:pPr>
      <w:r>
        <w:t xml:space="preserve">Excel uses the http://schemas.microsoft.com/office/2009/04/relationships/xlExternalLinkLongPath/xlLibrary relationship type to specify a longer than </w:t>
      </w:r>
      <w:r>
        <w:t>218-character base path of an application-defined library directory.</w:t>
      </w:r>
    </w:p>
    <w:p w:rsidR="005F78FC" w:rsidRDefault="00B42EF3">
      <w:pPr>
        <w:pStyle w:val="Heading4"/>
      </w:pPr>
      <w:bookmarkStart w:id="46" w:name="section_67ed5418961347ee98c4fe2683c44abd"/>
      <w:bookmarkStart w:id="47" w:name="_Toc69877796"/>
      <w:r>
        <w:t>Part 1 Selection 12.4.1, External Workbooks With Long Path</w:t>
      </w:r>
      <w:bookmarkEnd w:id="46"/>
      <w:bookmarkEnd w:id="47"/>
    </w:p>
    <w:p w:rsidR="005F78FC" w:rsidRDefault="00B42EF3">
      <w:r>
        <w:t>a.</w:t>
      </w:r>
      <w:r>
        <w:tab/>
        <w:t>The standard does not specify the path length limit for external workbooks.</w:t>
      </w:r>
    </w:p>
    <w:p w:rsidR="005F78FC" w:rsidRDefault="00B42EF3">
      <w:pPr>
        <w:ind w:firstLine="720"/>
      </w:pPr>
      <w:r>
        <w:t>Excel uses the following relationship types to sp</w:t>
      </w:r>
      <w:r>
        <w:t>ecify paths for external workbooks that are longer than 218 characters.</w:t>
      </w:r>
    </w:p>
    <w:p w:rsidR="005F78FC" w:rsidRDefault="00B42EF3">
      <w:pPr>
        <w:ind w:firstLine="720"/>
        <w:rPr>
          <w:i/>
        </w:rPr>
      </w:pPr>
      <w:r>
        <w:t xml:space="preserve">http://schemas.microsoft.com/office/2019/04/relationships/externalLinkLongPath, </w:t>
      </w:r>
      <w:r>
        <w:rPr>
          <w:i/>
        </w:rPr>
        <w:t xml:space="preserve">http://schemas.microsoft.com/office/2019/04/relationships/oleObjectLinkLongPath, </w:t>
      </w:r>
      <w:r>
        <w:rPr>
          <w:i/>
        </w:rPr>
        <w:t>http://schemas.microsoft.com/office/2019/04/relationships/xlExternalLinkLongPath/xlStartup, http://schemas.microsoft.com/office/2019/04/relationships/xlExternalLinkLongPath/xlAlternateStartup, http://schemas.microsoft.com/office/2009/04/relationships/xlExt</w:t>
      </w:r>
      <w:r>
        <w:rPr>
          <w:i/>
        </w:rPr>
        <w:t>ernalLinkLongPath/xlPathMissing, http://schemas.microsoft.com/office/2009/04/relationships/xlExternalLinkLongPath/xlLibrary.</w:t>
      </w:r>
    </w:p>
    <w:p w:rsidR="005F78FC" w:rsidRDefault="00B42EF3">
      <w:pPr>
        <w:ind w:firstLine="720"/>
      </w:pPr>
      <w:r>
        <w:t xml:space="preserve">When an external workbook path is longer than 218 characters, Excel creates a short path in the form of \\unc\filename. This short </w:t>
      </w:r>
      <w:r>
        <w:t>path is saved in the relationships for external workbooks, specified in a through e in section 12.4. This short path must be unique among all relationships for the corresponding external workbook. The “unc” part of the short path must not exceed 8 characte</w:t>
      </w:r>
      <w:r>
        <w:t>rs. The “filename” part of the short path must not exceed 207 characters.</w:t>
      </w:r>
    </w:p>
    <w:p w:rsidR="005F78FC" w:rsidRDefault="00B42EF3">
      <w:pPr>
        <w:ind w:firstLine="720"/>
      </w:pPr>
      <w:r>
        <w:t>The long path corresponding to the short path must be saved in one of the above relationships for long paths, specified in f through k in section 12.4. The “unc” part must be appende</w:t>
      </w:r>
      <w:r>
        <w:t>d to the long path as the query string without the key.</w:t>
      </w:r>
    </w:p>
    <w:p w:rsidR="005F78FC" w:rsidRDefault="00B42EF3">
      <w:pPr>
        <w:pStyle w:val="Heading3"/>
      </w:pPr>
      <w:bookmarkStart w:id="48" w:name="section_861755efd1fe4366859cb88bab7810f4"/>
      <w:bookmarkStart w:id="49" w:name="_Toc69877797"/>
      <w:r>
        <w:t>Part 1 Section 13.3, Part Summary</w:t>
      </w:r>
      <w:bookmarkEnd w:id="48"/>
      <w:bookmarkEnd w:id="49"/>
      <w:r>
        <w:fldChar w:fldCharType="begin"/>
      </w:r>
      <w:r>
        <w:instrText xml:space="preserve"> XE "Part Summary" </w:instrText>
      </w:r>
      <w:r>
        <w:fldChar w:fldCharType="end"/>
      </w:r>
    </w:p>
    <w:p w:rsidR="005F78FC" w:rsidRDefault="00B42EF3">
      <w:pPr>
        <w:pStyle w:val="Definition-Field"/>
      </w:pPr>
      <w:r>
        <w:t xml:space="preserve">a.   </w:t>
      </w:r>
      <w:r>
        <w:rPr>
          <w:i/>
        </w:rPr>
        <w:t>The standard does not include documentation for the Legacy Diagram Text Info binary part.</w:t>
      </w:r>
    </w:p>
    <w:p w:rsidR="005F78FC" w:rsidRDefault="00B42EF3">
      <w:pPr>
        <w:pStyle w:val="Definition-Field2"/>
      </w:pPr>
      <w:r>
        <w:t>PowerPoint defines a Legacy Diagram Text Info bina</w:t>
      </w:r>
      <w:r>
        <w:t>ry part (</w:t>
      </w:r>
      <w:hyperlink w:anchor="Section_40b7fcb52a8347efb0a42ac4d13aa6e1">
        <w:r>
          <w:rPr>
            <w:rStyle w:val="Hyperlink"/>
          </w:rPr>
          <w:t>§3.3.1.1, Legacy Diagram Text part</w:t>
        </w:r>
      </w:hyperlink>
      <w:r>
        <w:t>) to store legacy diagram text information.</w:t>
      </w:r>
    </w:p>
    <w:p w:rsidR="005F78FC" w:rsidRDefault="00B42EF3">
      <w:pPr>
        <w:pStyle w:val="Definition-Field"/>
      </w:pPr>
      <w:r>
        <w:t xml:space="preserve">b.   </w:t>
      </w:r>
      <w:r>
        <w:rPr>
          <w:i/>
        </w:rPr>
        <w:t>The standard does not include documentation for the Legacy Diagram Text binary part.</w:t>
      </w:r>
    </w:p>
    <w:p w:rsidR="005F78FC" w:rsidRDefault="00B42EF3">
      <w:pPr>
        <w:pStyle w:val="Definition-Field2"/>
      </w:pPr>
      <w:r>
        <w:lastRenderedPageBreak/>
        <w:t>PowerPoint defin</w:t>
      </w:r>
      <w:r>
        <w:t>es a Legacy Diagram Text binary part (§3.3.1.1, Legacy Diagram Text part) to store legacy diagram text.</w:t>
      </w:r>
    </w:p>
    <w:p w:rsidR="005F78FC" w:rsidRDefault="00B42EF3">
      <w:pPr>
        <w:pStyle w:val="Definition-Field"/>
      </w:pPr>
      <w:r>
        <w:t xml:space="preserve">c.   </w:t>
      </w:r>
      <w:r>
        <w:rPr>
          <w:i/>
        </w:rPr>
        <w:t>The standard does not include documentation for the SmartTags binary part.</w:t>
      </w:r>
    </w:p>
    <w:p w:rsidR="005F78FC" w:rsidRDefault="00B42EF3">
      <w:pPr>
        <w:pStyle w:val="Definition-Field2"/>
      </w:pPr>
      <w:r>
        <w:t>PowerPoint defines a SmartTags binary part (</w:t>
      </w:r>
      <w:hyperlink w:anchor="Section_adb4ca1d99144d6aaf38755990ac9427">
        <w:r>
          <w:rPr>
            <w:rStyle w:val="Hyperlink"/>
          </w:rPr>
          <w:t>§3.3.1.3, SmartTags part</w:t>
        </w:r>
      </w:hyperlink>
      <w:r>
        <w:t>) to store smart tag data.</w:t>
      </w:r>
    </w:p>
    <w:p w:rsidR="005F78FC" w:rsidRDefault="00B42EF3">
      <w:pPr>
        <w:pStyle w:val="Heading3"/>
      </w:pPr>
      <w:bookmarkStart w:id="50" w:name="section_6edd755f569e4d1dad791a16230b4fd8"/>
      <w:bookmarkStart w:id="51" w:name="_Toc69877798"/>
      <w:r>
        <w:t>Part 1 Section 13.3.3, Handout Master Part</w:t>
      </w:r>
      <w:bookmarkEnd w:id="50"/>
      <w:bookmarkEnd w:id="51"/>
      <w:r>
        <w:fldChar w:fldCharType="begin"/>
      </w:r>
      <w:r>
        <w:instrText xml:space="preserve"> XE "Handout Master Part" </w:instrText>
      </w:r>
      <w:r>
        <w:fldChar w:fldCharType="end"/>
      </w:r>
    </w:p>
    <w:p w:rsidR="005F78FC" w:rsidRDefault="00B42EF3">
      <w:pPr>
        <w:pStyle w:val="Definition-Field"/>
      </w:pPr>
      <w:r>
        <w:t xml:space="preserve">a.   </w:t>
      </w:r>
      <w:r>
        <w:rPr>
          <w:i/>
        </w:rPr>
        <w:t>The standard states that a Handout Master part is permitted to have an explicit relationship w</w:t>
      </w:r>
      <w:r>
        <w:rPr>
          <w:i/>
        </w:rPr>
        <w:t>ith the Embedded Control Persistence part.</w:t>
      </w:r>
    </w:p>
    <w:p w:rsidR="005F78FC" w:rsidRDefault="00B42EF3">
      <w:pPr>
        <w:pStyle w:val="Definition-Field2"/>
      </w:pPr>
      <w:r>
        <w:t>Office does not allow a Handout Master part to have an explicit relationship to the Embedded Control Persistence part.</w:t>
      </w:r>
    </w:p>
    <w:p w:rsidR="005F78FC" w:rsidRDefault="00B42EF3">
      <w:pPr>
        <w:pStyle w:val="Definition-Field"/>
      </w:pPr>
      <w:r>
        <w:t xml:space="preserve">b.   </w:t>
      </w:r>
      <w:r>
        <w:rPr>
          <w:i/>
        </w:rPr>
        <w:t>The standard does not allow the Handout Master part to have an explicit relationship with</w:t>
      </w:r>
      <w:r>
        <w:rPr>
          <w:i/>
        </w:rPr>
        <w:t xml:space="preserve"> the User Defined Tags part.</w:t>
      </w:r>
    </w:p>
    <w:p w:rsidR="005F78FC" w:rsidRDefault="00B42EF3">
      <w:pPr>
        <w:pStyle w:val="Definition-Field2"/>
      </w:pPr>
      <w:r>
        <w:t>Office allows the Handout Master part to have an explicit relationship with the User Defined Tags part.</w:t>
      </w:r>
    </w:p>
    <w:p w:rsidR="005F78FC" w:rsidRDefault="00B42EF3">
      <w:pPr>
        <w:pStyle w:val="Definition-Field"/>
      </w:pPr>
      <w:r>
        <w:t xml:space="preserve">c.   </w:t>
      </w:r>
      <w:r>
        <w:rPr>
          <w:i/>
        </w:rPr>
        <w:t xml:space="preserve">The standard states that a Handout Master part is permitted to have an implicit relationship with the Custom XML Data </w:t>
      </w:r>
      <w:r>
        <w:rPr>
          <w:i/>
        </w:rPr>
        <w:t>Storage part.</w:t>
      </w:r>
    </w:p>
    <w:p w:rsidR="005F78FC" w:rsidRDefault="00B42EF3">
      <w:pPr>
        <w:pStyle w:val="Definition-Field2"/>
      </w:pPr>
      <w:r>
        <w:t>Office only allows for an explicit relationship between these two parts.</w:t>
      </w:r>
    </w:p>
    <w:p w:rsidR="005F78FC" w:rsidRDefault="00B42EF3">
      <w:pPr>
        <w:pStyle w:val="Definition-Field"/>
      </w:pPr>
      <w:r>
        <w:t xml:space="preserve">d.   </w:t>
      </w:r>
      <w:r>
        <w:rPr>
          <w:i/>
        </w:rPr>
        <w:t>The standard states that a Handout Master part is permitted to have an implicit relationship with the Thumbnail part.</w:t>
      </w:r>
    </w:p>
    <w:p w:rsidR="005F78FC" w:rsidRDefault="00B42EF3">
      <w:pPr>
        <w:pStyle w:val="Definition-Field2"/>
      </w:pPr>
      <w:r>
        <w:t>Office does not allow a Handout Master part to</w:t>
      </w:r>
      <w:r>
        <w:t xml:space="preserve"> have an implicit relationship to the Thumbnail part.</w:t>
      </w:r>
    </w:p>
    <w:p w:rsidR="005F78FC" w:rsidRDefault="00B42EF3">
      <w:pPr>
        <w:pStyle w:val="Definition-Field"/>
      </w:pPr>
      <w:r>
        <w:t xml:space="preserve">e.   </w:t>
      </w:r>
      <w:r>
        <w:rPr>
          <w:i/>
        </w:rPr>
        <w:t>The standard does not allow the Handout Master part to have an explicit relationship with the Slide part.</w:t>
      </w:r>
    </w:p>
    <w:p w:rsidR="005F78FC" w:rsidRDefault="00B42EF3">
      <w:pPr>
        <w:pStyle w:val="Definition-Field2"/>
      </w:pPr>
      <w:r>
        <w:t>Office allows the Handout Master part to have an explicit relationship with the Slide part.</w:t>
      </w:r>
    </w:p>
    <w:p w:rsidR="005F78FC" w:rsidRDefault="00B42EF3">
      <w:pPr>
        <w:pStyle w:val="Definition-Field"/>
      </w:pPr>
      <w:r>
        <w:t xml:space="preserve">f.   </w:t>
      </w:r>
      <w:r>
        <w:rPr>
          <w:i/>
        </w:rPr>
        <w:t>The standard permits the Handout Master part to have an explicit relationship with the VML Drawing part.</w:t>
      </w:r>
    </w:p>
    <w:p w:rsidR="005F78FC" w:rsidRDefault="00B42EF3">
      <w:pPr>
        <w:pStyle w:val="Definition-Field2"/>
      </w:pPr>
      <w:r>
        <w:t>Office only permits the Handout Master part to have an implicit relationship with the VML Drawing part.</w:t>
      </w:r>
    </w:p>
    <w:p w:rsidR="005F78FC" w:rsidRDefault="00B42EF3">
      <w:pPr>
        <w:pStyle w:val="Definition-Field"/>
      </w:pPr>
      <w:r>
        <w:t xml:space="preserve">g.   </w:t>
      </w:r>
      <w:r>
        <w:rPr>
          <w:i/>
        </w:rPr>
        <w:t>The standard permits the Handout Mas</w:t>
      </w:r>
      <w:r>
        <w:rPr>
          <w:i/>
        </w:rPr>
        <w:t>ter part to have an implicit relationship with the Additional Characteristics part.</w:t>
      </w:r>
    </w:p>
    <w:p w:rsidR="005F78FC" w:rsidRDefault="00B42EF3">
      <w:pPr>
        <w:pStyle w:val="Definition-Field2"/>
      </w:pPr>
      <w:r>
        <w:t>Office only permits the Handout Master part to have an explicit relationship with the Additional Characteristics part.</w:t>
      </w:r>
    </w:p>
    <w:p w:rsidR="005F78FC" w:rsidRDefault="00B42EF3">
      <w:pPr>
        <w:pStyle w:val="Definition-Field"/>
      </w:pPr>
      <w:r>
        <w:t xml:space="preserve">h.   </w:t>
      </w:r>
      <w:r>
        <w:rPr>
          <w:i/>
        </w:rPr>
        <w:t>The standard states that the Handout Master part</w:t>
      </w:r>
      <w:r>
        <w:rPr>
          <w:i/>
        </w:rPr>
        <w:t xml:space="preserve"> is permitted to have an implicit relationship to a Bibliography part.</w:t>
      </w:r>
    </w:p>
    <w:p w:rsidR="005F78FC" w:rsidRDefault="00B42EF3">
      <w:pPr>
        <w:pStyle w:val="Definition-Field2"/>
      </w:pPr>
      <w:r>
        <w:t>Office only allows the Handout Master part to have an explicit relationship with a Bibliography part.</w:t>
      </w:r>
    </w:p>
    <w:p w:rsidR="005F78FC" w:rsidRDefault="00B42EF3">
      <w:pPr>
        <w:pStyle w:val="Heading3"/>
      </w:pPr>
      <w:bookmarkStart w:id="52" w:name="section_7722a188d62f4451921616b75f29d22f"/>
      <w:bookmarkStart w:id="53" w:name="_Toc69877799"/>
      <w:r>
        <w:t>Part 1 Section 13.3.4, Notes Master Part</w:t>
      </w:r>
      <w:bookmarkEnd w:id="52"/>
      <w:bookmarkEnd w:id="53"/>
      <w:r>
        <w:fldChar w:fldCharType="begin"/>
      </w:r>
      <w:r>
        <w:instrText xml:space="preserve"> XE "Notes Master Part" </w:instrText>
      </w:r>
      <w:r>
        <w:fldChar w:fldCharType="end"/>
      </w:r>
    </w:p>
    <w:p w:rsidR="005F78FC" w:rsidRDefault="00B42EF3">
      <w:pPr>
        <w:pStyle w:val="Definition-Field"/>
      </w:pPr>
      <w:r>
        <w:t xml:space="preserve">a.   </w:t>
      </w:r>
      <w:r>
        <w:rPr>
          <w:i/>
        </w:rPr>
        <w:t xml:space="preserve">The </w:t>
      </w:r>
      <w:r>
        <w:rPr>
          <w:i/>
        </w:rPr>
        <w:t>standard states that a Notes Master part is permitted to have an explicit relationship with the Embedded Control Persistence part.</w:t>
      </w:r>
    </w:p>
    <w:p w:rsidR="005F78FC" w:rsidRDefault="00B42EF3">
      <w:pPr>
        <w:pStyle w:val="Definition-Field2"/>
      </w:pPr>
      <w:r>
        <w:lastRenderedPageBreak/>
        <w:t>Office does not allow a Notes Master part to have an explicit relationship to the Embedded Control Persistence part.</w:t>
      </w:r>
    </w:p>
    <w:p w:rsidR="005F78FC" w:rsidRDefault="00B42EF3">
      <w:pPr>
        <w:pStyle w:val="Definition-Field"/>
      </w:pPr>
      <w:r>
        <w:t xml:space="preserve">b.   </w:t>
      </w:r>
      <w:r>
        <w:rPr>
          <w:i/>
        </w:rPr>
        <w:t>The</w:t>
      </w:r>
      <w:r>
        <w:rPr>
          <w:i/>
        </w:rPr>
        <w:t xml:space="preserve"> standard states that a Notes Master part is permitted to have an implicit relationship with the Thumbnail part.</w:t>
      </w:r>
    </w:p>
    <w:p w:rsidR="005F78FC" w:rsidRDefault="00B42EF3">
      <w:pPr>
        <w:pStyle w:val="Definition-Field2"/>
      </w:pPr>
      <w:r>
        <w:t>Office does not allow a Notes Master part to have an implicit relationship to the Thumbnail part.</w:t>
      </w:r>
    </w:p>
    <w:p w:rsidR="005F78FC" w:rsidRDefault="00B42EF3">
      <w:pPr>
        <w:pStyle w:val="Definition-Field"/>
      </w:pPr>
      <w:r>
        <w:t xml:space="preserve">c.   </w:t>
      </w:r>
      <w:r>
        <w:rPr>
          <w:i/>
        </w:rPr>
        <w:t>The standard does not allow the Notes Ma</w:t>
      </w:r>
      <w:r>
        <w:rPr>
          <w:i/>
        </w:rPr>
        <w:t>ster part to have an explicit relationship with the User Defined Tags part.</w:t>
      </w:r>
    </w:p>
    <w:p w:rsidR="005F78FC" w:rsidRDefault="00B42EF3">
      <w:pPr>
        <w:pStyle w:val="Definition-Field2"/>
      </w:pPr>
      <w:r>
        <w:t>Office allows the Notes Master part to have an explicit relationship with the User Defined Tags part.</w:t>
      </w:r>
    </w:p>
    <w:p w:rsidR="005F78FC" w:rsidRDefault="00B42EF3">
      <w:pPr>
        <w:pStyle w:val="Definition-Field"/>
      </w:pPr>
      <w:r>
        <w:t xml:space="preserve">d.   </w:t>
      </w:r>
      <w:r>
        <w:rPr>
          <w:i/>
        </w:rPr>
        <w:t>The standard does not allow the Notes Master part to have an explicit rel</w:t>
      </w:r>
      <w:r>
        <w:rPr>
          <w:i/>
        </w:rPr>
        <w:t>ationship with the Slide part.</w:t>
      </w:r>
    </w:p>
    <w:p w:rsidR="005F78FC" w:rsidRDefault="00B42EF3">
      <w:pPr>
        <w:pStyle w:val="Definition-Field2"/>
      </w:pPr>
      <w:r>
        <w:t>Office allows the Notes Master part to have an explicit relationship with the Slide part.</w:t>
      </w:r>
    </w:p>
    <w:p w:rsidR="005F78FC" w:rsidRDefault="00B42EF3">
      <w:pPr>
        <w:pStyle w:val="Definition-Field"/>
      </w:pPr>
      <w:r>
        <w:t xml:space="preserve">e.   </w:t>
      </w:r>
      <w:r>
        <w:rPr>
          <w:i/>
        </w:rPr>
        <w:t>The standard permits the Notes Master part to have an explicit relationship with the VML Drawing part.</w:t>
      </w:r>
    </w:p>
    <w:p w:rsidR="005F78FC" w:rsidRDefault="00B42EF3">
      <w:pPr>
        <w:pStyle w:val="Definition-Field2"/>
      </w:pPr>
      <w:r>
        <w:t>Office only permits the Not</w:t>
      </w:r>
      <w:r>
        <w:t>es Master part to have an implicit relationship with the VML Drawing part.</w:t>
      </w:r>
    </w:p>
    <w:p w:rsidR="005F78FC" w:rsidRDefault="00B42EF3">
      <w:pPr>
        <w:pStyle w:val="Definition-Field"/>
      </w:pPr>
      <w:r>
        <w:t xml:space="preserve">f.   </w:t>
      </w:r>
      <w:r>
        <w:rPr>
          <w:i/>
        </w:rPr>
        <w:t>The standard permits the Notes Master part to have an implicit relationship with the Additional Characteristics part.</w:t>
      </w:r>
    </w:p>
    <w:p w:rsidR="005F78FC" w:rsidRDefault="00B42EF3">
      <w:pPr>
        <w:pStyle w:val="Definition-Field2"/>
      </w:pPr>
      <w:r>
        <w:t>Office only permits the Notes Master part to have an expli</w:t>
      </w:r>
      <w:r>
        <w:t>cit relationship with the Additional Characteristics part.</w:t>
      </w:r>
    </w:p>
    <w:p w:rsidR="005F78FC" w:rsidRDefault="00B42EF3">
      <w:pPr>
        <w:pStyle w:val="Definition-Field"/>
      </w:pPr>
      <w:r>
        <w:t xml:space="preserve">g.   </w:t>
      </w:r>
      <w:r>
        <w:rPr>
          <w:i/>
        </w:rPr>
        <w:t>The standard states that the Notes Master part is permitted to have an implicit relationship to a Bibliography part.</w:t>
      </w:r>
    </w:p>
    <w:p w:rsidR="005F78FC" w:rsidRDefault="00B42EF3">
      <w:pPr>
        <w:pStyle w:val="Definition-Field2"/>
      </w:pPr>
      <w:r>
        <w:t>Office only allows the Notes Master part to have an explicit relationship w</w:t>
      </w:r>
      <w:r>
        <w:t>ith a Bibliography part.</w:t>
      </w:r>
    </w:p>
    <w:p w:rsidR="005F78FC" w:rsidRDefault="00B42EF3">
      <w:pPr>
        <w:pStyle w:val="Heading3"/>
      </w:pPr>
      <w:bookmarkStart w:id="54" w:name="section_4241f073467b4245a44f947b96e88325"/>
      <w:bookmarkStart w:id="55" w:name="_Toc69877800"/>
      <w:r>
        <w:t>Part 1 Section 13.3.5, Notes Slide Part</w:t>
      </w:r>
      <w:bookmarkEnd w:id="54"/>
      <w:bookmarkEnd w:id="55"/>
      <w:r>
        <w:fldChar w:fldCharType="begin"/>
      </w:r>
      <w:r>
        <w:instrText xml:space="preserve"> XE "Notes Slide Part" </w:instrText>
      </w:r>
      <w:r>
        <w:fldChar w:fldCharType="end"/>
      </w:r>
    </w:p>
    <w:p w:rsidR="005F78FC" w:rsidRDefault="00B42EF3">
      <w:pPr>
        <w:pStyle w:val="Definition-Field"/>
      </w:pPr>
      <w:r>
        <w:t xml:space="preserve">a.   </w:t>
      </w:r>
      <w:r>
        <w:rPr>
          <w:i/>
        </w:rPr>
        <w:t>The standard states that a Notes Slide part is permitted to have an explicit relationship with the Embedded Control Persistence part.</w:t>
      </w:r>
    </w:p>
    <w:p w:rsidR="005F78FC" w:rsidRDefault="00B42EF3">
      <w:pPr>
        <w:pStyle w:val="Definition-Field2"/>
      </w:pPr>
      <w:r>
        <w:t>Office does not allow a Not</w:t>
      </w:r>
      <w:r>
        <w:t>es Slide part to have an explicit relationship to the Embedded Control Persistence part.</w:t>
      </w:r>
    </w:p>
    <w:p w:rsidR="005F78FC" w:rsidRDefault="00B42EF3">
      <w:pPr>
        <w:pStyle w:val="Definition-Field"/>
      </w:pPr>
      <w:r>
        <w:t xml:space="preserve">b.   </w:t>
      </w:r>
      <w:r>
        <w:rPr>
          <w:i/>
        </w:rPr>
        <w:t>The standard does not allow the Notes Slide part to have an implicit relationship to a Slide part.</w:t>
      </w:r>
    </w:p>
    <w:p w:rsidR="005F78FC" w:rsidRDefault="00B42EF3">
      <w:pPr>
        <w:pStyle w:val="Definition-Field2"/>
      </w:pPr>
      <w:r>
        <w:t>Office allows the Notes Slide part to have an implicit relation</w:t>
      </w:r>
      <w:r>
        <w:t>ship to a Slide part.</w:t>
      </w:r>
    </w:p>
    <w:p w:rsidR="005F78FC" w:rsidRDefault="00B42EF3">
      <w:pPr>
        <w:pStyle w:val="Definition-Field"/>
      </w:pPr>
      <w:r>
        <w:t xml:space="preserve">c.   </w:t>
      </w:r>
      <w:r>
        <w:rPr>
          <w:i/>
        </w:rPr>
        <w:t>The standard states that a Notes Slide part is permitted to have an implicit relationship with the Thumbnail part.</w:t>
      </w:r>
    </w:p>
    <w:p w:rsidR="005F78FC" w:rsidRDefault="00B42EF3">
      <w:pPr>
        <w:pStyle w:val="Definition-Field2"/>
      </w:pPr>
      <w:r>
        <w:t>Office does not allow a Notes Slide part to have an implicit relationship to the Thumbnail part.</w:t>
      </w:r>
    </w:p>
    <w:p w:rsidR="005F78FC" w:rsidRDefault="00B42EF3">
      <w:pPr>
        <w:pStyle w:val="Definition-Field"/>
      </w:pPr>
      <w:r>
        <w:t xml:space="preserve">d.   </w:t>
      </w:r>
      <w:r>
        <w:rPr>
          <w:i/>
        </w:rPr>
        <w:t>The standard</w:t>
      </w:r>
      <w:r>
        <w:rPr>
          <w:i/>
        </w:rPr>
        <w:t xml:space="preserve"> does not allow the Notes Slide part to have an explicit relationship with the User Defined Tags part.</w:t>
      </w:r>
    </w:p>
    <w:p w:rsidR="005F78FC" w:rsidRDefault="00B42EF3">
      <w:pPr>
        <w:pStyle w:val="Definition-Field2"/>
      </w:pPr>
      <w:r>
        <w:t>Office allows the Notes Slide part to have an explicit relationship with the User Defined Tags part.</w:t>
      </w:r>
    </w:p>
    <w:p w:rsidR="005F78FC" w:rsidRDefault="00B42EF3">
      <w:pPr>
        <w:pStyle w:val="Definition-Field"/>
      </w:pPr>
      <w:r>
        <w:t xml:space="preserve">e.   </w:t>
      </w:r>
      <w:r>
        <w:rPr>
          <w:i/>
        </w:rPr>
        <w:t>The standard does not allow the Notes Slide par</w:t>
      </w:r>
      <w:r>
        <w:rPr>
          <w:i/>
        </w:rPr>
        <w:t>t to have an explicit relationship with the Slide part.</w:t>
      </w:r>
    </w:p>
    <w:p w:rsidR="005F78FC" w:rsidRDefault="00B42EF3">
      <w:pPr>
        <w:pStyle w:val="Definition-Field2"/>
      </w:pPr>
      <w:r>
        <w:lastRenderedPageBreak/>
        <w:t>Office allows the Notes Slide part to have an explicit relationship with the Slide part.</w:t>
      </w:r>
    </w:p>
    <w:p w:rsidR="005F78FC" w:rsidRDefault="00B42EF3">
      <w:pPr>
        <w:pStyle w:val="Definition-Field"/>
      </w:pPr>
      <w:r>
        <w:t xml:space="preserve">f.   </w:t>
      </w:r>
      <w:r>
        <w:rPr>
          <w:i/>
        </w:rPr>
        <w:t>The standard permits the Notes Slide part to have an explicit relationship with the VML Drawing part.</w:t>
      </w:r>
    </w:p>
    <w:p w:rsidR="005F78FC" w:rsidRDefault="00B42EF3">
      <w:pPr>
        <w:pStyle w:val="Definition-Field2"/>
      </w:pPr>
      <w:r>
        <w:t>Office only permits the Notes Slide part to have an implicit relationship with the VML Drawing part.</w:t>
      </w:r>
    </w:p>
    <w:p w:rsidR="005F78FC" w:rsidRDefault="00B42EF3">
      <w:pPr>
        <w:pStyle w:val="Definition-Field"/>
      </w:pPr>
      <w:r>
        <w:t xml:space="preserve">g.   </w:t>
      </w:r>
      <w:r>
        <w:rPr>
          <w:i/>
        </w:rPr>
        <w:t>The standard permits the Notes Slide part to have an implicit relationship with the Additional Characteristics part.</w:t>
      </w:r>
    </w:p>
    <w:p w:rsidR="005F78FC" w:rsidRDefault="00B42EF3">
      <w:pPr>
        <w:pStyle w:val="Definition-Field2"/>
      </w:pPr>
      <w:r>
        <w:t>Office only permits the Notes Sli</w:t>
      </w:r>
      <w:r>
        <w:t>de part to have an explicit relationship with the Additional Characteristics part.</w:t>
      </w:r>
    </w:p>
    <w:p w:rsidR="005F78FC" w:rsidRDefault="00B42EF3">
      <w:pPr>
        <w:pStyle w:val="Definition-Field"/>
      </w:pPr>
      <w:r>
        <w:t xml:space="preserve">h.   </w:t>
      </w:r>
      <w:r>
        <w:rPr>
          <w:i/>
        </w:rPr>
        <w:t>The standard states that the Notes Slide part is permitted to have an implicit relationship to a Bibliography part.</w:t>
      </w:r>
    </w:p>
    <w:p w:rsidR="005F78FC" w:rsidRDefault="00B42EF3">
      <w:pPr>
        <w:pStyle w:val="Definition-Field2"/>
      </w:pPr>
      <w:r>
        <w:t xml:space="preserve">Office only allows the Notes Slide part to have an </w:t>
      </w:r>
      <w:r>
        <w:t>explicit relationship with a Bibliography part.</w:t>
      </w:r>
    </w:p>
    <w:p w:rsidR="005F78FC" w:rsidRDefault="00B42EF3">
      <w:pPr>
        <w:pStyle w:val="Heading3"/>
      </w:pPr>
      <w:bookmarkStart w:id="56" w:name="section_878e09616c044b579a6d9bebc1ac3be3"/>
      <w:bookmarkStart w:id="57" w:name="_Toc69877801"/>
      <w:r>
        <w:t>Part 1 Section 13.3.6, Presentation Part</w:t>
      </w:r>
      <w:bookmarkEnd w:id="56"/>
      <w:bookmarkEnd w:id="57"/>
      <w:r>
        <w:fldChar w:fldCharType="begin"/>
      </w:r>
      <w:r>
        <w:instrText xml:space="preserve"> XE "Presentation Part" </w:instrText>
      </w:r>
      <w:r>
        <w:fldChar w:fldCharType="end"/>
      </w:r>
    </w:p>
    <w:p w:rsidR="005F78FC" w:rsidRDefault="00B42EF3">
      <w:pPr>
        <w:pStyle w:val="Definition-Field"/>
      </w:pPr>
      <w:r>
        <w:t xml:space="preserve">a.   </w:t>
      </w:r>
      <w:r>
        <w:rPr>
          <w:i/>
        </w:rPr>
        <w:t>The standard states that a Presentation part is permitted to have implicit relationships with the Comments part.</w:t>
      </w:r>
    </w:p>
    <w:p w:rsidR="005F78FC" w:rsidRDefault="00B42EF3">
      <w:pPr>
        <w:pStyle w:val="Definition-Field2"/>
      </w:pPr>
      <w:r>
        <w:t xml:space="preserve">Office only allows the </w:t>
      </w:r>
      <w:r>
        <w:t>Presentation part to have implicit relationships with the Comment Authors part.</w:t>
      </w:r>
    </w:p>
    <w:p w:rsidR="005F78FC" w:rsidRDefault="00B42EF3">
      <w:pPr>
        <w:pStyle w:val="Definition-Field"/>
      </w:pPr>
      <w:r>
        <w:t xml:space="preserve">b.   </w:t>
      </w:r>
      <w:r>
        <w:rPr>
          <w:i/>
        </w:rPr>
        <w:t>The standard states that a Presentation part is permitted to have explicit relationships with the Slide Layout part.</w:t>
      </w:r>
    </w:p>
    <w:p w:rsidR="005F78FC" w:rsidRDefault="00B42EF3">
      <w:pPr>
        <w:pStyle w:val="Definition-Field2"/>
      </w:pPr>
      <w:r>
        <w:t>Office does not allow a Presentation part to have expl</w:t>
      </w:r>
      <w:r>
        <w:t>icit relationships with the Slide Layout part.</w:t>
      </w:r>
    </w:p>
    <w:p w:rsidR="005F78FC" w:rsidRDefault="00B42EF3">
      <w:pPr>
        <w:pStyle w:val="Definition-Field"/>
      </w:pPr>
      <w:r>
        <w:t xml:space="preserve">c.   </w:t>
      </w:r>
      <w:r>
        <w:rPr>
          <w:i/>
        </w:rPr>
        <w:t>The standard states that the Presentation part is permitted to have an implicit relationship to a Font part.</w:t>
      </w:r>
    </w:p>
    <w:p w:rsidR="005F78FC" w:rsidRDefault="00B42EF3">
      <w:pPr>
        <w:pStyle w:val="Definition-Field2"/>
      </w:pPr>
      <w:r>
        <w:t>Office only allows the Presentation part to have an explicit relationship with a Font part.</w:t>
      </w:r>
    </w:p>
    <w:p w:rsidR="005F78FC" w:rsidRDefault="00B42EF3">
      <w:pPr>
        <w:pStyle w:val="Definition-Field"/>
      </w:pPr>
      <w:r>
        <w:t xml:space="preserve">d. </w:t>
      </w:r>
      <w:r>
        <w:t xml:space="preserve">  </w:t>
      </w:r>
      <w:r>
        <w:rPr>
          <w:i/>
        </w:rPr>
        <w:t>The standard states that a Presentation part is permitted to have an implicit relationship to the Thumbnail part.</w:t>
      </w:r>
    </w:p>
    <w:p w:rsidR="005F78FC" w:rsidRDefault="00B42EF3">
      <w:pPr>
        <w:pStyle w:val="Definition-Field2"/>
      </w:pPr>
      <w:r>
        <w:t>Office does not allow a Presentation part to have an implicit relationship to the Thumbnail part.</w:t>
      </w:r>
    </w:p>
    <w:p w:rsidR="005F78FC" w:rsidRDefault="00B42EF3">
      <w:pPr>
        <w:pStyle w:val="Definition-Field"/>
      </w:pPr>
      <w:r>
        <w:t xml:space="preserve">e.   </w:t>
      </w:r>
      <w:r>
        <w:rPr>
          <w:i/>
        </w:rPr>
        <w:t>The standard states that the Presenta</w:t>
      </w:r>
      <w:r>
        <w:rPr>
          <w:i/>
        </w:rPr>
        <w:t>tion part is permitted to have an implicit relationship to a Custom XML Data Storage part.</w:t>
      </w:r>
    </w:p>
    <w:p w:rsidR="005F78FC" w:rsidRDefault="00B42EF3">
      <w:pPr>
        <w:pStyle w:val="Definition-Field2"/>
      </w:pPr>
      <w:r>
        <w:t>Office also allows for an explicit relationship between the Presentation part and a Custom XML Data Storage part.</w:t>
      </w:r>
    </w:p>
    <w:p w:rsidR="005F78FC" w:rsidRDefault="00B42EF3">
      <w:pPr>
        <w:pStyle w:val="Definition-Field"/>
      </w:pPr>
      <w:r>
        <w:t xml:space="preserve">f.   </w:t>
      </w:r>
      <w:r>
        <w:rPr>
          <w:i/>
        </w:rPr>
        <w:t>The standard states that a Presentation part i</w:t>
      </w:r>
      <w:r>
        <w:rPr>
          <w:i/>
        </w:rPr>
        <w:t>s permitted to have an implicit relationship to the Additional Characteristics part.</w:t>
      </w:r>
    </w:p>
    <w:p w:rsidR="005F78FC" w:rsidRDefault="00B42EF3">
      <w:pPr>
        <w:pStyle w:val="Definition-Field2"/>
      </w:pPr>
      <w:r>
        <w:t>Office also allows there to be an explicit relationship between a Presentation part and the Additional Characteristics part.</w:t>
      </w:r>
    </w:p>
    <w:p w:rsidR="005F78FC" w:rsidRDefault="00B42EF3">
      <w:pPr>
        <w:pStyle w:val="Definition-Field"/>
      </w:pPr>
      <w:r>
        <w:t xml:space="preserve">g.   </w:t>
      </w:r>
      <w:r>
        <w:rPr>
          <w:i/>
        </w:rPr>
        <w:t>The standard states that a Presentation p</w:t>
      </w:r>
      <w:r>
        <w:rPr>
          <w:i/>
        </w:rPr>
        <w:t>art is permitted to have an implicit relationship to a Bibliography part.</w:t>
      </w:r>
    </w:p>
    <w:p w:rsidR="005F78FC" w:rsidRDefault="00B42EF3">
      <w:pPr>
        <w:pStyle w:val="Definition-Field2"/>
      </w:pPr>
      <w:r>
        <w:t>Office also allows there to be an explicit relationship between a Presentation part and a Bibliography part.</w:t>
      </w:r>
    </w:p>
    <w:p w:rsidR="005F78FC" w:rsidRDefault="00B42EF3">
      <w:pPr>
        <w:pStyle w:val="Heading3"/>
      </w:pPr>
      <w:bookmarkStart w:id="58" w:name="section_a63cebe0eca5492db580bdc59f618639"/>
      <w:bookmarkStart w:id="59" w:name="_Toc69877802"/>
      <w:r>
        <w:lastRenderedPageBreak/>
        <w:t>Part 1 Section 13.3.7, Presentation Properties Part</w:t>
      </w:r>
      <w:bookmarkEnd w:id="58"/>
      <w:bookmarkEnd w:id="59"/>
      <w:r>
        <w:fldChar w:fldCharType="begin"/>
      </w:r>
      <w:r>
        <w:instrText xml:space="preserve"> XE "Presentation Prop</w:instrText>
      </w:r>
      <w:r>
        <w:instrText xml:space="preserve">erties Part" </w:instrText>
      </w:r>
      <w:r>
        <w:fldChar w:fldCharType="end"/>
      </w:r>
    </w:p>
    <w:p w:rsidR="005F78FC" w:rsidRDefault="00B42EF3">
      <w:pPr>
        <w:pStyle w:val="Definition-Field"/>
      </w:pPr>
      <w:r>
        <w:t xml:space="preserve">a.   </w:t>
      </w:r>
      <w:r>
        <w:rPr>
          <w:i/>
        </w:rPr>
        <w:t>The standard states that a Presentation Properties part does not have any implicit or explicit relationships to other parts.</w:t>
      </w:r>
    </w:p>
    <w:p w:rsidR="005F78FC" w:rsidRDefault="00B42EF3">
      <w:pPr>
        <w:pStyle w:val="Definition-Field2"/>
      </w:pPr>
      <w:r>
        <w:t>Office allows a Presentation Properties part to have an explicit relationship to the HTML Publish part.</w:t>
      </w:r>
    </w:p>
    <w:p w:rsidR="005F78FC" w:rsidRDefault="00B42EF3">
      <w:pPr>
        <w:pStyle w:val="Heading3"/>
      </w:pPr>
      <w:bookmarkStart w:id="60" w:name="section_709d622fc25e488c820de04e3be537c6"/>
      <w:bookmarkStart w:id="61" w:name="_Toc69877803"/>
      <w:r>
        <w:t>Part 1</w:t>
      </w:r>
      <w:r>
        <w:t xml:space="preserve"> Section 13.3.8, Slide Part</w:t>
      </w:r>
      <w:bookmarkEnd w:id="60"/>
      <w:bookmarkEnd w:id="61"/>
      <w:r>
        <w:fldChar w:fldCharType="begin"/>
      </w:r>
      <w:r>
        <w:instrText xml:space="preserve"> XE "Slide Part" </w:instrText>
      </w:r>
      <w:r>
        <w:fldChar w:fldCharType="end"/>
      </w:r>
    </w:p>
    <w:p w:rsidR="005F78FC" w:rsidRDefault="00B42EF3">
      <w:pPr>
        <w:pStyle w:val="Definition-Field"/>
      </w:pPr>
      <w:r>
        <w:t xml:space="preserve">a.   </w:t>
      </w:r>
      <w:r>
        <w:rPr>
          <w:i/>
        </w:rPr>
        <w:t>The standard states that a Slide part is permitted to have an implicit relationship with the Thumbnail part.</w:t>
      </w:r>
    </w:p>
    <w:p w:rsidR="005F78FC" w:rsidRDefault="00B42EF3">
      <w:pPr>
        <w:pStyle w:val="Definition-Field2"/>
      </w:pPr>
      <w:r>
        <w:t>Office does not allow a Slide part to have an implicit relationship to the Thumbnail part.</w:t>
      </w:r>
    </w:p>
    <w:p w:rsidR="005F78FC" w:rsidRDefault="00B42EF3">
      <w:pPr>
        <w:pStyle w:val="Definition-Field"/>
      </w:pPr>
      <w:r>
        <w:t xml:space="preserve">b.  </w:t>
      </w:r>
      <w:r>
        <w:t xml:space="preserve"> </w:t>
      </w:r>
      <w:r>
        <w:rPr>
          <w:i/>
        </w:rPr>
        <w:t>The standard does not allow the Slide part to have an explicit relationship with the Slide part.</w:t>
      </w:r>
    </w:p>
    <w:p w:rsidR="005F78FC" w:rsidRDefault="00B42EF3">
      <w:pPr>
        <w:pStyle w:val="Definition-Field2"/>
      </w:pPr>
      <w:r>
        <w:t>Office allows the Slide part to have an explicit relationship with the Slide part.</w:t>
      </w:r>
    </w:p>
    <w:p w:rsidR="005F78FC" w:rsidRDefault="00B42EF3">
      <w:pPr>
        <w:pStyle w:val="Definition-Field"/>
      </w:pPr>
      <w:r>
        <w:t xml:space="preserve">c.   </w:t>
      </w:r>
      <w:r>
        <w:rPr>
          <w:i/>
        </w:rPr>
        <w:t>The standard permits the Slide part to have an explicit relationship w</w:t>
      </w:r>
      <w:r>
        <w:rPr>
          <w:i/>
        </w:rPr>
        <w:t>ith the VML Drawing part.</w:t>
      </w:r>
    </w:p>
    <w:p w:rsidR="005F78FC" w:rsidRDefault="00B42EF3">
      <w:pPr>
        <w:pStyle w:val="Definition-Field2"/>
      </w:pPr>
      <w:r>
        <w:t>Office only permits the Slide part to have an implicit relationship with the VML Drawing part.</w:t>
      </w:r>
    </w:p>
    <w:p w:rsidR="005F78FC" w:rsidRDefault="00B42EF3">
      <w:pPr>
        <w:pStyle w:val="Definition-Field"/>
      </w:pPr>
      <w:r>
        <w:t xml:space="preserve">d.   </w:t>
      </w:r>
      <w:r>
        <w:rPr>
          <w:i/>
        </w:rPr>
        <w:t>The standard permits the Slide part to have an implicit relationship with the Additional Characteristics part.</w:t>
      </w:r>
    </w:p>
    <w:p w:rsidR="005F78FC" w:rsidRDefault="00B42EF3">
      <w:pPr>
        <w:pStyle w:val="Definition-Field2"/>
      </w:pPr>
      <w:r>
        <w:t>Office only permits</w:t>
      </w:r>
      <w:r>
        <w:t xml:space="preserve"> the Slide part to have an explicit relationship with the Additional Characteristics part.</w:t>
      </w:r>
    </w:p>
    <w:p w:rsidR="005F78FC" w:rsidRDefault="00B42EF3">
      <w:pPr>
        <w:pStyle w:val="Definition-Field"/>
      </w:pPr>
      <w:r>
        <w:t xml:space="preserve">e.   </w:t>
      </w:r>
      <w:r>
        <w:rPr>
          <w:i/>
        </w:rPr>
        <w:t>The standard states that the Slide part is permitted to have an implicit relationship to a Bibliography part.</w:t>
      </w:r>
    </w:p>
    <w:p w:rsidR="005F78FC" w:rsidRDefault="00B42EF3">
      <w:pPr>
        <w:pStyle w:val="Definition-Field2"/>
      </w:pPr>
      <w:r>
        <w:t xml:space="preserve">Office only allows the Slide part to have an </w:t>
      </w:r>
      <w:r>
        <w:t>explicit relationship with a Bibliography part.</w:t>
      </w:r>
    </w:p>
    <w:p w:rsidR="005F78FC" w:rsidRDefault="00B42EF3">
      <w:pPr>
        <w:pStyle w:val="Heading3"/>
      </w:pPr>
      <w:bookmarkStart w:id="62" w:name="section_0e96b521bd75493cbec627b7784d46c7"/>
      <w:bookmarkStart w:id="63" w:name="_Toc69877804"/>
      <w:r>
        <w:t>Part 1 Section 13.3.9, Slide Layout Part</w:t>
      </w:r>
      <w:bookmarkEnd w:id="62"/>
      <w:bookmarkEnd w:id="63"/>
      <w:r>
        <w:fldChar w:fldCharType="begin"/>
      </w:r>
      <w:r>
        <w:instrText xml:space="preserve"> XE "Slide Layout Part" </w:instrText>
      </w:r>
      <w:r>
        <w:fldChar w:fldCharType="end"/>
      </w:r>
    </w:p>
    <w:p w:rsidR="005F78FC" w:rsidRDefault="00B42EF3">
      <w:pPr>
        <w:pStyle w:val="Definition-Field"/>
      </w:pPr>
      <w:r>
        <w:t xml:space="preserve">a.   </w:t>
      </w:r>
      <w:r>
        <w:rPr>
          <w:i/>
        </w:rPr>
        <w:t>The standard states that a Slide Layout part is permitted to have an implicit relationship with the Thumbnail part.</w:t>
      </w:r>
    </w:p>
    <w:p w:rsidR="005F78FC" w:rsidRDefault="00B42EF3">
      <w:pPr>
        <w:pStyle w:val="Definition-Field2"/>
      </w:pPr>
      <w:r>
        <w:t>Office does not allo</w:t>
      </w:r>
      <w:r>
        <w:t>w a Slide Layout part to have an implicit relationship to the Thumbnail part.</w:t>
      </w:r>
    </w:p>
    <w:p w:rsidR="005F78FC" w:rsidRDefault="00B42EF3">
      <w:pPr>
        <w:pStyle w:val="Definition-Field"/>
      </w:pPr>
      <w:r>
        <w:t xml:space="preserve">b.   </w:t>
      </w:r>
      <w:r>
        <w:rPr>
          <w:i/>
        </w:rPr>
        <w:t>The standard does not allow the Slide Layout part to have an explicit relationship with the User Defined Tags part.</w:t>
      </w:r>
    </w:p>
    <w:p w:rsidR="005F78FC" w:rsidRDefault="00B42EF3">
      <w:pPr>
        <w:pStyle w:val="Definition-Field2"/>
      </w:pPr>
      <w:r>
        <w:t xml:space="preserve">Office allows the Slide Layout part to have an explicit </w:t>
      </w:r>
      <w:r>
        <w:t>relationship with the User Defined Tags part.</w:t>
      </w:r>
    </w:p>
    <w:p w:rsidR="005F78FC" w:rsidRDefault="00B42EF3">
      <w:pPr>
        <w:pStyle w:val="Definition-Field"/>
      </w:pPr>
      <w:r>
        <w:t xml:space="preserve">c.   </w:t>
      </w:r>
      <w:r>
        <w:rPr>
          <w:i/>
        </w:rPr>
        <w:t>The standard does not allow the Slide Layout part to have an explicit relationship with the Slide part.</w:t>
      </w:r>
    </w:p>
    <w:p w:rsidR="005F78FC" w:rsidRDefault="00B42EF3">
      <w:pPr>
        <w:pStyle w:val="Definition-Field2"/>
      </w:pPr>
      <w:r>
        <w:t>Office allows the Slide Layout part to have an explicit relationship with the Slide part.</w:t>
      </w:r>
    </w:p>
    <w:p w:rsidR="005F78FC" w:rsidRDefault="00B42EF3">
      <w:pPr>
        <w:pStyle w:val="Definition-Field"/>
      </w:pPr>
      <w:r>
        <w:t xml:space="preserve">d.   </w:t>
      </w:r>
      <w:r>
        <w:rPr>
          <w:i/>
        </w:rPr>
        <w:t>The st</w:t>
      </w:r>
      <w:r>
        <w:rPr>
          <w:i/>
        </w:rPr>
        <w:t>andard permits the Slide Layout part to have an explicit relationship with the VML Drawing part.</w:t>
      </w:r>
    </w:p>
    <w:p w:rsidR="005F78FC" w:rsidRDefault="00B42EF3">
      <w:pPr>
        <w:pStyle w:val="Definition-Field2"/>
      </w:pPr>
      <w:r>
        <w:t>Office only permits the Slide Layout part to have an implicit relationship with the VML Drawing part.</w:t>
      </w:r>
    </w:p>
    <w:p w:rsidR="005F78FC" w:rsidRDefault="00B42EF3">
      <w:pPr>
        <w:pStyle w:val="Definition-Field"/>
      </w:pPr>
      <w:r>
        <w:t xml:space="preserve">e.   </w:t>
      </w:r>
      <w:r>
        <w:rPr>
          <w:i/>
        </w:rPr>
        <w:t>The standard permits the Slide Layout part to have a</w:t>
      </w:r>
      <w:r>
        <w:rPr>
          <w:i/>
        </w:rPr>
        <w:t>n implicit relationship with the Additional Characteristics part.</w:t>
      </w:r>
    </w:p>
    <w:p w:rsidR="005F78FC" w:rsidRDefault="00B42EF3">
      <w:pPr>
        <w:pStyle w:val="Definition-Field2"/>
      </w:pPr>
      <w:r>
        <w:lastRenderedPageBreak/>
        <w:t>Office only permits the Slide Layout part to have an explicit relationship with the Additional Characteristics part.</w:t>
      </w:r>
    </w:p>
    <w:p w:rsidR="005F78FC" w:rsidRDefault="00B42EF3">
      <w:pPr>
        <w:pStyle w:val="Definition-Field"/>
      </w:pPr>
      <w:r>
        <w:t xml:space="preserve">f.   </w:t>
      </w:r>
      <w:r>
        <w:rPr>
          <w:i/>
        </w:rPr>
        <w:t xml:space="preserve">The standard states that the Slide Layout part is permitted to have </w:t>
      </w:r>
      <w:r>
        <w:rPr>
          <w:i/>
        </w:rPr>
        <w:t>an implicit relationship to a Bibliography part.</w:t>
      </w:r>
    </w:p>
    <w:p w:rsidR="005F78FC" w:rsidRDefault="00B42EF3">
      <w:pPr>
        <w:pStyle w:val="Definition-Field2"/>
      </w:pPr>
      <w:r>
        <w:t>Office only allows the Slide Layout part to have an explicit relationship with a Bibliography part.</w:t>
      </w:r>
    </w:p>
    <w:p w:rsidR="005F78FC" w:rsidRDefault="00B42EF3">
      <w:pPr>
        <w:pStyle w:val="Heading3"/>
      </w:pPr>
      <w:bookmarkStart w:id="64" w:name="section_ce80d3db31664d82981a77c01473a7f6"/>
      <w:bookmarkStart w:id="65" w:name="_Toc69877805"/>
      <w:r>
        <w:t>Part 1 Section 13.3.10, Slide Master Part</w:t>
      </w:r>
      <w:bookmarkEnd w:id="64"/>
      <w:bookmarkEnd w:id="65"/>
      <w:r>
        <w:fldChar w:fldCharType="begin"/>
      </w:r>
      <w:r>
        <w:instrText xml:space="preserve"> XE "Slide Master Part" </w:instrText>
      </w:r>
      <w:r>
        <w:fldChar w:fldCharType="end"/>
      </w:r>
    </w:p>
    <w:p w:rsidR="005F78FC" w:rsidRDefault="00B42EF3">
      <w:pPr>
        <w:pStyle w:val="Definition-Field"/>
      </w:pPr>
      <w:r>
        <w:t xml:space="preserve">a.   </w:t>
      </w:r>
      <w:r>
        <w:rPr>
          <w:i/>
        </w:rPr>
        <w:t>The standard states that a Slide M</w:t>
      </w:r>
      <w:r>
        <w:rPr>
          <w:i/>
        </w:rPr>
        <w:t>aster part is permitted to have an implicit relationship with the Slide Layout part.</w:t>
      </w:r>
    </w:p>
    <w:p w:rsidR="005F78FC" w:rsidRDefault="00B42EF3">
      <w:pPr>
        <w:pStyle w:val="Definition-Field2"/>
      </w:pPr>
      <w:r>
        <w:t>Office only allows a Slide Master part to have an explicit relationship with the Slide Layout part.</w:t>
      </w:r>
    </w:p>
    <w:p w:rsidR="005F78FC" w:rsidRDefault="00B42EF3">
      <w:pPr>
        <w:pStyle w:val="Definition-Field"/>
      </w:pPr>
      <w:r>
        <w:t xml:space="preserve">b.   </w:t>
      </w:r>
      <w:r>
        <w:rPr>
          <w:i/>
        </w:rPr>
        <w:t>The standard states that the Slide Master part is permitted to hav</w:t>
      </w:r>
      <w:r>
        <w:rPr>
          <w:i/>
        </w:rPr>
        <w:t>e an implicit relationship to a Slide Layout part.</w:t>
      </w:r>
    </w:p>
    <w:p w:rsidR="005F78FC" w:rsidRDefault="00B42EF3">
      <w:pPr>
        <w:pStyle w:val="Definition-Field2"/>
      </w:pPr>
      <w:r>
        <w:t>Office only allows the Slide Master part to have an explicit relationship with a Slide Layout part.</w:t>
      </w:r>
    </w:p>
    <w:p w:rsidR="005F78FC" w:rsidRDefault="00B42EF3">
      <w:pPr>
        <w:pStyle w:val="Definition-Field"/>
      </w:pPr>
      <w:r>
        <w:t xml:space="preserve">c.   </w:t>
      </w:r>
      <w:r>
        <w:rPr>
          <w:i/>
        </w:rPr>
        <w:t xml:space="preserve">The standard states that a Slide Master part is permitted to have an implicit relationship with the </w:t>
      </w:r>
      <w:r>
        <w:rPr>
          <w:i/>
        </w:rPr>
        <w:t>Thumbnail part.</w:t>
      </w:r>
    </w:p>
    <w:p w:rsidR="005F78FC" w:rsidRDefault="00B42EF3">
      <w:pPr>
        <w:pStyle w:val="Definition-Field2"/>
      </w:pPr>
      <w:r>
        <w:t>Office does not allow a Slide Master part to have an implicit relationship to the Thumbnail part.</w:t>
      </w:r>
    </w:p>
    <w:p w:rsidR="005F78FC" w:rsidRDefault="00B42EF3">
      <w:pPr>
        <w:pStyle w:val="Definition-Field"/>
      </w:pPr>
      <w:r>
        <w:t xml:space="preserve">d.   </w:t>
      </w:r>
      <w:r>
        <w:rPr>
          <w:i/>
        </w:rPr>
        <w:t>The standard does not allow the Slide Master part to have an explicit relationship with the User Defined Tags part.</w:t>
      </w:r>
    </w:p>
    <w:p w:rsidR="005F78FC" w:rsidRDefault="00B42EF3">
      <w:pPr>
        <w:pStyle w:val="Definition-Field2"/>
      </w:pPr>
      <w:r>
        <w:t>Office allows the Sli</w:t>
      </w:r>
      <w:r>
        <w:t>de Master part to have an explicit relationship with the User Defined Tags part.</w:t>
      </w:r>
    </w:p>
    <w:p w:rsidR="005F78FC" w:rsidRDefault="00B42EF3">
      <w:pPr>
        <w:pStyle w:val="Definition-Field"/>
      </w:pPr>
      <w:r>
        <w:t xml:space="preserve">e.   </w:t>
      </w:r>
      <w:r>
        <w:rPr>
          <w:i/>
        </w:rPr>
        <w:t>The standard does not allow the Slide Master part to have an explicit relationship with the Slide part.</w:t>
      </w:r>
    </w:p>
    <w:p w:rsidR="005F78FC" w:rsidRDefault="00B42EF3">
      <w:pPr>
        <w:pStyle w:val="Definition-Field2"/>
      </w:pPr>
      <w:r>
        <w:t>Office allows the Slide Master part to have an explicit relationsh</w:t>
      </w:r>
      <w:r>
        <w:t>ip with the Slide part.</w:t>
      </w:r>
    </w:p>
    <w:p w:rsidR="005F78FC" w:rsidRDefault="00B42EF3">
      <w:pPr>
        <w:pStyle w:val="Definition-Field"/>
      </w:pPr>
      <w:r>
        <w:t xml:space="preserve">f.   </w:t>
      </w:r>
      <w:r>
        <w:rPr>
          <w:i/>
        </w:rPr>
        <w:t>The standard permits the Slide Master part to have an explicit relationship with the VML Drawing part.</w:t>
      </w:r>
    </w:p>
    <w:p w:rsidR="005F78FC" w:rsidRDefault="00B42EF3">
      <w:pPr>
        <w:pStyle w:val="Definition-Field2"/>
      </w:pPr>
      <w:r>
        <w:t>Office only permits the Slide Master part to have an implicit relationship with the VML Drawing part.</w:t>
      </w:r>
    </w:p>
    <w:p w:rsidR="005F78FC" w:rsidRDefault="00B42EF3">
      <w:pPr>
        <w:pStyle w:val="Definition-Field"/>
      </w:pPr>
      <w:r>
        <w:t xml:space="preserve">g.   </w:t>
      </w:r>
      <w:r>
        <w:rPr>
          <w:i/>
        </w:rPr>
        <w:t>The standard perm</w:t>
      </w:r>
      <w:r>
        <w:rPr>
          <w:i/>
        </w:rPr>
        <w:t>its the Slide Master part to have an implicit relationship with the Additional Characteristics part.</w:t>
      </w:r>
    </w:p>
    <w:p w:rsidR="005F78FC" w:rsidRDefault="00B42EF3">
      <w:pPr>
        <w:pStyle w:val="Definition-Field2"/>
      </w:pPr>
      <w:r>
        <w:t>Office only permits the Slide Master part to have an explicit relationship with the Additional Characteristics part.</w:t>
      </w:r>
    </w:p>
    <w:p w:rsidR="005F78FC" w:rsidRDefault="00B42EF3">
      <w:pPr>
        <w:pStyle w:val="Definition-Field"/>
      </w:pPr>
      <w:r>
        <w:t xml:space="preserve">h.   </w:t>
      </w:r>
      <w:r>
        <w:rPr>
          <w:i/>
        </w:rPr>
        <w:t xml:space="preserve">The standard states that the </w:t>
      </w:r>
      <w:r>
        <w:rPr>
          <w:i/>
        </w:rPr>
        <w:t>Slide Master part is permitted to have an implicit relationship to a Bibliography part.</w:t>
      </w:r>
    </w:p>
    <w:p w:rsidR="005F78FC" w:rsidRDefault="00B42EF3">
      <w:pPr>
        <w:pStyle w:val="Definition-Field2"/>
      </w:pPr>
      <w:r>
        <w:t>Office only allows the Slide Master part to have an explicit relationship with a Bibliography part.</w:t>
      </w:r>
    </w:p>
    <w:p w:rsidR="005F78FC" w:rsidRDefault="00B42EF3">
      <w:pPr>
        <w:pStyle w:val="Heading3"/>
      </w:pPr>
      <w:bookmarkStart w:id="66" w:name="section_9d6cf39365424a73a890ee66e3e0dad7"/>
      <w:bookmarkStart w:id="67" w:name="_Toc69877806"/>
      <w:r>
        <w:t>Part 1 Section 14.2.1, Chart Part</w:t>
      </w:r>
      <w:bookmarkEnd w:id="66"/>
      <w:bookmarkEnd w:id="67"/>
      <w:r>
        <w:fldChar w:fldCharType="begin"/>
      </w:r>
      <w:r>
        <w:instrText xml:space="preserve"> XE "Chart Part" </w:instrText>
      </w:r>
      <w:r>
        <w:fldChar w:fldCharType="end"/>
      </w:r>
    </w:p>
    <w:p w:rsidR="005F78FC" w:rsidRDefault="00B42EF3">
      <w:pPr>
        <w:pStyle w:val="Definition-Field"/>
      </w:pPr>
      <w:r>
        <w:t xml:space="preserve">a.   </w:t>
      </w:r>
      <w:r>
        <w:rPr>
          <w:i/>
        </w:rPr>
        <w:t>The standa</w:t>
      </w:r>
      <w:r>
        <w:rPr>
          <w:i/>
        </w:rPr>
        <w:t>rd allows the Chart Part only to have an explicit relationship with a Chart Drawing part or an Embedded Package part.</w:t>
      </w:r>
    </w:p>
    <w:p w:rsidR="005F78FC" w:rsidRDefault="00B42EF3">
      <w:pPr>
        <w:pStyle w:val="Definition-Field2"/>
      </w:pPr>
      <w:r>
        <w:t>Office allows the Chart Part to have an explicit relationship with a Theme Override part.</w:t>
      </w:r>
    </w:p>
    <w:p w:rsidR="005F78FC" w:rsidRDefault="00B42EF3">
      <w:pPr>
        <w:pStyle w:val="Heading3"/>
      </w:pPr>
      <w:bookmarkStart w:id="68" w:name="section_3a29b98ed48f444fa30ce872a4ebc349"/>
      <w:bookmarkStart w:id="69" w:name="_Toc69877807"/>
      <w:r>
        <w:lastRenderedPageBreak/>
        <w:t>Part 1 Section 14.2.2, Chart Drawing Part</w:t>
      </w:r>
      <w:bookmarkEnd w:id="68"/>
      <w:bookmarkEnd w:id="69"/>
      <w:r>
        <w:fldChar w:fldCharType="begin"/>
      </w:r>
      <w:r>
        <w:instrText xml:space="preserve"> XE "Ch</w:instrText>
      </w:r>
      <w:r>
        <w:instrText xml:space="preserve">art Drawing Part" </w:instrText>
      </w:r>
      <w:r>
        <w:fldChar w:fldCharType="end"/>
      </w:r>
    </w:p>
    <w:p w:rsidR="005F78FC" w:rsidRDefault="00B42EF3">
      <w:pPr>
        <w:pStyle w:val="Definition-Field"/>
      </w:pPr>
      <w:r>
        <w:t xml:space="preserve">a.   </w:t>
      </w:r>
      <w:r>
        <w:rPr>
          <w:i/>
        </w:rPr>
        <w:t>The standard allows the Chart Drawing Part only to have an explicit relationship with a Chart Part.</w:t>
      </w:r>
    </w:p>
    <w:p w:rsidR="005F78FC" w:rsidRDefault="00B42EF3">
      <w:pPr>
        <w:pStyle w:val="Definition-Field2"/>
      </w:pPr>
      <w:r>
        <w:t>Office allows the Chart Drawing Part to have an explicit relationship with an Image part.</w:t>
      </w:r>
    </w:p>
    <w:p w:rsidR="005F78FC" w:rsidRDefault="00B42EF3">
      <w:pPr>
        <w:pStyle w:val="Heading3"/>
      </w:pPr>
      <w:bookmarkStart w:id="70" w:name="section_d8ea1093c53b4135ab674a51a0b6fe7e"/>
      <w:bookmarkStart w:id="71" w:name="_Toc69877808"/>
      <w:r>
        <w:t>Part 1 Section 14.2.3, Diagram Colors Pa</w:t>
      </w:r>
      <w:r>
        <w:t>rt</w:t>
      </w:r>
      <w:bookmarkEnd w:id="70"/>
      <w:bookmarkEnd w:id="71"/>
      <w:r>
        <w:fldChar w:fldCharType="begin"/>
      </w:r>
      <w:r>
        <w:instrText xml:space="preserve"> XE "Diagram Colors Part" </w:instrText>
      </w:r>
      <w:r>
        <w:fldChar w:fldCharType="end"/>
      </w:r>
    </w:p>
    <w:p w:rsidR="005F78FC" w:rsidRDefault="00B42EF3">
      <w:pPr>
        <w:pStyle w:val="Definition-Field"/>
      </w:pPr>
      <w:r>
        <w:t xml:space="preserve">a.   </w:t>
      </w:r>
      <w:r>
        <w:rPr>
          <w:i/>
        </w:rPr>
        <w:t>The standard states that a Diagram Colors part is the target of an explicit relationship in a WordprocessingML Main Document, SpreadsheetML Drawings, or PresentationM Slide part.</w:t>
      </w:r>
    </w:p>
    <w:p w:rsidR="005F78FC" w:rsidRDefault="00B42EF3">
      <w:r>
        <w:t>In Office, the Diagram Colors part can al</w:t>
      </w:r>
      <w:r>
        <w:t>so be the target of an explicit relationship in a PresentationML Handout Master ("</w:t>
      </w:r>
      <w:hyperlink r:id="rId55">
        <w:r>
          <w:rPr>
            <w:rStyle w:val="Hyperlink"/>
          </w:rPr>
          <w:t>[ISO/IEC-29500-1]</w:t>
        </w:r>
      </w:hyperlink>
      <w:r>
        <w:t xml:space="preserve"> §13.3.3"), Notes Master ("[ISO/IEC-29500-1] §13.3.4"), Notes Slide ("[ISO/IEC-29500-1] §13</w:t>
      </w:r>
      <w:r>
        <w:t>.3.5"), Slide ("[ISO/IEC-29500-1] §13.3.8"), Slide Layout ("[ISO/IEC-29500-1] §13.3.9"), or Slide Master ("[ISO/IEC-29500-1] §13.3.10") part.</w:t>
      </w:r>
    </w:p>
    <w:p w:rsidR="005F78FC" w:rsidRDefault="00B42EF3">
      <w:pPr>
        <w:pStyle w:val="Heading3"/>
      </w:pPr>
      <w:bookmarkStart w:id="72" w:name="section_fbaa1e283676408f8e241c31101d4de7"/>
      <w:bookmarkStart w:id="73" w:name="_Toc69877809"/>
      <w:r>
        <w:t>Part 1 Section 14.2.4, Diagram Data Part</w:t>
      </w:r>
      <w:bookmarkEnd w:id="72"/>
      <w:bookmarkEnd w:id="73"/>
      <w:r>
        <w:fldChar w:fldCharType="begin"/>
      </w:r>
      <w:r>
        <w:instrText xml:space="preserve"> XE "Diagram Data Part" </w:instrText>
      </w:r>
      <w:r>
        <w:fldChar w:fldCharType="end"/>
      </w:r>
    </w:p>
    <w:p w:rsidR="005F78FC" w:rsidRDefault="00B42EF3">
      <w:pPr>
        <w:pStyle w:val="Definition-Field"/>
      </w:pPr>
      <w:r>
        <w:t xml:space="preserve">a.   </w:t>
      </w:r>
      <w:r>
        <w:rPr>
          <w:i/>
        </w:rPr>
        <w:t xml:space="preserve">The standard states that a Diagram Data </w:t>
      </w:r>
      <w:r>
        <w:rPr>
          <w:i/>
        </w:rPr>
        <w:t>part is permitted to have an explicit relationship to an Image part.</w:t>
      </w:r>
    </w:p>
    <w:p w:rsidR="005F78FC" w:rsidRDefault="00B42EF3">
      <w:pPr>
        <w:pStyle w:val="Definition-Field2"/>
      </w:pPr>
      <w:r>
        <w:t>In Office the Diagram Data part can also have explicit relationships to Hyperlinks ("</w:t>
      </w:r>
      <w:hyperlink r:id="rId56">
        <w:r>
          <w:rPr>
            <w:rStyle w:val="Hyperlink"/>
          </w:rPr>
          <w:t>[ISO/IEC-29500-1]</w:t>
        </w:r>
      </w:hyperlink>
      <w:r>
        <w:t xml:space="preserve"> §15.3").</w:t>
      </w:r>
    </w:p>
    <w:p w:rsidR="005F78FC" w:rsidRDefault="00B42EF3">
      <w:pPr>
        <w:pStyle w:val="Heading3"/>
      </w:pPr>
      <w:bookmarkStart w:id="74" w:name="section_542685d1b8f8426ba15a6e179e8e8643"/>
      <w:bookmarkStart w:id="75" w:name="_Toc69877810"/>
      <w:r>
        <w:t>Part 1 Se</w:t>
      </w:r>
      <w:r>
        <w:t>ction 15.2, Part Summary</w:t>
      </w:r>
      <w:bookmarkEnd w:id="74"/>
      <w:bookmarkEnd w:id="75"/>
      <w:r>
        <w:fldChar w:fldCharType="begin"/>
      </w:r>
      <w:r>
        <w:instrText xml:space="preserve"> XE "Part Summary" </w:instrText>
      </w:r>
      <w:r>
        <w:fldChar w:fldCharType="end"/>
      </w:r>
    </w:p>
    <w:p w:rsidR="005F78FC" w:rsidRDefault="00B42EF3">
      <w:pPr>
        <w:pStyle w:val="Definition-Field"/>
      </w:pPr>
      <w:r>
        <w:t xml:space="preserve">a.   </w:t>
      </w:r>
      <w:r>
        <w:rPr>
          <w:i/>
        </w:rPr>
        <w:t>The standard does not include documentation for the Embedded Control Persistence Binary Data part.</w:t>
      </w:r>
    </w:p>
    <w:p w:rsidR="005F78FC" w:rsidRDefault="00B42EF3">
      <w:pPr>
        <w:pStyle w:val="Definition-Field2"/>
      </w:pPr>
      <w:r>
        <w:t>Office defines an Embedded Control Persistence Binary Data part (</w:t>
      </w:r>
      <w:hyperlink w:anchor="Section_2c6688debe084ffaac5432d19ebc4ca3">
        <w:r>
          <w:rPr>
            <w:rStyle w:val="Hyperlink"/>
          </w:rPr>
          <w:t>§3.4.1.1, Embedded Control Persistence Binary Data Part</w:t>
        </w:r>
      </w:hyperlink>
      <w:r>
        <w:t>), which contains information about persisted embedded controls in the package.</w:t>
      </w:r>
    </w:p>
    <w:p w:rsidR="005F78FC" w:rsidRDefault="00B42EF3">
      <w:pPr>
        <w:pStyle w:val="Definition-Field"/>
      </w:pPr>
      <w:r>
        <w:t xml:space="preserve">b.   </w:t>
      </w:r>
      <w:r>
        <w:rPr>
          <w:i/>
        </w:rPr>
        <w:t>The standard does not include documentation for the Quick Access Toolbar Customizations part.</w:t>
      </w:r>
    </w:p>
    <w:p w:rsidR="005F78FC" w:rsidRDefault="00B42EF3">
      <w:pPr>
        <w:pStyle w:val="Definition-Field2"/>
      </w:pPr>
      <w:r>
        <w:t>Office defines a Quick Access Toolbar Customizations part (</w:t>
      </w:r>
      <w:hyperlink w:anchor="Section_55d273e4770e48bc883fc66dc2816d30">
        <w:r>
          <w:rPr>
            <w:rStyle w:val="Hyperlink"/>
          </w:rPr>
          <w:t>§3.4.1.2, Quick Access Toolbar Customizations Part</w:t>
        </w:r>
      </w:hyperlink>
      <w:r>
        <w:t>), which contains information about quick access toolbar customizations.</w:t>
      </w:r>
    </w:p>
    <w:p w:rsidR="005F78FC" w:rsidRDefault="00B42EF3">
      <w:pPr>
        <w:pStyle w:val="Definition-Field"/>
      </w:pPr>
      <w:r>
        <w:t xml:space="preserve">c.   </w:t>
      </w:r>
      <w:r>
        <w:rPr>
          <w:i/>
        </w:rPr>
        <w:t>The st</w:t>
      </w:r>
      <w:r>
        <w:rPr>
          <w:i/>
        </w:rPr>
        <w:t>andard does not include documentation for the Ribbon Extensibility part.</w:t>
      </w:r>
    </w:p>
    <w:p w:rsidR="005F78FC" w:rsidRDefault="00B42EF3">
      <w:pPr>
        <w:pStyle w:val="Definition-Field2"/>
      </w:pPr>
      <w:r>
        <w:t>Office defines a Ribbon Extensibility part (</w:t>
      </w:r>
      <w:hyperlink w:anchor="Section_2d3ee2da8f774b08bc2b651e568af3ab">
        <w:r>
          <w:rPr>
            <w:rStyle w:val="Hyperlink"/>
          </w:rPr>
          <w:t>§3.4.1.3, CustomUI Part</w:t>
        </w:r>
      </w:hyperlink>
      <w:r>
        <w:t>), which contains information about ribbon customizat</w:t>
      </w:r>
      <w:r>
        <w:t>ions.</w:t>
      </w:r>
    </w:p>
    <w:p w:rsidR="005F78FC" w:rsidRDefault="00B42EF3">
      <w:pPr>
        <w:pStyle w:val="Definition-Field"/>
      </w:pPr>
      <w:r>
        <w:t xml:space="preserve">d.   </w:t>
      </w:r>
      <w:r>
        <w:rPr>
          <w:i/>
        </w:rPr>
        <w:t>The standard does not include documentation for the Context Menu part.</w:t>
      </w:r>
    </w:p>
    <w:p w:rsidR="005F78FC" w:rsidRDefault="00B42EF3">
      <w:pPr>
        <w:pStyle w:val="Definition-Field2"/>
      </w:pPr>
      <w:r>
        <w:t>Office defines a Context Menu part, which contains information about Context Menu customizations.</w:t>
      </w:r>
    </w:p>
    <w:p w:rsidR="005F78FC" w:rsidRDefault="00B42EF3">
      <w:pPr>
        <w:pStyle w:val="Definition-Field"/>
      </w:pPr>
      <w:r>
        <w:t xml:space="preserve">e.   </w:t>
      </w:r>
      <w:r>
        <w:rPr>
          <w:i/>
        </w:rPr>
        <w:t>The standard does not include documentation for the Backstage part.</w:t>
      </w:r>
    </w:p>
    <w:p w:rsidR="005F78FC" w:rsidRDefault="00B42EF3">
      <w:pPr>
        <w:pStyle w:val="Definition-Field2"/>
      </w:pPr>
      <w:r>
        <w:t>Off</w:t>
      </w:r>
      <w:r>
        <w:t>ice defines a Backstage part, which contains information about Backstage customizations.</w:t>
      </w:r>
    </w:p>
    <w:p w:rsidR="005F78FC" w:rsidRDefault="00B42EF3">
      <w:pPr>
        <w:pStyle w:val="Heading3"/>
      </w:pPr>
      <w:bookmarkStart w:id="76" w:name="section_59d313b6b9a8485083f1e87ad9abd509"/>
      <w:bookmarkStart w:id="77" w:name="_Toc69877811"/>
      <w:r>
        <w:t>Part 1 Section 15.2.5, Custom XML Data Storage Part</w:t>
      </w:r>
      <w:bookmarkEnd w:id="76"/>
      <w:bookmarkEnd w:id="77"/>
      <w:r>
        <w:fldChar w:fldCharType="begin"/>
      </w:r>
      <w:r>
        <w:instrText xml:space="preserve"> XE "Custom XML Data Storage Part" </w:instrText>
      </w:r>
      <w:r>
        <w:fldChar w:fldCharType="end"/>
      </w:r>
    </w:p>
    <w:p w:rsidR="005F78FC" w:rsidRDefault="00B42EF3">
      <w:pPr>
        <w:pStyle w:val="Definition-Field"/>
      </w:pPr>
      <w:r>
        <w:t xml:space="preserve">a.   </w:t>
      </w:r>
      <w:r>
        <w:rPr>
          <w:i/>
        </w:rPr>
        <w:t>The standard does not specify that Office reserves namespaces for storing</w:t>
      </w:r>
      <w:r>
        <w:rPr>
          <w:i/>
        </w:rPr>
        <w:t xml:space="preserve"> document properties.</w:t>
      </w:r>
    </w:p>
    <w:p w:rsidR="005F78FC" w:rsidRDefault="00B42EF3">
      <w:r>
        <w:t>Office reserves the following specific namespaces for storing document properties:</w:t>
      </w:r>
    </w:p>
    <w:tbl>
      <w:tblPr>
        <w:tblStyle w:val="Table-ShadedHeader"/>
        <w:tblW w:w="0" w:type="auto"/>
        <w:tblLook w:val="04A0" w:firstRow="1" w:lastRow="0" w:firstColumn="1" w:lastColumn="0" w:noHBand="0" w:noVBand="1"/>
      </w:tblPr>
      <w:tblGrid>
        <w:gridCol w:w="6516"/>
        <w:gridCol w:w="2959"/>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lastRenderedPageBreak/>
              <w:t>Root Namespace</w:t>
            </w:r>
          </w:p>
        </w:tc>
        <w:tc>
          <w:tcPr>
            <w:tcW w:w="0" w:type="auto"/>
            <w:vAlign w:val="center"/>
          </w:tcPr>
          <w:p w:rsidR="005F78FC" w:rsidRDefault="00B42EF3">
            <w:pPr>
              <w:pStyle w:val="TableHeaderText"/>
            </w:pPr>
            <w:r>
              <w:t>Reference</w:t>
            </w:r>
          </w:p>
        </w:tc>
      </w:tr>
      <w:tr w:rsidR="005F78FC" w:rsidTr="005F78FC">
        <w:tc>
          <w:tcPr>
            <w:tcW w:w="0" w:type="auto"/>
            <w:vAlign w:val="center"/>
          </w:tcPr>
          <w:p w:rsidR="005F78FC" w:rsidRDefault="00B42EF3">
            <w:pPr>
              <w:pStyle w:val="TableBodyText"/>
            </w:pPr>
            <w:r>
              <w:t>http://schemas.microsoft.com/office/2006/customDocumentInformationPanel</w:t>
            </w:r>
          </w:p>
        </w:tc>
        <w:tc>
          <w:tcPr>
            <w:tcW w:w="0" w:type="auto"/>
            <w:vAlign w:val="center"/>
          </w:tcPr>
          <w:p w:rsidR="005F78FC" w:rsidRDefault="00B42EF3">
            <w:pPr>
              <w:pStyle w:val="TableBodyText"/>
            </w:pPr>
            <w:hyperlink w:anchor="Section_471bacba8a3243149825ae9d444e1af9">
              <w:r>
                <w:rPr>
                  <w:rStyle w:val="Hyperlink"/>
                </w:rPr>
                <w:t>§3.5.3.1, Custom Document Information Panel Schema</w:t>
              </w:r>
            </w:hyperlink>
          </w:p>
        </w:tc>
      </w:tr>
      <w:tr w:rsidR="005F78FC" w:rsidTr="005F78FC">
        <w:tc>
          <w:tcPr>
            <w:tcW w:w="0" w:type="auto"/>
            <w:vAlign w:val="center"/>
          </w:tcPr>
          <w:p w:rsidR="005F78FC" w:rsidRDefault="00B42EF3">
            <w:pPr>
              <w:pStyle w:val="TableBodyText"/>
            </w:pPr>
            <w:r>
              <w:t>http://schemas.microsoft.com/office/2006/metadata/customXsn</w:t>
            </w:r>
          </w:p>
        </w:tc>
        <w:tc>
          <w:tcPr>
            <w:tcW w:w="0" w:type="auto"/>
            <w:vAlign w:val="center"/>
          </w:tcPr>
          <w:p w:rsidR="005F78FC" w:rsidRDefault="00B42EF3">
            <w:pPr>
              <w:pStyle w:val="TableBodyText"/>
            </w:pPr>
            <w:hyperlink w:anchor="Section_d9b4ba0ebe664084a162d0eac8fa85e9">
              <w:r>
                <w:rPr>
                  <w:rStyle w:val="Hyperlink"/>
                </w:rPr>
                <w:t>§3.5.4.1, Custom XSN</w:t>
              </w:r>
              <w:r>
                <w:rPr>
                  <w:rStyle w:val="Hyperlink"/>
                </w:rPr>
                <w:t xml:space="preserve"> Schema</w:t>
              </w:r>
            </w:hyperlink>
          </w:p>
        </w:tc>
      </w:tr>
      <w:tr w:rsidR="005F78FC" w:rsidTr="005F78FC">
        <w:tc>
          <w:tcPr>
            <w:tcW w:w="0" w:type="auto"/>
            <w:vAlign w:val="center"/>
          </w:tcPr>
          <w:p w:rsidR="005F78FC" w:rsidRDefault="00B42EF3">
            <w:pPr>
              <w:pStyle w:val="TableBodyText"/>
            </w:pPr>
            <w:r>
              <w:t>http://schemas.microsoft.com/office/2006/metadata/contentType</w:t>
            </w:r>
          </w:p>
        </w:tc>
        <w:tc>
          <w:tcPr>
            <w:tcW w:w="0" w:type="auto"/>
            <w:vAlign w:val="center"/>
          </w:tcPr>
          <w:p w:rsidR="005F78FC" w:rsidRDefault="00B42EF3">
            <w:pPr>
              <w:pStyle w:val="TableBodyText"/>
            </w:pPr>
            <w:hyperlink w:anchor="Section_acb43eb342e64ae998cacd04346b080a">
              <w:r>
                <w:rPr>
                  <w:rStyle w:val="Hyperlink"/>
                </w:rPr>
                <w:t>§3.5.2.1, Content Type Schemas Schema</w:t>
              </w:r>
            </w:hyperlink>
          </w:p>
        </w:tc>
      </w:tr>
      <w:tr w:rsidR="005F78FC" w:rsidTr="005F78FC">
        <w:tc>
          <w:tcPr>
            <w:tcW w:w="0" w:type="auto"/>
            <w:vAlign w:val="center"/>
          </w:tcPr>
          <w:p w:rsidR="005F78FC" w:rsidRDefault="00B42EF3">
            <w:pPr>
              <w:pStyle w:val="TableBodyText"/>
            </w:pPr>
            <w:r>
              <w:t>http://schemas.microsoft.com/office/2006/coverPageProps</w:t>
            </w:r>
          </w:p>
        </w:tc>
        <w:tc>
          <w:tcPr>
            <w:tcW w:w="0" w:type="auto"/>
            <w:vAlign w:val="center"/>
          </w:tcPr>
          <w:p w:rsidR="005F78FC" w:rsidRDefault="00B42EF3">
            <w:pPr>
              <w:pStyle w:val="TableBodyText"/>
            </w:pPr>
            <w:hyperlink w:anchor="Section_f4d50e0ddbdb493d9c1f5e94acf656a1">
              <w:r>
                <w:rPr>
                  <w:rStyle w:val="Hyperlink"/>
                </w:rPr>
                <w:t>§3.5.1.1, Cover Page Properties Schema</w:t>
              </w:r>
            </w:hyperlink>
          </w:p>
        </w:tc>
      </w:tr>
      <w:tr w:rsidR="005F78FC" w:rsidTr="005F78FC">
        <w:tc>
          <w:tcPr>
            <w:tcW w:w="0" w:type="auto"/>
            <w:vAlign w:val="center"/>
          </w:tcPr>
          <w:p w:rsidR="005F78FC" w:rsidRDefault="00B42EF3">
            <w:pPr>
              <w:pStyle w:val="TableBodyText"/>
            </w:pPr>
            <w:r>
              <w:t>http://schemas.microsoft.com/office/2006/metadata/longProperties</w:t>
            </w:r>
          </w:p>
        </w:tc>
        <w:tc>
          <w:tcPr>
            <w:tcW w:w="0" w:type="auto"/>
            <w:vAlign w:val="center"/>
          </w:tcPr>
          <w:p w:rsidR="005F78FC" w:rsidRDefault="00B42EF3">
            <w:pPr>
              <w:pStyle w:val="TableBodyText"/>
            </w:pPr>
            <w:hyperlink w:anchor="Section_03e16b150a6b4dc88574f27a056f37e5">
              <w:r>
                <w:rPr>
                  <w:rStyle w:val="Hyperlink"/>
                </w:rPr>
                <w:t>§3.5.5.1, Long Properties Schema</w:t>
              </w:r>
            </w:hyperlink>
          </w:p>
        </w:tc>
      </w:tr>
      <w:tr w:rsidR="005F78FC" w:rsidTr="005F78FC">
        <w:tc>
          <w:tcPr>
            <w:tcW w:w="0" w:type="auto"/>
            <w:vAlign w:val="center"/>
          </w:tcPr>
          <w:p w:rsidR="005F78FC" w:rsidRDefault="00B42EF3">
            <w:pPr>
              <w:pStyle w:val="TableBodyText"/>
            </w:pPr>
            <w:r>
              <w:t>office.server.policy</w:t>
            </w:r>
          </w:p>
        </w:tc>
        <w:tc>
          <w:tcPr>
            <w:tcW w:w="0" w:type="auto"/>
            <w:vAlign w:val="center"/>
          </w:tcPr>
          <w:p w:rsidR="005F78FC" w:rsidRDefault="00B42EF3">
            <w:pPr>
              <w:pStyle w:val="TableBodyText"/>
            </w:pPr>
            <w:r>
              <w:t>Collaborative Application Markup Language (CAML) Structure Specification (</w:t>
            </w:r>
            <w:hyperlink r:id="rId57" w:anchor="Section_8d6156fd646842949594644a946ed6a6">
              <w:r>
                <w:rPr>
                  <w:rStyle w:val="Hyperlink"/>
                </w:rPr>
                <w:t>[MS-WSSCAML]</w:t>
              </w:r>
            </w:hyperlink>
            <w:r>
              <w:t xml:space="preserve"> Subclause 2.5.1.7).</w:t>
            </w:r>
          </w:p>
        </w:tc>
      </w:tr>
    </w:tbl>
    <w:p w:rsidR="005F78FC" w:rsidRDefault="005F78FC"/>
    <w:p w:rsidR="005F78FC" w:rsidRDefault="00B42EF3">
      <w:r>
        <w:t xml:space="preserve">Furthermore, a Custom XML Data Storage part </w:t>
      </w:r>
      <w:r>
        <w:t>with root namespace of http://schemas.microsoft.com/office/2006/metadata/properties describes the properties of this document as defined by the xsd:schema children of Content Type Schemas (§3.5.2.1, Content Type Schemas Schema). The xsd:schema that bears t</w:t>
      </w:r>
      <w:r>
        <w:t>he ma:root Root (</w:t>
      </w:r>
      <w:hyperlink w:anchor="Section_83c200b15a6944308fe6adc3583034a2">
        <w:r>
          <w:rPr>
            <w:rStyle w:val="Hyperlink"/>
          </w:rPr>
          <w:t>§3.5.2.2.1, Shared Attributes</w:t>
        </w:r>
      </w:hyperlink>
      <w:r>
        <w:t>) attribute describes the structure of the root element this Custom XML Data Storage part, with the other xsd:schema children collectively describi</w:t>
      </w:r>
      <w:r>
        <w:t>ng elements from other namespaces referenced.</w:t>
      </w:r>
    </w:p>
    <w:p w:rsidR="005F78FC" w:rsidRDefault="00B42EF3">
      <w:pPr>
        <w:pStyle w:val="Heading3"/>
      </w:pPr>
      <w:bookmarkStart w:id="78" w:name="section_754c8ac1923d412f8fefc85862e9124a"/>
      <w:bookmarkStart w:id="79" w:name="_Toc69877812"/>
      <w:r>
        <w:t>Part 1 Section 15.2.9, Embedded Control Persistence Part</w:t>
      </w:r>
      <w:bookmarkEnd w:id="78"/>
      <w:bookmarkEnd w:id="79"/>
      <w:r>
        <w:fldChar w:fldCharType="begin"/>
      </w:r>
      <w:r>
        <w:instrText xml:space="preserve"> XE "Embedded Control Persistence Part" </w:instrText>
      </w:r>
      <w:r>
        <w:fldChar w:fldCharType="end"/>
      </w:r>
    </w:p>
    <w:p w:rsidR="005F78FC" w:rsidRDefault="00B42EF3">
      <w:pPr>
        <w:pStyle w:val="Definition-Field"/>
      </w:pPr>
      <w:r>
        <w:t xml:space="preserve">a.   </w:t>
      </w:r>
      <w:r>
        <w:rPr>
          <w:i/>
        </w:rPr>
        <w:t>The standard does not state the content type used for ActiveX data stored in the Embedded Control Persiste</w:t>
      </w:r>
      <w:r>
        <w:rPr>
          <w:i/>
        </w:rPr>
        <w:t>nce part.</w:t>
      </w:r>
    </w:p>
    <w:p w:rsidR="005F78FC" w:rsidRDefault="00B42EF3">
      <w:pPr>
        <w:pStyle w:val="Definition-Field2"/>
      </w:pPr>
      <w:r>
        <w:t>When Office stores data for ActiveX controls in the Embedded Control Persistence part, the following content type is used: application/vnd.ms-office.activeX+xml.</w:t>
      </w:r>
    </w:p>
    <w:p w:rsidR="005F78FC" w:rsidRDefault="00B42EF3">
      <w:pPr>
        <w:pStyle w:val="Heading3"/>
      </w:pPr>
      <w:bookmarkStart w:id="80" w:name="section_28beaa8f42ce41e6820d4d7af34457a5"/>
      <w:bookmarkStart w:id="81" w:name="_Toc69877813"/>
      <w:r>
        <w:t>Part 1 Section 15.2.12.1, Core File Properties Part</w:t>
      </w:r>
      <w:bookmarkEnd w:id="80"/>
      <w:bookmarkEnd w:id="81"/>
      <w:r>
        <w:fldChar w:fldCharType="begin"/>
      </w:r>
      <w:r>
        <w:instrText xml:space="preserve"> XE "Core File Properties Part" </w:instrText>
      </w:r>
      <w:r>
        <w:fldChar w:fldCharType="end"/>
      </w:r>
    </w:p>
    <w:p w:rsidR="005F78FC" w:rsidRDefault="00B42EF3">
      <w:pPr>
        <w:pStyle w:val="Definition-Field"/>
      </w:pPr>
      <w:r>
        <w:t xml:space="preserve">a.   </w:t>
      </w:r>
      <w:r>
        <w:rPr>
          <w:i/>
        </w:rPr>
        <w:t>The standard specifies a source relations ship for the Core File Properties part as follows: http://schemas.openxmlformats.org/officedocument/2006/relationships/metadata/core-properties.</w:t>
      </w:r>
    </w:p>
    <w:p w:rsidR="005F78FC" w:rsidRDefault="00B42EF3">
      <w:pPr>
        <w:pStyle w:val="Definition-Field2"/>
      </w:pPr>
      <w:r>
        <w:t>Office uses the following source relationship for the Core Fil</w:t>
      </w:r>
      <w:r>
        <w:t>e Properties part: http://schemas.openxmlformats.org/package/2006/relationships/metadata/core-properties.</w:t>
      </w:r>
    </w:p>
    <w:p w:rsidR="005F78FC" w:rsidRDefault="00B42EF3">
      <w:pPr>
        <w:pStyle w:val="Heading3"/>
      </w:pPr>
      <w:bookmarkStart w:id="82" w:name="section_329b6ef35848403b97e9069503df5e3a"/>
      <w:bookmarkStart w:id="83" w:name="_Toc69877814"/>
      <w:r>
        <w:t>Part 1 Section 15.2.12.2, Custom File Properties Part</w:t>
      </w:r>
      <w:bookmarkEnd w:id="82"/>
      <w:bookmarkEnd w:id="83"/>
      <w:r>
        <w:fldChar w:fldCharType="begin"/>
      </w:r>
      <w:r>
        <w:instrText xml:space="preserve"> XE "Custom File Properties Part" </w:instrText>
      </w:r>
      <w:r>
        <w:fldChar w:fldCharType="end"/>
      </w:r>
    </w:p>
    <w:p w:rsidR="005F78FC" w:rsidRDefault="00B42EF3">
      <w:pPr>
        <w:rPr>
          <w:i/>
        </w:rPr>
      </w:pPr>
      <w:r>
        <w:rPr>
          <w:i/>
        </w:rPr>
        <w:t>The standard does not specify any specific Custom File Prope</w:t>
      </w:r>
      <w:r>
        <w:rPr>
          <w:i/>
        </w:rPr>
        <w:t>rties (</w:t>
      </w:r>
      <w:r>
        <w:t>"</w:t>
      </w:r>
      <w:hyperlink r:id="rId58">
        <w:r>
          <w:rPr>
            <w:rStyle w:val="Hyperlink"/>
          </w:rPr>
          <w:t>[ISO/IEC-29500-1]</w:t>
        </w:r>
      </w:hyperlink>
      <w:r>
        <w:t xml:space="preserve"> §15.2.12.2; Custom File Properties Part"</w:t>
      </w:r>
      <w:r>
        <w:rPr>
          <w:i/>
        </w:rPr>
        <w:t>) names or values, nor does it attribute meaning to them.</w:t>
      </w:r>
    </w:p>
    <w:p w:rsidR="005F78FC" w:rsidRDefault="00B42EF3">
      <w:r>
        <w:t>Excel, Word, and PowerPoint may add specific Custom File Propertie</w:t>
      </w:r>
      <w:r>
        <w:t>s if a sensitivity label is applied.</w:t>
      </w:r>
    </w:p>
    <w:p w:rsidR="005F78FC" w:rsidRDefault="00B42EF3">
      <w:r>
        <w:t>Excel, Word, and PowerPoint may persist metadata from the Microsoft Information Protection Software Development Kit to Custom File Properties. Additionally, the property name "Sensitivity" is written and set to the GUID</w:t>
      </w:r>
      <w:r>
        <w:t xml:space="preserve"> of the label ID applied to the file. The label ID is given by the Microsoft Information Protection Software Development Kit corresponding to the applied label.</w:t>
      </w:r>
    </w:p>
    <w:p w:rsidR="005F78FC" w:rsidRDefault="00B42EF3">
      <w:r>
        <w:lastRenderedPageBreak/>
        <w:t xml:space="preserve">Word may persist additional Custom File Properties if a sensitivity label is applied, as shown </w:t>
      </w:r>
      <w:r>
        <w:t>in the table below.</w:t>
      </w:r>
    </w:p>
    <w:tbl>
      <w:tblPr>
        <w:tblStyle w:val="Table-ShadedHeader"/>
        <w:tblW w:w="0" w:type="auto"/>
        <w:tblLook w:val="04A0" w:firstRow="1" w:lastRow="0" w:firstColumn="1" w:lastColumn="0" w:noHBand="0" w:noVBand="1"/>
      </w:tblPr>
      <w:tblGrid>
        <w:gridCol w:w="4768"/>
        <w:gridCol w:w="4707"/>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4768" w:type="dxa"/>
          </w:tcPr>
          <w:p w:rsidR="005F78FC" w:rsidRDefault="00B42EF3">
            <w:pPr>
              <w:pStyle w:val="TableHeaderText"/>
            </w:pPr>
            <w:r>
              <w:t>Custom Property Name</w:t>
            </w:r>
          </w:p>
        </w:tc>
        <w:tc>
          <w:tcPr>
            <w:tcW w:w="4707" w:type="dxa"/>
          </w:tcPr>
          <w:p w:rsidR="005F78FC" w:rsidRDefault="00B42EF3">
            <w:pPr>
              <w:pStyle w:val="TableHeaderText"/>
            </w:pPr>
            <w:r>
              <w:t>Value Description</w:t>
            </w:r>
          </w:p>
        </w:tc>
      </w:tr>
      <w:tr w:rsidR="005F78FC" w:rsidTr="005F78FC">
        <w:tc>
          <w:tcPr>
            <w:tcW w:w="4768" w:type="dxa"/>
          </w:tcPr>
          <w:p w:rsidR="005F78FC" w:rsidRDefault="00B42EF3">
            <w:pPr>
              <w:pStyle w:val="TableBodyText"/>
            </w:pPr>
            <w:r>
              <w:t>ClassificationContentMarkingHeaderFontProps</w:t>
            </w:r>
          </w:p>
        </w:tc>
        <w:tc>
          <w:tcPr>
            <w:tcW w:w="4707" w:type="dxa"/>
          </w:tcPr>
          <w:p w:rsidR="005F78FC" w:rsidRDefault="00B42EF3">
            <w:pPr>
              <w:pStyle w:val="TableBodyText"/>
            </w:pPr>
            <w:r>
              <w:t>Written if the sensitivity label applied indicates that a header should be applied. The value is a # followed by the header text color in RRGGBB format,</w:t>
            </w:r>
            <w:r>
              <w:t xml:space="preserve"> where RR, GG, and BB each represent a hexadecimal number indicating the amount of red (RR), green (GG), and blue (BB) to display on a scale of 0 (none) to FF (all). For example, #000000 indicates black and #FFFFFF indicates white. This is followed by a co</w:t>
            </w:r>
            <w:r>
              <w:t>mma and the text font size in points, another comma, and the text font face name.</w:t>
            </w:r>
          </w:p>
        </w:tc>
      </w:tr>
      <w:tr w:rsidR="005F78FC" w:rsidTr="005F78FC">
        <w:tc>
          <w:tcPr>
            <w:tcW w:w="4768" w:type="dxa"/>
          </w:tcPr>
          <w:p w:rsidR="005F78FC" w:rsidRDefault="00B42EF3">
            <w:pPr>
              <w:pStyle w:val="TableBodyText"/>
            </w:pPr>
            <w:r>
              <w:t>ClassificationContentMarkingHeaderShapeIds</w:t>
            </w:r>
          </w:p>
        </w:tc>
        <w:tc>
          <w:tcPr>
            <w:tcW w:w="4707" w:type="dxa"/>
          </w:tcPr>
          <w:p w:rsidR="005F78FC" w:rsidRDefault="00B42EF3">
            <w:pPr>
              <w:pStyle w:val="TableBodyText"/>
            </w:pPr>
            <w:r>
              <w:t>Written if the sensitivity label applied indicates that a header should be applied. The value is a comma separated list of shape I</w:t>
            </w:r>
            <w:r>
              <w:t>Ds, written in hexadecimal without the leading 0x, which comprise the shapes which are used to render the headers.</w:t>
            </w:r>
          </w:p>
        </w:tc>
      </w:tr>
      <w:tr w:rsidR="005F78FC" w:rsidTr="005F78FC">
        <w:tc>
          <w:tcPr>
            <w:tcW w:w="4768" w:type="dxa"/>
          </w:tcPr>
          <w:p w:rsidR="005F78FC" w:rsidRDefault="00B42EF3">
            <w:pPr>
              <w:pStyle w:val="TableBodyText"/>
            </w:pPr>
            <w:r>
              <w:t>ClassificationContentMarkingHeaderShapeIds-</w:t>
            </w:r>
            <w:r>
              <w:rPr>
                <w:b/>
                <w:i/>
              </w:rPr>
              <w:t>&lt;suffix&gt;</w:t>
            </w:r>
          </w:p>
        </w:tc>
        <w:tc>
          <w:tcPr>
            <w:tcW w:w="4707" w:type="dxa"/>
          </w:tcPr>
          <w:p w:rsidR="005F78FC" w:rsidRDefault="00B42EF3">
            <w:pPr>
              <w:pStyle w:val="TableBodyText"/>
            </w:pPr>
            <w:r>
              <w:t>Written if the ClassificationContentMarkingHeaderShapeIds Custom File Property is writte</w:t>
            </w:r>
            <w:r>
              <w:t xml:space="preserve">n and the value grows too long because of the number of shapes inserted in the file. </w:t>
            </w:r>
            <w:r>
              <w:rPr>
                <w:b/>
                <w:i/>
              </w:rPr>
              <w:t>&lt;Suffix&gt;</w:t>
            </w:r>
            <w:r>
              <w:t xml:space="preserve"> is a hexadecimal number without the leading 0x that starts with 1 and increments by 1. For example, ClassificationContentMarkingHeaderShapeIds-1 is written if Cla</w:t>
            </w:r>
            <w:r>
              <w:t>ssificationContentMarkingHeaderShapeIds Custom File Property is written and the value is too large because of the number of shapes inserted in the file. ClassificationContentMarkingHeaderShapeIds-2 is written if ClassificationContentMarkingHeaderShapeIds-1</w:t>
            </w:r>
            <w:r>
              <w:t xml:space="preserve"> Custom File Property is written and the value is too large because of the number of shapes inserted in the file.</w:t>
            </w:r>
          </w:p>
        </w:tc>
      </w:tr>
      <w:tr w:rsidR="005F78FC" w:rsidTr="005F78FC">
        <w:tc>
          <w:tcPr>
            <w:tcW w:w="4768" w:type="dxa"/>
          </w:tcPr>
          <w:p w:rsidR="005F78FC" w:rsidRDefault="00B42EF3">
            <w:pPr>
              <w:pStyle w:val="TableBodyText"/>
            </w:pPr>
            <w:r>
              <w:t>ClassificationContentMarkingHeaderText</w:t>
            </w:r>
          </w:p>
        </w:tc>
        <w:tc>
          <w:tcPr>
            <w:tcW w:w="4707" w:type="dxa"/>
          </w:tcPr>
          <w:p w:rsidR="005F78FC" w:rsidRDefault="00B42EF3">
            <w:pPr>
              <w:pStyle w:val="TableBodyText"/>
            </w:pPr>
            <w:r>
              <w:t>Written if the sensitivity label applied indicates that a header should be applied. The value is the h</w:t>
            </w:r>
            <w:r>
              <w:t>eader text displayed in the document as part of applying the sensitivity label.</w:t>
            </w:r>
          </w:p>
        </w:tc>
      </w:tr>
      <w:tr w:rsidR="005F78FC" w:rsidTr="005F78FC">
        <w:tc>
          <w:tcPr>
            <w:tcW w:w="4768" w:type="dxa"/>
          </w:tcPr>
          <w:p w:rsidR="005F78FC" w:rsidRDefault="00B42EF3">
            <w:pPr>
              <w:pStyle w:val="TableBodyText"/>
            </w:pPr>
            <w:r>
              <w:t>ClassificationContentMarkingFooterFontProps</w:t>
            </w:r>
          </w:p>
        </w:tc>
        <w:tc>
          <w:tcPr>
            <w:tcW w:w="4707" w:type="dxa"/>
          </w:tcPr>
          <w:p w:rsidR="005F78FC" w:rsidRDefault="00B42EF3">
            <w:pPr>
              <w:pStyle w:val="TableBodyText"/>
            </w:pPr>
            <w:r>
              <w:t>Written if the sensitivity label applied indicates that a footer should be applied. The value is a # followed by the footer text co</w:t>
            </w:r>
            <w:r>
              <w:t>lor in RRGGBB format, where RR, GG, and BB each represent a hexadecimal number indicating the amount of red (RR), green (GG), and blue (BB) to display on a scale of 0 (none) to FF (all). For example, #000000 indicates black and #FFFFFF indicates white. Thi</w:t>
            </w:r>
            <w:r>
              <w:t>s is followed by a comma and the text font size in points, another comma, and the text font face name.</w:t>
            </w:r>
          </w:p>
        </w:tc>
      </w:tr>
      <w:tr w:rsidR="005F78FC" w:rsidTr="005F78FC">
        <w:tc>
          <w:tcPr>
            <w:tcW w:w="4768" w:type="dxa"/>
          </w:tcPr>
          <w:p w:rsidR="005F78FC" w:rsidRDefault="00B42EF3">
            <w:pPr>
              <w:pStyle w:val="TableBodyText"/>
            </w:pPr>
            <w:r>
              <w:t>ClassificationContentMarkingFooterShapeIds</w:t>
            </w:r>
          </w:p>
        </w:tc>
        <w:tc>
          <w:tcPr>
            <w:tcW w:w="4707" w:type="dxa"/>
          </w:tcPr>
          <w:p w:rsidR="005F78FC" w:rsidRDefault="00B42EF3">
            <w:pPr>
              <w:pStyle w:val="TableBodyText"/>
            </w:pPr>
            <w:r>
              <w:t>Written if the sensitivity label applied indicates that a footer should be applied. The value is a comma sepa</w:t>
            </w:r>
            <w:r>
              <w:t>rated list of shape IDs, written in hexadecimal without the leading 0x, which comprise the shapes which are used to render the footers.</w:t>
            </w:r>
          </w:p>
        </w:tc>
      </w:tr>
      <w:tr w:rsidR="005F78FC" w:rsidTr="005F78FC">
        <w:tc>
          <w:tcPr>
            <w:tcW w:w="4768" w:type="dxa"/>
          </w:tcPr>
          <w:p w:rsidR="005F78FC" w:rsidRDefault="00B42EF3">
            <w:pPr>
              <w:pStyle w:val="TableBodyText"/>
            </w:pPr>
            <w:r>
              <w:t>ClassificationContentMarkingFooterShapeIds-</w:t>
            </w:r>
            <w:r>
              <w:rPr>
                <w:b/>
                <w:i/>
              </w:rPr>
              <w:t>&lt;suffix&gt;</w:t>
            </w:r>
          </w:p>
        </w:tc>
        <w:tc>
          <w:tcPr>
            <w:tcW w:w="4707" w:type="dxa"/>
          </w:tcPr>
          <w:p w:rsidR="005F78FC" w:rsidRDefault="00B42EF3">
            <w:pPr>
              <w:pStyle w:val="TableBodyText"/>
            </w:pPr>
            <w:r>
              <w:t xml:space="preserve">Written if the ClassificationContentMarkingFooterShapeIds Custom </w:t>
            </w:r>
            <w:r>
              <w:lastRenderedPageBreak/>
              <w:t xml:space="preserve">File Property is written and the value grows too long because of the number of shapes inserted in the file. </w:t>
            </w:r>
            <w:r>
              <w:rPr>
                <w:b/>
                <w:i/>
              </w:rPr>
              <w:t>&lt;Suffix&gt;</w:t>
            </w:r>
            <w:r>
              <w:t xml:space="preserve"> is a hexadecimal number without the leading 0x that starts with 1 and incr</w:t>
            </w:r>
            <w:r>
              <w:t>ements by 1. For example, ClassificationContentMarkingHeaderShapeIds-1 is written if ClassificationContentMarkingFooterShapeIds Custom File Property is written and the value is too large because of the number of shapes inserted in the file. ClassificationC</w:t>
            </w:r>
            <w:r>
              <w:t>ontentMarkingFooterShapeIds-2 is written if ClassificationContentMarkingFooterShapeIds-1 Custom File Property is written and the value is too large because of the number of shapes inserted in the file.</w:t>
            </w:r>
          </w:p>
        </w:tc>
      </w:tr>
      <w:tr w:rsidR="005F78FC" w:rsidTr="005F78FC">
        <w:tc>
          <w:tcPr>
            <w:tcW w:w="4768" w:type="dxa"/>
          </w:tcPr>
          <w:p w:rsidR="005F78FC" w:rsidRDefault="00B42EF3">
            <w:pPr>
              <w:pStyle w:val="TableBodyText"/>
            </w:pPr>
            <w:r>
              <w:lastRenderedPageBreak/>
              <w:t>ClassificationContentMarkingFooterText</w:t>
            </w:r>
          </w:p>
        </w:tc>
        <w:tc>
          <w:tcPr>
            <w:tcW w:w="4707" w:type="dxa"/>
          </w:tcPr>
          <w:p w:rsidR="005F78FC" w:rsidRDefault="00B42EF3">
            <w:pPr>
              <w:pStyle w:val="TableBodyText"/>
            </w:pPr>
            <w:r>
              <w:t>Written if the</w:t>
            </w:r>
            <w:r>
              <w:t xml:space="preserve"> sensitivity label applied indicates that a footer should be applied. The value is the footer text displayed in the document as part of applying the sensitivity label.</w:t>
            </w:r>
          </w:p>
        </w:tc>
      </w:tr>
      <w:tr w:rsidR="005F78FC" w:rsidTr="005F78FC">
        <w:tc>
          <w:tcPr>
            <w:tcW w:w="4768" w:type="dxa"/>
          </w:tcPr>
          <w:p w:rsidR="005F78FC" w:rsidRDefault="00B42EF3">
            <w:pPr>
              <w:pStyle w:val="TableBodyText"/>
            </w:pPr>
            <w:r>
              <w:t>ClassificationWatermarkFontProps</w:t>
            </w:r>
          </w:p>
        </w:tc>
        <w:tc>
          <w:tcPr>
            <w:tcW w:w="4707" w:type="dxa"/>
          </w:tcPr>
          <w:p w:rsidR="005F78FC" w:rsidRDefault="00B42EF3">
            <w:pPr>
              <w:pStyle w:val="TableBodyText"/>
            </w:pPr>
            <w:r>
              <w:t>Written if the sensitivity label applied indicates tha</w:t>
            </w:r>
            <w:r>
              <w:t>t a watermark should be applied. The value is a # followed by the watermark text color in RRGGBB format, where RR, GG, and BB each represent a hexadecimal number indicating the amount of red (RR), green (GG), and blue (BB) to display on a scale of 0 (none)</w:t>
            </w:r>
            <w:r>
              <w:t xml:space="preserve"> to FF (all). For example, #000000 indicates black and #FFFFFF indicates white. This is followed by a comma and the text font size in points, another comma, and the text font face name.</w:t>
            </w:r>
          </w:p>
        </w:tc>
      </w:tr>
      <w:tr w:rsidR="005F78FC" w:rsidTr="005F78FC">
        <w:tc>
          <w:tcPr>
            <w:tcW w:w="4768" w:type="dxa"/>
          </w:tcPr>
          <w:p w:rsidR="005F78FC" w:rsidRDefault="00B42EF3">
            <w:pPr>
              <w:pStyle w:val="TableBodyText"/>
            </w:pPr>
            <w:r>
              <w:t>ClassificationWatermarkShapeIds</w:t>
            </w:r>
          </w:p>
        </w:tc>
        <w:tc>
          <w:tcPr>
            <w:tcW w:w="4707" w:type="dxa"/>
          </w:tcPr>
          <w:p w:rsidR="005F78FC" w:rsidRDefault="00B42EF3">
            <w:pPr>
              <w:pStyle w:val="TableBodyText"/>
            </w:pPr>
            <w:r>
              <w:t>Written if the sensitivity label appl</w:t>
            </w:r>
            <w:r>
              <w:t>ied indicates that a watermark should be applied. The value is a comma separated list of shape IDs, written in hexadecimal without the leading 0x, which comprise the shapes which are used to render the watermarks.</w:t>
            </w:r>
          </w:p>
        </w:tc>
      </w:tr>
      <w:tr w:rsidR="005F78FC" w:rsidTr="005F78FC">
        <w:tc>
          <w:tcPr>
            <w:tcW w:w="4768" w:type="dxa"/>
          </w:tcPr>
          <w:p w:rsidR="005F78FC" w:rsidRDefault="00B42EF3">
            <w:pPr>
              <w:pStyle w:val="TableBodyText"/>
            </w:pPr>
            <w:r>
              <w:t>ClassificationWatermarkShapeIds-</w:t>
            </w:r>
            <w:r>
              <w:rPr>
                <w:b/>
                <w:i/>
              </w:rPr>
              <w:t>&lt;suffix&gt;</w:t>
            </w:r>
          </w:p>
        </w:tc>
        <w:tc>
          <w:tcPr>
            <w:tcW w:w="4707" w:type="dxa"/>
          </w:tcPr>
          <w:p w:rsidR="005F78FC" w:rsidRDefault="00B42EF3">
            <w:pPr>
              <w:pStyle w:val="TableBodyText"/>
            </w:pPr>
            <w:r>
              <w:t xml:space="preserve">Written if the ClassificationWatermarkShapeIds Custom File Property is written and the value grows too long because of the number of shapes inserted in the file. </w:t>
            </w:r>
            <w:r>
              <w:rPr>
                <w:b/>
                <w:i/>
              </w:rPr>
              <w:t>&lt;Suffix&gt;</w:t>
            </w:r>
            <w:r>
              <w:t xml:space="preserve"> is a hexadecimal number without the leading 0x that starts with 1 and increments by 1</w:t>
            </w:r>
            <w:r>
              <w:t xml:space="preserve">. For example, ClassificationWatermarkShapeIds-1 is written if ClassificationWatermarkShapeIds Custom File Property is written and the value is too large because of the number of shapes inserted in the file. ClassificationWatermarkShapeIds-2 is written if </w:t>
            </w:r>
            <w:r>
              <w:t>ClassificationWatermarkShapeIds-1 Custom File Property is written and the value is too large because of the number of shapes inserted in the file.</w:t>
            </w:r>
          </w:p>
        </w:tc>
      </w:tr>
      <w:tr w:rsidR="005F78FC" w:rsidTr="005F78FC">
        <w:tc>
          <w:tcPr>
            <w:tcW w:w="4768" w:type="dxa"/>
          </w:tcPr>
          <w:p w:rsidR="005F78FC" w:rsidRDefault="00B42EF3">
            <w:pPr>
              <w:pStyle w:val="TableBodyText"/>
            </w:pPr>
            <w:r>
              <w:t>ClassificationWatermarkText</w:t>
            </w:r>
          </w:p>
        </w:tc>
        <w:tc>
          <w:tcPr>
            <w:tcW w:w="4707" w:type="dxa"/>
          </w:tcPr>
          <w:p w:rsidR="005F78FC" w:rsidRDefault="00B42EF3">
            <w:pPr>
              <w:pStyle w:val="TableBodyText"/>
            </w:pPr>
            <w:r>
              <w:t>Written if the sensitivity label applied indicates that a watermark should be ap</w:t>
            </w:r>
            <w:r>
              <w:t>plied. The value is the watermark text displayed in the document as part of applying the sensitivity label.</w:t>
            </w:r>
          </w:p>
        </w:tc>
      </w:tr>
    </w:tbl>
    <w:p w:rsidR="005F78FC" w:rsidRDefault="00B42EF3">
      <w:r>
        <w:t>PowerPoint may persist additional Custom File Properties if a sensitivity label is applied, as shown in the table below.</w:t>
      </w:r>
    </w:p>
    <w:tbl>
      <w:tblPr>
        <w:tblStyle w:val="Table-ShadedHeader"/>
        <w:tblW w:w="0" w:type="auto"/>
        <w:tblLook w:val="04A0" w:firstRow="1" w:lastRow="0" w:firstColumn="1" w:lastColumn="0" w:noHBand="0" w:noVBand="1"/>
      </w:tblPr>
      <w:tblGrid>
        <w:gridCol w:w="4767"/>
        <w:gridCol w:w="4708"/>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4788" w:type="dxa"/>
          </w:tcPr>
          <w:p w:rsidR="005F78FC" w:rsidRDefault="00B42EF3">
            <w:pPr>
              <w:pStyle w:val="TableHeaderText"/>
            </w:pPr>
            <w:r>
              <w:lastRenderedPageBreak/>
              <w:t>Custom Property Name</w:t>
            </w:r>
          </w:p>
        </w:tc>
        <w:tc>
          <w:tcPr>
            <w:tcW w:w="4788" w:type="dxa"/>
          </w:tcPr>
          <w:p w:rsidR="005F78FC" w:rsidRDefault="00B42EF3">
            <w:pPr>
              <w:pStyle w:val="TableHeaderText"/>
            </w:pPr>
            <w:r>
              <w:t>Value</w:t>
            </w:r>
            <w:r>
              <w:t xml:space="preserve"> Description</w:t>
            </w:r>
          </w:p>
        </w:tc>
      </w:tr>
      <w:tr w:rsidR="005F78FC" w:rsidTr="005F78FC">
        <w:tc>
          <w:tcPr>
            <w:tcW w:w="4788" w:type="dxa"/>
          </w:tcPr>
          <w:p w:rsidR="005F78FC" w:rsidRDefault="00B42EF3">
            <w:pPr>
              <w:pStyle w:val="TableBodyText"/>
            </w:pPr>
            <w:r>
              <w:t>ClassificationContentMarkingHeaderText</w:t>
            </w:r>
          </w:p>
        </w:tc>
        <w:tc>
          <w:tcPr>
            <w:tcW w:w="4788" w:type="dxa"/>
          </w:tcPr>
          <w:p w:rsidR="005F78FC" w:rsidRDefault="00B42EF3">
            <w:pPr>
              <w:pStyle w:val="TableBodyText"/>
            </w:pPr>
            <w:r>
              <w:t xml:space="preserve">Written if the sensitivity label applied indicates that a header should be applied to the design master. The value is the header text displayed in the presentation as part of applying the sensitivity </w:t>
            </w:r>
            <w:r>
              <w:t>label.</w:t>
            </w:r>
          </w:p>
        </w:tc>
      </w:tr>
      <w:tr w:rsidR="005F78FC" w:rsidTr="005F78FC">
        <w:tc>
          <w:tcPr>
            <w:tcW w:w="4788" w:type="dxa"/>
          </w:tcPr>
          <w:p w:rsidR="005F78FC" w:rsidRDefault="00B42EF3">
            <w:pPr>
              <w:pStyle w:val="TableBodyText"/>
            </w:pPr>
            <w:r>
              <w:t>ClassificationContentMarkingHeaderLocations</w:t>
            </w:r>
          </w:p>
        </w:tc>
        <w:tc>
          <w:tcPr>
            <w:tcW w:w="4788" w:type="dxa"/>
          </w:tcPr>
          <w:p w:rsidR="005F78FC" w:rsidRDefault="00B42EF3">
            <w:pPr>
              <w:pStyle w:val="TableBodyText"/>
            </w:pPr>
            <w:r>
              <w:t>Written if the sensitivity label applied indicates that a header should be applied to the design master. The value is the design name, followed by a colon and the shape ID. If there are multiple design ma</w:t>
            </w:r>
            <w:r>
              <w:t>sters, they are all listed and are separated by a reverse solidus (\). Colon (:) and reverse solidus (\) characters in the design name are escaped with a reverse solidus to (\:) and (\\) respectively.</w:t>
            </w:r>
          </w:p>
        </w:tc>
      </w:tr>
      <w:tr w:rsidR="005F78FC" w:rsidTr="005F78FC">
        <w:tc>
          <w:tcPr>
            <w:tcW w:w="4788" w:type="dxa"/>
          </w:tcPr>
          <w:p w:rsidR="005F78FC" w:rsidRDefault="00B42EF3">
            <w:pPr>
              <w:pStyle w:val="TableBodyText"/>
            </w:pPr>
            <w:r>
              <w:t>ClassificationContentMarkingFooterText</w:t>
            </w:r>
          </w:p>
        </w:tc>
        <w:tc>
          <w:tcPr>
            <w:tcW w:w="4788" w:type="dxa"/>
          </w:tcPr>
          <w:p w:rsidR="005F78FC" w:rsidRDefault="00B42EF3">
            <w:pPr>
              <w:pStyle w:val="TableBodyText"/>
            </w:pPr>
            <w:r>
              <w:t xml:space="preserve">Written if the </w:t>
            </w:r>
            <w:r>
              <w:t>sensitivity label applied indicates that a footer should be applied to the design master. The value is the footer text displayed in the presentation as part of applying the sensitivity label.</w:t>
            </w:r>
          </w:p>
        </w:tc>
      </w:tr>
      <w:tr w:rsidR="005F78FC" w:rsidTr="005F78FC">
        <w:tc>
          <w:tcPr>
            <w:tcW w:w="4788" w:type="dxa"/>
          </w:tcPr>
          <w:p w:rsidR="005F78FC" w:rsidRDefault="00B42EF3">
            <w:pPr>
              <w:pStyle w:val="TableBodyText"/>
            </w:pPr>
            <w:r>
              <w:t>ClassificationContentMarkingFooterLocations</w:t>
            </w:r>
          </w:p>
        </w:tc>
        <w:tc>
          <w:tcPr>
            <w:tcW w:w="4788" w:type="dxa"/>
          </w:tcPr>
          <w:p w:rsidR="005F78FC" w:rsidRDefault="00B42EF3">
            <w:pPr>
              <w:pStyle w:val="TableBodyText"/>
            </w:pPr>
            <w:r>
              <w:t>Written if the sens</w:t>
            </w:r>
            <w:r>
              <w:t xml:space="preserve">itivity label applied indicates that a footer should be applied to the design master. The value is the design name, followed by a colon and the shape ID. If there are multiple design masters, they are all listed and are separated by a reverse solidus (\). </w:t>
            </w:r>
            <w:r>
              <w:t>Colon (:) and reverse solidus (\) characters in the design name are escaped with a reverse solidus to (\:) and (\\) respectively.</w:t>
            </w:r>
          </w:p>
        </w:tc>
      </w:tr>
      <w:tr w:rsidR="005F78FC" w:rsidTr="005F78FC">
        <w:tc>
          <w:tcPr>
            <w:tcW w:w="4788" w:type="dxa"/>
          </w:tcPr>
          <w:p w:rsidR="005F78FC" w:rsidRDefault="00B42EF3">
            <w:pPr>
              <w:pStyle w:val="TableBodyText"/>
            </w:pPr>
            <w:r>
              <w:t>ClassificationWatermarkText</w:t>
            </w:r>
          </w:p>
        </w:tc>
        <w:tc>
          <w:tcPr>
            <w:tcW w:w="4788" w:type="dxa"/>
          </w:tcPr>
          <w:p w:rsidR="005F78FC" w:rsidRDefault="00B42EF3">
            <w:pPr>
              <w:pStyle w:val="TableBodyText"/>
            </w:pPr>
            <w:r>
              <w:t>Written if the sensitivity label applied indicates that a watermark should be applied to the desi</w:t>
            </w:r>
            <w:r>
              <w:t>gn master. The value is the watermark text displayed in the presentation as part of applying the sensitivity label.</w:t>
            </w:r>
          </w:p>
        </w:tc>
      </w:tr>
      <w:tr w:rsidR="005F78FC" w:rsidTr="005F78FC">
        <w:tc>
          <w:tcPr>
            <w:tcW w:w="4788" w:type="dxa"/>
          </w:tcPr>
          <w:p w:rsidR="005F78FC" w:rsidRDefault="00B42EF3">
            <w:pPr>
              <w:pStyle w:val="TableBodyText"/>
            </w:pPr>
            <w:r>
              <w:t>ClassificationWatermarkLocations</w:t>
            </w:r>
          </w:p>
        </w:tc>
        <w:tc>
          <w:tcPr>
            <w:tcW w:w="4788" w:type="dxa"/>
          </w:tcPr>
          <w:p w:rsidR="005F78FC" w:rsidRDefault="00B42EF3">
            <w:pPr>
              <w:pStyle w:val="TableBodyText"/>
            </w:pPr>
            <w:r>
              <w:t>Written if the sensitivity label applied indicates that a watermark should be applied to the design master</w:t>
            </w:r>
            <w:r>
              <w:t xml:space="preserve">. The value is the watermark name, followed by a colon and the shape ID. If there are multiple design masters, they are all listed and are separated by a reverse solidus (\). Colon (:) and reverse solidus (\) characters in the design name are escaped with </w:t>
            </w:r>
            <w:r>
              <w:t>a reverse solidus to (\:) and (\\) respectively.</w:t>
            </w:r>
          </w:p>
        </w:tc>
      </w:tr>
    </w:tbl>
    <w:p w:rsidR="005F78FC" w:rsidRDefault="00B42EF3">
      <w:pPr>
        <w:rPr>
          <w:b/>
        </w:rPr>
      </w:pPr>
      <w:r>
        <w:rPr>
          <w:b/>
        </w:rPr>
        <w:t>Examples of Custom File Properties</w:t>
      </w:r>
    </w:p>
    <w:p w:rsidR="005F78FC" w:rsidRDefault="00B42EF3">
      <w:r>
        <w:t>Excel</w:t>
      </w:r>
    </w:p>
    <w:p w:rsidR="005F78FC" w:rsidRDefault="00B42EF3">
      <w:pPr>
        <w:pStyle w:val="Code"/>
      </w:pPr>
      <w:r>
        <w:t xml:space="preserve">&lt;Properties xmlns="http://schemas.openxmlformats.org/officeDocument/2006/custom-properties" </w:t>
      </w:r>
      <w:r>
        <w:t>xmlns:vt="http://schemas.openxmlformats.org/officeDocument/2006/docPropsVTypes"&gt;</w:t>
      </w:r>
    </w:p>
    <w:p w:rsidR="005F78FC" w:rsidRDefault="00B42EF3">
      <w:pPr>
        <w:pStyle w:val="Code"/>
      </w:pPr>
      <w:r>
        <w:t xml:space="preserve"> &lt;property fmtid="{D5CDD505-2E9C-101B-9397-08002B2CF9AE}" pid="2" name="MSIP_Label_d9f23ae3-a239-45ea-bf23-0123456789ab_Enabled"&gt;&lt;vt:lpwstr&gt;true&lt;/vt:lpwstr&gt;&lt;/property&gt;</w:t>
      </w:r>
    </w:p>
    <w:p w:rsidR="005F78FC" w:rsidRDefault="00B42EF3">
      <w:pPr>
        <w:pStyle w:val="Code"/>
      </w:pPr>
      <w:r>
        <w:t xml:space="preserve"> &lt;prope</w:t>
      </w:r>
      <w:r>
        <w:t>rty fmtid="{D5CDD505-2E9C-101B-9397-08002B2CF9AE}" pid="3" name="MSIP_Label_d9f23ae3-a239-45ea-bf23-0123456789ab_SetDate"&gt;&lt;vt:lpwstr&gt;2018-09-24T21:38:47-0800&lt;/vt:lpwstr&gt;&lt;/property&gt;</w:t>
      </w:r>
    </w:p>
    <w:p w:rsidR="005F78FC" w:rsidRDefault="00B42EF3">
      <w:pPr>
        <w:pStyle w:val="Code"/>
      </w:pPr>
      <w:r>
        <w:t xml:space="preserve"> &lt;property fmtid="{D5CDD505-2E9C-101B-9397-08002B2CF9AE}" pid="4" name="MSI</w:t>
      </w:r>
      <w:r>
        <w:t>P_Label_d9f23ae3-a239-45ea-bf23-0123456789ab_Method"&gt;&lt;vt:lpwstr&gt;Privileged&lt;/vt:lpwstr&gt;&lt;/property&gt;</w:t>
      </w:r>
    </w:p>
    <w:p w:rsidR="005F78FC" w:rsidRDefault="00B42EF3">
      <w:pPr>
        <w:pStyle w:val="Code"/>
      </w:pPr>
      <w:r>
        <w:t xml:space="preserve"> &lt;property fmtid="{D5CDD505-2E9C-101B-9397-08002B2CF9AE}" pid="5" name="MSIP_Label_d9f23ae3-a239-45ea-bf23-0123456789ab_Name"&gt;&lt;vt:lpwstr&gt;Header, Footer, and W</w:t>
      </w:r>
      <w:r>
        <w:t>atermark&lt;/vt:lpwstr&gt;&lt;/property&gt;</w:t>
      </w:r>
    </w:p>
    <w:p w:rsidR="005F78FC" w:rsidRDefault="00B42EF3">
      <w:pPr>
        <w:pStyle w:val="Code"/>
      </w:pPr>
      <w:r>
        <w:t xml:space="preserve"> &lt;property fmtid="{D5CDD505-2E9C-101B-9397-08002B2CF9AE}" pid="6" name="MSIP_Label_d9f23ae3-a239-45ea-bf23-0123456789ab_SiteId"&gt;&lt;vt:lpwstr&gt;242d863a-283c-5e0f-ae66-d99e8a20f526&lt;/vt:lpwstr&gt;&lt;/property&gt;</w:t>
      </w:r>
    </w:p>
    <w:p w:rsidR="005F78FC" w:rsidRDefault="00B42EF3">
      <w:pPr>
        <w:pStyle w:val="Code"/>
      </w:pPr>
      <w:r>
        <w:lastRenderedPageBreak/>
        <w:t xml:space="preserve"> &lt;property fmtid="{D5CDD5</w:t>
      </w:r>
      <w:r>
        <w:t>05-2E9C-101B-9397-08002B2CF9AE}" pid="7" name="MSIP_Label_d9f23ae3-a239-45ea-bf23-0123456789ab_ActionId"&gt;&lt;vt:lpwstr&gt;9808f4bb-209e-4696-8307-00003bb82621&lt;/vt:lpwstr&gt;&lt;/property&gt;</w:t>
      </w:r>
    </w:p>
    <w:p w:rsidR="005F78FC" w:rsidRDefault="00B42EF3">
      <w:pPr>
        <w:pStyle w:val="Code"/>
      </w:pPr>
      <w:r>
        <w:t xml:space="preserve"> &lt;property fmtid="{D5CDD505-2E9C-101B-9397-08002B2CF9AE}" pid="8" name="MSIP_Lab</w:t>
      </w:r>
      <w:r>
        <w:t>el_d9f23ae3-a239-45ea-bf23-0123456789ab_ContentBits"&gt;&lt;vt:lpwstr&gt;7&lt;/vt:lpwstr&gt;&lt;/property&gt;</w:t>
      </w:r>
    </w:p>
    <w:p w:rsidR="005F78FC" w:rsidRDefault="00B42EF3">
      <w:pPr>
        <w:pStyle w:val="Code"/>
      </w:pPr>
      <w:r>
        <w:t xml:space="preserve"> &lt;property fmtid="{D5CDD505-2E9C-101B-9397-08002B2CF9AE}" pid="9" name="Sensitivity"&gt;&lt;vt:lpwstr&gt;d9f23ae3-a239-45ea-bf23-0123456789ab&lt;/vt:lpwstr&gt;&lt;/property&gt;</w:t>
      </w:r>
    </w:p>
    <w:p w:rsidR="005F78FC" w:rsidRDefault="00B42EF3">
      <w:pPr>
        <w:pStyle w:val="Code"/>
      </w:pPr>
      <w:r>
        <w:t>&lt;/Propertie</w:t>
      </w:r>
      <w:r>
        <w:t>s&gt;</w:t>
      </w:r>
    </w:p>
    <w:p w:rsidR="005F78FC" w:rsidRDefault="00B42EF3">
      <w:r>
        <w:t>PowerPoint</w:t>
      </w:r>
    </w:p>
    <w:p w:rsidR="005F78FC" w:rsidRDefault="00B42EF3">
      <w:pPr>
        <w:pStyle w:val="Code"/>
      </w:pPr>
      <w:r>
        <w:t>&lt;Properties xmlns="http://schemas.openxmlformats.org/officeDocument/2006/custom-properties" xmlns:vt="http://schemas.openxmlformats.org/officeDocument/2006/docPropsVTypes"&gt;</w:t>
      </w:r>
    </w:p>
    <w:p w:rsidR="005F78FC" w:rsidRDefault="00B42EF3">
      <w:pPr>
        <w:pStyle w:val="Code"/>
      </w:pPr>
      <w:r>
        <w:t xml:space="preserve"> &lt;property fmtid="{D5CDD505-2E9C-101B-9397-08002B2CF9AE}" pid="2" nam</w:t>
      </w:r>
      <w:r>
        <w:t>e="MSIP_Label_d9f23ae3-a239-45ea-bf23-0123456789ab_Enabled"&gt;&lt;vt:lpwstr&gt;true&lt;/vt:lpwstr&gt;&lt;/property&gt;</w:t>
      </w:r>
    </w:p>
    <w:p w:rsidR="005F78FC" w:rsidRDefault="00B42EF3">
      <w:pPr>
        <w:pStyle w:val="Code"/>
      </w:pPr>
      <w:r>
        <w:t xml:space="preserve"> &lt;property fmtid="{D5CDD505-2E9C-101B-9397-08002B2CF9AE}" pid="3" name="MSIP_Label_d9f23ae3-a239-45ea-bf23-0123456789ab_SetDate"&gt;&lt;vt:lpwstr&gt;2018-09-24T21:33:</w:t>
      </w:r>
      <w:r>
        <w:t>22-0800&lt;/vt:lpwstr&gt;&lt;/property&gt;</w:t>
      </w:r>
    </w:p>
    <w:p w:rsidR="005F78FC" w:rsidRDefault="00B42EF3">
      <w:pPr>
        <w:pStyle w:val="Code"/>
      </w:pPr>
      <w:r>
        <w:t xml:space="preserve"> &lt;property fmtid="{D5CDD505-2E9C-101B-9397-08002B2CF9AE}" pid="4" name="MSIP_Label_d9f23ae3-a239-45ea-bf23-0123456789ab_Method"&gt;&lt;vt:lpwstr&gt;Privileged&lt;/vt:lpwstr&gt;&lt;/property&gt;</w:t>
      </w:r>
    </w:p>
    <w:p w:rsidR="005F78FC" w:rsidRDefault="00B42EF3">
      <w:pPr>
        <w:pStyle w:val="Code"/>
      </w:pPr>
      <w:r>
        <w:t xml:space="preserve"> &lt;property fmtid="{D5CDD505-2E9C-101B-9397-08002B2CF</w:t>
      </w:r>
      <w:r>
        <w:t>9AE}" pid="5" name="MSIP_Label_d9f23ae3-a239-45ea-bf23-0123456789ab_Name"&gt;&lt;vt:lpwstr&gt;Header, Footer, and Watermark&lt;/vt:lpwstr&gt;&lt;/property&gt;</w:t>
      </w:r>
    </w:p>
    <w:p w:rsidR="005F78FC" w:rsidRDefault="00B42EF3">
      <w:pPr>
        <w:pStyle w:val="Code"/>
      </w:pPr>
      <w:r>
        <w:t xml:space="preserve"> &lt;property fmtid="{D5CDD505-2E9C-101B-9397-08002B2CF9AE}" pid="6" name="MSIP_Label_d9f23ae3-a239-45ea-bf23-0123456789a</w:t>
      </w:r>
      <w:r>
        <w:t>b_SiteId"&gt;&lt;vt:lpwstr&gt;242d863a-283c-5e0f-ae66-d99e8a20f526&lt;/vt:lpwstr&gt;&lt;/property&gt;</w:t>
      </w:r>
    </w:p>
    <w:p w:rsidR="005F78FC" w:rsidRDefault="00B42EF3">
      <w:pPr>
        <w:pStyle w:val="Code"/>
      </w:pPr>
      <w:r>
        <w:t xml:space="preserve"> &lt;property fmtid="{D5CDD505-2E9C-101B-9397-08002B2CF9AE}" pid="7" name="MSIP_Label_d9f23ae3-a239-45ea-bf23-0123456789ab_ActionId"&gt;&lt;vt:lpwstr&gt;</w:t>
      </w:r>
      <w:r>
        <w:t>fc4f85ef-4627-4002-800f-00005a208e8f&lt;/vt:lpwstr&gt;&lt;/property&gt;</w:t>
      </w:r>
    </w:p>
    <w:p w:rsidR="005F78FC" w:rsidRDefault="00B42EF3">
      <w:pPr>
        <w:pStyle w:val="Code"/>
      </w:pPr>
      <w:r>
        <w:t xml:space="preserve"> &lt;property fmtid="{D5CDD505-2E9C-101B-9397-08002B2CF9AE}" pid="8" name="MSIP_Label_d9f23ae3-a239-45ea-bf23-0123456789ab_ContentBits"&gt;&lt;vt:lpwstr&gt;7&lt;/vt:lpwstr&gt;&lt;/property&gt;</w:t>
      </w:r>
    </w:p>
    <w:p w:rsidR="005F78FC" w:rsidRDefault="00B42EF3">
      <w:pPr>
        <w:pStyle w:val="Code"/>
      </w:pPr>
      <w:r>
        <w:t xml:space="preserve"> &lt;property fmtid="{D5CDD505</w:t>
      </w:r>
      <w:r>
        <w:t>-2E9C-101B-9397-08002B2CF9AE}" pid="9" name="Sensitivity"&gt;&lt;vt:lpwstr&gt;d9f23ae3-a239-45ea-bf23-0123456789ab&lt;/vt:lpwstr&gt;&lt;/property&gt;</w:t>
      </w:r>
    </w:p>
    <w:p w:rsidR="005F78FC" w:rsidRDefault="00B42EF3">
      <w:pPr>
        <w:pStyle w:val="Code"/>
      </w:pPr>
      <w:r>
        <w:t xml:space="preserve"> &lt;property fmtid="{D5CDD505-2E9C-101B-9397-08002B2CF9AE}" pid="10" name="ClassificationContentMarkingHeaderText"&gt;&lt;vt:lpwstr&gt; Th</w:t>
      </w:r>
      <w:r>
        <w:t>is is header text with a leading space.&lt;/vt:lpwstr&gt;&lt;/property&gt;</w:t>
      </w:r>
    </w:p>
    <w:p w:rsidR="005F78FC" w:rsidRDefault="00B42EF3">
      <w:pPr>
        <w:pStyle w:val="Code"/>
      </w:pPr>
      <w:r>
        <w:t xml:space="preserve"> &lt;property fmtid="{D5CDD505-2E9C-101B-9397-08002B2CF9AE}" pid="11" name="ClassificationContentMarkingHeaderLocations"&gt;&lt;vt:lpwstr&gt;Office Theme:10&lt;/vt:lpwstr&gt;&lt;/property&gt;</w:t>
      </w:r>
    </w:p>
    <w:p w:rsidR="005F78FC" w:rsidRDefault="00B42EF3">
      <w:pPr>
        <w:pStyle w:val="Code"/>
      </w:pPr>
      <w:r>
        <w:t xml:space="preserve"> &lt;property fmtid="{D5CDD5</w:t>
      </w:r>
      <w:r>
        <w:t>05-2E9C-101B-9397-08002B2CF9AE}" pid="12" name="ClassificationContentMarkingFooterText"&gt;&lt;vt:lpwstr&gt;THIS is a FOOTER with a trailing space! &lt;/vt:lpwstr&gt;&lt;/property&gt;</w:t>
      </w:r>
    </w:p>
    <w:p w:rsidR="005F78FC" w:rsidRDefault="00B42EF3">
      <w:pPr>
        <w:pStyle w:val="Code"/>
      </w:pPr>
      <w:r>
        <w:t xml:space="preserve"> &lt;property fmtid="{D5CDD505-2E9C-101B-9397-08002B2CF9AE}" pid="13" name="ClassificationConten</w:t>
      </w:r>
      <w:r>
        <w:t>tMarkingFooterLocations"&gt;&lt;vt:lpwstr&gt;Office Theme:11&lt;/vt:lpwstr&gt;&lt;/property&gt;</w:t>
      </w:r>
    </w:p>
    <w:p w:rsidR="005F78FC" w:rsidRDefault="00B42EF3">
      <w:pPr>
        <w:pStyle w:val="Code"/>
      </w:pPr>
      <w:r>
        <w:t xml:space="preserve"> &lt;property fmtid="{D5CDD505-2E9C-101B-9397-08002B2CF9AE}" pid="14" name="ClassificationWatermarkText"&gt;&lt;vt:lpwstr&gt;Once upon a time, there was a watermark. The watermark was inserted </w:t>
      </w:r>
      <w:r>
        <w:t>in the document. The End.&lt;/vt:lpwstr&gt;&lt;/property&gt;</w:t>
      </w:r>
    </w:p>
    <w:p w:rsidR="005F78FC" w:rsidRDefault="00B42EF3">
      <w:pPr>
        <w:pStyle w:val="Code"/>
      </w:pPr>
      <w:r>
        <w:t xml:space="preserve"> &lt;property fmtid="{D5CDD505-2E9C-101B-9397-08002B2CF9AE}" pid="15" name="ClassificationWatermarkLocations"&gt;&lt;vt:lpwstr&gt;Office Theme:12&lt;/vt:lpwstr&gt;&lt;/property&gt;</w:t>
      </w:r>
    </w:p>
    <w:p w:rsidR="005F78FC" w:rsidRDefault="00B42EF3">
      <w:pPr>
        <w:pStyle w:val="Code"/>
      </w:pPr>
      <w:r>
        <w:t>&lt;/Properties&gt;</w:t>
      </w:r>
    </w:p>
    <w:p w:rsidR="005F78FC" w:rsidRDefault="00B42EF3">
      <w:r>
        <w:t>Word</w:t>
      </w:r>
    </w:p>
    <w:p w:rsidR="005F78FC" w:rsidRDefault="00B42EF3">
      <w:pPr>
        <w:pStyle w:val="Code"/>
      </w:pPr>
      <w:r>
        <w:t xml:space="preserve">&lt;Properties </w:t>
      </w:r>
      <w:r>
        <w:t>xmlns="http://schemas.openxmlformats.org/officeDocument/2006/custom-properties" xmlns:vt="http://schemas.openxmlformats.org/officeDocument/2006/docPropsVTypes"&gt;</w:t>
      </w:r>
    </w:p>
    <w:p w:rsidR="005F78FC" w:rsidRDefault="00B42EF3">
      <w:pPr>
        <w:pStyle w:val="Code"/>
      </w:pPr>
      <w:r>
        <w:t xml:space="preserve"> &lt;property fmtid="{D5CDD505-2E9C-101B-9397-08002B2CF9AE}" pid="2" name="ClassificationContentMa</w:t>
      </w:r>
      <w:r>
        <w:t>rkingHeaderShapeIds"&gt;&lt;vt:lpwstr&gt;1,2,3&lt;/vt:lpwstr&gt;&lt;/property&gt;</w:t>
      </w:r>
    </w:p>
    <w:p w:rsidR="005F78FC" w:rsidRDefault="00B42EF3">
      <w:pPr>
        <w:pStyle w:val="Code"/>
      </w:pPr>
      <w:r>
        <w:t xml:space="preserve"> &lt;property fmtid="{D5CDD505-2E9C-101B-9397-08002B2CF9AE}" pid="3" name="ClassificationContentMarkingHeaderFontProps"&gt;&lt;vt:lpwstr&gt;#ffff00,23,Calibri&lt;/vt:lpwstr&gt;&lt;/property&gt;</w:t>
      </w:r>
    </w:p>
    <w:p w:rsidR="005F78FC" w:rsidRDefault="00B42EF3">
      <w:pPr>
        <w:pStyle w:val="Code"/>
      </w:pPr>
      <w:r>
        <w:t xml:space="preserve"> &lt;property fmtid="{D5CDD5</w:t>
      </w:r>
      <w:r>
        <w:t>05-2E9C-101B-9397-08002B2CF9AE}" pid="4" name="ClassificationContentMarkingHeaderText"&gt;&lt;vt:lpwstr&gt; This is header text with a leading space.&lt;/vt:lpwstr&gt;&lt;/property&gt;</w:t>
      </w:r>
    </w:p>
    <w:p w:rsidR="005F78FC" w:rsidRDefault="00B42EF3">
      <w:pPr>
        <w:pStyle w:val="Code"/>
      </w:pPr>
      <w:r>
        <w:lastRenderedPageBreak/>
        <w:t xml:space="preserve"> &lt;property fmtid="{D5CDD505-2E9C-101B-9397-08002B2CF9AE}" pid="5" name="ClassificationConten</w:t>
      </w:r>
      <w:r>
        <w:t>tMarkingFooterShapeIds"&gt;&lt;vt:lpwstr&gt;4,5,6&lt;/vt:lpwstr&gt;&lt;/property&gt;</w:t>
      </w:r>
    </w:p>
    <w:p w:rsidR="005F78FC" w:rsidRDefault="00B42EF3">
      <w:pPr>
        <w:pStyle w:val="Code"/>
      </w:pPr>
      <w:r>
        <w:t xml:space="preserve"> &lt;property fmtid="{D5CDD505-2E9C-101B-9397-08002B2CF9AE}" pid="6" name="ClassificationContentMarkingFooterFontProps"&gt;&lt;vt:lpwstr&gt;#ff00ff,11,Calibri&lt;/vt:lpwstr&gt;&lt;/property&gt;</w:t>
      </w:r>
    </w:p>
    <w:p w:rsidR="005F78FC" w:rsidRDefault="00B42EF3">
      <w:pPr>
        <w:pStyle w:val="Code"/>
      </w:pPr>
      <w:r>
        <w:t xml:space="preserve"> &lt;property fmtid="{D5C</w:t>
      </w:r>
      <w:r>
        <w:t>DD505-2E9C-101B-9397-08002B2CF9AE}" pid="7" name="ClassificationContentMarkingFooterText"&gt;&lt;vt:lpwstr&gt;THIS is a FOOTER with a trailing space! &lt;/vt:lpwstr&gt;&lt;/property&gt;</w:t>
      </w:r>
    </w:p>
    <w:p w:rsidR="005F78FC" w:rsidRDefault="00B42EF3">
      <w:pPr>
        <w:pStyle w:val="Code"/>
      </w:pPr>
      <w:r>
        <w:t xml:space="preserve"> &lt;property fmtid="{D5CDD505-2E9C-101B-9397-08002B2CF9AE}" pid="8" name="ClassificationWater</w:t>
      </w:r>
      <w:r>
        <w:t>markShapeIds"&gt;&lt;vt:lpwstr&gt;7,8,9&lt;/vt:lpwstr&gt;&lt;/property&gt;</w:t>
      </w:r>
    </w:p>
    <w:p w:rsidR="005F78FC" w:rsidRDefault="00B42EF3">
      <w:pPr>
        <w:pStyle w:val="Code"/>
      </w:pPr>
      <w:r>
        <w:t xml:space="preserve"> &lt;property fmtid="{D5CDD505-2E9C-101B-9397-08002B2CF9AE}" pid="9" name="ClassificationWatermarkFontProps"&gt;&lt;vt:lpwstr&gt;#000000,13,Calibri&lt;/vt:lpwstr&gt;&lt;/property&gt;</w:t>
      </w:r>
    </w:p>
    <w:p w:rsidR="005F78FC" w:rsidRDefault="00B42EF3">
      <w:pPr>
        <w:pStyle w:val="Code"/>
      </w:pPr>
      <w:r>
        <w:t xml:space="preserve"> &lt;property fmtid="{D5CDD505-2E9C-101B-9397-</w:t>
      </w:r>
      <w:r>
        <w:t>08002B2CF9AE}" pid="10" name="ClassificationWatermarkText"&gt;&lt;vt:lpwstr&gt;Once upon a time, there was a watermark. The watermark was inserted in the document. The End.&lt;/vt:lpwstr&gt;&lt;/property&gt;</w:t>
      </w:r>
    </w:p>
    <w:p w:rsidR="005F78FC" w:rsidRDefault="00B42EF3">
      <w:pPr>
        <w:pStyle w:val="Code"/>
      </w:pPr>
      <w:r>
        <w:t xml:space="preserve"> &lt;property fmtid="{D5CDD505-2E9C-101B-9397-08002B2CF9AE}" pid="11" na</w:t>
      </w:r>
      <w:r>
        <w:t>me="MSIP_Label_d9f23ae3-a239-45ea-bf23-0123456789ab_Enabled"&gt;&lt;vt:lpwstr&gt;true&lt;/vt:lpwstr&gt;&lt;/property&gt;</w:t>
      </w:r>
    </w:p>
    <w:p w:rsidR="005F78FC" w:rsidRDefault="00B42EF3">
      <w:pPr>
        <w:pStyle w:val="Code"/>
      </w:pPr>
      <w:r>
        <w:t xml:space="preserve"> &lt;property fmtid="{D5CDD505-2E9C-101B-9397-08002B2CF9AE}" pid="12" name="MSIP_Label_d9f23ae3-a239-45ea-bf23-0123456789ab_SetDate"&gt;&lt;vt:lpwstr&gt;2018-09-24T21:4</w:t>
      </w:r>
      <w:r>
        <w:t>2:18-0800&lt;/vt:lpwstr&gt;&lt;/property&gt;</w:t>
      </w:r>
    </w:p>
    <w:p w:rsidR="005F78FC" w:rsidRDefault="00B42EF3">
      <w:pPr>
        <w:pStyle w:val="Code"/>
      </w:pPr>
      <w:r>
        <w:t xml:space="preserve"> &lt;property fmtid="{D5CDD505-2E9C-101B-9397-08002B2CF9AE}" pid="13" name="MSIP_Label_d9f23ae3-a239-45ea-bf23-0123456789ab_Method"&gt;&lt;vt:lpwstr&gt;Privileged&lt;/vt:lpwstr&gt;&lt;/property&gt;</w:t>
      </w:r>
    </w:p>
    <w:p w:rsidR="005F78FC" w:rsidRDefault="00B42EF3">
      <w:pPr>
        <w:pStyle w:val="Code"/>
      </w:pPr>
      <w:r>
        <w:t xml:space="preserve"> &lt;property fmtid="{D5CDD505-2E9C-101B-9397-08002B</w:t>
      </w:r>
      <w:r>
        <w:t>2CF9AE}" pid="14" name="MSIP_Label_d9f23ae3-a239-45ea-bf23-0123456789ab_Name"&gt;&lt;vt:lpwstr&gt;Header, Footer, and Watermark&lt;/vt:lpwstr&gt;&lt;/property&gt;</w:t>
      </w:r>
    </w:p>
    <w:p w:rsidR="005F78FC" w:rsidRDefault="00B42EF3">
      <w:pPr>
        <w:pStyle w:val="Code"/>
      </w:pPr>
      <w:r>
        <w:t xml:space="preserve"> &lt;property fmtid="{D5CDD505-2E9C-101B-9397-08002B2CF9AE}" pid="15" name="MSIP_Label_d9f23ae3-a239-45ea-bf23-012345</w:t>
      </w:r>
      <w:r>
        <w:t>6789ab_SiteId"&gt;&lt;vt:lpwstr&gt;242d863a-283c-5e0f-ae66-d99e8a20f526&lt;/vt:lpwstr&gt;&lt;/property&gt;</w:t>
      </w:r>
    </w:p>
    <w:p w:rsidR="005F78FC" w:rsidRDefault="00B42EF3">
      <w:pPr>
        <w:pStyle w:val="Code"/>
      </w:pPr>
      <w:r>
        <w:t xml:space="preserve"> &lt;property fmtid="{D5CDD505-2E9C-101B-9397-08002B2CF9AE}" pid="16" name="MSIP_Label_d9f23ae3-a239-45ea-bf23-0123456789ab_ActionId"&gt;&lt;vt:lpwstr&gt;e055f41b-dbb0-425c-a95a-0000</w:t>
      </w:r>
      <w:r>
        <w:t>8352e3b4&lt;/vt:lpwstr&gt;&lt;/property&gt;</w:t>
      </w:r>
    </w:p>
    <w:p w:rsidR="005F78FC" w:rsidRDefault="00B42EF3">
      <w:pPr>
        <w:pStyle w:val="Code"/>
      </w:pPr>
      <w:r>
        <w:t xml:space="preserve"> &lt;property fmtid="{D5CDD505-2E9C-101B-9397-08002B2CF9AE}" pid="17" name="MSIP_Label_d9f23ae3-a239-45ea-bf23-0123456789ab_ContentBits"&gt;&lt;vt:lpwstr&gt;7&lt;/vt:lpwstr&gt;&lt;/property&gt;</w:t>
      </w:r>
    </w:p>
    <w:p w:rsidR="005F78FC" w:rsidRDefault="00B42EF3">
      <w:pPr>
        <w:pStyle w:val="Code"/>
      </w:pPr>
      <w:r>
        <w:t xml:space="preserve"> &lt;property fmtid="{D5CDD505-2E9C-101B-9397-08002B2CF9A</w:t>
      </w:r>
      <w:r>
        <w:t>E}" pid="18" name="Sensitivity"&gt;&lt;vt:lpwstr&gt;d9f23ae3-a239-45ea-bf23-0123456789ab&lt;/vt:lpwstr&gt;&lt;/property&gt;</w:t>
      </w:r>
    </w:p>
    <w:p w:rsidR="005F78FC" w:rsidRDefault="00B42EF3">
      <w:pPr>
        <w:pStyle w:val="Code"/>
      </w:pPr>
      <w:r>
        <w:t>&lt;/Properties&gt;</w:t>
      </w:r>
    </w:p>
    <w:p w:rsidR="005F78FC" w:rsidRDefault="00B42EF3">
      <w:pPr>
        <w:pStyle w:val="Heading3"/>
      </w:pPr>
      <w:bookmarkStart w:id="84" w:name="section_ea097c5757944624b08e017b47051b1d"/>
      <w:bookmarkStart w:id="85" w:name="_Toc69877815"/>
      <w:r>
        <w:t>Part 1 Section 15.2.13, Font Part</w:t>
      </w:r>
      <w:bookmarkEnd w:id="84"/>
      <w:bookmarkEnd w:id="85"/>
      <w:r>
        <w:fldChar w:fldCharType="begin"/>
      </w:r>
      <w:r>
        <w:instrText xml:space="preserve"> XE "Font Part" </w:instrText>
      </w:r>
      <w:r>
        <w:fldChar w:fldCharType="end"/>
      </w:r>
    </w:p>
    <w:p w:rsidR="005F78FC" w:rsidRDefault="00B42EF3">
      <w:pPr>
        <w:pStyle w:val="Definition-Field"/>
      </w:pPr>
      <w:r>
        <w:t xml:space="preserve">a.   </w:t>
      </w:r>
      <w:r>
        <w:rPr>
          <w:i/>
        </w:rPr>
        <w:t>The standard states that application/x-font-ttf specifies that the font shall be s</w:t>
      </w:r>
      <w:r>
        <w:rPr>
          <w:i/>
        </w:rPr>
        <w:t>tored in the TrueType or OpenType format.</w:t>
      </w:r>
    </w:p>
    <w:p w:rsidR="005F78FC" w:rsidRDefault="00B42EF3">
      <w:pPr>
        <w:pStyle w:val="Definition-Field2"/>
      </w:pPr>
      <w:r>
        <w:t>PowerPoint does not use this content type. Word reads these fonts if the value of the fontKey attribute is equal to 00000000-0000-0000-0000-000000000000.</w:t>
      </w:r>
    </w:p>
    <w:p w:rsidR="005F78FC" w:rsidRDefault="00B42EF3">
      <w:pPr>
        <w:pStyle w:val="Definition-Field"/>
      </w:pPr>
      <w:r>
        <w:t xml:space="preserve">b.   </w:t>
      </w:r>
      <w:r>
        <w:rPr>
          <w:i/>
        </w:rPr>
        <w:t>The standard states that application/x-fontdata specifi</w:t>
      </w:r>
      <w:r>
        <w:rPr>
          <w:i/>
        </w:rPr>
        <w:t>es that the font shall be stored as a bitmapped font (each glyph is stored as a raster image).</w:t>
      </w:r>
    </w:p>
    <w:p w:rsidR="005F78FC" w:rsidRDefault="00B42EF3">
      <w:pPr>
        <w:pStyle w:val="Definition-Field2"/>
      </w:pPr>
      <w:r>
        <w:t>PowerPoint stores TrueType and OpenType fonts (</w:t>
      </w:r>
      <w:hyperlink r:id="rId59">
        <w:r>
          <w:rPr>
            <w:rStyle w:val="Hyperlink"/>
          </w:rPr>
          <w:t>[Embed-Open-Type-Format]</w:t>
        </w:r>
      </w:hyperlink>
      <w:r>
        <w:t xml:space="preserve">, </w:t>
      </w:r>
      <w:hyperlink r:id="rId60">
        <w:r>
          <w:rPr>
            <w:rStyle w:val="Hyperlink"/>
          </w:rPr>
          <w:t>[Micro-Type-Exp-Format]</w:t>
        </w:r>
      </w:hyperlink>
      <w:r>
        <w:t>) in parts of this type. Word does not read or write this content type.</w:t>
      </w:r>
    </w:p>
    <w:p w:rsidR="005F78FC" w:rsidRDefault="00B42EF3">
      <w:pPr>
        <w:pStyle w:val="Definition-Field"/>
      </w:pPr>
      <w:r>
        <w:t xml:space="preserve">c.   </w:t>
      </w:r>
      <w:r>
        <w:rPr>
          <w:i/>
        </w:rPr>
        <w:t>The standard specifies three possible values for the content type of this part, but specifies the format corresp</w:t>
      </w:r>
      <w:r>
        <w:rPr>
          <w:i/>
        </w:rPr>
        <w:t>onding to only two of them.</w:t>
      </w:r>
    </w:p>
    <w:p w:rsidR="005F78FC" w:rsidRDefault="00B42EF3">
      <w:r>
        <w:t xml:space="preserve">Word 2010 reads obfuscated fonts using the content type application/vnd.openxmlformats-officedocument.obfuscatedFont. This content type specifies that the font shall be stored in a format conforming to </w:t>
      </w:r>
      <w:hyperlink r:id="rId61">
        <w:r>
          <w:rPr>
            <w:rStyle w:val="Hyperlink"/>
          </w:rPr>
          <w:t>[ISO/IEC-14496-22]</w:t>
        </w:r>
      </w:hyperlink>
      <w:r>
        <w:t xml:space="preserve"> and shall be obfuscated using the algorithm specified by Font Embedding ("</w:t>
      </w:r>
      <w:hyperlink r:id="rId62">
        <w:r>
          <w:rPr>
            <w:rStyle w:val="Hyperlink"/>
          </w:rPr>
          <w:t>[ISO/IEC-29500-1]</w:t>
        </w:r>
      </w:hyperlink>
      <w:r>
        <w:t xml:space="preserve"> §17.8.1"). </w:t>
      </w:r>
    </w:p>
    <w:p w:rsidR="005F78FC" w:rsidRDefault="00B42EF3">
      <w:pPr>
        <w:pStyle w:val="Heading3"/>
      </w:pPr>
      <w:bookmarkStart w:id="86" w:name="section_bc8ed1a051414dbcbc98d7bb41712df8"/>
      <w:bookmarkStart w:id="87" w:name="_Toc69877816"/>
      <w:r>
        <w:t>Part 1 Section 15.2.14, Image Part</w:t>
      </w:r>
      <w:bookmarkEnd w:id="86"/>
      <w:bookmarkEnd w:id="87"/>
      <w:r>
        <w:fldChar w:fldCharType="begin"/>
      </w:r>
      <w:r>
        <w:instrText xml:space="preserve"> XE "Image Part" </w:instrText>
      </w:r>
      <w:r>
        <w:fldChar w:fldCharType="end"/>
      </w:r>
    </w:p>
    <w:p w:rsidR="005F78FC" w:rsidRDefault="00B42EF3">
      <w:pPr>
        <w:pStyle w:val="Definition-Field"/>
      </w:pPr>
      <w:r>
        <w:t xml:space="preserve">a.   </w:t>
      </w:r>
      <w:r>
        <w:rPr>
          <w:i/>
        </w:rPr>
        <w:t>The standard does not list a reference to the Enhanced Metafile Format Specification.</w:t>
      </w:r>
    </w:p>
    <w:p w:rsidR="005F78FC" w:rsidRDefault="00B42EF3">
      <w:pPr>
        <w:pStyle w:val="Definition-Field2"/>
      </w:pPr>
      <w:r>
        <w:lastRenderedPageBreak/>
        <w:t xml:space="preserve">Office also supports the image/emf image type </w:t>
      </w:r>
      <w:hyperlink r:id="rId63" w:anchor="Section_91c257d7c39d4a369b1f63e3f73d30ca">
        <w:r>
          <w:rPr>
            <w:rStyle w:val="Hyperlink"/>
          </w:rPr>
          <w:t>[MS-EMF]</w:t>
        </w:r>
      </w:hyperlink>
      <w:r>
        <w:t>.</w:t>
      </w:r>
    </w:p>
    <w:p w:rsidR="005F78FC" w:rsidRDefault="00B42EF3">
      <w:pPr>
        <w:pStyle w:val="Definition-Field"/>
      </w:pPr>
      <w:r>
        <w:t xml:space="preserve">b.   </w:t>
      </w:r>
      <w:r>
        <w:rPr>
          <w:i/>
        </w:rPr>
        <w:t>The standard does not list reference to the Enhanced Metafile Format Plus Extensions Specification.</w:t>
      </w:r>
    </w:p>
    <w:p w:rsidR="005F78FC" w:rsidRDefault="00B42EF3">
      <w:pPr>
        <w:pStyle w:val="Definition-Field2"/>
      </w:pPr>
      <w:r>
        <w:t xml:space="preserve">Office also supports the image/emf+ image type </w:t>
      </w:r>
      <w:hyperlink r:id="rId64" w:anchor="Section_5f92c78964f246b59ed415a9bb0946c6">
        <w:r>
          <w:rPr>
            <w:rStyle w:val="Hyperlink"/>
          </w:rPr>
          <w:t>[MS-EMFPLUS]</w:t>
        </w:r>
      </w:hyperlink>
      <w:r>
        <w:t>.</w:t>
      </w:r>
    </w:p>
    <w:p w:rsidR="005F78FC" w:rsidRDefault="00B42EF3">
      <w:pPr>
        <w:pStyle w:val="Definition-Field"/>
      </w:pPr>
      <w:r>
        <w:t xml:space="preserve">c.   </w:t>
      </w:r>
      <w:r>
        <w:rPr>
          <w:i/>
        </w:rPr>
        <w:t>The standard does not list a reference to the Windows Metafile Format Specification.</w:t>
      </w:r>
    </w:p>
    <w:p w:rsidR="005F78FC" w:rsidRDefault="00B42EF3">
      <w:pPr>
        <w:pStyle w:val="Definition-Field2"/>
      </w:pPr>
      <w:r>
        <w:t xml:space="preserve">Office also supports the image/wmf image type </w:t>
      </w:r>
      <w:hyperlink r:id="rId65" w:anchor="Section_4813e7fd52d04f42965f228c8b7488d2">
        <w:r>
          <w:rPr>
            <w:rStyle w:val="Hyperlink"/>
          </w:rPr>
          <w:t>[MS-WMF]</w:t>
        </w:r>
      </w:hyperlink>
      <w:r>
        <w:t>.</w:t>
      </w:r>
    </w:p>
    <w:p w:rsidR="005F78FC" w:rsidRDefault="00B42EF3">
      <w:pPr>
        <w:pStyle w:val="Heading3"/>
      </w:pPr>
      <w:bookmarkStart w:id="88" w:name="section_6eda3d446cdc430ebe6ebb2327e747ad"/>
      <w:bookmarkStart w:id="89" w:name="_Toc69877817"/>
      <w:r>
        <w:t>Part 1 Section 15.2.15, Printer Settings Part</w:t>
      </w:r>
      <w:bookmarkEnd w:id="88"/>
      <w:bookmarkEnd w:id="89"/>
      <w:r>
        <w:fldChar w:fldCharType="begin"/>
      </w:r>
      <w:r>
        <w:instrText xml:space="preserve"> XE "Printer Settings Part" </w:instrText>
      </w:r>
      <w:r>
        <w:fldChar w:fldCharType="end"/>
      </w:r>
    </w:p>
    <w:p w:rsidR="005F78FC" w:rsidRDefault="00B42EF3">
      <w:pPr>
        <w:pStyle w:val="Definition-Field"/>
      </w:pPr>
      <w:r>
        <w:t xml:space="preserve">a.   </w:t>
      </w:r>
      <w:r>
        <w:rPr>
          <w:i/>
        </w:rPr>
        <w:t>The standard provides the following reference to DEVMODE: http://msdn.microsoft.com/library/default.asp?url=/library/en-us/gdi/pr</w:t>
      </w:r>
      <w:r>
        <w:rPr>
          <w:i/>
        </w:rPr>
        <w:t>ntspol_8nle.asp.</w:t>
      </w:r>
    </w:p>
    <w:p w:rsidR="005F78FC" w:rsidRDefault="00B42EF3">
      <w:pPr>
        <w:pStyle w:val="Definition-Field2"/>
      </w:pPr>
      <w:r>
        <w:t xml:space="preserve">Office uses DEVMODE </w:t>
      </w:r>
      <w:hyperlink r:id="rId66">
        <w:r>
          <w:rPr>
            <w:rStyle w:val="Hyperlink"/>
          </w:rPr>
          <w:t>[DEVMODE]</w:t>
        </w:r>
      </w:hyperlink>
      <w:r>
        <w:t xml:space="preserve"> as specified by: http://msdn2.microsoft.com/en-us/library/ms535771.aspx.</w:t>
      </w:r>
    </w:p>
    <w:p w:rsidR="005F78FC" w:rsidRDefault="00B42EF3">
      <w:pPr>
        <w:pStyle w:val="Definition-Field"/>
      </w:pPr>
      <w:r>
        <w:t xml:space="preserve">b.   </w:t>
      </w:r>
      <w:r>
        <w:rPr>
          <w:i/>
        </w:rPr>
        <w:t>The standard does not specify the contents of the target attribute</w:t>
      </w:r>
      <w:r>
        <w:rPr>
          <w:i/>
        </w:rPr>
        <w:t>.</w:t>
      </w:r>
    </w:p>
    <w:p w:rsidR="005F78FC" w:rsidRDefault="00B42EF3">
      <w:pPr>
        <w:pStyle w:val="Definition-Field2"/>
      </w:pPr>
      <w:r>
        <w:t>Office writes the DEVMODE [DEVMODE] structure including printer driver specific data in machine byte order to the part specified in target attribute.</w:t>
      </w:r>
    </w:p>
    <w:p w:rsidR="005F78FC" w:rsidRDefault="00B42EF3">
      <w:pPr>
        <w:pStyle w:val="Heading3"/>
      </w:pPr>
      <w:bookmarkStart w:id="90" w:name="section_1e504bbc5f604aa1a4c0f8f3a925e6f7"/>
      <w:bookmarkStart w:id="91" w:name="_Toc69877818"/>
      <w:r>
        <w:t>Part 1 Section 17.2.1, background (Document Background)</w:t>
      </w:r>
      <w:bookmarkEnd w:id="90"/>
      <w:bookmarkEnd w:id="91"/>
      <w:r>
        <w:fldChar w:fldCharType="begin"/>
      </w:r>
      <w:r>
        <w:instrText xml:space="preserve"> XE "background (Document Background)" </w:instrText>
      </w:r>
      <w:r>
        <w:fldChar w:fldCharType="end"/>
      </w:r>
    </w:p>
    <w:p w:rsidR="005F78FC" w:rsidRDefault="00B42EF3">
      <w:pPr>
        <w:pStyle w:val="Definition-Field"/>
      </w:pPr>
      <w:r>
        <w:t xml:space="preserve">a.   </w:t>
      </w:r>
      <w:r>
        <w:rPr>
          <w:i/>
        </w:rPr>
        <w:t>Th</w:t>
      </w:r>
      <w:r>
        <w:rPr>
          <w:i/>
        </w:rPr>
        <w:t>e standard states that any element from the VML namespace or the drawingML namespace is allowed as a child of the background element.</w:t>
      </w:r>
    </w:p>
    <w:p w:rsidR="005F78FC" w:rsidRDefault="00B42EF3">
      <w:pPr>
        <w:pStyle w:val="Definition-Field2"/>
      </w:pPr>
      <w:r>
        <w:t>Word renders any drawingML specified as a background at the beginning of the document and not as a background.</w:t>
      </w:r>
    </w:p>
    <w:p w:rsidR="005F78FC" w:rsidRDefault="00B42EF3">
      <w:pPr>
        <w:pStyle w:val="Definition-Field"/>
      </w:pPr>
      <w:r>
        <w:t xml:space="preserve">b.   </w:t>
      </w:r>
      <w:r>
        <w:rPr>
          <w:i/>
        </w:rPr>
        <w:t>The st</w:t>
      </w:r>
      <w:r>
        <w:rPr>
          <w:i/>
        </w:rPr>
        <w:t>andard does not state which setting is applied when both the themeShade and the themeTint attributes are present.</w:t>
      </w:r>
    </w:p>
    <w:p w:rsidR="005F78FC" w:rsidRDefault="00B42EF3">
      <w:pPr>
        <w:pStyle w:val="Definition-Field2"/>
      </w:pPr>
      <w:r>
        <w:t>Word applies the themeTint setting when both of these attributes are present.</w:t>
      </w:r>
    </w:p>
    <w:p w:rsidR="005F78FC" w:rsidRDefault="00B42EF3">
      <w:pPr>
        <w:pStyle w:val="Heading3"/>
      </w:pPr>
      <w:bookmarkStart w:id="92" w:name="section_8d43fabb714e4c4c9d9d854d046f1857"/>
      <w:bookmarkStart w:id="93" w:name="_Toc69877819"/>
      <w:r>
        <w:t>Part 1 Section 17.2.2, body (Document Body)</w:t>
      </w:r>
      <w:bookmarkEnd w:id="92"/>
      <w:bookmarkEnd w:id="93"/>
      <w:r>
        <w:fldChar w:fldCharType="begin"/>
      </w:r>
      <w:r>
        <w:instrText xml:space="preserve"> XE "body (Document B</w:instrText>
      </w:r>
      <w:r>
        <w:instrText xml:space="preserve">ody)"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w:t>
        </w:r>
        <w:r>
          <w:rPr>
            <w:rStyle w:val="Hyperlink"/>
          </w:rPr>
          <w:t>, §22.1.2.78(c)</w:t>
        </w:r>
      </w:hyperlink>
      <w:r>
        <w:rPr>
          <w:i/>
        </w:rPr>
        <w:t>.</w:t>
      </w:r>
    </w:p>
    <w:p w:rsidR="005F78FC" w:rsidRDefault="00B42EF3">
      <w:pPr>
        <w:pStyle w:val="Heading3"/>
      </w:pPr>
      <w:bookmarkStart w:id="94" w:name="section_1a464df4e60c4d648582d2d29478a887"/>
      <w:bookmarkStart w:id="95" w:name="_Toc69877820"/>
      <w:r>
        <w:t>Part 1 Section 17.2.3, document (Document)</w:t>
      </w:r>
      <w:bookmarkEnd w:id="94"/>
      <w:bookmarkEnd w:id="95"/>
      <w:r>
        <w:fldChar w:fldCharType="begin"/>
      </w:r>
      <w:r>
        <w:instrText xml:space="preserve"> XE "document (Document)" </w:instrText>
      </w:r>
      <w:r>
        <w:fldChar w:fldCharType="end"/>
      </w:r>
    </w:p>
    <w:p w:rsidR="005F78FC" w:rsidRDefault="00B42EF3">
      <w:pPr>
        <w:pStyle w:val="Definition-Field"/>
      </w:pPr>
      <w:r>
        <w:t xml:space="preserve">a.   </w:t>
      </w:r>
      <w:r>
        <w:rPr>
          <w:i/>
        </w:rPr>
        <w:t>The standard specifies that the conformance attribute is a valid attribute of the document element.</w:t>
      </w:r>
    </w:p>
    <w:p w:rsidR="005F78FC" w:rsidRDefault="00B42EF3">
      <w:pPr>
        <w:pStyle w:val="Definition-Field2"/>
      </w:pPr>
      <w:r>
        <w:t>Word 2007 ignores the conformance attribute.  Word 2010 ignores</w:t>
      </w:r>
      <w:r>
        <w:t xml:space="preserve"> the conformance attribute unless the user has installed the OOXML Strict Converter for Office 2010.</w:t>
      </w:r>
    </w:p>
    <w:p w:rsidR="005F78FC" w:rsidRDefault="00B42EF3">
      <w:pPr>
        <w:pStyle w:val="Heading3"/>
      </w:pPr>
      <w:bookmarkStart w:id="96" w:name="section_c2a35f2312704ca699140fa440d56fdf"/>
      <w:bookmarkStart w:id="97" w:name="_Toc69877821"/>
      <w:r>
        <w:t>Part 1 Section 17.3.1.4, bar (Paragraph Border Between Facing Pages)</w:t>
      </w:r>
      <w:bookmarkEnd w:id="96"/>
      <w:bookmarkEnd w:id="97"/>
      <w:r>
        <w:fldChar w:fldCharType="begin"/>
      </w:r>
      <w:r>
        <w:instrText xml:space="preserve"> XE "bar (Paragraph Border Between Facing Pages)" </w:instrText>
      </w:r>
      <w:r>
        <w:fldChar w:fldCharType="end"/>
      </w:r>
    </w:p>
    <w:p w:rsidR="005F78FC" w:rsidRDefault="00B42EF3">
      <w:pPr>
        <w:pStyle w:val="Definition-Field2"/>
      </w:pPr>
      <w:r>
        <w:rPr>
          <w:i/>
        </w:rPr>
        <w:t>For additional notes that apply to</w:t>
      </w:r>
      <w:r>
        <w:rPr>
          <w:i/>
        </w:rPr>
        <w:t xml:space="preserve"> this portion of the standard, please see the notes for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5F78FC" w:rsidRDefault="00B42EF3">
      <w:pPr>
        <w:pStyle w:val="Definition-Field"/>
      </w:pPr>
      <w:r>
        <w:t xml:space="preserve">a.   </w:t>
      </w:r>
      <w:r>
        <w:rPr>
          <w:i/>
        </w:rPr>
        <w:t xml:space="preserve">The standard does not state </w:t>
      </w:r>
      <w:r>
        <w:rPr>
          <w:i/>
        </w:rPr>
        <w:t>a default value for the color attribute.</w:t>
      </w:r>
    </w:p>
    <w:p w:rsidR="005F78FC" w:rsidRDefault="00B42EF3">
      <w:pPr>
        <w:pStyle w:val="Definition-Field2"/>
      </w:pPr>
      <w:r>
        <w:t>Word uses a default value of auto for this attribute.</w:t>
      </w:r>
    </w:p>
    <w:p w:rsidR="005F78FC" w:rsidRDefault="00B42EF3">
      <w:pPr>
        <w:pStyle w:val="Definition-Field"/>
      </w:pPr>
      <w:r>
        <w:lastRenderedPageBreak/>
        <w:t xml:space="preserve">b.   </w:t>
      </w:r>
      <w:r>
        <w:rPr>
          <w:i/>
        </w:rPr>
        <w:t>The standard does not specify a default value for the sz attribute.</w:t>
      </w:r>
    </w:p>
    <w:p w:rsidR="005F78FC" w:rsidRDefault="00B42EF3">
      <w:pPr>
        <w:pStyle w:val="Definition-Field2"/>
      </w:pPr>
      <w:r>
        <w:t>Word uses a default value of 0 for this attribute.</w:t>
      </w:r>
    </w:p>
    <w:p w:rsidR="005F78FC" w:rsidRDefault="00B42EF3">
      <w:pPr>
        <w:pStyle w:val="Definition-Field"/>
      </w:pPr>
      <w:r>
        <w:t xml:space="preserve">c.   </w:t>
      </w:r>
      <w:r>
        <w:rPr>
          <w:i/>
        </w:rPr>
        <w:t xml:space="preserve">The standard does not specify a </w:t>
      </w:r>
      <w:r>
        <w:rPr>
          <w:i/>
        </w:rPr>
        <w:t>default value for the space attribute.</w:t>
      </w:r>
    </w:p>
    <w:p w:rsidR="005F78FC" w:rsidRDefault="00B42EF3">
      <w:pPr>
        <w:pStyle w:val="Definition-Field2"/>
      </w:pPr>
      <w:r>
        <w:t>Word uses a default value of 0 for this attribute.</w:t>
      </w:r>
    </w:p>
    <w:p w:rsidR="005F78FC" w:rsidRDefault="00B42EF3">
      <w:pPr>
        <w:pStyle w:val="Heading3"/>
      </w:pPr>
      <w:bookmarkStart w:id="98" w:name="section_d8f1b25b44f64d97a3de49aae9bc6e25"/>
      <w:bookmarkStart w:id="99" w:name="_Toc69877822"/>
      <w:r>
        <w:t>Part 1 Section 17.3.1.5, between (Paragraph Border Between Identical Paragraphs)</w:t>
      </w:r>
      <w:bookmarkEnd w:id="98"/>
      <w:bookmarkEnd w:id="99"/>
      <w:r>
        <w:fldChar w:fldCharType="begin"/>
      </w:r>
      <w:r>
        <w:instrText xml:space="preserve"> XE "between (Paragraph Border Between Identical Paragraphs)"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5F78FC" w:rsidRDefault="00B42EF3">
      <w:pPr>
        <w:pStyle w:val="Heading3"/>
      </w:pPr>
      <w:bookmarkStart w:id="100" w:name="section_51e18657b7924721833351f4e3aba8bf"/>
      <w:bookmarkStart w:id="101" w:name="_Toc69877823"/>
      <w:r>
        <w:t>Part 1 Section 17.3.1.7, bottom (Paragraph Border Below Identical Paragraphs)</w:t>
      </w:r>
      <w:bookmarkEnd w:id="100"/>
      <w:bookmarkEnd w:id="101"/>
      <w:r>
        <w:fldChar w:fldCharType="begin"/>
      </w:r>
      <w:r>
        <w:instrText xml:space="preserve"> XE "bottom (Paragraph Border Below Identical Paragraphs)" </w:instrText>
      </w:r>
      <w:r>
        <w:fldChar w:fldCharType="end"/>
      </w:r>
    </w:p>
    <w:p w:rsidR="005F78FC" w:rsidRDefault="00B42EF3">
      <w:pPr>
        <w:pStyle w:val="Definition-Field2"/>
      </w:pPr>
      <w:r>
        <w:rPr>
          <w:i/>
        </w:rPr>
        <w:t xml:space="preserve">For additional notes that apply </w:t>
      </w:r>
      <w:r>
        <w:rPr>
          <w:i/>
        </w:rPr>
        <w:t xml:space="preserve">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5F78FC" w:rsidRDefault="00B42EF3">
      <w:pPr>
        <w:pStyle w:val="Heading3"/>
      </w:pPr>
      <w:bookmarkStart w:id="102" w:name="section_2a155d8805864ebead3f635ec13a691b"/>
      <w:bookmarkStart w:id="103" w:name="_Toc69877824"/>
      <w:r>
        <w:t>Part 1 Section 17.3.1.8, cnfStyle (Paragraph Conditional Formatting)</w:t>
      </w:r>
      <w:bookmarkEnd w:id="102"/>
      <w:bookmarkEnd w:id="103"/>
      <w:r>
        <w:fldChar w:fldCharType="begin"/>
      </w:r>
      <w:r>
        <w:instrText xml:space="preserve"> XE "cnfStyle (Paragraph Conditional Formatting)" </w:instrText>
      </w:r>
      <w:r>
        <w:fldChar w:fldCharType="end"/>
      </w:r>
    </w:p>
    <w:p w:rsidR="005F78FC" w:rsidRDefault="00B42EF3">
      <w:pPr>
        <w:pStyle w:val="Definition-Field2"/>
      </w:pPr>
      <w:r>
        <w:rPr>
          <w:i/>
        </w:rPr>
        <w:t>For additional notes that apply to this portion of the standard, please see the no</w:t>
      </w:r>
      <w:r>
        <w:rPr>
          <w:i/>
        </w:rPr>
        <w:t xml:space="preserve">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5F78FC" w:rsidRDefault="00B42EF3">
      <w:pPr>
        <w:pStyle w:val="Definition-Field"/>
      </w:pPr>
      <w:r>
        <w:t xml:space="preserve">a.   </w:t>
      </w:r>
      <w:r>
        <w:rPr>
          <w:i/>
        </w:rPr>
        <w:t>The standard specifies a set of attributes on this element.</w:t>
      </w:r>
    </w:p>
    <w:p w:rsidR="005F78FC" w:rsidRDefault="00B42EF3">
      <w:pPr>
        <w:pStyle w:val="Definition-Field2"/>
      </w:pPr>
      <w:r>
        <w:t>Word reads the val attribute as specified in "</w:t>
      </w:r>
      <w:hyperlink r:id="rId67">
        <w:r>
          <w:rPr>
            <w:rStyle w:val="Hyperlink"/>
          </w:rPr>
          <w:t>[ISO/IEC-29500-4]</w:t>
        </w:r>
      </w:hyperlink>
      <w:r>
        <w:t xml:space="preserve"> §14.2.1.1; Additional attribute for cnfStyle element (Part 1, §17.3.1.8)" if none of the attributes specified in this subsection are present.</w:t>
      </w:r>
    </w:p>
    <w:p w:rsidR="005F78FC" w:rsidRDefault="00B42EF3">
      <w:pPr>
        <w:pStyle w:val="Heading3"/>
      </w:pPr>
      <w:bookmarkStart w:id="104" w:name="section_5ff84bc9d5b747c7bcd53bebf540efb0"/>
      <w:bookmarkStart w:id="105" w:name="_Toc69877825"/>
      <w:r>
        <w:t>Part 1 Section 17.3.1.10, divId (Associated HTML div ID)</w:t>
      </w:r>
      <w:bookmarkEnd w:id="104"/>
      <w:bookmarkEnd w:id="105"/>
      <w:r>
        <w:fldChar w:fldCharType="begin"/>
      </w:r>
      <w:r>
        <w:instrText xml:space="preserve"> XE "divId (Associated HTML div ID)"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818e7ab5d66642ad8111cd3898c6d53b">
        <w:r>
          <w:rPr>
            <w:rStyle w:val="Hyperlink"/>
          </w:rPr>
          <w:t>divId, §17.4.9(a)</w:t>
        </w:r>
      </w:hyperlink>
      <w:r>
        <w:rPr>
          <w:i/>
        </w:rPr>
        <w:t xml:space="preserve">;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5F78FC" w:rsidRDefault="00B42EF3">
      <w:pPr>
        <w:pStyle w:val="Definition-Field"/>
      </w:pPr>
      <w:r>
        <w:t xml:space="preserve">a.   </w:t>
      </w:r>
      <w:r>
        <w:rPr>
          <w:i/>
        </w:rPr>
        <w:t>The stan</w:t>
      </w:r>
      <w:r>
        <w:rPr>
          <w:i/>
        </w:rPr>
        <w:t>dard states that the values of the val attribute are defined by the XML Schema integer datatype.</w:t>
      </w:r>
    </w:p>
    <w:p w:rsidR="005F78FC" w:rsidRDefault="00B42EF3">
      <w:pPr>
        <w:pStyle w:val="Definition-Field2"/>
      </w:pPr>
      <w:r>
        <w:t>Word does not allow a value of 0 on this attribute.</w:t>
      </w:r>
    </w:p>
    <w:p w:rsidR="005F78FC" w:rsidRDefault="00B42EF3">
      <w:pPr>
        <w:pStyle w:val="Heading3"/>
      </w:pPr>
      <w:bookmarkStart w:id="106" w:name="section_cc9a5828bc534a188b66416b4509f4b9"/>
      <w:bookmarkStart w:id="107" w:name="_Toc69877826"/>
      <w:r>
        <w:t>Part 1 Section 17.3.1.11, framePr (Text Frame Properties)</w:t>
      </w:r>
      <w:bookmarkEnd w:id="106"/>
      <w:bookmarkEnd w:id="107"/>
      <w:r>
        <w:fldChar w:fldCharType="begin"/>
      </w:r>
      <w:r>
        <w:instrText xml:space="preserve"> XE "framePr (Text Frame Properties)" </w:instrText>
      </w:r>
      <w:r>
        <w:fldChar w:fldCharType="end"/>
      </w:r>
    </w:p>
    <w:p w:rsidR="005F78FC" w:rsidRDefault="00B42EF3">
      <w:pPr>
        <w:pStyle w:val="Definition-Field"/>
      </w:pPr>
      <w:r>
        <w:t xml:space="preserve">a.   </w:t>
      </w:r>
      <w:r>
        <w:rPr>
          <w:i/>
        </w:rPr>
        <w:t xml:space="preserve">The </w:t>
      </w:r>
      <w:r>
        <w:rPr>
          <w:i/>
        </w:rPr>
        <w:t>standard states that the lines attribute can be any 32-bit integer.</w:t>
      </w:r>
    </w:p>
    <w:p w:rsidR="005F78FC" w:rsidRDefault="00B42EF3">
      <w:pPr>
        <w:pStyle w:val="Definition-Field2"/>
      </w:pPr>
      <w:r>
        <w:t>Word restricts this attributes to values between 1 and 10.</w:t>
      </w:r>
    </w:p>
    <w:p w:rsidR="005F78FC" w:rsidRDefault="00B42EF3">
      <w:pPr>
        <w:pStyle w:val="Definition-Field"/>
      </w:pPr>
      <w:r>
        <w:t xml:space="preserve">b.   </w:t>
      </w:r>
      <w:r>
        <w:rPr>
          <w:i/>
        </w:rPr>
        <w:t>The standard states that the values of the h attribute are defined by the ST_TwipsMeasure simple type.</w:t>
      </w:r>
    </w:p>
    <w:p w:rsidR="005F78FC" w:rsidRDefault="00B42EF3">
      <w:pPr>
        <w:pStyle w:val="Definition-Field2"/>
      </w:pPr>
      <w:r>
        <w:t>Word restricts the va</w:t>
      </w:r>
      <w:r>
        <w:t>lue of this attribute to be at least 1 and at most 31680.</w:t>
      </w:r>
    </w:p>
    <w:p w:rsidR="005F78FC" w:rsidRDefault="00B42EF3">
      <w:pPr>
        <w:pStyle w:val="Definition-Field"/>
      </w:pPr>
      <w:r>
        <w:t xml:space="preserve">c.   </w:t>
      </w:r>
      <w:r>
        <w:rPr>
          <w:i/>
        </w:rPr>
        <w:t>The standard states that the hAnchor attribute is evaluated relative to paragraph direction (LTR versus RTL).</w:t>
      </w:r>
    </w:p>
    <w:p w:rsidR="005F78FC" w:rsidRDefault="00B42EF3">
      <w:pPr>
        <w:pStyle w:val="Definition-Field2"/>
      </w:pPr>
      <w:r>
        <w:t>Word always evaluates the hAnchor attribute relative to the left edge.</w:t>
      </w:r>
    </w:p>
    <w:p w:rsidR="005F78FC" w:rsidRDefault="00B42EF3">
      <w:pPr>
        <w:pStyle w:val="Definition-Field"/>
      </w:pPr>
      <w:r>
        <w:t xml:space="preserve">d.   </w:t>
      </w:r>
      <w:r>
        <w:rPr>
          <w:i/>
        </w:rPr>
        <w:t>The sta</w:t>
      </w:r>
      <w:r>
        <w:rPr>
          <w:i/>
        </w:rPr>
        <w:t>ndard states that 0 is a valid value of the h attribute.</w:t>
      </w:r>
    </w:p>
    <w:p w:rsidR="005F78FC" w:rsidRDefault="00B42EF3">
      <w:pPr>
        <w:pStyle w:val="Definition-Field2"/>
      </w:pPr>
      <w:r>
        <w:lastRenderedPageBreak/>
        <w:t>Word treats a value of 0 on this attribute as a value of auto.</w:t>
      </w:r>
    </w:p>
    <w:p w:rsidR="005F78FC" w:rsidRDefault="00B42EF3">
      <w:pPr>
        <w:pStyle w:val="Definition-Field"/>
      </w:pPr>
      <w:r>
        <w:t xml:space="preserve">e.   </w:t>
      </w:r>
      <w:r>
        <w:rPr>
          <w:i/>
        </w:rPr>
        <w:t>The standard states that the default value of the hAnchor attribute is page.</w:t>
      </w:r>
    </w:p>
    <w:p w:rsidR="005F78FC" w:rsidRDefault="00B42EF3">
      <w:pPr>
        <w:pStyle w:val="Definition-Field2"/>
      </w:pPr>
      <w:r>
        <w:t>Word uses a default value of text for the hAnchor attr</w:t>
      </w:r>
      <w:r>
        <w:t>ibute.</w:t>
      </w:r>
    </w:p>
    <w:p w:rsidR="005F78FC" w:rsidRDefault="00B42EF3">
      <w:pPr>
        <w:pStyle w:val="Definition-Field"/>
      </w:pPr>
      <w:r>
        <w:t xml:space="preserve">f.   </w:t>
      </w:r>
      <w:r>
        <w:rPr>
          <w:i/>
        </w:rPr>
        <w:t>The standard states that the default value of the hRule attribute is auto.</w:t>
      </w:r>
    </w:p>
    <w:p w:rsidR="005F78FC" w:rsidRDefault="00B42EF3">
      <w:pPr>
        <w:pStyle w:val="Definition-Field2"/>
      </w:pPr>
      <w:r>
        <w:t>Word uses a default value of atLeast for this attribute when the value of the h attribute is not 0.</w:t>
      </w:r>
    </w:p>
    <w:p w:rsidR="005F78FC" w:rsidRDefault="00B42EF3">
      <w:pPr>
        <w:pStyle w:val="Definition-Field"/>
      </w:pPr>
      <w:r>
        <w:t xml:space="preserve">g.   </w:t>
      </w:r>
      <w:r>
        <w:rPr>
          <w:i/>
        </w:rPr>
        <w:t>The standard states that the default value for the vAnchor attri</w:t>
      </w:r>
      <w:r>
        <w:rPr>
          <w:i/>
        </w:rPr>
        <w:t>bute is page.</w:t>
      </w:r>
    </w:p>
    <w:p w:rsidR="005F78FC" w:rsidRDefault="00B42EF3">
      <w:pPr>
        <w:pStyle w:val="Definition-Field2"/>
      </w:pPr>
      <w:r>
        <w:t>Word uses a default value of text for this attribute.</w:t>
      </w:r>
    </w:p>
    <w:p w:rsidR="005F78FC" w:rsidRDefault="00B42EF3">
      <w:pPr>
        <w:pStyle w:val="Heading3"/>
      </w:pPr>
      <w:bookmarkStart w:id="108" w:name="section_138732dc507a4164af66808c2fd9f2f9"/>
      <w:bookmarkStart w:id="109" w:name="_Toc69877827"/>
      <w:r>
        <w:t>Part 1 Section 17.3.1.12, ind (Paragraph Indentation)</w:t>
      </w:r>
      <w:bookmarkEnd w:id="108"/>
      <w:bookmarkEnd w:id="109"/>
      <w:r>
        <w:fldChar w:fldCharType="begin"/>
      </w:r>
      <w:r>
        <w:instrText xml:space="preserve"> XE "ind (Paragraph Indentation)" </w:instrText>
      </w:r>
      <w:r>
        <w:fldChar w:fldCharType="end"/>
      </w:r>
    </w:p>
    <w:p w:rsidR="005F78FC" w:rsidRDefault="00B42EF3">
      <w:pPr>
        <w:pStyle w:val="Definition-Field"/>
      </w:pPr>
      <w:r>
        <w:t xml:space="preserve">a.   </w:t>
      </w:r>
      <w:r>
        <w:rPr>
          <w:i/>
        </w:rPr>
        <w:t>The standard states that character unit indent attributes (endChars, firstLineChars, hangingC</w:t>
      </w:r>
      <w:r>
        <w:rPr>
          <w:i/>
        </w:rPr>
        <w:t>hars and startChars) specify indents in character units, which will be applied to the paragraph in the order specified by the Style Hierarchy.</w:t>
      </w:r>
    </w:p>
    <w:p w:rsidR="005F78FC" w:rsidRDefault="00B42EF3">
      <w:pPr>
        <w:pStyle w:val="Definition-Field2"/>
      </w:pPr>
      <w:r>
        <w:t>During Style Hierarchy application, Word ignores character unit indents with a value of zero along with related c</w:t>
      </w:r>
      <w:r>
        <w:t>haracter unit indents that are applied earlier in the Style Hierarchy order.</w:t>
      </w:r>
    </w:p>
    <w:p w:rsidR="005F78FC" w:rsidRDefault="00B42EF3">
      <w:pPr>
        <w:pStyle w:val="Definition-Field"/>
      </w:pPr>
      <w:r>
        <w:t xml:space="preserve">b.   </w:t>
      </w:r>
      <w:r>
        <w:rPr>
          <w:i/>
        </w:rPr>
        <w:t>The standard states that character unit indent attributes, endChars, firstLineChars, hangingChars and startChars, specify indents in character units, which will be applied to</w:t>
      </w:r>
      <w:r>
        <w:rPr>
          <w:i/>
        </w:rPr>
        <w:t xml:space="preserve"> the paragraph in the order specified by the Style Hierarchy.</w:t>
      </w:r>
    </w:p>
    <w:p w:rsidR="005F78FC" w:rsidRDefault="00B42EF3">
      <w:pPr>
        <w:pStyle w:val="Definition-Field2"/>
      </w:pPr>
      <w:r>
        <w:t>During Style Hierarchy application, Word overrides non-character unit indents with related non-zero character unit indents that are applied earlier in the Style Hierarchy order.</w:t>
      </w:r>
    </w:p>
    <w:p w:rsidR="005F78FC" w:rsidRDefault="00B42EF3">
      <w:pPr>
        <w:pStyle w:val="Heading3"/>
      </w:pPr>
      <w:bookmarkStart w:id="110" w:name="section_7e29304230364d9baaaa1cc714554db0"/>
      <w:bookmarkStart w:id="111" w:name="_Toc69877828"/>
      <w:r>
        <w:t>Part 1 Section 1</w:t>
      </w:r>
      <w:r>
        <w:t>7.3.1.13, jc (Paragraph Alignment)</w:t>
      </w:r>
      <w:bookmarkEnd w:id="110"/>
      <w:bookmarkEnd w:id="111"/>
      <w:r>
        <w:fldChar w:fldCharType="begin"/>
      </w:r>
      <w:r>
        <w:instrText xml:space="preserve"> XE "jc (Paragraph Alignment)" </w:instrText>
      </w:r>
      <w:r>
        <w:fldChar w:fldCharType="end"/>
      </w:r>
    </w:p>
    <w:p w:rsidR="005F78FC" w:rsidRDefault="00B42EF3">
      <w:pPr>
        <w:pStyle w:val="Definition-Field"/>
      </w:pPr>
      <w:r>
        <w:t xml:space="preserve">a.   </w:t>
      </w:r>
      <w:r>
        <w:rPr>
          <w:i/>
        </w:rPr>
        <w:t>The standard states that no alignment is applied to the paragraph when the paragraph alignment setting is never specified in the style hierarchy.</w:t>
      </w:r>
    </w:p>
    <w:p w:rsidR="005F78FC" w:rsidRDefault="00B42EF3">
      <w:pPr>
        <w:pStyle w:val="Definition-Field2"/>
      </w:pPr>
      <w:r>
        <w:t xml:space="preserve">Word applies a left alignment to the </w:t>
      </w:r>
      <w:r>
        <w:t>paragraph under this circumstance.</w:t>
      </w:r>
    </w:p>
    <w:p w:rsidR="005F78FC" w:rsidRDefault="00B42EF3">
      <w:pPr>
        <w:pStyle w:val="Heading3"/>
      </w:pPr>
      <w:bookmarkStart w:id="112" w:name="section_6229412bf0c64019aabd260ee2f4145f"/>
      <w:bookmarkStart w:id="113" w:name="_Toc69877829"/>
      <w:r>
        <w:t>Part 1 Section 17.3.1.14, keepLines (Keep All Lines On One Page)</w:t>
      </w:r>
      <w:bookmarkEnd w:id="112"/>
      <w:bookmarkEnd w:id="113"/>
      <w:r>
        <w:fldChar w:fldCharType="begin"/>
      </w:r>
      <w:r>
        <w:instrText xml:space="preserve"> XE "keepLines (Keep All Lines On One Page)" </w:instrText>
      </w:r>
      <w:r>
        <w:fldChar w:fldCharType="end"/>
      </w:r>
    </w:p>
    <w:p w:rsidR="005F78FC" w:rsidRDefault="00B42EF3">
      <w:pPr>
        <w:pStyle w:val="Definition-Field"/>
      </w:pPr>
      <w:r>
        <w:t xml:space="preserve">a.   </w:t>
      </w:r>
      <w:r>
        <w:rPr>
          <w:i/>
        </w:rPr>
        <w:t>The standard states that the property can be applied to paragraphs anywhere in a document.</w:t>
      </w:r>
    </w:p>
    <w:p w:rsidR="005F78FC" w:rsidRDefault="00B42EF3">
      <w:pPr>
        <w:pStyle w:val="Definition-Field2"/>
      </w:pPr>
      <w:r>
        <w:t>Word does not</w:t>
      </w:r>
      <w:r>
        <w:t xml:space="preserve"> keep lines together when rendering paragraphs inside a table.</w:t>
      </w:r>
    </w:p>
    <w:p w:rsidR="005F78FC" w:rsidRDefault="00B42EF3">
      <w:pPr>
        <w:pStyle w:val="Heading3"/>
      </w:pPr>
      <w:bookmarkStart w:id="114" w:name="section_84486937c3e44d37867268892080944d"/>
      <w:bookmarkStart w:id="115" w:name="_Toc69877830"/>
      <w:r>
        <w:t>Part 1 Section 17.3.1.16, kinsoku (Use East Asian Typography Rules for First and Last Character per Line)</w:t>
      </w:r>
      <w:bookmarkEnd w:id="114"/>
      <w:bookmarkEnd w:id="115"/>
      <w:r>
        <w:fldChar w:fldCharType="begin"/>
      </w:r>
      <w:r>
        <w:instrText xml:space="preserve"> XE "kinsoku (Use East Asian Typography Rules for First and Last Character per Line)" </w:instrText>
      </w:r>
      <w:r>
        <w:fldChar w:fldCharType="end"/>
      </w:r>
    </w:p>
    <w:p w:rsidR="005F78FC" w:rsidRDefault="00B42EF3">
      <w:pPr>
        <w:pStyle w:val="Definition-Field"/>
      </w:pPr>
      <w:r>
        <w:t xml:space="preserve">a.   </w:t>
      </w:r>
      <w:r>
        <w:rPr>
          <w:i/>
        </w:rPr>
        <w:t>The standard states that the East Asian typography and line-breaking rules only apply to Simplified Chinese, Traditional Chinese, and Japanese text in the paragraph.</w:t>
      </w:r>
    </w:p>
    <w:p w:rsidR="005F78FC" w:rsidRDefault="00B42EF3">
      <w:pPr>
        <w:pStyle w:val="Definition-Field2"/>
      </w:pPr>
      <w:r>
        <w:t>Word only applies these rules to Simplified Chinese, Traditional Chinese, Korean, an</w:t>
      </w:r>
      <w:r>
        <w:t>d Japanese text in the paragraph.</w:t>
      </w:r>
    </w:p>
    <w:p w:rsidR="005F78FC" w:rsidRDefault="00B42EF3">
      <w:pPr>
        <w:pStyle w:val="Definition-Field"/>
      </w:pPr>
      <w:r>
        <w:t xml:space="preserve">b.   </w:t>
      </w:r>
      <w:r>
        <w:rPr>
          <w:i/>
        </w:rPr>
        <w:t>The standard does not state how to resolve a conflict between this setting and the overflowPunct element when their rules conflict.</w:t>
      </w:r>
    </w:p>
    <w:p w:rsidR="005F78FC" w:rsidRDefault="00B42EF3">
      <w:pPr>
        <w:pStyle w:val="Definition-Field2"/>
      </w:pPr>
      <w:r>
        <w:t>Word allows the rules specified by the overflowPunct element to override this element</w:t>
      </w:r>
      <w:r>
        <w:t xml:space="preserve"> when they are both true and affect the same character.</w:t>
      </w:r>
    </w:p>
    <w:p w:rsidR="005F78FC" w:rsidRDefault="00B42EF3">
      <w:pPr>
        <w:pStyle w:val="Heading3"/>
      </w:pPr>
      <w:bookmarkStart w:id="116" w:name="section_357112b6a39c472a92df956d518d4aa8"/>
      <w:bookmarkStart w:id="117" w:name="_Toc69877831"/>
      <w:r>
        <w:lastRenderedPageBreak/>
        <w:t>Part 1 Section 17.3.1.17, left (Left Paragraph Border)</w:t>
      </w:r>
      <w:bookmarkEnd w:id="116"/>
      <w:bookmarkEnd w:id="117"/>
      <w:r>
        <w:fldChar w:fldCharType="begin"/>
      </w:r>
      <w:r>
        <w:instrText xml:space="preserve"> XE "left (Left Paragraph Border)"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5F78FC" w:rsidRDefault="00B42EF3">
      <w:pPr>
        <w:pStyle w:val="Heading3"/>
      </w:pPr>
      <w:bookmarkStart w:id="118" w:name="section_7d70ca688cbe48b7b3c34e19a9a7ee5a"/>
      <w:bookmarkStart w:id="119" w:name="_Toc69877832"/>
      <w:r>
        <w:t>Part 1 Section 17.3.1.1</w:t>
      </w:r>
      <w:r>
        <w:t>8, mirrorIndents (Use Left/Right Indents as Inside/Outside Indents)</w:t>
      </w:r>
      <w:bookmarkEnd w:id="118"/>
      <w:bookmarkEnd w:id="119"/>
      <w:r>
        <w:fldChar w:fldCharType="begin"/>
      </w:r>
      <w:r>
        <w:instrText xml:space="preserve"> XE "mirrorIndents (Use Left/Right Indents as Inside/Outside Indents)" </w:instrText>
      </w:r>
      <w:r>
        <w:fldChar w:fldCharType="end"/>
      </w:r>
    </w:p>
    <w:p w:rsidR="005F78FC" w:rsidRDefault="00B42EF3">
      <w:pPr>
        <w:pStyle w:val="Definition-Field"/>
      </w:pPr>
      <w:r>
        <w:t xml:space="preserve">a.   </w:t>
      </w:r>
      <w:r>
        <w:rPr>
          <w:i/>
        </w:rPr>
        <w:t>The standard does not describe the interaction between a hanging indent and this element.</w:t>
      </w:r>
    </w:p>
    <w:p w:rsidR="005F78FC" w:rsidRDefault="00B42EF3">
      <w:pPr>
        <w:pStyle w:val="Definition-Field2"/>
      </w:pPr>
      <w:r>
        <w:t>Word incorrectly ali</w:t>
      </w:r>
      <w:r>
        <w:t>gns the hanging indent to the left margin for odd-numbered pages when a hanging indent is used with this element.</w:t>
      </w:r>
    </w:p>
    <w:p w:rsidR="005F78FC" w:rsidRDefault="00B42EF3">
      <w:pPr>
        <w:pStyle w:val="Definition-Field"/>
      </w:pPr>
      <w:r>
        <w:t xml:space="preserve">b.   </w:t>
      </w:r>
      <w:r>
        <w:rPr>
          <w:i/>
        </w:rPr>
        <w:t>The standard states that this setting can be applied to any set of paragraph properties.</w:t>
      </w:r>
    </w:p>
    <w:p w:rsidR="005F78FC" w:rsidRDefault="00B42EF3">
      <w:pPr>
        <w:pStyle w:val="Definition-Field2"/>
      </w:pPr>
      <w:r>
        <w:t>Word ignores this setting when displaying paragr</w:t>
      </w:r>
      <w:r>
        <w:t>aphs inside a table.</w:t>
      </w:r>
    </w:p>
    <w:p w:rsidR="005F78FC" w:rsidRDefault="00B42EF3">
      <w:pPr>
        <w:pStyle w:val="Heading3"/>
      </w:pPr>
      <w:bookmarkStart w:id="120" w:name="section_6a8f14ffdf9041549bc9e0e88ae5e641"/>
      <w:bookmarkStart w:id="121" w:name="_Toc69877833"/>
      <w:r>
        <w:t>Part 1 Section 17.3.1.19, numPr (Numbering Definition Instance Reference)</w:t>
      </w:r>
      <w:bookmarkEnd w:id="120"/>
      <w:bookmarkEnd w:id="121"/>
      <w:r>
        <w:fldChar w:fldCharType="begin"/>
      </w:r>
      <w:r>
        <w:instrText xml:space="preserve"> XE "numPr (Numbering Definition Instance Reference)" </w:instrText>
      </w:r>
      <w:r>
        <w:fldChar w:fldCharType="end"/>
      </w:r>
    </w:p>
    <w:p w:rsidR="005F78FC" w:rsidRDefault="00B42EF3">
      <w:pPr>
        <w:pStyle w:val="Definition-Field"/>
      </w:pPr>
      <w:r>
        <w:t xml:space="preserve">a.   </w:t>
      </w:r>
      <w:r>
        <w:rPr>
          <w:i/>
        </w:rPr>
        <w:t>The standard states that when this element appears as part of the paragraph formatting for a paragra</w:t>
      </w:r>
      <w:r>
        <w:rPr>
          <w:i/>
        </w:rPr>
        <w:t>ph style, then any numbering level defined using the ilvl element shall be ignored.</w:t>
      </w:r>
    </w:p>
    <w:p w:rsidR="005F78FC" w:rsidRDefault="00B42EF3">
      <w:pPr>
        <w:pStyle w:val="Definition-Field2"/>
      </w:pPr>
      <w:r>
        <w:t>Word does not ignore this element within a paragraph style definition, and will exhibit unpredictable behavior when it is present.</w:t>
      </w:r>
    </w:p>
    <w:p w:rsidR="005F78FC" w:rsidRDefault="00B42EF3">
      <w:pPr>
        <w:pStyle w:val="Heading3"/>
      </w:pPr>
      <w:bookmarkStart w:id="122" w:name="section_d102191b957b471ab0627af071ec8e52"/>
      <w:bookmarkStart w:id="123" w:name="_Toc69877834"/>
      <w:r>
        <w:t>Part 1 Section 17.3.1.20, outlineLvl (Ass</w:t>
      </w:r>
      <w:r>
        <w:t>ociated Outline Level)</w:t>
      </w:r>
      <w:bookmarkEnd w:id="122"/>
      <w:bookmarkEnd w:id="123"/>
      <w:r>
        <w:fldChar w:fldCharType="begin"/>
      </w:r>
      <w:r>
        <w:instrText xml:space="preserve"> XE "outlineLvl (Associated Outline Level)" </w:instrText>
      </w:r>
      <w:r>
        <w:fldChar w:fldCharType="end"/>
      </w:r>
    </w:p>
    <w:p w:rsidR="005F78FC" w:rsidRDefault="00B42EF3">
      <w:pPr>
        <w:pStyle w:val="Definition-Field"/>
      </w:pPr>
      <w:r>
        <w:t xml:space="preserve">a.   </w:t>
      </w:r>
      <w:r>
        <w:rPr>
          <w:i/>
        </w:rPr>
        <w:t>The standard does not explicitly specify conditions under which this element can be ignored.</w:t>
      </w:r>
    </w:p>
    <w:p w:rsidR="005F78FC" w:rsidRDefault="00B42EF3">
      <w:pPr>
        <w:pStyle w:val="Definition-Field2"/>
      </w:pPr>
      <w:r>
        <w:t xml:space="preserve">Word ignores this element when the associated paragraph style has a style ID of Heading1 </w:t>
      </w:r>
      <w:r>
        <w:t>through Heading9, instead setting it to a corresponding value between 1 and 9.</w:t>
      </w:r>
    </w:p>
    <w:p w:rsidR="005F78FC" w:rsidRDefault="00B42EF3">
      <w:pPr>
        <w:pStyle w:val="Heading3"/>
      </w:pPr>
      <w:bookmarkStart w:id="124" w:name="section_879a1ee25d6c41818fd57b4b1b55949f"/>
      <w:bookmarkStart w:id="125" w:name="_Toc69877835"/>
      <w:r>
        <w:t>Part 1 Section 17.3.1.21, overflowPunct (Allow Punctuation to Extend Past Text Extents)</w:t>
      </w:r>
      <w:bookmarkEnd w:id="124"/>
      <w:bookmarkEnd w:id="125"/>
      <w:r>
        <w:fldChar w:fldCharType="begin"/>
      </w:r>
      <w:r>
        <w:instrText xml:space="preserve"> XE "overflowPunct (Allow Punctuation to Extend Past Text Extents)" </w:instrText>
      </w:r>
      <w:r>
        <w:fldChar w:fldCharType="end"/>
      </w:r>
    </w:p>
    <w:p w:rsidR="005F78FC" w:rsidRDefault="00B42EF3">
      <w:pPr>
        <w:pStyle w:val="Definition-Field"/>
      </w:pPr>
      <w:r>
        <w:t xml:space="preserve">a.   </w:t>
      </w:r>
      <w:r>
        <w:rPr>
          <w:i/>
        </w:rPr>
        <w:t>The standard s</w:t>
      </w:r>
      <w:r>
        <w:rPr>
          <w:i/>
        </w:rPr>
        <w:t>tates that this setting applies to punctuation characters, but does not specify which characters are punctuation characters.</w:t>
      </w:r>
    </w:p>
    <w:p w:rsidR="005F78FC" w:rsidRDefault="00B42EF3">
      <w:r>
        <w:t>Word only applies this setting to the following characters:</w:t>
      </w:r>
    </w:p>
    <w:p w:rsidR="005F78FC" w:rsidRDefault="00B42EF3">
      <w:r>
        <w:t>If the parent run is Chinese (Simplified):</w:t>
      </w:r>
    </w:p>
    <w:p w:rsidR="005F78FC" w:rsidRDefault="00B42EF3">
      <w:pPr>
        <w:pStyle w:val="ListParagraph"/>
        <w:numPr>
          <w:ilvl w:val="0"/>
          <w:numId w:val="47"/>
        </w:numPr>
      </w:pPr>
      <w:r>
        <w:t>!%),.:;&gt;</w:t>
      </w:r>
      <w:r>
        <w:t>?]}¢°·ˇ’”‰′″℃∶、。〃〉》」』】〕〗〞﹚﹜﹞！＂％＇），．：；？］｝￠</w:t>
      </w:r>
    </w:p>
    <w:p w:rsidR="005F78FC" w:rsidRDefault="00B42EF3">
      <w:r>
        <w:t>If the parent run is Chinese (Traditional):</w:t>
      </w:r>
    </w:p>
    <w:p w:rsidR="005F78FC" w:rsidRDefault="00B42EF3">
      <w:pPr>
        <w:pStyle w:val="ListParagraph"/>
        <w:numPr>
          <w:ilvl w:val="0"/>
          <w:numId w:val="48"/>
        </w:numPr>
      </w:pPr>
      <w:r>
        <w:t>!),.:;?]}’”′、。〉》」』】〕〞﹚﹜﹞！），．：；？］｝</w:t>
      </w:r>
    </w:p>
    <w:p w:rsidR="005F78FC" w:rsidRDefault="00B42EF3">
      <w:r>
        <w:t>If the parent run is Japanese:</w:t>
      </w:r>
    </w:p>
    <w:p w:rsidR="005F78FC" w:rsidRDefault="00B42EF3">
      <w:pPr>
        <w:pStyle w:val="ListParagraph"/>
        <w:numPr>
          <w:ilvl w:val="0"/>
          <w:numId w:val="49"/>
        </w:numPr>
      </w:pPr>
      <w:r>
        <w:t>,.’”、。」』】），．］｝｡､</w:t>
      </w:r>
    </w:p>
    <w:p w:rsidR="005F78FC" w:rsidRDefault="00B42EF3">
      <w:r>
        <w:t>If the parent run is Korean:</w:t>
      </w:r>
    </w:p>
    <w:p w:rsidR="005F78FC" w:rsidRDefault="00B42EF3">
      <w:pPr>
        <w:pStyle w:val="ListParagraph"/>
        <w:numPr>
          <w:ilvl w:val="0"/>
          <w:numId w:val="50"/>
        </w:numPr>
      </w:pPr>
      <w:r>
        <w:t>!%),.:;?]}¢°’”′″℃〉》」』】〕！％），．：；？］｝￠</w:t>
      </w:r>
    </w:p>
    <w:p w:rsidR="005F78FC" w:rsidRDefault="00B42EF3">
      <w:pPr>
        <w:pStyle w:val="Definition-Field"/>
      </w:pPr>
      <w:r>
        <w:t xml:space="preserve">b.   </w:t>
      </w:r>
      <w:r>
        <w:rPr>
          <w:i/>
        </w:rPr>
        <w:t xml:space="preserve">The standard does </w:t>
      </w:r>
      <w:r>
        <w:rPr>
          <w:i/>
        </w:rPr>
        <w:t>not state how a conflict between the overflowPunct element and the kinsoku element should be resolved when both are applied to a single paragraph.</w:t>
      </w:r>
    </w:p>
    <w:p w:rsidR="005F78FC" w:rsidRDefault="00B42EF3">
      <w:pPr>
        <w:pStyle w:val="Definition-Field2"/>
      </w:pPr>
      <w:r>
        <w:lastRenderedPageBreak/>
        <w:t>Word ignores the kinsoku element when this element is present and the two settings conflict.</w:t>
      </w:r>
    </w:p>
    <w:p w:rsidR="005F78FC" w:rsidRDefault="00B42EF3">
      <w:pPr>
        <w:pStyle w:val="Heading3"/>
      </w:pPr>
      <w:bookmarkStart w:id="126" w:name="section_926783638af840998a4a44fa944c04ea"/>
      <w:bookmarkStart w:id="127" w:name="_Toc69877836"/>
      <w:r>
        <w:t>Part 1 Section 1</w:t>
      </w:r>
      <w:r>
        <w:t>7.3.1.22, p (Paragraph)</w:t>
      </w:r>
      <w:bookmarkEnd w:id="126"/>
      <w:bookmarkEnd w:id="127"/>
      <w:r>
        <w:fldChar w:fldCharType="begin"/>
      </w:r>
      <w:r>
        <w:instrText xml:space="preserve"> XE "p (Paragraph)"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5F78FC" w:rsidRDefault="00B42EF3">
      <w:pPr>
        <w:pStyle w:val="Heading3"/>
      </w:pPr>
      <w:bookmarkStart w:id="128" w:name="section_cb186a0b98ee403f9d0623629e9cb647"/>
      <w:bookmarkStart w:id="129" w:name="_Toc69877837"/>
      <w:r>
        <w:t>Part 1 Section 17.3.1.25, pPr (Prev</w:t>
      </w:r>
      <w:r>
        <w:t>ious Paragraph Properties)</w:t>
      </w:r>
      <w:bookmarkEnd w:id="128"/>
      <w:bookmarkEnd w:id="129"/>
      <w:r>
        <w:fldChar w:fldCharType="begin"/>
      </w:r>
      <w:r>
        <w:instrText xml:space="preserve"> XE "pPr (Previous Paragraph Properties)" </w:instrText>
      </w:r>
      <w:r>
        <w:fldChar w:fldCharType="end"/>
      </w:r>
    </w:p>
    <w:p w:rsidR="005F78FC" w:rsidRDefault="00B42EF3">
      <w:pPr>
        <w:pStyle w:val="Definition-Field"/>
      </w:pPr>
      <w:r>
        <w:t xml:space="preserve">a.   </w:t>
      </w:r>
      <w:r>
        <w:rPr>
          <w:i/>
        </w:rPr>
        <w:t>The standard states that the cnfStyle and divId elements can differ between previous paragraph properties and current paragraph properties.</w:t>
      </w:r>
    </w:p>
    <w:p w:rsidR="005F78FC" w:rsidRDefault="00B42EF3">
      <w:pPr>
        <w:pStyle w:val="Definition-Field2"/>
      </w:pPr>
      <w:r>
        <w:t>Word sets cnfStyle and divId in previous</w:t>
      </w:r>
      <w:r>
        <w:t xml:space="preserve"> paragraph properties to the values in current paragraph properties.</w:t>
      </w:r>
    </w:p>
    <w:p w:rsidR="005F78FC" w:rsidRDefault="00B42EF3">
      <w:pPr>
        <w:pStyle w:val="Heading3"/>
      </w:pPr>
      <w:bookmarkStart w:id="130" w:name="section_116e5d7e734943748adbe53a78afa7cc"/>
      <w:bookmarkStart w:id="131" w:name="_Toc69877838"/>
      <w:r>
        <w:t>Part 1 Section 17.3.1.27, pStyle (Referenced Paragraph Style)</w:t>
      </w:r>
      <w:bookmarkEnd w:id="130"/>
      <w:bookmarkEnd w:id="131"/>
      <w:r>
        <w:fldChar w:fldCharType="begin"/>
      </w:r>
      <w:r>
        <w:instrText xml:space="preserve"> XE "pStyle (Referenced Paragraph Style)" </w:instrText>
      </w:r>
      <w:r>
        <w:fldChar w:fldCharType="end"/>
      </w:r>
    </w:p>
    <w:p w:rsidR="005F78FC" w:rsidRDefault="00B42EF3">
      <w:pPr>
        <w:pStyle w:val="Definition-Field2"/>
      </w:pPr>
      <w:r>
        <w:rPr>
          <w:i/>
        </w:rPr>
        <w:t>For additional notes that apply to this portion of the standard, please see the n</w:t>
      </w:r>
      <w:r>
        <w:rPr>
          <w:i/>
        </w:rPr>
        <w:t xml:space="preserve">otes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w:t>
      </w:r>
    </w:p>
    <w:p w:rsidR="005F78FC" w:rsidRDefault="00B42EF3">
      <w:pPr>
        <w:pStyle w:val="Heading3"/>
      </w:pPr>
      <w:bookmarkStart w:id="132" w:name="section_689ac9029287469ca73337206ae40ea7"/>
      <w:bookmarkStart w:id="133" w:name="_Toc69877839"/>
      <w:r>
        <w:t>P</w:t>
      </w:r>
      <w:r>
        <w:t>art 1 Section 17.3.1.28, right (Right Paragraph Border)</w:t>
      </w:r>
      <w:bookmarkEnd w:id="132"/>
      <w:bookmarkEnd w:id="133"/>
      <w:r>
        <w:fldChar w:fldCharType="begin"/>
      </w:r>
      <w:r>
        <w:instrText xml:space="preserve"> XE "right (Right Paragraph Border)"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c2a35f2312704ca699140fa440d56fdf">
        <w:r>
          <w:rPr>
            <w:rStyle w:val="Hyperlink"/>
          </w:rPr>
          <w:t>bar, §17</w:t>
        </w:r>
        <w:r>
          <w:rPr>
            <w:rStyle w:val="Hyperlink"/>
          </w:rPr>
          <w:t>.3.1.4(a-c)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5F78FC" w:rsidRDefault="00B42EF3">
      <w:pPr>
        <w:pStyle w:val="Heading3"/>
      </w:pPr>
      <w:bookmarkStart w:id="134" w:name="section_de7e18425f80491599253bf0b4fe84bf"/>
      <w:bookmarkStart w:id="135" w:name="_Toc69877840"/>
      <w:r>
        <w:t>Part 1 Section 17.3.1.29, rPr (Run Properties for the Paragraph Mark)</w:t>
      </w:r>
      <w:bookmarkEnd w:id="134"/>
      <w:bookmarkEnd w:id="135"/>
      <w:r>
        <w:fldChar w:fldCharType="begin"/>
      </w:r>
      <w:r>
        <w:instrText xml:space="preserve"> XE "rP</w:instrText>
      </w:r>
      <w:r>
        <w:instrText xml:space="preserve">r (Run Properties for the Paragraph Mark)" </w:instrText>
      </w:r>
      <w:r>
        <w:fldChar w:fldCharType="end"/>
      </w:r>
    </w:p>
    <w:p w:rsidR="005F78FC" w:rsidRDefault="00B42EF3">
      <w:pPr>
        <w:pStyle w:val="Definition-Field2"/>
        <w:rPr>
          <w:i/>
        </w:rPr>
      </w:pPr>
      <w:r>
        <w:rPr>
          <w:i/>
        </w:rPr>
        <w:t xml:space="preserve">For additional notes that apply to this portion of the standard, please see the notes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5F78FC" w:rsidRDefault="00B42EF3">
      <w:pPr>
        <w:pStyle w:val="Definition-Field"/>
        <w:numPr>
          <w:ilvl w:val="0"/>
          <w:numId w:val="51"/>
        </w:numPr>
        <w:rPr>
          <w:i/>
        </w:rPr>
      </w:pPr>
      <w:r>
        <w:rPr>
          <w:i/>
        </w:rPr>
        <w:t>The standard does not describe how text formattin</w:t>
      </w:r>
      <w:r>
        <w:rPr>
          <w:i/>
        </w:rPr>
        <w:t>g in a list item is affected when formatting is applied to the paragraph mark.</w:t>
      </w:r>
    </w:p>
    <w:p w:rsidR="005F78FC" w:rsidRDefault="00B42EF3">
      <w:pPr>
        <w:pStyle w:val="Definition-Field2"/>
      </w:pPr>
      <w:r>
        <w:t>When run formatting properties are applied to the paragraph mark at the end of a list item, the paragraph run text for the list item does not change to match the number and para</w:t>
      </w:r>
      <w:r>
        <w:t>graph mark properties, and neither does the run text for subsequent runs.</w:t>
      </w:r>
    </w:p>
    <w:p w:rsidR="005F78FC" w:rsidRDefault="00B42EF3">
      <w:pPr>
        <w:pStyle w:val="Heading3"/>
      </w:pPr>
      <w:bookmarkStart w:id="136" w:name="section_4b5ea5ae6acf4e6cb5fdc540b5d024ba"/>
      <w:bookmarkStart w:id="137" w:name="_Toc69877841"/>
      <w:r>
        <w:t>Part 1 Section 17.3.1.30, rPr (Previous Run Properties for the Paragraph Mark)</w:t>
      </w:r>
      <w:bookmarkEnd w:id="136"/>
      <w:bookmarkEnd w:id="137"/>
      <w:r>
        <w:fldChar w:fldCharType="begin"/>
      </w:r>
      <w:r>
        <w:instrText xml:space="preserve"> XE "rPr (Previous Run Properties for the Paragraph Mark)" </w:instrText>
      </w:r>
      <w:r>
        <w:fldChar w:fldCharType="end"/>
      </w:r>
    </w:p>
    <w:p w:rsidR="005F78FC" w:rsidRDefault="00B42EF3">
      <w:pPr>
        <w:pStyle w:val="Definition-Field"/>
      </w:pPr>
      <w:r>
        <w:t xml:space="preserve">a.   </w:t>
      </w:r>
      <w:r>
        <w:rPr>
          <w:i/>
        </w:rPr>
        <w:t xml:space="preserve">The standard states that the ins, </w:t>
      </w:r>
      <w:r>
        <w:rPr>
          <w:i/>
        </w:rPr>
        <w:t>del, moveFrom, moveTo, and oMath elements can differ between the current run properties and previous run properties for the paragraph mark.</w:t>
      </w:r>
    </w:p>
    <w:p w:rsidR="005F78FC" w:rsidRDefault="00B42EF3">
      <w:pPr>
        <w:pStyle w:val="Definition-Field2"/>
      </w:pPr>
      <w:r>
        <w:t>Word ignores the values of the ins, del, moveFrom, moveTo, and oMath elements in the previous run properties for the</w:t>
      </w:r>
      <w:r>
        <w:t xml:space="preserve"> paragraph mark and uses the values from the current run properties for the paragraph mark.</w:t>
      </w:r>
    </w:p>
    <w:p w:rsidR="005F78FC" w:rsidRDefault="00B42EF3">
      <w:pPr>
        <w:pStyle w:val="Heading3"/>
      </w:pPr>
      <w:bookmarkStart w:id="138" w:name="section_0401ba7548d24372a50f7726fe318b65"/>
      <w:bookmarkStart w:id="139" w:name="_Toc69877842"/>
      <w:r>
        <w:t>Part 1 Section 17.3.1.31, shd (Paragraph Shading)</w:t>
      </w:r>
      <w:bookmarkEnd w:id="138"/>
      <w:bookmarkEnd w:id="139"/>
      <w:r>
        <w:fldChar w:fldCharType="begin"/>
      </w:r>
      <w:r>
        <w:instrText xml:space="preserve"> XE "shd (Paragraph Shading)" </w:instrText>
      </w:r>
      <w:r>
        <w:fldChar w:fldCharType="end"/>
      </w:r>
    </w:p>
    <w:p w:rsidR="005F78FC" w:rsidRDefault="00B42EF3">
      <w:pPr>
        <w:pStyle w:val="Definition-Field2"/>
      </w:pPr>
      <w:r>
        <w:rPr>
          <w:i/>
        </w:rPr>
        <w:t>For additional notes that apply to this portion of the standard, please see the no</w:t>
      </w:r>
      <w:r>
        <w:rPr>
          <w:i/>
        </w:rPr>
        <w:t xml:space="preserve">tes for </w:t>
      </w:r>
      <w:hyperlink w:anchor="Section_4f0cccae70c2492abc943ccc39172119">
        <w:r>
          <w:rPr>
            <w:rStyle w:val="Hyperlink"/>
          </w:rPr>
          <w:t>shd, §17.4.32(a,d)</w:t>
        </w:r>
      </w:hyperlink>
      <w:r>
        <w:rPr>
          <w:i/>
        </w:rPr>
        <w:t>.</w:t>
      </w:r>
    </w:p>
    <w:p w:rsidR="005F78FC" w:rsidRDefault="00B42EF3">
      <w:pPr>
        <w:pStyle w:val="Heading3"/>
      </w:pPr>
      <w:bookmarkStart w:id="140" w:name="section_264a013981744574b20dab778e770931"/>
      <w:bookmarkStart w:id="141" w:name="_Toc69877843"/>
      <w:r>
        <w:lastRenderedPageBreak/>
        <w:t>Part 1 Section 17.3.1.33, spacing (Spacing Between Lines and Above/Below Paragraph)</w:t>
      </w:r>
      <w:bookmarkEnd w:id="140"/>
      <w:bookmarkEnd w:id="141"/>
      <w:r>
        <w:fldChar w:fldCharType="begin"/>
      </w:r>
      <w:r>
        <w:instrText xml:space="preserve"> XE "spacing (Spacing Between Lines and Above/Below Paragraph)" </w:instrText>
      </w:r>
      <w:r>
        <w:fldChar w:fldCharType="end"/>
      </w:r>
    </w:p>
    <w:p w:rsidR="005F78FC" w:rsidRDefault="00B42EF3">
      <w:pPr>
        <w:pStyle w:val="Definition-Field"/>
      </w:pPr>
      <w:r>
        <w:t xml:space="preserve">a.   </w:t>
      </w:r>
      <w:r>
        <w:rPr>
          <w:i/>
        </w:rPr>
        <w:t>The standa</w:t>
      </w:r>
      <w:r>
        <w:rPr>
          <w:i/>
        </w:rPr>
        <w:t>rd states that line unit spacing attributes, beforeLines and afterLines, specify spacing in line units, which will be applied to the paragraph in the order specified by the Style Hierarchy.</w:t>
      </w:r>
    </w:p>
    <w:p w:rsidR="005F78FC" w:rsidRDefault="00B42EF3">
      <w:pPr>
        <w:pStyle w:val="Definition-Field2"/>
      </w:pPr>
      <w:r>
        <w:t>During Style Hierarchy application, Word overrides non-line unit s</w:t>
      </w:r>
      <w:r>
        <w:t>pacing with related non-zero line unit spacing that is applied earlier in the Style Hierarchy order.</w:t>
      </w:r>
    </w:p>
    <w:p w:rsidR="005F78FC" w:rsidRDefault="00B42EF3">
      <w:pPr>
        <w:pStyle w:val="Heading3"/>
      </w:pPr>
      <w:bookmarkStart w:id="142" w:name="section_c52e929cfa384f889ee7f6ec4b1ab882"/>
      <w:bookmarkStart w:id="143" w:name="_Toc69877844"/>
      <w:r>
        <w:t>Part 1 Section 17.3.1.37, tab (Custom Tab Stop)</w:t>
      </w:r>
      <w:bookmarkEnd w:id="142"/>
      <w:bookmarkEnd w:id="143"/>
      <w:r>
        <w:fldChar w:fldCharType="begin"/>
      </w:r>
      <w:r>
        <w:instrText xml:space="preserve"> XE "tab (Custom Tab Stop)" </w:instrText>
      </w:r>
      <w:r>
        <w:fldChar w:fldCharType="end"/>
      </w:r>
    </w:p>
    <w:p w:rsidR="005F78FC" w:rsidRDefault="00B42EF3">
      <w:pPr>
        <w:pStyle w:val="Definition-Field"/>
      </w:pPr>
      <w:r>
        <w:t xml:space="preserve">a.   </w:t>
      </w:r>
      <w:r>
        <w:rPr>
          <w:i/>
        </w:rPr>
        <w:t xml:space="preserve">The standard states that the values of the pos attribute are defined by </w:t>
      </w:r>
      <w:r>
        <w:rPr>
          <w:i/>
        </w:rPr>
        <w:t>the XML Schema integer datatype.</w:t>
      </w:r>
    </w:p>
    <w:p w:rsidR="005F78FC" w:rsidRDefault="00B42EF3">
      <w:pPr>
        <w:pStyle w:val="Definition-Field2"/>
      </w:pPr>
      <w:r>
        <w:t>Word restricts the value of this attribute to be at least -31680 (-22") and at most 31680 (22").</w:t>
      </w:r>
    </w:p>
    <w:p w:rsidR="005F78FC" w:rsidRDefault="00B42EF3">
      <w:pPr>
        <w:pStyle w:val="Heading3"/>
      </w:pPr>
      <w:bookmarkStart w:id="144" w:name="section_65c200ca97df41caa4fcf55246052527"/>
      <w:bookmarkStart w:id="145" w:name="_Toc69877845"/>
      <w:r>
        <w:t>Part 1 Section 17.3.1.40, textboxTightWrap (Allow Surrounding Paragraphs to Tight Wrap to Text Box Contents)</w:t>
      </w:r>
      <w:bookmarkEnd w:id="144"/>
      <w:bookmarkEnd w:id="145"/>
      <w:r>
        <w:fldChar w:fldCharType="begin"/>
      </w:r>
      <w:r>
        <w:instrText xml:space="preserve"> XE "textboxTightW</w:instrText>
      </w:r>
      <w:r>
        <w:instrText xml:space="preserve">rap (Allow Surrounding Paragraphs to Tight Wrap to Text Box Contents)" </w:instrText>
      </w:r>
      <w:r>
        <w:fldChar w:fldCharType="end"/>
      </w:r>
    </w:p>
    <w:p w:rsidR="005F78FC" w:rsidRDefault="00B42EF3">
      <w:pPr>
        <w:pStyle w:val="Definition-Field"/>
      </w:pPr>
      <w:r>
        <w:t xml:space="preserve">a.   </w:t>
      </w:r>
      <w:r>
        <w:rPr>
          <w:i/>
        </w:rPr>
        <w:t>The standard describes that the val attribute on the textboxTightWrap element takes one of five values: none, allLines, firstAndLastLine, firstLineOnly, and lastLineOnly.</w:t>
      </w:r>
    </w:p>
    <w:p w:rsidR="005F78FC" w:rsidRDefault="00B42EF3">
      <w:pPr>
        <w:pStyle w:val="Definition-Field2"/>
      </w:pPr>
      <w:r>
        <w:t>Word a</w:t>
      </w:r>
      <w:r>
        <w:t>lways resets the value of this attribute to allLines when opening a document.</w:t>
      </w:r>
    </w:p>
    <w:p w:rsidR="005F78FC" w:rsidRDefault="00B42EF3">
      <w:pPr>
        <w:pStyle w:val="Heading3"/>
      </w:pPr>
      <w:bookmarkStart w:id="146" w:name="section_e80c7fbf1f174786921bfa5be9194ae9"/>
      <w:bookmarkStart w:id="147" w:name="_Toc69877846"/>
      <w:r>
        <w:t>Part 1 Section 17.3.1.41, textDirection (Paragraph Text Flow Direction)</w:t>
      </w:r>
      <w:bookmarkEnd w:id="146"/>
      <w:bookmarkEnd w:id="147"/>
      <w:r>
        <w:fldChar w:fldCharType="begin"/>
      </w:r>
      <w:r>
        <w:instrText xml:space="preserve"> XE "textDirection (Paragraph Text Flow Direction)" </w:instrText>
      </w:r>
      <w:r>
        <w:fldChar w:fldCharType="end"/>
      </w:r>
    </w:p>
    <w:p w:rsidR="005F78FC" w:rsidRDefault="00B42EF3">
      <w:pPr>
        <w:pStyle w:val="Definition-Field"/>
      </w:pPr>
      <w:r>
        <w:t xml:space="preserve">a.   </w:t>
      </w:r>
      <w:r>
        <w:rPr>
          <w:i/>
        </w:rPr>
        <w:t>The standard states that this element specifies</w:t>
      </w:r>
      <w:r>
        <w:rPr>
          <w:i/>
        </w:rPr>
        <w:t xml:space="preserve"> the direction of the text flow for this paragraph.</w:t>
      </w:r>
    </w:p>
    <w:p w:rsidR="005F78FC" w:rsidRDefault="00B42EF3">
      <w:pPr>
        <w:pStyle w:val="Definition-Field2"/>
      </w:pPr>
      <w:r>
        <w:t>Word uses this property only when the paragraph is contained within a frame.</w:t>
      </w:r>
    </w:p>
    <w:p w:rsidR="005F78FC" w:rsidRDefault="00B42EF3">
      <w:pPr>
        <w:pStyle w:val="Heading3"/>
      </w:pPr>
      <w:bookmarkStart w:id="148" w:name="section_0d93be1be21a4f6fa76d8922fbcf203e"/>
      <w:bookmarkStart w:id="149" w:name="_Toc69877847"/>
      <w:r>
        <w:t>Part 1 Section 17.3.1.42, top (Paragraph Border Above Identical Paragraphs)</w:t>
      </w:r>
      <w:bookmarkEnd w:id="148"/>
      <w:bookmarkEnd w:id="149"/>
      <w:r>
        <w:fldChar w:fldCharType="begin"/>
      </w:r>
      <w:r>
        <w:instrText xml:space="preserve"> XE "top (Paragraph Border Above Identical Paragraph</w:instrText>
      </w:r>
      <w:r>
        <w:instrText xml:space="preserve">s)"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w:t>
        </w:r>
        <w:r>
          <w:rPr>
            <w:rStyle w:val="Hyperlink"/>
          </w:rPr>
          <w:t>.4(a)</w:t>
        </w:r>
      </w:hyperlink>
      <w:r>
        <w:rPr>
          <w:i/>
        </w:rPr>
        <w:t xml:space="preserve">; </w:t>
      </w:r>
      <w:hyperlink w:anchor="Section_88086db0881a462fafb3fad01a9b1be3">
        <w:r>
          <w:rPr>
            <w:rStyle w:val="Hyperlink"/>
          </w:rPr>
          <w:t>left, §17.15.2.21(a)</w:t>
        </w:r>
      </w:hyperlink>
      <w:r>
        <w:rPr>
          <w:i/>
        </w:rPr>
        <w:t>.</w:t>
      </w:r>
    </w:p>
    <w:p w:rsidR="005F78FC" w:rsidRDefault="00B42EF3">
      <w:pPr>
        <w:pStyle w:val="Heading3"/>
      </w:pPr>
      <w:bookmarkStart w:id="150" w:name="section_029135c2138c4bbf81ad6bf338c2ce89"/>
      <w:bookmarkStart w:id="151" w:name="_Toc69877848"/>
      <w:r>
        <w:t>Part 1 Section 17.3.1.43, topLinePunct (Compress Punctuation at Start of a Line)</w:t>
      </w:r>
      <w:bookmarkEnd w:id="150"/>
      <w:bookmarkEnd w:id="151"/>
      <w:r>
        <w:fldChar w:fldCharType="begin"/>
      </w:r>
      <w:r>
        <w:instrText xml:space="preserve"> XE "topLinePunct (Compress Punctuation at Start of a Line)" </w:instrText>
      </w:r>
      <w:r>
        <w:fldChar w:fldCharType="end"/>
      </w:r>
    </w:p>
    <w:p w:rsidR="005F78FC" w:rsidRDefault="00B42EF3">
      <w:pPr>
        <w:pStyle w:val="Definition-Field"/>
      </w:pPr>
      <w:r>
        <w:t xml:space="preserve">a.   </w:t>
      </w:r>
      <w:r>
        <w:rPr>
          <w:i/>
        </w:rPr>
        <w:t>The standard st</w:t>
      </w:r>
      <w:r>
        <w:rPr>
          <w:i/>
        </w:rPr>
        <w:t>ates that this element specifies whether punctuation shall be compressed when it appears as the first character in a line, but does not define which characters are affected.</w:t>
      </w:r>
    </w:p>
    <w:p w:rsidR="005F78FC" w:rsidRDefault="00B42EF3">
      <w:pPr>
        <w:pStyle w:val="Definition-Field2"/>
      </w:pPr>
      <w:r>
        <w:t>Word only applies this property to runs in one of the following languages: Chinese</w:t>
      </w:r>
      <w:r>
        <w:t xml:space="preserve"> (Simplified), Chinese (Traditional), Korean, or Japanese.</w:t>
      </w:r>
    </w:p>
    <w:p w:rsidR="005F78FC" w:rsidRDefault="00B42EF3">
      <w:pPr>
        <w:pStyle w:val="Heading3"/>
      </w:pPr>
      <w:bookmarkStart w:id="152" w:name="section_12a52a6eebe841c09aebfdfb4fbca849"/>
      <w:bookmarkStart w:id="153" w:name="_Toc69877849"/>
      <w:r>
        <w:t>Part 1 Section 17.3.1.44, widowControl (Allow First/Last Line to Display on a Separate Page)</w:t>
      </w:r>
      <w:bookmarkEnd w:id="152"/>
      <w:bookmarkEnd w:id="153"/>
      <w:r>
        <w:fldChar w:fldCharType="begin"/>
      </w:r>
      <w:r>
        <w:instrText xml:space="preserve"> XE "widowControl (Allow First/Last Line to Display on a Separate Page)" </w:instrText>
      </w:r>
      <w:r>
        <w:fldChar w:fldCharType="end"/>
      </w:r>
    </w:p>
    <w:p w:rsidR="005F78FC" w:rsidRDefault="00B42EF3">
      <w:pPr>
        <w:pStyle w:val="Definition-Field"/>
      </w:pPr>
      <w:r>
        <w:t xml:space="preserve">a.   </w:t>
      </w:r>
      <w:r>
        <w:rPr>
          <w:i/>
        </w:rPr>
        <w:t>The standard states that</w:t>
      </w:r>
      <w:r>
        <w:rPr>
          <w:i/>
        </w:rPr>
        <w:t xml:space="preserve"> this element is applied to all paragraphs.</w:t>
      </w:r>
    </w:p>
    <w:p w:rsidR="005F78FC" w:rsidRDefault="00B42EF3">
      <w:pPr>
        <w:pStyle w:val="Definition-Field2"/>
      </w:pPr>
      <w:r>
        <w:t>Word ignores this element when rendering paragraphs inside a table.</w:t>
      </w:r>
    </w:p>
    <w:p w:rsidR="005F78FC" w:rsidRDefault="00B42EF3">
      <w:pPr>
        <w:pStyle w:val="Heading3"/>
      </w:pPr>
      <w:bookmarkStart w:id="154" w:name="section_5c96914d820a4f49a23940024839685e"/>
      <w:bookmarkStart w:id="155" w:name="_Toc69877850"/>
      <w:r>
        <w:t>Part 1 Section 17.3.1.45, wordWrap (Allow Line Breaking At Character Level)</w:t>
      </w:r>
      <w:bookmarkEnd w:id="154"/>
      <w:bookmarkEnd w:id="155"/>
      <w:r>
        <w:fldChar w:fldCharType="begin"/>
      </w:r>
      <w:r>
        <w:instrText xml:space="preserve"> XE "wordWrap (Allow Line Breaking At Character Level)" </w:instrText>
      </w:r>
      <w:r>
        <w:fldChar w:fldCharType="end"/>
      </w:r>
    </w:p>
    <w:p w:rsidR="005F78FC" w:rsidRDefault="00B42EF3">
      <w:pPr>
        <w:pStyle w:val="Definition-Field"/>
      </w:pPr>
      <w:r>
        <w:t xml:space="preserve">a.   </w:t>
      </w:r>
      <w:r>
        <w:rPr>
          <w:i/>
        </w:rPr>
        <w:t>The s</w:t>
      </w:r>
      <w:r>
        <w:rPr>
          <w:i/>
        </w:rPr>
        <w:t>tandard states that this element will cause text to break on the character level.</w:t>
      </w:r>
    </w:p>
    <w:p w:rsidR="005F78FC" w:rsidRDefault="00B42EF3">
      <w:pPr>
        <w:pStyle w:val="Definition-Field2"/>
      </w:pPr>
      <w:r>
        <w:lastRenderedPageBreak/>
        <w:t>Word applies this property to Korean text only if Word determines that there is Korean text in the paragraph.</w:t>
      </w:r>
    </w:p>
    <w:p w:rsidR="005F78FC" w:rsidRDefault="00B42EF3">
      <w:pPr>
        <w:pStyle w:val="Definition-Field"/>
      </w:pPr>
      <w:r>
        <w:t xml:space="preserve">b.   </w:t>
      </w:r>
      <w:r>
        <w:rPr>
          <w:i/>
        </w:rPr>
        <w:t xml:space="preserve">The standard does not impose any restrictions on the type </w:t>
      </w:r>
      <w:r>
        <w:rPr>
          <w:i/>
        </w:rPr>
        <w:t>of text that this element applies to.</w:t>
      </w:r>
    </w:p>
    <w:p w:rsidR="005F78FC" w:rsidRDefault="00B42EF3">
      <w:pPr>
        <w:pStyle w:val="Definition-Field2"/>
      </w:pPr>
      <w:r>
        <w:t>Word applies this element to only space-delimited languages.</w:t>
      </w:r>
    </w:p>
    <w:p w:rsidR="005F78FC" w:rsidRDefault="00B42EF3">
      <w:pPr>
        <w:pStyle w:val="Heading3"/>
      </w:pPr>
      <w:bookmarkStart w:id="156" w:name="section_03b9695ffd69435d90e6b1069aadf291"/>
      <w:bookmarkStart w:id="157" w:name="_Toc69877851"/>
      <w:r>
        <w:t>Part 1 Section 17.3.2.1, b (Bold)</w:t>
      </w:r>
      <w:bookmarkEnd w:id="156"/>
      <w:bookmarkEnd w:id="157"/>
      <w:r>
        <w:fldChar w:fldCharType="begin"/>
      </w:r>
      <w:r>
        <w:instrText xml:space="preserve"> XE "b (Bold)" </w:instrText>
      </w:r>
      <w:r>
        <w:fldChar w:fldCharType="end"/>
      </w:r>
    </w:p>
    <w:p w:rsidR="005F78FC" w:rsidRDefault="00B42EF3">
      <w:pPr>
        <w:pStyle w:val="Definition-Field"/>
      </w:pPr>
      <w:r>
        <w:t xml:space="preserve">a.   </w:t>
      </w:r>
      <w:r>
        <w:rPr>
          <w:i/>
        </w:rPr>
        <w:t xml:space="preserve">The standard states that this element applies bold to non-complex script characters, but does not </w:t>
      </w:r>
      <w:r>
        <w:rPr>
          <w:i/>
        </w:rPr>
        <w:t>specify how that determination is made.</w:t>
      </w:r>
    </w:p>
    <w:p w:rsidR="005F78FC" w:rsidRDefault="00B42EF3">
      <w:pPr>
        <w:pStyle w:val="Definition-Field2"/>
      </w:pPr>
      <w:r>
        <w:t>Word determines this state based on the state of the cs and rtl properties and applies bold to runs that do not use either of those properties.</w:t>
      </w:r>
    </w:p>
    <w:p w:rsidR="005F78FC" w:rsidRDefault="00B42EF3">
      <w:pPr>
        <w:pStyle w:val="Heading3"/>
      </w:pPr>
      <w:bookmarkStart w:id="158" w:name="section_264d37471f124370b25cee2a812acf68"/>
      <w:bookmarkStart w:id="159" w:name="_Toc69877852"/>
      <w:r>
        <w:t>Part 1 Section 17.3.2.2, bCs (Complex Script Bold)</w:t>
      </w:r>
      <w:bookmarkEnd w:id="158"/>
      <w:bookmarkEnd w:id="159"/>
      <w:r>
        <w:fldChar w:fldCharType="begin"/>
      </w:r>
      <w:r>
        <w:instrText xml:space="preserve"> XE "bCs (Complex Scri</w:instrText>
      </w:r>
      <w:r>
        <w:instrText xml:space="preserve">pt Bold)" </w:instrText>
      </w:r>
      <w:r>
        <w:fldChar w:fldCharType="end"/>
      </w:r>
    </w:p>
    <w:p w:rsidR="005F78FC" w:rsidRDefault="00B42EF3">
      <w:pPr>
        <w:pStyle w:val="Definition-Field"/>
      </w:pPr>
      <w:r>
        <w:t xml:space="preserve">a.   </w:t>
      </w:r>
      <w:r>
        <w:rPr>
          <w:i/>
        </w:rPr>
        <w:t>The standard states that this element applies bold to complex script characters, but does not specify how that determination is made.</w:t>
      </w:r>
    </w:p>
    <w:p w:rsidR="005F78FC" w:rsidRDefault="00B42EF3">
      <w:pPr>
        <w:pStyle w:val="Definition-Field2"/>
      </w:pPr>
      <w:r>
        <w:t>Word determines this state based on the state of the cs and rtl properties and applies bold to runs that</w:t>
      </w:r>
      <w:r>
        <w:t xml:space="preserve"> use either of those properties.</w:t>
      </w:r>
    </w:p>
    <w:p w:rsidR="005F78FC" w:rsidRDefault="00B42EF3">
      <w:pPr>
        <w:pStyle w:val="Heading3"/>
      </w:pPr>
      <w:bookmarkStart w:id="160" w:name="section_c8b2f58e1a33450e982faa321cad291c"/>
      <w:bookmarkStart w:id="161" w:name="_Toc69877853"/>
      <w:r>
        <w:t>Part 1 Section 17.3.2.3, bdo (Bidirectional Override)</w:t>
      </w:r>
      <w:bookmarkEnd w:id="160"/>
      <w:bookmarkEnd w:id="161"/>
      <w:r>
        <w:fldChar w:fldCharType="begin"/>
      </w:r>
      <w:r>
        <w:instrText xml:space="preserve"> XE "bdo (Bidirectional Override)" </w:instrText>
      </w:r>
      <w:r>
        <w:fldChar w:fldCharType="end"/>
      </w:r>
    </w:p>
    <w:p w:rsidR="005F78FC" w:rsidRDefault="00B42EF3">
      <w:pPr>
        <w:pStyle w:val="Definition-Field"/>
      </w:pPr>
      <w:r>
        <w:t xml:space="preserve">a.   </w:t>
      </w:r>
      <w:r>
        <w:rPr>
          <w:i/>
        </w:rPr>
        <w:t>The standard lists the possible parents for this element, but this list does not include oMath</w:t>
      </w:r>
    </w:p>
    <w:p w:rsidR="005F78FC" w:rsidRDefault="00B42EF3">
      <w:pPr>
        <w:pStyle w:val="Definition-Field2"/>
      </w:pPr>
      <w:r>
        <w:t>Word writes this element as a ch</w:t>
      </w:r>
      <w:r>
        <w:t>ild of the oMath element.</w:t>
      </w:r>
    </w:p>
    <w:p w:rsidR="005F78FC" w:rsidRDefault="00B42EF3">
      <w:pPr>
        <w:pStyle w:val="Heading3"/>
      </w:pPr>
      <w:bookmarkStart w:id="162" w:name="section_f38eb4e2d0424a4eb8633fac712e250a"/>
      <w:bookmarkStart w:id="163" w:name="_Toc69877854"/>
      <w:r>
        <w:t>Part 1 Section 17.3.2.4, bdr (Text Border)</w:t>
      </w:r>
      <w:bookmarkEnd w:id="162"/>
      <w:bookmarkEnd w:id="163"/>
      <w:r>
        <w:fldChar w:fldCharType="begin"/>
      </w:r>
      <w:r>
        <w:instrText xml:space="preserve"> XE "bdr (Text Border)"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c2a35f2312704ca699140fa440d56fdf">
        <w:r>
          <w:rPr>
            <w:rStyle w:val="Hyperlink"/>
          </w:rPr>
          <w:t>bar, §17</w:t>
        </w:r>
        <w:r>
          <w:rPr>
            <w:rStyle w:val="Hyperlink"/>
          </w:rPr>
          <w:t>.3.1.4(a-c)</w:t>
        </w:r>
      </w:hyperlink>
      <w:r>
        <w:rPr>
          <w:i/>
        </w:rPr>
        <w:t xml:space="preserve">; </w:t>
      </w:r>
      <w:hyperlink w:anchor="Section_88086db0881a462fafb3fad01a9b1be3">
        <w:r>
          <w:rPr>
            <w:rStyle w:val="Hyperlink"/>
          </w:rPr>
          <w:t>left, §17.15.2.21(a)</w:t>
        </w:r>
      </w:hyperlink>
      <w:r>
        <w:rPr>
          <w:i/>
        </w:rPr>
        <w:t>.</w:t>
      </w:r>
    </w:p>
    <w:p w:rsidR="005F78FC" w:rsidRDefault="00B42EF3">
      <w:pPr>
        <w:pStyle w:val="Definition-Field"/>
      </w:pPr>
      <w:r>
        <w:t xml:space="preserve">a.   </w:t>
      </w:r>
      <w:r>
        <w:rPr>
          <w:i/>
        </w:rPr>
        <w:t>The standard does not state which setting is applied when both the themeShade and the themeTint attributes are present.</w:t>
      </w:r>
    </w:p>
    <w:p w:rsidR="005F78FC" w:rsidRDefault="00B42EF3">
      <w:pPr>
        <w:pStyle w:val="Definition-Field2"/>
      </w:pPr>
      <w:r>
        <w:t>Word applies the themeTint settin</w:t>
      </w:r>
      <w:r>
        <w:t>g when both of these attributes are present.</w:t>
      </w:r>
    </w:p>
    <w:p w:rsidR="005F78FC" w:rsidRDefault="00B42EF3">
      <w:pPr>
        <w:pStyle w:val="Heading3"/>
      </w:pPr>
      <w:bookmarkStart w:id="164" w:name="section_8229a0777fc84fba96ccc77b6a4fc768"/>
      <w:bookmarkStart w:id="165" w:name="_Toc69877855"/>
      <w:r>
        <w:t>Part 1 Section 17.3.2.6, color (Run Content Color)</w:t>
      </w:r>
      <w:bookmarkEnd w:id="164"/>
      <w:bookmarkEnd w:id="165"/>
      <w:r>
        <w:fldChar w:fldCharType="begin"/>
      </w:r>
      <w:r>
        <w:instrText xml:space="preserve"> XE "color (Run Content Color)"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9a2a00db9248454d9f81952c27658324">
        <w:r>
          <w:rPr>
            <w:rStyle w:val="Hyperlink"/>
          </w:rPr>
          <w:t>color, §17.15.2.5(a)</w:t>
        </w:r>
      </w:hyperlink>
      <w:r>
        <w:rPr>
          <w:i/>
        </w:rPr>
        <w:t>.</w:t>
      </w:r>
    </w:p>
    <w:p w:rsidR="005F78FC" w:rsidRDefault="00B42EF3">
      <w:pPr>
        <w:pStyle w:val="Definition-Field"/>
      </w:pPr>
      <w:r>
        <w:t xml:space="preserve">a.   </w:t>
      </w:r>
      <w:r>
        <w:rPr>
          <w:i/>
        </w:rPr>
        <w:t>The standard specifies an algorithm for themeShade calculations that is different from themeShade calculations in other subclauses.</w:t>
      </w:r>
    </w:p>
    <w:p w:rsidR="005F78FC" w:rsidRDefault="00B42EF3">
      <w:r>
        <w:t>Given an RGB color defined as three hex values in RRGGBB format, the s</w:t>
      </w:r>
      <w:r>
        <w:t>hade is applied as follows:</w:t>
      </w:r>
    </w:p>
    <w:p w:rsidR="005F78FC" w:rsidRDefault="00B42EF3">
      <w:pPr>
        <w:pStyle w:val="ListParagraph"/>
        <w:numPr>
          <w:ilvl w:val="0"/>
          <w:numId w:val="52"/>
        </w:numPr>
        <w:contextualSpacing/>
      </w:pPr>
      <w:r>
        <w:t>Convert the color to the HSL color format (values from 0 to 1).</w:t>
      </w:r>
    </w:p>
    <w:p w:rsidR="005F78FC" w:rsidRDefault="00B42EF3">
      <w:pPr>
        <w:pStyle w:val="ListParagraph"/>
        <w:numPr>
          <w:ilvl w:val="0"/>
          <w:numId w:val="52"/>
        </w:numPr>
        <w:contextualSpacing/>
      </w:pPr>
      <w:r>
        <w:t>Modify the luminance factor as follows:</w:t>
      </w:r>
    </w:p>
    <w:p w:rsidR="005F78FC" w:rsidRDefault="00B42EF3">
      <w:pPr>
        <w:ind w:left="360"/>
      </w:pPr>
      <w:r>
        <w:rPr>
          <w:noProof/>
        </w:rPr>
        <w:drawing>
          <wp:inline distT="0" distB="0" distL="0" distR="0">
            <wp:extent cx="1257300" cy="190500"/>
            <wp:effectExtent l="0" t="0" r="0" b="0"/>
            <wp:docPr id="342015707" name="Picture 1" descr="Equation to modify luminance factor: L prime equals L times Shade sub percentage" title="Equation to modify luminance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af-0000-0000-0000-000000000000" descr="Equation to modify luminance factor: L prime equals L times Shade sub percentage" title="Equation to modify luminance factor"/>
                    <pic:cNvPicPr>
                      <a:picLocks noChangeAspect="1" noChangeArrowheads="1"/>
                    </pic:cNvPicPr>
                  </pic:nvPicPr>
                  <pic:blipFill>
                    <a:blip r:embed="rId68" cstate="print"/>
                    <a:srcRect/>
                    <a:stretch>
                      <a:fillRect/>
                    </a:stretch>
                  </pic:blipFill>
                  <pic:spPr bwMode="auto">
                    <a:xfrm>
                      <a:off x="0" y="0"/>
                      <a:ext cx="1257300" cy="190500"/>
                    </a:xfrm>
                    <a:prstGeom prst="rect">
                      <a:avLst/>
                    </a:prstGeom>
                    <a:noFill/>
                    <a:ln w="9525">
                      <a:noFill/>
                      <a:miter lim="800000"/>
                      <a:headEnd/>
                      <a:tailEnd/>
                    </a:ln>
                  </pic:spPr>
                </pic:pic>
              </a:graphicData>
            </a:graphic>
          </wp:inline>
        </w:drawing>
      </w:r>
    </w:p>
    <w:p w:rsidR="005F78FC" w:rsidRDefault="00B42EF3">
      <w:pPr>
        <w:pStyle w:val="ListParagraph"/>
        <w:numPr>
          <w:ilvl w:val="0"/>
          <w:numId w:val="52"/>
        </w:numPr>
      </w:pPr>
      <w:r>
        <w:t>Convert the resultant HSL color to RGB.</w:t>
      </w:r>
    </w:p>
    <w:p w:rsidR="005F78FC" w:rsidRDefault="00B42EF3">
      <w:r>
        <w:t xml:space="preserve">If this attribute is specified in the </w:t>
      </w:r>
      <w:r>
        <w:rPr>
          <w:b/>
        </w:rPr>
        <w:t>color</w:t>
      </w:r>
      <w:r>
        <w:t xml:space="preserve"> element ("</w:t>
      </w:r>
      <w:hyperlink r:id="rId69">
        <w:r>
          <w:rPr>
            <w:rStyle w:val="Hyperlink"/>
          </w:rPr>
          <w:t>[ISO/IEC-29500-1]</w:t>
        </w:r>
      </w:hyperlink>
      <w:r>
        <w:t xml:space="preserve"> §17.15.2.5; color (Frameset Splitter Color)") nested inside a </w:t>
      </w:r>
      <w:r>
        <w:rPr>
          <w:b/>
        </w:rPr>
        <w:t xml:space="preserve">framesetSplitbar </w:t>
      </w:r>
      <w:r>
        <w:t xml:space="preserve">("[ISO/IEC-29500-1] §17.15.2.20; </w:t>
      </w:r>
      <w:r>
        <w:lastRenderedPageBreak/>
        <w:t>framesetSplitbar (Frameset Splitter Properties)") element, Word deviates from this behav</w:t>
      </w:r>
      <w:r>
        <w:t xml:space="preserve">ior. Refer to the </w:t>
      </w:r>
      <w:r>
        <w:rPr>
          <w:b/>
        </w:rPr>
        <w:t>themeColor</w:t>
      </w:r>
      <w:r>
        <w:t xml:space="preserve"> attribute description.</w:t>
      </w:r>
    </w:p>
    <w:p w:rsidR="005F78FC" w:rsidRDefault="00B42EF3">
      <w:r>
        <w:t xml:space="preserve">[Example: </w:t>
      </w:r>
    </w:p>
    <w:p w:rsidR="005F78FC" w:rsidRDefault="00B42EF3">
      <w:r>
        <w:t xml:space="preserve">Consider a document with a background using the </w:t>
      </w:r>
      <w:r>
        <w:rPr>
          <w:i/>
        </w:rPr>
        <w:t>accent2</w:t>
      </w:r>
      <w:r>
        <w:t xml:space="preserve"> theme color, whose RGB value (in RRGGBB hex format) is </w:t>
      </w:r>
      <w:r>
        <w:rPr>
          <w:i/>
        </w:rPr>
        <w:t>C0504D</w:t>
      </w:r>
      <w:r>
        <w:t>.</w:t>
      </w:r>
    </w:p>
    <w:p w:rsidR="005F78FC" w:rsidRDefault="00B42EF3">
      <w:r>
        <w:t>The equivalent HSL color value would be</w:t>
      </w:r>
      <w:r>
        <w:rPr>
          <w:noProof/>
        </w:rPr>
        <w:drawing>
          <wp:inline distT="0" distB="0" distL="0" distR="0">
            <wp:extent cx="876300" cy="247649"/>
            <wp:effectExtent l="0" t="0" r="0" b="0"/>
            <wp:docPr id="1" name="Picture 1" descr="Equation for equivalent HSL color value: parentheses 1 over 360 comma 0.48 comma 0.53 parentheses" title="Equation for equivalent 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ac-0000-0000-0000-000000000000" descr="Equation for equivalent HSL color value: parentheses 1 over 360 comma 0.48 comma 0.53 parentheses" title="Equation for equivalent HSL color value"/>
                    <pic:cNvPicPr>
                      <a:picLocks noChangeAspect="1" noChangeArrowheads="1"/>
                    </pic:cNvPicPr>
                  </pic:nvPicPr>
                  <pic:blipFill>
                    <a:blip r:embed="rId70" cstate="print"/>
                    <a:srcRect/>
                    <a:stretch>
                      <a:fillRect/>
                    </a:stretch>
                  </pic:blipFill>
                  <pic:spPr bwMode="auto">
                    <a:xfrm>
                      <a:off x="0" y="0"/>
                      <a:ext cx="876300" cy="247649"/>
                    </a:xfrm>
                    <a:prstGeom prst="rect">
                      <a:avLst/>
                    </a:prstGeom>
                    <a:noFill/>
                    <a:ln w="9525">
                      <a:noFill/>
                      <a:miter lim="800000"/>
                      <a:headEnd/>
                      <a:tailEnd/>
                    </a:ln>
                  </pic:spPr>
                </pic:pic>
              </a:graphicData>
            </a:graphic>
          </wp:inline>
        </w:drawing>
      </w:r>
      <w:r>
        <w:t xml:space="preserve">. </w:t>
      </w:r>
    </w:p>
    <w:p w:rsidR="005F78FC" w:rsidRDefault="00B42EF3">
      <w:r>
        <w:t>Applying the shade formula with</w:t>
      </w:r>
      <w:r>
        <w:t xml:space="preserve"> a shade percentage of 75% to the luminance, the result is:</w:t>
      </w:r>
    </w:p>
    <w:p w:rsidR="005F78FC" w:rsidRDefault="00B42EF3">
      <w:r>
        <w:rPr>
          <w:noProof/>
        </w:rPr>
        <w:drawing>
          <wp:inline distT="0" distB="0" distL="0" distR="0">
            <wp:extent cx="857250" cy="171450"/>
            <wp:effectExtent l="0" t="0" r="0" b="0"/>
            <wp:docPr id="2" name="Picture 1" descr="Equation of shade formula: L prime = 0.53 times 0.75" title="Equation for shade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ad-0000-0000-0000-000000000000" descr="Equation of shade formula: L prime = 0.53 times 0.75" title="Equation for shade formula"/>
                    <pic:cNvPicPr>
                      <a:picLocks noChangeAspect="1" noChangeArrowheads="1"/>
                    </pic:cNvPicPr>
                  </pic:nvPicPr>
                  <pic:blipFill>
                    <a:blip r:embed="rId71" cstate="print"/>
                    <a:srcRect/>
                    <a:stretch>
                      <a:fillRect/>
                    </a:stretch>
                  </pic:blipFill>
                  <pic:spPr bwMode="auto">
                    <a:xfrm>
                      <a:off x="0" y="0"/>
                      <a:ext cx="857250" cy="171450"/>
                    </a:xfrm>
                    <a:prstGeom prst="rect">
                      <a:avLst/>
                    </a:prstGeom>
                    <a:noFill/>
                    <a:ln w="9525">
                      <a:noFill/>
                      <a:miter lim="800000"/>
                      <a:headEnd/>
                      <a:tailEnd/>
                    </a:ln>
                  </pic:spPr>
                </pic:pic>
              </a:graphicData>
            </a:graphic>
          </wp:inline>
        </w:drawing>
      </w:r>
    </w:p>
    <w:p w:rsidR="005F78FC" w:rsidRDefault="00B42EF3">
      <w:r>
        <w:rPr>
          <w:noProof/>
        </w:rPr>
        <w:drawing>
          <wp:inline distT="0" distB="0" distL="0" distR="0">
            <wp:extent cx="581025" cy="171450"/>
            <wp:effectExtent l="0" t="0" r="0" b="0"/>
            <wp:docPr id="3" name="Picture 1" descr="Result of equation: = 0.39698" title="Result of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b2-0000-0000-0000-000000000000" descr="Result of equation: = 0.39698" title="Result of equation"/>
                    <pic:cNvPicPr>
                      <a:picLocks noChangeAspect="1" noChangeArrowheads="1"/>
                    </pic:cNvPicPr>
                  </pic:nvPicPr>
                  <pic:blipFill>
                    <a:blip r:embed="rId72" cstate="print"/>
                    <a:srcRect/>
                    <a:stretch>
                      <a:fillRect/>
                    </a:stretch>
                  </pic:blipFill>
                  <pic:spPr bwMode="auto">
                    <a:xfrm>
                      <a:off x="0" y="0"/>
                      <a:ext cx="581025" cy="171450"/>
                    </a:xfrm>
                    <a:prstGeom prst="rect">
                      <a:avLst/>
                    </a:prstGeom>
                    <a:noFill/>
                    <a:ln w="9525">
                      <a:noFill/>
                      <a:miter lim="800000"/>
                      <a:headEnd/>
                      <a:tailEnd/>
                    </a:ln>
                  </pic:spPr>
                </pic:pic>
              </a:graphicData>
            </a:graphic>
          </wp:inline>
        </w:drawing>
      </w:r>
    </w:p>
    <w:p w:rsidR="005F78FC" w:rsidRDefault="00B42EF3">
      <w:r>
        <w:t xml:space="preserve">Taking the resulting HSL color value of </w:t>
      </w:r>
      <w:r>
        <w:rPr>
          <w:noProof/>
        </w:rPr>
        <w:drawing>
          <wp:inline distT="0" distB="0" distL="0" distR="0">
            <wp:extent cx="1057275" cy="247649"/>
            <wp:effectExtent l="0" t="0" r="0" b="0"/>
            <wp:docPr id="4" name="Picture 1" descr="Equation for HSL color value: parentheses 1 over 360 comma 0.48 comma 0.39698 parentheses" title="Equation for 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b3-0000-0000-0000-000000000000" descr="Equation for HSL color value: parentheses 1 over 360 comma 0.48 comma 0.39698 parentheses" title="Equation for HSL color value"/>
                    <pic:cNvPicPr>
                      <a:picLocks noChangeAspect="1" noChangeArrowheads="1"/>
                    </pic:cNvPicPr>
                  </pic:nvPicPr>
                  <pic:blipFill>
                    <a:blip r:embed="rId73" cstate="print"/>
                    <a:srcRect/>
                    <a:stretch>
                      <a:fillRect/>
                    </a:stretch>
                  </pic:blipFill>
                  <pic:spPr bwMode="auto">
                    <a:xfrm>
                      <a:off x="0" y="0"/>
                      <a:ext cx="1057275" cy="247649"/>
                    </a:xfrm>
                    <a:prstGeom prst="rect">
                      <a:avLst/>
                    </a:prstGeom>
                    <a:noFill/>
                    <a:ln w="9525">
                      <a:noFill/>
                      <a:miter lim="800000"/>
                      <a:headEnd/>
                      <a:tailEnd/>
                    </a:ln>
                  </pic:spPr>
                </pic:pic>
              </a:graphicData>
            </a:graphic>
          </wp:inline>
        </w:drawing>
      </w:r>
      <w:r>
        <w:t xml:space="preserve">and converting back to RGB, the result is </w:t>
      </w:r>
      <w:r>
        <w:rPr>
          <w:i/>
        </w:rPr>
        <w:t>943634</w:t>
      </w:r>
      <w:r>
        <w:t>.</w:t>
      </w:r>
    </w:p>
    <w:p w:rsidR="005F78FC" w:rsidRDefault="00B42EF3">
      <w:r>
        <w:t xml:space="preserve">This transformed value can be seen in the resulting run color WordprocessingML's </w:t>
      </w:r>
      <w:r>
        <w:rPr>
          <w:b/>
        </w:rPr>
        <w:t>val</w:t>
      </w:r>
      <w:r>
        <w:t xml:space="preserve"> attribute:</w:t>
      </w:r>
    </w:p>
    <w:p w:rsidR="005F78FC" w:rsidRDefault="00B42EF3">
      <w:pPr>
        <w:pStyle w:val="Code"/>
      </w:pPr>
      <w:r>
        <w:t>&lt;</w:t>
      </w:r>
      <w:r>
        <w:t>w:color w:val="943634" w:themeColor="accent2" w:themeShade="BF" /&gt;</w:t>
      </w:r>
    </w:p>
    <w:p w:rsidR="005F78FC" w:rsidRDefault="00B42EF3">
      <w:r>
        <w:t>end example]</w:t>
      </w:r>
    </w:p>
    <w:p w:rsidR="005F78FC" w:rsidRDefault="00B42EF3">
      <w:pPr>
        <w:pStyle w:val="Definition-Field"/>
      </w:pPr>
      <w:r>
        <w:t xml:space="preserve">b.   </w:t>
      </w:r>
      <w:r>
        <w:rPr>
          <w:i/>
        </w:rPr>
        <w:t>The standard does not state which setting is applied when both the themeShade and the themeTint attributes are present.</w:t>
      </w:r>
    </w:p>
    <w:p w:rsidR="005F78FC" w:rsidRDefault="00B42EF3">
      <w:pPr>
        <w:pStyle w:val="Definition-Field2"/>
      </w:pPr>
      <w:r>
        <w:t>Word applies the themeTint setting when both of the</w:t>
      </w:r>
      <w:r>
        <w:t>se attributes are present.</w:t>
      </w:r>
    </w:p>
    <w:p w:rsidR="005F78FC" w:rsidRDefault="00B42EF3">
      <w:pPr>
        <w:pStyle w:val="Definition-Field"/>
      </w:pPr>
      <w:r>
        <w:t xml:space="preserve">c.   </w:t>
      </w:r>
      <w:r>
        <w:rPr>
          <w:i/>
        </w:rPr>
        <w:t>The standard describes an algorithm for themeTint calculations that is different from themeTint calculations in other subclauses.</w:t>
      </w:r>
    </w:p>
    <w:p w:rsidR="005F78FC" w:rsidRDefault="00B42EF3">
      <w:r>
        <w:t>In Word, the themeTint attribute is calculated using the following algorithm:</w:t>
      </w:r>
    </w:p>
    <w:p w:rsidR="005F78FC" w:rsidRDefault="00B42EF3">
      <w:r>
        <w:t>Given an RGB col</w:t>
      </w:r>
      <w:r>
        <w:t>or defined as three hex values in RRGGBB format, the shade is applied as follows:</w:t>
      </w:r>
    </w:p>
    <w:p w:rsidR="005F78FC" w:rsidRDefault="00B42EF3">
      <w:pPr>
        <w:pStyle w:val="ListParagraph"/>
        <w:numPr>
          <w:ilvl w:val="0"/>
          <w:numId w:val="53"/>
        </w:numPr>
        <w:contextualSpacing/>
      </w:pPr>
      <w:r>
        <w:t>Convert the color to the HSL color format (values from 0 to 1).</w:t>
      </w:r>
    </w:p>
    <w:p w:rsidR="005F78FC" w:rsidRDefault="00B42EF3">
      <w:pPr>
        <w:pStyle w:val="ListParagraph"/>
        <w:numPr>
          <w:ilvl w:val="0"/>
          <w:numId w:val="53"/>
        </w:numPr>
        <w:contextualSpacing/>
      </w:pPr>
      <w:r>
        <w:t>Modify the luminance factor as follows:</w:t>
      </w:r>
    </w:p>
    <w:p w:rsidR="005F78FC" w:rsidRDefault="00B42EF3">
      <w:r>
        <w:rPr>
          <w:noProof/>
        </w:rPr>
        <w:drawing>
          <wp:inline distT="0" distB="0" distL="0" distR="0">
            <wp:extent cx="1704975" cy="200025"/>
            <wp:effectExtent l="0" t="0" r="0" b="0"/>
            <wp:docPr id="5" name="Picture 1" descr="Equation to modify luminance factor: L prime = L times Tint sub percent + parentheses 1 minus Tint sub percent parentheses" title="Equation to modify luminance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a-0000-0000-0000-000000000000" descr="Equation to modify luminance factor: L prime = L times Tint sub percent + parentheses 1 minus Tint sub percent parentheses" title="Equation to modify luminance factor"/>
                    <pic:cNvPicPr>
                      <a:picLocks noChangeAspect="1" noChangeArrowheads="1"/>
                    </pic:cNvPicPr>
                  </pic:nvPicPr>
                  <pic:blipFill>
                    <a:blip r:embed="rId74" cstate="print"/>
                    <a:srcRect/>
                    <a:stretch>
                      <a:fillRect/>
                    </a:stretch>
                  </pic:blipFill>
                  <pic:spPr bwMode="auto">
                    <a:xfrm>
                      <a:off x="0" y="0"/>
                      <a:ext cx="1704975" cy="200025"/>
                    </a:xfrm>
                    <a:prstGeom prst="rect">
                      <a:avLst/>
                    </a:prstGeom>
                    <a:noFill/>
                    <a:ln w="9525">
                      <a:noFill/>
                      <a:miter lim="800000"/>
                      <a:headEnd/>
                      <a:tailEnd/>
                    </a:ln>
                  </pic:spPr>
                </pic:pic>
              </a:graphicData>
            </a:graphic>
          </wp:inline>
        </w:drawing>
      </w:r>
    </w:p>
    <w:p w:rsidR="005F78FC" w:rsidRDefault="00B42EF3">
      <w:pPr>
        <w:pStyle w:val="ListParagraph"/>
        <w:numPr>
          <w:ilvl w:val="0"/>
          <w:numId w:val="53"/>
        </w:numPr>
      </w:pPr>
      <w:r>
        <w:t>Convert the resultant HSL color to RGB.</w:t>
      </w:r>
    </w:p>
    <w:p w:rsidR="005F78FC" w:rsidRDefault="00B42EF3">
      <w:r>
        <w:t>If this attribute is specifi</w:t>
      </w:r>
      <w:r>
        <w:t xml:space="preserve">ed in the </w:t>
      </w:r>
      <w:r>
        <w:rPr>
          <w:b/>
        </w:rPr>
        <w:t>color</w:t>
      </w:r>
      <w:r>
        <w:t xml:space="preserve"> element ("[ISO/IEC-29500-1] §17.15.2.5; color (Frameset Splitter Color)") nested inside a </w:t>
      </w:r>
      <w:r>
        <w:rPr>
          <w:b/>
        </w:rPr>
        <w:t>framesetSplitbar</w:t>
      </w:r>
      <w:r>
        <w:t xml:space="preserve"> element ("[ISO/IEC-29500-1] §17.15.2.20; framesetSplitbar (Frameset Splitter Properties)"), Word will not use the specified theme col</w:t>
      </w:r>
      <w:r>
        <w:t xml:space="preserve">or but rather will use an RGB color based on the </w:t>
      </w:r>
      <w:r>
        <w:rPr>
          <w:b/>
        </w:rPr>
        <w:t>themeShade</w:t>
      </w:r>
      <w:r>
        <w:t xml:space="preserve"> and </w:t>
      </w:r>
      <w:r>
        <w:rPr>
          <w:b/>
        </w:rPr>
        <w:t>themeTint</w:t>
      </w:r>
      <w:r>
        <w:t xml:space="preserve"> attributes. The intensity of the red, green, and blue components of this RGB color range from 0 to 255. The value of </w:t>
      </w:r>
      <w:r>
        <w:rPr>
          <w:b/>
        </w:rPr>
        <w:t>themeTint</w:t>
      </w:r>
      <w:r>
        <w:t xml:space="preserve"> shall specify the intensity of the red component. If th</w:t>
      </w:r>
      <w:r>
        <w:t xml:space="preserve">e </w:t>
      </w:r>
      <w:r>
        <w:rPr>
          <w:b/>
        </w:rPr>
        <w:t>themeTint</w:t>
      </w:r>
      <w:r>
        <w:t xml:space="preserve"> attribute is omitted, the intensity of the red component shall default to 255. The value of </w:t>
      </w:r>
      <w:r>
        <w:rPr>
          <w:b/>
        </w:rPr>
        <w:t>themeShade</w:t>
      </w:r>
      <w:r>
        <w:t xml:space="preserve"> shall specify the intensity of the green component. If the </w:t>
      </w:r>
      <w:r>
        <w:rPr>
          <w:b/>
        </w:rPr>
        <w:t>themeShade</w:t>
      </w:r>
      <w:r>
        <w:t xml:space="preserve"> attribute is omitted, the intensity of the green component shall defaul</w:t>
      </w:r>
      <w:r>
        <w:t>t to 255. The intensity of the blue component shall be 0.</w:t>
      </w:r>
    </w:p>
    <w:p w:rsidR="005F78FC" w:rsidRDefault="00B42EF3">
      <w:r>
        <w:t xml:space="preserve">[Example: Consider a document with a background using the </w:t>
      </w:r>
      <w:r>
        <w:rPr>
          <w:i/>
        </w:rPr>
        <w:t>accent2</w:t>
      </w:r>
      <w:r>
        <w:t xml:space="preserve"> theme color, whose RGB value (in RRGGBB hex format) is </w:t>
      </w:r>
      <w:r>
        <w:rPr>
          <w:i/>
        </w:rPr>
        <w:t>4F81BD</w:t>
      </w:r>
      <w:r>
        <w:t>.</w:t>
      </w:r>
    </w:p>
    <w:p w:rsidR="005F78FC" w:rsidRDefault="00B42EF3">
      <w:r>
        <w:lastRenderedPageBreak/>
        <w:t>The equivalent HSL color value would be</w:t>
      </w:r>
      <w:r>
        <w:rPr>
          <w:noProof/>
        </w:rPr>
        <w:drawing>
          <wp:inline distT="0" distB="0" distL="0" distR="0">
            <wp:extent cx="876300" cy="247649"/>
            <wp:effectExtent l="0" t="0" r="0" b="0"/>
            <wp:docPr id="6" name="Picture 1" descr="HSL color value: parentheses 213 over 360 comma 0.45 comma 0.53 parentheses" title="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b-0000-0000-0000-000000000000" descr="HSL color value: parentheses 213 over 360 comma 0.45 comma 0.53 parentheses" title="HSL color value"/>
                    <pic:cNvPicPr>
                      <a:picLocks noChangeAspect="1" noChangeArrowheads="1"/>
                    </pic:cNvPicPr>
                  </pic:nvPicPr>
                  <pic:blipFill>
                    <a:blip r:embed="rId75" cstate="print"/>
                    <a:srcRect/>
                    <a:stretch>
                      <a:fillRect/>
                    </a:stretch>
                  </pic:blipFill>
                  <pic:spPr bwMode="auto">
                    <a:xfrm>
                      <a:off x="0" y="0"/>
                      <a:ext cx="876300" cy="247649"/>
                    </a:xfrm>
                    <a:prstGeom prst="rect">
                      <a:avLst/>
                    </a:prstGeom>
                    <a:noFill/>
                    <a:ln w="9525">
                      <a:noFill/>
                      <a:miter lim="800000"/>
                      <a:headEnd/>
                      <a:tailEnd/>
                    </a:ln>
                  </pic:spPr>
                </pic:pic>
              </a:graphicData>
            </a:graphic>
          </wp:inline>
        </w:drawing>
      </w:r>
      <w:r>
        <w:t xml:space="preserve">. </w:t>
      </w:r>
    </w:p>
    <w:p w:rsidR="005F78FC" w:rsidRDefault="00B42EF3">
      <w:r>
        <w:t xml:space="preserve">Applying the tint formula </w:t>
      </w:r>
      <w:r>
        <w:t>with a tint percentage of 60% to the luminance, the result is:</w:t>
      </w:r>
    </w:p>
    <w:p w:rsidR="005F78FC" w:rsidRDefault="00B42EF3">
      <w:r>
        <w:rPr>
          <w:noProof/>
        </w:rPr>
        <w:drawing>
          <wp:inline distT="0" distB="0" distL="0" distR="0">
            <wp:extent cx="1362075" cy="171450"/>
            <wp:effectExtent l="0" t="0" r="0" b="0"/>
            <wp:docPr id="7" name="Picture 1" descr="Equation for tint forumla: L prime = 0.53 times 0.6 + parentheses 1 minus .6 parentheses" title="Equation for tint forum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c-0000-0000-0000-000000000000" descr="Equation for tint forumla: L prime = 0.53 times 0.6 + parentheses 1 minus .6 parentheses" title="Equation for tint forumla"/>
                    <pic:cNvPicPr>
                      <a:picLocks noChangeAspect="1" noChangeArrowheads="1"/>
                    </pic:cNvPicPr>
                  </pic:nvPicPr>
                  <pic:blipFill>
                    <a:blip r:embed="rId76" cstate="print"/>
                    <a:srcRect/>
                    <a:stretch>
                      <a:fillRect/>
                    </a:stretch>
                  </pic:blipFill>
                  <pic:spPr bwMode="auto">
                    <a:xfrm>
                      <a:off x="0" y="0"/>
                      <a:ext cx="1362075" cy="171450"/>
                    </a:xfrm>
                    <a:prstGeom prst="rect">
                      <a:avLst/>
                    </a:prstGeom>
                    <a:noFill/>
                    <a:ln w="9525">
                      <a:noFill/>
                      <a:miter lim="800000"/>
                      <a:headEnd/>
                      <a:tailEnd/>
                    </a:ln>
                  </pic:spPr>
                </pic:pic>
              </a:graphicData>
            </a:graphic>
          </wp:inline>
        </w:drawing>
      </w:r>
    </w:p>
    <w:p w:rsidR="005F78FC" w:rsidRDefault="00B42EF3">
      <w:r>
        <w:rPr>
          <w:noProof/>
        </w:rPr>
        <w:drawing>
          <wp:inline distT="0" distB="0" distL="0" distR="0">
            <wp:extent cx="371475" cy="171450"/>
            <wp:effectExtent l="0" t="0" r="0" b="0"/>
            <wp:docPr id="8" name="Picture 1" descr="Result of equation: = 0.71" title="Result of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5-0000-0000-0000-000000000000" descr="Result of equation: = 0.71" title="Result of equation"/>
                    <pic:cNvPicPr>
                      <a:picLocks noChangeAspect="1" noChangeArrowheads="1"/>
                    </pic:cNvPicPr>
                  </pic:nvPicPr>
                  <pic:blipFill>
                    <a:blip r:embed="rId77" cstate="print"/>
                    <a:srcRect/>
                    <a:stretch>
                      <a:fillRect/>
                    </a:stretch>
                  </pic:blipFill>
                  <pic:spPr bwMode="auto">
                    <a:xfrm>
                      <a:off x="0" y="0"/>
                      <a:ext cx="371475" cy="171450"/>
                    </a:xfrm>
                    <a:prstGeom prst="rect">
                      <a:avLst/>
                    </a:prstGeom>
                    <a:noFill/>
                    <a:ln w="9525">
                      <a:noFill/>
                      <a:miter lim="800000"/>
                      <a:headEnd/>
                      <a:tailEnd/>
                    </a:ln>
                  </pic:spPr>
                </pic:pic>
              </a:graphicData>
            </a:graphic>
          </wp:inline>
        </w:drawing>
      </w:r>
    </w:p>
    <w:p w:rsidR="005F78FC" w:rsidRDefault="00B42EF3">
      <w:r>
        <w:t xml:space="preserve">Taking the resulting HSL color value of </w:t>
      </w:r>
      <w:r>
        <w:rPr>
          <w:noProof/>
        </w:rPr>
        <w:drawing>
          <wp:inline distT="0" distB="0" distL="0" distR="0">
            <wp:extent cx="847725" cy="247649"/>
            <wp:effectExtent l="0" t="0" r="0" b="0"/>
            <wp:docPr id="9" name="Picture 1" descr="HSL color value: parentheses 213 over 360 comma 0.45 comma 0.71 parentheses" title="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6-0000-0000-0000-000000000000" descr="HSL color value: parentheses 213 over 360 comma 0.45 comma 0.71 parentheses" title="HSL color value"/>
                    <pic:cNvPicPr>
                      <a:picLocks noChangeAspect="1" noChangeArrowheads="1"/>
                    </pic:cNvPicPr>
                  </pic:nvPicPr>
                  <pic:blipFill>
                    <a:blip r:embed="rId78" cstate="print"/>
                    <a:srcRect/>
                    <a:stretch>
                      <a:fillRect/>
                    </a:stretch>
                  </pic:blipFill>
                  <pic:spPr bwMode="auto">
                    <a:xfrm>
                      <a:off x="0" y="0"/>
                      <a:ext cx="847725" cy="247649"/>
                    </a:xfrm>
                    <a:prstGeom prst="rect">
                      <a:avLst/>
                    </a:prstGeom>
                    <a:noFill/>
                    <a:ln w="9525">
                      <a:noFill/>
                      <a:miter lim="800000"/>
                      <a:headEnd/>
                      <a:tailEnd/>
                    </a:ln>
                  </pic:spPr>
                </pic:pic>
              </a:graphicData>
            </a:graphic>
          </wp:inline>
        </w:drawing>
      </w:r>
      <w:r>
        <w:t xml:space="preserve"> and converting back to RGB, the result is </w:t>
      </w:r>
      <w:r>
        <w:rPr>
          <w:i/>
        </w:rPr>
        <w:t>95B3D7</w:t>
      </w:r>
      <w:r>
        <w:t>.</w:t>
      </w:r>
    </w:p>
    <w:p w:rsidR="005F78FC" w:rsidRDefault="00B42EF3">
      <w:r>
        <w:t xml:space="preserve">This transformed value can be seen in the resulting background's </w:t>
      </w:r>
      <w:r>
        <w:rPr>
          <w:b/>
        </w:rPr>
        <w:t>color</w:t>
      </w:r>
      <w:r>
        <w:t xml:space="preserve"> attribute:</w:t>
      </w:r>
    </w:p>
    <w:p w:rsidR="005F78FC" w:rsidRDefault="00B42EF3">
      <w:pPr>
        <w:pStyle w:val="Code"/>
      </w:pPr>
      <w:r>
        <w:t>&lt;w:top w:val="s</w:t>
      </w:r>
      <w:r>
        <w:t>ingle" w:sz="4" w:space="24"</w:t>
      </w:r>
    </w:p>
    <w:p w:rsidR="005F78FC" w:rsidRDefault="00B42EF3">
      <w:pPr>
        <w:pStyle w:val="Code"/>
      </w:pPr>
      <w:r>
        <w:t xml:space="preserve">  w:color="95B3D7" w:themeColor="accent2" </w:t>
      </w:r>
    </w:p>
    <w:p w:rsidR="005F78FC" w:rsidRDefault="00B42EF3">
      <w:pPr>
        <w:pStyle w:val="Code"/>
      </w:pPr>
      <w:r>
        <w:t xml:space="preserve">  w:themeTint="99"/&gt;</w:t>
      </w:r>
    </w:p>
    <w:p w:rsidR="005F78FC" w:rsidRDefault="00B42EF3">
      <w:r>
        <w:t>end example]</w:t>
      </w:r>
    </w:p>
    <w:p w:rsidR="005F78FC" w:rsidRDefault="00B42EF3">
      <w:pPr>
        <w:pStyle w:val="Heading3"/>
      </w:pPr>
      <w:bookmarkStart w:id="166" w:name="section_4f50ceb9013d4affa66144e88c4ae009"/>
      <w:bookmarkStart w:id="167" w:name="_Toc69877856"/>
      <w:r>
        <w:t>Part 1 Section 17.3.2.7, cs (Use Complex Script Formatting on Run)</w:t>
      </w:r>
      <w:bookmarkEnd w:id="166"/>
      <w:bookmarkEnd w:id="167"/>
      <w:r>
        <w:fldChar w:fldCharType="begin"/>
      </w:r>
      <w:r>
        <w:instrText xml:space="preserve"> XE "cs (Use Complex Script Formatting on Run)"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w:t>
      </w:r>
    </w:p>
    <w:p w:rsidR="005F78FC" w:rsidRDefault="00B42EF3">
      <w:pPr>
        <w:pStyle w:val="Heading3"/>
      </w:pPr>
      <w:bookmarkStart w:id="168" w:name="section_0c2fbdfee3c442339e5874bee9eac813"/>
      <w:bookmarkStart w:id="169" w:name="_Toc69877857"/>
      <w:r>
        <w:t>Part 1 Section 17.3.2.8, dir (Bidirectional Embedding Level)</w:t>
      </w:r>
      <w:bookmarkEnd w:id="168"/>
      <w:bookmarkEnd w:id="169"/>
      <w:r>
        <w:fldChar w:fldCharType="begin"/>
      </w:r>
      <w:r>
        <w:instrText xml:space="preserve"> XE "dir (Bidirectional Embedding Level)" </w:instrText>
      </w:r>
      <w:r>
        <w:fldChar w:fldCharType="end"/>
      </w:r>
    </w:p>
    <w:p w:rsidR="005F78FC" w:rsidRDefault="00B42EF3">
      <w:pPr>
        <w:pStyle w:val="Definition-Field"/>
      </w:pPr>
      <w:r>
        <w:t xml:space="preserve">a.   </w:t>
      </w:r>
      <w:r>
        <w:rPr>
          <w:i/>
        </w:rPr>
        <w:t xml:space="preserve">The standard states the list of parents of the dir element, which </w:t>
      </w:r>
      <w:r>
        <w:rPr>
          <w:i/>
        </w:rPr>
        <w:t>does not include the oMath element (Section 22.1.2.77)</w:t>
      </w:r>
    </w:p>
    <w:p w:rsidR="005F78FC" w:rsidRDefault="00B42EF3">
      <w:pPr>
        <w:pStyle w:val="Definition-Field2"/>
      </w:pPr>
      <w:r>
        <w:t>Word can write the w:dir element as a child of the oMath element.</w:t>
      </w:r>
    </w:p>
    <w:p w:rsidR="005F78FC" w:rsidRDefault="00B42EF3">
      <w:pPr>
        <w:pStyle w:val="Heading3"/>
      </w:pPr>
      <w:bookmarkStart w:id="170" w:name="section_efbc3ed11349457293a0a4e0f71e2a8b"/>
      <w:bookmarkStart w:id="171" w:name="_Toc69877858"/>
      <w:r>
        <w:t>Part 1 Section 17.3.2.10, eastAsianLayout (East Asian Typography Settings)</w:t>
      </w:r>
      <w:bookmarkEnd w:id="170"/>
      <w:bookmarkEnd w:id="171"/>
      <w:r>
        <w:fldChar w:fldCharType="begin"/>
      </w:r>
      <w:r>
        <w:instrText xml:space="preserve"> XE "eastAsianLayout (East Asian Typography Settings)" </w:instrText>
      </w:r>
      <w:r>
        <w:fldChar w:fldCharType="end"/>
      </w:r>
    </w:p>
    <w:p w:rsidR="005F78FC" w:rsidRDefault="00B42EF3">
      <w:pPr>
        <w:pStyle w:val="Definition-Field"/>
      </w:pPr>
      <w:r>
        <w:t xml:space="preserve">a. </w:t>
      </w:r>
      <w:r>
        <w:t xml:space="preserve">  </w:t>
      </w:r>
      <w:r>
        <w:rPr>
          <w:i/>
        </w:rPr>
        <w:t>The standard states that horizontal in vertical text is performed with rotation for vertical at 90 degrees in one location and 270 in another.</w:t>
      </w:r>
    </w:p>
    <w:p w:rsidR="005F78FC" w:rsidRDefault="00B42EF3">
      <w:pPr>
        <w:pStyle w:val="Definition-Field2"/>
      </w:pPr>
      <w:r>
        <w:t>Word rotates text 90 degrees to the left.</w:t>
      </w:r>
    </w:p>
    <w:p w:rsidR="005F78FC" w:rsidRDefault="00B42EF3">
      <w:pPr>
        <w:pStyle w:val="Definition-Field"/>
      </w:pPr>
      <w:r>
        <w:t xml:space="preserve">b.   </w:t>
      </w:r>
      <w:r>
        <w:rPr>
          <w:i/>
        </w:rPr>
        <w:t>The standard states that the vertCompress attribute determines w</w:t>
      </w:r>
      <w:r>
        <w:rPr>
          <w:i/>
        </w:rPr>
        <w:t>hether the rotated text shall be compressed at display time in order to ensure that it fits into the existing line height.</w:t>
      </w:r>
    </w:p>
    <w:p w:rsidR="005F78FC" w:rsidRDefault="00B42EF3">
      <w:pPr>
        <w:pStyle w:val="Definition-Field2"/>
      </w:pPr>
      <w:r>
        <w:t>Word ignores this attribute.</w:t>
      </w:r>
    </w:p>
    <w:p w:rsidR="005F78FC" w:rsidRDefault="00B42EF3">
      <w:pPr>
        <w:pStyle w:val="Definition-Field"/>
      </w:pPr>
      <w:r>
        <w:t xml:space="preserve">c.   </w:t>
      </w:r>
      <w:r>
        <w:rPr>
          <w:i/>
        </w:rPr>
        <w:t>The standard does not state how to resolve conflicts between this element and the fitText element.</w:t>
      </w:r>
    </w:p>
    <w:p w:rsidR="005F78FC" w:rsidRDefault="00B42EF3">
      <w:pPr>
        <w:pStyle w:val="Definition-Field2"/>
      </w:pPr>
      <w:r>
        <w:t>Word ignores this element if the fitText element is also present on the parent paragraph.</w:t>
      </w:r>
    </w:p>
    <w:p w:rsidR="005F78FC" w:rsidRDefault="00B42EF3">
      <w:pPr>
        <w:pStyle w:val="Definition-Field"/>
      </w:pPr>
      <w:r>
        <w:t xml:space="preserve">d.   </w:t>
      </w:r>
      <w:r>
        <w:rPr>
          <w:i/>
        </w:rPr>
        <w:t>The standard does not state how a conflict between the settings specified by the combine attribute and the vert attribute should be resolved.</w:t>
      </w:r>
    </w:p>
    <w:p w:rsidR="005F78FC" w:rsidRDefault="00B42EF3">
      <w:pPr>
        <w:pStyle w:val="Definition-Field2"/>
      </w:pPr>
      <w:r>
        <w:t>Word ignores the ve</w:t>
      </w:r>
      <w:r>
        <w:t>rt attribute when the combine attribute is set to true (or equivalent).</w:t>
      </w:r>
    </w:p>
    <w:p w:rsidR="005F78FC" w:rsidRDefault="00B42EF3">
      <w:pPr>
        <w:pStyle w:val="Definition-Field"/>
      </w:pPr>
      <w:r>
        <w:t xml:space="preserve">e.   </w:t>
      </w:r>
      <w:r>
        <w:rPr>
          <w:i/>
        </w:rPr>
        <w:t>The standard states that this element should work within a numbering level definition.</w:t>
      </w:r>
    </w:p>
    <w:p w:rsidR="005F78FC" w:rsidRDefault="00B42EF3">
      <w:pPr>
        <w:pStyle w:val="Definition-Field2"/>
      </w:pPr>
      <w:r>
        <w:t xml:space="preserve">Word does not support this element when used within the run properties of a numbering level </w:t>
      </w:r>
      <w:r>
        <w:t>definition.</w:t>
      </w:r>
    </w:p>
    <w:p w:rsidR="005F78FC" w:rsidRDefault="00B42EF3">
      <w:pPr>
        <w:pStyle w:val="Definition-Field"/>
      </w:pPr>
      <w:r>
        <w:lastRenderedPageBreak/>
        <w:t xml:space="preserve">f.   </w:t>
      </w:r>
      <w:r>
        <w:rPr>
          <w:i/>
        </w:rPr>
        <w:t>The standard states that this element specifies the East Asian typography settings which shall be applied to the contents of the run.</w:t>
      </w:r>
    </w:p>
    <w:p w:rsidR="005F78FC" w:rsidRDefault="00B42EF3">
      <w:pPr>
        <w:pStyle w:val="Definition-Field2"/>
      </w:pPr>
      <w:r>
        <w:t>Word ignores these settings when the run is contained inside an equation, and when the run's direction do</w:t>
      </w:r>
      <w:r>
        <w:t>es not match the direction of the parent paragraph.</w:t>
      </w:r>
    </w:p>
    <w:p w:rsidR="005F78FC" w:rsidRDefault="00B42EF3">
      <w:pPr>
        <w:pStyle w:val="Heading3"/>
      </w:pPr>
      <w:bookmarkStart w:id="172" w:name="section_be63571bd1204e6c87935326f06cba49"/>
      <w:bookmarkStart w:id="173" w:name="_Toc69877859"/>
      <w:r>
        <w:t>Part 1 Section 17.3.2.11, effect (Animated Text Effect)</w:t>
      </w:r>
      <w:bookmarkEnd w:id="172"/>
      <w:bookmarkEnd w:id="173"/>
      <w:r>
        <w:fldChar w:fldCharType="begin"/>
      </w:r>
      <w:r>
        <w:instrText xml:space="preserve"> XE "effect (Animated Text Effect)" </w:instrText>
      </w:r>
      <w:r>
        <w:fldChar w:fldCharType="end"/>
      </w:r>
    </w:p>
    <w:p w:rsidR="005F78FC" w:rsidRDefault="00B42EF3">
      <w:pPr>
        <w:pStyle w:val="Definition-Field"/>
      </w:pPr>
      <w:r>
        <w:t xml:space="preserve">a.   </w:t>
      </w:r>
      <w:r>
        <w:rPr>
          <w:i/>
        </w:rPr>
        <w:t>The standard states that the text effect is rendered around the text, but not all effects are border effe</w:t>
      </w:r>
      <w:r>
        <w:rPr>
          <w:i/>
        </w:rPr>
        <w:t>cts.</w:t>
      </w:r>
    </w:p>
    <w:p w:rsidR="005F78FC" w:rsidRDefault="00B42EF3">
      <w:pPr>
        <w:pStyle w:val="Definition-Field2"/>
      </w:pPr>
      <w:r>
        <w:t>Word renders the text effects defined in blinkBackground, shimmer, and sparkle animations behind the text, as they are not border animations.</w:t>
      </w:r>
    </w:p>
    <w:p w:rsidR="005F78FC" w:rsidRDefault="00B42EF3">
      <w:pPr>
        <w:pStyle w:val="Heading3"/>
      </w:pPr>
      <w:bookmarkStart w:id="174" w:name="section_ee04d38668c14e8dbce4f4250173ca21"/>
      <w:bookmarkStart w:id="175" w:name="_Toc69877860"/>
      <w:r>
        <w:t>Part 1 Section 17.3.2.13, emboss (Embossing)</w:t>
      </w:r>
      <w:bookmarkEnd w:id="174"/>
      <w:bookmarkEnd w:id="175"/>
      <w:r>
        <w:fldChar w:fldCharType="begin"/>
      </w:r>
      <w:r>
        <w:instrText xml:space="preserve"> XE "emboss (Embossing)" </w:instrText>
      </w:r>
      <w:r>
        <w:fldChar w:fldCharType="end"/>
      </w:r>
    </w:p>
    <w:p w:rsidR="005F78FC" w:rsidRDefault="00B42EF3">
      <w:pPr>
        <w:pStyle w:val="Definition-Field"/>
      </w:pPr>
      <w:r>
        <w:t xml:space="preserve">a.   </w:t>
      </w:r>
      <w:r>
        <w:rPr>
          <w:i/>
        </w:rPr>
        <w:t>The standard states that this el</w:t>
      </w:r>
      <w:r>
        <w:rPr>
          <w:i/>
        </w:rPr>
        <w:t>ement shall not be present with either the imprint or outline elements.</w:t>
      </w:r>
    </w:p>
    <w:p w:rsidR="005F78FC" w:rsidRDefault="00B42EF3">
      <w:pPr>
        <w:pStyle w:val="Definition-Field2"/>
      </w:pPr>
      <w:r>
        <w:t>Word also prevents it from being present with the shadow element.</w:t>
      </w:r>
    </w:p>
    <w:p w:rsidR="005F78FC" w:rsidRDefault="00B42EF3">
      <w:pPr>
        <w:pStyle w:val="Heading3"/>
      </w:pPr>
      <w:bookmarkStart w:id="176" w:name="section_aec278824aa1491c9c00fbc9bb00c9f7"/>
      <w:bookmarkStart w:id="177" w:name="_Toc69877861"/>
      <w:r>
        <w:t>Part 1 Section 17.3.2.14, fitText (Manual Run Width)</w:t>
      </w:r>
      <w:bookmarkEnd w:id="176"/>
      <w:bookmarkEnd w:id="177"/>
      <w:r>
        <w:fldChar w:fldCharType="begin"/>
      </w:r>
      <w:r>
        <w:instrText xml:space="preserve"> XE "fitText (Manual Run Width)" </w:instrText>
      </w:r>
      <w:r>
        <w:fldChar w:fldCharType="end"/>
      </w:r>
    </w:p>
    <w:p w:rsidR="005F78FC" w:rsidRDefault="00B42EF3">
      <w:pPr>
        <w:pStyle w:val="Definition-Field"/>
      </w:pPr>
      <w:r>
        <w:t xml:space="preserve">a.   </w:t>
      </w:r>
      <w:r>
        <w:rPr>
          <w:i/>
        </w:rPr>
        <w:t xml:space="preserve">The standard states that </w:t>
      </w:r>
      <w:r>
        <w:rPr>
          <w:i/>
        </w:rPr>
        <w:t>the fitText element causes the contents of the run to be resized to fit the width specified by the val attribute.</w:t>
      </w:r>
    </w:p>
    <w:p w:rsidR="005F78FC" w:rsidRDefault="00B42EF3">
      <w:pPr>
        <w:pStyle w:val="Definition-Field2"/>
      </w:pPr>
      <w:r>
        <w:t>Word ignores this element inside Math, inside structured document tags, and for text that does not match the reading order of the parent parag</w:t>
      </w:r>
      <w:r>
        <w:t>raph.</w:t>
      </w:r>
    </w:p>
    <w:p w:rsidR="005F78FC" w:rsidRDefault="00B42EF3">
      <w:pPr>
        <w:pStyle w:val="Definition-Field"/>
      </w:pPr>
      <w:r>
        <w:t xml:space="preserve">b.   </w:t>
      </w:r>
      <w:r>
        <w:rPr>
          <w:i/>
        </w:rPr>
        <w:t>The standard states that if the id attribute is omitted, then this run has no ID and shall not be linked with any other run in the parent paragraph.</w:t>
      </w:r>
    </w:p>
    <w:p w:rsidR="005F78FC" w:rsidRDefault="00B42EF3">
      <w:pPr>
        <w:pStyle w:val="Definition-Field2"/>
      </w:pPr>
      <w:r>
        <w:t xml:space="preserve">Word assigns an id of 0 when the id attribute is omitted, and links it to other contiguous runs </w:t>
      </w:r>
      <w:r>
        <w:t>having an omitted id attribute (or an explicit id value of 0).</w:t>
      </w:r>
    </w:p>
    <w:p w:rsidR="005F78FC" w:rsidRDefault="00B42EF3">
      <w:pPr>
        <w:pStyle w:val="Definition-Field"/>
      </w:pPr>
      <w:r>
        <w:t xml:space="preserve">c.   </w:t>
      </w:r>
      <w:r>
        <w:rPr>
          <w:i/>
        </w:rPr>
        <w:t>The standard states that the val attribute can contain any 64-bit integer value.</w:t>
      </w:r>
    </w:p>
    <w:p w:rsidR="005F78FC" w:rsidRDefault="00B42EF3">
      <w:pPr>
        <w:pStyle w:val="Definition-Field2"/>
      </w:pPr>
      <w:r>
        <w:t>Word restricts this attribute to a value between 0 and 31680 (22").</w:t>
      </w:r>
    </w:p>
    <w:p w:rsidR="005F78FC" w:rsidRDefault="00B42EF3">
      <w:pPr>
        <w:pStyle w:val="Definition-Field"/>
      </w:pPr>
      <w:r>
        <w:t xml:space="preserve">d.   </w:t>
      </w:r>
      <w:r>
        <w:rPr>
          <w:i/>
        </w:rPr>
        <w:t xml:space="preserve">The standard does not state how a </w:t>
      </w:r>
      <w:r>
        <w:rPr>
          <w:i/>
        </w:rPr>
        <w:t>conflict between this setting and the spacing element and/or the eastAsianLayout element should be handled.</w:t>
      </w:r>
    </w:p>
    <w:p w:rsidR="005F78FC" w:rsidRDefault="00B42EF3">
      <w:pPr>
        <w:pStyle w:val="Definition-Field2"/>
      </w:pPr>
      <w:r>
        <w:t>Word uses this element when it is present, ignoring the spacing element and/or the eastAsianLayout element.</w:t>
      </w:r>
    </w:p>
    <w:p w:rsidR="005F78FC" w:rsidRDefault="00B42EF3">
      <w:pPr>
        <w:pStyle w:val="Heading3"/>
      </w:pPr>
      <w:bookmarkStart w:id="178" w:name="section_e07a90e276b547dd8bf4668a806177c7"/>
      <w:bookmarkStart w:id="179" w:name="_Toc69877862"/>
      <w:r>
        <w:t>Part 1 Section 17.3.2.15, highlight (Tex</w:t>
      </w:r>
      <w:r>
        <w:t>t Highlighting)</w:t>
      </w:r>
      <w:bookmarkEnd w:id="178"/>
      <w:bookmarkEnd w:id="179"/>
      <w:r>
        <w:fldChar w:fldCharType="begin"/>
      </w:r>
      <w:r>
        <w:instrText xml:space="preserve"> XE "highlight (Text Highlighting)"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 xml:space="preserve">; </w:t>
      </w:r>
      <w:hyperlink w:anchor="Section_ffb4a990b46f4e388db396fc13d0b0f6">
        <w:r>
          <w:rPr>
            <w:rStyle w:val="Hyperlink"/>
          </w:rPr>
          <w:t>rPr, §17.9.24(a)</w:t>
        </w:r>
      </w:hyperlink>
      <w:r>
        <w:rPr>
          <w:i/>
        </w:rPr>
        <w:t>.</w:t>
      </w:r>
    </w:p>
    <w:p w:rsidR="005F78FC" w:rsidRDefault="00B42EF3">
      <w:pPr>
        <w:pStyle w:val="Heading3"/>
      </w:pPr>
      <w:bookmarkStart w:id="180" w:name="section_1288dac9291e4330b7cd020a392632c4"/>
      <w:bookmarkStart w:id="181" w:name="_Toc69877863"/>
      <w:r>
        <w:t>Part 1 Section 17.3.2.16, i (Italics)</w:t>
      </w:r>
      <w:bookmarkEnd w:id="180"/>
      <w:bookmarkEnd w:id="181"/>
      <w:r>
        <w:fldChar w:fldCharType="begin"/>
      </w:r>
      <w:r>
        <w:instrText xml:space="preserve"> XE </w:instrText>
      </w:r>
      <w:r>
        <w:instrText xml:space="preserve">"i (Italics)" </w:instrText>
      </w:r>
      <w:r>
        <w:fldChar w:fldCharType="end"/>
      </w:r>
    </w:p>
    <w:p w:rsidR="005F78FC" w:rsidRDefault="00B42EF3">
      <w:pPr>
        <w:pStyle w:val="Definition-Field"/>
      </w:pPr>
      <w:r>
        <w:t xml:space="preserve">a.   </w:t>
      </w:r>
      <w:r>
        <w:rPr>
          <w:i/>
        </w:rPr>
        <w:t>The standard states that this element applies italics to non-complex script characters, but does not specify how that determination is made.</w:t>
      </w:r>
    </w:p>
    <w:p w:rsidR="005F78FC" w:rsidRDefault="00B42EF3">
      <w:pPr>
        <w:pStyle w:val="Definition-Field2"/>
      </w:pPr>
      <w:r>
        <w:t>Word determines this state based on the state of the cs and rtl properties and applies italic</w:t>
      </w:r>
      <w:r>
        <w:t>s to runs that do not use either of those properties.</w:t>
      </w:r>
    </w:p>
    <w:p w:rsidR="005F78FC" w:rsidRDefault="00B42EF3">
      <w:pPr>
        <w:pStyle w:val="Heading3"/>
      </w:pPr>
      <w:bookmarkStart w:id="182" w:name="section_22f74ff1babf4b338095058fc001c105"/>
      <w:bookmarkStart w:id="183" w:name="_Toc69877864"/>
      <w:r>
        <w:lastRenderedPageBreak/>
        <w:t>Part 1 Section 17.3.2.17, iCs (Complex Script Italics)</w:t>
      </w:r>
      <w:bookmarkEnd w:id="182"/>
      <w:bookmarkEnd w:id="183"/>
      <w:r>
        <w:fldChar w:fldCharType="begin"/>
      </w:r>
      <w:r>
        <w:instrText xml:space="preserve"> XE "iCs (Complex Script Italics)" </w:instrText>
      </w:r>
      <w:r>
        <w:fldChar w:fldCharType="end"/>
      </w:r>
    </w:p>
    <w:p w:rsidR="005F78FC" w:rsidRDefault="00B42EF3">
      <w:pPr>
        <w:pStyle w:val="Definition-Field"/>
      </w:pPr>
      <w:r>
        <w:t xml:space="preserve">a.   </w:t>
      </w:r>
      <w:r>
        <w:rPr>
          <w:i/>
        </w:rPr>
        <w:t xml:space="preserve">The standard states that this element applies italics to complex script characters, but does not specify </w:t>
      </w:r>
      <w:r>
        <w:rPr>
          <w:i/>
        </w:rPr>
        <w:t>how that determination is made.</w:t>
      </w:r>
    </w:p>
    <w:p w:rsidR="005F78FC" w:rsidRDefault="00B42EF3">
      <w:pPr>
        <w:pStyle w:val="Definition-Field2"/>
      </w:pPr>
      <w:r>
        <w:t>Word determines this state based on the state of the cs and rtl properties and applies italics to runs that use either of those properties.</w:t>
      </w:r>
    </w:p>
    <w:p w:rsidR="005F78FC" w:rsidRDefault="00B42EF3">
      <w:pPr>
        <w:pStyle w:val="Heading3"/>
      </w:pPr>
      <w:bookmarkStart w:id="184" w:name="section_1b1a3ab800294944aa76f1e7188c9447"/>
      <w:bookmarkStart w:id="185" w:name="_Toc69877865"/>
      <w:r>
        <w:t>Part 1 Section 17.3.2.18, imprint (Imprinting)</w:t>
      </w:r>
      <w:bookmarkEnd w:id="184"/>
      <w:bookmarkEnd w:id="185"/>
      <w:r>
        <w:fldChar w:fldCharType="begin"/>
      </w:r>
      <w:r>
        <w:instrText xml:space="preserve"> XE "imprint (Imprinting)" </w:instrText>
      </w:r>
      <w:r>
        <w:fldChar w:fldCharType="end"/>
      </w:r>
    </w:p>
    <w:p w:rsidR="005F78FC" w:rsidRDefault="00B42EF3">
      <w:pPr>
        <w:pStyle w:val="Definition-Field"/>
      </w:pPr>
      <w:r>
        <w:t xml:space="preserve">a.   </w:t>
      </w:r>
      <w:r>
        <w:rPr>
          <w:i/>
        </w:rPr>
        <w:t>The</w:t>
      </w:r>
      <w:r>
        <w:rPr>
          <w:i/>
        </w:rPr>
        <w:t xml:space="preserve"> standard states that this element shall not be present with either the emboss or outline elements.</w:t>
      </w:r>
    </w:p>
    <w:p w:rsidR="005F78FC" w:rsidRDefault="00B42EF3">
      <w:pPr>
        <w:pStyle w:val="Definition-Field2"/>
      </w:pPr>
      <w:r>
        <w:t>Word also prevents it from being present with the shadow element.</w:t>
      </w:r>
    </w:p>
    <w:p w:rsidR="005F78FC" w:rsidRDefault="00B42EF3">
      <w:pPr>
        <w:pStyle w:val="Heading3"/>
      </w:pPr>
      <w:bookmarkStart w:id="186" w:name="section_f04d9c4e29ef45e18de4de8701e7b796"/>
      <w:bookmarkStart w:id="187" w:name="_Toc69877866"/>
      <w:r>
        <w:t>Part 1 Section 17.3.2.19, kern (Font Kerning)</w:t>
      </w:r>
      <w:bookmarkEnd w:id="186"/>
      <w:bookmarkEnd w:id="187"/>
      <w:r>
        <w:fldChar w:fldCharType="begin"/>
      </w:r>
      <w:r>
        <w:instrText xml:space="preserve"> XE "kern (Font Kerning)" </w:instrText>
      </w:r>
      <w:r>
        <w:fldChar w:fldCharType="end"/>
      </w:r>
    </w:p>
    <w:p w:rsidR="005F78FC" w:rsidRDefault="00B42EF3">
      <w:pPr>
        <w:pStyle w:val="Definition-Field"/>
      </w:pPr>
      <w:r>
        <w:t xml:space="preserve">a.   </w:t>
      </w:r>
      <w:r>
        <w:rPr>
          <w:i/>
        </w:rPr>
        <w:t>The standar</w:t>
      </w:r>
      <w:r>
        <w:rPr>
          <w:i/>
        </w:rPr>
        <w:t>d states that the values of the val attribute are defined by the XML Schema unsignedLong datatype.</w:t>
      </w:r>
    </w:p>
    <w:p w:rsidR="005F78FC" w:rsidRDefault="00B42EF3">
      <w:pPr>
        <w:pStyle w:val="Definition-Field2"/>
      </w:pPr>
      <w:r>
        <w:t>Word defines the values of this attribute with the XML Schema unsignedInt datatype, with a minimum value of 0 and a maximum value of 3277.</w:t>
      </w:r>
    </w:p>
    <w:p w:rsidR="005F78FC" w:rsidRDefault="00B42EF3">
      <w:pPr>
        <w:pStyle w:val="Heading3"/>
      </w:pPr>
      <w:bookmarkStart w:id="188" w:name="section_40c5a8d11e3e43dca5b0f324ea36bac1"/>
      <w:bookmarkStart w:id="189" w:name="_Toc69877867"/>
      <w:r>
        <w:t>Part 1 Section 17.</w:t>
      </w:r>
      <w:r>
        <w:t>3.2.20, lang (Languages for Run Content)</w:t>
      </w:r>
      <w:bookmarkEnd w:id="188"/>
      <w:bookmarkEnd w:id="189"/>
      <w:r>
        <w:fldChar w:fldCharType="begin"/>
      </w:r>
      <w:r>
        <w:instrText xml:space="preserve"> XE "lang (Languages for Run Content)" </w:instrText>
      </w:r>
      <w:r>
        <w:fldChar w:fldCharType="end"/>
      </w:r>
    </w:p>
    <w:p w:rsidR="005F78FC" w:rsidRDefault="00B42EF3">
      <w:pPr>
        <w:pStyle w:val="Definition-Field"/>
      </w:pPr>
      <w:r>
        <w:t xml:space="preserve">a.   </w:t>
      </w:r>
      <w:r>
        <w:rPr>
          <w:i/>
        </w:rPr>
        <w:t>The standard states that the bidi attribute applies font size to complex script characters, but does not specify how that determination is made.</w:t>
      </w:r>
    </w:p>
    <w:p w:rsidR="005F78FC" w:rsidRDefault="00B42EF3">
      <w:pPr>
        <w:pStyle w:val="Definition-Field2"/>
      </w:pPr>
      <w:r>
        <w:t>Word determines this sta</w:t>
      </w:r>
      <w:r>
        <w:t>te based on the state of the cs and rtl properties and applies the language to runs that use either of those properties.</w:t>
      </w:r>
    </w:p>
    <w:p w:rsidR="005F78FC" w:rsidRDefault="00B42EF3">
      <w:pPr>
        <w:pStyle w:val="Heading3"/>
      </w:pPr>
      <w:bookmarkStart w:id="190" w:name="section_c79fa63fc83f4f3cacd9979af05ae4fd"/>
      <w:bookmarkStart w:id="191" w:name="_Toc69877868"/>
      <w:r>
        <w:t>Part 1 Section 17.3.2.21, noProof (Do Not Check Spelling or Grammar)</w:t>
      </w:r>
      <w:bookmarkEnd w:id="190"/>
      <w:bookmarkEnd w:id="191"/>
      <w:r>
        <w:fldChar w:fldCharType="begin"/>
      </w:r>
      <w:r>
        <w:instrText xml:space="preserve"> XE "noProof (Do Not Check Spelling or Grammar)" </w:instrText>
      </w:r>
      <w:r>
        <w:fldChar w:fldCharType="end"/>
      </w:r>
    </w:p>
    <w:p w:rsidR="005F78FC" w:rsidRDefault="00B42EF3">
      <w:pPr>
        <w:pStyle w:val="Definition-Field"/>
      </w:pPr>
      <w:r>
        <w:t xml:space="preserve">a.   </w:t>
      </w:r>
      <w:r>
        <w:rPr>
          <w:i/>
        </w:rPr>
        <w:t>The standa</w:t>
      </w:r>
      <w:r>
        <w:rPr>
          <w:i/>
        </w:rPr>
        <w:t>rd states that this element causes spelling and grammar to be suppressed.</w:t>
      </w:r>
    </w:p>
    <w:p w:rsidR="005F78FC" w:rsidRDefault="00B42EF3">
      <w:pPr>
        <w:pStyle w:val="Definition-Field2"/>
      </w:pPr>
      <w:r>
        <w:t>Word does not check spelling, grammar, or hyphenate runs that contain this element.</w:t>
      </w:r>
    </w:p>
    <w:p w:rsidR="005F78FC" w:rsidRDefault="00B42EF3">
      <w:pPr>
        <w:pStyle w:val="Heading3"/>
      </w:pPr>
      <w:bookmarkStart w:id="192" w:name="section_94590ec4e4c14f7ab967abe6bf8658b2"/>
      <w:bookmarkStart w:id="193" w:name="_Toc69877869"/>
      <w:r>
        <w:t>Part 1 Section 17.3.2.22, oMath (Office Open XML Math)</w:t>
      </w:r>
      <w:bookmarkEnd w:id="192"/>
      <w:bookmarkEnd w:id="193"/>
      <w:r>
        <w:fldChar w:fldCharType="begin"/>
      </w:r>
      <w:r>
        <w:instrText xml:space="preserve"> XE "oMath (Office Open XML Math)" </w:instrText>
      </w:r>
      <w:r>
        <w:fldChar w:fldCharType="end"/>
      </w:r>
    </w:p>
    <w:p w:rsidR="005F78FC" w:rsidRDefault="00B42EF3">
      <w:pPr>
        <w:pStyle w:val="Definition-Field2"/>
      </w:pPr>
      <w:r>
        <w:rPr>
          <w:i/>
        </w:rPr>
        <w:t>For ad</w:t>
      </w:r>
      <w:r>
        <w:rPr>
          <w:i/>
        </w:rPr>
        <w:t xml:space="preserve">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 xml:space="preserve">; </w:t>
      </w:r>
      <w:hyperlink w:anchor="Section_ffb4a990b46f4e388db396fc13d0b0f6">
        <w:r>
          <w:rPr>
            <w:rStyle w:val="Hyperlink"/>
          </w:rPr>
          <w:t>rPr, §17.9.24(a)</w:t>
        </w:r>
      </w:hyperlink>
      <w:r>
        <w:rPr>
          <w:i/>
        </w:rPr>
        <w:t>.</w:t>
      </w:r>
    </w:p>
    <w:p w:rsidR="005F78FC" w:rsidRDefault="00B42EF3">
      <w:pPr>
        <w:pStyle w:val="Definition-Field"/>
      </w:pPr>
      <w:r>
        <w:t xml:space="preserve">a.   </w:t>
      </w:r>
      <w:r>
        <w:rPr>
          <w:i/>
        </w:rPr>
        <w:t>The standard states that the oMath run property can be applied to any run.</w:t>
      </w:r>
    </w:p>
    <w:p w:rsidR="005F78FC" w:rsidRDefault="00B42EF3">
      <w:pPr>
        <w:pStyle w:val="Definition-Field2"/>
      </w:pPr>
      <w:r>
        <w:t>Word only suppo</w:t>
      </w:r>
      <w:r>
        <w:t>rts the oMath element when applied to the run properties on the paragraph mark.</w:t>
      </w:r>
    </w:p>
    <w:p w:rsidR="005F78FC" w:rsidRDefault="00B42EF3">
      <w:pPr>
        <w:pStyle w:val="Heading3"/>
      </w:pPr>
      <w:bookmarkStart w:id="194" w:name="section_f2e9836a5ffa4c5d87420c7a0637b277"/>
      <w:bookmarkStart w:id="195" w:name="_Toc69877870"/>
      <w:r>
        <w:t>Part 1 Section 17.3.2.25, r (Text Run)</w:t>
      </w:r>
      <w:bookmarkEnd w:id="194"/>
      <w:bookmarkEnd w:id="195"/>
      <w:r>
        <w:fldChar w:fldCharType="begin"/>
      </w:r>
      <w:r>
        <w:instrText xml:space="preserve"> XE "r (Text Run)" </w:instrText>
      </w:r>
      <w:r>
        <w:fldChar w:fldCharType="end"/>
      </w:r>
    </w:p>
    <w:p w:rsidR="005F78FC" w:rsidRDefault="00B42EF3">
      <w:pPr>
        <w:pStyle w:val="Definition-Field"/>
      </w:pPr>
      <w:r>
        <w:t xml:space="preserve">a.   </w:t>
      </w:r>
      <w:r>
        <w:rPr>
          <w:i/>
        </w:rPr>
        <w:t>The standard states that runs can occur outside of paragraphs.</w:t>
      </w:r>
    </w:p>
    <w:p w:rsidR="005F78FC" w:rsidRDefault="00B42EF3">
      <w:pPr>
        <w:pStyle w:val="Definition-Field2"/>
      </w:pPr>
      <w:r>
        <w:t xml:space="preserve">Word does not open a file that contains this </w:t>
      </w:r>
      <w:r>
        <w:t>element outside of a paragraph. This paragraph element does not need to be the direct parent of the run, but the paragraph element must exist at some level around the run.</w:t>
      </w:r>
    </w:p>
    <w:p w:rsidR="005F78FC" w:rsidRDefault="00B42EF3">
      <w:pPr>
        <w:pStyle w:val="Heading3"/>
      </w:pPr>
      <w:bookmarkStart w:id="196" w:name="section_aef3c9a65d6c434b90b785e761fd8e62"/>
      <w:bookmarkStart w:id="197" w:name="_Toc69877871"/>
      <w:r>
        <w:lastRenderedPageBreak/>
        <w:t>Part 1 Section 17.3.2.26, rFonts (Run Fonts)</w:t>
      </w:r>
      <w:bookmarkEnd w:id="196"/>
      <w:bookmarkEnd w:id="197"/>
      <w:r>
        <w:fldChar w:fldCharType="begin"/>
      </w:r>
      <w:r>
        <w:instrText xml:space="preserve"> XE "rFonts (Run Fonts)" </w:instrText>
      </w:r>
      <w:r>
        <w:fldChar w:fldCharType="end"/>
      </w:r>
    </w:p>
    <w:p w:rsidR="005F78FC" w:rsidRDefault="00B42EF3">
      <w:pPr>
        <w:pStyle w:val="Definition-Field"/>
      </w:pPr>
      <w:r>
        <w:t xml:space="preserve">a.   </w:t>
      </w:r>
      <w:r>
        <w:rPr>
          <w:i/>
        </w:rPr>
        <w:t>The sta</w:t>
      </w:r>
      <w:r>
        <w:rPr>
          <w:i/>
        </w:rPr>
        <w:t>ndard does not limit the length of the ascii, hAnsi, cs, and eastAsia attributes.</w:t>
      </w:r>
    </w:p>
    <w:p w:rsidR="005F78FC" w:rsidRDefault="00B42EF3">
      <w:pPr>
        <w:pStyle w:val="Definition-Field2"/>
      </w:pPr>
      <w:r>
        <w:t>Word restricts the value of these attributes to be less than 32 characters.</w:t>
      </w:r>
    </w:p>
    <w:p w:rsidR="005F78FC" w:rsidRDefault="00B42EF3">
      <w:pPr>
        <w:pStyle w:val="Definition-Field"/>
      </w:pPr>
      <w:r>
        <w:t xml:space="preserve">b.   </w:t>
      </w:r>
      <w:r>
        <w:rPr>
          <w:i/>
        </w:rPr>
        <w:t xml:space="preserve">The standard states that the use of each of the run fonts shall be determined by the Unicode </w:t>
      </w:r>
      <w:r>
        <w:rPr>
          <w:i/>
        </w:rPr>
        <w:t>character values of the run content, but does not explain precisely how this is done.</w:t>
      </w:r>
    </w:p>
    <w:p w:rsidR="005F78FC" w:rsidRDefault="00B42EF3">
      <w:r>
        <w:t>Word determines the use of each of these fonts from the Unicode character values in the following manner:</w:t>
      </w:r>
    </w:p>
    <w:p w:rsidR="005F78FC" w:rsidRDefault="00B42EF3">
      <w:pPr>
        <w:pStyle w:val="ListParagraph"/>
        <w:numPr>
          <w:ilvl w:val="0"/>
          <w:numId w:val="54"/>
        </w:numPr>
        <w:contextualSpacing/>
      </w:pPr>
      <w:r>
        <w:t xml:space="preserve">If the run has the </w:t>
      </w:r>
      <w:r>
        <w:rPr>
          <w:b/>
        </w:rPr>
        <w:t>cs</w:t>
      </w:r>
      <w:r>
        <w:t xml:space="preserve"> element ("</w:t>
      </w:r>
      <w:hyperlink r:id="rId79">
        <w:r>
          <w:rPr>
            <w:rStyle w:val="Hyperlink"/>
          </w:rPr>
          <w:t>[ISO/IEC-29500-1]</w:t>
        </w:r>
      </w:hyperlink>
      <w:r>
        <w:t xml:space="preserve"> §17.3.2.7; cs")</w:t>
      </w:r>
      <w:r>
        <w:rPr>
          <w:i/>
        </w:rPr>
        <w:t xml:space="preserve"> </w:t>
      </w:r>
      <w:r>
        <w:t xml:space="preserve">or the </w:t>
      </w:r>
      <w:r>
        <w:rPr>
          <w:b/>
        </w:rPr>
        <w:t>rtl</w:t>
      </w:r>
      <w:r>
        <w:t xml:space="preserve"> element ("[ISO/IEC-29500-1] §17.3.2.30; rtl"), then the </w:t>
      </w:r>
      <w:r>
        <w:rPr>
          <w:b/>
        </w:rPr>
        <w:t>cs</w:t>
      </w:r>
      <w:r>
        <w:t xml:space="preserve"> (or </w:t>
      </w:r>
      <w:r>
        <w:rPr>
          <w:b/>
        </w:rPr>
        <w:t>cstheme</w:t>
      </w:r>
      <w:r>
        <w:t xml:space="preserve"> if defined) font is used, regardless of the Unicode character values of the run’s content.</w:t>
      </w:r>
    </w:p>
    <w:p w:rsidR="005F78FC" w:rsidRDefault="00B42EF3">
      <w:pPr>
        <w:pStyle w:val="ListParagraph"/>
        <w:numPr>
          <w:ilvl w:val="0"/>
          <w:numId w:val="54"/>
        </w:numPr>
        <w:contextualSpacing/>
      </w:pPr>
      <w:r>
        <w:t xml:space="preserve">If the </w:t>
      </w:r>
      <w:r>
        <w:rPr>
          <w:b/>
        </w:rPr>
        <w:t>eastAsia</w:t>
      </w:r>
      <w:r>
        <w:t xml:space="preserve"> (or </w:t>
      </w:r>
      <w:r>
        <w:rPr>
          <w:b/>
        </w:rPr>
        <w:t>eastAsiaTheme</w:t>
      </w:r>
      <w:r>
        <w:t xml:space="preserve"> if defined) attribute’s value is “Times New Roman” and the </w:t>
      </w:r>
      <w:r>
        <w:rPr>
          <w:b/>
        </w:rPr>
        <w:t>ascii</w:t>
      </w:r>
      <w:r>
        <w:t xml:space="preserve"> (or </w:t>
      </w:r>
      <w:r>
        <w:rPr>
          <w:b/>
        </w:rPr>
        <w:t>asciiTheme</w:t>
      </w:r>
      <w:r>
        <w:t xml:space="preserve"> if defined) and </w:t>
      </w:r>
      <w:r>
        <w:rPr>
          <w:b/>
        </w:rPr>
        <w:t>hAnsi</w:t>
      </w:r>
      <w:r>
        <w:t xml:space="preserve"> (or </w:t>
      </w:r>
      <w:r>
        <w:rPr>
          <w:b/>
        </w:rPr>
        <w:t>hAnsiTheme</w:t>
      </w:r>
      <w:r>
        <w:t xml:space="preserve"> if defined) attributes are equal, then the </w:t>
      </w:r>
      <w:r>
        <w:rPr>
          <w:b/>
        </w:rPr>
        <w:t>ascii</w:t>
      </w:r>
      <w:r>
        <w:t xml:space="preserve"> (or </w:t>
      </w:r>
      <w:r>
        <w:rPr>
          <w:b/>
        </w:rPr>
        <w:t>asciiTheme</w:t>
      </w:r>
      <w:r>
        <w:t xml:space="preserve"> if defined) font is used.</w:t>
      </w:r>
    </w:p>
    <w:p w:rsidR="005F78FC" w:rsidRDefault="00B42EF3">
      <w:pPr>
        <w:pStyle w:val="ListParagraph"/>
        <w:numPr>
          <w:ilvl w:val="0"/>
          <w:numId w:val="54"/>
        </w:numPr>
      </w:pPr>
      <w:r>
        <w:t>Otherwise, the following table</w:t>
      </w:r>
      <w:r>
        <w:t xml:space="preserve"> is used. For all ranges not listed in the following table, the </w:t>
      </w:r>
      <w:r>
        <w:rPr>
          <w:b/>
        </w:rPr>
        <w:t>hAnsi</w:t>
      </w:r>
      <w:r>
        <w:t xml:space="preserve"> (or </w:t>
      </w:r>
      <w:r>
        <w:rPr>
          <w:b/>
        </w:rPr>
        <w:t>hAnsiTheme</w:t>
      </w:r>
      <w:r>
        <w:t xml:space="preserve"> if defined) font shall be used.</w:t>
      </w:r>
    </w:p>
    <w:tbl>
      <w:tblPr>
        <w:tblStyle w:val="Table-ShadedHeader"/>
        <w:tblW w:w="0" w:type="auto"/>
        <w:tblInd w:w="540" w:type="dxa"/>
        <w:tblLook w:val="04A0" w:firstRow="1" w:lastRow="0" w:firstColumn="1" w:lastColumn="0" w:noHBand="0" w:noVBand="1"/>
      </w:tblPr>
      <w:tblGrid>
        <w:gridCol w:w="2098"/>
        <w:gridCol w:w="911"/>
        <w:gridCol w:w="6041"/>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Unicode Block</w:t>
            </w:r>
          </w:p>
        </w:tc>
        <w:tc>
          <w:tcPr>
            <w:tcW w:w="0" w:type="auto"/>
            <w:vAlign w:val="center"/>
          </w:tcPr>
          <w:p w:rsidR="005F78FC" w:rsidRDefault="00B42EF3">
            <w:pPr>
              <w:pStyle w:val="TableHeaderText"/>
            </w:pPr>
            <w:r>
              <w:t>Range</w:t>
            </w:r>
          </w:p>
        </w:tc>
        <w:tc>
          <w:tcPr>
            <w:tcW w:w="0" w:type="auto"/>
            <w:vAlign w:val="center"/>
          </w:tcPr>
          <w:p w:rsidR="005F78FC" w:rsidRDefault="00B42EF3">
            <w:pPr>
              <w:pStyle w:val="TableHeaderText"/>
            </w:pPr>
            <w:r>
              <w:t>Classification</w:t>
            </w:r>
          </w:p>
        </w:tc>
      </w:tr>
      <w:tr w:rsidR="005F78FC" w:rsidTr="005F78FC">
        <w:tc>
          <w:tcPr>
            <w:tcW w:w="0" w:type="auto"/>
            <w:vAlign w:val="center"/>
          </w:tcPr>
          <w:p w:rsidR="005F78FC" w:rsidRDefault="00B42EF3">
            <w:pPr>
              <w:pStyle w:val="TableBodyText"/>
            </w:pPr>
            <w:r>
              <w:rPr>
                <w:b/>
              </w:rPr>
              <w:t>Basic Latin</w:t>
            </w:r>
          </w:p>
        </w:tc>
        <w:tc>
          <w:tcPr>
            <w:tcW w:w="0" w:type="auto"/>
            <w:vAlign w:val="center"/>
          </w:tcPr>
          <w:p w:rsidR="005F78FC" w:rsidRDefault="00B42EF3">
            <w:pPr>
              <w:pStyle w:val="TableBodyText"/>
            </w:pPr>
            <w:r>
              <w:t>0000 – 007F</w:t>
            </w:r>
          </w:p>
        </w:tc>
        <w:tc>
          <w:tcPr>
            <w:tcW w:w="0" w:type="auto"/>
            <w:vAlign w:val="center"/>
          </w:tcPr>
          <w:p w:rsidR="005F78FC" w:rsidRDefault="00B42EF3">
            <w:pPr>
              <w:pStyle w:val="TableBodyText"/>
            </w:pPr>
            <w:r>
              <w:rPr>
                <w:b/>
              </w:rPr>
              <w:t>ascii</w:t>
            </w:r>
            <w:r>
              <w:t xml:space="preserve"> (or </w:t>
            </w:r>
            <w:r>
              <w:rPr>
                <w:b/>
              </w:rPr>
              <w:t>asciiTheme</w:t>
            </w:r>
            <w:r>
              <w:t xml:space="preserve"> if defined)</w:t>
            </w:r>
          </w:p>
        </w:tc>
      </w:tr>
      <w:tr w:rsidR="005F78FC" w:rsidTr="005F78FC">
        <w:tc>
          <w:tcPr>
            <w:tcW w:w="0" w:type="auto"/>
            <w:vAlign w:val="center"/>
          </w:tcPr>
          <w:p w:rsidR="005F78FC" w:rsidRDefault="00B42EF3">
            <w:pPr>
              <w:pStyle w:val="TableBodyText"/>
            </w:pPr>
            <w:r>
              <w:rPr>
                <w:b/>
              </w:rPr>
              <w:t>Latin-1 Supplement</w:t>
            </w:r>
          </w:p>
        </w:tc>
        <w:tc>
          <w:tcPr>
            <w:tcW w:w="0" w:type="auto"/>
            <w:vAlign w:val="center"/>
          </w:tcPr>
          <w:p w:rsidR="005F78FC" w:rsidRDefault="00B42EF3">
            <w:pPr>
              <w:pStyle w:val="TableBodyText"/>
            </w:pPr>
            <w:r>
              <w:t>00A0 – 00FF</w:t>
            </w:r>
          </w:p>
        </w:tc>
        <w:tc>
          <w:tcPr>
            <w:tcW w:w="0" w:type="auto"/>
            <w:vAlign w:val="center"/>
          </w:tcPr>
          <w:p w:rsidR="005F78FC" w:rsidRDefault="00B42EF3">
            <w:pPr>
              <w:pStyle w:val="TableBodyText"/>
            </w:pPr>
            <w:r>
              <w:rPr>
                <w:b/>
              </w:rPr>
              <w:t>hAnsi</w:t>
            </w:r>
            <w:r>
              <w:t xml:space="preserve"> (or </w:t>
            </w:r>
            <w:r>
              <w:rPr>
                <w:b/>
              </w:rPr>
              <w:t>hAnsiTheme</w:t>
            </w:r>
            <w:r>
              <w:t xml:space="preserve"> if defined), with the following exceptions:</w:t>
            </w:r>
          </w:p>
          <w:p w:rsidR="005F78FC" w:rsidRDefault="00B42EF3">
            <w:pPr>
              <w:pStyle w:val="TableBodyText"/>
            </w:pPr>
            <w:r>
              <w:t xml:space="preserve">If </w:t>
            </w:r>
            <w:r>
              <w:rPr>
                <w:b/>
              </w:rPr>
              <w:t>hint</w:t>
            </w:r>
            <w:r>
              <w:t xml:space="preserve"> is </w:t>
            </w:r>
            <w:r>
              <w:rPr>
                <w:i/>
              </w:rPr>
              <w:t>eastAsia</w:t>
            </w:r>
            <w:r>
              <w:t xml:space="preserve">, the following characters use </w:t>
            </w:r>
            <w:r>
              <w:rPr>
                <w:b/>
              </w:rPr>
              <w:t>eastAsia</w:t>
            </w:r>
            <w:r>
              <w:rPr>
                <w:i/>
              </w:rPr>
              <w:t xml:space="preserve"> </w:t>
            </w:r>
            <w:r>
              <w:t xml:space="preserve">(or </w:t>
            </w:r>
            <w:r>
              <w:rPr>
                <w:b/>
              </w:rPr>
              <w:t>eastAsiaTheme</w:t>
            </w:r>
            <w:r>
              <w:t xml:space="preserve"> if defined): A1, A4, A7 – A8, AA, AD, AF, B0 – B4, B6 – BA, BC – BF, D7, F7</w:t>
            </w:r>
          </w:p>
          <w:p w:rsidR="005F78FC" w:rsidRDefault="00B42EF3">
            <w:pPr>
              <w:pStyle w:val="TableBodyText"/>
            </w:pPr>
            <w:r>
              <w:t xml:space="preserve">If </w:t>
            </w:r>
            <w:r>
              <w:rPr>
                <w:b/>
              </w:rPr>
              <w:t>hint</w:t>
            </w:r>
            <w:r>
              <w:t xml:space="preserve"> is </w:t>
            </w:r>
            <w:r>
              <w:rPr>
                <w:i/>
              </w:rPr>
              <w:t>eastAsia</w:t>
            </w:r>
            <w:r>
              <w:t xml:space="preserve"> and the language of the run </w:t>
            </w:r>
            <w:r>
              <w:t xml:space="preserve">is either Chinese Traditional or Chinese Simplified, the following characters use </w:t>
            </w:r>
            <w:r>
              <w:rPr>
                <w:b/>
              </w:rPr>
              <w:t>eastAsia</w:t>
            </w:r>
            <w:r>
              <w:rPr>
                <w:i/>
              </w:rPr>
              <w:t xml:space="preserve"> </w:t>
            </w:r>
            <w:r>
              <w:t xml:space="preserve">(or </w:t>
            </w:r>
            <w:r>
              <w:rPr>
                <w:b/>
              </w:rPr>
              <w:t>eastAsiaTheme</w:t>
            </w:r>
            <w:r>
              <w:t xml:space="preserve"> if defined): E0 – E1, E8 – EA, EC – ED, F2 – F3, F9 – FA, FC</w:t>
            </w:r>
          </w:p>
        </w:tc>
      </w:tr>
      <w:tr w:rsidR="005F78FC" w:rsidTr="005F78FC">
        <w:tc>
          <w:tcPr>
            <w:tcW w:w="0" w:type="auto"/>
            <w:vAlign w:val="center"/>
          </w:tcPr>
          <w:p w:rsidR="005F78FC" w:rsidRDefault="00B42EF3">
            <w:pPr>
              <w:pStyle w:val="TableBodyText"/>
            </w:pPr>
            <w:r>
              <w:rPr>
                <w:b/>
              </w:rPr>
              <w:t>Latin Extended-A</w:t>
            </w:r>
          </w:p>
        </w:tc>
        <w:tc>
          <w:tcPr>
            <w:tcW w:w="0" w:type="auto"/>
            <w:vAlign w:val="center"/>
          </w:tcPr>
          <w:p w:rsidR="005F78FC" w:rsidRDefault="00B42EF3">
            <w:pPr>
              <w:pStyle w:val="TableBodyText"/>
            </w:pPr>
            <w:r>
              <w:t>0100 – 017F</w:t>
            </w:r>
          </w:p>
        </w:tc>
        <w:tc>
          <w:tcPr>
            <w:tcW w:w="0" w:type="auto"/>
            <w:vAlign w:val="center"/>
          </w:tcPr>
          <w:p w:rsidR="005F78FC" w:rsidRDefault="00B42EF3">
            <w:pPr>
              <w:pStyle w:val="TableBodyText"/>
            </w:pPr>
            <w:r>
              <w:rPr>
                <w:b/>
              </w:rPr>
              <w:t>hAnsi</w:t>
            </w:r>
            <w:r>
              <w:t xml:space="preserve"> (or </w:t>
            </w:r>
            <w:r>
              <w:rPr>
                <w:b/>
              </w:rPr>
              <w:t>hAnsiTheme</w:t>
            </w:r>
            <w:r>
              <w:t xml:space="preserve"> if defined), with the following exc</w:t>
            </w:r>
            <w:r>
              <w:t>eption:</w:t>
            </w:r>
          </w:p>
          <w:p w:rsidR="005F78FC" w:rsidRDefault="00B42EF3">
            <w:pPr>
              <w:pStyle w:val="TableBodyText"/>
            </w:pPr>
            <w:r>
              <w:t xml:space="preserve">If </w:t>
            </w:r>
            <w:r>
              <w:rPr>
                <w:b/>
              </w:rPr>
              <w:t>hint</w:t>
            </w:r>
            <w:r>
              <w:t xml:space="preserve"> is </w:t>
            </w:r>
            <w:r>
              <w:rPr>
                <w:i/>
              </w:rPr>
              <w:t>eastAsia</w:t>
            </w:r>
            <w:r>
              <w:t xml:space="preserve">, and the language of the run is either Chinese Traditional or Chinese Simplified, or the character set of the </w:t>
            </w:r>
            <w:r>
              <w:rPr>
                <w:b/>
              </w:rPr>
              <w:t>eastAsia</w:t>
            </w:r>
            <w:r>
              <w:t xml:space="preserve"> (or </w:t>
            </w:r>
            <w:r>
              <w:rPr>
                <w:b/>
              </w:rPr>
              <w:t>eastAsiaTheme</w:t>
            </w:r>
            <w:r>
              <w:t xml:space="preserve"> if defined) font is Chinese5 or GB2312 then </w:t>
            </w:r>
            <w:r>
              <w:rPr>
                <w:b/>
              </w:rPr>
              <w:t xml:space="preserve">eastAsia </w:t>
            </w:r>
            <w:r>
              <w:t xml:space="preserve">(or </w:t>
            </w:r>
            <w:r>
              <w:rPr>
                <w:b/>
              </w:rPr>
              <w:t>eastAsiaTheme</w:t>
            </w:r>
            <w:r>
              <w:t xml:space="preserve"> if defined)</w:t>
            </w:r>
            <w:r>
              <w:rPr>
                <w:i/>
              </w:rPr>
              <w:t xml:space="preserve"> </w:t>
            </w:r>
            <w:r>
              <w:t xml:space="preserve">font is </w:t>
            </w:r>
            <w:r>
              <w:t>used.</w:t>
            </w:r>
          </w:p>
        </w:tc>
      </w:tr>
      <w:tr w:rsidR="005F78FC" w:rsidTr="005F78FC">
        <w:tc>
          <w:tcPr>
            <w:tcW w:w="0" w:type="auto"/>
            <w:vAlign w:val="center"/>
          </w:tcPr>
          <w:p w:rsidR="005F78FC" w:rsidRDefault="00B42EF3">
            <w:pPr>
              <w:pStyle w:val="TableBodyText"/>
            </w:pPr>
            <w:r>
              <w:rPr>
                <w:b/>
              </w:rPr>
              <w:t>Latin Extended-B</w:t>
            </w:r>
          </w:p>
        </w:tc>
        <w:tc>
          <w:tcPr>
            <w:tcW w:w="0" w:type="auto"/>
            <w:vAlign w:val="center"/>
          </w:tcPr>
          <w:p w:rsidR="005F78FC" w:rsidRDefault="00B42EF3">
            <w:pPr>
              <w:pStyle w:val="TableBodyText"/>
            </w:pPr>
            <w:r>
              <w:t>0180 – 024F</w:t>
            </w:r>
          </w:p>
        </w:tc>
        <w:tc>
          <w:tcPr>
            <w:tcW w:w="0" w:type="auto"/>
            <w:vAlign w:val="center"/>
          </w:tcPr>
          <w:p w:rsidR="005F78FC" w:rsidRDefault="00B42EF3">
            <w:pPr>
              <w:pStyle w:val="TableBodyText"/>
            </w:pPr>
            <w:r>
              <w:rPr>
                <w:b/>
              </w:rPr>
              <w:t>hAnsi</w:t>
            </w:r>
            <w:r>
              <w:t xml:space="preserve"> (or </w:t>
            </w:r>
            <w:r>
              <w:rPr>
                <w:b/>
              </w:rPr>
              <w:t>hAnsiTheme</w:t>
            </w:r>
            <w:r>
              <w:t xml:space="preserve"> if defined), with the following exception:</w:t>
            </w:r>
          </w:p>
          <w:p w:rsidR="005F78FC" w:rsidRDefault="00B42EF3">
            <w:pPr>
              <w:pStyle w:val="TableBodyText"/>
            </w:pPr>
            <w:r>
              <w:t xml:space="preserve">If </w:t>
            </w:r>
            <w:r>
              <w:rPr>
                <w:b/>
              </w:rPr>
              <w:t>hint</w:t>
            </w:r>
            <w:r>
              <w:t xml:space="preserve"> is </w:t>
            </w:r>
            <w:r>
              <w:rPr>
                <w:i/>
              </w:rPr>
              <w:t>eastAsia</w:t>
            </w:r>
            <w:r>
              <w:t xml:space="preserve">, and the language of the run is either Chinese Traditional or Chinese Simplified, or the character set of the </w:t>
            </w:r>
            <w:r>
              <w:rPr>
                <w:b/>
              </w:rPr>
              <w:t>eastAsia</w:t>
            </w:r>
            <w:r>
              <w:t xml:space="preserve"> (or </w:t>
            </w:r>
            <w:r>
              <w:rPr>
                <w:b/>
              </w:rPr>
              <w:t>eastAsiaTheme</w:t>
            </w:r>
            <w:r>
              <w:t xml:space="preserve"> if defined) font is Chinese5 or GB2312 then </w:t>
            </w:r>
            <w:r>
              <w:rPr>
                <w:b/>
              </w:rPr>
              <w:t>eastAsia</w:t>
            </w:r>
            <w:r>
              <w:t xml:space="preserve"> (or </w:t>
            </w:r>
            <w:r>
              <w:rPr>
                <w:b/>
              </w:rPr>
              <w:t>eastAsiaTheme</w:t>
            </w:r>
            <w:r>
              <w:t xml:space="preserve"> if defined)</w:t>
            </w:r>
            <w:r>
              <w:rPr>
                <w:i/>
              </w:rPr>
              <w:t xml:space="preserve"> </w:t>
            </w:r>
            <w:r>
              <w:t>font is used.</w:t>
            </w:r>
          </w:p>
        </w:tc>
      </w:tr>
      <w:tr w:rsidR="005F78FC" w:rsidTr="005F78FC">
        <w:tc>
          <w:tcPr>
            <w:tcW w:w="0" w:type="auto"/>
            <w:vAlign w:val="center"/>
          </w:tcPr>
          <w:p w:rsidR="005F78FC" w:rsidRDefault="00B42EF3">
            <w:pPr>
              <w:pStyle w:val="TableBodyText"/>
            </w:pPr>
            <w:r>
              <w:rPr>
                <w:b/>
              </w:rPr>
              <w:t>IPA Extensions</w:t>
            </w:r>
          </w:p>
        </w:tc>
        <w:tc>
          <w:tcPr>
            <w:tcW w:w="0" w:type="auto"/>
            <w:vAlign w:val="center"/>
          </w:tcPr>
          <w:p w:rsidR="005F78FC" w:rsidRDefault="00B42EF3">
            <w:pPr>
              <w:pStyle w:val="TableBodyText"/>
            </w:pPr>
            <w:r>
              <w:t>0250 – 02AF</w:t>
            </w:r>
          </w:p>
        </w:tc>
        <w:tc>
          <w:tcPr>
            <w:tcW w:w="0" w:type="auto"/>
            <w:vAlign w:val="center"/>
          </w:tcPr>
          <w:p w:rsidR="005F78FC" w:rsidRDefault="00B42EF3">
            <w:pPr>
              <w:pStyle w:val="TableBodyText"/>
            </w:pPr>
            <w:r>
              <w:rPr>
                <w:b/>
              </w:rPr>
              <w:t>hAnsi</w:t>
            </w:r>
            <w:r>
              <w:t xml:space="preserve"> (or </w:t>
            </w:r>
            <w:r>
              <w:rPr>
                <w:b/>
              </w:rPr>
              <w:t>hAnsiTheme</w:t>
            </w:r>
            <w:r>
              <w:t xml:space="preserve"> if defined), with the following exception:</w:t>
            </w:r>
          </w:p>
          <w:p w:rsidR="005F78FC" w:rsidRDefault="00B42EF3">
            <w:pPr>
              <w:pStyle w:val="TableBodyText"/>
            </w:pPr>
            <w:r>
              <w:t xml:space="preserve">If </w:t>
            </w:r>
            <w:r>
              <w:rPr>
                <w:b/>
              </w:rPr>
              <w:t>hint</w:t>
            </w:r>
            <w:r>
              <w:t xml:space="preserve"> is </w:t>
            </w:r>
            <w:r>
              <w:rPr>
                <w:i/>
              </w:rPr>
              <w:t>eastAsia</w:t>
            </w:r>
            <w:r>
              <w:t>, and the language of the run is either Chinese</w:t>
            </w:r>
            <w:r>
              <w:t xml:space="preserve"> Traditional or Chinese Simplified, or the character set of the </w:t>
            </w:r>
            <w:r>
              <w:rPr>
                <w:b/>
              </w:rPr>
              <w:t>eastAsia</w:t>
            </w:r>
            <w:r>
              <w:t xml:space="preserve"> (or </w:t>
            </w:r>
            <w:r>
              <w:rPr>
                <w:b/>
              </w:rPr>
              <w:t>eastAsiaTheme</w:t>
            </w:r>
            <w:r>
              <w:t xml:space="preserve"> if defined) font is Chinese5 or GB2312 then </w:t>
            </w:r>
            <w:r>
              <w:rPr>
                <w:b/>
              </w:rPr>
              <w:t>eastAsia</w:t>
            </w:r>
            <w:r>
              <w:t xml:space="preserve"> (or </w:t>
            </w:r>
            <w:r>
              <w:rPr>
                <w:b/>
              </w:rPr>
              <w:t>eastAsiaTheme</w:t>
            </w:r>
            <w:r>
              <w:t xml:space="preserve"> if defined) font is used.</w:t>
            </w:r>
          </w:p>
        </w:tc>
      </w:tr>
      <w:tr w:rsidR="005F78FC" w:rsidTr="005F78FC">
        <w:tc>
          <w:tcPr>
            <w:tcW w:w="0" w:type="auto"/>
            <w:vAlign w:val="center"/>
          </w:tcPr>
          <w:p w:rsidR="005F78FC" w:rsidRDefault="00B42EF3">
            <w:pPr>
              <w:pStyle w:val="TableBodyText"/>
            </w:pPr>
            <w:r>
              <w:rPr>
                <w:b/>
              </w:rPr>
              <w:t>Spacing Modifier Letters</w:t>
            </w:r>
          </w:p>
        </w:tc>
        <w:tc>
          <w:tcPr>
            <w:tcW w:w="0" w:type="auto"/>
            <w:vAlign w:val="center"/>
          </w:tcPr>
          <w:p w:rsidR="005F78FC" w:rsidRDefault="00B42EF3">
            <w:pPr>
              <w:pStyle w:val="TableBodyText"/>
            </w:pPr>
            <w:r>
              <w:t>02B0 – 02FF</w:t>
            </w:r>
          </w:p>
        </w:tc>
        <w:tc>
          <w:tcPr>
            <w:tcW w:w="0" w:type="auto"/>
            <w:vAlign w:val="center"/>
          </w:tcPr>
          <w:p w:rsidR="005F78FC" w:rsidRDefault="00B42EF3">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5F78FC" w:rsidTr="005F78FC">
        <w:tc>
          <w:tcPr>
            <w:tcW w:w="0" w:type="auto"/>
            <w:vAlign w:val="center"/>
          </w:tcPr>
          <w:p w:rsidR="005F78FC" w:rsidRDefault="00B42EF3">
            <w:pPr>
              <w:pStyle w:val="TableBodyText"/>
            </w:pPr>
            <w:r>
              <w:rPr>
                <w:b/>
              </w:rPr>
              <w:t>Combining Diacritical Marks</w:t>
            </w:r>
          </w:p>
        </w:tc>
        <w:tc>
          <w:tcPr>
            <w:tcW w:w="0" w:type="auto"/>
            <w:vAlign w:val="center"/>
          </w:tcPr>
          <w:p w:rsidR="005F78FC" w:rsidRDefault="00B42EF3">
            <w:pPr>
              <w:pStyle w:val="TableBodyText"/>
            </w:pPr>
            <w:r>
              <w:t>0300 – 036F</w:t>
            </w:r>
          </w:p>
        </w:tc>
        <w:tc>
          <w:tcPr>
            <w:tcW w:w="0" w:type="auto"/>
            <w:vAlign w:val="center"/>
          </w:tcPr>
          <w:p w:rsidR="005F78FC" w:rsidRDefault="00B42EF3">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5F78FC" w:rsidTr="005F78FC">
        <w:tc>
          <w:tcPr>
            <w:tcW w:w="0" w:type="auto"/>
            <w:vAlign w:val="center"/>
          </w:tcPr>
          <w:p w:rsidR="005F78FC" w:rsidRDefault="00B42EF3">
            <w:pPr>
              <w:pStyle w:val="TableBodyText"/>
            </w:pPr>
            <w:r>
              <w:rPr>
                <w:b/>
              </w:rPr>
              <w:t>Greek</w:t>
            </w:r>
          </w:p>
        </w:tc>
        <w:tc>
          <w:tcPr>
            <w:tcW w:w="0" w:type="auto"/>
            <w:vAlign w:val="center"/>
          </w:tcPr>
          <w:p w:rsidR="005F78FC" w:rsidRDefault="00B42EF3">
            <w:pPr>
              <w:pStyle w:val="TableBodyText"/>
            </w:pPr>
            <w:r>
              <w:t>0370 – 03CF</w:t>
            </w:r>
          </w:p>
        </w:tc>
        <w:tc>
          <w:tcPr>
            <w:tcW w:w="0" w:type="auto"/>
            <w:vAlign w:val="center"/>
          </w:tcPr>
          <w:p w:rsidR="005F78FC" w:rsidRDefault="00B42EF3">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w:t>
            </w:r>
            <w:r>
              <w:t>used.</w:t>
            </w:r>
          </w:p>
        </w:tc>
      </w:tr>
      <w:tr w:rsidR="005F78FC" w:rsidTr="005F78FC">
        <w:tc>
          <w:tcPr>
            <w:tcW w:w="0" w:type="auto"/>
            <w:vAlign w:val="center"/>
          </w:tcPr>
          <w:p w:rsidR="005F78FC" w:rsidRDefault="00B42EF3">
            <w:pPr>
              <w:pStyle w:val="TableBodyText"/>
            </w:pPr>
            <w:r>
              <w:rPr>
                <w:b/>
              </w:rPr>
              <w:lastRenderedPageBreak/>
              <w:t>Cyrillic</w:t>
            </w:r>
          </w:p>
        </w:tc>
        <w:tc>
          <w:tcPr>
            <w:tcW w:w="0" w:type="auto"/>
            <w:vAlign w:val="center"/>
          </w:tcPr>
          <w:p w:rsidR="005F78FC" w:rsidRDefault="00B42EF3">
            <w:pPr>
              <w:pStyle w:val="TableBodyText"/>
            </w:pPr>
            <w:r>
              <w:t>0400 – 04FF</w:t>
            </w:r>
          </w:p>
        </w:tc>
        <w:tc>
          <w:tcPr>
            <w:tcW w:w="0" w:type="auto"/>
            <w:vAlign w:val="center"/>
          </w:tcPr>
          <w:p w:rsidR="005F78FC" w:rsidRDefault="00B42EF3">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5F78FC" w:rsidTr="005F78FC">
        <w:tc>
          <w:tcPr>
            <w:tcW w:w="0" w:type="auto"/>
            <w:vAlign w:val="center"/>
          </w:tcPr>
          <w:p w:rsidR="005F78FC" w:rsidRDefault="00B42EF3">
            <w:pPr>
              <w:pStyle w:val="TableBodyText"/>
            </w:pPr>
            <w:r>
              <w:rPr>
                <w:b/>
              </w:rPr>
              <w:t>Hebrew</w:t>
            </w:r>
          </w:p>
        </w:tc>
        <w:tc>
          <w:tcPr>
            <w:tcW w:w="0" w:type="auto"/>
            <w:vAlign w:val="center"/>
          </w:tcPr>
          <w:p w:rsidR="005F78FC" w:rsidRDefault="00B42EF3">
            <w:pPr>
              <w:pStyle w:val="TableBodyText"/>
            </w:pPr>
            <w:r>
              <w:t>0590 – 05FF</w:t>
            </w:r>
          </w:p>
        </w:tc>
        <w:tc>
          <w:tcPr>
            <w:tcW w:w="0" w:type="auto"/>
            <w:vAlign w:val="center"/>
          </w:tcPr>
          <w:p w:rsidR="005F78FC" w:rsidRDefault="00B42EF3">
            <w:pPr>
              <w:pStyle w:val="TableBodyText"/>
            </w:pPr>
            <w:r>
              <w:rPr>
                <w:b/>
              </w:rPr>
              <w:t>ascii</w:t>
            </w:r>
            <w:r>
              <w:t xml:space="preserve"> (or </w:t>
            </w:r>
            <w:r>
              <w:rPr>
                <w:b/>
              </w:rPr>
              <w:t>asciiTheme</w:t>
            </w:r>
            <w:r>
              <w:t xml:space="preserve"> if defined)</w:t>
            </w:r>
          </w:p>
        </w:tc>
      </w:tr>
      <w:tr w:rsidR="005F78FC" w:rsidTr="005F78FC">
        <w:tc>
          <w:tcPr>
            <w:tcW w:w="0" w:type="auto"/>
            <w:vAlign w:val="center"/>
          </w:tcPr>
          <w:p w:rsidR="005F78FC" w:rsidRDefault="00B42EF3">
            <w:pPr>
              <w:pStyle w:val="TableBodyText"/>
            </w:pPr>
            <w:r>
              <w:rPr>
                <w:b/>
              </w:rPr>
              <w:t>Arabic</w:t>
            </w:r>
          </w:p>
        </w:tc>
        <w:tc>
          <w:tcPr>
            <w:tcW w:w="0" w:type="auto"/>
            <w:vAlign w:val="center"/>
          </w:tcPr>
          <w:p w:rsidR="005F78FC" w:rsidRDefault="00B42EF3">
            <w:pPr>
              <w:pStyle w:val="TableBodyText"/>
            </w:pPr>
            <w:r>
              <w:t>0600 – 06FF</w:t>
            </w:r>
          </w:p>
        </w:tc>
        <w:tc>
          <w:tcPr>
            <w:tcW w:w="0" w:type="auto"/>
            <w:vAlign w:val="center"/>
          </w:tcPr>
          <w:p w:rsidR="005F78FC" w:rsidRDefault="00B42EF3">
            <w:pPr>
              <w:pStyle w:val="TableBodyText"/>
            </w:pPr>
            <w:r>
              <w:rPr>
                <w:b/>
              </w:rPr>
              <w:t>ascii</w:t>
            </w:r>
            <w:r>
              <w:t xml:space="preserve"> (or </w:t>
            </w:r>
            <w:r>
              <w:rPr>
                <w:b/>
              </w:rPr>
              <w:t>asciiTheme</w:t>
            </w:r>
            <w:r>
              <w:t xml:space="preserve"> if defined)</w:t>
            </w:r>
          </w:p>
        </w:tc>
      </w:tr>
      <w:tr w:rsidR="005F78FC" w:rsidTr="005F78FC">
        <w:tc>
          <w:tcPr>
            <w:tcW w:w="0" w:type="auto"/>
            <w:vAlign w:val="center"/>
          </w:tcPr>
          <w:p w:rsidR="005F78FC" w:rsidRDefault="00B42EF3">
            <w:pPr>
              <w:pStyle w:val="TableBodyText"/>
            </w:pPr>
            <w:r>
              <w:rPr>
                <w:b/>
              </w:rPr>
              <w:t>Syriac</w:t>
            </w:r>
          </w:p>
        </w:tc>
        <w:tc>
          <w:tcPr>
            <w:tcW w:w="0" w:type="auto"/>
            <w:vAlign w:val="center"/>
          </w:tcPr>
          <w:p w:rsidR="005F78FC" w:rsidRDefault="00B42EF3">
            <w:pPr>
              <w:pStyle w:val="TableBodyText"/>
            </w:pPr>
            <w:r>
              <w:t>0700 – 074F</w:t>
            </w:r>
          </w:p>
        </w:tc>
        <w:tc>
          <w:tcPr>
            <w:tcW w:w="0" w:type="auto"/>
            <w:vAlign w:val="center"/>
          </w:tcPr>
          <w:p w:rsidR="005F78FC" w:rsidRDefault="00B42EF3">
            <w:pPr>
              <w:pStyle w:val="TableBodyText"/>
            </w:pPr>
            <w:r>
              <w:rPr>
                <w:b/>
              </w:rPr>
              <w:t>ascii</w:t>
            </w:r>
            <w:r>
              <w:t xml:space="preserve"> (or </w:t>
            </w:r>
            <w:r>
              <w:rPr>
                <w:b/>
              </w:rPr>
              <w:t>asciiTheme</w:t>
            </w:r>
            <w:r>
              <w:t xml:space="preserve"> if defined)</w:t>
            </w:r>
          </w:p>
        </w:tc>
      </w:tr>
      <w:tr w:rsidR="005F78FC" w:rsidTr="005F78FC">
        <w:tc>
          <w:tcPr>
            <w:tcW w:w="0" w:type="auto"/>
            <w:vAlign w:val="center"/>
          </w:tcPr>
          <w:p w:rsidR="005F78FC" w:rsidRDefault="00B42EF3">
            <w:pPr>
              <w:pStyle w:val="TableBodyText"/>
            </w:pPr>
            <w:r>
              <w:rPr>
                <w:b/>
              </w:rPr>
              <w:t>Arabic Supplement</w:t>
            </w:r>
          </w:p>
        </w:tc>
        <w:tc>
          <w:tcPr>
            <w:tcW w:w="0" w:type="auto"/>
            <w:vAlign w:val="center"/>
          </w:tcPr>
          <w:p w:rsidR="005F78FC" w:rsidRDefault="00B42EF3">
            <w:pPr>
              <w:pStyle w:val="TableBodyText"/>
            </w:pPr>
            <w:r>
              <w:t>0750 – 077F</w:t>
            </w:r>
          </w:p>
        </w:tc>
        <w:tc>
          <w:tcPr>
            <w:tcW w:w="0" w:type="auto"/>
            <w:vAlign w:val="center"/>
          </w:tcPr>
          <w:p w:rsidR="005F78FC" w:rsidRDefault="00B42EF3">
            <w:pPr>
              <w:pStyle w:val="TableBodyText"/>
            </w:pPr>
            <w:r>
              <w:rPr>
                <w:b/>
              </w:rPr>
              <w:t>ascii</w:t>
            </w:r>
            <w:r>
              <w:t xml:space="preserve"> (or </w:t>
            </w:r>
            <w:r>
              <w:rPr>
                <w:b/>
              </w:rPr>
              <w:t>asciiTheme</w:t>
            </w:r>
            <w:r>
              <w:t xml:space="preserve"> if defined)</w:t>
            </w:r>
          </w:p>
        </w:tc>
      </w:tr>
      <w:tr w:rsidR="005F78FC" w:rsidTr="005F78FC">
        <w:tc>
          <w:tcPr>
            <w:tcW w:w="0" w:type="auto"/>
            <w:vAlign w:val="center"/>
          </w:tcPr>
          <w:p w:rsidR="005F78FC" w:rsidRDefault="00B42EF3">
            <w:pPr>
              <w:pStyle w:val="TableBodyText"/>
            </w:pPr>
            <w:r>
              <w:rPr>
                <w:b/>
              </w:rPr>
              <w:t>Thaana</w:t>
            </w:r>
          </w:p>
        </w:tc>
        <w:tc>
          <w:tcPr>
            <w:tcW w:w="0" w:type="auto"/>
            <w:vAlign w:val="center"/>
          </w:tcPr>
          <w:p w:rsidR="005F78FC" w:rsidRDefault="00B42EF3">
            <w:pPr>
              <w:pStyle w:val="TableBodyText"/>
            </w:pPr>
            <w:r>
              <w:t>0780 – 07BF</w:t>
            </w:r>
          </w:p>
        </w:tc>
        <w:tc>
          <w:tcPr>
            <w:tcW w:w="0" w:type="auto"/>
            <w:vAlign w:val="center"/>
          </w:tcPr>
          <w:p w:rsidR="005F78FC" w:rsidRDefault="00B42EF3">
            <w:pPr>
              <w:pStyle w:val="TableBodyText"/>
            </w:pPr>
            <w:r>
              <w:rPr>
                <w:b/>
              </w:rPr>
              <w:t>ascii</w:t>
            </w:r>
            <w:r>
              <w:t xml:space="preserve"> (or </w:t>
            </w:r>
            <w:r>
              <w:rPr>
                <w:b/>
              </w:rPr>
              <w:t>asciiTheme</w:t>
            </w:r>
            <w:r>
              <w:t xml:space="preserve"> if defined)</w:t>
            </w:r>
          </w:p>
        </w:tc>
      </w:tr>
      <w:tr w:rsidR="005F78FC" w:rsidTr="005F78FC">
        <w:tc>
          <w:tcPr>
            <w:tcW w:w="0" w:type="auto"/>
            <w:vAlign w:val="center"/>
          </w:tcPr>
          <w:p w:rsidR="005F78FC" w:rsidRDefault="00B42EF3">
            <w:pPr>
              <w:pStyle w:val="TableBodyText"/>
            </w:pPr>
            <w:r>
              <w:rPr>
                <w:b/>
              </w:rPr>
              <w:t>Hangul Jamo</w:t>
            </w:r>
          </w:p>
        </w:tc>
        <w:tc>
          <w:tcPr>
            <w:tcW w:w="0" w:type="auto"/>
            <w:vAlign w:val="center"/>
          </w:tcPr>
          <w:p w:rsidR="005F78FC" w:rsidRDefault="00B42EF3">
            <w:pPr>
              <w:pStyle w:val="TableBodyText"/>
            </w:pPr>
            <w:r>
              <w:t>1100 – 11FF</w:t>
            </w:r>
          </w:p>
        </w:tc>
        <w:tc>
          <w:tcPr>
            <w:tcW w:w="0" w:type="auto"/>
            <w:vAlign w:val="center"/>
          </w:tcPr>
          <w:p w:rsidR="005F78FC" w:rsidRDefault="00B42EF3">
            <w:pPr>
              <w:pStyle w:val="TableBodyText"/>
            </w:pPr>
            <w:r>
              <w:rPr>
                <w:b/>
              </w:rPr>
              <w:t>eastAsia</w:t>
            </w:r>
            <w:r>
              <w:t xml:space="preserve"> (or </w:t>
            </w:r>
            <w:r>
              <w:rPr>
                <w:b/>
              </w:rPr>
              <w:t>eastAsiaTheme</w:t>
            </w:r>
            <w:r>
              <w:t xml:space="preserve"> if defined)</w:t>
            </w:r>
          </w:p>
        </w:tc>
      </w:tr>
      <w:tr w:rsidR="005F78FC" w:rsidTr="005F78FC">
        <w:tc>
          <w:tcPr>
            <w:tcW w:w="0" w:type="auto"/>
            <w:vAlign w:val="center"/>
          </w:tcPr>
          <w:p w:rsidR="005F78FC" w:rsidRDefault="00B42EF3">
            <w:pPr>
              <w:pStyle w:val="TableBodyText"/>
            </w:pPr>
            <w:r>
              <w:rPr>
                <w:b/>
              </w:rPr>
              <w:t>Latin Extended Additional</w:t>
            </w:r>
          </w:p>
        </w:tc>
        <w:tc>
          <w:tcPr>
            <w:tcW w:w="0" w:type="auto"/>
            <w:vAlign w:val="center"/>
          </w:tcPr>
          <w:p w:rsidR="005F78FC" w:rsidRDefault="00B42EF3">
            <w:pPr>
              <w:pStyle w:val="TableBodyText"/>
            </w:pPr>
            <w:r>
              <w:t>1E00 – 1EFF</w:t>
            </w:r>
          </w:p>
        </w:tc>
        <w:tc>
          <w:tcPr>
            <w:tcW w:w="0" w:type="auto"/>
            <w:vAlign w:val="center"/>
          </w:tcPr>
          <w:p w:rsidR="005F78FC" w:rsidRDefault="00B42EF3">
            <w:pPr>
              <w:pStyle w:val="TableBodyText"/>
            </w:pPr>
            <w:r>
              <w:rPr>
                <w:b/>
              </w:rPr>
              <w:t>hAnsi</w:t>
            </w:r>
            <w:r>
              <w:t xml:space="preserve"> (or </w:t>
            </w:r>
            <w:r>
              <w:rPr>
                <w:b/>
              </w:rPr>
              <w:t>hAnsiTheme</w:t>
            </w:r>
            <w:r>
              <w:t xml:space="preserve"> if defined), with the following exception:</w:t>
            </w:r>
          </w:p>
          <w:p w:rsidR="005F78FC" w:rsidRDefault="00B42EF3">
            <w:pPr>
              <w:pStyle w:val="TableBodyText"/>
            </w:pPr>
            <w:r>
              <w:t xml:space="preserve">If the </w:t>
            </w:r>
            <w:r>
              <w:rPr>
                <w:b/>
              </w:rPr>
              <w:t>hint</w:t>
            </w:r>
            <w:r>
              <w:t xml:space="preserve"> is </w:t>
            </w:r>
            <w:r>
              <w:rPr>
                <w:i/>
              </w:rPr>
              <w:t>eastAsia</w:t>
            </w:r>
            <w:r>
              <w:t xml:space="preserve"> and the language of the run is Chinese Traditional or Chinese Simplified then </w:t>
            </w:r>
            <w:r>
              <w:rPr>
                <w:b/>
              </w:rPr>
              <w:t>eastAsia</w:t>
            </w:r>
            <w:r>
              <w:t xml:space="preserve"> (or </w:t>
            </w:r>
            <w:r>
              <w:rPr>
                <w:b/>
              </w:rPr>
              <w:t>eastAsiaTheme</w:t>
            </w:r>
            <w:r>
              <w:t xml:space="preserve"> if defined) is used.</w:t>
            </w:r>
          </w:p>
        </w:tc>
      </w:tr>
      <w:tr w:rsidR="005F78FC" w:rsidTr="005F78FC">
        <w:tc>
          <w:tcPr>
            <w:tcW w:w="0" w:type="auto"/>
            <w:vAlign w:val="center"/>
          </w:tcPr>
          <w:p w:rsidR="005F78FC" w:rsidRDefault="00B42EF3">
            <w:pPr>
              <w:pStyle w:val="TableBodyText"/>
            </w:pPr>
            <w:r>
              <w:rPr>
                <w:b/>
              </w:rPr>
              <w:t>General Punctuation</w:t>
            </w:r>
          </w:p>
        </w:tc>
        <w:tc>
          <w:tcPr>
            <w:tcW w:w="0" w:type="auto"/>
            <w:vAlign w:val="center"/>
          </w:tcPr>
          <w:p w:rsidR="005F78FC" w:rsidRDefault="00B42EF3">
            <w:pPr>
              <w:pStyle w:val="TableBodyText"/>
            </w:pPr>
            <w:r>
              <w:t>2000 – 206F</w:t>
            </w:r>
          </w:p>
        </w:tc>
        <w:tc>
          <w:tcPr>
            <w:tcW w:w="0" w:type="auto"/>
            <w:vAlign w:val="center"/>
          </w:tcPr>
          <w:p w:rsidR="005F78FC" w:rsidRDefault="00B42EF3">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5F78FC" w:rsidTr="005F78FC">
        <w:tc>
          <w:tcPr>
            <w:tcW w:w="0" w:type="auto"/>
            <w:vAlign w:val="center"/>
          </w:tcPr>
          <w:p w:rsidR="005F78FC" w:rsidRDefault="00B42EF3">
            <w:pPr>
              <w:pStyle w:val="TableBodyText"/>
            </w:pPr>
            <w:r>
              <w:rPr>
                <w:b/>
              </w:rPr>
              <w:t>Superscripts and Subscripts</w:t>
            </w:r>
          </w:p>
        </w:tc>
        <w:tc>
          <w:tcPr>
            <w:tcW w:w="0" w:type="auto"/>
            <w:vAlign w:val="center"/>
          </w:tcPr>
          <w:p w:rsidR="005F78FC" w:rsidRDefault="00B42EF3">
            <w:pPr>
              <w:pStyle w:val="TableBodyText"/>
            </w:pPr>
            <w:r>
              <w:t>2070 – 209F</w:t>
            </w:r>
          </w:p>
        </w:tc>
        <w:tc>
          <w:tcPr>
            <w:tcW w:w="0" w:type="auto"/>
            <w:vAlign w:val="center"/>
          </w:tcPr>
          <w:p w:rsidR="005F78FC" w:rsidRDefault="00B42EF3">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5F78FC" w:rsidTr="005F78FC">
        <w:tc>
          <w:tcPr>
            <w:tcW w:w="0" w:type="auto"/>
            <w:vAlign w:val="center"/>
          </w:tcPr>
          <w:p w:rsidR="005F78FC" w:rsidRDefault="00B42EF3">
            <w:pPr>
              <w:pStyle w:val="TableBodyText"/>
            </w:pPr>
            <w:r>
              <w:rPr>
                <w:b/>
              </w:rPr>
              <w:t>Currency Symbols</w:t>
            </w:r>
          </w:p>
        </w:tc>
        <w:tc>
          <w:tcPr>
            <w:tcW w:w="0" w:type="auto"/>
            <w:vAlign w:val="center"/>
          </w:tcPr>
          <w:p w:rsidR="005F78FC" w:rsidRDefault="00B42EF3">
            <w:pPr>
              <w:pStyle w:val="TableBodyText"/>
            </w:pPr>
            <w:r>
              <w:t>20A0 – 20CF</w:t>
            </w:r>
          </w:p>
        </w:tc>
        <w:tc>
          <w:tcPr>
            <w:tcW w:w="0" w:type="auto"/>
            <w:vAlign w:val="center"/>
          </w:tcPr>
          <w:p w:rsidR="005F78FC" w:rsidRDefault="00B42EF3">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w:t>
            </w:r>
            <w:r>
              <w:t>efined) is used.</w:t>
            </w:r>
          </w:p>
        </w:tc>
      </w:tr>
      <w:tr w:rsidR="005F78FC" w:rsidTr="005F78FC">
        <w:tc>
          <w:tcPr>
            <w:tcW w:w="0" w:type="auto"/>
            <w:vAlign w:val="center"/>
          </w:tcPr>
          <w:p w:rsidR="005F78FC" w:rsidRDefault="00B42EF3">
            <w:pPr>
              <w:pStyle w:val="TableBodyText"/>
            </w:pPr>
            <w:r>
              <w:rPr>
                <w:b/>
              </w:rPr>
              <w:t>Combining Diacritical Marks for Symbols</w:t>
            </w:r>
          </w:p>
        </w:tc>
        <w:tc>
          <w:tcPr>
            <w:tcW w:w="0" w:type="auto"/>
            <w:vAlign w:val="center"/>
          </w:tcPr>
          <w:p w:rsidR="005F78FC" w:rsidRDefault="00B42EF3">
            <w:pPr>
              <w:pStyle w:val="TableBodyText"/>
            </w:pPr>
            <w:r>
              <w:t>20D0 – 20FF</w:t>
            </w:r>
          </w:p>
        </w:tc>
        <w:tc>
          <w:tcPr>
            <w:tcW w:w="0" w:type="auto"/>
            <w:vAlign w:val="center"/>
          </w:tcPr>
          <w:p w:rsidR="005F78FC" w:rsidRDefault="00B42EF3">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5F78FC" w:rsidTr="005F78FC">
        <w:tc>
          <w:tcPr>
            <w:tcW w:w="0" w:type="auto"/>
            <w:vAlign w:val="center"/>
          </w:tcPr>
          <w:p w:rsidR="005F78FC" w:rsidRDefault="00B42EF3">
            <w:pPr>
              <w:pStyle w:val="TableBodyText"/>
            </w:pPr>
            <w:r>
              <w:rPr>
                <w:b/>
              </w:rPr>
              <w:t>Letter-like Symbols</w:t>
            </w:r>
          </w:p>
        </w:tc>
        <w:tc>
          <w:tcPr>
            <w:tcW w:w="0" w:type="auto"/>
            <w:vAlign w:val="center"/>
          </w:tcPr>
          <w:p w:rsidR="005F78FC" w:rsidRDefault="00B42EF3">
            <w:pPr>
              <w:pStyle w:val="TableBodyText"/>
            </w:pPr>
            <w:r>
              <w:t>2100 – 214F</w:t>
            </w:r>
          </w:p>
        </w:tc>
        <w:tc>
          <w:tcPr>
            <w:tcW w:w="0" w:type="auto"/>
            <w:vAlign w:val="center"/>
          </w:tcPr>
          <w:p w:rsidR="005F78FC" w:rsidRDefault="00B42EF3">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5F78FC" w:rsidTr="005F78FC">
        <w:tc>
          <w:tcPr>
            <w:tcW w:w="0" w:type="auto"/>
            <w:vAlign w:val="center"/>
          </w:tcPr>
          <w:p w:rsidR="005F78FC" w:rsidRDefault="00B42EF3">
            <w:pPr>
              <w:pStyle w:val="TableBodyText"/>
            </w:pPr>
            <w:r>
              <w:rPr>
                <w:b/>
              </w:rPr>
              <w:t>Number Forms</w:t>
            </w:r>
          </w:p>
        </w:tc>
        <w:tc>
          <w:tcPr>
            <w:tcW w:w="0" w:type="auto"/>
            <w:vAlign w:val="center"/>
          </w:tcPr>
          <w:p w:rsidR="005F78FC" w:rsidRDefault="00B42EF3">
            <w:pPr>
              <w:pStyle w:val="TableBodyText"/>
            </w:pPr>
            <w:r>
              <w:t>2150 – 218F</w:t>
            </w:r>
          </w:p>
        </w:tc>
        <w:tc>
          <w:tcPr>
            <w:tcW w:w="0" w:type="auto"/>
            <w:vAlign w:val="center"/>
          </w:tcPr>
          <w:p w:rsidR="005F78FC" w:rsidRDefault="00B42EF3">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5F78FC" w:rsidTr="005F78FC">
        <w:tc>
          <w:tcPr>
            <w:tcW w:w="0" w:type="auto"/>
            <w:vAlign w:val="center"/>
          </w:tcPr>
          <w:p w:rsidR="005F78FC" w:rsidRDefault="00B42EF3">
            <w:pPr>
              <w:pStyle w:val="TableBodyText"/>
            </w:pPr>
            <w:r>
              <w:rPr>
                <w:b/>
              </w:rPr>
              <w:t>Arrows</w:t>
            </w:r>
          </w:p>
        </w:tc>
        <w:tc>
          <w:tcPr>
            <w:tcW w:w="0" w:type="auto"/>
            <w:vAlign w:val="center"/>
          </w:tcPr>
          <w:p w:rsidR="005F78FC" w:rsidRDefault="00B42EF3">
            <w:pPr>
              <w:pStyle w:val="TableBodyText"/>
            </w:pPr>
            <w:r>
              <w:t>2190 – 21FF</w:t>
            </w:r>
          </w:p>
        </w:tc>
        <w:tc>
          <w:tcPr>
            <w:tcW w:w="0" w:type="auto"/>
            <w:vAlign w:val="center"/>
          </w:tcPr>
          <w:p w:rsidR="005F78FC" w:rsidRDefault="00B42EF3">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5F78FC" w:rsidTr="005F78FC">
        <w:tc>
          <w:tcPr>
            <w:tcW w:w="0" w:type="auto"/>
            <w:vAlign w:val="center"/>
          </w:tcPr>
          <w:p w:rsidR="005F78FC" w:rsidRDefault="00B42EF3">
            <w:pPr>
              <w:pStyle w:val="TableBodyText"/>
            </w:pPr>
            <w:r>
              <w:rPr>
                <w:b/>
              </w:rPr>
              <w:t>Mathematical Operators</w:t>
            </w:r>
          </w:p>
        </w:tc>
        <w:tc>
          <w:tcPr>
            <w:tcW w:w="0" w:type="auto"/>
            <w:vAlign w:val="center"/>
          </w:tcPr>
          <w:p w:rsidR="005F78FC" w:rsidRDefault="00B42EF3">
            <w:pPr>
              <w:pStyle w:val="TableBodyText"/>
            </w:pPr>
            <w:r>
              <w:t>2200 – 22FF</w:t>
            </w:r>
          </w:p>
        </w:tc>
        <w:tc>
          <w:tcPr>
            <w:tcW w:w="0" w:type="auto"/>
            <w:vAlign w:val="center"/>
          </w:tcPr>
          <w:p w:rsidR="005F78FC" w:rsidRDefault="00B42EF3">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5F78FC" w:rsidTr="005F78FC">
        <w:tc>
          <w:tcPr>
            <w:tcW w:w="0" w:type="auto"/>
            <w:vAlign w:val="center"/>
          </w:tcPr>
          <w:p w:rsidR="005F78FC" w:rsidRDefault="00B42EF3">
            <w:pPr>
              <w:pStyle w:val="TableBodyText"/>
            </w:pPr>
            <w:r>
              <w:rPr>
                <w:b/>
              </w:rPr>
              <w:t>Miscellaneous Technical</w:t>
            </w:r>
          </w:p>
        </w:tc>
        <w:tc>
          <w:tcPr>
            <w:tcW w:w="0" w:type="auto"/>
            <w:vAlign w:val="center"/>
          </w:tcPr>
          <w:p w:rsidR="005F78FC" w:rsidRDefault="00B42EF3">
            <w:pPr>
              <w:pStyle w:val="TableBodyText"/>
            </w:pPr>
            <w:r>
              <w:t>2300 – 23FF</w:t>
            </w:r>
          </w:p>
        </w:tc>
        <w:tc>
          <w:tcPr>
            <w:tcW w:w="0" w:type="auto"/>
            <w:vAlign w:val="center"/>
          </w:tcPr>
          <w:p w:rsidR="005F78FC" w:rsidRDefault="00B42EF3">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5F78FC" w:rsidTr="005F78FC">
        <w:tc>
          <w:tcPr>
            <w:tcW w:w="0" w:type="auto"/>
            <w:vAlign w:val="center"/>
          </w:tcPr>
          <w:p w:rsidR="005F78FC" w:rsidRDefault="00B42EF3">
            <w:pPr>
              <w:pStyle w:val="TableBodyText"/>
            </w:pPr>
            <w:r>
              <w:rPr>
                <w:b/>
              </w:rPr>
              <w:t>Control Pictures</w:t>
            </w:r>
          </w:p>
        </w:tc>
        <w:tc>
          <w:tcPr>
            <w:tcW w:w="0" w:type="auto"/>
            <w:vAlign w:val="center"/>
          </w:tcPr>
          <w:p w:rsidR="005F78FC" w:rsidRDefault="00B42EF3">
            <w:pPr>
              <w:pStyle w:val="TableBodyText"/>
            </w:pPr>
            <w:r>
              <w:t>2400 – 243F</w:t>
            </w:r>
          </w:p>
        </w:tc>
        <w:tc>
          <w:tcPr>
            <w:tcW w:w="0" w:type="auto"/>
            <w:vAlign w:val="center"/>
          </w:tcPr>
          <w:p w:rsidR="005F78FC" w:rsidRDefault="00B42EF3">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w:t>
            </w:r>
            <w:r>
              <w:rPr>
                <w:b/>
              </w:rPr>
              <w:t>Theme</w:t>
            </w:r>
            <w:r>
              <w:t xml:space="preserve"> if defined) is used.</w:t>
            </w:r>
          </w:p>
        </w:tc>
      </w:tr>
      <w:tr w:rsidR="005F78FC" w:rsidTr="005F78FC">
        <w:tc>
          <w:tcPr>
            <w:tcW w:w="0" w:type="auto"/>
            <w:vAlign w:val="center"/>
          </w:tcPr>
          <w:p w:rsidR="005F78FC" w:rsidRDefault="00B42EF3">
            <w:pPr>
              <w:pStyle w:val="TableBodyText"/>
            </w:pPr>
            <w:r>
              <w:rPr>
                <w:b/>
              </w:rPr>
              <w:t>Optical Character Recognition</w:t>
            </w:r>
          </w:p>
        </w:tc>
        <w:tc>
          <w:tcPr>
            <w:tcW w:w="0" w:type="auto"/>
            <w:vAlign w:val="center"/>
          </w:tcPr>
          <w:p w:rsidR="005F78FC" w:rsidRDefault="00B42EF3">
            <w:pPr>
              <w:pStyle w:val="TableBodyText"/>
            </w:pPr>
            <w:r>
              <w:t>2440 – 245F</w:t>
            </w:r>
          </w:p>
        </w:tc>
        <w:tc>
          <w:tcPr>
            <w:tcW w:w="0" w:type="auto"/>
            <w:vAlign w:val="center"/>
          </w:tcPr>
          <w:p w:rsidR="005F78FC" w:rsidRDefault="00B42EF3">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5F78FC" w:rsidTr="005F78FC">
        <w:tc>
          <w:tcPr>
            <w:tcW w:w="0" w:type="auto"/>
            <w:vAlign w:val="center"/>
          </w:tcPr>
          <w:p w:rsidR="005F78FC" w:rsidRDefault="00B42EF3">
            <w:pPr>
              <w:pStyle w:val="TableBodyText"/>
            </w:pPr>
            <w:r>
              <w:rPr>
                <w:b/>
              </w:rPr>
              <w:t>Enclosed Alphanumerics</w:t>
            </w:r>
          </w:p>
        </w:tc>
        <w:tc>
          <w:tcPr>
            <w:tcW w:w="0" w:type="auto"/>
            <w:vAlign w:val="center"/>
          </w:tcPr>
          <w:p w:rsidR="005F78FC" w:rsidRDefault="00B42EF3">
            <w:pPr>
              <w:pStyle w:val="TableBodyText"/>
            </w:pPr>
            <w:r>
              <w:t>2460 – 24FF</w:t>
            </w:r>
          </w:p>
        </w:tc>
        <w:tc>
          <w:tcPr>
            <w:tcW w:w="0" w:type="auto"/>
            <w:vAlign w:val="center"/>
          </w:tcPr>
          <w:p w:rsidR="005F78FC" w:rsidRDefault="00B42EF3">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5F78FC" w:rsidTr="005F78FC">
        <w:tc>
          <w:tcPr>
            <w:tcW w:w="0" w:type="auto"/>
            <w:vAlign w:val="center"/>
          </w:tcPr>
          <w:p w:rsidR="005F78FC" w:rsidRDefault="00B42EF3">
            <w:pPr>
              <w:pStyle w:val="TableBodyText"/>
            </w:pPr>
            <w:r>
              <w:rPr>
                <w:b/>
              </w:rPr>
              <w:lastRenderedPageBreak/>
              <w:t>Box Drawing</w:t>
            </w:r>
          </w:p>
        </w:tc>
        <w:tc>
          <w:tcPr>
            <w:tcW w:w="0" w:type="auto"/>
            <w:vAlign w:val="center"/>
          </w:tcPr>
          <w:p w:rsidR="005F78FC" w:rsidRDefault="00B42EF3">
            <w:pPr>
              <w:pStyle w:val="TableBodyText"/>
            </w:pPr>
            <w:r>
              <w:t>2500 – 257F</w:t>
            </w:r>
          </w:p>
        </w:tc>
        <w:tc>
          <w:tcPr>
            <w:tcW w:w="0" w:type="auto"/>
            <w:vAlign w:val="center"/>
          </w:tcPr>
          <w:p w:rsidR="005F78FC" w:rsidRDefault="00B42EF3">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5F78FC" w:rsidTr="005F78FC">
        <w:tc>
          <w:tcPr>
            <w:tcW w:w="0" w:type="auto"/>
            <w:vAlign w:val="center"/>
          </w:tcPr>
          <w:p w:rsidR="005F78FC" w:rsidRDefault="00B42EF3">
            <w:pPr>
              <w:pStyle w:val="TableBodyText"/>
            </w:pPr>
            <w:r>
              <w:rPr>
                <w:b/>
              </w:rPr>
              <w:t>Block Elements</w:t>
            </w:r>
          </w:p>
        </w:tc>
        <w:tc>
          <w:tcPr>
            <w:tcW w:w="0" w:type="auto"/>
            <w:vAlign w:val="center"/>
          </w:tcPr>
          <w:p w:rsidR="005F78FC" w:rsidRDefault="00B42EF3">
            <w:pPr>
              <w:pStyle w:val="TableBodyText"/>
            </w:pPr>
            <w:r>
              <w:t>2580 – 259F</w:t>
            </w:r>
          </w:p>
        </w:tc>
        <w:tc>
          <w:tcPr>
            <w:tcW w:w="0" w:type="auto"/>
            <w:vAlign w:val="center"/>
          </w:tcPr>
          <w:p w:rsidR="005F78FC" w:rsidRDefault="00B42EF3">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5F78FC" w:rsidTr="005F78FC">
        <w:tc>
          <w:tcPr>
            <w:tcW w:w="0" w:type="auto"/>
            <w:vAlign w:val="center"/>
          </w:tcPr>
          <w:p w:rsidR="005F78FC" w:rsidRDefault="00B42EF3">
            <w:pPr>
              <w:pStyle w:val="TableBodyText"/>
            </w:pPr>
            <w:r>
              <w:rPr>
                <w:b/>
              </w:rPr>
              <w:t>Geometric Shapes</w:t>
            </w:r>
          </w:p>
        </w:tc>
        <w:tc>
          <w:tcPr>
            <w:tcW w:w="0" w:type="auto"/>
            <w:vAlign w:val="center"/>
          </w:tcPr>
          <w:p w:rsidR="005F78FC" w:rsidRDefault="00B42EF3">
            <w:pPr>
              <w:pStyle w:val="TableBodyText"/>
            </w:pPr>
            <w:r>
              <w:t xml:space="preserve">25A0 – </w:t>
            </w:r>
            <w:r>
              <w:t>25FF</w:t>
            </w:r>
          </w:p>
        </w:tc>
        <w:tc>
          <w:tcPr>
            <w:tcW w:w="0" w:type="auto"/>
            <w:vAlign w:val="center"/>
          </w:tcPr>
          <w:p w:rsidR="005F78FC" w:rsidRDefault="00B42EF3">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5F78FC" w:rsidTr="005F78FC">
        <w:tc>
          <w:tcPr>
            <w:tcW w:w="0" w:type="auto"/>
            <w:vAlign w:val="center"/>
          </w:tcPr>
          <w:p w:rsidR="005F78FC" w:rsidRDefault="00B42EF3">
            <w:pPr>
              <w:pStyle w:val="TableBodyText"/>
            </w:pPr>
            <w:r>
              <w:rPr>
                <w:b/>
              </w:rPr>
              <w:t>Miscellaneous Symbols</w:t>
            </w:r>
          </w:p>
        </w:tc>
        <w:tc>
          <w:tcPr>
            <w:tcW w:w="0" w:type="auto"/>
            <w:vAlign w:val="center"/>
          </w:tcPr>
          <w:p w:rsidR="005F78FC" w:rsidRDefault="00B42EF3">
            <w:pPr>
              <w:pStyle w:val="TableBodyText"/>
            </w:pPr>
            <w:r>
              <w:t>2600 – 26FF</w:t>
            </w:r>
          </w:p>
        </w:tc>
        <w:tc>
          <w:tcPr>
            <w:tcW w:w="0" w:type="auto"/>
            <w:vAlign w:val="center"/>
          </w:tcPr>
          <w:p w:rsidR="005F78FC" w:rsidRDefault="00B42EF3">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5F78FC" w:rsidTr="005F78FC">
        <w:tc>
          <w:tcPr>
            <w:tcW w:w="0" w:type="auto"/>
            <w:vAlign w:val="center"/>
          </w:tcPr>
          <w:p w:rsidR="005F78FC" w:rsidRDefault="00B42EF3">
            <w:pPr>
              <w:pStyle w:val="TableBodyText"/>
            </w:pPr>
            <w:r>
              <w:rPr>
                <w:b/>
              </w:rPr>
              <w:t>Dingbats</w:t>
            </w:r>
          </w:p>
        </w:tc>
        <w:tc>
          <w:tcPr>
            <w:tcW w:w="0" w:type="auto"/>
            <w:vAlign w:val="center"/>
          </w:tcPr>
          <w:p w:rsidR="005F78FC" w:rsidRDefault="00B42EF3">
            <w:pPr>
              <w:pStyle w:val="TableBodyText"/>
            </w:pPr>
            <w:r>
              <w:t>2700 – 27BF</w:t>
            </w:r>
          </w:p>
        </w:tc>
        <w:tc>
          <w:tcPr>
            <w:tcW w:w="0" w:type="auto"/>
            <w:vAlign w:val="center"/>
          </w:tcPr>
          <w:p w:rsidR="005F78FC" w:rsidRDefault="00B42EF3">
            <w:pPr>
              <w:pStyle w:val="TableBodyText"/>
            </w:pPr>
            <w:r>
              <w:t xml:space="preserve">If the </w:t>
            </w:r>
            <w:r>
              <w:rPr>
                <w:b/>
              </w:rPr>
              <w:t>hint</w:t>
            </w:r>
            <w:r>
              <w:t xml:space="preserve"> is </w:t>
            </w:r>
            <w:r>
              <w:rPr>
                <w:i/>
              </w:rPr>
              <w:t>eastAsia</w:t>
            </w:r>
            <w:r>
              <w:t xml:space="preserve"> then </w:t>
            </w:r>
            <w:r>
              <w:rPr>
                <w:b/>
              </w:rPr>
              <w:t>eastAsia</w:t>
            </w:r>
            <w:r>
              <w:t xml:space="preserve"> (o</w:t>
            </w:r>
            <w:r>
              <w:t xml:space="preserve">r </w:t>
            </w:r>
            <w:r>
              <w:rPr>
                <w:b/>
              </w:rPr>
              <w:t>eastAsiaTheme</w:t>
            </w:r>
            <w:r>
              <w:t xml:space="preserve"> if defined) is used.</w:t>
            </w:r>
          </w:p>
        </w:tc>
      </w:tr>
      <w:tr w:rsidR="005F78FC" w:rsidTr="005F78FC">
        <w:tc>
          <w:tcPr>
            <w:tcW w:w="0" w:type="auto"/>
            <w:vAlign w:val="center"/>
          </w:tcPr>
          <w:p w:rsidR="005F78FC" w:rsidRDefault="00B42EF3">
            <w:pPr>
              <w:pStyle w:val="TableBodyText"/>
            </w:pPr>
            <w:r>
              <w:rPr>
                <w:b/>
              </w:rPr>
              <w:t>CJK Radicals Supplement</w:t>
            </w:r>
          </w:p>
        </w:tc>
        <w:tc>
          <w:tcPr>
            <w:tcW w:w="0" w:type="auto"/>
            <w:vAlign w:val="center"/>
          </w:tcPr>
          <w:p w:rsidR="005F78FC" w:rsidRDefault="00B42EF3">
            <w:pPr>
              <w:pStyle w:val="TableBodyText"/>
            </w:pPr>
            <w:r>
              <w:t>2E80 – 2EFF</w:t>
            </w:r>
          </w:p>
        </w:tc>
        <w:tc>
          <w:tcPr>
            <w:tcW w:w="0" w:type="auto"/>
            <w:vAlign w:val="center"/>
          </w:tcPr>
          <w:p w:rsidR="005F78FC" w:rsidRDefault="00B42EF3">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5F78FC" w:rsidTr="005F78FC">
        <w:tc>
          <w:tcPr>
            <w:tcW w:w="0" w:type="auto"/>
            <w:vAlign w:val="center"/>
          </w:tcPr>
          <w:p w:rsidR="005F78FC" w:rsidRDefault="00B42EF3">
            <w:pPr>
              <w:pStyle w:val="TableBodyText"/>
            </w:pPr>
            <w:r>
              <w:rPr>
                <w:b/>
              </w:rPr>
              <w:t>Kangxi Radicals</w:t>
            </w:r>
          </w:p>
        </w:tc>
        <w:tc>
          <w:tcPr>
            <w:tcW w:w="0" w:type="auto"/>
            <w:vAlign w:val="center"/>
          </w:tcPr>
          <w:p w:rsidR="005F78FC" w:rsidRDefault="00B42EF3">
            <w:pPr>
              <w:pStyle w:val="TableBodyText"/>
            </w:pPr>
            <w:r>
              <w:t>2F00 – 2FDF</w:t>
            </w:r>
          </w:p>
        </w:tc>
        <w:tc>
          <w:tcPr>
            <w:tcW w:w="0" w:type="auto"/>
            <w:vAlign w:val="center"/>
          </w:tcPr>
          <w:p w:rsidR="005F78FC" w:rsidRDefault="00B42EF3">
            <w:pPr>
              <w:pStyle w:val="TableBodyText"/>
            </w:pPr>
            <w:r>
              <w:rPr>
                <w:b/>
              </w:rPr>
              <w:t>eastAsia</w:t>
            </w:r>
            <w:r>
              <w:t xml:space="preserve"> (or </w:t>
            </w:r>
            <w:r>
              <w:rPr>
                <w:b/>
              </w:rPr>
              <w:t>eastAsiaTheme</w:t>
            </w:r>
            <w:r>
              <w:t xml:space="preserve"> if defined)</w:t>
            </w:r>
          </w:p>
        </w:tc>
      </w:tr>
      <w:tr w:rsidR="005F78FC" w:rsidTr="005F78FC">
        <w:tc>
          <w:tcPr>
            <w:tcW w:w="0" w:type="auto"/>
            <w:vAlign w:val="center"/>
          </w:tcPr>
          <w:p w:rsidR="005F78FC" w:rsidRDefault="00B42EF3">
            <w:pPr>
              <w:pStyle w:val="TableBodyText"/>
            </w:pPr>
            <w:r>
              <w:rPr>
                <w:b/>
              </w:rPr>
              <w:t>Ideographic Description Characters</w:t>
            </w:r>
          </w:p>
        </w:tc>
        <w:tc>
          <w:tcPr>
            <w:tcW w:w="0" w:type="auto"/>
            <w:vAlign w:val="center"/>
          </w:tcPr>
          <w:p w:rsidR="005F78FC" w:rsidRDefault="00B42EF3">
            <w:pPr>
              <w:pStyle w:val="TableBodyText"/>
            </w:pPr>
            <w:r>
              <w:t>2FF0 – 2FFF</w:t>
            </w:r>
          </w:p>
        </w:tc>
        <w:tc>
          <w:tcPr>
            <w:tcW w:w="0" w:type="auto"/>
            <w:vAlign w:val="center"/>
          </w:tcPr>
          <w:p w:rsidR="005F78FC" w:rsidRDefault="00B42EF3">
            <w:pPr>
              <w:pStyle w:val="TableBodyText"/>
            </w:pPr>
            <w:r>
              <w:rPr>
                <w:b/>
              </w:rPr>
              <w:t>eastAsia</w:t>
            </w:r>
            <w:r>
              <w:t xml:space="preserve"> (or </w:t>
            </w:r>
            <w:r>
              <w:rPr>
                <w:b/>
              </w:rPr>
              <w:t>eastAsiaTheme</w:t>
            </w:r>
            <w:r>
              <w:t xml:space="preserve"> if defined)</w:t>
            </w:r>
          </w:p>
        </w:tc>
      </w:tr>
      <w:tr w:rsidR="005F78FC" w:rsidTr="005F78FC">
        <w:tc>
          <w:tcPr>
            <w:tcW w:w="0" w:type="auto"/>
            <w:vAlign w:val="center"/>
          </w:tcPr>
          <w:p w:rsidR="005F78FC" w:rsidRDefault="00B42EF3">
            <w:pPr>
              <w:pStyle w:val="TableBodyText"/>
            </w:pPr>
            <w:r>
              <w:rPr>
                <w:b/>
              </w:rPr>
              <w:t>CJK Symbols and Punctuation</w:t>
            </w:r>
          </w:p>
        </w:tc>
        <w:tc>
          <w:tcPr>
            <w:tcW w:w="0" w:type="auto"/>
            <w:vAlign w:val="center"/>
          </w:tcPr>
          <w:p w:rsidR="005F78FC" w:rsidRDefault="00B42EF3">
            <w:pPr>
              <w:pStyle w:val="TableBodyText"/>
            </w:pPr>
            <w:r>
              <w:t>3000 – 303F</w:t>
            </w:r>
          </w:p>
        </w:tc>
        <w:tc>
          <w:tcPr>
            <w:tcW w:w="0" w:type="auto"/>
            <w:vAlign w:val="center"/>
          </w:tcPr>
          <w:p w:rsidR="005F78FC" w:rsidRDefault="00B42EF3">
            <w:pPr>
              <w:pStyle w:val="TableBodyText"/>
            </w:pPr>
            <w:r>
              <w:rPr>
                <w:b/>
              </w:rPr>
              <w:t>eastAsia</w:t>
            </w:r>
            <w:r>
              <w:t xml:space="preserve"> (or </w:t>
            </w:r>
            <w:r>
              <w:rPr>
                <w:b/>
              </w:rPr>
              <w:t>eastAsiaTheme</w:t>
            </w:r>
            <w:r>
              <w:t xml:space="preserve"> if defined)</w:t>
            </w:r>
          </w:p>
        </w:tc>
      </w:tr>
      <w:tr w:rsidR="005F78FC" w:rsidTr="005F78FC">
        <w:tc>
          <w:tcPr>
            <w:tcW w:w="0" w:type="auto"/>
            <w:vAlign w:val="center"/>
          </w:tcPr>
          <w:p w:rsidR="005F78FC" w:rsidRDefault="00B42EF3">
            <w:pPr>
              <w:pStyle w:val="TableBodyText"/>
            </w:pPr>
            <w:r>
              <w:rPr>
                <w:b/>
              </w:rPr>
              <w:t>Hiragana</w:t>
            </w:r>
          </w:p>
        </w:tc>
        <w:tc>
          <w:tcPr>
            <w:tcW w:w="0" w:type="auto"/>
            <w:vAlign w:val="center"/>
          </w:tcPr>
          <w:p w:rsidR="005F78FC" w:rsidRDefault="00B42EF3">
            <w:pPr>
              <w:pStyle w:val="TableBodyText"/>
            </w:pPr>
            <w:r>
              <w:t>3040 – 309F</w:t>
            </w:r>
          </w:p>
        </w:tc>
        <w:tc>
          <w:tcPr>
            <w:tcW w:w="0" w:type="auto"/>
            <w:vAlign w:val="center"/>
          </w:tcPr>
          <w:p w:rsidR="005F78FC" w:rsidRDefault="00B42EF3">
            <w:pPr>
              <w:pStyle w:val="TableBodyText"/>
            </w:pPr>
            <w:r>
              <w:rPr>
                <w:b/>
              </w:rPr>
              <w:t>eastAsia</w:t>
            </w:r>
            <w:r>
              <w:t xml:space="preserve"> (or </w:t>
            </w:r>
            <w:r>
              <w:rPr>
                <w:b/>
              </w:rPr>
              <w:t>eastAsiaTheme</w:t>
            </w:r>
            <w:r>
              <w:t xml:space="preserve"> if defined)</w:t>
            </w:r>
          </w:p>
        </w:tc>
      </w:tr>
      <w:tr w:rsidR="005F78FC" w:rsidTr="005F78FC">
        <w:tc>
          <w:tcPr>
            <w:tcW w:w="0" w:type="auto"/>
            <w:vAlign w:val="center"/>
          </w:tcPr>
          <w:p w:rsidR="005F78FC" w:rsidRDefault="00B42EF3">
            <w:pPr>
              <w:pStyle w:val="TableBodyText"/>
            </w:pPr>
            <w:r>
              <w:rPr>
                <w:b/>
              </w:rPr>
              <w:t>Katakana</w:t>
            </w:r>
          </w:p>
        </w:tc>
        <w:tc>
          <w:tcPr>
            <w:tcW w:w="0" w:type="auto"/>
            <w:vAlign w:val="center"/>
          </w:tcPr>
          <w:p w:rsidR="005F78FC" w:rsidRDefault="00B42EF3">
            <w:pPr>
              <w:pStyle w:val="TableBodyText"/>
            </w:pPr>
            <w:r>
              <w:t>30A0 – 30FF</w:t>
            </w:r>
          </w:p>
        </w:tc>
        <w:tc>
          <w:tcPr>
            <w:tcW w:w="0" w:type="auto"/>
            <w:vAlign w:val="center"/>
          </w:tcPr>
          <w:p w:rsidR="005F78FC" w:rsidRDefault="00B42EF3">
            <w:pPr>
              <w:pStyle w:val="TableBodyText"/>
            </w:pPr>
            <w:r>
              <w:rPr>
                <w:b/>
              </w:rPr>
              <w:t>eastAsia</w:t>
            </w:r>
            <w:r>
              <w:t xml:space="preserve"> (or </w:t>
            </w:r>
            <w:r>
              <w:rPr>
                <w:b/>
              </w:rPr>
              <w:t>eastAsiaTheme</w:t>
            </w:r>
            <w:r>
              <w:t xml:space="preserve"> if defined)</w:t>
            </w:r>
          </w:p>
        </w:tc>
      </w:tr>
      <w:tr w:rsidR="005F78FC" w:rsidTr="005F78FC">
        <w:tc>
          <w:tcPr>
            <w:tcW w:w="0" w:type="auto"/>
            <w:vAlign w:val="center"/>
          </w:tcPr>
          <w:p w:rsidR="005F78FC" w:rsidRDefault="00B42EF3">
            <w:pPr>
              <w:pStyle w:val="TableBodyText"/>
            </w:pPr>
            <w:r>
              <w:rPr>
                <w:b/>
              </w:rPr>
              <w:t>Bo</w:t>
            </w:r>
            <w:r>
              <w:rPr>
                <w:b/>
              </w:rPr>
              <w:t>pomofo</w:t>
            </w:r>
          </w:p>
        </w:tc>
        <w:tc>
          <w:tcPr>
            <w:tcW w:w="0" w:type="auto"/>
            <w:vAlign w:val="center"/>
          </w:tcPr>
          <w:p w:rsidR="005F78FC" w:rsidRDefault="00B42EF3">
            <w:pPr>
              <w:pStyle w:val="TableBodyText"/>
            </w:pPr>
            <w:r>
              <w:t>3100 – 312F</w:t>
            </w:r>
          </w:p>
        </w:tc>
        <w:tc>
          <w:tcPr>
            <w:tcW w:w="0" w:type="auto"/>
            <w:vAlign w:val="center"/>
          </w:tcPr>
          <w:p w:rsidR="005F78FC" w:rsidRDefault="00B42EF3">
            <w:pPr>
              <w:pStyle w:val="TableBodyText"/>
            </w:pPr>
            <w:r>
              <w:rPr>
                <w:b/>
              </w:rPr>
              <w:t>eastAsia</w:t>
            </w:r>
            <w:r>
              <w:t xml:space="preserve"> (or </w:t>
            </w:r>
            <w:r>
              <w:rPr>
                <w:b/>
              </w:rPr>
              <w:t>eastAsiaTheme</w:t>
            </w:r>
            <w:r>
              <w:t xml:space="preserve"> if defined)</w:t>
            </w:r>
          </w:p>
        </w:tc>
      </w:tr>
      <w:tr w:rsidR="005F78FC" w:rsidTr="005F78FC">
        <w:tc>
          <w:tcPr>
            <w:tcW w:w="0" w:type="auto"/>
            <w:vAlign w:val="center"/>
          </w:tcPr>
          <w:p w:rsidR="005F78FC" w:rsidRDefault="00B42EF3">
            <w:pPr>
              <w:pStyle w:val="TableBodyText"/>
            </w:pPr>
            <w:r>
              <w:rPr>
                <w:b/>
              </w:rPr>
              <w:t>Hangul Compatibility Jamo</w:t>
            </w:r>
          </w:p>
        </w:tc>
        <w:tc>
          <w:tcPr>
            <w:tcW w:w="0" w:type="auto"/>
            <w:vAlign w:val="center"/>
          </w:tcPr>
          <w:p w:rsidR="005F78FC" w:rsidRDefault="00B42EF3">
            <w:pPr>
              <w:pStyle w:val="TableBodyText"/>
            </w:pPr>
            <w:r>
              <w:t>3130 – 318F</w:t>
            </w:r>
          </w:p>
        </w:tc>
        <w:tc>
          <w:tcPr>
            <w:tcW w:w="0" w:type="auto"/>
            <w:vAlign w:val="center"/>
          </w:tcPr>
          <w:p w:rsidR="005F78FC" w:rsidRDefault="00B42EF3">
            <w:pPr>
              <w:pStyle w:val="TableBodyText"/>
            </w:pPr>
            <w:r>
              <w:rPr>
                <w:b/>
              </w:rPr>
              <w:t>eastAsia</w:t>
            </w:r>
            <w:r>
              <w:t xml:space="preserve"> (or </w:t>
            </w:r>
            <w:r>
              <w:rPr>
                <w:b/>
              </w:rPr>
              <w:t>eastAsiaTheme</w:t>
            </w:r>
            <w:r>
              <w:t xml:space="preserve"> if defined)</w:t>
            </w:r>
          </w:p>
        </w:tc>
      </w:tr>
      <w:tr w:rsidR="005F78FC" w:rsidTr="005F78FC">
        <w:tc>
          <w:tcPr>
            <w:tcW w:w="0" w:type="auto"/>
            <w:vAlign w:val="center"/>
          </w:tcPr>
          <w:p w:rsidR="005F78FC" w:rsidRDefault="00B42EF3">
            <w:pPr>
              <w:pStyle w:val="TableBodyText"/>
            </w:pPr>
            <w:r>
              <w:rPr>
                <w:b/>
              </w:rPr>
              <w:t>Kanbun</w:t>
            </w:r>
          </w:p>
        </w:tc>
        <w:tc>
          <w:tcPr>
            <w:tcW w:w="0" w:type="auto"/>
            <w:vAlign w:val="center"/>
          </w:tcPr>
          <w:p w:rsidR="005F78FC" w:rsidRDefault="00B42EF3">
            <w:pPr>
              <w:pStyle w:val="TableBodyText"/>
            </w:pPr>
            <w:r>
              <w:t>3190 – 319F</w:t>
            </w:r>
          </w:p>
        </w:tc>
        <w:tc>
          <w:tcPr>
            <w:tcW w:w="0" w:type="auto"/>
            <w:vAlign w:val="center"/>
          </w:tcPr>
          <w:p w:rsidR="005F78FC" w:rsidRDefault="00B42EF3">
            <w:pPr>
              <w:pStyle w:val="TableBodyText"/>
            </w:pPr>
            <w:r>
              <w:rPr>
                <w:b/>
              </w:rPr>
              <w:t>eastAsia</w:t>
            </w:r>
            <w:r>
              <w:t xml:space="preserve"> (or </w:t>
            </w:r>
            <w:r>
              <w:rPr>
                <w:b/>
              </w:rPr>
              <w:t>eastAsiaTheme</w:t>
            </w:r>
            <w:r>
              <w:t xml:space="preserve"> if defined)</w:t>
            </w:r>
          </w:p>
        </w:tc>
      </w:tr>
      <w:tr w:rsidR="005F78FC" w:rsidTr="005F78FC">
        <w:tc>
          <w:tcPr>
            <w:tcW w:w="0" w:type="auto"/>
            <w:vAlign w:val="center"/>
          </w:tcPr>
          <w:p w:rsidR="005F78FC" w:rsidRDefault="00B42EF3">
            <w:pPr>
              <w:pStyle w:val="TableBodyText"/>
            </w:pPr>
            <w:r>
              <w:rPr>
                <w:b/>
              </w:rPr>
              <w:t>Enclosed CJK Letters and Months</w:t>
            </w:r>
          </w:p>
        </w:tc>
        <w:tc>
          <w:tcPr>
            <w:tcW w:w="0" w:type="auto"/>
            <w:vAlign w:val="center"/>
          </w:tcPr>
          <w:p w:rsidR="005F78FC" w:rsidRDefault="00B42EF3">
            <w:pPr>
              <w:pStyle w:val="TableBodyText"/>
            </w:pPr>
            <w:r>
              <w:t>3200 – 32FF</w:t>
            </w:r>
          </w:p>
        </w:tc>
        <w:tc>
          <w:tcPr>
            <w:tcW w:w="0" w:type="auto"/>
            <w:vAlign w:val="center"/>
          </w:tcPr>
          <w:p w:rsidR="005F78FC" w:rsidRDefault="00B42EF3">
            <w:pPr>
              <w:pStyle w:val="TableBodyText"/>
            </w:pPr>
            <w:r>
              <w:rPr>
                <w:b/>
              </w:rPr>
              <w:t>eastAsia</w:t>
            </w:r>
            <w:r>
              <w:t xml:space="preserve"> (or </w:t>
            </w:r>
            <w:r>
              <w:rPr>
                <w:b/>
              </w:rPr>
              <w:t>eastAsiaTheme</w:t>
            </w:r>
            <w:r>
              <w:t xml:space="preserve"> if defined)</w:t>
            </w:r>
          </w:p>
        </w:tc>
      </w:tr>
      <w:tr w:rsidR="005F78FC" w:rsidTr="005F78FC">
        <w:tc>
          <w:tcPr>
            <w:tcW w:w="0" w:type="auto"/>
            <w:vAlign w:val="center"/>
          </w:tcPr>
          <w:p w:rsidR="005F78FC" w:rsidRDefault="00B42EF3">
            <w:pPr>
              <w:pStyle w:val="TableBodyText"/>
            </w:pPr>
            <w:r>
              <w:rPr>
                <w:b/>
              </w:rPr>
              <w:t>CJK Compatibility</w:t>
            </w:r>
          </w:p>
        </w:tc>
        <w:tc>
          <w:tcPr>
            <w:tcW w:w="0" w:type="auto"/>
            <w:vAlign w:val="center"/>
          </w:tcPr>
          <w:p w:rsidR="005F78FC" w:rsidRDefault="00B42EF3">
            <w:pPr>
              <w:pStyle w:val="TableBodyText"/>
            </w:pPr>
            <w:r>
              <w:t>3300 – 33FF</w:t>
            </w:r>
          </w:p>
        </w:tc>
        <w:tc>
          <w:tcPr>
            <w:tcW w:w="0" w:type="auto"/>
            <w:vAlign w:val="center"/>
          </w:tcPr>
          <w:p w:rsidR="005F78FC" w:rsidRDefault="00B42EF3">
            <w:pPr>
              <w:pStyle w:val="TableBodyText"/>
            </w:pPr>
            <w:r>
              <w:rPr>
                <w:b/>
              </w:rPr>
              <w:t>eastAsia</w:t>
            </w:r>
            <w:r>
              <w:t xml:space="preserve"> (or </w:t>
            </w:r>
            <w:r>
              <w:rPr>
                <w:b/>
              </w:rPr>
              <w:t>eastAsiaTheme</w:t>
            </w:r>
            <w:r>
              <w:t xml:space="preserve"> if defined)</w:t>
            </w:r>
          </w:p>
        </w:tc>
      </w:tr>
      <w:tr w:rsidR="005F78FC" w:rsidTr="005F78FC">
        <w:tc>
          <w:tcPr>
            <w:tcW w:w="0" w:type="auto"/>
            <w:vAlign w:val="center"/>
          </w:tcPr>
          <w:p w:rsidR="005F78FC" w:rsidRDefault="00B42EF3">
            <w:pPr>
              <w:pStyle w:val="TableBodyText"/>
            </w:pPr>
            <w:r>
              <w:rPr>
                <w:b/>
              </w:rPr>
              <w:t>CJK Unified Ideographs Extension A</w:t>
            </w:r>
          </w:p>
        </w:tc>
        <w:tc>
          <w:tcPr>
            <w:tcW w:w="0" w:type="auto"/>
            <w:vAlign w:val="center"/>
          </w:tcPr>
          <w:p w:rsidR="005F78FC" w:rsidRDefault="00B42EF3">
            <w:pPr>
              <w:pStyle w:val="TableBodyText"/>
            </w:pPr>
            <w:r>
              <w:t>3400 – 4DBF</w:t>
            </w:r>
          </w:p>
        </w:tc>
        <w:tc>
          <w:tcPr>
            <w:tcW w:w="0" w:type="auto"/>
            <w:vAlign w:val="center"/>
          </w:tcPr>
          <w:p w:rsidR="005F78FC" w:rsidRDefault="00B42EF3">
            <w:pPr>
              <w:pStyle w:val="TableBodyText"/>
            </w:pPr>
            <w:r>
              <w:rPr>
                <w:b/>
              </w:rPr>
              <w:t>eastAsia</w:t>
            </w:r>
            <w:r>
              <w:t xml:space="preserve"> (or </w:t>
            </w:r>
            <w:r>
              <w:rPr>
                <w:b/>
              </w:rPr>
              <w:t>eastAsiaTheme</w:t>
            </w:r>
            <w:r>
              <w:t xml:space="preserve"> if defined)</w:t>
            </w:r>
          </w:p>
        </w:tc>
      </w:tr>
      <w:tr w:rsidR="005F78FC" w:rsidTr="005F78FC">
        <w:tc>
          <w:tcPr>
            <w:tcW w:w="0" w:type="auto"/>
            <w:vAlign w:val="center"/>
          </w:tcPr>
          <w:p w:rsidR="005F78FC" w:rsidRDefault="00B42EF3">
            <w:pPr>
              <w:pStyle w:val="TableBodyText"/>
            </w:pPr>
            <w:r>
              <w:rPr>
                <w:b/>
              </w:rPr>
              <w:t>CJK Unified Ideographs</w:t>
            </w:r>
          </w:p>
        </w:tc>
        <w:tc>
          <w:tcPr>
            <w:tcW w:w="0" w:type="auto"/>
            <w:vAlign w:val="center"/>
          </w:tcPr>
          <w:p w:rsidR="005F78FC" w:rsidRDefault="00B42EF3">
            <w:pPr>
              <w:pStyle w:val="TableBodyText"/>
            </w:pPr>
            <w:r>
              <w:t>4E00 – 9FAF</w:t>
            </w:r>
          </w:p>
        </w:tc>
        <w:tc>
          <w:tcPr>
            <w:tcW w:w="0" w:type="auto"/>
            <w:vAlign w:val="center"/>
          </w:tcPr>
          <w:p w:rsidR="005F78FC" w:rsidRDefault="00B42EF3">
            <w:pPr>
              <w:pStyle w:val="TableBodyText"/>
            </w:pPr>
            <w:r>
              <w:rPr>
                <w:b/>
              </w:rPr>
              <w:t>eastAsia</w:t>
            </w:r>
            <w:r>
              <w:t xml:space="preserve"> (or </w:t>
            </w:r>
            <w:r>
              <w:rPr>
                <w:b/>
              </w:rPr>
              <w:t>eastAsiaTheme</w:t>
            </w:r>
            <w:r>
              <w:t xml:space="preserve"> if defined)</w:t>
            </w:r>
          </w:p>
        </w:tc>
      </w:tr>
      <w:tr w:rsidR="005F78FC" w:rsidTr="005F78FC">
        <w:tc>
          <w:tcPr>
            <w:tcW w:w="0" w:type="auto"/>
            <w:vAlign w:val="center"/>
          </w:tcPr>
          <w:p w:rsidR="005F78FC" w:rsidRDefault="00B42EF3">
            <w:pPr>
              <w:pStyle w:val="TableBodyText"/>
            </w:pPr>
            <w:r>
              <w:rPr>
                <w:b/>
              </w:rPr>
              <w:t>Yi Syllables</w:t>
            </w:r>
          </w:p>
        </w:tc>
        <w:tc>
          <w:tcPr>
            <w:tcW w:w="0" w:type="auto"/>
            <w:vAlign w:val="center"/>
          </w:tcPr>
          <w:p w:rsidR="005F78FC" w:rsidRDefault="00B42EF3">
            <w:pPr>
              <w:pStyle w:val="TableBodyText"/>
            </w:pPr>
            <w:r>
              <w:t>A000 – A48F</w:t>
            </w:r>
          </w:p>
        </w:tc>
        <w:tc>
          <w:tcPr>
            <w:tcW w:w="0" w:type="auto"/>
            <w:vAlign w:val="center"/>
          </w:tcPr>
          <w:p w:rsidR="005F78FC" w:rsidRDefault="00B42EF3">
            <w:pPr>
              <w:pStyle w:val="TableBodyText"/>
            </w:pPr>
            <w:r>
              <w:rPr>
                <w:b/>
              </w:rPr>
              <w:t>eastAsia</w:t>
            </w:r>
            <w:r>
              <w:t xml:space="preserve"> (or </w:t>
            </w:r>
            <w:r>
              <w:rPr>
                <w:b/>
              </w:rPr>
              <w:t>eastAsiaTheme</w:t>
            </w:r>
            <w:r>
              <w:t xml:space="preserve"> if defined)</w:t>
            </w:r>
          </w:p>
        </w:tc>
      </w:tr>
      <w:tr w:rsidR="005F78FC" w:rsidTr="005F78FC">
        <w:tc>
          <w:tcPr>
            <w:tcW w:w="0" w:type="auto"/>
            <w:vAlign w:val="center"/>
          </w:tcPr>
          <w:p w:rsidR="005F78FC" w:rsidRDefault="00B42EF3">
            <w:pPr>
              <w:pStyle w:val="TableBodyText"/>
            </w:pPr>
            <w:r>
              <w:rPr>
                <w:b/>
              </w:rPr>
              <w:t>Yi Radicals</w:t>
            </w:r>
          </w:p>
        </w:tc>
        <w:tc>
          <w:tcPr>
            <w:tcW w:w="0" w:type="auto"/>
            <w:vAlign w:val="center"/>
          </w:tcPr>
          <w:p w:rsidR="005F78FC" w:rsidRDefault="00B42EF3">
            <w:pPr>
              <w:pStyle w:val="TableBodyText"/>
            </w:pPr>
            <w:r>
              <w:t>A490 – A4CF</w:t>
            </w:r>
          </w:p>
        </w:tc>
        <w:tc>
          <w:tcPr>
            <w:tcW w:w="0" w:type="auto"/>
            <w:vAlign w:val="center"/>
          </w:tcPr>
          <w:p w:rsidR="005F78FC" w:rsidRDefault="00B42EF3">
            <w:pPr>
              <w:pStyle w:val="TableBodyText"/>
            </w:pPr>
            <w:r>
              <w:rPr>
                <w:b/>
              </w:rPr>
              <w:t>eastAsia</w:t>
            </w:r>
            <w:r>
              <w:t xml:space="preserve"> (or </w:t>
            </w:r>
            <w:r>
              <w:rPr>
                <w:b/>
              </w:rPr>
              <w:t>eastAsiaTheme</w:t>
            </w:r>
            <w:r>
              <w:t xml:space="preserve"> if defined)</w:t>
            </w:r>
          </w:p>
        </w:tc>
      </w:tr>
      <w:tr w:rsidR="005F78FC" w:rsidTr="005F78FC">
        <w:tc>
          <w:tcPr>
            <w:tcW w:w="0" w:type="auto"/>
            <w:vAlign w:val="center"/>
          </w:tcPr>
          <w:p w:rsidR="005F78FC" w:rsidRDefault="00B42EF3">
            <w:pPr>
              <w:pStyle w:val="TableBodyText"/>
            </w:pPr>
            <w:r>
              <w:rPr>
                <w:b/>
              </w:rPr>
              <w:t>Hangul Syllables</w:t>
            </w:r>
          </w:p>
        </w:tc>
        <w:tc>
          <w:tcPr>
            <w:tcW w:w="0" w:type="auto"/>
            <w:vAlign w:val="center"/>
          </w:tcPr>
          <w:p w:rsidR="005F78FC" w:rsidRDefault="00B42EF3">
            <w:pPr>
              <w:pStyle w:val="TableBodyText"/>
            </w:pPr>
            <w:r>
              <w:t xml:space="preserve">AC00 – </w:t>
            </w:r>
            <w:r>
              <w:lastRenderedPageBreak/>
              <w:t>D7AF</w:t>
            </w:r>
          </w:p>
        </w:tc>
        <w:tc>
          <w:tcPr>
            <w:tcW w:w="0" w:type="auto"/>
            <w:vAlign w:val="center"/>
          </w:tcPr>
          <w:p w:rsidR="005F78FC" w:rsidRDefault="00B42EF3">
            <w:pPr>
              <w:pStyle w:val="TableBodyText"/>
            </w:pPr>
            <w:r>
              <w:rPr>
                <w:b/>
              </w:rPr>
              <w:lastRenderedPageBreak/>
              <w:t>eastAsia</w:t>
            </w:r>
            <w:r>
              <w:t xml:space="preserve"> (or </w:t>
            </w:r>
            <w:r>
              <w:rPr>
                <w:b/>
              </w:rPr>
              <w:t>eastAsiaTheme</w:t>
            </w:r>
            <w:r>
              <w:t xml:space="preserve"> if defined)</w:t>
            </w:r>
          </w:p>
        </w:tc>
      </w:tr>
      <w:tr w:rsidR="005F78FC" w:rsidTr="005F78FC">
        <w:tc>
          <w:tcPr>
            <w:tcW w:w="0" w:type="auto"/>
            <w:vAlign w:val="center"/>
          </w:tcPr>
          <w:p w:rsidR="005F78FC" w:rsidRDefault="00B42EF3">
            <w:pPr>
              <w:pStyle w:val="TableBodyText"/>
            </w:pPr>
            <w:r>
              <w:rPr>
                <w:b/>
              </w:rPr>
              <w:t>High Surrogates</w:t>
            </w:r>
          </w:p>
        </w:tc>
        <w:tc>
          <w:tcPr>
            <w:tcW w:w="0" w:type="auto"/>
            <w:vAlign w:val="center"/>
          </w:tcPr>
          <w:p w:rsidR="005F78FC" w:rsidRDefault="00B42EF3">
            <w:pPr>
              <w:pStyle w:val="TableBodyText"/>
            </w:pPr>
            <w:r>
              <w:t>D800 – DB7F</w:t>
            </w:r>
          </w:p>
        </w:tc>
        <w:tc>
          <w:tcPr>
            <w:tcW w:w="0" w:type="auto"/>
            <w:vAlign w:val="center"/>
          </w:tcPr>
          <w:p w:rsidR="005F78FC" w:rsidRDefault="00B42EF3">
            <w:pPr>
              <w:pStyle w:val="TableBodyText"/>
            </w:pPr>
            <w:r>
              <w:rPr>
                <w:b/>
              </w:rPr>
              <w:t>eastAsia</w:t>
            </w:r>
            <w:r>
              <w:t xml:space="preserve"> (or </w:t>
            </w:r>
            <w:r>
              <w:rPr>
                <w:b/>
              </w:rPr>
              <w:t>eas</w:t>
            </w:r>
            <w:r>
              <w:rPr>
                <w:b/>
              </w:rPr>
              <w:t>tAsiaTheme</w:t>
            </w:r>
            <w:r>
              <w:t xml:space="preserve"> if defined)</w:t>
            </w:r>
          </w:p>
        </w:tc>
      </w:tr>
      <w:tr w:rsidR="005F78FC" w:rsidTr="005F78FC">
        <w:tc>
          <w:tcPr>
            <w:tcW w:w="0" w:type="auto"/>
            <w:vAlign w:val="center"/>
          </w:tcPr>
          <w:p w:rsidR="005F78FC" w:rsidRDefault="00B42EF3">
            <w:pPr>
              <w:pStyle w:val="TableBodyText"/>
            </w:pPr>
            <w:r>
              <w:rPr>
                <w:b/>
              </w:rPr>
              <w:t>High Private Use Surrogates</w:t>
            </w:r>
          </w:p>
        </w:tc>
        <w:tc>
          <w:tcPr>
            <w:tcW w:w="0" w:type="auto"/>
            <w:vAlign w:val="center"/>
          </w:tcPr>
          <w:p w:rsidR="005F78FC" w:rsidRDefault="00B42EF3">
            <w:pPr>
              <w:pStyle w:val="TableBodyText"/>
            </w:pPr>
            <w:r>
              <w:t>DB80 – DBFF</w:t>
            </w:r>
          </w:p>
        </w:tc>
        <w:tc>
          <w:tcPr>
            <w:tcW w:w="0" w:type="auto"/>
            <w:vAlign w:val="center"/>
          </w:tcPr>
          <w:p w:rsidR="005F78FC" w:rsidRDefault="00B42EF3">
            <w:pPr>
              <w:pStyle w:val="TableBodyText"/>
            </w:pPr>
            <w:r>
              <w:rPr>
                <w:b/>
              </w:rPr>
              <w:t>eastAsia</w:t>
            </w:r>
            <w:r>
              <w:t xml:space="preserve"> (or </w:t>
            </w:r>
            <w:r>
              <w:rPr>
                <w:b/>
              </w:rPr>
              <w:t>eastAsiaTheme</w:t>
            </w:r>
            <w:r>
              <w:t xml:space="preserve"> if defined)</w:t>
            </w:r>
          </w:p>
        </w:tc>
      </w:tr>
      <w:tr w:rsidR="005F78FC" w:rsidTr="005F78FC">
        <w:tc>
          <w:tcPr>
            <w:tcW w:w="0" w:type="auto"/>
            <w:vAlign w:val="center"/>
          </w:tcPr>
          <w:p w:rsidR="005F78FC" w:rsidRDefault="00B42EF3">
            <w:pPr>
              <w:pStyle w:val="TableBodyText"/>
            </w:pPr>
            <w:r>
              <w:rPr>
                <w:b/>
              </w:rPr>
              <w:t>Low Surrogates</w:t>
            </w:r>
          </w:p>
        </w:tc>
        <w:tc>
          <w:tcPr>
            <w:tcW w:w="0" w:type="auto"/>
            <w:vAlign w:val="center"/>
          </w:tcPr>
          <w:p w:rsidR="005F78FC" w:rsidRDefault="00B42EF3">
            <w:pPr>
              <w:pStyle w:val="TableBodyText"/>
            </w:pPr>
            <w:r>
              <w:t>DC00 – DFFF</w:t>
            </w:r>
          </w:p>
        </w:tc>
        <w:tc>
          <w:tcPr>
            <w:tcW w:w="0" w:type="auto"/>
            <w:vAlign w:val="center"/>
          </w:tcPr>
          <w:p w:rsidR="005F78FC" w:rsidRDefault="00B42EF3">
            <w:pPr>
              <w:pStyle w:val="TableBodyText"/>
            </w:pPr>
            <w:r>
              <w:rPr>
                <w:b/>
              </w:rPr>
              <w:t>eastAsia</w:t>
            </w:r>
            <w:r>
              <w:t xml:space="preserve"> (or </w:t>
            </w:r>
            <w:r>
              <w:rPr>
                <w:b/>
              </w:rPr>
              <w:t>eastAsiaTheme</w:t>
            </w:r>
            <w:r>
              <w:t xml:space="preserve"> if defined)</w:t>
            </w:r>
          </w:p>
        </w:tc>
      </w:tr>
      <w:tr w:rsidR="005F78FC" w:rsidTr="005F78FC">
        <w:tc>
          <w:tcPr>
            <w:tcW w:w="0" w:type="auto"/>
            <w:vAlign w:val="center"/>
          </w:tcPr>
          <w:p w:rsidR="005F78FC" w:rsidRDefault="00B42EF3">
            <w:pPr>
              <w:pStyle w:val="TableBodyText"/>
            </w:pPr>
            <w:r>
              <w:rPr>
                <w:b/>
              </w:rPr>
              <w:t>Private Use Area</w:t>
            </w:r>
          </w:p>
        </w:tc>
        <w:tc>
          <w:tcPr>
            <w:tcW w:w="0" w:type="auto"/>
            <w:vAlign w:val="center"/>
          </w:tcPr>
          <w:p w:rsidR="005F78FC" w:rsidRDefault="00B42EF3">
            <w:pPr>
              <w:pStyle w:val="TableBodyText"/>
            </w:pPr>
            <w:r>
              <w:t>E000 – F8FF</w:t>
            </w:r>
          </w:p>
        </w:tc>
        <w:tc>
          <w:tcPr>
            <w:tcW w:w="0" w:type="auto"/>
            <w:vAlign w:val="center"/>
          </w:tcPr>
          <w:p w:rsidR="005F78FC" w:rsidRDefault="00B42EF3">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5F78FC" w:rsidTr="005F78FC">
        <w:tc>
          <w:tcPr>
            <w:tcW w:w="0" w:type="auto"/>
            <w:vAlign w:val="center"/>
          </w:tcPr>
          <w:p w:rsidR="005F78FC" w:rsidRDefault="00B42EF3">
            <w:pPr>
              <w:pStyle w:val="TableBodyText"/>
            </w:pPr>
            <w:r>
              <w:rPr>
                <w:b/>
              </w:rPr>
              <w:t>CJK Compatibility Ideographs</w:t>
            </w:r>
          </w:p>
        </w:tc>
        <w:tc>
          <w:tcPr>
            <w:tcW w:w="0" w:type="auto"/>
            <w:vAlign w:val="center"/>
          </w:tcPr>
          <w:p w:rsidR="005F78FC" w:rsidRDefault="00B42EF3">
            <w:pPr>
              <w:pStyle w:val="TableBodyText"/>
            </w:pPr>
            <w:r>
              <w:t>F900 – FAFF</w:t>
            </w:r>
          </w:p>
        </w:tc>
        <w:tc>
          <w:tcPr>
            <w:tcW w:w="0" w:type="auto"/>
            <w:vAlign w:val="center"/>
          </w:tcPr>
          <w:p w:rsidR="005F78FC" w:rsidRDefault="00B42EF3">
            <w:pPr>
              <w:pStyle w:val="TableBodyText"/>
            </w:pPr>
            <w:r>
              <w:rPr>
                <w:b/>
              </w:rPr>
              <w:t>eastAsia</w:t>
            </w:r>
            <w:r>
              <w:t xml:space="preserve"> (or </w:t>
            </w:r>
            <w:r>
              <w:rPr>
                <w:b/>
              </w:rPr>
              <w:t>eastAsiaTheme</w:t>
            </w:r>
            <w:r>
              <w:t xml:space="preserve"> if defined)</w:t>
            </w:r>
          </w:p>
        </w:tc>
      </w:tr>
      <w:tr w:rsidR="005F78FC" w:rsidTr="005F78FC">
        <w:tc>
          <w:tcPr>
            <w:tcW w:w="0" w:type="auto"/>
            <w:vAlign w:val="center"/>
          </w:tcPr>
          <w:p w:rsidR="005F78FC" w:rsidRDefault="00B42EF3">
            <w:pPr>
              <w:pStyle w:val="TableBodyText"/>
            </w:pPr>
            <w:r>
              <w:rPr>
                <w:b/>
              </w:rPr>
              <w:t>Alphabetic Presentation Forms</w:t>
            </w:r>
          </w:p>
        </w:tc>
        <w:tc>
          <w:tcPr>
            <w:tcW w:w="0" w:type="auto"/>
            <w:vAlign w:val="center"/>
          </w:tcPr>
          <w:p w:rsidR="005F78FC" w:rsidRDefault="00B42EF3">
            <w:pPr>
              <w:pStyle w:val="TableBodyText"/>
            </w:pPr>
            <w:r>
              <w:t>FB00 – FB4F</w:t>
            </w:r>
          </w:p>
        </w:tc>
        <w:tc>
          <w:tcPr>
            <w:tcW w:w="0" w:type="auto"/>
            <w:vAlign w:val="center"/>
          </w:tcPr>
          <w:p w:rsidR="005F78FC" w:rsidRDefault="00B42EF3">
            <w:pPr>
              <w:pStyle w:val="TableBodyText"/>
            </w:pPr>
            <w:r>
              <w:rPr>
                <w:b/>
              </w:rPr>
              <w:t>hAnsi</w:t>
            </w:r>
            <w:r>
              <w:t xml:space="preserve"> (or </w:t>
            </w:r>
            <w:r>
              <w:rPr>
                <w:b/>
              </w:rPr>
              <w:t>hAnsiTheme</w:t>
            </w:r>
            <w:r>
              <w:t xml:space="preserve"> if defined), with the following exceptions:</w:t>
            </w:r>
          </w:p>
          <w:p w:rsidR="005F78FC" w:rsidRDefault="00B42EF3">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w:t>
            </w:r>
            <w:r>
              <w:rPr>
                <w:b/>
              </w:rPr>
              <w:t>tAsiaTheme</w:t>
            </w:r>
            <w:r>
              <w:t xml:space="preserve"> if defined) is used for characters in the range FB00 – FB1C. </w:t>
            </w:r>
          </w:p>
          <w:p w:rsidR="005F78FC" w:rsidRDefault="00B42EF3">
            <w:pPr>
              <w:pStyle w:val="TableBodyText"/>
            </w:pPr>
            <w:r>
              <w:t xml:space="preserve">For the range FB1D – FB4F, </w:t>
            </w:r>
            <w:r>
              <w:rPr>
                <w:b/>
              </w:rPr>
              <w:t>ascii</w:t>
            </w:r>
            <w:r>
              <w:t xml:space="preserve"> (or </w:t>
            </w:r>
            <w:r>
              <w:rPr>
                <w:b/>
              </w:rPr>
              <w:t>asciiTheme</w:t>
            </w:r>
            <w:r>
              <w:t xml:space="preserve"> if defined) is used.</w:t>
            </w:r>
          </w:p>
        </w:tc>
      </w:tr>
      <w:tr w:rsidR="005F78FC" w:rsidTr="005F78FC">
        <w:tc>
          <w:tcPr>
            <w:tcW w:w="0" w:type="auto"/>
            <w:vAlign w:val="center"/>
          </w:tcPr>
          <w:p w:rsidR="005F78FC" w:rsidRDefault="00B42EF3">
            <w:pPr>
              <w:pStyle w:val="TableBodyText"/>
            </w:pPr>
            <w:r>
              <w:rPr>
                <w:b/>
              </w:rPr>
              <w:t>Arabic Presentation Forms-A</w:t>
            </w:r>
          </w:p>
        </w:tc>
        <w:tc>
          <w:tcPr>
            <w:tcW w:w="0" w:type="auto"/>
            <w:vAlign w:val="center"/>
          </w:tcPr>
          <w:p w:rsidR="005F78FC" w:rsidRDefault="00B42EF3">
            <w:pPr>
              <w:pStyle w:val="TableBodyText"/>
            </w:pPr>
            <w:r>
              <w:t>FB50 – FDFF</w:t>
            </w:r>
          </w:p>
        </w:tc>
        <w:tc>
          <w:tcPr>
            <w:tcW w:w="0" w:type="auto"/>
            <w:vAlign w:val="center"/>
          </w:tcPr>
          <w:p w:rsidR="005F78FC" w:rsidRDefault="00B42EF3">
            <w:pPr>
              <w:pStyle w:val="TableBodyText"/>
            </w:pPr>
            <w:r>
              <w:rPr>
                <w:b/>
              </w:rPr>
              <w:t>ascii</w:t>
            </w:r>
            <w:r>
              <w:t xml:space="preserve"> (or </w:t>
            </w:r>
            <w:r>
              <w:rPr>
                <w:b/>
              </w:rPr>
              <w:t>asciiTheme</w:t>
            </w:r>
            <w:r>
              <w:t xml:space="preserve"> if defined)</w:t>
            </w:r>
          </w:p>
        </w:tc>
      </w:tr>
      <w:tr w:rsidR="005F78FC" w:rsidTr="005F78FC">
        <w:tc>
          <w:tcPr>
            <w:tcW w:w="0" w:type="auto"/>
            <w:vAlign w:val="center"/>
          </w:tcPr>
          <w:p w:rsidR="005F78FC" w:rsidRDefault="00B42EF3">
            <w:pPr>
              <w:pStyle w:val="TableBodyText"/>
            </w:pPr>
            <w:r>
              <w:rPr>
                <w:b/>
              </w:rPr>
              <w:t>CJK Compatibility Forms</w:t>
            </w:r>
          </w:p>
        </w:tc>
        <w:tc>
          <w:tcPr>
            <w:tcW w:w="0" w:type="auto"/>
            <w:vAlign w:val="center"/>
          </w:tcPr>
          <w:p w:rsidR="005F78FC" w:rsidRDefault="00B42EF3">
            <w:pPr>
              <w:pStyle w:val="TableBodyText"/>
            </w:pPr>
            <w:r>
              <w:t>FE30 – FE4F</w:t>
            </w:r>
          </w:p>
        </w:tc>
        <w:tc>
          <w:tcPr>
            <w:tcW w:w="0" w:type="auto"/>
            <w:vAlign w:val="center"/>
          </w:tcPr>
          <w:p w:rsidR="005F78FC" w:rsidRDefault="00B42EF3">
            <w:pPr>
              <w:pStyle w:val="TableBodyText"/>
            </w:pPr>
            <w:r>
              <w:rPr>
                <w:b/>
              </w:rPr>
              <w:t>eastAsia</w:t>
            </w:r>
            <w:r>
              <w:t xml:space="preserve"> (or </w:t>
            </w:r>
            <w:r>
              <w:rPr>
                <w:b/>
              </w:rPr>
              <w:t>eastAsiaTheme</w:t>
            </w:r>
            <w:r>
              <w:t xml:space="preserve"> if defined)</w:t>
            </w:r>
          </w:p>
        </w:tc>
      </w:tr>
      <w:tr w:rsidR="005F78FC" w:rsidTr="005F78FC">
        <w:tc>
          <w:tcPr>
            <w:tcW w:w="0" w:type="auto"/>
            <w:vAlign w:val="center"/>
          </w:tcPr>
          <w:p w:rsidR="005F78FC" w:rsidRDefault="00B42EF3">
            <w:pPr>
              <w:pStyle w:val="TableBodyText"/>
            </w:pPr>
            <w:r>
              <w:rPr>
                <w:b/>
              </w:rPr>
              <w:t>Small Form Variants</w:t>
            </w:r>
          </w:p>
        </w:tc>
        <w:tc>
          <w:tcPr>
            <w:tcW w:w="0" w:type="auto"/>
            <w:vAlign w:val="center"/>
          </w:tcPr>
          <w:p w:rsidR="005F78FC" w:rsidRDefault="00B42EF3">
            <w:pPr>
              <w:pStyle w:val="TableBodyText"/>
            </w:pPr>
            <w:r>
              <w:t>FE50 – FE6F</w:t>
            </w:r>
          </w:p>
        </w:tc>
        <w:tc>
          <w:tcPr>
            <w:tcW w:w="0" w:type="auto"/>
            <w:vAlign w:val="center"/>
          </w:tcPr>
          <w:p w:rsidR="005F78FC" w:rsidRDefault="00B42EF3">
            <w:pPr>
              <w:pStyle w:val="TableBodyText"/>
            </w:pPr>
            <w:r>
              <w:rPr>
                <w:b/>
              </w:rPr>
              <w:t>eastAsia</w:t>
            </w:r>
            <w:r>
              <w:t xml:space="preserve"> (or </w:t>
            </w:r>
            <w:r>
              <w:rPr>
                <w:b/>
              </w:rPr>
              <w:t>eastAsiaTheme</w:t>
            </w:r>
            <w:r>
              <w:t xml:space="preserve"> if defined)</w:t>
            </w:r>
          </w:p>
        </w:tc>
      </w:tr>
      <w:tr w:rsidR="005F78FC" w:rsidTr="005F78FC">
        <w:tc>
          <w:tcPr>
            <w:tcW w:w="0" w:type="auto"/>
            <w:vAlign w:val="center"/>
          </w:tcPr>
          <w:p w:rsidR="005F78FC" w:rsidRDefault="00B42EF3">
            <w:pPr>
              <w:pStyle w:val="TableBodyText"/>
            </w:pPr>
            <w:r>
              <w:rPr>
                <w:b/>
              </w:rPr>
              <w:t>Arabic Presentation Forms-B</w:t>
            </w:r>
          </w:p>
        </w:tc>
        <w:tc>
          <w:tcPr>
            <w:tcW w:w="0" w:type="auto"/>
            <w:vAlign w:val="center"/>
          </w:tcPr>
          <w:p w:rsidR="005F78FC" w:rsidRDefault="00B42EF3">
            <w:pPr>
              <w:pStyle w:val="TableBodyText"/>
            </w:pPr>
            <w:r>
              <w:t>FE70 – FEFE</w:t>
            </w:r>
          </w:p>
        </w:tc>
        <w:tc>
          <w:tcPr>
            <w:tcW w:w="0" w:type="auto"/>
            <w:vAlign w:val="center"/>
          </w:tcPr>
          <w:p w:rsidR="005F78FC" w:rsidRDefault="00B42EF3">
            <w:pPr>
              <w:pStyle w:val="TableBodyText"/>
            </w:pPr>
            <w:r>
              <w:rPr>
                <w:b/>
              </w:rPr>
              <w:t>ascii</w:t>
            </w:r>
            <w:r>
              <w:t xml:space="preserve"> (or </w:t>
            </w:r>
            <w:r>
              <w:rPr>
                <w:b/>
              </w:rPr>
              <w:t>asciiTheme</w:t>
            </w:r>
            <w:r>
              <w:t xml:space="preserve"> if defined)</w:t>
            </w:r>
          </w:p>
        </w:tc>
      </w:tr>
      <w:tr w:rsidR="005F78FC" w:rsidTr="005F78FC">
        <w:tc>
          <w:tcPr>
            <w:tcW w:w="0" w:type="auto"/>
            <w:vAlign w:val="center"/>
          </w:tcPr>
          <w:p w:rsidR="005F78FC" w:rsidRDefault="00B42EF3">
            <w:pPr>
              <w:pStyle w:val="TableBodyText"/>
            </w:pPr>
            <w:r>
              <w:rPr>
                <w:b/>
              </w:rPr>
              <w:t>Halfwidth and Fullwidth Forms</w:t>
            </w:r>
          </w:p>
        </w:tc>
        <w:tc>
          <w:tcPr>
            <w:tcW w:w="0" w:type="auto"/>
            <w:vAlign w:val="center"/>
          </w:tcPr>
          <w:p w:rsidR="005F78FC" w:rsidRDefault="00B42EF3">
            <w:pPr>
              <w:pStyle w:val="TableBodyText"/>
            </w:pPr>
            <w:r>
              <w:t>FF00 – FFEF</w:t>
            </w:r>
          </w:p>
        </w:tc>
        <w:tc>
          <w:tcPr>
            <w:tcW w:w="0" w:type="auto"/>
            <w:vAlign w:val="center"/>
          </w:tcPr>
          <w:p w:rsidR="005F78FC" w:rsidRDefault="00B42EF3">
            <w:pPr>
              <w:pStyle w:val="TableBodyText"/>
            </w:pPr>
            <w:r>
              <w:rPr>
                <w:b/>
              </w:rPr>
              <w:t>eastAsia</w:t>
            </w:r>
            <w:r>
              <w:t xml:space="preserve"> (or </w:t>
            </w:r>
            <w:r>
              <w:rPr>
                <w:b/>
              </w:rPr>
              <w:t>eastAsiaTheme</w:t>
            </w:r>
            <w:r>
              <w:t xml:space="preserve"> i</w:t>
            </w:r>
            <w:r>
              <w:t>f defined)</w:t>
            </w:r>
          </w:p>
        </w:tc>
      </w:tr>
    </w:tbl>
    <w:p w:rsidR="005F78FC" w:rsidRDefault="005F78FC"/>
    <w:p w:rsidR="005F78FC" w:rsidRDefault="00B42EF3">
      <w:pPr>
        <w:pStyle w:val="Definition-Field"/>
      </w:pPr>
      <w:r>
        <w:t xml:space="preserve">c.   </w:t>
      </w:r>
      <w:r>
        <w:rPr>
          <w:i/>
        </w:rPr>
        <w:t>The standard states that the default fonts for the ascii, hAnsi, cs, and eastAsia attributes are application-defined.</w:t>
      </w:r>
    </w:p>
    <w:p w:rsidR="005F78FC" w:rsidRDefault="00B42EF3">
      <w:pPr>
        <w:pStyle w:val="Definition-Field2"/>
      </w:pPr>
      <w:r>
        <w:t>Word uses a default font of Times New Roman for all of these attributes.</w:t>
      </w:r>
    </w:p>
    <w:p w:rsidR="005F78FC" w:rsidRDefault="00B42EF3">
      <w:pPr>
        <w:pStyle w:val="Definition-Field"/>
      </w:pPr>
      <w:r>
        <w:t xml:space="preserve">d.   </w:t>
      </w:r>
      <w:r>
        <w:rPr>
          <w:i/>
        </w:rPr>
        <w:t>The standard states that all characters th</w:t>
      </w:r>
      <w:r>
        <w:rPr>
          <w:i/>
        </w:rPr>
        <w:t>at are determined to be East Asian should use the value of eastAsia element as the font.</w:t>
      </w:r>
    </w:p>
    <w:p w:rsidR="005F78FC" w:rsidRDefault="00B42EF3">
      <w:pPr>
        <w:pStyle w:val="Definition-Field2"/>
      </w:pPr>
      <w:r>
        <w:t>If the value of eastAsia attibute is "Times New Roman", and the value of the ascii (or asciiTheme) and the hAnsi (or hAnsiTheme) attributes are equal, then the value o</w:t>
      </w:r>
      <w:r>
        <w:t>f the ascii (or asciiTheme, if defined) attribute is used as the font.</w:t>
      </w:r>
    </w:p>
    <w:p w:rsidR="005F78FC" w:rsidRDefault="00B42EF3">
      <w:pPr>
        <w:pStyle w:val="Definition-Field"/>
        <w:rPr>
          <w:i/>
        </w:rPr>
      </w:pPr>
      <w:r>
        <w:rPr>
          <w:i/>
        </w:rPr>
        <w:t>e.   The standard states the following regarding ascii and asciiTheme attributes: If the asciiTheme attribute is also specified, then this attribute (ascii) shall be ignored and that va</w:t>
      </w:r>
      <w:r>
        <w:rPr>
          <w:i/>
        </w:rPr>
        <w:t xml:space="preserve">lue shall be used instead. If the ascii attribute is also specified, then that attribute (asciiTheme) shall be ignored and this value shall be used instead. </w:t>
      </w:r>
    </w:p>
    <w:p w:rsidR="005F78FC" w:rsidRDefault="00B42EF3">
      <w:pPr>
        <w:spacing w:before="0" w:after="0"/>
        <w:ind w:left="360"/>
      </w:pPr>
      <w:r>
        <w:t xml:space="preserve">These statements only apply to the current rFonts element that both attributes appear in and are </w:t>
      </w:r>
      <w:r>
        <w:t>not taken into consideration at different levels of the style hierarchy.</w:t>
      </w:r>
    </w:p>
    <w:p w:rsidR="005F78FC" w:rsidRDefault="00B42EF3">
      <w:pPr>
        <w:spacing w:before="0" w:after="0"/>
        <w:ind w:left="360"/>
      </w:pPr>
      <w:r>
        <w:t> </w:t>
      </w:r>
    </w:p>
    <w:p w:rsidR="005F78FC" w:rsidRDefault="00B42EF3">
      <w:pPr>
        <w:spacing w:before="0" w:after="0"/>
        <w:ind w:left="360"/>
      </w:pPr>
      <w:r>
        <w:lastRenderedPageBreak/>
        <w:t>If an inherited style contains an rFonts element with the ascii attribute it will override any previously specified ascii or asciiTheme attribute in the style hierarchy. The same is</w:t>
      </w:r>
      <w:r>
        <w:t xml:space="preserve"> true of the asciiTheme attribute, it will also override any previously specified asciiTheme or ascii attribute in the style hierarchy.</w:t>
      </w:r>
    </w:p>
    <w:p w:rsidR="005F78FC" w:rsidRDefault="00B42EF3">
      <w:pPr>
        <w:spacing w:before="0" w:after="0"/>
        <w:ind w:left="360"/>
      </w:pPr>
      <w:r>
        <w:t> </w:t>
      </w:r>
    </w:p>
    <w:p w:rsidR="005F78FC" w:rsidRDefault="00B42EF3">
      <w:pPr>
        <w:spacing w:before="0" w:after="0"/>
        <w:ind w:left="360"/>
      </w:pPr>
      <w:r>
        <w:t xml:space="preserve">Similar behavior exists for cs, csTheme, eastAsia, easAsiaTheme, hAnsi, and hAnsiTheme attributes. </w:t>
      </w:r>
    </w:p>
    <w:p w:rsidR="005F78FC" w:rsidRDefault="00B42EF3">
      <w:pPr>
        <w:pStyle w:val="Heading3"/>
      </w:pPr>
      <w:bookmarkStart w:id="198" w:name="section_db26e22195ca499589a2087f606df11f"/>
      <w:bookmarkStart w:id="199" w:name="_Toc69877872"/>
      <w:r>
        <w:t>Part 1 Section 17.</w:t>
      </w:r>
      <w:r>
        <w:t>3.2.27, rPr (Previous Run Properties)</w:t>
      </w:r>
      <w:bookmarkEnd w:id="198"/>
      <w:bookmarkEnd w:id="199"/>
      <w:r>
        <w:fldChar w:fldCharType="begin"/>
      </w:r>
      <w:r>
        <w:instrText xml:space="preserve"> XE "rPr (Previous Run Properties)"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94590ec4e4c14f7ab967abe6bf8658b2">
        <w:r>
          <w:rPr>
            <w:rStyle w:val="Hyperlink"/>
          </w:rPr>
          <w:t>oMath, §17.3.2.22(a)</w:t>
        </w:r>
      </w:hyperlink>
      <w:r>
        <w:rPr>
          <w:i/>
        </w:rPr>
        <w:t xml:space="preserve">; </w:t>
      </w:r>
      <w:hyperlink w:anchor="Section_0a4ccd31153b4a47b3ffc070a3743a70">
        <w:r>
          <w:rPr>
            <w:rStyle w:val="Hyperlink"/>
          </w:rPr>
          <w:t>del, §17.13.5.13(a)</w:t>
        </w:r>
      </w:hyperlink>
      <w:r>
        <w:rPr>
          <w:i/>
        </w:rPr>
        <w:t>.</w:t>
      </w:r>
    </w:p>
    <w:p w:rsidR="005F78FC" w:rsidRDefault="00B42EF3">
      <w:pPr>
        <w:pStyle w:val="Heading3"/>
      </w:pPr>
      <w:bookmarkStart w:id="200" w:name="section_09fdbd6fad184a3392a6d948e65b8f1b"/>
      <w:bookmarkStart w:id="201" w:name="_Toc69877873"/>
      <w:r>
        <w:t>Part 1 Section 17.3.2.28, rPr (Run Properties)</w:t>
      </w:r>
      <w:bookmarkEnd w:id="200"/>
      <w:bookmarkEnd w:id="201"/>
      <w:r>
        <w:fldChar w:fldCharType="begin"/>
      </w:r>
      <w:r>
        <w:instrText xml:space="preserve"> XE "rPr (Run Properties)"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94590ec4e4c14f7ab967abe6bf8658b2">
        <w:r>
          <w:rPr>
            <w:rStyle w:val="Hyperlink"/>
          </w:rPr>
          <w:t>oMath, §17.3.2.22(a)</w:t>
        </w:r>
      </w:hyperlink>
      <w:r>
        <w:rPr>
          <w:i/>
        </w:rPr>
        <w:t xml:space="preserve">; </w:t>
      </w:r>
      <w:hyperlink w:anchor="Section_0a4ccd31153b4a47b3ffc070a3743a70">
        <w:r>
          <w:rPr>
            <w:rStyle w:val="Hyperlink"/>
          </w:rPr>
          <w:t>del, §17.13.5.13(a)</w:t>
        </w:r>
      </w:hyperlink>
      <w:r>
        <w:rPr>
          <w:i/>
        </w:rPr>
        <w:t>.</w:t>
      </w:r>
    </w:p>
    <w:p w:rsidR="005F78FC" w:rsidRDefault="00B42EF3">
      <w:pPr>
        <w:pStyle w:val="Heading3"/>
      </w:pPr>
      <w:bookmarkStart w:id="202" w:name="section_73fcb2a52673440c8be215a35a93346e"/>
      <w:bookmarkStart w:id="203" w:name="_Toc69877874"/>
      <w:r>
        <w:t>Part 1 Section 17.3.2.29, rStyle (Referenced Character Style)</w:t>
      </w:r>
      <w:bookmarkEnd w:id="202"/>
      <w:bookmarkEnd w:id="203"/>
      <w:r>
        <w:fldChar w:fldCharType="begin"/>
      </w:r>
      <w:r>
        <w:instrText xml:space="preserve"> XE "rStyle (Referenced Char</w:instrText>
      </w:r>
      <w:r>
        <w:instrText xml:space="preserve">acter Style)"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w:t>
        </w:r>
        <w:r>
          <w:rPr>
            <w:rStyle w:val="Hyperlink"/>
          </w:rPr>
          <w:t xml:space="preserve"> §17.7.6.2(a)</w:t>
        </w:r>
      </w:hyperlink>
      <w:r>
        <w:rPr>
          <w:i/>
        </w:rPr>
        <w:t xml:space="preserve">; </w:t>
      </w:r>
      <w:hyperlink w:anchor="Section_0f36799f599e449b8d9dcd42c9c6e41f">
        <w:r>
          <w:rPr>
            <w:rStyle w:val="Hyperlink"/>
          </w:rPr>
          <w:t>rPr, §17.7.9.1(a)</w:t>
        </w:r>
      </w:hyperlink>
      <w:r>
        <w:rPr>
          <w:i/>
        </w:rPr>
        <w:t xml:space="preserve">; </w:t>
      </w:r>
      <w:hyperlink w:anchor="Section_1e273b9e816940a691aaf9ebd083e0b8">
        <w:r>
          <w:rPr>
            <w:rStyle w:val="Hyperlink"/>
          </w:rPr>
          <w:t>numStyleLink, §17.9.21(a)</w:t>
        </w:r>
      </w:hyperlink>
      <w:r>
        <w:rPr>
          <w:i/>
        </w:rPr>
        <w:t xml:space="preserve">; </w:t>
      </w:r>
      <w:hyperlink w:anchor="Section_ffb4a990b46f4e388db396fc13d0b0f6">
        <w:r>
          <w:rPr>
            <w:rStyle w:val="Hyperlink"/>
          </w:rPr>
          <w:t>rPr, §</w:t>
        </w:r>
        <w:r>
          <w:rPr>
            <w:rStyle w:val="Hyperlink"/>
          </w:rPr>
          <w:t>17.9.24(a)</w:t>
        </w:r>
      </w:hyperlink>
      <w:r>
        <w:rPr>
          <w:i/>
        </w:rPr>
        <w:t>.</w:t>
      </w:r>
    </w:p>
    <w:p w:rsidR="005F78FC" w:rsidRDefault="00B42EF3">
      <w:pPr>
        <w:pStyle w:val="Definition-Field"/>
      </w:pPr>
      <w:r>
        <w:t xml:space="preserve">a.   </w:t>
      </w:r>
      <w:r>
        <w:rPr>
          <w:i/>
        </w:rPr>
        <w:t>The standard states that this element specifies the style ID of the character style that shall be used to format the contents of this paragraph.</w:t>
      </w:r>
    </w:p>
    <w:p w:rsidR="005F78FC" w:rsidRDefault="00B42EF3">
      <w:pPr>
        <w:pStyle w:val="Definition-Field2"/>
      </w:pPr>
      <w:r>
        <w:t>Word applies character styles to the parent run.</w:t>
      </w:r>
    </w:p>
    <w:p w:rsidR="005F78FC" w:rsidRDefault="00B42EF3">
      <w:pPr>
        <w:pStyle w:val="Definition-Field"/>
      </w:pPr>
      <w:r>
        <w:t xml:space="preserve">b.   </w:t>
      </w:r>
      <w:r>
        <w:rPr>
          <w:i/>
        </w:rPr>
        <w:t>The standard does not limit the length o</w:t>
      </w:r>
      <w:r>
        <w:rPr>
          <w:i/>
        </w:rPr>
        <w:t>f the value of the val attribute.</w:t>
      </w:r>
    </w:p>
    <w:p w:rsidR="005F78FC" w:rsidRDefault="00B42EF3">
      <w:pPr>
        <w:pStyle w:val="Definition-Field2"/>
      </w:pPr>
      <w:r>
        <w:t>Word restricts the value of this attribute to be at most 253 characters.</w:t>
      </w:r>
    </w:p>
    <w:p w:rsidR="005F78FC" w:rsidRDefault="00B42EF3">
      <w:pPr>
        <w:pStyle w:val="Heading3"/>
      </w:pPr>
      <w:bookmarkStart w:id="204" w:name="section_da2e20e23a5748c094fc7e7bc05831a2"/>
      <w:bookmarkStart w:id="205" w:name="_Toc69877875"/>
      <w:r>
        <w:t>Part 1 Section 17.3.2.30, rtl (Right To Left Text)</w:t>
      </w:r>
      <w:bookmarkEnd w:id="204"/>
      <w:bookmarkEnd w:id="205"/>
      <w:r>
        <w:fldChar w:fldCharType="begin"/>
      </w:r>
      <w:r>
        <w:instrText xml:space="preserve"> XE "rtl (Right To Left Text)" </w:instrText>
      </w:r>
      <w:r>
        <w:fldChar w:fldCharType="end"/>
      </w:r>
    </w:p>
    <w:p w:rsidR="005F78FC" w:rsidRDefault="00B42EF3">
      <w:pPr>
        <w:pStyle w:val="Definition-Field2"/>
      </w:pPr>
      <w:r>
        <w:rPr>
          <w:i/>
        </w:rPr>
        <w:t xml:space="preserve">For additional notes that apply to this portion of the standard, </w:t>
      </w:r>
      <w:r>
        <w:rPr>
          <w:i/>
        </w:rPr>
        <w:t xml:space="preserve">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w:t>
        </w:r>
        <w:r>
          <w:rPr>
            <w:rStyle w:val="Hyperlink"/>
          </w:rPr>
          <w:t xml:space="preserve"> §17.7.9.1(a)</w:t>
        </w:r>
      </w:hyperlink>
      <w:r>
        <w:rPr>
          <w:i/>
        </w:rPr>
        <w:t>.</w:t>
      </w:r>
    </w:p>
    <w:p w:rsidR="005F78FC" w:rsidRDefault="00B42EF3">
      <w:pPr>
        <w:pStyle w:val="Heading3"/>
      </w:pPr>
      <w:bookmarkStart w:id="206" w:name="section_3b963a5d814141b09dab75b578400861"/>
      <w:bookmarkStart w:id="207" w:name="_Toc69877876"/>
      <w:r>
        <w:t>Part 1 Section 17.3.2.31, shadow (Shadow)</w:t>
      </w:r>
      <w:bookmarkEnd w:id="206"/>
      <w:bookmarkEnd w:id="207"/>
      <w:r>
        <w:fldChar w:fldCharType="begin"/>
      </w:r>
      <w:r>
        <w:instrText xml:space="preserve"> XE "shadow (Shadow)" </w:instrText>
      </w:r>
      <w:r>
        <w:fldChar w:fldCharType="end"/>
      </w:r>
    </w:p>
    <w:p w:rsidR="005F78FC" w:rsidRDefault="00B42EF3">
      <w:pPr>
        <w:pStyle w:val="Definition-Field"/>
      </w:pPr>
      <w:r>
        <w:t xml:space="preserve">a.   </w:t>
      </w:r>
      <w:r>
        <w:rPr>
          <w:i/>
        </w:rPr>
        <w:t>The standard states that for left-to-right text, the shadow is beneath the text and to its right; for right-to-left text, the shadow is beneath the text and to its left.</w:t>
      </w:r>
    </w:p>
    <w:p w:rsidR="005F78FC" w:rsidRDefault="00B42EF3">
      <w:pPr>
        <w:pStyle w:val="Definition-Field2"/>
      </w:pPr>
      <w:r>
        <w:t>Word always shows the shadow beneath the text and to its right, regardless of direction of text.</w:t>
      </w:r>
    </w:p>
    <w:p w:rsidR="005F78FC" w:rsidRDefault="00B42EF3">
      <w:pPr>
        <w:pStyle w:val="Heading3"/>
      </w:pPr>
      <w:bookmarkStart w:id="208" w:name="section_9eaa0715d38f4c548f1ff1e0d5eb6cdb"/>
      <w:bookmarkStart w:id="209" w:name="_Toc69877877"/>
      <w:r>
        <w:t>Part 1 Section 17.3.2.32, shd (Run Shading)</w:t>
      </w:r>
      <w:bookmarkEnd w:id="208"/>
      <w:bookmarkEnd w:id="209"/>
      <w:r>
        <w:fldChar w:fldCharType="begin"/>
      </w:r>
      <w:r>
        <w:instrText xml:space="preserve"> XE "shd (Run Shading)" </w:instrText>
      </w:r>
      <w:r>
        <w:fldChar w:fldCharType="end"/>
      </w:r>
    </w:p>
    <w:p w:rsidR="005F78FC" w:rsidRDefault="00B42EF3">
      <w:pPr>
        <w:pStyle w:val="Definition-Field2"/>
      </w:pPr>
      <w:r>
        <w:rPr>
          <w:i/>
        </w:rPr>
        <w:t>For additional notes that apply to this portion of the standard, please see the notes for</w:t>
      </w:r>
      <w:r>
        <w:rPr>
          <w:i/>
        </w:rPr>
        <w:t xml:space="preserve"> </w:t>
      </w:r>
      <w:hyperlink w:anchor="Section_4f0cccae70c2492abc943ccc39172119">
        <w:r>
          <w:rPr>
            <w:rStyle w:val="Hyperlink"/>
          </w:rPr>
          <w:t>shd, §17.4.32(a,d)</w:t>
        </w:r>
      </w:hyperlink>
      <w:r>
        <w:rPr>
          <w:i/>
        </w:rPr>
        <w:t>.</w:t>
      </w:r>
    </w:p>
    <w:p w:rsidR="005F78FC" w:rsidRDefault="00B42EF3">
      <w:pPr>
        <w:pStyle w:val="Heading3"/>
      </w:pPr>
      <w:bookmarkStart w:id="210" w:name="section_94e629161ec0494486039f3162b6ccbd"/>
      <w:bookmarkStart w:id="211" w:name="_Toc69877878"/>
      <w:r>
        <w:t>Part 1 Section 17.3.2.33, smallCaps (Small Caps)</w:t>
      </w:r>
      <w:bookmarkEnd w:id="210"/>
      <w:bookmarkEnd w:id="211"/>
      <w:r>
        <w:fldChar w:fldCharType="begin"/>
      </w:r>
      <w:r>
        <w:instrText xml:space="preserve"> XE "smallCaps (Small Caps)" </w:instrText>
      </w:r>
      <w:r>
        <w:fldChar w:fldCharType="end"/>
      </w:r>
    </w:p>
    <w:p w:rsidR="005F78FC" w:rsidRDefault="00B42EF3">
      <w:pPr>
        <w:pStyle w:val="Definition-Field"/>
      </w:pPr>
      <w:r>
        <w:t xml:space="preserve">a.   </w:t>
      </w:r>
      <w:r>
        <w:rPr>
          <w:i/>
        </w:rPr>
        <w:t xml:space="preserve">The standard states that all small letter characters shall display as their capital </w:t>
      </w:r>
      <w:r>
        <w:rPr>
          <w:i/>
        </w:rPr>
        <w:t>letter equivalent in a font size two points smaller than the actual font size specified.</w:t>
      </w:r>
    </w:p>
    <w:p w:rsidR="005F78FC" w:rsidRDefault="00B42EF3">
      <w:pPr>
        <w:pStyle w:val="Definition-Field2"/>
      </w:pPr>
      <w:r>
        <w:t>Word displays small caps text in a font size slightly smaller than the original size, but not exactly 2 points smaller.</w:t>
      </w:r>
    </w:p>
    <w:p w:rsidR="005F78FC" w:rsidRDefault="00B42EF3">
      <w:pPr>
        <w:pStyle w:val="Heading3"/>
      </w:pPr>
      <w:bookmarkStart w:id="212" w:name="section_7f709c81c04a4a1fa5b55ffbe94268a5"/>
      <w:bookmarkStart w:id="213" w:name="_Toc69877879"/>
      <w:r>
        <w:lastRenderedPageBreak/>
        <w:t>Part 1 Section 17.3.2.35, spacing (Character Sp</w:t>
      </w:r>
      <w:r>
        <w:t>acing Adjustment)</w:t>
      </w:r>
      <w:bookmarkEnd w:id="212"/>
      <w:bookmarkEnd w:id="213"/>
      <w:r>
        <w:fldChar w:fldCharType="begin"/>
      </w:r>
      <w:r>
        <w:instrText xml:space="preserve"> XE "spacing (Character Spacing Adjustment)" </w:instrText>
      </w:r>
      <w:r>
        <w:fldChar w:fldCharType="end"/>
      </w:r>
    </w:p>
    <w:p w:rsidR="005F78FC" w:rsidRDefault="00B42EF3">
      <w:pPr>
        <w:pStyle w:val="Definition-Field"/>
      </w:pPr>
      <w:r>
        <w:t xml:space="preserve">a.   </w:t>
      </w:r>
      <w:r>
        <w:rPr>
          <w:i/>
        </w:rPr>
        <w:t>The standard does not state how a conflict between this element and the fitText element should be resolved, when their requirements conflict.</w:t>
      </w:r>
    </w:p>
    <w:p w:rsidR="005F78FC" w:rsidRDefault="00B42EF3">
      <w:pPr>
        <w:pStyle w:val="Definition-Field2"/>
      </w:pPr>
      <w:r>
        <w:t xml:space="preserve">Word ignores this element when the fitText </w:t>
      </w:r>
      <w:r>
        <w:t>element is also specified.</w:t>
      </w:r>
    </w:p>
    <w:p w:rsidR="005F78FC" w:rsidRDefault="00B42EF3">
      <w:pPr>
        <w:pStyle w:val="Definition-Field"/>
      </w:pPr>
      <w:r>
        <w:t xml:space="preserve">b.   </w:t>
      </w:r>
      <w:r>
        <w:rPr>
          <w:i/>
        </w:rPr>
        <w:t>The standard states that the values of the val attribute are defined by the XML Schema integer datatype.</w:t>
      </w:r>
    </w:p>
    <w:p w:rsidR="005F78FC" w:rsidRDefault="00B42EF3">
      <w:pPr>
        <w:pStyle w:val="Definition-Field2"/>
      </w:pPr>
      <w:r>
        <w:t>Word restricts the value of this attribute to be at least -31680 (-22") and at most 31680 (22").</w:t>
      </w:r>
    </w:p>
    <w:p w:rsidR="005F78FC" w:rsidRDefault="00B42EF3">
      <w:pPr>
        <w:pStyle w:val="Heading3"/>
      </w:pPr>
      <w:bookmarkStart w:id="214" w:name="section_d5de3ae0d0e448b28cfc1a250eb30ac4"/>
      <w:bookmarkStart w:id="215" w:name="_Toc69877880"/>
      <w:r>
        <w:t>Part 1 Section 17.3.2.</w:t>
      </w:r>
      <w:r>
        <w:t>36, specVanish (Paragraph Mark Is Always Hidden)</w:t>
      </w:r>
      <w:bookmarkEnd w:id="214"/>
      <w:bookmarkEnd w:id="215"/>
      <w:r>
        <w:fldChar w:fldCharType="begin"/>
      </w:r>
      <w:r>
        <w:instrText xml:space="preserve"> XE "specVanish (Paragraph Mark Is Always Hidden)" </w:instrText>
      </w:r>
      <w:r>
        <w:fldChar w:fldCharType="end"/>
      </w:r>
    </w:p>
    <w:p w:rsidR="005F78FC" w:rsidRDefault="00B42EF3">
      <w:pPr>
        <w:pStyle w:val="Definition-Field"/>
      </w:pPr>
      <w:r>
        <w:t xml:space="preserve">a.   </w:t>
      </w:r>
      <w:r>
        <w:rPr>
          <w:i/>
        </w:rPr>
        <w:t>The standard states that this element results in the text always being hidden.</w:t>
      </w:r>
    </w:p>
    <w:p w:rsidR="005F78FC" w:rsidRDefault="00B42EF3">
      <w:pPr>
        <w:pStyle w:val="Definition-Field2"/>
      </w:pPr>
      <w:r>
        <w:t>Word ignores this element unless the vanish element is also set.</w:t>
      </w:r>
    </w:p>
    <w:p w:rsidR="005F78FC" w:rsidRDefault="00B42EF3">
      <w:pPr>
        <w:pStyle w:val="Heading3"/>
      </w:pPr>
      <w:bookmarkStart w:id="216" w:name="section_4f2762ad03f64430be6e2a85480268ee"/>
      <w:bookmarkStart w:id="217" w:name="_Toc69877881"/>
      <w:r>
        <w:t xml:space="preserve">Part </w:t>
      </w:r>
      <w:r>
        <w:t>1 Section 17.3.2.38, sz (Non-Complex Script Font Size)</w:t>
      </w:r>
      <w:bookmarkEnd w:id="216"/>
      <w:bookmarkEnd w:id="217"/>
      <w:r>
        <w:fldChar w:fldCharType="begin"/>
      </w:r>
      <w:r>
        <w:instrText xml:space="preserve"> XE "sz (Non-Complex Script Font Size)" </w:instrText>
      </w:r>
      <w:r>
        <w:fldChar w:fldCharType="end"/>
      </w:r>
    </w:p>
    <w:p w:rsidR="005F78FC" w:rsidRDefault="00B42EF3">
      <w:pPr>
        <w:pStyle w:val="Definition-Field"/>
      </w:pPr>
      <w:r>
        <w:t xml:space="preserve">a.   </w:t>
      </w:r>
      <w:r>
        <w:rPr>
          <w:i/>
        </w:rPr>
        <w:t>The standard states that this element applies font size to non-complex script characters but does not specify how that determination is made.</w:t>
      </w:r>
    </w:p>
    <w:p w:rsidR="005F78FC" w:rsidRDefault="00B42EF3">
      <w:pPr>
        <w:pStyle w:val="Definition-Field2"/>
      </w:pPr>
      <w:r>
        <w:t>Word determi</w:t>
      </w:r>
      <w:r>
        <w:t>nes this state based on the state of the cs and rtl properties and applies font size to runs that do not use either of those properties.</w:t>
      </w:r>
    </w:p>
    <w:p w:rsidR="005F78FC" w:rsidRDefault="00B42EF3">
      <w:pPr>
        <w:pStyle w:val="Heading3"/>
      </w:pPr>
      <w:bookmarkStart w:id="218" w:name="section_40f37d666eb14e72b768a8bfec1f78df"/>
      <w:bookmarkStart w:id="219" w:name="_Toc69877882"/>
      <w:r>
        <w:t>Part 1 Section 17.3.2.39, szCs (Complex Script Font Size)</w:t>
      </w:r>
      <w:bookmarkEnd w:id="218"/>
      <w:bookmarkEnd w:id="219"/>
      <w:r>
        <w:fldChar w:fldCharType="begin"/>
      </w:r>
      <w:r>
        <w:instrText xml:space="preserve"> XE "szCs (Complex Script Font Size)" </w:instrText>
      </w:r>
      <w:r>
        <w:fldChar w:fldCharType="end"/>
      </w:r>
    </w:p>
    <w:p w:rsidR="005F78FC" w:rsidRDefault="00B42EF3">
      <w:pPr>
        <w:pStyle w:val="Definition-Field"/>
      </w:pPr>
      <w:r>
        <w:t xml:space="preserve">a.   </w:t>
      </w:r>
      <w:r>
        <w:rPr>
          <w:i/>
        </w:rPr>
        <w:t>The standard sta</w:t>
      </w:r>
      <w:r>
        <w:rPr>
          <w:i/>
        </w:rPr>
        <w:t>tes that this element applies font size to complex script characters but does not specify how that determination is made.</w:t>
      </w:r>
    </w:p>
    <w:p w:rsidR="005F78FC" w:rsidRDefault="00B42EF3">
      <w:pPr>
        <w:pStyle w:val="Definition-Field2"/>
      </w:pPr>
      <w:r>
        <w:t>Word determines this state based on the state of the cs and rtl properties and applies font size to runs that use either of those prop</w:t>
      </w:r>
      <w:r>
        <w:t>erties.</w:t>
      </w:r>
    </w:p>
    <w:p w:rsidR="005F78FC" w:rsidRDefault="00B42EF3">
      <w:pPr>
        <w:pStyle w:val="Heading3"/>
      </w:pPr>
      <w:bookmarkStart w:id="220" w:name="section_983b4d5a53ba4d7989cbfc13303af71b"/>
      <w:bookmarkStart w:id="221" w:name="_Toc69877883"/>
      <w:r>
        <w:t>Part 1 Section 17.3.2.40, u (Underline)</w:t>
      </w:r>
      <w:bookmarkEnd w:id="220"/>
      <w:bookmarkEnd w:id="221"/>
      <w:r>
        <w:fldChar w:fldCharType="begin"/>
      </w:r>
      <w:r>
        <w:instrText xml:space="preserve"> XE "u (Underline)" </w:instrText>
      </w:r>
      <w:r>
        <w:fldChar w:fldCharType="end"/>
      </w:r>
    </w:p>
    <w:p w:rsidR="005F78FC" w:rsidRDefault="00B42EF3">
      <w:pPr>
        <w:pStyle w:val="Definition-Field"/>
      </w:pPr>
      <w:r>
        <w:t xml:space="preserve">a.   </w:t>
      </w:r>
      <w:r>
        <w:rPr>
          <w:i/>
        </w:rPr>
        <w:t>The standard does not state a default value for the color attribute.</w:t>
      </w:r>
    </w:p>
    <w:p w:rsidR="005F78FC" w:rsidRDefault="00B42EF3">
      <w:pPr>
        <w:pStyle w:val="Definition-Field2"/>
      </w:pPr>
      <w:r>
        <w:t>If the color attribute is not specified, Word defaults to the value defined in the style hierarchy and then to a</w:t>
      </w:r>
      <w:r>
        <w:t xml:space="preserve"> value of auto.</w:t>
      </w:r>
    </w:p>
    <w:p w:rsidR="005F78FC" w:rsidRDefault="00B42EF3">
      <w:pPr>
        <w:pStyle w:val="Definition-Field"/>
      </w:pPr>
      <w:r>
        <w:t xml:space="preserve">b.   </w:t>
      </w:r>
      <w:r>
        <w:rPr>
          <w:i/>
        </w:rPr>
        <w:t>The standard does not state which setting is applied when both the themeShade and the themeTint attributes are present.</w:t>
      </w:r>
    </w:p>
    <w:p w:rsidR="005F78FC" w:rsidRDefault="00B42EF3">
      <w:pPr>
        <w:pStyle w:val="Definition-Field2"/>
      </w:pPr>
      <w:r>
        <w:t>Word applies the themeTint setting when both of these attributes are present.</w:t>
      </w:r>
    </w:p>
    <w:p w:rsidR="005F78FC" w:rsidRDefault="00B42EF3">
      <w:pPr>
        <w:pStyle w:val="Definition-Field"/>
      </w:pPr>
      <w:r>
        <w:t xml:space="preserve">c.   </w:t>
      </w:r>
      <w:r>
        <w:rPr>
          <w:i/>
        </w:rPr>
        <w:t xml:space="preserve">The standard does not specify a </w:t>
      </w:r>
      <w:r>
        <w:rPr>
          <w:i/>
        </w:rPr>
        <w:t>default value for the val attribute.</w:t>
      </w:r>
    </w:p>
    <w:p w:rsidR="005F78FC" w:rsidRDefault="00B42EF3">
      <w:pPr>
        <w:pStyle w:val="Definition-Field2"/>
      </w:pPr>
      <w:r>
        <w:t>If the val attribute is not specified, Word defaults to the value defined in the style hierarchy and then to no underline.</w:t>
      </w:r>
    </w:p>
    <w:p w:rsidR="005F78FC" w:rsidRDefault="00B42EF3">
      <w:pPr>
        <w:pStyle w:val="Heading3"/>
      </w:pPr>
      <w:bookmarkStart w:id="222" w:name="section_9008244b5c6a4219943e9431cf3372bc"/>
      <w:bookmarkStart w:id="223" w:name="_Toc69877884"/>
      <w:r>
        <w:t>Part 1 Section 17.3.2.44, webHidden (Web Hidden Text)</w:t>
      </w:r>
      <w:bookmarkEnd w:id="222"/>
      <w:bookmarkEnd w:id="223"/>
      <w:r>
        <w:fldChar w:fldCharType="begin"/>
      </w:r>
      <w:r>
        <w:instrText xml:space="preserve"> XE "webHidden (Web Hidden Text)" </w:instrText>
      </w:r>
      <w:r>
        <w:fldChar w:fldCharType="end"/>
      </w:r>
    </w:p>
    <w:p w:rsidR="005F78FC" w:rsidRDefault="00B42EF3">
      <w:pPr>
        <w:pStyle w:val="Definition-Field"/>
      </w:pPr>
      <w:r>
        <w:t xml:space="preserve">a.   </w:t>
      </w:r>
      <w:r>
        <w:rPr>
          <w:i/>
        </w:rPr>
        <w:t>T</w:t>
      </w:r>
      <w:r>
        <w:rPr>
          <w:i/>
        </w:rPr>
        <w:t>he standard states that this setting shall cause content to be hidden from display at display time in a document when the document is being displayed in a web page view.</w:t>
      </w:r>
    </w:p>
    <w:p w:rsidR="005F78FC" w:rsidRDefault="00B42EF3">
      <w:pPr>
        <w:pStyle w:val="Definition-Field2"/>
      </w:pPr>
      <w:r>
        <w:t>Word ignores this setting when it is applied as part of a character style definition.</w:t>
      </w:r>
    </w:p>
    <w:p w:rsidR="005F78FC" w:rsidRDefault="00B42EF3">
      <w:pPr>
        <w:pStyle w:val="Definition-Field"/>
      </w:pPr>
      <w:r>
        <w:lastRenderedPageBreak/>
        <w:t xml:space="preserve">b.   </w:t>
      </w:r>
      <w:r>
        <w:rPr>
          <w:i/>
        </w:rPr>
        <w:t>The standard states that this element specifies whether the contents of this run shall be hidden from display at display time in a document when the document is being displayed in a web page view.</w:t>
      </w:r>
    </w:p>
    <w:p w:rsidR="005F78FC" w:rsidRDefault="00B42EF3">
      <w:pPr>
        <w:pStyle w:val="Definition-Field2"/>
      </w:pPr>
      <w:r>
        <w:t>If this element is present within the previous run pro</w:t>
      </w:r>
      <w:r>
        <w:t>perties for a run, Word will apply that setting to the current run properties when it is saved.</w:t>
      </w:r>
    </w:p>
    <w:p w:rsidR="005F78FC" w:rsidRDefault="00B42EF3">
      <w:pPr>
        <w:pStyle w:val="Heading3"/>
      </w:pPr>
      <w:bookmarkStart w:id="224" w:name="section_7e9860bb2b3d469aa3ea08a692df6507"/>
      <w:bookmarkStart w:id="225" w:name="_Toc69877885"/>
      <w:r>
        <w:t>Part 1 Section 17.3.3.2, contentPart (Content Part)</w:t>
      </w:r>
      <w:bookmarkEnd w:id="224"/>
      <w:bookmarkEnd w:id="225"/>
      <w:r>
        <w:fldChar w:fldCharType="begin"/>
      </w:r>
      <w:r>
        <w:instrText xml:space="preserve"> XE "contentPart (Content Part)" </w:instrText>
      </w:r>
      <w:r>
        <w:fldChar w:fldCharType="end"/>
      </w:r>
    </w:p>
    <w:p w:rsidR="005F78FC" w:rsidRDefault="00B42EF3">
      <w:pPr>
        <w:pStyle w:val="Definition-Field"/>
      </w:pPr>
      <w:r>
        <w:t xml:space="preserve">a.   </w:t>
      </w:r>
      <w:r>
        <w:rPr>
          <w:i/>
        </w:rPr>
        <w:t>The standard states that if an application cannot process content of</w:t>
      </w:r>
      <w:r>
        <w:rPr>
          <w:i/>
        </w:rPr>
        <w:t xml:space="preserve"> the content type specified by the targeted part, then it should continue to process the file. If possible, it should also provide some indication that unknown content was not imported.</w:t>
      </w:r>
    </w:p>
    <w:p w:rsidR="005F78FC" w:rsidRDefault="00B42EF3">
      <w:r>
        <w:t>Word will fail to load the document if the content part’s content type</w:t>
      </w:r>
      <w:r>
        <w:t xml:space="preserve"> is not text/xml.  Otherwise, Word will ignore the content part without any indication if the root namespace is not recognized.  For example, Word 2013 will ignore the content part without any indication if the root namespace neither “http://www.w3.org/199</w:t>
      </w:r>
      <w:r>
        <w:t>8/Math/MathML” nor “http://www.w3.org/2003/InkML”.</w:t>
      </w:r>
    </w:p>
    <w:p w:rsidR="005F78FC" w:rsidRDefault="00B42EF3">
      <w:pPr>
        <w:pStyle w:val="Heading3"/>
      </w:pPr>
      <w:bookmarkStart w:id="226" w:name="section_4dd24eb05f974935875aba6fb4a1ea6d"/>
      <w:bookmarkStart w:id="227" w:name="_Toc69877886"/>
      <w:r>
        <w:t>Part 1 Section 17.3.3.3, control (Embedded Control)</w:t>
      </w:r>
      <w:bookmarkEnd w:id="226"/>
      <w:bookmarkEnd w:id="227"/>
      <w:r>
        <w:fldChar w:fldCharType="begin"/>
      </w:r>
      <w:r>
        <w:instrText xml:space="preserve"> XE "control (Embedded Control)"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6fb2a0fdd9af44a4a0ed5dd4ad286134">
        <w:r>
          <w:rPr>
            <w:rStyle w:val="Hyperlink"/>
          </w:rPr>
          <w:t>control, §14.2.2.1(a)</w:t>
        </w:r>
      </w:hyperlink>
      <w:r>
        <w:rPr>
          <w:i/>
        </w:rPr>
        <w:t>.</w:t>
      </w:r>
    </w:p>
    <w:p w:rsidR="005F78FC" w:rsidRDefault="00B42EF3">
      <w:pPr>
        <w:pStyle w:val="Definition-Field"/>
      </w:pPr>
      <w:r>
        <w:t xml:space="preserve">a.   </w:t>
      </w:r>
      <w:r>
        <w:rPr>
          <w:i/>
        </w:rPr>
        <w:t>The standard specifies that the shapeid reference is resolved by looking for a DrawingML object whose id attribute matches the value specified by the shapeid attribute</w:t>
      </w:r>
      <w:r>
        <w:rPr>
          <w:i/>
        </w:rPr>
        <w:t>.</w:t>
      </w:r>
    </w:p>
    <w:p w:rsidR="005F78FC" w:rsidRDefault="00B42EF3">
      <w:pPr>
        <w:pStyle w:val="Definition-Field2"/>
      </w:pPr>
      <w:r>
        <w:t>Word looks for a DrawingML object or a VML shape element ("</w:t>
      </w:r>
      <w:hyperlink r:id="rId80">
        <w:r>
          <w:rPr>
            <w:rStyle w:val="Hyperlink"/>
          </w:rPr>
          <w:t>[ISO/IEC-29500-4]</w:t>
        </w:r>
      </w:hyperlink>
      <w:r>
        <w:t xml:space="preserve"> §19.1.2.19; shape (Shape Definition)"), whose id attribute matches the value specified by the shapeid attribute.</w:t>
      </w:r>
    </w:p>
    <w:p w:rsidR="005F78FC" w:rsidRDefault="00B42EF3">
      <w:pPr>
        <w:pStyle w:val="Heading3"/>
      </w:pPr>
      <w:bookmarkStart w:id="228" w:name="section_a1c3e0e5f5544b71b9cc950db18ec0f2"/>
      <w:bookmarkStart w:id="229" w:name="_Toc69877887"/>
      <w:r>
        <w:t>Part 1 Section 17.3.3.9, drawing (DrawingML Object)</w:t>
      </w:r>
      <w:bookmarkEnd w:id="228"/>
      <w:bookmarkEnd w:id="229"/>
      <w:r>
        <w:fldChar w:fldCharType="begin"/>
      </w:r>
      <w:r>
        <w:instrText xml:space="preserve"> XE "drawing (DrawingML Object)" </w:instrText>
      </w:r>
      <w:r>
        <w:fldChar w:fldCharType="end"/>
      </w:r>
    </w:p>
    <w:p w:rsidR="005F78FC" w:rsidRDefault="00B42EF3">
      <w:pPr>
        <w:pStyle w:val="Definition-Field"/>
      </w:pPr>
      <w:r>
        <w:t xml:space="preserve">a.   </w:t>
      </w:r>
      <w:r>
        <w:rPr>
          <w:i/>
        </w:rPr>
        <w:t>The standard states that there can be an unlimited</w:t>
      </w:r>
      <w:r>
        <w:rPr>
          <w:i/>
        </w:rPr>
        <w:t xml:space="preserve"> number of inline drawing and anchor drawing properties inside the drawing element.</w:t>
      </w:r>
    </w:p>
    <w:p w:rsidR="005F78FC" w:rsidRDefault="00B42EF3">
      <w:pPr>
        <w:pStyle w:val="Definition-Field2"/>
      </w:pPr>
      <w:r>
        <w:t>Word expects a single child element to occur and will behave according to the last such element in the drawing element.</w:t>
      </w:r>
    </w:p>
    <w:p w:rsidR="005F78FC" w:rsidRDefault="00B42EF3">
      <w:pPr>
        <w:pStyle w:val="Heading3"/>
      </w:pPr>
      <w:bookmarkStart w:id="230" w:name="section_22f2ace97cdb4742a9ffcaf620a17baa"/>
      <w:bookmarkStart w:id="231" w:name="_Toc69877888"/>
      <w:r>
        <w:t>Part 1 Section 17.3.3.12, hpsRaise (Distance Between</w:t>
      </w:r>
      <w:r>
        <w:t xml:space="preserve"> Phonetic Guide Text and Phonetic Guide Base Text)</w:t>
      </w:r>
      <w:bookmarkEnd w:id="230"/>
      <w:bookmarkEnd w:id="231"/>
      <w:r>
        <w:fldChar w:fldCharType="begin"/>
      </w:r>
      <w:r>
        <w:instrText xml:space="preserve"> XE "hpsRaise (Distance Between Phonetic Guide Text and Phonetic Guide Base Text)" </w:instrText>
      </w:r>
      <w:r>
        <w:fldChar w:fldCharType="end"/>
      </w:r>
    </w:p>
    <w:p w:rsidR="005F78FC" w:rsidRDefault="00B42EF3">
      <w:pPr>
        <w:pStyle w:val="Definition-Field"/>
      </w:pPr>
      <w:r>
        <w:t xml:space="preserve">a.   </w:t>
      </w:r>
      <w:r>
        <w:rPr>
          <w:i/>
        </w:rPr>
        <w:t>The standard states that the values of the val attribute are defined by the XML Schema unsignedLong datatype.</w:t>
      </w:r>
    </w:p>
    <w:p w:rsidR="005F78FC" w:rsidRDefault="00B42EF3">
      <w:pPr>
        <w:pStyle w:val="Definition-Field2"/>
      </w:pPr>
      <w:r>
        <w:t xml:space="preserve">Word </w:t>
      </w:r>
      <w:r>
        <w:t>defines the values of this attribute with the XML Schema short datatype.</w:t>
      </w:r>
    </w:p>
    <w:p w:rsidR="005F78FC" w:rsidRDefault="00B42EF3">
      <w:pPr>
        <w:pStyle w:val="Heading3"/>
      </w:pPr>
      <w:bookmarkStart w:id="232" w:name="section_e0d0fc0796bb4248a832dd0e8e42f001"/>
      <w:bookmarkStart w:id="233" w:name="_Toc69877889"/>
      <w:r>
        <w:t>Part 1 Section 17.3.3.13, lastRenderedPageBreak (Position of Last Calculated Page Break)</w:t>
      </w:r>
      <w:bookmarkEnd w:id="232"/>
      <w:bookmarkEnd w:id="233"/>
      <w:r>
        <w:fldChar w:fldCharType="begin"/>
      </w:r>
      <w:r>
        <w:instrText xml:space="preserve"> XE "lastRenderedPageBreak (Position of Last Calculated Page Break)" </w:instrText>
      </w:r>
      <w:r>
        <w:fldChar w:fldCharType="end"/>
      </w:r>
    </w:p>
    <w:p w:rsidR="005F78FC" w:rsidRDefault="00B42EF3">
      <w:pPr>
        <w:pStyle w:val="Definition-Field"/>
      </w:pPr>
      <w:r>
        <w:t xml:space="preserve">a.   </w:t>
      </w:r>
      <w:r>
        <w:rPr>
          <w:i/>
        </w:rPr>
        <w:t>The standard state</w:t>
      </w:r>
      <w:r>
        <w:rPr>
          <w:i/>
        </w:rPr>
        <w:t>s that a lastRenderedPageBreak is written for each page break as calculated by the rendering application's pagination algorithm.</w:t>
      </w:r>
    </w:p>
    <w:p w:rsidR="005F78FC" w:rsidRDefault="00B42EF3">
      <w:pPr>
        <w:pStyle w:val="Definition-Field2"/>
      </w:pPr>
      <w:r>
        <w:t>When Word encounters a continuous section break ("</w:t>
      </w:r>
      <w:hyperlink r:id="rId81">
        <w:r>
          <w:rPr>
            <w:rStyle w:val="Hyperlink"/>
          </w:rPr>
          <w:t>[ISO/IEC-29</w:t>
        </w:r>
        <w:r>
          <w:rPr>
            <w:rStyle w:val="Hyperlink"/>
          </w:rPr>
          <w:t>500-1]</w:t>
        </w:r>
      </w:hyperlink>
      <w:r>
        <w:t xml:space="preserve"> §17.6.22; type") during pagination, Word will erroneously write a lastRenderedPageBreak.</w:t>
      </w:r>
    </w:p>
    <w:p w:rsidR="005F78FC" w:rsidRDefault="00B42EF3">
      <w:pPr>
        <w:pStyle w:val="Definition-Field2"/>
      </w:pPr>
      <w:r>
        <w:t>This note applies to the following products: Office 2010, Office 2010 Server, Office 2010 SP1.</w:t>
      </w:r>
    </w:p>
    <w:p w:rsidR="005F78FC" w:rsidRDefault="00B42EF3">
      <w:pPr>
        <w:pStyle w:val="Heading3"/>
      </w:pPr>
      <w:bookmarkStart w:id="234" w:name="section_22af890dc1be4b36939a8608ea5b01ae"/>
      <w:bookmarkStart w:id="235" w:name="_Toc69877890"/>
      <w:r>
        <w:lastRenderedPageBreak/>
        <w:t>Part 1 Section 17.3.3.14, lid (Language ID for Phonetic Guide)</w:t>
      </w:r>
      <w:bookmarkEnd w:id="234"/>
      <w:bookmarkEnd w:id="235"/>
      <w:r>
        <w:fldChar w:fldCharType="begin"/>
      </w:r>
      <w:r>
        <w:instrText xml:space="preserve"> XE</w:instrText>
      </w:r>
      <w:r>
        <w:instrText xml:space="preserve"> "lid (Language ID for Phonetic Guide)"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c73305a2b02643f9846307203a71f773">
        <w:r>
          <w:rPr>
            <w:rStyle w:val="Hyperlink"/>
          </w:rPr>
          <w:t>lid, §17.14.17(a)</w:t>
        </w:r>
      </w:hyperlink>
      <w:r>
        <w:rPr>
          <w:i/>
        </w:rPr>
        <w:t>.</w:t>
      </w:r>
    </w:p>
    <w:p w:rsidR="005F78FC" w:rsidRDefault="00B42EF3">
      <w:pPr>
        <w:pStyle w:val="Heading3"/>
      </w:pPr>
      <w:bookmarkStart w:id="236" w:name="section_ef061fe2ceaa4fc29574c941845977c7"/>
      <w:bookmarkStart w:id="237" w:name="_Toc69877891"/>
      <w:r>
        <w:t>Part 1 Section 17.3.3.17, movie (Embedded</w:t>
      </w:r>
      <w:r>
        <w:t xml:space="preserve"> Video)</w:t>
      </w:r>
      <w:bookmarkEnd w:id="236"/>
      <w:bookmarkEnd w:id="237"/>
      <w:r>
        <w:fldChar w:fldCharType="begin"/>
      </w:r>
      <w:r>
        <w:instrText xml:space="preserve"> XE "movie (Embedded Video)"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 xml:space="preserve">; </w:t>
      </w:r>
      <w:hyperlink w:anchor="Section_55e01b00ed934498b4e5b0bc0abdf97d">
        <w:r>
          <w:rPr>
            <w:rStyle w:val="Hyperlink"/>
          </w:rPr>
          <w:t>attachedTemplate, §17.15.1.6(a)</w:t>
        </w:r>
      </w:hyperlink>
      <w:r>
        <w:rPr>
          <w:i/>
        </w:rPr>
        <w:t>.</w:t>
      </w:r>
    </w:p>
    <w:p w:rsidR="005F78FC" w:rsidRDefault="00B42EF3">
      <w:pPr>
        <w:pStyle w:val="Definition-Field"/>
      </w:pPr>
      <w:r>
        <w:t xml:space="preserve">a.   </w:t>
      </w:r>
      <w:r>
        <w:rPr>
          <w:i/>
        </w:rPr>
        <w:t>The standard states that this element shall be used to store video information associated with an image.</w:t>
      </w:r>
    </w:p>
    <w:p w:rsidR="005F78FC" w:rsidRDefault="00B42EF3">
      <w:pPr>
        <w:pStyle w:val="Definition-Field2"/>
      </w:pPr>
      <w:r>
        <w:t>Word ignores this element when loading a WordprocessingML document; therefore, this element is l</w:t>
      </w:r>
      <w:r>
        <w:t>ost on roundtrip.</w:t>
      </w:r>
    </w:p>
    <w:p w:rsidR="005F78FC" w:rsidRDefault="00B42EF3">
      <w:pPr>
        <w:pStyle w:val="Heading3"/>
      </w:pPr>
      <w:bookmarkStart w:id="238" w:name="section_a30a56e7e4d24c1a808f318292fbb4a4"/>
      <w:bookmarkStart w:id="239" w:name="_Toc69877892"/>
      <w:r>
        <w:t>Part 1 Section 17.3.3.19, object (Embedded Object)</w:t>
      </w:r>
      <w:bookmarkEnd w:id="238"/>
      <w:bookmarkEnd w:id="239"/>
      <w:r>
        <w:fldChar w:fldCharType="begin"/>
      </w:r>
      <w:r>
        <w:instrText xml:space="preserve"> XE "object (Embedded Object)" </w:instrText>
      </w:r>
      <w:r>
        <w:fldChar w:fldCharType="end"/>
      </w:r>
    </w:p>
    <w:p w:rsidR="005F78FC" w:rsidRDefault="00B42EF3">
      <w:pPr>
        <w:pStyle w:val="Definition-Field"/>
      </w:pPr>
      <w:r>
        <w:t xml:space="preserve">a.   </w:t>
      </w:r>
      <w:r>
        <w:rPr>
          <w:i/>
        </w:rPr>
        <w:t>The standard states that object can have a child of type drawing (DrawingML Object)</w:t>
      </w:r>
    </w:p>
    <w:p w:rsidR="005F78FC" w:rsidRDefault="00B42EF3">
      <w:pPr>
        <w:pStyle w:val="Definition-Field2"/>
      </w:pPr>
      <w:r>
        <w:t>Word will ignore the embedded object if it has a child of type dr</w:t>
      </w:r>
      <w:r>
        <w:t>awing (DrawingML Object). The static representation of the object is maintained, but no longer has any connection to the embedded object.</w:t>
      </w:r>
    </w:p>
    <w:p w:rsidR="005F78FC" w:rsidRDefault="00B42EF3">
      <w:pPr>
        <w:pStyle w:val="Definition-Field2"/>
      </w:pPr>
      <w:r>
        <w:t>This note applies to the following products: Office 2013 Client (Transitional), Office 2013 Server (Transitional), Off</w:t>
      </w:r>
      <w:r>
        <w:t>ice 2016 Client (Transitional), Office 2016 Server (Transitional).</w:t>
      </w:r>
    </w:p>
    <w:p w:rsidR="005F78FC" w:rsidRDefault="00B42EF3">
      <w:pPr>
        <w:pStyle w:val="Heading3"/>
      </w:pPr>
      <w:bookmarkStart w:id="240" w:name="section_80584e929ba74ac4a2e6babf3221caf4"/>
      <w:bookmarkStart w:id="241" w:name="_Toc69877893"/>
      <w:r>
        <w:t>Part 1 Section 17.3.3.20, objectEmbed (Embedded Object Properties)</w:t>
      </w:r>
      <w:bookmarkEnd w:id="240"/>
      <w:bookmarkEnd w:id="241"/>
      <w:r>
        <w:fldChar w:fldCharType="begin"/>
      </w:r>
      <w:r>
        <w:instrText xml:space="preserve"> XE "objectEmbed (Embedded Object Properties)" </w:instrText>
      </w:r>
      <w:r>
        <w:fldChar w:fldCharType="end"/>
      </w:r>
    </w:p>
    <w:p w:rsidR="005F78FC" w:rsidRDefault="00B42EF3">
      <w:pPr>
        <w:pStyle w:val="Definition-Field"/>
      </w:pPr>
      <w:r>
        <w:t xml:space="preserve">a.   </w:t>
      </w:r>
      <w:r>
        <w:rPr>
          <w:i/>
        </w:rPr>
        <w:t>The standard states that this element specifies the visual propertie</w:t>
      </w:r>
      <w:r>
        <w:rPr>
          <w:i/>
        </w:rPr>
        <w:t>s and associated server application of an embedded object.</w:t>
      </w:r>
    </w:p>
    <w:p w:rsidR="005F78FC" w:rsidRDefault="00B42EF3">
      <w:pPr>
        <w:pStyle w:val="Definition-Field2"/>
      </w:pPr>
      <w:r>
        <w:t>Word always ignores this element.</w:t>
      </w:r>
    </w:p>
    <w:p w:rsidR="005F78FC" w:rsidRDefault="00B42EF3">
      <w:pPr>
        <w:pStyle w:val="Definition-Field2"/>
      </w:pPr>
      <w:r>
        <w:t>This note applies to the following products: Office 2013 Client (Transitional), Office 2013 Server (Transitional), Office 2016 Client (Transitional), Office 2016 S</w:t>
      </w:r>
      <w:r>
        <w:t>erver (Transitional).</w:t>
      </w:r>
    </w:p>
    <w:p w:rsidR="005F78FC" w:rsidRDefault="00B42EF3">
      <w:pPr>
        <w:pStyle w:val="Heading3"/>
      </w:pPr>
      <w:bookmarkStart w:id="242" w:name="section_8f7f48e70926447782e24eead69938c5"/>
      <w:bookmarkStart w:id="243" w:name="_Toc69877894"/>
      <w:r>
        <w:t>Part 1 Section 17.3.3.21, objectLink (Linked Object Properties)</w:t>
      </w:r>
      <w:bookmarkEnd w:id="242"/>
      <w:bookmarkEnd w:id="243"/>
      <w:r>
        <w:fldChar w:fldCharType="begin"/>
      </w:r>
      <w:r>
        <w:instrText xml:space="preserve"> XE "objectLink (Linked Object Properties)" </w:instrText>
      </w:r>
      <w:r>
        <w:fldChar w:fldCharType="end"/>
      </w:r>
    </w:p>
    <w:p w:rsidR="005F78FC" w:rsidRDefault="00B42EF3">
      <w:pPr>
        <w:pStyle w:val="Definition-Field"/>
      </w:pPr>
      <w:r>
        <w:t xml:space="preserve">a.   </w:t>
      </w:r>
      <w:r>
        <w:rPr>
          <w:i/>
        </w:rPr>
        <w:t xml:space="preserve">The standard states that this element specifies the visual properties, associated server application, and refresh mode </w:t>
      </w:r>
      <w:r>
        <w:rPr>
          <w:i/>
        </w:rPr>
        <w:t>of a linked object.</w:t>
      </w:r>
    </w:p>
    <w:p w:rsidR="005F78FC" w:rsidRDefault="00B42EF3">
      <w:pPr>
        <w:pStyle w:val="Definition-Field2"/>
      </w:pPr>
      <w:r>
        <w:t>Word always ignores this element.</w:t>
      </w:r>
    </w:p>
    <w:p w:rsidR="005F78FC" w:rsidRDefault="00B42EF3">
      <w:pPr>
        <w:pStyle w:val="Definition-Field2"/>
      </w:pPr>
      <w:r>
        <w:t>This note applies to the following products: Office 2013 Client (Transitional), Office 2013 Server (Transitional), Office 2016 Client (Transitional), Office 2016 Server (Transitional).</w:t>
      </w:r>
    </w:p>
    <w:p w:rsidR="005F78FC" w:rsidRDefault="00B42EF3">
      <w:pPr>
        <w:pStyle w:val="Heading3"/>
      </w:pPr>
      <w:bookmarkStart w:id="244" w:name="section_af021f39c8864571a52f70966013513b"/>
      <w:bookmarkStart w:id="245" w:name="_Toc69877895"/>
      <w:r>
        <w:t>Part 1 Section 17.3.3.24, rt (Phonetic Guide Text)</w:t>
      </w:r>
      <w:bookmarkEnd w:id="244"/>
      <w:bookmarkEnd w:id="245"/>
      <w:r>
        <w:fldChar w:fldCharType="begin"/>
      </w:r>
      <w:r>
        <w:instrText xml:space="preserve"> XE "rt (Phonetic Guide Text)"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7fe9debd14844460b600621fc119b521">
        <w:r>
          <w:rPr>
            <w:rStyle w:val="Hyperlink"/>
          </w:rPr>
          <w:t>rubyBase, §17.3.3.2</w:t>
        </w:r>
        <w:r>
          <w:rPr>
            <w:rStyle w:val="Hyperlink"/>
          </w:rPr>
          <w:t>7(a-d)</w:t>
        </w:r>
      </w:hyperlink>
      <w:r>
        <w:rPr>
          <w:i/>
        </w:rPr>
        <w:t xml:space="preserve">; </w:t>
      </w:r>
      <w:hyperlink w:anchor="Section_ab7a0345712e4eef9bcc80c37e68d9bb">
        <w:r>
          <w:rPr>
            <w:rStyle w:val="Hyperlink"/>
          </w:rPr>
          <w:t>oMath, §22.1.2.77(c)</w:t>
        </w:r>
      </w:hyperlink>
      <w:r>
        <w:rPr>
          <w:i/>
        </w:rPr>
        <w:t>.</w:t>
      </w:r>
    </w:p>
    <w:p w:rsidR="005F78FC" w:rsidRDefault="00B42EF3">
      <w:pPr>
        <w:pStyle w:val="Heading3"/>
      </w:pPr>
      <w:bookmarkStart w:id="246" w:name="section_7fe9debd14844460b600621fc119b521"/>
      <w:bookmarkStart w:id="247" w:name="_Toc69877896"/>
      <w:r>
        <w:t>Part 1 Section 17.3.3.27, rubyBase (Phonetic Guide Base Text)</w:t>
      </w:r>
      <w:bookmarkEnd w:id="246"/>
      <w:bookmarkEnd w:id="247"/>
      <w:r>
        <w:fldChar w:fldCharType="begin"/>
      </w:r>
      <w:r>
        <w:instrText xml:space="preserve"> XE "rubyBase (Phonetic Guide Base Text)" </w:instrText>
      </w:r>
      <w:r>
        <w:fldChar w:fldCharType="end"/>
      </w:r>
    </w:p>
    <w:p w:rsidR="005F78FC" w:rsidRDefault="00B42EF3">
      <w:pPr>
        <w:pStyle w:val="Definition-Field2"/>
      </w:pPr>
      <w:r>
        <w:rPr>
          <w:i/>
        </w:rPr>
        <w:t>For additional notes that apply to this portion of the st</w:t>
      </w:r>
      <w:r>
        <w:rPr>
          <w:i/>
        </w:rPr>
        <w:t xml:space="preserve">andard, please see the notes for </w:t>
      </w:r>
      <w:hyperlink w:anchor="Section_ab7a0345712e4eef9bcc80c37e68d9bb">
        <w:r>
          <w:rPr>
            <w:rStyle w:val="Hyperlink"/>
          </w:rPr>
          <w:t>oMath, §22.1.2.77(c)</w:t>
        </w:r>
      </w:hyperlink>
      <w:r>
        <w:rPr>
          <w:i/>
        </w:rPr>
        <w:t>.</w:t>
      </w:r>
    </w:p>
    <w:p w:rsidR="005F78FC" w:rsidRDefault="00B42EF3">
      <w:pPr>
        <w:pStyle w:val="Definition-Field"/>
      </w:pPr>
      <w:r>
        <w:lastRenderedPageBreak/>
        <w:t xml:space="preserve">a.   </w:t>
      </w:r>
      <w:r>
        <w:rPr>
          <w:i/>
        </w:rPr>
        <w:t>The standard makes no mention of a child customXml element.</w:t>
      </w:r>
    </w:p>
    <w:p w:rsidR="005F78FC" w:rsidRDefault="00B42EF3">
      <w:pPr>
        <w:pStyle w:val="Definition-Field2"/>
      </w:pPr>
      <w:r>
        <w:t>Word allows a child customXml element as defined in customXml (Ruby Cell-</w:t>
      </w:r>
      <w:r>
        <w:t>Level Custom XML Element) (</w:t>
      </w:r>
      <w:hyperlink w:anchor="Section_d188da3eb34b4445b3a0118155f75ff3">
        <w:r>
          <w:rPr>
            <w:rStyle w:val="Hyperlink"/>
          </w:rPr>
          <w:t>§3.1.3.1.1, customXml</w:t>
        </w:r>
      </w:hyperlink>
      <w:r>
        <w:t>).</w:t>
      </w:r>
    </w:p>
    <w:p w:rsidR="005F78FC" w:rsidRDefault="00B42EF3">
      <w:pPr>
        <w:pStyle w:val="Definition-Field"/>
      </w:pPr>
      <w:r>
        <w:t xml:space="preserve">b.   </w:t>
      </w:r>
      <w:r>
        <w:rPr>
          <w:i/>
        </w:rPr>
        <w:t>The standard makes no mention of a child fldSimple element.</w:t>
      </w:r>
    </w:p>
    <w:p w:rsidR="005F78FC" w:rsidRDefault="00B42EF3">
      <w:pPr>
        <w:pStyle w:val="Definition-Field2"/>
      </w:pPr>
      <w:r>
        <w:t>Word allows a child fldSimple element as defined in fldSimple (Ruby Simple Fi</w:t>
      </w:r>
      <w:r>
        <w:t>eld) (</w:t>
      </w:r>
      <w:hyperlink w:anchor="Section_34477fff355a497ea2bf4b9c3f80b093">
        <w:r>
          <w:rPr>
            <w:rStyle w:val="Hyperlink"/>
          </w:rPr>
          <w:t>§3.1.3.1.2, fldSimple</w:t>
        </w:r>
      </w:hyperlink>
      <w:r>
        <w:t>).</w:t>
      </w:r>
    </w:p>
    <w:p w:rsidR="005F78FC" w:rsidRDefault="00B42EF3">
      <w:pPr>
        <w:pStyle w:val="Definition-Field"/>
      </w:pPr>
      <w:r>
        <w:t xml:space="preserve">c.   </w:t>
      </w:r>
      <w:r>
        <w:rPr>
          <w:i/>
        </w:rPr>
        <w:t>The standard makes no mention of a child hyperlink element.</w:t>
      </w:r>
    </w:p>
    <w:p w:rsidR="005F78FC" w:rsidRDefault="00B42EF3">
      <w:pPr>
        <w:pStyle w:val="Definition-Field2"/>
      </w:pPr>
      <w:r>
        <w:t>Word allows a child hyperlink element as defined in hyperlink (Ruby Hyperlink) (</w:t>
      </w:r>
      <w:hyperlink w:anchor="Section_cc9e4bbd134f4d35b2c795fde8c633a7">
        <w:r>
          <w:rPr>
            <w:rStyle w:val="Hyperlink"/>
          </w:rPr>
          <w:t>§3.1.3.1.3, hyperlink</w:t>
        </w:r>
      </w:hyperlink>
      <w:r>
        <w:t>).</w:t>
      </w:r>
    </w:p>
    <w:p w:rsidR="005F78FC" w:rsidRDefault="00B42EF3">
      <w:pPr>
        <w:pStyle w:val="Definition-Field"/>
      </w:pPr>
      <w:r>
        <w:t xml:space="preserve">d.   </w:t>
      </w:r>
      <w:r>
        <w:rPr>
          <w:i/>
        </w:rPr>
        <w:t>The standard makes no mention of a child sdt element.</w:t>
      </w:r>
    </w:p>
    <w:p w:rsidR="005F78FC" w:rsidRDefault="00B42EF3">
      <w:pPr>
        <w:pStyle w:val="Definition-Field2"/>
      </w:pPr>
      <w:r>
        <w:t>Word allows a child sdt element as defined in sdt (Ruby Inline-Level Structured Document Tag) (</w:t>
      </w:r>
      <w:hyperlink w:anchor="Section_808b32d8ad644c849fb585ad68be54b9">
        <w:r>
          <w:rPr>
            <w:rStyle w:val="Hyperlink"/>
          </w:rPr>
          <w:t>§3.1.3.1.6, sdt</w:t>
        </w:r>
      </w:hyperlink>
      <w:r>
        <w:t>).</w:t>
      </w:r>
    </w:p>
    <w:p w:rsidR="005F78FC" w:rsidRDefault="00B42EF3">
      <w:pPr>
        <w:pStyle w:val="Heading3"/>
      </w:pPr>
      <w:bookmarkStart w:id="248" w:name="section_6180ac79cc0e411d8ab9cdf689f36f75"/>
      <w:bookmarkStart w:id="249" w:name="_Toc69877897"/>
      <w:r>
        <w:t>Part 1 Section 17.3.3.30, sym (Symbol Character)</w:t>
      </w:r>
      <w:bookmarkEnd w:id="248"/>
      <w:bookmarkEnd w:id="249"/>
      <w:r>
        <w:fldChar w:fldCharType="begin"/>
      </w:r>
      <w:r>
        <w:instrText xml:space="preserve"> XE "sym (Symbol Character)" </w:instrText>
      </w:r>
      <w:r>
        <w:fldChar w:fldCharType="end"/>
      </w:r>
    </w:p>
    <w:p w:rsidR="005F78FC" w:rsidRDefault="00B42EF3">
      <w:pPr>
        <w:pStyle w:val="Definition-Field"/>
      </w:pPr>
      <w:r>
        <w:t xml:space="preserve">a.   </w:t>
      </w:r>
      <w:r>
        <w:rPr>
          <w:i/>
        </w:rPr>
        <w:t>The standard states that the font attribute can contain any string value.</w:t>
      </w:r>
    </w:p>
    <w:p w:rsidR="005F78FC" w:rsidRDefault="00B42EF3">
      <w:pPr>
        <w:pStyle w:val="Definition-Field2"/>
      </w:pPr>
      <w:r>
        <w:t>Word restricts the contents of the font attribute</w:t>
      </w:r>
      <w:r>
        <w:t xml:space="preserve"> to a maximum length of 31 characters.</w:t>
      </w:r>
    </w:p>
    <w:p w:rsidR="005F78FC" w:rsidRDefault="00B42EF3">
      <w:pPr>
        <w:pStyle w:val="Heading3"/>
      </w:pPr>
      <w:bookmarkStart w:id="250" w:name="section_233dfa68d1f34d56a781bfef71cc74fa"/>
      <w:bookmarkStart w:id="251" w:name="_Toc69877898"/>
      <w:r>
        <w:t>Part 1 Section 17.4.1, bidiVisual (Visually Right to Left Table)</w:t>
      </w:r>
      <w:bookmarkEnd w:id="250"/>
      <w:bookmarkEnd w:id="251"/>
      <w:r>
        <w:fldChar w:fldCharType="begin"/>
      </w:r>
      <w:r>
        <w:instrText xml:space="preserve"> XE "bidiVisual (Visually Right to Left Table)"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5F78FC" w:rsidRDefault="00B42EF3">
      <w:pPr>
        <w:pStyle w:val="Heading3"/>
      </w:pPr>
      <w:bookmarkStart w:id="252" w:name="section_8301b45dae9045f18fcaf3e3bd7d9c49"/>
      <w:bookmarkStart w:id="253" w:name="_Toc69877899"/>
      <w:r>
        <w:t>Part 1 Section 17.4.2, bottom (Table Cell Bottom Margin Exception)</w:t>
      </w:r>
      <w:bookmarkEnd w:id="252"/>
      <w:bookmarkEnd w:id="253"/>
      <w:r>
        <w:fldChar w:fldCharType="begin"/>
      </w:r>
      <w:r>
        <w:instrText xml:space="preserve"> XE "bottom (Table Cell Bottom Mar</w:instrText>
      </w:r>
      <w:r>
        <w:instrText xml:space="preserve">gin Exception)"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5F78FC" w:rsidRDefault="00B42EF3">
      <w:pPr>
        <w:pStyle w:val="Definition-Field"/>
      </w:pPr>
      <w:r>
        <w:t xml:space="preserve">a.   </w:t>
      </w:r>
      <w:r>
        <w:rPr>
          <w:i/>
        </w:rPr>
        <w:t xml:space="preserve">The standard states that a 'type' attribute value of "nil" </w:t>
      </w:r>
      <w:r>
        <w:rPr>
          <w:i/>
        </w:rPr>
        <w:t>specifies that the current width is 0.</w:t>
      </w:r>
    </w:p>
    <w:p w:rsidR="005F78FC" w:rsidRDefault="00B42EF3">
      <w:pPr>
        <w:pStyle w:val="Definition-Field2"/>
      </w:pPr>
      <w:r>
        <w:t>Word ignores this element when the 'type' attribute has a value of "nil".</w:t>
      </w:r>
    </w:p>
    <w:p w:rsidR="005F78FC" w:rsidRDefault="00B42EF3">
      <w:pPr>
        <w:pStyle w:val="Heading3"/>
      </w:pPr>
      <w:bookmarkStart w:id="254" w:name="section_a24ca39e7f694a89a30e13abea010529"/>
      <w:bookmarkStart w:id="255" w:name="_Toc69877900"/>
      <w:r>
        <w:t>Part 1 Section 17.4.3, bottom (Table Cell Bottom Border)</w:t>
      </w:r>
      <w:bookmarkEnd w:id="254"/>
      <w:bookmarkEnd w:id="255"/>
      <w:r>
        <w:fldChar w:fldCharType="begin"/>
      </w:r>
      <w:r>
        <w:instrText xml:space="preserve"> XE "bottom (Table Cell Bottom Border)" </w:instrText>
      </w:r>
      <w:r>
        <w:fldChar w:fldCharType="end"/>
      </w:r>
    </w:p>
    <w:p w:rsidR="005F78FC" w:rsidRDefault="00B42EF3">
      <w:pPr>
        <w:pStyle w:val="Definition-Field2"/>
      </w:pPr>
      <w:r>
        <w:rPr>
          <w:i/>
        </w:rPr>
        <w:t>For additional notes that apply to this port</w:t>
      </w:r>
      <w:r>
        <w:rPr>
          <w:i/>
        </w:rPr>
        <w:t xml:space="preserve">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5F78FC" w:rsidRDefault="00B42EF3">
      <w:pPr>
        <w:pStyle w:val="Heading3"/>
      </w:pPr>
      <w:bookmarkStart w:id="256" w:name="section_ae7dd4da0bda48e69d365645b9c35ce6"/>
      <w:bookmarkStart w:id="257" w:name="_Toc69877901"/>
      <w:r>
        <w:t>Part 1 Section 17.4.4, bottom (Table Bottom Border)</w:t>
      </w:r>
      <w:bookmarkEnd w:id="256"/>
      <w:bookmarkEnd w:id="257"/>
      <w:r>
        <w:fldChar w:fldCharType="begin"/>
      </w:r>
      <w:r>
        <w:instrText xml:space="preserve"> XE "bottom (Table Bottom Border)"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5F78FC" w:rsidRDefault="00B42EF3">
      <w:pPr>
        <w:pStyle w:val="Heading3"/>
      </w:pPr>
      <w:bookmarkStart w:id="258" w:name="section_0dd57f39232e42649600a0075f27b8b4"/>
      <w:bookmarkStart w:id="259" w:name="_Toc69877902"/>
      <w:r>
        <w:t>Part 1 Section 17.4.5, bottom (Table Cell</w:t>
      </w:r>
      <w:r>
        <w:t xml:space="preserve"> Bottom Margin Default)</w:t>
      </w:r>
      <w:bookmarkEnd w:id="258"/>
      <w:bookmarkEnd w:id="259"/>
      <w:r>
        <w:fldChar w:fldCharType="begin"/>
      </w:r>
      <w:r>
        <w:instrText xml:space="preserve"> XE "bottom (Table Cell Bottom Margin Default)"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5F78FC" w:rsidRDefault="00B42EF3">
      <w:pPr>
        <w:pStyle w:val="Heading3"/>
      </w:pPr>
      <w:bookmarkStart w:id="260" w:name="section_a55188f724434c17ba5a75999085bab4"/>
      <w:bookmarkStart w:id="261" w:name="_Toc69877903"/>
      <w:r>
        <w:lastRenderedPageBreak/>
        <w:t>Part 1 Section 17.4.6, cantSplit (Table Row Cannot Break Across Pages)</w:t>
      </w:r>
      <w:bookmarkEnd w:id="260"/>
      <w:bookmarkEnd w:id="261"/>
      <w:r>
        <w:fldChar w:fldCharType="begin"/>
      </w:r>
      <w:r>
        <w:instrText xml:space="preserve"> XE "cantSplit (Table Row Cannot Break Across Pages)" </w:instrText>
      </w:r>
      <w:r>
        <w:fldChar w:fldCharType="end"/>
      </w:r>
    </w:p>
    <w:p w:rsidR="005F78FC" w:rsidRDefault="00B42EF3">
      <w:pPr>
        <w:pStyle w:val="Definition-Field"/>
      </w:pPr>
      <w:r>
        <w:t xml:space="preserve">a.   </w:t>
      </w:r>
      <w:r>
        <w:rPr>
          <w:i/>
        </w:rPr>
        <w:t>The standard states that the row shall start on a new page and flow onto multiple pages as necessary when the contents of th</w:t>
      </w:r>
      <w:r>
        <w:rPr>
          <w:i/>
        </w:rPr>
        <w:t>e table row cannot fit on a single page.</w:t>
      </w:r>
    </w:p>
    <w:p w:rsidR="005F78FC" w:rsidRDefault="00B42EF3">
      <w:pPr>
        <w:pStyle w:val="Definition-Field2"/>
      </w:pPr>
      <w:r>
        <w:t>Word starts the row on a new page and cuts off overflowing contents as necessary under this circumstance.</w:t>
      </w:r>
    </w:p>
    <w:p w:rsidR="005F78FC" w:rsidRDefault="00B42EF3">
      <w:pPr>
        <w:pStyle w:val="Heading3"/>
      </w:pPr>
      <w:bookmarkStart w:id="262" w:name="section_00d36f3922a349eb925e84c7bba02c37"/>
      <w:bookmarkStart w:id="263" w:name="_Toc69877904"/>
      <w:r>
        <w:t>Part 1 Section 17.4.7, cnfStyle (Table Row Conditional Formatting)</w:t>
      </w:r>
      <w:bookmarkEnd w:id="262"/>
      <w:bookmarkEnd w:id="263"/>
      <w:r>
        <w:fldChar w:fldCharType="begin"/>
      </w:r>
      <w:r>
        <w:instrText xml:space="preserve"> XE "cnfStyle (Table Row Conditional Format</w:instrText>
      </w:r>
      <w:r>
        <w:instrText xml:space="preserve">ting)"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w:t>
        </w:r>
        <w:r>
          <w:rPr>
            <w:rStyle w:val="Hyperlink"/>
          </w:rPr>
          <w:t>.7.6.11(a)</w:t>
        </w:r>
      </w:hyperlink>
      <w:r>
        <w:rPr>
          <w:i/>
        </w:rPr>
        <w:t>.</w:t>
      </w:r>
    </w:p>
    <w:p w:rsidR="005F78FC" w:rsidRDefault="00B42EF3">
      <w:pPr>
        <w:pStyle w:val="Heading3"/>
      </w:pPr>
      <w:bookmarkStart w:id="264" w:name="section_0a28293f8ae14ef889f29e0f11b6281f"/>
      <w:bookmarkStart w:id="265" w:name="_Toc69877905"/>
      <w:r>
        <w:t>Part 1 Section 17.4.8, cnfStyle (Table Cell Conditional Formatting)</w:t>
      </w:r>
      <w:bookmarkEnd w:id="264"/>
      <w:bookmarkEnd w:id="265"/>
      <w:r>
        <w:fldChar w:fldCharType="begin"/>
      </w:r>
      <w:r>
        <w:instrText xml:space="preserve"> XE "cnfStyle (Table Cell Conditional Formatting)"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5F78FC" w:rsidRDefault="00B42EF3">
      <w:pPr>
        <w:pStyle w:val="Heading3"/>
      </w:pPr>
      <w:bookmarkStart w:id="266" w:name="section_818e7ab5d66642ad8111cd3898c6d53b"/>
      <w:bookmarkStart w:id="267" w:name="_Toc69877906"/>
      <w:r>
        <w:t>Part 1 Section 17.4.9, divId (Associated HTML div ID)</w:t>
      </w:r>
      <w:bookmarkEnd w:id="266"/>
      <w:bookmarkEnd w:id="267"/>
      <w:r>
        <w:fldChar w:fldCharType="begin"/>
      </w:r>
      <w:r>
        <w:instrText xml:space="preserve"> XE "divId (Associated HTML div ID)"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5ff84bc9d5b747c7bcd53bebf540efb0">
        <w:r>
          <w:rPr>
            <w:rStyle w:val="Hyperlink"/>
          </w:rPr>
          <w:t>divId, §17.3.1.10(a)</w:t>
        </w:r>
      </w:hyperlink>
      <w:r>
        <w:rPr>
          <w:i/>
        </w:rPr>
        <w:t xml:space="preserve">; </w:t>
      </w:r>
      <w:hyperlink w:anchor="Section_c78643db45244582bab3b93a2dd7b94a">
        <w:r>
          <w:rPr>
            <w:rStyle w:val="Hyperlink"/>
          </w:rPr>
          <w:t>trPr, §17.7.6.10(b</w:t>
        </w:r>
        <w:r>
          <w:rPr>
            <w:rStyle w:val="Hyperlink"/>
          </w:rPr>
          <w:t>)</w:t>
        </w:r>
      </w:hyperlink>
      <w:r>
        <w:rPr>
          <w:i/>
        </w:rPr>
        <w:t xml:space="preserve">; </w:t>
      </w:r>
      <w:hyperlink w:anchor="Section_36064a5b267d4a27a567453d8b96a5b3">
        <w:r>
          <w:rPr>
            <w:rStyle w:val="Hyperlink"/>
          </w:rPr>
          <w:t>trPr, §17.7.6.11(a)</w:t>
        </w:r>
      </w:hyperlink>
      <w:r>
        <w:rPr>
          <w:i/>
        </w:rPr>
        <w:t>.</w:t>
      </w:r>
    </w:p>
    <w:p w:rsidR="005F78FC" w:rsidRDefault="00B42EF3">
      <w:pPr>
        <w:pStyle w:val="Definition-Field"/>
      </w:pPr>
      <w:r>
        <w:t xml:space="preserve">a.   </w:t>
      </w:r>
      <w:r>
        <w:rPr>
          <w:i/>
        </w:rPr>
        <w:t>The standard states that the values of the val attribute are defined by the XML Schema integer datatype.</w:t>
      </w:r>
    </w:p>
    <w:p w:rsidR="005F78FC" w:rsidRDefault="00B42EF3">
      <w:pPr>
        <w:pStyle w:val="Definition-Field2"/>
      </w:pPr>
      <w:r>
        <w:t>Word does not allow a value of 0 on this attribute.</w:t>
      </w:r>
    </w:p>
    <w:p w:rsidR="005F78FC" w:rsidRDefault="00B42EF3">
      <w:pPr>
        <w:pStyle w:val="Heading3"/>
      </w:pPr>
      <w:bookmarkStart w:id="268" w:name="section_4c92f707926044458881c728fd0988ca"/>
      <w:bookmarkStart w:id="269" w:name="_Toc69877907"/>
      <w:r>
        <w:t xml:space="preserve">Part 1 </w:t>
      </w:r>
      <w:r>
        <w:t>Section 17.4.10, end (Table Cell Trailing Margin Exception)</w:t>
      </w:r>
      <w:bookmarkEnd w:id="268"/>
      <w:bookmarkEnd w:id="269"/>
      <w:r>
        <w:fldChar w:fldCharType="begin"/>
      </w:r>
      <w:r>
        <w:instrText xml:space="preserve"> XE "end (Table Cell Trailing Margin Exception)"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5F78FC" w:rsidRDefault="00B42EF3">
      <w:pPr>
        <w:pStyle w:val="Definition-Field"/>
      </w:pPr>
      <w:r>
        <w:t xml:space="preserve">a.   </w:t>
      </w:r>
      <w:r>
        <w:rPr>
          <w:i/>
        </w:rPr>
        <w:t>The standard states that a 'type' attribute value of "nil" specifies that the current width is 0.</w:t>
      </w:r>
    </w:p>
    <w:p w:rsidR="005F78FC" w:rsidRDefault="00B42EF3">
      <w:pPr>
        <w:pStyle w:val="Definition-Field2"/>
      </w:pPr>
      <w:r>
        <w:t>Word ignores this element when the 'type' attribute has a value of "nil".</w:t>
      </w:r>
    </w:p>
    <w:p w:rsidR="005F78FC" w:rsidRDefault="00B42EF3">
      <w:pPr>
        <w:pStyle w:val="Heading3"/>
      </w:pPr>
      <w:bookmarkStart w:id="270" w:name="section_922e778f0e234947a0e4b52508651f6f"/>
      <w:bookmarkStart w:id="271" w:name="_Toc69877908"/>
      <w:r>
        <w:t>Part 1 Section 17.4.11, end (Table Cell Trailing Marg</w:t>
      </w:r>
      <w:r>
        <w:t>in Default)</w:t>
      </w:r>
      <w:bookmarkEnd w:id="270"/>
      <w:bookmarkEnd w:id="271"/>
      <w:r>
        <w:fldChar w:fldCharType="begin"/>
      </w:r>
      <w:r>
        <w:instrText xml:space="preserve"> XE "end (Table Cell Trailing Margin Default)" </w:instrText>
      </w:r>
      <w:r>
        <w:fldChar w:fldCharType="end"/>
      </w:r>
    </w:p>
    <w:p w:rsidR="005F78FC" w:rsidRDefault="00B42EF3">
      <w:pPr>
        <w:pStyle w:val="Definition-Field"/>
      </w:pPr>
      <w:r>
        <w:t xml:space="preserve">a.   </w:t>
      </w:r>
      <w:r>
        <w:rPr>
          <w:i/>
        </w:rPr>
        <w:t>The standard states that any width value of type pct or auto for this element shall be ignored.</w:t>
      </w:r>
    </w:p>
    <w:p w:rsidR="005F78FC" w:rsidRDefault="00B42EF3">
      <w:pPr>
        <w:pStyle w:val="Definition-Field2"/>
      </w:pPr>
      <w:r>
        <w:t>Word uses a default value of 0 for the width when the value of the type attribute is pct or au</w:t>
      </w:r>
      <w:r>
        <w:t>to.</w:t>
      </w:r>
    </w:p>
    <w:p w:rsidR="005F78FC" w:rsidRDefault="00B42EF3">
      <w:pPr>
        <w:pStyle w:val="Heading3"/>
      </w:pPr>
      <w:bookmarkStart w:id="272" w:name="section_5afd726060ff42518744b0ed5d826f54"/>
      <w:bookmarkStart w:id="273" w:name="_Toc69877909"/>
      <w:r>
        <w:t>Part 1 Section 17.4.12, end (Table Cell Trailing Edge Border)</w:t>
      </w:r>
      <w:bookmarkEnd w:id="272"/>
      <w:bookmarkEnd w:id="273"/>
      <w:r>
        <w:fldChar w:fldCharType="begin"/>
      </w:r>
      <w:r>
        <w:instrText xml:space="preserve"> XE "end (Table Cell Trailing Edge Border)"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5F78FC" w:rsidRDefault="00B42EF3">
      <w:pPr>
        <w:pStyle w:val="Heading3"/>
      </w:pPr>
      <w:bookmarkStart w:id="274" w:name="section_38d238ef408a4e128032b243fb47247b"/>
      <w:bookmarkStart w:id="275" w:name="_Toc69877910"/>
      <w:r>
        <w:t>Part 1 Section 17.4.13, end (Table Trailing Edge Border)</w:t>
      </w:r>
      <w:bookmarkEnd w:id="274"/>
      <w:bookmarkEnd w:id="275"/>
      <w:r>
        <w:fldChar w:fldCharType="begin"/>
      </w:r>
      <w:r>
        <w:instrText xml:space="preserve"> XE</w:instrText>
      </w:r>
      <w:r>
        <w:instrText xml:space="preserve"> "end (Table Trailing Edge Border)"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5F78FC" w:rsidRDefault="00B42EF3">
      <w:pPr>
        <w:pStyle w:val="Heading3"/>
      </w:pPr>
      <w:bookmarkStart w:id="276" w:name="section_12e40cc181624abf985e412e9324e57c"/>
      <w:bookmarkStart w:id="277" w:name="_Toc69877911"/>
      <w:r>
        <w:lastRenderedPageBreak/>
        <w:t>Part 1 Section 17.4.14, gridAfter (Grid Columns After Last Cell)</w:t>
      </w:r>
      <w:bookmarkEnd w:id="276"/>
      <w:bookmarkEnd w:id="277"/>
      <w:r>
        <w:fldChar w:fldCharType="begin"/>
      </w:r>
      <w:r>
        <w:instrText xml:space="preserve"> XE "gridAfter (Grid Columns After Last Cell)" </w:instrText>
      </w:r>
      <w:r>
        <w:fldChar w:fldCharType="end"/>
      </w:r>
    </w:p>
    <w:p w:rsidR="005F78FC" w:rsidRDefault="00B42EF3">
      <w:pPr>
        <w:pStyle w:val="Definition-Field2"/>
      </w:pPr>
      <w:r>
        <w:rPr>
          <w:i/>
        </w:rPr>
        <w:t>For additional not</w:t>
      </w:r>
      <w:r>
        <w:rPr>
          <w:i/>
        </w:rPr>
        <w:t xml:space="preserve">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5F78FC" w:rsidRDefault="00B42EF3">
      <w:pPr>
        <w:pStyle w:val="Definition-Field"/>
      </w:pPr>
      <w:r>
        <w:t xml:space="preserve">a.   </w:t>
      </w:r>
      <w:r>
        <w:rPr>
          <w:i/>
        </w:rPr>
        <w:t xml:space="preserve">The </w:t>
      </w:r>
      <w:r>
        <w:rPr>
          <w:i/>
        </w:rPr>
        <w:t>standard states that if this element conflicts with the document grid, then it is ignored.</w:t>
      </w:r>
    </w:p>
    <w:p w:rsidR="005F78FC" w:rsidRDefault="00B42EF3">
      <w:pPr>
        <w:pStyle w:val="Definition-Field2"/>
      </w:pPr>
      <w:r>
        <w:t>In Word, if this element conflicts with the table grid, then it is ignored.</w:t>
      </w:r>
    </w:p>
    <w:p w:rsidR="005F78FC" w:rsidRDefault="00B42EF3">
      <w:pPr>
        <w:pStyle w:val="Definition-Field"/>
      </w:pPr>
      <w:r>
        <w:t xml:space="preserve">b.   </w:t>
      </w:r>
      <w:r>
        <w:rPr>
          <w:i/>
        </w:rPr>
        <w:t>The standard states the values for the val attribute are defined by the ST_DecimalNu</w:t>
      </w:r>
      <w:r>
        <w:rPr>
          <w:i/>
        </w:rPr>
        <w:t>mber simple type</w:t>
      </w:r>
    </w:p>
    <w:p w:rsidR="005F78FC" w:rsidRDefault="00B42EF3">
      <w:pPr>
        <w:pStyle w:val="Definition-Field2"/>
      </w:pPr>
      <w:r>
        <w:t>Word only ignores 0 or negative values for this element</w:t>
      </w:r>
    </w:p>
    <w:p w:rsidR="005F78FC" w:rsidRDefault="00B42EF3">
      <w:pPr>
        <w:pStyle w:val="Heading3"/>
      </w:pPr>
      <w:bookmarkStart w:id="278" w:name="section_c0d7a13166d24bee8df8e5bae148119f"/>
      <w:bookmarkStart w:id="279" w:name="_Toc69877912"/>
      <w:r>
        <w:t>Part 1 Section 17.4.15, gridBefore (Grid Columns Before First Cell)</w:t>
      </w:r>
      <w:bookmarkEnd w:id="278"/>
      <w:bookmarkEnd w:id="279"/>
      <w:r>
        <w:fldChar w:fldCharType="begin"/>
      </w:r>
      <w:r>
        <w:instrText xml:space="preserve"> XE "gridBefore (Grid Columns Before First Cell)"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5F78FC" w:rsidRDefault="00B42EF3">
      <w:pPr>
        <w:pStyle w:val="Definition-Field"/>
      </w:pPr>
      <w:r>
        <w:t xml:space="preserve">a.   </w:t>
      </w:r>
      <w:r>
        <w:rPr>
          <w:i/>
        </w:rPr>
        <w:t>The standard states that if the value of this element exceeds the number of grid columns, then the value shall be ignored.</w:t>
      </w:r>
    </w:p>
    <w:p w:rsidR="005F78FC" w:rsidRDefault="00B42EF3">
      <w:pPr>
        <w:pStyle w:val="Definition-Field2"/>
      </w:pPr>
      <w:r>
        <w:t xml:space="preserve">Word requires that this value not exceed the total number of grid columns. If the value of this element exceeds the number of </w:t>
      </w:r>
      <w:r>
        <w:t>grid columns, then the behavior is unpredictable.</w:t>
      </w:r>
    </w:p>
    <w:p w:rsidR="005F78FC" w:rsidRDefault="00B42EF3">
      <w:pPr>
        <w:pStyle w:val="Definition-Field"/>
      </w:pPr>
      <w:r>
        <w:t xml:space="preserve">b.   </w:t>
      </w:r>
      <w:r>
        <w:rPr>
          <w:i/>
        </w:rPr>
        <w:t>The standard states that the possible values for the val attribute are defined by the ST_DecimalNumber simple type.</w:t>
      </w:r>
    </w:p>
    <w:p w:rsidR="005F78FC" w:rsidRDefault="00B42EF3">
      <w:pPr>
        <w:pStyle w:val="Definition-Field2"/>
      </w:pPr>
      <w:r>
        <w:t>Word only understands non-negative values for the val attribute.</w:t>
      </w:r>
    </w:p>
    <w:p w:rsidR="005F78FC" w:rsidRDefault="00B42EF3">
      <w:pPr>
        <w:pStyle w:val="Heading3"/>
      </w:pPr>
      <w:bookmarkStart w:id="280" w:name="section_01bfc2007b7d40c0bb1045afd2f72c8f"/>
      <w:bookmarkStart w:id="281" w:name="_Toc69877913"/>
      <w:r>
        <w:t>Part 1 Section 17.4.</w:t>
      </w:r>
      <w:r>
        <w:t>17, gridSpan (Grid Columns Spanned by Current Table Cell)</w:t>
      </w:r>
      <w:bookmarkEnd w:id="280"/>
      <w:bookmarkEnd w:id="281"/>
      <w:r>
        <w:fldChar w:fldCharType="begin"/>
      </w:r>
      <w:r>
        <w:instrText xml:space="preserve"> XE "gridSpan (Grid Columns Spanned by Current Table Cell)"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5F78FC" w:rsidRDefault="00B42EF3">
      <w:pPr>
        <w:pStyle w:val="Definition-Field"/>
      </w:pPr>
      <w:r>
        <w:t xml:space="preserve">a.   </w:t>
      </w:r>
      <w:r>
        <w:rPr>
          <w:i/>
        </w:rPr>
        <w:t>The standard allows a gridSpan to have a value of 0.</w:t>
      </w:r>
    </w:p>
    <w:p w:rsidR="005F78FC" w:rsidRDefault="00B42EF3">
      <w:pPr>
        <w:pStyle w:val="Definition-Field2"/>
      </w:pPr>
      <w:r>
        <w:t>Word treats a gridSpan of 0 the same as a grid span of 1.</w:t>
      </w:r>
    </w:p>
    <w:p w:rsidR="005F78FC" w:rsidRDefault="00B42EF3">
      <w:pPr>
        <w:pStyle w:val="Heading3"/>
      </w:pPr>
      <w:bookmarkStart w:id="282" w:name="section_1d65167f972c46138b475f43053a1989"/>
      <w:bookmarkStart w:id="283" w:name="_Toc69877914"/>
      <w:r>
        <w:t>Part 1 Section 17.4.</w:t>
      </w:r>
      <w:r>
        <w:t>18, header (Header Cell Reference)</w:t>
      </w:r>
      <w:bookmarkEnd w:id="282"/>
      <w:bookmarkEnd w:id="283"/>
      <w:r>
        <w:fldChar w:fldCharType="begin"/>
      </w:r>
      <w:r>
        <w:instrText xml:space="preserve"> XE "header (Header Cell Reference)" </w:instrText>
      </w:r>
      <w:r>
        <w:fldChar w:fldCharType="end"/>
      </w:r>
    </w:p>
    <w:p w:rsidR="005F78FC" w:rsidRDefault="00B42EF3">
      <w:pPr>
        <w:pStyle w:val="Definition-Field"/>
      </w:pPr>
      <w:r>
        <w:t xml:space="preserve">a.   </w:t>
      </w:r>
      <w:r>
        <w:rPr>
          <w:i/>
        </w:rPr>
        <w:t>The standard specifies that this element specifies a reference, using a unique identifier, to a table header cell that is associated with the current table cell.</w:t>
      </w:r>
    </w:p>
    <w:p w:rsidR="005F78FC" w:rsidRDefault="00B42EF3">
      <w:pPr>
        <w:pStyle w:val="Definition-Field2"/>
      </w:pPr>
      <w:r>
        <w:t>Word always ign</w:t>
      </w:r>
      <w:r>
        <w:t>ores this element.</w:t>
      </w:r>
    </w:p>
    <w:p w:rsidR="005F78FC" w:rsidRDefault="00B42EF3">
      <w:pPr>
        <w:pStyle w:val="Heading3"/>
      </w:pPr>
      <w:bookmarkStart w:id="284" w:name="section_89821d899e9048f38b136c6f025b6657"/>
      <w:bookmarkStart w:id="285" w:name="_Toc69877915"/>
      <w:r>
        <w:t>Part 1 Section 17.4.19, headers (Header Cells Associated With Table Cell)</w:t>
      </w:r>
      <w:bookmarkEnd w:id="284"/>
      <w:bookmarkEnd w:id="285"/>
      <w:r>
        <w:fldChar w:fldCharType="begin"/>
      </w:r>
      <w:r>
        <w:instrText xml:space="preserve"> XE "headers (Header Cells Associated With Table Cell)" </w:instrText>
      </w:r>
      <w:r>
        <w:fldChar w:fldCharType="end"/>
      </w:r>
    </w:p>
    <w:p w:rsidR="005F78FC" w:rsidRDefault="00B42EF3">
      <w:pPr>
        <w:pStyle w:val="Definition-Field"/>
      </w:pPr>
      <w:r>
        <w:t xml:space="preserve">a.   </w:t>
      </w:r>
      <w:r>
        <w:rPr>
          <w:i/>
        </w:rPr>
        <w:t>The standard specifies the list of header cells, as specified by child header elements, that provide</w:t>
      </w:r>
      <w:r>
        <w:rPr>
          <w:i/>
        </w:rPr>
        <w:t xml:space="preserve"> header information associated with the current table cell.</w:t>
      </w:r>
    </w:p>
    <w:p w:rsidR="005F78FC" w:rsidRDefault="00B42EF3">
      <w:pPr>
        <w:pStyle w:val="Definition-Field2"/>
      </w:pPr>
      <w:r>
        <w:t>Word always ignores this element.</w:t>
      </w:r>
    </w:p>
    <w:p w:rsidR="005F78FC" w:rsidRDefault="00B42EF3">
      <w:pPr>
        <w:pStyle w:val="Heading3"/>
      </w:pPr>
      <w:bookmarkStart w:id="286" w:name="section_be9bdcbbf5ff45f9912044d8a545773b"/>
      <w:bookmarkStart w:id="287" w:name="_Toc69877916"/>
      <w:r>
        <w:t>Part 1 Section 17.4.20, hidden (Hidden Table Row Marker)</w:t>
      </w:r>
      <w:bookmarkEnd w:id="286"/>
      <w:bookmarkEnd w:id="287"/>
      <w:r>
        <w:fldChar w:fldCharType="begin"/>
      </w:r>
      <w:r>
        <w:instrText xml:space="preserve"> XE "hidden (Hidden Table Row Marker)" </w:instrText>
      </w:r>
      <w:r>
        <w:fldChar w:fldCharType="end"/>
      </w:r>
    </w:p>
    <w:p w:rsidR="005F78FC" w:rsidRDefault="00B42EF3">
      <w:pPr>
        <w:pStyle w:val="Definition-Field"/>
      </w:pPr>
      <w:r>
        <w:t xml:space="preserve">a.   </w:t>
      </w:r>
      <w:r>
        <w:rPr>
          <w:i/>
        </w:rPr>
        <w:t>The standard allows the hidden element inside a table style</w:t>
      </w:r>
      <w:r>
        <w:rPr>
          <w:i/>
        </w:rPr>
        <w:t xml:space="preserve"> definition.</w:t>
      </w:r>
    </w:p>
    <w:p w:rsidR="005F78FC" w:rsidRDefault="00B42EF3">
      <w:pPr>
        <w:pStyle w:val="Definition-Field2"/>
      </w:pPr>
      <w:r>
        <w:lastRenderedPageBreak/>
        <w:t>Word ignores the hidden element inside a table style definition.</w:t>
      </w:r>
    </w:p>
    <w:p w:rsidR="005F78FC" w:rsidRDefault="00B42EF3">
      <w:pPr>
        <w:pStyle w:val="Heading3"/>
      </w:pPr>
      <w:bookmarkStart w:id="288" w:name="section_c0865addb937497b8bea368b654b6329"/>
      <w:bookmarkStart w:id="289" w:name="_Toc69877917"/>
      <w:r>
        <w:t>Part 1 Section 17.4.21, hideMark (Ignore End Of Cell Marker In Row Height Calculation)</w:t>
      </w:r>
      <w:bookmarkEnd w:id="288"/>
      <w:bookmarkEnd w:id="289"/>
      <w:r>
        <w:fldChar w:fldCharType="begin"/>
      </w:r>
      <w:r>
        <w:instrText xml:space="preserve"> XE "hideMark (Ignore End Of Cell Marker In Row Height Calculation)" </w:instrText>
      </w:r>
      <w:r>
        <w:fldChar w:fldCharType="end"/>
      </w:r>
    </w:p>
    <w:p w:rsidR="005F78FC" w:rsidRDefault="00B42EF3">
      <w:pPr>
        <w:pStyle w:val="Definition-Field2"/>
      </w:pPr>
      <w:r>
        <w:rPr>
          <w:i/>
        </w:rPr>
        <w:t>For additional notes</w:t>
      </w:r>
      <w:r>
        <w:rPr>
          <w:i/>
        </w:rPr>
        <w:t xml:space="preserve">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5F78FC" w:rsidRDefault="00B42EF3">
      <w:pPr>
        <w:pStyle w:val="Heading3"/>
      </w:pPr>
      <w:bookmarkStart w:id="290" w:name="section_6afd824014e0455da0b3c6c90e2cde22"/>
      <w:bookmarkStart w:id="291" w:name="_Toc69877918"/>
      <w:r>
        <w:t>Part 1 Section 17.4.22, insideH (Table Inside Horizontal Edges Border)</w:t>
      </w:r>
      <w:bookmarkEnd w:id="290"/>
      <w:bookmarkEnd w:id="291"/>
      <w:r>
        <w:fldChar w:fldCharType="begin"/>
      </w:r>
      <w:r>
        <w:instrText xml:space="preserve"> XE "insideH (Table Inside Horizontal Edges Border)"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5F78FC" w:rsidRDefault="00B42EF3">
      <w:pPr>
        <w:pStyle w:val="Heading3"/>
      </w:pPr>
      <w:bookmarkStart w:id="292" w:name="section_5185d2f77b5c4e9884ff5efb17b43913"/>
      <w:bookmarkStart w:id="293" w:name="_Toc69877919"/>
      <w:r>
        <w:t>Part 1 Section 17.4.23, insideH (Table Cell I</w:t>
      </w:r>
      <w:r>
        <w:t>nside Horizontal Edges Border)</w:t>
      </w:r>
      <w:bookmarkEnd w:id="292"/>
      <w:bookmarkEnd w:id="293"/>
      <w:r>
        <w:fldChar w:fldCharType="begin"/>
      </w:r>
      <w:r>
        <w:instrText xml:space="preserve"> XE "insideH (Table Cell Inside Horizontal Edges Border)"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c2a35f2312704ca699140fa440d56fdf">
        <w:r>
          <w:rPr>
            <w:rStyle w:val="Hyperlink"/>
          </w:rPr>
          <w:t>bar, §17.3.1</w:t>
        </w:r>
        <w:r>
          <w:rPr>
            <w:rStyle w:val="Hyperlink"/>
          </w:rPr>
          <w:t>.4(a-c)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5F78FC" w:rsidRDefault="00B42EF3">
      <w:pPr>
        <w:pStyle w:val="Definition-Field"/>
      </w:pPr>
      <w:r>
        <w:t xml:space="preserve">a.   </w:t>
      </w:r>
      <w:r>
        <w:rPr>
          <w:i/>
        </w:rPr>
        <w:t>The standard states that if the table has cell spacing then inside horizont</w:t>
      </w:r>
      <w:r>
        <w:rPr>
          <w:i/>
        </w:rPr>
        <w:t>al borders are displayed.</w:t>
      </w:r>
    </w:p>
    <w:p w:rsidR="005F78FC" w:rsidRDefault="00B42EF3">
      <w:pPr>
        <w:pStyle w:val="Definition-Field2"/>
      </w:pPr>
      <w:r>
        <w:t>In Word, when a table has cell spacing, the appearance of the insideH border is still subject to the conflict resolution algorithm defined by the tcBorders and tblBorders elements.</w:t>
      </w:r>
    </w:p>
    <w:p w:rsidR="005F78FC" w:rsidRDefault="00B42EF3">
      <w:pPr>
        <w:pStyle w:val="Heading3"/>
      </w:pPr>
      <w:bookmarkStart w:id="294" w:name="section_1225ff9613a84d70a653beb61ffebd0e"/>
      <w:bookmarkStart w:id="295" w:name="_Toc69877920"/>
      <w:r>
        <w:t>Part 1 Section 17.4.24, insideV (Table Inside Ver</w:t>
      </w:r>
      <w:r>
        <w:t>tical Edges Border)</w:t>
      </w:r>
      <w:bookmarkEnd w:id="294"/>
      <w:bookmarkEnd w:id="295"/>
      <w:r>
        <w:fldChar w:fldCharType="begin"/>
      </w:r>
      <w:r>
        <w:instrText xml:space="preserve"> XE "insideV (Table Inside Vertical Edges Border)"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5F78FC" w:rsidRDefault="00B42EF3">
      <w:pPr>
        <w:pStyle w:val="Heading3"/>
      </w:pPr>
      <w:bookmarkStart w:id="296" w:name="section_f1da490f467b4fb4bfd63e97f4752417"/>
      <w:bookmarkStart w:id="297" w:name="_Toc69877921"/>
      <w:r>
        <w:t>Part 1 Section 17.4.25, insideV (Table Cell Inside Vertical Edges Border)</w:t>
      </w:r>
      <w:bookmarkEnd w:id="296"/>
      <w:bookmarkEnd w:id="297"/>
      <w:r>
        <w:fldChar w:fldCharType="begin"/>
      </w:r>
      <w:r>
        <w:instrText xml:space="preserve"> XE "insideV (Table Cell </w:instrText>
      </w:r>
      <w:r>
        <w:instrText xml:space="preserve">Inside Vertical Edges Border)"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5F78FC" w:rsidRDefault="00B42EF3">
      <w:pPr>
        <w:pStyle w:val="Definition-Field"/>
      </w:pPr>
      <w:r>
        <w:t xml:space="preserve">a.   </w:t>
      </w:r>
      <w:r>
        <w:rPr>
          <w:i/>
        </w:rPr>
        <w:t>The standard states that if the table has cell spacing then inside vertical borders ar</w:t>
      </w:r>
      <w:r>
        <w:rPr>
          <w:i/>
        </w:rPr>
        <w:t>e displayed.</w:t>
      </w:r>
    </w:p>
    <w:p w:rsidR="005F78FC" w:rsidRDefault="00B42EF3">
      <w:pPr>
        <w:pStyle w:val="Definition-Field2"/>
      </w:pPr>
      <w:r>
        <w:t>In Word, when a table has cell spacing the appearance of the insideV border is still subject to the conflict resolution algorithm defined by the tcBorders and tblBorders elements.</w:t>
      </w:r>
    </w:p>
    <w:p w:rsidR="005F78FC" w:rsidRDefault="00B42EF3">
      <w:pPr>
        <w:pStyle w:val="Heading3"/>
      </w:pPr>
      <w:bookmarkStart w:id="298" w:name="section_965040fb3191460bb92da50fa1e5d441"/>
      <w:bookmarkStart w:id="299" w:name="_Toc69877922"/>
      <w:r>
        <w:t>Part 1 Section 17.4.26, jc (Table Alignment Exception)</w:t>
      </w:r>
      <w:bookmarkEnd w:id="298"/>
      <w:bookmarkEnd w:id="299"/>
      <w:r>
        <w:fldChar w:fldCharType="begin"/>
      </w:r>
      <w:r>
        <w:instrText xml:space="preserve"> XE "jc (Table Alignment Exception)"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182e6a3c70ea4ba1bcd001caa609fcdf">
        <w:r>
          <w:rPr>
            <w:rStyle w:val="Hyperlink"/>
          </w:rPr>
          <w:t>lvlJc, §17.9.7(a)</w:t>
        </w:r>
      </w:hyperlink>
      <w:r>
        <w:rPr>
          <w:i/>
        </w:rPr>
        <w:t>.</w:t>
      </w:r>
    </w:p>
    <w:p w:rsidR="005F78FC" w:rsidRDefault="00B42EF3">
      <w:pPr>
        <w:pStyle w:val="Heading3"/>
      </w:pPr>
      <w:bookmarkStart w:id="300" w:name="section_e28be190a4304bd5a38b7145b3d6afe5"/>
      <w:bookmarkStart w:id="301" w:name="_Toc69877923"/>
      <w:r>
        <w:t>Part 1 Section 17.4.27, jc (Table Row Alignm</w:t>
      </w:r>
      <w:r>
        <w:t>ent)</w:t>
      </w:r>
      <w:bookmarkEnd w:id="300"/>
      <w:bookmarkEnd w:id="301"/>
      <w:r>
        <w:fldChar w:fldCharType="begin"/>
      </w:r>
      <w:r>
        <w:instrText xml:space="preserve"> XE "jc (Table Row Alignment)"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182e6a3c70ea4ba1bcd001caa609fcdf">
        <w:r>
          <w:rPr>
            <w:rStyle w:val="Hyperlink"/>
          </w:rPr>
          <w:t>lvlJc, §17.9.7(a)</w:t>
        </w:r>
      </w:hyperlink>
      <w:r>
        <w:rPr>
          <w:i/>
        </w:rPr>
        <w:t>.</w:t>
      </w:r>
    </w:p>
    <w:p w:rsidR="005F78FC" w:rsidRDefault="00B42EF3">
      <w:pPr>
        <w:pStyle w:val="Heading3"/>
      </w:pPr>
      <w:bookmarkStart w:id="302" w:name="section_ae3c5af0e77f4428ba4162f8fd5fc7c6"/>
      <w:bookmarkStart w:id="303" w:name="_Toc69877924"/>
      <w:r>
        <w:t>Part 1 Section 17.4.28, jc (Table Alignment)</w:t>
      </w:r>
      <w:bookmarkEnd w:id="302"/>
      <w:bookmarkEnd w:id="303"/>
      <w:r>
        <w:fldChar w:fldCharType="begin"/>
      </w:r>
      <w:r>
        <w:instrText xml:space="preserve"> X</w:instrText>
      </w:r>
      <w:r>
        <w:instrText xml:space="preserve">E "jc (Table Alignment)" </w:instrText>
      </w:r>
      <w:r>
        <w:fldChar w:fldCharType="end"/>
      </w:r>
    </w:p>
    <w:p w:rsidR="005F78FC" w:rsidRDefault="00B42EF3">
      <w:pPr>
        <w:pStyle w:val="Definition-Field"/>
      </w:pPr>
      <w:r>
        <w:t xml:space="preserve">a.   </w:t>
      </w:r>
      <w:r>
        <w:rPr>
          <w:i/>
        </w:rPr>
        <w:t>The standard states that the table shall be left justified with zero indentation from the leading margin when no table alignment is specified in the style hierarchy.</w:t>
      </w:r>
    </w:p>
    <w:p w:rsidR="005F78FC" w:rsidRDefault="00B42EF3">
      <w:pPr>
        <w:pStyle w:val="Definition-Field2"/>
      </w:pPr>
      <w:r>
        <w:t>Word honors indentation under this circumstance.</w:t>
      </w:r>
    </w:p>
    <w:p w:rsidR="005F78FC" w:rsidRDefault="00B42EF3">
      <w:pPr>
        <w:pStyle w:val="Heading3"/>
      </w:pPr>
      <w:bookmarkStart w:id="304" w:name="section_a7c8261dea1c4fc6a131fc0e48c5176e"/>
      <w:bookmarkStart w:id="305" w:name="_Toc69877925"/>
      <w:r>
        <w:lastRenderedPageBreak/>
        <w:t>Part 1 S</w:t>
      </w:r>
      <w:r>
        <w:t>ection 17.4.30, shd (Table Shading Exception)</w:t>
      </w:r>
      <w:bookmarkEnd w:id="304"/>
      <w:bookmarkEnd w:id="305"/>
      <w:r>
        <w:fldChar w:fldCharType="begin"/>
      </w:r>
      <w:r>
        <w:instrText xml:space="preserve"> XE "shd (Table Shading Exception)"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4f0cccae70c2492abc943ccc39172119">
        <w:r>
          <w:rPr>
            <w:rStyle w:val="Hyperlink"/>
          </w:rPr>
          <w:t>shd, §17.4.32(a,d)</w:t>
        </w:r>
      </w:hyperlink>
      <w:r>
        <w:rPr>
          <w:i/>
        </w:rPr>
        <w:t>.</w:t>
      </w:r>
    </w:p>
    <w:p w:rsidR="005F78FC" w:rsidRDefault="00B42EF3">
      <w:pPr>
        <w:pStyle w:val="Definition-Field"/>
      </w:pPr>
      <w:r>
        <w:t xml:space="preserve">a.   </w:t>
      </w:r>
      <w:r>
        <w:rPr>
          <w:i/>
        </w:rPr>
        <w:t>The standard states that table shading is applied to cells in the table.</w:t>
      </w:r>
    </w:p>
    <w:p w:rsidR="005F78FC" w:rsidRDefault="00B42EF3">
      <w:pPr>
        <w:pStyle w:val="Definition-Field2"/>
      </w:pPr>
      <w:r>
        <w:t>Word applies table shading only to the cell spacing of the table.</w:t>
      </w:r>
    </w:p>
    <w:p w:rsidR="005F78FC" w:rsidRDefault="00B42EF3">
      <w:pPr>
        <w:pStyle w:val="Definition-Field"/>
      </w:pPr>
      <w:r>
        <w:t xml:space="preserve">b.   </w:t>
      </w:r>
      <w:r>
        <w:rPr>
          <w:i/>
        </w:rPr>
        <w:t>The standard specifies that the val attribute is both required and optional.</w:t>
      </w:r>
    </w:p>
    <w:p w:rsidR="005F78FC" w:rsidRDefault="00B42EF3">
      <w:pPr>
        <w:pStyle w:val="Definition-Field2"/>
      </w:pPr>
      <w:r>
        <w:t>Word treats the val attribute</w:t>
      </w:r>
      <w:r>
        <w:t xml:space="preserve"> as required.</w:t>
      </w:r>
    </w:p>
    <w:p w:rsidR="005F78FC" w:rsidRDefault="00B42EF3">
      <w:pPr>
        <w:pStyle w:val="Heading3"/>
      </w:pPr>
      <w:bookmarkStart w:id="306" w:name="section_ee110ab2af6a4ee8923d9a12a2fe65ab"/>
      <w:bookmarkStart w:id="307" w:name="_Toc69877926"/>
      <w:r>
        <w:t>Part 1 Section 17.4.31, shd (Table Shading)</w:t>
      </w:r>
      <w:bookmarkEnd w:id="306"/>
      <w:bookmarkEnd w:id="307"/>
      <w:r>
        <w:fldChar w:fldCharType="begin"/>
      </w:r>
      <w:r>
        <w:instrText xml:space="preserve"> XE "shd (Table Shading)"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4f0cccae70c2492abc943ccc39172119">
        <w:r>
          <w:rPr>
            <w:rStyle w:val="Hyperlink"/>
          </w:rPr>
          <w:t>shd, §17.4.32(a,d</w:t>
        </w:r>
        <w:r>
          <w:rPr>
            <w:rStyle w:val="Hyperlink"/>
          </w:rPr>
          <w:t>)</w:t>
        </w:r>
      </w:hyperlink>
      <w:r>
        <w:rPr>
          <w:i/>
        </w:rPr>
        <w:t>.</w:t>
      </w:r>
    </w:p>
    <w:p w:rsidR="005F78FC" w:rsidRDefault="00B42EF3">
      <w:pPr>
        <w:pStyle w:val="Definition-Field"/>
      </w:pPr>
      <w:r>
        <w:t xml:space="preserve">a.   </w:t>
      </w:r>
      <w:r>
        <w:rPr>
          <w:i/>
        </w:rPr>
        <w:t>The standard states that table shading is applied to cells in the table.</w:t>
      </w:r>
    </w:p>
    <w:p w:rsidR="005F78FC" w:rsidRDefault="00B42EF3">
      <w:pPr>
        <w:pStyle w:val="Definition-Field2"/>
      </w:pPr>
      <w:r>
        <w:t>Word applies table shading only to the cell spacing of the table.</w:t>
      </w:r>
    </w:p>
    <w:p w:rsidR="005F78FC" w:rsidRDefault="00B42EF3">
      <w:pPr>
        <w:pStyle w:val="Definition-Field"/>
      </w:pPr>
      <w:r>
        <w:t xml:space="preserve">b.   </w:t>
      </w:r>
      <w:r>
        <w:rPr>
          <w:i/>
        </w:rPr>
        <w:t>The standard specifies that the val attribute is both required and optional.</w:t>
      </w:r>
    </w:p>
    <w:p w:rsidR="005F78FC" w:rsidRDefault="00B42EF3">
      <w:pPr>
        <w:pStyle w:val="Definition-Field2"/>
      </w:pPr>
      <w:r>
        <w:t>Word treats the val attribu</w:t>
      </w:r>
      <w:r>
        <w:t>te as required.</w:t>
      </w:r>
    </w:p>
    <w:p w:rsidR="005F78FC" w:rsidRDefault="00B42EF3">
      <w:pPr>
        <w:pStyle w:val="Heading3"/>
      </w:pPr>
      <w:bookmarkStart w:id="308" w:name="section_4f0cccae70c2492abc943ccc39172119"/>
      <w:bookmarkStart w:id="309" w:name="_Toc69877927"/>
      <w:r>
        <w:t>Part 1 Section 17.4.32, shd (Table Cell Shading)</w:t>
      </w:r>
      <w:bookmarkEnd w:id="308"/>
      <w:bookmarkEnd w:id="309"/>
      <w:r>
        <w:fldChar w:fldCharType="begin"/>
      </w:r>
      <w:r>
        <w:instrText xml:space="preserve"> XE "shd (Table Cell Shading)" </w:instrText>
      </w:r>
      <w:r>
        <w:fldChar w:fldCharType="end"/>
      </w:r>
    </w:p>
    <w:p w:rsidR="005F78FC" w:rsidRDefault="00B42EF3">
      <w:pPr>
        <w:pStyle w:val="Definition-Field"/>
      </w:pPr>
      <w:r>
        <w:t xml:space="preserve">a.   </w:t>
      </w:r>
      <w:r>
        <w:rPr>
          <w:i/>
        </w:rPr>
        <w:t>The standard does not state which setting is applied when both the themeShade and the themeTint attributes are present.</w:t>
      </w:r>
    </w:p>
    <w:p w:rsidR="005F78FC" w:rsidRDefault="00B42EF3">
      <w:pPr>
        <w:pStyle w:val="Definition-Field2"/>
      </w:pPr>
      <w:r>
        <w:t>Word applies the themeTint settin</w:t>
      </w:r>
      <w:r>
        <w:t>g when both of these attributes are present.</w:t>
      </w:r>
    </w:p>
    <w:p w:rsidR="005F78FC" w:rsidRDefault="00B42EF3">
      <w:pPr>
        <w:pStyle w:val="Definition-Field"/>
      </w:pPr>
      <w:r>
        <w:t xml:space="preserve">b.   </w:t>
      </w:r>
      <w:r>
        <w:rPr>
          <w:i/>
        </w:rPr>
        <w:t>The standard states that if the shd element is omitted, then the cell shading is determined by the table-level or table-level exception cell shading settings.</w:t>
      </w:r>
    </w:p>
    <w:p w:rsidR="005F78FC" w:rsidRDefault="00B42EF3">
      <w:pPr>
        <w:pStyle w:val="Definition-Field2"/>
      </w:pPr>
      <w:r>
        <w:t>In Word if the shd element is omitted, then the</w:t>
      </w:r>
      <w:r>
        <w:t xml:space="preserve"> cell shading is determined by the table style.</w:t>
      </w:r>
    </w:p>
    <w:p w:rsidR="005F78FC" w:rsidRDefault="00B42EF3">
      <w:pPr>
        <w:pStyle w:val="Definition-Field"/>
      </w:pPr>
      <w:r>
        <w:t xml:space="preserve">c.   </w:t>
      </w:r>
      <w:r>
        <w:rPr>
          <w:i/>
        </w:rPr>
        <w:t>The standard specifies that the val attribute is both required and optional.</w:t>
      </w:r>
    </w:p>
    <w:p w:rsidR="005F78FC" w:rsidRDefault="00B42EF3">
      <w:pPr>
        <w:pStyle w:val="Definition-Field2"/>
      </w:pPr>
      <w:r>
        <w:t>Word treats the val attribute as required.</w:t>
      </w:r>
    </w:p>
    <w:p w:rsidR="005F78FC" w:rsidRDefault="00B42EF3">
      <w:pPr>
        <w:pStyle w:val="Definition-Field"/>
      </w:pPr>
      <w:r>
        <w:t xml:space="preserve">d.   </w:t>
      </w:r>
      <w:r>
        <w:rPr>
          <w:i/>
        </w:rPr>
        <w:t xml:space="preserve">The standard states that if the themeFill attribute is omitted, the color </w:t>
      </w:r>
      <w:r>
        <w:rPr>
          <w:i/>
        </w:rPr>
        <w:t>attribute is used.</w:t>
      </w:r>
    </w:p>
    <w:p w:rsidR="005F78FC" w:rsidRDefault="00B42EF3">
      <w:pPr>
        <w:pStyle w:val="Definition-Field2"/>
      </w:pPr>
      <w:r>
        <w:t>Because themeFill is the theme color equivalent of fill, if themeFill is omitted, Word uses the fill attribute in its place.</w:t>
      </w:r>
    </w:p>
    <w:p w:rsidR="005F78FC" w:rsidRDefault="00B42EF3">
      <w:pPr>
        <w:pStyle w:val="Heading3"/>
      </w:pPr>
      <w:bookmarkStart w:id="310" w:name="section_e904b9013e03484fa606b4c9ac291538"/>
      <w:bookmarkStart w:id="311" w:name="_Toc69877928"/>
      <w:r>
        <w:t>Part 1 Section 17.4.33, start (Table Cell Leading Edge Border)</w:t>
      </w:r>
      <w:bookmarkEnd w:id="310"/>
      <w:bookmarkEnd w:id="311"/>
      <w:r>
        <w:fldChar w:fldCharType="begin"/>
      </w:r>
      <w:r>
        <w:instrText xml:space="preserve"> XE "start (Table Cell Leading Edge Border)"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5F78FC" w:rsidRDefault="00B42EF3">
      <w:pPr>
        <w:pStyle w:val="Heading3"/>
      </w:pPr>
      <w:bookmarkStart w:id="312" w:name="section_7764bed5db624323ad79ac21e1b96f45"/>
      <w:bookmarkStart w:id="313" w:name="_Toc69877929"/>
      <w:r>
        <w:t>Part 1 Section 17.4.34, start (Table Cell Leading Margin Default)</w:t>
      </w:r>
      <w:bookmarkEnd w:id="312"/>
      <w:bookmarkEnd w:id="313"/>
      <w:r>
        <w:fldChar w:fldCharType="begin"/>
      </w:r>
      <w:r>
        <w:instrText xml:space="preserve"> XE "start (Table Cell Leading Margin Default)" </w:instrText>
      </w:r>
      <w:r>
        <w:fldChar w:fldCharType="end"/>
      </w:r>
    </w:p>
    <w:p w:rsidR="005F78FC" w:rsidRDefault="00B42EF3">
      <w:pPr>
        <w:pStyle w:val="Definition-Field"/>
      </w:pPr>
      <w:r>
        <w:t xml:space="preserve">a.   </w:t>
      </w:r>
      <w:r>
        <w:rPr>
          <w:i/>
        </w:rPr>
        <w:t>The standard states that any width value of type p</w:t>
      </w:r>
      <w:r>
        <w:rPr>
          <w:i/>
        </w:rPr>
        <w:t>ct or auto for this element shall be ignored.</w:t>
      </w:r>
    </w:p>
    <w:p w:rsidR="005F78FC" w:rsidRDefault="00B42EF3">
      <w:pPr>
        <w:pStyle w:val="Definition-Field2"/>
      </w:pPr>
      <w:r>
        <w:t>Word uses a default value of 0 for the width when the value of the type attribute is pct or auto.</w:t>
      </w:r>
    </w:p>
    <w:p w:rsidR="005F78FC" w:rsidRDefault="00B42EF3">
      <w:pPr>
        <w:pStyle w:val="Heading3"/>
      </w:pPr>
      <w:bookmarkStart w:id="314" w:name="section_799ae85c14ec4a04a583768fbb6a05aa"/>
      <w:bookmarkStart w:id="315" w:name="_Toc69877930"/>
      <w:r>
        <w:lastRenderedPageBreak/>
        <w:t>Part 1 Section 17.4.35, start (Table Cell Leading Margin Exception)</w:t>
      </w:r>
      <w:bookmarkEnd w:id="314"/>
      <w:bookmarkEnd w:id="315"/>
      <w:r>
        <w:fldChar w:fldCharType="begin"/>
      </w:r>
      <w:r>
        <w:instrText xml:space="preserve"> XE "start (Table Cell Leading Margin Excepti</w:instrText>
      </w:r>
      <w:r>
        <w:instrText xml:space="preserve">on)"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5F78FC" w:rsidRDefault="00B42EF3">
      <w:pPr>
        <w:pStyle w:val="Definition-Field"/>
      </w:pPr>
      <w:r>
        <w:t xml:space="preserve">a.   </w:t>
      </w:r>
      <w:r>
        <w:rPr>
          <w:i/>
        </w:rPr>
        <w:t>The standard states that a 'type' attribute value of "nil" specifies tha</w:t>
      </w:r>
      <w:r>
        <w:rPr>
          <w:i/>
        </w:rPr>
        <w:t>t the current width is 0.</w:t>
      </w:r>
    </w:p>
    <w:p w:rsidR="005F78FC" w:rsidRDefault="00B42EF3">
      <w:pPr>
        <w:pStyle w:val="Definition-Field2"/>
      </w:pPr>
      <w:r>
        <w:t>Word ignores this element when the 'type' attribute has a value of "nil".</w:t>
      </w:r>
    </w:p>
    <w:p w:rsidR="005F78FC" w:rsidRDefault="00B42EF3">
      <w:pPr>
        <w:pStyle w:val="Heading3"/>
      </w:pPr>
      <w:bookmarkStart w:id="316" w:name="section_af57788ba32349a883cd0014c2f7c89e"/>
      <w:bookmarkStart w:id="317" w:name="_Toc69877931"/>
      <w:r>
        <w:t>Part 1 Section 17.4.36, start (Table Leading Edge Border)</w:t>
      </w:r>
      <w:bookmarkEnd w:id="316"/>
      <w:bookmarkEnd w:id="317"/>
      <w:r>
        <w:fldChar w:fldCharType="begin"/>
      </w:r>
      <w:r>
        <w:instrText xml:space="preserve"> XE "start (Table Leading Edge Border)" </w:instrText>
      </w:r>
      <w:r>
        <w:fldChar w:fldCharType="end"/>
      </w:r>
    </w:p>
    <w:p w:rsidR="005F78FC" w:rsidRDefault="00B42EF3">
      <w:pPr>
        <w:pStyle w:val="Definition-Field2"/>
      </w:pPr>
      <w:r>
        <w:rPr>
          <w:i/>
        </w:rPr>
        <w:t>For additional notes that apply to this portion of the s</w:t>
      </w:r>
      <w:r>
        <w:rPr>
          <w:i/>
        </w:rPr>
        <w:t xml:space="preserve">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5F78FC" w:rsidRDefault="00B42EF3">
      <w:pPr>
        <w:pStyle w:val="Heading3"/>
      </w:pPr>
      <w:bookmarkStart w:id="318" w:name="section_232ad787a0444a52851db4544c285aab"/>
      <w:bookmarkStart w:id="319" w:name="_Toc69877932"/>
      <w:r>
        <w:t>Part 1 Section 17.4.37, tbl (Table)</w:t>
      </w:r>
      <w:bookmarkEnd w:id="318"/>
      <w:bookmarkEnd w:id="319"/>
      <w:r>
        <w:fldChar w:fldCharType="begin"/>
      </w:r>
      <w:r>
        <w:instrText xml:space="preserve"> XE "tbl (Table)"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ab7a0345712e4eef9bcc80c37e68d9bb">
        <w:r>
          <w:rPr>
            <w:rStyle w:val="Hyperlink"/>
          </w:rPr>
          <w:t>oMath, §22.1.2.77(</w:t>
        </w:r>
        <w:r>
          <w:rPr>
            <w:rStyle w:val="Hyperlink"/>
          </w:rPr>
          <w:t>f)</w:t>
        </w:r>
      </w:hyperlink>
      <w:r>
        <w:rPr>
          <w:i/>
        </w:rPr>
        <w:t xml:space="preserve">; </w:t>
      </w:r>
      <w:hyperlink w:anchor="Section_23e0c1c94abb4c75acc27583040e774d">
        <w:r>
          <w:rPr>
            <w:rStyle w:val="Hyperlink"/>
          </w:rPr>
          <w:t>oMathPara, §22.1.2.78(c)</w:t>
        </w:r>
      </w:hyperlink>
      <w:r>
        <w:rPr>
          <w:i/>
        </w:rPr>
        <w:t>.</w:t>
      </w:r>
    </w:p>
    <w:p w:rsidR="005F78FC" w:rsidRDefault="00B42EF3">
      <w:pPr>
        <w:pStyle w:val="Definition-Field"/>
      </w:pPr>
      <w:r>
        <w:t xml:space="preserve">a.   </w:t>
      </w:r>
      <w:r>
        <w:rPr>
          <w:i/>
        </w:rPr>
        <w:t>The standard states that when two tbl elements having the same style are present within the document content, without any intervening p elements, the correspo</w:t>
      </w:r>
      <w:r>
        <w:rPr>
          <w:i/>
        </w:rPr>
        <w:t>nding tables shall be treated as a single table.</w:t>
      </w:r>
    </w:p>
    <w:p w:rsidR="005F78FC" w:rsidRDefault="00B42EF3">
      <w:pPr>
        <w:pStyle w:val="Definition-Field2"/>
      </w:pPr>
      <w:r>
        <w:t>In Word, there is an exception to this behavior when at least one of the tables has an absolute position specified in its tblpPr element.  In this case, the corresponding tables are treated as distinct.</w:t>
      </w:r>
    </w:p>
    <w:p w:rsidR="005F78FC" w:rsidRDefault="00B42EF3">
      <w:pPr>
        <w:pStyle w:val="Heading3"/>
      </w:pPr>
      <w:bookmarkStart w:id="320" w:name="section_63aedc89c4c940628d5b385b09e2036a"/>
      <w:bookmarkStart w:id="321" w:name="_Toc69877933"/>
      <w:r>
        <w:t>Part</w:t>
      </w:r>
      <w:r>
        <w:t xml:space="preserve"> 1 Section 17.4.38, tblBorders (Table Borders)</w:t>
      </w:r>
      <w:bookmarkEnd w:id="320"/>
      <w:bookmarkEnd w:id="321"/>
      <w:r>
        <w:fldChar w:fldCharType="begin"/>
      </w:r>
      <w:r>
        <w:instrText xml:space="preserve"> XE "tblBorders (Table Borders)" </w:instrText>
      </w:r>
      <w:r>
        <w:fldChar w:fldCharType="end"/>
      </w:r>
    </w:p>
    <w:p w:rsidR="005F78FC" w:rsidRDefault="00B42EF3">
      <w:pPr>
        <w:pStyle w:val="Definition-Field"/>
      </w:pPr>
      <w:r>
        <w:t xml:space="preserve">a.   </w:t>
      </w:r>
      <w:r>
        <w:rPr>
          <w:i/>
        </w:rPr>
        <w:t>The standard specifies a method for resolving border conflicts.</w:t>
      </w:r>
    </w:p>
    <w:p w:rsidR="005F78FC" w:rsidRDefault="00B42EF3">
      <w:r>
        <w:t xml:space="preserve">In Word, when cell spacing is nonzero, </w:t>
      </w:r>
      <w:r>
        <w:rPr>
          <w:b/>
        </w:rPr>
        <w:t>insideH</w:t>
      </w:r>
      <w:r>
        <w:t xml:space="preserve"> and </w:t>
      </w:r>
      <w:r>
        <w:rPr>
          <w:b/>
        </w:rPr>
        <w:t>insideV</w:t>
      </w:r>
      <w:r>
        <w:t xml:space="preserve"> table-level exception borders may still confli</w:t>
      </w:r>
      <w:r>
        <w:t xml:space="preserve">ct with cell borders.  If there is a border conflict, it shall be resolved using the method describe in </w:t>
      </w:r>
      <w:r>
        <w:rPr>
          <w:b/>
        </w:rPr>
        <w:t>tcBorders</w:t>
      </w:r>
      <w:r>
        <w:t xml:space="preserve"> ("</w:t>
      </w:r>
      <w:hyperlink r:id="rId82">
        <w:r>
          <w:rPr>
            <w:rStyle w:val="Hyperlink"/>
          </w:rPr>
          <w:t>[ISO/IEC-29500-1]</w:t>
        </w:r>
      </w:hyperlink>
      <w:r>
        <w:t xml:space="preserve"> §17.4.66; tcBorders (Table Cell Borders)").</w:t>
      </w:r>
    </w:p>
    <w:p w:rsidR="005F78FC" w:rsidRDefault="00B42EF3">
      <w:pPr>
        <w:pStyle w:val="Definition-Field"/>
      </w:pPr>
      <w:r>
        <w:t xml:space="preserve">b.   </w:t>
      </w:r>
      <w:r>
        <w:rPr>
          <w:i/>
        </w:rPr>
        <w:t xml:space="preserve">The </w:t>
      </w:r>
      <w:r>
        <w:rPr>
          <w:i/>
        </w:rPr>
        <w:t>standard says that if cell spacing is nonzero, then there is no border conflict even though insideH and insideV table exception borders may conflict with cell borders.</w:t>
      </w:r>
    </w:p>
    <w:p w:rsidR="005F78FC" w:rsidRDefault="00B42EF3">
      <w:pPr>
        <w:pStyle w:val="Definition-Field2"/>
      </w:pPr>
      <w:r>
        <w:t>In Word, when cell spacing is nonzero, insideH and insideV table exception borders may s</w:t>
      </w:r>
      <w:r>
        <w:t>till conflict with cell borders.</w:t>
      </w:r>
    </w:p>
    <w:p w:rsidR="005F78FC" w:rsidRDefault="00B42EF3">
      <w:pPr>
        <w:pStyle w:val="Heading3"/>
      </w:pPr>
      <w:bookmarkStart w:id="322" w:name="section_c6c5d5c4206a4e0a9f1ecee1fe4ffe42"/>
      <w:bookmarkStart w:id="323" w:name="_Toc69877934"/>
      <w:r>
        <w:t>Part 1 Section 17.4.39, tblBorders (Table Borders Exceptions)</w:t>
      </w:r>
      <w:bookmarkEnd w:id="322"/>
      <w:bookmarkEnd w:id="323"/>
      <w:r>
        <w:fldChar w:fldCharType="begin"/>
      </w:r>
      <w:r>
        <w:instrText xml:space="preserve"> XE "tblBorders (Table Borders Exceptions)" </w:instrText>
      </w:r>
      <w:r>
        <w:fldChar w:fldCharType="end"/>
      </w:r>
    </w:p>
    <w:p w:rsidR="005F78FC" w:rsidRDefault="00B42EF3">
      <w:pPr>
        <w:pStyle w:val="Definition-Field"/>
      </w:pPr>
      <w:r>
        <w:t xml:space="preserve">a.   </w:t>
      </w:r>
      <w:r>
        <w:rPr>
          <w:i/>
        </w:rPr>
        <w:t>The standard specifies a method for resolving border conflicts.</w:t>
      </w:r>
    </w:p>
    <w:p w:rsidR="005F78FC" w:rsidRDefault="00B42EF3">
      <w:r>
        <w:t xml:space="preserve">In Word, when cell spacing is nonzero, </w:t>
      </w:r>
      <w:r>
        <w:rPr>
          <w:b/>
        </w:rPr>
        <w:t>insideH</w:t>
      </w:r>
      <w:r>
        <w:t xml:space="preserve"> and </w:t>
      </w:r>
      <w:r>
        <w:rPr>
          <w:b/>
        </w:rPr>
        <w:t>insideV</w:t>
      </w:r>
      <w:r>
        <w:t xml:space="preserve"> table-level exception borders may still conflict with cell borders.  If there is a border conflict, it shall be resolved using the method describe in </w:t>
      </w:r>
      <w:r>
        <w:rPr>
          <w:b/>
        </w:rPr>
        <w:t>tcBorders</w:t>
      </w:r>
      <w:r>
        <w:t xml:space="preserve"> ("</w:t>
      </w:r>
      <w:hyperlink r:id="rId83">
        <w:r>
          <w:rPr>
            <w:rStyle w:val="Hyperlink"/>
          </w:rPr>
          <w:t>[ISO/IEC-29500-</w:t>
        </w:r>
        <w:r>
          <w:rPr>
            <w:rStyle w:val="Hyperlink"/>
          </w:rPr>
          <w:t>1]</w:t>
        </w:r>
      </w:hyperlink>
      <w:r>
        <w:t xml:space="preserve"> §17.4.66; tcBorders (Table Cell Borders)").</w:t>
      </w:r>
    </w:p>
    <w:p w:rsidR="005F78FC" w:rsidRDefault="00B42EF3">
      <w:pPr>
        <w:pStyle w:val="Definition-Field"/>
      </w:pPr>
      <w:r>
        <w:t xml:space="preserve">b.   </w:t>
      </w:r>
      <w:r>
        <w:rPr>
          <w:i/>
        </w:rPr>
        <w:t>The standard says that if cell spacing is nonzero, then there is no border conflict even though insideH and insideV table exception borders may conflict with cell borders.</w:t>
      </w:r>
    </w:p>
    <w:p w:rsidR="005F78FC" w:rsidRDefault="00B42EF3">
      <w:pPr>
        <w:pStyle w:val="Definition-Field2"/>
      </w:pPr>
      <w:r>
        <w:t>In Word, when cell spacing is no</w:t>
      </w:r>
      <w:r>
        <w:t>nzero, insideH and insideV table exception borders may still conflict with cell borders.</w:t>
      </w:r>
    </w:p>
    <w:p w:rsidR="005F78FC" w:rsidRDefault="00B42EF3">
      <w:pPr>
        <w:pStyle w:val="Heading3"/>
      </w:pPr>
      <w:bookmarkStart w:id="324" w:name="section_6258617e410c4d38898eb9cda572b9fa"/>
      <w:bookmarkStart w:id="325" w:name="_Toc69877935"/>
      <w:r>
        <w:t>Part 1 Section 17.4.43, tblCellSpacing (Table Row Cell Spacing)</w:t>
      </w:r>
      <w:bookmarkEnd w:id="324"/>
      <w:bookmarkEnd w:id="325"/>
      <w:r>
        <w:fldChar w:fldCharType="begin"/>
      </w:r>
      <w:r>
        <w:instrText xml:space="preserve"> XE "tblCellSpacing (Table Row Cell Spacing)" </w:instrText>
      </w:r>
      <w:r>
        <w:fldChar w:fldCharType="end"/>
      </w:r>
    </w:p>
    <w:p w:rsidR="005F78FC" w:rsidRDefault="00B42EF3">
      <w:pPr>
        <w:pStyle w:val="Definition-Field"/>
      </w:pPr>
      <w:r>
        <w:t xml:space="preserve">a.   </w:t>
      </w:r>
      <w:r>
        <w:rPr>
          <w:i/>
        </w:rPr>
        <w:t xml:space="preserve">The standard states that any width value of type </w:t>
      </w:r>
      <w:r>
        <w:rPr>
          <w:i/>
        </w:rPr>
        <w:t>pct or auto for this element shall be ignored.</w:t>
      </w:r>
    </w:p>
    <w:p w:rsidR="005F78FC" w:rsidRDefault="00B42EF3">
      <w:pPr>
        <w:pStyle w:val="Definition-Field2"/>
      </w:pPr>
      <w:r>
        <w:lastRenderedPageBreak/>
        <w:t>Word uses a default value of 0 for the width when the value of the type attribute is pct or auto.</w:t>
      </w:r>
    </w:p>
    <w:p w:rsidR="005F78FC" w:rsidRDefault="00B42EF3">
      <w:pPr>
        <w:pStyle w:val="Heading3"/>
      </w:pPr>
      <w:bookmarkStart w:id="326" w:name="section_d0468dfd6e9c46d0bd3675fcb81c36e7"/>
      <w:bookmarkStart w:id="327" w:name="_Toc69877936"/>
      <w:r>
        <w:t>Part 1 Section 17.4.44, tblCellSpacing (Table Cell Spacing Exception)</w:t>
      </w:r>
      <w:bookmarkEnd w:id="326"/>
      <w:bookmarkEnd w:id="327"/>
      <w:r>
        <w:fldChar w:fldCharType="begin"/>
      </w:r>
      <w:r>
        <w:instrText xml:space="preserve"> XE "tblCellSpacing (Table Cell Spacing Ex</w:instrText>
      </w:r>
      <w:r>
        <w:instrText xml:space="preserve">ception)" </w:instrText>
      </w:r>
      <w:r>
        <w:fldChar w:fldCharType="end"/>
      </w:r>
    </w:p>
    <w:p w:rsidR="005F78FC" w:rsidRDefault="00B42EF3">
      <w:pPr>
        <w:pStyle w:val="Definition-Field"/>
      </w:pPr>
      <w:r>
        <w:t xml:space="preserve">a.   </w:t>
      </w:r>
      <w:r>
        <w:rPr>
          <w:i/>
        </w:rPr>
        <w:t>The standard states that any width value of type pct or auto for this element shall be ignored.</w:t>
      </w:r>
    </w:p>
    <w:p w:rsidR="005F78FC" w:rsidRDefault="00B42EF3">
      <w:pPr>
        <w:pStyle w:val="Definition-Field2"/>
      </w:pPr>
      <w:r>
        <w:t>Word uses a default value of 0 for the width when the value of the type attribute is pct or auto.</w:t>
      </w:r>
    </w:p>
    <w:p w:rsidR="005F78FC" w:rsidRDefault="00B42EF3">
      <w:pPr>
        <w:pStyle w:val="Heading3"/>
      </w:pPr>
      <w:bookmarkStart w:id="328" w:name="section_f8f75687e6b6442f8b5cd68b3664de5f"/>
      <w:bookmarkStart w:id="329" w:name="_Toc69877937"/>
      <w:r>
        <w:t>Part 1 Section 17.4.45, tblCellSpacing (Tabl</w:t>
      </w:r>
      <w:r>
        <w:t>e Cell Spacing Default)</w:t>
      </w:r>
      <w:bookmarkEnd w:id="328"/>
      <w:bookmarkEnd w:id="329"/>
      <w:r>
        <w:fldChar w:fldCharType="begin"/>
      </w:r>
      <w:r>
        <w:instrText xml:space="preserve"> XE "tblCellSpacing (Table Cell Spacing Default)" </w:instrText>
      </w:r>
      <w:r>
        <w:fldChar w:fldCharType="end"/>
      </w:r>
    </w:p>
    <w:p w:rsidR="005F78FC" w:rsidRDefault="00B42EF3">
      <w:pPr>
        <w:pStyle w:val="Definition-Field"/>
      </w:pPr>
      <w:r>
        <w:t xml:space="preserve">a.   </w:t>
      </w:r>
      <w:r>
        <w:rPr>
          <w:i/>
        </w:rPr>
        <w:t>The standard states that any width value of type pct or auto for this element shall be ignored.</w:t>
      </w:r>
    </w:p>
    <w:p w:rsidR="005F78FC" w:rsidRDefault="00B42EF3">
      <w:pPr>
        <w:pStyle w:val="Definition-Field2"/>
      </w:pPr>
      <w:r>
        <w:t>Word uses a default value of 0 for the width when the value of the type attribu</w:t>
      </w:r>
      <w:r>
        <w:t>te is pct or auto.</w:t>
      </w:r>
    </w:p>
    <w:p w:rsidR="005F78FC" w:rsidRDefault="00B42EF3">
      <w:pPr>
        <w:pStyle w:val="Heading3"/>
      </w:pPr>
      <w:bookmarkStart w:id="330" w:name="section_cd88a1fb76c6477dad02f4d5f74e4a06"/>
      <w:bookmarkStart w:id="331" w:name="_Toc69877938"/>
      <w:r>
        <w:t>Part 1 Section 17.4.50, tblInd (Table Indent from Leading Margin)</w:t>
      </w:r>
      <w:bookmarkEnd w:id="330"/>
      <w:bookmarkEnd w:id="331"/>
      <w:r>
        <w:fldChar w:fldCharType="begin"/>
      </w:r>
      <w:r>
        <w:instrText xml:space="preserve"> XE "tblInd (Table Indent from Leading Margin)" </w:instrText>
      </w:r>
      <w:r>
        <w:fldChar w:fldCharType="end"/>
      </w:r>
    </w:p>
    <w:p w:rsidR="005F78FC" w:rsidRDefault="00B42EF3">
      <w:pPr>
        <w:pStyle w:val="Definition-Field"/>
      </w:pPr>
      <w:r>
        <w:t xml:space="preserve">a.   </w:t>
      </w:r>
      <w:r>
        <w:rPr>
          <w:i/>
        </w:rPr>
        <w:t>The standard says tblInd is ignored if the justification is not left.</w:t>
      </w:r>
    </w:p>
    <w:p w:rsidR="005F78FC" w:rsidRDefault="00B42EF3">
      <w:pPr>
        <w:pStyle w:val="Definition-Field2"/>
      </w:pPr>
      <w:r>
        <w:t>Word does not ignore tblInd if the justificati</w:t>
      </w:r>
      <w:r>
        <w:t>on is not left.</w:t>
      </w:r>
    </w:p>
    <w:p w:rsidR="005F78FC" w:rsidRDefault="00B42EF3">
      <w:pPr>
        <w:pStyle w:val="Heading3"/>
      </w:pPr>
      <w:bookmarkStart w:id="332" w:name="section_eec0c73c18c2417699e614501f3a4ad7"/>
      <w:bookmarkStart w:id="333" w:name="_Toc69877939"/>
      <w:r>
        <w:t>Part 1 Section 17.4.51, tblInd (Table Indent from Leading Margin Exception)</w:t>
      </w:r>
      <w:bookmarkEnd w:id="332"/>
      <w:bookmarkEnd w:id="333"/>
      <w:r>
        <w:fldChar w:fldCharType="begin"/>
      </w:r>
      <w:r>
        <w:instrText xml:space="preserve"> XE "tblInd (Table Indent from Leading Margin Exception)" </w:instrText>
      </w:r>
      <w:r>
        <w:fldChar w:fldCharType="end"/>
      </w:r>
    </w:p>
    <w:p w:rsidR="005F78FC" w:rsidRDefault="00B42EF3">
      <w:pPr>
        <w:pStyle w:val="Definition-Field"/>
      </w:pPr>
      <w:r>
        <w:t xml:space="preserve">a.   </w:t>
      </w:r>
      <w:r>
        <w:rPr>
          <w:i/>
        </w:rPr>
        <w:t>The standard allows table indent exception to be set for any table row.</w:t>
      </w:r>
    </w:p>
    <w:p w:rsidR="005F78FC" w:rsidRDefault="00B42EF3">
      <w:pPr>
        <w:pStyle w:val="Definition-Field2"/>
      </w:pPr>
      <w:r>
        <w:t>Word applies table indent e</w:t>
      </w:r>
      <w:r>
        <w:t>xception to the whole table if the property is specified for the first table row and ignores this property if it is set for other table rows.</w:t>
      </w:r>
    </w:p>
    <w:p w:rsidR="005F78FC" w:rsidRDefault="00B42EF3">
      <w:pPr>
        <w:pStyle w:val="Definition-Field"/>
      </w:pPr>
      <w:r>
        <w:t xml:space="preserve">b.   </w:t>
      </w:r>
      <w:r>
        <w:rPr>
          <w:i/>
        </w:rPr>
        <w:t>The standard says tblInd is ignored if justification on the parent table row is not left.</w:t>
      </w:r>
    </w:p>
    <w:p w:rsidR="005F78FC" w:rsidRDefault="00B42EF3">
      <w:pPr>
        <w:pStyle w:val="Definition-Field2"/>
      </w:pPr>
      <w:r>
        <w:t>Word does not ignor</w:t>
      </w:r>
      <w:r>
        <w:t>e tblInd if the justification is not left.</w:t>
      </w:r>
    </w:p>
    <w:p w:rsidR="005F78FC" w:rsidRDefault="00B42EF3">
      <w:pPr>
        <w:pStyle w:val="Heading3"/>
      </w:pPr>
      <w:bookmarkStart w:id="334" w:name="section_ae22d06082974b719f701fdf3625132a"/>
      <w:bookmarkStart w:id="335" w:name="_Toc69877940"/>
      <w:r>
        <w:t>Part 1 Section 17.4.52, tblLayout (Table Layout)</w:t>
      </w:r>
      <w:bookmarkEnd w:id="334"/>
      <w:bookmarkEnd w:id="335"/>
      <w:r>
        <w:fldChar w:fldCharType="begin"/>
      </w:r>
      <w:r>
        <w:instrText xml:space="preserve"> XE "tblLayout (Table Layout)"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5F78FC" w:rsidRDefault="00B42EF3">
      <w:pPr>
        <w:pStyle w:val="Heading3"/>
      </w:pPr>
      <w:bookmarkStart w:id="336" w:name="section_b27e9e3afa724ac099292b5971588b2b"/>
      <w:bookmarkStart w:id="337" w:name="_Toc69877941"/>
      <w:r>
        <w:t>Part 1 Section 17.4.53, tblLayout (Table Layout Exception)</w:t>
      </w:r>
      <w:bookmarkEnd w:id="336"/>
      <w:bookmarkEnd w:id="337"/>
      <w:r>
        <w:fldChar w:fldCharType="begin"/>
      </w:r>
      <w:r>
        <w:instrText xml:space="preserve"> XE "tblLayout (Table Layout Exception)" </w:instrText>
      </w:r>
      <w:r>
        <w:fldChar w:fldCharType="end"/>
      </w:r>
    </w:p>
    <w:p w:rsidR="005F78FC" w:rsidRDefault="00B42EF3">
      <w:pPr>
        <w:pStyle w:val="Definition-Field"/>
      </w:pPr>
      <w:r>
        <w:t xml:space="preserve">a.   </w:t>
      </w:r>
      <w:r>
        <w:rPr>
          <w:i/>
        </w:rPr>
        <w:t xml:space="preserve">The standard states </w:t>
      </w:r>
      <w:r>
        <w:rPr>
          <w:i/>
        </w:rPr>
        <w:t>that the table layout exception can be used to set any table row's table layout to autofit or fixed.</w:t>
      </w:r>
    </w:p>
    <w:p w:rsidR="005F78FC" w:rsidRDefault="00B42EF3">
      <w:pPr>
        <w:pStyle w:val="Definition-Field2"/>
      </w:pPr>
      <w:r>
        <w:t xml:space="preserve">Word ignores this element if it is not in the first row of the table or if its value is autofit. If the value is not ignored, then it applies to the whole </w:t>
      </w:r>
      <w:r>
        <w:t>table.</w:t>
      </w:r>
    </w:p>
    <w:p w:rsidR="005F78FC" w:rsidRDefault="00B42EF3">
      <w:pPr>
        <w:pStyle w:val="Definition-Field"/>
      </w:pPr>
      <w:r>
        <w:t xml:space="preserve">b.   </w:t>
      </w:r>
      <w:r>
        <w:rPr>
          <w:i/>
        </w:rPr>
        <w:t>The standard states that if the tblLayout element is omitted, then the value defaults to autofit.</w:t>
      </w:r>
    </w:p>
    <w:p w:rsidR="005F78FC" w:rsidRDefault="00B42EF3">
      <w:pPr>
        <w:pStyle w:val="Definition-Field2"/>
      </w:pPr>
      <w:r>
        <w:t>In Word, if the tblLayout element is omitted, then the layout algorithm is determined by the default set of table properties on the parent table.</w:t>
      </w:r>
    </w:p>
    <w:p w:rsidR="005F78FC" w:rsidRDefault="00B42EF3">
      <w:pPr>
        <w:pStyle w:val="Heading3"/>
      </w:pPr>
      <w:bookmarkStart w:id="338" w:name="section_814bc31910274d3c9cc52276e470e4a2"/>
      <w:bookmarkStart w:id="339" w:name="_Toc69877942"/>
      <w:r>
        <w:t>Part 1 Section 17.4.54, tblLook (Table Style Conditional Formatting Settings Exception)</w:t>
      </w:r>
      <w:bookmarkEnd w:id="338"/>
      <w:bookmarkEnd w:id="339"/>
      <w:r>
        <w:fldChar w:fldCharType="begin"/>
      </w:r>
      <w:r>
        <w:instrText xml:space="preserve"> XE "tblLook (Table Style Conditional Formatting Settings Exception)" </w:instrText>
      </w:r>
      <w:r>
        <w:fldChar w:fldCharType="end"/>
      </w:r>
    </w:p>
    <w:p w:rsidR="005F78FC" w:rsidRDefault="00B42EF3">
      <w:pPr>
        <w:pStyle w:val="Definition-Field"/>
      </w:pPr>
      <w:r>
        <w:t xml:space="preserve">a.   </w:t>
      </w:r>
      <w:r>
        <w:rPr>
          <w:i/>
        </w:rPr>
        <w:t>The standard does not specify how to format corner cells when both a row style and an overl</w:t>
      </w:r>
      <w:r>
        <w:rPr>
          <w:i/>
        </w:rPr>
        <w:t>apping column style are determined by the options set in tblLook.</w:t>
      </w:r>
    </w:p>
    <w:p w:rsidR="005F78FC" w:rsidRDefault="00B42EF3">
      <w:r>
        <w:lastRenderedPageBreak/>
        <w:t>When both a row and a column styling apply to a corner cell, Word allows the cell to be individually styled.  These corner cells are:</w:t>
      </w:r>
    </w:p>
    <w:p w:rsidR="005F78FC" w:rsidRDefault="00B42EF3">
      <w:pPr>
        <w:pStyle w:val="ListParagraph"/>
        <w:numPr>
          <w:ilvl w:val="0"/>
          <w:numId w:val="55"/>
        </w:numPr>
        <w:contextualSpacing/>
      </w:pPr>
      <w:r>
        <w:t>Top left cell – Applicable when both Header Row and Firs</w:t>
      </w:r>
      <w:r>
        <w:t>t Column are used.</w:t>
      </w:r>
    </w:p>
    <w:p w:rsidR="005F78FC" w:rsidRDefault="00B42EF3">
      <w:pPr>
        <w:pStyle w:val="ListParagraph"/>
        <w:numPr>
          <w:ilvl w:val="0"/>
          <w:numId w:val="55"/>
        </w:numPr>
        <w:contextualSpacing/>
      </w:pPr>
      <w:r>
        <w:t>Top right cell – Applicable when both Header Row and Last Column are used.</w:t>
      </w:r>
    </w:p>
    <w:p w:rsidR="005F78FC" w:rsidRDefault="00B42EF3">
      <w:pPr>
        <w:pStyle w:val="ListParagraph"/>
        <w:numPr>
          <w:ilvl w:val="0"/>
          <w:numId w:val="55"/>
        </w:numPr>
        <w:contextualSpacing/>
      </w:pPr>
      <w:r>
        <w:t>Bottom left cell – Applicable when both Total Row and First Column are used.</w:t>
      </w:r>
    </w:p>
    <w:p w:rsidR="005F78FC" w:rsidRDefault="00B42EF3">
      <w:pPr>
        <w:pStyle w:val="ListParagraph"/>
        <w:numPr>
          <w:ilvl w:val="0"/>
          <w:numId w:val="55"/>
        </w:numPr>
      </w:pPr>
      <w:r>
        <w:t>Bottom right cell – Applicable when both Total Row and Last Column are used.</w:t>
      </w:r>
    </w:p>
    <w:p w:rsidR="005F78FC" w:rsidRDefault="00B42EF3">
      <w:pPr>
        <w:pStyle w:val="Definition-Field"/>
      </w:pPr>
      <w:r>
        <w:t xml:space="preserve">b.   </w:t>
      </w:r>
      <w:r>
        <w:rPr>
          <w:i/>
        </w:rPr>
        <w:t>The</w:t>
      </w:r>
      <w:r>
        <w:rPr>
          <w:i/>
        </w:rPr>
        <w:t xml:space="preserve"> standard specifies a set of attributes on this element.</w:t>
      </w:r>
    </w:p>
    <w:p w:rsidR="005F78FC" w:rsidRDefault="00B42EF3">
      <w:pPr>
        <w:pStyle w:val="Definition-Field2"/>
      </w:pPr>
      <w:r>
        <w:t>Word reads the val attribute specified in "</w:t>
      </w:r>
      <w:hyperlink r:id="rId84">
        <w:r>
          <w:rPr>
            <w:rStyle w:val="Hyperlink"/>
          </w:rPr>
          <w:t>[ISO/IEC-29500-4]</w:t>
        </w:r>
      </w:hyperlink>
      <w:r>
        <w:t xml:space="preserve"> §14.3.11; Additional attribute for tblLook element (Part 1, §17.4.55)" i</w:t>
      </w:r>
      <w:r>
        <w:t>f, and only if, none of the attributes specified in this subsection are present.</w:t>
      </w:r>
    </w:p>
    <w:p w:rsidR="005F78FC" w:rsidRDefault="00B42EF3">
      <w:pPr>
        <w:pStyle w:val="Heading3"/>
      </w:pPr>
      <w:bookmarkStart w:id="340" w:name="section_90f075ceb16d422ab1b039c9777a594e"/>
      <w:bookmarkStart w:id="341" w:name="_Toc69877943"/>
      <w:r>
        <w:t>Part 1 Section 17.4.55, tblLook (Table Style Conditional Formatting Settings)</w:t>
      </w:r>
      <w:bookmarkEnd w:id="340"/>
      <w:bookmarkEnd w:id="341"/>
      <w:r>
        <w:fldChar w:fldCharType="begin"/>
      </w:r>
      <w:r>
        <w:instrText xml:space="preserve"> XE "tblLook (Table Style Conditional Formatting Settings)" </w:instrText>
      </w:r>
      <w:r>
        <w:fldChar w:fldCharType="end"/>
      </w:r>
    </w:p>
    <w:p w:rsidR="005F78FC" w:rsidRDefault="00B42EF3">
      <w:pPr>
        <w:pStyle w:val="Definition-Field2"/>
      </w:pPr>
      <w:r>
        <w:rPr>
          <w:i/>
        </w:rPr>
        <w:t xml:space="preserve">For additional notes that apply to </w:t>
      </w:r>
      <w:r>
        <w:rPr>
          <w:i/>
        </w:rPr>
        <w:t xml:space="preserve">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5F78FC" w:rsidRDefault="00B42EF3">
      <w:pPr>
        <w:pStyle w:val="Definition-Field"/>
      </w:pPr>
      <w:r>
        <w:t xml:space="preserve">a.   </w:t>
      </w:r>
      <w:r>
        <w:rPr>
          <w:i/>
        </w:rPr>
        <w:t>The standard states that whe</w:t>
      </w:r>
      <w:r>
        <w:rPr>
          <w:i/>
        </w:rPr>
        <w:t>n the tblLook element is omitted, the bitmask of table style options on the current table shall be assumed to be 0x0000.</w:t>
      </w:r>
    </w:p>
    <w:p w:rsidR="005F78FC" w:rsidRDefault="00B42EF3">
      <w:pPr>
        <w:pStyle w:val="Definition-Field2"/>
      </w:pPr>
      <w:r>
        <w:t>In Word, when the tblLook element is omitted, the bitmask of table style options on the current table is assumed to be 0x04A0.</w:t>
      </w:r>
    </w:p>
    <w:p w:rsidR="005F78FC" w:rsidRDefault="00B42EF3">
      <w:pPr>
        <w:pStyle w:val="Definition-Field"/>
      </w:pPr>
      <w:r>
        <w:t xml:space="preserve">b.   </w:t>
      </w:r>
      <w:r>
        <w:rPr>
          <w:i/>
        </w:rPr>
        <w:t>The</w:t>
      </w:r>
      <w:r>
        <w:rPr>
          <w:i/>
        </w:rPr>
        <w:t xml:space="preserve"> standard states there are six conditional formatting options that can be set in tblLook.</w:t>
      </w:r>
    </w:p>
    <w:p w:rsidR="005F78FC" w:rsidRDefault="00B42EF3">
      <w:r>
        <w:t>When both a row and a column styling is applied it may yield undesired effect on the overlapping corner cell. Word allows the cell to be individually styled. These co</w:t>
      </w:r>
      <w:r>
        <w:t>rner cells are:</w:t>
      </w:r>
    </w:p>
    <w:p w:rsidR="005F78FC" w:rsidRDefault="00B42EF3">
      <w:pPr>
        <w:pStyle w:val="ListParagraph"/>
        <w:numPr>
          <w:ilvl w:val="0"/>
          <w:numId w:val="56"/>
        </w:numPr>
        <w:contextualSpacing/>
      </w:pPr>
      <w:r>
        <w:t>Top left cell – when Header Row and First Column are used.</w:t>
      </w:r>
    </w:p>
    <w:p w:rsidR="005F78FC" w:rsidRDefault="00B42EF3">
      <w:pPr>
        <w:pStyle w:val="ListParagraph"/>
        <w:numPr>
          <w:ilvl w:val="0"/>
          <w:numId w:val="56"/>
        </w:numPr>
        <w:contextualSpacing/>
      </w:pPr>
      <w:r>
        <w:t>Top right cell – when Header Row and Last Column are used.</w:t>
      </w:r>
    </w:p>
    <w:p w:rsidR="005F78FC" w:rsidRDefault="00B42EF3">
      <w:pPr>
        <w:pStyle w:val="ListParagraph"/>
        <w:numPr>
          <w:ilvl w:val="0"/>
          <w:numId w:val="56"/>
        </w:numPr>
        <w:contextualSpacing/>
      </w:pPr>
      <w:r>
        <w:t>Bottom left cell – when Total Row and First Column are used.</w:t>
      </w:r>
    </w:p>
    <w:p w:rsidR="005F78FC" w:rsidRDefault="00B42EF3">
      <w:pPr>
        <w:pStyle w:val="ListParagraph"/>
        <w:numPr>
          <w:ilvl w:val="0"/>
          <w:numId w:val="56"/>
        </w:numPr>
        <w:contextualSpacing/>
      </w:pPr>
      <w:r>
        <w:t>Bottom right cell – when Total Row and Last Column are used.</w:t>
      </w:r>
    </w:p>
    <w:p w:rsidR="005F78FC" w:rsidRDefault="00B42EF3">
      <w:pPr>
        <w:pStyle w:val="Definition-Field"/>
      </w:pPr>
      <w:r>
        <w:t xml:space="preserve">c.   </w:t>
      </w:r>
      <w:r>
        <w:rPr>
          <w:i/>
        </w:rPr>
        <w:t>The standard specifies a set of attributes on this element.</w:t>
      </w:r>
    </w:p>
    <w:p w:rsidR="005F78FC" w:rsidRDefault="00B42EF3">
      <w:pPr>
        <w:pStyle w:val="Definition-Field2"/>
      </w:pPr>
      <w:r>
        <w:t>Word reads the val attribute specified in "</w:t>
      </w:r>
      <w:hyperlink r:id="rId85">
        <w:r>
          <w:rPr>
            <w:rStyle w:val="Hyperlink"/>
          </w:rPr>
          <w:t>[ISO/IEC-29500-4]</w:t>
        </w:r>
      </w:hyperlink>
      <w:r>
        <w:t xml:space="preserve"> §14.3.12; Additional attribute for tblLook element (Part 1, §17.</w:t>
      </w:r>
      <w:r>
        <w:t>4.56)" if, and only if, none of the attributes specified in this subsection are present.</w:t>
      </w:r>
    </w:p>
    <w:p w:rsidR="005F78FC" w:rsidRDefault="00B42EF3">
      <w:pPr>
        <w:pStyle w:val="Heading3"/>
      </w:pPr>
      <w:bookmarkStart w:id="342" w:name="section_56c0b0dedcc146fda1e1ea2310dc7741"/>
      <w:bookmarkStart w:id="343" w:name="_Toc69877944"/>
      <w:r>
        <w:t>Part 1 Section 17.4.56, tblOverlap (Floating Table Allows Other Tables to Overlap)</w:t>
      </w:r>
      <w:bookmarkEnd w:id="342"/>
      <w:bookmarkEnd w:id="343"/>
      <w:r>
        <w:fldChar w:fldCharType="begin"/>
      </w:r>
      <w:r>
        <w:instrText xml:space="preserve"> XE "tblOverlap (Floating Table Allows Other Tables to Overlap)" </w:instrText>
      </w:r>
      <w:r>
        <w:fldChar w:fldCharType="end"/>
      </w:r>
    </w:p>
    <w:p w:rsidR="005F78FC" w:rsidRDefault="00B42EF3">
      <w:pPr>
        <w:pStyle w:val="Definition-Field2"/>
      </w:pPr>
      <w:r>
        <w:rPr>
          <w:i/>
        </w:rPr>
        <w:t>For additional no</w:t>
      </w:r>
      <w:r>
        <w:rPr>
          <w:i/>
        </w:rPr>
        <w:t xml:space="preserve">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5F78FC" w:rsidRDefault="00B42EF3">
      <w:pPr>
        <w:pStyle w:val="Heading3"/>
      </w:pPr>
      <w:bookmarkStart w:id="344" w:name="section_4175e818958f4b4fb6f717003f1721b5"/>
      <w:bookmarkStart w:id="345" w:name="_Toc69877945"/>
      <w:r>
        <w:t>Part 1 Section 17.4.57, tblpPr (Floating Table Positioning)</w:t>
      </w:r>
      <w:bookmarkEnd w:id="344"/>
      <w:bookmarkEnd w:id="345"/>
      <w:r>
        <w:fldChar w:fldCharType="begin"/>
      </w:r>
      <w:r>
        <w:instrText xml:space="preserve"> XE "tblpPr (Floating Table Positioning)"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5F78FC" w:rsidRDefault="00B42EF3">
      <w:pPr>
        <w:pStyle w:val="Definition-Field"/>
      </w:pPr>
      <w:r>
        <w:t xml:space="preserve">a.   </w:t>
      </w:r>
      <w:r>
        <w:rPr>
          <w:i/>
        </w:rPr>
        <w:t xml:space="preserve">The standard says that horizontal floating table positioning flips which edge it is relative to in right to left paragraphs versus left to right </w:t>
      </w:r>
      <w:r>
        <w:rPr>
          <w:i/>
        </w:rPr>
        <w:t>paragraphs.</w:t>
      </w:r>
    </w:p>
    <w:p w:rsidR="005F78FC" w:rsidRDefault="00B42EF3">
      <w:pPr>
        <w:pStyle w:val="Definition-Field2"/>
      </w:pPr>
      <w:r>
        <w:t>In Word, horizontal floating table positioning is always relative to the left edge.</w:t>
      </w:r>
    </w:p>
    <w:p w:rsidR="005F78FC" w:rsidRDefault="00B42EF3">
      <w:pPr>
        <w:pStyle w:val="Definition-Field"/>
      </w:pPr>
      <w:r>
        <w:t xml:space="preserve">b.   </w:t>
      </w:r>
      <w:r>
        <w:rPr>
          <w:i/>
        </w:rPr>
        <w:t>The standard does not specify any conditions under which tblpPr is ignored.</w:t>
      </w:r>
    </w:p>
    <w:p w:rsidR="005F78FC" w:rsidRDefault="00B42EF3">
      <w:r>
        <w:lastRenderedPageBreak/>
        <w:t xml:space="preserve">Word ignores the </w:t>
      </w:r>
      <w:r>
        <w:rPr>
          <w:b/>
        </w:rPr>
        <w:t>tblpPr</w:t>
      </w:r>
      <w:r>
        <w:t xml:space="preserve"> element if all attributes are omitted. It also ignores </w:t>
      </w:r>
      <w:r>
        <w:t>this element if the table is contained in a textbox, footnote, endnote, or comment, or if all of the following conditions are met:</w:t>
      </w:r>
    </w:p>
    <w:p w:rsidR="005F78FC" w:rsidRDefault="00B42EF3">
      <w:pPr>
        <w:pStyle w:val="ListParagraph"/>
        <w:numPr>
          <w:ilvl w:val="0"/>
          <w:numId w:val="57"/>
        </w:numPr>
        <w:contextualSpacing/>
      </w:pPr>
      <w:r>
        <w:t xml:space="preserve">The </w:t>
      </w:r>
      <w:r>
        <w:rPr>
          <w:b/>
        </w:rPr>
        <w:t>tblpX</w:t>
      </w:r>
      <w:r>
        <w:t xml:space="preserve"> attribute value is 0.</w:t>
      </w:r>
    </w:p>
    <w:p w:rsidR="005F78FC" w:rsidRDefault="00B42EF3">
      <w:pPr>
        <w:pStyle w:val="ListParagraph"/>
        <w:numPr>
          <w:ilvl w:val="0"/>
          <w:numId w:val="57"/>
        </w:numPr>
        <w:contextualSpacing/>
      </w:pPr>
      <w:r>
        <w:t xml:space="preserve">The </w:t>
      </w:r>
      <w:r>
        <w:rPr>
          <w:b/>
        </w:rPr>
        <w:t>tblpY</w:t>
      </w:r>
      <w:r>
        <w:t xml:space="preserve"> attribute value is 0.</w:t>
      </w:r>
    </w:p>
    <w:p w:rsidR="005F78FC" w:rsidRDefault="00B42EF3">
      <w:pPr>
        <w:pStyle w:val="ListParagraph"/>
        <w:numPr>
          <w:ilvl w:val="0"/>
          <w:numId w:val="57"/>
        </w:numPr>
        <w:contextualSpacing/>
      </w:pPr>
      <w:r>
        <w:t xml:space="preserve">The </w:t>
      </w:r>
      <w:r>
        <w:rPr>
          <w:b/>
        </w:rPr>
        <w:t>horzAnchor</w:t>
      </w:r>
      <w:r>
        <w:t xml:space="preserve"> attribute value is </w:t>
      </w:r>
      <w:r>
        <w:rPr>
          <w:i/>
        </w:rPr>
        <w:t>text.</w:t>
      </w:r>
    </w:p>
    <w:p w:rsidR="005F78FC" w:rsidRDefault="00B42EF3">
      <w:pPr>
        <w:pStyle w:val="ListParagraph"/>
        <w:numPr>
          <w:ilvl w:val="0"/>
          <w:numId w:val="57"/>
        </w:numPr>
      </w:pPr>
      <w:r>
        <w:t xml:space="preserve">The </w:t>
      </w:r>
      <w:r>
        <w:rPr>
          <w:b/>
        </w:rPr>
        <w:t>vertAnchor</w:t>
      </w:r>
      <w:r>
        <w:t xml:space="preserve"> attribute value is not </w:t>
      </w:r>
      <w:r>
        <w:rPr>
          <w:i/>
        </w:rPr>
        <w:t>text.</w:t>
      </w:r>
    </w:p>
    <w:p w:rsidR="005F78FC" w:rsidRDefault="00B42EF3">
      <w:pPr>
        <w:pStyle w:val="Definition-Field"/>
      </w:pPr>
      <w:r>
        <w:t xml:space="preserve">c.   </w:t>
      </w:r>
      <w:r>
        <w:rPr>
          <w:i/>
        </w:rPr>
        <w:t>The standard states that the default values of vertAnchor and horzAnchor are page.</w:t>
      </w:r>
    </w:p>
    <w:p w:rsidR="005F78FC" w:rsidRDefault="00B42EF3">
      <w:pPr>
        <w:pStyle w:val="Definition-Field2"/>
      </w:pPr>
      <w:r>
        <w:t>In Word, the default value for vertAnchor is margin and the default value for horzAnchor is text.</w:t>
      </w:r>
    </w:p>
    <w:p w:rsidR="005F78FC" w:rsidRDefault="00B42EF3">
      <w:pPr>
        <w:pStyle w:val="Definition-Field"/>
      </w:pPr>
      <w:r>
        <w:t xml:space="preserve">d.   </w:t>
      </w:r>
      <w:r>
        <w:rPr>
          <w:i/>
        </w:rPr>
        <w:t>The standard allows any integer for</w:t>
      </w:r>
      <w:r>
        <w:rPr>
          <w:i/>
        </w:rPr>
        <w:t xml:space="preserve"> leftFromText, rightFromText, topFromText, bottomFromText, tblpX, and tblpY.</w:t>
      </w:r>
    </w:p>
    <w:p w:rsidR="005F78FC" w:rsidRDefault="00B42EF3">
      <w:pPr>
        <w:pStyle w:val="Definition-Field2"/>
      </w:pPr>
      <w:r>
        <w:t>Word only allows integers between 0 and 32767 for leftFromText, rightFromText, topFromText, bottomFromText, tblpX, and tblpY.</w:t>
      </w:r>
    </w:p>
    <w:p w:rsidR="005F78FC" w:rsidRDefault="00B42EF3">
      <w:pPr>
        <w:pStyle w:val="Definition-Field"/>
      </w:pPr>
      <w:r>
        <w:t xml:space="preserve">e.   </w:t>
      </w:r>
      <w:r>
        <w:rPr>
          <w:i/>
        </w:rPr>
        <w:t>The standard does not specify that tblpX and tbl</w:t>
      </w:r>
      <w:r>
        <w:rPr>
          <w:i/>
        </w:rPr>
        <w:t>pY should be changed before display.</w:t>
      </w:r>
    </w:p>
    <w:p w:rsidR="005F78FC" w:rsidRDefault="00B42EF3">
      <w:r>
        <w:t>To avoid the condition where the tblpPr element is ignored, Word adds 1 twentieth of a point to the actual distance value when it saves a file and subtracts 1 twentieth of a point to the actual distance value when it op</w:t>
      </w:r>
      <w:r>
        <w:t xml:space="preserve">ens a file. For example, if the value of attribute </w:t>
      </w:r>
      <w:r>
        <w:rPr>
          <w:b/>
        </w:rPr>
        <w:t>tblpX</w:t>
      </w:r>
      <w:r>
        <w:t xml:space="preserve"> or </w:t>
      </w:r>
      <w:r>
        <w:rPr>
          <w:b/>
        </w:rPr>
        <w:t>tblpY</w:t>
      </w:r>
      <w:r>
        <w:t xml:space="preserve"> is supposed be 0 twentieths of a point, then Word writes 1 instead, and if Word reads the value 1 for tblpX or tblpY it interprets that value as 0 instead.</w:t>
      </w:r>
    </w:p>
    <w:p w:rsidR="005F78FC" w:rsidRDefault="00B42EF3">
      <w:pPr>
        <w:pStyle w:val="Heading3"/>
      </w:pPr>
      <w:bookmarkStart w:id="346" w:name="section_b838cab3eb77495a9cb98c6e693f0ac1"/>
      <w:bookmarkStart w:id="347" w:name="_Toc69877946"/>
      <w:r>
        <w:t>Part 1 Section 17.4.58, tblPr (Pre</w:t>
      </w:r>
      <w:r>
        <w:t>vious Table Properties)</w:t>
      </w:r>
      <w:bookmarkEnd w:id="346"/>
      <w:bookmarkEnd w:id="347"/>
      <w:r>
        <w:fldChar w:fldCharType="begin"/>
      </w:r>
      <w:r>
        <w:instrText xml:space="preserve"> XE "tblPr (Previous Table Properties)" </w:instrText>
      </w:r>
      <w:r>
        <w:fldChar w:fldCharType="end"/>
      </w:r>
    </w:p>
    <w:p w:rsidR="005F78FC" w:rsidRDefault="00B42EF3">
      <w:pPr>
        <w:pStyle w:val="Definition-Field"/>
      </w:pPr>
      <w:r>
        <w:t xml:space="preserve">a.   </w:t>
      </w:r>
      <w:r>
        <w:rPr>
          <w:i/>
        </w:rPr>
        <w:t>The standard states that the tblStyleColBandSize and tblStyleRowBandSize elements are valid child elements of the tblPr element.</w:t>
      </w:r>
    </w:p>
    <w:p w:rsidR="005F78FC" w:rsidRDefault="00B42EF3">
      <w:pPr>
        <w:pStyle w:val="Definition-Field2"/>
      </w:pPr>
      <w:r>
        <w:t xml:space="preserve">Word does not allow these elements to be child elements </w:t>
      </w:r>
      <w:r>
        <w:t>of the tblPr element.</w:t>
      </w:r>
    </w:p>
    <w:p w:rsidR="005F78FC" w:rsidRDefault="00B42EF3">
      <w:pPr>
        <w:pStyle w:val="Heading3"/>
      </w:pPr>
      <w:bookmarkStart w:id="348" w:name="section_2020ce86cc3945b28bec82dc97435c44"/>
      <w:bookmarkStart w:id="349" w:name="_Toc69877947"/>
      <w:r>
        <w:t>Part 1 Section 17.4.59, tblPr (Table Properties)</w:t>
      </w:r>
      <w:bookmarkEnd w:id="348"/>
      <w:bookmarkEnd w:id="349"/>
      <w:r>
        <w:fldChar w:fldCharType="begin"/>
      </w:r>
      <w:r>
        <w:instrText xml:space="preserve"> XE "tblPr (Table Properties)" </w:instrText>
      </w:r>
      <w:r>
        <w:fldChar w:fldCharType="end"/>
      </w:r>
    </w:p>
    <w:p w:rsidR="005F78FC" w:rsidRDefault="00B42EF3">
      <w:pPr>
        <w:pStyle w:val="Definition-Field"/>
      </w:pPr>
      <w:r>
        <w:t xml:space="preserve">a.   </w:t>
      </w:r>
      <w:r>
        <w:rPr>
          <w:i/>
        </w:rPr>
        <w:t>The standard states that the tblStyleColBandSize and tblStyleRowBandSize elements are valid child elements of the tblPr element.</w:t>
      </w:r>
    </w:p>
    <w:p w:rsidR="005F78FC" w:rsidRDefault="00B42EF3">
      <w:pPr>
        <w:pStyle w:val="Definition-Field2"/>
      </w:pPr>
      <w:r>
        <w:t>Word does not allo</w:t>
      </w:r>
      <w:r>
        <w:t>w these elements to be child elements of the tblPr element.</w:t>
      </w:r>
    </w:p>
    <w:p w:rsidR="005F78FC" w:rsidRDefault="00B42EF3">
      <w:pPr>
        <w:pStyle w:val="Heading3"/>
      </w:pPr>
      <w:bookmarkStart w:id="350" w:name="section_35aa3feae5804ca695bdcb921384f005"/>
      <w:bookmarkStart w:id="351" w:name="_Toc69877948"/>
      <w:r>
        <w:t>Part 1 Section 17.4.62, tblStyle (Referenced Table Style)</w:t>
      </w:r>
      <w:bookmarkEnd w:id="350"/>
      <w:bookmarkEnd w:id="351"/>
      <w:r>
        <w:fldChar w:fldCharType="begin"/>
      </w:r>
      <w:r>
        <w:instrText xml:space="preserve"> XE "tblStyle (Referenced Table Style)"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 xml:space="preserve">; </w:t>
      </w:r>
      <w:hyperlink w:anchor="Section_1e273b9e816940a691aaf9ebd083e0b8">
        <w:r>
          <w:rPr>
            <w:rStyle w:val="Hyperlink"/>
          </w:rPr>
          <w:t>numStyleLink, §17.9.21(a)</w:t>
        </w:r>
      </w:hyperlink>
      <w:r>
        <w:rPr>
          <w:i/>
        </w:rPr>
        <w:t>.</w:t>
      </w:r>
    </w:p>
    <w:p w:rsidR="005F78FC" w:rsidRDefault="00B42EF3">
      <w:pPr>
        <w:pStyle w:val="Definition-Field"/>
      </w:pPr>
      <w:r>
        <w:t xml:space="preserve">a.   </w:t>
      </w:r>
      <w:r>
        <w:rPr>
          <w:i/>
        </w:rPr>
        <w:t>The standard does not limit the length of the value of the val attribute.</w:t>
      </w:r>
    </w:p>
    <w:p w:rsidR="005F78FC" w:rsidRDefault="00B42EF3">
      <w:pPr>
        <w:pStyle w:val="Definition-Field2"/>
      </w:pPr>
      <w:r>
        <w:t>Word restricts the value of this attribute to be at most 253 characters.</w:t>
      </w:r>
    </w:p>
    <w:p w:rsidR="005F78FC" w:rsidRDefault="00B42EF3">
      <w:pPr>
        <w:pStyle w:val="Heading3"/>
      </w:pPr>
      <w:bookmarkStart w:id="352" w:name="section_5d923fcc83b6489e8761c0a8b7fa7c47"/>
      <w:bookmarkStart w:id="353" w:name="_Toc69877949"/>
      <w:r>
        <w:t>Part 1 Section 17.4.63, tblW (Preferred Table Width)</w:t>
      </w:r>
      <w:bookmarkEnd w:id="352"/>
      <w:bookmarkEnd w:id="353"/>
      <w:r>
        <w:fldChar w:fldCharType="begin"/>
      </w:r>
      <w:r>
        <w:instrText xml:space="preserve"> XE "tblW (Preferred Table Width)" </w:instrText>
      </w:r>
      <w:r>
        <w:fldChar w:fldCharType="end"/>
      </w:r>
    </w:p>
    <w:p w:rsidR="005F78FC" w:rsidRDefault="00B42EF3">
      <w:pPr>
        <w:pStyle w:val="Definition-Field2"/>
      </w:pPr>
      <w:r>
        <w:rPr>
          <w:i/>
        </w:rPr>
        <w:t>For additional</w:t>
      </w:r>
      <w:r>
        <w:rPr>
          <w:i/>
        </w:rPr>
        <w:t xml:space="preserve"> notes that apply to this portion of the standard, please see the notes for </w:t>
      </w:r>
      <w:hyperlink w:anchor="Section_8446a4220fe8401bb11fa2d4933ee83c">
        <w:r>
          <w:rPr>
            <w:rStyle w:val="Hyperlink"/>
          </w:rPr>
          <w:t>top, §17.4.77(a)</w:t>
        </w:r>
      </w:hyperlink>
      <w:r>
        <w:rPr>
          <w:i/>
        </w:rPr>
        <w:t xml:space="preserve">;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5F78FC" w:rsidRDefault="00B42EF3">
      <w:pPr>
        <w:pStyle w:val="Definition-Field"/>
      </w:pPr>
      <w:r>
        <w:t xml:space="preserve">a.   </w:t>
      </w:r>
      <w:r>
        <w:rPr>
          <w:i/>
        </w:rPr>
        <w:t>The standard specifies that if w is 0, the preferred table width is 0.</w:t>
      </w:r>
    </w:p>
    <w:p w:rsidR="005F78FC" w:rsidRDefault="00B42EF3">
      <w:pPr>
        <w:pStyle w:val="Definition-Field2"/>
      </w:pPr>
      <w:r>
        <w:t>Word interprets the type attribute as auto if w is 0.</w:t>
      </w:r>
    </w:p>
    <w:p w:rsidR="005F78FC" w:rsidRDefault="00B42EF3">
      <w:pPr>
        <w:pStyle w:val="Definition-Field"/>
      </w:pPr>
      <w:r>
        <w:t xml:space="preserve">b.   </w:t>
      </w:r>
      <w:r>
        <w:rPr>
          <w:i/>
        </w:rPr>
        <w:t xml:space="preserve">The standard does not specify the behavior when the </w:t>
      </w:r>
      <w:r>
        <w:rPr>
          <w:i/>
        </w:rPr>
        <w:t>type attribute is nil.</w:t>
      </w:r>
    </w:p>
    <w:p w:rsidR="005F78FC" w:rsidRDefault="00B42EF3">
      <w:pPr>
        <w:pStyle w:val="Definition-Field2"/>
      </w:pPr>
      <w:r>
        <w:lastRenderedPageBreak/>
        <w:t>When the type attribute has a value of nil, Word interprets the type attribute value as auto.</w:t>
      </w:r>
    </w:p>
    <w:p w:rsidR="005F78FC" w:rsidRDefault="00B42EF3">
      <w:pPr>
        <w:pStyle w:val="Heading3"/>
      </w:pPr>
      <w:bookmarkStart w:id="354" w:name="section_9b01c51ffe5d472cba38bc12ce971ad2"/>
      <w:bookmarkStart w:id="355" w:name="_Toc69877950"/>
      <w:r>
        <w:t>Part 1 Section 17.4.64, tblW (Preferred Table Width Exception)</w:t>
      </w:r>
      <w:bookmarkEnd w:id="354"/>
      <w:bookmarkEnd w:id="355"/>
      <w:r>
        <w:fldChar w:fldCharType="begin"/>
      </w:r>
      <w:r>
        <w:instrText xml:space="preserve"> XE "tblW (Preferred Table Width Exception)" </w:instrText>
      </w:r>
      <w:r>
        <w:fldChar w:fldCharType="end"/>
      </w:r>
    </w:p>
    <w:p w:rsidR="005F78FC" w:rsidRDefault="00B42EF3">
      <w:pPr>
        <w:pStyle w:val="Definition-Field2"/>
      </w:pPr>
      <w:r>
        <w:rPr>
          <w:i/>
        </w:rPr>
        <w:t>For additional notes that app</w:t>
      </w:r>
      <w:r>
        <w:rPr>
          <w:i/>
        </w:rPr>
        <w:t xml:space="preserve">ly to this portion of the standard, please see the notes for </w:t>
      </w:r>
      <w:hyperlink w:anchor="Section_8446a4220fe8401bb11fa2d4933ee83c">
        <w:r>
          <w:rPr>
            <w:rStyle w:val="Hyperlink"/>
          </w:rPr>
          <w:t>top, §17.4.77(a)</w:t>
        </w:r>
      </w:hyperlink>
      <w:r>
        <w:rPr>
          <w:i/>
        </w:rPr>
        <w:t>.</w:t>
      </w:r>
    </w:p>
    <w:p w:rsidR="005F78FC" w:rsidRDefault="00B42EF3">
      <w:pPr>
        <w:pStyle w:val="Definition-Field"/>
      </w:pPr>
      <w:r>
        <w:t xml:space="preserve">a.   </w:t>
      </w:r>
      <w:r>
        <w:rPr>
          <w:i/>
        </w:rPr>
        <w:t>The standard specifies that this element specifies the preferred width for the parent table row.</w:t>
      </w:r>
    </w:p>
    <w:p w:rsidR="005F78FC" w:rsidRDefault="00B42EF3">
      <w:pPr>
        <w:pStyle w:val="Definition-Field2"/>
      </w:pPr>
      <w:r>
        <w:t>Word ignores</w:t>
      </w:r>
      <w:r>
        <w:t xml:space="preserve"> this element if it is not present in the first row of the table. If it is in the first row, Word applies this preferred width to the entire table.</w:t>
      </w:r>
    </w:p>
    <w:p w:rsidR="005F78FC" w:rsidRDefault="00B42EF3">
      <w:pPr>
        <w:pStyle w:val="Definition-Field"/>
      </w:pPr>
      <w:r>
        <w:t xml:space="preserve">b.   </w:t>
      </w:r>
      <w:r>
        <w:rPr>
          <w:i/>
        </w:rPr>
        <w:t>The standard specifies that if w is 0, the preferred table width is 0.</w:t>
      </w:r>
    </w:p>
    <w:p w:rsidR="005F78FC" w:rsidRDefault="00B42EF3">
      <w:pPr>
        <w:pStyle w:val="Definition-Field2"/>
      </w:pPr>
      <w:r>
        <w:t>Word interprets the type attribu</w:t>
      </w:r>
      <w:r>
        <w:t>te as auto if w is 0.</w:t>
      </w:r>
    </w:p>
    <w:p w:rsidR="005F78FC" w:rsidRDefault="00B42EF3">
      <w:pPr>
        <w:pStyle w:val="Definition-Field"/>
      </w:pPr>
      <w:r>
        <w:t xml:space="preserve">c.   </w:t>
      </w:r>
      <w:r>
        <w:rPr>
          <w:i/>
        </w:rPr>
        <w:t>The standard states that if the tblW element is omitted, then the cell width is auto.</w:t>
      </w:r>
    </w:p>
    <w:p w:rsidR="005F78FC" w:rsidRDefault="00B42EF3">
      <w:pPr>
        <w:pStyle w:val="Definition-Field2"/>
      </w:pPr>
      <w:r>
        <w:t>In Word, if the tblW element is omitted, then the table width is determined by the preferred table width element.</w:t>
      </w:r>
    </w:p>
    <w:p w:rsidR="005F78FC" w:rsidRDefault="00B42EF3">
      <w:pPr>
        <w:pStyle w:val="Definition-Field"/>
      </w:pPr>
      <w:r>
        <w:t xml:space="preserve">d.   </w:t>
      </w:r>
      <w:r>
        <w:rPr>
          <w:i/>
        </w:rPr>
        <w:t>The standard does not sp</w:t>
      </w:r>
      <w:r>
        <w:rPr>
          <w:i/>
        </w:rPr>
        <w:t>ecify the behavior when the type attribute is nil.</w:t>
      </w:r>
    </w:p>
    <w:p w:rsidR="005F78FC" w:rsidRDefault="00B42EF3">
      <w:pPr>
        <w:pStyle w:val="Definition-Field2"/>
      </w:pPr>
      <w:r>
        <w:t>Word interprets the type attribute value as auto when the type attribute has a value of nil.</w:t>
      </w:r>
    </w:p>
    <w:p w:rsidR="005F78FC" w:rsidRDefault="00B42EF3">
      <w:pPr>
        <w:pStyle w:val="Heading3"/>
      </w:pPr>
      <w:bookmarkStart w:id="356" w:name="section_51518f1baa8746adaf91607351eba2db"/>
      <w:bookmarkStart w:id="357" w:name="_Toc69877951"/>
      <w:r>
        <w:t>Part 1 Section 17.4.65, tc (Table Cell)</w:t>
      </w:r>
      <w:bookmarkEnd w:id="356"/>
      <w:bookmarkEnd w:id="357"/>
      <w:r>
        <w:fldChar w:fldCharType="begin"/>
      </w:r>
      <w:r>
        <w:instrText xml:space="preserve"> XE "tc (Table Cell)" </w:instrText>
      </w:r>
      <w:r>
        <w:fldChar w:fldCharType="end"/>
      </w:r>
    </w:p>
    <w:p w:rsidR="005F78FC" w:rsidRDefault="00B42EF3">
      <w:pPr>
        <w:pStyle w:val="Definition-Field2"/>
      </w:pPr>
      <w:r>
        <w:rPr>
          <w:i/>
        </w:rPr>
        <w:t xml:space="preserve">For additional notes that apply to this portion </w:t>
      </w:r>
      <w:r>
        <w:rPr>
          <w:i/>
        </w:rPr>
        <w:t xml:space="preserve">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5F78FC" w:rsidRDefault="00B42EF3">
      <w:pPr>
        <w:pStyle w:val="Definition-Field"/>
      </w:pPr>
      <w:r>
        <w:t xml:space="preserve">a.   </w:t>
      </w:r>
      <w:r>
        <w:rPr>
          <w:i/>
        </w:rPr>
        <w:t>The standard states that the id att</w:t>
      </w:r>
      <w:r>
        <w:rPr>
          <w:i/>
        </w:rPr>
        <w:t>ribute is a valid attribute of the tc element.</w:t>
      </w:r>
    </w:p>
    <w:p w:rsidR="005F78FC" w:rsidRDefault="00B42EF3">
      <w:pPr>
        <w:pStyle w:val="Definition-Field2"/>
      </w:pPr>
      <w:r>
        <w:t>Word ignores the id attribute.</w:t>
      </w:r>
    </w:p>
    <w:p w:rsidR="005F78FC" w:rsidRDefault="00B42EF3">
      <w:pPr>
        <w:pStyle w:val="Definition-Field"/>
      </w:pPr>
      <w:r>
        <w:t xml:space="preserve">b.   </w:t>
      </w:r>
      <w:r>
        <w:rPr>
          <w:i/>
        </w:rPr>
        <w:t>The standard states that a tc element must include at least one block-level element.</w:t>
      </w:r>
    </w:p>
    <w:p w:rsidR="005F78FC" w:rsidRDefault="00B42EF3">
      <w:pPr>
        <w:pStyle w:val="Definition-Field2"/>
      </w:pPr>
      <w:r>
        <w:t xml:space="preserve">If a tc element does not contain at least one p element, and that element is not the </w:t>
      </w:r>
      <w:r>
        <w:t>last child block-level element of the tc element, then Word will fail to open the file.</w:t>
      </w:r>
    </w:p>
    <w:p w:rsidR="005F78FC" w:rsidRDefault="00B42EF3">
      <w:pPr>
        <w:pStyle w:val="Heading3"/>
      </w:pPr>
      <w:bookmarkStart w:id="358" w:name="section_7c791c5d44c34fe8abdd8f136761bb93"/>
      <w:bookmarkStart w:id="359" w:name="_Toc69877952"/>
      <w:r>
        <w:t>Part 1 Section 17.4.66, tcBorders (Table Cell Borders)</w:t>
      </w:r>
      <w:bookmarkEnd w:id="358"/>
      <w:bookmarkEnd w:id="359"/>
      <w:r>
        <w:fldChar w:fldCharType="begin"/>
      </w:r>
      <w:r>
        <w:instrText xml:space="preserve"> XE "tcBorders (Table Cell Borders)" </w:instrText>
      </w:r>
      <w:r>
        <w:fldChar w:fldCharType="end"/>
      </w:r>
    </w:p>
    <w:p w:rsidR="005F78FC" w:rsidRDefault="00B42EF3">
      <w:pPr>
        <w:pStyle w:val="Definition-Field2"/>
      </w:pPr>
      <w:r>
        <w:rPr>
          <w:i/>
        </w:rPr>
        <w:t>For additional notes that apply to this portion of the standard, please se</w:t>
      </w:r>
      <w:r>
        <w:rPr>
          <w:i/>
        </w:rPr>
        <w:t xml:space="preserve">e the notes for </w:t>
      </w:r>
      <w:hyperlink w:anchor="Section_9e742550b4384b9d96064ae34d83830f">
        <w:r>
          <w:rPr>
            <w:rStyle w:val="Hyperlink"/>
          </w:rPr>
          <w:t>tcPr, §17.7.6.9(b)</w:t>
        </w:r>
      </w:hyperlink>
      <w:r>
        <w:rPr>
          <w:i/>
        </w:rPr>
        <w:t>.</w:t>
      </w:r>
    </w:p>
    <w:p w:rsidR="005F78FC" w:rsidRDefault="00B42EF3">
      <w:pPr>
        <w:pStyle w:val="Definition-Field"/>
      </w:pPr>
      <w:r>
        <w:t xml:space="preserve">a.   </w:t>
      </w:r>
      <w:r>
        <w:rPr>
          <w:i/>
        </w:rPr>
        <w:t>The standard specifies a method for resolving border conflicts.</w:t>
      </w:r>
    </w:p>
    <w:p w:rsidR="005F78FC" w:rsidRDefault="00B42EF3">
      <w:r>
        <w:t>Word determines top, bottom, left, and right cell border for each cell as follows:</w:t>
      </w:r>
    </w:p>
    <w:p w:rsidR="005F78FC" w:rsidRDefault="00B42EF3">
      <w:pPr>
        <w:pStyle w:val="ListParagraph"/>
        <w:numPr>
          <w:ilvl w:val="0"/>
          <w:numId w:val="58"/>
        </w:numPr>
        <w:contextualSpacing/>
      </w:pPr>
      <w:r>
        <w:t>If th</w:t>
      </w:r>
      <w:r>
        <w:t>e cell border is omitted or</w:t>
      </w:r>
      <w:r>
        <w:rPr>
          <w:i/>
        </w:rPr>
        <w:t xml:space="preserve"> none</w:t>
      </w:r>
      <w:r>
        <w:t xml:space="preserve"> (no border), find the cell border from the table style ("</w:t>
      </w:r>
      <w:hyperlink r:id="rId86">
        <w:r>
          <w:rPr>
            <w:rStyle w:val="Hyperlink"/>
          </w:rPr>
          <w:t>[ISO/IEC-29500-1]</w:t>
        </w:r>
      </w:hyperlink>
      <w:r>
        <w:t xml:space="preserve"> §17.7.6").</w:t>
      </w:r>
    </w:p>
    <w:p w:rsidR="005F78FC" w:rsidRDefault="00B42EF3">
      <w:pPr>
        <w:pStyle w:val="ListParagraph"/>
        <w:numPr>
          <w:ilvl w:val="0"/>
          <w:numId w:val="58"/>
        </w:numPr>
        <w:contextualSpacing/>
      </w:pPr>
      <w:r>
        <w:t xml:space="preserve">If the cell border is still not specified, find the appropriate border </w:t>
      </w:r>
      <w:r>
        <w:t>from the table-level border exceptions ("[ISO/IEC-29500-1] §17.4.39; tblBorders").</w:t>
      </w:r>
    </w:p>
    <w:p w:rsidR="005F78FC" w:rsidRDefault="00B42EF3">
      <w:pPr>
        <w:pStyle w:val="ListParagraph"/>
        <w:numPr>
          <w:ilvl w:val="0"/>
          <w:numId w:val="58"/>
        </w:numPr>
      </w:pPr>
      <w:r>
        <w:t>If the cell border is still not specified, find the appropriate border from the table-level borders ("[ISO/IEC-29500-1] §17.4.38; tblBorders").</w:t>
      </w:r>
    </w:p>
    <w:p w:rsidR="005F78FC" w:rsidRDefault="00B42EF3">
      <w:r>
        <w:t>If the cell spacing is nonzer</w:t>
      </w:r>
      <w:r>
        <w:t>o as specified using the tblCellSpacing element ("[ISO/IEC-29500-1] §17.4.44; tblCellSpacing"), then all cell borders and outer table borders display.</w:t>
      </w:r>
    </w:p>
    <w:p w:rsidR="005F78FC" w:rsidRDefault="00B42EF3">
      <w:r>
        <w:t>If the cell spacing is zero, then there may be a conflict between two adjacent borders. In Office, this c</w:t>
      </w:r>
      <w:r>
        <w:t>onflict is resolved using the following procedure:</w:t>
      </w:r>
    </w:p>
    <w:p w:rsidR="005F78FC" w:rsidRDefault="00B42EF3">
      <w:r>
        <w:lastRenderedPageBreak/>
        <w:t xml:space="preserve">If the conflicting table cell border is </w:t>
      </w:r>
      <w:r>
        <w:rPr>
          <w:i/>
        </w:rPr>
        <w:t>none</w:t>
      </w:r>
      <w:r>
        <w:t xml:space="preserve"> (no border), then the opposing border shall be displayed. If the conflicting table cell border is </w:t>
      </w:r>
      <w:r>
        <w:rPr>
          <w:i/>
        </w:rPr>
        <w:t>nil</w:t>
      </w:r>
      <w:r>
        <w:t>, then no border shall be displayed.</w:t>
      </w:r>
    </w:p>
    <w:p w:rsidR="005F78FC" w:rsidRDefault="00B42EF3">
      <w:r>
        <w:t>Each border shall then</w:t>
      </w:r>
      <w:r>
        <w:t xml:space="preserve"> be assigned a weight using the following formula, and the border which has a higher value using this calculation shall be displayed over the alternative border:</w:t>
      </w:r>
    </w:p>
    <w:p w:rsidR="005F78FC" w:rsidRDefault="00B42EF3">
      <w:r>
        <w:rPr>
          <w:noProof/>
        </w:rPr>
        <w:drawing>
          <wp:inline distT="0" distB="0" distL="0" distR="0">
            <wp:extent cx="2247900" cy="171450"/>
            <wp:effectExtent l="0" t="0" r="0" b="0"/>
            <wp:docPr id="10" name="Picture 1" descr="Formula for border weight: weight of the border = border width times border number" title="Formula for border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9c-0000-0000-0000-000000000000" descr="Formula for border weight: weight of the border = border width times border number" title="Formula for border weight"/>
                    <pic:cNvPicPr>
                      <a:picLocks noChangeAspect="1" noChangeArrowheads="1"/>
                    </pic:cNvPicPr>
                  </pic:nvPicPr>
                  <pic:blipFill>
                    <a:blip r:embed="rId87" cstate="print"/>
                    <a:srcRect/>
                    <a:stretch>
                      <a:fillRect/>
                    </a:stretch>
                  </pic:blipFill>
                  <pic:spPr bwMode="auto">
                    <a:xfrm>
                      <a:off x="0" y="0"/>
                      <a:ext cx="2247900" cy="171450"/>
                    </a:xfrm>
                    <a:prstGeom prst="rect">
                      <a:avLst/>
                    </a:prstGeom>
                    <a:noFill/>
                    <a:ln w="9525">
                      <a:noFill/>
                      <a:miter lim="800000"/>
                      <a:headEnd/>
                      <a:tailEnd/>
                    </a:ln>
                  </pic:spPr>
                </pic:pic>
              </a:graphicData>
            </a:graphic>
          </wp:inline>
        </w:drawing>
      </w:r>
    </w:p>
    <w:p w:rsidR="005F78FC" w:rsidRDefault="00B42EF3">
      <w:r>
        <w:t>The border width shall be specified in measurements of eighths of a point. The border number</w:t>
      </w:r>
      <w:r>
        <w:t xml:space="preserve"> shall be determined by the following list. The borders with </w:t>
      </w:r>
      <w:r>
        <w:rPr>
          <w:i/>
        </w:rPr>
        <w:t>dotted</w:t>
      </w:r>
      <w:r>
        <w:t xml:space="preserve"> and </w:t>
      </w:r>
      <w:r>
        <w:rPr>
          <w:i/>
        </w:rPr>
        <w:t>dashed</w:t>
      </w:r>
      <w:r>
        <w:t xml:space="preserve"> styles shall be assigned the weight 1 regardless of the border width and number.</w:t>
      </w:r>
    </w:p>
    <w:tbl>
      <w:tblPr>
        <w:tblStyle w:val="Table-ShadedHeader"/>
        <w:tblW w:w="0" w:type="auto"/>
        <w:tblLook w:val="04A0" w:firstRow="1" w:lastRow="0" w:firstColumn="1" w:lastColumn="0" w:noHBand="0" w:noVBand="1"/>
      </w:tblPr>
      <w:tblGrid>
        <w:gridCol w:w="2513"/>
        <w:gridCol w:w="458"/>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5F78FC" w:rsidRDefault="00B42EF3">
            <w:pPr>
              <w:pStyle w:val="TableHeaderText"/>
            </w:pPr>
            <w:r>
              <w:t>Border Number</w:t>
            </w:r>
          </w:p>
        </w:tc>
      </w:tr>
      <w:tr w:rsidR="005F78FC" w:rsidTr="005F78FC">
        <w:tc>
          <w:tcPr>
            <w:tcW w:w="0" w:type="auto"/>
            <w:vAlign w:val="center"/>
          </w:tcPr>
          <w:p w:rsidR="005F78FC" w:rsidRDefault="00B42EF3">
            <w:pPr>
              <w:pStyle w:val="TableBodyText"/>
            </w:pPr>
            <w:r>
              <w:rPr>
                <w:b/>
              </w:rPr>
              <w:t>single</w:t>
            </w:r>
          </w:p>
        </w:tc>
        <w:tc>
          <w:tcPr>
            <w:tcW w:w="0" w:type="auto"/>
            <w:vAlign w:val="center"/>
          </w:tcPr>
          <w:p w:rsidR="005F78FC" w:rsidRDefault="00B42EF3">
            <w:pPr>
              <w:pStyle w:val="TableBodyText"/>
            </w:pPr>
            <w:r>
              <w:rPr>
                <w:b/>
              </w:rPr>
              <w:t>1</w:t>
            </w:r>
          </w:p>
        </w:tc>
      </w:tr>
      <w:tr w:rsidR="005F78FC" w:rsidTr="005F78FC">
        <w:tc>
          <w:tcPr>
            <w:tcW w:w="0" w:type="auto"/>
            <w:vAlign w:val="center"/>
          </w:tcPr>
          <w:p w:rsidR="005F78FC" w:rsidRDefault="00B42EF3">
            <w:pPr>
              <w:pStyle w:val="TableBodyText"/>
            </w:pPr>
            <w:r>
              <w:rPr>
                <w:b/>
              </w:rPr>
              <w:t>thick</w:t>
            </w:r>
          </w:p>
        </w:tc>
        <w:tc>
          <w:tcPr>
            <w:tcW w:w="0" w:type="auto"/>
            <w:vAlign w:val="center"/>
          </w:tcPr>
          <w:p w:rsidR="005F78FC" w:rsidRDefault="00B42EF3">
            <w:pPr>
              <w:pStyle w:val="TableBodyText"/>
            </w:pPr>
            <w:r>
              <w:rPr>
                <w:b/>
              </w:rPr>
              <w:t>2</w:t>
            </w:r>
          </w:p>
        </w:tc>
      </w:tr>
      <w:tr w:rsidR="005F78FC" w:rsidTr="005F78FC">
        <w:tc>
          <w:tcPr>
            <w:tcW w:w="0" w:type="auto"/>
            <w:vAlign w:val="center"/>
          </w:tcPr>
          <w:p w:rsidR="005F78FC" w:rsidRDefault="00B42EF3">
            <w:pPr>
              <w:pStyle w:val="TableBodyText"/>
            </w:pPr>
            <w:r>
              <w:rPr>
                <w:b/>
              </w:rPr>
              <w:t>double</w:t>
            </w:r>
          </w:p>
        </w:tc>
        <w:tc>
          <w:tcPr>
            <w:tcW w:w="0" w:type="auto"/>
            <w:vAlign w:val="center"/>
          </w:tcPr>
          <w:p w:rsidR="005F78FC" w:rsidRDefault="00B42EF3">
            <w:pPr>
              <w:pStyle w:val="TableBodyText"/>
            </w:pPr>
            <w:r>
              <w:rPr>
                <w:b/>
              </w:rPr>
              <w:t>3</w:t>
            </w:r>
          </w:p>
        </w:tc>
      </w:tr>
      <w:tr w:rsidR="005F78FC" w:rsidTr="005F78FC">
        <w:tc>
          <w:tcPr>
            <w:tcW w:w="0" w:type="auto"/>
            <w:vAlign w:val="center"/>
          </w:tcPr>
          <w:p w:rsidR="005F78FC" w:rsidRDefault="00B42EF3">
            <w:pPr>
              <w:pStyle w:val="TableBodyText"/>
            </w:pPr>
            <w:r>
              <w:rPr>
                <w:b/>
              </w:rPr>
              <w:t>dotDash</w:t>
            </w:r>
          </w:p>
        </w:tc>
        <w:tc>
          <w:tcPr>
            <w:tcW w:w="0" w:type="auto"/>
            <w:vAlign w:val="center"/>
          </w:tcPr>
          <w:p w:rsidR="005F78FC" w:rsidRDefault="00B42EF3">
            <w:pPr>
              <w:pStyle w:val="TableBodyText"/>
            </w:pPr>
            <w:r>
              <w:rPr>
                <w:b/>
              </w:rPr>
              <w:t>8</w:t>
            </w:r>
          </w:p>
        </w:tc>
      </w:tr>
      <w:tr w:rsidR="005F78FC" w:rsidTr="005F78FC">
        <w:tc>
          <w:tcPr>
            <w:tcW w:w="0" w:type="auto"/>
            <w:vAlign w:val="center"/>
          </w:tcPr>
          <w:p w:rsidR="005F78FC" w:rsidRDefault="00B42EF3">
            <w:pPr>
              <w:pStyle w:val="TableBodyText"/>
            </w:pPr>
            <w:r>
              <w:rPr>
                <w:b/>
              </w:rPr>
              <w:t>dotDotDash</w:t>
            </w:r>
          </w:p>
        </w:tc>
        <w:tc>
          <w:tcPr>
            <w:tcW w:w="0" w:type="auto"/>
            <w:vAlign w:val="center"/>
          </w:tcPr>
          <w:p w:rsidR="005F78FC" w:rsidRDefault="00B42EF3">
            <w:pPr>
              <w:pStyle w:val="TableBodyText"/>
            </w:pPr>
            <w:r>
              <w:rPr>
                <w:b/>
              </w:rPr>
              <w:t>9</w:t>
            </w:r>
          </w:p>
        </w:tc>
      </w:tr>
      <w:tr w:rsidR="005F78FC" w:rsidTr="005F78FC">
        <w:tc>
          <w:tcPr>
            <w:tcW w:w="0" w:type="auto"/>
            <w:vAlign w:val="center"/>
          </w:tcPr>
          <w:p w:rsidR="005F78FC" w:rsidRDefault="00B42EF3">
            <w:pPr>
              <w:pStyle w:val="TableBodyText"/>
            </w:pPr>
            <w:r>
              <w:rPr>
                <w:b/>
              </w:rPr>
              <w:t>triple</w:t>
            </w:r>
          </w:p>
        </w:tc>
        <w:tc>
          <w:tcPr>
            <w:tcW w:w="0" w:type="auto"/>
            <w:vAlign w:val="center"/>
          </w:tcPr>
          <w:p w:rsidR="005F78FC" w:rsidRDefault="00B42EF3">
            <w:pPr>
              <w:pStyle w:val="TableBodyText"/>
            </w:pPr>
            <w:r>
              <w:rPr>
                <w:b/>
              </w:rPr>
              <w:t>10</w:t>
            </w:r>
          </w:p>
        </w:tc>
      </w:tr>
      <w:tr w:rsidR="005F78FC" w:rsidTr="005F78FC">
        <w:tc>
          <w:tcPr>
            <w:tcW w:w="0" w:type="auto"/>
            <w:vAlign w:val="center"/>
          </w:tcPr>
          <w:p w:rsidR="005F78FC" w:rsidRDefault="00B42EF3">
            <w:pPr>
              <w:pStyle w:val="TableBodyText"/>
            </w:pPr>
            <w:r>
              <w:rPr>
                <w:b/>
              </w:rPr>
              <w:t>thinThickSmallGap</w:t>
            </w:r>
          </w:p>
        </w:tc>
        <w:tc>
          <w:tcPr>
            <w:tcW w:w="0" w:type="auto"/>
            <w:vAlign w:val="center"/>
          </w:tcPr>
          <w:p w:rsidR="005F78FC" w:rsidRDefault="00B42EF3">
            <w:pPr>
              <w:pStyle w:val="TableBodyText"/>
            </w:pPr>
            <w:r>
              <w:rPr>
                <w:b/>
              </w:rPr>
              <w:t>11</w:t>
            </w:r>
          </w:p>
        </w:tc>
      </w:tr>
      <w:tr w:rsidR="005F78FC" w:rsidTr="005F78FC">
        <w:tc>
          <w:tcPr>
            <w:tcW w:w="0" w:type="auto"/>
            <w:vAlign w:val="center"/>
          </w:tcPr>
          <w:p w:rsidR="005F78FC" w:rsidRDefault="00B42EF3">
            <w:pPr>
              <w:pStyle w:val="TableBodyText"/>
            </w:pPr>
            <w:r>
              <w:rPr>
                <w:b/>
              </w:rPr>
              <w:t>thickThinSmallGap</w:t>
            </w:r>
          </w:p>
        </w:tc>
        <w:tc>
          <w:tcPr>
            <w:tcW w:w="0" w:type="auto"/>
            <w:vAlign w:val="center"/>
          </w:tcPr>
          <w:p w:rsidR="005F78FC" w:rsidRDefault="00B42EF3">
            <w:pPr>
              <w:pStyle w:val="TableBodyText"/>
            </w:pPr>
            <w:r>
              <w:rPr>
                <w:b/>
              </w:rPr>
              <w:t>12</w:t>
            </w:r>
          </w:p>
        </w:tc>
      </w:tr>
      <w:tr w:rsidR="005F78FC" w:rsidTr="005F78FC">
        <w:tc>
          <w:tcPr>
            <w:tcW w:w="0" w:type="auto"/>
            <w:vAlign w:val="center"/>
          </w:tcPr>
          <w:p w:rsidR="005F78FC" w:rsidRDefault="00B42EF3">
            <w:pPr>
              <w:pStyle w:val="TableBodyText"/>
            </w:pPr>
            <w:r>
              <w:rPr>
                <w:b/>
              </w:rPr>
              <w:t>thinThickThinSmallGap</w:t>
            </w:r>
          </w:p>
        </w:tc>
        <w:tc>
          <w:tcPr>
            <w:tcW w:w="0" w:type="auto"/>
            <w:vAlign w:val="center"/>
          </w:tcPr>
          <w:p w:rsidR="005F78FC" w:rsidRDefault="00B42EF3">
            <w:pPr>
              <w:pStyle w:val="TableBodyText"/>
            </w:pPr>
            <w:r>
              <w:rPr>
                <w:b/>
              </w:rPr>
              <w:t>13</w:t>
            </w:r>
          </w:p>
        </w:tc>
      </w:tr>
      <w:tr w:rsidR="005F78FC" w:rsidTr="005F78FC">
        <w:tc>
          <w:tcPr>
            <w:tcW w:w="0" w:type="auto"/>
            <w:vAlign w:val="center"/>
          </w:tcPr>
          <w:p w:rsidR="005F78FC" w:rsidRDefault="00B42EF3">
            <w:pPr>
              <w:pStyle w:val="TableBodyText"/>
            </w:pPr>
            <w:r>
              <w:rPr>
                <w:b/>
              </w:rPr>
              <w:t>thinThickMediumGap</w:t>
            </w:r>
          </w:p>
        </w:tc>
        <w:tc>
          <w:tcPr>
            <w:tcW w:w="0" w:type="auto"/>
            <w:vAlign w:val="center"/>
          </w:tcPr>
          <w:p w:rsidR="005F78FC" w:rsidRDefault="00B42EF3">
            <w:pPr>
              <w:pStyle w:val="TableBodyText"/>
            </w:pPr>
            <w:r>
              <w:rPr>
                <w:b/>
              </w:rPr>
              <w:t>14</w:t>
            </w:r>
          </w:p>
        </w:tc>
      </w:tr>
      <w:tr w:rsidR="005F78FC" w:rsidTr="005F78FC">
        <w:tc>
          <w:tcPr>
            <w:tcW w:w="0" w:type="auto"/>
            <w:vAlign w:val="center"/>
          </w:tcPr>
          <w:p w:rsidR="005F78FC" w:rsidRDefault="00B42EF3">
            <w:pPr>
              <w:pStyle w:val="TableBodyText"/>
            </w:pPr>
            <w:r>
              <w:rPr>
                <w:b/>
              </w:rPr>
              <w:t>thickThinMediumGap</w:t>
            </w:r>
          </w:p>
        </w:tc>
        <w:tc>
          <w:tcPr>
            <w:tcW w:w="0" w:type="auto"/>
            <w:vAlign w:val="center"/>
          </w:tcPr>
          <w:p w:rsidR="005F78FC" w:rsidRDefault="00B42EF3">
            <w:pPr>
              <w:pStyle w:val="TableBodyText"/>
            </w:pPr>
            <w:r>
              <w:rPr>
                <w:b/>
              </w:rPr>
              <w:t>15</w:t>
            </w:r>
          </w:p>
        </w:tc>
      </w:tr>
      <w:tr w:rsidR="005F78FC" w:rsidTr="005F78FC">
        <w:tc>
          <w:tcPr>
            <w:tcW w:w="0" w:type="auto"/>
            <w:vAlign w:val="center"/>
          </w:tcPr>
          <w:p w:rsidR="005F78FC" w:rsidRDefault="00B42EF3">
            <w:pPr>
              <w:pStyle w:val="TableBodyText"/>
            </w:pPr>
            <w:r>
              <w:rPr>
                <w:b/>
              </w:rPr>
              <w:t>thinThickThinMediumGap</w:t>
            </w:r>
          </w:p>
        </w:tc>
        <w:tc>
          <w:tcPr>
            <w:tcW w:w="0" w:type="auto"/>
            <w:vAlign w:val="center"/>
          </w:tcPr>
          <w:p w:rsidR="005F78FC" w:rsidRDefault="00B42EF3">
            <w:pPr>
              <w:pStyle w:val="TableBodyText"/>
            </w:pPr>
            <w:r>
              <w:rPr>
                <w:b/>
              </w:rPr>
              <w:t>16</w:t>
            </w:r>
          </w:p>
        </w:tc>
      </w:tr>
      <w:tr w:rsidR="005F78FC" w:rsidTr="005F78FC">
        <w:tc>
          <w:tcPr>
            <w:tcW w:w="0" w:type="auto"/>
            <w:vAlign w:val="center"/>
          </w:tcPr>
          <w:p w:rsidR="005F78FC" w:rsidRDefault="00B42EF3">
            <w:pPr>
              <w:pStyle w:val="TableBodyText"/>
            </w:pPr>
            <w:r>
              <w:rPr>
                <w:b/>
              </w:rPr>
              <w:t>thinThickLargeGap</w:t>
            </w:r>
          </w:p>
        </w:tc>
        <w:tc>
          <w:tcPr>
            <w:tcW w:w="0" w:type="auto"/>
            <w:vAlign w:val="center"/>
          </w:tcPr>
          <w:p w:rsidR="005F78FC" w:rsidRDefault="00B42EF3">
            <w:pPr>
              <w:pStyle w:val="TableBodyText"/>
            </w:pPr>
            <w:r>
              <w:rPr>
                <w:b/>
              </w:rPr>
              <w:t>17</w:t>
            </w:r>
          </w:p>
        </w:tc>
      </w:tr>
      <w:tr w:rsidR="005F78FC" w:rsidTr="005F78FC">
        <w:tc>
          <w:tcPr>
            <w:tcW w:w="0" w:type="auto"/>
            <w:vAlign w:val="center"/>
          </w:tcPr>
          <w:p w:rsidR="005F78FC" w:rsidRDefault="00B42EF3">
            <w:pPr>
              <w:pStyle w:val="TableBodyText"/>
            </w:pPr>
            <w:r>
              <w:rPr>
                <w:b/>
              </w:rPr>
              <w:t>thickThinLargeGap</w:t>
            </w:r>
          </w:p>
        </w:tc>
        <w:tc>
          <w:tcPr>
            <w:tcW w:w="0" w:type="auto"/>
            <w:vAlign w:val="center"/>
          </w:tcPr>
          <w:p w:rsidR="005F78FC" w:rsidRDefault="00B42EF3">
            <w:pPr>
              <w:pStyle w:val="TableBodyText"/>
            </w:pPr>
            <w:r>
              <w:rPr>
                <w:b/>
              </w:rPr>
              <w:t>18</w:t>
            </w:r>
          </w:p>
        </w:tc>
      </w:tr>
      <w:tr w:rsidR="005F78FC" w:rsidTr="005F78FC">
        <w:tc>
          <w:tcPr>
            <w:tcW w:w="0" w:type="auto"/>
            <w:vAlign w:val="center"/>
          </w:tcPr>
          <w:p w:rsidR="005F78FC" w:rsidRDefault="00B42EF3">
            <w:pPr>
              <w:pStyle w:val="TableBodyText"/>
            </w:pPr>
            <w:r>
              <w:rPr>
                <w:b/>
              </w:rPr>
              <w:t>thinThickThinLargeGap</w:t>
            </w:r>
          </w:p>
        </w:tc>
        <w:tc>
          <w:tcPr>
            <w:tcW w:w="0" w:type="auto"/>
            <w:vAlign w:val="center"/>
          </w:tcPr>
          <w:p w:rsidR="005F78FC" w:rsidRDefault="00B42EF3">
            <w:pPr>
              <w:pStyle w:val="TableBodyText"/>
            </w:pPr>
            <w:r>
              <w:rPr>
                <w:b/>
              </w:rPr>
              <w:t>19</w:t>
            </w:r>
          </w:p>
        </w:tc>
      </w:tr>
      <w:tr w:rsidR="005F78FC" w:rsidTr="005F78FC">
        <w:tc>
          <w:tcPr>
            <w:tcW w:w="0" w:type="auto"/>
            <w:vAlign w:val="center"/>
          </w:tcPr>
          <w:p w:rsidR="005F78FC" w:rsidRDefault="00B42EF3">
            <w:pPr>
              <w:pStyle w:val="TableBodyText"/>
            </w:pPr>
            <w:r>
              <w:rPr>
                <w:b/>
              </w:rPr>
              <w:t>wave</w:t>
            </w:r>
          </w:p>
        </w:tc>
        <w:tc>
          <w:tcPr>
            <w:tcW w:w="0" w:type="auto"/>
            <w:vAlign w:val="center"/>
          </w:tcPr>
          <w:p w:rsidR="005F78FC" w:rsidRDefault="00B42EF3">
            <w:pPr>
              <w:pStyle w:val="TableBodyText"/>
            </w:pPr>
            <w:r>
              <w:rPr>
                <w:b/>
              </w:rPr>
              <w:t>20</w:t>
            </w:r>
          </w:p>
        </w:tc>
      </w:tr>
      <w:tr w:rsidR="005F78FC" w:rsidTr="005F78FC">
        <w:tc>
          <w:tcPr>
            <w:tcW w:w="0" w:type="auto"/>
            <w:vAlign w:val="center"/>
          </w:tcPr>
          <w:p w:rsidR="005F78FC" w:rsidRDefault="00B42EF3">
            <w:pPr>
              <w:pStyle w:val="TableBodyText"/>
            </w:pPr>
            <w:r>
              <w:rPr>
                <w:b/>
              </w:rPr>
              <w:t>doubleWave</w:t>
            </w:r>
          </w:p>
        </w:tc>
        <w:tc>
          <w:tcPr>
            <w:tcW w:w="0" w:type="auto"/>
            <w:vAlign w:val="center"/>
          </w:tcPr>
          <w:p w:rsidR="005F78FC" w:rsidRDefault="00B42EF3">
            <w:pPr>
              <w:pStyle w:val="TableBodyText"/>
            </w:pPr>
            <w:r>
              <w:rPr>
                <w:b/>
              </w:rPr>
              <w:t>21</w:t>
            </w:r>
          </w:p>
        </w:tc>
      </w:tr>
      <w:tr w:rsidR="005F78FC" w:rsidTr="005F78FC">
        <w:tc>
          <w:tcPr>
            <w:tcW w:w="0" w:type="auto"/>
            <w:vAlign w:val="center"/>
          </w:tcPr>
          <w:p w:rsidR="005F78FC" w:rsidRDefault="00B42EF3">
            <w:pPr>
              <w:pStyle w:val="TableBodyText"/>
            </w:pPr>
            <w:r>
              <w:rPr>
                <w:b/>
              </w:rPr>
              <w:t>dashSmallGap</w:t>
            </w:r>
          </w:p>
        </w:tc>
        <w:tc>
          <w:tcPr>
            <w:tcW w:w="0" w:type="auto"/>
            <w:vAlign w:val="center"/>
          </w:tcPr>
          <w:p w:rsidR="005F78FC" w:rsidRDefault="00B42EF3">
            <w:pPr>
              <w:pStyle w:val="TableBodyText"/>
            </w:pPr>
            <w:r>
              <w:rPr>
                <w:b/>
              </w:rPr>
              <w:t>22</w:t>
            </w:r>
          </w:p>
        </w:tc>
      </w:tr>
      <w:tr w:rsidR="005F78FC" w:rsidTr="005F78FC">
        <w:tc>
          <w:tcPr>
            <w:tcW w:w="0" w:type="auto"/>
            <w:vAlign w:val="center"/>
          </w:tcPr>
          <w:p w:rsidR="005F78FC" w:rsidRDefault="00B42EF3">
            <w:pPr>
              <w:pStyle w:val="TableBodyText"/>
            </w:pPr>
            <w:r>
              <w:rPr>
                <w:b/>
              </w:rPr>
              <w:t>dashDotStroked</w:t>
            </w:r>
          </w:p>
        </w:tc>
        <w:tc>
          <w:tcPr>
            <w:tcW w:w="0" w:type="auto"/>
            <w:vAlign w:val="center"/>
          </w:tcPr>
          <w:p w:rsidR="005F78FC" w:rsidRDefault="00B42EF3">
            <w:pPr>
              <w:pStyle w:val="TableBodyText"/>
            </w:pPr>
            <w:r>
              <w:rPr>
                <w:b/>
              </w:rPr>
              <w:t>23</w:t>
            </w:r>
          </w:p>
        </w:tc>
      </w:tr>
      <w:tr w:rsidR="005F78FC" w:rsidTr="005F78FC">
        <w:tc>
          <w:tcPr>
            <w:tcW w:w="0" w:type="auto"/>
            <w:vAlign w:val="center"/>
          </w:tcPr>
          <w:p w:rsidR="005F78FC" w:rsidRDefault="00B42EF3">
            <w:pPr>
              <w:pStyle w:val="TableBodyText"/>
            </w:pPr>
            <w:r>
              <w:rPr>
                <w:b/>
              </w:rPr>
              <w:t>threeDEmboss</w:t>
            </w:r>
          </w:p>
        </w:tc>
        <w:tc>
          <w:tcPr>
            <w:tcW w:w="0" w:type="auto"/>
            <w:vAlign w:val="center"/>
          </w:tcPr>
          <w:p w:rsidR="005F78FC" w:rsidRDefault="00B42EF3">
            <w:pPr>
              <w:pStyle w:val="TableBodyText"/>
            </w:pPr>
            <w:r>
              <w:rPr>
                <w:b/>
              </w:rPr>
              <w:t>24</w:t>
            </w:r>
          </w:p>
        </w:tc>
      </w:tr>
      <w:tr w:rsidR="005F78FC" w:rsidTr="005F78FC">
        <w:tc>
          <w:tcPr>
            <w:tcW w:w="0" w:type="auto"/>
            <w:vAlign w:val="center"/>
          </w:tcPr>
          <w:p w:rsidR="005F78FC" w:rsidRDefault="00B42EF3">
            <w:pPr>
              <w:pStyle w:val="TableBodyText"/>
            </w:pPr>
            <w:r>
              <w:rPr>
                <w:b/>
              </w:rPr>
              <w:t>threeDEngrave</w:t>
            </w:r>
          </w:p>
        </w:tc>
        <w:tc>
          <w:tcPr>
            <w:tcW w:w="0" w:type="auto"/>
            <w:vAlign w:val="center"/>
          </w:tcPr>
          <w:p w:rsidR="005F78FC" w:rsidRDefault="00B42EF3">
            <w:pPr>
              <w:pStyle w:val="TableBodyText"/>
            </w:pPr>
            <w:r>
              <w:rPr>
                <w:b/>
              </w:rPr>
              <w:t>25</w:t>
            </w:r>
          </w:p>
        </w:tc>
      </w:tr>
      <w:tr w:rsidR="005F78FC" w:rsidTr="005F78FC">
        <w:tc>
          <w:tcPr>
            <w:tcW w:w="0" w:type="auto"/>
            <w:vAlign w:val="center"/>
          </w:tcPr>
          <w:p w:rsidR="005F78FC" w:rsidRDefault="00B42EF3">
            <w:pPr>
              <w:pStyle w:val="TableBodyText"/>
            </w:pPr>
            <w:r>
              <w:rPr>
                <w:b/>
              </w:rPr>
              <w:t>outset</w:t>
            </w:r>
          </w:p>
        </w:tc>
        <w:tc>
          <w:tcPr>
            <w:tcW w:w="0" w:type="auto"/>
            <w:vAlign w:val="center"/>
          </w:tcPr>
          <w:p w:rsidR="005F78FC" w:rsidRDefault="00B42EF3">
            <w:pPr>
              <w:pStyle w:val="TableBodyText"/>
            </w:pPr>
            <w:r>
              <w:rPr>
                <w:b/>
              </w:rPr>
              <w:t>26</w:t>
            </w:r>
          </w:p>
        </w:tc>
      </w:tr>
      <w:tr w:rsidR="005F78FC" w:rsidTr="005F78FC">
        <w:tc>
          <w:tcPr>
            <w:tcW w:w="0" w:type="auto"/>
            <w:vAlign w:val="center"/>
          </w:tcPr>
          <w:p w:rsidR="005F78FC" w:rsidRDefault="00B42EF3">
            <w:pPr>
              <w:pStyle w:val="TableBodyText"/>
            </w:pPr>
            <w:r>
              <w:rPr>
                <w:b/>
              </w:rPr>
              <w:t>inset</w:t>
            </w:r>
          </w:p>
        </w:tc>
        <w:tc>
          <w:tcPr>
            <w:tcW w:w="0" w:type="auto"/>
            <w:vAlign w:val="center"/>
          </w:tcPr>
          <w:p w:rsidR="005F78FC" w:rsidRDefault="00B42EF3">
            <w:pPr>
              <w:pStyle w:val="TableBodyText"/>
            </w:pPr>
            <w:r>
              <w:rPr>
                <w:b/>
              </w:rPr>
              <w:t>27</w:t>
            </w:r>
          </w:p>
        </w:tc>
      </w:tr>
    </w:tbl>
    <w:p w:rsidR="005F78FC" w:rsidRDefault="005F78FC"/>
    <w:p w:rsidR="005F78FC" w:rsidRDefault="00B42EF3">
      <w:r>
        <w:t>If the borders have an equal weight, then the higher of the two on this precedence list shall be displayed:</w:t>
      </w:r>
    </w:p>
    <w:p w:rsidR="005F78FC" w:rsidRDefault="00B42EF3">
      <w:pPr>
        <w:pStyle w:val="ListParagraph"/>
        <w:numPr>
          <w:ilvl w:val="0"/>
          <w:numId w:val="59"/>
        </w:numPr>
        <w:contextualSpacing/>
      </w:pPr>
      <w:r>
        <w:rPr>
          <w:b/>
        </w:rPr>
        <w:lastRenderedPageBreak/>
        <w:t>single</w:t>
      </w:r>
    </w:p>
    <w:p w:rsidR="005F78FC" w:rsidRDefault="00B42EF3">
      <w:pPr>
        <w:pStyle w:val="ListParagraph"/>
        <w:numPr>
          <w:ilvl w:val="0"/>
          <w:numId w:val="59"/>
        </w:numPr>
        <w:contextualSpacing/>
      </w:pPr>
      <w:r>
        <w:rPr>
          <w:b/>
        </w:rPr>
        <w:t>thick</w:t>
      </w:r>
    </w:p>
    <w:p w:rsidR="005F78FC" w:rsidRDefault="00B42EF3">
      <w:pPr>
        <w:pStyle w:val="ListParagraph"/>
        <w:numPr>
          <w:ilvl w:val="0"/>
          <w:numId w:val="59"/>
        </w:numPr>
        <w:contextualSpacing/>
      </w:pPr>
      <w:r>
        <w:rPr>
          <w:b/>
        </w:rPr>
        <w:t>double</w:t>
      </w:r>
    </w:p>
    <w:p w:rsidR="005F78FC" w:rsidRDefault="00B42EF3">
      <w:pPr>
        <w:pStyle w:val="ListParagraph"/>
        <w:numPr>
          <w:ilvl w:val="0"/>
          <w:numId w:val="59"/>
        </w:numPr>
        <w:contextualSpacing/>
      </w:pPr>
      <w:r>
        <w:rPr>
          <w:b/>
        </w:rPr>
        <w:t>dotted</w:t>
      </w:r>
    </w:p>
    <w:p w:rsidR="005F78FC" w:rsidRDefault="00B42EF3">
      <w:pPr>
        <w:pStyle w:val="ListParagraph"/>
        <w:numPr>
          <w:ilvl w:val="0"/>
          <w:numId w:val="59"/>
        </w:numPr>
        <w:contextualSpacing/>
      </w:pPr>
      <w:r>
        <w:rPr>
          <w:b/>
        </w:rPr>
        <w:t>dashed</w:t>
      </w:r>
    </w:p>
    <w:p w:rsidR="005F78FC" w:rsidRDefault="00B42EF3">
      <w:pPr>
        <w:pStyle w:val="ListParagraph"/>
        <w:numPr>
          <w:ilvl w:val="0"/>
          <w:numId w:val="59"/>
        </w:numPr>
        <w:contextualSpacing/>
      </w:pPr>
      <w:r>
        <w:rPr>
          <w:b/>
        </w:rPr>
        <w:t>dotDash</w:t>
      </w:r>
    </w:p>
    <w:p w:rsidR="005F78FC" w:rsidRDefault="00B42EF3">
      <w:pPr>
        <w:pStyle w:val="ListParagraph"/>
        <w:numPr>
          <w:ilvl w:val="0"/>
          <w:numId w:val="59"/>
        </w:numPr>
        <w:contextualSpacing/>
      </w:pPr>
      <w:r>
        <w:rPr>
          <w:b/>
        </w:rPr>
        <w:t>dotDotDash</w:t>
      </w:r>
    </w:p>
    <w:p w:rsidR="005F78FC" w:rsidRDefault="00B42EF3">
      <w:pPr>
        <w:pStyle w:val="ListParagraph"/>
        <w:numPr>
          <w:ilvl w:val="0"/>
          <w:numId w:val="59"/>
        </w:numPr>
        <w:contextualSpacing/>
      </w:pPr>
      <w:r>
        <w:rPr>
          <w:b/>
        </w:rPr>
        <w:t>triple</w:t>
      </w:r>
    </w:p>
    <w:p w:rsidR="005F78FC" w:rsidRDefault="00B42EF3">
      <w:pPr>
        <w:pStyle w:val="ListParagraph"/>
        <w:numPr>
          <w:ilvl w:val="0"/>
          <w:numId w:val="59"/>
        </w:numPr>
        <w:contextualSpacing/>
      </w:pPr>
      <w:r>
        <w:rPr>
          <w:b/>
        </w:rPr>
        <w:t>thinThickSmallGap</w:t>
      </w:r>
    </w:p>
    <w:p w:rsidR="005F78FC" w:rsidRDefault="00B42EF3">
      <w:pPr>
        <w:pStyle w:val="ListParagraph"/>
        <w:numPr>
          <w:ilvl w:val="0"/>
          <w:numId w:val="59"/>
        </w:numPr>
        <w:contextualSpacing/>
      </w:pPr>
      <w:r>
        <w:rPr>
          <w:b/>
        </w:rPr>
        <w:t>thickThinSmallGap</w:t>
      </w:r>
    </w:p>
    <w:p w:rsidR="005F78FC" w:rsidRDefault="00B42EF3">
      <w:pPr>
        <w:pStyle w:val="ListParagraph"/>
        <w:numPr>
          <w:ilvl w:val="0"/>
          <w:numId w:val="59"/>
        </w:numPr>
        <w:contextualSpacing/>
      </w:pPr>
      <w:r>
        <w:rPr>
          <w:b/>
        </w:rPr>
        <w:t>thinThickThinSmallGap</w:t>
      </w:r>
    </w:p>
    <w:p w:rsidR="005F78FC" w:rsidRDefault="00B42EF3">
      <w:pPr>
        <w:pStyle w:val="ListParagraph"/>
        <w:numPr>
          <w:ilvl w:val="0"/>
          <w:numId w:val="59"/>
        </w:numPr>
        <w:contextualSpacing/>
      </w:pPr>
      <w:r>
        <w:rPr>
          <w:b/>
        </w:rPr>
        <w:t>thinThickMediumGap</w:t>
      </w:r>
    </w:p>
    <w:p w:rsidR="005F78FC" w:rsidRDefault="00B42EF3">
      <w:pPr>
        <w:pStyle w:val="ListParagraph"/>
        <w:numPr>
          <w:ilvl w:val="0"/>
          <w:numId w:val="59"/>
        </w:numPr>
        <w:contextualSpacing/>
      </w:pPr>
      <w:r>
        <w:rPr>
          <w:b/>
        </w:rPr>
        <w:t>thickThinMediumGap</w:t>
      </w:r>
    </w:p>
    <w:p w:rsidR="005F78FC" w:rsidRDefault="00B42EF3">
      <w:pPr>
        <w:pStyle w:val="ListParagraph"/>
        <w:numPr>
          <w:ilvl w:val="0"/>
          <w:numId w:val="59"/>
        </w:numPr>
        <w:contextualSpacing/>
      </w:pPr>
      <w:r>
        <w:rPr>
          <w:b/>
        </w:rPr>
        <w:t>thinThickThinMediumGap</w:t>
      </w:r>
    </w:p>
    <w:p w:rsidR="005F78FC" w:rsidRDefault="00B42EF3">
      <w:pPr>
        <w:pStyle w:val="ListParagraph"/>
        <w:numPr>
          <w:ilvl w:val="0"/>
          <w:numId w:val="59"/>
        </w:numPr>
        <w:contextualSpacing/>
      </w:pPr>
      <w:r>
        <w:rPr>
          <w:b/>
        </w:rPr>
        <w:t>thinThickLargeGap</w:t>
      </w:r>
    </w:p>
    <w:p w:rsidR="005F78FC" w:rsidRDefault="00B42EF3">
      <w:pPr>
        <w:pStyle w:val="ListParagraph"/>
        <w:numPr>
          <w:ilvl w:val="0"/>
          <w:numId w:val="59"/>
        </w:numPr>
        <w:contextualSpacing/>
      </w:pPr>
      <w:r>
        <w:rPr>
          <w:b/>
        </w:rPr>
        <w:t>thickThinLargeGap</w:t>
      </w:r>
    </w:p>
    <w:p w:rsidR="005F78FC" w:rsidRDefault="00B42EF3">
      <w:pPr>
        <w:pStyle w:val="ListParagraph"/>
        <w:numPr>
          <w:ilvl w:val="0"/>
          <w:numId w:val="59"/>
        </w:numPr>
        <w:contextualSpacing/>
      </w:pPr>
      <w:r>
        <w:rPr>
          <w:b/>
        </w:rPr>
        <w:t>thinThickThinLargeGap</w:t>
      </w:r>
    </w:p>
    <w:p w:rsidR="005F78FC" w:rsidRDefault="00B42EF3">
      <w:pPr>
        <w:pStyle w:val="ListParagraph"/>
        <w:numPr>
          <w:ilvl w:val="0"/>
          <w:numId w:val="59"/>
        </w:numPr>
        <w:contextualSpacing/>
      </w:pPr>
      <w:r>
        <w:rPr>
          <w:b/>
        </w:rPr>
        <w:t>wave</w:t>
      </w:r>
    </w:p>
    <w:p w:rsidR="005F78FC" w:rsidRDefault="00B42EF3">
      <w:pPr>
        <w:pStyle w:val="ListParagraph"/>
        <w:numPr>
          <w:ilvl w:val="0"/>
          <w:numId w:val="59"/>
        </w:numPr>
        <w:contextualSpacing/>
      </w:pPr>
      <w:r>
        <w:rPr>
          <w:b/>
        </w:rPr>
        <w:t>doubleWave</w:t>
      </w:r>
    </w:p>
    <w:p w:rsidR="005F78FC" w:rsidRDefault="00B42EF3">
      <w:pPr>
        <w:pStyle w:val="ListParagraph"/>
        <w:numPr>
          <w:ilvl w:val="0"/>
          <w:numId w:val="59"/>
        </w:numPr>
        <w:contextualSpacing/>
      </w:pPr>
      <w:r>
        <w:rPr>
          <w:b/>
        </w:rPr>
        <w:t>dashSmallGap</w:t>
      </w:r>
    </w:p>
    <w:p w:rsidR="005F78FC" w:rsidRDefault="00B42EF3">
      <w:pPr>
        <w:pStyle w:val="ListParagraph"/>
        <w:numPr>
          <w:ilvl w:val="0"/>
          <w:numId w:val="59"/>
        </w:numPr>
        <w:contextualSpacing/>
      </w:pPr>
      <w:r>
        <w:rPr>
          <w:b/>
        </w:rPr>
        <w:t>dashDotStroked</w:t>
      </w:r>
    </w:p>
    <w:p w:rsidR="005F78FC" w:rsidRDefault="00B42EF3">
      <w:pPr>
        <w:pStyle w:val="ListParagraph"/>
        <w:numPr>
          <w:ilvl w:val="0"/>
          <w:numId w:val="59"/>
        </w:numPr>
        <w:contextualSpacing/>
      </w:pPr>
      <w:r>
        <w:rPr>
          <w:b/>
        </w:rPr>
        <w:t>threeDEmboss</w:t>
      </w:r>
    </w:p>
    <w:p w:rsidR="005F78FC" w:rsidRDefault="00B42EF3">
      <w:pPr>
        <w:pStyle w:val="ListParagraph"/>
        <w:numPr>
          <w:ilvl w:val="0"/>
          <w:numId w:val="59"/>
        </w:numPr>
        <w:contextualSpacing/>
      </w:pPr>
      <w:r>
        <w:rPr>
          <w:b/>
        </w:rPr>
        <w:t>threeDEngrave</w:t>
      </w:r>
    </w:p>
    <w:p w:rsidR="005F78FC" w:rsidRDefault="00B42EF3">
      <w:pPr>
        <w:pStyle w:val="ListParagraph"/>
        <w:numPr>
          <w:ilvl w:val="0"/>
          <w:numId w:val="59"/>
        </w:numPr>
        <w:contextualSpacing/>
      </w:pPr>
      <w:r>
        <w:rPr>
          <w:b/>
        </w:rPr>
        <w:t>outset</w:t>
      </w:r>
    </w:p>
    <w:p w:rsidR="005F78FC" w:rsidRDefault="00B42EF3">
      <w:pPr>
        <w:pStyle w:val="ListParagraph"/>
        <w:numPr>
          <w:ilvl w:val="0"/>
          <w:numId w:val="59"/>
        </w:numPr>
      </w:pPr>
      <w:r>
        <w:rPr>
          <w:b/>
        </w:rPr>
        <w:t>inset</w:t>
      </w:r>
    </w:p>
    <w:p w:rsidR="005F78FC" w:rsidRDefault="00B42EF3">
      <w:r>
        <w:t>If the borders have an identical style, then each border color shall be assigned a brightness value as follows:</w:t>
      </w:r>
    </w:p>
    <w:p w:rsidR="005F78FC" w:rsidRDefault="00B42EF3">
      <w:r>
        <w:rPr>
          <w:noProof/>
        </w:rPr>
        <w:drawing>
          <wp:inline distT="0" distB="0" distL="0" distR="0">
            <wp:extent cx="1476375" cy="171450"/>
            <wp:effectExtent l="0" t="0" r="0" b="0"/>
            <wp:docPr id="11" name="Picture 1" descr="Equation for brightness value: Brightness = R + B + 2  times G" title="Equation for brightness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9b-0000-0000-0000-000000000000" descr="Equation for brightness value: Brightness = R + B + 2  times G" title="Equation for brightness value"/>
                    <pic:cNvPicPr>
                      <a:picLocks noChangeAspect="1" noChangeArrowheads="1"/>
                    </pic:cNvPicPr>
                  </pic:nvPicPr>
                  <pic:blipFill>
                    <a:blip r:embed="rId88" cstate="print"/>
                    <a:srcRect/>
                    <a:stretch>
                      <a:fillRect/>
                    </a:stretch>
                  </pic:blipFill>
                  <pic:spPr bwMode="auto">
                    <a:xfrm>
                      <a:off x="0" y="0"/>
                      <a:ext cx="1476375" cy="171450"/>
                    </a:xfrm>
                    <a:prstGeom prst="rect">
                      <a:avLst/>
                    </a:prstGeom>
                    <a:noFill/>
                    <a:ln w="9525">
                      <a:noFill/>
                      <a:miter lim="800000"/>
                      <a:headEnd/>
                      <a:tailEnd/>
                    </a:ln>
                  </pic:spPr>
                </pic:pic>
              </a:graphicData>
            </a:graphic>
          </wp:inline>
        </w:drawing>
      </w:r>
    </w:p>
    <w:p w:rsidR="005F78FC" w:rsidRDefault="00B42EF3">
      <w:r>
        <w:t>The color with the smaller brightness value shall be displayed.</w:t>
      </w:r>
    </w:p>
    <w:p w:rsidR="005F78FC" w:rsidRDefault="00B42EF3">
      <w:r>
        <w:t>If the borders have an identical brightness value, then each border colo</w:t>
      </w:r>
      <w:r>
        <w:t>r shall be assigned a new brightness value as follows:</w:t>
      </w:r>
    </w:p>
    <w:p w:rsidR="005F78FC" w:rsidRDefault="00B42EF3">
      <w:r>
        <w:rPr>
          <w:noProof/>
        </w:rPr>
        <w:drawing>
          <wp:inline distT="0" distB="0" distL="0" distR="0">
            <wp:extent cx="1247775" cy="171450"/>
            <wp:effectExtent l="0" t="0" r="0" b="0"/>
            <wp:docPr id="12" name="Picture 1" descr="Equation for brightness value: Brightness = B + 2 times G" title="Equation for brightness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9a-0000-0000-0000-000000000000" descr="Equation for brightness value: Brightness = B + 2 times G" title="Equation for brightness value"/>
                    <pic:cNvPicPr>
                      <a:picLocks noChangeAspect="1" noChangeArrowheads="1"/>
                    </pic:cNvPicPr>
                  </pic:nvPicPr>
                  <pic:blipFill>
                    <a:blip r:embed="rId89" cstate="print"/>
                    <a:srcRect/>
                    <a:stretch>
                      <a:fillRect/>
                    </a:stretch>
                  </pic:blipFill>
                  <pic:spPr bwMode="auto">
                    <a:xfrm>
                      <a:off x="0" y="0"/>
                      <a:ext cx="1247775" cy="171450"/>
                    </a:xfrm>
                    <a:prstGeom prst="rect">
                      <a:avLst/>
                    </a:prstGeom>
                    <a:noFill/>
                    <a:ln w="9525">
                      <a:noFill/>
                      <a:miter lim="800000"/>
                      <a:headEnd/>
                      <a:tailEnd/>
                    </a:ln>
                  </pic:spPr>
                </pic:pic>
              </a:graphicData>
            </a:graphic>
          </wp:inline>
        </w:drawing>
      </w:r>
    </w:p>
    <w:p w:rsidR="005F78FC" w:rsidRDefault="00B42EF3">
      <w:r>
        <w:t>The color with the smaller brightness value shall be displayed.</w:t>
      </w:r>
    </w:p>
    <w:p w:rsidR="005F78FC" w:rsidRDefault="00B42EF3">
      <w:r>
        <w:t>If the borders have an identical brightness value, then each border color shall be assigned a brightness value as follows:</w:t>
      </w:r>
    </w:p>
    <w:p w:rsidR="005F78FC" w:rsidRDefault="00B42EF3">
      <w:r>
        <w:rPr>
          <w:noProof/>
        </w:rPr>
        <w:drawing>
          <wp:inline distT="0" distB="0" distL="0" distR="0">
            <wp:extent cx="828675" cy="171450"/>
            <wp:effectExtent l="0" t="0" r="0" b="0"/>
            <wp:docPr id="13" name="Picture 1" descr="Equation for brightness value: Brightness = G" title="Equation for brightness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a1-0000-0000-0000-000000000000" descr="Equation for brightness value: Brightness = G" title="Equation for brightness value"/>
                    <pic:cNvPicPr>
                      <a:picLocks noChangeAspect="1" noChangeArrowheads="1"/>
                    </pic:cNvPicPr>
                  </pic:nvPicPr>
                  <pic:blipFill>
                    <a:blip r:embed="rId90" cstate="print"/>
                    <a:srcRect/>
                    <a:stretch>
                      <a:fillRect/>
                    </a:stretch>
                  </pic:blipFill>
                  <pic:spPr bwMode="auto">
                    <a:xfrm>
                      <a:off x="0" y="0"/>
                      <a:ext cx="828675" cy="171450"/>
                    </a:xfrm>
                    <a:prstGeom prst="rect">
                      <a:avLst/>
                    </a:prstGeom>
                    <a:noFill/>
                    <a:ln w="9525">
                      <a:noFill/>
                      <a:miter lim="800000"/>
                      <a:headEnd/>
                      <a:tailEnd/>
                    </a:ln>
                  </pic:spPr>
                </pic:pic>
              </a:graphicData>
            </a:graphic>
          </wp:inline>
        </w:drawing>
      </w:r>
    </w:p>
    <w:p w:rsidR="005F78FC" w:rsidRDefault="00B42EF3">
      <w:r>
        <w:t xml:space="preserve">The color </w:t>
      </w:r>
      <w:r>
        <w:t>with the smaller brightness value shall be displayed.</w:t>
      </w:r>
    </w:p>
    <w:p w:rsidR="005F78FC" w:rsidRDefault="00B42EF3">
      <w:r>
        <w:t>If the borders have an identical brightness value, then they are functionally identical, and the first border in reading order should be displayed.</w:t>
      </w:r>
    </w:p>
    <w:p w:rsidR="005F78FC" w:rsidRDefault="00B42EF3">
      <w:pPr>
        <w:pStyle w:val="Heading3"/>
      </w:pPr>
      <w:bookmarkStart w:id="360" w:name="section_1839bb55e06a4fd1b1813d89018a0151"/>
      <w:bookmarkStart w:id="361" w:name="_Toc69877953"/>
      <w:r>
        <w:t>Part 1 Section 17.4.67, tcFitText (Fit Text Within Cel</w:t>
      </w:r>
      <w:r>
        <w:t>l)</w:t>
      </w:r>
      <w:bookmarkEnd w:id="360"/>
      <w:bookmarkEnd w:id="361"/>
      <w:r>
        <w:fldChar w:fldCharType="begin"/>
      </w:r>
      <w:r>
        <w:instrText xml:space="preserve"> XE "tcFitText (Fit Text Within Cell)"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5F78FC" w:rsidRDefault="00B42EF3">
      <w:pPr>
        <w:pStyle w:val="Definition-Field"/>
      </w:pPr>
      <w:r>
        <w:t xml:space="preserve">a.   </w:t>
      </w:r>
      <w:r>
        <w:rPr>
          <w:i/>
        </w:rPr>
        <w:t>The standard defines no special behavior for a cell containing text with line breaks.</w:t>
      </w:r>
    </w:p>
    <w:p w:rsidR="005F78FC" w:rsidRDefault="00B42EF3">
      <w:pPr>
        <w:pStyle w:val="Definition-Field2"/>
      </w:pPr>
      <w:r>
        <w:t>In Word, the text in the first paragraph in the cell is fit, but subsequent paragraphs are not.</w:t>
      </w:r>
    </w:p>
    <w:p w:rsidR="005F78FC" w:rsidRDefault="00B42EF3">
      <w:pPr>
        <w:pStyle w:val="Definition-Field"/>
      </w:pPr>
      <w:r>
        <w:lastRenderedPageBreak/>
        <w:t xml:space="preserve">b.   </w:t>
      </w:r>
      <w:r>
        <w:rPr>
          <w:i/>
        </w:rPr>
        <w:t xml:space="preserve">The standard states </w:t>
      </w:r>
      <w:r>
        <w:rPr>
          <w:i/>
        </w:rPr>
        <w:t>that inter-character spacing shall be reduced to fit text.</w:t>
      </w:r>
    </w:p>
    <w:p w:rsidR="005F78FC" w:rsidRDefault="00B42EF3">
      <w:pPr>
        <w:pStyle w:val="Definition-Field2"/>
      </w:pPr>
      <w:r>
        <w:t>In Word, the horizontal size of non-space characters is also reduced to fit text.</w:t>
      </w:r>
    </w:p>
    <w:p w:rsidR="005F78FC" w:rsidRDefault="00B42EF3">
      <w:pPr>
        <w:pStyle w:val="Heading3"/>
      </w:pPr>
      <w:bookmarkStart w:id="362" w:name="section_57cf0f4610394fd089650ea4f8336fad"/>
      <w:bookmarkStart w:id="363" w:name="_Toc69877954"/>
      <w:r>
        <w:t>Part 1 Section 17.4.71, tcW (Preferred Table Cell Width)</w:t>
      </w:r>
      <w:bookmarkEnd w:id="362"/>
      <w:bookmarkEnd w:id="363"/>
      <w:r>
        <w:fldChar w:fldCharType="begin"/>
      </w:r>
      <w:r>
        <w:instrText xml:space="preserve"> XE "tcW (Preferred Table Cell Width)" </w:instrText>
      </w:r>
      <w:r>
        <w:fldChar w:fldCharType="end"/>
      </w:r>
    </w:p>
    <w:p w:rsidR="005F78FC" w:rsidRDefault="00B42EF3">
      <w:pPr>
        <w:pStyle w:val="Definition-Field2"/>
      </w:pPr>
      <w:r>
        <w:rPr>
          <w:i/>
        </w:rPr>
        <w:t>For additional no</w:t>
      </w:r>
      <w:r>
        <w:rPr>
          <w:i/>
        </w:rPr>
        <w:t xml:space="preserve">tes that apply to this portion of the standard, please see the notes for </w:t>
      </w:r>
      <w:hyperlink w:anchor="Section_8446a4220fe8401bb11fa2d4933ee83c">
        <w:r>
          <w:rPr>
            <w:rStyle w:val="Hyperlink"/>
          </w:rPr>
          <w:t>top, §17.4.77(a)</w:t>
        </w:r>
      </w:hyperlink>
      <w:r>
        <w:rPr>
          <w:i/>
        </w:rPr>
        <w:t xml:space="preserve">;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5F78FC" w:rsidRDefault="00B42EF3">
      <w:pPr>
        <w:pStyle w:val="Definition-Field"/>
      </w:pPr>
      <w:r>
        <w:t xml:space="preserve">a.   </w:t>
      </w:r>
      <w:r>
        <w:rPr>
          <w:i/>
        </w:rPr>
        <w:t>The standard states that if the w attribute is 0, then preferred cell width is 0.</w:t>
      </w:r>
    </w:p>
    <w:p w:rsidR="005F78FC" w:rsidRDefault="00B42EF3">
      <w:pPr>
        <w:pStyle w:val="Definition-Field2"/>
      </w:pPr>
      <w:r>
        <w:t>In Word, if the w attribute is 0, then the type attribute is interpreted as auto.</w:t>
      </w:r>
    </w:p>
    <w:p w:rsidR="005F78FC" w:rsidRDefault="00B42EF3">
      <w:pPr>
        <w:pStyle w:val="Definition-Field"/>
      </w:pPr>
      <w:r>
        <w:t xml:space="preserve">b.   </w:t>
      </w:r>
      <w:r>
        <w:rPr>
          <w:i/>
        </w:rPr>
        <w:t xml:space="preserve">The standard does </w:t>
      </w:r>
      <w:r>
        <w:rPr>
          <w:i/>
        </w:rPr>
        <w:t>not specify the behavior when type is nil.</w:t>
      </w:r>
    </w:p>
    <w:p w:rsidR="005F78FC" w:rsidRDefault="00B42EF3">
      <w:pPr>
        <w:pStyle w:val="Definition-Field2"/>
      </w:pPr>
      <w:r>
        <w:t>Word interprets the type attribute value as auto when the type attribute has a value of nil.</w:t>
      </w:r>
    </w:p>
    <w:p w:rsidR="005F78FC" w:rsidRDefault="00B42EF3">
      <w:pPr>
        <w:pStyle w:val="Heading3"/>
      </w:pPr>
      <w:bookmarkStart w:id="364" w:name="section_d1912b80175449d4a2f610af9470ec26"/>
      <w:bookmarkStart w:id="365" w:name="_Toc69877955"/>
      <w:r>
        <w:t>Part 1 Section 17.4.72, textDirection (Table Cell Text Flow Direction)</w:t>
      </w:r>
      <w:bookmarkEnd w:id="364"/>
      <w:bookmarkEnd w:id="365"/>
      <w:r>
        <w:fldChar w:fldCharType="begin"/>
      </w:r>
      <w:r>
        <w:instrText xml:space="preserve"> XE "textDirection (Table Cell Text Flow Direction</w:instrText>
      </w:r>
      <w:r>
        <w:instrText xml:space="preserve">)"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 xml:space="preserve">tcPr, </w:t>
        </w:r>
        <w:r>
          <w:rPr>
            <w:rStyle w:val="Hyperlink"/>
          </w:rPr>
          <w:t>§17.7.6.9(a)</w:t>
        </w:r>
      </w:hyperlink>
      <w:r>
        <w:rPr>
          <w:i/>
        </w:rPr>
        <w:t>.</w:t>
      </w:r>
    </w:p>
    <w:p w:rsidR="005F78FC" w:rsidRDefault="00B42EF3">
      <w:pPr>
        <w:pStyle w:val="Definition-Field"/>
      </w:pPr>
      <w:r>
        <w:t xml:space="preserve">a.   </w:t>
      </w:r>
      <w:r>
        <w:rPr>
          <w:i/>
        </w:rPr>
        <w:t>The standard states that if the textDirection element is omitted and is not specified in table style, then the table cell shall inherit text flow direction from the parent section.</w:t>
      </w:r>
    </w:p>
    <w:p w:rsidR="005F78FC" w:rsidRDefault="00B42EF3">
      <w:pPr>
        <w:pStyle w:val="Definition-Field2"/>
      </w:pPr>
      <w:r>
        <w:t xml:space="preserve">In Word, if the textDirection element is omitted and is </w:t>
      </w:r>
      <w:r>
        <w:t>not specified in table style, then the default text flow direction is lrTb.</w:t>
      </w:r>
    </w:p>
    <w:p w:rsidR="005F78FC" w:rsidRDefault="00B42EF3">
      <w:pPr>
        <w:pStyle w:val="Heading3"/>
      </w:pPr>
      <w:bookmarkStart w:id="366" w:name="section_b6367788d039424fbc44c119b62a5238"/>
      <w:bookmarkStart w:id="367" w:name="_Toc69877956"/>
      <w:r>
        <w:t>Part 1 Section 17.4.73, tl2br (Table Cell Top Left to Bottom Right Diagonal Border)</w:t>
      </w:r>
      <w:bookmarkEnd w:id="366"/>
      <w:bookmarkEnd w:id="367"/>
      <w:r>
        <w:fldChar w:fldCharType="begin"/>
      </w:r>
      <w:r>
        <w:instrText xml:space="preserve"> XE "tl2br (Table Cell Top Left to Bottom Right Diagonal Border)" </w:instrText>
      </w:r>
      <w:r>
        <w:fldChar w:fldCharType="end"/>
      </w:r>
    </w:p>
    <w:p w:rsidR="005F78FC" w:rsidRDefault="00B42EF3">
      <w:pPr>
        <w:pStyle w:val="Definition-Field2"/>
      </w:pPr>
      <w:r>
        <w:rPr>
          <w:i/>
        </w:rPr>
        <w:t>For additional notes that ap</w:t>
      </w:r>
      <w:r>
        <w:rPr>
          <w:i/>
        </w:rPr>
        <w:t xml:space="preserve">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5F78FC" w:rsidRDefault="00B42EF3">
      <w:pPr>
        <w:pStyle w:val="Definition-Field"/>
      </w:pPr>
      <w:r>
        <w:t xml:space="preserve">a.   </w:t>
      </w:r>
      <w:r>
        <w:rPr>
          <w:i/>
        </w:rPr>
        <w:t>The standard places no restrictions on the border style used in the val attribute.</w:t>
      </w:r>
    </w:p>
    <w:p w:rsidR="005F78FC" w:rsidRDefault="00B42EF3">
      <w:pPr>
        <w:pStyle w:val="Definition-Field2"/>
      </w:pPr>
      <w:r>
        <w:t>Word displays diagonal cell borders as a single solid line, except borders with dotted, dashed, dashSmallGap, d</w:t>
      </w:r>
      <w:r>
        <w:t>otDash, dotDotDash, and double border styles.</w:t>
      </w:r>
    </w:p>
    <w:p w:rsidR="005F78FC" w:rsidRDefault="00B42EF3">
      <w:pPr>
        <w:pStyle w:val="Definition-Field"/>
      </w:pPr>
      <w:r>
        <w:t xml:space="preserve">b.   </w:t>
      </w:r>
      <w:r>
        <w:rPr>
          <w:i/>
        </w:rPr>
        <w:t>The standard states that if this element is omitted then the table's border settings may be used.</w:t>
      </w:r>
    </w:p>
    <w:p w:rsidR="005F78FC" w:rsidRDefault="00B42EF3">
      <w:pPr>
        <w:pStyle w:val="Definition-Field2"/>
      </w:pPr>
      <w:r>
        <w:t>In Word, if this element is omitted, then the table styles border is used.</w:t>
      </w:r>
    </w:p>
    <w:p w:rsidR="005F78FC" w:rsidRDefault="00B42EF3">
      <w:pPr>
        <w:pStyle w:val="Heading3"/>
      </w:pPr>
      <w:bookmarkStart w:id="368" w:name="section_35e1cc297dc64e00a86e1aff557190a7"/>
      <w:bookmarkStart w:id="369" w:name="_Toc69877957"/>
      <w:r>
        <w:t>Part 1 Section 17.4.74, top (Tab</w:t>
      </w:r>
      <w:r>
        <w:t>le Cell Top Border)</w:t>
      </w:r>
      <w:bookmarkEnd w:id="368"/>
      <w:bookmarkEnd w:id="369"/>
      <w:r>
        <w:fldChar w:fldCharType="begin"/>
      </w:r>
      <w:r>
        <w:instrText xml:space="preserve"> XE "top (Table Cell Top Border)"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5F78FC" w:rsidRDefault="00B42EF3">
      <w:pPr>
        <w:pStyle w:val="Heading3"/>
      </w:pPr>
      <w:bookmarkStart w:id="370" w:name="section_27237d22be604bdfa7f2e50b688877bd"/>
      <w:bookmarkStart w:id="371" w:name="_Toc69877958"/>
      <w:r>
        <w:t>Part 1 Section 17.4.75, top (Table Cell Top Margin Default)</w:t>
      </w:r>
      <w:bookmarkEnd w:id="370"/>
      <w:bookmarkEnd w:id="371"/>
      <w:r>
        <w:fldChar w:fldCharType="begin"/>
      </w:r>
      <w:r>
        <w:instrText xml:space="preserve"> XE "top (Table Cell Top Margin Default)" </w:instrText>
      </w:r>
      <w:r>
        <w:fldChar w:fldCharType="end"/>
      </w:r>
    </w:p>
    <w:p w:rsidR="005F78FC" w:rsidRDefault="00B42EF3">
      <w:pPr>
        <w:pStyle w:val="Definition-Field2"/>
      </w:pPr>
      <w:r>
        <w:rPr>
          <w:i/>
        </w:rPr>
        <w:t>For additio</w:t>
      </w:r>
      <w:r>
        <w:rPr>
          <w:i/>
        </w:rPr>
        <w:t xml:space="preserve">nal notes that apply to this portion of the standard, please see the notes for </w:t>
      </w:r>
      <w:hyperlink w:anchor="Section_8446a4220fe8401bb11fa2d4933ee83c">
        <w:r>
          <w:rPr>
            <w:rStyle w:val="Hyperlink"/>
          </w:rPr>
          <w:t>top, §17.4.77(a)</w:t>
        </w:r>
      </w:hyperlink>
      <w:r>
        <w:rPr>
          <w:i/>
        </w:rPr>
        <w:t>.</w:t>
      </w:r>
    </w:p>
    <w:p w:rsidR="005F78FC" w:rsidRDefault="00B42EF3">
      <w:pPr>
        <w:pStyle w:val="Heading3"/>
      </w:pPr>
      <w:bookmarkStart w:id="372" w:name="section_4d15f8f654514b1fa1cb481e018c3cef"/>
      <w:bookmarkStart w:id="373" w:name="_Toc69877959"/>
      <w:r>
        <w:t>Part 1 Section 17.4.76, top (Table Top Border)</w:t>
      </w:r>
      <w:bookmarkEnd w:id="372"/>
      <w:bookmarkEnd w:id="373"/>
      <w:r>
        <w:fldChar w:fldCharType="begin"/>
      </w:r>
      <w:r>
        <w:instrText xml:space="preserve"> XE "top (Table Top Border)" </w:instrText>
      </w:r>
      <w:r>
        <w:fldChar w:fldCharType="end"/>
      </w:r>
    </w:p>
    <w:p w:rsidR="005F78FC" w:rsidRDefault="00B42EF3">
      <w:pPr>
        <w:pStyle w:val="Definition-Field2"/>
      </w:pPr>
      <w:r>
        <w:rPr>
          <w:i/>
        </w:rPr>
        <w:t>For additional not</w:t>
      </w:r>
      <w:r>
        <w:rPr>
          <w:i/>
        </w:rPr>
        <w:t xml:space="preserve">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5F78FC" w:rsidRDefault="00B42EF3">
      <w:pPr>
        <w:pStyle w:val="Heading3"/>
      </w:pPr>
      <w:bookmarkStart w:id="374" w:name="section_8446a4220fe8401bb11fa2d4933ee83c"/>
      <w:bookmarkStart w:id="375" w:name="_Toc69877960"/>
      <w:r>
        <w:lastRenderedPageBreak/>
        <w:t>Part 1 Section 17.4.77, top (Table Cell Top Margin Exception)</w:t>
      </w:r>
      <w:bookmarkEnd w:id="374"/>
      <w:bookmarkEnd w:id="375"/>
      <w:r>
        <w:fldChar w:fldCharType="begin"/>
      </w:r>
      <w:r>
        <w:instrText xml:space="preserve"> XE "top (Table Cell Top Margin Exception)" </w:instrText>
      </w:r>
      <w:r>
        <w:fldChar w:fldCharType="end"/>
      </w:r>
    </w:p>
    <w:p w:rsidR="005F78FC" w:rsidRDefault="00B42EF3">
      <w:pPr>
        <w:pStyle w:val="Definition-Field"/>
      </w:pPr>
      <w:r>
        <w:t xml:space="preserve">a.   </w:t>
      </w:r>
      <w:r>
        <w:rPr>
          <w:i/>
        </w:rPr>
        <w:t xml:space="preserve">The standard states that a 'type' attribute value of "nil" specifies that </w:t>
      </w:r>
      <w:r>
        <w:rPr>
          <w:i/>
        </w:rPr>
        <w:t>the current width is 0.</w:t>
      </w:r>
    </w:p>
    <w:p w:rsidR="005F78FC" w:rsidRDefault="00B42EF3">
      <w:pPr>
        <w:pStyle w:val="Definition-Field2"/>
      </w:pPr>
      <w:r>
        <w:t>Word ignores this element when the 'type' attribute has a value of "nil".</w:t>
      </w:r>
    </w:p>
    <w:p w:rsidR="005F78FC" w:rsidRDefault="00B42EF3">
      <w:pPr>
        <w:pStyle w:val="Heading3"/>
      </w:pPr>
      <w:bookmarkStart w:id="376" w:name="section_cc8ad504f84b4d8bac1d808e6f7b2a31"/>
      <w:bookmarkStart w:id="377" w:name="_Toc69877961"/>
      <w:r>
        <w:t>Part 1 Section 17.4.78, tr (Table Row)</w:t>
      </w:r>
      <w:bookmarkEnd w:id="376"/>
      <w:bookmarkEnd w:id="377"/>
      <w:r>
        <w:fldChar w:fldCharType="begin"/>
      </w:r>
      <w:r>
        <w:instrText xml:space="preserve"> XE "tr (Table Row)"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5F78FC" w:rsidRDefault="00B42EF3">
      <w:pPr>
        <w:pStyle w:val="Definition-Field"/>
      </w:pPr>
      <w:r>
        <w:t xml:space="preserve">a.   </w:t>
      </w:r>
      <w:r>
        <w:rPr>
          <w:i/>
        </w:rPr>
        <w:t xml:space="preserve">The standard states that if a table cell does not contain at least one child, then </w:t>
      </w:r>
      <w:r>
        <w:rPr>
          <w:i/>
        </w:rPr>
        <w:t>the file is corrupt.</w:t>
      </w:r>
    </w:p>
    <w:p w:rsidR="005F78FC" w:rsidRDefault="00B42EF3">
      <w:pPr>
        <w:pStyle w:val="Definition-Field2"/>
      </w:pPr>
      <w:r>
        <w:t>In Word, if a table row does not contain at least one child other than the row properties, then the file is corrupt.</w:t>
      </w:r>
    </w:p>
    <w:p w:rsidR="005F78FC" w:rsidRDefault="00B42EF3">
      <w:pPr>
        <w:pStyle w:val="Heading3"/>
      </w:pPr>
      <w:bookmarkStart w:id="378" w:name="section_e029a4373f4d408c945eb1b52dcb04b3"/>
      <w:bookmarkStart w:id="379" w:name="_Toc69877962"/>
      <w:r>
        <w:t>Part 1 Section 17.4.79, tr2bl (Table Cell Top Right to Bottom Left Diagonal Border)</w:t>
      </w:r>
      <w:bookmarkEnd w:id="378"/>
      <w:bookmarkEnd w:id="379"/>
      <w:r>
        <w:fldChar w:fldCharType="begin"/>
      </w:r>
      <w:r>
        <w:instrText xml:space="preserve"> XE "tr2bl (Table Cell Top Right to</w:instrText>
      </w:r>
      <w:r>
        <w:instrText xml:space="preserve"> Bottom Left Diagonal Border)"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5F78FC" w:rsidRDefault="00B42EF3">
      <w:pPr>
        <w:pStyle w:val="Definition-Field"/>
      </w:pPr>
      <w:r>
        <w:t xml:space="preserve">a.   </w:t>
      </w:r>
      <w:r>
        <w:rPr>
          <w:i/>
        </w:rPr>
        <w:t>The standard places no restrictions on the border style used in the val attribute.</w:t>
      </w:r>
    </w:p>
    <w:p w:rsidR="005F78FC" w:rsidRDefault="00B42EF3">
      <w:pPr>
        <w:pStyle w:val="Definition-Field2"/>
      </w:pPr>
      <w:r>
        <w:t xml:space="preserve">Word displays diagonal cell borders as a single </w:t>
      </w:r>
      <w:r>
        <w:t>solid line, except borders with dotted, dashed, dashSmallGap, dotDash, dotDotDash, and double border styles.</w:t>
      </w:r>
    </w:p>
    <w:p w:rsidR="005F78FC" w:rsidRDefault="00B42EF3">
      <w:pPr>
        <w:pStyle w:val="Definition-Field"/>
      </w:pPr>
      <w:r>
        <w:t xml:space="preserve">b.   </w:t>
      </w:r>
      <w:r>
        <w:rPr>
          <w:i/>
        </w:rPr>
        <w:t>The standard states that if this element is omitted then the table's border settings may be used.</w:t>
      </w:r>
    </w:p>
    <w:p w:rsidR="005F78FC" w:rsidRDefault="00B42EF3">
      <w:pPr>
        <w:pStyle w:val="Definition-Field2"/>
      </w:pPr>
      <w:r>
        <w:t>In Word, if this element is omitted, then th</w:t>
      </w:r>
      <w:r>
        <w:t>e table styles border is used.</w:t>
      </w:r>
    </w:p>
    <w:p w:rsidR="005F78FC" w:rsidRDefault="00B42EF3">
      <w:pPr>
        <w:pStyle w:val="Heading3"/>
      </w:pPr>
      <w:bookmarkStart w:id="380" w:name="section_5919e0bde6ce477e8d660e5282f5c506"/>
      <w:bookmarkStart w:id="381" w:name="_Toc69877963"/>
      <w:r>
        <w:t>Part 1 Section 17.4.80, trHeight (Table Row Height)</w:t>
      </w:r>
      <w:bookmarkEnd w:id="380"/>
      <w:bookmarkEnd w:id="381"/>
      <w:r>
        <w:fldChar w:fldCharType="begin"/>
      </w:r>
      <w:r>
        <w:instrText xml:space="preserve"> XE "trHeight (Table Row Height)"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5F78FC" w:rsidRDefault="00B42EF3">
      <w:pPr>
        <w:pStyle w:val="Definition-Field"/>
      </w:pPr>
      <w:r>
        <w:t xml:space="preserve">a.   </w:t>
      </w:r>
      <w:r>
        <w:rPr>
          <w:i/>
        </w:rPr>
        <w:t>The standard states that if the hRule attribute is omitted, then its value is assumed to be auto.</w:t>
      </w:r>
    </w:p>
    <w:p w:rsidR="005F78FC" w:rsidRDefault="00B42EF3">
      <w:pPr>
        <w:pStyle w:val="Definition-Field2"/>
      </w:pPr>
      <w:r>
        <w:t xml:space="preserve">In Word, if the hRule attribute </w:t>
      </w:r>
      <w:r>
        <w:t>is omitted, then its value is assumed to be atLeast.</w:t>
      </w:r>
    </w:p>
    <w:p w:rsidR="005F78FC" w:rsidRDefault="00B42EF3">
      <w:pPr>
        <w:pStyle w:val="Definition-Field"/>
      </w:pPr>
      <w:r>
        <w:t xml:space="preserve">b.   </w:t>
      </w:r>
      <w:r>
        <w:rPr>
          <w:i/>
        </w:rPr>
        <w:t>The standard states that the values of the val attribute are defined by the XML Schema unsignedLong datatype.</w:t>
      </w:r>
    </w:p>
    <w:p w:rsidR="005F78FC" w:rsidRDefault="00B42EF3">
      <w:pPr>
        <w:pStyle w:val="Definition-Field2"/>
      </w:pPr>
      <w:r>
        <w:t>Word defines the values of this attribute with the XML Schema unsignedInt datatype, with</w:t>
      </w:r>
      <w:r>
        <w:t xml:space="preserve"> a minimum value of 0 and a maximum value of 31680.</w:t>
      </w:r>
    </w:p>
    <w:p w:rsidR="005F78FC" w:rsidRDefault="00B42EF3">
      <w:pPr>
        <w:pStyle w:val="Definition-Field"/>
      </w:pPr>
      <w:r>
        <w:t xml:space="preserve">c.   </w:t>
      </w:r>
      <w:r>
        <w:rPr>
          <w:i/>
        </w:rPr>
        <w:t>The standard allows the hRule attribute to be set to exact while the val attribute is set to 0.</w:t>
      </w:r>
    </w:p>
    <w:p w:rsidR="005F78FC" w:rsidRDefault="00B42EF3">
      <w:pPr>
        <w:pStyle w:val="Definition-Field2"/>
      </w:pPr>
      <w:r>
        <w:t>Word requires that if the hRule attribute is set to exact, then the val attribute must not be 0.</w:t>
      </w:r>
    </w:p>
    <w:p w:rsidR="005F78FC" w:rsidRDefault="00B42EF3">
      <w:pPr>
        <w:pStyle w:val="Definition-Field"/>
      </w:pPr>
      <w:r>
        <w:t xml:space="preserve">d.   </w:t>
      </w:r>
      <w:r>
        <w:rPr>
          <w:i/>
        </w:rPr>
        <w:t>T</w:t>
      </w:r>
      <w:r>
        <w:rPr>
          <w:i/>
        </w:rPr>
        <w:t>he standard states that if the hRule attribute is exact, the row height must be exactly as specified.</w:t>
      </w:r>
    </w:p>
    <w:p w:rsidR="005F78FC" w:rsidRDefault="00B42EF3">
      <w:pPr>
        <w:pStyle w:val="Definition-Field2"/>
      </w:pPr>
      <w:r>
        <w:t>In Word, if the hRule attribute is exact, Word sets the row height to the exact height plus the largest bottom cell padding of any cell in the row.</w:t>
      </w:r>
    </w:p>
    <w:p w:rsidR="005F78FC" w:rsidRDefault="00B42EF3">
      <w:pPr>
        <w:pStyle w:val="Heading3"/>
      </w:pPr>
      <w:bookmarkStart w:id="382" w:name="section_d42f12d5178c4a6f8107e15b5b27bce8"/>
      <w:bookmarkStart w:id="383" w:name="_Toc69877964"/>
      <w:r>
        <w:lastRenderedPageBreak/>
        <w:t>Part 1</w:t>
      </w:r>
      <w:r>
        <w:t xml:space="preserve"> Section 17.4.83, vAlign (Table Cell Vertical Alignment)</w:t>
      </w:r>
      <w:bookmarkEnd w:id="382"/>
      <w:bookmarkEnd w:id="383"/>
      <w:r>
        <w:fldChar w:fldCharType="begin"/>
      </w:r>
      <w:r>
        <w:instrText xml:space="preserve"> XE "vAlign (Table Cell Vertical Alignment)" </w:instrText>
      </w:r>
      <w:r>
        <w:fldChar w:fldCharType="end"/>
      </w:r>
    </w:p>
    <w:p w:rsidR="005F78FC" w:rsidRDefault="00B42EF3">
      <w:pPr>
        <w:pStyle w:val="Definition-Field"/>
      </w:pPr>
      <w:r>
        <w:t xml:space="preserve">a.   </w:t>
      </w:r>
      <w:r>
        <w:rPr>
          <w:i/>
        </w:rPr>
        <w:t>The standard states that the values of the val attribute are defined by the ST_VerticalJc simple type.</w:t>
      </w:r>
    </w:p>
    <w:p w:rsidR="005F78FC" w:rsidRDefault="00B42EF3">
      <w:pPr>
        <w:pStyle w:val="Definition-Field2"/>
      </w:pPr>
      <w:r>
        <w:t>Word only allows the values top, center, and</w:t>
      </w:r>
      <w:r>
        <w:t xml:space="preserve"> bottom.</w:t>
      </w:r>
    </w:p>
    <w:p w:rsidR="005F78FC" w:rsidRDefault="00B42EF3">
      <w:pPr>
        <w:pStyle w:val="Heading3"/>
      </w:pPr>
      <w:bookmarkStart w:id="384" w:name="section_b23f8fd990cf47bea43371f702932446"/>
      <w:bookmarkStart w:id="385" w:name="_Toc69877965"/>
      <w:r>
        <w:t>Part 1 Section 17.4.84, vMerge (Vertically Merged Cell)</w:t>
      </w:r>
      <w:bookmarkEnd w:id="384"/>
      <w:bookmarkEnd w:id="385"/>
      <w:r>
        <w:fldChar w:fldCharType="begin"/>
      </w:r>
      <w:r>
        <w:instrText xml:space="preserve"> XE "vMerge (Vertically Merged Cell)"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5F78FC" w:rsidRDefault="00B42EF3">
      <w:pPr>
        <w:pStyle w:val="Heading3"/>
      </w:pPr>
      <w:bookmarkStart w:id="386" w:name="section_8141efd348254481b184b67376135071"/>
      <w:bookmarkStart w:id="387" w:name="_Toc69877966"/>
      <w:r>
        <w:t>Part 1 Section 17.4.85, wAfter (Preferred Width After Table Row)</w:t>
      </w:r>
      <w:bookmarkEnd w:id="386"/>
      <w:bookmarkEnd w:id="387"/>
      <w:r>
        <w:fldChar w:fldCharType="begin"/>
      </w:r>
      <w:r>
        <w:instrText xml:space="preserve"> XE "wAfter (Preferred Width After Table Row)" </w:instrText>
      </w:r>
      <w:r>
        <w:fldChar w:fldCharType="end"/>
      </w:r>
    </w:p>
    <w:p w:rsidR="005F78FC" w:rsidRDefault="00B42EF3">
      <w:pPr>
        <w:pStyle w:val="Definition-Field2"/>
      </w:pPr>
      <w:r>
        <w:rPr>
          <w:i/>
        </w:rPr>
        <w:t>For additional notes that apply to th</w:t>
      </w:r>
      <w:r>
        <w:rPr>
          <w:i/>
        </w:rPr>
        <w:t xml:space="preserve">is portion of the standard, please see the notes for </w:t>
      </w:r>
      <w:hyperlink w:anchor="Section_8446a4220fe8401bb11fa2d4933ee83c">
        <w:r>
          <w:rPr>
            <w:rStyle w:val="Hyperlink"/>
          </w:rPr>
          <w:t>top, §17.4.77(a)</w:t>
        </w:r>
      </w:hyperlink>
      <w:r>
        <w:rPr>
          <w:i/>
        </w:rPr>
        <w:t xml:space="preserve">;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5F78FC" w:rsidRDefault="00B42EF3">
      <w:pPr>
        <w:pStyle w:val="Heading3"/>
      </w:pPr>
      <w:bookmarkStart w:id="388" w:name="section_94462b68e41c45288c011a5a370b8590"/>
      <w:bookmarkStart w:id="389" w:name="_Toc69877967"/>
      <w:r>
        <w:t>Part 1 Section 17.4.86, wBefore (Preferred Width Before Table Row)</w:t>
      </w:r>
      <w:bookmarkEnd w:id="388"/>
      <w:bookmarkEnd w:id="389"/>
      <w:r>
        <w:fldChar w:fldCharType="begin"/>
      </w:r>
      <w:r>
        <w:instrText xml:space="preserve"> XE "wBefore (Preferred Width Before Table Row)"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 xml:space="preserve">;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5F78FC" w:rsidRDefault="00B42EF3">
      <w:pPr>
        <w:pStyle w:val="Definition-Field"/>
      </w:pPr>
      <w:r>
        <w:t xml:space="preserve">a.   </w:t>
      </w:r>
      <w:r>
        <w:rPr>
          <w:i/>
        </w:rPr>
        <w:t xml:space="preserve">The </w:t>
      </w:r>
      <w:r>
        <w:rPr>
          <w:i/>
        </w:rPr>
        <w:t>standard states that the wBefore element specifies the width for the grid columns specified in gridAfter.</w:t>
      </w:r>
    </w:p>
    <w:p w:rsidR="005F78FC" w:rsidRDefault="00B42EF3">
      <w:pPr>
        <w:pStyle w:val="Definition-Field2"/>
      </w:pPr>
      <w:r>
        <w:t>In Word, the wBefore element specifies the width for the grid columns specified in gridBefore.</w:t>
      </w:r>
    </w:p>
    <w:p w:rsidR="005F78FC" w:rsidRDefault="00B42EF3">
      <w:pPr>
        <w:pStyle w:val="Heading3"/>
      </w:pPr>
      <w:bookmarkStart w:id="390" w:name="section_d9b4a6f68b0743c587f234c1238911a4"/>
      <w:bookmarkStart w:id="391" w:name="_Toc69877968"/>
      <w:r>
        <w:t>Part 1 Section 17.4.87, Table Measurement (CT_TblWidth)</w:t>
      </w:r>
      <w:bookmarkEnd w:id="390"/>
      <w:bookmarkEnd w:id="391"/>
      <w:r>
        <w:fldChar w:fldCharType="begin"/>
      </w:r>
      <w:r>
        <w:instrText xml:space="preserve"> XE "Table Measurement (CT_TblWidth)"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5F78FC" w:rsidRDefault="00B42EF3">
      <w:pPr>
        <w:pStyle w:val="Definition-Field"/>
      </w:pPr>
      <w:r>
        <w:t xml:space="preserve">a.   </w:t>
      </w:r>
      <w:r>
        <w:rPr>
          <w:i/>
        </w:rPr>
        <w:t>The standard does not describe how to i</w:t>
      </w:r>
      <w:r>
        <w:rPr>
          <w:i/>
        </w:rPr>
        <w:t>nterpret the w attribute when the type attribute is set to “pct” and the value of w does not contain a percent sign.</w:t>
      </w:r>
    </w:p>
    <w:p w:rsidR="005F78FC" w:rsidRDefault="00B42EF3">
      <w:pPr>
        <w:pStyle w:val="Definition-Field2"/>
      </w:pPr>
      <w:r>
        <w:t>In Word, if the type attribute is equal to "pct" and the value of the w attribute does not contain a percent sign, the value of the w attri</w:t>
      </w:r>
      <w:r>
        <w:t>bute shall be interpreted as fiftieths of a percent.</w:t>
      </w:r>
    </w:p>
    <w:p w:rsidR="005F78FC" w:rsidRDefault="00B42EF3">
      <w:pPr>
        <w:pStyle w:val="Definition-Field"/>
      </w:pPr>
      <w:r>
        <w:t xml:space="preserve">b.   </w:t>
      </w:r>
      <w:r>
        <w:rPr>
          <w:i/>
        </w:rPr>
        <w:t>The standard does not specify the expected behavior when the 'w' attribute contains a percent sign, and the 'type' attribute is not equal to "pct".</w:t>
      </w:r>
    </w:p>
    <w:p w:rsidR="005F78FC" w:rsidRDefault="00B42EF3">
      <w:pPr>
        <w:pStyle w:val="Definition-Field2"/>
      </w:pPr>
      <w:r>
        <w:t xml:space="preserve">In Word, when the value of 'w' contains a percent </w:t>
      </w:r>
      <w:r>
        <w:t>sign, then the 'type' attribute is ignored and the value is interpreted as whole percentage points.</w:t>
      </w:r>
    </w:p>
    <w:p w:rsidR="005F78FC" w:rsidRDefault="00B42EF3">
      <w:pPr>
        <w:pStyle w:val="Definition-Field"/>
      </w:pPr>
      <w:r>
        <w:t xml:space="preserve">c.   </w:t>
      </w:r>
      <w:r>
        <w:rPr>
          <w:i/>
        </w:rPr>
        <w:t>The standard states that the values of the w attribute are defined by ST_DecimalNumberOrPercent.</w:t>
      </w:r>
    </w:p>
    <w:p w:rsidR="005F78FC" w:rsidRDefault="00B42EF3">
      <w:pPr>
        <w:pStyle w:val="Definition-Field2"/>
      </w:pPr>
      <w:r>
        <w:t>Word expects w to be XML Schema short datatype, not in</w:t>
      </w:r>
      <w:r>
        <w:t>cluding the percent sign.</w:t>
      </w:r>
    </w:p>
    <w:p w:rsidR="005F78FC" w:rsidRDefault="00B42EF3">
      <w:pPr>
        <w:pStyle w:val="Definition-Field"/>
      </w:pPr>
      <w:r>
        <w:t xml:space="preserve">d.   </w:t>
      </w:r>
      <w:r>
        <w:rPr>
          <w:i/>
        </w:rPr>
        <w:t>The standard states that the values of the w attribute are defined by ST_DecimalNumberOrPercent.</w:t>
      </w:r>
    </w:p>
    <w:p w:rsidR="005F78FC" w:rsidRDefault="00B42EF3">
      <w:pPr>
        <w:pStyle w:val="Definition-Field2"/>
      </w:pPr>
      <w:r>
        <w:t>Word expects the value of the w attribute to be greater than or equal to zero for all elements of type CT_TblWidth, except tblIn</w:t>
      </w:r>
      <w:r>
        <w:t>d.</w:t>
      </w:r>
    </w:p>
    <w:p w:rsidR="005F78FC" w:rsidRDefault="00B42EF3">
      <w:pPr>
        <w:pStyle w:val="Definition-Field"/>
        <w:rPr>
          <w:i/>
        </w:rPr>
      </w:pPr>
      <w:r>
        <w:t>e.</w:t>
      </w:r>
      <w:r>
        <w:tab/>
      </w:r>
      <w:r>
        <w:rPr>
          <w:i/>
        </w:rPr>
        <w:t>The standard does not specify in ST_UniversalMeasure that the value of the ‘w’ attribute must be preserved in its format with a suffix (mm|cm|in|pt|pc|pi) when the ‘type’ attribute is equal to “dxa”.</w:t>
      </w:r>
    </w:p>
    <w:p w:rsidR="005F78FC" w:rsidRDefault="00B42EF3">
      <w:pPr>
        <w:pStyle w:val="Definition-Field2"/>
      </w:pPr>
      <w:r>
        <w:lastRenderedPageBreak/>
        <w:t xml:space="preserve">On load, Word interprets the w attribute as </w:t>
      </w:r>
      <w:r>
        <w:t>specified by the standard, including the unit suffix. On save, Word may convert and write out the value of ‘w’ in twips.</w:t>
      </w:r>
    </w:p>
    <w:p w:rsidR="005F78FC" w:rsidRDefault="00B42EF3">
      <w:pPr>
        <w:pStyle w:val="Heading3"/>
      </w:pPr>
      <w:bookmarkStart w:id="392" w:name="section_e006e9091e854c368d77cf9b67ea3ed4"/>
      <w:bookmarkStart w:id="393" w:name="_Toc69877969"/>
      <w:r>
        <w:t>Part 1 Section 17.5.1.1, attr (Custom XML Attribute)</w:t>
      </w:r>
      <w:bookmarkEnd w:id="392"/>
      <w:bookmarkEnd w:id="393"/>
      <w:r>
        <w:fldChar w:fldCharType="begin"/>
      </w:r>
      <w:r>
        <w:instrText xml:space="preserve"> XE "attr (Custom XML Attribute)" </w:instrText>
      </w:r>
      <w:r>
        <w:fldChar w:fldCharType="end"/>
      </w:r>
    </w:p>
    <w:p w:rsidR="005F78FC" w:rsidRDefault="00B42EF3">
      <w:pPr>
        <w:pStyle w:val="Definition-Field"/>
      </w:pPr>
      <w:r>
        <w:t xml:space="preserve">a.   </w:t>
      </w:r>
      <w:r>
        <w:rPr>
          <w:i/>
        </w:rPr>
        <w:t>The standard states that the values of th</w:t>
      </w:r>
      <w:r>
        <w:rPr>
          <w:i/>
        </w:rPr>
        <w:t>e name attribute are defined by the ST_String simple type.</w:t>
      </w:r>
    </w:p>
    <w:p w:rsidR="005F78FC" w:rsidRDefault="00B42EF3">
      <w:pPr>
        <w:pStyle w:val="Definition-Field2"/>
      </w:pPr>
      <w:r>
        <w:t>Word defines the values of this attribute with the XML Schema NCName datatype, restricting it to a maximum length of 255 characters.</w:t>
      </w:r>
    </w:p>
    <w:p w:rsidR="005F78FC" w:rsidRDefault="00B42EF3">
      <w:pPr>
        <w:pStyle w:val="Heading3"/>
      </w:pPr>
      <w:bookmarkStart w:id="394" w:name="section_ea1b29f078d34ebdbc039dfcde093719"/>
      <w:bookmarkStart w:id="395" w:name="_Toc69877970"/>
      <w:r>
        <w:t>Part 1 Section 17.5.1.2, attr (Smart Tag Property)</w:t>
      </w:r>
      <w:bookmarkEnd w:id="394"/>
      <w:bookmarkEnd w:id="395"/>
      <w:r>
        <w:fldChar w:fldCharType="begin"/>
      </w:r>
      <w:r>
        <w:instrText xml:space="preserve"> XE "attr (Sma</w:instrText>
      </w:r>
      <w:r>
        <w:instrText xml:space="preserve">rt Tag Property)" </w:instrText>
      </w:r>
      <w:r>
        <w:fldChar w:fldCharType="end"/>
      </w:r>
    </w:p>
    <w:p w:rsidR="005F78FC" w:rsidRDefault="00B42EF3">
      <w:pPr>
        <w:pStyle w:val="Definition-Field"/>
      </w:pPr>
      <w:r>
        <w:t xml:space="preserve">a.   </w:t>
      </w:r>
      <w:r>
        <w:rPr>
          <w:i/>
        </w:rPr>
        <w:t>The standard does not place any restrictions on the value of the uri attribute.</w:t>
      </w:r>
    </w:p>
    <w:p w:rsidR="005F78FC" w:rsidRDefault="00B42EF3">
      <w:pPr>
        <w:pStyle w:val="Definition-Field2"/>
      </w:pPr>
      <w:r>
        <w:t>Word requires the value of this attribute to be urn:schemas-microsoft-com:office:office.</w:t>
      </w:r>
    </w:p>
    <w:p w:rsidR="005F78FC" w:rsidRDefault="00B42EF3">
      <w:pPr>
        <w:pStyle w:val="Heading3"/>
      </w:pPr>
      <w:bookmarkStart w:id="396" w:name="section_fb39493214a94ebcbf3fabfe9d946a61"/>
      <w:bookmarkStart w:id="397" w:name="_Toc69877971"/>
      <w:r>
        <w:t>Part 1 Section 17.5.1.3, customXml (Inline-Level Custom XML E</w:t>
      </w:r>
      <w:r>
        <w:t>lement)</w:t>
      </w:r>
      <w:bookmarkEnd w:id="396"/>
      <w:bookmarkEnd w:id="397"/>
      <w:r>
        <w:fldChar w:fldCharType="begin"/>
      </w:r>
      <w:r>
        <w:instrText xml:space="preserve"> XE "customXml (Inline-Level Custom XML Element)"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5F78FC" w:rsidRDefault="00B42EF3">
      <w:pPr>
        <w:pStyle w:val="Definition-Field"/>
      </w:pPr>
      <w:r>
        <w:t xml:space="preserve">a.   </w:t>
      </w:r>
      <w:r>
        <w:rPr>
          <w:i/>
        </w:rPr>
        <w:t>The standard all</w:t>
      </w:r>
      <w:r>
        <w:rPr>
          <w:i/>
        </w:rPr>
        <w:t>ows ins, del, moveTo, and moveFrom to contain inline customXml.</w:t>
      </w:r>
    </w:p>
    <w:p w:rsidR="005F78FC" w:rsidRDefault="00B42EF3">
      <w:pPr>
        <w:pStyle w:val="Definition-Field2"/>
      </w:pPr>
      <w:r>
        <w:t>Word will fail to load a file if ins, del, moveTo, or moveFrom contains inline customXml.</w:t>
      </w:r>
    </w:p>
    <w:p w:rsidR="005F78FC" w:rsidRDefault="00B42EF3">
      <w:pPr>
        <w:pStyle w:val="Definition-Field"/>
      </w:pPr>
      <w:r>
        <w:t xml:space="preserve">b.   </w:t>
      </w:r>
      <w:r>
        <w:rPr>
          <w:i/>
        </w:rPr>
        <w:t>The standard states a specific set of parent elements that can contain inline customXml elements.</w:t>
      </w:r>
    </w:p>
    <w:p w:rsidR="005F78FC" w:rsidRDefault="00B42EF3">
      <w:pPr>
        <w:pStyle w:val="Definition-Field2"/>
      </w:pPr>
      <w:r>
        <w:t>Word allows the following parent elements in addition to those already listed: deg, den, e, fName, lim, num, oMath, sub, and sup.</w:t>
      </w:r>
    </w:p>
    <w:p w:rsidR="005F78FC" w:rsidRDefault="00B42EF3">
      <w:pPr>
        <w:pStyle w:val="Definition-Field"/>
      </w:pPr>
      <w:r>
        <w:t xml:space="preserve">c.   </w:t>
      </w:r>
      <w:r>
        <w:rPr>
          <w:i/>
        </w:rPr>
        <w:t>The standard allows any string for the uri attribute.</w:t>
      </w:r>
    </w:p>
    <w:p w:rsidR="005F78FC" w:rsidRDefault="00B42EF3">
      <w:pPr>
        <w:pStyle w:val="Definition-Field2"/>
      </w:pPr>
      <w:r>
        <w:t xml:space="preserve">Word will not open a file if the uri attribute is not declared in </w:t>
      </w:r>
      <w:r>
        <w:t>an accompanying attachedSchema element.</w:t>
      </w:r>
    </w:p>
    <w:p w:rsidR="005F78FC" w:rsidRDefault="00B42EF3">
      <w:pPr>
        <w:pStyle w:val="Definition-Field"/>
      </w:pPr>
      <w:r>
        <w:t xml:space="preserve">d.   </w:t>
      </w:r>
      <w:r>
        <w:rPr>
          <w:i/>
        </w:rPr>
        <w:t>The standard states that the element attribute can contain any string value.</w:t>
      </w:r>
    </w:p>
    <w:p w:rsidR="005F78FC" w:rsidRDefault="00B42EF3">
      <w:pPr>
        <w:pStyle w:val="Definition-Field2"/>
      </w:pPr>
      <w:r>
        <w:t>Word only allows values conforming to the XML specification; a string conforming to the definition of xsd:NCName with a length of at m</w:t>
      </w:r>
      <w:r>
        <w:t>ost 255 characters.</w:t>
      </w:r>
    </w:p>
    <w:p w:rsidR="005F78FC" w:rsidRDefault="00B42EF3">
      <w:pPr>
        <w:pStyle w:val="Heading3"/>
      </w:pPr>
      <w:bookmarkStart w:id="398" w:name="section_d46901cef70f439fbc173f020a8cbb0a"/>
      <w:bookmarkStart w:id="399" w:name="_Toc69877972"/>
      <w:r>
        <w:t>Part 1 Section 17.5.1.4, customXml (Cell-Level Custom XML Element)</w:t>
      </w:r>
      <w:bookmarkEnd w:id="398"/>
      <w:bookmarkEnd w:id="399"/>
      <w:r>
        <w:fldChar w:fldCharType="begin"/>
      </w:r>
      <w:r>
        <w:instrText xml:space="preserve"> XE "customXml (Cell-Level Custom XML Element)"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5F78FC" w:rsidRDefault="00B42EF3">
      <w:pPr>
        <w:pStyle w:val="Definition-Field"/>
      </w:pPr>
      <w:r>
        <w:t xml:space="preserve">a.   </w:t>
      </w:r>
      <w:r>
        <w:rPr>
          <w:i/>
        </w:rPr>
        <w:t>The standard states that the element attribute can contain any string value.</w:t>
      </w:r>
    </w:p>
    <w:p w:rsidR="005F78FC" w:rsidRDefault="00B42EF3">
      <w:pPr>
        <w:pStyle w:val="Definition-Field2"/>
      </w:pPr>
      <w:r>
        <w:t>Word only allows values confo</w:t>
      </w:r>
      <w:r>
        <w:t>rming to the XML specification; a string conforming to the definition of xsd:NCName with a length of at most 255 characters.</w:t>
      </w:r>
    </w:p>
    <w:p w:rsidR="005F78FC" w:rsidRDefault="00B42EF3">
      <w:pPr>
        <w:pStyle w:val="Definition-Field"/>
      </w:pPr>
      <w:r>
        <w:t xml:space="preserve">b.   </w:t>
      </w:r>
      <w:r>
        <w:rPr>
          <w:i/>
        </w:rPr>
        <w:t>The standard states that the uri attribute can contain any string value.</w:t>
      </w:r>
    </w:p>
    <w:p w:rsidR="005F78FC" w:rsidRDefault="00B42EF3">
      <w:pPr>
        <w:pStyle w:val="Definition-Field2"/>
      </w:pPr>
      <w:r>
        <w:t>Word requires that the namespace specified in the uri</w:t>
      </w:r>
      <w:r>
        <w:t xml:space="preserve"> attribute be declared in an accompanying attachedSchema element.</w:t>
      </w:r>
    </w:p>
    <w:p w:rsidR="005F78FC" w:rsidRDefault="00B42EF3">
      <w:pPr>
        <w:pStyle w:val="Heading3"/>
      </w:pPr>
      <w:bookmarkStart w:id="400" w:name="section_3188c7db7968430db14806b88ecc8038"/>
      <w:bookmarkStart w:id="401" w:name="_Toc69877973"/>
      <w:r>
        <w:lastRenderedPageBreak/>
        <w:t>Part 1 Section 17.5.1.5, customXml (Row-Level Custom XML Element)</w:t>
      </w:r>
      <w:bookmarkEnd w:id="400"/>
      <w:bookmarkEnd w:id="401"/>
      <w:r>
        <w:fldChar w:fldCharType="begin"/>
      </w:r>
      <w:r>
        <w:instrText xml:space="preserve"> XE "customXml (Row-Level Custom XML Element)" </w:instrText>
      </w:r>
      <w:r>
        <w:fldChar w:fldCharType="end"/>
      </w:r>
    </w:p>
    <w:p w:rsidR="005F78FC" w:rsidRDefault="00B42EF3">
      <w:pPr>
        <w:pStyle w:val="Definition-Field2"/>
      </w:pPr>
      <w:r>
        <w:rPr>
          <w:i/>
        </w:rPr>
        <w:t>For additional notes that apply to this portion of the standard, please see</w:t>
      </w:r>
      <w:r>
        <w:rPr>
          <w:i/>
        </w:rPr>
        <w:t xml:space="preserv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5F78FC" w:rsidRDefault="00B42EF3">
      <w:pPr>
        <w:pStyle w:val="Definition-Field"/>
      </w:pPr>
      <w:r>
        <w:t xml:space="preserve">a.   </w:t>
      </w:r>
      <w:r>
        <w:rPr>
          <w:i/>
        </w:rPr>
        <w:t>The standard states that the element attribute can contain any</w:t>
      </w:r>
      <w:r>
        <w:rPr>
          <w:i/>
        </w:rPr>
        <w:t xml:space="preserve"> string value.</w:t>
      </w:r>
    </w:p>
    <w:p w:rsidR="005F78FC" w:rsidRDefault="00B42EF3">
      <w:pPr>
        <w:pStyle w:val="Definition-Field2"/>
      </w:pPr>
      <w:r>
        <w:t>Word only allows values conforming to the XML specification; a string conforming to the definition of xsd:NCName with a length of at most 255 characters.</w:t>
      </w:r>
    </w:p>
    <w:p w:rsidR="005F78FC" w:rsidRDefault="00B42EF3">
      <w:pPr>
        <w:pStyle w:val="Heading3"/>
      </w:pPr>
      <w:bookmarkStart w:id="402" w:name="section_cad2d3a17f3446278a9750e04d47fc2f"/>
      <w:bookmarkStart w:id="403" w:name="_Toc69877974"/>
      <w:r>
        <w:t>Part 1 Section 17.5.1.6, customXml (Block-Level Custom XML Element)</w:t>
      </w:r>
      <w:bookmarkEnd w:id="402"/>
      <w:bookmarkEnd w:id="403"/>
      <w:r>
        <w:fldChar w:fldCharType="begin"/>
      </w:r>
      <w:r>
        <w:instrText xml:space="preserve"> XE "customXml (Block-Level Custom XML Element)"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5F78FC" w:rsidRDefault="00B42EF3">
      <w:pPr>
        <w:pStyle w:val="Definition-Field"/>
      </w:pPr>
      <w:r>
        <w:t xml:space="preserve">a.   </w:t>
      </w:r>
      <w:r>
        <w:rPr>
          <w:i/>
        </w:rPr>
        <w:t>The standard states that the element attribute can contain any string value.</w:t>
      </w:r>
    </w:p>
    <w:p w:rsidR="005F78FC" w:rsidRDefault="00B42EF3">
      <w:pPr>
        <w:pStyle w:val="Definition-Field2"/>
      </w:pPr>
      <w:r>
        <w:t>Word only allows values conforming to the XML specification: a string conforming to the definition of xsd:NCName w</w:t>
      </w:r>
      <w:r>
        <w:t>ith a length of at most 255 characters.</w:t>
      </w:r>
    </w:p>
    <w:p w:rsidR="005F78FC" w:rsidRDefault="00B42EF3">
      <w:pPr>
        <w:pStyle w:val="Definition-Field"/>
      </w:pPr>
      <w:r>
        <w:t xml:space="preserve">b.   </w:t>
      </w:r>
      <w:r>
        <w:rPr>
          <w:i/>
        </w:rPr>
        <w:t>The standard allows any string for the uri attribute.</w:t>
      </w:r>
    </w:p>
    <w:p w:rsidR="005F78FC" w:rsidRDefault="00B42EF3">
      <w:pPr>
        <w:pStyle w:val="Definition-Field2"/>
      </w:pPr>
      <w:r>
        <w:t>Word will not open a file if the uri attribute is not declared in an accompanying attachedSchema element.</w:t>
      </w:r>
    </w:p>
    <w:p w:rsidR="005F78FC" w:rsidRDefault="00B42EF3">
      <w:pPr>
        <w:pStyle w:val="Heading3"/>
      </w:pPr>
      <w:bookmarkStart w:id="404" w:name="section_d7860fab7e4e4c1da712d9d5326bff13"/>
      <w:bookmarkStart w:id="405" w:name="_Toc69877975"/>
      <w:r>
        <w:t>Part 1 Section 17.5.1.9, smartTag (Inline-Level Sma</w:t>
      </w:r>
      <w:r>
        <w:t>rt Tag)</w:t>
      </w:r>
      <w:bookmarkEnd w:id="404"/>
      <w:bookmarkEnd w:id="405"/>
      <w:r>
        <w:fldChar w:fldCharType="begin"/>
      </w:r>
      <w:r>
        <w:instrText xml:space="preserve"> XE "smartTag (Inline-Level Smart Tag)"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5F78FC" w:rsidRDefault="00B42EF3">
      <w:pPr>
        <w:pStyle w:val="Definition-Field"/>
      </w:pPr>
      <w:r>
        <w:t xml:space="preserve">a.   </w:t>
      </w:r>
      <w:r>
        <w:rPr>
          <w:i/>
        </w:rPr>
        <w:t>The standard states that t</w:t>
      </w:r>
      <w:r>
        <w:rPr>
          <w:i/>
        </w:rPr>
        <w:t>he element attribute can contain any string value.</w:t>
      </w:r>
    </w:p>
    <w:p w:rsidR="005F78FC" w:rsidRDefault="00B42EF3">
      <w:pPr>
        <w:pStyle w:val="Definition-Field2"/>
      </w:pPr>
      <w:r>
        <w:t>Word only allows values for this attribute that conform to the xsd:NCName datatype.</w:t>
      </w:r>
    </w:p>
    <w:p w:rsidR="005F78FC" w:rsidRDefault="00B42EF3">
      <w:pPr>
        <w:pStyle w:val="Heading3"/>
      </w:pPr>
      <w:bookmarkStart w:id="406" w:name="section_7108b87e0dbb44c79a68e915b14a8392"/>
      <w:bookmarkStart w:id="407" w:name="_Toc69877976"/>
      <w:r>
        <w:t>Part 1 Section 17.5.2.6, dataBinding (XML Mapping)</w:t>
      </w:r>
      <w:bookmarkEnd w:id="406"/>
      <w:bookmarkEnd w:id="407"/>
      <w:r>
        <w:fldChar w:fldCharType="begin"/>
      </w:r>
      <w:r>
        <w:instrText xml:space="preserve"> XE "dataBinding (XML Mapping)" </w:instrText>
      </w:r>
      <w:r>
        <w:fldChar w:fldCharType="end"/>
      </w:r>
    </w:p>
    <w:p w:rsidR="005F78FC" w:rsidRDefault="00B42EF3">
      <w:pPr>
        <w:pStyle w:val="Definition-Field"/>
      </w:pPr>
      <w:r>
        <w:t xml:space="preserve">a.   </w:t>
      </w:r>
      <w:r>
        <w:rPr>
          <w:i/>
        </w:rPr>
        <w:t>The standard states that if the</w:t>
      </w:r>
      <w:r>
        <w:rPr>
          <w:i/>
        </w:rPr>
        <w:t xml:space="preserve"> parent structured document tag is of type rich text or document part gallery, then this property shall be ignored.</w:t>
      </w:r>
    </w:p>
    <w:p w:rsidR="005F78FC" w:rsidRDefault="00B42EF3">
      <w:pPr>
        <w:pStyle w:val="Definition-Field2"/>
      </w:pPr>
      <w:r>
        <w:t>Word ignores the type of the content control and reverts it to plain text if this property is present.</w:t>
      </w:r>
    </w:p>
    <w:p w:rsidR="005F78FC" w:rsidRDefault="00B42EF3">
      <w:pPr>
        <w:pStyle w:val="Heading3"/>
      </w:pPr>
      <w:bookmarkStart w:id="408" w:name="section_5869560232ea4f2baca18c805192d742"/>
      <w:bookmarkStart w:id="409" w:name="_Toc69877977"/>
      <w:r>
        <w:t>Part 1 Section 17.5.2.7, date (Date S</w:t>
      </w:r>
      <w:r>
        <w:t>tructured Document Tag)</w:t>
      </w:r>
      <w:bookmarkEnd w:id="408"/>
      <w:bookmarkEnd w:id="409"/>
      <w:r>
        <w:fldChar w:fldCharType="begin"/>
      </w:r>
      <w:r>
        <w:instrText xml:space="preserve"> XE "date (Date Structured Document Tag)" </w:instrText>
      </w:r>
      <w:r>
        <w:fldChar w:fldCharType="end"/>
      </w:r>
    </w:p>
    <w:p w:rsidR="005F78FC" w:rsidRDefault="00B42EF3">
      <w:pPr>
        <w:pStyle w:val="Definition-Field"/>
      </w:pPr>
      <w:r>
        <w:t xml:space="preserve">a.   </w:t>
      </w:r>
      <w:r>
        <w:rPr>
          <w:i/>
        </w:rPr>
        <w:t>The standard says a date structured document tag cannot contain more than one table cell and cannot contain a table cell.</w:t>
      </w:r>
    </w:p>
    <w:p w:rsidR="005F78FC" w:rsidRDefault="00B42EF3">
      <w:pPr>
        <w:pStyle w:val="Definition-Field2"/>
      </w:pPr>
      <w:r>
        <w:t>In Word, a date structured document tag cannot contain more t</w:t>
      </w:r>
      <w:r>
        <w:t>han one table cell and cannot contain a table.</w:t>
      </w:r>
    </w:p>
    <w:p w:rsidR="005F78FC" w:rsidRDefault="00B42EF3">
      <w:pPr>
        <w:pStyle w:val="Heading3"/>
      </w:pPr>
      <w:bookmarkStart w:id="410" w:name="section_3a5e135e0986496c90a772bf5238d43d"/>
      <w:bookmarkStart w:id="411" w:name="_Toc69877978"/>
      <w:r>
        <w:t>Part 1 Section 17.5.2.9, docPart (Document Part Reference)</w:t>
      </w:r>
      <w:bookmarkEnd w:id="410"/>
      <w:bookmarkEnd w:id="411"/>
      <w:r>
        <w:fldChar w:fldCharType="begin"/>
      </w:r>
      <w:r>
        <w:instrText xml:space="preserve"> XE "docPart (Document Part Reference)" </w:instrText>
      </w:r>
      <w:r>
        <w:fldChar w:fldCharType="end"/>
      </w:r>
    </w:p>
    <w:p w:rsidR="005F78FC" w:rsidRDefault="00B42EF3">
      <w:pPr>
        <w:pStyle w:val="Definition-Field"/>
      </w:pPr>
      <w:r>
        <w:t xml:space="preserve">a.   </w:t>
      </w:r>
      <w:r>
        <w:rPr>
          <w:i/>
        </w:rPr>
        <w:t>The standard states that the application shall display the placeholder text of a document part if the p</w:t>
      </w:r>
      <w:r>
        <w:rPr>
          <w:i/>
        </w:rPr>
        <w:t>arent structured document tag run contents are empty.</w:t>
      </w:r>
    </w:p>
    <w:p w:rsidR="005F78FC" w:rsidRDefault="00B42EF3">
      <w:pPr>
        <w:pStyle w:val="Definition-Field2"/>
      </w:pPr>
      <w:r>
        <w:t>Word does not display the placeholder text until the user clicks in and out of the structured document tag.</w:t>
      </w:r>
    </w:p>
    <w:p w:rsidR="005F78FC" w:rsidRDefault="00B42EF3">
      <w:pPr>
        <w:pStyle w:val="Heading3"/>
      </w:pPr>
      <w:bookmarkStart w:id="412" w:name="section_1bc668d079434affb0ab5debbec78e1d"/>
      <w:bookmarkStart w:id="413" w:name="_Toc69877979"/>
      <w:r>
        <w:lastRenderedPageBreak/>
        <w:t>Part 1 Section 17.5.2.18, id (Unique ID)</w:t>
      </w:r>
      <w:bookmarkEnd w:id="412"/>
      <w:bookmarkEnd w:id="413"/>
      <w:r>
        <w:fldChar w:fldCharType="begin"/>
      </w:r>
      <w:r>
        <w:instrText xml:space="preserve"> XE "id (Unique ID)" </w:instrText>
      </w:r>
      <w:r>
        <w:fldChar w:fldCharType="end"/>
      </w:r>
    </w:p>
    <w:p w:rsidR="005F78FC" w:rsidRDefault="00B42EF3">
      <w:pPr>
        <w:pStyle w:val="Definition-Field"/>
      </w:pPr>
      <w:r>
        <w:t xml:space="preserve">a.   </w:t>
      </w:r>
      <w:r>
        <w:rPr>
          <w:i/>
        </w:rPr>
        <w:t xml:space="preserve">The standard states that </w:t>
      </w:r>
      <w:r>
        <w:rPr>
          <w:i/>
        </w:rPr>
        <w:t>if multiple SDTs specify the same value for id, then the first SDT is maintained, and others get a new ID.</w:t>
      </w:r>
    </w:p>
    <w:p w:rsidR="005F78FC" w:rsidRDefault="00B42EF3">
      <w:pPr>
        <w:pStyle w:val="Definition-Field2"/>
      </w:pPr>
      <w:r>
        <w:t>Word discards each SDT completely (leaving its contents) except the last one.</w:t>
      </w:r>
    </w:p>
    <w:p w:rsidR="005F78FC" w:rsidRDefault="00B42EF3">
      <w:pPr>
        <w:pStyle w:val="Heading3"/>
      </w:pPr>
      <w:bookmarkStart w:id="414" w:name="section_9105ab06e3984c73a1484b3b02dc0a3f"/>
      <w:bookmarkStart w:id="415" w:name="_Toc69877980"/>
      <w:r>
        <w:t>Part 1 Section 17.5.2.19, label (Structured Document Tag Label)</w:t>
      </w:r>
      <w:bookmarkEnd w:id="414"/>
      <w:bookmarkEnd w:id="415"/>
      <w:r>
        <w:fldChar w:fldCharType="begin"/>
      </w:r>
      <w:r>
        <w:instrText xml:space="preserve"> XE "lab</w:instrText>
      </w:r>
      <w:r>
        <w:instrText xml:space="preserve">el (Structured Document Tag Label)" </w:instrText>
      </w:r>
      <w:r>
        <w:fldChar w:fldCharType="end"/>
      </w:r>
    </w:p>
    <w:p w:rsidR="005F78FC" w:rsidRDefault="00B42EF3">
      <w:pPr>
        <w:pStyle w:val="Definition-Field"/>
      </w:pPr>
      <w:r>
        <w:t xml:space="preserve">a.   </w:t>
      </w:r>
      <w:r>
        <w:rPr>
          <w:i/>
        </w:rPr>
        <w:t>The standard states that this element specifies a label identifier associated with the current structured document tag.</w:t>
      </w:r>
    </w:p>
    <w:p w:rsidR="005F78FC" w:rsidRDefault="00B42EF3">
      <w:pPr>
        <w:pStyle w:val="Definition-Field2"/>
      </w:pPr>
      <w:r>
        <w:t>Word ignores this element.</w:t>
      </w:r>
    </w:p>
    <w:p w:rsidR="005F78FC" w:rsidRDefault="00B42EF3">
      <w:pPr>
        <w:pStyle w:val="Heading3"/>
      </w:pPr>
      <w:bookmarkStart w:id="416" w:name="section_1871b640e0af43cd8bb29ac3ed938a57"/>
      <w:bookmarkStart w:id="417" w:name="_Toc69877981"/>
      <w:r>
        <w:t>Part 1 Section 17.5.2.20, lid (Date Picker Language ID)</w:t>
      </w:r>
      <w:bookmarkEnd w:id="416"/>
      <w:bookmarkEnd w:id="417"/>
      <w:r>
        <w:fldChar w:fldCharType="begin"/>
      </w:r>
      <w:r>
        <w:instrText xml:space="preserve"> XE "lid (Date Picker Language ID)"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c73305a2b02643f9846307203a71f773">
        <w:r>
          <w:rPr>
            <w:rStyle w:val="Hyperlink"/>
          </w:rPr>
          <w:t>lid, §17.14.17(a)</w:t>
        </w:r>
      </w:hyperlink>
      <w:r>
        <w:rPr>
          <w:i/>
        </w:rPr>
        <w:t>.</w:t>
      </w:r>
    </w:p>
    <w:p w:rsidR="005F78FC" w:rsidRDefault="00B42EF3">
      <w:pPr>
        <w:pStyle w:val="Heading3"/>
      </w:pPr>
      <w:bookmarkStart w:id="418" w:name="section_99ab35907a1e4b41bb584e0c1c535215"/>
      <w:bookmarkStart w:id="419" w:name="_Toc69877982"/>
      <w:r>
        <w:t>Part 1 Section 17.5.2.25, placeholder (Struct</w:t>
      </w:r>
      <w:r>
        <w:t>ured Document Tag Placeholder Text)</w:t>
      </w:r>
      <w:bookmarkEnd w:id="418"/>
      <w:bookmarkEnd w:id="419"/>
      <w:r>
        <w:fldChar w:fldCharType="begin"/>
      </w:r>
      <w:r>
        <w:instrText xml:space="preserve"> XE "placeholder (Structured Document Tag Placeholder Text)" </w:instrText>
      </w:r>
      <w:r>
        <w:fldChar w:fldCharType="end"/>
      </w:r>
    </w:p>
    <w:p w:rsidR="005F78FC" w:rsidRDefault="00B42EF3">
      <w:pPr>
        <w:pStyle w:val="Definition-Field"/>
      </w:pPr>
      <w:r>
        <w:t xml:space="preserve">a.   </w:t>
      </w:r>
      <w:r>
        <w:rPr>
          <w:i/>
        </w:rPr>
        <w:t>The standard states that the placeholder text shall be displayed when the parent structured document tag's run is empty</w:t>
      </w:r>
    </w:p>
    <w:p w:rsidR="005F78FC" w:rsidRDefault="00B42EF3">
      <w:pPr>
        <w:pStyle w:val="Definition-Field2"/>
      </w:pPr>
      <w:r>
        <w:t xml:space="preserve">Application does not show </w:t>
      </w:r>
      <w:r>
        <w:t>content control nor the placeholder text</w:t>
      </w:r>
    </w:p>
    <w:p w:rsidR="005F78FC" w:rsidRDefault="00B42EF3">
      <w:pPr>
        <w:pStyle w:val="Heading3"/>
      </w:pPr>
      <w:bookmarkStart w:id="420" w:name="section_6bd198dd11e345f39c350fb448216a02"/>
      <w:bookmarkStart w:id="421" w:name="_Toc69877983"/>
      <w:r>
        <w:t>Part 1 Section 17.5.2.27, rPr (Run Properties For Structured Document Tag Contents)</w:t>
      </w:r>
      <w:bookmarkEnd w:id="420"/>
      <w:bookmarkEnd w:id="421"/>
      <w:r>
        <w:fldChar w:fldCharType="begin"/>
      </w:r>
      <w:r>
        <w:instrText xml:space="preserve"> XE "rPr (Run Properties For Structured Document Tag Contents)" </w:instrText>
      </w:r>
      <w:r>
        <w:fldChar w:fldCharType="end"/>
      </w:r>
    </w:p>
    <w:p w:rsidR="005F78FC" w:rsidRDefault="00B42EF3">
      <w:pPr>
        <w:pStyle w:val="Definition-Field2"/>
      </w:pPr>
      <w:r>
        <w:rPr>
          <w:i/>
        </w:rPr>
        <w:t xml:space="preserve">For additional notes that apply to this portion of the standard, </w:t>
      </w:r>
      <w:r>
        <w:rPr>
          <w:i/>
        </w:rPr>
        <w:t xml:space="preserve">please see the notes for </w:t>
      </w:r>
      <w:hyperlink w:anchor="Section_94590ec4e4c14f7ab967abe6bf8658b2">
        <w:r>
          <w:rPr>
            <w:rStyle w:val="Hyperlink"/>
          </w:rPr>
          <w:t>oMath, §17.3.2.22(a)</w:t>
        </w:r>
      </w:hyperlink>
      <w:r>
        <w:rPr>
          <w:i/>
        </w:rPr>
        <w:t>.</w:t>
      </w:r>
    </w:p>
    <w:p w:rsidR="005F78FC" w:rsidRDefault="00B42EF3">
      <w:pPr>
        <w:pStyle w:val="Heading3"/>
      </w:pPr>
      <w:bookmarkStart w:id="422" w:name="section_8099cfe74fb24c51acf499ff0f09a2f4"/>
      <w:bookmarkStart w:id="423" w:name="_Toc69877984"/>
      <w:r>
        <w:t>Part 1 Section 17.5.2.28, rPr (Structured Document Tag End Character Run Properties)</w:t>
      </w:r>
      <w:bookmarkEnd w:id="422"/>
      <w:bookmarkEnd w:id="423"/>
      <w:r>
        <w:fldChar w:fldCharType="begin"/>
      </w:r>
      <w:r>
        <w:instrText xml:space="preserve"> XE "rPr (Structured Document Tag End Character Run Properties</w:instrText>
      </w:r>
      <w:r>
        <w:instrText xml:space="preserve">)"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94590ec4e4c14f7ab967abe6bf8658b2">
        <w:r>
          <w:rPr>
            <w:rStyle w:val="Hyperlink"/>
          </w:rPr>
          <w:t>oMath, §17.3.2.22(a)</w:t>
        </w:r>
      </w:hyperlink>
      <w:r>
        <w:rPr>
          <w:i/>
        </w:rPr>
        <w:t>.</w:t>
      </w:r>
    </w:p>
    <w:p w:rsidR="005F78FC" w:rsidRDefault="00B42EF3">
      <w:pPr>
        <w:pStyle w:val="Heading3"/>
      </w:pPr>
      <w:bookmarkStart w:id="424" w:name="section_e395604b15d9406089b7acdc18864414"/>
      <w:bookmarkStart w:id="425" w:name="_Toc69877985"/>
      <w:r>
        <w:t>Part 1 Section 17.5.2.30, sdt (Row-Level Structured Document Tag)</w:t>
      </w:r>
      <w:bookmarkEnd w:id="424"/>
      <w:bookmarkEnd w:id="425"/>
      <w:r>
        <w:fldChar w:fldCharType="begin"/>
      </w:r>
      <w:r>
        <w:instrText xml:space="preserve"> XE "sdt (</w:instrText>
      </w:r>
      <w:r>
        <w:instrText xml:space="preserve">Row-Level Structured Document Tag)" </w:instrText>
      </w:r>
      <w:r>
        <w:fldChar w:fldCharType="end"/>
      </w:r>
    </w:p>
    <w:p w:rsidR="005F78FC" w:rsidRDefault="00B42EF3">
      <w:pPr>
        <w:pStyle w:val="Definition-Field"/>
      </w:pPr>
      <w:r>
        <w:t xml:space="preserve">a.   </w:t>
      </w:r>
      <w:r>
        <w:rPr>
          <w:i/>
        </w:rPr>
        <w:t>The standard does not allow range elements as children of the sdt element.</w:t>
      </w:r>
    </w:p>
    <w:p w:rsidR="005F78FC" w:rsidRDefault="00B42EF3">
      <w:r>
        <w:t>Word allows the following additional elements as child elements of the sdt element:</w:t>
      </w:r>
    </w:p>
    <w:tbl>
      <w:tblPr>
        <w:tblStyle w:val="Table-ShadedHeader"/>
        <w:tblW w:w="0" w:type="auto"/>
        <w:tblLook w:val="04A0" w:firstRow="1" w:lastRow="0" w:firstColumn="1" w:lastColumn="0" w:noHBand="0" w:noVBand="1"/>
      </w:tblPr>
      <w:tblGrid>
        <w:gridCol w:w="8784"/>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Child Elements</w:t>
            </w:r>
          </w:p>
        </w:tc>
      </w:tr>
      <w:tr w:rsidR="005F78FC" w:rsidTr="005F78FC">
        <w:tc>
          <w:tcPr>
            <w:tcW w:w="0" w:type="auto"/>
            <w:vAlign w:val="center"/>
          </w:tcPr>
          <w:p w:rsidR="005F78FC" w:rsidRDefault="00B42EF3">
            <w:pPr>
              <w:pStyle w:val="TableBodyText"/>
            </w:pPr>
            <w:r>
              <w:rPr>
                <w:b/>
              </w:rPr>
              <w:t>bookmarkEnd</w:t>
            </w:r>
            <w:r>
              <w:t xml:space="preserve"> ("</w:t>
            </w:r>
            <w:hyperlink r:id="rId91">
              <w:r>
                <w:rPr>
                  <w:rStyle w:val="Hyperlink"/>
                </w:rPr>
                <w:t>[ISO/IEC-29500-1]</w:t>
              </w:r>
            </w:hyperlink>
            <w:r>
              <w:t xml:space="preserve"> §17.13.6.1; bookmarkEnd")</w:t>
            </w:r>
          </w:p>
        </w:tc>
      </w:tr>
      <w:tr w:rsidR="005F78FC" w:rsidTr="005F78FC">
        <w:tc>
          <w:tcPr>
            <w:tcW w:w="0" w:type="auto"/>
            <w:vAlign w:val="center"/>
          </w:tcPr>
          <w:p w:rsidR="005F78FC" w:rsidRDefault="00B42EF3">
            <w:pPr>
              <w:pStyle w:val="TableBodyText"/>
            </w:pPr>
            <w:r>
              <w:rPr>
                <w:b/>
              </w:rPr>
              <w:t>bookmarkStart</w:t>
            </w:r>
            <w:r>
              <w:t xml:space="preserve"> ("[ISO/IEC-29500-1] §17.13.6.2; bookmarkStart")</w:t>
            </w:r>
          </w:p>
        </w:tc>
      </w:tr>
      <w:tr w:rsidR="005F78FC" w:rsidTr="005F78FC">
        <w:tc>
          <w:tcPr>
            <w:tcW w:w="0" w:type="auto"/>
            <w:vAlign w:val="center"/>
          </w:tcPr>
          <w:p w:rsidR="005F78FC" w:rsidRDefault="00B42EF3">
            <w:pPr>
              <w:pStyle w:val="TableBodyText"/>
            </w:pPr>
            <w:r>
              <w:rPr>
                <w:b/>
              </w:rPr>
              <w:t>commentRangeEnd</w:t>
            </w:r>
            <w:r>
              <w:t xml:space="preserve"> ("[ISO/IEC-29500-1] §17.13.4.3; commentRangeEnd")</w:t>
            </w:r>
          </w:p>
        </w:tc>
      </w:tr>
      <w:tr w:rsidR="005F78FC" w:rsidTr="005F78FC">
        <w:tc>
          <w:tcPr>
            <w:tcW w:w="0" w:type="auto"/>
            <w:vAlign w:val="center"/>
          </w:tcPr>
          <w:p w:rsidR="005F78FC" w:rsidRDefault="00B42EF3">
            <w:pPr>
              <w:pStyle w:val="TableBodyText"/>
            </w:pPr>
            <w:r>
              <w:rPr>
                <w:b/>
              </w:rPr>
              <w:t>commentRangeStart</w:t>
            </w:r>
            <w:r>
              <w:t xml:space="preserve"> ("[ISO/IEC-29500-1]</w:t>
            </w:r>
            <w:r>
              <w:t xml:space="preserve"> §17.13.4.4; commentRangeStart")</w:t>
            </w:r>
          </w:p>
        </w:tc>
      </w:tr>
      <w:tr w:rsidR="005F78FC" w:rsidTr="005F78FC">
        <w:tc>
          <w:tcPr>
            <w:tcW w:w="0" w:type="auto"/>
            <w:vAlign w:val="center"/>
          </w:tcPr>
          <w:p w:rsidR="005F78FC" w:rsidRDefault="00B42EF3">
            <w:pPr>
              <w:pStyle w:val="TableBodyText"/>
            </w:pPr>
            <w:r>
              <w:rPr>
                <w:b/>
              </w:rPr>
              <w:t>customXmlDelRangeEnd</w:t>
            </w:r>
            <w:r>
              <w:t xml:space="preserve"> ("[ISO/IEC-29500-1] §17.13.5.4; customXmlDelRangeEnd")</w:t>
            </w:r>
          </w:p>
        </w:tc>
      </w:tr>
      <w:tr w:rsidR="005F78FC" w:rsidTr="005F78FC">
        <w:tc>
          <w:tcPr>
            <w:tcW w:w="0" w:type="auto"/>
            <w:vAlign w:val="center"/>
          </w:tcPr>
          <w:p w:rsidR="005F78FC" w:rsidRDefault="00B42EF3">
            <w:pPr>
              <w:pStyle w:val="TableBodyText"/>
            </w:pPr>
            <w:r>
              <w:rPr>
                <w:b/>
              </w:rPr>
              <w:lastRenderedPageBreak/>
              <w:t>customXmlDelRangeStart</w:t>
            </w:r>
            <w:r>
              <w:t xml:space="preserve"> ("[ISO/IEC-29500-1] §17.13.5.5; customXmlDelRangeStart")</w:t>
            </w:r>
          </w:p>
        </w:tc>
      </w:tr>
      <w:tr w:rsidR="005F78FC" w:rsidTr="005F78FC">
        <w:tc>
          <w:tcPr>
            <w:tcW w:w="0" w:type="auto"/>
            <w:vAlign w:val="center"/>
          </w:tcPr>
          <w:p w:rsidR="005F78FC" w:rsidRDefault="00B42EF3">
            <w:pPr>
              <w:pStyle w:val="TableBodyText"/>
            </w:pPr>
            <w:r>
              <w:rPr>
                <w:b/>
              </w:rPr>
              <w:t>customXmlInsRangeEnd</w:t>
            </w:r>
            <w:r>
              <w:t xml:space="preserve"> ("[ISO/IEC-29500-1] §17.13.5.6; customXmlIn</w:t>
            </w:r>
            <w:r>
              <w:t>sRangeEnd")</w:t>
            </w:r>
          </w:p>
        </w:tc>
      </w:tr>
      <w:tr w:rsidR="005F78FC" w:rsidTr="005F78FC">
        <w:tc>
          <w:tcPr>
            <w:tcW w:w="0" w:type="auto"/>
            <w:vAlign w:val="center"/>
          </w:tcPr>
          <w:p w:rsidR="005F78FC" w:rsidRDefault="00B42EF3">
            <w:pPr>
              <w:pStyle w:val="TableBodyText"/>
            </w:pPr>
            <w:r>
              <w:rPr>
                <w:b/>
              </w:rPr>
              <w:t>customXmlInsRangeStart</w:t>
            </w:r>
            <w:r>
              <w:t xml:space="preserve"> ("[ISO/IEC-29500-1] §17.13.5.7; customXmlInsRangeStart")</w:t>
            </w:r>
          </w:p>
        </w:tc>
      </w:tr>
      <w:tr w:rsidR="005F78FC" w:rsidTr="005F78FC">
        <w:tc>
          <w:tcPr>
            <w:tcW w:w="0" w:type="auto"/>
            <w:vAlign w:val="center"/>
          </w:tcPr>
          <w:p w:rsidR="005F78FC" w:rsidRDefault="00B42EF3">
            <w:pPr>
              <w:pStyle w:val="TableBodyText"/>
            </w:pPr>
            <w:r>
              <w:rPr>
                <w:b/>
              </w:rPr>
              <w:t>customXmlMoveFromRangeEnd</w:t>
            </w:r>
            <w:r>
              <w:t xml:space="preserve"> ("[ISO/IEC-29500-1] §17.13.5.8; customXmlMoveFromRangeEnd")</w:t>
            </w:r>
          </w:p>
        </w:tc>
      </w:tr>
      <w:tr w:rsidR="005F78FC" w:rsidTr="005F78FC">
        <w:tc>
          <w:tcPr>
            <w:tcW w:w="0" w:type="auto"/>
            <w:vAlign w:val="center"/>
          </w:tcPr>
          <w:p w:rsidR="005F78FC" w:rsidRDefault="00B42EF3">
            <w:pPr>
              <w:pStyle w:val="TableBodyText"/>
            </w:pPr>
            <w:r>
              <w:rPr>
                <w:b/>
              </w:rPr>
              <w:t>customXmlMoveFromRangeStart</w:t>
            </w:r>
            <w:r>
              <w:t xml:space="preserve"> ("[ISO/IEC-29500-1] §17.13.5.9; customXmlMoveFr</w:t>
            </w:r>
            <w:r>
              <w:t>omRangeStart")</w:t>
            </w:r>
          </w:p>
        </w:tc>
      </w:tr>
      <w:tr w:rsidR="005F78FC" w:rsidTr="005F78FC">
        <w:tc>
          <w:tcPr>
            <w:tcW w:w="0" w:type="auto"/>
            <w:vAlign w:val="center"/>
          </w:tcPr>
          <w:p w:rsidR="005F78FC" w:rsidRDefault="00B42EF3">
            <w:pPr>
              <w:pStyle w:val="TableBodyText"/>
            </w:pPr>
            <w:r>
              <w:rPr>
                <w:b/>
              </w:rPr>
              <w:t>customXmlMoveToRangeEnd</w:t>
            </w:r>
            <w:r>
              <w:t xml:space="preserve"> ("[ISO/IEC-29500-1] §17.13.5.10; customXmlMoveToRangeEnd")</w:t>
            </w:r>
          </w:p>
        </w:tc>
      </w:tr>
      <w:tr w:rsidR="005F78FC" w:rsidTr="005F78FC">
        <w:tc>
          <w:tcPr>
            <w:tcW w:w="0" w:type="auto"/>
            <w:vAlign w:val="center"/>
          </w:tcPr>
          <w:p w:rsidR="005F78FC" w:rsidRDefault="00B42EF3">
            <w:pPr>
              <w:pStyle w:val="TableBodyText"/>
            </w:pPr>
            <w:r>
              <w:rPr>
                <w:b/>
              </w:rPr>
              <w:t>customXmlMoveToRangeStart</w:t>
            </w:r>
            <w:r>
              <w:t xml:space="preserve"> ("[ISO/IEC-29500-1] §17.13.5.11; customXmlMoveToRangeStart")</w:t>
            </w:r>
          </w:p>
        </w:tc>
      </w:tr>
      <w:tr w:rsidR="005F78FC" w:rsidTr="005F78FC">
        <w:tc>
          <w:tcPr>
            <w:tcW w:w="0" w:type="auto"/>
            <w:vAlign w:val="center"/>
          </w:tcPr>
          <w:p w:rsidR="005F78FC" w:rsidRDefault="00B42EF3">
            <w:pPr>
              <w:pStyle w:val="TableBodyText"/>
            </w:pPr>
            <w:r>
              <w:rPr>
                <w:b/>
              </w:rPr>
              <w:t>moveFromRangeEnd</w:t>
            </w:r>
            <w:r>
              <w:t xml:space="preserve"> ("[ISO/IEC-29500-1] §17.13.5.23; moveFromRangeEnd")</w:t>
            </w:r>
          </w:p>
        </w:tc>
      </w:tr>
      <w:tr w:rsidR="005F78FC" w:rsidTr="005F78FC">
        <w:tc>
          <w:tcPr>
            <w:tcW w:w="0" w:type="auto"/>
            <w:vAlign w:val="center"/>
          </w:tcPr>
          <w:p w:rsidR="005F78FC" w:rsidRDefault="00B42EF3">
            <w:pPr>
              <w:pStyle w:val="TableBodyText"/>
            </w:pPr>
            <w:r>
              <w:rPr>
                <w:b/>
              </w:rPr>
              <w:t>moveFromRangeStart</w:t>
            </w:r>
            <w:r>
              <w:t xml:space="preserve"> ("[ISO/IEC-29500-1] §17.13.5.24; moveFromRangeStart")</w:t>
            </w:r>
          </w:p>
        </w:tc>
      </w:tr>
      <w:tr w:rsidR="005F78FC" w:rsidTr="005F78FC">
        <w:tc>
          <w:tcPr>
            <w:tcW w:w="0" w:type="auto"/>
            <w:vAlign w:val="center"/>
          </w:tcPr>
          <w:p w:rsidR="005F78FC" w:rsidRDefault="00B42EF3">
            <w:pPr>
              <w:pStyle w:val="TableBodyText"/>
            </w:pPr>
            <w:r>
              <w:rPr>
                <w:b/>
              </w:rPr>
              <w:t>moveToRangeEnd</w:t>
            </w:r>
            <w:r>
              <w:t xml:space="preserve"> ("[ISO/IEC-29500-1] §17.13.5.27; moveToRangeEnd")</w:t>
            </w:r>
          </w:p>
        </w:tc>
      </w:tr>
      <w:tr w:rsidR="005F78FC" w:rsidTr="005F78FC">
        <w:tc>
          <w:tcPr>
            <w:tcW w:w="0" w:type="auto"/>
            <w:vAlign w:val="center"/>
          </w:tcPr>
          <w:p w:rsidR="005F78FC" w:rsidRDefault="00B42EF3">
            <w:pPr>
              <w:pStyle w:val="TableBodyText"/>
            </w:pPr>
            <w:r>
              <w:rPr>
                <w:b/>
              </w:rPr>
              <w:t>moveToRangeStart</w:t>
            </w:r>
            <w:r>
              <w:t xml:space="preserve"> ("[ISO/IEC-29500-1] §17.13.5.28; moveToRangeStart")</w:t>
            </w:r>
          </w:p>
        </w:tc>
      </w:tr>
    </w:tbl>
    <w:p w:rsidR="005F78FC" w:rsidRDefault="005F78FC"/>
    <w:p w:rsidR="005F78FC" w:rsidRDefault="00B42EF3">
      <w:pPr>
        <w:pStyle w:val="Heading3"/>
      </w:pPr>
      <w:bookmarkStart w:id="426" w:name="section_85def6dbd37f460ea39e7417858aec50"/>
      <w:bookmarkStart w:id="427" w:name="_Toc69877986"/>
      <w:r>
        <w:t>Part 1 Section 17.5.2.31, sdt (Inline-Level Structured Document Tag)</w:t>
      </w:r>
      <w:bookmarkEnd w:id="426"/>
      <w:bookmarkEnd w:id="427"/>
      <w:r>
        <w:fldChar w:fldCharType="begin"/>
      </w:r>
      <w:r>
        <w:instrText xml:space="preserve"> XE "sdt (Inline-Level Structured Document Tag)"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5F78FC" w:rsidRDefault="00B42EF3">
      <w:pPr>
        <w:pStyle w:val="Definition-Field"/>
      </w:pPr>
      <w:r>
        <w:t xml:space="preserve">a.   </w:t>
      </w:r>
      <w:r>
        <w:rPr>
          <w:i/>
        </w:rPr>
        <w:t>The standard does not allow range elements as children of the sdt element.</w:t>
      </w:r>
    </w:p>
    <w:p w:rsidR="005F78FC" w:rsidRDefault="00B42EF3">
      <w:r>
        <w:t>Word allows the following additional elements as child elements of the sdt element:</w:t>
      </w:r>
    </w:p>
    <w:tbl>
      <w:tblPr>
        <w:tblStyle w:val="Table-ShadedHeader"/>
        <w:tblW w:w="0" w:type="auto"/>
        <w:tblLook w:val="04A0" w:firstRow="1" w:lastRow="0" w:firstColumn="1" w:lastColumn="0" w:noHBand="0" w:noVBand="1"/>
      </w:tblPr>
      <w:tblGrid>
        <w:gridCol w:w="8784"/>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Child Ele</w:t>
            </w:r>
            <w:r>
              <w:t>ments</w:t>
            </w:r>
          </w:p>
        </w:tc>
      </w:tr>
      <w:tr w:rsidR="005F78FC" w:rsidTr="005F78FC">
        <w:tc>
          <w:tcPr>
            <w:tcW w:w="0" w:type="auto"/>
            <w:vAlign w:val="center"/>
          </w:tcPr>
          <w:p w:rsidR="005F78FC" w:rsidRDefault="00B42EF3">
            <w:pPr>
              <w:pStyle w:val="TableBodyText"/>
            </w:pPr>
            <w:r>
              <w:rPr>
                <w:b/>
              </w:rPr>
              <w:t>bookmarkEnd</w:t>
            </w:r>
            <w:r>
              <w:t xml:space="preserve"> ("</w:t>
            </w:r>
            <w:hyperlink r:id="rId92">
              <w:r>
                <w:rPr>
                  <w:rStyle w:val="Hyperlink"/>
                </w:rPr>
                <w:t>[ISO/IEC-29500-1]</w:t>
              </w:r>
            </w:hyperlink>
            <w:r>
              <w:t xml:space="preserve"> §17.13.6.1; bookmarkEnd")</w:t>
            </w:r>
          </w:p>
        </w:tc>
      </w:tr>
      <w:tr w:rsidR="005F78FC" w:rsidTr="005F78FC">
        <w:tc>
          <w:tcPr>
            <w:tcW w:w="0" w:type="auto"/>
            <w:vAlign w:val="center"/>
          </w:tcPr>
          <w:p w:rsidR="005F78FC" w:rsidRDefault="00B42EF3">
            <w:pPr>
              <w:pStyle w:val="TableBodyText"/>
            </w:pPr>
            <w:r>
              <w:rPr>
                <w:b/>
              </w:rPr>
              <w:t>bookmarkStart</w:t>
            </w:r>
            <w:r>
              <w:t xml:space="preserve"> ("[ISO/IEC-29500-1] §17.13.6.2; bookmarkStart")</w:t>
            </w:r>
          </w:p>
        </w:tc>
      </w:tr>
      <w:tr w:rsidR="005F78FC" w:rsidTr="005F78FC">
        <w:tc>
          <w:tcPr>
            <w:tcW w:w="0" w:type="auto"/>
            <w:vAlign w:val="center"/>
          </w:tcPr>
          <w:p w:rsidR="005F78FC" w:rsidRDefault="00B42EF3">
            <w:pPr>
              <w:pStyle w:val="TableBodyText"/>
            </w:pPr>
            <w:r>
              <w:rPr>
                <w:b/>
              </w:rPr>
              <w:t>commentRangeEnd</w:t>
            </w:r>
            <w:r>
              <w:t xml:space="preserve"> ("[ISO/IEC-29500-1] §17.13.4.3; commentRangeE</w:t>
            </w:r>
            <w:r>
              <w:t>nd")</w:t>
            </w:r>
          </w:p>
        </w:tc>
      </w:tr>
      <w:tr w:rsidR="005F78FC" w:rsidTr="005F78FC">
        <w:tc>
          <w:tcPr>
            <w:tcW w:w="0" w:type="auto"/>
            <w:vAlign w:val="center"/>
          </w:tcPr>
          <w:p w:rsidR="005F78FC" w:rsidRDefault="00B42EF3">
            <w:pPr>
              <w:pStyle w:val="TableBodyText"/>
            </w:pPr>
            <w:r>
              <w:rPr>
                <w:b/>
              </w:rPr>
              <w:t>commentRangeStart</w:t>
            </w:r>
            <w:r>
              <w:t xml:space="preserve"> ("[ISO/IEC-29500-1] §17.13.4.4; commentRangeStart")</w:t>
            </w:r>
          </w:p>
        </w:tc>
      </w:tr>
      <w:tr w:rsidR="005F78FC" w:rsidTr="005F78FC">
        <w:tc>
          <w:tcPr>
            <w:tcW w:w="0" w:type="auto"/>
            <w:vAlign w:val="center"/>
          </w:tcPr>
          <w:p w:rsidR="005F78FC" w:rsidRDefault="00B42EF3">
            <w:pPr>
              <w:pStyle w:val="TableBodyText"/>
            </w:pPr>
            <w:r>
              <w:rPr>
                <w:b/>
              </w:rPr>
              <w:t>customXmlDelRangeEnd</w:t>
            </w:r>
            <w:r>
              <w:t xml:space="preserve"> ("[ISO/IEC-29500-1] §17.13.5.4; customXmlDelRangeEnd")</w:t>
            </w:r>
          </w:p>
        </w:tc>
      </w:tr>
      <w:tr w:rsidR="005F78FC" w:rsidTr="005F78FC">
        <w:tc>
          <w:tcPr>
            <w:tcW w:w="0" w:type="auto"/>
            <w:vAlign w:val="center"/>
          </w:tcPr>
          <w:p w:rsidR="005F78FC" w:rsidRDefault="00B42EF3">
            <w:pPr>
              <w:pStyle w:val="TableBodyText"/>
            </w:pPr>
            <w:r>
              <w:rPr>
                <w:b/>
              </w:rPr>
              <w:t>customXmlDelRangeStart</w:t>
            </w:r>
            <w:r>
              <w:t xml:space="preserve"> ("[ISO/IEC-29500-1] §17.13.5.5; customXmlDelRangeStart")</w:t>
            </w:r>
          </w:p>
        </w:tc>
      </w:tr>
      <w:tr w:rsidR="005F78FC" w:rsidTr="005F78FC">
        <w:tc>
          <w:tcPr>
            <w:tcW w:w="0" w:type="auto"/>
            <w:vAlign w:val="center"/>
          </w:tcPr>
          <w:p w:rsidR="005F78FC" w:rsidRDefault="00B42EF3">
            <w:pPr>
              <w:pStyle w:val="TableBodyText"/>
            </w:pPr>
            <w:r>
              <w:rPr>
                <w:b/>
              </w:rPr>
              <w:t>customXmlInsRangeEnd</w:t>
            </w:r>
            <w:r>
              <w:t xml:space="preserve"> ("[ISO/IEC-29500-1] §17.13.5.6; customXmlInsRangeEnd")</w:t>
            </w:r>
          </w:p>
        </w:tc>
      </w:tr>
      <w:tr w:rsidR="005F78FC" w:rsidTr="005F78FC">
        <w:tc>
          <w:tcPr>
            <w:tcW w:w="0" w:type="auto"/>
            <w:vAlign w:val="center"/>
          </w:tcPr>
          <w:p w:rsidR="005F78FC" w:rsidRDefault="00B42EF3">
            <w:pPr>
              <w:pStyle w:val="TableBodyText"/>
            </w:pPr>
            <w:r>
              <w:rPr>
                <w:b/>
              </w:rPr>
              <w:t>customXmlInsRangeStart</w:t>
            </w:r>
            <w:r>
              <w:t xml:space="preserve"> ("[ISO/IEC-29500-1] §17.13.5.7; customXmlInsRangeStart")</w:t>
            </w:r>
          </w:p>
        </w:tc>
      </w:tr>
      <w:tr w:rsidR="005F78FC" w:rsidTr="005F78FC">
        <w:tc>
          <w:tcPr>
            <w:tcW w:w="0" w:type="auto"/>
            <w:vAlign w:val="center"/>
          </w:tcPr>
          <w:p w:rsidR="005F78FC" w:rsidRDefault="00B42EF3">
            <w:pPr>
              <w:pStyle w:val="TableBodyText"/>
            </w:pPr>
            <w:r>
              <w:rPr>
                <w:b/>
              </w:rPr>
              <w:t>customXmlMoveFromRangeEnd</w:t>
            </w:r>
            <w:r>
              <w:t xml:space="preserve"> ("[ISO/IEC-29500-1] §17.13.5.8; customXmlMoveFromRangeEnd")</w:t>
            </w:r>
          </w:p>
        </w:tc>
      </w:tr>
      <w:tr w:rsidR="005F78FC" w:rsidTr="005F78FC">
        <w:tc>
          <w:tcPr>
            <w:tcW w:w="0" w:type="auto"/>
            <w:vAlign w:val="center"/>
          </w:tcPr>
          <w:p w:rsidR="005F78FC" w:rsidRDefault="00B42EF3">
            <w:pPr>
              <w:pStyle w:val="TableBodyText"/>
            </w:pPr>
            <w:r>
              <w:rPr>
                <w:b/>
              </w:rPr>
              <w:t>customXmlMoveFromRangeStart</w:t>
            </w:r>
            <w:r>
              <w:t xml:space="preserve"> ("[</w:t>
            </w:r>
            <w:r>
              <w:t>ISO/IEC-29500-1] §17.13.5.9; customXmlMoveFromRangeStart")</w:t>
            </w:r>
          </w:p>
        </w:tc>
      </w:tr>
      <w:tr w:rsidR="005F78FC" w:rsidTr="005F78FC">
        <w:tc>
          <w:tcPr>
            <w:tcW w:w="0" w:type="auto"/>
            <w:vAlign w:val="center"/>
          </w:tcPr>
          <w:p w:rsidR="005F78FC" w:rsidRDefault="00B42EF3">
            <w:pPr>
              <w:pStyle w:val="TableBodyText"/>
            </w:pPr>
            <w:r>
              <w:rPr>
                <w:b/>
              </w:rPr>
              <w:t>customXmlMoveToRangeEnd</w:t>
            </w:r>
            <w:r>
              <w:t xml:space="preserve"> ("[ISO/IEC-29500-1] §17.13.5.10; customXmlMoveToRangeEnd")</w:t>
            </w:r>
          </w:p>
        </w:tc>
      </w:tr>
      <w:tr w:rsidR="005F78FC" w:rsidTr="005F78FC">
        <w:tc>
          <w:tcPr>
            <w:tcW w:w="0" w:type="auto"/>
            <w:vAlign w:val="center"/>
          </w:tcPr>
          <w:p w:rsidR="005F78FC" w:rsidRDefault="00B42EF3">
            <w:pPr>
              <w:pStyle w:val="TableBodyText"/>
            </w:pPr>
            <w:r>
              <w:rPr>
                <w:b/>
              </w:rPr>
              <w:t>customXmlMoveToRangeStart</w:t>
            </w:r>
            <w:r>
              <w:t xml:space="preserve"> ("[ISO/IEC-29500-1] §17.13.5.11; customXmlMoveToRangeStart")</w:t>
            </w:r>
          </w:p>
        </w:tc>
      </w:tr>
      <w:tr w:rsidR="005F78FC" w:rsidTr="005F78FC">
        <w:tc>
          <w:tcPr>
            <w:tcW w:w="0" w:type="auto"/>
            <w:vAlign w:val="center"/>
          </w:tcPr>
          <w:p w:rsidR="005F78FC" w:rsidRDefault="00B42EF3">
            <w:pPr>
              <w:pStyle w:val="TableBodyText"/>
            </w:pPr>
            <w:r>
              <w:rPr>
                <w:b/>
              </w:rPr>
              <w:t>moveFromRangeEnd</w:t>
            </w:r>
            <w:r>
              <w:t xml:space="preserve"> ("[ISO/</w:t>
            </w:r>
            <w:r>
              <w:t>IEC-29500-1] §17.13.5.23; moveFromRangeEnd")</w:t>
            </w:r>
          </w:p>
        </w:tc>
      </w:tr>
      <w:tr w:rsidR="005F78FC" w:rsidTr="005F78FC">
        <w:tc>
          <w:tcPr>
            <w:tcW w:w="0" w:type="auto"/>
            <w:vAlign w:val="center"/>
          </w:tcPr>
          <w:p w:rsidR="005F78FC" w:rsidRDefault="00B42EF3">
            <w:pPr>
              <w:pStyle w:val="TableBodyText"/>
            </w:pPr>
            <w:r>
              <w:rPr>
                <w:b/>
              </w:rPr>
              <w:lastRenderedPageBreak/>
              <w:t>moveFromRangeStart</w:t>
            </w:r>
            <w:r>
              <w:t xml:space="preserve"> ("[ISO/IEC-29500-1] §17.13.5.24; moveFromRangeStart")</w:t>
            </w:r>
          </w:p>
        </w:tc>
      </w:tr>
      <w:tr w:rsidR="005F78FC" w:rsidTr="005F78FC">
        <w:tc>
          <w:tcPr>
            <w:tcW w:w="0" w:type="auto"/>
            <w:vAlign w:val="center"/>
          </w:tcPr>
          <w:p w:rsidR="005F78FC" w:rsidRDefault="00B42EF3">
            <w:pPr>
              <w:pStyle w:val="TableBodyText"/>
            </w:pPr>
            <w:r>
              <w:rPr>
                <w:b/>
              </w:rPr>
              <w:t>moveToRangeEnd</w:t>
            </w:r>
            <w:r>
              <w:t xml:space="preserve"> ("[ISO/IEC-29500-1] §17.13.5.27; moveToRangeEnd")</w:t>
            </w:r>
          </w:p>
        </w:tc>
      </w:tr>
      <w:tr w:rsidR="005F78FC" w:rsidTr="005F78FC">
        <w:tc>
          <w:tcPr>
            <w:tcW w:w="0" w:type="auto"/>
            <w:vAlign w:val="center"/>
          </w:tcPr>
          <w:p w:rsidR="005F78FC" w:rsidRDefault="00B42EF3">
            <w:pPr>
              <w:pStyle w:val="TableBodyText"/>
            </w:pPr>
            <w:r>
              <w:rPr>
                <w:b/>
              </w:rPr>
              <w:t>moveToRangeStart</w:t>
            </w:r>
            <w:r>
              <w:t xml:space="preserve"> ("[ISO/IEC-29500-1] §17.13.5.28; moveToRangeStart")</w:t>
            </w:r>
          </w:p>
        </w:tc>
      </w:tr>
    </w:tbl>
    <w:p w:rsidR="005F78FC" w:rsidRDefault="005F78FC"/>
    <w:p w:rsidR="005F78FC" w:rsidRDefault="00B42EF3">
      <w:pPr>
        <w:pStyle w:val="Heading3"/>
      </w:pPr>
      <w:bookmarkStart w:id="428" w:name="section_4232a2561a874a59af30a23a5f2d3e59"/>
      <w:bookmarkStart w:id="429" w:name="_Toc69877987"/>
      <w:r>
        <w:t>Part 1 Section 17.5.2.32, sdt (Cell-Level Structured Document Tag)</w:t>
      </w:r>
      <w:bookmarkEnd w:id="428"/>
      <w:bookmarkEnd w:id="429"/>
      <w:r>
        <w:fldChar w:fldCharType="begin"/>
      </w:r>
      <w:r>
        <w:instrText xml:space="preserve"> XE "sdt (Cell-Level Structured Document Tag)" </w:instrText>
      </w:r>
      <w:r>
        <w:fldChar w:fldCharType="end"/>
      </w:r>
    </w:p>
    <w:p w:rsidR="005F78FC" w:rsidRDefault="00B42EF3">
      <w:pPr>
        <w:pStyle w:val="Definition-Field"/>
      </w:pPr>
      <w:r>
        <w:t xml:space="preserve">a.   </w:t>
      </w:r>
      <w:r>
        <w:rPr>
          <w:i/>
        </w:rPr>
        <w:t>The standard does not allow range elements as children of the sdt element.</w:t>
      </w:r>
    </w:p>
    <w:p w:rsidR="005F78FC" w:rsidRDefault="00B42EF3">
      <w:r>
        <w:t>Word allows the following additional elements as child elem</w:t>
      </w:r>
      <w:r>
        <w:t>ents of the sdt element:</w:t>
      </w:r>
    </w:p>
    <w:tbl>
      <w:tblPr>
        <w:tblStyle w:val="Table-ShadedHeader"/>
        <w:tblW w:w="0" w:type="auto"/>
        <w:tblLook w:val="04A0" w:firstRow="1" w:lastRow="0" w:firstColumn="1" w:lastColumn="0" w:noHBand="0" w:noVBand="1"/>
      </w:tblPr>
      <w:tblGrid>
        <w:gridCol w:w="8784"/>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Child Elements</w:t>
            </w:r>
          </w:p>
        </w:tc>
      </w:tr>
      <w:tr w:rsidR="005F78FC" w:rsidTr="005F78FC">
        <w:tc>
          <w:tcPr>
            <w:tcW w:w="0" w:type="auto"/>
            <w:vAlign w:val="center"/>
          </w:tcPr>
          <w:p w:rsidR="005F78FC" w:rsidRDefault="00B42EF3">
            <w:pPr>
              <w:pStyle w:val="TableBodyText"/>
            </w:pPr>
            <w:r>
              <w:rPr>
                <w:b/>
              </w:rPr>
              <w:t>bookmarkEnd</w:t>
            </w:r>
            <w:r>
              <w:t xml:space="preserve"> ("</w:t>
            </w:r>
            <w:hyperlink r:id="rId93">
              <w:r>
                <w:rPr>
                  <w:rStyle w:val="Hyperlink"/>
                </w:rPr>
                <w:t>[ISO/IEC-29500-1]</w:t>
              </w:r>
            </w:hyperlink>
            <w:r>
              <w:t xml:space="preserve"> §17.13.6.1; bookmarkEnd")</w:t>
            </w:r>
          </w:p>
        </w:tc>
      </w:tr>
      <w:tr w:rsidR="005F78FC" w:rsidTr="005F78FC">
        <w:tc>
          <w:tcPr>
            <w:tcW w:w="0" w:type="auto"/>
            <w:vAlign w:val="center"/>
          </w:tcPr>
          <w:p w:rsidR="005F78FC" w:rsidRDefault="00B42EF3">
            <w:pPr>
              <w:pStyle w:val="TableBodyText"/>
            </w:pPr>
            <w:r>
              <w:rPr>
                <w:b/>
              </w:rPr>
              <w:t>bookmarkStart</w:t>
            </w:r>
            <w:r>
              <w:t xml:space="preserve"> ("[ISO/IEC-29500-1] §17.13.6.2; bookmarkStart")</w:t>
            </w:r>
          </w:p>
        </w:tc>
      </w:tr>
      <w:tr w:rsidR="005F78FC" w:rsidTr="005F78FC">
        <w:tc>
          <w:tcPr>
            <w:tcW w:w="0" w:type="auto"/>
            <w:vAlign w:val="center"/>
          </w:tcPr>
          <w:p w:rsidR="005F78FC" w:rsidRDefault="00B42EF3">
            <w:pPr>
              <w:pStyle w:val="TableBodyText"/>
            </w:pPr>
            <w:r>
              <w:rPr>
                <w:b/>
              </w:rPr>
              <w:t>commentRangeEnd</w:t>
            </w:r>
            <w:r>
              <w:t xml:space="preserve"> ("[ISO/IEC-</w:t>
            </w:r>
            <w:r>
              <w:t>29500-1] §17.13.4.3; commentRangeEnd")</w:t>
            </w:r>
          </w:p>
        </w:tc>
      </w:tr>
      <w:tr w:rsidR="005F78FC" w:rsidTr="005F78FC">
        <w:tc>
          <w:tcPr>
            <w:tcW w:w="0" w:type="auto"/>
            <w:vAlign w:val="center"/>
          </w:tcPr>
          <w:p w:rsidR="005F78FC" w:rsidRDefault="00B42EF3">
            <w:pPr>
              <w:pStyle w:val="TableBodyText"/>
            </w:pPr>
            <w:r>
              <w:rPr>
                <w:b/>
              </w:rPr>
              <w:t>commentRangeStart</w:t>
            </w:r>
            <w:r>
              <w:t xml:space="preserve"> ("[ISO/IEC-29500-1] §17.13.4.4; commentRangeStart")</w:t>
            </w:r>
          </w:p>
        </w:tc>
      </w:tr>
      <w:tr w:rsidR="005F78FC" w:rsidTr="005F78FC">
        <w:tc>
          <w:tcPr>
            <w:tcW w:w="0" w:type="auto"/>
            <w:vAlign w:val="center"/>
          </w:tcPr>
          <w:p w:rsidR="005F78FC" w:rsidRDefault="00B42EF3">
            <w:pPr>
              <w:pStyle w:val="TableBodyText"/>
            </w:pPr>
            <w:r>
              <w:rPr>
                <w:b/>
              </w:rPr>
              <w:t>customXmlDelRangeEnd</w:t>
            </w:r>
            <w:r>
              <w:t xml:space="preserve"> ("[ISO/IEC-29500-1] §17.13.5.4; customXmlDelRangeEnd")</w:t>
            </w:r>
          </w:p>
        </w:tc>
      </w:tr>
      <w:tr w:rsidR="005F78FC" w:rsidTr="005F78FC">
        <w:tc>
          <w:tcPr>
            <w:tcW w:w="0" w:type="auto"/>
            <w:vAlign w:val="center"/>
          </w:tcPr>
          <w:p w:rsidR="005F78FC" w:rsidRDefault="00B42EF3">
            <w:pPr>
              <w:pStyle w:val="TableBodyText"/>
            </w:pPr>
            <w:r>
              <w:rPr>
                <w:b/>
              </w:rPr>
              <w:t>customXmlDelRangeStart</w:t>
            </w:r>
            <w:r>
              <w:t xml:space="preserve"> ("[ISO/IEC-29500-1]</w:t>
            </w:r>
            <w:r>
              <w:t xml:space="preserve"> §17.13.5.5; customXmlDelRangeStart")</w:t>
            </w:r>
          </w:p>
        </w:tc>
      </w:tr>
      <w:tr w:rsidR="005F78FC" w:rsidTr="005F78FC">
        <w:tc>
          <w:tcPr>
            <w:tcW w:w="0" w:type="auto"/>
            <w:vAlign w:val="center"/>
          </w:tcPr>
          <w:p w:rsidR="005F78FC" w:rsidRDefault="00B42EF3">
            <w:pPr>
              <w:pStyle w:val="TableBodyText"/>
            </w:pPr>
            <w:r>
              <w:rPr>
                <w:b/>
              </w:rPr>
              <w:t>customXmlInsRangeEnd</w:t>
            </w:r>
            <w:r>
              <w:t xml:space="preserve"> ("[ISO/IEC-29500-1] §17.13.5.6; customXmlInsRangeEnd")</w:t>
            </w:r>
          </w:p>
        </w:tc>
      </w:tr>
      <w:tr w:rsidR="005F78FC" w:rsidTr="005F78FC">
        <w:tc>
          <w:tcPr>
            <w:tcW w:w="0" w:type="auto"/>
            <w:vAlign w:val="center"/>
          </w:tcPr>
          <w:p w:rsidR="005F78FC" w:rsidRDefault="00B42EF3">
            <w:pPr>
              <w:pStyle w:val="TableBodyText"/>
            </w:pPr>
            <w:r>
              <w:rPr>
                <w:b/>
              </w:rPr>
              <w:t>customXmlInsRangeStart</w:t>
            </w:r>
            <w:r>
              <w:t xml:space="preserve"> ("[ISO/IEC-29500-1] §17.13.5.7; customXmlInsRangeStart")</w:t>
            </w:r>
          </w:p>
        </w:tc>
      </w:tr>
      <w:tr w:rsidR="005F78FC" w:rsidTr="005F78FC">
        <w:tc>
          <w:tcPr>
            <w:tcW w:w="0" w:type="auto"/>
            <w:vAlign w:val="center"/>
          </w:tcPr>
          <w:p w:rsidR="005F78FC" w:rsidRDefault="00B42EF3">
            <w:pPr>
              <w:pStyle w:val="TableBodyText"/>
            </w:pPr>
            <w:r>
              <w:rPr>
                <w:b/>
              </w:rPr>
              <w:t>customXmlMoveFromRangeEnd</w:t>
            </w:r>
            <w:r>
              <w:t xml:space="preserve"> ("[ISO/IEC-29500-1] §17.13.5.8; c</w:t>
            </w:r>
            <w:r>
              <w:t>ustomXmlMoveFromRangeEnd")</w:t>
            </w:r>
          </w:p>
        </w:tc>
      </w:tr>
      <w:tr w:rsidR="005F78FC" w:rsidTr="005F78FC">
        <w:tc>
          <w:tcPr>
            <w:tcW w:w="0" w:type="auto"/>
            <w:vAlign w:val="center"/>
          </w:tcPr>
          <w:p w:rsidR="005F78FC" w:rsidRDefault="00B42EF3">
            <w:pPr>
              <w:pStyle w:val="TableBodyText"/>
            </w:pPr>
            <w:r>
              <w:rPr>
                <w:b/>
              </w:rPr>
              <w:t>customXmlMoveFromRangeStart</w:t>
            </w:r>
            <w:r>
              <w:t xml:space="preserve"> ("[ISO/IEC-29500-1] §17.13.5.9; customXmlMoveFromRangeStart")</w:t>
            </w:r>
          </w:p>
        </w:tc>
      </w:tr>
      <w:tr w:rsidR="005F78FC" w:rsidTr="005F78FC">
        <w:tc>
          <w:tcPr>
            <w:tcW w:w="0" w:type="auto"/>
            <w:vAlign w:val="center"/>
          </w:tcPr>
          <w:p w:rsidR="005F78FC" w:rsidRDefault="00B42EF3">
            <w:pPr>
              <w:pStyle w:val="TableBodyText"/>
            </w:pPr>
            <w:r>
              <w:rPr>
                <w:b/>
              </w:rPr>
              <w:t>customXmlMoveToRangeEnd</w:t>
            </w:r>
            <w:r>
              <w:t xml:space="preserve"> ("[ISO/IEC-29500-1] §17.13.5.10; customXmlMoveToRangeEnd")</w:t>
            </w:r>
          </w:p>
        </w:tc>
      </w:tr>
      <w:tr w:rsidR="005F78FC" w:rsidTr="005F78FC">
        <w:tc>
          <w:tcPr>
            <w:tcW w:w="0" w:type="auto"/>
            <w:vAlign w:val="center"/>
          </w:tcPr>
          <w:p w:rsidR="005F78FC" w:rsidRDefault="00B42EF3">
            <w:pPr>
              <w:pStyle w:val="TableBodyText"/>
            </w:pPr>
            <w:r>
              <w:rPr>
                <w:b/>
              </w:rPr>
              <w:t>customXmlMoveToRangeStart</w:t>
            </w:r>
            <w:r>
              <w:t xml:space="preserve"> ("[ISO/IEC-29500-1] §17.13.</w:t>
            </w:r>
            <w:r>
              <w:t>5.11; customXmlMoveToRangeStart")</w:t>
            </w:r>
          </w:p>
        </w:tc>
      </w:tr>
      <w:tr w:rsidR="005F78FC" w:rsidTr="005F78FC">
        <w:tc>
          <w:tcPr>
            <w:tcW w:w="0" w:type="auto"/>
            <w:vAlign w:val="center"/>
          </w:tcPr>
          <w:p w:rsidR="005F78FC" w:rsidRDefault="00B42EF3">
            <w:pPr>
              <w:pStyle w:val="TableBodyText"/>
            </w:pPr>
            <w:r>
              <w:rPr>
                <w:b/>
              </w:rPr>
              <w:t>moveFromRangeEnd</w:t>
            </w:r>
            <w:r>
              <w:t xml:space="preserve"> ("[ISO/IEC-29500-1] §17.13.5.23; moveFromRangeEnd")</w:t>
            </w:r>
          </w:p>
        </w:tc>
      </w:tr>
      <w:tr w:rsidR="005F78FC" w:rsidTr="005F78FC">
        <w:tc>
          <w:tcPr>
            <w:tcW w:w="0" w:type="auto"/>
            <w:vAlign w:val="center"/>
          </w:tcPr>
          <w:p w:rsidR="005F78FC" w:rsidRDefault="00B42EF3">
            <w:pPr>
              <w:pStyle w:val="TableBodyText"/>
            </w:pPr>
            <w:r>
              <w:rPr>
                <w:b/>
              </w:rPr>
              <w:t>moveFromRangeStart</w:t>
            </w:r>
            <w:r>
              <w:t xml:space="preserve"> ("[ISO/IEC-29500-1] §17.13.5.24; moveFromRangeStart")</w:t>
            </w:r>
          </w:p>
        </w:tc>
      </w:tr>
      <w:tr w:rsidR="005F78FC" w:rsidTr="005F78FC">
        <w:tc>
          <w:tcPr>
            <w:tcW w:w="0" w:type="auto"/>
            <w:vAlign w:val="center"/>
          </w:tcPr>
          <w:p w:rsidR="005F78FC" w:rsidRDefault="00B42EF3">
            <w:pPr>
              <w:pStyle w:val="TableBodyText"/>
            </w:pPr>
            <w:r>
              <w:rPr>
                <w:b/>
              </w:rPr>
              <w:t>moveToRangeEnd</w:t>
            </w:r>
            <w:r>
              <w:t xml:space="preserve"> ("[ISO/IEC-29500-1] §17.13.5.27; moveToRangeEnd")</w:t>
            </w:r>
          </w:p>
        </w:tc>
      </w:tr>
      <w:tr w:rsidR="005F78FC" w:rsidTr="005F78FC">
        <w:tc>
          <w:tcPr>
            <w:tcW w:w="0" w:type="auto"/>
            <w:vAlign w:val="center"/>
          </w:tcPr>
          <w:p w:rsidR="005F78FC" w:rsidRDefault="00B42EF3">
            <w:pPr>
              <w:pStyle w:val="TableBodyText"/>
            </w:pPr>
            <w:r>
              <w:rPr>
                <w:b/>
              </w:rPr>
              <w:t>moveToRange</w:t>
            </w:r>
            <w:r>
              <w:rPr>
                <w:b/>
              </w:rPr>
              <w:t>Start</w:t>
            </w:r>
            <w:r>
              <w:t xml:space="preserve"> ("[ISO/IEC-29500-1] §17.13.5.28; moveToRangeStart")</w:t>
            </w:r>
          </w:p>
        </w:tc>
      </w:tr>
    </w:tbl>
    <w:p w:rsidR="005F78FC" w:rsidRDefault="005F78FC"/>
    <w:p w:rsidR="005F78FC" w:rsidRDefault="00B42EF3">
      <w:pPr>
        <w:pStyle w:val="Heading3"/>
      </w:pPr>
      <w:bookmarkStart w:id="430" w:name="section_7f335d09bee1415e9a2bb867cdfd17bc"/>
      <w:bookmarkStart w:id="431" w:name="_Toc69877988"/>
      <w:r>
        <w:t>Part 1 Section 17.5.2.33, sdtContent (Cell-Level Structured Document Tag Content)</w:t>
      </w:r>
      <w:bookmarkEnd w:id="430"/>
      <w:bookmarkEnd w:id="431"/>
      <w:r>
        <w:fldChar w:fldCharType="begin"/>
      </w:r>
      <w:r>
        <w:instrText xml:space="preserve"> XE "sdtContent (Cell-Level Structured Document Tag Content)"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w:t>
        </w:r>
        <w:r>
          <w:rPr>
            <w:rStyle w:val="Hyperlink"/>
          </w:rPr>
          <w:t>.78(c)</w:t>
        </w:r>
      </w:hyperlink>
      <w:r>
        <w:rPr>
          <w:i/>
        </w:rPr>
        <w:t>.</w:t>
      </w:r>
    </w:p>
    <w:p w:rsidR="005F78FC" w:rsidRDefault="00B42EF3">
      <w:pPr>
        <w:pStyle w:val="Heading3"/>
      </w:pPr>
      <w:bookmarkStart w:id="432" w:name="section_6be4f41f2dba418e9586a427af43e12e"/>
      <w:bookmarkStart w:id="433" w:name="_Toc69877989"/>
      <w:r>
        <w:lastRenderedPageBreak/>
        <w:t>Part 1 Section 17.5.2.34, sdtContent (Block-Level Structured Document Tag Content)</w:t>
      </w:r>
      <w:bookmarkEnd w:id="432"/>
      <w:bookmarkEnd w:id="433"/>
      <w:r>
        <w:fldChar w:fldCharType="begin"/>
      </w:r>
      <w:r>
        <w:instrText xml:space="preserve"> XE "sdtContent (Block-Level Structured Document Tag Content)"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5F78FC" w:rsidRDefault="00B42EF3">
      <w:pPr>
        <w:pStyle w:val="Heading3"/>
      </w:pPr>
      <w:bookmarkStart w:id="434" w:name="section_e620584d36d841cda011ded3f5c84e3a"/>
      <w:bookmarkStart w:id="435" w:name="_Toc69877990"/>
      <w:r>
        <w:t>Part 1 Section 17.5.2.35, sdtContent (Row-Level Structured Document Tag Content)</w:t>
      </w:r>
      <w:bookmarkEnd w:id="434"/>
      <w:bookmarkEnd w:id="435"/>
      <w:r>
        <w:fldChar w:fldCharType="begin"/>
      </w:r>
      <w:r>
        <w:instrText xml:space="preserve"> XE "sdtCont</w:instrText>
      </w:r>
      <w:r>
        <w:instrText xml:space="preserve">ent (Row-Level Structured Document Tag Content)"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5F78FC" w:rsidRDefault="00B42EF3">
      <w:pPr>
        <w:pStyle w:val="Heading3"/>
      </w:pPr>
      <w:bookmarkStart w:id="436" w:name="section_bc8e1043bdc24731aea36e6b045a6471"/>
      <w:bookmarkStart w:id="437" w:name="_Toc69877991"/>
      <w:r>
        <w:t>Part 1 Section 17.5.2.36, sdtContent (Inline-Level Structured Document Tag Content)</w:t>
      </w:r>
      <w:bookmarkEnd w:id="436"/>
      <w:bookmarkEnd w:id="437"/>
      <w:r>
        <w:fldChar w:fldCharType="begin"/>
      </w:r>
      <w:r>
        <w:instrText xml:space="preserve"> XE "sdtContent (Inline-Level Structured Document Tag Content)" </w:instrText>
      </w:r>
      <w:r>
        <w:fldChar w:fldCharType="end"/>
      </w:r>
    </w:p>
    <w:p w:rsidR="005F78FC" w:rsidRDefault="00B42EF3">
      <w:pPr>
        <w:pStyle w:val="Definition-Field2"/>
      </w:pPr>
      <w:r>
        <w:rPr>
          <w:i/>
        </w:rPr>
        <w:t>For additional notes that apply to this portio</w:t>
      </w:r>
      <w:r>
        <w:rPr>
          <w:i/>
        </w:rPr>
        <w:t xml:space="preserve">n of the standard, please see the notes for </w:t>
      </w:r>
      <w:hyperlink w:anchor="Section_ab7a0345712e4eef9bcc80c37e68d9bb">
        <w:r>
          <w:rPr>
            <w:rStyle w:val="Hyperlink"/>
          </w:rPr>
          <w:t>oMath, §22.1.2.77(c)</w:t>
        </w:r>
      </w:hyperlink>
      <w:r>
        <w:rPr>
          <w:i/>
        </w:rPr>
        <w:t>.</w:t>
      </w:r>
    </w:p>
    <w:p w:rsidR="005F78FC" w:rsidRDefault="00B42EF3">
      <w:pPr>
        <w:pStyle w:val="Heading3"/>
      </w:pPr>
      <w:bookmarkStart w:id="438" w:name="section_792638a52321467ea2266b23a9b56806"/>
      <w:bookmarkStart w:id="439" w:name="_Toc69877992"/>
      <w:r>
        <w:t>Part 1 Section 17.5.2.41, tabIndex (Structured Document Tag Navigation Order Index)</w:t>
      </w:r>
      <w:bookmarkEnd w:id="438"/>
      <w:bookmarkEnd w:id="439"/>
      <w:r>
        <w:fldChar w:fldCharType="begin"/>
      </w:r>
      <w:r>
        <w:instrText xml:space="preserve"> XE "tabIndex (Structured Document Tag Navig</w:instrText>
      </w:r>
      <w:r>
        <w:instrText xml:space="preserve">ation Order Index)" </w:instrText>
      </w:r>
      <w:r>
        <w:fldChar w:fldCharType="end"/>
      </w:r>
    </w:p>
    <w:p w:rsidR="005F78FC" w:rsidRDefault="00B42EF3">
      <w:pPr>
        <w:pStyle w:val="Definition-Field"/>
      </w:pPr>
      <w:r>
        <w:t xml:space="preserve">a.   </w:t>
      </w:r>
      <w:r>
        <w:rPr>
          <w:i/>
        </w:rPr>
        <w:t>The standard states that this element specifies the position of the current structured document tag in the navigation (tab) order used in the document.</w:t>
      </w:r>
    </w:p>
    <w:p w:rsidR="005F78FC" w:rsidRDefault="00B42EF3">
      <w:pPr>
        <w:pStyle w:val="Definition-Field2"/>
      </w:pPr>
      <w:r>
        <w:t>Word ignores this element.</w:t>
      </w:r>
    </w:p>
    <w:p w:rsidR="005F78FC" w:rsidRDefault="00B42EF3">
      <w:pPr>
        <w:pStyle w:val="Heading3"/>
      </w:pPr>
      <w:bookmarkStart w:id="440" w:name="section_3f646bb2ec694ae29201d5b67fc28e70"/>
      <w:bookmarkStart w:id="441" w:name="_Toc69877993"/>
      <w:r>
        <w:t>Part 1 Section 17.5.2.43, temporary (Remove Structured Document Tag When Contents Are Edited)</w:t>
      </w:r>
      <w:bookmarkEnd w:id="440"/>
      <w:bookmarkEnd w:id="441"/>
      <w:r>
        <w:fldChar w:fldCharType="begin"/>
      </w:r>
      <w:r>
        <w:instrText xml:space="preserve"> XE "temporary (Remove Structured Document Tag When Contents Are Edited)" </w:instrText>
      </w:r>
      <w:r>
        <w:fldChar w:fldCharType="end"/>
      </w:r>
    </w:p>
    <w:p w:rsidR="005F78FC" w:rsidRDefault="00B42EF3">
      <w:pPr>
        <w:pStyle w:val="Definition-Field"/>
      </w:pPr>
      <w:r>
        <w:t xml:space="preserve">a.   </w:t>
      </w:r>
      <w:r>
        <w:rPr>
          <w:i/>
        </w:rPr>
        <w:t>The standard states that temporary means the parent sdt should be removed when th</w:t>
      </w:r>
      <w:r>
        <w:rPr>
          <w:i/>
        </w:rPr>
        <w:t>e contents are modified.</w:t>
      </w:r>
    </w:p>
    <w:p w:rsidR="005F78FC" w:rsidRDefault="00B42EF3">
      <w:pPr>
        <w:pStyle w:val="Definition-Field2"/>
      </w:pPr>
      <w:r>
        <w:t>Under limited circumstances involving inserting pictures, Word fails to remove the parent sdt when the contents are modified.</w:t>
      </w:r>
    </w:p>
    <w:p w:rsidR="005F78FC" w:rsidRDefault="00B42EF3">
      <w:pPr>
        <w:pStyle w:val="Heading3"/>
      </w:pPr>
      <w:bookmarkStart w:id="442" w:name="section_98ca3cc91270454bbd1c41a7afc55ffc"/>
      <w:bookmarkStart w:id="443" w:name="_Toc69877994"/>
      <w:r>
        <w:t>Part 1 Section 17.6.2, bottom (Bottom Border)</w:t>
      </w:r>
      <w:bookmarkEnd w:id="442"/>
      <w:bookmarkEnd w:id="443"/>
      <w:r>
        <w:fldChar w:fldCharType="begin"/>
      </w:r>
      <w:r>
        <w:instrText xml:space="preserve"> XE "bottom (Bottom Border)" </w:instrText>
      </w:r>
      <w:r>
        <w:fldChar w:fldCharType="end"/>
      </w:r>
    </w:p>
    <w:p w:rsidR="005F78FC" w:rsidRDefault="00B42EF3">
      <w:pPr>
        <w:pStyle w:val="Definition-Field2"/>
      </w:pPr>
      <w:r>
        <w:rPr>
          <w:i/>
        </w:rPr>
        <w:t>For additional notes that ap</w:t>
      </w:r>
      <w:r>
        <w:rPr>
          <w:i/>
        </w:rPr>
        <w:t xml:space="preserve">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5F78FC" w:rsidRDefault="00B42EF3">
      <w:pPr>
        <w:pStyle w:val="Definition-Field"/>
      </w:pPr>
      <w:r>
        <w:t xml:space="preserve">a.   </w:t>
      </w:r>
      <w:r>
        <w:rPr>
          <w:i/>
        </w:rPr>
        <w:t>The standard states that bottomLeft, bottomRight, and id are attributes on the bottom element.</w:t>
      </w:r>
    </w:p>
    <w:p w:rsidR="005F78FC" w:rsidRDefault="00B42EF3">
      <w:pPr>
        <w:pStyle w:val="Definition-Field2"/>
      </w:pPr>
      <w:r>
        <w:t>Word ignores the bottomLeft, bottomRight, and id attributes on this element.</w:t>
      </w:r>
    </w:p>
    <w:p w:rsidR="005F78FC" w:rsidRDefault="00B42EF3">
      <w:pPr>
        <w:pStyle w:val="Heading3"/>
      </w:pPr>
      <w:bookmarkStart w:id="444" w:name="section_d6035671f6764755b101c4de68de62ed"/>
      <w:bookmarkStart w:id="445" w:name="_Toc69877995"/>
      <w:r>
        <w:t>Part 1 Section 17.6.3,</w:t>
      </w:r>
      <w:r>
        <w:t xml:space="preserve"> col (Single Column Definition)</w:t>
      </w:r>
      <w:bookmarkEnd w:id="444"/>
      <w:bookmarkEnd w:id="445"/>
      <w:r>
        <w:fldChar w:fldCharType="begin"/>
      </w:r>
      <w:r>
        <w:instrText xml:space="preserve"> XE "col (Single Column Definition)" </w:instrText>
      </w:r>
      <w:r>
        <w:fldChar w:fldCharType="end"/>
      </w:r>
    </w:p>
    <w:p w:rsidR="005F78FC" w:rsidRDefault="00B42EF3">
      <w:pPr>
        <w:pStyle w:val="Definition-Field"/>
      </w:pPr>
      <w:r>
        <w:t xml:space="preserve">a.   </w:t>
      </w:r>
      <w:r>
        <w:rPr>
          <w:i/>
        </w:rPr>
        <w:t>The standard does not specify a default value for the space attribute.</w:t>
      </w:r>
    </w:p>
    <w:p w:rsidR="005F78FC" w:rsidRDefault="00B42EF3">
      <w:pPr>
        <w:pStyle w:val="Definition-Field2"/>
      </w:pPr>
      <w:r>
        <w:t>Word uses a default value of 0 for this attribute.</w:t>
      </w:r>
    </w:p>
    <w:p w:rsidR="005F78FC" w:rsidRDefault="00B42EF3">
      <w:pPr>
        <w:pStyle w:val="Definition-Field"/>
      </w:pPr>
      <w:r>
        <w:t xml:space="preserve">b.   </w:t>
      </w:r>
      <w:r>
        <w:rPr>
          <w:i/>
        </w:rPr>
        <w:t>The standard states that the w attribute is always op</w:t>
      </w:r>
      <w:r>
        <w:rPr>
          <w:i/>
        </w:rPr>
        <w:t>tional.</w:t>
      </w:r>
    </w:p>
    <w:p w:rsidR="005F78FC" w:rsidRDefault="00B42EF3">
      <w:pPr>
        <w:pStyle w:val="Definition-Field2"/>
      </w:pPr>
      <w:r>
        <w:t>Word requires that this attribute is present when the parent cols element has an equalWidth attribute value of false (or equivalent).</w:t>
      </w:r>
    </w:p>
    <w:p w:rsidR="005F78FC" w:rsidRDefault="00B42EF3">
      <w:pPr>
        <w:pStyle w:val="Heading3"/>
      </w:pPr>
      <w:bookmarkStart w:id="446" w:name="section_ef7027d4e05d473b8777dcc2aee91935"/>
      <w:bookmarkStart w:id="447" w:name="_Toc69877996"/>
      <w:r>
        <w:lastRenderedPageBreak/>
        <w:t>Part 1 Section 17.6.4, cols (Column Definitions)</w:t>
      </w:r>
      <w:bookmarkEnd w:id="446"/>
      <w:bookmarkEnd w:id="447"/>
      <w:r>
        <w:fldChar w:fldCharType="begin"/>
      </w:r>
      <w:r>
        <w:instrText xml:space="preserve"> XE "cols (Column Definitions)" </w:instrText>
      </w:r>
      <w:r>
        <w:fldChar w:fldCharType="end"/>
      </w:r>
    </w:p>
    <w:p w:rsidR="005F78FC" w:rsidRDefault="00B42EF3">
      <w:pPr>
        <w:pStyle w:val="Definition-Field"/>
      </w:pPr>
      <w:r>
        <w:t xml:space="preserve">a.   </w:t>
      </w:r>
      <w:r>
        <w:rPr>
          <w:i/>
        </w:rPr>
        <w:t>The standard states that t</w:t>
      </w:r>
      <w:r>
        <w:rPr>
          <w:i/>
        </w:rPr>
        <w:t>he num attribute allows any integer value.</w:t>
      </w:r>
    </w:p>
    <w:p w:rsidR="005F78FC" w:rsidRDefault="00B42EF3">
      <w:pPr>
        <w:pStyle w:val="Definition-Field2"/>
      </w:pPr>
      <w:r>
        <w:t>Word restricts the value of the num attribute to a value between 1 and 45.</w:t>
      </w:r>
    </w:p>
    <w:p w:rsidR="005F78FC" w:rsidRDefault="00B42EF3">
      <w:pPr>
        <w:pStyle w:val="Definition-Field"/>
      </w:pPr>
      <w:r>
        <w:t xml:space="preserve">b.   </w:t>
      </w:r>
      <w:r>
        <w:rPr>
          <w:i/>
        </w:rPr>
        <w:t>The standard does not specify a default value for the equalWidth attribute.</w:t>
      </w:r>
    </w:p>
    <w:p w:rsidR="005F78FC" w:rsidRDefault="00B42EF3">
      <w:pPr>
        <w:pStyle w:val="Definition-Field2"/>
      </w:pPr>
      <w:r>
        <w:t>Word uses a default value of true for this attribute.</w:t>
      </w:r>
    </w:p>
    <w:p w:rsidR="005F78FC" w:rsidRDefault="00B42EF3">
      <w:pPr>
        <w:pStyle w:val="Definition-Field"/>
      </w:pPr>
      <w:r>
        <w:t xml:space="preserve">c. </w:t>
      </w:r>
      <w:r>
        <w:t xml:space="preserve">  </w:t>
      </w:r>
      <w:r>
        <w:rPr>
          <w:i/>
        </w:rPr>
        <w:t>The standard states that when the equalWidth attribute is false (or equivalent), the num attribute is ignored in favor of the number of child col elements.</w:t>
      </w:r>
    </w:p>
    <w:p w:rsidR="005F78FC" w:rsidRDefault="00B42EF3">
      <w:pPr>
        <w:pStyle w:val="Definition-Field2"/>
      </w:pPr>
      <w:r>
        <w:t>Word requires that the value of the num attribute matches the number of child col elements. If the</w:t>
      </w:r>
      <w:r>
        <w:t xml:space="preserve"> num attribute is not specified, then Word assumes a value of 1.</w:t>
      </w:r>
    </w:p>
    <w:p w:rsidR="005F78FC" w:rsidRDefault="00B42EF3">
      <w:pPr>
        <w:pStyle w:val="Heading3"/>
      </w:pPr>
      <w:bookmarkStart w:id="448" w:name="section_94d7cfde2a8847babe9615860e86d40f"/>
      <w:bookmarkStart w:id="449" w:name="_Toc69877997"/>
      <w:r>
        <w:t>Part 1 Section 17.6.7, left (Left Border)</w:t>
      </w:r>
      <w:bookmarkEnd w:id="448"/>
      <w:bookmarkEnd w:id="449"/>
      <w:r>
        <w:fldChar w:fldCharType="begin"/>
      </w:r>
      <w:r>
        <w:instrText xml:space="preserve"> XE "left (Left Border)"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5F78FC" w:rsidRDefault="00B42EF3">
      <w:pPr>
        <w:pStyle w:val="Definition-Field"/>
      </w:pPr>
      <w:r>
        <w:t xml:space="preserve">a.   </w:t>
      </w:r>
      <w:r>
        <w:rPr>
          <w:i/>
        </w:rPr>
        <w:t>Th</w:t>
      </w:r>
      <w:r>
        <w:rPr>
          <w:i/>
        </w:rPr>
        <w:t>e standard states that the id attribute specifies a relationship ID for a custom border image.</w:t>
      </w:r>
    </w:p>
    <w:p w:rsidR="005F78FC" w:rsidRDefault="00B42EF3">
      <w:pPr>
        <w:pStyle w:val="Definition-Field2"/>
      </w:pPr>
      <w:r>
        <w:t>Word ignores the id attribute.</w:t>
      </w:r>
    </w:p>
    <w:p w:rsidR="005F78FC" w:rsidRDefault="00B42EF3">
      <w:pPr>
        <w:pStyle w:val="Heading3"/>
      </w:pPr>
      <w:bookmarkStart w:id="450" w:name="section_c4252e1348d24ac99fb53b276d02be30"/>
      <w:bookmarkStart w:id="451" w:name="_Toc69877998"/>
      <w:r>
        <w:t>Part 1 Section 17.6.8, lnNumType (Line Numbering Settings)</w:t>
      </w:r>
      <w:bookmarkEnd w:id="450"/>
      <w:bookmarkEnd w:id="451"/>
      <w:r>
        <w:fldChar w:fldCharType="begin"/>
      </w:r>
      <w:r>
        <w:instrText xml:space="preserve"> XE "lnNumType (Line Numbering Settings)" </w:instrText>
      </w:r>
      <w:r>
        <w:fldChar w:fldCharType="end"/>
      </w:r>
    </w:p>
    <w:p w:rsidR="005F78FC" w:rsidRDefault="00B42EF3">
      <w:pPr>
        <w:pStyle w:val="Definition-Field"/>
      </w:pPr>
      <w:r>
        <w:t xml:space="preserve">a.   </w:t>
      </w:r>
      <w:r>
        <w:rPr>
          <w:i/>
        </w:rPr>
        <w:t>The standard states th</w:t>
      </w:r>
      <w:r>
        <w:rPr>
          <w:i/>
        </w:rPr>
        <w:t>at the values of the start attribute are defined by the ST_DecimalNumber simple type.</w:t>
      </w:r>
    </w:p>
    <w:p w:rsidR="005F78FC" w:rsidRDefault="00B42EF3">
      <w:pPr>
        <w:pStyle w:val="Definition-Field2"/>
      </w:pPr>
      <w:r>
        <w:t>Word restricts the value of this attribute to be at least 0 and at most 32767.</w:t>
      </w:r>
    </w:p>
    <w:p w:rsidR="005F78FC" w:rsidRDefault="00B42EF3">
      <w:pPr>
        <w:pStyle w:val="Definition-Field"/>
      </w:pPr>
      <w:r>
        <w:t xml:space="preserve">b.   </w:t>
      </w:r>
      <w:r>
        <w:rPr>
          <w:i/>
        </w:rPr>
        <w:t xml:space="preserve">The standard states that the start attribute specifies the starting value for </w:t>
      </w:r>
      <w:r>
        <w:rPr>
          <w:i/>
        </w:rPr>
        <w:t>(re)started line numbering.</w:t>
      </w:r>
    </w:p>
    <w:p w:rsidR="005F78FC" w:rsidRDefault="00B42EF3">
      <w:pPr>
        <w:pStyle w:val="Definition-Field2"/>
      </w:pPr>
      <w:r>
        <w:t>Word uses the start attribute as the number of line numbers that should be skipped when starting or restarting line numbering (for example, a value of 3 means to start numbering at 4).</w:t>
      </w:r>
    </w:p>
    <w:p w:rsidR="005F78FC" w:rsidRDefault="00B42EF3">
      <w:pPr>
        <w:pStyle w:val="Definition-Field"/>
      </w:pPr>
      <w:r>
        <w:t xml:space="preserve">c.   </w:t>
      </w:r>
      <w:r>
        <w:rPr>
          <w:i/>
        </w:rPr>
        <w:t>The standard states that the countBy a</w:t>
      </w:r>
      <w:r>
        <w:rPr>
          <w:i/>
        </w:rPr>
        <w:t>ttribute can be any integer value.</w:t>
      </w:r>
    </w:p>
    <w:p w:rsidR="005F78FC" w:rsidRDefault="00B42EF3">
      <w:pPr>
        <w:pStyle w:val="Definition-Field2"/>
      </w:pPr>
      <w:r>
        <w:t>Word restricts the contents of this attribute to a value between 1 and 100 inclusive.</w:t>
      </w:r>
    </w:p>
    <w:p w:rsidR="005F78FC" w:rsidRDefault="00B42EF3">
      <w:pPr>
        <w:pStyle w:val="Heading3"/>
      </w:pPr>
      <w:bookmarkStart w:id="452" w:name="section_9702ba00325540d0901640f8b1da3f57"/>
      <w:bookmarkStart w:id="453" w:name="_Toc69877999"/>
      <w:r>
        <w:t>Part 1 Section 17.6.9, paperSrc (Paper Source Information)</w:t>
      </w:r>
      <w:bookmarkEnd w:id="452"/>
      <w:bookmarkEnd w:id="453"/>
      <w:r>
        <w:fldChar w:fldCharType="begin"/>
      </w:r>
      <w:r>
        <w:instrText xml:space="preserve"> XE "paperSrc (Paper Source Information)" </w:instrText>
      </w:r>
      <w:r>
        <w:fldChar w:fldCharType="end"/>
      </w:r>
    </w:p>
    <w:p w:rsidR="005F78FC" w:rsidRDefault="00B42EF3">
      <w:pPr>
        <w:pStyle w:val="Definition-Field"/>
      </w:pPr>
      <w:r>
        <w:t xml:space="preserve">a.   </w:t>
      </w:r>
      <w:r>
        <w:rPr>
          <w:i/>
        </w:rPr>
        <w:t>The standard states that th</w:t>
      </w:r>
      <w:r>
        <w:rPr>
          <w:i/>
        </w:rPr>
        <w:t>e first and other attributes can be any integer.</w:t>
      </w:r>
    </w:p>
    <w:p w:rsidR="005F78FC" w:rsidRDefault="00B42EF3">
      <w:pPr>
        <w:pStyle w:val="Definition-Field2"/>
      </w:pPr>
      <w:r>
        <w:t>Word restricts these values to the range of an unsigned short.</w:t>
      </w:r>
    </w:p>
    <w:p w:rsidR="005F78FC" w:rsidRDefault="00B42EF3">
      <w:pPr>
        <w:pStyle w:val="Definition-Field"/>
      </w:pPr>
      <w:r>
        <w:t xml:space="preserve">b.   </w:t>
      </w:r>
      <w:r>
        <w:rPr>
          <w:i/>
        </w:rPr>
        <w:t>The standard simply states that this element's attributes specify "...a printer-specific code that uniquely identifies a specific printer t</w:t>
      </w:r>
      <w:r>
        <w:rPr>
          <w:i/>
        </w:rPr>
        <w:t>ray..."</w:t>
      </w:r>
    </w:p>
    <w:p w:rsidR="005F78FC" w:rsidRDefault="00B42EF3">
      <w:pPr>
        <w:pStyle w:val="Definition-Field2"/>
      </w:pPr>
      <w:r>
        <w:t xml:space="preserve">Word passes this value to the Windows DEVMODE printing API </w:t>
      </w:r>
      <w:hyperlink r:id="rId94">
        <w:r>
          <w:rPr>
            <w:rStyle w:val="Hyperlink"/>
          </w:rPr>
          <w:t>[DEVMODE]</w:t>
        </w:r>
      </w:hyperlink>
      <w:r>
        <w:t xml:space="preserve"> where the value may have a standard meaning to Windows or an installed printer.</w:t>
      </w:r>
    </w:p>
    <w:p w:rsidR="005F78FC" w:rsidRDefault="00B42EF3">
      <w:pPr>
        <w:pStyle w:val="Heading3"/>
      </w:pPr>
      <w:bookmarkStart w:id="454" w:name="section_5307147fa81a42d2b84c3a2b50576876"/>
      <w:bookmarkStart w:id="455" w:name="_Toc69878000"/>
      <w:r>
        <w:t xml:space="preserve">Part 1 Section 17.6.10, pgBorders </w:t>
      </w:r>
      <w:r>
        <w:t>(Page Borders)</w:t>
      </w:r>
      <w:bookmarkEnd w:id="454"/>
      <w:bookmarkEnd w:id="455"/>
      <w:r>
        <w:fldChar w:fldCharType="begin"/>
      </w:r>
      <w:r>
        <w:instrText xml:space="preserve"> XE "pgBorders (Page Borders)" </w:instrText>
      </w:r>
      <w:r>
        <w:fldChar w:fldCharType="end"/>
      </w:r>
    </w:p>
    <w:p w:rsidR="005F78FC" w:rsidRDefault="00B42EF3">
      <w:pPr>
        <w:pStyle w:val="Definition-Field"/>
      </w:pPr>
      <w:r>
        <w:t xml:space="preserve">a.   </w:t>
      </w:r>
      <w:r>
        <w:rPr>
          <w:i/>
        </w:rPr>
        <w:t>The standard does not specify a default value for the zOrder attribute.</w:t>
      </w:r>
    </w:p>
    <w:p w:rsidR="005F78FC" w:rsidRDefault="00B42EF3">
      <w:pPr>
        <w:pStyle w:val="Definition-Field2"/>
      </w:pPr>
      <w:r>
        <w:t>Word uses a default value of front for this attribute.</w:t>
      </w:r>
    </w:p>
    <w:p w:rsidR="005F78FC" w:rsidRDefault="00B42EF3">
      <w:pPr>
        <w:pStyle w:val="Definition-Field"/>
      </w:pPr>
      <w:r>
        <w:lastRenderedPageBreak/>
        <w:t xml:space="preserve">b.   </w:t>
      </w:r>
      <w:r>
        <w:rPr>
          <w:i/>
        </w:rPr>
        <w:t>The standard does not specify a default value for the offsetFrom attrib</w:t>
      </w:r>
      <w:r>
        <w:rPr>
          <w:i/>
        </w:rPr>
        <w:t>ute.</w:t>
      </w:r>
    </w:p>
    <w:p w:rsidR="005F78FC" w:rsidRDefault="00B42EF3">
      <w:pPr>
        <w:pStyle w:val="Definition-Field2"/>
      </w:pPr>
      <w:r>
        <w:t>Word uses a default value of text for this attribute.</w:t>
      </w:r>
    </w:p>
    <w:p w:rsidR="005F78FC" w:rsidRDefault="00B42EF3">
      <w:pPr>
        <w:pStyle w:val="Heading3"/>
      </w:pPr>
      <w:bookmarkStart w:id="456" w:name="section_c13857a66aa54b53a2a8a8498e62085b"/>
      <w:bookmarkStart w:id="457" w:name="_Toc69878001"/>
      <w:r>
        <w:t>Part 1 Section 17.6.11, pgMar (Page Margins)</w:t>
      </w:r>
      <w:bookmarkEnd w:id="456"/>
      <w:bookmarkEnd w:id="457"/>
      <w:r>
        <w:fldChar w:fldCharType="begin"/>
      </w:r>
      <w:r>
        <w:instrText xml:space="preserve"> XE "pgMar (Page Margins)" </w:instrText>
      </w:r>
      <w:r>
        <w:fldChar w:fldCharType="end"/>
      </w:r>
    </w:p>
    <w:p w:rsidR="005F78FC" w:rsidRDefault="00B42EF3">
      <w:pPr>
        <w:pStyle w:val="Definition-Field"/>
      </w:pPr>
      <w:r>
        <w:t xml:space="preserve">a.   </w:t>
      </w:r>
      <w:r>
        <w:rPr>
          <w:i/>
        </w:rPr>
        <w:t>The standard states that the values of the right, left, header, footer, and gutter attributes are defined by the XML S</w:t>
      </w:r>
      <w:r>
        <w:rPr>
          <w:i/>
        </w:rPr>
        <w:t>chema unsignedLong datatype.</w:t>
      </w:r>
    </w:p>
    <w:p w:rsidR="005F78FC" w:rsidRDefault="00B42EF3">
      <w:pPr>
        <w:pStyle w:val="Definition-Field2"/>
      </w:pPr>
      <w:r>
        <w:t>Word restricts the values of these attributes to be at most 31680 (22").</w:t>
      </w:r>
    </w:p>
    <w:p w:rsidR="005F78FC" w:rsidRDefault="00B42EF3">
      <w:pPr>
        <w:pStyle w:val="Definition-Field"/>
      </w:pPr>
      <w:r>
        <w:t xml:space="preserve">b.   </w:t>
      </w:r>
      <w:r>
        <w:rPr>
          <w:i/>
        </w:rPr>
        <w:t>The standard states that the values of the top and bottom attributes are defined by the XML Schema integer datatype.</w:t>
      </w:r>
    </w:p>
    <w:p w:rsidR="005F78FC" w:rsidRDefault="00B42EF3">
      <w:pPr>
        <w:pStyle w:val="Definition-Field2"/>
      </w:pPr>
      <w:r>
        <w:t>Word restricts the values of the</w:t>
      </w:r>
      <w:r>
        <w:t>se attributes to be at least -31680 (-22") and at most 31680 (22").</w:t>
      </w:r>
    </w:p>
    <w:p w:rsidR="005F78FC" w:rsidRDefault="00B42EF3">
      <w:pPr>
        <w:pStyle w:val="Heading3"/>
      </w:pPr>
      <w:bookmarkStart w:id="458" w:name="section_a3bbd1887d1e400c9ea71d8f96eb62c4"/>
      <w:bookmarkStart w:id="459" w:name="_Toc69878002"/>
      <w:r>
        <w:t>Part 1 Section 17.6.12, pgNumType (Page Numbering Settings)</w:t>
      </w:r>
      <w:bookmarkEnd w:id="458"/>
      <w:bookmarkEnd w:id="459"/>
      <w:r>
        <w:fldChar w:fldCharType="begin"/>
      </w:r>
      <w:r>
        <w:instrText xml:space="preserve"> XE "pgNumType (Page Numbering Settings)" </w:instrText>
      </w:r>
      <w:r>
        <w:fldChar w:fldCharType="end"/>
      </w:r>
    </w:p>
    <w:p w:rsidR="005F78FC" w:rsidRDefault="00B42EF3">
      <w:pPr>
        <w:pStyle w:val="Definition-Field"/>
      </w:pPr>
      <w:r>
        <w:t xml:space="preserve">a.   </w:t>
      </w:r>
      <w:r>
        <w:rPr>
          <w:i/>
        </w:rPr>
        <w:t>The standard states that the chapStyle attribute can be any integer value.</w:t>
      </w:r>
    </w:p>
    <w:p w:rsidR="005F78FC" w:rsidRDefault="00B42EF3">
      <w:pPr>
        <w:pStyle w:val="Definition-Field2"/>
      </w:pPr>
      <w:r>
        <w:t>Word</w:t>
      </w:r>
      <w:r>
        <w:t xml:space="preserve"> requires that this attribute is an unsigned byte.</w:t>
      </w:r>
    </w:p>
    <w:p w:rsidR="005F78FC" w:rsidRDefault="00B42EF3">
      <w:pPr>
        <w:pStyle w:val="Definition-Field"/>
      </w:pPr>
      <w:r>
        <w:t xml:space="preserve">b.   </w:t>
      </w:r>
      <w:r>
        <w:rPr>
          <w:i/>
        </w:rPr>
        <w:t>The standard does not specify a default value for the chapSep attribute.</w:t>
      </w:r>
    </w:p>
    <w:p w:rsidR="005F78FC" w:rsidRDefault="00B42EF3">
      <w:pPr>
        <w:pStyle w:val="Definition-Field2"/>
      </w:pPr>
      <w:r>
        <w:t>Word uses a default value of hyphen for this attribute.</w:t>
      </w:r>
    </w:p>
    <w:p w:rsidR="005F78FC" w:rsidRDefault="00B42EF3">
      <w:pPr>
        <w:pStyle w:val="Definition-Field"/>
      </w:pPr>
      <w:r>
        <w:t xml:space="preserve">c.   </w:t>
      </w:r>
      <w:r>
        <w:rPr>
          <w:i/>
        </w:rPr>
        <w:t>The standard does not state a default for the fmt attribute.</w:t>
      </w:r>
    </w:p>
    <w:p w:rsidR="005F78FC" w:rsidRDefault="00B42EF3">
      <w:pPr>
        <w:pStyle w:val="Definition-Field2"/>
      </w:pPr>
      <w:r>
        <w:t xml:space="preserve">Word </w:t>
      </w:r>
      <w:r>
        <w:t>uses a default value of decimal for this attribute.</w:t>
      </w:r>
    </w:p>
    <w:p w:rsidR="005F78FC" w:rsidRDefault="00B42EF3">
      <w:pPr>
        <w:pStyle w:val="Definition-Field"/>
      </w:pPr>
      <w:r>
        <w:t xml:space="preserve">d.   </w:t>
      </w:r>
      <w:r>
        <w:rPr>
          <w:i/>
        </w:rPr>
        <w:t>The standard states that the start attribute can be any integer value.</w:t>
      </w:r>
    </w:p>
    <w:p w:rsidR="005F78FC" w:rsidRDefault="00B42EF3">
      <w:pPr>
        <w:pStyle w:val="Definition-Field2"/>
      </w:pPr>
      <w:r>
        <w:t>Word requires that the start attribute is an unsigned 32-bit integer.</w:t>
      </w:r>
    </w:p>
    <w:p w:rsidR="005F78FC" w:rsidRDefault="00B42EF3">
      <w:pPr>
        <w:pStyle w:val="Heading3"/>
      </w:pPr>
      <w:bookmarkStart w:id="460" w:name="section_e701752006b4438f97d23e49f247ca9f"/>
      <w:bookmarkStart w:id="461" w:name="_Toc69878003"/>
      <w:r>
        <w:t>Part 1 Section 17.6.13, pgSz (Page Size)</w:t>
      </w:r>
      <w:bookmarkEnd w:id="460"/>
      <w:bookmarkEnd w:id="461"/>
      <w:r>
        <w:fldChar w:fldCharType="begin"/>
      </w:r>
      <w:r>
        <w:instrText xml:space="preserve"> XE "pgSz (Page Si</w:instrText>
      </w:r>
      <w:r>
        <w:instrText xml:space="preserve">ze)" </w:instrText>
      </w:r>
      <w:r>
        <w:fldChar w:fldCharType="end"/>
      </w:r>
    </w:p>
    <w:p w:rsidR="005F78FC" w:rsidRDefault="00B42EF3">
      <w:pPr>
        <w:pStyle w:val="Definition-Field"/>
      </w:pPr>
      <w:r>
        <w:t xml:space="preserve">a.   </w:t>
      </w:r>
      <w:r>
        <w:rPr>
          <w:i/>
        </w:rPr>
        <w:t>The standard states that the values of the code attribute are defined by the ST_DecimalNumber simple type.</w:t>
      </w:r>
    </w:p>
    <w:p w:rsidR="005F78FC" w:rsidRDefault="00B42EF3">
      <w:pPr>
        <w:pStyle w:val="Definition-Field2"/>
      </w:pPr>
      <w:r>
        <w:t>Word restricts the value of this attribute to be at least 0 and at most 118.</w:t>
      </w:r>
    </w:p>
    <w:p w:rsidR="005F78FC" w:rsidRDefault="00B42EF3">
      <w:pPr>
        <w:pStyle w:val="Definition-Field"/>
      </w:pPr>
      <w:r>
        <w:t xml:space="preserve">b.   </w:t>
      </w:r>
      <w:r>
        <w:rPr>
          <w:i/>
        </w:rPr>
        <w:t>The standard states that the h and w attributes can ha</w:t>
      </w:r>
      <w:r>
        <w:rPr>
          <w:i/>
        </w:rPr>
        <w:t>ve any value in the range 0 to 4294967295, inclusive.</w:t>
      </w:r>
    </w:p>
    <w:p w:rsidR="005F78FC" w:rsidRDefault="00B42EF3">
      <w:pPr>
        <w:pStyle w:val="Definition-Field2"/>
      </w:pPr>
      <w:r>
        <w:t>Word requires that this value is between the width of the page margins (and any column widths, for the w attribute) and 31680 (22 inches).</w:t>
      </w:r>
    </w:p>
    <w:p w:rsidR="005F78FC" w:rsidRDefault="00B42EF3">
      <w:pPr>
        <w:pStyle w:val="Heading3"/>
      </w:pPr>
      <w:bookmarkStart w:id="462" w:name="section_5e58b73274f34537b4b6be33958bd32f"/>
      <w:bookmarkStart w:id="463" w:name="_Toc69878004"/>
      <w:r>
        <w:t>Part 1 Section 17.6.14, printerSettings (Reference to Printer S</w:t>
      </w:r>
      <w:r>
        <w:t>ettings Data)</w:t>
      </w:r>
      <w:bookmarkEnd w:id="462"/>
      <w:bookmarkEnd w:id="463"/>
      <w:r>
        <w:fldChar w:fldCharType="begin"/>
      </w:r>
      <w:r>
        <w:instrText xml:space="preserve"> XE "printerSettings (Reference to Printer Settings Data)"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55e01b00ed934498b4e5b0bc0abdf97d">
        <w:r>
          <w:rPr>
            <w:rStyle w:val="Hyperlink"/>
          </w:rPr>
          <w:t xml:space="preserve">attachedTemplate, </w:t>
        </w:r>
        <w:r>
          <w:rPr>
            <w:rStyle w:val="Hyperlink"/>
          </w:rPr>
          <w:t>§17.15.1.6(a)</w:t>
        </w:r>
      </w:hyperlink>
      <w:r>
        <w:rPr>
          <w:i/>
        </w:rPr>
        <w:t>.</w:t>
      </w:r>
    </w:p>
    <w:p w:rsidR="005F78FC" w:rsidRDefault="00B42EF3">
      <w:pPr>
        <w:pStyle w:val="Definition-Field"/>
      </w:pPr>
      <w:r>
        <w:t xml:space="preserve">a.   </w:t>
      </w:r>
      <w:r>
        <w:rPr>
          <w:i/>
        </w:rPr>
        <w:t>The standard states that the printerSettings element references the Printer Settings part associated with this section.</w:t>
      </w:r>
    </w:p>
    <w:p w:rsidR="005F78FC" w:rsidRDefault="00B42EF3">
      <w:pPr>
        <w:pStyle w:val="Definition-Field2"/>
      </w:pPr>
      <w:r>
        <w:t>Word discards this element and the associated Printer Settings part.</w:t>
      </w:r>
    </w:p>
    <w:p w:rsidR="005F78FC" w:rsidRDefault="00B42EF3">
      <w:pPr>
        <w:pStyle w:val="Heading3"/>
      </w:pPr>
      <w:bookmarkStart w:id="464" w:name="section_0f1da753bf8a44e1a4a7ed7d1d0ba7b1"/>
      <w:bookmarkStart w:id="465" w:name="_Toc69878005"/>
      <w:r>
        <w:lastRenderedPageBreak/>
        <w:t>Part 1 Section 17.6.15, right (Right Border)</w:t>
      </w:r>
      <w:bookmarkEnd w:id="464"/>
      <w:bookmarkEnd w:id="465"/>
      <w:r>
        <w:fldChar w:fldCharType="begin"/>
      </w:r>
      <w:r>
        <w:instrText xml:space="preserve"> XE</w:instrText>
      </w:r>
      <w:r>
        <w:instrText xml:space="preserve"> "right (Right Border)"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5F78FC" w:rsidRDefault="00B42EF3">
      <w:pPr>
        <w:pStyle w:val="Definition-Field"/>
      </w:pPr>
      <w:r>
        <w:t xml:space="preserve">a.   </w:t>
      </w:r>
      <w:r>
        <w:rPr>
          <w:i/>
        </w:rPr>
        <w:t>The standard states that the id attribute specifies a relationship ID for the border image.</w:t>
      </w:r>
    </w:p>
    <w:p w:rsidR="005F78FC" w:rsidRDefault="00B42EF3">
      <w:pPr>
        <w:pStyle w:val="Definition-Field2"/>
      </w:pPr>
      <w:r>
        <w:t>Word ignores the id attribute.</w:t>
      </w:r>
    </w:p>
    <w:p w:rsidR="005F78FC" w:rsidRDefault="00B42EF3">
      <w:pPr>
        <w:pStyle w:val="Heading3"/>
      </w:pPr>
      <w:bookmarkStart w:id="466" w:name="section_ce8217a61aad45fb8e56b8c3fe411fe1"/>
      <w:bookmarkStart w:id="467" w:name="_Toc69878006"/>
      <w:r>
        <w:t>Part 1 Section 1</w:t>
      </w:r>
      <w:r>
        <w:t>7.6.17, sectPr (Document Final Section Properties)</w:t>
      </w:r>
      <w:bookmarkEnd w:id="466"/>
      <w:bookmarkEnd w:id="467"/>
      <w:r>
        <w:fldChar w:fldCharType="begin"/>
      </w:r>
      <w:r>
        <w:instrText xml:space="preserve"> XE "sectPr (Document Final Section Properties)"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b6dd3f0a901b4698a7d1a1be4c1eb3f5">
        <w:r>
          <w:rPr>
            <w:rStyle w:val="Hyperlink"/>
          </w:rPr>
          <w:t>s</w:t>
        </w:r>
        <w:r>
          <w:rPr>
            <w:rStyle w:val="Hyperlink"/>
          </w:rPr>
          <w:t>ectPr, §17.6.18(a, b)</w:t>
        </w:r>
      </w:hyperlink>
      <w:r>
        <w:rPr>
          <w:i/>
        </w:rPr>
        <w:t>.</w:t>
      </w:r>
    </w:p>
    <w:p w:rsidR="005F78FC" w:rsidRDefault="00B42EF3">
      <w:pPr>
        <w:pStyle w:val="Heading3"/>
      </w:pPr>
      <w:bookmarkStart w:id="468" w:name="section_b6dd3f0a901b4698a7d1a1be4c1eb3f5"/>
      <w:bookmarkStart w:id="469" w:name="_Toc69878007"/>
      <w:r>
        <w:t>Part 1 Section 17.6.18, sectPr (Section Properties)</w:t>
      </w:r>
      <w:bookmarkEnd w:id="468"/>
      <w:bookmarkEnd w:id="469"/>
      <w:r>
        <w:fldChar w:fldCharType="begin"/>
      </w:r>
      <w:r>
        <w:instrText xml:space="preserve"> XE "sectPr (Section Properties)"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w:t>
        </w:r>
        <w:r>
          <w:rPr>
            <w:rStyle w:val="Hyperlink"/>
          </w:rPr>
          <w:t>r, §17.9.22(a)</w:t>
        </w:r>
      </w:hyperlink>
      <w:r>
        <w:rPr>
          <w:i/>
        </w:rPr>
        <w:t>.</w:t>
      </w:r>
    </w:p>
    <w:p w:rsidR="005F78FC" w:rsidRDefault="00B42EF3">
      <w:pPr>
        <w:pStyle w:val="Definition-Field"/>
      </w:pPr>
      <w:r>
        <w:t xml:space="preserve">a.   </w:t>
      </w:r>
      <w:r>
        <w:rPr>
          <w:i/>
        </w:rPr>
        <w:t>The standard appears to have the same definition for rsidSect as it does for rsidRPr.</w:t>
      </w:r>
    </w:p>
    <w:p w:rsidR="005F78FC" w:rsidRDefault="00B42EF3">
      <w:pPr>
        <w:pStyle w:val="Definition-Field2"/>
      </w:pPr>
      <w:r>
        <w:t>Word uses rsidSect to denote the editing session when the section properties were last modified.</w:t>
      </w:r>
    </w:p>
    <w:p w:rsidR="005F78FC" w:rsidRDefault="00B42EF3">
      <w:pPr>
        <w:pStyle w:val="Definition-Field"/>
      </w:pPr>
      <w:r>
        <w:t xml:space="preserve">b.   </w:t>
      </w:r>
      <w:r>
        <w:rPr>
          <w:i/>
        </w:rPr>
        <w:t>The standard states that rsids are stored on th</w:t>
      </w:r>
      <w:r>
        <w:rPr>
          <w:i/>
        </w:rPr>
        <w:t>e section properties, distinct from the paragraph in which they are located.</w:t>
      </w:r>
    </w:p>
    <w:p w:rsidR="005F78FC" w:rsidRDefault="00B42EF3">
      <w:pPr>
        <w:pStyle w:val="Definition-Field2"/>
      </w:pPr>
      <w:r>
        <w:t>Word ignores rsids in the sectPr and instead applies the corresponding rsids from the containing p (for the sectPr of any non-final section) or the last p in the document (for the</w:t>
      </w:r>
      <w:r>
        <w:t xml:space="preserve"> final section).</w:t>
      </w:r>
    </w:p>
    <w:p w:rsidR="005F78FC" w:rsidRDefault="00B42EF3">
      <w:pPr>
        <w:pStyle w:val="Definition-Field"/>
      </w:pPr>
      <w:r>
        <w:t xml:space="preserve">c.   </w:t>
      </w:r>
      <w:r>
        <w:rPr>
          <w:i/>
        </w:rPr>
        <w:t>The standard states that a sectPr element can be contained within any pPr element.</w:t>
      </w:r>
    </w:p>
    <w:p w:rsidR="005F78FC" w:rsidRDefault="00B42EF3">
      <w:pPr>
        <w:pStyle w:val="Definition-Field2"/>
      </w:pPr>
      <w:r>
        <w:t>Word does not allow this element to be used on paragraphs within tables, headers, footers, comments, footnotes, endnotes, or text boxes.</w:t>
      </w:r>
    </w:p>
    <w:p w:rsidR="005F78FC" w:rsidRDefault="00B42EF3">
      <w:pPr>
        <w:pStyle w:val="Heading3"/>
      </w:pPr>
      <w:bookmarkStart w:id="470" w:name="section_24ff9b7e6fea433ba934bd70c6c24d1e"/>
      <w:bookmarkStart w:id="471" w:name="_Toc69878008"/>
      <w:r>
        <w:t>Part 1 Section 17.6.19, sectPr (Previous Section Properties)</w:t>
      </w:r>
      <w:bookmarkEnd w:id="470"/>
      <w:bookmarkEnd w:id="471"/>
      <w:r>
        <w:fldChar w:fldCharType="begin"/>
      </w:r>
      <w:r>
        <w:instrText xml:space="preserve"> XE "sectPr (Previous Section Properties)"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b6dd3f0a901b4698a7d1a1be4c1eb3f5">
        <w:r>
          <w:rPr>
            <w:rStyle w:val="Hyperlink"/>
          </w:rPr>
          <w:t>sectPr, §17.6.18(a, b)</w:t>
        </w:r>
      </w:hyperlink>
      <w:r>
        <w:rPr>
          <w:i/>
        </w:rPr>
        <w:t>.</w:t>
      </w:r>
    </w:p>
    <w:p w:rsidR="005F78FC" w:rsidRDefault="00B42EF3">
      <w:pPr>
        <w:pStyle w:val="Definition-Field"/>
      </w:pPr>
      <w:r>
        <w:t xml:space="preserve">a.   </w:t>
      </w:r>
      <w:r>
        <w:rPr>
          <w:i/>
        </w:rPr>
        <w:t>The standard states that text flow direction can differ between previous section properties and current section properties.</w:t>
      </w:r>
    </w:p>
    <w:p w:rsidR="005F78FC" w:rsidRDefault="00B42EF3">
      <w:pPr>
        <w:pStyle w:val="Definition-Field2"/>
      </w:pPr>
      <w:r>
        <w:t>Word sets the text direction in the previous section properties to the text flow direction specified</w:t>
      </w:r>
      <w:r>
        <w:t xml:space="preserve"> in the current section properties.</w:t>
      </w:r>
    </w:p>
    <w:p w:rsidR="005F78FC" w:rsidRDefault="00B42EF3">
      <w:pPr>
        <w:pStyle w:val="Heading3"/>
      </w:pPr>
      <w:bookmarkStart w:id="472" w:name="section_8e7719cb43844e26a23187be6b37083a"/>
      <w:bookmarkStart w:id="473" w:name="_Toc69878009"/>
      <w:r>
        <w:t>Part 1 Section 17.6.21, top (Top Border)</w:t>
      </w:r>
      <w:bookmarkEnd w:id="472"/>
      <w:bookmarkEnd w:id="473"/>
      <w:r>
        <w:fldChar w:fldCharType="begin"/>
      </w:r>
      <w:r>
        <w:instrText xml:space="preserve"> XE "top (Top Border)"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c2a35f2312704ca699140fa440d56fdf">
        <w:r>
          <w:rPr>
            <w:rStyle w:val="Hyperlink"/>
          </w:rPr>
          <w:t>b</w:t>
        </w:r>
        <w:r>
          <w:rPr>
            <w:rStyle w:val="Hyperlink"/>
          </w:rPr>
          <w:t>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5F78FC" w:rsidRDefault="00B42EF3">
      <w:pPr>
        <w:pStyle w:val="Definition-Field"/>
      </w:pPr>
      <w:r>
        <w:t xml:space="preserve">a.   </w:t>
      </w:r>
      <w:r>
        <w:rPr>
          <w:i/>
        </w:rPr>
        <w:t>The standard states that topLeft, topRight, and id are attribute</w:t>
      </w:r>
      <w:r>
        <w:rPr>
          <w:i/>
        </w:rPr>
        <w:t>s on the top element.</w:t>
      </w:r>
    </w:p>
    <w:p w:rsidR="005F78FC" w:rsidRDefault="00B42EF3">
      <w:pPr>
        <w:pStyle w:val="Definition-Field2"/>
      </w:pPr>
      <w:r>
        <w:t>Word ignores topLeft, topRight, and id attributes.</w:t>
      </w:r>
    </w:p>
    <w:p w:rsidR="005F78FC" w:rsidRDefault="00B42EF3">
      <w:pPr>
        <w:pStyle w:val="Heading3"/>
      </w:pPr>
      <w:bookmarkStart w:id="474" w:name="section_b2b9f6962920492c92412a7b9ab6604e"/>
      <w:bookmarkStart w:id="475" w:name="_Toc69878010"/>
      <w:r>
        <w:t>Part 1 Section 17.6.22, type (Section Type)</w:t>
      </w:r>
      <w:bookmarkEnd w:id="474"/>
      <w:bookmarkEnd w:id="475"/>
      <w:r>
        <w:fldChar w:fldCharType="begin"/>
      </w:r>
      <w:r>
        <w:instrText xml:space="preserve"> XE "type (Section Type)" </w:instrText>
      </w:r>
      <w:r>
        <w:fldChar w:fldCharType="end"/>
      </w:r>
    </w:p>
    <w:p w:rsidR="005F78FC" w:rsidRDefault="00B42EF3">
      <w:pPr>
        <w:pStyle w:val="Definition-Field"/>
      </w:pPr>
      <w:r>
        <w:t xml:space="preserve">a.   </w:t>
      </w:r>
      <w:r>
        <w:rPr>
          <w:i/>
        </w:rPr>
        <w:t>The standard implies that the val attribute is optional.</w:t>
      </w:r>
    </w:p>
    <w:p w:rsidR="005F78FC" w:rsidRDefault="00B42EF3">
      <w:pPr>
        <w:pStyle w:val="Definition-Field2"/>
      </w:pPr>
      <w:r>
        <w:lastRenderedPageBreak/>
        <w:t>Word requires this attribute.</w:t>
      </w:r>
    </w:p>
    <w:p w:rsidR="005F78FC" w:rsidRDefault="00B42EF3">
      <w:pPr>
        <w:pStyle w:val="Heading3"/>
      </w:pPr>
      <w:bookmarkStart w:id="476" w:name="section_70d90b35eedb4800b270814e892de6fe"/>
      <w:bookmarkStart w:id="477" w:name="_Toc69878011"/>
      <w:r>
        <w:t>Part 1 Section 17.7</w:t>
      </w:r>
      <w:r>
        <w:t>.1, Style Inheritance</w:t>
      </w:r>
      <w:bookmarkEnd w:id="476"/>
      <w:bookmarkEnd w:id="477"/>
      <w:r>
        <w:fldChar w:fldCharType="begin"/>
      </w:r>
      <w:r>
        <w:instrText xml:space="preserve"> XE "Style Inheritance" </w:instrText>
      </w:r>
      <w:r>
        <w:fldChar w:fldCharType="end"/>
      </w:r>
    </w:p>
    <w:p w:rsidR="005F78FC" w:rsidRDefault="00B42EF3">
      <w:pPr>
        <w:pStyle w:val="Definition-Field"/>
      </w:pPr>
      <w:r>
        <w:t xml:space="preserve">a.   </w:t>
      </w:r>
      <w:r>
        <w:rPr>
          <w:i/>
        </w:rPr>
        <w:t>The standard ambiguously states that a style's definition "should not" duplicate properties that are specified by the document defaults or any previous level in the style's hierarchy.</w:t>
      </w:r>
    </w:p>
    <w:p w:rsidR="005F78FC" w:rsidRDefault="00B42EF3">
      <w:pPr>
        <w:pStyle w:val="Definition-Field2"/>
      </w:pPr>
      <w:r>
        <w:t>Word may include pr</w:t>
      </w:r>
      <w:r>
        <w:t>operties in a style's definition which are already defined and unchanged in the document defaults or a previous level of the style's hierarchy.</w:t>
      </w:r>
    </w:p>
    <w:p w:rsidR="005F78FC" w:rsidRDefault="00B42EF3">
      <w:pPr>
        <w:pStyle w:val="Heading3"/>
      </w:pPr>
      <w:bookmarkStart w:id="478" w:name="section_f20aa1bd46a84833bf1cee47082e12ba"/>
      <w:bookmarkStart w:id="479" w:name="_Toc69878012"/>
      <w:r>
        <w:t>Part 1 Section 17.7.2, Style Hierarchy</w:t>
      </w:r>
      <w:bookmarkEnd w:id="478"/>
      <w:bookmarkEnd w:id="479"/>
      <w:r>
        <w:fldChar w:fldCharType="begin"/>
      </w:r>
      <w:r>
        <w:instrText xml:space="preserve"> XE "Style Hierarchy" </w:instrText>
      </w:r>
      <w:r>
        <w:fldChar w:fldCharType="end"/>
      </w:r>
    </w:p>
    <w:p w:rsidR="005F78FC" w:rsidRDefault="00B42EF3">
      <w:pPr>
        <w:pStyle w:val="Definition-Field"/>
      </w:pPr>
      <w:r>
        <w:t xml:space="preserve">a.   </w:t>
      </w:r>
      <w:r>
        <w:rPr>
          <w:i/>
        </w:rPr>
        <w:t>The standard states that numbering styles ar</w:t>
      </w:r>
      <w:r>
        <w:rPr>
          <w:i/>
        </w:rPr>
        <w:t>e applied before paragraph styles in the style hierarchy.</w:t>
      </w:r>
    </w:p>
    <w:p w:rsidR="005F78FC" w:rsidRDefault="00B42EF3">
      <w:pPr>
        <w:pStyle w:val="Definition-Field2"/>
      </w:pPr>
      <w:r>
        <w:t>Word applies the properties from a paragraph style applied to a paragraph before it applies the properties from a numbering style applied to a paragraph via numbering properties.</w:t>
      </w:r>
    </w:p>
    <w:p w:rsidR="005F78FC" w:rsidRDefault="00B42EF3">
      <w:pPr>
        <w:pStyle w:val="Heading3"/>
      </w:pPr>
      <w:bookmarkStart w:id="480" w:name="section_f7130225236848f3acaea9d278d0fb25"/>
      <w:bookmarkStart w:id="481" w:name="_Toc69878013"/>
      <w:r>
        <w:t>Part 1 Section 17.7</w:t>
      </w:r>
      <w:r>
        <w:t>.3, Toggle Properties</w:t>
      </w:r>
      <w:bookmarkEnd w:id="480"/>
      <w:bookmarkEnd w:id="481"/>
      <w:r>
        <w:fldChar w:fldCharType="begin"/>
      </w:r>
      <w:r>
        <w:instrText xml:space="preserve"> XE "Toggle Properties" </w:instrText>
      </w:r>
      <w:r>
        <w:fldChar w:fldCharType="end"/>
      </w:r>
    </w:p>
    <w:p w:rsidR="005F78FC" w:rsidRDefault="00B42EF3">
      <w:pPr>
        <w:pStyle w:val="Definition-Field"/>
      </w:pPr>
      <w:r>
        <w:t xml:space="preserve">a.   </w:t>
      </w:r>
      <w:r>
        <w:rPr>
          <w:i/>
        </w:rPr>
        <w:t>The standard states that if a toggle property is not explicitly set in direct formatting, the toggle property appears at multiple levels of the style hierarchy, and the value specified by the document de</w:t>
      </w:r>
      <w:r>
        <w:rPr>
          <w:i/>
        </w:rPr>
        <w:t>faults is true, the effective value is true.</w:t>
      </w:r>
    </w:p>
    <w:p w:rsidR="005F78FC" w:rsidRDefault="00B42EF3">
      <w:pPr>
        <w:pStyle w:val="Definition-Field2"/>
      </w:pPr>
      <w:r>
        <w:t>In this case, Word determines that the effective value to be applied to the content shall be true if and only if its effective value is false for an even number of levels in the style hierarchy.</w:t>
      </w:r>
    </w:p>
    <w:p w:rsidR="005F78FC" w:rsidRDefault="00B42EF3">
      <w:pPr>
        <w:pStyle w:val="Definition-Field"/>
      </w:pPr>
      <w:r>
        <w:t xml:space="preserve">b.   </w:t>
      </w:r>
      <w:r>
        <w:rPr>
          <w:i/>
        </w:rPr>
        <w:t>The standar</w:t>
      </w:r>
      <w:r>
        <w:rPr>
          <w:i/>
        </w:rPr>
        <w:t>d states that if no value is encountered on a level of the style hierarchy, the property takes on its default value.</w:t>
      </w:r>
    </w:p>
    <w:p w:rsidR="005F78FC" w:rsidRDefault="00B42EF3">
      <w:pPr>
        <w:pStyle w:val="Definition-Field2"/>
      </w:pPr>
      <w:r>
        <w:t>In Word, if no value is encountered on a level of the style hierarchy, the property takes on the value specified by the document defaults.</w:t>
      </w:r>
    </w:p>
    <w:p w:rsidR="005F78FC" w:rsidRDefault="00B42EF3">
      <w:pPr>
        <w:pStyle w:val="Definition-Field"/>
        <w:rPr>
          <w:i/>
        </w:rPr>
      </w:pPr>
      <w:r>
        <w:rPr>
          <w:i/>
        </w:rPr>
        <w:t>c.   The standard states that if a paragraph style does not set a bold property value to false, and the paragraph style specified by its basedOn element specifies that it is true, the result of applying the style definition sets the value of bold to true.</w:t>
      </w:r>
    </w:p>
    <w:p w:rsidR="005F78FC" w:rsidRDefault="00B42EF3">
      <w:pPr>
        <w:pStyle w:val="Definition-Field2"/>
      </w:pPr>
      <w:r>
        <w:t>Versions of Microsoft Word prior to Microsoft Word 2016 do not correctly display toggle properties for a table style unless the property is specified directly in the referenced table style.</w:t>
      </w:r>
    </w:p>
    <w:p w:rsidR="005F78FC" w:rsidRDefault="00B42EF3">
      <w:pPr>
        <w:pStyle w:val="Heading3"/>
      </w:pPr>
      <w:bookmarkStart w:id="482" w:name="section_a8bca340ed81482c84ca7f105a1a11cf"/>
      <w:bookmarkStart w:id="483" w:name="_Toc69878014"/>
      <w:r>
        <w:t>Part 1 Section 17.7.4.1, aliases (Alternate Style Names)</w:t>
      </w:r>
      <w:bookmarkEnd w:id="482"/>
      <w:bookmarkEnd w:id="483"/>
      <w:r>
        <w:fldChar w:fldCharType="begin"/>
      </w:r>
      <w:r>
        <w:instrText xml:space="preserve"> XE "alias</w:instrText>
      </w:r>
      <w:r>
        <w:instrText xml:space="preserve">es (Alternate Style Names)"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5F78FC" w:rsidRDefault="00B42EF3">
      <w:pPr>
        <w:pStyle w:val="Definition-Field"/>
      </w:pPr>
      <w:r>
        <w:t xml:space="preserve">a.   </w:t>
      </w:r>
      <w:r>
        <w:rPr>
          <w:i/>
        </w:rPr>
        <w:t>The standard states that any series of a</w:t>
      </w:r>
      <w:r>
        <w:rPr>
          <w:i/>
        </w:rPr>
        <w:t>lternate style names is valid.</w:t>
      </w:r>
    </w:p>
    <w:p w:rsidR="005F78FC" w:rsidRDefault="00B42EF3">
      <w:pPr>
        <w:pStyle w:val="Definition-Field2"/>
      </w:pPr>
      <w:r>
        <w:t>Word does not roundtrip multiple instances of an identical style name (including both duplication within this element and duplication with the primary style name).</w:t>
      </w:r>
    </w:p>
    <w:p w:rsidR="005F78FC" w:rsidRDefault="00B42EF3">
      <w:pPr>
        <w:pStyle w:val="Definition-Field"/>
      </w:pPr>
      <w:r>
        <w:t xml:space="preserve">b.   </w:t>
      </w:r>
      <w:r>
        <w:rPr>
          <w:i/>
        </w:rPr>
        <w:t>The standard states that any number of consecutive comma</w:t>
      </w:r>
      <w:r>
        <w:rPr>
          <w:i/>
        </w:rPr>
        <w:t xml:space="preserve"> characters can be used to delimit consecutive style names.</w:t>
      </w:r>
    </w:p>
    <w:p w:rsidR="005F78FC" w:rsidRDefault="00B42EF3">
      <w:pPr>
        <w:pStyle w:val="Definition-Field2"/>
      </w:pPr>
      <w:r>
        <w:t>Word discards all aliases after the presence of multiple consecutive comma characters.</w:t>
      </w:r>
    </w:p>
    <w:p w:rsidR="005F78FC" w:rsidRDefault="00B42EF3">
      <w:pPr>
        <w:pStyle w:val="Definition-Field"/>
      </w:pPr>
      <w:r>
        <w:t xml:space="preserve">c.   </w:t>
      </w:r>
      <w:r>
        <w:rPr>
          <w:i/>
        </w:rPr>
        <w:t>The standard does not limit the length of the value of the val attribute.</w:t>
      </w:r>
    </w:p>
    <w:p w:rsidR="005F78FC" w:rsidRDefault="00B42EF3">
      <w:pPr>
        <w:pStyle w:val="Definition-Field2"/>
      </w:pPr>
      <w:r>
        <w:lastRenderedPageBreak/>
        <w:t xml:space="preserve">Word restricts the value of </w:t>
      </w:r>
      <w:r>
        <w:t>this attribute to be at most 253 characters, removing all aliases whose inclusion would exceed that length.</w:t>
      </w:r>
    </w:p>
    <w:p w:rsidR="005F78FC" w:rsidRDefault="00B42EF3">
      <w:pPr>
        <w:pStyle w:val="Heading3"/>
      </w:pPr>
      <w:bookmarkStart w:id="484" w:name="section_97f8900f7cbd47c5878b7b80c8599cb3"/>
      <w:bookmarkStart w:id="485" w:name="_Toc69878015"/>
      <w:r>
        <w:t>Part 1 Section 17.7.4.2, autoRedefine (Automatically Merge User Formatting Into Style Definition)</w:t>
      </w:r>
      <w:bookmarkEnd w:id="484"/>
      <w:bookmarkEnd w:id="485"/>
      <w:r>
        <w:fldChar w:fldCharType="begin"/>
      </w:r>
      <w:r>
        <w:instrText xml:space="preserve"> XE "autoRedefine (Automatically Merge User Formatt</w:instrText>
      </w:r>
      <w:r>
        <w:instrText xml:space="preserve">ing Into Style Definition)" </w:instrText>
      </w:r>
      <w:r>
        <w:fldChar w:fldCharType="end"/>
      </w:r>
    </w:p>
    <w:p w:rsidR="005F78FC" w:rsidRDefault="00B42EF3">
      <w:pPr>
        <w:pStyle w:val="Definition-Field"/>
      </w:pPr>
      <w:r>
        <w:t xml:space="preserve">a.   </w:t>
      </w:r>
      <w:r>
        <w:rPr>
          <w:i/>
        </w:rPr>
        <w:t>The standard states that this element can be specified for any type of style.</w:t>
      </w:r>
    </w:p>
    <w:p w:rsidR="005F78FC" w:rsidRDefault="00B42EF3">
      <w:pPr>
        <w:pStyle w:val="Definition-Field2"/>
      </w:pPr>
      <w:r>
        <w:t>Word only applies this element to paragraph styles.</w:t>
      </w:r>
    </w:p>
    <w:p w:rsidR="005F78FC" w:rsidRDefault="00B42EF3">
      <w:pPr>
        <w:pStyle w:val="Heading3"/>
      </w:pPr>
      <w:bookmarkStart w:id="486" w:name="section_51a9f19520db446fa805e9860978c28d"/>
      <w:bookmarkStart w:id="487" w:name="_Toc69878016"/>
      <w:r>
        <w:t>Part 1 Section 17.7.4.3, basedOn (Parent Style ID)</w:t>
      </w:r>
      <w:bookmarkEnd w:id="486"/>
      <w:bookmarkEnd w:id="487"/>
      <w:r>
        <w:fldChar w:fldCharType="begin"/>
      </w:r>
      <w:r>
        <w:instrText xml:space="preserve"> XE "basedOn (Parent Style ID)" </w:instrText>
      </w:r>
      <w:r>
        <w:fldChar w:fldCharType="end"/>
      </w:r>
    </w:p>
    <w:p w:rsidR="005F78FC" w:rsidRDefault="00B42EF3">
      <w:pPr>
        <w:pStyle w:val="Definition-Field2"/>
      </w:pPr>
      <w:r>
        <w:rPr>
          <w:i/>
        </w:rPr>
        <w:t>For a</w:t>
      </w:r>
      <w:r>
        <w:rPr>
          <w:i/>
        </w:rPr>
        <w:t xml:space="preserve">dditional notes that apply to this portion of the standard, please see the notes for </w:t>
      </w:r>
      <w:hyperlink w:anchor="Section_1e273b9e816940a691aaf9ebd083e0b8">
        <w:r>
          <w:rPr>
            <w:rStyle w:val="Hyperlink"/>
          </w:rPr>
          <w:t>numStyleLink, §17.9.21(a)</w:t>
        </w:r>
      </w:hyperlink>
      <w:r>
        <w:rPr>
          <w:i/>
        </w:rPr>
        <w:t>.</w:t>
      </w:r>
    </w:p>
    <w:p w:rsidR="005F78FC" w:rsidRDefault="00B42EF3">
      <w:pPr>
        <w:pStyle w:val="Definition-Field"/>
      </w:pPr>
      <w:r>
        <w:t xml:space="preserve">a.   </w:t>
      </w:r>
      <w:r>
        <w:rPr>
          <w:i/>
        </w:rPr>
        <w:t>The standard allows loops in the style based-on chain.</w:t>
      </w:r>
    </w:p>
    <w:p w:rsidR="005F78FC" w:rsidRDefault="00B42EF3">
      <w:pPr>
        <w:pStyle w:val="Definition-Field2"/>
      </w:pPr>
      <w:r>
        <w:t>Word requires that th</w:t>
      </w:r>
      <w:r>
        <w:t>e style based-on chain does not have a circular reference.</w:t>
      </w:r>
    </w:p>
    <w:p w:rsidR="005F78FC" w:rsidRDefault="00B42EF3">
      <w:pPr>
        <w:pStyle w:val="Definition-Field"/>
      </w:pPr>
      <w:r>
        <w:t xml:space="preserve">b.   </w:t>
      </w:r>
      <w:r>
        <w:rPr>
          <w:i/>
        </w:rPr>
        <w:t>The standard does not limit the length of the value of the val attribute.</w:t>
      </w:r>
    </w:p>
    <w:p w:rsidR="005F78FC" w:rsidRDefault="00B42EF3">
      <w:pPr>
        <w:pStyle w:val="Definition-Field2"/>
      </w:pPr>
      <w:r>
        <w:t>Word restricts the value of this attribute to be at most 253 characters.</w:t>
      </w:r>
    </w:p>
    <w:p w:rsidR="005F78FC" w:rsidRDefault="00B42EF3">
      <w:pPr>
        <w:pStyle w:val="Heading3"/>
      </w:pPr>
      <w:bookmarkStart w:id="488" w:name="section_08608911e4574cbd8a3001b9433dc849"/>
      <w:bookmarkStart w:id="489" w:name="_Toc69878017"/>
      <w:r>
        <w:t>Part 1 Section 17.7.4.5, latentStyles (Latent</w:t>
      </w:r>
      <w:r>
        <w:t xml:space="preserve"> Style Information)</w:t>
      </w:r>
      <w:bookmarkEnd w:id="488"/>
      <w:bookmarkEnd w:id="489"/>
      <w:r>
        <w:fldChar w:fldCharType="begin"/>
      </w:r>
      <w:r>
        <w:instrText xml:space="preserve"> XE "latentStyles (Latent Style Information)" </w:instrText>
      </w:r>
      <w:r>
        <w:fldChar w:fldCharType="end"/>
      </w:r>
    </w:p>
    <w:p w:rsidR="005F78FC" w:rsidRDefault="00B42EF3">
      <w:pPr>
        <w:pStyle w:val="Definition-Field"/>
      </w:pPr>
      <w:r>
        <w:t xml:space="preserve">a.   </w:t>
      </w:r>
      <w:r>
        <w:rPr>
          <w:i/>
        </w:rPr>
        <w:t>The standard allows any integer for defUIPriorty.</w:t>
      </w:r>
    </w:p>
    <w:p w:rsidR="005F78FC" w:rsidRDefault="00B42EF3">
      <w:pPr>
        <w:pStyle w:val="Definition-Field2"/>
      </w:pPr>
      <w:r>
        <w:t>Word allows values between 0 and 99 inclusive for defUIPriority.</w:t>
      </w:r>
    </w:p>
    <w:p w:rsidR="005F78FC" w:rsidRDefault="00B42EF3">
      <w:pPr>
        <w:pStyle w:val="Definition-Field"/>
      </w:pPr>
      <w:r>
        <w:t xml:space="preserve">b.   </w:t>
      </w:r>
      <w:r>
        <w:rPr>
          <w:i/>
        </w:rPr>
        <w:t>The standard says that count specifies how many built-in styles</w:t>
      </w:r>
      <w:r>
        <w:rPr>
          <w:i/>
        </w:rPr>
        <w:t xml:space="preserve"> to apply latent style defaults to, but does not specify which ones.</w:t>
      </w:r>
    </w:p>
    <w:p w:rsidR="005F78FC" w:rsidRDefault="00B42EF3">
      <w:pPr>
        <w:pStyle w:val="Definition-Field2"/>
      </w:pPr>
      <w:r>
        <w:t>Word applies these latent style defaults to the built-in styles in order of their index within Word’s built-in styles. The table listing the primary style names of the built-in styles ("</w:t>
      </w:r>
      <w:hyperlink r:id="rId95">
        <w:r>
          <w:rPr>
            <w:rStyle w:val="Hyperlink"/>
          </w:rPr>
          <w:t>[ISO/IEC-29500-1]</w:t>
        </w:r>
      </w:hyperlink>
      <w:r>
        <w:t xml:space="preserve"> §17.7.4.9; name") provides the index for each built-in style.</w:t>
      </w:r>
    </w:p>
    <w:p w:rsidR="005F78FC" w:rsidRDefault="00B42EF3">
      <w:pPr>
        <w:pStyle w:val="Definition-Field"/>
      </w:pPr>
      <w:r>
        <w:t xml:space="preserve">c.   </w:t>
      </w:r>
      <w:r>
        <w:rPr>
          <w:i/>
        </w:rPr>
        <w:t>The standard says the default value for defUiPriority is 99.</w:t>
      </w:r>
    </w:p>
    <w:p w:rsidR="005F78FC" w:rsidRDefault="00B42EF3">
      <w:pPr>
        <w:pStyle w:val="Definition-Field2"/>
      </w:pPr>
      <w:r>
        <w:t xml:space="preserve">In Word, the default value for defUiPriority </w:t>
      </w:r>
      <w:r>
        <w:t>is 0.</w:t>
      </w:r>
    </w:p>
    <w:p w:rsidR="005F78FC" w:rsidRDefault="00B42EF3">
      <w:pPr>
        <w:pStyle w:val="Definition-Field"/>
      </w:pPr>
      <w:r>
        <w:t xml:space="preserve">d.   </w:t>
      </w:r>
      <w:r>
        <w:rPr>
          <w:i/>
        </w:rPr>
        <w:t>The standard does not specify default behavior when count is omitted.</w:t>
      </w:r>
    </w:p>
    <w:p w:rsidR="005F78FC" w:rsidRDefault="00B42EF3">
      <w:pPr>
        <w:pStyle w:val="Definition-Field2"/>
      </w:pPr>
      <w:r>
        <w:t>If count is omitted, then Word applies the latent style defaults to all known built-in styles.</w:t>
      </w:r>
    </w:p>
    <w:p w:rsidR="005F78FC" w:rsidRDefault="00B42EF3">
      <w:pPr>
        <w:pStyle w:val="Heading3"/>
      </w:pPr>
      <w:bookmarkStart w:id="490" w:name="section_a1ed4f25b4cf446a89352c1579325c94"/>
      <w:bookmarkStart w:id="491" w:name="_Toc69878018"/>
      <w:r>
        <w:t>Part 1 Section 17.7.4.6, link (Linked Style Reference)</w:t>
      </w:r>
      <w:bookmarkEnd w:id="490"/>
      <w:bookmarkEnd w:id="491"/>
      <w:r>
        <w:fldChar w:fldCharType="begin"/>
      </w:r>
      <w:r>
        <w:instrText xml:space="preserve"> XE "link (Linked Style Re</w:instrText>
      </w:r>
      <w:r>
        <w:instrText xml:space="preserve">ference)"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5F78FC" w:rsidRDefault="00B42EF3">
      <w:pPr>
        <w:pStyle w:val="Definition-Field"/>
      </w:pPr>
      <w:r>
        <w:t xml:space="preserve">a.   </w:t>
      </w:r>
      <w:r>
        <w:rPr>
          <w:i/>
        </w:rPr>
        <w:t xml:space="preserve">The standard does not specify behavior when more than one </w:t>
      </w:r>
      <w:r>
        <w:rPr>
          <w:i/>
        </w:rPr>
        <w:t>style specifies the same styleId for a link.</w:t>
      </w:r>
    </w:p>
    <w:p w:rsidR="005F78FC" w:rsidRDefault="00B42EF3">
      <w:pPr>
        <w:pStyle w:val="Definition-Field2"/>
      </w:pPr>
      <w:r>
        <w:t>Word ignores all but the last link to a given style.</w:t>
      </w:r>
    </w:p>
    <w:p w:rsidR="005F78FC" w:rsidRDefault="00B42EF3">
      <w:pPr>
        <w:pStyle w:val="Definition-Field"/>
      </w:pPr>
      <w:r>
        <w:t xml:space="preserve">b.   </w:t>
      </w:r>
      <w:r>
        <w:rPr>
          <w:i/>
        </w:rPr>
        <w:t>The standard does not specify behavior for a singly linked style pairing.</w:t>
      </w:r>
    </w:p>
    <w:p w:rsidR="005F78FC" w:rsidRDefault="00B42EF3">
      <w:pPr>
        <w:pStyle w:val="Definition-Field2"/>
      </w:pPr>
      <w:r>
        <w:t>If Word reads a singly-linked style pairing, it makes the linking bi-directiona</w:t>
      </w:r>
      <w:r>
        <w:t>l.</w:t>
      </w:r>
    </w:p>
    <w:p w:rsidR="005F78FC" w:rsidRDefault="00B42EF3">
      <w:pPr>
        <w:pStyle w:val="Definition-Field"/>
      </w:pPr>
      <w:r>
        <w:t xml:space="preserve">c.   </w:t>
      </w:r>
      <w:r>
        <w:rPr>
          <w:i/>
        </w:rPr>
        <w:t>The standard does not limit the length of the value of the val attribute.</w:t>
      </w:r>
    </w:p>
    <w:p w:rsidR="005F78FC" w:rsidRDefault="00B42EF3">
      <w:pPr>
        <w:pStyle w:val="Definition-Field2"/>
      </w:pPr>
      <w:r>
        <w:lastRenderedPageBreak/>
        <w:t>Word restricts the value of this attribute to be at most 253 characters.</w:t>
      </w:r>
    </w:p>
    <w:p w:rsidR="005F78FC" w:rsidRDefault="00B42EF3">
      <w:pPr>
        <w:pStyle w:val="Heading3"/>
      </w:pPr>
      <w:bookmarkStart w:id="492" w:name="section_2e117ead5ede4f1bb2d9bf4a463da221"/>
      <w:bookmarkStart w:id="493" w:name="_Toc69878019"/>
      <w:r>
        <w:t>Part 1 Section 17.7.4.8, lsdException (Latent Style Exception)</w:t>
      </w:r>
      <w:bookmarkEnd w:id="492"/>
      <w:bookmarkEnd w:id="493"/>
      <w:r>
        <w:fldChar w:fldCharType="begin"/>
      </w:r>
      <w:r>
        <w:instrText xml:space="preserve"> XE "lsdException (Latent Style Exception)" </w:instrText>
      </w:r>
      <w:r>
        <w:fldChar w:fldCharType="end"/>
      </w:r>
    </w:p>
    <w:p w:rsidR="005F78FC" w:rsidRDefault="00B42EF3">
      <w:pPr>
        <w:pStyle w:val="Definition-Field"/>
      </w:pPr>
      <w:r>
        <w:t xml:space="preserve">a.   </w:t>
      </w:r>
      <w:r>
        <w:rPr>
          <w:i/>
        </w:rPr>
        <w:t>The standard allows an unbounded integer for uiPriority.</w:t>
      </w:r>
    </w:p>
    <w:p w:rsidR="005F78FC" w:rsidRDefault="00B42EF3">
      <w:pPr>
        <w:pStyle w:val="Definition-Field2"/>
      </w:pPr>
      <w:r>
        <w:t>Word allows values between 0 and 99 for uiPriority.</w:t>
      </w:r>
    </w:p>
    <w:p w:rsidR="005F78FC" w:rsidRDefault="00B42EF3">
      <w:pPr>
        <w:pStyle w:val="Heading3"/>
      </w:pPr>
      <w:bookmarkStart w:id="494" w:name="section_716e4d7c3b23421096172b8324486a3b"/>
      <w:bookmarkStart w:id="495" w:name="_Toc69878020"/>
      <w:r>
        <w:t>Part 1 Section 17.7.4.9, name (Primary Style Name)</w:t>
      </w:r>
      <w:bookmarkEnd w:id="494"/>
      <w:bookmarkEnd w:id="495"/>
      <w:r>
        <w:fldChar w:fldCharType="begin"/>
      </w:r>
      <w:r>
        <w:instrText xml:space="preserve"> XE "name (Primary Style Name)" </w:instrText>
      </w:r>
      <w:r>
        <w:fldChar w:fldCharType="end"/>
      </w:r>
    </w:p>
    <w:p w:rsidR="005F78FC" w:rsidRDefault="00B42EF3">
      <w:pPr>
        <w:pStyle w:val="Definition-Field"/>
      </w:pPr>
      <w:r>
        <w:t xml:space="preserve">a.   </w:t>
      </w:r>
      <w:r>
        <w:rPr>
          <w:i/>
        </w:rPr>
        <w:t xml:space="preserve">The </w:t>
      </w:r>
      <w:r>
        <w:rPr>
          <w:i/>
        </w:rPr>
        <w:t>standard does not place any restrictions on the value of the val attribute.</w:t>
      </w:r>
    </w:p>
    <w:p w:rsidR="005F78FC" w:rsidRDefault="00B42EF3">
      <w:pPr>
        <w:pStyle w:val="Definition-Field2"/>
      </w:pPr>
      <w:r>
        <w:t>Word does not allow commas in this attribute's value.</w:t>
      </w:r>
    </w:p>
    <w:p w:rsidR="005F78FC" w:rsidRDefault="00B42EF3">
      <w:pPr>
        <w:pStyle w:val="Definition-Field"/>
      </w:pPr>
      <w:r>
        <w:t xml:space="preserve">b.   </w:t>
      </w:r>
      <w:r>
        <w:rPr>
          <w:i/>
        </w:rPr>
        <w:t>The standard does not limit the length of the value of the val attribute.</w:t>
      </w:r>
    </w:p>
    <w:p w:rsidR="005F78FC" w:rsidRDefault="00B42EF3">
      <w:pPr>
        <w:pStyle w:val="Definition-Field2"/>
      </w:pPr>
      <w:r>
        <w:t>Word restricts the combined length of the prima</w:t>
      </w:r>
      <w:r>
        <w:t>ry style name, all aliases, and alias separators (commas) to be at most 253 characters.</w:t>
      </w:r>
    </w:p>
    <w:p w:rsidR="005F78FC" w:rsidRDefault="00B42EF3">
      <w:pPr>
        <w:pStyle w:val="Definition-Field"/>
      </w:pPr>
      <w:r>
        <w:t xml:space="preserve">c.   </w:t>
      </w:r>
      <w:r>
        <w:rPr>
          <w:i/>
        </w:rPr>
        <w:t>The standard does not specify to remove white space from the beginning or end of primary style name.</w:t>
      </w:r>
    </w:p>
    <w:p w:rsidR="005F78FC" w:rsidRDefault="00B42EF3">
      <w:pPr>
        <w:pStyle w:val="Definition-Field2"/>
      </w:pPr>
      <w:r>
        <w:t xml:space="preserve">Word removes white space from the beginning or end of primary </w:t>
      </w:r>
      <w:r>
        <w:t>style name.</w:t>
      </w:r>
    </w:p>
    <w:p w:rsidR="005F78FC" w:rsidRDefault="00B42EF3">
      <w:pPr>
        <w:pStyle w:val="Definition-Field"/>
      </w:pPr>
      <w:r>
        <w:t xml:space="preserve">d.   </w:t>
      </w:r>
      <w:r>
        <w:rPr>
          <w:i/>
        </w:rPr>
        <w:t>The standard does not specify that certain primary style names must have certain style types.</w:t>
      </w:r>
    </w:p>
    <w:p w:rsidR="005F78FC" w:rsidRDefault="00B42EF3">
      <w:r>
        <w:t>Word reserves a list of style names for use as built-in styles and requires that these names be used with the appropriate style type. If a built-</w:t>
      </w:r>
      <w:r>
        <w:t>in style name is used with the wrong style type or the style type is omitted, then Word enforces the correct built-in style name types by renaming the style or changing its type to match the built-in style type.</w:t>
      </w:r>
    </w:p>
    <w:tbl>
      <w:tblPr>
        <w:tblStyle w:val="Table-ShadedHeader"/>
        <w:tblW w:w="0" w:type="auto"/>
        <w:tblLook w:val="04A0" w:firstRow="1" w:lastRow="0" w:firstColumn="1" w:lastColumn="0" w:noHBand="0" w:noVBand="1"/>
      </w:tblPr>
      <w:tblGrid>
        <w:gridCol w:w="2477"/>
        <w:gridCol w:w="1132"/>
        <w:gridCol w:w="2669"/>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Reserved name</w:t>
            </w:r>
          </w:p>
        </w:tc>
        <w:tc>
          <w:tcPr>
            <w:tcW w:w="0" w:type="auto"/>
            <w:vAlign w:val="center"/>
          </w:tcPr>
          <w:p w:rsidR="005F78FC" w:rsidRDefault="00B42EF3">
            <w:pPr>
              <w:pStyle w:val="TableHeaderText"/>
            </w:pPr>
            <w:r>
              <w:t>Style type</w:t>
            </w:r>
          </w:p>
        </w:tc>
        <w:tc>
          <w:tcPr>
            <w:tcW w:w="0" w:type="auto"/>
            <w:vAlign w:val="center"/>
          </w:tcPr>
          <w:p w:rsidR="005F78FC" w:rsidRDefault="00B42EF3">
            <w:pPr>
              <w:pStyle w:val="TableHeaderText"/>
            </w:pPr>
            <w:r>
              <w:t>Index within built-</w:t>
            </w:r>
            <w:r>
              <w:t>in styles</w:t>
            </w:r>
          </w:p>
        </w:tc>
      </w:tr>
      <w:tr w:rsidR="005F78FC" w:rsidTr="005F78FC">
        <w:tc>
          <w:tcPr>
            <w:tcW w:w="0" w:type="auto"/>
            <w:vAlign w:val="center"/>
          </w:tcPr>
          <w:p w:rsidR="005F78FC" w:rsidRDefault="00B42EF3">
            <w:pPr>
              <w:pStyle w:val="TableBodyText"/>
            </w:pPr>
            <w:r>
              <w:t>annotation reference</w:t>
            </w:r>
          </w:p>
        </w:tc>
        <w:tc>
          <w:tcPr>
            <w:tcW w:w="0" w:type="auto"/>
            <w:vAlign w:val="center"/>
          </w:tcPr>
          <w:p w:rsidR="005F78FC" w:rsidRDefault="00B42EF3">
            <w:pPr>
              <w:pStyle w:val="TableBodyText"/>
            </w:pPr>
            <w:r>
              <w:t>character</w:t>
            </w:r>
          </w:p>
        </w:tc>
        <w:tc>
          <w:tcPr>
            <w:tcW w:w="0" w:type="auto"/>
            <w:vAlign w:val="center"/>
          </w:tcPr>
          <w:p w:rsidR="005F78FC" w:rsidRDefault="00B42EF3">
            <w:pPr>
              <w:pStyle w:val="TableBodyText"/>
            </w:pPr>
            <w:r>
              <w:t>39</w:t>
            </w:r>
          </w:p>
        </w:tc>
      </w:tr>
      <w:tr w:rsidR="005F78FC" w:rsidTr="005F78FC">
        <w:tc>
          <w:tcPr>
            <w:tcW w:w="0" w:type="auto"/>
            <w:vAlign w:val="center"/>
          </w:tcPr>
          <w:p w:rsidR="005F78FC" w:rsidRDefault="00B42EF3">
            <w:pPr>
              <w:pStyle w:val="TableBodyText"/>
            </w:pPr>
            <w:r>
              <w:t>annotation subject</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106</w:t>
            </w:r>
          </w:p>
        </w:tc>
      </w:tr>
      <w:tr w:rsidR="005F78FC" w:rsidTr="005F78FC">
        <w:tc>
          <w:tcPr>
            <w:tcW w:w="0" w:type="auto"/>
            <w:vAlign w:val="center"/>
          </w:tcPr>
          <w:p w:rsidR="005F78FC" w:rsidRDefault="00B42EF3">
            <w:pPr>
              <w:pStyle w:val="TableBodyText"/>
            </w:pPr>
            <w:r>
              <w:t>annotation text</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30</w:t>
            </w:r>
          </w:p>
        </w:tc>
      </w:tr>
      <w:tr w:rsidR="005F78FC" w:rsidTr="005F78FC">
        <w:tc>
          <w:tcPr>
            <w:tcW w:w="0" w:type="auto"/>
            <w:vAlign w:val="center"/>
          </w:tcPr>
          <w:p w:rsidR="005F78FC" w:rsidRDefault="00B42EF3">
            <w:pPr>
              <w:pStyle w:val="TableBodyText"/>
            </w:pPr>
            <w:r>
              <w:t>Balloon Text</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153</w:t>
            </w:r>
          </w:p>
        </w:tc>
      </w:tr>
      <w:tr w:rsidR="005F78FC" w:rsidTr="005F78FC">
        <w:tc>
          <w:tcPr>
            <w:tcW w:w="0" w:type="auto"/>
            <w:vAlign w:val="center"/>
          </w:tcPr>
          <w:p w:rsidR="005F78FC" w:rsidRDefault="00B42EF3">
            <w:pPr>
              <w:pStyle w:val="TableBodyText"/>
            </w:pPr>
            <w:r>
              <w:t>Bibliography</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265</w:t>
            </w:r>
          </w:p>
        </w:tc>
      </w:tr>
      <w:tr w:rsidR="005F78FC" w:rsidTr="005F78FC">
        <w:tc>
          <w:tcPr>
            <w:tcW w:w="0" w:type="auto"/>
            <w:vAlign w:val="center"/>
          </w:tcPr>
          <w:p w:rsidR="005F78FC" w:rsidRDefault="00B42EF3">
            <w:pPr>
              <w:pStyle w:val="TableBodyText"/>
            </w:pPr>
            <w:r>
              <w:t>Block Text</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84</w:t>
            </w:r>
          </w:p>
        </w:tc>
      </w:tr>
      <w:tr w:rsidR="005F78FC" w:rsidTr="005F78FC">
        <w:tc>
          <w:tcPr>
            <w:tcW w:w="0" w:type="auto"/>
            <w:vAlign w:val="center"/>
          </w:tcPr>
          <w:p w:rsidR="005F78FC" w:rsidRDefault="00B42EF3">
            <w:pPr>
              <w:pStyle w:val="TableBodyText"/>
            </w:pPr>
            <w:r>
              <w:t>Body Text</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66</w:t>
            </w:r>
          </w:p>
        </w:tc>
      </w:tr>
      <w:tr w:rsidR="005F78FC" w:rsidTr="005F78FC">
        <w:tc>
          <w:tcPr>
            <w:tcW w:w="0" w:type="auto"/>
            <w:vAlign w:val="center"/>
          </w:tcPr>
          <w:p w:rsidR="005F78FC" w:rsidRDefault="00B42EF3">
            <w:pPr>
              <w:pStyle w:val="TableBodyText"/>
            </w:pPr>
            <w:r>
              <w:t>Body Text 2</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80</w:t>
            </w:r>
          </w:p>
        </w:tc>
      </w:tr>
      <w:tr w:rsidR="005F78FC" w:rsidTr="005F78FC">
        <w:tc>
          <w:tcPr>
            <w:tcW w:w="0" w:type="auto"/>
            <w:vAlign w:val="center"/>
          </w:tcPr>
          <w:p w:rsidR="005F78FC" w:rsidRDefault="00B42EF3">
            <w:pPr>
              <w:pStyle w:val="TableBodyText"/>
            </w:pPr>
            <w:r>
              <w:t>Body Text 3</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81</w:t>
            </w:r>
          </w:p>
        </w:tc>
      </w:tr>
      <w:tr w:rsidR="005F78FC" w:rsidTr="005F78FC">
        <w:tc>
          <w:tcPr>
            <w:tcW w:w="0" w:type="auto"/>
            <w:vAlign w:val="center"/>
          </w:tcPr>
          <w:p w:rsidR="005F78FC" w:rsidRDefault="00B42EF3">
            <w:pPr>
              <w:pStyle w:val="TableBodyText"/>
            </w:pPr>
            <w:r>
              <w:t>Body Text First Indent</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77</w:t>
            </w:r>
          </w:p>
        </w:tc>
      </w:tr>
      <w:tr w:rsidR="005F78FC" w:rsidTr="005F78FC">
        <w:tc>
          <w:tcPr>
            <w:tcW w:w="0" w:type="auto"/>
            <w:vAlign w:val="center"/>
          </w:tcPr>
          <w:p w:rsidR="005F78FC" w:rsidRDefault="00B42EF3">
            <w:pPr>
              <w:pStyle w:val="TableBodyText"/>
            </w:pPr>
            <w:r>
              <w:t>Body Text First Indent 2</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78</w:t>
            </w:r>
          </w:p>
        </w:tc>
      </w:tr>
      <w:tr w:rsidR="005F78FC" w:rsidTr="005F78FC">
        <w:tc>
          <w:tcPr>
            <w:tcW w:w="0" w:type="auto"/>
            <w:vAlign w:val="center"/>
          </w:tcPr>
          <w:p w:rsidR="005F78FC" w:rsidRDefault="00B42EF3">
            <w:pPr>
              <w:pStyle w:val="TableBodyText"/>
            </w:pPr>
            <w:r>
              <w:t>Body Text Indent</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67</w:t>
            </w:r>
          </w:p>
        </w:tc>
      </w:tr>
      <w:tr w:rsidR="005F78FC" w:rsidTr="005F78FC">
        <w:tc>
          <w:tcPr>
            <w:tcW w:w="0" w:type="auto"/>
            <w:vAlign w:val="center"/>
          </w:tcPr>
          <w:p w:rsidR="005F78FC" w:rsidRDefault="00B42EF3">
            <w:pPr>
              <w:pStyle w:val="TableBodyText"/>
            </w:pPr>
            <w:r>
              <w:t>Body Text Indent 2</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82</w:t>
            </w:r>
          </w:p>
        </w:tc>
      </w:tr>
      <w:tr w:rsidR="005F78FC" w:rsidTr="005F78FC">
        <w:tc>
          <w:tcPr>
            <w:tcW w:w="0" w:type="auto"/>
            <w:vAlign w:val="center"/>
          </w:tcPr>
          <w:p w:rsidR="005F78FC" w:rsidRDefault="00B42EF3">
            <w:pPr>
              <w:pStyle w:val="TableBodyText"/>
            </w:pPr>
            <w:r>
              <w:t>Body Text Indent 3</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83</w:t>
            </w:r>
          </w:p>
        </w:tc>
      </w:tr>
      <w:tr w:rsidR="005F78FC" w:rsidTr="005F78FC">
        <w:tc>
          <w:tcPr>
            <w:tcW w:w="0" w:type="auto"/>
            <w:vAlign w:val="center"/>
          </w:tcPr>
          <w:p w:rsidR="005F78FC" w:rsidRDefault="00B42EF3">
            <w:pPr>
              <w:pStyle w:val="TableBodyText"/>
            </w:pPr>
            <w:r>
              <w:t>Book Title</w:t>
            </w:r>
          </w:p>
        </w:tc>
        <w:tc>
          <w:tcPr>
            <w:tcW w:w="0" w:type="auto"/>
            <w:vAlign w:val="center"/>
          </w:tcPr>
          <w:p w:rsidR="005F78FC" w:rsidRDefault="00B42EF3">
            <w:pPr>
              <w:pStyle w:val="TableBodyText"/>
            </w:pPr>
            <w:r>
              <w:t>character</w:t>
            </w:r>
          </w:p>
        </w:tc>
        <w:tc>
          <w:tcPr>
            <w:tcW w:w="0" w:type="auto"/>
            <w:vAlign w:val="center"/>
          </w:tcPr>
          <w:p w:rsidR="005F78FC" w:rsidRDefault="00B42EF3">
            <w:pPr>
              <w:pStyle w:val="TableBodyText"/>
            </w:pPr>
            <w:r>
              <w:t>264</w:t>
            </w:r>
          </w:p>
        </w:tc>
      </w:tr>
      <w:tr w:rsidR="005F78FC" w:rsidTr="005F78FC">
        <w:tc>
          <w:tcPr>
            <w:tcW w:w="0" w:type="auto"/>
            <w:vAlign w:val="center"/>
          </w:tcPr>
          <w:p w:rsidR="005F78FC" w:rsidRDefault="00B42EF3">
            <w:pPr>
              <w:pStyle w:val="TableBodyText"/>
            </w:pPr>
            <w:r>
              <w:lastRenderedPageBreak/>
              <w:t>caption</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34</w:t>
            </w:r>
          </w:p>
        </w:tc>
      </w:tr>
      <w:tr w:rsidR="005F78FC" w:rsidTr="005F78FC">
        <w:tc>
          <w:tcPr>
            <w:tcW w:w="0" w:type="auto"/>
            <w:vAlign w:val="center"/>
          </w:tcPr>
          <w:p w:rsidR="005F78FC" w:rsidRDefault="00B42EF3">
            <w:pPr>
              <w:pStyle w:val="TableBodyText"/>
            </w:pPr>
            <w:r>
              <w:t>Closing</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63</w:t>
            </w:r>
          </w:p>
        </w:tc>
      </w:tr>
      <w:tr w:rsidR="005F78FC" w:rsidTr="005F78FC">
        <w:tc>
          <w:tcPr>
            <w:tcW w:w="0" w:type="auto"/>
            <w:vAlign w:val="center"/>
          </w:tcPr>
          <w:p w:rsidR="005F78FC" w:rsidRDefault="00B42EF3">
            <w:pPr>
              <w:pStyle w:val="TableBodyText"/>
            </w:pPr>
            <w:r>
              <w:t>Colorful Grid</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171</w:t>
            </w:r>
          </w:p>
        </w:tc>
      </w:tr>
      <w:tr w:rsidR="005F78FC" w:rsidTr="005F78FC">
        <w:tc>
          <w:tcPr>
            <w:tcW w:w="0" w:type="auto"/>
            <w:vAlign w:val="center"/>
          </w:tcPr>
          <w:p w:rsidR="005F78FC" w:rsidRDefault="00B42EF3">
            <w:pPr>
              <w:pStyle w:val="TableBodyText"/>
            </w:pPr>
            <w:r>
              <w:t>Colorful Grid Accent 1</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189</w:t>
            </w:r>
          </w:p>
        </w:tc>
      </w:tr>
      <w:tr w:rsidR="005F78FC" w:rsidTr="005F78FC">
        <w:tc>
          <w:tcPr>
            <w:tcW w:w="0" w:type="auto"/>
            <w:vAlign w:val="center"/>
          </w:tcPr>
          <w:p w:rsidR="005F78FC" w:rsidRDefault="00B42EF3">
            <w:pPr>
              <w:pStyle w:val="TableBodyText"/>
            </w:pPr>
            <w:r>
              <w:t>Colorful Grid Accent 2</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203</w:t>
            </w:r>
          </w:p>
        </w:tc>
      </w:tr>
      <w:tr w:rsidR="005F78FC" w:rsidTr="005F78FC">
        <w:tc>
          <w:tcPr>
            <w:tcW w:w="0" w:type="auto"/>
            <w:vAlign w:val="center"/>
          </w:tcPr>
          <w:p w:rsidR="005F78FC" w:rsidRDefault="00B42EF3">
            <w:pPr>
              <w:pStyle w:val="TableBodyText"/>
            </w:pPr>
            <w:r>
              <w:t>Colorful Grid Accent 3</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217</w:t>
            </w:r>
          </w:p>
        </w:tc>
      </w:tr>
      <w:tr w:rsidR="005F78FC" w:rsidTr="005F78FC">
        <w:tc>
          <w:tcPr>
            <w:tcW w:w="0" w:type="auto"/>
            <w:vAlign w:val="center"/>
          </w:tcPr>
          <w:p w:rsidR="005F78FC" w:rsidRDefault="00B42EF3">
            <w:pPr>
              <w:pStyle w:val="TableBodyText"/>
            </w:pPr>
            <w:r>
              <w:t>Colorful Grid Accent 4</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231</w:t>
            </w:r>
          </w:p>
        </w:tc>
      </w:tr>
      <w:tr w:rsidR="005F78FC" w:rsidTr="005F78FC">
        <w:tc>
          <w:tcPr>
            <w:tcW w:w="0" w:type="auto"/>
            <w:vAlign w:val="center"/>
          </w:tcPr>
          <w:p w:rsidR="005F78FC" w:rsidRDefault="00B42EF3">
            <w:pPr>
              <w:pStyle w:val="TableBodyText"/>
            </w:pPr>
            <w:r>
              <w:t>Colorful Grid Accent 5</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245</w:t>
            </w:r>
          </w:p>
        </w:tc>
      </w:tr>
      <w:tr w:rsidR="005F78FC" w:rsidTr="005F78FC">
        <w:tc>
          <w:tcPr>
            <w:tcW w:w="0" w:type="auto"/>
            <w:vAlign w:val="center"/>
          </w:tcPr>
          <w:p w:rsidR="005F78FC" w:rsidRDefault="00B42EF3">
            <w:pPr>
              <w:pStyle w:val="TableBodyText"/>
            </w:pPr>
            <w:r>
              <w:t>Colorful Grid Accent 6</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259</w:t>
            </w:r>
          </w:p>
        </w:tc>
      </w:tr>
      <w:tr w:rsidR="005F78FC" w:rsidTr="005F78FC">
        <w:tc>
          <w:tcPr>
            <w:tcW w:w="0" w:type="auto"/>
            <w:vAlign w:val="center"/>
          </w:tcPr>
          <w:p w:rsidR="005F78FC" w:rsidRDefault="00B42EF3">
            <w:pPr>
              <w:pStyle w:val="TableBodyText"/>
            </w:pPr>
            <w:r>
              <w:t>Colorful List</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170</w:t>
            </w:r>
          </w:p>
        </w:tc>
      </w:tr>
      <w:tr w:rsidR="005F78FC" w:rsidTr="005F78FC">
        <w:tc>
          <w:tcPr>
            <w:tcW w:w="0" w:type="auto"/>
            <w:vAlign w:val="center"/>
          </w:tcPr>
          <w:p w:rsidR="005F78FC" w:rsidRDefault="00B42EF3">
            <w:pPr>
              <w:pStyle w:val="TableBodyText"/>
            </w:pPr>
            <w:r>
              <w:t>Colorful List Accent 1</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188</w:t>
            </w:r>
          </w:p>
        </w:tc>
      </w:tr>
      <w:tr w:rsidR="005F78FC" w:rsidTr="005F78FC">
        <w:tc>
          <w:tcPr>
            <w:tcW w:w="0" w:type="auto"/>
            <w:vAlign w:val="center"/>
          </w:tcPr>
          <w:p w:rsidR="005F78FC" w:rsidRDefault="00B42EF3">
            <w:pPr>
              <w:pStyle w:val="TableBodyText"/>
            </w:pPr>
            <w:r>
              <w:t>Colorful List Accent 2</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202</w:t>
            </w:r>
          </w:p>
        </w:tc>
      </w:tr>
      <w:tr w:rsidR="005F78FC" w:rsidTr="005F78FC">
        <w:tc>
          <w:tcPr>
            <w:tcW w:w="0" w:type="auto"/>
            <w:vAlign w:val="center"/>
          </w:tcPr>
          <w:p w:rsidR="005F78FC" w:rsidRDefault="00B42EF3">
            <w:pPr>
              <w:pStyle w:val="TableBodyText"/>
            </w:pPr>
            <w:r>
              <w:t>Colorful List Accent 3</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216</w:t>
            </w:r>
          </w:p>
        </w:tc>
      </w:tr>
      <w:tr w:rsidR="005F78FC" w:rsidTr="005F78FC">
        <w:tc>
          <w:tcPr>
            <w:tcW w:w="0" w:type="auto"/>
            <w:vAlign w:val="center"/>
          </w:tcPr>
          <w:p w:rsidR="005F78FC" w:rsidRDefault="00B42EF3">
            <w:pPr>
              <w:pStyle w:val="TableBodyText"/>
            </w:pPr>
            <w:r>
              <w:t>Colorful List Accent 4</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230</w:t>
            </w:r>
          </w:p>
        </w:tc>
      </w:tr>
      <w:tr w:rsidR="005F78FC" w:rsidTr="005F78FC">
        <w:tc>
          <w:tcPr>
            <w:tcW w:w="0" w:type="auto"/>
            <w:vAlign w:val="center"/>
          </w:tcPr>
          <w:p w:rsidR="005F78FC" w:rsidRDefault="00B42EF3">
            <w:pPr>
              <w:pStyle w:val="TableBodyText"/>
            </w:pPr>
            <w:r>
              <w:t>Colorful List Accent 5</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244</w:t>
            </w:r>
          </w:p>
        </w:tc>
      </w:tr>
      <w:tr w:rsidR="005F78FC" w:rsidTr="005F78FC">
        <w:tc>
          <w:tcPr>
            <w:tcW w:w="0" w:type="auto"/>
            <w:vAlign w:val="center"/>
          </w:tcPr>
          <w:p w:rsidR="005F78FC" w:rsidRDefault="00B42EF3">
            <w:pPr>
              <w:pStyle w:val="TableBodyText"/>
            </w:pPr>
            <w:r>
              <w:t>Colorful List Accent 6</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258</w:t>
            </w:r>
          </w:p>
        </w:tc>
      </w:tr>
      <w:tr w:rsidR="005F78FC" w:rsidTr="005F78FC">
        <w:tc>
          <w:tcPr>
            <w:tcW w:w="0" w:type="auto"/>
            <w:vAlign w:val="center"/>
          </w:tcPr>
          <w:p w:rsidR="005F78FC" w:rsidRDefault="00B42EF3">
            <w:pPr>
              <w:pStyle w:val="TableBodyText"/>
            </w:pPr>
            <w:r>
              <w:t>Colorful Shading</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169</w:t>
            </w:r>
          </w:p>
        </w:tc>
      </w:tr>
      <w:tr w:rsidR="005F78FC" w:rsidTr="005F78FC">
        <w:tc>
          <w:tcPr>
            <w:tcW w:w="0" w:type="auto"/>
            <w:vAlign w:val="center"/>
          </w:tcPr>
          <w:p w:rsidR="005F78FC" w:rsidRDefault="00B42EF3">
            <w:pPr>
              <w:pStyle w:val="TableBodyText"/>
            </w:pPr>
            <w:r>
              <w:t xml:space="preserve">Colorful Shading Accent </w:t>
            </w:r>
            <w:r>
              <w:t>1</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187</w:t>
            </w:r>
          </w:p>
        </w:tc>
      </w:tr>
      <w:tr w:rsidR="005F78FC" w:rsidTr="005F78FC">
        <w:tc>
          <w:tcPr>
            <w:tcW w:w="0" w:type="auto"/>
            <w:vAlign w:val="center"/>
          </w:tcPr>
          <w:p w:rsidR="005F78FC" w:rsidRDefault="00B42EF3">
            <w:pPr>
              <w:pStyle w:val="TableBodyText"/>
            </w:pPr>
            <w:r>
              <w:t>Colorful Shading Accent 2</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201</w:t>
            </w:r>
          </w:p>
        </w:tc>
      </w:tr>
      <w:tr w:rsidR="005F78FC" w:rsidTr="005F78FC">
        <w:tc>
          <w:tcPr>
            <w:tcW w:w="0" w:type="auto"/>
            <w:vAlign w:val="center"/>
          </w:tcPr>
          <w:p w:rsidR="005F78FC" w:rsidRDefault="00B42EF3">
            <w:pPr>
              <w:pStyle w:val="TableBodyText"/>
            </w:pPr>
            <w:r>
              <w:t>Colorful Shading Accent 3</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215</w:t>
            </w:r>
          </w:p>
        </w:tc>
      </w:tr>
      <w:tr w:rsidR="005F78FC" w:rsidTr="005F78FC">
        <w:tc>
          <w:tcPr>
            <w:tcW w:w="0" w:type="auto"/>
            <w:vAlign w:val="center"/>
          </w:tcPr>
          <w:p w:rsidR="005F78FC" w:rsidRDefault="00B42EF3">
            <w:pPr>
              <w:pStyle w:val="TableBodyText"/>
            </w:pPr>
            <w:r>
              <w:t>Colorful Shading Accent 4</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229</w:t>
            </w:r>
          </w:p>
        </w:tc>
      </w:tr>
      <w:tr w:rsidR="005F78FC" w:rsidTr="005F78FC">
        <w:tc>
          <w:tcPr>
            <w:tcW w:w="0" w:type="auto"/>
            <w:vAlign w:val="center"/>
          </w:tcPr>
          <w:p w:rsidR="005F78FC" w:rsidRDefault="00B42EF3">
            <w:pPr>
              <w:pStyle w:val="TableBodyText"/>
            </w:pPr>
            <w:r>
              <w:t>Colorful Shading Accent 5</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243</w:t>
            </w:r>
          </w:p>
        </w:tc>
      </w:tr>
      <w:tr w:rsidR="005F78FC" w:rsidTr="005F78FC">
        <w:tc>
          <w:tcPr>
            <w:tcW w:w="0" w:type="auto"/>
            <w:vAlign w:val="center"/>
          </w:tcPr>
          <w:p w:rsidR="005F78FC" w:rsidRDefault="00B42EF3">
            <w:pPr>
              <w:pStyle w:val="TableBodyText"/>
            </w:pPr>
            <w:r>
              <w:t>Colorful Shading Accent 6</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257</w:t>
            </w:r>
          </w:p>
        </w:tc>
      </w:tr>
      <w:tr w:rsidR="005F78FC" w:rsidTr="005F78FC">
        <w:tc>
          <w:tcPr>
            <w:tcW w:w="0" w:type="auto"/>
            <w:vAlign w:val="center"/>
          </w:tcPr>
          <w:p w:rsidR="005F78FC" w:rsidRDefault="00B42EF3">
            <w:pPr>
              <w:pStyle w:val="TableBodyText"/>
            </w:pPr>
            <w:r>
              <w:t>Dark List</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168</w:t>
            </w:r>
          </w:p>
        </w:tc>
      </w:tr>
      <w:tr w:rsidR="005F78FC" w:rsidTr="005F78FC">
        <w:tc>
          <w:tcPr>
            <w:tcW w:w="0" w:type="auto"/>
            <w:vAlign w:val="center"/>
          </w:tcPr>
          <w:p w:rsidR="005F78FC" w:rsidRDefault="00B42EF3">
            <w:pPr>
              <w:pStyle w:val="TableBodyText"/>
            </w:pPr>
            <w:r>
              <w:t>Dark List Accent 1</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186</w:t>
            </w:r>
          </w:p>
        </w:tc>
      </w:tr>
      <w:tr w:rsidR="005F78FC" w:rsidTr="005F78FC">
        <w:tc>
          <w:tcPr>
            <w:tcW w:w="0" w:type="auto"/>
            <w:vAlign w:val="center"/>
          </w:tcPr>
          <w:p w:rsidR="005F78FC" w:rsidRDefault="00B42EF3">
            <w:pPr>
              <w:pStyle w:val="TableBodyText"/>
            </w:pPr>
            <w:r>
              <w:t xml:space="preserve">Dark </w:t>
            </w:r>
            <w:r>
              <w:t>List Accent 2</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200</w:t>
            </w:r>
          </w:p>
        </w:tc>
      </w:tr>
      <w:tr w:rsidR="005F78FC" w:rsidTr="005F78FC">
        <w:tc>
          <w:tcPr>
            <w:tcW w:w="0" w:type="auto"/>
            <w:vAlign w:val="center"/>
          </w:tcPr>
          <w:p w:rsidR="005F78FC" w:rsidRDefault="00B42EF3">
            <w:pPr>
              <w:pStyle w:val="TableBodyText"/>
            </w:pPr>
            <w:r>
              <w:t>Dark List Accent 3</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214</w:t>
            </w:r>
          </w:p>
        </w:tc>
      </w:tr>
      <w:tr w:rsidR="005F78FC" w:rsidTr="005F78FC">
        <w:tc>
          <w:tcPr>
            <w:tcW w:w="0" w:type="auto"/>
            <w:vAlign w:val="center"/>
          </w:tcPr>
          <w:p w:rsidR="005F78FC" w:rsidRDefault="00B42EF3">
            <w:pPr>
              <w:pStyle w:val="TableBodyText"/>
            </w:pPr>
            <w:r>
              <w:t>Dark List Accent 4</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228</w:t>
            </w:r>
          </w:p>
        </w:tc>
      </w:tr>
      <w:tr w:rsidR="005F78FC" w:rsidTr="005F78FC">
        <w:tc>
          <w:tcPr>
            <w:tcW w:w="0" w:type="auto"/>
            <w:vAlign w:val="center"/>
          </w:tcPr>
          <w:p w:rsidR="005F78FC" w:rsidRDefault="00B42EF3">
            <w:pPr>
              <w:pStyle w:val="TableBodyText"/>
            </w:pPr>
            <w:r>
              <w:t>Dark List Accent 5</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242</w:t>
            </w:r>
          </w:p>
        </w:tc>
      </w:tr>
      <w:tr w:rsidR="005F78FC" w:rsidTr="005F78FC">
        <w:tc>
          <w:tcPr>
            <w:tcW w:w="0" w:type="auto"/>
            <w:vAlign w:val="center"/>
          </w:tcPr>
          <w:p w:rsidR="005F78FC" w:rsidRDefault="00B42EF3">
            <w:pPr>
              <w:pStyle w:val="TableBodyText"/>
            </w:pPr>
            <w:r>
              <w:t>Dark List Accent 6</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256</w:t>
            </w:r>
          </w:p>
        </w:tc>
      </w:tr>
      <w:tr w:rsidR="005F78FC" w:rsidTr="005F78FC">
        <w:tc>
          <w:tcPr>
            <w:tcW w:w="0" w:type="auto"/>
            <w:vAlign w:val="center"/>
          </w:tcPr>
          <w:p w:rsidR="005F78FC" w:rsidRDefault="00B42EF3">
            <w:pPr>
              <w:pStyle w:val="TableBodyText"/>
            </w:pPr>
            <w:r>
              <w:t>Date</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76</w:t>
            </w:r>
          </w:p>
        </w:tc>
      </w:tr>
      <w:tr w:rsidR="005F78FC" w:rsidTr="005F78FC">
        <w:tc>
          <w:tcPr>
            <w:tcW w:w="0" w:type="auto"/>
            <w:vAlign w:val="center"/>
          </w:tcPr>
          <w:p w:rsidR="005F78FC" w:rsidRDefault="00B42EF3">
            <w:pPr>
              <w:pStyle w:val="TableBodyText"/>
            </w:pPr>
            <w:r>
              <w:t>Default Paragraph Font</w:t>
            </w:r>
          </w:p>
        </w:tc>
        <w:tc>
          <w:tcPr>
            <w:tcW w:w="0" w:type="auto"/>
            <w:vAlign w:val="center"/>
          </w:tcPr>
          <w:p w:rsidR="005F78FC" w:rsidRDefault="00B42EF3">
            <w:pPr>
              <w:pStyle w:val="TableBodyText"/>
            </w:pPr>
            <w:r>
              <w:t>character</w:t>
            </w:r>
          </w:p>
        </w:tc>
        <w:tc>
          <w:tcPr>
            <w:tcW w:w="0" w:type="auto"/>
            <w:vAlign w:val="center"/>
          </w:tcPr>
          <w:p w:rsidR="005F78FC" w:rsidRDefault="00B42EF3">
            <w:pPr>
              <w:pStyle w:val="TableBodyText"/>
            </w:pPr>
            <w:r>
              <w:t>65</w:t>
            </w:r>
          </w:p>
        </w:tc>
      </w:tr>
      <w:tr w:rsidR="005F78FC" w:rsidTr="005F78FC">
        <w:tc>
          <w:tcPr>
            <w:tcW w:w="0" w:type="auto"/>
            <w:vAlign w:val="center"/>
          </w:tcPr>
          <w:p w:rsidR="005F78FC" w:rsidRDefault="00B42EF3">
            <w:pPr>
              <w:pStyle w:val="TableBodyText"/>
            </w:pPr>
            <w:r>
              <w:lastRenderedPageBreak/>
              <w:t>Document Map</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89</w:t>
            </w:r>
          </w:p>
        </w:tc>
      </w:tr>
      <w:tr w:rsidR="005F78FC" w:rsidTr="005F78FC">
        <w:tc>
          <w:tcPr>
            <w:tcW w:w="0" w:type="auto"/>
            <w:vAlign w:val="center"/>
          </w:tcPr>
          <w:p w:rsidR="005F78FC" w:rsidRDefault="00B42EF3">
            <w:pPr>
              <w:pStyle w:val="TableBodyText"/>
            </w:pPr>
            <w:r>
              <w:t>E-mail Signature</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91</w:t>
            </w:r>
          </w:p>
        </w:tc>
      </w:tr>
      <w:tr w:rsidR="005F78FC" w:rsidTr="005F78FC">
        <w:tc>
          <w:tcPr>
            <w:tcW w:w="0" w:type="auto"/>
            <w:vAlign w:val="center"/>
          </w:tcPr>
          <w:p w:rsidR="005F78FC" w:rsidRDefault="00B42EF3">
            <w:pPr>
              <w:pStyle w:val="TableBodyText"/>
            </w:pPr>
            <w:r>
              <w:t>Emphasis</w:t>
            </w:r>
          </w:p>
        </w:tc>
        <w:tc>
          <w:tcPr>
            <w:tcW w:w="0" w:type="auto"/>
            <w:vAlign w:val="center"/>
          </w:tcPr>
          <w:p w:rsidR="005F78FC" w:rsidRDefault="00B42EF3">
            <w:pPr>
              <w:pStyle w:val="TableBodyText"/>
            </w:pPr>
            <w:r>
              <w:t>character</w:t>
            </w:r>
          </w:p>
        </w:tc>
        <w:tc>
          <w:tcPr>
            <w:tcW w:w="0" w:type="auto"/>
            <w:vAlign w:val="center"/>
          </w:tcPr>
          <w:p w:rsidR="005F78FC" w:rsidRDefault="00B42EF3">
            <w:pPr>
              <w:pStyle w:val="TableBodyText"/>
            </w:pPr>
            <w:r>
              <w:t>88</w:t>
            </w:r>
          </w:p>
        </w:tc>
      </w:tr>
      <w:tr w:rsidR="005F78FC" w:rsidTr="005F78FC">
        <w:tc>
          <w:tcPr>
            <w:tcW w:w="0" w:type="auto"/>
            <w:vAlign w:val="center"/>
          </w:tcPr>
          <w:p w:rsidR="005F78FC" w:rsidRDefault="00B42EF3">
            <w:pPr>
              <w:pStyle w:val="TableBodyText"/>
            </w:pPr>
            <w:r>
              <w:t>endnote reference</w:t>
            </w:r>
          </w:p>
        </w:tc>
        <w:tc>
          <w:tcPr>
            <w:tcW w:w="0" w:type="auto"/>
            <w:vAlign w:val="center"/>
          </w:tcPr>
          <w:p w:rsidR="005F78FC" w:rsidRDefault="00B42EF3">
            <w:pPr>
              <w:pStyle w:val="TableBodyText"/>
            </w:pPr>
            <w:r>
              <w:t>character</w:t>
            </w:r>
          </w:p>
        </w:tc>
        <w:tc>
          <w:tcPr>
            <w:tcW w:w="0" w:type="auto"/>
            <w:vAlign w:val="center"/>
          </w:tcPr>
          <w:p w:rsidR="005F78FC" w:rsidRDefault="00B42EF3">
            <w:pPr>
              <w:pStyle w:val="TableBodyText"/>
            </w:pPr>
            <w:r>
              <w:t>42</w:t>
            </w:r>
          </w:p>
        </w:tc>
      </w:tr>
      <w:tr w:rsidR="005F78FC" w:rsidTr="005F78FC">
        <w:tc>
          <w:tcPr>
            <w:tcW w:w="0" w:type="auto"/>
            <w:vAlign w:val="center"/>
          </w:tcPr>
          <w:p w:rsidR="005F78FC" w:rsidRDefault="00B42EF3">
            <w:pPr>
              <w:pStyle w:val="TableBodyText"/>
            </w:pPr>
            <w:r>
              <w:t>endnote text</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43</w:t>
            </w:r>
          </w:p>
        </w:tc>
      </w:tr>
      <w:tr w:rsidR="005F78FC" w:rsidTr="005F78FC">
        <w:tc>
          <w:tcPr>
            <w:tcW w:w="0" w:type="auto"/>
            <w:vAlign w:val="center"/>
          </w:tcPr>
          <w:p w:rsidR="005F78FC" w:rsidRDefault="00B42EF3">
            <w:pPr>
              <w:pStyle w:val="TableBodyText"/>
            </w:pPr>
            <w:r>
              <w:t>envelope address</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36</w:t>
            </w:r>
          </w:p>
        </w:tc>
      </w:tr>
      <w:tr w:rsidR="005F78FC" w:rsidTr="005F78FC">
        <w:tc>
          <w:tcPr>
            <w:tcW w:w="0" w:type="auto"/>
            <w:vAlign w:val="center"/>
          </w:tcPr>
          <w:p w:rsidR="005F78FC" w:rsidRDefault="00B42EF3">
            <w:pPr>
              <w:pStyle w:val="TableBodyText"/>
            </w:pPr>
            <w:r>
              <w:t>envelope return</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37</w:t>
            </w:r>
          </w:p>
        </w:tc>
      </w:tr>
      <w:tr w:rsidR="005F78FC" w:rsidTr="005F78FC">
        <w:tc>
          <w:tcPr>
            <w:tcW w:w="0" w:type="auto"/>
            <w:vAlign w:val="center"/>
          </w:tcPr>
          <w:p w:rsidR="005F78FC" w:rsidRDefault="00B42EF3">
            <w:pPr>
              <w:pStyle w:val="TableBodyText"/>
            </w:pPr>
            <w:r>
              <w:t>FollowedHyperlink</w:t>
            </w:r>
          </w:p>
        </w:tc>
        <w:tc>
          <w:tcPr>
            <w:tcW w:w="0" w:type="auto"/>
            <w:vAlign w:val="center"/>
          </w:tcPr>
          <w:p w:rsidR="005F78FC" w:rsidRDefault="00B42EF3">
            <w:pPr>
              <w:pStyle w:val="TableBodyText"/>
            </w:pPr>
            <w:r>
              <w:t>character</w:t>
            </w:r>
          </w:p>
        </w:tc>
        <w:tc>
          <w:tcPr>
            <w:tcW w:w="0" w:type="auto"/>
            <w:vAlign w:val="center"/>
          </w:tcPr>
          <w:p w:rsidR="005F78FC" w:rsidRDefault="00B42EF3">
            <w:pPr>
              <w:pStyle w:val="TableBodyText"/>
            </w:pPr>
            <w:r>
              <w:t>86</w:t>
            </w:r>
          </w:p>
        </w:tc>
      </w:tr>
      <w:tr w:rsidR="005F78FC" w:rsidTr="005F78FC">
        <w:tc>
          <w:tcPr>
            <w:tcW w:w="0" w:type="auto"/>
            <w:vAlign w:val="center"/>
          </w:tcPr>
          <w:p w:rsidR="005F78FC" w:rsidRDefault="00B42EF3">
            <w:pPr>
              <w:pStyle w:val="TableBodyText"/>
            </w:pPr>
            <w:r>
              <w:t>footer</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32</w:t>
            </w:r>
          </w:p>
        </w:tc>
      </w:tr>
      <w:tr w:rsidR="005F78FC" w:rsidTr="005F78FC">
        <w:tc>
          <w:tcPr>
            <w:tcW w:w="0" w:type="auto"/>
            <w:vAlign w:val="center"/>
          </w:tcPr>
          <w:p w:rsidR="005F78FC" w:rsidRDefault="00B42EF3">
            <w:pPr>
              <w:pStyle w:val="TableBodyText"/>
            </w:pPr>
            <w:r>
              <w:t>footnote reference</w:t>
            </w:r>
          </w:p>
        </w:tc>
        <w:tc>
          <w:tcPr>
            <w:tcW w:w="0" w:type="auto"/>
            <w:vAlign w:val="center"/>
          </w:tcPr>
          <w:p w:rsidR="005F78FC" w:rsidRDefault="00B42EF3">
            <w:pPr>
              <w:pStyle w:val="TableBodyText"/>
            </w:pPr>
            <w:r>
              <w:t>character</w:t>
            </w:r>
          </w:p>
        </w:tc>
        <w:tc>
          <w:tcPr>
            <w:tcW w:w="0" w:type="auto"/>
            <w:vAlign w:val="center"/>
          </w:tcPr>
          <w:p w:rsidR="005F78FC" w:rsidRDefault="00B42EF3">
            <w:pPr>
              <w:pStyle w:val="TableBodyText"/>
            </w:pPr>
            <w:r>
              <w:t>38</w:t>
            </w:r>
          </w:p>
        </w:tc>
      </w:tr>
      <w:tr w:rsidR="005F78FC" w:rsidTr="005F78FC">
        <w:tc>
          <w:tcPr>
            <w:tcW w:w="0" w:type="auto"/>
            <w:vAlign w:val="center"/>
          </w:tcPr>
          <w:p w:rsidR="005F78FC" w:rsidRDefault="00B42EF3">
            <w:pPr>
              <w:pStyle w:val="TableBodyText"/>
            </w:pPr>
            <w:r>
              <w:t>footnote text</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29</w:t>
            </w:r>
          </w:p>
        </w:tc>
      </w:tr>
      <w:tr w:rsidR="005F78FC" w:rsidTr="005F78FC">
        <w:tc>
          <w:tcPr>
            <w:tcW w:w="0" w:type="auto"/>
            <w:vAlign w:val="center"/>
          </w:tcPr>
          <w:p w:rsidR="005F78FC" w:rsidRDefault="00B42EF3">
            <w:pPr>
              <w:pStyle w:val="TableBodyText"/>
            </w:pPr>
            <w:r>
              <w:t>header</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31</w:t>
            </w:r>
          </w:p>
        </w:tc>
      </w:tr>
      <w:tr w:rsidR="005F78FC" w:rsidTr="005F78FC">
        <w:tc>
          <w:tcPr>
            <w:tcW w:w="0" w:type="auto"/>
            <w:vAlign w:val="center"/>
          </w:tcPr>
          <w:p w:rsidR="005F78FC" w:rsidRDefault="00B42EF3">
            <w:pPr>
              <w:pStyle w:val="TableBodyText"/>
            </w:pPr>
            <w:r>
              <w:t>heading 1</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1</w:t>
            </w:r>
          </w:p>
        </w:tc>
      </w:tr>
      <w:tr w:rsidR="005F78FC" w:rsidTr="005F78FC">
        <w:tc>
          <w:tcPr>
            <w:tcW w:w="0" w:type="auto"/>
            <w:vAlign w:val="center"/>
          </w:tcPr>
          <w:p w:rsidR="005F78FC" w:rsidRDefault="00B42EF3">
            <w:pPr>
              <w:pStyle w:val="TableBodyText"/>
            </w:pPr>
            <w:r>
              <w:t>heading 2</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2</w:t>
            </w:r>
          </w:p>
        </w:tc>
      </w:tr>
      <w:tr w:rsidR="005F78FC" w:rsidTr="005F78FC">
        <w:tc>
          <w:tcPr>
            <w:tcW w:w="0" w:type="auto"/>
            <w:vAlign w:val="center"/>
          </w:tcPr>
          <w:p w:rsidR="005F78FC" w:rsidRDefault="00B42EF3">
            <w:pPr>
              <w:pStyle w:val="TableBodyText"/>
            </w:pPr>
            <w:r>
              <w:t>heading 3</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3</w:t>
            </w:r>
          </w:p>
        </w:tc>
      </w:tr>
      <w:tr w:rsidR="005F78FC" w:rsidTr="005F78FC">
        <w:tc>
          <w:tcPr>
            <w:tcW w:w="0" w:type="auto"/>
            <w:vAlign w:val="center"/>
          </w:tcPr>
          <w:p w:rsidR="005F78FC" w:rsidRDefault="00B42EF3">
            <w:pPr>
              <w:pStyle w:val="TableBodyText"/>
            </w:pPr>
            <w:r>
              <w:t>heading 4</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4</w:t>
            </w:r>
          </w:p>
        </w:tc>
      </w:tr>
      <w:tr w:rsidR="005F78FC" w:rsidTr="005F78FC">
        <w:tc>
          <w:tcPr>
            <w:tcW w:w="0" w:type="auto"/>
            <w:vAlign w:val="center"/>
          </w:tcPr>
          <w:p w:rsidR="005F78FC" w:rsidRDefault="00B42EF3">
            <w:pPr>
              <w:pStyle w:val="TableBodyText"/>
            </w:pPr>
            <w:r>
              <w:t>heading 5</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5</w:t>
            </w:r>
          </w:p>
        </w:tc>
      </w:tr>
      <w:tr w:rsidR="005F78FC" w:rsidTr="005F78FC">
        <w:tc>
          <w:tcPr>
            <w:tcW w:w="0" w:type="auto"/>
            <w:vAlign w:val="center"/>
          </w:tcPr>
          <w:p w:rsidR="005F78FC" w:rsidRDefault="00B42EF3">
            <w:pPr>
              <w:pStyle w:val="TableBodyText"/>
            </w:pPr>
            <w:r>
              <w:t>heading 6</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6</w:t>
            </w:r>
          </w:p>
        </w:tc>
      </w:tr>
      <w:tr w:rsidR="005F78FC" w:rsidTr="005F78FC">
        <w:tc>
          <w:tcPr>
            <w:tcW w:w="0" w:type="auto"/>
            <w:vAlign w:val="center"/>
          </w:tcPr>
          <w:p w:rsidR="005F78FC" w:rsidRDefault="00B42EF3">
            <w:pPr>
              <w:pStyle w:val="TableBodyText"/>
            </w:pPr>
            <w:r>
              <w:t>heading 7</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7</w:t>
            </w:r>
          </w:p>
        </w:tc>
      </w:tr>
      <w:tr w:rsidR="005F78FC" w:rsidTr="005F78FC">
        <w:tc>
          <w:tcPr>
            <w:tcW w:w="0" w:type="auto"/>
            <w:vAlign w:val="center"/>
          </w:tcPr>
          <w:p w:rsidR="005F78FC" w:rsidRDefault="00B42EF3">
            <w:pPr>
              <w:pStyle w:val="TableBodyText"/>
            </w:pPr>
            <w:r>
              <w:t>heading 8</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8</w:t>
            </w:r>
          </w:p>
        </w:tc>
      </w:tr>
      <w:tr w:rsidR="005F78FC" w:rsidTr="005F78FC">
        <w:tc>
          <w:tcPr>
            <w:tcW w:w="0" w:type="auto"/>
            <w:vAlign w:val="center"/>
          </w:tcPr>
          <w:p w:rsidR="005F78FC" w:rsidRDefault="00B42EF3">
            <w:pPr>
              <w:pStyle w:val="TableBodyText"/>
            </w:pPr>
            <w:r>
              <w:t>heading 9</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9</w:t>
            </w:r>
          </w:p>
        </w:tc>
      </w:tr>
      <w:tr w:rsidR="005F78FC" w:rsidTr="005F78FC">
        <w:tc>
          <w:tcPr>
            <w:tcW w:w="0" w:type="auto"/>
            <w:vAlign w:val="center"/>
          </w:tcPr>
          <w:p w:rsidR="005F78FC" w:rsidRDefault="00B42EF3">
            <w:pPr>
              <w:pStyle w:val="TableBodyText"/>
            </w:pPr>
            <w:r>
              <w:t>HTML Acronym</w:t>
            </w:r>
          </w:p>
        </w:tc>
        <w:tc>
          <w:tcPr>
            <w:tcW w:w="0" w:type="auto"/>
            <w:vAlign w:val="center"/>
          </w:tcPr>
          <w:p w:rsidR="005F78FC" w:rsidRDefault="00B42EF3">
            <w:pPr>
              <w:pStyle w:val="TableBodyText"/>
            </w:pPr>
            <w:r>
              <w:t>character</w:t>
            </w:r>
          </w:p>
        </w:tc>
        <w:tc>
          <w:tcPr>
            <w:tcW w:w="0" w:type="auto"/>
            <w:vAlign w:val="center"/>
          </w:tcPr>
          <w:p w:rsidR="005F78FC" w:rsidRDefault="00B42EF3">
            <w:pPr>
              <w:pStyle w:val="TableBodyText"/>
            </w:pPr>
            <w:r>
              <w:t>95</w:t>
            </w:r>
          </w:p>
        </w:tc>
      </w:tr>
      <w:tr w:rsidR="005F78FC" w:rsidTr="005F78FC">
        <w:tc>
          <w:tcPr>
            <w:tcW w:w="0" w:type="auto"/>
            <w:vAlign w:val="center"/>
          </w:tcPr>
          <w:p w:rsidR="005F78FC" w:rsidRDefault="00B42EF3">
            <w:pPr>
              <w:pStyle w:val="TableBodyText"/>
            </w:pPr>
            <w:r>
              <w:t>HTML Address</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96</w:t>
            </w:r>
          </w:p>
        </w:tc>
      </w:tr>
      <w:tr w:rsidR="005F78FC" w:rsidTr="005F78FC">
        <w:tc>
          <w:tcPr>
            <w:tcW w:w="0" w:type="auto"/>
            <w:vAlign w:val="center"/>
          </w:tcPr>
          <w:p w:rsidR="005F78FC" w:rsidRDefault="00B42EF3">
            <w:pPr>
              <w:pStyle w:val="TableBodyText"/>
            </w:pPr>
            <w:r>
              <w:t>HTML Bottom of Form</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93</w:t>
            </w:r>
          </w:p>
        </w:tc>
      </w:tr>
      <w:tr w:rsidR="005F78FC" w:rsidTr="005F78FC">
        <w:tc>
          <w:tcPr>
            <w:tcW w:w="0" w:type="auto"/>
            <w:vAlign w:val="center"/>
          </w:tcPr>
          <w:p w:rsidR="005F78FC" w:rsidRDefault="00B42EF3">
            <w:pPr>
              <w:pStyle w:val="TableBodyText"/>
            </w:pPr>
            <w:r>
              <w:t>HTML Cite</w:t>
            </w:r>
          </w:p>
        </w:tc>
        <w:tc>
          <w:tcPr>
            <w:tcW w:w="0" w:type="auto"/>
            <w:vAlign w:val="center"/>
          </w:tcPr>
          <w:p w:rsidR="005F78FC" w:rsidRDefault="00B42EF3">
            <w:pPr>
              <w:pStyle w:val="TableBodyText"/>
            </w:pPr>
            <w:r>
              <w:t>character</w:t>
            </w:r>
          </w:p>
        </w:tc>
        <w:tc>
          <w:tcPr>
            <w:tcW w:w="0" w:type="auto"/>
            <w:vAlign w:val="center"/>
          </w:tcPr>
          <w:p w:rsidR="005F78FC" w:rsidRDefault="00B42EF3">
            <w:pPr>
              <w:pStyle w:val="TableBodyText"/>
            </w:pPr>
            <w:r>
              <w:t>97</w:t>
            </w:r>
          </w:p>
        </w:tc>
      </w:tr>
      <w:tr w:rsidR="005F78FC" w:rsidTr="005F78FC">
        <w:tc>
          <w:tcPr>
            <w:tcW w:w="0" w:type="auto"/>
            <w:vAlign w:val="center"/>
          </w:tcPr>
          <w:p w:rsidR="005F78FC" w:rsidRDefault="00B42EF3">
            <w:pPr>
              <w:pStyle w:val="TableBodyText"/>
            </w:pPr>
            <w:r>
              <w:t>HTML Code</w:t>
            </w:r>
          </w:p>
        </w:tc>
        <w:tc>
          <w:tcPr>
            <w:tcW w:w="0" w:type="auto"/>
            <w:vAlign w:val="center"/>
          </w:tcPr>
          <w:p w:rsidR="005F78FC" w:rsidRDefault="00B42EF3">
            <w:pPr>
              <w:pStyle w:val="TableBodyText"/>
            </w:pPr>
            <w:r>
              <w:t>character</w:t>
            </w:r>
          </w:p>
        </w:tc>
        <w:tc>
          <w:tcPr>
            <w:tcW w:w="0" w:type="auto"/>
            <w:vAlign w:val="center"/>
          </w:tcPr>
          <w:p w:rsidR="005F78FC" w:rsidRDefault="00B42EF3">
            <w:pPr>
              <w:pStyle w:val="TableBodyText"/>
            </w:pPr>
            <w:r>
              <w:t>98</w:t>
            </w:r>
          </w:p>
        </w:tc>
      </w:tr>
      <w:tr w:rsidR="005F78FC" w:rsidTr="005F78FC">
        <w:tc>
          <w:tcPr>
            <w:tcW w:w="0" w:type="auto"/>
            <w:vAlign w:val="center"/>
          </w:tcPr>
          <w:p w:rsidR="005F78FC" w:rsidRDefault="00B42EF3">
            <w:pPr>
              <w:pStyle w:val="TableBodyText"/>
            </w:pPr>
            <w:r>
              <w:t>HTML Definition</w:t>
            </w:r>
          </w:p>
        </w:tc>
        <w:tc>
          <w:tcPr>
            <w:tcW w:w="0" w:type="auto"/>
            <w:vAlign w:val="center"/>
          </w:tcPr>
          <w:p w:rsidR="005F78FC" w:rsidRDefault="00B42EF3">
            <w:pPr>
              <w:pStyle w:val="TableBodyText"/>
            </w:pPr>
            <w:r>
              <w:t>character</w:t>
            </w:r>
          </w:p>
        </w:tc>
        <w:tc>
          <w:tcPr>
            <w:tcW w:w="0" w:type="auto"/>
            <w:vAlign w:val="center"/>
          </w:tcPr>
          <w:p w:rsidR="005F78FC" w:rsidRDefault="00B42EF3">
            <w:pPr>
              <w:pStyle w:val="TableBodyText"/>
            </w:pPr>
            <w:r>
              <w:t>99</w:t>
            </w:r>
          </w:p>
        </w:tc>
      </w:tr>
      <w:tr w:rsidR="005F78FC" w:rsidTr="005F78FC">
        <w:tc>
          <w:tcPr>
            <w:tcW w:w="0" w:type="auto"/>
            <w:vAlign w:val="center"/>
          </w:tcPr>
          <w:p w:rsidR="005F78FC" w:rsidRDefault="00B42EF3">
            <w:pPr>
              <w:pStyle w:val="TableBodyText"/>
            </w:pPr>
            <w:r>
              <w:t>HTML Keyboard</w:t>
            </w:r>
          </w:p>
        </w:tc>
        <w:tc>
          <w:tcPr>
            <w:tcW w:w="0" w:type="auto"/>
            <w:vAlign w:val="center"/>
          </w:tcPr>
          <w:p w:rsidR="005F78FC" w:rsidRDefault="00B42EF3">
            <w:pPr>
              <w:pStyle w:val="TableBodyText"/>
            </w:pPr>
            <w:r>
              <w:t>character</w:t>
            </w:r>
          </w:p>
        </w:tc>
        <w:tc>
          <w:tcPr>
            <w:tcW w:w="0" w:type="auto"/>
            <w:vAlign w:val="center"/>
          </w:tcPr>
          <w:p w:rsidR="005F78FC" w:rsidRDefault="00B42EF3">
            <w:pPr>
              <w:pStyle w:val="TableBodyText"/>
            </w:pPr>
            <w:r>
              <w:t>100</w:t>
            </w:r>
          </w:p>
        </w:tc>
      </w:tr>
      <w:tr w:rsidR="005F78FC" w:rsidTr="005F78FC">
        <w:tc>
          <w:tcPr>
            <w:tcW w:w="0" w:type="auto"/>
            <w:vAlign w:val="center"/>
          </w:tcPr>
          <w:p w:rsidR="005F78FC" w:rsidRDefault="00B42EF3">
            <w:pPr>
              <w:pStyle w:val="TableBodyText"/>
            </w:pPr>
            <w:r>
              <w:t>HTML Preformatted</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101</w:t>
            </w:r>
          </w:p>
        </w:tc>
      </w:tr>
      <w:tr w:rsidR="005F78FC" w:rsidTr="005F78FC">
        <w:tc>
          <w:tcPr>
            <w:tcW w:w="0" w:type="auto"/>
            <w:vAlign w:val="center"/>
          </w:tcPr>
          <w:p w:rsidR="005F78FC" w:rsidRDefault="00B42EF3">
            <w:pPr>
              <w:pStyle w:val="TableBodyText"/>
            </w:pPr>
            <w:r>
              <w:t>HTML Sample</w:t>
            </w:r>
          </w:p>
        </w:tc>
        <w:tc>
          <w:tcPr>
            <w:tcW w:w="0" w:type="auto"/>
            <w:vAlign w:val="center"/>
          </w:tcPr>
          <w:p w:rsidR="005F78FC" w:rsidRDefault="00B42EF3">
            <w:pPr>
              <w:pStyle w:val="TableBodyText"/>
            </w:pPr>
            <w:r>
              <w:t>character</w:t>
            </w:r>
          </w:p>
        </w:tc>
        <w:tc>
          <w:tcPr>
            <w:tcW w:w="0" w:type="auto"/>
            <w:vAlign w:val="center"/>
          </w:tcPr>
          <w:p w:rsidR="005F78FC" w:rsidRDefault="00B42EF3">
            <w:pPr>
              <w:pStyle w:val="TableBodyText"/>
            </w:pPr>
            <w:r>
              <w:t>102</w:t>
            </w:r>
          </w:p>
        </w:tc>
      </w:tr>
      <w:tr w:rsidR="005F78FC" w:rsidTr="005F78FC">
        <w:tc>
          <w:tcPr>
            <w:tcW w:w="0" w:type="auto"/>
            <w:vAlign w:val="center"/>
          </w:tcPr>
          <w:p w:rsidR="005F78FC" w:rsidRDefault="00B42EF3">
            <w:pPr>
              <w:pStyle w:val="TableBodyText"/>
            </w:pPr>
            <w:r>
              <w:t>HTML Top of Form</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92</w:t>
            </w:r>
          </w:p>
        </w:tc>
      </w:tr>
      <w:tr w:rsidR="005F78FC" w:rsidTr="005F78FC">
        <w:tc>
          <w:tcPr>
            <w:tcW w:w="0" w:type="auto"/>
            <w:vAlign w:val="center"/>
          </w:tcPr>
          <w:p w:rsidR="005F78FC" w:rsidRDefault="00B42EF3">
            <w:pPr>
              <w:pStyle w:val="TableBodyText"/>
            </w:pPr>
            <w:r>
              <w:t>HTML Typewriter</w:t>
            </w:r>
          </w:p>
        </w:tc>
        <w:tc>
          <w:tcPr>
            <w:tcW w:w="0" w:type="auto"/>
            <w:vAlign w:val="center"/>
          </w:tcPr>
          <w:p w:rsidR="005F78FC" w:rsidRDefault="00B42EF3">
            <w:pPr>
              <w:pStyle w:val="TableBodyText"/>
            </w:pPr>
            <w:r>
              <w:t>character</w:t>
            </w:r>
          </w:p>
        </w:tc>
        <w:tc>
          <w:tcPr>
            <w:tcW w:w="0" w:type="auto"/>
            <w:vAlign w:val="center"/>
          </w:tcPr>
          <w:p w:rsidR="005F78FC" w:rsidRDefault="00B42EF3">
            <w:pPr>
              <w:pStyle w:val="TableBodyText"/>
            </w:pPr>
            <w:r>
              <w:t>103</w:t>
            </w:r>
          </w:p>
        </w:tc>
      </w:tr>
      <w:tr w:rsidR="005F78FC" w:rsidTr="005F78FC">
        <w:tc>
          <w:tcPr>
            <w:tcW w:w="0" w:type="auto"/>
            <w:vAlign w:val="center"/>
          </w:tcPr>
          <w:p w:rsidR="005F78FC" w:rsidRDefault="00B42EF3">
            <w:pPr>
              <w:pStyle w:val="TableBodyText"/>
            </w:pPr>
            <w:r>
              <w:lastRenderedPageBreak/>
              <w:t>HTML Variable</w:t>
            </w:r>
          </w:p>
        </w:tc>
        <w:tc>
          <w:tcPr>
            <w:tcW w:w="0" w:type="auto"/>
            <w:vAlign w:val="center"/>
          </w:tcPr>
          <w:p w:rsidR="005F78FC" w:rsidRDefault="00B42EF3">
            <w:pPr>
              <w:pStyle w:val="TableBodyText"/>
            </w:pPr>
            <w:r>
              <w:t>character</w:t>
            </w:r>
          </w:p>
        </w:tc>
        <w:tc>
          <w:tcPr>
            <w:tcW w:w="0" w:type="auto"/>
            <w:vAlign w:val="center"/>
          </w:tcPr>
          <w:p w:rsidR="005F78FC" w:rsidRDefault="00B42EF3">
            <w:pPr>
              <w:pStyle w:val="TableBodyText"/>
            </w:pPr>
            <w:r>
              <w:t>104</w:t>
            </w:r>
          </w:p>
        </w:tc>
      </w:tr>
      <w:tr w:rsidR="005F78FC" w:rsidTr="005F78FC">
        <w:tc>
          <w:tcPr>
            <w:tcW w:w="0" w:type="auto"/>
            <w:vAlign w:val="center"/>
          </w:tcPr>
          <w:p w:rsidR="005F78FC" w:rsidRDefault="00B42EF3">
            <w:pPr>
              <w:pStyle w:val="TableBodyText"/>
            </w:pPr>
            <w:r>
              <w:t>Hyperlink</w:t>
            </w:r>
          </w:p>
        </w:tc>
        <w:tc>
          <w:tcPr>
            <w:tcW w:w="0" w:type="auto"/>
            <w:vAlign w:val="center"/>
          </w:tcPr>
          <w:p w:rsidR="005F78FC" w:rsidRDefault="00B42EF3">
            <w:pPr>
              <w:pStyle w:val="TableBodyText"/>
            </w:pPr>
            <w:r>
              <w:t>character</w:t>
            </w:r>
          </w:p>
        </w:tc>
        <w:tc>
          <w:tcPr>
            <w:tcW w:w="0" w:type="auto"/>
            <w:vAlign w:val="center"/>
          </w:tcPr>
          <w:p w:rsidR="005F78FC" w:rsidRDefault="00B42EF3">
            <w:pPr>
              <w:pStyle w:val="TableBodyText"/>
            </w:pPr>
            <w:r>
              <w:t>85</w:t>
            </w:r>
          </w:p>
        </w:tc>
      </w:tr>
      <w:tr w:rsidR="005F78FC" w:rsidTr="005F78FC">
        <w:tc>
          <w:tcPr>
            <w:tcW w:w="0" w:type="auto"/>
            <w:vAlign w:val="center"/>
          </w:tcPr>
          <w:p w:rsidR="005F78FC" w:rsidRDefault="00B42EF3">
            <w:pPr>
              <w:pStyle w:val="TableBodyText"/>
            </w:pPr>
            <w:r>
              <w:t>index 1</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10</w:t>
            </w:r>
          </w:p>
        </w:tc>
      </w:tr>
      <w:tr w:rsidR="005F78FC" w:rsidTr="005F78FC">
        <w:tc>
          <w:tcPr>
            <w:tcW w:w="0" w:type="auto"/>
            <w:vAlign w:val="center"/>
          </w:tcPr>
          <w:p w:rsidR="005F78FC" w:rsidRDefault="00B42EF3">
            <w:pPr>
              <w:pStyle w:val="TableBodyText"/>
            </w:pPr>
            <w:r>
              <w:t>index 2</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11</w:t>
            </w:r>
          </w:p>
        </w:tc>
      </w:tr>
      <w:tr w:rsidR="005F78FC" w:rsidTr="005F78FC">
        <w:tc>
          <w:tcPr>
            <w:tcW w:w="0" w:type="auto"/>
            <w:vAlign w:val="center"/>
          </w:tcPr>
          <w:p w:rsidR="005F78FC" w:rsidRDefault="00B42EF3">
            <w:pPr>
              <w:pStyle w:val="TableBodyText"/>
            </w:pPr>
            <w:r>
              <w:t>index 3</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12</w:t>
            </w:r>
          </w:p>
        </w:tc>
      </w:tr>
      <w:tr w:rsidR="005F78FC" w:rsidTr="005F78FC">
        <w:tc>
          <w:tcPr>
            <w:tcW w:w="0" w:type="auto"/>
            <w:vAlign w:val="center"/>
          </w:tcPr>
          <w:p w:rsidR="005F78FC" w:rsidRDefault="00B42EF3">
            <w:pPr>
              <w:pStyle w:val="TableBodyText"/>
            </w:pPr>
            <w:r>
              <w:t>index 4</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13</w:t>
            </w:r>
          </w:p>
        </w:tc>
      </w:tr>
      <w:tr w:rsidR="005F78FC" w:rsidTr="005F78FC">
        <w:tc>
          <w:tcPr>
            <w:tcW w:w="0" w:type="auto"/>
            <w:vAlign w:val="center"/>
          </w:tcPr>
          <w:p w:rsidR="005F78FC" w:rsidRDefault="00B42EF3">
            <w:pPr>
              <w:pStyle w:val="TableBodyText"/>
            </w:pPr>
            <w:r>
              <w:t>index 5</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14</w:t>
            </w:r>
          </w:p>
        </w:tc>
      </w:tr>
      <w:tr w:rsidR="005F78FC" w:rsidTr="005F78FC">
        <w:tc>
          <w:tcPr>
            <w:tcW w:w="0" w:type="auto"/>
            <w:vAlign w:val="center"/>
          </w:tcPr>
          <w:p w:rsidR="005F78FC" w:rsidRDefault="00B42EF3">
            <w:pPr>
              <w:pStyle w:val="TableBodyText"/>
            </w:pPr>
            <w:r>
              <w:t>index 6</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15</w:t>
            </w:r>
          </w:p>
        </w:tc>
      </w:tr>
      <w:tr w:rsidR="005F78FC" w:rsidTr="005F78FC">
        <w:tc>
          <w:tcPr>
            <w:tcW w:w="0" w:type="auto"/>
            <w:vAlign w:val="center"/>
          </w:tcPr>
          <w:p w:rsidR="005F78FC" w:rsidRDefault="00B42EF3">
            <w:pPr>
              <w:pStyle w:val="TableBodyText"/>
            </w:pPr>
            <w:r>
              <w:t>index 7</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16</w:t>
            </w:r>
          </w:p>
        </w:tc>
      </w:tr>
      <w:tr w:rsidR="005F78FC" w:rsidTr="005F78FC">
        <w:tc>
          <w:tcPr>
            <w:tcW w:w="0" w:type="auto"/>
            <w:vAlign w:val="center"/>
          </w:tcPr>
          <w:p w:rsidR="005F78FC" w:rsidRDefault="00B42EF3">
            <w:pPr>
              <w:pStyle w:val="TableBodyText"/>
            </w:pPr>
            <w:r>
              <w:t>index 8</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17</w:t>
            </w:r>
          </w:p>
        </w:tc>
      </w:tr>
      <w:tr w:rsidR="005F78FC" w:rsidTr="005F78FC">
        <w:tc>
          <w:tcPr>
            <w:tcW w:w="0" w:type="auto"/>
            <w:vAlign w:val="center"/>
          </w:tcPr>
          <w:p w:rsidR="005F78FC" w:rsidRDefault="00B42EF3">
            <w:pPr>
              <w:pStyle w:val="TableBodyText"/>
            </w:pPr>
            <w:r>
              <w:t>index 9</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18</w:t>
            </w:r>
          </w:p>
        </w:tc>
      </w:tr>
      <w:tr w:rsidR="005F78FC" w:rsidTr="005F78FC">
        <w:tc>
          <w:tcPr>
            <w:tcW w:w="0" w:type="auto"/>
            <w:vAlign w:val="center"/>
          </w:tcPr>
          <w:p w:rsidR="005F78FC" w:rsidRDefault="00B42EF3">
            <w:pPr>
              <w:pStyle w:val="TableBodyText"/>
            </w:pPr>
            <w:r>
              <w:t>index heading</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33</w:t>
            </w:r>
          </w:p>
        </w:tc>
      </w:tr>
      <w:tr w:rsidR="005F78FC" w:rsidTr="005F78FC">
        <w:tc>
          <w:tcPr>
            <w:tcW w:w="0" w:type="auto"/>
            <w:vAlign w:val="center"/>
          </w:tcPr>
          <w:p w:rsidR="005F78FC" w:rsidRDefault="00B42EF3">
            <w:pPr>
              <w:pStyle w:val="TableBodyText"/>
            </w:pPr>
            <w:r>
              <w:t>Intense Emphasis</w:t>
            </w:r>
          </w:p>
        </w:tc>
        <w:tc>
          <w:tcPr>
            <w:tcW w:w="0" w:type="auto"/>
            <w:vAlign w:val="center"/>
          </w:tcPr>
          <w:p w:rsidR="005F78FC" w:rsidRDefault="00B42EF3">
            <w:pPr>
              <w:pStyle w:val="TableBodyText"/>
            </w:pPr>
            <w:r>
              <w:t>character</w:t>
            </w:r>
          </w:p>
        </w:tc>
        <w:tc>
          <w:tcPr>
            <w:tcW w:w="0" w:type="auto"/>
            <w:vAlign w:val="center"/>
          </w:tcPr>
          <w:p w:rsidR="005F78FC" w:rsidRDefault="00B42EF3">
            <w:pPr>
              <w:pStyle w:val="TableBodyText"/>
            </w:pPr>
            <w:r>
              <w:t>261</w:t>
            </w:r>
          </w:p>
        </w:tc>
      </w:tr>
      <w:tr w:rsidR="005F78FC" w:rsidTr="005F78FC">
        <w:tc>
          <w:tcPr>
            <w:tcW w:w="0" w:type="auto"/>
            <w:vAlign w:val="center"/>
          </w:tcPr>
          <w:p w:rsidR="005F78FC" w:rsidRDefault="00B42EF3">
            <w:pPr>
              <w:pStyle w:val="TableBodyText"/>
            </w:pPr>
            <w:r>
              <w:t>Intense Quote</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181</w:t>
            </w:r>
          </w:p>
        </w:tc>
      </w:tr>
      <w:tr w:rsidR="005F78FC" w:rsidTr="005F78FC">
        <w:tc>
          <w:tcPr>
            <w:tcW w:w="0" w:type="auto"/>
            <w:vAlign w:val="center"/>
          </w:tcPr>
          <w:p w:rsidR="005F78FC" w:rsidRDefault="00B42EF3">
            <w:pPr>
              <w:pStyle w:val="TableBodyText"/>
            </w:pPr>
            <w:r>
              <w:t>Intense Reference</w:t>
            </w:r>
          </w:p>
        </w:tc>
        <w:tc>
          <w:tcPr>
            <w:tcW w:w="0" w:type="auto"/>
            <w:vAlign w:val="center"/>
          </w:tcPr>
          <w:p w:rsidR="005F78FC" w:rsidRDefault="00B42EF3">
            <w:pPr>
              <w:pStyle w:val="TableBodyText"/>
            </w:pPr>
            <w:r>
              <w:t>character</w:t>
            </w:r>
          </w:p>
        </w:tc>
        <w:tc>
          <w:tcPr>
            <w:tcW w:w="0" w:type="auto"/>
            <w:vAlign w:val="center"/>
          </w:tcPr>
          <w:p w:rsidR="005F78FC" w:rsidRDefault="00B42EF3">
            <w:pPr>
              <w:pStyle w:val="TableBodyText"/>
            </w:pPr>
            <w:r>
              <w:t>263</w:t>
            </w:r>
          </w:p>
        </w:tc>
      </w:tr>
      <w:tr w:rsidR="005F78FC" w:rsidTr="005F78FC">
        <w:tc>
          <w:tcPr>
            <w:tcW w:w="0" w:type="auto"/>
            <w:vAlign w:val="center"/>
          </w:tcPr>
          <w:p w:rsidR="005F78FC" w:rsidRDefault="00B42EF3">
            <w:pPr>
              <w:pStyle w:val="TableBodyText"/>
            </w:pPr>
            <w:r>
              <w:t>Light Grid</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160</w:t>
            </w:r>
          </w:p>
        </w:tc>
      </w:tr>
      <w:tr w:rsidR="005F78FC" w:rsidTr="005F78FC">
        <w:tc>
          <w:tcPr>
            <w:tcW w:w="0" w:type="auto"/>
            <w:vAlign w:val="center"/>
          </w:tcPr>
          <w:p w:rsidR="005F78FC" w:rsidRDefault="00B42EF3">
            <w:pPr>
              <w:pStyle w:val="TableBodyText"/>
            </w:pPr>
            <w:r>
              <w:t>Light Grid Accent 1</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174</w:t>
            </w:r>
          </w:p>
        </w:tc>
      </w:tr>
      <w:tr w:rsidR="005F78FC" w:rsidTr="005F78FC">
        <w:tc>
          <w:tcPr>
            <w:tcW w:w="0" w:type="auto"/>
            <w:vAlign w:val="center"/>
          </w:tcPr>
          <w:p w:rsidR="005F78FC" w:rsidRDefault="00B42EF3">
            <w:pPr>
              <w:pStyle w:val="TableBodyText"/>
            </w:pPr>
            <w:r>
              <w:t>Light Grid Accent 2</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192</w:t>
            </w:r>
          </w:p>
        </w:tc>
      </w:tr>
      <w:tr w:rsidR="005F78FC" w:rsidTr="005F78FC">
        <w:tc>
          <w:tcPr>
            <w:tcW w:w="0" w:type="auto"/>
            <w:vAlign w:val="center"/>
          </w:tcPr>
          <w:p w:rsidR="005F78FC" w:rsidRDefault="00B42EF3">
            <w:pPr>
              <w:pStyle w:val="TableBodyText"/>
            </w:pPr>
            <w:r>
              <w:t xml:space="preserve">Light </w:t>
            </w:r>
            <w:r>
              <w:t>Grid Accent 3</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206</w:t>
            </w:r>
          </w:p>
        </w:tc>
      </w:tr>
      <w:tr w:rsidR="005F78FC" w:rsidTr="005F78FC">
        <w:tc>
          <w:tcPr>
            <w:tcW w:w="0" w:type="auto"/>
            <w:vAlign w:val="center"/>
          </w:tcPr>
          <w:p w:rsidR="005F78FC" w:rsidRDefault="00B42EF3">
            <w:pPr>
              <w:pStyle w:val="TableBodyText"/>
            </w:pPr>
            <w:r>
              <w:t>Light Grid Accent 4</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220</w:t>
            </w:r>
          </w:p>
        </w:tc>
      </w:tr>
      <w:tr w:rsidR="005F78FC" w:rsidTr="005F78FC">
        <w:tc>
          <w:tcPr>
            <w:tcW w:w="0" w:type="auto"/>
            <w:vAlign w:val="center"/>
          </w:tcPr>
          <w:p w:rsidR="005F78FC" w:rsidRDefault="00B42EF3">
            <w:pPr>
              <w:pStyle w:val="TableBodyText"/>
            </w:pPr>
            <w:r>
              <w:t>Light Grid Accent 5</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234</w:t>
            </w:r>
          </w:p>
        </w:tc>
      </w:tr>
      <w:tr w:rsidR="005F78FC" w:rsidTr="005F78FC">
        <w:tc>
          <w:tcPr>
            <w:tcW w:w="0" w:type="auto"/>
            <w:vAlign w:val="center"/>
          </w:tcPr>
          <w:p w:rsidR="005F78FC" w:rsidRDefault="00B42EF3">
            <w:pPr>
              <w:pStyle w:val="TableBodyText"/>
            </w:pPr>
            <w:r>
              <w:t>Light Grid Accent 6</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248</w:t>
            </w:r>
          </w:p>
        </w:tc>
      </w:tr>
      <w:tr w:rsidR="005F78FC" w:rsidTr="005F78FC">
        <w:tc>
          <w:tcPr>
            <w:tcW w:w="0" w:type="auto"/>
            <w:vAlign w:val="center"/>
          </w:tcPr>
          <w:p w:rsidR="005F78FC" w:rsidRDefault="00B42EF3">
            <w:pPr>
              <w:pStyle w:val="TableBodyText"/>
            </w:pPr>
            <w:r>
              <w:t>Light List</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159</w:t>
            </w:r>
          </w:p>
        </w:tc>
      </w:tr>
      <w:tr w:rsidR="005F78FC" w:rsidTr="005F78FC">
        <w:tc>
          <w:tcPr>
            <w:tcW w:w="0" w:type="auto"/>
            <w:vAlign w:val="center"/>
          </w:tcPr>
          <w:p w:rsidR="005F78FC" w:rsidRDefault="00B42EF3">
            <w:pPr>
              <w:pStyle w:val="TableBodyText"/>
            </w:pPr>
            <w:r>
              <w:t>Light List Accent 1</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173</w:t>
            </w:r>
          </w:p>
        </w:tc>
      </w:tr>
      <w:tr w:rsidR="005F78FC" w:rsidTr="005F78FC">
        <w:tc>
          <w:tcPr>
            <w:tcW w:w="0" w:type="auto"/>
            <w:vAlign w:val="center"/>
          </w:tcPr>
          <w:p w:rsidR="005F78FC" w:rsidRDefault="00B42EF3">
            <w:pPr>
              <w:pStyle w:val="TableBodyText"/>
            </w:pPr>
            <w:r>
              <w:t>Light List Accent 2</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191</w:t>
            </w:r>
          </w:p>
        </w:tc>
      </w:tr>
      <w:tr w:rsidR="005F78FC" w:rsidTr="005F78FC">
        <w:tc>
          <w:tcPr>
            <w:tcW w:w="0" w:type="auto"/>
            <w:vAlign w:val="center"/>
          </w:tcPr>
          <w:p w:rsidR="005F78FC" w:rsidRDefault="00B42EF3">
            <w:pPr>
              <w:pStyle w:val="TableBodyText"/>
            </w:pPr>
            <w:r>
              <w:t>Light List Accent 3</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205</w:t>
            </w:r>
          </w:p>
        </w:tc>
      </w:tr>
      <w:tr w:rsidR="005F78FC" w:rsidTr="005F78FC">
        <w:tc>
          <w:tcPr>
            <w:tcW w:w="0" w:type="auto"/>
            <w:vAlign w:val="center"/>
          </w:tcPr>
          <w:p w:rsidR="005F78FC" w:rsidRDefault="00B42EF3">
            <w:pPr>
              <w:pStyle w:val="TableBodyText"/>
            </w:pPr>
            <w:r>
              <w:t>Light List Accent 4</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219</w:t>
            </w:r>
          </w:p>
        </w:tc>
      </w:tr>
      <w:tr w:rsidR="005F78FC" w:rsidTr="005F78FC">
        <w:tc>
          <w:tcPr>
            <w:tcW w:w="0" w:type="auto"/>
            <w:vAlign w:val="center"/>
          </w:tcPr>
          <w:p w:rsidR="005F78FC" w:rsidRDefault="00B42EF3">
            <w:pPr>
              <w:pStyle w:val="TableBodyText"/>
            </w:pPr>
            <w:r>
              <w:t>Light List Accent 5</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233</w:t>
            </w:r>
          </w:p>
        </w:tc>
      </w:tr>
      <w:tr w:rsidR="005F78FC" w:rsidTr="005F78FC">
        <w:tc>
          <w:tcPr>
            <w:tcW w:w="0" w:type="auto"/>
            <w:vAlign w:val="center"/>
          </w:tcPr>
          <w:p w:rsidR="005F78FC" w:rsidRDefault="00B42EF3">
            <w:pPr>
              <w:pStyle w:val="TableBodyText"/>
            </w:pPr>
            <w:r>
              <w:t>Light List Accent 6</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247</w:t>
            </w:r>
          </w:p>
        </w:tc>
      </w:tr>
      <w:tr w:rsidR="005F78FC" w:rsidTr="005F78FC">
        <w:tc>
          <w:tcPr>
            <w:tcW w:w="0" w:type="auto"/>
            <w:vAlign w:val="center"/>
          </w:tcPr>
          <w:p w:rsidR="005F78FC" w:rsidRDefault="00B42EF3">
            <w:pPr>
              <w:pStyle w:val="TableBodyText"/>
            </w:pPr>
            <w:r>
              <w:t>Light Shading</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158</w:t>
            </w:r>
          </w:p>
        </w:tc>
      </w:tr>
      <w:tr w:rsidR="005F78FC" w:rsidTr="005F78FC">
        <w:tc>
          <w:tcPr>
            <w:tcW w:w="0" w:type="auto"/>
            <w:vAlign w:val="center"/>
          </w:tcPr>
          <w:p w:rsidR="005F78FC" w:rsidRDefault="00B42EF3">
            <w:pPr>
              <w:pStyle w:val="TableBodyText"/>
            </w:pPr>
            <w:r>
              <w:t>Light Shading Accent 1</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172</w:t>
            </w:r>
          </w:p>
        </w:tc>
      </w:tr>
      <w:tr w:rsidR="005F78FC" w:rsidTr="005F78FC">
        <w:tc>
          <w:tcPr>
            <w:tcW w:w="0" w:type="auto"/>
            <w:vAlign w:val="center"/>
          </w:tcPr>
          <w:p w:rsidR="005F78FC" w:rsidRDefault="00B42EF3">
            <w:pPr>
              <w:pStyle w:val="TableBodyText"/>
            </w:pPr>
            <w:r>
              <w:t>Light Shading Accent 2</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190</w:t>
            </w:r>
          </w:p>
        </w:tc>
      </w:tr>
      <w:tr w:rsidR="005F78FC" w:rsidTr="005F78FC">
        <w:tc>
          <w:tcPr>
            <w:tcW w:w="0" w:type="auto"/>
            <w:vAlign w:val="center"/>
          </w:tcPr>
          <w:p w:rsidR="005F78FC" w:rsidRDefault="00B42EF3">
            <w:pPr>
              <w:pStyle w:val="TableBodyText"/>
            </w:pPr>
            <w:r>
              <w:lastRenderedPageBreak/>
              <w:t>Light Shading Accent 3</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204</w:t>
            </w:r>
          </w:p>
        </w:tc>
      </w:tr>
      <w:tr w:rsidR="005F78FC" w:rsidTr="005F78FC">
        <w:tc>
          <w:tcPr>
            <w:tcW w:w="0" w:type="auto"/>
            <w:vAlign w:val="center"/>
          </w:tcPr>
          <w:p w:rsidR="005F78FC" w:rsidRDefault="00B42EF3">
            <w:pPr>
              <w:pStyle w:val="TableBodyText"/>
            </w:pPr>
            <w:r>
              <w:t>Light Shading Accent 4</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218</w:t>
            </w:r>
          </w:p>
        </w:tc>
      </w:tr>
      <w:tr w:rsidR="005F78FC" w:rsidTr="005F78FC">
        <w:tc>
          <w:tcPr>
            <w:tcW w:w="0" w:type="auto"/>
            <w:vAlign w:val="center"/>
          </w:tcPr>
          <w:p w:rsidR="005F78FC" w:rsidRDefault="00B42EF3">
            <w:pPr>
              <w:pStyle w:val="TableBodyText"/>
            </w:pPr>
            <w:r>
              <w:t>Light Shading Accent 5</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232</w:t>
            </w:r>
          </w:p>
        </w:tc>
      </w:tr>
      <w:tr w:rsidR="005F78FC" w:rsidTr="005F78FC">
        <w:tc>
          <w:tcPr>
            <w:tcW w:w="0" w:type="auto"/>
            <w:vAlign w:val="center"/>
          </w:tcPr>
          <w:p w:rsidR="005F78FC" w:rsidRDefault="00B42EF3">
            <w:pPr>
              <w:pStyle w:val="TableBodyText"/>
            </w:pPr>
            <w:r>
              <w:t>Light Shading Accent 6</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246</w:t>
            </w:r>
          </w:p>
        </w:tc>
      </w:tr>
      <w:tr w:rsidR="005F78FC" w:rsidTr="005F78FC">
        <w:tc>
          <w:tcPr>
            <w:tcW w:w="0" w:type="auto"/>
            <w:vAlign w:val="center"/>
          </w:tcPr>
          <w:p w:rsidR="005F78FC" w:rsidRDefault="00B42EF3">
            <w:pPr>
              <w:pStyle w:val="TableBodyText"/>
            </w:pPr>
            <w:r>
              <w:t>line number</w:t>
            </w:r>
          </w:p>
        </w:tc>
        <w:tc>
          <w:tcPr>
            <w:tcW w:w="0" w:type="auto"/>
            <w:vAlign w:val="center"/>
          </w:tcPr>
          <w:p w:rsidR="005F78FC" w:rsidRDefault="00B42EF3">
            <w:pPr>
              <w:pStyle w:val="TableBodyText"/>
            </w:pPr>
            <w:r>
              <w:t>character</w:t>
            </w:r>
          </w:p>
        </w:tc>
        <w:tc>
          <w:tcPr>
            <w:tcW w:w="0" w:type="auto"/>
            <w:vAlign w:val="center"/>
          </w:tcPr>
          <w:p w:rsidR="005F78FC" w:rsidRDefault="00B42EF3">
            <w:pPr>
              <w:pStyle w:val="TableBodyText"/>
            </w:pPr>
            <w:r>
              <w:t>40</w:t>
            </w:r>
          </w:p>
        </w:tc>
      </w:tr>
      <w:tr w:rsidR="005F78FC" w:rsidTr="005F78FC">
        <w:tc>
          <w:tcPr>
            <w:tcW w:w="0" w:type="auto"/>
            <w:vAlign w:val="center"/>
          </w:tcPr>
          <w:p w:rsidR="005F78FC" w:rsidRDefault="00B42EF3">
            <w:pPr>
              <w:pStyle w:val="TableBodyText"/>
            </w:pPr>
            <w:r>
              <w:t>List</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47</w:t>
            </w:r>
          </w:p>
        </w:tc>
      </w:tr>
      <w:tr w:rsidR="005F78FC" w:rsidTr="005F78FC">
        <w:tc>
          <w:tcPr>
            <w:tcW w:w="0" w:type="auto"/>
            <w:vAlign w:val="center"/>
          </w:tcPr>
          <w:p w:rsidR="005F78FC" w:rsidRDefault="00B42EF3">
            <w:pPr>
              <w:pStyle w:val="TableBodyText"/>
            </w:pPr>
            <w:r>
              <w:t>List 2</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50</w:t>
            </w:r>
          </w:p>
        </w:tc>
      </w:tr>
      <w:tr w:rsidR="005F78FC" w:rsidTr="005F78FC">
        <w:tc>
          <w:tcPr>
            <w:tcW w:w="0" w:type="auto"/>
            <w:vAlign w:val="center"/>
          </w:tcPr>
          <w:p w:rsidR="005F78FC" w:rsidRDefault="00B42EF3">
            <w:pPr>
              <w:pStyle w:val="TableBodyText"/>
            </w:pPr>
            <w:r>
              <w:t>List 3</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51</w:t>
            </w:r>
          </w:p>
        </w:tc>
      </w:tr>
      <w:tr w:rsidR="005F78FC" w:rsidTr="005F78FC">
        <w:tc>
          <w:tcPr>
            <w:tcW w:w="0" w:type="auto"/>
            <w:vAlign w:val="center"/>
          </w:tcPr>
          <w:p w:rsidR="005F78FC" w:rsidRDefault="00B42EF3">
            <w:pPr>
              <w:pStyle w:val="TableBodyText"/>
            </w:pPr>
            <w:r>
              <w:t>List 4</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52</w:t>
            </w:r>
          </w:p>
        </w:tc>
      </w:tr>
      <w:tr w:rsidR="005F78FC" w:rsidTr="005F78FC">
        <w:tc>
          <w:tcPr>
            <w:tcW w:w="0" w:type="auto"/>
            <w:vAlign w:val="center"/>
          </w:tcPr>
          <w:p w:rsidR="005F78FC" w:rsidRDefault="00B42EF3">
            <w:pPr>
              <w:pStyle w:val="TableBodyText"/>
            </w:pPr>
            <w:r>
              <w:t>List 5</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53</w:t>
            </w:r>
          </w:p>
        </w:tc>
      </w:tr>
      <w:tr w:rsidR="005F78FC" w:rsidTr="005F78FC">
        <w:tc>
          <w:tcPr>
            <w:tcW w:w="0" w:type="auto"/>
            <w:vAlign w:val="center"/>
          </w:tcPr>
          <w:p w:rsidR="005F78FC" w:rsidRDefault="00B42EF3">
            <w:pPr>
              <w:pStyle w:val="TableBodyText"/>
            </w:pPr>
            <w:r>
              <w:t>List Bullet</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48</w:t>
            </w:r>
          </w:p>
        </w:tc>
      </w:tr>
      <w:tr w:rsidR="005F78FC" w:rsidTr="005F78FC">
        <w:tc>
          <w:tcPr>
            <w:tcW w:w="0" w:type="auto"/>
            <w:vAlign w:val="center"/>
          </w:tcPr>
          <w:p w:rsidR="005F78FC" w:rsidRDefault="00B42EF3">
            <w:pPr>
              <w:pStyle w:val="TableBodyText"/>
            </w:pPr>
            <w:r>
              <w:t>List Bullet 2</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54</w:t>
            </w:r>
          </w:p>
        </w:tc>
      </w:tr>
      <w:tr w:rsidR="005F78FC" w:rsidTr="005F78FC">
        <w:tc>
          <w:tcPr>
            <w:tcW w:w="0" w:type="auto"/>
            <w:vAlign w:val="center"/>
          </w:tcPr>
          <w:p w:rsidR="005F78FC" w:rsidRDefault="00B42EF3">
            <w:pPr>
              <w:pStyle w:val="TableBodyText"/>
            </w:pPr>
            <w:r>
              <w:t>List Bullet 3</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55</w:t>
            </w:r>
          </w:p>
        </w:tc>
      </w:tr>
      <w:tr w:rsidR="005F78FC" w:rsidTr="005F78FC">
        <w:tc>
          <w:tcPr>
            <w:tcW w:w="0" w:type="auto"/>
            <w:vAlign w:val="center"/>
          </w:tcPr>
          <w:p w:rsidR="005F78FC" w:rsidRDefault="00B42EF3">
            <w:pPr>
              <w:pStyle w:val="TableBodyText"/>
            </w:pPr>
            <w:r>
              <w:t>List Bullet 4</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56</w:t>
            </w:r>
          </w:p>
        </w:tc>
      </w:tr>
      <w:tr w:rsidR="005F78FC" w:rsidTr="005F78FC">
        <w:tc>
          <w:tcPr>
            <w:tcW w:w="0" w:type="auto"/>
            <w:vAlign w:val="center"/>
          </w:tcPr>
          <w:p w:rsidR="005F78FC" w:rsidRDefault="00B42EF3">
            <w:pPr>
              <w:pStyle w:val="TableBodyText"/>
            </w:pPr>
            <w:r>
              <w:t>List Bullet 5</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57</w:t>
            </w:r>
          </w:p>
        </w:tc>
      </w:tr>
      <w:tr w:rsidR="005F78FC" w:rsidTr="005F78FC">
        <w:tc>
          <w:tcPr>
            <w:tcW w:w="0" w:type="auto"/>
            <w:vAlign w:val="center"/>
          </w:tcPr>
          <w:p w:rsidR="005F78FC" w:rsidRDefault="00B42EF3">
            <w:pPr>
              <w:pStyle w:val="TableBodyText"/>
            </w:pPr>
            <w:r>
              <w:t>List Continue</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68</w:t>
            </w:r>
          </w:p>
        </w:tc>
      </w:tr>
      <w:tr w:rsidR="005F78FC" w:rsidTr="005F78FC">
        <w:tc>
          <w:tcPr>
            <w:tcW w:w="0" w:type="auto"/>
            <w:vAlign w:val="center"/>
          </w:tcPr>
          <w:p w:rsidR="005F78FC" w:rsidRDefault="00B42EF3">
            <w:pPr>
              <w:pStyle w:val="TableBodyText"/>
            </w:pPr>
            <w:r>
              <w:t>List Continue 2</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69</w:t>
            </w:r>
          </w:p>
        </w:tc>
      </w:tr>
      <w:tr w:rsidR="005F78FC" w:rsidTr="005F78FC">
        <w:tc>
          <w:tcPr>
            <w:tcW w:w="0" w:type="auto"/>
            <w:vAlign w:val="center"/>
          </w:tcPr>
          <w:p w:rsidR="005F78FC" w:rsidRDefault="00B42EF3">
            <w:pPr>
              <w:pStyle w:val="TableBodyText"/>
            </w:pPr>
            <w:r>
              <w:t>List Continue 3</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70</w:t>
            </w:r>
          </w:p>
        </w:tc>
      </w:tr>
      <w:tr w:rsidR="005F78FC" w:rsidTr="005F78FC">
        <w:tc>
          <w:tcPr>
            <w:tcW w:w="0" w:type="auto"/>
            <w:vAlign w:val="center"/>
          </w:tcPr>
          <w:p w:rsidR="005F78FC" w:rsidRDefault="00B42EF3">
            <w:pPr>
              <w:pStyle w:val="TableBodyText"/>
            </w:pPr>
            <w:r>
              <w:t>List Continue 4</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71</w:t>
            </w:r>
          </w:p>
        </w:tc>
      </w:tr>
      <w:tr w:rsidR="005F78FC" w:rsidTr="005F78FC">
        <w:tc>
          <w:tcPr>
            <w:tcW w:w="0" w:type="auto"/>
            <w:vAlign w:val="center"/>
          </w:tcPr>
          <w:p w:rsidR="005F78FC" w:rsidRDefault="00B42EF3">
            <w:pPr>
              <w:pStyle w:val="TableBodyText"/>
            </w:pPr>
            <w:r>
              <w:t>List Continue 5</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72</w:t>
            </w:r>
          </w:p>
        </w:tc>
      </w:tr>
      <w:tr w:rsidR="005F78FC" w:rsidTr="005F78FC">
        <w:tc>
          <w:tcPr>
            <w:tcW w:w="0" w:type="auto"/>
            <w:vAlign w:val="center"/>
          </w:tcPr>
          <w:p w:rsidR="005F78FC" w:rsidRDefault="00B42EF3">
            <w:pPr>
              <w:pStyle w:val="TableBodyText"/>
            </w:pPr>
            <w:r>
              <w:t>List Number</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49</w:t>
            </w:r>
          </w:p>
        </w:tc>
      </w:tr>
      <w:tr w:rsidR="005F78FC" w:rsidTr="005F78FC">
        <w:tc>
          <w:tcPr>
            <w:tcW w:w="0" w:type="auto"/>
            <w:vAlign w:val="center"/>
          </w:tcPr>
          <w:p w:rsidR="005F78FC" w:rsidRDefault="00B42EF3">
            <w:pPr>
              <w:pStyle w:val="TableBodyText"/>
            </w:pPr>
            <w:r>
              <w:t>List Number 2</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58</w:t>
            </w:r>
          </w:p>
        </w:tc>
      </w:tr>
      <w:tr w:rsidR="005F78FC" w:rsidTr="005F78FC">
        <w:tc>
          <w:tcPr>
            <w:tcW w:w="0" w:type="auto"/>
            <w:vAlign w:val="center"/>
          </w:tcPr>
          <w:p w:rsidR="005F78FC" w:rsidRDefault="00B42EF3">
            <w:pPr>
              <w:pStyle w:val="TableBodyText"/>
            </w:pPr>
            <w:r>
              <w:t>List Number 3</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59</w:t>
            </w:r>
          </w:p>
        </w:tc>
      </w:tr>
      <w:tr w:rsidR="005F78FC" w:rsidTr="005F78FC">
        <w:tc>
          <w:tcPr>
            <w:tcW w:w="0" w:type="auto"/>
            <w:vAlign w:val="center"/>
          </w:tcPr>
          <w:p w:rsidR="005F78FC" w:rsidRDefault="00B42EF3">
            <w:pPr>
              <w:pStyle w:val="TableBodyText"/>
            </w:pPr>
            <w:r>
              <w:t>List Number 4</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60</w:t>
            </w:r>
          </w:p>
        </w:tc>
      </w:tr>
      <w:tr w:rsidR="005F78FC" w:rsidTr="005F78FC">
        <w:tc>
          <w:tcPr>
            <w:tcW w:w="0" w:type="auto"/>
            <w:vAlign w:val="center"/>
          </w:tcPr>
          <w:p w:rsidR="005F78FC" w:rsidRDefault="00B42EF3">
            <w:pPr>
              <w:pStyle w:val="TableBodyText"/>
            </w:pPr>
            <w:r>
              <w:t>List Number 5</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61</w:t>
            </w:r>
          </w:p>
        </w:tc>
      </w:tr>
      <w:tr w:rsidR="005F78FC" w:rsidTr="005F78FC">
        <w:tc>
          <w:tcPr>
            <w:tcW w:w="0" w:type="auto"/>
            <w:vAlign w:val="center"/>
          </w:tcPr>
          <w:p w:rsidR="005F78FC" w:rsidRDefault="00B42EF3">
            <w:pPr>
              <w:pStyle w:val="TableBodyText"/>
            </w:pPr>
            <w:r>
              <w:t>List Paragraph</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179</w:t>
            </w:r>
          </w:p>
        </w:tc>
      </w:tr>
      <w:tr w:rsidR="005F78FC" w:rsidTr="005F78FC">
        <w:tc>
          <w:tcPr>
            <w:tcW w:w="0" w:type="auto"/>
            <w:vAlign w:val="center"/>
          </w:tcPr>
          <w:p w:rsidR="005F78FC" w:rsidRDefault="00B42EF3">
            <w:pPr>
              <w:pStyle w:val="TableBodyText"/>
            </w:pPr>
            <w:r>
              <w:t>macro</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45</w:t>
            </w:r>
          </w:p>
        </w:tc>
      </w:tr>
      <w:tr w:rsidR="005F78FC" w:rsidTr="005F78FC">
        <w:tc>
          <w:tcPr>
            <w:tcW w:w="0" w:type="auto"/>
            <w:vAlign w:val="center"/>
          </w:tcPr>
          <w:p w:rsidR="005F78FC" w:rsidRDefault="00B42EF3">
            <w:pPr>
              <w:pStyle w:val="TableBodyText"/>
            </w:pPr>
            <w:r>
              <w:t>Medium Grid 1</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165</w:t>
            </w:r>
          </w:p>
        </w:tc>
      </w:tr>
      <w:tr w:rsidR="005F78FC" w:rsidTr="005F78FC">
        <w:tc>
          <w:tcPr>
            <w:tcW w:w="0" w:type="auto"/>
            <w:vAlign w:val="center"/>
          </w:tcPr>
          <w:p w:rsidR="005F78FC" w:rsidRDefault="00B42EF3">
            <w:pPr>
              <w:pStyle w:val="TableBodyText"/>
            </w:pPr>
            <w:r>
              <w:t>Medium Grid 1 Accent 1</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183</w:t>
            </w:r>
          </w:p>
        </w:tc>
      </w:tr>
      <w:tr w:rsidR="005F78FC" w:rsidTr="005F78FC">
        <w:tc>
          <w:tcPr>
            <w:tcW w:w="0" w:type="auto"/>
            <w:vAlign w:val="center"/>
          </w:tcPr>
          <w:p w:rsidR="005F78FC" w:rsidRDefault="00B42EF3">
            <w:pPr>
              <w:pStyle w:val="TableBodyText"/>
            </w:pPr>
            <w:r>
              <w:t>Medium Grid 1 Accent 2</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197</w:t>
            </w:r>
          </w:p>
        </w:tc>
      </w:tr>
      <w:tr w:rsidR="005F78FC" w:rsidTr="005F78FC">
        <w:tc>
          <w:tcPr>
            <w:tcW w:w="0" w:type="auto"/>
            <w:vAlign w:val="center"/>
          </w:tcPr>
          <w:p w:rsidR="005F78FC" w:rsidRDefault="00B42EF3">
            <w:pPr>
              <w:pStyle w:val="TableBodyText"/>
            </w:pPr>
            <w:r>
              <w:t>Medium Grid 1 Accent 3</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211</w:t>
            </w:r>
          </w:p>
        </w:tc>
      </w:tr>
      <w:tr w:rsidR="005F78FC" w:rsidTr="005F78FC">
        <w:tc>
          <w:tcPr>
            <w:tcW w:w="0" w:type="auto"/>
            <w:vAlign w:val="center"/>
          </w:tcPr>
          <w:p w:rsidR="005F78FC" w:rsidRDefault="00B42EF3">
            <w:pPr>
              <w:pStyle w:val="TableBodyText"/>
            </w:pPr>
            <w:r>
              <w:t>Medium Grid 1 Accent 4</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225</w:t>
            </w:r>
          </w:p>
        </w:tc>
      </w:tr>
      <w:tr w:rsidR="005F78FC" w:rsidTr="005F78FC">
        <w:tc>
          <w:tcPr>
            <w:tcW w:w="0" w:type="auto"/>
            <w:vAlign w:val="center"/>
          </w:tcPr>
          <w:p w:rsidR="005F78FC" w:rsidRDefault="00B42EF3">
            <w:pPr>
              <w:pStyle w:val="TableBodyText"/>
            </w:pPr>
            <w:r>
              <w:lastRenderedPageBreak/>
              <w:t>Medium Grid 1 Accent 5</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239</w:t>
            </w:r>
          </w:p>
        </w:tc>
      </w:tr>
      <w:tr w:rsidR="005F78FC" w:rsidTr="005F78FC">
        <w:tc>
          <w:tcPr>
            <w:tcW w:w="0" w:type="auto"/>
            <w:vAlign w:val="center"/>
          </w:tcPr>
          <w:p w:rsidR="005F78FC" w:rsidRDefault="00B42EF3">
            <w:pPr>
              <w:pStyle w:val="TableBodyText"/>
            </w:pPr>
            <w:r>
              <w:t>Medium Grid 1 Accent 6</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253</w:t>
            </w:r>
          </w:p>
        </w:tc>
      </w:tr>
      <w:tr w:rsidR="005F78FC" w:rsidTr="005F78FC">
        <w:tc>
          <w:tcPr>
            <w:tcW w:w="0" w:type="auto"/>
            <w:vAlign w:val="center"/>
          </w:tcPr>
          <w:p w:rsidR="005F78FC" w:rsidRDefault="00B42EF3">
            <w:pPr>
              <w:pStyle w:val="TableBodyText"/>
            </w:pPr>
            <w:r>
              <w:t>Medium Grid 2</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166</w:t>
            </w:r>
          </w:p>
        </w:tc>
      </w:tr>
      <w:tr w:rsidR="005F78FC" w:rsidTr="005F78FC">
        <w:tc>
          <w:tcPr>
            <w:tcW w:w="0" w:type="auto"/>
            <w:vAlign w:val="center"/>
          </w:tcPr>
          <w:p w:rsidR="005F78FC" w:rsidRDefault="00B42EF3">
            <w:pPr>
              <w:pStyle w:val="TableBodyText"/>
            </w:pPr>
            <w:r>
              <w:t>Medium Grid 2 Accent 1</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184</w:t>
            </w:r>
          </w:p>
        </w:tc>
      </w:tr>
      <w:tr w:rsidR="005F78FC" w:rsidTr="005F78FC">
        <w:tc>
          <w:tcPr>
            <w:tcW w:w="0" w:type="auto"/>
            <w:vAlign w:val="center"/>
          </w:tcPr>
          <w:p w:rsidR="005F78FC" w:rsidRDefault="00B42EF3">
            <w:pPr>
              <w:pStyle w:val="TableBodyText"/>
            </w:pPr>
            <w:r>
              <w:t>Medium Grid 2 Accent 2</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198</w:t>
            </w:r>
          </w:p>
        </w:tc>
      </w:tr>
      <w:tr w:rsidR="005F78FC" w:rsidTr="005F78FC">
        <w:tc>
          <w:tcPr>
            <w:tcW w:w="0" w:type="auto"/>
            <w:vAlign w:val="center"/>
          </w:tcPr>
          <w:p w:rsidR="005F78FC" w:rsidRDefault="00B42EF3">
            <w:pPr>
              <w:pStyle w:val="TableBodyText"/>
            </w:pPr>
            <w:r>
              <w:t>Medium Grid 2 Accent 3</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212</w:t>
            </w:r>
          </w:p>
        </w:tc>
      </w:tr>
      <w:tr w:rsidR="005F78FC" w:rsidTr="005F78FC">
        <w:tc>
          <w:tcPr>
            <w:tcW w:w="0" w:type="auto"/>
            <w:vAlign w:val="center"/>
          </w:tcPr>
          <w:p w:rsidR="005F78FC" w:rsidRDefault="00B42EF3">
            <w:pPr>
              <w:pStyle w:val="TableBodyText"/>
            </w:pPr>
            <w:r>
              <w:t xml:space="preserve">Medium Grid 2 </w:t>
            </w:r>
            <w:r>
              <w:t>Accent 4</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226</w:t>
            </w:r>
          </w:p>
        </w:tc>
      </w:tr>
      <w:tr w:rsidR="005F78FC" w:rsidTr="005F78FC">
        <w:tc>
          <w:tcPr>
            <w:tcW w:w="0" w:type="auto"/>
            <w:vAlign w:val="center"/>
          </w:tcPr>
          <w:p w:rsidR="005F78FC" w:rsidRDefault="00B42EF3">
            <w:pPr>
              <w:pStyle w:val="TableBodyText"/>
            </w:pPr>
            <w:r>
              <w:t>Medium Grid 2 Accent 5</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240</w:t>
            </w:r>
          </w:p>
        </w:tc>
      </w:tr>
      <w:tr w:rsidR="005F78FC" w:rsidTr="005F78FC">
        <w:tc>
          <w:tcPr>
            <w:tcW w:w="0" w:type="auto"/>
            <w:vAlign w:val="center"/>
          </w:tcPr>
          <w:p w:rsidR="005F78FC" w:rsidRDefault="00B42EF3">
            <w:pPr>
              <w:pStyle w:val="TableBodyText"/>
            </w:pPr>
            <w:r>
              <w:t>Medium Grid 2 Accent 6</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254</w:t>
            </w:r>
          </w:p>
        </w:tc>
      </w:tr>
      <w:tr w:rsidR="005F78FC" w:rsidTr="005F78FC">
        <w:tc>
          <w:tcPr>
            <w:tcW w:w="0" w:type="auto"/>
            <w:vAlign w:val="center"/>
          </w:tcPr>
          <w:p w:rsidR="005F78FC" w:rsidRDefault="00B42EF3">
            <w:pPr>
              <w:pStyle w:val="TableBodyText"/>
            </w:pPr>
            <w:r>
              <w:t>Medium Grid 3</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167</w:t>
            </w:r>
          </w:p>
        </w:tc>
      </w:tr>
      <w:tr w:rsidR="005F78FC" w:rsidTr="005F78FC">
        <w:tc>
          <w:tcPr>
            <w:tcW w:w="0" w:type="auto"/>
            <w:vAlign w:val="center"/>
          </w:tcPr>
          <w:p w:rsidR="005F78FC" w:rsidRDefault="00B42EF3">
            <w:pPr>
              <w:pStyle w:val="TableBodyText"/>
            </w:pPr>
            <w:r>
              <w:t>Medium Grid 3 Accent 1</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185</w:t>
            </w:r>
          </w:p>
        </w:tc>
      </w:tr>
      <w:tr w:rsidR="005F78FC" w:rsidTr="005F78FC">
        <w:tc>
          <w:tcPr>
            <w:tcW w:w="0" w:type="auto"/>
            <w:vAlign w:val="center"/>
          </w:tcPr>
          <w:p w:rsidR="005F78FC" w:rsidRDefault="00B42EF3">
            <w:pPr>
              <w:pStyle w:val="TableBodyText"/>
            </w:pPr>
            <w:r>
              <w:t>Medium Grid 3 Accent 2</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199</w:t>
            </w:r>
          </w:p>
        </w:tc>
      </w:tr>
      <w:tr w:rsidR="005F78FC" w:rsidTr="005F78FC">
        <w:tc>
          <w:tcPr>
            <w:tcW w:w="0" w:type="auto"/>
            <w:vAlign w:val="center"/>
          </w:tcPr>
          <w:p w:rsidR="005F78FC" w:rsidRDefault="00B42EF3">
            <w:pPr>
              <w:pStyle w:val="TableBodyText"/>
            </w:pPr>
            <w:r>
              <w:t>Medium Grid 3 Accent 3</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213</w:t>
            </w:r>
          </w:p>
        </w:tc>
      </w:tr>
      <w:tr w:rsidR="005F78FC" w:rsidTr="005F78FC">
        <w:tc>
          <w:tcPr>
            <w:tcW w:w="0" w:type="auto"/>
            <w:vAlign w:val="center"/>
          </w:tcPr>
          <w:p w:rsidR="005F78FC" w:rsidRDefault="00B42EF3">
            <w:pPr>
              <w:pStyle w:val="TableBodyText"/>
            </w:pPr>
            <w:r>
              <w:t>Medium Grid 3 Accent 4</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227</w:t>
            </w:r>
          </w:p>
        </w:tc>
      </w:tr>
      <w:tr w:rsidR="005F78FC" w:rsidTr="005F78FC">
        <w:tc>
          <w:tcPr>
            <w:tcW w:w="0" w:type="auto"/>
            <w:vAlign w:val="center"/>
          </w:tcPr>
          <w:p w:rsidR="005F78FC" w:rsidRDefault="00B42EF3">
            <w:pPr>
              <w:pStyle w:val="TableBodyText"/>
            </w:pPr>
            <w:r>
              <w:t xml:space="preserve">Medium </w:t>
            </w:r>
            <w:r>
              <w:t>Grid 3 Accent 5</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241</w:t>
            </w:r>
          </w:p>
        </w:tc>
      </w:tr>
      <w:tr w:rsidR="005F78FC" w:rsidTr="005F78FC">
        <w:tc>
          <w:tcPr>
            <w:tcW w:w="0" w:type="auto"/>
            <w:vAlign w:val="center"/>
          </w:tcPr>
          <w:p w:rsidR="005F78FC" w:rsidRDefault="00B42EF3">
            <w:pPr>
              <w:pStyle w:val="TableBodyText"/>
            </w:pPr>
            <w:r>
              <w:t>Medium Grid 3 Accent 6</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255</w:t>
            </w:r>
          </w:p>
        </w:tc>
      </w:tr>
      <w:tr w:rsidR="005F78FC" w:rsidTr="005F78FC">
        <w:tc>
          <w:tcPr>
            <w:tcW w:w="0" w:type="auto"/>
            <w:vAlign w:val="center"/>
          </w:tcPr>
          <w:p w:rsidR="005F78FC" w:rsidRDefault="00B42EF3">
            <w:pPr>
              <w:pStyle w:val="TableBodyText"/>
            </w:pPr>
            <w:r>
              <w:t>Medium List 1</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163</w:t>
            </w:r>
          </w:p>
        </w:tc>
      </w:tr>
      <w:tr w:rsidR="005F78FC" w:rsidTr="005F78FC">
        <w:tc>
          <w:tcPr>
            <w:tcW w:w="0" w:type="auto"/>
            <w:vAlign w:val="center"/>
          </w:tcPr>
          <w:p w:rsidR="005F78FC" w:rsidRDefault="00B42EF3">
            <w:pPr>
              <w:pStyle w:val="TableBodyText"/>
            </w:pPr>
            <w:r>
              <w:t>Medium List 1 Accent 1</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177</w:t>
            </w:r>
          </w:p>
        </w:tc>
      </w:tr>
      <w:tr w:rsidR="005F78FC" w:rsidTr="005F78FC">
        <w:tc>
          <w:tcPr>
            <w:tcW w:w="0" w:type="auto"/>
            <w:vAlign w:val="center"/>
          </w:tcPr>
          <w:p w:rsidR="005F78FC" w:rsidRDefault="00B42EF3">
            <w:pPr>
              <w:pStyle w:val="TableBodyText"/>
            </w:pPr>
            <w:r>
              <w:t>Medium List 1 Accent 2</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195</w:t>
            </w:r>
          </w:p>
        </w:tc>
      </w:tr>
      <w:tr w:rsidR="005F78FC" w:rsidTr="005F78FC">
        <w:tc>
          <w:tcPr>
            <w:tcW w:w="0" w:type="auto"/>
            <w:vAlign w:val="center"/>
          </w:tcPr>
          <w:p w:rsidR="005F78FC" w:rsidRDefault="00B42EF3">
            <w:pPr>
              <w:pStyle w:val="TableBodyText"/>
            </w:pPr>
            <w:r>
              <w:t>Medium List 1 Accent 3</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209</w:t>
            </w:r>
          </w:p>
        </w:tc>
      </w:tr>
      <w:tr w:rsidR="005F78FC" w:rsidTr="005F78FC">
        <w:tc>
          <w:tcPr>
            <w:tcW w:w="0" w:type="auto"/>
            <w:vAlign w:val="center"/>
          </w:tcPr>
          <w:p w:rsidR="005F78FC" w:rsidRDefault="00B42EF3">
            <w:pPr>
              <w:pStyle w:val="TableBodyText"/>
            </w:pPr>
            <w:r>
              <w:t>Medium List 1 Accent 4</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223</w:t>
            </w:r>
          </w:p>
        </w:tc>
      </w:tr>
      <w:tr w:rsidR="005F78FC" w:rsidTr="005F78FC">
        <w:tc>
          <w:tcPr>
            <w:tcW w:w="0" w:type="auto"/>
            <w:vAlign w:val="center"/>
          </w:tcPr>
          <w:p w:rsidR="005F78FC" w:rsidRDefault="00B42EF3">
            <w:pPr>
              <w:pStyle w:val="TableBodyText"/>
            </w:pPr>
            <w:r>
              <w:t>Medium List 1 Accent 5</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237</w:t>
            </w:r>
          </w:p>
        </w:tc>
      </w:tr>
      <w:tr w:rsidR="005F78FC" w:rsidTr="005F78FC">
        <w:tc>
          <w:tcPr>
            <w:tcW w:w="0" w:type="auto"/>
            <w:vAlign w:val="center"/>
          </w:tcPr>
          <w:p w:rsidR="005F78FC" w:rsidRDefault="00B42EF3">
            <w:pPr>
              <w:pStyle w:val="TableBodyText"/>
            </w:pPr>
            <w:r>
              <w:t>Medium List 1 Accent 6</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251</w:t>
            </w:r>
          </w:p>
        </w:tc>
      </w:tr>
      <w:tr w:rsidR="005F78FC" w:rsidTr="005F78FC">
        <w:tc>
          <w:tcPr>
            <w:tcW w:w="0" w:type="auto"/>
            <w:vAlign w:val="center"/>
          </w:tcPr>
          <w:p w:rsidR="005F78FC" w:rsidRDefault="00B42EF3">
            <w:pPr>
              <w:pStyle w:val="TableBodyText"/>
            </w:pPr>
            <w:r>
              <w:t>Medium List 2</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164</w:t>
            </w:r>
          </w:p>
        </w:tc>
      </w:tr>
      <w:tr w:rsidR="005F78FC" w:rsidTr="005F78FC">
        <w:tc>
          <w:tcPr>
            <w:tcW w:w="0" w:type="auto"/>
            <w:vAlign w:val="center"/>
          </w:tcPr>
          <w:p w:rsidR="005F78FC" w:rsidRDefault="00B42EF3">
            <w:pPr>
              <w:pStyle w:val="TableBodyText"/>
            </w:pPr>
            <w:r>
              <w:t>Medium List 2 Accent 1</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182</w:t>
            </w:r>
          </w:p>
        </w:tc>
      </w:tr>
      <w:tr w:rsidR="005F78FC" w:rsidTr="005F78FC">
        <w:tc>
          <w:tcPr>
            <w:tcW w:w="0" w:type="auto"/>
            <w:vAlign w:val="center"/>
          </w:tcPr>
          <w:p w:rsidR="005F78FC" w:rsidRDefault="00B42EF3">
            <w:pPr>
              <w:pStyle w:val="TableBodyText"/>
            </w:pPr>
            <w:r>
              <w:t>Medium List 2 Accent 2</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196</w:t>
            </w:r>
          </w:p>
        </w:tc>
      </w:tr>
      <w:tr w:rsidR="005F78FC" w:rsidTr="005F78FC">
        <w:tc>
          <w:tcPr>
            <w:tcW w:w="0" w:type="auto"/>
            <w:vAlign w:val="center"/>
          </w:tcPr>
          <w:p w:rsidR="005F78FC" w:rsidRDefault="00B42EF3">
            <w:pPr>
              <w:pStyle w:val="TableBodyText"/>
            </w:pPr>
            <w:r>
              <w:t>Medium List 2 Accent 3</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210</w:t>
            </w:r>
          </w:p>
        </w:tc>
      </w:tr>
      <w:tr w:rsidR="005F78FC" w:rsidTr="005F78FC">
        <w:tc>
          <w:tcPr>
            <w:tcW w:w="0" w:type="auto"/>
            <w:vAlign w:val="center"/>
          </w:tcPr>
          <w:p w:rsidR="005F78FC" w:rsidRDefault="00B42EF3">
            <w:pPr>
              <w:pStyle w:val="TableBodyText"/>
            </w:pPr>
            <w:r>
              <w:t>Medium List 2 Accent 4</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224</w:t>
            </w:r>
          </w:p>
        </w:tc>
      </w:tr>
      <w:tr w:rsidR="005F78FC" w:rsidTr="005F78FC">
        <w:tc>
          <w:tcPr>
            <w:tcW w:w="0" w:type="auto"/>
            <w:vAlign w:val="center"/>
          </w:tcPr>
          <w:p w:rsidR="005F78FC" w:rsidRDefault="00B42EF3">
            <w:pPr>
              <w:pStyle w:val="TableBodyText"/>
            </w:pPr>
            <w:r>
              <w:t>Medium List 2 Accent 5</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238</w:t>
            </w:r>
          </w:p>
        </w:tc>
      </w:tr>
      <w:tr w:rsidR="005F78FC" w:rsidTr="005F78FC">
        <w:tc>
          <w:tcPr>
            <w:tcW w:w="0" w:type="auto"/>
            <w:vAlign w:val="center"/>
          </w:tcPr>
          <w:p w:rsidR="005F78FC" w:rsidRDefault="00B42EF3">
            <w:pPr>
              <w:pStyle w:val="TableBodyText"/>
            </w:pPr>
            <w:r>
              <w:t>Medium List 2 Accent 6</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252</w:t>
            </w:r>
          </w:p>
        </w:tc>
      </w:tr>
      <w:tr w:rsidR="005F78FC" w:rsidTr="005F78FC">
        <w:tc>
          <w:tcPr>
            <w:tcW w:w="0" w:type="auto"/>
            <w:vAlign w:val="center"/>
          </w:tcPr>
          <w:p w:rsidR="005F78FC" w:rsidRDefault="00B42EF3">
            <w:pPr>
              <w:pStyle w:val="TableBodyText"/>
            </w:pPr>
            <w:r>
              <w:t>Medium Shading 1</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161</w:t>
            </w:r>
          </w:p>
        </w:tc>
      </w:tr>
      <w:tr w:rsidR="005F78FC" w:rsidTr="005F78FC">
        <w:tc>
          <w:tcPr>
            <w:tcW w:w="0" w:type="auto"/>
            <w:vAlign w:val="center"/>
          </w:tcPr>
          <w:p w:rsidR="005F78FC" w:rsidRDefault="00B42EF3">
            <w:pPr>
              <w:pStyle w:val="TableBodyText"/>
            </w:pPr>
            <w:r>
              <w:t>Medium Shading 1 Accent 1</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175</w:t>
            </w:r>
          </w:p>
        </w:tc>
      </w:tr>
      <w:tr w:rsidR="005F78FC" w:rsidTr="005F78FC">
        <w:tc>
          <w:tcPr>
            <w:tcW w:w="0" w:type="auto"/>
            <w:vAlign w:val="center"/>
          </w:tcPr>
          <w:p w:rsidR="005F78FC" w:rsidRDefault="00B42EF3">
            <w:pPr>
              <w:pStyle w:val="TableBodyText"/>
            </w:pPr>
            <w:r>
              <w:lastRenderedPageBreak/>
              <w:t>Medium Shading 1 Accent 2</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193</w:t>
            </w:r>
          </w:p>
        </w:tc>
      </w:tr>
      <w:tr w:rsidR="005F78FC" w:rsidTr="005F78FC">
        <w:tc>
          <w:tcPr>
            <w:tcW w:w="0" w:type="auto"/>
            <w:vAlign w:val="center"/>
          </w:tcPr>
          <w:p w:rsidR="005F78FC" w:rsidRDefault="00B42EF3">
            <w:pPr>
              <w:pStyle w:val="TableBodyText"/>
            </w:pPr>
            <w:r>
              <w:t>Medium Shading 1 Accent 3</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207</w:t>
            </w:r>
          </w:p>
        </w:tc>
      </w:tr>
      <w:tr w:rsidR="005F78FC" w:rsidTr="005F78FC">
        <w:tc>
          <w:tcPr>
            <w:tcW w:w="0" w:type="auto"/>
            <w:vAlign w:val="center"/>
          </w:tcPr>
          <w:p w:rsidR="005F78FC" w:rsidRDefault="00B42EF3">
            <w:pPr>
              <w:pStyle w:val="TableBodyText"/>
            </w:pPr>
            <w:r>
              <w:t>Medium Shading 1 Accent 4</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221</w:t>
            </w:r>
          </w:p>
        </w:tc>
      </w:tr>
      <w:tr w:rsidR="005F78FC" w:rsidTr="005F78FC">
        <w:tc>
          <w:tcPr>
            <w:tcW w:w="0" w:type="auto"/>
            <w:vAlign w:val="center"/>
          </w:tcPr>
          <w:p w:rsidR="005F78FC" w:rsidRDefault="00B42EF3">
            <w:pPr>
              <w:pStyle w:val="TableBodyText"/>
            </w:pPr>
            <w:r>
              <w:t>Medium Shading 1 Accent 5</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235</w:t>
            </w:r>
          </w:p>
        </w:tc>
      </w:tr>
      <w:tr w:rsidR="005F78FC" w:rsidTr="005F78FC">
        <w:tc>
          <w:tcPr>
            <w:tcW w:w="0" w:type="auto"/>
            <w:vAlign w:val="center"/>
          </w:tcPr>
          <w:p w:rsidR="005F78FC" w:rsidRDefault="00B42EF3">
            <w:pPr>
              <w:pStyle w:val="TableBodyText"/>
            </w:pPr>
            <w:r>
              <w:t>Medium Shading 1 Accent 6</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249</w:t>
            </w:r>
          </w:p>
        </w:tc>
      </w:tr>
      <w:tr w:rsidR="005F78FC" w:rsidTr="005F78FC">
        <w:tc>
          <w:tcPr>
            <w:tcW w:w="0" w:type="auto"/>
            <w:vAlign w:val="center"/>
          </w:tcPr>
          <w:p w:rsidR="005F78FC" w:rsidRDefault="00B42EF3">
            <w:pPr>
              <w:pStyle w:val="TableBodyText"/>
            </w:pPr>
            <w:r>
              <w:t>Medium Shading 2</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162</w:t>
            </w:r>
          </w:p>
        </w:tc>
      </w:tr>
      <w:tr w:rsidR="005F78FC" w:rsidTr="005F78FC">
        <w:tc>
          <w:tcPr>
            <w:tcW w:w="0" w:type="auto"/>
            <w:vAlign w:val="center"/>
          </w:tcPr>
          <w:p w:rsidR="005F78FC" w:rsidRDefault="00B42EF3">
            <w:pPr>
              <w:pStyle w:val="TableBodyText"/>
            </w:pPr>
            <w:r>
              <w:t>Medium Shading 2 Accent 1</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176</w:t>
            </w:r>
          </w:p>
        </w:tc>
      </w:tr>
      <w:tr w:rsidR="005F78FC" w:rsidTr="005F78FC">
        <w:tc>
          <w:tcPr>
            <w:tcW w:w="0" w:type="auto"/>
            <w:vAlign w:val="center"/>
          </w:tcPr>
          <w:p w:rsidR="005F78FC" w:rsidRDefault="00B42EF3">
            <w:pPr>
              <w:pStyle w:val="TableBodyText"/>
            </w:pPr>
            <w:r>
              <w:t>Medium Shading 2 Accent 2</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194</w:t>
            </w:r>
          </w:p>
        </w:tc>
      </w:tr>
      <w:tr w:rsidR="005F78FC" w:rsidTr="005F78FC">
        <w:tc>
          <w:tcPr>
            <w:tcW w:w="0" w:type="auto"/>
            <w:vAlign w:val="center"/>
          </w:tcPr>
          <w:p w:rsidR="005F78FC" w:rsidRDefault="00B42EF3">
            <w:pPr>
              <w:pStyle w:val="TableBodyText"/>
            </w:pPr>
            <w:r>
              <w:t>Medium Shading 2 Accent 3</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208</w:t>
            </w:r>
          </w:p>
        </w:tc>
      </w:tr>
      <w:tr w:rsidR="005F78FC" w:rsidTr="005F78FC">
        <w:tc>
          <w:tcPr>
            <w:tcW w:w="0" w:type="auto"/>
            <w:vAlign w:val="center"/>
          </w:tcPr>
          <w:p w:rsidR="005F78FC" w:rsidRDefault="00B42EF3">
            <w:pPr>
              <w:pStyle w:val="TableBodyText"/>
            </w:pPr>
            <w:r>
              <w:t>Medium Shading 2 Accent 4</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222</w:t>
            </w:r>
          </w:p>
        </w:tc>
      </w:tr>
      <w:tr w:rsidR="005F78FC" w:rsidTr="005F78FC">
        <w:tc>
          <w:tcPr>
            <w:tcW w:w="0" w:type="auto"/>
            <w:vAlign w:val="center"/>
          </w:tcPr>
          <w:p w:rsidR="005F78FC" w:rsidRDefault="00B42EF3">
            <w:pPr>
              <w:pStyle w:val="TableBodyText"/>
            </w:pPr>
            <w:r>
              <w:t>Medium Shading 2 Accent 5</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236</w:t>
            </w:r>
          </w:p>
        </w:tc>
      </w:tr>
      <w:tr w:rsidR="005F78FC" w:rsidTr="005F78FC">
        <w:tc>
          <w:tcPr>
            <w:tcW w:w="0" w:type="auto"/>
            <w:vAlign w:val="center"/>
          </w:tcPr>
          <w:p w:rsidR="005F78FC" w:rsidRDefault="00B42EF3">
            <w:pPr>
              <w:pStyle w:val="TableBodyText"/>
            </w:pPr>
            <w:r>
              <w:t>Medium Shading 2 Accent 6</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250</w:t>
            </w:r>
          </w:p>
        </w:tc>
      </w:tr>
      <w:tr w:rsidR="005F78FC" w:rsidTr="005F78FC">
        <w:tc>
          <w:tcPr>
            <w:tcW w:w="0" w:type="auto"/>
            <w:vAlign w:val="center"/>
          </w:tcPr>
          <w:p w:rsidR="005F78FC" w:rsidRDefault="00B42EF3">
            <w:pPr>
              <w:pStyle w:val="TableBodyText"/>
            </w:pPr>
            <w:r>
              <w:t>Message Header</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73</w:t>
            </w:r>
          </w:p>
        </w:tc>
      </w:tr>
      <w:tr w:rsidR="005F78FC" w:rsidTr="005F78FC">
        <w:tc>
          <w:tcPr>
            <w:tcW w:w="0" w:type="auto"/>
            <w:vAlign w:val="center"/>
          </w:tcPr>
          <w:p w:rsidR="005F78FC" w:rsidRDefault="00B42EF3">
            <w:pPr>
              <w:pStyle w:val="TableBodyText"/>
            </w:pPr>
            <w:r>
              <w:t>No List</w:t>
            </w:r>
          </w:p>
        </w:tc>
        <w:tc>
          <w:tcPr>
            <w:tcW w:w="0" w:type="auto"/>
            <w:vAlign w:val="center"/>
          </w:tcPr>
          <w:p w:rsidR="005F78FC" w:rsidRDefault="00B42EF3">
            <w:pPr>
              <w:pStyle w:val="TableBodyText"/>
            </w:pPr>
            <w:r>
              <w:t>numbering</w:t>
            </w:r>
          </w:p>
        </w:tc>
        <w:tc>
          <w:tcPr>
            <w:tcW w:w="0" w:type="auto"/>
            <w:vAlign w:val="center"/>
          </w:tcPr>
          <w:p w:rsidR="005F78FC" w:rsidRDefault="00B42EF3">
            <w:pPr>
              <w:pStyle w:val="TableBodyText"/>
            </w:pPr>
            <w:r>
              <w:t>107</w:t>
            </w:r>
          </w:p>
        </w:tc>
      </w:tr>
      <w:tr w:rsidR="005F78FC" w:rsidTr="005F78FC">
        <w:tc>
          <w:tcPr>
            <w:tcW w:w="0" w:type="auto"/>
            <w:vAlign w:val="center"/>
          </w:tcPr>
          <w:p w:rsidR="005F78FC" w:rsidRDefault="00B42EF3">
            <w:pPr>
              <w:pStyle w:val="TableBodyText"/>
            </w:pPr>
            <w:r>
              <w:t>No Spacing</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157</w:t>
            </w:r>
          </w:p>
        </w:tc>
      </w:tr>
      <w:tr w:rsidR="005F78FC" w:rsidTr="005F78FC">
        <w:tc>
          <w:tcPr>
            <w:tcW w:w="0" w:type="auto"/>
            <w:vAlign w:val="center"/>
          </w:tcPr>
          <w:p w:rsidR="005F78FC" w:rsidRDefault="00B42EF3">
            <w:pPr>
              <w:pStyle w:val="TableBodyText"/>
            </w:pPr>
            <w:r>
              <w:t>Normal</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0</w:t>
            </w:r>
          </w:p>
        </w:tc>
      </w:tr>
      <w:tr w:rsidR="005F78FC" w:rsidTr="005F78FC">
        <w:tc>
          <w:tcPr>
            <w:tcW w:w="0" w:type="auto"/>
            <w:vAlign w:val="center"/>
          </w:tcPr>
          <w:p w:rsidR="005F78FC" w:rsidRDefault="00B42EF3">
            <w:pPr>
              <w:pStyle w:val="TableBodyText"/>
            </w:pPr>
            <w:r>
              <w:t>Normal (Web)</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94</w:t>
            </w:r>
          </w:p>
        </w:tc>
      </w:tr>
      <w:tr w:rsidR="005F78FC" w:rsidTr="005F78FC">
        <w:tc>
          <w:tcPr>
            <w:tcW w:w="0" w:type="auto"/>
            <w:vAlign w:val="center"/>
          </w:tcPr>
          <w:p w:rsidR="005F78FC" w:rsidRDefault="00B42EF3">
            <w:pPr>
              <w:pStyle w:val="TableBodyText"/>
            </w:pPr>
            <w:r>
              <w:t>Normal Indent</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28</w:t>
            </w:r>
          </w:p>
        </w:tc>
      </w:tr>
      <w:tr w:rsidR="005F78FC" w:rsidTr="005F78FC">
        <w:tc>
          <w:tcPr>
            <w:tcW w:w="0" w:type="auto"/>
            <w:vAlign w:val="center"/>
          </w:tcPr>
          <w:p w:rsidR="005F78FC" w:rsidRDefault="00B42EF3">
            <w:pPr>
              <w:pStyle w:val="TableBodyText"/>
            </w:pPr>
            <w:r>
              <w:t>Normal Table</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105</w:t>
            </w:r>
          </w:p>
        </w:tc>
      </w:tr>
      <w:tr w:rsidR="005F78FC" w:rsidTr="005F78FC">
        <w:tc>
          <w:tcPr>
            <w:tcW w:w="0" w:type="auto"/>
            <w:vAlign w:val="center"/>
          </w:tcPr>
          <w:p w:rsidR="005F78FC" w:rsidRDefault="00B42EF3">
            <w:pPr>
              <w:pStyle w:val="TableBodyText"/>
            </w:pPr>
            <w:r>
              <w:t>Note Heading</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79</w:t>
            </w:r>
          </w:p>
        </w:tc>
      </w:tr>
      <w:tr w:rsidR="005F78FC" w:rsidTr="005F78FC">
        <w:tc>
          <w:tcPr>
            <w:tcW w:w="0" w:type="auto"/>
            <w:vAlign w:val="center"/>
          </w:tcPr>
          <w:p w:rsidR="005F78FC" w:rsidRDefault="00B42EF3">
            <w:pPr>
              <w:pStyle w:val="TableBodyText"/>
            </w:pPr>
            <w:r>
              <w:t>Outline List 1</w:t>
            </w:r>
          </w:p>
        </w:tc>
        <w:tc>
          <w:tcPr>
            <w:tcW w:w="0" w:type="auto"/>
            <w:vAlign w:val="center"/>
          </w:tcPr>
          <w:p w:rsidR="005F78FC" w:rsidRDefault="00B42EF3">
            <w:pPr>
              <w:pStyle w:val="TableBodyText"/>
            </w:pPr>
            <w:r>
              <w:t>numbering</w:t>
            </w:r>
          </w:p>
        </w:tc>
        <w:tc>
          <w:tcPr>
            <w:tcW w:w="0" w:type="auto"/>
            <w:vAlign w:val="center"/>
          </w:tcPr>
          <w:p w:rsidR="005F78FC" w:rsidRDefault="00B42EF3">
            <w:pPr>
              <w:pStyle w:val="TableBodyText"/>
            </w:pPr>
            <w:r>
              <w:t>108</w:t>
            </w:r>
          </w:p>
        </w:tc>
      </w:tr>
      <w:tr w:rsidR="005F78FC" w:rsidTr="005F78FC">
        <w:tc>
          <w:tcPr>
            <w:tcW w:w="0" w:type="auto"/>
            <w:vAlign w:val="center"/>
          </w:tcPr>
          <w:p w:rsidR="005F78FC" w:rsidRDefault="00B42EF3">
            <w:pPr>
              <w:pStyle w:val="TableBodyText"/>
            </w:pPr>
            <w:r>
              <w:t>Outline List 2</w:t>
            </w:r>
          </w:p>
        </w:tc>
        <w:tc>
          <w:tcPr>
            <w:tcW w:w="0" w:type="auto"/>
            <w:vAlign w:val="center"/>
          </w:tcPr>
          <w:p w:rsidR="005F78FC" w:rsidRDefault="00B42EF3">
            <w:pPr>
              <w:pStyle w:val="TableBodyText"/>
            </w:pPr>
            <w:r>
              <w:t>numbering</w:t>
            </w:r>
          </w:p>
        </w:tc>
        <w:tc>
          <w:tcPr>
            <w:tcW w:w="0" w:type="auto"/>
            <w:vAlign w:val="center"/>
          </w:tcPr>
          <w:p w:rsidR="005F78FC" w:rsidRDefault="00B42EF3">
            <w:pPr>
              <w:pStyle w:val="TableBodyText"/>
            </w:pPr>
            <w:r>
              <w:t>109</w:t>
            </w:r>
          </w:p>
        </w:tc>
      </w:tr>
      <w:tr w:rsidR="005F78FC" w:rsidTr="005F78FC">
        <w:tc>
          <w:tcPr>
            <w:tcW w:w="0" w:type="auto"/>
            <w:vAlign w:val="center"/>
          </w:tcPr>
          <w:p w:rsidR="005F78FC" w:rsidRDefault="00B42EF3">
            <w:pPr>
              <w:pStyle w:val="TableBodyText"/>
            </w:pPr>
            <w:r>
              <w:t>Outline List 3</w:t>
            </w:r>
          </w:p>
        </w:tc>
        <w:tc>
          <w:tcPr>
            <w:tcW w:w="0" w:type="auto"/>
            <w:vAlign w:val="center"/>
          </w:tcPr>
          <w:p w:rsidR="005F78FC" w:rsidRDefault="00B42EF3">
            <w:pPr>
              <w:pStyle w:val="TableBodyText"/>
            </w:pPr>
            <w:r>
              <w:t>numbering</w:t>
            </w:r>
          </w:p>
        </w:tc>
        <w:tc>
          <w:tcPr>
            <w:tcW w:w="0" w:type="auto"/>
            <w:vAlign w:val="center"/>
          </w:tcPr>
          <w:p w:rsidR="005F78FC" w:rsidRDefault="00B42EF3">
            <w:pPr>
              <w:pStyle w:val="TableBodyText"/>
            </w:pPr>
            <w:r>
              <w:t>110</w:t>
            </w:r>
          </w:p>
        </w:tc>
      </w:tr>
      <w:tr w:rsidR="005F78FC" w:rsidTr="005F78FC">
        <w:tc>
          <w:tcPr>
            <w:tcW w:w="0" w:type="auto"/>
            <w:vAlign w:val="center"/>
          </w:tcPr>
          <w:p w:rsidR="005F78FC" w:rsidRDefault="00B42EF3">
            <w:pPr>
              <w:pStyle w:val="TableBodyText"/>
            </w:pPr>
            <w:r>
              <w:t>page number</w:t>
            </w:r>
          </w:p>
        </w:tc>
        <w:tc>
          <w:tcPr>
            <w:tcW w:w="0" w:type="auto"/>
            <w:vAlign w:val="center"/>
          </w:tcPr>
          <w:p w:rsidR="005F78FC" w:rsidRDefault="00B42EF3">
            <w:pPr>
              <w:pStyle w:val="TableBodyText"/>
            </w:pPr>
            <w:r>
              <w:t>character</w:t>
            </w:r>
          </w:p>
        </w:tc>
        <w:tc>
          <w:tcPr>
            <w:tcW w:w="0" w:type="auto"/>
            <w:vAlign w:val="center"/>
          </w:tcPr>
          <w:p w:rsidR="005F78FC" w:rsidRDefault="00B42EF3">
            <w:pPr>
              <w:pStyle w:val="TableBodyText"/>
            </w:pPr>
            <w:r>
              <w:t>41</w:t>
            </w:r>
          </w:p>
        </w:tc>
      </w:tr>
      <w:tr w:rsidR="005F78FC" w:rsidTr="005F78FC">
        <w:tc>
          <w:tcPr>
            <w:tcW w:w="0" w:type="auto"/>
            <w:vAlign w:val="center"/>
          </w:tcPr>
          <w:p w:rsidR="005F78FC" w:rsidRDefault="00B42EF3">
            <w:pPr>
              <w:pStyle w:val="TableBodyText"/>
            </w:pPr>
            <w:r>
              <w:t>Placeholder Text</w:t>
            </w:r>
          </w:p>
        </w:tc>
        <w:tc>
          <w:tcPr>
            <w:tcW w:w="0" w:type="auto"/>
            <w:vAlign w:val="center"/>
          </w:tcPr>
          <w:p w:rsidR="005F78FC" w:rsidRDefault="00B42EF3">
            <w:pPr>
              <w:pStyle w:val="TableBodyText"/>
            </w:pPr>
            <w:r>
              <w:t>character</w:t>
            </w:r>
          </w:p>
        </w:tc>
        <w:tc>
          <w:tcPr>
            <w:tcW w:w="0" w:type="auto"/>
            <w:vAlign w:val="center"/>
          </w:tcPr>
          <w:p w:rsidR="005F78FC" w:rsidRDefault="00B42EF3">
            <w:pPr>
              <w:pStyle w:val="TableBodyText"/>
            </w:pPr>
            <w:r>
              <w:t>156</w:t>
            </w:r>
          </w:p>
        </w:tc>
      </w:tr>
      <w:tr w:rsidR="005F78FC" w:rsidTr="005F78FC">
        <w:tc>
          <w:tcPr>
            <w:tcW w:w="0" w:type="auto"/>
            <w:vAlign w:val="center"/>
          </w:tcPr>
          <w:p w:rsidR="005F78FC" w:rsidRDefault="00B42EF3">
            <w:pPr>
              <w:pStyle w:val="TableBodyText"/>
            </w:pPr>
            <w:r>
              <w:t>Plain Text</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90</w:t>
            </w:r>
          </w:p>
        </w:tc>
      </w:tr>
      <w:tr w:rsidR="005F78FC" w:rsidTr="005F78FC">
        <w:tc>
          <w:tcPr>
            <w:tcW w:w="0" w:type="auto"/>
            <w:vAlign w:val="center"/>
          </w:tcPr>
          <w:p w:rsidR="005F78FC" w:rsidRDefault="00B42EF3">
            <w:pPr>
              <w:pStyle w:val="TableBodyText"/>
            </w:pPr>
            <w:r>
              <w:t>Quote</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180</w:t>
            </w:r>
          </w:p>
        </w:tc>
      </w:tr>
      <w:tr w:rsidR="005F78FC" w:rsidTr="005F78FC">
        <w:tc>
          <w:tcPr>
            <w:tcW w:w="0" w:type="auto"/>
            <w:vAlign w:val="center"/>
          </w:tcPr>
          <w:p w:rsidR="005F78FC" w:rsidRDefault="00B42EF3">
            <w:pPr>
              <w:pStyle w:val="TableBodyText"/>
            </w:pPr>
            <w:r>
              <w:t>Revision</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178</w:t>
            </w:r>
          </w:p>
        </w:tc>
      </w:tr>
      <w:tr w:rsidR="005F78FC" w:rsidTr="005F78FC">
        <w:tc>
          <w:tcPr>
            <w:tcW w:w="0" w:type="auto"/>
            <w:vAlign w:val="center"/>
          </w:tcPr>
          <w:p w:rsidR="005F78FC" w:rsidRDefault="00B42EF3">
            <w:pPr>
              <w:pStyle w:val="TableBodyText"/>
            </w:pPr>
            <w:r>
              <w:t>Salutation</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75</w:t>
            </w:r>
          </w:p>
        </w:tc>
      </w:tr>
      <w:tr w:rsidR="005F78FC" w:rsidTr="005F78FC">
        <w:tc>
          <w:tcPr>
            <w:tcW w:w="0" w:type="auto"/>
            <w:vAlign w:val="center"/>
          </w:tcPr>
          <w:p w:rsidR="005F78FC" w:rsidRDefault="00B42EF3">
            <w:pPr>
              <w:pStyle w:val="TableBodyText"/>
            </w:pPr>
            <w:r>
              <w:t>Signature</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64</w:t>
            </w:r>
          </w:p>
        </w:tc>
      </w:tr>
      <w:tr w:rsidR="005F78FC" w:rsidTr="005F78FC">
        <w:tc>
          <w:tcPr>
            <w:tcW w:w="0" w:type="auto"/>
            <w:vAlign w:val="center"/>
          </w:tcPr>
          <w:p w:rsidR="005F78FC" w:rsidRDefault="00B42EF3">
            <w:pPr>
              <w:pStyle w:val="TableBodyText"/>
            </w:pPr>
            <w:r>
              <w:t>Strong</w:t>
            </w:r>
          </w:p>
        </w:tc>
        <w:tc>
          <w:tcPr>
            <w:tcW w:w="0" w:type="auto"/>
            <w:vAlign w:val="center"/>
          </w:tcPr>
          <w:p w:rsidR="005F78FC" w:rsidRDefault="00B42EF3">
            <w:pPr>
              <w:pStyle w:val="TableBodyText"/>
            </w:pPr>
            <w:r>
              <w:t>character</w:t>
            </w:r>
          </w:p>
        </w:tc>
        <w:tc>
          <w:tcPr>
            <w:tcW w:w="0" w:type="auto"/>
            <w:vAlign w:val="center"/>
          </w:tcPr>
          <w:p w:rsidR="005F78FC" w:rsidRDefault="00B42EF3">
            <w:pPr>
              <w:pStyle w:val="TableBodyText"/>
            </w:pPr>
            <w:r>
              <w:t>87</w:t>
            </w:r>
          </w:p>
        </w:tc>
      </w:tr>
      <w:tr w:rsidR="005F78FC" w:rsidTr="005F78FC">
        <w:tc>
          <w:tcPr>
            <w:tcW w:w="0" w:type="auto"/>
            <w:vAlign w:val="center"/>
          </w:tcPr>
          <w:p w:rsidR="005F78FC" w:rsidRDefault="00B42EF3">
            <w:pPr>
              <w:pStyle w:val="TableBodyText"/>
            </w:pPr>
            <w:r>
              <w:t>Subtitle</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74</w:t>
            </w:r>
          </w:p>
        </w:tc>
      </w:tr>
      <w:tr w:rsidR="005F78FC" w:rsidTr="005F78FC">
        <w:tc>
          <w:tcPr>
            <w:tcW w:w="0" w:type="auto"/>
            <w:vAlign w:val="center"/>
          </w:tcPr>
          <w:p w:rsidR="005F78FC" w:rsidRDefault="00B42EF3">
            <w:pPr>
              <w:pStyle w:val="TableBodyText"/>
            </w:pPr>
            <w:r>
              <w:lastRenderedPageBreak/>
              <w:t>Subtle Emphasis</w:t>
            </w:r>
          </w:p>
        </w:tc>
        <w:tc>
          <w:tcPr>
            <w:tcW w:w="0" w:type="auto"/>
            <w:vAlign w:val="center"/>
          </w:tcPr>
          <w:p w:rsidR="005F78FC" w:rsidRDefault="00B42EF3">
            <w:pPr>
              <w:pStyle w:val="TableBodyText"/>
            </w:pPr>
            <w:r>
              <w:t>character</w:t>
            </w:r>
          </w:p>
        </w:tc>
        <w:tc>
          <w:tcPr>
            <w:tcW w:w="0" w:type="auto"/>
            <w:vAlign w:val="center"/>
          </w:tcPr>
          <w:p w:rsidR="005F78FC" w:rsidRDefault="00B42EF3">
            <w:pPr>
              <w:pStyle w:val="TableBodyText"/>
            </w:pPr>
            <w:r>
              <w:t>260</w:t>
            </w:r>
          </w:p>
        </w:tc>
      </w:tr>
      <w:tr w:rsidR="005F78FC" w:rsidTr="005F78FC">
        <w:tc>
          <w:tcPr>
            <w:tcW w:w="0" w:type="auto"/>
            <w:vAlign w:val="center"/>
          </w:tcPr>
          <w:p w:rsidR="005F78FC" w:rsidRDefault="00B42EF3">
            <w:pPr>
              <w:pStyle w:val="TableBodyText"/>
            </w:pPr>
            <w:r>
              <w:t>Subtle Reference</w:t>
            </w:r>
          </w:p>
        </w:tc>
        <w:tc>
          <w:tcPr>
            <w:tcW w:w="0" w:type="auto"/>
            <w:vAlign w:val="center"/>
          </w:tcPr>
          <w:p w:rsidR="005F78FC" w:rsidRDefault="00B42EF3">
            <w:pPr>
              <w:pStyle w:val="TableBodyText"/>
            </w:pPr>
            <w:r>
              <w:t>character</w:t>
            </w:r>
          </w:p>
        </w:tc>
        <w:tc>
          <w:tcPr>
            <w:tcW w:w="0" w:type="auto"/>
            <w:vAlign w:val="center"/>
          </w:tcPr>
          <w:p w:rsidR="005F78FC" w:rsidRDefault="00B42EF3">
            <w:pPr>
              <w:pStyle w:val="TableBodyText"/>
            </w:pPr>
            <w:r>
              <w:t>262</w:t>
            </w:r>
          </w:p>
        </w:tc>
      </w:tr>
      <w:tr w:rsidR="005F78FC" w:rsidTr="005F78FC">
        <w:tc>
          <w:tcPr>
            <w:tcW w:w="0" w:type="auto"/>
            <w:vAlign w:val="center"/>
          </w:tcPr>
          <w:p w:rsidR="005F78FC" w:rsidRDefault="00B42EF3">
            <w:pPr>
              <w:pStyle w:val="TableBodyText"/>
            </w:pPr>
            <w:r>
              <w:t>Table 3D effects 1</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142</w:t>
            </w:r>
          </w:p>
        </w:tc>
      </w:tr>
      <w:tr w:rsidR="005F78FC" w:rsidTr="005F78FC">
        <w:tc>
          <w:tcPr>
            <w:tcW w:w="0" w:type="auto"/>
            <w:vAlign w:val="center"/>
          </w:tcPr>
          <w:p w:rsidR="005F78FC" w:rsidRDefault="00B42EF3">
            <w:pPr>
              <w:pStyle w:val="TableBodyText"/>
            </w:pPr>
            <w:r>
              <w:t>Table 3D effects 2</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143</w:t>
            </w:r>
          </w:p>
        </w:tc>
      </w:tr>
      <w:tr w:rsidR="005F78FC" w:rsidTr="005F78FC">
        <w:tc>
          <w:tcPr>
            <w:tcW w:w="0" w:type="auto"/>
            <w:vAlign w:val="center"/>
          </w:tcPr>
          <w:p w:rsidR="005F78FC" w:rsidRDefault="00B42EF3">
            <w:pPr>
              <w:pStyle w:val="TableBodyText"/>
            </w:pPr>
            <w:r>
              <w:t>Table 3D effects 3</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144</w:t>
            </w:r>
          </w:p>
        </w:tc>
      </w:tr>
      <w:tr w:rsidR="005F78FC" w:rsidTr="005F78FC">
        <w:tc>
          <w:tcPr>
            <w:tcW w:w="0" w:type="auto"/>
            <w:vAlign w:val="center"/>
          </w:tcPr>
          <w:p w:rsidR="005F78FC" w:rsidRDefault="00B42EF3">
            <w:pPr>
              <w:pStyle w:val="TableBodyText"/>
            </w:pPr>
            <w:r>
              <w:t>Table Classic 1</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114</w:t>
            </w:r>
          </w:p>
        </w:tc>
      </w:tr>
      <w:tr w:rsidR="005F78FC" w:rsidTr="005F78FC">
        <w:tc>
          <w:tcPr>
            <w:tcW w:w="0" w:type="auto"/>
            <w:vAlign w:val="center"/>
          </w:tcPr>
          <w:p w:rsidR="005F78FC" w:rsidRDefault="00B42EF3">
            <w:pPr>
              <w:pStyle w:val="TableBodyText"/>
            </w:pPr>
            <w:r>
              <w:t>Table Classic 2</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115</w:t>
            </w:r>
          </w:p>
        </w:tc>
      </w:tr>
      <w:tr w:rsidR="005F78FC" w:rsidTr="005F78FC">
        <w:tc>
          <w:tcPr>
            <w:tcW w:w="0" w:type="auto"/>
            <w:vAlign w:val="center"/>
          </w:tcPr>
          <w:p w:rsidR="005F78FC" w:rsidRDefault="00B42EF3">
            <w:pPr>
              <w:pStyle w:val="TableBodyText"/>
            </w:pPr>
            <w:r>
              <w:t>Table Classic 3</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116</w:t>
            </w:r>
          </w:p>
        </w:tc>
      </w:tr>
      <w:tr w:rsidR="005F78FC" w:rsidTr="005F78FC">
        <w:tc>
          <w:tcPr>
            <w:tcW w:w="0" w:type="auto"/>
            <w:vAlign w:val="center"/>
          </w:tcPr>
          <w:p w:rsidR="005F78FC" w:rsidRDefault="00B42EF3">
            <w:pPr>
              <w:pStyle w:val="TableBodyText"/>
            </w:pPr>
            <w:r>
              <w:t xml:space="preserve">Table </w:t>
            </w:r>
            <w:r>
              <w:t>Classic 4</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117</w:t>
            </w:r>
          </w:p>
        </w:tc>
      </w:tr>
      <w:tr w:rsidR="005F78FC" w:rsidTr="005F78FC">
        <w:tc>
          <w:tcPr>
            <w:tcW w:w="0" w:type="auto"/>
            <w:vAlign w:val="center"/>
          </w:tcPr>
          <w:p w:rsidR="005F78FC" w:rsidRDefault="00B42EF3">
            <w:pPr>
              <w:pStyle w:val="TableBodyText"/>
            </w:pPr>
            <w:r>
              <w:t>Table Colorful 1</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118</w:t>
            </w:r>
          </w:p>
        </w:tc>
      </w:tr>
      <w:tr w:rsidR="005F78FC" w:rsidTr="005F78FC">
        <w:tc>
          <w:tcPr>
            <w:tcW w:w="0" w:type="auto"/>
            <w:vAlign w:val="center"/>
          </w:tcPr>
          <w:p w:rsidR="005F78FC" w:rsidRDefault="00B42EF3">
            <w:pPr>
              <w:pStyle w:val="TableBodyText"/>
            </w:pPr>
            <w:r>
              <w:t>Table Colorful 2</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119</w:t>
            </w:r>
          </w:p>
        </w:tc>
      </w:tr>
      <w:tr w:rsidR="005F78FC" w:rsidTr="005F78FC">
        <w:tc>
          <w:tcPr>
            <w:tcW w:w="0" w:type="auto"/>
            <w:vAlign w:val="center"/>
          </w:tcPr>
          <w:p w:rsidR="005F78FC" w:rsidRDefault="00B42EF3">
            <w:pPr>
              <w:pStyle w:val="TableBodyText"/>
            </w:pPr>
            <w:r>
              <w:t>Table Colorful 3</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120</w:t>
            </w:r>
          </w:p>
        </w:tc>
      </w:tr>
      <w:tr w:rsidR="005F78FC" w:rsidTr="005F78FC">
        <w:tc>
          <w:tcPr>
            <w:tcW w:w="0" w:type="auto"/>
            <w:vAlign w:val="center"/>
          </w:tcPr>
          <w:p w:rsidR="005F78FC" w:rsidRDefault="00B42EF3">
            <w:pPr>
              <w:pStyle w:val="TableBodyText"/>
            </w:pPr>
            <w:r>
              <w:t>Table Columns 1</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121</w:t>
            </w:r>
          </w:p>
        </w:tc>
      </w:tr>
      <w:tr w:rsidR="005F78FC" w:rsidTr="005F78FC">
        <w:tc>
          <w:tcPr>
            <w:tcW w:w="0" w:type="auto"/>
            <w:vAlign w:val="center"/>
          </w:tcPr>
          <w:p w:rsidR="005F78FC" w:rsidRDefault="00B42EF3">
            <w:pPr>
              <w:pStyle w:val="TableBodyText"/>
            </w:pPr>
            <w:r>
              <w:t>Table Columns 2</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122</w:t>
            </w:r>
          </w:p>
        </w:tc>
      </w:tr>
      <w:tr w:rsidR="005F78FC" w:rsidTr="005F78FC">
        <w:tc>
          <w:tcPr>
            <w:tcW w:w="0" w:type="auto"/>
            <w:vAlign w:val="center"/>
          </w:tcPr>
          <w:p w:rsidR="005F78FC" w:rsidRDefault="00B42EF3">
            <w:pPr>
              <w:pStyle w:val="TableBodyText"/>
            </w:pPr>
            <w:r>
              <w:t>Table Columns 3</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123</w:t>
            </w:r>
          </w:p>
        </w:tc>
      </w:tr>
      <w:tr w:rsidR="005F78FC" w:rsidTr="005F78FC">
        <w:tc>
          <w:tcPr>
            <w:tcW w:w="0" w:type="auto"/>
            <w:vAlign w:val="center"/>
          </w:tcPr>
          <w:p w:rsidR="005F78FC" w:rsidRDefault="00B42EF3">
            <w:pPr>
              <w:pStyle w:val="TableBodyText"/>
            </w:pPr>
            <w:r>
              <w:t>Table Columns 4</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124</w:t>
            </w:r>
          </w:p>
        </w:tc>
      </w:tr>
      <w:tr w:rsidR="005F78FC" w:rsidTr="005F78FC">
        <w:tc>
          <w:tcPr>
            <w:tcW w:w="0" w:type="auto"/>
            <w:vAlign w:val="center"/>
          </w:tcPr>
          <w:p w:rsidR="005F78FC" w:rsidRDefault="00B42EF3">
            <w:pPr>
              <w:pStyle w:val="TableBodyText"/>
            </w:pPr>
            <w:r>
              <w:t>Table Columns 5</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125</w:t>
            </w:r>
          </w:p>
        </w:tc>
      </w:tr>
      <w:tr w:rsidR="005F78FC" w:rsidTr="005F78FC">
        <w:tc>
          <w:tcPr>
            <w:tcW w:w="0" w:type="auto"/>
            <w:vAlign w:val="center"/>
          </w:tcPr>
          <w:p w:rsidR="005F78FC" w:rsidRDefault="00B42EF3">
            <w:pPr>
              <w:pStyle w:val="TableBodyText"/>
            </w:pPr>
            <w:r>
              <w:t xml:space="preserve">Table </w:t>
            </w:r>
            <w:r>
              <w:t>Contemporary</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145</w:t>
            </w:r>
          </w:p>
        </w:tc>
      </w:tr>
      <w:tr w:rsidR="005F78FC" w:rsidTr="005F78FC">
        <w:tc>
          <w:tcPr>
            <w:tcW w:w="0" w:type="auto"/>
            <w:vAlign w:val="center"/>
          </w:tcPr>
          <w:p w:rsidR="005F78FC" w:rsidRDefault="00B42EF3">
            <w:pPr>
              <w:pStyle w:val="TableBodyText"/>
            </w:pPr>
            <w:r>
              <w:t>Table Elegant</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146</w:t>
            </w:r>
          </w:p>
        </w:tc>
      </w:tr>
      <w:tr w:rsidR="005F78FC" w:rsidTr="005F78FC">
        <w:tc>
          <w:tcPr>
            <w:tcW w:w="0" w:type="auto"/>
            <w:vAlign w:val="center"/>
          </w:tcPr>
          <w:p w:rsidR="005F78FC" w:rsidRDefault="00B42EF3">
            <w:pPr>
              <w:pStyle w:val="TableBodyText"/>
            </w:pPr>
            <w:r>
              <w:t>Table Grid</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154</w:t>
            </w:r>
          </w:p>
        </w:tc>
      </w:tr>
      <w:tr w:rsidR="005F78FC" w:rsidTr="005F78FC">
        <w:tc>
          <w:tcPr>
            <w:tcW w:w="0" w:type="auto"/>
            <w:vAlign w:val="center"/>
          </w:tcPr>
          <w:p w:rsidR="005F78FC" w:rsidRDefault="00B42EF3">
            <w:pPr>
              <w:pStyle w:val="TableBodyText"/>
            </w:pPr>
            <w:r>
              <w:t>Table Grid 1</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126</w:t>
            </w:r>
          </w:p>
        </w:tc>
      </w:tr>
      <w:tr w:rsidR="005F78FC" w:rsidTr="005F78FC">
        <w:tc>
          <w:tcPr>
            <w:tcW w:w="0" w:type="auto"/>
            <w:vAlign w:val="center"/>
          </w:tcPr>
          <w:p w:rsidR="005F78FC" w:rsidRDefault="00B42EF3">
            <w:pPr>
              <w:pStyle w:val="TableBodyText"/>
            </w:pPr>
            <w:r>
              <w:t>Table Grid 2</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127</w:t>
            </w:r>
          </w:p>
        </w:tc>
      </w:tr>
      <w:tr w:rsidR="005F78FC" w:rsidTr="005F78FC">
        <w:tc>
          <w:tcPr>
            <w:tcW w:w="0" w:type="auto"/>
            <w:vAlign w:val="center"/>
          </w:tcPr>
          <w:p w:rsidR="005F78FC" w:rsidRDefault="00B42EF3">
            <w:pPr>
              <w:pStyle w:val="TableBodyText"/>
            </w:pPr>
            <w:r>
              <w:t>Table Grid 3</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128</w:t>
            </w:r>
          </w:p>
        </w:tc>
      </w:tr>
      <w:tr w:rsidR="005F78FC" w:rsidTr="005F78FC">
        <w:tc>
          <w:tcPr>
            <w:tcW w:w="0" w:type="auto"/>
            <w:vAlign w:val="center"/>
          </w:tcPr>
          <w:p w:rsidR="005F78FC" w:rsidRDefault="00B42EF3">
            <w:pPr>
              <w:pStyle w:val="TableBodyText"/>
            </w:pPr>
            <w:r>
              <w:t>Table Grid 4</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129</w:t>
            </w:r>
          </w:p>
        </w:tc>
      </w:tr>
      <w:tr w:rsidR="005F78FC" w:rsidTr="005F78FC">
        <w:tc>
          <w:tcPr>
            <w:tcW w:w="0" w:type="auto"/>
            <w:vAlign w:val="center"/>
          </w:tcPr>
          <w:p w:rsidR="005F78FC" w:rsidRDefault="00B42EF3">
            <w:pPr>
              <w:pStyle w:val="TableBodyText"/>
            </w:pPr>
            <w:r>
              <w:t>Table Grid 5</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130</w:t>
            </w:r>
          </w:p>
        </w:tc>
      </w:tr>
      <w:tr w:rsidR="005F78FC" w:rsidTr="005F78FC">
        <w:tc>
          <w:tcPr>
            <w:tcW w:w="0" w:type="auto"/>
            <w:vAlign w:val="center"/>
          </w:tcPr>
          <w:p w:rsidR="005F78FC" w:rsidRDefault="00B42EF3">
            <w:pPr>
              <w:pStyle w:val="TableBodyText"/>
            </w:pPr>
            <w:r>
              <w:t>Table Grid 6</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131</w:t>
            </w:r>
          </w:p>
        </w:tc>
      </w:tr>
      <w:tr w:rsidR="005F78FC" w:rsidTr="005F78FC">
        <w:tc>
          <w:tcPr>
            <w:tcW w:w="0" w:type="auto"/>
            <w:vAlign w:val="center"/>
          </w:tcPr>
          <w:p w:rsidR="005F78FC" w:rsidRDefault="00B42EF3">
            <w:pPr>
              <w:pStyle w:val="TableBodyText"/>
            </w:pPr>
            <w:r>
              <w:t>Table Grid 7</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132</w:t>
            </w:r>
          </w:p>
        </w:tc>
      </w:tr>
      <w:tr w:rsidR="005F78FC" w:rsidTr="005F78FC">
        <w:tc>
          <w:tcPr>
            <w:tcW w:w="0" w:type="auto"/>
            <w:vAlign w:val="center"/>
          </w:tcPr>
          <w:p w:rsidR="005F78FC" w:rsidRDefault="00B42EF3">
            <w:pPr>
              <w:pStyle w:val="TableBodyText"/>
            </w:pPr>
            <w:r>
              <w:t>Table Grid 8</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133</w:t>
            </w:r>
          </w:p>
        </w:tc>
      </w:tr>
      <w:tr w:rsidR="005F78FC" w:rsidTr="005F78FC">
        <w:tc>
          <w:tcPr>
            <w:tcW w:w="0" w:type="auto"/>
            <w:vAlign w:val="center"/>
          </w:tcPr>
          <w:p w:rsidR="005F78FC" w:rsidRDefault="00B42EF3">
            <w:pPr>
              <w:pStyle w:val="TableBodyText"/>
            </w:pPr>
            <w:r>
              <w:t>Table List 1</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134</w:t>
            </w:r>
          </w:p>
        </w:tc>
      </w:tr>
      <w:tr w:rsidR="005F78FC" w:rsidTr="005F78FC">
        <w:tc>
          <w:tcPr>
            <w:tcW w:w="0" w:type="auto"/>
            <w:vAlign w:val="center"/>
          </w:tcPr>
          <w:p w:rsidR="005F78FC" w:rsidRDefault="00B42EF3">
            <w:pPr>
              <w:pStyle w:val="TableBodyText"/>
            </w:pPr>
            <w:r>
              <w:t>Table List 2</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135</w:t>
            </w:r>
          </w:p>
        </w:tc>
      </w:tr>
      <w:tr w:rsidR="005F78FC" w:rsidTr="005F78FC">
        <w:tc>
          <w:tcPr>
            <w:tcW w:w="0" w:type="auto"/>
            <w:vAlign w:val="center"/>
          </w:tcPr>
          <w:p w:rsidR="005F78FC" w:rsidRDefault="00B42EF3">
            <w:pPr>
              <w:pStyle w:val="TableBodyText"/>
            </w:pPr>
            <w:r>
              <w:t>Table List 3</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136</w:t>
            </w:r>
          </w:p>
        </w:tc>
      </w:tr>
      <w:tr w:rsidR="005F78FC" w:rsidTr="005F78FC">
        <w:tc>
          <w:tcPr>
            <w:tcW w:w="0" w:type="auto"/>
            <w:vAlign w:val="center"/>
          </w:tcPr>
          <w:p w:rsidR="005F78FC" w:rsidRDefault="00B42EF3">
            <w:pPr>
              <w:pStyle w:val="TableBodyText"/>
            </w:pPr>
            <w:r>
              <w:t>Table List 4</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137</w:t>
            </w:r>
          </w:p>
        </w:tc>
      </w:tr>
      <w:tr w:rsidR="005F78FC" w:rsidTr="005F78FC">
        <w:tc>
          <w:tcPr>
            <w:tcW w:w="0" w:type="auto"/>
            <w:vAlign w:val="center"/>
          </w:tcPr>
          <w:p w:rsidR="005F78FC" w:rsidRDefault="00B42EF3">
            <w:pPr>
              <w:pStyle w:val="TableBodyText"/>
            </w:pPr>
            <w:r>
              <w:lastRenderedPageBreak/>
              <w:t>Table List 5</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138</w:t>
            </w:r>
          </w:p>
        </w:tc>
      </w:tr>
      <w:tr w:rsidR="005F78FC" w:rsidTr="005F78FC">
        <w:tc>
          <w:tcPr>
            <w:tcW w:w="0" w:type="auto"/>
            <w:vAlign w:val="center"/>
          </w:tcPr>
          <w:p w:rsidR="005F78FC" w:rsidRDefault="00B42EF3">
            <w:pPr>
              <w:pStyle w:val="TableBodyText"/>
            </w:pPr>
            <w:r>
              <w:t>Table List 6</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139</w:t>
            </w:r>
          </w:p>
        </w:tc>
      </w:tr>
      <w:tr w:rsidR="005F78FC" w:rsidTr="005F78FC">
        <w:tc>
          <w:tcPr>
            <w:tcW w:w="0" w:type="auto"/>
            <w:vAlign w:val="center"/>
          </w:tcPr>
          <w:p w:rsidR="005F78FC" w:rsidRDefault="00B42EF3">
            <w:pPr>
              <w:pStyle w:val="TableBodyText"/>
            </w:pPr>
            <w:r>
              <w:t>Table List 7</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140</w:t>
            </w:r>
          </w:p>
        </w:tc>
      </w:tr>
      <w:tr w:rsidR="005F78FC" w:rsidTr="005F78FC">
        <w:tc>
          <w:tcPr>
            <w:tcW w:w="0" w:type="auto"/>
            <w:vAlign w:val="center"/>
          </w:tcPr>
          <w:p w:rsidR="005F78FC" w:rsidRDefault="00B42EF3">
            <w:pPr>
              <w:pStyle w:val="TableBodyText"/>
            </w:pPr>
            <w:r>
              <w:t>Table List 8</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141</w:t>
            </w:r>
          </w:p>
        </w:tc>
      </w:tr>
      <w:tr w:rsidR="005F78FC" w:rsidTr="005F78FC">
        <w:tc>
          <w:tcPr>
            <w:tcW w:w="0" w:type="auto"/>
            <w:vAlign w:val="center"/>
          </w:tcPr>
          <w:p w:rsidR="005F78FC" w:rsidRDefault="00B42EF3">
            <w:pPr>
              <w:pStyle w:val="TableBodyText"/>
            </w:pPr>
            <w:r>
              <w:t>table of authorities</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44</w:t>
            </w:r>
          </w:p>
        </w:tc>
      </w:tr>
      <w:tr w:rsidR="005F78FC" w:rsidTr="005F78FC">
        <w:tc>
          <w:tcPr>
            <w:tcW w:w="0" w:type="auto"/>
            <w:vAlign w:val="center"/>
          </w:tcPr>
          <w:p w:rsidR="005F78FC" w:rsidRDefault="00B42EF3">
            <w:pPr>
              <w:pStyle w:val="TableBodyText"/>
            </w:pPr>
            <w:r>
              <w:t>table of figures</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35</w:t>
            </w:r>
          </w:p>
        </w:tc>
      </w:tr>
      <w:tr w:rsidR="005F78FC" w:rsidTr="005F78FC">
        <w:tc>
          <w:tcPr>
            <w:tcW w:w="0" w:type="auto"/>
            <w:vAlign w:val="center"/>
          </w:tcPr>
          <w:p w:rsidR="005F78FC" w:rsidRDefault="00B42EF3">
            <w:pPr>
              <w:pStyle w:val="TableBodyText"/>
            </w:pPr>
            <w:r>
              <w:t>Table Professional</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147</w:t>
            </w:r>
          </w:p>
        </w:tc>
      </w:tr>
      <w:tr w:rsidR="005F78FC" w:rsidTr="005F78FC">
        <w:tc>
          <w:tcPr>
            <w:tcW w:w="0" w:type="auto"/>
            <w:vAlign w:val="center"/>
          </w:tcPr>
          <w:p w:rsidR="005F78FC" w:rsidRDefault="00B42EF3">
            <w:pPr>
              <w:pStyle w:val="TableBodyText"/>
            </w:pPr>
            <w:r>
              <w:t>Table Simple 1</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111</w:t>
            </w:r>
          </w:p>
        </w:tc>
      </w:tr>
      <w:tr w:rsidR="005F78FC" w:rsidTr="005F78FC">
        <w:tc>
          <w:tcPr>
            <w:tcW w:w="0" w:type="auto"/>
            <w:vAlign w:val="center"/>
          </w:tcPr>
          <w:p w:rsidR="005F78FC" w:rsidRDefault="00B42EF3">
            <w:pPr>
              <w:pStyle w:val="TableBodyText"/>
            </w:pPr>
            <w:r>
              <w:t>Table Simple 2</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112</w:t>
            </w:r>
          </w:p>
        </w:tc>
      </w:tr>
      <w:tr w:rsidR="005F78FC" w:rsidTr="005F78FC">
        <w:tc>
          <w:tcPr>
            <w:tcW w:w="0" w:type="auto"/>
            <w:vAlign w:val="center"/>
          </w:tcPr>
          <w:p w:rsidR="005F78FC" w:rsidRDefault="00B42EF3">
            <w:pPr>
              <w:pStyle w:val="TableBodyText"/>
            </w:pPr>
            <w:r>
              <w:t>Table Simple 3</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113</w:t>
            </w:r>
          </w:p>
        </w:tc>
      </w:tr>
      <w:tr w:rsidR="005F78FC" w:rsidTr="005F78FC">
        <w:tc>
          <w:tcPr>
            <w:tcW w:w="0" w:type="auto"/>
            <w:vAlign w:val="center"/>
          </w:tcPr>
          <w:p w:rsidR="005F78FC" w:rsidRDefault="00B42EF3">
            <w:pPr>
              <w:pStyle w:val="TableBodyText"/>
            </w:pPr>
            <w:r>
              <w:t>Table Subtle 1</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148</w:t>
            </w:r>
          </w:p>
        </w:tc>
      </w:tr>
      <w:tr w:rsidR="005F78FC" w:rsidTr="005F78FC">
        <w:tc>
          <w:tcPr>
            <w:tcW w:w="0" w:type="auto"/>
            <w:vAlign w:val="center"/>
          </w:tcPr>
          <w:p w:rsidR="005F78FC" w:rsidRDefault="00B42EF3">
            <w:pPr>
              <w:pStyle w:val="TableBodyText"/>
            </w:pPr>
            <w:r>
              <w:t>Table Subtle 2</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149</w:t>
            </w:r>
          </w:p>
        </w:tc>
      </w:tr>
      <w:tr w:rsidR="005F78FC" w:rsidTr="005F78FC">
        <w:tc>
          <w:tcPr>
            <w:tcW w:w="0" w:type="auto"/>
            <w:vAlign w:val="center"/>
          </w:tcPr>
          <w:p w:rsidR="005F78FC" w:rsidRDefault="00B42EF3">
            <w:pPr>
              <w:pStyle w:val="TableBodyText"/>
            </w:pPr>
            <w:r>
              <w:t>Table Theme</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155</w:t>
            </w:r>
          </w:p>
        </w:tc>
      </w:tr>
      <w:tr w:rsidR="005F78FC" w:rsidTr="005F78FC">
        <w:tc>
          <w:tcPr>
            <w:tcW w:w="0" w:type="auto"/>
            <w:vAlign w:val="center"/>
          </w:tcPr>
          <w:p w:rsidR="005F78FC" w:rsidRDefault="00B42EF3">
            <w:pPr>
              <w:pStyle w:val="TableBodyText"/>
            </w:pPr>
            <w:r>
              <w:t>Table Web 1</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150</w:t>
            </w:r>
          </w:p>
        </w:tc>
      </w:tr>
      <w:tr w:rsidR="005F78FC" w:rsidTr="005F78FC">
        <w:tc>
          <w:tcPr>
            <w:tcW w:w="0" w:type="auto"/>
            <w:vAlign w:val="center"/>
          </w:tcPr>
          <w:p w:rsidR="005F78FC" w:rsidRDefault="00B42EF3">
            <w:pPr>
              <w:pStyle w:val="TableBodyText"/>
            </w:pPr>
            <w:r>
              <w:t>Table Web 2</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151</w:t>
            </w:r>
          </w:p>
        </w:tc>
      </w:tr>
      <w:tr w:rsidR="005F78FC" w:rsidTr="005F78FC">
        <w:tc>
          <w:tcPr>
            <w:tcW w:w="0" w:type="auto"/>
            <w:vAlign w:val="center"/>
          </w:tcPr>
          <w:p w:rsidR="005F78FC" w:rsidRDefault="00B42EF3">
            <w:pPr>
              <w:pStyle w:val="TableBodyText"/>
            </w:pPr>
            <w:r>
              <w:t>Table Web 3</w:t>
            </w:r>
          </w:p>
        </w:tc>
        <w:tc>
          <w:tcPr>
            <w:tcW w:w="0" w:type="auto"/>
            <w:vAlign w:val="center"/>
          </w:tcPr>
          <w:p w:rsidR="005F78FC" w:rsidRDefault="00B42EF3">
            <w:pPr>
              <w:pStyle w:val="TableBodyText"/>
            </w:pPr>
            <w:r>
              <w:t>table</w:t>
            </w:r>
          </w:p>
        </w:tc>
        <w:tc>
          <w:tcPr>
            <w:tcW w:w="0" w:type="auto"/>
            <w:vAlign w:val="center"/>
          </w:tcPr>
          <w:p w:rsidR="005F78FC" w:rsidRDefault="00B42EF3">
            <w:pPr>
              <w:pStyle w:val="TableBodyText"/>
            </w:pPr>
            <w:r>
              <w:t>152</w:t>
            </w:r>
          </w:p>
        </w:tc>
      </w:tr>
      <w:tr w:rsidR="005F78FC" w:rsidTr="005F78FC">
        <w:tc>
          <w:tcPr>
            <w:tcW w:w="0" w:type="auto"/>
            <w:vAlign w:val="center"/>
          </w:tcPr>
          <w:p w:rsidR="005F78FC" w:rsidRDefault="00B42EF3">
            <w:pPr>
              <w:pStyle w:val="TableBodyText"/>
            </w:pPr>
            <w:r>
              <w:t>Title</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62</w:t>
            </w:r>
          </w:p>
        </w:tc>
      </w:tr>
      <w:tr w:rsidR="005F78FC" w:rsidTr="005F78FC">
        <w:tc>
          <w:tcPr>
            <w:tcW w:w="0" w:type="auto"/>
            <w:vAlign w:val="center"/>
          </w:tcPr>
          <w:p w:rsidR="005F78FC" w:rsidRDefault="00B42EF3">
            <w:pPr>
              <w:pStyle w:val="TableBodyText"/>
            </w:pPr>
            <w:r>
              <w:t>toa heading</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46</w:t>
            </w:r>
          </w:p>
        </w:tc>
      </w:tr>
      <w:tr w:rsidR="005F78FC" w:rsidTr="005F78FC">
        <w:tc>
          <w:tcPr>
            <w:tcW w:w="0" w:type="auto"/>
            <w:vAlign w:val="center"/>
          </w:tcPr>
          <w:p w:rsidR="005F78FC" w:rsidRDefault="00B42EF3">
            <w:pPr>
              <w:pStyle w:val="TableBodyText"/>
            </w:pPr>
            <w:r>
              <w:t>toc 1</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19</w:t>
            </w:r>
          </w:p>
        </w:tc>
      </w:tr>
      <w:tr w:rsidR="005F78FC" w:rsidTr="005F78FC">
        <w:tc>
          <w:tcPr>
            <w:tcW w:w="0" w:type="auto"/>
            <w:vAlign w:val="center"/>
          </w:tcPr>
          <w:p w:rsidR="005F78FC" w:rsidRDefault="00B42EF3">
            <w:pPr>
              <w:pStyle w:val="TableBodyText"/>
            </w:pPr>
            <w:r>
              <w:t>toc 2</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20</w:t>
            </w:r>
          </w:p>
        </w:tc>
      </w:tr>
      <w:tr w:rsidR="005F78FC" w:rsidTr="005F78FC">
        <w:tc>
          <w:tcPr>
            <w:tcW w:w="0" w:type="auto"/>
            <w:vAlign w:val="center"/>
          </w:tcPr>
          <w:p w:rsidR="005F78FC" w:rsidRDefault="00B42EF3">
            <w:pPr>
              <w:pStyle w:val="TableBodyText"/>
            </w:pPr>
            <w:r>
              <w:t>toc 3</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21</w:t>
            </w:r>
          </w:p>
        </w:tc>
      </w:tr>
      <w:tr w:rsidR="005F78FC" w:rsidTr="005F78FC">
        <w:tc>
          <w:tcPr>
            <w:tcW w:w="0" w:type="auto"/>
            <w:vAlign w:val="center"/>
          </w:tcPr>
          <w:p w:rsidR="005F78FC" w:rsidRDefault="00B42EF3">
            <w:pPr>
              <w:pStyle w:val="TableBodyText"/>
            </w:pPr>
            <w:r>
              <w:t>toc 4</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22</w:t>
            </w:r>
          </w:p>
        </w:tc>
      </w:tr>
      <w:tr w:rsidR="005F78FC" w:rsidTr="005F78FC">
        <w:tc>
          <w:tcPr>
            <w:tcW w:w="0" w:type="auto"/>
            <w:vAlign w:val="center"/>
          </w:tcPr>
          <w:p w:rsidR="005F78FC" w:rsidRDefault="00B42EF3">
            <w:pPr>
              <w:pStyle w:val="TableBodyText"/>
            </w:pPr>
            <w:r>
              <w:t>toc 5</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23</w:t>
            </w:r>
          </w:p>
        </w:tc>
      </w:tr>
      <w:tr w:rsidR="005F78FC" w:rsidTr="005F78FC">
        <w:tc>
          <w:tcPr>
            <w:tcW w:w="0" w:type="auto"/>
            <w:vAlign w:val="center"/>
          </w:tcPr>
          <w:p w:rsidR="005F78FC" w:rsidRDefault="00B42EF3">
            <w:pPr>
              <w:pStyle w:val="TableBodyText"/>
            </w:pPr>
            <w:r>
              <w:t>toc 6</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24</w:t>
            </w:r>
          </w:p>
        </w:tc>
      </w:tr>
      <w:tr w:rsidR="005F78FC" w:rsidTr="005F78FC">
        <w:tc>
          <w:tcPr>
            <w:tcW w:w="0" w:type="auto"/>
            <w:vAlign w:val="center"/>
          </w:tcPr>
          <w:p w:rsidR="005F78FC" w:rsidRDefault="00B42EF3">
            <w:pPr>
              <w:pStyle w:val="TableBodyText"/>
            </w:pPr>
            <w:r>
              <w:t>toc 7</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25</w:t>
            </w:r>
          </w:p>
        </w:tc>
      </w:tr>
      <w:tr w:rsidR="005F78FC" w:rsidTr="005F78FC">
        <w:tc>
          <w:tcPr>
            <w:tcW w:w="0" w:type="auto"/>
            <w:vAlign w:val="center"/>
          </w:tcPr>
          <w:p w:rsidR="005F78FC" w:rsidRDefault="00B42EF3">
            <w:pPr>
              <w:pStyle w:val="TableBodyText"/>
            </w:pPr>
            <w:r>
              <w:t>toc 8</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26</w:t>
            </w:r>
          </w:p>
        </w:tc>
      </w:tr>
      <w:tr w:rsidR="005F78FC" w:rsidTr="005F78FC">
        <w:tc>
          <w:tcPr>
            <w:tcW w:w="0" w:type="auto"/>
            <w:vAlign w:val="center"/>
          </w:tcPr>
          <w:p w:rsidR="005F78FC" w:rsidRDefault="00B42EF3">
            <w:pPr>
              <w:pStyle w:val="TableBodyText"/>
            </w:pPr>
            <w:r>
              <w:t>toc 9</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27</w:t>
            </w:r>
          </w:p>
        </w:tc>
      </w:tr>
      <w:tr w:rsidR="005F78FC" w:rsidTr="005F78FC">
        <w:tc>
          <w:tcPr>
            <w:tcW w:w="0" w:type="auto"/>
            <w:vAlign w:val="center"/>
          </w:tcPr>
          <w:p w:rsidR="005F78FC" w:rsidRDefault="00B42EF3">
            <w:pPr>
              <w:pStyle w:val="TableBodyText"/>
            </w:pPr>
            <w:r>
              <w:t>TOC Heading</w:t>
            </w:r>
          </w:p>
        </w:tc>
        <w:tc>
          <w:tcPr>
            <w:tcW w:w="0" w:type="auto"/>
            <w:vAlign w:val="center"/>
          </w:tcPr>
          <w:p w:rsidR="005F78FC" w:rsidRDefault="00B42EF3">
            <w:pPr>
              <w:pStyle w:val="TableBodyText"/>
            </w:pPr>
            <w:r>
              <w:t>paragraph</w:t>
            </w:r>
          </w:p>
        </w:tc>
        <w:tc>
          <w:tcPr>
            <w:tcW w:w="0" w:type="auto"/>
            <w:vAlign w:val="center"/>
          </w:tcPr>
          <w:p w:rsidR="005F78FC" w:rsidRDefault="00B42EF3">
            <w:pPr>
              <w:pStyle w:val="TableBodyText"/>
            </w:pPr>
            <w:r>
              <w:t>266</w:t>
            </w:r>
          </w:p>
        </w:tc>
      </w:tr>
    </w:tbl>
    <w:p w:rsidR="005F78FC" w:rsidRDefault="005F78FC"/>
    <w:p w:rsidR="005F78FC" w:rsidRDefault="00B42EF3">
      <w:pPr>
        <w:pStyle w:val="Heading3"/>
      </w:pPr>
      <w:bookmarkStart w:id="496" w:name="section_dd6e5f4e0b3a4d329ca1f6d5a8c1b41b"/>
      <w:bookmarkStart w:id="497" w:name="_Toc69878021"/>
      <w:r>
        <w:t>Part 1 Section 17.7.4.10, next (Style For Next Paragraph)</w:t>
      </w:r>
      <w:bookmarkEnd w:id="496"/>
      <w:bookmarkEnd w:id="497"/>
      <w:r>
        <w:fldChar w:fldCharType="begin"/>
      </w:r>
      <w:r>
        <w:instrText xml:space="preserve"> XE "next (Style For Next Paragraph)"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5F78FC" w:rsidRDefault="00B42EF3">
      <w:pPr>
        <w:pStyle w:val="Definition-Field"/>
      </w:pPr>
      <w:r>
        <w:lastRenderedPageBreak/>
        <w:t xml:space="preserve">a.   </w:t>
      </w:r>
      <w:r>
        <w:rPr>
          <w:i/>
        </w:rPr>
        <w:t>The standard does not limit the length of the value of the val attribute.</w:t>
      </w:r>
    </w:p>
    <w:p w:rsidR="005F78FC" w:rsidRDefault="00B42EF3">
      <w:pPr>
        <w:pStyle w:val="Definition-Field2"/>
      </w:pPr>
      <w:r>
        <w:t>Word restricts the value of this attribute to be at most 253 characters.</w:t>
      </w:r>
    </w:p>
    <w:p w:rsidR="005F78FC" w:rsidRDefault="00B42EF3">
      <w:pPr>
        <w:pStyle w:val="Heading3"/>
      </w:pPr>
      <w:bookmarkStart w:id="498" w:name="section_8214eaf1a8b14e1a99543a5068b6d3ce"/>
      <w:bookmarkStart w:id="499" w:name="_Toc69878022"/>
      <w:r>
        <w:t>Part 1 Section 17.7.4.11, personal (E-Mail Message Text Style)</w:t>
      </w:r>
      <w:bookmarkEnd w:id="498"/>
      <w:bookmarkEnd w:id="499"/>
      <w:r>
        <w:fldChar w:fldCharType="begin"/>
      </w:r>
      <w:r>
        <w:instrText xml:space="preserve"> XE </w:instrText>
      </w:r>
      <w:r>
        <w:instrText xml:space="preserve">"personal (E-Mail Message Text Style)" </w:instrText>
      </w:r>
      <w:r>
        <w:fldChar w:fldCharType="end"/>
      </w:r>
    </w:p>
    <w:p w:rsidR="005F78FC" w:rsidRDefault="00B42EF3">
      <w:pPr>
        <w:pStyle w:val="Definition-Field"/>
      </w:pPr>
      <w:r>
        <w:t xml:space="preserve">a.   </w:t>
      </w:r>
      <w:r>
        <w:rPr>
          <w:i/>
        </w:rPr>
        <w:t>The standard says personal is ignored if no style exists whose styleId matches the boolean val attribute.</w:t>
      </w:r>
    </w:p>
    <w:p w:rsidR="005F78FC" w:rsidRDefault="00B42EF3">
      <w:pPr>
        <w:pStyle w:val="Definition-Field2"/>
      </w:pPr>
      <w:r>
        <w:t>Word treats the val attribute of personal as a boolean setting.</w:t>
      </w:r>
    </w:p>
    <w:p w:rsidR="005F78FC" w:rsidRDefault="00B42EF3">
      <w:pPr>
        <w:pStyle w:val="Heading3"/>
      </w:pPr>
      <w:bookmarkStart w:id="500" w:name="section_ed224d8374a34499ac0b58e27f0f8474"/>
      <w:bookmarkStart w:id="501" w:name="_Toc69878023"/>
      <w:r>
        <w:t>Part 1 Section 17.7.4.12, personalCompo</w:t>
      </w:r>
      <w:r>
        <w:t>se (E-Mail Message Composition Style)</w:t>
      </w:r>
      <w:bookmarkEnd w:id="500"/>
      <w:bookmarkEnd w:id="501"/>
      <w:r>
        <w:fldChar w:fldCharType="begin"/>
      </w:r>
      <w:r>
        <w:instrText xml:space="preserve"> XE "personalCompose (E-Mail Message Composition Style)" </w:instrText>
      </w:r>
      <w:r>
        <w:fldChar w:fldCharType="end"/>
      </w:r>
    </w:p>
    <w:p w:rsidR="005F78FC" w:rsidRDefault="00B42EF3">
      <w:pPr>
        <w:pStyle w:val="Definition-Field"/>
      </w:pPr>
      <w:r>
        <w:t xml:space="preserve">a.   </w:t>
      </w:r>
      <w:r>
        <w:rPr>
          <w:i/>
        </w:rPr>
        <w:t>The standard says personalCompose is ignored if no style exists whose styleId matches the boolean val attribute.</w:t>
      </w:r>
    </w:p>
    <w:p w:rsidR="005F78FC" w:rsidRDefault="00B42EF3">
      <w:pPr>
        <w:pStyle w:val="Definition-Field2"/>
      </w:pPr>
      <w:r>
        <w:t>Word treats the val attribute of personal</w:t>
      </w:r>
      <w:r>
        <w:t>Compose as a boolean setting.</w:t>
      </w:r>
    </w:p>
    <w:p w:rsidR="005F78FC" w:rsidRDefault="00B42EF3">
      <w:pPr>
        <w:pStyle w:val="Heading3"/>
      </w:pPr>
      <w:bookmarkStart w:id="502" w:name="section_a0c391fe1c0e40a3b97dfb9edcb61a83"/>
      <w:bookmarkStart w:id="503" w:name="_Toc69878024"/>
      <w:r>
        <w:t>Part 1 Section 17.7.4.13, personalReply (E-Mail Message Reply Style)</w:t>
      </w:r>
      <w:bookmarkEnd w:id="502"/>
      <w:bookmarkEnd w:id="503"/>
      <w:r>
        <w:fldChar w:fldCharType="begin"/>
      </w:r>
      <w:r>
        <w:instrText xml:space="preserve"> XE "personalReply (E-Mail Message Reply Style)" </w:instrText>
      </w:r>
      <w:r>
        <w:fldChar w:fldCharType="end"/>
      </w:r>
    </w:p>
    <w:p w:rsidR="005F78FC" w:rsidRDefault="00B42EF3">
      <w:pPr>
        <w:pStyle w:val="Definition-Field"/>
      </w:pPr>
      <w:r>
        <w:t xml:space="preserve">a.   </w:t>
      </w:r>
      <w:r>
        <w:rPr>
          <w:i/>
        </w:rPr>
        <w:t>The standard says personalReply is ignored if no style exists whose styleId matches the boolean val a</w:t>
      </w:r>
      <w:r>
        <w:rPr>
          <w:i/>
        </w:rPr>
        <w:t>ttribute.</w:t>
      </w:r>
    </w:p>
    <w:p w:rsidR="005F78FC" w:rsidRDefault="00B42EF3">
      <w:pPr>
        <w:pStyle w:val="Definition-Field2"/>
      </w:pPr>
      <w:r>
        <w:t>Word treats the val attribute of personalReply as a boolean setting.</w:t>
      </w:r>
    </w:p>
    <w:p w:rsidR="005F78FC" w:rsidRDefault="00B42EF3">
      <w:pPr>
        <w:pStyle w:val="Heading3"/>
      </w:pPr>
      <w:bookmarkStart w:id="504" w:name="section_bb6afca988a74b34911f7110e8062bb1"/>
      <w:bookmarkStart w:id="505" w:name="_Toc69878025"/>
      <w:r>
        <w:t>Part 1 Section 17.7.4.17, style (Style Definition)</w:t>
      </w:r>
      <w:bookmarkEnd w:id="504"/>
      <w:bookmarkEnd w:id="505"/>
      <w:r>
        <w:fldChar w:fldCharType="begin"/>
      </w:r>
      <w:r>
        <w:instrText xml:space="preserve"> XE "style (Style Definition)" </w:instrText>
      </w:r>
      <w:r>
        <w:fldChar w:fldCharType="end"/>
      </w:r>
    </w:p>
    <w:p w:rsidR="005F78FC" w:rsidRDefault="00B42EF3">
      <w:pPr>
        <w:pStyle w:val="Definition-Field"/>
      </w:pPr>
      <w:r>
        <w:t xml:space="preserve">a.   </w:t>
      </w:r>
      <w:r>
        <w:rPr>
          <w:i/>
        </w:rPr>
        <w:t xml:space="preserve">The standard does not state any special behavior for "NoList", "DefaultParagraphFont", </w:t>
      </w:r>
      <w:r>
        <w:rPr>
          <w:i/>
        </w:rPr>
        <w:t>and "TableNormal" styles.</w:t>
      </w:r>
    </w:p>
    <w:p w:rsidR="005F78FC" w:rsidRDefault="00B42EF3">
      <w:pPr>
        <w:pStyle w:val="Definition-Field2"/>
      </w:pPr>
      <w:r>
        <w:t>Word ignores any child elements of a style element with id "NoList", "DefaultParagraphFont", or "TableNormal".</w:t>
      </w:r>
    </w:p>
    <w:p w:rsidR="005F78FC" w:rsidRDefault="00B42EF3">
      <w:pPr>
        <w:pStyle w:val="Definition-Field"/>
      </w:pPr>
      <w:r>
        <w:t xml:space="preserve">b.   </w:t>
      </w:r>
      <w:r>
        <w:rPr>
          <w:i/>
        </w:rPr>
        <w:t>The standard says the length of the styleId attribute is unlimited.</w:t>
      </w:r>
    </w:p>
    <w:p w:rsidR="005F78FC" w:rsidRDefault="00B42EF3">
      <w:pPr>
        <w:pStyle w:val="Definition-Field2"/>
      </w:pPr>
      <w:r>
        <w:t>Word ignores the value of the styleId attribut</w:t>
      </w:r>
      <w:r>
        <w:t>e if it exceeds 253 characters in length.</w:t>
      </w:r>
    </w:p>
    <w:p w:rsidR="005F78FC" w:rsidRDefault="00B42EF3">
      <w:pPr>
        <w:pStyle w:val="Definition-Field"/>
      </w:pPr>
      <w:r>
        <w:t xml:space="preserve">c.   </w:t>
      </w:r>
      <w:r>
        <w:rPr>
          <w:i/>
        </w:rPr>
        <w:t>The standard states that the number of styles is unbounded.</w:t>
      </w:r>
    </w:p>
    <w:p w:rsidR="005F78FC" w:rsidRDefault="00B42EF3">
      <w:pPr>
        <w:pStyle w:val="Definition-Field2"/>
      </w:pPr>
      <w:r>
        <w:t>Word does not open a document containing more than 4,079 styles.</w:t>
      </w:r>
    </w:p>
    <w:p w:rsidR="005F78FC" w:rsidRDefault="00B42EF3">
      <w:pPr>
        <w:pStyle w:val="Heading3"/>
      </w:pPr>
      <w:bookmarkStart w:id="506" w:name="section_b7604183092342c887b44f0b6f850cbf"/>
      <w:bookmarkStart w:id="507" w:name="_Toc69878026"/>
      <w:r>
        <w:t>Part 1 Section 17.7.4.19, uiPriority (Optional User Interface Sorting Order)</w:t>
      </w:r>
      <w:bookmarkEnd w:id="506"/>
      <w:bookmarkEnd w:id="507"/>
      <w:r>
        <w:fldChar w:fldCharType="begin"/>
      </w:r>
      <w:r>
        <w:instrText xml:space="preserve"> XE "uiP</w:instrText>
      </w:r>
      <w:r>
        <w:instrText xml:space="preserve">riority (Optional User Interface Sorting Order)" </w:instrText>
      </w:r>
      <w:r>
        <w:fldChar w:fldCharType="end"/>
      </w:r>
    </w:p>
    <w:p w:rsidR="005F78FC" w:rsidRDefault="00B42EF3">
      <w:pPr>
        <w:pStyle w:val="Definition-Field"/>
      </w:pPr>
      <w:r>
        <w:t xml:space="preserve">a.   </w:t>
      </w:r>
      <w:r>
        <w:rPr>
          <w:i/>
        </w:rPr>
        <w:t>The standard states that the values of the val attribute are defined by the XML Schema integer datatype.</w:t>
      </w:r>
    </w:p>
    <w:p w:rsidR="005F78FC" w:rsidRDefault="00B42EF3">
      <w:pPr>
        <w:pStyle w:val="Definition-Field2"/>
      </w:pPr>
      <w:r>
        <w:t>Word restricts the value of this attribute to be at least 0 and at most 99.</w:t>
      </w:r>
    </w:p>
    <w:p w:rsidR="005F78FC" w:rsidRDefault="00B42EF3">
      <w:pPr>
        <w:pStyle w:val="Definition-Field"/>
      </w:pPr>
      <w:r>
        <w:t xml:space="preserve">b.   </w:t>
      </w:r>
      <w:r>
        <w:rPr>
          <w:i/>
        </w:rPr>
        <w:t xml:space="preserve">The standard </w:t>
      </w:r>
      <w:r>
        <w:rPr>
          <w:i/>
        </w:rPr>
        <w:t>says the default behavior is to sort to the end of the list.</w:t>
      </w:r>
    </w:p>
    <w:p w:rsidR="005F78FC" w:rsidRDefault="00B42EF3">
      <w:pPr>
        <w:pStyle w:val="Definition-Field2"/>
      </w:pPr>
      <w:r>
        <w:t>In Word, the default behavior is to sort to the beginning of the list.</w:t>
      </w:r>
    </w:p>
    <w:p w:rsidR="005F78FC" w:rsidRDefault="00B42EF3">
      <w:pPr>
        <w:pStyle w:val="Heading3"/>
      </w:pPr>
      <w:bookmarkStart w:id="508" w:name="section_1b4958bf2fcf4db89a967f553494276b"/>
      <w:bookmarkStart w:id="509" w:name="_Toc69878027"/>
      <w:r>
        <w:lastRenderedPageBreak/>
        <w:t>Part 1 Section 17.7.5.2, pPr (Paragraph Properties)</w:t>
      </w:r>
      <w:bookmarkEnd w:id="508"/>
      <w:bookmarkEnd w:id="509"/>
      <w:r>
        <w:fldChar w:fldCharType="begin"/>
      </w:r>
      <w:r>
        <w:instrText xml:space="preserve"> XE "pPr (Paragraph Properties)" </w:instrText>
      </w:r>
      <w:r>
        <w:fldChar w:fldCharType="end"/>
      </w:r>
    </w:p>
    <w:p w:rsidR="005F78FC" w:rsidRDefault="00B42EF3">
      <w:pPr>
        <w:pStyle w:val="Definition-Field"/>
      </w:pPr>
      <w:r>
        <w:t xml:space="preserve">a.   </w:t>
      </w:r>
      <w:r>
        <w:rPr>
          <w:i/>
        </w:rPr>
        <w:t>The standard states that the cnf</w:t>
      </w:r>
      <w:r>
        <w:rPr>
          <w:i/>
        </w:rPr>
        <w:t>Style, divId, pPrChange, pStyle, rPr, and sectPr elements are valid child elements of the pPr element.</w:t>
      </w:r>
    </w:p>
    <w:p w:rsidR="005F78FC" w:rsidRDefault="00B42EF3">
      <w:pPr>
        <w:pStyle w:val="Definition-Field2"/>
      </w:pPr>
      <w:r>
        <w:t>Word does not allow these elements to be child elements of the pPr element.</w:t>
      </w:r>
    </w:p>
    <w:p w:rsidR="005F78FC" w:rsidRDefault="00B42EF3">
      <w:pPr>
        <w:pStyle w:val="Heading3"/>
      </w:pPr>
      <w:bookmarkStart w:id="510" w:name="section_9f0ca7a05e6a487ebb522b74d4bb614a"/>
      <w:bookmarkStart w:id="511" w:name="_Toc69878028"/>
      <w:r>
        <w:t>Part 1 Section 17.7.5.4, rPr (Run Properties)</w:t>
      </w:r>
      <w:bookmarkEnd w:id="510"/>
      <w:bookmarkEnd w:id="511"/>
      <w:r>
        <w:fldChar w:fldCharType="begin"/>
      </w:r>
      <w:r>
        <w:instrText xml:space="preserve"> XE "rPr (Run Properties)" </w:instrText>
      </w:r>
      <w:r>
        <w:fldChar w:fldCharType="end"/>
      </w:r>
    </w:p>
    <w:p w:rsidR="005F78FC" w:rsidRDefault="00B42EF3">
      <w:pPr>
        <w:pStyle w:val="Definition-Field"/>
      </w:pPr>
      <w:r>
        <w:t>a.</w:t>
      </w:r>
      <w:r>
        <w:t xml:space="preserve">   </w:t>
      </w:r>
      <w:r>
        <w:rPr>
          <w:i/>
        </w:rPr>
        <w:t>The standard states that the cs, highlight, oMath, rPrChange, rStyle, and rtl elements are valid child elements of the rPr element.</w:t>
      </w:r>
    </w:p>
    <w:p w:rsidR="005F78FC" w:rsidRDefault="00B42EF3">
      <w:pPr>
        <w:pStyle w:val="Definition-Field2"/>
      </w:pPr>
      <w:r>
        <w:t>Word does not allow these elements to be child elements of the rPr element.</w:t>
      </w:r>
    </w:p>
    <w:p w:rsidR="005F78FC" w:rsidRDefault="00B42EF3">
      <w:pPr>
        <w:pStyle w:val="Heading3"/>
      </w:pPr>
      <w:bookmarkStart w:id="512" w:name="section_14452bbebe4d4dbb90e63d23ae9361bc"/>
      <w:bookmarkStart w:id="513" w:name="_Toc69878029"/>
      <w:r>
        <w:t>Part 1 Section 17.7.6, Table Styles</w:t>
      </w:r>
      <w:bookmarkEnd w:id="512"/>
      <w:bookmarkEnd w:id="513"/>
      <w:r>
        <w:fldChar w:fldCharType="begin"/>
      </w:r>
      <w:r>
        <w:instrText xml:space="preserve"> XE "Table</w:instrText>
      </w:r>
      <w:r>
        <w:instrText xml:space="preserve"> Styles" </w:instrText>
      </w:r>
      <w:r>
        <w:fldChar w:fldCharType="end"/>
      </w:r>
    </w:p>
    <w:p w:rsidR="005F78FC" w:rsidRDefault="00B42EF3">
      <w:pPr>
        <w:pStyle w:val="Definition-Field"/>
      </w:pPr>
      <w:r>
        <w:t xml:space="preserve">a.   </w:t>
      </w:r>
      <w:r>
        <w:rPr>
          <w:i/>
        </w:rPr>
        <w:t>The standard does not specify how the tblLook affects the corner cell conditional formatting.</w:t>
      </w:r>
    </w:p>
    <w:p w:rsidR="005F78FC" w:rsidRDefault="00B42EF3">
      <w:pPr>
        <w:pStyle w:val="Definition-Field2"/>
      </w:pPr>
      <w:r>
        <w:t>In Word, corner cell conditional formatting is applied only if both of the corresponding first or last row or column are enabled.</w:t>
      </w:r>
    </w:p>
    <w:p w:rsidR="005F78FC" w:rsidRDefault="00B42EF3">
      <w:pPr>
        <w:pStyle w:val="Definition-Field"/>
      </w:pPr>
      <w:r>
        <w:t xml:space="preserve">b.   </w:t>
      </w:r>
      <w:r>
        <w:rPr>
          <w:i/>
        </w:rPr>
        <w:t>The standa</w:t>
      </w:r>
      <w:r>
        <w:rPr>
          <w:i/>
        </w:rPr>
        <w:t>rd specifies that the resolved value of the toggle properties will toggle the previous level (True) or leave it unchanged (False) when present in a table style.</w:t>
      </w:r>
    </w:p>
    <w:p w:rsidR="005F78FC" w:rsidRDefault="00B42EF3">
      <w:pPr>
        <w:pStyle w:val="Definition-Field2"/>
      </w:pPr>
      <w:r>
        <w:t>Word resets the value of the toggle property to the value specified by the table style if a val</w:t>
      </w:r>
      <w:r>
        <w:t>ue is present; for example, a value of 1 resets the property's state to True instead of toggling it.</w:t>
      </w:r>
    </w:p>
    <w:p w:rsidR="005F78FC" w:rsidRDefault="00B42EF3">
      <w:pPr>
        <w:pStyle w:val="Definition-Field"/>
      </w:pPr>
      <w:r>
        <w:t xml:space="preserve">c.   </w:t>
      </w:r>
      <w:r>
        <w:rPr>
          <w:i/>
        </w:rPr>
        <w:t>The standard specifies the precedence order in which conditional formatting should be applied.</w:t>
      </w:r>
    </w:p>
    <w:p w:rsidR="005F78FC" w:rsidRDefault="00B42EF3">
      <w:r>
        <w:t>When specified, Office applies conditional formats in t</w:t>
      </w:r>
      <w:r>
        <w:t>he following order (therefore subsequent formats override properties on previous formats):</w:t>
      </w:r>
    </w:p>
    <w:p w:rsidR="005F78FC" w:rsidRDefault="00B42EF3">
      <w:pPr>
        <w:pStyle w:val="ListParagraph"/>
        <w:numPr>
          <w:ilvl w:val="0"/>
          <w:numId w:val="60"/>
        </w:numPr>
        <w:ind w:left="720"/>
        <w:contextualSpacing/>
      </w:pPr>
      <w:r>
        <w:t>Odd row banding, even row banding</w:t>
      </w:r>
    </w:p>
    <w:p w:rsidR="005F78FC" w:rsidRDefault="00B42EF3">
      <w:pPr>
        <w:pStyle w:val="ListParagraph"/>
        <w:numPr>
          <w:ilvl w:val="0"/>
          <w:numId w:val="60"/>
        </w:numPr>
        <w:ind w:left="720"/>
        <w:contextualSpacing/>
      </w:pPr>
      <w:r>
        <w:t>Odd column banding, even column banding</w:t>
      </w:r>
    </w:p>
    <w:p w:rsidR="005F78FC" w:rsidRDefault="00B42EF3">
      <w:pPr>
        <w:pStyle w:val="ListParagraph"/>
        <w:numPr>
          <w:ilvl w:val="0"/>
          <w:numId w:val="60"/>
        </w:numPr>
        <w:ind w:left="720"/>
        <w:contextualSpacing/>
      </w:pPr>
      <w:r>
        <w:t>First column, last column</w:t>
      </w:r>
    </w:p>
    <w:p w:rsidR="005F78FC" w:rsidRDefault="00B42EF3">
      <w:pPr>
        <w:pStyle w:val="ListParagraph"/>
        <w:numPr>
          <w:ilvl w:val="0"/>
          <w:numId w:val="60"/>
        </w:numPr>
        <w:ind w:left="720"/>
        <w:contextualSpacing/>
      </w:pPr>
      <w:r>
        <w:t>First row, last row</w:t>
      </w:r>
    </w:p>
    <w:p w:rsidR="005F78FC" w:rsidRDefault="00B42EF3">
      <w:pPr>
        <w:pStyle w:val="ListParagraph"/>
        <w:numPr>
          <w:ilvl w:val="0"/>
          <w:numId w:val="60"/>
        </w:numPr>
        <w:ind w:left="720"/>
        <w:contextualSpacing/>
      </w:pPr>
      <w:r>
        <w:t xml:space="preserve">Top left, top right, bottom left, bottom </w:t>
      </w:r>
      <w:r>
        <w:t>right</w:t>
      </w:r>
    </w:p>
    <w:p w:rsidR="005F78FC" w:rsidRDefault="00B42EF3">
      <w:r>
        <w:t xml:space="preserve">Refer to </w:t>
      </w:r>
      <w:hyperlink w:anchor="Section_3359ff85c4234b9dbe78d1cf96f79486" w:history="1">
        <w:r>
          <w:rPr>
            <w:rStyle w:val="Hyperlink"/>
          </w:rPr>
          <w:t>ST_TblStyleOverrideType, §17.18.89(a)</w:t>
        </w:r>
      </w:hyperlink>
      <w:r>
        <w:t xml:space="preserve"> for information about the conditional formatting values Microsoft Office recognizes.</w:t>
      </w:r>
    </w:p>
    <w:p w:rsidR="005F78FC" w:rsidRDefault="00B42EF3">
      <w:pPr>
        <w:pStyle w:val="Heading3"/>
      </w:pPr>
      <w:bookmarkStart w:id="514" w:name="section_e6cd172f23d344d9942bcf3ffaed67fc"/>
      <w:bookmarkStart w:id="515" w:name="_Toc69878030"/>
      <w:r>
        <w:t>Part 1 Section 17.7.6.1, pPr (Table Style Conditional Form</w:t>
      </w:r>
      <w:r>
        <w:t>atting Paragraph Properties)</w:t>
      </w:r>
      <w:bookmarkEnd w:id="514"/>
      <w:bookmarkEnd w:id="515"/>
      <w:r>
        <w:fldChar w:fldCharType="begin"/>
      </w:r>
      <w:r>
        <w:instrText xml:space="preserve"> XE "pPr (Table Style Conditional Formatting Paragraph Properties)" </w:instrText>
      </w:r>
      <w:r>
        <w:fldChar w:fldCharType="end"/>
      </w:r>
    </w:p>
    <w:p w:rsidR="005F78FC" w:rsidRDefault="00B42EF3">
      <w:pPr>
        <w:pStyle w:val="Definition-Field"/>
      </w:pPr>
      <w:r>
        <w:t xml:space="preserve">a.   </w:t>
      </w:r>
      <w:r>
        <w:rPr>
          <w:i/>
        </w:rPr>
        <w:t>The standard states that the cnfStyle, divId, pStyle, rPr, and sectPr elements are valid child elements of the pPr element.</w:t>
      </w:r>
    </w:p>
    <w:p w:rsidR="005F78FC" w:rsidRDefault="00B42EF3">
      <w:pPr>
        <w:pStyle w:val="Definition-Field2"/>
      </w:pPr>
      <w:r>
        <w:t>Word does not allow these el</w:t>
      </w:r>
      <w:r>
        <w:t>ements to be child elements of the pPr element.</w:t>
      </w:r>
    </w:p>
    <w:p w:rsidR="005F78FC" w:rsidRDefault="00B42EF3">
      <w:pPr>
        <w:pStyle w:val="Definition-Field"/>
      </w:pPr>
      <w:r>
        <w:t xml:space="preserve">b.   </w:t>
      </w:r>
      <w:r>
        <w:rPr>
          <w:i/>
        </w:rPr>
        <w:t>The standard allows framePr, suppressOverlap, and textDirection as a child element of pPr in a table style.</w:t>
      </w:r>
    </w:p>
    <w:p w:rsidR="005F78FC" w:rsidRDefault="00B42EF3">
      <w:pPr>
        <w:pStyle w:val="Definition-Field2"/>
      </w:pPr>
      <w:r>
        <w:t>Word does not allow framePr, suppressOverlap, or textDirection as a child element of pPr in a t</w:t>
      </w:r>
      <w:r>
        <w:t>able style, and may fail to open such a file.</w:t>
      </w:r>
    </w:p>
    <w:p w:rsidR="005F78FC" w:rsidRDefault="00B42EF3">
      <w:pPr>
        <w:pStyle w:val="Heading3"/>
      </w:pPr>
      <w:bookmarkStart w:id="516" w:name="section_d0244b61fd9645f0ac847380d2b6d663"/>
      <w:bookmarkStart w:id="517" w:name="_Toc69878031"/>
      <w:r>
        <w:lastRenderedPageBreak/>
        <w:t>Part 1 Section 17.7.6.2, rPr (Table Style Conditional Formatting Run Properties)</w:t>
      </w:r>
      <w:bookmarkEnd w:id="516"/>
      <w:bookmarkEnd w:id="517"/>
      <w:r>
        <w:fldChar w:fldCharType="begin"/>
      </w:r>
      <w:r>
        <w:instrText xml:space="preserve"> XE "rPr (Table Style Conditional Formatting Run Properties)" </w:instrText>
      </w:r>
      <w:r>
        <w:fldChar w:fldCharType="end"/>
      </w:r>
    </w:p>
    <w:p w:rsidR="005F78FC" w:rsidRDefault="00B42EF3">
      <w:pPr>
        <w:pStyle w:val="Definition-Field2"/>
      </w:pPr>
      <w:r>
        <w:rPr>
          <w:i/>
        </w:rPr>
        <w:t xml:space="preserve">For additional notes that apply to this portion of the standard, </w:t>
      </w:r>
      <w:r>
        <w:rPr>
          <w:i/>
        </w:rPr>
        <w:t xml:space="preserve">please see the notes for </w:t>
      </w:r>
      <w:hyperlink w:anchor="Section_9f0ca7a05e6a487ebb522b74d4bb614a">
        <w:r>
          <w:rPr>
            <w:rStyle w:val="Hyperlink"/>
          </w:rPr>
          <w:t>rPr, §17.7.5.4(a)</w:t>
        </w:r>
      </w:hyperlink>
      <w:r>
        <w:rPr>
          <w:i/>
        </w:rPr>
        <w:t>.</w:t>
      </w:r>
    </w:p>
    <w:p w:rsidR="005F78FC" w:rsidRDefault="00B42EF3">
      <w:pPr>
        <w:pStyle w:val="Definition-Field"/>
      </w:pPr>
      <w:r>
        <w:t xml:space="preserve">a.   </w:t>
      </w:r>
      <w:r>
        <w:rPr>
          <w:i/>
        </w:rPr>
        <w:t>The standard states that the cs, highlight, oMath, rPrChange, rStyle, and rtl elements are valid child elements of the rPr element.</w:t>
      </w:r>
    </w:p>
    <w:p w:rsidR="005F78FC" w:rsidRDefault="00B42EF3">
      <w:pPr>
        <w:pStyle w:val="Definition-Field2"/>
      </w:pPr>
      <w:r>
        <w:t>Word does no</w:t>
      </w:r>
      <w:r>
        <w:t>t allow these elements to be child elements of the rPr element.</w:t>
      </w:r>
    </w:p>
    <w:p w:rsidR="005F78FC" w:rsidRDefault="00B42EF3">
      <w:pPr>
        <w:pStyle w:val="Heading3"/>
      </w:pPr>
      <w:bookmarkStart w:id="518" w:name="section_8ab3579cde9a4cdc931d261772a2365e"/>
      <w:bookmarkStart w:id="519" w:name="_Toc69878032"/>
      <w:r>
        <w:t>Part 1 Section 17.7.6.3, tblPr (Table Style Conditional Formatting Table Properties)</w:t>
      </w:r>
      <w:bookmarkEnd w:id="518"/>
      <w:bookmarkEnd w:id="519"/>
      <w:r>
        <w:fldChar w:fldCharType="begin"/>
      </w:r>
      <w:r>
        <w:instrText xml:space="preserve"> XE "tblPr (Table Style Conditional Formatting Table Properties)" </w:instrText>
      </w:r>
      <w:r>
        <w:fldChar w:fldCharType="end"/>
      </w:r>
    </w:p>
    <w:p w:rsidR="005F78FC" w:rsidRDefault="00B42EF3">
      <w:pPr>
        <w:pStyle w:val="Definition-Field"/>
      </w:pPr>
      <w:r>
        <w:t xml:space="preserve">a.   </w:t>
      </w:r>
      <w:r>
        <w:rPr>
          <w:i/>
        </w:rPr>
        <w:t>The standard states that the bidiV</w:t>
      </w:r>
      <w:r>
        <w:rPr>
          <w:i/>
        </w:rPr>
        <w:t>isual, tblLayout, tblLook, tblOverlap, tblpPr, tblStyle, tblStyleColBandSize, tblStyleRowBandSize, and tblW elements are valid child elements of the tblPr element.</w:t>
      </w:r>
    </w:p>
    <w:p w:rsidR="005F78FC" w:rsidRDefault="00B42EF3">
      <w:pPr>
        <w:pStyle w:val="Definition-Field2"/>
      </w:pPr>
      <w:r>
        <w:t>Word does not allow these elements to be child elements of the tblPr element.</w:t>
      </w:r>
    </w:p>
    <w:p w:rsidR="005F78FC" w:rsidRDefault="00B42EF3">
      <w:pPr>
        <w:pStyle w:val="Heading3"/>
      </w:pPr>
      <w:bookmarkStart w:id="520" w:name="section_9110e397e8e24e23af712fa84eab74f5"/>
      <w:bookmarkStart w:id="521" w:name="_Toc69878033"/>
      <w:r>
        <w:t>Part 1 Section 17.7.6.4, tblPr (Style Table Properties)</w:t>
      </w:r>
      <w:bookmarkEnd w:id="520"/>
      <w:bookmarkEnd w:id="521"/>
      <w:r>
        <w:fldChar w:fldCharType="begin"/>
      </w:r>
      <w:r>
        <w:instrText xml:space="preserve"> XE "tblPr (Style Table Properties)" </w:instrText>
      </w:r>
      <w:r>
        <w:fldChar w:fldCharType="end"/>
      </w:r>
    </w:p>
    <w:p w:rsidR="005F78FC" w:rsidRDefault="00B42EF3">
      <w:pPr>
        <w:pStyle w:val="Definition-Field"/>
      </w:pPr>
      <w:r>
        <w:t xml:space="preserve">a.   </w:t>
      </w:r>
      <w:r>
        <w:rPr>
          <w:i/>
        </w:rPr>
        <w:t>The standard states that the bidiVisual, tblLayout, tblLook, tblOverlap, tblpPr, tblStyle, and tblW elements are valid child elements of the tblPr element.</w:t>
      </w:r>
    </w:p>
    <w:p w:rsidR="005F78FC" w:rsidRDefault="00B42EF3">
      <w:pPr>
        <w:pStyle w:val="Definition-Field2"/>
      </w:pPr>
      <w:r>
        <w:t>Word does not allow these elements to be child elements of the tblPr element.</w:t>
      </w:r>
    </w:p>
    <w:p w:rsidR="005F78FC" w:rsidRDefault="00B42EF3">
      <w:pPr>
        <w:pStyle w:val="Heading3"/>
      </w:pPr>
      <w:bookmarkStart w:id="522" w:name="section_6998fa345ceb40a7b3b5ac4591c2f09e"/>
      <w:bookmarkStart w:id="523" w:name="_Toc69878034"/>
      <w:r>
        <w:t>Part 1 Section 17.7.6.5, tblStyleColBandSize (Number of Columns in Column Band)</w:t>
      </w:r>
      <w:bookmarkEnd w:id="522"/>
      <w:bookmarkEnd w:id="523"/>
      <w:r>
        <w:fldChar w:fldCharType="begin"/>
      </w:r>
      <w:r>
        <w:instrText xml:space="preserve"> XE "tblStyleColBandSize (Number of Columns in Column Band)" </w:instrText>
      </w:r>
      <w:r>
        <w:fldChar w:fldCharType="end"/>
      </w:r>
    </w:p>
    <w:p w:rsidR="005F78FC" w:rsidRDefault="00B42EF3">
      <w:pPr>
        <w:pStyle w:val="Definition-Field2"/>
      </w:pPr>
      <w:r>
        <w:rPr>
          <w:i/>
        </w:rPr>
        <w:t xml:space="preserve">For additional notes that apply to </w:t>
      </w:r>
      <w:r>
        <w:rPr>
          <w:i/>
        </w:rPr>
        <w:t xml:space="preserve">this portion of the standard, please see the notes for </w:t>
      </w:r>
      <w:hyperlink w:anchor="Section_b838cab3eb77495a9cb98c6e693f0ac1">
        <w:r>
          <w:rPr>
            <w:rStyle w:val="Hyperlink"/>
          </w:rPr>
          <w:t>tblPr, §17.4.58(a)</w:t>
        </w:r>
      </w:hyperlink>
      <w:r>
        <w:rPr>
          <w:i/>
        </w:rPr>
        <w:t xml:space="preserve">; </w:t>
      </w:r>
      <w:hyperlink w:anchor="Section_2020ce86cc3945b28bec82dc97435c44">
        <w:r>
          <w:rPr>
            <w:rStyle w:val="Hyperlink"/>
          </w:rPr>
          <w:t>tblPr, §17.4.59(a)</w:t>
        </w:r>
      </w:hyperlink>
      <w:r>
        <w:rPr>
          <w:i/>
        </w:rPr>
        <w:t xml:space="preserve">; </w:t>
      </w:r>
      <w:hyperlink w:anchor="Section_8ab3579cde9a4cdc931d261772a2365e">
        <w:r>
          <w:rPr>
            <w:rStyle w:val="Hyperlink"/>
          </w:rPr>
          <w:t>tblPr, §17.7.6.3(a)</w:t>
        </w:r>
      </w:hyperlink>
      <w:r>
        <w:rPr>
          <w:i/>
        </w:rPr>
        <w:t>.</w:t>
      </w:r>
    </w:p>
    <w:p w:rsidR="005F78FC" w:rsidRDefault="00B42EF3">
      <w:pPr>
        <w:pStyle w:val="Definition-Field"/>
      </w:pPr>
      <w:r>
        <w:t xml:space="preserve">a.   </w:t>
      </w:r>
      <w:r>
        <w:rPr>
          <w:i/>
        </w:rPr>
        <w:t>The standard states that the values of the val attribute are defined by the XML Schema integer datatype.</w:t>
      </w:r>
    </w:p>
    <w:p w:rsidR="005F78FC" w:rsidRDefault="00B42EF3">
      <w:pPr>
        <w:pStyle w:val="Definition-Field2"/>
      </w:pPr>
      <w:r>
        <w:t>Word restricts the value of this attribute to be at least 0 and at most 3.</w:t>
      </w:r>
    </w:p>
    <w:p w:rsidR="005F78FC" w:rsidRDefault="00B42EF3">
      <w:pPr>
        <w:pStyle w:val="Definition-Field"/>
      </w:pPr>
      <w:r>
        <w:t xml:space="preserve">b.   </w:t>
      </w:r>
      <w:r>
        <w:rPr>
          <w:i/>
        </w:rPr>
        <w:t>The standard says</w:t>
      </w:r>
      <w:r>
        <w:rPr>
          <w:i/>
        </w:rPr>
        <w:t xml:space="preserve"> the default for tblStyleColBandSize is 1.</w:t>
      </w:r>
    </w:p>
    <w:p w:rsidR="005F78FC" w:rsidRDefault="00B42EF3">
      <w:pPr>
        <w:pStyle w:val="Definition-Field2"/>
      </w:pPr>
      <w:r>
        <w:t>Word uses 0 as the default for tblStyleColBandSize.</w:t>
      </w:r>
    </w:p>
    <w:p w:rsidR="005F78FC" w:rsidRDefault="00B42EF3">
      <w:pPr>
        <w:pStyle w:val="Definition-Field"/>
      </w:pPr>
      <w:r>
        <w:t xml:space="preserve">c.   </w:t>
      </w:r>
      <w:r>
        <w:rPr>
          <w:i/>
        </w:rPr>
        <w:t>The standard does not specify the meaning if tblStyleColBandSize is set to 0.</w:t>
      </w:r>
    </w:p>
    <w:p w:rsidR="005F78FC" w:rsidRDefault="00B42EF3">
      <w:pPr>
        <w:pStyle w:val="Definition-Field2"/>
      </w:pPr>
      <w:r>
        <w:t>If tblStyleColBandSize is set to 0, Word does not apply any banded column cond</w:t>
      </w:r>
      <w:r>
        <w:t>itional formatting.</w:t>
      </w:r>
    </w:p>
    <w:p w:rsidR="005F78FC" w:rsidRDefault="00B42EF3">
      <w:pPr>
        <w:pStyle w:val="Heading3"/>
      </w:pPr>
      <w:bookmarkStart w:id="524" w:name="section_2ac331d4cf1e4fa08bca6da74411e284"/>
      <w:bookmarkStart w:id="525" w:name="_Toc69878035"/>
      <w:r>
        <w:t>Part 1 Section 17.7.6.6, tblStylePr (Style Conditional Table Formatting Properties)</w:t>
      </w:r>
      <w:bookmarkEnd w:id="524"/>
      <w:bookmarkEnd w:id="525"/>
      <w:r>
        <w:fldChar w:fldCharType="begin"/>
      </w:r>
      <w:r>
        <w:instrText xml:space="preserve"> XE "tblStylePr (Style Conditional Table Formatting Properties)" </w:instrText>
      </w:r>
      <w:r>
        <w:fldChar w:fldCharType="end"/>
      </w:r>
    </w:p>
    <w:p w:rsidR="005F78FC" w:rsidRDefault="00B42EF3">
      <w:pPr>
        <w:pStyle w:val="Definition-Field"/>
      </w:pPr>
      <w:r>
        <w:t xml:space="preserve">a.    </w:t>
      </w:r>
      <w:r>
        <w:rPr>
          <w:i/>
        </w:rPr>
        <w:t xml:space="preserve">The standard specifies the precedence order in which conditional formatting </w:t>
      </w:r>
      <w:r>
        <w:rPr>
          <w:i/>
        </w:rPr>
        <w:t>should be applied.</w:t>
      </w:r>
    </w:p>
    <w:p w:rsidR="005F78FC" w:rsidRDefault="00B42EF3">
      <w:r>
        <w:t>When specified, Office applies conditional formats in the following order (therefore subsequent formats override properties on previous formats):</w:t>
      </w:r>
    </w:p>
    <w:p w:rsidR="005F78FC" w:rsidRDefault="00B42EF3">
      <w:pPr>
        <w:pStyle w:val="ListParagraph"/>
        <w:numPr>
          <w:ilvl w:val="0"/>
          <w:numId w:val="60"/>
        </w:numPr>
        <w:ind w:left="720"/>
        <w:contextualSpacing/>
      </w:pPr>
      <w:r>
        <w:t>Odd row banding, even row banding</w:t>
      </w:r>
    </w:p>
    <w:p w:rsidR="005F78FC" w:rsidRDefault="00B42EF3">
      <w:pPr>
        <w:pStyle w:val="ListParagraph"/>
        <w:numPr>
          <w:ilvl w:val="0"/>
          <w:numId w:val="60"/>
        </w:numPr>
        <w:ind w:left="720"/>
        <w:contextualSpacing/>
      </w:pPr>
      <w:r>
        <w:t>Odd column banding, even column banding</w:t>
      </w:r>
    </w:p>
    <w:p w:rsidR="005F78FC" w:rsidRDefault="00B42EF3">
      <w:pPr>
        <w:pStyle w:val="ListParagraph"/>
        <w:numPr>
          <w:ilvl w:val="0"/>
          <w:numId w:val="60"/>
        </w:numPr>
        <w:ind w:left="720"/>
        <w:contextualSpacing/>
      </w:pPr>
      <w:r>
        <w:t>First column, las</w:t>
      </w:r>
      <w:r>
        <w:t>t column</w:t>
      </w:r>
    </w:p>
    <w:p w:rsidR="005F78FC" w:rsidRDefault="00B42EF3">
      <w:pPr>
        <w:pStyle w:val="ListParagraph"/>
        <w:numPr>
          <w:ilvl w:val="0"/>
          <w:numId w:val="60"/>
        </w:numPr>
        <w:ind w:left="720"/>
        <w:contextualSpacing/>
      </w:pPr>
      <w:r>
        <w:t>First row, last row</w:t>
      </w:r>
    </w:p>
    <w:p w:rsidR="005F78FC" w:rsidRDefault="00B42EF3">
      <w:pPr>
        <w:pStyle w:val="ListParagraph"/>
        <w:numPr>
          <w:ilvl w:val="0"/>
          <w:numId w:val="60"/>
        </w:numPr>
        <w:ind w:left="720"/>
      </w:pPr>
      <w:r>
        <w:lastRenderedPageBreak/>
        <w:t>Top left, top right, bottom left, bottom right</w:t>
      </w:r>
    </w:p>
    <w:p w:rsidR="005F78FC" w:rsidRDefault="00B42EF3">
      <w:r>
        <w:t xml:space="preserve">Refer to </w:t>
      </w:r>
      <w:hyperlink w:anchor="Section_3359ff85c4234b9dbe78d1cf96f79486" w:history="1">
        <w:r>
          <w:rPr>
            <w:rStyle w:val="Hyperlink"/>
          </w:rPr>
          <w:t>ST_TblStyleOverrideType, §17.18.89(a)</w:t>
        </w:r>
      </w:hyperlink>
      <w:r>
        <w:t xml:space="preserve"> for information about the conditional formatting values Microsoft Office </w:t>
      </w:r>
      <w:r>
        <w:t>recognizes.</w:t>
      </w:r>
    </w:p>
    <w:p w:rsidR="005F78FC" w:rsidRDefault="00B42EF3">
      <w:pPr>
        <w:pStyle w:val="Heading3"/>
      </w:pPr>
      <w:bookmarkStart w:id="526" w:name="section_77519f5b08b345479f5d0c4d87854220"/>
      <w:bookmarkStart w:id="527" w:name="_Toc69878036"/>
      <w:r>
        <w:t>Part 1 Section 17.7.6.7, tblStyleRowBandSize (Number of Rows in Row Band)</w:t>
      </w:r>
      <w:bookmarkEnd w:id="526"/>
      <w:bookmarkEnd w:id="527"/>
      <w:r>
        <w:fldChar w:fldCharType="begin"/>
      </w:r>
      <w:r>
        <w:instrText xml:space="preserve"> XE "tblStyleRowBandSize (Number of Rows in Row Band)"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b838cab3eb77495a9cb98c6e693f0ac1">
        <w:r>
          <w:rPr>
            <w:rStyle w:val="Hyperlink"/>
          </w:rPr>
          <w:t>tblPr, §17.4.58(a)</w:t>
        </w:r>
      </w:hyperlink>
      <w:r>
        <w:rPr>
          <w:i/>
        </w:rPr>
        <w:t xml:space="preserve">; </w:t>
      </w:r>
      <w:hyperlink w:anchor="Section_2020ce86cc3945b28bec82dc97435c44">
        <w:r>
          <w:rPr>
            <w:rStyle w:val="Hyperlink"/>
          </w:rPr>
          <w:t>tblPr, §17.4.59(a)</w:t>
        </w:r>
      </w:hyperlink>
      <w:r>
        <w:rPr>
          <w:i/>
        </w:rPr>
        <w:t xml:space="preserve">; </w:t>
      </w:r>
      <w:hyperlink w:anchor="Section_8ab3579cde9a4cdc931d261772a2365e">
        <w:r>
          <w:rPr>
            <w:rStyle w:val="Hyperlink"/>
          </w:rPr>
          <w:t>tblPr, §17.7.6.3(a)</w:t>
        </w:r>
      </w:hyperlink>
      <w:r>
        <w:rPr>
          <w:i/>
        </w:rPr>
        <w:t>.</w:t>
      </w:r>
    </w:p>
    <w:p w:rsidR="005F78FC" w:rsidRDefault="00B42EF3">
      <w:pPr>
        <w:pStyle w:val="Definition-Field"/>
      </w:pPr>
      <w:r>
        <w:t xml:space="preserve">a.   </w:t>
      </w:r>
      <w:r>
        <w:rPr>
          <w:i/>
        </w:rPr>
        <w:t>The standard says the de</w:t>
      </w:r>
      <w:r>
        <w:rPr>
          <w:i/>
        </w:rPr>
        <w:t>fault for tblStyleRowBandSize is 1.</w:t>
      </w:r>
    </w:p>
    <w:p w:rsidR="005F78FC" w:rsidRDefault="00B42EF3">
      <w:pPr>
        <w:pStyle w:val="Definition-Field2"/>
      </w:pPr>
      <w:r>
        <w:t>Word uses 0 as the default for tblStyleRowBandSize.</w:t>
      </w:r>
    </w:p>
    <w:p w:rsidR="005F78FC" w:rsidRDefault="00B42EF3">
      <w:pPr>
        <w:pStyle w:val="Definition-Field"/>
      </w:pPr>
      <w:r>
        <w:t xml:space="preserve">b.   </w:t>
      </w:r>
      <w:r>
        <w:rPr>
          <w:i/>
        </w:rPr>
        <w:t>The standard does not specify the meaning if tblStyleRowBandSize is set to 0.</w:t>
      </w:r>
    </w:p>
    <w:p w:rsidR="005F78FC" w:rsidRDefault="00B42EF3">
      <w:pPr>
        <w:pStyle w:val="Definition-Field2"/>
      </w:pPr>
      <w:r>
        <w:t xml:space="preserve">If tblStyleRowBandSize is set to 0, Word does not apply any banded row conditional </w:t>
      </w:r>
      <w:r>
        <w:t>formatting.</w:t>
      </w:r>
    </w:p>
    <w:p w:rsidR="005F78FC" w:rsidRDefault="00B42EF3">
      <w:pPr>
        <w:pStyle w:val="Definition-Field"/>
      </w:pPr>
      <w:r>
        <w:t xml:space="preserve">c.   </w:t>
      </w:r>
      <w:r>
        <w:rPr>
          <w:i/>
        </w:rPr>
        <w:t>The standard states that the values of the val attribute are defined by the XML Schema integer datatype.</w:t>
      </w:r>
    </w:p>
    <w:p w:rsidR="005F78FC" w:rsidRDefault="00B42EF3">
      <w:pPr>
        <w:pStyle w:val="Definition-Field2"/>
      </w:pPr>
      <w:r>
        <w:t>Word restricts the value of this attribute to be at least 0 and at most 3.</w:t>
      </w:r>
    </w:p>
    <w:p w:rsidR="005F78FC" w:rsidRDefault="00B42EF3">
      <w:pPr>
        <w:pStyle w:val="Heading3"/>
      </w:pPr>
      <w:bookmarkStart w:id="528" w:name="section_348cf5dd492c4e2b9fe3c4996f8c52e5"/>
      <w:bookmarkStart w:id="529" w:name="_Toc69878037"/>
      <w:r>
        <w:t>Part 1 Section 17.7.6.8, tcPr (Table Style Conditional Form</w:t>
      </w:r>
      <w:r>
        <w:t>atting Table Cell Properties)</w:t>
      </w:r>
      <w:bookmarkEnd w:id="528"/>
      <w:bookmarkEnd w:id="529"/>
      <w:r>
        <w:fldChar w:fldCharType="begin"/>
      </w:r>
      <w:r>
        <w:instrText xml:space="preserve"> XE "tcPr (Table Style Conditional Formatting Table Cell Properties)" </w:instrText>
      </w:r>
      <w:r>
        <w:fldChar w:fldCharType="end"/>
      </w:r>
    </w:p>
    <w:p w:rsidR="005F78FC" w:rsidRDefault="00B42EF3">
      <w:pPr>
        <w:pStyle w:val="Definition-Field"/>
      </w:pPr>
      <w:r>
        <w:t xml:space="preserve">a.   </w:t>
      </w:r>
      <w:r>
        <w:rPr>
          <w:i/>
        </w:rPr>
        <w:t>The standard says the properties in this element apply to the table regions specified by the conditional formatting setting.</w:t>
      </w:r>
    </w:p>
    <w:p w:rsidR="005F78FC" w:rsidRDefault="00B42EF3">
      <w:pPr>
        <w:pStyle w:val="Definition-Field2"/>
      </w:pPr>
      <w:r>
        <w:t>In Word, the noWrap, tcM</w:t>
      </w:r>
      <w:r>
        <w:t>ar, and vAlign elements in this element always apply to entire table rows, even if the parent tblStylePr specifies the formatting should be applied to columns or a particular cell.</w:t>
      </w:r>
    </w:p>
    <w:p w:rsidR="005F78FC" w:rsidRDefault="00B42EF3">
      <w:pPr>
        <w:pStyle w:val="Definition-Field"/>
      </w:pPr>
      <w:r>
        <w:t xml:space="preserve">b.   </w:t>
      </w:r>
      <w:r>
        <w:rPr>
          <w:i/>
        </w:rPr>
        <w:t>The standard states that the cellDel, cellIns, cellMerge, cnfStyle, gr</w:t>
      </w:r>
      <w:r>
        <w:rPr>
          <w:i/>
        </w:rPr>
        <w:t>idSpan, hideMark, hMerge, tcFitText, tcPrChange, tcW, textDirection, and vMerge elements are valid child elements of the tcPr element.</w:t>
      </w:r>
    </w:p>
    <w:p w:rsidR="005F78FC" w:rsidRDefault="00B42EF3">
      <w:pPr>
        <w:pStyle w:val="Definition-Field2"/>
      </w:pPr>
      <w:r>
        <w:t>Word does not allow these elements to be child elements of the tcPr element.</w:t>
      </w:r>
    </w:p>
    <w:p w:rsidR="005F78FC" w:rsidRDefault="00B42EF3">
      <w:pPr>
        <w:pStyle w:val="Heading3"/>
      </w:pPr>
      <w:bookmarkStart w:id="530" w:name="section_9e742550b4384b9d96064ae34d83830f"/>
      <w:bookmarkStart w:id="531" w:name="_Toc69878038"/>
      <w:r>
        <w:t>Part 1 Section 17.7.6.9, tcPr (Style Table C</w:t>
      </w:r>
      <w:r>
        <w:t>ell Properties)</w:t>
      </w:r>
      <w:bookmarkEnd w:id="530"/>
      <w:bookmarkEnd w:id="531"/>
      <w:r>
        <w:fldChar w:fldCharType="begin"/>
      </w:r>
      <w:r>
        <w:instrText xml:space="preserve"> XE "tcPr (Style Table Cell Properties)" </w:instrText>
      </w:r>
      <w:r>
        <w:fldChar w:fldCharType="end"/>
      </w:r>
    </w:p>
    <w:p w:rsidR="005F78FC" w:rsidRDefault="00B42EF3">
      <w:pPr>
        <w:pStyle w:val="Definition-Field"/>
      </w:pPr>
      <w:r>
        <w:t xml:space="preserve">a.   </w:t>
      </w:r>
      <w:r>
        <w:rPr>
          <w:i/>
        </w:rPr>
        <w:t>The standard allows all table cell properties in table styles.</w:t>
      </w:r>
    </w:p>
    <w:p w:rsidR="005F78FC" w:rsidRDefault="00B42EF3">
      <w:pPr>
        <w:pStyle w:val="Definition-Field2"/>
      </w:pPr>
      <w:r>
        <w:t>Word does not allow cellDel, cellIns, cellMerge, cnfStyle, gridSpan, hideMark, hMerge, tcFitText, tcPrChange, tcW, textDirection,</w:t>
      </w:r>
      <w:r>
        <w:t xml:space="preserve"> and vMerge in table styles.</w:t>
      </w:r>
    </w:p>
    <w:p w:rsidR="005F78FC" w:rsidRDefault="00B42EF3">
      <w:pPr>
        <w:pStyle w:val="Definition-Field"/>
      </w:pPr>
      <w:r>
        <w:t xml:space="preserve">b.   </w:t>
      </w:r>
      <w:r>
        <w:rPr>
          <w:i/>
        </w:rPr>
        <w:t>The standard allows tcBorders elements in a table style for table-wide cell properties.</w:t>
      </w:r>
    </w:p>
    <w:p w:rsidR="005F78FC" w:rsidRDefault="00B42EF3">
      <w:pPr>
        <w:pStyle w:val="Definition-Field2"/>
      </w:pPr>
      <w:r>
        <w:t>Word does not allow the tcBorders elements in a table style for table-wide cell properties.</w:t>
      </w:r>
    </w:p>
    <w:p w:rsidR="005F78FC" w:rsidRDefault="00B42EF3">
      <w:pPr>
        <w:pStyle w:val="Heading3"/>
      </w:pPr>
      <w:bookmarkStart w:id="532" w:name="section_c78643db45244582bab3b93a2dd7b94a"/>
      <w:bookmarkStart w:id="533" w:name="_Toc69878039"/>
      <w:r>
        <w:t>Part 1 Section 17.7.6.10, trPr (Table Style Conditional Formatting Table Row Properties)</w:t>
      </w:r>
      <w:bookmarkEnd w:id="532"/>
      <w:bookmarkEnd w:id="533"/>
      <w:r>
        <w:fldChar w:fldCharType="begin"/>
      </w:r>
      <w:r>
        <w:instrText xml:space="preserve"> XE "trPr (Table Style Conditional Formatting Table Row Properties)"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953ded84289041e2b60711dc9c658a54">
        <w:r>
          <w:rPr>
            <w:rStyle w:val="Hyperlink"/>
          </w:rPr>
          <w:t>trPrChange, §17.13.5.37(a)</w:t>
        </w:r>
      </w:hyperlink>
      <w:r>
        <w:rPr>
          <w:i/>
        </w:rPr>
        <w:t>.</w:t>
      </w:r>
    </w:p>
    <w:p w:rsidR="005F78FC" w:rsidRDefault="00B42EF3">
      <w:pPr>
        <w:pStyle w:val="Definition-Field"/>
      </w:pPr>
      <w:r>
        <w:t xml:space="preserve">a.   </w:t>
      </w:r>
      <w:r>
        <w:rPr>
          <w:i/>
        </w:rPr>
        <w:t>The standard allows hidden as a child or trPr in a table style.</w:t>
      </w:r>
    </w:p>
    <w:p w:rsidR="005F78FC" w:rsidRDefault="00B42EF3">
      <w:pPr>
        <w:pStyle w:val="Definition-Field2"/>
      </w:pPr>
      <w:r>
        <w:lastRenderedPageBreak/>
        <w:t>Word ignores hidden if it is a child of trPr in a table style.</w:t>
      </w:r>
    </w:p>
    <w:p w:rsidR="005F78FC" w:rsidRDefault="00B42EF3">
      <w:pPr>
        <w:pStyle w:val="Definition-Field"/>
      </w:pPr>
      <w:r>
        <w:t xml:space="preserve">b.   </w:t>
      </w:r>
      <w:r>
        <w:rPr>
          <w:i/>
        </w:rPr>
        <w:t>The standard states that the cnfSt</w:t>
      </w:r>
      <w:r>
        <w:rPr>
          <w:i/>
        </w:rPr>
        <w:t>yle, del, divId, gridAfter, gridBefore, ins, trHeight, trPrChange, wAfter, and wBefore elements are valid child elements of the trPr element.</w:t>
      </w:r>
    </w:p>
    <w:p w:rsidR="005F78FC" w:rsidRDefault="00B42EF3">
      <w:pPr>
        <w:pStyle w:val="Definition-Field2"/>
      </w:pPr>
      <w:r>
        <w:t>Word does not allow these elements to be child elements of the trPr element.</w:t>
      </w:r>
    </w:p>
    <w:p w:rsidR="005F78FC" w:rsidRDefault="00B42EF3">
      <w:pPr>
        <w:pStyle w:val="Heading3"/>
      </w:pPr>
      <w:bookmarkStart w:id="534" w:name="section_36064a5b267d4a27a567453d8b96a5b3"/>
      <w:bookmarkStart w:id="535" w:name="_Toc69878040"/>
      <w:r>
        <w:t>Part 1 Section 17.7.6.11, trPr (Style</w:t>
      </w:r>
      <w:r>
        <w:t xml:space="preserve"> Table Row Properties)</w:t>
      </w:r>
      <w:bookmarkEnd w:id="534"/>
      <w:bookmarkEnd w:id="535"/>
      <w:r>
        <w:fldChar w:fldCharType="begin"/>
      </w:r>
      <w:r>
        <w:instrText xml:space="preserve"> XE "trPr (Style Table Row Properties)" </w:instrText>
      </w:r>
      <w:r>
        <w:fldChar w:fldCharType="end"/>
      </w:r>
    </w:p>
    <w:p w:rsidR="005F78FC" w:rsidRDefault="00B42EF3">
      <w:pPr>
        <w:pStyle w:val="Definition-Field"/>
      </w:pPr>
      <w:r>
        <w:t xml:space="preserve">a.   </w:t>
      </w:r>
      <w:r>
        <w:rPr>
          <w:i/>
        </w:rPr>
        <w:t>The standard states that the cnfStyle, del, divId, gridAfter, gridBefore, ins, trHeight, trPrChange, wAfter, and wBefore elements are valid child elements of the trPr element.</w:t>
      </w:r>
    </w:p>
    <w:p w:rsidR="005F78FC" w:rsidRDefault="00B42EF3">
      <w:pPr>
        <w:pStyle w:val="Definition-Field2"/>
      </w:pPr>
      <w:r>
        <w:t xml:space="preserve">Word does </w:t>
      </w:r>
      <w:r>
        <w:t>not allow these elements to be child elements of the trPr element.</w:t>
      </w:r>
    </w:p>
    <w:p w:rsidR="005F78FC" w:rsidRDefault="00B42EF3">
      <w:pPr>
        <w:pStyle w:val="Definition-Field"/>
      </w:pPr>
      <w:r>
        <w:t xml:space="preserve">b.   </w:t>
      </w:r>
      <w:r>
        <w:rPr>
          <w:i/>
        </w:rPr>
        <w:t>The standard allows hidden as a child of trPr in a table style.</w:t>
      </w:r>
    </w:p>
    <w:p w:rsidR="005F78FC" w:rsidRDefault="00B42EF3">
      <w:pPr>
        <w:pStyle w:val="Definition-Field2"/>
      </w:pPr>
      <w:r>
        <w:t>Word ignores hidden as a child of trPr in a table style.</w:t>
      </w:r>
    </w:p>
    <w:p w:rsidR="005F78FC" w:rsidRDefault="00B42EF3">
      <w:pPr>
        <w:pStyle w:val="Heading3"/>
      </w:pPr>
      <w:bookmarkStart w:id="536" w:name="section_bd62641d7786473f872d4b3205e91a82"/>
      <w:bookmarkStart w:id="537" w:name="_Toc69878041"/>
      <w:r>
        <w:t>Part 1 Section 17.7.8, Paragraph Styles</w:t>
      </w:r>
      <w:bookmarkEnd w:id="536"/>
      <w:bookmarkEnd w:id="537"/>
      <w:r>
        <w:fldChar w:fldCharType="begin"/>
      </w:r>
      <w:r>
        <w:instrText xml:space="preserve"> XE "Paragraph Styles" </w:instrText>
      </w:r>
      <w:r>
        <w:fldChar w:fldCharType="end"/>
      </w:r>
    </w:p>
    <w:p w:rsidR="005F78FC" w:rsidRDefault="00B42EF3">
      <w:pPr>
        <w:pStyle w:val="Definition-Field"/>
      </w:pPr>
      <w:r>
        <w:t xml:space="preserve">a.   </w:t>
      </w:r>
      <w:r>
        <w:rPr>
          <w:i/>
        </w:rPr>
        <w:t>The standard specifies that the resolved value of the toggle properties will toggle the previous level (True) or leave it unchanged (False) when present in a paragraph style.</w:t>
      </w:r>
    </w:p>
    <w:p w:rsidR="005F78FC" w:rsidRDefault="00B42EF3">
      <w:pPr>
        <w:pStyle w:val="Definition-Field2"/>
      </w:pPr>
      <w:r>
        <w:t>Word resets the value of the toggle property to the value specified by the</w:t>
      </w:r>
      <w:r>
        <w:t xml:space="preserve"> paragraph style if a value is present; for example, a value of 1 resets the property's state to True instead of toggling it.</w:t>
      </w:r>
    </w:p>
    <w:p w:rsidR="005F78FC" w:rsidRDefault="00B42EF3">
      <w:pPr>
        <w:pStyle w:val="Heading3"/>
      </w:pPr>
      <w:bookmarkStart w:id="538" w:name="section_03bd6b70ee1a457885a1b4207bbb34ce"/>
      <w:bookmarkStart w:id="539" w:name="_Toc69878042"/>
      <w:r>
        <w:t>Part 1 Section 17.7.8.2, pPr (Style Paragraph Properties)</w:t>
      </w:r>
      <w:bookmarkEnd w:id="538"/>
      <w:bookmarkEnd w:id="539"/>
      <w:r>
        <w:fldChar w:fldCharType="begin"/>
      </w:r>
      <w:r>
        <w:instrText xml:space="preserve"> XE "pPr (Style Paragraph Properties)" </w:instrText>
      </w:r>
      <w:r>
        <w:fldChar w:fldCharType="end"/>
      </w:r>
    </w:p>
    <w:p w:rsidR="005F78FC" w:rsidRDefault="00B42EF3">
      <w:pPr>
        <w:pStyle w:val="Definition-Field"/>
      </w:pPr>
      <w:r>
        <w:t xml:space="preserve">a.   </w:t>
      </w:r>
      <w:r>
        <w:rPr>
          <w:i/>
        </w:rPr>
        <w:t>The standard states that t</w:t>
      </w:r>
      <w:r>
        <w:rPr>
          <w:i/>
        </w:rPr>
        <w:t>he cnfStyle, divId, pStyle, rPr, and sectPr elements are valid child elements of the pPr element.</w:t>
      </w:r>
    </w:p>
    <w:p w:rsidR="005F78FC" w:rsidRDefault="00B42EF3">
      <w:pPr>
        <w:pStyle w:val="Definition-Field2"/>
      </w:pPr>
      <w:r>
        <w:t>Word does not allow these elements to be child elements of the pPr element.</w:t>
      </w:r>
    </w:p>
    <w:p w:rsidR="005F78FC" w:rsidRDefault="00B42EF3">
      <w:pPr>
        <w:pStyle w:val="Definition-Field"/>
      </w:pPr>
      <w:r>
        <w:t xml:space="preserve">b.   </w:t>
      </w:r>
      <w:r>
        <w:rPr>
          <w:i/>
        </w:rPr>
        <w:t>The standard allows framePr, suppressOverlap, and textDirection as child elem</w:t>
      </w:r>
      <w:r>
        <w:rPr>
          <w:i/>
        </w:rPr>
        <w:t>ents of pPr in a style.</w:t>
      </w:r>
    </w:p>
    <w:p w:rsidR="005F78FC" w:rsidRDefault="00B42EF3">
      <w:pPr>
        <w:pStyle w:val="Definition-Field2"/>
      </w:pPr>
      <w:r>
        <w:t>Word does not allow framePr, suppressOverlap, and textDirection as child elements in a style and may fail to load such a file.</w:t>
      </w:r>
    </w:p>
    <w:p w:rsidR="005F78FC" w:rsidRDefault="00B42EF3">
      <w:pPr>
        <w:pStyle w:val="Heading3"/>
      </w:pPr>
      <w:bookmarkStart w:id="540" w:name="section_0f36799f599e449b8d9dcd42c9c6e41f"/>
      <w:bookmarkStart w:id="541" w:name="_Toc69878043"/>
      <w:r>
        <w:t>Part 1 Section 17.7.9.1, rPr (Run Properties)</w:t>
      </w:r>
      <w:bookmarkEnd w:id="540"/>
      <w:bookmarkEnd w:id="541"/>
      <w:r>
        <w:fldChar w:fldCharType="begin"/>
      </w:r>
      <w:r>
        <w:instrText xml:space="preserve"> XE "rPr (Run Properties)" </w:instrText>
      </w:r>
      <w:r>
        <w:fldChar w:fldCharType="end"/>
      </w:r>
    </w:p>
    <w:p w:rsidR="005F78FC" w:rsidRDefault="00B42EF3">
      <w:pPr>
        <w:pStyle w:val="Definition-Field"/>
      </w:pPr>
      <w:r>
        <w:t xml:space="preserve">a.   </w:t>
      </w:r>
      <w:r>
        <w:rPr>
          <w:i/>
        </w:rPr>
        <w:t xml:space="preserve">The standard states that </w:t>
      </w:r>
      <w:r>
        <w:rPr>
          <w:i/>
        </w:rPr>
        <w:t>the cs, highlight, oMath, rStyle, and rtl elements are valid child elements of the rPr element.</w:t>
      </w:r>
    </w:p>
    <w:p w:rsidR="005F78FC" w:rsidRDefault="00B42EF3">
      <w:pPr>
        <w:pStyle w:val="Definition-Field2"/>
      </w:pPr>
      <w:r>
        <w:t>Word does not allow these elements to be child elements of the rPr element.</w:t>
      </w:r>
    </w:p>
    <w:p w:rsidR="005F78FC" w:rsidRDefault="00B42EF3">
      <w:pPr>
        <w:pStyle w:val="Heading3"/>
      </w:pPr>
      <w:bookmarkStart w:id="542" w:name="section_09b83e1530de481d8ddf777107d4122e"/>
      <w:bookmarkStart w:id="543" w:name="_Toc69878044"/>
      <w:r>
        <w:t>Part 1 Section 17.8, Fonts</w:t>
      </w:r>
      <w:bookmarkEnd w:id="542"/>
      <w:bookmarkEnd w:id="543"/>
      <w:r>
        <w:fldChar w:fldCharType="begin"/>
      </w:r>
      <w:r>
        <w:instrText xml:space="preserve"> XE "Fonts" </w:instrText>
      </w:r>
      <w:r>
        <w:fldChar w:fldCharType="end"/>
      </w:r>
    </w:p>
    <w:p w:rsidR="005F78FC" w:rsidRDefault="00B42EF3">
      <w:pPr>
        <w:pStyle w:val="Definition-Field"/>
      </w:pPr>
      <w:r>
        <w:t xml:space="preserve">a.   </w:t>
      </w:r>
      <w:r>
        <w:rPr>
          <w:i/>
        </w:rPr>
        <w:t xml:space="preserve">The standard states that when a font </w:t>
      </w:r>
      <w:r>
        <w:rPr>
          <w:i/>
        </w:rPr>
        <w:t>is unavailable, font substitution elements may not be modified.</w:t>
      </w:r>
    </w:p>
    <w:p w:rsidR="005F78FC" w:rsidRDefault="00B42EF3">
      <w:pPr>
        <w:pStyle w:val="Definition-Field2"/>
      </w:pPr>
      <w:r>
        <w:t>Word can modify the font substitution elements (altName, panose1, charset, family, notTrueType, pitch, sig) if a font with the same name has been loaded before in the same application session.</w:t>
      </w:r>
    </w:p>
    <w:p w:rsidR="005F78FC" w:rsidRDefault="00B42EF3">
      <w:pPr>
        <w:pStyle w:val="Definition-Field"/>
      </w:pPr>
      <w:r>
        <w:t xml:space="preserve">b.   </w:t>
      </w:r>
      <w:r>
        <w:rPr>
          <w:i/>
        </w:rPr>
        <w:t>The standard does not state that different forms of embedded font types must be from the same font.</w:t>
      </w:r>
    </w:p>
    <w:p w:rsidR="005F78FC" w:rsidRDefault="00B42EF3">
      <w:r>
        <w:lastRenderedPageBreak/>
        <w:t xml:space="preserve">Word can only display one embedded font per font name.  If </w:t>
      </w:r>
      <w:r>
        <w:rPr>
          <w:b/>
        </w:rPr>
        <w:t>embedRegular</w:t>
      </w:r>
      <w:r>
        <w:t xml:space="preserve"> ("</w:t>
      </w:r>
      <w:hyperlink r:id="rId96">
        <w:r>
          <w:rPr>
            <w:rStyle w:val="Hyperlink"/>
          </w:rPr>
          <w:t>[ISO/IEC-2</w:t>
        </w:r>
        <w:r>
          <w:rPr>
            <w:rStyle w:val="Hyperlink"/>
          </w:rPr>
          <w:t>9500-1]</w:t>
        </w:r>
      </w:hyperlink>
      <w:r>
        <w:t xml:space="preserve"> §17.8.3.6; embedRegular"), </w:t>
      </w:r>
      <w:r>
        <w:rPr>
          <w:b/>
        </w:rPr>
        <w:t>embedBold</w:t>
      </w:r>
      <w:r>
        <w:t xml:space="preserve"> (“"[ISO/IEC-29500-1] §17.8.3.3; embedBold"), </w:t>
      </w:r>
      <w:r>
        <w:rPr>
          <w:b/>
        </w:rPr>
        <w:t>embedItalic</w:t>
      </w:r>
      <w:r>
        <w:t xml:space="preserve"> (“"[ISO/IEC-29500-1] §17.8.3.5; embedItalic") or </w:t>
      </w:r>
      <w:r>
        <w:rPr>
          <w:b/>
        </w:rPr>
        <w:t>embedBoldItalic</w:t>
      </w:r>
      <w:r>
        <w:t xml:space="preserve"> (“"[ISO/IEC-29500-1] §17.8.3.4; embedBoldItalic") specify different fonts, only one of th</w:t>
      </w:r>
      <w:r>
        <w:t>ese fonts will be used to display all variations. If multiple documents are loaded which specify different embedded fonts for a given font name, only one embedded font will be used to display all variations of such font across all documents.  When Word sav</w:t>
      </w:r>
      <w:r>
        <w:t xml:space="preserve">es a document; </w:t>
      </w:r>
      <w:r>
        <w:rPr>
          <w:b/>
        </w:rPr>
        <w:t>embedRegular</w:t>
      </w:r>
      <w:r>
        <w:t xml:space="preserve">, </w:t>
      </w:r>
      <w:r>
        <w:rPr>
          <w:b/>
        </w:rPr>
        <w:t>embedBold</w:t>
      </w:r>
      <w:r>
        <w:t xml:space="preserve">, </w:t>
      </w:r>
      <w:r>
        <w:rPr>
          <w:b/>
        </w:rPr>
        <w:t>embedItalic</w:t>
      </w:r>
      <w:r>
        <w:t xml:space="preserve"> and </w:t>
      </w:r>
      <w:r>
        <w:rPr>
          <w:b/>
        </w:rPr>
        <w:t>embedBoldItalic</w:t>
      </w:r>
      <w:r>
        <w:t xml:space="preserve"> will all be embedded forms of the same font.</w:t>
      </w:r>
    </w:p>
    <w:p w:rsidR="005F78FC" w:rsidRDefault="00B42EF3">
      <w:pPr>
        <w:pStyle w:val="Heading3"/>
      </w:pPr>
      <w:bookmarkStart w:id="544" w:name="section_f7c44a603d384925893457d77c277e84"/>
      <w:bookmarkStart w:id="545" w:name="_Toc69878045"/>
      <w:r>
        <w:t>Part 1 Section 17.8.3.1, altName (Alternate Names for Font)</w:t>
      </w:r>
      <w:bookmarkEnd w:id="544"/>
      <w:bookmarkEnd w:id="545"/>
      <w:r>
        <w:fldChar w:fldCharType="begin"/>
      </w:r>
      <w:r>
        <w:instrText xml:space="preserve"> XE "altName (Alternate Names for Font)" </w:instrText>
      </w:r>
      <w:r>
        <w:fldChar w:fldCharType="end"/>
      </w:r>
    </w:p>
    <w:p w:rsidR="005F78FC" w:rsidRDefault="00B42EF3">
      <w:pPr>
        <w:pStyle w:val="Definition-Field"/>
      </w:pPr>
      <w:r>
        <w:t xml:space="preserve">a.   </w:t>
      </w:r>
      <w:r>
        <w:rPr>
          <w:i/>
        </w:rPr>
        <w:t xml:space="preserve">The standard describes the </w:t>
      </w:r>
      <w:r>
        <w:rPr>
          <w:i/>
        </w:rPr>
        <w:t>altName element as a set of alternative names given as comma-delimited list.</w:t>
      </w:r>
    </w:p>
    <w:p w:rsidR="005F78FC" w:rsidRDefault="00B42EF3">
      <w:pPr>
        <w:pStyle w:val="Definition-Field2"/>
      </w:pPr>
      <w:r>
        <w:t>Word does not split values on commas or anything else; instead, it treats the entire value as a single alternate font name.</w:t>
      </w:r>
    </w:p>
    <w:p w:rsidR="005F78FC" w:rsidRDefault="00B42EF3">
      <w:pPr>
        <w:pStyle w:val="Definition-Field"/>
      </w:pPr>
      <w:r>
        <w:t xml:space="preserve">b.   </w:t>
      </w:r>
      <w:r>
        <w:rPr>
          <w:i/>
        </w:rPr>
        <w:t>The standard does not limit the length of the valu</w:t>
      </w:r>
      <w:r>
        <w:rPr>
          <w:i/>
        </w:rPr>
        <w:t>e of the val attribute.</w:t>
      </w:r>
    </w:p>
    <w:p w:rsidR="005F78FC" w:rsidRDefault="00B42EF3">
      <w:pPr>
        <w:pStyle w:val="Definition-Field2"/>
      </w:pPr>
      <w:r>
        <w:t>Word restricts the value of this attribute to be at most 31 characters.</w:t>
      </w:r>
    </w:p>
    <w:p w:rsidR="005F78FC" w:rsidRDefault="00B42EF3">
      <w:pPr>
        <w:pStyle w:val="Definition-Field"/>
      </w:pPr>
      <w:r>
        <w:t xml:space="preserve">c.   </w:t>
      </w:r>
      <w:r>
        <w:rPr>
          <w:i/>
        </w:rPr>
        <w:t>The standard states that the value of the altName element does not change when resaving a document.</w:t>
      </w:r>
    </w:p>
    <w:p w:rsidR="005F78FC" w:rsidRDefault="00B42EF3">
      <w:pPr>
        <w:pStyle w:val="Definition-Field2"/>
      </w:pPr>
      <w:r>
        <w:t>Word removes the altName element for system fonts, keep</w:t>
      </w:r>
      <w:r>
        <w:t>s it for other fonts the first time they are loaded in the session, and reverts them to the previous value for subsequent times they are loaded in the session.</w:t>
      </w:r>
    </w:p>
    <w:p w:rsidR="005F78FC" w:rsidRDefault="00B42EF3">
      <w:pPr>
        <w:pStyle w:val="Definition-Field"/>
      </w:pPr>
      <w:r>
        <w:t xml:space="preserve">d.   </w:t>
      </w:r>
      <w:r>
        <w:rPr>
          <w:i/>
        </w:rPr>
        <w:t>The standard states that the value of the altName element does not change when resaving a d</w:t>
      </w:r>
      <w:r>
        <w:rPr>
          <w:i/>
        </w:rPr>
        <w:t>ocument.</w:t>
      </w:r>
    </w:p>
    <w:p w:rsidR="005F78FC" w:rsidRDefault="00B42EF3">
      <w:pPr>
        <w:pStyle w:val="Definition-Field2"/>
      </w:pPr>
      <w:r>
        <w:t>When Word resolves an unknown font, it changes the value of the altName element to the font to which it was resolved, whether altName had a value before or not.</w:t>
      </w:r>
    </w:p>
    <w:p w:rsidR="005F78FC" w:rsidRDefault="00B42EF3">
      <w:pPr>
        <w:pStyle w:val="Heading3"/>
      </w:pPr>
      <w:bookmarkStart w:id="546" w:name="section_52357dd845fc4d83b9aa87787d22666a"/>
      <w:bookmarkStart w:id="547" w:name="_Toc69878046"/>
      <w:r>
        <w:t>Part 1 Section 17.8.3.2, charset (Character Set Supported By Font)</w:t>
      </w:r>
      <w:bookmarkEnd w:id="546"/>
      <w:bookmarkEnd w:id="547"/>
      <w:r>
        <w:fldChar w:fldCharType="begin"/>
      </w:r>
      <w:r>
        <w:instrText xml:space="preserve"> XE "charset (Charac</w:instrText>
      </w:r>
      <w:r>
        <w:instrText xml:space="preserve">ter Set Supported By Font)" </w:instrText>
      </w:r>
      <w:r>
        <w:fldChar w:fldCharType="end"/>
      </w:r>
    </w:p>
    <w:p w:rsidR="005F78FC" w:rsidRDefault="00B42EF3">
      <w:pPr>
        <w:pStyle w:val="Definition-Field"/>
      </w:pPr>
      <w:r>
        <w:t xml:space="preserve">a.   </w:t>
      </w:r>
      <w:r>
        <w:rPr>
          <w:i/>
        </w:rPr>
        <w:t>The standard states that when a font is unavailable the charset element shall not be modified.</w:t>
      </w:r>
    </w:p>
    <w:p w:rsidR="005F78FC" w:rsidRDefault="00B42EF3">
      <w:pPr>
        <w:pStyle w:val="Definition-Field2"/>
      </w:pPr>
      <w:r>
        <w:t>Word can modify the charset element of an unavailable font if a font with the same name has been loaded before in the same Wo</w:t>
      </w:r>
      <w:r>
        <w:t>rd instance.</w:t>
      </w:r>
    </w:p>
    <w:p w:rsidR="005F78FC" w:rsidRDefault="00B42EF3">
      <w:pPr>
        <w:pStyle w:val="Definition-Field"/>
      </w:pPr>
      <w:r>
        <w:t xml:space="preserve">b.   </w:t>
      </w:r>
      <w:r>
        <w:rPr>
          <w:i/>
        </w:rPr>
        <w:t>The standard specifies that the characterSet attribute is a valid attribute of the charset element.</w:t>
      </w:r>
    </w:p>
    <w:p w:rsidR="005F78FC" w:rsidRDefault="00B42EF3">
      <w:pPr>
        <w:pStyle w:val="Definition-Field2"/>
      </w:pPr>
      <w:r>
        <w:t>Word ignores the characterSet attribute.</w:t>
      </w:r>
    </w:p>
    <w:p w:rsidR="005F78FC" w:rsidRDefault="00B42EF3">
      <w:pPr>
        <w:pStyle w:val="Heading3"/>
      </w:pPr>
      <w:bookmarkStart w:id="548" w:name="section_6fbd8de94638407883b94c7a065baa9c"/>
      <w:bookmarkStart w:id="549" w:name="_Toc69878047"/>
      <w:r>
        <w:t>Part 1 Section 17.8.3.3, embedBold (Bold Style Font Style Embedding)</w:t>
      </w:r>
      <w:bookmarkEnd w:id="548"/>
      <w:bookmarkEnd w:id="549"/>
      <w:r>
        <w:fldChar w:fldCharType="begin"/>
      </w:r>
      <w:r>
        <w:instrText xml:space="preserve"> XE "embedBold (Bold Style Fo</w:instrText>
      </w:r>
      <w:r>
        <w:instrText xml:space="preserve">nt Style Embedding)"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5F78FC" w:rsidRDefault="00B42EF3">
      <w:pPr>
        <w:pStyle w:val="Heading3"/>
      </w:pPr>
      <w:bookmarkStart w:id="550" w:name="section_dbbfc4ff54c04dbcaebae872109c43e8"/>
      <w:bookmarkStart w:id="551" w:name="_Toc69878048"/>
      <w:r>
        <w:t>Part 1 Section 17.8.3.4, embedBoldItalic (Bold</w:t>
      </w:r>
      <w:r>
        <w:t xml:space="preserve"> Italic Font Style Embedding)</w:t>
      </w:r>
      <w:bookmarkEnd w:id="550"/>
      <w:bookmarkEnd w:id="551"/>
      <w:r>
        <w:fldChar w:fldCharType="begin"/>
      </w:r>
      <w:r>
        <w:instrText xml:space="preserve"> XE "embedBoldItalic (Bold Italic Font Style Embedding)"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w:t>
        </w:r>
        <w:r>
          <w:rPr>
            <w:rStyle w:val="Hyperlink"/>
          </w:rPr>
          <w:t>te, §17.15.1.6(a)</w:t>
        </w:r>
      </w:hyperlink>
      <w:r>
        <w:rPr>
          <w:i/>
        </w:rPr>
        <w:t>.</w:t>
      </w:r>
    </w:p>
    <w:p w:rsidR="005F78FC" w:rsidRDefault="00B42EF3">
      <w:pPr>
        <w:pStyle w:val="Heading3"/>
      </w:pPr>
      <w:bookmarkStart w:id="552" w:name="section_6da0671b0642486684113e94da64d2d8"/>
      <w:bookmarkStart w:id="553" w:name="_Toc69878049"/>
      <w:r>
        <w:lastRenderedPageBreak/>
        <w:t>Part 1 Section 17.8.3.5, embedItalic (Italic Font Style Embedding)</w:t>
      </w:r>
      <w:bookmarkEnd w:id="552"/>
      <w:bookmarkEnd w:id="553"/>
      <w:r>
        <w:fldChar w:fldCharType="begin"/>
      </w:r>
      <w:r>
        <w:instrText xml:space="preserve"> XE "embedItalic (Italic Font Style Embedding)"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5F78FC" w:rsidRDefault="00B42EF3">
      <w:pPr>
        <w:pStyle w:val="Heading3"/>
      </w:pPr>
      <w:bookmarkStart w:id="554" w:name="section_10b5df87a73f4b55ada6222da4780aba"/>
      <w:bookmarkStart w:id="555" w:name="_Toc69878050"/>
      <w:r>
        <w:t>Part 1 Section 17.8.3.6, embedRegular (Regular Font Style Embedding)</w:t>
      </w:r>
      <w:bookmarkEnd w:id="554"/>
      <w:bookmarkEnd w:id="555"/>
      <w:r>
        <w:fldChar w:fldCharType="begin"/>
      </w:r>
      <w:r>
        <w:instrText xml:space="preserve"> XE "embedRegular (Regular Font Style Embedding)" </w:instrText>
      </w:r>
      <w:r>
        <w:fldChar w:fldCharType="end"/>
      </w:r>
    </w:p>
    <w:p w:rsidR="005F78FC" w:rsidRDefault="00B42EF3">
      <w:pPr>
        <w:pStyle w:val="Definition-Field2"/>
      </w:pPr>
      <w:r>
        <w:rPr>
          <w:i/>
        </w:rPr>
        <w:t>For additional notes that apply to this p</w:t>
      </w:r>
      <w:r>
        <w:rPr>
          <w:i/>
        </w:rPr>
        <w:t xml:space="preserve">ortion of the standard, please see the notes for </w:t>
      </w:r>
      <w:hyperlink w:anchor="Section_55e01b00ed934498b4e5b0bc0abdf97d">
        <w:r>
          <w:rPr>
            <w:rStyle w:val="Hyperlink"/>
          </w:rPr>
          <w:t>attachedTemplate, §17.15.1.6(a)</w:t>
        </w:r>
      </w:hyperlink>
      <w:r>
        <w:rPr>
          <w:i/>
        </w:rPr>
        <w:t>.</w:t>
      </w:r>
    </w:p>
    <w:p w:rsidR="005F78FC" w:rsidRDefault="00B42EF3">
      <w:pPr>
        <w:pStyle w:val="Heading3"/>
      </w:pPr>
      <w:bookmarkStart w:id="556" w:name="section_8c385d066c29470b89cf3c2bab8633e6"/>
      <w:bookmarkStart w:id="557" w:name="_Toc69878051"/>
      <w:r>
        <w:t>Part 1 Section 17.8.3.8, embedTrueTypeFonts (Embed TrueType Fonts)</w:t>
      </w:r>
      <w:bookmarkEnd w:id="556"/>
      <w:bookmarkEnd w:id="557"/>
      <w:r>
        <w:fldChar w:fldCharType="begin"/>
      </w:r>
      <w:r>
        <w:instrText xml:space="preserve"> XE "embedTrueTypeFonts (Embed TrueType Fonts</w:instrText>
      </w:r>
      <w:r>
        <w:instrText xml:space="preserve">)" </w:instrText>
      </w:r>
      <w:r>
        <w:fldChar w:fldCharType="end"/>
      </w:r>
    </w:p>
    <w:p w:rsidR="005F78FC" w:rsidRDefault="00B42EF3">
      <w:pPr>
        <w:pStyle w:val="Definition-Field"/>
      </w:pPr>
      <w:r>
        <w:t xml:space="preserve">a.   </w:t>
      </w:r>
      <w:r>
        <w:rPr>
          <w:i/>
        </w:rPr>
        <w:t>The standard states that the embedTrueTypeFonts element directs the application to embed used fonts.</w:t>
      </w:r>
    </w:p>
    <w:p w:rsidR="005F78FC" w:rsidRDefault="00B42EF3">
      <w:pPr>
        <w:pStyle w:val="Definition-Field2"/>
      </w:pPr>
      <w:r>
        <w:t>Word does not embed non-installed fonts after resolved through font substitution.</w:t>
      </w:r>
    </w:p>
    <w:p w:rsidR="005F78FC" w:rsidRDefault="00B42EF3">
      <w:pPr>
        <w:pStyle w:val="Heading3"/>
      </w:pPr>
      <w:bookmarkStart w:id="558" w:name="section_d78baa1b850d4aeb91cc254c814a4cba"/>
      <w:bookmarkStart w:id="559" w:name="_Toc69878052"/>
      <w:r>
        <w:t>Part 1 Section 17.8.3.9, family (Font Family)</w:t>
      </w:r>
      <w:bookmarkEnd w:id="558"/>
      <w:bookmarkEnd w:id="559"/>
      <w:r>
        <w:fldChar w:fldCharType="begin"/>
      </w:r>
      <w:r>
        <w:instrText xml:space="preserve"> XE "family (Font</w:instrText>
      </w:r>
      <w:r>
        <w:instrText xml:space="preserve"> Family)" </w:instrText>
      </w:r>
      <w:r>
        <w:fldChar w:fldCharType="end"/>
      </w:r>
    </w:p>
    <w:p w:rsidR="005F78FC" w:rsidRDefault="00B42EF3">
      <w:pPr>
        <w:pStyle w:val="Definition-Field"/>
      </w:pPr>
      <w:r>
        <w:t xml:space="preserve">a.   </w:t>
      </w:r>
      <w:r>
        <w:rPr>
          <w:i/>
        </w:rPr>
        <w:t>The standard states that when a font is unavailable the family element shall not be modified.</w:t>
      </w:r>
    </w:p>
    <w:p w:rsidR="005F78FC" w:rsidRDefault="00B42EF3">
      <w:pPr>
        <w:pStyle w:val="Definition-Field2"/>
      </w:pPr>
      <w:r>
        <w:t>Word can modify the family element of an unavailable font if a font with the same name has been loaded before in the same Word instance.</w:t>
      </w:r>
    </w:p>
    <w:p w:rsidR="005F78FC" w:rsidRDefault="00B42EF3">
      <w:pPr>
        <w:pStyle w:val="Heading3"/>
      </w:pPr>
      <w:bookmarkStart w:id="560" w:name="section_140b01ad31f04eafbf45c2121fee0dc6"/>
      <w:bookmarkStart w:id="561" w:name="_Toc69878053"/>
      <w:r>
        <w:t xml:space="preserve">Part 1 </w:t>
      </w:r>
      <w:r>
        <w:t>Section 17.8.3.10, font (Properties for a Single Font)</w:t>
      </w:r>
      <w:bookmarkEnd w:id="560"/>
      <w:bookmarkEnd w:id="561"/>
      <w:r>
        <w:fldChar w:fldCharType="begin"/>
      </w:r>
      <w:r>
        <w:instrText xml:space="preserve"> XE "font (Properties for a Single Font)" </w:instrText>
      </w:r>
      <w:r>
        <w:fldChar w:fldCharType="end"/>
      </w:r>
    </w:p>
    <w:p w:rsidR="005F78FC" w:rsidRDefault="00B42EF3">
      <w:pPr>
        <w:pStyle w:val="Definition-Field"/>
      </w:pPr>
      <w:r>
        <w:t xml:space="preserve">a.   </w:t>
      </w:r>
      <w:r>
        <w:rPr>
          <w:i/>
        </w:rPr>
        <w:t>The standard defines font name with an unbounded string length.</w:t>
      </w:r>
    </w:p>
    <w:p w:rsidR="005F78FC" w:rsidRDefault="00B42EF3">
      <w:pPr>
        <w:pStyle w:val="Definition-Field2"/>
      </w:pPr>
      <w:r>
        <w:t>Word limits font name length to between 1 and 31 characters.</w:t>
      </w:r>
    </w:p>
    <w:p w:rsidR="005F78FC" w:rsidRDefault="00B42EF3">
      <w:pPr>
        <w:pStyle w:val="Definition-Field"/>
      </w:pPr>
      <w:r>
        <w:t xml:space="preserve">b.   </w:t>
      </w:r>
      <w:r>
        <w:rPr>
          <w:i/>
        </w:rPr>
        <w:t xml:space="preserve">The standard does not </w:t>
      </w:r>
      <w:r>
        <w:rPr>
          <w:i/>
        </w:rPr>
        <w:t>describe font names as case insensitive.</w:t>
      </w:r>
    </w:p>
    <w:p w:rsidR="005F78FC" w:rsidRDefault="00B42EF3">
      <w:pPr>
        <w:pStyle w:val="Definition-Field2"/>
      </w:pPr>
      <w:r>
        <w:t>In Word, font names are case insensitive.</w:t>
      </w:r>
    </w:p>
    <w:p w:rsidR="005F78FC" w:rsidRDefault="00B42EF3">
      <w:pPr>
        <w:pStyle w:val="Definition-Field"/>
      </w:pPr>
      <w:r>
        <w:t xml:space="preserve">c.   </w:t>
      </w:r>
      <w:r>
        <w:rPr>
          <w:i/>
        </w:rPr>
        <w:t>The standard states that the name attribute specifies the name of the font.</w:t>
      </w:r>
    </w:p>
    <w:p w:rsidR="005F78FC" w:rsidRDefault="00B42EF3">
      <w:pPr>
        <w:pStyle w:val="Definition-Field2"/>
      </w:pPr>
      <w:r>
        <w:t>Word prepends the font name with an @ symbol to signify the font should be used for renderin</w:t>
      </w:r>
      <w:r>
        <w:t>g vertical text.</w:t>
      </w:r>
    </w:p>
    <w:p w:rsidR="005F78FC" w:rsidRDefault="00B42EF3">
      <w:pPr>
        <w:pStyle w:val="Heading3"/>
      </w:pPr>
      <w:bookmarkStart w:id="562" w:name="section_1edea166fbb741cf8d573fb2d2979a6e"/>
      <w:bookmarkStart w:id="563" w:name="_Toc69878054"/>
      <w:r>
        <w:t>Part 1 Section 17.8.3.12, notTrueType (Raster or Vector Font)</w:t>
      </w:r>
      <w:bookmarkEnd w:id="562"/>
      <w:bookmarkEnd w:id="563"/>
      <w:r>
        <w:fldChar w:fldCharType="begin"/>
      </w:r>
      <w:r>
        <w:instrText xml:space="preserve"> XE "notTrueType (Raster or Vector Font)" </w:instrText>
      </w:r>
      <w:r>
        <w:fldChar w:fldCharType="end"/>
      </w:r>
    </w:p>
    <w:p w:rsidR="005F78FC" w:rsidRDefault="00B42EF3">
      <w:pPr>
        <w:pStyle w:val="Definition-Field"/>
      </w:pPr>
      <w:r>
        <w:t xml:space="preserve">a.   </w:t>
      </w:r>
      <w:r>
        <w:rPr>
          <w:i/>
        </w:rPr>
        <w:t>The standard states that when a font is unavailable the notTrueType element shall not be modified.</w:t>
      </w:r>
    </w:p>
    <w:p w:rsidR="005F78FC" w:rsidRDefault="00B42EF3">
      <w:pPr>
        <w:pStyle w:val="Definition-Field2"/>
      </w:pPr>
      <w:r>
        <w:t>Word can modify the notTrueTy</w:t>
      </w:r>
      <w:r>
        <w:t>pe element of an unavailable font if a font with the same name has been loaded before in the same Word instance.</w:t>
      </w:r>
    </w:p>
    <w:p w:rsidR="005F78FC" w:rsidRDefault="00B42EF3">
      <w:pPr>
        <w:pStyle w:val="Heading3"/>
      </w:pPr>
      <w:bookmarkStart w:id="564" w:name="section_9d27324fe2a94774a3b30eb04da5170f"/>
      <w:bookmarkStart w:id="565" w:name="_Toc69878055"/>
      <w:r>
        <w:t>Part 1 Section 17.8.3.13, panose1 (Panose-1 Typeface Classification Number)</w:t>
      </w:r>
      <w:bookmarkEnd w:id="564"/>
      <w:bookmarkEnd w:id="565"/>
      <w:r>
        <w:fldChar w:fldCharType="begin"/>
      </w:r>
      <w:r>
        <w:instrText xml:space="preserve"> XE "panose1 (Panose-1 Typeface Classification Number)" </w:instrText>
      </w:r>
      <w:r>
        <w:fldChar w:fldCharType="end"/>
      </w:r>
    </w:p>
    <w:p w:rsidR="005F78FC" w:rsidRDefault="00B42EF3">
      <w:pPr>
        <w:pStyle w:val="Definition-Field"/>
      </w:pPr>
      <w:r>
        <w:t xml:space="preserve">a.   </w:t>
      </w:r>
      <w:r>
        <w:rPr>
          <w:i/>
        </w:rPr>
        <w:t xml:space="preserve">The </w:t>
      </w:r>
      <w:r>
        <w:rPr>
          <w:i/>
        </w:rPr>
        <w:t>standard states that when a font is unavailable, the panose1 element shall not be modified.</w:t>
      </w:r>
    </w:p>
    <w:p w:rsidR="005F78FC" w:rsidRDefault="00B42EF3">
      <w:pPr>
        <w:pStyle w:val="Definition-Field2"/>
      </w:pPr>
      <w:r>
        <w:t>Word does not roundtrip the panose1 value for fonts not installed on the system.</w:t>
      </w:r>
    </w:p>
    <w:p w:rsidR="005F78FC" w:rsidRDefault="00B42EF3">
      <w:pPr>
        <w:pStyle w:val="Definition-Field"/>
      </w:pPr>
      <w:r>
        <w:t xml:space="preserve">b.   </w:t>
      </w:r>
      <w:r>
        <w:rPr>
          <w:i/>
        </w:rPr>
        <w:t xml:space="preserve">The standard states that when a font is unavailable the panose1 element shall </w:t>
      </w:r>
      <w:r>
        <w:rPr>
          <w:i/>
        </w:rPr>
        <w:t>not be modified.</w:t>
      </w:r>
    </w:p>
    <w:p w:rsidR="005F78FC" w:rsidRDefault="00B42EF3">
      <w:pPr>
        <w:pStyle w:val="Definition-Field2"/>
      </w:pPr>
      <w:r>
        <w:lastRenderedPageBreak/>
        <w:t>Word can modify the panose1 element of an unavailable font if a font with the same name has been loaded before in the same Word instance.</w:t>
      </w:r>
    </w:p>
    <w:p w:rsidR="005F78FC" w:rsidRDefault="00B42EF3">
      <w:pPr>
        <w:pStyle w:val="Heading3"/>
      </w:pPr>
      <w:bookmarkStart w:id="566" w:name="section_108821f5262d491b87a2d6861913882e"/>
      <w:bookmarkStart w:id="567" w:name="_Toc69878056"/>
      <w:r>
        <w:t>Part 1 Section 17.8.3.14, pitch (Font Pitch)</w:t>
      </w:r>
      <w:bookmarkEnd w:id="566"/>
      <w:bookmarkEnd w:id="567"/>
      <w:r>
        <w:fldChar w:fldCharType="begin"/>
      </w:r>
      <w:r>
        <w:instrText xml:space="preserve"> XE "pitch (Font Pitch)" </w:instrText>
      </w:r>
      <w:r>
        <w:fldChar w:fldCharType="end"/>
      </w:r>
    </w:p>
    <w:p w:rsidR="005F78FC" w:rsidRDefault="00B42EF3">
      <w:pPr>
        <w:pStyle w:val="Definition-Field"/>
      </w:pPr>
      <w:r>
        <w:t xml:space="preserve">a.   </w:t>
      </w:r>
      <w:r>
        <w:rPr>
          <w:i/>
        </w:rPr>
        <w:t>The standard states that</w:t>
      </w:r>
      <w:r>
        <w:rPr>
          <w:i/>
        </w:rPr>
        <w:t xml:space="preserve"> when a font is unavailable the pitch element shall not be modified.</w:t>
      </w:r>
    </w:p>
    <w:p w:rsidR="005F78FC" w:rsidRDefault="00B42EF3">
      <w:pPr>
        <w:pStyle w:val="Definition-Field2"/>
      </w:pPr>
      <w:r>
        <w:t>Word can modify the pitch element of an unavailable font if a font with the same name has been loaded before in the same Word instance.</w:t>
      </w:r>
    </w:p>
    <w:p w:rsidR="005F78FC" w:rsidRDefault="00B42EF3">
      <w:pPr>
        <w:pStyle w:val="Heading3"/>
      </w:pPr>
      <w:bookmarkStart w:id="568" w:name="section_b66d6f1254b749ddbe00148ca16a9bdf"/>
      <w:bookmarkStart w:id="569" w:name="_Toc69878057"/>
      <w:r>
        <w:t>Part 1 Section 17.8.3.16, sig (Supported Unicode Su</w:t>
      </w:r>
      <w:r>
        <w:t>branges and Code Pages)</w:t>
      </w:r>
      <w:bookmarkEnd w:id="568"/>
      <w:bookmarkEnd w:id="569"/>
      <w:r>
        <w:fldChar w:fldCharType="begin"/>
      </w:r>
      <w:r>
        <w:instrText xml:space="preserve"> XE "sig (Supported Unicode Subranges and Code Pages)" </w:instrText>
      </w:r>
      <w:r>
        <w:fldChar w:fldCharType="end"/>
      </w:r>
    </w:p>
    <w:p w:rsidR="005F78FC" w:rsidRDefault="00B42EF3">
      <w:pPr>
        <w:pStyle w:val="Definition-Field"/>
      </w:pPr>
      <w:r>
        <w:t xml:space="preserve">a.   </w:t>
      </w:r>
      <w:r>
        <w:rPr>
          <w:i/>
        </w:rPr>
        <w:t>The standard states that the sig element shall not be modified when the font is an unknown font.</w:t>
      </w:r>
    </w:p>
    <w:p w:rsidR="005F78FC" w:rsidRDefault="00B42EF3">
      <w:pPr>
        <w:pStyle w:val="Definition-Field2"/>
      </w:pPr>
      <w:r>
        <w:t>For unknown fonts, if the font cannot be resolved using the alternate fon</w:t>
      </w:r>
      <w:r>
        <w:t>t name or character set, Word might incorrectly reset bits to 0 in the usb0 attribute when bits in the csb0 attribute are set.</w:t>
      </w:r>
    </w:p>
    <w:p w:rsidR="005F78FC" w:rsidRDefault="00B42EF3">
      <w:pPr>
        <w:pStyle w:val="Definition-Field"/>
      </w:pPr>
      <w:r>
        <w:t xml:space="preserve">b.   </w:t>
      </w:r>
      <w:r>
        <w:rPr>
          <w:i/>
        </w:rPr>
        <w:t>The standard states that when a font is unavailable the sig element shall not be modified.</w:t>
      </w:r>
    </w:p>
    <w:p w:rsidR="005F78FC" w:rsidRDefault="00B42EF3">
      <w:pPr>
        <w:pStyle w:val="Definition-Field2"/>
      </w:pPr>
      <w:r>
        <w:t>Word can modify the sig element o</w:t>
      </w:r>
      <w:r>
        <w:t>f an unavailable font if a font with the same name has been loaded before in the same Word instance.</w:t>
      </w:r>
    </w:p>
    <w:p w:rsidR="005F78FC" w:rsidRDefault="00B42EF3">
      <w:pPr>
        <w:pStyle w:val="Definition-Field"/>
      </w:pPr>
      <w:r>
        <w:t xml:space="preserve">c.   </w:t>
      </w:r>
      <w:r>
        <w:rPr>
          <w:i/>
        </w:rPr>
        <w:t>The standard states that the csb0 and csb1 attributes are specified as four-digit hexadecimal encodings.</w:t>
      </w:r>
    </w:p>
    <w:p w:rsidR="005F78FC" w:rsidRDefault="00B42EF3">
      <w:pPr>
        <w:pStyle w:val="Definition-Field2"/>
      </w:pPr>
      <w:r>
        <w:t xml:space="preserve">Word expects the csb1 and csb2 attributes to </w:t>
      </w:r>
      <w:r>
        <w:t>be eight-digit hexadecimal encodings.</w:t>
      </w:r>
    </w:p>
    <w:p w:rsidR="005F78FC" w:rsidRDefault="00B42EF3">
      <w:pPr>
        <w:pStyle w:val="Heading3"/>
      </w:pPr>
      <w:bookmarkStart w:id="570" w:name="section_3140e0b043d54c06a42da8f1a6ad9b75"/>
      <w:bookmarkStart w:id="571" w:name="_Toc69878058"/>
      <w:r>
        <w:t>Part 1 Section 17.9.1, abstractNum (Abstract Numbering Definition)</w:t>
      </w:r>
      <w:bookmarkEnd w:id="570"/>
      <w:bookmarkEnd w:id="571"/>
      <w:r>
        <w:fldChar w:fldCharType="begin"/>
      </w:r>
      <w:r>
        <w:instrText xml:space="preserve"> XE "abstractNum (Abstract Numbering Definition)" </w:instrText>
      </w:r>
      <w:r>
        <w:fldChar w:fldCharType="end"/>
      </w:r>
    </w:p>
    <w:p w:rsidR="005F78FC" w:rsidRDefault="00B42EF3">
      <w:pPr>
        <w:pStyle w:val="Definition-Field"/>
      </w:pPr>
      <w:r>
        <w:t xml:space="preserve">a.   </w:t>
      </w:r>
      <w:r>
        <w:rPr>
          <w:i/>
        </w:rPr>
        <w:t>The standard allows any integer for the attribute abstractNumId.</w:t>
      </w:r>
    </w:p>
    <w:p w:rsidR="005F78FC" w:rsidRDefault="00B42EF3">
      <w:pPr>
        <w:pStyle w:val="Definition-Field2"/>
      </w:pPr>
      <w:r>
        <w:t xml:space="preserve">Word will not load a file </w:t>
      </w:r>
      <w:r>
        <w:t>where abstractNumId is negative.</w:t>
      </w:r>
    </w:p>
    <w:p w:rsidR="005F78FC" w:rsidRDefault="00B42EF3">
      <w:pPr>
        <w:pStyle w:val="Heading3"/>
      </w:pPr>
      <w:bookmarkStart w:id="572" w:name="section_48305a09a4c548faa6d9aa87a8d229bb"/>
      <w:bookmarkStart w:id="573" w:name="_Toc69878059"/>
      <w:r>
        <w:t>Part 1 Section 17.9.2, abstractNumId (Abstract Numbering Definition Reference)</w:t>
      </w:r>
      <w:bookmarkEnd w:id="572"/>
      <w:bookmarkEnd w:id="573"/>
      <w:r>
        <w:fldChar w:fldCharType="begin"/>
      </w:r>
      <w:r>
        <w:instrText xml:space="preserve"> XE "abstractNumId (Abstract Numbering Definition Reference)" </w:instrText>
      </w:r>
      <w:r>
        <w:fldChar w:fldCharType="end"/>
      </w:r>
    </w:p>
    <w:p w:rsidR="005F78FC" w:rsidRDefault="00B42EF3">
      <w:pPr>
        <w:pStyle w:val="Definition-Field"/>
      </w:pPr>
      <w:r>
        <w:t xml:space="preserve">a.   </w:t>
      </w:r>
      <w:r>
        <w:rPr>
          <w:i/>
        </w:rPr>
        <w:t>The standard states that the values of the val attribute are defined by the</w:t>
      </w:r>
      <w:r>
        <w:rPr>
          <w:i/>
        </w:rPr>
        <w:t xml:space="preserve"> XML integer datatype.</w:t>
      </w:r>
    </w:p>
    <w:p w:rsidR="005F78FC" w:rsidRDefault="00B42EF3">
      <w:pPr>
        <w:pStyle w:val="Definition-Field2"/>
      </w:pPr>
      <w:r>
        <w:t>Word restricts the value of this attribute to be at least 0.</w:t>
      </w:r>
    </w:p>
    <w:p w:rsidR="005F78FC" w:rsidRDefault="00B42EF3">
      <w:pPr>
        <w:pStyle w:val="Heading3"/>
      </w:pPr>
      <w:bookmarkStart w:id="574" w:name="section_b7139e3b7f1f43d18df72022ec0c2c2d"/>
      <w:bookmarkStart w:id="575" w:name="_Toc69878060"/>
      <w:r>
        <w:t>Part 1 Section 17.9.3, ilvl (Numbering Level Reference)</w:t>
      </w:r>
      <w:bookmarkEnd w:id="574"/>
      <w:bookmarkEnd w:id="575"/>
      <w:r>
        <w:fldChar w:fldCharType="begin"/>
      </w:r>
      <w:r>
        <w:instrText xml:space="preserve"> XE "ilvl (Numbering Level Reference)" </w:instrText>
      </w:r>
      <w:r>
        <w:fldChar w:fldCharType="end"/>
      </w:r>
    </w:p>
    <w:p w:rsidR="005F78FC" w:rsidRDefault="00B42EF3">
      <w:pPr>
        <w:pStyle w:val="Definition-Field"/>
      </w:pPr>
      <w:r>
        <w:t xml:space="preserve">a.   </w:t>
      </w:r>
      <w:r>
        <w:rPr>
          <w:i/>
        </w:rPr>
        <w:t xml:space="preserve">The standard states that the values of the val attribute are defined </w:t>
      </w:r>
      <w:r>
        <w:rPr>
          <w:i/>
        </w:rPr>
        <w:t>by the XML Schema integer datatype.</w:t>
      </w:r>
    </w:p>
    <w:p w:rsidR="005F78FC" w:rsidRDefault="00B42EF3">
      <w:pPr>
        <w:pStyle w:val="Definition-Field2"/>
      </w:pPr>
      <w:r>
        <w:t>Word restricts the value of this attribute to be at least 0 and at most 255.</w:t>
      </w:r>
    </w:p>
    <w:p w:rsidR="005F78FC" w:rsidRDefault="00B42EF3">
      <w:pPr>
        <w:pStyle w:val="Heading3"/>
      </w:pPr>
      <w:bookmarkStart w:id="576" w:name="section_0953b25e15cc4461a50ecc5d8585f6ff"/>
      <w:bookmarkStart w:id="577" w:name="_Toc69878061"/>
      <w:r>
        <w:t>Part 1 Section 17.9.4, isLgl (Display All Levels Using Arabic Numerals)</w:t>
      </w:r>
      <w:bookmarkEnd w:id="576"/>
      <w:bookmarkEnd w:id="577"/>
      <w:r>
        <w:fldChar w:fldCharType="begin"/>
      </w:r>
      <w:r>
        <w:instrText xml:space="preserve"> XE "isLgl (Display All Levels Using Arabic Numerals)" </w:instrText>
      </w:r>
      <w:r>
        <w:fldChar w:fldCharType="end"/>
      </w:r>
    </w:p>
    <w:p w:rsidR="005F78FC" w:rsidRDefault="00B42EF3">
      <w:pPr>
        <w:pStyle w:val="Definition-Field"/>
      </w:pPr>
      <w:r>
        <w:t xml:space="preserve">a.   </w:t>
      </w:r>
      <w:r>
        <w:rPr>
          <w:i/>
        </w:rPr>
        <w:t>The stand</w:t>
      </w:r>
      <w:r>
        <w:rPr>
          <w:i/>
        </w:rPr>
        <w:t>ard implies that only previous levels are affected by isLgl.</w:t>
      </w:r>
    </w:p>
    <w:p w:rsidR="005F78FC" w:rsidRDefault="00B42EF3">
      <w:pPr>
        <w:pStyle w:val="Definition-Field2"/>
      </w:pPr>
      <w:r>
        <w:t>Word isLgl affects all numbering levels, including the immediate level.</w:t>
      </w:r>
    </w:p>
    <w:p w:rsidR="005F78FC" w:rsidRDefault="00B42EF3">
      <w:pPr>
        <w:pStyle w:val="Definition-Field"/>
      </w:pPr>
      <w:r>
        <w:t xml:space="preserve">b.   </w:t>
      </w:r>
      <w:r>
        <w:rPr>
          <w:i/>
        </w:rPr>
        <w:t>The standard says the level text is displayed using the decimal number format regardless of the actual number format o</w:t>
      </w:r>
      <w:r>
        <w:rPr>
          <w:i/>
        </w:rPr>
        <w:t>f that level in the list.</w:t>
      </w:r>
    </w:p>
    <w:p w:rsidR="005F78FC" w:rsidRDefault="00B42EF3">
      <w:pPr>
        <w:pStyle w:val="Definition-Field2"/>
      </w:pPr>
      <w:r>
        <w:lastRenderedPageBreak/>
        <w:t>In Word, if the actual numbering format of the level is none, then Word will display the level text using the none format regardless of isLgl.</w:t>
      </w:r>
    </w:p>
    <w:p w:rsidR="005F78FC" w:rsidRDefault="00B42EF3">
      <w:pPr>
        <w:pStyle w:val="Heading3"/>
      </w:pPr>
      <w:bookmarkStart w:id="578" w:name="section_aab4583bf1ec4ae18c5d314f27742479"/>
      <w:bookmarkStart w:id="579" w:name="_Toc69878062"/>
      <w:r>
        <w:t>Part 1 Section 17.9.5, lvl (Numbering Level Override Definition)</w:t>
      </w:r>
      <w:bookmarkEnd w:id="578"/>
      <w:bookmarkEnd w:id="579"/>
      <w:r>
        <w:fldChar w:fldCharType="begin"/>
      </w:r>
      <w:r>
        <w:instrText xml:space="preserve"> XE "lvl (Numbering Lev</w:instrText>
      </w:r>
      <w:r>
        <w:instrText xml:space="preserve">el Override Definition)"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895f4d8b0bff4f5ba8fe36595d6ca794">
        <w:r>
          <w:rPr>
            <w:rStyle w:val="Hyperlink"/>
          </w:rPr>
          <w:t>lvl, §17.9.6(a, b)</w:t>
        </w:r>
      </w:hyperlink>
      <w:r>
        <w:rPr>
          <w:i/>
        </w:rPr>
        <w:t>.</w:t>
      </w:r>
    </w:p>
    <w:p w:rsidR="005F78FC" w:rsidRDefault="00B42EF3">
      <w:pPr>
        <w:pStyle w:val="Heading3"/>
      </w:pPr>
      <w:bookmarkStart w:id="580" w:name="section_895f4d8b0bff4f5ba8fe36595d6ca794"/>
      <w:bookmarkStart w:id="581" w:name="_Toc69878063"/>
      <w:r>
        <w:t>Part 1 Section 17.9.6, lvl (Numbering Level Definition)</w:t>
      </w:r>
      <w:bookmarkEnd w:id="580"/>
      <w:bookmarkEnd w:id="581"/>
      <w:r>
        <w:fldChar w:fldCharType="begin"/>
      </w:r>
      <w:r>
        <w:instrText xml:space="preserve"> XE "lvl (Numbering Level Definition)" </w:instrText>
      </w:r>
      <w:r>
        <w:fldChar w:fldCharType="end"/>
      </w:r>
    </w:p>
    <w:p w:rsidR="005F78FC" w:rsidRDefault="00B42EF3">
      <w:pPr>
        <w:pStyle w:val="Definition-Field"/>
      </w:pPr>
      <w:r>
        <w:t xml:space="preserve">a.   </w:t>
      </w:r>
      <w:r>
        <w:rPr>
          <w:i/>
        </w:rPr>
        <w:t>The standard allows any integer for ilvl.</w:t>
      </w:r>
    </w:p>
    <w:p w:rsidR="005F78FC" w:rsidRDefault="00B42EF3">
      <w:pPr>
        <w:pStyle w:val="Definition-Field2"/>
      </w:pPr>
      <w:r>
        <w:t>Word will not load a file with ilvl less than 0 or greater than 8.</w:t>
      </w:r>
    </w:p>
    <w:p w:rsidR="005F78FC" w:rsidRDefault="00B42EF3">
      <w:pPr>
        <w:pStyle w:val="Definition-Field"/>
      </w:pPr>
      <w:r>
        <w:t xml:space="preserve">b.   </w:t>
      </w:r>
      <w:r>
        <w:rPr>
          <w:i/>
        </w:rPr>
        <w:t>The standard states that tentative levels shall not be shown in user interface.</w:t>
      </w:r>
    </w:p>
    <w:p w:rsidR="005F78FC" w:rsidRDefault="00B42EF3">
      <w:pPr>
        <w:pStyle w:val="Definition-Field2"/>
      </w:pPr>
      <w:r>
        <w:t>Word displays t</w:t>
      </w:r>
      <w:r>
        <w:t>entative numbering levels in its Multilevel List drop-down list.</w:t>
      </w:r>
    </w:p>
    <w:p w:rsidR="005F78FC" w:rsidRDefault="00B42EF3">
      <w:pPr>
        <w:pStyle w:val="Heading3"/>
      </w:pPr>
      <w:bookmarkStart w:id="582" w:name="section_182e6a3c70ea4ba1bcd001caa609fcdf"/>
      <w:bookmarkStart w:id="583" w:name="_Toc69878064"/>
      <w:r>
        <w:t>Part 1 Section 17.9.7, lvlJc (Justification)</w:t>
      </w:r>
      <w:bookmarkEnd w:id="582"/>
      <w:bookmarkEnd w:id="583"/>
      <w:r>
        <w:fldChar w:fldCharType="begin"/>
      </w:r>
      <w:r>
        <w:instrText xml:space="preserve"> XE "lvlJc (Justification)" </w:instrText>
      </w:r>
      <w:r>
        <w:fldChar w:fldCharType="end"/>
      </w:r>
    </w:p>
    <w:p w:rsidR="005F78FC" w:rsidRDefault="00B42EF3">
      <w:pPr>
        <w:pStyle w:val="Definition-Field"/>
      </w:pPr>
      <w:r>
        <w:t xml:space="preserve">a.   </w:t>
      </w:r>
      <w:r>
        <w:rPr>
          <w:i/>
        </w:rPr>
        <w:t>The standard allows many values for lvlJc beyond start, center, and end.</w:t>
      </w:r>
    </w:p>
    <w:p w:rsidR="005F78FC" w:rsidRDefault="00B42EF3">
      <w:pPr>
        <w:pStyle w:val="Definition-Field2"/>
      </w:pPr>
      <w:r>
        <w:t>Word supports only the values for star</w:t>
      </w:r>
      <w:r>
        <w:t>t, center, and end for lvlJc.</w:t>
      </w:r>
    </w:p>
    <w:p w:rsidR="005F78FC" w:rsidRDefault="00B42EF3">
      <w:pPr>
        <w:pStyle w:val="Heading3"/>
      </w:pPr>
      <w:bookmarkStart w:id="584" w:name="section_140a2cd92f26456d9760ae6ecef4e8b5"/>
      <w:bookmarkStart w:id="585" w:name="_Toc69878065"/>
      <w:r>
        <w:t>Part 1 Section 17.9.10, lvlRestart (Restart Numbering Level Symbol)</w:t>
      </w:r>
      <w:bookmarkEnd w:id="584"/>
      <w:bookmarkEnd w:id="585"/>
      <w:r>
        <w:fldChar w:fldCharType="begin"/>
      </w:r>
      <w:r>
        <w:instrText xml:space="preserve"> XE "lvlRestart (Restart Numbering Level Symbol)" </w:instrText>
      </w:r>
      <w:r>
        <w:fldChar w:fldCharType="end"/>
      </w:r>
    </w:p>
    <w:p w:rsidR="005F78FC" w:rsidRDefault="00B42EF3">
      <w:pPr>
        <w:pStyle w:val="Definition-Field"/>
      </w:pPr>
      <w:r>
        <w:t xml:space="preserve">a.   </w:t>
      </w:r>
      <w:r>
        <w:rPr>
          <w:i/>
        </w:rPr>
        <w:t>The standard allows any integer for the value of lvlRestart.</w:t>
      </w:r>
    </w:p>
    <w:p w:rsidR="005F78FC" w:rsidRDefault="00B42EF3">
      <w:pPr>
        <w:pStyle w:val="Definition-Field2"/>
      </w:pPr>
      <w:r>
        <w:t xml:space="preserve">Word only allows values between 0 and 7 </w:t>
      </w:r>
      <w:r>
        <w:t>for lvlRestart.</w:t>
      </w:r>
    </w:p>
    <w:p w:rsidR="005F78FC" w:rsidRDefault="00B42EF3">
      <w:pPr>
        <w:pStyle w:val="Definition-Field"/>
      </w:pPr>
      <w:r>
        <w:t xml:space="preserve">b.   </w:t>
      </w:r>
      <w:r>
        <w:rPr>
          <w:i/>
        </w:rPr>
        <w:t>The standard allows lvlRestart as a child of lvl (Numbering Level Override Definition).</w:t>
      </w:r>
    </w:p>
    <w:p w:rsidR="005F78FC" w:rsidRDefault="00B42EF3">
      <w:pPr>
        <w:pStyle w:val="Definition-Field2"/>
      </w:pPr>
      <w:r>
        <w:t>Word ignores lvlRestart if it is a child of lvl (Numbering Level Override Definition).</w:t>
      </w:r>
    </w:p>
    <w:p w:rsidR="005F78FC" w:rsidRDefault="00B42EF3">
      <w:pPr>
        <w:pStyle w:val="Definition-Field"/>
      </w:pPr>
      <w:r>
        <w:t xml:space="preserve">c.   </w:t>
      </w:r>
      <w:r>
        <w:rPr>
          <w:i/>
        </w:rPr>
        <w:t>The standard states that a numbering level restarts whe</w:t>
      </w:r>
      <w:r>
        <w:rPr>
          <w:i/>
        </w:rPr>
        <w:t>n an instance of the specified numbering level is used.</w:t>
      </w:r>
    </w:p>
    <w:p w:rsidR="005F78FC" w:rsidRDefault="00B42EF3">
      <w:pPr>
        <w:pStyle w:val="Definition-Field2"/>
      </w:pPr>
      <w:r>
        <w:t>Word restarts a numbering level when an instance of the specified numbering level or any higher level is used.</w:t>
      </w:r>
    </w:p>
    <w:p w:rsidR="005F78FC" w:rsidRDefault="00B42EF3">
      <w:pPr>
        <w:pStyle w:val="Definition-Field"/>
      </w:pPr>
      <w:r>
        <w:t xml:space="preserve">d.   </w:t>
      </w:r>
      <w:r>
        <w:rPr>
          <w:i/>
        </w:rPr>
        <w:t>The standard states that if this element is omitted, the numbering level shall resta</w:t>
      </w:r>
      <w:r>
        <w:rPr>
          <w:i/>
        </w:rPr>
        <w:t>rt each time the previous numbering level is used.</w:t>
      </w:r>
    </w:p>
    <w:p w:rsidR="005F78FC" w:rsidRDefault="00B42EF3">
      <w:pPr>
        <w:pStyle w:val="Definition-Field2"/>
      </w:pPr>
      <w:r>
        <w:t>If this element is omitted, Word restarts the numbering level each time the previous numbering level or any higher level is used.</w:t>
      </w:r>
    </w:p>
    <w:p w:rsidR="005F78FC" w:rsidRDefault="00B42EF3">
      <w:pPr>
        <w:pStyle w:val="Heading3"/>
      </w:pPr>
      <w:bookmarkStart w:id="586" w:name="section_74f54646dbe040ea90c95ec70107e91d"/>
      <w:bookmarkStart w:id="587" w:name="_Toc69878066"/>
      <w:r>
        <w:t>Part 1 Section 17.9.11, lvlText (Numbering Level Text)</w:t>
      </w:r>
      <w:bookmarkEnd w:id="586"/>
      <w:bookmarkEnd w:id="587"/>
      <w:r>
        <w:fldChar w:fldCharType="begin"/>
      </w:r>
      <w:r>
        <w:instrText xml:space="preserve"> XE "lvlText (Numberi</w:instrText>
      </w:r>
      <w:r>
        <w:instrText xml:space="preserve">ng Level Text)" </w:instrText>
      </w:r>
      <w:r>
        <w:fldChar w:fldCharType="end"/>
      </w:r>
    </w:p>
    <w:p w:rsidR="005F78FC" w:rsidRDefault="00B42EF3">
      <w:pPr>
        <w:pStyle w:val="Definition-Field"/>
      </w:pPr>
      <w:r>
        <w:t xml:space="preserve">a.   </w:t>
      </w:r>
      <w:r>
        <w:rPr>
          <w:i/>
        </w:rPr>
        <w:t>The standard does not bound the number of escaped sequences %[1-9] included in the val attribute.</w:t>
      </w:r>
    </w:p>
    <w:p w:rsidR="005F78FC" w:rsidRDefault="00B42EF3">
      <w:pPr>
        <w:pStyle w:val="Definition-Field2"/>
      </w:pPr>
      <w:r>
        <w:t>Word allows at most 9 escaped sequences %[1-9] in the val attribute.</w:t>
      </w:r>
    </w:p>
    <w:p w:rsidR="005F78FC" w:rsidRDefault="00B42EF3">
      <w:pPr>
        <w:pStyle w:val="Definition-Field"/>
      </w:pPr>
      <w:r>
        <w:t xml:space="preserve">b.   </w:t>
      </w:r>
      <w:r>
        <w:rPr>
          <w:i/>
        </w:rPr>
        <w:t xml:space="preserve">The standard allows any length string for the val attribute </w:t>
      </w:r>
      <w:r>
        <w:rPr>
          <w:i/>
        </w:rPr>
        <w:t>of lvlText.</w:t>
      </w:r>
    </w:p>
    <w:p w:rsidR="005F78FC" w:rsidRDefault="00B42EF3">
      <w:pPr>
        <w:pStyle w:val="Definition-Field2"/>
      </w:pPr>
      <w:r>
        <w:t>Word requires that the length of the val attribute be at most 31 characters after instances of the % syntax are converted to their final values.</w:t>
      </w:r>
    </w:p>
    <w:p w:rsidR="005F78FC" w:rsidRDefault="00B42EF3">
      <w:pPr>
        <w:pStyle w:val="Definition-Field"/>
      </w:pPr>
      <w:r>
        <w:lastRenderedPageBreak/>
        <w:t xml:space="preserve">c.   </w:t>
      </w:r>
      <w:r>
        <w:rPr>
          <w:i/>
        </w:rPr>
        <w:t>The standard states that if the val attribute contains a % followed by a number higher than th</w:t>
      </w:r>
      <w:r>
        <w:rPr>
          <w:i/>
        </w:rPr>
        <w:t>e current level, then that number is ignored.</w:t>
      </w:r>
    </w:p>
    <w:p w:rsidR="005F78FC" w:rsidRDefault="00B42EF3">
      <w:pPr>
        <w:pStyle w:val="Definition-Field2"/>
      </w:pPr>
      <w:r>
        <w:t>If the val attribute contains a % followed by a number higher than the current level, then Word ignores the entire lvlText.</w:t>
      </w:r>
    </w:p>
    <w:p w:rsidR="005F78FC" w:rsidRDefault="00B42EF3">
      <w:pPr>
        <w:pStyle w:val="Definition-Field"/>
      </w:pPr>
      <w:r>
        <w:t xml:space="preserve">d.   </w:t>
      </w:r>
      <w:r>
        <w:rPr>
          <w:i/>
        </w:rPr>
        <w:t>The standard allows the val attribute to be omitted while the null attribute is n</w:t>
      </w:r>
      <w:r>
        <w:rPr>
          <w:i/>
        </w:rPr>
        <w:t>ot set to on.</w:t>
      </w:r>
    </w:p>
    <w:p w:rsidR="005F78FC" w:rsidRDefault="00B42EF3">
      <w:pPr>
        <w:pStyle w:val="Definition-Field2"/>
      </w:pPr>
      <w:r>
        <w:t>Word requires that the null attribute be set to on if the val attribute is omitted.</w:t>
      </w:r>
    </w:p>
    <w:p w:rsidR="005F78FC" w:rsidRDefault="00B42EF3">
      <w:pPr>
        <w:pStyle w:val="Heading3"/>
      </w:pPr>
      <w:bookmarkStart w:id="588" w:name="section_f64ffe252900401eba6e8f0459bd63c6"/>
      <w:bookmarkStart w:id="589" w:name="_Toc69878067"/>
      <w:r>
        <w:t>Part 1 Section 17.9.13, name (Abstract Numbering Definition Name)</w:t>
      </w:r>
      <w:bookmarkEnd w:id="588"/>
      <w:bookmarkEnd w:id="589"/>
      <w:r>
        <w:fldChar w:fldCharType="begin"/>
      </w:r>
      <w:r>
        <w:instrText xml:space="preserve"> XE "name (Abstract Numbering Definition Name)" </w:instrText>
      </w:r>
      <w:r>
        <w:fldChar w:fldCharType="end"/>
      </w:r>
    </w:p>
    <w:p w:rsidR="005F78FC" w:rsidRDefault="00B42EF3">
      <w:pPr>
        <w:pStyle w:val="Definition-Field2"/>
      </w:pPr>
      <w:r>
        <w:rPr>
          <w:i/>
        </w:rPr>
        <w:t>For additional notes that apply to this po</w:t>
      </w:r>
      <w:r>
        <w:rPr>
          <w:i/>
        </w:rPr>
        <w:t xml:space="preserve">rtion of the standard, please see the notes for </w:t>
      </w:r>
      <w:hyperlink w:anchor="Section_1e273b9e816940a691aaf9ebd083e0b8">
        <w:r>
          <w:rPr>
            <w:rStyle w:val="Hyperlink"/>
          </w:rPr>
          <w:t>numStyleLink, §17.9.21(a)</w:t>
        </w:r>
      </w:hyperlink>
      <w:r>
        <w:rPr>
          <w:i/>
        </w:rPr>
        <w:t>.</w:t>
      </w:r>
    </w:p>
    <w:p w:rsidR="005F78FC" w:rsidRDefault="00B42EF3">
      <w:pPr>
        <w:pStyle w:val="Definition-Field"/>
      </w:pPr>
      <w:r>
        <w:t xml:space="preserve">a.   </w:t>
      </w:r>
      <w:r>
        <w:rPr>
          <w:i/>
        </w:rPr>
        <w:t>The standard does not limit the length of the value of the val attribute.</w:t>
      </w:r>
    </w:p>
    <w:p w:rsidR="005F78FC" w:rsidRDefault="00B42EF3">
      <w:pPr>
        <w:pStyle w:val="Definition-Field2"/>
      </w:pPr>
      <w:r>
        <w:t>Word restricts the value of this attrib</w:t>
      </w:r>
      <w:r>
        <w:t>ute to be at most 253 characters.</w:t>
      </w:r>
    </w:p>
    <w:p w:rsidR="005F78FC" w:rsidRDefault="00B42EF3">
      <w:pPr>
        <w:pStyle w:val="Heading3"/>
      </w:pPr>
      <w:bookmarkStart w:id="590" w:name="section_c70e89b2bfc44e608dbc3371635ebec7"/>
      <w:bookmarkStart w:id="591" w:name="_Toc69878068"/>
      <w:r>
        <w:t>Part 1 Section 17.9.15, num (Numbering Definition Instance)</w:t>
      </w:r>
      <w:bookmarkEnd w:id="590"/>
      <w:bookmarkEnd w:id="591"/>
      <w:r>
        <w:fldChar w:fldCharType="begin"/>
      </w:r>
      <w:r>
        <w:instrText xml:space="preserve"> XE "num (Numbering Definition Instance)" </w:instrText>
      </w:r>
      <w:r>
        <w:fldChar w:fldCharType="end"/>
      </w:r>
    </w:p>
    <w:p w:rsidR="005F78FC" w:rsidRDefault="00B42EF3">
      <w:pPr>
        <w:pStyle w:val="Definition-Field"/>
      </w:pPr>
      <w:r>
        <w:t xml:space="preserve">a.   </w:t>
      </w:r>
      <w:r>
        <w:rPr>
          <w:i/>
        </w:rPr>
        <w:t>The standard allows any integer for the numId.</w:t>
      </w:r>
    </w:p>
    <w:p w:rsidR="005F78FC" w:rsidRDefault="00B42EF3">
      <w:pPr>
        <w:pStyle w:val="Definition-Field2"/>
      </w:pPr>
      <w:r>
        <w:t>Word requires that the numId contain at most 32 characters.</w:t>
      </w:r>
    </w:p>
    <w:p w:rsidR="005F78FC" w:rsidRDefault="00B42EF3">
      <w:pPr>
        <w:pStyle w:val="Heading3"/>
      </w:pPr>
      <w:bookmarkStart w:id="592" w:name="section_9f8357d1a09944a3bc1888b33bae4eab"/>
      <w:bookmarkStart w:id="593" w:name="_Toc69878069"/>
      <w:r>
        <w:t>Part 1</w:t>
      </w:r>
      <w:r>
        <w:t xml:space="preserve"> Section 17.9.17, numFmt (Numbering Format)</w:t>
      </w:r>
      <w:bookmarkEnd w:id="592"/>
      <w:bookmarkEnd w:id="593"/>
      <w:r>
        <w:fldChar w:fldCharType="begin"/>
      </w:r>
      <w:r>
        <w:instrText xml:space="preserve"> XE "numFmt (Numbering Format)" </w:instrText>
      </w:r>
      <w:r>
        <w:fldChar w:fldCharType="end"/>
      </w:r>
    </w:p>
    <w:p w:rsidR="005F78FC" w:rsidRDefault="00B42EF3">
      <w:pPr>
        <w:pStyle w:val="Definition-Field"/>
      </w:pPr>
      <w:r>
        <w:t xml:space="preserve">a.   </w:t>
      </w:r>
      <w:r>
        <w:rPr>
          <w:i/>
        </w:rPr>
        <w:t>The standard does not specify behavior when numFmt is bullet but lvlText is also set.</w:t>
      </w:r>
    </w:p>
    <w:p w:rsidR="005F78FC" w:rsidRDefault="00B42EF3">
      <w:pPr>
        <w:pStyle w:val="Definition-Field2"/>
      </w:pPr>
      <w:r>
        <w:t xml:space="preserve">If the numFmt is bullet, Word will use the literal text in lvlText, ignoring %x syntax </w:t>
      </w:r>
      <w:r>
        <w:t>in lvlText.</w:t>
      </w:r>
    </w:p>
    <w:p w:rsidR="005F78FC" w:rsidRDefault="00B42EF3">
      <w:pPr>
        <w:pStyle w:val="Definition-Field"/>
      </w:pPr>
      <w:r>
        <w:t xml:space="preserve">b.   </w:t>
      </w:r>
      <w:r>
        <w:rPr>
          <w:i/>
        </w:rPr>
        <w:t>The standard states that the format attribute takes precedence over the val attribute.</w:t>
      </w:r>
    </w:p>
    <w:p w:rsidR="005F78FC" w:rsidRDefault="00B42EF3">
      <w:pPr>
        <w:pStyle w:val="Definition-Field2"/>
      </w:pPr>
      <w:r>
        <w:t>Word ignores the format attribute unless the value of the val attribute is equal to "custom".</w:t>
      </w:r>
    </w:p>
    <w:p w:rsidR="005F78FC" w:rsidRDefault="00B42EF3">
      <w:pPr>
        <w:pStyle w:val="Heading3"/>
      </w:pPr>
      <w:bookmarkStart w:id="594" w:name="section_d131c48e4fc941bfa6c720823510d636"/>
      <w:bookmarkStart w:id="595" w:name="_Toc69878070"/>
      <w:r>
        <w:t>Part 1 Section 17.9.18, numId (Numbering Definition Instan</w:t>
      </w:r>
      <w:r>
        <w:t>ce Reference)</w:t>
      </w:r>
      <w:bookmarkEnd w:id="594"/>
      <w:bookmarkEnd w:id="595"/>
      <w:r>
        <w:fldChar w:fldCharType="begin"/>
      </w:r>
      <w:r>
        <w:instrText xml:space="preserve"> XE "numId (Numbering Definition Instance Reference)" </w:instrText>
      </w:r>
      <w:r>
        <w:fldChar w:fldCharType="end"/>
      </w:r>
    </w:p>
    <w:p w:rsidR="005F78FC" w:rsidRDefault="00B42EF3">
      <w:pPr>
        <w:pStyle w:val="Definition-Field"/>
      </w:pPr>
      <w:r>
        <w:t xml:space="preserve">a.   </w:t>
      </w:r>
      <w:r>
        <w:rPr>
          <w:i/>
        </w:rPr>
        <w:t>The standard states that the values of the val attribute are defined by the XML Schema integer datatype.</w:t>
      </w:r>
    </w:p>
    <w:p w:rsidR="005F78FC" w:rsidRDefault="00B42EF3">
      <w:pPr>
        <w:pStyle w:val="Definition-Field2"/>
      </w:pPr>
      <w:r>
        <w:t>Word restricts the value of this attribute to be at least 0.</w:t>
      </w:r>
    </w:p>
    <w:p w:rsidR="005F78FC" w:rsidRDefault="00B42EF3">
      <w:pPr>
        <w:pStyle w:val="Heading3"/>
      </w:pPr>
      <w:bookmarkStart w:id="596" w:name="section_1e273b9e816940a691aaf9ebd083e0b8"/>
      <w:bookmarkStart w:id="597" w:name="_Toc69878071"/>
      <w:r>
        <w:t xml:space="preserve">Part 1 Section </w:t>
      </w:r>
      <w:r>
        <w:t>17.9.21, numStyleLink (Numbering Style Reference)</w:t>
      </w:r>
      <w:bookmarkEnd w:id="596"/>
      <w:bookmarkEnd w:id="597"/>
      <w:r>
        <w:fldChar w:fldCharType="begin"/>
      </w:r>
      <w:r>
        <w:instrText xml:space="preserve"> XE "numStyleLink (Numbering Style Reference)" </w:instrText>
      </w:r>
      <w:r>
        <w:fldChar w:fldCharType="end"/>
      </w:r>
    </w:p>
    <w:p w:rsidR="005F78FC" w:rsidRDefault="00B42EF3">
      <w:pPr>
        <w:pStyle w:val="Definition-Field"/>
      </w:pPr>
      <w:r>
        <w:t xml:space="preserve">a.   </w:t>
      </w:r>
      <w:r>
        <w:rPr>
          <w:i/>
        </w:rPr>
        <w:t>The standard does not limit the length of the value of the val attribute.</w:t>
      </w:r>
    </w:p>
    <w:p w:rsidR="005F78FC" w:rsidRDefault="00B42EF3">
      <w:pPr>
        <w:pStyle w:val="Definition-Field2"/>
      </w:pPr>
      <w:r>
        <w:t>Word restricts the value of this attribute to be at most 253 characters.</w:t>
      </w:r>
    </w:p>
    <w:p w:rsidR="005F78FC" w:rsidRDefault="00B42EF3">
      <w:pPr>
        <w:pStyle w:val="Heading3"/>
      </w:pPr>
      <w:bookmarkStart w:id="598" w:name="section_e0f793ec25174bd792363bd6a7f828b7"/>
      <w:bookmarkStart w:id="599" w:name="_Toc69878072"/>
      <w:r>
        <w:t xml:space="preserve">Part </w:t>
      </w:r>
      <w:r>
        <w:t>1 Section 17.9.22, pPr (Numbering Level Associated Paragraph Properties)</w:t>
      </w:r>
      <w:bookmarkEnd w:id="598"/>
      <w:bookmarkEnd w:id="599"/>
      <w:r>
        <w:fldChar w:fldCharType="begin"/>
      </w:r>
      <w:r>
        <w:instrText xml:space="preserve"> XE "pPr (Numbering Level Associated Paragraph Properties)" </w:instrText>
      </w:r>
      <w:r>
        <w:fldChar w:fldCharType="end"/>
      </w:r>
    </w:p>
    <w:p w:rsidR="005F78FC" w:rsidRDefault="00B42EF3">
      <w:pPr>
        <w:pStyle w:val="Definition-Field"/>
      </w:pPr>
      <w:r>
        <w:t xml:space="preserve">a.   </w:t>
      </w:r>
      <w:r>
        <w:rPr>
          <w:i/>
        </w:rPr>
        <w:t>The standard states that the cnfStyle, divId, pPrChange, rPr, and sectPr elements are valid child elements of the pP</w:t>
      </w:r>
      <w:r>
        <w:rPr>
          <w:i/>
        </w:rPr>
        <w:t>r element.</w:t>
      </w:r>
    </w:p>
    <w:p w:rsidR="005F78FC" w:rsidRDefault="00B42EF3">
      <w:pPr>
        <w:pStyle w:val="Definition-Field2"/>
      </w:pPr>
      <w:r>
        <w:t>Word does not allow these elements to be child elements of the pPr element.</w:t>
      </w:r>
    </w:p>
    <w:p w:rsidR="005F78FC" w:rsidRDefault="00B42EF3">
      <w:pPr>
        <w:pStyle w:val="Definition-Field"/>
      </w:pPr>
      <w:r>
        <w:lastRenderedPageBreak/>
        <w:t xml:space="preserve">b.   </w:t>
      </w:r>
      <w:r>
        <w:rPr>
          <w:i/>
        </w:rPr>
        <w:t>The standard lists all pPr child elements as valid in the context of a numbering definition instance.</w:t>
      </w:r>
    </w:p>
    <w:p w:rsidR="005F78FC" w:rsidRDefault="00B42EF3">
      <w:pPr>
        <w:pStyle w:val="Definition-Field2"/>
      </w:pPr>
      <w:r>
        <w:t>Word only allows jc, ind, and tabs as child elements.</w:t>
      </w:r>
    </w:p>
    <w:p w:rsidR="005F78FC" w:rsidRDefault="00B42EF3">
      <w:pPr>
        <w:pStyle w:val="Heading3"/>
      </w:pPr>
      <w:bookmarkStart w:id="600" w:name="section_97207d86e4564bd9bffa527cca14613e"/>
      <w:bookmarkStart w:id="601" w:name="_Toc69878073"/>
      <w:r>
        <w:t>Part 1 Section 17.9.23, pStyle (Paragraph Style's Associated Numbering Level)</w:t>
      </w:r>
      <w:bookmarkEnd w:id="600"/>
      <w:bookmarkEnd w:id="601"/>
      <w:r>
        <w:fldChar w:fldCharType="begin"/>
      </w:r>
      <w:r>
        <w:instrText xml:space="preserve"> XE "pStyle (Paragraph Style's Associated Numbering Level)"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5F78FC" w:rsidRDefault="00B42EF3">
      <w:pPr>
        <w:pStyle w:val="Definition-Field"/>
      </w:pPr>
      <w:r>
        <w:t xml:space="preserve">a.   </w:t>
      </w:r>
      <w:r>
        <w:rPr>
          <w:i/>
        </w:rPr>
        <w:t>The standard does not limit the length of the value of the val attribute.</w:t>
      </w:r>
    </w:p>
    <w:p w:rsidR="005F78FC" w:rsidRDefault="00B42EF3">
      <w:pPr>
        <w:pStyle w:val="Definition-Field2"/>
      </w:pPr>
      <w:r>
        <w:t>Word restricts the value of this attribute to be at most 253 characters.</w:t>
      </w:r>
    </w:p>
    <w:p w:rsidR="005F78FC" w:rsidRDefault="00B42EF3">
      <w:pPr>
        <w:pStyle w:val="Heading3"/>
      </w:pPr>
      <w:bookmarkStart w:id="602" w:name="section_ffb4a990b46f4e388db396fc13d0b0f6"/>
      <w:bookmarkStart w:id="603" w:name="_Toc69878074"/>
      <w:r>
        <w:t>Part 1 Section 17.9.24, rPr (Numbering Symbol Run Properties)</w:t>
      </w:r>
      <w:bookmarkEnd w:id="602"/>
      <w:bookmarkEnd w:id="603"/>
      <w:r>
        <w:fldChar w:fldCharType="begin"/>
      </w:r>
      <w:r>
        <w:instrText xml:space="preserve"> XE "rPr (Numbering Symbol Run Properties)" </w:instrText>
      </w:r>
      <w:r>
        <w:fldChar w:fldCharType="end"/>
      </w:r>
    </w:p>
    <w:p w:rsidR="005F78FC" w:rsidRDefault="00B42EF3">
      <w:pPr>
        <w:pStyle w:val="Definition-Field"/>
      </w:pPr>
      <w:r>
        <w:t xml:space="preserve">a.   </w:t>
      </w:r>
      <w:r>
        <w:rPr>
          <w:i/>
        </w:rPr>
        <w:t>The standard states that the highlight, oMath, rPrChange, and rStyle elements are valid child elements of the rPr element.</w:t>
      </w:r>
    </w:p>
    <w:p w:rsidR="005F78FC" w:rsidRDefault="00B42EF3">
      <w:pPr>
        <w:pStyle w:val="Definition-Field2"/>
      </w:pPr>
      <w:r>
        <w:t xml:space="preserve">Word does not allow </w:t>
      </w:r>
      <w:r>
        <w:t>these elements to be child elements of the rPr element.</w:t>
      </w:r>
    </w:p>
    <w:p w:rsidR="005F78FC" w:rsidRDefault="00B42EF3">
      <w:pPr>
        <w:pStyle w:val="Heading3"/>
      </w:pPr>
      <w:bookmarkStart w:id="604" w:name="section_8f14505554224df0933de67a81c633cd"/>
      <w:bookmarkStart w:id="605" w:name="_Toc69878075"/>
      <w:r>
        <w:t>Part 1 Section 17.9.25, start (Starting Value)</w:t>
      </w:r>
      <w:bookmarkEnd w:id="604"/>
      <w:bookmarkEnd w:id="605"/>
      <w:r>
        <w:fldChar w:fldCharType="begin"/>
      </w:r>
      <w:r>
        <w:instrText xml:space="preserve"> XE "start (Starting Value)" </w:instrText>
      </w:r>
      <w:r>
        <w:fldChar w:fldCharType="end"/>
      </w:r>
    </w:p>
    <w:p w:rsidR="005F78FC" w:rsidRDefault="00B42EF3">
      <w:pPr>
        <w:pStyle w:val="Definition-Field"/>
      </w:pPr>
      <w:r>
        <w:t xml:space="preserve">a.   </w:t>
      </w:r>
      <w:r>
        <w:rPr>
          <w:i/>
        </w:rPr>
        <w:t>The standard states that the values of the val attribute are defined by the XML Schema integer datatype.</w:t>
      </w:r>
    </w:p>
    <w:p w:rsidR="005F78FC" w:rsidRDefault="00B42EF3">
      <w:pPr>
        <w:pStyle w:val="Definition-Field2"/>
      </w:pPr>
      <w:r>
        <w:t>Word restric</w:t>
      </w:r>
      <w:r>
        <w:t>ts the value of this attribute to be at least 0.</w:t>
      </w:r>
    </w:p>
    <w:p w:rsidR="005F78FC" w:rsidRDefault="00B42EF3">
      <w:pPr>
        <w:pStyle w:val="Definition-Field"/>
      </w:pPr>
      <w:r>
        <w:t xml:space="preserve">b.   </w:t>
      </w:r>
      <w:r>
        <w:rPr>
          <w:i/>
        </w:rPr>
        <w:t>The standard allows start as a child of lvl (Numbering Level Override Definition).</w:t>
      </w:r>
    </w:p>
    <w:p w:rsidR="005F78FC" w:rsidRDefault="00B42EF3">
      <w:pPr>
        <w:pStyle w:val="Definition-Field2"/>
      </w:pPr>
      <w:r>
        <w:t>Word ignores start if it is a child of lvl (Numbering Level Override Definition).</w:t>
      </w:r>
    </w:p>
    <w:p w:rsidR="005F78FC" w:rsidRDefault="00B42EF3">
      <w:pPr>
        <w:pStyle w:val="Heading3"/>
      </w:pPr>
      <w:bookmarkStart w:id="606" w:name="section_b1483740789145e091dbe5672379847a"/>
      <w:bookmarkStart w:id="607" w:name="_Toc69878076"/>
      <w:r>
        <w:t>Part 1 Section 17.9.27, styleLink (Nu</w:t>
      </w:r>
      <w:r>
        <w:t>mbering Style Definition)</w:t>
      </w:r>
      <w:bookmarkEnd w:id="606"/>
      <w:bookmarkEnd w:id="607"/>
      <w:r>
        <w:fldChar w:fldCharType="begin"/>
      </w:r>
      <w:r>
        <w:instrText xml:space="preserve"> XE "styleLink (Numbering Style Definition)"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5F78FC" w:rsidRDefault="00B42EF3">
      <w:pPr>
        <w:pStyle w:val="Definition-Field"/>
      </w:pPr>
      <w:r>
        <w:t xml:space="preserve">a. </w:t>
      </w:r>
      <w:r>
        <w:t xml:space="preserve">  </w:t>
      </w:r>
      <w:r>
        <w:rPr>
          <w:i/>
        </w:rPr>
        <w:t>The standard does not limit the length of the value of the val attribute.</w:t>
      </w:r>
    </w:p>
    <w:p w:rsidR="005F78FC" w:rsidRDefault="00B42EF3">
      <w:pPr>
        <w:pStyle w:val="Definition-Field2"/>
      </w:pPr>
      <w:r>
        <w:t>Word restricts the value of this attribute to be at most 253 characters.</w:t>
      </w:r>
    </w:p>
    <w:p w:rsidR="005F78FC" w:rsidRDefault="00B42EF3">
      <w:pPr>
        <w:pStyle w:val="Heading3"/>
      </w:pPr>
      <w:bookmarkStart w:id="608" w:name="section_e95359624cf342799367637241e4b195"/>
      <w:bookmarkStart w:id="609" w:name="_Toc69878077"/>
      <w:r>
        <w:t>Part 1 Section 17.10.1, evenAndOddHeaders (Different Even/Odd Page Headers and Footers)</w:t>
      </w:r>
      <w:bookmarkEnd w:id="608"/>
      <w:bookmarkEnd w:id="609"/>
      <w:r>
        <w:fldChar w:fldCharType="begin"/>
      </w:r>
      <w:r>
        <w:instrText xml:space="preserve"> XE "evenAndOddHeade</w:instrText>
      </w:r>
      <w:r>
        <w:instrText xml:space="preserve">rs (Different Even/Odd Page Headers and Footers)" </w:instrText>
      </w:r>
      <w:r>
        <w:fldChar w:fldCharType="end"/>
      </w:r>
    </w:p>
    <w:p w:rsidR="005F78FC" w:rsidRDefault="00B42EF3">
      <w:pPr>
        <w:pStyle w:val="Definition-Field"/>
      </w:pPr>
      <w:r>
        <w:t xml:space="preserve">a.   </w:t>
      </w:r>
      <w:r>
        <w:rPr>
          <w:i/>
        </w:rPr>
        <w:t>The standard says the determination of even and odd pages is based on the ordinality of the pages.</w:t>
      </w:r>
    </w:p>
    <w:p w:rsidR="005F78FC" w:rsidRDefault="00B42EF3">
      <w:pPr>
        <w:pStyle w:val="Definition-Field2"/>
      </w:pPr>
      <w:r>
        <w:t>Word uses the starting value of page numbering for the parent section to determine if the first pag</w:t>
      </w:r>
      <w:r>
        <w:t>e is even or odd.  This is specified with the start attribute on pgNUmType element.</w:t>
      </w:r>
    </w:p>
    <w:p w:rsidR="005F78FC" w:rsidRDefault="00B42EF3">
      <w:pPr>
        <w:pStyle w:val="Definition-Field"/>
      </w:pPr>
      <w:r>
        <w:t xml:space="preserve">b.   </w:t>
      </w:r>
      <w:r>
        <w:rPr>
          <w:i/>
        </w:rPr>
        <w:t>The standard says a missing header type shall use a new blank header.</w:t>
      </w:r>
    </w:p>
    <w:p w:rsidR="005F78FC" w:rsidRDefault="00B42EF3">
      <w:pPr>
        <w:pStyle w:val="Definition-Field2"/>
      </w:pPr>
      <w:r>
        <w:t>If a header is missing in a section beyond the first section, Word uses the header from the previ</w:t>
      </w:r>
      <w:r>
        <w:t>ous section.</w:t>
      </w:r>
    </w:p>
    <w:p w:rsidR="005F78FC" w:rsidRDefault="00B42EF3">
      <w:pPr>
        <w:pStyle w:val="Heading3"/>
      </w:pPr>
      <w:bookmarkStart w:id="610" w:name="section_02af532c67914f63b4b2cd20e58dce91"/>
      <w:bookmarkStart w:id="611" w:name="_Toc69878078"/>
      <w:r>
        <w:lastRenderedPageBreak/>
        <w:t>Part 1 Section 17.10.2, footerReference (Footer Reference)</w:t>
      </w:r>
      <w:bookmarkEnd w:id="610"/>
      <w:bookmarkEnd w:id="611"/>
      <w:r>
        <w:fldChar w:fldCharType="begin"/>
      </w:r>
      <w:r>
        <w:instrText xml:space="preserve"> XE "footerReference (Footer Reference)"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5F78FC" w:rsidRDefault="00B42EF3">
      <w:pPr>
        <w:pStyle w:val="Definition-Field"/>
      </w:pPr>
      <w:r>
        <w:t xml:space="preserve">a.   </w:t>
      </w:r>
      <w:r>
        <w:rPr>
          <w:i/>
        </w:rPr>
        <w:t>The standard says the relationship type referenced by this element shall be http://schemas.openxmlformats.org/officeDocument/2006/footer.</w:t>
      </w:r>
    </w:p>
    <w:p w:rsidR="005F78FC" w:rsidRDefault="00B42EF3">
      <w:pPr>
        <w:pStyle w:val="Definition-Field2"/>
      </w:pPr>
      <w:r>
        <w:t>Word uses the relationship type http://schemas.openxmlformats.org/of</w:t>
      </w:r>
      <w:r>
        <w:t>ficeDocument/2006/relationships/footer.</w:t>
      </w:r>
    </w:p>
    <w:p w:rsidR="005F78FC" w:rsidRDefault="00B42EF3">
      <w:pPr>
        <w:pStyle w:val="Definition-Field"/>
      </w:pPr>
      <w:r>
        <w:t xml:space="preserve">b.   </w:t>
      </w:r>
      <w:r>
        <w:rPr>
          <w:i/>
        </w:rPr>
        <w:t>The standard says that when no footerReference for the odd page footer is specified, then the even page footer shall be inherited from the previous section.</w:t>
      </w:r>
    </w:p>
    <w:p w:rsidR="005F78FC" w:rsidRDefault="00B42EF3">
      <w:pPr>
        <w:pStyle w:val="Definition-Field2"/>
      </w:pPr>
      <w:r>
        <w:t>In Word, when no footerReference for the odd page foot</w:t>
      </w:r>
      <w:r>
        <w:t>er is specified, then the odd page footer is inherited from the previous section.</w:t>
      </w:r>
    </w:p>
    <w:p w:rsidR="005F78FC" w:rsidRDefault="00B42EF3">
      <w:pPr>
        <w:pStyle w:val="Heading3"/>
      </w:pPr>
      <w:bookmarkStart w:id="612" w:name="section_f9aa4dbcf5274fd6a115527aae5f7881"/>
      <w:bookmarkStart w:id="613" w:name="_Toc69878079"/>
      <w:r>
        <w:t>Part 1 Section 17.10.3, ftr (Footer)</w:t>
      </w:r>
      <w:bookmarkEnd w:id="612"/>
      <w:bookmarkEnd w:id="613"/>
      <w:r>
        <w:fldChar w:fldCharType="begin"/>
      </w:r>
      <w:r>
        <w:instrText xml:space="preserve"> XE "ftr (Footer)"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5F78FC" w:rsidRDefault="00B42EF3">
      <w:pPr>
        <w:pStyle w:val="Heading3"/>
      </w:pPr>
      <w:bookmarkStart w:id="614" w:name="section_1b8a330cd8ca44a3b28ddb59f4203a66"/>
      <w:bookmarkStart w:id="615" w:name="_Toc69878080"/>
      <w:r>
        <w:t>Part 1 Section 17.10.4, hdr (Header)</w:t>
      </w:r>
      <w:bookmarkEnd w:id="614"/>
      <w:bookmarkEnd w:id="615"/>
      <w:r>
        <w:fldChar w:fldCharType="begin"/>
      </w:r>
      <w:r>
        <w:instrText xml:space="preserve"> XE "hdr (Header)" </w:instrText>
      </w:r>
      <w:r>
        <w:fldChar w:fldCharType="end"/>
      </w:r>
    </w:p>
    <w:p w:rsidR="005F78FC" w:rsidRDefault="00B42EF3">
      <w:pPr>
        <w:pStyle w:val="Definition-Field2"/>
      </w:pPr>
      <w:r>
        <w:rPr>
          <w:i/>
        </w:rPr>
        <w:t xml:space="preserve">For additional notes that </w:t>
      </w:r>
      <w:r>
        <w:rPr>
          <w:i/>
        </w:rPr>
        <w:t xml:space="preserve">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5F78FC" w:rsidRDefault="00B42EF3">
      <w:pPr>
        <w:pStyle w:val="Heading3"/>
      </w:pPr>
      <w:bookmarkStart w:id="616" w:name="section_5de15e593ec14f80aa4d00bdd447b86f"/>
      <w:bookmarkStart w:id="617" w:name="_Toc69878081"/>
      <w:r>
        <w:t>Part 1 Section 17.10.5, headerReference (Header Reference)</w:t>
      </w:r>
      <w:bookmarkEnd w:id="616"/>
      <w:bookmarkEnd w:id="617"/>
      <w:r>
        <w:fldChar w:fldCharType="begin"/>
      </w:r>
      <w:r>
        <w:instrText xml:space="preserve"> XE "headerReference (Header Reference)"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55e01b00ed934498b4e5b0bc0abdf97d">
        <w:r>
          <w:rPr>
            <w:rStyle w:val="Hyperlink"/>
          </w:rPr>
          <w:t>a</w:t>
        </w:r>
        <w:r>
          <w:rPr>
            <w:rStyle w:val="Hyperlink"/>
          </w:rPr>
          <w:t>ttachedTemplate, §17.15.1.6(a)</w:t>
        </w:r>
      </w:hyperlink>
      <w:r>
        <w:rPr>
          <w:i/>
        </w:rPr>
        <w:t>.</w:t>
      </w:r>
    </w:p>
    <w:p w:rsidR="005F78FC" w:rsidRDefault="00B42EF3">
      <w:pPr>
        <w:pStyle w:val="Definition-Field"/>
      </w:pPr>
      <w:r>
        <w:t xml:space="preserve">a.   </w:t>
      </w:r>
      <w:r>
        <w:rPr>
          <w:i/>
        </w:rPr>
        <w:t>The standard says that the relationship type referenced by this element shall be http://schemas.openxmlformats.org/officeDocument/2006/header.</w:t>
      </w:r>
    </w:p>
    <w:p w:rsidR="005F78FC" w:rsidRDefault="00B42EF3">
      <w:pPr>
        <w:pStyle w:val="Definition-Field2"/>
      </w:pPr>
      <w:r>
        <w:t>Word uses the relationship type http://schemas.openxmlformats.org/officeDocu</w:t>
      </w:r>
      <w:r>
        <w:t>ment/2006/relationships/header.</w:t>
      </w:r>
    </w:p>
    <w:p w:rsidR="005F78FC" w:rsidRDefault="00B42EF3">
      <w:pPr>
        <w:pStyle w:val="Definition-Field"/>
      </w:pPr>
      <w:r>
        <w:t xml:space="preserve">b.   </w:t>
      </w:r>
      <w:r>
        <w:rPr>
          <w:i/>
        </w:rPr>
        <w:t>The standard says that if no headerReference for the odd page header is specified, then the even page header shall be inherited from the previous section.</w:t>
      </w:r>
    </w:p>
    <w:p w:rsidR="005F78FC" w:rsidRDefault="00B42EF3">
      <w:pPr>
        <w:pStyle w:val="Definition-Field2"/>
      </w:pPr>
      <w:r>
        <w:t>In Word, if no headerReference for the odd page header is specif</w:t>
      </w:r>
      <w:r>
        <w:t>ied, then the odd page header is inherited from the previous section.</w:t>
      </w:r>
    </w:p>
    <w:p w:rsidR="005F78FC" w:rsidRDefault="00B42EF3">
      <w:pPr>
        <w:pStyle w:val="Heading3"/>
      </w:pPr>
      <w:bookmarkStart w:id="618" w:name="section_bce5f993d6834aa7825ebce25c64e8b8"/>
      <w:bookmarkStart w:id="619" w:name="_Toc69878082"/>
      <w:r>
        <w:t>Part 1 Section 17.10.6, titlePg (Different First Page Headers and Footers)</w:t>
      </w:r>
      <w:bookmarkEnd w:id="618"/>
      <w:bookmarkEnd w:id="619"/>
      <w:r>
        <w:fldChar w:fldCharType="begin"/>
      </w:r>
      <w:r>
        <w:instrText xml:space="preserve"> XE "titlePg (Different First Page Headers and Footers)" </w:instrText>
      </w:r>
      <w:r>
        <w:fldChar w:fldCharType="end"/>
      </w:r>
    </w:p>
    <w:p w:rsidR="005F78FC" w:rsidRDefault="00B42EF3">
      <w:pPr>
        <w:pStyle w:val="Definition-Field"/>
      </w:pPr>
      <w:r>
        <w:t xml:space="preserve">a.   </w:t>
      </w:r>
      <w:r>
        <w:rPr>
          <w:i/>
        </w:rPr>
        <w:t>The standard says that if titlePg is not specif</w:t>
      </w:r>
      <w:r>
        <w:rPr>
          <w:i/>
        </w:rPr>
        <w:t>ied, the first page shall use the odd page header/footer.</w:t>
      </w:r>
    </w:p>
    <w:p w:rsidR="005F78FC" w:rsidRDefault="00B42EF3">
      <w:pPr>
        <w:pStyle w:val="Definition-Field2"/>
      </w:pPr>
      <w:r>
        <w:t>If the evenAndOddHeaders element is true, Word uses the odd/even state of the start attribute on the pgNumType element to determine whether to use the even or odd header on the first page.</w:t>
      </w:r>
    </w:p>
    <w:p w:rsidR="005F78FC" w:rsidRDefault="00B42EF3">
      <w:pPr>
        <w:pStyle w:val="Definition-Field"/>
      </w:pPr>
      <w:r>
        <w:t xml:space="preserve">b.   </w:t>
      </w:r>
      <w:r>
        <w:rPr>
          <w:i/>
        </w:rPr>
        <w:t xml:space="preserve">The </w:t>
      </w:r>
      <w:r>
        <w:rPr>
          <w:i/>
        </w:rPr>
        <w:t>standard says that if this element is specified and no first page header is specified using headerReference, a blank first page header is used.</w:t>
      </w:r>
    </w:p>
    <w:p w:rsidR="005F78FC" w:rsidRDefault="00B42EF3">
      <w:pPr>
        <w:pStyle w:val="Definition-Field2"/>
      </w:pPr>
      <w:r>
        <w:t>In Word, for all sections other than the first section in the document, if this element is specified and no firs</w:t>
      </w:r>
      <w:r>
        <w:t>t page header is specified, then the first page header of the previous section is used.</w:t>
      </w:r>
    </w:p>
    <w:p w:rsidR="005F78FC" w:rsidRDefault="00B42EF3">
      <w:pPr>
        <w:pStyle w:val="Heading3"/>
      </w:pPr>
      <w:bookmarkStart w:id="620" w:name="section_9a1dbfc1962449af810efbfd0922949c"/>
      <w:bookmarkStart w:id="621" w:name="_Toc69878083"/>
      <w:r>
        <w:lastRenderedPageBreak/>
        <w:t>Part 1 Section 17.11.2, endnote (Endnote Content)</w:t>
      </w:r>
      <w:bookmarkEnd w:id="620"/>
      <w:bookmarkEnd w:id="621"/>
      <w:r>
        <w:fldChar w:fldCharType="begin"/>
      </w:r>
      <w:r>
        <w:instrText xml:space="preserve"> XE "endnote (Endnote Content)" </w:instrText>
      </w:r>
      <w:r>
        <w:fldChar w:fldCharType="end"/>
      </w:r>
    </w:p>
    <w:p w:rsidR="005F78FC" w:rsidRDefault="00B42EF3">
      <w:pPr>
        <w:pStyle w:val="Definition-Field2"/>
      </w:pPr>
      <w:r>
        <w:rPr>
          <w:i/>
        </w:rPr>
        <w:t>For additional notes that apply to this portion of the standard, please see the note</w:t>
      </w:r>
      <w:r>
        <w:rPr>
          <w:i/>
        </w:rPr>
        <w:t xml:space="preserve">s for </w:t>
      </w:r>
      <w:hyperlink w:anchor="Section_d5931152c596463d931edb02b303844b">
        <w:r>
          <w:rPr>
            <w:rStyle w:val="Hyperlink"/>
          </w:rPr>
          <w:t>footnote, §17.11.10(a)</w:t>
        </w:r>
      </w:hyperlink>
      <w:r>
        <w:rPr>
          <w:i/>
        </w:rPr>
        <w:t xml:space="preserve">;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w:t>
        </w:r>
        <w:r>
          <w:rPr>
            <w:rStyle w:val="Hyperlink"/>
          </w:rPr>
          <w:t>1.2.78(c)</w:t>
        </w:r>
      </w:hyperlink>
      <w:r>
        <w:rPr>
          <w:i/>
        </w:rPr>
        <w:t>.</w:t>
      </w:r>
    </w:p>
    <w:p w:rsidR="005F78FC" w:rsidRDefault="00B42EF3">
      <w:pPr>
        <w:pStyle w:val="Definition-Field"/>
      </w:pPr>
      <w:r>
        <w:t xml:space="preserve">a.   </w:t>
      </w:r>
      <w:r>
        <w:rPr>
          <w:i/>
        </w:rPr>
        <w:t>The standard allows any integer for footnote or endnote ID.</w:t>
      </w:r>
    </w:p>
    <w:p w:rsidR="005F78FC" w:rsidRDefault="00B42EF3">
      <w:pPr>
        <w:pStyle w:val="Definition-Field2"/>
      </w:pPr>
      <w:r>
        <w:t>Word only allows integers between -2147483648 and 32767.</w:t>
      </w:r>
    </w:p>
    <w:p w:rsidR="005F78FC" w:rsidRDefault="00B42EF3">
      <w:pPr>
        <w:pStyle w:val="Heading3"/>
      </w:pPr>
      <w:bookmarkStart w:id="622" w:name="section_35d669a8a0a04176acf26f206cac5d4d"/>
      <w:bookmarkStart w:id="623" w:name="_Toc69878084"/>
      <w:r>
        <w:t>Part 1 Section 17.11.3, endnote (Special Endnote List)</w:t>
      </w:r>
      <w:bookmarkEnd w:id="622"/>
      <w:bookmarkEnd w:id="623"/>
      <w:r>
        <w:fldChar w:fldCharType="begin"/>
      </w:r>
      <w:r>
        <w:instrText xml:space="preserve"> XE "endnote (Special Endnote List)" </w:instrText>
      </w:r>
      <w:r>
        <w:fldChar w:fldCharType="end"/>
      </w:r>
    </w:p>
    <w:p w:rsidR="005F78FC" w:rsidRDefault="00B42EF3">
      <w:pPr>
        <w:pStyle w:val="Definition-Field"/>
      </w:pPr>
      <w:r>
        <w:t xml:space="preserve">a.   </w:t>
      </w:r>
      <w:r>
        <w:rPr>
          <w:i/>
        </w:rPr>
        <w:t xml:space="preserve">The standard allows any </w:t>
      </w:r>
      <w:r>
        <w:rPr>
          <w:i/>
        </w:rPr>
        <w:t>integer for footnote or endnote ID.</w:t>
      </w:r>
    </w:p>
    <w:p w:rsidR="005F78FC" w:rsidRDefault="00B42EF3">
      <w:pPr>
        <w:pStyle w:val="Definition-Field2"/>
      </w:pPr>
      <w:r>
        <w:t>Word only allows integers between -2147483648 and 32767.</w:t>
      </w:r>
    </w:p>
    <w:p w:rsidR="005F78FC" w:rsidRDefault="00B42EF3">
      <w:pPr>
        <w:pStyle w:val="Definition-Field"/>
      </w:pPr>
      <w:r>
        <w:t xml:space="preserve">b.   </w:t>
      </w:r>
      <w:r>
        <w:rPr>
          <w:i/>
        </w:rPr>
        <w:t>The standard says the footnote or endnote ID is used to match the ID in the footnoteRef or endnoteRef, although footnoteRef and endnoteRef do not contain an I</w:t>
      </w:r>
      <w:r>
        <w:rPr>
          <w:i/>
        </w:rPr>
        <w:t>D.</w:t>
      </w:r>
    </w:p>
    <w:p w:rsidR="005F78FC" w:rsidRDefault="00B42EF3">
      <w:pPr>
        <w:pStyle w:val="Definition-Field2"/>
      </w:pPr>
      <w:r>
        <w:t>In Word, the footnote or endnote ID is used to match the ID in the footnoteReference or endnoteReference.</w:t>
      </w:r>
    </w:p>
    <w:p w:rsidR="005F78FC" w:rsidRDefault="00B42EF3">
      <w:pPr>
        <w:pStyle w:val="Heading3"/>
      </w:pPr>
      <w:bookmarkStart w:id="624" w:name="section_540efde2e14f4ab0b0aa7961a41fe10b"/>
      <w:bookmarkStart w:id="625" w:name="_Toc69878085"/>
      <w:r>
        <w:t>Part 1 Section 17.11.7, endnoteReference (Endnote Reference)</w:t>
      </w:r>
      <w:bookmarkEnd w:id="624"/>
      <w:bookmarkEnd w:id="625"/>
      <w:r>
        <w:fldChar w:fldCharType="begin"/>
      </w:r>
      <w:r>
        <w:instrText xml:space="preserve"> XE "endnoteReference (Endnote Reference)" </w:instrText>
      </w:r>
      <w:r>
        <w:fldChar w:fldCharType="end"/>
      </w:r>
    </w:p>
    <w:p w:rsidR="005F78FC" w:rsidRDefault="00B42EF3">
      <w:pPr>
        <w:pStyle w:val="Definition-Field"/>
      </w:pPr>
      <w:r>
        <w:t xml:space="preserve">a.   </w:t>
      </w:r>
      <w:r>
        <w:rPr>
          <w:i/>
        </w:rPr>
        <w:t xml:space="preserve">The standard allows any integer for </w:t>
      </w:r>
      <w:r>
        <w:rPr>
          <w:i/>
        </w:rPr>
        <w:t>footnote or endnote ID.</w:t>
      </w:r>
    </w:p>
    <w:p w:rsidR="005F78FC" w:rsidRDefault="00B42EF3">
      <w:pPr>
        <w:pStyle w:val="Definition-Field2"/>
      </w:pPr>
      <w:r>
        <w:t>Word only allows integers between -2147483648 and 32767.</w:t>
      </w:r>
    </w:p>
    <w:p w:rsidR="005F78FC" w:rsidRDefault="00B42EF3">
      <w:pPr>
        <w:pStyle w:val="Definition-Field"/>
      </w:pPr>
      <w:r>
        <w:t xml:space="preserve">b.   </w:t>
      </w:r>
      <w:r>
        <w:rPr>
          <w:i/>
        </w:rPr>
        <w:t>The standard allows endnote references in comments and text boxes.</w:t>
      </w:r>
    </w:p>
    <w:p w:rsidR="005F78FC" w:rsidRDefault="00B42EF3">
      <w:pPr>
        <w:pStyle w:val="Definition-Field2"/>
      </w:pPr>
      <w:r>
        <w:t>Word ignores this element if it is specified in a comment or text box.</w:t>
      </w:r>
    </w:p>
    <w:p w:rsidR="005F78FC" w:rsidRDefault="00B42EF3">
      <w:pPr>
        <w:pStyle w:val="Heading3"/>
      </w:pPr>
      <w:bookmarkStart w:id="626" w:name="section_568c6fabc68e4100a369804243c54d56"/>
      <w:bookmarkStart w:id="627" w:name="_Toc69878086"/>
      <w:r>
        <w:t>Part 1 Section 17.11.9, footnote</w:t>
      </w:r>
      <w:r>
        <w:t xml:space="preserve"> (Special Footnote List)</w:t>
      </w:r>
      <w:bookmarkEnd w:id="626"/>
      <w:bookmarkEnd w:id="627"/>
      <w:r>
        <w:fldChar w:fldCharType="begin"/>
      </w:r>
      <w:r>
        <w:instrText xml:space="preserve"> XE "footnote (Special Footnote List)"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35d669a8a0a04176acf26f206cac5d4d">
        <w:r>
          <w:rPr>
            <w:rStyle w:val="Hyperlink"/>
          </w:rPr>
          <w:t>endnote, §17.11.3(a, b)</w:t>
        </w:r>
      </w:hyperlink>
      <w:r>
        <w:rPr>
          <w:i/>
        </w:rPr>
        <w:t>.</w:t>
      </w:r>
    </w:p>
    <w:p w:rsidR="005F78FC" w:rsidRDefault="00B42EF3">
      <w:pPr>
        <w:pStyle w:val="Heading3"/>
      </w:pPr>
      <w:bookmarkStart w:id="628" w:name="section_d5931152c596463d931edb02b303844b"/>
      <w:bookmarkStart w:id="629" w:name="_Toc69878087"/>
      <w:r>
        <w:t>Part 1 Section 17.11.10, footnote (Footnote Content)</w:t>
      </w:r>
      <w:bookmarkEnd w:id="628"/>
      <w:bookmarkEnd w:id="629"/>
      <w:r>
        <w:fldChar w:fldCharType="begin"/>
      </w:r>
      <w:r>
        <w:instrText xml:space="preserve"> XE "footnote (Footnote Content)"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9a1dbfc1962449af810efbfd0922949c">
        <w:r>
          <w:rPr>
            <w:rStyle w:val="Hyperlink"/>
          </w:rPr>
          <w:t>endnote, §17.1</w:t>
        </w:r>
        <w:r>
          <w:rPr>
            <w:rStyle w:val="Hyperlink"/>
          </w:rPr>
          <w:t>1.2(a)</w:t>
        </w:r>
      </w:hyperlink>
      <w:r>
        <w:rPr>
          <w:i/>
        </w:rPr>
        <w:t xml:space="preserve">;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5F78FC" w:rsidRDefault="00B42EF3">
      <w:pPr>
        <w:pStyle w:val="Definition-Field"/>
      </w:pPr>
      <w:r>
        <w:t xml:space="preserve">a.   </w:t>
      </w:r>
      <w:r>
        <w:rPr>
          <w:i/>
        </w:rPr>
        <w:t>The standard states that the id attribute is used to match the conten</w:t>
      </w:r>
      <w:r>
        <w:rPr>
          <w:i/>
        </w:rPr>
        <w:t>ts of a footnote or endnote using the footnoteRef or endnoteRef element.</w:t>
      </w:r>
    </w:p>
    <w:p w:rsidR="005F78FC" w:rsidRDefault="00B42EF3">
      <w:pPr>
        <w:pStyle w:val="Definition-Field2"/>
      </w:pPr>
      <w:r>
        <w:t>Word uses this attribute to make this match using the footnoteReference/endnoteReference elements.</w:t>
      </w:r>
    </w:p>
    <w:p w:rsidR="005F78FC" w:rsidRDefault="00B42EF3">
      <w:pPr>
        <w:pStyle w:val="Heading3"/>
      </w:pPr>
      <w:bookmarkStart w:id="630" w:name="section_d399b2b668ad4c7faba00d1b77a5aa60"/>
      <w:bookmarkStart w:id="631" w:name="_Toc69878088"/>
      <w:r>
        <w:t>Part 1 Section 17.11.14, footnoteReference (Footnote Reference)</w:t>
      </w:r>
      <w:bookmarkEnd w:id="630"/>
      <w:bookmarkEnd w:id="631"/>
      <w:r>
        <w:fldChar w:fldCharType="begin"/>
      </w:r>
      <w:r>
        <w:instrText xml:space="preserve"> XE "footnoteReferenc</w:instrText>
      </w:r>
      <w:r>
        <w:instrText xml:space="preserve">e (Footnote Reference)"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540efde2e14f4ab0b0aa7961a41fe10b">
        <w:r>
          <w:rPr>
            <w:rStyle w:val="Hyperlink"/>
          </w:rPr>
          <w:t>endnoteReference, §17.11.7(a)</w:t>
        </w:r>
      </w:hyperlink>
      <w:r>
        <w:rPr>
          <w:i/>
        </w:rPr>
        <w:t>.</w:t>
      </w:r>
    </w:p>
    <w:p w:rsidR="005F78FC" w:rsidRDefault="00B42EF3">
      <w:pPr>
        <w:pStyle w:val="Definition-Field"/>
      </w:pPr>
      <w:r>
        <w:t xml:space="preserve">a.   </w:t>
      </w:r>
      <w:r>
        <w:rPr>
          <w:i/>
        </w:rPr>
        <w:t>The standard states that footnote refere</w:t>
      </w:r>
      <w:r>
        <w:rPr>
          <w:i/>
        </w:rPr>
        <w:t>nces can appear in comments and text boxes.</w:t>
      </w:r>
    </w:p>
    <w:p w:rsidR="005F78FC" w:rsidRDefault="00B42EF3">
      <w:pPr>
        <w:pStyle w:val="Definition-Field2"/>
      </w:pPr>
      <w:r>
        <w:t>Word ignores this element if it is specified within a comment or text box.</w:t>
      </w:r>
    </w:p>
    <w:p w:rsidR="005F78FC" w:rsidRDefault="00B42EF3">
      <w:pPr>
        <w:pStyle w:val="Heading3"/>
      </w:pPr>
      <w:bookmarkStart w:id="632" w:name="section_a910e9f7f95f49adad2368ea9a7922cd"/>
      <w:bookmarkStart w:id="633" w:name="_Toc69878089"/>
      <w:r>
        <w:lastRenderedPageBreak/>
        <w:t>Part 1 Section 17.11.17, numFmt (Endnote Numbering Format)</w:t>
      </w:r>
      <w:bookmarkEnd w:id="632"/>
      <w:bookmarkEnd w:id="633"/>
      <w:r>
        <w:fldChar w:fldCharType="begin"/>
      </w:r>
      <w:r>
        <w:instrText xml:space="preserve"> XE "numFmt (Endnote Numbering Format)" </w:instrText>
      </w:r>
      <w:r>
        <w:fldChar w:fldCharType="end"/>
      </w:r>
    </w:p>
    <w:p w:rsidR="005F78FC" w:rsidRDefault="00B42EF3">
      <w:pPr>
        <w:pStyle w:val="Definition-Field"/>
      </w:pPr>
      <w:r>
        <w:t xml:space="preserve">a.   </w:t>
      </w:r>
      <w:r>
        <w:rPr>
          <w:i/>
        </w:rPr>
        <w:t>The standard says the default v</w:t>
      </w:r>
      <w:r>
        <w:rPr>
          <w:i/>
        </w:rPr>
        <w:t>alue for endnote numbering format is decimal.</w:t>
      </w:r>
    </w:p>
    <w:p w:rsidR="005F78FC" w:rsidRDefault="00B42EF3">
      <w:pPr>
        <w:pStyle w:val="Definition-Field2"/>
      </w:pPr>
      <w:r>
        <w:t>In Word, the default value for endnote numbering format is lowerRoman.</w:t>
      </w:r>
    </w:p>
    <w:p w:rsidR="005F78FC" w:rsidRDefault="00B42EF3">
      <w:pPr>
        <w:pStyle w:val="Definition-Field"/>
      </w:pPr>
      <w:r>
        <w:t xml:space="preserve">b.   </w:t>
      </w:r>
      <w:r>
        <w:rPr>
          <w:i/>
        </w:rPr>
        <w:t>The standard allows the numFmt to be set to bullet numbering format.</w:t>
      </w:r>
    </w:p>
    <w:p w:rsidR="005F78FC" w:rsidRDefault="00B42EF3">
      <w:pPr>
        <w:pStyle w:val="Definition-Field2"/>
      </w:pPr>
      <w:r>
        <w:t>If numFmt is set to bullet numbering format, Word uses decimal nu</w:t>
      </w:r>
      <w:r>
        <w:t>mbering format instead.</w:t>
      </w:r>
    </w:p>
    <w:p w:rsidR="005F78FC" w:rsidRDefault="00B42EF3">
      <w:pPr>
        <w:pStyle w:val="Definition-Field"/>
      </w:pPr>
      <w:r>
        <w:t xml:space="preserve">c.   </w:t>
      </w:r>
      <w:r>
        <w:rPr>
          <w:i/>
        </w:rPr>
        <w:t>The standard says the endnote numFmt specifies the numbering format which shall be used for both footnotes and endnotes.</w:t>
      </w:r>
    </w:p>
    <w:p w:rsidR="005F78FC" w:rsidRDefault="00B42EF3">
      <w:pPr>
        <w:pStyle w:val="Definition-Field2"/>
      </w:pPr>
      <w:r>
        <w:t>In Word, the footnotes numFmt specifies the numbering format for footnotes and the endnote numFmt specifie</w:t>
      </w:r>
      <w:r>
        <w:t>s the numbering format for endnotes.</w:t>
      </w:r>
    </w:p>
    <w:p w:rsidR="005F78FC" w:rsidRDefault="00B42EF3">
      <w:pPr>
        <w:pStyle w:val="Heading3"/>
      </w:pPr>
      <w:bookmarkStart w:id="634" w:name="section_5101925a4b134c999081b00a1eb63ac4"/>
      <w:bookmarkStart w:id="635" w:name="_Toc69878090"/>
      <w:r>
        <w:t>Part 1 Section 17.11.18, numFmt (Footnote Numbering Format)</w:t>
      </w:r>
      <w:bookmarkEnd w:id="634"/>
      <w:bookmarkEnd w:id="635"/>
      <w:r>
        <w:fldChar w:fldCharType="begin"/>
      </w:r>
      <w:r>
        <w:instrText xml:space="preserve"> XE "numFmt (Footnote Numbering Format)" </w:instrText>
      </w:r>
      <w:r>
        <w:fldChar w:fldCharType="end"/>
      </w:r>
    </w:p>
    <w:p w:rsidR="005F78FC" w:rsidRDefault="00B42EF3">
      <w:pPr>
        <w:pStyle w:val="Definition-Field"/>
      </w:pPr>
      <w:r>
        <w:t xml:space="preserve">a.   </w:t>
      </w:r>
      <w:r>
        <w:rPr>
          <w:i/>
        </w:rPr>
        <w:t xml:space="preserve">The standard says the footnote numFmt specifies the numbering format that shall be used for both footnotes and </w:t>
      </w:r>
      <w:r>
        <w:rPr>
          <w:i/>
        </w:rPr>
        <w:t>endnotes.</w:t>
      </w:r>
    </w:p>
    <w:p w:rsidR="005F78FC" w:rsidRDefault="00B42EF3">
      <w:pPr>
        <w:pStyle w:val="Definition-Field2"/>
      </w:pPr>
      <w:r>
        <w:t>In Word, the footnotes numFmt specifies the numbering format for footnotes and the endnote numFmt specifies the numbering format for endnotes.</w:t>
      </w:r>
    </w:p>
    <w:p w:rsidR="005F78FC" w:rsidRDefault="00B42EF3">
      <w:pPr>
        <w:pStyle w:val="Definition-Field"/>
      </w:pPr>
      <w:r>
        <w:t xml:space="preserve">b.   </w:t>
      </w:r>
      <w:r>
        <w:rPr>
          <w:i/>
        </w:rPr>
        <w:t>The standard allows the numFmt to be set to bullet numbering format.</w:t>
      </w:r>
    </w:p>
    <w:p w:rsidR="005F78FC" w:rsidRDefault="00B42EF3">
      <w:pPr>
        <w:pStyle w:val="Definition-Field2"/>
      </w:pPr>
      <w:r>
        <w:t>If numFmt is set to bullet nu</w:t>
      </w:r>
      <w:r>
        <w:t>mbering format, Word uses decimal numbering format instead.</w:t>
      </w:r>
    </w:p>
    <w:p w:rsidR="005F78FC" w:rsidRDefault="00B42EF3">
      <w:pPr>
        <w:pStyle w:val="Heading3"/>
      </w:pPr>
      <w:bookmarkStart w:id="636" w:name="section_3d4f2605895d43f79d2ae695b1062787"/>
      <w:bookmarkStart w:id="637" w:name="_Toc69878091"/>
      <w:r>
        <w:t>Part 1 Section 17.11.20, numStart (Footnote and Endnote Numbering Starting Value)</w:t>
      </w:r>
      <w:bookmarkEnd w:id="636"/>
      <w:bookmarkEnd w:id="637"/>
      <w:r>
        <w:fldChar w:fldCharType="begin"/>
      </w:r>
      <w:r>
        <w:instrText xml:space="preserve"> XE "numStart (Footnote and Endnote Numbering Starting Value)" </w:instrText>
      </w:r>
      <w:r>
        <w:fldChar w:fldCharType="end"/>
      </w:r>
    </w:p>
    <w:p w:rsidR="005F78FC" w:rsidRDefault="00B42EF3">
      <w:pPr>
        <w:pStyle w:val="Definition-Field"/>
      </w:pPr>
      <w:r>
        <w:t xml:space="preserve">a.   </w:t>
      </w:r>
      <w:r>
        <w:rPr>
          <w:i/>
        </w:rPr>
        <w:t>The standard states that the values of the v</w:t>
      </w:r>
      <w:r>
        <w:rPr>
          <w:i/>
        </w:rPr>
        <w:t>al attribute are defined by the XML Schema integer datatype.</w:t>
      </w:r>
    </w:p>
    <w:p w:rsidR="005F78FC" w:rsidRDefault="00B42EF3">
      <w:pPr>
        <w:pStyle w:val="Definition-Field2"/>
      </w:pPr>
      <w:r>
        <w:t>Word defines the values of this attribute with the XML Schema unsignedShort datatype.</w:t>
      </w:r>
    </w:p>
    <w:p w:rsidR="005F78FC" w:rsidRDefault="00B42EF3">
      <w:pPr>
        <w:pStyle w:val="Heading3"/>
      </w:pPr>
      <w:bookmarkStart w:id="638" w:name="section_5e9e5e99e0434691baec1b732916259b"/>
      <w:bookmarkStart w:id="639" w:name="_Toc69878092"/>
      <w:r>
        <w:t>Part 1 Section 17.11.21, pos (Footnote Placement)</w:t>
      </w:r>
      <w:bookmarkEnd w:id="638"/>
      <w:bookmarkEnd w:id="639"/>
      <w:r>
        <w:fldChar w:fldCharType="begin"/>
      </w:r>
      <w:r>
        <w:instrText xml:space="preserve"> XE "pos (Footnote Placement)" </w:instrText>
      </w:r>
      <w:r>
        <w:fldChar w:fldCharType="end"/>
      </w:r>
    </w:p>
    <w:p w:rsidR="005F78FC" w:rsidRDefault="00B42EF3">
      <w:pPr>
        <w:pStyle w:val="Definition-Field"/>
      </w:pPr>
      <w:r>
        <w:t xml:space="preserve">a.   </w:t>
      </w:r>
      <w:r>
        <w:rPr>
          <w:i/>
        </w:rPr>
        <w:t>The standard states t</w:t>
      </w:r>
      <w:r>
        <w:rPr>
          <w:i/>
        </w:rPr>
        <w:t>hat footnote placement operates at the document level and is ignored at the section level.</w:t>
      </w:r>
    </w:p>
    <w:p w:rsidR="005F78FC" w:rsidRDefault="00B42EF3">
      <w:pPr>
        <w:pStyle w:val="Definition-Field2"/>
      </w:pPr>
      <w:r>
        <w:t>Word determines footnote placement from the section level and ignores the setting at the document level.</w:t>
      </w:r>
    </w:p>
    <w:p w:rsidR="005F78FC" w:rsidRDefault="00B42EF3">
      <w:pPr>
        <w:pStyle w:val="Heading3"/>
      </w:pPr>
      <w:bookmarkStart w:id="640" w:name="section_120023b2ce194bc79f3d619ff7e1d81e"/>
      <w:bookmarkStart w:id="641" w:name="_Toc69878093"/>
      <w:r>
        <w:t>Part 1 Section 17.12.6, docPartBody (Contents of Glossary Do</w:t>
      </w:r>
      <w:r>
        <w:t>cument Entry)</w:t>
      </w:r>
      <w:bookmarkEnd w:id="640"/>
      <w:bookmarkEnd w:id="641"/>
      <w:r>
        <w:fldChar w:fldCharType="begin"/>
      </w:r>
      <w:r>
        <w:instrText xml:space="preserve"> XE "docPartBody (Contents of Glossary Document Entry)"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5F78FC" w:rsidRDefault="00B42EF3">
      <w:pPr>
        <w:pStyle w:val="Heading3"/>
      </w:pPr>
      <w:bookmarkStart w:id="642" w:name="section_c6dde08d044443058e44c23a0a66aab0"/>
      <w:bookmarkStart w:id="643" w:name="_Toc69878094"/>
      <w:r>
        <w:t>Part 1 Section 17.12.7, docPartPr (Glossary Document Entry Properties)</w:t>
      </w:r>
      <w:bookmarkEnd w:id="642"/>
      <w:bookmarkEnd w:id="643"/>
      <w:r>
        <w:fldChar w:fldCharType="begin"/>
      </w:r>
      <w:r>
        <w:instrText xml:space="preserve"> XE "docPartPr (Glossary Document Entry Properties)" </w:instrText>
      </w:r>
      <w:r>
        <w:fldChar w:fldCharType="end"/>
      </w:r>
    </w:p>
    <w:p w:rsidR="005F78FC" w:rsidRDefault="00B42EF3">
      <w:pPr>
        <w:pStyle w:val="Definition-Field"/>
      </w:pPr>
      <w:r>
        <w:t xml:space="preserve">a.   </w:t>
      </w:r>
      <w:r>
        <w:rPr>
          <w:i/>
        </w:rPr>
        <w:t xml:space="preserve">The standard states that there can be </w:t>
      </w:r>
      <w:r>
        <w:rPr>
          <w:i/>
        </w:rPr>
        <w:t>multiple occurrences of any given child element.</w:t>
      </w:r>
    </w:p>
    <w:p w:rsidR="005F78FC" w:rsidRDefault="00B42EF3">
      <w:pPr>
        <w:pStyle w:val="Definition-Field2"/>
      </w:pPr>
      <w:r>
        <w:t>Word ignores all except the last occurrence of any given child element.</w:t>
      </w:r>
    </w:p>
    <w:p w:rsidR="005F78FC" w:rsidRDefault="00B42EF3">
      <w:pPr>
        <w:pStyle w:val="Heading3"/>
      </w:pPr>
      <w:bookmarkStart w:id="644" w:name="section_14fb7c6771444eb1baab7076dfd03d90"/>
      <w:bookmarkStart w:id="645" w:name="_Toc69878095"/>
      <w:r>
        <w:lastRenderedPageBreak/>
        <w:t>Part 1 Section 17.12.8, docParts (List of Glossary Document Entries)</w:t>
      </w:r>
      <w:bookmarkEnd w:id="644"/>
      <w:bookmarkEnd w:id="645"/>
      <w:r>
        <w:fldChar w:fldCharType="begin"/>
      </w:r>
      <w:r>
        <w:instrText xml:space="preserve"> XE "docParts (List of Glossary Document Entries)" </w:instrText>
      </w:r>
      <w:r>
        <w:fldChar w:fldCharType="end"/>
      </w:r>
    </w:p>
    <w:p w:rsidR="005F78FC" w:rsidRDefault="00B42EF3">
      <w:pPr>
        <w:pStyle w:val="Definition-Field"/>
      </w:pPr>
      <w:r>
        <w:t xml:space="preserve">a.   </w:t>
      </w:r>
      <w:r>
        <w:rPr>
          <w:i/>
        </w:rPr>
        <w:t>The stan</w:t>
      </w:r>
      <w:r>
        <w:rPr>
          <w:i/>
        </w:rPr>
        <w:t>dard states that docParts must have at least 1 child element docPart</w:t>
      </w:r>
    </w:p>
    <w:p w:rsidR="005F78FC" w:rsidRDefault="00B42EF3">
      <w:pPr>
        <w:pStyle w:val="Definition-Field2"/>
      </w:pPr>
      <w:r>
        <w:t>Word can write out a document with 0 docPart elements</w:t>
      </w:r>
    </w:p>
    <w:p w:rsidR="005F78FC" w:rsidRDefault="00B42EF3">
      <w:pPr>
        <w:pStyle w:val="Heading3"/>
      </w:pPr>
      <w:bookmarkStart w:id="646" w:name="section_2f42e7a6a0144392846153a493241d28"/>
      <w:bookmarkStart w:id="647" w:name="_Toc69878096"/>
      <w:r>
        <w:t>Part 1 Section 17.13.4.2, comment (Comment Content)</w:t>
      </w:r>
      <w:bookmarkEnd w:id="646"/>
      <w:bookmarkEnd w:id="647"/>
      <w:r>
        <w:fldChar w:fldCharType="begin"/>
      </w:r>
      <w:r>
        <w:instrText xml:space="preserve"> XE "comment (Comment Content)" </w:instrText>
      </w:r>
      <w:r>
        <w:fldChar w:fldCharType="end"/>
      </w:r>
    </w:p>
    <w:p w:rsidR="005F78FC" w:rsidRDefault="00B42EF3">
      <w:pPr>
        <w:pStyle w:val="Definition-Field2"/>
      </w:pPr>
      <w:r>
        <w:rPr>
          <w:i/>
        </w:rPr>
        <w:t>For additional notes that apply to this portion</w:t>
      </w:r>
      <w:r>
        <w:rPr>
          <w:i/>
        </w:rPr>
        <w:t xml:space="preserve"> of the standard, please see the notes for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 xml:space="preserve">;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5F78FC" w:rsidRDefault="00B42EF3">
      <w:pPr>
        <w:pStyle w:val="Definition-Field"/>
      </w:pPr>
      <w:r>
        <w:t xml:space="preserve">a.   </w:t>
      </w:r>
      <w:r>
        <w:rPr>
          <w:i/>
        </w:rPr>
        <w:t>The standard does not limit the length of the value of the initials attribute.</w:t>
      </w:r>
    </w:p>
    <w:p w:rsidR="005F78FC" w:rsidRDefault="00B42EF3">
      <w:pPr>
        <w:pStyle w:val="Definition-Field2"/>
      </w:pPr>
      <w:r>
        <w:t>Word restricts the value of this attribu</w:t>
      </w:r>
      <w:r>
        <w:t>te to be at most nine characters.</w:t>
      </w:r>
    </w:p>
    <w:p w:rsidR="005F78FC" w:rsidRDefault="00B42EF3">
      <w:pPr>
        <w:pStyle w:val="Definition-Field"/>
      </w:pPr>
      <w:r>
        <w:t xml:space="preserve">b.   </w:t>
      </w:r>
      <w:r>
        <w:rPr>
          <w:i/>
        </w:rPr>
        <w:t>The standard allows revisions inside comments.</w:t>
      </w:r>
    </w:p>
    <w:p w:rsidR="005F78FC" w:rsidRDefault="00B42EF3">
      <w:r>
        <w:t xml:space="preserve">Word does not support having revisions in comments and the following revision elements should not appear in comment content: </w:t>
      </w:r>
    </w:p>
    <w:tbl>
      <w:tblPr>
        <w:tblStyle w:val="Table-ShadedHeader"/>
        <w:tblW w:w="0" w:type="auto"/>
        <w:tblLook w:val="04A0" w:firstRow="1" w:lastRow="0" w:firstColumn="1" w:lastColumn="0" w:noHBand="0" w:noVBand="1"/>
      </w:tblPr>
      <w:tblGrid>
        <w:gridCol w:w="9475"/>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Revision Elements</w:t>
            </w:r>
          </w:p>
        </w:tc>
      </w:tr>
      <w:tr w:rsidR="005F78FC" w:rsidTr="005F78FC">
        <w:tc>
          <w:tcPr>
            <w:tcW w:w="0" w:type="auto"/>
            <w:vAlign w:val="center"/>
          </w:tcPr>
          <w:p w:rsidR="005F78FC" w:rsidRDefault="00B42EF3">
            <w:pPr>
              <w:pStyle w:val="TableBodyText"/>
            </w:pPr>
            <w:r>
              <w:rPr>
                <w:b/>
              </w:rPr>
              <w:t>cellDel</w:t>
            </w:r>
            <w:r>
              <w:t xml:space="preserve"> ("</w:t>
            </w:r>
            <w:hyperlink r:id="rId97">
              <w:r>
                <w:rPr>
                  <w:rStyle w:val="Hyperlink"/>
                </w:rPr>
                <w:t>[ISO/IEC-29500-1]</w:t>
              </w:r>
            </w:hyperlink>
            <w:r>
              <w:t xml:space="preserve"> §17.13.5.1; cellDel") </w:t>
            </w:r>
          </w:p>
        </w:tc>
      </w:tr>
      <w:tr w:rsidR="005F78FC" w:rsidTr="005F78FC">
        <w:tc>
          <w:tcPr>
            <w:tcW w:w="0" w:type="auto"/>
            <w:vAlign w:val="center"/>
          </w:tcPr>
          <w:p w:rsidR="005F78FC" w:rsidRDefault="00B42EF3">
            <w:pPr>
              <w:pStyle w:val="TableBodyText"/>
            </w:pPr>
            <w:r>
              <w:rPr>
                <w:b/>
              </w:rPr>
              <w:t>cellIns</w:t>
            </w:r>
            <w:r>
              <w:t xml:space="preserve"> ("[ISO/IEC-29500-1] §17.13.5.2; cellIns") </w:t>
            </w:r>
          </w:p>
        </w:tc>
      </w:tr>
      <w:tr w:rsidR="005F78FC" w:rsidTr="005F78FC">
        <w:tc>
          <w:tcPr>
            <w:tcW w:w="0" w:type="auto"/>
            <w:vAlign w:val="center"/>
          </w:tcPr>
          <w:p w:rsidR="005F78FC" w:rsidRDefault="00B42EF3">
            <w:pPr>
              <w:pStyle w:val="TableBodyText"/>
            </w:pPr>
            <w:r>
              <w:rPr>
                <w:b/>
              </w:rPr>
              <w:t>cellMerge</w:t>
            </w:r>
            <w:r>
              <w:t xml:space="preserve"> ("[ISO/IEC-29500-1] §17.13.5.3; cellMerge"); </w:t>
            </w:r>
          </w:p>
        </w:tc>
      </w:tr>
      <w:tr w:rsidR="005F78FC" w:rsidTr="005F78FC">
        <w:tc>
          <w:tcPr>
            <w:tcW w:w="0" w:type="auto"/>
            <w:vAlign w:val="center"/>
          </w:tcPr>
          <w:p w:rsidR="005F78FC" w:rsidRDefault="00B42EF3">
            <w:pPr>
              <w:pStyle w:val="TableBodyText"/>
            </w:pPr>
            <w:r>
              <w:rPr>
                <w:b/>
              </w:rPr>
              <w:t>customXmlDelRangeEnd</w:t>
            </w:r>
            <w:r>
              <w:t xml:space="preserve"> ("[ISO/IEC-29500-1]</w:t>
            </w:r>
            <w:r>
              <w:t xml:space="preserve"> §17.13.5.4; customXmlDelRangeEnd")</w:t>
            </w:r>
          </w:p>
        </w:tc>
      </w:tr>
      <w:tr w:rsidR="005F78FC" w:rsidTr="005F78FC">
        <w:tc>
          <w:tcPr>
            <w:tcW w:w="0" w:type="auto"/>
            <w:vAlign w:val="center"/>
          </w:tcPr>
          <w:p w:rsidR="005F78FC" w:rsidRDefault="00B42EF3">
            <w:pPr>
              <w:pStyle w:val="TableBodyText"/>
            </w:pPr>
            <w:r>
              <w:rPr>
                <w:b/>
              </w:rPr>
              <w:t>customXmlDelRangeStart</w:t>
            </w:r>
            <w:r>
              <w:t xml:space="preserve"> ("[ISO/IEC-29500-1] §17.13.5.5; customXmlDelRangeStart")</w:t>
            </w:r>
          </w:p>
        </w:tc>
      </w:tr>
      <w:tr w:rsidR="005F78FC" w:rsidTr="005F78FC">
        <w:tc>
          <w:tcPr>
            <w:tcW w:w="0" w:type="auto"/>
            <w:vAlign w:val="center"/>
          </w:tcPr>
          <w:p w:rsidR="005F78FC" w:rsidRDefault="00B42EF3">
            <w:pPr>
              <w:pStyle w:val="TableBodyText"/>
            </w:pPr>
            <w:r>
              <w:rPr>
                <w:b/>
              </w:rPr>
              <w:t>customXmlInsRangeEnd</w:t>
            </w:r>
            <w:r>
              <w:t xml:space="preserve"> ("[ISO/IEC-29500-1] §17.13.5.6; customXmlInsRangeEnd")</w:t>
            </w:r>
          </w:p>
        </w:tc>
      </w:tr>
      <w:tr w:rsidR="005F78FC" w:rsidTr="005F78FC">
        <w:tc>
          <w:tcPr>
            <w:tcW w:w="0" w:type="auto"/>
            <w:vAlign w:val="center"/>
          </w:tcPr>
          <w:p w:rsidR="005F78FC" w:rsidRDefault="00B42EF3">
            <w:pPr>
              <w:pStyle w:val="TableBodyText"/>
            </w:pPr>
            <w:r>
              <w:rPr>
                <w:b/>
              </w:rPr>
              <w:t>customXmlInsRangeStart</w:t>
            </w:r>
            <w:r>
              <w:t xml:space="preserve"> ("[ISO/IEC-29500-1] §17.13.5.7; custom</w:t>
            </w:r>
            <w:r>
              <w:t>XmlInsRangeStart")</w:t>
            </w:r>
          </w:p>
        </w:tc>
      </w:tr>
      <w:tr w:rsidR="005F78FC" w:rsidTr="005F78FC">
        <w:tc>
          <w:tcPr>
            <w:tcW w:w="0" w:type="auto"/>
            <w:vAlign w:val="center"/>
          </w:tcPr>
          <w:p w:rsidR="005F78FC" w:rsidRDefault="00B42EF3">
            <w:pPr>
              <w:pStyle w:val="TableBodyText"/>
            </w:pPr>
            <w:r>
              <w:rPr>
                <w:b/>
              </w:rPr>
              <w:t>customXmlMoveFromRangeEnd</w:t>
            </w:r>
            <w:r>
              <w:t xml:space="preserve"> ("[ISO/IEC-29500-1] §17.13.5.8; customXmlMoveFromRangeEnd")</w:t>
            </w:r>
          </w:p>
        </w:tc>
      </w:tr>
      <w:tr w:rsidR="005F78FC" w:rsidTr="005F78FC">
        <w:tc>
          <w:tcPr>
            <w:tcW w:w="0" w:type="auto"/>
            <w:vAlign w:val="center"/>
          </w:tcPr>
          <w:p w:rsidR="005F78FC" w:rsidRDefault="00B42EF3">
            <w:pPr>
              <w:pStyle w:val="TableBodyText"/>
            </w:pPr>
            <w:r>
              <w:rPr>
                <w:b/>
              </w:rPr>
              <w:t>customXmlMoveFromRangeStart</w:t>
            </w:r>
            <w:r>
              <w:t xml:space="preserve"> ("[ISO/IEC-29500-1] §17.13.5.9; customXmlMoveFromRangeStart")</w:t>
            </w:r>
          </w:p>
        </w:tc>
      </w:tr>
      <w:tr w:rsidR="005F78FC" w:rsidTr="005F78FC">
        <w:tc>
          <w:tcPr>
            <w:tcW w:w="0" w:type="auto"/>
            <w:vAlign w:val="center"/>
          </w:tcPr>
          <w:p w:rsidR="005F78FC" w:rsidRDefault="00B42EF3">
            <w:pPr>
              <w:pStyle w:val="TableBodyText"/>
            </w:pPr>
            <w:r>
              <w:rPr>
                <w:b/>
              </w:rPr>
              <w:t>customXmlMoveToRangeEnd</w:t>
            </w:r>
            <w:r>
              <w:t xml:space="preserve"> ("[ISO/IEC-29500-1]</w:t>
            </w:r>
            <w:r>
              <w:t xml:space="preserve"> §17.13.5.10; customXmlMoveToRangeEnd")</w:t>
            </w:r>
          </w:p>
        </w:tc>
      </w:tr>
      <w:tr w:rsidR="005F78FC" w:rsidTr="005F78FC">
        <w:tc>
          <w:tcPr>
            <w:tcW w:w="0" w:type="auto"/>
            <w:vAlign w:val="center"/>
          </w:tcPr>
          <w:p w:rsidR="005F78FC" w:rsidRDefault="00B42EF3">
            <w:pPr>
              <w:pStyle w:val="TableBodyText"/>
            </w:pPr>
            <w:r>
              <w:rPr>
                <w:b/>
              </w:rPr>
              <w:t>customXmlMoveToRangeStart</w:t>
            </w:r>
            <w:r>
              <w:t xml:space="preserve"> ("[ISO/IEC-29500-1] §17.13.5.11; customXmlMoveToRangeStart")</w:t>
            </w:r>
          </w:p>
        </w:tc>
      </w:tr>
      <w:tr w:rsidR="005F78FC" w:rsidTr="005F78FC">
        <w:tc>
          <w:tcPr>
            <w:tcW w:w="0" w:type="auto"/>
            <w:vAlign w:val="center"/>
          </w:tcPr>
          <w:p w:rsidR="005F78FC" w:rsidRDefault="00B42EF3">
            <w:pPr>
              <w:pStyle w:val="TableBodyText"/>
            </w:pPr>
            <w:r>
              <w:rPr>
                <w:b/>
              </w:rPr>
              <w:t>del</w:t>
            </w:r>
            <w:r>
              <w:t xml:space="preserve"> ("[ISO/IEC-29500-1] §17.13.5.14; del")</w:t>
            </w:r>
          </w:p>
        </w:tc>
      </w:tr>
      <w:tr w:rsidR="005F78FC" w:rsidTr="005F78FC">
        <w:tc>
          <w:tcPr>
            <w:tcW w:w="0" w:type="auto"/>
            <w:vAlign w:val="center"/>
          </w:tcPr>
          <w:p w:rsidR="005F78FC" w:rsidRDefault="00B42EF3">
            <w:pPr>
              <w:pStyle w:val="TableBodyText"/>
            </w:pPr>
            <w:r>
              <w:rPr>
                <w:b/>
              </w:rPr>
              <w:t>del</w:t>
            </w:r>
            <w:r>
              <w:t xml:space="preserve"> ("[ISO/IEC-29500-1] §17.13.5.15; del")</w:t>
            </w:r>
          </w:p>
        </w:tc>
      </w:tr>
      <w:tr w:rsidR="005F78FC" w:rsidTr="005F78FC">
        <w:tc>
          <w:tcPr>
            <w:tcW w:w="0" w:type="auto"/>
            <w:vAlign w:val="center"/>
          </w:tcPr>
          <w:p w:rsidR="005F78FC" w:rsidRDefault="00B42EF3">
            <w:pPr>
              <w:pStyle w:val="TableBodyText"/>
            </w:pPr>
            <w:r>
              <w:rPr>
                <w:b/>
              </w:rPr>
              <w:t>del</w:t>
            </w:r>
            <w:r>
              <w:t xml:space="preserve"> ("[ISO/IEC-29500-1] §17.13.5.12; de</w:t>
            </w:r>
            <w:r>
              <w:t>l")</w:t>
            </w:r>
          </w:p>
        </w:tc>
      </w:tr>
      <w:tr w:rsidR="005F78FC" w:rsidTr="005F78FC">
        <w:tc>
          <w:tcPr>
            <w:tcW w:w="0" w:type="auto"/>
            <w:vAlign w:val="center"/>
          </w:tcPr>
          <w:p w:rsidR="005F78FC" w:rsidRDefault="00B42EF3">
            <w:pPr>
              <w:pStyle w:val="TableBodyText"/>
            </w:pPr>
            <w:r>
              <w:rPr>
                <w:b/>
              </w:rPr>
              <w:t>del</w:t>
            </w:r>
            <w:r>
              <w:t xml:space="preserve"> ("[ISO/IEC-29500-1] §17.13.5.13; del")</w:t>
            </w:r>
          </w:p>
        </w:tc>
      </w:tr>
      <w:tr w:rsidR="005F78FC" w:rsidTr="005F78FC">
        <w:tc>
          <w:tcPr>
            <w:tcW w:w="0" w:type="auto"/>
            <w:vAlign w:val="center"/>
          </w:tcPr>
          <w:p w:rsidR="005F78FC" w:rsidRDefault="00B42EF3">
            <w:pPr>
              <w:pStyle w:val="TableBodyText"/>
            </w:pPr>
            <w:r>
              <w:rPr>
                <w:b/>
              </w:rPr>
              <w:t>delInstrText</w:t>
            </w:r>
            <w:r>
              <w:t xml:space="preserve"> ("[ISO/IEC-29500-1] §17.16.13; delInstrText") </w:t>
            </w:r>
          </w:p>
        </w:tc>
      </w:tr>
      <w:tr w:rsidR="005F78FC" w:rsidTr="005F78FC">
        <w:tc>
          <w:tcPr>
            <w:tcW w:w="0" w:type="auto"/>
            <w:vAlign w:val="center"/>
          </w:tcPr>
          <w:p w:rsidR="005F78FC" w:rsidRDefault="00B42EF3">
            <w:pPr>
              <w:pStyle w:val="TableBodyText"/>
            </w:pPr>
            <w:r>
              <w:rPr>
                <w:b/>
              </w:rPr>
              <w:t>delText</w:t>
            </w:r>
            <w:r>
              <w:t xml:space="preserve"> ("[ISO/IEC-29500-1] §17.3.3.7; delText"); </w:t>
            </w:r>
          </w:p>
        </w:tc>
      </w:tr>
      <w:tr w:rsidR="005F78FC" w:rsidTr="005F78FC">
        <w:tc>
          <w:tcPr>
            <w:tcW w:w="0" w:type="auto"/>
            <w:vAlign w:val="center"/>
          </w:tcPr>
          <w:p w:rsidR="005F78FC" w:rsidRDefault="00B42EF3">
            <w:pPr>
              <w:pStyle w:val="TableBodyText"/>
            </w:pPr>
            <w:r>
              <w:rPr>
                <w:b/>
              </w:rPr>
              <w:t>ins</w:t>
            </w:r>
            <w:r>
              <w:t xml:space="preserve"> ("[ISO/IEC-29500-1] §17.13.5.17; ins")</w:t>
            </w:r>
          </w:p>
        </w:tc>
      </w:tr>
      <w:tr w:rsidR="005F78FC" w:rsidTr="005F78FC">
        <w:tc>
          <w:tcPr>
            <w:tcW w:w="0" w:type="auto"/>
            <w:vAlign w:val="center"/>
          </w:tcPr>
          <w:p w:rsidR="005F78FC" w:rsidRDefault="00B42EF3">
            <w:pPr>
              <w:pStyle w:val="TableBodyText"/>
            </w:pPr>
            <w:r>
              <w:rPr>
                <w:b/>
              </w:rPr>
              <w:t>ins</w:t>
            </w:r>
            <w:r>
              <w:t xml:space="preserve"> ("[ISO/IEC-29500-1] §17.13.5.16; ins"); </w:t>
            </w:r>
          </w:p>
        </w:tc>
      </w:tr>
      <w:tr w:rsidR="005F78FC" w:rsidTr="005F78FC">
        <w:tc>
          <w:tcPr>
            <w:tcW w:w="0" w:type="auto"/>
            <w:vAlign w:val="center"/>
          </w:tcPr>
          <w:p w:rsidR="005F78FC" w:rsidRDefault="00B42EF3">
            <w:pPr>
              <w:pStyle w:val="TableBodyText"/>
            </w:pPr>
            <w:r>
              <w:rPr>
                <w:b/>
              </w:rPr>
              <w:t>ins</w:t>
            </w:r>
            <w:r>
              <w:t xml:space="preserve"> ("[ISO/IEC-29500-1] §17.13.5.20; ins")</w:t>
            </w:r>
          </w:p>
        </w:tc>
      </w:tr>
      <w:tr w:rsidR="005F78FC" w:rsidTr="005F78FC">
        <w:tc>
          <w:tcPr>
            <w:tcW w:w="0" w:type="auto"/>
            <w:vAlign w:val="center"/>
          </w:tcPr>
          <w:p w:rsidR="005F78FC" w:rsidRDefault="00B42EF3">
            <w:pPr>
              <w:pStyle w:val="TableBodyText"/>
            </w:pPr>
            <w:r>
              <w:rPr>
                <w:b/>
              </w:rPr>
              <w:t>ins</w:t>
            </w:r>
            <w:r>
              <w:t xml:space="preserve"> ("[ISO/IEC-29500-1] §17.13.5.19; ins") </w:t>
            </w:r>
          </w:p>
        </w:tc>
      </w:tr>
      <w:tr w:rsidR="005F78FC" w:rsidTr="005F78FC">
        <w:tc>
          <w:tcPr>
            <w:tcW w:w="0" w:type="auto"/>
            <w:vAlign w:val="center"/>
          </w:tcPr>
          <w:p w:rsidR="005F78FC" w:rsidRDefault="00B42EF3">
            <w:pPr>
              <w:pStyle w:val="TableBodyText"/>
            </w:pPr>
            <w:r>
              <w:rPr>
                <w:b/>
              </w:rPr>
              <w:lastRenderedPageBreak/>
              <w:t>ins</w:t>
            </w:r>
            <w:r>
              <w:t xml:space="preserve"> ("[ISO/IEC-29500-1] §17.13.5.18; ins")</w:t>
            </w:r>
          </w:p>
        </w:tc>
      </w:tr>
      <w:tr w:rsidR="005F78FC" w:rsidTr="005F78FC">
        <w:tc>
          <w:tcPr>
            <w:tcW w:w="0" w:type="auto"/>
            <w:vAlign w:val="center"/>
          </w:tcPr>
          <w:p w:rsidR="005F78FC" w:rsidRDefault="00B42EF3">
            <w:pPr>
              <w:pStyle w:val="TableBodyText"/>
            </w:pPr>
            <w:r>
              <w:rPr>
                <w:b/>
              </w:rPr>
              <w:t>moveFrom</w:t>
            </w:r>
            <w:r>
              <w:t xml:space="preserve"> ("[ISO/IEC-29500-1] §17.13.5.22; moveFrom")</w:t>
            </w:r>
          </w:p>
        </w:tc>
      </w:tr>
      <w:tr w:rsidR="005F78FC" w:rsidTr="005F78FC">
        <w:tc>
          <w:tcPr>
            <w:tcW w:w="0" w:type="auto"/>
            <w:vAlign w:val="center"/>
          </w:tcPr>
          <w:p w:rsidR="005F78FC" w:rsidRDefault="00B42EF3">
            <w:pPr>
              <w:pStyle w:val="TableBodyText"/>
            </w:pPr>
            <w:r>
              <w:rPr>
                <w:b/>
              </w:rPr>
              <w:t>moveFrom</w:t>
            </w:r>
            <w:r>
              <w:t xml:space="preserve"> ("[ISO/IEC-29500-1] §17.13.5.21; moveFrom") </w:t>
            </w:r>
          </w:p>
        </w:tc>
      </w:tr>
      <w:tr w:rsidR="005F78FC" w:rsidTr="005F78FC">
        <w:tc>
          <w:tcPr>
            <w:tcW w:w="0" w:type="auto"/>
            <w:vAlign w:val="center"/>
          </w:tcPr>
          <w:p w:rsidR="005F78FC" w:rsidRDefault="00B42EF3">
            <w:pPr>
              <w:pStyle w:val="TableBodyText"/>
            </w:pPr>
            <w:r>
              <w:rPr>
                <w:b/>
              </w:rPr>
              <w:t>moveFromRangeEnd</w:t>
            </w:r>
            <w:r>
              <w:t xml:space="preserve"> </w:t>
            </w:r>
            <w:r>
              <w:t>("[ISO/IEC-29500-1] §17.13.5.23; moveFromRangeEnd")</w:t>
            </w:r>
          </w:p>
        </w:tc>
      </w:tr>
      <w:tr w:rsidR="005F78FC" w:rsidTr="005F78FC">
        <w:tc>
          <w:tcPr>
            <w:tcW w:w="0" w:type="auto"/>
            <w:vAlign w:val="center"/>
          </w:tcPr>
          <w:p w:rsidR="005F78FC" w:rsidRDefault="00B42EF3">
            <w:pPr>
              <w:pStyle w:val="TableBodyText"/>
            </w:pPr>
            <w:r>
              <w:rPr>
                <w:b/>
              </w:rPr>
              <w:t>moveFromRangeStart</w:t>
            </w:r>
            <w:r>
              <w:t xml:space="preserve"> ("[ISO/IEC-29500-1] §17.13.5.24; moveFromRangeStart")</w:t>
            </w:r>
          </w:p>
        </w:tc>
      </w:tr>
      <w:tr w:rsidR="005F78FC" w:rsidTr="005F78FC">
        <w:tc>
          <w:tcPr>
            <w:tcW w:w="0" w:type="auto"/>
            <w:vAlign w:val="center"/>
          </w:tcPr>
          <w:p w:rsidR="005F78FC" w:rsidRDefault="00B42EF3">
            <w:pPr>
              <w:pStyle w:val="TableBodyText"/>
            </w:pPr>
            <w:r>
              <w:rPr>
                <w:b/>
              </w:rPr>
              <w:t>moveTo</w:t>
            </w:r>
            <w:r>
              <w:t xml:space="preserve"> ("[ISO/IEC-29500-1] §17.13.5.26; moveTo")</w:t>
            </w:r>
          </w:p>
        </w:tc>
      </w:tr>
      <w:tr w:rsidR="005F78FC" w:rsidTr="005F78FC">
        <w:tc>
          <w:tcPr>
            <w:tcW w:w="0" w:type="auto"/>
            <w:vAlign w:val="center"/>
          </w:tcPr>
          <w:p w:rsidR="005F78FC" w:rsidRDefault="00B42EF3">
            <w:pPr>
              <w:pStyle w:val="TableBodyText"/>
            </w:pPr>
            <w:r>
              <w:rPr>
                <w:b/>
              </w:rPr>
              <w:t>moveTo</w:t>
            </w:r>
            <w:r>
              <w:t xml:space="preserve"> ("[ISO/IEC-29500-1] §17.13.5.25; moveTo")</w:t>
            </w:r>
          </w:p>
        </w:tc>
      </w:tr>
      <w:tr w:rsidR="005F78FC" w:rsidTr="005F78FC">
        <w:tc>
          <w:tcPr>
            <w:tcW w:w="0" w:type="auto"/>
            <w:vAlign w:val="center"/>
          </w:tcPr>
          <w:p w:rsidR="005F78FC" w:rsidRDefault="00B42EF3">
            <w:pPr>
              <w:pStyle w:val="TableBodyText"/>
            </w:pPr>
            <w:r>
              <w:rPr>
                <w:b/>
              </w:rPr>
              <w:t>moveToRangeEnd</w:t>
            </w:r>
            <w:r>
              <w:t xml:space="preserve"> ("</w:t>
            </w:r>
            <w:r>
              <w:t>[ISO/IEC-29500-1] §17.13.5.27; moveToRangeEnd")</w:t>
            </w:r>
          </w:p>
        </w:tc>
      </w:tr>
      <w:tr w:rsidR="005F78FC" w:rsidTr="005F78FC">
        <w:tc>
          <w:tcPr>
            <w:tcW w:w="0" w:type="auto"/>
            <w:vAlign w:val="center"/>
          </w:tcPr>
          <w:p w:rsidR="005F78FC" w:rsidRDefault="00B42EF3">
            <w:pPr>
              <w:pStyle w:val="TableBodyText"/>
            </w:pPr>
            <w:r>
              <w:rPr>
                <w:b/>
              </w:rPr>
              <w:t>moveToRangeStart</w:t>
            </w:r>
            <w:r>
              <w:t xml:space="preserve"> ("[ISO/IEC-29500-1] §17.13.5.28; moveToRangeStart")</w:t>
            </w:r>
          </w:p>
        </w:tc>
      </w:tr>
      <w:tr w:rsidR="005F78FC" w:rsidTr="005F78FC">
        <w:tc>
          <w:tcPr>
            <w:tcW w:w="0" w:type="auto"/>
            <w:vAlign w:val="center"/>
          </w:tcPr>
          <w:p w:rsidR="005F78FC" w:rsidRDefault="00B42EF3">
            <w:pPr>
              <w:pStyle w:val="TableBodyText"/>
            </w:pPr>
            <w:r>
              <w:rPr>
                <w:b/>
              </w:rPr>
              <w:t>numberingChange</w:t>
            </w:r>
            <w:r>
              <w:t xml:space="preserve"> ("</w:t>
            </w:r>
            <w:hyperlink r:id="rId98">
              <w:r>
                <w:rPr>
                  <w:rStyle w:val="Hyperlink"/>
                </w:rPr>
                <w:t>[ISO/IEC-29500-4]</w:t>
              </w:r>
            </w:hyperlink>
            <w:r>
              <w:t xml:space="preserve"> §14.6.1.1; numberingChange (Previou</w:t>
            </w:r>
            <w:r>
              <w:t>s Numbering Field Properties)")</w:t>
            </w:r>
          </w:p>
        </w:tc>
      </w:tr>
      <w:tr w:rsidR="005F78FC" w:rsidTr="005F78FC">
        <w:tc>
          <w:tcPr>
            <w:tcW w:w="0" w:type="auto"/>
            <w:vAlign w:val="center"/>
          </w:tcPr>
          <w:p w:rsidR="005F78FC" w:rsidRDefault="00B42EF3">
            <w:pPr>
              <w:pStyle w:val="TableBodyText"/>
            </w:pPr>
            <w:r>
              <w:rPr>
                <w:b/>
              </w:rPr>
              <w:t>numberingChange</w:t>
            </w:r>
            <w:r>
              <w:t xml:space="preserve"> ("[ISO/IEC-29500-4] §14.6.1.2; numberingChange (Previous Paragraph Numbering Properties)") </w:t>
            </w:r>
          </w:p>
        </w:tc>
      </w:tr>
      <w:tr w:rsidR="005F78FC" w:rsidTr="005F78FC">
        <w:tc>
          <w:tcPr>
            <w:tcW w:w="0" w:type="auto"/>
            <w:vAlign w:val="center"/>
          </w:tcPr>
          <w:p w:rsidR="005F78FC" w:rsidRDefault="00B42EF3">
            <w:pPr>
              <w:pStyle w:val="TableBodyText"/>
            </w:pPr>
            <w:r>
              <w:rPr>
                <w:b/>
              </w:rPr>
              <w:t>pPrChange</w:t>
            </w:r>
            <w:r>
              <w:t xml:space="preserve"> ("[ISO/IEC-29500-1] §17.13.5.29; pPrChange") </w:t>
            </w:r>
          </w:p>
        </w:tc>
      </w:tr>
      <w:tr w:rsidR="005F78FC" w:rsidTr="005F78FC">
        <w:tc>
          <w:tcPr>
            <w:tcW w:w="0" w:type="auto"/>
            <w:vAlign w:val="center"/>
          </w:tcPr>
          <w:p w:rsidR="005F78FC" w:rsidRDefault="00B42EF3">
            <w:pPr>
              <w:pStyle w:val="TableBodyText"/>
            </w:pPr>
            <w:r>
              <w:rPr>
                <w:b/>
              </w:rPr>
              <w:t>rPrChange</w:t>
            </w:r>
            <w:r>
              <w:t xml:space="preserve"> ("[ISO/IEC-29500-1] §17.13.5.31; rPrChange")</w:t>
            </w:r>
          </w:p>
        </w:tc>
      </w:tr>
      <w:tr w:rsidR="005F78FC" w:rsidTr="005F78FC">
        <w:tc>
          <w:tcPr>
            <w:tcW w:w="0" w:type="auto"/>
            <w:vAlign w:val="center"/>
          </w:tcPr>
          <w:p w:rsidR="005F78FC" w:rsidRDefault="00B42EF3">
            <w:pPr>
              <w:pStyle w:val="TableBodyText"/>
            </w:pPr>
            <w:r>
              <w:rPr>
                <w:b/>
              </w:rPr>
              <w:t>r</w:t>
            </w:r>
            <w:r>
              <w:rPr>
                <w:b/>
              </w:rPr>
              <w:t>PrChange</w:t>
            </w:r>
            <w:r>
              <w:t xml:space="preserve"> ("[ISO/IEC-29500-1] §17.13.5.30; rPrChange") </w:t>
            </w:r>
          </w:p>
        </w:tc>
      </w:tr>
      <w:tr w:rsidR="005F78FC" w:rsidTr="005F78FC">
        <w:tc>
          <w:tcPr>
            <w:tcW w:w="0" w:type="auto"/>
            <w:vAlign w:val="center"/>
          </w:tcPr>
          <w:p w:rsidR="005F78FC" w:rsidRDefault="00B42EF3">
            <w:pPr>
              <w:pStyle w:val="TableBodyText"/>
            </w:pPr>
            <w:r>
              <w:rPr>
                <w:b/>
              </w:rPr>
              <w:t>sectPrChange</w:t>
            </w:r>
            <w:r>
              <w:t xml:space="preserve"> ("[ISO/IEC-29500-1] §17.13.5.32; sectPrChange") </w:t>
            </w:r>
          </w:p>
        </w:tc>
      </w:tr>
      <w:tr w:rsidR="005F78FC" w:rsidTr="005F78FC">
        <w:tc>
          <w:tcPr>
            <w:tcW w:w="0" w:type="auto"/>
            <w:vAlign w:val="center"/>
          </w:tcPr>
          <w:p w:rsidR="005F78FC" w:rsidRDefault="00B42EF3">
            <w:pPr>
              <w:pStyle w:val="TableBodyText"/>
            </w:pPr>
            <w:r>
              <w:rPr>
                <w:b/>
              </w:rPr>
              <w:t>tblGridChange</w:t>
            </w:r>
            <w:r>
              <w:t xml:space="preserve"> ("[ISO/IEC-29500-1] §17.13.5.33; tblGridChange") </w:t>
            </w:r>
          </w:p>
        </w:tc>
      </w:tr>
      <w:tr w:rsidR="005F78FC" w:rsidTr="005F78FC">
        <w:tc>
          <w:tcPr>
            <w:tcW w:w="0" w:type="auto"/>
            <w:vAlign w:val="center"/>
          </w:tcPr>
          <w:p w:rsidR="005F78FC" w:rsidRDefault="00B42EF3">
            <w:pPr>
              <w:pStyle w:val="TableBodyText"/>
            </w:pPr>
            <w:r>
              <w:rPr>
                <w:b/>
              </w:rPr>
              <w:t>tblPrChange</w:t>
            </w:r>
            <w:r>
              <w:t xml:space="preserve"> ("[ISO/IEC-29500-1] §17.13.5.34; tblPrChange")</w:t>
            </w:r>
          </w:p>
        </w:tc>
      </w:tr>
      <w:tr w:rsidR="005F78FC" w:rsidTr="005F78FC">
        <w:tc>
          <w:tcPr>
            <w:tcW w:w="0" w:type="auto"/>
            <w:vAlign w:val="center"/>
          </w:tcPr>
          <w:p w:rsidR="005F78FC" w:rsidRDefault="00B42EF3">
            <w:pPr>
              <w:pStyle w:val="TableBodyText"/>
            </w:pPr>
            <w:r>
              <w:rPr>
                <w:b/>
              </w:rPr>
              <w:t>tblPrExChange</w:t>
            </w:r>
            <w:r>
              <w:t xml:space="preserve"> ("[ISO/IEC-29500-1] §17.13.5.35; tblPrExChange")</w:t>
            </w:r>
          </w:p>
        </w:tc>
      </w:tr>
      <w:tr w:rsidR="005F78FC" w:rsidTr="005F78FC">
        <w:tc>
          <w:tcPr>
            <w:tcW w:w="0" w:type="auto"/>
            <w:vAlign w:val="center"/>
          </w:tcPr>
          <w:p w:rsidR="005F78FC" w:rsidRDefault="00B42EF3">
            <w:pPr>
              <w:pStyle w:val="TableBodyText"/>
            </w:pPr>
            <w:r>
              <w:rPr>
                <w:b/>
              </w:rPr>
              <w:t>tcPrChange</w:t>
            </w:r>
            <w:r>
              <w:t xml:space="preserve"> ("[ISO/IEC-29500-1] §17.13.5.36; tcPrChange")</w:t>
            </w:r>
          </w:p>
        </w:tc>
      </w:tr>
      <w:tr w:rsidR="005F78FC" w:rsidTr="005F78FC">
        <w:tc>
          <w:tcPr>
            <w:tcW w:w="0" w:type="auto"/>
            <w:vAlign w:val="center"/>
          </w:tcPr>
          <w:p w:rsidR="005F78FC" w:rsidRDefault="00B42EF3">
            <w:pPr>
              <w:pStyle w:val="TableBodyText"/>
            </w:pPr>
            <w:r>
              <w:rPr>
                <w:b/>
              </w:rPr>
              <w:t>trPrChange</w:t>
            </w:r>
            <w:r>
              <w:t xml:space="preserve"> ("[ISO/IEC-29500-1] §17.13.5.37; trPrChange")</w:t>
            </w:r>
          </w:p>
        </w:tc>
      </w:tr>
    </w:tbl>
    <w:p w:rsidR="005F78FC" w:rsidRDefault="005F78FC"/>
    <w:p w:rsidR="005F78FC" w:rsidRDefault="00B42EF3">
      <w:pPr>
        <w:pStyle w:val="Definition-Field"/>
      </w:pPr>
      <w:r>
        <w:t xml:space="preserve">c.   </w:t>
      </w:r>
      <w:r>
        <w:rPr>
          <w:i/>
        </w:rPr>
        <w:t>The standard does not limit the length of the value of the author attr</w:t>
      </w:r>
      <w:r>
        <w:rPr>
          <w:i/>
        </w:rPr>
        <w:t>ibute.</w:t>
      </w:r>
    </w:p>
    <w:p w:rsidR="005F78FC" w:rsidRDefault="00B42EF3">
      <w:pPr>
        <w:pStyle w:val="Definition-Field2"/>
      </w:pPr>
      <w:r>
        <w:t>Word restricts the value of this attribute to be at most 255 characters.</w:t>
      </w:r>
    </w:p>
    <w:p w:rsidR="005F78FC" w:rsidRDefault="00B42EF3">
      <w:pPr>
        <w:pStyle w:val="Definition-Field"/>
      </w:pPr>
      <w:r>
        <w:t xml:space="preserve">d.   </w:t>
      </w:r>
      <w:r>
        <w:rPr>
          <w:i/>
        </w:rPr>
        <w:t>The standard states that the date stored in the date attribute on the comment element is stored with the UTC date signifier (a trailing Z).</w:t>
      </w:r>
    </w:p>
    <w:p w:rsidR="005F78FC" w:rsidRDefault="00B42EF3">
      <w:pPr>
        <w:pStyle w:val="Definition-Field2"/>
      </w:pPr>
      <w:r>
        <w:t>The actual date is stored in th</w:t>
      </w:r>
      <w:r>
        <w:t>e user’s time zone. On load, Word ignores the UTC signifier and loads the date in the current time zone.</w:t>
      </w:r>
    </w:p>
    <w:p w:rsidR="005F78FC" w:rsidRDefault="00B42EF3">
      <w:pPr>
        <w:pStyle w:val="Heading3"/>
      </w:pPr>
      <w:bookmarkStart w:id="648" w:name="section_f9692dfcfc0f4f63847275907af12ade"/>
      <w:bookmarkStart w:id="649" w:name="_Toc69878097"/>
      <w:r>
        <w:t>Part 1 Section 17.13.4.3, commentRangeEnd (Comment Anchor Range End)</w:t>
      </w:r>
      <w:bookmarkEnd w:id="648"/>
      <w:bookmarkEnd w:id="649"/>
      <w:r>
        <w:fldChar w:fldCharType="begin"/>
      </w:r>
      <w:r>
        <w:instrText xml:space="preserve"> XE "commentRangeEnd (Comment Anchor Range End)" </w:instrText>
      </w:r>
      <w:r>
        <w:fldChar w:fldCharType="end"/>
      </w:r>
    </w:p>
    <w:p w:rsidR="005F78FC" w:rsidRDefault="00B42EF3">
      <w:pPr>
        <w:pStyle w:val="Definition-Field2"/>
      </w:pPr>
      <w:r>
        <w:rPr>
          <w:i/>
        </w:rPr>
        <w:t>For additional notes that apply</w:t>
      </w:r>
      <w:r>
        <w:rPr>
          <w:i/>
        </w:rPr>
        <w:t xml:space="preserve">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§17.13.5.1(a)</w:t>
        </w:r>
      </w:hyperlink>
      <w:r>
        <w:rPr>
          <w:i/>
        </w:rPr>
        <w:t>.</w:t>
      </w:r>
    </w:p>
    <w:p w:rsidR="005F78FC" w:rsidRDefault="00B42EF3">
      <w:pPr>
        <w:pStyle w:val="Definition-Field"/>
      </w:pPr>
      <w:r>
        <w:t xml:space="preserve">a.   </w:t>
      </w:r>
      <w:r>
        <w:rPr>
          <w:i/>
        </w:rPr>
        <w:t>The standard states that if this element occurs without a corresponding commentRangeStart element, it shall be c</w:t>
      </w:r>
      <w:r>
        <w:rPr>
          <w:i/>
        </w:rPr>
        <w:t>onsidered the single anchor point for the comment reference.</w:t>
      </w:r>
    </w:p>
    <w:p w:rsidR="005F78FC" w:rsidRDefault="00B42EF3">
      <w:pPr>
        <w:pStyle w:val="Definition-Field2"/>
      </w:pPr>
      <w:r>
        <w:lastRenderedPageBreak/>
        <w:t>If Word opens a file with a commentRangeEnd element without a corresponding commentRangeStart element, the location of the commentReference element determines the single anchor point for the comm</w:t>
      </w:r>
      <w:r>
        <w:t>ent reference.</w:t>
      </w:r>
    </w:p>
    <w:p w:rsidR="005F78FC" w:rsidRDefault="00B42EF3">
      <w:pPr>
        <w:pStyle w:val="Definition-Field"/>
      </w:pPr>
      <w:r>
        <w:t xml:space="preserve">b.   </w:t>
      </w:r>
      <w:r>
        <w:rPr>
          <w:i/>
        </w:rPr>
        <w:t>The standard allows commentRangeEnd in headers, footers, text boxes, footnotes, and endnotes.</w:t>
      </w:r>
    </w:p>
    <w:p w:rsidR="005F78FC" w:rsidRDefault="00B42EF3">
      <w:pPr>
        <w:pStyle w:val="Definition-Field2"/>
      </w:pPr>
      <w:r>
        <w:t>Word ignores this element if it is under a header, footer, text box, footnote, or endnote.</w:t>
      </w:r>
    </w:p>
    <w:p w:rsidR="005F78FC" w:rsidRDefault="00B42EF3">
      <w:pPr>
        <w:pStyle w:val="Heading3"/>
      </w:pPr>
      <w:bookmarkStart w:id="650" w:name="section_64b95366980f4c759519b745345ded9a"/>
      <w:bookmarkStart w:id="651" w:name="_Toc69878098"/>
      <w:r>
        <w:t>Part 1 Section 17.13.4.4, commentRangeStart (Commen</w:t>
      </w:r>
      <w:r>
        <w:t>t Anchor Range Start)</w:t>
      </w:r>
      <w:bookmarkEnd w:id="650"/>
      <w:bookmarkEnd w:id="651"/>
      <w:r>
        <w:fldChar w:fldCharType="begin"/>
      </w:r>
      <w:r>
        <w:instrText xml:space="preserve"> XE "commentRangeStart (Comment Anchor Range Start)"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§17.13.5.1(a)</w:t>
        </w:r>
      </w:hyperlink>
      <w:r>
        <w:rPr>
          <w:i/>
        </w:rPr>
        <w:t>.</w:t>
      </w:r>
    </w:p>
    <w:p w:rsidR="005F78FC" w:rsidRDefault="00B42EF3">
      <w:pPr>
        <w:pStyle w:val="Definition-Field"/>
      </w:pPr>
      <w:r>
        <w:t xml:space="preserve">a.   </w:t>
      </w:r>
      <w:r>
        <w:rPr>
          <w:i/>
        </w:rPr>
        <w:t xml:space="preserve">The </w:t>
      </w:r>
      <w:r>
        <w:rPr>
          <w:i/>
        </w:rPr>
        <w:t>standard allows an unbounded number of comment ranges.</w:t>
      </w:r>
    </w:p>
    <w:p w:rsidR="005F78FC" w:rsidRDefault="00B42EF3">
      <w:pPr>
        <w:pStyle w:val="Definition-Field2"/>
      </w:pPr>
      <w:r>
        <w:t>Word will not open a file with more than 32767 comment ranges.</w:t>
      </w:r>
    </w:p>
    <w:p w:rsidR="005F78FC" w:rsidRDefault="00B42EF3">
      <w:pPr>
        <w:pStyle w:val="Definition-Field"/>
      </w:pPr>
      <w:r>
        <w:t xml:space="preserve">b.   </w:t>
      </w:r>
      <w:r>
        <w:rPr>
          <w:i/>
        </w:rPr>
        <w:t>The standard states that if this element occurs without a corresponding commentRangeEnd element, it shall be considered the single an</w:t>
      </w:r>
      <w:r>
        <w:rPr>
          <w:i/>
        </w:rPr>
        <w:t>chor point for the comment reference.</w:t>
      </w:r>
    </w:p>
    <w:p w:rsidR="005F78FC" w:rsidRDefault="00B42EF3">
      <w:pPr>
        <w:pStyle w:val="Definition-Field2"/>
      </w:pPr>
      <w:r>
        <w:t>If Word opens a file with a commentRangeStart element without a corresponding commentRangeEnd element, the location of the commentReference element determines the single anchor point for the comment reference.</w:t>
      </w:r>
    </w:p>
    <w:p w:rsidR="005F78FC" w:rsidRDefault="00B42EF3">
      <w:pPr>
        <w:pStyle w:val="Definition-Field"/>
      </w:pPr>
      <w:r>
        <w:t xml:space="preserve">c.   </w:t>
      </w:r>
      <w:r>
        <w:rPr>
          <w:i/>
        </w:rPr>
        <w:t>The</w:t>
      </w:r>
      <w:r>
        <w:rPr>
          <w:i/>
        </w:rPr>
        <w:t xml:space="preserve"> standard allows commentRangeStart in headers, footers, text boxes, footnotes, and endnotes.</w:t>
      </w:r>
    </w:p>
    <w:p w:rsidR="005F78FC" w:rsidRDefault="00B42EF3">
      <w:pPr>
        <w:pStyle w:val="Definition-Field2"/>
      </w:pPr>
      <w:r>
        <w:t>Word ignores this element if it is under a header, footer, text box, footnote, or endnote.</w:t>
      </w:r>
    </w:p>
    <w:p w:rsidR="005F78FC" w:rsidRDefault="00B42EF3">
      <w:pPr>
        <w:pStyle w:val="Heading3"/>
      </w:pPr>
      <w:bookmarkStart w:id="652" w:name="section_84a35ef39c124b59ab4c4a88f520d06c"/>
      <w:bookmarkStart w:id="653" w:name="_Toc69878099"/>
      <w:r>
        <w:t>Part 1 Section 17.13.4.5, commentReference (Comment Content Reference Ma</w:t>
      </w:r>
      <w:r>
        <w:t>rk)</w:t>
      </w:r>
      <w:bookmarkEnd w:id="652"/>
      <w:bookmarkEnd w:id="653"/>
      <w:r>
        <w:fldChar w:fldCharType="begin"/>
      </w:r>
      <w:r>
        <w:instrText xml:space="preserve"> XE "commentReference (Comment Content Reference Mark)"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cf861d389d024d8e8fe7450a01f33d40">
        <w:r>
          <w:rPr>
            <w:rStyle w:val="Hyperlink"/>
          </w:rPr>
          <w:t>cellDel, §17.13.5.1(a)</w:t>
        </w:r>
      </w:hyperlink>
      <w:r>
        <w:rPr>
          <w:i/>
        </w:rPr>
        <w:t>.</w:t>
      </w:r>
    </w:p>
    <w:p w:rsidR="005F78FC" w:rsidRDefault="00B42EF3">
      <w:pPr>
        <w:pStyle w:val="Definition-Field"/>
      </w:pPr>
      <w:r>
        <w:t xml:space="preserve">a.   </w:t>
      </w:r>
      <w:r>
        <w:rPr>
          <w:i/>
        </w:rPr>
        <w:t>The standard</w:t>
      </w:r>
      <w:r>
        <w:rPr>
          <w:i/>
        </w:rPr>
        <w:t xml:space="preserve"> allows commentReference in headers, footers, text boxes, footnotes, and endnotes.</w:t>
      </w:r>
    </w:p>
    <w:p w:rsidR="005F78FC" w:rsidRDefault="00B42EF3">
      <w:pPr>
        <w:pStyle w:val="Definition-Field2"/>
      </w:pPr>
      <w:r>
        <w:t>Word ignores this element if it is under a header, footer, text box, footnote, or endnote.</w:t>
      </w:r>
    </w:p>
    <w:p w:rsidR="005F78FC" w:rsidRDefault="00B42EF3">
      <w:pPr>
        <w:pStyle w:val="Heading3"/>
      </w:pPr>
      <w:bookmarkStart w:id="654" w:name="section_cf861d389d024d8e8fe7450a01f33d40"/>
      <w:bookmarkStart w:id="655" w:name="_Toc69878100"/>
      <w:r>
        <w:t>Part 1 Section 17.13.5.1, cellDel (Table Cell Deletion)</w:t>
      </w:r>
      <w:bookmarkEnd w:id="654"/>
      <w:bookmarkEnd w:id="655"/>
      <w:r>
        <w:fldChar w:fldCharType="begin"/>
      </w:r>
      <w:r>
        <w:instrText xml:space="preserve"> XE "cellDel (Table Cell De</w:instrText>
      </w:r>
      <w:r>
        <w:instrText xml:space="preserve">letion)"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w:t>
        </w:r>
        <w:r>
          <w:rPr>
            <w:rStyle w:val="Hyperlink"/>
          </w:rPr>
          <w:t>7.7.6.9(a)</w:t>
        </w:r>
      </w:hyperlink>
      <w:r>
        <w:rPr>
          <w:i/>
        </w:rPr>
        <w:t xml:space="preserve">; </w:t>
      </w:r>
      <w:hyperlink w:anchor="Section_2f42e7a6a0144392846153a493241d28">
        <w:r>
          <w:rPr>
            <w:rStyle w:val="Hyperlink"/>
          </w:rPr>
          <w:t>comment, §17.13.4.2(c)</w:t>
        </w:r>
      </w:hyperlink>
      <w:r>
        <w:rPr>
          <w:i/>
        </w:rPr>
        <w:t xml:space="preserve">; </w:t>
      </w:r>
      <w:hyperlink w:anchor="Section_960dd70180364eedb52a774caf7075d2">
        <w:r>
          <w:rPr>
            <w:rStyle w:val="Hyperlink"/>
          </w:rPr>
          <w:t>ins, §17.13.5.18(b)</w:t>
        </w:r>
      </w:hyperlink>
      <w:r>
        <w:rPr>
          <w:i/>
        </w:rPr>
        <w:t>.</w:t>
      </w:r>
    </w:p>
    <w:p w:rsidR="005F78FC" w:rsidRDefault="00B42EF3">
      <w:pPr>
        <w:pStyle w:val="Definition-Field"/>
      </w:pPr>
      <w:r>
        <w:t xml:space="preserve">a.   </w:t>
      </w:r>
      <w:r>
        <w:rPr>
          <w:i/>
        </w:rPr>
        <w:t xml:space="preserve">The standard states that the values of the id attribute are defined </w:t>
      </w:r>
      <w:r>
        <w:rPr>
          <w:i/>
        </w:rPr>
        <w:t>by the XML Schema integer datatype.</w:t>
      </w:r>
    </w:p>
    <w:p w:rsidR="005F78FC" w:rsidRDefault="00B42EF3">
      <w:pPr>
        <w:pStyle w:val="Definition-Field2"/>
      </w:pPr>
      <w:r>
        <w:t>Word does not allow a value of -1 on this attribute.</w:t>
      </w:r>
    </w:p>
    <w:p w:rsidR="005F78FC" w:rsidRDefault="00B42EF3">
      <w:pPr>
        <w:pStyle w:val="Heading3"/>
      </w:pPr>
      <w:bookmarkStart w:id="656" w:name="section_f444e7c398fb4b75808aedcb36852e28"/>
      <w:bookmarkStart w:id="657" w:name="_Toc69878101"/>
      <w:r>
        <w:t>Part 1 Section 17.13.5.2, cellIns (Table Cell Insertion)</w:t>
      </w:r>
      <w:bookmarkEnd w:id="656"/>
      <w:bookmarkEnd w:id="657"/>
      <w:r>
        <w:fldChar w:fldCharType="begin"/>
      </w:r>
      <w:r>
        <w:instrText xml:space="preserve"> XE "cellIns (Table Cell Insertion)" </w:instrText>
      </w:r>
      <w:r>
        <w:fldChar w:fldCharType="end"/>
      </w:r>
    </w:p>
    <w:p w:rsidR="005F78FC" w:rsidRDefault="00B42EF3">
      <w:pPr>
        <w:pStyle w:val="Definition-Field2"/>
      </w:pPr>
      <w:r>
        <w:rPr>
          <w:i/>
        </w:rPr>
        <w:t>For additional notes that apply to this portion of the standard, please</w:t>
      </w:r>
      <w:r>
        <w:rPr>
          <w:i/>
        </w:rPr>
        <w:t xml:space="preserve"> see the notes for </w:t>
      </w:r>
      <w:hyperlink w:anchor="Section_348cf5dd492c4e2b9fe3c4996f8c52e5">
        <w:r>
          <w:rPr>
            <w:rStyle w:val="Hyperlink"/>
          </w:rPr>
          <w:t>tcPr, §17.7.6.8(b)</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w:t>
        </w:r>
        <w:r>
          <w:rPr>
            <w:rStyle w:val="Hyperlink"/>
          </w:rPr>
          <w:t>Del, §17.13.5.1(a)</w:t>
        </w:r>
      </w:hyperlink>
      <w:r>
        <w:rPr>
          <w:i/>
        </w:rPr>
        <w:t xml:space="preserve">; </w:t>
      </w:r>
      <w:hyperlink w:anchor="Section_960dd70180364eedb52a774caf7075d2">
        <w:r>
          <w:rPr>
            <w:rStyle w:val="Hyperlink"/>
          </w:rPr>
          <w:t>ins, §17.13.5.18(b)</w:t>
        </w:r>
      </w:hyperlink>
      <w:r>
        <w:rPr>
          <w:i/>
        </w:rPr>
        <w:t>.</w:t>
      </w:r>
    </w:p>
    <w:p w:rsidR="005F78FC" w:rsidRDefault="00B42EF3">
      <w:pPr>
        <w:pStyle w:val="Heading3"/>
      </w:pPr>
      <w:bookmarkStart w:id="658" w:name="section_bc72271d4fa2406eb84a000c6dcce4dd"/>
      <w:bookmarkStart w:id="659" w:name="_Toc69878102"/>
      <w:r>
        <w:lastRenderedPageBreak/>
        <w:t>Part 1 Section 17.13.5.3, cellMerge (Vertically Merged/Split Table Cells)</w:t>
      </w:r>
      <w:bookmarkEnd w:id="658"/>
      <w:bookmarkEnd w:id="659"/>
      <w:r>
        <w:fldChar w:fldCharType="begin"/>
      </w:r>
      <w:r>
        <w:instrText xml:space="preserve"> XE "cellMerge (Vertically Merged/Split Table Cells)" </w:instrText>
      </w:r>
      <w:r>
        <w:fldChar w:fldCharType="end"/>
      </w:r>
    </w:p>
    <w:p w:rsidR="005F78FC" w:rsidRDefault="00B42EF3">
      <w:pPr>
        <w:pStyle w:val="Definition-Field2"/>
      </w:pPr>
      <w:r>
        <w:rPr>
          <w:i/>
        </w:rPr>
        <w:t>For additional notes t</w:t>
      </w:r>
      <w:r>
        <w:rPr>
          <w:i/>
        </w:rPr>
        <w:t xml:space="preserve">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5F78FC" w:rsidRDefault="00B42EF3">
      <w:pPr>
        <w:pStyle w:val="Heading3"/>
      </w:pPr>
      <w:bookmarkStart w:id="660" w:name="section_09390857bdfc41548f0d3a034116fc17"/>
      <w:bookmarkStart w:id="661" w:name="_Toc69878103"/>
      <w:r>
        <w:t>Part 1 Section 17.13.5.4, customXmlDelRangeEnd (Custom XML Markup Deletion End)</w:t>
      </w:r>
      <w:bookmarkEnd w:id="660"/>
      <w:bookmarkEnd w:id="661"/>
      <w:r>
        <w:fldChar w:fldCharType="begin"/>
      </w:r>
      <w:r>
        <w:instrText xml:space="preserve"> XE "customXmlDelRangeEnd (Custom XML Markup Deletion End)"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5F78FC" w:rsidRDefault="00B42EF3">
      <w:pPr>
        <w:pStyle w:val="Definition-Field"/>
      </w:pPr>
      <w:r>
        <w:t xml:space="preserve">a.   </w:t>
      </w:r>
      <w:r>
        <w:rPr>
          <w:i/>
        </w:rPr>
        <w:t>The standard states that the customXmlDelRangeStart element applies deletion to customXml elements.</w:t>
      </w:r>
    </w:p>
    <w:p w:rsidR="005F78FC" w:rsidRDefault="00B42EF3">
      <w:pPr>
        <w:pStyle w:val="Definition-Field2"/>
      </w:pPr>
      <w:r>
        <w:t>Word use</w:t>
      </w:r>
      <w:r>
        <w:t>s this element to apply deletion to customXml elements and structured document tag elements.</w:t>
      </w:r>
    </w:p>
    <w:p w:rsidR="005F78FC" w:rsidRDefault="00B42EF3">
      <w:pPr>
        <w:pStyle w:val="Heading3"/>
      </w:pPr>
      <w:bookmarkStart w:id="662" w:name="section_01c325f9222f41cea66dfa32c38aa598"/>
      <w:bookmarkStart w:id="663" w:name="_Toc69878104"/>
      <w:r>
        <w:t>Part 1 Section 17.13.5.5, customXmlDelRangeStart (Custom XML Markup Deletion Start)</w:t>
      </w:r>
      <w:bookmarkEnd w:id="662"/>
      <w:bookmarkEnd w:id="663"/>
      <w:r>
        <w:fldChar w:fldCharType="begin"/>
      </w:r>
      <w:r>
        <w:instrText xml:space="preserve"> XE "customXmlDelRangeStart (Custom XML Markup Deletion Start)" </w:instrText>
      </w:r>
      <w:r>
        <w:fldChar w:fldCharType="end"/>
      </w:r>
    </w:p>
    <w:p w:rsidR="005F78FC" w:rsidRDefault="00B42EF3">
      <w:pPr>
        <w:pStyle w:val="Definition-Field2"/>
      </w:pPr>
      <w:r>
        <w:rPr>
          <w:i/>
        </w:rPr>
        <w:t>For additiona</w:t>
      </w:r>
      <w:r>
        <w:rPr>
          <w:i/>
        </w:rPr>
        <w:t xml:space="preserve">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5F78FC" w:rsidRDefault="00B42EF3">
      <w:pPr>
        <w:pStyle w:val="Definition-Field"/>
      </w:pPr>
      <w:r>
        <w:t xml:space="preserve">a.   </w:t>
      </w:r>
      <w:r>
        <w:rPr>
          <w:i/>
        </w:rPr>
        <w:t>The standard states that the customXmlDelRangeStart element applies deletion to customXml elements.</w:t>
      </w:r>
    </w:p>
    <w:p w:rsidR="005F78FC" w:rsidRDefault="00B42EF3">
      <w:pPr>
        <w:pStyle w:val="Definition-Field2"/>
      </w:pPr>
      <w:r>
        <w:t>Word uses this element to apply deletion to customXml elements and structure</w:t>
      </w:r>
      <w:r>
        <w:t>d document tag elements.</w:t>
      </w:r>
    </w:p>
    <w:p w:rsidR="005F78FC" w:rsidRDefault="00B42EF3">
      <w:pPr>
        <w:pStyle w:val="Definition-Field"/>
      </w:pPr>
      <w:r>
        <w:t xml:space="preserve">b.   </w:t>
      </w:r>
      <w:r>
        <w:rPr>
          <w:i/>
        </w:rPr>
        <w:t>The standard states that the range specified by a pair of customXmlDelRangeStart and customXmlDelRangeEnd elements can overlap the range specified by another such pair of elements.</w:t>
      </w:r>
    </w:p>
    <w:p w:rsidR="005F78FC" w:rsidRDefault="00B42EF3">
      <w:pPr>
        <w:pStyle w:val="Definition-Field2"/>
      </w:pPr>
      <w:r>
        <w:t xml:space="preserve">Word does not allow the range specified by a </w:t>
      </w:r>
      <w:r>
        <w:t>pair of customXmlDelRangeStart and customXmlDelRangeEnd elements to overlap the range specified by any other such pair of elements.</w:t>
      </w:r>
    </w:p>
    <w:p w:rsidR="005F78FC" w:rsidRDefault="00B42EF3">
      <w:pPr>
        <w:pStyle w:val="Heading3"/>
      </w:pPr>
      <w:bookmarkStart w:id="664" w:name="section_66213ef21f7b4e3092edf96e46b5b5cc"/>
      <w:bookmarkStart w:id="665" w:name="_Toc69878105"/>
      <w:r>
        <w:t>Part 1 Section 17.13.5.6, customXmlInsRangeEnd (Custom XML Markup Insertion End)</w:t>
      </w:r>
      <w:bookmarkEnd w:id="664"/>
      <w:bookmarkEnd w:id="665"/>
      <w:r>
        <w:fldChar w:fldCharType="begin"/>
      </w:r>
      <w:r>
        <w:instrText xml:space="preserve"> XE "customXmlInsRangeEnd (Custom XML Markup</w:instrText>
      </w:r>
      <w:r>
        <w:instrText xml:space="preserve"> Insertion End)"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w:t>
        </w:r>
        <w:r>
          <w:rPr>
            <w:rStyle w:val="Hyperlink"/>
          </w:rPr>
          <w:t>lDel, §17.13.5.1(a)</w:t>
        </w:r>
      </w:hyperlink>
      <w:r>
        <w:rPr>
          <w:i/>
        </w:rPr>
        <w:t>.</w:t>
      </w:r>
    </w:p>
    <w:p w:rsidR="005F78FC" w:rsidRDefault="00B42EF3">
      <w:pPr>
        <w:pStyle w:val="Definition-Field"/>
      </w:pPr>
      <w:r>
        <w:t xml:space="preserve">a.   </w:t>
      </w:r>
      <w:r>
        <w:rPr>
          <w:i/>
        </w:rPr>
        <w:t>The standard states that the customXmlInsRangeEnd element applies insertion to customXml elements.</w:t>
      </w:r>
    </w:p>
    <w:p w:rsidR="005F78FC" w:rsidRDefault="00B42EF3">
      <w:pPr>
        <w:pStyle w:val="Definition-Field2"/>
      </w:pPr>
      <w:r>
        <w:t>Word uses this element to apply insertion to customXml elements and structured document tag elements.</w:t>
      </w:r>
    </w:p>
    <w:p w:rsidR="005F78FC" w:rsidRDefault="00B42EF3">
      <w:pPr>
        <w:pStyle w:val="Heading3"/>
      </w:pPr>
      <w:bookmarkStart w:id="666" w:name="section_ca13fff5ae694458a26a848e9709382d"/>
      <w:bookmarkStart w:id="667" w:name="_Toc69878106"/>
      <w:r>
        <w:lastRenderedPageBreak/>
        <w:t>Part 1 Section 17.13.5.7, cus</w:t>
      </w:r>
      <w:r>
        <w:t>tomXmlInsRangeStart (Custom XML Markup Insertion Start)</w:t>
      </w:r>
      <w:bookmarkEnd w:id="666"/>
      <w:bookmarkEnd w:id="667"/>
      <w:r>
        <w:fldChar w:fldCharType="begin"/>
      </w:r>
      <w:r>
        <w:instrText xml:space="preserve"> XE "customXmlInsRangeStart (Custom XML Markup Insertion Start)"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5F78FC" w:rsidRDefault="00B42EF3">
      <w:pPr>
        <w:pStyle w:val="Definition-Field"/>
      </w:pPr>
      <w:r>
        <w:t xml:space="preserve">a.  </w:t>
      </w:r>
      <w:r>
        <w:t xml:space="preserve"> </w:t>
      </w:r>
      <w:r>
        <w:rPr>
          <w:i/>
        </w:rPr>
        <w:t>The standard applies semantics and restrictions of both customXmlInsRangeStart and customXmlInsRangeEnd to customXmlInsRangeStart.</w:t>
      </w:r>
    </w:p>
    <w:p w:rsidR="005F78FC" w:rsidRDefault="00B42EF3">
      <w:pPr>
        <w:pStyle w:val="Definition-Field2"/>
      </w:pPr>
      <w:r>
        <w:t>Word only applies the semantics and restrictions of customXmlInsRangeStart.</w:t>
      </w:r>
    </w:p>
    <w:p w:rsidR="005F78FC" w:rsidRDefault="00B42EF3">
      <w:pPr>
        <w:pStyle w:val="Definition-Field"/>
      </w:pPr>
      <w:r>
        <w:t xml:space="preserve">b.   </w:t>
      </w:r>
      <w:r>
        <w:rPr>
          <w:i/>
        </w:rPr>
        <w:t>The standard states that the customXmlInsRa</w:t>
      </w:r>
      <w:r>
        <w:rPr>
          <w:i/>
        </w:rPr>
        <w:t>ngeStart element applies insertion to customXml elements.</w:t>
      </w:r>
    </w:p>
    <w:p w:rsidR="005F78FC" w:rsidRDefault="00B42EF3">
      <w:pPr>
        <w:pStyle w:val="Definition-Field2"/>
      </w:pPr>
      <w:r>
        <w:t>Word uses this element to apply insertion to customXml elements and structured document tag elements.</w:t>
      </w:r>
    </w:p>
    <w:p w:rsidR="005F78FC" w:rsidRDefault="00B42EF3">
      <w:pPr>
        <w:pStyle w:val="Definition-Field"/>
      </w:pPr>
      <w:r>
        <w:t xml:space="preserve">c.   </w:t>
      </w:r>
      <w:r>
        <w:rPr>
          <w:i/>
        </w:rPr>
        <w:t>The standard states that the range specified by a pair of customXmlInsRangeStart and custom</w:t>
      </w:r>
      <w:r>
        <w:rPr>
          <w:i/>
        </w:rPr>
        <w:t>XmlInsRangeEnd elements can overlap the range specified by another such pair of elements.</w:t>
      </w:r>
    </w:p>
    <w:p w:rsidR="005F78FC" w:rsidRDefault="00B42EF3">
      <w:pPr>
        <w:pStyle w:val="Definition-Field2"/>
      </w:pPr>
      <w:r>
        <w:t>Word does not allow the range specified by a pair of customXmlInsRangeStart and customXmlInsRangeEnd elements to overlap the range specified by any other such pair of</w:t>
      </w:r>
      <w:r>
        <w:t xml:space="preserve"> elements.</w:t>
      </w:r>
    </w:p>
    <w:p w:rsidR="005F78FC" w:rsidRDefault="00B42EF3">
      <w:pPr>
        <w:pStyle w:val="Heading3"/>
      </w:pPr>
      <w:bookmarkStart w:id="668" w:name="section_7174721fd51b496cb4e40a629713bef3"/>
      <w:bookmarkStart w:id="669" w:name="_Toc69878107"/>
      <w:r>
        <w:t>Part 1 Section 17.13.5.8, customXmlMoveFromRangeEnd (Custom XML Markup Move Source End)</w:t>
      </w:r>
      <w:bookmarkEnd w:id="668"/>
      <w:bookmarkEnd w:id="669"/>
      <w:r>
        <w:fldChar w:fldCharType="begin"/>
      </w:r>
      <w:r>
        <w:instrText xml:space="preserve"> XE "customXmlMoveFromRangeEnd (Custom XML Markup Move Source End)" </w:instrText>
      </w:r>
      <w:r>
        <w:fldChar w:fldCharType="end"/>
      </w:r>
    </w:p>
    <w:p w:rsidR="005F78FC" w:rsidRDefault="00B42EF3">
      <w:pPr>
        <w:pStyle w:val="Definition-Field2"/>
      </w:pPr>
      <w:r>
        <w:rPr>
          <w:i/>
        </w:rPr>
        <w:t>For additional notes that apply to this portion of the standard, please see the notes f</w:t>
      </w:r>
      <w:r>
        <w:rPr>
          <w:i/>
        </w:rPr>
        <w:t xml:space="preserve">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5F78FC" w:rsidRDefault="00B42EF3">
      <w:pPr>
        <w:pStyle w:val="Definition-Field"/>
      </w:pPr>
      <w:r>
        <w:t xml:space="preserve">a.   </w:t>
      </w:r>
      <w:r>
        <w:rPr>
          <w:i/>
        </w:rPr>
        <w:t>The standard states that this element applies moveFrom to customXml elements.</w:t>
      </w:r>
    </w:p>
    <w:p w:rsidR="005F78FC" w:rsidRDefault="00B42EF3">
      <w:pPr>
        <w:pStyle w:val="Definition-Field2"/>
      </w:pPr>
      <w:r>
        <w:t>Word may use this element to apply moveFrom to structured document tag elements.</w:t>
      </w:r>
    </w:p>
    <w:p w:rsidR="005F78FC" w:rsidRDefault="00B42EF3">
      <w:pPr>
        <w:pStyle w:val="Heading3"/>
      </w:pPr>
      <w:bookmarkStart w:id="670" w:name="section_6e5e1e9d76ce40febad6bb846b2ce6e9"/>
      <w:bookmarkStart w:id="671" w:name="_Toc69878108"/>
      <w:r>
        <w:t>Part 1 Section 17.13.5.9, customXmlMoveFromRangeStart (Custom XML Markup Move Source Start)</w:t>
      </w:r>
      <w:bookmarkEnd w:id="670"/>
      <w:bookmarkEnd w:id="671"/>
      <w:r>
        <w:fldChar w:fldCharType="begin"/>
      </w:r>
      <w:r>
        <w:instrText xml:space="preserve"> XE "customXmlMoveFromRangeStart (Custom XML Markup Move Source Start)" </w:instrText>
      </w:r>
      <w:r>
        <w:fldChar w:fldCharType="end"/>
      </w:r>
    </w:p>
    <w:p w:rsidR="005F78FC" w:rsidRDefault="00B42EF3">
      <w:pPr>
        <w:pStyle w:val="Definition-Field2"/>
      </w:pPr>
      <w:r>
        <w:rPr>
          <w:i/>
        </w:rPr>
        <w:t>For addit</w:t>
      </w:r>
      <w:r>
        <w:rPr>
          <w:i/>
        </w:rPr>
        <w:t xml:space="preserve">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5F78FC" w:rsidRDefault="00B42EF3">
      <w:pPr>
        <w:pStyle w:val="Definition-Field"/>
      </w:pPr>
      <w:r>
        <w:t xml:space="preserve">a.   </w:t>
      </w:r>
      <w:r>
        <w:rPr>
          <w:i/>
        </w:rPr>
        <w:t>The standard states that this element applies moveFrom to customXml elements.</w:t>
      </w:r>
    </w:p>
    <w:p w:rsidR="005F78FC" w:rsidRDefault="00B42EF3">
      <w:pPr>
        <w:pStyle w:val="Definition-Field2"/>
      </w:pPr>
      <w:r>
        <w:t>Word also uses this element to apply moveFrom to structured document tag elements.</w:t>
      </w:r>
    </w:p>
    <w:p w:rsidR="005F78FC" w:rsidRDefault="00B42EF3">
      <w:pPr>
        <w:pStyle w:val="Definition-Field"/>
      </w:pPr>
      <w:r>
        <w:t xml:space="preserve">b.   </w:t>
      </w:r>
      <w:r>
        <w:rPr>
          <w:i/>
        </w:rPr>
        <w:t>The st</w:t>
      </w:r>
      <w:r>
        <w:rPr>
          <w:i/>
        </w:rPr>
        <w:t>andard states that the range specified by a pair of customXmlMoveFromRangeStart and customXmlMoveFromRangeEnd elements can overlap the range specified by another such pair of elements.</w:t>
      </w:r>
    </w:p>
    <w:p w:rsidR="005F78FC" w:rsidRDefault="00B42EF3">
      <w:pPr>
        <w:pStyle w:val="Definition-Field2"/>
      </w:pPr>
      <w:r>
        <w:t>Word does not allow the range specified by a pair of customXmlMoveFromR</w:t>
      </w:r>
      <w:r>
        <w:t>angeStart and customXmlMoveFromRangeEnd elements to overlap the range specified by any other such pair of elements.</w:t>
      </w:r>
    </w:p>
    <w:p w:rsidR="005F78FC" w:rsidRDefault="00B42EF3">
      <w:pPr>
        <w:pStyle w:val="Definition-Field"/>
      </w:pPr>
      <w:r>
        <w:t xml:space="preserve">c.   </w:t>
      </w:r>
      <w:r>
        <w:rPr>
          <w:i/>
        </w:rPr>
        <w:t>The standard allows customXML move tracking to begin inside, end inside, or contain an oMathPara element.</w:t>
      </w:r>
    </w:p>
    <w:p w:rsidR="005F78FC" w:rsidRDefault="00B42EF3">
      <w:pPr>
        <w:pStyle w:val="Definition-Field2"/>
      </w:pPr>
      <w:r>
        <w:lastRenderedPageBreak/>
        <w:t>Word has unpredictable result</w:t>
      </w:r>
      <w:r>
        <w:t>s when customXML move tracking begins inside, ends inside, or contains an oMathPara element.</w:t>
      </w:r>
    </w:p>
    <w:p w:rsidR="005F78FC" w:rsidRDefault="00B42EF3">
      <w:pPr>
        <w:pStyle w:val="Heading3"/>
      </w:pPr>
      <w:bookmarkStart w:id="672" w:name="section_f8238e0f99bf44689124e828a849cc16"/>
      <w:bookmarkStart w:id="673" w:name="_Toc69878109"/>
      <w:r>
        <w:t>Part 1 Section 17.13.5.10, customXmlMoveToRangeEnd (Custom XML Markup Move Destination Location End)</w:t>
      </w:r>
      <w:bookmarkEnd w:id="672"/>
      <w:bookmarkEnd w:id="673"/>
      <w:r>
        <w:fldChar w:fldCharType="begin"/>
      </w:r>
      <w:r>
        <w:instrText xml:space="preserve"> XE "customXmlMoveToRangeEnd (Custom XML Markup Move Destinatio</w:instrText>
      </w:r>
      <w:r>
        <w:instrText xml:space="preserve">n Location End)"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w:t>
        </w:r>
        <w:r>
          <w:rPr>
            <w:rStyle w:val="Hyperlink"/>
          </w:rPr>
          <w:t>lDel, §17.13.5.1(a)</w:t>
        </w:r>
      </w:hyperlink>
      <w:r>
        <w:rPr>
          <w:i/>
        </w:rPr>
        <w:t>.</w:t>
      </w:r>
    </w:p>
    <w:p w:rsidR="005F78FC" w:rsidRDefault="00B42EF3">
      <w:pPr>
        <w:pStyle w:val="Definition-Field"/>
      </w:pPr>
      <w:r>
        <w:t xml:space="preserve">a.   </w:t>
      </w:r>
      <w:r>
        <w:rPr>
          <w:i/>
        </w:rPr>
        <w:t>The standard states that the customXmlMoveToRangeEnd element applies moveTo to customXml elements.</w:t>
      </w:r>
    </w:p>
    <w:p w:rsidR="005F78FC" w:rsidRDefault="00B42EF3">
      <w:pPr>
        <w:pStyle w:val="Definition-Field2"/>
      </w:pPr>
      <w:r>
        <w:t>Word also uses this element to apply moveTo to structured document tag elements.</w:t>
      </w:r>
    </w:p>
    <w:p w:rsidR="005F78FC" w:rsidRDefault="00B42EF3">
      <w:pPr>
        <w:pStyle w:val="Definition-Field"/>
      </w:pPr>
      <w:r>
        <w:t xml:space="preserve">b.   </w:t>
      </w:r>
      <w:r>
        <w:rPr>
          <w:i/>
        </w:rPr>
        <w:t xml:space="preserve">The standard states that the document is </w:t>
      </w:r>
      <w:r>
        <w:rPr>
          <w:i/>
        </w:rPr>
        <w:t>non-conformant if customXmlMoveToRangeEnd is not contained in a move source container.</w:t>
      </w:r>
    </w:p>
    <w:p w:rsidR="005F78FC" w:rsidRDefault="00B42EF3">
      <w:pPr>
        <w:pStyle w:val="Definition-Field2"/>
      </w:pPr>
      <w:r>
        <w:t>Word ignores customXmlMoveToRangeEnd if it is contained in a move source container.</w:t>
      </w:r>
    </w:p>
    <w:p w:rsidR="005F78FC" w:rsidRDefault="00B42EF3">
      <w:pPr>
        <w:pStyle w:val="Definition-Field"/>
      </w:pPr>
      <w:r>
        <w:t xml:space="preserve">c.   </w:t>
      </w:r>
      <w:r>
        <w:rPr>
          <w:i/>
        </w:rPr>
        <w:t>The standard states that the document is non-conformant if customXmlMoveToRangeE</w:t>
      </w:r>
      <w:r>
        <w:rPr>
          <w:i/>
        </w:rPr>
        <w:t>nd is not contained in a move source container.</w:t>
      </w:r>
    </w:p>
    <w:p w:rsidR="005F78FC" w:rsidRDefault="00B42EF3">
      <w:pPr>
        <w:pStyle w:val="Definition-Field2"/>
      </w:pPr>
      <w:r>
        <w:t>Word always writes the customXmlMoveToRangeEnd in a move destination container.</w:t>
      </w:r>
    </w:p>
    <w:p w:rsidR="005F78FC" w:rsidRDefault="00B42EF3">
      <w:pPr>
        <w:pStyle w:val="Heading3"/>
      </w:pPr>
      <w:bookmarkStart w:id="674" w:name="section_5aad40547dc943e0927ee80dd560511b"/>
      <w:bookmarkStart w:id="675" w:name="_Toc69878110"/>
      <w:r>
        <w:t>Part 1 Section 17.13.5.11, customXmlMoveToRangeStart (Custom XML Markup Move Destination Location Start)</w:t>
      </w:r>
      <w:bookmarkEnd w:id="674"/>
      <w:bookmarkEnd w:id="675"/>
      <w:r>
        <w:fldChar w:fldCharType="begin"/>
      </w:r>
      <w:r>
        <w:instrText xml:space="preserve"> XE "customXmlMoveToRang</w:instrText>
      </w:r>
      <w:r>
        <w:instrText xml:space="preserve">eStart (Custom XML Markup Move Destination Location Start)"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5F78FC" w:rsidRDefault="00B42EF3">
      <w:pPr>
        <w:pStyle w:val="Definition-Field"/>
      </w:pPr>
      <w:r>
        <w:t xml:space="preserve">a.   </w:t>
      </w:r>
      <w:r>
        <w:rPr>
          <w:i/>
        </w:rPr>
        <w:t>The standard states that the customXmlMoveToRangeStart element applies moveTo to customXml elements.</w:t>
      </w:r>
    </w:p>
    <w:p w:rsidR="005F78FC" w:rsidRDefault="00B42EF3">
      <w:pPr>
        <w:pStyle w:val="Definition-Field2"/>
      </w:pPr>
      <w:r>
        <w:t>Word also uses this element to apply moveTo to structured document tag elements.</w:t>
      </w:r>
    </w:p>
    <w:p w:rsidR="005F78FC" w:rsidRDefault="00B42EF3">
      <w:pPr>
        <w:pStyle w:val="Definition-Field"/>
      </w:pPr>
      <w:r>
        <w:t xml:space="preserve">b.   </w:t>
      </w:r>
      <w:r>
        <w:rPr>
          <w:i/>
        </w:rPr>
        <w:t xml:space="preserve">The standard states that the range specified by a pair of customXmlMoveToRangeStart and customXmlMoveToRangeEnd elements can overlap the range specified by another such </w:t>
      </w:r>
      <w:r>
        <w:rPr>
          <w:i/>
        </w:rPr>
        <w:t>pair of elements.</w:t>
      </w:r>
    </w:p>
    <w:p w:rsidR="005F78FC" w:rsidRDefault="00B42EF3">
      <w:pPr>
        <w:pStyle w:val="Definition-Field2"/>
      </w:pPr>
      <w:r>
        <w:t>Word does not allow the range specified by a pair of customXmlMoveToRangeStart and customXmlMoveToRangeEnd elements to overlap the range specified by any other such pair of elements.</w:t>
      </w:r>
    </w:p>
    <w:p w:rsidR="005F78FC" w:rsidRDefault="00B42EF3">
      <w:pPr>
        <w:pStyle w:val="Definition-Field"/>
      </w:pPr>
      <w:r>
        <w:t xml:space="preserve">c.   </w:t>
      </w:r>
      <w:r>
        <w:rPr>
          <w:i/>
        </w:rPr>
        <w:t>The standard allows customXML move tracking to beg</w:t>
      </w:r>
      <w:r>
        <w:rPr>
          <w:i/>
        </w:rPr>
        <w:t>in inside, end inside, or contain an oMathPara element.</w:t>
      </w:r>
    </w:p>
    <w:p w:rsidR="005F78FC" w:rsidRDefault="00B42EF3">
      <w:pPr>
        <w:pStyle w:val="Definition-Field2"/>
      </w:pPr>
      <w:r>
        <w:t>Word has unpredictable behavior when customXML move tracking begins inside, ends inside, or contains an oMathPara element.</w:t>
      </w:r>
    </w:p>
    <w:p w:rsidR="005F78FC" w:rsidRDefault="00B42EF3">
      <w:pPr>
        <w:pStyle w:val="Definition-Field"/>
      </w:pPr>
      <w:r>
        <w:t xml:space="preserve">d.   </w:t>
      </w:r>
      <w:r>
        <w:rPr>
          <w:i/>
        </w:rPr>
        <w:t>The standard states that the document is non-conformant if customXmlMove</w:t>
      </w:r>
      <w:r>
        <w:rPr>
          <w:i/>
        </w:rPr>
        <w:t>ToRangeStart is not contained in a move source container.</w:t>
      </w:r>
    </w:p>
    <w:p w:rsidR="005F78FC" w:rsidRDefault="00B42EF3">
      <w:pPr>
        <w:pStyle w:val="Definition-Field2"/>
      </w:pPr>
      <w:r>
        <w:t>Word ignores customXmlMoveToRangeStart if it is contained in a move source container.</w:t>
      </w:r>
    </w:p>
    <w:p w:rsidR="005F78FC" w:rsidRDefault="00B42EF3">
      <w:pPr>
        <w:pStyle w:val="Definition-Field"/>
      </w:pPr>
      <w:r>
        <w:t xml:space="preserve">e.   </w:t>
      </w:r>
      <w:r>
        <w:rPr>
          <w:i/>
        </w:rPr>
        <w:t xml:space="preserve">The standard states that the document is non-conformant if customXmlMoveToRangeStart is not contained in a </w:t>
      </w:r>
      <w:r>
        <w:rPr>
          <w:i/>
        </w:rPr>
        <w:t>move source container.</w:t>
      </w:r>
    </w:p>
    <w:p w:rsidR="005F78FC" w:rsidRDefault="00B42EF3">
      <w:pPr>
        <w:pStyle w:val="Definition-Field2"/>
      </w:pPr>
      <w:r>
        <w:t>Word always writes the customXmlMoveToRangeStart in a move destination container.</w:t>
      </w:r>
    </w:p>
    <w:p w:rsidR="005F78FC" w:rsidRDefault="00B42EF3">
      <w:pPr>
        <w:pStyle w:val="Heading3"/>
      </w:pPr>
      <w:bookmarkStart w:id="676" w:name="section_ee129f764bdb46c7be1ad1c7d2bf7ad3"/>
      <w:bookmarkStart w:id="677" w:name="_Toc69878111"/>
      <w:r>
        <w:lastRenderedPageBreak/>
        <w:t>Part 1 Section 17.13.5.12, del (Deleted Table Row)</w:t>
      </w:r>
      <w:bookmarkEnd w:id="676"/>
      <w:bookmarkEnd w:id="677"/>
      <w:r>
        <w:fldChar w:fldCharType="begin"/>
      </w:r>
      <w:r>
        <w:instrText xml:space="preserve"> XE "del (Deleted Table Row)" </w:instrText>
      </w:r>
      <w:r>
        <w:fldChar w:fldCharType="end"/>
      </w:r>
    </w:p>
    <w:p w:rsidR="005F78FC" w:rsidRDefault="00B42EF3">
      <w:pPr>
        <w:pStyle w:val="Definition-Field2"/>
      </w:pPr>
      <w:r>
        <w:rPr>
          <w:i/>
        </w:rPr>
        <w:t>For additional notes that apply to this portion of the standard, ple</w:t>
      </w:r>
      <w:r>
        <w:rPr>
          <w:i/>
        </w:rPr>
        <w:t xml:space="preserv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 xml:space="preserve">; </w:t>
      </w:r>
      <w:hyperlink w:anchor="Section_2f42e7a6a0144392846153a493241d28">
        <w:r>
          <w:rPr>
            <w:rStyle w:val="Hyperlink"/>
          </w:rPr>
          <w:t>com</w:t>
        </w:r>
        <w:r>
          <w:rPr>
            <w:rStyle w:val="Hyperlink"/>
          </w:rPr>
          <w:t>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5F78FC" w:rsidRDefault="00B42EF3">
      <w:pPr>
        <w:pStyle w:val="Heading3"/>
      </w:pPr>
      <w:bookmarkStart w:id="678" w:name="section_0a4ccd31153b4a47b3ffc070a3743a70"/>
      <w:bookmarkStart w:id="679" w:name="_Toc69878112"/>
      <w:r>
        <w:t>Part 1 Section 17.13.5.13, del (Deleted Math Control Character)</w:t>
      </w:r>
      <w:bookmarkEnd w:id="678"/>
      <w:bookmarkEnd w:id="679"/>
      <w:r>
        <w:fldChar w:fldCharType="begin"/>
      </w:r>
      <w:r>
        <w:instrText xml:space="preserve"> XE "del (Deleted Math Control Character)"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e0eecaacdbe94cb8a4914ad994c6976f">
        <w:r>
          <w:rPr>
            <w:rStyle w:val="Hyperlink"/>
          </w:rPr>
          <w:t>ins, §17.13.5.16(a)</w:t>
        </w:r>
      </w:hyperlink>
      <w:r>
        <w:rPr>
          <w:i/>
        </w:rPr>
        <w:t xml:space="preserve">; </w:t>
      </w:r>
      <w:hyperlink w:anchor="Section_960dd70180364eedb52a774caf7075d2">
        <w:r>
          <w:rPr>
            <w:rStyle w:val="Hyperlink"/>
          </w:rPr>
          <w:t>ins, §17.13.5.18(b)</w:t>
        </w:r>
      </w:hyperlink>
      <w:r>
        <w:rPr>
          <w:i/>
        </w:rPr>
        <w:t>.</w:t>
      </w:r>
    </w:p>
    <w:p w:rsidR="005F78FC" w:rsidRDefault="00B42EF3">
      <w:pPr>
        <w:pStyle w:val="Definition-Field"/>
      </w:pPr>
      <w:r>
        <w:t xml:space="preserve">a.   </w:t>
      </w:r>
      <w:r>
        <w:rPr>
          <w:i/>
        </w:rPr>
        <w:t xml:space="preserve">The standard states that the </w:t>
      </w:r>
      <w:r>
        <w:rPr>
          <w:i/>
        </w:rPr>
        <w:t>rPr (Previous Run Properties) element is a valid child.</w:t>
      </w:r>
    </w:p>
    <w:p w:rsidR="005F78FC" w:rsidRDefault="00B42EF3">
      <w:pPr>
        <w:pStyle w:val="Definition-Field2"/>
      </w:pPr>
      <w:r>
        <w:t>Word allows the rPr (Run Properties) element, not the rPr (Previous Run Properties) element, to be a child.</w:t>
      </w:r>
    </w:p>
    <w:p w:rsidR="005F78FC" w:rsidRDefault="00B42EF3">
      <w:pPr>
        <w:pStyle w:val="Heading3"/>
      </w:pPr>
      <w:bookmarkStart w:id="680" w:name="section_97b1a91213164dcbba0d45f59f6662f9"/>
      <w:bookmarkStart w:id="681" w:name="_Toc69878113"/>
      <w:r>
        <w:t>Part 1 Section 17.13.5.14, del (Deleted Run Content)</w:t>
      </w:r>
      <w:bookmarkEnd w:id="680"/>
      <w:bookmarkEnd w:id="681"/>
      <w:r>
        <w:fldChar w:fldCharType="begin"/>
      </w:r>
      <w:r>
        <w:instrText xml:space="preserve"> XE "del (Deleted Run Content)" </w:instrText>
      </w:r>
      <w:r>
        <w:fldChar w:fldCharType="end"/>
      </w:r>
    </w:p>
    <w:p w:rsidR="005F78FC" w:rsidRDefault="00B42EF3">
      <w:pPr>
        <w:pStyle w:val="Definition-Field2"/>
      </w:pPr>
      <w:r>
        <w:rPr>
          <w:i/>
        </w:rPr>
        <w:t>For a</w:t>
      </w:r>
      <w:r>
        <w:rPr>
          <w:i/>
        </w:rPr>
        <w:t xml:space="preserve">dditional notes that apply to this portion of the standard, please see the notes for </w:t>
      </w:r>
      <w:hyperlink w:anchor="Section_fb39493214a94ebcbf3fabfe9d946a61">
        <w:r>
          <w:rPr>
            <w:rStyle w:val="Hyperlink"/>
          </w:rPr>
          <w:t>customXml, §17.5.1.3(a)</w:t>
        </w:r>
      </w:hyperlink>
      <w:r>
        <w:rPr>
          <w:i/>
        </w:rPr>
        <w:t xml:space="preserve">; </w:t>
      </w:r>
      <w:hyperlink w:anchor="Section_2f42e7a6a0144392846153a493241d28">
        <w:r>
          <w:rPr>
            <w:rStyle w:val="Hyperlink"/>
          </w:rPr>
          <w:t>comment, §17.13.4.2(</w:t>
        </w:r>
        <w:r>
          <w:rPr>
            <w:rStyle w:val="Hyperlink"/>
          </w:rPr>
          <w:t>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5F78FC" w:rsidRDefault="00B42EF3">
      <w:pPr>
        <w:pStyle w:val="Definition-Field"/>
      </w:pPr>
      <w:r>
        <w:t xml:space="preserve">a.   </w:t>
      </w:r>
      <w:r>
        <w:rPr>
          <w:i/>
        </w:rPr>
        <w:t>The standard allows nested deletions.</w:t>
      </w:r>
    </w:p>
    <w:p w:rsidR="005F78FC" w:rsidRDefault="00B42EF3">
      <w:pPr>
        <w:pStyle w:val="Definition-Field2"/>
      </w:pPr>
      <w:r>
        <w:t>Word does not support nested deleti</w:t>
      </w:r>
      <w:r>
        <w:t>ons.</w:t>
      </w:r>
    </w:p>
    <w:p w:rsidR="005F78FC" w:rsidRDefault="00B42EF3">
      <w:pPr>
        <w:pStyle w:val="Heading3"/>
      </w:pPr>
      <w:bookmarkStart w:id="682" w:name="section_8b5f240eeddd4650923cca36a8c37094"/>
      <w:bookmarkStart w:id="683" w:name="_Toc69878114"/>
      <w:r>
        <w:t>Part 1 Section 17.13.5.15, del (Deleted Paragraph)</w:t>
      </w:r>
      <w:bookmarkEnd w:id="682"/>
      <w:bookmarkEnd w:id="683"/>
      <w:r>
        <w:fldChar w:fldCharType="begin"/>
      </w:r>
      <w:r>
        <w:instrText xml:space="preserve"> XE "del (Deleted Paragraph)"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2f42e7a6a0144392846153a493241d28">
        <w:r>
          <w:rPr>
            <w:rStyle w:val="Hyperlink"/>
          </w:rPr>
          <w:t>comment, §17.13</w:t>
        </w:r>
        <w:r>
          <w:rPr>
            <w:rStyle w:val="Hyperlink"/>
          </w:rPr>
          <w:t>.4.2(c)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5F78FC" w:rsidRDefault="00B42EF3">
      <w:pPr>
        <w:pStyle w:val="Heading3"/>
      </w:pPr>
      <w:bookmarkStart w:id="684" w:name="section_e0eecaacdbe94cb8a4914ad994c6976f"/>
      <w:bookmarkStart w:id="685" w:name="_Toc69878115"/>
      <w:r>
        <w:t>Part 1 Section 17.13.5.16, ins (Inserted Math Control Character)</w:t>
      </w:r>
      <w:bookmarkEnd w:id="684"/>
      <w:bookmarkEnd w:id="685"/>
      <w:r>
        <w:fldChar w:fldCharType="begin"/>
      </w:r>
      <w:r>
        <w:instrText xml:space="preserve"> XE "ins (In</w:instrText>
      </w:r>
      <w:r>
        <w:instrText xml:space="preserve">serted Math Control Character)"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0a4ccd31153b4a47b3ffc070a3743a70">
        <w:r>
          <w:rPr>
            <w:rStyle w:val="Hyperlink"/>
          </w:rPr>
          <w:t>del, §17.13.5.13(a)</w:t>
        </w:r>
      </w:hyperlink>
      <w:r>
        <w:rPr>
          <w:i/>
        </w:rPr>
        <w:t xml:space="preserve">; </w:t>
      </w:r>
      <w:hyperlink w:anchor="Section_960dd70180364eedb52a774caf7075d2">
        <w:r>
          <w:rPr>
            <w:rStyle w:val="Hyperlink"/>
          </w:rPr>
          <w:t>ins, §17.13.5.18(b)</w:t>
        </w:r>
      </w:hyperlink>
      <w:r>
        <w:rPr>
          <w:i/>
        </w:rPr>
        <w:t>.</w:t>
      </w:r>
    </w:p>
    <w:p w:rsidR="005F78FC" w:rsidRDefault="00B42EF3">
      <w:pPr>
        <w:pStyle w:val="Definition-Field"/>
      </w:pPr>
      <w:r>
        <w:t xml:space="preserve">a. </w:t>
      </w:r>
      <w:r>
        <w:t xml:space="preserve">  </w:t>
      </w:r>
      <w:r>
        <w:rPr>
          <w:i/>
        </w:rPr>
        <w:t>The standard states that the rPr (Previous Run Properties) element is a valid child.</w:t>
      </w:r>
    </w:p>
    <w:p w:rsidR="005F78FC" w:rsidRDefault="00B42EF3">
      <w:pPr>
        <w:pStyle w:val="Definition-Field2"/>
      </w:pPr>
      <w:r>
        <w:t>Word allows the rPr (Run Properties) element, not the rPr (Previous Run Properties) element, to be a child.</w:t>
      </w:r>
    </w:p>
    <w:p w:rsidR="005F78FC" w:rsidRDefault="00B42EF3">
      <w:pPr>
        <w:pStyle w:val="Definition-Field"/>
      </w:pPr>
      <w:r>
        <w:t xml:space="preserve">b.   </w:t>
      </w:r>
      <w:r>
        <w:rPr>
          <w:i/>
        </w:rPr>
        <w:t>The standard states that the minOccurs value for the rPr</w:t>
      </w:r>
      <w:r>
        <w:rPr>
          <w:i/>
        </w:rPr>
        <w:t xml:space="preserve"> child element is 1.</w:t>
      </w:r>
    </w:p>
    <w:p w:rsidR="005F78FC" w:rsidRDefault="00B42EF3">
      <w:pPr>
        <w:pStyle w:val="Definition-Field2"/>
      </w:pPr>
      <w:r>
        <w:t>Word does not require an occurrence of this element.</w:t>
      </w:r>
    </w:p>
    <w:p w:rsidR="005F78FC" w:rsidRDefault="00B42EF3">
      <w:pPr>
        <w:pStyle w:val="Heading3"/>
      </w:pPr>
      <w:bookmarkStart w:id="686" w:name="section_70498abcdc0b4c418e8dd1bd5044ebe6"/>
      <w:bookmarkStart w:id="687" w:name="_Toc69878116"/>
      <w:r>
        <w:t>Part 1 Section 17.13.5.17, ins (Inserted Table Row)</w:t>
      </w:r>
      <w:bookmarkEnd w:id="686"/>
      <w:bookmarkEnd w:id="687"/>
      <w:r>
        <w:fldChar w:fldCharType="begin"/>
      </w:r>
      <w:r>
        <w:instrText xml:space="preserve"> XE "ins (Inserted Table Row)"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5F78FC" w:rsidRDefault="00B42EF3">
      <w:pPr>
        <w:pStyle w:val="Heading3"/>
      </w:pPr>
      <w:bookmarkStart w:id="688" w:name="section_960dd70180364eedb52a774caf7075d2"/>
      <w:bookmarkStart w:id="689" w:name="_Toc69878117"/>
      <w:r>
        <w:t>Part 1 Section 17.13.5.18, ins (Inserted Run Content)</w:t>
      </w:r>
      <w:bookmarkEnd w:id="688"/>
      <w:bookmarkEnd w:id="689"/>
      <w:r>
        <w:fldChar w:fldCharType="begin"/>
      </w:r>
      <w:r>
        <w:instrText xml:space="preserve"> XE "ins (Inserted Run Content)"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fb39493214a94ebcbf3fabfe9d946a61">
        <w:r>
          <w:rPr>
            <w:rStyle w:val="Hyperlink"/>
          </w:rPr>
          <w:t>customXml, §17.5.1.3(a)</w:t>
        </w:r>
      </w:hyperlink>
      <w:r>
        <w:rPr>
          <w:i/>
        </w:rPr>
        <w:t xml:space="preserve">; </w:t>
      </w:r>
      <w:hyperlink w:anchor="Section_2f42e7a6a0144392846153a493241d28">
        <w:r>
          <w:rPr>
            <w:rStyle w:val="Hyperlink"/>
          </w:rPr>
          <w:t>comment, §17.1</w:t>
        </w:r>
        <w:r>
          <w:rPr>
            <w:rStyle w:val="Hyperlink"/>
          </w:rPr>
          <w:t>3.4.2(b, c)</w:t>
        </w:r>
      </w:hyperlink>
      <w:r>
        <w:rPr>
          <w:i/>
        </w:rPr>
        <w:t xml:space="preserve">; </w:t>
      </w:r>
      <w:hyperlink w:anchor="Section_cf861d389d024d8e8fe7450a01f33d40">
        <w:r>
          <w:rPr>
            <w:rStyle w:val="Hyperlink"/>
          </w:rPr>
          <w:t>cellDel, §17.13.5.1(a)</w:t>
        </w:r>
      </w:hyperlink>
      <w:r>
        <w:rPr>
          <w:i/>
        </w:rPr>
        <w:t>.</w:t>
      </w:r>
    </w:p>
    <w:p w:rsidR="005F78FC" w:rsidRDefault="00B42EF3">
      <w:pPr>
        <w:pStyle w:val="Definition-Field"/>
      </w:pPr>
      <w:r>
        <w:t xml:space="preserve">a.   </w:t>
      </w:r>
      <w:r>
        <w:rPr>
          <w:i/>
        </w:rPr>
        <w:t>The standard allows nested insertions.</w:t>
      </w:r>
    </w:p>
    <w:p w:rsidR="005F78FC" w:rsidRDefault="00B42EF3">
      <w:pPr>
        <w:pStyle w:val="Definition-Field2"/>
      </w:pPr>
      <w:r>
        <w:lastRenderedPageBreak/>
        <w:t>Word does not support nested insertions.</w:t>
      </w:r>
    </w:p>
    <w:p w:rsidR="005F78FC" w:rsidRDefault="00B42EF3">
      <w:pPr>
        <w:pStyle w:val="Definition-Field"/>
      </w:pPr>
      <w:r>
        <w:t xml:space="preserve">b.   </w:t>
      </w:r>
      <w:r>
        <w:rPr>
          <w:i/>
        </w:rPr>
        <w:t>The standard states that the author attribute is required, but the</w:t>
      </w:r>
      <w:r>
        <w:rPr>
          <w:i/>
        </w:rPr>
        <w:t xml:space="preserve"> prose defines its behavior when omitted.</w:t>
      </w:r>
    </w:p>
    <w:p w:rsidR="005F78FC" w:rsidRDefault="00B42EF3">
      <w:pPr>
        <w:pStyle w:val="Definition-Field2"/>
      </w:pPr>
      <w:r>
        <w:t>Word behaves according to schema - the author attribute is required.</w:t>
      </w:r>
    </w:p>
    <w:p w:rsidR="005F78FC" w:rsidRDefault="00B42EF3">
      <w:pPr>
        <w:pStyle w:val="Heading3"/>
      </w:pPr>
      <w:bookmarkStart w:id="690" w:name="section_2e24b3f2b745464e8194e4e074058b0c"/>
      <w:bookmarkStart w:id="691" w:name="_Toc69878118"/>
      <w:r>
        <w:t>Part 1 Section 17.13.5.19, ins (Inserted Numbering Properties)</w:t>
      </w:r>
      <w:bookmarkEnd w:id="690"/>
      <w:bookmarkEnd w:id="691"/>
      <w:r>
        <w:fldChar w:fldCharType="begin"/>
      </w:r>
      <w:r>
        <w:instrText xml:space="preserve"> XE "ins (Inserted Numbering Properties)" </w:instrText>
      </w:r>
      <w:r>
        <w:fldChar w:fldCharType="end"/>
      </w:r>
    </w:p>
    <w:p w:rsidR="005F78FC" w:rsidRDefault="00B42EF3">
      <w:pPr>
        <w:pStyle w:val="Definition-Field2"/>
      </w:pPr>
      <w:r>
        <w:rPr>
          <w:i/>
        </w:rPr>
        <w:t>For additional notes that apply to thi</w:t>
      </w:r>
      <w:r>
        <w:rPr>
          <w:i/>
        </w:rPr>
        <w:t xml:space="preserve">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5F78FC" w:rsidRDefault="00B42EF3">
      <w:pPr>
        <w:pStyle w:val="Heading3"/>
      </w:pPr>
      <w:bookmarkStart w:id="692" w:name="section_1d66ba8a1eeb4cffab8aeaa79113cc89"/>
      <w:bookmarkStart w:id="693" w:name="_Toc69878119"/>
      <w:r>
        <w:t>Part 1 Section 17.13.5.20, ins (Inserted Paragraph)</w:t>
      </w:r>
      <w:bookmarkEnd w:id="692"/>
      <w:bookmarkEnd w:id="693"/>
      <w:r>
        <w:fldChar w:fldCharType="begin"/>
      </w:r>
      <w:r>
        <w:instrText xml:space="preserve"> XE "ins (Inserted Paragraph)" </w:instrText>
      </w:r>
      <w:r>
        <w:fldChar w:fldCharType="end"/>
      </w:r>
    </w:p>
    <w:p w:rsidR="005F78FC" w:rsidRDefault="00B42EF3">
      <w:pPr>
        <w:pStyle w:val="Definition-Field2"/>
      </w:pPr>
      <w:r>
        <w:rPr>
          <w:i/>
        </w:rPr>
        <w:t>For additional notes that apply to this portion of the standard, please see the notes for</w:t>
      </w:r>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r>
          <w:rPr>
            <w:rStyle w:val="Hyperlink"/>
          </w:rPr>
          <w:t>)</w:t>
        </w:r>
      </w:hyperlink>
      <w:r>
        <w:rPr>
          <w:i/>
        </w:rPr>
        <w:t>.</w:t>
      </w:r>
    </w:p>
    <w:p w:rsidR="005F78FC" w:rsidRDefault="00B42EF3">
      <w:pPr>
        <w:pStyle w:val="Definition-Field"/>
      </w:pPr>
      <w:r>
        <w:t xml:space="preserve">a.   </w:t>
      </w:r>
      <w:r>
        <w:rPr>
          <w:i/>
        </w:rPr>
        <w:t>The standard states that this element specifies that a paragraph mark shall be treated as deleted (that is, the contents of this paragraph are no longer delimited by this paragraph mark, and are combined with the following paragraph).</w:t>
      </w:r>
    </w:p>
    <w:p w:rsidR="005F78FC" w:rsidRDefault="00B42EF3">
      <w:pPr>
        <w:pStyle w:val="Definition-Field2"/>
      </w:pPr>
      <w:r>
        <w:t>Word uses thi</w:t>
      </w:r>
      <w:r>
        <w:t>s element to specify that the paragraph mark shall be treated as inserted (that is, the contents of this paragraph used to be combined with the following paragraph but were moved into a new paragraph).</w:t>
      </w:r>
    </w:p>
    <w:p w:rsidR="005F78FC" w:rsidRDefault="00B42EF3">
      <w:pPr>
        <w:pStyle w:val="Heading3"/>
      </w:pPr>
      <w:bookmarkStart w:id="694" w:name="section_123328dcd0324adcbdd39388ff472ea2"/>
      <w:bookmarkStart w:id="695" w:name="_Toc69878120"/>
      <w:r>
        <w:t>Part 1 Section 17.13.5.21, moveFrom (Move Source Parag</w:t>
      </w:r>
      <w:r>
        <w:t>raph)</w:t>
      </w:r>
      <w:bookmarkEnd w:id="694"/>
      <w:bookmarkEnd w:id="695"/>
      <w:r>
        <w:fldChar w:fldCharType="begin"/>
      </w:r>
      <w:r>
        <w:instrText xml:space="preserve"> XE "moveFrom (Move Source Paragraph)"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5F78FC" w:rsidRDefault="00B42EF3">
      <w:pPr>
        <w:pStyle w:val="Definition-Field"/>
      </w:pPr>
      <w:r>
        <w:t xml:space="preserve">a.   </w:t>
      </w:r>
      <w:r>
        <w:rPr>
          <w:i/>
        </w:rPr>
        <w:t>The standard specifies semantics for this element.</w:t>
      </w:r>
    </w:p>
    <w:p w:rsidR="005F78FC" w:rsidRDefault="00B42EF3">
      <w:pPr>
        <w:pStyle w:val="Definition-Field2"/>
      </w:pPr>
      <w:r>
        <w:t>Word ignores this element.</w:t>
      </w:r>
    </w:p>
    <w:p w:rsidR="005F78FC" w:rsidRDefault="00B42EF3">
      <w:pPr>
        <w:pStyle w:val="Heading3"/>
      </w:pPr>
      <w:bookmarkStart w:id="696" w:name="section_70a0803b276e4570a179bc29869d6701"/>
      <w:bookmarkStart w:id="697" w:name="_Toc69878121"/>
      <w:r>
        <w:t>Part 1 Section 17.13.5.22, moveFro</w:t>
      </w:r>
      <w:r>
        <w:t>m (Move Source Run Content)</w:t>
      </w:r>
      <w:bookmarkEnd w:id="696"/>
      <w:bookmarkEnd w:id="697"/>
      <w:r>
        <w:fldChar w:fldCharType="begin"/>
      </w:r>
      <w:r>
        <w:instrText xml:space="preserve"> XE "moveFrom (Move Source Run Content)"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fb39493214a94ebcbf3fabfe9d946a61">
        <w:r>
          <w:rPr>
            <w:rStyle w:val="Hyperlink"/>
          </w:rPr>
          <w:t>customXml, §17.5.1.3(a)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5F78FC" w:rsidRDefault="00B42EF3">
      <w:pPr>
        <w:pStyle w:val="Definition-Field"/>
      </w:pPr>
      <w:r>
        <w:t>a.</w:t>
      </w:r>
      <w:r>
        <w:t xml:space="preserve">   </w:t>
      </w:r>
      <w:r>
        <w:rPr>
          <w:i/>
        </w:rPr>
        <w:t>The standard allows moveFrom to be nested.</w:t>
      </w:r>
    </w:p>
    <w:p w:rsidR="005F78FC" w:rsidRDefault="00B42EF3">
      <w:pPr>
        <w:pStyle w:val="Definition-Field2"/>
      </w:pPr>
      <w:r>
        <w:t>Word does not support nesting moveFrom.</w:t>
      </w:r>
    </w:p>
    <w:p w:rsidR="005F78FC" w:rsidRDefault="00B42EF3">
      <w:pPr>
        <w:pStyle w:val="Definition-Field"/>
      </w:pPr>
      <w:r>
        <w:t xml:space="preserve">b.   </w:t>
      </w:r>
      <w:r>
        <w:rPr>
          <w:i/>
        </w:rPr>
        <w:t>The standard allows tracked moves in math objects and functions.</w:t>
      </w:r>
    </w:p>
    <w:p w:rsidR="005F78FC" w:rsidRDefault="00B42EF3">
      <w:pPr>
        <w:pStyle w:val="Definition-Field2"/>
      </w:pPr>
      <w:r>
        <w:t xml:space="preserve">Word treats tracked moves (moveFrom, moveTo) in math objects and functions as insertions and </w:t>
      </w:r>
      <w:r>
        <w:t>deletions.</w:t>
      </w:r>
    </w:p>
    <w:p w:rsidR="005F78FC" w:rsidRDefault="00B42EF3">
      <w:pPr>
        <w:pStyle w:val="Heading3"/>
      </w:pPr>
      <w:bookmarkStart w:id="698" w:name="section_f90cd8b7925d4d049a0385f33bc74843"/>
      <w:bookmarkStart w:id="699" w:name="_Toc69878122"/>
      <w:r>
        <w:t>Part 1 Section 17.13.5.23, moveFromRangeEnd (Move Source Location Container - End)</w:t>
      </w:r>
      <w:bookmarkEnd w:id="698"/>
      <w:bookmarkEnd w:id="699"/>
      <w:r>
        <w:fldChar w:fldCharType="begin"/>
      </w:r>
      <w:r>
        <w:instrText xml:space="preserve"> XE "moveFromRangeEnd (Move Source Location Container - End)"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5F78FC" w:rsidRDefault="00B42EF3">
      <w:pPr>
        <w:pStyle w:val="Heading3"/>
      </w:pPr>
      <w:bookmarkStart w:id="700" w:name="section_5214839b61db423aa618a375b90fd0a8"/>
      <w:bookmarkStart w:id="701" w:name="_Toc69878123"/>
      <w:r>
        <w:lastRenderedPageBreak/>
        <w:t>Part 1 Section 17.13.5.24, moveFromRangeStart (Move Source Location Container - Start)</w:t>
      </w:r>
      <w:bookmarkEnd w:id="700"/>
      <w:bookmarkEnd w:id="701"/>
      <w:r>
        <w:fldChar w:fldCharType="begin"/>
      </w:r>
      <w:r>
        <w:instrText xml:space="preserve"> XE "moveFr</w:instrText>
      </w:r>
      <w:r>
        <w:instrText xml:space="preserve">omRangeStart (Move Source Location Container - Start)"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 xml:space="preserve">; </w:t>
      </w:r>
      <w:hyperlink w:anchor="Section_da8b8f592af149d98553f0c1ff2fb18d">
        <w:r>
          <w:rPr>
            <w:rStyle w:val="Hyperlink"/>
          </w:rPr>
          <w:t>bookmarkStart, §17.13.6.2(a-e)</w:t>
        </w:r>
      </w:hyperlink>
      <w:r>
        <w:rPr>
          <w:i/>
        </w:rPr>
        <w:t>.</w:t>
      </w:r>
    </w:p>
    <w:p w:rsidR="005F78FC" w:rsidRDefault="00B42EF3">
      <w:pPr>
        <w:pStyle w:val="Definition-Field"/>
      </w:pPr>
      <w:r>
        <w:t xml:space="preserve">a.   </w:t>
      </w:r>
      <w:r>
        <w:rPr>
          <w:i/>
        </w:rPr>
        <w:t>The standard allows an unbounded number of moveFrom/moveTo ranges.</w:t>
      </w:r>
    </w:p>
    <w:p w:rsidR="005F78FC" w:rsidRDefault="00B42EF3">
      <w:pPr>
        <w:pStyle w:val="Definition-Field2"/>
      </w:pPr>
      <w:r>
        <w:t xml:space="preserve">Word will not open a document </w:t>
      </w:r>
      <w:r>
        <w:t>with too many moveFrom/moveTo ranges. If the uiCompat97to2003 is set, the maximum is 32,751; otherwise the maximum is 2,147,483,647.</w:t>
      </w:r>
    </w:p>
    <w:p w:rsidR="005F78FC" w:rsidRDefault="00B42EF3">
      <w:pPr>
        <w:pStyle w:val="Heading3"/>
      </w:pPr>
      <w:bookmarkStart w:id="702" w:name="section_4fffb314e0bf4947af2079d7ca0448d5"/>
      <w:bookmarkStart w:id="703" w:name="_Toc69878124"/>
      <w:r>
        <w:t>Part 1 Section 17.13.5.25, moveTo (Move Destination Run Content)</w:t>
      </w:r>
      <w:bookmarkEnd w:id="702"/>
      <w:bookmarkEnd w:id="703"/>
      <w:r>
        <w:fldChar w:fldCharType="begin"/>
      </w:r>
      <w:r>
        <w:instrText xml:space="preserve"> XE "moveTo (Move Destination Run Content)"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fb39493214a94ebcbf3fabfe9d946a61">
        <w:r>
          <w:rPr>
            <w:rStyle w:val="Hyperlink"/>
          </w:rPr>
          <w:t>customXml, §17.5.1.3(a)</w:t>
        </w:r>
      </w:hyperlink>
      <w:r>
        <w:rPr>
          <w:i/>
        </w:rPr>
        <w:t xml:space="preserve">; </w:t>
      </w:r>
      <w:hyperlink w:anchor="Section_2f42e7a6a0144392846153a493241d28">
        <w:r>
          <w:rPr>
            <w:rStyle w:val="Hyperlink"/>
          </w:rPr>
          <w:t>comment, §17.13</w:t>
        </w:r>
        <w:r>
          <w:rPr>
            <w:rStyle w:val="Hyperlink"/>
          </w:rPr>
          <w:t>.4.2(b,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5F78FC" w:rsidRDefault="00B42EF3">
      <w:pPr>
        <w:pStyle w:val="Definition-Field"/>
      </w:pPr>
      <w:r>
        <w:t xml:space="preserve">a.   </w:t>
      </w:r>
      <w:r>
        <w:rPr>
          <w:i/>
        </w:rPr>
        <w:t>The standard allows the moveTo element to be a descendant of another</w:t>
      </w:r>
      <w:r>
        <w:rPr>
          <w:i/>
        </w:rPr>
        <w:t xml:space="preserve"> moveTo element.</w:t>
      </w:r>
    </w:p>
    <w:p w:rsidR="005F78FC" w:rsidRDefault="00B42EF3">
      <w:pPr>
        <w:pStyle w:val="Definition-Field2"/>
      </w:pPr>
      <w:r>
        <w:t>Word does not allow the moveTo element to be a descendant of another moveTo element.</w:t>
      </w:r>
    </w:p>
    <w:p w:rsidR="005F78FC" w:rsidRDefault="00B42EF3">
      <w:pPr>
        <w:pStyle w:val="Definition-Field"/>
      </w:pPr>
      <w:r>
        <w:t xml:space="preserve">b.   </w:t>
      </w:r>
      <w:r>
        <w:rPr>
          <w:i/>
        </w:rPr>
        <w:t>The standard allows tracked moves in math objects and functions.</w:t>
      </w:r>
    </w:p>
    <w:p w:rsidR="005F78FC" w:rsidRDefault="00B42EF3">
      <w:pPr>
        <w:pStyle w:val="Definition-Field2"/>
      </w:pPr>
      <w:r>
        <w:t>Word treats tracked moves (moveFrom, moveTo) in math objects and functions as deleti</w:t>
      </w:r>
      <w:r>
        <w:t>ons and insertions.</w:t>
      </w:r>
    </w:p>
    <w:p w:rsidR="005F78FC" w:rsidRDefault="00B42EF3">
      <w:pPr>
        <w:pStyle w:val="Heading3"/>
      </w:pPr>
      <w:bookmarkStart w:id="704" w:name="section_dafb64ea058d4c1fa592c3c6c8df91c6"/>
      <w:bookmarkStart w:id="705" w:name="_Toc69878125"/>
      <w:r>
        <w:t>Part 1 Section 17.13.5.26, moveTo (Move Destination Paragraph)</w:t>
      </w:r>
      <w:bookmarkEnd w:id="704"/>
      <w:bookmarkEnd w:id="705"/>
      <w:r>
        <w:fldChar w:fldCharType="begin"/>
      </w:r>
      <w:r>
        <w:instrText xml:space="preserve"> XE "moveTo (Move Destination Paragraph)"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5F78FC" w:rsidRDefault="00B42EF3">
      <w:pPr>
        <w:pStyle w:val="Definition-Field"/>
      </w:pPr>
      <w:r>
        <w:t xml:space="preserve">a.   </w:t>
      </w:r>
      <w:r>
        <w:rPr>
          <w:i/>
        </w:rPr>
        <w:t>The standard specifies semantics</w:t>
      </w:r>
      <w:r>
        <w:rPr>
          <w:i/>
        </w:rPr>
        <w:t xml:space="preserve"> for this element.</w:t>
      </w:r>
    </w:p>
    <w:p w:rsidR="005F78FC" w:rsidRDefault="00B42EF3">
      <w:pPr>
        <w:pStyle w:val="Definition-Field2"/>
      </w:pPr>
      <w:r>
        <w:t>Word ignores this element.</w:t>
      </w:r>
    </w:p>
    <w:p w:rsidR="005F78FC" w:rsidRDefault="00B42EF3">
      <w:pPr>
        <w:pStyle w:val="Heading3"/>
      </w:pPr>
      <w:bookmarkStart w:id="706" w:name="section_8e9341b0a75f40009e2209c559e8a4ce"/>
      <w:bookmarkStart w:id="707" w:name="_Toc69878126"/>
      <w:r>
        <w:t>Part 1 Section 17.13.5.27, moveToRangeEnd (Move Destination Location Container - End)</w:t>
      </w:r>
      <w:bookmarkEnd w:id="706"/>
      <w:bookmarkEnd w:id="707"/>
      <w:r>
        <w:fldChar w:fldCharType="begin"/>
      </w:r>
      <w:r>
        <w:instrText xml:space="preserve"> XE "moveToRangeEnd (Move Destination Location Container - End)" </w:instrText>
      </w:r>
      <w:r>
        <w:fldChar w:fldCharType="end"/>
      </w:r>
    </w:p>
    <w:p w:rsidR="005F78FC" w:rsidRDefault="00B42EF3">
      <w:pPr>
        <w:pStyle w:val="Definition-Field2"/>
      </w:pPr>
      <w:r>
        <w:rPr>
          <w:i/>
        </w:rPr>
        <w:t>For additional notes that apply to this portion of the st</w:t>
      </w:r>
      <w:r>
        <w:rPr>
          <w:i/>
        </w:rPr>
        <w:t xml:space="preserve">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5F78FC" w:rsidRDefault="00B42EF3">
      <w:pPr>
        <w:pStyle w:val="Definition-Field"/>
      </w:pPr>
      <w:r>
        <w:t xml:space="preserve">a.   </w:t>
      </w:r>
      <w:r>
        <w:rPr>
          <w:i/>
        </w:rPr>
        <w:t>The standard does not specify any restrictions conc</w:t>
      </w:r>
      <w:r>
        <w:rPr>
          <w:i/>
        </w:rPr>
        <w:t>erning multiple moveToRangeEnd elements with the same id attribute value.</w:t>
      </w:r>
    </w:p>
    <w:p w:rsidR="005F78FC" w:rsidRDefault="00B42EF3">
      <w:pPr>
        <w:pStyle w:val="Definition-Field2"/>
      </w:pPr>
      <w:r>
        <w:t>Word will use the first moveToRangeEnd element (in document order) to determine the end of the destination container</w:t>
      </w:r>
    </w:p>
    <w:p w:rsidR="005F78FC" w:rsidRDefault="00B42EF3">
      <w:pPr>
        <w:pStyle w:val="Heading3"/>
      </w:pPr>
      <w:bookmarkStart w:id="708" w:name="section_03c98d1c57d84c05bd1b76e79d3673a4"/>
      <w:bookmarkStart w:id="709" w:name="_Toc69878127"/>
      <w:r>
        <w:t>Part 1 Section 17.13.5.28, moveToRangeStart (Move Destination Loc</w:t>
      </w:r>
      <w:r>
        <w:t>ation Container - Start)</w:t>
      </w:r>
      <w:bookmarkEnd w:id="708"/>
      <w:bookmarkEnd w:id="709"/>
      <w:r>
        <w:fldChar w:fldCharType="begin"/>
      </w:r>
      <w:r>
        <w:instrText xml:space="preserve"> XE "moveToRangeStart (Move Destination Location Container - Start)"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e395604b15d9406089b7acdc18864414">
        <w:r>
          <w:rPr>
            <w:rStyle w:val="Hyperlink"/>
          </w:rPr>
          <w:t>sdt, §1</w:t>
        </w:r>
        <w:r>
          <w:rPr>
            <w:rStyle w:val="Hyperlink"/>
          </w:rPr>
          <w:t>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 xml:space="preserve">comment, </w:t>
        </w:r>
        <w:r>
          <w:rPr>
            <w:rStyle w:val="Hyperlink"/>
          </w:rPr>
          <w:t>§17.13.4.2(b)</w:t>
        </w:r>
      </w:hyperlink>
      <w:r>
        <w:rPr>
          <w:i/>
        </w:rPr>
        <w:t xml:space="preserve">; </w:t>
      </w:r>
      <w:hyperlink w:anchor="Section_cf861d389d024d8e8fe7450a01f33d40">
        <w:r>
          <w:rPr>
            <w:rStyle w:val="Hyperlink"/>
          </w:rPr>
          <w:t>cellDel, §17.13.5.1(a)</w:t>
        </w:r>
      </w:hyperlink>
      <w:r>
        <w:rPr>
          <w:i/>
        </w:rPr>
        <w:t xml:space="preserve">; </w:t>
      </w:r>
      <w:hyperlink w:anchor="Section_da8b8f592af149d98553f0c1ff2fb18d">
        <w:r>
          <w:rPr>
            <w:rStyle w:val="Hyperlink"/>
          </w:rPr>
          <w:t>bookmarkStart, §17.13.6.2(a-e)</w:t>
        </w:r>
      </w:hyperlink>
      <w:r>
        <w:rPr>
          <w:i/>
        </w:rPr>
        <w:t>.</w:t>
      </w:r>
    </w:p>
    <w:p w:rsidR="005F78FC" w:rsidRDefault="00B42EF3">
      <w:pPr>
        <w:pStyle w:val="Heading3"/>
      </w:pPr>
      <w:bookmarkStart w:id="710" w:name="section_ca8a2548c37b4d7bbf3f4531b6309281"/>
      <w:bookmarkStart w:id="711" w:name="_Toc69878128"/>
      <w:r>
        <w:lastRenderedPageBreak/>
        <w:t xml:space="preserve">Part 1 Section 17.13.5.29, pPrChange (Revision Information </w:t>
      </w:r>
      <w:r>
        <w:t>for Paragraph Properties)</w:t>
      </w:r>
      <w:bookmarkEnd w:id="710"/>
      <w:bookmarkEnd w:id="711"/>
      <w:r>
        <w:fldChar w:fldCharType="begin"/>
      </w:r>
      <w:r>
        <w:instrText xml:space="preserve"> XE "pPrChange (Revision Information for Paragraph Properties)"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1b4958bf2fcf4db89a967f553494276b">
        <w:r>
          <w:rPr>
            <w:rStyle w:val="Hyperlink"/>
          </w:rPr>
          <w:t>pPr, §17.7.</w:t>
        </w:r>
        <w:r>
          <w:rPr>
            <w:rStyle w:val="Hyperlink"/>
          </w:rPr>
          <w:t>5.2(a)</w:t>
        </w:r>
      </w:hyperlink>
      <w:r>
        <w:rPr>
          <w:i/>
        </w:rPr>
        <w:t xml:space="preserve">; </w:t>
      </w:r>
      <w:hyperlink w:anchor="Section_e0f793ec25174bd792363bd6a7f828b7">
        <w:r>
          <w:rPr>
            <w:rStyle w:val="Hyperlink"/>
          </w:rPr>
          <w:t>pPr, §17.9.22(a)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w:t>
        </w:r>
        <w:r>
          <w:rPr>
            <w:rStyle w:val="Hyperlink"/>
          </w:rPr>
          <w:t>.1(a)</w:t>
        </w:r>
      </w:hyperlink>
      <w:r>
        <w:rPr>
          <w:i/>
        </w:rPr>
        <w:t xml:space="preserve">; </w:t>
      </w:r>
      <w:hyperlink w:anchor="Section_960dd70180364eedb52a774caf7075d2">
        <w:r>
          <w:rPr>
            <w:rStyle w:val="Hyperlink"/>
          </w:rPr>
          <w:t>ins, §17.13.5.18(b)</w:t>
        </w:r>
      </w:hyperlink>
      <w:r>
        <w:rPr>
          <w:i/>
        </w:rPr>
        <w:t>.</w:t>
      </w:r>
    </w:p>
    <w:p w:rsidR="005F78FC" w:rsidRDefault="00B42EF3">
      <w:pPr>
        <w:pStyle w:val="Heading3"/>
      </w:pPr>
      <w:bookmarkStart w:id="712" w:name="section_7fec6f90a2ff40dcba8df45db391f716"/>
      <w:bookmarkStart w:id="713" w:name="_Toc69878129"/>
      <w:r>
        <w:t>Part 1 Section 17.13.5.30, rPrChange (Revision Information for Run Properties on the Paragraph Mark)</w:t>
      </w:r>
      <w:bookmarkEnd w:id="712"/>
      <w:bookmarkEnd w:id="713"/>
      <w:r>
        <w:fldChar w:fldCharType="begin"/>
      </w:r>
      <w:r>
        <w:instrText xml:space="preserve"> XE "rPrChange (Revision Information for Run Properties on the Pa</w:instrText>
      </w:r>
      <w:r>
        <w:instrText xml:space="preserve">ragraph Mark)"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5F78FC" w:rsidRDefault="00B42EF3">
      <w:pPr>
        <w:pStyle w:val="Heading3"/>
      </w:pPr>
      <w:bookmarkStart w:id="714" w:name="section_d12848504d134d5eb6cd167c00942216"/>
      <w:bookmarkStart w:id="715" w:name="_Toc69878130"/>
      <w:r>
        <w:t>Part 1 Section 17.13.5.31, rPrChange (Revision Information for Run Properties)</w:t>
      </w:r>
      <w:bookmarkEnd w:id="714"/>
      <w:bookmarkEnd w:id="715"/>
      <w:r>
        <w:fldChar w:fldCharType="begin"/>
      </w:r>
      <w:r>
        <w:instrText xml:space="preserve"> XE "rPrChange (Revision Information for Run Properties)" </w:instrText>
      </w:r>
      <w:r>
        <w:fldChar w:fldCharType="end"/>
      </w:r>
    </w:p>
    <w:p w:rsidR="005F78FC" w:rsidRDefault="00B42EF3">
      <w:pPr>
        <w:pStyle w:val="Definition-Field2"/>
      </w:pPr>
      <w:r>
        <w:rPr>
          <w:i/>
        </w:rPr>
        <w:t>For add</w:t>
      </w:r>
      <w:r>
        <w:rPr>
          <w:i/>
        </w:rPr>
        <w:t xml:space="preserve">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ffb4a990b46f4e388db396fc13d0b0f6">
        <w:r>
          <w:rPr>
            <w:rStyle w:val="Hyperlink"/>
          </w:rPr>
          <w:t>rPr, §17.9.24(a)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5F78FC" w:rsidRDefault="00B42EF3">
      <w:pPr>
        <w:pStyle w:val="Heading3"/>
      </w:pPr>
      <w:bookmarkStart w:id="716" w:name="section_ab7b2013909a41d795d945a910802bd7"/>
      <w:bookmarkStart w:id="717" w:name="_Toc69878131"/>
      <w:r>
        <w:t>Part 1 Section 17.13.5.32, sectPrChange (Revision Information for Section Properties)</w:t>
      </w:r>
      <w:bookmarkEnd w:id="716"/>
      <w:bookmarkEnd w:id="717"/>
      <w:r>
        <w:fldChar w:fldCharType="begin"/>
      </w:r>
      <w:r>
        <w:instrText xml:space="preserve"> XE "sectPrChange (Revision Information for Section Properties)"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w:t>
        </w:r>
        <w:r>
          <w:rPr>
            <w:rStyle w:val="Hyperlink"/>
          </w:rPr>
          <w:t>5.1(a)</w:t>
        </w:r>
      </w:hyperlink>
      <w:r>
        <w:rPr>
          <w:i/>
        </w:rPr>
        <w:t xml:space="preserve">; </w:t>
      </w:r>
      <w:hyperlink w:anchor="Section_960dd70180364eedb52a774caf7075d2">
        <w:r>
          <w:rPr>
            <w:rStyle w:val="Hyperlink"/>
          </w:rPr>
          <w:t>ins, §17.13.5.18(b)</w:t>
        </w:r>
      </w:hyperlink>
      <w:r>
        <w:rPr>
          <w:i/>
        </w:rPr>
        <w:t>.</w:t>
      </w:r>
    </w:p>
    <w:p w:rsidR="005F78FC" w:rsidRDefault="00B42EF3">
      <w:pPr>
        <w:pStyle w:val="Definition-Field"/>
      </w:pPr>
      <w:r>
        <w:t xml:space="preserve">a.   </w:t>
      </w:r>
      <w:r>
        <w:rPr>
          <w:i/>
        </w:rPr>
        <w:t>The standard states that the previous section properties are expressed as a complete set of properties.</w:t>
      </w:r>
    </w:p>
    <w:p w:rsidR="005F78FC" w:rsidRDefault="00B42EF3">
      <w:pPr>
        <w:pStyle w:val="Definition-Field2"/>
      </w:pPr>
      <w:r>
        <w:t>Word interprets previous section properties as relative</w:t>
      </w:r>
      <w:r>
        <w:t xml:space="preserve"> to the current set of properties.</w:t>
      </w:r>
    </w:p>
    <w:p w:rsidR="005F78FC" w:rsidRDefault="00B42EF3">
      <w:pPr>
        <w:pStyle w:val="Heading3"/>
      </w:pPr>
      <w:bookmarkStart w:id="718" w:name="section_1e829ce750c1488184750119e5e0d5bc"/>
      <w:bookmarkStart w:id="719" w:name="_Toc69878132"/>
      <w:r>
        <w:t>Part 1 Section 17.13.5.33, tblGridChange (Revision Information for Table Grid Column Definitions)</w:t>
      </w:r>
      <w:bookmarkEnd w:id="718"/>
      <w:bookmarkEnd w:id="719"/>
      <w:r>
        <w:fldChar w:fldCharType="begin"/>
      </w:r>
      <w:r>
        <w:instrText xml:space="preserve"> XE "tblGridChange (Revision Information for Table Grid Column Definitions)" </w:instrText>
      </w:r>
      <w:r>
        <w:fldChar w:fldCharType="end"/>
      </w:r>
    </w:p>
    <w:p w:rsidR="005F78FC" w:rsidRDefault="00B42EF3">
      <w:pPr>
        <w:pStyle w:val="Definition-Field2"/>
      </w:pPr>
      <w:r>
        <w:rPr>
          <w:i/>
        </w:rPr>
        <w:t>For additional notes that apply to this port</w:t>
      </w:r>
      <w:r>
        <w:rPr>
          <w:i/>
        </w:rPr>
        <w:t xml:space="preserve">ion of the standard, please see the notes for </w:t>
      </w:r>
      <w:hyperlink w:anchor="Section_cf861d389d024d8e8fe7450a01f33d40">
        <w:r>
          <w:rPr>
            <w:rStyle w:val="Hyperlink"/>
          </w:rPr>
          <w:t>cellDel, §17.13.5.1(a)</w:t>
        </w:r>
      </w:hyperlink>
      <w:r>
        <w:rPr>
          <w:i/>
        </w:rPr>
        <w:t>.</w:t>
      </w:r>
    </w:p>
    <w:p w:rsidR="005F78FC" w:rsidRDefault="00B42EF3">
      <w:pPr>
        <w:pStyle w:val="Heading3"/>
      </w:pPr>
      <w:bookmarkStart w:id="720" w:name="section_0f826fe09212450781a1cc695561c0bc"/>
      <w:bookmarkStart w:id="721" w:name="_Toc69878133"/>
      <w:r>
        <w:t>Part 1 Section 17.13.5.34, tblPrChange (Revision Information for Table Properties)</w:t>
      </w:r>
      <w:bookmarkEnd w:id="720"/>
      <w:bookmarkEnd w:id="721"/>
      <w:r>
        <w:fldChar w:fldCharType="begin"/>
      </w:r>
      <w:r>
        <w:instrText xml:space="preserve"> XE "tblPrChange (Revision Information fo</w:instrText>
      </w:r>
      <w:r>
        <w:instrText xml:space="preserve">r Table Properties)"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5F78FC" w:rsidRDefault="00B42EF3">
      <w:pPr>
        <w:pStyle w:val="Heading3"/>
      </w:pPr>
      <w:bookmarkStart w:id="722" w:name="section_9f2644cb18224b9992b7b781740e0f88"/>
      <w:bookmarkStart w:id="723" w:name="_Toc69878134"/>
      <w:r>
        <w:t>Part 1 Section 17.13.5.35, tblPrExChange (Revision Information for Table-Level Property</w:t>
      </w:r>
      <w:r>
        <w:t xml:space="preserve"> Exceptions)</w:t>
      </w:r>
      <w:bookmarkEnd w:id="722"/>
      <w:bookmarkEnd w:id="723"/>
      <w:r>
        <w:fldChar w:fldCharType="begin"/>
      </w:r>
      <w:r>
        <w:instrText xml:space="preserve"> XE "tblPrExChange (Revision Information for Table-Level Property Exceptions)"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2f42e7a6a0144392846153a493241d28">
        <w:r>
          <w:rPr>
            <w:rStyle w:val="Hyperlink"/>
          </w:rPr>
          <w:t xml:space="preserve">comment, </w:t>
        </w:r>
        <w:r>
          <w:rPr>
            <w:rStyle w:val="Hyperlink"/>
          </w:rPr>
          <w:t>§17.13.4.2(c)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5F78FC" w:rsidRDefault="00B42EF3">
      <w:pPr>
        <w:pStyle w:val="Heading3"/>
      </w:pPr>
      <w:bookmarkStart w:id="724" w:name="section_784866f51c0947c48ea8696c1f0b2ac2"/>
      <w:bookmarkStart w:id="725" w:name="_Toc69878135"/>
      <w:r>
        <w:t xml:space="preserve">Part 1 Section 17.13.5.36, tcPrChange (Revision Information for Table </w:t>
      </w:r>
      <w:r>
        <w:t>Cell Properties)</w:t>
      </w:r>
      <w:bookmarkEnd w:id="724"/>
      <w:bookmarkEnd w:id="725"/>
      <w:r>
        <w:fldChar w:fldCharType="begin"/>
      </w:r>
      <w:r>
        <w:instrText xml:space="preserve"> XE "tcPrChange (Revision Information for Table Cell Properties)"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 xml:space="preserve">cellDel, </w:t>
        </w:r>
        <w:r>
          <w:rPr>
            <w:rStyle w:val="Hyperlink"/>
          </w:rPr>
          <w:t>§17.13.5.1(a)</w:t>
        </w:r>
      </w:hyperlink>
      <w:r>
        <w:rPr>
          <w:i/>
        </w:rPr>
        <w:t xml:space="preserve">; </w:t>
      </w:r>
      <w:hyperlink w:anchor="Section_960dd70180364eedb52a774caf7075d2">
        <w:r>
          <w:rPr>
            <w:rStyle w:val="Hyperlink"/>
          </w:rPr>
          <w:t>ins, §17.13.5.18(b)</w:t>
        </w:r>
      </w:hyperlink>
      <w:r>
        <w:rPr>
          <w:i/>
        </w:rPr>
        <w:t>.</w:t>
      </w:r>
    </w:p>
    <w:p w:rsidR="005F78FC" w:rsidRDefault="00B42EF3">
      <w:pPr>
        <w:pStyle w:val="Heading3"/>
      </w:pPr>
      <w:bookmarkStart w:id="726" w:name="section_953ded84289041e2b60711dc9c658a54"/>
      <w:bookmarkStart w:id="727" w:name="_Toc69878136"/>
      <w:r>
        <w:lastRenderedPageBreak/>
        <w:t>Part 1 Section 17.13.5.37, trPrChange (Revision Information for Table Row Properties)</w:t>
      </w:r>
      <w:bookmarkEnd w:id="726"/>
      <w:bookmarkEnd w:id="727"/>
      <w:r>
        <w:fldChar w:fldCharType="begin"/>
      </w:r>
      <w:r>
        <w:instrText xml:space="preserve"> XE "trPrChange (Revision Information for Table Row Properties)" </w:instrText>
      </w:r>
      <w:r>
        <w:fldChar w:fldCharType="end"/>
      </w:r>
    </w:p>
    <w:p w:rsidR="005F78FC" w:rsidRDefault="00B42EF3">
      <w:pPr>
        <w:pStyle w:val="Definition-Field2"/>
      </w:pPr>
      <w:r>
        <w:rPr>
          <w:i/>
        </w:rPr>
        <w:t xml:space="preserve">For </w:t>
      </w:r>
      <w:r>
        <w:rPr>
          <w:i/>
        </w:rPr>
        <w:t xml:space="preserve">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5F78FC" w:rsidRDefault="00B42EF3">
      <w:pPr>
        <w:pStyle w:val="Definition-Field"/>
      </w:pPr>
      <w:r>
        <w:t xml:space="preserve">a.   </w:t>
      </w:r>
      <w:r>
        <w:rPr>
          <w:i/>
        </w:rPr>
        <w:t>The standard states that table styles can contain row property revisions.</w:t>
      </w:r>
    </w:p>
    <w:p w:rsidR="005F78FC" w:rsidRDefault="00B42EF3">
      <w:pPr>
        <w:pStyle w:val="Definition-Field2"/>
      </w:pPr>
      <w:r>
        <w:t>Word does not allow row property revisions in table styles.</w:t>
      </w:r>
    </w:p>
    <w:p w:rsidR="005F78FC" w:rsidRDefault="00B42EF3">
      <w:pPr>
        <w:pStyle w:val="Heading3"/>
      </w:pPr>
      <w:bookmarkStart w:id="728" w:name="section_a790410f43e742a89105776a6c661fdd"/>
      <w:bookmarkStart w:id="729" w:name="_Toc69878137"/>
      <w:r>
        <w:t>Part 1 Section 17.13.6, Bookmarks</w:t>
      </w:r>
      <w:bookmarkEnd w:id="728"/>
      <w:bookmarkEnd w:id="729"/>
      <w:r>
        <w:fldChar w:fldCharType="begin"/>
      </w:r>
      <w:r>
        <w:instrText xml:space="preserve"> XE "Bookmarks" </w:instrText>
      </w:r>
      <w:r>
        <w:fldChar w:fldCharType="end"/>
      </w:r>
    </w:p>
    <w:p w:rsidR="005F78FC" w:rsidRDefault="00B42EF3">
      <w:pPr>
        <w:pStyle w:val="Definition-Field"/>
      </w:pPr>
      <w:r>
        <w:t xml:space="preserve">a.   </w:t>
      </w:r>
      <w:r>
        <w:rPr>
          <w:i/>
        </w:rPr>
        <w:t>The standard allows a bookmark to begin inside a math object</w:t>
      </w:r>
      <w:r>
        <w:rPr>
          <w:i/>
        </w:rPr>
        <w:t xml:space="preserve"> and end outside that object or vice versa.</w:t>
      </w:r>
    </w:p>
    <w:p w:rsidR="005F78FC" w:rsidRDefault="00B42EF3">
      <w:pPr>
        <w:pStyle w:val="Definition-Field2"/>
      </w:pPr>
      <w:r>
        <w:t>Word does not allow a bookmark to begin inside a math object and end outside that object or vice versa.</w:t>
      </w:r>
    </w:p>
    <w:p w:rsidR="005F78FC" w:rsidRDefault="00B42EF3">
      <w:pPr>
        <w:pStyle w:val="Definition-Field"/>
      </w:pPr>
      <w:r>
        <w:t xml:space="preserve">b.   </w:t>
      </w:r>
      <w:r>
        <w:rPr>
          <w:i/>
        </w:rPr>
        <w:t>The standard does not specify a maximum number of bookmarks allowed in a document.</w:t>
      </w:r>
    </w:p>
    <w:p w:rsidR="005F78FC" w:rsidRDefault="00B42EF3">
      <w:pPr>
        <w:pStyle w:val="Definition-Field2"/>
      </w:pPr>
      <w:r>
        <w:t>Word fails to open t</w:t>
      </w:r>
      <w:r>
        <w:t>he file if it has too many bookmarks (more than 16380 when the uiCompat97to2003 element is present, more than 2147483647 otherwise).</w:t>
      </w:r>
    </w:p>
    <w:p w:rsidR="005F78FC" w:rsidRDefault="00B42EF3">
      <w:pPr>
        <w:pStyle w:val="Heading3"/>
      </w:pPr>
      <w:bookmarkStart w:id="730" w:name="section_fa51f4d3bb2a4fac845f8368432e3174"/>
      <w:bookmarkStart w:id="731" w:name="_Toc69878138"/>
      <w:r>
        <w:t>Part 1 Section 17.13.6.1, bookmarkEnd (Bookmark End)</w:t>
      </w:r>
      <w:bookmarkEnd w:id="730"/>
      <w:bookmarkEnd w:id="731"/>
      <w:r>
        <w:fldChar w:fldCharType="begin"/>
      </w:r>
      <w:r>
        <w:instrText xml:space="preserve"> XE "bookmarkEnd (Bookmark End)" </w:instrText>
      </w:r>
      <w:r>
        <w:fldChar w:fldCharType="end"/>
      </w:r>
    </w:p>
    <w:p w:rsidR="005F78FC" w:rsidRDefault="00B42EF3">
      <w:pPr>
        <w:pStyle w:val="Definition-Field2"/>
      </w:pPr>
      <w:r>
        <w:rPr>
          <w:i/>
        </w:rPr>
        <w:t xml:space="preserve">For additional notes that apply to </w:t>
      </w:r>
      <w:r>
        <w:rPr>
          <w:i/>
        </w:rPr>
        <w:t xml:space="preserve">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§17.13.5.1(a)</w:t>
        </w:r>
      </w:hyperlink>
      <w:r>
        <w:rPr>
          <w:i/>
        </w:rPr>
        <w:t>.</w:t>
      </w:r>
    </w:p>
    <w:p w:rsidR="005F78FC" w:rsidRDefault="00B42EF3">
      <w:pPr>
        <w:pStyle w:val="Heading3"/>
      </w:pPr>
      <w:bookmarkStart w:id="732" w:name="section_da8b8f592af149d98553f0c1ff2fb18d"/>
      <w:bookmarkStart w:id="733" w:name="_Toc69878139"/>
      <w:r>
        <w:t>Part 1 Section 17.13.6.2, bookmarkStart (Bookmark Start)</w:t>
      </w:r>
      <w:bookmarkEnd w:id="732"/>
      <w:bookmarkEnd w:id="733"/>
      <w:r>
        <w:fldChar w:fldCharType="begin"/>
      </w:r>
      <w:r>
        <w:instrText xml:space="preserve"> XE "bookmarkStart (Bookmark Start)" </w:instrText>
      </w:r>
      <w:r>
        <w:fldChar w:fldCharType="end"/>
      </w:r>
    </w:p>
    <w:p w:rsidR="005F78FC" w:rsidRDefault="00B42EF3">
      <w:pPr>
        <w:pStyle w:val="Definition-Field2"/>
      </w:pPr>
      <w:r>
        <w:rPr>
          <w:i/>
        </w:rPr>
        <w:t>For additional notes that</w:t>
      </w:r>
      <w:r>
        <w:rPr>
          <w:i/>
        </w:rPr>
        <w:t xml:space="preserve">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§17.13.5.1(a)</w:t>
        </w:r>
      </w:hyperlink>
      <w:r>
        <w:rPr>
          <w:i/>
        </w:rPr>
        <w:t>.</w:t>
      </w:r>
    </w:p>
    <w:p w:rsidR="005F78FC" w:rsidRDefault="00B42EF3">
      <w:pPr>
        <w:pStyle w:val="Definition-Field"/>
      </w:pPr>
      <w:r>
        <w:t xml:space="preserve">a.   </w:t>
      </w:r>
      <w:r>
        <w:rPr>
          <w:i/>
        </w:rPr>
        <w:t>The standard says that if colFirst is greater than colLast, then colFirst and colLa</w:t>
      </w:r>
      <w:r>
        <w:rPr>
          <w:i/>
        </w:rPr>
        <w:t>st should be ignored.</w:t>
      </w:r>
    </w:p>
    <w:p w:rsidR="005F78FC" w:rsidRDefault="00B42EF3">
      <w:pPr>
        <w:pStyle w:val="Definition-Field2"/>
      </w:pPr>
      <w:r>
        <w:t>In Word, if colFirst is greater than colLast, then colFirst behaves as if it took on the value of colLast.</w:t>
      </w:r>
    </w:p>
    <w:p w:rsidR="005F78FC" w:rsidRDefault="00B42EF3">
      <w:pPr>
        <w:pStyle w:val="Definition-Field"/>
      </w:pPr>
      <w:r>
        <w:t xml:space="preserve">b.   </w:t>
      </w:r>
      <w:r>
        <w:rPr>
          <w:i/>
        </w:rPr>
        <w:t>The standard allows any length string for the name attribute.</w:t>
      </w:r>
    </w:p>
    <w:p w:rsidR="005F78FC" w:rsidRDefault="00B42EF3">
      <w:pPr>
        <w:pStyle w:val="Definition-Field2"/>
      </w:pPr>
      <w:r>
        <w:t>Word only allows strings of length at most 40 for the name a</w:t>
      </w:r>
      <w:r>
        <w:t>ttribute. For additional restrictions on bookmark name attributes, refer to the Word Binary File Format (.doc) Structure Specification (</w:t>
      </w:r>
      <w:hyperlink r:id="rId99" w:anchor="Section_ccd7b4867881484ca13751170af7cc22">
        <w:r>
          <w:rPr>
            <w:rStyle w:val="Hyperlink"/>
          </w:rPr>
          <w:t>[MS-DOC]</w:t>
        </w:r>
      </w:hyperlink>
      <w:r>
        <w:t xml:space="preserve"> section 2.9.279 “SttbfBkmk”).</w:t>
      </w:r>
    </w:p>
    <w:p w:rsidR="005F78FC" w:rsidRDefault="00B42EF3">
      <w:pPr>
        <w:pStyle w:val="Definition-Field"/>
      </w:pPr>
      <w:r>
        <w:t xml:space="preserve">c. </w:t>
      </w:r>
      <w:r>
        <w:t xml:space="preserve">  </w:t>
      </w:r>
      <w:r>
        <w:rPr>
          <w:i/>
        </w:rPr>
        <w:t>The standard says that if multiple bookmarks have the same name, the first bookmark shall be maintained, and all subsequent bookmarks should be ignored.</w:t>
      </w:r>
    </w:p>
    <w:p w:rsidR="005F78FC" w:rsidRDefault="00B42EF3">
      <w:pPr>
        <w:pStyle w:val="Definition-Field2"/>
      </w:pPr>
      <w:r>
        <w:t>In Word, if multiple bookmarks have the same name, the last bookmark is maintained and all others are</w:t>
      </w:r>
      <w:r>
        <w:t xml:space="preserve"> ignored.</w:t>
      </w:r>
    </w:p>
    <w:p w:rsidR="005F78FC" w:rsidRDefault="00B42EF3">
      <w:pPr>
        <w:pStyle w:val="Definition-Field"/>
      </w:pPr>
      <w:r>
        <w:t xml:space="preserve">d.   </w:t>
      </w:r>
      <w:r>
        <w:rPr>
          <w:i/>
        </w:rPr>
        <w:t>The standard says that if colFirst or colLast is greater than the number of columns in the table, then colFirst and colLast should be ignored.</w:t>
      </w:r>
    </w:p>
    <w:p w:rsidR="005F78FC" w:rsidRDefault="00B42EF3">
      <w:pPr>
        <w:pStyle w:val="Definition-Field2"/>
      </w:pPr>
      <w:r>
        <w:t>In Word, if colLast is greater than the number of columns in the table, the bookmark will extend f</w:t>
      </w:r>
      <w:r>
        <w:t>rom the column specified by colFirst past the end of the table row.</w:t>
      </w:r>
    </w:p>
    <w:p w:rsidR="005F78FC" w:rsidRDefault="00B42EF3">
      <w:pPr>
        <w:pStyle w:val="Definition-Field"/>
      </w:pPr>
      <w:r>
        <w:lastRenderedPageBreak/>
        <w:t xml:space="preserve">e.   </w:t>
      </w:r>
      <w:r>
        <w:rPr>
          <w:i/>
        </w:rPr>
        <w:t>The standard says that if colFirst or colLast is greater than the number of columns in the table, then colFirst and colLast should be ignored.</w:t>
      </w:r>
    </w:p>
    <w:p w:rsidR="005F78FC" w:rsidRDefault="00B42EF3">
      <w:pPr>
        <w:pStyle w:val="Definition-Field2"/>
      </w:pPr>
      <w:r>
        <w:t>In Word, if colFirst and colLast are gre</w:t>
      </w:r>
      <w:r>
        <w:t>ater than the number of columns in the table, the bookmark appears past the end of the table row.</w:t>
      </w:r>
    </w:p>
    <w:p w:rsidR="005F78FC" w:rsidRDefault="00B42EF3">
      <w:pPr>
        <w:pStyle w:val="Heading3"/>
      </w:pPr>
      <w:bookmarkStart w:id="734" w:name="section_d3f13602f1564b7f928a9afd1eccafd5"/>
      <w:bookmarkStart w:id="735" w:name="_Toc69878140"/>
      <w:r>
        <w:t>Part 1 Section 17.13.7.1, permEnd (Range Permission End)</w:t>
      </w:r>
      <w:bookmarkEnd w:id="734"/>
      <w:bookmarkEnd w:id="735"/>
      <w:r>
        <w:fldChar w:fldCharType="begin"/>
      </w:r>
      <w:r>
        <w:instrText xml:space="preserve"> XE "permEnd (Range Permission End)" </w:instrText>
      </w:r>
      <w:r>
        <w:fldChar w:fldCharType="end"/>
      </w:r>
    </w:p>
    <w:p w:rsidR="005F78FC" w:rsidRDefault="00B42EF3">
      <w:pPr>
        <w:pStyle w:val="Definition-Field"/>
      </w:pPr>
      <w:r>
        <w:t xml:space="preserve">a.   </w:t>
      </w:r>
      <w:r>
        <w:rPr>
          <w:i/>
        </w:rPr>
        <w:t>The standard allows any string for the id attribute.</w:t>
      </w:r>
    </w:p>
    <w:p w:rsidR="005F78FC" w:rsidRDefault="00B42EF3">
      <w:pPr>
        <w:pStyle w:val="Definition-Field2"/>
      </w:pPr>
      <w:r>
        <w:t>Word</w:t>
      </w:r>
      <w:r>
        <w:t xml:space="preserve"> only allows 32-bit integers for the id attribute.</w:t>
      </w:r>
    </w:p>
    <w:p w:rsidR="005F78FC" w:rsidRDefault="00B42EF3">
      <w:pPr>
        <w:pStyle w:val="Definition-Field"/>
      </w:pPr>
      <w:r>
        <w:t xml:space="preserve">b.   </w:t>
      </w:r>
      <w:r>
        <w:rPr>
          <w:i/>
        </w:rPr>
        <w:t>The standard allows an unbounded number of range permissions.</w:t>
      </w:r>
    </w:p>
    <w:p w:rsidR="005F78FC" w:rsidRDefault="00B42EF3">
      <w:pPr>
        <w:pStyle w:val="Definition-Field2"/>
      </w:pPr>
      <w:r>
        <w:t>Word will not open a file with too many range permissions (32752 if the uiCompat97to2003 element is present, 2147483647 otherwise).</w:t>
      </w:r>
    </w:p>
    <w:p w:rsidR="005F78FC" w:rsidRDefault="00B42EF3">
      <w:pPr>
        <w:pStyle w:val="Heading3"/>
      </w:pPr>
      <w:bookmarkStart w:id="736" w:name="section_25f91d1968a2419086112d804a821d10"/>
      <w:bookmarkStart w:id="737" w:name="_Toc69878141"/>
      <w:r>
        <w:t>Part 1</w:t>
      </w:r>
      <w:r>
        <w:t xml:space="preserve"> Section 17.13.7.2, permStart (Range Permission Start)</w:t>
      </w:r>
      <w:bookmarkEnd w:id="736"/>
      <w:bookmarkEnd w:id="737"/>
      <w:r>
        <w:fldChar w:fldCharType="begin"/>
      </w:r>
      <w:r>
        <w:instrText xml:space="preserve"> XE "permStart (Range Permission Start)"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d3f13602f1564b7f928a9afd1eccafd5">
        <w:r>
          <w:rPr>
            <w:rStyle w:val="Hyperlink"/>
          </w:rPr>
          <w:t>permE</w:t>
        </w:r>
        <w:r>
          <w:rPr>
            <w:rStyle w:val="Hyperlink"/>
          </w:rPr>
          <w:t>nd, §17.13.7.1(a)</w:t>
        </w:r>
      </w:hyperlink>
      <w:r>
        <w:rPr>
          <w:i/>
        </w:rPr>
        <w:t>.</w:t>
      </w:r>
    </w:p>
    <w:p w:rsidR="005F78FC" w:rsidRDefault="00B42EF3">
      <w:pPr>
        <w:pStyle w:val="Definition-Field"/>
      </w:pPr>
      <w:r>
        <w:t xml:space="preserve">a.   </w:t>
      </w:r>
      <w:r>
        <w:rPr>
          <w:i/>
        </w:rPr>
        <w:t>The standard says that if colFirst or colLast is greater than the number of columns in table, both attributes should be ignored.</w:t>
      </w:r>
    </w:p>
    <w:p w:rsidR="005F78FC" w:rsidRDefault="00B42EF3">
      <w:pPr>
        <w:pStyle w:val="Definition-Field2"/>
      </w:pPr>
      <w:r>
        <w:t>Word does not ignore the attributes and instead behaves unpredictably.</w:t>
      </w:r>
    </w:p>
    <w:p w:rsidR="005F78FC" w:rsidRDefault="00B42EF3">
      <w:pPr>
        <w:pStyle w:val="Definition-Field"/>
      </w:pPr>
      <w:r>
        <w:t xml:space="preserve">b.   </w:t>
      </w:r>
      <w:r>
        <w:rPr>
          <w:i/>
        </w:rPr>
        <w:t>The standard does not speci</w:t>
      </w:r>
      <w:r>
        <w:rPr>
          <w:i/>
        </w:rPr>
        <w:t>fy behavior when both the ed and edGrp attributes are present.</w:t>
      </w:r>
    </w:p>
    <w:p w:rsidR="005F78FC" w:rsidRDefault="00B42EF3">
      <w:pPr>
        <w:pStyle w:val="Definition-Field2"/>
      </w:pPr>
      <w:r>
        <w:t>In Word, if the ed attribute is present, the edGrp attribute will be ignored.</w:t>
      </w:r>
    </w:p>
    <w:p w:rsidR="005F78FC" w:rsidRDefault="00B42EF3">
      <w:pPr>
        <w:pStyle w:val="Definition-Field"/>
      </w:pPr>
      <w:r>
        <w:t xml:space="preserve">c.   </w:t>
      </w:r>
      <w:r>
        <w:rPr>
          <w:i/>
        </w:rPr>
        <w:t>The standard states that the value of the 'id' attribute can be any string.</w:t>
      </w:r>
    </w:p>
    <w:p w:rsidR="005F78FC" w:rsidRDefault="00B42EF3">
      <w:pPr>
        <w:pStyle w:val="Definition-Field2"/>
      </w:pPr>
      <w:r>
        <w:t>Word allows only 32-bit integers f</w:t>
      </w:r>
      <w:r>
        <w:t>or the id attribute.</w:t>
      </w:r>
    </w:p>
    <w:p w:rsidR="005F78FC" w:rsidRDefault="00B42EF3">
      <w:pPr>
        <w:pStyle w:val="Definition-Field"/>
      </w:pPr>
      <w:r>
        <w:t xml:space="preserve">d.   </w:t>
      </w:r>
      <w:r>
        <w:rPr>
          <w:i/>
        </w:rPr>
        <w:t>The standard allows an unbounded number of range permissions.</w:t>
      </w:r>
    </w:p>
    <w:p w:rsidR="005F78FC" w:rsidRDefault="00B42EF3">
      <w:pPr>
        <w:pStyle w:val="Definition-Field2"/>
      </w:pPr>
      <w:r>
        <w:t>Word will not open a file with too many range permissions (32752 if the uiCompat97to2003 element is present, 2147483647 otherwise).</w:t>
      </w:r>
    </w:p>
    <w:p w:rsidR="005F78FC" w:rsidRDefault="00B42EF3">
      <w:pPr>
        <w:pStyle w:val="Heading3"/>
      </w:pPr>
      <w:bookmarkStart w:id="738" w:name="section_70b993e7519d4c62a55257ff1f7cceac"/>
      <w:bookmarkStart w:id="739" w:name="_Toc69878142"/>
      <w:r>
        <w:t>Part 1 Section 17.14, Mail Merge</w:t>
      </w:r>
      <w:bookmarkEnd w:id="738"/>
      <w:bookmarkEnd w:id="739"/>
      <w:r>
        <w:fldChar w:fldCharType="begin"/>
      </w:r>
      <w:r>
        <w:instrText xml:space="preserve"> XE </w:instrText>
      </w:r>
      <w:r>
        <w:instrText xml:space="preserve">"Mail Merge" </w:instrText>
      </w:r>
      <w:r>
        <w:fldChar w:fldCharType="end"/>
      </w:r>
    </w:p>
    <w:p w:rsidR="005F78FC" w:rsidRDefault="00B42EF3">
      <w:pPr>
        <w:pStyle w:val="Definition-Field"/>
      </w:pPr>
      <w:r>
        <w:t xml:space="preserve">a.   </w:t>
      </w:r>
      <w:r>
        <w:rPr>
          <w:i/>
        </w:rPr>
        <w:t>The standard says that the odso element in settings.xml contains information about whether to include or exclude records.</w:t>
      </w:r>
    </w:p>
    <w:p w:rsidR="005F78FC" w:rsidRDefault="00B42EF3">
      <w:pPr>
        <w:pStyle w:val="Definition-Field2"/>
      </w:pPr>
      <w:r>
        <w:t>In Word, information about whether to include or exclude records is stored in recipientData.xml.</w:t>
      </w:r>
    </w:p>
    <w:p w:rsidR="005F78FC" w:rsidRDefault="00B42EF3">
      <w:pPr>
        <w:pStyle w:val="Definition-Field"/>
      </w:pPr>
      <w:r>
        <w:t xml:space="preserve">b.   </w:t>
      </w:r>
      <w:r>
        <w:rPr>
          <w:i/>
        </w:rPr>
        <w:t xml:space="preserve">The </w:t>
      </w:r>
      <w:r>
        <w:rPr>
          <w:i/>
        </w:rPr>
        <w:t>standard says the odso element contains information about how to map data source columns to MERGEFIELD fields.</w:t>
      </w:r>
    </w:p>
    <w:p w:rsidR="005F78FC" w:rsidRDefault="00B42EF3">
      <w:pPr>
        <w:pStyle w:val="Definition-Field2"/>
      </w:pPr>
      <w:r>
        <w:t>In Word, the odso element contains information about how to map data source columns to a set of predefined mail merge fields.</w:t>
      </w:r>
    </w:p>
    <w:p w:rsidR="005F78FC" w:rsidRDefault="00B42EF3">
      <w:pPr>
        <w:pStyle w:val="Heading3"/>
      </w:pPr>
      <w:bookmarkStart w:id="740" w:name="section_501412c497b647ea897fa4ba36e50324"/>
      <w:bookmarkStart w:id="741" w:name="_Toc69878143"/>
      <w:r>
        <w:t>Part 1 Section 17.1</w:t>
      </w:r>
      <w:r>
        <w:t>4.2, activeRecord (Record Currently Displayed In Merged Document)</w:t>
      </w:r>
      <w:bookmarkEnd w:id="740"/>
      <w:bookmarkEnd w:id="741"/>
      <w:r>
        <w:fldChar w:fldCharType="begin"/>
      </w:r>
      <w:r>
        <w:instrText xml:space="preserve"> XE "activeRecord (Record Currently Displayed In Merged Document)" </w:instrText>
      </w:r>
      <w:r>
        <w:fldChar w:fldCharType="end"/>
      </w:r>
    </w:p>
    <w:p w:rsidR="005F78FC" w:rsidRDefault="00B42EF3">
      <w:pPr>
        <w:pStyle w:val="Definition-Field"/>
      </w:pPr>
      <w:r>
        <w:t xml:space="preserve">a.   </w:t>
      </w:r>
      <w:r>
        <w:rPr>
          <w:i/>
        </w:rPr>
        <w:t>The standard says that if the val attribute is greater than the number of records in the specified external data sou</w:t>
      </w:r>
      <w:r>
        <w:rPr>
          <w:i/>
        </w:rPr>
        <w:t>rce, the val attribute is treated as if it were 1.</w:t>
      </w:r>
    </w:p>
    <w:p w:rsidR="005F78FC" w:rsidRDefault="00B42EF3">
      <w:pPr>
        <w:pStyle w:val="Definition-Field2"/>
      </w:pPr>
      <w:r>
        <w:lastRenderedPageBreak/>
        <w:t>If the val attribute greater than the number of records in the specified external data source, Word fails to open the file.</w:t>
      </w:r>
    </w:p>
    <w:p w:rsidR="005F78FC" w:rsidRDefault="00B42EF3">
      <w:pPr>
        <w:pStyle w:val="Definition-Field"/>
      </w:pPr>
      <w:r>
        <w:t xml:space="preserve">b.   </w:t>
      </w:r>
      <w:r>
        <w:rPr>
          <w:i/>
        </w:rPr>
        <w:t>The standard says that data is populated in merge fields based on mappings d</w:t>
      </w:r>
      <w:r>
        <w:rPr>
          <w:i/>
        </w:rPr>
        <w:t>efined by the fieldMapData elements.</w:t>
      </w:r>
    </w:p>
    <w:p w:rsidR="005F78FC" w:rsidRDefault="00B42EF3">
      <w:pPr>
        <w:pStyle w:val="Definition-Field2"/>
      </w:pPr>
      <w:r>
        <w:t>In Word, merge fields directly reference data columns in the data source, not fieldMapData mappings.</w:t>
      </w:r>
    </w:p>
    <w:p w:rsidR="005F78FC" w:rsidRDefault="00B42EF3">
      <w:pPr>
        <w:pStyle w:val="Heading3"/>
      </w:pPr>
      <w:bookmarkStart w:id="742" w:name="section_82e2e7bd829d475881e6caf57fea72d4"/>
      <w:bookmarkStart w:id="743" w:name="_Toc69878144"/>
      <w:r>
        <w:t>Part 1 Section 17.14.4, checkErrors (Mail Merge Error Reporting Setting)</w:t>
      </w:r>
      <w:bookmarkEnd w:id="742"/>
      <w:bookmarkEnd w:id="743"/>
      <w:r>
        <w:fldChar w:fldCharType="begin"/>
      </w:r>
      <w:r>
        <w:instrText xml:space="preserve"> XE "checkErrors (Mail Merge Error Reporting S</w:instrText>
      </w:r>
      <w:r>
        <w:instrText xml:space="preserve">etting)" </w:instrText>
      </w:r>
      <w:r>
        <w:fldChar w:fldCharType="end"/>
      </w:r>
    </w:p>
    <w:p w:rsidR="005F78FC" w:rsidRDefault="00B42EF3">
      <w:pPr>
        <w:pStyle w:val="Definition-Field"/>
      </w:pPr>
      <w:r>
        <w:t xml:space="preserve">a.   </w:t>
      </w:r>
      <w:r>
        <w:rPr>
          <w:i/>
        </w:rPr>
        <w:t>The standard says that apps can define their own behaviors for values other than 1, 2, and 3.</w:t>
      </w:r>
    </w:p>
    <w:p w:rsidR="005F78FC" w:rsidRDefault="00B42EF3">
      <w:pPr>
        <w:pStyle w:val="Definition-Field2"/>
      </w:pPr>
      <w:r>
        <w:t>Word fails to roundtrip any value other than 1, 2, and 3.</w:t>
      </w:r>
    </w:p>
    <w:p w:rsidR="005F78FC" w:rsidRDefault="00B42EF3">
      <w:pPr>
        <w:pStyle w:val="Heading3"/>
      </w:pPr>
      <w:bookmarkStart w:id="744" w:name="section_b1596bd84ac9480e816125dc616c61d7"/>
      <w:bookmarkStart w:id="745" w:name="_Toc69878145"/>
      <w:r>
        <w:t>Part 1 Section 17.14.5, colDelim (Column Delimiter for Data Source)</w:t>
      </w:r>
      <w:bookmarkEnd w:id="744"/>
      <w:bookmarkEnd w:id="745"/>
      <w:r>
        <w:fldChar w:fldCharType="begin"/>
      </w:r>
      <w:r>
        <w:instrText xml:space="preserve"> XE "colDelim (Colum</w:instrText>
      </w:r>
      <w:r>
        <w:instrText xml:space="preserve">n Delimiter for Data Source)" </w:instrText>
      </w:r>
      <w:r>
        <w:fldChar w:fldCharType="end"/>
      </w:r>
    </w:p>
    <w:p w:rsidR="005F78FC" w:rsidRDefault="00B42EF3">
      <w:pPr>
        <w:pStyle w:val="Definition-Field"/>
      </w:pPr>
      <w:r>
        <w:t xml:space="preserve">a.   </w:t>
      </w:r>
      <w:r>
        <w:rPr>
          <w:i/>
        </w:rPr>
        <w:t>The standard states that the values of the val attribute are defined by the XML Schema integer datatype.</w:t>
      </w:r>
    </w:p>
    <w:p w:rsidR="005F78FC" w:rsidRDefault="00B42EF3">
      <w:pPr>
        <w:pStyle w:val="Definition-Field2"/>
      </w:pPr>
      <w:r>
        <w:t>Word defines the values of this attribute with the XML Schema unsignedInt datatype.</w:t>
      </w:r>
    </w:p>
    <w:p w:rsidR="005F78FC" w:rsidRDefault="00B42EF3">
      <w:pPr>
        <w:pStyle w:val="Heading3"/>
      </w:pPr>
      <w:bookmarkStart w:id="746" w:name="section_d9083bc9de704df5bd4cf32c81e3118d"/>
      <w:bookmarkStart w:id="747" w:name="_Toc69878146"/>
      <w:r>
        <w:t>Part 1 Section 17.14.6, column (Index of Column Being Mapped)</w:t>
      </w:r>
      <w:bookmarkEnd w:id="746"/>
      <w:bookmarkEnd w:id="747"/>
      <w:r>
        <w:fldChar w:fldCharType="begin"/>
      </w:r>
      <w:r>
        <w:instrText xml:space="preserve"> XE "column (Index of Column Being Mapped)" </w:instrText>
      </w:r>
      <w:r>
        <w:fldChar w:fldCharType="end"/>
      </w:r>
    </w:p>
    <w:p w:rsidR="005F78FC" w:rsidRDefault="00B42EF3">
      <w:pPr>
        <w:pStyle w:val="Definition-Field"/>
      </w:pPr>
      <w:r>
        <w:t xml:space="preserve">a.   </w:t>
      </w:r>
      <w:r>
        <w:rPr>
          <w:i/>
        </w:rPr>
        <w:t>The standard states that the values of the val attribute are defined by the XML Schema integer datatype.</w:t>
      </w:r>
    </w:p>
    <w:p w:rsidR="005F78FC" w:rsidRDefault="00B42EF3">
      <w:pPr>
        <w:pStyle w:val="Definition-Field2"/>
      </w:pPr>
      <w:r>
        <w:t>Word defines the values of this attrib</w:t>
      </w:r>
      <w:r>
        <w:t>ute with the XML Schema unsignedInt datatype.</w:t>
      </w:r>
    </w:p>
    <w:p w:rsidR="005F78FC" w:rsidRDefault="00B42EF3">
      <w:pPr>
        <w:pStyle w:val="Heading3"/>
      </w:pPr>
      <w:bookmarkStart w:id="748" w:name="section_10f201d6b7ae4a629a4e7a0397026467"/>
      <w:bookmarkStart w:id="749" w:name="_Toc69878147"/>
      <w:r>
        <w:t>Part 1 Section 17.14.7, column (Index of Column Containing Unique Values for Record)</w:t>
      </w:r>
      <w:bookmarkEnd w:id="748"/>
      <w:bookmarkEnd w:id="749"/>
      <w:r>
        <w:fldChar w:fldCharType="begin"/>
      </w:r>
      <w:r>
        <w:instrText xml:space="preserve"> XE "column (Index of Column Containing Unique Values for Record)" </w:instrText>
      </w:r>
      <w:r>
        <w:fldChar w:fldCharType="end"/>
      </w:r>
    </w:p>
    <w:p w:rsidR="005F78FC" w:rsidRDefault="00B42EF3">
      <w:pPr>
        <w:pStyle w:val="Definition-Field"/>
      </w:pPr>
      <w:r>
        <w:t xml:space="preserve">a.   </w:t>
      </w:r>
      <w:r>
        <w:rPr>
          <w:i/>
        </w:rPr>
        <w:t>The standard states that the values of the val attr</w:t>
      </w:r>
      <w:r>
        <w:rPr>
          <w:i/>
        </w:rPr>
        <w:t>ibute are defined by the XML Schema integer datatype.</w:t>
      </w:r>
    </w:p>
    <w:p w:rsidR="005F78FC" w:rsidRDefault="00B42EF3">
      <w:pPr>
        <w:pStyle w:val="Definition-Field2"/>
      </w:pPr>
      <w:r>
        <w:t>Word defines the values of this attribute with the XML Schema unsignedInt datatype.</w:t>
      </w:r>
    </w:p>
    <w:p w:rsidR="005F78FC" w:rsidRDefault="00B42EF3">
      <w:pPr>
        <w:pStyle w:val="Heading3"/>
      </w:pPr>
      <w:bookmarkStart w:id="750" w:name="section_39eec3e0a78f44529f4046407e0247de"/>
      <w:bookmarkStart w:id="751" w:name="_Toc69878148"/>
      <w:r>
        <w:t>Part 1 Section 17.14.9, dataSource (Data Source File Path)</w:t>
      </w:r>
      <w:bookmarkEnd w:id="750"/>
      <w:bookmarkEnd w:id="751"/>
      <w:r>
        <w:fldChar w:fldCharType="begin"/>
      </w:r>
      <w:r>
        <w:instrText xml:space="preserve"> XE "dataSource (Data Source File Path)" </w:instrText>
      </w:r>
      <w:r>
        <w:fldChar w:fldCharType="end"/>
      </w:r>
    </w:p>
    <w:p w:rsidR="005F78FC" w:rsidRDefault="00B42EF3">
      <w:pPr>
        <w:pStyle w:val="Definition-Field2"/>
      </w:pPr>
      <w:r>
        <w:rPr>
          <w:i/>
        </w:rPr>
        <w:t>For additional n</w:t>
      </w:r>
      <w:r>
        <w:rPr>
          <w:i/>
        </w:rPr>
        <w:t xml:space="preserve">otes that apply to this portion of the standard, please see the notes for </w:t>
      </w:r>
      <w:hyperlink w:anchor="Section_55e01b00ed934498b4e5b0bc0abdf97d">
        <w:r>
          <w:rPr>
            <w:rStyle w:val="Hyperlink"/>
          </w:rPr>
          <w:t>attachedTemplate, §17.15.1.6(a)</w:t>
        </w:r>
      </w:hyperlink>
      <w:r>
        <w:rPr>
          <w:i/>
        </w:rPr>
        <w:t>.</w:t>
      </w:r>
    </w:p>
    <w:p w:rsidR="005F78FC" w:rsidRDefault="00B42EF3">
      <w:pPr>
        <w:pStyle w:val="Heading3"/>
      </w:pPr>
      <w:bookmarkStart w:id="752" w:name="section_e66cb7aa8ce74144a087a6cbae1d32e0"/>
      <w:bookmarkStart w:id="753" w:name="_Toc69878149"/>
      <w:r>
        <w:t>Part 1 Section 17.14.12, doNotSuppressBlankLines (Remove Blank Lines from Merged Docum</w:t>
      </w:r>
      <w:r>
        <w:t>ents)</w:t>
      </w:r>
      <w:bookmarkEnd w:id="752"/>
      <w:bookmarkEnd w:id="753"/>
      <w:r>
        <w:fldChar w:fldCharType="begin"/>
      </w:r>
      <w:r>
        <w:instrText xml:space="preserve"> XE "doNotSuppressBlankLines (Remove Blank Lines from Merged Documents)" </w:instrText>
      </w:r>
      <w:r>
        <w:fldChar w:fldCharType="end"/>
      </w:r>
    </w:p>
    <w:p w:rsidR="005F78FC" w:rsidRDefault="00B42EF3">
      <w:pPr>
        <w:pStyle w:val="Definition-Field"/>
      </w:pPr>
      <w:r>
        <w:t xml:space="preserve">a.   </w:t>
      </w:r>
      <w:r>
        <w:rPr>
          <w:i/>
        </w:rPr>
        <w:t>The standard specifies that when this element is present, the merged documents which are generated from the mail merge shall not have any blank lines removed.</w:t>
      </w:r>
    </w:p>
    <w:p w:rsidR="005F78FC" w:rsidRDefault="00B42EF3">
      <w:pPr>
        <w:pStyle w:val="Definition-Field2"/>
      </w:pPr>
      <w:r>
        <w:t>If this ele</w:t>
      </w:r>
      <w:r>
        <w:t>ment is present with a val attribute value of false, Word will stop trying to connect to the external data source.</w:t>
      </w:r>
    </w:p>
    <w:p w:rsidR="005F78FC" w:rsidRDefault="00B42EF3">
      <w:pPr>
        <w:pStyle w:val="Heading3"/>
      </w:pPr>
      <w:bookmarkStart w:id="754" w:name="section_02dec7e2a50549b3aa72334570ecbf26"/>
      <w:bookmarkStart w:id="755" w:name="_Toc69878150"/>
      <w:r>
        <w:t>Part 1 Section 17.14.13, dynamicAddress (Use Country-Based Address Field Ordering)</w:t>
      </w:r>
      <w:bookmarkEnd w:id="754"/>
      <w:bookmarkEnd w:id="755"/>
      <w:r>
        <w:fldChar w:fldCharType="begin"/>
      </w:r>
      <w:r>
        <w:instrText xml:space="preserve"> XE "dynamicAddress (Use Country-Based Address Field Orderi</w:instrText>
      </w:r>
      <w:r>
        <w:instrText xml:space="preserve">ng)" </w:instrText>
      </w:r>
      <w:r>
        <w:fldChar w:fldCharType="end"/>
      </w:r>
    </w:p>
    <w:p w:rsidR="005F78FC" w:rsidRDefault="00B42EF3">
      <w:pPr>
        <w:pStyle w:val="Definition-Field"/>
      </w:pPr>
      <w:r>
        <w:t xml:space="preserve">a.   </w:t>
      </w:r>
      <w:r>
        <w:rPr>
          <w:i/>
        </w:rPr>
        <w:t>The standard says the default value of dynamicAddress is on.</w:t>
      </w:r>
    </w:p>
    <w:p w:rsidR="005F78FC" w:rsidRDefault="00B42EF3">
      <w:pPr>
        <w:pStyle w:val="Definition-Field2"/>
      </w:pPr>
      <w:r>
        <w:lastRenderedPageBreak/>
        <w:t>In Word, the default value of dynamicAddress is off.</w:t>
      </w:r>
    </w:p>
    <w:p w:rsidR="005F78FC" w:rsidRDefault="00B42EF3">
      <w:pPr>
        <w:pStyle w:val="Heading3"/>
      </w:pPr>
      <w:bookmarkStart w:id="756" w:name="section_bdee1e1f1cb94cd7a7e2e4339f0b8cd2"/>
      <w:bookmarkStart w:id="757" w:name="_Toc69878151"/>
      <w:r>
        <w:t>Part 1 Section 17.14.14, fHdr (First Row of Data Source Contains Column Names)</w:t>
      </w:r>
      <w:bookmarkEnd w:id="756"/>
      <w:bookmarkEnd w:id="757"/>
      <w:r>
        <w:fldChar w:fldCharType="begin"/>
      </w:r>
      <w:r>
        <w:instrText xml:space="preserve"> XE "fHdr (First Row of Data Source Contains Column</w:instrText>
      </w:r>
      <w:r>
        <w:instrText xml:space="preserve"> Names)" </w:instrText>
      </w:r>
      <w:r>
        <w:fldChar w:fldCharType="end"/>
      </w:r>
    </w:p>
    <w:p w:rsidR="005F78FC" w:rsidRDefault="00B42EF3">
      <w:pPr>
        <w:pStyle w:val="Definition-Field"/>
      </w:pPr>
      <w:r>
        <w:t xml:space="preserve">a.   </w:t>
      </w:r>
      <w:r>
        <w:rPr>
          <w:i/>
        </w:rPr>
        <w:t>The standard says this element specifies the first row of data in the specified external data source should be treated as a header row.</w:t>
      </w:r>
    </w:p>
    <w:p w:rsidR="005F78FC" w:rsidRDefault="00B42EF3">
      <w:pPr>
        <w:pStyle w:val="Definition-Field2"/>
      </w:pPr>
      <w:r>
        <w:t>Word ignores this element for all types of external data sources except Excel.</w:t>
      </w:r>
    </w:p>
    <w:p w:rsidR="005F78FC" w:rsidRDefault="00B42EF3">
      <w:pPr>
        <w:pStyle w:val="Heading3"/>
      </w:pPr>
      <w:bookmarkStart w:id="758" w:name="section_df0bbd4bc5e44836a65cf956185a0f8d"/>
      <w:bookmarkStart w:id="759" w:name="_Toc69878152"/>
      <w:r>
        <w:t>Part 1 Section 17.14.15,</w:t>
      </w:r>
      <w:r>
        <w:t xml:space="preserve"> fieldMapData (External Data Source to Merge Field Mapping)</w:t>
      </w:r>
      <w:bookmarkEnd w:id="758"/>
      <w:bookmarkEnd w:id="759"/>
      <w:r>
        <w:fldChar w:fldCharType="begin"/>
      </w:r>
      <w:r>
        <w:instrText xml:space="preserve"> XE "fieldMapData (External Data Source to Merge Field Mapping)" </w:instrText>
      </w:r>
      <w:r>
        <w:fldChar w:fldCharType="end"/>
      </w:r>
    </w:p>
    <w:p w:rsidR="005F78FC" w:rsidRDefault="00B42EF3">
      <w:pPr>
        <w:pStyle w:val="Definition-Field"/>
      </w:pPr>
      <w:r>
        <w:t xml:space="preserve">a.   </w:t>
      </w:r>
      <w:r>
        <w:rPr>
          <w:i/>
        </w:rPr>
        <w:t>The standard states that the fieldMapData element is used to map from mappedName to data source columns.</w:t>
      </w:r>
    </w:p>
    <w:p w:rsidR="005F78FC" w:rsidRDefault="00B42EF3">
      <w:r>
        <w:t>Word uses 30 pre-de</w:t>
      </w:r>
      <w:r>
        <w:t>fined mail merge fields as follows:</w:t>
      </w:r>
    </w:p>
    <w:p w:rsidR="005F78FC" w:rsidRDefault="00B42EF3">
      <w:r>
        <w:t xml:space="preserve">Unique                </w:t>
      </w:r>
    </w:p>
    <w:p w:rsidR="005F78FC" w:rsidRDefault="00B42EF3">
      <w:r>
        <w:t>CourtesyTitle       </w:t>
      </w:r>
    </w:p>
    <w:p w:rsidR="005F78FC" w:rsidRDefault="00B42EF3">
      <w:r>
        <w:t xml:space="preserve">FirstName             </w:t>
      </w:r>
    </w:p>
    <w:p w:rsidR="005F78FC" w:rsidRDefault="00B42EF3">
      <w:r>
        <w:t xml:space="preserve">MiddleName            </w:t>
      </w:r>
    </w:p>
    <w:p w:rsidR="005F78FC" w:rsidRDefault="00B42EF3">
      <w:r>
        <w:t xml:space="preserve">LastName              </w:t>
      </w:r>
    </w:p>
    <w:p w:rsidR="005F78FC" w:rsidRDefault="00B42EF3">
      <w:r>
        <w:t xml:space="preserve">Suffix                </w:t>
      </w:r>
    </w:p>
    <w:p w:rsidR="005F78FC" w:rsidRDefault="00B42EF3">
      <w:r>
        <w:t xml:space="preserve">Nickname              </w:t>
      </w:r>
    </w:p>
    <w:p w:rsidR="005F78FC" w:rsidRDefault="00B42EF3">
      <w:r>
        <w:t xml:space="preserve">JobTitle              </w:t>
      </w:r>
    </w:p>
    <w:p w:rsidR="005F78FC" w:rsidRDefault="00B42EF3">
      <w:r>
        <w:t xml:space="preserve">Company               </w:t>
      </w:r>
    </w:p>
    <w:p w:rsidR="005F78FC" w:rsidRDefault="00B42EF3">
      <w:r>
        <w:t xml:space="preserve">Address1              </w:t>
      </w:r>
    </w:p>
    <w:p w:rsidR="005F78FC" w:rsidRDefault="00B42EF3">
      <w:r>
        <w:t xml:space="preserve">Address2             </w:t>
      </w:r>
    </w:p>
    <w:p w:rsidR="005F78FC" w:rsidRDefault="00B42EF3">
      <w:r>
        <w:t xml:space="preserve">City                 </w:t>
      </w:r>
    </w:p>
    <w:p w:rsidR="005F78FC" w:rsidRDefault="00B42EF3">
      <w:r>
        <w:t xml:space="preserve">State                </w:t>
      </w:r>
    </w:p>
    <w:p w:rsidR="005F78FC" w:rsidRDefault="00B42EF3">
      <w:r>
        <w:t xml:space="preserve">PostalCode           </w:t>
      </w:r>
    </w:p>
    <w:p w:rsidR="005F78FC" w:rsidRDefault="00B42EF3">
      <w:r>
        <w:t>CountryorRegion      </w:t>
      </w:r>
    </w:p>
    <w:p w:rsidR="005F78FC" w:rsidRDefault="00B42EF3">
      <w:r>
        <w:t xml:space="preserve">BusinessPhone        </w:t>
      </w:r>
    </w:p>
    <w:p w:rsidR="005F78FC" w:rsidRDefault="00B42EF3">
      <w:r>
        <w:t xml:space="preserve">BusinessFax          </w:t>
      </w:r>
    </w:p>
    <w:p w:rsidR="005F78FC" w:rsidRDefault="00B42EF3">
      <w:r>
        <w:t xml:space="preserve">HomePhone            </w:t>
      </w:r>
    </w:p>
    <w:p w:rsidR="005F78FC" w:rsidRDefault="00B42EF3">
      <w:r>
        <w:t>HomeFax              </w:t>
      </w:r>
    </w:p>
    <w:p w:rsidR="005F78FC" w:rsidRDefault="00B42EF3">
      <w:r>
        <w:t xml:space="preserve">EmailAddress         </w:t>
      </w:r>
    </w:p>
    <w:p w:rsidR="005F78FC" w:rsidRDefault="00B42EF3">
      <w:r>
        <w:t>WebPage      </w:t>
      </w:r>
      <w:r>
        <w:t>        </w:t>
      </w:r>
    </w:p>
    <w:p w:rsidR="005F78FC" w:rsidRDefault="00B42EF3">
      <w:r>
        <w:t xml:space="preserve">SpouseCourtesyTitle  </w:t>
      </w:r>
    </w:p>
    <w:p w:rsidR="005F78FC" w:rsidRDefault="00B42EF3">
      <w:r>
        <w:lastRenderedPageBreak/>
        <w:t>SpouseFirstName      </w:t>
      </w:r>
    </w:p>
    <w:p w:rsidR="005F78FC" w:rsidRDefault="00B42EF3">
      <w:r>
        <w:t>SpouseMiddleName     </w:t>
      </w:r>
    </w:p>
    <w:p w:rsidR="005F78FC" w:rsidRDefault="00B42EF3">
      <w:r>
        <w:t>SpouseLastName       </w:t>
      </w:r>
    </w:p>
    <w:p w:rsidR="005F78FC" w:rsidRDefault="00B42EF3">
      <w:r>
        <w:t>SpouseNickname       </w:t>
      </w:r>
    </w:p>
    <w:p w:rsidR="005F78FC" w:rsidRDefault="00B42EF3">
      <w:r>
        <w:t xml:space="preserve">RubyFirstName        </w:t>
      </w:r>
    </w:p>
    <w:p w:rsidR="005F78FC" w:rsidRDefault="00B42EF3">
      <w:r>
        <w:t xml:space="preserve">RubyLastName         </w:t>
      </w:r>
    </w:p>
    <w:p w:rsidR="005F78FC" w:rsidRDefault="00B42EF3">
      <w:r>
        <w:t>Address3             </w:t>
      </w:r>
    </w:p>
    <w:p w:rsidR="005F78FC" w:rsidRDefault="00B42EF3">
      <w:r>
        <w:t>Department  </w:t>
      </w:r>
    </w:p>
    <w:p w:rsidR="005F78FC" w:rsidRDefault="00B42EF3">
      <w:r>
        <w:t xml:space="preserve">Word ignores the </w:t>
      </w:r>
      <w:r>
        <w:rPr>
          <w:b/>
        </w:rPr>
        <w:t>mappedName</w:t>
      </w:r>
      <w:r>
        <w:t xml:space="preserve"> child element of a </w:t>
      </w:r>
      <w:r>
        <w:rPr>
          <w:b/>
        </w:rPr>
        <w:t>fieldMapDat</w:t>
      </w:r>
      <w:r>
        <w:rPr>
          <w:b/>
        </w:rPr>
        <w:t>a</w:t>
      </w:r>
      <w:r>
        <w:t xml:space="preserve"> element and maps the mail merge fields according to the order of the fieldMapData elements inside the </w:t>
      </w:r>
      <w:r>
        <w:rPr>
          <w:b/>
        </w:rPr>
        <w:t>odso</w:t>
      </w:r>
      <w:r>
        <w:t xml:space="preserve"> element. Specifically, the first </w:t>
      </w:r>
      <w:r>
        <w:rPr>
          <w:b/>
        </w:rPr>
        <w:t>fieldMapData</w:t>
      </w:r>
      <w:r>
        <w:t xml:space="preserve"> element inside the </w:t>
      </w:r>
      <w:r>
        <w:rPr>
          <w:b/>
        </w:rPr>
        <w:t>odso</w:t>
      </w:r>
      <w:r>
        <w:t xml:space="preserve"> element corresponds to the </w:t>
      </w:r>
      <w:r>
        <w:rPr>
          <w:i/>
        </w:rPr>
        <w:t>Unique</w:t>
      </w:r>
      <w:r>
        <w:t xml:space="preserve"> field, second </w:t>
      </w:r>
      <w:r>
        <w:rPr>
          <w:b/>
        </w:rPr>
        <w:t>fieldMapData</w:t>
      </w:r>
      <w:r>
        <w:t xml:space="preserve"> element correspo</w:t>
      </w:r>
      <w:r>
        <w:t xml:space="preserve">nds to </w:t>
      </w:r>
      <w:r>
        <w:rPr>
          <w:i/>
        </w:rPr>
        <w:t>CourtesyTitle</w:t>
      </w:r>
      <w:r>
        <w:t xml:space="preserve"> field, and so on.</w:t>
      </w:r>
    </w:p>
    <w:p w:rsidR="005F78FC" w:rsidRDefault="00B42EF3">
      <w:pPr>
        <w:pStyle w:val="Definition-Field"/>
      </w:pPr>
      <w:r>
        <w:t xml:space="preserve">b.   </w:t>
      </w:r>
      <w:r>
        <w:rPr>
          <w:i/>
        </w:rPr>
        <w:t>The standard says that this element maps MERGEFIELD fields to data source columns.</w:t>
      </w:r>
    </w:p>
    <w:p w:rsidR="005F78FC" w:rsidRDefault="00B42EF3">
      <w:pPr>
        <w:pStyle w:val="Definition-Field2"/>
      </w:pPr>
      <w:r>
        <w:t>In Word, this element maps predefined fields to data source columns.</w:t>
      </w:r>
    </w:p>
    <w:p w:rsidR="005F78FC" w:rsidRDefault="00B42EF3">
      <w:pPr>
        <w:pStyle w:val="Heading3"/>
      </w:pPr>
      <w:bookmarkStart w:id="760" w:name="section_6dce24e56a194a6798fbd2f301658523"/>
      <w:bookmarkStart w:id="761" w:name="_Toc69878153"/>
      <w:r>
        <w:t>Part 1 Section 17.14.16, headerSource (Header Definition Fil</w:t>
      </w:r>
      <w:r>
        <w:t>e Path)</w:t>
      </w:r>
      <w:bookmarkEnd w:id="760"/>
      <w:bookmarkEnd w:id="761"/>
      <w:r>
        <w:fldChar w:fldCharType="begin"/>
      </w:r>
      <w:r>
        <w:instrText xml:space="preserve"> XE "headerSource (Header Definition File Path)"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5F78FC" w:rsidRDefault="00B42EF3">
      <w:pPr>
        <w:pStyle w:val="Definition-Field"/>
      </w:pPr>
      <w:r>
        <w:t xml:space="preserve">a.   </w:t>
      </w:r>
      <w:r>
        <w:rPr>
          <w:i/>
        </w:rPr>
        <w:t xml:space="preserve">The </w:t>
      </w:r>
      <w:r>
        <w:rPr>
          <w:i/>
        </w:rPr>
        <w:t>standard specifies the headerSource element.</w:t>
      </w:r>
    </w:p>
    <w:p w:rsidR="005F78FC" w:rsidRDefault="00B42EF3">
      <w:pPr>
        <w:pStyle w:val="Definition-Field2"/>
      </w:pPr>
      <w:r>
        <w:t>Word fails to open WordprocessingML documents in which this element is present.</w:t>
      </w:r>
    </w:p>
    <w:p w:rsidR="005F78FC" w:rsidRDefault="00B42EF3">
      <w:pPr>
        <w:pStyle w:val="Heading3"/>
      </w:pPr>
      <w:bookmarkStart w:id="762" w:name="section_c73305a2b02643f9846307203a71f773"/>
      <w:bookmarkStart w:id="763" w:name="_Toc69878154"/>
      <w:r>
        <w:t>Part 1 Section 17.14.17, lid (Merge Field Name Language ID)</w:t>
      </w:r>
      <w:bookmarkEnd w:id="762"/>
      <w:bookmarkEnd w:id="763"/>
      <w:r>
        <w:fldChar w:fldCharType="begin"/>
      </w:r>
      <w:r>
        <w:instrText xml:space="preserve"> XE "lid (Merge Field Name Language ID)" </w:instrText>
      </w:r>
      <w:r>
        <w:fldChar w:fldCharType="end"/>
      </w:r>
    </w:p>
    <w:p w:rsidR="005F78FC" w:rsidRDefault="00B42EF3">
      <w:pPr>
        <w:pStyle w:val="Definition-Field"/>
      </w:pPr>
      <w:r>
        <w:t xml:space="preserve">a.   </w:t>
      </w:r>
      <w:r>
        <w:rPr>
          <w:i/>
        </w:rPr>
        <w:t xml:space="preserve">The standard says the </w:t>
      </w:r>
      <w:r>
        <w:rPr>
          <w:i/>
        </w:rPr>
        <w:t>val attribute specifies either an ISO 639-1 letter code or 4 digit hexadecimal code for a specific language.</w:t>
      </w:r>
    </w:p>
    <w:p w:rsidR="005F78FC" w:rsidRDefault="00B42EF3">
      <w:pPr>
        <w:pStyle w:val="Definition-Field2"/>
      </w:pPr>
      <w:r>
        <w:t>Word does not understand 4 digit hexadecimal codes for languages when stored in this attribute.</w:t>
      </w:r>
    </w:p>
    <w:p w:rsidR="005F78FC" w:rsidRDefault="00B42EF3">
      <w:pPr>
        <w:pStyle w:val="Heading3"/>
      </w:pPr>
      <w:bookmarkStart w:id="764" w:name="section_a0916d92e8be4cd398c08d58842a4b67"/>
      <w:bookmarkStart w:id="765" w:name="_Toc69878155"/>
      <w:r>
        <w:t>Part 1 Section 17.14.18, linkToQuery (Query Contain</w:t>
      </w:r>
      <w:r>
        <w:t>s Link to External Query File)</w:t>
      </w:r>
      <w:bookmarkEnd w:id="764"/>
      <w:bookmarkEnd w:id="765"/>
      <w:r>
        <w:fldChar w:fldCharType="begin"/>
      </w:r>
      <w:r>
        <w:instrText xml:space="preserve"> XE "linkToQuery (Query Contains Link to External Query File)" </w:instrText>
      </w:r>
      <w:r>
        <w:fldChar w:fldCharType="end"/>
      </w:r>
    </w:p>
    <w:p w:rsidR="005F78FC" w:rsidRDefault="00B42EF3">
      <w:pPr>
        <w:pStyle w:val="Definition-Field"/>
      </w:pPr>
      <w:r>
        <w:t xml:space="preserve">a.   </w:t>
      </w:r>
      <w:r>
        <w:rPr>
          <w:i/>
        </w:rPr>
        <w:t>The standard says this element specifies that the query string contains a reference to an external query file that contains the actual query data to be use</w:t>
      </w:r>
      <w:r>
        <w:rPr>
          <w:i/>
        </w:rPr>
        <w:t>d against the specified external data source for the mail merge.</w:t>
      </w:r>
    </w:p>
    <w:p w:rsidR="005F78FC" w:rsidRDefault="00B42EF3">
      <w:pPr>
        <w:pStyle w:val="Definition-Field2"/>
      </w:pPr>
      <w:r>
        <w:t>Word saves this element irrespective of whether the query string actually contains a reference to an external query file or not, and subsequently ignores the element.</w:t>
      </w:r>
    </w:p>
    <w:p w:rsidR="005F78FC" w:rsidRDefault="00B42EF3">
      <w:pPr>
        <w:pStyle w:val="Heading3"/>
      </w:pPr>
      <w:bookmarkStart w:id="766" w:name="section_86d70704e1464242bbbe719a8e663c4b"/>
      <w:bookmarkStart w:id="767" w:name="_Toc69878156"/>
      <w:r>
        <w:t>Part 1 Section 17.14.20,</w:t>
      </w:r>
      <w:r>
        <w:t xml:space="preserve"> mailMerge (Mail Merge Settings)</w:t>
      </w:r>
      <w:bookmarkEnd w:id="766"/>
      <w:bookmarkEnd w:id="767"/>
      <w:r>
        <w:fldChar w:fldCharType="begin"/>
      </w:r>
      <w:r>
        <w:instrText xml:space="preserve"> XE "mailMerge (Mail Merge Settings)" </w:instrText>
      </w:r>
      <w:r>
        <w:fldChar w:fldCharType="end"/>
      </w:r>
    </w:p>
    <w:p w:rsidR="005F78FC" w:rsidRDefault="00B42EF3">
      <w:pPr>
        <w:pStyle w:val="Definition-Field"/>
      </w:pPr>
      <w:r>
        <w:t xml:space="preserve">a.   </w:t>
      </w:r>
      <w:r>
        <w:rPr>
          <w:i/>
        </w:rPr>
        <w:t>The standard states that the minOccurs value for the mainDocumentType child element is 1.</w:t>
      </w:r>
    </w:p>
    <w:p w:rsidR="005F78FC" w:rsidRDefault="00B42EF3">
      <w:pPr>
        <w:pStyle w:val="Definition-Field2"/>
      </w:pPr>
      <w:r>
        <w:t>Word does not require an occurrence of this element.</w:t>
      </w:r>
    </w:p>
    <w:p w:rsidR="005F78FC" w:rsidRDefault="00B42EF3">
      <w:pPr>
        <w:pStyle w:val="Heading3"/>
      </w:pPr>
      <w:bookmarkStart w:id="768" w:name="section_65e8cdb15d92405ba16b6aab39f3f150"/>
      <w:bookmarkStart w:id="769" w:name="_Toc69878157"/>
      <w:r>
        <w:lastRenderedPageBreak/>
        <w:t>Part 1 Section 17.14.23, mappedName</w:t>
      </w:r>
      <w:r>
        <w:t xml:space="preserve"> (Predefined Merge Field Name)</w:t>
      </w:r>
      <w:bookmarkEnd w:id="768"/>
      <w:bookmarkEnd w:id="769"/>
      <w:r>
        <w:fldChar w:fldCharType="begin"/>
      </w:r>
      <w:r>
        <w:instrText xml:space="preserve"> XE "mappedName (Predefined Merge Field Name)" </w:instrText>
      </w:r>
      <w:r>
        <w:fldChar w:fldCharType="end"/>
      </w:r>
    </w:p>
    <w:p w:rsidR="005F78FC" w:rsidRDefault="00B42EF3">
      <w:pPr>
        <w:pStyle w:val="Definition-Field"/>
      </w:pPr>
      <w:r>
        <w:t xml:space="preserve">a.   </w:t>
      </w:r>
      <w:r>
        <w:rPr>
          <w:i/>
        </w:rPr>
        <w:t>The standard says that this element is used to map MERGEFIELD fields to data source columns.</w:t>
      </w:r>
    </w:p>
    <w:p w:rsidR="005F78FC" w:rsidRDefault="00B42EF3">
      <w:pPr>
        <w:pStyle w:val="Definition-Field2"/>
      </w:pPr>
      <w:r>
        <w:t>In Word, this element is used to map predefined mail merge fields to data sour</w:t>
      </w:r>
      <w:r>
        <w:t>ce columns.</w:t>
      </w:r>
    </w:p>
    <w:p w:rsidR="005F78FC" w:rsidRDefault="00B42EF3">
      <w:pPr>
        <w:pStyle w:val="Heading3"/>
      </w:pPr>
      <w:bookmarkStart w:id="770" w:name="section_51a7812ca4d047cba9ad3369db15bff2"/>
      <w:bookmarkStart w:id="771" w:name="_Toc69878158"/>
      <w:r>
        <w:t>Part 1 Section 17.14.24, name (Data Source Name for Column)</w:t>
      </w:r>
      <w:bookmarkEnd w:id="770"/>
      <w:bookmarkEnd w:id="771"/>
      <w:r>
        <w:fldChar w:fldCharType="begin"/>
      </w:r>
      <w:r>
        <w:instrText xml:space="preserve"> XE "name (Data Source Name for Column)" </w:instrText>
      </w:r>
      <w:r>
        <w:fldChar w:fldCharType="end"/>
      </w:r>
    </w:p>
    <w:p w:rsidR="005F78FC" w:rsidRDefault="00B42EF3">
      <w:pPr>
        <w:pStyle w:val="Definition-Field"/>
      </w:pPr>
      <w:r>
        <w:t xml:space="preserve">a.   </w:t>
      </w:r>
      <w:r>
        <w:rPr>
          <w:i/>
        </w:rPr>
        <w:t xml:space="preserve">The standard says this element is used to look up a column name that is used to determine which column to map from the data source, but </w:t>
      </w:r>
      <w:r>
        <w:rPr>
          <w:i/>
        </w:rPr>
        <w:t>it also specifies the same meaning for the column element.</w:t>
      </w:r>
    </w:p>
    <w:p w:rsidR="005F78FC" w:rsidRDefault="00B42EF3">
      <w:pPr>
        <w:pStyle w:val="Definition-Field2"/>
      </w:pPr>
      <w:r>
        <w:t>In Word, the name element caches the value of the name of this column in the data source at the time when the connection was established, but the column element is used to determine which column to</w:t>
      </w:r>
      <w:r>
        <w:t xml:space="preserve"> map from the data source.</w:t>
      </w:r>
    </w:p>
    <w:p w:rsidR="005F78FC" w:rsidRDefault="00B42EF3">
      <w:pPr>
        <w:pStyle w:val="Definition-Field"/>
      </w:pPr>
      <w:r>
        <w:t xml:space="preserve">b.   </w:t>
      </w:r>
      <w:r>
        <w:rPr>
          <w:i/>
        </w:rPr>
        <w:t>The standard says that if this element is omitted, no data source column name is provided for the current column.</w:t>
      </w:r>
    </w:p>
    <w:p w:rsidR="005F78FC" w:rsidRDefault="00B42EF3">
      <w:pPr>
        <w:pStyle w:val="Definition-Field2"/>
      </w:pPr>
      <w:r>
        <w:t>In Word, if this element is omitted, no data source column name is provided for the current column mapping.</w:t>
      </w:r>
    </w:p>
    <w:p w:rsidR="005F78FC" w:rsidRDefault="00B42EF3">
      <w:pPr>
        <w:pStyle w:val="Heading3"/>
      </w:pPr>
      <w:bookmarkStart w:id="772" w:name="section_9a5c99b84476437893dced42b0e4457a"/>
      <w:bookmarkStart w:id="773" w:name="_Toc69878159"/>
      <w:r>
        <w:t>Pa</w:t>
      </w:r>
      <w:r>
        <w:t>rt 1 Section 17.14.25, odso (Office Data Source Object Settings)</w:t>
      </w:r>
      <w:bookmarkEnd w:id="772"/>
      <w:bookmarkEnd w:id="773"/>
      <w:r>
        <w:fldChar w:fldCharType="begin"/>
      </w:r>
      <w:r>
        <w:instrText xml:space="preserve"> XE "odso (Office Data Source Object Settings)" </w:instrText>
      </w:r>
      <w:r>
        <w:fldChar w:fldCharType="end"/>
      </w:r>
    </w:p>
    <w:p w:rsidR="005F78FC" w:rsidRDefault="00B42EF3">
      <w:pPr>
        <w:pStyle w:val="Definition-Field"/>
      </w:pPr>
      <w:r>
        <w:t xml:space="preserve">a.   </w:t>
      </w:r>
      <w:r>
        <w:rPr>
          <w:i/>
        </w:rPr>
        <w:t>The standard states that the maxOccurs value for the recipientData child element is unbounded.</w:t>
      </w:r>
    </w:p>
    <w:p w:rsidR="005F78FC" w:rsidRDefault="00B42EF3">
      <w:pPr>
        <w:pStyle w:val="Definition-Field2"/>
      </w:pPr>
      <w:r>
        <w:t>Word limits the occurrences of this eleme</w:t>
      </w:r>
      <w:r>
        <w:t>nt to 1.</w:t>
      </w:r>
    </w:p>
    <w:p w:rsidR="005F78FC" w:rsidRDefault="00B42EF3">
      <w:pPr>
        <w:pStyle w:val="Definition-Field"/>
      </w:pPr>
      <w:r>
        <w:t xml:space="preserve">b.   </w:t>
      </w:r>
      <w:r>
        <w:rPr>
          <w:i/>
        </w:rPr>
        <w:t>The standard says that the odso element provides information about mapping to MERGEFIELD fields.</w:t>
      </w:r>
    </w:p>
    <w:p w:rsidR="005F78FC" w:rsidRDefault="00B42EF3">
      <w:pPr>
        <w:pStyle w:val="Definition-Field2"/>
      </w:pPr>
      <w:r>
        <w:t>In Word, the odso element provides information about mappings to built-in mail merge data fields, not MERGEFIELD fields.</w:t>
      </w:r>
    </w:p>
    <w:p w:rsidR="005F78FC" w:rsidRDefault="00B42EF3">
      <w:pPr>
        <w:pStyle w:val="Heading3"/>
      </w:pPr>
      <w:bookmarkStart w:id="774" w:name="section_a9c31b5313cd44a29b23ed04ed2aa79b"/>
      <w:bookmarkStart w:id="775" w:name="_Toc69878160"/>
      <w:r>
        <w:t>Part 1 Section 17.14.26,</w:t>
      </w:r>
      <w:r>
        <w:t xml:space="preserve"> query (Query For Data Source Records To Merge)</w:t>
      </w:r>
      <w:bookmarkEnd w:id="774"/>
      <w:bookmarkEnd w:id="775"/>
      <w:r>
        <w:fldChar w:fldCharType="begin"/>
      </w:r>
      <w:r>
        <w:instrText xml:space="preserve"> XE "query (Query For Data Source Records To Merge)" </w:instrText>
      </w:r>
      <w:r>
        <w:fldChar w:fldCharType="end"/>
      </w:r>
    </w:p>
    <w:p w:rsidR="005F78FC" w:rsidRDefault="00B42EF3">
      <w:pPr>
        <w:pStyle w:val="Definition-Field"/>
      </w:pPr>
      <w:r>
        <w:t xml:space="preserve">a.   </w:t>
      </w:r>
      <w:r>
        <w:rPr>
          <w:i/>
        </w:rPr>
        <w:t>The standard does not restrict the SQL statements that may be used.</w:t>
      </w:r>
    </w:p>
    <w:p w:rsidR="005F78FC" w:rsidRDefault="00B42EF3">
      <w:pPr>
        <w:pStyle w:val="Definition-Field2"/>
      </w:pPr>
      <w:r>
        <w:t>Word does not allow SQL statements that attempt to modify the data source.</w:t>
      </w:r>
    </w:p>
    <w:p w:rsidR="005F78FC" w:rsidRDefault="00B42EF3">
      <w:pPr>
        <w:pStyle w:val="Heading3"/>
      </w:pPr>
      <w:bookmarkStart w:id="776" w:name="section_b05d3137d2c64c6e9afaeb92d7ccf317"/>
      <w:bookmarkStart w:id="777" w:name="_Toc69878161"/>
      <w:r>
        <w:t xml:space="preserve">Part </w:t>
      </w:r>
      <w:r>
        <w:t>1 Section 17.14.28, recipientData (Reference to Inclusion/Exclusion Data for Data Source)</w:t>
      </w:r>
      <w:bookmarkEnd w:id="776"/>
      <w:bookmarkEnd w:id="777"/>
      <w:r>
        <w:fldChar w:fldCharType="begin"/>
      </w:r>
      <w:r>
        <w:instrText xml:space="preserve"> XE "recipientData (Reference to Inclusion/Exclusion Data for Data Source)" </w:instrText>
      </w:r>
      <w:r>
        <w:fldChar w:fldCharType="end"/>
      </w:r>
    </w:p>
    <w:p w:rsidR="005F78FC" w:rsidRDefault="00B42EF3">
      <w:pPr>
        <w:pStyle w:val="Definition-Field2"/>
      </w:pPr>
      <w:r>
        <w:rPr>
          <w:i/>
        </w:rPr>
        <w:t>For additional notes that apply to this portion of the standard, please see the notes fo</w:t>
      </w:r>
      <w:r>
        <w:rPr>
          <w:i/>
        </w:rPr>
        <w:t xml:space="preserve">r </w:t>
      </w:r>
      <w:hyperlink w:anchor="Section_55e01b00ed934498b4e5b0bc0abdf97d">
        <w:r>
          <w:rPr>
            <w:rStyle w:val="Hyperlink"/>
          </w:rPr>
          <w:t>attachedTemplate, §17.15.1.6(a)</w:t>
        </w:r>
      </w:hyperlink>
      <w:r>
        <w:rPr>
          <w:i/>
        </w:rPr>
        <w:t>.</w:t>
      </w:r>
    </w:p>
    <w:p w:rsidR="005F78FC" w:rsidRDefault="00B42EF3">
      <w:pPr>
        <w:pStyle w:val="Definition-Field"/>
      </w:pPr>
      <w:r>
        <w:t xml:space="preserve">a.   </w:t>
      </w:r>
      <w:r>
        <w:rPr>
          <w:i/>
        </w:rPr>
        <w:t>The standard requires relationships specified by this element to be of type http://schemas.openxmlformats.org/officeDocument/2006/mailMergeRecipientData.</w:t>
      </w:r>
    </w:p>
    <w:p w:rsidR="005F78FC" w:rsidRDefault="00B42EF3">
      <w:pPr>
        <w:pStyle w:val="Definition-Field2"/>
      </w:pPr>
      <w:r>
        <w:t>Word expects relationships specified by this element to be of type http://schemas.openxmlformats.org/officeDocument/2006/relationships/recipientData.</w:t>
      </w:r>
    </w:p>
    <w:p w:rsidR="005F78FC" w:rsidRDefault="00B42EF3">
      <w:pPr>
        <w:pStyle w:val="Heading3"/>
      </w:pPr>
      <w:bookmarkStart w:id="778" w:name="section_b024812a26b24c69b7f74a056ac257f0"/>
      <w:bookmarkStart w:id="779" w:name="_Toc69878162"/>
      <w:r>
        <w:t>Part 1 Section 17.14.30, src (ODSO Data Source File Path)</w:t>
      </w:r>
      <w:bookmarkEnd w:id="778"/>
      <w:bookmarkEnd w:id="779"/>
      <w:r>
        <w:fldChar w:fldCharType="begin"/>
      </w:r>
      <w:r>
        <w:instrText xml:space="preserve"> XE "src (ODSO Data Source File Path)" </w:instrText>
      </w:r>
      <w:r>
        <w:fldChar w:fldCharType="end"/>
      </w:r>
    </w:p>
    <w:p w:rsidR="005F78FC" w:rsidRDefault="00B42EF3">
      <w:pPr>
        <w:pStyle w:val="Definition-Field2"/>
      </w:pPr>
      <w:r>
        <w:rPr>
          <w:i/>
        </w:rPr>
        <w:t>For ad</w:t>
      </w:r>
      <w:r>
        <w:rPr>
          <w:i/>
        </w:rPr>
        <w:t xml:space="preserve">ditional notes that apply to this portion of the standard, please see the notes for </w:t>
      </w:r>
      <w:hyperlink w:anchor="Section_55e01b00ed934498b4e5b0bc0abdf97d">
        <w:r>
          <w:rPr>
            <w:rStyle w:val="Hyperlink"/>
          </w:rPr>
          <w:t>attachedTemplate, §17.15.1.6(a)</w:t>
        </w:r>
      </w:hyperlink>
      <w:r>
        <w:rPr>
          <w:i/>
        </w:rPr>
        <w:t>.</w:t>
      </w:r>
    </w:p>
    <w:p w:rsidR="005F78FC" w:rsidRDefault="00B42EF3">
      <w:pPr>
        <w:pStyle w:val="Definition-Field"/>
      </w:pPr>
      <w:r>
        <w:lastRenderedPageBreak/>
        <w:t xml:space="preserve">a.   </w:t>
      </w:r>
      <w:r>
        <w:rPr>
          <w:i/>
        </w:rPr>
        <w:t>The standard specifies that this element is used only under certain con</w:t>
      </w:r>
      <w:r>
        <w:rPr>
          <w:i/>
        </w:rPr>
        <w:t>ditions.</w:t>
      </w:r>
    </w:p>
    <w:p w:rsidR="005F78FC" w:rsidRDefault="00B42EF3">
      <w:pPr>
        <w:pStyle w:val="Definition-Field2"/>
      </w:pPr>
      <w:r>
        <w:t>Word does not use this element under any conditions.</w:t>
      </w:r>
    </w:p>
    <w:p w:rsidR="005F78FC" w:rsidRDefault="00B42EF3">
      <w:pPr>
        <w:pStyle w:val="Heading3"/>
      </w:pPr>
      <w:bookmarkStart w:id="780" w:name="section_9aa94d9d71474207943f86ec6ab00f2e"/>
      <w:bookmarkStart w:id="781" w:name="_Toc69878163"/>
      <w:r>
        <w:t>Part 1 Section 17.14.31, table (Data Source Table Name)</w:t>
      </w:r>
      <w:bookmarkEnd w:id="780"/>
      <w:bookmarkEnd w:id="781"/>
      <w:r>
        <w:fldChar w:fldCharType="begin"/>
      </w:r>
      <w:r>
        <w:instrText xml:space="preserve"> XE "table (Data Source Table Name)" </w:instrText>
      </w:r>
      <w:r>
        <w:fldChar w:fldCharType="end"/>
      </w:r>
    </w:p>
    <w:p w:rsidR="005F78FC" w:rsidRDefault="00B42EF3">
      <w:pPr>
        <w:pStyle w:val="Definition-Field"/>
      </w:pPr>
      <w:r>
        <w:t xml:space="preserve">a.   </w:t>
      </w:r>
      <w:r>
        <w:rPr>
          <w:i/>
        </w:rPr>
        <w:t>The standard says that this element specifies which table in a data source is being used.</w:t>
      </w:r>
    </w:p>
    <w:p w:rsidR="005F78FC" w:rsidRDefault="00B42EF3">
      <w:pPr>
        <w:pStyle w:val="Definition-Field2"/>
      </w:pPr>
      <w:r>
        <w:t>Word</w:t>
      </w:r>
      <w:r>
        <w:t xml:space="preserve"> uses this element only when the query element is omitted.</w:t>
      </w:r>
    </w:p>
    <w:p w:rsidR="005F78FC" w:rsidRDefault="00B42EF3">
      <w:pPr>
        <w:pStyle w:val="Heading3"/>
      </w:pPr>
      <w:bookmarkStart w:id="782" w:name="section_26666ffbbd6640afae0ff52667122e22"/>
      <w:bookmarkStart w:id="783" w:name="_Toc69878164"/>
      <w:r>
        <w:t>Part 1 Section 17.14.34, udl (UDL Connection String)</w:t>
      </w:r>
      <w:bookmarkEnd w:id="782"/>
      <w:bookmarkEnd w:id="783"/>
      <w:r>
        <w:fldChar w:fldCharType="begin"/>
      </w:r>
      <w:r>
        <w:instrText xml:space="preserve"> XE "udl (UDL Connection String)" </w:instrText>
      </w:r>
      <w:r>
        <w:fldChar w:fldCharType="end"/>
      </w:r>
    </w:p>
    <w:p w:rsidR="005F78FC" w:rsidRDefault="00B42EF3">
      <w:pPr>
        <w:pStyle w:val="Definition-Field"/>
      </w:pPr>
      <w:r>
        <w:t xml:space="preserve">a.   </w:t>
      </w:r>
      <w:r>
        <w:rPr>
          <w:i/>
        </w:rPr>
        <w:t>The standard specifies conditions under which the udl connection string is used.</w:t>
      </w:r>
    </w:p>
    <w:p w:rsidR="005F78FC" w:rsidRDefault="00B42EF3">
      <w:pPr>
        <w:pStyle w:val="Definition-Field2"/>
      </w:pPr>
      <w:r>
        <w:t xml:space="preserve">Word does not use the </w:t>
      </w:r>
      <w:r>
        <w:t>udl connection string.</w:t>
      </w:r>
    </w:p>
    <w:p w:rsidR="005F78FC" w:rsidRDefault="00B42EF3">
      <w:pPr>
        <w:pStyle w:val="Heading3"/>
      </w:pPr>
      <w:bookmarkStart w:id="784" w:name="section_8d383ab778ce4218ae868c670081fe50"/>
      <w:bookmarkStart w:id="785" w:name="_Toc69878165"/>
      <w:r>
        <w:t>Part 1 Section 17.14.35, uniqueTag (Unique Value for Record)</w:t>
      </w:r>
      <w:bookmarkEnd w:id="784"/>
      <w:bookmarkEnd w:id="785"/>
      <w:r>
        <w:fldChar w:fldCharType="begin"/>
      </w:r>
      <w:r>
        <w:instrText xml:space="preserve"> XE "uniqueTag (Unique Value for Record)" </w:instrText>
      </w:r>
      <w:r>
        <w:fldChar w:fldCharType="end"/>
      </w:r>
    </w:p>
    <w:p w:rsidR="005F78FC" w:rsidRDefault="00B42EF3">
      <w:pPr>
        <w:pStyle w:val="Definition-Field"/>
      </w:pPr>
      <w:r>
        <w:t xml:space="preserve">a.   </w:t>
      </w:r>
      <w:r>
        <w:rPr>
          <w:i/>
        </w:rPr>
        <w:t>The standard does not define the contents of this element.</w:t>
      </w:r>
    </w:p>
    <w:p w:rsidR="005F78FC" w:rsidRDefault="00B42EF3">
      <w:pPr>
        <w:pStyle w:val="Definition-Field2"/>
      </w:pPr>
      <w:r>
        <w:t>Word defines this element to contain a val attribute that is def</w:t>
      </w:r>
      <w:r>
        <w:t>ined by the XML Schema base64Binary datatype.</w:t>
      </w:r>
    </w:p>
    <w:p w:rsidR="005F78FC" w:rsidRDefault="00B42EF3">
      <w:pPr>
        <w:pStyle w:val="Definition-Field"/>
      </w:pPr>
      <w:r>
        <w:t xml:space="preserve">b.   </w:t>
      </w:r>
      <w:r>
        <w:rPr>
          <w:i/>
        </w:rPr>
        <w:t>The standard says that this element is used to maintain a relationship between the records within an external data source and a given merged WordprocessingML document.</w:t>
      </w:r>
    </w:p>
    <w:p w:rsidR="005F78FC" w:rsidRDefault="00B42EF3">
      <w:pPr>
        <w:pStyle w:val="Definition-Field2"/>
      </w:pPr>
      <w:r>
        <w:t xml:space="preserve">Word uses this element to maintain a </w:t>
      </w:r>
      <w:r>
        <w:t>relationship between the records within an external data source and a given source WordprocessingML document.</w:t>
      </w:r>
    </w:p>
    <w:p w:rsidR="005F78FC" w:rsidRDefault="00B42EF3">
      <w:pPr>
        <w:pStyle w:val="Definition-Field"/>
      </w:pPr>
      <w:r>
        <w:t xml:space="preserve">c.   </w:t>
      </w:r>
      <w:r>
        <w:rPr>
          <w:i/>
        </w:rPr>
        <w:t>The standard does not state how this element should be populated when the column containing unique data for a record is empty.</w:t>
      </w:r>
    </w:p>
    <w:p w:rsidR="005F78FC" w:rsidRDefault="00B42EF3">
      <w:r>
        <w:t xml:space="preserve">Word computes </w:t>
      </w:r>
      <w:r>
        <w:t>the unique tag, when empty, to be a base64-encoded value using the following algorithm:</w:t>
      </w:r>
    </w:p>
    <w:p w:rsidR="005F78FC" w:rsidRDefault="00B42EF3">
      <w:r>
        <w:t>Utility function 1:</w:t>
      </w:r>
    </w:p>
    <w:p w:rsidR="005F78FC" w:rsidRDefault="00B42EF3">
      <w:pPr>
        <w:pStyle w:val="Code"/>
      </w:pPr>
      <w:r>
        <w:t>#define nPrimeLast 4294967291</w:t>
      </w:r>
    </w:p>
    <w:p w:rsidR="005F78FC" w:rsidRDefault="00B42EF3">
      <w:pPr>
        <w:pStyle w:val="Code"/>
      </w:pPr>
      <w:r>
        <w:t>__int32 LHashMM( __int32 l, __int32 dl )</w:t>
      </w:r>
    </w:p>
    <w:p w:rsidR="005F78FC" w:rsidRDefault="00B42EF3">
      <w:pPr>
        <w:pStyle w:val="Code"/>
      </w:pPr>
      <w:r>
        <w:t>{</w:t>
      </w:r>
    </w:p>
    <w:p w:rsidR="005F78FC" w:rsidRDefault="00B42EF3">
      <w:pPr>
        <w:pStyle w:val="Code"/>
      </w:pPr>
      <w:r>
        <w:t xml:space="preserve">        l = 131 * l + dl;</w:t>
      </w:r>
    </w:p>
    <w:p w:rsidR="005F78FC" w:rsidRDefault="005F78FC">
      <w:pPr>
        <w:pStyle w:val="Code"/>
      </w:pPr>
    </w:p>
    <w:p w:rsidR="005F78FC" w:rsidRDefault="00B42EF3">
      <w:pPr>
        <w:pStyle w:val="Code"/>
      </w:pPr>
      <w:r>
        <w:t xml:space="preserve">        if (l &gt;= nPrimeLast) {</w:t>
      </w:r>
    </w:p>
    <w:p w:rsidR="005F78FC" w:rsidRDefault="00B42EF3">
      <w:pPr>
        <w:pStyle w:val="Code"/>
      </w:pPr>
      <w:r>
        <w:t xml:space="preserve">                l</w:t>
      </w:r>
      <w:r>
        <w:t xml:space="preserve"> -= nPrimeLast;</w:t>
      </w:r>
    </w:p>
    <w:p w:rsidR="005F78FC" w:rsidRDefault="00B42EF3">
      <w:pPr>
        <w:pStyle w:val="Code"/>
      </w:pPr>
      <w:r>
        <w:t xml:space="preserve">        }</w:t>
      </w:r>
    </w:p>
    <w:p w:rsidR="005F78FC" w:rsidRDefault="005F78FC">
      <w:pPr>
        <w:pStyle w:val="Code"/>
      </w:pPr>
    </w:p>
    <w:p w:rsidR="005F78FC" w:rsidRDefault="00B42EF3">
      <w:pPr>
        <w:pStyle w:val="Code"/>
      </w:pPr>
      <w:r>
        <w:t xml:space="preserve">        return l;</w:t>
      </w:r>
    </w:p>
    <w:p w:rsidR="005F78FC" w:rsidRDefault="00B42EF3">
      <w:pPr>
        <w:pStyle w:val="Code"/>
      </w:pPr>
      <w:r>
        <w:t>}</w:t>
      </w:r>
    </w:p>
    <w:p w:rsidR="005F78FC" w:rsidRDefault="00B42EF3">
      <w:r>
        <w:t>Utility function 2:</w:t>
      </w:r>
    </w:p>
    <w:p w:rsidR="005F78FC" w:rsidRDefault="00B42EF3">
      <w:pPr>
        <w:pStyle w:val="Code"/>
      </w:pPr>
      <w:r>
        <w:t>__int32 LGetHashWz(const WCHAR *wzText)</w:t>
      </w:r>
    </w:p>
    <w:p w:rsidR="005F78FC" w:rsidRDefault="00B42EF3">
      <w:pPr>
        <w:pStyle w:val="Code"/>
      </w:pPr>
      <w:r>
        <w:t>{</w:t>
      </w:r>
    </w:p>
    <w:p w:rsidR="005F78FC" w:rsidRDefault="00B42EF3">
      <w:pPr>
        <w:pStyle w:val="Code"/>
      </w:pPr>
      <w:r>
        <w:t xml:space="preserve">        int cch = lstrlen(wzText);</w:t>
      </w:r>
    </w:p>
    <w:p w:rsidR="005F78FC" w:rsidRDefault="00B42EF3">
      <w:pPr>
        <w:pStyle w:val="Code"/>
      </w:pPr>
      <w:r>
        <w:t xml:space="preserve">        __int32 lhash = 0L;</w:t>
      </w:r>
    </w:p>
    <w:p w:rsidR="005F78FC" w:rsidRDefault="005F78FC">
      <w:pPr>
        <w:pStyle w:val="Code"/>
      </w:pPr>
    </w:p>
    <w:p w:rsidR="005F78FC" w:rsidRDefault="00B42EF3">
      <w:pPr>
        <w:pStyle w:val="Code"/>
      </w:pPr>
      <w:r>
        <w:t xml:space="preserve">        for (int i = 0; i &lt; cch; i++) {</w:t>
      </w:r>
    </w:p>
    <w:p w:rsidR="005F78FC" w:rsidRDefault="00B42EF3">
      <w:pPr>
        <w:pStyle w:val="Code"/>
      </w:pPr>
      <w:r>
        <w:t xml:space="preserve">                lhash = LHashMM(lhash, wzText[i]);</w:t>
      </w:r>
    </w:p>
    <w:p w:rsidR="005F78FC" w:rsidRDefault="00B42EF3">
      <w:pPr>
        <w:pStyle w:val="Code"/>
      </w:pPr>
      <w:r>
        <w:t xml:space="preserve">        }</w:t>
      </w:r>
    </w:p>
    <w:p w:rsidR="005F78FC" w:rsidRDefault="005F78FC">
      <w:pPr>
        <w:pStyle w:val="Code"/>
      </w:pPr>
    </w:p>
    <w:p w:rsidR="005F78FC" w:rsidRDefault="00B42EF3">
      <w:pPr>
        <w:pStyle w:val="Code"/>
      </w:pPr>
      <w:r>
        <w:lastRenderedPageBreak/>
        <w:t xml:space="preserve">        return lhash;</w:t>
      </w:r>
    </w:p>
    <w:p w:rsidR="005F78FC" w:rsidRDefault="00B42EF3">
      <w:pPr>
        <w:pStyle w:val="Code"/>
      </w:pPr>
      <w:r>
        <w:t>}</w:t>
      </w:r>
    </w:p>
    <w:p w:rsidR="005F78FC" w:rsidRDefault="00B42EF3">
      <w:r>
        <w:t>Utility function 3:</w:t>
      </w:r>
    </w:p>
    <w:p w:rsidR="005F78FC" w:rsidRDefault="00B42EF3">
      <w:pPr>
        <w:pStyle w:val="Code"/>
      </w:pPr>
      <w:r>
        <w:t xml:space="preserve">__int32 DwRowHash(thisRow) </w:t>
      </w:r>
    </w:p>
    <w:p w:rsidR="005F78FC" w:rsidRDefault="00B42EF3">
      <w:pPr>
        <w:pStyle w:val="Code"/>
      </w:pPr>
      <w:r>
        <w:t>{</w:t>
      </w:r>
    </w:p>
    <w:p w:rsidR="005F78FC" w:rsidRDefault="00B42EF3">
      <w:pPr>
        <w:pStyle w:val="Code"/>
      </w:pPr>
      <w:r>
        <w:t xml:space="preserve">        __int32 lwHash = 0L;</w:t>
      </w:r>
    </w:p>
    <w:p w:rsidR="005F78FC" w:rsidRDefault="00B42EF3">
      <w:pPr>
        <w:pStyle w:val="Code"/>
      </w:pPr>
      <w:r>
        <w:t xml:space="preserve">        for(int i = 0; i &lt; TotalNumberOfColumnsInTheDataSource; i++) {</w:t>
      </w:r>
    </w:p>
    <w:p w:rsidR="005F78FC" w:rsidRDefault="00B42EF3">
      <w:pPr>
        <w:pStyle w:val="Code"/>
      </w:pPr>
      <w:r>
        <w:t xml:space="preserve">                Retr</w:t>
      </w:r>
      <w:r>
        <w:t>ieve the value in the i-th column of thisRow as a Unicode String wzData;</w:t>
      </w:r>
    </w:p>
    <w:p w:rsidR="005F78FC" w:rsidRDefault="00B42EF3">
      <w:pPr>
        <w:pStyle w:val="Code"/>
      </w:pPr>
      <w:r>
        <w:t xml:space="preserve">                __int32 l = LGetHashWz(wzData);</w:t>
      </w:r>
    </w:p>
    <w:p w:rsidR="005F78FC" w:rsidRDefault="00B42EF3">
      <w:pPr>
        <w:pStyle w:val="Code"/>
      </w:pPr>
      <w:r>
        <w:t xml:space="preserve">                if(l) {</w:t>
      </w:r>
    </w:p>
    <w:p w:rsidR="005F78FC" w:rsidRDefault="00B42EF3">
      <w:pPr>
        <w:pStyle w:val="Code"/>
      </w:pPr>
      <w:r>
        <w:t xml:space="preserve">                        lwHash = LHashMM(lwHash, l);</w:t>
      </w:r>
    </w:p>
    <w:p w:rsidR="005F78FC" w:rsidRDefault="00B42EF3">
      <w:pPr>
        <w:pStyle w:val="Code"/>
      </w:pPr>
      <w:r>
        <w:t xml:space="preserve">                }</w:t>
      </w:r>
    </w:p>
    <w:p w:rsidR="005F78FC" w:rsidRDefault="00B42EF3">
      <w:pPr>
        <w:pStyle w:val="Code"/>
      </w:pPr>
      <w:r>
        <w:t xml:space="preserve">        }</w:t>
      </w:r>
    </w:p>
    <w:p w:rsidR="005F78FC" w:rsidRDefault="00B42EF3">
      <w:pPr>
        <w:pStyle w:val="Code"/>
      </w:pPr>
      <w:r>
        <w:t xml:space="preserve">        return lwHash;        </w:t>
      </w:r>
    </w:p>
    <w:p w:rsidR="005F78FC" w:rsidRDefault="00B42EF3">
      <w:pPr>
        <w:pStyle w:val="Code"/>
      </w:pPr>
      <w:r>
        <w:t>}</w:t>
      </w:r>
    </w:p>
    <w:p w:rsidR="005F78FC" w:rsidRDefault="00B42EF3">
      <w:r>
        <w:t>Unique tag computation algorithm:</w:t>
      </w:r>
    </w:p>
    <w:p w:rsidR="005F78FC" w:rsidRDefault="00B42EF3">
      <w:r>
        <w:rPr>
          <w:rStyle w:val="InlineCode"/>
        </w:rPr>
        <w:t>WCHAR wzUniqueTag[64] = {0};</w:t>
      </w:r>
    </w:p>
    <w:p w:rsidR="005F78FC" w:rsidRDefault="00B42EF3">
      <w:r>
        <w:rPr>
          <w:rStyle w:val="InlineCode"/>
        </w:rPr>
        <w:t>*((__int32*) wzUniqueTag) = DwRowHash(the_row_containing_this_record);</w:t>
      </w:r>
    </w:p>
    <w:p w:rsidR="005F78FC" w:rsidRDefault="00B42EF3">
      <w:r>
        <w:rPr>
          <w:rStyle w:val="InlineCode"/>
        </w:rPr>
        <w:t>return the wzUniqueTag as the uniqueTag;</w:t>
      </w:r>
    </w:p>
    <w:p w:rsidR="005F78FC" w:rsidRDefault="00B42EF3">
      <w:pPr>
        <w:pStyle w:val="Heading3"/>
      </w:pPr>
      <w:bookmarkStart w:id="786" w:name="section_8d8cee16e3b646348d9d57d84acbc399"/>
      <w:bookmarkStart w:id="787" w:name="_Toc69878166"/>
      <w:r>
        <w:t>Part 1 Section 17.15.1.1, activeWritingStyle (Grammar Checking Settings)</w:t>
      </w:r>
      <w:bookmarkEnd w:id="786"/>
      <w:bookmarkEnd w:id="787"/>
      <w:r>
        <w:fldChar w:fldCharType="begin"/>
      </w:r>
      <w:r>
        <w:instrText xml:space="preserve"> XE "activeWritingStyle (Grammar Checking Settings)" </w:instrText>
      </w:r>
      <w:r>
        <w:fldChar w:fldCharType="end"/>
      </w:r>
    </w:p>
    <w:p w:rsidR="005F78FC" w:rsidRDefault="00B42EF3">
      <w:pPr>
        <w:pStyle w:val="Definition-Field"/>
      </w:pPr>
      <w:r>
        <w:t xml:space="preserve">a.   </w:t>
      </w:r>
      <w:r>
        <w:rPr>
          <w:i/>
        </w:rPr>
        <w:t>The standard states that the lang attribute specifies the language of the engine used to perform the grammatical content checking.</w:t>
      </w:r>
    </w:p>
    <w:p w:rsidR="005F78FC" w:rsidRDefault="00B42EF3">
      <w:pPr>
        <w:pStyle w:val="Definition-Field2"/>
      </w:pPr>
      <w:r>
        <w:t>Word ignores the activeWritingStyle element if the lang attribut</w:t>
      </w:r>
      <w:r>
        <w:t>e specifies an unknown locale.</w:t>
      </w:r>
    </w:p>
    <w:p w:rsidR="005F78FC" w:rsidRDefault="00B42EF3">
      <w:pPr>
        <w:pStyle w:val="Definition-Field"/>
      </w:pPr>
      <w:r>
        <w:t xml:space="preserve">b.   </w:t>
      </w:r>
      <w:r>
        <w:rPr>
          <w:i/>
        </w:rPr>
        <w:t>The standard states that the dllVersion attribute can be any integer value.</w:t>
      </w:r>
    </w:p>
    <w:p w:rsidR="005F78FC" w:rsidRDefault="00B42EF3">
      <w:pPr>
        <w:pStyle w:val="Definition-Field2"/>
      </w:pPr>
      <w:r>
        <w:t>Word restricts this attribute to a 32-bit unsigned integer when the nlCheck attribute value is on, and a 16-bit unsigned integer when the nlChec</w:t>
      </w:r>
      <w:r>
        <w:t>k attribute value is off.</w:t>
      </w:r>
    </w:p>
    <w:p w:rsidR="005F78FC" w:rsidRDefault="00B42EF3">
      <w:pPr>
        <w:pStyle w:val="Definition-Field"/>
      </w:pPr>
      <w:r>
        <w:t xml:space="preserve">c.   </w:t>
      </w:r>
      <w:r>
        <w:rPr>
          <w:i/>
        </w:rPr>
        <w:t>The standard states that the values of the vendorID attribute are defined by the XML Schema integer datatype.</w:t>
      </w:r>
    </w:p>
    <w:p w:rsidR="005F78FC" w:rsidRDefault="00B42EF3">
      <w:pPr>
        <w:pStyle w:val="Definition-Field2"/>
      </w:pPr>
      <w:r>
        <w:t>Word defines this attribute with the XML Schema int datatype, with a minimum value of 0.</w:t>
      </w:r>
    </w:p>
    <w:p w:rsidR="005F78FC" w:rsidRDefault="00B42EF3">
      <w:pPr>
        <w:pStyle w:val="Definition-Field"/>
      </w:pPr>
      <w:r>
        <w:t xml:space="preserve">d.   </w:t>
      </w:r>
      <w:r>
        <w:rPr>
          <w:i/>
        </w:rPr>
        <w:t>The standard does not</w:t>
      </w:r>
      <w:r>
        <w:rPr>
          <w:i/>
        </w:rPr>
        <w:t xml:space="preserve"> state a default value for the nlCheck attribute.</w:t>
      </w:r>
    </w:p>
    <w:p w:rsidR="005F78FC" w:rsidRDefault="00B42EF3">
      <w:pPr>
        <w:pStyle w:val="Definition-Field2"/>
      </w:pPr>
      <w:r>
        <w:t>Word uses off as the default value for the nlCheck attribute.</w:t>
      </w:r>
    </w:p>
    <w:p w:rsidR="005F78FC" w:rsidRDefault="00B42EF3">
      <w:pPr>
        <w:pStyle w:val="Definition-Field"/>
      </w:pPr>
      <w:r>
        <w:t xml:space="preserve">e.   </w:t>
      </w:r>
      <w:r>
        <w:rPr>
          <w:i/>
        </w:rPr>
        <w:t>The standard states that if an application reads these settings and does not understand the value of appName, then its settings may be igno</w:t>
      </w:r>
      <w:r>
        <w:rPr>
          <w:i/>
        </w:rPr>
        <w:t>red and the application's default settings used instead.</w:t>
      </w:r>
    </w:p>
    <w:p w:rsidR="005F78FC" w:rsidRDefault="00B42EF3">
      <w:pPr>
        <w:pStyle w:val="Definition-Field2"/>
      </w:pPr>
      <w:r>
        <w:t>Word only understands an appName attribute value of MSWord.</w:t>
      </w:r>
    </w:p>
    <w:p w:rsidR="005F78FC" w:rsidRDefault="00B42EF3">
      <w:pPr>
        <w:pStyle w:val="Heading3"/>
      </w:pPr>
      <w:bookmarkStart w:id="788" w:name="section_9f6e8efb597047108b6a26e75256d593"/>
      <w:bookmarkStart w:id="789" w:name="_Toc69878167"/>
      <w:r>
        <w:t>Part 1 Section 17.15.1.3, alwaysMergeEmptyNamespace (Do Not Mark Custom XML Elements With No Namespace As Invalid)</w:t>
      </w:r>
      <w:bookmarkEnd w:id="788"/>
      <w:bookmarkEnd w:id="789"/>
      <w:r>
        <w:fldChar w:fldCharType="begin"/>
      </w:r>
      <w:r>
        <w:instrText xml:space="preserve"> XE "alwaysMergeEmptyName</w:instrText>
      </w:r>
      <w:r>
        <w:instrText xml:space="preserve">space (Do Not Mark Custom XML Elements With No Namespace As Invalid)" </w:instrText>
      </w:r>
      <w:r>
        <w:fldChar w:fldCharType="end"/>
      </w:r>
    </w:p>
    <w:p w:rsidR="005F78FC" w:rsidRDefault="00B42EF3">
      <w:pPr>
        <w:pStyle w:val="Definition-Field"/>
      </w:pPr>
      <w:r>
        <w:t xml:space="preserve">a.   </w:t>
      </w:r>
      <w:r>
        <w:rPr>
          <w:i/>
        </w:rPr>
        <w:t>The standard states that if this element is not present, then the custom XML markup that has no associated namespace shall be treated as an error.</w:t>
      </w:r>
    </w:p>
    <w:p w:rsidR="005F78FC" w:rsidRDefault="00B42EF3">
      <w:pPr>
        <w:pStyle w:val="Definition-Field2"/>
      </w:pPr>
      <w:r>
        <w:lastRenderedPageBreak/>
        <w:t>Word uses a default value of tr</w:t>
      </w:r>
      <w:r>
        <w:t>ue for the val attribute of this element when no schemas are attached to the document using the attachedSchema element and no custom XML markup with an associated namespace appears in the document.</w:t>
      </w:r>
    </w:p>
    <w:p w:rsidR="005F78FC" w:rsidRDefault="00B42EF3">
      <w:pPr>
        <w:pStyle w:val="Definition-Field"/>
      </w:pPr>
      <w:r>
        <w:t xml:space="preserve">b.   </w:t>
      </w:r>
      <w:r>
        <w:rPr>
          <w:i/>
        </w:rPr>
        <w:t>The standard states that if this element is not prese</w:t>
      </w:r>
      <w:r>
        <w:rPr>
          <w:i/>
        </w:rPr>
        <w:t>nt, then the custom XML markup that has no associated namespace shall be moved into a special error namespace when the document is opened.</w:t>
      </w:r>
    </w:p>
    <w:p w:rsidR="005F78FC" w:rsidRDefault="00B42EF3">
      <w:pPr>
        <w:pStyle w:val="Definition-Field2"/>
      </w:pPr>
      <w:r>
        <w:t>Word does not move the custom XML markup into an error namespace if the alwaysMergeEmptyNamespace element is not pres</w:t>
      </w:r>
      <w:r>
        <w:t>ent.</w:t>
      </w:r>
    </w:p>
    <w:p w:rsidR="005F78FC" w:rsidRDefault="00B42EF3">
      <w:pPr>
        <w:pStyle w:val="Heading3"/>
      </w:pPr>
      <w:bookmarkStart w:id="790" w:name="section_55e01b00ed934498b4e5b0bc0abdf97d"/>
      <w:bookmarkStart w:id="791" w:name="_Toc69878168"/>
      <w:r>
        <w:t>Part 1 Section 17.15.1.6, attachedTemplate (Attached Document Template)</w:t>
      </w:r>
      <w:bookmarkEnd w:id="790"/>
      <w:bookmarkEnd w:id="791"/>
      <w:r>
        <w:fldChar w:fldCharType="begin"/>
      </w:r>
      <w:r>
        <w:instrText xml:space="preserve"> XE "attachedTemplate (Attached Document Template)" </w:instrText>
      </w:r>
      <w:r>
        <w:fldChar w:fldCharType="end"/>
      </w:r>
    </w:p>
    <w:p w:rsidR="005F78FC" w:rsidRDefault="00B42EF3">
      <w:pPr>
        <w:pStyle w:val="Definition-Field"/>
      </w:pPr>
      <w:r>
        <w:t xml:space="preserve">a.   </w:t>
      </w:r>
      <w:r>
        <w:rPr>
          <w:i/>
        </w:rPr>
        <w:t>The standard states that the id attribute specifies the relationship that shall have the type required by the parent ele</w:t>
      </w:r>
      <w:r>
        <w:rPr>
          <w:i/>
        </w:rPr>
        <w:t>ment, yet a relationship type for the attachedTemplate element is not listed.</w:t>
      </w:r>
    </w:p>
    <w:p w:rsidR="005F78FC" w:rsidRDefault="00B42EF3">
      <w:pPr>
        <w:pStyle w:val="Definition-Field2"/>
      </w:pPr>
      <w:r>
        <w:t>Word requires http://schemas.openxmlformats.org/officeDocument/2006/relationships/attachedTemplate as the relationship type for the attachedTemplate element, as specified in "</w:t>
      </w:r>
      <w:hyperlink r:id="rId100">
        <w:r>
          <w:rPr>
            <w:rStyle w:val="Hyperlink"/>
          </w:rPr>
          <w:t>[ISO/IEC-29500-1]</w:t>
        </w:r>
      </w:hyperlink>
      <w:r>
        <w:t xml:space="preserve"> §11.4".</w:t>
      </w:r>
    </w:p>
    <w:p w:rsidR="005F78FC" w:rsidRDefault="00B42EF3">
      <w:pPr>
        <w:pStyle w:val="Definition-Field"/>
      </w:pPr>
      <w:r>
        <w:t xml:space="preserve">b.   </w:t>
      </w:r>
      <w:r>
        <w:rPr>
          <w:i/>
        </w:rPr>
        <w:t>The standard states that this element's val attribute shall contain the file path of the associated document template.</w:t>
      </w:r>
    </w:p>
    <w:p w:rsidR="005F78FC" w:rsidRDefault="00B42EF3">
      <w:pPr>
        <w:pStyle w:val="Definition-Field2"/>
      </w:pPr>
      <w:r>
        <w:t>Word does not support a val attribute for t</w:t>
      </w:r>
      <w:r>
        <w:t>he attachedTemplate element. The file path for the associated document template is determined by evaluating the relationship ID on this element.</w:t>
      </w:r>
    </w:p>
    <w:p w:rsidR="005F78FC" w:rsidRDefault="00B42EF3">
      <w:pPr>
        <w:pStyle w:val="Heading3"/>
      </w:pPr>
      <w:bookmarkStart w:id="792" w:name="section_362f7de5917646c1aff7c3e44bc9566b"/>
      <w:bookmarkStart w:id="793" w:name="_Toc69878169"/>
      <w:r>
        <w:t>Part 1 Section 17.15.1.7, autoCaption (Single Automatic Captioning Setting)</w:t>
      </w:r>
      <w:bookmarkEnd w:id="792"/>
      <w:bookmarkEnd w:id="793"/>
      <w:r>
        <w:fldChar w:fldCharType="begin"/>
      </w:r>
      <w:r>
        <w:instrText xml:space="preserve"> XE "autoCaption (Single Automatic C</w:instrText>
      </w:r>
      <w:r>
        <w:instrText xml:space="preserve">aptioning Setting)" </w:instrText>
      </w:r>
      <w:r>
        <w:fldChar w:fldCharType="end"/>
      </w:r>
    </w:p>
    <w:p w:rsidR="005F78FC" w:rsidRDefault="00B42EF3">
      <w:pPr>
        <w:pStyle w:val="Definition-Field"/>
      </w:pPr>
      <w:r>
        <w:t xml:space="preserve">a.   </w:t>
      </w:r>
      <w:r>
        <w:rPr>
          <w:i/>
        </w:rPr>
        <w:t>The standard places no restrictions on the conditions under which this element is to be used.</w:t>
      </w:r>
    </w:p>
    <w:p w:rsidR="005F78FC" w:rsidRDefault="00B42EF3">
      <w:pPr>
        <w:pStyle w:val="Definition-Field2"/>
      </w:pPr>
      <w:r>
        <w:t>Word only reads this element when it is stored within the default document template.</w:t>
      </w:r>
    </w:p>
    <w:p w:rsidR="005F78FC" w:rsidRDefault="00B42EF3">
      <w:pPr>
        <w:pStyle w:val="Definition-Field"/>
      </w:pPr>
      <w:r>
        <w:t xml:space="preserve">b.   </w:t>
      </w:r>
      <w:r>
        <w:rPr>
          <w:i/>
        </w:rPr>
        <w:t xml:space="preserve">The standard states that the name attribute </w:t>
      </w:r>
      <w:r>
        <w:rPr>
          <w:i/>
        </w:rPr>
        <w:t>specifies a unique identifier for types of objects to be automatically captioned.</w:t>
      </w:r>
    </w:p>
    <w:p w:rsidR="005F78FC" w:rsidRDefault="00B42EF3">
      <w:pPr>
        <w:pStyle w:val="Definition-Field2"/>
      </w:pPr>
      <w:r>
        <w:t xml:space="preserve">Word writes and expects wfwTables for Microsoft Word Tables, and the key name of the OLE object for OLE objects (the key name is stored in the Windows registry under </w:t>
      </w:r>
      <w:r>
        <w:t>HKEY_CLASSES_ROOT).</w:t>
      </w:r>
    </w:p>
    <w:p w:rsidR="005F78FC" w:rsidRDefault="00B42EF3">
      <w:pPr>
        <w:pStyle w:val="Definition-Field"/>
      </w:pPr>
      <w:r>
        <w:t xml:space="preserve">c.   </w:t>
      </w:r>
      <w:r>
        <w:rPr>
          <w:i/>
        </w:rPr>
        <w:t>The standard states that the name attribute and the caption attribute can contain a string of unlimited length.</w:t>
      </w:r>
    </w:p>
    <w:p w:rsidR="005F78FC" w:rsidRDefault="00B42EF3">
      <w:pPr>
        <w:pStyle w:val="Definition-Field2"/>
      </w:pPr>
      <w:r>
        <w:t>Word limits these values to 255 characters.</w:t>
      </w:r>
    </w:p>
    <w:p w:rsidR="005F78FC" w:rsidRDefault="00B42EF3">
      <w:pPr>
        <w:pStyle w:val="Heading3"/>
      </w:pPr>
      <w:bookmarkStart w:id="794" w:name="section_908fbb07b5d74019b3ca50db0007af8f"/>
      <w:bookmarkStart w:id="795" w:name="_Toc69878170"/>
      <w:r>
        <w:t>Part 1 Section 17.15.1.8, autoCaptions (Automatic Captioning Settings)</w:t>
      </w:r>
      <w:bookmarkEnd w:id="794"/>
      <w:bookmarkEnd w:id="795"/>
      <w:r>
        <w:fldChar w:fldCharType="begin"/>
      </w:r>
      <w:r>
        <w:instrText xml:space="preserve"> XE "</w:instrText>
      </w:r>
      <w:r>
        <w:instrText xml:space="preserve">autoCaptions (Automatic Captioning Settings)" </w:instrText>
      </w:r>
      <w:r>
        <w:fldChar w:fldCharType="end"/>
      </w:r>
    </w:p>
    <w:p w:rsidR="005F78FC" w:rsidRDefault="00B42EF3">
      <w:pPr>
        <w:pStyle w:val="Definition-Field"/>
      </w:pPr>
      <w:r>
        <w:t xml:space="preserve">a.   </w:t>
      </w:r>
      <w:r>
        <w:rPr>
          <w:i/>
        </w:rPr>
        <w:t>The standard does not state that this element will be ignored under certain circumstances.</w:t>
      </w:r>
    </w:p>
    <w:p w:rsidR="005F78FC" w:rsidRDefault="00B42EF3">
      <w:pPr>
        <w:pStyle w:val="Definition-Field2"/>
      </w:pPr>
      <w:r>
        <w:t>Word ignores this element unless it is stored within its default document template.</w:t>
      </w:r>
    </w:p>
    <w:p w:rsidR="005F78FC" w:rsidRDefault="00B42EF3">
      <w:pPr>
        <w:pStyle w:val="Heading3"/>
      </w:pPr>
      <w:bookmarkStart w:id="796" w:name="section_bea4050c46424a089c462b323e796a19"/>
      <w:bookmarkStart w:id="797" w:name="_Toc69878171"/>
      <w:r>
        <w:t>Part 1 Section 17.15.1.9, autoFormatOverride (Allow Automatic Formatting to Override Formatting Protection Settings)</w:t>
      </w:r>
      <w:bookmarkEnd w:id="796"/>
      <w:bookmarkEnd w:id="797"/>
      <w:r>
        <w:fldChar w:fldCharType="begin"/>
      </w:r>
      <w:r>
        <w:instrText xml:space="preserve"> XE "autoFormatOverride (Allow Automatic Formatting to Override Formatting Protection Settings)" </w:instrText>
      </w:r>
      <w:r>
        <w:fldChar w:fldCharType="end"/>
      </w:r>
    </w:p>
    <w:p w:rsidR="005F78FC" w:rsidRDefault="00B42EF3">
      <w:pPr>
        <w:pStyle w:val="Definition-Field"/>
      </w:pPr>
      <w:r>
        <w:t xml:space="preserve">a.   </w:t>
      </w:r>
      <w:r>
        <w:rPr>
          <w:i/>
        </w:rPr>
        <w:t>The standard states that the val at</w:t>
      </w:r>
      <w:r>
        <w:rPr>
          <w:i/>
        </w:rPr>
        <w:t>tribute specifies that automatic formatting behavior shall be applied regardless of the formatting restrictions in place.</w:t>
      </w:r>
    </w:p>
    <w:p w:rsidR="005F78FC" w:rsidRDefault="00B42EF3">
      <w:pPr>
        <w:pStyle w:val="Definition-Field2"/>
      </w:pPr>
      <w:r>
        <w:lastRenderedPageBreak/>
        <w:t>Word ignores this element.</w:t>
      </w:r>
    </w:p>
    <w:p w:rsidR="005F78FC" w:rsidRDefault="00B42EF3">
      <w:pPr>
        <w:pStyle w:val="Heading3"/>
      </w:pPr>
      <w:bookmarkStart w:id="798" w:name="section_a3f96a731cad4a64a7e3cf18ad747708"/>
      <w:bookmarkStart w:id="799" w:name="_Toc69878172"/>
      <w:r>
        <w:t>Part 1 Section 17.15.1.11, bookFoldPrinting (Book Fold Printing)</w:t>
      </w:r>
      <w:bookmarkEnd w:id="798"/>
      <w:bookmarkEnd w:id="799"/>
      <w:r>
        <w:fldChar w:fldCharType="begin"/>
      </w:r>
      <w:r>
        <w:instrText xml:space="preserve"> XE "bookFoldPrinting (Book Fold Printing)"</w:instrText>
      </w:r>
      <w:r>
        <w:instrText xml:space="preserve"> </w:instrText>
      </w:r>
      <w:r>
        <w:fldChar w:fldCharType="end"/>
      </w:r>
    </w:p>
    <w:p w:rsidR="005F78FC" w:rsidRDefault="00B42EF3">
      <w:pPr>
        <w:pStyle w:val="Definition-Field"/>
      </w:pPr>
      <w:r>
        <w:t xml:space="preserve">a.   </w:t>
      </w:r>
      <w:r>
        <w:rPr>
          <w:i/>
        </w:rPr>
        <w:t>The standard says book fold printing divides the page in half vertically with two left margins emanating from the bisector of the page, and two right margins instantiated at the left and right side of the page.</w:t>
      </w:r>
    </w:p>
    <w:p w:rsidR="005F78FC" w:rsidRDefault="00B42EF3">
      <w:pPr>
        <w:pStyle w:val="Definition-Field2"/>
      </w:pPr>
      <w:r>
        <w:t>Word divides the page in half vertic</w:t>
      </w:r>
      <w:r>
        <w:t>ally with two right margins emanating from the bisector of the page, and two left margins instantiated at the left and right side of the page.</w:t>
      </w:r>
    </w:p>
    <w:p w:rsidR="005F78FC" w:rsidRDefault="00B42EF3">
      <w:pPr>
        <w:pStyle w:val="Heading3"/>
      </w:pPr>
      <w:bookmarkStart w:id="800" w:name="section_54ddf37e03b84d0391a4755fb2c6695a"/>
      <w:bookmarkStart w:id="801" w:name="_Toc69878173"/>
      <w:r>
        <w:t>Part 1 Section 17.15.1.12, bookFoldPrintingSheets (Number of Pages Per Booklet)</w:t>
      </w:r>
      <w:bookmarkEnd w:id="800"/>
      <w:bookmarkEnd w:id="801"/>
      <w:r>
        <w:fldChar w:fldCharType="begin"/>
      </w:r>
      <w:r>
        <w:instrText xml:space="preserve"> XE "bookFoldPrintingSheets (Numbe</w:instrText>
      </w:r>
      <w:r>
        <w:instrText xml:space="preserve">r of Pages Per Booklet)" </w:instrText>
      </w:r>
      <w:r>
        <w:fldChar w:fldCharType="end"/>
      </w:r>
    </w:p>
    <w:p w:rsidR="005F78FC" w:rsidRDefault="00B42EF3">
      <w:pPr>
        <w:pStyle w:val="Definition-Field"/>
      </w:pPr>
      <w:r>
        <w:t xml:space="preserve">a.   </w:t>
      </w:r>
      <w:r>
        <w:rPr>
          <w:i/>
        </w:rPr>
        <w:t>The standard states that if this element is omitted, then default behavior shall be to print the document on a single sheet.</w:t>
      </w:r>
    </w:p>
    <w:p w:rsidR="005F78FC" w:rsidRDefault="00B42EF3">
      <w:pPr>
        <w:pStyle w:val="Definition-Field2"/>
      </w:pPr>
      <w:r>
        <w:t xml:space="preserve">In Word, if this element is omitted, default behavior is to include all the pages of the document </w:t>
      </w:r>
      <w:r>
        <w:t>in a single booklet.</w:t>
      </w:r>
    </w:p>
    <w:p w:rsidR="005F78FC" w:rsidRDefault="00B42EF3">
      <w:pPr>
        <w:pStyle w:val="Definition-Field"/>
      </w:pPr>
      <w:r>
        <w:t xml:space="preserve">b.   </w:t>
      </w:r>
      <w:r>
        <w:rPr>
          <w:i/>
        </w:rPr>
        <w:t>The standard states that the values of the val attribute are defined by the XML Schema integer datatype.</w:t>
      </w:r>
    </w:p>
    <w:p w:rsidR="005F78FC" w:rsidRDefault="00B42EF3">
      <w:pPr>
        <w:pStyle w:val="Definition-Field2"/>
      </w:pPr>
      <w:r>
        <w:t>Word defines the values of this attribute with the XML Schema short datatype, with a minimum value of 0.</w:t>
      </w:r>
    </w:p>
    <w:p w:rsidR="005F78FC" w:rsidRDefault="00B42EF3">
      <w:pPr>
        <w:pStyle w:val="Heading3"/>
      </w:pPr>
      <w:bookmarkStart w:id="802" w:name="section_4a4ba7698bc142b3b66208b23bd8e953"/>
      <w:bookmarkStart w:id="803" w:name="_Toc69878174"/>
      <w:r>
        <w:t>Part 1 Section 17.15</w:t>
      </w:r>
      <w:r>
        <w:t>.1.13, bookFoldRevPrinting (Reverse Book Fold Printing)</w:t>
      </w:r>
      <w:bookmarkEnd w:id="802"/>
      <w:bookmarkEnd w:id="803"/>
      <w:r>
        <w:fldChar w:fldCharType="begin"/>
      </w:r>
      <w:r>
        <w:instrText xml:space="preserve"> XE "bookFoldRevPrinting (Reverse Book Fold Printing)" </w:instrText>
      </w:r>
      <w:r>
        <w:fldChar w:fldCharType="end"/>
      </w:r>
    </w:p>
    <w:p w:rsidR="005F78FC" w:rsidRDefault="00B42EF3">
      <w:pPr>
        <w:pStyle w:val="Definition-Field"/>
      </w:pPr>
      <w:r>
        <w:t xml:space="preserve">a.   </w:t>
      </w:r>
      <w:r>
        <w:rPr>
          <w:i/>
        </w:rPr>
        <w:t xml:space="preserve">The standard says this element divides the page in half vertically with two left margins emanating from the bisector of the page, and two </w:t>
      </w:r>
      <w:r>
        <w:rPr>
          <w:i/>
        </w:rPr>
        <w:t>right margins instantiated at the left and right side of the page.</w:t>
      </w:r>
    </w:p>
    <w:p w:rsidR="005F78FC" w:rsidRDefault="00B42EF3">
      <w:pPr>
        <w:pStyle w:val="Definition-Field2"/>
      </w:pPr>
      <w:r>
        <w:t>In Word, this element divides the page in half vertically with two right margins emanating from the bisector of the page, and left margins instantiated at the left and right side of the pag</w:t>
      </w:r>
      <w:r>
        <w:t>e.</w:t>
      </w:r>
    </w:p>
    <w:p w:rsidR="005F78FC" w:rsidRDefault="00B42EF3">
      <w:pPr>
        <w:pStyle w:val="Definition-Field"/>
      </w:pPr>
      <w:r>
        <w:t xml:space="preserve">b.   </w:t>
      </w:r>
      <w:r>
        <w:rPr>
          <w:i/>
        </w:rPr>
        <w:t>The standard describes through example the output of printed pages with page 3 printed after page 2.</w:t>
      </w:r>
    </w:p>
    <w:p w:rsidR="005F78FC" w:rsidRDefault="00B42EF3">
      <w:r>
        <w:t>Word prints page 3 on the left side of the second printed signature to allow the construction of a printed booklet. This can be visualized as follo</w:t>
      </w:r>
      <w:r>
        <w:t>ws:</w:t>
      </w:r>
    </w:p>
    <w:tbl>
      <w:tblPr>
        <w:tblStyle w:val="Table-ShadedHeader"/>
        <w:tblW w:w="0" w:type="auto"/>
        <w:tblLook w:val="04A0" w:firstRow="1" w:lastRow="0" w:firstColumn="1" w:lastColumn="0" w:noHBand="0" w:noVBand="1"/>
      </w:tblPr>
      <w:tblGrid>
        <w:gridCol w:w="4565"/>
        <w:gridCol w:w="4520"/>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lastRenderedPageBreak/>
              <w:t xml:space="preserve">Second Printed Sheet </w:t>
            </w:r>
          </w:p>
        </w:tc>
        <w:tc>
          <w:tcPr>
            <w:tcW w:w="0" w:type="auto"/>
            <w:vAlign w:val="center"/>
          </w:tcPr>
          <w:p w:rsidR="005F78FC" w:rsidRDefault="00B42EF3">
            <w:pPr>
              <w:pStyle w:val="TableHeaderText"/>
            </w:pPr>
            <w:r>
              <w:t>Second Printed Signature</w:t>
            </w:r>
          </w:p>
        </w:tc>
      </w:tr>
      <w:tr w:rsidR="005F78FC" w:rsidTr="005F78FC">
        <w:tc>
          <w:tcPr>
            <w:tcW w:w="0" w:type="auto"/>
            <w:vAlign w:val="center"/>
          </w:tcPr>
          <w:p w:rsidR="005F78FC" w:rsidRDefault="00B42EF3">
            <w:pPr>
              <w:pStyle w:val="TableBodyText"/>
            </w:pPr>
            <w:r>
              <w:rPr>
                <w:noProof/>
              </w:rPr>
              <w:drawing>
                <wp:inline distT="0" distB="0" distL="0" distR="0">
                  <wp:extent cx="2752725" cy="2286000"/>
                  <wp:effectExtent l="0" t="0" r="0" b="0"/>
                  <wp:docPr id="14" name="Picture 1" descr="Sample diagram of second printed sheet shows page 1 with 1 point 5 inches left  margin, 1 inch top margin, one inch right margin, one inch bottom margin" title="Sample diagram of second printed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d90d1c2-0000-0000-0000-000000000000" descr="Sample diagram of second printed sheet shows page 1 with 1 point 5 inches left  margin, 1 inch top margin, one inch right margin, one inch bottom margin" title="Sample diagram of second printed sheet"/>
                          <pic:cNvPicPr>
                            <a:picLocks noChangeAspect="1" noChangeArrowheads="1"/>
                          </pic:cNvPicPr>
                        </pic:nvPicPr>
                        <pic:blipFill>
                          <a:blip r:embed="rId101" cstate="print"/>
                          <a:srcRect/>
                          <a:stretch>
                            <a:fillRect/>
                          </a:stretch>
                        </pic:blipFill>
                        <pic:spPr bwMode="auto">
                          <a:xfrm>
                            <a:off x="0" y="0"/>
                            <a:ext cx="2752725" cy="2286000"/>
                          </a:xfrm>
                          <a:prstGeom prst="rect">
                            <a:avLst/>
                          </a:prstGeom>
                          <a:noFill/>
                          <a:ln w="9525">
                            <a:noFill/>
                            <a:miter lim="800000"/>
                            <a:headEnd/>
                            <a:tailEnd/>
                          </a:ln>
                        </pic:spPr>
                      </pic:pic>
                    </a:graphicData>
                  </a:graphic>
                </wp:inline>
              </w:drawing>
            </w:r>
          </w:p>
        </w:tc>
        <w:tc>
          <w:tcPr>
            <w:tcW w:w="0" w:type="auto"/>
            <w:vAlign w:val="center"/>
          </w:tcPr>
          <w:p w:rsidR="005F78FC" w:rsidRDefault="00B42EF3">
            <w:pPr>
              <w:pStyle w:val="TableBodyText"/>
            </w:pPr>
            <w:r>
              <w:rPr>
                <w:noProof/>
              </w:rPr>
              <w:drawing>
                <wp:inline distT="0" distB="0" distL="0" distR="0">
                  <wp:extent cx="2724150" cy="2286000"/>
                  <wp:effectExtent l="0" t="0" r="0" b="0"/>
                  <wp:docPr id="15" name="Picture 1" descr="Sample diagram of second printed signature shows page 3 printed on the left side and page 2 printed on the right side of the sheet. Margins for the sheet are 1 inch left, right, top and bottom. Two 1.5 inch margins are in the center of the sheet, separating the two pages." title="Sample diagram of second printed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d90d1c3-0000-0000-0000-000000000000" descr="Sample diagram of second printed signature shows page 3 printed on the left side and page 2 printed on the right side of the sheet. Margins for the sheet are 1 inch left, right, top and bottom. Two 1.5 inch margins are in the center of the sheet, separating the two pages." title="Sample diagram of second printed signature"/>
                          <pic:cNvPicPr>
                            <a:picLocks noChangeAspect="1" noChangeArrowheads="1"/>
                          </pic:cNvPicPr>
                        </pic:nvPicPr>
                        <pic:blipFill>
                          <a:blip r:embed="rId102" cstate="print"/>
                          <a:srcRect/>
                          <a:stretch>
                            <a:fillRect/>
                          </a:stretch>
                        </pic:blipFill>
                        <pic:spPr bwMode="auto">
                          <a:xfrm>
                            <a:off x="0" y="0"/>
                            <a:ext cx="2724150" cy="2286000"/>
                          </a:xfrm>
                          <a:prstGeom prst="rect">
                            <a:avLst/>
                          </a:prstGeom>
                          <a:noFill/>
                          <a:ln w="9525">
                            <a:noFill/>
                            <a:miter lim="800000"/>
                            <a:headEnd/>
                            <a:tailEnd/>
                          </a:ln>
                        </pic:spPr>
                      </pic:pic>
                    </a:graphicData>
                  </a:graphic>
                </wp:inline>
              </w:drawing>
            </w:r>
          </w:p>
        </w:tc>
      </w:tr>
    </w:tbl>
    <w:p w:rsidR="005F78FC" w:rsidRDefault="005F78FC"/>
    <w:p w:rsidR="005F78FC" w:rsidRDefault="00B42EF3">
      <w:pPr>
        <w:pStyle w:val="Heading3"/>
      </w:pPr>
      <w:bookmarkStart w:id="804" w:name="section_5ac3ac4fcfc24a6ab6f30bb1ce1e0628"/>
      <w:bookmarkStart w:id="805" w:name="_Toc69878175"/>
      <w:r>
        <w:t>Part 1 Section 17.15.1.16, caption (Single Caption Type Definition)</w:t>
      </w:r>
      <w:bookmarkEnd w:id="804"/>
      <w:bookmarkEnd w:id="805"/>
      <w:r>
        <w:fldChar w:fldCharType="begin"/>
      </w:r>
      <w:r>
        <w:instrText xml:space="preserve"> XE "caption (Single Caption Type Definition)" </w:instrText>
      </w:r>
      <w:r>
        <w:fldChar w:fldCharType="end"/>
      </w:r>
    </w:p>
    <w:p w:rsidR="005F78FC" w:rsidRDefault="00B42EF3">
      <w:pPr>
        <w:pStyle w:val="Definition-Field"/>
      </w:pPr>
      <w:r>
        <w:t xml:space="preserve">a.   </w:t>
      </w:r>
      <w:r>
        <w:rPr>
          <w:i/>
        </w:rPr>
        <w:t>The standard allows strings of unbounded length for the name attribute.</w:t>
      </w:r>
    </w:p>
    <w:p w:rsidR="005F78FC" w:rsidRDefault="00B42EF3">
      <w:pPr>
        <w:pStyle w:val="Definition-Field2"/>
      </w:pPr>
      <w:r>
        <w:t>Word</w:t>
      </w:r>
      <w:r>
        <w:t xml:space="preserve"> allows strings of length at most 255 for the name attribute.</w:t>
      </w:r>
    </w:p>
    <w:p w:rsidR="005F78FC" w:rsidRDefault="00B42EF3">
      <w:pPr>
        <w:pStyle w:val="Definition-Field"/>
      </w:pPr>
      <w:r>
        <w:t xml:space="preserve">b.   </w:t>
      </w:r>
      <w:r>
        <w:rPr>
          <w:i/>
        </w:rPr>
        <w:t>In the standard, the heading attribute is described with specific semantics for values 1 through 9.</w:t>
      </w:r>
    </w:p>
    <w:p w:rsidR="005F78FC" w:rsidRDefault="00B42EF3">
      <w:pPr>
        <w:pStyle w:val="Definition-Field2"/>
      </w:pPr>
      <w:r>
        <w:t>If the heading attribute is present, Word reads the value as zero and incorrectly display</w:t>
      </w:r>
      <w:r>
        <w:t>s autogenerated captions.</w:t>
      </w:r>
    </w:p>
    <w:p w:rsidR="005F78FC" w:rsidRDefault="00B42EF3">
      <w:pPr>
        <w:pStyle w:val="Definition-Field"/>
      </w:pPr>
      <w:r>
        <w:t xml:space="preserve">c.   </w:t>
      </w:r>
      <w:r>
        <w:rPr>
          <w:i/>
        </w:rPr>
        <w:t>The standard says the noLabel attribute controls whether labels are included in automatically generated captions.</w:t>
      </w:r>
    </w:p>
    <w:p w:rsidR="005F78FC" w:rsidRDefault="00B42EF3">
      <w:pPr>
        <w:pStyle w:val="Definition-Field2"/>
      </w:pPr>
      <w:r>
        <w:t>Word ignores the noLabel attribute and instead uses the value of the chapNum attribute.</w:t>
      </w:r>
    </w:p>
    <w:p w:rsidR="005F78FC" w:rsidRDefault="00B42EF3">
      <w:pPr>
        <w:pStyle w:val="Heading3"/>
      </w:pPr>
      <w:bookmarkStart w:id="806" w:name="section_6bef7b68188f4b29b696d9676810e906"/>
      <w:bookmarkStart w:id="807" w:name="_Toc69878176"/>
      <w:r>
        <w:t>Part 1 Section 17.15.1.</w:t>
      </w:r>
      <w:r>
        <w:t>17, captions (Caption Settings)</w:t>
      </w:r>
      <w:bookmarkEnd w:id="806"/>
      <w:bookmarkEnd w:id="807"/>
      <w:r>
        <w:fldChar w:fldCharType="begin"/>
      </w:r>
      <w:r>
        <w:instrText xml:space="preserve"> XE "captions (Caption Settings)" </w:instrText>
      </w:r>
      <w:r>
        <w:fldChar w:fldCharType="end"/>
      </w:r>
    </w:p>
    <w:p w:rsidR="005F78FC" w:rsidRDefault="00B42EF3">
      <w:pPr>
        <w:pStyle w:val="Definition-Field"/>
      </w:pPr>
      <w:r>
        <w:t xml:space="preserve">a.   </w:t>
      </w:r>
      <w:r>
        <w:rPr>
          <w:i/>
        </w:rPr>
        <w:t>The standard states that this element could be used by other documents besides the default template.</w:t>
      </w:r>
    </w:p>
    <w:p w:rsidR="005F78FC" w:rsidRDefault="00B42EF3">
      <w:pPr>
        <w:pStyle w:val="Definition-Field2"/>
      </w:pPr>
      <w:r>
        <w:t>Word only reads this element when it is stored in its default document template.</w:t>
      </w:r>
    </w:p>
    <w:p w:rsidR="005F78FC" w:rsidRDefault="00B42EF3">
      <w:pPr>
        <w:pStyle w:val="Heading3"/>
      </w:pPr>
      <w:bookmarkStart w:id="808" w:name="section_a388debef4624d05aac2e61c2edeb110"/>
      <w:bookmarkStart w:id="809" w:name="_Toc69878177"/>
      <w:r>
        <w:t>P</w:t>
      </w:r>
      <w:r>
        <w:t>art 1 Section 17.15.1.19, clickAndTypeStyle (Paragraph Style Applied to Automatically Generated Paragraphs)</w:t>
      </w:r>
      <w:bookmarkEnd w:id="808"/>
      <w:bookmarkEnd w:id="809"/>
      <w:r>
        <w:fldChar w:fldCharType="begin"/>
      </w:r>
      <w:r>
        <w:instrText xml:space="preserve"> XE "clickAndTypeStyle (Paragraph Style Applied to Automatically Generated Paragraphs)" </w:instrText>
      </w:r>
      <w:r>
        <w:fldChar w:fldCharType="end"/>
      </w:r>
    </w:p>
    <w:p w:rsidR="005F78FC" w:rsidRDefault="00B42EF3">
      <w:pPr>
        <w:pStyle w:val="Definition-Field2"/>
      </w:pPr>
      <w:r>
        <w:rPr>
          <w:i/>
        </w:rPr>
        <w:t>For additional notes that apply to this portion of the sta</w:t>
      </w:r>
      <w:r>
        <w:rPr>
          <w:i/>
        </w:rPr>
        <w:t xml:space="preserve">ndard, please see the notes for </w:t>
      </w:r>
      <w:hyperlink w:anchor="Section_1e273b9e816940a691aaf9ebd083e0b8">
        <w:r>
          <w:rPr>
            <w:rStyle w:val="Hyperlink"/>
          </w:rPr>
          <w:t>numStyleLink, §17.9.21(a)</w:t>
        </w:r>
      </w:hyperlink>
      <w:r>
        <w:rPr>
          <w:i/>
        </w:rPr>
        <w:t>.</w:t>
      </w:r>
    </w:p>
    <w:p w:rsidR="005F78FC" w:rsidRDefault="00B42EF3">
      <w:pPr>
        <w:pStyle w:val="Definition-Field"/>
      </w:pPr>
      <w:r>
        <w:t xml:space="preserve">a.   </w:t>
      </w:r>
      <w:r>
        <w:rPr>
          <w:i/>
        </w:rPr>
        <w:t>The standard does not limit the length of the value of the val attribute.</w:t>
      </w:r>
    </w:p>
    <w:p w:rsidR="005F78FC" w:rsidRDefault="00B42EF3">
      <w:pPr>
        <w:pStyle w:val="Definition-Field2"/>
      </w:pPr>
      <w:r>
        <w:t xml:space="preserve">Word restricts the value of this attribute to be at </w:t>
      </w:r>
      <w:r>
        <w:t>most 253 characters.</w:t>
      </w:r>
    </w:p>
    <w:p w:rsidR="005F78FC" w:rsidRDefault="00B42EF3">
      <w:pPr>
        <w:pStyle w:val="Heading3"/>
      </w:pPr>
      <w:bookmarkStart w:id="810" w:name="section_1be239133f8840ab9cb22790be8c549d"/>
      <w:bookmarkStart w:id="811" w:name="_Toc69878178"/>
      <w:r>
        <w:t>Part 1 Section 17.15.1.20, clrSchemeMapping (Theme Color Mappings)</w:t>
      </w:r>
      <w:bookmarkEnd w:id="810"/>
      <w:bookmarkEnd w:id="811"/>
      <w:r>
        <w:fldChar w:fldCharType="begin"/>
      </w:r>
      <w:r>
        <w:instrText xml:space="preserve"> XE "clrSchemeMapping (Theme Color Mappings)" </w:instrText>
      </w:r>
      <w:r>
        <w:fldChar w:fldCharType="end"/>
      </w:r>
    </w:p>
    <w:p w:rsidR="005F78FC" w:rsidRDefault="00B42EF3">
      <w:pPr>
        <w:pStyle w:val="Definition-Field"/>
      </w:pPr>
      <w:r>
        <w:t xml:space="preserve">a.   </w:t>
      </w:r>
      <w:r>
        <w:rPr>
          <w:i/>
        </w:rPr>
        <w:t>The standard states that if the t1 attribute is omitted, then the t1 theme color shall be used.</w:t>
      </w:r>
    </w:p>
    <w:p w:rsidR="005F78FC" w:rsidRDefault="00B42EF3">
      <w:pPr>
        <w:pStyle w:val="Definition-Field2"/>
      </w:pPr>
      <w:r>
        <w:lastRenderedPageBreak/>
        <w:t>Word uses the tx1 t</w:t>
      </w:r>
      <w:r>
        <w:t>heme color, as no t1 theme color exists in the enumeration.</w:t>
      </w:r>
    </w:p>
    <w:p w:rsidR="005F78FC" w:rsidRDefault="00B42EF3">
      <w:pPr>
        <w:pStyle w:val="Definition-Field"/>
      </w:pPr>
      <w:r>
        <w:t xml:space="preserve">b.   </w:t>
      </w:r>
      <w:r>
        <w:rPr>
          <w:i/>
        </w:rPr>
        <w:t>The standard says that if the t2 attribute is omitted, then the t2 theme color shall be used.</w:t>
      </w:r>
    </w:p>
    <w:p w:rsidR="005F78FC" w:rsidRDefault="00B42EF3">
      <w:pPr>
        <w:pStyle w:val="Definition-Field2"/>
      </w:pPr>
      <w:r>
        <w:t>Word uses the tx2 theme color, as no t2 theme color exists in the enumeration.</w:t>
      </w:r>
    </w:p>
    <w:p w:rsidR="005F78FC" w:rsidRDefault="00B42EF3">
      <w:pPr>
        <w:pStyle w:val="Heading3"/>
      </w:pPr>
      <w:bookmarkStart w:id="812" w:name="section_f68636b8b56d4a0c918d596752081e79"/>
      <w:bookmarkStart w:id="813" w:name="_Toc69878179"/>
      <w:r>
        <w:t>Part 1 Section 17.</w:t>
      </w:r>
      <w:r>
        <w:t>15.1.22, consecutiveHyphenLimit (Maximum Number of Consecutively Hyphenated Lines)</w:t>
      </w:r>
      <w:bookmarkEnd w:id="812"/>
      <w:bookmarkEnd w:id="813"/>
      <w:r>
        <w:fldChar w:fldCharType="begin"/>
      </w:r>
      <w:r>
        <w:instrText xml:space="preserve"> XE "consecutiveHyphenLimit (Maximum Number of Consecutively Hyphenated Lines)" </w:instrText>
      </w:r>
      <w:r>
        <w:fldChar w:fldCharType="end"/>
      </w:r>
    </w:p>
    <w:p w:rsidR="005F78FC" w:rsidRDefault="00B42EF3">
      <w:pPr>
        <w:pStyle w:val="Definition-Field"/>
      </w:pPr>
      <w:r>
        <w:t xml:space="preserve">a.   </w:t>
      </w:r>
      <w:r>
        <w:rPr>
          <w:i/>
        </w:rPr>
        <w:t>The standard states that the values of the val attribute are defined by the XML Schema</w:t>
      </w:r>
      <w:r>
        <w:rPr>
          <w:i/>
        </w:rPr>
        <w:t xml:space="preserve"> integer datatype.</w:t>
      </w:r>
    </w:p>
    <w:p w:rsidR="005F78FC" w:rsidRDefault="00B42EF3">
      <w:pPr>
        <w:pStyle w:val="Definition-Field2"/>
      </w:pPr>
      <w:r>
        <w:t>Word defines the values of this attribute with the XML Schema unsignedShort datatype.</w:t>
      </w:r>
    </w:p>
    <w:p w:rsidR="005F78FC" w:rsidRDefault="00B42EF3">
      <w:pPr>
        <w:pStyle w:val="Heading3"/>
      </w:pPr>
      <w:bookmarkStart w:id="814" w:name="section_fdae3e41bf9549de8c194dfc98f3ddf4"/>
      <w:bookmarkStart w:id="815" w:name="_Toc69878180"/>
      <w:r>
        <w:t>Part 1 Section 17.15.1.23, decimalSymbol (Radix Point for Field Code Evaluation)</w:t>
      </w:r>
      <w:bookmarkEnd w:id="814"/>
      <w:bookmarkEnd w:id="815"/>
      <w:r>
        <w:fldChar w:fldCharType="begin"/>
      </w:r>
      <w:r>
        <w:instrText xml:space="preserve"> XE "decimalSymbol (Radix Point for Field Code Evaluation)" </w:instrText>
      </w:r>
      <w:r>
        <w:fldChar w:fldCharType="end"/>
      </w:r>
    </w:p>
    <w:p w:rsidR="005F78FC" w:rsidRDefault="00B42EF3">
      <w:pPr>
        <w:pStyle w:val="Definition-Field"/>
      </w:pPr>
      <w:r>
        <w:t xml:space="preserve">a.   </w:t>
      </w:r>
      <w:r>
        <w:rPr>
          <w:i/>
        </w:rPr>
        <w:t>The</w:t>
      </w:r>
      <w:r>
        <w:rPr>
          <w:i/>
        </w:rPr>
        <w:t xml:space="preserve"> standard states that this element specifies the character that shall be interpreted as the radix point symbol.</w:t>
      </w:r>
    </w:p>
    <w:p w:rsidR="005F78FC" w:rsidRDefault="00B42EF3">
      <w:pPr>
        <w:pStyle w:val="Definition-Field2"/>
      </w:pPr>
      <w:r>
        <w:t>Word ignores this element and its value and always reads the system locale settings to get the value of the radix point symbol.</w:t>
      </w:r>
    </w:p>
    <w:p w:rsidR="005F78FC" w:rsidRDefault="00B42EF3">
      <w:pPr>
        <w:pStyle w:val="Heading3"/>
      </w:pPr>
      <w:bookmarkStart w:id="816" w:name="section_fd6deb8c493a454fb4eb266ce809595a"/>
      <w:bookmarkStart w:id="817" w:name="_Toc69878181"/>
      <w:r>
        <w:t>Part 1 Section 1</w:t>
      </w:r>
      <w:r>
        <w:t>7.15.1.24, defaultTableStyle (Default Table Style for Newly Inserted Tables)</w:t>
      </w:r>
      <w:bookmarkEnd w:id="816"/>
      <w:bookmarkEnd w:id="817"/>
      <w:r>
        <w:fldChar w:fldCharType="begin"/>
      </w:r>
      <w:r>
        <w:instrText xml:space="preserve"> XE "defaultTableStyle (Default Table Style for Newly Inserted Tables)"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5F78FC" w:rsidRDefault="00B42EF3">
      <w:pPr>
        <w:pStyle w:val="Definition-Field"/>
      </w:pPr>
      <w:r>
        <w:t xml:space="preserve">a.   </w:t>
      </w:r>
      <w:r>
        <w:rPr>
          <w:i/>
        </w:rPr>
        <w:t>The standard states that if this element is not specified then the application shall apply the default table style for inserted table</w:t>
      </w:r>
    </w:p>
    <w:p w:rsidR="005F78FC" w:rsidRDefault="00B42EF3">
      <w:pPr>
        <w:pStyle w:val="Definition-Field2"/>
      </w:pPr>
      <w:r>
        <w:t>Word will apply the TableGrid style for ta</w:t>
      </w:r>
      <w:r>
        <w:t>bles when this element is not specified</w:t>
      </w:r>
    </w:p>
    <w:p w:rsidR="005F78FC" w:rsidRDefault="00B42EF3">
      <w:pPr>
        <w:pStyle w:val="Definition-Field"/>
      </w:pPr>
      <w:r>
        <w:t xml:space="preserve">b.   </w:t>
      </w:r>
      <w:r>
        <w:rPr>
          <w:i/>
        </w:rPr>
        <w:t>The standard does not limit the length of the value of the val attribute.</w:t>
      </w:r>
    </w:p>
    <w:p w:rsidR="005F78FC" w:rsidRDefault="00B42EF3">
      <w:pPr>
        <w:pStyle w:val="Definition-Field2"/>
      </w:pPr>
      <w:r>
        <w:t>Word restricts the value of this attribute to be at most 253 characters.</w:t>
      </w:r>
    </w:p>
    <w:p w:rsidR="005F78FC" w:rsidRDefault="00B42EF3">
      <w:pPr>
        <w:pStyle w:val="Heading3"/>
      </w:pPr>
      <w:bookmarkStart w:id="818" w:name="section_d09bfc71d0d249729275bc0edf849558"/>
      <w:bookmarkStart w:id="819" w:name="_Toc69878182"/>
      <w:r>
        <w:t>Part 1 Section 17.15.1.25, defaultTabStop (Distance Between Auto</w:t>
      </w:r>
      <w:r>
        <w:t>matic Tab Stops)</w:t>
      </w:r>
      <w:bookmarkEnd w:id="818"/>
      <w:bookmarkEnd w:id="819"/>
      <w:r>
        <w:fldChar w:fldCharType="begin"/>
      </w:r>
      <w:r>
        <w:instrText xml:space="preserve"> XE "defaultTabStop (Distance Between Automatic Tab Stops)" </w:instrText>
      </w:r>
      <w:r>
        <w:fldChar w:fldCharType="end"/>
      </w:r>
    </w:p>
    <w:p w:rsidR="005F78FC" w:rsidRDefault="00B42EF3">
      <w:pPr>
        <w:pStyle w:val="Definition-Field"/>
      </w:pPr>
      <w:r>
        <w:t xml:space="preserve">a.   </w:t>
      </w:r>
      <w:r>
        <w:rPr>
          <w:i/>
        </w:rPr>
        <w:t>The standard states that the values of the val attribute are defined by the XML Schema unsignedLong datatype.</w:t>
      </w:r>
    </w:p>
    <w:p w:rsidR="005F78FC" w:rsidRDefault="00B42EF3">
      <w:pPr>
        <w:pStyle w:val="Definition-Field2"/>
      </w:pPr>
      <w:r>
        <w:t xml:space="preserve">Word defines the values of this attribute with the XML Schema </w:t>
      </w:r>
      <w:r>
        <w:t>short datatype, with a minimum value of 0.</w:t>
      </w:r>
    </w:p>
    <w:p w:rsidR="005F78FC" w:rsidRDefault="00B42EF3">
      <w:pPr>
        <w:pStyle w:val="Heading3"/>
      </w:pPr>
      <w:bookmarkStart w:id="820" w:name="section_3556936a408d4c088893a61fd0754f5c"/>
      <w:bookmarkStart w:id="821" w:name="_Toc69878183"/>
      <w:r>
        <w:t>Part 1 Section 17.15.1.27, displayHorizontalDrawingGridEvery (Distance between Horizontal Gridlines)</w:t>
      </w:r>
      <w:bookmarkEnd w:id="820"/>
      <w:bookmarkEnd w:id="821"/>
      <w:r>
        <w:fldChar w:fldCharType="begin"/>
      </w:r>
      <w:r>
        <w:instrText xml:space="preserve"> XE "displayHorizontalDrawingGridEvery (Distance between Horizontal Gridlines)" </w:instrText>
      </w:r>
      <w:r>
        <w:fldChar w:fldCharType="end"/>
      </w:r>
    </w:p>
    <w:p w:rsidR="005F78FC" w:rsidRDefault="00B42EF3">
      <w:pPr>
        <w:pStyle w:val="Definition-Field"/>
      </w:pPr>
      <w:r>
        <w:t xml:space="preserve">a.   </w:t>
      </w:r>
      <w:r>
        <w:rPr>
          <w:i/>
        </w:rPr>
        <w:t>The standard says this el</w:t>
      </w:r>
      <w:r>
        <w:rPr>
          <w:i/>
        </w:rPr>
        <w:t>ement controls the number of horizontal grid units between horizontal grid lines.</w:t>
      </w:r>
    </w:p>
    <w:p w:rsidR="005F78FC" w:rsidRDefault="00B42EF3">
      <w:pPr>
        <w:pStyle w:val="Definition-Field2"/>
      </w:pPr>
      <w:r>
        <w:t>In Word, this element controls the number of horizontal grid units between vertical grid lines.</w:t>
      </w:r>
    </w:p>
    <w:p w:rsidR="005F78FC" w:rsidRDefault="00B42EF3">
      <w:pPr>
        <w:pStyle w:val="Definition-Field"/>
      </w:pPr>
      <w:r>
        <w:t xml:space="preserve">b.   </w:t>
      </w:r>
      <w:r>
        <w:rPr>
          <w:i/>
        </w:rPr>
        <w:t>The standard states that the values of the val attribute are defined by t</w:t>
      </w:r>
      <w:r>
        <w:rPr>
          <w:i/>
        </w:rPr>
        <w:t>he XML Schema integer datatype.</w:t>
      </w:r>
    </w:p>
    <w:p w:rsidR="005F78FC" w:rsidRDefault="00B42EF3">
      <w:pPr>
        <w:pStyle w:val="Definition-Field2"/>
      </w:pPr>
      <w:r>
        <w:lastRenderedPageBreak/>
        <w:t>Word restricts the value of this attribute to be at least 0 and at most 127.</w:t>
      </w:r>
    </w:p>
    <w:p w:rsidR="005F78FC" w:rsidRDefault="00B42EF3">
      <w:pPr>
        <w:pStyle w:val="Heading3"/>
      </w:pPr>
      <w:bookmarkStart w:id="822" w:name="section_73f2c4bc60754f1fa1f308a250abbdba"/>
      <w:bookmarkStart w:id="823" w:name="_Toc69878184"/>
      <w:r>
        <w:t>Part 1 Section 17.15.1.28, displayVerticalDrawingGridEvery (Distance between Vertical Gridlines)</w:t>
      </w:r>
      <w:bookmarkEnd w:id="822"/>
      <w:bookmarkEnd w:id="823"/>
      <w:r>
        <w:fldChar w:fldCharType="begin"/>
      </w:r>
      <w:r>
        <w:instrText xml:space="preserve"> XE "displayVerticalDrawingGridEvery (Distance betw</w:instrText>
      </w:r>
      <w:r>
        <w:instrText xml:space="preserve">een Vertical Gridlines)" </w:instrText>
      </w:r>
      <w:r>
        <w:fldChar w:fldCharType="end"/>
      </w:r>
    </w:p>
    <w:p w:rsidR="005F78FC" w:rsidRDefault="00B42EF3">
      <w:pPr>
        <w:pStyle w:val="Definition-Field"/>
      </w:pPr>
      <w:r>
        <w:t xml:space="preserve">a.   </w:t>
      </w:r>
      <w:r>
        <w:rPr>
          <w:i/>
        </w:rPr>
        <w:t>The standard says this element controls the number of vertical grid units between vertical grid lines.</w:t>
      </w:r>
    </w:p>
    <w:p w:rsidR="005F78FC" w:rsidRDefault="00B42EF3">
      <w:pPr>
        <w:pStyle w:val="Definition-Field2"/>
      </w:pPr>
      <w:r>
        <w:t>In Word, this element controls the number of vertical grid units between horizontal grid lines.</w:t>
      </w:r>
    </w:p>
    <w:p w:rsidR="005F78FC" w:rsidRDefault="00B42EF3">
      <w:pPr>
        <w:pStyle w:val="Definition-Field"/>
      </w:pPr>
      <w:r>
        <w:t xml:space="preserve">b.   </w:t>
      </w:r>
      <w:r>
        <w:rPr>
          <w:i/>
        </w:rPr>
        <w:t>The standard states</w:t>
      </w:r>
      <w:r>
        <w:rPr>
          <w:i/>
        </w:rPr>
        <w:t xml:space="preserve"> that, if this element is omitted, no vertical gridlines are displayed.</w:t>
      </w:r>
    </w:p>
    <w:p w:rsidR="005F78FC" w:rsidRDefault="00B42EF3">
      <w:pPr>
        <w:pStyle w:val="Definition-Field2"/>
      </w:pPr>
      <w:r>
        <w:t>In Word, if this element is omitted, horizontal gridlines are displayed for every vertical grid unit.</w:t>
      </w:r>
    </w:p>
    <w:p w:rsidR="005F78FC" w:rsidRDefault="00B42EF3">
      <w:pPr>
        <w:pStyle w:val="Definition-Field"/>
      </w:pPr>
      <w:r>
        <w:t xml:space="preserve">c.   </w:t>
      </w:r>
      <w:r>
        <w:rPr>
          <w:i/>
        </w:rPr>
        <w:t>The standard states that the values of the val attribute are defined by the X</w:t>
      </w:r>
      <w:r>
        <w:rPr>
          <w:i/>
        </w:rPr>
        <w:t>ML Schema integer datatype.</w:t>
      </w:r>
    </w:p>
    <w:p w:rsidR="005F78FC" w:rsidRDefault="00B42EF3">
      <w:pPr>
        <w:pStyle w:val="Definition-Field2"/>
      </w:pPr>
      <w:r>
        <w:t>Word restricts the value of this attribute to be at least 0 and at most 127.</w:t>
      </w:r>
    </w:p>
    <w:p w:rsidR="005F78FC" w:rsidRDefault="00B42EF3">
      <w:pPr>
        <w:pStyle w:val="Heading3"/>
      </w:pPr>
      <w:bookmarkStart w:id="824" w:name="section_e12d2773e2d045bfb1c2b8f0548e156d"/>
      <w:bookmarkStart w:id="825" w:name="_Toc69878185"/>
      <w:r>
        <w:t>Part 1 Section 17.15.1.29, documentProtection (Document Editing Restrictions)</w:t>
      </w:r>
      <w:bookmarkEnd w:id="824"/>
      <w:bookmarkEnd w:id="825"/>
      <w:r>
        <w:fldChar w:fldCharType="begin"/>
      </w:r>
      <w:r>
        <w:instrText xml:space="preserve"> XE "documentProtection (Document Editing Restrictions)" </w:instrText>
      </w:r>
      <w:r>
        <w:fldChar w:fldCharType="end"/>
      </w:r>
    </w:p>
    <w:p w:rsidR="005F78FC" w:rsidRDefault="00B42EF3">
      <w:pPr>
        <w:pStyle w:val="Definition-Field"/>
      </w:pPr>
      <w:r>
        <w:t xml:space="preserve">a.   </w:t>
      </w:r>
      <w:r>
        <w:rPr>
          <w:i/>
        </w:rPr>
        <w:t xml:space="preserve">The </w:t>
      </w:r>
      <w:r>
        <w:rPr>
          <w:i/>
        </w:rPr>
        <w:t>standard's salt attribute description conflicts with itself, describing the salt attribute as being both prepended and appended to the password.</w:t>
      </w:r>
    </w:p>
    <w:p w:rsidR="005F78FC" w:rsidRDefault="00B42EF3">
      <w:pPr>
        <w:pStyle w:val="Definition-Field2"/>
      </w:pPr>
      <w:r>
        <w:t>Word prepends the salt attribute to the password.</w:t>
      </w:r>
    </w:p>
    <w:p w:rsidR="005F78FC" w:rsidRDefault="00B42EF3">
      <w:pPr>
        <w:pStyle w:val="Definition-Field"/>
      </w:pPr>
      <w:r>
        <w:t xml:space="preserve">b.   </w:t>
      </w:r>
      <w:r>
        <w:rPr>
          <w:i/>
        </w:rPr>
        <w:t>In the standard, the spinCount attribute specifies the n</w:t>
      </w:r>
      <w:r>
        <w:rPr>
          <w:i/>
        </w:rPr>
        <w:t>umber of times the hashing function shall be iteratively run.</w:t>
      </w:r>
    </w:p>
    <w:p w:rsidR="005F78FC" w:rsidRDefault="00B42EF3">
      <w:pPr>
        <w:pStyle w:val="Definition-Field2"/>
      </w:pPr>
      <w:r>
        <w:t>Word requires that the initial hash of the password with the salt not be considered in the count.</w:t>
      </w:r>
    </w:p>
    <w:p w:rsidR="005F78FC" w:rsidRDefault="00B42EF3">
      <w:pPr>
        <w:pStyle w:val="Definition-Field"/>
      </w:pPr>
      <w:r>
        <w:t xml:space="preserve">c.   </w:t>
      </w:r>
      <w:r>
        <w:rPr>
          <w:i/>
        </w:rPr>
        <w:t xml:space="preserve">The standard states that if the enforcement attribute is omitted, then protection settings </w:t>
      </w:r>
      <w:r>
        <w:rPr>
          <w:i/>
        </w:rPr>
        <w:t>are ignored by application.</w:t>
      </w:r>
    </w:p>
    <w:p w:rsidR="005F78FC" w:rsidRDefault="00B42EF3">
      <w:pPr>
        <w:pStyle w:val="Definition-Field2"/>
      </w:pPr>
      <w:r>
        <w:t>Word enforces protection when this attribute is missing.</w:t>
      </w:r>
    </w:p>
    <w:p w:rsidR="005F78FC" w:rsidRDefault="00B42EF3">
      <w:pPr>
        <w:pStyle w:val="Definition-Field"/>
      </w:pPr>
      <w:r>
        <w:t xml:space="preserve">d.   </w:t>
      </w:r>
      <w:r>
        <w:rPr>
          <w:i/>
        </w:rPr>
        <w:t>The standard states that the values for the cryptSpinCount attribute are defined by the ST_DecimalNumber simple type.</w:t>
      </w:r>
    </w:p>
    <w:p w:rsidR="005F78FC" w:rsidRDefault="00B42EF3">
      <w:pPr>
        <w:pStyle w:val="Definition-Field2"/>
      </w:pPr>
      <w:r>
        <w:t>Word supports values only for the spinCount attr</w:t>
      </w:r>
      <w:r>
        <w:t>ibute that are between 0 and 10,000,000 (inclusive).</w:t>
      </w:r>
    </w:p>
    <w:p w:rsidR="005F78FC" w:rsidRDefault="00B42EF3">
      <w:pPr>
        <w:pStyle w:val="Definition-Field"/>
      </w:pPr>
      <w:r>
        <w:t xml:space="preserve">e.   </w:t>
      </w:r>
      <w:r>
        <w:rPr>
          <w:i/>
        </w:rPr>
        <w:t>The standard states that the saltValue attribute is a base64 string.</w:t>
      </w:r>
    </w:p>
    <w:p w:rsidR="005F78FC" w:rsidRDefault="00B42EF3">
      <w:pPr>
        <w:pStyle w:val="Definition-Field2"/>
      </w:pPr>
      <w:r>
        <w:t>Word prepends the binary form of the saltValue attribute and not the base64 string representation when hashing.</w:t>
      </w:r>
    </w:p>
    <w:p w:rsidR="005F78FC" w:rsidRDefault="00B42EF3">
      <w:pPr>
        <w:pStyle w:val="Definition-Field"/>
      </w:pPr>
      <w:r>
        <w:t xml:space="preserve">f.   </w:t>
      </w:r>
      <w:r>
        <w:rPr>
          <w:i/>
        </w:rPr>
        <w:t>The standard</w:t>
      </w:r>
      <w:r>
        <w:rPr>
          <w:i/>
        </w:rPr>
        <w:t xml:space="preserve"> states that this setting uses a specific set of attributes, specified by the AG_Password attribute group, to store the password hash.</w:t>
      </w:r>
    </w:p>
    <w:p w:rsidR="005F78FC" w:rsidRDefault="00B42EF3">
      <w:r>
        <w:t>In Office, when the HKCU/Software/Microsoft/Office/&lt;VERSION&gt;/Common/Security/UseIsoPasswordVerifier registry key is set t</w:t>
      </w:r>
      <w:r>
        <w: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Name</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rPr>
                <w:b/>
              </w:rPr>
              <w:t xml:space="preserve">algorithm </w:t>
            </w:r>
            <w:r>
              <w:rPr>
                <w:b/>
              </w:rPr>
              <w:lastRenderedPageBreak/>
              <w:t>Name</w:t>
            </w:r>
          </w:p>
        </w:tc>
        <w:tc>
          <w:tcPr>
            <w:tcW w:w="0" w:type="auto"/>
            <w:vAlign w:val="center"/>
          </w:tcPr>
          <w:p w:rsidR="005F78FC" w:rsidRDefault="00B42EF3">
            <w:pPr>
              <w:pStyle w:val="TableBodyText"/>
            </w:pPr>
            <w:r>
              <w:lastRenderedPageBreak/>
              <w:t>The name of the cryptographic hashing algorithm used to generate the hash value. Only those algorithms that are installed</w:t>
            </w:r>
            <w:r>
              <w:t xml:space="preserve"> in the operating system’s cryptographic subsystem can be utilized by </w:t>
            </w:r>
            <w:r>
              <w:lastRenderedPageBreak/>
              <w:t>Office.</w:t>
            </w:r>
          </w:p>
          <w:p w:rsidR="005F78FC" w:rsidRDefault="005F78FC">
            <w:pPr>
              <w:pStyle w:val="TableBodyText"/>
            </w:pPr>
          </w:p>
          <w:p w:rsidR="005F78FC" w:rsidRDefault="00B42EF3">
            <w:pPr>
              <w:pStyle w:val="TableBodyText"/>
            </w:pPr>
            <w:r>
              <w:t>The following hash algorithm names are reserved:</w:t>
            </w:r>
          </w:p>
          <w:p w:rsidR="005F78FC" w:rsidRDefault="005F78FC">
            <w:pPr>
              <w:pStyle w:val="TableBodyText"/>
            </w:pPr>
          </w:p>
          <w:p w:rsidR="005F78FC" w:rsidRDefault="00B42EF3">
            <w:pPr>
              <w:pStyle w:val="TableBodyText"/>
            </w:pPr>
            <w:r>
              <w:rPr>
                <w:b/>
                <w:i/>
              </w:rPr>
              <w:t xml:space="preserve">MD2 </w:t>
            </w:r>
          </w:p>
          <w:p w:rsidR="005F78FC" w:rsidRDefault="00B42EF3">
            <w:pPr>
              <w:pStyle w:val="TableBodyText"/>
            </w:pPr>
            <w:r>
              <w:rPr>
                <w:i/>
              </w:rPr>
              <w:t>Specifies that the MD2 algorithm, as defined by RFC 1319, shall be used.</w:t>
            </w:r>
          </w:p>
          <w:p w:rsidR="005F78FC" w:rsidRDefault="005F78FC">
            <w:pPr>
              <w:pStyle w:val="TableBodyText"/>
            </w:pPr>
          </w:p>
          <w:p w:rsidR="005F78FC" w:rsidRDefault="00B42EF3">
            <w:pPr>
              <w:pStyle w:val="TableBodyText"/>
            </w:pPr>
            <w:r>
              <w:rPr>
                <w:i/>
              </w:rPr>
              <w:t>[Note: It is recommended that applications shoul</w:t>
            </w:r>
            <w:r>
              <w:rPr>
                <w:i/>
              </w:rPr>
              <w:t>d avoid using this algorithm to store new hash values, because of publicly known breaks. end note]</w:t>
            </w:r>
          </w:p>
          <w:p w:rsidR="005F78FC" w:rsidRDefault="00B42EF3">
            <w:pPr>
              <w:pStyle w:val="TableBodyText"/>
            </w:pPr>
            <w:r>
              <w:rPr>
                <w:b/>
                <w:i/>
              </w:rPr>
              <w:t xml:space="preserve">MD4 </w:t>
            </w:r>
          </w:p>
          <w:p w:rsidR="005F78FC" w:rsidRDefault="00B42EF3">
            <w:pPr>
              <w:pStyle w:val="TableBodyText"/>
            </w:pPr>
            <w:r>
              <w:rPr>
                <w:i/>
              </w:rPr>
              <w:t>Specifies that the MD4 algorithm, as defined by RFC 1320, shall be used.</w:t>
            </w:r>
          </w:p>
          <w:p w:rsidR="005F78FC" w:rsidRDefault="005F78FC">
            <w:pPr>
              <w:pStyle w:val="TableBodyText"/>
            </w:pPr>
          </w:p>
          <w:p w:rsidR="005F78FC" w:rsidRDefault="00B42EF3">
            <w:pPr>
              <w:pStyle w:val="TableBodyText"/>
            </w:pPr>
            <w:r>
              <w:rPr>
                <w:i/>
              </w:rPr>
              <w:t>[Note: It is recommended that applications should avoid using this algorithm t</w:t>
            </w:r>
            <w:r>
              <w:rPr>
                <w:i/>
              </w:rPr>
              <w:t>o store new hash values, because of publicly known breaks. end note]</w:t>
            </w:r>
          </w:p>
          <w:p w:rsidR="005F78FC" w:rsidRDefault="00B42EF3">
            <w:pPr>
              <w:pStyle w:val="TableBodyText"/>
            </w:pPr>
            <w:r>
              <w:rPr>
                <w:b/>
                <w:i/>
              </w:rPr>
              <w:t>MD5</w:t>
            </w:r>
          </w:p>
          <w:p w:rsidR="005F78FC" w:rsidRDefault="00B42EF3">
            <w:pPr>
              <w:pStyle w:val="TableBodyText"/>
            </w:pPr>
            <w:r>
              <w:rPr>
                <w:i/>
              </w:rPr>
              <w:t>Specifies that the MD5 algorithm, as defined by RFC 1321, shall be used.</w:t>
            </w:r>
          </w:p>
          <w:p w:rsidR="005F78FC" w:rsidRDefault="005F78FC">
            <w:pPr>
              <w:pStyle w:val="TableBodyText"/>
            </w:pPr>
          </w:p>
          <w:p w:rsidR="005F78FC" w:rsidRDefault="00B42EF3">
            <w:pPr>
              <w:pStyle w:val="TableBodyText"/>
            </w:pPr>
            <w:r>
              <w:rPr>
                <w:i/>
              </w:rPr>
              <w:t>[Note: It is recommended that applications should avoid using this algorithm to store new hash values, becaus</w:t>
            </w:r>
            <w:r>
              <w:rPr>
                <w:i/>
              </w:rPr>
              <w:t>e of publicly known breaks. end note]</w:t>
            </w:r>
          </w:p>
          <w:p w:rsidR="005F78FC" w:rsidRDefault="00B42EF3">
            <w:pPr>
              <w:pStyle w:val="TableBodyText"/>
            </w:pPr>
            <w:r>
              <w:rPr>
                <w:b/>
                <w:i/>
              </w:rPr>
              <w:t>RIPEMD-128</w:t>
            </w:r>
          </w:p>
          <w:p w:rsidR="005F78FC" w:rsidRDefault="00B42EF3">
            <w:pPr>
              <w:pStyle w:val="TableBodyText"/>
            </w:pPr>
            <w:r>
              <w:rPr>
                <w:i/>
              </w:rPr>
              <w:t>Specifies that the RIPEMD-128 algorithm, as defined by ISO/IEC 10118-3:2004 shall be used.</w:t>
            </w:r>
          </w:p>
          <w:p w:rsidR="005F78FC" w:rsidRDefault="005F78FC">
            <w:pPr>
              <w:pStyle w:val="TableBodyText"/>
            </w:pPr>
          </w:p>
          <w:p w:rsidR="005F78FC" w:rsidRDefault="00B42EF3">
            <w:pPr>
              <w:pStyle w:val="TableBodyText"/>
            </w:pPr>
            <w:r>
              <w:rPr>
                <w:i/>
              </w:rPr>
              <w:t>[Note: It is recommended that applications should avoid using this algorithm to store new hash values, because of p</w:t>
            </w:r>
            <w:r>
              <w:rPr>
                <w:i/>
              </w:rPr>
              <w:t>ublicly known breaks. end note]</w:t>
            </w:r>
          </w:p>
          <w:p w:rsidR="005F78FC" w:rsidRDefault="00B42EF3">
            <w:pPr>
              <w:pStyle w:val="TableBodyText"/>
            </w:pPr>
            <w:r>
              <w:rPr>
                <w:b/>
                <w:i/>
              </w:rPr>
              <w:t>RIPEMD-160</w:t>
            </w:r>
          </w:p>
          <w:p w:rsidR="005F78FC" w:rsidRDefault="00B42EF3">
            <w:pPr>
              <w:pStyle w:val="TableBodyText"/>
            </w:pPr>
            <w:r>
              <w:rPr>
                <w:i/>
              </w:rPr>
              <w:t>Specifies that the RIPEMD-160 algorithm, as defined by ISO/IEC 10118-3:2004, shall be used.</w:t>
            </w:r>
          </w:p>
          <w:p w:rsidR="005F78FC" w:rsidRDefault="00B42EF3">
            <w:pPr>
              <w:pStyle w:val="TableBodyText"/>
            </w:pPr>
            <w:r>
              <w:rPr>
                <w:b/>
                <w:i/>
              </w:rPr>
              <w:t>SHA-1</w:t>
            </w:r>
          </w:p>
          <w:p w:rsidR="005F78FC" w:rsidRDefault="00B42EF3">
            <w:pPr>
              <w:pStyle w:val="TableBodyText"/>
            </w:pPr>
            <w:r>
              <w:rPr>
                <w:i/>
              </w:rPr>
              <w:t>Specifies that the SHA-1 algorithm, as defined by ISO/IEC 10118-3:2004, shall be used.</w:t>
            </w:r>
          </w:p>
          <w:p w:rsidR="005F78FC" w:rsidRDefault="00B42EF3">
            <w:pPr>
              <w:pStyle w:val="TableBodyText"/>
            </w:pPr>
            <w:r>
              <w:rPr>
                <w:b/>
                <w:i/>
              </w:rPr>
              <w:t>SHA-256</w:t>
            </w:r>
          </w:p>
          <w:p w:rsidR="005F78FC" w:rsidRDefault="00B42EF3">
            <w:pPr>
              <w:pStyle w:val="TableBodyText"/>
            </w:pPr>
            <w:r>
              <w:rPr>
                <w:i/>
              </w:rPr>
              <w:t>Specifies that the S</w:t>
            </w:r>
            <w:r>
              <w:rPr>
                <w:i/>
              </w:rPr>
              <w:t>HA-256 algorithm, as defined by ISO/IEC 10118-3:2004, shall be used.</w:t>
            </w:r>
          </w:p>
          <w:p w:rsidR="005F78FC" w:rsidRDefault="00B42EF3">
            <w:pPr>
              <w:pStyle w:val="TableBodyText"/>
            </w:pPr>
            <w:r>
              <w:rPr>
                <w:b/>
                <w:i/>
              </w:rPr>
              <w:t>SHA-384</w:t>
            </w:r>
          </w:p>
          <w:p w:rsidR="005F78FC" w:rsidRDefault="00B42EF3">
            <w:pPr>
              <w:pStyle w:val="TableBodyText"/>
            </w:pPr>
            <w:r>
              <w:rPr>
                <w:i/>
              </w:rPr>
              <w:t>Specifies that the SHA-384 algorithm, as defined by ISO/IEC 10118-3:2004, shall be used.</w:t>
            </w:r>
          </w:p>
          <w:p w:rsidR="005F78FC" w:rsidRDefault="00B42EF3">
            <w:pPr>
              <w:pStyle w:val="TableBodyText"/>
            </w:pPr>
            <w:r>
              <w:rPr>
                <w:b/>
                <w:i/>
              </w:rPr>
              <w:t>SHA-512</w:t>
            </w:r>
          </w:p>
          <w:p w:rsidR="005F78FC" w:rsidRDefault="00B42EF3">
            <w:pPr>
              <w:pStyle w:val="TableBodyText"/>
            </w:pPr>
            <w:r>
              <w:rPr>
                <w:i/>
              </w:rPr>
              <w:t>Specifies that the SHA-512 algorithm, as defined by ISO/IEC 10118-3:2004, shall be</w:t>
            </w:r>
            <w:r>
              <w:rPr>
                <w:i/>
              </w:rPr>
              <w:t xml:space="preserve"> used.</w:t>
            </w:r>
          </w:p>
          <w:p w:rsidR="005F78FC" w:rsidRDefault="00B42EF3">
            <w:pPr>
              <w:pStyle w:val="TableBodyText"/>
            </w:pPr>
            <w:r>
              <w:rPr>
                <w:b/>
                <w:i/>
              </w:rPr>
              <w:t>WHIRLPOOL</w:t>
            </w:r>
          </w:p>
          <w:p w:rsidR="005F78FC" w:rsidRDefault="00B42EF3">
            <w:pPr>
              <w:pStyle w:val="TableBodyText"/>
            </w:pPr>
            <w:r>
              <w:rPr>
                <w:i/>
              </w:rPr>
              <w:t>Specifies that the WHIRLPOOL algorithm, as defined by ISO/IEC 10118-3:2004, shall be used.</w:t>
            </w:r>
          </w:p>
          <w:p w:rsidR="005F78FC" w:rsidRDefault="005F78FC">
            <w:pPr>
              <w:pStyle w:val="TableBodyText"/>
            </w:pPr>
          </w:p>
          <w:p w:rsidR="005F78FC" w:rsidRDefault="005F78FC">
            <w:pPr>
              <w:pStyle w:val="TableBodyText"/>
            </w:pPr>
          </w:p>
        </w:tc>
      </w:tr>
      <w:tr w:rsidR="005F78FC" w:rsidTr="005F78FC">
        <w:tc>
          <w:tcPr>
            <w:tcW w:w="0" w:type="auto"/>
            <w:vAlign w:val="center"/>
          </w:tcPr>
          <w:p w:rsidR="005F78FC" w:rsidRDefault="00B42EF3">
            <w:pPr>
              <w:pStyle w:val="TableBodyText"/>
            </w:pPr>
            <w:r>
              <w:rPr>
                <w:b/>
              </w:rPr>
              <w:lastRenderedPageBreak/>
              <w:t>hash Value</w:t>
            </w:r>
          </w:p>
        </w:tc>
        <w:tc>
          <w:tcPr>
            <w:tcW w:w="0" w:type="auto"/>
            <w:vAlign w:val="center"/>
          </w:tcPr>
          <w:p w:rsidR="005F78FC" w:rsidRDefault="00B42EF3">
            <w:pPr>
              <w:pStyle w:val="TableBodyText"/>
            </w:pPr>
            <w:r>
              <w:t xml:space="preserve">Specifies the hash value for the password required to edit this worksheet. This value shall be compared with the resulting hash value </w:t>
            </w:r>
            <w:r>
              <w:t>after hashing the user-supplied password using the algorithm specified by the preceding attributes and parent XML element. If the two values match, the protection shall no longer be enforced.</w:t>
            </w:r>
          </w:p>
          <w:p w:rsidR="005F78FC" w:rsidRDefault="005F78FC">
            <w:pPr>
              <w:pStyle w:val="TableBodyText"/>
            </w:pPr>
          </w:p>
          <w:p w:rsidR="005F78FC" w:rsidRDefault="00B42EF3">
            <w:pPr>
              <w:pStyle w:val="TableBodyText"/>
            </w:pPr>
            <w:r>
              <w:t>If this value is omitted, then the reservationPassword attribut</w:t>
            </w:r>
            <w:r>
              <w:t>e shall contain the password hash for the workbook.</w:t>
            </w:r>
          </w:p>
          <w:p w:rsidR="005F78FC" w:rsidRDefault="005F78FC">
            <w:pPr>
              <w:pStyle w:val="TableBodyText"/>
            </w:pPr>
          </w:p>
          <w:p w:rsidR="005F78FC" w:rsidRDefault="00B42EF3">
            <w:pPr>
              <w:pStyle w:val="TableBodyText"/>
            </w:pPr>
            <w:r>
              <w:t>[</w:t>
            </w:r>
            <w:r>
              <w:rPr>
                <w:i/>
              </w:rPr>
              <w:t>Example</w:t>
            </w:r>
            <w:r>
              <w:t>: Consider an Office Open XML document with the following information stored in one of its protection elements:</w:t>
            </w:r>
          </w:p>
          <w:p w:rsidR="005F78FC" w:rsidRDefault="005F78FC">
            <w:pPr>
              <w:pStyle w:val="TableBodyText"/>
            </w:pPr>
          </w:p>
          <w:p w:rsidR="005F78FC" w:rsidRDefault="00B42EF3">
            <w:pPr>
              <w:pStyle w:val="TableBodyText"/>
            </w:pPr>
            <w:r>
              <w:lastRenderedPageBreak/>
              <w:t>&lt;… algorithmName="SHA-1" hashValue="9oN7nWkCAyEZib1RomSJTjmPpCY=" /&gt;</w:t>
            </w:r>
          </w:p>
          <w:p w:rsidR="005F78FC" w:rsidRDefault="005F78FC">
            <w:pPr>
              <w:pStyle w:val="TableBodyText"/>
            </w:pPr>
          </w:p>
          <w:p w:rsidR="005F78FC" w:rsidRDefault="00B42EF3">
            <w:pPr>
              <w:pStyle w:val="TableBodyText"/>
            </w:pPr>
            <w:r>
              <w:t>The hashValue attribute value of 9oN7nWkCAyEZib1RomSJTjmPpCY= specifies that the user-supplied password must be hashed using the pre-processing defined by the parent element (if any) followed by the hashing algorithm (specified via the algorithmName attrib</w:t>
            </w:r>
            <w:r>
              <w:t xml:space="preserve">ute value) and that the resulting hash value must be match for the protection to be disabled. </w:t>
            </w:r>
          </w:p>
          <w:p w:rsidR="005F78FC" w:rsidRDefault="00B42EF3">
            <w:pPr>
              <w:pStyle w:val="TableBodyText"/>
            </w:pPr>
            <w:r>
              <w:rPr>
                <w:i/>
              </w:rPr>
              <w:t>end example</w:t>
            </w:r>
            <w:r>
              <w:t>]</w:t>
            </w:r>
          </w:p>
          <w:p w:rsidR="005F78FC" w:rsidRDefault="005F78FC">
            <w:pPr>
              <w:pStyle w:val="TableBodyText"/>
            </w:pPr>
          </w:p>
          <w:p w:rsidR="005F78FC" w:rsidRDefault="00B42EF3">
            <w:pPr>
              <w:pStyle w:val="TableBodyText"/>
            </w:pPr>
            <w:r>
              <w:t>The possible values for this attribute are defined by the W3C XML Schema base64Binary datatype.</w:t>
            </w:r>
          </w:p>
        </w:tc>
      </w:tr>
      <w:tr w:rsidR="005F78FC" w:rsidTr="005F78FC">
        <w:tc>
          <w:tcPr>
            <w:tcW w:w="0" w:type="auto"/>
            <w:vAlign w:val="center"/>
          </w:tcPr>
          <w:p w:rsidR="005F78FC" w:rsidRDefault="00B42EF3">
            <w:pPr>
              <w:pStyle w:val="TableBodyText"/>
            </w:pPr>
            <w:r>
              <w:rPr>
                <w:b/>
              </w:rPr>
              <w:lastRenderedPageBreak/>
              <w:t>saltValue</w:t>
            </w:r>
          </w:p>
        </w:tc>
        <w:tc>
          <w:tcPr>
            <w:tcW w:w="0" w:type="auto"/>
            <w:vAlign w:val="center"/>
          </w:tcPr>
          <w:p w:rsidR="005F78FC" w:rsidRDefault="00B42EF3">
            <w:pPr>
              <w:pStyle w:val="TableBodyText"/>
            </w:pPr>
            <w:r>
              <w:t>Specifies the random bytes that are pre-</w:t>
            </w:r>
            <w:r>
              <w:t>pended to the user-supplied password before it was hashed by the hashing algorithm.</w:t>
            </w:r>
          </w:p>
        </w:tc>
      </w:tr>
      <w:tr w:rsidR="005F78FC" w:rsidTr="005F78FC">
        <w:tc>
          <w:tcPr>
            <w:tcW w:w="0" w:type="auto"/>
            <w:vAlign w:val="center"/>
          </w:tcPr>
          <w:p w:rsidR="005F78FC" w:rsidRDefault="00B42EF3">
            <w:pPr>
              <w:pStyle w:val="TableBodyText"/>
            </w:pPr>
            <w:r>
              <w:rPr>
                <w:b/>
              </w:rPr>
              <w:t>spinCount</w:t>
            </w:r>
          </w:p>
        </w:tc>
        <w:tc>
          <w:tcPr>
            <w:tcW w:w="0" w:type="auto"/>
            <w:vAlign w:val="center"/>
          </w:tcPr>
          <w:p w:rsidR="005F78FC" w:rsidRDefault="00B42EF3">
            <w:pPr>
              <w:pStyle w:val="TableBodyText"/>
            </w:pPr>
            <w:r>
              <w:t>Specifies the number of times the hashing function shall be iteratively run (using each iteration's result as the input for the next iteration).</w:t>
            </w:r>
          </w:p>
        </w:tc>
      </w:tr>
    </w:tbl>
    <w:p w:rsidR="005F78FC" w:rsidRDefault="005F78FC"/>
    <w:p w:rsidR="005F78FC" w:rsidRDefault="00B42EF3">
      <w:r>
        <w:t>[</w:t>
      </w:r>
      <w:r>
        <w:rPr>
          <w:i/>
        </w:rPr>
        <w:t>Example</w:t>
      </w:r>
      <w:r>
        <w:t xml:space="preserve">: </w:t>
      </w:r>
    </w:p>
    <w:p w:rsidR="005F78FC" w:rsidRDefault="00B42EF3">
      <w:r>
        <w:t>Consider an Office Open XML document with the following information stored in one of its protection elements:</w:t>
      </w:r>
    </w:p>
    <w:p w:rsidR="005F78FC" w:rsidRDefault="00B42EF3">
      <w:r>
        <w:t>&lt; … algorithmName="SHA-1" hashValue="9oN7nWkCAyEZib1RomSJTjmPpCY=" /&gt;</w:t>
      </w:r>
    </w:p>
    <w:p w:rsidR="005F78FC" w:rsidRDefault="00B42EF3">
      <w:r>
        <w:t xml:space="preserve">The algorithmName attribute value of SHA-1 specifies that the SHA-1 hashing </w:t>
      </w:r>
      <w:r>
        <w:t>algorithm must be used to generate a hash from the user-defined password.</w:t>
      </w:r>
    </w:p>
    <w:p w:rsidR="005F78FC" w:rsidRDefault="00B42EF3">
      <w:r>
        <w:rPr>
          <w:i/>
        </w:rPr>
        <w:t>end example</w:t>
      </w:r>
      <w:r>
        <w:t>]</w:t>
      </w:r>
    </w:p>
    <w:p w:rsidR="005F78FC" w:rsidRDefault="00B42EF3">
      <w:pPr>
        <w:pStyle w:val="Heading3"/>
      </w:pPr>
      <w:bookmarkStart w:id="826" w:name="section_db557c47a6d844cba1d1e00b81720be2"/>
      <w:bookmarkStart w:id="827" w:name="_Toc69878186"/>
      <w:r>
        <w:t>Part 1 Section 17.15.1.31, docVar (Single Document Variable)</w:t>
      </w:r>
      <w:bookmarkEnd w:id="826"/>
      <w:bookmarkEnd w:id="827"/>
      <w:r>
        <w:fldChar w:fldCharType="begin"/>
      </w:r>
      <w:r>
        <w:instrText xml:space="preserve"> XE "docVar (Single Document Variable)" </w:instrText>
      </w:r>
      <w:r>
        <w:fldChar w:fldCharType="end"/>
      </w:r>
    </w:p>
    <w:p w:rsidR="005F78FC" w:rsidRDefault="00B42EF3">
      <w:pPr>
        <w:pStyle w:val="Definition-Field"/>
      </w:pPr>
      <w:r>
        <w:t xml:space="preserve">a.   </w:t>
      </w:r>
      <w:r>
        <w:rPr>
          <w:i/>
        </w:rPr>
        <w:t>The standard does not limit the length of the value of the na</w:t>
      </w:r>
      <w:r>
        <w:rPr>
          <w:i/>
        </w:rPr>
        <w:t>me attribute.</w:t>
      </w:r>
    </w:p>
    <w:p w:rsidR="005F78FC" w:rsidRDefault="00B42EF3">
      <w:pPr>
        <w:pStyle w:val="Definition-Field2"/>
      </w:pPr>
      <w:r>
        <w:t>Word restricts the value of this attribute to be at least 1 and at most 255 characters.</w:t>
      </w:r>
    </w:p>
    <w:p w:rsidR="005F78FC" w:rsidRDefault="00B42EF3">
      <w:pPr>
        <w:pStyle w:val="Definition-Field"/>
      </w:pPr>
      <w:r>
        <w:t xml:space="preserve">b.   </w:t>
      </w:r>
      <w:r>
        <w:rPr>
          <w:i/>
        </w:rPr>
        <w:t>The standard does not limit the length of the value of the val attribute.</w:t>
      </w:r>
    </w:p>
    <w:p w:rsidR="005F78FC" w:rsidRDefault="00B42EF3">
      <w:pPr>
        <w:pStyle w:val="Definition-Field2"/>
      </w:pPr>
      <w:r>
        <w:t>Word restricts the value of this attribute to be at most 65280 characters.</w:t>
      </w:r>
    </w:p>
    <w:p w:rsidR="005F78FC" w:rsidRDefault="00B42EF3">
      <w:pPr>
        <w:pStyle w:val="Heading3"/>
      </w:pPr>
      <w:bookmarkStart w:id="828" w:name="section_54ee14414d034f27a278fdc84825d1a4"/>
      <w:bookmarkStart w:id="829" w:name="_Toc69878187"/>
      <w:r>
        <w:t>Part 1 Section 17.15.1.42, doNotUseMarginsForDrawingGridOrigin (Do Not Use Margins for Drawing Grid Origin)</w:t>
      </w:r>
      <w:bookmarkEnd w:id="828"/>
      <w:bookmarkEnd w:id="829"/>
      <w:r>
        <w:fldChar w:fldCharType="begin"/>
      </w:r>
      <w:r>
        <w:instrText xml:space="preserve"> XE "doNotUseMarginsForDrawingGridOrigin (Do Not Use Margins for Drawing Grid Origin)" </w:instrText>
      </w:r>
      <w:r>
        <w:fldChar w:fldCharType="end"/>
      </w:r>
    </w:p>
    <w:p w:rsidR="005F78FC" w:rsidRDefault="00B42EF3">
      <w:pPr>
        <w:pStyle w:val="Definition-Field"/>
      </w:pPr>
      <w:r>
        <w:t xml:space="preserve">a.   </w:t>
      </w:r>
      <w:r>
        <w:rPr>
          <w:i/>
        </w:rPr>
        <w:t>The standard contradicts itself with regard to the mea</w:t>
      </w:r>
      <w:r>
        <w:rPr>
          <w:i/>
        </w:rPr>
        <w:t>ning of this element.</w:t>
      </w:r>
    </w:p>
    <w:p w:rsidR="005F78FC" w:rsidRDefault="00B42EF3">
      <w:pPr>
        <w:pStyle w:val="Definition-Field2"/>
      </w:pPr>
      <w:r>
        <w:t>Word uses the top-left corner of the page as the origin for the drawing grid when this element is present (instead of the margins).</w:t>
      </w:r>
    </w:p>
    <w:p w:rsidR="005F78FC" w:rsidRDefault="00B42EF3">
      <w:pPr>
        <w:pStyle w:val="Heading3"/>
      </w:pPr>
      <w:bookmarkStart w:id="830" w:name="section_8fb48b7d2afc4228bcebccf65ace2627"/>
      <w:bookmarkStart w:id="831" w:name="_Toc69878188"/>
      <w:r>
        <w:t>Part 1 Section 17.15.1.44, drawingGridHorizontalOrigin (Drawing Grid Horizontal Origin Point)</w:t>
      </w:r>
      <w:bookmarkEnd w:id="830"/>
      <w:bookmarkEnd w:id="831"/>
      <w:r>
        <w:fldChar w:fldCharType="begin"/>
      </w:r>
      <w:r>
        <w:instrText xml:space="preserve"> XE "draw</w:instrText>
      </w:r>
      <w:r>
        <w:instrText xml:space="preserve">ingGridHorizontalOrigin (Drawing Grid Horizontal Origin Point)" </w:instrText>
      </w:r>
      <w:r>
        <w:fldChar w:fldCharType="end"/>
      </w:r>
    </w:p>
    <w:p w:rsidR="005F78FC" w:rsidRDefault="00B42EF3">
      <w:pPr>
        <w:pStyle w:val="Definition-Field"/>
      </w:pPr>
      <w:r>
        <w:t xml:space="preserve">a.   </w:t>
      </w:r>
      <w:r>
        <w:rPr>
          <w:i/>
        </w:rPr>
        <w:t>The standard states that this element as specifying the distance from the origin used for horizontal gridlines.</w:t>
      </w:r>
    </w:p>
    <w:p w:rsidR="005F78FC" w:rsidRDefault="00B42EF3">
      <w:pPr>
        <w:pStyle w:val="Definition-Field2"/>
      </w:pPr>
      <w:r>
        <w:t>Word interprets this element as the distance from the origin used for ve</w:t>
      </w:r>
      <w:r>
        <w:t>rtical gridlines.</w:t>
      </w:r>
    </w:p>
    <w:p w:rsidR="005F78FC" w:rsidRDefault="00B42EF3">
      <w:pPr>
        <w:pStyle w:val="Heading3"/>
      </w:pPr>
      <w:bookmarkStart w:id="832" w:name="section_6f3978f5d2b14c05852f0a7002cb7e48"/>
      <w:bookmarkStart w:id="833" w:name="_Toc69878189"/>
      <w:r>
        <w:lastRenderedPageBreak/>
        <w:t>Part 1 Section 17.15.1.46, drawingGridVerticalOrigin (Drawing Grid Vertical Origin Point)</w:t>
      </w:r>
      <w:bookmarkEnd w:id="832"/>
      <w:bookmarkEnd w:id="833"/>
      <w:r>
        <w:fldChar w:fldCharType="begin"/>
      </w:r>
      <w:r>
        <w:instrText xml:space="preserve"> XE "drawingGridVerticalOrigin (Drawing Grid Vertical Origin Point)" </w:instrText>
      </w:r>
      <w:r>
        <w:fldChar w:fldCharType="end"/>
      </w:r>
    </w:p>
    <w:p w:rsidR="005F78FC" w:rsidRDefault="00B42EF3">
      <w:pPr>
        <w:pStyle w:val="Definition-Field"/>
      </w:pPr>
      <w:r>
        <w:t xml:space="preserve">a.   </w:t>
      </w:r>
      <w:r>
        <w:rPr>
          <w:i/>
        </w:rPr>
        <w:t>The standard states that this element specifies the distance from the or</w:t>
      </w:r>
      <w:r>
        <w:rPr>
          <w:i/>
        </w:rPr>
        <w:t>igin used for vertical gridlines.</w:t>
      </w:r>
    </w:p>
    <w:p w:rsidR="005F78FC" w:rsidRDefault="00B42EF3">
      <w:pPr>
        <w:pStyle w:val="Definition-Field2"/>
      </w:pPr>
      <w:r>
        <w:t>Word interprets this element as the distance from the origin used for horizontal gridlines.</w:t>
      </w:r>
    </w:p>
    <w:p w:rsidR="005F78FC" w:rsidRDefault="00B42EF3">
      <w:pPr>
        <w:pStyle w:val="Heading3"/>
      </w:pPr>
      <w:bookmarkStart w:id="834" w:name="section_678b19e3244248e8968a61d46a51d2e0"/>
      <w:bookmarkStart w:id="835" w:name="_Toc69878190"/>
      <w:r>
        <w:t>Part 1 Section 17.15.1.53, hyphenationZone (Hyphenation Zone)</w:t>
      </w:r>
      <w:bookmarkEnd w:id="834"/>
      <w:bookmarkEnd w:id="835"/>
      <w:r>
        <w:fldChar w:fldCharType="begin"/>
      </w:r>
      <w:r>
        <w:instrText xml:space="preserve"> XE "hyphenationZone (Hyphenation Zone)" </w:instrText>
      </w:r>
      <w:r>
        <w:fldChar w:fldCharType="end"/>
      </w:r>
    </w:p>
    <w:p w:rsidR="005F78FC" w:rsidRDefault="00B42EF3">
      <w:pPr>
        <w:pStyle w:val="Definition-Field"/>
      </w:pPr>
      <w:r>
        <w:t xml:space="preserve">a.   </w:t>
      </w:r>
      <w:r>
        <w:rPr>
          <w:i/>
        </w:rPr>
        <w:t xml:space="preserve">The standard states </w:t>
      </w:r>
      <w:r>
        <w:rPr>
          <w:i/>
        </w:rPr>
        <w:t>that if this element is omitted, then a default hyphenation zone of 360 twentieths of a point (0.25") shall be applied.</w:t>
      </w:r>
    </w:p>
    <w:p w:rsidR="005F78FC" w:rsidRDefault="00B42EF3">
      <w:pPr>
        <w:pStyle w:val="Definition-Field2"/>
      </w:pPr>
      <w:r>
        <w:t>Word assigns different default values for the hyphenation zone, based on the language of the running operating system.</w:t>
      </w:r>
    </w:p>
    <w:p w:rsidR="005F78FC" w:rsidRDefault="00B42EF3">
      <w:pPr>
        <w:pStyle w:val="Heading3"/>
      </w:pPr>
      <w:bookmarkStart w:id="836" w:name="section_090d9b057d914871b6324ec1e7035e22"/>
      <w:bookmarkStart w:id="837" w:name="_Toc69878191"/>
      <w:r>
        <w:t>Part 1 Section 17</w:t>
      </w:r>
      <w:r>
        <w:t>.15.1.56, listSeparator (List Separator for Field Code Evaluation)</w:t>
      </w:r>
      <w:bookmarkEnd w:id="836"/>
      <w:bookmarkEnd w:id="837"/>
      <w:r>
        <w:fldChar w:fldCharType="begin"/>
      </w:r>
      <w:r>
        <w:instrText xml:space="preserve"> XE "listSeparator (List Separator for Field Code Evaluation)" </w:instrText>
      </w:r>
      <w:r>
        <w:fldChar w:fldCharType="end"/>
      </w:r>
    </w:p>
    <w:p w:rsidR="005F78FC" w:rsidRDefault="00B42EF3">
      <w:pPr>
        <w:pStyle w:val="Definition-Field"/>
      </w:pPr>
      <w:r>
        <w:t xml:space="preserve">a.   </w:t>
      </w:r>
      <w:r>
        <w:rPr>
          <w:i/>
        </w:rPr>
        <w:t>The standard states that this element specifies the character that shall be interpreted as a list item separator.</w:t>
      </w:r>
    </w:p>
    <w:p w:rsidR="005F78FC" w:rsidRDefault="00B42EF3">
      <w:pPr>
        <w:pStyle w:val="Definition-Field2"/>
      </w:pPr>
      <w:r>
        <w:t xml:space="preserve">Word </w:t>
      </w:r>
      <w:r>
        <w:t>ignores this element and its value and always reads the system locale settings to get the value of the list item separator.</w:t>
      </w:r>
    </w:p>
    <w:p w:rsidR="005F78FC" w:rsidRDefault="00B42EF3">
      <w:pPr>
        <w:pStyle w:val="Heading3"/>
      </w:pPr>
      <w:bookmarkStart w:id="838" w:name="section_b86a56c0b34c41cb905ee041eb3d021f"/>
      <w:bookmarkStart w:id="839" w:name="_Toc69878192"/>
      <w:r>
        <w:t>Part 1 Section 17.15.1.58, noLineBreaksAfter (Custom Set of Characters Which Cannot End a Line)</w:t>
      </w:r>
      <w:bookmarkEnd w:id="838"/>
      <w:bookmarkEnd w:id="839"/>
      <w:r>
        <w:fldChar w:fldCharType="begin"/>
      </w:r>
      <w:r>
        <w:instrText xml:space="preserve"> XE "noLineBreaksAfter (Custom Set of</w:instrText>
      </w:r>
      <w:r>
        <w:instrText xml:space="preserve"> Characters Which Cannot End a Line)" </w:instrText>
      </w:r>
      <w:r>
        <w:fldChar w:fldCharType="end"/>
      </w:r>
    </w:p>
    <w:p w:rsidR="005F78FC" w:rsidRDefault="00B42EF3">
      <w:pPr>
        <w:pStyle w:val="Definition-Field"/>
      </w:pPr>
      <w:r>
        <w:t xml:space="preserve">a.   </w:t>
      </w:r>
      <w:r>
        <w:rPr>
          <w:i/>
        </w:rPr>
        <w:t>The standard does not state how conflicts between this element and the strictFirstAndLastChars elements should be resolved.</w:t>
      </w:r>
    </w:p>
    <w:p w:rsidR="005F78FC" w:rsidRDefault="00B42EF3">
      <w:pPr>
        <w:pStyle w:val="Definition-Field2"/>
      </w:pPr>
      <w:r>
        <w:t xml:space="preserve">Word ignores this element for Japanese text if the strictFirstAndLastChars element is </w:t>
      </w:r>
      <w:r>
        <w:t>specified.</w:t>
      </w:r>
    </w:p>
    <w:p w:rsidR="005F78FC" w:rsidRDefault="00B42EF3">
      <w:pPr>
        <w:pStyle w:val="Definition-Field"/>
      </w:pPr>
      <w:r>
        <w:t xml:space="preserve">b.   </w:t>
      </w:r>
      <w:r>
        <w:rPr>
          <w:i/>
        </w:rPr>
        <w:t>The standard does not limit the length of the value of the val attribute.</w:t>
      </w:r>
    </w:p>
    <w:p w:rsidR="005F78FC" w:rsidRDefault="00B42EF3">
      <w:pPr>
        <w:pStyle w:val="Definition-Field2"/>
      </w:pPr>
      <w:r>
        <w:t>Word restricts the value of this attribute to be at most 50 characters.</w:t>
      </w:r>
    </w:p>
    <w:p w:rsidR="005F78FC" w:rsidRDefault="00B42EF3">
      <w:pPr>
        <w:pStyle w:val="Heading3"/>
      </w:pPr>
      <w:bookmarkStart w:id="840" w:name="section_e6744d01fb9b4f54bc2551359980589c"/>
      <w:bookmarkStart w:id="841" w:name="_Toc69878193"/>
      <w:r>
        <w:t>Part 1 Section 17.15.1.59, noLineBreaksBefore (Custom Set Of Characters Which Cannot Begin A Line)</w:t>
      </w:r>
      <w:bookmarkEnd w:id="840"/>
      <w:bookmarkEnd w:id="841"/>
      <w:r>
        <w:fldChar w:fldCharType="begin"/>
      </w:r>
      <w:r>
        <w:instrText xml:space="preserve"> XE "noLineBreaksBefore (Custom Set Of Characters Which Cannot Begin A Line)" </w:instrText>
      </w:r>
      <w:r>
        <w:fldChar w:fldCharType="end"/>
      </w:r>
    </w:p>
    <w:p w:rsidR="005F78FC" w:rsidRDefault="00B42EF3">
      <w:pPr>
        <w:pStyle w:val="Definition-Field"/>
      </w:pPr>
      <w:r>
        <w:t xml:space="preserve">a.   </w:t>
      </w:r>
      <w:r>
        <w:rPr>
          <w:i/>
        </w:rPr>
        <w:t>The standard does not state how conflicts between this element and the s</w:t>
      </w:r>
      <w:r>
        <w:rPr>
          <w:i/>
        </w:rPr>
        <w:t>trictFirstAndLastChars element should be resolved.</w:t>
      </w:r>
    </w:p>
    <w:p w:rsidR="005F78FC" w:rsidRDefault="00B42EF3">
      <w:pPr>
        <w:pStyle w:val="Definition-Field2"/>
      </w:pPr>
      <w:r>
        <w:t>Word ignores this element when the strictFirstAndLastChars element is also specified.</w:t>
      </w:r>
    </w:p>
    <w:p w:rsidR="005F78FC" w:rsidRDefault="00B42EF3">
      <w:pPr>
        <w:pStyle w:val="Definition-Field"/>
      </w:pPr>
      <w:r>
        <w:t xml:space="preserve">b.   </w:t>
      </w:r>
      <w:r>
        <w:rPr>
          <w:i/>
        </w:rPr>
        <w:t>The standard does not limit the length of the value of the val attribute.</w:t>
      </w:r>
    </w:p>
    <w:p w:rsidR="005F78FC" w:rsidRDefault="00B42EF3">
      <w:pPr>
        <w:pStyle w:val="Definition-Field2"/>
      </w:pPr>
      <w:r>
        <w:t>Word restricts the value of this attribu</w:t>
      </w:r>
      <w:r>
        <w:t>te to be at most 100 characters.</w:t>
      </w:r>
    </w:p>
    <w:p w:rsidR="005F78FC" w:rsidRDefault="00B42EF3">
      <w:pPr>
        <w:pStyle w:val="Heading3"/>
      </w:pPr>
      <w:bookmarkStart w:id="842" w:name="section_8802f662d621416eb4562b7843c90a3b"/>
      <w:bookmarkStart w:id="843" w:name="_Toc69878194"/>
      <w:r>
        <w:t>Part 1 Section 17.15.1.60, noPunctuationKerning (Never Kern Punctuation Characters)</w:t>
      </w:r>
      <w:bookmarkEnd w:id="842"/>
      <w:bookmarkEnd w:id="843"/>
      <w:r>
        <w:fldChar w:fldCharType="begin"/>
      </w:r>
      <w:r>
        <w:instrText xml:space="preserve"> XE "noPunctuationKerning (Never Kern Punctuation Characters)" </w:instrText>
      </w:r>
      <w:r>
        <w:fldChar w:fldCharType="end"/>
      </w:r>
    </w:p>
    <w:p w:rsidR="005F78FC" w:rsidRDefault="00B42EF3">
      <w:pPr>
        <w:pStyle w:val="Definition-Field"/>
      </w:pPr>
      <w:r>
        <w:t xml:space="preserve">a.   </w:t>
      </w:r>
      <w:r>
        <w:rPr>
          <w:i/>
        </w:rPr>
        <w:t>The standard states that the default value of this element is false.</w:t>
      </w:r>
    </w:p>
    <w:p w:rsidR="005F78FC" w:rsidRDefault="00B42EF3">
      <w:pPr>
        <w:pStyle w:val="Definition-Field2"/>
      </w:pPr>
      <w:r>
        <w:t>Word uses a default equal to true when the primary editing language is Korean.</w:t>
      </w:r>
    </w:p>
    <w:p w:rsidR="005F78FC" w:rsidRDefault="00B42EF3">
      <w:pPr>
        <w:pStyle w:val="Definition-Field"/>
      </w:pPr>
      <w:r>
        <w:lastRenderedPageBreak/>
        <w:t xml:space="preserve">b.   </w:t>
      </w:r>
      <w:r>
        <w:rPr>
          <w:i/>
        </w:rPr>
        <w:t>The standard states here that when kerning is enabled, Latin text should be kerned. However, the kern element contains no such restriction.</w:t>
      </w:r>
    </w:p>
    <w:p w:rsidR="005F78FC" w:rsidRDefault="00B42EF3">
      <w:pPr>
        <w:pStyle w:val="Definition-Field2"/>
      </w:pPr>
      <w:r>
        <w:t>Word kerns all characters when k</w:t>
      </w:r>
      <w:r>
        <w:t>erning is enabled.</w:t>
      </w:r>
    </w:p>
    <w:p w:rsidR="005F78FC" w:rsidRDefault="00B42EF3">
      <w:pPr>
        <w:pStyle w:val="Heading3"/>
      </w:pPr>
      <w:bookmarkStart w:id="844" w:name="section_efb3ba595ce5401a8de162bf62a2d89d"/>
      <w:bookmarkStart w:id="845" w:name="_Toc69878195"/>
      <w:r>
        <w:t>Part 1 Section 17.15.1.62, printFractionalCharacterWidth (Print Fractional Character Widths)</w:t>
      </w:r>
      <w:bookmarkEnd w:id="844"/>
      <w:bookmarkEnd w:id="845"/>
      <w:r>
        <w:fldChar w:fldCharType="begin"/>
      </w:r>
      <w:r>
        <w:instrText xml:space="preserve"> XE "printFractionalCharacterWidth (Print Fractional Character Widths)" </w:instrText>
      </w:r>
      <w:r>
        <w:fldChar w:fldCharType="end"/>
      </w:r>
    </w:p>
    <w:p w:rsidR="005F78FC" w:rsidRDefault="00B42EF3">
      <w:pPr>
        <w:pStyle w:val="Definition-Field"/>
      </w:pPr>
      <w:r>
        <w:t xml:space="preserve">a.   </w:t>
      </w:r>
      <w:r>
        <w:rPr>
          <w:i/>
        </w:rPr>
        <w:t>The standard does not state the default behavior when this elemen</w:t>
      </w:r>
      <w:r>
        <w:rPr>
          <w:i/>
        </w:rPr>
        <w:t>t is omitted.</w:t>
      </w:r>
    </w:p>
    <w:p w:rsidR="005F78FC" w:rsidRDefault="00B42EF3">
      <w:pPr>
        <w:pStyle w:val="Definition-Field2"/>
      </w:pPr>
      <w:r>
        <w:t>Word does not apply this property when this element is omitted.</w:t>
      </w:r>
    </w:p>
    <w:p w:rsidR="005F78FC" w:rsidRDefault="00B42EF3">
      <w:pPr>
        <w:pStyle w:val="Definition-Field"/>
      </w:pPr>
      <w:r>
        <w:t xml:space="preserve">b.   </w:t>
      </w:r>
      <w:r>
        <w:rPr>
          <w:i/>
        </w:rPr>
        <w:t>The standard states that this setting specifies that the contents of this document shall be printed with fractional character widths.</w:t>
      </w:r>
    </w:p>
    <w:p w:rsidR="005F78FC" w:rsidRDefault="00B42EF3">
      <w:pPr>
        <w:pStyle w:val="Definition-Field2"/>
      </w:pPr>
      <w:r>
        <w:t>Word ignores this property.</w:t>
      </w:r>
    </w:p>
    <w:p w:rsidR="005F78FC" w:rsidRDefault="00B42EF3">
      <w:pPr>
        <w:pStyle w:val="Heading3"/>
      </w:pPr>
      <w:bookmarkStart w:id="846" w:name="section_9b0dce269f9e4536ba8337b34eb3f536"/>
      <w:bookmarkStart w:id="847" w:name="_Toc69878196"/>
      <w:r>
        <w:t>Part 1 Sect</w:t>
      </w:r>
      <w:r>
        <w:t>ion 17.15.1.63, printPostScriptOverText (Print PostScript Codes With Document Text)</w:t>
      </w:r>
      <w:bookmarkEnd w:id="846"/>
      <w:bookmarkEnd w:id="847"/>
      <w:r>
        <w:fldChar w:fldCharType="begin"/>
      </w:r>
      <w:r>
        <w:instrText xml:space="preserve"> XE "printPostScriptOverText (Print PostScript Codes With Document Text)" </w:instrText>
      </w:r>
      <w:r>
        <w:fldChar w:fldCharType="end"/>
      </w:r>
    </w:p>
    <w:p w:rsidR="005F78FC" w:rsidRDefault="00B42EF3">
      <w:pPr>
        <w:pStyle w:val="Definition-Field"/>
      </w:pPr>
      <w:r>
        <w:t xml:space="preserve">a.   </w:t>
      </w:r>
      <w:r>
        <w:rPr>
          <w:i/>
        </w:rPr>
        <w:t>The standard states that the PostScript codes specified in WordprocessingML documents conta</w:t>
      </w:r>
      <w:r>
        <w:rPr>
          <w:i/>
        </w:rPr>
        <w:t>ining PRINT fields shall be included in foreground (on the same Z-order as text) with the data printed in the contents of a given WordprocessingML document.</w:t>
      </w:r>
    </w:p>
    <w:p w:rsidR="005F78FC" w:rsidRDefault="00B42EF3">
      <w:pPr>
        <w:pStyle w:val="Definition-Field2"/>
      </w:pPr>
      <w:r>
        <w:t>Word ignores this element.</w:t>
      </w:r>
    </w:p>
    <w:p w:rsidR="005F78FC" w:rsidRDefault="00B42EF3">
      <w:pPr>
        <w:pStyle w:val="Heading3"/>
      </w:pPr>
      <w:bookmarkStart w:id="848" w:name="section_6138f7fcba1740f692cb8ed961619ebf"/>
      <w:bookmarkStart w:id="849" w:name="_Toc69878197"/>
      <w:r>
        <w:t>Part 1 Section 17.15.1.69, revisionView (Visibility of Annotation Types)</w:t>
      </w:r>
      <w:bookmarkEnd w:id="848"/>
      <w:bookmarkEnd w:id="849"/>
      <w:r>
        <w:fldChar w:fldCharType="begin"/>
      </w:r>
      <w:r>
        <w:instrText xml:space="preserve"> XE "revisionView (Visibility of Annotation Types)" </w:instrText>
      </w:r>
      <w:r>
        <w:fldChar w:fldCharType="end"/>
      </w:r>
    </w:p>
    <w:p w:rsidR="005F78FC" w:rsidRDefault="00B42EF3">
      <w:pPr>
        <w:pStyle w:val="Definition-Field"/>
      </w:pPr>
      <w:r>
        <w:t xml:space="preserve">a.   </w:t>
      </w:r>
      <w:r>
        <w:rPr>
          <w:i/>
        </w:rPr>
        <w:t>The standard states that the markup attribute specifies whether the application shall visually indicate any additional non-printing area used to display annotations.</w:t>
      </w:r>
    </w:p>
    <w:p w:rsidR="005F78FC" w:rsidRDefault="00B42EF3">
      <w:pPr>
        <w:pStyle w:val="Definition-Field2"/>
      </w:pPr>
      <w:r>
        <w:t>Word uses this attribute to sp</w:t>
      </w:r>
      <w:r>
        <w:t>ecify whether any annotations should be displayed when the document is opened. If this attribute is set to false, then no annotations are displayed, regardless of the state of the other attributes.</w:t>
      </w:r>
    </w:p>
    <w:p w:rsidR="005F78FC" w:rsidRDefault="00B42EF3">
      <w:pPr>
        <w:pStyle w:val="Heading3"/>
      </w:pPr>
      <w:bookmarkStart w:id="850" w:name="section_9e7cca9a56a74c999e307aeedfa4c995"/>
      <w:bookmarkStart w:id="851" w:name="_Toc69878198"/>
      <w:r>
        <w:t>Part 1 Section 17.15.1.70, rsid (Single Session Revision S</w:t>
      </w:r>
      <w:r>
        <w:t>ave ID)</w:t>
      </w:r>
      <w:bookmarkEnd w:id="850"/>
      <w:bookmarkEnd w:id="851"/>
      <w:r>
        <w:fldChar w:fldCharType="begin"/>
      </w:r>
      <w:r>
        <w:instrText xml:space="preserve"> XE "rsid (Single Session Revision Save ID)" </w:instrText>
      </w:r>
      <w:r>
        <w:fldChar w:fldCharType="end"/>
      </w:r>
    </w:p>
    <w:p w:rsidR="005F78FC" w:rsidRDefault="00B42EF3">
      <w:pPr>
        <w:pStyle w:val="Definition-Field"/>
      </w:pPr>
      <w:r>
        <w:t xml:space="preserve">a.   </w:t>
      </w:r>
      <w:r>
        <w:rPr>
          <w:i/>
        </w:rPr>
        <w:t>The standard states that the rsid should be randomly chosen and that every editing session shall be assigned an rsid that is larger than all earlier ones in the same file. If both are observed, th</w:t>
      </w:r>
      <w:r>
        <w:rPr>
          <w:i/>
        </w:rPr>
        <w:t>e application would quickly run out of allowable rsid's.</w:t>
      </w:r>
    </w:p>
    <w:p w:rsidR="005F78FC" w:rsidRDefault="00B42EF3">
      <w:pPr>
        <w:pStyle w:val="Definition-Field2"/>
      </w:pPr>
      <w:r>
        <w:t>Word generates a random number for every rsid that is not necessarily larger than all earlier ones in the same file.</w:t>
      </w:r>
    </w:p>
    <w:p w:rsidR="005F78FC" w:rsidRDefault="00B42EF3">
      <w:pPr>
        <w:pStyle w:val="Heading3"/>
      </w:pPr>
      <w:bookmarkStart w:id="852" w:name="section_5530b6b16de7404188adf0c784df4781"/>
      <w:bookmarkStart w:id="853" w:name="_Toc69878199"/>
      <w:r>
        <w:t xml:space="preserve">Part 1 Section 17.15.1.74, saveInvalidXml (Allow Saving Document As XML File When </w:t>
      </w:r>
      <w:r>
        <w:t>Custom XML Markup Is Invalid)</w:t>
      </w:r>
      <w:bookmarkEnd w:id="852"/>
      <w:bookmarkEnd w:id="853"/>
      <w:r>
        <w:fldChar w:fldCharType="begin"/>
      </w:r>
      <w:r>
        <w:instrText xml:space="preserve"> XE "saveInvalidXml (Allow Saving Document As XML File When Custom XML Markup Is Invalid)" </w:instrText>
      </w:r>
      <w:r>
        <w:fldChar w:fldCharType="end"/>
      </w:r>
    </w:p>
    <w:p w:rsidR="005F78FC" w:rsidRDefault="00B42EF3">
      <w:pPr>
        <w:pStyle w:val="Definition-Field"/>
      </w:pPr>
      <w:r>
        <w:t xml:space="preserve">a.   </w:t>
      </w:r>
      <w:r>
        <w:rPr>
          <w:i/>
        </w:rPr>
        <w:t>The standard states that if the doNotValidateAgainstSchema element is set, then the XML is never invalid and this property is ig</w:t>
      </w:r>
      <w:r>
        <w:rPr>
          <w:i/>
        </w:rPr>
        <w:t>nored.</w:t>
      </w:r>
    </w:p>
    <w:p w:rsidR="005F78FC" w:rsidRDefault="00B42EF3">
      <w:pPr>
        <w:pStyle w:val="Definition-Field2"/>
      </w:pPr>
      <w:r>
        <w:t>Word does not ignore this property when doNotValidateAgainstSchema element is set.</w:t>
      </w:r>
    </w:p>
    <w:p w:rsidR="005F78FC" w:rsidRDefault="00B42EF3">
      <w:pPr>
        <w:pStyle w:val="Heading3"/>
      </w:pPr>
      <w:bookmarkStart w:id="854" w:name="section_4b47b239faff4088bad3808500ee9c0f"/>
      <w:bookmarkStart w:id="855" w:name="_Toc69878200"/>
      <w:r>
        <w:lastRenderedPageBreak/>
        <w:t>Part 1 Section 17.15.1.76, saveThroughXslt (Custom XSL Transform To Use When Saving As XML File)</w:t>
      </w:r>
      <w:bookmarkEnd w:id="854"/>
      <w:bookmarkEnd w:id="855"/>
      <w:r>
        <w:fldChar w:fldCharType="begin"/>
      </w:r>
      <w:r>
        <w:instrText xml:space="preserve"> XE "saveThroughXslt (Custom XSL Transform To Use When Saving As XML F</w:instrText>
      </w:r>
      <w:r>
        <w:instrText xml:space="preserve">ile)" </w:instrText>
      </w:r>
      <w:r>
        <w:fldChar w:fldCharType="end"/>
      </w:r>
    </w:p>
    <w:p w:rsidR="005F78FC" w:rsidRDefault="00B42EF3">
      <w:pPr>
        <w:pStyle w:val="Definition-Field"/>
      </w:pPr>
      <w:r>
        <w:t xml:space="preserve">a.   </w:t>
      </w:r>
      <w:r>
        <w:rPr>
          <w:i/>
        </w:rPr>
        <w:t>The standard states that if both solutionID and id attributes are present, the id attribute is used if the solutionID attribute cannot be used successfully.</w:t>
      </w:r>
    </w:p>
    <w:p w:rsidR="005F78FC" w:rsidRDefault="00B42EF3">
      <w:pPr>
        <w:pStyle w:val="Definition-Field2"/>
      </w:pPr>
      <w:r>
        <w:t>Word ignores the id attribute whenever this attribute is present, even if this inform</w:t>
      </w:r>
      <w:r>
        <w:t>ation cannot be used successfully.</w:t>
      </w:r>
    </w:p>
    <w:p w:rsidR="005F78FC" w:rsidRDefault="00B42EF3">
      <w:pPr>
        <w:pStyle w:val="Definition-Field"/>
      </w:pPr>
      <w:r>
        <w:t xml:space="preserve">b.   </w:t>
      </w:r>
      <w:r>
        <w:rPr>
          <w:i/>
        </w:rPr>
        <w:t>The standard does not state what shall occur when the solutionID attribute cannot be recognized.</w:t>
      </w:r>
    </w:p>
    <w:p w:rsidR="005F78FC" w:rsidRDefault="00B42EF3">
      <w:pPr>
        <w:pStyle w:val="Definition-Field2"/>
      </w:pPr>
      <w:r>
        <w:t>Word ignores the parent saveThroughXslt element if this attribute cannot be recognized.</w:t>
      </w:r>
    </w:p>
    <w:p w:rsidR="005F78FC" w:rsidRDefault="00B42EF3">
      <w:pPr>
        <w:pStyle w:val="Heading3"/>
      </w:pPr>
      <w:bookmarkStart w:id="856" w:name="section_80f71dda5cee4b6b8c0a199fd8a8e206"/>
      <w:bookmarkStart w:id="857" w:name="_Toc69878201"/>
      <w:r>
        <w:t>Part 1 Section 17.15.1.80, show</w:t>
      </w:r>
      <w:r>
        <w:t>XMLTags (Show Visual Indicators for Custom XML Markup Start/End Locations)</w:t>
      </w:r>
      <w:bookmarkEnd w:id="856"/>
      <w:bookmarkEnd w:id="857"/>
      <w:r>
        <w:fldChar w:fldCharType="begin"/>
      </w:r>
      <w:r>
        <w:instrText xml:space="preserve"> XE "showXMLTags (Show Visual Indicators for Custom XML Markup Start/End Locations)" </w:instrText>
      </w:r>
      <w:r>
        <w:fldChar w:fldCharType="end"/>
      </w:r>
    </w:p>
    <w:p w:rsidR="005F78FC" w:rsidRDefault="00B42EF3">
      <w:pPr>
        <w:pStyle w:val="Definition-Field"/>
      </w:pPr>
      <w:r>
        <w:t xml:space="preserve">a.   </w:t>
      </w:r>
      <w:r>
        <w:rPr>
          <w:i/>
        </w:rPr>
        <w:t>The standard does not explicitly state that this element does not need to be roundtripped</w:t>
      </w:r>
      <w:r>
        <w:rPr>
          <w:i/>
        </w:rPr>
        <w:t>.</w:t>
      </w:r>
    </w:p>
    <w:p w:rsidR="005F78FC" w:rsidRDefault="00B42EF3">
      <w:pPr>
        <w:pStyle w:val="Definition-Field2"/>
      </w:pPr>
      <w:r>
        <w:t>Word uses, but does not roundtrip, this element.</w:t>
      </w:r>
    </w:p>
    <w:p w:rsidR="005F78FC" w:rsidRDefault="00B42EF3">
      <w:pPr>
        <w:pStyle w:val="Heading3"/>
      </w:pPr>
      <w:bookmarkStart w:id="858" w:name="section_c2dc42b5a40341a396fac6e15abbad03"/>
      <w:bookmarkStart w:id="859" w:name="_Toc69878202"/>
      <w:r>
        <w:t>Part 1 Section 17.15.1.81, smartTagType (Supplementary Smart Tag Information)</w:t>
      </w:r>
      <w:bookmarkEnd w:id="858"/>
      <w:bookmarkEnd w:id="859"/>
      <w:r>
        <w:fldChar w:fldCharType="begin"/>
      </w:r>
      <w:r>
        <w:instrText xml:space="preserve"> XE "smartTagType (Supplementary Smart Tag Information)" </w:instrText>
      </w:r>
      <w:r>
        <w:fldChar w:fldCharType="end"/>
      </w:r>
    </w:p>
    <w:p w:rsidR="005F78FC" w:rsidRDefault="00B42EF3">
      <w:pPr>
        <w:pStyle w:val="Definition-Field"/>
      </w:pPr>
      <w:r>
        <w:t xml:space="preserve">a.   </w:t>
      </w:r>
      <w:r>
        <w:rPr>
          <w:i/>
        </w:rPr>
        <w:t xml:space="preserve">The standard does explicitly state that this element can be </w:t>
      </w:r>
      <w:r>
        <w:rPr>
          <w:i/>
        </w:rPr>
        <w:t>ignored under certain conditions.</w:t>
      </w:r>
    </w:p>
    <w:p w:rsidR="005F78FC" w:rsidRDefault="00B42EF3">
      <w:pPr>
        <w:pStyle w:val="Definition-Field2"/>
      </w:pPr>
      <w:r>
        <w:t>Word ignores this element if either the name or namespaceuri attribute is omitted, or the attributes do not identify a smart tag contained in the document.</w:t>
      </w:r>
    </w:p>
    <w:p w:rsidR="005F78FC" w:rsidRDefault="00B42EF3">
      <w:pPr>
        <w:pStyle w:val="Definition-Field"/>
      </w:pPr>
      <w:r>
        <w:t xml:space="preserve">b.   </w:t>
      </w:r>
      <w:r>
        <w:rPr>
          <w:i/>
        </w:rPr>
        <w:t>The standard does not say that the url attribute can be ignor</w:t>
      </w:r>
      <w:r>
        <w:rPr>
          <w:i/>
        </w:rPr>
        <w:t>ed under certain conditions.</w:t>
      </w:r>
    </w:p>
    <w:p w:rsidR="005F78FC" w:rsidRDefault="00B42EF3">
      <w:pPr>
        <w:pStyle w:val="Definition-Field2"/>
      </w:pPr>
      <w:r>
        <w:t>Word ignores this attribute when the application already has URL information for this name/namespaceuri combination.</w:t>
      </w:r>
    </w:p>
    <w:p w:rsidR="005F78FC" w:rsidRDefault="00B42EF3">
      <w:pPr>
        <w:pStyle w:val="Heading3"/>
      </w:pPr>
      <w:bookmarkStart w:id="860" w:name="section_4de15093b8f248faa66b08b9e11c112b"/>
      <w:bookmarkStart w:id="861" w:name="_Toc69878203"/>
      <w:r>
        <w:t>Part 1 Section 17.15.1.82, strictFirstAndLastChars (Use Strict Kinsoku Rules for Japanese Text)</w:t>
      </w:r>
      <w:bookmarkEnd w:id="860"/>
      <w:bookmarkEnd w:id="861"/>
      <w:r>
        <w:fldChar w:fldCharType="begin"/>
      </w:r>
      <w:r>
        <w:instrText xml:space="preserve"> XE "strictFirs</w:instrText>
      </w:r>
      <w:r>
        <w:instrText xml:space="preserve">tAndLastChars (Use Strict Kinsoku Rules for Japanese Text)" </w:instrText>
      </w:r>
      <w:r>
        <w:fldChar w:fldCharType="end"/>
      </w:r>
    </w:p>
    <w:p w:rsidR="005F78FC" w:rsidRDefault="00B42EF3">
      <w:pPr>
        <w:pStyle w:val="Definition-Field"/>
      </w:pPr>
      <w:r>
        <w:t xml:space="preserve">a.   </w:t>
      </w:r>
      <w:r>
        <w:rPr>
          <w:i/>
        </w:rPr>
        <w:t>The standard does not state how to resolve conflicts between this element and the noLineBreaksBefore and noLineBreaksAfter elements when their settings conflict.</w:t>
      </w:r>
    </w:p>
    <w:p w:rsidR="005F78FC" w:rsidRDefault="00B42EF3">
      <w:pPr>
        <w:pStyle w:val="Definition-Field2"/>
      </w:pPr>
      <w:r>
        <w:t>Word overrides the setting</w:t>
      </w:r>
      <w:r>
        <w:t>s specified by the noLineBreaksBefore and noLineBreaksAfter elements with the settings from this element on Japanese text.</w:t>
      </w:r>
    </w:p>
    <w:p w:rsidR="005F78FC" w:rsidRDefault="00B42EF3">
      <w:pPr>
        <w:pStyle w:val="Heading3"/>
      </w:pPr>
      <w:bookmarkStart w:id="862" w:name="section_6b4f3e2f281a412ca486c41b5f773b09"/>
      <w:bookmarkStart w:id="863" w:name="_Toc69878204"/>
      <w:r>
        <w:t>Part 1 Section 17.15.1.85, stylePaneFormatFilter (Suggested Filtering for List of Document Styles)</w:t>
      </w:r>
      <w:bookmarkEnd w:id="862"/>
      <w:bookmarkEnd w:id="863"/>
      <w:r>
        <w:fldChar w:fldCharType="begin"/>
      </w:r>
      <w:r>
        <w:instrText xml:space="preserve"> XE "stylePaneFormatFilter (Suggest</w:instrText>
      </w:r>
      <w:r>
        <w:instrText xml:space="preserve">ed Filtering for List of Document Styles)" </w:instrText>
      </w:r>
      <w:r>
        <w:fldChar w:fldCharType="end"/>
      </w:r>
    </w:p>
    <w:p w:rsidR="005F78FC" w:rsidRDefault="00B42EF3">
      <w:pPr>
        <w:pStyle w:val="Definition-Field"/>
      </w:pPr>
      <w:r>
        <w:t xml:space="preserve">a.   </w:t>
      </w:r>
      <w:r>
        <w:rPr>
          <w:i/>
        </w:rPr>
        <w:t>The standard states that the default value of this element is to have all settings defined turned off.</w:t>
      </w:r>
    </w:p>
    <w:p w:rsidR="005F78FC" w:rsidRDefault="00B42EF3">
      <w:pPr>
        <w:pStyle w:val="Definition-Field2"/>
      </w:pPr>
      <w:r>
        <w:t>Word has the following settings turned on: visibleStyles, clearFormatting, headingStyles, and latentSt</w:t>
      </w:r>
      <w:r>
        <w:t>yles.</w:t>
      </w:r>
    </w:p>
    <w:p w:rsidR="005F78FC" w:rsidRDefault="00B42EF3">
      <w:pPr>
        <w:pStyle w:val="Definition-Field"/>
      </w:pPr>
      <w:r>
        <w:t xml:space="preserve">b.   </w:t>
      </w:r>
      <w:r>
        <w:rPr>
          <w:i/>
        </w:rPr>
        <w:t>The standard states the meaning for each setting.</w:t>
      </w:r>
    </w:p>
    <w:p w:rsidR="005F78FC" w:rsidRDefault="00B42EF3">
      <w:pPr>
        <w:pStyle w:val="Definition-Field2"/>
      </w:pPr>
      <w:r>
        <w:t>Word does not support numberingStyles, tableStyles, or directformattingOnTables.</w:t>
      </w:r>
    </w:p>
    <w:p w:rsidR="005F78FC" w:rsidRDefault="00B42EF3">
      <w:pPr>
        <w:pStyle w:val="Definition-Field"/>
      </w:pPr>
      <w:r>
        <w:t xml:space="preserve">c.   </w:t>
      </w:r>
      <w:r>
        <w:rPr>
          <w:i/>
        </w:rPr>
        <w:t>The standard specifies a set of attributes on this element.</w:t>
      </w:r>
    </w:p>
    <w:p w:rsidR="005F78FC" w:rsidRDefault="00B42EF3">
      <w:pPr>
        <w:pStyle w:val="Definition-Field2"/>
      </w:pPr>
      <w:r>
        <w:lastRenderedPageBreak/>
        <w:t>Word reads the val attribute specified in "</w:t>
      </w:r>
      <w:hyperlink r:id="rId103">
        <w:r>
          <w:rPr>
            <w:rStyle w:val="Hyperlink"/>
          </w:rPr>
          <w:t>[ISO/IEC-29500-4]</w:t>
        </w:r>
      </w:hyperlink>
      <w:r>
        <w:t xml:space="preserve"> §14.7.2.4; Additional attribute for stylePaneFormatFilter element (Part 1, §17.15.1.85)" if, and only if, none of the attributes specified in this subsection are present.</w:t>
      </w:r>
    </w:p>
    <w:p w:rsidR="005F78FC" w:rsidRDefault="00B42EF3">
      <w:pPr>
        <w:pStyle w:val="Heading3"/>
      </w:pPr>
      <w:bookmarkStart w:id="864" w:name="section_31d623a4868e43a3abca577849f3ca54"/>
      <w:bookmarkStart w:id="865" w:name="_Toc69878205"/>
      <w:r>
        <w:t>Par</w:t>
      </w:r>
      <w:r>
        <w:t>t 1 Section 17.15.1.87, summaryLength (Percentage of Document to Use When Generating Summary)</w:t>
      </w:r>
      <w:bookmarkEnd w:id="864"/>
      <w:bookmarkEnd w:id="865"/>
      <w:r>
        <w:fldChar w:fldCharType="begin"/>
      </w:r>
      <w:r>
        <w:instrText xml:space="preserve"> XE "summaryLength (Percentage of Document to Use When Generating Summary)" </w:instrText>
      </w:r>
      <w:r>
        <w:fldChar w:fldCharType="end"/>
      </w:r>
    </w:p>
    <w:p w:rsidR="005F78FC" w:rsidRDefault="00B42EF3">
      <w:pPr>
        <w:pStyle w:val="Definition-Field"/>
      </w:pPr>
      <w:r>
        <w:t xml:space="preserve">a.   </w:t>
      </w:r>
      <w:r>
        <w:rPr>
          <w:i/>
        </w:rPr>
        <w:t>The standard does not explicitly state that the summaryLength element can be re</w:t>
      </w:r>
      <w:r>
        <w:rPr>
          <w:i/>
        </w:rPr>
        <w:t>moved when a document is saved.</w:t>
      </w:r>
    </w:p>
    <w:p w:rsidR="005F78FC" w:rsidRDefault="00B42EF3">
      <w:pPr>
        <w:pStyle w:val="Definition-Field2"/>
      </w:pPr>
      <w:r>
        <w:t>Word does not round trip this setting unless certain operations related to automatic summaries are performed while the document is open.</w:t>
      </w:r>
    </w:p>
    <w:p w:rsidR="005F78FC" w:rsidRDefault="00B42EF3">
      <w:pPr>
        <w:pStyle w:val="Definition-Field"/>
      </w:pPr>
      <w:r>
        <w:t xml:space="preserve">b.   </w:t>
      </w:r>
      <w:r>
        <w:rPr>
          <w:i/>
        </w:rPr>
        <w:t>The standard states that the values of the val attribute are defined by the XML Sc</w:t>
      </w:r>
      <w:r>
        <w:rPr>
          <w:i/>
        </w:rPr>
        <w:t>hema integer datatype.</w:t>
      </w:r>
    </w:p>
    <w:p w:rsidR="005F78FC" w:rsidRDefault="00B42EF3">
      <w:pPr>
        <w:pStyle w:val="Definition-Field2"/>
      </w:pPr>
      <w:r>
        <w:t>Word restricts the value of this attribute to be at least 0 and at most 100.</w:t>
      </w:r>
    </w:p>
    <w:p w:rsidR="005F78FC" w:rsidRDefault="00B42EF3">
      <w:pPr>
        <w:pStyle w:val="Heading3"/>
      </w:pPr>
      <w:bookmarkStart w:id="866" w:name="section_490387c4cef043bd9a2b526cc3cae961"/>
      <w:bookmarkStart w:id="867" w:name="_Toc69878206"/>
      <w:r>
        <w:t>Part 1 Section 17.15.1.88, themeFontLang (Theme Font Languages)</w:t>
      </w:r>
      <w:bookmarkEnd w:id="866"/>
      <w:bookmarkEnd w:id="867"/>
      <w:r>
        <w:fldChar w:fldCharType="begin"/>
      </w:r>
      <w:r>
        <w:instrText xml:space="preserve"> XE "themeFontLang (Theme Font Languages)" </w:instrText>
      </w:r>
      <w:r>
        <w:fldChar w:fldCharType="end"/>
      </w:r>
    </w:p>
    <w:p w:rsidR="005F78FC" w:rsidRDefault="00B42EF3">
      <w:pPr>
        <w:pStyle w:val="Definition-Field2"/>
      </w:pPr>
      <w:r>
        <w:rPr>
          <w:i/>
        </w:rPr>
        <w:t>For additional notes that apply to this portion</w:t>
      </w:r>
      <w:r>
        <w:rPr>
          <w:i/>
        </w:rPr>
        <w:t xml:space="preserve"> of the standard, please see the notes for </w:t>
      </w:r>
      <w:hyperlink w:anchor="Section_40c5a8d11e3e43dca5b0f324ea36bac1">
        <w:r>
          <w:rPr>
            <w:rStyle w:val="Hyperlink"/>
          </w:rPr>
          <w:t>lang, §17.3.2.20(a)</w:t>
        </w:r>
      </w:hyperlink>
      <w:r>
        <w:rPr>
          <w:i/>
        </w:rPr>
        <w:t>.</w:t>
      </w:r>
    </w:p>
    <w:p w:rsidR="005F78FC" w:rsidRDefault="00B42EF3">
      <w:pPr>
        <w:pStyle w:val="Definition-Field"/>
      </w:pPr>
      <w:r>
        <w:t xml:space="preserve">a.   </w:t>
      </w:r>
      <w:r>
        <w:rPr>
          <w:i/>
        </w:rPr>
        <w:t xml:space="preserve">The standard states that the default values of languages of the theme fonts are specified by the cs, ea, and latin elements </w:t>
      </w:r>
      <w:r>
        <w:rPr>
          <w:i/>
        </w:rPr>
        <w:t>in the Theme part.</w:t>
      </w:r>
    </w:p>
    <w:p w:rsidR="005F78FC" w:rsidRDefault="00B42EF3">
      <w:pPr>
        <w:pStyle w:val="Definition-Field2"/>
      </w:pPr>
      <w:r>
        <w:t>Word calculates the default languages of the theme fonts based on the Office install language and the system installed keyboards.</w:t>
      </w:r>
    </w:p>
    <w:p w:rsidR="005F78FC" w:rsidRDefault="00B42EF3">
      <w:pPr>
        <w:pStyle w:val="Heading3"/>
      </w:pPr>
      <w:bookmarkStart w:id="868" w:name="section_d8bc14c05eeb49c19ba78edf4c33976f"/>
      <w:bookmarkStart w:id="869" w:name="_Toc69878207"/>
      <w:r>
        <w:t>Part 1 Section 17.15.1.90, updateFields (Automatically Recalculate Fields on Open)</w:t>
      </w:r>
      <w:bookmarkEnd w:id="868"/>
      <w:bookmarkEnd w:id="869"/>
      <w:r>
        <w:fldChar w:fldCharType="begin"/>
      </w:r>
      <w:r>
        <w:instrText xml:space="preserve"> XE "updateFields (Automa</w:instrText>
      </w:r>
      <w:r>
        <w:instrText xml:space="preserve">tically Recalculate Fields on Open)" </w:instrText>
      </w:r>
      <w:r>
        <w:fldChar w:fldCharType="end"/>
      </w:r>
    </w:p>
    <w:p w:rsidR="005F78FC" w:rsidRDefault="00B42EF3">
      <w:pPr>
        <w:pStyle w:val="Definition-Field"/>
      </w:pPr>
      <w:r>
        <w:t xml:space="preserve">a.   </w:t>
      </w:r>
      <w:r>
        <w:rPr>
          <w:i/>
        </w:rPr>
        <w:t>The standard makes no explicit mention of the roundtripping behavior of the updateFields element.</w:t>
      </w:r>
    </w:p>
    <w:p w:rsidR="005F78FC" w:rsidRDefault="00B42EF3">
      <w:pPr>
        <w:pStyle w:val="Definition-Field2"/>
      </w:pPr>
      <w:r>
        <w:t>Word does not roundtrip the updateFields element in all circumstances.</w:t>
      </w:r>
    </w:p>
    <w:p w:rsidR="005F78FC" w:rsidRDefault="00B42EF3">
      <w:pPr>
        <w:pStyle w:val="Heading3"/>
      </w:pPr>
      <w:bookmarkStart w:id="870" w:name="section_9a6fb0ecc0454d0bb29c8f94edddef13"/>
      <w:bookmarkStart w:id="871" w:name="_Toc69878208"/>
      <w:r>
        <w:t xml:space="preserve">Part 1 Section 17.15.1.92, view (Document </w:t>
      </w:r>
      <w:r>
        <w:t>View Setting)</w:t>
      </w:r>
      <w:bookmarkEnd w:id="870"/>
      <w:bookmarkEnd w:id="871"/>
      <w:r>
        <w:fldChar w:fldCharType="begin"/>
      </w:r>
      <w:r>
        <w:instrText xml:space="preserve"> XE "view (Document View Setting)" </w:instrText>
      </w:r>
      <w:r>
        <w:fldChar w:fldCharType="end"/>
      </w:r>
    </w:p>
    <w:p w:rsidR="005F78FC" w:rsidRDefault="00B42EF3">
      <w:pPr>
        <w:pStyle w:val="Definition-Field"/>
      </w:pPr>
      <w:r>
        <w:t xml:space="preserve">a.   </w:t>
      </w:r>
      <w:r>
        <w:rPr>
          <w:i/>
        </w:rPr>
        <w:t>The standard states that the val attribute value specifies the view which shall be used to render the contents of a WordprocessingML document.</w:t>
      </w:r>
    </w:p>
    <w:p w:rsidR="005F78FC" w:rsidRDefault="00B42EF3">
      <w:pPr>
        <w:pStyle w:val="Definition-Field2"/>
      </w:pPr>
      <w:r>
        <w:t>Under certain conditions, Word treats a value of normal a</w:t>
      </w:r>
      <w:r>
        <w:t>s unsupported when the document is loaded and reverted to a value of print.</w:t>
      </w:r>
    </w:p>
    <w:p w:rsidR="005F78FC" w:rsidRDefault="00B42EF3">
      <w:pPr>
        <w:pStyle w:val="Heading3"/>
      </w:pPr>
      <w:bookmarkStart w:id="872" w:name="section_3a54031ff56e49cf8701a75401f3130d"/>
      <w:bookmarkStart w:id="873" w:name="_Toc69878209"/>
      <w:r>
        <w:t>Part 1 Section 17.15.1.93, writeProtection (Write Protection)</w:t>
      </w:r>
      <w:bookmarkEnd w:id="872"/>
      <w:bookmarkEnd w:id="873"/>
      <w:r>
        <w:fldChar w:fldCharType="begin"/>
      </w:r>
      <w:r>
        <w:instrText xml:space="preserve"> XE "writeProtection (Write Protection)" </w:instrText>
      </w:r>
      <w:r>
        <w:fldChar w:fldCharType="end"/>
      </w:r>
    </w:p>
    <w:p w:rsidR="005F78FC" w:rsidRDefault="00B42EF3">
      <w:pPr>
        <w:pStyle w:val="Definition-Field2"/>
      </w:pPr>
      <w:r>
        <w:rPr>
          <w:i/>
        </w:rPr>
        <w:t>For additional notes that apply to this portion of the standard, please see</w:t>
      </w:r>
      <w:r>
        <w:rPr>
          <w:i/>
        </w:rPr>
        <w:t xml:space="preserve"> the notes for </w:t>
      </w:r>
      <w:hyperlink w:anchor="Section_e12d2773e2d045bfb1c2b8f0548e156d">
        <w:r>
          <w:rPr>
            <w:rStyle w:val="Hyperlink"/>
          </w:rPr>
          <w:t>documentProtection, §17.15.1.29(a, b,d, e)</w:t>
        </w:r>
      </w:hyperlink>
      <w:r>
        <w:rPr>
          <w:i/>
        </w:rPr>
        <w:t>.</w:t>
      </w:r>
    </w:p>
    <w:p w:rsidR="005F78FC" w:rsidRDefault="00B42EF3">
      <w:pPr>
        <w:pStyle w:val="Definition-Field"/>
      </w:pPr>
      <w:r>
        <w:t xml:space="preserve">a.   </w:t>
      </w:r>
      <w:r>
        <w:rPr>
          <w:i/>
        </w:rPr>
        <w:t>The standard states that this setting is keyed off of a non-existent password attribute.</w:t>
      </w:r>
    </w:p>
    <w:p w:rsidR="005F78FC" w:rsidRDefault="00B42EF3">
      <w:pPr>
        <w:pStyle w:val="Definition-Field2"/>
      </w:pPr>
      <w:r>
        <w:t xml:space="preserve">Word uses the AG_Password attribute </w:t>
      </w:r>
      <w:r>
        <w:t>group to determine whether to prompt for a password.</w:t>
      </w:r>
    </w:p>
    <w:p w:rsidR="005F78FC" w:rsidRDefault="00B42EF3">
      <w:pPr>
        <w:pStyle w:val="Definition-Field"/>
      </w:pPr>
      <w:r>
        <w:t xml:space="preserve">b.   </w:t>
      </w:r>
      <w:r>
        <w:rPr>
          <w:i/>
        </w:rPr>
        <w:t>The standard states that this setting uses a specific set of attributes, specified by the AG_Password attribute group, to store the password hash.</w:t>
      </w:r>
    </w:p>
    <w:p w:rsidR="005F78FC" w:rsidRDefault="00B42EF3">
      <w:r>
        <w:lastRenderedPageBreak/>
        <w:t>In Office, when the HKCU/Software/Microsoft/Office/</w:t>
      </w:r>
      <w:r>
        <w:t>&lt;VERSION&gt;/Common/Security/UseIsoPasswordVerifier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Name</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rPr>
                <w:b/>
              </w:rPr>
              <w:t>algorithm Name</w:t>
            </w:r>
          </w:p>
        </w:tc>
        <w:tc>
          <w:tcPr>
            <w:tcW w:w="0" w:type="auto"/>
            <w:vAlign w:val="center"/>
          </w:tcPr>
          <w:p w:rsidR="005F78FC" w:rsidRDefault="00B42EF3">
            <w:pPr>
              <w:pStyle w:val="TableBodyText"/>
            </w:pPr>
            <w:r>
              <w:t xml:space="preserve">The name of the cryptographic hashing algorithm </w:t>
            </w:r>
            <w:r>
              <w:t>used to generate the hash value. Only those algorithms that are installed in the operating system’s cryptographic subsystem can be utilized by Office.</w:t>
            </w:r>
          </w:p>
          <w:p w:rsidR="005F78FC" w:rsidRDefault="005F78FC">
            <w:pPr>
              <w:pStyle w:val="TableBodyText"/>
            </w:pPr>
          </w:p>
          <w:p w:rsidR="005F78FC" w:rsidRDefault="00B42EF3">
            <w:pPr>
              <w:pStyle w:val="TableBodyText"/>
            </w:pPr>
            <w:r>
              <w:t>The following hash algorithm names are reserved:</w:t>
            </w:r>
          </w:p>
          <w:p w:rsidR="005F78FC" w:rsidRDefault="005F78FC">
            <w:pPr>
              <w:pStyle w:val="TableBodyText"/>
            </w:pPr>
          </w:p>
          <w:p w:rsidR="005F78FC" w:rsidRDefault="00B42EF3">
            <w:pPr>
              <w:pStyle w:val="TableBodyText"/>
            </w:pPr>
            <w:r>
              <w:rPr>
                <w:b/>
                <w:i/>
              </w:rPr>
              <w:t xml:space="preserve">MD2 </w:t>
            </w:r>
          </w:p>
          <w:p w:rsidR="005F78FC" w:rsidRDefault="00B42EF3">
            <w:pPr>
              <w:pStyle w:val="TableBodyText"/>
            </w:pPr>
            <w:r>
              <w:rPr>
                <w:i/>
              </w:rPr>
              <w:t>Specifies that the MD2 algorithm, as defined by R</w:t>
            </w:r>
            <w:r>
              <w:rPr>
                <w:i/>
              </w:rPr>
              <w:t>FC 1319, shall be used.</w:t>
            </w:r>
          </w:p>
          <w:p w:rsidR="005F78FC" w:rsidRDefault="005F78FC">
            <w:pPr>
              <w:pStyle w:val="TableBodyText"/>
            </w:pPr>
          </w:p>
          <w:p w:rsidR="005F78FC" w:rsidRDefault="00B42EF3">
            <w:pPr>
              <w:pStyle w:val="TableBodyText"/>
            </w:pPr>
            <w:r>
              <w:rPr>
                <w:i/>
              </w:rPr>
              <w:t>[Note: It is recommended that applications should avoid using this algorithm to store new hash values, because of publicly known breaks. end note]</w:t>
            </w:r>
          </w:p>
          <w:p w:rsidR="005F78FC" w:rsidRDefault="00B42EF3">
            <w:pPr>
              <w:pStyle w:val="TableBodyText"/>
            </w:pPr>
            <w:r>
              <w:rPr>
                <w:b/>
                <w:i/>
              </w:rPr>
              <w:t xml:space="preserve">MD4 </w:t>
            </w:r>
          </w:p>
          <w:p w:rsidR="005F78FC" w:rsidRDefault="00B42EF3">
            <w:pPr>
              <w:pStyle w:val="TableBodyText"/>
            </w:pPr>
            <w:r>
              <w:rPr>
                <w:i/>
              </w:rPr>
              <w:t>Specifies that the MD4 algorithm, as defined by RFC 1320, shall be used.</w:t>
            </w:r>
          </w:p>
          <w:p w:rsidR="005F78FC" w:rsidRDefault="005F78FC">
            <w:pPr>
              <w:pStyle w:val="TableBodyText"/>
            </w:pPr>
          </w:p>
          <w:p w:rsidR="005F78FC" w:rsidRDefault="00B42EF3">
            <w:pPr>
              <w:pStyle w:val="TableBodyText"/>
            </w:pPr>
            <w:r>
              <w:rPr>
                <w:i/>
              </w:rPr>
              <w:t>[Note</w:t>
            </w:r>
            <w:r>
              <w:rPr>
                <w:i/>
              </w:rPr>
              <w:t>: It is recommended that applications should avoid using this algorithm to store new hash values, because of publicly known breaks. end note]</w:t>
            </w:r>
          </w:p>
          <w:p w:rsidR="005F78FC" w:rsidRDefault="00B42EF3">
            <w:pPr>
              <w:pStyle w:val="TableBodyText"/>
            </w:pPr>
            <w:r>
              <w:rPr>
                <w:b/>
                <w:i/>
              </w:rPr>
              <w:t>MD5</w:t>
            </w:r>
          </w:p>
          <w:p w:rsidR="005F78FC" w:rsidRDefault="00B42EF3">
            <w:pPr>
              <w:pStyle w:val="TableBodyText"/>
            </w:pPr>
            <w:r>
              <w:rPr>
                <w:i/>
              </w:rPr>
              <w:t>Specifies that the MD5 algorithm, as defined by RFC 1321, shall be used.</w:t>
            </w:r>
          </w:p>
          <w:p w:rsidR="005F78FC" w:rsidRDefault="005F78FC">
            <w:pPr>
              <w:pStyle w:val="TableBodyText"/>
            </w:pPr>
          </w:p>
          <w:p w:rsidR="005F78FC" w:rsidRDefault="00B42EF3">
            <w:pPr>
              <w:pStyle w:val="TableBodyText"/>
            </w:pPr>
            <w:r>
              <w:rPr>
                <w:i/>
              </w:rPr>
              <w:t>[Note: It is recommended that applic</w:t>
            </w:r>
            <w:r>
              <w:rPr>
                <w:i/>
              </w:rPr>
              <w:t>ations should avoid using this algorithm to store new hash values, because of publicly known breaks. end note]</w:t>
            </w:r>
          </w:p>
          <w:p w:rsidR="005F78FC" w:rsidRDefault="00B42EF3">
            <w:pPr>
              <w:pStyle w:val="TableBodyText"/>
            </w:pPr>
            <w:r>
              <w:rPr>
                <w:b/>
                <w:i/>
              </w:rPr>
              <w:t>RIPEMD-128</w:t>
            </w:r>
          </w:p>
          <w:p w:rsidR="005F78FC" w:rsidRDefault="00B42EF3">
            <w:pPr>
              <w:pStyle w:val="TableBodyText"/>
            </w:pPr>
            <w:r>
              <w:rPr>
                <w:i/>
              </w:rPr>
              <w:t>Specifies that the RIPEMD-128 algorithm, as defined by ISO/IEC 10118-3:2004 shall be used.</w:t>
            </w:r>
          </w:p>
          <w:p w:rsidR="005F78FC" w:rsidRDefault="005F78FC">
            <w:pPr>
              <w:pStyle w:val="TableBodyText"/>
            </w:pPr>
          </w:p>
          <w:p w:rsidR="005F78FC" w:rsidRDefault="00B42EF3">
            <w:pPr>
              <w:pStyle w:val="TableBodyText"/>
            </w:pPr>
            <w:r>
              <w:rPr>
                <w:i/>
              </w:rPr>
              <w:t>[Note: It is recommended that applications</w:t>
            </w:r>
            <w:r>
              <w:rPr>
                <w:i/>
              </w:rPr>
              <w:t xml:space="preserve"> should avoid using this algorithm to store new hash values, because of publicly known breaks. end note]</w:t>
            </w:r>
          </w:p>
          <w:p w:rsidR="005F78FC" w:rsidRDefault="00B42EF3">
            <w:pPr>
              <w:pStyle w:val="TableBodyText"/>
            </w:pPr>
            <w:r>
              <w:rPr>
                <w:b/>
                <w:i/>
              </w:rPr>
              <w:t>RIPEMD-160</w:t>
            </w:r>
          </w:p>
          <w:p w:rsidR="005F78FC" w:rsidRDefault="00B42EF3">
            <w:pPr>
              <w:pStyle w:val="TableBodyText"/>
            </w:pPr>
            <w:r>
              <w:rPr>
                <w:i/>
              </w:rPr>
              <w:t>Specifies that the RIPEMD-160 algorithm, as defined by ISO/IEC 10118-3:2004, shall be used.</w:t>
            </w:r>
          </w:p>
          <w:p w:rsidR="005F78FC" w:rsidRDefault="00B42EF3">
            <w:pPr>
              <w:pStyle w:val="TableBodyText"/>
            </w:pPr>
            <w:r>
              <w:rPr>
                <w:b/>
                <w:i/>
              </w:rPr>
              <w:t>SHA-1</w:t>
            </w:r>
          </w:p>
          <w:p w:rsidR="005F78FC" w:rsidRDefault="00B42EF3">
            <w:pPr>
              <w:pStyle w:val="TableBodyText"/>
            </w:pPr>
            <w:r>
              <w:rPr>
                <w:i/>
              </w:rPr>
              <w:t xml:space="preserve">Specifies that the SHA-1 algorithm, as </w:t>
            </w:r>
            <w:r>
              <w:rPr>
                <w:i/>
              </w:rPr>
              <w:t>defined by ISO/IEC 10118-3:2004, shall be used.</w:t>
            </w:r>
          </w:p>
          <w:p w:rsidR="005F78FC" w:rsidRDefault="00B42EF3">
            <w:pPr>
              <w:pStyle w:val="TableBodyText"/>
            </w:pPr>
            <w:r>
              <w:rPr>
                <w:b/>
                <w:i/>
              </w:rPr>
              <w:t>SHA-256</w:t>
            </w:r>
          </w:p>
          <w:p w:rsidR="005F78FC" w:rsidRDefault="00B42EF3">
            <w:pPr>
              <w:pStyle w:val="TableBodyText"/>
            </w:pPr>
            <w:r>
              <w:rPr>
                <w:i/>
              </w:rPr>
              <w:t>Specifies that the SHA-256 algorithm, as defined by ISO/IEC 10118-3:2004, shall be used.</w:t>
            </w:r>
          </w:p>
          <w:p w:rsidR="005F78FC" w:rsidRDefault="00B42EF3">
            <w:pPr>
              <w:pStyle w:val="TableBodyText"/>
            </w:pPr>
            <w:r>
              <w:rPr>
                <w:b/>
                <w:i/>
              </w:rPr>
              <w:t>SHA-384</w:t>
            </w:r>
          </w:p>
          <w:p w:rsidR="005F78FC" w:rsidRDefault="00B42EF3">
            <w:pPr>
              <w:pStyle w:val="TableBodyText"/>
            </w:pPr>
            <w:r>
              <w:rPr>
                <w:i/>
              </w:rPr>
              <w:t>Specifies that the SHA-384 algorithm, as defined by ISO/IEC 10118-3:2004, shall be used.</w:t>
            </w:r>
          </w:p>
          <w:p w:rsidR="005F78FC" w:rsidRDefault="00B42EF3">
            <w:pPr>
              <w:pStyle w:val="TableBodyText"/>
            </w:pPr>
            <w:r>
              <w:rPr>
                <w:b/>
                <w:i/>
              </w:rPr>
              <w:t>SHA-512</w:t>
            </w:r>
          </w:p>
          <w:p w:rsidR="005F78FC" w:rsidRDefault="00B42EF3">
            <w:pPr>
              <w:pStyle w:val="TableBodyText"/>
            </w:pPr>
            <w:r>
              <w:rPr>
                <w:i/>
              </w:rPr>
              <w:t>Specif</w:t>
            </w:r>
            <w:r>
              <w:rPr>
                <w:i/>
              </w:rPr>
              <w:t>ies that the SHA-512 algorithm, as defined by ISO/IEC 10118-3:2004, shall be used.</w:t>
            </w:r>
          </w:p>
          <w:p w:rsidR="005F78FC" w:rsidRDefault="00B42EF3">
            <w:pPr>
              <w:pStyle w:val="TableBodyText"/>
            </w:pPr>
            <w:r>
              <w:rPr>
                <w:b/>
                <w:i/>
              </w:rPr>
              <w:t>WHIRLPOOL</w:t>
            </w:r>
          </w:p>
          <w:p w:rsidR="005F78FC" w:rsidRDefault="00B42EF3">
            <w:pPr>
              <w:pStyle w:val="TableBodyText"/>
            </w:pPr>
            <w:r>
              <w:rPr>
                <w:i/>
              </w:rPr>
              <w:t>Specifies that the WHIRLPOOL algorithm, as defined by ISO/IEC 10118-3:2004, shall be used.</w:t>
            </w:r>
          </w:p>
          <w:p w:rsidR="005F78FC" w:rsidRDefault="005F78FC">
            <w:pPr>
              <w:pStyle w:val="TableBodyText"/>
            </w:pPr>
          </w:p>
          <w:p w:rsidR="005F78FC" w:rsidRDefault="005F78FC">
            <w:pPr>
              <w:pStyle w:val="TableBodyText"/>
            </w:pPr>
          </w:p>
        </w:tc>
      </w:tr>
      <w:tr w:rsidR="005F78FC" w:rsidTr="005F78FC">
        <w:tc>
          <w:tcPr>
            <w:tcW w:w="0" w:type="auto"/>
            <w:vAlign w:val="center"/>
          </w:tcPr>
          <w:p w:rsidR="005F78FC" w:rsidRDefault="00B42EF3">
            <w:pPr>
              <w:pStyle w:val="TableBodyText"/>
            </w:pPr>
            <w:r>
              <w:rPr>
                <w:b/>
              </w:rPr>
              <w:t>hash Value</w:t>
            </w:r>
          </w:p>
        </w:tc>
        <w:tc>
          <w:tcPr>
            <w:tcW w:w="0" w:type="auto"/>
            <w:vAlign w:val="center"/>
          </w:tcPr>
          <w:p w:rsidR="005F78FC" w:rsidRDefault="00B42EF3">
            <w:pPr>
              <w:pStyle w:val="TableBodyText"/>
            </w:pPr>
            <w:r>
              <w:t>Specifies the hash value for the password required to edit</w:t>
            </w:r>
            <w:r>
              <w:t xml:space="preserve"> this worksheet. This value shall be compared with the resulting hash value after hashing the user-supplied password using the algorithm specified by the preceding attributes and parent XML element. If the two values match, the protection shall no longer b</w:t>
            </w:r>
            <w:r>
              <w:t>e enforced.</w:t>
            </w:r>
          </w:p>
          <w:p w:rsidR="005F78FC" w:rsidRDefault="005F78FC">
            <w:pPr>
              <w:pStyle w:val="TableBodyText"/>
            </w:pPr>
          </w:p>
          <w:p w:rsidR="005F78FC" w:rsidRDefault="00B42EF3">
            <w:pPr>
              <w:pStyle w:val="TableBodyText"/>
            </w:pPr>
            <w:r>
              <w:lastRenderedPageBreak/>
              <w:t>If this value is omitted, then the reservationPassword attribute shall contain the password hash for the workbook.</w:t>
            </w:r>
          </w:p>
          <w:p w:rsidR="005F78FC" w:rsidRDefault="005F78FC">
            <w:pPr>
              <w:pStyle w:val="TableBodyText"/>
            </w:pPr>
          </w:p>
          <w:p w:rsidR="005F78FC" w:rsidRDefault="00B42EF3">
            <w:pPr>
              <w:pStyle w:val="TableBodyText"/>
            </w:pPr>
            <w:r>
              <w:t>[</w:t>
            </w:r>
            <w:r>
              <w:rPr>
                <w:i/>
              </w:rPr>
              <w:t>Example</w:t>
            </w:r>
            <w:r>
              <w:t>: Consider an Office Open XML document with the following information stored in one of its protection elements:</w:t>
            </w:r>
          </w:p>
          <w:p w:rsidR="005F78FC" w:rsidRDefault="005F78FC">
            <w:pPr>
              <w:pStyle w:val="TableBodyText"/>
            </w:pPr>
          </w:p>
          <w:p w:rsidR="005F78FC" w:rsidRDefault="00B42EF3">
            <w:pPr>
              <w:pStyle w:val="TableBodyText"/>
            </w:pPr>
            <w:r>
              <w:t>&lt;… alg</w:t>
            </w:r>
            <w:r>
              <w:t>orithmName="SHA-1" hashValue="9oN7nWkCAyEZib1RomSJTjmPpCY=" /&gt;</w:t>
            </w:r>
          </w:p>
          <w:p w:rsidR="005F78FC" w:rsidRDefault="005F78FC">
            <w:pPr>
              <w:pStyle w:val="TableBodyText"/>
            </w:pPr>
          </w:p>
          <w:p w:rsidR="005F78FC" w:rsidRDefault="00B42EF3">
            <w:pPr>
              <w:pStyle w:val="TableBodyText"/>
            </w:pPr>
            <w:r>
              <w:t xml:space="preserve">The hashValue attribute value of 9oN7nWkCAyEZib1RomSJTjmPpCY= specifies that the user-supplied password must be hashed using the pre-processing defined by the parent element (if any) followed </w:t>
            </w:r>
            <w:r>
              <w:t xml:space="preserve">by the hashing algorithm (specified via the algorithmName attribute value) and that the resulting hash value must be match for the protection to be disabled. </w:t>
            </w:r>
          </w:p>
          <w:p w:rsidR="005F78FC" w:rsidRDefault="00B42EF3">
            <w:pPr>
              <w:pStyle w:val="TableBodyText"/>
            </w:pPr>
            <w:r>
              <w:rPr>
                <w:i/>
              </w:rPr>
              <w:t>end example</w:t>
            </w:r>
            <w:r>
              <w:t>]</w:t>
            </w:r>
          </w:p>
          <w:p w:rsidR="005F78FC" w:rsidRDefault="005F78FC">
            <w:pPr>
              <w:pStyle w:val="TableBodyText"/>
            </w:pPr>
          </w:p>
          <w:p w:rsidR="005F78FC" w:rsidRDefault="00B42EF3">
            <w:pPr>
              <w:pStyle w:val="TableBodyText"/>
            </w:pPr>
            <w:r>
              <w:t xml:space="preserve">The possible values for this attribute are defined by the W3C XML Schema </w:t>
            </w:r>
            <w:r>
              <w:t>base64Binary datatype.</w:t>
            </w:r>
          </w:p>
        </w:tc>
      </w:tr>
      <w:tr w:rsidR="005F78FC" w:rsidTr="005F78FC">
        <w:tc>
          <w:tcPr>
            <w:tcW w:w="0" w:type="auto"/>
            <w:vAlign w:val="center"/>
          </w:tcPr>
          <w:p w:rsidR="005F78FC" w:rsidRDefault="00B42EF3">
            <w:pPr>
              <w:pStyle w:val="TableBodyText"/>
            </w:pPr>
            <w:r>
              <w:rPr>
                <w:b/>
              </w:rPr>
              <w:lastRenderedPageBreak/>
              <w:t>saltValue</w:t>
            </w:r>
          </w:p>
        </w:tc>
        <w:tc>
          <w:tcPr>
            <w:tcW w:w="0" w:type="auto"/>
            <w:vAlign w:val="center"/>
          </w:tcPr>
          <w:p w:rsidR="005F78FC" w:rsidRDefault="00B42EF3">
            <w:pPr>
              <w:pStyle w:val="TableBodyText"/>
            </w:pPr>
            <w:r>
              <w:t>Specifies the random bytes that are pre-pended to the user-supplied password before it was hashed by the hashing algorithm.</w:t>
            </w:r>
          </w:p>
        </w:tc>
      </w:tr>
      <w:tr w:rsidR="005F78FC" w:rsidTr="005F78FC">
        <w:tc>
          <w:tcPr>
            <w:tcW w:w="0" w:type="auto"/>
            <w:vAlign w:val="center"/>
          </w:tcPr>
          <w:p w:rsidR="005F78FC" w:rsidRDefault="00B42EF3">
            <w:pPr>
              <w:pStyle w:val="TableBodyText"/>
            </w:pPr>
            <w:r>
              <w:rPr>
                <w:b/>
              </w:rPr>
              <w:t>spinCount</w:t>
            </w:r>
          </w:p>
        </w:tc>
        <w:tc>
          <w:tcPr>
            <w:tcW w:w="0" w:type="auto"/>
            <w:vAlign w:val="center"/>
          </w:tcPr>
          <w:p w:rsidR="005F78FC" w:rsidRDefault="00B42EF3">
            <w:pPr>
              <w:pStyle w:val="TableBodyText"/>
            </w:pPr>
            <w:r>
              <w:t>Specifies the number of times the hashing function shall be iteratively run (using each</w:t>
            </w:r>
            <w:r>
              <w:t xml:space="preserve"> iteration's result as the input for the next iteration).</w:t>
            </w:r>
          </w:p>
        </w:tc>
      </w:tr>
    </w:tbl>
    <w:p w:rsidR="005F78FC" w:rsidRDefault="005F78FC"/>
    <w:p w:rsidR="005F78FC" w:rsidRDefault="00B42EF3">
      <w:r>
        <w:t>[</w:t>
      </w:r>
      <w:r>
        <w:rPr>
          <w:i/>
        </w:rPr>
        <w:t>Example</w:t>
      </w:r>
      <w:r>
        <w:t xml:space="preserve">: </w:t>
      </w:r>
    </w:p>
    <w:p w:rsidR="005F78FC" w:rsidRDefault="00B42EF3">
      <w:r>
        <w:t>Consider an Office Open XML document with the following information stored in one of its protection elements:</w:t>
      </w:r>
    </w:p>
    <w:p w:rsidR="005F78FC" w:rsidRDefault="00B42EF3">
      <w:r>
        <w:t>&lt; … algorithmName="SHA-1" hashValue="9oN7nWkCAyEZib1RomSJTjmPpCY=" /&gt;</w:t>
      </w:r>
    </w:p>
    <w:p w:rsidR="005F78FC" w:rsidRDefault="00B42EF3">
      <w:r>
        <w:t xml:space="preserve">The </w:t>
      </w:r>
      <w:r>
        <w:t>algorithmName attribute value of SHA-1 specifies that the SHA-1 hashing algorithm must be used to generate a hash from the user-defined password.</w:t>
      </w:r>
    </w:p>
    <w:p w:rsidR="005F78FC" w:rsidRDefault="00B42EF3">
      <w:r>
        <w:rPr>
          <w:i/>
        </w:rPr>
        <w:t>end example</w:t>
      </w:r>
      <w:r>
        <w:t>]</w:t>
      </w:r>
    </w:p>
    <w:p w:rsidR="005F78FC" w:rsidRDefault="00B42EF3">
      <w:pPr>
        <w:pStyle w:val="Definition-Field"/>
      </w:pPr>
      <w:r>
        <w:t xml:space="preserve">c.   </w:t>
      </w:r>
      <w:r>
        <w:rPr>
          <w:i/>
        </w:rPr>
        <w:t>The standard states that all attributes within AG_Password are optional</w:t>
      </w:r>
    </w:p>
    <w:p w:rsidR="005F78FC" w:rsidRDefault="00B42EF3">
      <w:pPr>
        <w:pStyle w:val="Definition-Field2"/>
      </w:pPr>
      <w:r>
        <w:t>If any attribute spe</w:t>
      </w:r>
      <w:r>
        <w:t>cified by AG_Password is present, Word will require these attributes to be present: algorithmName, hashValue, spinCount. Otherwise, Word will not open the file.</w:t>
      </w:r>
    </w:p>
    <w:p w:rsidR="005F78FC" w:rsidRDefault="00B42EF3">
      <w:pPr>
        <w:pStyle w:val="Heading3"/>
      </w:pPr>
      <w:bookmarkStart w:id="874" w:name="section_73d8d8a211eb4c28a37b6aef7041b24c"/>
      <w:bookmarkStart w:id="875" w:name="_Toc69878210"/>
      <w:r>
        <w:t>Part 1 Section 17.15.1.94, zoom (Magnification Setting)</w:t>
      </w:r>
      <w:bookmarkEnd w:id="874"/>
      <w:bookmarkEnd w:id="875"/>
      <w:r>
        <w:fldChar w:fldCharType="begin"/>
      </w:r>
      <w:r>
        <w:instrText xml:space="preserve"> XE "zoom (Magnification Setting)" </w:instrText>
      </w:r>
      <w:r>
        <w:fldChar w:fldCharType="end"/>
      </w:r>
    </w:p>
    <w:p w:rsidR="005F78FC" w:rsidRDefault="00B42EF3">
      <w:pPr>
        <w:pStyle w:val="Definition-Field"/>
      </w:pPr>
      <w:r>
        <w:t>a.</w:t>
      </w:r>
      <w:r>
        <w:t xml:space="preserve">   </w:t>
      </w:r>
      <w:r>
        <w:rPr>
          <w:i/>
        </w:rPr>
        <w:t>The standard states that the percent attribute is required.</w:t>
      </w:r>
    </w:p>
    <w:p w:rsidR="005F78FC" w:rsidRDefault="00B42EF3">
      <w:pPr>
        <w:pStyle w:val="Definition-Field2"/>
      </w:pPr>
      <w:r>
        <w:t>Word does not always require this attribute.</w:t>
      </w:r>
    </w:p>
    <w:p w:rsidR="005F78FC" w:rsidRDefault="00B42EF3">
      <w:pPr>
        <w:pStyle w:val="Definition-Field"/>
      </w:pPr>
      <w:r>
        <w:t xml:space="preserve">b.   </w:t>
      </w:r>
      <w:r>
        <w:rPr>
          <w:i/>
        </w:rPr>
        <w:t>The standard specifies that a percent attribute value of less than the minimum zoom level shall result in display of the document using the app</w:t>
      </w:r>
      <w:r>
        <w:rPr>
          <w:i/>
        </w:rPr>
        <w:t>lication's minimum zoom level.</w:t>
      </w:r>
    </w:p>
    <w:p w:rsidR="005F78FC" w:rsidRDefault="00B42EF3">
      <w:pPr>
        <w:pStyle w:val="Definition-Field2"/>
      </w:pPr>
      <w:r>
        <w:t>Word treats this attribute as omitted when it has a value of 0.</w:t>
      </w:r>
    </w:p>
    <w:p w:rsidR="005F78FC" w:rsidRDefault="00B42EF3">
      <w:pPr>
        <w:pStyle w:val="Definition-Field"/>
      </w:pPr>
      <w:r>
        <w:t xml:space="preserve">c.   </w:t>
      </w:r>
      <w:r>
        <w:rPr>
          <w:i/>
        </w:rPr>
        <w:t>The standard states that this element specifies the magnification level which should be applied to a document when it is displayed by an application.</w:t>
      </w:r>
    </w:p>
    <w:p w:rsidR="005F78FC" w:rsidRDefault="00B42EF3">
      <w:pPr>
        <w:pStyle w:val="Definition-Field2"/>
      </w:pPr>
      <w:r>
        <w:t xml:space="preserve">Word </w:t>
      </w:r>
      <w:r>
        <w:t>2013 ignores this element when reading a document.</w:t>
      </w:r>
    </w:p>
    <w:p w:rsidR="005F78FC" w:rsidRDefault="00B42EF3">
      <w:pPr>
        <w:pStyle w:val="Heading3"/>
      </w:pPr>
      <w:bookmarkStart w:id="876" w:name="section_c2ec4940906f489c8ae252b0ac885207"/>
      <w:bookmarkStart w:id="877" w:name="_Toc69878211"/>
      <w:r>
        <w:lastRenderedPageBreak/>
        <w:t>Part 1 Section 17.15.2.1, allowPNG (Allow PNG as Graphic Format)</w:t>
      </w:r>
      <w:bookmarkEnd w:id="876"/>
      <w:bookmarkEnd w:id="877"/>
      <w:r>
        <w:fldChar w:fldCharType="begin"/>
      </w:r>
      <w:r>
        <w:instrText xml:space="preserve"> XE "allowPNG (Allow PNG as Graphic Format)" </w:instrText>
      </w:r>
      <w:r>
        <w:fldChar w:fldCharType="end"/>
      </w:r>
    </w:p>
    <w:p w:rsidR="005F78FC" w:rsidRDefault="00B42EF3">
      <w:pPr>
        <w:pStyle w:val="Definition-Field"/>
      </w:pPr>
      <w:r>
        <w:t xml:space="preserve">a.   </w:t>
      </w:r>
      <w:r>
        <w:rPr>
          <w:i/>
        </w:rPr>
        <w:t>The standard states that when this element is false, the PNG file format shall not be al</w:t>
      </w:r>
      <w:r>
        <w:rPr>
          <w:i/>
        </w:rPr>
        <w:t>lowed when this document is saved as a web page.</w:t>
      </w:r>
    </w:p>
    <w:p w:rsidR="005F78FC" w:rsidRDefault="00B42EF3">
      <w:pPr>
        <w:pStyle w:val="Definition-Field2"/>
      </w:pPr>
      <w:r>
        <w:t>Word does save PNG files when this setting is off; however, the web page is structured such that the PNG files are not required for a web browser to read the file correctly.</w:t>
      </w:r>
    </w:p>
    <w:p w:rsidR="005F78FC" w:rsidRDefault="00B42EF3">
      <w:pPr>
        <w:pStyle w:val="Heading3"/>
      </w:pPr>
      <w:bookmarkStart w:id="878" w:name="section_1be1db766f44442eb9d1acc7a2bb0e71"/>
      <w:bookmarkStart w:id="879" w:name="_Toc69878212"/>
      <w:r>
        <w:t>Part 1 Section 17.15.2.2, blockQu</w:t>
      </w:r>
      <w:r>
        <w:t>ote (Data for HTML blockquote Element)</w:t>
      </w:r>
      <w:bookmarkEnd w:id="878"/>
      <w:bookmarkEnd w:id="879"/>
      <w:r>
        <w:fldChar w:fldCharType="begin"/>
      </w:r>
      <w:r>
        <w:instrText xml:space="preserve"> XE "blockQuote (Data for HTML blockquote Element)" </w:instrText>
      </w:r>
      <w:r>
        <w:fldChar w:fldCharType="end"/>
      </w:r>
    </w:p>
    <w:p w:rsidR="005F78FC" w:rsidRDefault="00B42EF3">
      <w:pPr>
        <w:pStyle w:val="Definition-Field"/>
      </w:pPr>
      <w:r>
        <w:t xml:space="preserve">a.   </w:t>
      </w:r>
      <w:r>
        <w:rPr>
          <w:i/>
        </w:rPr>
        <w:t>The standard states that if both this element and the bodyDiv element are specified, then the bodyDiv element shall be ignored.</w:t>
      </w:r>
    </w:p>
    <w:p w:rsidR="005F78FC" w:rsidRDefault="00B42EF3">
      <w:pPr>
        <w:pStyle w:val="Definition-Field2"/>
      </w:pPr>
      <w:r>
        <w:t>Word ignores this element in f</w:t>
      </w:r>
      <w:r>
        <w:t>avor of the bodyDiv element when the current div is a direct descendant of the divs element.</w:t>
      </w:r>
    </w:p>
    <w:p w:rsidR="005F78FC" w:rsidRDefault="00B42EF3">
      <w:pPr>
        <w:pStyle w:val="Heading3"/>
      </w:pPr>
      <w:bookmarkStart w:id="880" w:name="section_848d73bb8eec4704bcd5ba25de573e9a"/>
      <w:bookmarkStart w:id="881" w:name="_Toc69878213"/>
      <w:r>
        <w:t>Part 1 Section 17.15.2.3, bodyDiv (Data for HTML body Element)</w:t>
      </w:r>
      <w:bookmarkEnd w:id="880"/>
      <w:bookmarkEnd w:id="881"/>
      <w:r>
        <w:fldChar w:fldCharType="begin"/>
      </w:r>
      <w:r>
        <w:instrText xml:space="preserve"> XE "bodyDiv (Data for HTML body Element)" </w:instrText>
      </w:r>
      <w:r>
        <w:fldChar w:fldCharType="end"/>
      </w:r>
    </w:p>
    <w:p w:rsidR="005F78FC" w:rsidRDefault="00B42EF3">
      <w:pPr>
        <w:pStyle w:val="Definition-Field"/>
      </w:pPr>
      <w:r>
        <w:t xml:space="preserve">a.   </w:t>
      </w:r>
      <w:r>
        <w:rPr>
          <w:i/>
        </w:rPr>
        <w:t xml:space="preserve">The standard states that if both this element and </w:t>
      </w:r>
      <w:r>
        <w:rPr>
          <w:i/>
        </w:rPr>
        <w:t>the blockQuote element ("</w:t>
      </w:r>
      <w:hyperlink r:id="rId104">
        <w:r>
          <w:rPr>
            <w:rStyle w:val="Hyperlink"/>
          </w:rPr>
          <w:t>[ISO/IEC-29500-1]</w:t>
        </w:r>
      </w:hyperlink>
      <w:r>
        <w:rPr>
          <w:i/>
        </w:rPr>
        <w:t xml:space="preserve"> §17.15.2.2; blockQuote") are specified, then this element shall be ignored.</w:t>
      </w:r>
    </w:p>
    <w:p w:rsidR="005F78FC" w:rsidRDefault="00B42EF3">
      <w:pPr>
        <w:pStyle w:val="Definition-Field2"/>
      </w:pPr>
      <w:r>
        <w:t>Word ignores the blockQuote element in favor of this element if this di</w:t>
      </w:r>
      <w:r>
        <w:t>v is a direct subelement of the divs tag.</w:t>
      </w:r>
    </w:p>
    <w:p w:rsidR="005F78FC" w:rsidRDefault="00B42EF3">
      <w:pPr>
        <w:pStyle w:val="Heading3"/>
      </w:pPr>
      <w:bookmarkStart w:id="882" w:name="section_629fcc767cc14e55b9b3b6354b20116a"/>
      <w:bookmarkStart w:id="883" w:name="_Toc69878214"/>
      <w:r>
        <w:t>Part 1 Section 17.15.2.4, bottom (Bottom Border for HTML div)</w:t>
      </w:r>
      <w:bookmarkEnd w:id="882"/>
      <w:bookmarkEnd w:id="883"/>
      <w:r>
        <w:fldChar w:fldCharType="begin"/>
      </w:r>
      <w:r>
        <w:instrText xml:space="preserve"> XE "bottom (Bottom Border for HTML div)"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5F78FC" w:rsidRDefault="00B42EF3">
      <w:pPr>
        <w:pStyle w:val="Heading3"/>
      </w:pPr>
      <w:bookmarkStart w:id="884" w:name="section_9a2a00db9248454d9f81952c27658324"/>
      <w:bookmarkStart w:id="885" w:name="_Toc69878215"/>
      <w:r>
        <w:t>Part 1 Section 17.15.2.</w:t>
      </w:r>
      <w:r>
        <w:t>5, color (Frameset Splitter Color)</w:t>
      </w:r>
      <w:bookmarkEnd w:id="884"/>
      <w:bookmarkEnd w:id="885"/>
      <w:r>
        <w:fldChar w:fldCharType="begin"/>
      </w:r>
      <w:r>
        <w:instrText xml:space="preserve"> XE "color (Frameset Splitter Color)"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8229a0777fc84fba96ccc77b6a4fc768">
        <w:r>
          <w:rPr>
            <w:rStyle w:val="Hyperlink"/>
          </w:rPr>
          <w:t>color, §17.3.2.6(a-c)</w:t>
        </w:r>
      </w:hyperlink>
      <w:r>
        <w:rPr>
          <w:i/>
        </w:rPr>
        <w:t>.</w:t>
      </w:r>
    </w:p>
    <w:p w:rsidR="005F78FC" w:rsidRDefault="00B42EF3">
      <w:pPr>
        <w:pStyle w:val="Definition-Field"/>
      </w:pPr>
      <w:r>
        <w:t xml:space="preserve">a.   </w:t>
      </w:r>
      <w:r>
        <w:rPr>
          <w:i/>
        </w:rPr>
        <w:t>The standard states that the themeColor attribute specifies the theme color that should be applied to the current object.</w:t>
      </w:r>
    </w:p>
    <w:p w:rsidR="005F78FC" w:rsidRDefault="00B42EF3">
      <w:r>
        <w:t>Word does not use the specified theme color, but will use an RGB color calculated from the themeShade and themeTint attributes if this</w:t>
      </w:r>
      <w:r>
        <w:t xml:space="preserve"> attribute is specified in the color element ("</w:t>
      </w:r>
      <w:hyperlink r:id="rId105">
        <w:r>
          <w:rPr>
            <w:rStyle w:val="Hyperlink"/>
          </w:rPr>
          <w:t>[ISO/IEC-29500-1]</w:t>
        </w:r>
      </w:hyperlink>
      <w:r>
        <w:t xml:space="preserve"> §17.15.2.5; color") nested inside a framesetSplitbar element ("[ISO/IEC-29500-1] §17.15.2.20; framesetSplitbar").</w:t>
      </w:r>
    </w:p>
    <w:p w:rsidR="005F78FC" w:rsidRDefault="00B42EF3">
      <w:pPr>
        <w:pStyle w:val="Heading3"/>
      </w:pPr>
      <w:bookmarkStart w:id="886" w:name="section_2740ab5f3c2b41ef954aff6f642e140f"/>
      <w:bookmarkStart w:id="887" w:name="_Toc69878216"/>
      <w:r>
        <w:t>Part 1 Sect</w:t>
      </w:r>
      <w:r>
        <w:t>ion 17.15.2.6, div (Information About Single HTML div Element)</w:t>
      </w:r>
      <w:bookmarkEnd w:id="886"/>
      <w:bookmarkEnd w:id="887"/>
      <w:r>
        <w:fldChar w:fldCharType="begin"/>
      </w:r>
      <w:r>
        <w:instrText xml:space="preserve"> XE "div (Information About Single HTML div Element)" </w:instrText>
      </w:r>
      <w:r>
        <w:fldChar w:fldCharType="end"/>
      </w:r>
    </w:p>
    <w:p w:rsidR="005F78FC" w:rsidRDefault="00B42EF3">
      <w:pPr>
        <w:pStyle w:val="Definition-Field"/>
      </w:pPr>
      <w:r>
        <w:t xml:space="preserve">a.   </w:t>
      </w:r>
      <w:r>
        <w:rPr>
          <w:i/>
        </w:rPr>
        <w:t>The standard states that the values of the id attribute are defined by the XML Schema integer datatype.</w:t>
      </w:r>
    </w:p>
    <w:p w:rsidR="005F78FC" w:rsidRDefault="00B42EF3">
      <w:pPr>
        <w:pStyle w:val="Definition-Field2"/>
      </w:pPr>
      <w:r>
        <w:t xml:space="preserve">Word does not allow a value </w:t>
      </w:r>
      <w:r>
        <w:t>of 0 on this attribute.</w:t>
      </w:r>
    </w:p>
    <w:p w:rsidR="005F78FC" w:rsidRDefault="00B42EF3">
      <w:pPr>
        <w:pStyle w:val="Heading3"/>
      </w:pPr>
      <w:bookmarkStart w:id="888" w:name="section_12c70bad8a3c48ab9451a184aa79471b"/>
      <w:bookmarkStart w:id="889" w:name="_Toc69878217"/>
      <w:r>
        <w:t>Part 1 Section 17.15.2.10, doNotOrganizeInFolder (Do Not Place Supporting Files in Subdirectory)</w:t>
      </w:r>
      <w:bookmarkEnd w:id="888"/>
      <w:bookmarkEnd w:id="889"/>
      <w:r>
        <w:fldChar w:fldCharType="begin"/>
      </w:r>
      <w:r>
        <w:instrText xml:space="preserve"> XE "doNotOrganizeInFolder (Do Not Place Supporting Files in Subdirectory)" </w:instrText>
      </w:r>
      <w:r>
        <w:fldChar w:fldCharType="end"/>
      </w:r>
    </w:p>
    <w:p w:rsidR="005F78FC" w:rsidRDefault="00B42EF3">
      <w:pPr>
        <w:pStyle w:val="Definition-Field"/>
      </w:pPr>
      <w:r>
        <w:t xml:space="preserve">a.   </w:t>
      </w:r>
      <w:r>
        <w:rPr>
          <w:i/>
        </w:rPr>
        <w:t>The standard states that the doNotOrganizeInFolder e</w:t>
      </w:r>
      <w:r>
        <w:rPr>
          <w:i/>
        </w:rPr>
        <w:t>lement specifies that applications shall not automatically place all supporting files in a subdirectory.</w:t>
      </w:r>
    </w:p>
    <w:p w:rsidR="005F78FC" w:rsidRDefault="00B42EF3">
      <w:pPr>
        <w:pStyle w:val="Definition-Field2"/>
      </w:pPr>
      <w:r>
        <w:lastRenderedPageBreak/>
        <w:t>Word ignores this element when the doNotUseLongFileNames element is set to true (or equivalent).</w:t>
      </w:r>
    </w:p>
    <w:p w:rsidR="005F78FC" w:rsidRDefault="00B42EF3">
      <w:pPr>
        <w:pStyle w:val="Heading3"/>
      </w:pPr>
      <w:bookmarkStart w:id="890" w:name="section_829e3c8a5e294f0b9b384d4ab414818c"/>
      <w:bookmarkStart w:id="891" w:name="_Toc69878218"/>
      <w:r>
        <w:t>Part 1 Section 17.15.2.14, encoding (Output Encoding W</w:t>
      </w:r>
      <w:r>
        <w:t>hen Saving as Web Page)</w:t>
      </w:r>
      <w:bookmarkEnd w:id="890"/>
      <w:bookmarkEnd w:id="891"/>
      <w:r>
        <w:fldChar w:fldCharType="begin"/>
      </w:r>
      <w:r>
        <w:instrText xml:space="preserve"> XE "encoding (Output Encoding When Saving as Web Page)" </w:instrText>
      </w:r>
      <w:r>
        <w:fldChar w:fldCharType="end"/>
      </w:r>
    </w:p>
    <w:p w:rsidR="005F78FC" w:rsidRDefault="00B42EF3">
      <w:pPr>
        <w:pStyle w:val="Definition-Field"/>
      </w:pPr>
      <w:r>
        <w:t xml:space="preserve">a.   </w:t>
      </w:r>
      <w:r>
        <w:rPr>
          <w:i/>
        </w:rPr>
        <w:t>The standard requires that this setting is roundtripped as specified.</w:t>
      </w:r>
    </w:p>
    <w:p w:rsidR="005F78FC" w:rsidRDefault="00B42EF3">
      <w:pPr>
        <w:pStyle w:val="Definition-Field2"/>
      </w:pPr>
      <w:r>
        <w:t>Word does not roundtrip this element when the specified encoding is equal to the current default e</w:t>
      </w:r>
      <w:r>
        <w:t>ncoding, or when the specified encoding is not supported.</w:t>
      </w:r>
    </w:p>
    <w:p w:rsidR="005F78FC" w:rsidRDefault="00B42EF3">
      <w:pPr>
        <w:pStyle w:val="Definition-Field"/>
      </w:pPr>
      <w:r>
        <w:t xml:space="preserve">b.   </w:t>
      </w:r>
      <w:r>
        <w:rPr>
          <w:i/>
        </w:rPr>
        <w:t>The standard does not limit the length of the value of the val attribute.</w:t>
      </w:r>
    </w:p>
    <w:p w:rsidR="005F78FC" w:rsidRDefault="00B42EF3">
      <w:pPr>
        <w:pStyle w:val="Definition-Field2"/>
      </w:pPr>
      <w:r>
        <w:t>Word restricts the value of this attribute to be at most 255 characters.</w:t>
      </w:r>
    </w:p>
    <w:p w:rsidR="005F78FC" w:rsidRDefault="00B42EF3">
      <w:pPr>
        <w:pStyle w:val="Heading3"/>
      </w:pPr>
      <w:bookmarkStart w:id="892" w:name="section_3c6fa2ad817947adb6a0f55e3b4a67ca"/>
      <w:bookmarkStart w:id="893" w:name="_Toc69878219"/>
      <w:r>
        <w:t>Part 1 Section 17.15.2.17, frameLayout (Frames</w:t>
      </w:r>
      <w:r>
        <w:t>et Layout)</w:t>
      </w:r>
      <w:bookmarkEnd w:id="892"/>
      <w:bookmarkEnd w:id="893"/>
      <w:r>
        <w:fldChar w:fldCharType="begin"/>
      </w:r>
      <w:r>
        <w:instrText xml:space="preserve"> XE "frameLayout (Frameset Layout)" </w:instrText>
      </w:r>
      <w:r>
        <w:fldChar w:fldCharType="end"/>
      </w:r>
    </w:p>
    <w:p w:rsidR="005F78FC" w:rsidRDefault="00B42EF3">
      <w:pPr>
        <w:pStyle w:val="Definition-Field"/>
      </w:pPr>
      <w:r>
        <w:t xml:space="preserve">a.   </w:t>
      </w:r>
      <w:r>
        <w:rPr>
          <w:i/>
        </w:rPr>
        <w:t>The standard says that if this element is omitted, the frames in this frameset shall be stacked vertically on top of one another (a row frameset).</w:t>
      </w:r>
    </w:p>
    <w:p w:rsidR="005F78FC" w:rsidRDefault="00B42EF3">
      <w:pPr>
        <w:pStyle w:val="Definition-Field2"/>
      </w:pPr>
      <w:r>
        <w:t xml:space="preserve">In Word, if this element is omitted, the default value </w:t>
      </w:r>
      <w:r>
        <w:t>is none.</w:t>
      </w:r>
    </w:p>
    <w:p w:rsidR="005F78FC" w:rsidRDefault="00B42EF3">
      <w:pPr>
        <w:pStyle w:val="Heading3"/>
      </w:pPr>
      <w:bookmarkStart w:id="894" w:name="section_24552affdfd2441fa559cc592469a966"/>
      <w:bookmarkStart w:id="895" w:name="_Toc69878220"/>
      <w:r>
        <w:t>Part 1 Section 17.15.2.18, frameset (Nested Frameset Definition)</w:t>
      </w:r>
      <w:bookmarkEnd w:id="894"/>
      <w:bookmarkEnd w:id="895"/>
      <w:r>
        <w:fldChar w:fldCharType="begin"/>
      </w:r>
      <w:r>
        <w:instrText xml:space="preserve"> XE "frameset (Nested Frameset Definition)" </w:instrText>
      </w:r>
      <w:r>
        <w:fldChar w:fldCharType="end"/>
      </w:r>
    </w:p>
    <w:p w:rsidR="005F78FC" w:rsidRDefault="00B42EF3">
      <w:pPr>
        <w:pStyle w:val="Definition-Field"/>
      </w:pPr>
      <w:r>
        <w:t xml:space="preserve">a.   </w:t>
      </w:r>
      <w:r>
        <w:rPr>
          <w:i/>
        </w:rPr>
        <w:t>The standard does not state the behavior of an empty frameset element.</w:t>
      </w:r>
    </w:p>
    <w:p w:rsidR="005F78FC" w:rsidRDefault="00B42EF3">
      <w:pPr>
        <w:pStyle w:val="Definition-Field2"/>
      </w:pPr>
      <w:r>
        <w:t>Word treats an empty frameset as though it contains a single</w:t>
      </w:r>
      <w:r>
        <w:t xml:space="preserve"> frame element (using its default values).</w:t>
      </w:r>
    </w:p>
    <w:p w:rsidR="005F78FC" w:rsidRDefault="00B42EF3">
      <w:pPr>
        <w:pStyle w:val="Heading3"/>
      </w:pPr>
      <w:bookmarkStart w:id="896" w:name="section_f7970f138896405eae5e7775aa04a053"/>
      <w:bookmarkStart w:id="897" w:name="_Toc69878221"/>
      <w:r>
        <w:t>Part 1 Section 17.15.2.19, frameset (Root Frameset Definition)</w:t>
      </w:r>
      <w:bookmarkEnd w:id="896"/>
      <w:bookmarkEnd w:id="897"/>
      <w:r>
        <w:fldChar w:fldCharType="begin"/>
      </w:r>
      <w:r>
        <w:instrText xml:space="preserve"> XE "frameset (Root Frameset Definition)" </w:instrText>
      </w:r>
      <w:r>
        <w:fldChar w:fldCharType="end"/>
      </w:r>
    </w:p>
    <w:p w:rsidR="005F78FC" w:rsidRDefault="00B42EF3">
      <w:pPr>
        <w:pStyle w:val="Definition-Field"/>
      </w:pPr>
      <w:r>
        <w:t xml:space="preserve">a.   </w:t>
      </w:r>
      <w:r>
        <w:rPr>
          <w:i/>
        </w:rPr>
        <w:t>The standard does not state the behavior of an empty frameset element.</w:t>
      </w:r>
    </w:p>
    <w:p w:rsidR="005F78FC" w:rsidRDefault="00B42EF3">
      <w:pPr>
        <w:pStyle w:val="Definition-Field2"/>
      </w:pPr>
      <w:r>
        <w:t xml:space="preserve">Word treats an empty frameset </w:t>
      </w:r>
      <w:r>
        <w:t>as though it contains a single frame element (using its default values).</w:t>
      </w:r>
    </w:p>
    <w:p w:rsidR="005F78FC" w:rsidRDefault="00B42EF3">
      <w:pPr>
        <w:pStyle w:val="Heading3"/>
      </w:pPr>
      <w:bookmarkStart w:id="898" w:name="section_88086db0881a462fafb3fad01a9b1be3"/>
      <w:bookmarkStart w:id="899" w:name="_Toc69878222"/>
      <w:r>
        <w:t>Part 1 Section 17.15.2.21, left (Left Border for HTML div)</w:t>
      </w:r>
      <w:bookmarkEnd w:id="898"/>
      <w:bookmarkEnd w:id="899"/>
      <w:r>
        <w:fldChar w:fldCharType="begin"/>
      </w:r>
      <w:r>
        <w:instrText xml:space="preserve"> XE "left (Left Border for HTML div)" </w:instrText>
      </w:r>
      <w:r>
        <w:fldChar w:fldCharType="end"/>
      </w:r>
    </w:p>
    <w:p w:rsidR="005F78FC" w:rsidRDefault="00B42EF3">
      <w:pPr>
        <w:pStyle w:val="Definition-Field2"/>
      </w:pPr>
      <w:r>
        <w:rPr>
          <w:i/>
        </w:rPr>
        <w:t>For additional notes that apply to this portion of the standard, please see the note</w:t>
      </w:r>
      <w:r>
        <w:rPr>
          <w:i/>
        </w:rPr>
        <w:t xml:space="preserv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w:t>
      </w:r>
    </w:p>
    <w:p w:rsidR="005F78FC" w:rsidRDefault="00B42EF3">
      <w:pPr>
        <w:pStyle w:val="Definition-Field"/>
      </w:pPr>
      <w:r>
        <w:t xml:space="preserve">a.   </w:t>
      </w:r>
      <w:r>
        <w:rPr>
          <w:i/>
        </w:rPr>
        <w:t>The standard does not state which borders the frame attribute applies to.</w:t>
      </w:r>
    </w:p>
    <w:p w:rsidR="005F78FC" w:rsidRDefault="00B42EF3">
      <w:pPr>
        <w:pStyle w:val="Definition-Field2"/>
      </w:pPr>
      <w:r>
        <w:t xml:space="preserve">Word </w:t>
      </w:r>
      <w:r>
        <w:t>only applies this attribute to the right and bottom borders.</w:t>
      </w:r>
    </w:p>
    <w:p w:rsidR="005F78FC" w:rsidRDefault="00B42EF3">
      <w:pPr>
        <w:pStyle w:val="Heading3"/>
      </w:pPr>
      <w:bookmarkStart w:id="900" w:name="section_a29af684e8d2433685bb33f038481e2c"/>
      <w:bookmarkStart w:id="901" w:name="_Toc69878223"/>
      <w:r>
        <w:t>Part 1 Section 17.15.2.23, longDesc (Frame Long Description)</w:t>
      </w:r>
      <w:bookmarkEnd w:id="900"/>
      <w:bookmarkEnd w:id="901"/>
      <w:r>
        <w:fldChar w:fldCharType="begin"/>
      </w:r>
      <w:r>
        <w:instrText xml:space="preserve"> XE "longDesc (Frame Long Description)" </w:instrText>
      </w:r>
      <w:r>
        <w:fldChar w:fldCharType="end"/>
      </w:r>
    </w:p>
    <w:p w:rsidR="005F78FC" w:rsidRDefault="00B42EF3">
      <w:pPr>
        <w:pStyle w:val="Definition-Field"/>
      </w:pPr>
      <w:r>
        <w:t xml:space="preserve">a.   </w:t>
      </w:r>
      <w:r>
        <w:rPr>
          <w:i/>
        </w:rPr>
        <w:t>The standard specifies this element.</w:t>
      </w:r>
    </w:p>
    <w:p w:rsidR="005F78FC" w:rsidRDefault="00B42EF3">
      <w:pPr>
        <w:pStyle w:val="Definition-Field2"/>
      </w:pPr>
      <w:r>
        <w:t>Word ignores this element.</w:t>
      </w:r>
    </w:p>
    <w:p w:rsidR="005F78FC" w:rsidRDefault="00B42EF3">
      <w:pPr>
        <w:pStyle w:val="Heading3"/>
      </w:pPr>
      <w:bookmarkStart w:id="902" w:name="section_d1915b52a64a4e87a89e66bb610cbfad"/>
      <w:bookmarkStart w:id="903" w:name="_Toc69878224"/>
      <w:r>
        <w:t>Part 1 Section 17.15.2.</w:t>
      </w:r>
      <w:r>
        <w:t>30, name (Frame Name)</w:t>
      </w:r>
      <w:bookmarkEnd w:id="902"/>
      <w:bookmarkEnd w:id="903"/>
      <w:r>
        <w:fldChar w:fldCharType="begin"/>
      </w:r>
      <w:r>
        <w:instrText xml:space="preserve"> XE "name (Frame Name)" </w:instrText>
      </w:r>
      <w:r>
        <w:fldChar w:fldCharType="end"/>
      </w:r>
    </w:p>
    <w:p w:rsidR="005F78FC" w:rsidRDefault="00B42EF3">
      <w:pPr>
        <w:pStyle w:val="Definition-Field"/>
      </w:pPr>
      <w:r>
        <w:t xml:space="preserve">a.   </w:t>
      </w:r>
      <w:r>
        <w:rPr>
          <w:i/>
        </w:rPr>
        <w:t>The standard does not limit the length of the value of the val attribute.</w:t>
      </w:r>
    </w:p>
    <w:p w:rsidR="005F78FC" w:rsidRDefault="00B42EF3">
      <w:pPr>
        <w:pStyle w:val="Definition-Field2"/>
      </w:pPr>
      <w:r>
        <w:t>Word restricts the value of this attribute to be at most 255 characters.</w:t>
      </w:r>
    </w:p>
    <w:p w:rsidR="005F78FC" w:rsidRDefault="00B42EF3">
      <w:pPr>
        <w:pStyle w:val="Heading3"/>
      </w:pPr>
      <w:bookmarkStart w:id="904" w:name="section_1a4436e36c77480184e063d913cb56a8"/>
      <w:bookmarkStart w:id="905" w:name="_Toc69878225"/>
      <w:r>
        <w:lastRenderedPageBreak/>
        <w:t>Part 1 Section 17.15.2.33, optimizeForBrowser (Disable Features Not Supported by Target Web Profile)</w:t>
      </w:r>
      <w:bookmarkEnd w:id="904"/>
      <w:bookmarkEnd w:id="905"/>
      <w:r>
        <w:fldChar w:fldCharType="begin"/>
      </w:r>
      <w:r>
        <w:instrText xml:space="preserve"> XE "optimizeForBrowser (Disable Features Not Supported by Target Web Profile)" </w:instrText>
      </w:r>
      <w:r>
        <w:fldChar w:fldCharType="end"/>
      </w:r>
    </w:p>
    <w:p w:rsidR="005F78FC" w:rsidRDefault="00B42EF3">
      <w:pPr>
        <w:pStyle w:val="Definition-Field"/>
      </w:pPr>
      <w:r>
        <w:t xml:space="preserve">a.   </w:t>
      </w:r>
      <w:r>
        <w:rPr>
          <w:i/>
        </w:rPr>
        <w:t>The standard states that this element (in conjunction with the other</w:t>
      </w:r>
      <w:r>
        <w:rPr>
          <w:i/>
        </w:rPr>
        <w:t xml:space="preserve"> elements listed) is used to set the target web browser.</w:t>
      </w:r>
    </w:p>
    <w:p w:rsidR="005F78FC" w:rsidRDefault="00B42EF3">
      <w:pPr>
        <w:pStyle w:val="Definition-Field2"/>
      </w:pPr>
      <w:r>
        <w:t>Word does not use the indicated settings to determine target browser when document is loaded, instead using Internet Explorer 6 as the target browser in every case.</w:t>
      </w:r>
    </w:p>
    <w:p w:rsidR="005F78FC" w:rsidRDefault="00B42EF3">
      <w:pPr>
        <w:pStyle w:val="Definition-Field"/>
      </w:pPr>
      <w:r>
        <w:t xml:space="preserve">b.   </w:t>
      </w:r>
      <w:r>
        <w:rPr>
          <w:i/>
        </w:rPr>
        <w:t xml:space="preserve">The standard states that the </w:t>
      </w:r>
      <w:r>
        <w:rPr>
          <w:i/>
        </w:rPr>
        <w:t>target attribute should specify which HTML profile to use when saving docs to HTML.</w:t>
      </w:r>
    </w:p>
    <w:p w:rsidR="005F78FC" w:rsidRDefault="00B42EF3">
      <w:pPr>
        <w:pStyle w:val="Definition-Field2"/>
      </w:pPr>
      <w:r>
        <w:t>Word ignores this attribute.</w:t>
      </w:r>
    </w:p>
    <w:p w:rsidR="005F78FC" w:rsidRDefault="00B42EF3">
      <w:pPr>
        <w:pStyle w:val="Heading3"/>
      </w:pPr>
      <w:bookmarkStart w:id="906" w:name="section_47933ae0e3be4fc1b04924347180a89f"/>
      <w:bookmarkStart w:id="907" w:name="_Toc69878226"/>
      <w:r>
        <w:t>Part 1 Section 17.15.2.34, pixelsPerInch (Pixels per Inch for Graphics/Images)</w:t>
      </w:r>
      <w:bookmarkEnd w:id="906"/>
      <w:bookmarkEnd w:id="907"/>
      <w:r>
        <w:fldChar w:fldCharType="begin"/>
      </w:r>
      <w:r>
        <w:instrText xml:space="preserve"> XE "pixelsPerInch (Pixels per Inch for Graphics/Images)" </w:instrText>
      </w:r>
      <w:r>
        <w:fldChar w:fldCharType="end"/>
      </w:r>
    </w:p>
    <w:p w:rsidR="005F78FC" w:rsidRDefault="00B42EF3">
      <w:pPr>
        <w:pStyle w:val="Definition-Field"/>
      </w:pPr>
      <w:r>
        <w:t xml:space="preserve">a.  </w:t>
      </w:r>
      <w:r>
        <w:t xml:space="preserve"> </w:t>
      </w:r>
      <w:r>
        <w:rPr>
          <w:i/>
        </w:rPr>
        <w:t>The standard states that the values of the val attribute are defined by the XML Schema integer datatype.</w:t>
      </w:r>
    </w:p>
    <w:p w:rsidR="005F78FC" w:rsidRDefault="00B42EF3">
      <w:pPr>
        <w:pStyle w:val="Definition-Field2"/>
      </w:pPr>
      <w:r>
        <w:t>Word restricts the value of this attribute to be at least 0 and at most 1023.</w:t>
      </w:r>
    </w:p>
    <w:p w:rsidR="005F78FC" w:rsidRDefault="00B42EF3">
      <w:pPr>
        <w:pStyle w:val="Heading3"/>
      </w:pPr>
      <w:bookmarkStart w:id="908" w:name="section_e15940e2d10546e3901ecc38b9773f7f"/>
      <w:bookmarkStart w:id="909" w:name="_Toc69878227"/>
      <w:r>
        <w:t>Part 1 Section 17.15.2.35, right (Right Border for HTML div)</w:t>
      </w:r>
      <w:bookmarkEnd w:id="908"/>
      <w:bookmarkEnd w:id="909"/>
      <w:r>
        <w:fldChar w:fldCharType="begin"/>
      </w:r>
      <w:r>
        <w:instrText xml:space="preserve"> XE "right (</w:instrText>
      </w:r>
      <w:r>
        <w:instrText xml:space="preserve">Right Border for HTML div)"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5F78FC" w:rsidRDefault="00B42EF3">
      <w:pPr>
        <w:pStyle w:val="Heading3"/>
      </w:pPr>
      <w:bookmarkStart w:id="910" w:name="section_0dc4313ba3e341f796ff723d68d0e725"/>
      <w:bookmarkStart w:id="911" w:name="_Toc69878228"/>
      <w:r>
        <w:t>Part 1 Section 17.15.2.38, sourceFileName (Source File for Frame)</w:t>
      </w:r>
      <w:bookmarkEnd w:id="910"/>
      <w:bookmarkEnd w:id="911"/>
      <w:r>
        <w:fldChar w:fldCharType="begin"/>
      </w:r>
      <w:r>
        <w:instrText xml:space="preserve"> XE "sourceFileName (Source File for Frame)"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5F78FC" w:rsidRDefault="00B42EF3">
      <w:pPr>
        <w:pStyle w:val="Heading3"/>
      </w:pPr>
      <w:bookmarkStart w:id="912" w:name="section_bac943bf2e5d4d439ba2ab0f26a8e8fd"/>
      <w:bookmarkStart w:id="913" w:name="_Toc69878229"/>
      <w:r>
        <w:t>Part 1 Section 17.15.2.39, sz (Frame Size)</w:t>
      </w:r>
      <w:bookmarkEnd w:id="912"/>
      <w:bookmarkEnd w:id="913"/>
      <w:r>
        <w:fldChar w:fldCharType="begin"/>
      </w:r>
      <w:r>
        <w:instrText xml:space="preserve"> XE "sz (Frame Size)" </w:instrText>
      </w:r>
      <w:r>
        <w:fldChar w:fldCharType="end"/>
      </w:r>
    </w:p>
    <w:p w:rsidR="005F78FC" w:rsidRDefault="00B42EF3">
      <w:pPr>
        <w:pStyle w:val="Definition-Field"/>
      </w:pPr>
      <w:r>
        <w:t xml:space="preserve">a. </w:t>
      </w:r>
      <w:r>
        <w:t xml:space="preserve">  </w:t>
      </w:r>
      <w:r>
        <w:rPr>
          <w:i/>
        </w:rPr>
        <w:t>The standard allows any string for the val attribute.</w:t>
      </w:r>
    </w:p>
    <w:p w:rsidR="005F78FC" w:rsidRDefault="00B42EF3">
      <w:pPr>
        <w:pStyle w:val="Definition-Field2"/>
      </w:pPr>
      <w:r>
        <w:t>For the val attribute, Word allows an integer between 1 and 32,767 followed by *; an integer between 1 and 500 followed by %; or an integer which divided by pixelsPerInch gives a value between 0 and 2</w:t>
      </w:r>
      <w:r>
        <w:t>2.</w:t>
      </w:r>
    </w:p>
    <w:p w:rsidR="005F78FC" w:rsidRDefault="00B42EF3">
      <w:pPr>
        <w:pStyle w:val="Definition-Field"/>
      </w:pPr>
      <w:r>
        <w:t xml:space="preserve">b.   </w:t>
      </w:r>
      <w:r>
        <w:rPr>
          <w:i/>
        </w:rPr>
        <w:t>The standard says if this element is omitted, then no information shall be implied about the size of the current frameset.</w:t>
      </w:r>
    </w:p>
    <w:p w:rsidR="005F78FC" w:rsidRDefault="00B42EF3">
      <w:pPr>
        <w:pStyle w:val="Definition-Field2"/>
      </w:pPr>
      <w:r>
        <w:t>Word considers the default value to be 1*.</w:t>
      </w:r>
    </w:p>
    <w:p w:rsidR="005F78FC" w:rsidRDefault="00B42EF3">
      <w:pPr>
        <w:pStyle w:val="Heading3"/>
      </w:pPr>
      <w:bookmarkStart w:id="914" w:name="section_12da267d2f2644498e44750a097fb97f"/>
      <w:bookmarkStart w:id="915" w:name="_Toc69878230"/>
      <w:r>
        <w:t>Part 1 Section 17.15.2.40, sz (Nested Frameset Size)</w:t>
      </w:r>
      <w:bookmarkEnd w:id="914"/>
      <w:bookmarkEnd w:id="915"/>
      <w:r>
        <w:fldChar w:fldCharType="begin"/>
      </w:r>
      <w:r>
        <w:instrText xml:space="preserve"> XE "sz (Nested Frameset Size)</w:instrText>
      </w:r>
      <w:r>
        <w:instrText xml:space="preserve">" </w:instrText>
      </w:r>
      <w:r>
        <w:fldChar w:fldCharType="end"/>
      </w:r>
    </w:p>
    <w:p w:rsidR="005F78FC" w:rsidRDefault="00B42EF3">
      <w:pPr>
        <w:pStyle w:val="Definition-Field"/>
      </w:pPr>
      <w:r>
        <w:t xml:space="preserve">a.   </w:t>
      </w:r>
      <w:r>
        <w:rPr>
          <w:i/>
        </w:rPr>
        <w:t>The standard allows any string for the val attribute.</w:t>
      </w:r>
    </w:p>
    <w:p w:rsidR="005F78FC" w:rsidRDefault="00B42EF3">
      <w:pPr>
        <w:pStyle w:val="Definition-Field2"/>
      </w:pPr>
      <w:r>
        <w:t>For the val attribute, Word allows an integer between 1 and 32,767 followed by *; an integer between 1 and 500 followed by %; or an integer which divided by pixelsPerInch gives a value between</w:t>
      </w:r>
      <w:r>
        <w:t xml:space="preserve"> 0 and 22.</w:t>
      </w:r>
    </w:p>
    <w:p w:rsidR="005F78FC" w:rsidRDefault="00B42EF3">
      <w:pPr>
        <w:pStyle w:val="Definition-Field"/>
      </w:pPr>
      <w:r>
        <w:t xml:space="preserve">b.   </w:t>
      </w:r>
      <w:r>
        <w:rPr>
          <w:i/>
        </w:rPr>
        <w:t>The standard states that no information shall be implied about the size of the current frameset when this element is omitted.</w:t>
      </w:r>
    </w:p>
    <w:p w:rsidR="005F78FC" w:rsidRDefault="00B42EF3">
      <w:pPr>
        <w:pStyle w:val="Definition-Field2"/>
      </w:pPr>
      <w:r>
        <w:lastRenderedPageBreak/>
        <w:t>Word implies that the size of the current frameset shall be a relative measurement with a value of 1 when the sz e</w:t>
      </w:r>
      <w:r>
        <w:t>lement is omitted.</w:t>
      </w:r>
    </w:p>
    <w:p w:rsidR="005F78FC" w:rsidRDefault="00B42EF3">
      <w:pPr>
        <w:pStyle w:val="Heading3"/>
      </w:pPr>
      <w:bookmarkStart w:id="916" w:name="section_1cdcce02e27c40e68d43c718e61f96fc"/>
      <w:bookmarkStart w:id="917" w:name="_Toc69878231"/>
      <w:r>
        <w:t>Part 1 Section 17.15.2.41, targetScreenSz (Target Screen Size for Web Page)</w:t>
      </w:r>
      <w:bookmarkEnd w:id="916"/>
      <w:bookmarkEnd w:id="917"/>
      <w:r>
        <w:fldChar w:fldCharType="begin"/>
      </w:r>
      <w:r>
        <w:instrText xml:space="preserve"> XE "targetScreenSz (Target Screen Size for Web Page)" </w:instrText>
      </w:r>
      <w:r>
        <w:fldChar w:fldCharType="end"/>
      </w:r>
    </w:p>
    <w:p w:rsidR="005F78FC" w:rsidRDefault="00B42EF3">
      <w:pPr>
        <w:pStyle w:val="Definition-Field"/>
      </w:pPr>
      <w:r>
        <w:t xml:space="preserve">a.   </w:t>
      </w:r>
      <w:r>
        <w:rPr>
          <w:i/>
        </w:rPr>
        <w:t>The standard states that this element stores the ideal minimum target screen size on which web page</w:t>
      </w:r>
      <w:r>
        <w:rPr>
          <w:i/>
        </w:rPr>
        <w:t>s generated when saving this document will be displayed.</w:t>
      </w:r>
    </w:p>
    <w:p w:rsidR="005F78FC" w:rsidRDefault="00B42EF3">
      <w:pPr>
        <w:pStyle w:val="Definition-Field2"/>
      </w:pPr>
      <w:r>
        <w:t>Word ignores this element.</w:t>
      </w:r>
    </w:p>
    <w:p w:rsidR="005F78FC" w:rsidRDefault="00B42EF3">
      <w:pPr>
        <w:pStyle w:val="Heading3"/>
      </w:pPr>
      <w:bookmarkStart w:id="918" w:name="section_94bb88fd795741c8b9340f82d8d04f7e"/>
      <w:bookmarkStart w:id="919" w:name="_Toc69878232"/>
      <w:r>
        <w:t>Part 1 Section 17.15.2.42, title (Frame or Frameset Title)</w:t>
      </w:r>
      <w:bookmarkEnd w:id="918"/>
      <w:bookmarkEnd w:id="919"/>
      <w:r>
        <w:fldChar w:fldCharType="begin"/>
      </w:r>
      <w:r>
        <w:instrText xml:space="preserve"> XE "title (Frame or Frameset Title)" </w:instrText>
      </w:r>
      <w:r>
        <w:fldChar w:fldCharType="end"/>
      </w:r>
    </w:p>
    <w:p w:rsidR="005F78FC" w:rsidRDefault="00B42EF3">
      <w:pPr>
        <w:pStyle w:val="Definition-Field"/>
      </w:pPr>
      <w:r>
        <w:t xml:space="preserve">a.   </w:t>
      </w:r>
      <w:r>
        <w:rPr>
          <w:i/>
        </w:rPr>
        <w:t>The standard specifies that a frameset may have a title element.</w:t>
      </w:r>
    </w:p>
    <w:p w:rsidR="005F78FC" w:rsidRDefault="00B42EF3">
      <w:pPr>
        <w:pStyle w:val="Definition-Field2"/>
      </w:pPr>
      <w:r>
        <w:t>Wor</w:t>
      </w:r>
      <w:r>
        <w:t>d ignores any title element inside a frameset; therefore, this element is lost on roundtrip.</w:t>
      </w:r>
      <w:r>
        <w:rPr>
          <w:rStyle w:val="PlaceholderText"/>
        </w:rPr>
        <w:t xml:space="preserve"> </w:t>
      </w:r>
    </w:p>
    <w:p w:rsidR="005F78FC" w:rsidRDefault="00B42EF3">
      <w:pPr>
        <w:pStyle w:val="Heading3"/>
      </w:pPr>
      <w:bookmarkStart w:id="920" w:name="section_bd4c27d984664da3aa9a6ecbff6f39fe"/>
      <w:bookmarkStart w:id="921" w:name="_Toc69878233"/>
      <w:r>
        <w:t>Part 1 Section 17.15.2.43, top (Top Border for HTML div)</w:t>
      </w:r>
      <w:bookmarkEnd w:id="920"/>
      <w:bookmarkEnd w:id="921"/>
      <w:r>
        <w:fldChar w:fldCharType="begin"/>
      </w:r>
      <w:r>
        <w:instrText xml:space="preserve"> XE "top (Top Border for HTML div)"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5F78FC" w:rsidRDefault="00B42EF3">
      <w:pPr>
        <w:pStyle w:val="Heading3"/>
      </w:pPr>
      <w:bookmarkStart w:id="922" w:name="section_61e2927d6fad483d9e933a00bb8620fb"/>
      <w:bookmarkStart w:id="923" w:name="_Toc69878234"/>
      <w:r>
        <w:t>Part 1 Section 17.15.3.2, applyBreakingRules (Use Legacy Ethiopic and Amharic Line Breaking Rules)</w:t>
      </w:r>
      <w:bookmarkEnd w:id="922"/>
      <w:bookmarkEnd w:id="923"/>
      <w:r>
        <w:fldChar w:fldCharType="begin"/>
      </w:r>
      <w:r>
        <w:instrText xml:space="preserve"> XE "applyBreakingRules (Use Legacy Ethiopic and Amharic Line Breaking Ru</w:instrText>
      </w:r>
      <w:r>
        <w:instrText xml:space="preserve">les)" </w:instrText>
      </w:r>
      <w:r>
        <w:fldChar w:fldCharType="end"/>
      </w:r>
    </w:p>
    <w:p w:rsidR="005F78FC" w:rsidRDefault="00B42EF3">
      <w:pPr>
        <w:pStyle w:val="Definition-Field"/>
      </w:pPr>
      <w:r>
        <w:t xml:space="preserve">a.   </w:t>
      </w:r>
      <w:r>
        <w:rPr>
          <w:i/>
        </w:rPr>
        <w:t>The standard says that the application shall allow break opportunities after this specific set of character only if this setting is off.</w:t>
      </w:r>
    </w:p>
    <w:p w:rsidR="005F78FC" w:rsidRDefault="00B42EF3">
      <w:pPr>
        <w:pStyle w:val="Definition-Field2"/>
      </w:pPr>
      <w:r>
        <w:t>Word allows break opportunities after this specific set of characters only if the setting is on.</w:t>
      </w:r>
    </w:p>
    <w:p w:rsidR="005F78FC" w:rsidRDefault="00B42EF3">
      <w:pPr>
        <w:pStyle w:val="Definition-Field"/>
      </w:pPr>
      <w:r>
        <w:t xml:space="preserve">b.   </w:t>
      </w:r>
      <w:r>
        <w:rPr>
          <w:i/>
        </w:rPr>
        <w:t>The</w:t>
      </w:r>
      <w:r>
        <w:rPr>
          <w:i/>
        </w:rPr>
        <w:t xml:space="preserve"> standard says that setting the val attribute to 0, off, or false should turn off this property.</w:t>
      </w:r>
    </w:p>
    <w:p w:rsidR="005F78FC" w:rsidRDefault="00B42EF3">
      <w:pPr>
        <w:pStyle w:val="Definition-Field2"/>
      </w:pPr>
      <w:r>
        <w:t>Word may turn this setting on if editing has been enabled for a language that is right to left or that uses complex scripts.</w:t>
      </w:r>
    </w:p>
    <w:p w:rsidR="005F78FC" w:rsidRDefault="00B42EF3">
      <w:pPr>
        <w:pStyle w:val="Heading3"/>
      </w:pPr>
      <w:bookmarkStart w:id="924" w:name="section_ef7c006b0a794542aea8687f9a5275fc"/>
      <w:bookmarkStart w:id="925" w:name="_Toc69878235"/>
      <w:r>
        <w:t>Part 1 Section 17.15.3.6, doNotLea</w:t>
      </w:r>
      <w:r>
        <w:t>veBackslashAlone (Display Backslash As Yen Sign)</w:t>
      </w:r>
      <w:bookmarkEnd w:id="924"/>
      <w:bookmarkEnd w:id="925"/>
      <w:r>
        <w:fldChar w:fldCharType="begin"/>
      </w:r>
      <w:r>
        <w:instrText xml:space="preserve"> XE "doNotLeaveBackslashAlone (Display Backslash As Yen Sign)" </w:instrText>
      </w:r>
      <w:r>
        <w:fldChar w:fldCharType="end"/>
      </w:r>
    </w:p>
    <w:p w:rsidR="005F78FC" w:rsidRDefault="00B42EF3">
      <w:pPr>
        <w:pStyle w:val="Definition-Field"/>
      </w:pPr>
      <w:r>
        <w:t xml:space="preserve">a.   </w:t>
      </w:r>
      <w:r>
        <w:rPr>
          <w:i/>
        </w:rPr>
        <w:t>The standard states that backslashes should be converted to yen signs unconditionally if the setting is turned on.</w:t>
      </w:r>
    </w:p>
    <w:p w:rsidR="005F78FC" w:rsidRDefault="00B42EF3">
      <w:pPr>
        <w:pStyle w:val="Definition-Field2"/>
      </w:pPr>
      <w:r>
        <w:t>Word only converts bac</w:t>
      </w:r>
      <w:r>
        <w:t>kslashes to yen signs if the setting is turned on and Japanese language support has been installed.</w:t>
      </w:r>
    </w:p>
    <w:p w:rsidR="005F78FC" w:rsidRDefault="00B42EF3">
      <w:pPr>
        <w:pStyle w:val="Heading3"/>
      </w:pPr>
      <w:bookmarkStart w:id="926" w:name="section_6091e3a7b33d4afabff08a7ee9cba183"/>
      <w:bookmarkStart w:id="927" w:name="_Toc69878236"/>
      <w:r>
        <w:t>Part 1 Section 17.16.1, Syntax</w:t>
      </w:r>
      <w:bookmarkEnd w:id="926"/>
      <w:bookmarkEnd w:id="927"/>
      <w:r>
        <w:fldChar w:fldCharType="begin"/>
      </w:r>
      <w:r>
        <w:instrText xml:space="preserve"> XE "Syntax" </w:instrText>
      </w:r>
      <w:r>
        <w:fldChar w:fldCharType="end"/>
      </w:r>
    </w:p>
    <w:p w:rsidR="005F78FC" w:rsidRDefault="00B42EF3">
      <w:pPr>
        <w:pStyle w:val="Definition-Field"/>
      </w:pPr>
      <w:r>
        <w:t xml:space="preserve">a.   </w:t>
      </w:r>
      <w:r>
        <w:rPr>
          <w:i/>
        </w:rPr>
        <w:t>The standard states that an arbitrary amount of white space (including none) is supported between tokens.</w:t>
      </w:r>
    </w:p>
    <w:p w:rsidR="005F78FC" w:rsidRDefault="00B42EF3">
      <w:pPr>
        <w:pStyle w:val="Definition-Field2"/>
      </w:pPr>
      <w:r>
        <w:t>Unless the instruction begins with a field, Word requires white space between the field-type and its instructions, to disambiguate custom field names from a field + string instruction.</w:t>
      </w:r>
    </w:p>
    <w:p w:rsidR="005F78FC" w:rsidRDefault="00B42EF3">
      <w:pPr>
        <w:pStyle w:val="Definition-Field"/>
      </w:pPr>
      <w:r>
        <w:t xml:space="preserve">b.   </w:t>
      </w:r>
      <w:r>
        <w:rPr>
          <w:i/>
        </w:rPr>
        <w:t xml:space="preserve">The standard does not restrict the number of switches used in a </w:t>
      </w:r>
      <w:r>
        <w:rPr>
          <w:i/>
        </w:rPr>
        <w:t>field.</w:t>
      </w:r>
    </w:p>
    <w:p w:rsidR="005F78FC" w:rsidRDefault="00B42EF3">
      <w:pPr>
        <w:pStyle w:val="Definition-Field2"/>
      </w:pPr>
      <w:r>
        <w:t>Word allows at most 10 formatting-switches and at most 10 field-specific-switches in a field.</w:t>
      </w:r>
    </w:p>
    <w:p w:rsidR="005F78FC" w:rsidRDefault="00B42EF3">
      <w:pPr>
        <w:pStyle w:val="Definition-Field"/>
      </w:pPr>
      <w:r>
        <w:lastRenderedPageBreak/>
        <w:t xml:space="preserve">c.   </w:t>
      </w:r>
      <w:r>
        <w:rPr>
          <w:i/>
        </w:rPr>
        <w:t>The standard allows more than one picture switch and allows picture switch to occur in any order relative to other field switches.</w:t>
      </w:r>
    </w:p>
    <w:p w:rsidR="005F78FC" w:rsidRDefault="00B42EF3">
      <w:pPr>
        <w:pStyle w:val="Definition-Field2"/>
      </w:pPr>
      <w:r>
        <w:t>Word allows at most</w:t>
      </w:r>
      <w:r>
        <w:t xml:space="preserve"> one picture switch and requires that picture switch to precede other field switches.</w:t>
      </w:r>
    </w:p>
    <w:p w:rsidR="005F78FC" w:rsidRDefault="00B42EF3">
      <w:pPr>
        <w:pStyle w:val="Definition-Field"/>
      </w:pPr>
      <w:r>
        <w:t xml:space="preserve">d.   </w:t>
      </w:r>
      <w:r>
        <w:rPr>
          <w:i/>
        </w:rPr>
        <w:t>The standard defines a general syntax of fields that includes many field types.</w:t>
      </w:r>
    </w:p>
    <w:p w:rsidR="005F78FC" w:rsidRDefault="00B42EF3">
      <w:pPr>
        <w:ind w:left="360"/>
      </w:pPr>
      <w:r>
        <w:t>Word uses the following field types (</w:t>
      </w:r>
      <w:hyperlink w:anchor="Section_0f6b31f54bcc47ba918420810cfc304f">
        <w:r>
          <w:rPr>
            <w:rStyle w:val="Hyperlink"/>
          </w:rPr>
          <w:t>§3.1.3.2, Additional Fields</w:t>
        </w:r>
      </w:hyperlink>
      <w:r>
        <w:t>) in addition to or superseding those already specified by the general syntax of fields in "</w:t>
      </w:r>
      <w:hyperlink r:id="rId106">
        <w:r>
          <w:rPr>
            <w:rStyle w:val="Hyperlink"/>
          </w:rPr>
          <w:t>[ISO/IEC-29500-1]</w:t>
        </w:r>
      </w:hyperlink>
      <w:r>
        <w:t xml:space="preserve"> §17.16":</w:t>
      </w:r>
    </w:p>
    <w:p w:rsidR="005F78FC" w:rsidRDefault="00B42EF3">
      <w:pPr>
        <w:ind w:left="360"/>
      </w:pPr>
      <w:r>
        <w:t>document-information:</w:t>
      </w:r>
    </w:p>
    <w:p w:rsidR="005F78FC" w:rsidRDefault="00B42EF3">
      <w:pPr>
        <w:ind w:left="360"/>
      </w:pPr>
      <w:r>
        <w:t>PRIVATE</w:t>
      </w:r>
      <w:r>
        <w:t xml:space="preserve">  |  </w:t>
      </w:r>
    </w:p>
    <w:p w:rsidR="005F78FC" w:rsidRDefault="00B42EF3">
      <w:pPr>
        <w:ind w:left="360"/>
      </w:pPr>
      <w:r>
        <w:t>links-and-references:</w:t>
      </w:r>
    </w:p>
    <w:p w:rsidR="005F78FC" w:rsidRDefault="00B42EF3">
      <w:pPr>
        <w:ind w:left="360"/>
      </w:pPr>
      <w:r>
        <w:t>DDE  |  DDEAUTO  |  GLOSSARY  |   INCLUDE  |   IMPORT  | SHAPE</w:t>
      </w:r>
    </w:p>
    <w:p w:rsidR="005F78FC" w:rsidRDefault="00B42EF3">
      <w:pPr>
        <w:pStyle w:val="Definition-Field"/>
      </w:pPr>
      <w:r>
        <w:t xml:space="preserve">e.   </w:t>
      </w:r>
      <w:r>
        <w:rPr>
          <w:i/>
        </w:rPr>
        <w:t>The standard defines a user-defined-field.</w:t>
      </w:r>
    </w:p>
    <w:p w:rsidR="005F78FC" w:rsidRDefault="00B42EF3">
      <w:pPr>
        <w:ind w:firstLine="360"/>
      </w:pPr>
      <w:r>
        <w:t>Word does not implement user-defined-fields.</w:t>
      </w:r>
    </w:p>
    <w:p w:rsidR="005F78FC" w:rsidRDefault="00B42EF3">
      <w:pPr>
        <w:pStyle w:val="Definition-Field"/>
      </w:pPr>
      <w:r>
        <w:rPr>
          <w:i/>
        </w:rPr>
        <w:t>f.</w:t>
      </w:r>
      <w:r>
        <w:t xml:space="preserve">   </w:t>
      </w:r>
      <w:r>
        <w:rPr>
          <w:i/>
        </w:rPr>
        <w:t>The standard states that the instruction of one field can be anothe</w:t>
      </w:r>
      <w:r>
        <w:rPr>
          <w:i/>
        </w:rPr>
        <w:t xml:space="preserve">r field, but the word instruction isn’t in the syntax defined in </w:t>
      </w:r>
      <w:r>
        <w:t>"[ISO/IEC-29500-1] §17.16.1".</w:t>
      </w:r>
    </w:p>
    <w:p w:rsidR="005F78FC" w:rsidRDefault="00B42EF3">
      <w:pPr>
        <w:pStyle w:val="Definition-Field2"/>
      </w:pPr>
      <w:r>
        <w:t>Word interprets “instructions” in this section to mean “codes”, as defined in "[ISO/IEC-29500-1] §17.16".</w:t>
      </w:r>
    </w:p>
    <w:p w:rsidR="005F78FC" w:rsidRDefault="00B42EF3">
      <w:pPr>
        <w:pStyle w:val="Heading3"/>
      </w:pPr>
      <w:bookmarkStart w:id="928" w:name="section_01d8bb8ec1fa46e7865d931ad671a6c1"/>
      <w:bookmarkStart w:id="929" w:name="_Toc69878237"/>
      <w:r>
        <w:t>Part 1 Section 17.16.2, XML representation</w:t>
      </w:r>
      <w:bookmarkEnd w:id="928"/>
      <w:bookmarkEnd w:id="929"/>
      <w:r>
        <w:fldChar w:fldCharType="begin"/>
      </w:r>
      <w:r>
        <w:instrText xml:space="preserve"> XE "XML representation" </w:instrText>
      </w:r>
      <w:r>
        <w:fldChar w:fldCharType="end"/>
      </w:r>
    </w:p>
    <w:p w:rsidR="005F78FC" w:rsidRDefault="00B42EF3">
      <w:pPr>
        <w:pStyle w:val="ListParagraph"/>
        <w:ind w:left="0"/>
        <w:rPr>
          <w:i/>
        </w:rPr>
      </w:pPr>
      <w:r>
        <w:t xml:space="preserve">a.   </w:t>
      </w:r>
      <w:r>
        <w:rPr>
          <w:i/>
        </w:rPr>
        <w:t>The standard states that the instruction of one field can be another field, allowing fields to nest.</w:t>
      </w:r>
    </w:p>
    <w:p w:rsidR="005F78FC" w:rsidRDefault="00B42EF3">
      <w:pPr>
        <w:ind w:firstLine="360"/>
      </w:pPr>
      <w:r>
        <w:t>Word does not allow the field-type name to be composed of nested fields.</w:t>
      </w:r>
    </w:p>
    <w:p w:rsidR="005F78FC" w:rsidRDefault="00B42EF3">
      <w:pPr>
        <w:ind w:firstLine="360"/>
      </w:pPr>
      <w:r>
        <w:t>[</w:t>
      </w:r>
      <w:r>
        <w:rPr>
          <w:i/>
        </w:rPr>
        <w:t>Example:</w:t>
      </w:r>
      <w:r>
        <w:t xml:space="preserve"> { DATE } is allowed, { DA{ QUOTE "TE" }</w:t>
      </w:r>
      <w:r>
        <w:t xml:space="preserve"> } is not allowed. </w:t>
      </w:r>
      <w:r>
        <w:rPr>
          <w:i/>
        </w:rPr>
        <w:t>end example</w:t>
      </w:r>
      <w:r>
        <w:t>]</w:t>
      </w:r>
    </w:p>
    <w:p w:rsidR="005F78FC" w:rsidRDefault="00B42EF3">
      <w:pPr>
        <w:pStyle w:val="Heading3"/>
      </w:pPr>
      <w:bookmarkStart w:id="930" w:name="section_0e7a01caa5cd40aea9c6248bfda82221"/>
      <w:bookmarkStart w:id="931" w:name="_Toc69878238"/>
      <w:r>
        <w:t>Part 1 Section 17.16.3.2, Bookmarks</w:t>
      </w:r>
      <w:bookmarkEnd w:id="930"/>
      <w:bookmarkEnd w:id="931"/>
      <w:r>
        <w:fldChar w:fldCharType="begin"/>
      </w:r>
      <w:r>
        <w:instrText xml:space="preserve"> XE "Bookmarks" </w:instrText>
      </w:r>
      <w:r>
        <w:fldChar w:fldCharType="end"/>
      </w:r>
    </w:p>
    <w:p w:rsidR="005F78FC" w:rsidRDefault="00B42EF3">
      <w:pPr>
        <w:pStyle w:val="Definition-Field"/>
        <w:numPr>
          <w:ilvl w:val="0"/>
          <w:numId w:val="61"/>
        </w:numPr>
        <w:rPr>
          <w:i/>
        </w:rPr>
      </w:pPr>
      <w:r>
        <w:rPr>
          <w:i/>
        </w:rPr>
        <w:t>The standard does not explicitly indicate behavior when a bookmark name is a valid table cell reference and is used in a field formula.</w:t>
      </w:r>
    </w:p>
    <w:p w:rsidR="005F78FC" w:rsidRDefault="00B42EF3">
      <w:pPr>
        <w:pStyle w:val="Definition-Field2"/>
      </w:pPr>
      <w:r>
        <w:t>In Word, if the bookmark name used</w:t>
      </w:r>
      <w:r>
        <w:t xml:space="preserve"> in a field formula is a valid cell reference as described in </w:t>
      </w:r>
      <w:hyperlink w:anchor="Section_3b539277da4f49d094d484d9256afb36" w:history="1">
        <w:r>
          <w:rPr>
            <w:rStyle w:val="Hyperlink"/>
          </w:rPr>
          <w:t>A1-Style Cell References, §18.17.2.3.1(a)</w:t>
        </w:r>
      </w:hyperlink>
      <w:r>
        <w:t xml:space="preserve"> or </w:t>
      </w:r>
      <w:hyperlink w:anchor="Section_8d68c790057144f68583f837e72635ed" w:history="1">
        <w:r>
          <w:rPr>
            <w:rStyle w:val="Hyperlink"/>
          </w:rPr>
          <w:t>R1C1-Style Cell Reference, §1</w:t>
        </w:r>
        <w:r>
          <w:rPr>
            <w:rStyle w:val="Hyperlink"/>
          </w:rPr>
          <w:t>8.17.2.3.2(a)</w:t>
        </w:r>
      </w:hyperlink>
      <w:r>
        <w:t>, its value is evaluated as follows:</w:t>
      </w:r>
    </w:p>
    <w:p w:rsidR="005F78FC" w:rsidRDefault="00B42EF3">
      <w:pPr>
        <w:pStyle w:val="Definition-Field2"/>
      </w:pPr>
      <w:r>
        <w:t>If the field formula is contained in a table and references a non-existent table cell, an error message is displayed. If the table cell exists, but does not have a numeric value, Word will use a value of 0.</w:t>
      </w:r>
      <w:r>
        <w:t xml:space="preserve"> If the table cell does have a numeric value, Word will use that value.</w:t>
      </w:r>
    </w:p>
    <w:p w:rsidR="005F78FC" w:rsidRDefault="00B42EF3">
      <w:pPr>
        <w:pStyle w:val="Definition-Field2"/>
      </w:pPr>
      <w:r>
        <w:t>If the field formula is not contained in a table, and the bookmark name is not a valid bookmark, Word will use a value of 0. If the bookmark name is valid, and the bookmark does not ha</w:t>
      </w:r>
      <w:r>
        <w:t>ve a numeric value, Word will use the value of 0. If the bookmark name is valid and the bookmark does have a numeric value, Word will use that value.</w:t>
      </w:r>
    </w:p>
    <w:p w:rsidR="005F78FC" w:rsidRDefault="00B42EF3">
      <w:pPr>
        <w:pStyle w:val="ListParagraph"/>
        <w:numPr>
          <w:ilvl w:val="0"/>
          <w:numId w:val="61"/>
        </w:numPr>
        <w:rPr>
          <w:i/>
        </w:rPr>
      </w:pPr>
      <w:r>
        <w:rPr>
          <w:i/>
        </w:rPr>
        <w:t>The standard does not explicitly indicate behavior when a bookmark name is the same as a reserved function</w:t>
      </w:r>
      <w:r>
        <w:rPr>
          <w:i/>
        </w:rPr>
        <w:t xml:space="preserve"> name.</w:t>
      </w:r>
    </w:p>
    <w:p w:rsidR="005F78FC" w:rsidRDefault="00B42EF3">
      <w:pPr>
        <w:pStyle w:val="Definition-Field2"/>
      </w:pPr>
      <w:r>
        <w:t>In Word, reserved function names cannot be used as bookmark names within a formula or expression.</w:t>
      </w:r>
    </w:p>
    <w:p w:rsidR="005F78FC" w:rsidRDefault="00B42EF3">
      <w:pPr>
        <w:pStyle w:val="Heading3"/>
      </w:pPr>
      <w:bookmarkStart w:id="932" w:name="section_85aca241958e4d6f8c8081258ea5ca60"/>
      <w:bookmarkStart w:id="933" w:name="_Toc69878239"/>
      <w:r>
        <w:lastRenderedPageBreak/>
        <w:t>Part 1 Section 17.16.3.3, Operators</w:t>
      </w:r>
      <w:bookmarkEnd w:id="932"/>
      <w:bookmarkEnd w:id="933"/>
      <w:r>
        <w:fldChar w:fldCharType="begin"/>
      </w:r>
      <w:r>
        <w:instrText xml:space="preserve"> XE "Operators" </w:instrText>
      </w:r>
      <w:r>
        <w:fldChar w:fldCharType="end"/>
      </w:r>
    </w:p>
    <w:p w:rsidR="005F78FC" w:rsidRDefault="00B42EF3">
      <w:pPr>
        <w:pStyle w:val="Definition-Field"/>
      </w:pPr>
      <w:r>
        <w:t xml:space="preserve">a.   </w:t>
      </w:r>
      <w:r>
        <w:rPr>
          <w:i/>
        </w:rPr>
        <w:t xml:space="preserve">The standard says that the multiplication, division and exponent operators have higher </w:t>
      </w:r>
      <w:r>
        <w:rPr>
          <w:i/>
        </w:rPr>
        <w:t>precedence than the percentage operator.</w:t>
      </w:r>
    </w:p>
    <w:p w:rsidR="005F78FC" w:rsidRDefault="00B42EF3">
      <w:pPr>
        <w:pStyle w:val="Definition-Field2"/>
      </w:pPr>
      <w:r>
        <w:t>In Word, the percentage operator has higher precedence than the multiplication, division and exponent operators.</w:t>
      </w:r>
    </w:p>
    <w:p w:rsidR="005F78FC" w:rsidRDefault="00B42EF3">
      <w:pPr>
        <w:pStyle w:val="Heading3"/>
      </w:pPr>
      <w:bookmarkStart w:id="934" w:name="section_f6c3f73269c144b9b8f4517245404a01"/>
      <w:bookmarkStart w:id="935" w:name="_Toc69878240"/>
      <w:r>
        <w:t>Part 1 Section 17.16.3.5, Table cell references</w:t>
      </w:r>
      <w:bookmarkEnd w:id="934"/>
      <w:bookmarkEnd w:id="935"/>
      <w:r>
        <w:fldChar w:fldCharType="begin"/>
      </w:r>
      <w:r>
        <w:instrText xml:space="preserve"> XE "Table cell references" </w:instrText>
      </w:r>
      <w:r>
        <w:fldChar w:fldCharType="end"/>
      </w:r>
    </w:p>
    <w:p w:rsidR="005F78FC" w:rsidRDefault="00B42EF3">
      <w:pPr>
        <w:pStyle w:val="Definition-Field"/>
        <w:numPr>
          <w:ilvl w:val="0"/>
          <w:numId w:val="62"/>
        </w:numPr>
        <w:rPr>
          <w:i/>
        </w:rPr>
      </w:pPr>
      <w:r>
        <w:rPr>
          <w:i/>
        </w:rPr>
        <w:t>The standard states that</w:t>
      </w:r>
      <w:r>
        <w:rPr>
          <w:i/>
        </w:rPr>
        <w:t xml:space="preserve"> cells have names such as A1, A2, B1, B2, and so on, with the letter representing the column and the number representing a row.</w:t>
      </w:r>
    </w:p>
    <w:p w:rsidR="005F78FC" w:rsidRDefault="00B42EF3">
      <w:pPr>
        <w:pStyle w:val="Definition-Field2"/>
      </w:pPr>
      <w:r>
        <w:t xml:space="preserve">In Word, a cell can also be referenced with the R1C1 style as described in </w:t>
      </w:r>
      <w:hyperlink w:anchor="Section_8d68c790057144f68583f837e72635ed" w:history="1">
        <w:r>
          <w:rPr>
            <w:rStyle w:val="Hyperlink"/>
          </w:rPr>
          <w:t>R1C1-Style Cell Reference, §18.17.2.3.2(a)</w:t>
        </w:r>
      </w:hyperlink>
      <w:r>
        <w:t>. Word only recognizes absolute cell references in this format.</w:t>
      </w:r>
    </w:p>
    <w:p w:rsidR="005F78FC" w:rsidRDefault="00B42EF3">
      <w:pPr>
        <w:pStyle w:val="Heading3"/>
      </w:pPr>
      <w:bookmarkStart w:id="936" w:name="section_b4bc44db20704cee8793f96817dd4985"/>
      <w:bookmarkStart w:id="937" w:name="_Toc69878241"/>
      <w:r>
        <w:t>Part 1 Section 17.16.4.1, Date and time formatting</w:t>
      </w:r>
      <w:bookmarkEnd w:id="936"/>
      <w:bookmarkEnd w:id="937"/>
      <w:r>
        <w:fldChar w:fldCharType="begin"/>
      </w:r>
      <w:r>
        <w:instrText xml:space="preserve"> XE "Date and time formatting" </w:instrText>
      </w:r>
      <w:r>
        <w:fldChar w:fldCharType="end"/>
      </w:r>
    </w:p>
    <w:p w:rsidR="005F78FC" w:rsidRDefault="00B42EF3">
      <w:pPr>
        <w:pStyle w:val="Definition-Field"/>
      </w:pPr>
      <w:r>
        <w:t xml:space="preserve">a.   </w:t>
      </w:r>
      <w:r>
        <w:rPr>
          <w:i/>
        </w:rPr>
        <w:t>The standard does not specify that quotation marks mus</w:t>
      </w:r>
      <w:r>
        <w:rPr>
          <w:i/>
        </w:rPr>
        <w:t>t surround switch arguments that contain white space.</w:t>
      </w:r>
    </w:p>
    <w:p w:rsidR="005F78FC" w:rsidRDefault="00B42EF3">
      <w:pPr>
        <w:pStyle w:val="Definition-Field2"/>
      </w:pPr>
      <w:r>
        <w:t>In Word, quotation marks are required around the switch-argument if it contains white space; otherwise, the quotation marks are optional.</w:t>
      </w:r>
    </w:p>
    <w:p w:rsidR="005F78FC" w:rsidRDefault="00B42EF3">
      <w:pPr>
        <w:pStyle w:val="Heading3"/>
      </w:pPr>
      <w:bookmarkStart w:id="938" w:name="section_77bace381a5343a19598684246b14b62"/>
      <w:bookmarkStart w:id="939" w:name="_Toc69878242"/>
      <w:r>
        <w:t>Part 1 Section 17.16.4.3, General formatting</w:t>
      </w:r>
      <w:bookmarkEnd w:id="938"/>
      <w:bookmarkEnd w:id="939"/>
      <w:r>
        <w:fldChar w:fldCharType="begin"/>
      </w:r>
      <w:r>
        <w:instrText xml:space="preserve"> XE "General formatt</w:instrText>
      </w:r>
      <w:r>
        <w:instrText xml:space="preserve">ing" </w:instrText>
      </w:r>
      <w:r>
        <w:fldChar w:fldCharType="end"/>
      </w:r>
    </w:p>
    <w:p w:rsidR="005F78FC" w:rsidRDefault="00B42EF3">
      <w:pPr>
        <w:pStyle w:val="Definition-Field"/>
      </w:pPr>
      <w:r>
        <w:t xml:space="preserve">a.   </w:t>
      </w:r>
      <w:r>
        <w:rPr>
          <w:i/>
        </w:rPr>
        <w:t>The standard makes no mention of the MERGEFORMATINET switch argument</w:t>
      </w:r>
    </w:p>
    <w:p w:rsidR="005F78FC" w:rsidRDefault="00B42EF3">
      <w:r>
        <w:t xml:space="preserve">Word understands an additional switch argument, MERGEFORMATINET.  </w:t>
      </w:r>
    </w:p>
    <w:p w:rsidR="005F78FC" w:rsidRDefault="00B42EF3">
      <w:r>
        <w:t>When this switch argument is present on an INCLUDEPICTURE or IMPORT field, Word will preserve the dimension</w:t>
      </w:r>
      <w:r>
        <w:t xml:space="preserve">s of any picture within the result such that when the result is updated with a new picture, the dimensions of the new picture shall be set to match the dimensions of the original picture.  </w:t>
      </w:r>
    </w:p>
    <w:p w:rsidR="005F78FC" w:rsidRDefault="00B42EF3">
      <w:r>
        <w:t>When this switch argument is present on any other field, Word inte</w:t>
      </w:r>
      <w:r>
        <w:t>rprets this the same as a MERGEFORMAT switch.</w:t>
      </w:r>
    </w:p>
    <w:p w:rsidR="005F78FC" w:rsidRDefault="00B42EF3">
      <w:pPr>
        <w:pStyle w:val="Heading3"/>
      </w:pPr>
      <w:bookmarkStart w:id="940" w:name="section_9ca3f9d657da45608daac53116a60fa3"/>
      <w:bookmarkStart w:id="941" w:name="_Toc69878243"/>
      <w:r>
        <w:t>Part 1 Section 17.16.5.1, ADDRESSBLOCK</w:t>
      </w:r>
      <w:bookmarkEnd w:id="940"/>
      <w:bookmarkEnd w:id="941"/>
      <w:r>
        <w:fldChar w:fldCharType="begin"/>
      </w:r>
      <w:r>
        <w:instrText xml:space="preserve"> XE "ADDRESSBLOCK" </w:instrText>
      </w:r>
      <w:r>
        <w:fldChar w:fldCharType="end"/>
      </w:r>
    </w:p>
    <w:p w:rsidR="005F78FC" w:rsidRDefault="00B42EF3">
      <w:pPr>
        <w:pStyle w:val="Definition-Field"/>
      </w:pPr>
      <w:r>
        <w:t xml:space="preserve">a.   </w:t>
      </w:r>
      <w:r>
        <w:rPr>
          <w:i/>
        </w:rPr>
        <w:t>The standard does not fully explain the format accepted by the \f switch.</w:t>
      </w:r>
    </w:p>
    <w:p w:rsidR="005F78FC" w:rsidRDefault="00B42EF3">
      <w:r>
        <w:t xml:space="preserve">In Word, placeholders in this switch's field-argument reference a </w:t>
      </w:r>
      <w:r>
        <w:rPr>
          <w:b/>
        </w:rPr>
        <w:t>field</w:t>
      </w:r>
      <w:r>
        <w:rPr>
          <w:b/>
        </w:rPr>
        <w:t>MapData</w:t>
      </w:r>
      <w:r>
        <w:t xml:space="preserve"> element. ("</w:t>
      </w:r>
      <w:hyperlink r:id="rId107">
        <w:r>
          <w:rPr>
            <w:rStyle w:val="Hyperlink"/>
          </w:rPr>
          <w:t>[ISO/IEC-29500-1]</w:t>
        </w:r>
      </w:hyperlink>
      <w:r>
        <w:t xml:space="preserve"> §17.14.15; fieldMapData").   The placeholder will be expanded to the current mail merge entry in the column specified by the value in the name element where the </w:t>
      </w:r>
      <w:r>
        <w:rPr>
          <w:b/>
        </w:rPr>
        <w:t>mappedName</w:t>
      </w:r>
      <w:r>
        <w:t xml:space="preserve"> of the placeholder matches the </w:t>
      </w:r>
      <w:r>
        <w:rPr>
          <w:b/>
        </w:rPr>
        <w:t>mappedName</w:t>
      </w:r>
      <w:r>
        <w:t xml:space="preserve"> of the </w:t>
      </w:r>
      <w:r>
        <w:rPr>
          <w:b/>
        </w:rPr>
        <w:t>fieldMapData</w:t>
      </w:r>
      <w:r>
        <w:t>.</w:t>
      </w:r>
    </w:p>
    <w:p w:rsidR="005F78FC" w:rsidRDefault="00B42EF3">
      <w:r>
        <w:t>The following are th</w:t>
      </w:r>
      <w:r>
        <w:t>e possible placeholders and corresponding mapped merge field names are reserved:</w:t>
      </w:r>
    </w:p>
    <w:tbl>
      <w:tblPr>
        <w:tblStyle w:val="Table-ShadedHeader"/>
        <w:tblW w:w="0" w:type="auto"/>
        <w:tblLook w:val="04A0" w:firstRow="1" w:lastRow="0" w:firstColumn="1" w:lastColumn="0" w:noHBand="0" w:noVBand="1"/>
      </w:tblPr>
      <w:tblGrid>
        <w:gridCol w:w="1754"/>
        <w:gridCol w:w="2641"/>
        <w:gridCol w:w="2650"/>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PLACEHOLDER</w:t>
            </w:r>
          </w:p>
        </w:tc>
        <w:tc>
          <w:tcPr>
            <w:tcW w:w="0" w:type="auto"/>
            <w:vAlign w:val="center"/>
          </w:tcPr>
          <w:p w:rsidR="005F78FC" w:rsidRDefault="00B42EF3">
            <w:pPr>
              <w:pStyle w:val="TableHeaderText"/>
            </w:pPr>
            <w:r>
              <w:t>ALTERNATE PLACEHOLDER</w:t>
            </w:r>
          </w:p>
        </w:tc>
        <w:tc>
          <w:tcPr>
            <w:tcW w:w="0" w:type="auto"/>
            <w:vAlign w:val="center"/>
          </w:tcPr>
          <w:p w:rsidR="005F78FC" w:rsidRDefault="00B42EF3">
            <w:pPr>
              <w:pStyle w:val="TableHeaderText"/>
            </w:pPr>
            <w:r>
              <w:t>mappedName</w:t>
            </w:r>
          </w:p>
        </w:tc>
      </w:tr>
      <w:tr w:rsidR="005F78FC" w:rsidTr="005F78FC">
        <w:tc>
          <w:tcPr>
            <w:tcW w:w="0" w:type="auto"/>
            <w:vAlign w:val="center"/>
          </w:tcPr>
          <w:p w:rsidR="005F78FC" w:rsidRDefault="00B42EF3">
            <w:pPr>
              <w:pStyle w:val="TableBodyText"/>
            </w:pPr>
            <w:r>
              <w:t>&lt;&lt;_TITLE0_&gt;&gt;</w:t>
            </w:r>
          </w:p>
        </w:tc>
        <w:tc>
          <w:tcPr>
            <w:tcW w:w="0" w:type="auto"/>
            <w:vAlign w:val="center"/>
          </w:tcPr>
          <w:p w:rsidR="005F78FC" w:rsidRDefault="00B42EF3">
            <w:pPr>
              <w:pStyle w:val="TableBodyText"/>
            </w:pPr>
            <w:r>
              <w:t>/t0</w:t>
            </w:r>
          </w:p>
        </w:tc>
        <w:tc>
          <w:tcPr>
            <w:tcW w:w="0" w:type="auto"/>
            <w:vAlign w:val="center"/>
          </w:tcPr>
          <w:p w:rsidR="005F78FC" w:rsidRDefault="00B42EF3">
            <w:pPr>
              <w:pStyle w:val="TableBodyText"/>
            </w:pPr>
            <w:r>
              <w:t>Courtesy Title</w:t>
            </w:r>
          </w:p>
        </w:tc>
      </w:tr>
      <w:tr w:rsidR="005F78FC" w:rsidTr="005F78FC">
        <w:tc>
          <w:tcPr>
            <w:tcW w:w="0" w:type="auto"/>
            <w:vAlign w:val="center"/>
          </w:tcPr>
          <w:p w:rsidR="005F78FC" w:rsidRDefault="00B42EF3">
            <w:pPr>
              <w:pStyle w:val="TableBodyText"/>
            </w:pPr>
            <w:r>
              <w:t>&lt;&lt;_NICK0_&gt;&gt;</w:t>
            </w:r>
          </w:p>
        </w:tc>
        <w:tc>
          <w:tcPr>
            <w:tcW w:w="0" w:type="auto"/>
            <w:vAlign w:val="center"/>
          </w:tcPr>
          <w:p w:rsidR="005F78FC" w:rsidRDefault="00B42EF3">
            <w:pPr>
              <w:pStyle w:val="TableBodyText"/>
            </w:pPr>
            <w:r>
              <w:t>/n0</w:t>
            </w:r>
          </w:p>
        </w:tc>
        <w:tc>
          <w:tcPr>
            <w:tcW w:w="0" w:type="auto"/>
            <w:vAlign w:val="center"/>
          </w:tcPr>
          <w:p w:rsidR="005F78FC" w:rsidRDefault="00B42EF3">
            <w:pPr>
              <w:pStyle w:val="TableBodyText"/>
            </w:pPr>
            <w:r>
              <w:t>Nickname</w:t>
            </w:r>
          </w:p>
        </w:tc>
      </w:tr>
      <w:tr w:rsidR="005F78FC" w:rsidTr="005F78FC">
        <w:tc>
          <w:tcPr>
            <w:tcW w:w="0" w:type="auto"/>
            <w:vAlign w:val="center"/>
          </w:tcPr>
          <w:p w:rsidR="005F78FC" w:rsidRDefault="00B42EF3">
            <w:pPr>
              <w:pStyle w:val="TableBodyText"/>
            </w:pPr>
            <w:r>
              <w:t>&lt;&lt;_FIRST0_&gt;&gt;</w:t>
            </w:r>
          </w:p>
        </w:tc>
        <w:tc>
          <w:tcPr>
            <w:tcW w:w="0" w:type="auto"/>
            <w:vAlign w:val="center"/>
          </w:tcPr>
          <w:p w:rsidR="005F78FC" w:rsidRDefault="00B42EF3">
            <w:pPr>
              <w:pStyle w:val="TableBodyText"/>
            </w:pPr>
            <w:r>
              <w:t>/f0</w:t>
            </w:r>
          </w:p>
        </w:tc>
        <w:tc>
          <w:tcPr>
            <w:tcW w:w="0" w:type="auto"/>
            <w:vAlign w:val="center"/>
          </w:tcPr>
          <w:p w:rsidR="005F78FC" w:rsidRDefault="00B42EF3">
            <w:pPr>
              <w:pStyle w:val="TableBodyText"/>
            </w:pPr>
            <w:r>
              <w:t>First Name</w:t>
            </w:r>
          </w:p>
        </w:tc>
      </w:tr>
      <w:tr w:rsidR="005F78FC" w:rsidTr="005F78FC">
        <w:tc>
          <w:tcPr>
            <w:tcW w:w="0" w:type="auto"/>
            <w:vAlign w:val="center"/>
          </w:tcPr>
          <w:p w:rsidR="005F78FC" w:rsidRDefault="00B42EF3">
            <w:pPr>
              <w:pStyle w:val="TableBodyText"/>
            </w:pPr>
            <w:r>
              <w:t>&lt;&lt;_MIDDLE0_&gt;&gt;</w:t>
            </w:r>
          </w:p>
        </w:tc>
        <w:tc>
          <w:tcPr>
            <w:tcW w:w="0" w:type="auto"/>
            <w:vAlign w:val="center"/>
          </w:tcPr>
          <w:p w:rsidR="005F78FC" w:rsidRDefault="00B42EF3">
            <w:pPr>
              <w:pStyle w:val="TableBodyText"/>
            </w:pPr>
            <w:r>
              <w:t>/m0</w:t>
            </w:r>
          </w:p>
        </w:tc>
        <w:tc>
          <w:tcPr>
            <w:tcW w:w="0" w:type="auto"/>
            <w:vAlign w:val="center"/>
          </w:tcPr>
          <w:p w:rsidR="005F78FC" w:rsidRDefault="00B42EF3">
            <w:pPr>
              <w:pStyle w:val="TableBodyText"/>
            </w:pPr>
            <w:r>
              <w:t>Middle Name</w:t>
            </w:r>
          </w:p>
        </w:tc>
      </w:tr>
      <w:tr w:rsidR="005F78FC" w:rsidTr="005F78FC">
        <w:tc>
          <w:tcPr>
            <w:tcW w:w="0" w:type="auto"/>
            <w:vAlign w:val="center"/>
          </w:tcPr>
          <w:p w:rsidR="005F78FC" w:rsidRDefault="00B42EF3">
            <w:pPr>
              <w:pStyle w:val="TableBodyText"/>
            </w:pPr>
            <w:r>
              <w:lastRenderedPageBreak/>
              <w:t>&lt;&lt;_LAST0_&gt;</w:t>
            </w:r>
            <w:r>
              <w:t>&gt;</w:t>
            </w:r>
          </w:p>
        </w:tc>
        <w:tc>
          <w:tcPr>
            <w:tcW w:w="0" w:type="auto"/>
            <w:vAlign w:val="center"/>
          </w:tcPr>
          <w:p w:rsidR="005F78FC" w:rsidRDefault="00B42EF3">
            <w:pPr>
              <w:pStyle w:val="TableBodyText"/>
            </w:pPr>
            <w:r>
              <w:t>/l0</w:t>
            </w:r>
          </w:p>
        </w:tc>
        <w:tc>
          <w:tcPr>
            <w:tcW w:w="0" w:type="auto"/>
            <w:vAlign w:val="center"/>
          </w:tcPr>
          <w:p w:rsidR="005F78FC" w:rsidRDefault="00B42EF3">
            <w:pPr>
              <w:pStyle w:val="TableBodyText"/>
            </w:pPr>
            <w:r>
              <w:t>Last Name</w:t>
            </w:r>
          </w:p>
        </w:tc>
      </w:tr>
      <w:tr w:rsidR="005F78FC" w:rsidTr="005F78FC">
        <w:tc>
          <w:tcPr>
            <w:tcW w:w="0" w:type="auto"/>
            <w:vAlign w:val="center"/>
          </w:tcPr>
          <w:p w:rsidR="005F78FC" w:rsidRDefault="00B42EF3">
            <w:pPr>
              <w:pStyle w:val="TableBodyText"/>
            </w:pPr>
            <w:r>
              <w:t>&lt;&lt;_SUFFIX0_&gt;&gt;</w:t>
            </w:r>
          </w:p>
        </w:tc>
        <w:tc>
          <w:tcPr>
            <w:tcW w:w="0" w:type="auto"/>
            <w:vAlign w:val="center"/>
          </w:tcPr>
          <w:p w:rsidR="005F78FC" w:rsidRDefault="00B42EF3">
            <w:pPr>
              <w:pStyle w:val="TableBodyText"/>
            </w:pPr>
            <w:r>
              <w:t>/s0</w:t>
            </w:r>
          </w:p>
        </w:tc>
        <w:tc>
          <w:tcPr>
            <w:tcW w:w="0" w:type="auto"/>
            <w:vAlign w:val="center"/>
          </w:tcPr>
          <w:p w:rsidR="005F78FC" w:rsidRDefault="00B42EF3">
            <w:pPr>
              <w:pStyle w:val="TableBodyText"/>
            </w:pPr>
            <w:r>
              <w:t>Suffix</w:t>
            </w:r>
          </w:p>
        </w:tc>
      </w:tr>
      <w:tr w:rsidR="005F78FC" w:rsidTr="005F78FC">
        <w:tc>
          <w:tcPr>
            <w:tcW w:w="0" w:type="auto"/>
            <w:vAlign w:val="center"/>
          </w:tcPr>
          <w:p w:rsidR="005F78FC" w:rsidRDefault="00B42EF3">
            <w:pPr>
              <w:pStyle w:val="TableBodyText"/>
            </w:pPr>
            <w:r>
              <w:t>&lt;&lt;_TITLE1_&gt;&gt;</w:t>
            </w:r>
          </w:p>
        </w:tc>
        <w:tc>
          <w:tcPr>
            <w:tcW w:w="0" w:type="auto"/>
            <w:vAlign w:val="center"/>
          </w:tcPr>
          <w:p w:rsidR="005F78FC" w:rsidRDefault="00B42EF3">
            <w:pPr>
              <w:pStyle w:val="TableBodyText"/>
            </w:pPr>
            <w:r>
              <w:t>/t1</w:t>
            </w:r>
          </w:p>
        </w:tc>
        <w:tc>
          <w:tcPr>
            <w:tcW w:w="0" w:type="auto"/>
            <w:vAlign w:val="center"/>
          </w:tcPr>
          <w:p w:rsidR="005F78FC" w:rsidRDefault="00B42EF3">
            <w:pPr>
              <w:pStyle w:val="TableBodyText"/>
            </w:pPr>
            <w:r>
              <w:t>Spouse/Partner Courtesy Title</w:t>
            </w:r>
          </w:p>
        </w:tc>
      </w:tr>
      <w:tr w:rsidR="005F78FC" w:rsidTr="005F78FC">
        <w:tc>
          <w:tcPr>
            <w:tcW w:w="0" w:type="auto"/>
            <w:vAlign w:val="center"/>
          </w:tcPr>
          <w:p w:rsidR="005F78FC" w:rsidRDefault="00B42EF3">
            <w:pPr>
              <w:pStyle w:val="TableBodyText"/>
            </w:pPr>
            <w:r>
              <w:t>&lt;&lt;_NICK1_&gt;&gt;</w:t>
            </w:r>
          </w:p>
        </w:tc>
        <w:tc>
          <w:tcPr>
            <w:tcW w:w="0" w:type="auto"/>
            <w:vAlign w:val="center"/>
          </w:tcPr>
          <w:p w:rsidR="005F78FC" w:rsidRDefault="00B42EF3">
            <w:pPr>
              <w:pStyle w:val="TableBodyText"/>
            </w:pPr>
            <w:r>
              <w:t>/n1</w:t>
            </w:r>
          </w:p>
        </w:tc>
        <w:tc>
          <w:tcPr>
            <w:tcW w:w="0" w:type="auto"/>
            <w:vAlign w:val="center"/>
          </w:tcPr>
          <w:p w:rsidR="005F78FC" w:rsidRDefault="00B42EF3">
            <w:pPr>
              <w:pStyle w:val="TableBodyText"/>
            </w:pPr>
            <w:r>
              <w:t>Spouse/Partner Nickname</w:t>
            </w:r>
          </w:p>
        </w:tc>
      </w:tr>
      <w:tr w:rsidR="005F78FC" w:rsidTr="005F78FC">
        <w:tc>
          <w:tcPr>
            <w:tcW w:w="0" w:type="auto"/>
            <w:vAlign w:val="center"/>
          </w:tcPr>
          <w:p w:rsidR="005F78FC" w:rsidRDefault="00B42EF3">
            <w:pPr>
              <w:pStyle w:val="TableBodyText"/>
            </w:pPr>
            <w:r>
              <w:t>&lt;&lt;_FIRST1_&gt;&gt;</w:t>
            </w:r>
          </w:p>
        </w:tc>
        <w:tc>
          <w:tcPr>
            <w:tcW w:w="0" w:type="auto"/>
            <w:vAlign w:val="center"/>
          </w:tcPr>
          <w:p w:rsidR="005F78FC" w:rsidRDefault="00B42EF3">
            <w:pPr>
              <w:pStyle w:val="TableBodyText"/>
            </w:pPr>
            <w:r>
              <w:t>/f1</w:t>
            </w:r>
          </w:p>
        </w:tc>
        <w:tc>
          <w:tcPr>
            <w:tcW w:w="0" w:type="auto"/>
            <w:vAlign w:val="center"/>
          </w:tcPr>
          <w:p w:rsidR="005F78FC" w:rsidRDefault="00B42EF3">
            <w:pPr>
              <w:pStyle w:val="TableBodyText"/>
            </w:pPr>
            <w:r>
              <w:t>Spouse/Partner First Name</w:t>
            </w:r>
          </w:p>
        </w:tc>
      </w:tr>
      <w:tr w:rsidR="005F78FC" w:rsidTr="005F78FC">
        <w:tc>
          <w:tcPr>
            <w:tcW w:w="0" w:type="auto"/>
            <w:vAlign w:val="center"/>
          </w:tcPr>
          <w:p w:rsidR="005F78FC" w:rsidRDefault="00B42EF3">
            <w:pPr>
              <w:pStyle w:val="TableBodyText"/>
            </w:pPr>
            <w:r>
              <w:t>&lt;&lt;_MIDDLE1_&gt;&gt;</w:t>
            </w:r>
          </w:p>
        </w:tc>
        <w:tc>
          <w:tcPr>
            <w:tcW w:w="0" w:type="auto"/>
            <w:vAlign w:val="center"/>
          </w:tcPr>
          <w:p w:rsidR="005F78FC" w:rsidRDefault="00B42EF3">
            <w:pPr>
              <w:pStyle w:val="TableBodyText"/>
            </w:pPr>
            <w:r>
              <w:t>/m1</w:t>
            </w:r>
          </w:p>
        </w:tc>
        <w:tc>
          <w:tcPr>
            <w:tcW w:w="0" w:type="auto"/>
            <w:vAlign w:val="center"/>
          </w:tcPr>
          <w:p w:rsidR="005F78FC" w:rsidRDefault="00B42EF3">
            <w:pPr>
              <w:pStyle w:val="TableBodyText"/>
            </w:pPr>
            <w:r>
              <w:t>Spouse/Partner Middle Name</w:t>
            </w:r>
          </w:p>
        </w:tc>
      </w:tr>
      <w:tr w:rsidR="005F78FC" w:rsidTr="005F78FC">
        <w:tc>
          <w:tcPr>
            <w:tcW w:w="0" w:type="auto"/>
            <w:vAlign w:val="center"/>
          </w:tcPr>
          <w:p w:rsidR="005F78FC" w:rsidRDefault="00B42EF3">
            <w:pPr>
              <w:pStyle w:val="TableBodyText"/>
            </w:pPr>
            <w:r>
              <w:t>&lt;&lt;_LAST1_&gt;&gt;</w:t>
            </w:r>
          </w:p>
        </w:tc>
        <w:tc>
          <w:tcPr>
            <w:tcW w:w="0" w:type="auto"/>
            <w:vAlign w:val="center"/>
          </w:tcPr>
          <w:p w:rsidR="005F78FC" w:rsidRDefault="00B42EF3">
            <w:pPr>
              <w:pStyle w:val="TableBodyText"/>
            </w:pPr>
            <w:r>
              <w:t>/l1</w:t>
            </w:r>
          </w:p>
        </w:tc>
        <w:tc>
          <w:tcPr>
            <w:tcW w:w="0" w:type="auto"/>
            <w:vAlign w:val="center"/>
          </w:tcPr>
          <w:p w:rsidR="005F78FC" w:rsidRDefault="00B42EF3">
            <w:pPr>
              <w:pStyle w:val="TableBodyText"/>
            </w:pPr>
            <w:r>
              <w:t xml:space="preserve">Spouse/Partner </w:t>
            </w:r>
            <w:r>
              <w:t>Last Name</w:t>
            </w:r>
          </w:p>
        </w:tc>
      </w:tr>
      <w:tr w:rsidR="005F78FC" w:rsidTr="005F78FC">
        <w:tc>
          <w:tcPr>
            <w:tcW w:w="0" w:type="auto"/>
            <w:vAlign w:val="center"/>
          </w:tcPr>
          <w:p w:rsidR="005F78FC" w:rsidRDefault="00B42EF3">
            <w:pPr>
              <w:pStyle w:val="TableBodyText"/>
            </w:pPr>
            <w:r>
              <w:t>&lt;&lt;_SUFFIX1_&gt;&gt;</w:t>
            </w:r>
          </w:p>
        </w:tc>
        <w:tc>
          <w:tcPr>
            <w:tcW w:w="0" w:type="auto"/>
            <w:vAlign w:val="center"/>
          </w:tcPr>
          <w:p w:rsidR="005F78FC" w:rsidRDefault="00B42EF3">
            <w:pPr>
              <w:pStyle w:val="TableBodyText"/>
            </w:pPr>
            <w:r>
              <w:t>/s1</w:t>
            </w:r>
          </w:p>
        </w:tc>
        <w:tc>
          <w:tcPr>
            <w:tcW w:w="0" w:type="auto"/>
            <w:vAlign w:val="center"/>
          </w:tcPr>
          <w:p w:rsidR="005F78FC" w:rsidRDefault="00B42EF3">
            <w:pPr>
              <w:pStyle w:val="TableBodyText"/>
            </w:pPr>
            <w:r>
              <w:t>Spouse/Partner Suffix</w:t>
            </w:r>
          </w:p>
        </w:tc>
      </w:tr>
      <w:tr w:rsidR="005F78FC" w:rsidTr="005F78FC">
        <w:tc>
          <w:tcPr>
            <w:tcW w:w="0" w:type="auto"/>
            <w:vAlign w:val="center"/>
          </w:tcPr>
          <w:p w:rsidR="005F78FC" w:rsidRDefault="00B42EF3">
            <w:pPr>
              <w:pStyle w:val="TableBodyText"/>
            </w:pPr>
            <w:r>
              <w:t>&lt;&lt;_COMPANY_&gt;&gt;</w:t>
            </w:r>
          </w:p>
        </w:tc>
        <w:tc>
          <w:tcPr>
            <w:tcW w:w="0" w:type="auto"/>
            <w:vAlign w:val="center"/>
          </w:tcPr>
          <w:p w:rsidR="005F78FC" w:rsidRDefault="00B42EF3">
            <w:pPr>
              <w:pStyle w:val="TableBodyText"/>
            </w:pPr>
            <w:r>
              <w:t>/c</w:t>
            </w:r>
          </w:p>
        </w:tc>
        <w:tc>
          <w:tcPr>
            <w:tcW w:w="0" w:type="auto"/>
            <w:vAlign w:val="center"/>
          </w:tcPr>
          <w:p w:rsidR="005F78FC" w:rsidRDefault="00B42EF3">
            <w:pPr>
              <w:pStyle w:val="TableBodyText"/>
            </w:pPr>
            <w:r>
              <w:t>Company</w:t>
            </w:r>
          </w:p>
        </w:tc>
      </w:tr>
      <w:tr w:rsidR="005F78FC" w:rsidTr="005F78FC">
        <w:tc>
          <w:tcPr>
            <w:tcW w:w="0" w:type="auto"/>
            <w:vAlign w:val="center"/>
          </w:tcPr>
          <w:p w:rsidR="005F78FC" w:rsidRDefault="00B42EF3">
            <w:pPr>
              <w:pStyle w:val="TableBodyText"/>
            </w:pPr>
            <w:r>
              <w:t>&lt;&lt;_STREET1_&gt;&gt;</w:t>
            </w:r>
          </w:p>
        </w:tc>
        <w:tc>
          <w:tcPr>
            <w:tcW w:w="0" w:type="auto"/>
            <w:vAlign w:val="center"/>
          </w:tcPr>
          <w:p w:rsidR="005F78FC" w:rsidRDefault="005F78FC">
            <w:pPr>
              <w:pStyle w:val="TableBodyText"/>
            </w:pPr>
          </w:p>
          <w:p w:rsidR="005F78FC" w:rsidRDefault="005F78FC">
            <w:pPr>
              <w:pStyle w:val="TableBodyText"/>
            </w:pPr>
          </w:p>
          <w:p w:rsidR="005F78FC" w:rsidRDefault="00B42EF3">
            <w:pPr>
              <w:pStyle w:val="TableBodyText"/>
            </w:pPr>
            <w:r>
              <w:t>/r</w:t>
            </w:r>
          </w:p>
        </w:tc>
        <w:tc>
          <w:tcPr>
            <w:tcW w:w="0" w:type="auto"/>
            <w:vAlign w:val="center"/>
          </w:tcPr>
          <w:p w:rsidR="005F78FC" w:rsidRDefault="00B42EF3">
            <w:pPr>
              <w:pStyle w:val="TableBodyText"/>
            </w:pPr>
            <w:r>
              <w:t>Address 1</w:t>
            </w:r>
          </w:p>
        </w:tc>
      </w:tr>
      <w:tr w:rsidR="005F78FC" w:rsidTr="005F78FC">
        <w:tc>
          <w:tcPr>
            <w:tcW w:w="0" w:type="auto"/>
            <w:vAlign w:val="center"/>
          </w:tcPr>
          <w:p w:rsidR="005F78FC" w:rsidRDefault="00B42EF3">
            <w:pPr>
              <w:pStyle w:val="TableBodyText"/>
            </w:pPr>
            <w:r>
              <w:t>&lt;&lt;_STREET2_&gt;&gt;</w:t>
            </w:r>
          </w:p>
        </w:tc>
        <w:tc>
          <w:tcPr>
            <w:tcW w:w="0" w:type="auto"/>
            <w:vAlign w:val="center"/>
          </w:tcPr>
          <w:p w:rsidR="005F78FC" w:rsidRDefault="00B42EF3">
            <w:pPr>
              <w:pStyle w:val="TableBodyText"/>
            </w:pPr>
            <w:r>
              <w:t>/e</w:t>
            </w:r>
          </w:p>
        </w:tc>
        <w:tc>
          <w:tcPr>
            <w:tcW w:w="0" w:type="auto"/>
            <w:vAlign w:val="center"/>
          </w:tcPr>
          <w:p w:rsidR="005F78FC" w:rsidRDefault="00B42EF3">
            <w:pPr>
              <w:pStyle w:val="TableBodyText"/>
            </w:pPr>
            <w:r>
              <w:t>Address 2</w:t>
            </w:r>
          </w:p>
        </w:tc>
      </w:tr>
      <w:tr w:rsidR="005F78FC" w:rsidTr="005F78FC">
        <w:tc>
          <w:tcPr>
            <w:tcW w:w="0" w:type="auto"/>
            <w:vAlign w:val="center"/>
          </w:tcPr>
          <w:p w:rsidR="005F78FC" w:rsidRDefault="00B42EF3">
            <w:pPr>
              <w:pStyle w:val="TableBodyText"/>
            </w:pPr>
            <w:r>
              <w:t>&lt;&lt;_CITY_&gt;&gt;</w:t>
            </w:r>
          </w:p>
        </w:tc>
        <w:tc>
          <w:tcPr>
            <w:tcW w:w="0" w:type="auto"/>
            <w:vAlign w:val="center"/>
          </w:tcPr>
          <w:p w:rsidR="005F78FC" w:rsidRDefault="00B42EF3">
            <w:pPr>
              <w:pStyle w:val="TableBodyText"/>
            </w:pPr>
            <w:r>
              <w:t>/i</w:t>
            </w:r>
          </w:p>
        </w:tc>
        <w:tc>
          <w:tcPr>
            <w:tcW w:w="0" w:type="auto"/>
            <w:vAlign w:val="center"/>
          </w:tcPr>
          <w:p w:rsidR="005F78FC" w:rsidRDefault="00B42EF3">
            <w:pPr>
              <w:pStyle w:val="TableBodyText"/>
            </w:pPr>
            <w:r>
              <w:t>City</w:t>
            </w:r>
          </w:p>
        </w:tc>
      </w:tr>
      <w:tr w:rsidR="005F78FC" w:rsidTr="005F78FC">
        <w:tc>
          <w:tcPr>
            <w:tcW w:w="0" w:type="auto"/>
            <w:vAlign w:val="center"/>
          </w:tcPr>
          <w:p w:rsidR="005F78FC" w:rsidRDefault="00B42EF3">
            <w:pPr>
              <w:pStyle w:val="TableBodyText"/>
            </w:pPr>
            <w:r>
              <w:t>&lt;&lt;_STATE_&gt;&gt;</w:t>
            </w:r>
          </w:p>
        </w:tc>
        <w:tc>
          <w:tcPr>
            <w:tcW w:w="0" w:type="auto"/>
            <w:vAlign w:val="center"/>
          </w:tcPr>
          <w:p w:rsidR="005F78FC" w:rsidRDefault="00B42EF3">
            <w:pPr>
              <w:pStyle w:val="TableBodyText"/>
            </w:pPr>
            <w:r>
              <w:t>/a</w:t>
            </w:r>
          </w:p>
        </w:tc>
        <w:tc>
          <w:tcPr>
            <w:tcW w:w="0" w:type="auto"/>
            <w:vAlign w:val="center"/>
          </w:tcPr>
          <w:p w:rsidR="005F78FC" w:rsidRDefault="00B42EF3">
            <w:pPr>
              <w:pStyle w:val="TableBodyText"/>
            </w:pPr>
            <w:r>
              <w:t>State</w:t>
            </w:r>
          </w:p>
        </w:tc>
      </w:tr>
      <w:tr w:rsidR="005F78FC" w:rsidTr="005F78FC">
        <w:tc>
          <w:tcPr>
            <w:tcW w:w="0" w:type="auto"/>
            <w:vAlign w:val="center"/>
          </w:tcPr>
          <w:p w:rsidR="005F78FC" w:rsidRDefault="00B42EF3">
            <w:pPr>
              <w:pStyle w:val="TableBodyText"/>
            </w:pPr>
            <w:r>
              <w:t>&lt;&lt;_POSTAL_&gt;&gt;</w:t>
            </w:r>
          </w:p>
        </w:tc>
        <w:tc>
          <w:tcPr>
            <w:tcW w:w="0" w:type="auto"/>
            <w:vAlign w:val="center"/>
          </w:tcPr>
          <w:p w:rsidR="005F78FC" w:rsidRDefault="00B42EF3">
            <w:pPr>
              <w:pStyle w:val="TableBodyText"/>
            </w:pPr>
            <w:r>
              <w:t>/z</w:t>
            </w:r>
          </w:p>
        </w:tc>
        <w:tc>
          <w:tcPr>
            <w:tcW w:w="0" w:type="auto"/>
            <w:vAlign w:val="center"/>
          </w:tcPr>
          <w:p w:rsidR="005F78FC" w:rsidRDefault="00B42EF3">
            <w:pPr>
              <w:pStyle w:val="TableBodyText"/>
            </w:pPr>
            <w:r>
              <w:t>Postal Code</w:t>
            </w:r>
          </w:p>
        </w:tc>
      </w:tr>
      <w:tr w:rsidR="005F78FC" w:rsidTr="005F78FC">
        <w:tc>
          <w:tcPr>
            <w:tcW w:w="0" w:type="auto"/>
            <w:vAlign w:val="center"/>
          </w:tcPr>
          <w:p w:rsidR="005F78FC" w:rsidRDefault="00B42EF3">
            <w:pPr>
              <w:pStyle w:val="TableBodyText"/>
            </w:pPr>
            <w:r>
              <w:t>&lt;&lt;_COUNTRY_&gt;&gt;</w:t>
            </w:r>
          </w:p>
        </w:tc>
        <w:tc>
          <w:tcPr>
            <w:tcW w:w="0" w:type="auto"/>
            <w:vAlign w:val="center"/>
          </w:tcPr>
          <w:p w:rsidR="005F78FC" w:rsidRDefault="00B42EF3">
            <w:pPr>
              <w:pStyle w:val="TableBodyText"/>
            </w:pPr>
            <w:r>
              <w:t>/d</w:t>
            </w:r>
          </w:p>
        </w:tc>
        <w:tc>
          <w:tcPr>
            <w:tcW w:w="0" w:type="auto"/>
            <w:vAlign w:val="center"/>
          </w:tcPr>
          <w:p w:rsidR="005F78FC" w:rsidRDefault="00B42EF3">
            <w:pPr>
              <w:pStyle w:val="TableBodyText"/>
            </w:pPr>
            <w:r>
              <w:t>Country or Region</w:t>
            </w:r>
          </w:p>
        </w:tc>
      </w:tr>
    </w:tbl>
    <w:p w:rsidR="005F78FC" w:rsidRDefault="005F78FC"/>
    <w:p w:rsidR="005F78FC" w:rsidRDefault="00B42EF3">
      <w:r>
        <w:t xml:space="preserve">Word maps </w:t>
      </w:r>
      <w:r>
        <w:t>the &lt;&lt;_SUFFIX1_&gt;&gt; and /s1 placeholder to mappedName Spouse/Partner Nickname, and maps the placeholder &lt;&lt;_NICK1_&gt;&gt; or /n1 to the empty string.</w:t>
      </w:r>
    </w:p>
    <w:p w:rsidR="005F78FC" w:rsidRDefault="00B42EF3">
      <w:pPr>
        <w:pStyle w:val="Definition-Field"/>
      </w:pPr>
      <w:r>
        <w:t xml:space="preserve">b.   </w:t>
      </w:r>
      <w:r>
        <w:rPr>
          <w:i/>
        </w:rPr>
        <w:t>The standard states that to exclude multiple countries/regions, multiple \e switches can be used.</w:t>
      </w:r>
    </w:p>
    <w:p w:rsidR="005F78FC" w:rsidRDefault="00B42EF3">
      <w:pPr>
        <w:pStyle w:val="Definition-Field2"/>
      </w:pPr>
      <w:r>
        <w:t>Word will r</w:t>
      </w:r>
      <w:r>
        <w:t>espect only the right-most switch, assuming the instruction string is read left to right.</w:t>
      </w:r>
    </w:p>
    <w:p w:rsidR="005F78FC" w:rsidRDefault="00B42EF3">
      <w:pPr>
        <w:pStyle w:val="Definition-Field"/>
      </w:pPr>
      <w:r>
        <w:t xml:space="preserve">c.   </w:t>
      </w:r>
      <w:r>
        <w:rPr>
          <w:i/>
        </w:rPr>
        <w:t>The standard does not specify the format that the argument to the \e switch should be in.</w:t>
      </w:r>
    </w:p>
    <w:p w:rsidR="005F78FC" w:rsidRDefault="00B42EF3">
      <w:r>
        <w:t>If the text within the field-argument supplied for the \e switch is equ</w:t>
      </w:r>
      <w:r>
        <w:t>ivalent to the country that would be used when expanding this mail merge entry, then the country shall be excluded.</w:t>
      </w:r>
    </w:p>
    <w:p w:rsidR="005F78FC" w:rsidRDefault="00B42EF3">
      <w:r>
        <w:t>The following strings MAY contain characters represented in the following way.  U+ABCD shall represent the unicode point ABCD. When U+ABCD n</w:t>
      </w:r>
      <w:r>
        <w:t>otation is used in this way, a trailing space will be included to separate U+ABCD from subsequent text, if any.</w:t>
      </w:r>
    </w:p>
    <w:p w:rsidR="005F78FC" w:rsidRDefault="00B42EF3">
      <w:r>
        <w:t>For example, "AlgU+00E8 ria" represents the string "Algèria"</w:t>
      </w:r>
    </w:p>
    <w:p w:rsidR="005F78FC" w:rsidRDefault="00B42EF3">
      <w:r>
        <w:t>The following paragraphs contain strings which are all considered equivalent to oth</w:t>
      </w:r>
      <w:r>
        <w:t>er strings within that paragraph.  These strings are enclosed within quotation marks, and are separated by commas.</w:t>
      </w:r>
    </w:p>
    <w:p w:rsidR="005F78FC" w:rsidRDefault="00B42EF3">
      <w:r>
        <w:t xml:space="preserve">"Algeria", "Algerien", "Algerie", "U+0627 U+0644 U+062C U+0632 U+0627 U+0626 U+0631", "U+0410 U+043B U+0436 U+0438 U+0440", "AlU+017E U+00ED </w:t>
      </w:r>
      <w:r>
        <w:t>rsko", "Algeriet", "U+0391 U+03BB U+03B3 U+03B5 U+03C1 U+03AF U+03B1", "Argelia", "AlU+017E eeria", "AlgU+00E9 rie", "U+05D0 U+05DC U+05D2 'U+05D9 U+05E8 U+05D9 U+05D4", "AlU+017E ir", "AlgU+00E9 ria", "Algerian", "Algeria ", "AlU+017E U+012B rija", "AlU+0</w:t>
      </w:r>
      <w:r>
        <w:t xml:space="preserve">17E yras", "AlU+017E yro Liaudies DemokratinU+0117  </w:t>
      </w:r>
      <w:r>
        <w:lastRenderedPageBreak/>
        <w:t>Respublika", "Algerije", "Algieria", "ArgU+00E9 lia", "RepU+00FA blica Argelina DemocrU+00E1 tica e Popular", "AlU+017E irija", "U+0E41 U+0E2D U+0E25 U+0E08 U+0E35 U+0E40 U+0E23 U+0E35 U+0E22", "Cezayir",</w:t>
      </w:r>
      <w:r>
        <w:t xml:space="preserve"> "U+0905 U+0932 U+094D U+091C U+0940 U+0930 U+093F U+092F U+093E", "AlgU+00E8 ria"</w:t>
      </w:r>
    </w:p>
    <w:p w:rsidR="005F78FC" w:rsidRDefault="00B42EF3">
      <w:r>
        <w:t xml:space="preserve">"Armenia", "U+0623 U+0631 U+0645 U+064A U+0646 U+064A U+0627", "U+0410 U+0440 U+043C U+0435 U+043D U+0438 U+044F", "ArmU+00E9 nie", "Armenien", "U+0391 U+03C1 U+03BC U+03B5 </w:t>
      </w:r>
      <w:r>
        <w:t>U+03BD U+03AF U+03B1", "Armeenia", "Armenian tasavalta", "U+05D0 U+05E8 U+05DE U+05E0 U+05D9 U+05D4", "Armenija", "U+00D6 rmU+00E9 nyorszU+00E1 g", "ArmU+0113 nija", "ArmU+0117 nija", "ArmU+0117 nijos Respublika", "ArmeniU+00EB", "ArmU+00EA nia", "RepU+00F</w:t>
      </w:r>
      <w:r>
        <w:t>A blica da ArmU+00EA nia", "ArmU+00E9 nia", "ArmU+00E9 nsko", "U+0E2D U+0E32 U+0E23 U+0E4C U+0E40 U+0E21 U+0E40 U+0E19 U+0E35 U+0E22", "Ermenistan", "U+0412 U+0456 U+0440 U+043C U+0435 U+043D U+0456 U+044F", "U+0906 U+0930 U+094D U+092E U+0947 U+0928 U+093</w:t>
      </w:r>
      <w:r>
        <w:t>F U+092F U+093E", "ArmU+00E8 nia"</w:t>
      </w:r>
    </w:p>
    <w:p w:rsidR="005F78FC" w:rsidRDefault="00B42EF3">
      <w:r>
        <w:t>"Australia", "Australie", "Oz", "AS", "U+0623 U+0633 U+062A U+0631 U+0627 U+0644 U+064A U+0627", "U+0410 U+0432 U+0441 U+0442 U+0440 U+0430 U+043B U+0438 U+044F", "AustrU+00E1 lie", "Australien", "U+0391 U+03C5 U+03C3 U+03</w:t>
      </w:r>
      <w:r>
        <w:t xml:space="preserve">C4 U+03C1 U+03B1 U+03BB U+03AF U+03B1", "Austraalia", "Australian liittovaltio", "U+05D0 U+05D5 U+05E1 U+05D8 U+05E8 U+05DC U+05D9 U+05D4", "Australija", "AusztrU+00E1 lia", "AustrU+0101 lija", "Australijos Sandrauga", "AustraliU+00EB", "AustrU+00E1 lia", </w:t>
      </w:r>
      <w:r>
        <w:t>"Comunidade da AustrU+00E1 lia", "Avstralija", "U+0E2D U+0E2D U+0E2A U+0E40 U+0E15 U+0E23 U+0E40 U+0E25 U+0E35 U+0E22", "Avustralya", "U+0410 U+0432 U+0441 U+0442 U+0440 U+0430 U+043B U+0456 U+044F", "U+0911 U+0938 U+094D U+091F U+094D U+0930 U+0947 U+0932</w:t>
      </w:r>
      <w:r>
        <w:t xml:space="preserve"> U+093F U+092F U+093E", "AustrU+00E0 lia"</w:t>
      </w:r>
    </w:p>
    <w:p w:rsidR="005F78FC" w:rsidRDefault="00B42EF3">
      <w:r>
        <w:t xml:space="preserve">"Austria", "Autriche", "U+00D6 sterreich", "Oesterreich", "U+0627 U+0644 U+0646 U+0645 U+0633 U+0627", "U+0410 U+0432 U+0441 U+0442 U+0440 U+0438 U+044F", "Rakousko", "U+00D8 strig", "Oestereich", "U+0391 U+03C5 </w:t>
      </w:r>
      <w:r>
        <w:t>U+03C3 U+03C4 U+03C1 U+03AF U+03B1", "ItU+00E4 valta", "ItU+00E4 vallan tasavalta", "U+05D0 U+05D5 U+05E1 U+05D8 U+05E8 U+05D9 U+05D4", "Austrija", "Ausztria", "Austrijos Respublika", "Oostenrijk", "U+00D8 sterrike", "U+00C1 ustria", "RepU+00FA blica da U+</w:t>
      </w:r>
      <w:r>
        <w:t>00C1 ustria", "RakU+00FA sko", "Avstrija", "U+00D6 sterrike", "U+0E2D U+0E2D U+0E2A U+0E40 U+0E15 U+0E23 U+0E35 U+0E22", "Avusturya", "U+0410 U+0432 U+0441 U+0442 U+0440 U+0456 U+044F", "U+0911 U+0938 U+094D U+091F U+094D U+0930 U+093F U+092F U+093E", "U+0</w:t>
      </w:r>
      <w:r>
        <w:t>0C0 ustria"</w:t>
      </w:r>
    </w:p>
    <w:p w:rsidR="005F78FC" w:rsidRDefault="00B42EF3">
      <w:r>
        <w:t>"Azerbaijan", "U+0623 U+0630 U+0631 U+0628 U+064A U+062C U+0627 U+0646", "U+0410 U+0437 U+0435 U+0440 U+0431 U+0430 U+0439 U+0434 U+0436 U+0430 U+043D", "AzerbajdU+017E U+00E1 n", "Aserbajdsjan", "Aserbajdjan", "Aserbaidschan", "U+0391 U+03B6 U</w:t>
      </w:r>
      <w:r>
        <w:t>+03B5 U+03C1 U+03BC U+03C0 U+03B1 U+03CA U+03C4 U+03B6 U+03AC U+03BD", "AzerbaiyU+00E1 n", "RepU+00FA blica de AzerbaiyU+00E1 n", "AserbaidU+017E aan", "AserbaidU+017E aani Vabariik", "Azerbaidzan", "Azerbaidzanin tasavalta", "AzerbaU+00EF djan", "U+05D0 U</w:t>
      </w:r>
      <w:r>
        <w:t>+05D6 U+05E8 U+05D1 U+05D9 U+05D2 'U+05D0 U+05DF", "U+05D0 U+05D6 U+05E8 U+05D1 U+05D9 U+05D2 'U+05DF", "AzerbajdU+017E an", "AzerbajdzsU+00E1 n", "Azerbaigian", "AzerbaidU+017E U+0101 na", "AzerbaidU+017E anas", "AzerbaidU+017E ano Respublika", "Azerbeidz</w:t>
      </w:r>
      <w:r>
        <w:t>jan", "AzerbejdU+017C an", "AzerbaijU+00E3 o", "RepU+00FA blica do AzerbaijU+00E3 o", "Azerbaidjan", "Azerbajdzjan", "U+0E2D U+0E32 U+0E40 U+0E0B U+0E2D U+0E23 U+0E4C U+0E44 U+0E1A U+0E08 U+0E32 U+0E19", "Azerbaycan", "U+0905 U+095B U+0930 U+092C U+0948 U+</w:t>
      </w:r>
      <w:r>
        <w:t>091C U+093E U+0928"</w:t>
      </w:r>
    </w:p>
    <w:p w:rsidR="005F78FC" w:rsidRDefault="00B42EF3">
      <w:r>
        <w:t xml:space="preserve">"Bahrain", "Bahrayn", "U+0627 U+0644 U+0628 U+062D U+0631 U+064A U+0646", "U+0411 U+0430 U+0445 U+0440 U+0435 U+0439 U+043D", "Bahrajn", "U+039C U+03C0 U+03B1 U+03C7 U+03C1 U+03AD U+03B9 U+03BD", "BahrU+00E1 in", "Bahrein", "BahrU+00E9 </w:t>
      </w:r>
      <w:r>
        <w:t>in", "Estado de BahrU+00E9 in", "Estado de Bahrein", "Bahrainin valtio", "BahreU+00EF n", "U+05D1 U+05D7 U+05E8 U+05D9 U+05D9 U+05DF", "U+05D1 U+05D7 U+05E8 U+05D9 U+05DF", "Bahreina", "Bahreinas", "Bahreino ValstybU+0117", "BarU+00E9 m", "Estado de BarU+0</w:t>
      </w:r>
      <w:r>
        <w:t>0E9 m", "Barein", "U+0E1A U+0E32 U+0E2B U+0E4C U+0E40 U+0E23 U+0E19", "Bahreyn", "U+092C U+0939 U+0930 U+0940 U+0928"</w:t>
      </w:r>
    </w:p>
    <w:p w:rsidR="005F78FC" w:rsidRDefault="00B42EF3">
      <w:r>
        <w:lastRenderedPageBreak/>
        <w:t>"Bangladesh", "U+0628 U+0646 U+063A U+0644 U+0627 U+062F U+0634", "U+0628 U+0646 U+063A U+0644 U+0627 U+062F U+064A U+0634", "U+0628 U+064</w:t>
      </w:r>
      <w:r>
        <w:t>6 U+062C U+0644 U+0627 U+062F U+064A U+0634", "U+0411 U+0430 U+043D U+0433 U+043B U+0430 U+0434 U+0435 U+0448", "BangladU+00E9 U+0161", "Bangladesch", "U+039C U+03C0 U+03B1 U+03BD U+03B3 U+03BA U+03BB U+03B1 U+03BD U+03C4 U+03AD U+03C2", "Bangladeshin kans</w:t>
      </w:r>
      <w:r>
        <w:t>antasavalta", "U+05D1 U+05E0 U+05D2 U+05DC U+05D3 U+05E9", "U+05D1 U+05E0 U+05D2 U+05DC U+05D4 U+05D3 U+05E9", "U+05D1 U+05E0 U+05D2 U+05DC U+05D4 -U+05D3 U+05E9", "BangladeU+0161", "Banglades", "BangladeU+0161 a", "BangladeU+0161 as", "BangladeU+0161 o Li</w:t>
      </w:r>
      <w:r>
        <w:t>audies Respublika", "Bangladesz", "RepU+00FA blica Popular de Bangladesh", "Bangladeche", "U+0E1A U+0E31 U+0E07 U+0E04 U+0E25 U+0E32 U+0E40 U+0E17 U+0E28", "BangladeU+015F", "U+092C U+093E U+0902 U+0917 U+094D U+0932 U+093E U+0926 U+0947 U+0936"</w:t>
      </w:r>
    </w:p>
    <w:p w:rsidR="005F78FC" w:rsidRDefault="00B42EF3">
      <w:r>
        <w:t>"Belarus",</w:t>
      </w:r>
      <w:r>
        <w:t xml:space="preserve"> "U+0628 U+064A U+0644 U+0627 U+0631 U+0648 U+0633", "U+0411 U+0435 U+043B U+043E U+0440 U+0443 U+0441 U+0438 U+044F", "BU+011B lorusko", "Hviderusland", "WeiU+00DF russland", "Weissrussland", "U+039B U+03B5 U+03C5 U+03BA U+03BF U+03C1 U+03C9 U+03C3 U+03AF</w:t>
      </w:r>
      <w:r>
        <w:t xml:space="preserve"> U+03B1", "Bielorrusia", "BelarU+00FA s", "RepU+00FA blica de Bielorrusia", "RepU+00FA blica de BelarU+00FA s", "Valgevene", "Valgevenemaa", "Valko-VenU+00E4 jU+00E4", "Valko-VenU+00E4 jU+00E4 n tasavalta", "BiU+00E9 lorussie", "U+05D1 U+05DC U+05D0 U+05E8</w:t>
      </w:r>
      <w:r>
        <w:t xml:space="preserve"> U+05D5 U+05E1", "U+05D1 U+05DC U+05E8 U+05D5 U+05E1", "U+05E8 U+05D5 U+05E1 U+05D9 U+05D4  U+05D4 U+05DC U+05D1 U+05E0 U+05D4", "U+05D1 U+05D9 U+05D9 U+05DC U+05E8 U+05D5 U+05E1", "U+05D1 U+05D9 U+05D9 U+05DC U+05D5 U+05E8 U+05D5 U+05E1 U+05D9 U+05D4", "B</w:t>
      </w:r>
      <w:r>
        <w:t>jelorusija", "Belarusz", "Belarusszia", "FehU+00E9 roroszorszU+00E1 g", "Belaruszia", "Belorusszia", "Beloruszia", "Bielorussia", "Baltkrievija", "Baltarusija", "Baltarusijos Respublika", "Wit-Rusland", "Wit Rusland", "Hviterussland", "BiaU+0142 oruU+015B"</w:t>
      </w:r>
      <w:r>
        <w:t>, "RepU+00FA blica da Belarus", "BielorrU+00FA sia", "Bielo-rU+00FA ssia", "U+0411 U+0435 U+043B U+0430 U+0440 U+0443 U+0441 U+044C", "U+0411 U+0435 U+043B U+043E U+0440 U+0443 U+0441 U+0441 U+0438 U+044F", "Bielorusko", "Belorusija", "Vitryssland", "U+0E4</w:t>
      </w:r>
      <w:r>
        <w:t>0 U+0E1A U+0E25 U+0E32 U+0E23 U+0E38 U+0E2A", "Beyaz Rusya", "U+0411 U+0456 U+043B U+043E U+0440 U+0443 U+0441 U+044C", "U+0420 U+0435 U+0441 U+043F U+0443 U+0431 U+043B U+0456 U+043A U+0430  U+0411 U+0456 U+043B U+043E U+0440 U+0443 U+0441 U+044C ", "U+09</w:t>
      </w:r>
      <w:r>
        <w:t>2C U+0947 U+0932 U+093E U+0930 U+0942 U+0938", "BielorU+00FA ssia"</w:t>
      </w:r>
    </w:p>
    <w:p w:rsidR="005F78FC" w:rsidRDefault="00B42EF3">
      <w:r>
        <w:t>"Belgium", "Belgia", "BU+00E9 lgica", "Belgien", "Belgique", "Belgio", "U+0628 U+0644 U+062C U+064A U+0643 U+0627", "U+0411 U+0435 U+043B U+0433 U+0438 U+044F", "Belgie", "U+0392 U+03AD U+0</w:t>
      </w:r>
      <w:r>
        <w:t xml:space="preserve">3BB U+03B3 U+03B9 U+03BF", "Belgian kuningaskunta", "U+05D1 U+05DC U+05D2 U+05D9 U+05D4", "Belgija", "BeU+013C U+0123 ija", "Belgijos KaralystU+0117", "BelgiU+00EB", "Reino da BU+00E9 lgica", "U+0411 U+0435 U+043B U+044C U+0433 U+0438 U+044F", "Belgicko", </w:t>
      </w:r>
      <w:r>
        <w:t>"U+0E40 U+0E1A U+0E25 U+0E40 U+0E22 U+0E35 U+0E22 U+0E21", "BelU+00E7 ika", "U+0411 U+0435 U+043B U+044C U+0433 U+0456 U+044F", "U+092C U+0947 U+0932 U+094D U+091C U+093F U+092F U+092E", "BU+00E8 lgica"</w:t>
      </w:r>
    </w:p>
    <w:p w:rsidR="005F78FC" w:rsidRDefault="00B42EF3">
      <w:r>
        <w:t>"Bhutan", "BhutU+00E1 n", "Bhoutan", "Butatilde", "U+</w:t>
      </w:r>
      <w:r>
        <w:t>0628 U+0648 U+062A U+0627 U+0646", "U+0411 U+0443 U+0442 U+0430 U+043D", "BhU+00FA tU+00E1 n", "U+039C U+03C0 U+03BF U+03C5 U+03C4 U+03AC U+03BD", "ButU+00E1 n", "Bhutanin kuningaskunta", "U+05D1 U+05D5 U+05D8 U+05D0 U+05DF", "U+05D1 U+05D4 U+05D5 U+05D8 U</w:t>
      </w:r>
      <w:r>
        <w:t>+05DF", "Butan", "ButU+0101 na", "Butanas", "Butano KaralystU+0117", "ButU+00E3 o", "Reino do ButU+00E3 o", "U+0E20 U+0E39 U+0E0F U+0E32 U+0E19", "U+092D U+0942 U+091F U+093E U+0928"</w:t>
      </w:r>
    </w:p>
    <w:p w:rsidR="005F78FC" w:rsidRDefault="00B42EF3">
      <w:r>
        <w:t>"Brazil", "Bresil", "Brasil", "Brasile", "Brasilien", "U+0627 U+0644 U+06</w:t>
      </w:r>
      <w:r>
        <w:t>28 U+0631 U+0627 U+0632 U+064A U+0644", "U+0411 U+0440 U+0430 U+0437 U+0438 U+043B U+0438 U+044F", "BrazU+00ED lie", "U+0392 U+03C1 U+03B1 U+03B6 U+03B9 U+03BB U+03AF U+03B1", "Brasiilia", "Brasilia", "Brasilian liittotasavalta", "BrU+00E9 sil", "U+05D1 U+</w:t>
      </w:r>
      <w:r>
        <w:t>05E8 U+05D6 U+05D9 U+05DC", "BrazU+00ED lia", "BrazU+012B lija", "Brazilija", "Brazilijos FederacinU+0117  Respublika", "BraziliU+00EB", "Brazylia", "RepU+00FA blica Federativa do Brasil", "Brazilia", "U+0E1A U+0E23 U+0E32 U+0E0B U+0E34 U+0E25", "Brezilya"</w:t>
      </w:r>
      <w:r>
        <w:t>, "U+0411 U+0440 U+0430 U+0437 U+0438 U+043B U+0456 U+044F", "U+092C U+094D U+0930 U+093E U+095B U+0940 U+0932"</w:t>
      </w:r>
    </w:p>
    <w:p w:rsidR="005F78FC" w:rsidRDefault="00B42EF3">
      <w:r>
        <w:t>"Bulgaria", "Bulgarien", "U+0628 U+0644 U+063A U+0627 U+0631 U+064A U+0627", "U+0411 U+044A U+043B U+0433 U+0430 U+0440 U+0438 U+044F", "Bulhars</w:t>
      </w:r>
      <w:r>
        <w:t xml:space="preserve">ko", "U+0392 U+03BF </w:t>
      </w:r>
      <w:r>
        <w:lastRenderedPageBreak/>
        <w:t>U+03C5 U+03BB U+03B3 U+03B1 U+03C1 U+03AF U+03B1", "Bulgaaria", "Bulgarian tasavalta", "Bulgarie", "U+05D1 U+05D5 U+05DC U+05D2 U+05E8 U+05D9 U+05D4", "Bugarska", "BulgU+00E1 ria", "BulgU+0101 rija", "Bulgarija", "Bulgarijos Respublika"</w:t>
      </w:r>
      <w:r>
        <w:t>, "Bulgarije", "BuU+0142 garia", "RepU+00FA blica da BulgU+00E1 ria", "U+0411 U+043E U+043B U+0433 U+0430 U+0440 U+0438 U+044F", "Bolgarija", "U+0E1A U+0E31 U+0E25 U+0E41 U+0E01 U+0E40 U+0E23 U+0E35 U+0E22", "Bulgaristan", "U+0411 U+043E U+043B U+0433 U+04</w:t>
      </w:r>
      <w:r>
        <w:t>30 U+0440 U+0456 U+044F", "U+092C U+0932 U+094D U+0917 U+093E U+0930 U+093F U+092F U+093E", "BulgU+00E0 ria"</w:t>
      </w:r>
    </w:p>
    <w:p w:rsidR="005F78FC" w:rsidRDefault="00B42EF3">
      <w:r>
        <w:t xml:space="preserve">"Canada", "CanadU+00E1", "Kanada", "CDN", "U+0643 U+0646 U+062F U+0627", "U+041A U+0430 U+043D U+0430 U+0434 U+0430", "U+039A U+03B1 U+03BD U+03B1 </w:t>
      </w:r>
      <w:r>
        <w:t>U+03B4 U+03AC U+03C2", "U+05E7 U+05E0 U+05D3 U+05D4", "CanadU+00E0", "KanU+0101 da", "U+0E41 U+0E04 U+0E19 U+0E32 U+0E14 U+0E32", "U+0915 U+0928 U+093E U+0921 U+093E"</w:t>
      </w:r>
    </w:p>
    <w:p w:rsidR="005F78FC" w:rsidRDefault="00B42EF3">
      <w:r>
        <w:t>"China", "PRC", "RepU+00FA blica Popular China", "People's Republic of China", "U+0627 U+</w:t>
      </w:r>
      <w:r>
        <w:t>0644 U+0635 U+064A U+0646", "U+041A U+0438 U+0442 U+0430 U+0439", "U+041A U+041D U+0420", "U+041A U+0438 U+0442 U+0430 U+0439 U+0441 U+043A U+0430  U+041D U+0430 U+0440 U+043E U+0434 U+043D U+0430  U+0420 U+0435 U+043F U+0443 U+0431 U+043B U+0438 U+043A U+</w:t>
      </w:r>
      <w:r>
        <w:t>0430", "U+010C U+00ED na", "U+010C U+00ED nskU+00E1 lidovU+00E1 republika", "U+010C LR", "Kina", "Volksrepublik China", "VR China", "U+039A U+03AF U+03BD U+03B1", "Hiina", "Hiina Rahvavabariik", "Hiinamaa", "HRV", "Kiina", "Kiinan kansantasavalta", "Chine"</w:t>
      </w:r>
      <w:r>
        <w:t>, "RU+00E9 publique populaire de Chine", "U+05E1 U+05D9 U+05DF", "U+05D4 U+05E8 U+05E4 U+05D5 U+05D1 U+05DC U+05D9 U+05E7 U+05D4  U+05D4 U+05E2 U+05DE U+05DE U+05D9 U+05EA  U+05E9 U+05DC  U+05E1 U+05D9 U+05DF", "Narodna Republika Kina", "KU+00ED na", "Cina</w:t>
      </w:r>
      <w:r>
        <w:t>", "Repubblica popolare cinese", "Repubblica cinese", "U+0136 U+012B na", "Kinija", "Kinijos Liaudies Respublika", "Volksrepubliek China", "Folkerepublikken Kina", "Chiny", "ChiU+0144 ska Republika Ludowa", "ChRL", "RepU+00FA blica Popular da China", "Chin</w:t>
      </w:r>
      <w:r>
        <w:t xml:space="preserve">a (Republica PopularU+0103 )", "U+041A U+0438 U+0442 U+0430 U+0439 U+0441 U+043A U+0430 U+044F  U+041D U+0430 U+0440 U+043E U+0434 U+043D U+0430 U+044F  U+0420 U+0435 U+0441 U+043F U+0443 U+0431 U+043B U+0438 U+043A U+0430", "U+010C U+013D R", "Kitajska", </w:t>
      </w:r>
      <w:r>
        <w:t>"Folkrepubliken Kina", "U+0E08 U+0E35 U+0E19", "U+00C7 in", "U+00C7 in Halk Cumhuriyeti", "U+041A U+0438 U+0442 U+0430 U+0439 U+0441 U+044C U+043A U+0430  U+041D U+0430 U+0440 U+043E U+0434 U+043D U+0430  U+0420 U+0435 U+0441 U+043F U+0443 U+0431 U+043B U+</w:t>
      </w:r>
      <w:r>
        <w:t>0456 U+043A U+0430", "U+091A U+0940 U+0928"</w:t>
      </w:r>
    </w:p>
    <w:p w:rsidR="005F78FC" w:rsidRDefault="00B42EF3">
      <w:r>
        <w:t>"Croatia", "Kroatien", "Croacia", "Croatie", "Croazia", "CroU+00E1 cia", "U+0643 U+0631 U+0648 U+0627 U+062A U+064A U+0627", "U+0425 U+044A U+0440 U+0432 U+0430 U+0442 U+0441 U+043A U+0430", "Chorvatsko", "U+039A</w:t>
      </w:r>
      <w:r>
        <w:t xml:space="preserve"> U+03C1 U+03BF U+03B1 U+03C4 U+03AF U+03B1", "Horvaatia", "Kroaatia", "Kroatia", "Kroatian tasavalta", "U+05E7 U+05E8 U+05D5 U+05D0 U+05D8 U+05D9 U+05D4", "Hrvatska", "HorvU+00E1 torszU+00E1 g", "HorvU+0101 tija", "KroU+0101 tija", "Kroatija", "Kroatijos R</w:t>
      </w:r>
      <w:r>
        <w:t xml:space="preserve">espublika", "KroatiU+00EB", "Chorwacja", "RepU+00FA blica da CroU+00E1 cia", "CroaU+0163 ia", "U+0425 U+043E U+0440 U+0432 U+0430 U+0442 U+0438 U+044F", "ChorvU+00E1 tsko", "HrvaU+0161 ka", "U+0E42 U+0E04 U+0E23 U+0E40 U+0E2D U+0E40 U+0E0A U+0E35 U+0E22", </w:t>
      </w:r>
      <w:r>
        <w:t>"HU+0131 rvatistan", "U+0425 U+043E U+0440 U+0432 U+0430 U+0442 U+0456 U+044F", "U+0915 U+094D U+0930 U+094B U+090F U+0936 U+093F U+092F U+093E", "CroU+00E0 cia"</w:t>
      </w:r>
    </w:p>
    <w:p w:rsidR="005F78FC" w:rsidRDefault="00B42EF3">
      <w:r>
        <w:t>"Czech Republic", "Czech", "Checa", "RepU+00FA blica Checa", "U+062C U+0645 U+0647 U+0648 U+06</w:t>
      </w:r>
      <w:r>
        <w:t>31 U+064A U+0629  U+0627 U+0644 U+062A U+0634 U+064A U+0643", "U+0427 U+0435 U+0445 U+0438 U+044F", "U+0427 U+0435 U+0448 U+043A U+0430  U+0440 U+0435 U+043F U+0443 U+0431 U+043B U+0438 U+043A U+0430", "U+010C eskU+00E1 republika", "U+010C echy", "U+010C e</w:t>
      </w:r>
      <w:r>
        <w:t>sko", "U+010C R", "U+010C S", "U+010C echy a Morava", "CZ", "Tjekkiet", "Den Tjekkiske Republik", "Tschechische Republik", "Tschechien", "U+03A4 U+03C3 U+03B5 U+03C7 U+03AF U+03B1", "TU+0161 ehhi Vabariik", "TU+0161 ehhimaa", "TU+0161 ehhi", "Tsekki", "Tse</w:t>
      </w:r>
      <w:r>
        <w:t xml:space="preserve">kinmaa", "Tsekin tasavalta", "RU+00E9 publique tchU+00E8 que", "U+05E6 'U+05DB U+05D9 U+05D4", "U+05E6 'U+05DB U+05D5 U+05E1 U+05DC U+05D5 U+05D1 U+05E7 U+05D9 U+05D4", "U+05D4 U+05E8 U+05E4 U+05D5 U+05D1 U+05DC U+05D9 U+05E7 U+05D4  U+05D4 U+05E6 'U+05DB </w:t>
      </w:r>
      <w:r>
        <w:t xml:space="preserve">U+05D9 U+05EA", "U+010C eU+0161 ka", "U+010C eU+0161 ka Republika", "Cseh KU+00F6 ztrU+00E1 rsasU+00E1 g", "CsehorszU+00E1 g", "Repubblica Ceca", "U+010C ehija", </w:t>
      </w:r>
      <w:r>
        <w:lastRenderedPageBreak/>
        <w:t>"U+010C ehijas Republika", "U+010C ekija", "U+010C ekijos Respublika", "TsjechiU+00EB", "Tsjec</w:t>
      </w:r>
      <w:r>
        <w:t>hische republiek", "Tsjekkia", "Den tsjekkiske republikk", "Czechy", "Republika Czeska", "RepU+00FA blica Tcheca", "Cehia", "U+0427 U+0435 U+0448 U+0441 U+043A U+0430 U+044F  U+0420 U+0435 U+0441 U+043F U+0443 U+0431 U+043B U+0438 U+043A U+0430", "Tjeckien</w:t>
      </w:r>
      <w:r>
        <w:t>", "Tjeckiska republiken", "U+0E2A U+0E32 U+0E18 U+0E32 U+0E23 U+0E13 U+0E23 U+0E31 U+0E10 U+0E40 U+0E0A U+0E47 U+0E01", "U+00C7 ek Cumhuriyeti", "U+0427 U+0435 U+0445 U+0456 U+044F", "U+091A U+0947 U+0915  U+0917 U+0923 U+0930 U+093E U+091C U+094D U+092F"</w:t>
      </w:r>
      <w:r>
        <w:t>, "RepU+00FA blica Txeca"</w:t>
      </w:r>
    </w:p>
    <w:p w:rsidR="005F78FC" w:rsidRDefault="00B42EF3">
      <w:r>
        <w:t>"Denmark", "Danmark", "Danemark", "Dinamarca", "Danimarca", "U+0627 U+0644 U+062F U+0646 U+0645 U+0627 U+0631 U+0643", "U+0414 U+0430 U+043D U+0438 U+044F", "DU+00E1 nsko", "DU+00E4 nemark", "U+0394 U+03B1 U+03BD U+03AF U+03B1", "</w:t>
      </w:r>
      <w:r>
        <w:t>Taani", "Tanska", "Tanskan kuningaskunta", "U+05D3 U+05E0 U+05DE U+05E8 U+05E7", "Danska", "DU+00E1 nia", "DU+0101 nija", "Danija", "Danijos KaralystU+0117", "Denemarken", "DK", "Dania", "Reino da Dinamarca", "Danemarca", "U+0E40 U+0E14 U+0E19 U+0E21 U+0E3</w:t>
      </w:r>
      <w:r>
        <w:t>2 U+0E23 U+0E4C U+0E01", "Danimarka", "U+0414 U+0430 U+043D U+0456 U+044F", "U+0921 U+0947 U+0928 U+092E U+093E U+0930 U+094D U+0915"</w:t>
      </w:r>
    </w:p>
    <w:p w:rsidR="005F78FC" w:rsidRDefault="00B42EF3">
      <w:r>
        <w:t>"Egypt", "Arab Republic of Egypt", "Egitto", "Egypto", "U+062C U+0645 U+0647 U+0648 U+0631 U+064A U+0629  U+0645 U+0635 U+</w:t>
      </w:r>
      <w:r>
        <w:t>0631  U+0627 U+0644 U+0639 U+0631 U+0628 U+064A U+0629", "U+0645 U+0635 U+0631", "U+0415 U+0433 U+0438 U+043F U+0435 U+0442", "Egypten", "U+00C6 gypten", "U+00C4 gypten", "Arabische Republik U+00C4 gypten", "U+0391 U+03AF U+03B3 U+03C5 U+03C0 U+03C4 U+03BF</w:t>
      </w:r>
      <w:r>
        <w:t xml:space="preserve"> U+03C2", "Egipto", "RepU+00FA blica U+00C1 rabe de Egipto", "Egiptus", "Egiptuse Araabia Vabariik", "Egypti", "Egyptin arabitasavalta", "U+00C9 gypte", "U+05DE U+05E6 U+05E8 U+05D9 U+05DD", "U+05D4 U+05E8 U+05E4 U+05D5 U+05D1 U+05DC U+05D9 U+05E7 U+05D4  </w:t>
      </w:r>
      <w:r>
        <w:t>U+05D4 U+05E2 U+05E8 U+05D1 U+05D9 U+05EA  U+05E9 U+05DC  U+05DE U+05E6 U+05E8 U+05D9 U+05DD", "Egipat", "Egyiptom", "U+0112 U+0123 ipte", "U+0112 U+0123 iptes ArU+0101 bu Republika", "Egiptas", "Egipto ArabU+0173  Respublika", "Egypte", "Egipt", "Republik</w:t>
      </w:r>
      <w:r>
        <w:t>a Egiptu", "Egito", "RepU+00FA blica U+00C1 rabe do Egito", "RepU+00FA blica U+00C1 rabe do Egipto", "U+0410 U+0440 U+0430 U+0431 U+0441 U+043A U+0430 U+044F  U+0420 U+0435 U+0441 U+0431 U+0443 U+0431 U+043B U+0438 U+043A U+0430  U+0415 U+0433 U+0438 U+043</w:t>
      </w:r>
      <w:r>
        <w:t>F U+0435 U+0442", "Arabrepubliken Egypten", "U+0E2D U+0E35 U+0E22 U+0E34 U+0E1B U+0E15 U+0E4C", "MU+0131 sU+0131 r", "U+0404 U+0433 U+0438 U+043F U+0435 U+0442", "U+0410 U+0440 U+0430 U+0431 U+0441 U+044C U+043A U+0430  U+0420 U+0435 U+0441 U+043F U+0443 U</w:t>
      </w:r>
      <w:r>
        <w:t>+0431 U+043B U+0456 U+043A U+0430  U+0404 U+0433 U+0438 U+043F U+0435 U+0442", "U+0410 U+0420 U+0415", "U+092E U+093F U+0938 U+094D U+0930", "Egipte"</w:t>
      </w:r>
    </w:p>
    <w:p w:rsidR="005F78FC" w:rsidRDefault="00B42EF3">
      <w:r>
        <w:t xml:space="preserve">"Estonia", "U+0627 U+0633 U+062A U+0648 U+0646 U+064A U+0627", "U+0415 U+0441 U+0442 U+043E U+043D U+0438 </w:t>
      </w:r>
      <w:r>
        <w:t>U+044F", "Estonsko", "Estland", "U+0395 U+03C3 U+03B8 U+03BF U+03BD U+03AF U+03B1", "Eesti", "Eestimaa", "Viro", "Viron tasavalta", "Estonie", "U+05D0 U+05E1 U+05D8 U+05D5 U+05E0 U+05D9 U+05D4", "Estonija", "U+00C9 sztorszU+00E1 g", "Igaunija", "Estija", "</w:t>
      </w:r>
      <w:r>
        <w:t>Estijos Respublika", "EstU+00F4 nia", "RepU+00FA blica da EstU+00F4 nia", "EstU+00F3 nia", "U+042D U+0441 U+0442 U+043E U+043D U+0438 U+044F", "EstU+00F3 nsko", "U+0E40 U+0E2D U+0E2A U+0E42 U+0E15 U+0E40 U+0E19 U+0E35 U+0E22", "Estonya", "U+0415 U+0441 U+0</w:t>
      </w:r>
      <w:r>
        <w:t>442 U+043E U+043D U+0456 U+044F", "U+090F U+0938 U+094D U+091F U+094B U+0928 U+093F U+092F U+093E", "EstU+00F2 nia"</w:t>
      </w:r>
    </w:p>
    <w:p w:rsidR="005F78FC" w:rsidRDefault="00B42EF3">
      <w:r>
        <w:t>"Finland", "Finnland", "Finlandia", "Suomi", "U+0641 U+0646 U+0644 U+0646 U+062F U+0629", "U+0641 U+0646 U+0644 U+0646 U+062F U+0627", "U+04</w:t>
      </w:r>
      <w:r>
        <w:t>24 U+0438 U+043D U+043B U+0430 U+043D U+0434 U+0438 U+044F", "Finsko", "U+03A6 U+03B9 U+03BD U+03BB U+03B1 U+03BD U+03B4 U+03AF U+03B1", "RepU+00FA blica de Finlandia", "Soome", "Suomen tasavalta", "Finlande", "U+05E4 U+05D9 U+05E0 U+05DC U+05E0 U+05D3", "</w:t>
      </w:r>
      <w:r>
        <w:t>Finska", "FinnorszU+00E1 g", "Somija", "Suomija", "Suomijos Respublika", "SF", "Suomi Finland", "FinlU+00E2 ndia", "RepU+00FA blica da FinlU+00E2 ndia", "Finlanda", "U+0424 U+0438 U+043D U+043B U+044F U+043D U+0434 U+0438 U+044F", "FU+00ED nsko", "U+0E1F U</w:t>
      </w:r>
      <w:r>
        <w:t>+0E34 U+0E19 U+0E41 U+0E25 U+0E19 U+0E14 U+0E4C", "Finlandiya", "U+0424 U+0456 U+043D U+043B U+044F U+043D U+0434 U+0456 U+044F", "U+095E U+093F U+0928 U+0932 U+0948 U+0902 U+0921", "FinlU+00E0 ndia"</w:t>
      </w:r>
    </w:p>
    <w:p w:rsidR="005F78FC" w:rsidRDefault="00B42EF3">
      <w:r>
        <w:lastRenderedPageBreak/>
        <w:t>"France", "Francia", "Frankreich", "Frankrijk", "Peranch</w:t>
      </w:r>
      <w:r>
        <w:t>is", "U+0641 U+0631 U+0646 U+0633 U+0627", "U+0424 U+0440 U+0430 U+043D U+0446 U+0438 U+044F", "Francie", "Frankrig", "U+0393 U+03B1 U+03BB U+03BB U+03AF U+03B1", "Prantsusmaa", "Prantsuse Vabariik", "Ranska", "Ranskan tasavalta", "U+05E6 U+05E8 U+05E4 U+0</w:t>
      </w:r>
      <w:r>
        <w:t>5EA", "Francuska", "FranciaorszU+00E1 g", "Francija", "PrancU+016B zija", "PrancU+016B zijos Respublika", "Frankrike", "Francja", "FranU+00E7 a", "RepU+00FA blica Francesa", "FranU+0163 a", "U+0424 U+0440 U+0430 U+043D U+0446 U+0443 U+0437 U+0441 U+043A U+</w:t>
      </w:r>
      <w:r>
        <w:t>0430 U+044F  U+0420 U+0435 U+0441 U+043F U+0443 U+0431 U+043B U+0438 U+043A U+0430", "FrancU+00FA zsko", "U+0E1D U+0E23 U+0E31 U+0E48 U+0E07 U+0E40 U+0E28 U+0E2A", "Fransa", "U+0424 U+0440 U+0430 U+043D U+0446 U+0456 U+044F", "U+095E U+094D U+0930 U+093E U</w:t>
      </w:r>
      <w:r>
        <w:t>+0902 U+0938"</w:t>
      </w:r>
    </w:p>
    <w:p w:rsidR="005F78FC" w:rsidRDefault="00B42EF3">
      <w:r>
        <w:t>"Georgia", "U+062C U+0648 U+0631 U+062C U+064A U+0627", "U+0413 U+0440 U+0443 U+0437 U+0438 U+044F", "Gruzie", "Georgien", "U+0393 U+03B5 U+03C9 U+03C1 U+03B3 U+03AF U+03B1", "Gruusia", "Georgian tasavalta", "GU+00E9 orgie", "U+05D2 U+05E8 U+</w:t>
      </w:r>
      <w:r>
        <w:t>05D5 U+05D6 U+05D9 U+05D4", "Gruzija", "GrU+00FA zia", "Gruzijos Respublika", "GeorgiU+00EB", "Gruzja", "GeU+00F3 rgia", "RepU+00FA blica da GeU+00F3 rgia", "GruzU+00ED nsko", "U+0E08 U+0E2D U+0E23 U+0E4C U+0E40 U+0E08 U+0E35 U+0E22", "GU+00FC rcistan", "U</w:t>
      </w:r>
      <w:r>
        <w:t>+0413 U+0440 U+0443 U+0437 U+0456 U+044F", "U+091C U+0949 U+0930 U+094D U+091C U+093F U+092F U+093E", "GeU+00F2 rgia"</w:t>
      </w:r>
    </w:p>
    <w:p w:rsidR="005F78FC" w:rsidRDefault="00B42EF3">
      <w:r>
        <w:t>"Germany", "West Germany", "East Germany", "Deutschland", "GDR", "FRG", "GER", "Allemagne", "Alemania", "U+0623 U+0644 U+0645 U+0627 U+064</w:t>
      </w:r>
      <w:r>
        <w:t>6 U+064A U+0627", "U+0413 U+0435 U+0440 U+043C U+0430 U+043D U+0438 U+044F", "U+0424 U+0420 U+0413", "NU+011B mecko", "SpolkovU+00E1 republika NU+011B mecko", "SRN", "ZU+00E1 padnU+00ED  NU+011B mecko", "VU+00FD chodnU+00ED  NU+011B mecko", "NDR", "NSR", "</w:t>
      </w:r>
      <w:r>
        <w:t>Tyskland", "Bundesrepublik Deutschland", "BRD", "B.R.D.", "U+0393 U+03B5 U+03C1 U+03BC U+03B1 U+03BD U+03AF U+03B1", "RepU+00FA blica Federal de Alemania", "RepU+00FA blica Federal Alemana", "Saksamaa", "Saksa Liitvabariik", "Saksa", "LU+00E4 U+00E4 ne-Sak</w:t>
      </w:r>
      <w:r>
        <w:t>samaa", "Ida-Saksamaa", "SLV", "SFV", "Saksan liittotasavalta", "FU+00F6 rbundsrepubliken Tyskland", "ItU+00E4 -Saksa", "LU+00E4 nsi-Saksa", "DDR", "U+05D2 U+05E8 U+05DE U+05E0 U+05D9 U+05D4", "U+05DE U+05D6 U+05E8 U+05D7  U+05D2 U+05E8 U+05DE U+05E0 U+05D</w:t>
      </w:r>
      <w:r>
        <w:t>9 U+05D4", "U+05DE U+05E2 U+05E8 U+05D1  U+05D2 U+05E8 U+05DE U+05E0 U+05D9 U+05D4", "U+05D2 U+05E8 U+05DE U+05E0 U+05D9 U+05D4  U+05D4 U+05DE U+05D6 U+05E8 U+05D7 U+05D9 U+05EA", "U+05D2 U+05E8 U+05DE U+05E0 U+05D9 U+05D4  U+05D4 U+05DE U+05E2 U+05E8 U+05</w:t>
      </w:r>
      <w:r>
        <w:t>D1 U+05D9 U+05EA", "NjemaU+010D ka", "NU+00E9 metorszU+00E1 g", "NU+00E9 met SzU+00F6 vetsU+00E9 gi KU+00F6 ztU+00E1 rsasU+00E1 g", "Germania", "VU+0101 cija", "AustrumvU+0101 cija", "RietumvU+0101 cija", "Vokietija", "Vokietijos FederacinU+0117  Respublik</w:t>
      </w:r>
      <w:r>
        <w:t>a", "VFR", "Duitsland", "Bondsrepubliek Duitsland", "Vest-Tyskland", "U+00D8 st-Tyskland", "Niemcy", "Republika Federalna Niemiec", "Niemiecka Republika Demokratyczna", "RFN", "NRD", "Alemanha", "RepU+00FA blica Federal da Alemanha", "Germania de Vest", "G</w:t>
      </w:r>
      <w:r>
        <w:t>ermania de Est", "U+0424 U+0435 U+0434 U+0435 U+0440 U+0430 U+0442 U+0438 U+0432 U+043D U+0430 U+044F  U+0420 U+0435 U+0441 U+043F U+0443 U+0431 U+043B U+0438 U+043A U+0430  U+0413 U+0435 U+0440 U+043C U+0430 U+043D U+0438 U+044F", "Nemecko", "NemU+010D ij</w:t>
      </w:r>
      <w:r>
        <w:t>a", "Zahodna NemU+010D ija", "Vzhodna NemU+010D ija", "VU+00E4 sttyskland", "U+00D6 sttyskland", "U+0E40 U+0E22 U+0E2D U+0E23 U+0E21 U+0E19 U+0E35", "Almanya", "BatU+0131  Almanya", "DoU+011F u Almanya", "U+041D U+0456 U+043C U+0435 U+0447 U+0447 U+0438 U+</w:t>
      </w:r>
      <w:r>
        <w:t>043D U+0430", "U+0424 U+0435 U+0434 U+0435 U+0440 U+0430 U+0442 U+0438 U+0432 U+043D U+0430  U+0420 U+0435 U+0441 U+043F U+0443 U+0431 U+043B U+0456 U+043A U+0430  U+041D U+0456 U+043C U+0435 U+0447 U+0447 U+0438 U+043D U+0430", "U+0424 U+0420 U+041D", "U+</w:t>
      </w:r>
      <w:r>
        <w:t>091C U+0930 U+094D U+092E U+0928 U+0940", "Alemanya"</w:t>
      </w:r>
    </w:p>
    <w:p w:rsidR="005F78FC" w:rsidRDefault="00B42EF3">
      <w:r>
        <w:t>"Greece", "Grecia", "Griechenland", "U+0627 U+0644 U+064A U+0648 U+0646 U+0627 U+0646", "U+0413 U+044A U+0440 U+0446 U+0438 U+044F", "U+0158 ecko", "GrU+00E6 kenland", "U+0395 U+03BB U+03BB U+03AC U+03B4</w:t>
      </w:r>
      <w:r>
        <w:t xml:space="preserve"> U+03B1", "Kreeka", "Kreikka", "Kreikan tasavalta", "Helleenien tasavalta", "GrU+00E8 ce", "U+05D9 U+05D5 U+05D5 U+05DF", "GrU+010D ka", "GU+00F6 rU+00F6 gorszU+00E1 g", "GrieU+0137 ija", "Graikija", "Graikijos Respublika", "Griekenland", "Hellas", "Greken</w:t>
      </w:r>
      <w:r>
        <w:t xml:space="preserve">land", "Grecja", "GrU+00E9 cia", "RepU+00FA blica HelU+00EA nica", "U+0413 U+0440 U+0435 U+0446 U+0438 U+044F", "GrU+00E9 cko", "GrU+010D ija", "Grekland", </w:t>
      </w:r>
      <w:r>
        <w:lastRenderedPageBreak/>
        <w:t>"U+0E01 U+0E23 U+0E35 U+0E0B", "Yunanistan", "U+0413 U+0440 U+0435 U+0446 U+0456 U+044F", "U+092F U+</w:t>
      </w:r>
      <w:r>
        <w:t>0942 U+0928 U+093E U+0928", "GrU+00E8 cia"</w:t>
      </w:r>
    </w:p>
    <w:p w:rsidR="005F78FC" w:rsidRDefault="00B42EF3">
      <w:r>
        <w:t>"Hong Kong SAR", "Hong Kong", "HK", "U+0647 U+0648 U+0646 U+062C  U+0643 U+0648 U+0646 U+062C", "U+0425 U+043E U+043D U+0433  U+041A U+043E U+043D U+0433", "Hongkong U+2013 zvlU+00E1 U+0161 tnU+00ED sprU+00E1 vnU+</w:t>
      </w:r>
      <w:r>
        <w:t>00ED oblast U+010C LR", "Hongkong", "Hongk Kong", "Sonderverwaltungsregion Hongkong", "U+03A7 U+03BF U+03BD U+03B3 U+03BA  U+039A U+03BF U+03BD U+03B3 U+03BA  U+0395 U+0394 U+03A0", "Hong Kong, ZAE", "RegiU+00F3 n Administrativa Especial de Hong Kong (RepU</w:t>
      </w:r>
      <w:r>
        <w:t>+00FA blica Popular China)", "\"RegiU+00F3 n Administrativa Especial\" (RAE) de la RepU+00FA blica Popular China", "Xianggang", "Kiinan kansantasavallan erityisalue Hongkong ", "RU+00E9 gion administrative spU+00E9 ciale de Hong Kong", "U+05D4 U+05D5 U+05E</w:t>
      </w:r>
      <w:r>
        <w:t>0 U+05D2  U+05E7 U+05D5 U+05E0 U+05D2  U+05D4 U+05DE U+05D7 U+05D5 U+05D6  U+05D4 U+05DE U+05D9 U+05E0 U+05D4 U+05DC U+05D9  U+05D4 U+05DE U+05D9 U+05D5 U+05D7 U+05D3", "U+05D4 U+05D5 U+05E0 U+05D2  U+05E7 U+05D5 U+05E0 U+05D2", "Honkonga", "Honkongas U+01</w:t>
      </w:r>
      <w:r>
        <w:t>2B paU+0161 U+0101 s pU+0101 rvaldes apgabals", "Honkongas", "Hongkong SAR", "RAE Hong Kong", "RAE de Hong Kong", "U+0413 U+043E U+043D U+043A U+043E U+043D U+0433", "Hong Kong O.S.O.", "U+0E2E U+0E48 U+0E2D U+0E07 U+0E01 U+0E07  SAR", "Hong Kong (U+00D6 U</w:t>
      </w:r>
      <w:r>
        <w:t>+0130  B)", "U+0413 U+043E U+043D U+043A U+043E U+043D U+0433 (U+041E U+0410 U+0420 )", "U+0939 U+093E U+0901 U+0917  U+0915 U+093E U+0901 U+0917"</w:t>
      </w:r>
    </w:p>
    <w:p w:rsidR="005F78FC" w:rsidRDefault="00B42EF3">
      <w:r>
        <w:t xml:space="preserve">"Hungary", "Hongrie", "Ungarn", "Ungheria", "HungrU+00ED a", "U+0627 U+0644 U+0645 U+062C U+0631", "U+0423 </w:t>
      </w:r>
      <w:r>
        <w:t>U+043D U+0433 U+0430 U+0440 U+0438 U+044F", "MaU+010F arsko", "U+039F U+03C5 U+03B3 U+03B3 U+03B1 U+03C1 U+03AF U+03B1", "Ungari", "Unkari", "Unkarin tasavalta", "U+05D4 U+05D5 U+05E0 U+05D2 U+05E8 U+05D9 U+05D4", "MaU+0111 arska", "MagyarorszU+00E1 g", "U</w:t>
      </w:r>
      <w:r>
        <w:t>ngU+0101 rija", "Vengrija", "Vengrijos Respublika", "Hongarije", "WU+0119 gry", "Hungria", "RepU+00FA blica da Hungria", "Ungaria", "U+0412 U+0435 U+043D U+0433 U+0440 U+0438 U+044F", "MR", "MadU+017E arska", "Ungern", "U+0E2E U+0E31 U+0E07 U+0E01 U+0E32 U</w:t>
      </w:r>
      <w:r>
        <w:t>+0E23 U+0E35", "Macaristan", "U+0423 U+0433 U+043E U+0440 U+0449 U+0438 U+043D U+0430", "U+0939 U+0902 U+0917 U+0930 U+0940", "Hongria"</w:t>
      </w:r>
    </w:p>
    <w:p w:rsidR="005F78FC" w:rsidRDefault="00B42EF3">
      <w:r>
        <w:t>"Iceland", "Island", "Islande", "Islandia", "U+0623 U+064A U+0633 U+0644 U+0627 U+0646 U+062F", "U+0622 U+064A U+0633 U+</w:t>
      </w:r>
      <w:r>
        <w:t>0644 U+0646 U+062F U+0627", "U+0418 U+0441 U+043B U+0430 U+043D U+0434 U+0438 U+044F", "U+0399 U+03C3 U+03BB U+03B1 U+03BD U+03B4 U+03AF U+03B1", "Islandi Vabariik", "Islanti", "Islannin tasavalta", "U+05D0 U+05D9 U+05E1 U+05DC U+05E0 U+05D3", "Izland", "I</w:t>
      </w:r>
      <w:r>
        <w:t>slanda", "Islandija", "Islandijos Respublika", "IJsland", "IslU+00E2 ndia", "RepU+00FA blica da IslU+00E2 ndia", "U+0E44 U+0E2D U+0E0B U+0E4C U+0E41 U+0E25 U+0E19 U+0E14 U+0E4C", "U+0130 zlanda", "U+0406 U+0441 U+043B U+0430 U+043D U+0434 U+0456 U+044F", "</w:t>
      </w:r>
      <w:r>
        <w:t>U+0906 U+0907 U+0938 U+0932 U+0948 U+0902 U+0921", "IslU+00E0 ndia"</w:t>
      </w:r>
    </w:p>
    <w:p w:rsidR="005F78FC" w:rsidRDefault="00B42EF3">
      <w:r>
        <w:t>"India", "Inde", "Indien", "U+0627 U+0644 U+0647 U+0646 U+062F", "U+0418 U+043D U+0434 U+0438 U+044F", "Indie", "U+0399 U+03BD U+03B4 U+03AF U+03B1", "Intia", "Intian tasavalta", "U+05D4 U</w:t>
      </w:r>
      <w:r>
        <w:t>+05D5 U+05D3 U+05D5", "Indija", "Indijos Respublika", "U+00CD ndia", "RepU+00FA blica da U+00CD ndia", "U+0E2D U+0E34 U+0E19 U+0E40 U+0E14 U+0E35 U+0E22", "Hindistan", "U+0406 U+043D U+0434 U+0456 U+044F", "U+092D U+093E U+0930 U+0924", "U+0907 U+0902 U+09</w:t>
      </w:r>
      <w:r>
        <w:t>21 U+093F U+092F U+093E"</w:t>
      </w:r>
    </w:p>
    <w:p w:rsidR="005F78FC" w:rsidRDefault="00B42EF3">
      <w:r>
        <w:t>"Israel", "Yisra'el", "U+0418 U+0437 U+0440 U+0430 U+0435 U+043B", "Izrael", "U+0399 U+03C3 U+03C1 U+03B1 U+03AE U+03BB", "Iisrael", "Iisraeli Riik", "Israelin valtio", "IsraU+00EB l", "U+05D9 U+05E9 U+05E8 U+05D0 U+05DC", "Isreal"</w:t>
      </w:r>
      <w:r>
        <w:t>, "Israele", "IzraU+0113 la", "Izraelis", "Izraelio ValstybU+0117", "Estado de Israel", "U+0418 U+0437 U+0440 U+0430 U+0438 U+043B U+044C", "U+0E2D U+0E34 U+0E2A U+0E23 U+0E32 U+0E40 U+0E2D U+0E25", "U+0130 srail", "U+0406 U+0437 U+0440 U+0430 U+0457 U+043</w:t>
      </w:r>
      <w:r>
        <w:t>B U+044C", "U+0907 U+095B U+0930 U+093E U+0907 U+0932"</w:t>
      </w:r>
    </w:p>
    <w:p w:rsidR="005F78FC" w:rsidRDefault="00B42EF3">
      <w:r>
        <w:t>"Italy", "Italien", "Italia", "ITA", "U+0625 U+064A U+0637 U+0627 U+0644 U+064A U+0627", "U+0625 U+064A U+0637 U+0627 U+0644 U+064A U+0629", "U+0418 U+0442 U+0430 U+043B U+0438 U+044F", "ItU+00E1 lie",</w:t>
      </w:r>
      <w:r>
        <w:t xml:space="preserve"> "U+0399 U+03C4 U+03B1 U+03BB U+03AF U+03B1", "Itaalia", </w:t>
      </w:r>
      <w:r>
        <w:lastRenderedPageBreak/>
        <w:t>"Italian tasavalta", "Italie", "U+05D0 U+05D9 U+05D8 U+05DC U+05D9 U+05D4", "Italija", "OlaszorszU+00E1 g", "ItU+0101 lija", "Italijos Respublika", "ItaliU+00EB", "WU+0142 ochy", "ItU+00E1 lia", "Rep</w:t>
      </w:r>
      <w:r>
        <w:t>U+00FA blica Italiana", "Taliansko", "U+0E2D U+0E34 U+0E15 U+0E32 U+0E25 U+0E35", "U+0130 talya", "U+0406 U+0442 U+0430 U+043B U+0456 U+044F", "U+0907 U+091F U+0932 U+0940", "ItU+00E0 lia"</w:t>
      </w:r>
    </w:p>
    <w:p w:rsidR="005F78FC" w:rsidRDefault="00B42EF3">
      <w:r>
        <w:t>"Japan", "Giappone", "Japon", "Jepun", "JapU+00F3 n", "U+0627 U+064</w:t>
      </w:r>
      <w:r>
        <w:t>4 U+064A U+0627 U+0628 U+0627 U+0646", "U+042F U+043F U+043E U+043D U+0438 U+044F", "Japonsko", "U+0399 U+03B1 U+03C0 U+03C9 U+03BD U+03AF U+03B1", "Jaapan", "Japani", "U+05D9 U+05E4 U+05DF", "U+05D9 U+05E4 U+05D0 U+05DF", "JapU+00E1 n", "JapU+0101 na", "J</w:t>
      </w:r>
      <w:r>
        <w:t>aponija", "Japonia", "JapU+00E3 o", "Japonska", "U+0E0D U+0E35 U+0E48 U+0E1B U+0E38 U+0E48 U+0E19", "Japonya", "U+042F U+043F U+043E U+043D U+0456 U+044F", "U+091C U+093E U+092A U+093E U+0928"</w:t>
      </w:r>
    </w:p>
    <w:p w:rsidR="005F78FC" w:rsidRDefault="00B42EF3">
      <w:r>
        <w:t xml:space="preserve">"Jordan", "U+0627 U+0644 U+0623 U+0631 U+062F U+0646", "U+0419 </w:t>
      </w:r>
      <w:r>
        <w:t>U+043E U+0440 U+0434 U+0430 U+043D U+0438 U+044F", "JordU+00E1 nsko", "Jordanien", "U+0399 U+03BF U+03C1 U+03B4 U+03B1 U+03BD U+03AF U+03B1", "Jordania", "Reino Hachemita de Jordania", "Reino HachemU+00ED  de Jordania", "Jordaania", "Jordanian hasemiittine</w:t>
      </w:r>
      <w:r>
        <w:t>n kuningaskunta", "Jordanie", "U+05D9 U+05E8 U+05D3 U+05DF", "JordU+00E1 nia", "Giordania", "JordU+0101 nija", "Jordanija", "Jordanijos HaU+0161 imitU+0173  KaralystU+0117", "JordaniU+00EB", "JordU+00E2 nia", "Reino Hachemita da JordU+00E2 nia", "Iordania"</w:t>
      </w:r>
      <w:r>
        <w:t>, "U+0418 U+043E U+0440 U+0434 U+0430 U+043D U+0438 U+044F", "JordU+00E1 n", "U+0E08 U+0E2D U+0E23 U+0E4C U+0E41 U+0E14 U+0E19", "U+00DC rdU+00FC n", "U+0419 U+043E U+0440 U+0434 U+0430 U+043D U+0456 U+044F", "U+091C U+0949 U+0930 U+094D U+0921 U+0928", "J</w:t>
      </w:r>
      <w:r>
        <w:t>ordU+00E0 nia"</w:t>
      </w:r>
    </w:p>
    <w:p w:rsidR="005F78FC" w:rsidRDefault="00B42EF3">
      <w:r>
        <w:t>"Kazakhstan", "U+0643 U+0627 U+0632 U+0627 U+062E U+0633 U+062A U+0627 U+0646", "U+041A U+0430 U+0437 U+0430 U+0445 U+0441 U+0442 U+0430 U+043D", "KazachstU+00E1 n", "Kasakhstan", "Kasakstan", "Kazakstan", "Kasachstan", "U+039A U+03B1 U+03B6</w:t>
      </w:r>
      <w:r>
        <w:t xml:space="preserve"> U+03B1 U+03C7 U+03C3 U+03C4 U+03AC U+03BD", "KazajstU+00E1 n", "KazajistU+00E1 n", "RepU+00FA blica de KazajistU+00E1 n", "Kasahstan", "Kasahstani Vabariik", "Kasahhi", "Kazakstanin tasavalta", "U+05E7 U+05D6 U+05D7 U+05E1 U+05D8 U+05D0 U+05DF", "U+05E7 U</w:t>
      </w:r>
      <w:r>
        <w:t>+05D6 U+05D7 U+05E1 U+05D8 U+05DF", "Kazahstan", "KazahsztU+00E1 n", "Kazakistan", "KazahstU+0101 na", "Kazachstanas", "Kazachija", "Kazachstano Respublika", "Kazachstan", "CazaquistU+00E3 o", "RepU+00FA blica do CazaquistU+00E3 o", "U+0E04 U+0E32 U+0E0B U</w:t>
      </w:r>
      <w:r>
        <w:t>+0E31 U+0E04 U+0E2A U+0E16 U+0E32 U+0E19", "U+0915 U+095B U+093E U+0916 U+0938 U+094D U+0924 U+093E U+0928"</w:t>
      </w:r>
    </w:p>
    <w:p w:rsidR="005F78FC" w:rsidRDefault="00B42EF3">
      <w:r>
        <w:t>"Korea (Republic of)", "Korea", "Republic of Korea", "South Korea", "Corea", "Corea del Sur", "CorU+00E9 e", "SU+00FC dkorea", "U+0643 U+0648 U+0631</w:t>
      </w:r>
      <w:r>
        <w:t xml:space="preserve"> U+064A U+0627", "(U+062C U+0645 U+0647 U+0648 U+0631 U+064A U+0629 ) U+0643 U+0648 U+0631 U+064A U+0627", "U+0643 U+0648 U+0631 U+064A U+0627  U+0627 U+0644 U+062C U+0646 U+0648 U+0628 U+064A U+0629", "U+041A U+043E U+0440 U+0435 U+044F", "U+0420 U+0435 U</w:t>
      </w:r>
      <w:r>
        <w:t>+043F U+0443 U+0431 U+043B U+0438 U+043A U+0430  U+041A U+043E U+0440 U+0435 U+044F", "U+042E U+0436 U+043D U+0430  U+041A U+043E U+0440 U+0435 U+044F", "JiU+017E nU+00ED  Korea", "Sydkorea", "Korea (Republik)", "Republik Korea", "U+039A U+03BF U+03C1 U+03</w:t>
      </w:r>
      <w:r>
        <w:t>AD U+03B1 (U+0394 U+03B7 U+03BC U+03BF U+03BA U+03C1 U+03B1 U+03C4 U+03AF U+03B1  U+03C4 U+03B7 U+03C2 )", "RepU+00FA blica de Corea", "LU+00F5 una-Korea", "Korea Vabariik", "Korean tasavalta", "Korea (tasavalta)", "EtelU+00E4 -Korea", "RU+00E9 publique de</w:t>
      </w:r>
      <w:r>
        <w:t xml:space="preserve"> CorU+00E9 e", "CorU+00E9 e du Sud", "U+05E7 U+05D5 U+05E8 U+05D9 U+05D0 U+05D4 (U+05D4 U+05E8 U+05E4 U+05D5 U+05D1 U+05DC U+05D9 U+05E7 U+05D4  U+05E9 U+05DC )", "JuU+017E na Koreja", "Republika Koreja", "Korea (Koreai KU+00F6 ztU+00E1 rsasU+00E1 g)", "Re</w:t>
      </w:r>
      <w:r>
        <w:t xml:space="preserve">pubblica di Corea", "Corea del Sud", "Koreja", "KorU+0117 ja", "KorU+0117 jos Respublika", "PietU+0173  KorU+0117 ja", "Republiek Korea", "Zuid-Korea", "SU+00F8 r-Korea", "Republika Korei", "Korea PoU+0142 udniowa", "CorU+00E9 ia do Sul", "RepU+00FA blica </w:t>
      </w:r>
      <w:r>
        <w:t>da CorU+00E9 ia", "Coreia (RepU+00FA blica da)", "Coreia", "RepU+00FA blica da Coreia", "Coreia do Sul", "Republica Coreea", "U+042E U+0436 U+043D U+0430 U+044F  U+041A U+043E U+0440 U+0435 U+044F", "JuU+017E nU+00E1  KU+00F3 rea", "KU+00F3 rea", "Nordkore</w:t>
      </w:r>
      <w:r>
        <w:t xml:space="preserve">a", "Republiken Korea", "U+0E40 U+0E01 U+0E32 U+0E2B U+0E25 U+0E35", "Kore (Cumhuriyeti)", "Kore", "GU+00FC ney Kore", "U+041F </w:t>
      </w:r>
      <w:r>
        <w:lastRenderedPageBreak/>
        <w:t>U+0456 U+0432 U+0434 U+0435 U+043D U+043D U+0430  U+041A U+043E U+0440 U+0435 U+044F", "U+0915 U+094B U+0930 U+093F U+092F U+093E</w:t>
      </w:r>
      <w:r>
        <w:t>"</w:t>
      </w:r>
    </w:p>
    <w:p w:rsidR="005F78FC" w:rsidRDefault="00B42EF3">
      <w:r>
        <w:t>"Kuwait", "U+0627 U+0644 U+0643 U+0648 U+064A U+062A", "U+041A U+0443 U+0432 U+0435 U+0439 U+0442", "Kuvajt", "U+039A U+03BF U+03C5 U+03B2 U+03AD U+03B9 U+03C4", "Estado de Kuwait", "Kuveit", "Kuveidi Riik", "Kuwaitin valtio", "KoweU+00EF t", "U+05DB U+0</w:t>
      </w:r>
      <w:r>
        <w:t>5D5 U+05D5 U+05D9 U+05EA", "U+05DB U+05D5 U+05D5 U+05D9 U+05D9 U+05EA", "Kuvait", "Kuveita", "Kuveitas", "Kuveito ValstybU+0117", "Koeweit", "Kuwejt", "Coveite (Kuaite)", "RepU+00FA blica do Coveite (Kuaite)", "Kuweit", "U+0E04 U+0E39 U+0E40 U+0E27 U+0E15"</w:t>
      </w:r>
      <w:r>
        <w:t>, "Kuveyt", "U+0915 U+0941 U+0935 U+0948 U+0924"</w:t>
      </w:r>
    </w:p>
    <w:p w:rsidR="005F78FC" w:rsidRDefault="00B42EF3">
      <w:r>
        <w:t>"Latvia", "U+0644 U+0627 U+062A U+0641 U+064A U+0627", "U+041B U+0430 U+0442 U+0432 U+0438 U+044F", "LotyU+0161 sko", "Letland", "Lettland", "U+039B U+03B5 U+03C4 U+03BF U+03BD U+03AF U+03B1", "Letonia", "Re</w:t>
      </w:r>
      <w:r>
        <w:t>pU+00FA blica de Letonia", "LU+00E4 ti", "LU+00E4 ti Vabariik", "LU+00E4 timaa", "Latvian tasavalta", "Lettonie", "U+05DC U+05D8 U+05D1 U+05D9 U+05D4", "U+05DC U+05D8 U+05D5 U+05D5 U+05D9 U+05D4", "Latvija", "Letonija", "LettorszU+00E1 g", "Lettonia", "Lat</w:t>
      </w:r>
      <w:r>
        <w:t>vijos Respublika", "U+0141 otwa", "LetU+00F4 nia", "RepU+00FA blica da LetU+00F4 nia", "LetU+00F3 nia", "U+0E25 U+0E31 U+0E15 U+0E40 U+0E27 U+0E35 U+0E22", "Letonya", "U+041B U+0430 U+0442 U+0432 U+0456 U+044F", "U+0932 U+093E U+0924 U+0935 U+093F U+092F U</w:t>
      </w:r>
      <w:r>
        <w:t>+093E", "LU+00E0 tvia"</w:t>
      </w:r>
    </w:p>
    <w:p w:rsidR="005F78FC" w:rsidRDefault="00B42EF3">
      <w:r>
        <w:t>"Lebanon", "U+0644 U+0628 U+0646 U+0627 U+0646", "U+041B U+0438 U+0432 U+0430 U+043D", "Libanon", "U+039B U+03AF U+03B2 U+03B1 U+03BD U+03BF U+03C2", "LU+00ED bano", "RepU+00FA blica Libanesa", "Liibanon", "Liibanoni Vabariik", "Liba</w:t>
      </w:r>
      <w:r>
        <w:t>nonin tasavalta", "Liban", "U+05DC U+05D1 U+05E0 U+05D5 U+05DF", "Libano", "LibU+0101 na", "Libanas", "Libano Respublika", "U+0E40 U+0E25 U+0E1A U+0E32 U+0E19 U+0E2D U+0E19", "LU+00FC bnan", "U+041B U+0456 U+0432 U+0430 U+043D", "U+0932 U+0947 U+092C U+092</w:t>
      </w:r>
      <w:r>
        <w:t>8 U+093E U+0928", "LU+00ED ban"</w:t>
      </w:r>
    </w:p>
    <w:p w:rsidR="005F78FC" w:rsidRDefault="00B42EF3">
      <w:r>
        <w:t>"Lithuania", "Lituania", "U+0644 U+062A U+0648 U+0627 U+0646 U+064A U+0627", "U+041B U+0438 U+0442 U+0432 U+0430", "Litva", "Litauen", "U+039B U+03B9 U+03B8 U+03BF U+03C5 U+03B1 U+03BD U+03AF U+03B1", "Leedu", "Leedu Vabarii</w:t>
      </w:r>
      <w:r>
        <w:t xml:space="preserve">k", "Leedumaa", "Liettua", "Liettuan tasavalta", "Lituanie", "U+05DC U+05D9 U+05D8 U+05D0", "LitvU+00E1 nia", "Lietuva", "Lietuvos Respublika", "Litouwen", "Litwa", "LituU+00E2 nia", "RepU+00FA blica da LituU+00E2 nia", "U+0E25 U+0E34 U+0E17 U+0E31 U+0E27 </w:t>
      </w:r>
      <w:r>
        <w:t>U+0E40 U+0E19 U+0E35 U+0E22", "Litvanya", "U+0932 U+093F U+0925 U+0941 U+0906 U+0928 U+093F U+092F U+093E", "LituU+00E0 nia"</w:t>
      </w:r>
    </w:p>
    <w:p w:rsidR="005F78FC" w:rsidRDefault="00B42EF3">
      <w:r>
        <w:t>"Maldives", "Malediven", "Maldivas", "Maldive", "U+062C U+0632 U+0631  U+0627 U+0644 U+0645 U+0627 U+0644 U+062F U+064A U+0641", "U</w:t>
      </w:r>
      <w:r>
        <w:t>+041C U+0430 U+043B U+0434 U+0438 U+0432 U+0438", "U+041C U+0430 U+043B U+0434 U+0438 U+0432 U+0441 U+043A U+0438  U+043E -U+0432 U+0438", "Maledivy", "Maldiverne", "U+039C U+03B1 U+03BB U+03B4 U+03AF U+03B2 U+03B5 U+03C2", "Maldiivid", "Maldiivi Vabariik"</w:t>
      </w:r>
      <w:r>
        <w:t>, "Malediivit", "Malediivien tasavalta", "U+05D4 U+05D0 U+05D9 U+05D9 U+05DD  U+05D4 U+05DE U+05DC U+05D3 U+05D9 U+05D1 U+05D9 U+05D9 U+05DD", "U+05D0 U+05D9 U+05D9  U+05DE U+05DC U+05D3 U+05D9 U+05D1", "Maldivi", "MaldU+00ED v-szigetek", "MaldU+012B vu sa</w:t>
      </w:r>
      <w:r>
        <w:t xml:space="preserve">las", "Maldyvai", "MaldyvU+0173  Respublika", "Maldivene", "The Maldives", "Malediwy", "RepU+00FA blica das Maldivas", "U+041C U+0430 U+043B U+044C U+0434 U+0438 U+0432 U+044B", "U+041C U+0430 U+043B U+044C U+0434 U+0438 U+0432 U+0441 U+043A U+0438 U+0435 </w:t>
      </w:r>
      <w:r>
        <w:t xml:space="preserve"> U+043E -U+0432 U+0430", "Maldiverna", "U+0E21 U+0E31 U+0E25 U+0E14 U+0E35 U+0E1F U+0E2A U+0E4C", "Maldiv AdalarU+0131", "U+041C U+0430 U+043B U+044C U+0434 U+0456 U+0432 U+0438", "U+092E U+093E U+0932 U+0926 U+0940 U+0935"</w:t>
      </w:r>
    </w:p>
    <w:p w:rsidR="005F78FC" w:rsidRDefault="00B42EF3">
      <w:r>
        <w:t>"Morocco", "Maroc", "Marocco", "</w:t>
      </w:r>
      <w:r>
        <w:t>Marruecos", "U+0627 U+0644 U+0645 U+063A U+0631 U+0628", "U+041C U+043E U+043D U+0430 U+043A U+043E", "Maroko", "Marokko", "U+039C U+03B1 U+03C1 U+03CC U+03BA U+03BF", "Reino de Marruecos", "Marokon kuningaskunta", "U+05DE U+05E8 U+05D5 U+05E7 U+05D5", "Ma</w:t>
      </w:r>
      <w:r>
        <w:t>rokkU+00F3", "Maroka", "Marokas", "Maroko KaralystU+0117", "Marrocos", "Reino do Marrocos", "U+041C U+0430 U+0440 U+043E U+043A U+043A U+043E", "Marocko", "U+0E42 U+0E21 U+0E23 U+0E47 U+0E2D U+0E01 U+0E42 U+0E01", "Fas", "U+092E U+094B U+0930 U+0915 U+094D</w:t>
      </w:r>
      <w:r>
        <w:t xml:space="preserve"> U+0915 U+094B", "Marroc"</w:t>
      </w:r>
    </w:p>
    <w:p w:rsidR="005F78FC" w:rsidRDefault="00B42EF3">
      <w:r>
        <w:lastRenderedPageBreak/>
        <w:t>"Nepal", "NU+00E9 pal", "U+0646 U+064A U+0628 U+0627 U+0644", "U+041D U+0435 U+043F U+0430 U+043B", "NepU+00E1 l", "U+039D U+03B5 U+03C0 U+03AC U+03BB", "Nepali Kuningriik", "Nepaal", "Nepalin kuningaskunta", "U+05E0 U+05E4 U+05D0</w:t>
      </w:r>
      <w:r>
        <w:t xml:space="preserve"> U+05DC", "NepU+0101 la", "Nepalas", "Nepalo KaralystU+0117", "Reino do Nepal", "U+0E40 U+0E19 U+0E1B U+0E32 U+0E25", "U+0928 U+0947 U+092A U+093E U+0932"</w:t>
      </w:r>
    </w:p>
    <w:p w:rsidR="005F78FC" w:rsidRDefault="00B42EF3">
      <w:r>
        <w:t>"Netherlands", "The Netherlands", "Holland", "Belanda", "Holanda", "Niederlande", "Paesi Bassi", "Pai</w:t>
      </w:r>
      <w:r>
        <w:t>ses Bajos", "Pay-Bas", "U+0647 U+0648 U+0644 U+0646 U+062F U+0627", "U+0425 U+043E U+043B U+0430 U+043D U+0434 U+0438 U+044F", "U+041D U+0438 U+0434 U+0435 U+0440 U+043B U+0430 U+043D U+0434 U+0438 U+044F", "Nizozemsko", "NizozemU+00ED", "Holandsko", "Nede</w:t>
      </w:r>
      <w:r>
        <w:t>rlandene", "U+039F U+03BB U+03BB U+03B1 U+03BD U+03B4 U+03AF U+03B1", "PaU+00ED ses Bajos", "Madalmaad", "Hollandi Kuningriik", "Madalmaade Kuningriik", "Hollandi", "Alankomaat", "Hollanti", "Alankomaiden kuningaskunta", "Pays-Bas", "U+05D4 U+05D5 U+05DC U</w:t>
      </w:r>
      <w:r>
        <w:t>+05E0 U+05D3", "Nizozemska", "Hollandia", "Olanda", "NU+012B derlande", "Nyderlandai", "NyderlandU+0173  KaralystU+0117", "Olandija", "Nederland", "NL", "Holandia", "PaU+00ED ses Baixos", "Reino dos PaU+00ED ses Baixos", "U+041D U+0438 U+0434 U+0435 U+0440</w:t>
      </w:r>
      <w:r>
        <w:t xml:space="preserve"> U+043B U+0430 U+043D U+0434 U+044B", "U+0413 U+043E U+043B U+043B U+0430 U+043D U+0434 U+0438 U+044F", "HolandskU+00E9 krU+00E1 U+013E ovstvo", "Holandija", "NederlU+00E4 nderna", "U+0E40 U+0E19 U+0E40 U+0E18 U+0E2D U+0E23 U+0E4C U+0E41 U+0E25 U+0E19 U+0E</w:t>
      </w:r>
      <w:r>
        <w:t>14 U+0E4C", "Hollanda", "U+041D U+0456 U+0434 U+0435 U+0440 U+043B U+0430 U+043D U+0434 U+0438", "U+0413 U+043E U+043B U+043B U+0430 U+043D U+0434 U+0456 U+044F", "U+0928 U+0940 U+0926 U+0930 U+0932 U+0948 U+0902 U+0921", "PaU+00EF sos Baixos"</w:t>
      </w:r>
    </w:p>
    <w:p w:rsidR="005F78FC" w:rsidRDefault="00B42EF3">
      <w:r>
        <w:t>"Norway", "N</w:t>
      </w:r>
      <w:r>
        <w:t>orge", "Noruega", "NorvU+00E8 ge", "Norvegia", "Norwegen", "U+0627 U+0644 U+0646 U+0631 U+0648 U+064A U+062C", "U+041D U+043E U+0440 U+0432 U+0435 U+0433 U+0438 U+044F", "Norsko", "U+039D U+03BF U+03C1 U+03B2 U+03B7 U+03B3 U+03AF U+03B1", "Norra", "Norja",</w:t>
      </w:r>
      <w:r>
        <w:t xml:space="preserve"> "Norjan kuningaskunta", "U+05E0 U+05D5 U+05E8 U+05D5 U+05D5 U+05D2 U+05D9 U+05D4", "U+05E0 U+05D5 U+05E8 U+05D1 U+05D2 U+05D9 U+05D4", "NorveU+0161 ka", "NorvU+00E9 gia", "NorvU+0113 U+0123 ija", "Norvegija", "Norvegijos KaralystU+0117", "Noorwegen", "Nor</w:t>
      </w:r>
      <w:r>
        <w:t>wegia", "Reino da Noruega", "NU+00F3 rsko", "Norvege", "U+0E19 U+0E2D U+0E23 U+0E4C U+0E40 U+0E27 U+0E22 U+0E4C", "NorveU+00E7", "U+041D U+043E U+0440 U+0432 U+0435 U+0433 U+0456 U+044F", "U+0928 U+0949 U+0930 U+094D U+0935 U+0947"</w:t>
      </w:r>
    </w:p>
    <w:p w:rsidR="005F78FC" w:rsidRDefault="00B42EF3">
      <w:r>
        <w:t>"Oman", "Sultanate of Om</w:t>
      </w:r>
      <w:r>
        <w:t>an", "OmU+00E1 n", "U+0639 U+0645 U+0627 U+0646", "U+0633 U+0644 U+0637 U+0646 U+0629  U+0639 U+0645 U+0627 U+0646", "U+041E U+043C U+0430 U+043D", "U+039F U+03BC U+03AC U+03BD", "Sultanato de OmU+00E1 n", "SultanU+00ED a de OmU+00E1 n", "Omaan", "Omaani S</w:t>
      </w:r>
      <w:r>
        <w:t xml:space="preserve">ultaniriik", "Omanin sulttaanikunta", "Sultanat d'Oman", "U+05E2 U+05D5 U+05DE U+05DF", "U+05E2 U+05D5 U+05DE U+05D0 U+05DF", "OmU+0101 na", "Omanas", "Omano Sultonatas", "Sultanaat van Oman", "Sultanaat Oman", "Sultanatet Oman", "OmU+00E3", "Sultanato de </w:t>
      </w:r>
      <w:r>
        <w:t>OmU+00E3", "Sultanat Oman", "U+0E42 U+0E2D U+0E21 U+0E32 U+0E19", "Umman", "Umman SultanlU+0131 U+011F U+0131", "U+0913 U+092E U+093E U+0928"</w:t>
      </w:r>
    </w:p>
    <w:p w:rsidR="005F78FC" w:rsidRDefault="00B42EF3">
      <w:r>
        <w:t xml:space="preserve">"Pakistan", "West Pakistan", "PakistU+00E1 n", "U+0628 U+0627 U+0643 U+0633 U+062A U+0627 U+0646", "U+041F U+0430 </w:t>
      </w:r>
      <w:r>
        <w:t>U+043A U+0438 U+0441 U+0442 U+0430 U+043D", "PU+00E1 kistU+00E1 n", "U+03A0 U+03B1 U+03BA U+03B9 U+03C3 U+03C4 U+03AC U+03BD", "PaquistU+00E1 n", "RepU+00FA blica IslU+00E1 mica de PakistU+00E1 n", "Pakistani Islamivabariik", "Pakistanin islamilainen tasav</w:t>
      </w:r>
      <w:r>
        <w:t>alta", "U+05E4 U+05E7 U+05D9 U+05E1 U+05D8 U+05DF", "U+05E4 U+05E7 U+05D9 U+05E1 U+05D8 U+05D0 U+05DF", "PakisztU+00E1 n", "PakistU+0101 na", "Pakistanas", "Pakistano Islamo Respublika", "PaquistU+00E3 o", "RepU+00FA blica IslU+00E2 mica do PaquistU+00E3 o</w:t>
      </w:r>
      <w:r>
        <w:t>", "VU+00E4 stpakistan", "U+0E1B U+0E32 U+0E01 U+0E35 U+0E2A U+0E16 U+0E32 U+0E19", "U+092A U+093E U+0915 U+093F U+0938 U+094D U+0924 U+093E U+0928"</w:t>
      </w:r>
    </w:p>
    <w:p w:rsidR="005F78FC" w:rsidRDefault="00B42EF3">
      <w:r>
        <w:t xml:space="preserve">"Poland", "Polska", "Pologne", "Polen", "Polland", "Polonia", "U+0628 U+0648 U+0644 U+0646 U+062F U+0629", </w:t>
      </w:r>
      <w:r>
        <w:t>"U+0628 U+0648 U+0644 U+0646 U+062F U+0627", "U+041F U+043E U+043B U+0448 U+0430", "Polsko", "U+03A0 U+03BF U+03BB U+03C9 U+03BD U+03AF U+03B1", "Poola", "Puola", "Puolan tasavalta", "U+05E4 U+05D5 U+05DC U+05D9 U+05DF", "U+05E4 U+05D5 U+05DC U+05E0 U+05D9</w:t>
      </w:r>
      <w:r>
        <w:t xml:space="preserve"> U+05D4", "Poljska", "LengyelorszU+00E1 g", "Polija", "Lenkija", "Lenkijos Respublika", "Rzeczpospolita Polska", "RP", "PolU+00F4 nia", "RepU+00FA blica da PolU+00F4 nia", </w:t>
      </w:r>
      <w:r>
        <w:lastRenderedPageBreak/>
        <w:t xml:space="preserve">"PolU+00F3 nia", "U+041F U+043E U+043B U+044C U+0448 U+0430", "PoU+013E sko", "PR", </w:t>
      </w:r>
      <w:r>
        <w:t>"U+0E42 U+0E1B U+0E41 U+0E25 U+0E19 U+0E14 U+0E4C", "Polonya", "U+041F U+043E U+043B U+044C U+0449 U+0430", "U+041F U+043E U+043B U+044C U+0441 U+044C U+043A U+0430  U+0420 U+0435 U+0441 U+043F U+0443 U+0431 U+043B U+0456 U+043A U+0430", "U+092A U+094B U+0</w:t>
      </w:r>
      <w:r>
        <w:t>932 U+0948 U+0902 U+0921", "PolU+00F2 nia"</w:t>
      </w:r>
    </w:p>
    <w:p w:rsidR="005F78FC" w:rsidRDefault="00B42EF3">
      <w:r>
        <w:t>"Portugal", "Portogallo", "U+0627 U+0644 U+0628 U+0631 U+062A U+063A U+0627 U+0644", "U+041F U+043E U+0440 U+0442 U+0443 U+0433 U+0430 U+043B U+0438 U+044F", "Portugalsko", "U+03A0 U+03BF U+03C1 U+03C4 U+03BF U+03</w:t>
      </w:r>
      <w:r>
        <w:t xml:space="preserve">B3 U+03B1 U+03BB U+03AF U+03B1", "Portugali Vabariik", "Portugali", "Portugalin tasavalta", "U+05E4 U+05D5 U+05E8 U+05D8 U+05D5 U+05D2 U+05DC", "PortugU+00E1 lia", "PortugU+0101 le", "Portugalija", "Portugalijos Respublika", "Portugalia", "RepU+00FA blica </w:t>
      </w:r>
      <w:r>
        <w:t>Portuguesa", "Portugalska", "U+0E42 U+0E1B U+0E23 U+0E15 U+0E38 U+0E40 U+0E01 U+0E2A", "Portekiz", "U+041F U+043E U+0440 U+0442 U+0443 U+0433 U+0430 U+043B U+0456 U+044F", "U+092A U+0941 U+0930 U+094D U+0924 U+0917 U+093E U+0932"</w:t>
      </w:r>
    </w:p>
    <w:p w:rsidR="005F78FC" w:rsidRDefault="00B42EF3">
      <w:r>
        <w:t>"Qatar", "U+0642 U+0637 U+</w:t>
      </w:r>
      <w:r>
        <w:t>0631", "U+041A U+0430 U+0442 U+0430 U+0440", "Katar", "U+039A U+03B1 U+03C4 U+03AC U+03C1", "Emirato de Qatar", "Estado de Qatar", "Katari Riik", "Qatarin valtio", "U+05E7 U+05D8 U+05D0 U+05E8", "U+05E7 U+05D0 U+05D8 U+05D0 U+05E8", "Katara", "Kataras", "K</w:t>
      </w:r>
      <w:r>
        <w:t>ataro ValstybU+0117", "Catar", "Estado de Catar", "U+0E01 U+0E32 U+0E15 U+0E32 U+0E23 U+0E4C", "U+0915 U+0924 U+0930"</w:t>
      </w:r>
    </w:p>
    <w:p w:rsidR="005F78FC" w:rsidRDefault="00B42EF3">
      <w:r>
        <w:t>"Romania", "Rumania", "RumU+00E4 nien", "U+0631 U+0648 U+0645 U+0627 U+0646 U+064A U+0627", "U+0420 U+0443 U+043C U+044A U+043D U+0438 U+0</w:t>
      </w:r>
      <w:r>
        <w:t>44F", "Rumunsko", "RumU+00E6 nien", "U+03A1 U+03BF U+03C5 U+03BC U+03B1 U+03BD U+03AF U+03B1", "RumanU+00ED a", "Rumeenia", "Roumanie", "U+05E8 U+05D5 U+05DE U+05E0 U+05D9 U+05D4", "Rumunjska", "RomU+00E1 nia", "RumU+0101 nija", "Rumunija", "RoemeniU+00EB"</w:t>
      </w:r>
      <w:r>
        <w:t>, "Rumunia", "RomU+00EA nia", "RomU+00E9 nia", "RomU+00E2 nia", "U+0420 U+0443 U+043C U+044B U+043D U+0438 U+044F", "Romunija", "U+0E42 U+0E23 U+0E21 U+0E32 U+0E40 U+0E19 U+0E35 U+0E22", "Romanya", "U+0420 U+0443 U+043C U+0443 U+043D U+0456 U+044F", "U+093</w:t>
      </w:r>
      <w:r>
        <w:t>0 U+094B U+092E U+093E U+0928 U+093F U+092F U+093E"</w:t>
      </w:r>
    </w:p>
    <w:p w:rsidR="005F78FC" w:rsidRDefault="00B42EF3">
      <w:r>
        <w:t>"Russia", "Rusia", "RuU+00DF land", "Russland", "U+0631 U+0648 U+0633 U+064A U+0627", "U+0420 U+0443 U+0441 U+0438 U+044F", "Rusko", "RuskU+00E1 federace", "Rusland", "Russische FU+00F6 deration", "U+03A1</w:t>
      </w:r>
      <w:r>
        <w:t xml:space="preserve"> U+03C9 U+03C3 U+03AF U+03B1", "Venemaa", "Venemaa FU+00F6 deratsioon", "Vene", "VenU+00E4 jU+00E4", "VenU+00E4 jU+00E4 n federaatio", "Russie", "FU+00E9 dU+00E9 ration de Russie", "U+05E8 U+05D5 U+05E1 U+05D9 U+05D4", "Rusija", "OroszorszU+00E1 g", "Kriev</w:t>
      </w:r>
      <w:r>
        <w:t xml:space="preserve">ija", "Krievijas FederU+0101 cija", "Rusijos Federacija", "Russische Federatie", "Russische republiek", "Den russiske fU+00F8 derasjon", "Rosja", "Federacja Rosyjska", "RU+00FA ssia", "FederaU+00E7 U+00E3 o da RU+00FA ssia", "FederaU+00E7 U+00E3 o Russa", </w:t>
      </w:r>
      <w:r>
        <w:t>"U+0420 U+043E U+0441 U+0441 U+0438 U+044F", "U+0420 U+0424", "U+0420 U+043E U+0441 U+0441 U+0438 U+0439 U+0441 U+043A U+0430 U+044F  U+0424 U+0435 U+0434 U+0435 U+0440 U+0430 U+0446 U+0438 U+044F", "RuskU+00E1 federU+00E1 cia", "RF", "Ryssland", "U+0E23 U</w:t>
      </w:r>
      <w:r>
        <w:t>+0E31 U+0E2A U+0E40 U+0E0B U+0E35 U+0E22", "Rusya", "U+0420 U+043E U+0441 U+0456 U+044F", "U+0420 U+043E U+0441 U+0456 U+0439 U+0441 U+044C U+043A U+0430  U+0424 U+0435 U+0434 U+0435 U+0440 U+0430 U+0446 U+0456 U+044F", "U+0930 U+0942 U+0938"</w:t>
      </w:r>
    </w:p>
    <w:p w:rsidR="005F78FC" w:rsidRDefault="00B42EF3">
      <w:r>
        <w:t>"Saudi Arabia</w:t>
      </w:r>
      <w:r>
        <w:t xml:space="preserve">", "Saudi", "Arabia Saudita", "U+0627 U+0644 U+0645 U+0645 U+0644 U+0643 U+0629  U+0627 U+0644 U+0639 U+0631 U+0628 U+064A U+0629  U+0627 U+0644 U+0633 U+0639 U+0648 U+062F U+064A U+0629", "U+0627 U+0644 U+0633 U+0639 U+0648 U+062F U+064A U+0629", "U+0421 </w:t>
      </w:r>
      <w:r>
        <w:t xml:space="preserve">U+0430 U+0443 U+0434 U+0438 U+0442 U+0441 U+043A U+0430  U+0410 U+0440 U+0430 U+0431 U+0438 U+044F", "SaU+00FA dskU+00E1  ArU+00E1 bie", "Saudi-Arabien", "Saudiarabien", "U+03A3 U+03B1 U+03BF U+03C5 U+03B4 U+03B9 U+03BA U+03AE  U+0391 U+03C1 U+03B1 U+03B2 </w:t>
      </w:r>
      <w:r>
        <w:t>U+03AF U+03B1", "Arabia SaudU+00ED", "Reino de Arabia SaudU+00ED", "Reino de Arabia Saudita", "Saudi Araabia", "Saudi-Araabia", "Saudi-Arabia", "Saudi-Arabian kuningaskunta", "Arabie saoudite", "U+05E1 U+05E2 U+05D5 U+05D3 U+05D9 U+05D4", "U+05E2 U+05E8 U+</w:t>
      </w:r>
      <w:r>
        <w:t xml:space="preserve">05D1  U+05D4 U+05E1 U+05E2 U+05D5 U+05D3 U+05D9 U+05EA", "Saudijska Arabija", "SzaU+00FA d-ArU+00E1 bia", "Arabia", "SaU+016B da ArU+0101 bija", "Saudo </w:t>
      </w:r>
      <w:r>
        <w:lastRenderedPageBreak/>
        <w:t>Arabija", "Saudo Arabijos KaralystU+0117", "Saoedi-ArabiU+00EB", "Saoedi ArabiU+00EB", "Arabia Saudyjska</w:t>
      </w:r>
      <w:r>
        <w:t xml:space="preserve">", "ArU+00E1 bia Saudita", "Reino da ArU+00E1 bia Saudita", "Arabia SauditU+0103", "U+0421 U+0430 U+0443 U+0434 U+043E U+0432 U+0441 U+043A U+0430 U+044F  U+0410 U+0440 U+0430 U+0432 U+0438 U+044F", "SaudskU+00E1  ArU+00E1 bia", "Saudska Arabija", "U+0E0B </w:t>
      </w:r>
      <w:r>
        <w:t>U+0E32 U+0E2D U+0E38 U+0E14 U+0E35 U+0E2D U+0E32 U+0E23 U+0E30 U+0E40 U+0E1A U+0E35 U+0E22", "Suudi Arabistan", "U+0421 U+0430 U+0443 U+0434 U+0456 U+0432 U+0441 U+044C U+043A U+0430  U+0410 U+0440 U+0430 U+0432 U+0456 U+044F", "U+0938 U+090A U+0926 U+0940</w:t>
      </w:r>
      <w:r>
        <w:t xml:space="preserve">  U+0905 U+0930 U+092C", "ArU+00E0 bia Saudita"</w:t>
      </w:r>
    </w:p>
    <w:p w:rsidR="005F78FC" w:rsidRDefault="00B42EF3">
      <w:r>
        <w:t>"Slovak Republic", "Slovakia", "Slovenska Republika", "Slowakei", "U+062C U+0645 U+0647 U+0648 U+0631 U+064A U+0629  U+0627 U+0644 U+0633 U+0644 U+0648 U+0641 U+0627 U+0643", "U+0421 U+043B U+043E U+0432 U+04</w:t>
      </w:r>
      <w:r>
        <w:t>30 U+043A U+0438 U+044F", "SlovenskU+00E1 republika", "Slovensko", "Slovakiet", "Slowakische Republik", "U+03A3 U+03BB U+03BF U+03B2 U+03B1 U+03BA U+03AF U+03B1", "Eslovaquia", "RepU+00FA blica Eslovaca", "Slovakkia", "Slovaki Vabariik", "Slovakian tasaval</w:t>
      </w:r>
      <w:r>
        <w:t>ta", "Slovaquie", "RU+00E9 publique slovaque", "U+05E1 U+05DC U+05D5 U+05D1 U+05E7 U+05D9 U+05D4", "U+05D4 U+05E8 U+05E4 U+05D5 U+05D1 U+05DC U+05D9 U+05E7 U+05D4  U+05D4 U+05E1 U+05DC U+05D5 U+05D1 U+05E7 U+05D9 U+05EA", "SlovaU+010D ka", "SzlovU+00E1 k K</w:t>
      </w:r>
      <w:r>
        <w:t>U+00F6 ztU+00E1 rsasU+00E1 g", "SzlovU+00E1 kia", "Slovacchia", "Repubblica Slovacca", "SlovU+0101 kija", "Slovakija", "Slovakijos Respublika", "Slowakije", "Slowaakse Republiek", "Republikken Slovakia", "Den slovakiske republikk", "SU+0142 owacja", "Repub</w:t>
      </w:r>
      <w:r>
        <w:t>lika SU+0142 owacka", "EslovU+00E1 quia", "Slovacia", "U+0420 U+0435 U+0441 U+043F U+0443 U+0431 U+043B U+0438 U+043A U+0430  U+0421 U+043B U+043E U+0432 U+0430 U+043A U+0438 U+044F", "SR", "SlovaU+0161 ka", "Slovakien", "Slovakiska republiken", "U+0E2A U+</w:t>
      </w:r>
      <w:r>
        <w:t>0E42 U+0E25 U+0E27 U+0E30 U+0E40 U+0E01 U+0E35 U+0E22", "Slovak Cumhuriyeti", "U+0420 U+0435 U+0441 U+043F U+0443 U+0431 U+043B U+0456 U+043A U+0430  U+0421 U+043B U+043E U+0432 U+0430 U+043A U+0456 U+044F", "U+0421 U+043B U+043E U+0432 U+0430 U+043A U+045</w:t>
      </w:r>
      <w:r>
        <w:t>6 U+044F", "U+0938 U+094D U+0932 U+094B U+0935 U+093E U+0915  U+0917 U+0923 U+0930 U+093E U+091C U+094D U+092F", "EslovU+00E0 quia"</w:t>
      </w:r>
    </w:p>
    <w:p w:rsidR="005F78FC" w:rsidRDefault="00B42EF3">
      <w:r>
        <w:t>"Slovenia", "Eslovenia", "Slovenija", "U+0633 U+0644 U+0648 U+0641 U+064A U+0646 U+064A U+0627", "U+0421 U+043B U+043E U+043</w:t>
      </w:r>
      <w:r>
        <w:t>2 U+0435 U+043D U+0438 U+044F", "Slovinsko", "Slovenien", "Slowenien", "U+03A3 U+03BB U+03BF U+03B2 U+03B5 U+03BD U+03AF U+03B1", "Sloveenia", "Slovenian tasavalta", "SlovU+00E9 nie", "U+05E1 U+05DC U+05D5 U+05D1 U+05E0 U+05D9 U+05D4", "SzlovU+00E9 nia", "</w:t>
      </w:r>
      <w:r>
        <w:t>SlovU+0113 nija", "SlovU+0117 nija", "SlovU+0117 nijos Respublika", "SloveniU+00EB", "SU+0142 owenia", "EslovU+00EA nia", "RepU+00FA blica da EslovU+00EA nia", "EslovU+00E9 nia", "Republika Slovenija", "Republic Slovenia", "U+0E2A U+0E42 U+0E25 U+0E27 U+0E</w:t>
      </w:r>
      <w:r>
        <w:t>35 U+0E40 U+0E19 U+0E35 U+0E22", "Slovenya", "U+0421 U+043B U+043E U+0432 U+0435 U+043D U+0456 U+044F", "U+0938 U+094D U+0932 U+094B U+0935 U+0947 U+0928 U+093F U+092F U+093E", "EslovU+00E8 nia"</w:t>
      </w:r>
    </w:p>
    <w:p w:rsidR="005F78FC" w:rsidRDefault="00B42EF3">
      <w:r>
        <w:t>"Spain", "EspaU+00F1 a", "Espana", "Espagne", "Espanha", "Spa</w:t>
      </w:r>
      <w:r>
        <w:t>gna", "Spanien", "Sepanyol", "U+0623 U+0633 U+0628 U+0627 U+0646 U+064A U+0627", "U+0418 U+0441 U+043F U+0430 U+043D U+0438 U+044F", "U+0160 panU+011B lsko", "U+0399 U+03C3 U+03C0 U+03B1 U+03BD U+03AF U+03B1", "Hispaania", "Espanja", "Espanjan kuningaskunt</w:t>
      </w:r>
      <w:r>
        <w:t>a", "U+05E1 U+05E4 U+05E8 U+05D3", "U+0160 panjolska", "SpanyolorszU+00E1 g", "SpU+0101 nija", "Ispanija", "Ispanijos KaralystU+0117", "Spanje", "Spania", "Hiszpania", "U+0160 panielsko", "U+0160 panija", "U+0E2A U+0E40 U+0E1B U+0E19", "U+0130 spanya", "U+</w:t>
      </w:r>
      <w:r>
        <w:t>0406 U+0441 U+043F U+0430 U+043D U+0456 U+044F", "U+0938 U+094D U+092A U+0947 U+0928", "Espanya"</w:t>
      </w:r>
    </w:p>
    <w:p w:rsidR="005F78FC" w:rsidRDefault="00B42EF3">
      <w:r>
        <w:t>"Sri Lanka", "Ceilan", "U+0633 U+0631 U+064A U+0644 U+0627 U+0646 U+0643 U+0627", "U+0428 U+0440 U+0438  U+041B U+0430 U+043D U+043A U+0430", "U+0426 U+0435 U+</w:t>
      </w:r>
      <w:r>
        <w:t>0439 U+043B U+043E U+043D", "SrU+00ED  Lanka", "Ceylon", "U+03A3 U+03C1 U+03B9  U+039B U+03AC U+03BD U+03BA U+03B1", "CeilU+00E1 n", "RepU+00FA blica Socialista DemocrU+00E1 tica de Sri Lanka", "Tseilon", "Sri Lankan demokraattinen sosialistinen tasavalta"</w:t>
      </w:r>
      <w:r>
        <w:t>, "U+05E1 U+05E8 U+05D9  U+05DC U+05E0 U+05E7 U+05D4", "U+0160 ri Lanka", "U+0160 rilanka", "U+0160 ri Lankos DemokratinU+0117  SocialistinU+0117  Respublika", "Cejlon", "RepU+00FA blica DemocrU+00E1 tica Socialista do Sri Lanka", "CeilU+00E3 o", "U+0428 U</w:t>
      </w:r>
      <w:r>
        <w:t xml:space="preserve">+0440 U+0438 -U+041B U+0430 U+043D U+043A U+0430", "U+0E28 U+0E23 U+0E35 U+0E25 U+0E31 U+0E07 U+0E01 </w:t>
      </w:r>
      <w:r>
        <w:lastRenderedPageBreak/>
        <w:t>U+0E32", "Seylan", "U+0428 U+0440 U+0456 -U+041B U+0430 U+043D U+043A U+0430", "U+0936 U+094D U+0930 U+0940 U+0932 U+0902 U+0915 U+093E"</w:t>
      </w:r>
    </w:p>
    <w:p w:rsidR="005F78FC" w:rsidRDefault="00B42EF3">
      <w:r>
        <w:t>"Sweden", "Sverige</w:t>
      </w:r>
      <w:r>
        <w:t>", "Schweden", "SuU+00E9 de", "Suecia", "Svezia", "U+0627 U+0644 U+0633 U+0648 U+064A U+062F", "U+0428 U+0432 U+0435 U+0446 U+0438 U+044F", "U+0160 vU+00E9 dsko", "U+03A3 U+03BF U+03C5 U+03B7 U+03B4 U+03AF U+03B1", "Rootsi", "Rootsimaa", "Ruotsi", "Ruotsin</w:t>
      </w:r>
      <w:r>
        <w:t xml:space="preserve"> kuningaskunta", "SuU+00E8 de", "U+05E9 U+05D5 U+05D5 U+05D3 U+05D9 U+05D4", "U+05E9 U+05D1 U+05D3 U+05D9 U+05D4", "U+0160 vedska", "SvU+00E9 dorszU+00E1 g", "Zviedrija", "U+0160 vedija", "U+0160 vedijos KaralystU+0117", "Zweden", "Szwecja", "SuU+00E9 cia"</w:t>
      </w:r>
      <w:r>
        <w:t>, "Reino da SuU+00E9 cia", "Suedia", "U+0160 vU+00E9 dske krU+00E1 U+013E ovsvto", "U+0E2A U+0E27 U+0E35 U+0E40 U+0E14 U+0E19", "U+0130 sveU+00E7", "U+0428 U+0432 U+0435 U+0446 U+0456 U+044F", "U+0938 U+094D U+0935 U+0940 U+0921 U+0928", "SuU+00E8 cia"</w:t>
      </w:r>
    </w:p>
    <w:p w:rsidR="005F78FC" w:rsidRDefault="00B42EF3">
      <w:r>
        <w:t>"Sw</w:t>
      </w:r>
      <w:r>
        <w:t>itzerland", "Suisse", "Suiza", "Sveits", "Sviss", "Svizzera", "Schweiz", "U+0633 U+0648 U+064A U+0633 U+0631 U+0627", "U+0428 U+0432 U+0435 U+0439 U+0446 U+0430 U+0440 U+0438 U+044F", "U+0160 vU+00FD carsko", "Svejts", "Eidgenossenschaft", "U+0395 U+03BB U</w:t>
      </w:r>
      <w:r>
        <w:t>+03B2 U+03B5 U+03C4 U+03AF U+03B1", "U+0160 veits", "U+0160 veitsi KonfU+00F6 deratsioon", "Helveetsia", "Sveitsi", "Sveitsin valaliitto", "U+05E9 U+05D5 U+05D5 U+05D9 U+05E5", "U+05E9 U+05D5 U+05D9 U+05D9 U+05E5", "U+05E9 U+05D5 U+05D5 U+05D9 U+05E6 U+05E</w:t>
      </w:r>
      <w:r>
        <w:t>8 U+05D9 U+05D4", "U+05E9 U+05D5 U+05D9 U+05D9 U+05E6 U+05E8 U+05D9 U+05D4", "U+05E9 U+05D5 U+05D5 U+05D9 U+05D9 U+05E5", "U+0160 vicarska", "SvU+00E1 jc", "U+0160 veice", "U+0160 veicarija", "U+0160 veicarijos Konferderacija", "Zwitserland", "Szwajcaria",</w:t>
      </w:r>
      <w:r>
        <w:t xml:space="preserve"> "SuU+00ED U+00E7 a", "ConfederaU+00E7 U+00E3 o SuU+00ED U+00E7 a", "ElveU+0163 ia", "U+0160 vajU+010D iarsko", "U+0160 vica", "U+0E2A U+0E27 U+0E34 U+0E15 U+0E40 U+0E0B U+0E2D U+0E23 U+0E4C U+0E41 U+0E25 U+0E19 U+0E14 U+0E4C", "U+0130 sviU+00E7 re", "U+04</w:t>
      </w:r>
      <w:r>
        <w:t>28 U+0432 U+0435 U+0439 U+0446 U+0430 U+0440 U+0456 U+044F", "U+0938 U+094D U+0935 U+093F U+091F U+094D U+095B U+0930 U+0932 U+0948 U+0902 U+0921", "SuU+00EF ssa"</w:t>
      </w:r>
    </w:p>
    <w:p w:rsidR="005F78FC" w:rsidRDefault="00B42EF3">
      <w:r>
        <w:t>"Taiwan", "Formosa", "U+062A U+0627 U+064A U+0648 U+0627 U+0646", "U+0422 U+0430 U+0439 U+043</w:t>
      </w:r>
      <w:r>
        <w:t>2 U+0430 U+043D", "Tchaj-wan", "Tchajwan", "U+03A4 U+03B1 U+03CA U+03B2 U+03AC U+03BD", "TaiwU+00E1 n", "RepU+00FA blica de China", "Taivan", "TaU+00EF wan", "U+05D8 U+05D0 U+05D9 U+05D9 U+05D5 U+05D0 U+05DF", "U+05D8 U+05D9 U+05D5 U+05D5 U+05D0 U+05DF", "</w:t>
      </w:r>
      <w:r>
        <w:t>U+05D8 U+05D0 U+05D9 U+05D5 U+05D5 U+05D0 U+05DF", "U+05E4 U+05D5 U+05E8 U+05DE U+05D5 U+05D6 U+05D4", "U+05D8 U+05D9 U+05D9 U+05D5 U+05D5 U+05D0 U+05DF", "U+05D8 U+05D9 U+05D9 U+05D5 U+05D0 U+05DF", "U+05D8 U+05D9 U+05D9 U+05D5 U+05D5", "Tajvan", "TaivU+0</w:t>
      </w:r>
      <w:r>
        <w:t>101 na", "Taivanas", "Tajwan", "U+0422 U+0430 U+0439 U+0432 U+0430 U+043D U+044C", "U+0E44 U+0E15 U+0E49 U+0E2B U+0E27 U+0E31 U+0E19", "Tayvan", "U+0924 U+093E U+0907 U+0935 U+093E U+0928"</w:t>
      </w:r>
    </w:p>
    <w:p w:rsidR="005F78FC" w:rsidRDefault="00B42EF3">
      <w:r>
        <w:t>"Thailand", "Tailandia", "U+062A U+0627 U+064A U+0644 U+0627 U+0646</w:t>
      </w:r>
      <w:r>
        <w:t xml:space="preserve"> U+062F", "U+0422 U+0430 U+0439 U+043B U+0430 U+043D U+0434", "Thajsko", "U+03A4 U+03B1 U+03CA U+03BB U+03AC U+03BD U+03B4 U+03B7", "Tai", "Taimaa", "Thai", "Thaimaa", "Thaimaan kuningaskunta", "ThaU+00EF lande", "U+05EA U+05D0 U+05D9 U+05DC U+05E0 U+05D3"</w:t>
      </w:r>
      <w:r>
        <w:t>, "U+05EA U+05D9 U+05D9 U+05DC U+05D0 U+05E0 U+05D3", "U+05EA U+05D9 U+05D9 U+05DC U+05E0 U+05D3", "Tajland", "ThaifU+00F6 ld", "Thailandia", "Taizeme", "Tailandas", "Tailando KaralystU+0117", "Tajlandia", "TailU+00E2 ndia", "Reino da TailU+00E2 ndia", "Th</w:t>
      </w:r>
      <w:r>
        <w:t>ailanda", "Tajska", "U+0E1B U+0E23 U+0E30 U+0E40 U+0E17 U+0E28 U+0E44 U+0E17 U+0E22", "Tayland", "U+0422 U+0430 U+0457 U+043B U+0430 U+043D U+0434", "U+0925 U+093E U+0907 U+0932 U+0948 U+0902 U+0921"</w:t>
      </w:r>
    </w:p>
    <w:p w:rsidR="005F78FC" w:rsidRDefault="00B42EF3">
      <w:r>
        <w:t>"Tunisia", "U+062A U+0648 U+0646 U+0633", "U+0422 U+0443</w:t>
      </w:r>
      <w:r>
        <w:t xml:space="preserve"> U+043D U+0438 U+0441", "Tunisko", "Tunesien", "U+03A4 U+03C5 U+03BD U+03B7 U+03C3 U+03AF U+03B1", "TU+00FA nez", "Tuneesia", "Tunisian tasavalta", "Tunisie", "U+05D8 U+05D5 U+05E0 U+05D9 U+05E1", "U+05D8 U+05D5 U+05E0 U+05D9 U+05E1 U+05D9 U+05D4", "U+05EA</w:t>
      </w:r>
      <w:r>
        <w:t xml:space="preserve"> U+05D5 U+05E0 U+05D9 U+05E1 U+05D9 U+05D4", "Tunis", "TunU+00E9 zia", "Tunisija", "Tunisas", "Tuniso Respublika", "TunesiU+00EB", "Tunezja", "TunU+00ED sia", "RepU+00FA blica da TunU+00ED sia", "Tunizija", "Tunisien", "U+0E15 U+0E39 U+0E19 U+0E34 U+0E40 U</w:t>
      </w:r>
      <w:r>
        <w:t>+0E0B U+0E35 U+0E22", "Tunus", "U+0422 U+0443 U+043D U+0456 U+0441", "U+091F U+094D U+092F U+0942 U+0928 U+0940 U+0936 U+093F U+092F U+093E"</w:t>
      </w:r>
    </w:p>
    <w:p w:rsidR="005F78FC" w:rsidRDefault="00B42EF3">
      <w:r>
        <w:lastRenderedPageBreak/>
        <w:t>"Turkey", "Turkiye", "Turchia", "TurquU+00ED a", "TU+00FC rkei", "U+062A U+0631 U+0643 U+064A U+0627", "U+0422 U+04</w:t>
      </w:r>
      <w:r>
        <w:t>43 U+0440 U+0446 U+0438 U+044F", "Turecko", "Tyrkiet", "U+03A4 U+03BF U+03C5 U+03C1 U+03BA U+03AF U+03B1", "TU+00FC rgi", "TU+00FC rkiye", "Turkki", "Turkin tasavalta", "Turquie", "U+05D8 U+05D5 U+05E8 U+05E7 U+05D9 U+05D4", "U+05EA U+05D5 U+05E8 U+05DB U+</w:t>
      </w:r>
      <w:r>
        <w:t>05D9 U+05D4", "Turska", "TU+00F6 rU+00F6 korszU+00E1 g", "Turcija", "Turkija", "Turkijos Respublika", "Turkije", "Tyrkia", "Turcja", "Turquia", "RepU+00FA blica da Turquia", "Turcia", "TurU+010D ija", "Turkiet", "U+0E15 U+0E38 U+0E23 U+0E01 U+0E35", "U+042</w:t>
      </w:r>
      <w:r>
        <w:t>2 U+0443 U+0440 U+0435 U+0447 U+0447 U+0438 U+043D U+0430", "U+0924 U+0941 U+0930 U+094D U+0915 U+0940"</w:t>
      </w:r>
    </w:p>
    <w:p w:rsidR="005F78FC" w:rsidRDefault="00B42EF3">
      <w:r>
        <w:t>"Ukraine", "Ucrania", "U+0623 U+0648 U+0643 U+0631 U+0627 U+0646 U+064A U+0627", "U+0423 U+043A U+0440 U+0430 U+0439 U+043D U+0430", "Ukrajina", "U+039F</w:t>
      </w:r>
      <w:r>
        <w:t xml:space="preserve"> U+03C5 U+03BA U+03C1 U+03B1 U+03BD U+03AF U+03B1", "Ukraina", "U+05D0 U+05D5 U+05E7 U+05E8 U+05D0 U+05D9 U+05E0 U+05D4", "Ukrajna", "Ucraina", "OekraU+00EF ne", "UcrU+00E2 nia", "RepU+00FA blica da UcrU+00E2 nia", "U+0423 U+043A U+0440 U+0430 U+0438 U+043</w:t>
      </w:r>
      <w:r>
        <w:t>D U+0430", "U+0E22 U+0E39 U+0E40 U+0E04 U+0E23 U+0E19", "Ukrayna", "U+0423 U+043A U+0440 U+0430 U+0457 U+043D U+0430", "U+092F U+0942 U+0915 U+094D U+0930 U+0947 U+0928", "UcraU+00EF na"</w:t>
      </w:r>
    </w:p>
    <w:p w:rsidR="005F78FC" w:rsidRDefault="00B42EF3">
      <w:r>
        <w:t>"United Arab Emirates", "UAE", "Emiratos U+00C1 rabes Unidos", "Emira</w:t>
      </w:r>
      <w:r>
        <w:t xml:space="preserve">tes Arabes Unis", "U+0627 U+0644 U+0625 U+0645 U+0627 U+0631 U+0627 U+062A  U+0627 U+0644 U+0639 U+0631 U+0628 U+064A U+0629  U+0627 U+0644 U+0645 U+062A U+062D U+062F U+0629", "U+041E U+0431 U+0435 U+0434 U+0438 U+043D U+0435 U+043D U+0438  U+0430 U+0440 </w:t>
      </w:r>
      <w:r>
        <w:t>U+0430 U+0431 U+0441 U+043A U+0438  U+0435 U+043C U+0438 U+0440 U+0441 U+0442 U+0432 U+0430", "U+041E U+0410 U+0415", "SpojenU+00E9 arabskU+00E9 emirU+00E1 ty", "SAE", "Forenede Arabiske Emirater", "De Forenede Arabiske Emirater", "Vereinigte Arabische Emi</w:t>
      </w:r>
      <w:r>
        <w:t>rate", "U+0397 U+03BD U+03C9 U+03BC U+03AD U+03BD U+03B1  U+0391 U+03C1 U+03B1 U+03B2 U+03B9 U+03BA U+03AC  U+0395 U+03BC U+03B9 U+03C1 U+03AC U+03C4 U+03B1", "EAU", "Araabia U+00DC hendemiraadid", "AU+00DC  E", "U+00DC hendemiraadid", "Arabiemiirikunnat",</w:t>
      </w:r>
      <w:r>
        <w:t xml:space="preserve"> "Arabiemiraattien liitto", "Yhdistyneet arabiemiirikunnat", "U+00C9 mirats arabes unis", "U+05D0 U+05D9 U+05D7 U+05D5 U+05D3  U+05D4 U+05E0 U+05E1 U+05D9 U+05DB U+05D5 U+05D9 U+05D5 U+05EA  U+05D4 U+05E2 U+05E8 U+05D1 U+05D9 U+05D5 U+05EA", "U+05D0 U+05DE</w:t>
      </w:r>
      <w:r>
        <w:t xml:space="preserve"> U+05D9 U+05E8 U+05D5 U+05D9 U+05D5 U+05EA  U+05E2 U+05E8 U+05D1 U+05D9 U+05D5 U+05EA  U+05DE U+05D0 U+05D5 U+05D7 U+05D3 U+05D5 U+05EA", "Ujedinjeni Arapski Emirati", "EgyesU+00FC lt Arab EmU+00ED rsU+00E9 gek", "EgyesU+00FC lt Arab EmirU+00E1 tusok", "Em</w:t>
      </w:r>
      <w:r>
        <w:t>irati Arabi Uniti", "Emirati Arabi", "Apvienotie ArU+0101 bu EmirU+0101 ti", "AAE", "Jungtiniai ArabU+0173  Emyratai", "Verenigde Arabische Emiraten", "De forente arabiske emiratene", "De forente arabiske emirater", "Zjednoczone Emiraty Arabskie", "ZEA", "</w:t>
      </w:r>
      <w:r>
        <w:t>Emirados U+00C1 rabes Unidos", "Emirados", "Emiratele Arabe Unite", "U+041E U+0410 U+042D", "U+041E U+0431 U+044A U+0435 U+0434 U+0438 U+043D U+0435 U+043D U+043D U+044B U+0435  AU+0440 U+0430 U+0431 U+0441 U+043A U+0438 U+0435  U+042D U+043C U+0438 U+0440</w:t>
      </w:r>
      <w:r>
        <w:t xml:space="preserve"> U+0430 U+0442 U+044B", "SAR", "ZdruU+017E eni arabski emirati", "FU+00F6 renade Arabemiraten", "U+0E2A U+0E2B U+0E23 U+0E31 U+0E10 U+0E2D U+0E32 U+0E2B U+0E23 U+0E31 U+0E1A U+0E40 U+0E2D U+0E21 U+0E34 U+0E40 U+0E23 U+0E15 U+0E2A U+0E4C", "BirleU+015F ik A</w:t>
      </w:r>
      <w:r>
        <w:t>rap Emirlikleri", "U+041E U+0431 'U+0454 U+0434 U+043D U+0430 U+043D U+0456  U+0410 U+0440 U+0430 U+0431 U+0441 U+044C U+043A U+0456  U+0415 U+043C U+0456 U+0440 U+0430 U+0442 U+0438", "U+0410 U+0440 U+0430 U+0431 U+0441 U+044C U+043A U+0456  U+0415 U+043C</w:t>
      </w:r>
      <w:r>
        <w:t xml:space="preserve"> U+0456 U+0440 U+0430 U+0442 U+0438", "U+0938 U+0902 U+092F U+0941 U+0915 U+094D U+0924  U+0905 U+0930 U+092C  U+0905 U+092E U+0940 U+0930 U+093E U+0924"</w:t>
      </w:r>
    </w:p>
    <w:p w:rsidR="005F78FC" w:rsidRDefault="00B42EF3">
      <w:r>
        <w:t>"United Kingdom", "Great Britain", "Britain", "England", "GB", "UK", "Angleterre", "Inglaterra", "Rein</w:t>
      </w:r>
      <w:r>
        <w:t>o Unido", "GroU+00DF britannien", "U+0628 U+0631 U+064A U+0637 U+0627 U+0646 U+064A U+0627", "U+0627 U+0644 U+0645 U+0645 U+0644 U+0643 U+0629  U+0627 U+0644 U+0645 U+062A U+062D U+062F U+0629", "U+0625 U+0646 U+062C U+0644 U+062A U+0631 U+0627", "U+0625 U</w:t>
      </w:r>
      <w:r>
        <w:t>+0646 U+062C U+0644 U+062A U+0631 U+0629", "U+041E U+0431 U+0435 U+0434 U+0438 U+043D U+0435 U+043D U+043E  U+043A U+0440 U+0430 U+043B U+0441 U+0442 U+0432 U+043E", "U+0412 U+0435 U+043B U+0438 U+043A U+043E U+0431 U+0440 U+0438 U+0442 U+0430 U+043D U+043</w:t>
      </w:r>
      <w:r>
        <w:t xml:space="preserve">8 U+044F", "U+0410 U+043D U+0433 U+043B U+0438 U+044F", "VelkU+00E1  BritU+00E1 nie", "SpojenU+00E9 krU+00E1 lovstvU+00ED", "Storbritannien", </w:t>
      </w:r>
      <w:r>
        <w:lastRenderedPageBreak/>
        <w:t xml:space="preserve">"Vereinigtes KU+00F6 nigreich", "Schottland", "Nordirland", "Wales", "G.B.", "U.K.", "U+039C U+03B5 U+03B3 U+03AC </w:t>
      </w:r>
      <w:r>
        <w:t>U+03BB U+03B7  U+0392 U+03C1 U+03B5 U+03C4 U+03B1 U+03BD U+03AF U+03B1", "Gran BretaU+00F1 a", "Islas BritU+00E1 nicas", "Suurbritannia", "Suurbritannia ja PU+00F5 hja-Iiri U+00DC hendkuningriik", "U+00DC hendkuningriik", "Britannia", "Briti", "Inglismaa",</w:t>
      </w:r>
      <w:r>
        <w:t xml:space="preserve"> "Iso-Britannia", "Yhdistynyt kuningaskunta", "Englanti", "Pohjois-Irlanti", "Ison-Britannian ja Pohjois-Irlannin yhdistynyt kuningaskunta", "Royaume-Uni", "Grande-Bretagne", "U+05D0 U+05E0 U+05D2 U+05DC U+05D9 U+05D4", "U+05D1 U+05E8 U+05D9 U+05D8 U+05E0 </w:t>
      </w:r>
      <w:r>
        <w:t>U+05D9 U+05D4", "U+05D4 U+05DE U+05DE U+05DC U+05DB U+05D4  U+05D4 U+05DE U+05D0 U+05D5 U+05D7 U+05D3 U+05EA", "U+05D1 U+05E8 U+05D9 U+05D8 U+05E0 U+05D9 U+05D4  U+05D4 U+05D2 U+05D3 U+05D5 U+05DC U+05D4", "Velika Britanija", "Engleska", "Ujedinjeno Kralje</w:t>
      </w:r>
      <w:r>
        <w:t>vstvo", "EgyesU+00FC lt KirU+00E1 lysU+00E1 g", "Nagy-Britannia", "United Kingdon", "Regno Unito", "Gran Bretagna", "Inghilterra", "ApvienotU+0101  Kar aliste", "LielbritU+0101 nija", "JungtinU+0117  KaralystU+0117", "JungtinU+0117  DidU+017E iosios Britan</w:t>
      </w:r>
      <w:r>
        <w:t>ijos ir U+0160 iaurU+0117 s Airijos KaralystU+0117", "DidU+017E ioji Britanija", "Britanija", "Anglija", "JK", "Verenigd Koninkrijk", "Groot-BrittanniU+00EB", "Engeland", "Verenigd Koninkrijk van Groot BrittanniU+00EB en Noord-Ierland", "V.K.", "VK", "Stor</w:t>
      </w:r>
      <w:r>
        <w:t>britannia", "Skottland", "Nord-Irland", "Wielka Brytania", "Zjednoczone KrU+00F3 lestwo", "Brytania", "GrU+00E3 -Bretanha", "Reino Unido da GrU+00E3 -Bretanha e Irlanda do Norte", "Regatul Unit", "Marea Britanie", "Anglia", "U+0421 U+043E U+0435 U+0434 U+0</w:t>
      </w:r>
      <w:r>
        <w:t>438 U+043D U+0435 U+043D U+043D U+043E U+0435  U+041A U+043E U+0440 U+043E U+043B U+0435 U+0432 U+0441 U+0442 U+0432 U+043E", "VeU+013E kU+00E1  BritU+00E1 nia", "Anglicko", "ZdruU+017E eno kraljestvo", "U+0E2A U+0E2B U+0E23 U+0E32 U+0E0A U+0E2D U+0E32 U+0</w:t>
      </w:r>
      <w:r>
        <w:t>E13 U+0E32 U+0E08 U+0E31 U+0E01 U+0E23", "U+0130 ngiltere", "BU+00FC yU+00FC k Britanya", "BirleU+015F ik KrallU+0131 k", "U+0412 U+0435 U+043B U+0438 U+043A U+043E U+0431 U+0440 U+0438 U+0442 U+0430 U+043D U+0456 U+044F", "U+0411 U+0440 U+0438 U+0442 U+04</w:t>
      </w:r>
      <w:r>
        <w:t>30 U+043D U+0438 U+044F", "U+0412 U+0435 U+043B U+0438 U+043A U+0430  U+0411 U+0440 U+0438 U+0442 U+0430 U+043D U+0456 U+044F", "U+092C U+094D U+0930 U+093F U+091F U+0947 U+0928", "Regne Unit", "Anglaterra", "Gran Bretanya", "Northern Ireland", "Irlanda do</w:t>
      </w:r>
      <w:r>
        <w:t xml:space="preserve"> Norte", "U+0421 U+0435 U+0432 U+0435 U+0440 U+043D U+0430  U+0418 U+0440 U+043B U+0430 U+043D U+0434 U+0438 U+044F", "Irlanda del Nord", "Sjeverna Irska", "SevernU+00ED  Irsko", "Nordirland", "Noord-Ierland", "PU+00F5 hja-Iirimaa", "Pohjois-Irlanti", "Irl</w:t>
      </w:r>
      <w:r>
        <w:t xml:space="preserve">an de du Nord", "U+0392 U+03CC U+03C1 U+03B5 U+03B9 U+03B1  U+0399 U+03C1 U+03BB U+03B1 U+03BD U+03B4 U+03AF U+03B1", "Eszak-Irorszag", "ZiemeU+013C U+012B rija", "U+0160 iaurU+0117 s Airija", "Nord-Irland", "nord-Irland", "Nord Irland", "Irlandia PU+00F3 </w:t>
      </w:r>
      <w:r>
        <w:t>U+0142 nocna", "Irlandia PU+0142 n.", "PU+00F3 U+0142 nocna Irlandia", "Irlanda de Nord", "U+0421 U+0435 U+0432 U+0435 U+0440 U+043D U+0430 U+044F  U+0418 U+0440 U+043B U+0430 U+043D U+0434 U+0438 U+044F", "SevernU+00E9  U+00CD rsko", "Severna Irska", "Irl</w:t>
      </w:r>
      <w:r>
        <w:t>anda del Norte", "Kuzey U+0130 rlan da", "U+041F U+0456 U+0432 U+043D U+0456 U+0447 U+043D U+0430  U+0406 U+0440 U+043B U+0430 U+043D U+0434 U+0456 U+044F", "U+5317 U+30A2 U+30A4 U+30EB U+30E9 U+30F3 U+30C9", "U+5317 U+7231 U+5C14 U+5170", "U+5317 U+611B U</w:t>
      </w:r>
      <w:r>
        <w:t>+723E U+862D", "U+BD81 U+C544 U+C77C U+B79C U+B4DC", "U+0623 U+064A U+0631 U+0644 U+0646 U+062F U+0629  U+0627 U+0644 U+0634 U+0645 U+0627 U+0644 U+064A U+0629", "U+05E6 U+05E4 U+05D5 U+05DF  U+05D0 U+05D9 U+05E8 U+05DC U+05E0 U+05D3", "U+0E19 U+0E2D U+0E2</w:t>
      </w:r>
      <w:r>
        <w:t>3 U+0E4C U+0E40 U+0E17 U+0E34 U+0E23 U+0E4C U+0E19 U+0E44 U+0E2D U+0E23 U+0E4C U+0E41 U+0E25 U+0E19 U+0E14 U+0E4C", "W ales", "PaU+00ED s de Gales", "U+0423 U+0435 U+043B U+0441", "PaU+00ED s de GalU+00B7 les", "Pays de Galles", "U+039F U+03C5 U+03B1 U+03B</w:t>
      </w:r>
      <w:r>
        <w:t>B U+03AF U+03B1", "Galles", "Velsa", "Velsas", "Walia", "U+0162 ara Galilor", "U+0423 U+044D U+043B U+044C U+0441", "Gales", "PaU+00ED s de Gales", "Galler", "U+0423 U+0435 U+043B U+044C U+0441", "U+30A6 U+30A7 U+30FC U+30EB U+30BA", "U+5A01 U+5C14 U+58EB"</w:t>
      </w:r>
      <w:r>
        <w:t>, "U+5A01 U+723E U+65AF", "U+C6E8 U+C77C U+C2A4", "U+0648 U+064A U+0644 U+0632", "U+05D5 U+05D9 U+05D9 U+05DC U+05E1", "U+0E40 U+0E27 U+0E25 U+0E2A U+0E4C", "Scotland", "EscU+00F3 cia", "U+0428 U+043E U+0442 U+043B U+0430 U+043D U+0434 U+0438 U+044F", "Esc</w:t>
      </w:r>
      <w:r>
        <w:t>U+00F2 cia", "U+0160 kotska", "Skotsko", "Skotland", "Schotland", "U+0160 otimaa", "Skotlanti", "U+00C9 cosse", "U+03A3 U+03BA U+03C9 U+03C4 U+03AF U+03B1", "Skocia", "Scozia ", "Skotija", "U+0160 kotija", "Skottland", "Szkocja", "ScoU+0163 ia", "U+0160 kU</w:t>
      </w:r>
      <w:r>
        <w:t>+00F3 tsko", "Escocia", "U+0130 skoU+00E7 ya", "U+0428 U+043E U+0442 U+043B U+0430 U+043D U+0434 U+0456 U+044F", "U+30B9 U+30B3 U+30C3 U+30C8 U+30E9 U+30F3 U+30C9", "U+82CF U+683C U+5170", "U+8607 U+683C U+862D", "U+C2A4 U+CF54 U+D2C0 U+B79C U+B4DC", "U+06</w:t>
      </w:r>
      <w:r>
        <w:t xml:space="preserve">27 U+0633 U+0643 U+062A U+0644 U+0646 U+062F U+0629", "U+05E1 U+05E7 </w:t>
      </w:r>
      <w:r>
        <w:lastRenderedPageBreak/>
        <w:t>U+05D5 U+05D8 U+05DC U+05E0 U+05D3", "U+0E2A U+0E01 U+0E2D U+0E15 U+0E41 U+0E25 U+0E19 U+0E14 U+0E4C", "I sle of Man", "Ilha de Man", "U+041E U+0441 U+0442 U+0440 U+043E U+0432  U+041C U+</w:t>
      </w:r>
      <w:r>
        <w:t xml:space="preserve">0430 U+043D", "Illa de Man", "Ostrov Man", "U+00D8 en Man", "Man", "Mani saar", "Mansaari", "U+00CE le de Man", "U+039D U+03AE U+03C3 U+03BF U+03C2  U+039C U+03B1 U+03BD", "Man-sziget", "Isola di Man", "Menas sala", "Meno sala", "Wyspa Man", "Insula Man", </w:t>
      </w:r>
      <w:r>
        <w:t>"U+041E U+0441 U+0442 U+0440 U+043E U+0432  U+041C U+044D U+043D", "Otok Man", "Isla de Man", "ManU+00F6 n", "Man AdasU+0131", "U+041E U+0441 U+0442 U+0440 U+0456 U+0432  U+041C U+0435 U+043D", "U+30DE U+30F3 U+5CF6", "U+9A6C U+6069 U+5C9B", "U+66FC U+57CE</w:t>
      </w:r>
      <w:r>
        <w:t xml:space="preserve"> U+5CF6", "U+B9E8  U+C12C", "U+062C U+0632 U+064A U+0631 U+0629  U+0645 U+0627 U+0646", "U+05D4 U+05D0 U+05D9  U+05DE U+05D0 U+05DF", "U+0E2B U+0E21 U+0E39 U+0E48 U+0E40 U+0E01 U+0E32 U+0E30 U+0E41 U+0E21 U+0E19"</w:t>
      </w:r>
    </w:p>
    <w:p w:rsidR="005F78FC" w:rsidRDefault="00B42EF3">
      <w:r>
        <w:t>"United States of America", "Etats-Unis", "</w:t>
      </w:r>
      <w:r>
        <w:t>Estados Unidos de AmU+00E9 rica", "Es Us", "Stati Uniti d'America", "EUA", "EEUU", "USA", "US", "America", "United States", "Amerika Syarikat", "U+0627 U+0644 U+0648 U+0644 U+0627 U+064A U+0627 U+062A  U+0627 U+0644 U+0645 U+062A U+062D U+062F U+0629  U+06</w:t>
      </w:r>
      <w:r>
        <w:t xml:space="preserve">27 U+0644 U+0623 U+0645 U+0631 U+064A U+0643 U+064A U+0629", "U+0623 U+0645 U+0631 U+064A U+0643 U+0627", "U+0421 U+044A U+0435 U+0434 U+0438 U+043D U+0435 U+043D U+0438  U+0430 U+043C U+0435 U+0440 U+0438 U+043A U+0430 U+043D U+0441 U+043A U+0438  U+0449 </w:t>
      </w:r>
      <w:r>
        <w:t>U+0430 U+0442 U+0438", "U+0421 U+044A U+0435 U+0434 U+0438 U+043D U+0435 U+043D U+0438  U+0449 U+0430 U+0442 U+0438", "U+0421 U+0410 U+0429", "SpojenU+00E9 stU+00E1 ty americkU+00E9", "Vereinigte Staaten von Amerika", "Vereinigte Staaten", "Amerika", "U.S.</w:t>
      </w:r>
      <w:r>
        <w:t>A.", "U+0397 U+03BD U+03C9 U+03BC U+03AD U+03BD U+03B5 U+03C2  U+03A0 U+03BF U+03BB U+03B9 U+03C4 U+03B5 U+03AF U+03B5 U+03C2  U+03C4 U+03B7 U+03C2  U+0391 U+03BC U+03B5 U+03C1 U+03B9 U+03BA U+03AE U+03C2", "Estados Unidos", "EE. UU.", "Ameerika U+00DC hen</w:t>
      </w:r>
      <w:r>
        <w:t>driigid", "U+00DC hendriigid", "Ameerika", "Amerikan yhdysvallat", "Yhdysvallat", "Amerikka", "Pohjois-Amerikka", "U+00C9 tats-Unis d'AmU+00E9 rique", "U+00C9 tats-Unis", "U+05D0 U+05E8 U+05E6 U+05D5 U+05EA  U+05D4 U+05D1 U+05E8 U+05D9 U+05EA", "U+05D0 U+0</w:t>
      </w:r>
      <w:r>
        <w:t>5E8 U+05E6 U+05D5 U+05EA -U+05D4 U+05D1 U+05E8 U+05D9 U+05EA", "U+05D0 U+05DE U+05E8 U+05D9 U+05E7 U+05D4", "U+05D0 U+05E8 U+05E6 U+05D5 U+05EA  U+05D4 U+05D1 U+05E8 U+05D9 U+05EA  U+05E9 U+05DC  U+05D0 U+05DE U+05E8 U+05D9 U+05E7 U+05D4", "Sjedinjene Amer</w:t>
      </w:r>
      <w:r>
        <w:t>iU+010D ke DrU+017E ave", "SAD", "Amerikai EgyesU+00FC lt U+00C1 llamok", "Stati Uniti", "Amerikas SavienotU+0101 s Valstis", "ASV", "JungtinU+0117 s Amerikos Valstijos", "JungtinU+0117 s Valstijos", "JAV", "Verenigde Staten", "Verenigde Staten van Amerika</w:t>
      </w:r>
      <w:r>
        <w:t xml:space="preserve">", "VS", "V.S.", "Noord-Amerika", "Noord Amerika", "De forente stater", "U.S.", "Amerikas forente stater", "Stany Zjednoczone", "Stany Zjednoczone Ameryki PU+00F3 U+0142 nocnej", "Estados Unidos da AmU+00E9 rica", "E.U.A.", "AmU+00E9 rica", "Statele Unite </w:t>
      </w:r>
      <w:r>
        <w:t>ale Americii", "S.U.A", "U+0421 U+0428 U+0410", "U+0421 U+043E U+0435 U+0434 U+0438 U+043D U+0435 U+043D U+043D U+044B U+0435  U+0428 U+0442 U+0430 U+0442 U+044B", "U+0421 U+043E U+0435 U+0434 U+0438 U+043D U+0435 U+043D U+043D U+044B U+0435  U+0428 U+0442</w:t>
      </w:r>
      <w:r>
        <w:t xml:space="preserve"> U+0430 U+0442 U+044B  U+0410 U+043C U+0435 U+0440 U+0438 U+043A U+0438", "SpojenU+00E9  U+0161 tU+00E1 ty americkU+00E9", "ZdruU+017E ene drU+017E ave Amerike", "ZDA", "Amerikas fU+00F6 renta stater", "FU+00F6 renta staterna", "U+0E2A U+0E2B U+0E23 U+0E31</w:t>
      </w:r>
      <w:r>
        <w:t xml:space="preserve"> U+0E10 U+0E2D U+0E40 U+0E21 U+0E23 U+0E34 U+0E01 U+0E32", "Amerika BirleU+015F ik Devletleri", "A.B.D.", "ABD", "U+0421 U+043F U+043E U+043B U+0443 U+0447 U+0435 U+043D U+0456  U+0428 U+0442 U+0430 U+0442 U+0438  U+0410 U+043C U+0435 U+0440 U+0438 U+043A </w:t>
      </w:r>
      <w:r>
        <w:t>U+0438", "U+0421 U+043F U+043E U+043B U+0443 U+0447 U+0435 U+043D U+0456  U+0428 U+0442 U+0430 U+0442 U+0438", "U+0410 U+043C U+0435 U+0440 U+0438 U+043A U+0430", "U+0421 U+043F U+043E U+043B U+0443 U+0447 U+0435 U+043D U+0456  U+0428", "U+0938 U+0902 U+09</w:t>
      </w:r>
      <w:r>
        <w:t>2F U+0941 U+0915 U+094D U+0924  U+0930 U+093E U+091C U+094D U+092F  U+0905 U+092E U+0947 U+0930 U+093F U+0915 U+093E", "Estats Units", "Nord-AmU+00E8 rica", "U+05D0 U+05E8 U+05D4 U+0022 U+05D1"</w:t>
      </w:r>
    </w:p>
    <w:p w:rsidR="005F78FC" w:rsidRDefault="00B42EF3">
      <w:r>
        <w:t>"Uzbekistan", "U+0623 U+0632 U+0628 U+0643 U+0633 U+062A U+062</w:t>
      </w:r>
      <w:r>
        <w:t>7 U+0646 U+0623 U+0648 U+0632 U+0628 U+0643 U+0633 U+062A U+0627 U+0646", "U+0423 U+0437 U+0431 U+0435 U+043A U+0438 U+0441 U+0442 U+0430 U+043D", "UzbekistU+00E1 n", "Usbekistan", "U+039F U+03C5 U+03B6 U+03BC U+03C0 U+03B5 U+03BA U+03B9 U+03C3 U+03C4 U+03</w:t>
      </w:r>
      <w:r>
        <w:t xml:space="preserve">AC U+03BD", "RepU+00FA blica de UzbekistU+00E1 n", "Usbekistani Vabariik", "Usbeki", "Uzbekistanin tasavalta", "OuzbU+00E9 kistan", "U+05D0 U+05D5 U+05D6 U+05D1 U+05E7 U+05D9 U+05E1 U+05D8 </w:t>
      </w:r>
      <w:r>
        <w:lastRenderedPageBreak/>
        <w:t>U+05D0 U+05DF", "U+05D0 U+05D5 U+05D6 U+05D1 U+05E7 U+05D9 U+05E1 U</w:t>
      </w:r>
      <w:r>
        <w:t>+05D8 U+05DF", "U+00DC zbegisztU+00E1 n", "UzbekistU+0101 na", "Uzbekistanas", "Uzbekija", "Uzbekistano Respublika", "Oezbekistan", "UzbequistU+00E3 o", "RepU+00FA blica do UzbequistU+00E3 o", "UsbequistU+00E3 o", "U+0E2D U+0E38 U+0E0B U+0E40 U+0E1A U+0E01</w:t>
      </w:r>
      <w:r>
        <w:t xml:space="preserve"> U+0E34 U+0E2A U+0E16 U+0E32 U+0E19", "U+00D6 zbekistan", "U+0909 U+095B U+094D U+092C U+0947 U+0915 U+093F U+0938 U+094D U+0924 U+093E U+0928"</w:t>
      </w:r>
    </w:p>
    <w:p w:rsidR="005F78FC" w:rsidRDefault="00B42EF3">
      <w:r>
        <w:t>"Vietnam", "Socialist Republic of Vietnam", "U+0641 U+064A U+062A U+0646 U+0627 U+0645", "U+0412 U+0438 U+0435 U</w:t>
      </w:r>
      <w:r>
        <w:t>+0442 U+043D U+0430 U+043C", "U+0421 U+043E U+0446 U+0438 U+0430 U+043B U+0438 U+0441 U+0442 U+0438 U+0447 U+0435 U+0441 U+043A U+0430  U+0440 U+0435 U+043F U+0443 U+0431 U+043B U+0438 U+043A U+0430  U+0412 U+0438 U+0435 U+0442 U+043D U+0430 U+043C", "Viet</w:t>
      </w:r>
      <w:r>
        <w:t>namskU+00E1 socialistickU+00E1 republika", "Sozialistische Republik Vietnam", "U+0392 U+03B9 U+03B5 U+03C4 U+03BD U+03AC U+03BC", "RepU+00FA blica socialista de Vietnam", "RepU+00FA blica Socialista de Vietnam", "Vietnami Sotsialistlik Vabariik", "Vietnami</w:t>
      </w:r>
      <w:r>
        <w:t>n sosialistinen tasavalta", "ViU+00EA t Nam", "U+05D5 U+05D9 U+05D9 U+05D8 U+05E0 U+05D0 U+05DD", "U+05D5 U+05D9 U+05D8 U+05E0 U+05DD", "U+05D4 U+05E8 U+05E4 U+05D5 U+05D1 U+05DC U+05D9 U+05E7 U+05D4  U+05D4 U+05E1 U+05D5 U+05E6 U+05D9 U+05D0 U+05DC U+05D9</w:t>
      </w:r>
      <w:r>
        <w:t xml:space="preserve"> U+05E1 U+05D8 U+05D9 U+05EA  U+05E9 U+05DC  U+05D5 U+05D9 U+05D9 U+05D8 U+05E0 U+05D0 U+05DD", "Vijetnam", "VietnU+00E1 m", "Repubblica Socialista del Vietnam", "Vjetnama", "Vietnamas", "Vietnamo SocialistinU+0117  Respublika", "Socialistische Republiek V</w:t>
      </w:r>
      <w:r>
        <w:t>ietnam", "Viet Nam", "Wietnam", "VietnU+00E3", "RepU+00FA blica Socialista do VietnU+00E3", "Vietname", "RepU+00FA blica Socialista do Vietname", "Republica SocialistU+0103  Vietnam", "U+0412 U+044C U+0435 U+0442 U+043D U+0430 U+043C", "U+0421 U+043E U+044</w:t>
      </w:r>
      <w:r>
        <w:t>6 U+0438 U+0430 U+043B U+0438 U+0441 U+0442 U+0438 U+0447 U+0435 U+0441 U+043A U+0430 U+044F  U+0420 U+0435 U+0441 U+043F U+0443 U+0431 U+043B U+0438 U+043A U+0430  U+0412 U+044C U+0435 U+0442 U+043D U+0430 U+043C", "VSR", "Socialistiska republiken Vietnam</w:t>
      </w:r>
      <w:r>
        <w:t>", "U+0E40 U+0E27 U+0E35 U+0E22 U+0E14 U+0E19 U+0E32 U+0E21", "Vietnam Sosyalist Cumhuriyeti", "U+0412 'U+0454 U+0442 U+043D U+0430 U+043C", "U+0421 U+043E U+0446 U+0456 U+0430 U+043B U+0456 U+0441 U+0442 U+0438 U+0447 U+043D U+0430  U+0420 U+0435 U+0441 U</w:t>
      </w:r>
      <w:r>
        <w:t>+043F U+0443 U+0431 U+043B U+0456 U+043A U+0430  U+0412 'U+0454 U+0442 U+043D U+0430 U+043C", "U+0421 U+0420 U+0412", "U+0935 U+093F U+092F U+0924 U+0928 U+093E U+092E"</w:t>
      </w:r>
    </w:p>
    <w:p w:rsidR="005F78FC" w:rsidRDefault="00B42EF3">
      <w:r>
        <w:t>"Ireland", "Republic of Ireland", "Eire", "Irlanda", "RepU+00FA blica da Irlanda", "U+0</w:t>
      </w:r>
      <w:r>
        <w:t>418 U+0440 U+043B U+0430 U+043D U+0434 U+0438 U+044F", "U+0420 U+0435 U+043F U+0443 U+0431 U+043B U+0438 U+043A U+0430  U+0418 U+0440 U+043B U+0430 U+043D U+0434 U+0438 U+044F", "U+0415 U+0439 U+0440 U+0435", "RepU+00FA blica d'Irlanda", "Irska", "Republik</w:t>
      </w:r>
      <w:r>
        <w:t>a Irska", "Irsko", "IrskU+00E1 republika", "Irland", "Ierland", "Iirimaa", "Irlanti", "Irlannin tasavalta", "Irlande", "U+0399 U+03C1 U+03BB U+03B1 U+03BD U+03B4 U+03AF U+03B1", "U+00CD rorszU+00E1 g", "Irlanda ", "U+012A rija", "U+012A rijas Republika", "</w:t>
      </w:r>
      <w:r>
        <w:t>Airija", "Airijos Res publika", "Irlandia", "Republika Irlandii", "Republica Irlanda", "U+00CD rsko", "U+00CD rska republika", "IrlU+00E4 ndska republiken", "IrlU+00E4 ndska Republiken", "U+0130 rlanda ", "U+0406 U+0440 U+043B U+0430 U+043D U+0434 U+0456 U</w:t>
      </w:r>
      <w:r>
        <w:t>+044F", "U+0420 U+0435 U+0441 U+043F U+0443 U+0431 U+043B U+0456 U+043A U+0430  U+0406 U+0440 U+043B U+0430 U+043D U+0434 U+0456 U+044F", "U+30A2 U+30A4 U+30EB U+30E9 U+30F3 U+30C9", "U+7231 U+5C14 U+5170", "U+611B U+723E U+862D", "U+C544 U+C77C U+B79C U+B</w:t>
      </w:r>
      <w:r>
        <w:t>4DC", "U+0623 U+064A U+0631 U+0644 U+0646 U+062F U+0627", "U+05D0 U+05D9 U+05E8 U+05DC U+05E0 U+05D3", "U+0E44 U+0E2D U+0E23 U+0E4C U+0E41 U+0E25 U+0E19 U+0E14 U+0E4C"</w:t>
      </w:r>
    </w:p>
    <w:p w:rsidR="005F78FC" w:rsidRDefault="00B42EF3">
      <w:r>
        <w:t>"Argentina", "Argentine", "Argentinien", "AR"</w:t>
      </w:r>
    </w:p>
    <w:p w:rsidR="005F78FC" w:rsidRDefault="00B42EF3">
      <w:r>
        <w:t>"Bolivia"</w:t>
      </w:r>
    </w:p>
    <w:p w:rsidR="005F78FC" w:rsidRDefault="00B42EF3">
      <w:r>
        <w:t>"Brunei Darussalam", "Brunei"</w:t>
      </w:r>
    </w:p>
    <w:p w:rsidR="005F78FC" w:rsidRDefault="00B42EF3">
      <w:r>
        <w:t>"C</w:t>
      </w:r>
      <w:r>
        <w:t>hile", "Cile"</w:t>
      </w:r>
    </w:p>
    <w:p w:rsidR="005F78FC" w:rsidRDefault="00B42EF3">
      <w:r>
        <w:t>"Colombia", "Kolumbien"</w:t>
      </w:r>
    </w:p>
    <w:p w:rsidR="005F78FC" w:rsidRDefault="00B42EF3">
      <w:r>
        <w:lastRenderedPageBreak/>
        <w:t>"Costa Rica", "Costarica"</w:t>
      </w:r>
    </w:p>
    <w:p w:rsidR="005F78FC" w:rsidRDefault="00B42EF3">
      <w:r>
        <w:t>"Dominican Republic", "República Dominicana", "Rep.Dom.", "RD"</w:t>
      </w:r>
    </w:p>
    <w:p w:rsidR="005F78FC" w:rsidRDefault="00B42EF3">
      <w:r>
        <w:t>"Ecuador"</w:t>
      </w:r>
    </w:p>
    <w:p w:rsidR="005F78FC" w:rsidRDefault="00B42EF3">
      <w:r>
        <w:t>"Guatemala"</w:t>
      </w:r>
    </w:p>
    <w:p w:rsidR="005F78FC" w:rsidRDefault="00B42EF3">
      <w:r>
        <w:t>"Indonesia", "Dutch East Indies"</w:t>
      </w:r>
    </w:p>
    <w:p w:rsidR="005F78FC" w:rsidRDefault="00B42EF3">
      <w:r>
        <w:t>"Iraq"</w:t>
      </w:r>
    </w:p>
    <w:p w:rsidR="005F78FC" w:rsidRDefault="00B42EF3">
      <w:r>
        <w:t>"Jamaica", "Giamaica"</w:t>
      </w:r>
    </w:p>
    <w:p w:rsidR="005F78FC" w:rsidRDefault="00B42EF3">
      <w:r>
        <w:t>"Kenya"</w:t>
      </w:r>
    </w:p>
    <w:p w:rsidR="005F78FC" w:rsidRDefault="00B42EF3">
      <w:r>
        <w:t>"Kyrgyzstan"</w:t>
      </w:r>
    </w:p>
    <w:p w:rsidR="005F78FC" w:rsidRDefault="00B42EF3">
      <w:r>
        <w:t>"Libya"</w:t>
      </w:r>
    </w:p>
    <w:p w:rsidR="005F78FC" w:rsidRDefault="00B42EF3">
      <w:r>
        <w:t>"Liechtenstein"</w:t>
      </w:r>
    </w:p>
    <w:p w:rsidR="005F78FC" w:rsidRDefault="00B42EF3">
      <w:r>
        <w:t>"Luxembourg", "Lussemburgo", "Luxemburgo"</w:t>
      </w:r>
    </w:p>
    <w:p w:rsidR="005F78FC" w:rsidRDefault="00B42EF3">
      <w:r>
        <w:t>"Macau SAR", "Macau", "Macao"</w:t>
      </w:r>
    </w:p>
    <w:p w:rsidR="005F78FC" w:rsidRDefault="00B42EF3">
      <w:r>
        <w:t>"Malaysia", "East Malaysia", "Malaya", "Malaisie"</w:t>
      </w:r>
    </w:p>
    <w:p w:rsidR="005F78FC" w:rsidRDefault="00B42EF3">
      <w:r>
        <w:t>"Mexico", "Mejico", "México", "Messico"</w:t>
      </w:r>
    </w:p>
    <w:p w:rsidR="005F78FC" w:rsidRDefault="00B42EF3">
      <w:r>
        <w:t>"Moldova"</w:t>
      </w:r>
    </w:p>
    <w:p w:rsidR="005F78FC" w:rsidRDefault="00B42EF3">
      <w:r>
        <w:t>"Monaco", "Mónaco"</w:t>
      </w:r>
    </w:p>
    <w:p w:rsidR="005F78FC" w:rsidRDefault="00B42EF3">
      <w:r>
        <w:t xml:space="preserve">"New Zealand", "NZ", "Neuseeland", "Nuovo Zelanda", "Nueva </w:t>
      </w:r>
      <w:r>
        <w:t>Zelanda"</w:t>
      </w:r>
    </w:p>
    <w:p w:rsidR="005F78FC" w:rsidRDefault="00B42EF3">
      <w:r>
        <w:t>"Nicaragua"</w:t>
      </w:r>
    </w:p>
    <w:p w:rsidR="005F78FC" w:rsidRDefault="00B42EF3">
      <w:r>
        <w:t>"Panama", "Panamá", "Panama"</w:t>
      </w:r>
    </w:p>
    <w:p w:rsidR="005F78FC" w:rsidRDefault="00B42EF3">
      <w:r>
        <w:t>"Paraguay"</w:t>
      </w:r>
    </w:p>
    <w:p w:rsidR="005F78FC" w:rsidRDefault="00B42EF3">
      <w:r>
        <w:t>"Peru", "Perú", "Peru"</w:t>
      </w:r>
    </w:p>
    <w:p w:rsidR="005F78FC" w:rsidRDefault="00B42EF3">
      <w:r>
        <w:t>"Philippines", "The Philippines", "Pilipinas", "Filippine", "Filipinas"</w:t>
      </w:r>
    </w:p>
    <w:p w:rsidR="005F78FC" w:rsidRDefault="00B42EF3">
      <w:r>
        <w:t>"Singapore", "Republic of Singapore", "Singapur"</w:t>
      </w:r>
    </w:p>
    <w:p w:rsidR="005F78FC" w:rsidRDefault="00B42EF3">
      <w:r>
        <w:t>"South Africa", "S Africa", "Republic of South Afri</w:t>
      </w:r>
      <w:r>
        <w:t>ca", "Suid-Afrika", "Sud Africa", "Südafrika", "Sudáfrica"</w:t>
      </w:r>
    </w:p>
    <w:p w:rsidR="005F78FC" w:rsidRDefault="00B42EF3">
      <w:r>
        <w:t>"Syria"</w:t>
      </w:r>
    </w:p>
    <w:p w:rsidR="005F78FC" w:rsidRDefault="00B42EF3">
      <w:r>
        <w:t>"Tajikistan"</w:t>
      </w:r>
    </w:p>
    <w:p w:rsidR="005F78FC" w:rsidRDefault="00B42EF3">
      <w:r>
        <w:t>"Turkmenistan"</w:t>
      </w:r>
    </w:p>
    <w:p w:rsidR="005F78FC" w:rsidRDefault="00B42EF3">
      <w:r>
        <w:t>"Uruguay"</w:t>
      </w:r>
    </w:p>
    <w:p w:rsidR="005F78FC" w:rsidRDefault="00B42EF3">
      <w:r>
        <w:t>"Venezuela"</w:t>
      </w:r>
    </w:p>
    <w:p w:rsidR="005F78FC" w:rsidRDefault="00B42EF3">
      <w:r>
        <w:t>"Yemen"</w:t>
      </w:r>
    </w:p>
    <w:p w:rsidR="005F78FC" w:rsidRDefault="00B42EF3">
      <w:pPr>
        <w:pStyle w:val="Heading3"/>
      </w:pPr>
      <w:bookmarkStart w:id="942" w:name="section_fc652f822fbf477887ff9b52fab9d600"/>
      <w:bookmarkStart w:id="943" w:name="_Toc69878244"/>
      <w:r>
        <w:lastRenderedPageBreak/>
        <w:t>Part 1 Section 17.16.5.2, ADVANCE</w:t>
      </w:r>
      <w:bookmarkEnd w:id="942"/>
      <w:bookmarkEnd w:id="943"/>
      <w:r>
        <w:fldChar w:fldCharType="begin"/>
      </w:r>
      <w:r>
        <w:instrText xml:space="preserve"> XE "ADVANCE" </w:instrText>
      </w:r>
      <w:r>
        <w:fldChar w:fldCharType="end"/>
      </w:r>
    </w:p>
    <w:p w:rsidR="005F78FC" w:rsidRDefault="00B42EF3">
      <w:pPr>
        <w:pStyle w:val="Definition-Field"/>
      </w:pPr>
      <w:r>
        <w:t xml:space="preserve">a.   </w:t>
      </w:r>
      <w:r>
        <w:rPr>
          <w:i/>
        </w:rPr>
        <w:t>The standard allows the advance field to be nested inside another field.</w:t>
      </w:r>
    </w:p>
    <w:p w:rsidR="005F78FC" w:rsidRDefault="00B42EF3">
      <w:pPr>
        <w:pStyle w:val="Definition-Field2"/>
      </w:pPr>
      <w:r>
        <w:t>Wor</w:t>
      </w:r>
      <w:r>
        <w:t>d does not carry out the display behavior of the ADVANCE field if it is nested inside another field.</w:t>
      </w:r>
    </w:p>
    <w:p w:rsidR="005F78FC" w:rsidRDefault="00B42EF3">
      <w:pPr>
        <w:pStyle w:val="Definition-Field"/>
      </w:pPr>
      <w:r>
        <w:t xml:space="preserve">b.   </w:t>
      </w:r>
      <w:r>
        <w:rPr>
          <w:i/>
        </w:rPr>
        <w:t>The standard states that this field has no effect on images, etc.</w:t>
      </w:r>
    </w:p>
    <w:p w:rsidR="005F78FC" w:rsidRDefault="00B42EF3">
      <w:pPr>
        <w:pStyle w:val="Definition-Field2"/>
      </w:pPr>
      <w:r>
        <w:t>Word moves inline objects, including pictures.</w:t>
      </w:r>
    </w:p>
    <w:p w:rsidR="005F78FC" w:rsidRDefault="00B42EF3">
      <w:pPr>
        <w:pStyle w:val="Heading3"/>
      </w:pPr>
      <w:bookmarkStart w:id="944" w:name="section_dc04613da39c452b8c1088e60dd06752"/>
      <w:bookmarkStart w:id="945" w:name="_Toc69878245"/>
      <w:r>
        <w:t>Part 1 Section 17.16.5.4, AUTHOR</w:t>
      </w:r>
      <w:bookmarkEnd w:id="944"/>
      <w:bookmarkEnd w:id="945"/>
      <w:r>
        <w:fldChar w:fldCharType="begin"/>
      </w:r>
      <w:r>
        <w:instrText xml:space="preserve"> XE "</w:instrText>
      </w:r>
      <w:r>
        <w:instrText xml:space="preserve">AUTHOR" </w:instrText>
      </w:r>
      <w:r>
        <w:fldChar w:fldCharType="end"/>
      </w:r>
    </w:p>
    <w:p w:rsidR="005F78FC" w:rsidRDefault="00B42EF3">
      <w:pPr>
        <w:pStyle w:val="Definition-Field"/>
      </w:pPr>
      <w:r>
        <w:t xml:space="preserve">a.   </w:t>
      </w:r>
      <w:r>
        <w:rPr>
          <w:i/>
        </w:rPr>
        <w:t>The standard says that an author field must have one of the general-formatting switches.</w:t>
      </w:r>
    </w:p>
    <w:p w:rsidR="005F78FC" w:rsidRDefault="00B42EF3">
      <w:pPr>
        <w:pStyle w:val="Definition-Field2"/>
      </w:pPr>
      <w:r>
        <w:t>In Word, having a general-formatting switch is optional for an author field.</w:t>
      </w:r>
    </w:p>
    <w:p w:rsidR="005F78FC" w:rsidRDefault="00B42EF3">
      <w:pPr>
        <w:pStyle w:val="Heading3"/>
      </w:pPr>
      <w:bookmarkStart w:id="946" w:name="section_1aed887d26154119b901ce3ec798cccf"/>
      <w:bookmarkStart w:id="947" w:name="_Toc69878246"/>
      <w:r>
        <w:t>Part 1 Section 17.16.5.7, BIBLIOGRAPHY</w:t>
      </w:r>
      <w:bookmarkEnd w:id="946"/>
      <w:bookmarkEnd w:id="947"/>
      <w:r>
        <w:fldChar w:fldCharType="begin"/>
      </w:r>
      <w:r>
        <w:instrText xml:space="preserve"> XE "BIBLIOGRAPHY" </w:instrText>
      </w:r>
      <w:r>
        <w:fldChar w:fldCharType="end"/>
      </w:r>
    </w:p>
    <w:p w:rsidR="005F78FC" w:rsidRDefault="00B42EF3">
      <w:pPr>
        <w:pStyle w:val="Definition-Field"/>
      </w:pPr>
      <w:r>
        <w:t xml:space="preserve">a.   </w:t>
      </w:r>
      <w:r>
        <w:rPr>
          <w:i/>
        </w:rPr>
        <w:t>The stand</w:t>
      </w:r>
      <w:r>
        <w:rPr>
          <w:i/>
        </w:rPr>
        <w:t>ard does not specify default behavior when the \f switch is present without an argument.</w:t>
      </w:r>
    </w:p>
    <w:p w:rsidR="005F78FC" w:rsidRDefault="00B42EF3">
      <w:pPr>
        <w:pStyle w:val="Definition-Field2"/>
      </w:pPr>
      <w:r>
        <w:t>In Word, if the argument for \f is not specified, then the language from the \l switch is used if specified.</w:t>
      </w:r>
    </w:p>
    <w:p w:rsidR="005F78FC" w:rsidRDefault="00B42EF3">
      <w:pPr>
        <w:pStyle w:val="Definition-Field"/>
      </w:pPr>
      <w:r>
        <w:t xml:space="preserve">b.   </w:t>
      </w:r>
      <w:r>
        <w:rPr>
          <w:i/>
        </w:rPr>
        <w:t>The standard does mention the acceptance of integer l</w:t>
      </w:r>
      <w:r>
        <w:rPr>
          <w:i/>
        </w:rPr>
        <w:t>anguage codes for the \l and \f switches.</w:t>
      </w:r>
    </w:p>
    <w:p w:rsidR="005F78FC" w:rsidRDefault="00B42EF3">
      <w:pPr>
        <w:pStyle w:val="Definition-Field2"/>
      </w:pPr>
      <w:r>
        <w:t>Word also accepts integer LCID language codes in addition to BCP47 culture tags.</w:t>
      </w:r>
    </w:p>
    <w:p w:rsidR="005F78FC" w:rsidRDefault="00B42EF3">
      <w:pPr>
        <w:pStyle w:val="Definition-Field"/>
      </w:pPr>
      <w:r>
        <w:t xml:space="preserve">c.   </w:t>
      </w:r>
      <w:r>
        <w:rPr>
          <w:i/>
        </w:rPr>
        <w:t>The standard says \m switch specifies which single source to show in the bibliography.</w:t>
      </w:r>
    </w:p>
    <w:p w:rsidR="005F78FC" w:rsidRDefault="00B42EF3">
      <w:pPr>
        <w:pStyle w:val="Definition-Field2"/>
      </w:pPr>
      <w:r>
        <w:t xml:space="preserve">In Word, the \m switch may be used </w:t>
      </w:r>
      <w:r>
        <w:t>repeatedly to specify a set of sources to show in the bibliography.</w:t>
      </w:r>
    </w:p>
    <w:p w:rsidR="005F78FC" w:rsidRDefault="00B42EF3">
      <w:pPr>
        <w:pStyle w:val="Definition-Field"/>
      </w:pPr>
      <w:r>
        <w:t xml:space="preserve">d.   </w:t>
      </w:r>
      <w:r>
        <w:rPr>
          <w:i/>
        </w:rPr>
        <w:t>The standard allows the /f and /l switches to supply different locales.</w:t>
      </w:r>
    </w:p>
    <w:p w:rsidR="005F78FC" w:rsidRDefault="00B42EF3">
      <w:pPr>
        <w:pStyle w:val="Definition-Field2"/>
      </w:pPr>
      <w:r>
        <w:t>In Word, if the /f and /l switches supply different locales, then the locale supplied with /f is used for /l.</w:t>
      </w:r>
    </w:p>
    <w:p w:rsidR="005F78FC" w:rsidRDefault="00B42EF3">
      <w:pPr>
        <w:pStyle w:val="Heading3"/>
      </w:pPr>
      <w:bookmarkStart w:id="948" w:name="section_706517631bd24fa2ae94420b4a980998"/>
      <w:bookmarkStart w:id="949" w:name="_Toc69878247"/>
      <w:r>
        <w:t>Part 1 Section 17.16.5.8, CITATION</w:t>
      </w:r>
      <w:bookmarkEnd w:id="948"/>
      <w:bookmarkEnd w:id="949"/>
      <w:r>
        <w:fldChar w:fldCharType="begin"/>
      </w:r>
      <w:r>
        <w:instrText xml:space="preserve"> XE "CITATION" </w:instrText>
      </w:r>
      <w:r>
        <w:fldChar w:fldCharType="end"/>
      </w:r>
    </w:p>
    <w:p w:rsidR="005F78FC" w:rsidRDefault="00B42EF3">
      <w:pPr>
        <w:pStyle w:val="Definition-Field"/>
      </w:pPr>
      <w:r>
        <w:t xml:space="preserve">a.   </w:t>
      </w:r>
      <w:r>
        <w:rPr>
          <w:i/>
        </w:rPr>
        <w:t>The standard says that the \l switch specifies the locale used to format the citation.</w:t>
      </w:r>
    </w:p>
    <w:p w:rsidR="005F78FC" w:rsidRDefault="00B42EF3">
      <w:pPr>
        <w:pStyle w:val="Definition-Field2"/>
      </w:pPr>
      <w:r>
        <w:t>In Word, if a source has a locale set using the LCID element ("</w:t>
      </w:r>
      <w:hyperlink r:id="rId108">
        <w:r>
          <w:rPr>
            <w:rStyle w:val="Hyperlink"/>
          </w:rPr>
          <w:t>[ISO/IEC-29500-1]</w:t>
        </w:r>
      </w:hyperlink>
      <w:r>
        <w:t xml:space="preserve"> §22.6.2.39; LCID"), then that locale is used to format the source rather than the locale specified in the \l switch.</w:t>
      </w:r>
    </w:p>
    <w:p w:rsidR="005F78FC" w:rsidRDefault="00B42EF3">
      <w:pPr>
        <w:pStyle w:val="Definition-Field"/>
      </w:pPr>
      <w:r>
        <w:t xml:space="preserve">b.   </w:t>
      </w:r>
      <w:r>
        <w:rPr>
          <w:i/>
        </w:rPr>
        <w:t>The standard does not describe how \m switch affect other switches in a multi-source citation.</w:t>
      </w:r>
    </w:p>
    <w:p w:rsidR="005F78FC" w:rsidRDefault="00B42EF3">
      <w:pPr>
        <w:pStyle w:val="Definition-Field2"/>
      </w:pPr>
      <w:r>
        <w:t>In W</w:t>
      </w:r>
      <w:r>
        <w:t>ord, other switches affect the previously defined source, defined either by the initial tag in the field or the last tag specified with the \m switch.</w:t>
      </w:r>
    </w:p>
    <w:p w:rsidR="005F78FC" w:rsidRDefault="00B42EF3">
      <w:pPr>
        <w:pStyle w:val="Definition-Field"/>
      </w:pPr>
      <w:r>
        <w:t xml:space="preserve">c.   </w:t>
      </w:r>
      <w:r>
        <w:rPr>
          <w:i/>
        </w:rPr>
        <w:t>The standard says the field value for the CITATION field is the same as for the COMMENTS field.</w:t>
      </w:r>
    </w:p>
    <w:p w:rsidR="005F78FC" w:rsidRDefault="00B42EF3">
      <w:pPr>
        <w:pStyle w:val="Definition-Field2"/>
      </w:pPr>
      <w:r>
        <w:t>In W</w:t>
      </w:r>
      <w:r>
        <w:t>ord, the field value for the CITATION field is a formatted citation for the sources specified within the field.</w:t>
      </w:r>
    </w:p>
    <w:p w:rsidR="005F78FC" w:rsidRDefault="00B42EF3">
      <w:pPr>
        <w:pStyle w:val="Heading3"/>
      </w:pPr>
      <w:bookmarkStart w:id="950" w:name="section_6662898652f04e7687cd532773d73936"/>
      <w:bookmarkStart w:id="951" w:name="_Toc69878248"/>
      <w:r>
        <w:t>Part 1 Section 17.16.5.9, COMMENTS</w:t>
      </w:r>
      <w:bookmarkEnd w:id="950"/>
      <w:bookmarkEnd w:id="951"/>
      <w:r>
        <w:fldChar w:fldCharType="begin"/>
      </w:r>
      <w:r>
        <w:instrText xml:space="preserve"> XE "COMMENTS" </w:instrText>
      </w:r>
      <w:r>
        <w:fldChar w:fldCharType="end"/>
      </w:r>
    </w:p>
    <w:p w:rsidR="005F78FC" w:rsidRDefault="00B42EF3">
      <w:pPr>
        <w:pStyle w:val="Definition-Field"/>
      </w:pPr>
      <w:r>
        <w:t xml:space="preserve">a.   </w:t>
      </w:r>
      <w:r>
        <w:rPr>
          <w:i/>
        </w:rPr>
        <w:t>The standard says a COMMENTS field must have a general-formatting-switch.</w:t>
      </w:r>
    </w:p>
    <w:p w:rsidR="005F78FC" w:rsidRDefault="00B42EF3">
      <w:pPr>
        <w:pStyle w:val="Definition-Field2"/>
      </w:pPr>
      <w:r>
        <w:lastRenderedPageBreak/>
        <w:t>In Word, usin</w:t>
      </w:r>
      <w:r>
        <w:t>g a general-formatting switch in a COMMENTS field is optional.</w:t>
      </w:r>
    </w:p>
    <w:p w:rsidR="005F78FC" w:rsidRDefault="00B42EF3">
      <w:pPr>
        <w:pStyle w:val="Heading3"/>
      </w:pPr>
      <w:bookmarkStart w:id="952" w:name="section_efc903893bb0477795d2f3479d5109e7"/>
      <w:bookmarkStart w:id="953" w:name="_Toc69878249"/>
      <w:r>
        <w:t>Part 1 Section 17.16.5.10, COMPARE</w:t>
      </w:r>
      <w:bookmarkEnd w:id="952"/>
      <w:bookmarkEnd w:id="953"/>
      <w:r>
        <w:fldChar w:fldCharType="begin"/>
      </w:r>
      <w:r>
        <w:instrText xml:space="preserve"> XE "COMPARE" </w:instrText>
      </w:r>
      <w:r>
        <w:fldChar w:fldCharType="end"/>
      </w:r>
    </w:p>
    <w:p w:rsidR="005F78FC" w:rsidRDefault="00B42EF3">
      <w:pPr>
        <w:pStyle w:val="Definition-Field"/>
      </w:pPr>
      <w:r>
        <w:t xml:space="preserve">a.   </w:t>
      </w:r>
      <w:r>
        <w:rPr>
          <w:i/>
        </w:rPr>
        <w:t>The Standard does not specify the expression used to evaluate the comparison.</w:t>
      </w:r>
    </w:p>
    <w:p w:rsidR="005F78FC" w:rsidRDefault="00B42EF3">
      <w:pPr>
        <w:pStyle w:val="Definition-Field2"/>
      </w:pPr>
      <w:r>
        <w:t>Word uses the following expression: comparison =&gt; expressio</w:t>
      </w:r>
      <w:r>
        <w:t>n comparison-operator expression.</w:t>
      </w:r>
    </w:p>
    <w:p w:rsidR="005F78FC" w:rsidRDefault="00B42EF3">
      <w:pPr>
        <w:pStyle w:val="Definition-Field"/>
      </w:pPr>
      <w:r>
        <w:t xml:space="preserve">b.   </w:t>
      </w:r>
      <w:r>
        <w:rPr>
          <w:i/>
        </w:rPr>
        <w:t>The standard states that the left hand expression operand can contain wildcards.</w:t>
      </w:r>
    </w:p>
    <w:p w:rsidR="005F78FC" w:rsidRDefault="00B42EF3">
      <w:pPr>
        <w:pStyle w:val="Definition-Field2"/>
      </w:pPr>
      <w:r>
        <w:t>Word supports wildcards in the right hand expression operand only.</w:t>
      </w:r>
    </w:p>
    <w:p w:rsidR="005F78FC" w:rsidRDefault="00B42EF3">
      <w:pPr>
        <w:pStyle w:val="Definition-Field"/>
      </w:pPr>
      <w:r>
        <w:t xml:space="preserve">c.   </w:t>
      </w:r>
      <w:r>
        <w:rPr>
          <w:i/>
        </w:rPr>
        <w:t>The standard does not specify any length restrictions on wildcar</w:t>
      </w:r>
      <w:r>
        <w:rPr>
          <w:i/>
        </w:rPr>
        <w:t>ds expansions.</w:t>
      </w:r>
    </w:p>
    <w:p w:rsidR="005F78FC" w:rsidRDefault="00B42EF3">
      <w:pPr>
        <w:pStyle w:val="Definition-Field2"/>
      </w:pPr>
      <w:r>
        <w:t>In Word, if an asterisk is used in Expression-2, the portion of Expression-1 that corresponds to the asterisk plus any remaining characters in Expression-2 shall NOT exceed 128 characters.</w:t>
      </w:r>
    </w:p>
    <w:p w:rsidR="005F78FC" w:rsidRDefault="00B42EF3">
      <w:pPr>
        <w:pStyle w:val="Heading3"/>
      </w:pPr>
      <w:bookmarkStart w:id="954" w:name="section_ab4095f610eb4826a70e9e92fcfeb5b3"/>
      <w:bookmarkStart w:id="955" w:name="_Toc69878250"/>
      <w:r>
        <w:t>Part 1 Section 17.16.5.11, CREATEDATE</w:t>
      </w:r>
      <w:bookmarkEnd w:id="954"/>
      <w:bookmarkEnd w:id="955"/>
      <w:r>
        <w:fldChar w:fldCharType="begin"/>
      </w:r>
      <w:r>
        <w:instrText xml:space="preserve"> XE "CREATEDATE</w:instrText>
      </w:r>
      <w:r>
        <w:instrText xml:space="preserve">" </w:instrText>
      </w:r>
      <w:r>
        <w:fldChar w:fldCharType="end"/>
      </w:r>
    </w:p>
    <w:p w:rsidR="005F78FC" w:rsidRDefault="00B42EF3">
      <w:pPr>
        <w:pStyle w:val="Definition-Field"/>
      </w:pPr>
      <w:r>
        <w:t xml:space="preserve">a.   </w:t>
      </w:r>
      <w:r>
        <w:rPr>
          <w:i/>
        </w:rPr>
        <w:t>The standard says by default the Gregorian calendar is used for the CREATEDATE field.</w:t>
      </w:r>
    </w:p>
    <w:p w:rsidR="005F78FC" w:rsidRDefault="00B42EF3">
      <w:pPr>
        <w:pStyle w:val="Definition-Field2"/>
      </w:pPr>
      <w:r>
        <w:t>In Word, the calendar used for the CREATEDATE field is locale specific.</w:t>
      </w:r>
    </w:p>
    <w:p w:rsidR="005F78FC" w:rsidRDefault="00B42EF3">
      <w:pPr>
        <w:pStyle w:val="Heading3"/>
      </w:pPr>
      <w:bookmarkStart w:id="956" w:name="section_6870342f637e45b2a66303c99dcff328"/>
      <w:bookmarkStart w:id="957" w:name="_Toc69878251"/>
      <w:r>
        <w:t>Part 1 Section 17.16.5.12, DATABASE</w:t>
      </w:r>
      <w:bookmarkEnd w:id="956"/>
      <w:bookmarkEnd w:id="957"/>
      <w:r>
        <w:fldChar w:fldCharType="begin"/>
      </w:r>
      <w:r>
        <w:instrText xml:space="preserve"> XE "DATABASE" </w:instrText>
      </w:r>
      <w:r>
        <w:fldChar w:fldCharType="end"/>
      </w:r>
    </w:p>
    <w:p w:rsidR="005F78FC" w:rsidRDefault="00B42EF3">
      <w:pPr>
        <w:pStyle w:val="Definition-Field"/>
      </w:pPr>
      <w:r>
        <w:t xml:space="preserve">a.   </w:t>
      </w:r>
      <w:r>
        <w:rPr>
          <w:i/>
        </w:rPr>
        <w:t xml:space="preserve">The standard does not specify </w:t>
      </w:r>
      <w:r>
        <w:rPr>
          <w:i/>
        </w:rPr>
        <w:t>meaning for arguments 512 and 1024 in the \b switch.</w:t>
      </w:r>
    </w:p>
    <w:p w:rsidR="005F78FC" w:rsidRDefault="00B42EF3">
      <w:pPr>
        <w:pStyle w:val="Definition-Field2"/>
      </w:pPr>
      <w:r>
        <w:t>In Word, arguments 512 and 1024 in the \b switch control row and column banding respectively.</w:t>
      </w:r>
    </w:p>
    <w:p w:rsidR="005F78FC" w:rsidRDefault="00B42EF3">
      <w:pPr>
        <w:pStyle w:val="Definition-Field"/>
      </w:pPr>
      <w:r>
        <w:t xml:space="preserve">b.   </w:t>
      </w:r>
      <w:r>
        <w:rPr>
          <w:i/>
        </w:rPr>
        <w:t>The standard does not explain the format of the argument to the \l switch.</w:t>
      </w:r>
    </w:p>
    <w:p w:rsidR="005F78FC" w:rsidRDefault="00B42EF3">
      <w:r>
        <w:t>In Word, the text in this swi</w:t>
      </w:r>
      <w:r>
        <w:t>tch's field-argument specifies the format, by indexing into the following table:</w:t>
      </w:r>
    </w:p>
    <w:tbl>
      <w:tblPr>
        <w:tblStyle w:val="Table-ShadedHeader"/>
        <w:tblW w:w="0" w:type="auto"/>
        <w:tblLook w:val="04A0" w:firstRow="1" w:lastRow="0" w:firstColumn="1" w:lastColumn="0" w:noHBand="0" w:noVBand="1"/>
      </w:tblPr>
      <w:tblGrid>
        <w:gridCol w:w="1784"/>
        <w:gridCol w:w="6290"/>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Index (Name)</w:t>
            </w:r>
          </w:p>
        </w:tc>
        <w:tc>
          <w:tcPr>
            <w:tcW w:w="0" w:type="auto"/>
            <w:vAlign w:val="center"/>
          </w:tcPr>
          <w:p w:rsidR="005F78FC" w:rsidRDefault="00B42EF3">
            <w:pPr>
              <w:pStyle w:val="TableHeaderText"/>
            </w:pPr>
            <w:r>
              <w:t>Properties</w:t>
            </w:r>
          </w:p>
        </w:tc>
      </w:tr>
      <w:tr w:rsidR="005F78FC" w:rsidTr="005F78FC">
        <w:tc>
          <w:tcPr>
            <w:tcW w:w="0" w:type="auto"/>
            <w:vAlign w:val="center"/>
          </w:tcPr>
          <w:p w:rsidR="005F78FC" w:rsidRDefault="00B42EF3">
            <w:pPr>
              <w:pStyle w:val="TableBodyText"/>
            </w:pPr>
            <w:r>
              <w:t>1 (Simple 1)</w:t>
            </w:r>
          </w:p>
          <w:p w:rsidR="005F78FC" w:rsidRDefault="005F78FC">
            <w:pPr>
              <w:pStyle w:val="TableBodyText"/>
            </w:pPr>
          </w:p>
        </w:tc>
        <w:tc>
          <w:tcPr>
            <w:tcW w:w="0" w:type="auto"/>
            <w:vAlign w:val="center"/>
          </w:tcPr>
          <w:p w:rsidR="005F78FC" w:rsidRDefault="00B42EF3">
            <w:pPr>
              <w:pStyle w:val="TableBodyText"/>
            </w:pPr>
            <w:r>
              <w:t>The table shall have the following properties:</w:t>
            </w:r>
          </w:p>
          <w:p w:rsidR="005F78FC" w:rsidRDefault="00B42EF3">
            <w:pPr>
              <w:pStyle w:val="TableBodyText"/>
            </w:pPr>
            <w:r>
              <w:t>The top border shall be a 1 1/2 pt single line.</w:t>
            </w:r>
          </w:p>
          <w:p w:rsidR="005F78FC" w:rsidRDefault="00B42EF3">
            <w:pPr>
              <w:pStyle w:val="TableBodyText"/>
            </w:pPr>
            <w:r>
              <w:t xml:space="preserve">The bottom border shall be a 1 1/2 pt </w:t>
            </w:r>
            <w:r>
              <w:t>single line.</w:t>
            </w:r>
          </w:p>
          <w:p w:rsidR="005F78FC" w:rsidRDefault="00B42EF3">
            <w:pPr>
              <w:pStyle w:val="TableBodyText"/>
            </w:pPr>
            <w:r>
              <w:t>The top border color shall be dark green (00CC00).</w:t>
            </w:r>
          </w:p>
          <w:p w:rsidR="005F78FC" w:rsidRDefault="00B42EF3">
            <w:pPr>
              <w:pStyle w:val="TableBodyText"/>
            </w:pPr>
            <w:r>
              <w:t>The bottom border color shall be dark green (00CC00).</w:t>
            </w:r>
          </w:p>
          <w:p w:rsidR="005F78FC" w:rsidRDefault="00B42EF3">
            <w:pPr>
              <w:pStyle w:val="TableBodyText"/>
            </w:pPr>
            <w:r>
              <w:t>The vertical alignment shall be top.</w:t>
            </w:r>
          </w:p>
          <w:p w:rsidR="005F78FC" w:rsidRDefault="005F78FC">
            <w:pPr>
              <w:pStyle w:val="TableBodyText"/>
            </w:pPr>
          </w:p>
          <w:p w:rsidR="005F78FC" w:rsidRDefault="00B42EF3">
            <w:pPr>
              <w:pStyle w:val="TableBodyText"/>
            </w:pPr>
            <w:r>
              <w:t>The header rows shall have the following properties:</w:t>
            </w:r>
          </w:p>
          <w:p w:rsidR="005F78FC" w:rsidRDefault="00B42EF3">
            <w:pPr>
              <w:pStyle w:val="TableBodyText"/>
            </w:pPr>
            <w:r>
              <w:t xml:space="preserve">The bottom border shall be a 3/4 pt single </w:t>
            </w:r>
            <w:r>
              <w:t>line.</w:t>
            </w:r>
          </w:p>
          <w:p w:rsidR="005F78FC" w:rsidRDefault="00B42EF3">
            <w:pPr>
              <w:pStyle w:val="TableBodyText"/>
            </w:pPr>
            <w:r>
              <w:t>The bottom border color shall be dark green (00CC00).</w:t>
            </w:r>
          </w:p>
          <w:p w:rsidR="005F78FC" w:rsidRDefault="005F78FC">
            <w:pPr>
              <w:pStyle w:val="TableBodyText"/>
            </w:pPr>
          </w:p>
          <w:p w:rsidR="005F78FC" w:rsidRDefault="00B42EF3">
            <w:pPr>
              <w:pStyle w:val="TableBodyText"/>
            </w:pPr>
            <w:r>
              <w:t>The last row shall have the following properties:</w:t>
            </w:r>
          </w:p>
          <w:p w:rsidR="005F78FC" w:rsidRDefault="00B42EF3">
            <w:pPr>
              <w:pStyle w:val="TableBodyText"/>
            </w:pPr>
            <w:r>
              <w:t>The top border shall be a 3/4 pt single line.</w:t>
            </w:r>
          </w:p>
          <w:p w:rsidR="005F78FC" w:rsidRDefault="00B42EF3">
            <w:pPr>
              <w:pStyle w:val="TableBodyText"/>
            </w:pPr>
            <w:r>
              <w:t>The top border color shall be dark green (00CC00).</w:t>
            </w:r>
          </w:p>
          <w:p w:rsidR="005F78FC" w:rsidRDefault="005F78FC">
            <w:pPr>
              <w:pStyle w:val="TableBodyText"/>
            </w:pPr>
          </w:p>
        </w:tc>
      </w:tr>
      <w:tr w:rsidR="005F78FC" w:rsidTr="005F78FC">
        <w:tc>
          <w:tcPr>
            <w:tcW w:w="0" w:type="auto"/>
            <w:vAlign w:val="center"/>
          </w:tcPr>
          <w:p w:rsidR="005F78FC" w:rsidRDefault="00B42EF3">
            <w:pPr>
              <w:pStyle w:val="TableBodyText"/>
            </w:pPr>
            <w:r>
              <w:t>2 (Simple 2)</w:t>
            </w:r>
          </w:p>
        </w:tc>
        <w:tc>
          <w:tcPr>
            <w:tcW w:w="0" w:type="auto"/>
            <w:vAlign w:val="center"/>
          </w:tcPr>
          <w:p w:rsidR="005F78FC" w:rsidRDefault="00B42EF3">
            <w:pPr>
              <w:pStyle w:val="TableBodyText"/>
            </w:pPr>
            <w:r>
              <w:t xml:space="preserve">The table shall have the </w:t>
            </w:r>
            <w:r>
              <w:t>following properties:</w:t>
            </w:r>
          </w:p>
          <w:p w:rsidR="005F78FC" w:rsidRDefault="00B42EF3">
            <w:pPr>
              <w:pStyle w:val="TableBodyText"/>
            </w:pPr>
            <w:r>
              <w:t>The vertical alignment shall be top.</w:t>
            </w:r>
          </w:p>
          <w:p w:rsidR="005F78FC" w:rsidRDefault="005F78FC">
            <w:pPr>
              <w:pStyle w:val="TableBodyText"/>
            </w:pPr>
          </w:p>
          <w:p w:rsidR="005F78FC" w:rsidRDefault="00B42EF3">
            <w:pPr>
              <w:pStyle w:val="TableBodyText"/>
            </w:pPr>
            <w:r>
              <w:lastRenderedPageBreak/>
              <w:t>The header rows shall have the following properties:</w:t>
            </w:r>
          </w:p>
          <w:p w:rsidR="005F78FC" w:rsidRDefault="00B42EF3">
            <w:pPr>
              <w:pStyle w:val="TableBodyText"/>
            </w:pPr>
            <w:r>
              <w:t>The bottom border shall be a 1 1/2 pt single line.</w:t>
            </w:r>
          </w:p>
          <w:p w:rsidR="005F78FC" w:rsidRDefault="00B42EF3">
            <w:pPr>
              <w:pStyle w:val="TableBodyText"/>
            </w:pPr>
            <w:r>
              <w:t>The bottom border color shall be black (000000).</w:t>
            </w:r>
          </w:p>
          <w:p w:rsidR="005F78FC" w:rsidRDefault="00B42EF3">
            <w:pPr>
              <w:pStyle w:val="TableBodyText"/>
            </w:pPr>
            <w:r>
              <w:t>The font shall be bold.</w:t>
            </w:r>
          </w:p>
          <w:p w:rsidR="005F78FC" w:rsidRDefault="005F78FC">
            <w:pPr>
              <w:pStyle w:val="TableBodyText"/>
            </w:pPr>
          </w:p>
          <w:p w:rsidR="005F78FC" w:rsidRDefault="00B42EF3">
            <w:pPr>
              <w:pStyle w:val="TableBodyText"/>
            </w:pPr>
            <w:r>
              <w:t>The last row shall</w:t>
            </w:r>
            <w:r>
              <w:t xml:space="preserve"> have the following properties:</w:t>
            </w:r>
          </w:p>
          <w:p w:rsidR="005F78FC" w:rsidRDefault="00B42EF3">
            <w:pPr>
              <w:pStyle w:val="TableBodyText"/>
            </w:pPr>
            <w:r>
              <w:t>The top border shall be a 3/4 pt single line.</w:t>
            </w:r>
          </w:p>
          <w:p w:rsidR="005F78FC" w:rsidRDefault="00B42EF3">
            <w:pPr>
              <w:pStyle w:val="TableBodyText"/>
            </w:pPr>
            <w:r>
              <w:t>The top border color shall be black (000000).</w:t>
            </w:r>
          </w:p>
          <w:p w:rsidR="005F78FC" w:rsidRDefault="00B42EF3">
            <w:pPr>
              <w:pStyle w:val="TableBodyText"/>
            </w:pPr>
            <w:r>
              <w:t>The font shall be bold.</w:t>
            </w:r>
          </w:p>
          <w:p w:rsidR="005F78FC" w:rsidRDefault="005F78FC">
            <w:pPr>
              <w:pStyle w:val="TableBodyText"/>
            </w:pPr>
          </w:p>
          <w:p w:rsidR="005F78FC" w:rsidRDefault="00B42EF3">
            <w:pPr>
              <w:pStyle w:val="TableBodyText"/>
            </w:pPr>
            <w:r>
              <w:t>The first column shall have the following properties:</w:t>
            </w:r>
          </w:p>
          <w:p w:rsidR="005F78FC" w:rsidRDefault="00B42EF3">
            <w:pPr>
              <w:pStyle w:val="TableBodyText"/>
            </w:pPr>
            <w:r>
              <w:t>The right border shall be a 1 1/2 pt single line.</w:t>
            </w:r>
          </w:p>
          <w:p w:rsidR="005F78FC" w:rsidRDefault="00B42EF3">
            <w:pPr>
              <w:pStyle w:val="TableBodyText"/>
            </w:pPr>
            <w:r>
              <w:t>The</w:t>
            </w:r>
            <w:r>
              <w:t xml:space="preserve"> right border color shall be black (000000).</w:t>
            </w:r>
          </w:p>
          <w:p w:rsidR="005F78FC" w:rsidRDefault="00B42EF3">
            <w:pPr>
              <w:pStyle w:val="TableBodyText"/>
            </w:pPr>
            <w:r>
              <w:t>The font shall be bold.</w:t>
            </w:r>
          </w:p>
          <w:p w:rsidR="005F78FC" w:rsidRDefault="005F78FC">
            <w:pPr>
              <w:pStyle w:val="TableBodyText"/>
            </w:pPr>
          </w:p>
          <w:p w:rsidR="005F78FC" w:rsidRDefault="00B42EF3">
            <w:pPr>
              <w:pStyle w:val="TableBodyText"/>
            </w:pPr>
            <w:r>
              <w:t>The first column of the last row shall have the following properties:</w:t>
            </w:r>
          </w:p>
          <w:p w:rsidR="005F78FC" w:rsidRDefault="00B42EF3">
            <w:pPr>
              <w:pStyle w:val="TableBodyText"/>
            </w:pPr>
            <w:r>
              <w:t>There shall be no top border.</w:t>
            </w:r>
          </w:p>
          <w:p w:rsidR="005F78FC" w:rsidRDefault="00B42EF3">
            <w:pPr>
              <w:pStyle w:val="TableBodyText"/>
            </w:pPr>
            <w:r>
              <w:t>The font shall be bold.</w:t>
            </w:r>
          </w:p>
          <w:p w:rsidR="005F78FC" w:rsidRDefault="005F78FC">
            <w:pPr>
              <w:pStyle w:val="TableBodyText"/>
            </w:pPr>
          </w:p>
          <w:p w:rsidR="005F78FC" w:rsidRDefault="00B42EF3">
            <w:pPr>
              <w:pStyle w:val="TableBodyText"/>
            </w:pPr>
            <w:r>
              <w:t>The last column shall have the following properties:</w:t>
            </w:r>
          </w:p>
          <w:p w:rsidR="005F78FC" w:rsidRDefault="00B42EF3">
            <w:pPr>
              <w:pStyle w:val="TableBodyText"/>
            </w:pPr>
            <w:r>
              <w:t>The left</w:t>
            </w:r>
            <w:r>
              <w:t xml:space="preserve"> border shall be a 3/4 pt single line.</w:t>
            </w:r>
          </w:p>
          <w:p w:rsidR="005F78FC" w:rsidRDefault="00B42EF3">
            <w:pPr>
              <w:pStyle w:val="TableBodyText"/>
            </w:pPr>
            <w:r>
              <w:t>The left border color shall be black (000000).</w:t>
            </w:r>
          </w:p>
          <w:p w:rsidR="005F78FC" w:rsidRDefault="00B42EF3">
            <w:pPr>
              <w:pStyle w:val="TableBodyText"/>
            </w:pPr>
            <w:r>
              <w:t>The font shall be bold.</w:t>
            </w:r>
          </w:p>
          <w:p w:rsidR="005F78FC" w:rsidRDefault="005F78FC">
            <w:pPr>
              <w:pStyle w:val="TableBodyText"/>
            </w:pPr>
          </w:p>
          <w:p w:rsidR="005F78FC" w:rsidRDefault="00B42EF3">
            <w:pPr>
              <w:pStyle w:val="TableBodyText"/>
            </w:pPr>
            <w:r>
              <w:t>The header rows of the last column shall have the following properties:</w:t>
            </w:r>
          </w:p>
          <w:p w:rsidR="005F78FC" w:rsidRDefault="00B42EF3">
            <w:pPr>
              <w:pStyle w:val="TableBodyText"/>
            </w:pPr>
            <w:r>
              <w:t>There should be no left border.</w:t>
            </w:r>
          </w:p>
          <w:p w:rsidR="005F78FC" w:rsidRDefault="00B42EF3">
            <w:pPr>
              <w:pStyle w:val="TableBodyText"/>
            </w:pPr>
            <w:r>
              <w:t>The font shall be bold.</w:t>
            </w:r>
          </w:p>
          <w:p w:rsidR="005F78FC" w:rsidRDefault="005F78FC">
            <w:pPr>
              <w:pStyle w:val="TableBodyText"/>
            </w:pPr>
          </w:p>
        </w:tc>
      </w:tr>
      <w:tr w:rsidR="005F78FC" w:rsidTr="005F78FC">
        <w:tc>
          <w:tcPr>
            <w:tcW w:w="0" w:type="auto"/>
            <w:vAlign w:val="center"/>
          </w:tcPr>
          <w:p w:rsidR="005F78FC" w:rsidRDefault="00B42EF3">
            <w:pPr>
              <w:pStyle w:val="TableBodyText"/>
            </w:pPr>
            <w:r>
              <w:lastRenderedPageBreak/>
              <w:t>3 (Simple3)</w:t>
            </w:r>
          </w:p>
          <w:p w:rsidR="005F78FC" w:rsidRDefault="005F78FC">
            <w:pPr>
              <w:pStyle w:val="TableBodyText"/>
            </w:pPr>
          </w:p>
        </w:tc>
        <w:tc>
          <w:tcPr>
            <w:tcW w:w="0" w:type="auto"/>
            <w:vAlign w:val="center"/>
          </w:tcPr>
          <w:p w:rsidR="005F78FC" w:rsidRDefault="00B42EF3">
            <w:pPr>
              <w:pStyle w:val="TableBodyText"/>
            </w:pPr>
            <w:r>
              <w:t>Th</w:t>
            </w:r>
            <w:r>
              <w:t>e table shall have the following properties:</w:t>
            </w:r>
          </w:p>
          <w:p w:rsidR="005F78FC" w:rsidRDefault="00B42EF3">
            <w:pPr>
              <w:pStyle w:val="TableBodyText"/>
            </w:pPr>
            <w:r>
              <w:t>The top border shall be a 1 1/2 pt single line.</w:t>
            </w:r>
          </w:p>
          <w:p w:rsidR="005F78FC" w:rsidRDefault="00B42EF3">
            <w:pPr>
              <w:pStyle w:val="TableBodyText"/>
            </w:pPr>
            <w:r>
              <w:t>The left border shall be a 1 1/2 pt single line.</w:t>
            </w:r>
          </w:p>
          <w:p w:rsidR="005F78FC" w:rsidRDefault="00B42EF3">
            <w:pPr>
              <w:pStyle w:val="TableBodyText"/>
            </w:pPr>
            <w:r>
              <w:t>The bottom border shall be a 1 1/2 pt single line.</w:t>
            </w:r>
          </w:p>
          <w:p w:rsidR="005F78FC" w:rsidRDefault="00B42EF3">
            <w:pPr>
              <w:pStyle w:val="TableBodyText"/>
            </w:pPr>
            <w:r>
              <w:t>The right border shall be a 1 1/2 pt single line.</w:t>
            </w:r>
          </w:p>
          <w:p w:rsidR="005F78FC" w:rsidRDefault="00B42EF3">
            <w:pPr>
              <w:pStyle w:val="TableBodyText"/>
            </w:pPr>
            <w:r>
              <w:t>The top borde</w:t>
            </w:r>
            <w:r>
              <w:t>r color shall be black (000000).</w:t>
            </w:r>
          </w:p>
          <w:p w:rsidR="005F78FC" w:rsidRDefault="00B42EF3">
            <w:pPr>
              <w:pStyle w:val="TableBodyText"/>
            </w:pPr>
            <w:r>
              <w:t>The left border color shall be black (000000).</w:t>
            </w:r>
          </w:p>
          <w:p w:rsidR="005F78FC" w:rsidRDefault="00B42EF3">
            <w:pPr>
              <w:pStyle w:val="TableBodyText"/>
            </w:pPr>
            <w:r>
              <w:t>The bottom border color shall be black (000000).</w:t>
            </w:r>
          </w:p>
          <w:p w:rsidR="005F78FC" w:rsidRDefault="00B42EF3">
            <w:pPr>
              <w:pStyle w:val="TableBodyText"/>
            </w:pPr>
            <w:r>
              <w:t>The right border color shall be black (000000).</w:t>
            </w:r>
          </w:p>
          <w:p w:rsidR="005F78FC" w:rsidRDefault="00B42EF3">
            <w:pPr>
              <w:pStyle w:val="TableBodyText"/>
            </w:pPr>
            <w:r>
              <w:t>The vertical alignment shall be top.</w:t>
            </w:r>
          </w:p>
          <w:p w:rsidR="005F78FC" w:rsidRDefault="005F78FC">
            <w:pPr>
              <w:pStyle w:val="TableBodyText"/>
            </w:pPr>
          </w:p>
          <w:p w:rsidR="005F78FC" w:rsidRDefault="00B42EF3">
            <w:pPr>
              <w:pStyle w:val="TableBodyText"/>
            </w:pPr>
            <w:r>
              <w:t xml:space="preserve">The header rows shall have the following </w:t>
            </w:r>
            <w:r>
              <w:t>properties:</w:t>
            </w:r>
          </w:p>
          <w:p w:rsidR="005F78FC" w:rsidRDefault="00B42EF3">
            <w:pPr>
              <w:pStyle w:val="TableBodyText"/>
            </w:pPr>
            <w:r>
              <w:t>The foreground shading color shall be black (000000).</w:t>
            </w:r>
          </w:p>
          <w:p w:rsidR="005F78FC" w:rsidRDefault="00B42EF3">
            <w:pPr>
              <w:pStyle w:val="TableBodyText"/>
            </w:pPr>
            <w:r>
              <w:t>The background shading shall be white (FFFFFF).</w:t>
            </w:r>
          </w:p>
          <w:p w:rsidR="005F78FC" w:rsidRDefault="00B42EF3">
            <w:pPr>
              <w:pStyle w:val="TableBodyText"/>
            </w:pPr>
            <w:r>
              <w:t>The shading pattern shall be solid.</w:t>
            </w:r>
          </w:p>
          <w:p w:rsidR="005F78FC" w:rsidRDefault="00B42EF3">
            <w:pPr>
              <w:pStyle w:val="TableBodyText"/>
            </w:pPr>
            <w:r>
              <w:t>The font color shall be white (FFFFFF).</w:t>
            </w:r>
          </w:p>
          <w:p w:rsidR="005F78FC" w:rsidRDefault="00B42EF3">
            <w:pPr>
              <w:pStyle w:val="TableBodyText"/>
            </w:pPr>
            <w:r>
              <w:t>The font shall be bold.</w:t>
            </w:r>
          </w:p>
          <w:p w:rsidR="005F78FC" w:rsidRDefault="005F78FC">
            <w:pPr>
              <w:pStyle w:val="TableBodyText"/>
            </w:pPr>
          </w:p>
        </w:tc>
      </w:tr>
      <w:tr w:rsidR="005F78FC" w:rsidTr="005F78FC">
        <w:tc>
          <w:tcPr>
            <w:tcW w:w="0" w:type="auto"/>
            <w:vAlign w:val="center"/>
          </w:tcPr>
          <w:p w:rsidR="005F78FC" w:rsidRDefault="00B42EF3">
            <w:pPr>
              <w:pStyle w:val="TableBodyText"/>
            </w:pPr>
            <w:r>
              <w:t>4 (Classic 1)</w:t>
            </w:r>
          </w:p>
        </w:tc>
        <w:tc>
          <w:tcPr>
            <w:tcW w:w="0" w:type="auto"/>
            <w:vAlign w:val="center"/>
          </w:tcPr>
          <w:p w:rsidR="005F78FC" w:rsidRDefault="00B42EF3">
            <w:pPr>
              <w:pStyle w:val="TableBodyText"/>
            </w:pPr>
            <w:r>
              <w:t xml:space="preserve">The table shall have the </w:t>
            </w:r>
            <w:r>
              <w:t>following properties:</w:t>
            </w:r>
          </w:p>
          <w:p w:rsidR="005F78FC" w:rsidRDefault="00B42EF3">
            <w:pPr>
              <w:pStyle w:val="TableBodyText"/>
            </w:pPr>
            <w:r>
              <w:lastRenderedPageBreak/>
              <w:t>The top border shall be a 1 1/2 pt single line.</w:t>
            </w:r>
          </w:p>
          <w:p w:rsidR="005F78FC" w:rsidRDefault="00B42EF3">
            <w:pPr>
              <w:pStyle w:val="TableBodyText"/>
            </w:pPr>
            <w:r>
              <w:t>The bottom border shall be a 1 1/2 pt single line.</w:t>
            </w:r>
          </w:p>
          <w:p w:rsidR="005F78FC" w:rsidRDefault="00B42EF3">
            <w:pPr>
              <w:pStyle w:val="TableBodyText"/>
            </w:pPr>
            <w:r>
              <w:t>The top border color shall be black (000000).</w:t>
            </w:r>
          </w:p>
          <w:p w:rsidR="005F78FC" w:rsidRDefault="00B42EF3">
            <w:pPr>
              <w:pStyle w:val="TableBodyText"/>
            </w:pPr>
            <w:r>
              <w:t>The bottom border color shall be black (000000).</w:t>
            </w:r>
          </w:p>
          <w:p w:rsidR="005F78FC" w:rsidRDefault="00B42EF3">
            <w:pPr>
              <w:pStyle w:val="TableBodyText"/>
            </w:pPr>
            <w:r>
              <w:t>The vertical alignment shall be top.</w:t>
            </w:r>
          </w:p>
          <w:p w:rsidR="005F78FC" w:rsidRDefault="005F78FC">
            <w:pPr>
              <w:pStyle w:val="TableBodyText"/>
            </w:pPr>
          </w:p>
          <w:p w:rsidR="005F78FC" w:rsidRDefault="00B42EF3">
            <w:pPr>
              <w:pStyle w:val="TableBodyText"/>
            </w:pPr>
            <w:r>
              <w:t>The header rows shall have the following properties:</w:t>
            </w:r>
          </w:p>
          <w:p w:rsidR="005F78FC" w:rsidRDefault="00B42EF3">
            <w:pPr>
              <w:pStyle w:val="TableBodyText"/>
            </w:pPr>
            <w:r>
              <w:t>The bottom border shall be a 3/4 pt single line.</w:t>
            </w:r>
          </w:p>
          <w:p w:rsidR="005F78FC" w:rsidRDefault="00B42EF3">
            <w:pPr>
              <w:pStyle w:val="TableBodyText"/>
            </w:pPr>
            <w:r>
              <w:t>The bottom border color shall be black (000000).</w:t>
            </w:r>
          </w:p>
          <w:p w:rsidR="005F78FC" w:rsidRDefault="00B42EF3">
            <w:pPr>
              <w:pStyle w:val="TableBodyText"/>
            </w:pPr>
            <w:r>
              <w:t>The font shall be italic.</w:t>
            </w:r>
          </w:p>
          <w:p w:rsidR="005F78FC" w:rsidRDefault="005F78FC">
            <w:pPr>
              <w:pStyle w:val="TableBodyText"/>
            </w:pPr>
          </w:p>
          <w:p w:rsidR="005F78FC" w:rsidRDefault="00B42EF3">
            <w:pPr>
              <w:pStyle w:val="TableBodyText"/>
            </w:pPr>
            <w:r>
              <w:t>The last row shall have the following properties:</w:t>
            </w:r>
          </w:p>
          <w:p w:rsidR="005F78FC" w:rsidRDefault="00B42EF3">
            <w:pPr>
              <w:pStyle w:val="TableBodyText"/>
            </w:pPr>
            <w:r>
              <w:t>The top border shall be a 3/</w:t>
            </w:r>
            <w:r>
              <w:t>4 pt single line.</w:t>
            </w:r>
          </w:p>
          <w:p w:rsidR="005F78FC" w:rsidRDefault="00B42EF3">
            <w:pPr>
              <w:pStyle w:val="TableBodyText"/>
            </w:pPr>
            <w:r>
              <w:t>The top border color shall be black (000000).</w:t>
            </w:r>
          </w:p>
          <w:p w:rsidR="005F78FC" w:rsidRDefault="005F78FC">
            <w:pPr>
              <w:pStyle w:val="TableBodyText"/>
            </w:pPr>
          </w:p>
          <w:p w:rsidR="005F78FC" w:rsidRDefault="00B42EF3">
            <w:pPr>
              <w:pStyle w:val="TableBodyText"/>
            </w:pPr>
            <w:r>
              <w:t>The first column of the last row shall have the following properties:</w:t>
            </w:r>
          </w:p>
          <w:p w:rsidR="005F78FC" w:rsidRDefault="00B42EF3">
            <w:pPr>
              <w:pStyle w:val="TableBodyText"/>
            </w:pPr>
            <w:r>
              <w:t>The font shall be bold.</w:t>
            </w:r>
          </w:p>
          <w:p w:rsidR="005F78FC" w:rsidRDefault="005F78FC">
            <w:pPr>
              <w:pStyle w:val="TableBodyText"/>
            </w:pPr>
          </w:p>
          <w:p w:rsidR="005F78FC" w:rsidRDefault="00B42EF3">
            <w:pPr>
              <w:pStyle w:val="TableBodyText"/>
            </w:pPr>
            <w:r>
              <w:t>The first column shall have the following properties:</w:t>
            </w:r>
          </w:p>
          <w:p w:rsidR="005F78FC" w:rsidRDefault="00B42EF3">
            <w:pPr>
              <w:pStyle w:val="TableBodyText"/>
            </w:pPr>
            <w:r>
              <w:t xml:space="preserve">The right border shall be a 3/4 pt single </w:t>
            </w:r>
            <w:r>
              <w:t>line.</w:t>
            </w:r>
          </w:p>
          <w:p w:rsidR="005F78FC" w:rsidRDefault="00B42EF3">
            <w:pPr>
              <w:pStyle w:val="TableBodyText"/>
            </w:pPr>
            <w:r>
              <w:t>The right border color shall be black (000000).</w:t>
            </w:r>
          </w:p>
          <w:p w:rsidR="005F78FC" w:rsidRDefault="005F78FC">
            <w:pPr>
              <w:pStyle w:val="TableBodyText"/>
            </w:pPr>
          </w:p>
          <w:p w:rsidR="005F78FC" w:rsidRDefault="00B42EF3">
            <w:pPr>
              <w:pStyle w:val="TableBodyText"/>
            </w:pPr>
            <w:r>
              <w:t>The header rows of the last column shall have the following properties:</w:t>
            </w:r>
          </w:p>
          <w:p w:rsidR="005F78FC" w:rsidRDefault="00B42EF3">
            <w:pPr>
              <w:pStyle w:val="TableBodyText"/>
            </w:pPr>
            <w:r>
              <w:t>The font shall not be italic.</w:t>
            </w:r>
          </w:p>
          <w:p w:rsidR="005F78FC" w:rsidRDefault="00B42EF3">
            <w:pPr>
              <w:pStyle w:val="TableBodyText"/>
            </w:pPr>
            <w:r>
              <w:t>The font shall be bold.</w:t>
            </w:r>
          </w:p>
          <w:p w:rsidR="005F78FC" w:rsidRDefault="005F78FC">
            <w:pPr>
              <w:pStyle w:val="TableBodyText"/>
            </w:pPr>
          </w:p>
        </w:tc>
      </w:tr>
      <w:tr w:rsidR="005F78FC" w:rsidTr="005F78FC">
        <w:tc>
          <w:tcPr>
            <w:tcW w:w="0" w:type="auto"/>
            <w:vAlign w:val="center"/>
          </w:tcPr>
          <w:p w:rsidR="005F78FC" w:rsidRDefault="00B42EF3">
            <w:pPr>
              <w:pStyle w:val="TableBodyText"/>
            </w:pPr>
            <w:r>
              <w:lastRenderedPageBreak/>
              <w:t>5 (Classic 2)</w:t>
            </w:r>
          </w:p>
          <w:p w:rsidR="005F78FC" w:rsidRDefault="005F78FC">
            <w:pPr>
              <w:pStyle w:val="TableBodyText"/>
            </w:pPr>
          </w:p>
        </w:tc>
        <w:tc>
          <w:tcPr>
            <w:tcW w:w="0" w:type="auto"/>
            <w:vAlign w:val="center"/>
          </w:tcPr>
          <w:p w:rsidR="005F78FC" w:rsidRDefault="00B42EF3">
            <w:pPr>
              <w:pStyle w:val="TableBodyText"/>
            </w:pPr>
            <w:r>
              <w:t>The table shall have the following properties:</w:t>
            </w:r>
          </w:p>
          <w:p w:rsidR="005F78FC" w:rsidRDefault="00B42EF3">
            <w:pPr>
              <w:pStyle w:val="TableBodyText"/>
            </w:pPr>
            <w:r>
              <w:t>The top bor</w:t>
            </w:r>
            <w:r>
              <w:t>der shall be a 1 1/2 pt single line.</w:t>
            </w:r>
          </w:p>
          <w:p w:rsidR="005F78FC" w:rsidRDefault="00B42EF3">
            <w:pPr>
              <w:pStyle w:val="TableBodyText"/>
            </w:pPr>
            <w:r>
              <w:t>The bottom border shall be a 1 1/2 pt single line.</w:t>
            </w:r>
          </w:p>
          <w:p w:rsidR="005F78FC" w:rsidRDefault="00B42EF3">
            <w:pPr>
              <w:pStyle w:val="TableBodyText"/>
            </w:pPr>
            <w:r>
              <w:t>The top border color shall be black (000000).</w:t>
            </w:r>
          </w:p>
          <w:p w:rsidR="005F78FC" w:rsidRDefault="00B42EF3">
            <w:pPr>
              <w:pStyle w:val="TableBodyText"/>
            </w:pPr>
            <w:r>
              <w:t>The bottom border color shall be black (000000).</w:t>
            </w:r>
          </w:p>
          <w:p w:rsidR="005F78FC" w:rsidRDefault="00B42EF3">
            <w:pPr>
              <w:pStyle w:val="TableBodyText"/>
            </w:pPr>
            <w:r>
              <w:t>The vertical alignment shall be top.</w:t>
            </w:r>
          </w:p>
          <w:p w:rsidR="005F78FC" w:rsidRDefault="005F78FC">
            <w:pPr>
              <w:pStyle w:val="TableBodyText"/>
            </w:pPr>
          </w:p>
          <w:p w:rsidR="005F78FC" w:rsidRDefault="00B42EF3">
            <w:pPr>
              <w:pStyle w:val="TableBodyText"/>
            </w:pPr>
            <w:r>
              <w:t>The header rows shall have the foll</w:t>
            </w:r>
            <w:r>
              <w:t>owing properties:</w:t>
            </w:r>
          </w:p>
          <w:p w:rsidR="005F78FC" w:rsidRDefault="00B42EF3">
            <w:pPr>
              <w:pStyle w:val="TableBodyText"/>
            </w:pPr>
            <w:r>
              <w:t>The bottom border shall be a 3/4 pt single line.</w:t>
            </w:r>
          </w:p>
          <w:p w:rsidR="005F78FC" w:rsidRDefault="00B42EF3">
            <w:pPr>
              <w:pStyle w:val="TableBodyText"/>
            </w:pPr>
            <w:r>
              <w:t>The bottom border color shall be black (000000).</w:t>
            </w:r>
          </w:p>
          <w:p w:rsidR="005F78FC" w:rsidRDefault="00B42EF3">
            <w:pPr>
              <w:pStyle w:val="TableBodyText"/>
            </w:pPr>
            <w:r>
              <w:t>The foreground shading color shall be dark magenta (CC00CC).</w:t>
            </w:r>
          </w:p>
          <w:p w:rsidR="005F78FC" w:rsidRDefault="00B42EF3">
            <w:pPr>
              <w:pStyle w:val="TableBodyText"/>
            </w:pPr>
            <w:r>
              <w:t>The background shading shall be white (FFFFFF).</w:t>
            </w:r>
          </w:p>
          <w:p w:rsidR="005F78FC" w:rsidRDefault="00B42EF3">
            <w:pPr>
              <w:pStyle w:val="TableBodyText"/>
            </w:pPr>
            <w:r>
              <w:t xml:space="preserve">The shading pattern shall be </w:t>
            </w:r>
            <w:r>
              <w:t>solid.</w:t>
            </w:r>
          </w:p>
          <w:p w:rsidR="005F78FC" w:rsidRDefault="00B42EF3">
            <w:pPr>
              <w:pStyle w:val="TableBodyText"/>
            </w:pPr>
            <w:r>
              <w:t>The font color shall be white (FFFFFF).</w:t>
            </w:r>
          </w:p>
          <w:p w:rsidR="005F78FC" w:rsidRDefault="005F78FC">
            <w:pPr>
              <w:pStyle w:val="TableBodyText"/>
            </w:pPr>
          </w:p>
          <w:p w:rsidR="005F78FC" w:rsidRDefault="00B42EF3">
            <w:pPr>
              <w:pStyle w:val="TableBodyText"/>
            </w:pPr>
            <w:r>
              <w:t>The last row shall have the following properties:</w:t>
            </w:r>
          </w:p>
          <w:p w:rsidR="005F78FC" w:rsidRDefault="00B42EF3">
            <w:pPr>
              <w:pStyle w:val="TableBodyText"/>
            </w:pPr>
            <w:r>
              <w:t>The top border shall be a 3/4 pt single line.</w:t>
            </w:r>
          </w:p>
          <w:p w:rsidR="005F78FC" w:rsidRDefault="00B42EF3">
            <w:pPr>
              <w:pStyle w:val="TableBodyText"/>
            </w:pPr>
            <w:r>
              <w:t>The top border color shall be black (000000).</w:t>
            </w:r>
          </w:p>
          <w:p w:rsidR="005F78FC" w:rsidRDefault="005F78FC">
            <w:pPr>
              <w:pStyle w:val="TableBodyText"/>
            </w:pPr>
          </w:p>
          <w:p w:rsidR="005F78FC" w:rsidRDefault="00B42EF3">
            <w:pPr>
              <w:pStyle w:val="TableBodyText"/>
            </w:pPr>
            <w:r>
              <w:t>The first column of the last row shall have the following propert</w:t>
            </w:r>
            <w:r>
              <w:t>ies:</w:t>
            </w:r>
          </w:p>
          <w:p w:rsidR="005F78FC" w:rsidRDefault="00B42EF3">
            <w:pPr>
              <w:pStyle w:val="TableBodyText"/>
            </w:pPr>
            <w:r>
              <w:t>The font color shall be dark blue (0000CC).</w:t>
            </w:r>
          </w:p>
          <w:p w:rsidR="005F78FC" w:rsidRDefault="005F78FC">
            <w:pPr>
              <w:pStyle w:val="TableBodyText"/>
            </w:pPr>
          </w:p>
          <w:p w:rsidR="005F78FC" w:rsidRDefault="00B42EF3">
            <w:pPr>
              <w:pStyle w:val="TableBodyText"/>
            </w:pPr>
            <w:r>
              <w:t>The first column shall have the following properties:</w:t>
            </w:r>
          </w:p>
          <w:p w:rsidR="005F78FC" w:rsidRDefault="00B42EF3">
            <w:pPr>
              <w:pStyle w:val="TableBodyText"/>
            </w:pPr>
            <w:r>
              <w:t>The foreground shading color shall be dark gray (C0C0C0).</w:t>
            </w:r>
          </w:p>
          <w:p w:rsidR="005F78FC" w:rsidRDefault="00B42EF3">
            <w:pPr>
              <w:pStyle w:val="TableBodyText"/>
            </w:pPr>
            <w:r>
              <w:t>The background shading shall be white (FFFFFF).</w:t>
            </w:r>
          </w:p>
          <w:p w:rsidR="005F78FC" w:rsidRDefault="00B42EF3">
            <w:pPr>
              <w:pStyle w:val="TableBodyText"/>
            </w:pPr>
            <w:r>
              <w:t>The shading pattern shall be solid.</w:t>
            </w:r>
          </w:p>
          <w:p w:rsidR="005F78FC" w:rsidRDefault="00B42EF3">
            <w:pPr>
              <w:pStyle w:val="TableBodyText"/>
            </w:pPr>
            <w:r>
              <w:t>The font s</w:t>
            </w:r>
            <w:r>
              <w:t>hall be bold.</w:t>
            </w:r>
          </w:p>
          <w:p w:rsidR="005F78FC" w:rsidRDefault="005F78FC">
            <w:pPr>
              <w:pStyle w:val="TableBodyText"/>
            </w:pPr>
          </w:p>
          <w:p w:rsidR="005F78FC" w:rsidRDefault="00B42EF3">
            <w:pPr>
              <w:pStyle w:val="TableBodyText"/>
            </w:pPr>
            <w:r>
              <w:t>The first column of header rows shall have the following properties:</w:t>
            </w:r>
          </w:p>
          <w:p w:rsidR="005F78FC" w:rsidRDefault="00B42EF3">
            <w:pPr>
              <w:pStyle w:val="TableBodyText"/>
            </w:pPr>
            <w:r>
              <w:t>The foreground shading color shall be dark magenta (CC00CC).</w:t>
            </w:r>
          </w:p>
          <w:p w:rsidR="005F78FC" w:rsidRDefault="00B42EF3">
            <w:pPr>
              <w:pStyle w:val="TableBodyText"/>
            </w:pPr>
            <w:r>
              <w:t>The background shading shall be white (FFFFFF).</w:t>
            </w:r>
          </w:p>
          <w:p w:rsidR="005F78FC" w:rsidRDefault="00B42EF3">
            <w:pPr>
              <w:pStyle w:val="TableBodyText"/>
            </w:pPr>
            <w:r>
              <w:t>The shading pattern shall be solid.</w:t>
            </w:r>
          </w:p>
          <w:p w:rsidR="005F78FC" w:rsidRDefault="005F78FC">
            <w:pPr>
              <w:pStyle w:val="TableBodyText"/>
            </w:pPr>
          </w:p>
          <w:p w:rsidR="005F78FC" w:rsidRDefault="00B42EF3">
            <w:pPr>
              <w:pStyle w:val="TableBodyText"/>
            </w:pPr>
            <w:r>
              <w:t>The header rows of the las</w:t>
            </w:r>
            <w:r>
              <w:t>t column shall have the following properties:</w:t>
            </w:r>
          </w:p>
          <w:p w:rsidR="005F78FC" w:rsidRDefault="00B42EF3">
            <w:pPr>
              <w:pStyle w:val="TableBodyText"/>
            </w:pPr>
            <w:r>
              <w:t>The font shall be bold.</w:t>
            </w:r>
          </w:p>
          <w:p w:rsidR="005F78FC" w:rsidRDefault="005F78FC">
            <w:pPr>
              <w:pStyle w:val="TableBodyText"/>
            </w:pPr>
          </w:p>
        </w:tc>
      </w:tr>
      <w:tr w:rsidR="005F78FC" w:rsidTr="005F78FC">
        <w:tc>
          <w:tcPr>
            <w:tcW w:w="0" w:type="auto"/>
            <w:vAlign w:val="center"/>
          </w:tcPr>
          <w:p w:rsidR="005F78FC" w:rsidRDefault="00B42EF3">
            <w:pPr>
              <w:pStyle w:val="TableBodyText"/>
            </w:pPr>
            <w:r>
              <w:lastRenderedPageBreak/>
              <w:t>6 (Classic 3)</w:t>
            </w:r>
          </w:p>
          <w:p w:rsidR="005F78FC" w:rsidRDefault="005F78FC">
            <w:pPr>
              <w:pStyle w:val="TableBodyText"/>
            </w:pPr>
          </w:p>
        </w:tc>
        <w:tc>
          <w:tcPr>
            <w:tcW w:w="0" w:type="auto"/>
            <w:vAlign w:val="center"/>
          </w:tcPr>
          <w:p w:rsidR="005F78FC" w:rsidRDefault="00B42EF3">
            <w:pPr>
              <w:pStyle w:val="TableBodyText"/>
            </w:pPr>
            <w:r>
              <w:t>The table shall have the following properties:</w:t>
            </w:r>
          </w:p>
          <w:p w:rsidR="005F78FC" w:rsidRDefault="00B42EF3">
            <w:pPr>
              <w:pStyle w:val="TableBodyText"/>
            </w:pPr>
            <w:r>
              <w:t>The top border shall be a 1 1/2 pt single line.</w:t>
            </w:r>
          </w:p>
          <w:p w:rsidR="005F78FC" w:rsidRDefault="00B42EF3">
            <w:pPr>
              <w:pStyle w:val="TableBodyText"/>
            </w:pPr>
            <w:r>
              <w:t>The left border shall be a 1 1/2 pt single line.</w:t>
            </w:r>
          </w:p>
          <w:p w:rsidR="005F78FC" w:rsidRDefault="00B42EF3">
            <w:pPr>
              <w:pStyle w:val="TableBodyText"/>
            </w:pPr>
            <w:r>
              <w:t xml:space="preserve">The bottom border shall </w:t>
            </w:r>
            <w:r>
              <w:t>be a 1 1/2 pt single line.</w:t>
            </w:r>
          </w:p>
          <w:p w:rsidR="005F78FC" w:rsidRDefault="00B42EF3">
            <w:pPr>
              <w:pStyle w:val="TableBodyText"/>
            </w:pPr>
            <w:r>
              <w:t>The right border shall be a 1 1/2 pt single line.</w:t>
            </w:r>
          </w:p>
          <w:p w:rsidR="005F78FC" w:rsidRDefault="00B42EF3">
            <w:pPr>
              <w:pStyle w:val="TableBodyText"/>
            </w:pPr>
            <w:r>
              <w:t>The top border color shall be black (000000).</w:t>
            </w:r>
          </w:p>
          <w:p w:rsidR="005F78FC" w:rsidRDefault="00B42EF3">
            <w:pPr>
              <w:pStyle w:val="TableBodyText"/>
            </w:pPr>
            <w:r>
              <w:t>The left border color shall be black (000000).</w:t>
            </w:r>
          </w:p>
          <w:p w:rsidR="005F78FC" w:rsidRDefault="00B42EF3">
            <w:pPr>
              <w:pStyle w:val="TableBodyText"/>
            </w:pPr>
            <w:r>
              <w:t>The bottom border color shall be black (000000).</w:t>
            </w:r>
          </w:p>
          <w:p w:rsidR="005F78FC" w:rsidRDefault="00B42EF3">
            <w:pPr>
              <w:pStyle w:val="TableBodyText"/>
            </w:pPr>
            <w:r>
              <w:t>The right border color shall be black</w:t>
            </w:r>
            <w:r>
              <w:t xml:space="preserve"> (000000).</w:t>
            </w:r>
          </w:p>
          <w:p w:rsidR="005F78FC" w:rsidRDefault="00B42EF3">
            <w:pPr>
              <w:pStyle w:val="TableBodyText"/>
            </w:pPr>
            <w:r>
              <w:t>The vertical alignment shall be top.</w:t>
            </w:r>
          </w:p>
          <w:p w:rsidR="005F78FC" w:rsidRDefault="005F78FC">
            <w:pPr>
              <w:pStyle w:val="TableBodyText"/>
            </w:pPr>
          </w:p>
          <w:p w:rsidR="005F78FC" w:rsidRDefault="00B42EF3">
            <w:pPr>
              <w:pStyle w:val="TableBodyText"/>
            </w:pPr>
            <w:r>
              <w:t>The table data shall have the following properties:</w:t>
            </w:r>
          </w:p>
          <w:p w:rsidR="005F78FC" w:rsidRDefault="00B42EF3">
            <w:pPr>
              <w:pStyle w:val="TableBodyText"/>
            </w:pPr>
            <w:r>
              <w:t>The foreground shading color shall be dark gray (C0C0C0).</w:t>
            </w:r>
          </w:p>
          <w:p w:rsidR="005F78FC" w:rsidRDefault="00B42EF3">
            <w:pPr>
              <w:pStyle w:val="TableBodyText"/>
            </w:pPr>
            <w:r>
              <w:t>The background shading shall be white (FFFFFF).</w:t>
            </w:r>
          </w:p>
          <w:p w:rsidR="005F78FC" w:rsidRDefault="00B42EF3">
            <w:pPr>
              <w:pStyle w:val="TableBodyText"/>
            </w:pPr>
            <w:r>
              <w:t>The shading pattern shall be solid.</w:t>
            </w:r>
          </w:p>
          <w:p w:rsidR="005F78FC" w:rsidRDefault="00B42EF3">
            <w:pPr>
              <w:pStyle w:val="TableBodyText"/>
            </w:pPr>
            <w:r>
              <w:t>The font colo</w:t>
            </w:r>
            <w:r>
              <w:t>r shall be dark blue (0000CC).</w:t>
            </w:r>
          </w:p>
          <w:p w:rsidR="005F78FC" w:rsidRDefault="005F78FC">
            <w:pPr>
              <w:pStyle w:val="TableBodyText"/>
            </w:pPr>
          </w:p>
          <w:p w:rsidR="005F78FC" w:rsidRDefault="00B42EF3">
            <w:pPr>
              <w:pStyle w:val="TableBodyText"/>
            </w:pPr>
            <w:r>
              <w:t>The header rows shall have the following properties:</w:t>
            </w:r>
          </w:p>
          <w:p w:rsidR="005F78FC" w:rsidRDefault="00B42EF3">
            <w:pPr>
              <w:pStyle w:val="TableBodyText"/>
            </w:pPr>
            <w:r>
              <w:t>The bottom border shall be a 3/4 pt single line.</w:t>
            </w:r>
          </w:p>
          <w:p w:rsidR="005F78FC" w:rsidRDefault="00B42EF3">
            <w:pPr>
              <w:pStyle w:val="TableBodyText"/>
            </w:pPr>
            <w:r>
              <w:t>The bottom border color shall be black (000000).</w:t>
            </w:r>
          </w:p>
          <w:p w:rsidR="005F78FC" w:rsidRDefault="00B42EF3">
            <w:pPr>
              <w:pStyle w:val="TableBodyText"/>
            </w:pPr>
            <w:r>
              <w:t>The foreground shading color shall be dark blue (0000CC).</w:t>
            </w:r>
          </w:p>
          <w:p w:rsidR="005F78FC" w:rsidRDefault="00B42EF3">
            <w:pPr>
              <w:pStyle w:val="TableBodyText"/>
            </w:pPr>
            <w:r>
              <w:t xml:space="preserve">The background </w:t>
            </w:r>
            <w:r>
              <w:t>shading shall be white (FFFFFF).</w:t>
            </w:r>
          </w:p>
          <w:p w:rsidR="005F78FC" w:rsidRDefault="00B42EF3">
            <w:pPr>
              <w:pStyle w:val="TableBodyText"/>
            </w:pPr>
            <w:r>
              <w:t>The shading pattern shall be solid.</w:t>
            </w:r>
          </w:p>
          <w:p w:rsidR="005F78FC" w:rsidRDefault="00B42EF3">
            <w:pPr>
              <w:pStyle w:val="TableBodyText"/>
            </w:pPr>
            <w:r>
              <w:t>The font color shall be white (FFFFFF).</w:t>
            </w:r>
          </w:p>
          <w:p w:rsidR="005F78FC" w:rsidRDefault="00B42EF3">
            <w:pPr>
              <w:pStyle w:val="TableBodyText"/>
            </w:pPr>
            <w:r>
              <w:t>The font shall be bold.</w:t>
            </w:r>
          </w:p>
          <w:p w:rsidR="005F78FC" w:rsidRDefault="00B42EF3">
            <w:pPr>
              <w:pStyle w:val="TableBodyText"/>
            </w:pPr>
            <w:r>
              <w:t>The font shall be italic.</w:t>
            </w:r>
          </w:p>
          <w:p w:rsidR="005F78FC" w:rsidRDefault="005F78FC">
            <w:pPr>
              <w:pStyle w:val="TableBodyText"/>
            </w:pPr>
          </w:p>
          <w:p w:rsidR="005F78FC" w:rsidRDefault="00B42EF3">
            <w:pPr>
              <w:pStyle w:val="TableBodyText"/>
            </w:pPr>
            <w:r>
              <w:t>The last row shall have the following properties:</w:t>
            </w:r>
          </w:p>
          <w:p w:rsidR="005F78FC" w:rsidRDefault="00B42EF3">
            <w:pPr>
              <w:pStyle w:val="TableBodyText"/>
            </w:pPr>
            <w:r>
              <w:t>The top border shall be a 1 1/2 pt single line</w:t>
            </w:r>
            <w:r>
              <w:t>.</w:t>
            </w:r>
          </w:p>
          <w:p w:rsidR="005F78FC" w:rsidRDefault="00B42EF3">
            <w:pPr>
              <w:pStyle w:val="TableBodyText"/>
            </w:pPr>
            <w:r>
              <w:t>The top border color shall be black (000000).</w:t>
            </w:r>
          </w:p>
          <w:p w:rsidR="005F78FC" w:rsidRDefault="00B42EF3">
            <w:pPr>
              <w:pStyle w:val="TableBodyText"/>
            </w:pPr>
            <w:r>
              <w:t>The foreground shading color shall be white (FFFFFF).</w:t>
            </w:r>
          </w:p>
          <w:p w:rsidR="005F78FC" w:rsidRDefault="00B42EF3">
            <w:pPr>
              <w:pStyle w:val="TableBodyText"/>
            </w:pPr>
            <w:r>
              <w:t>The background shading shall be white (FFFFFF).</w:t>
            </w:r>
          </w:p>
          <w:p w:rsidR="005F78FC" w:rsidRDefault="00B42EF3">
            <w:pPr>
              <w:pStyle w:val="TableBodyText"/>
            </w:pPr>
            <w:r>
              <w:lastRenderedPageBreak/>
              <w:t>The shading pattern shall be solid.</w:t>
            </w:r>
          </w:p>
          <w:p w:rsidR="005F78FC" w:rsidRDefault="00B42EF3">
            <w:pPr>
              <w:pStyle w:val="TableBodyText"/>
            </w:pPr>
            <w:r>
              <w:t>The font color shall be dark blue (0000CC).</w:t>
            </w:r>
          </w:p>
          <w:p w:rsidR="005F78FC" w:rsidRDefault="005F78FC">
            <w:pPr>
              <w:pStyle w:val="TableBodyText"/>
            </w:pPr>
          </w:p>
          <w:p w:rsidR="005F78FC" w:rsidRDefault="00B42EF3">
            <w:pPr>
              <w:pStyle w:val="TableBodyText"/>
            </w:pPr>
            <w:r>
              <w:t>The first column shall ha</w:t>
            </w:r>
            <w:r>
              <w:t>ve the following properties:</w:t>
            </w:r>
          </w:p>
          <w:p w:rsidR="005F78FC" w:rsidRDefault="00B42EF3">
            <w:pPr>
              <w:pStyle w:val="TableBodyText"/>
            </w:pPr>
            <w:r>
              <w:t>The font color shall be black (000000).</w:t>
            </w:r>
          </w:p>
          <w:p w:rsidR="005F78FC" w:rsidRDefault="00B42EF3">
            <w:pPr>
              <w:pStyle w:val="TableBodyText"/>
            </w:pPr>
            <w:r>
              <w:t>The font shall be bold.</w:t>
            </w:r>
          </w:p>
          <w:p w:rsidR="005F78FC" w:rsidRDefault="005F78FC">
            <w:pPr>
              <w:pStyle w:val="TableBodyText"/>
            </w:pPr>
          </w:p>
          <w:p w:rsidR="005F78FC" w:rsidRDefault="00B42EF3">
            <w:pPr>
              <w:pStyle w:val="TableBodyText"/>
            </w:pPr>
            <w:r>
              <w:t>The first column of the header row shall have the following properties:</w:t>
            </w:r>
          </w:p>
          <w:p w:rsidR="005F78FC" w:rsidRDefault="00B42EF3">
            <w:pPr>
              <w:pStyle w:val="TableBodyText"/>
            </w:pPr>
            <w:r>
              <w:t>The font color shall be black (000000).</w:t>
            </w:r>
          </w:p>
          <w:p w:rsidR="005F78FC" w:rsidRDefault="00B42EF3">
            <w:pPr>
              <w:pStyle w:val="TableBodyText"/>
            </w:pPr>
            <w:r>
              <w:t>The font shall be bold.</w:t>
            </w:r>
          </w:p>
          <w:p w:rsidR="005F78FC" w:rsidRDefault="00B42EF3">
            <w:pPr>
              <w:pStyle w:val="TableBodyText"/>
            </w:pPr>
            <w:r>
              <w:t>The font shall be italic.</w:t>
            </w:r>
          </w:p>
        </w:tc>
      </w:tr>
      <w:tr w:rsidR="005F78FC" w:rsidTr="005F78FC">
        <w:tc>
          <w:tcPr>
            <w:tcW w:w="0" w:type="auto"/>
            <w:vAlign w:val="center"/>
          </w:tcPr>
          <w:p w:rsidR="005F78FC" w:rsidRDefault="00B42EF3">
            <w:pPr>
              <w:pStyle w:val="TableBodyText"/>
            </w:pPr>
            <w:r>
              <w:lastRenderedPageBreak/>
              <w:t>7 (Classic 4)</w:t>
            </w:r>
          </w:p>
          <w:p w:rsidR="005F78FC" w:rsidRDefault="005F78FC">
            <w:pPr>
              <w:pStyle w:val="TableBodyText"/>
            </w:pPr>
          </w:p>
        </w:tc>
        <w:tc>
          <w:tcPr>
            <w:tcW w:w="0" w:type="auto"/>
            <w:vAlign w:val="center"/>
          </w:tcPr>
          <w:p w:rsidR="005F78FC" w:rsidRDefault="00B42EF3">
            <w:pPr>
              <w:pStyle w:val="TableBodyText"/>
            </w:pPr>
            <w:r>
              <w:t>The table shall have the following properties:</w:t>
            </w:r>
          </w:p>
          <w:p w:rsidR="005F78FC" w:rsidRDefault="00B42EF3">
            <w:pPr>
              <w:pStyle w:val="TableBodyText"/>
            </w:pPr>
            <w:r>
              <w:t>The top border shall be a 1 1/2 pt single line.</w:t>
            </w:r>
          </w:p>
          <w:p w:rsidR="005F78FC" w:rsidRDefault="00B42EF3">
            <w:pPr>
              <w:pStyle w:val="TableBodyText"/>
            </w:pPr>
            <w:r>
              <w:t>The left border shall be a 3/4 pt single line.</w:t>
            </w:r>
          </w:p>
          <w:p w:rsidR="005F78FC" w:rsidRDefault="00B42EF3">
            <w:pPr>
              <w:pStyle w:val="TableBodyText"/>
            </w:pPr>
            <w:r>
              <w:t>The bottom border shall be a 1 1/2 pt single line.</w:t>
            </w:r>
          </w:p>
          <w:p w:rsidR="005F78FC" w:rsidRDefault="00B42EF3">
            <w:pPr>
              <w:pStyle w:val="TableBodyText"/>
            </w:pPr>
            <w:r>
              <w:t>The right border shall be a 3/4 pt single line.</w:t>
            </w:r>
          </w:p>
          <w:p w:rsidR="005F78FC" w:rsidRDefault="00B42EF3">
            <w:pPr>
              <w:pStyle w:val="TableBodyText"/>
            </w:pPr>
            <w:r>
              <w:t>The top border color shall be black (000000).</w:t>
            </w:r>
          </w:p>
          <w:p w:rsidR="005F78FC" w:rsidRDefault="00B42EF3">
            <w:pPr>
              <w:pStyle w:val="TableBodyText"/>
            </w:pPr>
            <w:r>
              <w:t>The left border color shall be black (000000).</w:t>
            </w:r>
          </w:p>
          <w:p w:rsidR="005F78FC" w:rsidRDefault="00B42EF3">
            <w:pPr>
              <w:pStyle w:val="TableBodyText"/>
            </w:pPr>
            <w:r>
              <w:t>The bottom border color shall be black (000000).</w:t>
            </w:r>
          </w:p>
          <w:p w:rsidR="005F78FC" w:rsidRDefault="00B42EF3">
            <w:pPr>
              <w:pStyle w:val="TableBodyText"/>
            </w:pPr>
            <w:r>
              <w:t>The right border color shall be black (000000).</w:t>
            </w:r>
          </w:p>
          <w:p w:rsidR="005F78FC" w:rsidRDefault="00B42EF3">
            <w:pPr>
              <w:pStyle w:val="TableBodyText"/>
            </w:pPr>
            <w:r>
              <w:t>The vertical alignment shall be top.</w:t>
            </w:r>
          </w:p>
          <w:p w:rsidR="005F78FC" w:rsidRDefault="005F78FC">
            <w:pPr>
              <w:pStyle w:val="TableBodyText"/>
            </w:pPr>
          </w:p>
          <w:p w:rsidR="005F78FC" w:rsidRDefault="00B42EF3">
            <w:pPr>
              <w:pStyle w:val="TableBodyText"/>
            </w:pPr>
            <w:r>
              <w:t xml:space="preserve">The header rows shall have </w:t>
            </w:r>
            <w:r>
              <w:t>the following properties:</w:t>
            </w:r>
          </w:p>
          <w:p w:rsidR="005F78FC" w:rsidRDefault="00B42EF3">
            <w:pPr>
              <w:pStyle w:val="TableBodyText"/>
            </w:pPr>
            <w:r>
              <w:t>The bottom border shall be a 3/4 pt single line.</w:t>
            </w:r>
          </w:p>
          <w:p w:rsidR="005F78FC" w:rsidRDefault="00B42EF3">
            <w:pPr>
              <w:pStyle w:val="TableBodyText"/>
            </w:pPr>
            <w:r>
              <w:t>The bottom border color shall be black (000000).</w:t>
            </w:r>
          </w:p>
          <w:p w:rsidR="005F78FC" w:rsidRDefault="00B42EF3">
            <w:pPr>
              <w:pStyle w:val="TableBodyText"/>
            </w:pPr>
            <w:r>
              <w:t>The foreground shading color shall be dark blue (0000CC).</w:t>
            </w:r>
          </w:p>
          <w:p w:rsidR="005F78FC" w:rsidRDefault="00B42EF3">
            <w:pPr>
              <w:pStyle w:val="TableBodyText"/>
            </w:pPr>
            <w:r>
              <w:t>The background shading shall be white (FFFFFF).</w:t>
            </w:r>
          </w:p>
          <w:p w:rsidR="005F78FC" w:rsidRDefault="00B42EF3">
            <w:pPr>
              <w:pStyle w:val="TableBodyText"/>
            </w:pPr>
            <w:r>
              <w:t xml:space="preserve">The shading pattern shall </w:t>
            </w:r>
            <w:r>
              <w:t>be pct50.</w:t>
            </w:r>
          </w:p>
          <w:p w:rsidR="005F78FC" w:rsidRDefault="00B42EF3">
            <w:pPr>
              <w:pStyle w:val="TableBodyText"/>
            </w:pPr>
            <w:r>
              <w:t>The font color shall be white (FFFFFF).</w:t>
            </w:r>
          </w:p>
          <w:p w:rsidR="005F78FC" w:rsidRDefault="00B42EF3">
            <w:pPr>
              <w:pStyle w:val="TableBodyText"/>
            </w:pPr>
            <w:r>
              <w:t>The font shall be bold.</w:t>
            </w:r>
          </w:p>
          <w:p w:rsidR="005F78FC" w:rsidRDefault="00B42EF3">
            <w:pPr>
              <w:pStyle w:val="TableBodyText"/>
            </w:pPr>
            <w:r>
              <w:t>The font shall be italic.</w:t>
            </w:r>
          </w:p>
          <w:p w:rsidR="005F78FC" w:rsidRDefault="005F78FC">
            <w:pPr>
              <w:pStyle w:val="TableBodyText"/>
            </w:pPr>
          </w:p>
          <w:p w:rsidR="005F78FC" w:rsidRDefault="00B42EF3">
            <w:pPr>
              <w:pStyle w:val="TableBodyText"/>
            </w:pPr>
            <w:r>
              <w:t>The last row shall have the following properties:</w:t>
            </w:r>
          </w:p>
          <w:p w:rsidR="005F78FC" w:rsidRDefault="00B42EF3">
            <w:pPr>
              <w:pStyle w:val="TableBodyText"/>
            </w:pPr>
            <w:r>
              <w:t>The bottom border shall be a 3/4 pt single line.</w:t>
            </w:r>
          </w:p>
          <w:p w:rsidR="005F78FC" w:rsidRDefault="00B42EF3">
            <w:pPr>
              <w:pStyle w:val="TableBodyText"/>
            </w:pPr>
            <w:r>
              <w:t>The bottom border color shall be black (000000).</w:t>
            </w:r>
          </w:p>
          <w:p w:rsidR="005F78FC" w:rsidRDefault="00B42EF3">
            <w:pPr>
              <w:pStyle w:val="TableBodyText"/>
            </w:pPr>
            <w:r>
              <w:t>The for</w:t>
            </w:r>
            <w:r>
              <w:t>eground shading color shall be black (000000).</w:t>
            </w:r>
          </w:p>
          <w:p w:rsidR="005F78FC" w:rsidRDefault="00B42EF3">
            <w:pPr>
              <w:pStyle w:val="TableBodyText"/>
            </w:pPr>
            <w:r>
              <w:t>The background shading shall be white (FFFFFF).</w:t>
            </w:r>
          </w:p>
          <w:p w:rsidR="005F78FC" w:rsidRDefault="00B42EF3">
            <w:pPr>
              <w:pStyle w:val="TableBodyText"/>
            </w:pPr>
            <w:r>
              <w:t>The shading pattern shall be pct50.</w:t>
            </w:r>
          </w:p>
          <w:p w:rsidR="005F78FC" w:rsidRDefault="00B42EF3">
            <w:pPr>
              <w:pStyle w:val="TableBodyText"/>
            </w:pPr>
            <w:r>
              <w:t>The font color shall be dark blue (0000CC).</w:t>
            </w:r>
          </w:p>
          <w:p w:rsidR="005F78FC" w:rsidRDefault="005F78FC">
            <w:pPr>
              <w:pStyle w:val="TableBodyText"/>
            </w:pPr>
          </w:p>
          <w:p w:rsidR="005F78FC" w:rsidRDefault="00B42EF3">
            <w:pPr>
              <w:pStyle w:val="TableBodyText"/>
            </w:pPr>
            <w:r>
              <w:t>The first column shall have the following properties:</w:t>
            </w:r>
          </w:p>
          <w:p w:rsidR="005F78FC" w:rsidRDefault="00B42EF3">
            <w:pPr>
              <w:pStyle w:val="TableBodyText"/>
            </w:pPr>
            <w:r>
              <w:t>The font shall be bold.</w:t>
            </w:r>
          </w:p>
          <w:p w:rsidR="005F78FC" w:rsidRDefault="005F78FC">
            <w:pPr>
              <w:pStyle w:val="TableBodyText"/>
            </w:pPr>
          </w:p>
        </w:tc>
      </w:tr>
      <w:tr w:rsidR="005F78FC" w:rsidTr="005F78FC">
        <w:tc>
          <w:tcPr>
            <w:tcW w:w="0" w:type="auto"/>
            <w:vAlign w:val="center"/>
          </w:tcPr>
          <w:p w:rsidR="005F78FC" w:rsidRDefault="00B42EF3">
            <w:pPr>
              <w:pStyle w:val="TableBodyText"/>
            </w:pPr>
            <w:r>
              <w:t>8 (Colorful 1)</w:t>
            </w:r>
          </w:p>
          <w:p w:rsidR="005F78FC" w:rsidRDefault="005F78FC">
            <w:pPr>
              <w:pStyle w:val="TableBodyText"/>
            </w:pPr>
          </w:p>
        </w:tc>
        <w:tc>
          <w:tcPr>
            <w:tcW w:w="0" w:type="auto"/>
            <w:vAlign w:val="center"/>
          </w:tcPr>
          <w:p w:rsidR="005F78FC" w:rsidRDefault="00B42EF3">
            <w:pPr>
              <w:pStyle w:val="TableBodyText"/>
            </w:pPr>
            <w:r>
              <w:t>The table shall have the following properties:</w:t>
            </w:r>
          </w:p>
          <w:p w:rsidR="005F78FC" w:rsidRDefault="00B42EF3">
            <w:pPr>
              <w:pStyle w:val="TableBodyText"/>
            </w:pPr>
            <w:r>
              <w:t>The top border shall be a 1 1/2 pt single line.</w:t>
            </w:r>
          </w:p>
          <w:p w:rsidR="005F78FC" w:rsidRDefault="00B42EF3">
            <w:pPr>
              <w:pStyle w:val="TableBodyText"/>
            </w:pPr>
            <w:r>
              <w:t>The left border shall be a 1 1/2 pt single line.</w:t>
            </w:r>
          </w:p>
          <w:p w:rsidR="005F78FC" w:rsidRDefault="00B42EF3">
            <w:pPr>
              <w:pStyle w:val="TableBodyText"/>
            </w:pPr>
            <w:r>
              <w:t>The bottom border shall be a 1 1/2 pt single line.</w:t>
            </w:r>
          </w:p>
          <w:p w:rsidR="005F78FC" w:rsidRDefault="00B42EF3">
            <w:pPr>
              <w:pStyle w:val="TableBodyText"/>
            </w:pPr>
            <w:r>
              <w:lastRenderedPageBreak/>
              <w:t>The right border shall be a 1 1/2 pt single l</w:t>
            </w:r>
            <w:r>
              <w:t>ine.</w:t>
            </w:r>
          </w:p>
          <w:p w:rsidR="005F78FC" w:rsidRDefault="00B42EF3">
            <w:pPr>
              <w:pStyle w:val="TableBodyText"/>
            </w:pPr>
            <w:r>
              <w:t>The top border color shall be dark cyan (00CCCC).</w:t>
            </w:r>
          </w:p>
          <w:p w:rsidR="005F78FC" w:rsidRDefault="00B42EF3">
            <w:pPr>
              <w:pStyle w:val="TableBodyText"/>
            </w:pPr>
            <w:r>
              <w:t>The left border color shall be dark cyan (00CCCC).</w:t>
            </w:r>
          </w:p>
          <w:p w:rsidR="005F78FC" w:rsidRDefault="00B42EF3">
            <w:pPr>
              <w:pStyle w:val="TableBodyText"/>
            </w:pPr>
            <w:r>
              <w:t>The bottom border color shall be dark cyan (00CCCC).</w:t>
            </w:r>
          </w:p>
          <w:p w:rsidR="005F78FC" w:rsidRDefault="00B42EF3">
            <w:pPr>
              <w:pStyle w:val="TableBodyText"/>
            </w:pPr>
            <w:r>
              <w:t>The right border color shall be dark cyan (00CCCC).</w:t>
            </w:r>
          </w:p>
          <w:p w:rsidR="005F78FC" w:rsidRDefault="00B42EF3">
            <w:pPr>
              <w:pStyle w:val="TableBodyText"/>
            </w:pPr>
            <w:r>
              <w:t>The font shall be white (FFFFFF).</w:t>
            </w:r>
          </w:p>
          <w:p w:rsidR="005F78FC" w:rsidRDefault="00B42EF3">
            <w:pPr>
              <w:pStyle w:val="TableBodyText"/>
            </w:pPr>
            <w:r>
              <w:t>The vertica</w:t>
            </w:r>
            <w:r>
              <w:t>l alignment shall be top.</w:t>
            </w:r>
          </w:p>
          <w:p w:rsidR="005F78FC" w:rsidRDefault="005F78FC">
            <w:pPr>
              <w:pStyle w:val="TableBodyText"/>
            </w:pPr>
          </w:p>
          <w:p w:rsidR="005F78FC" w:rsidRDefault="00B42EF3">
            <w:pPr>
              <w:pStyle w:val="TableBodyText"/>
            </w:pPr>
            <w:r>
              <w:t>The table data shall have the following properties:</w:t>
            </w:r>
          </w:p>
          <w:p w:rsidR="005F78FC" w:rsidRDefault="00B42EF3">
            <w:pPr>
              <w:pStyle w:val="TableBodyText"/>
            </w:pPr>
            <w:r>
              <w:t>The inside horizontal border shall be a 3/4 pt single line.</w:t>
            </w:r>
          </w:p>
          <w:p w:rsidR="005F78FC" w:rsidRDefault="00B42EF3">
            <w:pPr>
              <w:pStyle w:val="TableBodyText"/>
            </w:pPr>
            <w:r>
              <w:t>The inside horizontal border color shall be cyan (00FFFF).</w:t>
            </w:r>
          </w:p>
          <w:p w:rsidR="005F78FC" w:rsidRDefault="00B42EF3">
            <w:pPr>
              <w:pStyle w:val="TableBodyText"/>
            </w:pPr>
            <w:r>
              <w:t>The foreground shading color shall be dark cyan (00CCCC).</w:t>
            </w:r>
          </w:p>
          <w:p w:rsidR="005F78FC" w:rsidRDefault="00B42EF3">
            <w:pPr>
              <w:pStyle w:val="TableBodyText"/>
            </w:pPr>
            <w:r>
              <w:t>The background shading shall be white (FFFFFF).</w:t>
            </w:r>
          </w:p>
          <w:p w:rsidR="005F78FC" w:rsidRDefault="00B42EF3">
            <w:pPr>
              <w:pStyle w:val="TableBodyText"/>
            </w:pPr>
            <w:r>
              <w:t>The shading pattern shall be solid.</w:t>
            </w:r>
          </w:p>
          <w:p w:rsidR="005F78FC" w:rsidRDefault="00B42EF3">
            <w:pPr>
              <w:pStyle w:val="TableBodyText"/>
            </w:pPr>
            <w:r>
              <w:t>The font color shall be white (FFFFFF).</w:t>
            </w:r>
          </w:p>
          <w:p w:rsidR="005F78FC" w:rsidRDefault="005F78FC">
            <w:pPr>
              <w:pStyle w:val="TableBodyText"/>
            </w:pPr>
          </w:p>
          <w:p w:rsidR="005F78FC" w:rsidRDefault="00B42EF3">
            <w:pPr>
              <w:pStyle w:val="TableBodyText"/>
            </w:pPr>
            <w:r>
              <w:t>The header rows shall have the following properties:</w:t>
            </w:r>
          </w:p>
          <w:p w:rsidR="005F78FC" w:rsidRDefault="00B42EF3">
            <w:pPr>
              <w:pStyle w:val="TableBodyText"/>
            </w:pPr>
            <w:r>
              <w:t>The foreground shading color shall be black (000000).</w:t>
            </w:r>
          </w:p>
          <w:p w:rsidR="005F78FC" w:rsidRDefault="00B42EF3">
            <w:pPr>
              <w:pStyle w:val="TableBodyText"/>
            </w:pPr>
            <w:r>
              <w:t>The background shading s</w:t>
            </w:r>
            <w:r>
              <w:t>hall be white (FFFFFF).</w:t>
            </w:r>
          </w:p>
          <w:p w:rsidR="005F78FC" w:rsidRDefault="00B42EF3">
            <w:pPr>
              <w:pStyle w:val="TableBodyText"/>
            </w:pPr>
            <w:r>
              <w:t>The shading pattern shall be solid.</w:t>
            </w:r>
          </w:p>
          <w:p w:rsidR="005F78FC" w:rsidRDefault="00B42EF3">
            <w:pPr>
              <w:pStyle w:val="TableBodyText"/>
            </w:pPr>
            <w:r>
              <w:t>The font shall be bold.</w:t>
            </w:r>
          </w:p>
          <w:p w:rsidR="005F78FC" w:rsidRDefault="00B42EF3">
            <w:pPr>
              <w:pStyle w:val="TableBodyText"/>
            </w:pPr>
            <w:r>
              <w:t>The font shall be italic.</w:t>
            </w:r>
          </w:p>
          <w:p w:rsidR="005F78FC" w:rsidRDefault="005F78FC">
            <w:pPr>
              <w:pStyle w:val="TableBodyText"/>
            </w:pPr>
          </w:p>
          <w:p w:rsidR="005F78FC" w:rsidRDefault="00B42EF3">
            <w:pPr>
              <w:pStyle w:val="TableBodyText"/>
            </w:pPr>
            <w:r>
              <w:t>The first column shall have the following properties:</w:t>
            </w:r>
          </w:p>
          <w:p w:rsidR="005F78FC" w:rsidRDefault="00B42EF3">
            <w:pPr>
              <w:pStyle w:val="TableBodyText"/>
            </w:pPr>
            <w:r>
              <w:t>The foreground shading color shall be dark blue (0000CC).</w:t>
            </w:r>
          </w:p>
          <w:p w:rsidR="005F78FC" w:rsidRDefault="00B42EF3">
            <w:pPr>
              <w:pStyle w:val="TableBodyText"/>
            </w:pPr>
            <w:r>
              <w:t>The background shading shall be w</w:t>
            </w:r>
            <w:r>
              <w:t>hite (FFFFFF).</w:t>
            </w:r>
          </w:p>
          <w:p w:rsidR="005F78FC" w:rsidRDefault="00B42EF3">
            <w:pPr>
              <w:pStyle w:val="TableBodyText"/>
            </w:pPr>
            <w:r>
              <w:t>The shading pattern shall be solid.</w:t>
            </w:r>
          </w:p>
          <w:p w:rsidR="005F78FC" w:rsidRDefault="00B42EF3">
            <w:pPr>
              <w:pStyle w:val="TableBodyText"/>
            </w:pPr>
            <w:r>
              <w:t>The font shall be bold.</w:t>
            </w:r>
          </w:p>
          <w:p w:rsidR="005F78FC" w:rsidRDefault="00B42EF3">
            <w:pPr>
              <w:pStyle w:val="TableBodyText"/>
            </w:pPr>
            <w:r>
              <w:t>The font shall be italic.</w:t>
            </w:r>
          </w:p>
          <w:p w:rsidR="005F78FC" w:rsidRDefault="005F78FC">
            <w:pPr>
              <w:pStyle w:val="TableBodyText"/>
            </w:pPr>
          </w:p>
          <w:p w:rsidR="005F78FC" w:rsidRDefault="00B42EF3">
            <w:pPr>
              <w:pStyle w:val="TableBodyText"/>
            </w:pPr>
            <w:r>
              <w:t>The first column of header rows shall have the following properties:</w:t>
            </w:r>
          </w:p>
          <w:p w:rsidR="005F78FC" w:rsidRDefault="00B42EF3">
            <w:pPr>
              <w:pStyle w:val="TableBodyText"/>
            </w:pPr>
            <w:r>
              <w:t>The foreground shading color shall be black (000000).</w:t>
            </w:r>
          </w:p>
          <w:p w:rsidR="005F78FC" w:rsidRDefault="00B42EF3">
            <w:pPr>
              <w:pStyle w:val="TableBodyText"/>
            </w:pPr>
            <w:r>
              <w:t>The background shading shall be</w:t>
            </w:r>
            <w:r>
              <w:t xml:space="preserve"> white (FFFFFF).</w:t>
            </w:r>
          </w:p>
          <w:p w:rsidR="005F78FC" w:rsidRDefault="00B42EF3">
            <w:pPr>
              <w:pStyle w:val="TableBodyText"/>
            </w:pPr>
            <w:r>
              <w:t>The shading pattern shall be solid.</w:t>
            </w:r>
          </w:p>
          <w:p w:rsidR="005F78FC" w:rsidRDefault="005F78FC">
            <w:pPr>
              <w:pStyle w:val="TableBodyText"/>
            </w:pPr>
          </w:p>
          <w:p w:rsidR="005F78FC" w:rsidRDefault="00B42EF3">
            <w:pPr>
              <w:pStyle w:val="TableBodyText"/>
            </w:pPr>
            <w:r>
              <w:t>The first column of the last row shall have the following properties:</w:t>
            </w:r>
          </w:p>
          <w:p w:rsidR="005F78FC" w:rsidRDefault="00B42EF3">
            <w:pPr>
              <w:pStyle w:val="TableBodyText"/>
            </w:pPr>
            <w:r>
              <w:t>The font shall be bold.</w:t>
            </w:r>
          </w:p>
          <w:p w:rsidR="005F78FC" w:rsidRDefault="00B42EF3">
            <w:pPr>
              <w:pStyle w:val="TableBodyText"/>
            </w:pPr>
            <w:r>
              <w:t>The font shall not be italic.</w:t>
            </w:r>
          </w:p>
          <w:p w:rsidR="005F78FC" w:rsidRDefault="005F78FC">
            <w:pPr>
              <w:pStyle w:val="TableBodyText"/>
            </w:pPr>
          </w:p>
        </w:tc>
      </w:tr>
      <w:tr w:rsidR="005F78FC" w:rsidTr="005F78FC">
        <w:tc>
          <w:tcPr>
            <w:tcW w:w="0" w:type="auto"/>
            <w:vAlign w:val="center"/>
          </w:tcPr>
          <w:p w:rsidR="005F78FC" w:rsidRDefault="00B42EF3">
            <w:pPr>
              <w:pStyle w:val="TableBodyText"/>
            </w:pPr>
            <w:r>
              <w:lastRenderedPageBreak/>
              <w:t>9 (Colorful 2)</w:t>
            </w:r>
          </w:p>
          <w:p w:rsidR="005F78FC" w:rsidRDefault="005F78FC">
            <w:pPr>
              <w:pStyle w:val="TableBodyText"/>
            </w:pPr>
          </w:p>
        </w:tc>
        <w:tc>
          <w:tcPr>
            <w:tcW w:w="0" w:type="auto"/>
            <w:vAlign w:val="center"/>
          </w:tcPr>
          <w:p w:rsidR="005F78FC" w:rsidRDefault="00B42EF3">
            <w:pPr>
              <w:pStyle w:val="TableBodyText"/>
            </w:pPr>
            <w:r>
              <w:t>The table shall have the following properties:</w:t>
            </w:r>
          </w:p>
          <w:p w:rsidR="005F78FC" w:rsidRDefault="00B42EF3">
            <w:pPr>
              <w:pStyle w:val="TableBodyText"/>
            </w:pPr>
            <w:r>
              <w:t xml:space="preserve">The bottom </w:t>
            </w:r>
            <w:r>
              <w:t>border shall be a 1 1/2 pt single line.</w:t>
            </w:r>
          </w:p>
          <w:p w:rsidR="005F78FC" w:rsidRDefault="00B42EF3">
            <w:pPr>
              <w:pStyle w:val="TableBodyText"/>
            </w:pPr>
            <w:r>
              <w:t>The bottom border color shall be black (000000).</w:t>
            </w:r>
          </w:p>
          <w:p w:rsidR="005F78FC" w:rsidRDefault="00B42EF3">
            <w:pPr>
              <w:pStyle w:val="TableBodyText"/>
            </w:pPr>
            <w:r>
              <w:t>The vertical alignment shall be top.</w:t>
            </w:r>
          </w:p>
          <w:p w:rsidR="005F78FC" w:rsidRDefault="005F78FC">
            <w:pPr>
              <w:pStyle w:val="TableBodyText"/>
            </w:pPr>
          </w:p>
          <w:p w:rsidR="005F78FC" w:rsidRDefault="00B42EF3">
            <w:pPr>
              <w:pStyle w:val="TableBodyText"/>
            </w:pPr>
            <w:r>
              <w:t>The table data shall have the following properties:</w:t>
            </w:r>
          </w:p>
          <w:p w:rsidR="005F78FC" w:rsidRDefault="00B42EF3">
            <w:pPr>
              <w:pStyle w:val="TableBodyText"/>
            </w:pPr>
            <w:r>
              <w:t>The foreground shading color shall be yellow (FFFF00).</w:t>
            </w:r>
          </w:p>
          <w:p w:rsidR="005F78FC" w:rsidRDefault="00B42EF3">
            <w:pPr>
              <w:pStyle w:val="TableBodyText"/>
            </w:pPr>
            <w:r>
              <w:t>The background shading</w:t>
            </w:r>
            <w:r>
              <w:t xml:space="preserve"> shall be white (FFFFFF).</w:t>
            </w:r>
          </w:p>
          <w:p w:rsidR="005F78FC" w:rsidRDefault="00B42EF3">
            <w:pPr>
              <w:pStyle w:val="TableBodyText"/>
            </w:pPr>
            <w:r>
              <w:lastRenderedPageBreak/>
              <w:t>The shading pattern shall be pct20.</w:t>
            </w:r>
          </w:p>
          <w:p w:rsidR="005F78FC" w:rsidRDefault="005F78FC">
            <w:pPr>
              <w:pStyle w:val="TableBodyText"/>
            </w:pPr>
          </w:p>
          <w:p w:rsidR="005F78FC" w:rsidRDefault="00B42EF3">
            <w:pPr>
              <w:pStyle w:val="TableBodyText"/>
            </w:pPr>
            <w:r>
              <w:t>The last column shall have the following properties:</w:t>
            </w:r>
          </w:p>
          <w:p w:rsidR="005F78FC" w:rsidRDefault="00B42EF3">
            <w:pPr>
              <w:pStyle w:val="TableBodyText"/>
            </w:pPr>
            <w:r>
              <w:t>The foreground shading color shall be dark gray (C0C0C0).</w:t>
            </w:r>
          </w:p>
          <w:p w:rsidR="005F78FC" w:rsidRDefault="00B42EF3">
            <w:pPr>
              <w:pStyle w:val="TableBodyText"/>
            </w:pPr>
            <w:r>
              <w:t>The background shading shall be white (FFFFFF).</w:t>
            </w:r>
          </w:p>
          <w:p w:rsidR="005F78FC" w:rsidRDefault="00B42EF3">
            <w:pPr>
              <w:pStyle w:val="TableBodyText"/>
            </w:pPr>
            <w:r>
              <w:t>The shading pattern shall be solid</w:t>
            </w:r>
            <w:r>
              <w:t>.</w:t>
            </w:r>
          </w:p>
          <w:p w:rsidR="005F78FC" w:rsidRDefault="005F78FC">
            <w:pPr>
              <w:pStyle w:val="TableBodyText"/>
            </w:pPr>
          </w:p>
          <w:p w:rsidR="005F78FC" w:rsidRDefault="00B42EF3">
            <w:pPr>
              <w:pStyle w:val="TableBodyText"/>
            </w:pPr>
            <w:r>
              <w:t>The header rows shall have the following properties:</w:t>
            </w:r>
          </w:p>
          <w:p w:rsidR="005F78FC" w:rsidRDefault="00B42EF3">
            <w:pPr>
              <w:pStyle w:val="TableBodyText"/>
            </w:pPr>
            <w:r>
              <w:t>The bottom border shall be a 1 1/2 pt single line.</w:t>
            </w:r>
          </w:p>
          <w:p w:rsidR="005F78FC" w:rsidRDefault="00B42EF3">
            <w:pPr>
              <w:pStyle w:val="TableBodyText"/>
            </w:pPr>
            <w:r>
              <w:t>The bottom border color shall be black (000000).</w:t>
            </w:r>
          </w:p>
          <w:p w:rsidR="005F78FC" w:rsidRDefault="00B42EF3">
            <w:pPr>
              <w:pStyle w:val="TableBodyText"/>
            </w:pPr>
            <w:r>
              <w:t>The foreground shading color shall be dark red (CC0000).</w:t>
            </w:r>
          </w:p>
          <w:p w:rsidR="005F78FC" w:rsidRDefault="00B42EF3">
            <w:pPr>
              <w:pStyle w:val="TableBodyText"/>
            </w:pPr>
            <w:r>
              <w:t>The background shading shall be white (FFFF</w:t>
            </w:r>
            <w:r>
              <w:t>FF).</w:t>
            </w:r>
          </w:p>
          <w:p w:rsidR="005F78FC" w:rsidRDefault="00B42EF3">
            <w:pPr>
              <w:pStyle w:val="TableBodyText"/>
            </w:pPr>
            <w:r>
              <w:t>The shading pattern shall be solid.</w:t>
            </w:r>
          </w:p>
          <w:p w:rsidR="005F78FC" w:rsidRDefault="00B42EF3">
            <w:pPr>
              <w:pStyle w:val="TableBodyText"/>
            </w:pPr>
            <w:r>
              <w:t>The font color shall be white (FFFFFF).</w:t>
            </w:r>
          </w:p>
          <w:p w:rsidR="005F78FC" w:rsidRDefault="00B42EF3">
            <w:pPr>
              <w:pStyle w:val="TableBodyText"/>
            </w:pPr>
            <w:r>
              <w:t>The font shall be bold.</w:t>
            </w:r>
          </w:p>
          <w:p w:rsidR="005F78FC" w:rsidRDefault="00B42EF3">
            <w:pPr>
              <w:pStyle w:val="TableBodyText"/>
            </w:pPr>
            <w:r>
              <w:t>The font shall be italic.</w:t>
            </w:r>
          </w:p>
          <w:p w:rsidR="005F78FC" w:rsidRDefault="005F78FC">
            <w:pPr>
              <w:pStyle w:val="TableBodyText"/>
            </w:pPr>
          </w:p>
          <w:p w:rsidR="005F78FC" w:rsidRDefault="00B42EF3">
            <w:pPr>
              <w:pStyle w:val="TableBodyText"/>
            </w:pPr>
            <w:r>
              <w:t>The first column shall have the following properties:</w:t>
            </w:r>
          </w:p>
          <w:p w:rsidR="005F78FC" w:rsidRDefault="00B42EF3">
            <w:pPr>
              <w:pStyle w:val="TableBodyText"/>
            </w:pPr>
            <w:r>
              <w:t>The font shall be bold.</w:t>
            </w:r>
          </w:p>
          <w:p w:rsidR="005F78FC" w:rsidRDefault="00B42EF3">
            <w:pPr>
              <w:pStyle w:val="TableBodyText"/>
            </w:pPr>
            <w:r>
              <w:t>The font shall be italic.</w:t>
            </w:r>
          </w:p>
          <w:p w:rsidR="005F78FC" w:rsidRDefault="005F78FC">
            <w:pPr>
              <w:pStyle w:val="TableBodyText"/>
            </w:pPr>
          </w:p>
          <w:p w:rsidR="005F78FC" w:rsidRDefault="00B42EF3">
            <w:pPr>
              <w:pStyle w:val="TableBodyText"/>
            </w:pPr>
            <w:r>
              <w:t>The first column of</w:t>
            </w:r>
            <w:r>
              <w:t xml:space="preserve"> the last row shall have the following properties:</w:t>
            </w:r>
          </w:p>
          <w:p w:rsidR="005F78FC" w:rsidRDefault="00B42EF3">
            <w:pPr>
              <w:pStyle w:val="TableBodyText"/>
            </w:pPr>
            <w:r>
              <w:t>The font shall be bold.</w:t>
            </w:r>
          </w:p>
          <w:p w:rsidR="005F78FC" w:rsidRDefault="005F78FC">
            <w:pPr>
              <w:pStyle w:val="TableBodyText"/>
            </w:pPr>
          </w:p>
        </w:tc>
      </w:tr>
      <w:tr w:rsidR="005F78FC" w:rsidTr="005F78FC">
        <w:tc>
          <w:tcPr>
            <w:tcW w:w="0" w:type="auto"/>
            <w:vAlign w:val="center"/>
          </w:tcPr>
          <w:p w:rsidR="005F78FC" w:rsidRDefault="00B42EF3">
            <w:pPr>
              <w:pStyle w:val="TableBodyText"/>
            </w:pPr>
            <w:r>
              <w:lastRenderedPageBreak/>
              <w:t>10 (Colorful 3)</w:t>
            </w:r>
          </w:p>
          <w:p w:rsidR="005F78FC" w:rsidRDefault="005F78FC">
            <w:pPr>
              <w:pStyle w:val="TableBodyText"/>
            </w:pPr>
          </w:p>
        </w:tc>
        <w:tc>
          <w:tcPr>
            <w:tcW w:w="0" w:type="auto"/>
            <w:vAlign w:val="center"/>
          </w:tcPr>
          <w:p w:rsidR="005F78FC" w:rsidRDefault="00B42EF3">
            <w:pPr>
              <w:pStyle w:val="TableBodyText"/>
            </w:pPr>
            <w:r>
              <w:t>The table shall have the following properties:</w:t>
            </w:r>
          </w:p>
          <w:p w:rsidR="005F78FC" w:rsidRDefault="00B42EF3">
            <w:pPr>
              <w:pStyle w:val="TableBodyText"/>
            </w:pPr>
            <w:r>
              <w:t>The top border shall be a 2 1/4 pt single line.</w:t>
            </w:r>
          </w:p>
          <w:p w:rsidR="005F78FC" w:rsidRDefault="00B42EF3">
            <w:pPr>
              <w:pStyle w:val="TableBodyText"/>
            </w:pPr>
            <w:r>
              <w:t>The left border shall be a 2 1/4 pt single line.</w:t>
            </w:r>
          </w:p>
          <w:p w:rsidR="005F78FC" w:rsidRDefault="00B42EF3">
            <w:pPr>
              <w:pStyle w:val="TableBodyText"/>
            </w:pPr>
            <w:r>
              <w:t xml:space="preserve">The bottom border </w:t>
            </w:r>
            <w:r>
              <w:t>shall be a 2 1/4 pt single line.</w:t>
            </w:r>
          </w:p>
          <w:p w:rsidR="005F78FC" w:rsidRDefault="00B42EF3">
            <w:pPr>
              <w:pStyle w:val="TableBodyText"/>
            </w:pPr>
            <w:r>
              <w:t>The right border shall be a 2 1/4 pt single line.</w:t>
            </w:r>
          </w:p>
          <w:p w:rsidR="005F78FC" w:rsidRDefault="00B42EF3">
            <w:pPr>
              <w:pStyle w:val="TableBodyText"/>
            </w:pPr>
            <w:r>
              <w:t>The inside horizontal border shall be a 3/4 pt single line.</w:t>
            </w:r>
          </w:p>
          <w:p w:rsidR="005F78FC" w:rsidRDefault="00B42EF3">
            <w:pPr>
              <w:pStyle w:val="TableBodyText"/>
            </w:pPr>
            <w:r>
              <w:t>The top border color shall be black (000000).</w:t>
            </w:r>
          </w:p>
          <w:p w:rsidR="005F78FC" w:rsidRDefault="00B42EF3">
            <w:pPr>
              <w:pStyle w:val="TableBodyText"/>
            </w:pPr>
            <w:r>
              <w:t>The left border color shall be black (000000).</w:t>
            </w:r>
          </w:p>
          <w:p w:rsidR="005F78FC" w:rsidRDefault="00B42EF3">
            <w:pPr>
              <w:pStyle w:val="TableBodyText"/>
            </w:pPr>
            <w:r>
              <w:t>The bottom border co</w:t>
            </w:r>
            <w:r>
              <w:t>lor shall be black (000000).</w:t>
            </w:r>
          </w:p>
          <w:p w:rsidR="005F78FC" w:rsidRDefault="00B42EF3">
            <w:pPr>
              <w:pStyle w:val="TableBodyText"/>
            </w:pPr>
            <w:r>
              <w:t>The right border color shall be black (000000).</w:t>
            </w:r>
          </w:p>
          <w:p w:rsidR="005F78FC" w:rsidRDefault="00B42EF3">
            <w:pPr>
              <w:pStyle w:val="TableBodyText"/>
            </w:pPr>
            <w:r>
              <w:t>The inside horizontal border color shall be light gray (C0C0C0).</w:t>
            </w:r>
          </w:p>
          <w:p w:rsidR="005F78FC" w:rsidRDefault="00B42EF3">
            <w:pPr>
              <w:pStyle w:val="TableBodyText"/>
            </w:pPr>
            <w:r>
              <w:t>The foreground shading color shall be dark cyan (00CCCC).</w:t>
            </w:r>
          </w:p>
          <w:p w:rsidR="005F78FC" w:rsidRDefault="00B42EF3">
            <w:pPr>
              <w:pStyle w:val="TableBodyText"/>
            </w:pPr>
            <w:r>
              <w:t>The background shading shall be white (FFFFFF).</w:t>
            </w:r>
          </w:p>
          <w:p w:rsidR="005F78FC" w:rsidRDefault="00B42EF3">
            <w:pPr>
              <w:pStyle w:val="TableBodyText"/>
            </w:pPr>
            <w:r>
              <w:t xml:space="preserve">The </w:t>
            </w:r>
            <w:r>
              <w:t>shading pattern shall be pct25.</w:t>
            </w:r>
          </w:p>
          <w:p w:rsidR="005F78FC" w:rsidRDefault="00B42EF3">
            <w:pPr>
              <w:pStyle w:val="TableBodyText"/>
            </w:pPr>
            <w:r>
              <w:t>The vertical alignment shall be top.</w:t>
            </w:r>
          </w:p>
          <w:p w:rsidR="005F78FC" w:rsidRDefault="005F78FC">
            <w:pPr>
              <w:pStyle w:val="TableBodyText"/>
            </w:pPr>
          </w:p>
          <w:p w:rsidR="005F78FC" w:rsidRDefault="00B42EF3">
            <w:pPr>
              <w:pStyle w:val="TableBodyText"/>
            </w:pPr>
            <w:r>
              <w:t>The header rows shall have the following properties:</w:t>
            </w:r>
          </w:p>
          <w:p w:rsidR="005F78FC" w:rsidRDefault="00B42EF3">
            <w:pPr>
              <w:pStyle w:val="TableBodyText"/>
            </w:pPr>
            <w:r>
              <w:t>The bottom border shall be a 3/4 pt single line.</w:t>
            </w:r>
          </w:p>
          <w:p w:rsidR="005F78FC" w:rsidRDefault="00B42EF3">
            <w:pPr>
              <w:pStyle w:val="TableBodyText"/>
            </w:pPr>
            <w:r>
              <w:t>The bottom border color shall be black (000000).</w:t>
            </w:r>
          </w:p>
          <w:p w:rsidR="005F78FC" w:rsidRDefault="00B42EF3">
            <w:pPr>
              <w:pStyle w:val="TableBodyText"/>
            </w:pPr>
            <w:r>
              <w:t xml:space="preserve">The foreground shading color shall </w:t>
            </w:r>
            <w:r>
              <w:t>be dark cyan (00CCCC).</w:t>
            </w:r>
          </w:p>
          <w:p w:rsidR="005F78FC" w:rsidRDefault="00B42EF3">
            <w:pPr>
              <w:pStyle w:val="TableBodyText"/>
            </w:pPr>
            <w:r>
              <w:t>The background shading shall be white (FFFFFF).</w:t>
            </w:r>
          </w:p>
          <w:p w:rsidR="005F78FC" w:rsidRDefault="00B42EF3">
            <w:pPr>
              <w:pStyle w:val="TableBodyText"/>
            </w:pPr>
            <w:r>
              <w:t>The shading pattern shall be solid.</w:t>
            </w:r>
          </w:p>
          <w:p w:rsidR="005F78FC" w:rsidRDefault="005F78FC">
            <w:pPr>
              <w:pStyle w:val="TableBodyText"/>
            </w:pPr>
          </w:p>
          <w:p w:rsidR="005F78FC" w:rsidRDefault="00B42EF3">
            <w:pPr>
              <w:pStyle w:val="TableBodyText"/>
            </w:pPr>
            <w:r>
              <w:lastRenderedPageBreak/>
              <w:t>The first column shall have the following properties:</w:t>
            </w:r>
          </w:p>
          <w:p w:rsidR="005F78FC" w:rsidRDefault="00B42EF3">
            <w:pPr>
              <w:pStyle w:val="TableBodyText"/>
            </w:pPr>
            <w:r>
              <w:t>The left border shall be a 4 1/2 pt single line.</w:t>
            </w:r>
          </w:p>
          <w:p w:rsidR="005F78FC" w:rsidRDefault="00B42EF3">
            <w:pPr>
              <w:pStyle w:val="TableBodyText"/>
            </w:pPr>
            <w:r>
              <w:t>The right border shall be a 3/4 pt single lin</w:t>
            </w:r>
            <w:r>
              <w:t>e.</w:t>
            </w:r>
          </w:p>
          <w:p w:rsidR="005F78FC" w:rsidRDefault="00B42EF3">
            <w:pPr>
              <w:pStyle w:val="TableBodyText"/>
            </w:pPr>
            <w:r>
              <w:t>The left border color shall be black (000000).</w:t>
            </w:r>
          </w:p>
          <w:p w:rsidR="005F78FC" w:rsidRDefault="00B42EF3">
            <w:pPr>
              <w:pStyle w:val="TableBodyText"/>
            </w:pPr>
            <w:r>
              <w:t>The right border color shall be black (000000).</w:t>
            </w:r>
          </w:p>
          <w:p w:rsidR="005F78FC" w:rsidRDefault="00B42EF3">
            <w:pPr>
              <w:pStyle w:val="TableBodyText"/>
            </w:pPr>
            <w:r>
              <w:t>The foreground shading color shall be dark cyan (00CCCC).</w:t>
            </w:r>
          </w:p>
          <w:p w:rsidR="005F78FC" w:rsidRDefault="00B42EF3">
            <w:pPr>
              <w:pStyle w:val="TableBodyText"/>
            </w:pPr>
            <w:r>
              <w:t>The background shading shall be white (FFFFFF).</w:t>
            </w:r>
          </w:p>
          <w:p w:rsidR="005F78FC" w:rsidRDefault="00B42EF3">
            <w:pPr>
              <w:pStyle w:val="TableBodyText"/>
            </w:pPr>
            <w:r>
              <w:t>The shading pattern shall be solid.</w:t>
            </w:r>
          </w:p>
          <w:p w:rsidR="005F78FC" w:rsidRDefault="005F78FC">
            <w:pPr>
              <w:pStyle w:val="TableBodyText"/>
            </w:pPr>
          </w:p>
          <w:p w:rsidR="005F78FC" w:rsidRDefault="00B42EF3">
            <w:pPr>
              <w:pStyle w:val="TableBodyText"/>
            </w:pPr>
            <w:r>
              <w:t>The first colum</w:t>
            </w:r>
            <w:r>
              <w:t>n of header rows shall have the following properties:</w:t>
            </w:r>
          </w:p>
          <w:p w:rsidR="005F78FC" w:rsidRDefault="00B42EF3">
            <w:pPr>
              <w:pStyle w:val="TableBodyText"/>
            </w:pPr>
            <w:r>
              <w:t>The foreground shading color shall be black (000000).</w:t>
            </w:r>
          </w:p>
          <w:p w:rsidR="005F78FC" w:rsidRDefault="00B42EF3">
            <w:pPr>
              <w:pStyle w:val="TableBodyText"/>
            </w:pPr>
            <w:r>
              <w:t>The background shading shall be white (FFFFFF).</w:t>
            </w:r>
          </w:p>
          <w:p w:rsidR="005F78FC" w:rsidRDefault="00B42EF3">
            <w:pPr>
              <w:pStyle w:val="TableBodyText"/>
            </w:pPr>
            <w:r>
              <w:t>The shading pattern shall be solid.</w:t>
            </w:r>
          </w:p>
          <w:p w:rsidR="005F78FC" w:rsidRDefault="00B42EF3">
            <w:pPr>
              <w:pStyle w:val="TableBodyText"/>
            </w:pPr>
            <w:r>
              <w:t>The font color shall be white (FFFFFF).</w:t>
            </w:r>
          </w:p>
          <w:p w:rsidR="005F78FC" w:rsidRDefault="00B42EF3">
            <w:pPr>
              <w:pStyle w:val="TableBodyText"/>
            </w:pPr>
            <w:r>
              <w:t>The font shall be bold.</w:t>
            </w:r>
          </w:p>
          <w:p w:rsidR="005F78FC" w:rsidRDefault="005F78FC">
            <w:pPr>
              <w:pStyle w:val="TableBodyText"/>
            </w:pPr>
          </w:p>
        </w:tc>
      </w:tr>
      <w:tr w:rsidR="005F78FC" w:rsidTr="005F78FC">
        <w:tc>
          <w:tcPr>
            <w:tcW w:w="0" w:type="auto"/>
            <w:vAlign w:val="center"/>
          </w:tcPr>
          <w:p w:rsidR="005F78FC" w:rsidRDefault="00B42EF3">
            <w:pPr>
              <w:pStyle w:val="TableBodyText"/>
            </w:pPr>
            <w:r>
              <w:lastRenderedPageBreak/>
              <w:t>11 (Columns 1)</w:t>
            </w:r>
          </w:p>
          <w:p w:rsidR="005F78FC" w:rsidRDefault="005F78FC">
            <w:pPr>
              <w:pStyle w:val="TableBodyText"/>
            </w:pPr>
          </w:p>
        </w:tc>
        <w:tc>
          <w:tcPr>
            <w:tcW w:w="0" w:type="auto"/>
            <w:vAlign w:val="center"/>
          </w:tcPr>
          <w:p w:rsidR="005F78FC" w:rsidRDefault="00B42EF3">
            <w:pPr>
              <w:pStyle w:val="TableBodyText"/>
            </w:pPr>
            <w:r>
              <w:t>The table shall have the following properties:</w:t>
            </w:r>
          </w:p>
          <w:p w:rsidR="005F78FC" w:rsidRDefault="00B42EF3">
            <w:pPr>
              <w:pStyle w:val="TableBodyText"/>
            </w:pPr>
            <w:r>
              <w:t>The top border shall be a 1 1/2 pt single line.</w:t>
            </w:r>
          </w:p>
          <w:p w:rsidR="005F78FC" w:rsidRDefault="00B42EF3">
            <w:pPr>
              <w:pStyle w:val="TableBodyText"/>
            </w:pPr>
            <w:r>
              <w:t>The left border shall be a 1 1/2 pt single line.</w:t>
            </w:r>
          </w:p>
          <w:p w:rsidR="005F78FC" w:rsidRDefault="00B42EF3">
            <w:pPr>
              <w:pStyle w:val="TableBodyText"/>
            </w:pPr>
            <w:r>
              <w:t>The bottom border shall be a 1 1/2 pt single line.</w:t>
            </w:r>
          </w:p>
          <w:p w:rsidR="005F78FC" w:rsidRDefault="00B42EF3">
            <w:pPr>
              <w:pStyle w:val="TableBodyText"/>
            </w:pPr>
            <w:r>
              <w:t>The right border shall be a 1 1/2 pt single</w:t>
            </w:r>
            <w:r>
              <w:t xml:space="preserve"> line.</w:t>
            </w:r>
          </w:p>
          <w:p w:rsidR="005F78FC" w:rsidRDefault="00B42EF3">
            <w:pPr>
              <w:pStyle w:val="TableBodyText"/>
            </w:pPr>
            <w:r>
              <w:t>The top border color shall be black (000000).</w:t>
            </w:r>
          </w:p>
          <w:p w:rsidR="005F78FC" w:rsidRDefault="00B42EF3">
            <w:pPr>
              <w:pStyle w:val="TableBodyText"/>
            </w:pPr>
            <w:r>
              <w:t>The left border color shall be black (000000).</w:t>
            </w:r>
          </w:p>
          <w:p w:rsidR="005F78FC" w:rsidRDefault="00B42EF3">
            <w:pPr>
              <w:pStyle w:val="TableBodyText"/>
            </w:pPr>
            <w:r>
              <w:t>The bottom border color shall be black (000000).</w:t>
            </w:r>
          </w:p>
          <w:p w:rsidR="005F78FC" w:rsidRDefault="00B42EF3">
            <w:pPr>
              <w:pStyle w:val="TableBodyText"/>
            </w:pPr>
            <w:r>
              <w:t>The right border color shall be black (000000).</w:t>
            </w:r>
          </w:p>
          <w:p w:rsidR="005F78FC" w:rsidRDefault="00B42EF3">
            <w:pPr>
              <w:pStyle w:val="TableBodyText"/>
            </w:pPr>
            <w:r>
              <w:t>The font shall be bold.</w:t>
            </w:r>
          </w:p>
          <w:p w:rsidR="005F78FC" w:rsidRDefault="00B42EF3">
            <w:pPr>
              <w:pStyle w:val="TableBodyText"/>
            </w:pPr>
            <w:r>
              <w:t>The vertical alignment shall be top</w:t>
            </w:r>
            <w:r>
              <w:t>.</w:t>
            </w:r>
          </w:p>
          <w:p w:rsidR="005F78FC" w:rsidRDefault="005F78FC">
            <w:pPr>
              <w:pStyle w:val="TableBodyText"/>
            </w:pPr>
          </w:p>
          <w:p w:rsidR="005F78FC" w:rsidRDefault="00B42EF3">
            <w:pPr>
              <w:pStyle w:val="TableBodyText"/>
            </w:pPr>
            <w:r>
              <w:t>Odd columns of table data shall have the following properties:</w:t>
            </w:r>
          </w:p>
          <w:p w:rsidR="005F78FC" w:rsidRDefault="00B42EF3">
            <w:pPr>
              <w:pStyle w:val="TableBodyText"/>
            </w:pPr>
            <w:r>
              <w:t>The foreground shading color shall be yellow (FFFF00).</w:t>
            </w:r>
          </w:p>
          <w:p w:rsidR="005F78FC" w:rsidRDefault="00B42EF3">
            <w:pPr>
              <w:pStyle w:val="TableBodyText"/>
            </w:pPr>
            <w:r>
              <w:t>The background shading shall be white (FFFFFF).</w:t>
            </w:r>
          </w:p>
          <w:p w:rsidR="005F78FC" w:rsidRDefault="00B42EF3">
            <w:pPr>
              <w:pStyle w:val="TableBodyText"/>
            </w:pPr>
            <w:r>
              <w:t>The shading pattern shall be pct25.</w:t>
            </w:r>
          </w:p>
          <w:p w:rsidR="005F78FC" w:rsidRDefault="005F78FC">
            <w:pPr>
              <w:pStyle w:val="TableBodyText"/>
            </w:pPr>
          </w:p>
          <w:p w:rsidR="005F78FC" w:rsidRDefault="00B42EF3">
            <w:pPr>
              <w:pStyle w:val="TableBodyText"/>
            </w:pPr>
            <w:r>
              <w:t>Even columns of table data shall have the followin</w:t>
            </w:r>
            <w:r>
              <w:t>g properties:</w:t>
            </w:r>
          </w:p>
          <w:p w:rsidR="005F78FC" w:rsidRDefault="00B42EF3">
            <w:pPr>
              <w:pStyle w:val="TableBodyText"/>
            </w:pPr>
            <w:r>
              <w:t>The foreground shading color shall be black (000000).</w:t>
            </w:r>
          </w:p>
          <w:p w:rsidR="005F78FC" w:rsidRDefault="00B42EF3">
            <w:pPr>
              <w:pStyle w:val="TableBodyText"/>
            </w:pPr>
            <w:r>
              <w:t>The background shading shall be white (FFFFFF).</w:t>
            </w:r>
          </w:p>
          <w:p w:rsidR="005F78FC" w:rsidRDefault="00B42EF3">
            <w:pPr>
              <w:pStyle w:val="TableBodyText"/>
            </w:pPr>
            <w:r>
              <w:t>The shading pattern shall be pct25.</w:t>
            </w:r>
          </w:p>
          <w:p w:rsidR="005F78FC" w:rsidRDefault="00B42EF3">
            <w:pPr>
              <w:pStyle w:val="TableBodyText"/>
            </w:pPr>
            <w:r>
              <w:t>The font shall be bold.</w:t>
            </w:r>
          </w:p>
          <w:p w:rsidR="005F78FC" w:rsidRDefault="005F78FC">
            <w:pPr>
              <w:pStyle w:val="TableBodyText"/>
            </w:pPr>
          </w:p>
          <w:p w:rsidR="005F78FC" w:rsidRDefault="00B42EF3">
            <w:pPr>
              <w:pStyle w:val="TableBodyText"/>
            </w:pPr>
            <w:r>
              <w:t>The header rows shall have the following properties:</w:t>
            </w:r>
          </w:p>
          <w:p w:rsidR="005F78FC" w:rsidRDefault="00B42EF3">
            <w:pPr>
              <w:pStyle w:val="TableBodyText"/>
            </w:pPr>
            <w:r>
              <w:t>The bottom border shall be</w:t>
            </w:r>
            <w:r>
              <w:t xml:space="preserve"> a 3/4 pt double line.</w:t>
            </w:r>
          </w:p>
          <w:p w:rsidR="005F78FC" w:rsidRDefault="00B42EF3">
            <w:pPr>
              <w:pStyle w:val="TableBodyText"/>
            </w:pPr>
            <w:r>
              <w:t>The bottom border color shall be black (000000).</w:t>
            </w:r>
          </w:p>
          <w:p w:rsidR="005F78FC" w:rsidRDefault="00B42EF3">
            <w:pPr>
              <w:pStyle w:val="TableBodyText"/>
            </w:pPr>
            <w:r>
              <w:t>The font shall not be bold.</w:t>
            </w:r>
          </w:p>
          <w:p w:rsidR="005F78FC" w:rsidRDefault="005F78FC">
            <w:pPr>
              <w:pStyle w:val="TableBodyText"/>
            </w:pPr>
          </w:p>
          <w:p w:rsidR="005F78FC" w:rsidRDefault="00B42EF3">
            <w:pPr>
              <w:pStyle w:val="TableBodyText"/>
            </w:pPr>
            <w:r>
              <w:t>The last row shall have the following properties:</w:t>
            </w:r>
          </w:p>
          <w:p w:rsidR="005F78FC" w:rsidRDefault="00B42EF3">
            <w:pPr>
              <w:pStyle w:val="TableBodyText"/>
            </w:pPr>
            <w:r>
              <w:t>The font shall not be bold.</w:t>
            </w:r>
          </w:p>
          <w:p w:rsidR="005F78FC" w:rsidRDefault="005F78FC">
            <w:pPr>
              <w:pStyle w:val="TableBodyText"/>
            </w:pPr>
          </w:p>
          <w:p w:rsidR="005F78FC" w:rsidRDefault="00B42EF3">
            <w:pPr>
              <w:pStyle w:val="TableBodyText"/>
            </w:pPr>
            <w:r>
              <w:lastRenderedPageBreak/>
              <w:t>The first column shall have the following properties:</w:t>
            </w:r>
          </w:p>
          <w:p w:rsidR="005F78FC" w:rsidRDefault="00B42EF3">
            <w:pPr>
              <w:pStyle w:val="TableBodyText"/>
            </w:pPr>
            <w:r>
              <w:t xml:space="preserve">The font shall not be </w:t>
            </w:r>
            <w:r>
              <w:t>bold.</w:t>
            </w:r>
          </w:p>
          <w:p w:rsidR="005F78FC" w:rsidRDefault="005F78FC">
            <w:pPr>
              <w:pStyle w:val="TableBodyText"/>
            </w:pPr>
          </w:p>
          <w:p w:rsidR="005F78FC" w:rsidRDefault="00B42EF3">
            <w:pPr>
              <w:pStyle w:val="TableBodyText"/>
            </w:pPr>
            <w:r>
              <w:t>The last row of the first column shall have the following properties:</w:t>
            </w:r>
          </w:p>
          <w:p w:rsidR="005F78FC" w:rsidRDefault="00B42EF3">
            <w:pPr>
              <w:pStyle w:val="TableBodyText"/>
            </w:pPr>
            <w:r>
              <w:t>The font shall be bold.</w:t>
            </w:r>
          </w:p>
          <w:p w:rsidR="005F78FC" w:rsidRDefault="005F78FC">
            <w:pPr>
              <w:pStyle w:val="TableBodyText"/>
            </w:pPr>
          </w:p>
          <w:p w:rsidR="005F78FC" w:rsidRDefault="00B42EF3">
            <w:pPr>
              <w:pStyle w:val="TableBodyText"/>
            </w:pPr>
            <w:r>
              <w:t>The last column shall have the following properties:</w:t>
            </w:r>
          </w:p>
          <w:p w:rsidR="005F78FC" w:rsidRDefault="00B42EF3">
            <w:pPr>
              <w:pStyle w:val="TableBodyText"/>
            </w:pPr>
            <w:r>
              <w:t>The font shall not be bold.</w:t>
            </w:r>
          </w:p>
          <w:p w:rsidR="005F78FC" w:rsidRDefault="005F78FC">
            <w:pPr>
              <w:pStyle w:val="TableBodyText"/>
            </w:pPr>
          </w:p>
          <w:p w:rsidR="005F78FC" w:rsidRDefault="00B42EF3">
            <w:pPr>
              <w:pStyle w:val="TableBodyText"/>
            </w:pPr>
            <w:r>
              <w:t>The header rows of the last column shall have the following properties:</w:t>
            </w:r>
          </w:p>
          <w:p w:rsidR="005F78FC" w:rsidRDefault="00B42EF3">
            <w:pPr>
              <w:pStyle w:val="TableBodyText"/>
            </w:pPr>
            <w:r>
              <w:t>The font shall be bold.</w:t>
            </w:r>
          </w:p>
          <w:p w:rsidR="005F78FC" w:rsidRDefault="005F78FC">
            <w:pPr>
              <w:pStyle w:val="TableBodyText"/>
            </w:pPr>
          </w:p>
        </w:tc>
      </w:tr>
      <w:tr w:rsidR="005F78FC" w:rsidTr="005F78FC">
        <w:tc>
          <w:tcPr>
            <w:tcW w:w="0" w:type="auto"/>
            <w:vAlign w:val="center"/>
          </w:tcPr>
          <w:p w:rsidR="005F78FC" w:rsidRDefault="00B42EF3">
            <w:pPr>
              <w:pStyle w:val="TableBodyText"/>
            </w:pPr>
            <w:r>
              <w:lastRenderedPageBreak/>
              <w:t>12 (Columns 2)</w:t>
            </w:r>
          </w:p>
          <w:p w:rsidR="005F78FC" w:rsidRDefault="005F78FC">
            <w:pPr>
              <w:pStyle w:val="TableBodyText"/>
            </w:pPr>
          </w:p>
        </w:tc>
        <w:tc>
          <w:tcPr>
            <w:tcW w:w="0" w:type="auto"/>
            <w:vAlign w:val="center"/>
          </w:tcPr>
          <w:p w:rsidR="005F78FC" w:rsidRDefault="00B42EF3">
            <w:pPr>
              <w:pStyle w:val="TableBodyText"/>
            </w:pPr>
            <w:r>
              <w:t>The table shall have the following properties:</w:t>
            </w:r>
          </w:p>
          <w:p w:rsidR="005F78FC" w:rsidRDefault="00B42EF3">
            <w:pPr>
              <w:pStyle w:val="TableBodyText"/>
            </w:pPr>
            <w:r>
              <w:t>The font shall be bold.</w:t>
            </w:r>
          </w:p>
          <w:p w:rsidR="005F78FC" w:rsidRDefault="00B42EF3">
            <w:pPr>
              <w:pStyle w:val="TableBodyText"/>
            </w:pPr>
            <w:r>
              <w:t>The vertical alignment shall be top.</w:t>
            </w:r>
          </w:p>
          <w:p w:rsidR="005F78FC" w:rsidRDefault="005F78FC">
            <w:pPr>
              <w:pStyle w:val="TableBodyText"/>
            </w:pPr>
          </w:p>
          <w:p w:rsidR="005F78FC" w:rsidRDefault="00B42EF3">
            <w:pPr>
              <w:pStyle w:val="TableBodyText"/>
            </w:pPr>
            <w:r>
              <w:t>Odd columns of table data shall have the following properties:</w:t>
            </w:r>
          </w:p>
          <w:p w:rsidR="005F78FC" w:rsidRDefault="00B42EF3">
            <w:pPr>
              <w:pStyle w:val="TableBodyText"/>
            </w:pPr>
            <w:r>
              <w:t xml:space="preserve">The foreground shading color shall be </w:t>
            </w:r>
            <w:r>
              <w:t>green (00FF00).</w:t>
            </w:r>
          </w:p>
          <w:p w:rsidR="005F78FC" w:rsidRDefault="00B42EF3">
            <w:pPr>
              <w:pStyle w:val="TableBodyText"/>
            </w:pPr>
            <w:r>
              <w:t>The background shading shall be white (FFFFFF).</w:t>
            </w:r>
          </w:p>
          <w:p w:rsidR="005F78FC" w:rsidRDefault="00B42EF3">
            <w:pPr>
              <w:pStyle w:val="TableBodyText"/>
            </w:pPr>
            <w:r>
              <w:t>The shading pattern shall be pct25.</w:t>
            </w:r>
          </w:p>
          <w:p w:rsidR="005F78FC" w:rsidRDefault="005F78FC">
            <w:pPr>
              <w:pStyle w:val="TableBodyText"/>
            </w:pPr>
          </w:p>
          <w:p w:rsidR="005F78FC" w:rsidRDefault="00B42EF3">
            <w:pPr>
              <w:pStyle w:val="TableBodyText"/>
            </w:pPr>
            <w:r>
              <w:t>Even columns of table data shall have the following properties:</w:t>
            </w:r>
          </w:p>
          <w:p w:rsidR="005F78FC" w:rsidRDefault="00B42EF3">
            <w:pPr>
              <w:pStyle w:val="TableBodyText"/>
            </w:pPr>
            <w:r>
              <w:t>The foreground shading color shall be black (000000).</w:t>
            </w:r>
          </w:p>
          <w:p w:rsidR="005F78FC" w:rsidRDefault="00B42EF3">
            <w:pPr>
              <w:pStyle w:val="TableBodyText"/>
            </w:pPr>
            <w:r>
              <w:t>The background shading shall be white</w:t>
            </w:r>
            <w:r>
              <w:t xml:space="preserve"> (FFFFFF).</w:t>
            </w:r>
          </w:p>
          <w:p w:rsidR="005F78FC" w:rsidRDefault="00B42EF3">
            <w:pPr>
              <w:pStyle w:val="TableBodyText"/>
            </w:pPr>
            <w:r>
              <w:t>The shading pattern shall be pct30.</w:t>
            </w:r>
          </w:p>
          <w:p w:rsidR="005F78FC" w:rsidRDefault="00B42EF3">
            <w:pPr>
              <w:pStyle w:val="TableBodyText"/>
            </w:pPr>
            <w:r>
              <w:t>The font color shall be dark blue (0000CC).</w:t>
            </w:r>
          </w:p>
          <w:p w:rsidR="005F78FC" w:rsidRDefault="00B42EF3">
            <w:pPr>
              <w:pStyle w:val="TableBodyText"/>
            </w:pPr>
            <w:r>
              <w:t>The font shall be bold.</w:t>
            </w:r>
          </w:p>
          <w:p w:rsidR="005F78FC" w:rsidRDefault="005F78FC">
            <w:pPr>
              <w:pStyle w:val="TableBodyText"/>
            </w:pPr>
          </w:p>
          <w:p w:rsidR="005F78FC" w:rsidRDefault="00B42EF3">
            <w:pPr>
              <w:pStyle w:val="TableBodyText"/>
            </w:pPr>
            <w:r>
              <w:t>The header rows shall have the following properties:</w:t>
            </w:r>
          </w:p>
          <w:p w:rsidR="005F78FC" w:rsidRDefault="00B42EF3">
            <w:pPr>
              <w:pStyle w:val="TableBodyText"/>
            </w:pPr>
            <w:r>
              <w:t>The foreground shading color shall be dark blue (0000CC).</w:t>
            </w:r>
          </w:p>
          <w:p w:rsidR="005F78FC" w:rsidRDefault="00B42EF3">
            <w:pPr>
              <w:pStyle w:val="TableBodyText"/>
            </w:pPr>
            <w:r>
              <w:t xml:space="preserve">The background shading shall </w:t>
            </w:r>
            <w:r>
              <w:t>be white (FFFFFF).</w:t>
            </w:r>
          </w:p>
          <w:p w:rsidR="005F78FC" w:rsidRDefault="00B42EF3">
            <w:pPr>
              <w:pStyle w:val="TableBodyText"/>
            </w:pPr>
            <w:r>
              <w:t>The shading pattern shall be solid.</w:t>
            </w:r>
          </w:p>
          <w:p w:rsidR="005F78FC" w:rsidRDefault="00B42EF3">
            <w:pPr>
              <w:pStyle w:val="TableBodyText"/>
            </w:pPr>
            <w:r>
              <w:t>The font color shall be white (FFFFFF).</w:t>
            </w:r>
          </w:p>
          <w:p w:rsidR="005F78FC" w:rsidRDefault="005F78FC">
            <w:pPr>
              <w:pStyle w:val="TableBodyText"/>
            </w:pPr>
          </w:p>
          <w:p w:rsidR="005F78FC" w:rsidRDefault="00B42EF3">
            <w:pPr>
              <w:pStyle w:val="TableBodyText"/>
            </w:pPr>
            <w:r>
              <w:t>The last row shall have the following properties:</w:t>
            </w:r>
          </w:p>
          <w:p w:rsidR="005F78FC" w:rsidRDefault="00B42EF3">
            <w:pPr>
              <w:pStyle w:val="TableBodyText"/>
            </w:pPr>
            <w:r>
              <w:t>The font shall not be bold.</w:t>
            </w:r>
          </w:p>
          <w:p w:rsidR="005F78FC" w:rsidRDefault="005F78FC">
            <w:pPr>
              <w:pStyle w:val="TableBodyText"/>
            </w:pPr>
          </w:p>
          <w:p w:rsidR="005F78FC" w:rsidRDefault="00B42EF3">
            <w:pPr>
              <w:pStyle w:val="TableBodyText"/>
            </w:pPr>
            <w:r>
              <w:t>The first column shall have the following properties:</w:t>
            </w:r>
          </w:p>
          <w:p w:rsidR="005F78FC" w:rsidRDefault="00B42EF3">
            <w:pPr>
              <w:pStyle w:val="TableBodyText"/>
            </w:pPr>
            <w:r>
              <w:t xml:space="preserve">The font color shall be </w:t>
            </w:r>
            <w:r>
              <w:t>black (000000).</w:t>
            </w:r>
          </w:p>
          <w:p w:rsidR="005F78FC" w:rsidRDefault="00B42EF3">
            <w:pPr>
              <w:pStyle w:val="TableBodyText"/>
            </w:pPr>
            <w:r>
              <w:t>The font shall not be bold.</w:t>
            </w:r>
          </w:p>
          <w:p w:rsidR="005F78FC" w:rsidRDefault="005F78FC">
            <w:pPr>
              <w:pStyle w:val="TableBodyText"/>
            </w:pPr>
          </w:p>
          <w:p w:rsidR="005F78FC" w:rsidRDefault="00B42EF3">
            <w:pPr>
              <w:pStyle w:val="TableBodyText"/>
            </w:pPr>
            <w:r>
              <w:t>The last row of the first column shall have the following properties:</w:t>
            </w:r>
          </w:p>
          <w:p w:rsidR="005F78FC" w:rsidRDefault="00B42EF3">
            <w:pPr>
              <w:pStyle w:val="TableBodyText"/>
            </w:pPr>
            <w:r>
              <w:t>The font shall be bold.</w:t>
            </w:r>
          </w:p>
          <w:p w:rsidR="005F78FC" w:rsidRDefault="005F78FC">
            <w:pPr>
              <w:pStyle w:val="TableBodyText"/>
            </w:pPr>
          </w:p>
          <w:p w:rsidR="005F78FC" w:rsidRDefault="00B42EF3">
            <w:pPr>
              <w:pStyle w:val="TableBodyText"/>
            </w:pPr>
            <w:r>
              <w:t>The last column shall have the following properties:</w:t>
            </w:r>
          </w:p>
          <w:p w:rsidR="005F78FC" w:rsidRDefault="00B42EF3">
            <w:pPr>
              <w:pStyle w:val="TableBodyText"/>
            </w:pPr>
            <w:r>
              <w:t>The font shall not be bold.</w:t>
            </w:r>
          </w:p>
          <w:p w:rsidR="005F78FC" w:rsidRDefault="005F78FC">
            <w:pPr>
              <w:pStyle w:val="TableBodyText"/>
            </w:pPr>
          </w:p>
          <w:p w:rsidR="005F78FC" w:rsidRDefault="00B42EF3">
            <w:pPr>
              <w:pStyle w:val="TableBodyText"/>
            </w:pPr>
            <w:r>
              <w:lastRenderedPageBreak/>
              <w:t>The header rows of the last column</w:t>
            </w:r>
            <w:r>
              <w:t xml:space="preserve"> shall have the following properties:</w:t>
            </w:r>
          </w:p>
          <w:p w:rsidR="005F78FC" w:rsidRDefault="00B42EF3">
            <w:pPr>
              <w:pStyle w:val="TableBodyText"/>
            </w:pPr>
            <w:r>
              <w:t>The font shall be bold.</w:t>
            </w:r>
          </w:p>
          <w:p w:rsidR="005F78FC" w:rsidRDefault="005F78FC">
            <w:pPr>
              <w:pStyle w:val="TableBodyText"/>
            </w:pPr>
          </w:p>
        </w:tc>
      </w:tr>
      <w:tr w:rsidR="005F78FC" w:rsidTr="005F78FC">
        <w:tc>
          <w:tcPr>
            <w:tcW w:w="0" w:type="auto"/>
            <w:vAlign w:val="center"/>
          </w:tcPr>
          <w:p w:rsidR="005F78FC" w:rsidRDefault="00B42EF3">
            <w:pPr>
              <w:pStyle w:val="TableBodyText"/>
            </w:pPr>
            <w:r>
              <w:lastRenderedPageBreak/>
              <w:t>13 (Columns 3)</w:t>
            </w:r>
          </w:p>
        </w:tc>
        <w:tc>
          <w:tcPr>
            <w:tcW w:w="0" w:type="auto"/>
            <w:vAlign w:val="center"/>
          </w:tcPr>
          <w:p w:rsidR="005F78FC" w:rsidRDefault="00B42EF3">
            <w:pPr>
              <w:pStyle w:val="TableBodyText"/>
            </w:pPr>
            <w:r>
              <w:t>The table shall have the following properties:</w:t>
            </w:r>
          </w:p>
          <w:p w:rsidR="005F78FC" w:rsidRDefault="00B42EF3">
            <w:pPr>
              <w:pStyle w:val="TableBodyText"/>
            </w:pPr>
            <w:r>
              <w:t>The top border shall be a 3/4 pt single line.</w:t>
            </w:r>
          </w:p>
          <w:p w:rsidR="005F78FC" w:rsidRDefault="00B42EF3">
            <w:pPr>
              <w:pStyle w:val="TableBodyText"/>
            </w:pPr>
            <w:r>
              <w:t>The left border shall be a 3/4 pt single line.</w:t>
            </w:r>
          </w:p>
          <w:p w:rsidR="005F78FC" w:rsidRDefault="00B42EF3">
            <w:pPr>
              <w:pStyle w:val="TableBodyText"/>
            </w:pPr>
            <w:r>
              <w:t>The bottom border shall be a 3/4 pt s</w:t>
            </w:r>
            <w:r>
              <w:t>ingle line.</w:t>
            </w:r>
          </w:p>
          <w:p w:rsidR="005F78FC" w:rsidRDefault="00B42EF3">
            <w:pPr>
              <w:pStyle w:val="TableBodyText"/>
            </w:pPr>
            <w:r>
              <w:t>The right border shall be a 3/4 pt single line.</w:t>
            </w:r>
          </w:p>
          <w:p w:rsidR="005F78FC" w:rsidRDefault="00B42EF3">
            <w:pPr>
              <w:pStyle w:val="TableBodyText"/>
            </w:pPr>
            <w:r>
              <w:t>The inside vertical border shall be a 3/4 pt single line.</w:t>
            </w:r>
          </w:p>
          <w:p w:rsidR="005F78FC" w:rsidRDefault="00B42EF3">
            <w:pPr>
              <w:pStyle w:val="TableBodyText"/>
            </w:pPr>
            <w:r>
              <w:t>The top border color shall be dark blue (0000CC).</w:t>
            </w:r>
          </w:p>
          <w:p w:rsidR="005F78FC" w:rsidRDefault="00B42EF3">
            <w:pPr>
              <w:pStyle w:val="TableBodyText"/>
            </w:pPr>
            <w:r>
              <w:t>The left border color shall be dark blue (0000CC).</w:t>
            </w:r>
          </w:p>
          <w:p w:rsidR="005F78FC" w:rsidRDefault="00B42EF3">
            <w:pPr>
              <w:pStyle w:val="TableBodyText"/>
            </w:pPr>
            <w:r>
              <w:t>The bottom border color shall be dark</w:t>
            </w:r>
            <w:r>
              <w:t xml:space="preserve"> blue (0000CC).</w:t>
            </w:r>
          </w:p>
          <w:p w:rsidR="005F78FC" w:rsidRDefault="00B42EF3">
            <w:pPr>
              <w:pStyle w:val="TableBodyText"/>
            </w:pPr>
            <w:r>
              <w:t>The right border color shall be dark blue (0000CC).</w:t>
            </w:r>
          </w:p>
          <w:p w:rsidR="005F78FC" w:rsidRDefault="00B42EF3">
            <w:pPr>
              <w:pStyle w:val="TableBodyText"/>
            </w:pPr>
            <w:r>
              <w:t>The inside vertical border color shall be dark blue (0000CC).</w:t>
            </w:r>
          </w:p>
          <w:p w:rsidR="005F78FC" w:rsidRDefault="00B42EF3">
            <w:pPr>
              <w:pStyle w:val="TableBodyText"/>
            </w:pPr>
            <w:r>
              <w:t>The font shall be bold.</w:t>
            </w:r>
          </w:p>
          <w:p w:rsidR="005F78FC" w:rsidRDefault="00B42EF3">
            <w:pPr>
              <w:pStyle w:val="TableBodyText"/>
            </w:pPr>
            <w:r>
              <w:t xml:space="preserve">Applies to odd columns.  </w:t>
            </w:r>
          </w:p>
          <w:p w:rsidR="005F78FC" w:rsidRDefault="00B42EF3">
            <w:pPr>
              <w:pStyle w:val="TableBodyText"/>
            </w:pPr>
            <w:r>
              <w:t>The vertical alignment shall be top.</w:t>
            </w:r>
          </w:p>
          <w:p w:rsidR="005F78FC" w:rsidRDefault="005F78FC">
            <w:pPr>
              <w:pStyle w:val="TableBodyText"/>
            </w:pPr>
          </w:p>
          <w:p w:rsidR="005F78FC" w:rsidRDefault="00B42EF3">
            <w:pPr>
              <w:pStyle w:val="TableBodyText"/>
            </w:pPr>
            <w:r>
              <w:t xml:space="preserve">Odd columns of table data shall have </w:t>
            </w:r>
            <w:r>
              <w:t>the following properties:</w:t>
            </w:r>
          </w:p>
          <w:p w:rsidR="005F78FC" w:rsidRDefault="00B42EF3">
            <w:pPr>
              <w:pStyle w:val="TableBodyText"/>
            </w:pPr>
            <w:r>
              <w:t>The foreground shading color shall be black (000000).</w:t>
            </w:r>
          </w:p>
          <w:p w:rsidR="005F78FC" w:rsidRDefault="00B42EF3">
            <w:pPr>
              <w:pStyle w:val="TableBodyText"/>
            </w:pPr>
            <w:r>
              <w:t>The background shading shall be white (FFFFFF).</w:t>
            </w:r>
          </w:p>
          <w:p w:rsidR="005F78FC" w:rsidRDefault="00B42EF3">
            <w:pPr>
              <w:pStyle w:val="TableBodyText"/>
            </w:pPr>
            <w:r>
              <w:t>The shading pattern shall be pct10.</w:t>
            </w:r>
          </w:p>
          <w:p w:rsidR="005F78FC" w:rsidRDefault="005F78FC">
            <w:pPr>
              <w:pStyle w:val="TableBodyText"/>
            </w:pPr>
          </w:p>
          <w:p w:rsidR="005F78FC" w:rsidRDefault="00B42EF3">
            <w:pPr>
              <w:pStyle w:val="TableBodyText"/>
            </w:pPr>
            <w:r>
              <w:t>Even columns of table data shall have the following properties:</w:t>
            </w:r>
          </w:p>
          <w:p w:rsidR="005F78FC" w:rsidRDefault="00B42EF3">
            <w:pPr>
              <w:pStyle w:val="TableBodyText"/>
            </w:pPr>
            <w:r>
              <w:t xml:space="preserve">The foreground shading </w:t>
            </w:r>
            <w:r>
              <w:t>color shall be dark gray (C0C0C0).</w:t>
            </w:r>
          </w:p>
          <w:p w:rsidR="005F78FC" w:rsidRDefault="00B42EF3">
            <w:pPr>
              <w:pStyle w:val="TableBodyText"/>
            </w:pPr>
            <w:r>
              <w:t>The background shading shall be white (FFFFFF).</w:t>
            </w:r>
          </w:p>
          <w:p w:rsidR="005F78FC" w:rsidRDefault="00B42EF3">
            <w:pPr>
              <w:pStyle w:val="TableBodyText"/>
            </w:pPr>
            <w:r>
              <w:t>The shading pattern shall be solid.</w:t>
            </w:r>
          </w:p>
          <w:p w:rsidR="005F78FC" w:rsidRDefault="005F78FC">
            <w:pPr>
              <w:pStyle w:val="TableBodyText"/>
            </w:pPr>
          </w:p>
          <w:p w:rsidR="005F78FC" w:rsidRDefault="00B42EF3">
            <w:pPr>
              <w:pStyle w:val="TableBodyText"/>
            </w:pPr>
            <w:r>
              <w:t>The header rows shall have the following properties:</w:t>
            </w:r>
          </w:p>
          <w:p w:rsidR="005F78FC" w:rsidRDefault="00B42EF3">
            <w:pPr>
              <w:pStyle w:val="TableBodyText"/>
            </w:pPr>
            <w:r>
              <w:t>The foreground shading color shall be dark blue (0000CC).</w:t>
            </w:r>
          </w:p>
          <w:p w:rsidR="005F78FC" w:rsidRDefault="00B42EF3">
            <w:pPr>
              <w:pStyle w:val="TableBodyText"/>
            </w:pPr>
            <w:r>
              <w:t>The background shading sh</w:t>
            </w:r>
            <w:r>
              <w:t>all be white (FFFFFF).</w:t>
            </w:r>
          </w:p>
          <w:p w:rsidR="005F78FC" w:rsidRDefault="00B42EF3">
            <w:pPr>
              <w:pStyle w:val="TableBodyText"/>
            </w:pPr>
            <w:r>
              <w:t>The shading pattern shall be solid.</w:t>
            </w:r>
          </w:p>
          <w:p w:rsidR="005F78FC" w:rsidRDefault="00B42EF3">
            <w:pPr>
              <w:pStyle w:val="TableBodyText"/>
            </w:pPr>
            <w:r>
              <w:t>The font color shall be white (FFFFFF).</w:t>
            </w:r>
          </w:p>
          <w:p w:rsidR="005F78FC" w:rsidRDefault="005F78FC">
            <w:pPr>
              <w:pStyle w:val="TableBodyText"/>
            </w:pPr>
          </w:p>
          <w:p w:rsidR="005F78FC" w:rsidRDefault="00B42EF3">
            <w:pPr>
              <w:pStyle w:val="TableBodyText"/>
            </w:pPr>
            <w:r>
              <w:t>The last row shall have the following properties:</w:t>
            </w:r>
          </w:p>
          <w:p w:rsidR="005F78FC" w:rsidRDefault="00B42EF3">
            <w:pPr>
              <w:pStyle w:val="TableBodyText"/>
            </w:pPr>
            <w:r>
              <w:t>The top border shall be a 3/4 pt single line.</w:t>
            </w:r>
          </w:p>
          <w:p w:rsidR="005F78FC" w:rsidRDefault="00B42EF3">
            <w:pPr>
              <w:pStyle w:val="TableBodyText"/>
            </w:pPr>
            <w:r>
              <w:t>The top border color shall be dark blue (0000CC).</w:t>
            </w:r>
          </w:p>
          <w:p w:rsidR="005F78FC" w:rsidRDefault="00B42EF3">
            <w:pPr>
              <w:pStyle w:val="TableBodyText"/>
            </w:pPr>
            <w:r>
              <w:t>The font s</w:t>
            </w:r>
            <w:r>
              <w:t>hall not be bold.</w:t>
            </w:r>
          </w:p>
          <w:p w:rsidR="005F78FC" w:rsidRDefault="005F78FC">
            <w:pPr>
              <w:pStyle w:val="TableBodyText"/>
            </w:pPr>
          </w:p>
          <w:p w:rsidR="005F78FC" w:rsidRDefault="00B42EF3">
            <w:pPr>
              <w:pStyle w:val="TableBodyText"/>
            </w:pPr>
            <w:r>
              <w:t>The first column shall have the following properties:</w:t>
            </w:r>
          </w:p>
          <w:p w:rsidR="005F78FC" w:rsidRDefault="00B42EF3">
            <w:pPr>
              <w:pStyle w:val="TableBodyText"/>
            </w:pPr>
            <w:r>
              <w:t>The font shall not be bold.</w:t>
            </w:r>
          </w:p>
          <w:p w:rsidR="005F78FC" w:rsidRDefault="005F78FC">
            <w:pPr>
              <w:pStyle w:val="TableBodyText"/>
            </w:pPr>
          </w:p>
          <w:p w:rsidR="005F78FC" w:rsidRDefault="00B42EF3">
            <w:pPr>
              <w:pStyle w:val="TableBodyText"/>
            </w:pPr>
            <w:r>
              <w:t>The last column shall have the following properties:</w:t>
            </w:r>
          </w:p>
          <w:p w:rsidR="005F78FC" w:rsidRDefault="00B42EF3">
            <w:pPr>
              <w:pStyle w:val="TableBodyText"/>
            </w:pPr>
            <w:r>
              <w:t>The font shall not be bold.</w:t>
            </w:r>
          </w:p>
          <w:p w:rsidR="005F78FC" w:rsidRDefault="005F78FC">
            <w:pPr>
              <w:pStyle w:val="TableBodyText"/>
            </w:pPr>
          </w:p>
          <w:p w:rsidR="005F78FC" w:rsidRDefault="00B42EF3">
            <w:pPr>
              <w:pStyle w:val="TableBodyText"/>
            </w:pPr>
            <w:r>
              <w:t>The header rows of the last column shall have the following properties:</w:t>
            </w:r>
          </w:p>
          <w:p w:rsidR="005F78FC" w:rsidRDefault="00B42EF3">
            <w:pPr>
              <w:pStyle w:val="TableBodyText"/>
            </w:pPr>
            <w:r>
              <w:t>The font shall be bold.</w:t>
            </w:r>
          </w:p>
          <w:p w:rsidR="005F78FC" w:rsidRDefault="005F78FC">
            <w:pPr>
              <w:pStyle w:val="TableBodyText"/>
            </w:pPr>
          </w:p>
        </w:tc>
      </w:tr>
      <w:tr w:rsidR="005F78FC" w:rsidTr="005F78FC">
        <w:tc>
          <w:tcPr>
            <w:tcW w:w="0" w:type="auto"/>
            <w:vAlign w:val="center"/>
          </w:tcPr>
          <w:p w:rsidR="005F78FC" w:rsidRDefault="00B42EF3">
            <w:pPr>
              <w:pStyle w:val="TableBodyText"/>
            </w:pPr>
            <w:r>
              <w:lastRenderedPageBreak/>
              <w:t>14 (Columns 4)</w:t>
            </w:r>
          </w:p>
          <w:p w:rsidR="005F78FC" w:rsidRDefault="005F78FC">
            <w:pPr>
              <w:pStyle w:val="TableBodyText"/>
            </w:pPr>
          </w:p>
        </w:tc>
        <w:tc>
          <w:tcPr>
            <w:tcW w:w="0" w:type="auto"/>
            <w:vAlign w:val="center"/>
          </w:tcPr>
          <w:p w:rsidR="005F78FC" w:rsidRDefault="00B42EF3">
            <w:pPr>
              <w:pStyle w:val="TableBodyText"/>
            </w:pPr>
            <w:r>
              <w:t>The table shall have the following properties:</w:t>
            </w:r>
          </w:p>
          <w:p w:rsidR="005F78FC" w:rsidRDefault="00B42EF3">
            <w:pPr>
              <w:pStyle w:val="TableBodyText"/>
            </w:pPr>
            <w:r>
              <w:t>The vertical alignment shall be top.</w:t>
            </w:r>
          </w:p>
          <w:p w:rsidR="005F78FC" w:rsidRDefault="005F78FC">
            <w:pPr>
              <w:pStyle w:val="TableBodyText"/>
            </w:pPr>
          </w:p>
          <w:p w:rsidR="005F78FC" w:rsidRDefault="00B42EF3">
            <w:pPr>
              <w:pStyle w:val="TableBodyText"/>
            </w:pPr>
            <w:r>
              <w:t>Odd columns of table data shall have the following properties:</w:t>
            </w:r>
          </w:p>
          <w:p w:rsidR="005F78FC" w:rsidRDefault="00B42EF3">
            <w:pPr>
              <w:pStyle w:val="TableBodyText"/>
            </w:pPr>
            <w:r>
              <w:t>The foreground shading color shall be black (000000).</w:t>
            </w:r>
          </w:p>
          <w:p w:rsidR="005F78FC" w:rsidRDefault="00B42EF3">
            <w:pPr>
              <w:pStyle w:val="TableBodyText"/>
            </w:pPr>
            <w:r>
              <w:t>The backgrou</w:t>
            </w:r>
            <w:r>
              <w:t>nd shading shall be white (FFFFFF).</w:t>
            </w:r>
          </w:p>
          <w:p w:rsidR="005F78FC" w:rsidRDefault="00B42EF3">
            <w:pPr>
              <w:pStyle w:val="TableBodyText"/>
            </w:pPr>
            <w:r>
              <w:t>The shading pattern shall be pct10.</w:t>
            </w:r>
          </w:p>
          <w:p w:rsidR="005F78FC" w:rsidRDefault="005F78FC">
            <w:pPr>
              <w:pStyle w:val="TableBodyText"/>
            </w:pPr>
          </w:p>
          <w:p w:rsidR="005F78FC" w:rsidRDefault="00B42EF3">
            <w:pPr>
              <w:pStyle w:val="TableBodyText"/>
            </w:pPr>
            <w:r>
              <w:t>Even columns of table data shall have the following properties:</w:t>
            </w:r>
          </w:p>
          <w:p w:rsidR="005F78FC" w:rsidRDefault="00B42EF3">
            <w:pPr>
              <w:pStyle w:val="TableBodyText"/>
            </w:pPr>
            <w:r>
              <w:t>The foreground shading color shall be dark cyan (00CCCC).</w:t>
            </w:r>
          </w:p>
          <w:p w:rsidR="005F78FC" w:rsidRDefault="00B42EF3">
            <w:pPr>
              <w:pStyle w:val="TableBodyText"/>
            </w:pPr>
            <w:r>
              <w:t>The background shading shall be white (FFFFFF).</w:t>
            </w:r>
          </w:p>
          <w:p w:rsidR="005F78FC" w:rsidRDefault="00B42EF3">
            <w:pPr>
              <w:pStyle w:val="TableBodyText"/>
            </w:pPr>
            <w:r>
              <w:t>The shading p</w:t>
            </w:r>
            <w:r>
              <w:t>attern shall be pct50.</w:t>
            </w:r>
          </w:p>
          <w:p w:rsidR="005F78FC" w:rsidRDefault="005F78FC">
            <w:pPr>
              <w:pStyle w:val="TableBodyText"/>
            </w:pPr>
          </w:p>
          <w:p w:rsidR="005F78FC" w:rsidRDefault="00B42EF3">
            <w:pPr>
              <w:pStyle w:val="TableBodyText"/>
            </w:pPr>
            <w:r>
              <w:t>The header rows shall have the following properties:</w:t>
            </w:r>
          </w:p>
          <w:p w:rsidR="005F78FC" w:rsidRDefault="00B42EF3">
            <w:pPr>
              <w:pStyle w:val="TableBodyText"/>
            </w:pPr>
            <w:r>
              <w:t>The foreground shading color shall be black (000000).</w:t>
            </w:r>
          </w:p>
          <w:p w:rsidR="005F78FC" w:rsidRDefault="00B42EF3">
            <w:pPr>
              <w:pStyle w:val="TableBodyText"/>
            </w:pPr>
            <w:r>
              <w:t>The background shading shall be white (FFFFFF).</w:t>
            </w:r>
          </w:p>
          <w:p w:rsidR="005F78FC" w:rsidRDefault="00B42EF3">
            <w:pPr>
              <w:pStyle w:val="TableBodyText"/>
            </w:pPr>
            <w:r>
              <w:t>The shading pattern shall be solid.</w:t>
            </w:r>
          </w:p>
          <w:p w:rsidR="005F78FC" w:rsidRDefault="00B42EF3">
            <w:pPr>
              <w:pStyle w:val="TableBodyText"/>
            </w:pPr>
            <w:r>
              <w:t>The font color shall be white (FFFFFF).</w:t>
            </w:r>
          </w:p>
          <w:p w:rsidR="005F78FC" w:rsidRDefault="005F78FC">
            <w:pPr>
              <w:pStyle w:val="TableBodyText"/>
            </w:pPr>
          </w:p>
          <w:p w:rsidR="005F78FC" w:rsidRDefault="00B42EF3">
            <w:pPr>
              <w:pStyle w:val="TableBodyText"/>
            </w:pPr>
            <w:r>
              <w:t>The last row shall have the following properties:</w:t>
            </w:r>
          </w:p>
          <w:p w:rsidR="005F78FC" w:rsidRDefault="00B42EF3">
            <w:pPr>
              <w:pStyle w:val="TableBodyText"/>
            </w:pPr>
            <w:r>
              <w:t>The font shall be bold.</w:t>
            </w:r>
          </w:p>
          <w:p w:rsidR="005F78FC" w:rsidRDefault="005F78FC">
            <w:pPr>
              <w:pStyle w:val="TableBodyText"/>
            </w:pPr>
          </w:p>
          <w:p w:rsidR="005F78FC" w:rsidRDefault="00B42EF3">
            <w:pPr>
              <w:pStyle w:val="TableBodyText"/>
            </w:pPr>
            <w:r>
              <w:t>The last column shall have the following properties:</w:t>
            </w:r>
          </w:p>
          <w:p w:rsidR="005F78FC" w:rsidRDefault="00B42EF3">
            <w:pPr>
              <w:pStyle w:val="TableBodyText"/>
            </w:pPr>
            <w:r>
              <w:t>The font shall be bold.</w:t>
            </w:r>
          </w:p>
          <w:p w:rsidR="005F78FC" w:rsidRDefault="005F78FC">
            <w:pPr>
              <w:pStyle w:val="TableBodyText"/>
            </w:pPr>
          </w:p>
        </w:tc>
      </w:tr>
      <w:tr w:rsidR="005F78FC" w:rsidTr="005F78FC">
        <w:tc>
          <w:tcPr>
            <w:tcW w:w="0" w:type="auto"/>
            <w:vAlign w:val="center"/>
          </w:tcPr>
          <w:p w:rsidR="005F78FC" w:rsidRDefault="00B42EF3">
            <w:pPr>
              <w:pStyle w:val="TableBodyText"/>
            </w:pPr>
            <w:r>
              <w:t>15 (Columns 5)</w:t>
            </w:r>
          </w:p>
        </w:tc>
        <w:tc>
          <w:tcPr>
            <w:tcW w:w="0" w:type="auto"/>
            <w:vAlign w:val="center"/>
          </w:tcPr>
          <w:p w:rsidR="005F78FC" w:rsidRDefault="00B42EF3">
            <w:pPr>
              <w:pStyle w:val="TableBodyText"/>
            </w:pPr>
            <w:r>
              <w:t>The table shall have the following properties:</w:t>
            </w:r>
          </w:p>
          <w:p w:rsidR="005F78FC" w:rsidRDefault="00B42EF3">
            <w:pPr>
              <w:pStyle w:val="TableBodyText"/>
            </w:pPr>
            <w:r>
              <w:t>The top border shall be a 1 1/2 pt singl</w:t>
            </w:r>
            <w:r>
              <w:t>e line.</w:t>
            </w:r>
          </w:p>
          <w:p w:rsidR="005F78FC" w:rsidRDefault="00B42EF3">
            <w:pPr>
              <w:pStyle w:val="TableBodyText"/>
            </w:pPr>
            <w:r>
              <w:t>The left border shall be a 1 1/2 pt single line.</w:t>
            </w:r>
          </w:p>
          <w:p w:rsidR="005F78FC" w:rsidRDefault="00B42EF3">
            <w:pPr>
              <w:pStyle w:val="TableBodyText"/>
            </w:pPr>
            <w:r>
              <w:t>The bottom border shall be a 1 1/2 pt single line.</w:t>
            </w:r>
          </w:p>
          <w:p w:rsidR="005F78FC" w:rsidRDefault="00B42EF3">
            <w:pPr>
              <w:pStyle w:val="TableBodyText"/>
            </w:pPr>
            <w:r>
              <w:t>The right border shall be a 1 1/2 pt single line.</w:t>
            </w:r>
          </w:p>
          <w:p w:rsidR="005F78FC" w:rsidRDefault="00B42EF3">
            <w:pPr>
              <w:pStyle w:val="TableBodyText"/>
            </w:pPr>
            <w:r>
              <w:t>The inside vertical border shall be a 3/4 pt single line.</w:t>
            </w:r>
          </w:p>
          <w:p w:rsidR="005F78FC" w:rsidRDefault="00B42EF3">
            <w:pPr>
              <w:pStyle w:val="TableBodyText"/>
            </w:pPr>
            <w:r>
              <w:t xml:space="preserve">The top border color shall be dark gray </w:t>
            </w:r>
            <w:r>
              <w:t>(CCCCCC).</w:t>
            </w:r>
          </w:p>
          <w:p w:rsidR="005F78FC" w:rsidRDefault="00B42EF3">
            <w:pPr>
              <w:pStyle w:val="TableBodyText"/>
            </w:pPr>
            <w:r>
              <w:t>The left border color shall be dark gray (CCCCCC).</w:t>
            </w:r>
          </w:p>
          <w:p w:rsidR="005F78FC" w:rsidRDefault="00B42EF3">
            <w:pPr>
              <w:pStyle w:val="TableBodyText"/>
            </w:pPr>
            <w:r>
              <w:t>The bottom border color shall be dark gray (CCCCCC).</w:t>
            </w:r>
          </w:p>
          <w:p w:rsidR="005F78FC" w:rsidRDefault="00B42EF3">
            <w:pPr>
              <w:pStyle w:val="TableBodyText"/>
            </w:pPr>
            <w:r>
              <w:t>The right border color shall be dark gray (CCCCCC).</w:t>
            </w:r>
          </w:p>
          <w:p w:rsidR="005F78FC" w:rsidRDefault="00B42EF3">
            <w:pPr>
              <w:pStyle w:val="TableBodyText"/>
            </w:pPr>
            <w:r>
              <w:t>The inside vertical border color shall be light gray (C0C0C0).</w:t>
            </w:r>
          </w:p>
          <w:p w:rsidR="005F78FC" w:rsidRDefault="00B42EF3">
            <w:pPr>
              <w:pStyle w:val="TableBodyText"/>
            </w:pPr>
            <w:r>
              <w:t xml:space="preserve">The vertical alignment </w:t>
            </w:r>
            <w:r>
              <w:t>shall be top.</w:t>
            </w:r>
          </w:p>
          <w:p w:rsidR="005F78FC" w:rsidRDefault="005F78FC">
            <w:pPr>
              <w:pStyle w:val="TableBodyText"/>
            </w:pPr>
          </w:p>
          <w:p w:rsidR="005F78FC" w:rsidRDefault="00B42EF3">
            <w:pPr>
              <w:pStyle w:val="TableBodyText"/>
            </w:pPr>
            <w:r>
              <w:t>Even columns of table data shall have the following properties:</w:t>
            </w:r>
          </w:p>
          <w:p w:rsidR="005F78FC" w:rsidRDefault="00B42EF3">
            <w:pPr>
              <w:pStyle w:val="TableBodyText"/>
            </w:pPr>
            <w:r>
              <w:t>The foreground shading color shall be dark gray (C0C0C0).</w:t>
            </w:r>
          </w:p>
          <w:p w:rsidR="005F78FC" w:rsidRDefault="00B42EF3">
            <w:pPr>
              <w:pStyle w:val="TableBodyText"/>
            </w:pPr>
            <w:r>
              <w:t>The background shading shall be white (FFFFFF).</w:t>
            </w:r>
          </w:p>
          <w:p w:rsidR="005F78FC" w:rsidRDefault="00B42EF3">
            <w:pPr>
              <w:pStyle w:val="TableBodyText"/>
            </w:pPr>
            <w:r>
              <w:t>The shading pattern shall be solid.</w:t>
            </w:r>
          </w:p>
          <w:p w:rsidR="005F78FC" w:rsidRDefault="005F78FC">
            <w:pPr>
              <w:pStyle w:val="TableBodyText"/>
            </w:pPr>
          </w:p>
          <w:p w:rsidR="005F78FC" w:rsidRDefault="00B42EF3">
            <w:pPr>
              <w:pStyle w:val="TableBodyText"/>
            </w:pPr>
            <w:r>
              <w:t>The header rows shall have the fol</w:t>
            </w:r>
            <w:r>
              <w:t>lowing properties:</w:t>
            </w:r>
          </w:p>
          <w:p w:rsidR="005F78FC" w:rsidRDefault="00B42EF3">
            <w:pPr>
              <w:pStyle w:val="TableBodyText"/>
            </w:pPr>
            <w:r>
              <w:t>The bottom border shall be a 3/4 pt single line.</w:t>
            </w:r>
          </w:p>
          <w:p w:rsidR="005F78FC" w:rsidRDefault="00B42EF3">
            <w:pPr>
              <w:pStyle w:val="TableBodyText"/>
            </w:pPr>
            <w:r>
              <w:t>The bottom border color shall be dark gray (CCCCCC).</w:t>
            </w:r>
          </w:p>
          <w:p w:rsidR="005F78FC" w:rsidRDefault="00B42EF3">
            <w:pPr>
              <w:pStyle w:val="TableBodyText"/>
            </w:pPr>
            <w:r>
              <w:lastRenderedPageBreak/>
              <w:t>The font shall be bold.</w:t>
            </w:r>
          </w:p>
          <w:p w:rsidR="005F78FC" w:rsidRDefault="00B42EF3">
            <w:pPr>
              <w:pStyle w:val="TableBodyText"/>
            </w:pPr>
            <w:r>
              <w:t>The font shall be italic.</w:t>
            </w:r>
          </w:p>
          <w:p w:rsidR="005F78FC" w:rsidRDefault="005F78FC">
            <w:pPr>
              <w:pStyle w:val="TableBodyText"/>
            </w:pPr>
          </w:p>
          <w:p w:rsidR="005F78FC" w:rsidRDefault="00B42EF3">
            <w:pPr>
              <w:pStyle w:val="TableBodyText"/>
            </w:pPr>
            <w:r>
              <w:t>The last row shall have the following properties:</w:t>
            </w:r>
          </w:p>
          <w:p w:rsidR="005F78FC" w:rsidRDefault="00B42EF3">
            <w:pPr>
              <w:pStyle w:val="TableBodyText"/>
            </w:pPr>
            <w:r>
              <w:t>The top border shall be a 3/4 pt s</w:t>
            </w:r>
            <w:r>
              <w:t>ingle line.</w:t>
            </w:r>
          </w:p>
          <w:p w:rsidR="005F78FC" w:rsidRDefault="00B42EF3">
            <w:pPr>
              <w:pStyle w:val="TableBodyText"/>
            </w:pPr>
            <w:r>
              <w:t>The top border color shall be dark gray (CCCCCC).</w:t>
            </w:r>
          </w:p>
          <w:p w:rsidR="005F78FC" w:rsidRDefault="00B42EF3">
            <w:pPr>
              <w:pStyle w:val="TableBodyText"/>
            </w:pPr>
            <w:r>
              <w:t>The font shall be bold.</w:t>
            </w:r>
          </w:p>
          <w:p w:rsidR="005F78FC" w:rsidRDefault="005F78FC">
            <w:pPr>
              <w:pStyle w:val="TableBodyText"/>
            </w:pPr>
          </w:p>
          <w:p w:rsidR="005F78FC" w:rsidRDefault="00B42EF3">
            <w:pPr>
              <w:pStyle w:val="TableBodyText"/>
            </w:pPr>
            <w:r>
              <w:t>The first column shall have the following properties:</w:t>
            </w:r>
          </w:p>
          <w:p w:rsidR="005F78FC" w:rsidRDefault="00B42EF3">
            <w:pPr>
              <w:pStyle w:val="TableBodyText"/>
            </w:pPr>
            <w:r>
              <w:t>The font shall be bold.</w:t>
            </w:r>
          </w:p>
          <w:p w:rsidR="005F78FC" w:rsidRDefault="005F78FC">
            <w:pPr>
              <w:pStyle w:val="TableBodyText"/>
            </w:pPr>
          </w:p>
          <w:p w:rsidR="005F78FC" w:rsidRDefault="00B42EF3">
            <w:pPr>
              <w:pStyle w:val="TableBodyText"/>
            </w:pPr>
            <w:r>
              <w:t>The last column shall have the following properties:</w:t>
            </w:r>
          </w:p>
          <w:p w:rsidR="005F78FC" w:rsidRDefault="00B42EF3">
            <w:pPr>
              <w:pStyle w:val="TableBodyText"/>
            </w:pPr>
            <w:r>
              <w:t>The font shall be bold.</w:t>
            </w:r>
          </w:p>
          <w:p w:rsidR="005F78FC" w:rsidRDefault="005F78FC">
            <w:pPr>
              <w:pStyle w:val="TableBodyText"/>
            </w:pPr>
          </w:p>
        </w:tc>
      </w:tr>
      <w:tr w:rsidR="005F78FC" w:rsidTr="005F78FC">
        <w:tc>
          <w:tcPr>
            <w:tcW w:w="0" w:type="auto"/>
            <w:vAlign w:val="center"/>
          </w:tcPr>
          <w:p w:rsidR="005F78FC" w:rsidRDefault="00B42EF3">
            <w:pPr>
              <w:pStyle w:val="TableBodyText"/>
            </w:pPr>
            <w:r>
              <w:lastRenderedPageBreak/>
              <w:t>16 (Grid 1)</w:t>
            </w:r>
          </w:p>
          <w:p w:rsidR="005F78FC" w:rsidRDefault="005F78FC">
            <w:pPr>
              <w:pStyle w:val="TableBodyText"/>
            </w:pPr>
          </w:p>
        </w:tc>
        <w:tc>
          <w:tcPr>
            <w:tcW w:w="0" w:type="auto"/>
            <w:vAlign w:val="center"/>
          </w:tcPr>
          <w:p w:rsidR="005F78FC" w:rsidRDefault="00B42EF3">
            <w:pPr>
              <w:pStyle w:val="TableBodyText"/>
            </w:pPr>
            <w:r>
              <w:t>The table shall have the following properties:</w:t>
            </w:r>
          </w:p>
          <w:p w:rsidR="005F78FC" w:rsidRDefault="00B42EF3">
            <w:pPr>
              <w:pStyle w:val="TableBodyText"/>
            </w:pPr>
            <w:r>
              <w:t>The top border shall be a 3/4 pt single line.</w:t>
            </w:r>
          </w:p>
          <w:p w:rsidR="005F78FC" w:rsidRDefault="00B42EF3">
            <w:pPr>
              <w:pStyle w:val="TableBodyText"/>
            </w:pPr>
            <w:r>
              <w:t>The left border shall be a 3/4 pt single line.</w:t>
            </w:r>
          </w:p>
          <w:p w:rsidR="005F78FC" w:rsidRDefault="00B42EF3">
            <w:pPr>
              <w:pStyle w:val="TableBodyText"/>
            </w:pPr>
            <w:r>
              <w:t>The bottom border shall be a 3/4 pt single line.</w:t>
            </w:r>
          </w:p>
          <w:p w:rsidR="005F78FC" w:rsidRDefault="00B42EF3">
            <w:pPr>
              <w:pStyle w:val="TableBodyText"/>
            </w:pPr>
            <w:r>
              <w:t>The right border shall be a 3/4 pt single line.</w:t>
            </w:r>
          </w:p>
          <w:p w:rsidR="005F78FC" w:rsidRDefault="00B42EF3">
            <w:pPr>
              <w:pStyle w:val="TableBodyText"/>
            </w:pPr>
            <w:r>
              <w:t>The inside horizo</w:t>
            </w:r>
            <w:r>
              <w:t>ntal border shall be a 3/4 pt single line.</w:t>
            </w:r>
          </w:p>
          <w:p w:rsidR="005F78FC" w:rsidRDefault="00B42EF3">
            <w:pPr>
              <w:pStyle w:val="TableBodyText"/>
            </w:pPr>
            <w:r>
              <w:t>The inside vertical border shall be a 3/4 pt single line.</w:t>
            </w:r>
          </w:p>
          <w:p w:rsidR="005F78FC" w:rsidRDefault="00B42EF3">
            <w:pPr>
              <w:pStyle w:val="TableBodyText"/>
            </w:pPr>
            <w:r>
              <w:t>The top border color shall be black (000000).</w:t>
            </w:r>
          </w:p>
          <w:p w:rsidR="005F78FC" w:rsidRDefault="00B42EF3">
            <w:pPr>
              <w:pStyle w:val="TableBodyText"/>
            </w:pPr>
            <w:r>
              <w:t>The left border color shall be black (000000).</w:t>
            </w:r>
          </w:p>
          <w:p w:rsidR="005F78FC" w:rsidRDefault="00B42EF3">
            <w:pPr>
              <w:pStyle w:val="TableBodyText"/>
            </w:pPr>
            <w:r>
              <w:t>The bottom border color shall be black (000000).</w:t>
            </w:r>
          </w:p>
          <w:p w:rsidR="005F78FC" w:rsidRDefault="00B42EF3">
            <w:pPr>
              <w:pStyle w:val="TableBodyText"/>
            </w:pPr>
            <w:r>
              <w:t>The right bor</w:t>
            </w:r>
            <w:r>
              <w:t>der color shall be black (000000).</w:t>
            </w:r>
          </w:p>
          <w:p w:rsidR="005F78FC" w:rsidRDefault="00B42EF3">
            <w:pPr>
              <w:pStyle w:val="TableBodyText"/>
            </w:pPr>
            <w:r>
              <w:t>The inside horizontal border color shall be black (000000).</w:t>
            </w:r>
          </w:p>
          <w:p w:rsidR="005F78FC" w:rsidRDefault="00B42EF3">
            <w:pPr>
              <w:pStyle w:val="TableBodyText"/>
            </w:pPr>
            <w:r>
              <w:t>The inside vertical border color shall be black (000000).</w:t>
            </w:r>
          </w:p>
          <w:p w:rsidR="005F78FC" w:rsidRDefault="00B42EF3">
            <w:pPr>
              <w:pStyle w:val="TableBodyText"/>
            </w:pPr>
            <w:r>
              <w:t>The vertical alignment shall be top.</w:t>
            </w:r>
          </w:p>
          <w:p w:rsidR="005F78FC" w:rsidRDefault="005F78FC">
            <w:pPr>
              <w:pStyle w:val="TableBodyText"/>
            </w:pPr>
          </w:p>
          <w:p w:rsidR="005F78FC" w:rsidRDefault="00B42EF3">
            <w:pPr>
              <w:pStyle w:val="TableBodyText"/>
            </w:pPr>
            <w:r>
              <w:t>The last column shall have the following properties:</w:t>
            </w:r>
          </w:p>
          <w:p w:rsidR="005F78FC" w:rsidRDefault="00B42EF3">
            <w:pPr>
              <w:pStyle w:val="TableBodyText"/>
            </w:pPr>
            <w:r>
              <w:t>The font sha</w:t>
            </w:r>
            <w:r>
              <w:t>ll be italic.</w:t>
            </w:r>
          </w:p>
          <w:p w:rsidR="005F78FC" w:rsidRDefault="005F78FC">
            <w:pPr>
              <w:pStyle w:val="TableBodyText"/>
            </w:pPr>
          </w:p>
          <w:p w:rsidR="005F78FC" w:rsidRDefault="00B42EF3">
            <w:pPr>
              <w:pStyle w:val="TableBodyText"/>
            </w:pPr>
            <w:r>
              <w:t>The last row shall have the following properties:</w:t>
            </w:r>
          </w:p>
          <w:p w:rsidR="005F78FC" w:rsidRDefault="00B42EF3">
            <w:pPr>
              <w:pStyle w:val="TableBodyText"/>
            </w:pPr>
            <w:r>
              <w:t>The font shall be italic.</w:t>
            </w:r>
          </w:p>
          <w:p w:rsidR="005F78FC" w:rsidRDefault="005F78FC">
            <w:pPr>
              <w:pStyle w:val="TableBodyText"/>
            </w:pPr>
          </w:p>
        </w:tc>
      </w:tr>
      <w:tr w:rsidR="005F78FC" w:rsidTr="005F78FC">
        <w:tc>
          <w:tcPr>
            <w:tcW w:w="0" w:type="auto"/>
            <w:vAlign w:val="center"/>
          </w:tcPr>
          <w:p w:rsidR="005F78FC" w:rsidRDefault="00B42EF3">
            <w:pPr>
              <w:pStyle w:val="TableBodyText"/>
            </w:pPr>
            <w:r>
              <w:t>17 (Grid 2)</w:t>
            </w:r>
          </w:p>
          <w:p w:rsidR="005F78FC" w:rsidRDefault="005F78FC">
            <w:pPr>
              <w:pStyle w:val="TableBodyText"/>
            </w:pPr>
          </w:p>
        </w:tc>
        <w:tc>
          <w:tcPr>
            <w:tcW w:w="0" w:type="auto"/>
            <w:vAlign w:val="center"/>
          </w:tcPr>
          <w:p w:rsidR="005F78FC" w:rsidRDefault="00B42EF3">
            <w:pPr>
              <w:pStyle w:val="TableBodyText"/>
            </w:pPr>
            <w:r>
              <w:t>The table shall have the following properties:</w:t>
            </w:r>
          </w:p>
          <w:p w:rsidR="005F78FC" w:rsidRDefault="00B42EF3">
            <w:pPr>
              <w:pStyle w:val="TableBodyText"/>
            </w:pPr>
            <w:r>
              <w:t>The inside horizontal border shall be a 3/4 pt single line.</w:t>
            </w:r>
          </w:p>
          <w:p w:rsidR="005F78FC" w:rsidRDefault="00B42EF3">
            <w:pPr>
              <w:pStyle w:val="TableBodyText"/>
            </w:pPr>
            <w:r>
              <w:t xml:space="preserve">The inside vertical border shall be a 3/4 </w:t>
            </w:r>
            <w:r>
              <w:t>pt single line.</w:t>
            </w:r>
          </w:p>
          <w:p w:rsidR="005F78FC" w:rsidRDefault="00B42EF3">
            <w:pPr>
              <w:pStyle w:val="TableBodyText"/>
            </w:pPr>
            <w:r>
              <w:t>The inside horizontal border color shall be black (000000).</w:t>
            </w:r>
          </w:p>
          <w:p w:rsidR="005F78FC" w:rsidRDefault="00B42EF3">
            <w:pPr>
              <w:pStyle w:val="TableBodyText"/>
            </w:pPr>
            <w:r>
              <w:t>The inside vertical border color shall be black (000000).</w:t>
            </w:r>
          </w:p>
          <w:p w:rsidR="005F78FC" w:rsidRDefault="00B42EF3">
            <w:pPr>
              <w:pStyle w:val="TableBodyText"/>
            </w:pPr>
            <w:r>
              <w:t>The vertical alignment shall be top.</w:t>
            </w:r>
          </w:p>
          <w:p w:rsidR="005F78FC" w:rsidRDefault="005F78FC">
            <w:pPr>
              <w:pStyle w:val="TableBodyText"/>
            </w:pPr>
          </w:p>
          <w:p w:rsidR="005F78FC" w:rsidRDefault="00B42EF3">
            <w:pPr>
              <w:pStyle w:val="TableBodyText"/>
            </w:pPr>
            <w:r>
              <w:t>The header rows shall have the following properties:</w:t>
            </w:r>
          </w:p>
          <w:p w:rsidR="005F78FC" w:rsidRDefault="00B42EF3">
            <w:pPr>
              <w:pStyle w:val="TableBodyText"/>
            </w:pPr>
            <w:r>
              <w:t>The font shall be bold.</w:t>
            </w:r>
          </w:p>
          <w:p w:rsidR="005F78FC" w:rsidRDefault="005F78FC">
            <w:pPr>
              <w:pStyle w:val="TableBodyText"/>
            </w:pPr>
          </w:p>
          <w:p w:rsidR="005F78FC" w:rsidRDefault="00B42EF3">
            <w:pPr>
              <w:pStyle w:val="TableBodyText"/>
            </w:pPr>
            <w:r>
              <w:t>The la</w:t>
            </w:r>
            <w:r>
              <w:t>st row shall have the following properties:</w:t>
            </w:r>
          </w:p>
          <w:p w:rsidR="005F78FC" w:rsidRDefault="00B42EF3">
            <w:pPr>
              <w:pStyle w:val="TableBodyText"/>
            </w:pPr>
            <w:r>
              <w:t>The top border shall be a 3/4 pt single line.</w:t>
            </w:r>
          </w:p>
          <w:p w:rsidR="005F78FC" w:rsidRDefault="00B42EF3">
            <w:pPr>
              <w:pStyle w:val="TableBodyText"/>
            </w:pPr>
            <w:r>
              <w:lastRenderedPageBreak/>
              <w:t>The top border color shall be black (000000).</w:t>
            </w:r>
          </w:p>
          <w:p w:rsidR="005F78FC" w:rsidRDefault="00B42EF3">
            <w:pPr>
              <w:pStyle w:val="TableBodyText"/>
            </w:pPr>
            <w:r>
              <w:t>The font shall be bold.</w:t>
            </w:r>
          </w:p>
          <w:p w:rsidR="005F78FC" w:rsidRDefault="005F78FC">
            <w:pPr>
              <w:pStyle w:val="TableBodyText"/>
            </w:pPr>
          </w:p>
          <w:p w:rsidR="005F78FC" w:rsidRDefault="00B42EF3">
            <w:pPr>
              <w:pStyle w:val="TableBodyText"/>
            </w:pPr>
            <w:r>
              <w:t>The first column shall have the following properties:</w:t>
            </w:r>
          </w:p>
          <w:p w:rsidR="005F78FC" w:rsidRDefault="00B42EF3">
            <w:pPr>
              <w:pStyle w:val="TableBodyText"/>
            </w:pPr>
            <w:r>
              <w:t>The font shall be bold.</w:t>
            </w:r>
          </w:p>
          <w:p w:rsidR="005F78FC" w:rsidRDefault="005F78FC">
            <w:pPr>
              <w:pStyle w:val="TableBodyText"/>
            </w:pPr>
          </w:p>
          <w:p w:rsidR="005F78FC" w:rsidRDefault="00B42EF3">
            <w:pPr>
              <w:pStyle w:val="TableBodyText"/>
            </w:pPr>
            <w:r>
              <w:t xml:space="preserve">The last column </w:t>
            </w:r>
            <w:r>
              <w:t>shall have the following properties:</w:t>
            </w:r>
          </w:p>
          <w:p w:rsidR="005F78FC" w:rsidRDefault="00B42EF3">
            <w:pPr>
              <w:pStyle w:val="TableBodyText"/>
            </w:pPr>
            <w:r>
              <w:t>The font shall be bold.</w:t>
            </w:r>
          </w:p>
          <w:p w:rsidR="005F78FC" w:rsidRDefault="005F78FC">
            <w:pPr>
              <w:pStyle w:val="TableBodyText"/>
            </w:pPr>
          </w:p>
        </w:tc>
      </w:tr>
      <w:tr w:rsidR="005F78FC" w:rsidTr="005F78FC">
        <w:tc>
          <w:tcPr>
            <w:tcW w:w="0" w:type="auto"/>
            <w:vAlign w:val="center"/>
          </w:tcPr>
          <w:p w:rsidR="005F78FC" w:rsidRDefault="00B42EF3">
            <w:pPr>
              <w:pStyle w:val="TableBodyText"/>
            </w:pPr>
            <w:r>
              <w:lastRenderedPageBreak/>
              <w:t>18 (Grid 3)</w:t>
            </w:r>
          </w:p>
        </w:tc>
        <w:tc>
          <w:tcPr>
            <w:tcW w:w="0" w:type="auto"/>
            <w:vAlign w:val="center"/>
          </w:tcPr>
          <w:p w:rsidR="005F78FC" w:rsidRDefault="00B42EF3">
            <w:pPr>
              <w:pStyle w:val="TableBodyText"/>
            </w:pPr>
            <w:r>
              <w:t>The table shall have the following properties:</w:t>
            </w:r>
          </w:p>
          <w:p w:rsidR="005F78FC" w:rsidRDefault="00B42EF3">
            <w:pPr>
              <w:pStyle w:val="TableBodyText"/>
            </w:pPr>
            <w:r>
              <w:t>The top border shall be a 3/4 pt single line.</w:t>
            </w:r>
          </w:p>
          <w:p w:rsidR="005F78FC" w:rsidRDefault="00B42EF3">
            <w:pPr>
              <w:pStyle w:val="TableBodyText"/>
            </w:pPr>
            <w:r>
              <w:t>The left border shall be a 1 1/2 pt single line.</w:t>
            </w:r>
          </w:p>
          <w:p w:rsidR="005F78FC" w:rsidRDefault="00B42EF3">
            <w:pPr>
              <w:pStyle w:val="TableBodyText"/>
            </w:pPr>
            <w:r>
              <w:t xml:space="preserve">The bottom border shall be a 3/4 pt </w:t>
            </w:r>
            <w:r>
              <w:t>single line.</w:t>
            </w:r>
          </w:p>
          <w:p w:rsidR="005F78FC" w:rsidRDefault="00B42EF3">
            <w:pPr>
              <w:pStyle w:val="TableBodyText"/>
            </w:pPr>
            <w:r>
              <w:t>The right border shall be a 1 1/2 pt single line.</w:t>
            </w:r>
          </w:p>
          <w:p w:rsidR="005F78FC" w:rsidRDefault="00B42EF3">
            <w:pPr>
              <w:pStyle w:val="TableBodyText"/>
            </w:pPr>
            <w:r>
              <w:t>The inside vertical border shall be a 3/4 pt single line.</w:t>
            </w:r>
          </w:p>
          <w:p w:rsidR="005F78FC" w:rsidRDefault="00B42EF3">
            <w:pPr>
              <w:pStyle w:val="TableBodyText"/>
            </w:pPr>
            <w:r>
              <w:t>The top border color shall be black (000000).</w:t>
            </w:r>
          </w:p>
          <w:p w:rsidR="005F78FC" w:rsidRDefault="00B42EF3">
            <w:pPr>
              <w:pStyle w:val="TableBodyText"/>
            </w:pPr>
            <w:r>
              <w:t>The left border color shall be black (000000).</w:t>
            </w:r>
          </w:p>
          <w:p w:rsidR="005F78FC" w:rsidRDefault="00B42EF3">
            <w:pPr>
              <w:pStyle w:val="TableBodyText"/>
            </w:pPr>
            <w:r>
              <w:t>The bottom border color shall be black (00</w:t>
            </w:r>
            <w:r>
              <w:t>0000).</w:t>
            </w:r>
          </w:p>
          <w:p w:rsidR="005F78FC" w:rsidRDefault="00B42EF3">
            <w:pPr>
              <w:pStyle w:val="TableBodyText"/>
            </w:pPr>
            <w:r>
              <w:t>The right border color shall be black (000000).</w:t>
            </w:r>
          </w:p>
          <w:p w:rsidR="005F78FC" w:rsidRDefault="00B42EF3">
            <w:pPr>
              <w:pStyle w:val="TableBodyText"/>
            </w:pPr>
            <w:r>
              <w:t>The inside vertical border color shall be black (000000).</w:t>
            </w:r>
          </w:p>
          <w:p w:rsidR="005F78FC" w:rsidRDefault="00B42EF3">
            <w:pPr>
              <w:pStyle w:val="TableBodyText"/>
            </w:pPr>
            <w:r>
              <w:t>The vertical alignment shall be top.</w:t>
            </w:r>
          </w:p>
          <w:p w:rsidR="005F78FC" w:rsidRDefault="005F78FC">
            <w:pPr>
              <w:pStyle w:val="TableBodyText"/>
            </w:pPr>
          </w:p>
          <w:p w:rsidR="005F78FC" w:rsidRDefault="00B42EF3">
            <w:pPr>
              <w:pStyle w:val="TableBodyText"/>
            </w:pPr>
            <w:r>
              <w:t>The header rows shall have the following properties:</w:t>
            </w:r>
          </w:p>
          <w:p w:rsidR="005F78FC" w:rsidRDefault="00B42EF3">
            <w:pPr>
              <w:pStyle w:val="TableBodyText"/>
            </w:pPr>
            <w:r>
              <w:t>The bottom border shall be a 3/4 pt single line.</w:t>
            </w:r>
          </w:p>
          <w:p w:rsidR="005F78FC" w:rsidRDefault="00B42EF3">
            <w:pPr>
              <w:pStyle w:val="TableBodyText"/>
            </w:pPr>
            <w:r>
              <w:t>The</w:t>
            </w:r>
            <w:r>
              <w:t xml:space="preserve"> bottom border color shall be black (000000).</w:t>
            </w:r>
          </w:p>
          <w:p w:rsidR="005F78FC" w:rsidRDefault="00B42EF3">
            <w:pPr>
              <w:pStyle w:val="TableBodyText"/>
            </w:pPr>
            <w:r>
              <w:t>The foreground shading color shall be yellow (FFFF00).</w:t>
            </w:r>
          </w:p>
          <w:p w:rsidR="005F78FC" w:rsidRDefault="00B42EF3">
            <w:pPr>
              <w:pStyle w:val="TableBodyText"/>
            </w:pPr>
            <w:r>
              <w:t>The background shading shall be white (FFFFFF).</w:t>
            </w:r>
          </w:p>
          <w:p w:rsidR="005F78FC" w:rsidRDefault="00B42EF3">
            <w:pPr>
              <w:pStyle w:val="TableBodyText"/>
            </w:pPr>
            <w:r>
              <w:t>The shading pattern shall be pct30.</w:t>
            </w:r>
          </w:p>
          <w:p w:rsidR="005F78FC" w:rsidRDefault="005F78FC">
            <w:pPr>
              <w:pStyle w:val="TableBodyText"/>
            </w:pPr>
          </w:p>
          <w:p w:rsidR="005F78FC" w:rsidRDefault="00B42EF3">
            <w:pPr>
              <w:pStyle w:val="TableBodyText"/>
            </w:pPr>
            <w:r>
              <w:t>The last row shall have the following properties:</w:t>
            </w:r>
          </w:p>
          <w:p w:rsidR="005F78FC" w:rsidRDefault="00B42EF3">
            <w:pPr>
              <w:pStyle w:val="TableBodyText"/>
            </w:pPr>
            <w:r>
              <w:t>The font shall be bo</w:t>
            </w:r>
            <w:r>
              <w:t>ld.</w:t>
            </w:r>
          </w:p>
          <w:p w:rsidR="005F78FC" w:rsidRDefault="005F78FC">
            <w:pPr>
              <w:pStyle w:val="TableBodyText"/>
            </w:pPr>
          </w:p>
          <w:p w:rsidR="005F78FC" w:rsidRDefault="00B42EF3">
            <w:pPr>
              <w:pStyle w:val="TableBodyText"/>
            </w:pPr>
            <w:r>
              <w:t>The last column shall have the following properties:</w:t>
            </w:r>
          </w:p>
          <w:p w:rsidR="005F78FC" w:rsidRDefault="00B42EF3">
            <w:pPr>
              <w:pStyle w:val="TableBodyText"/>
            </w:pPr>
            <w:r>
              <w:t>The font shall be bold.</w:t>
            </w:r>
          </w:p>
          <w:p w:rsidR="005F78FC" w:rsidRDefault="005F78FC">
            <w:pPr>
              <w:pStyle w:val="TableBodyText"/>
            </w:pPr>
          </w:p>
        </w:tc>
      </w:tr>
      <w:tr w:rsidR="005F78FC" w:rsidTr="005F78FC">
        <w:tc>
          <w:tcPr>
            <w:tcW w:w="0" w:type="auto"/>
            <w:vAlign w:val="center"/>
          </w:tcPr>
          <w:p w:rsidR="005F78FC" w:rsidRDefault="00B42EF3">
            <w:pPr>
              <w:pStyle w:val="TableBodyText"/>
            </w:pPr>
            <w:r>
              <w:t>19 (Grid 4)</w:t>
            </w:r>
          </w:p>
          <w:p w:rsidR="005F78FC" w:rsidRDefault="005F78FC">
            <w:pPr>
              <w:pStyle w:val="TableBodyText"/>
            </w:pPr>
          </w:p>
        </w:tc>
        <w:tc>
          <w:tcPr>
            <w:tcW w:w="0" w:type="auto"/>
            <w:vAlign w:val="center"/>
          </w:tcPr>
          <w:p w:rsidR="005F78FC" w:rsidRDefault="00B42EF3">
            <w:pPr>
              <w:pStyle w:val="TableBodyText"/>
            </w:pPr>
            <w:r>
              <w:t>The table shall have the following properties:</w:t>
            </w:r>
          </w:p>
          <w:p w:rsidR="005F78FC" w:rsidRDefault="00B42EF3">
            <w:pPr>
              <w:pStyle w:val="TableBodyText"/>
            </w:pPr>
            <w:r>
              <w:t>The left border shall be a 1 1/2 pt single line.</w:t>
            </w:r>
          </w:p>
          <w:p w:rsidR="005F78FC" w:rsidRDefault="00B42EF3">
            <w:pPr>
              <w:pStyle w:val="TableBodyText"/>
            </w:pPr>
            <w:r>
              <w:t>The right border shall be a 1 1/2 pt single line.</w:t>
            </w:r>
          </w:p>
          <w:p w:rsidR="005F78FC" w:rsidRDefault="00B42EF3">
            <w:pPr>
              <w:pStyle w:val="TableBodyText"/>
            </w:pPr>
            <w:r>
              <w:t xml:space="preserve">The inside </w:t>
            </w:r>
            <w:r>
              <w:t>horizontal border shall be a 3/4 pt single line.</w:t>
            </w:r>
          </w:p>
          <w:p w:rsidR="005F78FC" w:rsidRDefault="00B42EF3">
            <w:pPr>
              <w:pStyle w:val="TableBodyText"/>
            </w:pPr>
            <w:r>
              <w:t>The inside vertical border shall be a 3/4 pt single line.</w:t>
            </w:r>
          </w:p>
          <w:p w:rsidR="005F78FC" w:rsidRDefault="00B42EF3">
            <w:pPr>
              <w:pStyle w:val="TableBodyText"/>
            </w:pPr>
            <w:r>
              <w:t>The left border color shall be black (000000).</w:t>
            </w:r>
          </w:p>
          <w:p w:rsidR="005F78FC" w:rsidRDefault="00B42EF3">
            <w:pPr>
              <w:pStyle w:val="TableBodyText"/>
            </w:pPr>
            <w:r>
              <w:t>The right border color shall be black (000000).</w:t>
            </w:r>
          </w:p>
          <w:p w:rsidR="005F78FC" w:rsidRDefault="00B42EF3">
            <w:pPr>
              <w:pStyle w:val="TableBodyText"/>
            </w:pPr>
            <w:r>
              <w:t>The inside horizontal border color shall be black (000</w:t>
            </w:r>
            <w:r>
              <w:t>000).</w:t>
            </w:r>
          </w:p>
          <w:p w:rsidR="005F78FC" w:rsidRDefault="00B42EF3">
            <w:pPr>
              <w:pStyle w:val="TableBodyText"/>
            </w:pPr>
            <w:r>
              <w:t>The inside vertical border color shall be black (000000).</w:t>
            </w:r>
          </w:p>
          <w:p w:rsidR="005F78FC" w:rsidRDefault="00B42EF3">
            <w:pPr>
              <w:pStyle w:val="TableBodyText"/>
            </w:pPr>
            <w:r>
              <w:t>The vertical alignment shall be top.</w:t>
            </w:r>
          </w:p>
          <w:p w:rsidR="005F78FC" w:rsidRDefault="005F78FC">
            <w:pPr>
              <w:pStyle w:val="TableBodyText"/>
            </w:pPr>
          </w:p>
          <w:p w:rsidR="005F78FC" w:rsidRDefault="00B42EF3">
            <w:pPr>
              <w:pStyle w:val="TableBodyText"/>
            </w:pPr>
            <w:r>
              <w:t>The header rows shall have the following properties:</w:t>
            </w:r>
          </w:p>
          <w:p w:rsidR="005F78FC" w:rsidRDefault="00B42EF3">
            <w:pPr>
              <w:pStyle w:val="TableBodyText"/>
            </w:pPr>
            <w:r>
              <w:lastRenderedPageBreak/>
              <w:t>The bottom border shall be a 3/4 pt single line.</w:t>
            </w:r>
          </w:p>
          <w:p w:rsidR="005F78FC" w:rsidRDefault="00B42EF3">
            <w:pPr>
              <w:pStyle w:val="TableBodyText"/>
            </w:pPr>
            <w:r>
              <w:t>The bottom border color shall be black (000000).</w:t>
            </w:r>
          </w:p>
          <w:p w:rsidR="005F78FC" w:rsidRDefault="00B42EF3">
            <w:pPr>
              <w:pStyle w:val="TableBodyText"/>
            </w:pPr>
            <w:r>
              <w:t>The</w:t>
            </w:r>
            <w:r>
              <w:t xml:space="preserve"> foreground shading color shall be yellow (FFFF00).</w:t>
            </w:r>
          </w:p>
          <w:p w:rsidR="005F78FC" w:rsidRDefault="00B42EF3">
            <w:pPr>
              <w:pStyle w:val="TableBodyText"/>
            </w:pPr>
            <w:r>
              <w:t>The background shading shall be white (FFFFFF).</w:t>
            </w:r>
          </w:p>
          <w:p w:rsidR="005F78FC" w:rsidRDefault="00B42EF3">
            <w:pPr>
              <w:pStyle w:val="TableBodyText"/>
            </w:pPr>
            <w:r>
              <w:t>The shading pattern shall be pct30.</w:t>
            </w:r>
          </w:p>
          <w:p w:rsidR="005F78FC" w:rsidRDefault="005F78FC">
            <w:pPr>
              <w:pStyle w:val="TableBodyText"/>
            </w:pPr>
          </w:p>
          <w:p w:rsidR="005F78FC" w:rsidRDefault="00B42EF3">
            <w:pPr>
              <w:pStyle w:val="TableBodyText"/>
            </w:pPr>
            <w:r>
              <w:t>The last row shall have the following properties:</w:t>
            </w:r>
          </w:p>
          <w:p w:rsidR="005F78FC" w:rsidRDefault="00B42EF3">
            <w:pPr>
              <w:pStyle w:val="TableBodyText"/>
            </w:pPr>
            <w:r>
              <w:t>The top border shall be a 3/4 pt single line.</w:t>
            </w:r>
          </w:p>
          <w:p w:rsidR="005F78FC" w:rsidRDefault="00B42EF3">
            <w:pPr>
              <w:pStyle w:val="TableBodyText"/>
            </w:pPr>
            <w:r>
              <w:t xml:space="preserve">The top border color </w:t>
            </w:r>
            <w:r>
              <w:t>shall be black (000000).</w:t>
            </w:r>
          </w:p>
          <w:p w:rsidR="005F78FC" w:rsidRDefault="00B42EF3">
            <w:pPr>
              <w:pStyle w:val="TableBodyText"/>
            </w:pPr>
            <w:r>
              <w:t>The foreground shading color shall be yellow (FFFF00).</w:t>
            </w:r>
          </w:p>
          <w:p w:rsidR="005F78FC" w:rsidRDefault="00B42EF3">
            <w:pPr>
              <w:pStyle w:val="TableBodyText"/>
            </w:pPr>
            <w:r>
              <w:t>The background shading shall be white (FFFFFF).</w:t>
            </w:r>
          </w:p>
          <w:p w:rsidR="005F78FC" w:rsidRDefault="00B42EF3">
            <w:pPr>
              <w:pStyle w:val="TableBodyText"/>
            </w:pPr>
            <w:r>
              <w:t>The shading pattern shall be pct30.</w:t>
            </w:r>
          </w:p>
          <w:p w:rsidR="005F78FC" w:rsidRDefault="00B42EF3">
            <w:pPr>
              <w:pStyle w:val="TableBodyText"/>
            </w:pPr>
            <w:r>
              <w:t>The font shall be bold.</w:t>
            </w:r>
          </w:p>
          <w:p w:rsidR="005F78FC" w:rsidRDefault="005F78FC">
            <w:pPr>
              <w:pStyle w:val="TableBodyText"/>
            </w:pPr>
          </w:p>
          <w:p w:rsidR="005F78FC" w:rsidRDefault="00B42EF3">
            <w:pPr>
              <w:pStyle w:val="TableBodyText"/>
            </w:pPr>
            <w:r>
              <w:t>The last column shall have the following properties:</w:t>
            </w:r>
          </w:p>
          <w:p w:rsidR="005F78FC" w:rsidRDefault="00B42EF3">
            <w:pPr>
              <w:pStyle w:val="TableBodyText"/>
            </w:pPr>
            <w:r>
              <w:t>The font shall</w:t>
            </w:r>
            <w:r>
              <w:t xml:space="preserve"> be bold.</w:t>
            </w:r>
          </w:p>
          <w:p w:rsidR="005F78FC" w:rsidRDefault="005F78FC">
            <w:pPr>
              <w:pStyle w:val="TableBodyText"/>
            </w:pPr>
          </w:p>
        </w:tc>
      </w:tr>
      <w:tr w:rsidR="005F78FC" w:rsidTr="005F78FC">
        <w:tc>
          <w:tcPr>
            <w:tcW w:w="0" w:type="auto"/>
            <w:vAlign w:val="center"/>
          </w:tcPr>
          <w:p w:rsidR="005F78FC" w:rsidRDefault="00B42EF3">
            <w:pPr>
              <w:pStyle w:val="TableBodyText"/>
            </w:pPr>
            <w:r>
              <w:lastRenderedPageBreak/>
              <w:t>20 (Grid 5)</w:t>
            </w:r>
          </w:p>
          <w:p w:rsidR="005F78FC" w:rsidRDefault="005F78FC">
            <w:pPr>
              <w:pStyle w:val="TableBodyText"/>
            </w:pPr>
          </w:p>
        </w:tc>
        <w:tc>
          <w:tcPr>
            <w:tcW w:w="0" w:type="auto"/>
            <w:vAlign w:val="center"/>
          </w:tcPr>
          <w:p w:rsidR="005F78FC" w:rsidRDefault="00B42EF3">
            <w:pPr>
              <w:pStyle w:val="TableBodyText"/>
            </w:pPr>
            <w:r>
              <w:t>The table shall have the following properties:</w:t>
            </w:r>
          </w:p>
          <w:p w:rsidR="005F78FC" w:rsidRDefault="00B42EF3">
            <w:pPr>
              <w:pStyle w:val="TableBodyText"/>
            </w:pPr>
            <w:r>
              <w:t>The top border shall be a 1 1/2 pt single line.</w:t>
            </w:r>
          </w:p>
          <w:p w:rsidR="005F78FC" w:rsidRDefault="00B42EF3">
            <w:pPr>
              <w:pStyle w:val="TableBodyText"/>
            </w:pPr>
            <w:r>
              <w:t>The left border shall be a 1 1/2 pt single line.</w:t>
            </w:r>
          </w:p>
          <w:p w:rsidR="005F78FC" w:rsidRDefault="00B42EF3">
            <w:pPr>
              <w:pStyle w:val="TableBodyText"/>
            </w:pPr>
            <w:r>
              <w:t>The bottom border shall be a 1 1/2 pt single line.</w:t>
            </w:r>
          </w:p>
          <w:p w:rsidR="005F78FC" w:rsidRDefault="00B42EF3">
            <w:pPr>
              <w:pStyle w:val="TableBodyText"/>
            </w:pPr>
            <w:r>
              <w:t>The right border shall be a 1 1/2 pt</w:t>
            </w:r>
            <w:r>
              <w:t xml:space="preserve"> single line.</w:t>
            </w:r>
          </w:p>
          <w:p w:rsidR="005F78FC" w:rsidRDefault="00B42EF3">
            <w:pPr>
              <w:pStyle w:val="TableBodyText"/>
            </w:pPr>
            <w:r>
              <w:t>The inside horizontal border shall be a 3/4 pt single line.</w:t>
            </w:r>
          </w:p>
          <w:p w:rsidR="005F78FC" w:rsidRDefault="00B42EF3">
            <w:pPr>
              <w:pStyle w:val="TableBodyText"/>
            </w:pPr>
            <w:r>
              <w:t>The inside vertical border shall be a 3/4 pt single line.</w:t>
            </w:r>
          </w:p>
          <w:p w:rsidR="005F78FC" w:rsidRDefault="00B42EF3">
            <w:pPr>
              <w:pStyle w:val="TableBodyText"/>
            </w:pPr>
            <w:r>
              <w:t>The top border color shall be black (000000).</w:t>
            </w:r>
          </w:p>
          <w:p w:rsidR="005F78FC" w:rsidRDefault="00B42EF3">
            <w:pPr>
              <w:pStyle w:val="TableBodyText"/>
            </w:pPr>
            <w:r>
              <w:t>The left border color shall be black (000000).</w:t>
            </w:r>
          </w:p>
          <w:p w:rsidR="005F78FC" w:rsidRDefault="00B42EF3">
            <w:pPr>
              <w:pStyle w:val="TableBodyText"/>
            </w:pPr>
            <w:r>
              <w:t xml:space="preserve">The bottom border color shall </w:t>
            </w:r>
            <w:r>
              <w:t>be black (000000).</w:t>
            </w:r>
          </w:p>
          <w:p w:rsidR="005F78FC" w:rsidRDefault="00B42EF3">
            <w:pPr>
              <w:pStyle w:val="TableBodyText"/>
            </w:pPr>
            <w:r>
              <w:t>The right border color shall be black (000000).</w:t>
            </w:r>
          </w:p>
          <w:p w:rsidR="005F78FC" w:rsidRDefault="00B42EF3">
            <w:pPr>
              <w:pStyle w:val="TableBodyText"/>
            </w:pPr>
            <w:r>
              <w:t>The inside horizontal border color shall be black (000000).</w:t>
            </w:r>
          </w:p>
          <w:p w:rsidR="005F78FC" w:rsidRDefault="00B42EF3">
            <w:pPr>
              <w:pStyle w:val="TableBodyText"/>
            </w:pPr>
            <w:r>
              <w:t>The inside vertical border color shall be black (000000).</w:t>
            </w:r>
          </w:p>
          <w:p w:rsidR="005F78FC" w:rsidRDefault="00B42EF3">
            <w:pPr>
              <w:pStyle w:val="TableBodyText"/>
            </w:pPr>
            <w:r>
              <w:t>The vertical alignment shall be top.</w:t>
            </w:r>
          </w:p>
          <w:p w:rsidR="005F78FC" w:rsidRDefault="005F78FC">
            <w:pPr>
              <w:pStyle w:val="TableBodyText"/>
            </w:pPr>
          </w:p>
          <w:p w:rsidR="005F78FC" w:rsidRDefault="00B42EF3">
            <w:pPr>
              <w:pStyle w:val="TableBodyText"/>
            </w:pPr>
            <w:r>
              <w:t>The header rows shall have the fo</w:t>
            </w:r>
            <w:r>
              <w:t>llowing properties:</w:t>
            </w:r>
          </w:p>
          <w:p w:rsidR="005F78FC" w:rsidRDefault="00B42EF3">
            <w:pPr>
              <w:pStyle w:val="TableBodyText"/>
            </w:pPr>
            <w:r>
              <w:t>The bottom border shall be a 1 1/2 pt single line.</w:t>
            </w:r>
          </w:p>
          <w:p w:rsidR="005F78FC" w:rsidRDefault="00B42EF3">
            <w:pPr>
              <w:pStyle w:val="TableBodyText"/>
            </w:pPr>
            <w:r>
              <w:t>The bottom border color shall be black (000000).</w:t>
            </w:r>
          </w:p>
          <w:p w:rsidR="005F78FC" w:rsidRDefault="005F78FC">
            <w:pPr>
              <w:pStyle w:val="TableBodyText"/>
            </w:pPr>
          </w:p>
          <w:p w:rsidR="005F78FC" w:rsidRDefault="00B42EF3">
            <w:pPr>
              <w:pStyle w:val="TableBodyText"/>
            </w:pPr>
            <w:r>
              <w:t>The last row shall have the following properties:</w:t>
            </w:r>
          </w:p>
          <w:p w:rsidR="005F78FC" w:rsidRDefault="00B42EF3">
            <w:pPr>
              <w:pStyle w:val="TableBodyText"/>
            </w:pPr>
            <w:r>
              <w:t>The font shall be bold.</w:t>
            </w:r>
          </w:p>
          <w:p w:rsidR="005F78FC" w:rsidRDefault="005F78FC">
            <w:pPr>
              <w:pStyle w:val="TableBodyText"/>
            </w:pPr>
          </w:p>
          <w:p w:rsidR="005F78FC" w:rsidRDefault="00B42EF3">
            <w:pPr>
              <w:pStyle w:val="TableBodyText"/>
            </w:pPr>
            <w:r>
              <w:t>The last column shall have the following properties:</w:t>
            </w:r>
          </w:p>
          <w:p w:rsidR="005F78FC" w:rsidRDefault="00B42EF3">
            <w:pPr>
              <w:pStyle w:val="TableBodyText"/>
            </w:pPr>
            <w:r>
              <w:t>The fon</w:t>
            </w:r>
            <w:r>
              <w:t>t shall be bold.</w:t>
            </w:r>
          </w:p>
          <w:p w:rsidR="005F78FC" w:rsidRDefault="005F78FC">
            <w:pPr>
              <w:pStyle w:val="TableBodyText"/>
            </w:pPr>
          </w:p>
          <w:p w:rsidR="005F78FC" w:rsidRDefault="00B42EF3">
            <w:pPr>
              <w:pStyle w:val="TableBodyText"/>
            </w:pPr>
            <w:r>
              <w:t>The header rows in the first column shall have the following properties:</w:t>
            </w:r>
          </w:p>
          <w:p w:rsidR="005F78FC" w:rsidRDefault="00B42EF3">
            <w:pPr>
              <w:pStyle w:val="TableBodyText"/>
            </w:pPr>
            <w:r>
              <w:t>The top left to bottom right border shall be a 3/4 pt single line.</w:t>
            </w:r>
          </w:p>
          <w:p w:rsidR="005F78FC" w:rsidRDefault="00B42EF3">
            <w:pPr>
              <w:pStyle w:val="TableBodyText"/>
            </w:pPr>
            <w:r>
              <w:t>The top left to bottom right border color shall be black (000000).</w:t>
            </w:r>
          </w:p>
          <w:p w:rsidR="005F78FC" w:rsidRDefault="005F78FC">
            <w:pPr>
              <w:pStyle w:val="TableBodyText"/>
            </w:pPr>
          </w:p>
        </w:tc>
      </w:tr>
      <w:tr w:rsidR="005F78FC" w:rsidTr="005F78FC">
        <w:tc>
          <w:tcPr>
            <w:tcW w:w="0" w:type="auto"/>
            <w:vAlign w:val="center"/>
          </w:tcPr>
          <w:p w:rsidR="005F78FC" w:rsidRDefault="00B42EF3">
            <w:pPr>
              <w:pStyle w:val="TableBodyText"/>
            </w:pPr>
            <w:r>
              <w:t>21 (Grid 6)</w:t>
            </w:r>
          </w:p>
        </w:tc>
        <w:tc>
          <w:tcPr>
            <w:tcW w:w="0" w:type="auto"/>
            <w:vAlign w:val="center"/>
          </w:tcPr>
          <w:p w:rsidR="005F78FC" w:rsidRDefault="00B42EF3">
            <w:pPr>
              <w:pStyle w:val="TableBodyText"/>
            </w:pPr>
            <w:r>
              <w:t>The table shall h</w:t>
            </w:r>
            <w:r>
              <w:t>ave the following properties:</w:t>
            </w:r>
          </w:p>
          <w:p w:rsidR="005F78FC" w:rsidRDefault="00B42EF3">
            <w:pPr>
              <w:pStyle w:val="TableBodyText"/>
            </w:pPr>
            <w:r>
              <w:lastRenderedPageBreak/>
              <w:t>The top border shall be a 1 1/2 pt single line.</w:t>
            </w:r>
          </w:p>
          <w:p w:rsidR="005F78FC" w:rsidRDefault="00B42EF3">
            <w:pPr>
              <w:pStyle w:val="TableBodyText"/>
            </w:pPr>
            <w:r>
              <w:t>The left border shall be a 1 1/2 pt single line.</w:t>
            </w:r>
          </w:p>
          <w:p w:rsidR="005F78FC" w:rsidRDefault="00B42EF3">
            <w:pPr>
              <w:pStyle w:val="TableBodyText"/>
            </w:pPr>
            <w:r>
              <w:t>The bottom border shall be a 1 1/2 pt single line.</w:t>
            </w:r>
          </w:p>
          <w:p w:rsidR="005F78FC" w:rsidRDefault="00B42EF3">
            <w:pPr>
              <w:pStyle w:val="TableBodyText"/>
            </w:pPr>
            <w:r>
              <w:t>The right border shall be a 1 1/2 pt single line.</w:t>
            </w:r>
          </w:p>
          <w:p w:rsidR="005F78FC" w:rsidRDefault="00B42EF3">
            <w:pPr>
              <w:pStyle w:val="TableBodyText"/>
            </w:pPr>
            <w:r>
              <w:t xml:space="preserve">The inside vertical border </w:t>
            </w:r>
            <w:r>
              <w:t>shall be a 3/4 pt single line.</w:t>
            </w:r>
          </w:p>
          <w:p w:rsidR="005F78FC" w:rsidRDefault="00B42EF3">
            <w:pPr>
              <w:pStyle w:val="TableBodyText"/>
            </w:pPr>
            <w:r>
              <w:t>The top border color shall be black (000000).</w:t>
            </w:r>
          </w:p>
          <w:p w:rsidR="005F78FC" w:rsidRDefault="00B42EF3">
            <w:pPr>
              <w:pStyle w:val="TableBodyText"/>
            </w:pPr>
            <w:r>
              <w:t>The left border color shall be black (000000).</w:t>
            </w:r>
          </w:p>
          <w:p w:rsidR="005F78FC" w:rsidRDefault="00B42EF3">
            <w:pPr>
              <w:pStyle w:val="TableBodyText"/>
            </w:pPr>
            <w:r>
              <w:t>The bottom border color shall be black (000000).</w:t>
            </w:r>
          </w:p>
          <w:p w:rsidR="005F78FC" w:rsidRDefault="00B42EF3">
            <w:pPr>
              <w:pStyle w:val="TableBodyText"/>
            </w:pPr>
            <w:r>
              <w:t>The right border color shall be black (000000).</w:t>
            </w:r>
          </w:p>
          <w:p w:rsidR="005F78FC" w:rsidRDefault="00B42EF3">
            <w:pPr>
              <w:pStyle w:val="TableBodyText"/>
            </w:pPr>
            <w:r>
              <w:t>The inside vertical border color sh</w:t>
            </w:r>
            <w:r>
              <w:t>all be black (000000).</w:t>
            </w:r>
          </w:p>
          <w:p w:rsidR="005F78FC" w:rsidRDefault="00B42EF3">
            <w:pPr>
              <w:pStyle w:val="TableBodyText"/>
            </w:pPr>
            <w:r>
              <w:t>The vertical alignment shall be top.</w:t>
            </w:r>
          </w:p>
          <w:p w:rsidR="005F78FC" w:rsidRDefault="005F78FC">
            <w:pPr>
              <w:pStyle w:val="TableBodyText"/>
            </w:pPr>
          </w:p>
          <w:p w:rsidR="005F78FC" w:rsidRDefault="00B42EF3">
            <w:pPr>
              <w:pStyle w:val="TableBodyText"/>
            </w:pPr>
            <w:r>
              <w:t>The header rows shall have the following properties:</w:t>
            </w:r>
          </w:p>
          <w:p w:rsidR="005F78FC" w:rsidRDefault="00B42EF3">
            <w:pPr>
              <w:pStyle w:val="TableBodyText"/>
            </w:pPr>
            <w:r>
              <w:t>The bottom border shall be a 3/4 pt single line.</w:t>
            </w:r>
          </w:p>
          <w:p w:rsidR="005F78FC" w:rsidRDefault="00B42EF3">
            <w:pPr>
              <w:pStyle w:val="TableBodyText"/>
            </w:pPr>
            <w:r>
              <w:t>The bottom border color shall be black (000000).</w:t>
            </w:r>
          </w:p>
          <w:p w:rsidR="005F78FC" w:rsidRDefault="00B42EF3">
            <w:pPr>
              <w:pStyle w:val="TableBodyText"/>
            </w:pPr>
            <w:r>
              <w:t>The font shall be bold.</w:t>
            </w:r>
          </w:p>
          <w:p w:rsidR="005F78FC" w:rsidRDefault="005F78FC">
            <w:pPr>
              <w:pStyle w:val="TableBodyText"/>
            </w:pPr>
          </w:p>
          <w:p w:rsidR="005F78FC" w:rsidRDefault="00B42EF3">
            <w:pPr>
              <w:pStyle w:val="TableBodyText"/>
            </w:pPr>
            <w:r>
              <w:t xml:space="preserve">The last row shall </w:t>
            </w:r>
            <w:r>
              <w:t>have the following properties:</w:t>
            </w:r>
          </w:p>
          <w:p w:rsidR="005F78FC" w:rsidRDefault="00B42EF3">
            <w:pPr>
              <w:pStyle w:val="TableBodyText"/>
            </w:pPr>
            <w:r>
              <w:t>The top border shall be a 3/4 pt single line.</w:t>
            </w:r>
          </w:p>
          <w:p w:rsidR="005F78FC" w:rsidRDefault="00B42EF3">
            <w:pPr>
              <w:pStyle w:val="TableBodyText"/>
            </w:pPr>
            <w:r>
              <w:t>The top border color shall be black (000000).</w:t>
            </w:r>
          </w:p>
          <w:p w:rsidR="005F78FC" w:rsidRDefault="005F78FC">
            <w:pPr>
              <w:pStyle w:val="TableBodyText"/>
            </w:pPr>
          </w:p>
          <w:p w:rsidR="005F78FC" w:rsidRDefault="00B42EF3">
            <w:pPr>
              <w:pStyle w:val="TableBodyText"/>
            </w:pPr>
            <w:r>
              <w:t>The first column shall have the following properties:</w:t>
            </w:r>
          </w:p>
          <w:p w:rsidR="005F78FC" w:rsidRDefault="00B42EF3">
            <w:pPr>
              <w:pStyle w:val="TableBodyText"/>
            </w:pPr>
            <w:r>
              <w:t>The font shall be bold.</w:t>
            </w:r>
          </w:p>
          <w:p w:rsidR="005F78FC" w:rsidRDefault="005F78FC">
            <w:pPr>
              <w:pStyle w:val="TableBodyText"/>
            </w:pPr>
          </w:p>
          <w:p w:rsidR="005F78FC" w:rsidRDefault="00B42EF3">
            <w:pPr>
              <w:pStyle w:val="TableBodyText"/>
            </w:pPr>
            <w:r>
              <w:t xml:space="preserve">The header rows in the first column shall have the </w:t>
            </w:r>
            <w:r>
              <w:t>following properties:</w:t>
            </w:r>
          </w:p>
          <w:p w:rsidR="005F78FC" w:rsidRDefault="00B42EF3">
            <w:pPr>
              <w:pStyle w:val="TableBodyText"/>
            </w:pPr>
            <w:r>
              <w:t>The top left to bottom right border shall be a 3/4 pt single line.</w:t>
            </w:r>
          </w:p>
          <w:p w:rsidR="005F78FC" w:rsidRDefault="00B42EF3">
            <w:pPr>
              <w:pStyle w:val="TableBodyText"/>
            </w:pPr>
            <w:r>
              <w:t>The top left to bottom right border color shall be black (000000).</w:t>
            </w:r>
          </w:p>
          <w:p w:rsidR="005F78FC" w:rsidRDefault="005F78FC">
            <w:pPr>
              <w:pStyle w:val="TableBodyText"/>
            </w:pPr>
          </w:p>
        </w:tc>
      </w:tr>
      <w:tr w:rsidR="005F78FC" w:rsidTr="005F78FC">
        <w:tc>
          <w:tcPr>
            <w:tcW w:w="0" w:type="auto"/>
            <w:vAlign w:val="center"/>
          </w:tcPr>
          <w:p w:rsidR="005F78FC" w:rsidRDefault="00B42EF3">
            <w:pPr>
              <w:pStyle w:val="TableBodyText"/>
            </w:pPr>
            <w:r>
              <w:lastRenderedPageBreak/>
              <w:t>22 (Grid 7)</w:t>
            </w:r>
          </w:p>
        </w:tc>
        <w:tc>
          <w:tcPr>
            <w:tcW w:w="0" w:type="auto"/>
            <w:vAlign w:val="center"/>
          </w:tcPr>
          <w:p w:rsidR="005F78FC" w:rsidRDefault="00B42EF3">
            <w:pPr>
              <w:pStyle w:val="TableBodyText"/>
            </w:pPr>
            <w:r>
              <w:t>The table shall have the following properties:</w:t>
            </w:r>
          </w:p>
          <w:p w:rsidR="005F78FC" w:rsidRDefault="00B42EF3">
            <w:pPr>
              <w:pStyle w:val="TableBodyText"/>
            </w:pPr>
            <w:r>
              <w:t xml:space="preserve">The top border shall be a 1 1/2 pt </w:t>
            </w:r>
            <w:r>
              <w:t>single line.</w:t>
            </w:r>
          </w:p>
          <w:p w:rsidR="005F78FC" w:rsidRDefault="00B42EF3">
            <w:pPr>
              <w:pStyle w:val="TableBodyText"/>
            </w:pPr>
            <w:r>
              <w:t>The left border shall be a 1 1/2 pt single line.</w:t>
            </w:r>
          </w:p>
          <w:p w:rsidR="005F78FC" w:rsidRDefault="00B42EF3">
            <w:pPr>
              <w:pStyle w:val="TableBodyText"/>
            </w:pPr>
            <w:r>
              <w:t>The bottom border shall be a 1 1/2 pt single line.</w:t>
            </w:r>
          </w:p>
          <w:p w:rsidR="005F78FC" w:rsidRDefault="00B42EF3">
            <w:pPr>
              <w:pStyle w:val="TableBodyText"/>
            </w:pPr>
            <w:r>
              <w:t>The right border shall be a 1 1/2 pt single line.</w:t>
            </w:r>
          </w:p>
          <w:p w:rsidR="005F78FC" w:rsidRDefault="00B42EF3">
            <w:pPr>
              <w:pStyle w:val="TableBodyText"/>
            </w:pPr>
            <w:r>
              <w:t>The inside horizontal border shall be a 3/4 pt single line.</w:t>
            </w:r>
          </w:p>
          <w:p w:rsidR="005F78FC" w:rsidRDefault="00B42EF3">
            <w:pPr>
              <w:pStyle w:val="TableBodyText"/>
            </w:pPr>
            <w:r>
              <w:t xml:space="preserve">The inside vertical border shall </w:t>
            </w:r>
            <w:r>
              <w:t>be a 3/4 pt single line.</w:t>
            </w:r>
          </w:p>
          <w:p w:rsidR="005F78FC" w:rsidRDefault="00B42EF3">
            <w:pPr>
              <w:pStyle w:val="TableBodyText"/>
            </w:pPr>
            <w:r>
              <w:t>The top border color shall be black (000000).</w:t>
            </w:r>
          </w:p>
          <w:p w:rsidR="005F78FC" w:rsidRDefault="00B42EF3">
            <w:pPr>
              <w:pStyle w:val="TableBodyText"/>
            </w:pPr>
            <w:r>
              <w:t>The left border color shall be black (000000).</w:t>
            </w:r>
          </w:p>
          <w:p w:rsidR="005F78FC" w:rsidRDefault="00B42EF3">
            <w:pPr>
              <w:pStyle w:val="TableBodyText"/>
            </w:pPr>
            <w:r>
              <w:t>The bottom border color shall be black (000000).</w:t>
            </w:r>
          </w:p>
          <w:p w:rsidR="005F78FC" w:rsidRDefault="00B42EF3">
            <w:pPr>
              <w:pStyle w:val="TableBodyText"/>
            </w:pPr>
            <w:r>
              <w:t>The right border color shall be black (000000).</w:t>
            </w:r>
          </w:p>
          <w:p w:rsidR="005F78FC" w:rsidRDefault="00B42EF3">
            <w:pPr>
              <w:pStyle w:val="TableBodyText"/>
            </w:pPr>
            <w:r>
              <w:t xml:space="preserve">The inside horizontal border color shall </w:t>
            </w:r>
            <w:r>
              <w:t>be black (000000).</w:t>
            </w:r>
          </w:p>
          <w:p w:rsidR="005F78FC" w:rsidRDefault="00B42EF3">
            <w:pPr>
              <w:pStyle w:val="TableBodyText"/>
            </w:pPr>
            <w:r>
              <w:t>The inside vertical border color shall be black (000000).</w:t>
            </w:r>
          </w:p>
          <w:p w:rsidR="005F78FC" w:rsidRDefault="00B42EF3">
            <w:pPr>
              <w:pStyle w:val="TableBodyText"/>
            </w:pPr>
            <w:r>
              <w:t>The font shall be bold.</w:t>
            </w:r>
          </w:p>
          <w:p w:rsidR="005F78FC" w:rsidRDefault="00B42EF3">
            <w:pPr>
              <w:pStyle w:val="TableBodyText"/>
            </w:pPr>
            <w:r>
              <w:t>The vertical alignment shall be top.</w:t>
            </w:r>
          </w:p>
          <w:p w:rsidR="005F78FC" w:rsidRDefault="005F78FC">
            <w:pPr>
              <w:pStyle w:val="TableBodyText"/>
            </w:pPr>
          </w:p>
          <w:p w:rsidR="005F78FC" w:rsidRDefault="00B42EF3">
            <w:pPr>
              <w:pStyle w:val="TableBodyText"/>
            </w:pPr>
            <w:r>
              <w:t>The header rows shall have the following properties:</w:t>
            </w:r>
          </w:p>
          <w:p w:rsidR="005F78FC" w:rsidRDefault="00B42EF3">
            <w:pPr>
              <w:pStyle w:val="TableBodyText"/>
            </w:pPr>
            <w:r>
              <w:t>The bottom border shall be a 1 1/2 pt single line.</w:t>
            </w:r>
          </w:p>
          <w:p w:rsidR="005F78FC" w:rsidRDefault="00B42EF3">
            <w:pPr>
              <w:pStyle w:val="TableBodyText"/>
            </w:pPr>
            <w:r>
              <w:t>The bottom bo</w:t>
            </w:r>
            <w:r>
              <w:t>rder color shall be black (000000).</w:t>
            </w:r>
          </w:p>
          <w:p w:rsidR="005F78FC" w:rsidRDefault="00B42EF3">
            <w:pPr>
              <w:pStyle w:val="TableBodyText"/>
            </w:pPr>
            <w:r>
              <w:lastRenderedPageBreak/>
              <w:t>The font shall not be bold.</w:t>
            </w:r>
          </w:p>
          <w:p w:rsidR="005F78FC" w:rsidRDefault="005F78FC">
            <w:pPr>
              <w:pStyle w:val="TableBodyText"/>
            </w:pPr>
          </w:p>
          <w:p w:rsidR="005F78FC" w:rsidRDefault="00B42EF3">
            <w:pPr>
              <w:pStyle w:val="TableBodyText"/>
            </w:pPr>
            <w:r>
              <w:t>The last row shall have the following properties:</w:t>
            </w:r>
          </w:p>
          <w:p w:rsidR="005F78FC" w:rsidRDefault="00B42EF3">
            <w:pPr>
              <w:pStyle w:val="TableBodyText"/>
            </w:pPr>
            <w:r>
              <w:t>The top border shall be a 3/4 pt single line.</w:t>
            </w:r>
          </w:p>
          <w:p w:rsidR="005F78FC" w:rsidRDefault="00B42EF3">
            <w:pPr>
              <w:pStyle w:val="TableBodyText"/>
            </w:pPr>
            <w:r>
              <w:t>The top border color shall be black (000000).</w:t>
            </w:r>
          </w:p>
          <w:p w:rsidR="005F78FC" w:rsidRDefault="00B42EF3">
            <w:pPr>
              <w:pStyle w:val="TableBodyText"/>
            </w:pPr>
            <w:r>
              <w:t>The font shall not be bold.</w:t>
            </w:r>
          </w:p>
          <w:p w:rsidR="005F78FC" w:rsidRDefault="005F78FC">
            <w:pPr>
              <w:pStyle w:val="TableBodyText"/>
            </w:pPr>
          </w:p>
          <w:p w:rsidR="005F78FC" w:rsidRDefault="00B42EF3">
            <w:pPr>
              <w:pStyle w:val="TableBodyText"/>
            </w:pPr>
            <w:r>
              <w:t xml:space="preserve">The first column </w:t>
            </w:r>
            <w:r>
              <w:t>shall have the following properties:</w:t>
            </w:r>
          </w:p>
          <w:p w:rsidR="005F78FC" w:rsidRDefault="00B42EF3">
            <w:pPr>
              <w:pStyle w:val="TableBodyText"/>
            </w:pPr>
            <w:r>
              <w:t>The font shall not be bold.</w:t>
            </w:r>
          </w:p>
          <w:p w:rsidR="005F78FC" w:rsidRDefault="005F78FC">
            <w:pPr>
              <w:pStyle w:val="TableBodyText"/>
            </w:pPr>
          </w:p>
          <w:p w:rsidR="005F78FC" w:rsidRDefault="00B42EF3">
            <w:pPr>
              <w:pStyle w:val="TableBodyText"/>
            </w:pPr>
            <w:r>
              <w:t>The last column shall have the following properties:</w:t>
            </w:r>
          </w:p>
          <w:p w:rsidR="005F78FC" w:rsidRDefault="00B42EF3">
            <w:pPr>
              <w:pStyle w:val="TableBodyText"/>
            </w:pPr>
            <w:r>
              <w:t>The font shall not be bold.</w:t>
            </w:r>
          </w:p>
          <w:p w:rsidR="005F78FC" w:rsidRDefault="005F78FC">
            <w:pPr>
              <w:pStyle w:val="TableBodyText"/>
            </w:pPr>
          </w:p>
          <w:p w:rsidR="005F78FC" w:rsidRDefault="00B42EF3">
            <w:pPr>
              <w:pStyle w:val="TableBodyText"/>
            </w:pPr>
            <w:r>
              <w:t>The header rows in the first column shall have the following properties:</w:t>
            </w:r>
          </w:p>
          <w:p w:rsidR="005F78FC" w:rsidRDefault="00B42EF3">
            <w:pPr>
              <w:pStyle w:val="TableBodyText"/>
            </w:pPr>
            <w:r>
              <w:t>The top left to bottom right border</w:t>
            </w:r>
            <w:r>
              <w:t xml:space="preserve"> shall be a 3/4 pt single line.</w:t>
            </w:r>
          </w:p>
          <w:p w:rsidR="005F78FC" w:rsidRDefault="00B42EF3">
            <w:pPr>
              <w:pStyle w:val="TableBodyText"/>
            </w:pPr>
            <w:r>
              <w:t>The top left to bottom right border color shall be black (000000).</w:t>
            </w:r>
          </w:p>
          <w:p w:rsidR="005F78FC" w:rsidRDefault="005F78FC">
            <w:pPr>
              <w:pStyle w:val="TableBodyText"/>
            </w:pPr>
          </w:p>
        </w:tc>
      </w:tr>
      <w:tr w:rsidR="005F78FC" w:rsidTr="005F78FC">
        <w:tc>
          <w:tcPr>
            <w:tcW w:w="0" w:type="auto"/>
            <w:vAlign w:val="center"/>
          </w:tcPr>
          <w:p w:rsidR="005F78FC" w:rsidRDefault="00B42EF3">
            <w:pPr>
              <w:pStyle w:val="TableBodyText"/>
            </w:pPr>
            <w:r>
              <w:lastRenderedPageBreak/>
              <w:t>23 (Grid 8)</w:t>
            </w:r>
          </w:p>
        </w:tc>
        <w:tc>
          <w:tcPr>
            <w:tcW w:w="0" w:type="auto"/>
            <w:vAlign w:val="center"/>
          </w:tcPr>
          <w:p w:rsidR="005F78FC" w:rsidRDefault="00B42EF3">
            <w:pPr>
              <w:pStyle w:val="TableBodyText"/>
            </w:pPr>
            <w:r>
              <w:t>The table shall have the following properties:</w:t>
            </w:r>
          </w:p>
          <w:p w:rsidR="005F78FC" w:rsidRDefault="00B42EF3">
            <w:pPr>
              <w:pStyle w:val="TableBodyText"/>
            </w:pPr>
            <w:r>
              <w:t>The top border shall be a 3/4 pt single line.</w:t>
            </w:r>
          </w:p>
          <w:p w:rsidR="005F78FC" w:rsidRDefault="00B42EF3">
            <w:pPr>
              <w:pStyle w:val="TableBodyText"/>
            </w:pPr>
            <w:r>
              <w:t>The left border shall be a 3/4 pt single line.</w:t>
            </w:r>
          </w:p>
          <w:p w:rsidR="005F78FC" w:rsidRDefault="00B42EF3">
            <w:pPr>
              <w:pStyle w:val="TableBodyText"/>
            </w:pPr>
            <w:r>
              <w:t>The</w:t>
            </w:r>
            <w:r>
              <w:t xml:space="preserve"> bottom border shall be a 3/4 pt single line.</w:t>
            </w:r>
          </w:p>
          <w:p w:rsidR="005F78FC" w:rsidRDefault="00B42EF3">
            <w:pPr>
              <w:pStyle w:val="TableBodyText"/>
            </w:pPr>
            <w:r>
              <w:t>The right border shall be a 3/4 pt single line.</w:t>
            </w:r>
          </w:p>
          <w:p w:rsidR="005F78FC" w:rsidRDefault="00B42EF3">
            <w:pPr>
              <w:pStyle w:val="TableBodyText"/>
            </w:pPr>
            <w:r>
              <w:t>The inside horizontal border shall be a 3/4 pt single line.</w:t>
            </w:r>
          </w:p>
          <w:p w:rsidR="005F78FC" w:rsidRDefault="00B42EF3">
            <w:pPr>
              <w:pStyle w:val="TableBodyText"/>
            </w:pPr>
            <w:r>
              <w:t>The inside vertical border shall be a 3/4 pt single line.</w:t>
            </w:r>
          </w:p>
          <w:p w:rsidR="005F78FC" w:rsidRDefault="00B42EF3">
            <w:pPr>
              <w:pStyle w:val="TableBodyText"/>
            </w:pPr>
            <w:r>
              <w:t>The top border color shall be dark blue (000</w:t>
            </w:r>
            <w:r>
              <w:t>0CC).</w:t>
            </w:r>
          </w:p>
          <w:p w:rsidR="005F78FC" w:rsidRDefault="00B42EF3">
            <w:pPr>
              <w:pStyle w:val="TableBodyText"/>
            </w:pPr>
            <w:r>
              <w:t>The left border color shall be dark blue (0000CC).</w:t>
            </w:r>
          </w:p>
          <w:p w:rsidR="005F78FC" w:rsidRDefault="00B42EF3">
            <w:pPr>
              <w:pStyle w:val="TableBodyText"/>
            </w:pPr>
            <w:r>
              <w:t>The bottom border color shall be dark blue (0000CC).</w:t>
            </w:r>
          </w:p>
          <w:p w:rsidR="005F78FC" w:rsidRDefault="00B42EF3">
            <w:pPr>
              <w:pStyle w:val="TableBodyText"/>
            </w:pPr>
            <w:r>
              <w:t>The right border color shall be dark blue (0000CC).</w:t>
            </w:r>
          </w:p>
          <w:p w:rsidR="005F78FC" w:rsidRDefault="00B42EF3">
            <w:pPr>
              <w:pStyle w:val="TableBodyText"/>
            </w:pPr>
            <w:r>
              <w:t>The inside horizontal border color shall be dark blue (0000CC).</w:t>
            </w:r>
          </w:p>
          <w:p w:rsidR="005F78FC" w:rsidRDefault="00B42EF3">
            <w:pPr>
              <w:pStyle w:val="TableBodyText"/>
            </w:pPr>
            <w:r>
              <w:t xml:space="preserve">The inside vertical border </w:t>
            </w:r>
            <w:r>
              <w:t>color shall be dark blue (0000CC).</w:t>
            </w:r>
          </w:p>
          <w:p w:rsidR="005F78FC" w:rsidRDefault="00B42EF3">
            <w:pPr>
              <w:pStyle w:val="TableBodyText"/>
            </w:pPr>
            <w:r>
              <w:t>The vertical alignment shall be top.</w:t>
            </w:r>
          </w:p>
          <w:p w:rsidR="005F78FC" w:rsidRDefault="005F78FC">
            <w:pPr>
              <w:pStyle w:val="TableBodyText"/>
            </w:pPr>
          </w:p>
          <w:p w:rsidR="005F78FC" w:rsidRDefault="00B42EF3">
            <w:pPr>
              <w:pStyle w:val="TableBodyText"/>
            </w:pPr>
            <w:r>
              <w:t>The header rows shall have the following properties:</w:t>
            </w:r>
          </w:p>
          <w:p w:rsidR="005F78FC" w:rsidRDefault="00B42EF3">
            <w:pPr>
              <w:pStyle w:val="TableBodyText"/>
            </w:pPr>
            <w:r>
              <w:t>The foreground shading color shall be dark blue (0000CC).</w:t>
            </w:r>
          </w:p>
          <w:p w:rsidR="005F78FC" w:rsidRDefault="00B42EF3">
            <w:pPr>
              <w:pStyle w:val="TableBodyText"/>
            </w:pPr>
            <w:r>
              <w:t>The background shading shall be white (FFFFFF).</w:t>
            </w:r>
          </w:p>
          <w:p w:rsidR="005F78FC" w:rsidRDefault="00B42EF3">
            <w:pPr>
              <w:pStyle w:val="TableBodyText"/>
            </w:pPr>
            <w:r>
              <w:t>The shading pattern shal</w:t>
            </w:r>
            <w:r>
              <w:t>l be solid.</w:t>
            </w:r>
          </w:p>
          <w:p w:rsidR="005F78FC" w:rsidRDefault="00B42EF3">
            <w:pPr>
              <w:pStyle w:val="TableBodyText"/>
            </w:pPr>
            <w:r>
              <w:t>The font color shall be white (FFFFFF).</w:t>
            </w:r>
          </w:p>
          <w:p w:rsidR="005F78FC" w:rsidRDefault="00B42EF3">
            <w:pPr>
              <w:pStyle w:val="TableBodyText"/>
            </w:pPr>
            <w:r>
              <w:t>The font shall be bold.</w:t>
            </w:r>
          </w:p>
          <w:p w:rsidR="005F78FC" w:rsidRDefault="005F78FC">
            <w:pPr>
              <w:pStyle w:val="TableBodyText"/>
            </w:pPr>
          </w:p>
          <w:p w:rsidR="005F78FC" w:rsidRDefault="00B42EF3">
            <w:pPr>
              <w:pStyle w:val="TableBodyText"/>
            </w:pPr>
            <w:r>
              <w:t>The last row shall have the following properties:</w:t>
            </w:r>
          </w:p>
          <w:p w:rsidR="005F78FC" w:rsidRDefault="00B42EF3">
            <w:pPr>
              <w:pStyle w:val="TableBodyText"/>
            </w:pPr>
            <w:r>
              <w:t>The font shall be bold.</w:t>
            </w:r>
          </w:p>
          <w:p w:rsidR="005F78FC" w:rsidRDefault="005F78FC">
            <w:pPr>
              <w:pStyle w:val="TableBodyText"/>
            </w:pPr>
          </w:p>
          <w:p w:rsidR="005F78FC" w:rsidRDefault="00B42EF3">
            <w:pPr>
              <w:pStyle w:val="TableBodyText"/>
            </w:pPr>
            <w:r>
              <w:t>The last column shall have the following properties:</w:t>
            </w:r>
          </w:p>
          <w:p w:rsidR="005F78FC" w:rsidRDefault="00B42EF3">
            <w:pPr>
              <w:pStyle w:val="TableBodyText"/>
            </w:pPr>
            <w:r>
              <w:t>The font shall be bold.</w:t>
            </w:r>
          </w:p>
          <w:p w:rsidR="005F78FC" w:rsidRDefault="005F78FC">
            <w:pPr>
              <w:pStyle w:val="TableBodyText"/>
            </w:pPr>
          </w:p>
        </w:tc>
      </w:tr>
      <w:tr w:rsidR="005F78FC" w:rsidTr="005F78FC">
        <w:tc>
          <w:tcPr>
            <w:tcW w:w="0" w:type="auto"/>
            <w:vAlign w:val="center"/>
          </w:tcPr>
          <w:p w:rsidR="005F78FC" w:rsidRDefault="00B42EF3">
            <w:pPr>
              <w:pStyle w:val="TableBodyText"/>
            </w:pPr>
            <w:r>
              <w:t>24 (List 1)</w:t>
            </w:r>
          </w:p>
          <w:p w:rsidR="005F78FC" w:rsidRDefault="005F78FC">
            <w:pPr>
              <w:pStyle w:val="TableBodyText"/>
            </w:pPr>
          </w:p>
        </w:tc>
        <w:tc>
          <w:tcPr>
            <w:tcW w:w="0" w:type="auto"/>
            <w:vAlign w:val="center"/>
          </w:tcPr>
          <w:p w:rsidR="005F78FC" w:rsidRDefault="00B42EF3">
            <w:pPr>
              <w:pStyle w:val="TableBodyText"/>
            </w:pPr>
            <w:r>
              <w:t>The table sh</w:t>
            </w:r>
            <w:r>
              <w:t>all have the following properties:</w:t>
            </w:r>
          </w:p>
          <w:p w:rsidR="005F78FC" w:rsidRDefault="00B42EF3">
            <w:pPr>
              <w:pStyle w:val="TableBodyText"/>
            </w:pPr>
            <w:r>
              <w:t>The top border shall be a 1 1/2 pt single line.</w:t>
            </w:r>
          </w:p>
          <w:p w:rsidR="005F78FC" w:rsidRDefault="00B42EF3">
            <w:pPr>
              <w:pStyle w:val="TableBodyText"/>
            </w:pPr>
            <w:r>
              <w:lastRenderedPageBreak/>
              <w:t>The left border shall be a 3/4 pt single line.</w:t>
            </w:r>
          </w:p>
          <w:p w:rsidR="005F78FC" w:rsidRDefault="00B42EF3">
            <w:pPr>
              <w:pStyle w:val="TableBodyText"/>
            </w:pPr>
            <w:r>
              <w:t>The bottom border shall be a 1 1/2 pt single line.</w:t>
            </w:r>
          </w:p>
          <w:p w:rsidR="005F78FC" w:rsidRDefault="00B42EF3">
            <w:pPr>
              <w:pStyle w:val="TableBodyText"/>
            </w:pPr>
            <w:r>
              <w:t>The right border shall be a 3/4 pt single line.</w:t>
            </w:r>
          </w:p>
          <w:p w:rsidR="005F78FC" w:rsidRDefault="00B42EF3">
            <w:pPr>
              <w:pStyle w:val="TableBodyText"/>
            </w:pPr>
            <w:r>
              <w:t xml:space="preserve">The top border color shall </w:t>
            </w:r>
            <w:r>
              <w:t>be dark cyan (00CCCC).</w:t>
            </w:r>
          </w:p>
          <w:p w:rsidR="005F78FC" w:rsidRDefault="00B42EF3">
            <w:pPr>
              <w:pStyle w:val="TableBodyText"/>
            </w:pPr>
            <w:r>
              <w:t>The left border color shall be dark cyan (00CCCC).</w:t>
            </w:r>
          </w:p>
          <w:p w:rsidR="005F78FC" w:rsidRDefault="00B42EF3">
            <w:pPr>
              <w:pStyle w:val="TableBodyText"/>
            </w:pPr>
            <w:r>
              <w:t>The bottom border color shall be dark cyan (00CCCC).</w:t>
            </w:r>
          </w:p>
          <w:p w:rsidR="005F78FC" w:rsidRDefault="00B42EF3">
            <w:pPr>
              <w:pStyle w:val="TableBodyText"/>
            </w:pPr>
            <w:r>
              <w:t>The right border color shall be dark cyan (00CCCC).</w:t>
            </w:r>
          </w:p>
          <w:p w:rsidR="005F78FC" w:rsidRDefault="00B42EF3">
            <w:pPr>
              <w:pStyle w:val="TableBodyText"/>
            </w:pPr>
            <w:r>
              <w:t>The vertical alignment shall be top.</w:t>
            </w:r>
          </w:p>
          <w:p w:rsidR="005F78FC" w:rsidRDefault="005F78FC">
            <w:pPr>
              <w:pStyle w:val="TableBodyText"/>
            </w:pPr>
          </w:p>
          <w:p w:rsidR="005F78FC" w:rsidRDefault="00B42EF3">
            <w:pPr>
              <w:pStyle w:val="TableBodyText"/>
            </w:pPr>
            <w:r>
              <w:t xml:space="preserve">Even rows of table data shall have the </w:t>
            </w:r>
            <w:r>
              <w:t>following properties:</w:t>
            </w:r>
          </w:p>
          <w:p w:rsidR="005F78FC" w:rsidRDefault="00B42EF3">
            <w:pPr>
              <w:pStyle w:val="TableBodyText"/>
            </w:pPr>
            <w:r>
              <w:t>The foreground shading color shall be dark gray (C0C0C0).</w:t>
            </w:r>
          </w:p>
          <w:p w:rsidR="005F78FC" w:rsidRDefault="00B42EF3">
            <w:pPr>
              <w:pStyle w:val="TableBodyText"/>
            </w:pPr>
            <w:r>
              <w:t>The background shading shall be white (FFFFFF).</w:t>
            </w:r>
          </w:p>
          <w:p w:rsidR="005F78FC" w:rsidRDefault="00B42EF3">
            <w:pPr>
              <w:pStyle w:val="TableBodyText"/>
            </w:pPr>
            <w:r>
              <w:t>The shading pattern shall be solid.</w:t>
            </w:r>
          </w:p>
          <w:p w:rsidR="005F78FC" w:rsidRDefault="005F78FC">
            <w:pPr>
              <w:pStyle w:val="TableBodyText"/>
            </w:pPr>
          </w:p>
          <w:p w:rsidR="005F78FC" w:rsidRDefault="00B42EF3">
            <w:pPr>
              <w:pStyle w:val="TableBodyText"/>
            </w:pPr>
            <w:r>
              <w:t>The header rows shall have the following properties:</w:t>
            </w:r>
          </w:p>
          <w:p w:rsidR="005F78FC" w:rsidRDefault="00B42EF3">
            <w:pPr>
              <w:pStyle w:val="TableBodyText"/>
            </w:pPr>
            <w:r>
              <w:t>The bottom border shall be a 3/4 pt si</w:t>
            </w:r>
            <w:r>
              <w:t>ngle line.</w:t>
            </w:r>
          </w:p>
          <w:p w:rsidR="005F78FC" w:rsidRDefault="00B42EF3">
            <w:pPr>
              <w:pStyle w:val="TableBodyText"/>
            </w:pPr>
            <w:r>
              <w:t>The bottom border color shall be black (000000).</w:t>
            </w:r>
          </w:p>
          <w:p w:rsidR="005F78FC" w:rsidRDefault="00B42EF3">
            <w:pPr>
              <w:pStyle w:val="TableBodyText"/>
            </w:pPr>
            <w:r>
              <w:t>The foreground shading color shall be dark gray (C0C0C0).</w:t>
            </w:r>
          </w:p>
          <w:p w:rsidR="005F78FC" w:rsidRDefault="00B42EF3">
            <w:pPr>
              <w:pStyle w:val="TableBodyText"/>
            </w:pPr>
            <w:r>
              <w:t>The background shading shall be white (FFFFFF).</w:t>
            </w:r>
          </w:p>
          <w:p w:rsidR="005F78FC" w:rsidRDefault="00B42EF3">
            <w:pPr>
              <w:pStyle w:val="TableBodyText"/>
            </w:pPr>
            <w:r>
              <w:t>The shading pattern shall be solid.</w:t>
            </w:r>
          </w:p>
          <w:p w:rsidR="005F78FC" w:rsidRDefault="00B42EF3">
            <w:pPr>
              <w:pStyle w:val="TableBodyText"/>
            </w:pPr>
            <w:r>
              <w:t>The font color shall be dark red (CC0000).</w:t>
            </w:r>
          </w:p>
          <w:p w:rsidR="005F78FC" w:rsidRDefault="00B42EF3">
            <w:pPr>
              <w:pStyle w:val="TableBodyText"/>
            </w:pPr>
            <w:r>
              <w:t>The font sh</w:t>
            </w:r>
            <w:r>
              <w:t>all be bold.</w:t>
            </w:r>
          </w:p>
          <w:p w:rsidR="005F78FC" w:rsidRDefault="00B42EF3">
            <w:pPr>
              <w:pStyle w:val="TableBodyText"/>
            </w:pPr>
            <w:r>
              <w:t>The font shall be italic.</w:t>
            </w:r>
          </w:p>
          <w:p w:rsidR="005F78FC" w:rsidRDefault="005F78FC">
            <w:pPr>
              <w:pStyle w:val="TableBodyText"/>
            </w:pPr>
          </w:p>
          <w:p w:rsidR="005F78FC" w:rsidRDefault="00B42EF3">
            <w:pPr>
              <w:pStyle w:val="TableBodyText"/>
            </w:pPr>
            <w:r>
              <w:t>The last row shall have the following properties:</w:t>
            </w:r>
          </w:p>
          <w:p w:rsidR="005F78FC" w:rsidRDefault="00B42EF3">
            <w:pPr>
              <w:pStyle w:val="TableBodyText"/>
            </w:pPr>
            <w:r>
              <w:t>The top border shall be a 3/4 pt single line.</w:t>
            </w:r>
          </w:p>
          <w:p w:rsidR="005F78FC" w:rsidRDefault="00B42EF3">
            <w:pPr>
              <w:pStyle w:val="TableBodyText"/>
            </w:pPr>
            <w:r>
              <w:t>The top border color shall be black (000000).</w:t>
            </w:r>
          </w:p>
          <w:p w:rsidR="005F78FC" w:rsidRDefault="00B42EF3">
            <w:pPr>
              <w:pStyle w:val="TableBodyText"/>
            </w:pPr>
            <w:r>
              <w:t>The shading pattern shall be clear.</w:t>
            </w:r>
          </w:p>
          <w:p w:rsidR="005F78FC" w:rsidRDefault="005F78FC">
            <w:pPr>
              <w:pStyle w:val="TableBodyText"/>
            </w:pPr>
          </w:p>
          <w:p w:rsidR="005F78FC" w:rsidRDefault="00B42EF3">
            <w:pPr>
              <w:pStyle w:val="TableBodyText"/>
            </w:pPr>
            <w:r>
              <w:t xml:space="preserve">The first column of the last row </w:t>
            </w:r>
            <w:r>
              <w:t>shall have the following properties:</w:t>
            </w:r>
          </w:p>
          <w:p w:rsidR="005F78FC" w:rsidRDefault="00B42EF3">
            <w:pPr>
              <w:pStyle w:val="TableBodyText"/>
            </w:pPr>
            <w:r>
              <w:t>The font shall be bold.</w:t>
            </w:r>
          </w:p>
          <w:p w:rsidR="005F78FC" w:rsidRDefault="005F78FC">
            <w:pPr>
              <w:pStyle w:val="TableBodyText"/>
            </w:pPr>
          </w:p>
        </w:tc>
      </w:tr>
      <w:tr w:rsidR="005F78FC" w:rsidTr="005F78FC">
        <w:tc>
          <w:tcPr>
            <w:tcW w:w="0" w:type="auto"/>
            <w:vAlign w:val="center"/>
          </w:tcPr>
          <w:p w:rsidR="005F78FC" w:rsidRDefault="00B42EF3">
            <w:pPr>
              <w:pStyle w:val="TableBodyText"/>
            </w:pPr>
            <w:r>
              <w:lastRenderedPageBreak/>
              <w:t>25 (List 2)</w:t>
            </w:r>
          </w:p>
          <w:p w:rsidR="005F78FC" w:rsidRDefault="005F78FC">
            <w:pPr>
              <w:pStyle w:val="TableBodyText"/>
            </w:pPr>
          </w:p>
        </w:tc>
        <w:tc>
          <w:tcPr>
            <w:tcW w:w="0" w:type="auto"/>
            <w:vAlign w:val="center"/>
          </w:tcPr>
          <w:p w:rsidR="005F78FC" w:rsidRDefault="00B42EF3">
            <w:pPr>
              <w:pStyle w:val="TableBodyText"/>
            </w:pPr>
            <w:r>
              <w:t>The table shall have the following properties:</w:t>
            </w:r>
          </w:p>
          <w:p w:rsidR="005F78FC" w:rsidRDefault="00B42EF3">
            <w:pPr>
              <w:pStyle w:val="TableBodyText"/>
            </w:pPr>
            <w:r>
              <w:t>The bottom border shall be a 1 1/2 pt single line.</w:t>
            </w:r>
          </w:p>
          <w:p w:rsidR="005F78FC" w:rsidRDefault="00B42EF3">
            <w:pPr>
              <w:pStyle w:val="TableBodyText"/>
            </w:pPr>
            <w:r>
              <w:t>The bottom border color shall be dark gray (CCCCCC).</w:t>
            </w:r>
          </w:p>
          <w:p w:rsidR="005F78FC" w:rsidRDefault="00B42EF3">
            <w:pPr>
              <w:pStyle w:val="TableBodyText"/>
            </w:pPr>
            <w:r>
              <w:t xml:space="preserve">The vertical alignment shall </w:t>
            </w:r>
            <w:r>
              <w:t>be top.</w:t>
            </w:r>
          </w:p>
          <w:p w:rsidR="005F78FC" w:rsidRDefault="005F78FC">
            <w:pPr>
              <w:pStyle w:val="TableBodyText"/>
            </w:pPr>
          </w:p>
          <w:p w:rsidR="005F78FC" w:rsidRDefault="00B42EF3">
            <w:pPr>
              <w:pStyle w:val="TableBodyText"/>
            </w:pPr>
            <w:r>
              <w:t>Double banded even rows of table data shall have the following properties:</w:t>
            </w:r>
          </w:p>
          <w:p w:rsidR="005F78FC" w:rsidRDefault="00B42EF3">
            <w:pPr>
              <w:pStyle w:val="TableBodyText"/>
            </w:pPr>
            <w:r>
              <w:t>The foreground shading color shall be green (00FF00).</w:t>
            </w:r>
          </w:p>
          <w:p w:rsidR="005F78FC" w:rsidRDefault="00B42EF3">
            <w:pPr>
              <w:pStyle w:val="TableBodyText"/>
            </w:pPr>
            <w:r>
              <w:t>The background shading shall be white (FFFFFF).</w:t>
            </w:r>
          </w:p>
          <w:p w:rsidR="005F78FC" w:rsidRDefault="00B42EF3">
            <w:pPr>
              <w:pStyle w:val="TableBodyText"/>
            </w:pPr>
            <w:r>
              <w:t>The shading pattern shall be pct20.</w:t>
            </w:r>
          </w:p>
          <w:p w:rsidR="005F78FC" w:rsidRDefault="005F78FC">
            <w:pPr>
              <w:pStyle w:val="TableBodyText"/>
            </w:pPr>
          </w:p>
          <w:p w:rsidR="005F78FC" w:rsidRDefault="00B42EF3">
            <w:pPr>
              <w:pStyle w:val="TableBodyText"/>
            </w:pPr>
            <w:r>
              <w:t xml:space="preserve">The header rows shall have the </w:t>
            </w:r>
            <w:r>
              <w:t>following properties:</w:t>
            </w:r>
          </w:p>
          <w:p w:rsidR="005F78FC" w:rsidRDefault="00B42EF3">
            <w:pPr>
              <w:pStyle w:val="TableBodyText"/>
            </w:pPr>
            <w:r>
              <w:t>The bottom border shall be a 3/4 pt single line.</w:t>
            </w:r>
          </w:p>
          <w:p w:rsidR="005F78FC" w:rsidRDefault="00B42EF3">
            <w:pPr>
              <w:pStyle w:val="TableBodyText"/>
            </w:pPr>
            <w:r>
              <w:t>The bottom border color shall be black (000000).</w:t>
            </w:r>
          </w:p>
          <w:p w:rsidR="005F78FC" w:rsidRDefault="00B42EF3">
            <w:pPr>
              <w:pStyle w:val="TableBodyText"/>
            </w:pPr>
            <w:r>
              <w:t>The foreground shading color shall be dark cyan (00CCCC).</w:t>
            </w:r>
          </w:p>
          <w:p w:rsidR="005F78FC" w:rsidRDefault="00B42EF3">
            <w:pPr>
              <w:pStyle w:val="TableBodyText"/>
            </w:pPr>
            <w:r>
              <w:t>The background shading shall be dark green (00CC00).</w:t>
            </w:r>
          </w:p>
          <w:p w:rsidR="005F78FC" w:rsidRDefault="00B42EF3">
            <w:pPr>
              <w:pStyle w:val="TableBodyText"/>
            </w:pPr>
            <w:r>
              <w:lastRenderedPageBreak/>
              <w:t>The shading pattern shall</w:t>
            </w:r>
            <w:r>
              <w:t xml:space="preserve"> be pct75.</w:t>
            </w:r>
          </w:p>
          <w:p w:rsidR="005F78FC" w:rsidRDefault="00B42EF3">
            <w:pPr>
              <w:pStyle w:val="TableBodyText"/>
            </w:pPr>
            <w:r>
              <w:t>The font color shall be white (FFFFFF).</w:t>
            </w:r>
          </w:p>
          <w:p w:rsidR="005F78FC" w:rsidRDefault="00B42EF3">
            <w:pPr>
              <w:pStyle w:val="TableBodyText"/>
            </w:pPr>
            <w:r>
              <w:t>The font shall be bold.</w:t>
            </w:r>
          </w:p>
          <w:p w:rsidR="005F78FC" w:rsidRDefault="005F78FC">
            <w:pPr>
              <w:pStyle w:val="TableBodyText"/>
            </w:pPr>
          </w:p>
          <w:p w:rsidR="005F78FC" w:rsidRDefault="00B42EF3">
            <w:pPr>
              <w:pStyle w:val="TableBodyText"/>
            </w:pPr>
            <w:r>
              <w:t>The last row shall have the following properties:</w:t>
            </w:r>
          </w:p>
          <w:p w:rsidR="005F78FC" w:rsidRDefault="00B42EF3">
            <w:pPr>
              <w:pStyle w:val="TableBodyText"/>
            </w:pPr>
            <w:r>
              <w:t>The top border shall be a 3/4 pt single line.</w:t>
            </w:r>
          </w:p>
          <w:p w:rsidR="005F78FC" w:rsidRDefault="00B42EF3">
            <w:pPr>
              <w:pStyle w:val="TableBodyText"/>
            </w:pPr>
            <w:r>
              <w:t>The top border color shall be black (000000).</w:t>
            </w:r>
          </w:p>
          <w:p w:rsidR="005F78FC" w:rsidRDefault="00B42EF3">
            <w:pPr>
              <w:pStyle w:val="TableBodyText"/>
            </w:pPr>
            <w:r>
              <w:t>The shading pattern shall be clear.</w:t>
            </w:r>
          </w:p>
          <w:p w:rsidR="005F78FC" w:rsidRDefault="005F78FC">
            <w:pPr>
              <w:pStyle w:val="TableBodyText"/>
            </w:pPr>
          </w:p>
          <w:p w:rsidR="005F78FC" w:rsidRDefault="00B42EF3">
            <w:pPr>
              <w:pStyle w:val="TableBodyText"/>
            </w:pPr>
            <w:r>
              <w:t>The first column of the last row shall have the following properties:</w:t>
            </w:r>
          </w:p>
          <w:p w:rsidR="005F78FC" w:rsidRDefault="00B42EF3">
            <w:pPr>
              <w:pStyle w:val="TableBodyText"/>
            </w:pPr>
            <w:r>
              <w:t>The font shall be bold.</w:t>
            </w:r>
          </w:p>
          <w:p w:rsidR="005F78FC" w:rsidRDefault="005F78FC">
            <w:pPr>
              <w:pStyle w:val="TableBodyText"/>
            </w:pPr>
          </w:p>
        </w:tc>
      </w:tr>
      <w:tr w:rsidR="005F78FC" w:rsidTr="005F78FC">
        <w:tc>
          <w:tcPr>
            <w:tcW w:w="0" w:type="auto"/>
            <w:vAlign w:val="center"/>
          </w:tcPr>
          <w:p w:rsidR="005F78FC" w:rsidRDefault="00B42EF3">
            <w:pPr>
              <w:pStyle w:val="TableBodyText"/>
            </w:pPr>
            <w:r>
              <w:lastRenderedPageBreak/>
              <w:t>26 (List 3)</w:t>
            </w:r>
          </w:p>
          <w:p w:rsidR="005F78FC" w:rsidRDefault="005F78FC">
            <w:pPr>
              <w:pStyle w:val="TableBodyText"/>
            </w:pPr>
          </w:p>
        </w:tc>
        <w:tc>
          <w:tcPr>
            <w:tcW w:w="0" w:type="auto"/>
            <w:vAlign w:val="center"/>
          </w:tcPr>
          <w:p w:rsidR="005F78FC" w:rsidRDefault="00B42EF3">
            <w:pPr>
              <w:pStyle w:val="TableBodyText"/>
            </w:pPr>
            <w:r>
              <w:t>The table shall have the following properties:</w:t>
            </w:r>
          </w:p>
          <w:p w:rsidR="005F78FC" w:rsidRDefault="00B42EF3">
            <w:pPr>
              <w:pStyle w:val="TableBodyText"/>
            </w:pPr>
            <w:r>
              <w:t>The top border shall be a 1 1/2 pt single line.</w:t>
            </w:r>
          </w:p>
          <w:p w:rsidR="005F78FC" w:rsidRDefault="00B42EF3">
            <w:pPr>
              <w:pStyle w:val="TableBodyText"/>
            </w:pPr>
            <w:r>
              <w:t>The bottom border shall be a 1 1/2 pt single line.</w:t>
            </w:r>
          </w:p>
          <w:p w:rsidR="005F78FC" w:rsidRDefault="00B42EF3">
            <w:pPr>
              <w:pStyle w:val="TableBodyText"/>
            </w:pPr>
            <w:r>
              <w:t>T</w:t>
            </w:r>
            <w:r>
              <w:t>he top border color shall be black (000000).</w:t>
            </w:r>
          </w:p>
          <w:p w:rsidR="005F78FC" w:rsidRDefault="00B42EF3">
            <w:pPr>
              <w:pStyle w:val="TableBodyText"/>
            </w:pPr>
            <w:r>
              <w:t>The bottom border color shall be black (000000).</w:t>
            </w:r>
          </w:p>
          <w:p w:rsidR="005F78FC" w:rsidRDefault="00B42EF3">
            <w:pPr>
              <w:pStyle w:val="TableBodyText"/>
            </w:pPr>
            <w:r>
              <w:t>The vertical alignment shall be top.</w:t>
            </w:r>
          </w:p>
          <w:p w:rsidR="005F78FC" w:rsidRDefault="005F78FC">
            <w:pPr>
              <w:pStyle w:val="TableBodyText"/>
            </w:pPr>
          </w:p>
          <w:p w:rsidR="005F78FC" w:rsidRDefault="00B42EF3">
            <w:pPr>
              <w:pStyle w:val="TableBodyText"/>
            </w:pPr>
            <w:r>
              <w:t>The table data shall have the following properties:</w:t>
            </w:r>
          </w:p>
          <w:p w:rsidR="005F78FC" w:rsidRDefault="00B42EF3">
            <w:pPr>
              <w:pStyle w:val="TableBodyText"/>
            </w:pPr>
            <w:r>
              <w:t>The inside horizontal border shall be a 3/4 pt single line.</w:t>
            </w:r>
          </w:p>
          <w:p w:rsidR="005F78FC" w:rsidRDefault="00B42EF3">
            <w:pPr>
              <w:pStyle w:val="TableBodyText"/>
            </w:pPr>
            <w:r>
              <w:t>The inside h</w:t>
            </w:r>
            <w:r>
              <w:t>orizontal border color shall be black (000000).</w:t>
            </w:r>
          </w:p>
          <w:p w:rsidR="005F78FC" w:rsidRDefault="005F78FC">
            <w:pPr>
              <w:pStyle w:val="TableBodyText"/>
            </w:pPr>
          </w:p>
          <w:p w:rsidR="005F78FC" w:rsidRDefault="00B42EF3">
            <w:pPr>
              <w:pStyle w:val="TableBodyText"/>
            </w:pPr>
            <w:r>
              <w:t>The header rows shall have the following properties:</w:t>
            </w:r>
          </w:p>
          <w:p w:rsidR="005F78FC" w:rsidRDefault="00B42EF3">
            <w:pPr>
              <w:pStyle w:val="TableBodyText"/>
            </w:pPr>
            <w:r>
              <w:t>The bottom border shall be a 1 1/2 pt single line.</w:t>
            </w:r>
          </w:p>
          <w:p w:rsidR="005F78FC" w:rsidRDefault="00B42EF3">
            <w:pPr>
              <w:pStyle w:val="TableBodyText"/>
            </w:pPr>
            <w:r>
              <w:t>The bottom border color shall be black (000000).</w:t>
            </w:r>
          </w:p>
          <w:p w:rsidR="005F78FC" w:rsidRDefault="00B42EF3">
            <w:pPr>
              <w:pStyle w:val="TableBodyText"/>
            </w:pPr>
            <w:r>
              <w:t>The font color shall be dark blue (0000CC).</w:t>
            </w:r>
          </w:p>
          <w:p w:rsidR="005F78FC" w:rsidRDefault="00B42EF3">
            <w:pPr>
              <w:pStyle w:val="TableBodyText"/>
            </w:pPr>
            <w:r>
              <w:t xml:space="preserve">The font </w:t>
            </w:r>
            <w:r>
              <w:t>shall be bold.</w:t>
            </w:r>
          </w:p>
          <w:p w:rsidR="005F78FC" w:rsidRDefault="005F78FC">
            <w:pPr>
              <w:pStyle w:val="TableBodyText"/>
            </w:pPr>
          </w:p>
          <w:p w:rsidR="005F78FC" w:rsidRDefault="00B42EF3">
            <w:pPr>
              <w:pStyle w:val="TableBodyText"/>
            </w:pPr>
            <w:r>
              <w:t>The last row shall have the following properties:</w:t>
            </w:r>
          </w:p>
          <w:p w:rsidR="005F78FC" w:rsidRDefault="00B42EF3">
            <w:pPr>
              <w:pStyle w:val="TableBodyText"/>
            </w:pPr>
            <w:r>
              <w:t>The top border shall be a 1 1/2 pt single line.</w:t>
            </w:r>
          </w:p>
          <w:p w:rsidR="005F78FC" w:rsidRDefault="00B42EF3">
            <w:pPr>
              <w:pStyle w:val="TableBodyText"/>
            </w:pPr>
            <w:r>
              <w:t>The top border color shall be black (000000).</w:t>
            </w:r>
          </w:p>
          <w:p w:rsidR="005F78FC" w:rsidRDefault="005F78FC">
            <w:pPr>
              <w:pStyle w:val="TableBodyText"/>
            </w:pPr>
          </w:p>
          <w:p w:rsidR="005F78FC" w:rsidRDefault="00B42EF3">
            <w:pPr>
              <w:pStyle w:val="TableBodyText"/>
            </w:pPr>
            <w:r>
              <w:t>The first column of the last row shall have the following properties:</w:t>
            </w:r>
          </w:p>
          <w:p w:rsidR="005F78FC" w:rsidRDefault="00B42EF3">
            <w:pPr>
              <w:pStyle w:val="TableBodyText"/>
            </w:pPr>
            <w:r>
              <w:t>The font color shall be d</w:t>
            </w:r>
            <w:r>
              <w:t>ark blue (0000CC).</w:t>
            </w:r>
          </w:p>
          <w:p w:rsidR="005F78FC" w:rsidRDefault="00B42EF3">
            <w:pPr>
              <w:pStyle w:val="TableBodyText"/>
            </w:pPr>
            <w:r>
              <w:t>The font shall be italic.</w:t>
            </w:r>
          </w:p>
          <w:p w:rsidR="005F78FC" w:rsidRDefault="005F78FC">
            <w:pPr>
              <w:pStyle w:val="TableBodyText"/>
            </w:pPr>
          </w:p>
        </w:tc>
      </w:tr>
      <w:tr w:rsidR="005F78FC" w:rsidTr="005F78FC">
        <w:tc>
          <w:tcPr>
            <w:tcW w:w="0" w:type="auto"/>
            <w:vAlign w:val="center"/>
          </w:tcPr>
          <w:p w:rsidR="005F78FC" w:rsidRDefault="00B42EF3">
            <w:pPr>
              <w:pStyle w:val="TableBodyText"/>
            </w:pPr>
            <w:r>
              <w:t>27 (List 4)</w:t>
            </w:r>
          </w:p>
          <w:p w:rsidR="005F78FC" w:rsidRDefault="005F78FC">
            <w:pPr>
              <w:pStyle w:val="TableBodyText"/>
            </w:pPr>
          </w:p>
        </w:tc>
        <w:tc>
          <w:tcPr>
            <w:tcW w:w="0" w:type="auto"/>
            <w:vAlign w:val="center"/>
          </w:tcPr>
          <w:p w:rsidR="005F78FC" w:rsidRDefault="00B42EF3">
            <w:pPr>
              <w:pStyle w:val="TableBodyText"/>
            </w:pPr>
            <w:r>
              <w:t>The table shall have the following properties:</w:t>
            </w:r>
          </w:p>
          <w:p w:rsidR="005F78FC" w:rsidRDefault="00B42EF3">
            <w:pPr>
              <w:pStyle w:val="TableBodyText"/>
            </w:pPr>
            <w:r>
              <w:t>The top border shall be a 1 1/2 pt single line.</w:t>
            </w:r>
          </w:p>
          <w:p w:rsidR="005F78FC" w:rsidRDefault="00B42EF3">
            <w:pPr>
              <w:pStyle w:val="TableBodyText"/>
            </w:pPr>
            <w:r>
              <w:t>The left border shall be a 1 1/2 pt single line.</w:t>
            </w:r>
          </w:p>
          <w:p w:rsidR="005F78FC" w:rsidRDefault="00B42EF3">
            <w:pPr>
              <w:pStyle w:val="TableBodyText"/>
            </w:pPr>
            <w:r>
              <w:t>The bottom border shall be a 1 1/2 pt single line.</w:t>
            </w:r>
          </w:p>
          <w:p w:rsidR="005F78FC" w:rsidRDefault="00B42EF3">
            <w:pPr>
              <w:pStyle w:val="TableBodyText"/>
            </w:pPr>
            <w:r>
              <w:t>T</w:t>
            </w:r>
            <w:r>
              <w:t>he right border shall be a 1 1/2 pt single line.</w:t>
            </w:r>
          </w:p>
          <w:p w:rsidR="005F78FC" w:rsidRDefault="00B42EF3">
            <w:pPr>
              <w:pStyle w:val="TableBodyText"/>
            </w:pPr>
            <w:r>
              <w:t>The inside horizontal border shall be a 3/4 pt single line.</w:t>
            </w:r>
          </w:p>
          <w:p w:rsidR="005F78FC" w:rsidRDefault="00B42EF3">
            <w:pPr>
              <w:pStyle w:val="TableBodyText"/>
            </w:pPr>
            <w:r>
              <w:t>The top border color shall be black (000000).</w:t>
            </w:r>
          </w:p>
          <w:p w:rsidR="005F78FC" w:rsidRDefault="00B42EF3">
            <w:pPr>
              <w:pStyle w:val="TableBodyText"/>
            </w:pPr>
            <w:r>
              <w:t>The left border color shall be black (000000).</w:t>
            </w:r>
          </w:p>
          <w:p w:rsidR="005F78FC" w:rsidRDefault="00B42EF3">
            <w:pPr>
              <w:pStyle w:val="TableBodyText"/>
            </w:pPr>
            <w:r>
              <w:t>The bottom border color shall be black (000000).</w:t>
            </w:r>
          </w:p>
          <w:p w:rsidR="005F78FC" w:rsidRDefault="00B42EF3">
            <w:pPr>
              <w:pStyle w:val="TableBodyText"/>
            </w:pPr>
            <w:r>
              <w:t xml:space="preserve">The </w:t>
            </w:r>
            <w:r>
              <w:t>right border color shall be black (000000).</w:t>
            </w:r>
          </w:p>
          <w:p w:rsidR="005F78FC" w:rsidRDefault="00B42EF3">
            <w:pPr>
              <w:pStyle w:val="TableBodyText"/>
            </w:pPr>
            <w:r>
              <w:lastRenderedPageBreak/>
              <w:t>The inside horizontal border color shall be black (000000).</w:t>
            </w:r>
          </w:p>
          <w:p w:rsidR="005F78FC" w:rsidRDefault="00B42EF3">
            <w:pPr>
              <w:pStyle w:val="TableBodyText"/>
            </w:pPr>
            <w:r>
              <w:t>The vertical alignment shall be top.</w:t>
            </w:r>
          </w:p>
          <w:p w:rsidR="005F78FC" w:rsidRDefault="005F78FC">
            <w:pPr>
              <w:pStyle w:val="TableBodyText"/>
            </w:pPr>
          </w:p>
          <w:p w:rsidR="005F78FC" w:rsidRDefault="00B42EF3">
            <w:pPr>
              <w:pStyle w:val="TableBodyText"/>
            </w:pPr>
            <w:r>
              <w:t>The header rows shall have the following properties:</w:t>
            </w:r>
          </w:p>
          <w:p w:rsidR="005F78FC" w:rsidRDefault="00B42EF3">
            <w:pPr>
              <w:pStyle w:val="TableBodyText"/>
            </w:pPr>
            <w:r>
              <w:t>The bottom border shall be a 1 1/2 pt single line.</w:t>
            </w:r>
          </w:p>
          <w:p w:rsidR="005F78FC" w:rsidRDefault="00B42EF3">
            <w:pPr>
              <w:pStyle w:val="TableBodyText"/>
            </w:pPr>
            <w:r>
              <w:t>The bottom</w:t>
            </w:r>
            <w:r>
              <w:t xml:space="preserve"> border color shall be black (000000).</w:t>
            </w:r>
          </w:p>
          <w:p w:rsidR="005F78FC" w:rsidRDefault="00B42EF3">
            <w:pPr>
              <w:pStyle w:val="TableBodyText"/>
            </w:pPr>
            <w:r>
              <w:t>The foreground shading color shall be dark gray (CCCCCC).</w:t>
            </w:r>
          </w:p>
          <w:p w:rsidR="005F78FC" w:rsidRDefault="00B42EF3">
            <w:pPr>
              <w:pStyle w:val="TableBodyText"/>
            </w:pPr>
            <w:r>
              <w:t>The background shading shall be white (FFFFFF).</w:t>
            </w:r>
          </w:p>
          <w:p w:rsidR="005F78FC" w:rsidRDefault="00B42EF3">
            <w:pPr>
              <w:pStyle w:val="TableBodyText"/>
            </w:pPr>
            <w:r>
              <w:t>The shading pattern shall be solid.</w:t>
            </w:r>
          </w:p>
          <w:p w:rsidR="005F78FC" w:rsidRDefault="00B42EF3">
            <w:pPr>
              <w:pStyle w:val="TableBodyText"/>
            </w:pPr>
            <w:r>
              <w:t>The font color shall be white (FFFFFF).</w:t>
            </w:r>
          </w:p>
          <w:p w:rsidR="005F78FC" w:rsidRDefault="00B42EF3">
            <w:pPr>
              <w:pStyle w:val="TableBodyText"/>
            </w:pPr>
            <w:r>
              <w:t>The font shall be bold.</w:t>
            </w:r>
          </w:p>
          <w:p w:rsidR="005F78FC" w:rsidRDefault="005F78FC">
            <w:pPr>
              <w:pStyle w:val="TableBodyText"/>
            </w:pPr>
          </w:p>
        </w:tc>
      </w:tr>
      <w:tr w:rsidR="005F78FC" w:rsidTr="005F78FC">
        <w:tc>
          <w:tcPr>
            <w:tcW w:w="0" w:type="auto"/>
            <w:vAlign w:val="center"/>
          </w:tcPr>
          <w:p w:rsidR="005F78FC" w:rsidRDefault="00B42EF3">
            <w:pPr>
              <w:pStyle w:val="TableBodyText"/>
            </w:pPr>
            <w:r>
              <w:lastRenderedPageBreak/>
              <w:t xml:space="preserve">28 (List </w:t>
            </w:r>
            <w:r>
              <w:t>5)</w:t>
            </w:r>
          </w:p>
          <w:p w:rsidR="005F78FC" w:rsidRDefault="005F78FC">
            <w:pPr>
              <w:pStyle w:val="TableBodyText"/>
            </w:pPr>
          </w:p>
        </w:tc>
        <w:tc>
          <w:tcPr>
            <w:tcW w:w="0" w:type="auto"/>
            <w:vAlign w:val="center"/>
          </w:tcPr>
          <w:p w:rsidR="005F78FC" w:rsidRDefault="00B42EF3">
            <w:pPr>
              <w:pStyle w:val="TableBodyText"/>
            </w:pPr>
            <w:r>
              <w:t>The table shall have the following properties:</w:t>
            </w:r>
          </w:p>
          <w:p w:rsidR="005F78FC" w:rsidRDefault="00B42EF3">
            <w:pPr>
              <w:pStyle w:val="TableBodyText"/>
            </w:pPr>
            <w:r>
              <w:t>The top border shall be a 3/4 pt single line.</w:t>
            </w:r>
          </w:p>
          <w:p w:rsidR="005F78FC" w:rsidRDefault="00B42EF3">
            <w:pPr>
              <w:pStyle w:val="TableBodyText"/>
            </w:pPr>
            <w:r>
              <w:t>The left border shall be a 3/4 pt single line.</w:t>
            </w:r>
          </w:p>
          <w:p w:rsidR="005F78FC" w:rsidRDefault="00B42EF3">
            <w:pPr>
              <w:pStyle w:val="TableBodyText"/>
            </w:pPr>
            <w:r>
              <w:t>The bottom border shall be a 3/4 pt single line.</w:t>
            </w:r>
          </w:p>
          <w:p w:rsidR="005F78FC" w:rsidRDefault="00B42EF3">
            <w:pPr>
              <w:pStyle w:val="TableBodyText"/>
            </w:pPr>
            <w:r>
              <w:t>The right border shall be a 3/4 pt single line.</w:t>
            </w:r>
          </w:p>
          <w:p w:rsidR="005F78FC" w:rsidRDefault="00B42EF3">
            <w:pPr>
              <w:pStyle w:val="TableBodyText"/>
            </w:pPr>
            <w:r>
              <w:t xml:space="preserve">The top border </w:t>
            </w:r>
            <w:r>
              <w:t>color shall be black (000000).</w:t>
            </w:r>
          </w:p>
          <w:p w:rsidR="005F78FC" w:rsidRDefault="00B42EF3">
            <w:pPr>
              <w:pStyle w:val="TableBodyText"/>
            </w:pPr>
            <w:r>
              <w:t>The left border color shall be black (000000).</w:t>
            </w:r>
          </w:p>
          <w:p w:rsidR="005F78FC" w:rsidRDefault="00B42EF3">
            <w:pPr>
              <w:pStyle w:val="TableBodyText"/>
            </w:pPr>
            <w:r>
              <w:t>The bottom border color shall be black (000000).</w:t>
            </w:r>
          </w:p>
          <w:p w:rsidR="005F78FC" w:rsidRDefault="00B42EF3">
            <w:pPr>
              <w:pStyle w:val="TableBodyText"/>
            </w:pPr>
            <w:r>
              <w:t>The right border color shall be black (000000).</w:t>
            </w:r>
          </w:p>
          <w:p w:rsidR="005F78FC" w:rsidRDefault="00B42EF3">
            <w:pPr>
              <w:pStyle w:val="TableBodyText"/>
            </w:pPr>
            <w:r>
              <w:t>The vertical alignment shall be top.</w:t>
            </w:r>
          </w:p>
          <w:p w:rsidR="005F78FC" w:rsidRDefault="005F78FC">
            <w:pPr>
              <w:pStyle w:val="TableBodyText"/>
            </w:pPr>
          </w:p>
          <w:p w:rsidR="005F78FC" w:rsidRDefault="00B42EF3">
            <w:pPr>
              <w:pStyle w:val="TableBodyText"/>
            </w:pPr>
            <w:r>
              <w:t>The table data shall have the following pro</w:t>
            </w:r>
            <w:r>
              <w:t>perties:</w:t>
            </w:r>
          </w:p>
          <w:p w:rsidR="005F78FC" w:rsidRDefault="00B42EF3">
            <w:pPr>
              <w:pStyle w:val="TableBodyText"/>
            </w:pPr>
            <w:r>
              <w:t>The inside horizontal border shall be a 3/4 pt single line.</w:t>
            </w:r>
          </w:p>
          <w:p w:rsidR="005F78FC" w:rsidRDefault="00B42EF3">
            <w:pPr>
              <w:pStyle w:val="TableBodyText"/>
            </w:pPr>
            <w:r>
              <w:t>The inside horizontal border color shall be black (000000).</w:t>
            </w:r>
          </w:p>
          <w:p w:rsidR="005F78FC" w:rsidRDefault="005F78FC">
            <w:pPr>
              <w:pStyle w:val="TableBodyText"/>
            </w:pPr>
          </w:p>
          <w:p w:rsidR="005F78FC" w:rsidRDefault="00B42EF3">
            <w:pPr>
              <w:pStyle w:val="TableBodyText"/>
            </w:pPr>
            <w:r>
              <w:t>The header rows shall have the following properties:</w:t>
            </w:r>
          </w:p>
          <w:p w:rsidR="005F78FC" w:rsidRDefault="00B42EF3">
            <w:pPr>
              <w:pStyle w:val="TableBodyText"/>
            </w:pPr>
            <w:r>
              <w:t>The bottom border shall be a 1 1/2 pt single line.</w:t>
            </w:r>
          </w:p>
          <w:p w:rsidR="005F78FC" w:rsidRDefault="00B42EF3">
            <w:pPr>
              <w:pStyle w:val="TableBodyText"/>
            </w:pPr>
            <w:r>
              <w:t>The bottom border colo</w:t>
            </w:r>
            <w:r>
              <w:t>r shall be black (000000).</w:t>
            </w:r>
          </w:p>
          <w:p w:rsidR="005F78FC" w:rsidRDefault="00B42EF3">
            <w:pPr>
              <w:pStyle w:val="TableBodyText"/>
            </w:pPr>
            <w:r>
              <w:t>The font shall be bold.</w:t>
            </w:r>
          </w:p>
          <w:p w:rsidR="005F78FC" w:rsidRDefault="005F78FC">
            <w:pPr>
              <w:pStyle w:val="TableBodyText"/>
            </w:pPr>
          </w:p>
          <w:p w:rsidR="005F78FC" w:rsidRDefault="00B42EF3">
            <w:pPr>
              <w:pStyle w:val="TableBodyText"/>
            </w:pPr>
            <w:r>
              <w:t>The first column shall have the following properties:</w:t>
            </w:r>
          </w:p>
          <w:p w:rsidR="005F78FC" w:rsidRDefault="00B42EF3">
            <w:pPr>
              <w:pStyle w:val="TableBodyText"/>
            </w:pPr>
            <w:r>
              <w:t>The font shall be bold.</w:t>
            </w:r>
          </w:p>
          <w:p w:rsidR="005F78FC" w:rsidRDefault="005F78FC">
            <w:pPr>
              <w:pStyle w:val="TableBodyText"/>
            </w:pPr>
          </w:p>
        </w:tc>
      </w:tr>
      <w:tr w:rsidR="005F78FC" w:rsidTr="005F78FC">
        <w:tc>
          <w:tcPr>
            <w:tcW w:w="0" w:type="auto"/>
            <w:vAlign w:val="center"/>
          </w:tcPr>
          <w:p w:rsidR="005F78FC" w:rsidRDefault="00B42EF3">
            <w:pPr>
              <w:pStyle w:val="TableBodyText"/>
            </w:pPr>
            <w:r>
              <w:t>29 (List 6)</w:t>
            </w:r>
          </w:p>
          <w:p w:rsidR="005F78FC" w:rsidRDefault="005F78FC">
            <w:pPr>
              <w:pStyle w:val="TableBodyText"/>
            </w:pPr>
          </w:p>
        </w:tc>
        <w:tc>
          <w:tcPr>
            <w:tcW w:w="0" w:type="auto"/>
            <w:vAlign w:val="center"/>
          </w:tcPr>
          <w:p w:rsidR="005F78FC" w:rsidRDefault="00B42EF3">
            <w:pPr>
              <w:pStyle w:val="TableBodyText"/>
            </w:pPr>
            <w:r>
              <w:t>The table shall have the following properties:</w:t>
            </w:r>
          </w:p>
          <w:p w:rsidR="005F78FC" w:rsidRDefault="00B42EF3">
            <w:pPr>
              <w:pStyle w:val="TableBodyText"/>
            </w:pPr>
            <w:r>
              <w:t>The top border shall be a 3/4 pt single line.</w:t>
            </w:r>
          </w:p>
          <w:p w:rsidR="005F78FC" w:rsidRDefault="00B42EF3">
            <w:pPr>
              <w:pStyle w:val="TableBodyText"/>
            </w:pPr>
            <w:r>
              <w:t>The left border sh</w:t>
            </w:r>
            <w:r>
              <w:t>all be a 3/4 pt single line.</w:t>
            </w:r>
          </w:p>
          <w:p w:rsidR="005F78FC" w:rsidRDefault="00B42EF3">
            <w:pPr>
              <w:pStyle w:val="TableBodyText"/>
            </w:pPr>
            <w:r>
              <w:t>The bottom border shall be a 3/4 pt single line.</w:t>
            </w:r>
          </w:p>
          <w:p w:rsidR="005F78FC" w:rsidRDefault="00B42EF3">
            <w:pPr>
              <w:pStyle w:val="TableBodyText"/>
            </w:pPr>
            <w:r>
              <w:t>The right border shall be a 3/4 pt single line.</w:t>
            </w:r>
          </w:p>
          <w:p w:rsidR="005F78FC" w:rsidRDefault="00B42EF3">
            <w:pPr>
              <w:pStyle w:val="TableBodyText"/>
            </w:pPr>
            <w:r>
              <w:t>The top border color shall be black (000000).</w:t>
            </w:r>
          </w:p>
          <w:p w:rsidR="005F78FC" w:rsidRDefault="00B42EF3">
            <w:pPr>
              <w:pStyle w:val="TableBodyText"/>
            </w:pPr>
            <w:r>
              <w:t>The left border color shall be black (000000).</w:t>
            </w:r>
          </w:p>
          <w:p w:rsidR="005F78FC" w:rsidRDefault="00B42EF3">
            <w:pPr>
              <w:pStyle w:val="TableBodyText"/>
            </w:pPr>
            <w:r>
              <w:t xml:space="preserve">The bottom border color shall be </w:t>
            </w:r>
            <w:r>
              <w:t>black (000000).</w:t>
            </w:r>
          </w:p>
          <w:p w:rsidR="005F78FC" w:rsidRDefault="00B42EF3">
            <w:pPr>
              <w:pStyle w:val="TableBodyText"/>
            </w:pPr>
            <w:r>
              <w:t>The right border color shall be black (000000).</w:t>
            </w:r>
          </w:p>
          <w:p w:rsidR="005F78FC" w:rsidRDefault="00B42EF3">
            <w:pPr>
              <w:pStyle w:val="TableBodyText"/>
            </w:pPr>
            <w:r>
              <w:t>The foreground shading color shall be black (000000).</w:t>
            </w:r>
          </w:p>
          <w:p w:rsidR="005F78FC" w:rsidRDefault="00B42EF3">
            <w:pPr>
              <w:pStyle w:val="TableBodyText"/>
            </w:pPr>
            <w:r>
              <w:t>The background shading shall be white (FFFFFF).</w:t>
            </w:r>
          </w:p>
          <w:p w:rsidR="005F78FC" w:rsidRDefault="00B42EF3">
            <w:pPr>
              <w:pStyle w:val="TableBodyText"/>
            </w:pPr>
            <w:r>
              <w:t>The shading pattern shall be pct50.</w:t>
            </w:r>
          </w:p>
          <w:p w:rsidR="005F78FC" w:rsidRDefault="00B42EF3">
            <w:pPr>
              <w:pStyle w:val="TableBodyText"/>
            </w:pPr>
            <w:r>
              <w:lastRenderedPageBreak/>
              <w:t>The vertical alignment shall be top.</w:t>
            </w:r>
          </w:p>
          <w:p w:rsidR="005F78FC" w:rsidRDefault="005F78FC">
            <w:pPr>
              <w:pStyle w:val="TableBodyText"/>
            </w:pPr>
          </w:p>
          <w:p w:rsidR="005F78FC" w:rsidRDefault="00B42EF3">
            <w:pPr>
              <w:pStyle w:val="TableBodyText"/>
            </w:pPr>
            <w:r>
              <w:t>Even rows of tab</w:t>
            </w:r>
            <w:r>
              <w:t>le data shall have the following properties:</w:t>
            </w:r>
          </w:p>
          <w:p w:rsidR="005F78FC" w:rsidRDefault="00B42EF3">
            <w:pPr>
              <w:pStyle w:val="TableBodyText"/>
            </w:pPr>
            <w:r>
              <w:t>The foreground shading color shall be black (000000).</w:t>
            </w:r>
          </w:p>
          <w:p w:rsidR="005F78FC" w:rsidRDefault="00B42EF3">
            <w:pPr>
              <w:pStyle w:val="TableBodyText"/>
            </w:pPr>
            <w:r>
              <w:t>The background shading shall be white (FFFFFF).</w:t>
            </w:r>
          </w:p>
          <w:p w:rsidR="005F78FC" w:rsidRDefault="00B42EF3">
            <w:pPr>
              <w:pStyle w:val="TableBodyText"/>
            </w:pPr>
            <w:r>
              <w:t>The shading pattern shall be pct25.</w:t>
            </w:r>
          </w:p>
          <w:p w:rsidR="005F78FC" w:rsidRDefault="005F78FC">
            <w:pPr>
              <w:pStyle w:val="TableBodyText"/>
            </w:pPr>
          </w:p>
          <w:p w:rsidR="005F78FC" w:rsidRDefault="00B42EF3">
            <w:pPr>
              <w:pStyle w:val="TableBodyText"/>
            </w:pPr>
            <w:r>
              <w:t>The header rows shall have the following properties:</w:t>
            </w:r>
          </w:p>
          <w:p w:rsidR="005F78FC" w:rsidRDefault="00B42EF3">
            <w:pPr>
              <w:pStyle w:val="TableBodyText"/>
            </w:pPr>
            <w:r>
              <w:t>The bottom border s</w:t>
            </w:r>
            <w:r>
              <w:t>hall be a 1 1/2 pt single line.</w:t>
            </w:r>
          </w:p>
          <w:p w:rsidR="005F78FC" w:rsidRDefault="00B42EF3">
            <w:pPr>
              <w:pStyle w:val="TableBodyText"/>
            </w:pPr>
            <w:r>
              <w:t>The bottom border color shall be black (000000).</w:t>
            </w:r>
          </w:p>
          <w:p w:rsidR="005F78FC" w:rsidRDefault="00B42EF3">
            <w:pPr>
              <w:pStyle w:val="TableBodyText"/>
            </w:pPr>
            <w:r>
              <w:t>The font shall be bold.</w:t>
            </w:r>
          </w:p>
          <w:p w:rsidR="005F78FC" w:rsidRDefault="005F78FC">
            <w:pPr>
              <w:pStyle w:val="TableBodyText"/>
            </w:pPr>
          </w:p>
          <w:p w:rsidR="005F78FC" w:rsidRDefault="00B42EF3">
            <w:pPr>
              <w:pStyle w:val="TableBodyText"/>
            </w:pPr>
            <w:r>
              <w:t>The first column shall have the following properties:</w:t>
            </w:r>
          </w:p>
          <w:p w:rsidR="005F78FC" w:rsidRDefault="00B42EF3">
            <w:pPr>
              <w:pStyle w:val="TableBodyText"/>
            </w:pPr>
            <w:r>
              <w:t>The right border shall be a 1 1/2 pt single line.</w:t>
            </w:r>
          </w:p>
          <w:p w:rsidR="005F78FC" w:rsidRDefault="00B42EF3">
            <w:pPr>
              <w:pStyle w:val="TableBodyText"/>
            </w:pPr>
            <w:r>
              <w:t xml:space="preserve">The right border color shall be black </w:t>
            </w:r>
            <w:r>
              <w:t>(000000).</w:t>
            </w:r>
          </w:p>
          <w:p w:rsidR="005F78FC" w:rsidRDefault="00B42EF3">
            <w:pPr>
              <w:pStyle w:val="TableBodyText"/>
            </w:pPr>
            <w:r>
              <w:t>The font shall be bold.</w:t>
            </w:r>
          </w:p>
          <w:p w:rsidR="005F78FC" w:rsidRDefault="005F78FC">
            <w:pPr>
              <w:pStyle w:val="TableBodyText"/>
            </w:pPr>
          </w:p>
        </w:tc>
      </w:tr>
      <w:tr w:rsidR="005F78FC" w:rsidTr="005F78FC">
        <w:tc>
          <w:tcPr>
            <w:tcW w:w="0" w:type="auto"/>
            <w:vAlign w:val="center"/>
          </w:tcPr>
          <w:p w:rsidR="005F78FC" w:rsidRDefault="00B42EF3">
            <w:pPr>
              <w:pStyle w:val="TableBodyText"/>
            </w:pPr>
            <w:r>
              <w:lastRenderedPageBreak/>
              <w:t>30 (List 7)</w:t>
            </w:r>
          </w:p>
          <w:p w:rsidR="005F78FC" w:rsidRDefault="005F78FC">
            <w:pPr>
              <w:pStyle w:val="TableBodyText"/>
            </w:pPr>
          </w:p>
        </w:tc>
        <w:tc>
          <w:tcPr>
            <w:tcW w:w="0" w:type="auto"/>
            <w:vAlign w:val="center"/>
          </w:tcPr>
          <w:p w:rsidR="005F78FC" w:rsidRDefault="00B42EF3">
            <w:pPr>
              <w:pStyle w:val="TableBodyText"/>
            </w:pPr>
            <w:r>
              <w:t>The table shall have the following properties:</w:t>
            </w:r>
          </w:p>
          <w:p w:rsidR="005F78FC" w:rsidRDefault="00B42EF3">
            <w:pPr>
              <w:pStyle w:val="TableBodyText"/>
            </w:pPr>
            <w:r>
              <w:t>The top border shall be a 1 1/2 pt single line.</w:t>
            </w:r>
          </w:p>
          <w:p w:rsidR="005F78FC" w:rsidRDefault="00B42EF3">
            <w:pPr>
              <w:pStyle w:val="TableBodyText"/>
            </w:pPr>
            <w:r>
              <w:t>The left border shall be a 3/4 pt single line.</w:t>
            </w:r>
          </w:p>
          <w:p w:rsidR="005F78FC" w:rsidRDefault="00B42EF3">
            <w:pPr>
              <w:pStyle w:val="TableBodyText"/>
            </w:pPr>
            <w:r>
              <w:t>The bottom border shall be a 1 1/2 pt single line.</w:t>
            </w:r>
          </w:p>
          <w:p w:rsidR="005F78FC" w:rsidRDefault="00B42EF3">
            <w:pPr>
              <w:pStyle w:val="TableBodyText"/>
            </w:pPr>
            <w:r>
              <w:t xml:space="preserve">The right </w:t>
            </w:r>
            <w:r>
              <w:t>border shall be a 3/4 pt single line.</w:t>
            </w:r>
          </w:p>
          <w:p w:rsidR="005F78FC" w:rsidRDefault="00B42EF3">
            <w:pPr>
              <w:pStyle w:val="TableBodyText"/>
            </w:pPr>
            <w:r>
              <w:t>The inside horizontal border shall be a 3/4 pt single line.</w:t>
            </w:r>
          </w:p>
          <w:p w:rsidR="005F78FC" w:rsidRDefault="00B42EF3">
            <w:pPr>
              <w:pStyle w:val="TableBodyText"/>
            </w:pPr>
            <w:r>
              <w:t>The top border color shall be dark green (00CC00).</w:t>
            </w:r>
          </w:p>
          <w:p w:rsidR="005F78FC" w:rsidRDefault="00B42EF3">
            <w:pPr>
              <w:pStyle w:val="TableBodyText"/>
            </w:pPr>
            <w:r>
              <w:t>The left border color shall be dark green (00CC00).</w:t>
            </w:r>
          </w:p>
          <w:p w:rsidR="005F78FC" w:rsidRDefault="00B42EF3">
            <w:pPr>
              <w:pStyle w:val="TableBodyText"/>
            </w:pPr>
            <w:r>
              <w:t>The bottom border color shall be dark green (00CC00).</w:t>
            </w:r>
          </w:p>
          <w:p w:rsidR="005F78FC" w:rsidRDefault="00B42EF3">
            <w:pPr>
              <w:pStyle w:val="TableBodyText"/>
            </w:pPr>
            <w:r>
              <w:t>T</w:t>
            </w:r>
            <w:r>
              <w:t>he right border color shall be dark green (00CC00).</w:t>
            </w:r>
          </w:p>
          <w:p w:rsidR="005F78FC" w:rsidRDefault="00B42EF3">
            <w:pPr>
              <w:pStyle w:val="TableBodyText"/>
            </w:pPr>
            <w:r>
              <w:t>The inside horizontal border color shall be black (000000).</w:t>
            </w:r>
          </w:p>
          <w:p w:rsidR="005F78FC" w:rsidRDefault="00B42EF3">
            <w:pPr>
              <w:pStyle w:val="TableBodyText"/>
            </w:pPr>
            <w:r>
              <w:t>The vertical alignment shall be top.</w:t>
            </w:r>
          </w:p>
          <w:p w:rsidR="005F78FC" w:rsidRDefault="005F78FC">
            <w:pPr>
              <w:pStyle w:val="TableBodyText"/>
            </w:pPr>
          </w:p>
          <w:p w:rsidR="005F78FC" w:rsidRDefault="00B42EF3">
            <w:pPr>
              <w:pStyle w:val="TableBodyText"/>
            </w:pPr>
            <w:r>
              <w:t>Odd rows of table data shall have the following properties:</w:t>
            </w:r>
          </w:p>
          <w:p w:rsidR="005F78FC" w:rsidRDefault="00B42EF3">
            <w:pPr>
              <w:pStyle w:val="TableBodyText"/>
            </w:pPr>
            <w:r>
              <w:t>The foreground shading color shall be yellow (</w:t>
            </w:r>
            <w:r>
              <w:t>FFFF00).</w:t>
            </w:r>
          </w:p>
          <w:p w:rsidR="005F78FC" w:rsidRDefault="00B42EF3">
            <w:pPr>
              <w:pStyle w:val="TableBodyText"/>
            </w:pPr>
            <w:r>
              <w:t>The background shading shall be white (FFFFFF).</w:t>
            </w:r>
          </w:p>
          <w:p w:rsidR="005F78FC" w:rsidRDefault="00B42EF3">
            <w:pPr>
              <w:pStyle w:val="TableBodyText"/>
            </w:pPr>
            <w:r>
              <w:t>The shading pattern shall be pct25.</w:t>
            </w:r>
          </w:p>
          <w:p w:rsidR="005F78FC" w:rsidRDefault="005F78FC">
            <w:pPr>
              <w:pStyle w:val="TableBodyText"/>
            </w:pPr>
          </w:p>
          <w:p w:rsidR="005F78FC" w:rsidRDefault="00B42EF3">
            <w:pPr>
              <w:pStyle w:val="TableBodyText"/>
            </w:pPr>
            <w:r>
              <w:t>Even rows of table data shall have the following properties:</w:t>
            </w:r>
          </w:p>
          <w:p w:rsidR="005F78FC" w:rsidRDefault="00B42EF3">
            <w:pPr>
              <w:pStyle w:val="TableBodyText"/>
            </w:pPr>
            <w:r>
              <w:t>The foreground shading color shall be black (000000).</w:t>
            </w:r>
          </w:p>
          <w:p w:rsidR="005F78FC" w:rsidRDefault="00B42EF3">
            <w:pPr>
              <w:pStyle w:val="TableBodyText"/>
            </w:pPr>
            <w:r>
              <w:t>The background shading shall be white (FFFFFF).</w:t>
            </w:r>
          </w:p>
          <w:p w:rsidR="005F78FC" w:rsidRDefault="00B42EF3">
            <w:pPr>
              <w:pStyle w:val="TableBodyText"/>
            </w:pPr>
            <w:r>
              <w:t>The shading pattern shall be pct20.</w:t>
            </w:r>
          </w:p>
          <w:p w:rsidR="005F78FC" w:rsidRDefault="005F78FC">
            <w:pPr>
              <w:pStyle w:val="TableBodyText"/>
            </w:pPr>
          </w:p>
          <w:p w:rsidR="005F78FC" w:rsidRDefault="00B42EF3">
            <w:pPr>
              <w:pStyle w:val="TableBodyText"/>
            </w:pPr>
            <w:r>
              <w:t>The header rows shall have the following properties:</w:t>
            </w:r>
          </w:p>
          <w:p w:rsidR="005F78FC" w:rsidRDefault="00B42EF3">
            <w:pPr>
              <w:pStyle w:val="TableBodyText"/>
            </w:pPr>
            <w:r>
              <w:t>The bottom border shall be a 1 1/2 pt single line.</w:t>
            </w:r>
          </w:p>
          <w:p w:rsidR="005F78FC" w:rsidRDefault="00B42EF3">
            <w:pPr>
              <w:pStyle w:val="TableBodyText"/>
            </w:pPr>
            <w:r>
              <w:t>The bottom border color shall be dark green (00CC00).</w:t>
            </w:r>
          </w:p>
          <w:p w:rsidR="005F78FC" w:rsidRDefault="00B42EF3">
            <w:pPr>
              <w:pStyle w:val="TableBodyText"/>
            </w:pPr>
            <w:r>
              <w:t>The foreground shading color shall be dark gray (C0C0C0).</w:t>
            </w:r>
          </w:p>
          <w:p w:rsidR="005F78FC" w:rsidRDefault="00B42EF3">
            <w:pPr>
              <w:pStyle w:val="TableBodyText"/>
            </w:pPr>
            <w:r>
              <w:t>The background shading shall be white (FFFFFF).</w:t>
            </w:r>
          </w:p>
          <w:p w:rsidR="005F78FC" w:rsidRDefault="00B42EF3">
            <w:pPr>
              <w:pStyle w:val="TableBodyText"/>
            </w:pPr>
            <w:r>
              <w:t>The shading pattern shall be solid.</w:t>
            </w:r>
          </w:p>
          <w:p w:rsidR="005F78FC" w:rsidRDefault="00B42EF3">
            <w:pPr>
              <w:pStyle w:val="TableBodyText"/>
            </w:pPr>
            <w:r>
              <w:t>The font shall be bold.</w:t>
            </w:r>
          </w:p>
          <w:p w:rsidR="005F78FC" w:rsidRDefault="005F78FC">
            <w:pPr>
              <w:pStyle w:val="TableBodyText"/>
            </w:pPr>
          </w:p>
          <w:p w:rsidR="005F78FC" w:rsidRDefault="00B42EF3">
            <w:pPr>
              <w:pStyle w:val="TableBodyText"/>
            </w:pPr>
            <w:r>
              <w:t>The first column shall have the following properties:</w:t>
            </w:r>
          </w:p>
          <w:p w:rsidR="005F78FC" w:rsidRDefault="00B42EF3">
            <w:pPr>
              <w:pStyle w:val="TableBodyText"/>
            </w:pPr>
            <w:r>
              <w:t>The font shall be bold.</w:t>
            </w:r>
          </w:p>
          <w:p w:rsidR="005F78FC" w:rsidRDefault="005F78FC">
            <w:pPr>
              <w:pStyle w:val="TableBodyText"/>
            </w:pPr>
          </w:p>
          <w:p w:rsidR="005F78FC" w:rsidRDefault="00B42EF3">
            <w:pPr>
              <w:pStyle w:val="TableBodyText"/>
            </w:pPr>
            <w:r>
              <w:t>The last row shall have the following properties:</w:t>
            </w:r>
          </w:p>
          <w:p w:rsidR="005F78FC" w:rsidRDefault="00B42EF3">
            <w:pPr>
              <w:pStyle w:val="TableBodyText"/>
            </w:pPr>
            <w:r>
              <w:t>The top border sha</w:t>
            </w:r>
            <w:r>
              <w:t>ll be a 1 1/2 pt single line.</w:t>
            </w:r>
          </w:p>
          <w:p w:rsidR="005F78FC" w:rsidRDefault="00B42EF3">
            <w:pPr>
              <w:pStyle w:val="TableBodyText"/>
            </w:pPr>
            <w:r>
              <w:t>The top border color shall be dark green (00CC00).</w:t>
            </w:r>
          </w:p>
          <w:p w:rsidR="005F78FC" w:rsidRDefault="00B42EF3">
            <w:pPr>
              <w:pStyle w:val="TableBodyText"/>
            </w:pPr>
            <w:r>
              <w:t>The shading pattern shall be clear.</w:t>
            </w:r>
          </w:p>
          <w:p w:rsidR="005F78FC" w:rsidRDefault="00B42EF3">
            <w:pPr>
              <w:pStyle w:val="TableBodyText"/>
            </w:pPr>
            <w:r>
              <w:t>The font shall be bold.</w:t>
            </w:r>
          </w:p>
          <w:p w:rsidR="005F78FC" w:rsidRDefault="005F78FC">
            <w:pPr>
              <w:pStyle w:val="TableBodyText"/>
            </w:pPr>
          </w:p>
          <w:p w:rsidR="005F78FC" w:rsidRDefault="00B42EF3">
            <w:pPr>
              <w:pStyle w:val="TableBodyText"/>
            </w:pPr>
            <w:r>
              <w:t>The last column shall have the following properties:</w:t>
            </w:r>
          </w:p>
          <w:p w:rsidR="005F78FC" w:rsidRDefault="00B42EF3">
            <w:pPr>
              <w:pStyle w:val="TableBodyText"/>
            </w:pPr>
            <w:r>
              <w:t>The font shall be bold.</w:t>
            </w:r>
          </w:p>
          <w:p w:rsidR="005F78FC" w:rsidRDefault="005F78FC">
            <w:pPr>
              <w:pStyle w:val="TableBodyText"/>
            </w:pPr>
          </w:p>
        </w:tc>
      </w:tr>
      <w:tr w:rsidR="005F78FC" w:rsidTr="005F78FC">
        <w:tc>
          <w:tcPr>
            <w:tcW w:w="0" w:type="auto"/>
            <w:vAlign w:val="center"/>
          </w:tcPr>
          <w:p w:rsidR="005F78FC" w:rsidRDefault="00B42EF3">
            <w:pPr>
              <w:pStyle w:val="TableBodyText"/>
            </w:pPr>
            <w:r>
              <w:lastRenderedPageBreak/>
              <w:t>31 (List 8)</w:t>
            </w:r>
          </w:p>
          <w:p w:rsidR="005F78FC" w:rsidRDefault="005F78FC">
            <w:pPr>
              <w:pStyle w:val="TableBodyText"/>
            </w:pPr>
          </w:p>
        </w:tc>
        <w:tc>
          <w:tcPr>
            <w:tcW w:w="0" w:type="auto"/>
            <w:vAlign w:val="center"/>
          </w:tcPr>
          <w:p w:rsidR="005F78FC" w:rsidRDefault="00B42EF3">
            <w:pPr>
              <w:pStyle w:val="TableBodyText"/>
            </w:pPr>
            <w:r>
              <w:t xml:space="preserve">The table shall have </w:t>
            </w:r>
            <w:r>
              <w:t>the following properties:</w:t>
            </w:r>
          </w:p>
          <w:p w:rsidR="005F78FC" w:rsidRDefault="00B42EF3">
            <w:pPr>
              <w:pStyle w:val="TableBodyText"/>
            </w:pPr>
            <w:r>
              <w:t>The top border shall be a 3/4 pt single line.</w:t>
            </w:r>
          </w:p>
          <w:p w:rsidR="005F78FC" w:rsidRDefault="00B42EF3">
            <w:pPr>
              <w:pStyle w:val="TableBodyText"/>
            </w:pPr>
            <w:r>
              <w:t>The left border shall be a 3/4 pt single line.</w:t>
            </w:r>
          </w:p>
          <w:p w:rsidR="005F78FC" w:rsidRDefault="00B42EF3">
            <w:pPr>
              <w:pStyle w:val="TableBodyText"/>
            </w:pPr>
            <w:r>
              <w:t>The bottom border shall be a 3/4 pt single line.</w:t>
            </w:r>
          </w:p>
          <w:p w:rsidR="005F78FC" w:rsidRDefault="00B42EF3">
            <w:pPr>
              <w:pStyle w:val="TableBodyText"/>
            </w:pPr>
            <w:r>
              <w:t>The right border shall be a 3/4 pt single line.</w:t>
            </w:r>
          </w:p>
          <w:p w:rsidR="005F78FC" w:rsidRDefault="00B42EF3">
            <w:pPr>
              <w:pStyle w:val="TableBodyText"/>
            </w:pPr>
            <w:r>
              <w:t>The inside vertical border shall be a 3/</w:t>
            </w:r>
            <w:r>
              <w:t>4 pt single line.</w:t>
            </w:r>
          </w:p>
          <w:p w:rsidR="005F78FC" w:rsidRDefault="00B42EF3">
            <w:pPr>
              <w:pStyle w:val="TableBodyText"/>
            </w:pPr>
            <w:r>
              <w:t>The top border color shall be black (000000).</w:t>
            </w:r>
          </w:p>
          <w:p w:rsidR="005F78FC" w:rsidRDefault="00B42EF3">
            <w:pPr>
              <w:pStyle w:val="TableBodyText"/>
            </w:pPr>
            <w:r>
              <w:t>The left border color shall be black (000000).</w:t>
            </w:r>
          </w:p>
          <w:p w:rsidR="005F78FC" w:rsidRDefault="00B42EF3">
            <w:pPr>
              <w:pStyle w:val="TableBodyText"/>
            </w:pPr>
            <w:r>
              <w:t>The bottom border color shall be black (000000).</w:t>
            </w:r>
          </w:p>
          <w:p w:rsidR="005F78FC" w:rsidRDefault="00B42EF3">
            <w:pPr>
              <w:pStyle w:val="TableBodyText"/>
            </w:pPr>
            <w:r>
              <w:t>The right border color shall be black (000000).</w:t>
            </w:r>
          </w:p>
          <w:p w:rsidR="005F78FC" w:rsidRDefault="00B42EF3">
            <w:pPr>
              <w:pStyle w:val="TableBodyText"/>
            </w:pPr>
            <w:r>
              <w:t xml:space="preserve">The inside vertical border color shall be black </w:t>
            </w:r>
            <w:r>
              <w:t>(000000).</w:t>
            </w:r>
          </w:p>
          <w:p w:rsidR="005F78FC" w:rsidRDefault="00B42EF3">
            <w:pPr>
              <w:pStyle w:val="TableBodyText"/>
            </w:pPr>
            <w:r>
              <w:t>The vertical alignment shall be top.</w:t>
            </w:r>
          </w:p>
          <w:p w:rsidR="005F78FC" w:rsidRDefault="005F78FC">
            <w:pPr>
              <w:pStyle w:val="TableBodyText"/>
            </w:pPr>
          </w:p>
          <w:p w:rsidR="005F78FC" w:rsidRDefault="00B42EF3">
            <w:pPr>
              <w:pStyle w:val="TableBodyText"/>
            </w:pPr>
            <w:r>
              <w:t>Odd rows of table data shall have the following properties:</w:t>
            </w:r>
          </w:p>
          <w:p w:rsidR="005F78FC" w:rsidRDefault="00B42EF3">
            <w:pPr>
              <w:pStyle w:val="TableBodyText"/>
            </w:pPr>
            <w:r>
              <w:t>The foreground shading color shall be red (FF0000).</w:t>
            </w:r>
          </w:p>
          <w:p w:rsidR="005F78FC" w:rsidRDefault="00B42EF3">
            <w:pPr>
              <w:pStyle w:val="TableBodyText"/>
            </w:pPr>
            <w:r>
              <w:t>The background shading shall be white (FFFFFF).</w:t>
            </w:r>
          </w:p>
          <w:p w:rsidR="005F78FC" w:rsidRDefault="00B42EF3">
            <w:pPr>
              <w:pStyle w:val="TableBodyText"/>
            </w:pPr>
            <w:r>
              <w:t>The shading pattern shall be pct50.</w:t>
            </w:r>
          </w:p>
          <w:p w:rsidR="005F78FC" w:rsidRDefault="005F78FC">
            <w:pPr>
              <w:pStyle w:val="TableBodyText"/>
            </w:pPr>
          </w:p>
          <w:p w:rsidR="005F78FC" w:rsidRDefault="00B42EF3">
            <w:pPr>
              <w:pStyle w:val="TableBodyText"/>
            </w:pPr>
            <w:r>
              <w:t>Even rows o</w:t>
            </w:r>
            <w:r>
              <w:t>f table data shall have the following properties:</w:t>
            </w:r>
          </w:p>
          <w:p w:rsidR="005F78FC" w:rsidRDefault="00B42EF3">
            <w:pPr>
              <w:pStyle w:val="TableBodyText"/>
            </w:pPr>
            <w:r>
              <w:t>The foreground shading color shall be yellow (FFFF00).</w:t>
            </w:r>
          </w:p>
          <w:p w:rsidR="005F78FC" w:rsidRDefault="00B42EF3">
            <w:pPr>
              <w:pStyle w:val="TableBodyText"/>
            </w:pPr>
            <w:r>
              <w:t>The background shading shall be white (FFFFFF).</w:t>
            </w:r>
          </w:p>
          <w:p w:rsidR="005F78FC" w:rsidRDefault="00B42EF3">
            <w:pPr>
              <w:pStyle w:val="TableBodyText"/>
            </w:pPr>
            <w:r>
              <w:t>The shading pattern shall be pct25.</w:t>
            </w:r>
          </w:p>
          <w:p w:rsidR="005F78FC" w:rsidRDefault="005F78FC">
            <w:pPr>
              <w:pStyle w:val="TableBodyText"/>
            </w:pPr>
          </w:p>
          <w:p w:rsidR="005F78FC" w:rsidRDefault="00B42EF3">
            <w:pPr>
              <w:pStyle w:val="TableBodyText"/>
            </w:pPr>
            <w:r>
              <w:t>The header rows shall have the following properties:</w:t>
            </w:r>
          </w:p>
          <w:p w:rsidR="005F78FC" w:rsidRDefault="00B42EF3">
            <w:pPr>
              <w:pStyle w:val="TableBodyText"/>
            </w:pPr>
            <w:r>
              <w:t>The bottom bo</w:t>
            </w:r>
            <w:r>
              <w:t>rder shall be a 3/4 pt single line.</w:t>
            </w:r>
          </w:p>
          <w:p w:rsidR="005F78FC" w:rsidRDefault="00B42EF3">
            <w:pPr>
              <w:pStyle w:val="TableBodyText"/>
            </w:pPr>
            <w:r>
              <w:t>The bottom border color shall be black (000000).</w:t>
            </w:r>
          </w:p>
          <w:p w:rsidR="005F78FC" w:rsidRDefault="00B42EF3">
            <w:pPr>
              <w:pStyle w:val="TableBodyText"/>
            </w:pPr>
            <w:r>
              <w:t>The foreground shading color shall be yellow (FFFF00).</w:t>
            </w:r>
          </w:p>
          <w:p w:rsidR="005F78FC" w:rsidRDefault="00B42EF3">
            <w:pPr>
              <w:pStyle w:val="TableBodyText"/>
            </w:pPr>
            <w:r>
              <w:t>The background shading shall be white (FFFFFF).</w:t>
            </w:r>
          </w:p>
          <w:p w:rsidR="005F78FC" w:rsidRDefault="00B42EF3">
            <w:pPr>
              <w:pStyle w:val="TableBodyText"/>
            </w:pPr>
            <w:r>
              <w:t>The shading pattern shall be solid.</w:t>
            </w:r>
          </w:p>
          <w:p w:rsidR="005F78FC" w:rsidRDefault="00B42EF3">
            <w:pPr>
              <w:pStyle w:val="TableBodyText"/>
            </w:pPr>
            <w:r>
              <w:t>The font shall be bold.</w:t>
            </w:r>
          </w:p>
          <w:p w:rsidR="005F78FC" w:rsidRDefault="00B42EF3">
            <w:pPr>
              <w:pStyle w:val="TableBodyText"/>
            </w:pPr>
            <w:r>
              <w:t>The font</w:t>
            </w:r>
            <w:r>
              <w:t xml:space="preserve"> shall be italic.</w:t>
            </w:r>
          </w:p>
          <w:p w:rsidR="005F78FC" w:rsidRDefault="005F78FC">
            <w:pPr>
              <w:pStyle w:val="TableBodyText"/>
            </w:pPr>
          </w:p>
          <w:p w:rsidR="005F78FC" w:rsidRDefault="00B42EF3">
            <w:pPr>
              <w:pStyle w:val="TableBodyText"/>
            </w:pPr>
            <w:r>
              <w:t>The first column shall have the following properties:</w:t>
            </w:r>
          </w:p>
          <w:p w:rsidR="005F78FC" w:rsidRDefault="00B42EF3">
            <w:pPr>
              <w:pStyle w:val="TableBodyText"/>
            </w:pPr>
            <w:r>
              <w:t>The font shall be bold.</w:t>
            </w:r>
          </w:p>
          <w:p w:rsidR="005F78FC" w:rsidRDefault="005F78FC">
            <w:pPr>
              <w:pStyle w:val="TableBodyText"/>
            </w:pPr>
          </w:p>
          <w:p w:rsidR="005F78FC" w:rsidRDefault="00B42EF3">
            <w:pPr>
              <w:pStyle w:val="TableBodyText"/>
            </w:pPr>
            <w:r>
              <w:t>The last row shall have the following properties:</w:t>
            </w:r>
          </w:p>
          <w:p w:rsidR="005F78FC" w:rsidRDefault="00B42EF3">
            <w:pPr>
              <w:pStyle w:val="TableBodyText"/>
            </w:pPr>
            <w:r>
              <w:t>The top border shall be a 3/4 pt single line.</w:t>
            </w:r>
          </w:p>
          <w:p w:rsidR="005F78FC" w:rsidRDefault="00B42EF3">
            <w:pPr>
              <w:pStyle w:val="TableBodyText"/>
            </w:pPr>
            <w:r>
              <w:t>The top border color shall be black (000000).</w:t>
            </w:r>
          </w:p>
          <w:p w:rsidR="005F78FC" w:rsidRDefault="00B42EF3">
            <w:pPr>
              <w:pStyle w:val="TableBodyText"/>
            </w:pPr>
            <w:r>
              <w:t>The font shall b</w:t>
            </w:r>
            <w:r>
              <w:t>e bold.</w:t>
            </w:r>
          </w:p>
          <w:p w:rsidR="005F78FC" w:rsidRDefault="005F78FC">
            <w:pPr>
              <w:pStyle w:val="TableBodyText"/>
            </w:pPr>
          </w:p>
          <w:p w:rsidR="005F78FC" w:rsidRDefault="00B42EF3">
            <w:pPr>
              <w:pStyle w:val="TableBodyText"/>
            </w:pPr>
            <w:r>
              <w:t>The last column shall have the following properties:</w:t>
            </w:r>
          </w:p>
          <w:p w:rsidR="005F78FC" w:rsidRDefault="00B42EF3">
            <w:pPr>
              <w:pStyle w:val="TableBodyText"/>
            </w:pPr>
            <w:r>
              <w:t>The font shall be bold.</w:t>
            </w:r>
          </w:p>
          <w:p w:rsidR="005F78FC" w:rsidRDefault="005F78FC">
            <w:pPr>
              <w:pStyle w:val="TableBodyText"/>
            </w:pPr>
          </w:p>
        </w:tc>
      </w:tr>
      <w:tr w:rsidR="005F78FC" w:rsidTr="005F78FC">
        <w:tc>
          <w:tcPr>
            <w:tcW w:w="0" w:type="auto"/>
            <w:vAlign w:val="center"/>
          </w:tcPr>
          <w:p w:rsidR="005F78FC" w:rsidRDefault="00B42EF3">
            <w:pPr>
              <w:pStyle w:val="TableBodyText"/>
            </w:pPr>
            <w:r>
              <w:lastRenderedPageBreak/>
              <w:t>32 (3DFx 1)</w:t>
            </w:r>
          </w:p>
          <w:p w:rsidR="005F78FC" w:rsidRDefault="005F78FC">
            <w:pPr>
              <w:pStyle w:val="TableBodyText"/>
            </w:pPr>
          </w:p>
        </w:tc>
        <w:tc>
          <w:tcPr>
            <w:tcW w:w="0" w:type="auto"/>
            <w:vAlign w:val="center"/>
          </w:tcPr>
          <w:p w:rsidR="005F78FC" w:rsidRDefault="00B42EF3">
            <w:pPr>
              <w:pStyle w:val="TableBodyText"/>
            </w:pPr>
            <w:r>
              <w:t>The table shall have the following properties:</w:t>
            </w:r>
          </w:p>
          <w:p w:rsidR="005F78FC" w:rsidRDefault="00B42EF3">
            <w:pPr>
              <w:pStyle w:val="TableBodyText"/>
            </w:pPr>
            <w:r>
              <w:t>The foreground shading color shall be dark gray (C0C0C0).</w:t>
            </w:r>
          </w:p>
          <w:p w:rsidR="005F78FC" w:rsidRDefault="00B42EF3">
            <w:pPr>
              <w:pStyle w:val="TableBodyText"/>
            </w:pPr>
            <w:r>
              <w:t>The background shading shall be white (FFFFFF).</w:t>
            </w:r>
          </w:p>
          <w:p w:rsidR="005F78FC" w:rsidRDefault="00B42EF3">
            <w:pPr>
              <w:pStyle w:val="TableBodyText"/>
            </w:pPr>
            <w:r>
              <w:t>Th</w:t>
            </w:r>
            <w:r>
              <w:t>e shading pattern shall be solid.</w:t>
            </w:r>
          </w:p>
          <w:p w:rsidR="005F78FC" w:rsidRDefault="00B42EF3">
            <w:pPr>
              <w:pStyle w:val="TableBodyText"/>
            </w:pPr>
            <w:r>
              <w:t>The vertical alignment shall be top.</w:t>
            </w:r>
          </w:p>
          <w:p w:rsidR="005F78FC" w:rsidRDefault="005F78FC">
            <w:pPr>
              <w:pStyle w:val="TableBodyText"/>
            </w:pPr>
          </w:p>
          <w:p w:rsidR="005F78FC" w:rsidRDefault="00B42EF3">
            <w:pPr>
              <w:pStyle w:val="TableBodyText"/>
            </w:pPr>
            <w:r>
              <w:t>The header rows shall have the following properties:</w:t>
            </w:r>
          </w:p>
          <w:p w:rsidR="005F78FC" w:rsidRDefault="00B42EF3">
            <w:pPr>
              <w:pStyle w:val="TableBodyText"/>
            </w:pPr>
            <w:r>
              <w:t>The bottom border shall be a 3/4 pt single line.</w:t>
            </w:r>
          </w:p>
          <w:p w:rsidR="005F78FC" w:rsidRDefault="00B42EF3">
            <w:pPr>
              <w:pStyle w:val="TableBodyText"/>
            </w:pPr>
            <w:r>
              <w:t>The bottom border color shall be dark gray (CCCCCC).</w:t>
            </w:r>
          </w:p>
          <w:p w:rsidR="005F78FC" w:rsidRDefault="00B42EF3">
            <w:pPr>
              <w:pStyle w:val="TableBodyText"/>
            </w:pPr>
            <w:r>
              <w:t xml:space="preserve">The font color shall be dark </w:t>
            </w:r>
            <w:r>
              <w:t>magenta (CC00CC).</w:t>
            </w:r>
          </w:p>
          <w:p w:rsidR="005F78FC" w:rsidRDefault="00B42EF3">
            <w:pPr>
              <w:pStyle w:val="TableBodyText"/>
            </w:pPr>
            <w:r>
              <w:t>The font shall be bold.</w:t>
            </w:r>
          </w:p>
          <w:p w:rsidR="005F78FC" w:rsidRDefault="005F78FC">
            <w:pPr>
              <w:pStyle w:val="TableBodyText"/>
            </w:pPr>
          </w:p>
          <w:p w:rsidR="005F78FC" w:rsidRDefault="00B42EF3">
            <w:pPr>
              <w:pStyle w:val="TableBodyText"/>
            </w:pPr>
            <w:r>
              <w:t>The last row shall have the following properties:</w:t>
            </w:r>
          </w:p>
          <w:p w:rsidR="005F78FC" w:rsidRDefault="00B42EF3">
            <w:pPr>
              <w:pStyle w:val="TableBodyText"/>
            </w:pPr>
            <w:r>
              <w:t>The top border shall be a 3/4 pt single line.</w:t>
            </w:r>
          </w:p>
          <w:p w:rsidR="005F78FC" w:rsidRDefault="00B42EF3">
            <w:pPr>
              <w:pStyle w:val="TableBodyText"/>
            </w:pPr>
            <w:r>
              <w:t>The top border color shall be white (FFFFFF).</w:t>
            </w:r>
          </w:p>
          <w:p w:rsidR="005F78FC" w:rsidRDefault="005F78FC">
            <w:pPr>
              <w:pStyle w:val="TableBodyText"/>
            </w:pPr>
          </w:p>
          <w:p w:rsidR="005F78FC" w:rsidRDefault="00B42EF3">
            <w:pPr>
              <w:pStyle w:val="TableBodyText"/>
            </w:pPr>
            <w:r>
              <w:t>The first column shall have the following properties:</w:t>
            </w:r>
          </w:p>
          <w:p w:rsidR="005F78FC" w:rsidRDefault="00B42EF3">
            <w:pPr>
              <w:pStyle w:val="TableBodyText"/>
            </w:pPr>
            <w:r>
              <w:t>The right border</w:t>
            </w:r>
            <w:r>
              <w:t xml:space="preserve"> shall be a 3/4 pt single line.</w:t>
            </w:r>
          </w:p>
          <w:p w:rsidR="005F78FC" w:rsidRDefault="00B42EF3">
            <w:pPr>
              <w:pStyle w:val="TableBodyText"/>
            </w:pPr>
            <w:r>
              <w:t>The right border color shall be dark gray (CCCCCC).</w:t>
            </w:r>
          </w:p>
          <w:p w:rsidR="005F78FC" w:rsidRDefault="00B42EF3">
            <w:pPr>
              <w:pStyle w:val="TableBodyText"/>
            </w:pPr>
            <w:r>
              <w:t>The font shall be bold.</w:t>
            </w:r>
          </w:p>
          <w:p w:rsidR="005F78FC" w:rsidRDefault="005F78FC">
            <w:pPr>
              <w:pStyle w:val="TableBodyText"/>
            </w:pPr>
          </w:p>
          <w:p w:rsidR="005F78FC" w:rsidRDefault="00B42EF3">
            <w:pPr>
              <w:pStyle w:val="TableBodyText"/>
            </w:pPr>
            <w:r>
              <w:t>The last column shall have the following properties:</w:t>
            </w:r>
          </w:p>
          <w:p w:rsidR="005F78FC" w:rsidRDefault="00B42EF3">
            <w:pPr>
              <w:pStyle w:val="TableBodyText"/>
            </w:pPr>
            <w:r>
              <w:t>The left border shall be a 3/4 pt single line.</w:t>
            </w:r>
          </w:p>
          <w:p w:rsidR="005F78FC" w:rsidRDefault="00B42EF3">
            <w:pPr>
              <w:pStyle w:val="TableBodyText"/>
            </w:pPr>
            <w:r>
              <w:t>The left border color shall be white (FFFFFF).</w:t>
            </w:r>
          </w:p>
          <w:p w:rsidR="005F78FC" w:rsidRDefault="005F78FC">
            <w:pPr>
              <w:pStyle w:val="TableBodyText"/>
            </w:pPr>
          </w:p>
          <w:p w:rsidR="005F78FC" w:rsidRDefault="00B42EF3">
            <w:pPr>
              <w:pStyle w:val="TableBodyText"/>
            </w:pPr>
            <w:r>
              <w:t>The header rows in the first column shall have the following properties:</w:t>
            </w:r>
          </w:p>
          <w:p w:rsidR="005F78FC" w:rsidRDefault="00B42EF3">
            <w:pPr>
              <w:pStyle w:val="TableBodyText"/>
            </w:pPr>
            <w:r>
              <w:t>There shall be no bottom border.</w:t>
            </w:r>
          </w:p>
          <w:p w:rsidR="005F78FC" w:rsidRDefault="00B42EF3">
            <w:pPr>
              <w:pStyle w:val="TableBodyText"/>
            </w:pPr>
            <w:r>
              <w:t xml:space="preserve">There shall be no right border. </w:t>
            </w:r>
          </w:p>
          <w:p w:rsidR="005F78FC" w:rsidRDefault="005F78FC">
            <w:pPr>
              <w:pStyle w:val="TableBodyText"/>
            </w:pPr>
          </w:p>
          <w:p w:rsidR="005F78FC" w:rsidRDefault="00B42EF3">
            <w:pPr>
              <w:pStyle w:val="TableBodyText"/>
            </w:pPr>
            <w:r>
              <w:t>The header rows of the last column shall have the following properties:</w:t>
            </w:r>
          </w:p>
          <w:p w:rsidR="005F78FC" w:rsidRDefault="00B42EF3">
            <w:pPr>
              <w:pStyle w:val="TableBodyText"/>
            </w:pPr>
            <w:r>
              <w:t>There shall be no left border.</w:t>
            </w:r>
          </w:p>
          <w:p w:rsidR="005F78FC" w:rsidRDefault="00B42EF3">
            <w:pPr>
              <w:pStyle w:val="TableBodyText"/>
            </w:pPr>
            <w:r>
              <w:t xml:space="preserve">There shall </w:t>
            </w:r>
            <w:r>
              <w:t>be no bottom border.</w:t>
            </w:r>
          </w:p>
          <w:p w:rsidR="005F78FC" w:rsidRDefault="005F78FC">
            <w:pPr>
              <w:pStyle w:val="TableBodyText"/>
            </w:pPr>
          </w:p>
          <w:p w:rsidR="005F78FC" w:rsidRDefault="00B42EF3">
            <w:pPr>
              <w:pStyle w:val="TableBodyText"/>
            </w:pPr>
            <w:r>
              <w:t>The last row of the first column shall have the following properties:</w:t>
            </w:r>
          </w:p>
          <w:p w:rsidR="005F78FC" w:rsidRDefault="00B42EF3">
            <w:pPr>
              <w:pStyle w:val="TableBodyText"/>
            </w:pPr>
            <w:r>
              <w:t>There shall be no top border.</w:t>
            </w:r>
          </w:p>
          <w:p w:rsidR="005F78FC" w:rsidRDefault="00B42EF3">
            <w:pPr>
              <w:pStyle w:val="TableBodyText"/>
            </w:pPr>
            <w:r>
              <w:t>There shall be no right border.</w:t>
            </w:r>
          </w:p>
          <w:p w:rsidR="005F78FC" w:rsidRDefault="00B42EF3">
            <w:pPr>
              <w:pStyle w:val="TableBodyText"/>
            </w:pPr>
            <w:r>
              <w:t>The font color shall be dark blue (0000CC).</w:t>
            </w:r>
          </w:p>
          <w:p w:rsidR="005F78FC" w:rsidRDefault="005F78FC">
            <w:pPr>
              <w:pStyle w:val="TableBodyText"/>
            </w:pPr>
          </w:p>
          <w:p w:rsidR="005F78FC" w:rsidRDefault="00B42EF3">
            <w:pPr>
              <w:pStyle w:val="TableBodyText"/>
            </w:pPr>
            <w:r>
              <w:lastRenderedPageBreak/>
              <w:t xml:space="preserve">The last row of the last column shall have the following </w:t>
            </w:r>
            <w:r>
              <w:t>properties:</w:t>
            </w:r>
          </w:p>
          <w:p w:rsidR="005F78FC" w:rsidRDefault="00B42EF3">
            <w:pPr>
              <w:pStyle w:val="TableBodyText"/>
            </w:pPr>
            <w:r>
              <w:t>There shall be no top border.</w:t>
            </w:r>
          </w:p>
          <w:p w:rsidR="005F78FC" w:rsidRDefault="00B42EF3">
            <w:pPr>
              <w:pStyle w:val="TableBodyText"/>
            </w:pPr>
            <w:r>
              <w:t>There shall be no left border.</w:t>
            </w:r>
          </w:p>
          <w:p w:rsidR="005F78FC" w:rsidRDefault="005F78FC">
            <w:pPr>
              <w:pStyle w:val="TableBodyText"/>
            </w:pPr>
          </w:p>
        </w:tc>
      </w:tr>
      <w:tr w:rsidR="005F78FC" w:rsidTr="005F78FC">
        <w:tc>
          <w:tcPr>
            <w:tcW w:w="0" w:type="auto"/>
            <w:vAlign w:val="center"/>
          </w:tcPr>
          <w:p w:rsidR="005F78FC" w:rsidRDefault="00B42EF3">
            <w:pPr>
              <w:pStyle w:val="TableBodyText"/>
            </w:pPr>
            <w:r>
              <w:lastRenderedPageBreak/>
              <w:t>33 (3DFx 2)</w:t>
            </w:r>
          </w:p>
          <w:p w:rsidR="005F78FC" w:rsidRDefault="005F78FC">
            <w:pPr>
              <w:pStyle w:val="TableBodyText"/>
            </w:pPr>
          </w:p>
        </w:tc>
        <w:tc>
          <w:tcPr>
            <w:tcW w:w="0" w:type="auto"/>
            <w:vAlign w:val="center"/>
          </w:tcPr>
          <w:p w:rsidR="005F78FC" w:rsidRDefault="00B42EF3">
            <w:pPr>
              <w:pStyle w:val="TableBodyText"/>
            </w:pPr>
            <w:r>
              <w:t>The table shall have the following properties:</w:t>
            </w:r>
          </w:p>
          <w:p w:rsidR="005F78FC" w:rsidRDefault="00B42EF3">
            <w:pPr>
              <w:pStyle w:val="TableBodyText"/>
            </w:pPr>
            <w:r>
              <w:t>The foreground shading color shall be dark gray (C0C0C0).</w:t>
            </w:r>
          </w:p>
          <w:p w:rsidR="005F78FC" w:rsidRDefault="00B42EF3">
            <w:pPr>
              <w:pStyle w:val="TableBodyText"/>
            </w:pPr>
            <w:r>
              <w:t>The background shading shall be white (FFFFFF).</w:t>
            </w:r>
          </w:p>
          <w:p w:rsidR="005F78FC" w:rsidRDefault="00B42EF3">
            <w:pPr>
              <w:pStyle w:val="TableBodyText"/>
            </w:pPr>
            <w:r>
              <w:t>The shading pat</w:t>
            </w:r>
            <w:r>
              <w:t>tern shall be solid.</w:t>
            </w:r>
          </w:p>
          <w:p w:rsidR="005F78FC" w:rsidRDefault="00B42EF3">
            <w:pPr>
              <w:pStyle w:val="TableBodyText"/>
            </w:pPr>
            <w:r>
              <w:t>The vertical alignment shall be top.</w:t>
            </w:r>
          </w:p>
          <w:p w:rsidR="005F78FC" w:rsidRDefault="005F78FC">
            <w:pPr>
              <w:pStyle w:val="TableBodyText"/>
            </w:pPr>
          </w:p>
          <w:p w:rsidR="005F78FC" w:rsidRDefault="00B42EF3">
            <w:pPr>
              <w:pStyle w:val="TableBodyText"/>
            </w:pPr>
            <w:r>
              <w:t>Odd rows of table data shall have the following properties:</w:t>
            </w:r>
          </w:p>
          <w:p w:rsidR="005F78FC" w:rsidRDefault="00B42EF3">
            <w:pPr>
              <w:pStyle w:val="TableBodyText"/>
            </w:pPr>
            <w:r>
              <w:t>The top border shall be a 3/4 pt single line.</w:t>
            </w:r>
          </w:p>
          <w:p w:rsidR="005F78FC" w:rsidRDefault="00B42EF3">
            <w:pPr>
              <w:pStyle w:val="TableBodyText"/>
            </w:pPr>
            <w:r>
              <w:t>The bottom border shall be a 3/4 pt single line.</w:t>
            </w:r>
          </w:p>
          <w:p w:rsidR="005F78FC" w:rsidRDefault="00B42EF3">
            <w:pPr>
              <w:pStyle w:val="TableBodyText"/>
            </w:pPr>
            <w:r>
              <w:t>The top border color shall be dark gray (C</w:t>
            </w:r>
            <w:r>
              <w:t>CCCCC).</w:t>
            </w:r>
          </w:p>
          <w:p w:rsidR="005F78FC" w:rsidRDefault="00B42EF3">
            <w:pPr>
              <w:pStyle w:val="TableBodyText"/>
            </w:pPr>
            <w:r>
              <w:t>The bottom border color shall be white (FFFFFF).</w:t>
            </w:r>
          </w:p>
          <w:p w:rsidR="005F78FC" w:rsidRDefault="005F78FC">
            <w:pPr>
              <w:pStyle w:val="TableBodyText"/>
            </w:pPr>
          </w:p>
          <w:p w:rsidR="005F78FC" w:rsidRDefault="00B42EF3">
            <w:pPr>
              <w:pStyle w:val="TableBodyText"/>
            </w:pPr>
            <w:r>
              <w:t>The header rows shall have the following properties:</w:t>
            </w:r>
          </w:p>
          <w:p w:rsidR="005F78FC" w:rsidRDefault="00B42EF3">
            <w:pPr>
              <w:pStyle w:val="TableBodyText"/>
            </w:pPr>
            <w:r>
              <w:t>The font shall be bold.</w:t>
            </w:r>
          </w:p>
          <w:p w:rsidR="005F78FC" w:rsidRDefault="005F78FC">
            <w:pPr>
              <w:pStyle w:val="TableBodyText"/>
            </w:pPr>
          </w:p>
          <w:p w:rsidR="005F78FC" w:rsidRDefault="00B42EF3">
            <w:pPr>
              <w:pStyle w:val="TableBodyText"/>
            </w:pPr>
            <w:r>
              <w:t>Odd rows of the first column shall have the following properties:</w:t>
            </w:r>
          </w:p>
          <w:p w:rsidR="005F78FC" w:rsidRDefault="00B42EF3">
            <w:pPr>
              <w:pStyle w:val="TableBodyText"/>
            </w:pPr>
            <w:r>
              <w:t>The right border shall be a 3/4 pt single line.</w:t>
            </w:r>
          </w:p>
          <w:p w:rsidR="005F78FC" w:rsidRDefault="00B42EF3">
            <w:pPr>
              <w:pStyle w:val="TableBodyText"/>
            </w:pPr>
            <w:r>
              <w:t xml:space="preserve">There </w:t>
            </w:r>
            <w:r>
              <w:t>shall be no top border.</w:t>
            </w:r>
          </w:p>
          <w:p w:rsidR="005F78FC" w:rsidRDefault="00B42EF3">
            <w:pPr>
              <w:pStyle w:val="TableBodyText"/>
            </w:pPr>
            <w:r>
              <w:t>There shall be no bottom border.</w:t>
            </w:r>
          </w:p>
          <w:p w:rsidR="005F78FC" w:rsidRDefault="00B42EF3">
            <w:pPr>
              <w:pStyle w:val="TableBodyText"/>
            </w:pPr>
            <w:r>
              <w:t>The right border color shall be dark gray (CCCCCC).</w:t>
            </w:r>
          </w:p>
          <w:p w:rsidR="005F78FC" w:rsidRDefault="005F78FC">
            <w:pPr>
              <w:pStyle w:val="TableBodyText"/>
            </w:pPr>
          </w:p>
          <w:p w:rsidR="005F78FC" w:rsidRDefault="00B42EF3">
            <w:pPr>
              <w:pStyle w:val="TableBodyText"/>
            </w:pPr>
            <w:r>
              <w:t>Odd rows of the last column shall have the following properties:</w:t>
            </w:r>
          </w:p>
          <w:p w:rsidR="005F78FC" w:rsidRDefault="00B42EF3">
            <w:pPr>
              <w:pStyle w:val="TableBodyText"/>
            </w:pPr>
            <w:r>
              <w:t>The right border shall be a 3/4 pt single line.</w:t>
            </w:r>
          </w:p>
          <w:p w:rsidR="005F78FC" w:rsidRDefault="00B42EF3">
            <w:pPr>
              <w:pStyle w:val="TableBodyText"/>
            </w:pPr>
            <w:r>
              <w:t>The right border color shall be w</w:t>
            </w:r>
            <w:r>
              <w:t>hite (FFFFFF).</w:t>
            </w:r>
          </w:p>
          <w:p w:rsidR="005F78FC" w:rsidRDefault="005F78FC">
            <w:pPr>
              <w:pStyle w:val="TableBodyText"/>
            </w:pPr>
          </w:p>
          <w:p w:rsidR="005F78FC" w:rsidRDefault="00B42EF3">
            <w:pPr>
              <w:pStyle w:val="TableBodyText"/>
            </w:pPr>
            <w:r>
              <w:t>The last row of the first column shall have the following properties:</w:t>
            </w:r>
          </w:p>
          <w:p w:rsidR="005F78FC" w:rsidRDefault="00B42EF3">
            <w:pPr>
              <w:pStyle w:val="TableBodyText"/>
            </w:pPr>
            <w:r>
              <w:t>The font shall be bold.</w:t>
            </w:r>
          </w:p>
          <w:p w:rsidR="005F78FC" w:rsidRDefault="005F78FC">
            <w:pPr>
              <w:pStyle w:val="TableBodyText"/>
            </w:pPr>
          </w:p>
        </w:tc>
      </w:tr>
      <w:tr w:rsidR="005F78FC" w:rsidTr="005F78FC">
        <w:tc>
          <w:tcPr>
            <w:tcW w:w="0" w:type="auto"/>
            <w:vAlign w:val="center"/>
          </w:tcPr>
          <w:p w:rsidR="005F78FC" w:rsidRDefault="00B42EF3">
            <w:pPr>
              <w:pStyle w:val="TableBodyText"/>
            </w:pPr>
            <w:r>
              <w:t>34 (3DFx 3)</w:t>
            </w:r>
          </w:p>
          <w:p w:rsidR="005F78FC" w:rsidRDefault="005F78FC">
            <w:pPr>
              <w:pStyle w:val="TableBodyText"/>
            </w:pPr>
          </w:p>
        </w:tc>
        <w:tc>
          <w:tcPr>
            <w:tcW w:w="0" w:type="auto"/>
            <w:vAlign w:val="center"/>
          </w:tcPr>
          <w:p w:rsidR="005F78FC" w:rsidRDefault="00B42EF3">
            <w:pPr>
              <w:pStyle w:val="TableBodyText"/>
            </w:pPr>
            <w:r>
              <w:t>The table shall have the following properties:</w:t>
            </w:r>
          </w:p>
          <w:p w:rsidR="005F78FC" w:rsidRDefault="00B42EF3">
            <w:pPr>
              <w:pStyle w:val="TableBodyText"/>
            </w:pPr>
            <w:r>
              <w:t>The vertical alignment shall be top.</w:t>
            </w:r>
          </w:p>
          <w:p w:rsidR="005F78FC" w:rsidRDefault="005F78FC">
            <w:pPr>
              <w:pStyle w:val="TableBodyText"/>
            </w:pPr>
          </w:p>
          <w:p w:rsidR="005F78FC" w:rsidRDefault="00B42EF3">
            <w:pPr>
              <w:pStyle w:val="TableBodyText"/>
            </w:pPr>
            <w:r>
              <w:t>Even columns of the table shall have the follo</w:t>
            </w:r>
            <w:r>
              <w:t>wing properties:</w:t>
            </w:r>
          </w:p>
          <w:p w:rsidR="005F78FC" w:rsidRDefault="00B42EF3">
            <w:pPr>
              <w:pStyle w:val="TableBodyText"/>
            </w:pPr>
            <w:r>
              <w:t>The foreground shading color shall be dark gray (C0C0C0).</w:t>
            </w:r>
          </w:p>
          <w:p w:rsidR="005F78FC" w:rsidRDefault="00B42EF3">
            <w:pPr>
              <w:pStyle w:val="TableBodyText"/>
            </w:pPr>
            <w:r>
              <w:t>The background shading shall be white (FFFFFF).</w:t>
            </w:r>
          </w:p>
          <w:p w:rsidR="005F78FC" w:rsidRDefault="00B42EF3">
            <w:pPr>
              <w:pStyle w:val="TableBodyText"/>
            </w:pPr>
            <w:r>
              <w:t>The shading pattern shall be solid.</w:t>
            </w:r>
          </w:p>
          <w:p w:rsidR="005F78FC" w:rsidRDefault="005F78FC">
            <w:pPr>
              <w:pStyle w:val="TableBodyText"/>
            </w:pPr>
          </w:p>
          <w:p w:rsidR="005F78FC" w:rsidRDefault="00B42EF3">
            <w:pPr>
              <w:pStyle w:val="TableBodyText"/>
            </w:pPr>
            <w:r>
              <w:t>Odd columns of the table shall have the following properties:</w:t>
            </w:r>
          </w:p>
          <w:p w:rsidR="005F78FC" w:rsidRDefault="00B42EF3">
            <w:pPr>
              <w:pStyle w:val="TableBodyText"/>
            </w:pPr>
            <w:r>
              <w:t>The foreground shading color shall</w:t>
            </w:r>
            <w:r>
              <w:t xml:space="preserve"> be dark gray (C0C0C0).</w:t>
            </w:r>
          </w:p>
          <w:p w:rsidR="005F78FC" w:rsidRDefault="00B42EF3">
            <w:pPr>
              <w:pStyle w:val="TableBodyText"/>
            </w:pPr>
            <w:r>
              <w:t>The background shading shall be white (FFFFFF).</w:t>
            </w:r>
          </w:p>
          <w:p w:rsidR="005F78FC" w:rsidRDefault="00B42EF3">
            <w:pPr>
              <w:pStyle w:val="TableBodyText"/>
            </w:pPr>
            <w:r>
              <w:t>The shading pattern shall be pct50.</w:t>
            </w:r>
          </w:p>
          <w:p w:rsidR="005F78FC" w:rsidRDefault="005F78FC">
            <w:pPr>
              <w:pStyle w:val="TableBodyText"/>
            </w:pPr>
          </w:p>
          <w:p w:rsidR="005F78FC" w:rsidRDefault="00B42EF3">
            <w:pPr>
              <w:pStyle w:val="TableBodyText"/>
            </w:pPr>
            <w:r>
              <w:t>Odd rows of table data shall have the following properties:</w:t>
            </w:r>
          </w:p>
          <w:p w:rsidR="005F78FC" w:rsidRDefault="00B42EF3">
            <w:pPr>
              <w:pStyle w:val="TableBodyText"/>
            </w:pPr>
            <w:r>
              <w:t>The top border shall be a 3/4 pt single line.</w:t>
            </w:r>
          </w:p>
          <w:p w:rsidR="005F78FC" w:rsidRDefault="00B42EF3">
            <w:pPr>
              <w:pStyle w:val="TableBodyText"/>
            </w:pPr>
            <w:r>
              <w:lastRenderedPageBreak/>
              <w:t>The bottom border shall be a 3/4 pt singl</w:t>
            </w:r>
            <w:r>
              <w:t>e line.</w:t>
            </w:r>
          </w:p>
          <w:p w:rsidR="005F78FC" w:rsidRDefault="00B42EF3">
            <w:pPr>
              <w:pStyle w:val="TableBodyText"/>
            </w:pPr>
            <w:r>
              <w:t>The top border color shall be dark gray (CCCCCC).</w:t>
            </w:r>
          </w:p>
          <w:p w:rsidR="005F78FC" w:rsidRDefault="00B42EF3">
            <w:pPr>
              <w:pStyle w:val="TableBodyText"/>
            </w:pPr>
            <w:r>
              <w:t>The bottom border color shall be white (FFFFFF).</w:t>
            </w:r>
          </w:p>
          <w:p w:rsidR="005F78FC" w:rsidRDefault="005F78FC">
            <w:pPr>
              <w:pStyle w:val="TableBodyText"/>
            </w:pPr>
          </w:p>
          <w:p w:rsidR="005F78FC" w:rsidRDefault="00B42EF3">
            <w:pPr>
              <w:pStyle w:val="TableBodyText"/>
            </w:pPr>
            <w:r>
              <w:t>The header rows shall have the following properties:</w:t>
            </w:r>
          </w:p>
          <w:p w:rsidR="005F78FC" w:rsidRDefault="00B42EF3">
            <w:pPr>
              <w:pStyle w:val="TableBodyText"/>
            </w:pPr>
            <w:r>
              <w:t>The font shall be bold.</w:t>
            </w:r>
          </w:p>
          <w:p w:rsidR="005F78FC" w:rsidRDefault="005F78FC">
            <w:pPr>
              <w:pStyle w:val="TableBodyText"/>
            </w:pPr>
          </w:p>
          <w:p w:rsidR="005F78FC" w:rsidRDefault="00B42EF3">
            <w:pPr>
              <w:pStyle w:val="TableBodyText"/>
            </w:pPr>
            <w:r>
              <w:t>Odd rows of the first column shall have the following properties:</w:t>
            </w:r>
          </w:p>
          <w:p w:rsidR="005F78FC" w:rsidRDefault="00B42EF3">
            <w:pPr>
              <w:pStyle w:val="TableBodyText"/>
            </w:pPr>
            <w:r>
              <w:t xml:space="preserve">The </w:t>
            </w:r>
            <w:r>
              <w:t>right border shall be a 3/4 pt single line.</w:t>
            </w:r>
          </w:p>
          <w:p w:rsidR="005F78FC" w:rsidRDefault="00B42EF3">
            <w:pPr>
              <w:pStyle w:val="TableBodyText"/>
            </w:pPr>
            <w:r>
              <w:t>The top border color shall be automatically determined.</w:t>
            </w:r>
          </w:p>
          <w:p w:rsidR="005F78FC" w:rsidRDefault="00B42EF3">
            <w:pPr>
              <w:pStyle w:val="TableBodyText"/>
            </w:pPr>
            <w:r>
              <w:t>The bottom border color shall be automatically determined.</w:t>
            </w:r>
          </w:p>
          <w:p w:rsidR="005F78FC" w:rsidRDefault="00B42EF3">
            <w:pPr>
              <w:pStyle w:val="TableBodyText"/>
            </w:pPr>
            <w:r>
              <w:t>The right border color shall be dark gray (CCCCCC).</w:t>
            </w:r>
          </w:p>
          <w:p w:rsidR="005F78FC" w:rsidRDefault="005F78FC">
            <w:pPr>
              <w:pStyle w:val="TableBodyText"/>
            </w:pPr>
          </w:p>
          <w:p w:rsidR="005F78FC" w:rsidRDefault="00B42EF3">
            <w:pPr>
              <w:pStyle w:val="TableBodyText"/>
            </w:pPr>
            <w:r>
              <w:t>Odd rows of the last column shall have the f</w:t>
            </w:r>
            <w:r>
              <w:t>ollowing properties:</w:t>
            </w:r>
          </w:p>
          <w:p w:rsidR="005F78FC" w:rsidRDefault="00B42EF3">
            <w:pPr>
              <w:pStyle w:val="TableBodyText"/>
            </w:pPr>
            <w:r>
              <w:t>The right border shall be a 3/4 pt single line.</w:t>
            </w:r>
          </w:p>
          <w:p w:rsidR="005F78FC" w:rsidRDefault="00B42EF3">
            <w:pPr>
              <w:pStyle w:val="TableBodyText"/>
            </w:pPr>
            <w:r>
              <w:t>The right border color shall be white (FFFFFF).</w:t>
            </w:r>
          </w:p>
          <w:p w:rsidR="005F78FC" w:rsidRDefault="00B42EF3">
            <w:pPr>
              <w:pStyle w:val="TableBodyText"/>
            </w:pPr>
            <w:r>
              <w:t>Applies to odd rows</w:t>
            </w:r>
          </w:p>
          <w:p w:rsidR="005F78FC" w:rsidRDefault="005F78FC">
            <w:pPr>
              <w:pStyle w:val="TableBodyText"/>
            </w:pPr>
          </w:p>
          <w:p w:rsidR="005F78FC" w:rsidRDefault="00B42EF3">
            <w:pPr>
              <w:pStyle w:val="TableBodyText"/>
            </w:pPr>
            <w:r>
              <w:t>The last row of the first column shall have the following properties:</w:t>
            </w:r>
          </w:p>
          <w:p w:rsidR="005F78FC" w:rsidRDefault="00B42EF3">
            <w:pPr>
              <w:pStyle w:val="TableBodyText"/>
            </w:pPr>
            <w:r>
              <w:t>The font shall be bold.</w:t>
            </w:r>
          </w:p>
          <w:p w:rsidR="005F78FC" w:rsidRDefault="005F78FC">
            <w:pPr>
              <w:pStyle w:val="TableBodyText"/>
            </w:pPr>
          </w:p>
        </w:tc>
      </w:tr>
      <w:tr w:rsidR="005F78FC" w:rsidTr="005F78FC">
        <w:tc>
          <w:tcPr>
            <w:tcW w:w="0" w:type="auto"/>
            <w:vAlign w:val="center"/>
          </w:tcPr>
          <w:p w:rsidR="005F78FC" w:rsidRDefault="00B42EF3">
            <w:pPr>
              <w:pStyle w:val="TableBodyText"/>
            </w:pPr>
            <w:r>
              <w:lastRenderedPageBreak/>
              <w:t>35 (Contemporary)</w:t>
            </w:r>
          </w:p>
          <w:p w:rsidR="005F78FC" w:rsidRDefault="005F78FC">
            <w:pPr>
              <w:pStyle w:val="TableBodyText"/>
            </w:pPr>
          </w:p>
        </w:tc>
        <w:tc>
          <w:tcPr>
            <w:tcW w:w="0" w:type="auto"/>
            <w:vAlign w:val="center"/>
          </w:tcPr>
          <w:p w:rsidR="005F78FC" w:rsidRDefault="00B42EF3">
            <w:pPr>
              <w:pStyle w:val="TableBodyText"/>
            </w:pPr>
            <w:r>
              <w:t>The</w:t>
            </w:r>
            <w:r>
              <w:t xml:space="preserve"> table shall have the following properties:</w:t>
            </w:r>
          </w:p>
          <w:p w:rsidR="005F78FC" w:rsidRDefault="00B42EF3">
            <w:pPr>
              <w:pStyle w:val="TableBodyText"/>
            </w:pPr>
            <w:r>
              <w:t>The inside horizontal border shall be a 2 1/4 pt single line.</w:t>
            </w:r>
          </w:p>
          <w:p w:rsidR="005F78FC" w:rsidRDefault="00B42EF3">
            <w:pPr>
              <w:pStyle w:val="TableBodyText"/>
            </w:pPr>
            <w:r>
              <w:t>The inside vertical border shall be a 2 1/4 pt single line.</w:t>
            </w:r>
          </w:p>
          <w:p w:rsidR="005F78FC" w:rsidRDefault="00B42EF3">
            <w:pPr>
              <w:pStyle w:val="TableBodyText"/>
            </w:pPr>
            <w:r>
              <w:t>The inside horizontal border color shall be white (FFFFFF).</w:t>
            </w:r>
          </w:p>
          <w:p w:rsidR="005F78FC" w:rsidRDefault="00B42EF3">
            <w:pPr>
              <w:pStyle w:val="TableBodyText"/>
            </w:pPr>
            <w:r>
              <w:t>The inside vertical border col</w:t>
            </w:r>
            <w:r>
              <w:t>or shall be white (FFFFFF).</w:t>
            </w:r>
          </w:p>
          <w:p w:rsidR="005F78FC" w:rsidRDefault="00B42EF3">
            <w:pPr>
              <w:pStyle w:val="TableBodyText"/>
            </w:pPr>
            <w:r>
              <w:t>The vertical alignment shall be top.</w:t>
            </w:r>
          </w:p>
          <w:p w:rsidR="005F78FC" w:rsidRDefault="005F78FC">
            <w:pPr>
              <w:pStyle w:val="TableBodyText"/>
            </w:pPr>
          </w:p>
          <w:p w:rsidR="005F78FC" w:rsidRDefault="00B42EF3">
            <w:pPr>
              <w:pStyle w:val="TableBodyText"/>
            </w:pPr>
            <w:r>
              <w:t>Odd rows of table data shall have the following properties:</w:t>
            </w:r>
          </w:p>
          <w:p w:rsidR="005F78FC" w:rsidRDefault="00B42EF3">
            <w:pPr>
              <w:pStyle w:val="TableBodyText"/>
            </w:pPr>
            <w:r>
              <w:t>The foreground shading color shall be black (000000).</w:t>
            </w:r>
          </w:p>
          <w:p w:rsidR="005F78FC" w:rsidRDefault="00B42EF3">
            <w:pPr>
              <w:pStyle w:val="TableBodyText"/>
            </w:pPr>
            <w:r>
              <w:t>The background shading shall be white (FFFFFF).</w:t>
            </w:r>
          </w:p>
          <w:p w:rsidR="005F78FC" w:rsidRDefault="00B42EF3">
            <w:pPr>
              <w:pStyle w:val="TableBodyText"/>
            </w:pPr>
            <w:r>
              <w:t>The shading pattern shall be</w:t>
            </w:r>
            <w:r>
              <w:t xml:space="preserve"> pct20.</w:t>
            </w:r>
          </w:p>
          <w:p w:rsidR="005F78FC" w:rsidRDefault="005F78FC">
            <w:pPr>
              <w:pStyle w:val="TableBodyText"/>
            </w:pPr>
          </w:p>
          <w:p w:rsidR="005F78FC" w:rsidRDefault="00B42EF3">
            <w:pPr>
              <w:pStyle w:val="TableBodyText"/>
            </w:pPr>
            <w:r>
              <w:t>Even rows of table data shall have the following properties:</w:t>
            </w:r>
          </w:p>
          <w:p w:rsidR="005F78FC" w:rsidRDefault="00B42EF3">
            <w:pPr>
              <w:pStyle w:val="TableBodyText"/>
            </w:pPr>
            <w:r>
              <w:t>The foreground shading color shall be black (000000).</w:t>
            </w:r>
          </w:p>
          <w:p w:rsidR="005F78FC" w:rsidRDefault="00B42EF3">
            <w:pPr>
              <w:pStyle w:val="TableBodyText"/>
            </w:pPr>
            <w:r>
              <w:t>The background shading shall be white (FFFFFF).</w:t>
            </w:r>
          </w:p>
          <w:p w:rsidR="005F78FC" w:rsidRDefault="00B42EF3">
            <w:pPr>
              <w:pStyle w:val="TableBodyText"/>
            </w:pPr>
            <w:r>
              <w:t>The shading pattern shall be pct5.</w:t>
            </w:r>
          </w:p>
          <w:p w:rsidR="005F78FC" w:rsidRDefault="005F78FC">
            <w:pPr>
              <w:pStyle w:val="TableBodyText"/>
            </w:pPr>
          </w:p>
          <w:p w:rsidR="005F78FC" w:rsidRDefault="00B42EF3">
            <w:pPr>
              <w:pStyle w:val="TableBodyText"/>
            </w:pPr>
            <w:r>
              <w:t>The header rows shall have the following propert</w:t>
            </w:r>
            <w:r>
              <w:t>ies:</w:t>
            </w:r>
          </w:p>
          <w:p w:rsidR="005F78FC" w:rsidRDefault="00B42EF3">
            <w:pPr>
              <w:pStyle w:val="TableBodyText"/>
            </w:pPr>
            <w:r>
              <w:t>The foreground shading color shall be black (000000).</w:t>
            </w:r>
          </w:p>
          <w:p w:rsidR="005F78FC" w:rsidRDefault="00B42EF3">
            <w:pPr>
              <w:pStyle w:val="TableBodyText"/>
            </w:pPr>
            <w:r>
              <w:t>The background shading shall be white (FFFFFF).</w:t>
            </w:r>
          </w:p>
          <w:p w:rsidR="005F78FC" w:rsidRDefault="00B42EF3">
            <w:pPr>
              <w:pStyle w:val="TableBodyText"/>
            </w:pPr>
            <w:r>
              <w:t>The shading pattern shall be pct20.</w:t>
            </w:r>
          </w:p>
          <w:p w:rsidR="005F78FC" w:rsidRDefault="005F78FC">
            <w:pPr>
              <w:pStyle w:val="TableBodyText"/>
            </w:pPr>
          </w:p>
        </w:tc>
      </w:tr>
      <w:tr w:rsidR="005F78FC" w:rsidTr="005F78FC">
        <w:tc>
          <w:tcPr>
            <w:tcW w:w="0" w:type="auto"/>
            <w:vAlign w:val="center"/>
          </w:tcPr>
          <w:p w:rsidR="005F78FC" w:rsidRDefault="00B42EF3">
            <w:pPr>
              <w:pStyle w:val="TableBodyText"/>
            </w:pPr>
            <w:r>
              <w:t>36 (Elegant)</w:t>
            </w:r>
          </w:p>
          <w:p w:rsidR="005F78FC" w:rsidRDefault="005F78FC">
            <w:pPr>
              <w:pStyle w:val="TableBodyText"/>
            </w:pPr>
          </w:p>
        </w:tc>
        <w:tc>
          <w:tcPr>
            <w:tcW w:w="0" w:type="auto"/>
            <w:vAlign w:val="center"/>
          </w:tcPr>
          <w:p w:rsidR="005F78FC" w:rsidRDefault="00B42EF3">
            <w:pPr>
              <w:pStyle w:val="TableBodyText"/>
            </w:pPr>
            <w:r>
              <w:t>The table shall have the following properties:</w:t>
            </w:r>
          </w:p>
          <w:p w:rsidR="005F78FC" w:rsidRDefault="00B42EF3">
            <w:pPr>
              <w:pStyle w:val="TableBodyText"/>
            </w:pPr>
            <w:r>
              <w:t>The top border shall be a 3/4 pt double line.</w:t>
            </w:r>
          </w:p>
          <w:p w:rsidR="005F78FC" w:rsidRDefault="00B42EF3">
            <w:pPr>
              <w:pStyle w:val="TableBodyText"/>
            </w:pPr>
            <w:r>
              <w:t xml:space="preserve">The </w:t>
            </w:r>
            <w:r>
              <w:t>left border shall be a 3/4 pt double line.</w:t>
            </w:r>
          </w:p>
          <w:p w:rsidR="005F78FC" w:rsidRDefault="00B42EF3">
            <w:pPr>
              <w:pStyle w:val="TableBodyText"/>
            </w:pPr>
            <w:r>
              <w:t>The bottom border shall be a 3/4 pt double line.</w:t>
            </w:r>
          </w:p>
          <w:p w:rsidR="005F78FC" w:rsidRDefault="00B42EF3">
            <w:pPr>
              <w:pStyle w:val="TableBodyText"/>
            </w:pPr>
            <w:r>
              <w:lastRenderedPageBreak/>
              <w:t>The right border shall be a 3/4 pt double line.</w:t>
            </w:r>
          </w:p>
          <w:p w:rsidR="005F78FC" w:rsidRDefault="00B42EF3">
            <w:pPr>
              <w:pStyle w:val="TableBodyText"/>
            </w:pPr>
            <w:r>
              <w:t>The inside horizontal border shall be a 3/4 pt single line.</w:t>
            </w:r>
          </w:p>
          <w:p w:rsidR="005F78FC" w:rsidRDefault="00B42EF3">
            <w:pPr>
              <w:pStyle w:val="TableBodyText"/>
            </w:pPr>
            <w:r>
              <w:t>The inside vertical border shall be a 3/4 pt single line</w:t>
            </w:r>
            <w:r>
              <w:t>.</w:t>
            </w:r>
          </w:p>
          <w:p w:rsidR="005F78FC" w:rsidRDefault="00B42EF3">
            <w:pPr>
              <w:pStyle w:val="TableBodyText"/>
            </w:pPr>
            <w:r>
              <w:t>The top border color shall be black (000000).</w:t>
            </w:r>
          </w:p>
          <w:p w:rsidR="005F78FC" w:rsidRDefault="00B42EF3">
            <w:pPr>
              <w:pStyle w:val="TableBodyText"/>
            </w:pPr>
            <w:r>
              <w:t>The left border color shall be black (000000).</w:t>
            </w:r>
          </w:p>
          <w:p w:rsidR="005F78FC" w:rsidRDefault="00B42EF3">
            <w:pPr>
              <w:pStyle w:val="TableBodyText"/>
            </w:pPr>
            <w:r>
              <w:t>The bottom border color shall be black (000000).</w:t>
            </w:r>
          </w:p>
          <w:p w:rsidR="005F78FC" w:rsidRDefault="00B42EF3">
            <w:pPr>
              <w:pStyle w:val="TableBodyText"/>
            </w:pPr>
            <w:r>
              <w:t>The right border color shall be black (000000).</w:t>
            </w:r>
          </w:p>
          <w:p w:rsidR="005F78FC" w:rsidRDefault="00B42EF3">
            <w:pPr>
              <w:pStyle w:val="TableBodyText"/>
            </w:pPr>
            <w:r>
              <w:t>The inside horizontal border color shall be black (000000).</w:t>
            </w:r>
          </w:p>
          <w:p w:rsidR="005F78FC" w:rsidRDefault="00B42EF3">
            <w:pPr>
              <w:pStyle w:val="TableBodyText"/>
            </w:pPr>
            <w:r>
              <w:t xml:space="preserve">The </w:t>
            </w:r>
            <w:r>
              <w:t>inside vertical border color shall be black (000000).</w:t>
            </w:r>
          </w:p>
          <w:p w:rsidR="005F78FC" w:rsidRDefault="00B42EF3">
            <w:pPr>
              <w:pStyle w:val="TableBodyText"/>
            </w:pPr>
            <w:r>
              <w:t>The vertical alignment shall be top.</w:t>
            </w:r>
          </w:p>
          <w:p w:rsidR="005F78FC" w:rsidRDefault="005F78FC">
            <w:pPr>
              <w:pStyle w:val="TableBodyText"/>
            </w:pPr>
          </w:p>
          <w:p w:rsidR="005F78FC" w:rsidRDefault="00B42EF3">
            <w:pPr>
              <w:pStyle w:val="TableBodyText"/>
            </w:pPr>
            <w:r>
              <w:t>The header rows shall have the following properties:</w:t>
            </w:r>
          </w:p>
          <w:p w:rsidR="005F78FC" w:rsidRDefault="00B42EF3">
            <w:pPr>
              <w:pStyle w:val="TableBodyText"/>
            </w:pPr>
            <w:r>
              <w:t>The font shall be all caps.</w:t>
            </w:r>
          </w:p>
          <w:p w:rsidR="005F78FC" w:rsidRDefault="005F78FC">
            <w:pPr>
              <w:pStyle w:val="TableBodyText"/>
            </w:pPr>
          </w:p>
        </w:tc>
      </w:tr>
      <w:tr w:rsidR="005F78FC" w:rsidTr="005F78FC">
        <w:tc>
          <w:tcPr>
            <w:tcW w:w="0" w:type="auto"/>
            <w:vAlign w:val="center"/>
          </w:tcPr>
          <w:p w:rsidR="005F78FC" w:rsidRDefault="00B42EF3">
            <w:pPr>
              <w:pStyle w:val="TableBodyText"/>
            </w:pPr>
            <w:r>
              <w:lastRenderedPageBreak/>
              <w:t>37 (Professional)</w:t>
            </w:r>
          </w:p>
          <w:p w:rsidR="005F78FC" w:rsidRDefault="005F78FC">
            <w:pPr>
              <w:pStyle w:val="TableBodyText"/>
            </w:pPr>
          </w:p>
        </w:tc>
        <w:tc>
          <w:tcPr>
            <w:tcW w:w="0" w:type="auto"/>
            <w:vAlign w:val="center"/>
          </w:tcPr>
          <w:p w:rsidR="005F78FC" w:rsidRDefault="00B42EF3">
            <w:pPr>
              <w:pStyle w:val="TableBodyText"/>
            </w:pPr>
            <w:r>
              <w:t>The table shall have the following properties:</w:t>
            </w:r>
          </w:p>
          <w:p w:rsidR="005F78FC" w:rsidRDefault="00B42EF3">
            <w:pPr>
              <w:pStyle w:val="TableBodyText"/>
            </w:pPr>
            <w:r>
              <w:t xml:space="preserve">The top border </w:t>
            </w:r>
            <w:r>
              <w:t>shall be a 3/4 pt single line.</w:t>
            </w:r>
          </w:p>
          <w:p w:rsidR="005F78FC" w:rsidRDefault="00B42EF3">
            <w:pPr>
              <w:pStyle w:val="TableBodyText"/>
            </w:pPr>
            <w:r>
              <w:t>The left border shall be a 3/4 pt single line.</w:t>
            </w:r>
          </w:p>
          <w:p w:rsidR="005F78FC" w:rsidRDefault="00B42EF3">
            <w:pPr>
              <w:pStyle w:val="TableBodyText"/>
            </w:pPr>
            <w:r>
              <w:t>The bottom border shall be a 3/4 pt single line.</w:t>
            </w:r>
          </w:p>
          <w:p w:rsidR="005F78FC" w:rsidRDefault="00B42EF3">
            <w:pPr>
              <w:pStyle w:val="TableBodyText"/>
            </w:pPr>
            <w:r>
              <w:t>The right border shall be a 3/4 pt single line.</w:t>
            </w:r>
          </w:p>
          <w:p w:rsidR="005F78FC" w:rsidRDefault="00B42EF3">
            <w:pPr>
              <w:pStyle w:val="TableBodyText"/>
            </w:pPr>
            <w:r>
              <w:t>The inside horizontal border shall be a 3/4 pt single line.</w:t>
            </w:r>
          </w:p>
          <w:p w:rsidR="005F78FC" w:rsidRDefault="00B42EF3">
            <w:pPr>
              <w:pStyle w:val="TableBodyText"/>
            </w:pPr>
            <w:r>
              <w:t>The inside vertical b</w:t>
            </w:r>
            <w:r>
              <w:t>order shall be a 3/4 pt single line.</w:t>
            </w:r>
          </w:p>
          <w:p w:rsidR="005F78FC" w:rsidRDefault="00B42EF3">
            <w:pPr>
              <w:pStyle w:val="TableBodyText"/>
            </w:pPr>
            <w:r>
              <w:t>The top border color shall be black (000000).</w:t>
            </w:r>
          </w:p>
          <w:p w:rsidR="005F78FC" w:rsidRDefault="00B42EF3">
            <w:pPr>
              <w:pStyle w:val="TableBodyText"/>
            </w:pPr>
            <w:r>
              <w:t>The left border color shall be black (000000).</w:t>
            </w:r>
          </w:p>
          <w:p w:rsidR="005F78FC" w:rsidRDefault="00B42EF3">
            <w:pPr>
              <w:pStyle w:val="TableBodyText"/>
            </w:pPr>
            <w:r>
              <w:t>The bottom border color shall be black (000000).</w:t>
            </w:r>
          </w:p>
          <w:p w:rsidR="005F78FC" w:rsidRDefault="00B42EF3">
            <w:pPr>
              <w:pStyle w:val="TableBodyText"/>
            </w:pPr>
            <w:r>
              <w:t>The right border color shall be black (000000).</w:t>
            </w:r>
          </w:p>
          <w:p w:rsidR="005F78FC" w:rsidRDefault="00B42EF3">
            <w:pPr>
              <w:pStyle w:val="TableBodyText"/>
            </w:pPr>
            <w:r>
              <w:t xml:space="preserve">The inside horizontal border </w:t>
            </w:r>
            <w:r>
              <w:t>color shall be black (000000).</w:t>
            </w:r>
          </w:p>
          <w:p w:rsidR="005F78FC" w:rsidRDefault="00B42EF3">
            <w:pPr>
              <w:pStyle w:val="TableBodyText"/>
            </w:pPr>
            <w:r>
              <w:t>The inside vertical border color shall be black (000000).</w:t>
            </w:r>
          </w:p>
          <w:p w:rsidR="005F78FC" w:rsidRDefault="00B42EF3">
            <w:pPr>
              <w:pStyle w:val="TableBodyText"/>
            </w:pPr>
            <w:r>
              <w:t>The vertical alignment shall be top.</w:t>
            </w:r>
          </w:p>
          <w:p w:rsidR="005F78FC" w:rsidRDefault="005F78FC">
            <w:pPr>
              <w:pStyle w:val="TableBodyText"/>
            </w:pPr>
          </w:p>
          <w:p w:rsidR="005F78FC" w:rsidRDefault="00B42EF3">
            <w:pPr>
              <w:pStyle w:val="TableBodyText"/>
            </w:pPr>
            <w:r>
              <w:t>The header rows shall have the following properties:</w:t>
            </w:r>
          </w:p>
          <w:p w:rsidR="005F78FC" w:rsidRDefault="00B42EF3">
            <w:pPr>
              <w:pStyle w:val="TableBodyText"/>
            </w:pPr>
            <w:r>
              <w:t>The foreground shading color shall be black (000000).</w:t>
            </w:r>
          </w:p>
          <w:p w:rsidR="005F78FC" w:rsidRDefault="00B42EF3">
            <w:pPr>
              <w:pStyle w:val="TableBodyText"/>
            </w:pPr>
            <w:r>
              <w:t>The background shading</w:t>
            </w:r>
            <w:r>
              <w:t xml:space="preserve"> shall be white (FFFFFF).</w:t>
            </w:r>
          </w:p>
          <w:p w:rsidR="005F78FC" w:rsidRDefault="00B42EF3">
            <w:pPr>
              <w:pStyle w:val="TableBodyText"/>
            </w:pPr>
            <w:r>
              <w:t>The shading pattern shall be solid.</w:t>
            </w:r>
          </w:p>
          <w:p w:rsidR="005F78FC" w:rsidRDefault="00B42EF3">
            <w:pPr>
              <w:pStyle w:val="TableBodyText"/>
            </w:pPr>
            <w:r>
              <w:t>The font color shall be white.</w:t>
            </w:r>
          </w:p>
          <w:p w:rsidR="005F78FC" w:rsidRDefault="00B42EF3">
            <w:pPr>
              <w:pStyle w:val="TableBodyText"/>
            </w:pPr>
            <w:r>
              <w:t>The font shall be bold.</w:t>
            </w:r>
          </w:p>
          <w:p w:rsidR="005F78FC" w:rsidRDefault="005F78FC">
            <w:pPr>
              <w:pStyle w:val="TableBodyText"/>
            </w:pPr>
          </w:p>
        </w:tc>
      </w:tr>
      <w:tr w:rsidR="005F78FC" w:rsidTr="005F78FC">
        <w:tc>
          <w:tcPr>
            <w:tcW w:w="0" w:type="auto"/>
            <w:vAlign w:val="center"/>
          </w:tcPr>
          <w:p w:rsidR="005F78FC" w:rsidRDefault="00B42EF3">
            <w:pPr>
              <w:pStyle w:val="TableBodyText"/>
            </w:pPr>
            <w:r>
              <w:t>38 (Subtle 1)</w:t>
            </w:r>
          </w:p>
          <w:p w:rsidR="005F78FC" w:rsidRDefault="005F78FC">
            <w:pPr>
              <w:pStyle w:val="TableBodyText"/>
            </w:pPr>
          </w:p>
        </w:tc>
        <w:tc>
          <w:tcPr>
            <w:tcW w:w="0" w:type="auto"/>
            <w:vAlign w:val="center"/>
          </w:tcPr>
          <w:p w:rsidR="005F78FC" w:rsidRDefault="00B42EF3">
            <w:pPr>
              <w:pStyle w:val="TableBodyText"/>
            </w:pPr>
            <w:r>
              <w:t>The table shall have the following properties:</w:t>
            </w:r>
          </w:p>
          <w:p w:rsidR="005F78FC" w:rsidRDefault="00B42EF3">
            <w:pPr>
              <w:pStyle w:val="TableBodyText"/>
            </w:pPr>
            <w:r>
              <w:t>The interior vertical border shall be a 3/4 pt single line.</w:t>
            </w:r>
          </w:p>
          <w:p w:rsidR="005F78FC" w:rsidRDefault="00B42EF3">
            <w:pPr>
              <w:pStyle w:val="TableBodyText"/>
            </w:pPr>
            <w:r>
              <w:t xml:space="preserve">The interior </w:t>
            </w:r>
            <w:r>
              <w:t>vertical border shall be black (000000).</w:t>
            </w:r>
          </w:p>
          <w:p w:rsidR="005F78FC" w:rsidRDefault="00B42EF3">
            <w:pPr>
              <w:pStyle w:val="TableBodyText"/>
            </w:pPr>
            <w:r>
              <w:t>The vertical alignment shall be top.</w:t>
            </w:r>
          </w:p>
          <w:p w:rsidR="005F78FC" w:rsidRDefault="005F78FC">
            <w:pPr>
              <w:pStyle w:val="TableBodyText"/>
            </w:pPr>
          </w:p>
          <w:p w:rsidR="005F78FC" w:rsidRDefault="00B42EF3">
            <w:pPr>
              <w:pStyle w:val="TableBodyText"/>
            </w:pPr>
            <w:r>
              <w:t>Even rows of the table shall have the following properties:</w:t>
            </w:r>
          </w:p>
          <w:p w:rsidR="005F78FC" w:rsidRDefault="00B42EF3">
            <w:pPr>
              <w:pStyle w:val="TableBodyText"/>
            </w:pPr>
            <w:r>
              <w:t>The bottom border shall be a 3/4 pt single line.</w:t>
            </w:r>
          </w:p>
          <w:p w:rsidR="005F78FC" w:rsidRDefault="00B42EF3">
            <w:pPr>
              <w:pStyle w:val="TableBodyText"/>
            </w:pPr>
            <w:r>
              <w:t>The bottom border color shall be black (000000).</w:t>
            </w:r>
          </w:p>
          <w:p w:rsidR="005F78FC" w:rsidRDefault="00B42EF3">
            <w:pPr>
              <w:pStyle w:val="TableBodyText"/>
            </w:pPr>
            <w:r>
              <w:t>There shall be no i</w:t>
            </w:r>
            <w:r>
              <w:t>nterior vertical border.</w:t>
            </w:r>
          </w:p>
          <w:p w:rsidR="005F78FC" w:rsidRDefault="00B42EF3">
            <w:pPr>
              <w:pStyle w:val="TableBodyText"/>
            </w:pPr>
            <w:r>
              <w:t>The foreground shading color shall be dark yellow (CCCC00).</w:t>
            </w:r>
          </w:p>
          <w:p w:rsidR="005F78FC" w:rsidRDefault="00B42EF3">
            <w:pPr>
              <w:pStyle w:val="TableBodyText"/>
            </w:pPr>
            <w:r>
              <w:t>The background shading shall be white (FFFFFF).</w:t>
            </w:r>
          </w:p>
          <w:p w:rsidR="005F78FC" w:rsidRDefault="00B42EF3">
            <w:pPr>
              <w:pStyle w:val="TableBodyText"/>
            </w:pPr>
            <w:r>
              <w:lastRenderedPageBreak/>
              <w:t>The shading pattern shall be pct25.</w:t>
            </w:r>
          </w:p>
          <w:p w:rsidR="005F78FC" w:rsidRDefault="005F78FC">
            <w:pPr>
              <w:pStyle w:val="TableBodyText"/>
            </w:pPr>
          </w:p>
          <w:p w:rsidR="005F78FC" w:rsidRDefault="00B42EF3">
            <w:pPr>
              <w:pStyle w:val="TableBodyText"/>
            </w:pPr>
            <w:r>
              <w:t>The header rows shall have the following properties:</w:t>
            </w:r>
          </w:p>
          <w:p w:rsidR="005F78FC" w:rsidRDefault="00B42EF3">
            <w:pPr>
              <w:pStyle w:val="TableBodyText"/>
            </w:pPr>
            <w:r>
              <w:t xml:space="preserve">The top border shall be a 3/4 pt </w:t>
            </w:r>
            <w:r>
              <w:t>single line.</w:t>
            </w:r>
          </w:p>
          <w:p w:rsidR="005F78FC" w:rsidRDefault="00B42EF3">
            <w:pPr>
              <w:pStyle w:val="TableBodyText"/>
            </w:pPr>
            <w:r>
              <w:t>The bottom border shall be a 1 1/2 pt single line.</w:t>
            </w:r>
          </w:p>
          <w:p w:rsidR="005F78FC" w:rsidRDefault="00B42EF3">
            <w:pPr>
              <w:pStyle w:val="TableBodyText"/>
            </w:pPr>
            <w:r>
              <w:t>The top border color shall be black (000000).</w:t>
            </w:r>
          </w:p>
          <w:p w:rsidR="005F78FC" w:rsidRDefault="00B42EF3">
            <w:pPr>
              <w:pStyle w:val="TableBodyText"/>
            </w:pPr>
            <w:r>
              <w:t>The bottom border color shall be black (000000).</w:t>
            </w:r>
          </w:p>
          <w:p w:rsidR="005F78FC" w:rsidRDefault="00B42EF3">
            <w:pPr>
              <w:pStyle w:val="TableBodyText"/>
            </w:pPr>
            <w:r>
              <w:t>The shading pattern shall be clear.</w:t>
            </w:r>
          </w:p>
          <w:p w:rsidR="005F78FC" w:rsidRDefault="005F78FC">
            <w:pPr>
              <w:pStyle w:val="TableBodyText"/>
            </w:pPr>
          </w:p>
          <w:p w:rsidR="005F78FC" w:rsidRDefault="00B42EF3">
            <w:pPr>
              <w:pStyle w:val="TableBodyText"/>
            </w:pPr>
            <w:r>
              <w:t>The last row shall have the following properties:</w:t>
            </w:r>
          </w:p>
          <w:p w:rsidR="005F78FC" w:rsidRDefault="00B42EF3">
            <w:pPr>
              <w:pStyle w:val="TableBodyText"/>
            </w:pPr>
            <w:r>
              <w:t xml:space="preserve">The top </w:t>
            </w:r>
            <w:r>
              <w:t>border shall be a 1 1/2 pt single line.</w:t>
            </w:r>
          </w:p>
          <w:p w:rsidR="005F78FC" w:rsidRDefault="00B42EF3">
            <w:pPr>
              <w:pStyle w:val="TableBodyText"/>
            </w:pPr>
            <w:r>
              <w:t>The top border color shall be black (000000).</w:t>
            </w:r>
          </w:p>
          <w:p w:rsidR="005F78FC" w:rsidRDefault="00B42EF3">
            <w:pPr>
              <w:pStyle w:val="TableBodyText"/>
            </w:pPr>
            <w:r>
              <w:t>The foreground shading color shall be dark magenta (CC00CC).</w:t>
            </w:r>
          </w:p>
          <w:p w:rsidR="005F78FC" w:rsidRDefault="00B42EF3">
            <w:pPr>
              <w:pStyle w:val="TableBodyText"/>
            </w:pPr>
            <w:r>
              <w:t>The background shading shall be white (FFFFFF).</w:t>
            </w:r>
          </w:p>
          <w:p w:rsidR="005F78FC" w:rsidRDefault="00B42EF3">
            <w:pPr>
              <w:pStyle w:val="TableBodyText"/>
            </w:pPr>
            <w:r>
              <w:t>The shading pattern shall be pct25.</w:t>
            </w:r>
          </w:p>
          <w:p w:rsidR="005F78FC" w:rsidRDefault="005F78FC">
            <w:pPr>
              <w:pStyle w:val="TableBodyText"/>
            </w:pPr>
          </w:p>
          <w:p w:rsidR="005F78FC" w:rsidRDefault="00B42EF3">
            <w:pPr>
              <w:pStyle w:val="TableBodyText"/>
            </w:pPr>
            <w:r>
              <w:t>The first column shall h</w:t>
            </w:r>
            <w:r>
              <w:t>ave the following properties:</w:t>
            </w:r>
          </w:p>
          <w:p w:rsidR="005F78FC" w:rsidRDefault="00B42EF3">
            <w:pPr>
              <w:pStyle w:val="TableBodyText"/>
            </w:pPr>
            <w:r>
              <w:t>The right border shall be a 1 1/2 pt single line.</w:t>
            </w:r>
          </w:p>
          <w:p w:rsidR="005F78FC" w:rsidRDefault="00B42EF3">
            <w:pPr>
              <w:pStyle w:val="TableBodyText"/>
            </w:pPr>
            <w:r>
              <w:t>The right border color shall be black (000000).</w:t>
            </w:r>
          </w:p>
          <w:p w:rsidR="005F78FC" w:rsidRDefault="005F78FC">
            <w:pPr>
              <w:pStyle w:val="TableBodyText"/>
            </w:pPr>
          </w:p>
          <w:p w:rsidR="005F78FC" w:rsidRDefault="00B42EF3">
            <w:pPr>
              <w:pStyle w:val="TableBodyText"/>
            </w:pPr>
            <w:r>
              <w:t>The last column shall have the following properties:</w:t>
            </w:r>
          </w:p>
          <w:p w:rsidR="005F78FC" w:rsidRDefault="00B42EF3">
            <w:pPr>
              <w:pStyle w:val="TableBodyText"/>
            </w:pPr>
            <w:r>
              <w:t>The left border shall be a 1 1/2 pt single line.</w:t>
            </w:r>
          </w:p>
          <w:p w:rsidR="005F78FC" w:rsidRDefault="00B42EF3">
            <w:pPr>
              <w:pStyle w:val="TableBodyText"/>
            </w:pPr>
            <w:r>
              <w:t>The left border color sha</w:t>
            </w:r>
            <w:r>
              <w:t>ll be black (000000).</w:t>
            </w:r>
          </w:p>
          <w:p w:rsidR="005F78FC" w:rsidRDefault="005F78FC">
            <w:pPr>
              <w:pStyle w:val="TableBodyText"/>
            </w:pPr>
          </w:p>
          <w:p w:rsidR="005F78FC" w:rsidRDefault="00B42EF3">
            <w:pPr>
              <w:pStyle w:val="TableBodyText"/>
            </w:pPr>
            <w:r>
              <w:t>The last column of header rows shall have the following properties:</w:t>
            </w:r>
          </w:p>
          <w:p w:rsidR="005F78FC" w:rsidRDefault="00B42EF3">
            <w:pPr>
              <w:pStyle w:val="TableBodyText"/>
            </w:pPr>
            <w:r>
              <w:t>The font shall be bold.</w:t>
            </w:r>
          </w:p>
          <w:p w:rsidR="005F78FC" w:rsidRDefault="005F78FC">
            <w:pPr>
              <w:pStyle w:val="TableBodyText"/>
            </w:pPr>
          </w:p>
          <w:p w:rsidR="005F78FC" w:rsidRDefault="00B42EF3">
            <w:pPr>
              <w:pStyle w:val="TableBodyText"/>
            </w:pPr>
            <w:r>
              <w:t>The first column of the last row shall have the following properties:</w:t>
            </w:r>
          </w:p>
          <w:p w:rsidR="005F78FC" w:rsidRDefault="00B42EF3">
            <w:pPr>
              <w:pStyle w:val="TableBodyText"/>
            </w:pPr>
            <w:r>
              <w:t>The font shall be bold.</w:t>
            </w:r>
          </w:p>
          <w:p w:rsidR="005F78FC" w:rsidRDefault="005F78FC">
            <w:pPr>
              <w:pStyle w:val="TableBodyText"/>
            </w:pPr>
          </w:p>
        </w:tc>
      </w:tr>
      <w:tr w:rsidR="005F78FC" w:rsidTr="005F78FC">
        <w:tc>
          <w:tcPr>
            <w:tcW w:w="0" w:type="auto"/>
            <w:vAlign w:val="center"/>
          </w:tcPr>
          <w:p w:rsidR="005F78FC" w:rsidRDefault="00B42EF3">
            <w:pPr>
              <w:pStyle w:val="TableBodyText"/>
            </w:pPr>
            <w:r>
              <w:lastRenderedPageBreak/>
              <w:t>39 (Subtle 2)</w:t>
            </w:r>
          </w:p>
          <w:p w:rsidR="005F78FC" w:rsidRDefault="005F78FC">
            <w:pPr>
              <w:pStyle w:val="TableBodyText"/>
            </w:pPr>
          </w:p>
        </w:tc>
        <w:tc>
          <w:tcPr>
            <w:tcW w:w="0" w:type="auto"/>
            <w:vAlign w:val="center"/>
          </w:tcPr>
          <w:p w:rsidR="005F78FC" w:rsidRDefault="00B42EF3">
            <w:pPr>
              <w:pStyle w:val="TableBodyText"/>
            </w:pPr>
            <w:r>
              <w:t xml:space="preserve">The table shall have the </w:t>
            </w:r>
            <w:r>
              <w:t>following properties:</w:t>
            </w:r>
          </w:p>
          <w:p w:rsidR="005F78FC" w:rsidRDefault="00B42EF3">
            <w:pPr>
              <w:pStyle w:val="TableBodyText"/>
            </w:pPr>
            <w:r>
              <w:t>The left border shall be a 3/4 pt single line.</w:t>
            </w:r>
          </w:p>
          <w:p w:rsidR="005F78FC" w:rsidRDefault="00B42EF3">
            <w:pPr>
              <w:pStyle w:val="TableBodyText"/>
            </w:pPr>
            <w:r>
              <w:t>The right border shall be a 3/4 pt single line.</w:t>
            </w:r>
          </w:p>
          <w:p w:rsidR="005F78FC" w:rsidRDefault="00B42EF3">
            <w:pPr>
              <w:pStyle w:val="TableBodyText"/>
            </w:pPr>
            <w:r>
              <w:t>The left border color shall be black (000000).</w:t>
            </w:r>
          </w:p>
          <w:p w:rsidR="005F78FC" w:rsidRDefault="00B42EF3">
            <w:pPr>
              <w:pStyle w:val="TableBodyText"/>
            </w:pPr>
            <w:r>
              <w:t>The right border color shall be black (000000).</w:t>
            </w:r>
          </w:p>
          <w:p w:rsidR="005F78FC" w:rsidRDefault="00B42EF3">
            <w:pPr>
              <w:pStyle w:val="TableBodyText"/>
            </w:pPr>
            <w:r>
              <w:t>The vertical alignment shall be top.</w:t>
            </w:r>
          </w:p>
          <w:p w:rsidR="005F78FC" w:rsidRDefault="005F78FC">
            <w:pPr>
              <w:pStyle w:val="TableBodyText"/>
            </w:pPr>
          </w:p>
          <w:p w:rsidR="005F78FC" w:rsidRDefault="00B42EF3">
            <w:pPr>
              <w:pStyle w:val="TableBodyText"/>
            </w:pPr>
            <w:r>
              <w:t>The la</w:t>
            </w:r>
            <w:r>
              <w:t>st column shall have the following properties:</w:t>
            </w:r>
          </w:p>
          <w:p w:rsidR="005F78FC" w:rsidRDefault="00B42EF3">
            <w:pPr>
              <w:pStyle w:val="TableBodyText"/>
            </w:pPr>
            <w:r>
              <w:t>The left border shall be a 1 1/2 pt single line.</w:t>
            </w:r>
          </w:p>
          <w:p w:rsidR="005F78FC" w:rsidRDefault="00B42EF3">
            <w:pPr>
              <w:pStyle w:val="TableBodyText"/>
            </w:pPr>
            <w:r>
              <w:t>The left border color shall be black (000000).</w:t>
            </w:r>
          </w:p>
          <w:p w:rsidR="005F78FC" w:rsidRDefault="00B42EF3">
            <w:pPr>
              <w:pStyle w:val="TableBodyText"/>
            </w:pPr>
            <w:r>
              <w:t>The foreground shading color shall be dark yellow (CCCC00).</w:t>
            </w:r>
          </w:p>
          <w:p w:rsidR="005F78FC" w:rsidRDefault="00B42EF3">
            <w:pPr>
              <w:pStyle w:val="TableBodyText"/>
            </w:pPr>
            <w:r>
              <w:t>The background shading shall be white (FFFFFF).</w:t>
            </w:r>
          </w:p>
          <w:p w:rsidR="005F78FC" w:rsidRDefault="00B42EF3">
            <w:pPr>
              <w:pStyle w:val="TableBodyText"/>
            </w:pPr>
            <w:r>
              <w:t>The s</w:t>
            </w:r>
            <w:r>
              <w:t>hading pattern shall be pct25.</w:t>
            </w:r>
          </w:p>
          <w:p w:rsidR="005F78FC" w:rsidRDefault="005F78FC">
            <w:pPr>
              <w:pStyle w:val="TableBodyText"/>
            </w:pPr>
          </w:p>
          <w:p w:rsidR="005F78FC" w:rsidRDefault="00B42EF3">
            <w:pPr>
              <w:pStyle w:val="TableBodyText"/>
            </w:pPr>
            <w:r>
              <w:t>The first column shall have the following properties:</w:t>
            </w:r>
          </w:p>
          <w:p w:rsidR="005F78FC" w:rsidRDefault="00B42EF3">
            <w:pPr>
              <w:pStyle w:val="TableBodyText"/>
            </w:pPr>
            <w:r>
              <w:t>The right border shall be a 1 1/2 pt single line.</w:t>
            </w:r>
          </w:p>
          <w:p w:rsidR="005F78FC" w:rsidRDefault="00B42EF3">
            <w:pPr>
              <w:pStyle w:val="TableBodyText"/>
            </w:pPr>
            <w:r>
              <w:t>The right border color shall be black (000000).</w:t>
            </w:r>
          </w:p>
          <w:p w:rsidR="005F78FC" w:rsidRDefault="00B42EF3">
            <w:pPr>
              <w:pStyle w:val="TableBodyText"/>
            </w:pPr>
            <w:r>
              <w:lastRenderedPageBreak/>
              <w:t>The foreground shading color shall be dark green (00CC00).</w:t>
            </w:r>
          </w:p>
          <w:p w:rsidR="005F78FC" w:rsidRDefault="00B42EF3">
            <w:pPr>
              <w:pStyle w:val="TableBodyText"/>
            </w:pPr>
            <w:r>
              <w:t>The backgroun</w:t>
            </w:r>
            <w:r>
              <w:t>d shading shall be white (FFFFFF).</w:t>
            </w:r>
          </w:p>
          <w:p w:rsidR="005F78FC" w:rsidRDefault="00B42EF3">
            <w:pPr>
              <w:pStyle w:val="TableBodyText"/>
            </w:pPr>
            <w:r>
              <w:t>The shading pattern shall be pct25.</w:t>
            </w:r>
          </w:p>
          <w:p w:rsidR="005F78FC" w:rsidRDefault="005F78FC">
            <w:pPr>
              <w:pStyle w:val="TableBodyText"/>
            </w:pPr>
          </w:p>
          <w:p w:rsidR="005F78FC" w:rsidRDefault="00B42EF3">
            <w:pPr>
              <w:pStyle w:val="TableBodyText"/>
            </w:pPr>
            <w:r>
              <w:t>The last row shall have the following properties:</w:t>
            </w:r>
          </w:p>
          <w:p w:rsidR="005F78FC" w:rsidRDefault="00B42EF3">
            <w:pPr>
              <w:pStyle w:val="TableBodyText"/>
            </w:pPr>
            <w:r>
              <w:t>The top border shall be a 1 1/2 pt single line.</w:t>
            </w:r>
          </w:p>
          <w:p w:rsidR="005F78FC" w:rsidRDefault="00B42EF3">
            <w:pPr>
              <w:pStyle w:val="TableBodyText"/>
            </w:pPr>
            <w:r>
              <w:t>The top border color shall be black (000000).</w:t>
            </w:r>
          </w:p>
          <w:p w:rsidR="005F78FC" w:rsidRDefault="00B42EF3">
            <w:pPr>
              <w:pStyle w:val="TableBodyText"/>
            </w:pPr>
            <w:r>
              <w:t>The shading pattern shall be clear.</w:t>
            </w:r>
          </w:p>
          <w:p w:rsidR="005F78FC" w:rsidRDefault="005F78FC">
            <w:pPr>
              <w:pStyle w:val="TableBodyText"/>
            </w:pPr>
          </w:p>
          <w:p w:rsidR="005F78FC" w:rsidRDefault="00B42EF3">
            <w:pPr>
              <w:pStyle w:val="TableBodyText"/>
            </w:pPr>
            <w:r>
              <w:t>The</w:t>
            </w:r>
            <w:r>
              <w:t xml:space="preserve"> last row of the first column shall have the following properties:</w:t>
            </w:r>
          </w:p>
          <w:p w:rsidR="005F78FC" w:rsidRDefault="00B42EF3">
            <w:pPr>
              <w:pStyle w:val="TableBodyText"/>
            </w:pPr>
            <w:r>
              <w:t>The foreground shading color shall be dark green (00CC00).</w:t>
            </w:r>
          </w:p>
          <w:p w:rsidR="005F78FC" w:rsidRDefault="00B42EF3">
            <w:pPr>
              <w:pStyle w:val="TableBodyText"/>
            </w:pPr>
            <w:r>
              <w:t>The background shading shall be white (FFFFFF).</w:t>
            </w:r>
          </w:p>
          <w:p w:rsidR="005F78FC" w:rsidRDefault="00B42EF3">
            <w:pPr>
              <w:pStyle w:val="TableBodyText"/>
            </w:pPr>
            <w:r>
              <w:t>The shading pattern shall be pct25.</w:t>
            </w:r>
          </w:p>
          <w:p w:rsidR="005F78FC" w:rsidRDefault="00B42EF3">
            <w:pPr>
              <w:pStyle w:val="TableBodyText"/>
            </w:pPr>
            <w:r>
              <w:t>The font shall be bold.</w:t>
            </w:r>
          </w:p>
          <w:p w:rsidR="005F78FC" w:rsidRDefault="005F78FC">
            <w:pPr>
              <w:pStyle w:val="TableBodyText"/>
            </w:pPr>
          </w:p>
          <w:p w:rsidR="005F78FC" w:rsidRDefault="00B42EF3">
            <w:pPr>
              <w:pStyle w:val="TableBodyText"/>
            </w:pPr>
            <w:r>
              <w:t xml:space="preserve">The last column of </w:t>
            </w:r>
            <w:r>
              <w:t>header rows shall have the following properties:</w:t>
            </w:r>
          </w:p>
          <w:p w:rsidR="005F78FC" w:rsidRDefault="00B42EF3">
            <w:pPr>
              <w:pStyle w:val="TableBodyText"/>
            </w:pPr>
            <w:r>
              <w:t>The foreground shading color shall be dark yellow (CCCC00).</w:t>
            </w:r>
          </w:p>
          <w:p w:rsidR="005F78FC" w:rsidRDefault="00B42EF3">
            <w:pPr>
              <w:pStyle w:val="TableBodyText"/>
            </w:pPr>
            <w:r>
              <w:t>The background shading shall be white (FFFFFF).</w:t>
            </w:r>
          </w:p>
          <w:p w:rsidR="005F78FC" w:rsidRDefault="00B42EF3">
            <w:pPr>
              <w:pStyle w:val="TableBodyText"/>
            </w:pPr>
            <w:r>
              <w:t>The shading pattern shall be pct25.</w:t>
            </w:r>
          </w:p>
          <w:p w:rsidR="005F78FC" w:rsidRDefault="00B42EF3">
            <w:pPr>
              <w:pStyle w:val="TableBodyText"/>
            </w:pPr>
            <w:r>
              <w:t>The font shall be bold.</w:t>
            </w:r>
          </w:p>
          <w:p w:rsidR="005F78FC" w:rsidRDefault="005F78FC">
            <w:pPr>
              <w:pStyle w:val="TableBodyText"/>
            </w:pPr>
          </w:p>
          <w:p w:rsidR="005F78FC" w:rsidRDefault="00B42EF3">
            <w:pPr>
              <w:pStyle w:val="TableBodyText"/>
            </w:pPr>
            <w:r>
              <w:t>The header rows shall have the followi</w:t>
            </w:r>
            <w:r>
              <w:t>ng properties:</w:t>
            </w:r>
          </w:p>
          <w:p w:rsidR="005F78FC" w:rsidRDefault="00B42EF3">
            <w:pPr>
              <w:pStyle w:val="TableBodyText"/>
            </w:pPr>
            <w:r>
              <w:t>The bottom border shall be a 1 1/2 pt single line.</w:t>
            </w:r>
          </w:p>
          <w:p w:rsidR="005F78FC" w:rsidRDefault="00B42EF3">
            <w:pPr>
              <w:pStyle w:val="TableBodyText"/>
            </w:pPr>
            <w:r>
              <w:t>The bottom border color shall be black (000000).</w:t>
            </w:r>
          </w:p>
          <w:p w:rsidR="005F78FC" w:rsidRDefault="00B42EF3">
            <w:pPr>
              <w:pStyle w:val="TableBodyText"/>
            </w:pPr>
            <w:r>
              <w:t>The shading pattern shall be clear.</w:t>
            </w:r>
          </w:p>
          <w:p w:rsidR="005F78FC" w:rsidRDefault="005F78FC">
            <w:pPr>
              <w:pStyle w:val="TableBodyText"/>
            </w:pPr>
          </w:p>
        </w:tc>
      </w:tr>
      <w:tr w:rsidR="005F78FC" w:rsidTr="005F78FC">
        <w:tc>
          <w:tcPr>
            <w:tcW w:w="0" w:type="auto"/>
            <w:vAlign w:val="center"/>
          </w:tcPr>
          <w:p w:rsidR="005F78FC" w:rsidRDefault="00B42EF3">
            <w:pPr>
              <w:pStyle w:val="TableBodyText"/>
            </w:pPr>
            <w:r>
              <w:lastRenderedPageBreak/>
              <w:t>40 (Web 1)</w:t>
            </w:r>
          </w:p>
          <w:p w:rsidR="005F78FC" w:rsidRDefault="005F78FC">
            <w:pPr>
              <w:pStyle w:val="TableBodyText"/>
            </w:pPr>
          </w:p>
        </w:tc>
        <w:tc>
          <w:tcPr>
            <w:tcW w:w="0" w:type="auto"/>
            <w:vAlign w:val="center"/>
          </w:tcPr>
          <w:p w:rsidR="005F78FC" w:rsidRDefault="00B42EF3">
            <w:pPr>
              <w:pStyle w:val="TableBodyText"/>
            </w:pPr>
            <w:r>
              <w:t>The table shall have the following properties:</w:t>
            </w:r>
          </w:p>
          <w:p w:rsidR="005F78FC" w:rsidRDefault="00B42EF3">
            <w:pPr>
              <w:pStyle w:val="TableBodyText"/>
            </w:pPr>
            <w:r>
              <w:t>The top border shall be a 3/4 pt outset line</w:t>
            </w:r>
            <w:r>
              <w:t>.</w:t>
            </w:r>
          </w:p>
          <w:p w:rsidR="005F78FC" w:rsidRDefault="00B42EF3">
            <w:pPr>
              <w:pStyle w:val="TableBodyText"/>
            </w:pPr>
            <w:r>
              <w:t>The left border shall be a 3/4 pt outset line.</w:t>
            </w:r>
          </w:p>
          <w:p w:rsidR="005F78FC" w:rsidRDefault="00B42EF3">
            <w:pPr>
              <w:pStyle w:val="TableBodyText"/>
            </w:pPr>
            <w:r>
              <w:t>The bottom border shall be a 3/4 pt outset line.</w:t>
            </w:r>
          </w:p>
          <w:p w:rsidR="005F78FC" w:rsidRDefault="00B42EF3">
            <w:pPr>
              <w:pStyle w:val="TableBodyText"/>
            </w:pPr>
            <w:r>
              <w:t>The right border shall be a 3/4 pt outset line.</w:t>
            </w:r>
          </w:p>
          <w:p w:rsidR="005F78FC" w:rsidRDefault="00B42EF3">
            <w:pPr>
              <w:pStyle w:val="TableBodyText"/>
            </w:pPr>
            <w:r>
              <w:t>The inside horizontal border shall be a 3/4 pt outset line.</w:t>
            </w:r>
          </w:p>
          <w:p w:rsidR="005F78FC" w:rsidRDefault="00B42EF3">
            <w:pPr>
              <w:pStyle w:val="TableBodyText"/>
            </w:pPr>
            <w:r>
              <w:t xml:space="preserve">The inside vertical border shall be a 3/4 pt </w:t>
            </w:r>
            <w:r>
              <w:t>outset line.</w:t>
            </w:r>
          </w:p>
          <w:p w:rsidR="005F78FC" w:rsidRDefault="00B42EF3">
            <w:pPr>
              <w:pStyle w:val="TableBodyText"/>
            </w:pPr>
            <w:r>
              <w:t>The vertical alignment shall be top.</w:t>
            </w:r>
          </w:p>
          <w:p w:rsidR="005F78FC" w:rsidRDefault="00B42EF3">
            <w:pPr>
              <w:pStyle w:val="TableBodyText"/>
            </w:pPr>
            <w:r>
              <w:t>The cell spacing shall be 20 twips.</w:t>
            </w:r>
          </w:p>
          <w:p w:rsidR="005F78FC" w:rsidRDefault="005F78FC">
            <w:pPr>
              <w:pStyle w:val="TableBodyText"/>
            </w:pPr>
          </w:p>
        </w:tc>
      </w:tr>
      <w:tr w:rsidR="005F78FC" w:rsidTr="005F78FC">
        <w:tc>
          <w:tcPr>
            <w:tcW w:w="0" w:type="auto"/>
            <w:vAlign w:val="center"/>
          </w:tcPr>
          <w:p w:rsidR="005F78FC" w:rsidRDefault="00B42EF3">
            <w:pPr>
              <w:pStyle w:val="TableBodyText"/>
            </w:pPr>
            <w:r>
              <w:t>41 (Web 2)</w:t>
            </w:r>
          </w:p>
          <w:p w:rsidR="005F78FC" w:rsidRDefault="005F78FC">
            <w:pPr>
              <w:pStyle w:val="TableBodyText"/>
            </w:pPr>
          </w:p>
        </w:tc>
        <w:tc>
          <w:tcPr>
            <w:tcW w:w="0" w:type="auto"/>
            <w:vAlign w:val="center"/>
          </w:tcPr>
          <w:p w:rsidR="005F78FC" w:rsidRDefault="00B42EF3">
            <w:pPr>
              <w:pStyle w:val="TableBodyText"/>
            </w:pPr>
            <w:r>
              <w:t>The table shall have the following properties:</w:t>
            </w:r>
          </w:p>
          <w:p w:rsidR="005F78FC" w:rsidRDefault="00B42EF3">
            <w:pPr>
              <w:pStyle w:val="TableBodyText"/>
            </w:pPr>
            <w:r>
              <w:t>The top border shall be a 3/4 pt inset line.</w:t>
            </w:r>
          </w:p>
          <w:p w:rsidR="005F78FC" w:rsidRDefault="00B42EF3">
            <w:pPr>
              <w:pStyle w:val="TableBodyText"/>
            </w:pPr>
            <w:r>
              <w:t>The left border shall be a 3/4 pt inset line.</w:t>
            </w:r>
          </w:p>
          <w:p w:rsidR="005F78FC" w:rsidRDefault="00B42EF3">
            <w:pPr>
              <w:pStyle w:val="TableBodyText"/>
            </w:pPr>
            <w:r>
              <w:t xml:space="preserve">The bottom border </w:t>
            </w:r>
            <w:r>
              <w:t>shall be a 3/4 pt inset line.</w:t>
            </w:r>
          </w:p>
          <w:p w:rsidR="005F78FC" w:rsidRDefault="00B42EF3">
            <w:pPr>
              <w:pStyle w:val="TableBodyText"/>
            </w:pPr>
            <w:r>
              <w:t>The right border shall be a 3/4 pt inset line.</w:t>
            </w:r>
          </w:p>
          <w:p w:rsidR="005F78FC" w:rsidRDefault="00B42EF3">
            <w:pPr>
              <w:pStyle w:val="TableBodyText"/>
            </w:pPr>
            <w:r>
              <w:t>The inside horizontal border shall be a 3/4 pt inset line.</w:t>
            </w:r>
          </w:p>
          <w:p w:rsidR="005F78FC" w:rsidRDefault="00B42EF3">
            <w:pPr>
              <w:pStyle w:val="TableBodyText"/>
            </w:pPr>
            <w:r>
              <w:t>The inside vertical border shall be a 3/4 pt inset line.</w:t>
            </w:r>
          </w:p>
          <w:p w:rsidR="005F78FC" w:rsidRDefault="00B42EF3">
            <w:pPr>
              <w:pStyle w:val="TableBodyText"/>
            </w:pPr>
            <w:r>
              <w:t>The vertical alignment shall be top.</w:t>
            </w:r>
          </w:p>
          <w:p w:rsidR="005F78FC" w:rsidRDefault="00B42EF3">
            <w:pPr>
              <w:pStyle w:val="TableBodyText"/>
            </w:pPr>
            <w:r>
              <w:t xml:space="preserve">The cell spacing shall be </w:t>
            </w:r>
            <w:r>
              <w:t>20 twips.</w:t>
            </w:r>
          </w:p>
          <w:p w:rsidR="005F78FC" w:rsidRDefault="005F78FC">
            <w:pPr>
              <w:pStyle w:val="TableBodyText"/>
            </w:pPr>
          </w:p>
        </w:tc>
      </w:tr>
      <w:tr w:rsidR="005F78FC" w:rsidTr="005F78FC">
        <w:tc>
          <w:tcPr>
            <w:tcW w:w="0" w:type="auto"/>
            <w:vAlign w:val="center"/>
          </w:tcPr>
          <w:p w:rsidR="005F78FC" w:rsidRDefault="00B42EF3">
            <w:pPr>
              <w:pStyle w:val="TableBodyText"/>
            </w:pPr>
            <w:r>
              <w:lastRenderedPageBreak/>
              <w:t>42 (Web 3)</w:t>
            </w:r>
          </w:p>
          <w:p w:rsidR="005F78FC" w:rsidRDefault="005F78FC">
            <w:pPr>
              <w:pStyle w:val="TableBodyText"/>
            </w:pPr>
          </w:p>
        </w:tc>
        <w:tc>
          <w:tcPr>
            <w:tcW w:w="0" w:type="auto"/>
            <w:vAlign w:val="center"/>
          </w:tcPr>
          <w:p w:rsidR="005F78FC" w:rsidRDefault="00B42EF3">
            <w:pPr>
              <w:pStyle w:val="TableBodyText"/>
            </w:pPr>
            <w:r>
              <w:t>The table shall have the following properties:</w:t>
            </w:r>
          </w:p>
          <w:p w:rsidR="005F78FC" w:rsidRDefault="00B42EF3">
            <w:pPr>
              <w:pStyle w:val="TableBodyText"/>
            </w:pPr>
            <w:r>
              <w:t>The top border shall be a 2 1/4 pt outset line.</w:t>
            </w:r>
          </w:p>
          <w:p w:rsidR="005F78FC" w:rsidRDefault="00B42EF3">
            <w:pPr>
              <w:pStyle w:val="TableBodyText"/>
            </w:pPr>
            <w:r>
              <w:t>The left border shall be a 2 1/4 pt outset line.</w:t>
            </w:r>
          </w:p>
          <w:p w:rsidR="005F78FC" w:rsidRDefault="00B42EF3">
            <w:pPr>
              <w:pStyle w:val="TableBodyText"/>
            </w:pPr>
            <w:r>
              <w:t>The bottom border shall be a 2 1/4 pt outset line.</w:t>
            </w:r>
          </w:p>
          <w:p w:rsidR="005F78FC" w:rsidRDefault="00B42EF3">
            <w:pPr>
              <w:pStyle w:val="TableBodyText"/>
            </w:pPr>
            <w:r>
              <w:t xml:space="preserve">The right border shall be a 2 1/4 pt </w:t>
            </w:r>
            <w:r>
              <w:t>outset line.</w:t>
            </w:r>
          </w:p>
          <w:p w:rsidR="005F78FC" w:rsidRDefault="00B42EF3">
            <w:pPr>
              <w:pStyle w:val="TableBodyText"/>
            </w:pPr>
            <w:r>
              <w:t>The inside horizontal border shall be a 3/4 pt outset line.</w:t>
            </w:r>
          </w:p>
          <w:p w:rsidR="005F78FC" w:rsidRDefault="00B42EF3">
            <w:pPr>
              <w:pStyle w:val="TableBodyText"/>
            </w:pPr>
            <w:r>
              <w:t>The inside vertical border shall be a 3/4 pt outset line.</w:t>
            </w:r>
          </w:p>
          <w:p w:rsidR="005F78FC" w:rsidRDefault="00B42EF3">
            <w:pPr>
              <w:pStyle w:val="TableBodyText"/>
            </w:pPr>
            <w:r>
              <w:t>The vertical alignment shall be top.</w:t>
            </w:r>
          </w:p>
          <w:p w:rsidR="005F78FC" w:rsidRDefault="00B42EF3">
            <w:pPr>
              <w:pStyle w:val="TableBodyText"/>
            </w:pPr>
            <w:r>
              <w:t>The cell spacing shall be 20 twips.</w:t>
            </w:r>
          </w:p>
          <w:p w:rsidR="005F78FC" w:rsidRDefault="005F78FC">
            <w:pPr>
              <w:pStyle w:val="TableBodyText"/>
            </w:pPr>
          </w:p>
        </w:tc>
      </w:tr>
    </w:tbl>
    <w:p w:rsidR="005F78FC" w:rsidRDefault="005F78FC"/>
    <w:p w:rsidR="005F78FC" w:rsidRDefault="00B42EF3">
      <w:pPr>
        <w:pStyle w:val="Definition-Field"/>
      </w:pPr>
      <w:r>
        <w:t xml:space="preserve">c.   </w:t>
      </w:r>
      <w:r>
        <w:rPr>
          <w:i/>
        </w:rPr>
        <w:t>The standard does not specify any restrictio</w:t>
      </w:r>
      <w:r>
        <w:rPr>
          <w:i/>
        </w:rPr>
        <w:t>n on the set of SQL instructions included with the \s switch.</w:t>
      </w:r>
    </w:p>
    <w:p w:rsidR="005F78FC" w:rsidRDefault="00B42EF3">
      <w:pPr>
        <w:pStyle w:val="Definition-Field2"/>
      </w:pPr>
      <w:r>
        <w:t>Word does not allow SQL commands that attempt to make changes to the data source (Drop Table, Insert, and so on).</w:t>
      </w:r>
    </w:p>
    <w:p w:rsidR="005F78FC" w:rsidRDefault="00B42EF3">
      <w:pPr>
        <w:pStyle w:val="Definition-Field"/>
      </w:pPr>
      <w:r>
        <w:t xml:space="preserve">d.   </w:t>
      </w:r>
      <w:r>
        <w:rPr>
          <w:i/>
        </w:rPr>
        <w:t>The standard says that if the \l switch is blank, the \b switch value is 16</w:t>
      </w:r>
      <w:r>
        <w:rPr>
          <w:i/>
        </w:rPr>
        <w:t xml:space="preserve"> (Autofit).</w:t>
      </w:r>
    </w:p>
    <w:p w:rsidR="005F78FC" w:rsidRDefault="00B42EF3">
      <w:pPr>
        <w:pStyle w:val="Definition-Field2"/>
      </w:pPr>
      <w:r>
        <w:t>In Word, if the \l switch is blank or omitted, the \b bitmask for Autofit is the only one that will affect the display of the table.</w:t>
      </w:r>
    </w:p>
    <w:p w:rsidR="005F78FC" w:rsidRDefault="00B42EF3">
      <w:pPr>
        <w:pStyle w:val="Definition-Field"/>
      </w:pPr>
      <w:r>
        <w:t xml:space="preserve">e.   </w:t>
      </w:r>
      <w:r>
        <w:rPr>
          <w:i/>
        </w:rPr>
        <w:t>The standard says that if the number of columns is 62 or more, the field inserts the results of a query in</w:t>
      </w:r>
      <w:r>
        <w:rPr>
          <w:i/>
        </w:rPr>
        <w:t xml:space="preserve"> columns separated by tabs.</w:t>
      </w:r>
    </w:p>
    <w:p w:rsidR="005F78FC" w:rsidRDefault="00B42EF3">
      <w:pPr>
        <w:pStyle w:val="Definition-Field2"/>
      </w:pPr>
      <w:r>
        <w:t>In Word, the results of the query are inserted in columns separated by tabs if the number of columns in the data source is 64 or more.</w:t>
      </w:r>
    </w:p>
    <w:p w:rsidR="005F78FC" w:rsidRDefault="00B42EF3">
      <w:pPr>
        <w:pStyle w:val="Definition-Field"/>
      </w:pPr>
      <w:r>
        <w:t xml:space="preserve">f.   </w:t>
      </w:r>
      <w:r>
        <w:rPr>
          <w:i/>
        </w:rPr>
        <w:t>The standard says the \c switch specifies a connection string for accessing the data sou</w:t>
      </w:r>
      <w:r>
        <w:rPr>
          <w:i/>
        </w:rPr>
        <w:t>rce.</w:t>
      </w:r>
    </w:p>
    <w:p w:rsidR="005F78FC" w:rsidRDefault="00B42EF3">
      <w:pPr>
        <w:pStyle w:val="Definition-Field2"/>
      </w:pPr>
      <w:r>
        <w:t>Word does not use the connection string specified by the \c switch.</w:t>
      </w:r>
    </w:p>
    <w:p w:rsidR="005F78FC" w:rsidRDefault="00B42EF3">
      <w:pPr>
        <w:pStyle w:val="Heading3"/>
      </w:pPr>
      <w:bookmarkStart w:id="958" w:name="section_a5654a9f5dda4ec7bc38e48f50e4b435"/>
      <w:bookmarkStart w:id="959" w:name="_Toc69878252"/>
      <w:r>
        <w:t>Part 1 Section 17.16.5.13, DATE</w:t>
      </w:r>
      <w:bookmarkEnd w:id="958"/>
      <w:bookmarkEnd w:id="959"/>
      <w:r>
        <w:fldChar w:fldCharType="begin"/>
      </w:r>
      <w:r>
        <w:instrText xml:space="preserve"> XE "DATE" </w:instrText>
      </w:r>
      <w:r>
        <w:fldChar w:fldCharType="end"/>
      </w:r>
    </w:p>
    <w:p w:rsidR="005F78FC" w:rsidRDefault="00B42EF3">
      <w:pPr>
        <w:pStyle w:val="Definition-Field"/>
      </w:pPr>
      <w:r>
        <w:t xml:space="preserve">a.   </w:t>
      </w:r>
      <w:r>
        <w:rPr>
          <w:i/>
        </w:rPr>
        <w:t>The standard says the default calendar is Gregorian.</w:t>
      </w:r>
    </w:p>
    <w:p w:rsidR="005F78FC" w:rsidRDefault="00B42EF3">
      <w:pPr>
        <w:pStyle w:val="Definition-Field2"/>
      </w:pPr>
      <w:r>
        <w:t>In Word, the default calendar depends on the locale.</w:t>
      </w:r>
    </w:p>
    <w:p w:rsidR="005F78FC" w:rsidRDefault="00B42EF3">
      <w:pPr>
        <w:pStyle w:val="Heading3"/>
      </w:pPr>
      <w:bookmarkStart w:id="960" w:name="section_e4275abe6a7542c2b2f0eb8f9f7cbe2c"/>
      <w:bookmarkStart w:id="961" w:name="_Toc69878253"/>
      <w:r>
        <w:t xml:space="preserve">Part 1 Section 17.16.5.14, </w:t>
      </w:r>
      <w:r>
        <w:t>DOCPROPERTY</w:t>
      </w:r>
      <w:bookmarkEnd w:id="960"/>
      <w:bookmarkEnd w:id="961"/>
      <w:r>
        <w:fldChar w:fldCharType="begin"/>
      </w:r>
      <w:r>
        <w:instrText xml:space="preserve"> XE "DOCPROPERTY" </w:instrText>
      </w:r>
      <w:r>
        <w:fldChar w:fldCharType="end"/>
      </w:r>
    </w:p>
    <w:p w:rsidR="005F78FC" w:rsidRDefault="00B42EF3">
      <w:pPr>
        <w:pStyle w:val="Definition-Field"/>
      </w:pPr>
      <w:r>
        <w:t xml:space="preserve">a.   </w:t>
      </w:r>
      <w:r>
        <w:rPr>
          <w:i/>
        </w:rPr>
        <w:t>The standard does not say that Custom document properties can be specified in the DOCPROPERTY field.</w:t>
      </w:r>
    </w:p>
    <w:p w:rsidR="005F78FC" w:rsidRDefault="00B42EF3">
      <w:pPr>
        <w:pStyle w:val="Definition-Field2"/>
      </w:pPr>
      <w:r>
        <w:t>In Word, Custom document properties can be specified by name in the DOCPROPERTY field.</w:t>
      </w:r>
    </w:p>
    <w:p w:rsidR="005F78FC" w:rsidRDefault="00B42EF3">
      <w:pPr>
        <w:pStyle w:val="Definition-Field"/>
      </w:pPr>
      <w:r>
        <w:t xml:space="preserve">b.   </w:t>
      </w:r>
      <w:r>
        <w:rPr>
          <w:i/>
        </w:rPr>
        <w:t>The standard says that the</w:t>
      </w:r>
      <w:r>
        <w:rPr>
          <w:i/>
        </w:rPr>
        <w:t xml:space="preserve"> Keywords and Words categories don't have any equivalent fields.</w:t>
      </w:r>
    </w:p>
    <w:p w:rsidR="005F78FC" w:rsidRDefault="00B42EF3">
      <w:pPr>
        <w:pStyle w:val="Definition-Field2"/>
      </w:pPr>
      <w:r>
        <w:t>In Word, the Keywords and Words categories are equivalent to the Keywords and NumWords fields.</w:t>
      </w:r>
    </w:p>
    <w:p w:rsidR="005F78FC" w:rsidRDefault="00B42EF3">
      <w:pPr>
        <w:pStyle w:val="Heading3"/>
      </w:pPr>
      <w:bookmarkStart w:id="962" w:name="section_784e4943f18a405e8483182e618231a2"/>
      <w:bookmarkStart w:id="963" w:name="_Toc69878254"/>
      <w:r>
        <w:t>Part 1 Section 17.16.5.17, FILENAME</w:t>
      </w:r>
      <w:bookmarkEnd w:id="962"/>
      <w:bookmarkEnd w:id="963"/>
      <w:r>
        <w:fldChar w:fldCharType="begin"/>
      </w:r>
      <w:r>
        <w:instrText xml:space="preserve"> XE "FILENAME" </w:instrText>
      </w:r>
      <w:r>
        <w:fldChar w:fldCharType="end"/>
      </w:r>
    </w:p>
    <w:p w:rsidR="005F78FC" w:rsidRDefault="00B42EF3">
      <w:pPr>
        <w:pStyle w:val="Definition-Field"/>
      </w:pPr>
      <w:r>
        <w:t xml:space="preserve">a.   </w:t>
      </w:r>
      <w:r>
        <w:rPr>
          <w:i/>
        </w:rPr>
        <w:t>The standard says a FILENAME field mus</w:t>
      </w:r>
      <w:r>
        <w:rPr>
          <w:i/>
        </w:rPr>
        <w:t>t use a general-formatting-switch.</w:t>
      </w:r>
    </w:p>
    <w:p w:rsidR="005F78FC" w:rsidRDefault="00B42EF3">
      <w:pPr>
        <w:pStyle w:val="Definition-Field2"/>
      </w:pPr>
      <w:r>
        <w:lastRenderedPageBreak/>
        <w:t>In Word, using a general-formatting-switch in a FILENAME field is optional.</w:t>
      </w:r>
    </w:p>
    <w:p w:rsidR="005F78FC" w:rsidRDefault="00B42EF3">
      <w:pPr>
        <w:pStyle w:val="Heading3"/>
      </w:pPr>
      <w:bookmarkStart w:id="964" w:name="section_25aa9afa28e246f0871e6dfdff199b11"/>
      <w:bookmarkStart w:id="965" w:name="_Toc69878255"/>
      <w:r>
        <w:t>Part 1 Section 17.16.5.18, FILESIZE</w:t>
      </w:r>
      <w:bookmarkEnd w:id="964"/>
      <w:bookmarkEnd w:id="965"/>
      <w:r>
        <w:fldChar w:fldCharType="begin"/>
      </w:r>
      <w:r>
        <w:instrText xml:space="preserve"> XE "FILESIZE" </w:instrText>
      </w:r>
      <w:r>
        <w:fldChar w:fldCharType="end"/>
      </w:r>
    </w:p>
    <w:p w:rsidR="005F78FC" w:rsidRDefault="00B42EF3">
      <w:pPr>
        <w:pStyle w:val="Definition-Field"/>
      </w:pPr>
      <w:r>
        <w:t xml:space="preserve">a.   </w:t>
      </w:r>
      <w:r>
        <w:rPr>
          <w:i/>
        </w:rPr>
        <w:t>The standard says that the switches cause the result to be rounded to the nearest kilob</w:t>
      </w:r>
      <w:r>
        <w:rPr>
          <w:i/>
        </w:rPr>
        <w:t>yte or megabyte.</w:t>
      </w:r>
    </w:p>
    <w:p w:rsidR="005F78FC" w:rsidRDefault="00B42EF3">
      <w:pPr>
        <w:pStyle w:val="Definition-Field2"/>
      </w:pPr>
      <w:r>
        <w:t>Word rounds to the nearest thousand bytes and million bytes.</w:t>
      </w:r>
    </w:p>
    <w:p w:rsidR="005F78FC" w:rsidRDefault="00B42EF3">
      <w:pPr>
        <w:pStyle w:val="Heading3"/>
      </w:pPr>
      <w:bookmarkStart w:id="966" w:name="section_dc94db725d5f4aceae06e7bd722a3dab"/>
      <w:bookmarkStart w:id="967" w:name="_Toc69878256"/>
      <w:r>
        <w:t>Part 1 Section 17.16.5.20, FORMCHECKBOX</w:t>
      </w:r>
      <w:bookmarkEnd w:id="966"/>
      <w:bookmarkEnd w:id="967"/>
      <w:r>
        <w:fldChar w:fldCharType="begin"/>
      </w:r>
      <w:r>
        <w:instrText xml:space="preserve"> XE "FORMCHECKBOX" </w:instrText>
      </w:r>
      <w:r>
        <w:fldChar w:fldCharType="end"/>
      </w:r>
    </w:p>
    <w:p w:rsidR="005F78FC" w:rsidRDefault="00B42EF3">
      <w:pPr>
        <w:pStyle w:val="Definition-Field"/>
      </w:pPr>
      <w:r>
        <w:t xml:space="preserve">a.   </w:t>
      </w:r>
      <w:r>
        <w:rPr>
          <w:i/>
        </w:rPr>
        <w:t>The standard allows the FORMCHECKBOX field to be nested inside another field.</w:t>
      </w:r>
    </w:p>
    <w:p w:rsidR="005F78FC" w:rsidRDefault="00B42EF3">
      <w:pPr>
        <w:pStyle w:val="Definition-Field2"/>
      </w:pPr>
      <w:r>
        <w:t>In Word, if the FORMCHECKBOX field</w:t>
      </w:r>
      <w:r>
        <w:t xml:space="preserve"> is nested inside another field, no result is displayed.</w:t>
      </w:r>
    </w:p>
    <w:p w:rsidR="005F78FC" w:rsidRDefault="00B42EF3">
      <w:pPr>
        <w:pStyle w:val="Heading3"/>
      </w:pPr>
      <w:bookmarkStart w:id="968" w:name="section_3e69c23d9a6b4689b9a8c3d77e39567e"/>
      <w:bookmarkStart w:id="969" w:name="_Toc69878257"/>
      <w:r>
        <w:t>Part 1 Section 17.16.5.21, FORMDROPDOWN</w:t>
      </w:r>
      <w:bookmarkEnd w:id="968"/>
      <w:bookmarkEnd w:id="969"/>
      <w:r>
        <w:fldChar w:fldCharType="begin"/>
      </w:r>
      <w:r>
        <w:instrText xml:space="preserve"> XE "FORMDROPDOWN" </w:instrText>
      </w:r>
      <w:r>
        <w:fldChar w:fldCharType="end"/>
      </w:r>
    </w:p>
    <w:p w:rsidR="005F78FC" w:rsidRDefault="00B42EF3">
      <w:pPr>
        <w:pStyle w:val="Definition-Field"/>
      </w:pPr>
      <w:r>
        <w:t xml:space="preserve">a.   </w:t>
      </w:r>
      <w:r>
        <w:rPr>
          <w:i/>
        </w:rPr>
        <w:t>The standard allows the FORMDROPDOWN field to be nested inside another field.</w:t>
      </w:r>
    </w:p>
    <w:p w:rsidR="005F78FC" w:rsidRDefault="00B42EF3">
      <w:pPr>
        <w:pStyle w:val="Definition-Field2"/>
      </w:pPr>
      <w:r>
        <w:t>In Word, if the FORMDROPDOWN field is nested inside ano</w:t>
      </w:r>
      <w:r>
        <w:t>ther field, no result is displayed.</w:t>
      </w:r>
    </w:p>
    <w:p w:rsidR="005F78FC" w:rsidRDefault="00B42EF3">
      <w:pPr>
        <w:pStyle w:val="Heading3"/>
      </w:pPr>
      <w:bookmarkStart w:id="970" w:name="section_88d009e20f714add9d1efd0bc02d9ca2"/>
      <w:bookmarkStart w:id="971" w:name="_Toc69878258"/>
      <w:r>
        <w:t>Part 1 Section 17.16.5.23, GOTOBUTTON</w:t>
      </w:r>
      <w:bookmarkEnd w:id="970"/>
      <w:bookmarkEnd w:id="971"/>
      <w:r>
        <w:fldChar w:fldCharType="begin"/>
      </w:r>
      <w:r>
        <w:instrText xml:space="preserve"> XE "GOTOBUTTON" </w:instrText>
      </w:r>
      <w:r>
        <w:fldChar w:fldCharType="end"/>
      </w:r>
    </w:p>
    <w:p w:rsidR="005F78FC" w:rsidRDefault="00B42EF3">
      <w:pPr>
        <w:pStyle w:val="Definition-Field"/>
      </w:pPr>
      <w:r>
        <w:t xml:space="preserve">a.   </w:t>
      </w:r>
      <w:r>
        <w:rPr>
          <w:i/>
        </w:rPr>
        <w:t>The standard does not state how to interpret % in field-argument-1 for the GOTOBUTTON field.</w:t>
      </w:r>
    </w:p>
    <w:p w:rsidR="005F78FC" w:rsidRDefault="00B42EF3">
      <w:pPr>
        <w:pStyle w:val="Definition-Field2"/>
      </w:pPr>
      <w:r>
        <w:t>Word uses % in field-argument-1 to specify a percentage of the do</w:t>
      </w:r>
      <w:r>
        <w:t>cument as a target for the GOTOBUTTON field.</w:t>
      </w:r>
    </w:p>
    <w:p w:rsidR="005F78FC" w:rsidRDefault="00B42EF3">
      <w:pPr>
        <w:pStyle w:val="Definition-Field"/>
      </w:pPr>
      <w:r>
        <w:t xml:space="preserve">b.   </w:t>
      </w:r>
      <w:r>
        <w:rPr>
          <w:i/>
        </w:rPr>
        <w:t>The standard allows a GOTOBUTTON field to be nested inside another field.</w:t>
      </w:r>
    </w:p>
    <w:p w:rsidR="005F78FC" w:rsidRDefault="00B42EF3">
      <w:pPr>
        <w:pStyle w:val="Definition-Field2"/>
      </w:pPr>
      <w:r>
        <w:t>In Word, if a GOTOBUTTON field is nested inside another field, no result is displayed.</w:t>
      </w:r>
    </w:p>
    <w:p w:rsidR="005F78FC" w:rsidRDefault="00B42EF3">
      <w:pPr>
        <w:pStyle w:val="Heading3"/>
      </w:pPr>
      <w:bookmarkStart w:id="972" w:name="section_7c6c5a820257412fb723ee973a8febe9"/>
      <w:bookmarkStart w:id="973" w:name="_Toc69878259"/>
      <w:r>
        <w:t>Part 1 Section 17.16.5.24, GREETINGLINE</w:t>
      </w:r>
      <w:bookmarkEnd w:id="972"/>
      <w:bookmarkEnd w:id="973"/>
      <w:r>
        <w:fldChar w:fldCharType="begin"/>
      </w:r>
      <w:r>
        <w:instrText xml:space="preserve"> XE "G</w:instrText>
      </w:r>
      <w:r>
        <w:instrText xml:space="preserve">REETINGLINE" </w:instrText>
      </w:r>
      <w:r>
        <w:fldChar w:fldCharType="end"/>
      </w:r>
    </w:p>
    <w:p w:rsidR="005F78FC" w:rsidRDefault="00B42EF3">
      <w:pPr>
        <w:pStyle w:val="Definition-Field"/>
      </w:pPr>
      <w:r>
        <w:t xml:space="preserve">a.   </w:t>
      </w:r>
      <w:r>
        <w:rPr>
          <w:i/>
        </w:rPr>
        <w:t>The standard defines \c as both the alternate text switch and the format switch.</w:t>
      </w:r>
    </w:p>
    <w:p w:rsidR="005F78FC" w:rsidRDefault="00B42EF3">
      <w:pPr>
        <w:pStyle w:val="Definition-Field2"/>
      </w:pPr>
      <w:r>
        <w:t>In Word, the format switch is \f.</w:t>
      </w:r>
    </w:p>
    <w:p w:rsidR="005F78FC" w:rsidRDefault="00B42EF3">
      <w:pPr>
        <w:pStyle w:val="Definition-Field"/>
      </w:pPr>
      <w:r>
        <w:t xml:space="preserve">b.   </w:t>
      </w:r>
      <w:r>
        <w:rPr>
          <w:i/>
        </w:rPr>
        <w:t>The standard does not explain how the \f switch specifies the format of the field value.</w:t>
      </w:r>
    </w:p>
    <w:p w:rsidR="005F78FC" w:rsidRDefault="00B42EF3">
      <w:r>
        <w:t xml:space="preserve">In Word, the text in this </w:t>
      </w:r>
      <w:r>
        <w:t xml:space="preserve">switch's field-argument specifies the greeting line format by providing placeholders which reference a </w:t>
      </w:r>
      <w:r>
        <w:rPr>
          <w:b/>
        </w:rPr>
        <w:t>fieldMapData</w:t>
      </w:r>
      <w:r>
        <w:t xml:space="preserve"> element ("</w:t>
      </w:r>
      <w:hyperlink r:id="rId109">
        <w:r>
          <w:rPr>
            <w:rStyle w:val="Hyperlink"/>
          </w:rPr>
          <w:t>[ISO/IEC-29500-1]</w:t>
        </w:r>
      </w:hyperlink>
      <w:r>
        <w:t xml:space="preserve"> §17.14.15; fieldMapData").  The placeholder wi</w:t>
      </w:r>
      <w:r>
        <w:t xml:space="preserve">ll be expanded to the current mail merge entry in the column specified by the value in the name element where the </w:t>
      </w:r>
      <w:r>
        <w:rPr>
          <w:b/>
        </w:rPr>
        <w:t>mappedName</w:t>
      </w:r>
      <w:r>
        <w:t xml:space="preserve"> of the placeholder matches the </w:t>
      </w:r>
      <w:r>
        <w:rPr>
          <w:b/>
        </w:rPr>
        <w:t>mappedName</w:t>
      </w:r>
      <w:r>
        <w:t xml:space="preserve"> of the </w:t>
      </w:r>
      <w:r>
        <w:rPr>
          <w:b/>
        </w:rPr>
        <w:t>fieldMapData</w:t>
      </w:r>
      <w:r>
        <w:t>.</w:t>
      </w:r>
    </w:p>
    <w:p w:rsidR="005F78FC" w:rsidRDefault="00B42EF3">
      <w:r>
        <w:t>The following are the possible placeholders and corresponding mapped</w:t>
      </w:r>
      <w:r>
        <w:t xml:space="preserve"> merge field names are reserved:</w:t>
      </w:r>
    </w:p>
    <w:tbl>
      <w:tblPr>
        <w:tblStyle w:val="Table-ShadedHeader"/>
        <w:tblW w:w="0" w:type="auto"/>
        <w:tblLook w:val="04A0" w:firstRow="1" w:lastRow="0" w:firstColumn="1" w:lastColumn="0" w:noHBand="0" w:noVBand="1"/>
      </w:tblPr>
      <w:tblGrid>
        <w:gridCol w:w="1538"/>
        <w:gridCol w:w="2436"/>
        <w:gridCol w:w="5501"/>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PLACEHOLDER</w:t>
            </w:r>
          </w:p>
        </w:tc>
        <w:tc>
          <w:tcPr>
            <w:tcW w:w="0" w:type="auto"/>
            <w:vAlign w:val="center"/>
          </w:tcPr>
          <w:p w:rsidR="005F78FC" w:rsidRDefault="00B42EF3">
            <w:pPr>
              <w:pStyle w:val="TableHeaderText"/>
            </w:pPr>
            <w:r>
              <w:t>ALTERNATE PLACEHOLDER</w:t>
            </w:r>
          </w:p>
        </w:tc>
        <w:tc>
          <w:tcPr>
            <w:tcW w:w="0" w:type="auto"/>
            <w:vAlign w:val="center"/>
          </w:tcPr>
          <w:p w:rsidR="005F78FC" w:rsidRDefault="00B42EF3">
            <w:pPr>
              <w:pStyle w:val="TableHeaderText"/>
            </w:pPr>
            <w:r>
              <w:t>mappedName</w:t>
            </w:r>
          </w:p>
        </w:tc>
      </w:tr>
      <w:tr w:rsidR="005F78FC" w:rsidTr="005F78FC">
        <w:tc>
          <w:tcPr>
            <w:tcW w:w="0" w:type="auto"/>
            <w:vAlign w:val="center"/>
          </w:tcPr>
          <w:p w:rsidR="005F78FC" w:rsidRDefault="00B42EF3">
            <w:pPr>
              <w:pStyle w:val="TableBodyText"/>
            </w:pPr>
            <w:r>
              <w:t>_BEFORE_ text</w:t>
            </w:r>
          </w:p>
        </w:tc>
        <w:tc>
          <w:tcPr>
            <w:tcW w:w="0" w:type="auto"/>
            <w:vAlign w:val="center"/>
          </w:tcPr>
          <w:p w:rsidR="005F78FC" w:rsidRDefault="00B42EF3">
            <w:pPr>
              <w:pStyle w:val="TableBodyText"/>
            </w:pPr>
            <w:r>
              <w:t>/g text</w:t>
            </w:r>
          </w:p>
        </w:tc>
        <w:tc>
          <w:tcPr>
            <w:tcW w:w="0" w:type="auto"/>
            <w:vAlign w:val="center"/>
          </w:tcPr>
          <w:p w:rsidR="005F78FC" w:rsidRDefault="00B42EF3">
            <w:pPr>
              <w:pStyle w:val="TableBodyText"/>
            </w:pPr>
            <w:r>
              <w:t>This placeholder specifies that text shall be inserted before the greeting line.</w:t>
            </w:r>
          </w:p>
        </w:tc>
      </w:tr>
      <w:tr w:rsidR="005F78FC" w:rsidTr="005F78FC">
        <w:tc>
          <w:tcPr>
            <w:tcW w:w="0" w:type="auto"/>
            <w:vAlign w:val="center"/>
          </w:tcPr>
          <w:p w:rsidR="005F78FC" w:rsidRDefault="00B42EF3">
            <w:pPr>
              <w:pStyle w:val="TableBodyText"/>
            </w:pPr>
            <w:r>
              <w:t>_AFTER_ text</w:t>
            </w:r>
          </w:p>
        </w:tc>
        <w:tc>
          <w:tcPr>
            <w:tcW w:w="0" w:type="auto"/>
            <w:vAlign w:val="center"/>
          </w:tcPr>
          <w:p w:rsidR="005F78FC" w:rsidRDefault="00B42EF3">
            <w:pPr>
              <w:pStyle w:val="TableBodyText"/>
            </w:pPr>
            <w:r>
              <w:t>/x text</w:t>
            </w:r>
          </w:p>
        </w:tc>
        <w:tc>
          <w:tcPr>
            <w:tcW w:w="0" w:type="auto"/>
            <w:vAlign w:val="center"/>
          </w:tcPr>
          <w:p w:rsidR="005F78FC" w:rsidRDefault="00B42EF3">
            <w:pPr>
              <w:pStyle w:val="TableBodyText"/>
            </w:pPr>
            <w:r>
              <w:t xml:space="preserve">This placeholder specifies that text shall be </w:t>
            </w:r>
            <w:r>
              <w:t>inserted after the greeting line.</w:t>
            </w:r>
          </w:p>
        </w:tc>
      </w:tr>
      <w:tr w:rsidR="005F78FC" w:rsidTr="005F78FC">
        <w:tc>
          <w:tcPr>
            <w:tcW w:w="0" w:type="auto"/>
            <w:vAlign w:val="center"/>
          </w:tcPr>
          <w:p w:rsidR="005F78FC" w:rsidRDefault="00B42EF3">
            <w:pPr>
              <w:pStyle w:val="TableBodyText"/>
            </w:pPr>
            <w:r>
              <w:lastRenderedPageBreak/>
              <w:t>_TITLE0_</w:t>
            </w:r>
          </w:p>
        </w:tc>
        <w:tc>
          <w:tcPr>
            <w:tcW w:w="0" w:type="auto"/>
            <w:vAlign w:val="center"/>
          </w:tcPr>
          <w:p w:rsidR="005F78FC" w:rsidRDefault="00B42EF3">
            <w:pPr>
              <w:pStyle w:val="TableBodyText"/>
            </w:pPr>
            <w:r>
              <w:t>/t0</w:t>
            </w:r>
          </w:p>
        </w:tc>
        <w:tc>
          <w:tcPr>
            <w:tcW w:w="0" w:type="auto"/>
            <w:vAlign w:val="center"/>
          </w:tcPr>
          <w:p w:rsidR="005F78FC" w:rsidRDefault="00B42EF3">
            <w:pPr>
              <w:pStyle w:val="TableBodyText"/>
            </w:pPr>
            <w:r>
              <w:t>Courtesy Title</w:t>
            </w:r>
          </w:p>
        </w:tc>
      </w:tr>
      <w:tr w:rsidR="005F78FC" w:rsidTr="005F78FC">
        <w:tc>
          <w:tcPr>
            <w:tcW w:w="0" w:type="auto"/>
            <w:vAlign w:val="center"/>
          </w:tcPr>
          <w:p w:rsidR="005F78FC" w:rsidRDefault="00B42EF3">
            <w:pPr>
              <w:pStyle w:val="TableBodyText"/>
            </w:pPr>
            <w:r>
              <w:t>_NICK0_</w:t>
            </w:r>
          </w:p>
        </w:tc>
        <w:tc>
          <w:tcPr>
            <w:tcW w:w="0" w:type="auto"/>
            <w:vAlign w:val="center"/>
          </w:tcPr>
          <w:p w:rsidR="005F78FC" w:rsidRDefault="00B42EF3">
            <w:pPr>
              <w:pStyle w:val="TableBodyText"/>
            </w:pPr>
            <w:r>
              <w:t>/n0</w:t>
            </w:r>
          </w:p>
        </w:tc>
        <w:tc>
          <w:tcPr>
            <w:tcW w:w="0" w:type="auto"/>
            <w:vAlign w:val="center"/>
          </w:tcPr>
          <w:p w:rsidR="005F78FC" w:rsidRDefault="00B42EF3">
            <w:pPr>
              <w:pStyle w:val="TableBodyText"/>
            </w:pPr>
            <w:r>
              <w:t>Nickname</w:t>
            </w:r>
          </w:p>
        </w:tc>
      </w:tr>
      <w:tr w:rsidR="005F78FC" w:rsidTr="005F78FC">
        <w:tc>
          <w:tcPr>
            <w:tcW w:w="0" w:type="auto"/>
            <w:vAlign w:val="center"/>
          </w:tcPr>
          <w:p w:rsidR="005F78FC" w:rsidRDefault="00B42EF3">
            <w:pPr>
              <w:pStyle w:val="TableBodyText"/>
            </w:pPr>
            <w:r>
              <w:t>_FIRST0_</w:t>
            </w:r>
          </w:p>
        </w:tc>
        <w:tc>
          <w:tcPr>
            <w:tcW w:w="0" w:type="auto"/>
            <w:vAlign w:val="center"/>
          </w:tcPr>
          <w:p w:rsidR="005F78FC" w:rsidRDefault="00B42EF3">
            <w:pPr>
              <w:pStyle w:val="TableBodyText"/>
            </w:pPr>
            <w:r>
              <w:t>/f0</w:t>
            </w:r>
          </w:p>
        </w:tc>
        <w:tc>
          <w:tcPr>
            <w:tcW w:w="0" w:type="auto"/>
            <w:vAlign w:val="center"/>
          </w:tcPr>
          <w:p w:rsidR="005F78FC" w:rsidRDefault="00B42EF3">
            <w:pPr>
              <w:pStyle w:val="TableBodyText"/>
            </w:pPr>
            <w:r>
              <w:t>First Name</w:t>
            </w:r>
          </w:p>
        </w:tc>
      </w:tr>
      <w:tr w:rsidR="005F78FC" w:rsidTr="005F78FC">
        <w:tc>
          <w:tcPr>
            <w:tcW w:w="0" w:type="auto"/>
            <w:vAlign w:val="center"/>
          </w:tcPr>
          <w:p w:rsidR="005F78FC" w:rsidRDefault="00B42EF3">
            <w:pPr>
              <w:pStyle w:val="TableBodyText"/>
            </w:pPr>
            <w:r>
              <w:t>_LAST0_</w:t>
            </w:r>
          </w:p>
        </w:tc>
        <w:tc>
          <w:tcPr>
            <w:tcW w:w="0" w:type="auto"/>
            <w:vAlign w:val="center"/>
          </w:tcPr>
          <w:p w:rsidR="005F78FC" w:rsidRDefault="00B42EF3">
            <w:pPr>
              <w:pStyle w:val="TableBodyText"/>
            </w:pPr>
            <w:r>
              <w:t>/l0</w:t>
            </w:r>
          </w:p>
        </w:tc>
        <w:tc>
          <w:tcPr>
            <w:tcW w:w="0" w:type="auto"/>
            <w:vAlign w:val="center"/>
          </w:tcPr>
          <w:p w:rsidR="005F78FC" w:rsidRDefault="00B42EF3">
            <w:pPr>
              <w:pStyle w:val="TableBodyText"/>
            </w:pPr>
            <w:r>
              <w:t>Last Name</w:t>
            </w:r>
          </w:p>
        </w:tc>
      </w:tr>
      <w:tr w:rsidR="005F78FC" w:rsidTr="005F78FC">
        <w:tc>
          <w:tcPr>
            <w:tcW w:w="0" w:type="auto"/>
            <w:vAlign w:val="center"/>
          </w:tcPr>
          <w:p w:rsidR="005F78FC" w:rsidRDefault="00B42EF3">
            <w:pPr>
              <w:pStyle w:val="TableBodyText"/>
            </w:pPr>
            <w:r>
              <w:t>_SUFFIX0_</w:t>
            </w:r>
          </w:p>
        </w:tc>
        <w:tc>
          <w:tcPr>
            <w:tcW w:w="0" w:type="auto"/>
            <w:vAlign w:val="center"/>
          </w:tcPr>
          <w:p w:rsidR="005F78FC" w:rsidRDefault="00B42EF3">
            <w:pPr>
              <w:pStyle w:val="TableBodyText"/>
            </w:pPr>
            <w:r>
              <w:t>/s0</w:t>
            </w:r>
          </w:p>
        </w:tc>
        <w:tc>
          <w:tcPr>
            <w:tcW w:w="0" w:type="auto"/>
            <w:vAlign w:val="center"/>
          </w:tcPr>
          <w:p w:rsidR="005F78FC" w:rsidRDefault="00B42EF3">
            <w:pPr>
              <w:pStyle w:val="TableBodyText"/>
            </w:pPr>
            <w:r>
              <w:t>Suffix</w:t>
            </w:r>
          </w:p>
        </w:tc>
      </w:tr>
      <w:tr w:rsidR="005F78FC" w:rsidTr="005F78FC">
        <w:tc>
          <w:tcPr>
            <w:tcW w:w="0" w:type="auto"/>
            <w:vAlign w:val="center"/>
          </w:tcPr>
          <w:p w:rsidR="005F78FC" w:rsidRDefault="00B42EF3">
            <w:pPr>
              <w:pStyle w:val="TableBodyText"/>
            </w:pPr>
            <w:r>
              <w:t>_TITLE1_</w:t>
            </w:r>
          </w:p>
        </w:tc>
        <w:tc>
          <w:tcPr>
            <w:tcW w:w="0" w:type="auto"/>
            <w:vAlign w:val="center"/>
          </w:tcPr>
          <w:p w:rsidR="005F78FC" w:rsidRDefault="00B42EF3">
            <w:pPr>
              <w:pStyle w:val="TableBodyText"/>
            </w:pPr>
            <w:r>
              <w:t>/t1</w:t>
            </w:r>
          </w:p>
        </w:tc>
        <w:tc>
          <w:tcPr>
            <w:tcW w:w="0" w:type="auto"/>
            <w:vAlign w:val="center"/>
          </w:tcPr>
          <w:p w:rsidR="005F78FC" w:rsidRDefault="00B42EF3">
            <w:pPr>
              <w:pStyle w:val="TableBodyText"/>
            </w:pPr>
            <w:r>
              <w:t>Spouse/Partner Courtesy Title</w:t>
            </w:r>
          </w:p>
        </w:tc>
      </w:tr>
      <w:tr w:rsidR="005F78FC" w:rsidTr="005F78FC">
        <w:tc>
          <w:tcPr>
            <w:tcW w:w="0" w:type="auto"/>
            <w:vAlign w:val="center"/>
          </w:tcPr>
          <w:p w:rsidR="005F78FC" w:rsidRDefault="00B42EF3">
            <w:pPr>
              <w:pStyle w:val="TableBodyText"/>
            </w:pPr>
            <w:r>
              <w:t>_FIRST1_</w:t>
            </w:r>
          </w:p>
        </w:tc>
        <w:tc>
          <w:tcPr>
            <w:tcW w:w="0" w:type="auto"/>
            <w:vAlign w:val="center"/>
          </w:tcPr>
          <w:p w:rsidR="005F78FC" w:rsidRDefault="00B42EF3">
            <w:pPr>
              <w:pStyle w:val="TableBodyText"/>
            </w:pPr>
            <w:r>
              <w:t>/f1</w:t>
            </w:r>
          </w:p>
        </w:tc>
        <w:tc>
          <w:tcPr>
            <w:tcW w:w="0" w:type="auto"/>
            <w:vAlign w:val="center"/>
          </w:tcPr>
          <w:p w:rsidR="005F78FC" w:rsidRDefault="00B42EF3">
            <w:pPr>
              <w:pStyle w:val="TableBodyText"/>
            </w:pPr>
            <w:r>
              <w:t>Spouse/Partner First Name</w:t>
            </w:r>
          </w:p>
        </w:tc>
      </w:tr>
    </w:tbl>
    <w:p w:rsidR="005F78FC" w:rsidRDefault="005F78FC"/>
    <w:p w:rsidR="005F78FC" w:rsidRDefault="00B42EF3">
      <w:r>
        <w:t xml:space="preserve">The following </w:t>
      </w:r>
      <w:r>
        <w:t>are the possible greeting line formats.</w:t>
      </w:r>
    </w:p>
    <w:tbl>
      <w:tblPr>
        <w:tblStyle w:val="Table-ShadedHeader"/>
        <w:tblW w:w="0" w:type="auto"/>
        <w:tblLook w:val="04A0" w:firstRow="1" w:lastRow="0" w:firstColumn="1" w:lastColumn="0" w:noHBand="0" w:noVBand="1"/>
      </w:tblPr>
      <w:tblGrid>
        <w:gridCol w:w="5473"/>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Greeting Line Formats</w:t>
            </w:r>
          </w:p>
        </w:tc>
      </w:tr>
      <w:tr w:rsidR="005F78FC" w:rsidTr="005F78FC">
        <w:tc>
          <w:tcPr>
            <w:tcW w:w="0" w:type="auto"/>
            <w:vAlign w:val="center"/>
          </w:tcPr>
          <w:p w:rsidR="005F78FC" w:rsidRDefault="00B42EF3">
            <w:pPr>
              <w:pStyle w:val="TableBodyText"/>
            </w:pPr>
            <w:r>
              <w:t>&lt;&lt;_TITLE0_&gt;&gt;&lt;&lt;_LAST0_&gt;&gt;</w:t>
            </w:r>
          </w:p>
        </w:tc>
      </w:tr>
      <w:tr w:rsidR="005F78FC" w:rsidTr="005F78FC">
        <w:tc>
          <w:tcPr>
            <w:tcW w:w="0" w:type="auto"/>
            <w:vAlign w:val="center"/>
          </w:tcPr>
          <w:p w:rsidR="005F78FC" w:rsidRDefault="00B42EF3">
            <w:pPr>
              <w:pStyle w:val="TableBodyText"/>
            </w:pPr>
            <w:r>
              <w:t>&lt;&lt;_TITLE0_&gt;&gt;&lt;&lt;and _TITLE1_&gt;&gt;&lt;&lt;_LAST0_&gt;&gt;</w:t>
            </w:r>
          </w:p>
        </w:tc>
      </w:tr>
      <w:tr w:rsidR="005F78FC" w:rsidTr="005F78FC">
        <w:tc>
          <w:tcPr>
            <w:tcW w:w="0" w:type="auto"/>
            <w:vAlign w:val="center"/>
          </w:tcPr>
          <w:p w:rsidR="005F78FC" w:rsidRDefault="00B42EF3">
            <w:pPr>
              <w:pStyle w:val="TableBodyText"/>
            </w:pPr>
            <w:r>
              <w:t>&lt;&lt;_TITLE0_&gt;&gt;&lt;&lt;_FIRST0_&gt;&gt;&lt;&lt;_LAST0_&gt;&gt;&lt;&lt;_SUFFIX0_&gt;&gt;</w:t>
            </w:r>
          </w:p>
        </w:tc>
      </w:tr>
      <w:tr w:rsidR="005F78FC" w:rsidTr="005F78FC">
        <w:tc>
          <w:tcPr>
            <w:tcW w:w="0" w:type="auto"/>
            <w:vAlign w:val="center"/>
          </w:tcPr>
          <w:p w:rsidR="005F78FC" w:rsidRDefault="00B42EF3">
            <w:pPr>
              <w:pStyle w:val="TableBodyText"/>
            </w:pPr>
            <w:r>
              <w:t>&lt;&lt;_TITLE0_&gt;&gt;&lt;&lt;_NICK0_&gt;&gt;&lt;&lt;_LAST0_&gt;&gt;&lt;&lt;_SUFFIX0_&gt;&gt;</w:t>
            </w:r>
          </w:p>
        </w:tc>
      </w:tr>
      <w:tr w:rsidR="005F78FC" w:rsidTr="005F78FC">
        <w:tc>
          <w:tcPr>
            <w:tcW w:w="0" w:type="auto"/>
            <w:vAlign w:val="center"/>
          </w:tcPr>
          <w:p w:rsidR="005F78FC" w:rsidRDefault="00B42EF3">
            <w:pPr>
              <w:pStyle w:val="TableBodyText"/>
            </w:pPr>
            <w:r>
              <w:t>&lt;&lt;_FIRST0_&gt;&gt;&lt;&lt;_LAST0_&gt;&gt;&lt;&lt;</w:t>
            </w:r>
            <w:r>
              <w:t>_SUFFIX0_&gt;&gt;</w:t>
            </w:r>
          </w:p>
        </w:tc>
      </w:tr>
      <w:tr w:rsidR="005F78FC" w:rsidTr="005F78FC">
        <w:tc>
          <w:tcPr>
            <w:tcW w:w="0" w:type="auto"/>
            <w:vAlign w:val="center"/>
          </w:tcPr>
          <w:p w:rsidR="005F78FC" w:rsidRDefault="00B42EF3">
            <w:pPr>
              <w:pStyle w:val="TableBodyText"/>
            </w:pPr>
            <w:r>
              <w:t>&lt;&lt;_NICK0_&gt;&gt;&lt;&lt;_LAST0_&gt;&gt;&lt;&lt;_SUFFIX0_&gt;&gt;</w:t>
            </w:r>
          </w:p>
        </w:tc>
      </w:tr>
      <w:tr w:rsidR="005F78FC" w:rsidTr="005F78FC">
        <w:tc>
          <w:tcPr>
            <w:tcW w:w="0" w:type="auto"/>
            <w:vAlign w:val="center"/>
          </w:tcPr>
          <w:p w:rsidR="005F78FC" w:rsidRDefault="00B42EF3">
            <w:pPr>
              <w:pStyle w:val="TableBodyText"/>
            </w:pPr>
            <w:r>
              <w:t>&lt;&lt;_FIRST0_&gt;&gt;&lt;&lt;and _FIRST1_&gt;&gt;&lt;&lt;_LAST0_&gt;&gt;</w:t>
            </w:r>
          </w:p>
        </w:tc>
      </w:tr>
      <w:tr w:rsidR="005F78FC" w:rsidTr="005F78FC">
        <w:tc>
          <w:tcPr>
            <w:tcW w:w="0" w:type="auto"/>
            <w:vAlign w:val="center"/>
          </w:tcPr>
          <w:p w:rsidR="005F78FC" w:rsidRDefault="00B42EF3">
            <w:pPr>
              <w:pStyle w:val="TableBodyText"/>
            </w:pPr>
            <w:r>
              <w:t>&lt;&lt;_NICK0_&gt;&gt;&lt;&lt;and _FIRST1_&gt;&gt;&lt;&lt;_LAST0_&gt;&gt;</w:t>
            </w:r>
          </w:p>
        </w:tc>
      </w:tr>
      <w:tr w:rsidR="005F78FC" w:rsidTr="005F78FC">
        <w:tc>
          <w:tcPr>
            <w:tcW w:w="0" w:type="auto"/>
            <w:vAlign w:val="center"/>
          </w:tcPr>
          <w:p w:rsidR="005F78FC" w:rsidRDefault="00B42EF3">
            <w:pPr>
              <w:pStyle w:val="TableBodyText"/>
            </w:pPr>
            <w:r>
              <w:t>&lt;&lt;_FIRST0_&gt;&gt;</w:t>
            </w:r>
          </w:p>
        </w:tc>
      </w:tr>
      <w:tr w:rsidR="005F78FC" w:rsidTr="005F78FC">
        <w:tc>
          <w:tcPr>
            <w:tcW w:w="0" w:type="auto"/>
            <w:vAlign w:val="center"/>
          </w:tcPr>
          <w:p w:rsidR="005F78FC" w:rsidRDefault="00B42EF3">
            <w:pPr>
              <w:pStyle w:val="TableBodyText"/>
            </w:pPr>
            <w:r>
              <w:t>&lt;&lt;_NICK0_&gt;&gt;</w:t>
            </w:r>
          </w:p>
        </w:tc>
      </w:tr>
      <w:tr w:rsidR="005F78FC" w:rsidTr="005F78FC">
        <w:tc>
          <w:tcPr>
            <w:tcW w:w="0" w:type="auto"/>
            <w:vAlign w:val="center"/>
          </w:tcPr>
          <w:p w:rsidR="005F78FC" w:rsidRDefault="00B42EF3">
            <w:pPr>
              <w:pStyle w:val="TableBodyText"/>
            </w:pPr>
            <w:r>
              <w:t>&lt;&lt;_FIRST0_&gt;&gt;&lt;&lt;and _FIRST1_&gt;&gt;</w:t>
            </w:r>
          </w:p>
        </w:tc>
      </w:tr>
      <w:tr w:rsidR="005F78FC" w:rsidTr="005F78FC">
        <w:tc>
          <w:tcPr>
            <w:tcW w:w="0" w:type="auto"/>
            <w:vAlign w:val="center"/>
          </w:tcPr>
          <w:p w:rsidR="005F78FC" w:rsidRDefault="00B42EF3">
            <w:pPr>
              <w:pStyle w:val="TableBodyText"/>
            </w:pPr>
            <w:r>
              <w:t>&lt;&lt;_NICK0_&gt;&gt;&lt;&lt;and _FIRST1_&gt;&gt;</w:t>
            </w:r>
          </w:p>
        </w:tc>
      </w:tr>
      <w:tr w:rsidR="005F78FC" w:rsidTr="005F78FC">
        <w:tc>
          <w:tcPr>
            <w:tcW w:w="0" w:type="auto"/>
            <w:vAlign w:val="center"/>
          </w:tcPr>
          <w:p w:rsidR="005F78FC" w:rsidRDefault="00B42EF3">
            <w:pPr>
              <w:pStyle w:val="TableBodyText"/>
            </w:pPr>
            <w:r>
              <w:t>&lt;&lt;Mr. and Mrs. _LAST0_&gt;&gt;</w:t>
            </w:r>
          </w:p>
        </w:tc>
      </w:tr>
    </w:tbl>
    <w:p w:rsidR="005F78FC" w:rsidRDefault="005F78FC"/>
    <w:p w:rsidR="005F78FC" w:rsidRDefault="00B42EF3">
      <w:r>
        <w:t>The &lt;&lt;</w:t>
      </w:r>
      <w:r>
        <w:t>_BEFORE_ text&gt;&gt; and &lt;&lt;_AFTER_ text&gt;&gt; placeholders may optionally come anywhere within a greeting line format.</w:t>
      </w:r>
    </w:p>
    <w:p w:rsidR="005F78FC" w:rsidRDefault="00B42EF3">
      <w:r>
        <w:t>&lt;&lt; and &gt;&gt; shall be omitted when displaying the greeting line.</w:t>
      </w:r>
    </w:p>
    <w:p w:rsidR="005F78FC" w:rsidRDefault="00B42EF3">
      <w:r>
        <w:t>If any of the placeholders in the greeting line format cannot be resolved, or are em</w:t>
      </w:r>
      <w:r>
        <w:t>pty, the text specified in the /e switch shall be the field result.  If a greeting line format is not one of the possible greeting line formats specified in the preceding table, the text specified in the /e switch shall be the field result.</w:t>
      </w:r>
    </w:p>
    <w:p w:rsidR="005F78FC" w:rsidRDefault="00B42EF3">
      <w:pPr>
        <w:pStyle w:val="Definition-Field"/>
      </w:pPr>
      <w:r>
        <w:t xml:space="preserve">c.   </w:t>
      </w:r>
      <w:r>
        <w:rPr>
          <w:i/>
        </w:rPr>
        <w:t>The standa</w:t>
      </w:r>
      <w:r>
        <w:rPr>
          <w:i/>
        </w:rPr>
        <w:t>rd defines the alternate text switch as \c.</w:t>
      </w:r>
    </w:p>
    <w:p w:rsidR="005F78FC" w:rsidRDefault="00B42EF3">
      <w:pPr>
        <w:pStyle w:val="Definition-Field2"/>
      </w:pPr>
      <w:r>
        <w:lastRenderedPageBreak/>
        <w:t>In Word, the alternate text switch is \e.</w:t>
      </w:r>
    </w:p>
    <w:p w:rsidR="005F78FC" w:rsidRDefault="00B42EF3">
      <w:pPr>
        <w:pStyle w:val="Heading3"/>
      </w:pPr>
      <w:bookmarkStart w:id="974" w:name="section_18b8b8de874c46dda4983ce5335d430a"/>
      <w:bookmarkStart w:id="975" w:name="_Toc69878260"/>
      <w:r>
        <w:t>Part 1 Section 17.16.5.25, HYPERLINK</w:t>
      </w:r>
      <w:bookmarkEnd w:id="974"/>
      <w:bookmarkEnd w:id="975"/>
      <w:r>
        <w:fldChar w:fldCharType="begin"/>
      </w:r>
      <w:r>
        <w:instrText xml:space="preserve"> XE "HYPERLINK" </w:instrText>
      </w:r>
      <w:r>
        <w:fldChar w:fldCharType="end"/>
      </w:r>
    </w:p>
    <w:p w:rsidR="005F78FC" w:rsidRDefault="00B42EF3">
      <w:pPr>
        <w:pStyle w:val="Definition-Field"/>
      </w:pPr>
      <w:r>
        <w:t xml:space="preserve">a.   </w:t>
      </w:r>
      <w:r>
        <w:rPr>
          <w:i/>
        </w:rPr>
        <w:t>The standard does not list \h as a possible switch for the HYPERLINK field.</w:t>
      </w:r>
    </w:p>
    <w:p w:rsidR="005F78FC" w:rsidRDefault="00B42EF3">
      <w:pPr>
        <w:pStyle w:val="Definition-Field2"/>
      </w:pPr>
      <w:r>
        <w:t>In Word, the \h switch for the HYP</w:t>
      </w:r>
      <w:r>
        <w:t>ERLINK field means that when the hyperlink is invoked, the target of the hyperlink should not be added to a list of viewed hyperlinks.</w:t>
      </w:r>
    </w:p>
    <w:p w:rsidR="005F78FC" w:rsidRDefault="00B42EF3">
      <w:pPr>
        <w:pStyle w:val="Definition-Field"/>
      </w:pPr>
      <w:r>
        <w:t xml:space="preserve">b.   </w:t>
      </w:r>
      <w:r>
        <w:rPr>
          <w:i/>
        </w:rPr>
        <w:t>The standard does not list \s as a possible switch for the HYPERLINK field.</w:t>
      </w:r>
    </w:p>
    <w:p w:rsidR="005F78FC" w:rsidRDefault="00B42EF3">
      <w:pPr>
        <w:pStyle w:val="Definition-Field2"/>
      </w:pPr>
      <w:r>
        <w:t>In Word, the \s switch is used for the H</w:t>
      </w:r>
      <w:r>
        <w:t>YPERLINK field with the same meaning as the docLocation attribute of the hyperlink element.</w:t>
      </w:r>
    </w:p>
    <w:p w:rsidR="005F78FC" w:rsidRDefault="00B42EF3">
      <w:pPr>
        <w:pStyle w:val="Heading3"/>
      </w:pPr>
      <w:bookmarkStart w:id="976" w:name="section_e7feed5302724346ac5c26342d8dfdf5"/>
      <w:bookmarkStart w:id="977" w:name="_Toc69878261"/>
      <w:r>
        <w:t>Part 1 Section 17.16.5.26, IF</w:t>
      </w:r>
      <w:bookmarkEnd w:id="976"/>
      <w:bookmarkEnd w:id="977"/>
      <w:r>
        <w:fldChar w:fldCharType="begin"/>
      </w:r>
      <w:r>
        <w:instrText xml:space="preserve"> XE "IF" </w:instrText>
      </w:r>
      <w:r>
        <w:fldChar w:fldCharType="end"/>
      </w:r>
    </w:p>
    <w:p w:rsidR="005F78FC" w:rsidRDefault="00B42EF3">
      <w:pPr>
        <w:pStyle w:val="Definition-Field"/>
      </w:pPr>
      <w:r>
        <w:t xml:space="preserve">a.   </w:t>
      </w:r>
      <w:r>
        <w:rPr>
          <w:i/>
        </w:rPr>
        <w:t>The Standard does not specify the format of comparison.</w:t>
      </w:r>
    </w:p>
    <w:p w:rsidR="005F78FC" w:rsidRDefault="00B42EF3">
      <w:pPr>
        <w:pStyle w:val="Definition-Field2"/>
      </w:pPr>
      <w:r>
        <w:t>Word uses the following rule: comparison =&gt; expression compari</w:t>
      </w:r>
      <w:r>
        <w:t>son-operator expression</w:t>
      </w:r>
    </w:p>
    <w:p w:rsidR="005F78FC" w:rsidRDefault="00B42EF3">
      <w:pPr>
        <w:pStyle w:val="Definition-Field"/>
      </w:pPr>
      <w:r>
        <w:t xml:space="preserve">b.   </w:t>
      </w:r>
      <w:r>
        <w:rPr>
          <w:i/>
        </w:rPr>
        <w:t>The standard states that the left hand expression can contain ? or *  wildcard characters.</w:t>
      </w:r>
    </w:p>
    <w:p w:rsidR="005F78FC" w:rsidRDefault="00B42EF3">
      <w:pPr>
        <w:pStyle w:val="Definition-Field2"/>
      </w:pPr>
      <w:r>
        <w:t>Word supports these characters in the right hand expression only.</w:t>
      </w:r>
    </w:p>
    <w:p w:rsidR="005F78FC" w:rsidRDefault="00B42EF3">
      <w:pPr>
        <w:pStyle w:val="Definition-Field"/>
      </w:pPr>
      <w:r>
        <w:t xml:space="preserve">c.   </w:t>
      </w:r>
      <w:r>
        <w:rPr>
          <w:i/>
        </w:rPr>
        <w:t>The standard does not specify any length restrictions on wildcard</w:t>
      </w:r>
      <w:r>
        <w:rPr>
          <w:i/>
        </w:rPr>
        <w:t xml:space="preserve"> expansion.</w:t>
      </w:r>
    </w:p>
    <w:p w:rsidR="005F78FC" w:rsidRDefault="00B42EF3">
      <w:pPr>
        <w:pStyle w:val="Definition-Field2"/>
      </w:pPr>
      <w:r>
        <w:t>In Word, if an asterisk is used in Expression-2, the portion of Expression-1 that corresponds to the asterisk plus any remaining characters in Expression-2 shall NOT exceed 128 characters.</w:t>
      </w:r>
    </w:p>
    <w:p w:rsidR="005F78FC" w:rsidRDefault="00B42EF3">
      <w:pPr>
        <w:pStyle w:val="Heading3"/>
      </w:pPr>
      <w:bookmarkStart w:id="978" w:name="section_dc700ec9797b4edb9bdf9338fc93d797"/>
      <w:bookmarkStart w:id="979" w:name="_Toc69878262"/>
      <w:r>
        <w:t>Part 1 Section 17.16.5.28, INCLUDETEXT</w:t>
      </w:r>
      <w:bookmarkEnd w:id="978"/>
      <w:bookmarkEnd w:id="979"/>
      <w:r>
        <w:fldChar w:fldCharType="begin"/>
      </w:r>
      <w:r>
        <w:instrText xml:space="preserve"> XE "INCLUDETEXT"</w:instrText>
      </w:r>
      <w:r>
        <w:instrText xml:space="preserve"> </w:instrText>
      </w:r>
      <w:r>
        <w:fldChar w:fldCharType="end"/>
      </w:r>
    </w:p>
    <w:p w:rsidR="005F78FC" w:rsidRDefault="00B42EF3">
      <w:pPr>
        <w:pStyle w:val="Definition-Field"/>
      </w:pPr>
      <w:r>
        <w:t xml:space="preserve">a.   </w:t>
      </w:r>
      <w:r>
        <w:rPr>
          <w:i/>
        </w:rPr>
        <w:t>The standard states the \e and \m switches are valid switches and describes what they should do.</w:t>
      </w:r>
    </w:p>
    <w:p w:rsidR="005F78FC" w:rsidRDefault="00B42EF3">
      <w:pPr>
        <w:pStyle w:val="Definition-Field2"/>
      </w:pPr>
      <w:r>
        <w:t>Word ignores the \e and \m switches.</w:t>
      </w:r>
    </w:p>
    <w:p w:rsidR="005F78FC" w:rsidRDefault="00B42EF3">
      <w:pPr>
        <w:pStyle w:val="Heading3"/>
      </w:pPr>
      <w:bookmarkStart w:id="980" w:name="section_9986087533d546d68d5276e0cdcd5da3"/>
      <w:bookmarkStart w:id="981" w:name="_Toc69878263"/>
      <w:r>
        <w:t>Part 1 Section 17.16.5.29, INDEX</w:t>
      </w:r>
      <w:bookmarkEnd w:id="980"/>
      <w:bookmarkEnd w:id="981"/>
      <w:r>
        <w:fldChar w:fldCharType="begin"/>
      </w:r>
      <w:r>
        <w:instrText xml:space="preserve"> XE "INDEX" </w:instrText>
      </w:r>
      <w:r>
        <w:fldChar w:fldCharType="end"/>
      </w:r>
    </w:p>
    <w:p w:rsidR="005F78FC" w:rsidRDefault="00B42EF3">
      <w:pPr>
        <w:pStyle w:val="Definition-Field"/>
      </w:pPr>
      <w:r>
        <w:t xml:space="preserve">a.   </w:t>
      </w:r>
      <w:r>
        <w:rPr>
          <w:i/>
        </w:rPr>
        <w:t xml:space="preserve">The standard does not list \o as a switch for the INDEX </w:t>
      </w:r>
      <w:r>
        <w:rPr>
          <w:i/>
        </w:rPr>
        <w:t>field.</w:t>
      </w:r>
    </w:p>
    <w:p w:rsidR="005F78FC" w:rsidRDefault="00B42EF3">
      <w:r>
        <w:t>Word adds a \o switch that is used with the INDEX field to specify sort order.  The text in this switch's field-argument specifies the sort order for Chinese, S for sorting by strokes within radicals and P for sorting by pronunciation. By default, s</w:t>
      </w:r>
      <w:r>
        <w:t>orting is by strokes.</w:t>
      </w:r>
    </w:p>
    <w:p w:rsidR="005F78FC" w:rsidRDefault="00B42EF3">
      <w:pPr>
        <w:pStyle w:val="Definition-Field"/>
      </w:pPr>
      <w:r>
        <w:t xml:space="preserve">b.   </w:t>
      </w:r>
      <w:r>
        <w:rPr>
          <w:i/>
        </w:rPr>
        <w:t>The standard says that if the \f switch is omitted, the index will include all entries.</w:t>
      </w:r>
    </w:p>
    <w:p w:rsidR="005F78FC" w:rsidRDefault="00B42EF3">
      <w:pPr>
        <w:pStyle w:val="Definition-Field2"/>
      </w:pPr>
      <w:r>
        <w:t>In Word, if the \f switch is omitted, the index will contain only those entries also lacking \f switches.</w:t>
      </w:r>
    </w:p>
    <w:p w:rsidR="005F78FC" w:rsidRDefault="00B42EF3">
      <w:pPr>
        <w:pStyle w:val="Definition-Field"/>
      </w:pPr>
      <w:r>
        <w:t xml:space="preserve">c.   </w:t>
      </w:r>
      <w:r>
        <w:rPr>
          <w:i/>
        </w:rPr>
        <w:t>The standard does not limit th</w:t>
      </w:r>
      <w:r>
        <w:rPr>
          <w:i/>
        </w:rPr>
        <w:t>e length of the field arguments for switches \d, \e, \g, \k, and \l.</w:t>
      </w:r>
    </w:p>
    <w:p w:rsidR="005F78FC" w:rsidRDefault="00B42EF3">
      <w:pPr>
        <w:pStyle w:val="Definition-Field2"/>
      </w:pPr>
      <w:r>
        <w:t>In Word, the \d, \e, \g, \k, and \l switches are all limited to 15 characters.</w:t>
      </w:r>
    </w:p>
    <w:p w:rsidR="005F78FC" w:rsidRDefault="00B42EF3">
      <w:pPr>
        <w:pStyle w:val="Definition-Field"/>
      </w:pPr>
      <w:r>
        <w:t xml:space="preserve">d.   </w:t>
      </w:r>
      <w:r>
        <w:rPr>
          <w:i/>
        </w:rPr>
        <w:t>The standard states the \z flag is of type ST_Lang, yet has examples showing the \z switch with an argu</w:t>
      </w:r>
      <w:r>
        <w:rPr>
          <w:i/>
        </w:rPr>
        <w:t>ment of 1033.</w:t>
      </w:r>
    </w:p>
    <w:p w:rsidR="005F78FC" w:rsidRDefault="00B42EF3">
      <w:pPr>
        <w:pStyle w:val="Definition-Field2"/>
      </w:pPr>
      <w:r>
        <w:t>Word also supports numeric language ID's for this switch.</w:t>
      </w:r>
    </w:p>
    <w:p w:rsidR="005F78FC" w:rsidRDefault="00B42EF3">
      <w:pPr>
        <w:pStyle w:val="Heading3"/>
      </w:pPr>
      <w:bookmarkStart w:id="982" w:name="section_20e5dd1b37474a47b717c2c69ecc77db"/>
      <w:bookmarkStart w:id="983" w:name="_Toc69878264"/>
      <w:r>
        <w:lastRenderedPageBreak/>
        <w:t>Part 1 Section 17.16.5.30, KEYWORDS</w:t>
      </w:r>
      <w:bookmarkEnd w:id="982"/>
      <w:bookmarkEnd w:id="983"/>
      <w:r>
        <w:fldChar w:fldCharType="begin"/>
      </w:r>
      <w:r>
        <w:instrText xml:space="preserve"> XE "KEYWORDS" </w:instrText>
      </w:r>
      <w:r>
        <w:fldChar w:fldCharType="end"/>
      </w:r>
    </w:p>
    <w:p w:rsidR="005F78FC" w:rsidRDefault="00B42EF3">
      <w:pPr>
        <w:pStyle w:val="Definition-Field"/>
      </w:pPr>
      <w:r>
        <w:t xml:space="preserve">a.   </w:t>
      </w:r>
      <w:r>
        <w:rPr>
          <w:i/>
        </w:rPr>
        <w:t>The standard says the KEYWORD field must have a general-formatting-switch.</w:t>
      </w:r>
    </w:p>
    <w:p w:rsidR="005F78FC" w:rsidRDefault="00B42EF3">
      <w:pPr>
        <w:pStyle w:val="Definition-Field2"/>
      </w:pPr>
      <w:r>
        <w:t>In Word, using a general-formatting switch in a KEY</w:t>
      </w:r>
      <w:r>
        <w:t>WORD field is optional.</w:t>
      </w:r>
    </w:p>
    <w:p w:rsidR="005F78FC" w:rsidRDefault="00B42EF3">
      <w:pPr>
        <w:pStyle w:val="Heading3"/>
      </w:pPr>
      <w:bookmarkStart w:id="984" w:name="section_9bd6ce8277ae4615a46920fd41e88e8c"/>
      <w:bookmarkStart w:id="985" w:name="_Toc69878265"/>
      <w:r>
        <w:t>Part 1 Section 17.16.5.31, LASTSAVEDBY</w:t>
      </w:r>
      <w:bookmarkEnd w:id="984"/>
      <w:bookmarkEnd w:id="985"/>
      <w:r>
        <w:fldChar w:fldCharType="begin"/>
      </w:r>
      <w:r>
        <w:instrText xml:space="preserve"> XE "LASTSAVEDBY" </w:instrText>
      </w:r>
      <w:r>
        <w:fldChar w:fldCharType="end"/>
      </w:r>
    </w:p>
    <w:p w:rsidR="005F78FC" w:rsidRDefault="00B42EF3">
      <w:pPr>
        <w:pStyle w:val="Definition-Field"/>
      </w:pPr>
      <w:r>
        <w:t xml:space="preserve">a.   </w:t>
      </w:r>
      <w:r>
        <w:rPr>
          <w:i/>
        </w:rPr>
        <w:t>The standard says the LASTSAVEDBY field must use a general-formatting-switch.</w:t>
      </w:r>
    </w:p>
    <w:p w:rsidR="005F78FC" w:rsidRDefault="00B42EF3">
      <w:pPr>
        <w:pStyle w:val="Definition-Field2"/>
      </w:pPr>
      <w:r>
        <w:t>In Word using a general-formatting-switch with a LASTSAVEDBY field is optional.</w:t>
      </w:r>
    </w:p>
    <w:p w:rsidR="005F78FC" w:rsidRDefault="00B42EF3">
      <w:pPr>
        <w:pStyle w:val="Heading3"/>
      </w:pPr>
      <w:bookmarkStart w:id="986" w:name="section_9264f074a348415da2243c1576083ffb"/>
      <w:bookmarkStart w:id="987" w:name="_Toc69878266"/>
      <w:r>
        <w:t>Part 1 Sec</w:t>
      </w:r>
      <w:r>
        <w:t>tion 17.16.5.32, LINK</w:t>
      </w:r>
      <w:bookmarkEnd w:id="986"/>
      <w:bookmarkEnd w:id="987"/>
      <w:r>
        <w:fldChar w:fldCharType="begin"/>
      </w:r>
      <w:r>
        <w:instrText xml:space="preserve"> XE "LINK" </w:instrText>
      </w:r>
      <w:r>
        <w:fldChar w:fldCharType="end"/>
      </w:r>
    </w:p>
    <w:p w:rsidR="005F78FC" w:rsidRDefault="00B42EF3">
      <w:pPr>
        <w:pStyle w:val="Definition-Field"/>
      </w:pPr>
      <w:r>
        <w:t xml:space="preserve">a.   </w:t>
      </w:r>
      <w:r>
        <w:rPr>
          <w:i/>
        </w:rPr>
        <w:t>The standard does not explain the format of field-argument-1 of the LINK field.</w:t>
      </w:r>
    </w:p>
    <w:p w:rsidR="005F78FC" w:rsidRDefault="00B42EF3">
      <w:r>
        <w:t xml:space="preserve">Word has a specific format for field-argument-1 of the LINK field. This format specifies an OLE Programmatic Identifier (ProgID).  This </w:t>
      </w:r>
      <w:r>
        <w:t xml:space="preserve">string shall not start with a digit, shall not contain any punctuation (including underscores) other than periods, and shall have a maximum length of 39 characters. </w:t>
      </w:r>
    </w:p>
    <w:p w:rsidR="005F78FC" w:rsidRDefault="00B42EF3">
      <w:r>
        <w:t>The pieces of a ProgID are separated by periods; white space shall not occur within the Pr</w:t>
      </w:r>
      <w:r>
        <w:t>ogID. The typical format of a ProgID is:</w:t>
      </w:r>
    </w:p>
    <w:p w:rsidR="005F78FC" w:rsidRDefault="00B42EF3">
      <w:r>
        <w:t>&lt;Library&gt;.&lt;ComponentName&gt;.&lt;VersionNumber&gt;</w:t>
      </w:r>
    </w:p>
    <w:p w:rsidR="005F78FC" w:rsidRDefault="00B42EF3">
      <w:pPr>
        <w:pStyle w:val="Definition-Field"/>
      </w:pPr>
      <w:r>
        <w:t xml:space="preserve">b.   </w:t>
      </w:r>
      <w:r>
        <w:rPr>
          <w:i/>
        </w:rPr>
        <w:t>The standard says that the LINK field has no field value.</w:t>
      </w:r>
    </w:p>
    <w:p w:rsidR="005F78FC" w:rsidRDefault="00B42EF3">
      <w:pPr>
        <w:pStyle w:val="Definition-Field2"/>
      </w:pPr>
      <w:r>
        <w:t>In Word, the field value of a LINK field is an OLE object representation of the linked file, or the contents o</w:t>
      </w:r>
      <w:r>
        <w:t>f the linked file itself, depending on the switches used.</w:t>
      </w:r>
    </w:p>
    <w:p w:rsidR="005F78FC" w:rsidRDefault="00B42EF3">
      <w:pPr>
        <w:pStyle w:val="Definition-Field"/>
      </w:pPr>
      <w:r>
        <w:t xml:space="preserve">c.   </w:t>
      </w:r>
      <w:r>
        <w:rPr>
          <w:i/>
        </w:rPr>
        <w:t>The standard says the \d switch will prevent the graphic data from being stored with the document.</w:t>
      </w:r>
    </w:p>
    <w:p w:rsidR="005F78FC" w:rsidRDefault="00B42EF3">
      <w:pPr>
        <w:pStyle w:val="Definition-Field2"/>
      </w:pPr>
      <w:r>
        <w:t xml:space="preserve">When saving a document to OOXML, Word stores the graphic data in the file even if the \d </w:t>
      </w:r>
      <w:r>
        <w:t>switch is used.</w:t>
      </w:r>
    </w:p>
    <w:p w:rsidR="005F78FC" w:rsidRDefault="00B42EF3">
      <w:pPr>
        <w:pStyle w:val="Definition-Field"/>
      </w:pPr>
      <w:r>
        <w:t xml:space="preserve">d.   </w:t>
      </w:r>
      <w:r>
        <w:rPr>
          <w:i/>
        </w:rPr>
        <w:t>The standard says the \f switch determines the formatting of the linked object when displayed in the document.</w:t>
      </w:r>
    </w:p>
    <w:p w:rsidR="005F78FC" w:rsidRDefault="00B42EF3">
      <w:pPr>
        <w:pStyle w:val="Definition-Field2"/>
      </w:pPr>
      <w:r>
        <w:t>Word ignores the argument of the \f switch.</w:t>
      </w:r>
    </w:p>
    <w:p w:rsidR="005F78FC" w:rsidRDefault="00B42EF3">
      <w:pPr>
        <w:pStyle w:val="Definition-Field"/>
      </w:pPr>
      <w:r>
        <w:t xml:space="preserve">e.   </w:t>
      </w:r>
      <w:r>
        <w:rPr>
          <w:i/>
        </w:rPr>
        <w:t>The standard does not restrict which field switches can be used with each o</w:t>
      </w:r>
      <w:r>
        <w:rPr>
          <w:i/>
        </w:rPr>
        <w:t>ther, even when their definitions are mutually exclusive.</w:t>
      </w:r>
    </w:p>
    <w:p w:rsidR="005F78FC" w:rsidRDefault="00B42EF3">
      <w:pPr>
        <w:pStyle w:val="Definition-Field2"/>
      </w:pPr>
      <w:r>
        <w:t>If more than one switch is present from the set \b, \h, \p, \r, \t, \d, and \u, Word ignores all but the last one.</w:t>
      </w:r>
    </w:p>
    <w:p w:rsidR="005F78FC" w:rsidRDefault="00B42EF3">
      <w:pPr>
        <w:pStyle w:val="Heading3"/>
      </w:pPr>
      <w:bookmarkStart w:id="988" w:name="section_da16701c070d4425961f496394df6d8a"/>
      <w:bookmarkStart w:id="989" w:name="_Toc69878267"/>
      <w:r>
        <w:t>Part 1 Section 17.16.5.33, LISTNUM</w:t>
      </w:r>
      <w:bookmarkEnd w:id="988"/>
      <w:bookmarkEnd w:id="989"/>
      <w:r>
        <w:fldChar w:fldCharType="begin"/>
      </w:r>
      <w:r>
        <w:instrText xml:space="preserve"> XE "LISTNUM" </w:instrText>
      </w:r>
      <w:r>
        <w:fldChar w:fldCharType="end"/>
      </w:r>
    </w:p>
    <w:p w:rsidR="005F78FC" w:rsidRDefault="00B42EF3">
      <w:pPr>
        <w:pStyle w:val="Definition-Field"/>
      </w:pPr>
      <w:r>
        <w:t xml:space="preserve">a.   </w:t>
      </w:r>
      <w:r>
        <w:rPr>
          <w:i/>
        </w:rPr>
        <w:t>The standard says that If t</w:t>
      </w:r>
      <w:r>
        <w:rPr>
          <w:i/>
        </w:rPr>
        <w:t>he \l switch is omitted for a new series, the default value is 3.</w:t>
      </w:r>
    </w:p>
    <w:p w:rsidR="005F78FC" w:rsidRDefault="00B42EF3">
      <w:pPr>
        <w:pStyle w:val="Definition-Field2"/>
      </w:pPr>
      <w:r>
        <w:t>In Word, if the \l switch is omitted for a new series, the default value depends on the ilvl of the paragraph.</w:t>
      </w:r>
    </w:p>
    <w:p w:rsidR="005F78FC" w:rsidRDefault="00B42EF3">
      <w:pPr>
        <w:pStyle w:val="Definition-Field"/>
      </w:pPr>
      <w:r>
        <w:t xml:space="preserve">b.   </w:t>
      </w:r>
      <w:r>
        <w:rPr>
          <w:i/>
        </w:rPr>
        <w:t>The standard allows the LISTNUM to be nested inside another field.</w:t>
      </w:r>
    </w:p>
    <w:p w:rsidR="005F78FC" w:rsidRDefault="00B42EF3">
      <w:pPr>
        <w:pStyle w:val="Definition-Field2"/>
      </w:pPr>
      <w:r>
        <w:t>In Word</w:t>
      </w:r>
      <w:r>
        <w:t>, the LISTNUM field is ignored if nested inside another field.</w:t>
      </w:r>
    </w:p>
    <w:p w:rsidR="005F78FC" w:rsidRDefault="00B42EF3">
      <w:pPr>
        <w:pStyle w:val="Definition-Field"/>
      </w:pPr>
      <w:r>
        <w:lastRenderedPageBreak/>
        <w:t xml:space="preserve">c.   </w:t>
      </w:r>
      <w:r>
        <w:rPr>
          <w:i/>
        </w:rPr>
        <w:t>The standard does not specify the behavior in the event that no previous numbered paragraph or LISTNUM is present in the document.</w:t>
      </w:r>
    </w:p>
    <w:p w:rsidR="005F78FC" w:rsidRDefault="00B42EF3">
      <w:pPr>
        <w:pStyle w:val="Definition-Field2"/>
      </w:pPr>
      <w:r>
        <w:t>Word uses the NumberDefault sequence by default.</w:t>
      </w:r>
    </w:p>
    <w:p w:rsidR="005F78FC" w:rsidRDefault="00B42EF3">
      <w:pPr>
        <w:pStyle w:val="Heading3"/>
      </w:pPr>
      <w:bookmarkStart w:id="990" w:name="section_d5aea26dd1a440c8abb93040566385fd"/>
      <w:bookmarkStart w:id="991" w:name="_Toc69878268"/>
      <w:r>
        <w:t>Part 1 Section 17.16.5.34, MACROBUTTON</w:t>
      </w:r>
      <w:bookmarkEnd w:id="990"/>
      <w:bookmarkEnd w:id="991"/>
      <w:r>
        <w:fldChar w:fldCharType="begin"/>
      </w:r>
      <w:r>
        <w:instrText xml:space="preserve"> XE "MACROBUTTON" </w:instrText>
      </w:r>
      <w:r>
        <w:fldChar w:fldCharType="end"/>
      </w:r>
    </w:p>
    <w:p w:rsidR="005F78FC" w:rsidRDefault="00B42EF3">
      <w:pPr>
        <w:pStyle w:val="Definition-Field"/>
      </w:pPr>
      <w:r>
        <w:t xml:space="preserve">a.   </w:t>
      </w:r>
      <w:r>
        <w:rPr>
          <w:i/>
        </w:rPr>
        <w:t>The standard allows the MACROBUTTON field to be nested inside another field.</w:t>
      </w:r>
    </w:p>
    <w:p w:rsidR="005F78FC" w:rsidRDefault="00B42EF3">
      <w:pPr>
        <w:pStyle w:val="Definition-Field2"/>
      </w:pPr>
      <w:r>
        <w:t>In Word, if the MACROBUTTON field is nested inside another field, no result is displayed.</w:t>
      </w:r>
    </w:p>
    <w:p w:rsidR="005F78FC" w:rsidRDefault="00B42EF3">
      <w:pPr>
        <w:pStyle w:val="Heading3"/>
      </w:pPr>
      <w:bookmarkStart w:id="992" w:name="section_bbe3b9853afb4e7bbf46585f77f5da21"/>
      <w:bookmarkStart w:id="993" w:name="_Toc69878269"/>
      <w:r>
        <w:t>Part 1 Section 17.16.5.35</w:t>
      </w:r>
      <w:r>
        <w:t>, MERGEFIELD</w:t>
      </w:r>
      <w:bookmarkEnd w:id="992"/>
      <w:bookmarkEnd w:id="993"/>
      <w:r>
        <w:fldChar w:fldCharType="begin"/>
      </w:r>
      <w:r>
        <w:instrText xml:space="preserve"> XE "MERGEFIELD" </w:instrText>
      </w:r>
      <w:r>
        <w:fldChar w:fldCharType="end"/>
      </w:r>
    </w:p>
    <w:p w:rsidR="005F78FC" w:rsidRDefault="00B42EF3">
      <w:pPr>
        <w:pStyle w:val="Definition-Field"/>
      </w:pPr>
      <w:r>
        <w:t xml:space="preserve">a.   </w:t>
      </w:r>
      <w:r>
        <w:rPr>
          <w:i/>
        </w:rPr>
        <w:t>The standard specifies that the \m switch means the MERGEFIELD field is a mapped field.</w:t>
      </w:r>
    </w:p>
    <w:p w:rsidR="005F78FC" w:rsidRDefault="00B42EF3">
      <w:pPr>
        <w:pStyle w:val="Definition-Field2"/>
      </w:pPr>
      <w:r>
        <w:t>In Word, the \m switch in the MERGEFIELD means the text in field-argument specifies the mappedName of a fieldMapData element.</w:t>
      </w:r>
    </w:p>
    <w:p w:rsidR="005F78FC" w:rsidRDefault="00B42EF3">
      <w:pPr>
        <w:pStyle w:val="Heading3"/>
      </w:pPr>
      <w:bookmarkStart w:id="994" w:name="section_1a3c2c96a9914239a39bdcfe05dd6b7c"/>
      <w:bookmarkStart w:id="995" w:name="_Toc69878270"/>
      <w:r>
        <w:t xml:space="preserve">Part </w:t>
      </w:r>
      <w:r>
        <w:t>1 Section 17.16.5.39, NEXTIF</w:t>
      </w:r>
      <w:bookmarkEnd w:id="994"/>
      <w:bookmarkEnd w:id="995"/>
      <w:r>
        <w:fldChar w:fldCharType="begin"/>
      </w:r>
      <w:r>
        <w:instrText xml:space="preserve"> XE "NEXTIF" </w:instrText>
      </w:r>
      <w:r>
        <w:fldChar w:fldCharType="end"/>
      </w:r>
    </w:p>
    <w:p w:rsidR="005F78FC" w:rsidRDefault="00B42EF3">
      <w:pPr>
        <w:pStyle w:val="Definition-Field"/>
      </w:pPr>
      <w:r>
        <w:t xml:space="preserve">a.   </w:t>
      </w:r>
      <w:r>
        <w:rPr>
          <w:i/>
        </w:rPr>
        <w:t>The standards states that the expression shall be enclosed in quotation marks.</w:t>
      </w:r>
    </w:p>
    <w:p w:rsidR="005F78FC" w:rsidRDefault="00B42EF3">
      <w:pPr>
        <w:pStyle w:val="Definition-Field2"/>
      </w:pPr>
      <w:r>
        <w:t>Word does not require the expression to be enclosed in quotation marks.</w:t>
      </w:r>
    </w:p>
    <w:p w:rsidR="005F78FC" w:rsidRDefault="00B42EF3">
      <w:pPr>
        <w:pStyle w:val="Definition-Field"/>
      </w:pPr>
      <w:r>
        <w:t xml:space="preserve">b.   </w:t>
      </w:r>
      <w:r>
        <w:rPr>
          <w:i/>
        </w:rPr>
        <w:t>The Standard does not specify the format of compari</w:t>
      </w:r>
      <w:r>
        <w:rPr>
          <w:i/>
        </w:rPr>
        <w:t>son.</w:t>
      </w:r>
    </w:p>
    <w:p w:rsidR="005F78FC" w:rsidRDefault="00B42EF3">
      <w:pPr>
        <w:pStyle w:val="Definition-Field2"/>
      </w:pPr>
      <w:r>
        <w:t>Word uses the following rule: comparison =&gt; expression comparison-operator expression.</w:t>
      </w:r>
    </w:p>
    <w:p w:rsidR="005F78FC" w:rsidRDefault="00B42EF3">
      <w:pPr>
        <w:pStyle w:val="Definition-Field"/>
      </w:pPr>
      <w:r>
        <w:t xml:space="preserve">c.   </w:t>
      </w:r>
      <w:r>
        <w:rPr>
          <w:i/>
        </w:rPr>
        <w:t>The standard does not specify any length restrictions on wildcards expansions.</w:t>
      </w:r>
    </w:p>
    <w:p w:rsidR="005F78FC" w:rsidRDefault="00B42EF3">
      <w:pPr>
        <w:pStyle w:val="Definition-Field2"/>
      </w:pPr>
      <w:r>
        <w:t>In Word, if an asterisk is used in Expression-2, the portion of Expression-1 tha</w:t>
      </w:r>
      <w:r>
        <w:t>t corresponds to the asterisk plus any remaining characters in Expression-2 shall NOT exceed 128 characters.</w:t>
      </w:r>
    </w:p>
    <w:p w:rsidR="005F78FC" w:rsidRDefault="00B42EF3">
      <w:pPr>
        <w:pStyle w:val="Heading3"/>
      </w:pPr>
      <w:bookmarkStart w:id="996" w:name="section_13f129e31cac476787c074c302db67fa"/>
      <w:bookmarkStart w:id="997" w:name="_Toc69878271"/>
      <w:r>
        <w:t>Part 1 Section 17.16.5.40, NOTEREF</w:t>
      </w:r>
      <w:bookmarkEnd w:id="996"/>
      <w:bookmarkEnd w:id="997"/>
      <w:r>
        <w:fldChar w:fldCharType="begin"/>
      </w:r>
      <w:r>
        <w:instrText xml:space="preserve"> XE "NOTEREF" </w:instrText>
      </w:r>
      <w:r>
        <w:fldChar w:fldCharType="end"/>
      </w:r>
    </w:p>
    <w:p w:rsidR="005F78FC" w:rsidRDefault="00B42EF3">
      <w:pPr>
        <w:pStyle w:val="Definition-Field"/>
      </w:pPr>
      <w:r>
        <w:t xml:space="preserve">a.   </w:t>
      </w:r>
      <w:r>
        <w:rPr>
          <w:i/>
        </w:rPr>
        <w:t xml:space="preserve">The standard says the /p switch causes the NOTEREF field value to include the string below </w:t>
      </w:r>
      <w:r>
        <w:rPr>
          <w:i/>
        </w:rPr>
        <w:t>or above.</w:t>
      </w:r>
    </w:p>
    <w:p w:rsidR="005F78FC" w:rsidRDefault="00B42EF3">
      <w:pPr>
        <w:pStyle w:val="Definition-Field2"/>
      </w:pPr>
      <w:r>
        <w:t>In Word, the /p switch causes the NOTEREF field value to include a localized version of the strings below or above.</w:t>
      </w:r>
    </w:p>
    <w:p w:rsidR="005F78FC" w:rsidRDefault="00B42EF3">
      <w:pPr>
        <w:pStyle w:val="Heading3"/>
      </w:pPr>
      <w:bookmarkStart w:id="998" w:name="section_defcfd84de2646f39ddb581dd08473a5"/>
      <w:bookmarkStart w:id="999" w:name="_Toc69878272"/>
      <w:r>
        <w:t>Part 1 Section 17.16.5.42 NUMPAGES</w:t>
      </w:r>
      <w:bookmarkEnd w:id="998"/>
      <w:bookmarkEnd w:id="999"/>
    </w:p>
    <w:p w:rsidR="005F78FC" w:rsidRDefault="00B42EF3">
      <w:pPr>
        <w:pStyle w:val="Definition-Field"/>
      </w:pPr>
      <w:r>
        <w:t xml:space="preserve">a.   </w:t>
      </w:r>
      <w:r>
        <w:rPr>
          <w:i/>
        </w:rPr>
        <w:t xml:space="preserve">The standard states NUMPAGES retrieves the number of pages in the current document, as </w:t>
      </w:r>
      <w:r>
        <w:rPr>
          <w:i/>
        </w:rPr>
        <w:t>recorded in the Pages element of the Application-Defined File Properties part.</w:t>
      </w:r>
    </w:p>
    <w:p w:rsidR="005F78FC" w:rsidRDefault="00B42EF3">
      <w:pPr>
        <w:pStyle w:val="Definition-Field2"/>
      </w:pPr>
      <w:r>
        <w:t>Word uses the value stored in the Pages element of the File Properties part ("</w:t>
      </w:r>
      <w:hyperlink r:id="rId110">
        <w:r>
          <w:rPr>
            <w:rStyle w:val="Hyperlink"/>
          </w:rPr>
          <w:t>[ISO/IEC-29500-1]</w:t>
        </w:r>
      </w:hyperlink>
      <w:r>
        <w:t xml:space="preserve"> §15.2.12.3"). I</w:t>
      </w:r>
      <w:r>
        <w:t>f the first section definition in the document includes a titlePg element ("[ISO/IEC-29500-1] §17.10.6; titlePg") and a pgNumType ("[ISO/IEC-29500-1] §17.6.12; pgNumType") element with a “start” attribute with a value of “0”, then Word will adjust the numb</w:t>
      </w:r>
      <w:r>
        <w:t>er of pages for the title page by subtracting 1 from the value of the Pages element.</w:t>
      </w:r>
    </w:p>
    <w:p w:rsidR="005F78FC" w:rsidRDefault="00B42EF3">
      <w:pPr>
        <w:pStyle w:val="Heading3"/>
      </w:pPr>
      <w:bookmarkStart w:id="1000" w:name="section_819d2fe99c1445e5a35321c13c2ff1f4"/>
      <w:bookmarkStart w:id="1001" w:name="_Toc69878273"/>
      <w:r>
        <w:t>Part 1 Section 17.16.5.45, PAGEREF</w:t>
      </w:r>
      <w:bookmarkEnd w:id="1000"/>
      <w:bookmarkEnd w:id="1001"/>
      <w:r>
        <w:fldChar w:fldCharType="begin"/>
      </w:r>
      <w:r>
        <w:instrText xml:space="preserve"> XE "PAGEREF" </w:instrText>
      </w:r>
      <w:r>
        <w:fldChar w:fldCharType="end"/>
      </w:r>
    </w:p>
    <w:p w:rsidR="005F78FC" w:rsidRDefault="00B42EF3">
      <w:pPr>
        <w:pStyle w:val="Definition-Field"/>
      </w:pPr>
      <w:r>
        <w:t xml:space="preserve">a.   </w:t>
      </w:r>
      <w:r>
        <w:rPr>
          <w:i/>
        </w:rPr>
        <w:t>The standard says the value of the PAGEREF field may contain the strings above, below, and "on page #".</w:t>
      </w:r>
    </w:p>
    <w:p w:rsidR="005F78FC" w:rsidRDefault="00B42EF3">
      <w:pPr>
        <w:pStyle w:val="Definition-Field2"/>
      </w:pPr>
      <w:r>
        <w:lastRenderedPageBreak/>
        <w:t>In Word, th</w:t>
      </w:r>
      <w:r>
        <w:t>e value of the PAGEREF field contains versions of the strings above, below, and "on page #" that are translated depending on the language of the text in the document and the language of the current application UI.</w:t>
      </w:r>
    </w:p>
    <w:p w:rsidR="005F78FC" w:rsidRDefault="00B42EF3">
      <w:pPr>
        <w:pStyle w:val="Heading3"/>
      </w:pPr>
      <w:bookmarkStart w:id="1002" w:name="section_b42eda12a66849169fd22fc2deda2359"/>
      <w:bookmarkStart w:id="1003" w:name="_Toc69878274"/>
      <w:r>
        <w:t>Part 1 Section 17.16.5.46, PRINT</w:t>
      </w:r>
      <w:bookmarkEnd w:id="1002"/>
      <w:bookmarkEnd w:id="1003"/>
      <w:r>
        <w:fldChar w:fldCharType="begin"/>
      </w:r>
      <w:r>
        <w:instrText xml:space="preserve"> XE "PRINT</w:instrText>
      </w:r>
      <w:r>
        <w:instrText xml:space="preserve">" </w:instrText>
      </w:r>
      <w:r>
        <w:fldChar w:fldCharType="end"/>
      </w:r>
    </w:p>
    <w:p w:rsidR="005F78FC" w:rsidRDefault="00B42EF3">
      <w:pPr>
        <w:pStyle w:val="Definition-Field"/>
      </w:pPr>
      <w:r>
        <w:t xml:space="preserve">a.   </w:t>
      </w:r>
      <w:r>
        <w:rPr>
          <w:i/>
        </w:rPr>
        <w:t>The standard does not specify how field argument 1 defines the drawing rectangle.</w:t>
      </w:r>
    </w:p>
    <w:p w:rsidR="005F78FC" w:rsidRDefault="00B42EF3">
      <w:r>
        <w:t>In Word, text in this switch's field-argument-1 defines the drawing rectangle on which the subsequent PostScript instructions operate.  It can be any of the keyword</w:t>
      </w:r>
      <w:r>
        <w:t>s from the following table.</w:t>
      </w:r>
    </w:p>
    <w:tbl>
      <w:tblPr>
        <w:tblStyle w:val="Table-ShadedHeader"/>
        <w:tblW w:w="0" w:type="auto"/>
        <w:tblLook w:val="04A0" w:firstRow="1" w:lastRow="0" w:firstColumn="1" w:lastColumn="0" w:noHBand="0" w:noVBand="1"/>
      </w:tblPr>
      <w:tblGrid>
        <w:gridCol w:w="1022"/>
        <w:gridCol w:w="8453"/>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Keyword</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rPr>
                <w:rStyle w:val="InlineCode"/>
              </w:rPr>
              <w:t>cell</w:t>
            </w:r>
          </w:p>
        </w:tc>
        <w:tc>
          <w:tcPr>
            <w:tcW w:w="0" w:type="auto"/>
            <w:vAlign w:val="center"/>
          </w:tcPr>
          <w:p w:rsidR="005F78FC" w:rsidRDefault="00B42EF3">
            <w:pPr>
              <w:pStyle w:val="TableBodyText"/>
            </w:pPr>
            <w:r>
              <w:t>Sets the bounding box to equal the size of a one-line cell with the width of the current cell. The bounding box’s upper-left corner will be placed by default at the upper-left corner of the current page</w:t>
            </w:r>
            <w:r>
              <w:t>. The bounding box will be offset to the right by the location of the current column, and offset down by the amount of prior text in the current cell.</w:t>
            </w:r>
          </w:p>
          <w:p w:rsidR="005F78FC" w:rsidRDefault="00B42EF3">
            <w:pPr>
              <w:pStyle w:val="TableBodyText"/>
            </w:pPr>
            <w:r>
              <w:t>In Word, the bounding box will be offset to the right by the location of the current column minus the wid</w:t>
            </w:r>
            <w:r>
              <w:t>th of the left border, and offset down by the amount of prior text in the current cell minus the width of the top border.</w:t>
            </w:r>
          </w:p>
        </w:tc>
      </w:tr>
      <w:tr w:rsidR="005F78FC" w:rsidTr="005F78FC">
        <w:tc>
          <w:tcPr>
            <w:tcW w:w="0" w:type="auto"/>
            <w:vAlign w:val="center"/>
          </w:tcPr>
          <w:p w:rsidR="005F78FC" w:rsidRDefault="00B42EF3">
            <w:pPr>
              <w:pStyle w:val="TableBodyText"/>
            </w:pPr>
            <w:r>
              <w:rPr>
                <w:rStyle w:val="InlineCode"/>
              </w:rPr>
              <w:t>page</w:t>
            </w:r>
          </w:p>
        </w:tc>
        <w:tc>
          <w:tcPr>
            <w:tcW w:w="0" w:type="auto"/>
            <w:vAlign w:val="center"/>
          </w:tcPr>
          <w:p w:rsidR="005F78FC" w:rsidRDefault="00B42EF3">
            <w:pPr>
              <w:pStyle w:val="TableBodyText"/>
            </w:pPr>
            <w:r>
              <w:t>Sets the bounding box to be equal to the current page.</w:t>
            </w:r>
          </w:p>
        </w:tc>
      </w:tr>
      <w:tr w:rsidR="005F78FC" w:rsidTr="005F78FC">
        <w:tc>
          <w:tcPr>
            <w:tcW w:w="0" w:type="auto"/>
            <w:vAlign w:val="center"/>
          </w:tcPr>
          <w:p w:rsidR="005F78FC" w:rsidRDefault="00B42EF3">
            <w:pPr>
              <w:pStyle w:val="TableBodyText"/>
            </w:pPr>
            <w:r>
              <w:rPr>
                <w:rStyle w:val="InlineCode"/>
              </w:rPr>
              <w:t>para</w:t>
            </w:r>
          </w:p>
        </w:tc>
        <w:tc>
          <w:tcPr>
            <w:tcW w:w="0" w:type="auto"/>
            <w:vAlign w:val="center"/>
          </w:tcPr>
          <w:p w:rsidR="005F78FC" w:rsidRDefault="00B42EF3">
            <w:pPr>
              <w:pStyle w:val="TableBodyText"/>
            </w:pPr>
            <w:r>
              <w:t>Sets the bounding box to be equal to the current paragraph.</w:t>
            </w:r>
          </w:p>
        </w:tc>
      </w:tr>
      <w:tr w:rsidR="005F78FC" w:rsidTr="005F78FC">
        <w:tc>
          <w:tcPr>
            <w:tcW w:w="0" w:type="auto"/>
            <w:vAlign w:val="center"/>
          </w:tcPr>
          <w:p w:rsidR="005F78FC" w:rsidRDefault="00B42EF3">
            <w:pPr>
              <w:pStyle w:val="TableBodyText"/>
            </w:pPr>
            <w:r>
              <w:rPr>
                <w:rStyle w:val="InlineCode"/>
              </w:rPr>
              <w:t>pic</w:t>
            </w:r>
          </w:p>
        </w:tc>
        <w:tc>
          <w:tcPr>
            <w:tcW w:w="0" w:type="auto"/>
            <w:vAlign w:val="center"/>
          </w:tcPr>
          <w:p w:rsidR="005F78FC" w:rsidRDefault="00B42EF3">
            <w:pPr>
              <w:pStyle w:val="TableBodyText"/>
            </w:pPr>
            <w:r>
              <w:t>Sets the bounding box to be equal to the next picture in the current paragraph.</w:t>
            </w:r>
          </w:p>
          <w:p w:rsidR="005F78FC" w:rsidRDefault="00B42EF3">
            <w:pPr>
              <w:pStyle w:val="TableBodyText"/>
            </w:pPr>
            <w:r>
              <w:t>Word will only recognize a picture described using VML when using this option.</w:t>
            </w:r>
          </w:p>
        </w:tc>
      </w:tr>
      <w:tr w:rsidR="005F78FC" w:rsidTr="005F78FC">
        <w:tc>
          <w:tcPr>
            <w:tcW w:w="0" w:type="auto"/>
            <w:vAlign w:val="center"/>
          </w:tcPr>
          <w:p w:rsidR="005F78FC" w:rsidRDefault="00B42EF3">
            <w:pPr>
              <w:pStyle w:val="TableBodyText"/>
            </w:pPr>
            <w:r>
              <w:rPr>
                <w:rStyle w:val="InlineCode"/>
              </w:rPr>
              <w:t>row</w:t>
            </w:r>
          </w:p>
        </w:tc>
        <w:tc>
          <w:tcPr>
            <w:tcW w:w="0" w:type="auto"/>
            <w:vAlign w:val="center"/>
          </w:tcPr>
          <w:p w:rsidR="005F78FC" w:rsidRDefault="00B42EF3">
            <w:pPr>
              <w:pStyle w:val="TableBodyText"/>
            </w:pPr>
            <w:r>
              <w:t>Sets the bounding box to equal the size of a one-line row in the current table. The bounding</w:t>
            </w:r>
            <w:r>
              <w:t xml:space="preserve"> box’s upper-left corner will be placed by default at the upper-left corner of the current page. The bounding box will be offset to the right by the location of the current row, and offset down by the amount of prior text in the current cell.</w:t>
            </w:r>
          </w:p>
          <w:p w:rsidR="005F78FC" w:rsidRDefault="00B42EF3">
            <w:pPr>
              <w:pStyle w:val="TableBodyText"/>
            </w:pPr>
            <w:r>
              <w:t xml:space="preserve">In Word, the </w:t>
            </w:r>
            <w:r>
              <w:t>bounding box will not be offset to the right, and offset down by the amount of prior text in the current cell minus the width of the top border.</w:t>
            </w:r>
          </w:p>
        </w:tc>
      </w:tr>
    </w:tbl>
    <w:p w:rsidR="005F78FC" w:rsidRDefault="005F78FC"/>
    <w:p w:rsidR="005F78FC" w:rsidRDefault="00B42EF3">
      <w:pPr>
        <w:pStyle w:val="Definition-Field"/>
      </w:pPr>
      <w:r>
        <w:t xml:space="preserve">b.   </w:t>
      </w:r>
      <w:r>
        <w:rPr>
          <w:i/>
        </w:rPr>
        <w:t>The standard says that /p is an optional switch for the PRINT field.</w:t>
      </w:r>
    </w:p>
    <w:p w:rsidR="005F78FC" w:rsidRDefault="00B42EF3">
      <w:pPr>
        <w:pStyle w:val="Definition-Field2"/>
      </w:pPr>
      <w:r>
        <w:t xml:space="preserve">In Word, the /p switch is required </w:t>
      </w:r>
      <w:r>
        <w:t>for the PRINT field.</w:t>
      </w:r>
    </w:p>
    <w:p w:rsidR="005F78FC" w:rsidRDefault="00B42EF3">
      <w:pPr>
        <w:pStyle w:val="Definition-Field"/>
      </w:pPr>
      <w:r>
        <w:t xml:space="preserve">c.   </w:t>
      </w:r>
      <w:r>
        <w:rPr>
          <w:i/>
        </w:rPr>
        <w:t>The standard does not specify any relationship between the PRINT field and the usePrinterMetrics compatibility option.</w:t>
      </w:r>
    </w:p>
    <w:p w:rsidR="005F78FC" w:rsidRDefault="00B42EF3">
      <w:pPr>
        <w:pStyle w:val="Definition-Field2"/>
      </w:pPr>
      <w:r>
        <w:t>Word does not carry out the behavior specified by the PRINT field unless the usePrinterMetrics compatibility op</w:t>
      </w:r>
      <w:r>
        <w:t>tion is on.</w:t>
      </w:r>
    </w:p>
    <w:p w:rsidR="005F78FC" w:rsidRDefault="00B42EF3">
      <w:pPr>
        <w:pStyle w:val="Definition-Field"/>
      </w:pPr>
      <w:r>
        <w:t xml:space="preserve">d.   </w:t>
      </w:r>
      <w:r>
        <w:rPr>
          <w:i/>
        </w:rPr>
        <w:t>The standard allows the PRINT field to be nested inside another field.</w:t>
      </w:r>
    </w:p>
    <w:p w:rsidR="005F78FC" w:rsidRDefault="00B42EF3">
      <w:pPr>
        <w:pStyle w:val="Definition-Field2"/>
      </w:pPr>
      <w:r>
        <w:t>Word will not carry out the behavior specified by the PRINT field is it is nested inside another field.</w:t>
      </w:r>
    </w:p>
    <w:p w:rsidR="005F78FC" w:rsidRDefault="00B42EF3">
      <w:pPr>
        <w:pStyle w:val="Heading3"/>
      </w:pPr>
      <w:bookmarkStart w:id="1004" w:name="section_5f6bf1e3a9cf46c69ad63d8bcdb21a92"/>
      <w:bookmarkStart w:id="1005" w:name="_Toc69878275"/>
      <w:r>
        <w:t>Part 1 Section 17.16.5.47, PRINTDATE</w:t>
      </w:r>
      <w:bookmarkEnd w:id="1004"/>
      <w:bookmarkEnd w:id="1005"/>
      <w:r>
        <w:fldChar w:fldCharType="begin"/>
      </w:r>
      <w:r>
        <w:instrText xml:space="preserve"> XE "PRINTDATE" </w:instrText>
      </w:r>
      <w:r>
        <w:fldChar w:fldCharType="end"/>
      </w:r>
    </w:p>
    <w:p w:rsidR="005F78FC" w:rsidRDefault="00B42EF3">
      <w:pPr>
        <w:pStyle w:val="Definition-Field"/>
      </w:pPr>
      <w:r>
        <w:t xml:space="preserve">a.   </w:t>
      </w:r>
      <w:r>
        <w:rPr>
          <w:i/>
        </w:rPr>
        <w:t xml:space="preserve">The </w:t>
      </w:r>
      <w:r>
        <w:rPr>
          <w:i/>
        </w:rPr>
        <w:t>standard says the Gregorian calendar is used by default.</w:t>
      </w:r>
    </w:p>
    <w:p w:rsidR="005F78FC" w:rsidRDefault="00B42EF3">
      <w:pPr>
        <w:pStyle w:val="Definition-Field2"/>
      </w:pPr>
      <w:r>
        <w:t>In Word, the default calendar depends on the locale.</w:t>
      </w:r>
    </w:p>
    <w:p w:rsidR="005F78FC" w:rsidRDefault="00B42EF3">
      <w:pPr>
        <w:pStyle w:val="Heading3"/>
      </w:pPr>
      <w:bookmarkStart w:id="1006" w:name="section_f4b4975ae97c41cd8461fe1b08714aaa"/>
      <w:bookmarkStart w:id="1007" w:name="_Toc69878276"/>
      <w:r>
        <w:lastRenderedPageBreak/>
        <w:t>Part 1 Section 17.16.5.49, QUOTE</w:t>
      </w:r>
      <w:bookmarkEnd w:id="1006"/>
      <w:bookmarkEnd w:id="1007"/>
      <w:r>
        <w:fldChar w:fldCharType="begin"/>
      </w:r>
      <w:r>
        <w:instrText xml:space="preserve"> XE "QUOTE" </w:instrText>
      </w:r>
      <w:r>
        <w:fldChar w:fldCharType="end"/>
      </w:r>
    </w:p>
    <w:p w:rsidR="005F78FC" w:rsidRDefault="00B42EF3">
      <w:pPr>
        <w:pStyle w:val="Definition-Field"/>
      </w:pPr>
      <w:r>
        <w:t xml:space="preserve">a.   </w:t>
      </w:r>
      <w:r>
        <w:rPr>
          <w:i/>
        </w:rPr>
        <w:t xml:space="preserve">The standard lists date-and-time-formatting switches twice in the list of switches allowed in </w:t>
      </w:r>
      <w:r>
        <w:rPr>
          <w:i/>
        </w:rPr>
        <w:t>a QUOTE field and leaves out numeric-formatting-switches.</w:t>
      </w:r>
    </w:p>
    <w:p w:rsidR="005F78FC" w:rsidRDefault="00B42EF3">
      <w:pPr>
        <w:pStyle w:val="Definition-Field2"/>
      </w:pPr>
      <w:r>
        <w:t>In Word, the list of allowable switches in a QUOTE field includes numeric-formatting-switches.</w:t>
      </w:r>
    </w:p>
    <w:p w:rsidR="005F78FC" w:rsidRDefault="00B42EF3">
      <w:pPr>
        <w:pStyle w:val="Definition-Field"/>
      </w:pPr>
      <w:r>
        <w:t xml:space="preserve">b.   </w:t>
      </w:r>
      <w:r>
        <w:rPr>
          <w:i/>
        </w:rPr>
        <w:t xml:space="preserve">The standard specifies the field value of the QUOTE field as the text in the field argument </w:t>
      </w:r>
      <w:r>
        <w:rPr>
          <w:i/>
        </w:rPr>
        <w:t>without any transformation.</w:t>
      </w:r>
    </w:p>
    <w:p w:rsidR="005F78FC" w:rsidRDefault="00B42EF3">
      <w:r>
        <w:t xml:space="preserve">In Word, the text specified by </w:t>
      </w:r>
      <w:r>
        <w:rPr>
          <w:i/>
        </w:rPr>
        <w:t>text</w:t>
      </w:r>
      <w:r>
        <w:t xml:space="preserve"> in </w:t>
      </w:r>
      <w:r>
        <w:rPr>
          <w:i/>
        </w:rPr>
        <w:t>field-argument</w:t>
      </w:r>
      <w:r>
        <w:t xml:space="preserve"> may specify a character whose code point value is specified in decimal or hexadecimal.  Up to three digits shall be used to specify a character using decimal numbers.  Up to </w:t>
      </w:r>
      <w:r>
        <w:t>four digits shall be used to specify a character using hexadecimal (leading 0x or 0X). Word does not allow insertion of the code point 13 as a character.</w:t>
      </w:r>
    </w:p>
    <w:p w:rsidR="005F78FC" w:rsidRDefault="00B42EF3">
      <w:pPr>
        <w:pStyle w:val="Definition-Field"/>
      </w:pPr>
      <w:r>
        <w:t xml:space="preserve">c.   </w:t>
      </w:r>
      <w:r>
        <w:rPr>
          <w:i/>
        </w:rPr>
        <w:t>The standard says that a QUOTE field must contain at least one switch.</w:t>
      </w:r>
    </w:p>
    <w:p w:rsidR="005F78FC" w:rsidRDefault="00B42EF3">
      <w:pPr>
        <w:pStyle w:val="Definition-Field2"/>
      </w:pPr>
      <w:r>
        <w:t>In Word, including a switc</w:t>
      </w:r>
      <w:r>
        <w:t>h in the QUOTE field is optional.</w:t>
      </w:r>
    </w:p>
    <w:p w:rsidR="005F78FC" w:rsidRDefault="00B42EF3">
      <w:pPr>
        <w:pStyle w:val="Heading3"/>
      </w:pPr>
      <w:bookmarkStart w:id="1008" w:name="section_a56b965194d24733b5d57c9135e298cc"/>
      <w:bookmarkStart w:id="1009" w:name="_Toc69878277"/>
      <w:r>
        <w:t>Part 1 Section 17.16.5.50, RD</w:t>
      </w:r>
      <w:bookmarkEnd w:id="1008"/>
      <w:bookmarkEnd w:id="1009"/>
      <w:r>
        <w:fldChar w:fldCharType="begin"/>
      </w:r>
      <w:r>
        <w:instrText xml:space="preserve"> XE "RD" </w:instrText>
      </w:r>
      <w:r>
        <w:fldChar w:fldCharType="end"/>
      </w:r>
    </w:p>
    <w:p w:rsidR="005F78FC" w:rsidRDefault="00B42EF3">
      <w:pPr>
        <w:pStyle w:val="Definition-Field"/>
      </w:pPr>
      <w:r>
        <w:t xml:space="preserve">a.   </w:t>
      </w:r>
      <w:r>
        <w:rPr>
          <w:i/>
        </w:rPr>
        <w:t>The standard says that the \p switch indicates relative path for an RD field.</w:t>
      </w:r>
    </w:p>
    <w:p w:rsidR="005F78FC" w:rsidRDefault="00B42EF3">
      <w:pPr>
        <w:pStyle w:val="Definition-Field2"/>
      </w:pPr>
      <w:r>
        <w:t>In Word, the \f indicates a relative path for an RD field.</w:t>
      </w:r>
    </w:p>
    <w:p w:rsidR="005F78FC" w:rsidRDefault="00B42EF3">
      <w:pPr>
        <w:pStyle w:val="Definition-Field"/>
      </w:pPr>
      <w:r>
        <w:t xml:space="preserve">b.   </w:t>
      </w:r>
      <w:r>
        <w:rPr>
          <w:i/>
        </w:rPr>
        <w:t>The standard says the RD field mus</w:t>
      </w:r>
      <w:r>
        <w:rPr>
          <w:i/>
        </w:rPr>
        <w:t>t contain a switch.</w:t>
      </w:r>
    </w:p>
    <w:p w:rsidR="005F78FC" w:rsidRDefault="00B42EF3">
      <w:pPr>
        <w:pStyle w:val="Definition-Field2"/>
      </w:pPr>
      <w:r>
        <w:t>In Word, including a switch in the RD field is optional.</w:t>
      </w:r>
    </w:p>
    <w:p w:rsidR="005F78FC" w:rsidRDefault="00B42EF3">
      <w:pPr>
        <w:pStyle w:val="Heading3"/>
      </w:pPr>
      <w:bookmarkStart w:id="1010" w:name="section_7088a8cee78449d494b8cba6ef8fce78"/>
      <w:bookmarkStart w:id="1011" w:name="_Toc69878278"/>
      <w:r>
        <w:t>Part 1 Section 17.16.5.51, REF</w:t>
      </w:r>
      <w:bookmarkEnd w:id="1010"/>
      <w:bookmarkEnd w:id="1011"/>
      <w:r>
        <w:fldChar w:fldCharType="begin"/>
      </w:r>
      <w:r>
        <w:instrText xml:space="preserve"> XE "REF" </w:instrText>
      </w:r>
      <w:r>
        <w:fldChar w:fldCharType="end"/>
      </w:r>
    </w:p>
    <w:p w:rsidR="005F78FC" w:rsidRDefault="00B42EF3">
      <w:pPr>
        <w:pStyle w:val="Definition-Field"/>
      </w:pPr>
      <w:r>
        <w:t xml:space="preserve">a.   </w:t>
      </w:r>
      <w:r>
        <w:rPr>
          <w:i/>
        </w:rPr>
        <w:t>The standard says the REF must have at least one general-formatting-switch and at most one field-specific-switch.</w:t>
      </w:r>
    </w:p>
    <w:p w:rsidR="005F78FC" w:rsidRDefault="00B42EF3">
      <w:pPr>
        <w:pStyle w:val="Definition-Field2"/>
      </w:pPr>
      <w:r>
        <w:t xml:space="preserve">In Word, the REF </w:t>
      </w:r>
      <w:r>
        <w:t>field is allowed to have zero general-formatting-switches and multiple field-specific-switches.</w:t>
      </w:r>
    </w:p>
    <w:p w:rsidR="005F78FC" w:rsidRDefault="00B42EF3">
      <w:pPr>
        <w:pStyle w:val="Definition-Field"/>
      </w:pPr>
      <w:r>
        <w:t xml:space="preserve">b.   </w:t>
      </w:r>
      <w:r>
        <w:rPr>
          <w:i/>
        </w:rPr>
        <w:t>The standard says the \d switch specifies the character sequence used to separate sequence numbers and page numbers, but does not explain what sequence num</w:t>
      </w:r>
      <w:r>
        <w:rPr>
          <w:i/>
        </w:rPr>
        <w:t>bers and page numbers.</w:t>
      </w:r>
    </w:p>
    <w:p w:rsidR="005F78FC" w:rsidRDefault="00B42EF3">
      <w:pPr>
        <w:pStyle w:val="Definition-Field2"/>
      </w:pPr>
      <w:r>
        <w:t>In Word, the \d switch specifies the character sequence used to separate sequence numbers placed in the field value by the \n, \r, and \w switches.</w:t>
      </w:r>
    </w:p>
    <w:p w:rsidR="005F78FC" w:rsidRDefault="00B42EF3">
      <w:pPr>
        <w:pStyle w:val="Definition-Field"/>
      </w:pPr>
      <w:r>
        <w:t xml:space="preserve">c.   </w:t>
      </w:r>
      <w:r>
        <w:rPr>
          <w:i/>
        </w:rPr>
        <w:t>The standard provides insufficient information to explain how the \n switch affe</w:t>
      </w:r>
      <w:r>
        <w:rPr>
          <w:i/>
        </w:rPr>
        <w:t>cts the REF field value.</w:t>
      </w:r>
    </w:p>
    <w:p w:rsidR="005F78FC" w:rsidRDefault="00B42EF3">
      <w:pPr>
        <w:pStyle w:val="Definition-Field2"/>
      </w:pPr>
      <w:r>
        <w:t>In Word, for a referenced numbered paragraph, \n causes the field result to be the paragraph number without trailing periods. No information about prior numbered levels is displayed unless it is included as part of the current leve</w:t>
      </w:r>
      <w:r>
        <w:t>l.</w:t>
      </w:r>
    </w:p>
    <w:p w:rsidR="005F78FC" w:rsidRDefault="00B42EF3">
      <w:r>
        <w:t xml:space="preserve">[Example: </w:t>
      </w:r>
    </w:p>
    <w:p w:rsidR="005F78FC" w:rsidRDefault="00B42EF3">
      <w:r>
        <w:t xml:space="preserve">If the referenced paragraph is numbered </w:t>
      </w:r>
      <w:r>
        <w:rPr>
          <w:rStyle w:val="InlineCode"/>
        </w:rPr>
        <w:t>2.7.1</w:t>
      </w:r>
      <w:r>
        <w:t xml:space="preserve">, the field shall result in </w:t>
      </w:r>
      <w:r>
        <w:rPr>
          <w:rStyle w:val="InlineCode"/>
        </w:rPr>
        <w:t>1</w:t>
      </w:r>
      <w:r>
        <w:t>. end example]</w:t>
      </w:r>
    </w:p>
    <w:p w:rsidR="005F78FC" w:rsidRDefault="00B42EF3">
      <w:pPr>
        <w:pStyle w:val="Definition-Field"/>
      </w:pPr>
      <w:r>
        <w:t xml:space="preserve">d.   </w:t>
      </w:r>
      <w:r>
        <w:rPr>
          <w:i/>
        </w:rPr>
        <w:t>The standard says the REF keyword is not optional when used with bookmarks with the same name as a field.</w:t>
      </w:r>
    </w:p>
    <w:p w:rsidR="005F78FC" w:rsidRDefault="00B42EF3">
      <w:pPr>
        <w:pStyle w:val="Definition-Field2"/>
      </w:pPr>
      <w:r>
        <w:t xml:space="preserve">In Word, REF is required to be present if </w:t>
      </w:r>
      <w:r>
        <w:t>the bookmark name is one of the following: CONTROL, DATA, EMBED, HTMLCONTROL, or SUBSCRIBER.</w:t>
      </w:r>
    </w:p>
    <w:p w:rsidR="005F78FC" w:rsidRDefault="00B42EF3">
      <w:pPr>
        <w:pStyle w:val="Definition-Field"/>
      </w:pPr>
      <w:r>
        <w:lastRenderedPageBreak/>
        <w:t xml:space="preserve">e.   </w:t>
      </w:r>
      <w:r>
        <w:rPr>
          <w:i/>
        </w:rPr>
        <w:t>The standard provides insufficient information to explain how the \r switch affects the REF field value.</w:t>
      </w:r>
    </w:p>
    <w:p w:rsidR="005F78FC" w:rsidRDefault="00B42EF3">
      <w:pPr>
        <w:pStyle w:val="Definition-Field2"/>
      </w:pPr>
      <w:r>
        <w:t xml:space="preserve">In Word, for a referenced numbered paragraph, \r </w:t>
      </w:r>
      <w:r>
        <w:t>inserts the paragraph number of the bookmarked paragraph in relative context, or relative to its position in the numbering scheme without trailing periods.</w:t>
      </w:r>
    </w:p>
    <w:p w:rsidR="005F78FC" w:rsidRDefault="00B42EF3">
      <w:r>
        <w:t>[Example:</w:t>
      </w:r>
    </w:p>
    <w:p w:rsidR="005F78FC" w:rsidRDefault="00B42EF3">
      <w:r>
        <w:t xml:space="preserve">If the </w:t>
      </w:r>
      <w:r>
        <w:rPr>
          <w:rStyle w:val="InlineCode"/>
        </w:rPr>
        <w:t>REF</w:t>
      </w:r>
      <w:r>
        <w:t xml:space="preserve"> field is contained within paragraph </w:t>
      </w:r>
      <w:r>
        <w:rPr>
          <w:rStyle w:val="InlineCode"/>
        </w:rPr>
        <w:t>4.3.1</w:t>
      </w:r>
      <w:r>
        <w:t xml:space="preserve"> and the referenced paragraph is numbe</w:t>
      </w:r>
      <w:r>
        <w:t xml:space="preserve">red </w:t>
      </w:r>
      <w:r>
        <w:rPr>
          <w:rStyle w:val="InlineCode"/>
        </w:rPr>
        <w:t>4.5.2</w:t>
      </w:r>
      <w:r>
        <w:t xml:space="preserve">, the result shall be </w:t>
      </w:r>
      <w:r>
        <w:rPr>
          <w:rStyle w:val="InlineCode"/>
        </w:rPr>
        <w:t>5.2</w:t>
      </w:r>
      <w:r>
        <w:t>. end example]</w:t>
      </w:r>
    </w:p>
    <w:p w:rsidR="005F78FC" w:rsidRDefault="00B42EF3">
      <w:pPr>
        <w:pStyle w:val="Definition-Field"/>
      </w:pPr>
      <w:r>
        <w:t xml:space="preserve">f.   </w:t>
      </w:r>
      <w:r>
        <w:rPr>
          <w:i/>
        </w:rPr>
        <w:t>The standard provides insufficient information to explain how the \w switch affects the REF field value.</w:t>
      </w:r>
    </w:p>
    <w:p w:rsidR="005F78FC" w:rsidRDefault="00B42EF3">
      <w:pPr>
        <w:pStyle w:val="Definition-Field2"/>
      </w:pPr>
      <w:r>
        <w:t>In Word, for a referenced numbered paragraph, \w causes the field result to be the entire paragra</w:t>
      </w:r>
      <w:r>
        <w:t xml:space="preserve">ph number without trailing periods, regardless of the location of the </w:t>
      </w:r>
      <w:r>
        <w:rPr>
          <w:rStyle w:val="InlineCode"/>
        </w:rPr>
        <w:t>REF</w:t>
      </w:r>
      <w:r>
        <w:t xml:space="preserve"> field.</w:t>
      </w:r>
    </w:p>
    <w:p w:rsidR="005F78FC" w:rsidRDefault="00B42EF3">
      <w:r>
        <w:t>[Example:</w:t>
      </w:r>
    </w:p>
    <w:p w:rsidR="005F78FC" w:rsidRDefault="00B42EF3">
      <w:r>
        <w:t xml:space="preserve">If the </w:t>
      </w:r>
      <w:r>
        <w:rPr>
          <w:rStyle w:val="InlineCode"/>
        </w:rPr>
        <w:t>REF</w:t>
      </w:r>
      <w:r>
        <w:t xml:space="preserve"> field is contained within paragraph </w:t>
      </w:r>
      <w:r>
        <w:rPr>
          <w:rStyle w:val="InlineCode"/>
        </w:rPr>
        <w:t>4.3.1</w:t>
      </w:r>
      <w:r>
        <w:t xml:space="preserve"> and the referenced paragraph is numbered </w:t>
      </w:r>
      <w:r>
        <w:rPr>
          <w:rStyle w:val="InlineCode"/>
        </w:rPr>
        <w:t>4.5.2</w:t>
      </w:r>
      <w:r>
        <w:t xml:space="preserve">, the result shall be </w:t>
      </w:r>
      <w:r>
        <w:rPr>
          <w:rStyle w:val="InlineCode"/>
        </w:rPr>
        <w:t>4.5.2</w:t>
      </w:r>
      <w:r>
        <w:t>. end example]</w:t>
      </w:r>
    </w:p>
    <w:p w:rsidR="005F78FC" w:rsidRDefault="00B42EF3">
      <w:pPr>
        <w:pStyle w:val="Definition-Field"/>
      </w:pPr>
      <w:r>
        <w:t xml:space="preserve">g.   </w:t>
      </w:r>
      <w:r>
        <w:rPr>
          <w:i/>
        </w:rPr>
        <w:t xml:space="preserve">The standard says </w:t>
      </w:r>
      <w:r>
        <w:rPr>
          <w:i/>
        </w:rPr>
        <w:t>that a text entity in a field that does not match a known field instruction will be interpreted as a REF field.</w:t>
      </w:r>
    </w:p>
    <w:p w:rsidR="005F78FC" w:rsidRDefault="00B42EF3">
      <w:pPr>
        <w:pStyle w:val="Definition-Field2"/>
      </w:pPr>
      <w:r>
        <w:t>In addition to not allowing known field instructions as REF fields, Word also disallows the following names to be used as automatic bookmarks. T</w:t>
      </w:r>
      <w:r>
        <w:t>hese reserved names must be prefaced with REF.</w:t>
      </w:r>
    </w:p>
    <w:p w:rsidR="005F78FC" w:rsidRDefault="00B42EF3">
      <w:pPr>
        <w:pStyle w:val="ListParagraph"/>
        <w:numPr>
          <w:ilvl w:val="0"/>
          <w:numId w:val="63"/>
        </w:numPr>
        <w:ind w:left="720"/>
        <w:contextualSpacing/>
      </w:pPr>
      <w:r>
        <w:t>ADDIN</w:t>
      </w:r>
    </w:p>
    <w:p w:rsidR="005F78FC" w:rsidRDefault="00B42EF3">
      <w:pPr>
        <w:pStyle w:val="ListParagraph"/>
        <w:numPr>
          <w:ilvl w:val="0"/>
          <w:numId w:val="63"/>
        </w:numPr>
        <w:ind w:left="720"/>
        <w:contextualSpacing/>
      </w:pPr>
      <w:r>
        <w:t>CONTROL</w:t>
      </w:r>
    </w:p>
    <w:p w:rsidR="005F78FC" w:rsidRDefault="00B42EF3">
      <w:pPr>
        <w:pStyle w:val="ListParagraph"/>
        <w:numPr>
          <w:ilvl w:val="0"/>
          <w:numId w:val="63"/>
        </w:numPr>
        <w:ind w:left="720"/>
        <w:contextualSpacing/>
      </w:pPr>
      <w:r>
        <w:t>DATA</w:t>
      </w:r>
    </w:p>
    <w:p w:rsidR="005F78FC" w:rsidRDefault="00B42EF3">
      <w:pPr>
        <w:pStyle w:val="ListParagraph"/>
        <w:numPr>
          <w:ilvl w:val="0"/>
          <w:numId w:val="63"/>
        </w:numPr>
        <w:ind w:left="720"/>
        <w:contextualSpacing/>
      </w:pPr>
      <w:r>
        <w:t>DISPLAYNFC</w:t>
      </w:r>
    </w:p>
    <w:p w:rsidR="005F78FC" w:rsidRDefault="00B42EF3">
      <w:pPr>
        <w:pStyle w:val="ListParagraph"/>
        <w:numPr>
          <w:ilvl w:val="0"/>
          <w:numId w:val="63"/>
        </w:numPr>
        <w:ind w:left="720"/>
        <w:contextualSpacing/>
      </w:pPr>
      <w:r>
        <w:t>EMBED</w:t>
      </w:r>
    </w:p>
    <w:p w:rsidR="005F78FC" w:rsidRDefault="00B42EF3">
      <w:pPr>
        <w:pStyle w:val="ListParagraph"/>
        <w:numPr>
          <w:ilvl w:val="0"/>
          <w:numId w:val="63"/>
        </w:numPr>
        <w:ind w:left="720"/>
        <w:contextualSpacing/>
      </w:pPr>
      <w:r>
        <w:t>FTNREF</w:t>
      </w:r>
    </w:p>
    <w:p w:rsidR="005F78FC" w:rsidRDefault="00B42EF3">
      <w:pPr>
        <w:pStyle w:val="ListParagraph"/>
        <w:numPr>
          <w:ilvl w:val="0"/>
          <w:numId w:val="63"/>
        </w:numPr>
        <w:ind w:left="720"/>
        <w:contextualSpacing/>
      </w:pPr>
      <w:r>
        <w:t>HTMLCONTROL</w:t>
      </w:r>
    </w:p>
    <w:p w:rsidR="005F78FC" w:rsidRDefault="00B42EF3">
      <w:pPr>
        <w:pStyle w:val="ListParagraph"/>
        <w:numPr>
          <w:ilvl w:val="0"/>
          <w:numId w:val="63"/>
        </w:numPr>
        <w:ind w:left="720"/>
        <w:contextualSpacing/>
      </w:pPr>
      <w:r>
        <w:t>SUBSCRIBER</w:t>
      </w:r>
    </w:p>
    <w:p w:rsidR="005F78FC" w:rsidRDefault="00B42EF3">
      <w:pPr>
        <w:pStyle w:val="Heading3"/>
      </w:pPr>
      <w:bookmarkStart w:id="1012" w:name="section_a39e60af18344a42b64717ae5c794732"/>
      <w:bookmarkStart w:id="1013" w:name="_Toc69878279"/>
      <w:r>
        <w:t>Part 1 Section 17.16.5.52, REVNUM</w:t>
      </w:r>
      <w:bookmarkEnd w:id="1012"/>
      <w:bookmarkEnd w:id="1013"/>
      <w:r>
        <w:fldChar w:fldCharType="begin"/>
      </w:r>
      <w:r>
        <w:instrText xml:space="preserve"> XE "REVNUM" </w:instrText>
      </w:r>
      <w:r>
        <w:fldChar w:fldCharType="end"/>
      </w:r>
    </w:p>
    <w:p w:rsidR="005F78FC" w:rsidRDefault="00B42EF3">
      <w:pPr>
        <w:pStyle w:val="Definition-Field"/>
      </w:pPr>
      <w:r>
        <w:t xml:space="preserve">a.   </w:t>
      </w:r>
      <w:r>
        <w:rPr>
          <w:i/>
        </w:rPr>
        <w:t>The standard says that no switches are used on the REVNUM field.</w:t>
      </w:r>
    </w:p>
    <w:p w:rsidR="005F78FC" w:rsidRDefault="00B42EF3">
      <w:pPr>
        <w:pStyle w:val="Definition-Field2"/>
      </w:pPr>
      <w:r>
        <w:t>Word allows both numeric</w:t>
      </w:r>
      <w:r>
        <w:t xml:space="preserve"> and general formatting switches for the REVNUM field.</w:t>
      </w:r>
    </w:p>
    <w:p w:rsidR="005F78FC" w:rsidRDefault="00B42EF3">
      <w:pPr>
        <w:pStyle w:val="Heading3"/>
      </w:pPr>
      <w:bookmarkStart w:id="1014" w:name="section_ec6ce3a5b5c94683af962367fbcd9d08"/>
      <w:bookmarkStart w:id="1015" w:name="_Toc69878280"/>
      <w:r>
        <w:t>Part 1 Section 17.16.5.53, SAVEDATE</w:t>
      </w:r>
      <w:bookmarkEnd w:id="1014"/>
      <w:bookmarkEnd w:id="1015"/>
      <w:r>
        <w:fldChar w:fldCharType="begin"/>
      </w:r>
      <w:r>
        <w:instrText xml:space="preserve"> XE "SAVEDATE" </w:instrText>
      </w:r>
      <w:r>
        <w:fldChar w:fldCharType="end"/>
      </w:r>
    </w:p>
    <w:p w:rsidR="005F78FC" w:rsidRDefault="00B42EF3">
      <w:pPr>
        <w:pStyle w:val="Definition-Field"/>
      </w:pPr>
      <w:r>
        <w:t xml:space="preserve">a.   </w:t>
      </w:r>
      <w:r>
        <w:rPr>
          <w:i/>
        </w:rPr>
        <w:t>The standard says the default calendar for the SAVEDATE field is Gregorian calendar.</w:t>
      </w:r>
    </w:p>
    <w:p w:rsidR="005F78FC" w:rsidRDefault="00B42EF3">
      <w:pPr>
        <w:pStyle w:val="Definition-Field2"/>
      </w:pPr>
      <w:r>
        <w:t>In Word, the default calendar for the SAVEDATE field depen</w:t>
      </w:r>
      <w:r>
        <w:t>ds on the locale.</w:t>
      </w:r>
    </w:p>
    <w:p w:rsidR="005F78FC" w:rsidRDefault="00B42EF3">
      <w:pPr>
        <w:pStyle w:val="Heading3"/>
      </w:pPr>
      <w:bookmarkStart w:id="1016" w:name="section_c4afd4cb3be247439ef6e730081add8e"/>
      <w:bookmarkStart w:id="1017" w:name="_Toc69878281"/>
      <w:r>
        <w:t>Part 1 Section 17.16.5.54, SECTION</w:t>
      </w:r>
      <w:bookmarkEnd w:id="1016"/>
      <w:bookmarkEnd w:id="1017"/>
      <w:r>
        <w:fldChar w:fldCharType="begin"/>
      </w:r>
      <w:r>
        <w:instrText xml:space="preserve"> XE "SECTION" </w:instrText>
      </w:r>
      <w:r>
        <w:fldChar w:fldCharType="end"/>
      </w:r>
    </w:p>
    <w:p w:rsidR="005F78FC" w:rsidRDefault="00B42EF3">
      <w:pPr>
        <w:pStyle w:val="Definition-Field"/>
      </w:pPr>
      <w:r>
        <w:t xml:space="preserve">a.   </w:t>
      </w:r>
      <w:r>
        <w:rPr>
          <w:i/>
        </w:rPr>
        <w:t>The standard says that the SECTION field only allows switches general-formatting-switches.</w:t>
      </w:r>
    </w:p>
    <w:p w:rsidR="005F78FC" w:rsidRDefault="00B42EF3">
      <w:pPr>
        <w:pStyle w:val="Definition-Field2"/>
      </w:pPr>
      <w:r>
        <w:t>In Word, the SECTION field also allows numeric-formatting-switches.</w:t>
      </w:r>
    </w:p>
    <w:p w:rsidR="005F78FC" w:rsidRDefault="00B42EF3">
      <w:pPr>
        <w:pStyle w:val="Heading3"/>
      </w:pPr>
      <w:bookmarkStart w:id="1018" w:name="section_a5a21cd9a4b7494cac6b5006b7772c3f"/>
      <w:bookmarkStart w:id="1019" w:name="_Toc69878282"/>
      <w:r>
        <w:lastRenderedPageBreak/>
        <w:t>Part 1 Section 17.16.5.</w:t>
      </w:r>
      <w:r>
        <w:t>55, SECTIONPAGES</w:t>
      </w:r>
      <w:bookmarkEnd w:id="1018"/>
      <w:bookmarkEnd w:id="1019"/>
      <w:r>
        <w:fldChar w:fldCharType="begin"/>
      </w:r>
      <w:r>
        <w:instrText xml:space="preserve"> XE "SECTIONPAGES" </w:instrText>
      </w:r>
      <w:r>
        <w:fldChar w:fldCharType="end"/>
      </w:r>
    </w:p>
    <w:p w:rsidR="005F78FC" w:rsidRDefault="00B42EF3">
      <w:pPr>
        <w:pStyle w:val="Definition-Field"/>
      </w:pPr>
      <w:r>
        <w:t xml:space="preserve">a.   </w:t>
      </w:r>
      <w:r>
        <w:rPr>
          <w:i/>
        </w:rPr>
        <w:t>The standard says the SECTIONPAGES field value is the number of the current page within the current section.</w:t>
      </w:r>
    </w:p>
    <w:p w:rsidR="005F78FC" w:rsidRDefault="00B42EF3">
      <w:pPr>
        <w:pStyle w:val="Definition-Field2"/>
      </w:pPr>
      <w:r>
        <w:t>In Word, the SECTIONPAGES field value is the number of pages in the current section.</w:t>
      </w:r>
    </w:p>
    <w:p w:rsidR="005F78FC" w:rsidRDefault="00B42EF3">
      <w:pPr>
        <w:pStyle w:val="Definition-Field"/>
      </w:pPr>
      <w:r>
        <w:t xml:space="preserve">b.   </w:t>
      </w:r>
      <w:r>
        <w:rPr>
          <w:i/>
        </w:rPr>
        <w:t>The standard s</w:t>
      </w:r>
      <w:r>
        <w:rPr>
          <w:i/>
        </w:rPr>
        <w:t>ays that the only switches the SECTIONPAGES field can take are general-formatting-switches.</w:t>
      </w:r>
    </w:p>
    <w:p w:rsidR="005F78FC" w:rsidRDefault="00B42EF3">
      <w:pPr>
        <w:pStyle w:val="Definition-Field2"/>
      </w:pPr>
      <w:r>
        <w:t>In Word, the SECTIONPAGES field can also take a numeric-formatting-switch.</w:t>
      </w:r>
    </w:p>
    <w:p w:rsidR="005F78FC" w:rsidRDefault="00B42EF3">
      <w:pPr>
        <w:pStyle w:val="Heading3"/>
      </w:pPr>
      <w:bookmarkStart w:id="1020" w:name="section_a591c06028004699b1f4dbb0c4374557"/>
      <w:bookmarkStart w:id="1021" w:name="_Toc69878283"/>
      <w:r>
        <w:t>Part 1 Section 17.16.5.56, SEQ</w:t>
      </w:r>
      <w:bookmarkEnd w:id="1020"/>
      <w:bookmarkEnd w:id="1021"/>
      <w:r>
        <w:fldChar w:fldCharType="begin"/>
      </w:r>
      <w:r>
        <w:instrText xml:space="preserve"> XE "SEQ" </w:instrText>
      </w:r>
      <w:r>
        <w:fldChar w:fldCharType="end"/>
      </w:r>
    </w:p>
    <w:p w:rsidR="005F78FC" w:rsidRDefault="00B42EF3">
      <w:pPr>
        <w:pStyle w:val="Definition-Field"/>
      </w:pPr>
      <w:r>
        <w:t xml:space="preserve">a.   </w:t>
      </w:r>
      <w:r>
        <w:rPr>
          <w:i/>
        </w:rPr>
        <w:t>The standard does not specify the meaning</w:t>
      </w:r>
      <w:r>
        <w:rPr>
          <w:i/>
        </w:rPr>
        <w:t xml:space="preserve"> of the optional bookmark name in the SEQ field.</w:t>
      </w:r>
    </w:p>
    <w:p w:rsidR="005F78FC" w:rsidRDefault="00B42EF3">
      <w:pPr>
        <w:pStyle w:val="Definition-Field2"/>
      </w:pPr>
      <w:r>
        <w:t>In Word, when a bookmark name is used in an SEQ field, the SEQ field displays the result of the SEQ field nearest the bookmark in the document.</w:t>
      </w:r>
    </w:p>
    <w:p w:rsidR="005F78FC" w:rsidRDefault="00B42EF3">
      <w:pPr>
        <w:pStyle w:val="Definition-Field"/>
      </w:pPr>
      <w:r>
        <w:t xml:space="preserve">b.   </w:t>
      </w:r>
      <w:r>
        <w:rPr>
          <w:i/>
        </w:rPr>
        <w:t xml:space="preserve">The standard says that the \s switch resets the sequence </w:t>
      </w:r>
      <w:r>
        <w:rPr>
          <w:i/>
        </w:rPr>
        <w:t>number to the built-in (integer) heading level specified.</w:t>
      </w:r>
    </w:p>
    <w:p w:rsidR="005F78FC" w:rsidRDefault="00B42EF3">
      <w:pPr>
        <w:pStyle w:val="Definition-Field2"/>
      </w:pPr>
      <w:r>
        <w:t>In Word, the \s switch resets the sequence following a heading of the specified level.</w:t>
      </w:r>
    </w:p>
    <w:p w:rsidR="005F78FC" w:rsidRDefault="00B42EF3">
      <w:pPr>
        <w:pStyle w:val="Heading3"/>
      </w:pPr>
      <w:bookmarkStart w:id="1022" w:name="section_7ceafbd6ebba4a17865bb88d5a6b0930"/>
      <w:bookmarkStart w:id="1023" w:name="_Toc69878284"/>
      <w:r>
        <w:t>Part 1 Section 17.16.5.58, SKIPIF</w:t>
      </w:r>
      <w:bookmarkEnd w:id="1022"/>
      <w:bookmarkEnd w:id="1023"/>
      <w:r>
        <w:fldChar w:fldCharType="begin"/>
      </w:r>
      <w:r>
        <w:instrText xml:space="preserve"> XE "SKIPIF" </w:instrText>
      </w:r>
      <w:r>
        <w:fldChar w:fldCharType="end"/>
      </w:r>
    </w:p>
    <w:p w:rsidR="005F78FC" w:rsidRDefault="00B42EF3">
      <w:pPr>
        <w:pStyle w:val="Definition-Field"/>
      </w:pPr>
      <w:r>
        <w:t xml:space="preserve">a.   </w:t>
      </w:r>
      <w:r>
        <w:rPr>
          <w:i/>
        </w:rPr>
        <w:t>The standard makes no mention of wildcards used in the SK</w:t>
      </w:r>
      <w:r>
        <w:rPr>
          <w:i/>
        </w:rPr>
        <w:t>IPIF field.</w:t>
      </w:r>
    </w:p>
    <w:p w:rsidR="005F78FC" w:rsidRDefault="00B42EF3">
      <w:r>
        <w:t xml:space="preserve">In Word, if Operator is </w:t>
      </w:r>
      <w:r>
        <w:rPr>
          <w:rStyle w:val="InlineCode"/>
        </w:rPr>
        <w:t>=</w:t>
      </w:r>
      <w:r>
        <w:t xml:space="preserve"> or </w:t>
      </w:r>
      <w:r>
        <w:rPr>
          <w:rStyle w:val="InlineCode"/>
        </w:rPr>
        <w:t>&lt;&gt;</w:t>
      </w:r>
      <w:r>
        <w:t>, Expression-2 can contain a question mark (?) to represent any single character, or an asterisk (*) to represent any string of characters. The expression shall be enclosed in quotation marks so that it is compare</w:t>
      </w:r>
      <w:r>
        <w:t>d as a character string. If an asterisk is used in Expression-2, the portion of Expression-1 that corresponds to the asterisk, plus any remaining characters in Expression-2, shall NOT exceed 128 characters.</w:t>
      </w:r>
    </w:p>
    <w:p w:rsidR="005F78FC" w:rsidRDefault="00B42EF3">
      <w:pPr>
        <w:pStyle w:val="Definition-Field"/>
      </w:pPr>
      <w:r>
        <w:t xml:space="preserve">b.   </w:t>
      </w:r>
      <w:r>
        <w:rPr>
          <w:i/>
        </w:rPr>
        <w:t>The standard does not specify the expression</w:t>
      </w:r>
      <w:r>
        <w:rPr>
          <w:i/>
        </w:rPr>
        <w:t xml:space="preserve"> that is evaluated for the comparison.</w:t>
      </w:r>
    </w:p>
    <w:p w:rsidR="005F78FC" w:rsidRDefault="00B42EF3">
      <w:pPr>
        <w:pStyle w:val="Definition-Field2"/>
      </w:pPr>
      <w:r>
        <w:t>Word evaluates the following expression: comparison =&gt; expression comparison-operator expression.</w:t>
      </w:r>
    </w:p>
    <w:p w:rsidR="005F78FC" w:rsidRDefault="00B42EF3">
      <w:pPr>
        <w:pStyle w:val="Definition-Field"/>
      </w:pPr>
      <w:r>
        <w:t xml:space="preserve">c.   </w:t>
      </w:r>
      <w:r>
        <w:rPr>
          <w:i/>
        </w:rPr>
        <w:t>The Standard states that quotation marks shall be around the expression using wildcard characters.</w:t>
      </w:r>
    </w:p>
    <w:p w:rsidR="005F78FC" w:rsidRDefault="00B42EF3">
      <w:pPr>
        <w:pStyle w:val="Definition-Field2"/>
      </w:pPr>
      <w:r>
        <w:t>Word does not r</w:t>
      </w:r>
      <w:r>
        <w:t>equire quotation marks surrounding expressions with wildcard characters.</w:t>
      </w:r>
    </w:p>
    <w:p w:rsidR="005F78FC" w:rsidRDefault="00B42EF3">
      <w:pPr>
        <w:pStyle w:val="Definition-Field"/>
      </w:pPr>
      <w:r>
        <w:t xml:space="preserve">d.   </w:t>
      </w:r>
      <w:r>
        <w:rPr>
          <w:i/>
        </w:rPr>
        <w:t>The Standard does not specify restrictions on the length of the wildcard expansion.</w:t>
      </w:r>
    </w:p>
    <w:p w:rsidR="005F78FC" w:rsidRDefault="00B42EF3">
      <w:pPr>
        <w:pStyle w:val="Definition-Field2"/>
      </w:pPr>
      <w:r>
        <w:t xml:space="preserve">In Word, if an asterisk is used in Expression-2, the portion of Expression-1 that corresponds </w:t>
      </w:r>
      <w:r>
        <w:t>to the asterisk plus any remaining characters in Expression-2 shall NOT exceed 128 characters.</w:t>
      </w:r>
    </w:p>
    <w:p w:rsidR="005F78FC" w:rsidRDefault="00B42EF3">
      <w:pPr>
        <w:pStyle w:val="Heading3"/>
      </w:pPr>
      <w:bookmarkStart w:id="1024" w:name="section_0f5599c33b124970931d659e489369f4"/>
      <w:bookmarkStart w:id="1025" w:name="_Toc69878285"/>
      <w:r>
        <w:t>Part 1 Section 17.16.5.59, STYLEREF</w:t>
      </w:r>
      <w:bookmarkEnd w:id="1024"/>
      <w:bookmarkEnd w:id="1025"/>
      <w:r>
        <w:fldChar w:fldCharType="begin"/>
      </w:r>
      <w:r>
        <w:instrText xml:space="preserve"> XE "STYLEREF" </w:instrText>
      </w:r>
      <w:r>
        <w:fldChar w:fldCharType="end"/>
      </w:r>
    </w:p>
    <w:p w:rsidR="005F78FC" w:rsidRDefault="00B42EF3">
      <w:pPr>
        <w:pStyle w:val="Definition-Field"/>
      </w:pPr>
      <w:r>
        <w:t xml:space="preserve">a.   </w:t>
      </w:r>
      <w:r>
        <w:rPr>
          <w:i/>
        </w:rPr>
        <w:t>The standard does not fully define what switch \n means in a STYLEREF field.</w:t>
      </w:r>
    </w:p>
    <w:p w:rsidR="005F78FC" w:rsidRDefault="00B42EF3">
      <w:r>
        <w:t xml:space="preserve">In Word, for a referenced </w:t>
      </w:r>
      <w:r>
        <w:t>numbered paragraph, \n causes the field result to be the paragraph number without trailing periods. No information about prior numbered levels is displayed unless it is included as part of the current level.</w:t>
      </w:r>
    </w:p>
    <w:p w:rsidR="005F78FC" w:rsidRDefault="00B42EF3">
      <w:r>
        <w:t>[Example: If the referenced paragraph is numbere</w:t>
      </w:r>
      <w:r>
        <w:t xml:space="preserve">d </w:t>
      </w:r>
      <w:r>
        <w:rPr>
          <w:rStyle w:val="InlineCode"/>
        </w:rPr>
        <w:t>2.7.1</w:t>
      </w:r>
      <w:r>
        <w:t xml:space="preserve">, the field shall result in </w:t>
      </w:r>
      <w:r>
        <w:rPr>
          <w:rStyle w:val="InlineCode"/>
        </w:rPr>
        <w:t>1</w:t>
      </w:r>
      <w:r>
        <w:t>. end example]</w:t>
      </w:r>
    </w:p>
    <w:p w:rsidR="005F78FC" w:rsidRDefault="00B42EF3">
      <w:pPr>
        <w:pStyle w:val="Definition-Field"/>
      </w:pPr>
      <w:r>
        <w:lastRenderedPageBreak/>
        <w:t xml:space="preserve">b.   </w:t>
      </w:r>
      <w:r>
        <w:rPr>
          <w:i/>
        </w:rPr>
        <w:t>The standard does not mention shorthand for how heading styles may be used.</w:t>
      </w:r>
    </w:p>
    <w:p w:rsidR="005F78FC" w:rsidRDefault="00B42EF3">
      <w:pPr>
        <w:pStyle w:val="Definition-Field2"/>
      </w:pPr>
      <w:r>
        <w:t>Word interprets 1 as heading 1, 2 as heading 2, ... 9 as heading 9 in field-argument.</w:t>
      </w:r>
    </w:p>
    <w:p w:rsidR="005F78FC" w:rsidRDefault="00B42EF3">
      <w:pPr>
        <w:pStyle w:val="Definition-Field"/>
      </w:pPr>
      <w:r>
        <w:t xml:space="preserve">c.   </w:t>
      </w:r>
      <w:r>
        <w:rPr>
          <w:i/>
        </w:rPr>
        <w:t xml:space="preserve">The standard specifies different </w:t>
      </w:r>
      <w:r>
        <w:rPr>
          <w:i/>
        </w:rPr>
        <w:t>search algorithms for a STYLEREF field in a header for a printed document versus an electronic document.</w:t>
      </w:r>
    </w:p>
    <w:p w:rsidR="005F78FC" w:rsidRDefault="00B42EF3">
      <w:pPr>
        <w:pStyle w:val="Definition-Field2"/>
      </w:pPr>
      <w:r>
        <w:t>When a STYLEREF field is in a header in an electronic document, Word uses the search algorithm specified for a STYLEREF field in a header for a printed</w:t>
      </w:r>
      <w:r>
        <w:t xml:space="preserve"> document.</w:t>
      </w:r>
    </w:p>
    <w:p w:rsidR="005F78FC" w:rsidRDefault="00B42EF3">
      <w:pPr>
        <w:pStyle w:val="Definition-Field"/>
      </w:pPr>
      <w:r>
        <w:t xml:space="preserve">d.   </w:t>
      </w:r>
      <w:r>
        <w:rPr>
          <w:i/>
        </w:rPr>
        <w:t>The standard does not fully define what switch \r means in a STYLEREF field.</w:t>
      </w:r>
    </w:p>
    <w:p w:rsidR="005F78FC" w:rsidRDefault="00B42EF3">
      <w:r>
        <w:t>In Word, for a referenced numbered paragraph, \r inserts the paragraph number of the bookmarked paragraph in relative context, or relative to its position in the n</w:t>
      </w:r>
      <w:r>
        <w:t>umbering scheme without trailing periods.</w:t>
      </w:r>
    </w:p>
    <w:p w:rsidR="005F78FC" w:rsidRDefault="00B42EF3">
      <w:r>
        <w:t xml:space="preserve">[Example: If the </w:t>
      </w:r>
      <w:r>
        <w:rPr>
          <w:rStyle w:val="InlineCode"/>
        </w:rPr>
        <w:t>REF</w:t>
      </w:r>
      <w:r>
        <w:t xml:space="preserve"> field is contained within paragraph </w:t>
      </w:r>
      <w:r>
        <w:rPr>
          <w:rStyle w:val="InlineCode"/>
        </w:rPr>
        <w:t>4.3.1</w:t>
      </w:r>
      <w:r>
        <w:t xml:space="preserve"> and the referenced paragraph is numbered </w:t>
      </w:r>
      <w:r>
        <w:rPr>
          <w:rStyle w:val="InlineCode"/>
        </w:rPr>
        <w:t>4.5.2</w:t>
      </w:r>
      <w:r>
        <w:t xml:space="preserve">, the result shall be </w:t>
      </w:r>
      <w:r>
        <w:rPr>
          <w:rStyle w:val="InlineCode"/>
        </w:rPr>
        <w:t>5.2</w:t>
      </w:r>
      <w:r>
        <w:t>. end example]</w:t>
      </w:r>
    </w:p>
    <w:p w:rsidR="005F78FC" w:rsidRDefault="00B42EF3">
      <w:pPr>
        <w:pStyle w:val="Definition-Field"/>
      </w:pPr>
      <w:r>
        <w:t xml:space="preserve">e.   </w:t>
      </w:r>
      <w:r>
        <w:rPr>
          <w:i/>
        </w:rPr>
        <w:t>The standard does not fully define what switch \w means in a</w:t>
      </w:r>
      <w:r>
        <w:rPr>
          <w:i/>
        </w:rPr>
        <w:t xml:space="preserve"> STYLEREF field.</w:t>
      </w:r>
    </w:p>
    <w:p w:rsidR="005F78FC" w:rsidRDefault="00B42EF3">
      <w:r>
        <w:t xml:space="preserve">In Word, for a referenced numbered paragraph, \w causes the field result to be the entire paragraph number without trailing periods, regardless of the location of the </w:t>
      </w:r>
      <w:r>
        <w:rPr>
          <w:rStyle w:val="InlineCode"/>
        </w:rPr>
        <w:t>REF</w:t>
      </w:r>
      <w:r>
        <w:t xml:space="preserve"> field.</w:t>
      </w:r>
    </w:p>
    <w:p w:rsidR="005F78FC" w:rsidRDefault="00B42EF3">
      <w:r>
        <w:t xml:space="preserve">[Example: If the </w:t>
      </w:r>
      <w:r>
        <w:rPr>
          <w:rStyle w:val="InlineCode"/>
        </w:rPr>
        <w:t>REF</w:t>
      </w:r>
      <w:r>
        <w:t xml:space="preserve"> field is contained within paragraph </w:t>
      </w:r>
      <w:r>
        <w:rPr>
          <w:rStyle w:val="InlineCode"/>
        </w:rPr>
        <w:t>4.3.</w:t>
      </w:r>
      <w:r>
        <w:rPr>
          <w:rStyle w:val="InlineCode"/>
        </w:rPr>
        <w:t>1</w:t>
      </w:r>
      <w:r>
        <w:t xml:space="preserve"> and the referenced paragraph is numbered </w:t>
      </w:r>
      <w:r>
        <w:rPr>
          <w:rStyle w:val="InlineCode"/>
        </w:rPr>
        <w:t>4.5.2</w:t>
      </w:r>
      <w:r>
        <w:t xml:space="preserve">, the result shall be </w:t>
      </w:r>
      <w:r>
        <w:rPr>
          <w:rStyle w:val="InlineCode"/>
        </w:rPr>
        <w:t>4.5.2</w:t>
      </w:r>
      <w:r>
        <w:t>. end example]</w:t>
      </w:r>
    </w:p>
    <w:p w:rsidR="005F78FC" w:rsidRDefault="00B42EF3">
      <w:pPr>
        <w:pStyle w:val="Definition-Field"/>
      </w:pPr>
      <w:r>
        <w:t xml:space="preserve">f.   </w:t>
      </w:r>
      <w:r>
        <w:rPr>
          <w:i/>
        </w:rPr>
        <w:t>The standard does not fully define what switch \l means in a STYLEREF field.</w:t>
      </w:r>
    </w:p>
    <w:p w:rsidR="005F78FC" w:rsidRDefault="00B42EF3">
      <w:pPr>
        <w:pStyle w:val="Definition-Field2"/>
      </w:pPr>
      <w:r>
        <w:t>In Word, if the STYLEREF field is in a header, then this switch causes the search to</w:t>
      </w:r>
      <w:r>
        <w:t xml:space="preserve"> go from the bottom of the page to the beginning of the document and then to the end of the document; otherwise, it has no effect.</w:t>
      </w:r>
    </w:p>
    <w:p w:rsidR="005F78FC" w:rsidRDefault="00B42EF3">
      <w:pPr>
        <w:pStyle w:val="Heading3"/>
      </w:pPr>
      <w:bookmarkStart w:id="1026" w:name="section_861ec14e4e1d4e82b68335a6bc07903d"/>
      <w:bookmarkStart w:id="1027" w:name="_Toc69878286"/>
      <w:r>
        <w:t>Part 1 Section 17.16.5.60, SUBJECT</w:t>
      </w:r>
      <w:bookmarkEnd w:id="1026"/>
      <w:bookmarkEnd w:id="1027"/>
      <w:r>
        <w:fldChar w:fldCharType="begin"/>
      </w:r>
      <w:r>
        <w:instrText xml:space="preserve"> XE "SUBJECT" </w:instrText>
      </w:r>
      <w:r>
        <w:fldChar w:fldCharType="end"/>
      </w:r>
    </w:p>
    <w:p w:rsidR="005F78FC" w:rsidRDefault="00B42EF3">
      <w:pPr>
        <w:pStyle w:val="Definition-Field"/>
      </w:pPr>
      <w:r>
        <w:t xml:space="preserve">a.   </w:t>
      </w:r>
      <w:r>
        <w:rPr>
          <w:i/>
        </w:rPr>
        <w:t xml:space="preserve">The standard says the SUBJECT field must have a </w:t>
      </w:r>
      <w:r>
        <w:rPr>
          <w:i/>
        </w:rPr>
        <w:t>general-formatting-switch.</w:t>
      </w:r>
    </w:p>
    <w:p w:rsidR="005F78FC" w:rsidRDefault="00B42EF3">
      <w:pPr>
        <w:pStyle w:val="Definition-Field2"/>
      </w:pPr>
      <w:r>
        <w:t>In Word, using a general-formatting switch with the SUBJECT field is optional.</w:t>
      </w:r>
    </w:p>
    <w:p w:rsidR="005F78FC" w:rsidRDefault="00B42EF3">
      <w:pPr>
        <w:pStyle w:val="Heading3"/>
      </w:pPr>
      <w:bookmarkStart w:id="1028" w:name="section_32d1142aeb7a4ce8ac093b73e1de86b7"/>
      <w:bookmarkStart w:id="1029" w:name="_Toc69878287"/>
      <w:r>
        <w:t>Part 1 Section 17.16.5.61, SYMBOL</w:t>
      </w:r>
      <w:bookmarkEnd w:id="1028"/>
      <w:bookmarkEnd w:id="1029"/>
      <w:r>
        <w:fldChar w:fldCharType="begin"/>
      </w:r>
      <w:r>
        <w:instrText xml:space="preserve"> XE "SYMBOL" </w:instrText>
      </w:r>
      <w:r>
        <w:fldChar w:fldCharType="end"/>
      </w:r>
    </w:p>
    <w:p w:rsidR="005F78FC" w:rsidRDefault="00B42EF3">
      <w:pPr>
        <w:pStyle w:val="Definition-Field"/>
      </w:pPr>
      <w:r>
        <w:t xml:space="preserve">a.   </w:t>
      </w:r>
      <w:r>
        <w:rPr>
          <w:i/>
        </w:rPr>
        <w:t>The standard says the \j switch interprets text in the field argument as the value of a SHIFT-JI</w:t>
      </w:r>
      <w:r>
        <w:rPr>
          <w:i/>
        </w:rPr>
        <w:t>S character.</w:t>
      </w:r>
    </w:p>
    <w:p w:rsidR="005F78FC" w:rsidRDefault="00B42EF3">
      <w:pPr>
        <w:pStyle w:val="Definition-Field2"/>
      </w:pPr>
      <w:r>
        <w:t>If the \j switch is used with characters 0x5C or 0x7E, Word does not display their SHIFT-JIS substitutions.</w:t>
      </w:r>
    </w:p>
    <w:p w:rsidR="005F78FC" w:rsidRDefault="00B42EF3">
      <w:pPr>
        <w:pStyle w:val="Definition-Field"/>
      </w:pPr>
      <w:r>
        <w:t xml:space="preserve">b.   </w:t>
      </w:r>
      <w:r>
        <w:rPr>
          <w:i/>
        </w:rPr>
        <w:t>The standard places no restrictions on the Unicode characters which may be used with the \u switch in the SYMBOL field.</w:t>
      </w:r>
    </w:p>
    <w:p w:rsidR="005F78FC" w:rsidRDefault="00B42EF3">
      <w:pPr>
        <w:pStyle w:val="Definition-Field2"/>
      </w:pPr>
      <w:r>
        <w:t xml:space="preserve">Using the </w:t>
      </w:r>
      <w:r>
        <w:t>\u switch, Word will not display surrogate pairs or Unicode characters outside of Unicode plane 0 (Basic Multilingual Plane).  If a character is specified outside of plane 0, the value will be truncated to one within plane 0.</w:t>
      </w:r>
    </w:p>
    <w:p w:rsidR="005F78FC" w:rsidRDefault="00B42EF3">
      <w:pPr>
        <w:pStyle w:val="Definition-Field"/>
      </w:pPr>
      <w:r>
        <w:t xml:space="preserve">c.   </w:t>
      </w:r>
      <w:r>
        <w:rPr>
          <w:i/>
        </w:rPr>
        <w:t>The standard allows the S</w:t>
      </w:r>
      <w:r>
        <w:rPr>
          <w:i/>
        </w:rPr>
        <w:t>YMBOL field to be nested inside another field.</w:t>
      </w:r>
    </w:p>
    <w:p w:rsidR="005F78FC" w:rsidRDefault="00B42EF3">
      <w:pPr>
        <w:pStyle w:val="Definition-Field2"/>
      </w:pPr>
      <w:r>
        <w:t>In Word, if the SYMBOL field is nested inside another field, no result is displayed.</w:t>
      </w:r>
    </w:p>
    <w:p w:rsidR="005F78FC" w:rsidRDefault="00B42EF3">
      <w:pPr>
        <w:pStyle w:val="Heading3"/>
      </w:pPr>
      <w:bookmarkStart w:id="1030" w:name="section_7fe21147206c484f9a5dccb42e2b75d1"/>
      <w:bookmarkStart w:id="1031" w:name="_Toc69878288"/>
      <w:r>
        <w:lastRenderedPageBreak/>
        <w:t>Part 1 Section 17.16.5.62, TA</w:t>
      </w:r>
      <w:bookmarkEnd w:id="1030"/>
      <w:bookmarkEnd w:id="1031"/>
      <w:r>
        <w:fldChar w:fldCharType="begin"/>
      </w:r>
      <w:r>
        <w:instrText xml:space="preserve"> XE "TA" </w:instrText>
      </w:r>
      <w:r>
        <w:fldChar w:fldCharType="end"/>
      </w:r>
    </w:p>
    <w:p w:rsidR="005F78FC" w:rsidRDefault="00B42EF3">
      <w:pPr>
        <w:pStyle w:val="Definition-Field"/>
      </w:pPr>
      <w:r>
        <w:t xml:space="preserve">a.   </w:t>
      </w:r>
      <w:r>
        <w:rPr>
          <w:i/>
        </w:rPr>
        <w:t>The standard does not explain how a TOA field uses TA fields.</w:t>
      </w:r>
    </w:p>
    <w:p w:rsidR="005F78FC" w:rsidRDefault="00B42EF3">
      <w:pPr>
        <w:pStyle w:val="Definition-Field2"/>
      </w:pPr>
      <w:r>
        <w:t>In Word, the TOA</w:t>
      </w:r>
      <w:r>
        <w:t xml:space="preserve"> field will only display an entry for a set of TA fields (containing the same entry for short citation and category) if both a long citation and category are defined.</w:t>
      </w:r>
    </w:p>
    <w:p w:rsidR="005F78FC" w:rsidRDefault="00B42EF3">
      <w:pPr>
        <w:pStyle w:val="Definition-Field"/>
      </w:pPr>
      <w:r>
        <w:t xml:space="preserve">b.   </w:t>
      </w:r>
      <w:r>
        <w:rPr>
          <w:i/>
        </w:rPr>
        <w:t>The standard says the default value for the \c switch is 1 when omitted.</w:t>
      </w:r>
    </w:p>
    <w:p w:rsidR="005F78FC" w:rsidRDefault="00B42EF3">
      <w:pPr>
        <w:pStyle w:val="Definition-Field2"/>
      </w:pPr>
      <w:r>
        <w:t>In Word, th</w:t>
      </w:r>
      <w:r>
        <w:t>ere is no default value for the \c switch when omitted.</w:t>
      </w:r>
    </w:p>
    <w:p w:rsidR="005F78FC" w:rsidRDefault="00B42EF3">
      <w:pPr>
        <w:pStyle w:val="Heading3"/>
      </w:pPr>
      <w:bookmarkStart w:id="1032" w:name="section_1b90d6fc50354192b867ad4e1e0f86e7"/>
      <w:bookmarkStart w:id="1033" w:name="_Toc69878289"/>
      <w:r>
        <w:t>Part 1 Section 17.16.5.64, TEMPLATE</w:t>
      </w:r>
      <w:bookmarkEnd w:id="1032"/>
      <w:bookmarkEnd w:id="1033"/>
      <w:r>
        <w:fldChar w:fldCharType="begin"/>
      </w:r>
      <w:r>
        <w:instrText xml:space="preserve"> XE "TEMPLATE" </w:instrText>
      </w:r>
      <w:r>
        <w:fldChar w:fldCharType="end"/>
      </w:r>
    </w:p>
    <w:p w:rsidR="005F78FC" w:rsidRDefault="00B42EF3">
      <w:pPr>
        <w:pStyle w:val="Definition-Field"/>
      </w:pPr>
      <w:r>
        <w:t xml:space="preserve">a.   </w:t>
      </w:r>
      <w:r>
        <w:rPr>
          <w:i/>
        </w:rPr>
        <w:t>The standard says the TEMPLATE field must use a general-formatting-switch.</w:t>
      </w:r>
    </w:p>
    <w:p w:rsidR="005F78FC" w:rsidRDefault="00B42EF3">
      <w:pPr>
        <w:pStyle w:val="Definition-Field2"/>
      </w:pPr>
      <w:r>
        <w:t>In Word, using a general-formatting-switch in the TEMPLATE field is</w:t>
      </w:r>
      <w:r>
        <w:t xml:space="preserve"> optional.</w:t>
      </w:r>
    </w:p>
    <w:p w:rsidR="005F78FC" w:rsidRDefault="00B42EF3">
      <w:pPr>
        <w:pStyle w:val="Heading3"/>
      </w:pPr>
      <w:bookmarkStart w:id="1034" w:name="section_a3c7bbb534f24e52b9e110fe2143d5f6"/>
      <w:bookmarkStart w:id="1035" w:name="_Toc69878290"/>
      <w:r>
        <w:t>Part 1 Section 17.16.5.66, TITLE</w:t>
      </w:r>
      <w:bookmarkEnd w:id="1034"/>
      <w:bookmarkEnd w:id="1035"/>
      <w:r>
        <w:fldChar w:fldCharType="begin"/>
      </w:r>
      <w:r>
        <w:instrText xml:space="preserve"> XE "TITLE" </w:instrText>
      </w:r>
      <w:r>
        <w:fldChar w:fldCharType="end"/>
      </w:r>
    </w:p>
    <w:p w:rsidR="005F78FC" w:rsidRDefault="00B42EF3">
      <w:pPr>
        <w:pStyle w:val="Definition-Field"/>
      </w:pPr>
      <w:r>
        <w:t xml:space="preserve">a.   </w:t>
      </w:r>
      <w:r>
        <w:rPr>
          <w:i/>
        </w:rPr>
        <w:t>The standard says the TITLE field must use a general-formatting-switch.</w:t>
      </w:r>
    </w:p>
    <w:p w:rsidR="005F78FC" w:rsidRDefault="00B42EF3">
      <w:pPr>
        <w:pStyle w:val="Definition-Field2"/>
      </w:pPr>
      <w:r>
        <w:t>In Word, using a general-formatting-switch in the TITLE field is optional.</w:t>
      </w:r>
    </w:p>
    <w:p w:rsidR="005F78FC" w:rsidRDefault="00B42EF3">
      <w:pPr>
        <w:pStyle w:val="Heading3"/>
      </w:pPr>
      <w:bookmarkStart w:id="1036" w:name="section_034e6e26d25449c29b393767933a923d"/>
      <w:bookmarkStart w:id="1037" w:name="_Toc69878291"/>
      <w:r>
        <w:t>Part 1 Section 17.16.5.67, TOA</w:t>
      </w:r>
      <w:bookmarkEnd w:id="1036"/>
      <w:bookmarkEnd w:id="1037"/>
      <w:r>
        <w:fldChar w:fldCharType="begin"/>
      </w:r>
      <w:r>
        <w:instrText xml:space="preserve"> XE "TOA" </w:instrText>
      </w:r>
      <w:r>
        <w:fldChar w:fldCharType="end"/>
      </w:r>
    </w:p>
    <w:p w:rsidR="005F78FC" w:rsidRDefault="00B42EF3">
      <w:pPr>
        <w:pStyle w:val="Definition-Field"/>
      </w:pPr>
      <w:r>
        <w:t xml:space="preserve">a. </w:t>
      </w:r>
      <w:r>
        <w:t xml:space="preserve">  </w:t>
      </w:r>
      <w:r>
        <w:rPr>
          <w:i/>
        </w:rPr>
        <w:t>The standard does not define a maximum length for the separator switches \d, \e, \g, and \l.</w:t>
      </w:r>
    </w:p>
    <w:p w:rsidR="005F78FC" w:rsidRDefault="00B42EF3">
      <w:pPr>
        <w:pStyle w:val="Definition-Field2"/>
      </w:pPr>
      <w:r>
        <w:t>Word allows at most 15 characters for each of the separator switches \d, \e, \g, and \l.</w:t>
      </w:r>
    </w:p>
    <w:p w:rsidR="005F78FC" w:rsidRDefault="00B42EF3">
      <w:pPr>
        <w:pStyle w:val="Heading3"/>
      </w:pPr>
      <w:bookmarkStart w:id="1038" w:name="section_68f1577f0efe453bbad9cfd69f740b30"/>
      <w:bookmarkStart w:id="1039" w:name="_Toc69878292"/>
      <w:r>
        <w:t>Part 1 Section 17.16.5.68, TOC</w:t>
      </w:r>
      <w:bookmarkEnd w:id="1038"/>
      <w:bookmarkEnd w:id="1039"/>
      <w:r>
        <w:fldChar w:fldCharType="begin"/>
      </w:r>
      <w:r>
        <w:instrText xml:space="preserve"> XE "TOC" </w:instrText>
      </w:r>
      <w:r>
        <w:fldChar w:fldCharType="end"/>
      </w:r>
    </w:p>
    <w:p w:rsidR="005F78FC" w:rsidRDefault="00B42EF3">
      <w:pPr>
        <w:pStyle w:val="Definition-Field"/>
      </w:pPr>
      <w:r>
        <w:t xml:space="preserve">a.   </w:t>
      </w:r>
      <w:r>
        <w:rPr>
          <w:i/>
        </w:rPr>
        <w:t>The standard does not sp</w:t>
      </w:r>
      <w:r>
        <w:rPr>
          <w:i/>
        </w:rPr>
        <w:t>ecify behavior when both the \f and \l switches are used.</w:t>
      </w:r>
    </w:p>
    <w:p w:rsidR="005F78FC" w:rsidRDefault="00B42EF3">
      <w:pPr>
        <w:pStyle w:val="Definition-Field2"/>
      </w:pPr>
      <w:r>
        <w:t>In Word, if the \f switch is used after the \l switch, the \f switch supersedes the levels specified to include all levels.</w:t>
      </w:r>
    </w:p>
    <w:p w:rsidR="005F78FC" w:rsidRDefault="00B42EF3">
      <w:pPr>
        <w:pStyle w:val="Definition-Field"/>
      </w:pPr>
      <w:r>
        <w:t xml:space="preserve">b.   </w:t>
      </w:r>
      <w:r>
        <w:rPr>
          <w:i/>
        </w:rPr>
        <w:t>The standard says that the \p switch argument is a sequence of charac</w:t>
      </w:r>
      <w:r>
        <w:rPr>
          <w:i/>
        </w:rPr>
        <w:t>ters.</w:t>
      </w:r>
    </w:p>
    <w:p w:rsidR="005F78FC" w:rsidRDefault="00B42EF3">
      <w:pPr>
        <w:pStyle w:val="Definition-Field2"/>
      </w:pPr>
      <w:r>
        <w:t>Word only allows a single character in the argument of the \p switch and ignores any additional characters.</w:t>
      </w:r>
    </w:p>
    <w:p w:rsidR="005F78FC" w:rsidRDefault="00B42EF3">
      <w:pPr>
        <w:pStyle w:val="Definition-Field"/>
      </w:pPr>
      <w:r>
        <w:t xml:space="preserve">c.   </w:t>
      </w:r>
      <w:r>
        <w:rPr>
          <w:i/>
        </w:rPr>
        <w:t xml:space="preserve">The standard states that the \o switch will direct the TOC field to include paragraphs formatted with the specified built-in heading </w:t>
      </w:r>
      <w:r>
        <w:rPr>
          <w:i/>
        </w:rPr>
        <w:t>style(s).</w:t>
      </w:r>
    </w:p>
    <w:p w:rsidR="005F78FC" w:rsidRDefault="00B42EF3">
      <w:pPr>
        <w:pStyle w:val="Definition-Field2"/>
      </w:pPr>
      <w:r>
        <w:t>Word will include any style whose definition includes an outlineLvl ("</w:t>
      </w:r>
      <w:hyperlink r:id="rId111">
        <w:r>
          <w:rPr>
            <w:rStyle w:val="Hyperlink"/>
          </w:rPr>
          <w:t>[ISO/IEC-29500-1]</w:t>
        </w:r>
      </w:hyperlink>
      <w:r>
        <w:t xml:space="preserve"> §17.3.1.20; outlineLvl") paragraph property corresponding to the heading level(s) specified </w:t>
      </w:r>
      <w:r>
        <w:t>by the \o field argument.</w:t>
      </w:r>
    </w:p>
    <w:p w:rsidR="005F78FC" w:rsidRDefault="00B42EF3">
      <w:pPr>
        <w:pStyle w:val="Definition-Field"/>
        <w:rPr>
          <w:i/>
        </w:rPr>
      </w:pPr>
      <w:r>
        <w:t xml:space="preserve">d.   </w:t>
      </w:r>
      <w:r>
        <w:rPr>
          <w:i/>
        </w:rPr>
        <w:t>The standard states that the text in the field-argument of the \t switch specifies those styles as a set of comma-separated doublets, with each doublet being a comma-separated set of style name and table of content level.</w:t>
      </w:r>
    </w:p>
    <w:p w:rsidR="005F78FC" w:rsidRDefault="00B42EF3">
      <w:pPr>
        <w:pStyle w:val="Definition-Field2"/>
      </w:pPr>
      <w:r>
        <w:t>Word uses the list</w:t>
      </w:r>
      <w:r>
        <w:rPr>
          <w:i/>
        </w:rPr>
        <w:t>-</w:t>
      </w:r>
      <w:r>
        <w:t>separator ("[ISO/IEC-29500-1] §17.16.1; Syntax") between doublets and the two items within the doublet. But the list</w:t>
      </w:r>
      <w:r>
        <w:rPr>
          <w:i/>
        </w:rPr>
        <w:t>-</w:t>
      </w:r>
      <w:r>
        <w:t>separator can be other characters besides a comma.</w:t>
      </w:r>
    </w:p>
    <w:p w:rsidR="005F78FC" w:rsidRDefault="00B42EF3">
      <w:pPr>
        <w:pStyle w:val="Heading3"/>
      </w:pPr>
      <w:bookmarkStart w:id="1040" w:name="section_bb7ecf827f11485eacabe9237c313497"/>
      <w:bookmarkStart w:id="1041" w:name="_Toc69878293"/>
      <w:r>
        <w:t>Part 1 Section 17.16.5.69, USERADDRESS</w:t>
      </w:r>
      <w:bookmarkEnd w:id="1040"/>
      <w:bookmarkEnd w:id="1041"/>
      <w:r>
        <w:fldChar w:fldCharType="begin"/>
      </w:r>
      <w:r>
        <w:instrText xml:space="preserve"> XE "USERADDRESS" </w:instrText>
      </w:r>
      <w:r>
        <w:fldChar w:fldCharType="end"/>
      </w:r>
    </w:p>
    <w:p w:rsidR="005F78FC" w:rsidRDefault="00B42EF3">
      <w:pPr>
        <w:pStyle w:val="Definition-Field"/>
      </w:pPr>
      <w:r>
        <w:t xml:space="preserve">a.   </w:t>
      </w:r>
      <w:r>
        <w:rPr>
          <w:i/>
        </w:rPr>
        <w:t>The s</w:t>
      </w:r>
      <w:r>
        <w:rPr>
          <w:i/>
        </w:rPr>
        <w:t>tandard says a USERADDRESS field must use a general-formatting-switch.</w:t>
      </w:r>
    </w:p>
    <w:p w:rsidR="005F78FC" w:rsidRDefault="00B42EF3">
      <w:pPr>
        <w:pStyle w:val="Definition-Field2"/>
      </w:pPr>
      <w:r>
        <w:lastRenderedPageBreak/>
        <w:t>In Word, using a general-formatting-switch in a USERADDRESS field is optional.</w:t>
      </w:r>
    </w:p>
    <w:p w:rsidR="005F78FC" w:rsidRDefault="00B42EF3">
      <w:pPr>
        <w:pStyle w:val="Heading3"/>
      </w:pPr>
      <w:bookmarkStart w:id="1042" w:name="section_761605aa1b6b45aab7afd3147b353035"/>
      <w:bookmarkStart w:id="1043" w:name="_Toc69878294"/>
      <w:r>
        <w:t>Part 1 Section 17.16.5.70, USERINITIALS</w:t>
      </w:r>
      <w:bookmarkEnd w:id="1042"/>
      <w:bookmarkEnd w:id="1043"/>
      <w:r>
        <w:fldChar w:fldCharType="begin"/>
      </w:r>
      <w:r>
        <w:instrText xml:space="preserve"> XE "USERINITIALS" </w:instrText>
      </w:r>
      <w:r>
        <w:fldChar w:fldCharType="end"/>
      </w:r>
    </w:p>
    <w:p w:rsidR="005F78FC" w:rsidRDefault="00B42EF3">
      <w:pPr>
        <w:pStyle w:val="Definition-Field"/>
      </w:pPr>
      <w:r>
        <w:t xml:space="preserve">a.   </w:t>
      </w:r>
      <w:r>
        <w:rPr>
          <w:i/>
        </w:rPr>
        <w:t>The standard says the USERINITIALS field</w:t>
      </w:r>
      <w:r>
        <w:rPr>
          <w:i/>
        </w:rPr>
        <w:t xml:space="preserve"> must use a general-formatting-switch.</w:t>
      </w:r>
    </w:p>
    <w:p w:rsidR="005F78FC" w:rsidRDefault="00B42EF3">
      <w:pPr>
        <w:pStyle w:val="Definition-Field2"/>
      </w:pPr>
      <w:r>
        <w:t>In Word, using a general-formatting-switch in a USERINITIALS field is optional.</w:t>
      </w:r>
    </w:p>
    <w:p w:rsidR="005F78FC" w:rsidRDefault="00B42EF3">
      <w:pPr>
        <w:pStyle w:val="Heading3"/>
      </w:pPr>
      <w:bookmarkStart w:id="1044" w:name="section_fa983962308148aeaefefd3dc47bf97f"/>
      <w:bookmarkStart w:id="1045" w:name="_Toc69878295"/>
      <w:r>
        <w:t>Part 1 Section 17.16.5.71, USERNAME</w:t>
      </w:r>
      <w:bookmarkEnd w:id="1044"/>
      <w:bookmarkEnd w:id="1045"/>
      <w:r>
        <w:fldChar w:fldCharType="begin"/>
      </w:r>
      <w:r>
        <w:instrText xml:space="preserve"> XE "USERNAME" </w:instrText>
      </w:r>
      <w:r>
        <w:fldChar w:fldCharType="end"/>
      </w:r>
    </w:p>
    <w:p w:rsidR="005F78FC" w:rsidRDefault="00B42EF3">
      <w:pPr>
        <w:pStyle w:val="Definition-Field"/>
      </w:pPr>
      <w:r>
        <w:t xml:space="preserve">a.   </w:t>
      </w:r>
      <w:r>
        <w:rPr>
          <w:i/>
        </w:rPr>
        <w:t>The standard says a USERNAME field must use a general-formatting-switch.</w:t>
      </w:r>
    </w:p>
    <w:p w:rsidR="005F78FC" w:rsidRDefault="00B42EF3">
      <w:pPr>
        <w:pStyle w:val="Definition-Field2"/>
      </w:pPr>
      <w:r>
        <w:t>In Wor</w:t>
      </w:r>
      <w:r>
        <w:t>d, using a general-formatting-switch in a USERNAME field is optional.</w:t>
      </w:r>
    </w:p>
    <w:p w:rsidR="005F78FC" w:rsidRDefault="00B42EF3">
      <w:pPr>
        <w:pStyle w:val="Heading3"/>
      </w:pPr>
      <w:bookmarkStart w:id="1046" w:name="section_7b8707b610e94ec597f9fc4672784ffd"/>
      <w:bookmarkStart w:id="1047" w:name="_Toc69878296"/>
      <w:r>
        <w:t>Part 1 Section 17.16.5.72, XE</w:t>
      </w:r>
      <w:bookmarkEnd w:id="1046"/>
      <w:bookmarkEnd w:id="1047"/>
      <w:r>
        <w:fldChar w:fldCharType="begin"/>
      </w:r>
      <w:r>
        <w:instrText xml:space="preserve"> XE "XE" </w:instrText>
      </w:r>
      <w:r>
        <w:fldChar w:fldCharType="end"/>
      </w:r>
    </w:p>
    <w:p w:rsidR="005F78FC" w:rsidRDefault="00B42EF3">
      <w:pPr>
        <w:pStyle w:val="Definition-Field"/>
      </w:pPr>
      <w:r>
        <w:t xml:space="preserve">a.   </w:t>
      </w:r>
      <w:r>
        <w:rPr>
          <w:i/>
        </w:rPr>
        <w:t>The standard allows an XE field to specify an unbounded level.</w:t>
      </w:r>
    </w:p>
    <w:p w:rsidR="005F78FC" w:rsidRDefault="00B42EF3">
      <w:pPr>
        <w:pStyle w:val="Definition-Field2"/>
      </w:pPr>
      <w:r>
        <w:t>Word only allows levels up to 7 in an XE field.</w:t>
      </w:r>
    </w:p>
    <w:p w:rsidR="005F78FC" w:rsidRDefault="00B42EF3">
      <w:pPr>
        <w:pStyle w:val="Heading3"/>
      </w:pPr>
      <w:bookmarkStart w:id="1048" w:name="section_91ca872a6a9444138c1471025fb0a08a"/>
      <w:bookmarkStart w:id="1049" w:name="_Toc69878297"/>
      <w:r>
        <w:t>Part 1 Section 17.16.9, ddLis</w:t>
      </w:r>
      <w:r>
        <w:t>t (Drop-Down List Form Field Properties)</w:t>
      </w:r>
      <w:bookmarkEnd w:id="1048"/>
      <w:bookmarkEnd w:id="1049"/>
      <w:r>
        <w:fldChar w:fldCharType="begin"/>
      </w:r>
      <w:r>
        <w:instrText xml:space="preserve"> XE "ddList (Drop-Down List Form Field Properties)" </w:instrText>
      </w:r>
      <w:r>
        <w:fldChar w:fldCharType="end"/>
      </w:r>
    </w:p>
    <w:p w:rsidR="005F78FC" w:rsidRDefault="00B42EF3">
      <w:pPr>
        <w:pStyle w:val="Definition-Field"/>
      </w:pPr>
      <w:r>
        <w:t xml:space="preserve">a.   </w:t>
      </w:r>
      <w:r>
        <w:rPr>
          <w:i/>
        </w:rPr>
        <w:t>The standard states that the maxOccurs value for the listEntry child element is unbounded.</w:t>
      </w:r>
    </w:p>
    <w:p w:rsidR="005F78FC" w:rsidRDefault="00B42EF3">
      <w:pPr>
        <w:pStyle w:val="Definition-Field2"/>
      </w:pPr>
      <w:r>
        <w:t>Word limits the occurrences of this element to 25.</w:t>
      </w:r>
    </w:p>
    <w:p w:rsidR="005F78FC" w:rsidRDefault="00B42EF3">
      <w:pPr>
        <w:pStyle w:val="Heading3"/>
      </w:pPr>
      <w:bookmarkStart w:id="1050" w:name="section_26de22b70cc44053bdea8cc6c6543413"/>
      <w:bookmarkStart w:id="1051" w:name="_Toc69878298"/>
      <w:r>
        <w:t>Part 1 Section</w:t>
      </w:r>
      <w:r>
        <w:t xml:space="preserve"> 17.16.10, default (Default Text Box Form Field String)</w:t>
      </w:r>
      <w:bookmarkEnd w:id="1050"/>
      <w:bookmarkEnd w:id="1051"/>
      <w:r>
        <w:fldChar w:fldCharType="begin"/>
      </w:r>
      <w:r>
        <w:instrText xml:space="preserve"> XE "default (Default Text Box Form Field String)" </w:instrText>
      </w:r>
      <w:r>
        <w:fldChar w:fldCharType="end"/>
      </w:r>
    </w:p>
    <w:p w:rsidR="005F78FC" w:rsidRDefault="00B42EF3">
      <w:pPr>
        <w:pStyle w:val="Definition-Field"/>
      </w:pPr>
      <w:r>
        <w:t xml:space="preserve">a.   </w:t>
      </w:r>
      <w:r>
        <w:rPr>
          <w:i/>
        </w:rPr>
        <w:t>The standard does not limit the length of the value of the val attribute.</w:t>
      </w:r>
    </w:p>
    <w:p w:rsidR="005F78FC" w:rsidRDefault="00B42EF3">
      <w:pPr>
        <w:pStyle w:val="Definition-Field2"/>
      </w:pPr>
      <w:r>
        <w:t>Word restricts the value of this attribute to be at most 255 charact</w:t>
      </w:r>
      <w:r>
        <w:t>ers.</w:t>
      </w:r>
    </w:p>
    <w:p w:rsidR="005F78FC" w:rsidRDefault="00B42EF3">
      <w:pPr>
        <w:pStyle w:val="Heading3"/>
      </w:pPr>
      <w:bookmarkStart w:id="1052" w:name="section_7d6df51b2b874d34b9e2d8943ea6e2b4"/>
      <w:bookmarkStart w:id="1053" w:name="_Toc69878299"/>
      <w:r>
        <w:t>Part 1 Section 17.16.11, default (Default Drop-Down List Item Index)</w:t>
      </w:r>
      <w:bookmarkEnd w:id="1052"/>
      <w:bookmarkEnd w:id="1053"/>
      <w:r>
        <w:fldChar w:fldCharType="begin"/>
      </w:r>
      <w:r>
        <w:instrText xml:space="preserve"> XE "default (Default Drop-Down List Item Index)" </w:instrText>
      </w:r>
      <w:r>
        <w:fldChar w:fldCharType="end"/>
      </w:r>
    </w:p>
    <w:p w:rsidR="005F78FC" w:rsidRDefault="00B42EF3">
      <w:pPr>
        <w:pStyle w:val="Definition-Field"/>
      </w:pPr>
      <w:r>
        <w:t xml:space="preserve">a.   </w:t>
      </w:r>
      <w:r>
        <w:rPr>
          <w:i/>
        </w:rPr>
        <w:t>The standard says that if the value exceeds the number of items in the drop-down list, then drop-down list defaults to its fi</w:t>
      </w:r>
      <w:r>
        <w:rPr>
          <w:i/>
        </w:rPr>
        <w:t>rst entry.</w:t>
      </w:r>
    </w:p>
    <w:p w:rsidR="005F78FC" w:rsidRDefault="00B42EF3">
      <w:pPr>
        <w:pStyle w:val="Definition-Field2"/>
      </w:pPr>
      <w:r>
        <w:t>In Word, if the value exceeds the number of items, then the drop-down list defaults to an empty entry.</w:t>
      </w:r>
    </w:p>
    <w:p w:rsidR="005F78FC" w:rsidRDefault="00B42EF3">
      <w:pPr>
        <w:pStyle w:val="Definition-Field"/>
      </w:pPr>
      <w:r>
        <w:t xml:space="preserve">b.   </w:t>
      </w:r>
      <w:r>
        <w:rPr>
          <w:i/>
        </w:rPr>
        <w:t>The standard states that the values of the val attribute are defined by the XML Schema integer datatype.</w:t>
      </w:r>
    </w:p>
    <w:p w:rsidR="005F78FC" w:rsidRDefault="00B42EF3">
      <w:pPr>
        <w:pStyle w:val="Definition-Field2"/>
      </w:pPr>
      <w:r>
        <w:t>Word restricts the value of this</w:t>
      </w:r>
      <w:r>
        <w:t xml:space="preserve"> attribute to be at least 0 and at most 24.</w:t>
      </w:r>
    </w:p>
    <w:p w:rsidR="005F78FC" w:rsidRDefault="00B42EF3">
      <w:pPr>
        <w:pStyle w:val="Heading3"/>
      </w:pPr>
      <w:bookmarkStart w:id="1054" w:name="section_f18e21fcb8d848a383b9c369bb3880b6"/>
      <w:bookmarkStart w:id="1055" w:name="_Toc69878300"/>
      <w:r>
        <w:t>Part 1 Section 17.16.12, default (Default Checkbox Form Field State)</w:t>
      </w:r>
      <w:bookmarkEnd w:id="1054"/>
      <w:bookmarkEnd w:id="1055"/>
      <w:r>
        <w:fldChar w:fldCharType="begin"/>
      </w:r>
      <w:r>
        <w:instrText xml:space="preserve"> XE "default (Default Checkbox Form Field State)" </w:instrText>
      </w:r>
      <w:r>
        <w:fldChar w:fldCharType="end"/>
      </w:r>
    </w:p>
    <w:p w:rsidR="005F78FC" w:rsidRDefault="00B42EF3">
      <w:pPr>
        <w:pStyle w:val="Definition-Field"/>
      </w:pPr>
      <w:r>
        <w:t xml:space="preserve">a.   </w:t>
      </w:r>
      <w:r>
        <w:rPr>
          <w:i/>
        </w:rPr>
        <w:t>The standard says the checkbox default is used when there is no content in the drop-do</w:t>
      </w:r>
      <w:r>
        <w:rPr>
          <w:i/>
        </w:rPr>
        <w:t>wn.</w:t>
      </w:r>
    </w:p>
    <w:p w:rsidR="005F78FC" w:rsidRDefault="00B42EF3">
      <w:pPr>
        <w:pStyle w:val="Definition-Field2"/>
      </w:pPr>
      <w:r>
        <w:t>In Word, the checkbox default is the default state of the checkbox.</w:t>
      </w:r>
    </w:p>
    <w:p w:rsidR="005F78FC" w:rsidRDefault="00B42EF3">
      <w:pPr>
        <w:pStyle w:val="Heading3"/>
      </w:pPr>
      <w:bookmarkStart w:id="1056" w:name="section_0d5f6b5ce8ae4cd3a79f5d4a6b364db7"/>
      <w:bookmarkStart w:id="1057" w:name="_Toc69878301"/>
      <w:r>
        <w:t>Part 1 Section 17.16.17, ffData (Form Field Properties)</w:t>
      </w:r>
      <w:bookmarkEnd w:id="1056"/>
      <w:bookmarkEnd w:id="1057"/>
      <w:r>
        <w:fldChar w:fldCharType="begin"/>
      </w:r>
      <w:r>
        <w:instrText xml:space="preserve"> XE "ffData (Form Field Properties)" </w:instrText>
      </w:r>
      <w:r>
        <w:fldChar w:fldCharType="end"/>
      </w:r>
    </w:p>
    <w:p w:rsidR="005F78FC" w:rsidRDefault="00B42EF3">
      <w:pPr>
        <w:pStyle w:val="Definition-Field"/>
      </w:pPr>
      <w:r>
        <w:t xml:space="preserve">a.   </w:t>
      </w:r>
      <w:r>
        <w:rPr>
          <w:i/>
        </w:rPr>
        <w:t>The standard says that if ffData is omitted, the properties associated with the form</w:t>
      </w:r>
      <w:r>
        <w:rPr>
          <w:i/>
        </w:rPr>
        <w:t xml:space="preserve"> field shall be based on default values for the form field.</w:t>
      </w:r>
    </w:p>
    <w:p w:rsidR="005F78FC" w:rsidRDefault="00B42EF3">
      <w:pPr>
        <w:pStyle w:val="Definition-Field2"/>
      </w:pPr>
      <w:r>
        <w:lastRenderedPageBreak/>
        <w:t>In Word, if ffData is omitted, the form field is considered invalid and cannot be used or edited.</w:t>
      </w:r>
    </w:p>
    <w:p w:rsidR="005F78FC" w:rsidRDefault="00B42EF3">
      <w:pPr>
        <w:pStyle w:val="Definition-Field"/>
      </w:pPr>
      <w:r>
        <w:t xml:space="preserve">b.   </w:t>
      </w:r>
      <w:r>
        <w:rPr>
          <w:i/>
        </w:rPr>
        <w:t>The standard states that label and tabIndex are child elements of this element.</w:t>
      </w:r>
    </w:p>
    <w:p w:rsidR="005F78FC" w:rsidRDefault="00B42EF3">
      <w:pPr>
        <w:pStyle w:val="Definition-Field2"/>
      </w:pPr>
      <w:r>
        <w:t xml:space="preserve">Word ignores </w:t>
      </w:r>
      <w:r>
        <w:t>these elements and does not round trip them.</w:t>
      </w:r>
    </w:p>
    <w:p w:rsidR="005F78FC" w:rsidRDefault="00B42EF3">
      <w:pPr>
        <w:pStyle w:val="Heading3"/>
      </w:pPr>
      <w:bookmarkStart w:id="1058" w:name="section_3ef1ff9c08084ef8a90c45eae43aa729"/>
      <w:bookmarkStart w:id="1059" w:name="_Toc69878302"/>
      <w:r>
        <w:t>Part 1 Section 17.16.19, fldSimple (Simple Field)</w:t>
      </w:r>
      <w:bookmarkEnd w:id="1058"/>
      <w:bookmarkEnd w:id="1059"/>
      <w:r>
        <w:fldChar w:fldCharType="begin"/>
      </w:r>
      <w:r>
        <w:instrText xml:space="preserve"> XE "fldSimple (Simple Field)"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5F78FC" w:rsidRDefault="00B42EF3">
      <w:pPr>
        <w:pStyle w:val="Heading3"/>
      </w:pPr>
      <w:bookmarkStart w:id="1060" w:name="section_345db88e99a24102ab5eab85f1c4b3d9"/>
      <w:bookmarkStart w:id="1061" w:name="_Toc69878303"/>
      <w:r>
        <w:t>Part 1 Section 17.16.20, format (Text Box Form Field Formatting)</w:t>
      </w:r>
      <w:bookmarkEnd w:id="1060"/>
      <w:bookmarkEnd w:id="1061"/>
      <w:r>
        <w:fldChar w:fldCharType="begin"/>
      </w:r>
      <w:r>
        <w:instrText xml:space="preserve"> XE "format (Text Box Form Field Formatting)" </w:instrText>
      </w:r>
      <w:r>
        <w:fldChar w:fldCharType="end"/>
      </w:r>
    </w:p>
    <w:p w:rsidR="005F78FC" w:rsidRDefault="00B42EF3">
      <w:pPr>
        <w:pStyle w:val="Definition-Field"/>
      </w:pPr>
      <w:r>
        <w:t xml:space="preserve">a.   </w:t>
      </w:r>
      <w:r>
        <w:rPr>
          <w:i/>
        </w:rPr>
        <w:t>The standard does not limit the length of the value of the val attribute.</w:t>
      </w:r>
    </w:p>
    <w:p w:rsidR="005F78FC" w:rsidRDefault="00B42EF3">
      <w:pPr>
        <w:pStyle w:val="Definition-Field2"/>
      </w:pPr>
      <w:r>
        <w:t xml:space="preserve">Word restricts </w:t>
      </w:r>
      <w:r>
        <w:t>the value of this attribute to be at most 64 characters.</w:t>
      </w:r>
    </w:p>
    <w:p w:rsidR="005F78FC" w:rsidRDefault="00B42EF3">
      <w:pPr>
        <w:pStyle w:val="Definition-Field"/>
      </w:pPr>
      <w:r>
        <w:t xml:space="preserve">b.   </w:t>
      </w:r>
      <w:r>
        <w:rPr>
          <w:i/>
        </w:rPr>
        <w:t>The standard lists four possible values for format when type is equal to regular.</w:t>
      </w:r>
    </w:p>
    <w:p w:rsidR="005F78FC" w:rsidRDefault="00B42EF3">
      <w:pPr>
        <w:pStyle w:val="Definition-Field2"/>
      </w:pPr>
      <w:r>
        <w:t>Word also uses the values "Single byte ..." and "Double byte ...".</w:t>
      </w:r>
    </w:p>
    <w:p w:rsidR="005F78FC" w:rsidRDefault="00B42EF3">
      <w:pPr>
        <w:pStyle w:val="Heading3"/>
      </w:pPr>
      <w:bookmarkStart w:id="1062" w:name="section_df06e42311a64a36bfb382139e531781"/>
      <w:bookmarkStart w:id="1063" w:name="_Toc69878304"/>
      <w:r>
        <w:t>Part 1 Section 17.16.22, hyperlink (Hyperlink</w:t>
      </w:r>
      <w:r>
        <w:t>)</w:t>
      </w:r>
      <w:bookmarkEnd w:id="1062"/>
      <w:bookmarkEnd w:id="1063"/>
      <w:r>
        <w:fldChar w:fldCharType="begin"/>
      </w:r>
      <w:r>
        <w:instrText xml:space="preserve"> XE "hyperlink (Hyperlink)"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5F78FC" w:rsidRDefault="00B42EF3">
      <w:pPr>
        <w:pStyle w:val="Definition-Field"/>
      </w:pPr>
      <w:r>
        <w:t xml:space="preserve">a.   </w:t>
      </w:r>
      <w:r>
        <w:rPr>
          <w:i/>
        </w:rPr>
        <w:t>The standard does not limit the length of th</w:t>
      </w:r>
      <w:r>
        <w:rPr>
          <w:i/>
        </w:rPr>
        <w:t>e values of the anchor, docLocation, tgtFrame, and tooltip attributes.</w:t>
      </w:r>
    </w:p>
    <w:p w:rsidR="005F78FC" w:rsidRDefault="00B42EF3">
      <w:pPr>
        <w:pStyle w:val="Definition-Field2"/>
      </w:pPr>
      <w:r>
        <w:t>Word restricts the values of the anchor, docLocation, and tgtFrame attributes to be at most 255 characters and the tooltip attribute to be at most 260 characters.</w:t>
      </w:r>
    </w:p>
    <w:p w:rsidR="005F78FC" w:rsidRDefault="00B42EF3">
      <w:pPr>
        <w:pStyle w:val="Definition-Field"/>
        <w:rPr>
          <w:i/>
        </w:rPr>
      </w:pPr>
      <w:r>
        <w:rPr>
          <w:i/>
        </w:rPr>
        <w:t>b.   The standard stat</w:t>
      </w:r>
      <w:r>
        <w:rPr>
          <w:i/>
        </w:rPr>
        <w:t>es that if a hyperlink target is also specified using the r:id attribute, then the anchor attribute shall be ignored.</w:t>
      </w:r>
    </w:p>
    <w:p w:rsidR="005F78FC" w:rsidRDefault="00B42EF3">
      <w:pPr>
        <w:pStyle w:val="Definition-Field2"/>
      </w:pPr>
      <w:r>
        <w:t xml:space="preserve">Word appends a “#” and the value of the anchor attribute to the hyperlink’s Target URL from the Relationship element in the corresponding </w:t>
      </w:r>
      <w:r>
        <w:t>relationship part.</w:t>
      </w:r>
    </w:p>
    <w:p w:rsidR="005F78FC" w:rsidRDefault="00B42EF3">
      <w:pPr>
        <w:pStyle w:val="Heading3"/>
      </w:pPr>
      <w:bookmarkStart w:id="1064" w:name="section_3e1acc92ae7a4b3db0f756fc7fb20389"/>
      <w:bookmarkStart w:id="1065" w:name="_Toc69878305"/>
      <w:r>
        <w:t>Part 1 Section 17.16.24, label (Form Field Label)</w:t>
      </w:r>
      <w:bookmarkEnd w:id="1064"/>
      <w:bookmarkEnd w:id="1065"/>
      <w:r>
        <w:fldChar w:fldCharType="begin"/>
      </w:r>
      <w:r>
        <w:instrText xml:space="preserve"> XE "label (Form Field Label)" </w:instrText>
      </w:r>
      <w:r>
        <w:fldChar w:fldCharType="end"/>
      </w:r>
    </w:p>
    <w:p w:rsidR="005F78FC" w:rsidRDefault="00B42EF3">
      <w:pPr>
        <w:pStyle w:val="Definition-Field"/>
      </w:pPr>
      <w:r>
        <w:t xml:space="preserve">a.   </w:t>
      </w:r>
      <w:r>
        <w:rPr>
          <w:i/>
        </w:rPr>
        <w:t>The standard specifies this element as a valid element.</w:t>
      </w:r>
    </w:p>
    <w:p w:rsidR="005F78FC" w:rsidRDefault="00B42EF3">
      <w:pPr>
        <w:pStyle w:val="Definition-Field2"/>
      </w:pPr>
      <w:r>
        <w:t>Word ignores this element and does not round trip it.</w:t>
      </w:r>
    </w:p>
    <w:p w:rsidR="005F78FC" w:rsidRDefault="00B42EF3">
      <w:pPr>
        <w:pStyle w:val="Heading3"/>
      </w:pPr>
      <w:bookmarkStart w:id="1066" w:name="section_4e781457da074e9faf1ddd0cec4763f3"/>
      <w:bookmarkStart w:id="1067" w:name="_Toc69878306"/>
      <w:r>
        <w:t>Part 1 Section 17.16.25, listEntry (Dro</w:t>
      </w:r>
      <w:r>
        <w:t>p-Down List Entry)</w:t>
      </w:r>
      <w:bookmarkEnd w:id="1066"/>
      <w:bookmarkEnd w:id="1067"/>
      <w:r>
        <w:fldChar w:fldCharType="begin"/>
      </w:r>
      <w:r>
        <w:instrText xml:space="preserve"> XE "listEntry (Drop-Down List Entry)" </w:instrText>
      </w:r>
      <w:r>
        <w:fldChar w:fldCharType="end"/>
      </w:r>
    </w:p>
    <w:p w:rsidR="005F78FC" w:rsidRDefault="00B42EF3">
      <w:pPr>
        <w:pStyle w:val="Definition-Field"/>
      </w:pPr>
      <w:r>
        <w:t xml:space="preserve">a.   </w:t>
      </w:r>
      <w:r>
        <w:rPr>
          <w:i/>
        </w:rPr>
        <w:t>The standard does not limit the length of the value of the val attribute.</w:t>
      </w:r>
    </w:p>
    <w:p w:rsidR="005F78FC" w:rsidRDefault="00B42EF3">
      <w:pPr>
        <w:pStyle w:val="Definition-Field2"/>
      </w:pPr>
      <w:r>
        <w:t>Word restricts the value of this attribute to be at most 255 characters.</w:t>
      </w:r>
    </w:p>
    <w:p w:rsidR="005F78FC" w:rsidRDefault="00B42EF3">
      <w:pPr>
        <w:pStyle w:val="Heading3"/>
      </w:pPr>
      <w:bookmarkStart w:id="1068" w:name="section_e6ea592afffb4630a06894e9d7139d4f"/>
      <w:bookmarkStart w:id="1069" w:name="_Toc69878307"/>
      <w:r>
        <w:t>Part 1 Section 17.16.26, maxLength (Text Box</w:t>
      </w:r>
      <w:r>
        <w:t xml:space="preserve"> Form Field Maximum Length)</w:t>
      </w:r>
      <w:bookmarkEnd w:id="1068"/>
      <w:bookmarkEnd w:id="1069"/>
      <w:r>
        <w:fldChar w:fldCharType="begin"/>
      </w:r>
      <w:r>
        <w:instrText xml:space="preserve"> XE "maxLength (Text Box Form Field Maximum Length)" </w:instrText>
      </w:r>
      <w:r>
        <w:fldChar w:fldCharType="end"/>
      </w:r>
    </w:p>
    <w:p w:rsidR="005F78FC" w:rsidRDefault="00B42EF3">
      <w:pPr>
        <w:pStyle w:val="Definition-Field"/>
      </w:pPr>
      <w:r>
        <w:t xml:space="preserve">a.   </w:t>
      </w:r>
      <w:r>
        <w:rPr>
          <w:i/>
        </w:rPr>
        <w:t>The standard states that the values of the val attribute are defined by the XML Schema integer datatype.</w:t>
      </w:r>
    </w:p>
    <w:p w:rsidR="005F78FC" w:rsidRDefault="00B42EF3">
      <w:pPr>
        <w:pStyle w:val="Definition-Field2"/>
      </w:pPr>
      <w:r>
        <w:lastRenderedPageBreak/>
        <w:t>Word defines the values of this attribute with the XML Schema s</w:t>
      </w:r>
      <w:r>
        <w:t>hort datatype, with a minimum value of 1.</w:t>
      </w:r>
    </w:p>
    <w:p w:rsidR="005F78FC" w:rsidRDefault="00B42EF3">
      <w:pPr>
        <w:pStyle w:val="Heading3"/>
      </w:pPr>
      <w:bookmarkStart w:id="1070" w:name="section_0f67f3287aa143aab0460cc528dd282e"/>
      <w:bookmarkStart w:id="1071" w:name="_Toc69878308"/>
      <w:r>
        <w:t>Part 1 Section 17.16.32, tabIndex (Form Field Navigation Order Index)</w:t>
      </w:r>
      <w:bookmarkEnd w:id="1070"/>
      <w:bookmarkEnd w:id="1071"/>
      <w:r>
        <w:fldChar w:fldCharType="begin"/>
      </w:r>
      <w:r>
        <w:instrText xml:space="preserve"> XE "tabIndex (Form Field Navigation Order Index)" </w:instrText>
      </w:r>
      <w:r>
        <w:fldChar w:fldCharType="end"/>
      </w:r>
    </w:p>
    <w:p w:rsidR="005F78FC" w:rsidRDefault="00B42EF3">
      <w:pPr>
        <w:pStyle w:val="Definition-Field"/>
      </w:pPr>
      <w:r>
        <w:t xml:space="preserve">a.   </w:t>
      </w:r>
      <w:r>
        <w:rPr>
          <w:i/>
        </w:rPr>
        <w:t>The standard states this element is a valid element</w:t>
      </w:r>
    </w:p>
    <w:p w:rsidR="005F78FC" w:rsidRDefault="00B42EF3">
      <w:pPr>
        <w:pStyle w:val="Definition-Field2"/>
      </w:pPr>
      <w:r>
        <w:t xml:space="preserve">Word ignores this element, and </w:t>
      </w:r>
      <w:r>
        <w:t>does not round trip it.</w:t>
      </w:r>
    </w:p>
    <w:p w:rsidR="005F78FC" w:rsidRDefault="00B42EF3">
      <w:pPr>
        <w:pStyle w:val="Heading3"/>
      </w:pPr>
      <w:bookmarkStart w:id="1072" w:name="section_4a1be0d6d0b14f8ea9a8acc497684599"/>
      <w:bookmarkStart w:id="1073" w:name="_Toc69878309"/>
      <w:r>
        <w:t>Part 1 Section 17.17.1.1, subDoc (Anchor for Subdocument Location)</w:t>
      </w:r>
      <w:bookmarkEnd w:id="1072"/>
      <w:bookmarkEnd w:id="1073"/>
      <w:r>
        <w:fldChar w:fldCharType="begin"/>
      </w:r>
      <w:r>
        <w:instrText xml:space="preserve"> XE "subDoc (Anchor for Subdocument Location)"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 xml:space="preserve">; </w:t>
      </w:r>
      <w:hyperlink w:anchor="Section_ab7a0345712e4eef9bcc80c37e68d9bb">
        <w:r>
          <w:rPr>
            <w:rStyle w:val="Hyperlink"/>
          </w:rPr>
          <w:t>oMath, §22.1.2.77(c)</w:t>
        </w:r>
      </w:hyperlink>
      <w:r>
        <w:rPr>
          <w:i/>
        </w:rPr>
        <w:t>.</w:t>
      </w:r>
    </w:p>
    <w:p w:rsidR="005F78FC" w:rsidRDefault="00B42EF3">
      <w:pPr>
        <w:pStyle w:val="Heading3"/>
      </w:pPr>
      <w:bookmarkStart w:id="1074" w:name="section_c391c28f1b034a21a4f84d9cddd4a95c"/>
      <w:bookmarkStart w:id="1075" w:name="_Toc69878310"/>
      <w:r>
        <w:t>Part 1 Section 17.17.2.1, altChunk (Anchor for Imported External Content)</w:t>
      </w:r>
      <w:bookmarkEnd w:id="1074"/>
      <w:bookmarkEnd w:id="1075"/>
      <w:r>
        <w:fldChar w:fldCharType="begin"/>
      </w:r>
      <w:r>
        <w:instrText xml:space="preserve"> XE "altChunk (Anchor for Im</w:instrText>
      </w:r>
      <w:r>
        <w:instrText xml:space="preserve">ported External Content)" </w:instrText>
      </w:r>
      <w:r>
        <w:fldChar w:fldCharType="end"/>
      </w:r>
    </w:p>
    <w:p w:rsidR="005F78FC" w:rsidRDefault="00B42EF3">
      <w:pPr>
        <w:pStyle w:val="Definition-Field"/>
      </w:pPr>
      <w:r>
        <w:t xml:space="preserve">a.   </w:t>
      </w:r>
      <w:r>
        <w:rPr>
          <w:i/>
        </w:rPr>
        <w:t>The standard states that the relationship type is http://schemas.openxmlformats.org/officeDocument/2006/relationships/afChunk.</w:t>
      </w:r>
    </w:p>
    <w:p w:rsidR="005F78FC" w:rsidRDefault="00B42EF3">
      <w:pPr>
        <w:pStyle w:val="Definition-Field2"/>
      </w:pPr>
      <w:r>
        <w:t>Word uses the relationship type defined in Alternative Format Import Part ("</w:t>
      </w:r>
      <w:hyperlink r:id="rId112">
        <w:r>
          <w:rPr>
            <w:rStyle w:val="Hyperlink"/>
          </w:rPr>
          <w:t>[ISO/IEC-29500-1]</w:t>
        </w:r>
      </w:hyperlink>
      <w:r>
        <w:t xml:space="preserve"> §11.3.1"): http://schemas.openxmlformats.org/officeDocument/2006/relationships/aFChunk.</w:t>
      </w:r>
    </w:p>
    <w:p w:rsidR="005F78FC" w:rsidRDefault="00B42EF3">
      <w:pPr>
        <w:pStyle w:val="Definition-Field"/>
      </w:pPr>
      <w:r>
        <w:t xml:space="preserve">b.   </w:t>
      </w:r>
      <w:r>
        <w:rPr>
          <w:i/>
        </w:rPr>
        <w:t>The standard specifies that applications can support any set of content types.</w:t>
      </w:r>
    </w:p>
    <w:p w:rsidR="005F78FC" w:rsidRDefault="00B42EF3">
      <w:r>
        <w:t xml:space="preserve">Word supports the </w:t>
      </w:r>
      <w:r>
        <w:t>following content types:</w:t>
      </w:r>
    </w:p>
    <w:p w:rsidR="005F78FC" w:rsidRDefault="00B42EF3">
      <w:pPr>
        <w:pStyle w:val="ListParagraph"/>
        <w:numPr>
          <w:ilvl w:val="0"/>
          <w:numId w:val="64"/>
        </w:numPr>
        <w:contextualSpacing/>
      </w:pPr>
      <w:r>
        <w:t>application/vnd.openxmlformats-officedocument.wordprocessingml.document.main+xml</w:t>
      </w:r>
    </w:p>
    <w:p w:rsidR="005F78FC" w:rsidRDefault="00B42EF3">
      <w:pPr>
        <w:pStyle w:val="ListParagraph"/>
        <w:numPr>
          <w:ilvl w:val="0"/>
          <w:numId w:val="64"/>
        </w:numPr>
        <w:contextualSpacing/>
      </w:pPr>
      <w:r>
        <w:t>application/vnd.ms-word.document.macroEnabled.main+xml</w:t>
      </w:r>
    </w:p>
    <w:p w:rsidR="005F78FC" w:rsidRDefault="00B42EF3">
      <w:pPr>
        <w:pStyle w:val="ListParagraph"/>
        <w:numPr>
          <w:ilvl w:val="0"/>
          <w:numId w:val="64"/>
        </w:numPr>
        <w:contextualSpacing/>
      </w:pPr>
      <w:r>
        <w:t>application/vnd.openxmlformats-officedocument.wordprocessingml.template.main+xml</w:t>
      </w:r>
    </w:p>
    <w:p w:rsidR="005F78FC" w:rsidRDefault="00B42EF3">
      <w:pPr>
        <w:pStyle w:val="ListParagraph"/>
        <w:numPr>
          <w:ilvl w:val="0"/>
          <w:numId w:val="64"/>
        </w:numPr>
        <w:contextualSpacing/>
      </w:pPr>
      <w:r>
        <w:t>application/vn</w:t>
      </w:r>
      <w:r>
        <w:t>d.ms-word.template.macroEnabledTemplate.main+xml</w:t>
      </w:r>
    </w:p>
    <w:p w:rsidR="005F78FC" w:rsidRDefault="00B42EF3">
      <w:pPr>
        <w:pStyle w:val="ListParagraph"/>
        <w:numPr>
          <w:ilvl w:val="0"/>
          <w:numId w:val="64"/>
        </w:numPr>
        <w:contextualSpacing/>
      </w:pPr>
      <w:r>
        <w:t>message/rfc822</w:t>
      </w:r>
    </w:p>
    <w:p w:rsidR="005F78FC" w:rsidRDefault="00B42EF3">
      <w:pPr>
        <w:pStyle w:val="ListParagraph"/>
        <w:numPr>
          <w:ilvl w:val="0"/>
          <w:numId w:val="64"/>
        </w:numPr>
        <w:contextualSpacing/>
      </w:pPr>
      <w:r>
        <w:t>application/xml</w:t>
      </w:r>
    </w:p>
    <w:p w:rsidR="005F78FC" w:rsidRDefault="00B42EF3">
      <w:pPr>
        <w:pStyle w:val="ListParagraph"/>
        <w:numPr>
          <w:ilvl w:val="0"/>
          <w:numId w:val="64"/>
        </w:numPr>
        <w:contextualSpacing/>
      </w:pPr>
      <w:r>
        <w:t>application/rtf</w:t>
      </w:r>
    </w:p>
    <w:p w:rsidR="005F78FC" w:rsidRDefault="00B42EF3">
      <w:pPr>
        <w:pStyle w:val="ListParagraph"/>
        <w:numPr>
          <w:ilvl w:val="0"/>
          <w:numId w:val="64"/>
        </w:numPr>
        <w:contextualSpacing/>
      </w:pPr>
      <w:r>
        <w:t>application/xhtml+xml</w:t>
      </w:r>
    </w:p>
    <w:p w:rsidR="005F78FC" w:rsidRDefault="00B42EF3">
      <w:pPr>
        <w:pStyle w:val="ListParagraph"/>
        <w:numPr>
          <w:ilvl w:val="0"/>
          <w:numId w:val="64"/>
        </w:numPr>
        <w:contextualSpacing/>
      </w:pPr>
      <w:r>
        <w:t>text/html</w:t>
      </w:r>
    </w:p>
    <w:p w:rsidR="005F78FC" w:rsidRDefault="00B42EF3">
      <w:pPr>
        <w:pStyle w:val="ListParagraph"/>
        <w:numPr>
          <w:ilvl w:val="0"/>
          <w:numId w:val="64"/>
        </w:numPr>
      </w:pPr>
      <w:r>
        <w:t>text/plain</w:t>
      </w:r>
    </w:p>
    <w:p w:rsidR="005F78FC" w:rsidRDefault="00B42EF3">
      <w:pPr>
        <w:pStyle w:val="Heading3"/>
      </w:pPr>
      <w:bookmarkStart w:id="1076" w:name="section_923382bf235a4f4ab9dfd5a0f8b2ead8"/>
      <w:bookmarkStart w:id="1077" w:name="_Toc69878311"/>
      <w:r>
        <w:t>Part 1 Section 17.18.2, ST_Border (Border Styles)</w:t>
      </w:r>
      <w:bookmarkEnd w:id="1076"/>
      <w:bookmarkEnd w:id="1077"/>
      <w:r>
        <w:fldChar w:fldCharType="begin"/>
      </w:r>
      <w:r>
        <w:instrText xml:space="preserve"> XE "ST_Border (Border Styles)" </w:instrText>
      </w:r>
      <w:r>
        <w:fldChar w:fldCharType="end"/>
      </w:r>
    </w:p>
    <w:p w:rsidR="005F78FC" w:rsidRDefault="00B42EF3">
      <w:pPr>
        <w:pStyle w:val="Definition-Field"/>
      </w:pPr>
      <w:r>
        <w:t xml:space="preserve">a.   </w:t>
      </w:r>
      <w:r>
        <w:rPr>
          <w:i/>
        </w:rPr>
        <w:t>The standard states that the</w:t>
      </w:r>
      <w:r>
        <w:rPr>
          <w:i/>
        </w:rPr>
        <w:t xml:space="preserve"> thinThickLargeGap, thinThickMediumGap, and thinThickSmallGap border styles specify line borders consisting of a thin line contained within a thick line contained within a thick thin.</w:t>
      </w:r>
    </w:p>
    <w:p w:rsidR="005F78FC" w:rsidRDefault="00B42EF3">
      <w:pPr>
        <w:pStyle w:val="Definition-Field2"/>
      </w:pPr>
      <w:r>
        <w:t>Word uses these styles to specify line borders consisting of a thin line</w:t>
      </w:r>
      <w:r>
        <w:t xml:space="preserve"> contained within a thick line.</w:t>
      </w:r>
    </w:p>
    <w:p w:rsidR="005F78FC" w:rsidRDefault="00B42EF3">
      <w:pPr>
        <w:pStyle w:val="Definition-Field"/>
      </w:pPr>
      <w:r>
        <w:t xml:space="preserve">b.   </w:t>
      </w:r>
      <w:r>
        <w:rPr>
          <w:i/>
        </w:rPr>
        <w:t>The standard places no restrictions on when the inset and outset border styles should be honored.</w:t>
      </w:r>
    </w:p>
    <w:p w:rsidR="005F78FC" w:rsidRDefault="00B42EF3">
      <w:pPr>
        <w:pStyle w:val="Definition-Field2"/>
      </w:pPr>
      <w:r>
        <w:t>Word displays inset and outset borders using the single border style when the border is not a table border or when the re</w:t>
      </w:r>
      <w:r>
        <w:t>solved value of the tblCellSpacing element for a row is nil.</w:t>
      </w:r>
    </w:p>
    <w:p w:rsidR="005F78FC" w:rsidRDefault="00B42EF3">
      <w:pPr>
        <w:pStyle w:val="Definition-Field"/>
      </w:pPr>
      <w:r>
        <w:t xml:space="preserve">c.   </w:t>
      </w:r>
      <w:r>
        <w:rPr>
          <w:i/>
        </w:rPr>
        <w:t>The standard states that the inset and outset border styles specify a line border consisting of an inset/outset set of lines around the parent object.</w:t>
      </w:r>
    </w:p>
    <w:p w:rsidR="005F78FC" w:rsidRDefault="00B42EF3">
      <w:pPr>
        <w:pStyle w:val="Definition-Field2"/>
      </w:pPr>
      <w:r>
        <w:t>Word displays these border styles as de</w:t>
      </w:r>
      <w:r>
        <w:t xml:space="preserve">fined in the CSS2 specification </w:t>
      </w:r>
      <w:hyperlink r:id="rId113">
        <w:r>
          <w:rPr>
            <w:rStyle w:val="Hyperlink"/>
          </w:rPr>
          <w:t>[CSS-LEVEL2]</w:t>
        </w:r>
      </w:hyperlink>
      <w:r>
        <w:t>.</w:t>
      </w:r>
    </w:p>
    <w:p w:rsidR="005F78FC" w:rsidRDefault="00B42EF3">
      <w:pPr>
        <w:pStyle w:val="Definition-Field"/>
      </w:pPr>
      <w:r>
        <w:t xml:space="preserve">d.   </w:t>
      </w:r>
      <w:r>
        <w:rPr>
          <w:i/>
        </w:rPr>
        <w:t>The standard states that custom is a valid enumeration value.</w:t>
      </w:r>
    </w:p>
    <w:p w:rsidR="005F78FC" w:rsidRDefault="00B42EF3">
      <w:pPr>
        <w:pStyle w:val="Definition-Field2"/>
      </w:pPr>
      <w:r>
        <w:lastRenderedPageBreak/>
        <w:t>In Word, if the enumeration value of an ST_Border simple type is custom, then</w:t>
      </w:r>
      <w:r>
        <w:t xml:space="preserve"> the file is considered corrupt.</w:t>
      </w:r>
    </w:p>
    <w:p w:rsidR="005F78FC" w:rsidRDefault="00B42EF3">
      <w:pPr>
        <w:pStyle w:val="Heading3"/>
      </w:pPr>
      <w:bookmarkStart w:id="1078" w:name="section_1123446a4d214b2baa9cee57a2efb7c9"/>
      <w:bookmarkStart w:id="1079" w:name="_Toc69878312"/>
      <w:r>
        <w:t>Part 1 Section 17.18.3, ST_BrClear (Line Break Text Wrapping Restart Location)</w:t>
      </w:r>
      <w:bookmarkEnd w:id="1078"/>
      <w:bookmarkEnd w:id="1079"/>
      <w:r>
        <w:fldChar w:fldCharType="begin"/>
      </w:r>
      <w:r>
        <w:instrText xml:space="preserve"> XE "ST_BrClear (Line Break Text Wrapping Restart Location)" </w:instrText>
      </w:r>
      <w:r>
        <w:fldChar w:fldCharType="end"/>
      </w:r>
    </w:p>
    <w:p w:rsidR="005F78FC" w:rsidRDefault="00B42EF3">
      <w:pPr>
        <w:pStyle w:val="Definition-Field"/>
      </w:pPr>
      <w:r>
        <w:t xml:space="preserve">a.   </w:t>
      </w:r>
      <w:r>
        <w:rPr>
          <w:i/>
        </w:rPr>
        <w:t>The standard states that a value of "clear" determines the next possible res</w:t>
      </w:r>
      <w:r>
        <w:rPr>
          <w:i/>
        </w:rPr>
        <w:t>tart location.</w:t>
      </w:r>
    </w:p>
    <w:p w:rsidR="005F78FC" w:rsidRDefault="00B42EF3">
      <w:pPr>
        <w:pStyle w:val="Definition-Field2"/>
      </w:pPr>
      <w:r>
        <w:t>Word respects this value in Web Layout, but behaves unpredictably in Print Layout.</w:t>
      </w:r>
    </w:p>
    <w:p w:rsidR="005F78FC" w:rsidRDefault="00B42EF3">
      <w:pPr>
        <w:pStyle w:val="Heading3"/>
      </w:pPr>
      <w:bookmarkStart w:id="1080" w:name="section_aaf2ad21b3cf4832bfc3614966a1fd3e"/>
      <w:bookmarkStart w:id="1081" w:name="_Toc69878313"/>
      <w:r>
        <w:t>Part 1 Section 17.18.5, ST_CaptionPos (Automatic Caption Positioning Values)</w:t>
      </w:r>
      <w:bookmarkEnd w:id="1080"/>
      <w:bookmarkEnd w:id="1081"/>
      <w:r>
        <w:fldChar w:fldCharType="begin"/>
      </w:r>
      <w:r>
        <w:instrText xml:space="preserve"> XE "ST_CaptionPos (Automatic Caption Positioning Values)" </w:instrText>
      </w:r>
      <w:r>
        <w:fldChar w:fldCharType="end"/>
      </w:r>
    </w:p>
    <w:p w:rsidR="005F78FC" w:rsidRDefault="00B42EF3">
      <w:pPr>
        <w:pStyle w:val="Definition-Field"/>
      </w:pPr>
      <w:r>
        <w:t xml:space="preserve">a.   </w:t>
      </w:r>
      <w:r>
        <w:rPr>
          <w:i/>
        </w:rPr>
        <w:t>The standard al</w:t>
      </w:r>
      <w:r>
        <w:rPr>
          <w:i/>
        </w:rPr>
        <w:t>lows that left, right, above, and below for automatically inserted captions.</w:t>
      </w:r>
    </w:p>
    <w:p w:rsidR="005F78FC" w:rsidRDefault="00B42EF3">
      <w:pPr>
        <w:pStyle w:val="Definition-Field2"/>
      </w:pPr>
      <w:r>
        <w:t>Word supports only above and below for automatically inserted captions.</w:t>
      </w:r>
    </w:p>
    <w:p w:rsidR="005F78FC" w:rsidRDefault="00B42EF3">
      <w:pPr>
        <w:pStyle w:val="Heading3"/>
      </w:pPr>
      <w:bookmarkStart w:id="1082" w:name="section_df329b39b03e498395649c7d41edc5b5"/>
      <w:bookmarkStart w:id="1083" w:name="_Toc69878314"/>
      <w:r>
        <w:t>Part 1 Section 17.18.7, ST_CharacterSpacing (Character-Level Whitespace Compression Settings)</w:t>
      </w:r>
      <w:bookmarkEnd w:id="1082"/>
      <w:bookmarkEnd w:id="1083"/>
      <w:r>
        <w:fldChar w:fldCharType="begin"/>
      </w:r>
      <w:r>
        <w:instrText xml:space="preserve"> XE "ST_Charac</w:instrText>
      </w:r>
      <w:r>
        <w:instrText xml:space="preserve">terSpacing (Character-Level Whitespace Compression Settings)" </w:instrText>
      </w:r>
      <w:r>
        <w:fldChar w:fldCharType="end"/>
      </w:r>
    </w:p>
    <w:p w:rsidR="005F78FC" w:rsidRDefault="00B42EF3">
      <w:pPr>
        <w:pStyle w:val="Definition-Field"/>
      </w:pPr>
      <w:r>
        <w:t xml:space="preserve">a.   </w:t>
      </w:r>
      <w:r>
        <w:rPr>
          <w:i/>
        </w:rPr>
        <w:t>The standard states that the ST_CharacterSpacing simple type specifies that white space compression is applied to white space characters.</w:t>
      </w:r>
    </w:p>
    <w:p w:rsidR="005F78FC" w:rsidRDefault="00B42EF3">
      <w:pPr>
        <w:pStyle w:val="Definition-Field2"/>
      </w:pPr>
      <w:r>
        <w:t>In Word, this simple type applies white space co</w:t>
      </w:r>
      <w:r>
        <w:t>mpression to full width punctuation characters.</w:t>
      </w:r>
    </w:p>
    <w:p w:rsidR="005F78FC" w:rsidRDefault="00B42EF3">
      <w:pPr>
        <w:pStyle w:val="Heading3"/>
      </w:pPr>
      <w:bookmarkStart w:id="1084" w:name="section_f22c45b2866741ce93a3b1451c17790a"/>
      <w:bookmarkStart w:id="1085" w:name="_Toc69878315"/>
      <w:r>
        <w:t>Part 1 Section 17.18.10, ST_DecimalNumber (Decimal Number Value)</w:t>
      </w:r>
      <w:bookmarkEnd w:id="1084"/>
      <w:bookmarkEnd w:id="1085"/>
      <w:r>
        <w:fldChar w:fldCharType="begin"/>
      </w:r>
      <w:r>
        <w:instrText xml:space="preserve"> XE "ST_DecimalNumber (Decimal Number Value)" </w:instrText>
      </w:r>
      <w:r>
        <w:fldChar w:fldCharType="end"/>
      </w:r>
    </w:p>
    <w:p w:rsidR="005F78FC" w:rsidRDefault="00B42EF3">
      <w:pPr>
        <w:pStyle w:val="Definition-Field"/>
      </w:pPr>
      <w:r>
        <w:t xml:space="preserve">a.   </w:t>
      </w:r>
      <w:r>
        <w:rPr>
          <w:i/>
        </w:rPr>
        <w:t>The standard states that the contents of the ST_DecimalNumber simple type are a restrictio</w:t>
      </w:r>
      <w:r>
        <w:rPr>
          <w:i/>
        </w:rPr>
        <w:t>n on the XML Schema integer datatype.</w:t>
      </w:r>
    </w:p>
    <w:p w:rsidR="005F78FC" w:rsidRDefault="00B42EF3">
      <w:pPr>
        <w:pStyle w:val="Definition-Field2"/>
      </w:pPr>
      <w:r>
        <w:t>Word defines the contents of this simple type as being a restriction on the XML Schema int datatype.</w:t>
      </w:r>
    </w:p>
    <w:p w:rsidR="005F78FC" w:rsidRDefault="00B42EF3">
      <w:pPr>
        <w:pStyle w:val="Heading3"/>
      </w:pPr>
      <w:bookmarkStart w:id="1086" w:name="section_45e24c5e5db2493694488c72a1f7d60e"/>
      <w:bookmarkStart w:id="1087" w:name="_Toc69878316"/>
      <w:r>
        <w:t>Part 1 Section 17.18.13, ST_DisplacedByCustomXml (Location of Custom XML Markup Displacing an Annotation)</w:t>
      </w:r>
      <w:bookmarkEnd w:id="1086"/>
      <w:bookmarkEnd w:id="1087"/>
      <w:r>
        <w:fldChar w:fldCharType="begin"/>
      </w:r>
      <w:r>
        <w:instrText xml:space="preserve"> XE "ST_Disp</w:instrText>
      </w:r>
      <w:r>
        <w:instrText xml:space="preserve">lacedByCustomXml (Location of Custom XML Markup Displacing an Annotation)" </w:instrText>
      </w:r>
      <w:r>
        <w:fldChar w:fldCharType="end"/>
      </w:r>
    </w:p>
    <w:p w:rsidR="005F78FC" w:rsidRDefault="00B42EF3">
      <w:pPr>
        <w:pStyle w:val="Definition-Field"/>
      </w:pPr>
      <w:r>
        <w:t xml:space="preserve">a.   </w:t>
      </w:r>
      <w:r>
        <w:rPr>
          <w:i/>
        </w:rPr>
        <w:t>The standard allows the displacedByCustomXml attribute to be used in comments, headers, and footers.</w:t>
      </w:r>
    </w:p>
    <w:p w:rsidR="005F78FC" w:rsidRDefault="00B42EF3">
      <w:pPr>
        <w:pStyle w:val="Definition-Field2"/>
      </w:pPr>
      <w:r>
        <w:t>Word may ignore the parent element under certain conditions when it enco</w:t>
      </w:r>
      <w:r>
        <w:t>unters the displacedByCustomXml attribute in a comment, header, or footer.</w:t>
      </w:r>
    </w:p>
    <w:p w:rsidR="005F78FC" w:rsidRDefault="00B42EF3">
      <w:pPr>
        <w:pStyle w:val="Heading3"/>
      </w:pPr>
      <w:bookmarkStart w:id="1088" w:name="section_ad4d920120514b7d8f9cba019f0ae7a6"/>
      <w:bookmarkStart w:id="1089" w:name="_Toc69878317"/>
      <w:r>
        <w:t>Part 1 Section 17.18.14, ST_DocGrid (Document Grid Types)</w:t>
      </w:r>
      <w:bookmarkEnd w:id="1088"/>
      <w:bookmarkEnd w:id="1089"/>
      <w:r>
        <w:fldChar w:fldCharType="begin"/>
      </w:r>
      <w:r>
        <w:instrText xml:space="preserve"> XE "ST_DocGrid (Document Grid Types)" </w:instrText>
      </w:r>
      <w:r>
        <w:fldChar w:fldCharType="end"/>
      </w:r>
    </w:p>
    <w:p w:rsidR="005F78FC" w:rsidRDefault="00B42EF3">
      <w:pPr>
        <w:pStyle w:val="Definition-Field"/>
      </w:pPr>
      <w:r>
        <w:t xml:space="preserve">a.   </w:t>
      </w:r>
      <w:r>
        <w:rPr>
          <w:i/>
        </w:rPr>
        <w:t>The standard states that the snapToChars attribute serves the same purpose as</w:t>
      </w:r>
      <w:r>
        <w:rPr>
          <w:i/>
        </w:rPr>
        <w:t xml:space="preserve"> the linesAndChars attribute.</w:t>
      </w:r>
    </w:p>
    <w:p w:rsidR="005F78FC" w:rsidRDefault="00B42EF3">
      <w:r>
        <w:t xml:space="preserve">The snapToChars attribute specifies that each line in the parent section shall be divided into units of the character pitch specified on the </w:t>
      </w:r>
      <w:r>
        <w:rPr>
          <w:b/>
        </w:rPr>
        <w:t>docGrid</w:t>
      </w:r>
      <w:r>
        <w:t xml:space="preserve"> element ("</w:t>
      </w:r>
      <w:hyperlink r:id="rId114">
        <w:r>
          <w:rPr>
            <w:rStyle w:val="Hyperlink"/>
          </w:rPr>
          <w:t>[</w:t>
        </w:r>
        <w:r>
          <w:rPr>
            <w:rStyle w:val="Hyperlink"/>
          </w:rPr>
          <w:t>ISO/IEC-29500-1]</w:t>
        </w:r>
      </w:hyperlink>
      <w:r>
        <w:t xml:space="preserve"> §17.6.5; docGrid"). Contiguous regions of characters u as </w:t>
      </w:r>
      <w:r>
        <w:rPr>
          <w:i/>
        </w:rPr>
        <w:t>eastAsia</w:t>
      </w:r>
      <w:r>
        <w:t xml:space="preserve">, </w:t>
      </w:r>
      <w:r>
        <w:rPr>
          <w:i/>
        </w:rPr>
        <w:t>ascii</w:t>
      </w:r>
      <w:r>
        <w:t>/</w:t>
      </w:r>
      <w:r>
        <w:rPr>
          <w:i/>
        </w:rPr>
        <w:t>hAnsi</w:t>
      </w:r>
      <w:r>
        <w:t xml:space="preserve">, and </w:t>
      </w:r>
      <w:r>
        <w:rPr>
          <w:i/>
        </w:rPr>
        <w:t>cs</w:t>
      </w:r>
      <w:r>
        <w:t xml:space="preserve"> using the character classification algorithm are then placed into these units as follows:</w:t>
      </w:r>
    </w:p>
    <w:p w:rsidR="005F78FC" w:rsidRDefault="00B42EF3">
      <w:pPr>
        <w:pStyle w:val="ListParagraph"/>
        <w:numPr>
          <w:ilvl w:val="0"/>
          <w:numId w:val="65"/>
        </w:numPr>
        <w:contextualSpacing/>
      </w:pPr>
      <w:r>
        <w:rPr>
          <w:i/>
        </w:rPr>
        <w:t>eastAsia</w:t>
      </w:r>
      <w:r>
        <w:t xml:space="preserve"> – One character per grid unit, centered in that unit</w:t>
      </w:r>
      <w:r>
        <w:t>.</w:t>
      </w:r>
    </w:p>
    <w:p w:rsidR="005F78FC" w:rsidRDefault="00B42EF3">
      <w:pPr>
        <w:pStyle w:val="ListParagraph"/>
        <w:numPr>
          <w:ilvl w:val="0"/>
          <w:numId w:val="65"/>
        </w:numPr>
        <w:contextualSpacing/>
      </w:pPr>
      <w:r>
        <w:rPr>
          <w:i/>
        </w:rPr>
        <w:t>ascii</w:t>
      </w:r>
      <w:r>
        <w:t>/</w:t>
      </w:r>
      <w:r>
        <w:rPr>
          <w:i/>
        </w:rPr>
        <w:t>hAnsi</w:t>
      </w:r>
      <w:r>
        <w:t xml:space="preserve"> – All characters in the block centered in as many grid units as are necessary to display that text. [Example: If text needs 4.1 grid units of space, it is centered in 5 units. end example]</w:t>
      </w:r>
    </w:p>
    <w:p w:rsidR="005F78FC" w:rsidRDefault="00B42EF3">
      <w:pPr>
        <w:pStyle w:val="ListParagraph"/>
        <w:numPr>
          <w:ilvl w:val="0"/>
          <w:numId w:val="65"/>
        </w:numPr>
      </w:pPr>
      <w:r>
        <w:rPr>
          <w:i/>
        </w:rPr>
        <w:lastRenderedPageBreak/>
        <w:t>cs</w:t>
      </w:r>
      <w:r>
        <w:t xml:space="preserve"> – All characters in the block left-aligned in as m</w:t>
      </w:r>
      <w:r>
        <w:t>any grid units as are necessary to display that text.</w:t>
      </w:r>
    </w:p>
    <w:p w:rsidR="005F78FC" w:rsidRDefault="00B42EF3">
      <w:r>
        <w:t xml:space="preserve">The additional line pitch on the </w:t>
      </w:r>
      <w:r>
        <w:rPr>
          <w:b/>
        </w:rPr>
        <w:t>docGrid</w:t>
      </w:r>
      <w:r>
        <w:t xml:space="preserve"> element is also added in order to maintain a specific number of lines per page and characters per line.</w:t>
      </w:r>
    </w:p>
    <w:p w:rsidR="005F78FC" w:rsidRDefault="00B42EF3">
      <w:pPr>
        <w:pStyle w:val="Heading3"/>
      </w:pPr>
      <w:bookmarkStart w:id="1090" w:name="section_292959d9ea4a4953b29f6c243ffa5471"/>
      <w:bookmarkStart w:id="1091" w:name="_Toc69878318"/>
      <w:r>
        <w:t>Part 1 Section 17.18.15, ST_DocPartBehavior (Insertion Be</w:t>
      </w:r>
      <w:r>
        <w:t>havior Types)</w:t>
      </w:r>
      <w:bookmarkEnd w:id="1090"/>
      <w:bookmarkEnd w:id="1091"/>
      <w:r>
        <w:fldChar w:fldCharType="begin"/>
      </w:r>
      <w:r>
        <w:instrText xml:space="preserve"> XE "ST_DocPartBehavior (Insertion Behavior Types)" </w:instrText>
      </w:r>
      <w:r>
        <w:fldChar w:fldCharType="end"/>
      </w:r>
    </w:p>
    <w:p w:rsidR="005F78FC" w:rsidRDefault="00B42EF3">
      <w:pPr>
        <w:pStyle w:val="Definition-Field"/>
      </w:pPr>
      <w:r>
        <w:t xml:space="preserve">a.   </w:t>
      </w:r>
      <w:r>
        <w:rPr>
          <w:i/>
        </w:rPr>
        <w:t>The standard says that when the behavior is set to pg, the entry is preceded by a blank paragraph whose only content is a page break character.</w:t>
      </w:r>
    </w:p>
    <w:p w:rsidR="005F78FC" w:rsidRDefault="00B42EF3">
      <w:pPr>
        <w:pStyle w:val="Definition-Field2"/>
      </w:pPr>
      <w:r>
        <w:t>In Word, when the behavior is set to pg</w:t>
      </w:r>
      <w:r>
        <w:t>, the entry is preceded by a page break character, but that page break character is not necessarily the only content in the previous paragraph.</w:t>
      </w:r>
    </w:p>
    <w:p w:rsidR="005F78FC" w:rsidRDefault="00B42EF3">
      <w:pPr>
        <w:pStyle w:val="Definition-Field"/>
      </w:pPr>
      <w:r>
        <w:t xml:space="preserve">b.   </w:t>
      </w:r>
      <w:r>
        <w:rPr>
          <w:i/>
        </w:rPr>
        <w:t>The standard says that when the behavior is set to pg, the entry is put on its own new page by preceding it</w:t>
      </w:r>
      <w:r>
        <w:rPr>
          <w:i/>
        </w:rPr>
        <w:t xml:space="preserve"> with a page break.</w:t>
      </w:r>
    </w:p>
    <w:p w:rsidR="005F78FC" w:rsidRDefault="00B42EF3">
      <w:pPr>
        <w:pStyle w:val="Definition-Field2"/>
      </w:pPr>
      <w:r>
        <w:t>In Word, when the behavior is set to pg, the entry is put on its own new page by adding a preceding and trailing page break.</w:t>
      </w:r>
    </w:p>
    <w:p w:rsidR="005F78FC" w:rsidRDefault="00B42EF3">
      <w:pPr>
        <w:pStyle w:val="Heading3"/>
      </w:pPr>
      <w:bookmarkStart w:id="1092" w:name="section_8043b424e27544ba95726a25ee5e9b84"/>
      <w:bookmarkStart w:id="1093" w:name="_Toc69878319"/>
      <w:r>
        <w:t>Part 1 Section 17.18.24, ST_Em (Emphasis Mark Type)</w:t>
      </w:r>
      <w:bookmarkEnd w:id="1092"/>
      <w:bookmarkEnd w:id="1093"/>
      <w:r>
        <w:fldChar w:fldCharType="begin"/>
      </w:r>
      <w:r>
        <w:instrText xml:space="preserve"> XE "ST_Em (Emphasis Mark Type)" </w:instrText>
      </w:r>
      <w:r>
        <w:fldChar w:fldCharType="end"/>
      </w:r>
    </w:p>
    <w:p w:rsidR="005F78FC" w:rsidRDefault="00B42EF3">
      <w:pPr>
        <w:pStyle w:val="Definition-Field"/>
      </w:pPr>
      <w:r>
        <w:t xml:space="preserve">a.   </w:t>
      </w:r>
      <w:r>
        <w:rPr>
          <w:i/>
        </w:rPr>
        <w:t xml:space="preserve">The standard does </w:t>
      </w:r>
      <w:r>
        <w:rPr>
          <w:i/>
        </w:rPr>
        <w:t>not state which language should be used for the language resolution part of the emphasis mark values.</w:t>
      </w:r>
    </w:p>
    <w:p w:rsidR="005F78FC" w:rsidRDefault="00B42EF3">
      <w:pPr>
        <w:pStyle w:val="Definition-Field2"/>
      </w:pPr>
      <w:r>
        <w:t>Word uses the East Asian language for the language resolution part of these values.</w:t>
      </w:r>
    </w:p>
    <w:p w:rsidR="005F78FC" w:rsidRDefault="00B42EF3">
      <w:pPr>
        <w:pStyle w:val="Definition-Field"/>
      </w:pPr>
      <w:r>
        <w:t xml:space="preserve">b.   </w:t>
      </w:r>
      <w:r>
        <w:rPr>
          <w:i/>
        </w:rPr>
        <w:t>The standard states that the dot value specifies that the emphasi</w:t>
      </w:r>
      <w:r>
        <w:rPr>
          <w:i/>
        </w:rPr>
        <w:t>s mark is to be rendered using Unicode character 0xFF0E for Japanese and Simplified Chinese, 0x2027 for Traditional Chinese, and 0x02D9 for all other East Asian languages.</w:t>
      </w:r>
    </w:p>
    <w:p w:rsidR="005F78FC" w:rsidRDefault="00B42EF3">
      <w:pPr>
        <w:pStyle w:val="Definition-Field2"/>
      </w:pPr>
      <w:r>
        <w:t>In Word, the emphasis mark is rendered using Unicode character 0x02D9 for Korean, 0x</w:t>
      </w:r>
      <w:r>
        <w:t>2027 for Traditional Chinese, and 0xFF0E for all other East Asian languages.</w:t>
      </w:r>
    </w:p>
    <w:p w:rsidR="005F78FC" w:rsidRDefault="00B42EF3">
      <w:pPr>
        <w:pStyle w:val="Definition-Field"/>
      </w:pPr>
      <w:r>
        <w:t xml:space="preserve">c.   </w:t>
      </w:r>
      <w:r>
        <w:rPr>
          <w:i/>
        </w:rPr>
        <w:t>The standard specifies that Traditional Chinese shall use Unicode character 0x3002 for the circle value and that it shall be positioned beneath the characters.</w:t>
      </w:r>
    </w:p>
    <w:p w:rsidR="005F78FC" w:rsidRDefault="00B42EF3">
      <w:pPr>
        <w:pStyle w:val="Definition-Field2"/>
      </w:pPr>
      <w:r>
        <w:t xml:space="preserve">Word does not </w:t>
      </w:r>
      <w:r>
        <w:t>place the circle emphasis beneath the characters for Traditional Chinese.</w:t>
      </w:r>
    </w:p>
    <w:p w:rsidR="005F78FC" w:rsidRDefault="00B42EF3">
      <w:pPr>
        <w:pStyle w:val="Definition-Field"/>
      </w:pPr>
      <w:r>
        <w:t xml:space="preserve">d.   </w:t>
      </w:r>
      <w:r>
        <w:rPr>
          <w:i/>
        </w:rPr>
        <w:t>The standard specifies that the emphasis mark is a comma character, rendered above each character, using Unicode character 0x3001.</w:t>
      </w:r>
    </w:p>
    <w:p w:rsidR="005F78FC" w:rsidRDefault="00B42EF3">
      <w:pPr>
        <w:pStyle w:val="Definition-Field2"/>
      </w:pPr>
      <w:r>
        <w:t xml:space="preserve">In Word, a circle type is used instead of the </w:t>
      </w:r>
      <w:r>
        <w:t>comma type if the East Asian language of the text is Korean or Traditional Chinese.</w:t>
      </w:r>
    </w:p>
    <w:p w:rsidR="005F78FC" w:rsidRDefault="00B42EF3">
      <w:pPr>
        <w:pStyle w:val="Heading3"/>
      </w:pPr>
      <w:bookmarkStart w:id="1094" w:name="section_04451925852741c38c05bbfa37d3b618"/>
      <w:bookmarkStart w:id="1095" w:name="_Toc69878320"/>
      <w:r>
        <w:t>Part 1 Section 17.18.25, ST_FFHelpTextVal (Help Text Value)</w:t>
      </w:r>
      <w:bookmarkEnd w:id="1094"/>
      <w:bookmarkEnd w:id="1095"/>
      <w:r>
        <w:fldChar w:fldCharType="begin"/>
      </w:r>
      <w:r>
        <w:instrText xml:space="preserve"> XE "ST_FFHelpTextVal (Help Text Value)" </w:instrText>
      </w:r>
      <w:r>
        <w:fldChar w:fldCharType="end"/>
      </w:r>
    </w:p>
    <w:p w:rsidR="005F78FC" w:rsidRDefault="00B42EF3">
      <w:pPr>
        <w:pStyle w:val="Definition-Field"/>
      </w:pPr>
      <w:r>
        <w:t xml:space="preserve">a.   </w:t>
      </w:r>
      <w:r>
        <w:rPr>
          <w:i/>
        </w:rPr>
        <w:t>The standard states that the ST_FFHelpTextVal simple type allows</w:t>
      </w:r>
      <w:r>
        <w:rPr>
          <w:i/>
        </w:rPr>
        <w:t xml:space="preserve"> strings with 256 characters.</w:t>
      </w:r>
    </w:p>
    <w:p w:rsidR="005F78FC" w:rsidRDefault="00B42EF3">
      <w:pPr>
        <w:pStyle w:val="Definition-Field2"/>
      </w:pPr>
      <w:r>
        <w:t>In Word, the ST_FFHelpTextVal attribute allows strings with at most 255 characters.</w:t>
      </w:r>
    </w:p>
    <w:p w:rsidR="005F78FC" w:rsidRDefault="00B42EF3">
      <w:pPr>
        <w:pStyle w:val="Heading3"/>
      </w:pPr>
      <w:bookmarkStart w:id="1096" w:name="section_b174b3b20ea040bf8af47b79f843ebd1"/>
      <w:bookmarkStart w:id="1097" w:name="_Toc69878321"/>
      <w:r>
        <w:t>Part 1 Section 17.18.26, ST_FFName (Form Field Name Value)</w:t>
      </w:r>
      <w:bookmarkEnd w:id="1096"/>
      <w:bookmarkEnd w:id="1097"/>
      <w:r>
        <w:fldChar w:fldCharType="begin"/>
      </w:r>
      <w:r>
        <w:instrText xml:space="preserve"> XE "ST_FFName (Form Field Name Value)" </w:instrText>
      </w:r>
      <w:r>
        <w:fldChar w:fldCharType="end"/>
      </w:r>
    </w:p>
    <w:p w:rsidR="005F78FC" w:rsidRDefault="00B42EF3">
      <w:pPr>
        <w:pStyle w:val="Definition-Field"/>
      </w:pPr>
      <w:r>
        <w:t xml:space="preserve">a.   </w:t>
      </w:r>
      <w:r>
        <w:rPr>
          <w:i/>
        </w:rPr>
        <w:t xml:space="preserve">The standard allows strings with at </w:t>
      </w:r>
      <w:r>
        <w:rPr>
          <w:i/>
        </w:rPr>
        <w:t>most 65 characters.</w:t>
      </w:r>
    </w:p>
    <w:p w:rsidR="005F78FC" w:rsidRDefault="00B42EF3">
      <w:pPr>
        <w:pStyle w:val="Definition-Field2"/>
      </w:pPr>
      <w:r>
        <w:t>Word allows strings with at most 20 characters.</w:t>
      </w:r>
    </w:p>
    <w:p w:rsidR="005F78FC" w:rsidRDefault="00B42EF3">
      <w:pPr>
        <w:pStyle w:val="Heading3"/>
      </w:pPr>
      <w:bookmarkStart w:id="1098" w:name="section_7ea5a9b7e6f3441da1fb24c4e7bf5afd"/>
      <w:bookmarkStart w:id="1099" w:name="_Toc69878322"/>
      <w:r>
        <w:lastRenderedPageBreak/>
        <w:t>Part 1 Section 17.18.27, ST_FFStatusTextVal (Status Text Value)</w:t>
      </w:r>
      <w:bookmarkEnd w:id="1098"/>
      <w:bookmarkEnd w:id="1099"/>
      <w:r>
        <w:fldChar w:fldCharType="begin"/>
      </w:r>
      <w:r>
        <w:instrText xml:space="preserve"> XE "ST_FFStatusTextVal (Status Text Value)" </w:instrText>
      </w:r>
      <w:r>
        <w:fldChar w:fldCharType="end"/>
      </w:r>
    </w:p>
    <w:p w:rsidR="005F78FC" w:rsidRDefault="00B42EF3">
      <w:pPr>
        <w:pStyle w:val="Definition-Field"/>
      </w:pPr>
      <w:r>
        <w:t xml:space="preserve">a.   </w:t>
      </w:r>
      <w:r>
        <w:rPr>
          <w:i/>
        </w:rPr>
        <w:t>The standard states that the ST_FFStatusTextVal simple type allows strin</w:t>
      </w:r>
      <w:r>
        <w:rPr>
          <w:i/>
        </w:rPr>
        <w:t>gs with up to 140 characters.</w:t>
      </w:r>
    </w:p>
    <w:p w:rsidR="005F78FC" w:rsidRDefault="00B42EF3">
      <w:pPr>
        <w:pStyle w:val="Definition-Field2"/>
      </w:pPr>
      <w:r>
        <w:t>In Word, the ST_FFStatusTextVal simple type allows strings with at most 138 characters.</w:t>
      </w:r>
    </w:p>
    <w:p w:rsidR="005F78FC" w:rsidRDefault="00B42EF3">
      <w:pPr>
        <w:pStyle w:val="Heading3"/>
      </w:pPr>
      <w:bookmarkStart w:id="1100" w:name="section_f84063fe7ad248c78f86630a1cd53133"/>
      <w:bookmarkStart w:id="1101" w:name="_Toc69878323"/>
      <w:r>
        <w:t>Part 1 Section 17.18.31, ST_FrameLayout (Frameset Layout Order)</w:t>
      </w:r>
      <w:bookmarkEnd w:id="1100"/>
      <w:bookmarkEnd w:id="1101"/>
      <w:r>
        <w:fldChar w:fldCharType="begin"/>
      </w:r>
      <w:r>
        <w:instrText xml:space="preserve"> XE "ST_FrameLayout (Frameset Layout Order)" </w:instrText>
      </w:r>
      <w:r>
        <w:fldChar w:fldCharType="end"/>
      </w:r>
    </w:p>
    <w:p w:rsidR="005F78FC" w:rsidRDefault="00B42EF3">
      <w:pPr>
        <w:pStyle w:val="Definition-Field"/>
      </w:pPr>
      <w:r>
        <w:t xml:space="preserve">a.   </w:t>
      </w:r>
      <w:r>
        <w:rPr>
          <w:i/>
        </w:rPr>
        <w:t xml:space="preserve">The standard states </w:t>
      </w:r>
      <w:r>
        <w:rPr>
          <w:i/>
        </w:rPr>
        <w:t>that the enumeration value none means that no frames shall be shown in the frameset.</w:t>
      </w:r>
    </w:p>
    <w:p w:rsidR="005F78FC" w:rsidRDefault="00B42EF3">
      <w:pPr>
        <w:pStyle w:val="Definition-Field2"/>
      </w:pPr>
      <w:r>
        <w:t>Word interprets an enumeration value of none to mean that one frame should be shown in the frameset.</w:t>
      </w:r>
    </w:p>
    <w:p w:rsidR="005F78FC" w:rsidRDefault="00B42EF3">
      <w:pPr>
        <w:pStyle w:val="Heading3"/>
      </w:pPr>
      <w:bookmarkStart w:id="1102" w:name="section_22bdb755e0c948d282929d5fac2c9a7b"/>
      <w:bookmarkStart w:id="1103" w:name="_Toc69878324"/>
      <w:r>
        <w:t>Part 1 Section 17.18.34, ST_FtnPos (Footnote Positioning Location)</w:t>
      </w:r>
      <w:bookmarkEnd w:id="1102"/>
      <w:bookmarkEnd w:id="1103"/>
      <w:r>
        <w:fldChar w:fldCharType="begin"/>
      </w:r>
      <w:r>
        <w:instrText xml:space="preserve"> XE </w:instrText>
      </w:r>
      <w:r>
        <w:instrText xml:space="preserve">"ST_FtnPos (Footnote Positioning Location)" </w:instrText>
      </w:r>
      <w:r>
        <w:fldChar w:fldCharType="end"/>
      </w:r>
    </w:p>
    <w:p w:rsidR="005F78FC" w:rsidRDefault="00B42EF3">
      <w:pPr>
        <w:pStyle w:val="Definition-Field"/>
      </w:pPr>
      <w:r>
        <w:t xml:space="preserve">a.   </w:t>
      </w:r>
      <w:r>
        <w:rPr>
          <w:i/>
        </w:rPr>
        <w:t>The standard defines docEnd as a supported value in the footnote position enumeration.</w:t>
      </w:r>
    </w:p>
    <w:p w:rsidR="005F78FC" w:rsidRDefault="00B42EF3">
      <w:pPr>
        <w:pStyle w:val="Definition-Field2"/>
      </w:pPr>
      <w:r>
        <w:t>Word does not support docEnd as a value in the footnote position enumeration.</w:t>
      </w:r>
    </w:p>
    <w:p w:rsidR="005F78FC" w:rsidRDefault="00B42EF3">
      <w:pPr>
        <w:pStyle w:val="Definition-Field"/>
      </w:pPr>
      <w:r>
        <w:t xml:space="preserve">b.   </w:t>
      </w:r>
      <w:r>
        <w:rPr>
          <w:i/>
        </w:rPr>
        <w:t>In the standard, sectEnd specifies</w:t>
      </w:r>
      <w:r>
        <w:rPr>
          <w:i/>
        </w:rPr>
        <w:t xml:space="preserve"> that all footnotes shall be placed at the end of the section in which they are referenced.</w:t>
      </w:r>
    </w:p>
    <w:p w:rsidR="005F78FC" w:rsidRDefault="00B42EF3">
      <w:pPr>
        <w:pStyle w:val="Definition-Field2"/>
      </w:pPr>
      <w:r>
        <w:t>Word treats sectEnd like beneathText and displays footnotes immediately after the last line of text on the page on which the note reference mark appears.</w:t>
      </w:r>
    </w:p>
    <w:p w:rsidR="005F78FC" w:rsidRDefault="00B42EF3">
      <w:pPr>
        <w:pStyle w:val="Heading3"/>
      </w:pPr>
      <w:bookmarkStart w:id="1104" w:name="section_df56a0b882f944d7b165a229c46c124f"/>
      <w:bookmarkStart w:id="1105" w:name="_Toc69878325"/>
      <w:r>
        <w:t>Part 1 Sec</w:t>
      </w:r>
      <w:r>
        <w:t>tion 17.18.36, ST_HdrFtr (Header or Footer Type)</w:t>
      </w:r>
      <w:bookmarkEnd w:id="1104"/>
      <w:bookmarkEnd w:id="1105"/>
      <w:r>
        <w:fldChar w:fldCharType="begin"/>
      </w:r>
      <w:r>
        <w:instrText xml:space="preserve"> XE "ST_HdrFtr (Header or Footer Type)" </w:instrText>
      </w:r>
      <w:r>
        <w:fldChar w:fldCharType="end"/>
      </w:r>
    </w:p>
    <w:p w:rsidR="005F78FC" w:rsidRDefault="00B42EF3">
      <w:pPr>
        <w:pStyle w:val="Definition-Field"/>
      </w:pPr>
      <w:r>
        <w:t xml:space="preserve">a.   </w:t>
      </w:r>
      <w:r>
        <w:rPr>
          <w:i/>
        </w:rPr>
        <w:t>The standard states that counting always starts from one for Odd/Even page number calculation.</w:t>
      </w:r>
    </w:p>
    <w:p w:rsidR="005F78FC" w:rsidRDefault="00B42EF3">
      <w:pPr>
        <w:pStyle w:val="Definition-Field2"/>
      </w:pPr>
      <w:r>
        <w:t xml:space="preserve">In Word, counting depends on page numbering settings of the </w:t>
      </w:r>
      <w:r>
        <w:t>section.</w:t>
      </w:r>
    </w:p>
    <w:p w:rsidR="005F78FC" w:rsidRDefault="00B42EF3">
      <w:pPr>
        <w:pStyle w:val="Heading3"/>
      </w:pPr>
      <w:bookmarkStart w:id="1106" w:name="section_2d0bf5facdf44e5f9a49d3b3e0a2a35c"/>
      <w:bookmarkStart w:id="1107" w:name="_Toc69878326"/>
      <w:r>
        <w:t>Part 1 Section 17.18.42, ST_HpsMeasure (Measurement in Half-Points)</w:t>
      </w:r>
      <w:bookmarkEnd w:id="1106"/>
      <w:bookmarkEnd w:id="1107"/>
      <w:r>
        <w:fldChar w:fldCharType="begin"/>
      </w:r>
      <w:r>
        <w:instrText xml:space="preserve"> XE "ST_HpsMeasure (Measurement in Half-Points)" </w:instrText>
      </w:r>
      <w:r>
        <w:fldChar w:fldCharType="end"/>
      </w:r>
    </w:p>
    <w:p w:rsidR="005F78FC" w:rsidRDefault="00B42EF3">
      <w:pPr>
        <w:pStyle w:val="Definition-Field"/>
      </w:pPr>
      <w:r>
        <w:t xml:space="preserve">a.   </w:t>
      </w:r>
      <w:r>
        <w:rPr>
          <w:i/>
        </w:rPr>
        <w:t>The standard states that the contents of the ST_HpsMeasure simple type are a restriction on the XML Schema unsignedLong dat</w:t>
      </w:r>
      <w:r>
        <w:rPr>
          <w:i/>
        </w:rPr>
        <w:t>atype.</w:t>
      </w:r>
    </w:p>
    <w:p w:rsidR="005F78FC" w:rsidRDefault="00B42EF3">
      <w:pPr>
        <w:pStyle w:val="Definition-Field2"/>
      </w:pPr>
      <w:r>
        <w:t>Word defines this simple type as being a restriction on the XML Schema unsignedInt datatype, with a minimum value of 2 and a maximum value of 3277.</w:t>
      </w:r>
    </w:p>
    <w:p w:rsidR="005F78FC" w:rsidRDefault="00B42EF3">
      <w:pPr>
        <w:pStyle w:val="Heading3"/>
      </w:pPr>
      <w:bookmarkStart w:id="1108" w:name="section_07c96be7c9ee4987ab27c667e4b5ebfa"/>
      <w:bookmarkStart w:id="1109" w:name="_Toc69878327"/>
      <w:r>
        <w:t>Part 1 Section 17.18.44, ST_Jc (Horizontal Alignment Type)</w:t>
      </w:r>
      <w:bookmarkEnd w:id="1108"/>
      <w:bookmarkEnd w:id="1109"/>
      <w:r>
        <w:fldChar w:fldCharType="begin"/>
      </w:r>
      <w:r>
        <w:instrText xml:space="preserve"> XE "ST_Jc (Horizontal Alignment Type)" </w:instrText>
      </w:r>
      <w:r>
        <w:fldChar w:fldCharType="end"/>
      </w:r>
    </w:p>
    <w:p w:rsidR="005F78FC" w:rsidRDefault="00B42EF3">
      <w:pPr>
        <w:pStyle w:val="Definition-Field"/>
      </w:pPr>
      <w:r>
        <w:t xml:space="preserve">a.   </w:t>
      </w:r>
      <w:r>
        <w:rPr>
          <w:i/>
        </w:rPr>
        <w:t>The standard states that the lowKashida setting shall also be applied to Arabic text when the enumeration value is set to both.</w:t>
      </w:r>
    </w:p>
    <w:p w:rsidR="005F78FC" w:rsidRDefault="00B42EF3">
      <w:pPr>
        <w:pStyle w:val="Definition-Field2"/>
      </w:pPr>
      <w:r>
        <w:t>Word does not apply the lowKashida setting when the enumeration value is set to both.</w:t>
      </w:r>
    </w:p>
    <w:p w:rsidR="005F78FC" w:rsidRDefault="00B42EF3">
      <w:pPr>
        <w:pStyle w:val="Heading3"/>
      </w:pPr>
      <w:bookmarkStart w:id="1110" w:name="section_889892b800884fc2b546a4e8704b3c2c"/>
      <w:bookmarkStart w:id="1111" w:name="_Toc69878328"/>
      <w:r>
        <w:t>Part 1 Section 17.18.52, ST_MailMerge</w:t>
      </w:r>
      <w:r>
        <w:t>DataType (Mail Merge Data Source Type Values)</w:t>
      </w:r>
      <w:bookmarkEnd w:id="1110"/>
      <w:bookmarkEnd w:id="1111"/>
      <w:r>
        <w:fldChar w:fldCharType="begin"/>
      </w:r>
      <w:r>
        <w:instrText xml:space="preserve"> XE "ST_MailMergeDataType (Mail Merge Data Source Type Values)" </w:instrText>
      </w:r>
      <w:r>
        <w:fldChar w:fldCharType="end"/>
      </w:r>
    </w:p>
    <w:p w:rsidR="005F78FC" w:rsidRDefault="00B42EF3">
      <w:pPr>
        <w:pStyle w:val="Definition-Field"/>
      </w:pPr>
      <w:r>
        <w:t xml:space="preserve">a.   </w:t>
      </w:r>
      <w:r>
        <w:rPr>
          <w:i/>
        </w:rPr>
        <w:t>The standard states the type as xsd:string and calls out a number of values as reserved for this type.</w:t>
      </w:r>
    </w:p>
    <w:p w:rsidR="005F78FC" w:rsidRDefault="00B42EF3">
      <w:pPr>
        <w:pStyle w:val="Definition-Field2"/>
      </w:pPr>
      <w:r>
        <w:t>Word accepts the following values 't</w:t>
      </w:r>
      <w:r>
        <w:t>extFile', 'database', 'spreadsheet', 'query', 'odbc', and 'native'. Word interprets any other value as equivalent to 'textFile.'</w:t>
      </w:r>
    </w:p>
    <w:p w:rsidR="005F78FC" w:rsidRDefault="00B42EF3">
      <w:pPr>
        <w:pStyle w:val="Heading3"/>
      </w:pPr>
      <w:bookmarkStart w:id="1112" w:name="section_70e3977f3686456a896fb98b9a3be08e"/>
      <w:bookmarkStart w:id="1113" w:name="_Toc69878329"/>
      <w:r>
        <w:lastRenderedPageBreak/>
        <w:t>Part 1 Section 17.18.57, ST_Merge (Merged Cell Type)</w:t>
      </w:r>
      <w:bookmarkEnd w:id="1112"/>
      <w:bookmarkEnd w:id="1113"/>
      <w:r>
        <w:fldChar w:fldCharType="begin"/>
      </w:r>
      <w:r>
        <w:instrText xml:space="preserve"> XE "ST_Merge (Merged Cell Type)" </w:instrText>
      </w:r>
      <w:r>
        <w:fldChar w:fldCharType="end"/>
      </w:r>
    </w:p>
    <w:p w:rsidR="005F78FC" w:rsidRDefault="00B42EF3">
      <w:pPr>
        <w:pStyle w:val="Definition-Field"/>
      </w:pPr>
      <w:r>
        <w:t xml:space="preserve">a.   </w:t>
      </w:r>
      <w:r>
        <w:rPr>
          <w:i/>
        </w:rPr>
        <w:t xml:space="preserve">The standard states that a value </w:t>
      </w:r>
      <w:r>
        <w:rPr>
          <w:i/>
        </w:rPr>
        <w:t>of continue shall be ignored if the previous cell does not specify continue or restart</w:t>
      </w:r>
    </w:p>
    <w:p w:rsidR="005F78FC" w:rsidRDefault="00B42EF3">
      <w:pPr>
        <w:pStyle w:val="Definition-Field2"/>
      </w:pPr>
      <w:r>
        <w:t>Word attempts to interpret continue values for vertically merged cells even if none of the previous cells contain a restart value</w:t>
      </w:r>
    </w:p>
    <w:p w:rsidR="005F78FC" w:rsidRDefault="00B42EF3">
      <w:pPr>
        <w:pStyle w:val="Heading3"/>
      </w:pPr>
      <w:bookmarkStart w:id="1114" w:name="section_ea3612c8a09946c399a993658a30cb01"/>
      <w:bookmarkStart w:id="1115" w:name="_Toc69878330"/>
      <w:r>
        <w:t>Part 1 Section 17.18.59, ST_NumberForma</w:t>
      </w:r>
      <w:r>
        <w:t>t (Numbering Format)</w:t>
      </w:r>
      <w:bookmarkEnd w:id="1114"/>
      <w:bookmarkEnd w:id="1115"/>
      <w:r>
        <w:fldChar w:fldCharType="begin"/>
      </w:r>
      <w:r>
        <w:instrText xml:space="preserve"> XE "ST_NumberFormat (Numbering Format)" </w:instrText>
      </w:r>
      <w:r>
        <w:fldChar w:fldCharType="end"/>
      </w:r>
    </w:p>
    <w:p w:rsidR="005F78FC" w:rsidRDefault="00B42EF3">
      <w:pPr>
        <w:pStyle w:val="Definition-Field"/>
      </w:pPr>
      <w:r>
        <w:t xml:space="preserve">a.   </w:t>
      </w:r>
      <w:r>
        <w:rPr>
          <w:i/>
        </w:rPr>
        <w:t>The standard states that the ideographEnclosedCircle numbering format specifies that the sequence shall consist of sequential numerical ideographs, using the appropriate character, as des</w:t>
      </w:r>
      <w:r>
        <w:rPr>
          <w:i/>
        </w:rPr>
        <w:t>cribed below.</w:t>
      </w:r>
    </w:p>
    <w:p w:rsidR="005F78FC" w:rsidRDefault="00B42EF3">
      <w:pPr>
        <w:pStyle w:val="Definition-Field2"/>
      </w:pPr>
      <w:r>
        <w:t>Word encloses sequential numerical ideographs of this format in parentheses.</w:t>
      </w:r>
    </w:p>
    <w:p w:rsidR="005F78FC" w:rsidRDefault="00B42EF3">
      <w:pPr>
        <w:pStyle w:val="Definition-Field"/>
      </w:pPr>
      <w:r>
        <w:t xml:space="preserve">b.   </w:t>
      </w:r>
      <w:r>
        <w:rPr>
          <w:i/>
        </w:rPr>
        <w:t>The standard states that the hindiConsonants attribute specifies that the sequence shall consist of Hindi consonants, and that the hindiVowels attribute specifi</w:t>
      </w:r>
      <w:r>
        <w:rPr>
          <w:i/>
        </w:rPr>
        <w:t>es that the sequence shall consist of Hindi vowels.</w:t>
      </w:r>
    </w:p>
    <w:p w:rsidR="005F78FC" w:rsidRDefault="00B42EF3">
      <w:pPr>
        <w:pStyle w:val="Definition-Field2"/>
      </w:pPr>
      <w:r>
        <w:t>Word uses the hindiConsonants attribute to specify that the sequence shall consist of Hindi vowels, and the hindiVowels attribute to specify that the sequence shall consist of Hindi consonants.</w:t>
      </w:r>
    </w:p>
    <w:p w:rsidR="005F78FC" w:rsidRDefault="00B42EF3">
      <w:pPr>
        <w:pStyle w:val="Definition-Field"/>
      </w:pPr>
      <w:r>
        <w:t xml:space="preserve">c.   </w:t>
      </w:r>
      <w:r>
        <w:rPr>
          <w:i/>
        </w:rPr>
        <w:t>The s</w:t>
      </w:r>
      <w:r>
        <w:rPr>
          <w:i/>
        </w:rPr>
        <w:t>tandard states for the aiueo and aiueoFullWidth enumeration values that a character should be repeated for values above 46</w:t>
      </w:r>
    </w:p>
    <w:p w:rsidR="005F78FC" w:rsidRDefault="00B42EF3">
      <w:pPr>
        <w:pStyle w:val="Definition-Field2"/>
      </w:pPr>
      <w:r>
        <w:t>Word does not repeat any characters for values above 46, instead it simply starts at 1 again.</w:t>
      </w:r>
    </w:p>
    <w:p w:rsidR="005F78FC" w:rsidRDefault="00B42EF3">
      <w:pPr>
        <w:pStyle w:val="Definition-Field"/>
      </w:pPr>
      <w:r>
        <w:t xml:space="preserve">d.   </w:t>
      </w:r>
      <w:r>
        <w:rPr>
          <w:i/>
        </w:rPr>
        <w:t>The standard states that for the b</w:t>
      </w:r>
      <w:r>
        <w:rPr>
          <w:i/>
        </w:rPr>
        <w:t>ahtText enumeration value, the application will use a sequence consisting of a numeric value from the Thai counting system.</w:t>
      </w:r>
    </w:p>
    <w:p w:rsidR="005F78FC" w:rsidRDefault="00B42EF3">
      <w:pPr>
        <w:pStyle w:val="Definition-Field2"/>
      </w:pPr>
      <w:r>
        <w:t>Word interprets the bahtText enumeration value as decimal.</w:t>
      </w:r>
    </w:p>
    <w:p w:rsidR="005F78FC" w:rsidRDefault="00B42EF3">
      <w:pPr>
        <w:pStyle w:val="Definition-Field"/>
      </w:pPr>
      <w:r>
        <w:t xml:space="preserve">e.   </w:t>
      </w:r>
      <w:r>
        <w:rPr>
          <w:i/>
        </w:rPr>
        <w:t>The standard states for the chineseCountingThousand enumeration valu</w:t>
      </w:r>
      <w:r>
        <w:rPr>
          <w:i/>
        </w:rPr>
        <w:t>e, if the sequence number is between 10,000 and 100,000 and no groups are formed, and the number is not a multiple of 1,000, the symbol U+96F6 should be written.</w:t>
      </w:r>
    </w:p>
    <w:p w:rsidR="005F78FC" w:rsidRDefault="00B42EF3">
      <w:pPr>
        <w:pStyle w:val="Definition-Field2"/>
      </w:pPr>
      <w:r>
        <w:t>Word does not write out the symbol U+96F6.</w:t>
      </w:r>
    </w:p>
    <w:p w:rsidR="005F78FC" w:rsidRDefault="00B42EF3">
      <w:pPr>
        <w:pStyle w:val="Definition-Field"/>
      </w:pPr>
      <w:r>
        <w:t xml:space="preserve">f.   </w:t>
      </w:r>
      <w:r>
        <w:rPr>
          <w:i/>
        </w:rPr>
        <w:t>The standard states for aiueoFullWidth that ch</w:t>
      </w:r>
      <w:r>
        <w:rPr>
          <w:i/>
        </w:rPr>
        <w:t>aracter is written once and then written once and then written once and then repeated the number of times the size of the set was subtracted from the original value.</w:t>
      </w:r>
    </w:p>
    <w:p w:rsidR="005F78FC" w:rsidRDefault="00B42EF3">
      <w:pPr>
        <w:pStyle w:val="Definition-Field2"/>
      </w:pPr>
      <w:r>
        <w:t>Word writes the character once and then repeats it the number of times the size of the set</w:t>
      </w:r>
      <w:r>
        <w:t xml:space="preserve"> was subtracted from the original value.</w:t>
      </w:r>
    </w:p>
    <w:p w:rsidR="005F78FC" w:rsidRDefault="00B42EF3">
      <w:pPr>
        <w:pStyle w:val="Definition-Field"/>
      </w:pPr>
      <w:r>
        <w:t xml:space="preserve">g.   </w:t>
      </w:r>
      <w:r>
        <w:rPr>
          <w:i/>
        </w:rPr>
        <w:t>The standard states for arabicAbjad that character is written once and then written once and then written once and then repeated the number of times the size of the set was subtracted from the original value.</w:t>
      </w:r>
    </w:p>
    <w:p w:rsidR="005F78FC" w:rsidRDefault="00B42EF3">
      <w:pPr>
        <w:pStyle w:val="Definition-Field2"/>
      </w:pPr>
      <w:r>
        <w:t>Word writes the character once and then repeats it the number of times the size of the set was subtracted from the original value.</w:t>
      </w:r>
    </w:p>
    <w:p w:rsidR="005F78FC" w:rsidRDefault="00B42EF3">
      <w:pPr>
        <w:pStyle w:val="Definition-Field"/>
      </w:pPr>
      <w:r>
        <w:t xml:space="preserve">h.   </w:t>
      </w:r>
      <w:r>
        <w:rPr>
          <w:i/>
        </w:rPr>
        <w:t xml:space="preserve">The standard states that the arabicAlpha character is written once and then written once and then written once and then </w:t>
      </w:r>
      <w:r>
        <w:rPr>
          <w:i/>
        </w:rPr>
        <w:t>repeated the number of times the size of the set was subtracted from the original value.</w:t>
      </w:r>
    </w:p>
    <w:p w:rsidR="005F78FC" w:rsidRDefault="00B42EF3">
      <w:pPr>
        <w:pStyle w:val="Definition-Field2"/>
      </w:pPr>
      <w:r>
        <w:t>Word writes the character once and then repeats it the number of times the size of the set was subtracted from the original value.</w:t>
      </w:r>
    </w:p>
    <w:p w:rsidR="005F78FC" w:rsidRDefault="00B42EF3">
      <w:pPr>
        <w:pStyle w:val="Definition-Field"/>
      </w:pPr>
      <w:r>
        <w:lastRenderedPageBreak/>
        <w:t xml:space="preserve">i.   </w:t>
      </w:r>
      <w:r>
        <w:rPr>
          <w:i/>
        </w:rPr>
        <w:t>The standard states for chicago</w:t>
      </w:r>
      <w:r>
        <w:rPr>
          <w:i/>
        </w:rPr>
        <w:t xml:space="preserve"> that the character is written once and then written once and then repeated the number of times the size of the set was subtracted from the original value.</w:t>
      </w:r>
    </w:p>
    <w:p w:rsidR="005F78FC" w:rsidRDefault="00B42EF3">
      <w:pPr>
        <w:pStyle w:val="Definition-Field2"/>
      </w:pPr>
      <w:r>
        <w:t>Word writes the character once and then repeats it the number of times the size of the set was subtr</w:t>
      </w:r>
      <w:r>
        <w:t>acted from the original value.</w:t>
      </w:r>
    </w:p>
    <w:p w:rsidR="005F78FC" w:rsidRDefault="00B42EF3">
      <w:pPr>
        <w:pStyle w:val="Definition-Field"/>
      </w:pPr>
      <w:r>
        <w:t xml:space="preserve">j.   </w:t>
      </w:r>
      <w:r>
        <w:rPr>
          <w:i/>
        </w:rPr>
        <w:t>The standard does not specify a maximum value for cardinalText, chineseCountingThousand, chineseLegalSimplified, ideographLegalTraditional, japaneseCounting, koreanCounting, koreanDigital2, ordinalText, or taiwaneseCount</w:t>
      </w:r>
      <w:r>
        <w:rPr>
          <w:i/>
        </w:rPr>
        <w:t>ingThousand.</w:t>
      </w:r>
    </w:p>
    <w:p w:rsidR="005F78FC" w:rsidRDefault="00B42EF3">
      <w:r>
        <w:t>Word does not write out anything for sequence numbers after 999,999 for cardinalText, chineseCountingThousand, chineseLegalSimplified, ideographLegalTraditional, japaneseCounting, koreanCounting, koreanDigital2, ordinalText, or taiwaneseCounti</w:t>
      </w:r>
      <w:r>
        <w:t>ngThousand.</w:t>
      </w:r>
    </w:p>
    <w:p w:rsidR="005F78FC" w:rsidRDefault="00B42EF3">
      <w:pPr>
        <w:pStyle w:val="Definition-Field"/>
      </w:pPr>
      <w:r>
        <w:t xml:space="preserve">k.   </w:t>
      </w:r>
      <w:r>
        <w:rPr>
          <w:i/>
        </w:rPr>
        <w:t>The standard does not specify a maximum value beyond which behavior should change for chicago.</w:t>
      </w:r>
    </w:p>
    <w:p w:rsidR="005F78FC" w:rsidRDefault="00B42EF3">
      <w:pPr>
        <w:pStyle w:val="Definition-Field2"/>
      </w:pPr>
      <w:r>
        <w:t>Word does not write out sequence numbers for chicago after 116.</w:t>
      </w:r>
    </w:p>
    <w:p w:rsidR="005F78FC" w:rsidRDefault="00B42EF3">
      <w:pPr>
        <w:pStyle w:val="Definition-Field"/>
      </w:pPr>
      <w:r>
        <w:t xml:space="preserve">l.   </w:t>
      </w:r>
      <w:r>
        <w:rPr>
          <w:i/>
        </w:rPr>
        <w:t xml:space="preserve">The standard does not specify a maximum value beyond which behavior should </w:t>
      </w:r>
      <w:r>
        <w:rPr>
          <w:i/>
        </w:rPr>
        <w:t>change for hexadecimal format.</w:t>
      </w:r>
    </w:p>
    <w:p w:rsidR="005F78FC" w:rsidRDefault="00B42EF3">
      <w:pPr>
        <w:pStyle w:val="Definition-Field2"/>
      </w:pPr>
      <w:r>
        <w:t>Word writes out nothing for sequence numbers after 65535 in hexadecimal format.</w:t>
      </w:r>
    </w:p>
    <w:p w:rsidR="005F78FC" w:rsidRDefault="00B42EF3">
      <w:pPr>
        <w:pStyle w:val="Definition-Field"/>
      </w:pPr>
      <w:r>
        <w:t xml:space="preserve">m.   </w:t>
      </w:r>
      <w:r>
        <w:rPr>
          <w:i/>
        </w:rPr>
        <w:t>The standard does not specify what to display for numbers above 9999 for japaneseDigitalTenThousand numbering styles.</w:t>
      </w:r>
    </w:p>
    <w:p w:rsidR="005F78FC" w:rsidRDefault="00B42EF3">
      <w:pPr>
        <w:pStyle w:val="Definition-Field2"/>
      </w:pPr>
      <w:r>
        <w:t xml:space="preserve">Word does not display </w:t>
      </w:r>
      <w:r>
        <w:t>anything for sequence numbers above 9999 for japaneseDigitalTenThousand numbering styles.</w:t>
      </w:r>
    </w:p>
    <w:p w:rsidR="005F78FC" w:rsidRDefault="00B42EF3">
      <w:pPr>
        <w:pStyle w:val="Definition-Field"/>
      </w:pPr>
      <w:r>
        <w:t xml:space="preserve">n.   </w:t>
      </w:r>
      <w:r>
        <w:rPr>
          <w:i/>
        </w:rPr>
        <w:t>The standard does not specify a maximum value beyond which behavior should change for koreanLegal.</w:t>
      </w:r>
    </w:p>
    <w:p w:rsidR="005F78FC" w:rsidRDefault="00B42EF3">
      <w:pPr>
        <w:pStyle w:val="Definition-Field2"/>
      </w:pPr>
      <w:r>
        <w:t>Word does not write out anything for sequence numbers for kore</w:t>
      </w:r>
      <w:r>
        <w:t>anLegal after 9,999,999.</w:t>
      </w:r>
    </w:p>
    <w:p w:rsidR="005F78FC" w:rsidRDefault="00B42EF3">
      <w:pPr>
        <w:pStyle w:val="Definition-Field"/>
      </w:pPr>
      <w:r>
        <w:t xml:space="preserve">o.   </w:t>
      </w:r>
      <w:r>
        <w:rPr>
          <w:i/>
        </w:rPr>
        <w:t>The standard does not specify maximum display values.</w:t>
      </w:r>
    </w:p>
    <w:p w:rsidR="005F78FC" w:rsidRDefault="00B42EF3">
      <w:pPr>
        <w:pStyle w:val="Definition-Field2"/>
      </w:pPr>
      <w:r>
        <w:t>Word does not display values above 217483647.  In some cases Word will not display values above a lower value.</w:t>
      </w:r>
    </w:p>
    <w:p w:rsidR="005F78FC" w:rsidRDefault="00B42EF3">
      <w:pPr>
        <w:pStyle w:val="Definition-Field"/>
      </w:pPr>
      <w:r>
        <w:t xml:space="preserve">p.   </w:t>
      </w:r>
      <w:r>
        <w:rPr>
          <w:i/>
        </w:rPr>
        <w:t>The standard states that the set of characters used by t</w:t>
      </w:r>
      <w:r>
        <w:rPr>
          <w:i/>
        </w:rPr>
        <w:t>he chineseLegalSimplified numbering format for values 1-10 starts with U+96F6.</w:t>
      </w:r>
    </w:p>
    <w:p w:rsidR="005F78FC" w:rsidRDefault="00B42EF3">
      <w:pPr>
        <w:pStyle w:val="Definition-Field2"/>
      </w:pPr>
      <w:r>
        <w:t>Word uses the set of characters starting with u+96F6 for this numbering format for values 0-9.</w:t>
      </w:r>
    </w:p>
    <w:p w:rsidR="005F78FC" w:rsidRDefault="00B42EF3">
      <w:pPr>
        <w:pStyle w:val="Definition-Field"/>
      </w:pPr>
      <w:r>
        <w:t xml:space="preserve">q.   </w:t>
      </w:r>
      <w:r>
        <w:rPr>
          <w:i/>
        </w:rPr>
        <w:t>The standard specifies that the ten thousand symbol for chineseLegalSimplifie</w:t>
      </w:r>
      <w:r>
        <w:rPr>
          <w:i/>
        </w:rPr>
        <w:t>d is U+4E07.</w:t>
      </w:r>
    </w:p>
    <w:p w:rsidR="005F78FC" w:rsidRDefault="00B42EF3">
      <w:pPr>
        <w:pStyle w:val="Definition-Field2"/>
      </w:pPr>
      <w:r>
        <w:t>Word uses the codepoint U+842C to represent the ten thousand sequence number for chineseLegalSimplified.</w:t>
      </w:r>
    </w:p>
    <w:p w:rsidR="005F78FC" w:rsidRDefault="00B42EF3">
      <w:pPr>
        <w:pStyle w:val="Definition-Field"/>
      </w:pPr>
      <w:r>
        <w:t xml:space="preserve">r.   </w:t>
      </w:r>
      <w:r>
        <w:rPr>
          <w:i/>
        </w:rPr>
        <w:t>The standard states for the chosung enumeration value that a character should be repeated for values above 14.</w:t>
      </w:r>
    </w:p>
    <w:p w:rsidR="005F78FC" w:rsidRDefault="00B42EF3">
      <w:pPr>
        <w:pStyle w:val="Definition-Field2"/>
      </w:pPr>
      <w:r>
        <w:t>Word does not repeat a</w:t>
      </w:r>
      <w:r>
        <w:t>ny characters for values above 14, instead it simply starts at 1 again.</w:t>
      </w:r>
    </w:p>
    <w:p w:rsidR="005F78FC" w:rsidRDefault="00B42EF3">
      <w:pPr>
        <w:pStyle w:val="Definition-Field"/>
      </w:pPr>
      <w:r>
        <w:t xml:space="preserve">s.   </w:t>
      </w:r>
      <w:r>
        <w:rPr>
          <w:i/>
        </w:rPr>
        <w:t>The standard states that decimalEnclosedCircleChinese is identical to decimalEnclosedCircle.</w:t>
      </w:r>
    </w:p>
    <w:p w:rsidR="005F78FC" w:rsidRDefault="00B42EF3">
      <w:pPr>
        <w:pStyle w:val="Definition-Field2"/>
      </w:pPr>
      <w:r>
        <w:t>Word uses only the first 10 characters from the same set as decimalEnclosedCircle to r</w:t>
      </w:r>
      <w:r>
        <w:t>epresent the numbers 1-10, and then falls back to decimal.</w:t>
      </w:r>
    </w:p>
    <w:p w:rsidR="005F78FC" w:rsidRDefault="00B42EF3">
      <w:pPr>
        <w:pStyle w:val="Definition-Field"/>
      </w:pPr>
      <w:r>
        <w:t xml:space="preserve">t.   </w:t>
      </w:r>
      <w:r>
        <w:rPr>
          <w:i/>
        </w:rPr>
        <w:t>The standards specifies a behavior for the dollarText enum value.</w:t>
      </w:r>
    </w:p>
    <w:p w:rsidR="005F78FC" w:rsidRDefault="00B42EF3">
      <w:pPr>
        <w:pStyle w:val="Definition-Field2"/>
      </w:pPr>
      <w:r>
        <w:lastRenderedPageBreak/>
        <w:t>Word interprets the dollarText enum value as decimal.</w:t>
      </w:r>
    </w:p>
    <w:p w:rsidR="005F78FC" w:rsidRDefault="00B42EF3">
      <w:pPr>
        <w:pStyle w:val="Definition-Field"/>
      </w:pPr>
      <w:r>
        <w:t xml:space="preserve">u.   </w:t>
      </w:r>
      <w:r>
        <w:rPr>
          <w:i/>
        </w:rPr>
        <w:t>The standard states for the ganada enumeration value that a charact</w:t>
      </w:r>
      <w:r>
        <w:rPr>
          <w:i/>
        </w:rPr>
        <w:t>er should be repeated for values above 14</w:t>
      </w:r>
    </w:p>
    <w:p w:rsidR="005F78FC" w:rsidRDefault="00B42EF3">
      <w:pPr>
        <w:pStyle w:val="Definition-Field2"/>
      </w:pPr>
      <w:r>
        <w:t>Word does not repeat any characters for values above 14; instead it simply restarts at 1.</w:t>
      </w:r>
    </w:p>
    <w:p w:rsidR="005F78FC" w:rsidRDefault="00B42EF3">
      <w:pPr>
        <w:pStyle w:val="Definition-Field"/>
      </w:pPr>
      <w:r>
        <w:t xml:space="preserve">v.   </w:t>
      </w:r>
      <w:r>
        <w:rPr>
          <w:i/>
        </w:rPr>
        <w:t>The standard specifies that for the ideographLegalTraditional enum value, the sequence number 3 is represented by the c</w:t>
      </w:r>
      <w:r>
        <w:rPr>
          <w:i/>
        </w:rPr>
        <w:t>haracter U+53C3.</w:t>
      </w:r>
    </w:p>
    <w:p w:rsidR="005F78FC" w:rsidRDefault="00B42EF3">
      <w:pPr>
        <w:pStyle w:val="Definition-Field2"/>
      </w:pPr>
      <w:r>
        <w:t>Word uses the character U+53C1 to represent the sequence number 3.</w:t>
      </w:r>
    </w:p>
    <w:p w:rsidR="005F78FC" w:rsidRDefault="00B42EF3">
      <w:pPr>
        <w:pStyle w:val="Definition-Field"/>
      </w:pPr>
      <w:r>
        <w:t xml:space="preserve">w.   </w:t>
      </w:r>
      <w:r>
        <w:rPr>
          <w:i/>
        </w:rPr>
        <w:t>The standard specifies the set of characters used by arabicAbjad numbering format for values 1–28.</w:t>
      </w:r>
    </w:p>
    <w:p w:rsidR="005F78FC" w:rsidRDefault="00B42EF3">
      <w:pPr>
        <w:pStyle w:val="Definition-Field2"/>
      </w:pPr>
      <w:r>
        <w:t xml:space="preserve">Word adds the zero-width non-joiner character U+200C before every </w:t>
      </w:r>
      <w:r>
        <w:t>sequence number used by this numbering format.</w:t>
      </w:r>
    </w:p>
    <w:p w:rsidR="005F78FC" w:rsidRDefault="00B42EF3">
      <w:pPr>
        <w:pStyle w:val="Definition-Field"/>
      </w:pPr>
      <w:r>
        <w:t xml:space="preserve">x.   </w:t>
      </w:r>
      <w:r>
        <w:rPr>
          <w:i/>
        </w:rPr>
        <w:t>The standard specifies the set of characters used by arabicAlpha numbering format for values 1–28.</w:t>
      </w:r>
    </w:p>
    <w:p w:rsidR="005F78FC" w:rsidRDefault="00B42EF3">
      <w:pPr>
        <w:pStyle w:val="Definition-Field2"/>
      </w:pPr>
      <w:r>
        <w:t>Word adds the zero-width non-joiner character U+200C after every sequence number used by this numbering f</w:t>
      </w:r>
      <w:r>
        <w:t>ormat.</w:t>
      </w:r>
    </w:p>
    <w:p w:rsidR="005F78FC" w:rsidRDefault="00B42EF3">
      <w:pPr>
        <w:pStyle w:val="Definition-Field"/>
      </w:pPr>
      <w:r>
        <w:t xml:space="preserve">y.   </w:t>
      </w:r>
      <w:r>
        <w:rPr>
          <w:i/>
        </w:rPr>
        <w:t>The standard specifies the set of characters used by hebrew2 numbering format for values 1–22.</w:t>
      </w:r>
    </w:p>
    <w:p w:rsidR="005F78FC" w:rsidRDefault="00B42EF3">
      <w:pPr>
        <w:pStyle w:val="Definition-Field2"/>
      </w:pPr>
      <w:r>
        <w:t>Word adds the RTL character U+200F before every sequence number used by this numbering format.</w:t>
      </w:r>
    </w:p>
    <w:p w:rsidR="005F78FC" w:rsidRDefault="00B42EF3">
      <w:pPr>
        <w:pStyle w:val="Definition-Field"/>
      </w:pPr>
      <w:r>
        <w:t xml:space="preserve">z.   </w:t>
      </w:r>
      <w:r>
        <w:rPr>
          <w:i/>
        </w:rPr>
        <w:t>The standard does not mention the usage of U+96F6</w:t>
      </w:r>
      <w:r>
        <w:rPr>
          <w:i/>
        </w:rPr>
        <w:t xml:space="preserve"> for ideographLegalTraditional.</w:t>
      </w:r>
    </w:p>
    <w:p w:rsidR="005F78FC" w:rsidRDefault="00B42EF3">
      <w:pPr>
        <w:pStyle w:val="Definition-Field2"/>
      </w:pPr>
      <w:r>
        <w:t>Word uses the same rule as chineseLegalSimplified to determine when to write out U+96F6.</w:t>
      </w:r>
    </w:p>
    <w:p w:rsidR="005F78FC" w:rsidRDefault="00B42EF3">
      <w:pPr>
        <w:pStyle w:val="Definition-Field"/>
      </w:pPr>
      <w:r>
        <w:t xml:space="preserve">aa.  </w:t>
      </w:r>
      <w:r>
        <w:rPr>
          <w:i/>
        </w:rPr>
        <w:t>The standard does not mention the usage of the character U+5104 in the japaneseLegal numbering.</w:t>
      </w:r>
    </w:p>
    <w:p w:rsidR="005F78FC" w:rsidRDefault="00B42EF3">
      <w:pPr>
        <w:pStyle w:val="Definition-Field2"/>
      </w:pPr>
      <w:r>
        <w:t xml:space="preserve">Word uses the character U+5104 </w:t>
      </w:r>
      <w:r>
        <w:t>when writing out the sequence numbers from 100,000,000 and above.</w:t>
      </w:r>
    </w:p>
    <w:p w:rsidR="005F78FC" w:rsidRDefault="00B42EF3">
      <w:pPr>
        <w:pStyle w:val="Definition-Field"/>
      </w:pPr>
      <w:r>
        <w:t xml:space="preserve">bb.  </w:t>
      </w:r>
      <w:r>
        <w:rPr>
          <w:i/>
        </w:rPr>
        <w:t>The standard does not specify any other characters for sequence numbers above 100 for the koreanLegal numbering style.</w:t>
      </w:r>
    </w:p>
    <w:p w:rsidR="005F78FC" w:rsidRDefault="00B42EF3">
      <w:pPr>
        <w:pStyle w:val="Definition-Field2"/>
      </w:pPr>
      <w:r>
        <w:t>Word uses the procedure specified for koreanCounting numbering for</w:t>
      </w:r>
      <w:r>
        <w:t>mat to create sequence numbers for 100 and above.</w:t>
      </w:r>
    </w:p>
    <w:p w:rsidR="005F78FC" w:rsidRDefault="00B42EF3">
      <w:pPr>
        <w:pStyle w:val="Definition-Field"/>
      </w:pPr>
      <w:r>
        <w:t xml:space="preserve">cc.  </w:t>
      </w:r>
      <w:r>
        <w:rPr>
          <w:i/>
        </w:rPr>
        <w:t>The standard states that the sequence number is placed between two dashes.</w:t>
      </w:r>
    </w:p>
    <w:p w:rsidR="005F78FC" w:rsidRDefault="00B42EF3">
      <w:pPr>
        <w:pStyle w:val="Definition-Field2"/>
      </w:pPr>
      <w:r>
        <w:t>Word inserts spaces (U+0020) between the number and the two dashes for numberInDashes numbering formats.</w:t>
      </w:r>
    </w:p>
    <w:p w:rsidR="005F78FC" w:rsidRDefault="00B42EF3">
      <w:pPr>
        <w:pStyle w:val="Heading3"/>
      </w:pPr>
      <w:bookmarkStart w:id="1116" w:name="section_aedde12f31894c22b1363b7a6b93e574"/>
      <w:bookmarkStart w:id="1117" w:name="_Toc69878331"/>
      <w:r>
        <w:t>Part 1 Section 17.18.</w:t>
      </w:r>
      <w:r>
        <w:t>62, ST_PageBorderDisplay (Page Border Display Options)</w:t>
      </w:r>
      <w:bookmarkEnd w:id="1116"/>
      <w:bookmarkEnd w:id="1117"/>
      <w:r>
        <w:fldChar w:fldCharType="begin"/>
      </w:r>
      <w:r>
        <w:instrText xml:space="preserve"> XE "ST_PageBorderDisplay (Page Border Display Options)" </w:instrText>
      </w:r>
      <w:r>
        <w:fldChar w:fldCharType="end"/>
      </w:r>
    </w:p>
    <w:p w:rsidR="005F78FC" w:rsidRDefault="00B42EF3">
      <w:pPr>
        <w:pStyle w:val="Definition-Field"/>
      </w:pPr>
      <w:r>
        <w:t xml:space="preserve">a.   </w:t>
      </w:r>
      <w:r>
        <w:rPr>
          <w:i/>
        </w:rPr>
        <w:t>The standard states that the value notFirstPage specifies that the page border shall be displayed on only the first page in the parent se</w:t>
      </w:r>
      <w:r>
        <w:rPr>
          <w:i/>
        </w:rPr>
        <w:t>ction.</w:t>
      </w:r>
    </w:p>
    <w:p w:rsidR="005F78FC" w:rsidRDefault="00B42EF3">
      <w:pPr>
        <w:pStyle w:val="Definition-Field2"/>
      </w:pPr>
      <w:r>
        <w:t>Word uses this value to specify that the page border shall be displayed on all pages except the first page in the parent section.</w:t>
      </w:r>
    </w:p>
    <w:p w:rsidR="005F78FC" w:rsidRDefault="00B42EF3">
      <w:pPr>
        <w:pStyle w:val="Heading3"/>
      </w:pPr>
      <w:bookmarkStart w:id="1118" w:name="section_b21388bd37bf41f0b4b69c84e2d212ec"/>
      <w:bookmarkStart w:id="1119" w:name="_Toc69878332"/>
      <w:r>
        <w:lastRenderedPageBreak/>
        <w:t>Part 1 Section 17.18.68, ST_PointMeasure (Measurement in Points)</w:t>
      </w:r>
      <w:bookmarkEnd w:id="1118"/>
      <w:bookmarkEnd w:id="1119"/>
      <w:r>
        <w:fldChar w:fldCharType="begin"/>
      </w:r>
      <w:r>
        <w:instrText xml:space="preserve"> XE "ST_PointMeasure (Measurement in Points)" </w:instrText>
      </w:r>
      <w:r>
        <w:fldChar w:fldCharType="end"/>
      </w:r>
    </w:p>
    <w:p w:rsidR="005F78FC" w:rsidRDefault="00B42EF3">
      <w:pPr>
        <w:pStyle w:val="Definition-Field"/>
      </w:pPr>
      <w:r>
        <w:t xml:space="preserve">a.   </w:t>
      </w:r>
      <w:r>
        <w:rPr>
          <w:i/>
        </w:rPr>
        <w:t>T</w:t>
      </w:r>
      <w:r>
        <w:rPr>
          <w:i/>
        </w:rPr>
        <w:t>he standard states that the contents of the ST_PointMeasure simple type are defined by the ST_UnsignedDecimalNumber simple type.</w:t>
      </w:r>
    </w:p>
    <w:p w:rsidR="005F78FC" w:rsidRDefault="00B42EF3">
      <w:pPr>
        <w:pStyle w:val="Definition-Field2"/>
      </w:pPr>
      <w:r>
        <w:t>Word restricts the contents of this simple type to be at least 0 and at most 31.</w:t>
      </w:r>
    </w:p>
    <w:p w:rsidR="005F78FC" w:rsidRDefault="00B42EF3">
      <w:pPr>
        <w:pStyle w:val="Heading3"/>
      </w:pPr>
      <w:bookmarkStart w:id="1120" w:name="section_2b440ff26db44035a578a0813d85890f"/>
      <w:bookmarkStart w:id="1121" w:name="_Toc69878333"/>
      <w:r>
        <w:t>Part 1 Section 17.18.70, ST_ProofErr (Proofing</w:t>
      </w:r>
      <w:r>
        <w:t xml:space="preserve"> Error Type)</w:t>
      </w:r>
      <w:bookmarkEnd w:id="1120"/>
      <w:bookmarkEnd w:id="1121"/>
      <w:r>
        <w:fldChar w:fldCharType="begin"/>
      </w:r>
      <w:r>
        <w:instrText xml:space="preserve"> XE "ST_ProofErr (Proofing Error Type)" </w:instrText>
      </w:r>
      <w:r>
        <w:fldChar w:fldCharType="end"/>
      </w:r>
    </w:p>
    <w:p w:rsidR="005F78FC" w:rsidRDefault="00B42EF3">
      <w:pPr>
        <w:pStyle w:val="Definition-Field"/>
      </w:pPr>
      <w:r>
        <w:t xml:space="preserve">a.   </w:t>
      </w:r>
      <w:r>
        <w:rPr>
          <w:i/>
        </w:rPr>
        <w:t>The standard states that the gramStart attribute indicates the end of a grammatical error and the gramEnd attribute indicates the start of a grammatical error.</w:t>
      </w:r>
    </w:p>
    <w:p w:rsidR="005F78FC" w:rsidRDefault="00B42EF3">
      <w:pPr>
        <w:pStyle w:val="Definition-Field2"/>
      </w:pPr>
      <w:r>
        <w:t>Word uses the gramStart attribute to</w:t>
      </w:r>
      <w:r>
        <w:t xml:space="preserve"> indicate the start of a grammatical error and the gramEnd attribute to indicate the end of a grammatical error.</w:t>
      </w:r>
    </w:p>
    <w:p w:rsidR="005F78FC" w:rsidRDefault="00B42EF3">
      <w:pPr>
        <w:pStyle w:val="Heading3"/>
      </w:pPr>
      <w:bookmarkStart w:id="1122" w:name="section_efc29c4359ea4dfdb4f82ca25fd436f8"/>
      <w:bookmarkStart w:id="1123" w:name="_Toc69878334"/>
      <w:r>
        <w:t>Part 1 Section 17.18.75, ST_RubyAlign (Phonetic Guide Text Alignment)</w:t>
      </w:r>
      <w:bookmarkEnd w:id="1122"/>
      <w:bookmarkEnd w:id="1123"/>
      <w:r>
        <w:fldChar w:fldCharType="begin"/>
      </w:r>
      <w:r>
        <w:instrText xml:space="preserve"> XE "ST_RubyAlign (Phonetic Guide Text Alignment)" </w:instrText>
      </w:r>
      <w:r>
        <w:fldChar w:fldCharType="end"/>
      </w:r>
    </w:p>
    <w:p w:rsidR="005F78FC" w:rsidRDefault="00B42EF3">
      <w:pPr>
        <w:pStyle w:val="Definition-Field"/>
      </w:pPr>
      <w:r>
        <w:t xml:space="preserve">a.   </w:t>
      </w:r>
      <w:r>
        <w:rPr>
          <w:i/>
        </w:rPr>
        <w:t>The standard st</w:t>
      </w:r>
      <w:r>
        <w:rPr>
          <w:i/>
        </w:rPr>
        <w:t>ates that for the left enumeration value ruby text will be aligned left and for the right enumeration value ruby text will be aligned right.</w:t>
      </w:r>
    </w:p>
    <w:p w:rsidR="005F78FC" w:rsidRDefault="00B42EF3">
      <w:pPr>
        <w:pStyle w:val="Definition-Field2"/>
      </w:pPr>
      <w:r>
        <w:t>Word changes left to right and left to right when the run layout is right-to-left.</w:t>
      </w:r>
    </w:p>
    <w:p w:rsidR="005F78FC" w:rsidRDefault="00B42EF3">
      <w:pPr>
        <w:pStyle w:val="Heading3"/>
      </w:pPr>
      <w:bookmarkStart w:id="1124" w:name="section_e4664ccd36da4383a13c3d5df57ed188"/>
      <w:bookmarkStart w:id="1125" w:name="_Toc69878335"/>
      <w:r>
        <w:t xml:space="preserve">Part 1 Section 17.18.78, ST_Shd </w:t>
      </w:r>
      <w:r>
        <w:t>(Shading Patterns)</w:t>
      </w:r>
      <w:bookmarkEnd w:id="1124"/>
      <w:bookmarkEnd w:id="1125"/>
      <w:r>
        <w:fldChar w:fldCharType="begin"/>
      </w:r>
      <w:r>
        <w:instrText xml:space="preserve"> XE "ST_Shd (Shading Patterns)" </w:instrText>
      </w:r>
      <w:r>
        <w:fldChar w:fldCharType="end"/>
      </w:r>
    </w:p>
    <w:p w:rsidR="005F78FC" w:rsidRDefault="00B42EF3">
      <w:pPr>
        <w:pStyle w:val="Definition-Field"/>
      </w:pPr>
      <w:r>
        <w:t xml:space="preserve">a.   </w:t>
      </w:r>
      <w:r>
        <w:rPr>
          <w:i/>
        </w:rPr>
        <w:t>The standard specifies an enumeration value "nil" with the same meaning as clear.</w:t>
      </w:r>
    </w:p>
    <w:p w:rsidR="005F78FC" w:rsidRDefault="00B42EF3">
      <w:pPr>
        <w:pStyle w:val="Definition-Field2"/>
      </w:pPr>
      <w:r>
        <w:t>Word ignores value "nil" when used to specify properties of a paragraph or a run of text. Word treats the value "nil</w:t>
      </w:r>
      <w:r>
        <w:t>" as equivalent to not specifying shading when it is used to specify properties of a table, cell, or row.</w:t>
      </w:r>
    </w:p>
    <w:p w:rsidR="005F78FC" w:rsidRDefault="00B42EF3">
      <w:pPr>
        <w:pStyle w:val="Heading3"/>
      </w:pPr>
      <w:bookmarkStart w:id="1126" w:name="section_ec90ea290277451c89455d04dd0db08a"/>
      <w:bookmarkStart w:id="1127" w:name="_Toc69878336"/>
      <w:r>
        <w:t>Part 1 Section 17.18.80, ST_SignedHpsMeasure (Signed Measurement in Half-Points)</w:t>
      </w:r>
      <w:bookmarkEnd w:id="1126"/>
      <w:bookmarkEnd w:id="1127"/>
      <w:r>
        <w:fldChar w:fldCharType="begin"/>
      </w:r>
      <w:r>
        <w:instrText xml:space="preserve"> XE "ST_SignedHpsMeasure (Signed Measurement in Half-Points)" </w:instrText>
      </w:r>
      <w:r>
        <w:fldChar w:fldCharType="end"/>
      </w:r>
    </w:p>
    <w:p w:rsidR="005F78FC" w:rsidRDefault="00B42EF3">
      <w:pPr>
        <w:pStyle w:val="Definition-Field"/>
      </w:pPr>
      <w:r>
        <w:t xml:space="preserve">a.   </w:t>
      </w:r>
      <w:r>
        <w:rPr>
          <w:i/>
        </w:rPr>
        <w:t>The standard states that ST_SignedHpsMeasure allows unbounded integers.</w:t>
      </w:r>
    </w:p>
    <w:p w:rsidR="005F78FC" w:rsidRDefault="00B42EF3">
      <w:pPr>
        <w:pStyle w:val="Definition-Field2"/>
      </w:pPr>
      <w:r>
        <w:t>Word only reads 32-bit integers for ST_SignedHpsMeasure.</w:t>
      </w:r>
    </w:p>
    <w:p w:rsidR="005F78FC" w:rsidRDefault="00B42EF3">
      <w:pPr>
        <w:pStyle w:val="Heading3"/>
      </w:pPr>
      <w:bookmarkStart w:id="1128" w:name="section_5bc2ab7004c742d89784bf7101866b87"/>
      <w:bookmarkStart w:id="1129" w:name="_Toc69878337"/>
      <w:r>
        <w:t>Part 1 Section 17.18.81, ST_SignedTwipsMeasure (Signed Measurement in Twentieths of a Point)</w:t>
      </w:r>
      <w:bookmarkEnd w:id="1128"/>
      <w:bookmarkEnd w:id="1129"/>
      <w:r>
        <w:fldChar w:fldCharType="begin"/>
      </w:r>
      <w:r>
        <w:instrText xml:space="preserve"> XE "ST_SignedTwipsMeasure (Signed </w:instrText>
      </w:r>
      <w:r>
        <w:instrText xml:space="preserve">Measurement in Twentieths of a Point)" </w:instrText>
      </w:r>
      <w:r>
        <w:fldChar w:fldCharType="end"/>
      </w:r>
    </w:p>
    <w:p w:rsidR="005F78FC" w:rsidRDefault="00B42EF3">
      <w:pPr>
        <w:pStyle w:val="Definition-Field"/>
      </w:pPr>
      <w:r>
        <w:t xml:space="preserve">a.   </w:t>
      </w:r>
      <w:r>
        <w:rPr>
          <w:i/>
        </w:rPr>
        <w:t>The standard states that ST_SignedTwipsMeasure allows unbounded integers.</w:t>
      </w:r>
    </w:p>
    <w:p w:rsidR="005F78FC" w:rsidRDefault="00B42EF3">
      <w:pPr>
        <w:pStyle w:val="Definition-Field2"/>
      </w:pPr>
      <w:r>
        <w:t>Word only reads 32-bit integers for ST_SignedTwipsMeasure.</w:t>
      </w:r>
    </w:p>
    <w:p w:rsidR="005F78FC" w:rsidRDefault="00B42EF3">
      <w:pPr>
        <w:pStyle w:val="Heading3"/>
      </w:pPr>
      <w:bookmarkStart w:id="1130" w:name="section_5c5c4a0a02ba44d7a0f2c101221ce4a8"/>
      <w:bookmarkStart w:id="1131" w:name="_Toc69878338"/>
      <w:r>
        <w:t>Part 1 Section 17.18.84, ST_TabJc (Custom Tab Stop Type)</w:t>
      </w:r>
      <w:bookmarkEnd w:id="1130"/>
      <w:bookmarkEnd w:id="1131"/>
      <w:r>
        <w:fldChar w:fldCharType="begin"/>
      </w:r>
      <w:r>
        <w:instrText xml:space="preserve"> XE "ST_TabJc (Custo</w:instrText>
      </w:r>
      <w:r>
        <w:instrText xml:space="preserve">m Tab Stop Type)" </w:instrText>
      </w:r>
      <w:r>
        <w:fldChar w:fldCharType="end"/>
      </w:r>
    </w:p>
    <w:p w:rsidR="005F78FC" w:rsidRDefault="00B42EF3">
      <w:pPr>
        <w:pStyle w:val="Definition-Field"/>
      </w:pPr>
      <w:r>
        <w:t xml:space="preserve">a.   </w:t>
      </w:r>
      <w:r>
        <w:rPr>
          <w:i/>
        </w:rPr>
        <w:t>The standard states that the decimal value specifies that the current tab stop shall result in a location in the document where all following text is aligned around the first decimal character in the following text runs.</w:t>
      </w:r>
    </w:p>
    <w:p w:rsidR="005F78FC" w:rsidRDefault="00B42EF3">
      <w:pPr>
        <w:pStyle w:val="Definition-Field2"/>
      </w:pPr>
      <w:r>
        <w:t xml:space="preserve">In Word, </w:t>
      </w:r>
      <w:r>
        <w:t>if the value is decimal, the tab stop results in a location in the document where all following text is aligned around the first decimal separator in the following text runs.</w:t>
      </w:r>
    </w:p>
    <w:p w:rsidR="005F78FC" w:rsidRDefault="00B42EF3">
      <w:pPr>
        <w:pStyle w:val="Definition-Field"/>
      </w:pPr>
      <w:r>
        <w:t xml:space="preserve">b.   </w:t>
      </w:r>
      <w:r>
        <w:rPr>
          <w:i/>
        </w:rPr>
        <w:t xml:space="preserve">The standard does not state how to interpret the decimal attribute if there </w:t>
      </w:r>
      <w:r>
        <w:rPr>
          <w:i/>
        </w:rPr>
        <w:t>is no decimal separator.</w:t>
      </w:r>
    </w:p>
    <w:p w:rsidR="005F78FC" w:rsidRDefault="00B42EF3">
      <w:pPr>
        <w:pStyle w:val="Definition-Field2"/>
      </w:pPr>
      <w:r>
        <w:t>Word aligns text around the implicit decimal separator after the last digit of the first numerical value appearing in the following text if there is no decimal separator.</w:t>
      </w:r>
    </w:p>
    <w:p w:rsidR="005F78FC" w:rsidRDefault="00B42EF3">
      <w:pPr>
        <w:pStyle w:val="Definition-Field"/>
      </w:pPr>
      <w:r>
        <w:lastRenderedPageBreak/>
        <w:t xml:space="preserve">c.   </w:t>
      </w:r>
      <w:r>
        <w:rPr>
          <w:i/>
        </w:rPr>
        <w:t>The standard does not list "left" or "right" as valid v</w:t>
      </w:r>
      <w:r>
        <w:rPr>
          <w:i/>
        </w:rPr>
        <w:t>alues for the val attribute.</w:t>
      </w:r>
    </w:p>
    <w:p w:rsidR="005F78FC" w:rsidRDefault="00B42EF3">
      <w:pPr>
        <w:pStyle w:val="Definition-Field2"/>
      </w:pPr>
      <w:r>
        <w:t>Word treats a value of "left" as if it were "start".  Word treats a value of "right" as if it were "end".</w:t>
      </w:r>
    </w:p>
    <w:p w:rsidR="005F78FC" w:rsidRDefault="00B42EF3">
      <w:pPr>
        <w:pStyle w:val="Definition-Field"/>
      </w:pPr>
      <w:r>
        <w:t xml:space="preserve">d.   </w:t>
      </w:r>
      <w:r>
        <w:rPr>
          <w:i/>
        </w:rPr>
        <w:t>The standard does not describe the behavior when a table cell contains a single decimal tab stop.</w:t>
      </w:r>
    </w:p>
    <w:p w:rsidR="005F78FC" w:rsidRDefault="00B42EF3">
      <w:pPr>
        <w:pStyle w:val="Definition-Field2"/>
      </w:pPr>
      <w:r>
        <w:t>Word will insert a</w:t>
      </w:r>
      <w:r>
        <w:t>n implicit tab into the table cell when there is a single decimal tab stop, which results in the content being aligned to the decimal tab stop automatically.</w:t>
      </w:r>
    </w:p>
    <w:p w:rsidR="005F78FC" w:rsidRDefault="00B42EF3">
      <w:pPr>
        <w:pStyle w:val="Heading3"/>
      </w:pPr>
      <w:bookmarkStart w:id="1132" w:name="section_3359ff85c4234b9dbe78d1cf96f79486"/>
      <w:bookmarkStart w:id="1133" w:name="_Toc69878339"/>
      <w:r>
        <w:t>Part 1 Section 17.18.89, ST_TblStyleOverrideType (Conditional Table Style Formatting Types)</w:t>
      </w:r>
      <w:bookmarkEnd w:id="1132"/>
      <w:bookmarkEnd w:id="1133"/>
      <w:r>
        <w:fldChar w:fldCharType="begin"/>
      </w:r>
      <w:r>
        <w:instrText xml:space="preserve"> XE "ST</w:instrText>
      </w:r>
      <w:r>
        <w:instrText xml:space="preserve">_TblStyleOverrideType (Conditional Table Style Formatting Types)" </w:instrText>
      </w:r>
      <w:r>
        <w:fldChar w:fldCharType="end"/>
      </w:r>
    </w:p>
    <w:p w:rsidR="005F78FC" w:rsidRDefault="00B42EF3">
      <w:pPr>
        <w:pStyle w:val="Definition-Field"/>
      </w:pPr>
      <w:r>
        <w:t xml:space="preserve">a.   </w:t>
      </w:r>
      <w:r>
        <w:rPr>
          <w:i/>
        </w:rPr>
        <w:t>The standard states that a value of "wholeTable" for the "type" attribute specifies that the given conditional formatting applies to the entire table.</w:t>
      </w:r>
    </w:p>
    <w:p w:rsidR="005F78FC" w:rsidRDefault="00B42EF3">
      <w:pPr>
        <w:pStyle w:val="Definition-Field2"/>
      </w:pPr>
      <w:r>
        <w:t xml:space="preserve">Word does not apply and </w:t>
      </w:r>
      <w:r>
        <w:t>discards on save any properties within the tblStylePr ("</w:t>
      </w:r>
      <w:hyperlink r:id="rId115">
        <w:r>
          <w:rPr>
            <w:rStyle w:val="Hyperlink"/>
          </w:rPr>
          <w:t>[ISO/IEC-29500-1]</w:t>
        </w:r>
      </w:hyperlink>
      <w:r>
        <w:t xml:space="preserve"> §17.7.6.6; tblStylePr") element when the "type" attribute has a value of "wholeTable".</w:t>
      </w:r>
    </w:p>
    <w:p w:rsidR="005F78FC" w:rsidRDefault="00B42EF3">
      <w:pPr>
        <w:pStyle w:val="Heading3"/>
      </w:pPr>
      <w:bookmarkStart w:id="1134" w:name="section_ad8ec7f973a341aab193562caeda1103"/>
      <w:bookmarkStart w:id="1135" w:name="_Toc69878340"/>
      <w:r>
        <w:t>Part 1 Section 17.18.93, ST_T</w:t>
      </w:r>
      <w:r>
        <w:t>extDirection (Text Flow Direction)</w:t>
      </w:r>
      <w:bookmarkEnd w:id="1134"/>
      <w:bookmarkEnd w:id="1135"/>
      <w:r>
        <w:fldChar w:fldCharType="begin"/>
      </w:r>
      <w:r>
        <w:instrText xml:space="preserve"> XE "ST_TextDirection (Text Flow Direction)" </w:instrText>
      </w:r>
      <w:r>
        <w:fldChar w:fldCharType="end"/>
      </w:r>
    </w:p>
    <w:p w:rsidR="005F78FC" w:rsidRDefault="00B42EF3">
      <w:pPr>
        <w:pStyle w:val="Definition-Field"/>
      </w:pPr>
      <w:r>
        <w:t xml:space="preserve">a.   </w:t>
      </w:r>
      <w:r>
        <w:rPr>
          <w:i/>
        </w:rPr>
        <w:t>The standard states that tbLrV orients lines from top to bottom, left to right and tbRlV orients lines from top to bottom, right to left.</w:t>
      </w:r>
    </w:p>
    <w:p w:rsidR="005F78FC" w:rsidRDefault="00B42EF3">
      <w:r>
        <w:t>The standard states:</w:t>
      </w:r>
    </w:p>
    <w:tbl>
      <w:tblPr>
        <w:tblStyle w:val="Table-ShadedHeader"/>
        <w:tblW w:w="0" w:type="auto"/>
        <w:tblLook w:val="04A0" w:firstRow="1" w:lastRow="0" w:firstColumn="1" w:lastColumn="0" w:noHBand="0" w:noVBand="1"/>
      </w:tblPr>
      <w:tblGrid>
        <w:gridCol w:w="4162"/>
        <w:gridCol w:w="2786"/>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Enumeratio</w:t>
            </w:r>
            <w:r>
              <w:t>n Value</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rPr>
                <w:b/>
              </w:rPr>
              <w:t>btLr</w:t>
            </w:r>
            <w:r>
              <w:t xml:space="preserve"> (Lines Flow From Left to Right)</w:t>
            </w:r>
          </w:p>
        </w:tc>
        <w:tc>
          <w:tcPr>
            <w:tcW w:w="0" w:type="auto"/>
            <w:vAlign w:val="center"/>
          </w:tcPr>
          <w:p w:rsidR="005F78FC" w:rsidRDefault="00B42EF3">
            <w:pPr>
              <w:pStyle w:val="TableBodyText"/>
            </w:pPr>
            <w:r>
              <w:t xml:space="preserve">Semantically equivalent to </w:t>
            </w:r>
            <w:r>
              <w:rPr>
                <w:b/>
              </w:rPr>
              <w:t>lr</w:t>
            </w:r>
            <w:r>
              <w:t>.</w:t>
            </w:r>
          </w:p>
        </w:tc>
      </w:tr>
      <w:tr w:rsidR="005F78FC" w:rsidTr="005F78FC">
        <w:tc>
          <w:tcPr>
            <w:tcW w:w="0" w:type="auto"/>
            <w:vAlign w:val="center"/>
          </w:tcPr>
          <w:p w:rsidR="005F78FC" w:rsidRDefault="00B42EF3">
            <w:pPr>
              <w:pStyle w:val="TableBodyText"/>
            </w:pPr>
            <w:r>
              <w:rPr>
                <w:b/>
              </w:rPr>
              <w:t>lrTb</w:t>
            </w:r>
            <w:r>
              <w:t xml:space="preserve"> (Lines Flow From Top to Bottom)</w:t>
            </w:r>
          </w:p>
        </w:tc>
        <w:tc>
          <w:tcPr>
            <w:tcW w:w="0" w:type="auto"/>
            <w:vAlign w:val="center"/>
          </w:tcPr>
          <w:p w:rsidR="005F78FC" w:rsidRDefault="00B42EF3">
            <w:pPr>
              <w:pStyle w:val="TableBodyText"/>
            </w:pPr>
            <w:r>
              <w:t xml:space="preserve">Semantically equivalent to </w:t>
            </w:r>
            <w:r>
              <w:rPr>
                <w:b/>
              </w:rPr>
              <w:t>tb</w:t>
            </w:r>
            <w:r>
              <w:t>.</w:t>
            </w:r>
          </w:p>
        </w:tc>
      </w:tr>
      <w:tr w:rsidR="005F78FC" w:rsidTr="005F78FC">
        <w:tc>
          <w:tcPr>
            <w:tcW w:w="0" w:type="auto"/>
            <w:vAlign w:val="center"/>
          </w:tcPr>
          <w:p w:rsidR="005F78FC" w:rsidRDefault="00B42EF3">
            <w:pPr>
              <w:pStyle w:val="TableBodyText"/>
            </w:pPr>
            <w:r>
              <w:rPr>
                <w:b/>
              </w:rPr>
              <w:t>lrTbV</w:t>
            </w:r>
            <w:r>
              <w:t xml:space="preserve"> (Lines Flow From Top to Bottom, Rotated)</w:t>
            </w:r>
          </w:p>
        </w:tc>
        <w:tc>
          <w:tcPr>
            <w:tcW w:w="0" w:type="auto"/>
            <w:vAlign w:val="center"/>
          </w:tcPr>
          <w:p w:rsidR="005F78FC" w:rsidRDefault="00B42EF3">
            <w:pPr>
              <w:pStyle w:val="TableBodyText"/>
            </w:pPr>
            <w:r>
              <w:t xml:space="preserve">Semantically equivalent to </w:t>
            </w:r>
            <w:r>
              <w:rPr>
                <w:b/>
              </w:rPr>
              <w:t>tbV</w:t>
            </w:r>
            <w:r>
              <w:t>.</w:t>
            </w:r>
          </w:p>
        </w:tc>
      </w:tr>
      <w:tr w:rsidR="005F78FC" w:rsidTr="005F78FC">
        <w:tc>
          <w:tcPr>
            <w:tcW w:w="0" w:type="auto"/>
            <w:vAlign w:val="center"/>
          </w:tcPr>
          <w:p w:rsidR="005F78FC" w:rsidRDefault="00B42EF3">
            <w:pPr>
              <w:pStyle w:val="TableBodyText"/>
            </w:pPr>
            <w:r>
              <w:rPr>
                <w:b/>
              </w:rPr>
              <w:t>tbLrV</w:t>
            </w:r>
            <w:r>
              <w:t xml:space="preserve"> (Lines Flow From Left to Right, Rotated)</w:t>
            </w:r>
          </w:p>
        </w:tc>
        <w:tc>
          <w:tcPr>
            <w:tcW w:w="0" w:type="auto"/>
            <w:vAlign w:val="center"/>
          </w:tcPr>
          <w:p w:rsidR="005F78FC" w:rsidRDefault="00B42EF3">
            <w:pPr>
              <w:pStyle w:val="TableBodyText"/>
            </w:pPr>
            <w:r>
              <w:t xml:space="preserve">Semantically equivalent to </w:t>
            </w:r>
            <w:r>
              <w:rPr>
                <w:b/>
              </w:rPr>
              <w:t>lrV</w:t>
            </w:r>
            <w:r>
              <w:t>.</w:t>
            </w:r>
          </w:p>
        </w:tc>
      </w:tr>
      <w:tr w:rsidR="005F78FC" w:rsidTr="005F78FC">
        <w:tc>
          <w:tcPr>
            <w:tcW w:w="0" w:type="auto"/>
            <w:vAlign w:val="center"/>
          </w:tcPr>
          <w:p w:rsidR="005F78FC" w:rsidRDefault="00B42EF3">
            <w:pPr>
              <w:pStyle w:val="TableBodyText"/>
            </w:pPr>
            <w:r>
              <w:rPr>
                <w:b/>
              </w:rPr>
              <w:t>tbRl</w:t>
            </w:r>
            <w:r>
              <w:t xml:space="preserve"> (Lines Flow From Right to Left)</w:t>
            </w:r>
          </w:p>
        </w:tc>
        <w:tc>
          <w:tcPr>
            <w:tcW w:w="0" w:type="auto"/>
            <w:vAlign w:val="center"/>
          </w:tcPr>
          <w:p w:rsidR="005F78FC" w:rsidRDefault="00B42EF3">
            <w:pPr>
              <w:pStyle w:val="TableBodyText"/>
            </w:pPr>
            <w:r>
              <w:t xml:space="preserve">Semantically equivalent to </w:t>
            </w:r>
            <w:r>
              <w:rPr>
                <w:b/>
              </w:rPr>
              <w:t>rl</w:t>
            </w:r>
            <w:r>
              <w:t>.</w:t>
            </w:r>
          </w:p>
        </w:tc>
      </w:tr>
      <w:tr w:rsidR="005F78FC" w:rsidTr="005F78FC">
        <w:tc>
          <w:tcPr>
            <w:tcW w:w="0" w:type="auto"/>
            <w:vAlign w:val="center"/>
          </w:tcPr>
          <w:p w:rsidR="005F78FC" w:rsidRDefault="00B42EF3">
            <w:pPr>
              <w:pStyle w:val="TableBodyText"/>
            </w:pPr>
            <w:r>
              <w:rPr>
                <w:b/>
              </w:rPr>
              <w:t>tbRlV</w:t>
            </w:r>
            <w:r>
              <w:t xml:space="preserve"> (Lines Flow From Right to Left, Rotated)</w:t>
            </w:r>
          </w:p>
        </w:tc>
        <w:tc>
          <w:tcPr>
            <w:tcW w:w="0" w:type="auto"/>
            <w:vAlign w:val="center"/>
          </w:tcPr>
          <w:p w:rsidR="005F78FC" w:rsidRDefault="00B42EF3">
            <w:pPr>
              <w:pStyle w:val="TableBodyText"/>
            </w:pPr>
            <w:r>
              <w:t xml:space="preserve">Semantically equivalent to </w:t>
            </w:r>
            <w:r>
              <w:rPr>
                <w:b/>
              </w:rPr>
              <w:t>rlV</w:t>
            </w:r>
            <w:r>
              <w:t>.</w:t>
            </w:r>
          </w:p>
        </w:tc>
      </w:tr>
    </w:tbl>
    <w:p w:rsidR="005F78FC" w:rsidRDefault="005F78FC"/>
    <w:p w:rsidR="005F78FC" w:rsidRDefault="00B42EF3">
      <w:r>
        <w:t xml:space="preserve">In Word, these enumeration </w:t>
      </w:r>
      <w:r>
        <w:t>values have different meanings when used in the context of a table.</w:t>
      </w:r>
    </w:p>
    <w:tbl>
      <w:tblPr>
        <w:tblStyle w:val="Table-ShadedHeader"/>
        <w:tblW w:w="0" w:type="auto"/>
        <w:tblLook w:val="04A0" w:firstRow="1" w:lastRow="0" w:firstColumn="1" w:lastColumn="0" w:noHBand="0" w:noVBand="1"/>
      </w:tblPr>
      <w:tblGrid>
        <w:gridCol w:w="2833"/>
        <w:gridCol w:w="6642"/>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Enumeration Value</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rPr>
                <w:b/>
              </w:rPr>
              <w:t>btLr</w:t>
            </w:r>
            <w:r>
              <w:t xml:space="preserve"> (Bottom to Top, Left to Right)</w:t>
            </w:r>
          </w:p>
        </w:tc>
        <w:tc>
          <w:tcPr>
            <w:tcW w:w="0" w:type="auto"/>
            <w:vAlign w:val="center"/>
          </w:tcPr>
          <w:p w:rsidR="005F78FC" w:rsidRDefault="00B42EF3">
            <w:pPr>
              <w:pStyle w:val="TableBodyText"/>
            </w:pPr>
            <w:r>
              <w:t>Specifies that text in the parent object shall flow from bottom to top vertically, then from left to right horizontally o</w:t>
            </w:r>
            <w:r>
              <w:t>n the page.</w:t>
            </w:r>
          </w:p>
          <w:p w:rsidR="005F78FC" w:rsidRDefault="005F78FC">
            <w:pPr>
              <w:pStyle w:val="TableBodyText"/>
            </w:pPr>
          </w:p>
          <w:p w:rsidR="005F78FC" w:rsidRDefault="00B42EF3">
            <w:pPr>
              <w:pStyle w:val="TableBodyText"/>
            </w:pPr>
            <w:r>
              <w:t>This means that vertical lines are filled before the text expands horizontally.</w:t>
            </w:r>
          </w:p>
        </w:tc>
      </w:tr>
      <w:tr w:rsidR="005F78FC" w:rsidTr="005F78FC">
        <w:tc>
          <w:tcPr>
            <w:tcW w:w="0" w:type="auto"/>
            <w:vAlign w:val="center"/>
          </w:tcPr>
          <w:p w:rsidR="005F78FC" w:rsidRDefault="00B42EF3">
            <w:pPr>
              <w:pStyle w:val="TableBodyText"/>
            </w:pPr>
            <w:r>
              <w:rPr>
                <w:b/>
              </w:rPr>
              <w:t>lrTb</w:t>
            </w:r>
            <w:r>
              <w:t xml:space="preserve"> (Left to Right, Top to Bottom)</w:t>
            </w:r>
          </w:p>
        </w:tc>
        <w:tc>
          <w:tcPr>
            <w:tcW w:w="0" w:type="auto"/>
            <w:vAlign w:val="center"/>
          </w:tcPr>
          <w:p w:rsidR="005F78FC" w:rsidRDefault="00B42EF3">
            <w:pPr>
              <w:pStyle w:val="TableBodyText"/>
            </w:pPr>
            <w:r>
              <w:t>Specifies that text in the parent object shall flow from left to right horizontally, then top to bottom vertically on the page</w:t>
            </w:r>
            <w:r>
              <w:t>.</w:t>
            </w:r>
          </w:p>
          <w:p w:rsidR="005F78FC" w:rsidRDefault="005F78FC">
            <w:pPr>
              <w:pStyle w:val="TableBodyText"/>
            </w:pPr>
          </w:p>
          <w:p w:rsidR="005F78FC" w:rsidRDefault="00B42EF3">
            <w:pPr>
              <w:pStyle w:val="TableBodyText"/>
            </w:pPr>
            <w:r>
              <w:t>This means that horizontal lines are filled before the text expands vertically.</w:t>
            </w:r>
          </w:p>
        </w:tc>
      </w:tr>
      <w:tr w:rsidR="005F78FC" w:rsidTr="005F78FC">
        <w:tc>
          <w:tcPr>
            <w:tcW w:w="0" w:type="auto"/>
            <w:vAlign w:val="center"/>
          </w:tcPr>
          <w:p w:rsidR="005F78FC" w:rsidRDefault="00B42EF3">
            <w:pPr>
              <w:pStyle w:val="TableBodyText"/>
            </w:pPr>
            <w:r>
              <w:rPr>
                <w:b/>
              </w:rPr>
              <w:t>lrTbV</w:t>
            </w:r>
            <w:r>
              <w:t xml:space="preserve"> (Left to Right, Top to Bottom Rotated)</w:t>
            </w:r>
          </w:p>
        </w:tc>
        <w:tc>
          <w:tcPr>
            <w:tcW w:w="0" w:type="auto"/>
            <w:vAlign w:val="center"/>
          </w:tcPr>
          <w:p w:rsidR="005F78FC" w:rsidRDefault="00B42EF3">
            <w:pPr>
              <w:pStyle w:val="TableBodyText"/>
            </w:pPr>
            <w:r>
              <w:t>Specifies that text in the parent object shall flow from left to right horizontally, then top to bottom vertically on the page.</w:t>
            </w:r>
          </w:p>
          <w:p w:rsidR="005F78FC" w:rsidRDefault="005F78FC">
            <w:pPr>
              <w:pStyle w:val="TableBodyText"/>
            </w:pPr>
          </w:p>
          <w:p w:rsidR="005F78FC" w:rsidRDefault="00B42EF3">
            <w:pPr>
              <w:pStyle w:val="TableBodyText"/>
            </w:pPr>
            <w:r>
              <w:lastRenderedPageBreak/>
              <w:t>This means that horizontal lines are filled before the text expands vertically.</w:t>
            </w:r>
          </w:p>
          <w:p w:rsidR="005F78FC" w:rsidRDefault="005F78FC">
            <w:pPr>
              <w:pStyle w:val="TableBodyText"/>
            </w:pPr>
          </w:p>
          <w:p w:rsidR="005F78FC" w:rsidRDefault="00B42EF3">
            <w:pPr>
              <w:pStyle w:val="TableBodyText"/>
            </w:pPr>
            <w:r>
              <w:t>This flow is also rotated such that any East Asian text shall be rotated 270 degrees when displayed on a page.</w:t>
            </w:r>
          </w:p>
        </w:tc>
      </w:tr>
      <w:tr w:rsidR="005F78FC" w:rsidTr="005F78FC">
        <w:tc>
          <w:tcPr>
            <w:tcW w:w="0" w:type="auto"/>
            <w:vAlign w:val="center"/>
          </w:tcPr>
          <w:p w:rsidR="005F78FC" w:rsidRDefault="00B42EF3">
            <w:pPr>
              <w:pStyle w:val="TableBodyText"/>
            </w:pPr>
            <w:r>
              <w:rPr>
                <w:b/>
              </w:rPr>
              <w:lastRenderedPageBreak/>
              <w:t>tbLrV</w:t>
            </w:r>
            <w:r>
              <w:t xml:space="preserve"> (Top to Bottom, Left to Right Rotated)</w:t>
            </w:r>
          </w:p>
        </w:tc>
        <w:tc>
          <w:tcPr>
            <w:tcW w:w="0" w:type="auto"/>
            <w:vAlign w:val="center"/>
          </w:tcPr>
          <w:p w:rsidR="005F78FC" w:rsidRDefault="00B42EF3">
            <w:pPr>
              <w:pStyle w:val="TableBodyText"/>
            </w:pPr>
            <w:r>
              <w:t xml:space="preserve">Specifies that </w:t>
            </w:r>
            <w:r>
              <w:t>text in the parent object shall flow from top to bottom vertically, then left to right horizontally on the page.</w:t>
            </w:r>
          </w:p>
          <w:p w:rsidR="005F78FC" w:rsidRDefault="005F78FC">
            <w:pPr>
              <w:pStyle w:val="TableBodyText"/>
            </w:pPr>
          </w:p>
          <w:p w:rsidR="005F78FC" w:rsidRDefault="00B42EF3">
            <w:pPr>
              <w:pStyle w:val="TableBodyText"/>
            </w:pPr>
            <w:r>
              <w:t>This means that vertical lines are filled before the text expands horizontally.</w:t>
            </w:r>
          </w:p>
          <w:p w:rsidR="005F78FC" w:rsidRDefault="005F78FC">
            <w:pPr>
              <w:pStyle w:val="TableBodyText"/>
            </w:pPr>
          </w:p>
          <w:p w:rsidR="005F78FC" w:rsidRDefault="00B42EF3">
            <w:pPr>
              <w:pStyle w:val="TableBodyText"/>
            </w:pPr>
            <w:r>
              <w:t>This flow is also rotated such that all text is rotated 90 de</w:t>
            </w:r>
            <w:r>
              <w:t>grees when displayed on a page.</w:t>
            </w:r>
          </w:p>
        </w:tc>
      </w:tr>
      <w:tr w:rsidR="005F78FC" w:rsidTr="005F78FC">
        <w:tc>
          <w:tcPr>
            <w:tcW w:w="0" w:type="auto"/>
            <w:vAlign w:val="center"/>
          </w:tcPr>
          <w:p w:rsidR="005F78FC" w:rsidRDefault="00B42EF3">
            <w:pPr>
              <w:pStyle w:val="TableBodyText"/>
            </w:pPr>
            <w:r>
              <w:rPr>
                <w:b/>
              </w:rPr>
              <w:t>tbRl</w:t>
            </w:r>
            <w:r>
              <w:t xml:space="preserve"> (Top to Bottom, Right to Left)</w:t>
            </w:r>
          </w:p>
        </w:tc>
        <w:tc>
          <w:tcPr>
            <w:tcW w:w="0" w:type="auto"/>
            <w:vAlign w:val="center"/>
          </w:tcPr>
          <w:p w:rsidR="005F78FC" w:rsidRDefault="00B42EF3">
            <w:pPr>
              <w:pStyle w:val="TableBodyText"/>
            </w:pPr>
            <w:r>
              <w:t>Specifies that text in the parent object shall flow from right to left horizontally, then top to bottom vertically on the page.</w:t>
            </w:r>
          </w:p>
          <w:p w:rsidR="005F78FC" w:rsidRDefault="005F78FC">
            <w:pPr>
              <w:pStyle w:val="TableBodyText"/>
            </w:pPr>
          </w:p>
          <w:p w:rsidR="005F78FC" w:rsidRDefault="00B42EF3">
            <w:pPr>
              <w:pStyle w:val="TableBodyText"/>
            </w:pPr>
            <w:r>
              <w:t>This means that horizontal lines are filled before the tex</w:t>
            </w:r>
            <w:r>
              <w:t>t expands vertically.</w:t>
            </w:r>
          </w:p>
        </w:tc>
      </w:tr>
      <w:tr w:rsidR="005F78FC" w:rsidTr="005F78FC">
        <w:tc>
          <w:tcPr>
            <w:tcW w:w="0" w:type="auto"/>
            <w:vAlign w:val="center"/>
          </w:tcPr>
          <w:p w:rsidR="005F78FC" w:rsidRDefault="00B42EF3">
            <w:pPr>
              <w:pStyle w:val="TableBodyText"/>
            </w:pPr>
            <w:r>
              <w:rPr>
                <w:b/>
              </w:rPr>
              <w:t>tbRlV</w:t>
            </w:r>
            <w:r>
              <w:t xml:space="preserve"> (Top to Bottom, Right to Left Rotated)</w:t>
            </w:r>
          </w:p>
        </w:tc>
        <w:tc>
          <w:tcPr>
            <w:tcW w:w="0" w:type="auto"/>
            <w:vAlign w:val="center"/>
          </w:tcPr>
          <w:p w:rsidR="005F78FC" w:rsidRDefault="00B42EF3">
            <w:pPr>
              <w:pStyle w:val="TableBodyText"/>
            </w:pPr>
            <w:r>
              <w:t>Specifies that text in the parent object shall flow from top to bottom vertically, then right to left horizontally on the page.</w:t>
            </w:r>
          </w:p>
          <w:p w:rsidR="005F78FC" w:rsidRDefault="005F78FC">
            <w:pPr>
              <w:pStyle w:val="TableBodyText"/>
            </w:pPr>
          </w:p>
          <w:p w:rsidR="005F78FC" w:rsidRDefault="00B42EF3">
            <w:pPr>
              <w:pStyle w:val="TableBodyText"/>
            </w:pPr>
            <w:r>
              <w:t>This means that vertical lines are filled before the text e</w:t>
            </w:r>
            <w:r>
              <w:t>xpands horizontally.</w:t>
            </w:r>
          </w:p>
          <w:p w:rsidR="005F78FC" w:rsidRDefault="005F78FC">
            <w:pPr>
              <w:pStyle w:val="TableBodyText"/>
            </w:pPr>
          </w:p>
          <w:p w:rsidR="005F78FC" w:rsidRDefault="00B42EF3">
            <w:pPr>
              <w:pStyle w:val="TableBodyText"/>
            </w:pPr>
            <w:r>
              <w:t>This flow is also rotated such that all text is rotated 90 degrees when displayed on a page.</w:t>
            </w:r>
          </w:p>
        </w:tc>
      </w:tr>
    </w:tbl>
    <w:p w:rsidR="005F78FC" w:rsidRDefault="005F78FC">
      <w:pPr>
        <w:pStyle w:val="Definition-Field"/>
      </w:pPr>
    </w:p>
    <w:p w:rsidR="005F78FC" w:rsidRDefault="00B42EF3">
      <w:pPr>
        <w:pStyle w:val="Definition-Field"/>
      </w:pPr>
      <w:r>
        <w:t xml:space="preserve">b.   </w:t>
      </w:r>
      <w:r>
        <w:rPr>
          <w:i/>
        </w:rPr>
        <w:t>The standard states that btLr orients the text from bottom to top, then left to right.</w:t>
      </w:r>
    </w:p>
    <w:p w:rsidR="005F78FC" w:rsidRDefault="00B42EF3">
      <w:pPr>
        <w:pStyle w:val="Definition-Field2"/>
      </w:pPr>
      <w:r>
        <w:t xml:space="preserve">Word does not respect this value when used at </w:t>
      </w:r>
      <w:r>
        <w:t>the section level.</w:t>
      </w:r>
    </w:p>
    <w:p w:rsidR="005F78FC" w:rsidRDefault="00B42EF3">
      <w:pPr>
        <w:pStyle w:val="Definition-Field2"/>
        <w:ind w:left="0"/>
        <w:rPr>
          <w:i/>
        </w:rPr>
      </w:pPr>
      <w:r>
        <w:t xml:space="preserve">c.   </w:t>
      </w:r>
      <w:r>
        <w:rPr>
          <w:i/>
        </w:rPr>
        <w:t>The standard states that rlV orients the text from top to bottom, then right to left, rotated.</w:t>
      </w:r>
    </w:p>
    <w:p w:rsidR="005F78FC" w:rsidRDefault="00B42EF3">
      <w:pPr>
        <w:pStyle w:val="Definition-Field2"/>
      </w:pPr>
      <w:r>
        <w:t>Word does not respect this value when used at the section level.</w:t>
      </w:r>
    </w:p>
    <w:p w:rsidR="005F78FC" w:rsidRDefault="00B42EF3">
      <w:pPr>
        <w:pStyle w:val="Definition-Field"/>
      </w:pPr>
      <w:r>
        <w:t xml:space="preserve">d.   </w:t>
      </w:r>
      <w:r>
        <w:rPr>
          <w:i/>
        </w:rPr>
        <w:t>The standard states that lrV orients the text from bottom to top, t</w:t>
      </w:r>
      <w:r>
        <w:rPr>
          <w:i/>
        </w:rPr>
        <w:t>hen left to right, rotated.</w:t>
      </w:r>
    </w:p>
    <w:p w:rsidR="005F78FC" w:rsidRDefault="00B42EF3">
      <w:pPr>
        <w:pStyle w:val="Definition-Field2"/>
      </w:pPr>
      <w:r>
        <w:t>Word does not respect this value when used at the section level.</w:t>
      </w:r>
    </w:p>
    <w:p w:rsidR="005F78FC" w:rsidRDefault="00B42EF3">
      <w:pPr>
        <w:pStyle w:val="Heading3"/>
      </w:pPr>
      <w:bookmarkStart w:id="1136" w:name="section_9e3b0422c7ba419f9708830928e14808"/>
      <w:bookmarkStart w:id="1137" w:name="_Toc69878341"/>
      <w:r>
        <w:t>Part 1 Section 17.18.94, ST_TextEffect (Animated Text Effects)</w:t>
      </w:r>
      <w:bookmarkEnd w:id="1136"/>
      <w:bookmarkEnd w:id="1137"/>
      <w:r>
        <w:fldChar w:fldCharType="begin"/>
      </w:r>
      <w:r>
        <w:instrText xml:space="preserve"> XE "ST_TextEffect (Animated Text Effects)" </w:instrText>
      </w:r>
      <w:r>
        <w:fldChar w:fldCharType="end"/>
      </w:r>
    </w:p>
    <w:p w:rsidR="005F78FC" w:rsidRDefault="00B42EF3">
      <w:pPr>
        <w:pStyle w:val="Definition-Field"/>
      </w:pPr>
      <w:r>
        <w:t xml:space="preserve">a.   </w:t>
      </w:r>
      <w:r>
        <w:rPr>
          <w:i/>
        </w:rPr>
        <w:t>The standard specifies colors for each of the enu</w:t>
      </w:r>
      <w:r>
        <w:rPr>
          <w:i/>
        </w:rPr>
        <w:t>meration values.</w:t>
      </w:r>
    </w:p>
    <w:p w:rsidR="005F78FC" w:rsidRDefault="00B42EF3">
      <w:pPr>
        <w:pStyle w:val="Definition-Field2"/>
      </w:pPr>
      <w:r>
        <w:t>Word will use different colors in order to show the effect if the page background and system color background are too similar.</w:t>
      </w:r>
    </w:p>
    <w:p w:rsidR="005F78FC" w:rsidRDefault="00B42EF3">
      <w:pPr>
        <w:pStyle w:val="Heading3"/>
      </w:pPr>
      <w:bookmarkStart w:id="1138" w:name="section_a797e74752bf4755a3492028c1b96dcf"/>
      <w:bookmarkStart w:id="1139" w:name="_Toc69878342"/>
      <w:r>
        <w:t>Part 1 Section 17.18.95, ST_TextScale (Text Expansion/Compression Percentage)</w:t>
      </w:r>
      <w:bookmarkEnd w:id="1138"/>
      <w:bookmarkEnd w:id="1139"/>
      <w:r>
        <w:fldChar w:fldCharType="begin"/>
      </w:r>
      <w:r>
        <w:instrText xml:space="preserve"> XE "ST_TextScale (Text Expansion/C</w:instrText>
      </w:r>
      <w:r>
        <w:instrText xml:space="preserve">ompression Percentage)" </w:instrText>
      </w:r>
      <w:r>
        <w:fldChar w:fldCharType="end"/>
      </w:r>
    </w:p>
    <w:p w:rsidR="005F78FC" w:rsidRDefault="00B42EF3">
      <w:pPr>
        <w:pStyle w:val="Definition-Field"/>
      </w:pPr>
      <w:r>
        <w:t xml:space="preserve">a.   </w:t>
      </w:r>
      <w:r>
        <w:rPr>
          <w:i/>
        </w:rPr>
        <w:t>The standard states that the valid range for ST_TextScale is between 0 and 600.</w:t>
      </w:r>
    </w:p>
    <w:p w:rsidR="005F78FC" w:rsidRDefault="00B42EF3">
      <w:pPr>
        <w:pStyle w:val="Definition-Field2"/>
      </w:pPr>
      <w:r>
        <w:t>Word requires that the valid range be between 1 and 600.</w:t>
      </w:r>
    </w:p>
    <w:p w:rsidR="005F78FC" w:rsidRDefault="00B42EF3">
      <w:pPr>
        <w:pStyle w:val="Heading3"/>
      </w:pPr>
      <w:bookmarkStart w:id="1140" w:name="section_d9309b78fe044bf79a64f30ff80215a9"/>
      <w:bookmarkStart w:id="1141" w:name="_Toc69878343"/>
      <w:r>
        <w:lastRenderedPageBreak/>
        <w:t>Part 1 Section 17.18.101, ST_VerticalJc (Vertical Alignment Type)</w:t>
      </w:r>
      <w:bookmarkEnd w:id="1140"/>
      <w:bookmarkEnd w:id="1141"/>
      <w:r>
        <w:fldChar w:fldCharType="begin"/>
      </w:r>
      <w:r>
        <w:instrText xml:space="preserve"> XE "ST_VerticalJc (Ve</w:instrText>
      </w:r>
      <w:r>
        <w:instrText xml:space="preserve">rtical Alignment Type)" </w:instrText>
      </w:r>
      <w:r>
        <w:fldChar w:fldCharType="end"/>
      </w:r>
    </w:p>
    <w:p w:rsidR="005F78FC" w:rsidRDefault="00B42EF3">
      <w:pPr>
        <w:pStyle w:val="Definition-Field"/>
      </w:pPr>
      <w:r>
        <w:t xml:space="preserve">a.   </w:t>
      </w:r>
      <w:r>
        <w:rPr>
          <w:i/>
        </w:rPr>
        <w:t>The standard says that both justification is not used if multiple sections are on a page, and does not specify behavior for other alignment values if multiple sections are on a page.</w:t>
      </w:r>
    </w:p>
    <w:p w:rsidR="005F78FC" w:rsidRDefault="00B42EF3">
      <w:pPr>
        <w:pStyle w:val="Definition-Field2"/>
      </w:pPr>
      <w:r>
        <w:t>If there are multiple sections on one pag</w:t>
      </w:r>
      <w:r>
        <w:t>e and they have different vertical alignment, then Word will ignore the vertical alignment specified and will use the default value of top.</w:t>
      </w:r>
    </w:p>
    <w:p w:rsidR="005F78FC" w:rsidRDefault="00B42EF3">
      <w:pPr>
        <w:pStyle w:val="Heading3"/>
      </w:pPr>
      <w:bookmarkStart w:id="1142" w:name="section_7c0abcfe3753410185d1d2636a792cdc"/>
      <w:bookmarkStart w:id="1143" w:name="_Toc69878344"/>
      <w:r>
        <w:t>Part 1 Section 17.18.102, ST_View (Document View Values)</w:t>
      </w:r>
      <w:bookmarkEnd w:id="1142"/>
      <w:bookmarkEnd w:id="1143"/>
      <w:r>
        <w:fldChar w:fldCharType="begin"/>
      </w:r>
      <w:r>
        <w:instrText xml:space="preserve"> XE "ST_View (Document View Values)" </w:instrText>
      </w:r>
      <w:r>
        <w:fldChar w:fldCharType="end"/>
      </w:r>
    </w:p>
    <w:p w:rsidR="005F78FC" w:rsidRDefault="00B42EF3">
      <w:pPr>
        <w:pStyle w:val="Definition-Field"/>
      </w:pPr>
      <w:r>
        <w:t xml:space="preserve">a.   </w:t>
      </w:r>
      <w:r>
        <w:rPr>
          <w:i/>
        </w:rPr>
        <w:t>The standard st</w:t>
      </w:r>
      <w:r>
        <w:rPr>
          <w:i/>
        </w:rPr>
        <w:t>ates that the enumeration value normal renders the document in outline view.</w:t>
      </w:r>
    </w:p>
    <w:p w:rsidR="005F78FC" w:rsidRDefault="00B42EF3">
      <w:pPr>
        <w:pStyle w:val="Definition-Field2"/>
      </w:pPr>
      <w:r>
        <w:t>In Word, the enumeration value normal renders the document in a draft view.</w:t>
      </w:r>
    </w:p>
    <w:p w:rsidR="005F78FC" w:rsidRDefault="00B42EF3">
      <w:pPr>
        <w:pStyle w:val="Heading3"/>
      </w:pPr>
      <w:bookmarkStart w:id="1144" w:name="section_d2081988766c4aa1bfe807eeeefd1f4f"/>
      <w:bookmarkStart w:id="1145" w:name="_Toc69878345"/>
      <w:r>
        <w:t>Part 1 Section 17.18.104, ST_Wrap (Text Wrapping around Text Frame Type)</w:t>
      </w:r>
      <w:bookmarkEnd w:id="1144"/>
      <w:bookmarkEnd w:id="1145"/>
      <w:r>
        <w:fldChar w:fldCharType="begin"/>
      </w:r>
      <w:r>
        <w:instrText xml:space="preserve"> XE "ST_Wrap (Text Wrapping aro</w:instrText>
      </w:r>
      <w:r>
        <w:instrText xml:space="preserve">und Text Frame Type)" </w:instrText>
      </w:r>
      <w:r>
        <w:fldChar w:fldCharType="end"/>
      </w:r>
    </w:p>
    <w:p w:rsidR="005F78FC" w:rsidRDefault="00B42EF3">
      <w:pPr>
        <w:pStyle w:val="Definition-Field"/>
      </w:pPr>
      <w:r>
        <w:t xml:space="preserve">a.   </w:t>
      </w:r>
      <w:r>
        <w:rPr>
          <w:i/>
        </w:rPr>
        <w:t>The standard's description for the enumeration value none is the same as notBeside.</w:t>
      </w:r>
    </w:p>
    <w:p w:rsidR="005F78FC" w:rsidRDefault="00B42EF3">
      <w:pPr>
        <w:pStyle w:val="Definition-Field2"/>
      </w:pPr>
      <w:r>
        <w:t>The behavior of the enumeration values none and notBeside are implemented distinctly by Word.  Word implements none by not allowing text to wr</w:t>
      </w:r>
      <w:r>
        <w:t>ap around the remaining space on each line around the text frame.</w:t>
      </w:r>
    </w:p>
    <w:p w:rsidR="005F78FC" w:rsidRDefault="00B42EF3">
      <w:pPr>
        <w:pStyle w:val="Heading3"/>
      </w:pPr>
      <w:bookmarkStart w:id="1146" w:name="section_b48d891444844a4f843315a9a24c3dc9"/>
      <w:bookmarkStart w:id="1147" w:name="_Toc69878346"/>
      <w:r>
        <w:t>Part 1 Section 18.2.1, bookViews (Workbook Views)</w:t>
      </w:r>
      <w:bookmarkEnd w:id="1146"/>
      <w:bookmarkEnd w:id="1147"/>
      <w:r>
        <w:fldChar w:fldCharType="begin"/>
      </w:r>
      <w:r>
        <w:instrText xml:space="preserve"> XE "bookViews (Workbook Views)" </w:instrText>
      </w:r>
      <w:r>
        <w:fldChar w:fldCharType="end"/>
      </w:r>
    </w:p>
    <w:p w:rsidR="005F78FC" w:rsidRDefault="00B42EF3">
      <w:pPr>
        <w:pStyle w:val="Definition-Field"/>
      </w:pPr>
      <w:r>
        <w:t xml:space="preserve">a.   </w:t>
      </w:r>
      <w:r>
        <w:rPr>
          <w:i/>
        </w:rPr>
        <w:t>The standard states that the maxOccurs value for the workbookView child element is unbounded.</w:t>
      </w:r>
    </w:p>
    <w:p w:rsidR="005F78FC" w:rsidRDefault="00B42EF3">
      <w:pPr>
        <w:pStyle w:val="Definition-Field2"/>
      </w:pPr>
      <w:r>
        <w:t xml:space="preserve">Excel </w:t>
      </w:r>
      <w:r>
        <w:t>limits the occurrences of this element to 2147483647.</w:t>
      </w:r>
    </w:p>
    <w:p w:rsidR="005F78FC" w:rsidRDefault="00B42EF3">
      <w:pPr>
        <w:pStyle w:val="Heading3"/>
      </w:pPr>
      <w:bookmarkStart w:id="1148" w:name="section_9a86ba923c7d4538a7ae4c262aab614d"/>
      <w:bookmarkStart w:id="1149" w:name="_Toc69878347"/>
      <w:r>
        <w:t>Part 1 Section 18.2.2, calcPr (Calculation Properties)</w:t>
      </w:r>
      <w:bookmarkEnd w:id="1148"/>
      <w:bookmarkEnd w:id="1149"/>
      <w:r>
        <w:fldChar w:fldCharType="begin"/>
      </w:r>
      <w:r>
        <w:instrText xml:space="preserve"> XE "calcPr (Calculation Properties)" </w:instrText>
      </w:r>
      <w:r>
        <w:fldChar w:fldCharType="end"/>
      </w:r>
    </w:p>
    <w:p w:rsidR="005F78FC" w:rsidRDefault="00B42EF3">
      <w:pPr>
        <w:pStyle w:val="Definition-Field"/>
      </w:pPr>
      <w:r>
        <w:t xml:space="preserve">a.   </w:t>
      </w:r>
      <w:r>
        <w:rPr>
          <w:i/>
        </w:rPr>
        <w:t>The standard does not specify a default value for the forceFullCalc attribute.</w:t>
      </w:r>
    </w:p>
    <w:p w:rsidR="005F78FC" w:rsidRDefault="00B42EF3">
      <w:pPr>
        <w:pStyle w:val="Definition-Field2"/>
      </w:pPr>
      <w:r>
        <w:t>Excel uses a default va</w:t>
      </w:r>
      <w:r>
        <w:t>lue of false for this attribute.</w:t>
      </w:r>
    </w:p>
    <w:p w:rsidR="005F78FC" w:rsidRDefault="00B42EF3">
      <w:pPr>
        <w:pStyle w:val="Definition-Field"/>
      </w:pPr>
      <w:r>
        <w:t xml:space="preserve">b.   </w:t>
      </w:r>
      <w:r>
        <w:rPr>
          <w:i/>
        </w:rPr>
        <w:t>The standard specifies that iterateCount attribute iterations will always take place.</w:t>
      </w:r>
    </w:p>
    <w:p w:rsidR="005F78FC" w:rsidRDefault="00B42EF3">
      <w:pPr>
        <w:pStyle w:val="Definition-Field2"/>
      </w:pPr>
      <w:r>
        <w:t>Office will stop iteration if values change by less than the iterateDelta attribute value.</w:t>
      </w:r>
    </w:p>
    <w:p w:rsidR="005F78FC" w:rsidRDefault="00B42EF3">
      <w:pPr>
        <w:pStyle w:val="Definition-Field"/>
      </w:pPr>
      <w:r>
        <w:t xml:space="preserve">c.   </w:t>
      </w:r>
      <w:r>
        <w:rPr>
          <w:i/>
        </w:rPr>
        <w:t xml:space="preserve">The standard does not specify a </w:t>
      </w:r>
      <w:r>
        <w:rPr>
          <w:i/>
        </w:rPr>
        <w:t>default value for the calcId attribute.</w:t>
      </w:r>
    </w:p>
    <w:p w:rsidR="005F78FC" w:rsidRDefault="00B42EF3">
      <w:pPr>
        <w:pStyle w:val="Definition-Field2"/>
      </w:pPr>
      <w:r>
        <w:t>Excel uses a default value of 0 for this attribute.</w:t>
      </w:r>
    </w:p>
    <w:p w:rsidR="005F78FC" w:rsidRDefault="00B42EF3">
      <w:pPr>
        <w:pStyle w:val="Heading3"/>
      </w:pPr>
      <w:bookmarkStart w:id="1150" w:name="section_4a1279ef49db44dab7a7f88b371cdc89"/>
      <w:bookmarkStart w:id="1151" w:name="_Toc69878348"/>
      <w:r>
        <w:t>Part 1 Section 18.2.3, customWorkbookView (Custom Workbook View)</w:t>
      </w:r>
      <w:bookmarkEnd w:id="1150"/>
      <w:bookmarkEnd w:id="1151"/>
      <w:r>
        <w:fldChar w:fldCharType="begin"/>
      </w:r>
      <w:r>
        <w:instrText xml:space="preserve"> XE "customWorkbookView (Custom Workbook View)" </w:instrText>
      </w:r>
      <w:r>
        <w:fldChar w:fldCharType="end"/>
      </w:r>
    </w:p>
    <w:p w:rsidR="005F78FC" w:rsidRDefault="00B42EF3">
      <w:pPr>
        <w:pStyle w:val="Definition-Field"/>
      </w:pPr>
      <w:r>
        <w:t xml:space="preserve">a.   </w:t>
      </w:r>
      <w:r>
        <w:rPr>
          <w:i/>
        </w:rPr>
        <w:t>The standard states that the values of the w</w:t>
      </w:r>
      <w:r>
        <w:rPr>
          <w:i/>
        </w:rPr>
        <w:t>indowWidth attribute are defined by the XML Schema unsignedInt datatype.</w:t>
      </w:r>
    </w:p>
    <w:p w:rsidR="005F78FC" w:rsidRDefault="00B42EF3">
      <w:pPr>
        <w:pStyle w:val="Definition-Field2"/>
      </w:pPr>
      <w:r>
        <w:t>Excel restricts the value of this attribute to be at most 2147483647.</w:t>
      </w:r>
    </w:p>
    <w:p w:rsidR="005F78FC" w:rsidRDefault="00B42EF3">
      <w:pPr>
        <w:pStyle w:val="Definition-Field"/>
      </w:pPr>
      <w:r>
        <w:t xml:space="preserve">b.   </w:t>
      </w:r>
      <w:r>
        <w:rPr>
          <w:i/>
        </w:rPr>
        <w:t>The standard states that the values of the mergeInterval attribute are defined by the XML Schema unsignedInt</w:t>
      </w:r>
      <w:r>
        <w:rPr>
          <w:i/>
        </w:rPr>
        <w:t xml:space="preserve"> datatype.</w:t>
      </w:r>
    </w:p>
    <w:p w:rsidR="005F78FC" w:rsidRDefault="00B42EF3">
      <w:pPr>
        <w:pStyle w:val="Definition-Field2"/>
      </w:pPr>
      <w:r>
        <w:t>Excel restricts the value of this attribute to be 0 or at least 5 and at most 1440.</w:t>
      </w:r>
    </w:p>
    <w:p w:rsidR="005F78FC" w:rsidRDefault="00B42EF3">
      <w:pPr>
        <w:pStyle w:val="Definition-Field"/>
      </w:pPr>
      <w:r>
        <w:t xml:space="preserve">c.   </w:t>
      </w:r>
      <w:r>
        <w:rPr>
          <w:i/>
        </w:rPr>
        <w:t>The standard states that the values of the tabRatio attribute are defined by the XML Schema unsignedInt datatype.</w:t>
      </w:r>
    </w:p>
    <w:p w:rsidR="005F78FC" w:rsidRDefault="00B42EF3">
      <w:pPr>
        <w:pStyle w:val="Definition-Field2"/>
      </w:pPr>
      <w:r>
        <w:lastRenderedPageBreak/>
        <w:t>Excel restricts the value of this attribut</w:t>
      </w:r>
      <w:r>
        <w:t>e to be at most 1000.</w:t>
      </w:r>
    </w:p>
    <w:p w:rsidR="005F78FC" w:rsidRDefault="00B42EF3">
      <w:pPr>
        <w:pStyle w:val="Definition-Field"/>
      </w:pPr>
      <w:r>
        <w:t xml:space="preserve">d.   </w:t>
      </w:r>
      <w:r>
        <w:rPr>
          <w:i/>
        </w:rPr>
        <w:t>The standard states that the values of the activeSheetId attribute are defined by the XML Schema unsignedInt datatype.</w:t>
      </w:r>
    </w:p>
    <w:p w:rsidR="005F78FC" w:rsidRDefault="00B42EF3">
      <w:pPr>
        <w:pStyle w:val="Definition-Field2"/>
      </w:pPr>
      <w:r>
        <w:t>Excel restricts the value of this attribute to be at least 1 and at most 65534.</w:t>
      </w:r>
    </w:p>
    <w:p w:rsidR="005F78FC" w:rsidRDefault="00B42EF3">
      <w:pPr>
        <w:pStyle w:val="Definition-Field"/>
      </w:pPr>
      <w:r>
        <w:t xml:space="preserve">e.   </w:t>
      </w:r>
      <w:r>
        <w:rPr>
          <w:i/>
        </w:rPr>
        <w:t xml:space="preserve">The standard states that </w:t>
      </w:r>
      <w:r>
        <w:rPr>
          <w:i/>
        </w:rPr>
        <w:t>setting the showStatusbar attribute equal to false or 0 will hide the status bar.</w:t>
      </w:r>
    </w:p>
    <w:p w:rsidR="005F78FC" w:rsidRDefault="00B42EF3">
      <w:pPr>
        <w:pStyle w:val="Definition-Field2"/>
      </w:pPr>
      <w:r>
        <w:t>Office does not hide the status bar when the showStatusbar attribute is set to false or 0.</w:t>
      </w:r>
    </w:p>
    <w:p w:rsidR="005F78FC" w:rsidRDefault="00B42EF3">
      <w:pPr>
        <w:pStyle w:val="Definition-Field"/>
      </w:pPr>
      <w:r>
        <w:t xml:space="preserve">f.   </w:t>
      </w:r>
      <w:r>
        <w:rPr>
          <w:i/>
        </w:rPr>
        <w:t>The standard states that the values of the guid attribute are defined by the S</w:t>
      </w:r>
      <w:r>
        <w:rPr>
          <w:i/>
        </w:rPr>
        <w:t>T_Guid simple type.</w:t>
      </w:r>
    </w:p>
    <w:p w:rsidR="005F78FC" w:rsidRDefault="00B42EF3">
      <w:pPr>
        <w:pStyle w:val="Definition-Field2"/>
      </w:pPr>
      <w:r>
        <w:t>Excel requires that the guid attribute value not be a null guid (00000000-0000-0000-0000-000000000000).</w:t>
      </w:r>
    </w:p>
    <w:p w:rsidR="005F78FC" w:rsidRDefault="00B42EF3">
      <w:pPr>
        <w:pStyle w:val="Definition-Field"/>
      </w:pPr>
      <w:r>
        <w:t xml:space="preserve">g.   </w:t>
      </w:r>
      <w:r>
        <w:rPr>
          <w:i/>
        </w:rPr>
        <w:t>The standard does not limit the length of the value of the name attribute.</w:t>
      </w:r>
    </w:p>
    <w:p w:rsidR="005F78FC" w:rsidRDefault="00B42EF3">
      <w:pPr>
        <w:pStyle w:val="Definition-Field2"/>
      </w:pPr>
      <w:r>
        <w:t>Excel restricts the value of this attribute to be at</w:t>
      </w:r>
      <w:r>
        <w:t xml:space="preserve"> most 255 UTF-16 code units after escape sequences have been replaced with characters.</w:t>
      </w:r>
    </w:p>
    <w:p w:rsidR="005F78FC" w:rsidRDefault="00B42EF3">
      <w:pPr>
        <w:pStyle w:val="Definition-Field"/>
      </w:pPr>
      <w:r>
        <w:t xml:space="preserve">h.   </w:t>
      </w:r>
      <w:r>
        <w:rPr>
          <w:i/>
        </w:rPr>
        <w:t>The standard states that the values of the windowHeight attribute are defined by the XML Schema unsignedInt datatype.</w:t>
      </w:r>
    </w:p>
    <w:p w:rsidR="005F78FC" w:rsidRDefault="00B42EF3">
      <w:pPr>
        <w:pStyle w:val="Definition-Field2"/>
      </w:pPr>
      <w:r>
        <w:t>Excel restricts the value of this attribute to</w:t>
      </w:r>
      <w:r>
        <w:t xml:space="preserve"> be at most 2147483647.</w:t>
      </w:r>
    </w:p>
    <w:p w:rsidR="005F78FC" w:rsidRDefault="00B42EF3">
      <w:pPr>
        <w:pStyle w:val="Definition-Field"/>
      </w:pPr>
      <w:r>
        <w:t xml:space="preserve">i.   </w:t>
      </w:r>
      <w:r>
        <w:rPr>
          <w:i/>
        </w:rPr>
        <w:t>The standard states that the windowWidth attribute is required.</w:t>
      </w:r>
    </w:p>
    <w:p w:rsidR="005F78FC" w:rsidRDefault="00B42EF3">
      <w:pPr>
        <w:pStyle w:val="Definition-Field2"/>
      </w:pPr>
      <w:r>
        <w:t>Excel does not require this attribute.</w:t>
      </w:r>
    </w:p>
    <w:p w:rsidR="005F78FC" w:rsidRDefault="00B42EF3">
      <w:pPr>
        <w:pStyle w:val="Definition-Field"/>
      </w:pPr>
      <w:r>
        <w:t xml:space="preserve">j.   </w:t>
      </w:r>
      <w:r>
        <w:rPr>
          <w:i/>
        </w:rPr>
        <w:t>The standard states that the windowHeight attribute is required.</w:t>
      </w:r>
    </w:p>
    <w:p w:rsidR="005F78FC" w:rsidRDefault="00B42EF3">
      <w:pPr>
        <w:pStyle w:val="Definition-Field2"/>
      </w:pPr>
      <w:r>
        <w:t>Excel does not require this attribute.</w:t>
      </w:r>
    </w:p>
    <w:p w:rsidR="005F78FC" w:rsidRDefault="00B42EF3">
      <w:pPr>
        <w:pStyle w:val="Heading3"/>
      </w:pPr>
      <w:bookmarkStart w:id="1152" w:name="section_e3436d35a07349779c97c4c5cd78ddab"/>
      <w:bookmarkStart w:id="1153" w:name="_Toc69878349"/>
      <w:r>
        <w:t xml:space="preserve">Part 1 Section </w:t>
      </w:r>
      <w:r>
        <w:t>18.2.4, customWorkbookViews (Custom Workbook Views)</w:t>
      </w:r>
      <w:bookmarkEnd w:id="1152"/>
      <w:bookmarkEnd w:id="1153"/>
      <w:r>
        <w:fldChar w:fldCharType="begin"/>
      </w:r>
      <w:r>
        <w:instrText xml:space="preserve"> XE "customWorkbookViews (Custom Workbook Views)" </w:instrText>
      </w:r>
      <w:r>
        <w:fldChar w:fldCharType="end"/>
      </w:r>
    </w:p>
    <w:p w:rsidR="005F78FC" w:rsidRDefault="00B42EF3">
      <w:pPr>
        <w:pStyle w:val="Definition-Field"/>
      </w:pPr>
      <w:r>
        <w:t xml:space="preserve">a.   </w:t>
      </w:r>
      <w:r>
        <w:rPr>
          <w:i/>
        </w:rPr>
        <w:t>The standard states that the maxOccurs value for the customWorkbookView child element is unbounded.</w:t>
      </w:r>
    </w:p>
    <w:p w:rsidR="005F78FC" w:rsidRDefault="00B42EF3">
      <w:pPr>
        <w:pStyle w:val="Definition-Field2"/>
      </w:pPr>
      <w:r>
        <w:t>Excel limits the occurrences of this element to</w:t>
      </w:r>
      <w:r>
        <w:t xml:space="preserve"> 2147483647.</w:t>
      </w:r>
    </w:p>
    <w:p w:rsidR="005F78FC" w:rsidRDefault="00B42EF3">
      <w:pPr>
        <w:pStyle w:val="Heading3"/>
      </w:pPr>
      <w:bookmarkStart w:id="1154" w:name="section_16c3c118f358493da99f4c85ca834c00"/>
      <w:bookmarkStart w:id="1155" w:name="_Toc69878350"/>
      <w:r>
        <w:t>Part 1 Section 18.2.5, definedName (Defined Name)</w:t>
      </w:r>
      <w:bookmarkEnd w:id="1154"/>
      <w:bookmarkEnd w:id="1155"/>
      <w:r>
        <w:fldChar w:fldCharType="begin"/>
      </w:r>
      <w:r>
        <w:instrText xml:space="preserve"> XE "definedName (Defined Name)" </w:instrText>
      </w:r>
      <w:r>
        <w:fldChar w:fldCharType="end"/>
      </w:r>
    </w:p>
    <w:p w:rsidR="005F78FC" w:rsidRDefault="00B42EF3">
      <w:pPr>
        <w:pStyle w:val="Definition-Field"/>
      </w:pPr>
      <w:r>
        <w:t xml:space="preserve">a.   </w:t>
      </w:r>
      <w:r>
        <w:rPr>
          <w:i/>
        </w:rPr>
        <w:t>The standard states that the contents of this element are an extension on the ST_Formula simple type.</w:t>
      </w:r>
    </w:p>
    <w:p w:rsidR="005F78FC" w:rsidRDefault="00B42EF3">
      <w:pPr>
        <w:pStyle w:val="Definition-Field2"/>
      </w:pPr>
      <w:r>
        <w:t xml:space="preserve">Excel requires the contents of this element to </w:t>
      </w:r>
      <w:r>
        <w:t>follow the grammar for a name formula, as defined in Name Formulas (</w:t>
      </w:r>
      <w:hyperlink w:anchor="Section_da7f42ad0083451a98cfb475b578d91d">
        <w:r>
          <w:rPr>
            <w:rStyle w:val="Hyperlink"/>
          </w:rPr>
          <w:t>§3.2.3.1.4, Name Formulas</w:t>
        </w:r>
      </w:hyperlink>
      <w:r>
        <w:t>).</w:t>
      </w:r>
    </w:p>
    <w:p w:rsidR="005F78FC" w:rsidRDefault="00B42EF3">
      <w:pPr>
        <w:pStyle w:val="Definition-Field"/>
      </w:pPr>
      <w:r>
        <w:t xml:space="preserve">b.   </w:t>
      </w:r>
      <w:r>
        <w:rPr>
          <w:i/>
        </w:rPr>
        <w:t>The standard says that @customMenu is used.</w:t>
      </w:r>
    </w:p>
    <w:p w:rsidR="005F78FC" w:rsidRDefault="00B42EF3">
      <w:pPr>
        <w:pStyle w:val="Definition-Field2"/>
      </w:pPr>
      <w:r>
        <w:t>In Excel, @customMenu is reserved and unused.</w:t>
      </w:r>
    </w:p>
    <w:p w:rsidR="005F78FC" w:rsidRDefault="00B42EF3">
      <w:pPr>
        <w:pStyle w:val="Definition-Field"/>
      </w:pPr>
      <w:r>
        <w:t>c.</w:t>
      </w:r>
      <w:r>
        <w:t xml:space="preserve">   </w:t>
      </w:r>
      <w:r>
        <w:rPr>
          <w:i/>
        </w:rPr>
        <w:t>The standard says that @description is used.</w:t>
      </w:r>
    </w:p>
    <w:p w:rsidR="005F78FC" w:rsidRDefault="00B42EF3">
      <w:pPr>
        <w:pStyle w:val="Definition-Field2"/>
      </w:pPr>
      <w:r>
        <w:t>In Excel, @description is reserved and unused.</w:t>
      </w:r>
    </w:p>
    <w:p w:rsidR="005F78FC" w:rsidRDefault="00B42EF3">
      <w:pPr>
        <w:pStyle w:val="Definition-Field"/>
      </w:pPr>
      <w:r>
        <w:t xml:space="preserve">d.   </w:t>
      </w:r>
      <w:r>
        <w:rPr>
          <w:i/>
        </w:rPr>
        <w:t>The standard says that @help is used.</w:t>
      </w:r>
    </w:p>
    <w:p w:rsidR="005F78FC" w:rsidRDefault="00B42EF3">
      <w:pPr>
        <w:pStyle w:val="Definition-Field2"/>
      </w:pPr>
      <w:r>
        <w:t>In Excel, @help is reserved and unused.</w:t>
      </w:r>
    </w:p>
    <w:p w:rsidR="005F78FC" w:rsidRDefault="00B42EF3">
      <w:pPr>
        <w:pStyle w:val="Definition-Field"/>
      </w:pPr>
      <w:r>
        <w:lastRenderedPageBreak/>
        <w:t xml:space="preserve">e.   </w:t>
      </w:r>
      <w:r>
        <w:rPr>
          <w:i/>
        </w:rPr>
        <w:t>The standard says that @statusBar is used.</w:t>
      </w:r>
    </w:p>
    <w:p w:rsidR="005F78FC" w:rsidRDefault="00B42EF3">
      <w:pPr>
        <w:pStyle w:val="Definition-Field2"/>
      </w:pPr>
      <w:r>
        <w:t xml:space="preserve">In Excel, @statusBar is </w:t>
      </w:r>
      <w:r>
        <w:t>reserved and unused.</w:t>
      </w:r>
    </w:p>
    <w:p w:rsidR="005F78FC" w:rsidRDefault="00B42EF3">
      <w:pPr>
        <w:pStyle w:val="Definition-Field"/>
      </w:pPr>
      <w:r>
        <w:t xml:space="preserve">f.   </w:t>
      </w:r>
      <w:r>
        <w:rPr>
          <w:i/>
        </w:rPr>
        <w:t>The standard says that @shortcutKey is used.</w:t>
      </w:r>
    </w:p>
    <w:p w:rsidR="005F78FC" w:rsidRDefault="00B42EF3">
      <w:pPr>
        <w:pStyle w:val="Definition-Field2"/>
      </w:pPr>
      <w:r>
        <w:t>In Excel, @shortcutKey is reserved and unused.</w:t>
      </w:r>
    </w:p>
    <w:p w:rsidR="005F78FC" w:rsidRDefault="00B42EF3">
      <w:pPr>
        <w:pStyle w:val="Definition-Field"/>
      </w:pPr>
      <w:r>
        <w:t xml:space="preserve">g.   </w:t>
      </w:r>
      <w:r>
        <w:rPr>
          <w:i/>
        </w:rPr>
        <w:t>The standard says that @xlm is used.</w:t>
      </w:r>
    </w:p>
    <w:p w:rsidR="005F78FC" w:rsidRDefault="00B42EF3">
      <w:pPr>
        <w:pStyle w:val="Definition-Field2"/>
      </w:pPr>
      <w:r>
        <w:t>In Excel, @xlm is reserved and unused.</w:t>
      </w:r>
    </w:p>
    <w:p w:rsidR="005F78FC" w:rsidRDefault="00B42EF3">
      <w:pPr>
        <w:pStyle w:val="Definition-Field"/>
      </w:pPr>
      <w:r>
        <w:t xml:space="preserve">h.   </w:t>
      </w:r>
      <w:r>
        <w:rPr>
          <w:i/>
        </w:rPr>
        <w:t>The standard says that @vbProcedure is used.</w:t>
      </w:r>
    </w:p>
    <w:p w:rsidR="005F78FC" w:rsidRDefault="00B42EF3">
      <w:pPr>
        <w:pStyle w:val="Definition-Field2"/>
      </w:pPr>
      <w:r>
        <w:t>In Exce</w:t>
      </w:r>
      <w:r>
        <w:t>l, @vbProcedure is reserved and unused.</w:t>
      </w:r>
    </w:p>
    <w:p w:rsidR="005F78FC" w:rsidRDefault="00B42EF3">
      <w:pPr>
        <w:pStyle w:val="Definition-Field"/>
      </w:pPr>
      <w:r>
        <w:t xml:space="preserve">i.   </w:t>
      </w:r>
      <w:r>
        <w:rPr>
          <w:i/>
        </w:rPr>
        <w:t>The standard says that @functionGroupId is used.</w:t>
      </w:r>
    </w:p>
    <w:p w:rsidR="005F78FC" w:rsidRDefault="00B42EF3">
      <w:pPr>
        <w:pStyle w:val="Definition-Field2"/>
      </w:pPr>
      <w:r>
        <w:t>In Excel, @functionGroupId is reserved and unused.</w:t>
      </w:r>
    </w:p>
    <w:p w:rsidR="005F78FC" w:rsidRDefault="00B42EF3">
      <w:pPr>
        <w:pStyle w:val="Definition-Field"/>
      </w:pPr>
      <w:r>
        <w:t xml:space="preserve">j.   </w:t>
      </w:r>
      <w:r>
        <w:rPr>
          <w:i/>
        </w:rPr>
        <w:t>The standard does not limit the length of the value of the comment attribute.</w:t>
      </w:r>
    </w:p>
    <w:p w:rsidR="005F78FC" w:rsidRDefault="00B42EF3">
      <w:pPr>
        <w:pStyle w:val="Definition-Field2"/>
      </w:pPr>
      <w:r>
        <w:t>Excel restricts the value of</w:t>
      </w:r>
      <w:r>
        <w:t xml:space="preserve"> this attribute to be at most 255 characters before escaping.</w:t>
      </w:r>
    </w:p>
    <w:p w:rsidR="005F78FC" w:rsidRDefault="00B42EF3">
      <w:pPr>
        <w:pStyle w:val="Definition-Field"/>
      </w:pPr>
      <w:r>
        <w:t xml:space="preserve">k.   </w:t>
      </w:r>
      <w:r>
        <w:rPr>
          <w:i/>
        </w:rPr>
        <w:t>The standard does not limit the length of the value of the name attribute.</w:t>
      </w:r>
    </w:p>
    <w:p w:rsidR="005F78FC" w:rsidRDefault="00B42EF3">
      <w:pPr>
        <w:pStyle w:val="Definition-Field2"/>
      </w:pPr>
      <w:r>
        <w:t>Excel restricts the value of this attribute to be at least 1 and at most 255 characters.</w:t>
      </w:r>
    </w:p>
    <w:p w:rsidR="005F78FC" w:rsidRDefault="00B42EF3">
      <w:pPr>
        <w:pStyle w:val="Definition-Field"/>
      </w:pPr>
      <w:r>
        <w:t xml:space="preserve">l.   </w:t>
      </w:r>
      <w:r>
        <w:rPr>
          <w:i/>
        </w:rPr>
        <w:t>The standard specifi</w:t>
      </w:r>
      <w:r>
        <w:rPr>
          <w:i/>
        </w:rPr>
        <w:t>es localSheetID is the sheet index in this workbook where data from an external reference is displayed.</w:t>
      </w:r>
    </w:p>
    <w:p w:rsidR="005F78FC" w:rsidRDefault="00B42EF3">
      <w:pPr>
        <w:pStyle w:val="Definition-Field2"/>
      </w:pPr>
      <w:r>
        <w:t>Office uses this index for sheet-local names to specify the sheet on which the name is defined.</w:t>
      </w:r>
    </w:p>
    <w:p w:rsidR="005F78FC" w:rsidRDefault="00B42EF3">
      <w:pPr>
        <w:pStyle w:val="Definition-Field"/>
      </w:pPr>
      <w:r>
        <w:t xml:space="preserve">m.   </w:t>
      </w:r>
      <w:r>
        <w:rPr>
          <w:i/>
        </w:rPr>
        <w:t>The standard states that built-in names reserved by</w:t>
      </w:r>
      <w:r>
        <w:rPr>
          <w:i/>
        </w:rPr>
        <w:t xml:space="preserve"> SpreadsheetML begin with _xlnm.</w:t>
      </w:r>
    </w:p>
    <w:p w:rsidR="005F78FC" w:rsidRDefault="00B42EF3">
      <w:pPr>
        <w:pStyle w:val="Definition-Field2"/>
      </w:pPr>
      <w:r>
        <w:t>Office assumes that all names that being with _xl are restricted.</w:t>
      </w:r>
    </w:p>
    <w:p w:rsidR="005F78FC" w:rsidRDefault="00B42EF3">
      <w:pPr>
        <w:pStyle w:val="Definition-Field"/>
      </w:pPr>
      <w:r>
        <w:t xml:space="preserve">n.   </w:t>
      </w:r>
      <w:r>
        <w:rPr>
          <w:i/>
        </w:rPr>
        <w:t>The standard does not state restrictions around uniqueness of definedName elements.</w:t>
      </w:r>
    </w:p>
    <w:p w:rsidR="005F78FC" w:rsidRDefault="00B42EF3">
      <w:r>
        <w:t xml:space="preserve">If the attribute </w:t>
      </w:r>
      <w:r>
        <w:rPr>
          <w:b/>
        </w:rPr>
        <w:t>@localSheetId</w:t>
      </w:r>
      <w:r>
        <w:t xml:space="preserve"> is used on a </w:t>
      </w:r>
      <w:r>
        <w:rPr>
          <w:b/>
        </w:rPr>
        <w:t>definedName</w:t>
      </w:r>
      <w:r>
        <w:t>, the defined</w:t>
      </w:r>
      <w:r>
        <w:t xml:space="preserve"> name is local and its </w:t>
      </w:r>
      <w:r>
        <w:rPr>
          <w:b/>
        </w:rPr>
        <w:t>@name</w:t>
      </w:r>
      <w:r>
        <w:t xml:space="preserve"> must be unique among the other defined names for the sheet ID. If the </w:t>
      </w:r>
      <w:r>
        <w:rPr>
          <w:b/>
        </w:rPr>
        <w:t>@localSheetId</w:t>
      </w:r>
      <w:r>
        <w:t xml:space="preserve"> attribute is not used, the defined name must be unique among the other defined names that do not use the attribute.</w:t>
      </w:r>
    </w:p>
    <w:p w:rsidR="005F78FC" w:rsidRDefault="00B42EF3">
      <w:pPr>
        <w:pStyle w:val="Definition-Field"/>
      </w:pPr>
      <w:r>
        <w:t xml:space="preserve">o.   </w:t>
      </w:r>
      <w:r>
        <w:rPr>
          <w:i/>
        </w:rPr>
        <w:t xml:space="preserve">The standard makes no </w:t>
      </w:r>
      <w:r>
        <w:rPr>
          <w:i/>
        </w:rPr>
        <w:t>mention of an xml:space attribute.</w:t>
      </w:r>
    </w:p>
    <w:p w:rsidR="005F78FC" w:rsidRDefault="00B42EF3">
      <w:pPr>
        <w:pStyle w:val="Definition-Field2"/>
      </w:pPr>
      <w:r>
        <w:t>Excel uses this attribute to specify, using the W3C space preservation rules, how white space should be handled for the element's contents; its allowed values are defined by the XML 1.0 specification.</w:t>
      </w:r>
    </w:p>
    <w:p w:rsidR="005F78FC" w:rsidRDefault="00B42EF3">
      <w:pPr>
        <w:pStyle w:val="Definition-Field"/>
      </w:pPr>
      <w:r>
        <w:t xml:space="preserve">p.   </w:t>
      </w:r>
      <w:r>
        <w:rPr>
          <w:i/>
        </w:rPr>
        <w:t xml:space="preserve">The standard </w:t>
      </w:r>
      <w:r>
        <w:rPr>
          <w:i/>
        </w:rPr>
        <w:t>says that @function is used.</w:t>
      </w:r>
    </w:p>
    <w:p w:rsidR="005F78FC" w:rsidRDefault="00B42EF3">
      <w:pPr>
        <w:pStyle w:val="Definition-Field2"/>
      </w:pPr>
      <w:r>
        <w:t>In Excel, @function is reserved and unused.</w:t>
      </w:r>
    </w:p>
    <w:p w:rsidR="005F78FC" w:rsidRDefault="00B42EF3">
      <w:pPr>
        <w:pStyle w:val="Definition-Field"/>
      </w:pPr>
      <w:r>
        <w:t xml:space="preserve">q.   </w:t>
      </w:r>
      <w:r>
        <w:rPr>
          <w:i/>
        </w:rPr>
        <w:t>The standard states that the values of the name attribute are defined by the ST_Xstring simple type.</w:t>
      </w:r>
    </w:p>
    <w:p w:rsidR="005F78FC" w:rsidRDefault="00B42EF3">
      <w:pPr>
        <w:pStyle w:val="Definition-Field2"/>
      </w:pPr>
      <w:r>
        <w:t>Excel requires the value of this attribute to meet the restrictions defined i</w:t>
      </w:r>
      <w:r>
        <w:t>n Names ("</w:t>
      </w:r>
      <w:hyperlink r:id="rId116">
        <w:r>
          <w:rPr>
            <w:rStyle w:val="Hyperlink"/>
          </w:rPr>
          <w:t>[ISO/IEC-29500-1]</w:t>
        </w:r>
      </w:hyperlink>
      <w:r>
        <w:t xml:space="preserve"> §18.17.2.5").</w:t>
      </w:r>
    </w:p>
    <w:p w:rsidR="005F78FC" w:rsidRDefault="00B42EF3">
      <w:pPr>
        <w:pStyle w:val="Definition-Field"/>
      </w:pPr>
      <w:r>
        <w:t xml:space="preserve">r.   </w:t>
      </w:r>
      <w:r>
        <w:rPr>
          <w:i/>
        </w:rPr>
        <w:t>The standard states that the values of the localSheetId attribute are defined by the XML Schema unsignedInt datatype.</w:t>
      </w:r>
    </w:p>
    <w:p w:rsidR="005F78FC" w:rsidRDefault="00B42EF3">
      <w:pPr>
        <w:pStyle w:val="Definition-Field2"/>
      </w:pPr>
      <w:r>
        <w:lastRenderedPageBreak/>
        <w:t>Excel restricts the value</w:t>
      </w:r>
      <w:r>
        <w:t xml:space="preserve"> of this attribute to be at most 32766.</w:t>
      </w:r>
    </w:p>
    <w:p w:rsidR="005F78FC" w:rsidRDefault="00B42EF3">
      <w:pPr>
        <w:pStyle w:val="Heading3"/>
      </w:pPr>
      <w:bookmarkStart w:id="1156" w:name="section_1aea93a7b20844b2a2e583dc2b635b41"/>
      <w:bookmarkStart w:id="1157" w:name="_Toc69878351"/>
      <w:r>
        <w:t>Part 1 Section 18.2.6, definedNames (Defined Names)</w:t>
      </w:r>
      <w:bookmarkEnd w:id="1156"/>
      <w:bookmarkEnd w:id="1157"/>
      <w:r>
        <w:fldChar w:fldCharType="begin"/>
      </w:r>
      <w:r>
        <w:instrText xml:space="preserve"> XE "definedNames (Defined Names)" </w:instrText>
      </w:r>
      <w:r>
        <w:fldChar w:fldCharType="end"/>
      </w:r>
    </w:p>
    <w:p w:rsidR="005F78FC" w:rsidRDefault="00B42EF3">
      <w:pPr>
        <w:pStyle w:val="Definition-Field"/>
      </w:pPr>
      <w:r>
        <w:t xml:space="preserve">a.   </w:t>
      </w:r>
      <w:r>
        <w:rPr>
          <w:i/>
        </w:rPr>
        <w:t>The standard states that the maxOccurs value for the definedName child element is unbounded.</w:t>
      </w:r>
    </w:p>
    <w:p w:rsidR="005F78FC" w:rsidRDefault="00B42EF3">
      <w:pPr>
        <w:pStyle w:val="Definition-Field2"/>
      </w:pPr>
      <w:r>
        <w:t xml:space="preserve">Excel limits the occurrences </w:t>
      </w:r>
      <w:r>
        <w:t>of this element to 2147483647.</w:t>
      </w:r>
    </w:p>
    <w:p w:rsidR="005F78FC" w:rsidRDefault="00B42EF3">
      <w:pPr>
        <w:pStyle w:val="Heading3"/>
      </w:pPr>
      <w:bookmarkStart w:id="1158" w:name="section_acddb526fd6c4835a83cbdc9f0924045"/>
      <w:bookmarkStart w:id="1159" w:name="_Toc69878352"/>
      <w:r>
        <w:t>Part 1 Section 18.2.7, ext (Extension)</w:t>
      </w:r>
      <w:bookmarkEnd w:id="1158"/>
      <w:bookmarkEnd w:id="1159"/>
      <w:r>
        <w:fldChar w:fldCharType="begin"/>
      </w:r>
      <w:r>
        <w:instrText xml:space="preserve"> XE "ext (Extension)" </w:instrText>
      </w:r>
      <w:r>
        <w:fldChar w:fldCharType="end"/>
      </w:r>
    </w:p>
    <w:p w:rsidR="005F78FC" w:rsidRDefault="00B42EF3">
      <w:pPr>
        <w:pStyle w:val="Definition-Field"/>
      </w:pPr>
      <w:r>
        <w:t xml:space="preserve">a.   </w:t>
      </w:r>
      <w:r>
        <w:rPr>
          <w:i/>
        </w:rPr>
        <w:t>The standard implies that the minOccurs value for the any child element is 1.</w:t>
      </w:r>
    </w:p>
    <w:p w:rsidR="005F78FC" w:rsidRDefault="00B42EF3">
      <w:pPr>
        <w:pStyle w:val="Definition-Field2"/>
      </w:pPr>
      <w:r>
        <w:t>Excel allows zero occurrences of this element.</w:t>
      </w:r>
    </w:p>
    <w:p w:rsidR="005F78FC" w:rsidRDefault="00B42EF3">
      <w:pPr>
        <w:pStyle w:val="Heading3"/>
      </w:pPr>
      <w:bookmarkStart w:id="1160" w:name="section_5cc825ef81d54aae9f101106494252e6"/>
      <w:bookmarkStart w:id="1161" w:name="_Toc69878353"/>
      <w:r>
        <w:t>Part 1 Section 18.2.9, externalReferences (External References)</w:t>
      </w:r>
      <w:bookmarkEnd w:id="1160"/>
      <w:bookmarkEnd w:id="1161"/>
      <w:r>
        <w:fldChar w:fldCharType="begin"/>
      </w:r>
      <w:r>
        <w:instrText xml:space="preserve"> XE "externalReferences (External References)" </w:instrText>
      </w:r>
      <w:r>
        <w:fldChar w:fldCharType="end"/>
      </w:r>
    </w:p>
    <w:p w:rsidR="005F78FC" w:rsidRDefault="00B42EF3">
      <w:pPr>
        <w:pStyle w:val="Definition-Field"/>
      </w:pPr>
      <w:r>
        <w:t xml:space="preserve">a.   </w:t>
      </w:r>
      <w:r>
        <w:rPr>
          <w:i/>
        </w:rPr>
        <w:t>The standard states that the maxOccurs value for the externalReference child element is unbounded.</w:t>
      </w:r>
    </w:p>
    <w:p w:rsidR="005F78FC" w:rsidRDefault="00B42EF3">
      <w:pPr>
        <w:pStyle w:val="Definition-Field2"/>
      </w:pPr>
      <w:r>
        <w:t>Excel limits the occurrences of this el</w:t>
      </w:r>
      <w:r>
        <w:t>ement to 65534.</w:t>
      </w:r>
    </w:p>
    <w:p w:rsidR="005F78FC" w:rsidRDefault="00B42EF3">
      <w:pPr>
        <w:pStyle w:val="Heading3"/>
      </w:pPr>
      <w:bookmarkStart w:id="1162" w:name="section_edcec9df5b19418eb91708b7fd2c4bda"/>
      <w:bookmarkStart w:id="1163" w:name="_Toc69878354"/>
      <w:r>
        <w:t>Part 1 Section 18.2.11, fileRecoveryPr (File Recovery Properties)</w:t>
      </w:r>
      <w:bookmarkEnd w:id="1162"/>
      <w:bookmarkEnd w:id="1163"/>
      <w:r>
        <w:fldChar w:fldCharType="begin"/>
      </w:r>
      <w:r>
        <w:instrText xml:space="preserve"> XE "fileRecoveryPr (File Recovery Properties)" </w:instrText>
      </w:r>
      <w:r>
        <w:fldChar w:fldCharType="end"/>
      </w:r>
    </w:p>
    <w:p w:rsidR="005F78FC" w:rsidRDefault="00B42EF3">
      <w:pPr>
        <w:pStyle w:val="Definition-Field"/>
      </w:pPr>
      <w:r>
        <w:t xml:space="preserve">a.   </w:t>
      </w:r>
      <w:r>
        <w:rPr>
          <w:i/>
        </w:rPr>
        <w:t>The standard states that applications typically mark the autorecover attribute as true only after crash.</w:t>
      </w:r>
    </w:p>
    <w:p w:rsidR="005F78FC" w:rsidRDefault="00B42EF3">
      <w:pPr>
        <w:pStyle w:val="Definition-Field2"/>
      </w:pPr>
      <w:r>
        <w:t xml:space="preserve">Excel unmarks </w:t>
      </w:r>
      <w:r>
        <w:t>the autorecover attribute after crash.</w:t>
      </w:r>
    </w:p>
    <w:p w:rsidR="005F78FC" w:rsidRDefault="00B42EF3">
      <w:pPr>
        <w:pStyle w:val="Heading3"/>
      </w:pPr>
      <w:bookmarkStart w:id="1164" w:name="section_2faf54e798054ca5a4e7e74f85d96201"/>
      <w:bookmarkStart w:id="1165" w:name="_Toc69878355"/>
      <w:r>
        <w:t>Part 1 Section 18.2.12, fileSharing (File Sharing)</w:t>
      </w:r>
      <w:bookmarkEnd w:id="1164"/>
      <w:bookmarkEnd w:id="1165"/>
      <w:r>
        <w:fldChar w:fldCharType="begin"/>
      </w:r>
      <w:r>
        <w:instrText xml:space="preserve"> XE "fileSharing (File Sharing)" </w:instrText>
      </w:r>
      <w:r>
        <w:fldChar w:fldCharType="end"/>
      </w:r>
    </w:p>
    <w:p w:rsidR="005F78FC" w:rsidRDefault="00B42EF3">
      <w:pPr>
        <w:pStyle w:val="Definition-Field"/>
      </w:pPr>
      <w:r>
        <w:t xml:space="preserve">a.   </w:t>
      </w:r>
      <w:r>
        <w:rPr>
          <w:i/>
        </w:rPr>
        <w:t>The standard allows the userName attribute to be any length.</w:t>
      </w:r>
    </w:p>
    <w:p w:rsidR="005F78FC" w:rsidRDefault="00B42EF3">
      <w:pPr>
        <w:pStyle w:val="Definition-Field2"/>
      </w:pPr>
      <w:r>
        <w:t>Office requires that if present, the value of the userName attrib</w:t>
      </w:r>
      <w:r>
        <w:t>ute must be 1 to 54 characters long.</w:t>
      </w:r>
    </w:p>
    <w:p w:rsidR="005F78FC" w:rsidRDefault="00B42EF3">
      <w:pPr>
        <w:pStyle w:val="Definition-Field"/>
      </w:pPr>
      <w:r>
        <w:t xml:space="preserve">b.   </w:t>
      </w:r>
      <w:r>
        <w:rPr>
          <w:i/>
        </w:rPr>
        <w:t>The standard states that the userName and reservationPassword attributes are optional.</w:t>
      </w:r>
    </w:p>
    <w:p w:rsidR="005F78FC" w:rsidRDefault="00B42EF3">
      <w:pPr>
        <w:pStyle w:val="Definition-Field2"/>
      </w:pPr>
      <w:r>
        <w:t>Office requires that the userName attribute is present if the reservationPassword attribute exists.</w:t>
      </w:r>
    </w:p>
    <w:p w:rsidR="005F78FC" w:rsidRDefault="00B42EF3">
      <w:pPr>
        <w:pStyle w:val="Definition-Field"/>
      </w:pPr>
      <w:r>
        <w:t xml:space="preserve">c.   </w:t>
      </w:r>
      <w:r>
        <w:rPr>
          <w:i/>
        </w:rPr>
        <w:t>The standard states th</w:t>
      </w:r>
      <w:r>
        <w:rPr>
          <w:i/>
        </w:rPr>
        <w:t>at this setting uses a specific reservationPassword attribute to store the password hash for unlocking revisions in the workbook.</w:t>
      </w:r>
    </w:p>
    <w:p w:rsidR="005F78FC" w:rsidRDefault="00B42EF3">
      <w:r>
        <w:t xml:space="preserve">In Office, when the HKCU/Software/Microsoft/Office/&lt;VERSION&gt;/Common/Security/UseIsoPasswordVerifier registry key is set to 1, </w:t>
      </w:r>
      <w:r>
        <w:t>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Name</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rPr>
                <w:b/>
              </w:rPr>
              <w:t>algorithm Name</w:t>
            </w:r>
          </w:p>
        </w:tc>
        <w:tc>
          <w:tcPr>
            <w:tcW w:w="0" w:type="auto"/>
            <w:vAlign w:val="center"/>
          </w:tcPr>
          <w:p w:rsidR="005F78FC" w:rsidRDefault="00B42EF3">
            <w:pPr>
              <w:pStyle w:val="TableBodyText"/>
            </w:pPr>
            <w:r>
              <w:t xml:space="preserve">The name of the cryptographic hashing algorithm used to generate the hash value. Only those algorithms that are installed in </w:t>
            </w:r>
            <w:r>
              <w:t>the operating system’s cryptographic subsystem can be utilized by Office.</w:t>
            </w:r>
          </w:p>
          <w:p w:rsidR="005F78FC" w:rsidRDefault="005F78FC">
            <w:pPr>
              <w:pStyle w:val="TableBodyText"/>
            </w:pPr>
          </w:p>
          <w:p w:rsidR="005F78FC" w:rsidRDefault="00B42EF3">
            <w:pPr>
              <w:pStyle w:val="TableBodyText"/>
            </w:pPr>
            <w:r>
              <w:t>The hash algorithm names, described in the following table, are reserved.</w:t>
            </w:r>
          </w:p>
          <w:p w:rsidR="005F78FC" w:rsidRDefault="005F78FC">
            <w:pPr>
              <w:pStyle w:val="TableBodyText"/>
            </w:pPr>
          </w:p>
          <w:p w:rsidR="005F78FC" w:rsidRDefault="00B42EF3">
            <w:pPr>
              <w:pStyle w:val="TableBodyText"/>
            </w:pPr>
            <w:r>
              <w:rPr>
                <w:b/>
                <w:i/>
              </w:rPr>
              <w:t xml:space="preserve">MD2 </w:t>
            </w:r>
          </w:p>
          <w:p w:rsidR="005F78FC" w:rsidRDefault="00B42EF3">
            <w:pPr>
              <w:pStyle w:val="TableBodyText"/>
            </w:pPr>
            <w:r>
              <w:rPr>
                <w:i/>
              </w:rPr>
              <w:lastRenderedPageBreak/>
              <w:t>Specifies that the MD2 algorithm, as defined by RFC 1319, shall be used.</w:t>
            </w:r>
          </w:p>
          <w:p w:rsidR="005F78FC" w:rsidRDefault="005F78FC">
            <w:pPr>
              <w:pStyle w:val="TableBodyText"/>
            </w:pPr>
          </w:p>
          <w:p w:rsidR="005F78FC" w:rsidRDefault="00B42EF3">
            <w:pPr>
              <w:pStyle w:val="TableBodyText"/>
            </w:pPr>
            <w:r>
              <w:rPr>
                <w:i/>
              </w:rPr>
              <w:t>[Note: It is recommended th</w:t>
            </w:r>
            <w:r>
              <w:rPr>
                <w:i/>
              </w:rPr>
              <w:t>at applications should avoid using this algorithm to store new hash values, because of publicly known breaks. end note]</w:t>
            </w:r>
          </w:p>
          <w:p w:rsidR="005F78FC" w:rsidRDefault="00B42EF3">
            <w:pPr>
              <w:pStyle w:val="TableBodyText"/>
            </w:pPr>
            <w:r>
              <w:rPr>
                <w:b/>
                <w:i/>
              </w:rPr>
              <w:t xml:space="preserve">MD4 </w:t>
            </w:r>
          </w:p>
          <w:p w:rsidR="005F78FC" w:rsidRDefault="00B42EF3">
            <w:pPr>
              <w:pStyle w:val="TableBodyText"/>
            </w:pPr>
            <w:r>
              <w:rPr>
                <w:i/>
              </w:rPr>
              <w:t>Specifies that the MD4 algorithm, as defined by RFC 1320, shall be used.</w:t>
            </w:r>
          </w:p>
          <w:p w:rsidR="005F78FC" w:rsidRDefault="005F78FC">
            <w:pPr>
              <w:pStyle w:val="TableBodyText"/>
            </w:pPr>
          </w:p>
          <w:p w:rsidR="005F78FC" w:rsidRDefault="00B42EF3">
            <w:pPr>
              <w:pStyle w:val="TableBodyText"/>
            </w:pPr>
            <w:r>
              <w:rPr>
                <w:i/>
              </w:rPr>
              <w:t>[Note: It is recommended that applications should avoid u</w:t>
            </w:r>
            <w:r>
              <w:rPr>
                <w:i/>
              </w:rPr>
              <w:t>sing this algorithm to store new hash values, because of publicly known breaks. end note]</w:t>
            </w:r>
          </w:p>
          <w:p w:rsidR="005F78FC" w:rsidRDefault="00B42EF3">
            <w:pPr>
              <w:pStyle w:val="TableBodyText"/>
            </w:pPr>
            <w:r>
              <w:rPr>
                <w:b/>
                <w:i/>
              </w:rPr>
              <w:t>MD5</w:t>
            </w:r>
          </w:p>
          <w:p w:rsidR="005F78FC" w:rsidRDefault="00B42EF3">
            <w:pPr>
              <w:pStyle w:val="TableBodyText"/>
            </w:pPr>
            <w:r>
              <w:rPr>
                <w:i/>
              </w:rPr>
              <w:t>Specifies that the MD5 algorithm, as defined by RFC 1321, shall be used.</w:t>
            </w:r>
          </w:p>
          <w:p w:rsidR="005F78FC" w:rsidRDefault="005F78FC">
            <w:pPr>
              <w:pStyle w:val="TableBodyText"/>
            </w:pPr>
          </w:p>
          <w:p w:rsidR="005F78FC" w:rsidRDefault="00B42EF3">
            <w:pPr>
              <w:pStyle w:val="TableBodyText"/>
            </w:pPr>
            <w:r>
              <w:rPr>
                <w:i/>
              </w:rPr>
              <w:t>[Note: It is recommended that applications should avoid using this algorithm to store ne</w:t>
            </w:r>
            <w:r>
              <w:rPr>
                <w:i/>
              </w:rPr>
              <w:t>w hash values, because of publicly known breaks. end note]</w:t>
            </w:r>
          </w:p>
          <w:p w:rsidR="005F78FC" w:rsidRDefault="00B42EF3">
            <w:pPr>
              <w:pStyle w:val="TableBodyText"/>
            </w:pPr>
            <w:r>
              <w:rPr>
                <w:b/>
                <w:i/>
              </w:rPr>
              <w:t>RIPEMD-128</w:t>
            </w:r>
          </w:p>
          <w:p w:rsidR="005F78FC" w:rsidRDefault="00B42EF3">
            <w:pPr>
              <w:pStyle w:val="TableBodyText"/>
            </w:pPr>
            <w:r>
              <w:rPr>
                <w:i/>
              </w:rPr>
              <w:t>Specifies that the RIPEMD-128 algorithm, as defined by ISO/IEC 10118-3:2004 shall be used.</w:t>
            </w:r>
          </w:p>
          <w:p w:rsidR="005F78FC" w:rsidRDefault="005F78FC">
            <w:pPr>
              <w:pStyle w:val="TableBodyText"/>
            </w:pPr>
          </w:p>
          <w:p w:rsidR="005F78FC" w:rsidRDefault="00B42EF3">
            <w:pPr>
              <w:pStyle w:val="TableBodyText"/>
            </w:pPr>
            <w:r>
              <w:rPr>
                <w:i/>
              </w:rPr>
              <w:t>[Note: It is recommended that applications should avoid using this algorithm to store new hash</w:t>
            </w:r>
            <w:r>
              <w:rPr>
                <w:i/>
              </w:rPr>
              <w:t xml:space="preserve"> values, because of publicly known breaks. end note]</w:t>
            </w:r>
          </w:p>
          <w:p w:rsidR="005F78FC" w:rsidRDefault="00B42EF3">
            <w:pPr>
              <w:pStyle w:val="TableBodyText"/>
            </w:pPr>
            <w:r>
              <w:rPr>
                <w:b/>
                <w:i/>
              </w:rPr>
              <w:t>RIPEMD-160</w:t>
            </w:r>
          </w:p>
          <w:p w:rsidR="005F78FC" w:rsidRDefault="00B42EF3">
            <w:pPr>
              <w:pStyle w:val="TableBodyText"/>
            </w:pPr>
            <w:r>
              <w:rPr>
                <w:i/>
              </w:rPr>
              <w:t>Specifies that the RIPEMD-160 algorithm, as defined by ISO/IEC 10118-3:2004, shall be used.</w:t>
            </w:r>
          </w:p>
          <w:p w:rsidR="005F78FC" w:rsidRDefault="00B42EF3">
            <w:pPr>
              <w:pStyle w:val="TableBodyText"/>
            </w:pPr>
            <w:r>
              <w:rPr>
                <w:b/>
                <w:i/>
              </w:rPr>
              <w:t>SHA-1</w:t>
            </w:r>
          </w:p>
          <w:p w:rsidR="005F78FC" w:rsidRDefault="00B42EF3">
            <w:pPr>
              <w:pStyle w:val="TableBodyText"/>
            </w:pPr>
            <w:r>
              <w:rPr>
                <w:i/>
              </w:rPr>
              <w:t>Specifies that the SHA-1 algorithm, as defined by ISO/IEC 10118-3:2004, shall be used.</w:t>
            </w:r>
          </w:p>
          <w:p w:rsidR="005F78FC" w:rsidRDefault="00B42EF3">
            <w:pPr>
              <w:pStyle w:val="TableBodyText"/>
            </w:pPr>
            <w:r>
              <w:rPr>
                <w:b/>
                <w:i/>
              </w:rPr>
              <w:t>SHA-256</w:t>
            </w:r>
          </w:p>
          <w:p w:rsidR="005F78FC" w:rsidRDefault="00B42EF3">
            <w:pPr>
              <w:pStyle w:val="TableBodyText"/>
            </w:pPr>
            <w:r>
              <w:rPr>
                <w:i/>
              </w:rPr>
              <w:t>Specifies that the SHA-256 algorithm, as defined by ISO/IEC 10118-3:2004, shall be used.</w:t>
            </w:r>
          </w:p>
          <w:p w:rsidR="005F78FC" w:rsidRDefault="00B42EF3">
            <w:pPr>
              <w:pStyle w:val="TableBodyText"/>
            </w:pPr>
            <w:r>
              <w:rPr>
                <w:b/>
                <w:i/>
              </w:rPr>
              <w:t>SHA-384</w:t>
            </w:r>
          </w:p>
          <w:p w:rsidR="005F78FC" w:rsidRDefault="00B42EF3">
            <w:pPr>
              <w:pStyle w:val="TableBodyText"/>
            </w:pPr>
            <w:r>
              <w:rPr>
                <w:i/>
              </w:rPr>
              <w:t>Specifies that the SHA-384 algorithm, as defined by ISO/IEC 10118-3:2004, shall be used.</w:t>
            </w:r>
          </w:p>
          <w:p w:rsidR="005F78FC" w:rsidRDefault="00B42EF3">
            <w:pPr>
              <w:pStyle w:val="TableBodyText"/>
            </w:pPr>
            <w:r>
              <w:rPr>
                <w:b/>
                <w:i/>
              </w:rPr>
              <w:t>SHA-512</w:t>
            </w:r>
          </w:p>
          <w:p w:rsidR="005F78FC" w:rsidRDefault="00B42EF3">
            <w:pPr>
              <w:pStyle w:val="TableBodyText"/>
            </w:pPr>
            <w:r>
              <w:rPr>
                <w:i/>
              </w:rPr>
              <w:t xml:space="preserve">Specifies that the SHA-512 algorithm, as defined by ISO/IEC </w:t>
            </w:r>
            <w:r>
              <w:rPr>
                <w:i/>
              </w:rPr>
              <w:t>10118-3:2004, shall be used.</w:t>
            </w:r>
          </w:p>
          <w:p w:rsidR="005F78FC" w:rsidRDefault="00B42EF3">
            <w:pPr>
              <w:pStyle w:val="TableBodyText"/>
            </w:pPr>
            <w:r>
              <w:rPr>
                <w:b/>
                <w:i/>
              </w:rPr>
              <w:t>WHIRLPOOL</w:t>
            </w:r>
          </w:p>
          <w:p w:rsidR="005F78FC" w:rsidRDefault="00B42EF3">
            <w:pPr>
              <w:pStyle w:val="TableBodyText"/>
            </w:pPr>
            <w:r>
              <w:rPr>
                <w:i/>
              </w:rPr>
              <w:t>Specifies that the WHIRLPOOL algorithm, as defined by ISO/IEC 10118-3:2004, shall be used.</w:t>
            </w:r>
          </w:p>
          <w:p w:rsidR="005F78FC" w:rsidRDefault="005F78FC">
            <w:pPr>
              <w:pStyle w:val="TableBodyText"/>
            </w:pPr>
          </w:p>
          <w:p w:rsidR="005F78FC" w:rsidRDefault="005F78FC">
            <w:pPr>
              <w:pStyle w:val="TableBodyText"/>
            </w:pPr>
          </w:p>
        </w:tc>
      </w:tr>
      <w:tr w:rsidR="005F78FC" w:rsidTr="005F78FC">
        <w:tc>
          <w:tcPr>
            <w:tcW w:w="0" w:type="auto"/>
            <w:vAlign w:val="center"/>
          </w:tcPr>
          <w:p w:rsidR="005F78FC" w:rsidRDefault="00B42EF3">
            <w:pPr>
              <w:pStyle w:val="TableBodyText"/>
            </w:pPr>
            <w:r>
              <w:rPr>
                <w:b/>
              </w:rPr>
              <w:lastRenderedPageBreak/>
              <w:t>hash Value</w:t>
            </w:r>
          </w:p>
        </w:tc>
        <w:tc>
          <w:tcPr>
            <w:tcW w:w="0" w:type="auto"/>
            <w:vAlign w:val="center"/>
          </w:tcPr>
          <w:p w:rsidR="005F78FC" w:rsidRDefault="00B42EF3">
            <w:pPr>
              <w:pStyle w:val="TableBodyText"/>
            </w:pPr>
            <w:r>
              <w:t>Specifies the hash value for the password required to edit this worksheet. This value shall be compared with the</w:t>
            </w:r>
            <w:r>
              <w:t xml:space="preserve"> resulting hash value after hashing the user-supplied password using the algorithm specified by the preceding attributes and parent XML element. If the two values match, the protection shall no longer be enforced.</w:t>
            </w:r>
          </w:p>
          <w:p w:rsidR="005F78FC" w:rsidRDefault="005F78FC">
            <w:pPr>
              <w:pStyle w:val="TableBodyText"/>
            </w:pPr>
          </w:p>
          <w:p w:rsidR="005F78FC" w:rsidRDefault="00B42EF3">
            <w:pPr>
              <w:pStyle w:val="TableBodyText"/>
            </w:pPr>
            <w:r>
              <w:t>If this value is omitted, then the reserv</w:t>
            </w:r>
            <w:r>
              <w:t>ationPassword attribute shall contain the password hash for the workbook.</w:t>
            </w:r>
          </w:p>
          <w:p w:rsidR="005F78FC" w:rsidRDefault="005F78FC">
            <w:pPr>
              <w:pStyle w:val="TableBodyText"/>
            </w:pPr>
          </w:p>
          <w:p w:rsidR="005F78FC" w:rsidRDefault="00B42EF3">
            <w:pPr>
              <w:pStyle w:val="TableBodyText"/>
            </w:pPr>
            <w:r>
              <w:t>[</w:t>
            </w:r>
            <w:r>
              <w:rPr>
                <w:i/>
              </w:rPr>
              <w:t>Example</w:t>
            </w:r>
          </w:p>
          <w:p w:rsidR="005F78FC" w:rsidRDefault="005F78FC">
            <w:pPr>
              <w:pStyle w:val="TableBodyText"/>
            </w:pPr>
          </w:p>
          <w:p w:rsidR="005F78FC" w:rsidRDefault="00B42EF3">
            <w:pPr>
              <w:pStyle w:val="TableBodyText"/>
            </w:pPr>
            <w:r>
              <w:t xml:space="preserve"> Consider an Office Open XML document with the following information stored in one of its protection elements:</w:t>
            </w:r>
          </w:p>
          <w:p w:rsidR="005F78FC" w:rsidRDefault="005F78FC">
            <w:pPr>
              <w:pStyle w:val="TableBodyText"/>
            </w:pPr>
          </w:p>
          <w:p w:rsidR="005F78FC" w:rsidRDefault="00B42EF3">
            <w:pPr>
              <w:pStyle w:val="TableBodyText"/>
            </w:pPr>
            <w:r>
              <w:t xml:space="preserve">&lt;… algorithmName="SHA-1" </w:t>
            </w:r>
            <w:r>
              <w:t>hashValue="9oN7nWkCAyEZib1RomSJTjmPpCY=" /&gt;</w:t>
            </w:r>
          </w:p>
          <w:p w:rsidR="005F78FC" w:rsidRDefault="005F78FC">
            <w:pPr>
              <w:pStyle w:val="TableBodyText"/>
            </w:pPr>
          </w:p>
          <w:p w:rsidR="005F78FC" w:rsidRDefault="00B42EF3">
            <w:pPr>
              <w:pStyle w:val="TableBodyText"/>
            </w:pPr>
            <w:r>
              <w:t xml:space="preserve">The hashValue attribute value of 9oN7nWkCAyEZib1RomSJTjmPpCY= specifies that the user-supplied password must be hashed using the pre-processing defined by the parent element (if any) </w:t>
            </w:r>
            <w:r>
              <w:lastRenderedPageBreak/>
              <w:t>followed by the hashing algo</w:t>
            </w:r>
            <w:r>
              <w:t xml:space="preserve">rithm (specified via the algorithmName attribute value) and that the resulting hash value must be match for the protection to be disabled. </w:t>
            </w:r>
          </w:p>
          <w:p w:rsidR="005F78FC" w:rsidRDefault="00B42EF3">
            <w:pPr>
              <w:pStyle w:val="TableBodyText"/>
            </w:pPr>
            <w:r>
              <w:rPr>
                <w:i/>
              </w:rPr>
              <w:t>end example</w:t>
            </w:r>
            <w:r>
              <w:t>]</w:t>
            </w:r>
          </w:p>
          <w:p w:rsidR="005F78FC" w:rsidRDefault="005F78FC">
            <w:pPr>
              <w:pStyle w:val="TableBodyText"/>
            </w:pPr>
          </w:p>
          <w:p w:rsidR="005F78FC" w:rsidRDefault="00B42EF3">
            <w:pPr>
              <w:pStyle w:val="TableBodyText"/>
            </w:pPr>
            <w:r>
              <w:t>The possible values for this attribute are defined by the W3C XML Schema base64Binary datatype.</w:t>
            </w:r>
          </w:p>
        </w:tc>
      </w:tr>
      <w:tr w:rsidR="005F78FC" w:rsidTr="005F78FC">
        <w:tc>
          <w:tcPr>
            <w:tcW w:w="0" w:type="auto"/>
            <w:vAlign w:val="center"/>
          </w:tcPr>
          <w:p w:rsidR="005F78FC" w:rsidRDefault="00B42EF3">
            <w:pPr>
              <w:pStyle w:val="TableBodyText"/>
            </w:pPr>
            <w:r>
              <w:rPr>
                <w:b/>
              </w:rPr>
              <w:lastRenderedPageBreak/>
              <w:t>saltV</w:t>
            </w:r>
            <w:r>
              <w:rPr>
                <w:b/>
              </w:rPr>
              <w:t>alue</w:t>
            </w:r>
          </w:p>
        </w:tc>
        <w:tc>
          <w:tcPr>
            <w:tcW w:w="0" w:type="auto"/>
            <w:vAlign w:val="center"/>
          </w:tcPr>
          <w:p w:rsidR="005F78FC" w:rsidRDefault="00B42EF3">
            <w:pPr>
              <w:pStyle w:val="TableBodyText"/>
            </w:pPr>
            <w:r>
              <w:t>Specifies the random bytes that are pre-pended to the user-supplied password before it was hashed by the hashing algorithm.</w:t>
            </w:r>
          </w:p>
        </w:tc>
      </w:tr>
      <w:tr w:rsidR="005F78FC" w:rsidTr="005F78FC">
        <w:tc>
          <w:tcPr>
            <w:tcW w:w="0" w:type="auto"/>
            <w:vAlign w:val="center"/>
          </w:tcPr>
          <w:p w:rsidR="005F78FC" w:rsidRDefault="00B42EF3">
            <w:pPr>
              <w:pStyle w:val="TableBodyText"/>
            </w:pPr>
            <w:r>
              <w:rPr>
                <w:b/>
              </w:rPr>
              <w:t>spinCount</w:t>
            </w:r>
          </w:p>
        </w:tc>
        <w:tc>
          <w:tcPr>
            <w:tcW w:w="0" w:type="auto"/>
            <w:vAlign w:val="center"/>
          </w:tcPr>
          <w:p w:rsidR="005F78FC" w:rsidRDefault="00B42EF3">
            <w:pPr>
              <w:pStyle w:val="TableBodyText"/>
            </w:pPr>
            <w:r>
              <w:t>Specifies the number of times the hashing function shall be iteratively run (using each iteration's result as the in</w:t>
            </w:r>
            <w:r>
              <w:t>put for the next iteration).</w:t>
            </w:r>
          </w:p>
        </w:tc>
      </w:tr>
    </w:tbl>
    <w:p w:rsidR="005F78FC" w:rsidRDefault="005F78FC"/>
    <w:p w:rsidR="005F78FC" w:rsidRDefault="00B42EF3">
      <w:r>
        <w:t xml:space="preserve">[Example: </w:t>
      </w:r>
    </w:p>
    <w:p w:rsidR="005F78FC" w:rsidRDefault="00B42EF3">
      <w:r>
        <w:t>Consider an Office Open XML document with the following information stored in one of its protection elements:</w:t>
      </w:r>
    </w:p>
    <w:p w:rsidR="005F78FC" w:rsidRDefault="00B42EF3">
      <w:r>
        <w:t>&lt; … algorithmName="SHA-1" hashValue="9oN7nWkCAyEZib1RomSJTjmPpCY=" /&gt;</w:t>
      </w:r>
    </w:p>
    <w:p w:rsidR="005F78FC" w:rsidRDefault="00B42EF3">
      <w:r>
        <w:t xml:space="preserve">The algorithmName attribute value </w:t>
      </w:r>
      <w:r>
        <w:t>of SHA-1 specifies that the SHA-1 hashing algorithm must be used to generate a hash from the user-defined password.</w:t>
      </w:r>
    </w:p>
    <w:p w:rsidR="005F78FC" w:rsidRDefault="00B42EF3">
      <w:r>
        <w:t>end example]</w:t>
      </w:r>
    </w:p>
    <w:p w:rsidR="005F78FC" w:rsidRDefault="00B42EF3">
      <w:pPr>
        <w:pStyle w:val="Heading3"/>
      </w:pPr>
      <w:bookmarkStart w:id="1166" w:name="section_d27109432add493cb42a58667e060146"/>
      <w:bookmarkStart w:id="1167" w:name="_Toc69878356"/>
      <w:r>
        <w:t>Part 1 Section 18.2.13, fileVersion (File Version)</w:t>
      </w:r>
      <w:bookmarkEnd w:id="1166"/>
      <w:bookmarkEnd w:id="1167"/>
      <w:r>
        <w:fldChar w:fldCharType="begin"/>
      </w:r>
      <w:r>
        <w:instrText xml:space="preserve"> XE "fileVersion (File Version)" </w:instrText>
      </w:r>
      <w:r>
        <w:fldChar w:fldCharType="end"/>
      </w:r>
    </w:p>
    <w:p w:rsidR="005F78FC" w:rsidRDefault="00B42EF3">
      <w:pPr>
        <w:pStyle w:val="Definition-Field"/>
      </w:pPr>
      <w:r>
        <w:t xml:space="preserve">a.   </w:t>
      </w:r>
      <w:r>
        <w:rPr>
          <w:i/>
        </w:rPr>
        <w:t>The standard states that the appName</w:t>
      </w:r>
      <w:r>
        <w:rPr>
          <w:i/>
        </w:rPr>
        <w:t xml:space="preserve"> attribute is restricted to be an XML Schema string datatype.</w:t>
      </w:r>
    </w:p>
    <w:p w:rsidR="005F78FC" w:rsidRDefault="00B42EF3">
      <w:pPr>
        <w:pStyle w:val="Definition-Field2"/>
      </w:pPr>
      <w:r>
        <w:t>Office requires that the appName attribute have a maximum length of 65535 characters.</w:t>
      </w:r>
    </w:p>
    <w:p w:rsidR="005F78FC" w:rsidRDefault="00B42EF3">
      <w:pPr>
        <w:pStyle w:val="Definition-Field"/>
      </w:pPr>
      <w:r>
        <w:t xml:space="preserve">b.   </w:t>
      </w:r>
      <w:r>
        <w:rPr>
          <w:i/>
        </w:rPr>
        <w:t>The standard states that the lastEdited attribute is restricted to be an XML Schema string datatype.</w:t>
      </w:r>
    </w:p>
    <w:p w:rsidR="005F78FC" w:rsidRDefault="00B42EF3">
      <w:pPr>
        <w:pStyle w:val="Definition-Field2"/>
      </w:pPr>
      <w:r>
        <w:t>Office requires that the lastEdited attribute have a maximum length of 65535 characters.</w:t>
      </w:r>
    </w:p>
    <w:p w:rsidR="005F78FC" w:rsidRDefault="00B42EF3">
      <w:pPr>
        <w:pStyle w:val="Definition-Field"/>
      </w:pPr>
      <w:r>
        <w:t xml:space="preserve">c.   </w:t>
      </w:r>
      <w:r>
        <w:rPr>
          <w:i/>
        </w:rPr>
        <w:t>The standard states that te lowestEdited attribute is restricted to be an XML Schema string datatype.</w:t>
      </w:r>
    </w:p>
    <w:p w:rsidR="005F78FC" w:rsidRDefault="00B42EF3">
      <w:pPr>
        <w:pStyle w:val="Definition-Field2"/>
      </w:pPr>
      <w:r>
        <w:t>Office requires that the lowestEdited attribute have a maxim</w:t>
      </w:r>
      <w:r>
        <w:t>um length of 65535 characters.</w:t>
      </w:r>
    </w:p>
    <w:p w:rsidR="005F78FC" w:rsidRDefault="00B42EF3">
      <w:pPr>
        <w:pStyle w:val="Definition-Field"/>
      </w:pPr>
      <w:r>
        <w:t xml:space="preserve">d.   </w:t>
      </w:r>
      <w:r>
        <w:rPr>
          <w:i/>
        </w:rPr>
        <w:t>The standard states that the rupBuild attribute is restricted to an XML Schema string datatype.</w:t>
      </w:r>
    </w:p>
    <w:p w:rsidR="005F78FC" w:rsidRDefault="00B42EF3">
      <w:pPr>
        <w:pStyle w:val="Definition-Field2"/>
      </w:pPr>
      <w:r>
        <w:t>Office requires that the rupBuild attribute have a maximum length of 65535 characters.</w:t>
      </w:r>
    </w:p>
    <w:p w:rsidR="005F78FC" w:rsidRDefault="00B42EF3">
      <w:pPr>
        <w:pStyle w:val="Definition-Field"/>
      </w:pPr>
      <w:r>
        <w:t xml:space="preserve">e.   </w:t>
      </w:r>
      <w:r>
        <w:rPr>
          <w:i/>
        </w:rPr>
        <w:t>The standard does not define any</w:t>
      </w:r>
      <w:r>
        <w:rPr>
          <w:i/>
        </w:rPr>
        <w:t xml:space="preserve"> value restrictions on the lastEdited attribute.</w:t>
      </w:r>
    </w:p>
    <w:p w:rsidR="005F78FC" w:rsidRDefault="00B42EF3">
      <w:pPr>
        <w:pStyle w:val="Definition-Field2"/>
      </w:pPr>
      <w:r>
        <w:t>In Office, if the appName attribute equals xl in the en-US locale, then the lastEdited attribute is the text representation of an unsigned integer in the en-US locale.</w:t>
      </w:r>
    </w:p>
    <w:p w:rsidR="005F78FC" w:rsidRDefault="00B42EF3">
      <w:pPr>
        <w:pStyle w:val="Definition-Field"/>
      </w:pPr>
      <w:r>
        <w:t xml:space="preserve">f.   </w:t>
      </w:r>
      <w:r>
        <w:rPr>
          <w:i/>
        </w:rPr>
        <w:t>The standard does not define any v</w:t>
      </w:r>
      <w:r>
        <w:rPr>
          <w:i/>
        </w:rPr>
        <w:t>alue restrictions on the lowestEdited attribute.</w:t>
      </w:r>
    </w:p>
    <w:p w:rsidR="005F78FC" w:rsidRDefault="00B42EF3">
      <w:pPr>
        <w:pStyle w:val="Definition-Field2"/>
      </w:pPr>
      <w:r>
        <w:t>In Office, if the appName attribute equals xl in the en-US locale, then the lowestEdited attribute is the text representation of an unsigned integer in the en-US locale.</w:t>
      </w:r>
    </w:p>
    <w:p w:rsidR="005F78FC" w:rsidRDefault="00B42EF3">
      <w:pPr>
        <w:pStyle w:val="Definition-Field"/>
      </w:pPr>
      <w:r>
        <w:t xml:space="preserve">g.   </w:t>
      </w:r>
      <w:r>
        <w:rPr>
          <w:i/>
        </w:rPr>
        <w:t>The standard does not define any</w:t>
      </w:r>
      <w:r>
        <w:rPr>
          <w:i/>
        </w:rPr>
        <w:t xml:space="preserve"> value restrictions on the rupBuild attribute.</w:t>
      </w:r>
    </w:p>
    <w:p w:rsidR="005F78FC" w:rsidRDefault="00B42EF3">
      <w:pPr>
        <w:pStyle w:val="Definition-Field2"/>
      </w:pPr>
      <w:r>
        <w:lastRenderedPageBreak/>
        <w:t>In Office, if the appName attribute equals xl in the en-US locale, then the rupBuild attribute is the text representation of an unsigned integer in the en-US locale.</w:t>
      </w:r>
    </w:p>
    <w:p w:rsidR="005F78FC" w:rsidRDefault="00B42EF3">
      <w:pPr>
        <w:pStyle w:val="Definition-Field"/>
      </w:pPr>
      <w:r>
        <w:t xml:space="preserve">h.   </w:t>
      </w:r>
      <w:r>
        <w:rPr>
          <w:i/>
        </w:rPr>
        <w:t>The standard does not place any restri</w:t>
      </w:r>
      <w:r>
        <w:rPr>
          <w:i/>
        </w:rPr>
        <w:t>ctions on the value for the lastEdited attribute.</w:t>
      </w:r>
    </w:p>
    <w:p w:rsidR="005F78FC" w:rsidRDefault="00B42EF3">
      <w:pPr>
        <w:pStyle w:val="Definition-Field2"/>
      </w:pPr>
      <w:r>
        <w:t>In Office, when the appName attribute equals xl, the lastEdited attribute should be less than or equal to 32767.</w:t>
      </w:r>
    </w:p>
    <w:p w:rsidR="005F78FC" w:rsidRDefault="00B42EF3">
      <w:pPr>
        <w:pStyle w:val="Definition-Field"/>
      </w:pPr>
      <w:r>
        <w:t xml:space="preserve">i.   </w:t>
      </w:r>
      <w:r>
        <w:rPr>
          <w:i/>
        </w:rPr>
        <w:t>The standard does not place any restrictions on the value for the lowestEdited attribute</w:t>
      </w:r>
      <w:r>
        <w:rPr>
          <w:i/>
        </w:rPr>
        <w:t>.</w:t>
      </w:r>
    </w:p>
    <w:p w:rsidR="005F78FC" w:rsidRDefault="00B42EF3">
      <w:pPr>
        <w:pStyle w:val="Definition-Field2"/>
      </w:pPr>
      <w:r>
        <w:t>In Office, when the appName attribute equals xl, the lowestEdited attribute should be less than or equal to 32767.</w:t>
      </w:r>
    </w:p>
    <w:p w:rsidR="005F78FC" w:rsidRDefault="00B42EF3">
      <w:pPr>
        <w:pStyle w:val="Definition-Field"/>
      </w:pPr>
      <w:r>
        <w:t xml:space="preserve">j.   </w:t>
      </w:r>
      <w:r>
        <w:rPr>
          <w:i/>
        </w:rPr>
        <w:t>The standard does not place any restrictions on the value for the rupBuild attribute.</w:t>
      </w:r>
    </w:p>
    <w:p w:rsidR="005F78FC" w:rsidRDefault="00B42EF3">
      <w:pPr>
        <w:pStyle w:val="Definition-Field2"/>
      </w:pPr>
      <w:r>
        <w:t>In Office, when the appName attribute equals xl,</w:t>
      </w:r>
      <w:r>
        <w:t xml:space="preserve"> the rupBuild attribute should be less than or equal to 32767.</w:t>
      </w:r>
    </w:p>
    <w:p w:rsidR="005F78FC" w:rsidRDefault="00B42EF3">
      <w:pPr>
        <w:pStyle w:val="Heading3"/>
      </w:pPr>
      <w:bookmarkStart w:id="1168" w:name="section_729549d888934b56b6597bd3dbada57e"/>
      <w:bookmarkStart w:id="1169" w:name="_Toc69878357"/>
      <w:r>
        <w:t>Part 1 Section 18.2.14, functionGroup (Function Group)</w:t>
      </w:r>
      <w:bookmarkEnd w:id="1168"/>
      <w:bookmarkEnd w:id="1169"/>
      <w:r>
        <w:fldChar w:fldCharType="begin"/>
      </w:r>
      <w:r>
        <w:instrText xml:space="preserve"> XE "functionGroup (Function Group)" </w:instrText>
      </w:r>
      <w:r>
        <w:fldChar w:fldCharType="end"/>
      </w:r>
    </w:p>
    <w:p w:rsidR="005F78FC" w:rsidRDefault="00B42EF3">
      <w:pPr>
        <w:pStyle w:val="Definition-Field"/>
      </w:pPr>
      <w:r>
        <w:t xml:space="preserve">a.   </w:t>
      </w:r>
      <w:r>
        <w:rPr>
          <w:i/>
        </w:rPr>
        <w:t>The standard implies that the name attribute is optional.</w:t>
      </w:r>
    </w:p>
    <w:p w:rsidR="005F78FC" w:rsidRDefault="00B42EF3">
      <w:pPr>
        <w:pStyle w:val="Definition-Field2"/>
      </w:pPr>
      <w:r>
        <w:t>Excel requires this attribute.</w:t>
      </w:r>
    </w:p>
    <w:p w:rsidR="005F78FC" w:rsidRDefault="00B42EF3">
      <w:pPr>
        <w:pStyle w:val="Definition-Field"/>
      </w:pPr>
      <w:r>
        <w:t xml:space="preserve">b.   </w:t>
      </w:r>
      <w:r>
        <w:rPr>
          <w:i/>
        </w:rPr>
        <w:t>The standard does not limit the length of the value of the name attribute.</w:t>
      </w:r>
    </w:p>
    <w:p w:rsidR="005F78FC" w:rsidRDefault="00B42EF3">
      <w:pPr>
        <w:pStyle w:val="Definition-Field2"/>
      </w:pPr>
      <w:r>
        <w:t>Excel restricts the value of this attribute to be at most 32 characters before escaping.</w:t>
      </w:r>
    </w:p>
    <w:p w:rsidR="005F78FC" w:rsidRDefault="00B42EF3">
      <w:pPr>
        <w:pStyle w:val="Heading3"/>
      </w:pPr>
      <w:bookmarkStart w:id="1170" w:name="section_6b54db2cbdb048d79ff72aeda743c8d2"/>
      <w:bookmarkStart w:id="1171" w:name="_Toc69878358"/>
      <w:r>
        <w:t>Part 1 Section 18.2.15, functionGroups (Function Groups)</w:t>
      </w:r>
      <w:bookmarkEnd w:id="1170"/>
      <w:bookmarkEnd w:id="1171"/>
      <w:r>
        <w:fldChar w:fldCharType="begin"/>
      </w:r>
      <w:r>
        <w:instrText xml:space="preserve"> XE "functionGroups (Function Groups</w:instrText>
      </w:r>
      <w:r>
        <w:instrText xml:space="preserve">)" </w:instrText>
      </w:r>
      <w:r>
        <w:fldChar w:fldCharType="end"/>
      </w:r>
    </w:p>
    <w:p w:rsidR="005F78FC" w:rsidRDefault="00B42EF3">
      <w:pPr>
        <w:pStyle w:val="Definition-Field"/>
      </w:pPr>
      <w:r>
        <w:t xml:space="preserve">a.   </w:t>
      </w:r>
      <w:r>
        <w:rPr>
          <w:i/>
        </w:rPr>
        <w:t>The standard does not limit the value of @builtInGroupCount.</w:t>
      </w:r>
    </w:p>
    <w:p w:rsidR="005F78FC" w:rsidRDefault="00B42EF3">
      <w:pPr>
        <w:pStyle w:val="Definition-Field2"/>
      </w:pPr>
      <w:r>
        <w:t>Office requires that the maximum value be 255.</w:t>
      </w:r>
    </w:p>
    <w:p w:rsidR="005F78FC" w:rsidRDefault="00B42EF3">
      <w:pPr>
        <w:pStyle w:val="Definition-Field"/>
      </w:pPr>
      <w:r>
        <w:t xml:space="preserve">b.   </w:t>
      </w:r>
      <w:r>
        <w:rPr>
          <w:i/>
        </w:rPr>
        <w:t>The standard states that the maxOccurs value for the sequence containing the child functionGroup element is unbounded.</w:t>
      </w:r>
    </w:p>
    <w:p w:rsidR="005F78FC" w:rsidRDefault="00B42EF3">
      <w:pPr>
        <w:pStyle w:val="Definition-Field2"/>
      </w:pPr>
      <w:r>
        <w:t xml:space="preserve">Excel limits </w:t>
      </w:r>
      <w:r>
        <w:t>the occurrences of the functionGroup element to 255.</w:t>
      </w:r>
    </w:p>
    <w:p w:rsidR="005F78FC" w:rsidRDefault="00B42EF3">
      <w:pPr>
        <w:pStyle w:val="Definition-Field"/>
      </w:pPr>
      <w:r>
        <w:t xml:space="preserve">c.   </w:t>
      </w:r>
      <w:r>
        <w:rPr>
          <w:i/>
        </w:rPr>
        <w:t>The standard states that the values of the builtInGroupCount attribute are defined by the XML Schema unsignedInt datatype.</w:t>
      </w:r>
    </w:p>
    <w:p w:rsidR="005F78FC" w:rsidRDefault="00B42EF3">
      <w:pPr>
        <w:pStyle w:val="Definition-Field2"/>
      </w:pPr>
      <w:r>
        <w:t>Excel restricts the sum of the functionGroup elements plus the value of the</w:t>
      </w:r>
      <w:r>
        <w:t xml:space="preserve"> builtInGroupCount attribute to be at most 255.</w:t>
      </w:r>
    </w:p>
    <w:p w:rsidR="005F78FC" w:rsidRDefault="00B42EF3">
      <w:pPr>
        <w:pStyle w:val="Heading3"/>
      </w:pPr>
      <w:bookmarkStart w:id="1172" w:name="section_170f8575e90e4b76b95209242531771f"/>
      <w:bookmarkStart w:id="1173" w:name="_Toc69878359"/>
      <w:r>
        <w:t>Part 1 Section 18.2.16, oleSize (Embedded Object Size)</w:t>
      </w:r>
      <w:bookmarkEnd w:id="1172"/>
      <w:bookmarkEnd w:id="1173"/>
      <w:r>
        <w:fldChar w:fldCharType="begin"/>
      </w:r>
      <w:r>
        <w:instrText xml:space="preserve"> XE "oleSize (Embedded Object Size)" </w:instrText>
      </w:r>
      <w:r>
        <w:fldChar w:fldCharType="end"/>
      </w:r>
    </w:p>
    <w:p w:rsidR="005F78FC" w:rsidRDefault="00B42EF3">
      <w:pPr>
        <w:pStyle w:val="Definition-Field"/>
      </w:pPr>
      <w:r>
        <w:t xml:space="preserve">a.   </w:t>
      </w:r>
      <w:r>
        <w:rPr>
          <w:i/>
        </w:rPr>
        <w:t>The standard states that the @ref is the reference for the embedded object.</w:t>
      </w:r>
    </w:p>
    <w:p w:rsidR="005F78FC" w:rsidRDefault="00B42EF3">
      <w:pPr>
        <w:pStyle w:val="Definition-Field2"/>
      </w:pPr>
      <w:r>
        <w:t>Office treats @ref as the cell ra</w:t>
      </w:r>
      <w:r>
        <w:t>nge over which the embedded object is displayed.</w:t>
      </w:r>
    </w:p>
    <w:p w:rsidR="005F78FC" w:rsidRDefault="00B42EF3">
      <w:pPr>
        <w:pStyle w:val="Heading3"/>
      </w:pPr>
      <w:bookmarkStart w:id="1174" w:name="section_ebf12ea52bb44af5ab26563f22d3f895"/>
      <w:bookmarkStart w:id="1175" w:name="_Toc69878360"/>
      <w:r>
        <w:t>Part 1 Section 18.2.19, sheet (Sheet Information)</w:t>
      </w:r>
      <w:bookmarkEnd w:id="1174"/>
      <w:bookmarkEnd w:id="1175"/>
      <w:r>
        <w:fldChar w:fldCharType="begin"/>
      </w:r>
      <w:r>
        <w:instrText xml:space="preserve"> XE "sheet (Sheet Information)" </w:instrText>
      </w:r>
      <w:r>
        <w:fldChar w:fldCharType="end"/>
      </w:r>
    </w:p>
    <w:p w:rsidR="005F78FC" w:rsidRDefault="00B42EF3">
      <w:pPr>
        <w:pStyle w:val="Definition-Field"/>
      </w:pPr>
      <w:r>
        <w:t xml:space="preserve">a.   </w:t>
      </w:r>
      <w:r>
        <w:rPr>
          <w:i/>
        </w:rPr>
        <w:t>The standard does not place any restrictions on the value for the name attribute.</w:t>
      </w:r>
    </w:p>
    <w:p w:rsidR="005F78FC" w:rsidRDefault="00B42EF3">
      <w:pPr>
        <w:pStyle w:val="Definition-Field2"/>
      </w:pPr>
      <w:r>
        <w:t>Office requires that the name attrib</w:t>
      </w:r>
      <w:r>
        <w:t>ute be less than or equal to 31 characters in length and follow the character limitations for sheet-name and sheet-name-special in Formulas ("</w:t>
      </w:r>
      <w:hyperlink r:id="rId117">
        <w:r>
          <w:rPr>
            <w:rStyle w:val="Hyperlink"/>
          </w:rPr>
          <w:t>[ISO/IEC-29500-1]</w:t>
        </w:r>
      </w:hyperlink>
      <w:r>
        <w:t xml:space="preserve"> §18.17").</w:t>
      </w:r>
    </w:p>
    <w:p w:rsidR="005F78FC" w:rsidRDefault="00B42EF3">
      <w:pPr>
        <w:pStyle w:val="Definition-Field"/>
      </w:pPr>
      <w:r>
        <w:lastRenderedPageBreak/>
        <w:t xml:space="preserve">b.   </w:t>
      </w:r>
      <w:r>
        <w:rPr>
          <w:i/>
        </w:rPr>
        <w:t>The standard do</w:t>
      </w:r>
      <w:r>
        <w:rPr>
          <w:i/>
        </w:rPr>
        <w:t>es not place any restrictions on the value for the sheetId attribute.</w:t>
      </w:r>
    </w:p>
    <w:p w:rsidR="005F78FC" w:rsidRDefault="00B42EF3">
      <w:pPr>
        <w:pStyle w:val="Definition-Field2"/>
      </w:pPr>
      <w:r>
        <w:t>Office requires that the sheetId attribute be between 1 and 65534 inclusive.</w:t>
      </w:r>
    </w:p>
    <w:p w:rsidR="005F78FC" w:rsidRDefault="00B42EF3">
      <w:pPr>
        <w:pStyle w:val="Definition-Field"/>
      </w:pPr>
      <w:r>
        <w:t xml:space="preserve">c.   </w:t>
      </w:r>
      <w:r>
        <w:rPr>
          <w:i/>
        </w:rPr>
        <w:t>The standard does not place any restrictions on the value for the id attribute.</w:t>
      </w:r>
    </w:p>
    <w:p w:rsidR="005F78FC" w:rsidRDefault="00B42EF3">
      <w:pPr>
        <w:pStyle w:val="Definition-Field2"/>
      </w:pPr>
      <w:r>
        <w:t>Office requires that the</w:t>
      </w:r>
      <w:r>
        <w:t xml:space="preserve"> id attribute be 255 or less characters in length.</w:t>
      </w:r>
    </w:p>
    <w:p w:rsidR="005F78FC" w:rsidRDefault="00B42EF3">
      <w:pPr>
        <w:pStyle w:val="Definition-Field"/>
      </w:pPr>
      <w:r>
        <w:t xml:space="preserve">d.   </w:t>
      </w:r>
      <w:r>
        <w:rPr>
          <w:i/>
        </w:rPr>
        <w:t>The standard states that sheet names are unique.</w:t>
      </w:r>
    </w:p>
    <w:p w:rsidR="005F78FC" w:rsidRDefault="00B42EF3">
      <w:pPr>
        <w:pStyle w:val="Definition-Field2"/>
      </w:pPr>
      <w:r>
        <w:t>Office requires that sheet names are case-insensitive unique in any locale.</w:t>
      </w:r>
    </w:p>
    <w:p w:rsidR="005F78FC" w:rsidRDefault="00B42EF3">
      <w:pPr>
        <w:pStyle w:val="Heading3"/>
      </w:pPr>
      <w:bookmarkStart w:id="1176" w:name="section_c9766f83abdd4351aeff90859c90c9f7"/>
      <w:bookmarkStart w:id="1177" w:name="_Toc69878361"/>
      <w:r>
        <w:t>Part 1 Section 18.2.20, sheets (Sheets)</w:t>
      </w:r>
      <w:bookmarkEnd w:id="1176"/>
      <w:bookmarkEnd w:id="1177"/>
      <w:r>
        <w:fldChar w:fldCharType="begin"/>
      </w:r>
      <w:r>
        <w:instrText xml:space="preserve"> XE "sheets (Sheets)" </w:instrText>
      </w:r>
      <w:r>
        <w:fldChar w:fldCharType="end"/>
      </w:r>
    </w:p>
    <w:p w:rsidR="005F78FC" w:rsidRDefault="00B42EF3">
      <w:pPr>
        <w:pStyle w:val="Definition-Field"/>
      </w:pPr>
      <w:r>
        <w:t xml:space="preserve">a.   </w:t>
      </w:r>
      <w:r>
        <w:rPr>
          <w:i/>
        </w:rPr>
        <w:t>The st</w:t>
      </w:r>
      <w:r>
        <w:rPr>
          <w:i/>
        </w:rPr>
        <w:t>andard states that the maxOccurs value for the sheet child element is unbounded.</w:t>
      </w:r>
    </w:p>
    <w:p w:rsidR="005F78FC" w:rsidRDefault="00B42EF3">
      <w:pPr>
        <w:pStyle w:val="Definition-Field2"/>
      </w:pPr>
      <w:r>
        <w:t>Excel limits the occurrences of this element to 32767.</w:t>
      </w:r>
    </w:p>
    <w:p w:rsidR="005F78FC" w:rsidRDefault="00B42EF3">
      <w:pPr>
        <w:pStyle w:val="Heading3"/>
      </w:pPr>
      <w:bookmarkStart w:id="1178" w:name="section_a7158173228147abbe714addd4682340"/>
      <w:bookmarkStart w:id="1179" w:name="_Toc69878362"/>
      <w:r>
        <w:t>Part 1 Section 18.2.22, smartTagType (Smart Tag Type)</w:t>
      </w:r>
      <w:bookmarkEnd w:id="1178"/>
      <w:bookmarkEnd w:id="1179"/>
      <w:r>
        <w:fldChar w:fldCharType="begin"/>
      </w:r>
      <w:r>
        <w:instrText xml:space="preserve"> XE "smartTagType (Smart Tag Type)" </w:instrText>
      </w:r>
      <w:r>
        <w:fldChar w:fldCharType="end"/>
      </w:r>
    </w:p>
    <w:p w:rsidR="005F78FC" w:rsidRDefault="00B42EF3">
      <w:pPr>
        <w:pStyle w:val="Definition-Field"/>
      </w:pPr>
      <w:r>
        <w:t xml:space="preserve">a.   </w:t>
      </w:r>
      <w:r>
        <w:rPr>
          <w:i/>
        </w:rPr>
        <w:t>The standard does not l</w:t>
      </w:r>
      <w:r>
        <w:rPr>
          <w:i/>
        </w:rPr>
        <w:t>imit the length of the value of the namespaceUri attribute.</w:t>
      </w:r>
    </w:p>
    <w:p w:rsidR="005F78FC" w:rsidRDefault="00B42EF3">
      <w:pPr>
        <w:pStyle w:val="Definition-Field2"/>
      </w:pPr>
      <w:r>
        <w:t>Excel restricts the value of this attribute to be at most 2083 characters.</w:t>
      </w:r>
    </w:p>
    <w:p w:rsidR="005F78FC" w:rsidRDefault="00B42EF3">
      <w:pPr>
        <w:pStyle w:val="Definition-Field"/>
      </w:pPr>
      <w:r>
        <w:t xml:space="preserve">b.   </w:t>
      </w:r>
      <w:r>
        <w:rPr>
          <w:i/>
        </w:rPr>
        <w:t>The standard does not limit the length of the value of the url attribute.</w:t>
      </w:r>
    </w:p>
    <w:p w:rsidR="005F78FC" w:rsidRDefault="00B42EF3">
      <w:pPr>
        <w:pStyle w:val="Definition-Field2"/>
      </w:pPr>
      <w:r>
        <w:t>Excel restricts the value of this attribut</w:t>
      </w:r>
      <w:r>
        <w:t>e to be at most 2083 characters.</w:t>
      </w:r>
    </w:p>
    <w:p w:rsidR="005F78FC" w:rsidRDefault="00B42EF3">
      <w:pPr>
        <w:pStyle w:val="Definition-Field"/>
      </w:pPr>
      <w:r>
        <w:t xml:space="preserve">c.   </w:t>
      </w:r>
      <w:r>
        <w:rPr>
          <w:i/>
        </w:rPr>
        <w:t>The standard does not limit the length of the value of the name attribute.</w:t>
      </w:r>
    </w:p>
    <w:p w:rsidR="005F78FC" w:rsidRDefault="00B42EF3">
      <w:pPr>
        <w:pStyle w:val="Definition-Field2"/>
      </w:pPr>
      <w:r>
        <w:t>Excel restricts the value of this attribute to be at most 255 characters.</w:t>
      </w:r>
    </w:p>
    <w:p w:rsidR="005F78FC" w:rsidRDefault="00B42EF3">
      <w:pPr>
        <w:pStyle w:val="Definition-Field"/>
      </w:pPr>
      <w:r>
        <w:t xml:space="preserve">d.   </w:t>
      </w:r>
      <w:r>
        <w:rPr>
          <w:i/>
        </w:rPr>
        <w:t>The standard states that the name attribute is optional.</w:t>
      </w:r>
    </w:p>
    <w:p w:rsidR="005F78FC" w:rsidRDefault="00B42EF3">
      <w:pPr>
        <w:pStyle w:val="Definition-Field2"/>
      </w:pPr>
      <w:r>
        <w:t xml:space="preserve">Excel </w:t>
      </w:r>
      <w:r>
        <w:t>requires this attribute.</w:t>
      </w:r>
    </w:p>
    <w:p w:rsidR="005F78FC" w:rsidRDefault="00B42EF3">
      <w:pPr>
        <w:pStyle w:val="Definition-Field"/>
      </w:pPr>
      <w:r>
        <w:t xml:space="preserve">e.   </w:t>
      </w:r>
      <w:r>
        <w:rPr>
          <w:i/>
        </w:rPr>
        <w:t>The standard states that the namespaceUri attribute is optional.</w:t>
      </w:r>
    </w:p>
    <w:p w:rsidR="005F78FC" w:rsidRDefault="00B42EF3">
      <w:pPr>
        <w:pStyle w:val="Definition-Field2"/>
      </w:pPr>
      <w:r>
        <w:t>Excel requires this attribute.</w:t>
      </w:r>
    </w:p>
    <w:p w:rsidR="005F78FC" w:rsidRDefault="00B42EF3">
      <w:pPr>
        <w:pStyle w:val="Heading3"/>
      </w:pPr>
      <w:bookmarkStart w:id="1180" w:name="section_bf9c45345d9846cabe7ea76543fce6a2"/>
      <w:bookmarkStart w:id="1181" w:name="_Toc69878363"/>
      <w:r>
        <w:t>Part 1 Section 18.2.23, smartTagTypes (Smart Tag Types)</w:t>
      </w:r>
      <w:bookmarkEnd w:id="1180"/>
      <w:bookmarkEnd w:id="1181"/>
      <w:r>
        <w:fldChar w:fldCharType="begin"/>
      </w:r>
      <w:r>
        <w:instrText xml:space="preserve"> XE "smartTagTypes (Smart Tag Types)" </w:instrText>
      </w:r>
      <w:r>
        <w:fldChar w:fldCharType="end"/>
      </w:r>
    </w:p>
    <w:p w:rsidR="005F78FC" w:rsidRDefault="00B42EF3">
      <w:pPr>
        <w:pStyle w:val="Definition-Field"/>
      </w:pPr>
      <w:r>
        <w:t xml:space="preserve">a.   </w:t>
      </w:r>
      <w:r>
        <w:rPr>
          <w:i/>
        </w:rPr>
        <w:t xml:space="preserve">The standard states that the </w:t>
      </w:r>
      <w:r>
        <w:rPr>
          <w:i/>
        </w:rPr>
        <w:t>minOccurs value for the smartTagType child element is 0.</w:t>
      </w:r>
    </w:p>
    <w:p w:rsidR="005F78FC" w:rsidRDefault="00B42EF3">
      <w:pPr>
        <w:pStyle w:val="Definition-Field2"/>
      </w:pPr>
      <w:r>
        <w:t>Excel requires an occurrence of this element.</w:t>
      </w:r>
    </w:p>
    <w:p w:rsidR="005F78FC" w:rsidRDefault="00B42EF3">
      <w:pPr>
        <w:pStyle w:val="Heading3"/>
      </w:pPr>
      <w:bookmarkStart w:id="1182" w:name="section_039e764d91ca4804af286f748173cd53"/>
      <w:bookmarkStart w:id="1183" w:name="_Toc69878364"/>
      <w:r>
        <w:t>Part 1 Section 18.2.24, webPublishing (Web Publishing Properties)</w:t>
      </w:r>
      <w:bookmarkEnd w:id="1182"/>
      <w:bookmarkEnd w:id="1183"/>
      <w:r>
        <w:fldChar w:fldCharType="begin"/>
      </w:r>
      <w:r>
        <w:instrText xml:space="preserve"> XE "webPublishing (Web Publishing Properties)" </w:instrText>
      </w:r>
      <w:r>
        <w:fldChar w:fldCharType="end"/>
      </w:r>
    </w:p>
    <w:p w:rsidR="005F78FC" w:rsidRDefault="00B42EF3">
      <w:pPr>
        <w:pStyle w:val="Definition-Field"/>
      </w:pPr>
      <w:r>
        <w:t xml:space="preserve">a.   </w:t>
      </w:r>
      <w:r>
        <w:rPr>
          <w:i/>
        </w:rPr>
        <w:t xml:space="preserve">The standard states that </w:t>
      </w:r>
      <w:r>
        <w:rPr>
          <w:i/>
        </w:rPr>
        <w:t>characterSet is a valid attribute, and that when it is present, codePage should be ignored</w:t>
      </w:r>
    </w:p>
    <w:p w:rsidR="005F78FC" w:rsidRDefault="00B42EF3">
      <w:pPr>
        <w:pStyle w:val="Definition-Field2"/>
      </w:pPr>
      <w:r>
        <w:t>Office ignores the characterSet attribute if it is present, and does not ignore the codePage attribute if characterSet is present.</w:t>
      </w:r>
    </w:p>
    <w:p w:rsidR="005F78FC" w:rsidRDefault="00B42EF3">
      <w:pPr>
        <w:pStyle w:val="Heading3"/>
      </w:pPr>
      <w:bookmarkStart w:id="1184" w:name="section_3ef755fd19944ba1a2994e532589d163"/>
      <w:bookmarkStart w:id="1185" w:name="_Toc69878365"/>
      <w:r>
        <w:t>Part 1 Section 18.2.25, webPublish</w:t>
      </w:r>
      <w:r>
        <w:t>Object (Web Publishing Object)</w:t>
      </w:r>
      <w:bookmarkEnd w:id="1184"/>
      <w:bookmarkEnd w:id="1185"/>
      <w:r>
        <w:fldChar w:fldCharType="begin"/>
      </w:r>
      <w:r>
        <w:instrText xml:space="preserve"> XE "webPublishObject (Web Publishing Object)" </w:instrText>
      </w:r>
      <w:r>
        <w:fldChar w:fldCharType="end"/>
      </w:r>
    </w:p>
    <w:p w:rsidR="005F78FC" w:rsidRDefault="00B42EF3">
      <w:pPr>
        <w:pStyle w:val="Definition-Field"/>
      </w:pPr>
      <w:r>
        <w:t xml:space="preserve">a.   </w:t>
      </w:r>
      <w:r>
        <w:rPr>
          <w:i/>
        </w:rPr>
        <w:t>The standard does not limit the length of the value of the title attribute.</w:t>
      </w:r>
    </w:p>
    <w:p w:rsidR="005F78FC" w:rsidRDefault="00B42EF3">
      <w:pPr>
        <w:pStyle w:val="Definition-Field2"/>
      </w:pPr>
      <w:r>
        <w:t>Excel restricts the value of this attribute to be at most 255 characters.</w:t>
      </w:r>
    </w:p>
    <w:p w:rsidR="005F78FC" w:rsidRDefault="00B42EF3">
      <w:pPr>
        <w:pStyle w:val="Definition-Field"/>
      </w:pPr>
      <w:r>
        <w:lastRenderedPageBreak/>
        <w:t xml:space="preserve">b.   </w:t>
      </w:r>
      <w:r>
        <w:rPr>
          <w:i/>
        </w:rPr>
        <w:t>The standard doe</w:t>
      </w:r>
      <w:r>
        <w:rPr>
          <w:i/>
        </w:rPr>
        <w:t>s not limit the length of the value of the destinationFile attribute.</w:t>
      </w:r>
    </w:p>
    <w:p w:rsidR="005F78FC" w:rsidRDefault="00B42EF3">
      <w:pPr>
        <w:pStyle w:val="Definition-Field2"/>
      </w:pPr>
      <w:r>
        <w:t>Excel restricts the value of this attribute to be at least 1 and at most 255 characters.</w:t>
      </w:r>
    </w:p>
    <w:p w:rsidR="005F78FC" w:rsidRDefault="00B42EF3">
      <w:pPr>
        <w:pStyle w:val="Definition-Field"/>
      </w:pPr>
      <w:r>
        <w:t xml:space="preserve">c.   </w:t>
      </w:r>
      <w:r>
        <w:rPr>
          <w:i/>
        </w:rPr>
        <w:t>The standard does not limit the length of the value of the divId attribute.</w:t>
      </w:r>
    </w:p>
    <w:p w:rsidR="005F78FC" w:rsidRDefault="00B42EF3">
      <w:pPr>
        <w:pStyle w:val="Definition-Field2"/>
      </w:pPr>
      <w:r>
        <w:t xml:space="preserve">Excel restricts </w:t>
      </w:r>
      <w:r>
        <w:t>the value of this attribute to be at least 1 and at most 255 characters.</w:t>
      </w:r>
    </w:p>
    <w:p w:rsidR="005F78FC" w:rsidRDefault="00B42EF3">
      <w:pPr>
        <w:pStyle w:val="Definition-Field"/>
      </w:pPr>
      <w:r>
        <w:t xml:space="preserve">d.   </w:t>
      </w:r>
      <w:r>
        <w:rPr>
          <w:i/>
        </w:rPr>
        <w:t>The standard does not limit the length of the value of the sourceObject attribute.</w:t>
      </w:r>
    </w:p>
    <w:p w:rsidR="005F78FC" w:rsidRDefault="00B42EF3">
      <w:pPr>
        <w:pStyle w:val="Definition-Field2"/>
      </w:pPr>
      <w:r>
        <w:t>Excel restricts the value of this attribute to be at most 255 characters.</w:t>
      </w:r>
    </w:p>
    <w:p w:rsidR="005F78FC" w:rsidRDefault="00B42EF3">
      <w:pPr>
        <w:pStyle w:val="Definition-Field"/>
      </w:pPr>
      <w:r>
        <w:t xml:space="preserve">e.   </w:t>
      </w:r>
      <w:r>
        <w:rPr>
          <w:i/>
        </w:rPr>
        <w:t>The standard sta</w:t>
      </w:r>
      <w:r>
        <w:rPr>
          <w:i/>
        </w:rPr>
        <w:t>tes that the values of the id attribute are defined by the XML Schema unsignedInt datatype.</w:t>
      </w:r>
    </w:p>
    <w:p w:rsidR="005F78FC" w:rsidRDefault="00B42EF3">
      <w:pPr>
        <w:pStyle w:val="Definition-Field2"/>
      </w:pPr>
      <w:r>
        <w:t>Excel restricts the value of this attribute to be at least 1 and at most 2147483647.</w:t>
      </w:r>
    </w:p>
    <w:p w:rsidR="005F78FC" w:rsidRDefault="00B42EF3">
      <w:pPr>
        <w:pStyle w:val="Definition-Field"/>
      </w:pPr>
      <w:r>
        <w:t xml:space="preserve">f.   </w:t>
      </w:r>
      <w:r>
        <w:rPr>
          <w:i/>
        </w:rPr>
        <w:t>The standard states that the values of the sourceObject attribute are defi</w:t>
      </w:r>
      <w:r>
        <w:rPr>
          <w:i/>
        </w:rPr>
        <w:t>ned by the ST_Xstring simple type.</w:t>
      </w:r>
    </w:p>
    <w:p w:rsidR="005F78FC" w:rsidRDefault="00B42EF3">
      <w:pPr>
        <w:pStyle w:val="Definition-Field2"/>
      </w:pPr>
      <w:r>
        <w:t>Excel requires the value of this attribute to meet the restrictions defined in Names ("</w:t>
      </w:r>
      <w:hyperlink r:id="rId118">
        <w:r>
          <w:rPr>
            <w:rStyle w:val="Hyperlink"/>
          </w:rPr>
          <w:t>[ISO/IEC-29500-1]</w:t>
        </w:r>
      </w:hyperlink>
      <w:r>
        <w:t xml:space="preserve"> §18.17.2.5").</w:t>
      </w:r>
    </w:p>
    <w:p w:rsidR="005F78FC" w:rsidRDefault="00B42EF3">
      <w:pPr>
        <w:pStyle w:val="Heading3"/>
      </w:pPr>
      <w:bookmarkStart w:id="1186" w:name="section_7821b8f6672a4f05bc0f33b818210695"/>
      <w:bookmarkStart w:id="1187" w:name="_Toc69878366"/>
      <w:r>
        <w:t>Part 1 Section 18.2.27, workbook (Wo</w:t>
      </w:r>
      <w:r>
        <w:t>rkbook)</w:t>
      </w:r>
      <w:bookmarkEnd w:id="1186"/>
      <w:bookmarkEnd w:id="1187"/>
      <w:r>
        <w:fldChar w:fldCharType="begin"/>
      </w:r>
      <w:r>
        <w:instrText xml:space="preserve"> XE "workbook (Workbook)" </w:instrText>
      </w:r>
      <w:r>
        <w:fldChar w:fldCharType="end"/>
      </w:r>
    </w:p>
    <w:p w:rsidR="005F78FC" w:rsidRDefault="00B42EF3">
      <w:pPr>
        <w:pStyle w:val="Definition-Field"/>
      </w:pPr>
      <w:r>
        <w:t xml:space="preserve">a.   </w:t>
      </w:r>
      <w:r>
        <w:rPr>
          <w:i/>
        </w:rPr>
        <w:t>The standard states that minOccurs for the bookViews element is zero.</w:t>
      </w:r>
    </w:p>
    <w:p w:rsidR="005F78FC" w:rsidRDefault="00B42EF3">
      <w:pPr>
        <w:pStyle w:val="Definition-Field2"/>
      </w:pPr>
      <w:r>
        <w:t>Excel will fail to print files without a bookViews element.</w:t>
      </w:r>
    </w:p>
    <w:p w:rsidR="005F78FC" w:rsidRDefault="00B42EF3">
      <w:pPr>
        <w:pStyle w:val="Definition-Field"/>
      </w:pPr>
      <w:r>
        <w:t xml:space="preserve">b.   </w:t>
      </w:r>
      <w:r>
        <w:rPr>
          <w:i/>
        </w:rPr>
        <w:t>The standard specifies that the conformance attribute is a valid attribute of th</w:t>
      </w:r>
      <w:r>
        <w:rPr>
          <w:i/>
        </w:rPr>
        <w:t>e workbook element.</w:t>
      </w:r>
    </w:p>
    <w:p w:rsidR="005F78FC" w:rsidRDefault="00B42EF3">
      <w:pPr>
        <w:pStyle w:val="Definition-Field2"/>
      </w:pPr>
      <w:r>
        <w:t>Excel ignores the conformance attribute.</w:t>
      </w:r>
    </w:p>
    <w:p w:rsidR="005F78FC" w:rsidRDefault="00B42EF3">
      <w:pPr>
        <w:pStyle w:val="Definition-Field2"/>
      </w:pPr>
      <w:r>
        <w:t>This note applies to the following products: Office 2010, Office 2010 Server, Office 2010 SP1.</w:t>
      </w:r>
    </w:p>
    <w:p w:rsidR="005F78FC" w:rsidRDefault="00B42EF3">
      <w:pPr>
        <w:pStyle w:val="Heading3"/>
      </w:pPr>
      <w:bookmarkStart w:id="1188" w:name="section_a251e7c67b8a4e2fb284025f9f09ba3e"/>
      <w:bookmarkStart w:id="1189" w:name="_Toc69878367"/>
      <w:r>
        <w:t>Part 1 Section 18.2.28, workbookPr (Workbook Properties)</w:t>
      </w:r>
      <w:bookmarkEnd w:id="1188"/>
      <w:bookmarkEnd w:id="1189"/>
      <w:r>
        <w:fldChar w:fldCharType="begin"/>
      </w:r>
      <w:r>
        <w:instrText xml:space="preserve"> XE "workbookPr (Workbook Properties)" </w:instrText>
      </w:r>
      <w:r>
        <w:fldChar w:fldCharType="end"/>
      </w:r>
    </w:p>
    <w:p w:rsidR="005F78FC" w:rsidRDefault="00B42EF3">
      <w:pPr>
        <w:pStyle w:val="Definition-Field"/>
      </w:pPr>
      <w:r>
        <w:t>a.</w:t>
      </w:r>
      <w:r>
        <w:t xml:space="preserve">   </w:t>
      </w:r>
      <w:r>
        <w:rPr>
          <w:i/>
        </w:rPr>
        <w:t>The standard states that allowRefreshQuery is a valid attribute on this element.</w:t>
      </w:r>
    </w:p>
    <w:p w:rsidR="005F78FC" w:rsidRDefault="00B42EF3">
      <w:pPr>
        <w:pStyle w:val="Definition-Field2"/>
      </w:pPr>
      <w:r>
        <w:t>Excel does not support this attribute on this element.</w:t>
      </w:r>
    </w:p>
    <w:p w:rsidR="005F78FC" w:rsidRDefault="00B42EF3">
      <w:pPr>
        <w:pStyle w:val="Definition-Field"/>
      </w:pPr>
      <w:r>
        <w:t xml:space="preserve">b.   </w:t>
      </w:r>
      <w:r>
        <w:rPr>
          <w:i/>
        </w:rPr>
        <w:t>The standard does not specify a default value for the defaultThemeVersion attribute.</w:t>
      </w:r>
    </w:p>
    <w:p w:rsidR="005F78FC" w:rsidRDefault="00B42EF3">
      <w:pPr>
        <w:pStyle w:val="Definition-Field2"/>
      </w:pPr>
      <w:r>
        <w:t xml:space="preserve">Excel uses a default value </w:t>
      </w:r>
      <w:r>
        <w:t>of 0, which indicates that no default theme applies in the workbook, for this attribute.</w:t>
      </w:r>
    </w:p>
    <w:p w:rsidR="005F78FC" w:rsidRDefault="00B42EF3">
      <w:pPr>
        <w:pStyle w:val="Definition-Field"/>
      </w:pPr>
      <w:r>
        <w:t xml:space="preserve">c.   </w:t>
      </w:r>
      <w:r>
        <w:rPr>
          <w:i/>
        </w:rPr>
        <w:t>The standard describes the codeName attribute as specifying the codename of the application that created the workbook.</w:t>
      </w:r>
    </w:p>
    <w:p w:rsidR="005F78FC" w:rsidRDefault="00B42EF3">
      <w:pPr>
        <w:pStyle w:val="Definition-Field2"/>
      </w:pPr>
      <w:r>
        <w:t xml:space="preserve">Office uses the codeName attribute to </w:t>
      </w:r>
      <w:r>
        <w:t>specify the name of the Workbook object as to be used in a scripting application.</w:t>
      </w:r>
    </w:p>
    <w:p w:rsidR="005F78FC" w:rsidRDefault="00B42EF3">
      <w:pPr>
        <w:pStyle w:val="Definition-Field"/>
      </w:pPr>
      <w:r>
        <w:t xml:space="preserve">d.   </w:t>
      </w:r>
      <w:r>
        <w:rPr>
          <w:i/>
        </w:rPr>
        <w:t>The standard states that the values of the codeName attribute are defined by the XML Schema string datatype.</w:t>
      </w:r>
    </w:p>
    <w:p w:rsidR="005F78FC" w:rsidRDefault="00B42EF3">
      <w:pPr>
        <w:pStyle w:val="Definition-Field2"/>
      </w:pPr>
      <w:r>
        <w:t>Excel requires this attribute to be at most 31 characters, w</w:t>
      </w:r>
      <w:r>
        <w:t>ith the following pattern restriction: [\p{L}\P{IsBasicLatin}][_\d\p{L}\P{IsBasicLatin}]*.</w:t>
      </w:r>
    </w:p>
    <w:p w:rsidR="005F78FC" w:rsidRDefault="00B42EF3">
      <w:pPr>
        <w:pStyle w:val="Definition-Field"/>
      </w:pPr>
      <w:r>
        <w:t xml:space="preserve">e.   </w:t>
      </w:r>
      <w:r>
        <w:rPr>
          <w:i/>
        </w:rPr>
        <w:t>The standard specifies a value of 1 or true for @hidePivotFieldList indicates the field list is shown.</w:t>
      </w:r>
    </w:p>
    <w:p w:rsidR="005F78FC" w:rsidRDefault="00B42EF3">
      <w:pPr>
        <w:pStyle w:val="Definition-Field2"/>
      </w:pPr>
      <w:r>
        <w:lastRenderedPageBreak/>
        <w:t>Office treats that a value of 1 or true to indicate the f</w:t>
      </w:r>
      <w:r>
        <w:t>ield list is hidden, and a value of 0 or false otherwise.</w:t>
      </w:r>
    </w:p>
    <w:p w:rsidR="005F78FC" w:rsidRDefault="00B42EF3">
      <w:pPr>
        <w:pStyle w:val="Definition-Field"/>
      </w:pPr>
      <w:r>
        <w:t xml:space="preserve">f.   </w:t>
      </w:r>
      <w:r>
        <w:rPr>
          <w:i/>
        </w:rPr>
        <w:t>The standard does not specify the meaning of possible values for the attribute refreshAllConnections.</w:t>
      </w:r>
    </w:p>
    <w:p w:rsidR="005F78FC" w:rsidRDefault="00B42EF3">
      <w:pPr>
        <w:pStyle w:val="Definition-Field2"/>
      </w:pPr>
      <w:r>
        <w:t>Office treats a value of 1 or true for @refreshAllConnections to indicate all connections s</w:t>
      </w:r>
      <w:r>
        <w:t>hall be refreshed, and 0 or false otherwise.</w:t>
      </w:r>
    </w:p>
    <w:p w:rsidR="005F78FC" w:rsidRDefault="00B42EF3">
      <w:pPr>
        <w:pStyle w:val="Definition-Field"/>
      </w:pPr>
      <w:r>
        <w:t xml:space="preserve">g.   </w:t>
      </w:r>
      <w:r>
        <w:rPr>
          <w:i/>
        </w:rPr>
        <w:t xml:space="preserve">The standard states that the dateCompatibility attribute determines whether the date base should be treated as a compatibility date base or should support the full date range of </w:t>
      </w:r>
      <w:hyperlink r:id="rId119">
        <w:r>
          <w:rPr>
            <w:rStyle w:val="Hyperlink"/>
          </w:rPr>
          <w:t>[ISO-8601]</w:t>
        </w:r>
      </w:hyperlink>
      <w:r>
        <w:rPr>
          <w:i/>
        </w:rPr>
        <w:t>.</w:t>
      </w:r>
    </w:p>
    <w:p w:rsidR="005F78FC" w:rsidRDefault="00B42EF3">
      <w:pPr>
        <w:pStyle w:val="Definition-Field2"/>
      </w:pPr>
      <w:r>
        <w:t>Office ignores the dateCompatibility attribute, and always uses a compatibility date base.</w:t>
      </w:r>
    </w:p>
    <w:p w:rsidR="005F78FC" w:rsidRDefault="00B42EF3">
      <w:pPr>
        <w:pStyle w:val="Definition-Field2"/>
      </w:pPr>
      <w:r>
        <w:t>This note applies to the following products: Office 2010, Office 2010 Server, Office 2010 SP1.</w:t>
      </w:r>
    </w:p>
    <w:p w:rsidR="005F78FC" w:rsidRDefault="00B42EF3">
      <w:pPr>
        <w:pStyle w:val="Definition-Field"/>
      </w:pPr>
      <w:r>
        <w:t xml:space="preserve">h.   </w:t>
      </w:r>
      <w:r>
        <w:rPr>
          <w:i/>
        </w:rPr>
        <w:t>The standard sta</w:t>
      </w:r>
      <w:r>
        <w:rPr>
          <w:i/>
        </w:rPr>
        <w:t>tes that the filterPrivacy attribute is used to warn the user when PII is added to a document.</w:t>
      </w:r>
    </w:p>
    <w:p w:rsidR="005F78FC" w:rsidRDefault="00B42EF3">
      <w:pPr>
        <w:pStyle w:val="Definition-Field2"/>
      </w:pPr>
      <w:r>
        <w:t>In Office, the filterPrivacy attribute is used to determine if PII is removed or not removed from the workbook when it is saved.</w:t>
      </w:r>
    </w:p>
    <w:p w:rsidR="005F78FC" w:rsidRDefault="00B42EF3">
      <w:pPr>
        <w:pStyle w:val="Definition-Field"/>
      </w:pPr>
      <w:r>
        <w:t xml:space="preserve">i.   </w:t>
      </w:r>
      <w:r>
        <w:rPr>
          <w:i/>
        </w:rPr>
        <w:t>The standard implies that t</w:t>
      </w:r>
      <w:r>
        <w:rPr>
          <w:i/>
        </w:rPr>
        <w:t>he implementing application should draw a border around unselected tables if @showBorderUnselectedTables is set to true.</w:t>
      </w:r>
    </w:p>
    <w:p w:rsidR="005F78FC" w:rsidRDefault="00B42EF3">
      <w:pPr>
        <w:pStyle w:val="Definition-Field2"/>
      </w:pPr>
      <w:r>
        <w:t>Office does not draw the border around tables regardless of the value of showBorderUnselectedTables.</w:t>
      </w:r>
    </w:p>
    <w:p w:rsidR="005F78FC" w:rsidRDefault="00B42EF3">
      <w:pPr>
        <w:pStyle w:val="Definition-Field"/>
      </w:pPr>
      <w:r>
        <w:t xml:space="preserve">j.   </w:t>
      </w:r>
      <w:r>
        <w:rPr>
          <w:i/>
        </w:rPr>
        <w:t xml:space="preserve">The standard states that the </w:t>
      </w:r>
      <w:r>
        <w:rPr>
          <w:i/>
        </w:rPr>
        <w:t xml:space="preserve">dateCompatibility attribute determines whether the date base should be treated as a compatibility date base or should support the full date range of </w:t>
      </w:r>
      <w:r>
        <w:t>[ISO-8601]</w:t>
      </w:r>
      <w:r>
        <w:rPr>
          <w:i/>
        </w:rPr>
        <w:t>.</w:t>
      </w:r>
    </w:p>
    <w:p w:rsidR="005F78FC" w:rsidRDefault="00B42EF3">
      <w:pPr>
        <w:pStyle w:val="Definition-Field2"/>
      </w:pPr>
      <w:r>
        <w:t>Office ignores the dateCompatibility attribute. If workbook@conformance equals "strict", the 19</w:t>
      </w:r>
      <w:r>
        <w:t>00 date system is used. Otherwise the 1900 compatibility date system is used. Excel does not support negative serial numbers.</w:t>
      </w:r>
    </w:p>
    <w:p w:rsidR="005F78FC" w:rsidRDefault="00B42EF3">
      <w:pPr>
        <w:pStyle w:val="Definition-Field2"/>
      </w:pPr>
      <w:r>
        <w:t>This note applies to the following products: Office 2013 Client (Strict), Office 2013 Server (Strict), Office 2013 Client (Transit</w:t>
      </w:r>
      <w:r>
        <w:t>ional), Office 2013 Server (Transitional).</w:t>
      </w:r>
    </w:p>
    <w:p w:rsidR="005F78FC" w:rsidRDefault="00B42EF3">
      <w:pPr>
        <w:pStyle w:val="Heading3"/>
      </w:pPr>
      <w:bookmarkStart w:id="1190" w:name="section_601cecceb95644ef9fa6736b2ce3657d"/>
      <w:bookmarkStart w:id="1191" w:name="_Toc69878368"/>
      <w:r>
        <w:t>Part 1 Section 18.2.29, workbookProtection (Workbook Protection)</w:t>
      </w:r>
      <w:bookmarkEnd w:id="1190"/>
      <w:bookmarkEnd w:id="1191"/>
      <w:r>
        <w:fldChar w:fldCharType="begin"/>
      </w:r>
      <w:r>
        <w:instrText xml:space="preserve"> XE "workbookProtection (Workbook Protection)" </w:instrText>
      </w:r>
      <w:r>
        <w:fldChar w:fldCharType="end"/>
      </w:r>
    </w:p>
    <w:p w:rsidR="005F78FC" w:rsidRDefault="00B42EF3">
      <w:pPr>
        <w:pStyle w:val="Definition-Field"/>
      </w:pPr>
      <w:r>
        <w:t xml:space="preserve">a.   </w:t>
      </w:r>
      <w:r>
        <w:rPr>
          <w:i/>
        </w:rPr>
        <w:t>The standard specifies @lockWindows indicates whether the windows that comprise the workbook a</w:t>
      </w:r>
      <w:r>
        <w:rPr>
          <w:i/>
        </w:rPr>
        <w:t>re locked.</w:t>
      </w:r>
    </w:p>
    <w:p w:rsidR="005F78FC" w:rsidRDefault="00B42EF3">
      <w:pPr>
        <w:pStyle w:val="Definition-Field2"/>
      </w:pPr>
      <w:r>
        <w:t>In Office if all sheets have a sheetView element with the attribute windowProtection set to false, then @lockWindows will also be saved as false.</w:t>
      </w:r>
    </w:p>
    <w:p w:rsidR="005F78FC" w:rsidRDefault="00B42EF3">
      <w:pPr>
        <w:pStyle w:val="Definition-Field"/>
      </w:pPr>
      <w:r>
        <w:t xml:space="preserve">b.   </w:t>
      </w:r>
      <w:r>
        <w:rPr>
          <w:i/>
        </w:rPr>
        <w:t>The standard specifies @lockRevision indicates whether the workbook is locked for revisions.</w:t>
      </w:r>
    </w:p>
    <w:p w:rsidR="005F78FC" w:rsidRDefault="00B42EF3">
      <w:pPr>
        <w:pStyle w:val="Definition-Field2"/>
      </w:pPr>
      <w:r>
        <w:t>O</w:t>
      </w:r>
      <w:r>
        <w:t>ffice uses @lockRevision to specify whether the change history in a shared workbook cannot be removed.</w:t>
      </w:r>
    </w:p>
    <w:p w:rsidR="005F78FC" w:rsidRDefault="00B42EF3">
      <w:pPr>
        <w:pStyle w:val="Definition-Field"/>
      </w:pPr>
      <w:r>
        <w:t xml:space="preserve">c.   </w:t>
      </w:r>
      <w:r>
        <w:rPr>
          <w:i/>
        </w:rPr>
        <w:t>The standard specifies @workbookPassword as the hash of the password required for unlocking revisions in this workbook.</w:t>
      </w:r>
    </w:p>
    <w:p w:rsidR="005F78FC" w:rsidRDefault="00B42EF3">
      <w:pPr>
        <w:pStyle w:val="Definition-Field2"/>
      </w:pPr>
      <w:r>
        <w:t>Office uses @workbookPasswor</w:t>
      </w:r>
      <w:r>
        <w:t>d as the hash of the password required for unlocking the structure of the workbook and/or the windows in this workbook.</w:t>
      </w:r>
    </w:p>
    <w:p w:rsidR="005F78FC" w:rsidRDefault="00B42EF3">
      <w:pPr>
        <w:pStyle w:val="Definition-Field"/>
      </w:pPr>
      <w:r>
        <w:t xml:space="preserve">d.   </w:t>
      </w:r>
      <w:r>
        <w:rPr>
          <w:i/>
        </w:rPr>
        <w:t>The standard states that this setting uses a specific revisionsPassword attribute to store the password hash for unlocking revision</w:t>
      </w:r>
      <w:r>
        <w:rPr>
          <w:i/>
        </w:rPr>
        <w:t>s in the workbook.</w:t>
      </w:r>
    </w:p>
    <w:p w:rsidR="005F78FC" w:rsidRDefault="00B42EF3">
      <w:r>
        <w:lastRenderedPageBreak/>
        <w:t>In Office, when the HKCU/Software/Microsoft/Office/&lt;VERSION&gt;/Common/Security/UseIsoPasswordVerifier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Name</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rPr>
                <w:b/>
              </w:rPr>
              <w:t>algorithm Name</w:t>
            </w:r>
          </w:p>
        </w:tc>
        <w:tc>
          <w:tcPr>
            <w:tcW w:w="0" w:type="auto"/>
            <w:vAlign w:val="center"/>
          </w:tcPr>
          <w:p w:rsidR="005F78FC" w:rsidRDefault="00B42EF3">
            <w:pPr>
              <w:pStyle w:val="TableBodyText"/>
            </w:pPr>
            <w:r>
              <w:t>The name of the cryptographic hashing algorithm used to generate the hash value. Only those algorithms that are installed in the operating system’s cryptographic subsystem can be utilized by Office.</w:t>
            </w:r>
          </w:p>
          <w:p w:rsidR="005F78FC" w:rsidRDefault="005F78FC">
            <w:pPr>
              <w:pStyle w:val="TableBodyText"/>
            </w:pPr>
          </w:p>
          <w:p w:rsidR="005F78FC" w:rsidRDefault="00B42EF3">
            <w:pPr>
              <w:pStyle w:val="TableBodyText"/>
            </w:pPr>
            <w:r>
              <w:t>The hash algorithm names, de</w:t>
            </w:r>
            <w:r>
              <w:t>scribed in the following table, are reserved.</w:t>
            </w:r>
          </w:p>
          <w:p w:rsidR="005F78FC" w:rsidRDefault="005F78FC">
            <w:pPr>
              <w:pStyle w:val="TableBodyText"/>
            </w:pPr>
          </w:p>
          <w:p w:rsidR="005F78FC" w:rsidRDefault="00B42EF3">
            <w:pPr>
              <w:pStyle w:val="TableBodyText"/>
            </w:pPr>
            <w:r>
              <w:rPr>
                <w:b/>
                <w:i/>
              </w:rPr>
              <w:t xml:space="preserve">MD2 </w:t>
            </w:r>
          </w:p>
          <w:p w:rsidR="005F78FC" w:rsidRDefault="00B42EF3">
            <w:pPr>
              <w:pStyle w:val="TableBodyText"/>
            </w:pPr>
            <w:r>
              <w:rPr>
                <w:i/>
              </w:rPr>
              <w:t>Specifies that the MD2 algorithm, as defined by RFC 1319, shall be used.</w:t>
            </w:r>
          </w:p>
          <w:p w:rsidR="005F78FC" w:rsidRDefault="005F78FC">
            <w:pPr>
              <w:pStyle w:val="TableBodyText"/>
            </w:pPr>
          </w:p>
          <w:p w:rsidR="005F78FC" w:rsidRDefault="00B42EF3">
            <w:pPr>
              <w:pStyle w:val="TableBodyText"/>
            </w:pPr>
            <w:r>
              <w:rPr>
                <w:i/>
              </w:rPr>
              <w:t>[Note: It is recommended that applications should avoid using this algorithm to store new hash values, because of publicly known b</w:t>
            </w:r>
            <w:r>
              <w:rPr>
                <w:i/>
              </w:rPr>
              <w:t>reaks. end note]</w:t>
            </w:r>
          </w:p>
          <w:p w:rsidR="005F78FC" w:rsidRDefault="00B42EF3">
            <w:pPr>
              <w:pStyle w:val="TableBodyText"/>
            </w:pPr>
            <w:r>
              <w:rPr>
                <w:b/>
                <w:i/>
              </w:rPr>
              <w:t xml:space="preserve">MD4 </w:t>
            </w:r>
          </w:p>
          <w:p w:rsidR="005F78FC" w:rsidRDefault="00B42EF3">
            <w:pPr>
              <w:pStyle w:val="TableBodyText"/>
            </w:pPr>
            <w:r>
              <w:rPr>
                <w:i/>
              </w:rPr>
              <w:t>Specifies that the MD4 algorithm, as defined by RFC 1320, shall be used.</w:t>
            </w:r>
          </w:p>
          <w:p w:rsidR="005F78FC" w:rsidRDefault="005F78FC">
            <w:pPr>
              <w:pStyle w:val="TableBodyText"/>
            </w:pPr>
          </w:p>
          <w:p w:rsidR="005F78FC" w:rsidRDefault="00B42EF3">
            <w:pPr>
              <w:pStyle w:val="TableBodyText"/>
            </w:pPr>
            <w:r>
              <w:rPr>
                <w:i/>
              </w:rPr>
              <w:t>[Note: It is recommended that applications should avoid using this algorithm to store new hash values, because of publicly known breaks. end note]</w:t>
            </w:r>
          </w:p>
          <w:p w:rsidR="005F78FC" w:rsidRDefault="00B42EF3">
            <w:pPr>
              <w:pStyle w:val="TableBodyText"/>
            </w:pPr>
            <w:r>
              <w:rPr>
                <w:b/>
                <w:i/>
              </w:rPr>
              <w:t>MD5</w:t>
            </w:r>
          </w:p>
          <w:p w:rsidR="005F78FC" w:rsidRDefault="00B42EF3">
            <w:pPr>
              <w:pStyle w:val="TableBodyText"/>
            </w:pPr>
            <w:r>
              <w:rPr>
                <w:i/>
              </w:rPr>
              <w:t>Specifies</w:t>
            </w:r>
            <w:r>
              <w:rPr>
                <w:i/>
              </w:rPr>
              <w:t xml:space="preserve"> that the MD5 algorithm, as defined by RFC 1321, shall be used.</w:t>
            </w:r>
          </w:p>
          <w:p w:rsidR="005F78FC" w:rsidRDefault="005F78FC">
            <w:pPr>
              <w:pStyle w:val="TableBodyText"/>
            </w:pPr>
          </w:p>
          <w:p w:rsidR="005F78FC" w:rsidRDefault="00B42EF3">
            <w:pPr>
              <w:pStyle w:val="TableBodyText"/>
            </w:pPr>
            <w:r>
              <w:rPr>
                <w:i/>
              </w:rPr>
              <w:t>[Note: It is recommended that applications should avoid using this algorithm to store new hash values, because of publicly known breaks. end note]</w:t>
            </w:r>
          </w:p>
          <w:p w:rsidR="005F78FC" w:rsidRDefault="00B42EF3">
            <w:pPr>
              <w:pStyle w:val="TableBodyText"/>
            </w:pPr>
            <w:r>
              <w:rPr>
                <w:b/>
                <w:i/>
              </w:rPr>
              <w:t>RIPEMD-128</w:t>
            </w:r>
          </w:p>
          <w:p w:rsidR="005F78FC" w:rsidRDefault="00B42EF3">
            <w:pPr>
              <w:pStyle w:val="TableBodyText"/>
            </w:pPr>
            <w:r>
              <w:rPr>
                <w:i/>
              </w:rPr>
              <w:t>Specifies that the RIPEMD-128 alg</w:t>
            </w:r>
            <w:r>
              <w:rPr>
                <w:i/>
              </w:rPr>
              <w:t>orithm, as defined by ISO/IEC 10118-3:2004 shall be used.</w:t>
            </w:r>
          </w:p>
          <w:p w:rsidR="005F78FC" w:rsidRDefault="005F78FC">
            <w:pPr>
              <w:pStyle w:val="TableBodyText"/>
            </w:pPr>
          </w:p>
          <w:p w:rsidR="005F78FC" w:rsidRDefault="00B42EF3">
            <w:pPr>
              <w:pStyle w:val="TableBodyText"/>
            </w:pPr>
            <w:r>
              <w:rPr>
                <w:i/>
              </w:rPr>
              <w:t>[Note: It is recommended that applications should avoid using this algorithm to store new hash values, because of publicly known breaks. end note]</w:t>
            </w:r>
          </w:p>
          <w:p w:rsidR="005F78FC" w:rsidRDefault="00B42EF3">
            <w:pPr>
              <w:pStyle w:val="TableBodyText"/>
            </w:pPr>
            <w:r>
              <w:rPr>
                <w:b/>
                <w:i/>
              </w:rPr>
              <w:t>RIPEMD-160</w:t>
            </w:r>
          </w:p>
          <w:p w:rsidR="005F78FC" w:rsidRDefault="00B42EF3">
            <w:pPr>
              <w:pStyle w:val="TableBodyText"/>
            </w:pPr>
            <w:r>
              <w:rPr>
                <w:i/>
              </w:rPr>
              <w:t xml:space="preserve">Specifies that the RIPEMD-160 </w:t>
            </w:r>
            <w:r>
              <w:rPr>
                <w:i/>
              </w:rPr>
              <w:t>algorithm, as defined by ISO/IEC 10118-3:2004, shall be used.</w:t>
            </w:r>
          </w:p>
          <w:p w:rsidR="005F78FC" w:rsidRDefault="00B42EF3">
            <w:pPr>
              <w:pStyle w:val="TableBodyText"/>
            </w:pPr>
            <w:r>
              <w:rPr>
                <w:b/>
                <w:i/>
              </w:rPr>
              <w:t>SHA-1</w:t>
            </w:r>
          </w:p>
          <w:p w:rsidR="005F78FC" w:rsidRDefault="00B42EF3">
            <w:pPr>
              <w:pStyle w:val="TableBodyText"/>
            </w:pPr>
            <w:r>
              <w:rPr>
                <w:i/>
              </w:rPr>
              <w:t>Specifies that the SHA-1 algorithm, as defined by ISO/IEC 10118-3:2004, shall be used.</w:t>
            </w:r>
          </w:p>
          <w:p w:rsidR="005F78FC" w:rsidRDefault="00B42EF3">
            <w:pPr>
              <w:pStyle w:val="TableBodyText"/>
            </w:pPr>
            <w:r>
              <w:rPr>
                <w:b/>
                <w:i/>
              </w:rPr>
              <w:t>SHA-256</w:t>
            </w:r>
          </w:p>
          <w:p w:rsidR="005F78FC" w:rsidRDefault="00B42EF3">
            <w:pPr>
              <w:pStyle w:val="TableBodyText"/>
            </w:pPr>
            <w:r>
              <w:rPr>
                <w:i/>
              </w:rPr>
              <w:t>Specifies that the SHA-256 algorithm, as defined by ISO/IEC 10118-3:2004, shall be used.</w:t>
            </w:r>
          </w:p>
          <w:p w:rsidR="005F78FC" w:rsidRDefault="00B42EF3">
            <w:pPr>
              <w:pStyle w:val="TableBodyText"/>
            </w:pPr>
            <w:r>
              <w:rPr>
                <w:b/>
                <w:i/>
              </w:rPr>
              <w:t>SHA-</w:t>
            </w:r>
            <w:r>
              <w:rPr>
                <w:b/>
                <w:i/>
              </w:rPr>
              <w:t>384</w:t>
            </w:r>
          </w:p>
          <w:p w:rsidR="005F78FC" w:rsidRDefault="00B42EF3">
            <w:pPr>
              <w:pStyle w:val="TableBodyText"/>
            </w:pPr>
            <w:r>
              <w:rPr>
                <w:i/>
              </w:rPr>
              <w:t>Specifies that the SHA-384 algorithm, as defined by ISO/IEC 10118-3:2004, shall be used.</w:t>
            </w:r>
          </w:p>
          <w:p w:rsidR="005F78FC" w:rsidRDefault="00B42EF3">
            <w:pPr>
              <w:pStyle w:val="TableBodyText"/>
            </w:pPr>
            <w:r>
              <w:rPr>
                <w:b/>
                <w:i/>
              </w:rPr>
              <w:t>SHA-512</w:t>
            </w:r>
          </w:p>
          <w:p w:rsidR="005F78FC" w:rsidRDefault="00B42EF3">
            <w:pPr>
              <w:pStyle w:val="TableBodyText"/>
            </w:pPr>
            <w:r>
              <w:rPr>
                <w:i/>
              </w:rPr>
              <w:t>Specifies that the SHA-512 algorithm, as defined by ISO/IEC 10118-3:2004, shall be used.</w:t>
            </w:r>
          </w:p>
          <w:p w:rsidR="005F78FC" w:rsidRDefault="00B42EF3">
            <w:pPr>
              <w:pStyle w:val="TableBodyText"/>
            </w:pPr>
            <w:r>
              <w:rPr>
                <w:b/>
                <w:i/>
              </w:rPr>
              <w:t>WHIRLPOOL</w:t>
            </w:r>
          </w:p>
          <w:p w:rsidR="005F78FC" w:rsidRDefault="00B42EF3">
            <w:pPr>
              <w:pStyle w:val="TableBodyText"/>
            </w:pPr>
            <w:r>
              <w:rPr>
                <w:i/>
              </w:rPr>
              <w:t>Specifies that the WHIRLPOOL algorithm, as defined by IS</w:t>
            </w:r>
            <w:r>
              <w:rPr>
                <w:i/>
              </w:rPr>
              <w:t>O/IEC 10118-3:2004, shall be used.</w:t>
            </w:r>
          </w:p>
          <w:p w:rsidR="005F78FC" w:rsidRDefault="005F78FC">
            <w:pPr>
              <w:pStyle w:val="TableBodyText"/>
            </w:pPr>
          </w:p>
          <w:p w:rsidR="005F78FC" w:rsidRDefault="005F78FC">
            <w:pPr>
              <w:pStyle w:val="TableBodyText"/>
            </w:pPr>
          </w:p>
        </w:tc>
      </w:tr>
      <w:tr w:rsidR="005F78FC" w:rsidTr="005F78FC">
        <w:tc>
          <w:tcPr>
            <w:tcW w:w="0" w:type="auto"/>
            <w:vAlign w:val="center"/>
          </w:tcPr>
          <w:p w:rsidR="005F78FC" w:rsidRDefault="00B42EF3">
            <w:pPr>
              <w:pStyle w:val="TableBodyText"/>
            </w:pPr>
            <w:r>
              <w:rPr>
                <w:b/>
              </w:rPr>
              <w:t>hash Value</w:t>
            </w:r>
          </w:p>
        </w:tc>
        <w:tc>
          <w:tcPr>
            <w:tcW w:w="0" w:type="auto"/>
            <w:vAlign w:val="center"/>
          </w:tcPr>
          <w:p w:rsidR="005F78FC" w:rsidRDefault="00B42EF3">
            <w:pPr>
              <w:pStyle w:val="TableBodyText"/>
            </w:pPr>
            <w:r>
              <w:t>Specifies the hash value for the password required to edit this worksheet. This value shall be compared with the resulting hash value after hashing the user-supplied password using the algorithm specified by</w:t>
            </w:r>
            <w:r>
              <w:t xml:space="preserve"> the preceding attributes and parent XML element. If the two values match, the protection shall no longer be enforced.</w:t>
            </w:r>
          </w:p>
          <w:p w:rsidR="005F78FC" w:rsidRDefault="005F78FC">
            <w:pPr>
              <w:pStyle w:val="TableBodyText"/>
            </w:pPr>
          </w:p>
          <w:p w:rsidR="005F78FC" w:rsidRDefault="00B42EF3">
            <w:pPr>
              <w:pStyle w:val="TableBodyText"/>
            </w:pPr>
            <w:r>
              <w:lastRenderedPageBreak/>
              <w:t>If this value is omitted, then the reservationPassword attribute shall contain the password hash for the workbook.</w:t>
            </w:r>
          </w:p>
          <w:p w:rsidR="005F78FC" w:rsidRDefault="005F78FC">
            <w:pPr>
              <w:pStyle w:val="TableBodyText"/>
            </w:pPr>
          </w:p>
          <w:p w:rsidR="005F78FC" w:rsidRDefault="00B42EF3">
            <w:pPr>
              <w:pStyle w:val="TableBodyText"/>
            </w:pPr>
            <w:r>
              <w:t>[</w:t>
            </w:r>
            <w:r>
              <w:rPr>
                <w:i/>
              </w:rPr>
              <w:t>Example</w:t>
            </w:r>
            <w:r>
              <w:t>: Consider a</w:t>
            </w:r>
            <w:r>
              <w:t>n Office Open XML document with the following information stored in one of its protection elements:</w:t>
            </w:r>
          </w:p>
          <w:p w:rsidR="005F78FC" w:rsidRDefault="005F78FC">
            <w:pPr>
              <w:pStyle w:val="TableBodyText"/>
            </w:pPr>
          </w:p>
          <w:p w:rsidR="005F78FC" w:rsidRDefault="00B42EF3">
            <w:pPr>
              <w:pStyle w:val="TableBodyText"/>
            </w:pPr>
            <w:r>
              <w:t>&lt;… algorithmName="SHA-1" hashValue="9oN7nWkCAyEZib1RomSJTjmPpCY=" /&gt;</w:t>
            </w:r>
          </w:p>
          <w:p w:rsidR="005F78FC" w:rsidRDefault="005F78FC">
            <w:pPr>
              <w:pStyle w:val="TableBodyText"/>
            </w:pPr>
          </w:p>
          <w:p w:rsidR="005F78FC" w:rsidRDefault="00B42EF3">
            <w:pPr>
              <w:pStyle w:val="TableBodyText"/>
            </w:pPr>
            <w:r>
              <w:t>The hashValue attribute value of 9oN7nWkCAyEZib1RomSJTjmPpCY= specifies that the user-supplied password must be hashed using the pre-processing defined by the parent element (if any) followed by the hashing algorithm (specified via the algorithmName attrib</w:t>
            </w:r>
            <w:r>
              <w:t xml:space="preserve">ute value) and that the resulting hash value must be match for the protection to be disabled. </w:t>
            </w:r>
          </w:p>
          <w:p w:rsidR="005F78FC" w:rsidRDefault="00B42EF3">
            <w:pPr>
              <w:pStyle w:val="TableBodyText"/>
            </w:pPr>
            <w:r>
              <w:rPr>
                <w:i/>
              </w:rPr>
              <w:t>end example</w:t>
            </w:r>
            <w:r>
              <w:t>]</w:t>
            </w:r>
          </w:p>
          <w:p w:rsidR="005F78FC" w:rsidRDefault="005F78FC">
            <w:pPr>
              <w:pStyle w:val="TableBodyText"/>
            </w:pPr>
          </w:p>
          <w:p w:rsidR="005F78FC" w:rsidRDefault="00B42EF3">
            <w:pPr>
              <w:pStyle w:val="TableBodyText"/>
            </w:pPr>
            <w:r>
              <w:t>The possible values for this attribute are defined by the W3C XML Schema base64Binary datatype.</w:t>
            </w:r>
          </w:p>
        </w:tc>
      </w:tr>
      <w:tr w:rsidR="005F78FC" w:rsidTr="005F78FC">
        <w:tc>
          <w:tcPr>
            <w:tcW w:w="0" w:type="auto"/>
            <w:vAlign w:val="center"/>
          </w:tcPr>
          <w:p w:rsidR="005F78FC" w:rsidRDefault="00B42EF3">
            <w:pPr>
              <w:pStyle w:val="TableBodyText"/>
            </w:pPr>
            <w:r>
              <w:rPr>
                <w:b/>
              </w:rPr>
              <w:lastRenderedPageBreak/>
              <w:t>saltValue</w:t>
            </w:r>
          </w:p>
        </w:tc>
        <w:tc>
          <w:tcPr>
            <w:tcW w:w="0" w:type="auto"/>
            <w:vAlign w:val="center"/>
          </w:tcPr>
          <w:p w:rsidR="005F78FC" w:rsidRDefault="00B42EF3">
            <w:pPr>
              <w:pStyle w:val="TableBodyText"/>
            </w:pPr>
            <w:r>
              <w:t>Specifies the random bytes that are pre-</w:t>
            </w:r>
            <w:r>
              <w:t>pended to the user-supplied password before it was hashed by the hashing algorithm.</w:t>
            </w:r>
          </w:p>
        </w:tc>
      </w:tr>
      <w:tr w:rsidR="005F78FC" w:rsidTr="005F78FC">
        <w:tc>
          <w:tcPr>
            <w:tcW w:w="0" w:type="auto"/>
            <w:vAlign w:val="center"/>
          </w:tcPr>
          <w:p w:rsidR="005F78FC" w:rsidRDefault="00B42EF3">
            <w:pPr>
              <w:pStyle w:val="TableBodyText"/>
            </w:pPr>
            <w:r>
              <w:rPr>
                <w:b/>
              </w:rPr>
              <w:t>spinCount</w:t>
            </w:r>
          </w:p>
        </w:tc>
        <w:tc>
          <w:tcPr>
            <w:tcW w:w="0" w:type="auto"/>
            <w:vAlign w:val="center"/>
          </w:tcPr>
          <w:p w:rsidR="005F78FC" w:rsidRDefault="00B42EF3">
            <w:pPr>
              <w:pStyle w:val="TableBodyText"/>
            </w:pPr>
            <w:r>
              <w:t>Specifies the number of times the hashing function shall be iteratively run (using each iteration's result as the input for the next iteration).</w:t>
            </w:r>
          </w:p>
        </w:tc>
      </w:tr>
    </w:tbl>
    <w:p w:rsidR="005F78FC" w:rsidRDefault="005F78FC"/>
    <w:p w:rsidR="005F78FC" w:rsidRDefault="00B42EF3">
      <w:r>
        <w:t xml:space="preserve">[Example: </w:t>
      </w:r>
    </w:p>
    <w:p w:rsidR="005F78FC" w:rsidRDefault="00B42EF3">
      <w:r>
        <w:t>Con</w:t>
      </w:r>
      <w:r>
        <w:t>sider an Office Open XML document with the following information stored in one of its protection elements:</w:t>
      </w:r>
    </w:p>
    <w:p w:rsidR="005F78FC" w:rsidRDefault="00B42EF3">
      <w:r>
        <w:t>&lt; … algorithmName="SHA-1" hashValue="9oN7nWkCAyEZib1RomSJTjmPpCY=" /&gt;</w:t>
      </w:r>
    </w:p>
    <w:p w:rsidR="005F78FC" w:rsidRDefault="00B42EF3">
      <w:r>
        <w:t>The algorithmName attribute value of SHA-1 specifies that the SHA-1 hashing alg</w:t>
      </w:r>
      <w:r>
        <w:t>orithm must be used to generate a hash from the user-defined password.</w:t>
      </w:r>
    </w:p>
    <w:p w:rsidR="005F78FC" w:rsidRDefault="00B42EF3">
      <w:r>
        <w:t>end example]</w:t>
      </w:r>
    </w:p>
    <w:p w:rsidR="005F78FC" w:rsidRDefault="00B42EF3">
      <w:pPr>
        <w:pStyle w:val="Definition-Field"/>
      </w:pPr>
      <w:r>
        <w:t xml:space="preserve">e.   </w:t>
      </w:r>
      <w:r>
        <w:rPr>
          <w:i/>
        </w:rPr>
        <w:t>The standard states that this setting uses a specific workbookPassword attribute to store the password hash for unlocking revisions in the workbook.</w:t>
      </w:r>
    </w:p>
    <w:p w:rsidR="005F78FC" w:rsidRDefault="00B42EF3">
      <w:r>
        <w:t>In Office, when th</w:t>
      </w:r>
      <w:r>
        <w:t>e HKCU/Software/Microsoft/Office/&lt;VERSION&gt;/Common/Security/UseIsoPasswordVerifier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Name</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rPr>
                <w:b/>
              </w:rPr>
              <w:t>algorithm Name</w:t>
            </w:r>
          </w:p>
        </w:tc>
        <w:tc>
          <w:tcPr>
            <w:tcW w:w="0" w:type="auto"/>
            <w:vAlign w:val="center"/>
          </w:tcPr>
          <w:p w:rsidR="005F78FC" w:rsidRDefault="00B42EF3">
            <w:pPr>
              <w:pStyle w:val="TableBodyText"/>
            </w:pPr>
            <w:r>
              <w:t xml:space="preserve">The name of the </w:t>
            </w:r>
            <w:r>
              <w:t>cryptographic hashing algorithm used to generate the hash value. Only those algorithms that are installed in the operating system’s cryptographic subsystem can be utilized by Office.</w:t>
            </w:r>
          </w:p>
          <w:p w:rsidR="005F78FC" w:rsidRDefault="005F78FC">
            <w:pPr>
              <w:pStyle w:val="TableBodyText"/>
            </w:pPr>
          </w:p>
          <w:p w:rsidR="005F78FC" w:rsidRDefault="00B42EF3">
            <w:pPr>
              <w:pStyle w:val="TableBodyText"/>
            </w:pPr>
            <w:r>
              <w:t>The hash algorithm names, described in the following table, are reserved</w:t>
            </w:r>
            <w:r>
              <w:t>.</w:t>
            </w:r>
          </w:p>
          <w:p w:rsidR="005F78FC" w:rsidRDefault="005F78FC">
            <w:pPr>
              <w:pStyle w:val="TableBodyText"/>
            </w:pPr>
          </w:p>
          <w:p w:rsidR="005F78FC" w:rsidRDefault="00B42EF3">
            <w:pPr>
              <w:pStyle w:val="TableBodyText"/>
            </w:pPr>
            <w:r>
              <w:rPr>
                <w:b/>
                <w:i/>
              </w:rPr>
              <w:t xml:space="preserve">MD2 </w:t>
            </w:r>
          </w:p>
          <w:p w:rsidR="005F78FC" w:rsidRDefault="00B42EF3">
            <w:pPr>
              <w:pStyle w:val="TableBodyText"/>
            </w:pPr>
            <w:r>
              <w:rPr>
                <w:i/>
              </w:rPr>
              <w:t>Specifies that the MD2 algorithm, as defined by RFC 1319, shall be used.</w:t>
            </w:r>
          </w:p>
          <w:p w:rsidR="005F78FC" w:rsidRDefault="005F78FC">
            <w:pPr>
              <w:pStyle w:val="TableBodyText"/>
            </w:pPr>
          </w:p>
          <w:p w:rsidR="005F78FC" w:rsidRDefault="00B42EF3">
            <w:pPr>
              <w:pStyle w:val="TableBodyText"/>
            </w:pPr>
            <w:r>
              <w:rPr>
                <w:i/>
              </w:rPr>
              <w:t xml:space="preserve">[Note: It is recommended that applications should avoid using this algorithm to store new hash </w:t>
            </w:r>
            <w:r>
              <w:rPr>
                <w:i/>
              </w:rPr>
              <w:lastRenderedPageBreak/>
              <w:t>values, because of publicly known breaks. end note]</w:t>
            </w:r>
          </w:p>
          <w:p w:rsidR="005F78FC" w:rsidRDefault="00B42EF3">
            <w:pPr>
              <w:pStyle w:val="TableBodyText"/>
            </w:pPr>
            <w:r>
              <w:rPr>
                <w:b/>
                <w:i/>
              </w:rPr>
              <w:t xml:space="preserve">MD4 </w:t>
            </w:r>
          </w:p>
          <w:p w:rsidR="005F78FC" w:rsidRDefault="00B42EF3">
            <w:pPr>
              <w:pStyle w:val="TableBodyText"/>
            </w:pPr>
            <w:r>
              <w:rPr>
                <w:i/>
              </w:rPr>
              <w:t>Specifies that the MD4</w:t>
            </w:r>
            <w:r>
              <w:rPr>
                <w:i/>
              </w:rPr>
              <w:t xml:space="preserve"> algorithm, as defined by RFC 1320, shall be used.</w:t>
            </w:r>
          </w:p>
          <w:p w:rsidR="005F78FC" w:rsidRDefault="005F78FC">
            <w:pPr>
              <w:pStyle w:val="TableBodyText"/>
            </w:pPr>
          </w:p>
          <w:p w:rsidR="005F78FC" w:rsidRDefault="00B42EF3">
            <w:pPr>
              <w:pStyle w:val="TableBodyText"/>
            </w:pPr>
            <w:r>
              <w:rPr>
                <w:i/>
              </w:rPr>
              <w:t>[Note: It is recommended that applications should avoid using this algorithm to store new hash values, because of publicly known breaks. end note]</w:t>
            </w:r>
          </w:p>
          <w:p w:rsidR="005F78FC" w:rsidRDefault="00B42EF3">
            <w:pPr>
              <w:pStyle w:val="TableBodyText"/>
            </w:pPr>
            <w:r>
              <w:rPr>
                <w:b/>
                <w:i/>
              </w:rPr>
              <w:t>MD5</w:t>
            </w:r>
          </w:p>
          <w:p w:rsidR="005F78FC" w:rsidRDefault="00B42EF3">
            <w:pPr>
              <w:pStyle w:val="TableBodyText"/>
            </w:pPr>
            <w:r>
              <w:rPr>
                <w:i/>
              </w:rPr>
              <w:t>Specifies that the MD5 algorithm, as defined by RFC 1</w:t>
            </w:r>
            <w:r>
              <w:rPr>
                <w:i/>
              </w:rPr>
              <w:t>321, shall be used.</w:t>
            </w:r>
          </w:p>
          <w:p w:rsidR="005F78FC" w:rsidRDefault="005F78FC">
            <w:pPr>
              <w:pStyle w:val="TableBodyText"/>
            </w:pPr>
          </w:p>
          <w:p w:rsidR="005F78FC" w:rsidRDefault="00B42EF3">
            <w:pPr>
              <w:pStyle w:val="TableBodyText"/>
            </w:pPr>
            <w:r>
              <w:rPr>
                <w:i/>
              </w:rPr>
              <w:t>[Note: It is recommended that applications should avoid using this algorithm to store new hash values, because of publicly known breaks. end note]</w:t>
            </w:r>
          </w:p>
          <w:p w:rsidR="005F78FC" w:rsidRDefault="00B42EF3">
            <w:pPr>
              <w:pStyle w:val="TableBodyText"/>
            </w:pPr>
            <w:r>
              <w:rPr>
                <w:b/>
                <w:i/>
              </w:rPr>
              <w:t>RIPEMD-128</w:t>
            </w:r>
          </w:p>
          <w:p w:rsidR="005F78FC" w:rsidRDefault="00B42EF3">
            <w:pPr>
              <w:pStyle w:val="TableBodyText"/>
            </w:pPr>
            <w:r>
              <w:rPr>
                <w:i/>
              </w:rPr>
              <w:t>Specifies that the RIPEMD-128 algorithm, as defined by ISO/IEC 10118-3:2004 s</w:t>
            </w:r>
            <w:r>
              <w:rPr>
                <w:i/>
              </w:rPr>
              <w:t>hall be used.</w:t>
            </w:r>
          </w:p>
          <w:p w:rsidR="005F78FC" w:rsidRDefault="005F78FC">
            <w:pPr>
              <w:pStyle w:val="TableBodyText"/>
            </w:pPr>
          </w:p>
          <w:p w:rsidR="005F78FC" w:rsidRDefault="00B42EF3">
            <w:pPr>
              <w:pStyle w:val="TableBodyText"/>
            </w:pPr>
            <w:r>
              <w:rPr>
                <w:i/>
              </w:rPr>
              <w:t>[Note: It is recommended that applications should avoid using this algorithm to store new hash values, because of publicly known breaks. end note]</w:t>
            </w:r>
          </w:p>
          <w:p w:rsidR="005F78FC" w:rsidRDefault="00B42EF3">
            <w:pPr>
              <w:pStyle w:val="TableBodyText"/>
            </w:pPr>
            <w:r>
              <w:rPr>
                <w:b/>
                <w:i/>
              </w:rPr>
              <w:t>RIPEMD-160</w:t>
            </w:r>
          </w:p>
          <w:p w:rsidR="005F78FC" w:rsidRDefault="00B42EF3">
            <w:pPr>
              <w:pStyle w:val="TableBodyText"/>
            </w:pPr>
            <w:r>
              <w:rPr>
                <w:i/>
              </w:rPr>
              <w:t xml:space="preserve">Specifies that the RIPEMD-160 algorithm, as defined by ISO/IEC 10118-3:2004, shall </w:t>
            </w:r>
            <w:r>
              <w:rPr>
                <w:i/>
              </w:rPr>
              <w:t>be used.</w:t>
            </w:r>
          </w:p>
          <w:p w:rsidR="005F78FC" w:rsidRDefault="00B42EF3">
            <w:pPr>
              <w:pStyle w:val="TableBodyText"/>
            </w:pPr>
            <w:r>
              <w:rPr>
                <w:b/>
                <w:i/>
              </w:rPr>
              <w:t>SHA-1</w:t>
            </w:r>
          </w:p>
          <w:p w:rsidR="005F78FC" w:rsidRDefault="00B42EF3">
            <w:pPr>
              <w:pStyle w:val="TableBodyText"/>
            </w:pPr>
            <w:r>
              <w:rPr>
                <w:i/>
              </w:rPr>
              <w:t>Specifies that the SHA-1 algorithm, as defined by ISO/IEC 10118-3:2004, shall be used.</w:t>
            </w:r>
          </w:p>
          <w:p w:rsidR="005F78FC" w:rsidRDefault="00B42EF3">
            <w:pPr>
              <w:pStyle w:val="TableBodyText"/>
            </w:pPr>
            <w:r>
              <w:rPr>
                <w:b/>
                <w:i/>
              </w:rPr>
              <w:t>SHA-256</w:t>
            </w:r>
          </w:p>
          <w:p w:rsidR="005F78FC" w:rsidRDefault="00B42EF3">
            <w:pPr>
              <w:pStyle w:val="TableBodyText"/>
            </w:pPr>
            <w:r>
              <w:rPr>
                <w:i/>
              </w:rPr>
              <w:t>Specifies that the SHA-256 algorithm, as defined by ISO/IEC 10118-3:2004, shall be used.</w:t>
            </w:r>
          </w:p>
          <w:p w:rsidR="005F78FC" w:rsidRDefault="00B42EF3">
            <w:pPr>
              <w:pStyle w:val="TableBodyText"/>
            </w:pPr>
            <w:r>
              <w:rPr>
                <w:b/>
                <w:i/>
              </w:rPr>
              <w:t>SHA-384</w:t>
            </w:r>
          </w:p>
          <w:p w:rsidR="005F78FC" w:rsidRDefault="00B42EF3">
            <w:pPr>
              <w:pStyle w:val="TableBodyText"/>
            </w:pPr>
            <w:r>
              <w:rPr>
                <w:i/>
              </w:rPr>
              <w:t xml:space="preserve">Specifies that the SHA-384 algorithm, as defined </w:t>
            </w:r>
            <w:r>
              <w:rPr>
                <w:i/>
              </w:rPr>
              <w:t>by ISO/IEC 10118-3:2004, shall be used.</w:t>
            </w:r>
          </w:p>
          <w:p w:rsidR="005F78FC" w:rsidRDefault="00B42EF3">
            <w:pPr>
              <w:pStyle w:val="TableBodyText"/>
            </w:pPr>
            <w:r>
              <w:rPr>
                <w:b/>
                <w:i/>
              </w:rPr>
              <w:t>SHA-512</w:t>
            </w:r>
          </w:p>
          <w:p w:rsidR="005F78FC" w:rsidRDefault="00B42EF3">
            <w:pPr>
              <w:pStyle w:val="TableBodyText"/>
            </w:pPr>
            <w:r>
              <w:rPr>
                <w:i/>
              </w:rPr>
              <w:t>Specifies that the SHA-512 algorithm, as defined by ISO/IEC 10118-3:2004, shall be used.</w:t>
            </w:r>
          </w:p>
          <w:p w:rsidR="005F78FC" w:rsidRDefault="00B42EF3">
            <w:pPr>
              <w:pStyle w:val="TableBodyText"/>
            </w:pPr>
            <w:r>
              <w:rPr>
                <w:b/>
                <w:i/>
              </w:rPr>
              <w:t>WHIRLPOOL</w:t>
            </w:r>
          </w:p>
          <w:p w:rsidR="005F78FC" w:rsidRDefault="00B42EF3">
            <w:pPr>
              <w:pStyle w:val="TableBodyText"/>
            </w:pPr>
            <w:r>
              <w:rPr>
                <w:i/>
              </w:rPr>
              <w:t>Specifies that the WHIRLPOOL algorithm, as defined by ISO/IEC 10118-3:2004, shall be used.</w:t>
            </w:r>
          </w:p>
          <w:p w:rsidR="005F78FC" w:rsidRDefault="005F78FC">
            <w:pPr>
              <w:pStyle w:val="TableBodyText"/>
            </w:pPr>
          </w:p>
          <w:p w:rsidR="005F78FC" w:rsidRDefault="005F78FC">
            <w:pPr>
              <w:pStyle w:val="TableBodyText"/>
            </w:pPr>
          </w:p>
        </w:tc>
      </w:tr>
      <w:tr w:rsidR="005F78FC" w:rsidTr="005F78FC">
        <w:tc>
          <w:tcPr>
            <w:tcW w:w="0" w:type="auto"/>
            <w:vAlign w:val="center"/>
          </w:tcPr>
          <w:p w:rsidR="005F78FC" w:rsidRDefault="00B42EF3">
            <w:pPr>
              <w:pStyle w:val="TableBodyText"/>
            </w:pPr>
            <w:r>
              <w:rPr>
                <w:b/>
              </w:rPr>
              <w:lastRenderedPageBreak/>
              <w:t>hash Value</w:t>
            </w:r>
          </w:p>
        </w:tc>
        <w:tc>
          <w:tcPr>
            <w:tcW w:w="0" w:type="auto"/>
            <w:vAlign w:val="center"/>
          </w:tcPr>
          <w:p w:rsidR="005F78FC" w:rsidRDefault="00B42EF3">
            <w:pPr>
              <w:pStyle w:val="TableBodyText"/>
            </w:pPr>
            <w:r>
              <w:t>Spec</w:t>
            </w:r>
            <w:r>
              <w:t xml:space="preserve">ifies the hash value for the password required to edit this worksheet. This value shall be compared with the resulting hash value after hashing the user-supplied password using the algorithm specified by the preceding attributes and parent XML element. If </w:t>
            </w:r>
            <w:r>
              <w:t xml:space="preserve">the two values match, the protection shall no longer be enforced. </w:t>
            </w:r>
          </w:p>
          <w:p w:rsidR="005F78FC" w:rsidRDefault="005F78FC">
            <w:pPr>
              <w:pStyle w:val="TableBodyText"/>
            </w:pPr>
          </w:p>
          <w:p w:rsidR="005F78FC" w:rsidRDefault="00B42EF3">
            <w:pPr>
              <w:pStyle w:val="TableBodyText"/>
            </w:pPr>
            <w:r>
              <w:t xml:space="preserve">If this value is omitted, then the reservationPassword attribute shall contain the password hash for the workbook. </w:t>
            </w:r>
          </w:p>
          <w:p w:rsidR="005F78FC" w:rsidRDefault="005F78FC">
            <w:pPr>
              <w:pStyle w:val="TableBodyText"/>
            </w:pPr>
          </w:p>
          <w:p w:rsidR="005F78FC" w:rsidRDefault="00B42EF3">
            <w:pPr>
              <w:pStyle w:val="TableBodyText"/>
            </w:pPr>
            <w:r>
              <w:t>[</w:t>
            </w:r>
            <w:r>
              <w:rPr>
                <w:i/>
              </w:rPr>
              <w:t>Example</w:t>
            </w:r>
            <w:r>
              <w:t xml:space="preserve">: </w:t>
            </w:r>
          </w:p>
          <w:p w:rsidR="005F78FC" w:rsidRDefault="005F78FC">
            <w:pPr>
              <w:pStyle w:val="TableBodyText"/>
            </w:pPr>
          </w:p>
          <w:p w:rsidR="005F78FC" w:rsidRDefault="00B42EF3">
            <w:pPr>
              <w:pStyle w:val="TableBodyText"/>
            </w:pPr>
            <w:r>
              <w:t>Consider an Office Open XML document with the following inf</w:t>
            </w:r>
            <w:r>
              <w:t>ormation stored in one of its protection elements:</w:t>
            </w:r>
          </w:p>
          <w:p w:rsidR="005F78FC" w:rsidRDefault="005F78FC">
            <w:pPr>
              <w:pStyle w:val="TableBodyText"/>
            </w:pPr>
          </w:p>
          <w:p w:rsidR="005F78FC" w:rsidRDefault="00B42EF3">
            <w:pPr>
              <w:pStyle w:val="TableBodyText"/>
            </w:pPr>
            <w:r>
              <w:t>&lt;… algorithmName="SHA-1" hashValue="9oN7nWkCAyEZib1RomSJTjmPpCY=" /&gt;</w:t>
            </w:r>
          </w:p>
          <w:p w:rsidR="005F78FC" w:rsidRDefault="005F78FC">
            <w:pPr>
              <w:pStyle w:val="TableBodyText"/>
            </w:pPr>
          </w:p>
          <w:p w:rsidR="005F78FC" w:rsidRDefault="00B42EF3">
            <w:pPr>
              <w:pStyle w:val="TableBodyText"/>
            </w:pPr>
            <w:r>
              <w:t>The hashValue attribute value of 9oN7nWkCAyEZib1RomSJTjmPpCY= specifies that the user-supplied password must be hashed using the pre-processing defined by the parent element (if any) followed by the hashing algorithm (specified via the algorithmName attrib</w:t>
            </w:r>
            <w:r>
              <w:t xml:space="preserve">ute value) and that the resulting hash value must be match for the protection to be disabled. </w:t>
            </w:r>
          </w:p>
          <w:p w:rsidR="005F78FC" w:rsidRDefault="00B42EF3">
            <w:pPr>
              <w:pStyle w:val="TableBodyText"/>
            </w:pPr>
            <w:r>
              <w:rPr>
                <w:i/>
              </w:rPr>
              <w:t>end example</w:t>
            </w:r>
            <w:r>
              <w:t>]</w:t>
            </w:r>
          </w:p>
          <w:p w:rsidR="005F78FC" w:rsidRDefault="005F78FC">
            <w:pPr>
              <w:pStyle w:val="TableBodyText"/>
            </w:pPr>
          </w:p>
          <w:p w:rsidR="005F78FC" w:rsidRDefault="00B42EF3">
            <w:pPr>
              <w:pStyle w:val="TableBodyText"/>
            </w:pPr>
            <w:r>
              <w:t>The possible values for this attribute are defined by the W3C XML Schema base64Binary datatype.</w:t>
            </w:r>
          </w:p>
        </w:tc>
      </w:tr>
      <w:tr w:rsidR="005F78FC" w:rsidTr="005F78FC">
        <w:tc>
          <w:tcPr>
            <w:tcW w:w="0" w:type="auto"/>
            <w:vAlign w:val="center"/>
          </w:tcPr>
          <w:p w:rsidR="005F78FC" w:rsidRDefault="00B42EF3">
            <w:pPr>
              <w:pStyle w:val="TableBodyText"/>
            </w:pPr>
            <w:r>
              <w:rPr>
                <w:b/>
              </w:rPr>
              <w:lastRenderedPageBreak/>
              <w:t>saltValue</w:t>
            </w:r>
          </w:p>
        </w:tc>
        <w:tc>
          <w:tcPr>
            <w:tcW w:w="0" w:type="auto"/>
            <w:vAlign w:val="center"/>
          </w:tcPr>
          <w:p w:rsidR="005F78FC" w:rsidRDefault="00B42EF3">
            <w:pPr>
              <w:pStyle w:val="TableBodyText"/>
            </w:pPr>
            <w:r>
              <w:t>Specifies the random bytes that are pre-</w:t>
            </w:r>
            <w:r>
              <w:t>pended to the user-supplied password before it was hashed by the hashing algorithm.</w:t>
            </w:r>
          </w:p>
        </w:tc>
      </w:tr>
      <w:tr w:rsidR="005F78FC" w:rsidTr="005F78FC">
        <w:tc>
          <w:tcPr>
            <w:tcW w:w="0" w:type="auto"/>
            <w:vAlign w:val="center"/>
          </w:tcPr>
          <w:p w:rsidR="005F78FC" w:rsidRDefault="00B42EF3">
            <w:pPr>
              <w:pStyle w:val="TableBodyText"/>
            </w:pPr>
            <w:r>
              <w:rPr>
                <w:b/>
              </w:rPr>
              <w:t>spinCount</w:t>
            </w:r>
          </w:p>
        </w:tc>
        <w:tc>
          <w:tcPr>
            <w:tcW w:w="0" w:type="auto"/>
            <w:vAlign w:val="center"/>
          </w:tcPr>
          <w:p w:rsidR="005F78FC" w:rsidRDefault="00B42EF3">
            <w:pPr>
              <w:pStyle w:val="TableBodyText"/>
            </w:pPr>
            <w:r>
              <w:t>Specifies the number of times the hashing function shall be iteratively run (using each iteration's result as the input for the next iteration).</w:t>
            </w:r>
          </w:p>
        </w:tc>
      </w:tr>
    </w:tbl>
    <w:p w:rsidR="005F78FC" w:rsidRDefault="005F78FC"/>
    <w:p w:rsidR="005F78FC" w:rsidRDefault="00B42EF3">
      <w:r>
        <w:t xml:space="preserve">[Example: </w:t>
      </w:r>
    </w:p>
    <w:p w:rsidR="005F78FC" w:rsidRDefault="00B42EF3">
      <w:r>
        <w:t>Con</w:t>
      </w:r>
      <w:r>
        <w:t>sider an Office Open XML document with the following information stored in one of its protection elements:</w:t>
      </w:r>
    </w:p>
    <w:p w:rsidR="005F78FC" w:rsidRDefault="00B42EF3">
      <w:r>
        <w:t>&lt; … algorithmName="SHA-1" hashValue="9oN7nWkCAyEZib1RomSJTjmPpCY=" /&gt;</w:t>
      </w:r>
    </w:p>
    <w:p w:rsidR="005F78FC" w:rsidRDefault="00B42EF3">
      <w:r>
        <w:t>The algorithmName attribute value of SHA-1 specifies that the SHA-1 hashing alg</w:t>
      </w:r>
      <w:r>
        <w:t>orithm must be used to generate a hash from the user-defined password.</w:t>
      </w:r>
    </w:p>
    <w:p w:rsidR="005F78FC" w:rsidRDefault="00B42EF3">
      <w:r>
        <w:t>end example]</w:t>
      </w:r>
    </w:p>
    <w:p w:rsidR="005F78FC" w:rsidRDefault="00B42EF3">
      <w:pPr>
        <w:pStyle w:val="Heading3"/>
      </w:pPr>
      <w:bookmarkStart w:id="1192" w:name="section_6cdbff1e167a4316bdfe387b87fc6e58"/>
      <w:bookmarkStart w:id="1193" w:name="_Toc69878369"/>
      <w:r>
        <w:t>Part 1 Section 18.2.30, workbookView (Workbook View)</w:t>
      </w:r>
      <w:bookmarkEnd w:id="1192"/>
      <w:bookmarkEnd w:id="1193"/>
      <w:r>
        <w:fldChar w:fldCharType="begin"/>
      </w:r>
      <w:r>
        <w:instrText xml:space="preserve"> XE "workbookView (Workbook View)" </w:instrText>
      </w:r>
      <w:r>
        <w:fldChar w:fldCharType="end"/>
      </w:r>
    </w:p>
    <w:p w:rsidR="005F78FC" w:rsidRDefault="00B42EF3">
      <w:pPr>
        <w:pStyle w:val="Definition-Field"/>
      </w:pPr>
      <w:r>
        <w:t xml:space="preserve">a.   </w:t>
      </w:r>
      <w:r>
        <w:rPr>
          <w:i/>
        </w:rPr>
        <w:t>The standard does not place any restrictions on the length of the value for @</w:t>
      </w:r>
      <w:r>
        <w:rPr>
          <w:i/>
        </w:rPr>
        <w:t>windowHeight and @windowWidth.</w:t>
      </w:r>
    </w:p>
    <w:p w:rsidR="005F78FC" w:rsidRDefault="00B42EF3">
      <w:pPr>
        <w:pStyle w:val="Definition-Field2"/>
      </w:pPr>
      <w:r>
        <w:t>Office requires that the value of @windowHeight and @windowWidth be less than or equal to 2147483647.</w:t>
      </w:r>
    </w:p>
    <w:p w:rsidR="005F78FC" w:rsidRDefault="00B42EF3">
      <w:pPr>
        <w:pStyle w:val="Definition-Field"/>
      </w:pPr>
      <w:r>
        <w:t xml:space="preserve">b.   </w:t>
      </w:r>
      <w:r>
        <w:rPr>
          <w:i/>
        </w:rPr>
        <w:t>The standard does not place any restrictions on the value for @tabRatio.</w:t>
      </w:r>
    </w:p>
    <w:p w:rsidR="005F78FC" w:rsidRDefault="00B42EF3">
      <w:pPr>
        <w:pStyle w:val="Definition-Field2"/>
      </w:pPr>
      <w:r>
        <w:t>Office requires that @tabRatio be less than o</w:t>
      </w:r>
      <w:r>
        <w:t>r equal to 1000.</w:t>
      </w:r>
    </w:p>
    <w:p w:rsidR="005F78FC" w:rsidRDefault="00B42EF3">
      <w:pPr>
        <w:pStyle w:val="Definition-Field"/>
      </w:pPr>
      <w:r>
        <w:t xml:space="preserve">c.   </w:t>
      </w:r>
      <w:r>
        <w:rPr>
          <w:i/>
        </w:rPr>
        <w:t>The standard does not place any restrictions on the value for @activeTab.</w:t>
      </w:r>
    </w:p>
    <w:p w:rsidR="005F78FC" w:rsidRDefault="00B42EF3">
      <w:pPr>
        <w:pStyle w:val="Definition-Field2"/>
      </w:pPr>
      <w:r>
        <w:t>Office requires that @activeTab be between 0 and 32766 inclusive.</w:t>
      </w:r>
    </w:p>
    <w:p w:rsidR="005F78FC" w:rsidRDefault="00B42EF3">
      <w:pPr>
        <w:pStyle w:val="Definition-Field"/>
      </w:pPr>
      <w:r>
        <w:t xml:space="preserve">d.   </w:t>
      </w:r>
      <w:r>
        <w:rPr>
          <w:i/>
        </w:rPr>
        <w:t>The standard does not restrict the value of the firstSheet attribute.</w:t>
      </w:r>
    </w:p>
    <w:p w:rsidR="005F78FC" w:rsidRDefault="00B42EF3">
      <w:pPr>
        <w:pStyle w:val="Definition-Field2"/>
      </w:pPr>
      <w:r>
        <w:t xml:space="preserve">Office limits the </w:t>
      </w:r>
      <w:r>
        <w:t>value of the firstSheet attribute to 0 through 32766 inclusive or to 4294967286.</w:t>
      </w:r>
    </w:p>
    <w:p w:rsidR="005F78FC" w:rsidRDefault="00B42EF3">
      <w:pPr>
        <w:pStyle w:val="Heading3"/>
      </w:pPr>
      <w:bookmarkStart w:id="1194" w:name="section_2a1eea2d377344f7ab3b51dd9a427f79"/>
      <w:bookmarkStart w:id="1195" w:name="_Toc69878370"/>
      <w:r>
        <w:t>Part 1 Section 18.3.1.1, anchor (Object Cell Anchor)</w:t>
      </w:r>
      <w:bookmarkEnd w:id="1194"/>
      <w:bookmarkEnd w:id="1195"/>
      <w:r>
        <w:fldChar w:fldCharType="begin"/>
      </w:r>
      <w:r>
        <w:instrText xml:space="preserve"> XE "anchor (Object Cell Anchor)" </w:instrText>
      </w:r>
      <w:r>
        <w:fldChar w:fldCharType="end"/>
      </w:r>
    </w:p>
    <w:p w:rsidR="005F78FC" w:rsidRDefault="00B42EF3">
      <w:pPr>
        <w:pStyle w:val="Definition-Field"/>
      </w:pPr>
      <w:r>
        <w:t xml:space="preserve">a.   </w:t>
      </w:r>
      <w:r>
        <w:rPr>
          <w:i/>
        </w:rPr>
        <w:t>The standard states that any combination of sizeWithCells and moveWithCells is al</w:t>
      </w:r>
      <w:r>
        <w:rPr>
          <w:i/>
        </w:rPr>
        <w:t>lowed.</w:t>
      </w:r>
    </w:p>
    <w:p w:rsidR="005F78FC" w:rsidRDefault="00B42EF3">
      <w:pPr>
        <w:pStyle w:val="Definition-Field2"/>
      </w:pPr>
      <w:r>
        <w:t>Office does not implement the combination sizeWithCells with a value of true and moveWithCells with a value of false.</w:t>
      </w:r>
    </w:p>
    <w:p w:rsidR="005F78FC" w:rsidRDefault="00B42EF3">
      <w:pPr>
        <w:pStyle w:val="Definition-Field"/>
      </w:pPr>
      <w:r>
        <w:t xml:space="preserve">b.   </w:t>
      </w:r>
      <w:r>
        <w:rPr>
          <w:i/>
        </w:rPr>
        <w:t>The standard specifies that the z-order attribute is a valid attribute of the anchor element.</w:t>
      </w:r>
    </w:p>
    <w:p w:rsidR="005F78FC" w:rsidRDefault="00B42EF3">
      <w:pPr>
        <w:pStyle w:val="Definition-Field2"/>
      </w:pPr>
      <w:r>
        <w:t>Excel ignores the z-order attrib</w:t>
      </w:r>
      <w:r>
        <w:t>ute.</w:t>
      </w:r>
    </w:p>
    <w:p w:rsidR="005F78FC" w:rsidRDefault="00B42EF3">
      <w:pPr>
        <w:pStyle w:val="Heading3"/>
      </w:pPr>
      <w:bookmarkStart w:id="1196" w:name="section_77730f137af942e096c70b349853617e"/>
      <w:bookmarkStart w:id="1197" w:name="_Toc69878371"/>
      <w:r>
        <w:t>Part 1 Section 18.3.1.3, brk (Break)</w:t>
      </w:r>
      <w:bookmarkEnd w:id="1196"/>
      <w:bookmarkEnd w:id="1197"/>
      <w:r>
        <w:fldChar w:fldCharType="begin"/>
      </w:r>
      <w:r>
        <w:instrText xml:space="preserve"> XE "brk (Break)" </w:instrText>
      </w:r>
      <w:r>
        <w:fldChar w:fldCharType="end"/>
      </w:r>
    </w:p>
    <w:p w:rsidR="005F78FC" w:rsidRDefault="00B42EF3">
      <w:pPr>
        <w:pStyle w:val="Definition-Field"/>
      </w:pPr>
      <w:r>
        <w:t xml:space="preserve">a.   </w:t>
      </w:r>
      <w:r>
        <w:rPr>
          <w:i/>
        </w:rPr>
        <w:t>The standard states that the values of the min attribute are defined by the XML Schema unsignedInt datatype.</w:t>
      </w:r>
    </w:p>
    <w:p w:rsidR="005F78FC" w:rsidRDefault="00B42EF3">
      <w:pPr>
        <w:pStyle w:val="Definition-Field2"/>
      </w:pPr>
      <w:r>
        <w:lastRenderedPageBreak/>
        <w:t>Excel restricts the value of this attribute to be at most 1048576; it should nev</w:t>
      </w:r>
      <w:r>
        <w:t>er exceed the number of rows or columns in the spreadsheetML instance.</w:t>
      </w:r>
    </w:p>
    <w:p w:rsidR="005F78FC" w:rsidRDefault="00B42EF3">
      <w:pPr>
        <w:pStyle w:val="Definition-Field"/>
      </w:pPr>
      <w:r>
        <w:t xml:space="preserve">b.   </w:t>
      </w:r>
      <w:r>
        <w:rPr>
          <w:i/>
        </w:rPr>
        <w:t>The standard states that Page Breaks can have a start and end point defined by using the min and max attributes.</w:t>
      </w:r>
    </w:p>
    <w:p w:rsidR="005F78FC" w:rsidRDefault="00B42EF3">
      <w:pPr>
        <w:pStyle w:val="Definition-Field2"/>
      </w:pPr>
      <w:r>
        <w:t>Office ignores the min and max attribute values and places a page b</w:t>
      </w:r>
      <w:r>
        <w:t>reak across the entire range.</w:t>
      </w:r>
    </w:p>
    <w:p w:rsidR="005F78FC" w:rsidRDefault="00B42EF3">
      <w:pPr>
        <w:pStyle w:val="Definition-Field"/>
      </w:pPr>
      <w:r>
        <w:t xml:space="preserve">c.   </w:t>
      </w:r>
      <w:r>
        <w:rPr>
          <w:i/>
        </w:rPr>
        <w:t>The standard states that the values of the id attribute are defined by the XML Schema unsignedInt datatype.</w:t>
      </w:r>
    </w:p>
    <w:p w:rsidR="005F78FC" w:rsidRDefault="00B42EF3">
      <w:pPr>
        <w:pStyle w:val="Definition-Field2"/>
      </w:pPr>
      <w:r>
        <w:t>Excel restricts the value of this attribute to be at least 1 and at most 1048576.</w:t>
      </w:r>
    </w:p>
    <w:p w:rsidR="005F78FC" w:rsidRDefault="00B42EF3">
      <w:pPr>
        <w:pStyle w:val="Definition-Field"/>
      </w:pPr>
      <w:r>
        <w:t xml:space="preserve">d.   </w:t>
      </w:r>
      <w:r>
        <w:rPr>
          <w:i/>
        </w:rPr>
        <w:t>The standard states that t</w:t>
      </w:r>
      <w:r>
        <w:rPr>
          <w:i/>
        </w:rPr>
        <w:t>he values of the max attribute are defined by the XML Schema unsignedInt datatype.</w:t>
      </w:r>
    </w:p>
    <w:p w:rsidR="005F78FC" w:rsidRDefault="00B42EF3">
      <w:pPr>
        <w:pStyle w:val="Definition-Field2"/>
      </w:pPr>
      <w:r>
        <w:t>Excel restricts the value of this attribute to be at least 1 and at most 1048576.</w:t>
      </w:r>
    </w:p>
    <w:p w:rsidR="005F78FC" w:rsidRDefault="00B42EF3">
      <w:pPr>
        <w:pStyle w:val="Definition-Field"/>
      </w:pPr>
      <w:r>
        <w:t xml:space="preserve">e.   </w:t>
      </w:r>
      <w:r>
        <w:rPr>
          <w:i/>
        </w:rPr>
        <w:t>The standard states that the default value of the id attribute is 0.</w:t>
      </w:r>
    </w:p>
    <w:p w:rsidR="005F78FC" w:rsidRDefault="00B42EF3">
      <w:pPr>
        <w:pStyle w:val="Definition-Field2"/>
      </w:pPr>
      <w:r>
        <w:t>Excel does not us</w:t>
      </w:r>
      <w:r>
        <w:t>e a default value for this attribute.</w:t>
      </w:r>
    </w:p>
    <w:p w:rsidR="005F78FC" w:rsidRDefault="00B42EF3">
      <w:pPr>
        <w:pStyle w:val="Definition-Field"/>
      </w:pPr>
      <w:r>
        <w:t xml:space="preserve">f.   </w:t>
      </w:r>
      <w:r>
        <w:rPr>
          <w:i/>
        </w:rPr>
        <w:t>The standard states that the default value of the max attribute is 0.</w:t>
      </w:r>
    </w:p>
    <w:p w:rsidR="005F78FC" w:rsidRDefault="00B42EF3">
      <w:pPr>
        <w:pStyle w:val="Definition-Field2"/>
      </w:pPr>
      <w:r>
        <w:t>Excel does not use a default value for this attribute.</w:t>
      </w:r>
    </w:p>
    <w:p w:rsidR="005F78FC" w:rsidRDefault="00B42EF3">
      <w:pPr>
        <w:pStyle w:val="Heading3"/>
      </w:pPr>
      <w:bookmarkStart w:id="1198" w:name="section_2fd4e47f09654c6095bdcff980b6c325"/>
      <w:bookmarkStart w:id="1199" w:name="_Toc69878372"/>
      <w:r>
        <w:t>Part 1 Section 18.3.1.4, c (Cell)</w:t>
      </w:r>
      <w:bookmarkEnd w:id="1198"/>
      <w:bookmarkEnd w:id="1199"/>
      <w:r>
        <w:fldChar w:fldCharType="begin"/>
      </w:r>
      <w:r>
        <w:instrText xml:space="preserve"> XE "c (Cell)" </w:instrText>
      </w:r>
      <w:r>
        <w:fldChar w:fldCharType="end"/>
      </w:r>
    </w:p>
    <w:p w:rsidR="005F78FC" w:rsidRDefault="00B42EF3">
      <w:pPr>
        <w:pStyle w:val="Definition-Field"/>
      </w:pPr>
      <w:r>
        <w:t xml:space="preserve">a.   </w:t>
      </w:r>
      <w:r>
        <w:rPr>
          <w:i/>
        </w:rPr>
        <w:t xml:space="preserve">The standard states that @cm is </w:t>
      </w:r>
      <w:r>
        <w:rPr>
          <w:i/>
        </w:rPr>
        <w:t>zero-based index and does not specify the collection.</w:t>
      </w:r>
    </w:p>
    <w:p w:rsidR="005F78FC" w:rsidRDefault="00B42EF3">
      <w:pPr>
        <w:pStyle w:val="Definition-Field2"/>
      </w:pPr>
      <w:r>
        <w:t>Office specifies that @cm is a one-based index into the cellMetadata collection in the metadata part.</w:t>
      </w:r>
    </w:p>
    <w:p w:rsidR="005F78FC" w:rsidRDefault="00B42EF3">
      <w:pPr>
        <w:pStyle w:val="Definition-Field"/>
      </w:pPr>
      <w:r>
        <w:t xml:space="preserve">b.   </w:t>
      </w:r>
      <w:r>
        <w:rPr>
          <w:i/>
        </w:rPr>
        <w:t>The standard states that @vm is a zero-based index and does not specify the collection.</w:t>
      </w:r>
    </w:p>
    <w:p w:rsidR="005F78FC" w:rsidRDefault="00B42EF3">
      <w:pPr>
        <w:pStyle w:val="Definition-Field2"/>
      </w:pPr>
      <w:r>
        <w:t xml:space="preserve">Office </w:t>
      </w:r>
      <w:r>
        <w:t>specifies that @vm is a one-based index into cellMetadata collection in the metadata part.</w:t>
      </w:r>
    </w:p>
    <w:p w:rsidR="005F78FC" w:rsidRDefault="00B42EF3">
      <w:pPr>
        <w:pStyle w:val="Definition-Field"/>
      </w:pPr>
      <w:r>
        <w:t xml:space="preserve">c.   </w:t>
      </w:r>
      <w:r>
        <w:rPr>
          <w:i/>
        </w:rPr>
        <w:t>The standard makes @r optional in the schema, but the prose does not explain the meaning of the default behavior.</w:t>
      </w:r>
    </w:p>
    <w:p w:rsidR="005F78FC" w:rsidRDefault="00B42EF3">
      <w:r>
        <w:t>If this attribute is not specified, the cell s</w:t>
      </w:r>
      <w:r>
        <w:t xml:space="preserve">hall be located in the column with the index that is 1 greater than that of the previous cell in the parent </w:t>
      </w:r>
      <w:r>
        <w:rPr>
          <w:b/>
        </w:rPr>
        <w:t xml:space="preserve">row </w:t>
      </w:r>
      <w:r>
        <w:t xml:space="preserve">collection. If this attribute is not specified and the cell is the first </w:t>
      </w:r>
      <w:r>
        <w:rPr>
          <w:b/>
        </w:rPr>
        <w:t>c</w:t>
      </w:r>
      <w:r>
        <w:t xml:space="preserve"> element in the parent </w:t>
      </w:r>
      <w:r>
        <w:rPr>
          <w:b/>
        </w:rPr>
        <w:t>row</w:t>
      </w:r>
      <w:r>
        <w:t xml:space="preserve"> collection, the cell shall be located in th</w:t>
      </w:r>
      <w:r>
        <w:t>e first column.</w:t>
      </w:r>
    </w:p>
    <w:p w:rsidR="005F78FC" w:rsidRDefault="00B42EF3">
      <w:pPr>
        <w:pStyle w:val="Definition-Field"/>
      </w:pPr>
      <w:r>
        <w:t xml:space="preserve">d.   </w:t>
      </w:r>
      <w:r>
        <w:rPr>
          <w:i/>
        </w:rPr>
        <w:t>The standard states that the values of the cm attributes are defined by the XML Schema unsignedInt datatype.</w:t>
      </w:r>
    </w:p>
    <w:p w:rsidR="005F78FC" w:rsidRDefault="00B42EF3">
      <w:pPr>
        <w:pStyle w:val="Definition-Field2"/>
      </w:pPr>
      <w:r>
        <w:t>Office requires that the cm attribute be less than 2147483648.</w:t>
      </w:r>
    </w:p>
    <w:p w:rsidR="005F78FC" w:rsidRDefault="00B42EF3">
      <w:pPr>
        <w:pStyle w:val="Definition-Field"/>
      </w:pPr>
      <w:r>
        <w:t xml:space="preserve">e.   </w:t>
      </w:r>
      <w:r>
        <w:rPr>
          <w:i/>
        </w:rPr>
        <w:t>The standard specifies that @vm is an unsignedInt.</w:t>
      </w:r>
    </w:p>
    <w:p w:rsidR="005F78FC" w:rsidRDefault="00B42EF3">
      <w:pPr>
        <w:pStyle w:val="Definition-Field2"/>
      </w:pPr>
      <w:r>
        <w:t xml:space="preserve">Office </w:t>
      </w:r>
      <w:r>
        <w:t>specifies that @vm is an unsignedInt and is less than 2147483648.</w:t>
      </w:r>
    </w:p>
    <w:p w:rsidR="005F78FC" w:rsidRDefault="00B42EF3">
      <w:pPr>
        <w:pStyle w:val="Definition-Field"/>
      </w:pPr>
      <w:r>
        <w:t xml:space="preserve">f.   </w:t>
      </w:r>
      <w:r>
        <w:rPr>
          <w:i/>
        </w:rPr>
        <w:t>The standard specifies that @s is unsignedInt.</w:t>
      </w:r>
    </w:p>
    <w:p w:rsidR="005F78FC" w:rsidRDefault="00B42EF3">
      <w:pPr>
        <w:pStyle w:val="Definition-Field2"/>
      </w:pPr>
      <w:r>
        <w:t>Office specifies @s is an unsignedInt between 0 and 65490.</w:t>
      </w:r>
    </w:p>
    <w:p w:rsidR="005F78FC" w:rsidRDefault="00B42EF3">
      <w:pPr>
        <w:pStyle w:val="Definition-Field"/>
      </w:pPr>
      <w:r>
        <w:t xml:space="preserve">g.   </w:t>
      </w:r>
      <w:r>
        <w:rPr>
          <w:i/>
        </w:rPr>
        <w:t>The standard does not specify which collection @s indexes.</w:t>
      </w:r>
    </w:p>
    <w:p w:rsidR="005F78FC" w:rsidRDefault="00B42EF3">
      <w:pPr>
        <w:pStyle w:val="Definition-Field2"/>
      </w:pPr>
      <w:r>
        <w:t xml:space="preserve">Office </w:t>
      </w:r>
      <w:r>
        <w:t>specifies that @s indexes into the cellXfs collection in the style part.</w:t>
      </w:r>
    </w:p>
    <w:p w:rsidR="005F78FC" w:rsidRDefault="00B42EF3">
      <w:pPr>
        <w:pStyle w:val="Definition-Field"/>
      </w:pPr>
      <w:r>
        <w:lastRenderedPageBreak/>
        <w:t xml:space="preserve">h.   </w:t>
      </w:r>
      <w:r>
        <w:rPr>
          <w:i/>
        </w:rPr>
        <w:t>The standard incorrectly describes the style index in the example as "6", which conflicts with the XML fragment.</w:t>
      </w:r>
    </w:p>
    <w:p w:rsidR="005F78FC" w:rsidRDefault="00B42EF3">
      <w:pPr>
        <w:pStyle w:val="Definition-Field2"/>
      </w:pPr>
      <w:r>
        <w:t>In Excel, the style index in the example should read "1" which ma</w:t>
      </w:r>
      <w:r>
        <w:t>tches the XML fragment.</w:t>
      </w:r>
    </w:p>
    <w:p w:rsidR="005F78FC" w:rsidRDefault="00B42EF3">
      <w:pPr>
        <w:pStyle w:val="Heading3"/>
      </w:pPr>
      <w:bookmarkStart w:id="1200" w:name="section_ec10569c1caf4285a98fce0872fe0fc2"/>
      <w:bookmarkStart w:id="1201" w:name="_Toc69878373"/>
      <w:r>
        <w:t>Part 1 Section 18.3.1.5, cellSmartTag (Cell Smart Tag)</w:t>
      </w:r>
      <w:bookmarkEnd w:id="1200"/>
      <w:bookmarkEnd w:id="1201"/>
      <w:r>
        <w:fldChar w:fldCharType="begin"/>
      </w:r>
      <w:r>
        <w:instrText xml:space="preserve"> XE "cellSmartTag (Cell Smart Tag)" </w:instrText>
      </w:r>
      <w:r>
        <w:fldChar w:fldCharType="end"/>
      </w:r>
    </w:p>
    <w:p w:rsidR="005F78FC" w:rsidRDefault="00B42EF3">
      <w:pPr>
        <w:pStyle w:val="Definition-Field"/>
      </w:pPr>
      <w:r>
        <w:t xml:space="preserve">a.   </w:t>
      </w:r>
      <w:r>
        <w:rPr>
          <w:i/>
        </w:rPr>
        <w:t>The standard states that the values for the type attribute are defined by the XML Schema unsignedInt datatype.</w:t>
      </w:r>
    </w:p>
    <w:p w:rsidR="005F78FC" w:rsidRDefault="00B42EF3">
      <w:pPr>
        <w:pStyle w:val="Definition-Field2"/>
      </w:pPr>
      <w:r>
        <w:t>Office requires that th</w:t>
      </w:r>
      <w:r>
        <w:t>e value be between 0 and 32768 inclusive.</w:t>
      </w:r>
    </w:p>
    <w:p w:rsidR="005F78FC" w:rsidRDefault="00B42EF3">
      <w:pPr>
        <w:pStyle w:val="Definition-Field"/>
      </w:pPr>
      <w:r>
        <w:t xml:space="preserve">b.   </w:t>
      </w:r>
      <w:r>
        <w:rPr>
          <w:i/>
        </w:rPr>
        <w:t>The standard indicates that there can be more than one cellSmartTag for a cell.</w:t>
      </w:r>
    </w:p>
    <w:p w:rsidR="005F78FC" w:rsidRDefault="00B42EF3">
      <w:pPr>
        <w:pStyle w:val="Definition-Field2"/>
      </w:pPr>
      <w:r>
        <w:t>Office assumes that each cellSmartTag must have its corresponding type present in the smartTagType element in the smartTagTypes c</w:t>
      </w:r>
      <w:r>
        <w:t>ollection of the workbook.</w:t>
      </w:r>
    </w:p>
    <w:p w:rsidR="005F78FC" w:rsidRDefault="00B42EF3">
      <w:pPr>
        <w:pStyle w:val="Heading3"/>
      </w:pPr>
      <w:bookmarkStart w:id="1202" w:name="section_f23f28336cf64bef83540b7f3e486b9b"/>
      <w:bookmarkStart w:id="1203" w:name="_Toc69878374"/>
      <w:r>
        <w:t>Part 1 Section 18.3.1.6, cellSmartTagPr (Smart Tag Properties)</w:t>
      </w:r>
      <w:bookmarkEnd w:id="1202"/>
      <w:bookmarkEnd w:id="1203"/>
      <w:r>
        <w:fldChar w:fldCharType="begin"/>
      </w:r>
      <w:r>
        <w:instrText xml:space="preserve"> XE "cellSmartTagPr (Smart Tag Properties)" </w:instrText>
      </w:r>
      <w:r>
        <w:fldChar w:fldCharType="end"/>
      </w:r>
    </w:p>
    <w:p w:rsidR="005F78FC" w:rsidRDefault="00B42EF3">
      <w:pPr>
        <w:pStyle w:val="Definition-Field"/>
      </w:pPr>
      <w:r>
        <w:t xml:space="preserve">a.   </w:t>
      </w:r>
      <w:r>
        <w:rPr>
          <w:i/>
        </w:rPr>
        <w:t>The standard does not place any restrictions on the length of the value for the key attribute.</w:t>
      </w:r>
    </w:p>
    <w:p w:rsidR="005F78FC" w:rsidRDefault="00B42EF3">
      <w:pPr>
        <w:pStyle w:val="Definition-Field2"/>
      </w:pPr>
      <w:r>
        <w:t>Office requires that</w:t>
      </w:r>
      <w:r>
        <w:t xml:space="preserve"> the key attribute be less than or equal to 255 characters in length.</w:t>
      </w:r>
    </w:p>
    <w:p w:rsidR="005F78FC" w:rsidRDefault="00B42EF3">
      <w:pPr>
        <w:pStyle w:val="Definition-Field"/>
      </w:pPr>
      <w:r>
        <w:t xml:space="preserve">b.   </w:t>
      </w:r>
      <w:r>
        <w:rPr>
          <w:i/>
        </w:rPr>
        <w:t>The standard does not place any restrictions on the length of the value for the val attribute.</w:t>
      </w:r>
    </w:p>
    <w:p w:rsidR="005F78FC" w:rsidRDefault="00B42EF3">
      <w:pPr>
        <w:pStyle w:val="Definition-Field2"/>
      </w:pPr>
      <w:r>
        <w:t>Office requires that the val attribute be less than or equal to 255 characters in leng</w:t>
      </w:r>
      <w:r>
        <w:t>th.</w:t>
      </w:r>
    </w:p>
    <w:p w:rsidR="005F78FC" w:rsidRDefault="00B42EF3">
      <w:pPr>
        <w:pStyle w:val="Heading3"/>
      </w:pPr>
      <w:bookmarkStart w:id="1204" w:name="section_600a8463ba1f481cb30668cf2e39c541"/>
      <w:bookmarkStart w:id="1205" w:name="_Toc69878375"/>
      <w:r>
        <w:t>Part 1 Section 18.3.1.7, cellSmartTags (Cell Smart Tags)</w:t>
      </w:r>
      <w:bookmarkEnd w:id="1204"/>
      <w:bookmarkEnd w:id="1205"/>
      <w:r>
        <w:fldChar w:fldCharType="begin"/>
      </w:r>
      <w:r>
        <w:instrText xml:space="preserve"> XE "cellSmartTags (Cell Smart Tags)" </w:instrText>
      </w:r>
      <w:r>
        <w:fldChar w:fldCharType="end"/>
      </w:r>
    </w:p>
    <w:p w:rsidR="005F78FC" w:rsidRDefault="00B42EF3">
      <w:pPr>
        <w:pStyle w:val="Definition-Field"/>
      </w:pPr>
      <w:r>
        <w:t xml:space="preserve">a.   </w:t>
      </w:r>
      <w:r>
        <w:rPr>
          <w:i/>
        </w:rPr>
        <w:t>The standard does not limit the number of cellSmartTag elements that can exist within the parent element.</w:t>
      </w:r>
    </w:p>
    <w:p w:rsidR="005F78FC" w:rsidRDefault="00B42EF3">
      <w:pPr>
        <w:pStyle w:val="Definition-Field2"/>
      </w:pPr>
      <w:r>
        <w:t>Office allows only a single cellSmartTag ele</w:t>
      </w:r>
      <w:r>
        <w:t>ment to exist within the parent.</w:t>
      </w:r>
    </w:p>
    <w:p w:rsidR="005F78FC" w:rsidRDefault="00B42EF3">
      <w:pPr>
        <w:pStyle w:val="Heading3"/>
      </w:pPr>
      <w:bookmarkStart w:id="1206" w:name="section_92990fe314d9435495cf5c413adeecf1"/>
      <w:bookmarkStart w:id="1207" w:name="_Toc69878376"/>
      <w:r>
        <w:t>Part 1 Section 18.3.1.8, cellWatch (Cell Watch Item)</w:t>
      </w:r>
      <w:bookmarkEnd w:id="1206"/>
      <w:bookmarkEnd w:id="1207"/>
      <w:r>
        <w:fldChar w:fldCharType="begin"/>
      </w:r>
      <w:r>
        <w:instrText xml:space="preserve"> XE "cellWatch (Cell Watch Item)" </w:instrText>
      </w:r>
      <w:r>
        <w:fldChar w:fldCharType="end"/>
      </w:r>
    </w:p>
    <w:p w:rsidR="005F78FC" w:rsidRDefault="00B42EF3">
      <w:pPr>
        <w:pStyle w:val="Definition-Field"/>
      </w:pPr>
      <w:r>
        <w:t xml:space="preserve">a.   </w:t>
      </w:r>
      <w:r>
        <w:rPr>
          <w:i/>
        </w:rPr>
        <w:t>The standard includes the @r defined without any restrictions within the parent element collection.</w:t>
      </w:r>
    </w:p>
    <w:p w:rsidR="005F78FC" w:rsidRDefault="00B42EF3">
      <w:pPr>
        <w:pStyle w:val="Definition-Field2"/>
      </w:pPr>
      <w:r>
        <w:t>Office requires that @r shall</w:t>
      </w:r>
      <w:r>
        <w:t xml:space="preserve"> be unique within parent element collection.</w:t>
      </w:r>
    </w:p>
    <w:p w:rsidR="005F78FC" w:rsidRDefault="00B42EF3">
      <w:pPr>
        <w:pStyle w:val="Heading3"/>
      </w:pPr>
      <w:bookmarkStart w:id="1208" w:name="section_afe8b75e7f524999a2b8ad3255257de5"/>
      <w:bookmarkStart w:id="1209" w:name="_Toc69878377"/>
      <w:r>
        <w:t>Part 1 Section 18.3.1.10, cfRule (Conditional Formatting Rule)</w:t>
      </w:r>
      <w:bookmarkEnd w:id="1208"/>
      <w:bookmarkEnd w:id="1209"/>
      <w:r>
        <w:fldChar w:fldCharType="begin"/>
      </w:r>
      <w:r>
        <w:instrText xml:space="preserve"> XE "cfRule (Conditional Formatting Rule)" </w:instrText>
      </w:r>
      <w:r>
        <w:fldChar w:fldCharType="end"/>
      </w:r>
    </w:p>
    <w:p w:rsidR="005F78FC" w:rsidRDefault="00B42EF3">
      <w:pPr>
        <w:pStyle w:val="Definition-Field"/>
      </w:pPr>
      <w:r>
        <w:t xml:space="preserve">a.   </w:t>
      </w:r>
      <w:r>
        <w:rPr>
          <w:i/>
        </w:rPr>
        <w:t>The standard implies that the type attribute is optional.</w:t>
      </w:r>
    </w:p>
    <w:p w:rsidR="005F78FC" w:rsidRDefault="00B42EF3">
      <w:pPr>
        <w:pStyle w:val="Definition-Field2"/>
      </w:pPr>
      <w:r>
        <w:t>Excel requires this attribute.</w:t>
      </w:r>
    </w:p>
    <w:p w:rsidR="005F78FC" w:rsidRDefault="00B42EF3">
      <w:pPr>
        <w:pStyle w:val="Definition-Field"/>
      </w:pPr>
      <w:r>
        <w:t xml:space="preserve">b.   </w:t>
      </w:r>
      <w:r>
        <w:rPr>
          <w:i/>
        </w:rPr>
        <w:t xml:space="preserve">The </w:t>
      </w:r>
      <w:r>
        <w:rPr>
          <w:i/>
        </w:rPr>
        <w:t>standard specifies the operator attribute as optional.</w:t>
      </w:r>
    </w:p>
    <w:p w:rsidR="005F78FC" w:rsidRDefault="00B42EF3">
      <w:pPr>
        <w:pStyle w:val="Definition-Field2"/>
      </w:pPr>
      <w:r>
        <w:t>Office requires the operator attribute to be specified if and only if type attribute value equals cells.</w:t>
      </w:r>
    </w:p>
    <w:p w:rsidR="005F78FC" w:rsidRDefault="00B42EF3">
      <w:pPr>
        <w:pStyle w:val="Definition-Field"/>
      </w:pPr>
      <w:r>
        <w:t xml:space="preserve">c.   </w:t>
      </w:r>
      <w:r>
        <w:rPr>
          <w:i/>
        </w:rPr>
        <w:t>The standard specifies timePeriod attribute as optional.</w:t>
      </w:r>
    </w:p>
    <w:p w:rsidR="005F78FC" w:rsidRDefault="00B42EF3">
      <w:pPr>
        <w:pStyle w:val="Definition-Field2"/>
      </w:pPr>
      <w:r>
        <w:t>Office requires timePeriod attribu</w:t>
      </w:r>
      <w:r>
        <w:t>te to be specified if and only if type attribute value equals timePeriod.</w:t>
      </w:r>
    </w:p>
    <w:p w:rsidR="005F78FC" w:rsidRDefault="00B42EF3">
      <w:pPr>
        <w:pStyle w:val="Definition-Field"/>
      </w:pPr>
      <w:r>
        <w:t xml:space="preserve">d.   </w:t>
      </w:r>
      <w:r>
        <w:rPr>
          <w:i/>
        </w:rPr>
        <w:t>The standard does not specify a default value for the rank attribute.</w:t>
      </w:r>
    </w:p>
    <w:p w:rsidR="005F78FC" w:rsidRDefault="00B42EF3">
      <w:pPr>
        <w:pStyle w:val="Definition-Field2"/>
      </w:pPr>
      <w:r>
        <w:t>Excel uses a default value of 0 for this attribute.</w:t>
      </w:r>
    </w:p>
    <w:p w:rsidR="005F78FC" w:rsidRDefault="00B42EF3">
      <w:pPr>
        <w:pStyle w:val="Definition-Field"/>
      </w:pPr>
      <w:r>
        <w:lastRenderedPageBreak/>
        <w:t xml:space="preserve">e.   </w:t>
      </w:r>
      <w:r>
        <w:rPr>
          <w:i/>
        </w:rPr>
        <w:t>The standard states that the formula ("</w:t>
      </w:r>
      <w:hyperlink r:id="rId120">
        <w:r>
          <w:rPr>
            <w:rStyle w:val="Hyperlink"/>
          </w:rPr>
          <w:t>[ISO/IEC-29500-1]</w:t>
        </w:r>
      </w:hyperlink>
      <w:r>
        <w:rPr>
          <w:i/>
        </w:rPr>
        <w:t xml:space="preserve"> §18.3.1.43; formula") child element is optional.</w:t>
      </w:r>
    </w:p>
    <w:p w:rsidR="005F78FC" w:rsidRDefault="00B42EF3">
      <w:pPr>
        <w:pStyle w:val="Definition-Field2"/>
      </w:pPr>
      <w:r>
        <w:t>Excel requires the formula child element unless the type attribute is “colorScale”, “dataBar”, or “iconSet”.</w:t>
      </w:r>
    </w:p>
    <w:p w:rsidR="005F78FC" w:rsidRDefault="00B42EF3">
      <w:pPr>
        <w:pStyle w:val="Heading3"/>
      </w:pPr>
      <w:bookmarkStart w:id="1210" w:name="section_cce7de7460434b7d87e59b763f19fb81"/>
      <w:bookmarkStart w:id="1211" w:name="_Toc69878378"/>
      <w:r>
        <w:t>Part 1 Section 18.3.1.11,</w:t>
      </w:r>
      <w:r>
        <w:t xml:space="preserve"> cfvo (Conditional Format Value Object)</w:t>
      </w:r>
      <w:bookmarkEnd w:id="1210"/>
      <w:bookmarkEnd w:id="1211"/>
      <w:r>
        <w:fldChar w:fldCharType="begin"/>
      </w:r>
      <w:r>
        <w:instrText xml:space="preserve"> XE "cfvo (Conditional Format Value Object)" </w:instrText>
      </w:r>
      <w:r>
        <w:fldChar w:fldCharType="end"/>
      </w:r>
    </w:p>
    <w:p w:rsidR="005F78FC" w:rsidRDefault="00B42EF3">
      <w:pPr>
        <w:pStyle w:val="Definition-Field"/>
      </w:pPr>
      <w:r>
        <w:t xml:space="preserve">a.   </w:t>
      </w:r>
      <w:r>
        <w:rPr>
          <w:i/>
        </w:rPr>
        <w:t>The standard describes @val as type ST_Xstring.</w:t>
      </w:r>
    </w:p>
    <w:p w:rsidR="005F78FC" w:rsidRDefault="00B42EF3">
      <w:pPr>
        <w:pStyle w:val="Definition-Field2"/>
      </w:pPr>
      <w:r>
        <w:t>Office assumes that @val is restricted by valid Conditional Format Formulas as defined in Formulas ("</w:t>
      </w:r>
      <w:hyperlink r:id="rId121">
        <w:r>
          <w:rPr>
            <w:rStyle w:val="Hyperlink"/>
          </w:rPr>
          <w:t>[ISO/IEC-29500-1]</w:t>
        </w:r>
      </w:hyperlink>
      <w:r>
        <w:t xml:space="preserve"> §18.17").</w:t>
      </w:r>
    </w:p>
    <w:p w:rsidR="005F78FC" w:rsidRDefault="00B42EF3">
      <w:pPr>
        <w:pStyle w:val="Definition-Field"/>
      </w:pPr>
      <w:r>
        <w:t xml:space="preserve">b.   </w:t>
      </w:r>
      <w:r>
        <w:rPr>
          <w:i/>
        </w:rPr>
        <w:t>The standard does not state any restrictions on the value of the type attribute.</w:t>
      </w:r>
    </w:p>
    <w:p w:rsidR="005F78FC" w:rsidRDefault="00B42EF3">
      <w:pPr>
        <w:pStyle w:val="Definition-Field2"/>
      </w:pPr>
      <w:r>
        <w:t xml:space="preserve">In Office, if the parent element is iconSet, the type attribute cannot have values of min </w:t>
      </w:r>
      <w:r>
        <w:t>or max.</w:t>
      </w:r>
    </w:p>
    <w:p w:rsidR="005F78FC" w:rsidRDefault="00B42EF3">
      <w:pPr>
        <w:pStyle w:val="Heading3"/>
      </w:pPr>
      <w:bookmarkStart w:id="1212" w:name="section_8689ba908b1f43409eb3e48fc9c391e2"/>
      <w:bookmarkStart w:id="1213" w:name="_Toc69878379"/>
      <w:r>
        <w:t>Part 1 Section 18.3.1.12, chartsheet (Chart Sheet)</w:t>
      </w:r>
      <w:bookmarkEnd w:id="1212"/>
      <w:bookmarkEnd w:id="1213"/>
      <w:r>
        <w:fldChar w:fldCharType="begin"/>
      </w:r>
      <w:r>
        <w:instrText xml:space="preserve"> XE "chartsheet (Chart Sheet)" </w:instrText>
      </w:r>
      <w:r>
        <w:fldChar w:fldCharType="end"/>
      </w:r>
    </w:p>
    <w:p w:rsidR="005F78FC" w:rsidRDefault="00B42EF3">
      <w:pPr>
        <w:pStyle w:val="Definition-Field"/>
      </w:pPr>
      <w:r>
        <w:t xml:space="preserve">a.   </w:t>
      </w:r>
      <w:r>
        <w:rPr>
          <w:i/>
        </w:rPr>
        <w:t>The standard specifies that the drawingHF element is a valid child element of the chartsheet element.</w:t>
      </w:r>
    </w:p>
    <w:p w:rsidR="005F78FC" w:rsidRDefault="00B42EF3">
      <w:pPr>
        <w:pStyle w:val="Definition-Field2"/>
      </w:pPr>
      <w:r>
        <w:t>Excel ignores the drawingHF element.</w:t>
      </w:r>
    </w:p>
    <w:p w:rsidR="005F78FC" w:rsidRDefault="00B42EF3">
      <w:pPr>
        <w:pStyle w:val="Heading3"/>
      </w:pPr>
      <w:bookmarkStart w:id="1214" w:name="section_727f47366cba40e3b4d3ce319885780e"/>
      <w:bookmarkStart w:id="1215" w:name="_Toc69878380"/>
      <w:r>
        <w:t>Part 1 Section 18.3.</w:t>
      </w:r>
      <w:r>
        <w:t>1.13, col (Column Width &amp; Formatting)</w:t>
      </w:r>
      <w:bookmarkEnd w:id="1214"/>
      <w:bookmarkEnd w:id="1215"/>
      <w:r>
        <w:fldChar w:fldCharType="begin"/>
      </w:r>
      <w:r>
        <w:instrText xml:space="preserve"> XE "col (Column Width &amp; Formatting)" </w:instrText>
      </w:r>
      <w:r>
        <w:fldChar w:fldCharType="end"/>
      </w:r>
    </w:p>
    <w:p w:rsidR="005F78FC" w:rsidRDefault="00B42EF3">
      <w:pPr>
        <w:pStyle w:val="Definition-Field"/>
      </w:pPr>
      <w:r>
        <w:t xml:space="preserve">a.   </w:t>
      </w:r>
      <w:r>
        <w:rPr>
          <w:i/>
        </w:rPr>
        <w:t>The standard describes the min attribute of without any restrictions on its minimum or maximum values.</w:t>
      </w:r>
    </w:p>
    <w:p w:rsidR="005F78FC" w:rsidRDefault="00B42EF3">
      <w:pPr>
        <w:pStyle w:val="Definition-Field2"/>
      </w:pPr>
      <w:r>
        <w:t>Office requires the min attribute to be between 1 and 16384 inclusive.</w:t>
      </w:r>
    </w:p>
    <w:p w:rsidR="005F78FC" w:rsidRDefault="00B42EF3">
      <w:pPr>
        <w:pStyle w:val="Definition-Field"/>
      </w:pPr>
      <w:r>
        <w:t xml:space="preserve">b.   </w:t>
      </w:r>
      <w:r>
        <w:rPr>
          <w:i/>
        </w:rPr>
        <w:t>The standard defines the values of the max attribute without any restrictions on its length other than what is called for in xs:unsignedInt.</w:t>
      </w:r>
    </w:p>
    <w:p w:rsidR="005F78FC" w:rsidRDefault="00B42EF3">
      <w:pPr>
        <w:pStyle w:val="Definition-Field2"/>
      </w:pPr>
      <w:r>
        <w:t>Office requires the max attribute to be between values 1 and 16384 inclusive.</w:t>
      </w:r>
    </w:p>
    <w:p w:rsidR="005F78FC" w:rsidRDefault="00B42EF3">
      <w:pPr>
        <w:pStyle w:val="Definition-Field"/>
      </w:pPr>
      <w:r>
        <w:t xml:space="preserve">c.   </w:t>
      </w:r>
      <w:r>
        <w:rPr>
          <w:i/>
        </w:rPr>
        <w:t>The standard defines the w</w:t>
      </w:r>
      <w:r>
        <w:rPr>
          <w:i/>
        </w:rPr>
        <w:t>idth attribute without any restrictions on the length.</w:t>
      </w:r>
    </w:p>
    <w:p w:rsidR="005F78FC" w:rsidRDefault="00B42EF3">
      <w:pPr>
        <w:pStyle w:val="Definition-Field2"/>
      </w:pPr>
      <w:r>
        <w:t>Office requires the width attribute be between 0 and 255 inclusive.</w:t>
      </w:r>
    </w:p>
    <w:p w:rsidR="005F78FC" w:rsidRDefault="00B42EF3">
      <w:pPr>
        <w:pStyle w:val="Definition-Field"/>
      </w:pPr>
      <w:r>
        <w:t xml:space="preserve">d.   </w:t>
      </w:r>
      <w:r>
        <w:rPr>
          <w:i/>
        </w:rPr>
        <w:t>The standard states that the values of the style attribute are defined by the XML Schema unsignedInt datatype.</w:t>
      </w:r>
    </w:p>
    <w:p w:rsidR="005F78FC" w:rsidRDefault="00B42EF3">
      <w:pPr>
        <w:pStyle w:val="Definition-Field2"/>
      </w:pPr>
      <w:r>
        <w:t>Office requires t</w:t>
      </w:r>
      <w:r>
        <w:t>hat the style attribute be between 0 and 65429 inclusive.</w:t>
      </w:r>
    </w:p>
    <w:p w:rsidR="005F78FC" w:rsidRDefault="00B42EF3">
      <w:pPr>
        <w:pStyle w:val="Definition-Field"/>
      </w:pPr>
      <w:r>
        <w:t xml:space="preserve">e.   </w:t>
      </w:r>
      <w:r>
        <w:rPr>
          <w:i/>
        </w:rPr>
        <w:t>The standard defines the outlineLevel attribute without specifying its maximum value.</w:t>
      </w:r>
    </w:p>
    <w:p w:rsidR="005F78FC" w:rsidRDefault="00B42EF3">
      <w:pPr>
        <w:pStyle w:val="Definition-Field2"/>
      </w:pPr>
      <w:r>
        <w:t>Office specifies the outlineLevel attributes maximum value is 7.</w:t>
      </w:r>
    </w:p>
    <w:p w:rsidR="005F78FC" w:rsidRDefault="00B42EF3">
      <w:pPr>
        <w:pStyle w:val="Definition-Field"/>
      </w:pPr>
      <w:r>
        <w:t xml:space="preserve">f.   </w:t>
      </w:r>
      <w:r>
        <w:rPr>
          <w:i/>
        </w:rPr>
        <w:t>The standard defines the width attrib</w:t>
      </w:r>
      <w:r>
        <w:rPr>
          <w:i/>
        </w:rPr>
        <w:t>ute as the number of characters times the maximum digit width of the numbers 0, 1, …, 9 as rendered in the normal style's font, plus 2 pixels of margin padding on each side, plus 1 pixel padding for the gridlines.</w:t>
      </w:r>
    </w:p>
    <w:p w:rsidR="005F78FC" w:rsidRDefault="00B42EF3">
      <w:pPr>
        <w:pStyle w:val="Definition-Field2"/>
      </w:pPr>
      <w:r>
        <w:t>Office specifies the formula as width = Tr</w:t>
      </w:r>
      <w:r>
        <w:t>uncate( ( ( ( ( ( NoC * MDW + PP ) ) + ( ( NoC * MDW + PP ) MOD 8 ) ) - PP ) / MDW ) * 256 ) / 256.</w:t>
      </w:r>
    </w:p>
    <w:p w:rsidR="005F78FC" w:rsidRDefault="00B42EF3">
      <w:pPr>
        <w:pStyle w:val="Heading3"/>
      </w:pPr>
      <w:bookmarkStart w:id="1216" w:name="section_3d92605334c84ee091157bc5858ef579"/>
      <w:bookmarkStart w:id="1217" w:name="_Toc69878381"/>
      <w:r>
        <w:lastRenderedPageBreak/>
        <w:t>Part 1 Section 18.3.1.14, colBreaks (Vertical Page Breaks)</w:t>
      </w:r>
      <w:bookmarkEnd w:id="1216"/>
      <w:bookmarkEnd w:id="1217"/>
      <w:r>
        <w:fldChar w:fldCharType="begin"/>
      </w:r>
      <w:r>
        <w:instrText xml:space="preserve"> XE "colBreaks (Vertical Page Breaks)"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09d193ae5f884f098bc2a744a755c881">
        <w:r>
          <w:rPr>
            <w:rStyle w:val="Hyperlink"/>
          </w:rPr>
          <w:t>rowBreaks, §18.3.1.74(a, b)</w:t>
        </w:r>
      </w:hyperlink>
      <w:r>
        <w:rPr>
          <w:i/>
        </w:rPr>
        <w:t>.</w:t>
      </w:r>
    </w:p>
    <w:p w:rsidR="005F78FC" w:rsidRDefault="00B42EF3">
      <w:pPr>
        <w:pStyle w:val="Definition-Field"/>
      </w:pPr>
      <w:r>
        <w:t xml:space="preserve">a.   </w:t>
      </w:r>
      <w:r>
        <w:rPr>
          <w:i/>
        </w:rPr>
        <w:t>The standard states that the values of the count attribute are define</w:t>
      </w:r>
      <w:r>
        <w:rPr>
          <w:i/>
        </w:rPr>
        <w:t>d by the XML Schema unsignedInt datatype.</w:t>
      </w:r>
    </w:p>
    <w:p w:rsidR="005F78FC" w:rsidRDefault="00B42EF3">
      <w:pPr>
        <w:pStyle w:val="Definition-Field2"/>
      </w:pPr>
      <w:r>
        <w:t>Office requires that the count attribute be an unsignedInt less than or equal to 1023.</w:t>
      </w:r>
    </w:p>
    <w:p w:rsidR="005F78FC" w:rsidRDefault="00B42EF3">
      <w:pPr>
        <w:pStyle w:val="Definition-Field"/>
      </w:pPr>
      <w:r>
        <w:t xml:space="preserve">b.   </w:t>
      </w:r>
      <w:r>
        <w:rPr>
          <w:i/>
        </w:rPr>
        <w:t>The standard states that the values of the manualBreakCount attribute are defined by the XML Schema unsignedInt datatype.</w:t>
      </w:r>
    </w:p>
    <w:p w:rsidR="005F78FC" w:rsidRDefault="00B42EF3">
      <w:pPr>
        <w:pStyle w:val="Definition-Field2"/>
      </w:pPr>
      <w:r>
        <w:t>Office requires that the manualBreakCount attribute is an unsignedInt less than or equal to 1023.</w:t>
      </w:r>
    </w:p>
    <w:p w:rsidR="005F78FC" w:rsidRDefault="00B42EF3">
      <w:pPr>
        <w:pStyle w:val="Heading3"/>
      </w:pPr>
      <w:bookmarkStart w:id="1218" w:name="section_903e02250adb44a3864f59cacf639a76"/>
      <w:bookmarkStart w:id="1219" w:name="_Toc69878382"/>
      <w:r>
        <w:t>Part 1 Section 18.3.1.15, color (Data Bar Color)</w:t>
      </w:r>
      <w:bookmarkEnd w:id="1218"/>
      <w:bookmarkEnd w:id="1219"/>
      <w:r>
        <w:fldChar w:fldCharType="begin"/>
      </w:r>
      <w:r>
        <w:instrText xml:space="preserve"> XE "color (Data Bar Color)" </w:instrText>
      </w:r>
      <w:r>
        <w:fldChar w:fldCharType="end"/>
      </w:r>
    </w:p>
    <w:p w:rsidR="005F78FC" w:rsidRDefault="00B42EF3">
      <w:pPr>
        <w:pStyle w:val="Definition-Field2"/>
      </w:pPr>
      <w:r>
        <w:rPr>
          <w:i/>
        </w:rPr>
        <w:t>For additional notes that apply to this portion of the standard, please see th</w:t>
      </w:r>
      <w:r>
        <w:rPr>
          <w:i/>
        </w:rPr>
        <w:t xml:space="preserve">e notes for </w:t>
      </w:r>
      <w:hyperlink w:anchor="Section_57f3992c0f4646afa3c764132f66ebe0">
        <w:r>
          <w:rPr>
            <w:rStyle w:val="Hyperlink"/>
          </w:rPr>
          <w:t>tabColor, §18.3.1.93(a-c)</w:t>
        </w:r>
      </w:hyperlink>
      <w:r>
        <w:rPr>
          <w:i/>
        </w:rPr>
        <w:t xml:space="preserve">; </w:t>
      </w:r>
      <w:hyperlink w:anchor="Section_2b0a8b9d392f46c1b3c1c5a5f98f8e69">
        <w:r>
          <w:rPr>
            <w:rStyle w:val="Hyperlink"/>
          </w:rPr>
          <w:t>bgColor, §18.8.3(a)</w:t>
        </w:r>
      </w:hyperlink>
      <w:r>
        <w:rPr>
          <w:i/>
        </w:rPr>
        <w:t>.</w:t>
      </w:r>
    </w:p>
    <w:p w:rsidR="005F78FC" w:rsidRDefault="00B42EF3">
      <w:pPr>
        <w:pStyle w:val="Definition-Field"/>
      </w:pPr>
      <w:r>
        <w:t xml:space="preserve">a.   </w:t>
      </w:r>
      <w:r>
        <w:rPr>
          <w:i/>
        </w:rPr>
        <w:t>The standard specifies use with only data bar and color scale.</w:t>
      </w:r>
    </w:p>
    <w:p w:rsidR="005F78FC" w:rsidRDefault="00B42EF3">
      <w:pPr>
        <w:pStyle w:val="Definition-Field2"/>
      </w:pPr>
      <w:r>
        <w:t>In</w:t>
      </w:r>
      <w:r>
        <w:t xml:space="preserve"> Office, the color element used in various formatting elements as defined in parent sub-clause list.</w:t>
      </w:r>
    </w:p>
    <w:p w:rsidR="005F78FC" w:rsidRDefault="00B42EF3">
      <w:pPr>
        <w:pStyle w:val="Definition-Field"/>
      </w:pPr>
      <w:r>
        <w:t xml:space="preserve">b.   </w:t>
      </w:r>
      <w:r>
        <w:rPr>
          <w:i/>
        </w:rPr>
        <w:t>The standard states that the values of the indexed attribute are defined by the XML Schema unsignedInt datatype.</w:t>
      </w:r>
    </w:p>
    <w:p w:rsidR="005F78FC" w:rsidRDefault="00B42EF3">
      <w:pPr>
        <w:pStyle w:val="Definition-Field2"/>
      </w:pPr>
      <w:r>
        <w:t>Excel restricts the value of this att</w:t>
      </w:r>
      <w:r>
        <w:t>ribute to be at most 255.</w:t>
      </w:r>
    </w:p>
    <w:p w:rsidR="005F78FC" w:rsidRDefault="00B42EF3">
      <w:pPr>
        <w:pStyle w:val="Definition-Field"/>
      </w:pPr>
      <w:r>
        <w:t xml:space="preserve">c.   </w:t>
      </w:r>
      <w:r>
        <w:rPr>
          <w:i/>
        </w:rPr>
        <w:t>The standard states that the values of the tint attribute are defined by the XML Schema double datatype.</w:t>
      </w:r>
    </w:p>
    <w:p w:rsidR="005F78FC" w:rsidRDefault="00B42EF3">
      <w:pPr>
        <w:pStyle w:val="Definition-Field2"/>
      </w:pPr>
      <w:r>
        <w:t>Excel restricts the value of this attribute to be at least -1 and at most 1.</w:t>
      </w:r>
    </w:p>
    <w:p w:rsidR="005F78FC" w:rsidRDefault="00B42EF3">
      <w:pPr>
        <w:pStyle w:val="Definition-Field"/>
      </w:pPr>
      <w:r>
        <w:t xml:space="preserve">d.   </w:t>
      </w:r>
      <w:r>
        <w:rPr>
          <w:i/>
        </w:rPr>
        <w:t>The standard states that the values of</w:t>
      </w:r>
      <w:r>
        <w:rPr>
          <w:i/>
        </w:rPr>
        <w:t xml:space="preserve"> the theme attribute are defined by the XML Schema unsignedInt datatype.</w:t>
      </w:r>
    </w:p>
    <w:p w:rsidR="005F78FC" w:rsidRDefault="00B42EF3">
      <w:pPr>
        <w:pStyle w:val="Definition-Field2"/>
      </w:pPr>
      <w:r>
        <w:t>Excel restricts the value of this attribute, a zero-based index, to be at most 255.</w:t>
      </w:r>
    </w:p>
    <w:p w:rsidR="005F78FC" w:rsidRDefault="00B42EF3">
      <w:pPr>
        <w:pStyle w:val="Heading3"/>
      </w:pPr>
      <w:bookmarkStart w:id="1220" w:name="section_6f3c3ad9dd02428c9fc960b13ef0da08"/>
      <w:bookmarkStart w:id="1221" w:name="_Toc69878383"/>
      <w:r>
        <w:t>Part 1 Section 18.3.1.16, colorScale (Color Scale)</w:t>
      </w:r>
      <w:bookmarkEnd w:id="1220"/>
      <w:bookmarkEnd w:id="1221"/>
      <w:r>
        <w:fldChar w:fldCharType="begin"/>
      </w:r>
      <w:r>
        <w:instrText xml:space="preserve"> XE "colorScale (Color Scale)" </w:instrText>
      </w:r>
      <w:r>
        <w:fldChar w:fldCharType="end"/>
      </w:r>
    </w:p>
    <w:p w:rsidR="005F78FC" w:rsidRDefault="00B42EF3">
      <w:pPr>
        <w:pStyle w:val="Definition-Field"/>
      </w:pPr>
      <w:r>
        <w:t xml:space="preserve">a.   </w:t>
      </w:r>
      <w:r>
        <w:rPr>
          <w:i/>
        </w:rPr>
        <w:t>The standa</w:t>
      </w:r>
      <w:r>
        <w:rPr>
          <w:i/>
        </w:rPr>
        <w:t>rd states that the maxOccurs value for the cfvo child element is unbounded.</w:t>
      </w:r>
    </w:p>
    <w:p w:rsidR="005F78FC" w:rsidRDefault="00B42EF3">
      <w:pPr>
        <w:pStyle w:val="Definition-Field2"/>
      </w:pPr>
      <w:r>
        <w:t>Excel limits the occurrences of this element to 3.</w:t>
      </w:r>
    </w:p>
    <w:p w:rsidR="005F78FC" w:rsidRDefault="00B42EF3">
      <w:pPr>
        <w:pStyle w:val="Definition-Field"/>
      </w:pPr>
      <w:r>
        <w:t xml:space="preserve">b.   </w:t>
      </w:r>
      <w:r>
        <w:rPr>
          <w:i/>
        </w:rPr>
        <w:t>The standard states that the maxOccurs value for the color child element is unbounded.</w:t>
      </w:r>
    </w:p>
    <w:p w:rsidR="005F78FC" w:rsidRDefault="00B42EF3">
      <w:pPr>
        <w:pStyle w:val="Definition-Field2"/>
      </w:pPr>
      <w:r>
        <w:t xml:space="preserve">Excel limits the occurrences of this </w:t>
      </w:r>
      <w:r>
        <w:t>element to 3.</w:t>
      </w:r>
    </w:p>
    <w:p w:rsidR="005F78FC" w:rsidRDefault="00B42EF3">
      <w:pPr>
        <w:pStyle w:val="Definition-Field"/>
      </w:pPr>
      <w:r>
        <w:t xml:space="preserve">c.   </w:t>
      </w:r>
      <w:r>
        <w:rPr>
          <w:i/>
        </w:rPr>
        <w:t>The standard places no restrictions on the relationship between the count of cfvo child elements and the count of color child elements.</w:t>
      </w:r>
    </w:p>
    <w:p w:rsidR="005F78FC" w:rsidRDefault="00B42EF3">
      <w:pPr>
        <w:pStyle w:val="Definition-Field2"/>
      </w:pPr>
      <w:r>
        <w:t>Excel requires these two counts to be the same.</w:t>
      </w:r>
    </w:p>
    <w:p w:rsidR="005F78FC" w:rsidRDefault="00B42EF3">
      <w:pPr>
        <w:pStyle w:val="Heading3"/>
      </w:pPr>
      <w:bookmarkStart w:id="1222" w:name="section_a876bb76a6c348569232028b4d575aa2"/>
      <w:bookmarkStart w:id="1223" w:name="_Toc69878384"/>
      <w:r>
        <w:t>Part 1 Section 18.3.1.18, conditionalFormatting (Cond</w:t>
      </w:r>
      <w:r>
        <w:t>itional Formatting)</w:t>
      </w:r>
      <w:bookmarkEnd w:id="1222"/>
      <w:bookmarkEnd w:id="1223"/>
      <w:r>
        <w:fldChar w:fldCharType="begin"/>
      </w:r>
      <w:r>
        <w:instrText xml:space="preserve"> XE "conditionalFormatting (Conditional Formatting)" </w:instrText>
      </w:r>
      <w:r>
        <w:fldChar w:fldCharType="end"/>
      </w:r>
    </w:p>
    <w:p w:rsidR="005F78FC" w:rsidRDefault="00B42EF3">
      <w:pPr>
        <w:pStyle w:val="Definition-Field"/>
      </w:pPr>
      <w:r>
        <w:t xml:space="preserve">a.   </w:t>
      </w:r>
      <w:r>
        <w:rPr>
          <w:i/>
        </w:rPr>
        <w:t>The standard states that the possible values for @sqref are defined by ST_Sqref simple type.</w:t>
      </w:r>
    </w:p>
    <w:p w:rsidR="005F78FC" w:rsidRDefault="00B42EF3">
      <w:pPr>
        <w:pStyle w:val="Definition-Field2"/>
      </w:pPr>
      <w:r>
        <w:t>Office requires that the value of @sqref have a length of at least 1 (be non-empty)</w:t>
      </w:r>
      <w:r>
        <w:t>.</w:t>
      </w:r>
    </w:p>
    <w:p w:rsidR="005F78FC" w:rsidRDefault="00B42EF3">
      <w:pPr>
        <w:pStyle w:val="Heading3"/>
      </w:pPr>
      <w:bookmarkStart w:id="1224" w:name="section_191c4c0c89ac45619cbf5b27a753beee"/>
      <w:bookmarkStart w:id="1225" w:name="_Toc69878385"/>
      <w:r>
        <w:lastRenderedPageBreak/>
        <w:t>Part 1 Section 18.3.1.19, control (Embedded Control)</w:t>
      </w:r>
      <w:bookmarkEnd w:id="1224"/>
      <w:bookmarkEnd w:id="1225"/>
      <w:r>
        <w:fldChar w:fldCharType="begin"/>
      </w:r>
      <w:r>
        <w:instrText xml:space="preserve"> XE "control (Embedded Control)" </w:instrText>
      </w:r>
      <w:r>
        <w:fldChar w:fldCharType="end"/>
      </w:r>
    </w:p>
    <w:p w:rsidR="005F78FC" w:rsidRDefault="00B42EF3">
      <w:pPr>
        <w:pStyle w:val="Definition-Field"/>
      </w:pPr>
      <w:r>
        <w:t xml:space="preserve">a.   </w:t>
      </w:r>
      <w:r>
        <w:rPr>
          <w:i/>
        </w:rPr>
        <w:t>The standard does not specify the ObjectType or restriction of valid values for @shapeId.</w:t>
      </w:r>
    </w:p>
    <w:p w:rsidR="005F78FC" w:rsidRDefault="00B42EF3">
      <w:pPr>
        <w:pStyle w:val="Definition-Field2"/>
      </w:pPr>
      <w:r>
        <w:t>Office requires the ObjectType of the drawing shape to be Picture and t</w:t>
      </w:r>
      <w:r>
        <w:t>he value to be between 1 and 67098623 inclusive.</w:t>
      </w:r>
    </w:p>
    <w:p w:rsidR="005F78FC" w:rsidRDefault="00B42EF3">
      <w:pPr>
        <w:pStyle w:val="Definition-Field"/>
      </w:pPr>
      <w:r>
        <w:t xml:space="preserve">b.   </w:t>
      </w:r>
      <w:r>
        <w:rPr>
          <w:i/>
        </w:rPr>
        <w:t>The standard does not specify restrictions for the name attribute.</w:t>
      </w:r>
    </w:p>
    <w:p w:rsidR="005F78FC" w:rsidRDefault="00B42EF3">
      <w:pPr>
        <w:pStyle w:val="Definition-Field2"/>
      </w:pPr>
      <w:r>
        <w:t>In Excel, the string shall be unique and have a maximum of 32 characters.</w:t>
      </w:r>
    </w:p>
    <w:p w:rsidR="005F78FC" w:rsidRDefault="00B42EF3">
      <w:pPr>
        <w:pStyle w:val="Heading3"/>
      </w:pPr>
      <w:bookmarkStart w:id="1226" w:name="section_ee6983cc1d544770b179a332e5bb8ffa"/>
      <w:bookmarkStart w:id="1227" w:name="_Toc69878386"/>
      <w:r>
        <w:t>Part 1 Section 18.3.1.20, controlPr (Embedded Control Properties)</w:t>
      </w:r>
      <w:bookmarkEnd w:id="1226"/>
      <w:bookmarkEnd w:id="1227"/>
      <w:r>
        <w:fldChar w:fldCharType="begin"/>
      </w:r>
      <w:r>
        <w:instrText xml:space="preserve"> XE "controlPr (Embedded Control Properties)" </w:instrText>
      </w:r>
      <w:r>
        <w:fldChar w:fldCharType="end"/>
      </w:r>
    </w:p>
    <w:p w:rsidR="005F78FC" w:rsidRDefault="00B42EF3">
      <w:pPr>
        <w:pStyle w:val="Definition-Field"/>
      </w:pPr>
      <w:r>
        <w:t xml:space="preserve">a.   </w:t>
      </w:r>
      <w:r>
        <w:rPr>
          <w:i/>
        </w:rPr>
        <w:t>The standard specifies the recalcAlways attribute.</w:t>
      </w:r>
    </w:p>
    <w:p w:rsidR="005F78FC" w:rsidRDefault="00B42EF3">
      <w:pPr>
        <w:pStyle w:val="Definition-Field2"/>
      </w:pPr>
      <w:r>
        <w:t>Office does not read or write the recalcAlways attribute and ignores this attribute if</w:t>
      </w:r>
      <w:r>
        <w:t xml:space="preserve"> present.</w:t>
      </w:r>
    </w:p>
    <w:p w:rsidR="005F78FC" w:rsidRDefault="00B42EF3">
      <w:pPr>
        <w:pStyle w:val="Definition-Field"/>
      </w:pPr>
      <w:r>
        <w:t xml:space="preserve">b.   </w:t>
      </w:r>
      <w:r>
        <w:rPr>
          <w:i/>
        </w:rPr>
        <w:t>The cf attribute in the controlPr element is round tripped.</w:t>
      </w:r>
    </w:p>
    <w:p w:rsidR="005F78FC" w:rsidRDefault="00B42EF3">
      <w:pPr>
        <w:pStyle w:val="Definition-Field2"/>
      </w:pPr>
      <w:r>
        <w:t>Office does not round trip the cf attribute in the controlPr element.</w:t>
      </w:r>
    </w:p>
    <w:p w:rsidR="005F78FC" w:rsidRDefault="00B42EF3">
      <w:pPr>
        <w:pStyle w:val="Definition-Field"/>
      </w:pPr>
      <w:r>
        <w:t xml:space="preserve">c.   </w:t>
      </w:r>
      <w:r>
        <w:rPr>
          <w:i/>
        </w:rPr>
        <w:t>The standard specifies that all of the attributes under the controlPr element are valid.</w:t>
      </w:r>
    </w:p>
    <w:p w:rsidR="005F78FC" w:rsidRDefault="00B42EF3">
      <w:pPr>
        <w:pStyle w:val="Definition-Field2"/>
      </w:pPr>
      <w:r>
        <w:t>Excel ignores the</w:t>
      </w:r>
      <w:r>
        <w:t xml:space="preserve"> attributes autoFill, autoLine, autoPict, cf, defaultSize, disabled, macro, recalcAlways and uiObject, and does not round trip cf and recalcAlways when controlPr is associated with an ActiveX(R) control.</w:t>
      </w:r>
    </w:p>
    <w:p w:rsidR="005F78FC" w:rsidRDefault="00B42EF3">
      <w:pPr>
        <w:pStyle w:val="Definition-Field"/>
      </w:pPr>
      <w:r>
        <w:t xml:space="preserve">d.   </w:t>
      </w:r>
      <w:r>
        <w:rPr>
          <w:i/>
        </w:rPr>
        <w:t>The standard specifies that all of the attribut</w:t>
      </w:r>
      <w:r>
        <w:rPr>
          <w:i/>
        </w:rPr>
        <w:t>es under the controlPr element are valid.</w:t>
      </w:r>
    </w:p>
    <w:p w:rsidR="005F78FC" w:rsidRDefault="00B42EF3">
      <w:pPr>
        <w:pStyle w:val="Definition-Field2"/>
      </w:pPr>
      <w:r>
        <w:t xml:space="preserve">Excel ignores autoFill, autoLine, autoPict, cf, defaultSize, disabled, id, linkedCell, listFillRange, recalcAlways and uiObject, and does not round trip autoPict, cf, id, linkedCell, listFillRange and recalcAlways </w:t>
      </w:r>
      <w:r>
        <w:t>when associated with a form control.</w:t>
      </w:r>
    </w:p>
    <w:p w:rsidR="005F78FC" w:rsidRDefault="00B42EF3">
      <w:pPr>
        <w:pStyle w:val="Heading3"/>
      </w:pPr>
      <w:bookmarkStart w:id="1228" w:name="section_10f45a7e53934ea2b0f7dac31d426fea"/>
      <w:bookmarkStart w:id="1229" w:name="_Toc69878387"/>
      <w:r>
        <w:t>Part 1 Section 18.3.1.21, controls (Embedded Controls)</w:t>
      </w:r>
      <w:bookmarkEnd w:id="1228"/>
      <w:bookmarkEnd w:id="1229"/>
      <w:r>
        <w:fldChar w:fldCharType="begin"/>
      </w:r>
      <w:r>
        <w:instrText xml:space="preserve"> XE "controls (Embedded Controls)" </w:instrText>
      </w:r>
      <w:r>
        <w:fldChar w:fldCharType="end"/>
      </w:r>
    </w:p>
    <w:p w:rsidR="005F78FC" w:rsidRDefault="00B42EF3">
      <w:pPr>
        <w:pStyle w:val="Definition-Field"/>
      </w:pPr>
      <w:r>
        <w:t xml:space="preserve">a.   </w:t>
      </w:r>
      <w:r>
        <w:rPr>
          <w:i/>
        </w:rPr>
        <w:t>The standard states that the maxOccurs value for the control child element is unbounded.</w:t>
      </w:r>
    </w:p>
    <w:p w:rsidR="005F78FC" w:rsidRDefault="00B42EF3">
      <w:pPr>
        <w:pStyle w:val="Definition-Field2"/>
      </w:pPr>
      <w:r>
        <w:t>Excel limits the occurrences of t</w:t>
      </w:r>
      <w:r>
        <w:t>his element to 65535.</w:t>
      </w:r>
    </w:p>
    <w:p w:rsidR="005F78FC" w:rsidRDefault="00B42EF3">
      <w:pPr>
        <w:pStyle w:val="Heading3"/>
      </w:pPr>
      <w:bookmarkStart w:id="1230" w:name="section_8657e06740fd46f987172bab6fea07aa"/>
      <w:bookmarkStart w:id="1231" w:name="_Toc69878388"/>
      <w:r>
        <w:t>Part 1 Section 18.3.1.22, customPr (Custom Property)</w:t>
      </w:r>
      <w:bookmarkEnd w:id="1230"/>
      <w:bookmarkEnd w:id="1231"/>
      <w:r>
        <w:fldChar w:fldCharType="begin"/>
      </w:r>
      <w:r>
        <w:instrText xml:space="preserve"> XE "customPr (Custom Property)" </w:instrText>
      </w:r>
      <w:r>
        <w:fldChar w:fldCharType="end"/>
      </w:r>
    </w:p>
    <w:p w:rsidR="005F78FC" w:rsidRDefault="00B42EF3">
      <w:pPr>
        <w:pStyle w:val="Definition-Field"/>
      </w:pPr>
      <w:r>
        <w:t xml:space="preserve">a.   </w:t>
      </w:r>
      <w:r>
        <w:rPr>
          <w:i/>
        </w:rPr>
        <w:t>The standard specifies no restriction on the uniqueness of the name attribute.</w:t>
      </w:r>
    </w:p>
    <w:p w:rsidR="005F78FC" w:rsidRDefault="00B42EF3">
      <w:pPr>
        <w:pStyle w:val="Definition-Field2"/>
      </w:pPr>
      <w:r>
        <w:t>In Office, the name attribute must be case-insensitive and uni</w:t>
      </w:r>
      <w:r>
        <w:t>que.</w:t>
      </w:r>
    </w:p>
    <w:p w:rsidR="005F78FC" w:rsidRDefault="00B42EF3">
      <w:pPr>
        <w:pStyle w:val="Heading3"/>
      </w:pPr>
      <w:bookmarkStart w:id="1232" w:name="section_13ee020779e148b5b0ed333a3a7dbb81"/>
      <w:bookmarkStart w:id="1233" w:name="_Toc69878389"/>
      <w:r>
        <w:t>Part 1 Section 18.3.1.24, customSheetView (Custom Chart Sheet View)</w:t>
      </w:r>
      <w:bookmarkEnd w:id="1232"/>
      <w:bookmarkEnd w:id="1233"/>
      <w:r>
        <w:fldChar w:fldCharType="begin"/>
      </w:r>
      <w:r>
        <w:instrText xml:space="preserve"> XE "customSheetView (Custom Chart Sheet View)" </w:instrText>
      </w:r>
      <w:r>
        <w:fldChar w:fldCharType="end"/>
      </w:r>
    </w:p>
    <w:p w:rsidR="005F78FC" w:rsidRDefault="00B42EF3">
      <w:pPr>
        <w:pStyle w:val="Definition-Field"/>
      </w:pPr>
      <w:r>
        <w:t xml:space="preserve">a.   </w:t>
      </w:r>
      <w:r>
        <w:rPr>
          <w:i/>
        </w:rPr>
        <w:t>The standard states that the attribute scale defines the print scale.</w:t>
      </w:r>
    </w:p>
    <w:p w:rsidR="005F78FC" w:rsidRDefault="00B42EF3">
      <w:pPr>
        <w:pStyle w:val="Definition-Field2"/>
      </w:pPr>
      <w:r>
        <w:t>Office uses the scale attribute to define the zoom level.</w:t>
      </w:r>
    </w:p>
    <w:p w:rsidR="005F78FC" w:rsidRDefault="00B42EF3">
      <w:pPr>
        <w:pStyle w:val="Heading3"/>
      </w:pPr>
      <w:bookmarkStart w:id="1234" w:name="section_2d575d4956e24adf8f4713c09a3a8628"/>
      <w:bookmarkStart w:id="1235" w:name="_Toc69878390"/>
      <w:r>
        <w:t>Part 1 Section 18.3.1.25, customSheetView (Custom Sheet View)</w:t>
      </w:r>
      <w:bookmarkEnd w:id="1234"/>
      <w:bookmarkEnd w:id="1235"/>
      <w:r>
        <w:fldChar w:fldCharType="begin"/>
      </w:r>
      <w:r>
        <w:instrText xml:space="preserve"> XE "customSheetView (Custom Sheet View)" </w:instrText>
      </w:r>
      <w:r>
        <w:fldChar w:fldCharType="end"/>
      </w:r>
    </w:p>
    <w:p w:rsidR="005F78FC" w:rsidRDefault="00B42EF3">
      <w:pPr>
        <w:pStyle w:val="Definition-Field"/>
      </w:pPr>
      <w:r>
        <w:t xml:space="preserve">a.   </w:t>
      </w:r>
      <w:r>
        <w:rPr>
          <w:i/>
        </w:rPr>
        <w:t>The standard says scale attribute defines the print scale.</w:t>
      </w:r>
    </w:p>
    <w:p w:rsidR="005F78FC" w:rsidRDefault="00B42EF3">
      <w:pPr>
        <w:pStyle w:val="Definition-Field2"/>
      </w:pPr>
      <w:r>
        <w:t>Office uses the scale attribute to define the zoom level.</w:t>
      </w:r>
    </w:p>
    <w:p w:rsidR="005F78FC" w:rsidRDefault="00B42EF3">
      <w:pPr>
        <w:pStyle w:val="Definition-Field"/>
      </w:pPr>
      <w:r>
        <w:lastRenderedPageBreak/>
        <w:t xml:space="preserve">b.   </w:t>
      </w:r>
      <w:r>
        <w:rPr>
          <w:i/>
        </w:rPr>
        <w:t xml:space="preserve">The standard states </w:t>
      </w:r>
      <w:r>
        <w:rPr>
          <w:i/>
        </w:rPr>
        <w:t>that the values of the colorId attribute are defined by the XML Schema unsignedInt datatype.</w:t>
      </w:r>
    </w:p>
    <w:p w:rsidR="005F78FC" w:rsidRDefault="00B42EF3">
      <w:pPr>
        <w:pStyle w:val="Definition-Field2"/>
      </w:pPr>
      <w:r>
        <w:t>Office restricts the colorId attribute value to an unsignedInt less than or equal to 64.</w:t>
      </w:r>
    </w:p>
    <w:p w:rsidR="005F78FC" w:rsidRDefault="00B42EF3">
      <w:pPr>
        <w:pStyle w:val="Definition-Field"/>
      </w:pPr>
      <w:r>
        <w:t xml:space="preserve">c.   </w:t>
      </w:r>
      <w:r>
        <w:rPr>
          <w:i/>
        </w:rPr>
        <w:t>The standard specifies @scale ranges from 10 to 400.</w:t>
      </w:r>
    </w:p>
    <w:p w:rsidR="005F78FC" w:rsidRDefault="00B42EF3">
      <w:pPr>
        <w:pStyle w:val="Definition-Field2"/>
      </w:pPr>
      <w:r>
        <w:t>Excel also allow</w:t>
      </w:r>
      <w:r>
        <w:t xml:space="preserve"> for a value of zero, which is interpreted as the automatic setting.</w:t>
      </w:r>
    </w:p>
    <w:p w:rsidR="005F78FC" w:rsidRDefault="00B42EF3">
      <w:pPr>
        <w:pStyle w:val="Definition-Field"/>
      </w:pPr>
      <w:r>
        <w:t xml:space="preserve">d.   </w:t>
      </w:r>
      <w:r>
        <w:rPr>
          <w:i/>
        </w:rPr>
        <w:t>The standard specifies that colorId attribute defines the color value for text in row or column headings and gridlines the custom view.</w:t>
      </w:r>
    </w:p>
    <w:p w:rsidR="005F78FC" w:rsidRDefault="00B42EF3">
      <w:pPr>
        <w:pStyle w:val="Definition-Field2"/>
      </w:pPr>
      <w:r>
        <w:t>Office uses colorId attribute to define the co</w:t>
      </w:r>
      <w:r>
        <w:t>lor value for gridlines in the custom view.</w:t>
      </w:r>
    </w:p>
    <w:p w:rsidR="005F78FC" w:rsidRDefault="00B42EF3">
      <w:pPr>
        <w:pStyle w:val="Definition-Field"/>
      </w:pPr>
      <w:r>
        <w:t xml:space="preserve">e.   </w:t>
      </w:r>
      <w:r>
        <w:rPr>
          <w:i/>
        </w:rPr>
        <w:t>The standard specifies that possible values for the guid attribute are defined by ST_Guid simple type.</w:t>
      </w:r>
    </w:p>
    <w:p w:rsidR="005F78FC" w:rsidRDefault="00B42EF3">
      <w:pPr>
        <w:pStyle w:val="Definition-Field2"/>
      </w:pPr>
      <w:r>
        <w:t xml:space="preserve">Office requires the guid attribute to be a non-null guid (a null guid is defined as </w:t>
      </w:r>
      <w:r>
        <w:t>00000000-0000-0000-0000-000000000000).</w:t>
      </w:r>
    </w:p>
    <w:p w:rsidR="005F78FC" w:rsidRDefault="00B42EF3">
      <w:pPr>
        <w:pStyle w:val="Heading3"/>
      </w:pPr>
      <w:bookmarkStart w:id="1236" w:name="section_648369e29fdb434b810c4b1ce737ea8a"/>
      <w:bookmarkStart w:id="1237" w:name="_Toc69878391"/>
      <w:r>
        <w:t>Part 1 Section 18.3.1.26, customSheetViews (Custom Chart Sheet Views)</w:t>
      </w:r>
      <w:bookmarkEnd w:id="1236"/>
      <w:bookmarkEnd w:id="1237"/>
      <w:r>
        <w:fldChar w:fldCharType="begin"/>
      </w:r>
      <w:r>
        <w:instrText xml:space="preserve"> XE "customSheetViews (Custom Chart Sheet Views)" </w:instrText>
      </w:r>
      <w:r>
        <w:fldChar w:fldCharType="end"/>
      </w:r>
    </w:p>
    <w:p w:rsidR="005F78FC" w:rsidRDefault="00B42EF3">
      <w:pPr>
        <w:pStyle w:val="Definition-Field"/>
      </w:pPr>
      <w:r>
        <w:t xml:space="preserve">a.   </w:t>
      </w:r>
      <w:r>
        <w:rPr>
          <w:i/>
        </w:rPr>
        <w:t>The standard states that the maxOccurs value for the customSheetView child element is unbo</w:t>
      </w:r>
      <w:r>
        <w:rPr>
          <w:i/>
        </w:rPr>
        <w:t>unded.</w:t>
      </w:r>
    </w:p>
    <w:p w:rsidR="005F78FC" w:rsidRDefault="00B42EF3">
      <w:pPr>
        <w:pStyle w:val="Definition-Field2"/>
      </w:pPr>
      <w:r>
        <w:t>Excel limits the occurrences of this element to 2147483647.</w:t>
      </w:r>
    </w:p>
    <w:p w:rsidR="005F78FC" w:rsidRDefault="00B42EF3">
      <w:pPr>
        <w:pStyle w:val="Heading3"/>
      </w:pPr>
      <w:bookmarkStart w:id="1238" w:name="section_0c2fcd3d6c2d4e039e64366e977e6d5a"/>
      <w:bookmarkStart w:id="1239" w:name="_Toc69878392"/>
      <w:r>
        <w:t>Part 1 Section 18.3.1.27, customSheetViews (Custom Sheet Views)</w:t>
      </w:r>
      <w:bookmarkEnd w:id="1238"/>
      <w:bookmarkEnd w:id="1239"/>
      <w:r>
        <w:fldChar w:fldCharType="begin"/>
      </w:r>
      <w:r>
        <w:instrText xml:space="preserve"> XE "customSheetViews (Custom Sheet Views)" </w:instrText>
      </w:r>
      <w:r>
        <w:fldChar w:fldCharType="end"/>
      </w:r>
    </w:p>
    <w:p w:rsidR="005F78FC" w:rsidRDefault="00B42EF3">
      <w:pPr>
        <w:pStyle w:val="Definition-Field"/>
      </w:pPr>
      <w:r>
        <w:t xml:space="preserve">a.   </w:t>
      </w:r>
      <w:r>
        <w:rPr>
          <w:i/>
        </w:rPr>
        <w:t>The standard states that the maxOccurs value for the customSheetView child</w:t>
      </w:r>
      <w:r>
        <w:rPr>
          <w:i/>
        </w:rPr>
        <w:t xml:space="preserve"> element is unbounded.</w:t>
      </w:r>
    </w:p>
    <w:p w:rsidR="005F78FC" w:rsidRDefault="00B42EF3">
      <w:pPr>
        <w:pStyle w:val="Definition-Field2"/>
      </w:pPr>
      <w:r>
        <w:t>Excel limits the occurrences of this element to 2147483647.</w:t>
      </w:r>
    </w:p>
    <w:p w:rsidR="005F78FC" w:rsidRDefault="00B42EF3">
      <w:pPr>
        <w:pStyle w:val="Heading3"/>
      </w:pPr>
      <w:bookmarkStart w:id="1240" w:name="section_ba8574f369804425b7e366b533340783"/>
      <w:bookmarkStart w:id="1241" w:name="_Toc69878393"/>
      <w:r>
        <w:t>Part 1 Section 18.3.1.28, dataBar (Data Bar)</w:t>
      </w:r>
      <w:bookmarkEnd w:id="1240"/>
      <w:bookmarkEnd w:id="1241"/>
      <w:r>
        <w:fldChar w:fldCharType="begin"/>
      </w:r>
      <w:r>
        <w:instrText xml:space="preserve"> XE "dataBar (Data Bar)" </w:instrText>
      </w:r>
      <w:r>
        <w:fldChar w:fldCharType="end"/>
      </w:r>
    </w:p>
    <w:p w:rsidR="005F78FC" w:rsidRDefault="00B42EF3">
      <w:pPr>
        <w:pStyle w:val="Definition-Field"/>
      </w:pPr>
      <w:r>
        <w:t xml:space="preserve">a.   </w:t>
      </w:r>
      <w:r>
        <w:rPr>
          <w:i/>
        </w:rPr>
        <w:t>The standard states that the values of the maxLength attribute are defined by the XML Schema uns</w:t>
      </w:r>
      <w:r>
        <w:rPr>
          <w:i/>
        </w:rPr>
        <w:t>ignedInt datatype.</w:t>
      </w:r>
    </w:p>
    <w:p w:rsidR="005F78FC" w:rsidRDefault="00B42EF3">
      <w:pPr>
        <w:pStyle w:val="Definition-Field2"/>
      </w:pPr>
      <w:r>
        <w:t>Excel restricts the value of this attribute to be at most 100.</w:t>
      </w:r>
    </w:p>
    <w:p w:rsidR="005F78FC" w:rsidRDefault="00B42EF3">
      <w:pPr>
        <w:pStyle w:val="Definition-Field"/>
      </w:pPr>
      <w:r>
        <w:t xml:space="preserve">b.   </w:t>
      </w:r>
      <w:r>
        <w:rPr>
          <w:i/>
        </w:rPr>
        <w:t>The standard states that the values of the minLength attribute are defined by the XML Schema unsignedInt datatype.</w:t>
      </w:r>
    </w:p>
    <w:p w:rsidR="005F78FC" w:rsidRDefault="00B42EF3">
      <w:pPr>
        <w:pStyle w:val="Definition-Field2"/>
      </w:pPr>
      <w:r>
        <w:t>Excel restricts the value of this attribute to be at m</w:t>
      </w:r>
      <w:r>
        <w:t>ost 100.</w:t>
      </w:r>
    </w:p>
    <w:p w:rsidR="005F78FC" w:rsidRDefault="00B42EF3">
      <w:pPr>
        <w:pStyle w:val="Heading3"/>
      </w:pPr>
      <w:bookmarkStart w:id="1242" w:name="section_387d25855753451ca29b686ce0a01acc"/>
      <w:bookmarkStart w:id="1243" w:name="_Toc69878394"/>
      <w:r>
        <w:t>Part 1 Section 18.3.1.29, dataConsolidate (Data Consolidate)</w:t>
      </w:r>
      <w:bookmarkEnd w:id="1242"/>
      <w:bookmarkEnd w:id="1243"/>
      <w:r>
        <w:fldChar w:fldCharType="begin"/>
      </w:r>
      <w:r>
        <w:instrText xml:space="preserve"> XE "dataConsolidate (Data Consolidate)" </w:instrText>
      </w:r>
      <w:r>
        <w:fldChar w:fldCharType="end"/>
      </w:r>
    </w:p>
    <w:p w:rsidR="005F78FC" w:rsidRDefault="00B42EF3">
      <w:pPr>
        <w:pStyle w:val="Definition-Field"/>
      </w:pPr>
      <w:r>
        <w:t xml:space="preserve">a.   </w:t>
      </w:r>
      <w:r>
        <w:rPr>
          <w:i/>
        </w:rPr>
        <w:t>The standard states that startLabels is an attribute</w:t>
      </w:r>
    </w:p>
    <w:p w:rsidR="005F78FC" w:rsidRDefault="00B42EF3">
      <w:pPr>
        <w:pStyle w:val="Definition-Field2"/>
      </w:pPr>
      <w:r>
        <w:t>Excel uses leftLabels instead of startLabels</w:t>
      </w:r>
    </w:p>
    <w:p w:rsidR="005F78FC" w:rsidRDefault="00B42EF3">
      <w:pPr>
        <w:pStyle w:val="Heading3"/>
      </w:pPr>
      <w:bookmarkStart w:id="1244" w:name="section_0114969a4859443eae3e0c1fdebfcc64"/>
      <w:bookmarkStart w:id="1245" w:name="_Toc69878395"/>
      <w:r>
        <w:t>Part 1 Section 18.3.1.32, dataValidation</w:t>
      </w:r>
      <w:r>
        <w:t xml:space="preserve"> (Data Validation)</w:t>
      </w:r>
      <w:bookmarkEnd w:id="1244"/>
      <w:bookmarkEnd w:id="1245"/>
      <w:r>
        <w:fldChar w:fldCharType="begin"/>
      </w:r>
      <w:r>
        <w:instrText xml:space="preserve"> XE "dataValidation (Data Validation)" </w:instrText>
      </w:r>
      <w:r>
        <w:fldChar w:fldCharType="end"/>
      </w:r>
    </w:p>
    <w:p w:rsidR="005F78FC" w:rsidRDefault="00B42EF3">
      <w:pPr>
        <w:pStyle w:val="Definition-Field"/>
      </w:pPr>
      <w:r>
        <w:t xml:space="preserve">a.   </w:t>
      </w:r>
      <w:r>
        <w:rPr>
          <w:i/>
        </w:rPr>
        <w:t>The standard does not limit the length of the value of the prompt attribute.</w:t>
      </w:r>
    </w:p>
    <w:p w:rsidR="005F78FC" w:rsidRDefault="00B42EF3">
      <w:pPr>
        <w:pStyle w:val="Definition-Field2"/>
      </w:pPr>
      <w:r>
        <w:t>Excel restricts the value of this attribute to be at most 255 characters, after decoding.</w:t>
      </w:r>
    </w:p>
    <w:p w:rsidR="005F78FC" w:rsidRDefault="00B42EF3">
      <w:pPr>
        <w:pStyle w:val="Definition-Field"/>
      </w:pPr>
      <w:r>
        <w:lastRenderedPageBreak/>
        <w:t xml:space="preserve">b.   </w:t>
      </w:r>
      <w:r>
        <w:rPr>
          <w:i/>
        </w:rPr>
        <w:t>The standard states</w:t>
      </w:r>
      <w:r>
        <w:rPr>
          <w:i/>
        </w:rPr>
        <w:t xml:space="preserve"> that the possible values for @sqref are defined by ST_Sqref simple type.</w:t>
      </w:r>
    </w:p>
    <w:p w:rsidR="005F78FC" w:rsidRDefault="00B42EF3">
      <w:pPr>
        <w:pStyle w:val="Definition-Field2"/>
      </w:pPr>
      <w:r>
        <w:t>Office limits the number of references in @sqref to be between 1 and 32767 inclusive.</w:t>
      </w:r>
    </w:p>
    <w:p w:rsidR="005F78FC" w:rsidRDefault="00B42EF3">
      <w:pPr>
        <w:pStyle w:val="Definition-Field"/>
      </w:pPr>
      <w:r>
        <w:t xml:space="preserve">c.   </w:t>
      </w:r>
      <w:r>
        <w:rPr>
          <w:i/>
        </w:rPr>
        <w:t>The standard does not restrict the value of the error attribute.</w:t>
      </w:r>
    </w:p>
    <w:p w:rsidR="005F78FC" w:rsidRDefault="00B42EF3">
      <w:pPr>
        <w:pStyle w:val="Definition-Field2"/>
      </w:pPr>
      <w:r>
        <w:t>Office restricts the lengt</w:t>
      </w:r>
      <w:r>
        <w:t>h of the value of the error attribute to 224 characters.</w:t>
      </w:r>
    </w:p>
    <w:p w:rsidR="005F78FC" w:rsidRDefault="00B42EF3">
      <w:pPr>
        <w:pStyle w:val="Definition-Field"/>
      </w:pPr>
      <w:r>
        <w:t xml:space="preserve">d.   </w:t>
      </w:r>
      <w:r>
        <w:rPr>
          <w:i/>
        </w:rPr>
        <w:t>The standard does not limit the length of the value of the errorTitle attribute.</w:t>
      </w:r>
    </w:p>
    <w:p w:rsidR="005F78FC" w:rsidRDefault="00B42EF3">
      <w:pPr>
        <w:pStyle w:val="Definition-Field2"/>
      </w:pPr>
      <w:r>
        <w:t>Office limits the length of the value of the errorTitle attribute to 32 characters.</w:t>
      </w:r>
    </w:p>
    <w:p w:rsidR="005F78FC" w:rsidRDefault="00B42EF3">
      <w:pPr>
        <w:pStyle w:val="Definition-Field"/>
      </w:pPr>
      <w:r>
        <w:t xml:space="preserve">e.   </w:t>
      </w:r>
      <w:r>
        <w:rPr>
          <w:i/>
        </w:rPr>
        <w:t>The standard states that</w:t>
      </w:r>
      <w:r>
        <w:rPr>
          <w:i/>
        </w:rPr>
        <w:t xml:space="preserve"> there is no limit on length of the promptTitle attribute value.</w:t>
      </w:r>
    </w:p>
    <w:p w:rsidR="005F78FC" w:rsidRDefault="00B42EF3">
      <w:pPr>
        <w:pStyle w:val="Definition-Field2"/>
      </w:pPr>
      <w:r>
        <w:t>Office limits the length of the promptTitle attribute value to 32 characters.</w:t>
      </w:r>
    </w:p>
    <w:p w:rsidR="005F78FC" w:rsidRDefault="00B42EF3">
      <w:pPr>
        <w:pStyle w:val="Heading3"/>
      </w:pPr>
      <w:bookmarkStart w:id="1246" w:name="section_0e5b9bebd59d45c5be218c82c275c705"/>
      <w:bookmarkStart w:id="1247" w:name="_Toc69878396"/>
      <w:r>
        <w:t>Part 1 Section 18.3.1.33, dataValidations (Data Validations)</w:t>
      </w:r>
      <w:bookmarkEnd w:id="1246"/>
      <w:bookmarkEnd w:id="1247"/>
      <w:r>
        <w:fldChar w:fldCharType="begin"/>
      </w:r>
      <w:r>
        <w:instrText xml:space="preserve"> XE "dataValidations (Data Validations)" </w:instrText>
      </w:r>
      <w:r>
        <w:fldChar w:fldCharType="end"/>
      </w:r>
    </w:p>
    <w:p w:rsidR="005F78FC" w:rsidRDefault="00B42EF3">
      <w:pPr>
        <w:pStyle w:val="Definition-Field"/>
      </w:pPr>
      <w:r>
        <w:t xml:space="preserve">a.   </w:t>
      </w:r>
      <w:r>
        <w:rPr>
          <w:i/>
        </w:rPr>
        <w:t xml:space="preserve">The </w:t>
      </w:r>
      <w:r>
        <w:rPr>
          <w:i/>
        </w:rPr>
        <w:t>standard states that the values of the xWindow attribute are defined by the XML Schema unsignedInt datatype.</w:t>
      </w:r>
    </w:p>
    <w:p w:rsidR="005F78FC" w:rsidRDefault="00B42EF3">
      <w:pPr>
        <w:pStyle w:val="Definition-Field2"/>
      </w:pPr>
      <w:r>
        <w:t>Excel restricts the value of this attribute to be at most 65535.</w:t>
      </w:r>
    </w:p>
    <w:p w:rsidR="005F78FC" w:rsidRDefault="00B42EF3">
      <w:pPr>
        <w:pStyle w:val="Definition-Field"/>
      </w:pPr>
      <w:r>
        <w:t xml:space="preserve">b.   </w:t>
      </w:r>
      <w:r>
        <w:rPr>
          <w:i/>
        </w:rPr>
        <w:t>The standard states that the values of the count attribute are defined by the</w:t>
      </w:r>
      <w:r>
        <w:rPr>
          <w:i/>
        </w:rPr>
        <w:t xml:space="preserve"> XML Schema unsignedInt datatype.</w:t>
      </w:r>
    </w:p>
    <w:p w:rsidR="005F78FC" w:rsidRDefault="00B42EF3">
      <w:pPr>
        <w:pStyle w:val="Definition-Field2"/>
      </w:pPr>
      <w:r>
        <w:t>Excel restricts the value of this attribute to be at most 65534.</w:t>
      </w:r>
    </w:p>
    <w:p w:rsidR="005F78FC" w:rsidRDefault="00B42EF3">
      <w:pPr>
        <w:pStyle w:val="Definition-Field"/>
      </w:pPr>
      <w:r>
        <w:t xml:space="preserve">c.   </w:t>
      </w:r>
      <w:r>
        <w:rPr>
          <w:i/>
        </w:rPr>
        <w:t>The standard states that the values of the yWindow attribute are defined by the XML Schema unsignedInt datatype.</w:t>
      </w:r>
    </w:p>
    <w:p w:rsidR="005F78FC" w:rsidRDefault="00B42EF3">
      <w:pPr>
        <w:pStyle w:val="Definition-Field2"/>
      </w:pPr>
      <w:r>
        <w:t xml:space="preserve">Excel restricts the value of this </w:t>
      </w:r>
      <w:r>
        <w:t>attribute to be at most 65535.</w:t>
      </w:r>
    </w:p>
    <w:p w:rsidR="005F78FC" w:rsidRDefault="00B42EF3">
      <w:pPr>
        <w:pStyle w:val="Definition-Field"/>
      </w:pPr>
      <w:r>
        <w:t xml:space="preserve">d.   </w:t>
      </w:r>
      <w:r>
        <w:rPr>
          <w:i/>
        </w:rPr>
        <w:t>The standard does not specify a default value for the xWindow attribute.</w:t>
      </w:r>
    </w:p>
    <w:p w:rsidR="005F78FC" w:rsidRDefault="00B42EF3">
      <w:pPr>
        <w:pStyle w:val="Definition-Field2"/>
      </w:pPr>
      <w:r>
        <w:t>Excel uses a default value of 0 for this attribute.</w:t>
      </w:r>
    </w:p>
    <w:p w:rsidR="005F78FC" w:rsidRDefault="00B42EF3">
      <w:pPr>
        <w:pStyle w:val="Definition-Field"/>
      </w:pPr>
      <w:r>
        <w:t xml:space="preserve">e.   </w:t>
      </w:r>
      <w:r>
        <w:rPr>
          <w:i/>
        </w:rPr>
        <w:t>The standard does not specify a default value for the yWindow attribute.</w:t>
      </w:r>
    </w:p>
    <w:p w:rsidR="005F78FC" w:rsidRDefault="00B42EF3">
      <w:pPr>
        <w:pStyle w:val="Definition-Field2"/>
      </w:pPr>
      <w:r>
        <w:t>Excel uses a defa</w:t>
      </w:r>
      <w:r>
        <w:t>ult value of 0 for this attribute.</w:t>
      </w:r>
    </w:p>
    <w:p w:rsidR="005F78FC" w:rsidRDefault="00B42EF3">
      <w:pPr>
        <w:pStyle w:val="Definition-Field"/>
      </w:pPr>
      <w:r>
        <w:t xml:space="preserve">f.   </w:t>
      </w:r>
      <w:r>
        <w:rPr>
          <w:i/>
        </w:rPr>
        <w:t>The standard does not specify a default value for the count attribute.</w:t>
      </w:r>
    </w:p>
    <w:p w:rsidR="005F78FC" w:rsidRDefault="00B42EF3">
      <w:pPr>
        <w:pStyle w:val="Definition-Field2"/>
      </w:pPr>
      <w:r>
        <w:t>Excel uses a default value of 0 for this attribute.</w:t>
      </w:r>
    </w:p>
    <w:p w:rsidR="005F78FC" w:rsidRDefault="00B42EF3">
      <w:pPr>
        <w:pStyle w:val="Definition-Field"/>
      </w:pPr>
      <w:r>
        <w:t xml:space="preserve">g.   </w:t>
      </w:r>
      <w:r>
        <w:rPr>
          <w:i/>
        </w:rPr>
        <w:t>The standard states that the maxOccurs value for the dataValidation child element is unb</w:t>
      </w:r>
      <w:r>
        <w:rPr>
          <w:i/>
        </w:rPr>
        <w:t>ounded.</w:t>
      </w:r>
    </w:p>
    <w:p w:rsidR="005F78FC" w:rsidRDefault="00B42EF3">
      <w:pPr>
        <w:pStyle w:val="Definition-Field2"/>
      </w:pPr>
      <w:r>
        <w:t>Excel limits the occurrences of this element to 65534.</w:t>
      </w:r>
    </w:p>
    <w:p w:rsidR="005F78FC" w:rsidRDefault="00B42EF3">
      <w:pPr>
        <w:pStyle w:val="Heading3"/>
      </w:pPr>
      <w:bookmarkStart w:id="1248" w:name="section_40af1ca11a054f24aad1190f60d7965e"/>
      <w:bookmarkStart w:id="1249" w:name="_Toc69878397"/>
      <w:r>
        <w:t>Part 1 Section 18.3.1.34, dialogsheet (Dialog Sheet)</w:t>
      </w:r>
      <w:bookmarkEnd w:id="1248"/>
      <w:bookmarkEnd w:id="1249"/>
      <w:r>
        <w:fldChar w:fldCharType="begin"/>
      </w:r>
      <w:r>
        <w:instrText xml:space="preserve"> XE "dialogsheet (Dialog Sheet)" </w:instrText>
      </w:r>
      <w:r>
        <w:fldChar w:fldCharType="end"/>
      </w:r>
    </w:p>
    <w:p w:rsidR="005F78FC" w:rsidRDefault="00B42EF3">
      <w:pPr>
        <w:pStyle w:val="Definition-Field"/>
      </w:pPr>
      <w:r>
        <w:t xml:space="preserve">a.   </w:t>
      </w:r>
      <w:r>
        <w:rPr>
          <w:i/>
        </w:rPr>
        <w:t>The standard states that the drawing element is specified in CT_Dialogsheet.</w:t>
      </w:r>
    </w:p>
    <w:p w:rsidR="005F78FC" w:rsidRDefault="00B42EF3">
      <w:pPr>
        <w:pStyle w:val="Definition-Field2"/>
      </w:pPr>
      <w:r>
        <w:t xml:space="preserve">Office never saves the </w:t>
      </w:r>
      <w:r>
        <w:t>drawing element.</w:t>
      </w:r>
    </w:p>
    <w:p w:rsidR="005F78FC" w:rsidRDefault="00B42EF3">
      <w:pPr>
        <w:pStyle w:val="Definition-Field"/>
      </w:pPr>
      <w:r>
        <w:t xml:space="preserve">b.   </w:t>
      </w:r>
      <w:r>
        <w:rPr>
          <w:i/>
        </w:rPr>
        <w:t>The standard states that the minOccurs value for the legacyDrawing child element is 0.</w:t>
      </w:r>
    </w:p>
    <w:p w:rsidR="005F78FC" w:rsidRDefault="00B42EF3">
      <w:pPr>
        <w:pStyle w:val="Definition-Field2"/>
      </w:pPr>
      <w:r>
        <w:t>Excel requires an occurrence of this element.</w:t>
      </w:r>
    </w:p>
    <w:p w:rsidR="005F78FC" w:rsidRDefault="00B42EF3">
      <w:pPr>
        <w:pStyle w:val="Definition-Field"/>
      </w:pPr>
      <w:r>
        <w:t xml:space="preserve">c.   </w:t>
      </w:r>
      <w:r>
        <w:rPr>
          <w:i/>
        </w:rPr>
        <w:t>The standard specifies that the drawingHF element is a valid child element of the dialogsheet el</w:t>
      </w:r>
      <w:r>
        <w:rPr>
          <w:i/>
        </w:rPr>
        <w:t>ement.</w:t>
      </w:r>
    </w:p>
    <w:p w:rsidR="005F78FC" w:rsidRDefault="00B42EF3">
      <w:pPr>
        <w:pStyle w:val="Definition-Field2"/>
      </w:pPr>
      <w:r>
        <w:lastRenderedPageBreak/>
        <w:t>Excel ignores the drawingHF element.</w:t>
      </w:r>
    </w:p>
    <w:p w:rsidR="005F78FC" w:rsidRDefault="00B42EF3">
      <w:pPr>
        <w:pStyle w:val="Heading3"/>
      </w:pPr>
      <w:bookmarkStart w:id="1250" w:name="section_efcc9c90877d48d4947f5194629db949"/>
      <w:bookmarkStart w:id="1251" w:name="_Toc69878398"/>
      <w:r>
        <w:t>Part 1 Section 18.3.1.36, drawing (Drawing)</w:t>
      </w:r>
      <w:bookmarkEnd w:id="1250"/>
      <w:bookmarkEnd w:id="1251"/>
      <w:r>
        <w:fldChar w:fldCharType="begin"/>
      </w:r>
      <w:r>
        <w:instrText xml:space="preserve"> XE "drawing (Drawing)"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40af1ca11a054f24aad1190f60d7965e">
        <w:r>
          <w:rPr>
            <w:rStyle w:val="Hyperlink"/>
          </w:rPr>
          <w:t>dialogsheet, §18.3.1.34(a)</w:t>
        </w:r>
      </w:hyperlink>
      <w:r>
        <w:rPr>
          <w:i/>
        </w:rPr>
        <w:t>.</w:t>
      </w:r>
    </w:p>
    <w:p w:rsidR="005F78FC" w:rsidRDefault="00B42EF3">
      <w:pPr>
        <w:pStyle w:val="Heading3"/>
      </w:pPr>
      <w:bookmarkStart w:id="1252" w:name="section_654ae6202cb44d9caa31e2ae86f121fc"/>
      <w:bookmarkStart w:id="1253" w:name="_Toc69878399"/>
      <w:r>
        <w:t>Part 1 Section 18.3.1.37, drawingHF (Drawing Reference in Header Footer)</w:t>
      </w:r>
      <w:bookmarkEnd w:id="1252"/>
      <w:bookmarkEnd w:id="1253"/>
      <w:r>
        <w:fldChar w:fldCharType="begin"/>
      </w:r>
      <w:r>
        <w:instrText xml:space="preserve"> XE "drawingHF (Drawing Reference in Header Footer)" </w:instrText>
      </w:r>
      <w:r>
        <w:fldChar w:fldCharType="end"/>
      </w:r>
    </w:p>
    <w:p w:rsidR="005F78FC" w:rsidRDefault="00B42EF3">
      <w:pPr>
        <w:pStyle w:val="Definition-Field"/>
      </w:pPr>
      <w:r>
        <w:t xml:space="preserve">a.   </w:t>
      </w:r>
      <w:r>
        <w:rPr>
          <w:i/>
        </w:rPr>
        <w:t>The standard specifies the drawingHF element.</w:t>
      </w:r>
    </w:p>
    <w:p w:rsidR="005F78FC" w:rsidRDefault="00B42EF3">
      <w:pPr>
        <w:pStyle w:val="Definition-Field2"/>
      </w:pPr>
      <w:r>
        <w:t>Excel will ignore the drawingHF elemen</w:t>
      </w:r>
      <w:r>
        <w:t>t.</w:t>
      </w:r>
    </w:p>
    <w:p w:rsidR="005F78FC" w:rsidRDefault="00B42EF3">
      <w:pPr>
        <w:pStyle w:val="Heading3"/>
      </w:pPr>
      <w:bookmarkStart w:id="1254" w:name="section_7843ab18de4c4bf18c84b20a414d6e4f"/>
      <w:bookmarkStart w:id="1255" w:name="_Toc69878400"/>
      <w:r>
        <w:t>Part 1 Section 18.3.1.38, evenFooter (Even Page Footer)</w:t>
      </w:r>
      <w:bookmarkEnd w:id="1254"/>
      <w:bookmarkEnd w:id="1255"/>
      <w:r>
        <w:fldChar w:fldCharType="begin"/>
      </w:r>
      <w:r>
        <w:instrText xml:space="preserve"> XE "evenFooter (Even Page Footer)" </w:instrText>
      </w:r>
      <w:r>
        <w:fldChar w:fldCharType="end"/>
      </w:r>
    </w:p>
    <w:p w:rsidR="005F78FC" w:rsidRDefault="00B42EF3">
      <w:pPr>
        <w:pStyle w:val="Definition-Field"/>
      </w:pPr>
      <w:r>
        <w:t xml:space="preserve">a.   </w:t>
      </w:r>
      <w:r>
        <w:rPr>
          <w:i/>
        </w:rPr>
        <w:t>The standard states that if no evenFooter is specified, then the oddFooter is used.</w:t>
      </w:r>
    </w:p>
    <w:p w:rsidR="005F78FC" w:rsidRDefault="00B42EF3">
      <w:pPr>
        <w:pStyle w:val="Definition-Field2"/>
      </w:pPr>
      <w:r>
        <w:t>In Office, oddFooter is used only when headerFooter@differentOddEven e</w:t>
      </w:r>
      <w:r>
        <w:t>quals false.</w:t>
      </w:r>
    </w:p>
    <w:p w:rsidR="005F78FC" w:rsidRDefault="00B42EF3">
      <w:pPr>
        <w:pStyle w:val="Definition-Field"/>
      </w:pPr>
      <w:r>
        <w:t xml:space="preserve">b.   </w:t>
      </w:r>
      <w:r>
        <w:rPr>
          <w:i/>
        </w:rPr>
        <w:t>The standard does not limit the length of the value of this element.</w:t>
      </w:r>
    </w:p>
    <w:p w:rsidR="005F78FC" w:rsidRDefault="00B42EF3">
      <w:pPr>
        <w:pStyle w:val="Definition-Field2"/>
      </w:pPr>
      <w:r>
        <w:t>Excel restricts the value of this element to be at most 255 characters.</w:t>
      </w:r>
    </w:p>
    <w:p w:rsidR="005F78FC" w:rsidRDefault="00B42EF3">
      <w:pPr>
        <w:pStyle w:val="Definition-Field"/>
      </w:pPr>
      <w:r>
        <w:t xml:space="preserve">c.   </w:t>
      </w:r>
      <w:r>
        <w:rPr>
          <w:i/>
        </w:rPr>
        <w:t>The standard makes no mention of an xml:space attribute.</w:t>
      </w:r>
    </w:p>
    <w:p w:rsidR="005F78FC" w:rsidRDefault="00B42EF3">
      <w:pPr>
        <w:pStyle w:val="Definition-Field2"/>
      </w:pPr>
      <w:r>
        <w:t xml:space="preserve">Excel uses this attribute to </w:t>
      </w:r>
      <w:r>
        <w:t>specify, using the W3C space preservation rules, how white space should be handled for the element's contents; its allowed values are defined by the XML 1.0 specification.</w:t>
      </w:r>
    </w:p>
    <w:p w:rsidR="005F78FC" w:rsidRDefault="00B42EF3">
      <w:pPr>
        <w:pStyle w:val="Heading3"/>
      </w:pPr>
      <w:bookmarkStart w:id="1256" w:name="section_c167a24345ad4def816e7032fb1adf5c"/>
      <w:bookmarkStart w:id="1257" w:name="_Toc69878401"/>
      <w:r>
        <w:t>Part 1 Section 18.3.1.39, evenHeader (Even Page Header)</w:t>
      </w:r>
      <w:bookmarkEnd w:id="1256"/>
      <w:bookmarkEnd w:id="1257"/>
      <w:r>
        <w:fldChar w:fldCharType="begin"/>
      </w:r>
      <w:r>
        <w:instrText xml:space="preserve"> XE "evenHeader (Even Page He</w:instrText>
      </w:r>
      <w:r>
        <w:instrText xml:space="preserve">ader)" </w:instrText>
      </w:r>
      <w:r>
        <w:fldChar w:fldCharType="end"/>
      </w:r>
    </w:p>
    <w:p w:rsidR="005F78FC" w:rsidRDefault="00B42EF3">
      <w:pPr>
        <w:pStyle w:val="Definition-Field"/>
      </w:pPr>
      <w:r>
        <w:t xml:space="preserve">a.   </w:t>
      </w:r>
      <w:r>
        <w:rPr>
          <w:i/>
        </w:rPr>
        <w:t>The standard states that if no evenHeader is specified, then the oddHeader is used.</w:t>
      </w:r>
    </w:p>
    <w:p w:rsidR="005F78FC" w:rsidRDefault="00B42EF3">
      <w:pPr>
        <w:pStyle w:val="Definition-Field2"/>
      </w:pPr>
      <w:r>
        <w:t>In Office, oddHeader is used only when headerFooter@differentOddEven equals false.</w:t>
      </w:r>
    </w:p>
    <w:p w:rsidR="005F78FC" w:rsidRDefault="00B42EF3">
      <w:pPr>
        <w:pStyle w:val="Definition-Field"/>
      </w:pPr>
      <w:r>
        <w:t xml:space="preserve">b.   </w:t>
      </w:r>
      <w:r>
        <w:rPr>
          <w:i/>
        </w:rPr>
        <w:t>The standard does not specify formatting codes in ABNF format.</w:t>
      </w:r>
    </w:p>
    <w:p w:rsidR="005F78FC" w:rsidRDefault="00B42EF3">
      <w:r>
        <w:t>Office</w:t>
      </w:r>
      <w:r>
        <w:t xml:space="preserve"> uses the following ABNF formatting codes to describe header and footer formatting:</w:t>
      </w:r>
    </w:p>
    <w:p w:rsidR="005F78FC" w:rsidRDefault="00B42EF3">
      <w:r>
        <w:t>headerfooter = *(left / pagenum / pagetotal / fontsize / strikethrough / superscript / subscript / center / date / time / filepath / picture / underline / doubleunderline /</w:t>
      </w:r>
      <w:r>
        <w:t xml:space="preserve"> right / bookpath / sheetname / fontname / fonttype / font / bold / italic / ampersand / emptytoken / UNICHAR)</w:t>
      </w:r>
    </w:p>
    <w:p w:rsidR="005F78FC" w:rsidRDefault="00B42EF3">
      <w:r>
        <w:t>UNICHAR = %x0020-FFFF</w:t>
      </w:r>
    </w:p>
    <w:p w:rsidR="005F78FC" w:rsidRDefault="00B42EF3">
      <w:r>
        <w:t>This code specifies Unicode characters, starting with the space character (%x0020).</w:t>
      </w:r>
    </w:p>
    <w:p w:rsidR="005F78FC" w:rsidRDefault="00B42EF3">
      <w:r>
        <w:t>DIGIT = %x0030-0039</w:t>
      </w:r>
    </w:p>
    <w:p w:rsidR="005F78FC" w:rsidRDefault="00B42EF3">
      <w:r>
        <w:t>This code specifies</w:t>
      </w:r>
      <w:r>
        <w:t xml:space="preserve"> a digit between 0 and 9.</w:t>
      </w:r>
    </w:p>
    <w:p w:rsidR="005F78FC" w:rsidRDefault="00B42EF3">
      <w:r>
        <w:t>HEXALPHA = %x0041-0046 / %x0061-0066</w:t>
      </w:r>
    </w:p>
    <w:p w:rsidR="005F78FC" w:rsidRDefault="00B42EF3">
      <w:r>
        <w:t>This code specifies a character between A and F or between a and f.</w:t>
      </w:r>
    </w:p>
    <w:p w:rsidR="005F78FC" w:rsidRDefault="00B42EF3">
      <w:r>
        <w:t>DQUOTE = %x0022</w:t>
      </w:r>
    </w:p>
    <w:p w:rsidR="005F78FC" w:rsidRDefault="00B42EF3">
      <w:r>
        <w:t>This code specifies a double quotation mark.</w:t>
      </w:r>
    </w:p>
    <w:p w:rsidR="005F78FC" w:rsidRDefault="00B42EF3">
      <w:r>
        <w:lastRenderedPageBreak/>
        <w:t>left = "&amp;L"</w:t>
      </w:r>
    </w:p>
    <w:p w:rsidR="005F78FC" w:rsidRDefault="00B42EF3">
      <w:r>
        <w:t>This code specifies the beginning of the left sectio</w:t>
      </w:r>
      <w:r>
        <w:t>n. There are three header and footer sections: left, center, and right. When two or more of this section marker exist, the contents from All markers are concatenated, in the order of appearance, and placed into the left section.</w:t>
      </w:r>
    </w:p>
    <w:p w:rsidR="005F78FC" w:rsidRDefault="00B42EF3">
      <w:r>
        <w:t>pagenum = "&amp;P"</w:t>
      </w:r>
    </w:p>
    <w:p w:rsidR="005F78FC" w:rsidRDefault="00B42EF3">
      <w:r>
        <w:t>This code sp</w:t>
      </w:r>
      <w:r>
        <w:t>ecifies the current page number.</w:t>
      </w:r>
    </w:p>
    <w:p w:rsidR="005F78FC" w:rsidRDefault="00B42EF3">
      <w:r>
        <w:t>pagetotal = "&amp;N" 0*1(("-" / "+") *DIGIT)</w:t>
      </w:r>
    </w:p>
    <w:p w:rsidR="005F78FC" w:rsidRDefault="00B42EF3">
      <w:r>
        <w:t>This code specifies the total number of pages.</w:t>
      </w:r>
    </w:p>
    <w:p w:rsidR="005F78FC" w:rsidRDefault="00B42EF3">
      <w:r>
        <w:t>fontsize = "&amp;" 1*3DIGIT</w:t>
      </w:r>
    </w:p>
    <w:p w:rsidR="005F78FC" w:rsidRDefault="00B42EF3">
      <w:r>
        <w:t>This code specifies the text font size, where font size is measured in points.</w:t>
      </w:r>
    </w:p>
    <w:p w:rsidR="005F78FC" w:rsidRDefault="00B42EF3">
      <w:r>
        <w:t>strikethrough = "&amp;S"</w:t>
      </w:r>
    </w:p>
    <w:p w:rsidR="005F78FC" w:rsidRDefault="00B42EF3">
      <w:r>
        <w:t>This code s</w:t>
      </w:r>
      <w:r>
        <w:t>pecifies whether the strikethrough text style is on or off. The first occurrence of this code must turn the strikethrough text style on, and the second occurrence must turn it off.</w:t>
      </w:r>
    </w:p>
    <w:p w:rsidR="005F78FC" w:rsidRDefault="00B42EF3">
      <w:r>
        <w:t>superscript = "&amp;X"</w:t>
      </w:r>
    </w:p>
    <w:p w:rsidR="005F78FC" w:rsidRDefault="00B42EF3">
      <w:r>
        <w:t xml:space="preserve">This code specifies whether the superscript text style </w:t>
      </w:r>
      <w:r>
        <w:t>is on or off. The first occurrence of this code must turn the superscript text style on, and the second occurrence must turn it off. The superscript and subscript codes must not both be on at same time. If both codes occur in the string, the code that occu</w:t>
      </w:r>
      <w:r>
        <w:t>rs first is applied and the other is ignored.</w:t>
      </w:r>
    </w:p>
    <w:p w:rsidR="005F78FC" w:rsidRDefault="00B42EF3">
      <w:r>
        <w:t>subscript = "&amp;Y"</w:t>
      </w:r>
    </w:p>
    <w:p w:rsidR="005F78FC" w:rsidRDefault="00B42EF3">
      <w:r>
        <w:t>This code specifies whether the subscript text style is on or off. The first occurrence of this code must turn the subscript text style on, and the second occurrence must turn it off. The super</w:t>
      </w:r>
      <w:r>
        <w:t>script and subscript codes must not both be on at same time. If both codes occur in the string, the code that occurs first is applied and the other is ignored.</w:t>
      </w:r>
    </w:p>
    <w:p w:rsidR="005F78FC" w:rsidRDefault="00B42EF3">
      <w:r>
        <w:t>center = "&amp;C"</w:t>
      </w:r>
    </w:p>
    <w:p w:rsidR="005F78FC" w:rsidRDefault="00B42EF3">
      <w:r>
        <w:t xml:space="preserve">This code specifies the beginning of the center section. When two or more of this </w:t>
      </w:r>
      <w:r>
        <w:t>section marker exist, the contents from All markers are concatenated, in the order of appearance, and placed into the center section.</w:t>
      </w:r>
    </w:p>
    <w:p w:rsidR="005F78FC" w:rsidRDefault="00B42EF3">
      <w:r>
        <w:t>date = "&amp;D"</w:t>
      </w:r>
    </w:p>
    <w:p w:rsidR="005F78FC" w:rsidRDefault="00B42EF3">
      <w:r>
        <w:t>This code specifies a date.</w:t>
      </w:r>
    </w:p>
    <w:p w:rsidR="005F78FC" w:rsidRDefault="00B42EF3">
      <w:r>
        <w:t>time = "&amp;T"</w:t>
      </w:r>
    </w:p>
    <w:p w:rsidR="005F78FC" w:rsidRDefault="00B42EF3">
      <w:r>
        <w:t>This code specifies a time.</w:t>
      </w:r>
    </w:p>
    <w:p w:rsidR="005F78FC" w:rsidRDefault="00B42EF3">
      <w:r>
        <w:t>picture = "&amp;G"</w:t>
      </w:r>
    </w:p>
    <w:p w:rsidR="005F78FC" w:rsidRDefault="00B42EF3">
      <w:r>
        <w:t>This code specifies a pictu</w:t>
      </w:r>
      <w:r>
        <w:t>re.</w:t>
      </w:r>
    </w:p>
    <w:p w:rsidR="005F78FC" w:rsidRDefault="00B42EF3">
      <w:r>
        <w:t>underline = "&amp;U"</w:t>
      </w:r>
    </w:p>
    <w:p w:rsidR="005F78FC" w:rsidRDefault="00B42EF3">
      <w:r>
        <w:t>This code specifies whether the single underline text style is on or off. The first occurrence of this code must turn the underline text style on, and the second occurrence must turn it off.</w:t>
      </w:r>
    </w:p>
    <w:p w:rsidR="005F78FC" w:rsidRDefault="00B42EF3">
      <w:r>
        <w:t>doubleunderline = "&amp;E"</w:t>
      </w:r>
    </w:p>
    <w:p w:rsidR="005F78FC" w:rsidRDefault="00B42EF3">
      <w:r>
        <w:lastRenderedPageBreak/>
        <w:t>This code specifies w</w:t>
      </w:r>
      <w:r>
        <w:t>hether the double underline text style is on or off. The first occurrence of this code must turn the double underline text style on, and the second occurrence must turn it off.</w:t>
      </w:r>
    </w:p>
    <w:p w:rsidR="005F78FC" w:rsidRDefault="00B42EF3">
      <w:r>
        <w:t>right = "&amp;R"</w:t>
      </w:r>
    </w:p>
    <w:p w:rsidR="005F78FC" w:rsidRDefault="00B42EF3">
      <w:r>
        <w:t>This code specifies the beginning of the right section. When two o</w:t>
      </w:r>
      <w:r>
        <w:t>r more of this section marker exist, the contents from All markers are concatenated, in the order of appearance, and placed into the right section.</w:t>
      </w:r>
    </w:p>
    <w:p w:rsidR="005F78FC" w:rsidRDefault="00B42EF3">
      <w:r>
        <w:t>bookpath = "&amp;Z"</w:t>
      </w:r>
    </w:p>
    <w:p w:rsidR="005F78FC" w:rsidRDefault="00B42EF3">
      <w:r>
        <w:t>This code specifies a workbook file path.</w:t>
      </w:r>
    </w:p>
    <w:p w:rsidR="005F78FC" w:rsidRDefault="00B42EF3">
      <w:r>
        <w:t>bookname = "&amp;F"</w:t>
      </w:r>
    </w:p>
    <w:p w:rsidR="005F78FC" w:rsidRDefault="00B42EF3">
      <w:r>
        <w:t>This code specifies a workbook fil</w:t>
      </w:r>
      <w:r>
        <w:t>e name.</w:t>
      </w:r>
    </w:p>
    <w:p w:rsidR="005F78FC" w:rsidRDefault="00B42EF3">
      <w:r>
        <w:t>sheetname = "&amp;A"</w:t>
      </w:r>
    </w:p>
    <w:p w:rsidR="005F78FC" w:rsidRDefault="00B42EF3">
      <w:r>
        <w:t>This code specifies a worksheet name.</w:t>
      </w:r>
    </w:p>
    <w:p w:rsidR="005F78FC" w:rsidRDefault="00B42EF3">
      <w:r>
        <w:t>fontname = (1*UNICHAR / "-")</w:t>
      </w:r>
    </w:p>
    <w:p w:rsidR="005F78FC" w:rsidRDefault="00B42EF3">
      <w:r>
        <w:t xml:space="preserve">This code specifies the text font name. When the font name is a hyphen, no font is specified. This can be a localized string. </w:t>
      </w:r>
    </w:p>
    <w:p w:rsidR="005F78FC" w:rsidRDefault="00B42EF3">
      <w:r>
        <w:t>fonttype = ("italic" / "bold" / "regu</w:t>
      </w:r>
      <w:r>
        <w:t>lar" / "italic bold" / "bold italic")</w:t>
      </w:r>
    </w:p>
    <w:p w:rsidR="005F78FC" w:rsidRDefault="00B42EF3">
      <w:r>
        <w:t xml:space="preserve">This code specifies the text font type. This can be a localized string. </w:t>
      </w:r>
    </w:p>
    <w:p w:rsidR="005F78FC" w:rsidRDefault="00B42EF3">
      <w:r>
        <w:t>font = "&amp;" DQUOTE fontname , fonttype DQUOTE</w:t>
      </w:r>
    </w:p>
    <w:p w:rsidR="005F78FC" w:rsidRDefault="00B42EF3">
      <w:r>
        <w:t>This code specifies the text font.</w:t>
      </w:r>
    </w:p>
    <w:p w:rsidR="005F78FC" w:rsidRDefault="00B42EF3">
      <w:r>
        <w:t>bold = "&amp;B"</w:t>
      </w:r>
    </w:p>
    <w:p w:rsidR="005F78FC" w:rsidRDefault="00B42EF3">
      <w:r>
        <w:t>This code specifies whether the bold text style is on</w:t>
      </w:r>
      <w:r>
        <w:t xml:space="preserve"> or off. The first occurrence of this code must turn the bold text style on, and the second occurrence must turn it off.</w:t>
      </w:r>
    </w:p>
    <w:p w:rsidR="005F78FC" w:rsidRDefault="00B42EF3">
      <w:r>
        <w:t>italic = "&amp;I"</w:t>
      </w:r>
    </w:p>
    <w:p w:rsidR="005F78FC" w:rsidRDefault="00B42EF3">
      <w:r>
        <w:t>This code specifies whether the italic text style is on or off. The first occurrence of this code must turn the italic te</w:t>
      </w:r>
      <w:r>
        <w:t>xt style on, and the second occurrence must turn it off.</w:t>
      </w:r>
    </w:p>
    <w:p w:rsidR="005F78FC" w:rsidRDefault="00B42EF3">
      <w:r>
        <w:t>ampersand = "&amp;&amp;"</w:t>
      </w:r>
    </w:p>
    <w:p w:rsidR="005F78FC" w:rsidRDefault="00B42EF3">
      <w:r>
        <w:t>This code specifies an ampersand character.</w:t>
      </w:r>
    </w:p>
    <w:p w:rsidR="005F78FC" w:rsidRDefault="00B42EF3">
      <w:r>
        <w:t>emptytoken = "&amp;" *1UNICHAR</w:t>
      </w:r>
    </w:p>
    <w:p w:rsidR="005F78FC" w:rsidRDefault="00B42EF3">
      <w:r>
        <w:t>This code specifies an unidentified token. If only "&amp;" appears, or if there is a UNICHAR specified after "&amp;" an</w:t>
      </w:r>
      <w:r>
        <w:t>d it is not one of the UNICHAR characters listed in the preceding rules, then the token is interpreted as empty and nothing is rendered in the header or footer text.</w:t>
      </w:r>
    </w:p>
    <w:p w:rsidR="005F78FC" w:rsidRDefault="00B42EF3">
      <w:pPr>
        <w:pStyle w:val="Definition-Field"/>
      </w:pPr>
      <w:r>
        <w:t xml:space="preserve">c.   </w:t>
      </w:r>
      <w:r>
        <w:rPr>
          <w:i/>
        </w:rPr>
        <w:t>The standard does not limit the length of the value of this element.</w:t>
      </w:r>
    </w:p>
    <w:p w:rsidR="005F78FC" w:rsidRDefault="00B42EF3">
      <w:pPr>
        <w:pStyle w:val="Definition-Field2"/>
      </w:pPr>
      <w:r>
        <w:t xml:space="preserve">Excel restricts </w:t>
      </w:r>
      <w:r>
        <w:t>the value of this element to be at most 255 characters.</w:t>
      </w:r>
    </w:p>
    <w:p w:rsidR="005F78FC" w:rsidRDefault="00B42EF3">
      <w:pPr>
        <w:pStyle w:val="Definition-Field"/>
      </w:pPr>
      <w:r>
        <w:t xml:space="preserve">d.   </w:t>
      </w:r>
      <w:r>
        <w:rPr>
          <w:i/>
        </w:rPr>
        <w:t>The standard makes no mention of an xml:space attribute.</w:t>
      </w:r>
    </w:p>
    <w:p w:rsidR="005F78FC" w:rsidRDefault="00B42EF3">
      <w:pPr>
        <w:pStyle w:val="Definition-Field2"/>
      </w:pPr>
      <w:r>
        <w:lastRenderedPageBreak/>
        <w:t>Excel uses this attribute to specify, using the W3C space preservation rules, how white space should be handled for the element's contents</w:t>
      </w:r>
      <w:r>
        <w:t>; its allowed values are defined by the XML 1.0 specification.</w:t>
      </w:r>
    </w:p>
    <w:p w:rsidR="005F78FC" w:rsidRDefault="00B42EF3">
      <w:pPr>
        <w:pStyle w:val="Heading3"/>
      </w:pPr>
      <w:bookmarkStart w:id="1258" w:name="section_b5d1f58cb1a14fcdaaa0ee7f4e8af9de"/>
      <w:bookmarkStart w:id="1259" w:name="_Toc69878402"/>
      <w:r>
        <w:t>Part 1 Section 18.3.1.40, f (Formula)</w:t>
      </w:r>
      <w:bookmarkEnd w:id="1258"/>
      <w:bookmarkEnd w:id="1259"/>
      <w:r>
        <w:fldChar w:fldCharType="begin"/>
      </w:r>
      <w:r>
        <w:instrText xml:space="preserve"> XE "f (Formula)" </w:instrText>
      </w:r>
      <w:r>
        <w:fldChar w:fldCharType="end"/>
      </w:r>
    </w:p>
    <w:p w:rsidR="005F78FC" w:rsidRDefault="00B42EF3">
      <w:pPr>
        <w:pStyle w:val="Definition-Field"/>
      </w:pPr>
      <w:r>
        <w:t xml:space="preserve">a.   </w:t>
      </w:r>
      <w:r>
        <w:rPr>
          <w:i/>
        </w:rPr>
        <w:t>The standard specifies that any cell in a worksheet may be the input cell for a data table.</w:t>
      </w:r>
    </w:p>
    <w:p w:rsidR="005F78FC" w:rsidRDefault="00B42EF3">
      <w:pPr>
        <w:pStyle w:val="Definition-Field2"/>
      </w:pPr>
      <w:r>
        <w:t>Office requires that the input cell no</w:t>
      </w:r>
      <w:r>
        <w:t>t belong to the cell range in the ref attribute, the master row or the master column - unless the cell is deleted as specified in attribute del1.</w:t>
      </w:r>
    </w:p>
    <w:p w:rsidR="005F78FC" w:rsidRDefault="00B42EF3">
      <w:pPr>
        <w:pStyle w:val="Definition-Field"/>
      </w:pPr>
      <w:r>
        <w:t xml:space="preserve">b.   </w:t>
      </w:r>
      <w:r>
        <w:rPr>
          <w:i/>
        </w:rPr>
        <w:t>The standard specifies a bx attribute value of true causes this formula to assign a value to a name.</w:t>
      </w:r>
    </w:p>
    <w:p w:rsidR="005F78FC" w:rsidRDefault="00B42EF3">
      <w:pPr>
        <w:pStyle w:val="Definition-Field2"/>
      </w:pPr>
      <w:r>
        <w:t>Offi</w:t>
      </w:r>
      <w:r>
        <w:t>ce requires the bx attribute to be always set to false.</w:t>
      </w:r>
    </w:p>
    <w:p w:rsidR="005F78FC" w:rsidRDefault="00B42EF3">
      <w:pPr>
        <w:pStyle w:val="Definition-Field"/>
      </w:pPr>
      <w:r>
        <w:t xml:space="preserve">c.   </w:t>
      </w:r>
      <w:r>
        <w:rPr>
          <w:i/>
        </w:rPr>
        <w:t>The standard specifies that attribute del2 applies to data table formulas only.</w:t>
      </w:r>
    </w:p>
    <w:p w:rsidR="005F78FC" w:rsidRDefault="00B42EF3">
      <w:pPr>
        <w:pStyle w:val="Definition-Field2"/>
      </w:pPr>
      <w:r>
        <w:t>Office uses attribute del2 for two-dimensional data table formulas only.</w:t>
      </w:r>
    </w:p>
    <w:p w:rsidR="005F78FC" w:rsidRDefault="00B42EF3">
      <w:pPr>
        <w:pStyle w:val="Definition-Field"/>
      </w:pPr>
      <w:r>
        <w:t xml:space="preserve">d.   </w:t>
      </w:r>
      <w:r>
        <w:rPr>
          <w:i/>
        </w:rPr>
        <w:t>The standard specifies that the top-l</w:t>
      </w:r>
      <w:r>
        <w:rPr>
          <w:i/>
        </w:rPr>
        <w:t>eft cell in the data table is the master cell.</w:t>
      </w:r>
    </w:p>
    <w:p w:rsidR="005F78FC" w:rsidRDefault="00B42EF3">
      <w:r>
        <w:t xml:space="preserve">The cell with the smallest row and column in the </w:t>
      </w:r>
      <w:r>
        <w:rPr>
          <w:b/>
        </w:rPr>
        <w:t>ref</w:t>
      </w:r>
      <w:r>
        <w:t xml:space="preserve"> attribute is called the master cell. The single column reference with the column one less than the smallest column in the </w:t>
      </w:r>
      <w:r>
        <w:rPr>
          <w:b/>
        </w:rPr>
        <w:t>ref</w:t>
      </w:r>
      <w:r>
        <w:t xml:space="preserve"> attribute and spanning the sam</w:t>
      </w:r>
      <w:r>
        <w:t xml:space="preserve">e rows as the cell range in the </w:t>
      </w:r>
      <w:r>
        <w:rPr>
          <w:b/>
        </w:rPr>
        <w:t>ref</w:t>
      </w:r>
      <w:r>
        <w:t xml:space="preserve"> attribute is called the master column. The single row reference with the row one less than the smallest row in the </w:t>
      </w:r>
      <w:r>
        <w:rPr>
          <w:b/>
        </w:rPr>
        <w:t>ref</w:t>
      </w:r>
      <w:r>
        <w:t xml:space="preserve"> attribute and spanning the same columns as the cell range in the </w:t>
      </w:r>
      <w:r>
        <w:rPr>
          <w:b/>
        </w:rPr>
        <w:t>ref</w:t>
      </w:r>
      <w:r>
        <w:t xml:space="preserve"> attribute is called the master r</w:t>
      </w:r>
      <w:r>
        <w:t>ow. The cell with the column and row one less than the master cell is called, the corner cell.</w:t>
      </w:r>
    </w:p>
    <w:p w:rsidR="005F78FC" w:rsidRDefault="00B42EF3">
      <w:r>
        <w:t>[Example:</w:t>
      </w:r>
    </w:p>
    <w:p w:rsidR="005F78FC" w:rsidRDefault="00B42EF3">
      <w:r>
        <w:t xml:space="preserve">The example shows the master cell, row and column, and the corner cell for the data table specified by the </w:t>
      </w:r>
      <w:r>
        <w:rPr>
          <w:b/>
        </w:rPr>
        <w:t>ref</w:t>
      </w:r>
      <w:r>
        <w:t xml:space="preserve"> attribute equal to </w:t>
      </w:r>
      <w:r>
        <w:rPr>
          <w:i/>
        </w:rPr>
        <w:t>“C4:E10”</w:t>
      </w:r>
      <w:r>
        <w:t>:</w:t>
      </w:r>
    </w:p>
    <w:p w:rsidR="005F78FC" w:rsidRDefault="00B42EF3">
      <w:r>
        <w:rPr>
          <w:noProof/>
        </w:rPr>
        <w:drawing>
          <wp:inline distT="0" distB="0" distL="0" distR="0">
            <wp:extent cx="3533775" cy="2695575"/>
            <wp:effectExtent l="0" t="0" r="0" b="0"/>
            <wp:docPr id="16" name="Picture 1" descr="Example data table specified by the ref attribute equal to C4 colon E10 shows the corner cell at B3, the master row from C3 to E3, the master column from B4 to B10, and the ref from C4 to E10 with C4 as the master cell" title="Example data table specified by the ref attribute equal to C4 colon 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17d0fb-0000-0000-0000-000000000000" descr="Example data table specified by the ref attribute equal to C4 colon E10 shows the corner cell at B3, the master row from C3 to E3, the master column from B4 to B10, and the ref from C4 to E10 with C4 as the master cell" title="Example data table specified by the ref attribute equal to C4 colon E10"/>
                    <pic:cNvPicPr>
                      <a:picLocks noChangeAspect="1" noChangeArrowheads="1"/>
                    </pic:cNvPicPr>
                  </pic:nvPicPr>
                  <pic:blipFill>
                    <a:blip r:embed="rId122" cstate="print"/>
                    <a:srcRect/>
                    <a:stretch>
                      <a:fillRect/>
                    </a:stretch>
                  </pic:blipFill>
                  <pic:spPr bwMode="auto">
                    <a:xfrm>
                      <a:off x="0" y="0"/>
                      <a:ext cx="3533775" cy="2695575"/>
                    </a:xfrm>
                    <a:prstGeom prst="rect">
                      <a:avLst/>
                    </a:prstGeom>
                    <a:noFill/>
                    <a:ln w="9525">
                      <a:noFill/>
                      <a:miter lim="800000"/>
                      <a:headEnd/>
                      <a:tailEnd/>
                    </a:ln>
                  </pic:spPr>
                </pic:pic>
              </a:graphicData>
            </a:graphic>
          </wp:inline>
        </w:drawing>
      </w:r>
    </w:p>
    <w:p w:rsidR="005F78FC" w:rsidRDefault="00B42EF3">
      <w:r>
        <w:t>end examp</w:t>
      </w:r>
      <w:r>
        <w:t>le]</w:t>
      </w:r>
    </w:p>
    <w:p w:rsidR="005F78FC" w:rsidRDefault="00B42EF3">
      <w:pPr>
        <w:pStyle w:val="Definition-Field"/>
      </w:pPr>
      <w:r>
        <w:t xml:space="preserve">e.   </w:t>
      </w:r>
      <w:r>
        <w:rPr>
          <w:i/>
        </w:rPr>
        <w:t>The standard specifies that if the aca attribute equals true, then that formula is an array formula.</w:t>
      </w:r>
    </w:p>
    <w:p w:rsidR="005F78FC" w:rsidRDefault="00B42EF3">
      <w:pPr>
        <w:pStyle w:val="Definition-Field2"/>
      </w:pPr>
      <w:r>
        <w:lastRenderedPageBreak/>
        <w:t>Office uses the t attribute value array to indicate an array formula. The aca attribute is ignored if the formula is not an array formula.</w:t>
      </w:r>
    </w:p>
    <w:p w:rsidR="005F78FC" w:rsidRDefault="00B42EF3">
      <w:pPr>
        <w:pStyle w:val="Definition-Field"/>
      </w:pPr>
      <w:r>
        <w:t xml:space="preserve">f.   </w:t>
      </w:r>
      <w:r>
        <w:rPr>
          <w:i/>
        </w:rPr>
        <w:t>Th</w:t>
      </w:r>
      <w:r>
        <w:rPr>
          <w:i/>
        </w:rPr>
        <w:t>e standard specifies that any cells in a worksheet may be the input cells for a two-dimensional data table.</w:t>
      </w:r>
    </w:p>
    <w:p w:rsidR="005F78FC" w:rsidRDefault="00B42EF3">
      <w:pPr>
        <w:pStyle w:val="Definition-Field2"/>
      </w:pPr>
      <w:r>
        <w:t xml:space="preserve">Office requires that the input cells not belong to the cell range in the ref attribute, the master row, the master column or the corner cell unless </w:t>
      </w:r>
      <w:r>
        <w:t>the corresponding cells are deleted as specified in attributes del1 and del2.</w:t>
      </w:r>
    </w:p>
    <w:p w:rsidR="005F78FC" w:rsidRDefault="00B42EF3">
      <w:pPr>
        <w:pStyle w:val="Definition-Field"/>
      </w:pPr>
      <w:r>
        <w:t xml:space="preserve">g.   </w:t>
      </w:r>
      <w:r>
        <w:rPr>
          <w:i/>
        </w:rPr>
        <w:t>The standard specifies that data tables are recalculated whenever a worksheet is recalculated.</w:t>
      </w:r>
    </w:p>
    <w:p w:rsidR="005F78FC" w:rsidRDefault="00B42EF3">
      <w:pPr>
        <w:pStyle w:val="Definition-Field2"/>
      </w:pPr>
      <w:r>
        <w:t>Office recalculates data tables as specified by calcPr@calcMode.</w:t>
      </w:r>
    </w:p>
    <w:p w:rsidR="005F78FC" w:rsidRDefault="00B42EF3">
      <w:pPr>
        <w:pStyle w:val="Definition-Field"/>
      </w:pPr>
      <w:r>
        <w:t xml:space="preserve">h.   </w:t>
      </w:r>
      <w:r>
        <w:rPr>
          <w:i/>
        </w:rPr>
        <w:t>The stan</w:t>
      </w:r>
      <w:r>
        <w:rPr>
          <w:i/>
        </w:rPr>
        <w:t>dard states that the si attribute is optional.</w:t>
      </w:r>
    </w:p>
    <w:p w:rsidR="005F78FC" w:rsidRDefault="00B42EF3">
      <w:pPr>
        <w:pStyle w:val="Definition-Field2"/>
      </w:pPr>
      <w:r>
        <w:t>Office requires the si attribute to exist when the t attribute equals shared and is ignored otherwise.</w:t>
      </w:r>
    </w:p>
    <w:p w:rsidR="005F78FC" w:rsidRDefault="00B42EF3">
      <w:pPr>
        <w:pStyle w:val="Definition-Field"/>
      </w:pPr>
      <w:r>
        <w:t xml:space="preserve">i.   </w:t>
      </w:r>
      <w:r>
        <w:rPr>
          <w:i/>
        </w:rPr>
        <w:t>The standard makes no mention of an xml:space attribute.</w:t>
      </w:r>
    </w:p>
    <w:p w:rsidR="005F78FC" w:rsidRDefault="00B42EF3">
      <w:pPr>
        <w:pStyle w:val="Definition-Field2"/>
      </w:pPr>
      <w:r>
        <w:t xml:space="preserve">Excel uses this attribute to specify, using </w:t>
      </w:r>
      <w:r>
        <w:t>the W3C space preservation rules, how white space should be handled for the element's contents; its allowed values are defined by the XML 1.0 specification.</w:t>
      </w:r>
    </w:p>
    <w:p w:rsidR="005F78FC" w:rsidRDefault="00B42EF3">
      <w:pPr>
        <w:pStyle w:val="Heading3"/>
      </w:pPr>
      <w:bookmarkStart w:id="1260" w:name="section_18f72dee69094641812773fff1ce7be4"/>
      <w:bookmarkStart w:id="1261" w:name="_Toc69878403"/>
      <w:r>
        <w:t>Part 1 Section 18.3.1.41, firstFooter (First Page Footer)</w:t>
      </w:r>
      <w:bookmarkEnd w:id="1260"/>
      <w:bookmarkEnd w:id="1261"/>
      <w:r>
        <w:fldChar w:fldCharType="begin"/>
      </w:r>
      <w:r>
        <w:instrText xml:space="preserve"> XE "firstFooter (First Page Footer)" </w:instrText>
      </w:r>
      <w:r>
        <w:fldChar w:fldCharType="end"/>
      </w:r>
    </w:p>
    <w:p w:rsidR="005F78FC" w:rsidRDefault="00B42EF3">
      <w:pPr>
        <w:pStyle w:val="Definition-Field"/>
      </w:pPr>
      <w:r>
        <w:t>a</w:t>
      </w:r>
      <w:r>
        <w:t xml:space="preserve">.   </w:t>
      </w:r>
      <w:r>
        <w:rPr>
          <w:i/>
        </w:rPr>
        <w:t>The standard does not limit the length of the value of this element.</w:t>
      </w:r>
    </w:p>
    <w:p w:rsidR="005F78FC" w:rsidRDefault="00B42EF3">
      <w:pPr>
        <w:pStyle w:val="Definition-Field2"/>
      </w:pPr>
      <w:r>
        <w:t>Excel restricts the value of this element to be at most 255 characters after escaped sequences are replaced with characters.</w:t>
      </w:r>
    </w:p>
    <w:p w:rsidR="005F78FC" w:rsidRDefault="00B42EF3">
      <w:pPr>
        <w:pStyle w:val="Definition-Field"/>
      </w:pPr>
      <w:r>
        <w:t xml:space="preserve">b.   </w:t>
      </w:r>
      <w:r>
        <w:rPr>
          <w:i/>
        </w:rPr>
        <w:t>The standard makes no mention of an xml:space attribu</w:t>
      </w:r>
      <w:r>
        <w:rPr>
          <w:i/>
        </w:rPr>
        <w:t>te.</w:t>
      </w:r>
    </w:p>
    <w:p w:rsidR="005F78FC" w:rsidRDefault="00B42EF3">
      <w:pPr>
        <w:pStyle w:val="Definition-Field2"/>
      </w:pPr>
      <w:r>
        <w:t>Excel uses this attribute to specify, using the W3C space preservation rules, how white space should be handled for the element's contents; its allowed values are defined by the XML 1.0 specification.</w:t>
      </w:r>
    </w:p>
    <w:p w:rsidR="005F78FC" w:rsidRDefault="00B42EF3">
      <w:pPr>
        <w:pStyle w:val="Heading3"/>
      </w:pPr>
      <w:bookmarkStart w:id="1262" w:name="section_9ec6794e9c71422da396ac2934bb3a35"/>
      <w:bookmarkStart w:id="1263" w:name="_Toc69878404"/>
      <w:r>
        <w:t>Part 1 Section 18.3.1.42, firstHeader (First Page H</w:t>
      </w:r>
      <w:r>
        <w:t>eader)</w:t>
      </w:r>
      <w:bookmarkEnd w:id="1262"/>
      <w:bookmarkEnd w:id="1263"/>
      <w:r>
        <w:fldChar w:fldCharType="begin"/>
      </w:r>
      <w:r>
        <w:instrText xml:space="preserve"> XE "firstHeader (First Page Header)" </w:instrText>
      </w:r>
      <w:r>
        <w:fldChar w:fldCharType="end"/>
      </w:r>
    </w:p>
    <w:p w:rsidR="005F78FC" w:rsidRDefault="00B42EF3">
      <w:pPr>
        <w:pStyle w:val="Definition-Field"/>
      </w:pPr>
      <w:r>
        <w:t xml:space="preserve">a.   </w:t>
      </w:r>
      <w:r>
        <w:rPr>
          <w:i/>
        </w:rPr>
        <w:t>The standard does not place any restrictions on the length of the value for this element.</w:t>
      </w:r>
    </w:p>
    <w:p w:rsidR="005F78FC" w:rsidRDefault="00B42EF3">
      <w:pPr>
        <w:pStyle w:val="Definition-Field2"/>
      </w:pPr>
      <w:r>
        <w:t>Office requires that the length of the value for this element be less than or equal to 255.</w:t>
      </w:r>
    </w:p>
    <w:p w:rsidR="005F78FC" w:rsidRDefault="00B42EF3">
      <w:pPr>
        <w:pStyle w:val="Definition-Field"/>
      </w:pPr>
      <w:r>
        <w:t xml:space="preserve">b.   </w:t>
      </w:r>
      <w:r>
        <w:rPr>
          <w:i/>
        </w:rPr>
        <w:t>The standard make</w:t>
      </w:r>
      <w:r>
        <w:rPr>
          <w:i/>
        </w:rPr>
        <w:t>s no mention of an xml:space attribute.</w:t>
      </w:r>
    </w:p>
    <w:p w:rsidR="005F78FC" w:rsidRDefault="00B42EF3">
      <w:pPr>
        <w:pStyle w:val="Definition-Field2"/>
      </w:pPr>
      <w:r>
        <w:t>Excel uses this attribute to specify, using the W3C space preservation rules, how white space should be handled for the element's contents; its allowed values are defined by the XML 1.0 specification.</w:t>
      </w:r>
    </w:p>
    <w:p w:rsidR="005F78FC" w:rsidRDefault="00B42EF3">
      <w:pPr>
        <w:pStyle w:val="Heading3"/>
      </w:pPr>
      <w:bookmarkStart w:id="1264" w:name="section_d0e6b3688e66420c94c4e9f9b23c6fba"/>
      <w:bookmarkStart w:id="1265" w:name="_Toc69878405"/>
      <w:r>
        <w:t xml:space="preserve">Part 1 Section </w:t>
      </w:r>
      <w:r>
        <w:t>18.3.1.43, formula (Formula)</w:t>
      </w:r>
      <w:bookmarkEnd w:id="1264"/>
      <w:bookmarkEnd w:id="1265"/>
      <w:r>
        <w:fldChar w:fldCharType="begin"/>
      </w:r>
      <w:r>
        <w:instrText xml:space="preserve"> XE "formula (Formula)" </w:instrText>
      </w:r>
      <w:r>
        <w:fldChar w:fldCharType="end"/>
      </w:r>
    </w:p>
    <w:p w:rsidR="005F78FC" w:rsidRDefault="00B42EF3">
      <w:pPr>
        <w:pStyle w:val="Definition-Field"/>
      </w:pPr>
      <w:r>
        <w:t xml:space="preserve">a.   </w:t>
      </w:r>
      <w:r>
        <w:rPr>
          <w:i/>
        </w:rPr>
        <w:t>The standard states that the content of this element is a formula whose calculated value specifies the criteria for the conditional formatting rule.</w:t>
      </w:r>
    </w:p>
    <w:p w:rsidR="005F78FC" w:rsidRDefault="00B42EF3">
      <w:r>
        <w:t>If the parent element for formula is rdn ("</w:t>
      </w:r>
      <w:hyperlink r:id="rId123">
        <w:r>
          <w:rPr>
            <w:rStyle w:val="Hyperlink"/>
          </w:rPr>
          <w:t>[ISO/IEC-29500-1]</w:t>
        </w:r>
      </w:hyperlink>
      <w:r>
        <w:t xml:space="preserve"> §18.11.1.13; rdn"), then the formula element represents a formula for a defined name and is defined by the grammar in Name Formulas (</w:t>
      </w:r>
      <w:hyperlink w:anchor="Section_da7f42ad0083451a98cfb475b578d91d">
        <w:r>
          <w:rPr>
            <w:rStyle w:val="Hyperlink"/>
          </w:rPr>
          <w:t>§3.2.3.1.4, Name Formulas</w:t>
        </w:r>
      </w:hyperlink>
      <w:r>
        <w:t>).</w:t>
      </w:r>
    </w:p>
    <w:p w:rsidR="005F78FC" w:rsidRDefault="00B42EF3">
      <w:r>
        <w:lastRenderedPageBreak/>
        <w:t>If the parent element for formula is cfRule ("[ISO/IEC-29500-1] §18.3.1.10; cfRule"), then the formula element represents a formula for a conditional formatting rule, and is defined by the grammar in Conditio</w:t>
      </w:r>
      <w:r>
        <w:t>nal Formatting Formulas (</w:t>
      </w:r>
      <w:hyperlink w:anchor="Section_ed5fc677a2444bfca1488ac15a6a97db">
        <w:r>
          <w:rPr>
            <w:rStyle w:val="Hyperlink"/>
          </w:rPr>
          <w:t>§3.2.3.1.2, Conditional Formatting Formulas</w:t>
        </w:r>
      </w:hyperlink>
      <w:r>
        <w:t>).</w:t>
      </w:r>
    </w:p>
    <w:p w:rsidR="005F78FC" w:rsidRDefault="00B42EF3">
      <w:pPr>
        <w:pStyle w:val="Definition-Field"/>
      </w:pPr>
      <w:r>
        <w:t xml:space="preserve">b.   </w:t>
      </w:r>
      <w:r>
        <w:rPr>
          <w:i/>
        </w:rPr>
        <w:t>The standard makes no mention of an xml:space attribute.</w:t>
      </w:r>
    </w:p>
    <w:p w:rsidR="005F78FC" w:rsidRDefault="00B42EF3">
      <w:pPr>
        <w:pStyle w:val="Definition-Field2"/>
      </w:pPr>
      <w:r>
        <w:t>Excel uses this attribute to specify, using the W3C space pr</w:t>
      </w:r>
      <w:r>
        <w:t>eservation rules, how white space should be handled for the element's contents; its allowed values are defined by the XML 1.0 specification.</w:t>
      </w:r>
    </w:p>
    <w:p w:rsidR="005F78FC" w:rsidRDefault="00B42EF3">
      <w:pPr>
        <w:pStyle w:val="Heading3"/>
      </w:pPr>
      <w:bookmarkStart w:id="1266" w:name="section_a8f97422b8d24692af51a4dd1750c66e"/>
      <w:bookmarkStart w:id="1267" w:name="_Toc69878406"/>
      <w:r>
        <w:t>Part 1 Section 18.3.1.44, formula1 (Formula 1)</w:t>
      </w:r>
      <w:bookmarkEnd w:id="1266"/>
      <w:bookmarkEnd w:id="1267"/>
      <w:r>
        <w:fldChar w:fldCharType="begin"/>
      </w:r>
      <w:r>
        <w:instrText xml:space="preserve"> XE "formula1 (Formula 1)" </w:instrText>
      </w:r>
      <w:r>
        <w:fldChar w:fldCharType="end"/>
      </w:r>
    </w:p>
    <w:p w:rsidR="005F78FC" w:rsidRDefault="00B42EF3">
      <w:pPr>
        <w:pStyle w:val="Definition-Field"/>
      </w:pPr>
      <w:r>
        <w:t xml:space="preserve">a.   </w:t>
      </w:r>
      <w:r>
        <w:rPr>
          <w:i/>
        </w:rPr>
        <w:t>The standard states that the conte</w:t>
      </w:r>
      <w:r>
        <w:rPr>
          <w:i/>
        </w:rPr>
        <w:t>nts of this element are an extension on the ST_Formula simple type.</w:t>
      </w:r>
    </w:p>
    <w:p w:rsidR="005F78FC" w:rsidRDefault="00B42EF3">
      <w:pPr>
        <w:pStyle w:val="Definition-Field2"/>
      </w:pPr>
      <w:r>
        <w:t>Excel requires the contents of this element for a data validation formula, as defined in Data Validation Formulas (</w:t>
      </w:r>
      <w:hyperlink w:anchor="Section_26e0ceb25b9342dc838c9e15c1a8cd8b">
        <w:r>
          <w:rPr>
            <w:rStyle w:val="Hyperlink"/>
          </w:rPr>
          <w:t>§3.2.3.1.3</w:t>
        </w:r>
        <w:r>
          <w:rPr>
            <w:rStyle w:val="Hyperlink"/>
          </w:rPr>
          <w:t>, Data Validation Formulas</w:t>
        </w:r>
      </w:hyperlink>
      <w:r>
        <w:t>).</w:t>
      </w:r>
    </w:p>
    <w:p w:rsidR="005F78FC" w:rsidRDefault="00B42EF3">
      <w:pPr>
        <w:pStyle w:val="Definition-Field"/>
      </w:pPr>
      <w:r>
        <w:t xml:space="preserve">b.   </w:t>
      </w:r>
      <w:r>
        <w:rPr>
          <w:i/>
        </w:rPr>
        <w:t>The standard makes no mention of an xml:space attribute.</w:t>
      </w:r>
    </w:p>
    <w:p w:rsidR="005F78FC" w:rsidRDefault="00B42EF3">
      <w:pPr>
        <w:pStyle w:val="Definition-Field2"/>
      </w:pPr>
      <w:r>
        <w:t>Excel uses this attribute to specify, using the W3C space preservation rules, how white space should be handled for the element's contents; its allowed values are de</w:t>
      </w:r>
      <w:r>
        <w:t>fined by the XML 1.0 specification.</w:t>
      </w:r>
    </w:p>
    <w:p w:rsidR="005F78FC" w:rsidRDefault="00B42EF3">
      <w:pPr>
        <w:pStyle w:val="Heading3"/>
      </w:pPr>
      <w:bookmarkStart w:id="1268" w:name="section_8636b952cceb43d6bc9b6b381cba0ea6"/>
      <w:bookmarkStart w:id="1269" w:name="_Toc69878407"/>
      <w:r>
        <w:t>Part 1 Section 18.3.1.45, formula2 (Formula 2)</w:t>
      </w:r>
      <w:bookmarkEnd w:id="1268"/>
      <w:bookmarkEnd w:id="1269"/>
      <w:r>
        <w:fldChar w:fldCharType="begin"/>
      </w:r>
      <w:r>
        <w:instrText xml:space="preserve"> XE "formula2 (Formula 2)" </w:instrText>
      </w:r>
      <w:r>
        <w:fldChar w:fldCharType="end"/>
      </w:r>
    </w:p>
    <w:p w:rsidR="005F78FC" w:rsidRDefault="00B42EF3">
      <w:pPr>
        <w:pStyle w:val="Definition-Field"/>
      </w:pPr>
      <w:r>
        <w:t xml:space="preserve">a.   </w:t>
      </w:r>
      <w:r>
        <w:rPr>
          <w:i/>
        </w:rPr>
        <w:t>The standard states that the contents of this element are an extension on the ST_Formula simple type.</w:t>
      </w:r>
    </w:p>
    <w:p w:rsidR="005F78FC" w:rsidRDefault="00B42EF3">
      <w:pPr>
        <w:pStyle w:val="Definition-Field2"/>
      </w:pPr>
      <w:r>
        <w:t xml:space="preserve">Excel requires the contents of this </w:t>
      </w:r>
      <w:r>
        <w:t>element to follow the grammar for a data validation formula, as defined in Data Validation Formulas (</w:t>
      </w:r>
      <w:hyperlink w:anchor="Section_26e0ceb25b9342dc838c9e15c1a8cd8b">
        <w:r>
          <w:rPr>
            <w:rStyle w:val="Hyperlink"/>
          </w:rPr>
          <w:t>§3.2.3.1.3, Data Validation Formulas</w:t>
        </w:r>
      </w:hyperlink>
      <w:r>
        <w:t>).</w:t>
      </w:r>
    </w:p>
    <w:p w:rsidR="005F78FC" w:rsidRDefault="00B42EF3">
      <w:pPr>
        <w:pStyle w:val="Definition-Field"/>
      </w:pPr>
      <w:r>
        <w:t xml:space="preserve">b.   </w:t>
      </w:r>
      <w:r>
        <w:rPr>
          <w:i/>
        </w:rPr>
        <w:t>The standard makes no mention of an xml:space at</w:t>
      </w:r>
      <w:r>
        <w:rPr>
          <w:i/>
        </w:rPr>
        <w:t>tribute.</w:t>
      </w:r>
    </w:p>
    <w:p w:rsidR="005F78FC" w:rsidRDefault="00B42EF3">
      <w:pPr>
        <w:pStyle w:val="Definition-Field2"/>
      </w:pPr>
      <w:r>
        <w:t>Excel uses this attribute to specify, using the W3C space preservation rules, how white space should be handled for the element's contents; its allowed values are defined by the XML 1.0 specification.</w:t>
      </w:r>
    </w:p>
    <w:p w:rsidR="005F78FC" w:rsidRDefault="00B42EF3">
      <w:pPr>
        <w:pStyle w:val="Heading3"/>
      </w:pPr>
      <w:bookmarkStart w:id="1270" w:name="section_842e6c5ecfaf4d168395a64547b5e22b"/>
      <w:bookmarkStart w:id="1271" w:name="_Toc69878408"/>
      <w:r>
        <w:t>Part 1 Section 18.3.1.47, hyperlink (Hyperlink</w:t>
      </w:r>
      <w:r>
        <w:t>)</w:t>
      </w:r>
      <w:bookmarkEnd w:id="1270"/>
      <w:bookmarkEnd w:id="1271"/>
      <w:r>
        <w:fldChar w:fldCharType="begin"/>
      </w:r>
      <w:r>
        <w:instrText xml:space="preserve"> XE "hyperlink (Hyperlink)" </w:instrText>
      </w:r>
      <w:r>
        <w:fldChar w:fldCharType="end"/>
      </w:r>
    </w:p>
    <w:p w:rsidR="005F78FC" w:rsidRDefault="00B42EF3">
      <w:pPr>
        <w:pStyle w:val="Definition-Field"/>
      </w:pPr>
      <w:r>
        <w:t xml:space="preserve">a.   </w:t>
      </w:r>
      <w:r>
        <w:rPr>
          <w:i/>
        </w:rPr>
        <w:t>The standard does not place any restrictions on the length of the value for the location attribute.</w:t>
      </w:r>
    </w:p>
    <w:p w:rsidR="005F78FC" w:rsidRDefault="00B42EF3">
      <w:pPr>
        <w:pStyle w:val="Definition-Field2"/>
      </w:pPr>
      <w:r>
        <w:t>Office requires that length of the location attribute be between 0 and 2084 inclusive.</w:t>
      </w:r>
    </w:p>
    <w:p w:rsidR="005F78FC" w:rsidRDefault="00B42EF3">
      <w:pPr>
        <w:pStyle w:val="Definition-Field"/>
      </w:pPr>
      <w:r>
        <w:t xml:space="preserve">b.   </w:t>
      </w:r>
      <w:r>
        <w:rPr>
          <w:i/>
        </w:rPr>
        <w:t>The standard does not place</w:t>
      </w:r>
      <w:r>
        <w:rPr>
          <w:i/>
        </w:rPr>
        <w:t xml:space="preserve"> any restrictions on the length of the value for the display attribute.</w:t>
      </w:r>
    </w:p>
    <w:p w:rsidR="005F78FC" w:rsidRDefault="00B42EF3">
      <w:pPr>
        <w:pStyle w:val="Definition-Field2"/>
      </w:pPr>
      <w:r>
        <w:t>Office requires that the length of the display attribute be between 0 and 2084 inclusive.</w:t>
      </w:r>
    </w:p>
    <w:p w:rsidR="005F78FC" w:rsidRDefault="00B42EF3">
      <w:pPr>
        <w:pStyle w:val="Definition-Field"/>
      </w:pPr>
      <w:r>
        <w:t xml:space="preserve">c.   </w:t>
      </w:r>
      <w:r>
        <w:rPr>
          <w:i/>
        </w:rPr>
        <w:t>The standard does not place any restrictions on the length of the value for the tooltip a</w:t>
      </w:r>
      <w:r>
        <w:rPr>
          <w:i/>
        </w:rPr>
        <w:t>ttribute.</w:t>
      </w:r>
    </w:p>
    <w:p w:rsidR="005F78FC" w:rsidRDefault="00B42EF3">
      <w:pPr>
        <w:pStyle w:val="Definition-Field2"/>
      </w:pPr>
      <w:r>
        <w:t>Office requires that the tooltip attribute be less than or equal to 255 characters in length.</w:t>
      </w:r>
    </w:p>
    <w:p w:rsidR="005F78FC" w:rsidRDefault="00B42EF3">
      <w:pPr>
        <w:pStyle w:val="Heading3"/>
      </w:pPr>
      <w:bookmarkStart w:id="1272" w:name="section_68d330fe5d134f51a64f8fea06399023"/>
      <w:bookmarkStart w:id="1273" w:name="_Toc69878409"/>
      <w:r>
        <w:t>Part 1 Section 18.3.1.50, ignoredError (Ignored Error)</w:t>
      </w:r>
      <w:bookmarkEnd w:id="1272"/>
      <w:bookmarkEnd w:id="1273"/>
      <w:r>
        <w:fldChar w:fldCharType="begin"/>
      </w:r>
      <w:r>
        <w:instrText xml:space="preserve"> XE "ignoredError (Ignored Error)" </w:instrText>
      </w:r>
      <w:r>
        <w:fldChar w:fldCharType="end"/>
      </w:r>
    </w:p>
    <w:p w:rsidR="005F78FC" w:rsidRDefault="00B42EF3">
      <w:pPr>
        <w:pStyle w:val="Definition-Field"/>
      </w:pPr>
      <w:r>
        <w:t xml:space="preserve">a.   </w:t>
      </w:r>
      <w:r>
        <w:rPr>
          <w:i/>
        </w:rPr>
        <w:t>The standard does not specify the maximum item number o</w:t>
      </w:r>
      <w:r>
        <w:rPr>
          <w:i/>
        </w:rPr>
        <w:t>f the sqref attribute.</w:t>
      </w:r>
    </w:p>
    <w:p w:rsidR="005F78FC" w:rsidRDefault="00B42EF3">
      <w:pPr>
        <w:pStyle w:val="Definition-Field2"/>
      </w:pPr>
      <w:r>
        <w:t>Office defines the maximum item number of the sqref attribute as 2147483647.</w:t>
      </w:r>
    </w:p>
    <w:p w:rsidR="005F78FC" w:rsidRDefault="00B42EF3">
      <w:pPr>
        <w:pStyle w:val="Heading3"/>
      </w:pPr>
      <w:bookmarkStart w:id="1274" w:name="section_cdd4f652cf064ebcad4ba9d647ff7888"/>
      <w:bookmarkStart w:id="1275" w:name="_Toc69878410"/>
      <w:r>
        <w:lastRenderedPageBreak/>
        <w:t>Part 1 Section 18.3.1.51, ignoredErrors (Ignored Errors)</w:t>
      </w:r>
      <w:bookmarkEnd w:id="1274"/>
      <w:bookmarkEnd w:id="1275"/>
      <w:r>
        <w:fldChar w:fldCharType="begin"/>
      </w:r>
      <w:r>
        <w:instrText xml:space="preserve"> XE "ignoredErrors (Ignored Errors)" </w:instrText>
      </w:r>
      <w:r>
        <w:fldChar w:fldCharType="end"/>
      </w:r>
    </w:p>
    <w:p w:rsidR="005F78FC" w:rsidRDefault="00B42EF3">
      <w:pPr>
        <w:pStyle w:val="Definition-Field"/>
      </w:pPr>
      <w:r>
        <w:t xml:space="preserve">a.   </w:t>
      </w:r>
      <w:r>
        <w:rPr>
          <w:i/>
        </w:rPr>
        <w:t>The standard states that the maxOccurs value for the ig</w:t>
      </w:r>
      <w:r>
        <w:rPr>
          <w:i/>
        </w:rPr>
        <w:t>noredError child element is unbounded.</w:t>
      </w:r>
    </w:p>
    <w:p w:rsidR="005F78FC" w:rsidRDefault="00B42EF3">
      <w:pPr>
        <w:pStyle w:val="Definition-Field2"/>
      </w:pPr>
      <w:r>
        <w:t>Excel limits the occurrences of this element to 9.</w:t>
      </w:r>
    </w:p>
    <w:p w:rsidR="005F78FC" w:rsidRDefault="00B42EF3">
      <w:pPr>
        <w:pStyle w:val="Heading3"/>
      </w:pPr>
      <w:bookmarkStart w:id="1276" w:name="section_2682468cc87f48c5a82bb5f915749eb0"/>
      <w:bookmarkStart w:id="1277" w:name="_Toc69878411"/>
      <w:r>
        <w:t>Part 1 Section 18.3.1.52, inputCells (Input Cells)</w:t>
      </w:r>
      <w:bookmarkEnd w:id="1276"/>
      <w:bookmarkEnd w:id="1277"/>
      <w:r>
        <w:fldChar w:fldCharType="begin"/>
      </w:r>
      <w:r>
        <w:instrText xml:space="preserve"> XE "inputCells (Input Cells)" </w:instrText>
      </w:r>
      <w:r>
        <w:fldChar w:fldCharType="end"/>
      </w:r>
    </w:p>
    <w:p w:rsidR="005F78FC" w:rsidRDefault="00B42EF3">
      <w:pPr>
        <w:pStyle w:val="Definition-Field2"/>
      </w:pPr>
      <w:r>
        <w:rPr>
          <w:i/>
        </w:rPr>
        <w:t>For additional notes that apply to this portion of the standard, please see the no</w:t>
      </w:r>
      <w:r>
        <w:rPr>
          <w:i/>
        </w:rPr>
        <w:t xml:space="preserve">tes for </w:t>
      </w:r>
      <w:hyperlink w:anchor="Section_44a549a0150b49d0bb6be02bc5122381">
        <w:r>
          <w:rPr>
            <w:rStyle w:val="Hyperlink"/>
          </w:rPr>
          <w:t>scenario, §18.3.1.75(c, d)</w:t>
        </w:r>
      </w:hyperlink>
      <w:r>
        <w:rPr>
          <w:i/>
        </w:rPr>
        <w:t>.</w:t>
      </w:r>
    </w:p>
    <w:p w:rsidR="005F78FC" w:rsidRDefault="00B42EF3">
      <w:pPr>
        <w:pStyle w:val="Definition-Field"/>
      </w:pPr>
      <w:r>
        <w:t xml:space="preserve">a.   </w:t>
      </w:r>
      <w:r>
        <w:rPr>
          <w:i/>
        </w:rPr>
        <w:t>The standard does not limit the length of the value of the val attribute.</w:t>
      </w:r>
    </w:p>
    <w:p w:rsidR="005F78FC" w:rsidRDefault="00B42EF3">
      <w:pPr>
        <w:pStyle w:val="Definition-Field2"/>
      </w:pPr>
      <w:r>
        <w:t>Excel restricts the value of this attribute to be at most 255 characters, afte</w:t>
      </w:r>
      <w:r>
        <w:t>r decoding.</w:t>
      </w:r>
    </w:p>
    <w:p w:rsidR="005F78FC" w:rsidRDefault="00B42EF3">
      <w:pPr>
        <w:pStyle w:val="Definition-Field"/>
      </w:pPr>
      <w:r>
        <w:t xml:space="preserve">b.   </w:t>
      </w:r>
      <w:r>
        <w:rPr>
          <w:i/>
        </w:rPr>
        <w:t>The standard does not specify a default value for the numFmtId attribute.</w:t>
      </w:r>
    </w:p>
    <w:p w:rsidR="005F78FC" w:rsidRDefault="00B42EF3">
      <w:pPr>
        <w:pStyle w:val="Definition-Field2"/>
      </w:pPr>
      <w:r>
        <w:t>Excel uses a default value of 0 for this attribute.</w:t>
      </w:r>
    </w:p>
    <w:p w:rsidR="005F78FC" w:rsidRDefault="00B42EF3">
      <w:pPr>
        <w:pStyle w:val="Definition-Field"/>
      </w:pPr>
      <w:r>
        <w:t xml:space="preserve">c.   </w:t>
      </w:r>
      <w:r>
        <w:rPr>
          <w:i/>
        </w:rPr>
        <w:t>The standard states that @deleted prevents the inputCell from being a part of a scenario when run.</w:t>
      </w:r>
    </w:p>
    <w:p w:rsidR="005F78FC" w:rsidRDefault="00B42EF3">
      <w:pPr>
        <w:pStyle w:val="Definition-Field2"/>
      </w:pPr>
      <w:r>
        <w:t>Office in</w:t>
      </w:r>
      <w:r>
        <w:t>cludes inputCells that have @deleted="true" when running a scenario.</w:t>
      </w:r>
    </w:p>
    <w:p w:rsidR="005F78FC" w:rsidRDefault="00B42EF3">
      <w:pPr>
        <w:pStyle w:val="Definition-Field"/>
      </w:pPr>
      <w:r>
        <w:t xml:space="preserve">d.   </w:t>
      </w:r>
      <w:r>
        <w:rPr>
          <w:i/>
        </w:rPr>
        <w:t>The standard states a usage for the @numFmtId field.</w:t>
      </w:r>
    </w:p>
    <w:p w:rsidR="005F78FC" w:rsidRDefault="00B42EF3">
      <w:pPr>
        <w:pStyle w:val="Definition-Field2"/>
      </w:pPr>
      <w:r>
        <w:t>In Office @numFmtId is the number formatting used to display the input values for the scenario when it was created.</w:t>
      </w:r>
    </w:p>
    <w:p w:rsidR="005F78FC" w:rsidRDefault="00B42EF3">
      <w:pPr>
        <w:pStyle w:val="Heading3"/>
      </w:pPr>
      <w:bookmarkStart w:id="1278" w:name="section_76b69cb6d97e4dd28106a823c4e65d0c"/>
      <w:bookmarkStart w:id="1279" w:name="_Toc69878412"/>
      <w:r>
        <w:t>Part 1 Sectio</w:t>
      </w:r>
      <w:r>
        <w:t>n 18.3.1.53, is (Rich Text Inline)</w:t>
      </w:r>
      <w:bookmarkEnd w:id="1278"/>
      <w:bookmarkEnd w:id="1279"/>
      <w:r>
        <w:fldChar w:fldCharType="begin"/>
      </w:r>
      <w:r>
        <w:instrText xml:space="preserve"> XE "is (Rich Text Inline)" </w:instrText>
      </w:r>
      <w:r>
        <w:fldChar w:fldCharType="end"/>
      </w:r>
    </w:p>
    <w:p w:rsidR="005F78FC" w:rsidRDefault="00B42EF3">
      <w:pPr>
        <w:pStyle w:val="Definition-Field"/>
      </w:pPr>
      <w:r>
        <w:t xml:space="preserve">a.   </w:t>
      </w:r>
      <w:r>
        <w:rPr>
          <w:i/>
        </w:rPr>
        <w:t>The standard states that the maxOccurs value for the r child element is unbounded.</w:t>
      </w:r>
    </w:p>
    <w:p w:rsidR="005F78FC" w:rsidRDefault="00B42EF3">
      <w:pPr>
        <w:pStyle w:val="Definition-Field2"/>
      </w:pPr>
      <w:r>
        <w:t>Excel limits the occurrences of this element to 32767.</w:t>
      </w:r>
    </w:p>
    <w:p w:rsidR="005F78FC" w:rsidRDefault="00B42EF3">
      <w:pPr>
        <w:pStyle w:val="Definition-Field"/>
      </w:pPr>
      <w:r>
        <w:t xml:space="preserve">b.   </w:t>
      </w:r>
      <w:r>
        <w:rPr>
          <w:i/>
        </w:rPr>
        <w:t xml:space="preserve">The standard states that the maxOccurs </w:t>
      </w:r>
      <w:r>
        <w:rPr>
          <w:i/>
        </w:rPr>
        <w:t>value for the rPh child element is unbounded.</w:t>
      </w:r>
    </w:p>
    <w:p w:rsidR="005F78FC" w:rsidRDefault="00B42EF3">
      <w:pPr>
        <w:pStyle w:val="Definition-Field2"/>
      </w:pPr>
      <w:r>
        <w:t>Excel limits the occurrences of this element to 32767.</w:t>
      </w:r>
    </w:p>
    <w:p w:rsidR="005F78FC" w:rsidRDefault="00B42EF3">
      <w:pPr>
        <w:pStyle w:val="Heading3"/>
      </w:pPr>
      <w:bookmarkStart w:id="1280" w:name="section_8a2a99c9bfc54d448d003046b75af83c"/>
      <w:bookmarkStart w:id="1281" w:name="_Toc69878413"/>
      <w:r>
        <w:t>Part 1 Section 18.3.1.55, mergeCells (Merge Cells)</w:t>
      </w:r>
      <w:bookmarkEnd w:id="1280"/>
      <w:bookmarkEnd w:id="1281"/>
      <w:r>
        <w:fldChar w:fldCharType="begin"/>
      </w:r>
      <w:r>
        <w:instrText xml:space="preserve"> XE "mergeCells (Merge Cells)" </w:instrText>
      </w:r>
      <w:r>
        <w:fldChar w:fldCharType="end"/>
      </w:r>
    </w:p>
    <w:p w:rsidR="005F78FC" w:rsidRDefault="00B42EF3">
      <w:pPr>
        <w:pStyle w:val="Definition-Field"/>
      </w:pPr>
      <w:r>
        <w:t xml:space="preserve">a.   </w:t>
      </w:r>
      <w:r>
        <w:rPr>
          <w:i/>
        </w:rPr>
        <w:t>The standard states that the maxOccurs value for the mergeCell chi</w:t>
      </w:r>
      <w:r>
        <w:rPr>
          <w:i/>
        </w:rPr>
        <w:t>ld element is unbounded.</w:t>
      </w:r>
    </w:p>
    <w:p w:rsidR="005F78FC" w:rsidRDefault="00B42EF3">
      <w:pPr>
        <w:pStyle w:val="Definition-Field2"/>
      </w:pPr>
      <w:r>
        <w:t>Excel limits the occurrences of this element to 4294967294.</w:t>
      </w:r>
    </w:p>
    <w:p w:rsidR="005F78FC" w:rsidRDefault="00B42EF3">
      <w:pPr>
        <w:pStyle w:val="Heading3"/>
      </w:pPr>
      <w:bookmarkStart w:id="1282" w:name="section_0c52058fe8c545a5802053ab9fb28d21"/>
      <w:bookmarkStart w:id="1283" w:name="_Toc69878414"/>
      <w:r>
        <w:t>Part 1 Section 18.3.1.56, objectPr (Embedded Object Properties)</w:t>
      </w:r>
      <w:bookmarkEnd w:id="1282"/>
      <w:bookmarkEnd w:id="1283"/>
      <w:r>
        <w:fldChar w:fldCharType="begin"/>
      </w:r>
      <w:r>
        <w:instrText xml:space="preserve"> XE "objectPr (Embedded Object Properties)" </w:instrText>
      </w:r>
      <w:r>
        <w:fldChar w:fldCharType="end"/>
      </w:r>
    </w:p>
    <w:p w:rsidR="005F78FC" w:rsidRDefault="00B42EF3">
      <w:pPr>
        <w:pStyle w:val="Definition-Field"/>
      </w:pPr>
      <w:r>
        <w:t xml:space="preserve">a.   </w:t>
      </w:r>
      <w:r>
        <w:rPr>
          <w:i/>
        </w:rPr>
        <w:t>The standard specifies that setting the disabled attribu</w:t>
      </w:r>
      <w:r>
        <w:rPr>
          <w:i/>
        </w:rPr>
        <w:t>te to true disables the running of the specified macro.</w:t>
      </w:r>
    </w:p>
    <w:p w:rsidR="005F78FC" w:rsidRDefault="00B42EF3">
      <w:pPr>
        <w:pStyle w:val="Definition-Field2"/>
      </w:pPr>
      <w:r>
        <w:t>Office allows the specified macro to run regardless of the value assigned to disabled.</w:t>
      </w:r>
    </w:p>
    <w:p w:rsidR="005F78FC" w:rsidRDefault="00B42EF3">
      <w:pPr>
        <w:pStyle w:val="Heading3"/>
      </w:pPr>
      <w:bookmarkStart w:id="1284" w:name="section_18a8d65524df4375aa1133c30b9ee92c"/>
      <w:bookmarkStart w:id="1285" w:name="_Toc69878415"/>
      <w:r>
        <w:t>Part 1 Section 18.3.1.57, oddFooter (Odd Page Footer)</w:t>
      </w:r>
      <w:bookmarkEnd w:id="1284"/>
      <w:bookmarkEnd w:id="1285"/>
      <w:r>
        <w:fldChar w:fldCharType="begin"/>
      </w:r>
      <w:r>
        <w:instrText xml:space="preserve"> XE "oddFooter (Odd Page Footer)" </w:instrText>
      </w:r>
      <w:r>
        <w:fldChar w:fldCharType="end"/>
      </w:r>
    </w:p>
    <w:p w:rsidR="005F78FC" w:rsidRDefault="00B42EF3">
      <w:pPr>
        <w:pStyle w:val="Definition-Field"/>
      </w:pPr>
      <w:r>
        <w:t xml:space="preserve">a.   </w:t>
      </w:r>
      <w:r>
        <w:rPr>
          <w:i/>
        </w:rPr>
        <w:t xml:space="preserve">The standard does </w:t>
      </w:r>
      <w:r>
        <w:rPr>
          <w:i/>
        </w:rPr>
        <w:t>not limit the length of the value of this element.</w:t>
      </w:r>
    </w:p>
    <w:p w:rsidR="005F78FC" w:rsidRDefault="00B42EF3">
      <w:pPr>
        <w:pStyle w:val="Definition-Field2"/>
      </w:pPr>
      <w:r>
        <w:t>Excel restricts the value of this element to be at most 255 characters.</w:t>
      </w:r>
    </w:p>
    <w:p w:rsidR="005F78FC" w:rsidRDefault="00B42EF3">
      <w:pPr>
        <w:pStyle w:val="Definition-Field"/>
      </w:pPr>
      <w:r>
        <w:t xml:space="preserve">b.   </w:t>
      </w:r>
      <w:r>
        <w:rPr>
          <w:i/>
        </w:rPr>
        <w:t>The standard makes no mention of an xml:space attribute.</w:t>
      </w:r>
    </w:p>
    <w:p w:rsidR="005F78FC" w:rsidRDefault="00B42EF3">
      <w:pPr>
        <w:pStyle w:val="Definition-Field2"/>
      </w:pPr>
      <w:r>
        <w:lastRenderedPageBreak/>
        <w:t xml:space="preserve">Excel uses this attribute to specify, using the W3C space preservation </w:t>
      </w:r>
      <w:r>
        <w:t>rules, how white space should be handled for the element's contents; its allowed values are defined by the XML 1.0 specification.</w:t>
      </w:r>
    </w:p>
    <w:p w:rsidR="005F78FC" w:rsidRDefault="00B42EF3">
      <w:pPr>
        <w:pStyle w:val="Heading3"/>
      </w:pPr>
      <w:bookmarkStart w:id="1286" w:name="section_f477f387b8614166b8494e35f8cc5a95"/>
      <w:bookmarkStart w:id="1287" w:name="_Toc69878416"/>
      <w:r>
        <w:t>Part 1 Section 18.3.1.58, oddHeader (Odd Header)</w:t>
      </w:r>
      <w:bookmarkEnd w:id="1286"/>
      <w:bookmarkEnd w:id="1287"/>
      <w:r>
        <w:fldChar w:fldCharType="begin"/>
      </w:r>
      <w:r>
        <w:instrText xml:space="preserve"> XE "oddHeader (Odd Header)" </w:instrText>
      </w:r>
      <w:r>
        <w:fldChar w:fldCharType="end"/>
      </w:r>
    </w:p>
    <w:p w:rsidR="005F78FC" w:rsidRDefault="00B42EF3">
      <w:pPr>
        <w:pStyle w:val="Definition-Field"/>
      </w:pPr>
      <w:r>
        <w:t xml:space="preserve">a.   </w:t>
      </w:r>
      <w:r>
        <w:rPr>
          <w:i/>
        </w:rPr>
        <w:t>The standard does not limit the length of</w:t>
      </w:r>
      <w:r>
        <w:rPr>
          <w:i/>
        </w:rPr>
        <w:t xml:space="preserve"> the value of this element.</w:t>
      </w:r>
    </w:p>
    <w:p w:rsidR="005F78FC" w:rsidRDefault="00B42EF3">
      <w:pPr>
        <w:pStyle w:val="Definition-Field2"/>
      </w:pPr>
      <w:r>
        <w:t>Excel restricts the value of this element to be at most 255 characters.</w:t>
      </w:r>
    </w:p>
    <w:p w:rsidR="005F78FC" w:rsidRDefault="00B42EF3">
      <w:pPr>
        <w:pStyle w:val="Definition-Field"/>
      </w:pPr>
      <w:r>
        <w:t xml:space="preserve">b.   </w:t>
      </w:r>
      <w:r>
        <w:rPr>
          <w:i/>
        </w:rPr>
        <w:t>The standard makes no mention of an xml:space attribute.</w:t>
      </w:r>
    </w:p>
    <w:p w:rsidR="005F78FC" w:rsidRDefault="00B42EF3">
      <w:pPr>
        <w:pStyle w:val="Definition-Field2"/>
      </w:pPr>
      <w:r>
        <w:t xml:space="preserve">Excel uses this attribute to specify, using the W3C space preservation rules, how white space </w:t>
      </w:r>
      <w:r>
        <w:t>should be handled for the element's contents; its allowed values are defined by the XML 1.0 specification.</w:t>
      </w:r>
    </w:p>
    <w:p w:rsidR="005F78FC" w:rsidRDefault="00B42EF3">
      <w:pPr>
        <w:pStyle w:val="Heading3"/>
      </w:pPr>
      <w:bookmarkStart w:id="1288" w:name="section_19190ae3573448eba919b89d0b3ce114"/>
      <w:bookmarkStart w:id="1289" w:name="_Toc69878417"/>
      <w:r>
        <w:t>Part 1 Section 18.3.1.59, oleObject (Embedded Object)</w:t>
      </w:r>
      <w:bookmarkEnd w:id="1288"/>
      <w:bookmarkEnd w:id="1289"/>
      <w:r>
        <w:fldChar w:fldCharType="begin"/>
      </w:r>
      <w:r>
        <w:instrText xml:space="preserve"> XE "oleObject (Embedded Object)" </w:instrText>
      </w:r>
      <w:r>
        <w:fldChar w:fldCharType="end"/>
      </w:r>
    </w:p>
    <w:p w:rsidR="005F78FC" w:rsidRDefault="00B42EF3">
      <w:pPr>
        <w:pStyle w:val="Definition-Field"/>
      </w:pPr>
      <w:r>
        <w:t xml:space="preserve">a.   </w:t>
      </w:r>
      <w:r>
        <w:rPr>
          <w:i/>
        </w:rPr>
        <w:t>The standard allows any string for progId attribute.</w:t>
      </w:r>
    </w:p>
    <w:p w:rsidR="005F78FC" w:rsidRDefault="00B42EF3">
      <w:pPr>
        <w:pStyle w:val="Definition-Field2"/>
      </w:pPr>
      <w:r>
        <w:t>O</w:t>
      </w:r>
      <w:r>
        <w:t>ffice requires that the value of @progId be less than 39 characters in length and shall not start with a digit, contain any punctuation (including underscores) other than periods.</w:t>
      </w:r>
    </w:p>
    <w:p w:rsidR="005F78FC" w:rsidRDefault="00B42EF3">
      <w:pPr>
        <w:pStyle w:val="Definition-Field"/>
      </w:pPr>
      <w:r>
        <w:t xml:space="preserve">b.   </w:t>
      </w:r>
      <w:r>
        <w:rPr>
          <w:i/>
        </w:rPr>
        <w:t>The standard allows any Xstring for link attribute.</w:t>
      </w:r>
    </w:p>
    <w:p w:rsidR="005F78FC" w:rsidRDefault="00B42EF3">
      <w:pPr>
        <w:pStyle w:val="Definition-Field2"/>
      </w:pPr>
      <w:r>
        <w:t>Office requires tha</w:t>
      </w:r>
      <w:r>
        <w:t>t the value of @link be a formula as defined in "</w:t>
      </w:r>
      <w:hyperlink r:id="rId124">
        <w:r>
          <w:rPr>
            <w:rStyle w:val="Hyperlink"/>
          </w:rPr>
          <w:t>[ISO/IEC-29500-1]</w:t>
        </w:r>
      </w:hyperlink>
      <w:r>
        <w:t xml:space="preserve"> §18.17". The length of the decoded string shall not exceed 8192 characters.</w:t>
      </w:r>
    </w:p>
    <w:p w:rsidR="005F78FC" w:rsidRDefault="00B42EF3">
      <w:pPr>
        <w:pStyle w:val="Definition-Field"/>
      </w:pPr>
      <w:r>
        <w:t xml:space="preserve">c.   </w:t>
      </w:r>
      <w:r>
        <w:rPr>
          <w:i/>
        </w:rPr>
        <w:t>The standard does not specify any restrict</w:t>
      </w:r>
      <w:r>
        <w:rPr>
          <w:i/>
        </w:rPr>
        <w:t>ion of valid values for the attribute shapeId.</w:t>
      </w:r>
    </w:p>
    <w:p w:rsidR="005F78FC" w:rsidRDefault="00B42EF3">
      <w:pPr>
        <w:pStyle w:val="Definition-Field2"/>
      </w:pPr>
      <w:r>
        <w:t>Office requires @min to be between 1 and 67098623 inclusive.</w:t>
      </w:r>
    </w:p>
    <w:p w:rsidR="005F78FC" w:rsidRDefault="00B42EF3">
      <w:pPr>
        <w:pStyle w:val="Definition-Field"/>
      </w:pPr>
      <w:r>
        <w:t xml:space="preserve">d.   </w:t>
      </w:r>
      <w:r>
        <w:rPr>
          <w:i/>
        </w:rPr>
        <w:t>The standard does not call out a type of the shape specified by the shapeId attribute.</w:t>
      </w:r>
    </w:p>
    <w:p w:rsidR="005F78FC" w:rsidRDefault="00B42EF3">
      <w:pPr>
        <w:pStyle w:val="Definition-Field2"/>
      </w:pPr>
      <w:r>
        <w:t>In Office, only Picture shapes are valid ObjectTypes for</w:t>
      </w:r>
      <w:r>
        <w:t xml:space="preserve"> the shapeID attribute.</w:t>
      </w:r>
    </w:p>
    <w:p w:rsidR="005F78FC" w:rsidRDefault="00B42EF3">
      <w:pPr>
        <w:pStyle w:val="Definition-Field"/>
        <w:rPr>
          <w:i/>
        </w:rPr>
      </w:pPr>
      <w:r>
        <w:t xml:space="preserve">e.   </w:t>
      </w:r>
      <w:r>
        <w:rPr>
          <w:i/>
        </w:rPr>
        <w:t>The standard makes no mention of an ObjectID attribute.</w:t>
      </w:r>
    </w:p>
    <w:p w:rsidR="005F78FC" w:rsidRDefault="00B42EF3">
      <w:pPr>
        <w:pStyle w:val="Definition-Field2"/>
      </w:pPr>
      <w:r>
        <w:t>Office uses the ObjectID attribute to specify a unique ID identifying the embedded object, with a value data type of ST_String ("[ISO/IEC-29500-1] §22.9.2.13").</w:t>
      </w:r>
    </w:p>
    <w:p w:rsidR="005F78FC" w:rsidRDefault="00B42EF3">
      <w:pPr>
        <w:pStyle w:val="Definition-Field"/>
        <w:rPr>
          <w:i/>
        </w:rPr>
      </w:pPr>
      <w:r>
        <w:t xml:space="preserve">f.   </w:t>
      </w:r>
      <w:r>
        <w:rPr>
          <w:i/>
        </w:rPr>
        <w:t xml:space="preserve">The </w:t>
      </w:r>
      <w:r>
        <w:rPr>
          <w:i/>
        </w:rPr>
        <w:t>standard uses the dvAspect attribute.</w:t>
      </w:r>
    </w:p>
    <w:p w:rsidR="005F78FC" w:rsidRDefault="00B42EF3">
      <w:pPr>
        <w:pStyle w:val="Definition-Field2"/>
      </w:pPr>
      <w:r>
        <w:t>Office implements the dvAspect attribute using the name DrawAspect. The values for this attribute are defined by the ST_OLEDrawAspect ("</w:t>
      </w:r>
      <w:hyperlink r:id="rId125">
        <w:r>
          <w:rPr>
            <w:rStyle w:val="Hyperlink"/>
          </w:rPr>
          <w:t>[ISO/IEC-29500-4</w:t>
        </w:r>
        <w:r>
          <w:rPr>
            <w:rStyle w:val="Hyperlink"/>
          </w:rPr>
          <w:t>]</w:t>
        </w:r>
      </w:hyperlink>
      <w:r>
        <w:t xml:space="preserve"> §19.2.3.18").</w:t>
      </w:r>
    </w:p>
    <w:p w:rsidR="005F78FC" w:rsidRDefault="00B42EF3">
      <w:pPr>
        <w:pStyle w:val="Definition-Field"/>
        <w:rPr>
          <w:i/>
        </w:rPr>
      </w:pPr>
      <w:r>
        <w:t xml:space="preserve">g.   </w:t>
      </w:r>
      <w:r>
        <w:rPr>
          <w:i/>
        </w:rPr>
        <w:t>The standard makes no mention of a Type attribute.</w:t>
      </w:r>
    </w:p>
    <w:p w:rsidR="005F78FC" w:rsidRDefault="00B42EF3">
      <w:pPr>
        <w:pStyle w:val="Definition-Field2"/>
      </w:pPr>
      <w:r>
        <w:t>Office uses this attribute to define how the embedded OLE object is included in the package or stored externally from the package. The attribute data type is ST_OLEType ("[ISO/IEC-2950</w:t>
      </w:r>
      <w:r>
        <w:t>0-4] §19.2.3.20").</w:t>
      </w:r>
    </w:p>
    <w:p w:rsidR="005F78FC" w:rsidRDefault="00B42EF3">
      <w:pPr>
        <w:pStyle w:val="Heading3"/>
      </w:pPr>
      <w:bookmarkStart w:id="1290" w:name="section_c2c6f13ea41a49cd88ab3beb4da0b875"/>
      <w:bookmarkStart w:id="1291" w:name="_Toc69878418"/>
      <w:r>
        <w:t>Part 1 Section 18.3.1.60, oleObjects (Embedded Objects)</w:t>
      </w:r>
      <w:bookmarkEnd w:id="1290"/>
      <w:bookmarkEnd w:id="1291"/>
      <w:r>
        <w:fldChar w:fldCharType="begin"/>
      </w:r>
      <w:r>
        <w:instrText xml:space="preserve"> XE "oleObjects (Embedded Objects)" </w:instrText>
      </w:r>
      <w:r>
        <w:fldChar w:fldCharType="end"/>
      </w:r>
    </w:p>
    <w:p w:rsidR="005F78FC" w:rsidRDefault="00B42EF3">
      <w:pPr>
        <w:pStyle w:val="Definition-Field"/>
      </w:pPr>
      <w:r>
        <w:t xml:space="preserve">a.   </w:t>
      </w:r>
      <w:r>
        <w:rPr>
          <w:i/>
        </w:rPr>
        <w:t>The standard states that the maxOccurs value for the oleObject child element is unbounded.</w:t>
      </w:r>
    </w:p>
    <w:p w:rsidR="005F78FC" w:rsidRDefault="00B42EF3">
      <w:pPr>
        <w:pStyle w:val="Definition-Field2"/>
      </w:pPr>
      <w:r>
        <w:t>Excel limits the occurrences of this element to</w:t>
      </w:r>
      <w:r>
        <w:t xml:space="preserve"> 65535.</w:t>
      </w:r>
    </w:p>
    <w:p w:rsidR="005F78FC" w:rsidRDefault="00B42EF3">
      <w:pPr>
        <w:pStyle w:val="Heading3"/>
      </w:pPr>
      <w:bookmarkStart w:id="1292" w:name="section_261571d7a2234a99a584daab0bb4196c"/>
      <w:bookmarkStart w:id="1293" w:name="_Toc69878419"/>
      <w:r>
        <w:lastRenderedPageBreak/>
        <w:t>Part 1 Section 18.3.1.62, pageMargins (Page Margins)</w:t>
      </w:r>
      <w:bookmarkEnd w:id="1292"/>
      <w:bookmarkEnd w:id="1293"/>
      <w:r>
        <w:fldChar w:fldCharType="begin"/>
      </w:r>
      <w:r>
        <w:instrText xml:space="preserve"> XE "pageMargins (Page Margins)" </w:instrText>
      </w:r>
      <w:r>
        <w:fldChar w:fldCharType="end"/>
      </w:r>
    </w:p>
    <w:p w:rsidR="005F78FC" w:rsidRDefault="00B42EF3">
      <w:pPr>
        <w:pStyle w:val="Definition-Field"/>
      </w:pPr>
      <w:r>
        <w:t xml:space="preserve">a.   </w:t>
      </w:r>
      <w:r>
        <w:rPr>
          <w:i/>
        </w:rPr>
        <w:t>The standard states that the values of the left attribute are defined by the XML Schema double datatype.</w:t>
      </w:r>
    </w:p>
    <w:p w:rsidR="005F78FC" w:rsidRDefault="00B42EF3">
      <w:pPr>
        <w:pStyle w:val="Definition-Field2"/>
      </w:pPr>
      <w:r>
        <w:t>In Office, the left attribute is limited to betwee</w:t>
      </w:r>
      <w:r>
        <w:t>n 0 inclusive and 49 exclusive.</w:t>
      </w:r>
    </w:p>
    <w:p w:rsidR="005F78FC" w:rsidRDefault="00B42EF3">
      <w:pPr>
        <w:pStyle w:val="Definition-Field"/>
      </w:pPr>
      <w:r>
        <w:t xml:space="preserve">b.   </w:t>
      </w:r>
      <w:r>
        <w:rPr>
          <w:i/>
        </w:rPr>
        <w:t>The standard states that the values of the right attribute are defined by the XML Schema double datatype.</w:t>
      </w:r>
    </w:p>
    <w:p w:rsidR="005F78FC" w:rsidRDefault="00B42EF3">
      <w:pPr>
        <w:pStyle w:val="Definition-Field2"/>
      </w:pPr>
      <w:r>
        <w:t>In Office, the right attribute is limited to between 0 inclusive and 49 exclusive.</w:t>
      </w:r>
    </w:p>
    <w:p w:rsidR="005F78FC" w:rsidRDefault="00B42EF3">
      <w:pPr>
        <w:pStyle w:val="Definition-Field"/>
      </w:pPr>
      <w:r>
        <w:t xml:space="preserve">c.   </w:t>
      </w:r>
      <w:r>
        <w:rPr>
          <w:i/>
        </w:rPr>
        <w:t xml:space="preserve">The standard states that </w:t>
      </w:r>
      <w:r>
        <w:rPr>
          <w:i/>
        </w:rPr>
        <w:t>the values of the top attribute are defined by the XML Schema double datatype.</w:t>
      </w:r>
    </w:p>
    <w:p w:rsidR="005F78FC" w:rsidRDefault="00B42EF3">
      <w:pPr>
        <w:pStyle w:val="Definition-Field2"/>
      </w:pPr>
      <w:r>
        <w:t>In Office, the top attribute is limited to between 0 inclusive and 49 exclusive.</w:t>
      </w:r>
    </w:p>
    <w:p w:rsidR="005F78FC" w:rsidRDefault="00B42EF3">
      <w:pPr>
        <w:pStyle w:val="Definition-Field"/>
      </w:pPr>
      <w:r>
        <w:t xml:space="preserve">d.   </w:t>
      </w:r>
      <w:r>
        <w:rPr>
          <w:i/>
        </w:rPr>
        <w:t xml:space="preserve">The standard states that the values of the bottom attribute are defined by the XML Schema </w:t>
      </w:r>
      <w:r>
        <w:rPr>
          <w:i/>
        </w:rPr>
        <w:t>double datatype.</w:t>
      </w:r>
    </w:p>
    <w:p w:rsidR="005F78FC" w:rsidRDefault="00B42EF3">
      <w:pPr>
        <w:pStyle w:val="Definition-Field2"/>
      </w:pPr>
      <w:r>
        <w:t>In Office, the bottom attribute is limited to between 0 inclusive and 49 exclusive.</w:t>
      </w:r>
    </w:p>
    <w:p w:rsidR="005F78FC" w:rsidRDefault="00B42EF3">
      <w:pPr>
        <w:pStyle w:val="Definition-Field"/>
      </w:pPr>
      <w:r>
        <w:t xml:space="preserve">e.   </w:t>
      </w:r>
      <w:r>
        <w:rPr>
          <w:i/>
        </w:rPr>
        <w:t>The standard states that values of the header attribute are defined by the XML Schema double datatype.</w:t>
      </w:r>
    </w:p>
    <w:p w:rsidR="005F78FC" w:rsidRDefault="00B42EF3">
      <w:pPr>
        <w:pStyle w:val="Definition-Field2"/>
      </w:pPr>
      <w:r>
        <w:t>In Office, the header attribute is limited to b</w:t>
      </w:r>
      <w:r>
        <w:t>etween 0 inclusive and 49 exclusive.</w:t>
      </w:r>
    </w:p>
    <w:p w:rsidR="005F78FC" w:rsidRDefault="00B42EF3">
      <w:pPr>
        <w:pStyle w:val="Definition-Field"/>
      </w:pPr>
      <w:r>
        <w:t xml:space="preserve">f.   </w:t>
      </w:r>
      <w:r>
        <w:rPr>
          <w:i/>
        </w:rPr>
        <w:t>The standard states that values of the footer attribute are defined by the XML Schema double datatype.</w:t>
      </w:r>
    </w:p>
    <w:p w:rsidR="005F78FC" w:rsidRDefault="00B42EF3">
      <w:pPr>
        <w:pStyle w:val="Definition-Field2"/>
      </w:pPr>
      <w:r>
        <w:t>In Office, the footer attribute is limited to between 0 inclusive and 49 exclusive.</w:t>
      </w:r>
    </w:p>
    <w:p w:rsidR="005F78FC" w:rsidRDefault="00B42EF3">
      <w:pPr>
        <w:pStyle w:val="Heading3"/>
      </w:pPr>
      <w:bookmarkStart w:id="1294" w:name="section_7d79dcced8fb43daa189f0e46658da62"/>
      <w:bookmarkStart w:id="1295" w:name="_Toc69878420"/>
      <w:r>
        <w:t>Part 1 Section 18.3.1.63, p</w:t>
      </w:r>
      <w:r>
        <w:t>ageSetup (Page Setup Settings)</w:t>
      </w:r>
      <w:bookmarkEnd w:id="1294"/>
      <w:bookmarkEnd w:id="1295"/>
      <w:r>
        <w:fldChar w:fldCharType="begin"/>
      </w:r>
      <w:r>
        <w:instrText xml:space="preserve"> XE "pageSetup (Page Setup Settings)"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8ffbeaeb0d294ab783603f7b61509929">
        <w:r>
          <w:rPr>
            <w:rStyle w:val="Hyperlink"/>
          </w:rPr>
          <w:t>pageSetup, §21.2.2.134(b)</w:t>
        </w:r>
      </w:hyperlink>
      <w:r>
        <w:rPr>
          <w:i/>
        </w:rPr>
        <w:t>.</w:t>
      </w:r>
    </w:p>
    <w:p w:rsidR="005F78FC" w:rsidRDefault="00B42EF3">
      <w:pPr>
        <w:pStyle w:val="Definition-Field"/>
      </w:pPr>
      <w:r>
        <w:t xml:space="preserve">a.   </w:t>
      </w:r>
      <w:r>
        <w:rPr>
          <w:i/>
        </w:rPr>
        <w:t>The standard specifies that the scale attribute ranges from 10 to 400.</w:t>
      </w:r>
    </w:p>
    <w:p w:rsidR="005F78FC" w:rsidRDefault="00B42EF3">
      <w:pPr>
        <w:pStyle w:val="Definition-Field2"/>
      </w:pPr>
      <w:r>
        <w:t>Excel also allow for a value of zero, which is interpreted as the automatic setting.</w:t>
      </w:r>
    </w:p>
    <w:p w:rsidR="005F78FC" w:rsidRDefault="00B42EF3">
      <w:pPr>
        <w:pStyle w:val="Definition-Field"/>
      </w:pPr>
      <w:r>
        <w:t xml:space="preserve">b.   </w:t>
      </w:r>
      <w:r>
        <w:rPr>
          <w:i/>
        </w:rPr>
        <w:t>The standard states that the values of the horizontalDpi attribute are defined by the XML Schem</w:t>
      </w:r>
      <w:r>
        <w:rPr>
          <w:i/>
        </w:rPr>
        <w:t>a unsignedInt datatype.</w:t>
      </w:r>
    </w:p>
    <w:p w:rsidR="005F78FC" w:rsidRDefault="00B42EF3">
      <w:pPr>
        <w:pStyle w:val="Definition-Field2"/>
      </w:pPr>
      <w:r>
        <w:t>Excel restricts the value of this attribute to be at least 1.</w:t>
      </w:r>
    </w:p>
    <w:p w:rsidR="005F78FC" w:rsidRDefault="00B42EF3">
      <w:pPr>
        <w:pStyle w:val="Definition-Field"/>
      </w:pPr>
      <w:r>
        <w:t xml:space="preserve">c.   </w:t>
      </w:r>
      <w:r>
        <w:rPr>
          <w:i/>
        </w:rPr>
        <w:t>The standard states that the values of the verticalDpi attribute are defined by the XML Schema unsignedInt datatype.</w:t>
      </w:r>
    </w:p>
    <w:p w:rsidR="005F78FC" w:rsidRDefault="00B42EF3">
      <w:pPr>
        <w:pStyle w:val="Definition-Field2"/>
      </w:pPr>
      <w:r>
        <w:t xml:space="preserve">Excel restricts the value of this attribute to </w:t>
      </w:r>
      <w:r>
        <w:t>be at least 1.</w:t>
      </w:r>
    </w:p>
    <w:p w:rsidR="005F78FC" w:rsidRDefault="00B42EF3">
      <w:pPr>
        <w:pStyle w:val="Definition-Field"/>
      </w:pPr>
      <w:r>
        <w:t xml:space="preserve">d.   </w:t>
      </w:r>
      <w:r>
        <w:rPr>
          <w:i/>
        </w:rPr>
        <w:t>The standard states that the values of the copies attribute are defined by the XML Schema unsignedInt datatype.</w:t>
      </w:r>
    </w:p>
    <w:p w:rsidR="005F78FC" w:rsidRDefault="00B42EF3">
      <w:pPr>
        <w:pStyle w:val="Definition-Field2"/>
      </w:pPr>
      <w:r>
        <w:t>Excel restricts the value of this attribute to be at least 1 and at most 32767.</w:t>
      </w:r>
    </w:p>
    <w:p w:rsidR="005F78FC" w:rsidRDefault="00B42EF3">
      <w:pPr>
        <w:pStyle w:val="Definition-Field"/>
      </w:pPr>
      <w:r>
        <w:t xml:space="preserve">e.   </w:t>
      </w:r>
      <w:r>
        <w:rPr>
          <w:i/>
        </w:rPr>
        <w:t xml:space="preserve">The standard states that the values of </w:t>
      </w:r>
      <w:r>
        <w:rPr>
          <w:i/>
        </w:rPr>
        <w:t>the firstPageNumber attribute are defined by the XML Schema unsignedInt datatype.</w:t>
      </w:r>
    </w:p>
    <w:p w:rsidR="005F78FC" w:rsidRDefault="00B42EF3">
      <w:pPr>
        <w:pStyle w:val="Definition-Field2"/>
      </w:pPr>
      <w:r>
        <w:t>Excel restricts the value of this attribute to be at most 32767 for the positive first page range and at least 4294967295 (-1) and at most 4294934531 (-32767) for the negativ</w:t>
      </w:r>
      <w:r>
        <w:t>e first page range.</w:t>
      </w:r>
    </w:p>
    <w:p w:rsidR="005F78FC" w:rsidRDefault="00B42EF3">
      <w:pPr>
        <w:pStyle w:val="Definition-Field"/>
      </w:pPr>
      <w:r>
        <w:lastRenderedPageBreak/>
        <w:t xml:space="preserve">f.   </w:t>
      </w:r>
      <w:r>
        <w:rPr>
          <w:i/>
        </w:rPr>
        <w:t>The standard states that the values of the fitToWidth attribute are defined by the XML Schema unsignedInt datatype.</w:t>
      </w:r>
    </w:p>
    <w:p w:rsidR="005F78FC" w:rsidRDefault="00B42EF3">
      <w:pPr>
        <w:pStyle w:val="Definition-Field2"/>
      </w:pPr>
      <w:r>
        <w:t>Excel restricts the value of this attribute to be at most 32767.</w:t>
      </w:r>
    </w:p>
    <w:p w:rsidR="005F78FC" w:rsidRDefault="00B42EF3">
      <w:pPr>
        <w:pStyle w:val="Definition-Field"/>
      </w:pPr>
      <w:r>
        <w:t xml:space="preserve">g.   </w:t>
      </w:r>
      <w:r>
        <w:rPr>
          <w:i/>
        </w:rPr>
        <w:t>The standard states that the values of the fi</w:t>
      </w:r>
      <w:r>
        <w:rPr>
          <w:i/>
        </w:rPr>
        <w:t>tToHeight attribute are defined by the XML Schema unsignedInt datatype.</w:t>
      </w:r>
    </w:p>
    <w:p w:rsidR="005F78FC" w:rsidRDefault="00B42EF3">
      <w:pPr>
        <w:pStyle w:val="Definition-Field2"/>
      </w:pPr>
      <w:r>
        <w:t>Excel restricts the value of this attribute to be at most 32767.</w:t>
      </w:r>
    </w:p>
    <w:p w:rsidR="005F78FC" w:rsidRDefault="00B42EF3">
      <w:pPr>
        <w:pStyle w:val="Definition-Field"/>
      </w:pPr>
      <w:r>
        <w:t xml:space="preserve">h.   </w:t>
      </w:r>
      <w:r>
        <w:rPr>
          <w:i/>
        </w:rPr>
        <w:t>The standard provides a list of paper sizes supported by the paperSize attribute.</w:t>
      </w:r>
    </w:p>
    <w:p w:rsidR="005F78FC" w:rsidRDefault="00B42EF3">
      <w:r>
        <w:t>The paperSize attribute specifie</w:t>
      </w:r>
      <w:r>
        <w:t>s the paper size according to the following table. Values larger than or equal to 256 specify custom printer paper sizes. The default value may vary by locale and default printer. Values between 118 and 256 are reserved for future use.</w:t>
      </w:r>
    </w:p>
    <w:tbl>
      <w:tblPr>
        <w:tblStyle w:val="Table-ShadedHeader"/>
        <w:tblW w:w="0" w:type="auto"/>
        <w:tblLook w:val="04A0" w:firstRow="1" w:lastRow="0" w:firstColumn="1" w:lastColumn="0" w:noHBand="0" w:noVBand="1"/>
      </w:tblPr>
      <w:tblGrid>
        <w:gridCol w:w="734"/>
        <w:gridCol w:w="4254"/>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Value</w:t>
            </w:r>
          </w:p>
        </w:tc>
        <w:tc>
          <w:tcPr>
            <w:tcW w:w="0" w:type="auto"/>
            <w:vAlign w:val="center"/>
          </w:tcPr>
          <w:p w:rsidR="005F78FC" w:rsidRDefault="00B42EF3">
            <w:pPr>
              <w:pStyle w:val="TableHeaderText"/>
            </w:pPr>
            <w:r>
              <w:t>Meaning</w:t>
            </w:r>
          </w:p>
        </w:tc>
      </w:tr>
      <w:tr w:rsidR="005F78FC" w:rsidTr="005F78FC">
        <w:tc>
          <w:tcPr>
            <w:tcW w:w="0" w:type="auto"/>
            <w:vAlign w:val="center"/>
          </w:tcPr>
          <w:p w:rsidR="005F78FC" w:rsidRDefault="00B42EF3">
            <w:pPr>
              <w:pStyle w:val="TableBodyText"/>
            </w:pPr>
            <w:r>
              <w:t>1</w:t>
            </w:r>
          </w:p>
        </w:tc>
        <w:tc>
          <w:tcPr>
            <w:tcW w:w="0" w:type="auto"/>
            <w:vAlign w:val="center"/>
          </w:tcPr>
          <w:p w:rsidR="005F78FC" w:rsidRDefault="00B42EF3">
            <w:pPr>
              <w:pStyle w:val="TableBodyText"/>
            </w:pPr>
            <w:r>
              <w:t xml:space="preserve">US </w:t>
            </w:r>
            <w:r>
              <w:t>Letter 8 1/2 x 11 in</w:t>
            </w:r>
          </w:p>
        </w:tc>
      </w:tr>
      <w:tr w:rsidR="005F78FC" w:rsidTr="005F78FC">
        <w:tc>
          <w:tcPr>
            <w:tcW w:w="0" w:type="auto"/>
            <w:vAlign w:val="center"/>
          </w:tcPr>
          <w:p w:rsidR="005F78FC" w:rsidRDefault="00B42EF3">
            <w:pPr>
              <w:pStyle w:val="TableBodyText"/>
            </w:pPr>
            <w:r>
              <w:t>2</w:t>
            </w:r>
          </w:p>
        </w:tc>
        <w:tc>
          <w:tcPr>
            <w:tcW w:w="0" w:type="auto"/>
            <w:vAlign w:val="center"/>
          </w:tcPr>
          <w:p w:rsidR="005F78FC" w:rsidRDefault="00B42EF3">
            <w:pPr>
              <w:pStyle w:val="TableBodyText"/>
            </w:pPr>
            <w:r>
              <w:t>US Letter Small 8 1/2 x 11 in</w:t>
            </w:r>
          </w:p>
        </w:tc>
      </w:tr>
      <w:tr w:rsidR="005F78FC" w:rsidTr="005F78FC">
        <w:tc>
          <w:tcPr>
            <w:tcW w:w="0" w:type="auto"/>
            <w:vAlign w:val="center"/>
          </w:tcPr>
          <w:p w:rsidR="005F78FC" w:rsidRDefault="00B42EF3">
            <w:pPr>
              <w:pStyle w:val="TableBodyText"/>
            </w:pPr>
            <w:r>
              <w:t>3</w:t>
            </w:r>
          </w:p>
        </w:tc>
        <w:tc>
          <w:tcPr>
            <w:tcW w:w="0" w:type="auto"/>
            <w:vAlign w:val="center"/>
          </w:tcPr>
          <w:p w:rsidR="005F78FC" w:rsidRDefault="00B42EF3">
            <w:pPr>
              <w:pStyle w:val="TableBodyText"/>
            </w:pPr>
            <w:r>
              <w:t>US Tabloid 11 x 17 in</w:t>
            </w:r>
          </w:p>
        </w:tc>
      </w:tr>
      <w:tr w:rsidR="005F78FC" w:rsidTr="005F78FC">
        <w:tc>
          <w:tcPr>
            <w:tcW w:w="0" w:type="auto"/>
            <w:vAlign w:val="center"/>
          </w:tcPr>
          <w:p w:rsidR="005F78FC" w:rsidRDefault="00B42EF3">
            <w:pPr>
              <w:pStyle w:val="TableBodyText"/>
            </w:pPr>
            <w:r>
              <w:t>4</w:t>
            </w:r>
          </w:p>
        </w:tc>
        <w:tc>
          <w:tcPr>
            <w:tcW w:w="0" w:type="auto"/>
            <w:vAlign w:val="center"/>
          </w:tcPr>
          <w:p w:rsidR="005F78FC" w:rsidRDefault="00B42EF3">
            <w:pPr>
              <w:pStyle w:val="TableBodyText"/>
            </w:pPr>
            <w:r>
              <w:t xml:space="preserve">US Ledger 17 x 11 in </w:t>
            </w:r>
          </w:p>
        </w:tc>
      </w:tr>
      <w:tr w:rsidR="005F78FC" w:rsidTr="005F78FC">
        <w:tc>
          <w:tcPr>
            <w:tcW w:w="0" w:type="auto"/>
            <w:vAlign w:val="center"/>
          </w:tcPr>
          <w:p w:rsidR="005F78FC" w:rsidRDefault="00B42EF3">
            <w:pPr>
              <w:pStyle w:val="TableBodyText"/>
            </w:pPr>
            <w:r>
              <w:t>5</w:t>
            </w:r>
          </w:p>
        </w:tc>
        <w:tc>
          <w:tcPr>
            <w:tcW w:w="0" w:type="auto"/>
            <w:vAlign w:val="center"/>
          </w:tcPr>
          <w:p w:rsidR="005F78FC" w:rsidRDefault="00B42EF3">
            <w:pPr>
              <w:pStyle w:val="TableBodyText"/>
            </w:pPr>
            <w:r>
              <w:t>US Legal 8 1/2 x 14 in</w:t>
            </w:r>
          </w:p>
        </w:tc>
      </w:tr>
      <w:tr w:rsidR="005F78FC" w:rsidTr="005F78FC">
        <w:tc>
          <w:tcPr>
            <w:tcW w:w="0" w:type="auto"/>
            <w:vAlign w:val="center"/>
          </w:tcPr>
          <w:p w:rsidR="005F78FC" w:rsidRDefault="00B42EF3">
            <w:pPr>
              <w:pStyle w:val="TableBodyText"/>
            </w:pPr>
            <w:r>
              <w:t>6</w:t>
            </w:r>
          </w:p>
        </w:tc>
        <w:tc>
          <w:tcPr>
            <w:tcW w:w="0" w:type="auto"/>
            <w:vAlign w:val="center"/>
          </w:tcPr>
          <w:p w:rsidR="005F78FC" w:rsidRDefault="00B42EF3">
            <w:pPr>
              <w:pStyle w:val="TableBodyText"/>
            </w:pPr>
            <w:r>
              <w:t>US Statement 5 1/2 x 8 1/2 in</w:t>
            </w:r>
          </w:p>
        </w:tc>
      </w:tr>
      <w:tr w:rsidR="005F78FC" w:rsidTr="005F78FC">
        <w:tc>
          <w:tcPr>
            <w:tcW w:w="0" w:type="auto"/>
            <w:vAlign w:val="center"/>
          </w:tcPr>
          <w:p w:rsidR="005F78FC" w:rsidRDefault="00B42EF3">
            <w:pPr>
              <w:pStyle w:val="TableBodyText"/>
            </w:pPr>
            <w:r>
              <w:t>7</w:t>
            </w:r>
          </w:p>
        </w:tc>
        <w:tc>
          <w:tcPr>
            <w:tcW w:w="0" w:type="auto"/>
            <w:vAlign w:val="center"/>
          </w:tcPr>
          <w:p w:rsidR="005F78FC" w:rsidRDefault="00B42EF3">
            <w:pPr>
              <w:pStyle w:val="TableBodyText"/>
            </w:pPr>
            <w:r>
              <w:t>US Executive 7 1/4 x 10 1/2 in</w:t>
            </w:r>
          </w:p>
        </w:tc>
      </w:tr>
      <w:tr w:rsidR="005F78FC" w:rsidTr="005F78FC">
        <w:tc>
          <w:tcPr>
            <w:tcW w:w="0" w:type="auto"/>
            <w:vAlign w:val="center"/>
          </w:tcPr>
          <w:p w:rsidR="005F78FC" w:rsidRDefault="00B42EF3">
            <w:pPr>
              <w:pStyle w:val="TableBodyText"/>
            </w:pPr>
            <w:r>
              <w:t>8</w:t>
            </w:r>
          </w:p>
        </w:tc>
        <w:tc>
          <w:tcPr>
            <w:tcW w:w="0" w:type="auto"/>
            <w:vAlign w:val="center"/>
          </w:tcPr>
          <w:p w:rsidR="005F78FC" w:rsidRDefault="00B42EF3">
            <w:pPr>
              <w:pStyle w:val="TableBodyText"/>
            </w:pPr>
            <w:r>
              <w:t>A3 297 x 420 mm</w:t>
            </w:r>
          </w:p>
        </w:tc>
      </w:tr>
      <w:tr w:rsidR="005F78FC" w:rsidTr="005F78FC">
        <w:tc>
          <w:tcPr>
            <w:tcW w:w="0" w:type="auto"/>
            <w:vAlign w:val="center"/>
          </w:tcPr>
          <w:p w:rsidR="005F78FC" w:rsidRDefault="00B42EF3">
            <w:pPr>
              <w:pStyle w:val="TableBodyText"/>
            </w:pPr>
            <w:r>
              <w:t>9</w:t>
            </w:r>
          </w:p>
        </w:tc>
        <w:tc>
          <w:tcPr>
            <w:tcW w:w="0" w:type="auto"/>
            <w:vAlign w:val="center"/>
          </w:tcPr>
          <w:p w:rsidR="005F78FC" w:rsidRDefault="00B42EF3">
            <w:pPr>
              <w:pStyle w:val="TableBodyText"/>
            </w:pPr>
            <w:r>
              <w:t>A4 210 x 297 mm</w:t>
            </w:r>
          </w:p>
        </w:tc>
      </w:tr>
      <w:tr w:rsidR="005F78FC" w:rsidTr="005F78FC">
        <w:tc>
          <w:tcPr>
            <w:tcW w:w="0" w:type="auto"/>
            <w:vAlign w:val="center"/>
          </w:tcPr>
          <w:p w:rsidR="005F78FC" w:rsidRDefault="00B42EF3">
            <w:pPr>
              <w:pStyle w:val="TableBodyText"/>
            </w:pPr>
            <w:r>
              <w:t>10</w:t>
            </w:r>
          </w:p>
        </w:tc>
        <w:tc>
          <w:tcPr>
            <w:tcW w:w="0" w:type="auto"/>
            <w:vAlign w:val="center"/>
          </w:tcPr>
          <w:p w:rsidR="005F78FC" w:rsidRDefault="00B42EF3">
            <w:pPr>
              <w:pStyle w:val="TableBodyText"/>
            </w:pPr>
            <w:r>
              <w:t xml:space="preserve">A4 Small 210 x </w:t>
            </w:r>
            <w:r>
              <w:t>297 mm</w:t>
            </w:r>
          </w:p>
        </w:tc>
      </w:tr>
      <w:tr w:rsidR="005F78FC" w:rsidTr="005F78FC">
        <w:tc>
          <w:tcPr>
            <w:tcW w:w="0" w:type="auto"/>
            <w:vAlign w:val="center"/>
          </w:tcPr>
          <w:p w:rsidR="005F78FC" w:rsidRDefault="00B42EF3">
            <w:pPr>
              <w:pStyle w:val="TableBodyText"/>
            </w:pPr>
            <w:r>
              <w:t>11</w:t>
            </w:r>
          </w:p>
        </w:tc>
        <w:tc>
          <w:tcPr>
            <w:tcW w:w="0" w:type="auto"/>
            <w:vAlign w:val="center"/>
          </w:tcPr>
          <w:p w:rsidR="005F78FC" w:rsidRDefault="00B42EF3">
            <w:pPr>
              <w:pStyle w:val="TableBodyText"/>
            </w:pPr>
            <w:r>
              <w:t>A5 148 x 210 mm</w:t>
            </w:r>
          </w:p>
        </w:tc>
      </w:tr>
      <w:tr w:rsidR="005F78FC" w:rsidTr="005F78FC">
        <w:tc>
          <w:tcPr>
            <w:tcW w:w="0" w:type="auto"/>
            <w:vAlign w:val="center"/>
          </w:tcPr>
          <w:p w:rsidR="005F78FC" w:rsidRDefault="00B42EF3">
            <w:pPr>
              <w:pStyle w:val="TableBodyText"/>
            </w:pPr>
            <w:r>
              <w:t>12</w:t>
            </w:r>
          </w:p>
        </w:tc>
        <w:tc>
          <w:tcPr>
            <w:tcW w:w="0" w:type="auto"/>
            <w:vAlign w:val="center"/>
          </w:tcPr>
          <w:p w:rsidR="005F78FC" w:rsidRDefault="00B42EF3">
            <w:pPr>
              <w:pStyle w:val="TableBodyText"/>
            </w:pPr>
            <w:r>
              <w:t>B4 (JIS) 250 x 354</w:t>
            </w:r>
          </w:p>
        </w:tc>
      </w:tr>
      <w:tr w:rsidR="005F78FC" w:rsidTr="005F78FC">
        <w:tc>
          <w:tcPr>
            <w:tcW w:w="0" w:type="auto"/>
            <w:vAlign w:val="center"/>
          </w:tcPr>
          <w:p w:rsidR="005F78FC" w:rsidRDefault="00B42EF3">
            <w:pPr>
              <w:pStyle w:val="TableBodyText"/>
            </w:pPr>
            <w:r>
              <w:t>13</w:t>
            </w:r>
          </w:p>
        </w:tc>
        <w:tc>
          <w:tcPr>
            <w:tcW w:w="0" w:type="auto"/>
            <w:vAlign w:val="center"/>
          </w:tcPr>
          <w:p w:rsidR="005F78FC" w:rsidRDefault="00B42EF3">
            <w:pPr>
              <w:pStyle w:val="TableBodyText"/>
            </w:pPr>
            <w:r>
              <w:t>B5 (JIS) 182 x 257 mm</w:t>
            </w:r>
          </w:p>
        </w:tc>
      </w:tr>
      <w:tr w:rsidR="005F78FC" w:rsidTr="005F78FC">
        <w:tc>
          <w:tcPr>
            <w:tcW w:w="0" w:type="auto"/>
            <w:vAlign w:val="center"/>
          </w:tcPr>
          <w:p w:rsidR="005F78FC" w:rsidRDefault="00B42EF3">
            <w:pPr>
              <w:pStyle w:val="TableBodyText"/>
            </w:pPr>
            <w:r>
              <w:t>14</w:t>
            </w:r>
          </w:p>
        </w:tc>
        <w:tc>
          <w:tcPr>
            <w:tcW w:w="0" w:type="auto"/>
            <w:vAlign w:val="center"/>
          </w:tcPr>
          <w:p w:rsidR="005F78FC" w:rsidRDefault="00B42EF3">
            <w:pPr>
              <w:pStyle w:val="TableBodyText"/>
            </w:pPr>
            <w:r>
              <w:t>Folio 8 1/2 x 13 in</w:t>
            </w:r>
          </w:p>
        </w:tc>
      </w:tr>
      <w:tr w:rsidR="005F78FC" w:rsidTr="005F78FC">
        <w:tc>
          <w:tcPr>
            <w:tcW w:w="0" w:type="auto"/>
            <w:vAlign w:val="center"/>
          </w:tcPr>
          <w:p w:rsidR="005F78FC" w:rsidRDefault="00B42EF3">
            <w:pPr>
              <w:pStyle w:val="TableBodyText"/>
            </w:pPr>
            <w:r>
              <w:t>15</w:t>
            </w:r>
          </w:p>
        </w:tc>
        <w:tc>
          <w:tcPr>
            <w:tcW w:w="0" w:type="auto"/>
            <w:vAlign w:val="center"/>
          </w:tcPr>
          <w:p w:rsidR="005F78FC" w:rsidRDefault="00B42EF3">
            <w:pPr>
              <w:pStyle w:val="TableBodyText"/>
            </w:pPr>
            <w:r>
              <w:t>Quarto 215 x 275 mm</w:t>
            </w:r>
          </w:p>
        </w:tc>
      </w:tr>
      <w:tr w:rsidR="005F78FC" w:rsidTr="005F78FC">
        <w:tc>
          <w:tcPr>
            <w:tcW w:w="0" w:type="auto"/>
            <w:vAlign w:val="center"/>
          </w:tcPr>
          <w:p w:rsidR="005F78FC" w:rsidRDefault="00B42EF3">
            <w:pPr>
              <w:pStyle w:val="TableBodyText"/>
            </w:pPr>
            <w:r>
              <w:t>16</w:t>
            </w:r>
          </w:p>
        </w:tc>
        <w:tc>
          <w:tcPr>
            <w:tcW w:w="0" w:type="auto"/>
            <w:vAlign w:val="center"/>
          </w:tcPr>
          <w:p w:rsidR="005F78FC" w:rsidRDefault="00B42EF3">
            <w:pPr>
              <w:pStyle w:val="TableBodyText"/>
            </w:pPr>
            <w:r>
              <w:t>10 x 14 in</w:t>
            </w:r>
          </w:p>
        </w:tc>
      </w:tr>
      <w:tr w:rsidR="005F78FC" w:rsidTr="005F78FC">
        <w:tc>
          <w:tcPr>
            <w:tcW w:w="0" w:type="auto"/>
            <w:vAlign w:val="center"/>
          </w:tcPr>
          <w:p w:rsidR="005F78FC" w:rsidRDefault="00B42EF3">
            <w:pPr>
              <w:pStyle w:val="TableBodyText"/>
            </w:pPr>
            <w:r>
              <w:t>17</w:t>
            </w:r>
          </w:p>
        </w:tc>
        <w:tc>
          <w:tcPr>
            <w:tcW w:w="0" w:type="auto"/>
            <w:vAlign w:val="center"/>
          </w:tcPr>
          <w:p w:rsidR="005F78FC" w:rsidRDefault="00B42EF3">
            <w:pPr>
              <w:pStyle w:val="TableBodyText"/>
            </w:pPr>
            <w:r>
              <w:t>11 x 17 in</w:t>
            </w:r>
          </w:p>
        </w:tc>
      </w:tr>
      <w:tr w:rsidR="005F78FC" w:rsidTr="005F78FC">
        <w:tc>
          <w:tcPr>
            <w:tcW w:w="0" w:type="auto"/>
            <w:vAlign w:val="center"/>
          </w:tcPr>
          <w:p w:rsidR="005F78FC" w:rsidRDefault="00B42EF3">
            <w:pPr>
              <w:pStyle w:val="TableBodyText"/>
            </w:pPr>
            <w:r>
              <w:t>18</w:t>
            </w:r>
          </w:p>
        </w:tc>
        <w:tc>
          <w:tcPr>
            <w:tcW w:w="0" w:type="auto"/>
            <w:vAlign w:val="center"/>
          </w:tcPr>
          <w:p w:rsidR="005F78FC" w:rsidRDefault="00B42EF3">
            <w:pPr>
              <w:pStyle w:val="TableBodyText"/>
            </w:pPr>
            <w:r>
              <w:t>US Note 8 1/2 x 11 in</w:t>
            </w:r>
          </w:p>
        </w:tc>
      </w:tr>
      <w:tr w:rsidR="005F78FC" w:rsidTr="005F78FC">
        <w:tc>
          <w:tcPr>
            <w:tcW w:w="0" w:type="auto"/>
            <w:vAlign w:val="center"/>
          </w:tcPr>
          <w:p w:rsidR="005F78FC" w:rsidRDefault="00B42EF3">
            <w:pPr>
              <w:pStyle w:val="TableBodyText"/>
            </w:pPr>
            <w:r>
              <w:t>19</w:t>
            </w:r>
          </w:p>
        </w:tc>
        <w:tc>
          <w:tcPr>
            <w:tcW w:w="0" w:type="auto"/>
            <w:vAlign w:val="center"/>
          </w:tcPr>
          <w:p w:rsidR="005F78FC" w:rsidRDefault="00B42EF3">
            <w:pPr>
              <w:pStyle w:val="TableBodyText"/>
            </w:pPr>
            <w:r>
              <w:t>US Envelope #9 3 7/8 x 8 7/8</w:t>
            </w:r>
          </w:p>
        </w:tc>
      </w:tr>
      <w:tr w:rsidR="005F78FC" w:rsidTr="005F78FC">
        <w:tc>
          <w:tcPr>
            <w:tcW w:w="0" w:type="auto"/>
            <w:vAlign w:val="center"/>
          </w:tcPr>
          <w:p w:rsidR="005F78FC" w:rsidRDefault="00B42EF3">
            <w:pPr>
              <w:pStyle w:val="TableBodyText"/>
            </w:pPr>
            <w:r>
              <w:t>20</w:t>
            </w:r>
          </w:p>
        </w:tc>
        <w:tc>
          <w:tcPr>
            <w:tcW w:w="0" w:type="auto"/>
            <w:vAlign w:val="center"/>
          </w:tcPr>
          <w:p w:rsidR="005F78FC" w:rsidRDefault="00B42EF3">
            <w:pPr>
              <w:pStyle w:val="TableBodyText"/>
            </w:pPr>
            <w:r>
              <w:t>US Envelope #10 4 1/8 x 9 1/2</w:t>
            </w:r>
          </w:p>
        </w:tc>
      </w:tr>
      <w:tr w:rsidR="005F78FC" w:rsidTr="005F78FC">
        <w:tc>
          <w:tcPr>
            <w:tcW w:w="0" w:type="auto"/>
            <w:vAlign w:val="center"/>
          </w:tcPr>
          <w:p w:rsidR="005F78FC" w:rsidRDefault="00B42EF3">
            <w:pPr>
              <w:pStyle w:val="TableBodyText"/>
            </w:pPr>
            <w:r>
              <w:t>21</w:t>
            </w:r>
          </w:p>
        </w:tc>
        <w:tc>
          <w:tcPr>
            <w:tcW w:w="0" w:type="auto"/>
            <w:vAlign w:val="center"/>
          </w:tcPr>
          <w:p w:rsidR="005F78FC" w:rsidRDefault="00B42EF3">
            <w:pPr>
              <w:pStyle w:val="TableBodyText"/>
            </w:pPr>
            <w:r>
              <w:t xml:space="preserve">US </w:t>
            </w:r>
            <w:r>
              <w:t>Envelope #11 4 1/2 x 10 3/8</w:t>
            </w:r>
          </w:p>
        </w:tc>
      </w:tr>
      <w:tr w:rsidR="005F78FC" w:rsidTr="005F78FC">
        <w:tc>
          <w:tcPr>
            <w:tcW w:w="0" w:type="auto"/>
            <w:vAlign w:val="center"/>
          </w:tcPr>
          <w:p w:rsidR="005F78FC" w:rsidRDefault="00B42EF3">
            <w:pPr>
              <w:pStyle w:val="TableBodyText"/>
            </w:pPr>
            <w:r>
              <w:t>22</w:t>
            </w:r>
          </w:p>
        </w:tc>
        <w:tc>
          <w:tcPr>
            <w:tcW w:w="0" w:type="auto"/>
            <w:vAlign w:val="center"/>
          </w:tcPr>
          <w:p w:rsidR="005F78FC" w:rsidRDefault="00B42EF3">
            <w:pPr>
              <w:pStyle w:val="TableBodyText"/>
            </w:pPr>
            <w:r>
              <w:t>US Envelope #12 4 \276 x 11</w:t>
            </w:r>
          </w:p>
        </w:tc>
      </w:tr>
      <w:tr w:rsidR="005F78FC" w:rsidTr="005F78FC">
        <w:tc>
          <w:tcPr>
            <w:tcW w:w="0" w:type="auto"/>
            <w:vAlign w:val="center"/>
          </w:tcPr>
          <w:p w:rsidR="005F78FC" w:rsidRDefault="00B42EF3">
            <w:pPr>
              <w:pStyle w:val="TableBodyText"/>
            </w:pPr>
            <w:r>
              <w:t>23</w:t>
            </w:r>
          </w:p>
        </w:tc>
        <w:tc>
          <w:tcPr>
            <w:tcW w:w="0" w:type="auto"/>
            <w:vAlign w:val="center"/>
          </w:tcPr>
          <w:p w:rsidR="005F78FC" w:rsidRDefault="00B42EF3">
            <w:pPr>
              <w:pStyle w:val="TableBodyText"/>
            </w:pPr>
            <w:r>
              <w:t>US Envelope #14 5 x 11 1/2</w:t>
            </w:r>
          </w:p>
        </w:tc>
      </w:tr>
      <w:tr w:rsidR="005F78FC" w:rsidTr="005F78FC">
        <w:tc>
          <w:tcPr>
            <w:tcW w:w="0" w:type="auto"/>
            <w:vAlign w:val="center"/>
          </w:tcPr>
          <w:p w:rsidR="005F78FC" w:rsidRDefault="00B42EF3">
            <w:pPr>
              <w:pStyle w:val="TableBodyText"/>
            </w:pPr>
            <w:r>
              <w:lastRenderedPageBreak/>
              <w:t>24</w:t>
            </w:r>
          </w:p>
        </w:tc>
        <w:tc>
          <w:tcPr>
            <w:tcW w:w="0" w:type="auto"/>
            <w:vAlign w:val="center"/>
          </w:tcPr>
          <w:p w:rsidR="005F78FC" w:rsidRDefault="00B42EF3">
            <w:pPr>
              <w:pStyle w:val="TableBodyText"/>
            </w:pPr>
            <w:r>
              <w:t>C size sheet</w:t>
            </w:r>
          </w:p>
        </w:tc>
      </w:tr>
      <w:tr w:rsidR="005F78FC" w:rsidTr="005F78FC">
        <w:tc>
          <w:tcPr>
            <w:tcW w:w="0" w:type="auto"/>
            <w:vAlign w:val="center"/>
          </w:tcPr>
          <w:p w:rsidR="005F78FC" w:rsidRDefault="00B42EF3">
            <w:pPr>
              <w:pStyle w:val="TableBodyText"/>
            </w:pPr>
            <w:r>
              <w:t>25</w:t>
            </w:r>
          </w:p>
        </w:tc>
        <w:tc>
          <w:tcPr>
            <w:tcW w:w="0" w:type="auto"/>
            <w:vAlign w:val="center"/>
          </w:tcPr>
          <w:p w:rsidR="005F78FC" w:rsidRDefault="00B42EF3">
            <w:pPr>
              <w:pStyle w:val="TableBodyText"/>
            </w:pPr>
            <w:r>
              <w:t>D size sheet</w:t>
            </w:r>
          </w:p>
        </w:tc>
      </w:tr>
      <w:tr w:rsidR="005F78FC" w:rsidTr="005F78FC">
        <w:tc>
          <w:tcPr>
            <w:tcW w:w="0" w:type="auto"/>
            <w:vAlign w:val="center"/>
          </w:tcPr>
          <w:p w:rsidR="005F78FC" w:rsidRDefault="00B42EF3">
            <w:pPr>
              <w:pStyle w:val="TableBodyText"/>
            </w:pPr>
            <w:r>
              <w:t>26</w:t>
            </w:r>
          </w:p>
        </w:tc>
        <w:tc>
          <w:tcPr>
            <w:tcW w:w="0" w:type="auto"/>
            <w:vAlign w:val="center"/>
          </w:tcPr>
          <w:p w:rsidR="005F78FC" w:rsidRDefault="00B42EF3">
            <w:pPr>
              <w:pStyle w:val="TableBodyText"/>
            </w:pPr>
            <w:r>
              <w:t>E size sheet</w:t>
            </w:r>
          </w:p>
        </w:tc>
      </w:tr>
      <w:tr w:rsidR="005F78FC" w:rsidTr="005F78FC">
        <w:tc>
          <w:tcPr>
            <w:tcW w:w="0" w:type="auto"/>
            <w:vAlign w:val="center"/>
          </w:tcPr>
          <w:p w:rsidR="005F78FC" w:rsidRDefault="00B42EF3">
            <w:pPr>
              <w:pStyle w:val="TableBodyText"/>
            </w:pPr>
            <w:r>
              <w:t>27</w:t>
            </w:r>
          </w:p>
        </w:tc>
        <w:tc>
          <w:tcPr>
            <w:tcW w:w="0" w:type="auto"/>
            <w:vAlign w:val="center"/>
          </w:tcPr>
          <w:p w:rsidR="005F78FC" w:rsidRDefault="00B42EF3">
            <w:pPr>
              <w:pStyle w:val="TableBodyText"/>
            </w:pPr>
            <w:r>
              <w:t>Envelope DL 110 x 220mm</w:t>
            </w:r>
          </w:p>
        </w:tc>
      </w:tr>
      <w:tr w:rsidR="005F78FC" w:rsidTr="005F78FC">
        <w:tc>
          <w:tcPr>
            <w:tcW w:w="0" w:type="auto"/>
            <w:vAlign w:val="center"/>
          </w:tcPr>
          <w:p w:rsidR="005F78FC" w:rsidRDefault="00B42EF3">
            <w:pPr>
              <w:pStyle w:val="TableBodyText"/>
            </w:pPr>
            <w:r>
              <w:t>28</w:t>
            </w:r>
          </w:p>
        </w:tc>
        <w:tc>
          <w:tcPr>
            <w:tcW w:w="0" w:type="auto"/>
            <w:vAlign w:val="center"/>
          </w:tcPr>
          <w:p w:rsidR="005F78FC" w:rsidRDefault="00B42EF3">
            <w:pPr>
              <w:pStyle w:val="TableBodyText"/>
            </w:pPr>
            <w:r>
              <w:t>Envelope C5 162 x 229 mm</w:t>
            </w:r>
          </w:p>
        </w:tc>
      </w:tr>
      <w:tr w:rsidR="005F78FC" w:rsidTr="005F78FC">
        <w:tc>
          <w:tcPr>
            <w:tcW w:w="0" w:type="auto"/>
            <w:vAlign w:val="center"/>
          </w:tcPr>
          <w:p w:rsidR="005F78FC" w:rsidRDefault="00B42EF3">
            <w:pPr>
              <w:pStyle w:val="TableBodyText"/>
            </w:pPr>
            <w:r>
              <w:t>29</w:t>
            </w:r>
          </w:p>
        </w:tc>
        <w:tc>
          <w:tcPr>
            <w:tcW w:w="0" w:type="auto"/>
            <w:vAlign w:val="center"/>
          </w:tcPr>
          <w:p w:rsidR="005F78FC" w:rsidRDefault="00B42EF3">
            <w:pPr>
              <w:pStyle w:val="TableBodyText"/>
            </w:pPr>
            <w:r>
              <w:t>Envelope C3 324 x 458 mm</w:t>
            </w:r>
          </w:p>
        </w:tc>
      </w:tr>
      <w:tr w:rsidR="005F78FC" w:rsidTr="005F78FC">
        <w:tc>
          <w:tcPr>
            <w:tcW w:w="0" w:type="auto"/>
            <w:vAlign w:val="center"/>
          </w:tcPr>
          <w:p w:rsidR="005F78FC" w:rsidRDefault="00B42EF3">
            <w:pPr>
              <w:pStyle w:val="TableBodyText"/>
            </w:pPr>
            <w:r>
              <w:t>30</w:t>
            </w:r>
          </w:p>
        </w:tc>
        <w:tc>
          <w:tcPr>
            <w:tcW w:w="0" w:type="auto"/>
            <w:vAlign w:val="center"/>
          </w:tcPr>
          <w:p w:rsidR="005F78FC" w:rsidRDefault="00B42EF3">
            <w:pPr>
              <w:pStyle w:val="TableBodyText"/>
            </w:pPr>
            <w:r>
              <w:t>Envelope C4 229 x 324 mm</w:t>
            </w:r>
          </w:p>
        </w:tc>
      </w:tr>
      <w:tr w:rsidR="005F78FC" w:rsidTr="005F78FC">
        <w:tc>
          <w:tcPr>
            <w:tcW w:w="0" w:type="auto"/>
            <w:vAlign w:val="center"/>
          </w:tcPr>
          <w:p w:rsidR="005F78FC" w:rsidRDefault="00B42EF3">
            <w:pPr>
              <w:pStyle w:val="TableBodyText"/>
            </w:pPr>
            <w:r>
              <w:t>31</w:t>
            </w:r>
          </w:p>
        </w:tc>
        <w:tc>
          <w:tcPr>
            <w:tcW w:w="0" w:type="auto"/>
            <w:vAlign w:val="center"/>
          </w:tcPr>
          <w:p w:rsidR="005F78FC" w:rsidRDefault="00B42EF3">
            <w:pPr>
              <w:pStyle w:val="TableBodyText"/>
            </w:pPr>
            <w:r>
              <w:t>Envelope C6 114 x 162 mm</w:t>
            </w:r>
          </w:p>
        </w:tc>
      </w:tr>
      <w:tr w:rsidR="005F78FC" w:rsidTr="005F78FC">
        <w:tc>
          <w:tcPr>
            <w:tcW w:w="0" w:type="auto"/>
            <w:vAlign w:val="center"/>
          </w:tcPr>
          <w:p w:rsidR="005F78FC" w:rsidRDefault="00B42EF3">
            <w:pPr>
              <w:pStyle w:val="TableBodyText"/>
            </w:pPr>
            <w:r>
              <w:t>32</w:t>
            </w:r>
          </w:p>
        </w:tc>
        <w:tc>
          <w:tcPr>
            <w:tcW w:w="0" w:type="auto"/>
            <w:vAlign w:val="center"/>
          </w:tcPr>
          <w:p w:rsidR="005F78FC" w:rsidRDefault="00B42EF3">
            <w:pPr>
              <w:pStyle w:val="TableBodyText"/>
            </w:pPr>
            <w:r>
              <w:t>Envelope C65 114 x 229 mm</w:t>
            </w:r>
          </w:p>
        </w:tc>
      </w:tr>
      <w:tr w:rsidR="005F78FC" w:rsidTr="005F78FC">
        <w:tc>
          <w:tcPr>
            <w:tcW w:w="0" w:type="auto"/>
            <w:vAlign w:val="center"/>
          </w:tcPr>
          <w:p w:rsidR="005F78FC" w:rsidRDefault="00B42EF3">
            <w:pPr>
              <w:pStyle w:val="TableBodyText"/>
            </w:pPr>
            <w:r>
              <w:t>33</w:t>
            </w:r>
          </w:p>
        </w:tc>
        <w:tc>
          <w:tcPr>
            <w:tcW w:w="0" w:type="auto"/>
            <w:vAlign w:val="center"/>
          </w:tcPr>
          <w:p w:rsidR="005F78FC" w:rsidRDefault="00B42EF3">
            <w:pPr>
              <w:pStyle w:val="TableBodyText"/>
            </w:pPr>
            <w:r>
              <w:t>Envelope B4 250 x 353 mm</w:t>
            </w:r>
          </w:p>
        </w:tc>
      </w:tr>
      <w:tr w:rsidR="005F78FC" w:rsidTr="005F78FC">
        <w:tc>
          <w:tcPr>
            <w:tcW w:w="0" w:type="auto"/>
            <w:vAlign w:val="center"/>
          </w:tcPr>
          <w:p w:rsidR="005F78FC" w:rsidRDefault="00B42EF3">
            <w:pPr>
              <w:pStyle w:val="TableBodyText"/>
            </w:pPr>
            <w:r>
              <w:t>34</w:t>
            </w:r>
          </w:p>
        </w:tc>
        <w:tc>
          <w:tcPr>
            <w:tcW w:w="0" w:type="auto"/>
            <w:vAlign w:val="center"/>
          </w:tcPr>
          <w:p w:rsidR="005F78FC" w:rsidRDefault="00B42EF3">
            <w:pPr>
              <w:pStyle w:val="TableBodyText"/>
            </w:pPr>
            <w:r>
              <w:t>Envelope B5 176 x 250 mm</w:t>
            </w:r>
          </w:p>
        </w:tc>
      </w:tr>
      <w:tr w:rsidR="005F78FC" w:rsidTr="005F78FC">
        <w:tc>
          <w:tcPr>
            <w:tcW w:w="0" w:type="auto"/>
            <w:vAlign w:val="center"/>
          </w:tcPr>
          <w:p w:rsidR="005F78FC" w:rsidRDefault="00B42EF3">
            <w:pPr>
              <w:pStyle w:val="TableBodyText"/>
            </w:pPr>
            <w:r>
              <w:t>35</w:t>
            </w:r>
          </w:p>
        </w:tc>
        <w:tc>
          <w:tcPr>
            <w:tcW w:w="0" w:type="auto"/>
            <w:vAlign w:val="center"/>
          </w:tcPr>
          <w:p w:rsidR="005F78FC" w:rsidRDefault="00B42EF3">
            <w:pPr>
              <w:pStyle w:val="TableBodyText"/>
            </w:pPr>
            <w:r>
              <w:t>Envelope B6 176 x 125 mm</w:t>
            </w:r>
          </w:p>
        </w:tc>
      </w:tr>
      <w:tr w:rsidR="005F78FC" w:rsidTr="005F78FC">
        <w:tc>
          <w:tcPr>
            <w:tcW w:w="0" w:type="auto"/>
            <w:vAlign w:val="center"/>
          </w:tcPr>
          <w:p w:rsidR="005F78FC" w:rsidRDefault="00B42EF3">
            <w:pPr>
              <w:pStyle w:val="TableBodyText"/>
            </w:pPr>
            <w:r>
              <w:t>36</w:t>
            </w:r>
          </w:p>
        </w:tc>
        <w:tc>
          <w:tcPr>
            <w:tcW w:w="0" w:type="auto"/>
            <w:vAlign w:val="center"/>
          </w:tcPr>
          <w:p w:rsidR="005F78FC" w:rsidRDefault="00B42EF3">
            <w:pPr>
              <w:pStyle w:val="TableBodyText"/>
            </w:pPr>
            <w:r>
              <w:t>Envelope 110 x 230 mm</w:t>
            </w:r>
          </w:p>
        </w:tc>
      </w:tr>
      <w:tr w:rsidR="005F78FC" w:rsidTr="005F78FC">
        <w:tc>
          <w:tcPr>
            <w:tcW w:w="0" w:type="auto"/>
            <w:vAlign w:val="center"/>
          </w:tcPr>
          <w:p w:rsidR="005F78FC" w:rsidRDefault="00B42EF3">
            <w:pPr>
              <w:pStyle w:val="TableBodyText"/>
            </w:pPr>
            <w:r>
              <w:t>37</w:t>
            </w:r>
          </w:p>
        </w:tc>
        <w:tc>
          <w:tcPr>
            <w:tcW w:w="0" w:type="auto"/>
            <w:vAlign w:val="center"/>
          </w:tcPr>
          <w:p w:rsidR="005F78FC" w:rsidRDefault="00B42EF3">
            <w:pPr>
              <w:pStyle w:val="TableBodyText"/>
            </w:pPr>
            <w:r>
              <w:t>US Envelope Monarch 3.875 x 7.5 in</w:t>
            </w:r>
          </w:p>
        </w:tc>
      </w:tr>
      <w:tr w:rsidR="005F78FC" w:rsidTr="005F78FC">
        <w:tc>
          <w:tcPr>
            <w:tcW w:w="0" w:type="auto"/>
            <w:vAlign w:val="center"/>
          </w:tcPr>
          <w:p w:rsidR="005F78FC" w:rsidRDefault="00B42EF3">
            <w:pPr>
              <w:pStyle w:val="TableBodyText"/>
            </w:pPr>
            <w:r>
              <w:t>38</w:t>
            </w:r>
          </w:p>
        </w:tc>
        <w:tc>
          <w:tcPr>
            <w:tcW w:w="0" w:type="auto"/>
            <w:vAlign w:val="center"/>
          </w:tcPr>
          <w:p w:rsidR="005F78FC" w:rsidRDefault="00B42EF3">
            <w:pPr>
              <w:pStyle w:val="TableBodyText"/>
            </w:pPr>
            <w:r>
              <w:t>6 3/4 US Envelope 3 5/8 x 6 1/2 in</w:t>
            </w:r>
          </w:p>
        </w:tc>
      </w:tr>
      <w:tr w:rsidR="005F78FC" w:rsidTr="005F78FC">
        <w:tc>
          <w:tcPr>
            <w:tcW w:w="0" w:type="auto"/>
            <w:vAlign w:val="center"/>
          </w:tcPr>
          <w:p w:rsidR="005F78FC" w:rsidRDefault="00B42EF3">
            <w:pPr>
              <w:pStyle w:val="TableBodyText"/>
            </w:pPr>
            <w:r>
              <w:t>39</w:t>
            </w:r>
          </w:p>
        </w:tc>
        <w:tc>
          <w:tcPr>
            <w:tcW w:w="0" w:type="auto"/>
            <w:vAlign w:val="center"/>
          </w:tcPr>
          <w:p w:rsidR="005F78FC" w:rsidRDefault="00B42EF3">
            <w:pPr>
              <w:pStyle w:val="TableBodyText"/>
            </w:pPr>
            <w:r>
              <w:t>US Std Fanfold 14 7/8 x 11 in</w:t>
            </w:r>
          </w:p>
        </w:tc>
      </w:tr>
      <w:tr w:rsidR="005F78FC" w:rsidTr="005F78FC">
        <w:tc>
          <w:tcPr>
            <w:tcW w:w="0" w:type="auto"/>
            <w:vAlign w:val="center"/>
          </w:tcPr>
          <w:p w:rsidR="005F78FC" w:rsidRDefault="00B42EF3">
            <w:pPr>
              <w:pStyle w:val="TableBodyText"/>
            </w:pPr>
            <w:r>
              <w:t>40</w:t>
            </w:r>
          </w:p>
        </w:tc>
        <w:tc>
          <w:tcPr>
            <w:tcW w:w="0" w:type="auto"/>
            <w:vAlign w:val="center"/>
          </w:tcPr>
          <w:p w:rsidR="005F78FC" w:rsidRDefault="00B42EF3">
            <w:pPr>
              <w:pStyle w:val="TableBodyText"/>
            </w:pPr>
            <w:r>
              <w:t>German Std Fanfold 8 1/2 x 12 in</w:t>
            </w:r>
          </w:p>
        </w:tc>
      </w:tr>
      <w:tr w:rsidR="005F78FC" w:rsidTr="005F78FC">
        <w:tc>
          <w:tcPr>
            <w:tcW w:w="0" w:type="auto"/>
            <w:vAlign w:val="center"/>
          </w:tcPr>
          <w:p w:rsidR="005F78FC" w:rsidRDefault="00B42EF3">
            <w:pPr>
              <w:pStyle w:val="TableBodyText"/>
            </w:pPr>
            <w:r>
              <w:t>41</w:t>
            </w:r>
          </w:p>
        </w:tc>
        <w:tc>
          <w:tcPr>
            <w:tcW w:w="0" w:type="auto"/>
            <w:vAlign w:val="center"/>
          </w:tcPr>
          <w:p w:rsidR="005F78FC" w:rsidRDefault="00B42EF3">
            <w:pPr>
              <w:pStyle w:val="TableBodyText"/>
            </w:pPr>
            <w:r>
              <w:t>German Legal Fanfold 8 1/2 x 13 in</w:t>
            </w:r>
          </w:p>
        </w:tc>
      </w:tr>
      <w:tr w:rsidR="005F78FC" w:rsidTr="005F78FC">
        <w:tc>
          <w:tcPr>
            <w:tcW w:w="0" w:type="auto"/>
            <w:vAlign w:val="center"/>
          </w:tcPr>
          <w:p w:rsidR="005F78FC" w:rsidRDefault="00B42EF3">
            <w:pPr>
              <w:pStyle w:val="TableBodyText"/>
            </w:pPr>
            <w:r>
              <w:t>42</w:t>
            </w:r>
          </w:p>
        </w:tc>
        <w:tc>
          <w:tcPr>
            <w:tcW w:w="0" w:type="auto"/>
            <w:vAlign w:val="center"/>
          </w:tcPr>
          <w:p w:rsidR="005F78FC" w:rsidRDefault="00B42EF3">
            <w:pPr>
              <w:pStyle w:val="TableBodyText"/>
            </w:pPr>
            <w:r>
              <w:t>B4 (ISO) 250 x 353 mm</w:t>
            </w:r>
          </w:p>
        </w:tc>
      </w:tr>
      <w:tr w:rsidR="005F78FC" w:rsidTr="005F78FC">
        <w:tc>
          <w:tcPr>
            <w:tcW w:w="0" w:type="auto"/>
            <w:vAlign w:val="center"/>
          </w:tcPr>
          <w:p w:rsidR="005F78FC" w:rsidRDefault="00B42EF3">
            <w:pPr>
              <w:pStyle w:val="TableBodyText"/>
            </w:pPr>
            <w:r>
              <w:t>43</w:t>
            </w:r>
          </w:p>
        </w:tc>
        <w:tc>
          <w:tcPr>
            <w:tcW w:w="0" w:type="auto"/>
            <w:vAlign w:val="center"/>
          </w:tcPr>
          <w:p w:rsidR="005F78FC" w:rsidRDefault="00B42EF3">
            <w:pPr>
              <w:pStyle w:val="TableBodyText"/>
            </w:pPr>
            <w:r>
              <w:t>Japanese Postcard 100 x 148 mm</w:t>
            </w:r>
          </w:p>
        </w:tc>
      </w:tr>
      <w:tr w:rsidR="005F78FC" w:rsidTr="005F78FC">
        <w:tc>
          <w:tcPr>
            <w:tcW w:w="0" w:type="auto"/>
            <w:vAlign w:val="center"/>
          </w:tcPr>
          <w:p w:rsidR="005F78FC" w:rsidRDefault="00B42EF3">
            <w:pPr>
              <w:pStyle w:val="TableBodyText"/>
            </w:pPr>
            <w:r>
              <w:t>44</w:t>
            </w:r>
          </w:p>
        </w:tc>
        <w:tc>
          <w:tcPr>
            <w:tcW w:w="0" w:type="auto"/>
            <w:vAlign w:val="center"/>
          </w:tcPr>
          <w:p w:rsidR="005F78FC" w:rsidRDefault="00B42EF3">
            <w:pPr>
              <w:pStyle w:val="TableBodyText"/>
            </w:pPr>
            <w:r>
              <w:t>9 x 11 in</w:t>
            </w:r>
          </w:p>
        </w:tc>
      </w:tr>
      <w:tr w:rsidR="005F78FC" w:rsidTr="005F78FC">
        <w:tc>
          <w:tcPr>
            <w:tcW w:w="0" w:type="auto"/>
            <w:vAlign w:val="center"/>
          </w:tcPr>
          <w:p w:rsidR="005F78FC" w:rsidRDefault="00B42EF3">
            <w:pPr>
              <w:pStyle w:val="TableBodyText"/>
            </w:pPr>
            <w:r>
              <w:t>45</w:t>
            </w:r>
          </w:p>
        </w:tc>
        <w:tc>
          <w:tcPr>
            <w:tcW w:w="0" w:type="auto"/>
            <w:vAlign w:val="center"/>
          </w:tcPr>
          <w:p w:rsidR="005F78FC" w:rsidRDefault="00B42EF3">
            <w:pPr>
              <w:pStyle w:val="TableBodyText"/>
            </w:pPr>
            <w:r>
              <w:t>10 x 11 in</w:t>
            </w:r>
          </w:p>
        </w:tc>
      </w:tr>
      <w:tr w:rsidR="005F78FC" w:rsidTr="005F78FC">
        <w:tc>
          <w:tcPr>
            <w:tcW w:w="0" w:type="auto"/>
            <w:vAlign w:val="center"/>
          </w:tcPr>
          <w:p w:rsidR="005F78FC" w:rsidRDefault="00B42EF3">
            <w:pPr>
              <w:pStyle w:val="TableBodyText"/>
            </w:pPr>
            <w:r>
              <w:t>46</w:t>
            </w:r>
          </w:p>
        </w:tc>
        <w:tc>
          <w:tcPr>
            <w:tcW w:w="0" w:type="auto"/>
            <w:vAlign w:val="center"/>
          </w:tcPr>
          <w:p w:rsidR="005F78FC" w:rsidRDefault="00B42EF3">
            <w:pPr>
              <w:pStyle w:val="TableBodyText"/>
            </w:pPr>
            <w:r>
              <w:t>15 x 11 in</w:t>
            </w:r>
          </w:p>
        </w:tc>
      </w:tr>
      <w:tr w:rsidR="005F78FC" w:rsidTr="005F78FC">
        <w:tc>
          <w:tcPr>
            <w:tcW w:w="0" w:type="auto"/>
            <w:vAlign w:val="center"/>
          </w:tcPr>
          <w:p w:rsidR="005F78FC" w:rsidRDefault="00B42EF3">
            <w:pPr>
              <w:pStyle w:val="TableBodyText"/>
            </w:pPr>
            <w:r>
              <w:t>47</w:t>
            </w:r>
          </w:p>
        </w:tc>
        <w:tc>
          <w:tcPr>
            <w:tcW w:w="0" w:type="auto"/>
            <w:vAlign w:val="center"/>
          </w:tcPr>
          <w:p w:rsidR="005F78FC" w:rsidRDefault="00B42EF3">
            <w:pPr>
              <w:pStyle w:val="TableBodyText"/>
            </w:pPr>
            <w:r>
              <w:t>Envelope Invite 220 x 220 mm</w:t>
            </w:r>
          </w:p>
        </w:tc>
      </w:tr>
      <w:tr w:rsidR="005F78FC" w:rsidTr="005F78FC">
        <w:tc>
          <w:tcPr>
            <w:tcW w:w="0" w:type="auto"/>
            <w:vAlign w:val="center"/>
          </w:tcPr>
          <w:p w:rsidR="005F78FC" w:rsidRDefault="00B42EF3">
            <w:pPr>
              <w:pStyle w:val="TableBodyText"/>
            </w:pPr>
            <w:r>
              <w:t>48</w:t>
            </w:r>
          </w:p>
        </w:tc>
        <w:tc>
          <w:tcPr>
            <w:tcW w:w="0" w:type="auto"/>
            <w:vAlign w:val="center"/>
          </w:tcPr>
          <w:p w:rsidR="005F78FC" w:rsidRDefault="00B42EF3">
            <w:pPr>
              <w:pStyle w:val="TableBodyText"/>
            </w:pPr>
            <w:r>
              <w:t>RESERVED--DO NOT USE</w:t>
            </w:r>
          </w:p>
        </w:tc>
      </w:tr>
      <w:tr w:rsidR="005F78FC" w:rsidTr="005F78FC">
        <w:tc>
          <w:tcPr>
            <w:tcW w:w="0" w:type="auto"/>
            <w:vAlign w:val="center"/>
          </w:tcPr>
          <w:p w:rsidR="005F78FC" w:rsidRDefault="00B42EF3">
            <w:pPr>
              <w:pStyle w:val="TableBodyText"/>
            </w:pPr>
            <w:r>
              <w:t>49</w:t>
            </w:r>
          </w:p>
        </w:tc>
        <w:tc>
          <w:tcPr>
            <w:tcW w:w="0" w:type="auto"/>
            <w:vAlign w:val="center"/>
          </w:tcPr>
          <w:p w:rsidR="005F78FC" w:rsidRDefault="00B42EF3">
            <w:pPr>
              <w:pStyle w:val="TableBodyText"/>
            </w:pPr>
            <w:r>
              <w:t>RESERVED--DO NOT USE</w:t>
            </w:r>
          </w:p>
        </w:tc>
      </w:tr>
      <w:tr w:rsidR="005F78FC" w:rsidTr="005F78FC">
        <w:tc>
          <w:tcPr>
            <w:tcW w:w="0" w:type="auto"/>
            <w:vAlign w:val="center"/>
          </w:tcPr>
          <w:p w:rsidR="005F78FC" w:rsidRDefault="00B42EF3">
            <w:pPr>
              <w:pStyle w:val="TableBodyText"/>
            </w:pPr>
            <w:r>
              <w:t>50</w:t>
            </w:r>
          </w:p>
        </w:tc>
        <w:tc>
          <w:tcPr>
            <w:tcW w:w="0" w:type="auto"/>
            <w:vAlign w:val="center"/>
          </w:tcPr>
          <w:p w:rsidR="005F78FC" w:rsidRDefault="00B42EF3">
            <w:pPr>
              <w:pStyle w:val="TableBodyText"/>
            </w:pPr>
            <w:r>
              <w:t>US Letter Extra 9 \275 x 12 in</w:t>
            </w:r>
          </w:p>
        </w:tc>
      </w:tr>
      <w:tr w:rsidR="005F78FC" w:rsidTr="005F78FC">
        <w:tc>
          <w:tcPr>
            <w:tcW w:w="0" w:type="auto"/>
            <w:vAlign w:val="center"/>
          </w:tcPr>
          <w:p w:rsidR="005F78FC" w:rsidRDefault="00B42EF3">
            <w:pPr>
              <w:pStyle w:val="TableBodyText"/>
            </w:pPr>
            <w:r>
              <w:t>51</w:t>
            </w:r>
          </w:p>
        </w:tc>
        <w:tc>
          <w:tcPr>
            <w:tcW w:w="0" w:type="auto"/>
            <w:vAlign w:val="center"/>
          </w:tcPr>
          <w:p w:rsidR="005F78FC" w:rsidRDefault="00B42EF3">
            <w:pPr>
              <w:pStyle w:val="TableBodyText"/>
            </w:pPr>
            <w:r>
              <w:t>US Legal Extra 9 \275 x 15 in</w:t>
            </w:r>
          </w:p>
        </w:tc>
      </w:tr>
      <w:tr w:rsidR="005F78FC" w:rsidTr="005F78FC">
        <w:tc>
          <w:tcPr>
            <w:tcW w:w="0" w:type="auto"/>
            <w:vAlign w:val="center"/>
          </w:tcPr>
          <w:p w:rsidR="005F78FC" w:rsidRDefault="00B42EF3">
            <w:pPr>
              <w:pStyle w:val="TableBodyText"/>
            </w:pPr>
            <w:r>
              <w:t>52</w:t>
            </w:r>
          </w:p>
        </w:tc>
        <w:tc>
          <w:tcPr>
            <w:tcW w:w="0" w:type="auto"/>
            <w:vAlign w:val="center"/>
          </w:tcPr>
          <w:p w:rsidR="005F78FC" w:rsidRDefault="00B42EF3">
            <w:pPr>
              <w:pStyle w:val="TableBodyText"/>
            </w:pPr>
            <w:r>
              <w:t>US Tabloid Extra 11.69 x 18 in</w:t>
            </w:r>
          </w:p>
        </w:tc>
      </w:tr>
      <w:tr w:rsidR="005F78FC" w:rsidTr="005F78FC">
        <w:tc>
          <w:tcPr>
            <w:tcW w:w="0" w:type="auto"/>
            <w:vAlign w:val="center"/>
          </w:tcPr>
          <w:p w:rsidR="005F78FC" w:rsidRDefault="00B42EF3">
            <w:pPr>
              <w:pStyle w:val="TableBodyText"/>
            </w:pPr>
            <w:r>
              <w:t>53</w:t>
            </w:r>
          </w:p>
        </w:tc>
        <w:tc>
          <w:tcPr>
            <w:tcW w:w="0" w:type="auto"/>
            <w:vAlign w:val="center"/>
          </w:tcPr>
          <w:p w:rsidR="005F78FC" w:rsidRDefault="00B42EF3">
            <w:pPr>
              <w:pStyle w:val="TableBodyText"/>
            </w:pPr>
            <w:r>
              <w:t>A4 Extra 9.27 x 12.69 in</w:t>
            </w:r>
          </w:p>
        </w:tc>
      </w:tr>
      <w:tr w:rsidR="005F78FC" w:rsidTr="005F78FC">
        <w:tc>
          <w:tcPr>
            <w:tcW w:w="0" w:type="auto"/>
            <w:vAlign w:val="center"/>
          </w:tcPr>
          <w:p w:rsidR="005F78FC" w:rsidRDefault="00B42EF3">
            <w:pPr>
              <w:pStyle w:val="TableBodyText"/>
            </w:pPr>
            <w:r>
              <w:t>54</w:t>
            </w:r>
          </w:p>
        </w:tc>
        <w:tc>
          <w:tcPr>
            <w:tcW w:w="0" w:type="auto"/>
            <w:vAlign w:val="center"/>
          </w:tcPr>
          <w:p w:rsidR="005F78FC" w:rsidRDefault="00B42EF3">
            <w:pPr>
              <w:pStyle w:val="TableBodyText"/>
            </w:pPr>
            <w:r>
              <w:t xml:space="preserve">Letter Transverse 8 \275 x 11 in </w:t>
            </w:r>
          </w:p>
        </w:tc>
      </w:tr>
      <w:tr w:rsidR="005F78FC" w:rsidTr="005F78FC">
        <w:tc>
          <w:tcPr>
            <w:tcW w:w="0" w:type="auto"/>
            <w:vAlign w:val="center"/>
          </w:tcPr>
          <w:p w:rsidR="005F78FC" w:rsidRDefault="00B42EF3">
            <w:pPr>
              <w:pStyle w:val="TableBodyText"/>
            </w:pPr>
            <w:r>
              <w:t>55</w:t>
            </w:r>
          </w:p>
        </w:tc>
        <w:tc>
          <w:tcPr>
            <w:tcW w:w="0" w:type="auto"/>
            <w:vAlign w:val="center"/>
          </w:tcPr>
          <w:p w:rsidR="005F78FC" w:rsidRDefault="00B42EF3">
            <w:pPr>
              <w:pStyle w:val="TableBodyText"/>
            </w:pPr>
            <w:r>
              <w:t>A4 Transverse 210 x 297 mm</w:t>
            </w:r>
          </w:p>
        </w:tc>
      </w:tr>
      <w:tr w:rsidR="005F78FC" w:rsidTr="005F78FC">
        <w:tc>
          <w:tcPr>
            <w:tcW w:w="0" w:type="auto"/>
            <w:vAlign w:val="center"/>
          </w:tcPr>
          <w:p w:rsidR="005F78FC" w:rsidRDefault="00B42EF3">
            <w:pPr>
              <w:pStyle w:val="TableBodyText"/>
            </w:pPr>
            <w:r>
              <w:lastRenderedPageBreak/>
              <w:t>56</w:t>
            </w:r>
          </w:p>
        </w:tc>
        <w:tc>
          <w:tcPr>
            <w:tcW w:w="0" w:type="auto"/>
            <w:vAlign w:val="center"/>
          </w:tcPr>
          <w:p w:rsidR="005F78FC" w:rsidRDefault="00B42EF3">
            <w:pPr>
              <w:pStyle w:val="TableBodyText"/>
            </w:pPr>
            <w:r>
              <w:t>Letter Extra Transverse 9\275 x 12 in</w:t>
            </w:r>
          </w:p>
        </w:tc>
      </w:tr>
      <w:tr w:rsidR="005F78FC" w:rsidTr="005F78FC">
        <w:tc>
          <w:tcPr>
            <w:tcW w:w="0" w:type="auto"/>
            <w:vAlign w:val="center"/>
          </w:tcPr>
          <w:p w:rsidR="005F78FC" w:rsidRDefault="00B42EF3">
            <w:pPr>
              <w:pStyle w:val="TableBodyText"/>
            </w:pPr>
            <w:r>
              <w:t>57</w:t>
            </w:r>
          </w:p>
        </w:tc>
        <w:tc>
          <w:tcPr>
            <w:tcW w:w="0" w:type="auto"/>
            <w:vAlign w:val="center"/>
          </w:tcPr>
          <w:p w:rsidR="005F78FC" w:rsidRDefault="00B42EF3">
            <w:pPr>
              <w:pStyle w:val="TableBodyText"/>
            </w:pPr>
            <w:r>
              <w:t>SuperA/SuperA/A4 227 x 356 mm</w:t>
            </w:r>
          </w:p>
        </w:tc>
      </w:tr>
      <w:tr w:rsidR="005F78FC" w:rsidTr="005F78FC">
        <w:tc>
          <w:tcPr>
            <w:tcW w:w="0" w:type="auto"/>
            <w:vAlign w:val="center"/>
          </w:tcPr>
          <w:p w:rsidR="005F78FC" w:rsidRDefault="00B42EF3">
            <w:pPr>
              <w:pStyle w:val="TableBodyText"/>
            </w:pPr>
            <w:r>
              <w:t>58</w:t>
            </w:r>
          </w:p>
        </w:tc>
        <w:tc>
          <w:tcPr>
            <w:tcW w:w="0" w:type="auto"/>
            <w:vAlign w:val="center"/>
          </w:tcPr>
          <w:p w:rsidR="005F78FC" w:rsidRDefault="00B42EF3">
            <w:pPr>
              <w:pStyle w:val="TableBodyText"/>
            </w:pPr>
            <w:r>
              <w:t>SuperB/SuperB/A3 305 x 487 mm</w:t>
            </w:r>
          </w:p>
        </w:tc>
      </w:tr>
      <w:tr w:rsidR="005F78FC" w:rsidTr="005F78FC">
        <w:tc>
          <w:tcPr>
            <w:tcW w:w="0" w:type="auto"/>
            <w:vAlign w:val="center"/>
          </w:tcPr>
          <w:p w:rsidR="005F78FC" w:rsidRDefault="00B42EF3">
            <w:pPr>
              <w:pStyle w:val="TableBodyText"/>
            </w:pPr>
            <w:r>
              <w:t>59</w:t>
            </w:r>
          </w:p>
        </w:tc>
        <w:tc>
          <w:tcPr>
            <w:tcW w:w="0" w:type="auto"/>
            <w:vAlign w:val="center"/>
          </w:tcPr>
          <w:p w:rsidR="005F78FC" w:rsidRDefault="00B42EF3">
            <w:pPr>
              <w:pStyle w:val="TableBodyText"/>
            </w:pPr>
            <w:r>
              <w:t>US Letter Plus 8.5 x 12.69 in</w:t>
            </w:r>
          </w:p>
        </w:tc>
      </w:tr>
      <w:tr w:rsidR="005F78FC" w:rsidTr="005F78FC">
        <w:tc>
          <w:tcPr>
            <w:tcW w:w="0" w:type="auto"/>
            <w:vAlign w:val="center"/>
          </w:tcPr>
          <w:p w:rsidR="005F78FC" w:rsidRDefault="00B42EF3">
            <w:pPr>
              <w:pStyle w:val="TableBodyText"/>
            </w:pPr>
            <w:r>
              <w:t>60</w:t>
            </w:r>
          </w:p>
        </w:tc>
        <w:tc>
          <w:tcPr>
            <w:tcW w:w="0" w:type="auto"/>
            <w:vAlign w:val="center"/>
          </w:tcPr>
          <w:p w:rsidR="005F78FC" w:rsidRDefault="00B42EF3">
            <w:pPr>
              <w:pStyle w:val="TableBodyText"/>
            </w:pPr>
            <w:r>
              <w:t>A4 Plus 210 x 330 mm</w:t>
            </w:r>
          </w:p>
        </w:tc>
      </w:tr>
      <w:tr w:rsidR="005F78FC" w:rsidTr="005F78FC">
        <w:tc>
          <w:tcPr>
            <w:tcW w:w="0" w:type="auto"/>
            <w:vAlign w:val="center"/>
          </w:tcPr>
          <w:p w:rsidR="005F78FC" w:rsidRDefault="00B42EF3">
            <w:pPr>
              <w:pStyle w:val="TableBodyText"/>
            </w:pPr>
            <w:r>
              <w:t>61</w:t>
            </w:r>
          </w:p>
        </w:tc>
        <w:tc>
          <w:tcPr>
            <w:tcW w:w="0" w:type="auto"/>
            <w:vAlign w:val="center"/>
          </w:tcPr>
          <w:p w:rsidR="005F78FC" w:rsidRDefault="00B42EF3">
            <w:pPr>
              <w:pStyle w:val="TableBodyText"/>
            </w:pPr>
            <w:r>
              <w:t>A5 Transverse 148 x 210 mm</w:t>
            </w:r>
          </w:p>
        </w:tc>
      </w:tr>
      <w:tr w:rsidR="005F78FC" w:rsidTr="005F78FC">
        <w:tc>
          <w:tcPr>
            <w:tcW w:w="0" w:type="auto"/>
            <w:vAlign w:val="center"/>
          </w:tcPr>
          <w:p w:rsidR="005F78FC" w:rsidRDefault="00B42EF3">
            <w:pPr>
              <w:pStyle w:val="TableBodyText"/>
            </w:pPr>
            <w:r>
              <w:t>62</w:t>
            </w:r>
          </w:p>
        </w:tc>
        <w:tc>
          <w:tcPr>
            <w:tcW w:w="0" w:type="auto"/>
            <w:vAlign w:val="center"/>
          </w:tcPr>
          <w:p w:rsidR="005F78FC" w:rsidRDefault="00B42EF3">
            <w:pPr>
              <w:pStyle w:val="TableBodyText"/>
            </w:pPr>
            <w:r>
              <w:t>B5 (JIS) Transverse 182 x 257 mm</w:t>
            </w:r>
          </w:p>
        </w:tc>
      </w:tr>
      <w:tr w:rsidR="005F78FC" w:rsidTr="005F78FC">
        <w:tc>
          <w:tcPr>
            <w:tcW w:w="0" w:type="auto"/>
            <w:vAlign w:val="center"/>
          </w:tcPr>
          <w:p w:rsidR="005F78FC" w:rsidRDefault="00B42EF3">
            <w:pPr>
              <w:pStyle w:val="TableBodyText"/>
            </w:pPr>
            <w:r>
              <w:t>63</w:t>
            </w:r>
          </w:p>
        </w:tc>
        <w:tc>
          <w:tcPr>
            <w:tcW w:w="0" w:type="auto"/>
            <w:vAlign w:val="center"/>
          </w:tcPr>
          <w:p w:rsidR="005F78FC" w:rsidRDefault="00B42EF3">
            <w:pPr>
              <w:pStyle w:val="TableBodyText"/>
            </w:pPr>
            <w:r>
              <w:t xml:space="preserve">A3 Extra 322 x 445 </w:t>
            </w:r>
            <w:r>
              <w:t>mm</w:t>
            </w:r>
          </w:p>
        </w:tc>
      </w:tr>
      <w:tr w:rsidR="005F78FC" w:rsidTr="005F78FC">
        <w:tc>
          <w:tcPr>
            <w:tcW w:w="0" w:type="auto"/>
            <w:vAlign w:val="center"/>
          </w:tcPr>
          <w:p w:rsidR="005F78FC" w:rsidRDefault="00B42EF3">
            <w:pPr>
              <w:pStyle w:val="TableBodyText"/>
            </w:pPr>
            <w:r>
              <w:t>64</w:t>
            </w:r>
          </w:p>
        </w:tc>
        <w:tc>
          <w:tcPr>
            <w:tcW w:w="0" w:type="auto"/>
            <w:vAlign w:val="center"/>
          </w:tcPr>
          <w:p w:rsidR="005F78FC" w:rsidRDefault="00B42EF3">
            <w:pPr>
              <w:pStyle w:val="TableBodyText"/>
            </w:pPr>
            <w:r>
              <w:t>A5 Extra 174 x 235 mm</w:t>
            </w:r>
          </w:p>
        </w:tc>
      </w:tr>
      <w:tr w:rsidR="005F78FC" w:rsidTr="005F78FC">
        <w:tc>
          <w:tcPr>
            <w:tcW w:w="0" w:type="auto"/>
            <w:vAlign w:val="center"/>
          </w:tcPr>
          <w:p w:rsidR="005F78FC" w:rsidRDefault="00B42EF3">
            <w:pPr>
              <w:pStyle w:val="TableBodyText"/>
            </w:pPr>
            <w:r>
              <w:t>65</w:t>
            </w:r>
          </w:p>
        </w:tc>
        <w:tc>
          <w:tcPr>
            <w:tcW w:w="0" w:type="auto"/>
            <w:vAlign w:val="center"/>
          </w:tcPr>
          <w:p w:rsidR="005F78FC" w:rsidRDefault="00B42EF3">
            <w:pPr>
              <w:pStyle w:val="TableBodyText"/>
            </w:pPr>
            <w:r>
              <w:t>B5 (ISO) Extra 201 x 276 mm</w:t>
            </w:r>
          </w:p>
        </w:tc>
      </w:tr>
      <w:tr w:rsidR="005F78FC" w:rsidTr="005F78FC">
        <w:tc>
          <w:tcPr>
            <w:tcW w:w="0" w:type="auto"/>
            <w:vAlign w:val="center"/>
          </w:tcPr>
          <w:p w:rsidR="005F78FC" w:rsidRDefault="00B42EF3">
            <w:pPr>
              <w:pStyle w:val="TableBodyText"/>
            </w:pPr>
            <w:r>
              <w:t>66</w:t>
            </w:r>
          </w:p>
        </w:tc>
        <w:tc>
          <w:tcPr>
            <w:tcW w:w="0" w:type="auto"/>
            <w:vAlign w:val="center"/>
          </w:tcPr>
          <w:p w:rsidR="005F78FC" w:rsidRDefault="00B42EF3">
            <w:pPr>
              <w:pStyle w:val="TableBodyText"/>
            </w:pPr>
            <w:r>
              <w:t>A2 420 x 594 mm</w:t>
            </w:r>
          </w:p>
        </w:tc>
      </w:tr>
      <w:tr w:rsidR="005F78FC" w:rsidTr="005F78FC">
        <w:tc>
          <w:tcPr>
            <w:tcW w:w="0" w:type="auto"/>
            <w:vAlign w:val="center"/>
          </w:tcPr>
          <w:p w:rsidR="005F78FC" w:rsidRDefault="00B42EF3">
            <w:pPr>
              <w:pStyle w:val="TableBodyText"/>
            </w:pPr>
            <w:r>
              <w:t>67</w:t>
            </w:r>
          </w:p>
        </w:tc>
        <w:tc>
          <w:tcPr>
            <w:tcW w:w="0" w:type="auto"/>
            <w:vAlign w:val="center"/>
          </w:tcPr>
          <w:p w:rsidR="005F78FC" w:rsidRDefault="00B42EF3">
            <w:pPr>
              <w:pStyle w:val="TableBodyText"/>
            </w:pPr>
            <w:r>
              <w:t>A3 Transverse 297 x 420 mm</w:t>
            </w:r>
          </w:p>
        </w:tc>
      </w:tr>
      <w:tr w:rsidR="005F78FC" w:rsidTr="005F78FC">
        <w:tc>
          <w:tcPr>
            <w:tcW w:w="0" w:type="auto"/>
            <w:vAlign w:val="center"/>
          </w:tcPr>
          <w:p w:rsidR="005F78FC" w:rsidRDefault="00B42EF3">
            <w:pPr>
              <w:pStyle w:val="TableBodyText"/>
            </w:pPr>
            <w:r>
              <w:t>68</w:t>
            </w:r>
          </w:p>
        </w:tc>
        <w:tc>
          <w:tcPr>
            <w:tcW w:w="0" w:type="auto"/>
            <w:vAlign w:val="center"/>
          </w:tcPr>
          <w:p w:rsidR="005F78FC" w:rsidRDefault="00B42EF3">
            <w:pPr>
              <w:pStyle w:val="TableBodyText"/>
            </w:pPr>
            <w:r>
              <w:t xml:space="preserve">A3 Extra Transverse 322 x 445 mm </w:t>
            </w:r>
          </w:p>
        </w:tc>
      </w:tr>
      <w:tr w:rsidR="005F78FC" w:rsidTr="005F78FC">
        <w:tc>
          <w:tcPr>
            <w:tcW w:w="0" w:type="auto"/>
            <w:vAlign w:val="center"/>
          </w:tcPr>
          <w:p w:rsidR="005F78FC" w:rsidRDefault="00B42EF3">
            <w:pPr>
              <w:pStyle w:val="TableBodyText"/>
            </w:pPr>
            <w:r>
              <w:t>69</w:t>
            </w:r>
          </w:p>
        </w:tc>
        <w:tc>
          <w:tcPr>
            <w:tcW w:w="0" w:type="auto"/>
            <w:vAlign w:val="center"/>
          </w:tcPr>
          <w:p w:rsidR="005F78FC" w:rsidRDefault="00B42EF3">
            <w:pPr>
              <w:pStyle w:val="TableBodyText"/>
            </w:pPr>
            <w:r>
              <w:t>Japanese Double Postcard 200 x 148 mm</w:t>
            </w:r>
          </w:p>
        </w:tc>
      </w:tr>
      <w:tr w:rsidR="005F78FC" w:rsidTr="005F78FC">
        <w:tc>
          <w:tcPr>
            <w:tcW w:w="0" w:type="auto"/>
            <w:vAlign w:val="center"/>
          </w:tcPr>
          <w:p w:rsidR="005F78FC" w:rsidRDefault="00B42EF3">
            <w:pPr>
              <w:pStyle w:val="TableBodyText"/>
            </w:pPr>
            <w:r>
              <w:t>70</w:t>
            </w:r>
          </w:p>
        </w:tc>
        <w:tc>
          <w:tcPr>
            <w:tcW w:w="0" w:type="auto"/>
            <w:vAlign w:val="center"/>
          </w:tcPr>
          <w:p w:rsidR="005F78FC" w:rsidRDefault="00B42EF3">
            <w:pPr>
              <w:pStyle w:val="TableBodyText"/>
            </w:pPr>
            <w:r>
              <w:t>A6 105 x 148 mm</w:t>
            </w:r>
          </w:p>
        </w:tc>
      </w:tr>
      <w:tr w:rsidR="005F78FC" w:rsidTr="005F78FC">
        <w:tc>
          <w:tcPr>
            <w:tcW w:w="0" w:type="auto"/>
            <w:vAlign w:val="center"/>
          </w:tcPr>
          <w:p w:rsidR="005F78FC" w:rsidRDefault="00B42EF3">
            <w:pPr>
              <w:pStyle w:val="TableBodyText"/>
            </w:pPr>
            <w:r>
              <w:t>71</w:t>
            </w:r>
          </w:p>
        </w:tc>
        <w:tc>
          <w:tcPr>
            <w:tcW w:w="0" w:type="auto"/>
            <w:vAlign w:val="center"/>
          </w:tcPr>
          <w:p w:rsidR="005F78FC" w:rsidRDefault="00B42EF3">
            <w:pPr>
              <w:pStyle w:val="TableBodyText"/>
            </w:pPr>
            <w:r>
              <w:t>Japanese Envelope Kaku #2</w:t>
            </w:r>
          </w:p>
        </w:tc>
      </w:tr>
      <w:tr w:rsidR="005F78FC" w:rsidTr="005F78FC">
        <w:tc>
          <w:tcPr>
            <w:tcW w:w="0" w:type="auto"/>
            <w:vAlign w:val="center"/>
          </w:tcPr>
          <w:p w:rsidR="005F78FC" w:rsidRDefault="00B42EF3">
            <w:pPr>
              <w:pStyle w:val="TableBodyText"/>
            </w:pPr>
            <w:r>
              <w:t xml:space="preserve">72 </w:t>
            </w:r>
          </w:p>
        </w:tc>
        <w:tc>
          <w:tcPr>
            <w:tcW w:w="0" w:type="auto"/>
            <w:vAlign w:val="center"/>
          </w:tcPr>
          <w:p w:rsidR="005F78FC" w:rsidRDefault="00B42EF3">
            <w:pPr>
              <w:pStyle w:val="TableBodyText"/>
            </w:pPr>
            <w:r>
              <w:t xml:space="preserve">Japanese </w:t>
            </w:r>
            <w:r>
              <w:t>Envelope Kaku #3</w:t>
            </w:r>
          </w:p>
        </w:tc>
      </w:tr>
      <w:tr w:rsidR="005F78FC" w:rsidTr="005F78FC">
        <w:tc>
          <w:tcPr>
            <w:tcW w:w="0" w:type="auto"/>
            <w:vAlign w:val="center"/>
          </w:tcPr>
          <w:p w:rsidR="005F78FC" w:rsidRDefault="00B42EF3">
            <w:pPr>
              <w:pStyle w:val="TableBodyText"/>
            </w:pPr>
            <w:r>
              <w:t>73</w:t>
            </w:r>
          </w:p>
        </w:tc>
        <w:tc>
          <w:tcPr>
            <w:tcW w:w="0" w:type="auto"/>
            <w:vAlign w:val="center"/>
          </w:tcPr>
          <w:p w:rsidR="005F78FC" w:rsidRDefault="00B42EF3">
            <w:pPr>
              <w:pStyle w:val="TableBodyText"/>
            </w:pPr>
            <w:r>
              <w:t>Japanese Envelope Chou #3</w:t>
            </w:r>
          </w:p>
        </w:tc>
      </w:tr>
      <w:tr w:rsidR="005F78FC" w:rsidTr="005F78FC">
        <w:tc>
          <w:tcPr>
            <w:tcW w:w="0" w:type="auto"/>
            <w:vAlign w:val="center"/>
          </w:tcPr>
          <w:p w:rsidR="005F78FC" w:rsidRDefault="00B42EF3">
            <w:pPr>
              <w:pStyle w:val="TableBodyText"/>
            </w:pPr>
            <w:r>
              <w:t>74</w:t>
            </w:r>
          </w:p>
        </w:tc>
        <w:tc>
          <w:tcPr>
            <w:tcW w:w="0" w:type="auto"/>
            <w:vAlign w:val="center"/>
          </w:tcPr>
          <w:p w:rsidR="005F78FC" w:rsidRDefault="00B42EF3">
            <w:pPr>
              <w:pStyle w:val="TableBodyText"/>
            </w:pPr>
            <w:r>
              <w:t>Japanese Envelope Chou #4</w:t>
            </w:r>
          </w:p>
        </w:tc>
      </w:tr>
      <w:tr w:rsidR="005F78FC" w:rsidTr="005F78FC">
        <w:tc>
          <w:tcPr>
            <w:tcW w:w="0" w:type="auto"/>
            <w:vAlign w:val="center"/>
          </w:tcPr>
          <w:p w:rsidR="005F78FC" w:rsidRDefault="00B42EF3">
            <w:pPr>
              <w:pStyle w:val="TableBodyText"/>
            </w:pPr>
            <w:r>
              <w:t>75</w:t>
            </w:r>
          </w:p>
        </w:tc>
        <w:tc>
          <w:tcPr>
            <w:tcW w:w="0" w:type="auto"/>
            <w:vAlign w:val="center"/>
          </w:tcPr>
          <w:p w:rsidR="005F78FC" w:rsidRDefault="00B42EF3">
            <w:pPr>
              <w:pStyle w:val="TableBodyText"/>
            </w:pPr>
            <w:r>
              <w:t>Letter Rotated 11 x 8 1/2 11 in</w:t>
            </w:r>
          </w:p>
        </w:tc>
      </w:tr>
      <w:tr w:rsidR="005F78FC" w:rsidTr="005F78FC">
        <w:tc>
          <w:tcPr>
            <w:tcW w:w="0" w:type="auto"/>
            <w:vAlign w:val="center"/>
          </w:tcPr>
          <w:p w:rsidR="005F78FC" w:rsidRDefault="00B42EF3">
            <w:pPr>
              <w:pStyle w:val="TableBodyText"/>
            </w:pPr>
            <w:r>
              <w:t>76</w:t>
            </w:r>
          </w:p>
        </w:tc>
        <w:tc>
          <w:tcPr>
            <w:tcW w:w="0" w:type="auto"/>
            <w:vAlign w:val="center"/>
          </w:tcPr>
          <w:p w:rsidR="005F78FC" w:rsidRDefault="00B42EF3">
            <w:pPr>
              <w:pStyle w:val="TableBodyText"/>
            </w:pPr>
            <w:r>
              <w:t>A3 Rotated 420 x 297 mm</w:t>
            </w:r>
          </w:p>
        </w:tc>
      </w:tr>
      <w:tr w:rsidR="005F78FC" w:rsidTr="005F78FC">
        <w:tc>
          <w:tcPr>
            <w:tcW w:w="0" w:type="auto"/>
            <w:vAlign w:val="center"/>
          </w:tcPr>
          <w:p w:rsidR="005F78FC" w:rsidRDefault="00B42EF3">
            <w:pPr>
              <w:pStyle w:val="TableBodyText"/>
            </w:pPr>
            <w:r>
              <w:t>77</w:t>
            </w:r>
          </w:p>
        </w:tc>
        <w:tc>
          <w:tcPr>
            <w:tcW w:w="0" w:type="auto"/>
            <w:vAlign w:val="center"/>
          </w:tcPr>
          <w:p w:rsidR="005F78FC" w:rsidRDefault="00B42EF3">
            <w:pPr>
              <w:pStyle w:val="TableBodyText"/>
            </w:pPr>
            <w:r>
              <w:t>A4 Rotated 297 x 210 mm</w:t>
            </w:r>
          </w:p>
        </w:tc>
      </w:tr>
      <w:tr w:rsidR="005F78FC" w:rsidTr="005F78FC">
        <w:tc>
          <w:tcPr>
            <w:tcW w:w="0" w:type="auto"/>
            <w:vAlign w:val="center"/>
          </w:tcPr>
          <w:p w:rsidR="005F78FC" w:rsidRDefault="00B42EF3">
            <w:pPr>
              <w:pStyle w:val="TableBodyText"/>
            </w:pPr>
            <w:r>
              <w:t>78</w:t>
            </w:r>
          </w:p>
        </w:tc>
        <w:tc>
          <w:tcPr>
            <w:tcW w:w="0" w:type="auto"/>
            <w:vAlign w:val="center"/>
          </w:tcPr>
          <w:p w:rsidR="005F78FC" w:rsidRDefault="00B42EF3">
            <w:pPr>
              <w:pStyle w:val="TableBodyText"/>
            </w:pPr>
            <w:r>
              <w:t>A5 Rotated 210 x 148 mm</w:t>
            </w:r>
          </w:p>
        </w:tc>
      </w:tr>
      <w:tr w:rsidR="005F78FC" w:rsidTr="005F78FC">
        <w:tc>
          <w:tcPr>
            <w:tcW w:w="0" w:type="auto"/>
            <w:vAlign w:val="center"/>
          </w:tcPr>
          <w:p w:rsidR="005F78FC" w:rsidRDefault="00B42EF3">
            <w:pPr>
              <w:pStyle w:val="TableBodyText"/>
            </w:pPr>
            <w:r>
              <w:t>79</w:t>
            </w:r>
          </w:p>
        </w:tc>
        <w:tc>
          <w:tcPr>
            <w:tcW w:w="0" w:type="auto"/>
            <w:vAlign w:val="center"/>
          </w:tcPr>
          <w:p w:rsidR="005F78FC" w:rsidRDefault="00B42EF3">
            <w:pPr>
              <w:pStyle w:val="TableBodyText"/>
            </w:pPr>
            <w:r>
              <w:t>B4 (JIS) Rotated 364 x 257 mm</w:t>
            </w:r>
          </w:p>
        </w:tc>
      </w:tr>
      <w:tr w:rsidR="005F78FC" w:rsidTr="005F78FC">
        <w:tc>
          <w:tcPr>
            <w:tcW w:w="0" w:type="auto"/>
            <w:vAlign w:val="center"/>
          </w:tcPr>
          <w:p w:rsidR="005F78FC" w:rsidRDefault="00B42EF3">
            <w:pPr>
              <w:pStyle w:val="TableBodyText"/>
            </w:pPr>
            <w:r>
              <w:t>80</w:t>
            </w:r>
          </w:p>
        </w:tc>
        <w:tc>
          <w:tcPr>
            <w:tcW w:w="0" w:type="auto"/>
            <w:vAlign w:val="center"/>
          </w:tcPr>
          <w:p w:rsidR="005F78FC" w:rsidRDefault="00B42EF3">
            <w:pPr>
              <w:pStyle w:val="TableBodyText"/>
            </w:pPr>
            <w:r>
              <w:t xml:space="preserve">B5 (JIS) Rotated 257 </w:t>
            </w:r>
            <w:r>
              <w:t>x 182 mm</w:t>
            </w:r>
          </w:p>
        </w:tc>
      </w:tr>
      <w:tr w:rsidR="005F78FC" w:rsidTr="005F78FC">
        <w:tc>
          <w:tcPr>
            <w:tcW w:w="0" w:type="auto"/>
            <w:vAlign w:val="center"/>
          </w:tcPr>
          <w:p w:rsidR="005F78FC" w:rsidRDefault="00B42EF3">
            <w:pPr>
              <w:pStyle w:val="TableBodyText"/>
            </w:pPr>
            <w:r>
              <w:t>81</w:t>
            </w:r>
          </w:p>
        </w:tc>
        <w:tc>
          <w:tcPr>
            <w:tcW w:w="0" w:type="auto"/>
            <w:vAlign w:val="center"/>
          </w:tcPr>
          <w:p w:rsidR="005F78FC" w:rsidRDefault="00B42EF3">
            <w:pPr>
              <w:pStyle w:val="TableBodyText"/>
            </w:pPr>
            <w:r>
              <w:t>Japanese Postcard Rotated 148 x 100 mm</w:t>
            </w:r>
          </w:p>
        </w:tc>
      </w:tr>
      <w:tr w:rsidR="005F78FC" w:rsidTr="005F78FC">
        <w:tc>
          <w:tcPr>
            <w:tcW w:w="0" w:type="auto"/>
            <w:vAlign w:val="center"/>
          </w:tcPr>
          <w:p w:rsidR="005F78FC" w:rsidRDefault="00B42EF3">
            <w:pPr>
              <w:pStyle w:val="TableBodyText"/>
            </w:pPr>
            <w:r>
              <w:t>82</w:t>
            </w:r>
          </w:p>
        </w:tc>
        <w:tc>
          <w:tcPr>
            <w:tcW w:w="0" w:type="auto"/>
            <w:vAlign w:val="center"/>
          </w:tcPr>
          <w:p w:rsidR="005F78FC" w:rsidRDefault="00B42EF3">
            <w:pPr>
              <w:pStyle w:val="TableBodyText"/>
            </w:pPr>
            <w:r>
              <w:t>Double Japanese Postcard Rotated 148 x 200 mm</w:t>
            </w:r>
          </w:p>
        </w:tc>
      </w:tr>
      <w:tr w:rsidR="005F78FC" w:rsidTr="005F78FC">
        <w:tc>
          <w:tcPr>
            <w:tcW w:w="0" w:type="auto"/>
            <w:vAlign w:val="center"/>
          </w:tcPr>
          <w:p w:rsidR="005F78FC" w:rsidRDefault="00B42EF3">
            <w:pPr>
              <w:pStyle w:val="TableBodyText"/>
            </w:pPr>
            <w:r>
              <w:t>83</w:t>
            </w:r>
          </w:p>
        </w:tc>
        <w:tc>
          <w:tcPr>
            <w:tcW w:w="0" w:type="auto"/>
            <w:vAlign w:val="center"/>
          </w:tcPr>
          <w:p w:rsidR="005F78FC" w:rsidRDefault="00B42EF3">
            <w:pPr>
              <w:pStyle w:val="TableBodyText"/>
            </w:pPr>
            <w:r>
              <w:t>A6 Rotated 148 x 105 mm</w:t>
            </w:r>
          </w:p>
        </w:tc>
      </w:tr>
      <w:tr w:rsidR="005F78FC" w:rsidTr="005F78FC">
        <w:tc>
          <w:tcPr>
            <w:tcW w:w="0" w:type="auto"/>
            <w:vAlign w:val="center"/>
          </w:tcPr>
          <w:p w:rsidR="005F78FC" w:rsidRDefault="00B42EF3">
            <w:pPr>
              <w:pStyle w:val="TableBodyText"/>
            </w:pPr>
            <w:r>
              <w:t>84</w:t>
            </w:r>
          </w:p>
        </w:tc>
        <w:tc>
          <w:tcPr>
            <w:tcW w:w="0" w:type="auto"/>
            <w:vAlign w:val="center"/>
          </w:tcPr>
          <w:p w:rsidR="005F78FC" w:rsidRDefault="00B42EF3">
            <w:pPr>
              <w:pStyle w:val="TableBodyText"/>
            </w:pPr>
            <w:r>
              <w:t>Japanese Envelope Kaku #2 Rotated</w:t>
            </w:r>
          </w:p>
        </w:tc>
      </w:tr>
      <w:tr w:rsidR="005F78FC" w:rsidTr="005F78FC">
        <w:tc>
          <w:tcPr>
            <w:tcW w:w="0" w:type="auto"/>
            <w:vAlign w:val="center"/>
          </w:tcPr>
          <w:p w:rsidR="005F78FC" w:rsidRDefault="00B42EF3">
            <w:pPr>
              <w:pStyle w:val="TableBodyText"/>
            </w:pPr>
            <w:r>
              <w:t>85</w:t>
            </w:r>
          </w:p>
        </w:tc>
        <w:tc>
          <w:tcPr>
            <w:tcW w:w="0" w:type="auto"/>
            <w:vAlign w:val="center"/>
          </w:tcPr>
          <w:p w:rsidR="005F78FC" w:rsidRDefault="00B42EF3">
            <w:pPr>
              <w:pStyle w:val="TableBodyText"/>
            </w:pPr>
            <w:r>
              <w:t>Japanese Envelope Kaku #3 Rotated</w:t>
            </w:r>
          </w:p>
        </w:tc>
      </w:tr>
      <w:tr w:rsidR="005F78FC" w:rsidTr="005F78FC">
        <w:tc>
          <w:tcPr>
            <w:tcW w:w="0" w:type="auto"/>
            <w:vAlign w:val="center"/>
          </w:tcPr>
          <w:p w:rsidR="005F78FC" w:rsidRDefault="00B42EF3">
            <w:pPr>
              <w:pStyle w:val="TableBodyText"/>
            </w:pPr>
            <w:r>
              <w:t>86</w:t>
            </w:r>
          </w:p>
        </w:tc>
        <w:tc>
          <w:tcPr>
            <w:tcW w:w="0" w:type="auto"/>
            <w:vAlign w:val="center"/>
          </w:tcPr>
          <w:p w:rsidR="005F78FC" w:rsidRDefault="00B42EF3">
            <w:pPr>
              <w:pStyle w:val="TableBodyText"/>
            </w:pPr>
            <w:r>
              <w:t>Japanese Envelope Chou #3 Rotated</w:t>
            </w:r>
          </w:p>
        </w:tc>
      </w:tr>
      <w:tr w:rsidR="005F78FC" w:rsidTr="005F78FC">
        <w:tc>
          <w:tcPr>
            <w:tcW w:w="0" w:type="auto"/>
            <w:vAlign w:val="center"/>
          </w:tcPr>
          <w:p w:rsidR="005F78FC" w:rsidRDefault="00B42EF3">
            <w:pPr>
              <w:pStyle w:val="TableBodyText"/>
            </w:pPr>
            <w:r>
              <w:t>87</w:t>
            </w:r>
          </w:p>
        </w:tc>
        <w:tc>
          <w:tcPr>
            <w:tcW w:w="0" w:type="auto"/>
            <w:vAlign w:val="center"/>
          </w:tcPr>
          <w:p w:rsidR="005F78FC" w:rsidRDefault="00B42EF3">
            <w:pPr>
              <w:pStyle w:val="TableBodyText"/>
            </w:pPr>
            <w:r>
              <w:t>Japanese</w:t>
            </w:r>
            <w:r>
              <w:t xml:space="preserve"> Envelope Chou #4 Rotated</w:t>
            </w:r>
          </w:p>
        </w:tc>
      </w:tr>
      <w:tr w:rsidR="005F78FC" w:rsidTr="005F78FC">
        <w:tc>
          <w:tcPr>
            <w:tcW w:w="0" w:type="auto"/>
            <w:vAlign w:val="center"/>
          </w:tcPr>
          <w:p w:rsidR="005F78FC" w:rsidRDefault="00B42EF3">
            <w:pPr>
              <w:pStyle w:val="TableBodyText"/>
            </w:pPr>
            <w:r>
              <w:lastRenderedPageBreak/>
              <w:t>88</w:t>
            </w:r>
          </w:p>
        </w:tc>
        <w:tc>
          <w:tcPr>
            <w:tcW w:w="0" w:type="auto"/>
            <w:vAlign w:val="center"/>
          </w:tcPr>
          <w:p w:rsidR="005F78FC" w:rsidRDefault="00B42EF3">
            <w:pPr>
              <w:pStyle w:val="TableBodyText"/>
            </w:pPr>
            <w:r>
              <w:t>B6 (JIS) 128 x 182 mm</w:t>
            </w:r>
          </w:p>
        </w:tc>
      </w:tr>
      <w:tr w:rsidR="005F78FC" w:rsidTr="005F78FC">
        <w:tc>
          <w:tcPr>
            <w:tcW w:w="0" w:type="auto"/>
            <w:vAlign w:val="center"/>
          </w:tcPr>
          <w:p w:rsidR="005F78FC" w:rsidRDefault="00B42EF3">
            <w:pPr>
              <w:pStyle w:val="TableBodyText"/>
            </w:pPr>
            <w:r>
              <w:t>89</w:t>
            </w:r>
          </w:p>
        </w:tc>
        <w:tc>
          <w:tcPr>
            <w:tcW w:w="0" w:type="auto"/>
            <w:vAlign w:val="center"/>
          </w:tcPr>
          <w:p w:rsidR="005F78FC" w:rsidRDefault="00B42EF3">
            <w:pPr>
              <w:pStyle w:val="TableBodyText"/>
            </w:pPr>
            <w:r>
              <w:t>B6 (JIS) Rotated 182 x 128 mm</w:t>
            </w:r>
          </w:p>
        </w:tc>
      </w:tr>
      <w:tr w:rsidR="005F78FC" w:rsidTr="005F78FC">
        <w:tc>
          <w:tcPr>
            <w:tcW w:w="0" w:type="auto"/>
            <w:vAlign w:val="center"/>
          </w:tcPr>
          <w:p w:rsidR="005F78FC" w:rsidRDefault="00B42EF3">
            <w:pPr>
              <w:pStyle w:val="TableBodyText"/>
            </w:pPr>
            <w:r>
              <w:t>90</w:t>
            </w:r>
          </w:p>
        </w:tc>
        <w:tc>
          <w:tcPr>
            <w:tcW w:w="0" w:type="auto"/>
            <w:vAlign w:val="center"/>
          </w:tcPr>
          <w:p w:rsidR="005F78FC" w:rsidRDefault="00B42EF3">
            <w:pPr>
              <w:pStyle w:val="TableBodyText"/>
            </w:pPr>
            <w:r>
              <w:t>12 x 11 in</w:t>
            </w:r>
          </w:p>
        </w:tc>
      </w:tr>
      <w:tr w:rsidR="005F78FC" w:rsidTr="005F78FC">
        <w:tc>
          <w:tcPr>
            <w:tcW w:w="0" w:type="auto"/>
            <w:vAlign w:val="center"/>
          </w:tcPr>
          <w:p w:rsidR="005F78FC" w:rsidRDefault="00B42EF3">
            <w:pPr>
              <w:pStyle w:val="TableBodyText"/>
            </w:pPr>
            <w:r>
              <w:t>91</w:t>
            </w:r>
          </w:p>
        </w:tc>
        <w:tc>
          <w:tcPr>
            <w:tcW w:w="0" w:type="auto"/>
            <w:vAlign w:val="center"/>
          </w:tcPr>
          <w:p w:rsidR="005F78FC" w:rsidRDefault="00B42EF3">
            <w:pPr>
              <w:pStyle w:val="TableBodyText"/>
            </w:pPr>
            <w:r>
              <w:t>Japanese Envelope You #4</w:t>
            </w:r>
          </w:p>
        </w:tc>
      </w:tr>
      <w:tr w:rsidR="005F78FC" w:rsidTr="005F78FC">
        <w:tc>
          <w:tcPr>
            <w:tcW w:w="0" w:type="auto"/>
            <w:vAlign w:val="center"/>
          </w:tcPr>
          <w:p w:rsidR="005F78FC" w:rsidRDefault="00B42EF3">
            <w:pPr>
              <w:pStyle w:val="TableBodyText"/>
            </w:pPr>
            <w:r>
              <w:t>92</w:t>
            </w:r>
          </w:p>
        </w:tc>
        <w:tc>
          <w:tcPr>
            <w:tcW w:w="0" w:type="auto"/>
            <w:vAlign w:val="center"/>
          </w:tcPr>
          <w:p w:rsidR="005F78FC" w:rsidRDefault="00B42EF3">
            <w:pPr>
              <w:pStyle w:val="TableBodyText"/>
            </w:pPr>
            <w:r>
              <w:t>Japanese Envelope You #4 Rotated</w:t>
            </w:r>
          </w:p>
        </w:tc>
      </w:tr>
      <w:tr w:rsidR="005F78FC" w:rsidTr="005F78FC">
        <w:tc>
          <w:tcPr>
            <w:tcW w:w="0" w:type="auto"/>
            <w:vAlign w:val="center"/>
          </w:tcPr>
          <w:p w:rsidR="005F78FC" w:rsidRDefault="00B42EF3">
            <w:pPr>
              <w:pStyle w:val="TableBodyText"/>
            </w:pPr>
            <w:r>
              <w:t>93</w:t>
            </w:r>
          </w:p>
        </w:tc>
        <w:tc>
          <w:tcPr>
            <w:tcW w:w="0" w:type="auto"/>
            <w:vAlign w:val="center"/>
          </w:tcPr>
          <w:p w:rsidR="005F78FC" w:rsidRDefault="00B42EF3">
            <w:pPr>
              <w:pStyle w:val="TableBodyText"/>
            </w:pPr>
            <w:r>
              <w:t>PRC 16K 146 x 215 mm</w:t>
            </w:r>
          </w:p>
        </w:tc>
      </w:tr>
      <w:tr w:rsidR="005F78FC" w:rsidTr="005F78FC">
        <w:tc>
          <w:tcPr>
            <w:tcW w:w="0" w:type="auto"/>
            <w:vAlign w:val="center"/>
          </w:tcPr>
          <w:p w:rsidR="005F78FC" w:rsidRDefault="00B42EF3">
            <w:pPr>
              <w:pStyle w:val="TableBodyText"/>
            </w:pPr>
            <w:r>
              <w:t>94</w:t>
            </w:r>
          </w:p>
        </w:tc>
        <w:tc>
          <w:tcPr>
            <w:tcW w:w="0" w:type="auto"/>
            <w:vAlign w:val="center"/>
          </w:tcPr>
          <w:p w:rsidR="005F78FC" w:rsidRDefault="00B42EF3">
            <w:pPr>
              <w:pStyle w:val="TableBodyText"/>
            </w:pPr>
            <w:r>
              <w:t>PRC 32K 97 x 151 mm</w:t>
            </w:r>
          </w:p>
        </w:tc>
      </w:tr>
      <w:tr w:rsidR="005F78FC" w:rsidTr="005F78FC">
        <w:tc>
          <w:tcPr>
            <w:tcW w:w="0" w:type="auto"/>
            <w:vAlign w:val="center"/>
          </w:tcPr>
          <w:p w:rsidR="005F78FC" w:rsidRDefault="00B42EF3">
            <w:pPr>
              <w:pStyle w:val="TableBodyText"/>
            </w:pPr>
            <w:r>
              <w:t>95</w:t>
            </w:r>
          </w:p>
        </w:tc>
        <w:tc>
          <w:tcPr>
            <w:tcW w:w="0" w:type="auto"/>
            <w:vAlign w:val="center"/>
          </w:tcPr>
          <w:p w:rsidR="005F78FC" w:rsidRDefault="00B42EF3">
            <w:pPr>
              <w:pStyle w:val="TableBodyText"/>
            </w:pPr>
            <w:r>
              <w:t>PRC 32K(Big) 97 x 151 mm</w:t>
            </w:r>
          </w:p>
        </w:tc>
      </w:tr>
      <w:tr w:rsidR="005F78FC" w:rsidTr="005F78FC">
        <w:tc>
          <w:tcPr>
            <w:tcW w:w="0" w:type="auto"/>
            <w:vAlign w:val="center"/>
          </w:tcPr>
          <w:p w:rsidR="005F78FC" w:rsidRDefault="00B42EF3">
            <w:pPr>
              <w:pStyle w:val="TableBodyText"/>
            </w:pPr>
            <w:r>
              <w:t>96</w:t>
            </w:r>
          </w:p>
        </w:tc>
        <w:tc>
          <w:tcPr>
            <w:tcW w:w="0" w:type="auto"/>
            <w:vAlign w:val="center"/>
          </w:tcPr>
          <w:p w:rsidR="005F78FC" w:rsidRDefault="00B42EF3">
            <w:pPr>
              <w:pStyle w:val="TableBodyText"/>
            </w:pPr>
            <w:r>
              <w:t xml:space="preserve">PRC </w:t>
            </w:r>
            <w:r>
              <w:t>Envelope #1 102 x 165 mm</w:t>
            </w:r>
          </w:p>
        </w:tc>
      </w:tr>
      <w:tr w:rsidR="005F78FC" w:rsidTr="005F78FC">
        <w:tc>
          <w:tcPr>
            <w:tcW w:w="0" w:type="auto"/>
            <w:vAlign w:val="center"/>
          </w:tcPr>
          <w:p w:rsidR="005F78FC" w:rsidRDefault="00B42EF3">
            <w:pPr>
              <w:pStyle w:val="TableBodyText"/>
            </w:pPr>
            <w:r>
              <w:t>97</w:t>
            </w:r>
          </w:p>
        </w:tc>
        <w:tc>
          <w:tcPr>
            <w:tcW w:w="0" w:type="auto"/>
            <w:vAlign w:val="center"/>
          </w:tcPr>
          <w:p w:rsidR="005F78FC" w:rsidRDefault="00B42EF3">
            <w:pPr>
              <w:pStyle w:val="TableBodyText"/>
            </w:pPr>
            <w:r>
              <w:t>PRC Envelope #2 102 x 176 mm</w:t>
            </w:r>
          </w:p>
        </w:tc>
      </w:tr>
      <w:tr w:rsidR="005F78FC" w:rsidTr="005F78FC">
        <w:tc>
          <w:tcPr>
            <w:tcW w:w="0" w:type="auto"/>
            <w:vAlign w:val="center"/>
          </w:tcPr>
          <w:p w:rsidR="005F78FC" w:rsidRDefault="00B42EF3">
            <w:pPr>
              <w:pStyle w:val="TableBodyText"/>
            </w:pPr>
            <w:r>
              <w:t>98</w:t>
            </w:r>
          </w:p>
        </w:tc>
        <w:tc>
          <w:tcPr>
            <w:tcW w:w="0" w:type="auto"/>
            <w:vAlign w:val="center"/>
          </w:tcPr>
          <w:p w:rsidR="005F78FC" w:rsidRDefault="00B42EF3">
            <w:pPr>
              <w:pStyle w:val="TableBodyText"/>
            </w:pPr>
            <w:r>
              <w:t>PRC Envelope #3 125 x 176 mm</w:t>
            </w:r>
          </w:p>
        </w:tc>
      </w:tr>
      <w:tr w:rsidR="005F78FC" w:rsidTr="005F78FC">
        <w:tc>
          <w:tcPr>
            <w:tcW w:w="0" w:type="auto"/>
            <w:vAlign w:val="center"/>
          </w:tcPr>
          <w:p w:rsidR="005F78FC" w:rsidRDefault="00B42EF3">
            <w:pPr>
              <w:pStyle w:val="TableBodyText"/>
            </w:pPr>
            <w:r>
              <w:t>99</w:t>
            </w:r>
          </w:p>
        </w:tc>
        <w:tc>
          <w:tcPr>
            <w:tcW w:w="0" w:type="auto"/>
            <w:vAlign w:val="center"/>
          </w:tcPr>
          <w:p w:rsidR="005F78FC" w:rsidRDefault="00B42EF3">
            <w:pPr>
              <w:pStyle w:val="TableBodyText"/>
            </w:pPr>
            <w:r>
              <w:t>PRC Envelope #4 110 x 208 mm</w:t>
            </w:r>
          </w:p>
        </w:tc>
      </w:tr>
      <w:tr w:rsidR="005F78FC" w:rsidTr="005F78FC">
        <w:tc>
          <w:tcPr>
            <w:tcW w:w="0" w:type="auto"/>
            <w:vAlign w:val="center"/>
          </w:tcPr>
          <w:p w:rsidR="005F78FC" w:rsidRDefault="00B42EF3">
            <w:pPr>
              <w:pStyle w:val="TableBodyText"/>
            </w:pPr>
            <w:r>
              <w:t>100</w:t>
            </w:r>
          </w:p>
        </w:tc>
        <w:tc>
          <w:tcPr>
            <w:tcW w:w="0" w:type="auto"/>
            <w:vAlign w:val="center"/>
          </w:tcPr>
          <w:p w:rsidR="005F78FC" w:rsidRDefault="00B42EF3">
            <w:pPr>
              <w:pStyle w:val="TableBodyText"/>
            </w:pPr>
            <w:r>
              <w:t>PRC Envelope #5 110 x 220 mm</w:t>
            </w:r>
          </w:p>
        </w:tc>
      </w:tr>
      <w:tr w:rsidR="005F78FC" w:rsidTr="005F78FC">
        <w:tc>
          <w:tcPr>
            <w:tcW w:w="0" w:type="auto"/>
            <w:vAlign w:val="center"/>
          </w:tcPr>
          <w:p w:rsidR="005F78FC" w:rsidRDefault="00B42EF3">
            <w:pPr>
              <w:pStyle w:val="TableBodyText"/>
            </w:pPr>
            <w:r>
              <w:t>101</w:t>
            </w:r>
          </w:p>
        </w:tc>
        <w:tc>
          <w:tcPr>
            <w:tcW w:w="0" w:type="auto"/>
            <w:vAlign w:val="center"/>
          </w:tcPr>
          <w:p w:rsidR="005F78FC" w:rsidRDefault="00B42EF3">
            <w:pPr>
              <w:pStyle w:val="TableBodyText"/>
            </w:pPr>
            <w:r>
              <w:t>PRC Envelope #6 120 x 230 mm</w:t>
            </w:r>
          </w:p>
        </w:tc>
      </w:tr>
      <w:tr w:rsidR="005F78FC" w:rsidTr="005F78FC">
        <w:tc>
          <w:tcPr>
            <w:tcW w:w="0" w:type="auto"/>
            <w:vAlign w:val="center"/>
          </w:tcPr>
          <w:p w:rsidR="005F78FC" w:rsidRDefault="00B42EF3">
            <w:pPr>
              <w:pStyle w:val="TableBodyText"/>
            </w:pPr>
            <w:r>
              <w:t>102</w:t>
            </w:r>
          </w:p>
        </w:tc>
        <w:tc>
          <w:tcPr>
            <w:tcW w:w="0" w:type="auto"/>
            <w:vAlign w:val="center"/>
          </w:tcPr>
          <w:p w:rsidR="005F78FC" w:rsidRDefault="00B42EF3">
            <w:pPr>
              <w:pStyle w:val="TableBodyText"/>
            </w:pPr>
            <w:r>
              <w:t>PRC Envelope #7 160 x 230 mm</w:t>
            </w:r>
          </w:p>
        </w:tc>
      </w:tr>
      <w:tr w:rsidR="005F78FC" w:rsidTr="005F78FC">
        <w:tc>
          <w:tcPr>
            <w:tcW w:w="0" w:type="auto"/>
            <w:vAlign w:val="center"/>
          </w:tcPr>
          <w:p w:rsidR="005F78FC" w:rsidRDefault="00B42EF3">
            <w:pPr>
              <w:pStyle w:val="TableBodyText"/>
            </w:pPr>
            <w:r>
              <w:t>103</w:t>
            </w:r>
          </w:p>
        </w:tc>
        <w:tc>
          <w:tcPr>
            <w:tcW w:w="0" w:type="auto"/>
            <w:vAlign w:val="center"/>
          </w:tcPr>
          <w:p w:rsidR="005F78FC" w:rsidRDefault="00B42EF3">
            <w:pPr>
              <w:pStyle w:val="TableBodyText"/>
            </w:pPr>
            <w:r>
              <w:t>PRC Envelope #8 120 x 309</w:t>
            </w:r>
            <w:r>
              <w:t xml:space="preserve"> mm</w:t>
            </w:r>
          </w:p>
        </w:tc>
      </w:tr>
      <w:tr w:rsidR="005F78FC" w:rsidTr="005F78FC">
        <w:tc>
          <w:tcPr>
            <w:tcW w:w="0" w:type="auto"/>
            <w:vAlign w:val="center"/>
          </w:tcPr>
          <w:p w:rsidR="005F78FC" w:rsidRDefault="00B42EF3">
            <w:pPr>
              <w:pStyle w:val="TableBodyText"/>
            </w:pPr>
            <w:r>
              <w:t>104</w:t>
            </w:r>
          </w:p>
        </w:tc>
        <w:tc>
          <w:tcPr>
            <w:tcW w:w="0" w:type="auto"/>
            <w:vAlign w:val="center"/>
          </w:tcPr>
          <w:p w:rsidR="005F78FC" w:rsidRDefault="00B42EF3">
            <w:pPr>
              <w:pStyle w:val="TableBodyText"/>
            </w:pPr>
            <w:r>
              <w:t>PRC Envelope #9 229 x 324 mm</w:t>
            </w:r>
          </w:p>
        </w:tc>
      </w:tr>
      <w:tr w:rsidR="005F78FC" w:rsidTr="005F78FC">
        <w:tc>
          <w:tcPr>
            <w:tcW w:w="0" w:type="auto"/>
            <w:vAlign w:val="center"/>
          </w:tcPr>
          <w:p w:rsidR="005F78FC" w:rsidRDefault="00B42EF3">
            <w:pPr>
              <w:pStyle w:val="TableBodyText"/>
            </w:pPr>
            <w:r>
              <w:t>105</w:t>
            </w:r>
          </w:p>
        </w:tc>
        <w:tc>
          <w:tcPr>
            <w:tcW w:w="0" w:type="auto"/>
            <w:vAlign w:val="center"/>
          </w:tcPr>
          <w:p w:rsidR="005F78FC" w:rsidRDefault="00B42EF3">
            <w:pPr>
              <w:pStyle w:val="TableBodyText"/>
            </w:pPr>
            <w:r>
              <w:t>PRC Envelope #10 324 x 458 mm</w:t>
            </w:r>
          </w:p>
        </w:tc>
      </w:tr>
      <w:tr w:rsidR="005F78FC" w:rsidTr="005F78FC">
        <w:tc>
          <w:tcPr>
            <w:tcW w:w="0" w:type="auto"/>
            <w:vAlign w:val="center"/>
          </w:tcPr>
          <w:p w:rsidR="005F78FC" w:rsidRDefault="00B42EF3">
            <w:pPr>
              <w:pStyle w:val="TableBodyText"/>
            </w:pPr>
            <w:r>
              <w:t>106</w:t>
            </w:r>
          </w:p>
        </w:tc>
        <w:tc>
          <w:tcPr>
            <w:tcW w:w="0" w:type="auto"/>
            <w:vAlign w:val="center"/>
          </w:tcPr>
          <w:p w:rsidR="005F78FC" w:rsidRDefault="00B42EF3">
            <w:pPr>
              <w:pStyle w:val="TableBodyText"/>
            </w:pPr>
            <w:r>
              <w:t>PRC 16K Rotated</w:t>
            </w:r>
          </w:p>
        </w:tc>
      </w:tr>
      <w:tr w:rsidR="005F78FC" w:rsidTr="005F78FC">
        <w:tc>
          <w:tcPr>
            <w:tcW w:w="0" w:type="auto"/>
            <w:vAlign w:val="center"/>
          </w:tcPr>
          <w:p w:rsidR="005F78FC" w:rsidRDefault="00B42EF3">
            <w:pPr>
              <w:pStyle w:val="TableBodyText"/>
            </w:pPr>
            <w:r>
              <w:t>107</w:t>
            </w:r>
          </w:p>
        </w:tc>
        <w:tc>
          <w:tcPr>
            <w:tcW w:w="0" w:type="auto"/>
            <w:vAlign w:val="center"/>
          </w:tcPr>
          <w:p w:rsidR="005F78FC" w:rsidRDefault="00B42EF3">
            <w:pPr>
              <w:pStyle w:val="TableBodyText"/>
            </w:pPr>
            <w:r>
              <w:t>PRC 32K Rotated</w:t>
            </w:r>
          </w:p>
        </w:tc>
      </w:tr>
      <w:tr w:rsidR="005F78FC" w:rsidTr="005F78FC">
        <w:tc>
          <w:tcPr>
            <w:tcW w:w="0" w:type="auto"/>
            <w:vAlign w:val="center"/>
          </w:tcPr>
          <w:p w:rsidR="005F78FC" w:rsidRDefault="00B42EF3">
            <w:pPr>
              <w:pStyle w:val="TableBodyText"/>
            </w:pPr>
            <w:r>
              <w:t>108</w:t>
            </w:r>
          </w:p>
        </w:tc>
        <w:tc>
          <w:tcPr>
            <w:tcW w:w="0" w:type="auto"/>
            <w:vAlign w:val="center"/>
          </w:tcPr>
          <w:p w:rsidR="005F78FC" w:rsidRDefault="00B42EF3">
            <w:pPr>
              <w:pStyle w:val="TableBodyText"/>
            </w:pPr>
            <w:r>
              <w:t>PRC 32K(Big) Rotated</w:t>
            </w:r>
          </w:p>
        </w:tc>
      </w:tr>
      <w:tr w:rsidR="005F78FC" w:rsidTr="005F78FC">
        <w:tc>
          <w:tcPr>
            <w:tcW w:w="0" w:type="auto"/>
            <w:vAlign w:val="center"/>
          </w:tcPr>
          <w:p w:rsidR="005F78FC" w:rsidRDefault="00B42EF3">
            <w:pPr>
              <w:pStyle w:val="TableBodyText"/>
            </w:pPr>
            <w:r>
              <w:t>109</w:t>
            </w:r>
          </w:p>
        </w:tc>
        <w:tc>
          <w:tcPr>
            <w:tcW w:w="0" w:type="auto"/>
            <w:vAlign w:val="center"/>
          </w:tcPr>
          <w:p w:rsidR="005F78FC" w:rsidRDefault="00B42EF3">
            <w:pPr>
              <w:pStyle w:val="TableBodyText"/>
            </w:pPr>
            <w:r>
              <w:t>PRC Envelope #1 Rotated 165 x 102 mm</w:t>
            </w:r>
          </w:p>
        </w:tc>
      </w:tr>
      <w:tr w:rsidR="005F78FC" w:rsidTr="005F78FC">
        <w:tc>
          <w:tcPr>
            <w:tcW w:w="0" w:type="auto"/>
            <w:vAlign w:val="center"/>
          </w:tcPr>
          <w:p w:rsidR="005F78FC" w:rsidRDefault="00B42EF3">
            <w:pPr>
              <w:pStyle w:val="TableBodyText"/>
            </w:pPr>
            <w:r>
              <w:t>110</w:t>
            </w:r>
          </w:p>
        </w:tc>
        <w:tc>
          <w:tcPr>
            <w:tcW w:w="0" w:type="auto"/>
            <w:vAlign w:val="center"/>
          </w:tcPr>
          <w:p w:rsidR="005F78FC" w:rsidRDefault="00B42EF3">
            <w:pPr>
              <w:pStyle w:val="TableBodyText"/>
            </w:pPr>
            <w:r>
              <w:t>PRC Envelope #2 Rotated 176 x 102 mm</w:t>
            </w:r>
          </w:p>
        </w:tc>
      </w:tr>
      <w:tr w:rsidR="005F78FC" w:rsidTr="005F78FC">
        <w:tc>
          <w:tcPr>
            <w:tcW w:w="0" w:type="auto"/>
            <w:vAlign w:val="center"/>
          </w:tcPr>
          <w:p w:rsidR="005F78FC" w:rsidRDefault="00B42EF3">
            <w:pPr>
              <w:pStyle w:val="TableBodyText"/>
            </w:pPr>
            <w:r>
              <w:t>111</w:t>
            </w:r>
          </w:p>
        </w:tc>
        <w:tc>
          <w:tcPr>
            <w:tcW w:w="0" w:type="auto"/>
            <w:vAlign w:val="center"/>
          </w:tcPr>
          <w:p w:rsidR="005F78FC" w:rsidRDefault="00B42EF3">
            <w:pPr>
              <w:pStyle w:val="TableBodyText"/>
            </w:pPr>
            <w:r>
              <w:t xml:space="preserve">PRC Envelope #3 Rotated </w:t>
            </w:r>
            <w:r>
              <w:t>176 x 125 mm</w:t>
            </w:r>
          </w:p>
        </w:tc>
      </w:tr>
      <w:tr w:rsidR="005F78FC" w:rsidTr="005F78FC">
        <w:tc>
          <w:tcPr>
            <w:tcW w:w="0" w:type="auto"/>
            <w:vAlign w:val="center"/>
          </w:tcPr>
          <w:p w:rsidR="005F78FC" w:rsidRDefault="00B42EF3">
            <w:pPr>
              <w:pStyle w:val="TableBodyText"/>
            </w:pPr>
            <w:r>
              <w:t>112</w:t>
            </w:r>
          </w:p>
        </w:tc>
        <w:tc>
          <w:tcPr>
            <w:tcW w:w="0" w:type="auto"/>
            <w:vAlign w:val="center"/>
          </w:tcPr>
          <w:p w:rsidR="005F78FC" w:rsidRDefault="00B42EF3">
            <w:pPr>
              <w:pStyle w:val="TableBodyText"/>
            </w:pPr>
            <w:r>
              <w:t>PRC Envelope #4 Rotated 208 x 110 mm</w:t>
            </w:r>
          </w:p>
        </w:tc>
      </w:tr>
      <w:tr w:rsidR="005F78FC" w:rsidTr="005F78FC">
        <w:tc>
          <w:tcPr>
            <w:tcW w:w="0" w:type="auto"/>
            <w:vAlign w:val="center"/>
          </w:tcPr>
          <w:p w:rsidR="005F78FC" w:rsidRDefault="00B42EF3">
            <w:pPr>
              <w:pStyle w:val="TableBodyText"/>
            </w:pPr>
            <w:r>
              <w:t>113</w:t>
            </w:r>
          </w:p>
        </w:tc>
        <w:tc>
          <w:tcPr>
            <w:tcW w:w="0" w:type="auto"/>
            <w:vAlign w:val="center"/>
          </w:tcPr>
          <w:p w:rsidR="005F78FC" w:rsidRDefault="00B42EF3">
            <w:pPr>
              <w:pStyle w:val="TableBodyText"/>
            </w:pPr>
            <w:r>
              <w:t>PRC Envelope #5 Rotated 220 x 110 mm</w:t>
            </w:r>
          </w:p>
        </w:tc>
      </w:tr>
      <w:tr w:rsidR="005F78FC" w:rsidTr="005F78FC">
        <w:tc>
          <w:tcPr>
            <w:tcW w:w="0" w:type="auto"/>
            <w:vAlign w:val="center"/>
          </w:tcPr>
          <w:p w:rsidR="005F78FC" w:rsidRDefault="00B42EF3">
            <w:pPr>
              <w:pStyle w:val="TableBodyText"/>
            </w:pPr>
            <w:r>
              <w:t>114</w:t>
            </w:r>
          </w:p>
        </w:tc>
        <w:tc>
          <w:tcPr>
            <w:tcW w:w="0" w:type="auto"/>
            <w:vAlign w:val="center"/>
          </w:tcPr>
          <w:p w:rsidR="005F78FC" w:rsidRDefault="00B42EF3">
            <w:pPr>
              <w:pStyle w:val="TableBodyText"/>
            </w:pPr>
            <w:r>
              <w:t>PRC Envelope #6 Rotated 230 x 120 mm</w:t>
            </w:r>
          </w:p>
        </w:tc>
      </w:tr>
      <w:tr w:rsidR="005F78FC" w:rsidTr="005F78FC">
        <w:tc>
          <w:tcPr>
            <w:tcW w:w="0" w:type="auto"/>
            <w:vAlign w:val="center"/>
          </w:tcPr>
          <w:p w:rsidR="005F78FC" w:rsidRDefault="00B42EF3">
            <w:pPr>
              <w:pStyle w:val="TableBodyText"/>
            </w:pPr>
            <w:r>
              <w:t>115</w:t>
            </w:r>
          </w:p>
        </w:tc>
        <w:tc>
          <w:tcPr>
            <w:tcW w:w="0" w:type="auto"/>
            <w:vAlign w:val="center"/>
          </w:tcPr>
          <w:p w:rsidR="005F78FC" w:rsidRDefault="00B42EF3">
            <w:pPr>
              <w:pStyle w:val="TableBodyText"/>
            </w:pPr>
            <w:r>
              <w:t>PRC Envelope #7 Rotated 230 x 160 mm</w:t>
            </w:r>
          </w:p>
        </w:tc>
      </w:tr>
      <w:tr w:rsidR="005F78FC" w:rsidTr="005F78FC">
        <w:tc>
          <w:tcPr>
            <w:tcW w:w="0" w:type="auto"/>
            <w:vAlign w:val="center"/>
          </w:tcPr>
          <w:p w:rsidR="005F78FC" w:rsidRDefault="00B42EF3">
            <w:pPr>
              <w:pStyle w:val="TableBodyText"/>
            </w:pPr>
            <w:r>
              <w:t>116</w:t>
            </w:r>
          </w:p>
        </w:tc>
        <w:tc>
          <w:tcPr>
            <w:tcW w:w="0" w:type="auto"/>
            <w:vAlign w:val="center"/>
          </w:tcPr>
          <w:p w:rsidR="005F78FC" w:rsidRDefault="00B42EF3">
            <w:pPr>
              <w:pStyle w:val="TableBodyText"/>
            </w:pPr>
            <w:r>
              <w:t>PRC Envelope #8 Rotated 309 x 120 mm</w:t>
            </w:r>
          </w:p>
        </w:tc>
      </w:tr>
      <w:tr w:rsidR="005F78FC" w:rsidTr="005F78FC">
        <w:tc>
          <w:tcPr>
            <w:tcW w:w="0" w:type="auto"/>
            <w:vAlign w:val="center"/>
          </w:tcPr>
          <w:p w:rsidR="005F78FC" w:rsidRDefault="00B42EF3">
            <w:pPr>
              <w:pStyle w:val="TableBodyText"/>
            </w:pPr>
            <w:r>
              <w:t>117</w:t>
            </w:r>
          </w:p>
        </w:tc>
        <w:tc>
          <w:tcPr>
            <w:tcW w:w="0" w:type="auto"/>
            <w:vAlign w:val="center"/>
          </w:tcPr>
          <w:p w:rsidR="005F78FC" w:rsidRDefault="00B42EF3">
            <w:pPr>
              <w:pStyle w:val="TableBodyText"/>
            </w:pPr>
            <w:r>
              <w:t xml:space="preserve">PRC Envelope #9 Rotated 324 </w:t>
            </w:r>
            <w:r>
              <w:t>x 229 mm</w:t>
            </w:r>
          </w:p>
        </w:tc>
      </w:tr>
      <w:tr w:rsidR="005F78FC" w:rsidTr="005F78FC">
        <w:tc>
          <w:tcPr>
            <w:tcW w:w="0" w:type="auto"/>
            <w:vAlign w:val="center"/>
          </w:tcPr>
          <w:p w:rsidR="005F78FC" w:rsidRDefault="00B42EF3">
            <w:pPr>
              <w:pStyle w:val="TableBodyText"/>
            </w:pPr>
            <w:r>
              <w:t>118</w:t>
            </w:r>
          </w:p>
        </w:tc>
        <w:tc>
          <w:tcPr>
            <w:tcW w:w="0" w:type="auto"/>
            <w:vAlign w:val="center"/>
          </w:tcPr>
          <w:p w:rsidR="005F78FC" w:rsidRDefault="00B42EF3">
            <w:pPr>
              <w:pStyle w:val="TableBodyText"/>
            </w:pPr>
            <w:r>
              <w:t>PRC Envelope #10 Rotated 458 x 324 mm</w:t>
            </w:r>
          </w:p>
        </w:tc>
      </w:tr>
    </w:tbl>
    <w:p w:rsidR="005F78FC" w:rsidRDefault="005F78FC"/>
    <w:p w:rsidR="005F78FC" w:rsidRDefault="00B42EF3">
      <w:pPr>
        <w:pStyle w:val="Definition-Field"/>
      </w:pPr>
      <w:r>
        <w:lastRenderedPageBreak/>
        <w:t xml:space="preserve">i.   </w:t>
      </w:r>
      <w:r>
        <w:rPr>
          <w:i/>
        </w:rPr>
        <w:t>The standard states that paperHeight is a valid attribute, and that when it is present, paperSize shall be ignored.</w:t>
      </w:r>
    </w:p>
    <w:p w:rsidR="005F78FC" w:rsidRDefault="00B42EF3">
      <w:pPr>
        <w:pStyle w:val="Definition-Field2"/>
      </w:pPr>
      <w:r>
        <w:t>Office ignores the paperHeight attribute if it is present, and does not ignore th</w:t>
      </w:r>
      <w:r>
        <w:t>e paperSize attribute if paperHeight is present.</w:t>
      </w:r>
    </w:p>
    <w:p w:rsidR="005F78FC" w:rsidRDefault="00B42EF3">
      <w:pPr>
        <w:pStyle w:val="Definition-Field"/>
      </w:pPr>
      <w:r>
        <w:t xml:space="preserve">j.   </w:t>
      </w:r>
      <w:r>
        <w:rPr>
          <w:i/>
        </w:rPr>
        <w:t>The standard states that paperWidth is a valid attribute, and that when it is present, paperSize shall be ignored.</w:t>
      </w:r>
    </w:p>
    <w:p w:rsidR="005F78FC" w:rsidRDefault="00B42EF3">
      <w:pPr>
        <w:pStyle w:val="Definition-Field2"/>
      </w:pPr>
      <w:r>
        <w:t>Office ignores the paperWidth attribute if it is present, and does not ignore the paper</w:t>
      </w:r>
      <w:r>
        <w:t>Size attribute if paperWidth is present.</w:t>
      </w:r>
    </w:p>
    <w:p w:rsidR="005F78FC" w:rsidRDefault="00B42EF3">
      <w:pPr>
        <w:pStyle w:val="Heading3"/>
      </w:pPr>
      <w:bookmarkStart w:id="1296" w:name="section_a3f0dcd307ed4e7bb08374ce6de5f195"/>
      <w:bookmarkStart w:id="1297" w:name="_Toc69878421"/>
      <w:r>
        <w:t>Part 1 Section 18.3.1.64, pageSetup (Chart Sheet Page Setup)</w:t>
      </w:r>
      <w:bookmarkEnd w:id="1296"/>
      <w:bookmarkEnd w:id="1297"/>
      <w:r>
        <w:fldChar w:fldCharType="begin"/>
      </w:r>
      <w:r>
        <w:instrText xml:space="preserve"> XE "pageSetup (Chart Sheet Page Setup)" </w:instrText>
      </w:r>
      <w:r>
        <w:fldChar w:fldCharType="end"/>
      </w:r>
    </w:p>
    <w:p w:rsidR="005F78FC" w:rsidRDefault="00B42EF3">
      <w:pPr>
        <w:pStyle w:val="Definition-Field"/>
      </w:pPr>
      <w:r>
        <w:t xml:space="preserve">a.   </w:t>
      </w:r>
      <w:r>
        <w:rPr>
          <w:i/>
        </w:rPr>
        <w:t>The standard states that the values of the firstPageNumber attribute are defined by the XML Schema unsigne</w:t>
      </w:r>
      <w:r>
        <w:rPr>
          <w:i/>
        </w:rPr>
        <w:t>dInt datatype.</w:t>
      </w:r>
    </w:p>
    <w:p w:rsidR="005F78FC" w:rsidRDefault="00B42EF3">
      <w:pPr>
        <w:pStyle w:val="Definition-Field2"/>
      </w:pPr>
      <w:r>
        <w:t>Excel restricts the value of this attribute to be at most 65534.</w:t>
      </w:r>
    </w:p>
    <w:p w:rsidR="005F78FC" w:rsidRDefault="00B42EF3">
      <w:pPr>
        <w:pStyle w:val="Definition-Field"/>
      </w:pPr>
      <w:r>
        <w:t xml:space="preserve">b.   </w:t>
      </w:r>
      <w:r>
        <w:rPr>
          <w:i/>
        </w:rPr>
        <w:t>The standard states that the values of the copies attribute are defined by the XML Schema unsignedInt datatype.</w:t>
      </w:r>
    </w:p>
    <w:p w:rsidR="005F78FC" w:rsidRDefault="00B42EF3">
      <w:pPr>
        <w:pStyle w:val="Definition-Field2"/>
      </w:pPr>
      <w:r>
        <w:t xml:space="preserve">Excel restricts the value of this attribute to be at least </w:t>
      </w:r>
      <w:r>
        <w:t>1 and at most 32767.</w:t>
      </w:r>
    </w:p>
    <w:p w:rsidR="005F78FC" w:rsidRDefault="00B42EF3">
      <w:pPr>
        <w:pStyle w:val="Definition-Field"/>
      </w:pPr>
      <w:r>
        <w:t xml:space="preserve">c.   </w:t>
      </w:r>
      <w:r>
        <w:rPr>
          <w:i/>
        </w:rPr>
        <w:t>The standard states that the values of the horizontalDpi attribute are defined by the XML Schema unsignedInt datatype.</w:t>
      </w:r>
    </w:p>
    <w:p w:rsidR="005F78FC" w:rsidRDefault="00B42EF3">
      <w:pPr>
        <w:pStyle w:val="Definition-Field2"/>
      </w:pPr>
      <w:r>
        <w:t>Excel restricts the value of this attribute to be at least 1.</w:t>
      </w:r>
    </w:p>
    <w:p w:rsidR="005F78FC" w:rsidRDefault="00B42EF3">
      <w:pPr>
        <w:pStyle w:val="Definition-Field"/>
      </w:pPr>
      <w:r>
        <w:t xml:space="preserve">d.   </w:t>
      </w:r>
      <w:r>
        <w:rPr>
          <w:i/>
        </w:rPr>
        <w:t>The standard states that the values of the v</w:t>
      </w:r>
      <w:r>
        <w:rPr>
          <w:i/>
        </w:rPr>
        <w:t>erticalDpi attribute are defined by the XML Schema unsignedInt datatype.</w:t>
      </w:r>
    </w:p>
    <w:p w:rsidR="005F78FC" w:rsidRDefault="00B42EF3">
      <w:pPr>
        <w:pStyle w:val="Definition-Field2"/>
      </w:pPr>
      <w:r>
        <w:t>Excel restricts the value of this attribute to be at least 1.</w:t>
      </w:r>
    </w:p>
    <w:p w:rsidR="005F78FC" w:rsidRDefault="00B42EF3">
      <w:pPr>
        <w:pStyle w:val="Definition-Field"/>
      </w:pPr>
      <w:r>
        <w:t xml:space="preserve">e.   </w:t>
      </w:r>
      <w:r>
        <w:rPr>
          <w:i/>
        </w:rPr>
        <w:t>The standard states that the paperSize attribute allows values as defined in the table.</w:t>
      </w:r>
    </w:p>
    <w:p w:rsidR="005F78FC" w:rsidRDefault="00B42EF3">
      <w:r>
        <w:t>The paperSize attribute spec</w:t>
      </w:r>
      <w:r>
        <w:t>ifies the paper size according to the following table. The value 0, or values larger than or equal to 256 specify custom printer paper sizes. Values between 118 and 256 are reserved for future use.</w:t>
      </w:r>
    </w:p>
    <w:tbl>
      <w:tblPr>
        <w:tblStyle w:val="Table-ShadedHeader"/>
        <w:tblW w:w="0" w:type="auto"/>
        <w:tblLook w:val="04A0" w:firstRow="1" w:lastRow="0" w:firstColumn="1" w:lastColumn="0" w:noHBand="0" w:noVBand="1"/>
      </w:tblPr>
      <w:tblGrid>
        <w:gridCol w:w="734"/>
        <w:gridCol w:w="4254"/>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Value</w:t>
            </w:r>
          </w:p>
        </w:tc>
        <w:tc>
          <w:tcPr>
            <w:tcW w:w="0" w:type="auto"/>
            <w:vAlign w:val="center"/>
          </w:tcPr>
          <w:p w:rsidR="005F78FC" w:rsidRDefault="00B42EF3">
            <w:pPr>
              <w:pStyle w:val="TableHeaderText"/>
            </w:pPr>
            <w:r>
              <w:t>Meaning</w:t>
            </w:r>
          </w:p>
        </w:tc>
      </w:tr>
      <w:tr w:rsidR="005F78FC" w:rsidTr="005F78FC">
        <w:tc>
          <w:tcPr>
            <w:tcW w:w="0" w:type="auto"/>
            <w:vAlign w:val="center"/>
          </w:tcPr>
          <w:p w:rsidR="005F78FC" w:rsidRDefault="00B42EF3">
            <w:pPr>
              <w:pStyle w:val="TableBodyText"/>
            </w:pPr>
            <w:r>
              <w:t>1</w:t>
            </w:r>
          </w:p>
        </w:tc>
        <w:tc>
          <w:tcPr>
            <w:tcW w:w="0" w:type="auto"/>
            <w:vAlign w:val="center"/>
          </w:tcPr>
          <w:p w:rsidR="005F78FC" w:rsidRDefault="00B42EF3">
            <w:pPr>
              <w:pStyle w:val="TableBodyText"/>
            </w:pPr>
            <w:r>
              <w:t>US Letter 8 1/2 x 11 in</w:t>
            </w:r>
          </w:p>
        </w:tc>
      </w:tr>
      <w:tr w:rsidR="005F78FC" w:rsidTr="005F78FC">
        <w:tc>
          <w:tcPr>
            <w:tcW w:w="0" w:type="auto"/>
            <w:vAlign w:val="center"/>
          </w:tcPr>
          <w:p w:rsidR="005F78FC" w:rsidRDefault="00B42EF3">
            <w:pPr>
              <w:pStyle w:val="TableBodyText"/>
            </w:pPr>
            <w:r>
              <w:t>2</w:t>
            </w:r>
          </w:p>
        </w:tc>
        <w:tc>
          <w:tcPr>
            <w:tcW w:w="0" w:type="auto"/>
            <w:vAlign w:val="center"/>
          </w:tcPr>
          <w:p w:rsidR="005F78FC" w:rsidRDefault="00B42EF3">
            <w:pPr>
              <w:pStyle w:val="TableBodyText"/>
            </w:pPr>
            <w:r>
              <w:t xml:space="preserve">US Letter </w:t>
            </w:r>
            <w:r>
              <w:t>Small 8 1/2 x 11 in</w:t>
            </w:r>
          </w:p>
        </w:tc>
      </w:tr>
      <w:tr w:rsidR="005F78FC" w:rsidTr="005F78FC">
        <w:tc>
          <w:tcPr>
            <w:tcW w:w="0" w:type="auto"/>
            <w:vAlign w:val="center"/>
          </w:tcPr>
          <w:p w:rsidR="005F78FC" w:rsidRDefault="00B42EF3">
            <w:pPr>
              <w:pStyle w:val="TableBodyText"/>
            </w:pPr>
            <w:r>
              <w:t>3</w:t>
            </w:r>
          </w:p>
        </w:tc>
        <w:tc>
          <w:tcPr>
            <w:tcW w:w="0" w:type="auto"/>
            <w:vAlign w:val="center"/>
          </w:tcPr>
          <w:p w:rsidR="005F78FC" w:rsidRDefault="00B42EF3">
            <w:pPr>
              <w:pStyle w:val="TableBodyText"/>
            </w:pPr>
            <w:r>
              <w:t>US Tabloid 11 x 17 in</w:t>
            </w:r>
          </w:p>
        </w:tc>
      </w:tr>
      <w:tr w:rsidR="005F78FC" w:rsidTr="005F78FC">
        <w:tc>
          <w:tcPr>
            <w:tcW w:w="0" w:type="auto"/>
            <w:vAlign w:val="center"/>
          </w:tcPr>
          <w:p w:rsidR="005F78FC" w:rsidRDefault="00B42EF3">
            <w:pPr>
              <w:pStyle w:val="TableBodyText"/>
            </w:pPr>
            <w:r>
              <w:t>4</w:t>
            </w:r>
          </w:p>
        </w:tc>
        <w:tc>
          <w:tcPr>
            <w:tcW w:w="0" w:type="auto"/>
            <w:vAlign w:val="center"/>
          </w:tcPr>
          <w:p w:rsidR="005F78FC" w:rsidRDefault="00B42EF3">
            <w:pPr>
              <w:pStyle w:val="TableBodyText"/>
            </w:pPr>
            <w:r>
              <w:t xml:space="preserve">US Ledger 17 x 11 in </w:t>
            </w:r>
          </w:p>
        </w:tc>
      </w:tr>
      <w:tr w:rsidR="005F78FC" w:rsidTr="005F78FC">
        <w:tc>
          <w:tcPr>
            <w:tcW w:w="0" w:type="auto"/>
            <w:vAlign w:val="center"/>
          </w:tcPr>
          <w:p w:rsidR="005F78FC" w:rsidRDefault="00B42EF3">
            <w:pPr>
              <w:pStyle w:val="TableBodyText"/>
            </w:pPr>
            <w:r>
              <w:t>5</w:t>
            </w:r>
          </w:p>
        </w:tc>
        <w:tc>
          <w:tcPr>
            <w:tcW w:w="0" w:type="auto"/>
            <w:vAlign w:val="center"/>
          </w:tcPr>
          <w:p w:rsidR="005F78FC" w:rsidRDefault="00B42EF3">
            <w:pPr>
              <w:pStyle w:val="TableBodyText"/>
            </w:pPr>
            <w:r>
              <w:t>US Legal 8 1/2 x 14 in</w:t>
            </w:r>
          </w:p>
        </w:tc>
      </w:tr>
      <w:tr w:rsidR="005F78FC" w:rsidTr="005F78FC">
        <w:tc>
          <w:tcPr>
            <w:tcW w:w="0" w:type="auto"/>
            <w:vAlign w:val="center"/>
          </w:tcPr>
          <w:p w:rsidR="005F78FC" w:rsidRDefault="00B42EF3">
            <w:pPr>
              <w:pStyle w:val="TableBodyText"/>
            </w:pPr>
            <w:r>
              <w:t>6</w:t>
            </w:r>
          </w:p>
        </w:tc>
        <w:tc>
          <w:tcPr>
            <w:tcW w:w="0" w:type="auto"/>
            <w:vAlign w:val="center"/>
          </w:tcPr>
          <w:p w:rsidR="005F78FC" w:rsidRDefault="00B42EF3">
            <w:pPr>
              <w:pStyle w:val="TableBodyText"/>
            </w:pPr>
            <w:r>
              <w:t>US Statement 5 1/2 x 8 1/2 in</w:t>
            </w:r>
          </w:p>
        </w:tc>
      </w:tr>
      <w:tr w:rsidR="005F78FC" w:rsidTr="005F78FC">
        <w:tc>
          <w:tcPr>
            <w:tcW w:w="0" w:type="auto"/>
            <w:vAlign w:val="center"/>
          </w:tcPr>
          <w:p w:rsidR="005F78FC" w:rsidRDefault="00B42EF3">
            <w:pPr>
              <w:pStyle w:val="TableBodyText"/>
            </w:pPr>
            <w:r>
              <w:t>7</w:t>
            </w:r>
          </w:p>
        </w:tc>
        <w:tc>
          <w:tcPr>
            <w:tcW w:w="0" w:type="auto"/>
            <w:vAlign w:val="center"/>
          </w:tcPr>
          <w:p w:rsidR="005F78FC" w:rsidRDefault="00B42EF3">
            <w:pPr>
              <w:pStyle w:val="TableBodyText"/>
            </w:pPr>
            <w:r>
              <w:t>US Executive 7 1/4 x 10 1/2 in</w:t>
            </w:r>
          </w:p>
        </w:tc>
      </w:tr>
      <w:tr w:rsidR="005F78FC" w:rsidTr="005F78FC">
        <w:tc>
          <w:tcPr>
            <w:tcW w:w="0" w:type="auto"/>
            <w:vAlign w:val="center"/>
          </w:tcPr>
          <w:p w:rsidR="005F78FC" w:rsidRDefault="00B42EF3">
            <w:pPr>
              <w:pStyle w:val="TableBodyText"/>
            </w:pPr>
            <w:r>
              <w:t>8</w:t>
            </w:r>
          </w:p>
        </w:tc>
        <w:tc>
          <w:tcPr>
            <w:tcW w:w="0" w:type="auto"/>
            <w:vAlign w:val="center"/>
          </w:tcPr>
          <w:p w:rsidR="005F78FC" w:rsidRDefault="00B42EF3">
            <w:pPr>
              <w:pStyle w:val="TableBodyText"/>
            </w:pPr>
            <w:r>
              <w:t>A3 297 x 420 mm</w:t>
            </w:r>
          </w:p>
        </w:tc>
      </w:tr>
      <w:tr w:rsidR="005F78FC" w:rsidTr="005F78FC">
        <w:tc>
          <w:tcPr>
            <w:tcW w:w="0" w:type="auto"/>
            <w:vAlign w:val="center"/>
          </w:tcPr>
          <w:p w:rsidR="005F78FC" w:rsidRDefault="00B42EF3">
            <w:pPr>
              <w:pStyle w:val="TableBodyText"/>
            </w:pPr>
            <w:r>
              <w:t>9</w:t>
            </w:r>
          </w:p>
        </w:tc>
        <w:tc>
          <w:tcPr>
            <w:tcW w:w="0" w:type="auto"/>
            <w:vAlign w:val="center"/>
          </w:tcPr>
          <w:p w:rsidR="005F78FC" w:rsidRDefault="00B42EF3">
            <w:pPr>
              <w:pStyle w:val="TableBodyText"/>
            </w:pPr>
            <w:r>
              <w:t>A4 210 x 297 mm</w:t>
            </w:r>
          </w:p>
        </w:tc>
      </w:tr>
      <w:tr w:rsidR="005F78FC" w:rsidTr="005F78FC">
        <w:tc>
          <w:tcPr>
            <w:tcW w:w="0" w:type="auto"/>
            <w:vAlign w:val="center"/>
          </w:tcPr>
          <w:p w:rsidR="005F78FC" w:rsidRDefault="00B42EF3">
            <w:pPr>
              <w:pStyle w:val="TableBodyText"/>
            </w:pPr>
            <w:r>
              <w:t>10</w:t>
            </w:r>
          </w:p>
        </w:tc>
        <w:tc>
          <w:tcPr>
            <w:tcW w:w="0" w:type="auto"/>
            <w:vAlign w:val="center"/>
          </w:tcPr>
          <w:p w:rsidR="005F78FC" w:rsidRDefault="00B42EF3">
            <w:pPr>
              <w:pStyle w:val="TableBodyText"/>
            </w:pPr>
            <w:r>
              <w:t>A4 Small 210 x 297 mm</w:t>
            </w:r>
          </w:p>
        </w:tc>
      </w:tr>
      <w:tr w:rsidR="005F78FC" w:rsidTr="005F78FC">
        <w:tc>
          <w:tcPr>
            <w:tcW w:w="0" w:type="auto"/>
            <w:vAlign w:val="center"/>
          </w:tcPr>
          <w:p w:rsidR="005F78FC" w:rsidRDefault="00B42EF3">
            <w:pPr>
              <w:pStyle w:val="TableBodyText"/>
            </w:pPr>
            <w:r>
              <w:lastRenderedPageBreak/>
              <w:t>11</w:t>
            </w:r>
          </w:p>
        </w:tc>
        <w:tc>
          <w:tcPr>
            <w:tcW w:w="0" w:type="auto"/>
            <w:vAlign w:val="center"/>
          </w:tcPr>
          <w:p w:rsidR="005F78FC" w:rsidRDefault="00B42EF3">
            <w:pPr>
              <w:pStyle w:val="TableBodyText"/>
            </w:pPr>
            <w:r>
              <w:t>A5 148 x 210 mm</w:t>
            </w:r>
          </w:p>
        </w:tc>
      </w:tr>
      <w:tr w:rsidR="005F78FC" w:rsidTr="005F78FC">
        <w:tc>
          <w:tcPr>
            <w:tcW w:w="0" w:type="auto"/>
            <w:vAlign w:val="center"/>
          </w:tcPr>
          <w:p w:rsidR="005F78FC" w:rsidRDefault="00B42EF3">
            <w:pPr>
              <w:pStyle w:val="TableBodyText"/>
            </w:pPr>
            <w:r>
              <w:t>12</w:t>
            </w:r>
          </w:p>
        </w:tc>
        <w:tc>
          <w:tcPr>
            <w:tcW w:w="0" w:type="auto"/>
            <w:vAlign w:val="center"/>
          </w:tcPr>
          <w:p w:rsidR="005F78FC" w:rsidRDefault="00B42EF3">
            <w:pPr>
              <w:pStyle w:val="TableBodyText"/>
            </w:pPr>
            <w:r>
              <w:t xml:space="preserve">B4 </w:t>
            </w:r>
            <w:r>
              <w:t>(JIS) 250 x 354</w:t>
            </w:r>
          </w:p>
        </w:tc>
      </w:tr>
      <w:tr w:rsidR="005F78FC" w:rsidTr="005F78FC">
        <w:tc>
          <w:tcPr>
            <w:tcW w:w="0" w:type="auto"/>
            <w:vAlign w:val="center"/>
          </w:tcPr>
          <w:p w:rsidR="005F78FC" w:rsidRDefault="00B42EF3">
            <w:pPr>
              <w:pStyle w:val="TableBodyText"/>
            </w:pPr>
            <w:r>
              <w:t>13</w:t>
            </w:r>
          </w:p>
        </w:tc>
        <w:tc>
          <w:tcPr>
            <w:tcW w:w="0" w:type="auto"/>
            <w:vAlign w:val="center"/>
          </w:tcPr>
          <w:p w:rsidR="005F78FC" w:rsidRDefault="00B42EF3">
            <w:pPr>
              <w:pStyle w:val="TableBodyText"/>
            </w:pPr>
            <w:r>
              <w:t>B5 (JIS) 182 x 257 mm</w:t>
            </w:r>
          </w:p>
        </w:tc>
      </w:tr>
      <w:tr w:rsidR="005F78FC" w:rsidTr="005F78FC">
        <w:tc>
          <w:tcPr>
            <w:tcW w:w="0" w:type="auto"/>
            <w:vAlign w:val="center"/>
          </w:tcPr>
          <w:p w:rsidR="005F78FC" w:rsidRDefault="00B42EF3">
            <w:pPr>
              <w:pStyle w:val="TableBodyText"/>
            </w:pPr>
            <w:r>
              <w:t>14</w:t>
            </w:r>
          </w:p>
        </w:tc>
        <w:tc>
          <w:tcPr>
            <w:tcW w:w="0" w:type="auto"/>
            <w:vAlign w:val="center"/>
          </w:tcPr>
          <w:p w:rsidR="005F78FC" w:rsidRDefault="00B42EF3">
            <w:pPr>
              <w:pStyle w:val="TableBodyText"/>
            </w:pPr>
            <w:r>
              <w:t>Folio 8 1/2 x 13 in</w:t>
            </w:r>
          </w:p>
        </w:tc>
      </w:tr>
      <w:tr w:rsidR="005F78FC" w:rsidTr="005F78FC">
        <w:tc>
          <w:tcPr>
            <w:tcW w:w="0" w:type="auto"/>
            <w:vAlign w:val="center"/>
          </w:tcPr>
          <w:p w:rsidR="005F78FC" w:rsidRDefault="00B42EF3">
            <w:pPr>
              <w:pStyle w:val="TableBodyText"/>
            </w:pPr>
            <w:r>
              <w:t>15</w:t>
            </w:r>
          </w:p>
        </w:tc>
        <w:tc>
          <w:tcPr>
            <w:tcW w:w="0" w:type="auto"/>
            <w:vAlign w:val="center"/>
          </w:tcPr>
          <w:p w:rsidR="005F78FC" w:rsidRDefault="00B42EF3">
            <w:pPr>
              <w:pStyle w:val="TableBodyText"/>
            </w:pPr>
            <w:r>
              <w:t>Quarto 215 x 275 mm</w:t>
            </w:r>
          </w:p>
        </w:tc>
      </w:tr>
      <w:tr w:rsidR="005F78FC" w:rsidTr="005F78FC">
        <w:tc>
          <w:tcPr>
            <w:tcW w:w="0" w:type="auto"/>
            <w:vAlign w:val="center"/>
          </w:tcPr>
          <w:p w:rsidR="005F78FC" w:rsidRDefault="00B42EF3">
            <w:pPr>
              <w:pStyle w:val="TableBodyText"/>
            </w:pPr>
            <w:r>
              <w:t>16</w:t>
            </w:r>
          </w:p>
        </w:tc>
        <w:tc>
          <w:tcPr>
            <w:tcW w:w="0" w:type="auto"/>
            <w:vAlign w:val="center"/>
          </w:tcPr>
          <w:p w:rsidR="005F78FC" w:rsidRDefault="00B42EF3">
            <w:pPr>
              <w:pStyle w:val="TableBodyText"/>
            </w:pPr>
            <w:r>
              <w:t>10 x 14 in</w:t>
            </w:r>
          </w:p>
        </w:tc>
      </w:tr>
      <w:tr w:rsidR="005F78FC" w:rsidTr="005F78FC">
        <w:tc>
          <w:tcPr>
            <w:tcW w:w="0" w:type="auto"/>
            <w:vAlign w:val="center"/>
          </w:tcPr>
          <w:p w:rsidR="005F78FC" w:rsidRDefault="00B42EF3">
            <w:pPr>
              <w:pStyle w:val="TableBodyText"/>
            </w:pPr>
            <w:r>
              <w:t>17</w:t>
            </w:r>
          </w:p>
        </w:tc>
        <w:tc>
          <w:tcPr>
            <w:tcW w:w="0" w:type="auto"/>
            <w:vAlign w:val="center"/>
          </w:tcPr>
          <w:p w:rsidR="005F78FC" w:rsidRDefault="00B42EF3">
            <w:pPr>
              <w:pStyle w:val="TableBodyText"/>
            </w:pPr>
            <w:r>
              <w:t>11 x 17 in</w:t>
            </w:r>
          </w:p>
        </w:tc>
      </w:tr>
      <w:tr w:rsidR="005F78FC" w:rsidTr="005F78FC">
        <w:tc>
          <w:tcPr>
            <w:tcW w:w="0" w:type="auto"/>
            <w:vAlign w:val="center"/>
          </w:tcPr>
          <w:p w:rsidR="005F78FC" w:rsidRDefault="00B42EF3">
            <w:pPr>
              <w:pStyle w:val="TableBodyText"/>
            </w:pPr>
            <w:r>
              <w:t>18</w:t>
            </w:r>
          </w:p>
        </w:tc>
        <w:tc>
          <w:tcPr>
            <w:tcW w:w="0" w:type="auto"/>
            <w:vAlign w:val="center"/>
          </w:tcPr>
          <w:p w:rsidR="005F78FC" w:rsidRDefault="00B42EF3">
            <w:pPr>
              <w:pStyle w:val="TableBodyText"/>
            </w:pPr>
            <w:r>
              <w:t>US Note 8 1/2 x 11 in</w:t>
            </w:r>
          </w:p>
        </w:tc>
      </w:tr>
      <w:tr w:rsidR="005F78FC" w:rsidTr="005F78FC">
        <w:tc>
          <w:tcPr>
            <w:tcW w:w="0" w:type="auto"/>
            <w:vAlign w:val="center"/>
          </w:tcPr>
          <w:p w:rsidR="005F78FC" w:rsidRDefault="00B42EF3">
            <w:pPr>
              <w:pStyle w:val="TableBodyText"/>
            </w:pPr>
            <w:r>
              <w:t>19</w:t>
            </w:r>
          </w:p>
        </w:tc>
        <w:tc>
          <w:tcPr>
            <w:tcW w:w="0" w:type="auto"/>
            <w:vAlign w:val="center"/>
          </w:tcPr>
          <w:p w:rsidR="005F78FC" w:rsidRDefault="00B42EF3">
            <w:pPr>
              <w:pStyle w:val="TableBodyText"/>
            </w:pPr>
            <w:r>
              <w:t>US Envelope #9 3 7/8 x 8 7/8</w:t>
            </w:r>
          </w:p>
        </w:tc>
      </w:tr>
      <w:tr w:rsidR="005F78FC" w:rsidTr="005F78FC">
        <w:tc>
          <w:tcPr>
            <w:tcW w:w="0" w:type="auto"/>
            <w:vAlign w:val="center"/>
          </w:tcPr>
          <w:p w:rsidR="005F78FC" w:rsidRDefault="00B42EF3">
            <w:pPr>
              <w:pStyle w:val="TableBodyText"/>
            </w:pPr>
            <w:r>
              <w:t>20</w:t>
            </w:r>
          </w:p>
        </w:tc>
        <w:tc>
          <w:tcPr>
            <w:tcW w:w="0" w:type="auto"/>
            <w:vAlign w:val="center"/>
          </w:tcPr>
          <w:p w:rsidR="005F78FC" w:rsidRDefault="00B42EF3">
            <w:pPr>
              <w:pStyle w:val="TableBodyText"/>
            </w:pPr>
            <w:r>
              <w:t>US Envelope #10 4 1/8 x 9 1/2</w:t>
            </w:r>
          </w:p>
        </w:tc>
      </w:tr>
      <w:tr w:rsidR="005F78FC" w:rsidTr="005F78FC">
        <w:tc>
          <w:tcPr>
            <w:tcW w:w="0" w:type="auto"/>
            <w:vAlign w:val="center"/>
          </w:tcPr>
          <w:p w:rsidR="005F78FC" w:rsidRDefault="00B42EF3">
            <w:pPr>
              <w:pStyle w:val="TableBodyText"/>
            </w:pPr>
            <w:r>
              <w:t>21</w:t>
            </w:r>
          </w:p>
        </w:tc>
        <w:tc>
          <w:tcPr>
            <w:tcW w:w="0" w:type="auto"/>
            <w:vAlign w:val="center"/>
          </w:tcPr>
          <w:p w:rsidR="005F78FC" w:rsidRDefault="00B42EF3">
            <w:pPr>
              <w:pStyle w:val="TableBodyText"/>
            </w:pPr>
            <w:r>
              <w:t>US Envelope #11 4 1/2 x 10 3/8</w:t>
            </w:r>
          </w:p>
        </w:tc>
      </w:tr>
      <w:tr w:rsidR="005F78FC" w:rsidTr="005F78FC">
        <w:tc>
          <w:tcPr>
            <w:tcW w:w="0" w:type="auto"/>
            <w:vAlign w:val="center"/>
          </w:tcPr>
          <w:p w:rsidR="005F78FC" w:rsidRDefault="00B42EF3">
            <w:pPr>
              <w:pStyle w:val="TableBodyText"/>
            </w:pPr>
            <w:r>
              <w:t>22</w:t>
            </w:r>
          </w:p>
        </w:tc>
        <w:tc>
          <w:tcPr>
            <w:tcW w:w="0" w:type="auto"/>
            <w:vAlign w:val="center"/>
          </w:tcPr>
          <w:p w:rsidR="005F78FC" w:rsidRDefault="00B42EF3">
            <w:pPr>
              <w:pStyle w:val="TableBodyText"/>
            </w:pPr>
            <w:r>
              <w:t xml:space="preserve">US </w:t>
            </w:r>
            <w:r>
              <w:t>Envelope #12 4 \276 x 11</w:t>
            </w:r>
          </w:p>
        </w:tc>
      </w:tr>
      <w:tr w:rsidR="005F78FC" w:rsidTr="005F78FC">
        <w:tc>
          <w:tcPr>
            <w:tcW w:w="0" w:type="auto"/>
            <w:vAlign w:val="center"/>
          </w:tcPr>
          <w:p w:rsidR="005F78FC" w:rsidRDefault="00B42EF3">
            <w:pPr>
              <w:pStyle w:val="TableBodyText"/>
            </w:pPr>
            <w:r>
              <w:t>23</w:t>
            </w:r>
          </w:p>
        </w:tc>
        <w:tc>
          <w:tcPr>
            <w:tcW w:w="0" w:type="auto"/>
            <w:vAlign w:val="center"/>
          </w:tcPr>
          <w:p w:rsidR="005F78FC" w:rsidRDefault="00B42EF3">
            <w:pPr>
              <w:pStyle w:val="TableBodyText"/>
            </w:pPr>
            <w:r>
              <w:t>US Envelope #14 5 x 11 1/2</w:t>
            </w:r>
          </w:p>
        </w:tc>
      </w:tr>
      <w:tr w:rsidR="005F78FC" w:rsidTr="005F78FC">
        <w:tc>
          <w:tcPr>
            <w:tcW w:w="0" w:type="auto"/>
            <w:vAlign w:val="center"/>
          </w:tcPr>
          <w:p w:rsidR="005F78FC" w:rsidRDefault="00B42EF3">
            <w:pPr>
              <w:pStyle w:val="TableBodyText"/>
            </w:pPr>
            <w:r>
              <w:t>24</w:t>
            </w:r>
          </w:p>
        </w:tc>
        <w:tc>
          <w:tcPr>
            <w:tcW w:w="0" w:type="auto"/>
            <w:vAlign w:val="center"/>
          </w:tcPr>
          <w:p w:rsidR="005F78FC" w:rsidRDefault="00B42EF3">
            <w:pPr>
              <w:pStyle w:val="TableBodyText"/>
            </w:pPr>
            <w:r>
              <w:t>C size sheet</w:t>
            </w:r>
          </w:p>
        </w:tc>
      </w:tr>
      <w:tr w:rsidR="005F78FC" w:rsidTr="005F78FC">
        <w:tc>
          <w:tcPr>
            <w:tcW w:w="0" w:type="auto"/>
            <w:vAlign w:val="center"/>
          </w:tcPr>
          <w:p w:rsidR="005F78FC" w:rsidRDefault="00B42EF3">
            <w:pPr>
              <w:pStyle w:val="TableBodyText"/>
            </w:pPr>
            <w:r>
              <w:t>25</w:t>
            </w:r>
          </w:p>
        </w:tc>
        <w:tc>
          <w:tcPr>
            <w:tcW w:w="0" w:type="auto"/>
            <w:vAlign w:val="center"/>
          </w:tcPr>
          <w:p w:rsidR="005F78FC" w:rsidRDefault="00B42EF3">
            <w:pPr>
              <w:pStyle w:val="TableBodyText"/>
            </w:pPr>
            <w:r>
              <w:t>D size sheet</w:t>
            </w:r>
          </w:p>
        </w:tc>
      </w:tr>
      <w:tr w:rsidR="005F78FC" w:rsidTr="005F78FC">
        <w:tc>
          <w:tcPr>
            <w:tcW w:w="0" w:type="auto"/>
            <w:vAlign w:val="center"/>
          </w:tcPr>
          <w:p w:rsidR="005F78FC" w:rsidRDefault="00B42EF3">
            <w:pPr>
              <w:pStyle w:val="TableBodyText"/>
            </w:pPr>
            <w:r>
              <w:t>26</w:t>
            </w:r>
          </w:p>
        </w:tc>
        <w:tc>
          <w:tcPr>
            <w:tcW w:w="0" w:type="auto"/>
            <w:vAlign w:val="center"/>
          </w:tcPr>
          <w:p w:rsidR="005F78FC" w:rsidRDefault="00B42EF3">
            <w:pPr>
              <w:pStyle w:val="TableBodyText"/>
            </w:pPr>
            <w:r>
              <w:t>E size sheet</w:t>
            </w:r>
          </w:p>
        </w:tc>
      </w:tr>
      <w:tr w:rsidR="005F78FC" w:rsidTr="005F78FC">
        <w:tc>
          <w:tcPr>
            <w:tcW w:w="0" w:type="auto"/>
            <w:vAlign w:val="center"/>
          </w:tcPr>
          <w:p w:rsidR="005F78FC" w:rsidRDefault="00B42EF3">
            <w:pPr>
              <w:pStyle w:val="TableBodyText"/>
            </w:pPr>
            <w:r>
              <w:t>27</w:t>
            </w:r>
          </w:p>
        </w:tc>
        <w:tc>
          <w:tcPr>
            <w:tcW w:w="0" w:type="auto"/>
            <w:vAlign w:val="center"/>
          </w:tcPr>
          <w:p w:rsidR="005F78FC" w:rsidRDefault="00B42EF3">
            <w:pPr>
              <w:pStyle w:val="TableBodyText"/>
            </w:pPr>
            <w:r>
              <w:t>Envelope DL 110 x 220mm</w:t>
            </w:r>
          </w:p>
        </w:tc>
      </w:tr>
      <w:tr w:rsidR="005F78FC" w:rsidTr="005F78FC">
        <w:tc>
          <w:tcPr>
            <w:tcW w:w="0" w:type="auto"/>
            <w:vAlign w:val="center"/>
          </w:tcPr>
          <w:p w:rsidR="005F78FC" w:rsidRDefault="00B42EF3">
            <w:pPr>
              <w:pStyle w:val="TableBodyText"/>
            </w:pPr>
            <w:r>
              <w:t>28</w:t>
            </w:r>
          </w:p>
        </w:tc>
        <w:tc>
          <w:tcPr>
            <w:tcW w:w="0" w:type="auto"/>
            <w:vAlign w:val="center"/>
          </w:tcPr>
          <w:p w:rsidR="005F78FC" w:rsidRDefault="00B42EF3">
            <w:pPr>
              <w:pStyle w:val="TableBodyText"/>
            </w:pPr>
            <w:r>
              <w:t>Envelope C5 162 x 229 mm</w:t>
            </w:r>
          </w:p>
        </w:tc>
      </w:tr>
      <w:tr w:rsidR="005F78FC" w:rsidTr="005F78FC">
        <w:tc>
          <w:tcPr>
            <w:tcW w:w="0" w:type="auto"/>
            <w:vAlign w:val="center"/>
          </w:tcPr>
          <w:p w:rsidR="005F78FC" w:rsidRDefault="00B42EF3">
            <w:pPr>
              <w:pStyle w:val="TableBodyText"/>
            </w:pPr>
            <w:r>
              <w:t>29</w:t>
            </w:r>
          </w:p>
        </w:tc>
        <w:tc>
          <w:tcPr>
            <w:tcW w:w="0" w:type="auto"/>
            <w:vAlign w:val="center"/>
          </w:tcPr>
          <w:p w:rsidR="005F78FC" w:rsidRDefault="00B42EF3">
            <w:pPr>
              <w:pStyle w:val="TableBodyText"/>
            </w:pPr>
            <w:r>
              <w:t>Envelope C3 324 x 458 mm</w:t>
            </w:r>
          </w:p>
        </w:tc>
      </w:tr>
      <w:tr w:rsidR="005F78FC" w:rsidTr="005F78FC">
        <w:tc>
          <w:tcPr>
            <w:tcW w:w="0" w:type="auto"/>
            <w:vAlign w:val="center"/>
          </w:tcPr>
          <w:p w:rsidR="005F78FC" w:rsidRDefault="00B42EF3">
            <w:pPr>
              <w:pStyle w:val="TableBodyText"/>
            </w:pPr>
            <w:r>
              <w:t>30</w:t>
            </w:r>
          </w:p>
        </w:tc>
        <w:tc>
          <w:tcPr>
            <w:tcW w:w="0" w:type="auto"/>
            <w:vAlign w:val="center"/>
          </w:tcPr>
          <w:p w:rsidR="005F78FC" w:rsidRDefault="00B42EF3">
            <w:pPr>
              <w:pStyle w:val="TableBodyText"/>
            </w:pPr>
            <w:r>
              <w:t>Envelope C4 229 x 324 mm</w:t>
            </w:r>
          </w:p>
        </w:tc>
      </w:tr>
      <w:tr w:rsidR="005F78FC" w:rsidTr="005F78FC">
        <w:tc>
          <w:tcPr>
            <w:tcW w:w="0" w:type="auto"/>
            <w:vAlign w:val="center"/>
          </w:tcPr>
          <w:p w:rsidR="005F78FC" w:rsidRDefault="00B42EF3">
            <w:pPr>
              <w:pStyle w:val="TableBodyText"/>
            </w:pPr>
            <w:r>
              <w:t>31</w:t>
            </w:r>
          </w:p>
        </w:tc>
        <w:tc>
          <w:tcPr>
            <w:tcW w:w="0" w:type="auto"/>
            <w:vAlign w:val="center"/>
          </w:tcPr>
          <w:p w:rsidR="005F78FC" w:rsidRDefault="00B42EF3">
            <w:pPr>
              <w:pStyle w:val="TableBodyText"/>
            </w:pPr>
            <w:r>
              <w:t>Envelope C6 114 x 162 mm</w:t>
            </w:r>
          </w:p>
        </w:tc>
      </w:tr>
      <w:tr w:rsidR="005F78FC" w:rsidTr="005F78FC">
        <w:tc>
          <w:tcPr>
            <w:tcW w:w="0" w:type="auto"/>
            <w:vAlign w:val="center"/>
          </w:tcPr>
          <w:p w:rsidR="005F78FC" w:rsidRDefault="00B42EF3">
            <w:pPr>
              <w:pStyle w:val="TableBodyText"/>
            </w:pPr>
            <w:r>
              <w:t>32</w:t>
            </w:r>
          </w:p>
        </w:tc>
        <w:tc>
          <w:tcPr>
            <w:tcW w:w="0" w:type="auto"/>
            <w:vAlign w:val="center"/>
          </w:tcPr>
          <w:p w:rsidR="005F78FC" w:rsidRDefault="00B42EF3">
            <w:pPr>
              <w:pStyle w:val="TableBodyText"/>
            </w:pPr>
            <w:r>
              <w:t>Envelope C65 114 x 229 mm</w:t>
            </w:r>
          </w:p>
        </w:tc>
      </w:tr>
      <w:tr w:rsidR="005F78FC" w:rsidTr="005F78FC">
        <w:tc>
          <w:tcPr>
            <w:tcW w:w="0" w:type="auto"/>
            <w:vAlign w:val="center"/>
          </w:tcPr>
          <w:p w:rsidR="005F78FC" w:rsidRDefault="00B42EF3">
            <w:pPr>
              <w:pStyle w:val="TableBodyText"/>
            </w:pPr>
            <w:r>
              <w:t>33</w:t>
            </w:r>
          </w:p>
        </w:tc>
        <w:tc>
          <w:tcPr>
            <w:tcW w:w="0" w:type="auto"/>
            <w:vAlign w:val="center"/>
          </w:tcPr>
          <w:p w:rsidR="005F78FC" w:rsidRDefault="00B42EF3">
            <w:pPr>
              <w:pStyle w:val="TableBodyText"/>
            </w:pPr>
            <w:r>
              <w:t>Envelope B4 250 x 353 mm</w:t>
            </w:r>
          </w:p>
        </w:tc>
      </w:tr>
      <w:tr w:rsidR="005F78FC" w:rsidTr="005F78FC">
        <w:tc>
          <w:tcPr>
            <w:tcW w:w="0" w:type="auto"/>
            <w:vAlign w:val="center"/>
          </w:tcPr>
          <w:p w:rsidR="005F78FC" w:rsidRDefault="00B42EF3">
            <w:pPr>
              <w:pStyle w:val="TableBodyText"/>
            </w:pPr>
            <w:r>
              <w:t>34</w:t>
            </w:r>
          </w:p>
        </w:tc>
        <w:tc>
          <w:tcPr>
            <w:tcW w:w="0" w:type="auto"/>
            <w:vAlign w:val="center"/>
          </w:tcPr>
          <w:p w:rsidR="005F78FC" w:rsidRDefault="00B42EF3">
            <w:pPr>
              <w:pStyle w:val="TableBodyText"/>
            </w:pPr>
            <w:r>
              <w:t>Envelope B5 176 x 250 mm</w:t>
            </w:r>
          </w:p>
        </w:tc>
      </w:tr>
      <w:tr w:rsidR="005F78FC" w:rsidTr="005F78FC">
        <w:tc>
          <w:tcPr>
            <w:tcW w:w="0" w:type="auto"/>
            <w:vAlign w:val="center"/>
          </w:tcPr>
          <w:p w:rsidR="005F78FC" w:rsidRDefault="00B42EF3">
            <w:pPr>
              <w:pStyle w:val="TableBodyText"/>
            </w:pPr>
            <w:r>
              <w:t>35</w:t>
            </w:r>
          </w:p>
        </w:tc>
        <w:tc>
          <w:tcPr>
            <w:tcW w:w="0" w:type="auto"/>
            <w:vAlign w:val="center"/>
          </w:tcPr>
          <w:p w:rsidR="005F78FC" w:rsidRDefault="00B42EF3">
            <w:pPr>
              <w:pStyle w:val="TableBodyText"/>
            </w:pPr>
            <w:r>
              <w:t>Envelope B6 176 x 125 mm</w:t>
            </w:r>
          </w:p>
        </w:tc>
      </w:tr>
      <w:tr w:rsidR="005F78FC" w:rsidTr="005F78FC">
        <w:tc>
          <w:tcPr>
            <w:tcW w:w="0" w:type="auto"/>
            <w:vAlign w:val="center"/>
          </w:tcPr>
          <w:p w:rsidR="005F78FC" w:rsidRDefault="00B42EF3">
            <w:pPr>
              <w:pStyle w:val="TableBodyText"/>
            </w:pPr>
            <w:r>
              <w:t>36</w:t>
            </w:r>
          </w:p>
        </w:tc>
        <w:tc>
          <w:tcPr>
            <w:tcW w:w="0" w:type="auto"/>
            <w:vAlign w:val="center"/>
          </w:tcPr>
          <w:p w:rsidR="005F78FC" w:rsidRDefault="00B42EF3">
            <w:pPr>
              <w:pStyle w:val="TableBodyText"/>
            </w:pPr>
            <w:r>
              <w:t>Envelope 110 x 230 mm</w:t>
            </w:r>
          </w:p>
        </w:tc>
      </w:tr>
      <w:tr w:rsidR="005F78FC" w:rsidTr="005F78FC">
        <w:tc>
          <w:tcPr>
            <w:tcW w:w="0" w:type="auto"/>
            <w:vAlign w:val="center"/>
          </w:tcPr>
          <w:p w:rsidR="005F78FC" w:rsidRDefault="00B42EF3">
            <w:pPr>
              <w:pStyle w:val="TableBodyText"/>
            </w:pPr>
            <w:r>
              <w:t>37</w:t>
            </w:r>
          </w:p>
        </w:tc>
        <w:tc>
          <w:tcPr>
            <w:tcW w:w="0" w:type="auto"/>
            <w:vAlign w:val="center"/>
          </w:tcPr>
          <w:p w:rsidR="005F78FC" w:rsidRDefault="00B42EF3">
            <w:pPr>
              <w:pStyle w:val="TableBodyText"/>
            </w:pPr>
            <w:r>
              <w:t>US Envelope Monarch 3.875 x 7.5 in</w:t>
            </w:r>
          </w:p>
        </w:tc>
      </w:tr>
      <w:tr w:rsidR="005F78FC" w:rsidTr="005F78FC">
        <w:tc>
          <w:tcPr>
            <w:tcW w:w="0" w:type="auto"/>
            <w:vAlign w:val="center"/>
          </w:tcPr>
          <w:p w:rsidR="005F78FC" w:rsidRDefault="00B42EF3">
            <w:pPr>
              <w:pStyle w:val="TableBodyText"/>
            </w:pPr>
            <w:r>
              <w:t>38</w:t>
            </w:r>
          </w:p>
        </w:tc>
        <w:tc>
          <w:tcPr>
            <w:tcW w:w="0" w:type="auto"/>
            <w:vAlign w:val="center"/>
          </w:tcPr>
          <w:p w:rsidR="005F78FC" w:rsidRDefault="00B42EF3">
            <w:pPr>
              <w:pStyle w:val="TableBodyText"/>
            </w:pPr>
            <w:r>
              <w:t>6 3/4 US Envelope 3 5/8 x 6 1/2 in</w:t>
            </w:r>
          </w:p>
        </w:tc>
      </w:tr>
      <w:tr w:rsidR="005F78FC" w:rsidTr="005F78FC">
        <w:tc>
          <w:tcPr>
            <w:tcW w:w="0" w:type="auto"/>
            <w:vAlign w:val="center"/>
          </w:tcPr>
          <w:p w:rsidR="005F78FC" w:rsidRDefault="00B42EF3">
            <w:pPr>
              <w:pStyle w:val="TableBodyText"/>
            </w:pPr>
            <w:r>
              <w:t>39</w:t>
            </w:r>
          </w:p>
        </w:tc>
        <w:tc>
          <w:tcPr>
            <w:tcW w:w="0" w:type="auto"/>
            <w:vAlign w:val="center"/>
          </w:tcPr>
          <w:p w:rsidR="005F78FC" w:rsidRDefault="00B42EF3">
            <w:pPr>
              <w:pStyle w:val="TableBodyText"/>
            </w:pPr>
            <w:r>
              <w:t>US Std Fanfold 14 7/8 x 11 in</w:t>
            </w:r>
          </w:p>
        </w:tc>
      </w:tr>
      <w:tr w:rsidR="005F78FC" w:rsidTr="005F78FC">
        <w:tc>
          <w:tcPr>
            <w:tcW w:w="0" w:type="auto"/>
            <w:vAlign w:val="center"/>
          </w:tcPr>
          <w:p w:rsidR="005F78FC" w:rsidRDefault="00B42EF3">
            <w:pPr>
              <w:pStyle w:val="TableBodyText"/>
            </w:pPr>
            <w:r>
              <w:t>40</w:t>
            </w:r>
          </w:p>
        </w:tc>
        <w:tc>
          <w:tcPr>
            <w:tcW w:w="0" w:type="auto"/>
            <w:vAlign w:val="center"/>
          </w:tcPr>
          <w:p w:rsidR="005F78FC" w:rsidRDefault="00B42EF3">
            <w:pPr>
              <w:pStyle w:val="TableBodyText"/>
            </w:pPr>
            <w:r>
              <w:t>German Std Fanfold 8 1/2 x 12 in</w:t>
            </w:r>
          </w:p>
        </w:tc>
      </w:tr>
      <w:tr w:rsidR="005F78FC" w:rsidTr="005F78FC">
        <w:tc>
          <w:tcPr>
            <w:tcW w:w="0" w:type="auto"/>
            <w:vAlign w:val="center"/>
          </w:tcPr>
          <w:p w:rsidR="005F78FC" w:rsidRDefault="00B42EF3">
            <w:pPr>
              <w:pStyle w:val="TableBodyText"/>
            </w:pPr>
            <w:r>
              <w:t>41</w:t>
            </w:r>
          </w:p>
        </w:tc>
        <w:tc>
          <w:tcPr>
            <w:tcW w:w="0" w:type="auto"/>
            <w:vAlign w:val="center"/>
          </w:tcPr>
          <w:p w:rsidR="005F78FC" w:rsidRDefault="00B42EF3">
            <w:pPr>
              <w:pStyle w:val="TableBodyText"/>
            </w:pPr>
            <w:r>
              <w:t>German Legal Fanfold 8 1/2 x 13 in</w:t>
            </w:r>
          </w:p>
        </w:tc>
      </w:tr>
      <w:tr w:rsidR="005F78FC" w:rsidTr="005F78FC">
        <w:tc>
          <w:tcPr>
            <w:tcW w:w="0" w:type="auto"/>
            <w:vAlign w:val="center"/>
          </w:tcPr>
          <w:p w:rsidR="005F78FC" w:rsidRDefault="00B42EF3">
            <w:pPr>
              <w:pStyle w:val="TableBodyText"/>
            </w:pPr>
            <w:r>
              <w:t>42</w:t>
            </w:r>
          </w:p>
        </w:tc>
        <w:tc>
          <w:tcPr>
            <w:tcW w:w="0" w:type="auto"/>
            <w:vAlign w:val="center"/>
          </w:tcPr>
          <w:p w:rsidR="005F78FC" w:rsidRDefault="00B42EF3">
            <w:pPr>
              <w:pStyle w:val="TableBodyText"/>
            </w:pPr>
            <w:r>
              <w:t>B4 (ISO) 250 x 353 mm</w:t>
            </w:r>
          </w:p>
        </w:tc>
      </w:tr>
      <w:tr w:rsidR="005F78FC" w:rsidTr="005F78FC">
        <w:tc>
          <w:tcPr>
            <w:tcW w:w="0" w:type="auto"/>
            <w:vAlign w:val="center"/>
          </w:tcPr>
          <w:p w:rsidR="005F78FC" w:rsidRDefault="00B42EF3">
            <w:pPr>
              <w:pStyle w:val="TableBodyText"/>
            </w:pPr>
            <w:r>
              <w:lastRenderedPageBreak/>
              <w:t>43</w:t>
            </w:r>
          </w:p>
        </w:tc>
        <w:tc>
          <w:tcPr>
            <w:tcW w:w="0" w:type="auto"/>
            <w:vAlign w:val="center"/>
          </w:tcPr>
          <w:p w:rsidR="005F78FC" w:rsidRDefault="00B42EF3">
            <w:pPr>
              <w:pStyle w:val="TableBodyText"/>
            </w:pPr>
            <w:r>
              <w:t>Japanese Postcard 100 x 148 mm</w:t>
            </w:r>
          </w:p>
        </w:tc>
      </w:tr>
      <w:tr w:rsidR="005F78FC" w:rsidTr="005F78FC">
        <w:tc>
          <w:tcPr>
            <w:tcW w:w="0" w:type="auto"/>
            <w:vAlign w:val="center"/>
          </w:tcPr>
          <w:p w:rsidR="005F78FC" w:rsidRDefault="00B42EF3">
            <w:pPr>
              <w:pStyle w:val="TableBodyText"/>
            </w:pPr>
            <w:r>
              <w:t>44</w:t>
            </w:r>
          </w:p>
        </w:tc>
        <w:tc>
          <w:tcPr>
            <w:tcW w:w="0" w:type="auto"/>
            <w:vAlign w:val="center"/>
          </w:tcPr>
          <w:p w:rsidR="005F78FC" w:rsidRDefault="00B42EF3">
            <w:pPr>
              <w:pStyle w:val="TableBodyText"/>
            </w:pPr>
            <w:r>
              <w:t>9 x 11 in</w:t>
            </w:r>
          </w:p>
        </w:tc>
      </w:tr>
      <w:tr w:rsidR="005F78FC" w:rsidTr="005F78FC">
        <w:tc>
          <w:tcPr>
            <w:tcW w:w="0" w:type="auto"/>
            <w:vAlign w:val="center"/>
          </w:tcPr>
          <w:p w:rsidR="005F78FC" w:rsidRDefault="00B42EF3">
            <w:pPr>
              <w:pStyle w:val="TableBodyText"/>
            </w:pPr>
            <w:r>
              <w:t>45</w:t>
            </w:r>
          </w:p>
        </w:tc>
        <w:tc>
          <w:tcPr>
            <w:tcW w:w="0" w:type="auto"/>
            <w:vAlign w:val="center"/>
          </w:tcPr>
          <w:p w:rsidR="005F78FC" w:rsidRDefault="00B42EF3">
            <w:pPr>
              <w:pStyle w:val="TableBodyText"/>
            </w:pPr>
            <w:r>
              <w:t>10 x 11 in</w:t>
            </w:r>
          </w:p>
        </w:tc>
      </w:tr>
      <w:tr w:rsidR="005F78FC" w:rsidTr="005F78FC">
        <w:tc>
          <w:tcPr>
            <w:tcW w:w="0" w:type="auto"/>
            <w:vAlign w:val="center"/>
          </w:tcPr>
          <w:p w:rsidR="005F78FC" w:rsidRDefault="00B42EF3">
            <w:pPr>
              <w:pStyle w:val="TableBodyText"/>
            </w:pPr>
            <w:r>
              <w:t>46</w:t>
            </w:r>
          </w:p>
        </w:tc>
        <w:tc>
          <w:tcPr>
            <w:tcW w:w="0" w:type="auto"/>
            <w:vAlign w:val="center"/>
          </w:tcPr>
          <w:p w:rsidR="005F78FC" w:rsidRDefault="00B42EF3">
            <w:pPr>
              <w:pStyle w:val="TableBodyText"/>
            </w:pPr>
            <w:r>
              <w:t>15 x 11 in</w:t>
            </w:r>
          </w:p>
        </w:tc>
      </w:tr>
      <w:tr w:rsidR="005F78FC" w:rsidTr="005F78FC">
        <w:tc>
          <w:tcPr>
            <w:tcW w:w="0" w:type="auto"/>
            <w:vAlign w:val="center"/>
          </w:tcPr>
          <w:p w:rsidR="005F78FC" w:rsidRDefault="00B42EF3">
            <w:pPr>
              <w:pStyle w:val="TableBodyText"/>
            </w:pPr>
            <w:r>
              <w:t>47</w:t>
            </w:r>
          </w:p>
        </w:tc>
        <w:tc>
          <w:tcPr>
            <w:tcW w:w="0" w:type="auto"/>
            <w:vAlign w:val="center"/>
          </w:tcPr>
          <w:p w:rsidR="005F78FC" w:rsidRDefault="00B42EF3">
            <w:pPr>
              <w:pStyle w:val="TableBodyText"/>
            </w:pPr>
            <w:r>
              <w:t>Envelope Invite 220 x 220 mm</w:t>
            </w:r>
          </w:p>
        </w:tc>
      </w:tr>
      <w:tr w:rsidR="005F78FC" w:rsidTr="005F78FC">
        <w:tc>
          <w:tcPr>
            <w:tcW w:w="0" w:type="auto"/>
            <w:vAlign w:val="center"/>
          </w:tcPr>
          <w:p w:rsidR="005F78FC" w:rsidRDefault="00B42EF3">
            <w:pPr>
              <w:pStyle w:val="TableBodyText"/>
            </w:pPr>
            <w:r>
              <w:t>48</w:t>
            </w:r>
          </w:p>
        </w:tc>
        <w:tc>
          <w:tcPr>
            <w:tcW w:w="0" w:type="auto"/>
            <w:vAlign w:val="center"/>
          </w:tcPr>
          <w:p w:rsidR="005F78FC" w:rsidRDefault="00B42EF3">
            <w:pPr>
              <w:pStyle w:val="TableBodyText"/>
            </w:pPr>
            <w:r>
              <w:t>RESERVED--DO NOT USE</w:t>
            </w:r>
          </w:p>
        </w:tc>
      </w:tr>
      <w:tr w:rsidR="005F78FC" w:rsidTr="005F78FC">
        <w:tc>
          <w:tcPr>
            <w:tcW w:w="0" w:type="auto"/>
            <w:vAlign w:val="center"/>
          </w:tcPr>
          <w:p w:rsidR="005F78FC" w:rsidRDefault="00B42EF3">
            <w:pPr>
              <w:pStyle w:val="TableBodyText"/>
            </w:pPr>
            <w:r>
              <w:t>49</w:t>
            </w:r>
          </w:p>
        </w:tc>
        <w:tc>
          <w:tcPr>
            <w:tcW w:w="0" w:type="auto"/>
            <w:vAlign w:val="center"/>
          </w:tcPr>
          <w:p w:rsidR="005F78FC" w:rsidRDefault="00B42EF3">
            <w:pPr>
              <w:pStyle w:val="TableBodyText"/>
            </w:pPr>
            <w:r>
              <w:t xml:space="preserve">RESERVED--DO NOT </w:t>
            </w:r>
            <w:r>
              <w:t>USE</w:t>
            </w:r>
          </w:p>
        </w:tc>
      </w:tr>
      <w:tr w:rsidR="005F78FC" w:rsidTr="005F78FC">
        <w:tc>
          <w:tcPr>
            <w:tcW w:w="0" w:type="auto"/>
            <w:vAlign w:val="center"/>
          </w:tcPr>
          <w:p w:rsidR="005F78FC" w:rsidRDefault="00B42EF3">
            <w:pPr>
              <w:pStyle w:val="TableBodyText"/>
            </w:pPr>
            <w:r>
              <w:t>50</w:t>
            </w:r>
          </w:p>
        </w:tc>
        <w:tc>
          <w:tcPr>
            <w:tcW w:w="0" w:type="auto"/>
            <w:vAlign w:val="center"/>
          </w:tcPr>
          <w:p w:rsidR="005F78FC" w:rsidRDefault="00B42EF3">
            <w:pPr>
              <w:pStyle w:val="TableBodyText"/>
            </w:pPr>
            <w:r>
              <w:t>US Letter Extra 9 \275 x 12 in</w:t>
            </w:r>
          </w:p>
        </w:tc>
      </w:tr>
      <w:tr w:rsidR="005F78FC" w:rsidTr="005F78FC">
        <w:tc>
          <w:tcPr>
            <w:tcW w:w="0" w:type="auto"/>
            <w:vAlign w:val="center"/>
          </w:tcPr>
          <w:p w:rsidR="005F78FC" w:rsidRDefault="00B42EF3">
            <w:pPr>
              <w:pStyle w:val="TableBodyText"/>
            </w:pPr>
            <w:r>
              <w:t>51</w:t>
            </w:r>
          </w:p>
        </w:tc>
        <w:tc>
          <w:tcPr>
            <w:tcW w:w="0" w:type="auto"/>
            <w:vAlign w:val="center"/>
          </w:tcPr>
          <w:p w:rsidR="005F78FC" w:rsidRDefault="00B42EF3">
            <w:pPr>
              <w:pStyle w:val="TableBodyText"/>
            </w:pPr>
            <w:r>
              <w:t>US Legal Extra 9 \275 x 15 in</w:t>
            </w:r>
          </w:p>
        </w:tc>
      </w:tr>
      <w:tr w:rsidR="005F78FC" w:rsidTr="005F78FC">
        <w:tc>
          <w:tcPr>
            <w:tcW w:w="0" w:type="auto"/>
            <w:vAlign w:val="center"/>
          </w:tcPr>
          <w:p w:rsidR="005F78FC" w:rsidRDefault="00B42EF3">
            <w:pPr>
              <w:pStyle w:val="TableBodyText"/>
            </w:pPr>
            <w:r>
              <w:t>52</w:t>
            </w:r>
          </w:p>
        </w:tc>
        <w:tc>
          <w:tcPr>
            <w:tcW w:w="0" w:type="auto"/>
            <w:vAlign w:val="center"/>
          </w:tcPr>
          <w:p w:rsidR="005F78FC" w:rsidRDefault="00B42EF3">
            <w:pPr>
              <w:pStyle w:val="TableBodyText"/>
            </w:pPr>
            <w:r>
              <w:t>US Tabloid Extra 11.69 x 18 in</w:t>
            </w:r>
          </w:p>
        </w:tc>
      </w:tr>
      <w:tr w:rsidR="005F78FC" w:rsidTr="005F78FC">
        <w:tc>
          <w:tcPr>
            <w:tcW w:w="0" w:type="auto"/>
            <w:vAlign w:val="center"/>
          </w:tcPr>
          <w:p w:rsidR="005F78FC" w:rsidRDefault="00B42EF3">
            <w:pPr>
              <w:pStyle w:val="TableBodyText"/>
            </w:pPr>
            <w:r>
              <w:t>53</w:t>
            </w:r>
          </w:p>
        </w:tc>
        <w:tc>
          <w:tcPr>
            <w:tcW w:w="0" w:type="auto"/>
            <w:vAlign w:val="center"/>
          </w:tcPr>
          <w:p w:rsidR="005F78FC" w:rsidRDefault="00B42EF3">
            <w:pPr>
              <w:pStyle w:val="TableBodyText"/>
            </w:pPr>
            <w:r>
              <w:t>A4 Extra 9.27 x 12.69 in</w:t>
            </w:r>
          </w:p>
        </w:tc>
      </w:tr>
      <w:tr w:rsidR="005F78FC" w:rsidTr="005F78FC">
        <w:tc>
          <w:tcPr>
            <w:tcW w:w="0" w:type="auto"/>
            <w:vAlign w:val="center"/>
          </w:tcPr>
          <w:p w:rsidR="005F78FC" w:rsidRDefault="00B42EF3">
            <w:pPr>
              <w:pStyle w:val="TableBodyText"/>
            </w:pPr>
            <w:r>
              <w:t>54</w:t>
            </w:r>
          </w:p>
        </w:tc>
        <w:tc>
          <w:tcPr>
            <w:tcW w:w="0" w:type="auto"/>
            <w:vAlign w:val="center"/>
          </w:tcPr>
          <w:p w:rsidR="005F78FC" w:rsidRDefault="00B42EF3">
            <w:pPr>
              <w:pStyle w:val="TableBodyText"/>
            </w:pPr>
            <w:r>
              <w:t xml:space="preserve">Letter Transverse 8 \275 x 11 in </w:t>
            </w:r>
          </w:p>
        </w:tc>
      </w:tr>
      <w:tr w:rsidR="005F78FC" w:rsidTr="005F78FC">
        <w:tc>
          <w:tcPr>
            <w:tcW w:w="0" w:type="auto"/>
            <w:vAlign w:val="center"/>
          </w:tcPr>
          <w:p w:rsidR="005F78FC" w:rsidRDefault="00B42EF3">
            <w:pPr>
              <w:pStyle w:val="TableBodyText"/>
            </w:pPr>
            <w:r>
              <w:t>55</w:t>
            </w:r>
          </w:p>
        </w:tc>
        <w:tc>
          <w:tcPr>
            <w:tcW w:w="0" w:type="auto"/>
            <w:vAlign w:val="center"/>
          </w:tcPr>
          <w:p w:rsidR="005F78FC" w:rsidRDefault="00B42EF3">
            <w:pPr>
              <w:pStyle w:val="TableBodyText"/>
            </w:pPr>
            <w:r>
              <w:t>A4 Transverse 210 x 297 mm</w:t>
            </w:r>
          </w:p>
        </w:tc>
      </w:tr>
      <w:tr w:rsidR="005F78FC" w:rsidTr="005F78FC">
        <w:tc>
          <w:tcPr>
            <w:tcW w:w="0" w:type="auto"/>
            <w:vAlign w:val="center"/>
          </w:tcPr>
          <w:p w:rsidR="005F78FC" w:rsidRDefault="00B42EF3">
            <w:pPr>
              <w:pStyle w:val="TableBodyText"/>
            </w:pPr>
            <w:r>
              <w:t>56</w:t>
            </w:r>
          </w:p>
        </w:tc>
        <w:tc>
          <w:tcPr>
            <w:tcW w:w="0" w:type="auto"/>
            <w:vAlign w:val="center"/>
          </w:tcPr>
          <w:p w:rsidR="005F78FC" w:rsidRDefault="00B42EF3">
            <w:pPr>
              <w:pStyle w:val="TableBodyText"/>
            </w:pPr>
            <w:r>
              <w:t>Letter Extra Transverse 9\275 x 12 in</w:t>
            </w:r>
          </w:p>
        </w:tc>
      </w:tr>
      <w:tr w:rsidR="005F78FC" w:rsidTr="005F78FC">
        <w:tc>
          <w:tcPr>
            <w:tcW w:w="0" w:type="auto"/>
            <w:vAlign w:val="center"/>
          </w:tcPr>
          <w:p w:rsidR="005F78FC" w:rsidRDefault="00B42EF3">
            <w:pPr>
              <w:pStyle w:val="TableBodyText"/>
            </w:pPr>
            <w:r>
              <w:t>57</w:t>
            </w:r>
          </w:p>
        </w:tc>
        <w:tc>
          <w:tcPr>
            <w:tcW w:w="0" w:type="auto"/>
            <w:vAlign w:val="center"/>
          </w:tcPr>
          <w:p w:rsidR="005F78FC" w:rsidRDefault="00B42EF3">
            <w:pPr>
              <w:pStyle w:val="TableBodyText"/>
            </w:pPr>
            <w:r>
              <w:t>SuperA/SuperA/A4 227 x 356 mm</w:t>
            </w:r>
          </w:p>
        </w:tc>
      </w:tr>
      <w:tr w:rsidR="005F78FC" w:rsidTr="005F78FC">
        <w:tc>
          <w:tcPr>
            <w:tcW w:w="0" w:type="auto"/>
            <w:vAlign w:val="center"/>
          </w:tcPr>
          <w:p w:rsidR="005F78FC" w:rsidRDefault="00B42EF3">
            <w:pPr>
              <w:pStyle w:val="TableBodyText"/>
            </w:pPr>
            <w:r>
              <w:t>58</w:t>
            </w:r>
          </w:p>
        </w:tc>
        <w:tc>
          <w:tcPr>
            <w:tcW w:w="0" w:type="auto"/>
            <w:vAlign w:val="center"/>
          </w:tcPr>
          <w:p w:rsidR="005F78FC" w:rsidRDefault="00B42EF3">
            <w:pPr>
              <w:pStyle w:val="TableBodyText"/>
            </w:pPr>
            <w:r>
              <w:t>SuperB/SuperB/A3 305 x 487 mm</w:t>
            </w:r>
          </w:p>
        </w:tc>
      </w:tr>
      <w:tr w:rsidR="005F78FC" w:rsidTr="005F78FC">
        <w:tc>
          <w:tcPr>
            <w:tcW w:w="0" w:type="auto"/>
            <w:vAlign w:val="center"/>
          </w:tcPr>
          <w:p w:rsidR="005F78FC" w:rsidRDefault="00B42EF3">
            <w:pPr>
              <w:pStyle w:val="TableBodyText"/>
            </w:pPr>
            <w:r>
              <w:t>59</w:t>
            </w:r>
          </w:p>
        </w:tc>
        <w:tc>
          <w:tcPr>
            <w:tcW w:w="0" w:type="auto"/>
            <w:vAlign w:val="center"/>
          </w:tcPr>
          <w:p w:rsidR="005F78FC" w:rsidRDefault="00B42EF3">
            <w:pPr>
              <w:pStyle w:val="TableBodyText"/>
            </w:pPr>
            <w:r>
              <w:t>US Letter Plus 8.5 x 12.69 in</w:t>
            </w:r>
          </w:p>
        </w:tc>
      </w:tr>
      <w:tr w:rsidR="005F78FC" w:rsidTr="005F78FC">
        <w:tc>
          <w:tcPr>
            <w:tcW w:w="0" w:type="auto"/>
            <w:vAlign w:val="center"/>
          </w:tcPr>
          <w:p w:rsidR="005F78FC" w:rsidRDefault="00B42EF3">
            <w:pPr>
              <w:pStyle w:val="TableBodyText"/>
            </w:pPr>
            <w:r>
              <w:t>60</w:t>
            </w:r>
          </w:p>
        </w:tc>
        <w:tc>
          <w:tcPr>
            <w:tcW w:w="0" w:type="auto"/>
            <w:vAlign w:val="center"/>
          </w:tcPr>
          <w:p w:rsidR="005F78FC" w:rsidRDefault="00B42EF3">
            <w:pPr>
              <w:pStyle w:val="TableBodyText"/>
            </w:pPr>
            <w:r>
              <w:t>A4 Plus 210 x 330 mm</w:t>
            </w:r>
          </w:p>
        </w:tc>
      </w:tr>
      <w:tr w:rsidR="005F78FC" w:rsidTr="005F78FC">
        <w:tc>
          <w:tcPr>
            <w:tcW w:w="0" w:type="auto"/>
            <w:vAlign w:val="center"/>
          </w:tcPr>
          <w:p w:rsidR="005F78FC" w:rsidRDefault="00B42EF3">
            <w:pPr>
              <w:pStyle w:val="TableBodyText"/>
            </w:pPr>
            <w:r>
              <w:t>61</w:t>
            </w:r>
          </w:p>
        </w:tc>
        <w:tc>
          <w:tcPr>
            <w:tcW w:w="0" w:type="auto"/>
            <w:vAlign w:val="center"/>
          </w:tcPr>
          <w:p w:rsidR="005F78FC" w:rsidRDefault="00B42EF3">
            <w:pPr>
              <w:pStyle w:val="TableBodyText"/>
            </w:pPr>
            <w:r>
              <w:t>A5 Transverse 148 x 210 mm</w:t>
            </w:r>
          </w:p>
        </w:tc>
      </w:tr>
      <w:tr w:rsidR="005F78FC" w:rsidTr="005F78FC">
        <w:tc>
          <w:tcPr>
            <w:tcW w:w="0" w:type="auto"/>
            <w:vAlign w:val="center"/>
          </w:tcPr>
          <w:p w:rsidR="005F78FC" w:rsidRDefault="00B42EF3">
            <w:pPr>
              <w:pStyle w:val="TableBodyText"/>
            </w:pPr>
            <w:r>
              <w:t>62</w:t>
            </w:r>
          </w:p>
        </w:tc>
        <w:tc>
          <w:tcPr>
            <w:tcW w:w="0" w:type="auto"/>
            <w:vAlign w:val="center"/>
          </w:tcPr>
          <w:p w:rsidR="005F78FC" w:rsidRDefault="00B42EF3">
            <w:pPr>
              <w:pStyle w:val="TableBodyText"/>
            </w:pPr>
            <w:r>
              <w:t>B5 (JIS) Transverse 182 x 257 mm</w:t>
            </w:r>
          </w:p>
        </w:tc>
      </w:tr>
      <w:tr w:rsidR="005F78FC" w:rsidTr="005F78FC">
        <w:tc>
          <w:tcPr>
            <w:tcW w:w="0" w:type="auto"/>
            <w:vAlign w:val="center"/>
          </w:tcPr>
          <w:p w:rsidR="005F78FC" w:rsidRDefault="00B42EF3">
            <w:pPr>
              <w:pStyle w:val="TableBodyText"/>
            </w:pPr>
            <w:r>
              <w:t>63</w:t>
            </w:r>
          </w:p>
        </w:tc>
        <w:tc>
          <w:tcPr>
            <w:tcW w:w="0" w:type="auto"/>
            <w:vAlign w:val="center"/>
          </w:tcPr>
          <w:p w:rsidR="005F78FC" w:rsidRDefault="00B42EF3">
            <w:pPr>
              <w:pStyle w:val="TableBodyText"/>
            </w:pPr>
            <w:r>
              <w:t>A3 Extra 322 x 445 mm</w:t>
            </w:r>
          </w:p>
        </w:tc>
      </w:tr>
      <w:tr w:rsidR="005F78FC" w:rsidTr="005F78FC">
        <w:tc>
          <w:tcPr>
            <w:tcW w:w="0" w:type="auto"/>
            <w:vAlign w:val="center"/>
          </w:tcPr>
          <w:p w:rsidR="005F78FC" w:rsidRDefault="00B42EF3">
            <w:pPr>
              <w:pStyle w:val="TableBodyText"/>
            </w:pPr>
            <w:r>
              <w:t>64</w:t>
            </w:r>
          </w:p>
        </w:tc>
        <w:tc>
          <w:tcPr>
            <w:tcW w:w="0" w:type="auto"/>
            <w:vAlign w:val="center"/>
          </w:tcPr>
          <w:p w:rsidR="005F78FC" w:rsidRDefault="00B42EF3">
            <w:pPr>
              <w:pStyle w:val="TableBodyText"/>
            </w:pPr>
            <w:r>
              <w:t>A5 Extra 174 x 235 mm</w:t>
            </w:r>
          </w:p>
        </w:tc>
      </w:tr>
      <w:tr w:rsidR="005F78FC" w:rsidTr="005F78FC">
        <w:tc>
          <w:tcPr>
            <w:tcW w:w="0" w:type="auto"/>
            <w:vAlign w:val="center"/>
          </w:tcPr>
          <w:p w:rsidR="005F78FC" w:rsidRDefault="00B42EF3">
            <w:pPr>
              <w:pStyle w:val="TableBodyText"/>
            </w:pPr>
            <w:r>
              <w:t>65</w:t>
            </w:r>
          </w:p>
        </w:tc>
        <w:tc>
          <w:tcPr>
            <w:tcW w:w="0" w:type="auto"/>
            <w:vAlign w:val="center"/>
          </w:tcPr>
          <w:p w:rsidR="005F78FC" w:rsidRDefault="00B42EF3">
            <w:pPr>
              <w:pStyle w:val="TableBodyText"/>
            </w:pPr>
            <w:r>
              <w:t xml:space="preserve">B5 (ISO) </w:t>
            </w:r>
            <w:r>
              <w:t>Extra 201 x 276 mm</w:t>
            </w:r>
          </w:p>
        </w:tc>
      </w:tr>
      <w:tr w:rsidR="005F78FC" w:rsidTr="005F78FC">
        <w:tc>
          <w:tcPr>
            <w:tcW w:w="0" w:type="auto"/>
            <w:vAlign w:val="center"/>
          </w:tcPr>
          <w:p w:rsidR="005F78FC" w:rsidRDefault="00B42EF3">
            <w:pPr>
              <w:pStyle w:val="TableBodyText"/>
            </w:pPr>
            <w:r>
              <w:t>66</w:t>
            </w:r>
          </w:p>
        </w:tc>
        <w:tc>
          <w:tcPr>
            <w:tcW w:w="0" w:type="auto"/>
            <w:vAlign w:val="center"/>
          </w:tcPr>
          <w:p w:rsidR="005F78FC" w:rsidRDefault="00B42EF3">
            <w:pPr>
              <w:pStyle w:val="TableBodyText"/>
            </w:pPr>
            <w:r>
              <w:t>A2 420 x 594 mm</w:t>
            </w:r>
          </w:p>
        </w:tc>
      </w:tr>
      <w:tr w:rsidR="005F78FC" w:rsidTr="005F78FC">
        <w:tc>
          <w:tcPr>
            <w:tcW w:w="0" w:type="auto"/>
            <w:vAlign w:val="center"/>
          </w:tcPr>
          <w:p w:rsidR="005F78FC" w:rsidRDefault="00B42EF3">
            <w:pPr>
              <w:pStyle w:val="TableBodyText"/>
            </w:pPr>
            <w:r>
              <w:t>67</w:t>
            </w:r>
          </w:p>
        </w:tc>
        <w:tc>
          <w:tcPr>
            <w:tcW w:w="0" w:type="auto"/>
            <w:vAlign w:val="center"/>
          </w:tcPr>
          <w:p w:rsidR="005F78FC" w:rsidRDefault="00B42EF3">
            <w:pPr>
              <w:pStyle w:val="TableBodyText"/>
            </w:pPr>
            <w:r>
              <w:t>A3 Transverse 297 x 420 mm</w:t>
            </w:r>
          </w:p>
        </w:tc>
      </w:tr>
      <w:tr w:rsidR="005F78FC" w:rsidTr="005F78FC">
        <w:tc>
          <w:tcPr>
            <w:tcW w:w="0" w:type="auto"/>
            <w:vAlign w:val="center"/>
          </w:tcPr>
          <w:p w:rsidR="005F78FC" w:rsidRDefault="00B42EF3">
            <w:pPr>
              <w:pStyle w:val="TableBodyText"/>
            </w:pPr>
            <w:r>
              <w:t>68</w:t>
            </w:r>
          </w:p>
        </w:tc>
        <w:tc>
          <w:tcPr>
            <w:tcW w:w="0" w:type="auto"/>
            <w:vAlign w:val="center"/>
          </w:tcPr>
          <w:p w:rsidR="005F78FC" w:rsidRDefault="00B42EF3">
            <w:pPr>
              <w:pStyle w:val="TableBodyText"/>
            </w:pPr>
            <w:r>
              <w:t xml:space="preserve">A3 Extra Transverse 322 x 445 mm </w:t>
            </w:r>
          </w:p>
        </w:tc>
      </w:tr>
      <w:tr w:rsidR="005F78FC" w:rsidTr="005F78FC">
        <w:tc>
          <w:tcPr>
            <w:tcW w:w="0" w:type="auto"/>
            <w:vAlign w:val="center"/>
          </w:tcPr>
          <w:p w:rsidR="005F78FC" w:rsidRDefault="00B42EF3">
            <w:pPr>
              <w:pStyle w:val="TableBodyText"/>
            </w:pPr>
            <w:r>
              <w:t>69</w:t>
            </w:r>
          </w:p>
        </w:tc>
        <w:tc>
          <w:tcPr>
            <w:tcW w:w="0" w:type="auto"/>
            <w:vAlign w:val="center"/>
          </w:tcPr>
          <w:p w:rsidR="005F78FC" w:rsidRDefault="00B42EF3">
            <w:pPr>
              <w:pStyle w:val="TableBodyText"/>
            </w:pPr>
            <w:r>
              <w:t>Japanese Double Postcard 200 x 148 mm</w:t>
            </w:r>
          </w:p>
        </w:tc>
      </w:tr>
      <w:tr w:rsidR="005F78FC" w:rsidTr="005F78FC">
        <w:tc>
          <w:tcPr>
            <w:tcW w:w="0" w:type="auto"/>
            <w:vAlign w:val="center"/>
          </w:tcPr>
          <w:p w:rsidR="005F78FC" w:rsidRDefault="00B42EF3">
            <w:pPr>
              <w:pStyle w:val="TableBodyText"/>
            </w:pPr>
            <w:r>
              <w:t>70</w:t>
            </w:r>
          </w:p>
        </w:tc>
        <w:tc>
          <w:tcPr>
            <w:tcW w:w="0" w:type="auto"/>
            <w:vAlign w:val="center"/>
          </w:tcPr>
          <w:p w:rsidR="005F78FC" w:rsidRDefault="00B42EF3">
            <w:pPr>
              <w:pStyle w:val="TableBodyText"/>
            </w:pPr>
            <w:r>
              <w:t>A6 105 x 148 mm</w:t>
            </w:r>
          </w:p>
        </w:tc>
      </w:tr>
      <w:tr w:rsidR="005F78FC" w:rsidTr="005F78FC">
        <w:tc>
          <w:tcPr>
            <w:tcW w:w="0" w:type="auto"/>
            <w:vAlign w:val="center"/>
          </w:tcPr>
          <w:p w:rsidR="005F78FC" w:rsidRDefault="00B42EF3">
            <w:pPr>
              <w:pStyle w:val="TableBodyText"/>
            </w:pPr>
            <w:r>
              <w:t>71</w:t>
            </w:r>
          </w:p>
        </w:tc>
        <w:tc>
          <w:tcPr>
            <w:tcW w:w="0" w:type="auto"/>
            <w:vAlign w:val="center"/>
          </w:tcPr>
          <w:p w:rsidR="005F78FC" w:rsidRDefault="00B42EF3">
            <w:pPr>
              <w:pStyle w:val="TableBodyText"/>
            </w:pPr>
            <w:r>
              <w:t>Japanese Envelope Kaku #2</w:t>
            </w:r>
          </w:p>
        </w:tc>
      </w:tr>
      <w:tr w:rsidR="005F78FC" w:rsidTr="005F78FC">
        <w:tc>
          <w:tcPr>
            <w:tcW w:w="0" w:type="auto"/>
            <w:vAlign w:val="center"/>
          </w:tcPr>
          <w:p w:rsidR="005F78FC" w:rsidRDefault="00B42EF3">
            <w:pPr>
              <w:pStyle w:val="TableBodyText"/>
            </w:pPr>
            <w:r>
              <w:t xml:space="preserve">72 </w:t>
            </w:r>
          </w:p>
        </w:tc>
        <w:tc>
          <w:tcPr>
            <w:tcW w:w="0" w:type="auto"/>
            <w:vAlign w:val="center"/>
          </w:tcPr>
          <w:p w:rsidR="005F78FC" w:rsidRDefault="00B42EF3">
            <w:pPr>
              <w:pStyle w:val="TableBodyText"/>
            </w:pPr>
            <w:r>
              <w:t>Japanese Envelope Kaku #3</w:t>
            </w:r>
          </w:p>
        </w:tc>
      </w:tr>
      <w:tr w:rsidR="005F78FC" w:rsidTr="005F78FC">
        <w:tc>
          <w:tcPr>
            <w:tcW w:w="0" w:type="auto"/>
            <w:vAlign w:val="center"/>
          </w:tcPr>
          <w:p w:rsidR="005F78FC" w:rsidRDefault="00B42EF3">
            <w:pPr>
              <w:pStyle w:val="TableBodyText"/>
            </w:pPr>
            <w:r>
              <w:t>73</w:t>
            </w:r>
          </w:p>
        </w:tc>
        <w:tc>
          <w:tcPr>
            <w:tcW w:w="0" w:type="auto"/>
            <w:vAlign w:val="center"/>
          </w:tcPr>
          <w:p w:rsidR="005F78FC" w:rsidRDefault="00B42EF3">
            <w:pPr>
              <w:pStyle w:val="TableBodyText"/>
            </w:pPr>
            <w:r>
              <w:t xml:space="preserve">Japanese Envelope </w:t>
            </w:r>
            <w:r>
              <w:t>Chou #3</w:t>
            </w:r>
          </w:p>
        </w:tc>
      </w:tr>
      <w:tr w:rsidR="005F78FC" w:rsidTr="005F78FC">
        <w:tc>
          <w:tcPr>
            <w:tcW w:w="0" w:type="auto"/>
            <w:vAlign w:val="center"/>
          </w:tcPr>
          <w:p w:rsidR="005F78FC" w:rsidRDefault="00B42EF3">
            <w:pPr>
              <w:pStyle w:val="TableBodyText"/>
            </w:pPr>
            <w:r>
              <w:t>74</w:t>
            </w:r>
          </w:p>
        </w:tc>
        <w:tc>
          <w:tcPr>
            <w:tcW w:w="0" w:type="auto"/>
            <w:vAlign w:val="center"/>
          </w:tcPr>
          <w:p w:rsidR="005F78FC" w:rsidRDefault="00B42EF3">
            <w:pPr>
              <w:pStyle w:val="TableBodyText"/>
            </w:pPr>
            <w:r>
              <w:t>Japanese Envelope Chou #4</w:t>
            </w:r>
          </w:p>
        </w:tc>
      </w:tr>
      <w:tr w:rsidR="005F78FC" w:rsidTr="005F78FC">
        <w:tc>
          <w:tcPr>
            <w:tcW w:w="0" w:type="auto"/>
            <w:vAlign w:val="center"/>
          </w:tcPr>
          <w:p w:rsidR="005F78FC" w:rsidRDefault="00B42EF3">
            <w:pPr>
              <w:pStyle w:val="TableBodyText"/>
            </w:pPr>
            <w:r>
              <w:lastRenderedPageBreak/>
              <w:t>75</w:t>
            </w:r>
          </w:p>
        </w:tc>
        <w:tc>
          <w:tcPr>
            <w:tcW w:w="0" w:type="auto"/>
            <w:vAlign w:val="center"/>
          </w:tcPr>
          <w:p w:rsidR="005F78FC" w:rsidRDefault="00B42EF3">
            <w:pPr>
              <w:pStyle w:val="TableBodyText"/>
            </w:pPr>
            <w:r>
              <w:t>Letter Rotated 11 x 8 1/2 11 in</w:t>
            </w:r>
          </w:p>
        </w:tc>
      </w:tr>
      <w:tr w:rsidR="005F78FC" w:rsidTr="005F78FC">
        <w:tc>
          <w:tcPr>
            <w:tcW w:w="0" w:type="auto"/>
            <w:vAlign w:val="center"/>
          </w:tcPr>
          <w:p w:rsidR="005F78FC" w:rsidRDefault="00B42EF3">
            <w:pPr>
              <w:pStyle w:val="TableBodyText"/>
            </w:pPr>
            <w:r>
              <w:t>76</w:t>
            </w:r>
          </w:p>
        </w:tc>
        <w:tc>
          <w:tcPr>
            <w:tcW w:w="0" w:type="auto"/>
            <w:vAlign w:val="center"/>
          </w:tcPr>
          <w:p w:rsidR="005F78FC" w:rsidRDefault="00B42EF3">
            <w:pPr>
              <w:pStyle w:val="TableBodyText"/>
            </w:pPr>
            <w:r>
              <w:t>A3 Rotated 420 x 297 mm</w:t>
            </w:r>
          </w:p>
        </w:tc>
      </w:tr>
      <w:tr w:rsidR="005F78FC" w:rsidTr="005F78FC">
        <w:tc>
          <w:tcPr>
            <w:tcW w:w="0" w:type="auto"/>
            <w:vAlign w:val="center"/>
          </w:tcPr>
          <w:p w:rsidR="005F78FC" w:rsidRDefault="00B42EF3">
            <w:pPr>
              <w:pStyle w:val="TableBodyText"/>
            </w:pPr>
            <w:r>
              <w:t>77</w:t>
            </w:r>
          </w:p>
        </w:tc>
        <w:tc>
          <w:tcPr>
            <w:tcW w:w="0" w:type="auto"/>
            <w:vAlign w:val="center"/>
          </w:tcPr>
          <w:p w:rsidR="005F78FC" w:rsidRDefault="00B42EF3">
            <w:pPr>
              <w:pStyle w:val="TableBodyText"/>
            </w:pPr>
            <w:r>
              <w:t>A4 Rotated 297 x 210 mm</w:t>
            </w:r>
          </w:p>
        </w:tc>
      </w:tr>
      <w:tr w:rsidR="005F78FC" w:rsidTr="005F78FC">
        <w:tc>
          <w:tcPr>
            <w:tcW w:w="0" w:type="auto"/>
            <w:vAlign w:val="center"/>
          </w:tcPr>
          <w:p w:rsidR="005F78FC" w:rsidRDefault="00B42EF3">
            <w:pPr>
              <w:pStyle w:val="TableBodyText"/>
            </w:pPr>
            <w:r>
              <w:t>78</w:t>
            </w:r>
          </w:p>
        </w:tc>
        <w:tc>
          <w:tcPr>
            <w:tcW w:w="0" w:type="auto"/>
            <w:vAlign w:val="center"/>
          </w:tcPr>
          <w:p w:rsidR="005F78FC" w:rsidRDefault="00B42EF3">
            <w:pPr>
              <w:pStyle w:val="TableBodyText"/>
            </w:pPr>
            <w:r>
              <w:t>A5 Rotated 210 x 148 mm</w:t>
            </w:r>
          </w:p>
        </w:tc>
      </w:tr>
      <w:tr w:rsidR="005F78FC" w:rsidTr="005F78FC">
        <w:tc>
          <w:tcPr>
            <w:tcW w:w="0" w:type="auto"/>
            <w:vAlign w:val="center"/>
          </w:tcPr>
          <w:p w:rsidR="005F78FC" w:rsidRDefault="00B42EF3">
            <w:pPr>
              <w:pStyle w:val="TableBodyText"/>
            </w:pPr>
            <w:r>
              <w:t>79</w:t>
            </w:r>
          </w:p>
        </w:tc>
        <w:tc>
          <w:tcPr>
            <w:tcW w:w="0" w:type="auto"/>
            <w:vAlign w:val="center"/>
          </w:tcPr>
          <w:p w:rsidR="005F78FC" w:rsidRDefault="00B42EF3">
            <w:pPr>
              <w:pStyle w:val="TableBodyText"/>
            </w:pPr>
            <w:r>
              <w:t>B4 (JIS) Rotated 364 x 257 mm</w:t>
            </w:r>
          </w:p>
        </w:tc>
      </w:tr>
      <w:tr w:rsidR="005F78FC" w:rsidTr="005F78FC">
        <w:tc>
          <w:tcPr>
            <w:tcW w:w="0" w:type="auto"/>
            <w:vAlign w:val="center"/>
          </w:tcPr>
          <w:p w:rsidR="005F78FC" w:rsidRDefault="00B42EF3">
            <w:pPr>
              <w:pStyle w:val="TableBodyText"/>
            </w:pPr>
            <w:r>
              <w:t>80</w:t>
            </w:r>
          </w:p>
        </w:tc>
        <w:tc>
          <w:tcPr>
            <w:tcW w:w="0" w:type="auto"/>
            <w:vAlign w:val="center"/>
          </w:tcPr>
          <w:p w:rsidR="005F78FC" w:rsidRDefault="00B42EF3">
            <w:pPr>
              <w:pStyle w:val="TableBodyText"/>
            </w:pPr>
            <w:r>
              <w:t>B5 (JIS) Rotated 257 x 182 mm</w:t>
            </w:r>
          </w:p>
        </w:tc>
      </w:tr>
      <w:tr w:rsidR="005F78FC" w:rsidTr="005F78FC">
        <w:tc>
          <w:tcPr>
            <w:tcW w:w="0" w:type="auto"/>
            <w:vAlign w:val="center"/>
          </w:tcPr>
          <w:p w:rsidR="005F78FC" w:rsidRDefault="00B42EF3">
            <w:pPr>
              <w:pStyle w:val="TableBodyText"/>
            </w:pPr>
            <w:r>
              <w:t>81</w:t>
            </w:r>
          </w:p>
        </w:tc>
        <w:tc>
          <w:tcPr>
            <w:tcW w:w="0" w:type="auto"/>
            <w:vAlign w:val="center"/>
          </w:tcPr>
          <w:p w:rsidR="005F78FC" w:rsidRDefault="00B42EF3">
            <w:pPr>
              <w:pStyle w:val="TableBodyText"/>
            </w:pPr>
            <w:r>
              <w:t xml:space="preserve">Japanese Postcard Rotated </w:t>
            </w:r>
            <w:r>
              <w:t>148 x 100 mm</w:t>
            </w:r>
          </w:p>
        </w:tc>
      </w:tr>
      <w:tr w:rsidR="005F78FC" w:rsidTr="005F78FC">
        <w:tc>
          <w:tcPr>
            <w:tcW w:w="0" w:type="auto"/>
            <w:vAlign w:val="center"/>
          </w:tcPr>
          <w:p w:rsidR="005F78FC" w:rsidRDefault="00B42EF3">
            <w:pPr>
              <w:pStyle w:val="TableBodyText"/>
            </w:pPr>
            <w:r>
              <w:t>82</w:t>
            </w:r>
          </w:p>
        </w:tc>
        <w:tc>
          <w:tcPr>
            <w:tcW w:w="0" w:type="auto"/>
            <w:vAlign w:val="center"/>
          </w:tcPr>
          <w:p w:rsidR="005F78FC" w:rsidRDefault="00B42EF3">
            <w:pPr>
              <w:pStyle w:val="TableBodyText"/>
            </w:pPr>
            <w:r>
              <w:t>Double Japanese Postcard Rotated 148 x 200 mm</w:t>
            </w:r>
          </w:p>
        </w:tc>
      </w:tr>
      <w:tr w:rsidR="005F78FC" w:rsidTr="005F78FC">
        <w:tc>
          <w:tcPr>
            <w:tcW w:w="0" w:type="auto"/>
            <w:vAlign w:val="center"/>
          </w:tcPr>
          <w:p w:rsidR="005F78FC" w:rsidRDefault="00B42EF3">
            <w:pPr>
              <w:pStyle w:val="TableBodyText"/>
            </w:pPr>
            <w:r>
              <w:t>83</w:t>
            </w:r>
          </w:p>
        </w:tc>
        <w:tc>
          <w:tcPr>
            <w:tcW w:w="0" w:type="auto"/>
            <w:vAlign w:val="center"/>
          </w:tcPr>
          <w:p w:rsidR="005F78FC" w:rsidRDefault="00B42EF3">
            <w:pPr>
              <w:pStyle w:val="TableBodyText"/>
            </w:pPr>
            <w:r>
              <w:t>A6 Rotated 148 x 105 mm</w:t>
            </w:r>
          </w:p>
        </w:tc>
      </w:tr>
      <w:tr w:rsidR="005F78FC" w:rsidTr="005F78FC">
        <w:tc>
          <w:tcPr>
            <w:tcW w:w="0" w:type="auto"/>
            <w:vAlign w:val="center"/>
          </w:tcPr>
          <w:p w:rsidR="005F78FC" w:rsidRDefault="00B42EF3">
            <w:pPr>
              <w:pStyle w:val="TableBodyText"/>
            </w:pPr>
            <w:r>
              <w:t>84</w:t>
            </w:r>
          </w:p>
        </w:tc>
        <w:tc>
          <w:tcPr>
            <w:tcW w:w="0" w:type="auto"/>
            <w:vAlign w:val="center"/>
          </w:tcPr>
          <w:p w:rsidR="005F78FC" w:rsidRDefault="00B42EF3">
            <w:pPr>
              <w:pStyle w:val="TableBodyText"/>
            </w:pPr>
            <w:r>
              <w:t>Japanese Envelope Kaku #2 Rotated</w:t>
            </w:r>
          </w:p>
        </w:tc>
      </w:tr>
      <w:tr w:rsidR="005F78FC" w:rsidTr="005F78FC">
        <w:tc>
          <w:tcPr>
            <w:tcW w:w="0" w:type="auto"/>
            <w:vAlign w:val="center"/>
          </w:tcPr>
          <w:p w:rsidR="005F78FC" w:rsidRDefault="00B42EF3">
            <w:pPr>
              <w:pStyle w:val="TableBodyText"/>
            </w:pPr>
            <w:r>
              <w:t>85</w:t>
            </w:r>
          </w:p>
        </w:tc>
        <w:tc>
          <w:tcPr>
            <w:tcW w:w="0" w:type="auto"/>
            <w:vAlign w:val="center"/>
          </w:tcPr>
          <w:p w:rsidR="005F78FC" w:rsidRDefault="00B42EF3">
            <w:pPr>
              <w:pStyle w:val="TableBodyText"/>
            </w:pPr>
            <w:r>
              <w:t>Japanese Envelope Kaku #3 Rotated</w:t>
            </w:r>
          </w:p>
        </w:tc>
      </w:tr>
      <w:tr w:rsidR="005F78FC" w:rsidTr="005F78FC">
        <w:tc>
          <w:tcPr>
            <w:tcW w:w="0" w:type="auto"/>
            <w:vAlign w:val="center"/>
          </w:tcPr>
          <w:p w:rsidR="005F78FC" w:rsidRDefault="00B42EF3">
            <w:pPr>
              <w:pStyle w:val="TableBodyText"/>
            </w:pPr>
            <w:r>
              <w:t>86</w:t>
            </w:r>
          </w:p>
        </w:tc>
        <w:tc>
          <w:tcPr>
            <w:tcW w:w="0" w:type="auto"/>
            <w:vAlign w:val="center"/>
          </w:tcPr>
          <w:p w:rsidR="005F78FC" w:rsidRDefault="00B42EF3">
            <w:pPr>
              <w:pStyle w:val="TableBodyText"/>
            </w:pPr>
            <w:r>
              <w:t>Japanese Envelope Chou #3 Rotated</w:t>
            </w:r>
          </w:p>
        </w:tc>
      </w:tr>
      <w:tr w:rsidR="005F78FC" w:rsidTr="005F78FC">
        <w:tc>
          <w:tcPr>
            <w:tcW w:w="0" w:type="auto"/>
            <w:vAlign w:val="center"/>
          </w:tcPr>
          <w:p w:rsidR="005F78FC" w:rsidRDefault="00B42EF3">
            <w:pPr>
              <w:pStyle w:val="TableBodyText"/>
            </w:pPr>
            <w:r>
              <w:t>87</w:t>
            </w:r>
          </w:p>
        </w:tc>
        <w:tc>
          <w:tcPr>
            <w:tcW w:w="0" w:type="auto"/>
            <w:vAlign w:val="center"/>
          </w:tcPr>
          <w:p w:rsidR="005F78FC" w:rsidRDefault="00B42EF3">
            <w:pPr>
              <w:pStyle w:val="TableBodyText"/>
            </w:pPr>
            <w:r>
              <w:t>Japanese Envelope Chou #4 Rotated</w:t>
            </w:r>
          </w:p>
        </w:tc>
      </w:tr>
      <w:tr w:rsidR="005F78FC" w:rsidTr="005F78FC">
        <w:tc>
          <w:tcPr>
            <w:tcW w:w="0" w:type="auto"/>
            <w:vAlign w:val="center"/>
          </w:tcPr>
          <w:p w:rsidR="005F78FC" w:rsidRDefault="00B42EF3">
            <w:pPr>
              <w:pStyle w:val="TableBodyText"/>
            </w:pPr>
            <w:r>
              <w:t>88</w:t>
            </w:r>
          </w:p>
        </w:tc>
        <w:tc>
          <w:tcPr>
            <w:tcW w:w="0" w:type="auto"/>
            <w:vAlign w:val="center"/>
          </w:tcPr>
          <w:p w:rsidR="005F78FC" w:rsidRDefault="00B42EF3">
            <w:pPr>
              <w:pStyle w:val="TableBodyText"/>
            </w:pPr>
            <w:r>
              <w:t xml:space="preserve">B6 (JIS) </w:t>
            </w:r>
            <w:r>
              <w:t>128 x 182 mm</w:t>
            </w:r>
          </w:p>
        </w:tc>
      </w:tr>
      <w:tr w:rsidR="005F78FC" w:rsidTr="005F78FC">
        <w:tc>
          <w:tcPr>
            <w:tcW w:w="0" w:type="auto"/>
            <w:vAlign w:val="center"/>
          </w:tcPr>
          <w:p w:rsidR="005F78FC" w:rsidRDefault="00B42EF3">
            <w:pPr>
              <w:pStyle w:val="TableBodyText"/>
            </w:pPr>
            <w:r>
              <w:t>89</w:t>
            </w:r>
          </w:p>
        </w:tc>
        <w:tc>
          <w:tcPr>
            <w:tcW w:w="0" w:type="auto"/>
            <w:vAlign w:val="center"/>
          </w:tcPr>
          <w:p w:rsidR="005F78FC" w:rsidRDefault="00B42EF3">
            <w:pPr>
              <w:pStyle w:val="TableBodyText"/>
            </w:pPr>
            <w:r>
              <w:t>B6 (JIS) Rotated 182 x 128 mm</w:t>
            </w:r>
          </w:p>
        </w:tc>
      </w:tr>
      <w:tr w:rsidR="005F78FC" w:rsidTr="005F78FC">
        <w:tc>
          <w:tcPr>
            <w:tcW w:w="0" w:type="auto"/>
            <w:vAlign w:val="center"/>
          </w:tcPr>
          <w:p w:rsidR="005F78FC" w:rsidRDefault="00B42EF3">
            <w:pPr>
              <w:pStyle w:val="TableBodyText"/>
            </w:pPr>
            <w:r>
              <w:t>90</w:t>
            </w:r>
          </w:p>
        </w:tc>
        <w:tc>
          <w:tcPr>
            <w:tcW w:w="0" w:type="auto"/>
            <w:vAlign w:val="center"/>
          </w:tcPr>
          <w:p w:rsidR="005F78FC" w:rsidRDefault="00B42EF3">
            <w:pPr>
              <w:pStyle w:val="TableBodyText"/>
            </w:pPr>
            <w:r>
              <w:t>12 x 11 in</w:t>
            </w:r>
          </w:p>
        </w:tc>
      </w:tr>
      <w:tr w:rsidR="005F78FC" w:rsidTr="005F78FC">
        <w:tc>
          <w:tcPr>
            <w:tcW w:w="0" w:type="auto"/>
            <w:vAlign w:val="center"/>
          </w:tcPr>
          <w:p w:rsidR="005F78FC" w:rsidRDefault="00B42EF3">
            <w:pPr>
              <w:pStyle w:val="TableBodyText"/>
            </w:pPr>
            <w:r>
              <w:t>91</w:t>
            </w:r>
          </w:p>
        </w:tc>
        <w:tc>
          <w:tcPr>
            <w:tcW w:w="0" w:type="auto"/>
            <w:vAlign w:val="center"/>
          </w:tcPr>
          <w:p w:rsidR="005F78FC" w:rsidRDefault="00B42EF3">
            <w:pPr>
              <w:pStyle w:val="TableBodyText"/>
            </w:pPr>
            <w:r>
              <w:t>Japanese Envelope You #4</w:t>
            </w:r>
          </w:p>
        </w:tc>
      </w:tr>
      <w:tr w:rsidR="005F78FC" w:rsidTr="005F78FC">
        <w:tc>
          <w:tcPr>
            <w:tcW w:w="0" w:type="auto"/>
            <w:vAlign w:val="center"/>
          </w:tcPr>
          <w:p w:rsidR="005F78FC" w:rsidRDefault="00B42EF3">
            <w:pPr>
              <w:pStyle w:val="TableBodyText"/>
            </w:pPr>
            <w:r>
              <w:t>92</w:t>
            </w:r>
          </w:p>
        </w:tc>
        <w:tc>
          <w:tcPr>
            <w:tcW w:w="0" w:type="auto"/>
            <w:vAlign w:val="center"/>
          </w:tcPr>
          <w:p w:rsidR="005F78FC" w:rsidRDefault="00B42EF3">
            <w:pPr>
              <w:pStyle w:val="TableBodyText"/>
            </w:pPr>
            <w:r>
              <w:t>Japanese Envelope You #4 Rotated</w:t>
            </w:r>
          </w:p>
        </w:tc>
      </w:tr>
      <w:tr w:rsidR="005F78FC" w:rsidTr="005F78FC">
        <w:tc>
          <w:tcPr>
            <w:tcW w:w="0" w:type="auto"/>
            <w:vAlign w:val="center"/>
          </w:tcPr>
          <w:p w:rsidR="005F78FC" w:rsidRDefault="00B42EF3">
            <w:pPr>
              <w:pStyle w:val="TableBodyText"/>
            </w:pPr>
            <w:r>
              <w:t>93</w:t>
            </w:r>
          </w:p>
        </w:tc>
        <w:tc>
          <w:tcPr>
            <w:tcW w:w="0" w:type="auto"/>
            <w:vAlign w:val="center"/>
          </w:tcPr>
          <w:p w:rsidR="005F78FC" w:rsidRDefault="00B42EF3">
            <w:pPr>
              <w:pStyle w:val="TableBodyText"/>
            </w:pPr>
            <w:r>
              <w:t>PRC 16K 146 x 215 mm</w:t>
            </w:r>
          </w:p>
        </w:tc>
      </w:tr>
      <w:tr w:rsidR="005F78FC" w:rsidTr="005F78FC">
        <w:tc>
          <w:tcPr>
            <w:tcW w:w="0" w:type="auto"/>
            <w:vAlign w:val="center"/>
          </w:tcPr>
          <w:p w:rsidR="005F78FC" w:rsidRDefault="00B42EF3">
            <w:pPr>
              <w:pStyle w:val="TableBodyText"/>
            </w:pPr>
            <w:r>
              <w:t>94</w:t>
            </w:r>
          </w:p>
        </w:tc>
        <w:tc>
          <w:tcPr>
            <w:tcW w:w="0" w:type="auto"/>
            <w:vAlign w:val="center"/>
          </w:tcPr>
          <w:p w:rsidR="005F78FC" w:rsidRDefault="00B42EF3">
            <w:pPr>
              <w:pStyle w:val="TableBodyText"/>
            </w:pPr>
            <w:r>
              <w:t>PRC 32K 97 x 151 mm</w:t>
            </w:r>
          </w:p>
        </w:tc>
      </w:tr>
      <w:tr w:rsidR="005F78FC" w:rsidTr="005F78FC">
        <w:tc>
          <w:tcPr>
            <w:tcW w:w="0" w:type="auto"/>
            <w:vAlign w:val="center"/>
          </w:tcPr>
          <w:p w:rsidR="005F78FC" w:rsidRDefault="00B42EF3">
            <w:pPr>
              <w:pStyle w:val="TableBodyText"/>
            </w:pPr>
            <w:r>
              <w:t>95</w:t>
            </w:r>
          </w:p>
        </w:tc>
        <w:tc>
          <w:tcPr>
            <w:tcW w:w="0" w:type="auto"/>
            <w:vAlign w:val="center"/>
          </w:tcPr>
          <w:p w:rsidR="005F78FC" w:rsidRDefault="00B42EF3">
            <w:pPr>
              <w:pStyle w:val="TableBodyText"/>
            </w:pPr>
            <w:r>
              <w:t>PRC 32K(Big) 97 x 151 mm</w:t>
            </w:r>
          </w:p>
        </w:tc>
      </w:tr>
      <w:tr w:rsidR="005F78FC" w:rsidTr="005F78FC">
        <w:tc>
          <w:tcPr>
            <w:tcW w:w="0" w:type="auto"/>
            <w:vAlign w:val="center"/>
          </w:tcPr>
          <w:p w:rsidR="005F78FC" w:rsidRDefault="00B42EF3">
            <w:pPr>
              <w:pStyle w:val="TableBodyText"/>
            </w:pPr>
            <w:r>
              <w:t>96</w:t>
            </w:r>
          </w:p>
        </w:tc>
        <w:tc>
          <w:tcPr>
            <w:tcW w:w="0" w:type="auto"/>
            <w:vAlign w:val="center"/>
          </w:tcPr>
          <w:p w:rsidR="005F78FC" w:rsidRDefault="00B42EF3">
            <w:pPr>
              <w:pStyle w:val="TableBodyText"/>
            </w:pPr>
            <w:r>
              <w:t>PRC Envelope #1 102 x 165 mm</w:t>
            </w:r>
          </w:p>
        </w:tc>
      </w:tr>
      <w:tr w:rsidR="005F78FC" w:rsidTr="005F78FC">
        <w:tc>
          <w:tcPr>
            <w:tcW w:w="0" w:type="auto"/>
            <w:vAlign w:val="center"/>
          </w:tcPr>
          <w:p w:rsidR="005F78FC" w:rsidRDefault="00B42EF3">
            <w:pPr>
              <w:pStyle w:val="TableBodyText"/>
            </w:pPr>
            <w:r>
              <w:t>97</w:t>
            </w:r>
          </w:p>
        </w:tc>
        <w:tc>
          <w:tcPr>
            <w:tcW w:w="0" w:type="auto"/>
            <w:vAlign w:val="center"/>
          </w:tcPr>
          <w:p w:rsidR="005F78FC" w:rsidRDefault="00B42EF3">
            <w:pPr>
              <w:pStyle w:val="TableBodyText"/>
            </w:pPr>
            <w:r>
              <w:t xml:space="preserve">PRC Envelope </w:t>
            </w:r>
            <w:r>
              <w:t>#2 102 x 176 mm</w:t>
            </w:r>
          </w:p>
        </w:tc>
      </w:tr>
      <w:tr w:rsidR="005F78FC" w:rsidTr="005F78FC">
        <w:tc>
          <w:tcPr>
            <w:tcW w:w="0" w:type="auto"/>
            <w:vAlign w:val="center"/>
          </w:tcPr>
          <w:p w:rsidR="005F78FC" w:rsidRDefault="00B42EF3">
            <w:pPr>
              <w:pStyle w:val="TableBodyText"/>
            </w:pPr>
            <w:r>
              <w:t>98</w:t>
            </w:r>
          </w:p>
        </w:tc>
        <w:tc>
          <w:tcPr>
            <w:tcW w:w="0" w:type="auto"/>
            <w:vAlign w:val="center"/>
          </w:tcPr>
          <w:p w:rsidR="005F78FC" w:rsidRDefault="00B42EF3">
            <w:pPr>
              <w:pStyle w:val="TableBodyText"/>
            </w:pPr>
            <w:r>
              <w:t>PRC Envelope #3 125 x 176 mm</w:t>
            </w:r>
          </w:p>
        </w:tc>
      </w:tr>
      <w:tr w:rsidR="005F78FC" w:rsidTr="005F78FC">
        <w:tc>
          <w:tcPr>
            <w:tcW w:w="0" w:type="auto"/>
            <w:vAlign w:val="center"/>
          </w:tcPr>
          <w:p w:rsidR="005F78FC" w:rsidRDefault="00B42EF3">
            <w:pPr>
              <w:pStyle w:val="TableBodyText"/>
            </w:pPr>
            <w:r>
              <w:t>99</w:t>
            </w:r>
          </w:p>
        </w:tc>
        <w:tc>
          <w:tcPr>
            <w:tcW w:w="0" w:type="auto"/>
            <w:vAlign w:val="center"/>
          </w:tcPr>
          <w:p w:rsidR="005F78FC" w:rsidRDefault="00B42EF3">
            <w:pPr>
              <w:pStyle w:val="TableBodyText"/>
            </w:pPr>
            <w:r>
              <w:t>PRC Envelope #4 110 x 208 mm</w:t>
            </w:r>
          </w:p>
        </w:tc>
      </w:tr>
      <w:tr w:rsidR="005F78FC" w:rsidTr="005F78FC">
        <w:tc>
          <w:tcPr>
            <w:tcW w:w="0" w:type="auto"/>
            <w:vAlign w:val="center"/>
          </w:tcPr>
          <w:p w:rsidR="005F78FC" w:rsidRDefault="00B42EF3">
            <w:pPr>
              <w:pStyle w:val="TableBodyText"/>
            </w:pPr>
            <w:r>
              <w:t>100</w:t>
            </w:r>
          </w:p>
        </w:tc>
        <w:tc>
          <w:tcPr>
            <w:tcW w:w="0" w:type="auto"/>
            <w:vAlign w:val="center"/>
          </w:tcPr>
          <w:p w:rsidR="005F78FC" w:rsidRDefault="00B42EF3">
            <w:pPr>
              <w:pStyle w:val="TableBodyText"/>
            </w:pPr>
            <w:r>
              <w:t>PRC Envelope #5 110 x 220 mm</w:t>
            </w:r>
          </w:p>
        </w:tc>
      </w:tr>
      <w:tr w:rsidR="005F78FC" w:rsidTr="005F78FC">
        <w:tc>
          <w:tcPr>
            <w:tcW w:w="0" w:type="auto"/>
            <w:vAlign w:val="center"/>
          </w:tcPr>
          <w:p w:rsidR="005F78FC" w:rsidRDefault="00B42EF3">
            <w:pPr>
              <w:pStyle w:val="TableBodyText"/>
            </w:pPr>
            <w:r>
              <w:t>101</w:t>
            </w:r>
          </w:p>
        </w:tc>
        <w:tc>
          <w:tcPr>
            <w:tcW w:w="0" w:type="auto"/>
            <w:vAlign w:val="center"/>
          </w:tcPr>
          <w:p w:rsidR="005F78FC" w:rsidRDefault="00B42EF3">
            <w:pPr>
              <w:pStyle w:val="TableBodyText"/>
            </w:pPr>
            <w:r>
              <w:t>PRC Envelope #6 120 x 230 mm</w:t>
            </w:r>
          </w:p>
        </w:tc>
      </w:tr>
      <w:tr w:rsidR="005F78FC" w:rsidTr="005F78FC">
        <w:tc>
          <w:tcPr>
            <w:tcW w:w="0" w:type="auto"/>
            <w:vAlign w:val="center"/>
          </w:tcPr>
          <w:p w:rsidR="005F78FC" w:rsidRDefault="00B42EF3">
            <w:pPr>
              <w:pStyle w:val="TableBodyText"/>
            </w:pPr>
            <w:r>
              <w:t>102</w:t>
            </w:r>
          </w:p>
        </w:tc>
        <w:tc>
          <w:tcPr>
            <w:tcW w:w="0" w:type="auto"/>
            <w:vAlign w:val="center"/>
          </w:tcPr>
          <w:p w:rsidR="005F78FC" w:rsidRDefault="00B42EF3">
            <w:pPr>
              <w:pStyle w:val="TableBodyText"/>
            </w:pPr>
            <w:r>
              <w:t>PRC Envelope #7 160 x 230 mm</w:t>
            </w:r>
          </w:p>
        </w:tc>
      </w:tr>
      <w:tr w:rsidR="005F78FC" w:rsidTr="005F78FC">
        <w:tc>
          <w:tcPr>
            <w:tcW w:w="0" w:type="auto"/>
            <w:vAlign w:val="center"/>
          </w:tcPr>
          <w:p w:rsidR="005F78FC" w:rsidRDefault="00B42EF3">
            <w:pPr>
              <w:pStyle w:val="TableBodyText"/>
            </w:pPr>
            <w:r>
              <w:t>103</w:t>
            </w:r>
          </w:p>
        </w:tc>
        <w:tc>
          <w:tcPr>
            <w:tcW w:w="0" w:type="auto"/>
            <w:vAlign w:val="center"/>
          </w:tcPr>
          <w:p w:rsidR="005F78FC" w:rsidRDefault="00B42EF3">
            <w:pPr>
              <w:pStyle w:val="TableBodyText"/>
            </w:pPr>
            <w:r>
              <w:t>PRC Envelope #8 120 x 309 mm</w:t>
            </w:r>
          </w:p>
        </w:tc>
      </w:tr>
      <w:tr w:rsidR="005F78FC" w:rsidTr="005F78FC">
        <w:tc>
          <w:tcPr>
            <w:tcW w:w="0" w:type="auto"/>
            <w:vAlign w:val="center"/>
          </w:tcPr>
          <w:p w:rsidR="005F78FC" w:rsidRDefault="00B42EF3">
            <w:pPr>
              <w:pStyle w:val="TableBodyText"/>
            </w:pPr>
            <w:r>
              <w:t>104</w:t>
            </w:r>
          </w:p>
        </w:tc>
        <w:tc>
          <w:tcPr>
            <w:tcW w:w="0" w:type="auto"/>
            <w:vAlign w:val="center"/>
          </w:tcPr>
          <w:p w:rsidR="005F78FC" w:rsidRDefault="00B42EF3">
            <w:pPr>
              <w:pStyle w:val="TableBodyText"/>
            </w:pPr>
            <w:r>
              <w:t>PRC Envelope #9 229 x 324 mm</w:t>
            </w:r>
          </w:p>
        </w:tc>
      </w:tr>
      <w:tr w:rsidR="005F78FC" w:rsidTr="005F78FC">
        <w:tc>
          <w:tcPr>
            <w:tcW w:w="0" w:type="auto"/>
            <w:vAlign w:val="center"/>
          </w:tcPr>
          <w:p w:rsidR="005F78FC" w:rsidRDefault="00B42EF3">
            <w:pPr>
              <w:pStyle w:val="TableBodyText"/>
            </w:pPr>
            <w:r>
              <w:t>105</w:t>
            </w:r>
          </w:p>
        </w:tc>
        <w:tc>
          <w:tcPr>
            <w:tcW w:w="0" w:type="auto"/>
            <w:vAlign w:val="center"/>
          </w:tcPr>
          <w:p w:rsidR="005F78FC" w:rsidRDefault="00B42EF3">
            <w:pPr>
              <w:pStyle w:val="TableBodyText"/>
            </w:pPr>
            <w:r>
              <w:t>PRC Envelope #10 324 x 458 mm</w:t>
            </w:r>
          </w:p>
        </w:tc>
      </w:tr>
      <w:tr w:rsidR="005F78FC" w:rsidTr="005F78FC">
        <w:tc>
          <w:tcPr>
            <w:tcW w:w="0" w:type="auto"/>
            <w:vAlign w:val="center"/>
          </w:tcPr>
          <w:p w:rsidR="005F78FC" w:rsidRDefault="00B42EF3">
            <w:pPr>
              <w:pStyle w:val="TableBodyText"/>
            </w:pPr>
            <w:r>
              <w:t>106</w:t>
            </w:r>
          </w:p>
        </w:tc>
        <w:tc>
          <w:tcPr>
            <w:tcW w:w="0" w:type="auto"/>
            <w:vAlign w:val="center"/>
          </w:tcPr>
          <w:p w:rsidR="005F78FC" w:rsidRDefault="00B42EF3">
            <w:pPr>
              <w:pStyle w:val="TableBodyText"/>
            </w:pPr>
            <w:r>
              <w:t>PRC 16K Rotated</w:t>
            </w:r>
          </w:p>
        </w:tc>
      </w:tr>
      <w:tr w:rsidR="005F78FC" w:rsidTr="005F78FC">
        <w:tc>
          <w:tcPr>
            <w:tcW w:w="0" w:type="auto"/>
            <w:vAlign w:val="center"/>
          </w:tcPr>
          <w:p w:rsidR="005F78FC" w:rsidRDefault="00B42EF3">
            <w:pPr>
              <w:pStyle w:val="TableBodyText"/>
            </w:pPr>
            <w:r>
              <w:lastRenderedPageBreak/>
              <w:t>107</w:t>
            </w:r>
          </w:p>
        </w:tc>
        <w:tc>
          <w:tcPr>
            <w:tcW w:w="0" w:type="auto"/>
            <w:vAlign w:val="center"/>
          </w:tcPr>
          <w:p w:rsidR="005F78FC" w:rsidRDefault="00B42EF3">
            <w:pPr>
              <w:pStyle w:val="TableBodyText"/>
            </w:pPr>
            <w:r>
              <w:t>PRC 32K Rotated</w:t>
            </w:r>
          </w:p>
        </w:tc>
      </w:tr>
      <w:tr w:rsidR="005F78FC" w:rsidTr="005F78FC">
        <w:tc>
          <w:tcPr>
            <w:tcW w:w="0" w:type="auto"/>
            <w:vAlign w:val="center"/>
          </w:tcPr>
          <w:p w:rsidR="005F78FC" w:rsidRDefault="00B42EF3">
            <w:pPr>
              <w:pStyle w:val="TableBodyText"/>
            </w:pPr>
            <w:r>
              <w:t>108</w:t>
            </w:r>
          </w:p>
        </w:tc>
        <w:tc>
          <w:tcPr>
            <w:tcW w:w="0" w:type="auto"/>
            <w:vAlign w:val="center"/>
          </w:tcPr>
          <w:p w:rsidR="005F78FC" w:rsidRDefault="00B42EF3">
            <w:pPr>
              <w:pStyle w:val="TableBodyText"/>
            </w:pPr>
            <w:r>
              <w:t>PRC 32K(Big) Rotated</w:t>
            </w:r>
          </w:p>
        </w:tc>
      </w:tr>
      <w:tr w:rsidR="005F78FC" w:rsidTr="005F78FC">
        <w:tc>
          <w:tcPr>
            <w:tcW w:w="0" w:type="auto"/>
            <w:vAlign w:val="center"/>
          </w:tcPr>
          <w:p w:rsidR="005F78FC" w:rsidRDefault="00B42EF3">
            <w:pPr>
              <w:pStyle w:val="TableBodyText"/>
            </w:pPr>
            <w:r>
              <w:t>109</w:t>
            </w:r>
          </w:p>
        </w:tc>
        <w:tc>
          <w:tcPr>
            <w:tcW w:w="0" w:type="auto"/>
            <w:vAlign w:val="center"/>
          </w:tcPr>
          <w:p w:rsidR="005F78FC" w:rsidRDefault="00B42EF3">
            <w:pPr>
              <w:pStyle w:val="TableBodyText"/>
            </w:pPr>
            <w:r>
              <w:t>PRC Envelope #1 Rotated 165 x 102 mm</w:t>
            </w:r>
          </w:p>
        </w:tc>
      </w:tr>
      <w:tr w:rsidR="005F78FC" w:rsidTr="005F78FC">
        <w:tc>
          <w:tcPr>
            <w:tcW w:w="0" w:type="auto"/>
            <w:vAlign w:val="center"/>
          </w:tcPr>
          <w:p w:rsidR="005F78FC" w:rsidRDefault="00B42EF3">
            <w:pPr>
              <w:pStyle w:val="TableBodyText"/>
            </w:pPr>
            <w:r>
              <w:t>110</w:t>
            </w:r>
          </w:p>
        </w:tc>
        <w:tc>
          <w:tcPr>
            <w:tcW w:w="0" w:type="auto"/>
            <w:vAlign w:val="center"/>
          </w:tcPr>
          <w:p w:rsidR="005F78FC" w:rsidRDefault="00B42EF3">
            <w:pPr>
              <w:pStyle w:val="TableBodyText"/>
            </w:pPr>
            <w:r>
              <w:t>PRC Envelope #2 Rotated 176 x 102 mm</w:t>
            </w:r>
          </w:p>
        </w:tc>
      </w:tr>
      <w:tr w:rsidR="005F78FC" w:rsidTr="005F78FC">
        <w:tc>
          <w:tcPr>
            <w:tcW w:w="0" w:type="auto"/>
            <w:vAlign w:val="center"/>
          </w:tcPr>
          <w:p w:rsidR="005F78FC" w:rsidRDefault="00B42EF3">
            <w:pPr>
              <w:pStyle w:val="TableBodyText"/>
            </w:pPr>
            <w:r>
              <w:t>111</w:t>
            </w:r>
          </w:p>
        </w:tc>
        <w:tc>
          <w:tcPr>
            <w:tcW w:w="0" w:type="auto"/>
            <w:vAlign w:val="center"/>
          </w:tcPr>
          <w:p w:rsidR="005F78FC" w:rsidRDefault="00B42EF3">
            <w:pPr>
              <w:pStyle w:val="TableBodyText"/>
            </w:pPr>
            <w:r>
              <w:t>PRC Envelope #3 Rotated 176 x 125 mm</w:t>
            </w:r>
          </w:p>
        </w:tc>
      </w:tr>
      <w:tr w:rsidR="005F78FC" w:rsidTr="005F78FC">
        <w:tc>
          <w:tcPr>
            <w:tcW w:w="0" w:type="auto"/>
            <w:vAlign w:val="center"/>
          </w:tcPr>
          <w:p w:rsidR="005F78FC" w:rsidRDefault="00B42EF3">
            <w:pPr>
              <w:pStyle w:val="TableBodyText"/>
            </w:pPr>
            <w:r>
              <w:t>112</w:t>
            </w:r>
          </w:p>
        </w:tc>
        <w:tc>
          <w:tcPr>
            <w:tcW w:w="0" w:type="auto"/>
            <w:vAlign w:val="center"/>
          </w:tcPr>
          <w:p w:rsidR="005F78FC" w:rsidRDefault="00B42EF3">
            <w:pPr>
              <w:pStyle w:val="TableBodyText"/>
            </w:pPr>
            <w:r>
              <w:t xml:space="preserve">PRC Envelope #4 Rotated </w:t>
            </w:r>
            <w:r>
              <w:t>208 x 110 mm</w:t>
            </w:r>
          </w:p>
        </w:tc>
      </w:tr>
      <w:tr w:rsidR="005F78FC" w:rsidTr="005F78FC">
        <w:tc>
          <w:tcPr>
            <w:tcW w:w="0" w:type="auto"/>
            <w:vAlign w:val="center"/>
          </w:tcPr>
          <w:p w:rsidR="005F78FC" w:rsidRDefault="00B42EF3">
            <w:pPr>
              <w:pStyle w:val="TableBodyText"/>
            </w:pPr>
            <w:r>
              <w:t>113</w:t>
            </w:r>
          </w:p>
        </w:tc>
        <w:tc>
          <w:tcPr>
            <w:tcW w:w="0" w:type="auto"/>
            <w:vAlign w:val="center"/>
          </w:tcPr>
          <w:p w:rsidR="005F78FC" w:rsidRDefault="00B42EF3">
            <w:pPr>
              <w:pStyle w:val="TableBodyText"/>
            </w:pPr>
            <w:r>
              <w:t>PRC Envelope #5 Rotated 220 x 110 mm</w:t>
            </w:r>
          </w:p>
        </w:tc>
      </w:tr>
      <w:tr w:rsidR="005F78FC" w:rsidTr="005F78FC">
        <w:tc>
          <w:tcPr>
            <w:tcW w:w="0" w:type="auto"/>
            <w:vAlign w:val="center"/>
          </w:tcPr>
          <w:p w:rsidR="005F78FC" w:rsidRDefault="00B42EF3">
            <w:pPr>
              <w:pStyle w:val="TableBodyText"/>
            </w:pPr>
            <w:r>
              <w:t>114</w:t>
            </w:r>
          </w:p>
        </w:tc>
        <w:tc>
          <w:tcPr>
            <w:tcW w:w="0" w:type="auto"/>
            <w:vAlign w:val="center"/>
          </w:tcPr>
          <w:p w:rsidR="005F78FC" w:rsidRDefault="00B42EF3">
            <w:pPr>
              <w:pStyle w:val="TableBodyText"/>
            </w:pPr>
            <w:r>
              <w:t>PRC Envelope #6 Rotated 230 x 120 mm</w:t>
            </w:r>
          </w:p>
        </w:tc>
      </w:tr>
      <w:tr w:rsidR="005F78FC" w:rsidTr="005F78FC">
        <w:tc>
          <w:tcPr>
            <w:tcW w:w="0" w:type="auto"/>
            <w:vAlign w:val="center"/>
          </w:tcPr>
          <w:p w:rsidR="005F78FC" w:rsidRDefault="00B42EF3">
            <w:pPr>
              <w:pStyle w:val="TableBodyText"/>
            </w:pPr>
            <w:r>
              <w:t>115</w:t>
            </w:r>
          </w:p>
        </w:tc>
        <w:tc>
          <w:tcPr>
            <w:tcW w:w="0" w:type="auto"/>
            <w:vAlign w:val="center"/>
          </w:tcPr>
          <w:p w:rsidR="005F78FC" w:rsidRDefault="00B42EF3">
            <w:pPr>
              <w:pStyle w:val="TableBodyText"/>
            </w:pPr>
            <w:r>
              <w:t>PRC Envelope #7 Rotated 230 x 160 mm</w:t>
            </w:r>
          </w:p>
        </w:tc>
      </w:tr>
      <w:tr w:rsidR="005F78FC" w:rsidTr="005F78FC">
        <w:tc>
          <w:tcPr>
            <w:tcW w:w="0" w:type="auto"/>
            <w:vAlign w:val="center"/>
          </w:tcPr>
          <w:p w:rsidR="005F78FC" w:rsidRDefault="00B42EF3">
            <w:pPr>
              <w:pStyle w:val="TableBodyText"/>
            </w:pPr>
            <w:r>
              <w:t>116</w:t>
            </w:r>
          </w:p>
        </w:tc>
        <w:tc>
          <w:tcPr>
            <w:tcW w:w="0" w:type="auto"/>
            <w:vAlign w:val="center"/>
          </w:tcPr>
          <w:p w:rsidR="005F78FC" w:rsidRDefault="00B42EF3">
            <w:pPr>
              <w:pStyle w:val="TableBodyText"/>
            </w:pPr>
            <w:r>
              <w:t>PRC Envelope #8 Rotated 309 x 120 mm</w:t>
            </w:r>
          </w:p>
        </w:tc>
      </w:tr>
      <w:tr w:rsidR="005F78FC" w:rsidTr="005F78FC">
        <w:tc>
          <w:tcPr>
            <w:tcW w:w="0" w:type="auto"/>
            <w:vAlign w:val="center"/>
          </w:tcPr>
          <w:p w:rsidR="005F78FC" w:rsidRDefault="00B42EF3">
            <w:pPr>
              <w:pStyle w:val="TableBodyText"/>
            </w:pPr>
            <w:r>
              <w:t>117</w:t>
            </w:r>
          </w:p>
        </w:tc>
        <w:tc>
          <w:tcPr>
            <w:tcW w:w="0" w:type="auto"/>
            <w:vAlign w:val="center"/>
          </w:tcPr>
          <w:p w:rsidR="005F78FC" w:rsidRDefault="00B42EF3">
            <w:pPr>
              <w:pStyle w:val="TableBodyText"/>
            </w:pPr>
            <w:r>
              <w:t>PRC Envelope #9 Rotated 324 x 229 mm</w:t>
            </w:r>
          </w:p>
        </w:tc>
      </w:tr>
      <w:tr w:rsidR="005F78FC" w:rsidTr="005F78FC">
        <w:tc>
          <w:tcPr>
            <w:tcW w:w="0" w:type="auto"/>
            <w:vAlign w:val="center"/>
          </w:tcPr>
          <w:p w:rsidR="005F78FC" w:rsidRDefault="00B42EF3">
            <w:pPr>
              <w:pStyle w:val="TableBodyText"/>
            </w:pPr>
            <w:r>
              <w:t>118</w:t>
            </w:r>
          </w:p>
        </w:tc>
        <w:tc>
          <w:tcPr>
            <w:tcW w:w="0" w:type="auto"/>
            <w:vAlign w:val="center"/>
          </w:tcPr>
          <w:p w:rsidR="005F78FC" w:rsidRDefault="00B42EF3">
            <w:pPr>
              <w:pStyle w:val="TableBodyText"/>
            </w:pPr>
            <w:r>
              <w:t>PRC Envelope #10 Rotated 458</w:t>
            </w:r>
            <w:r>
              <w:t xml:space="preserve"> x 324 mm</w:t>
            </w:r>
          </w:p>
        </w:tc>
      </w:tr>
    </w:tbl>
    <w:p w:rsidR="005F78FC" w:rsidRDefault="005F78FC"/>
    <w:p w:rsidR="005F78FC" w:rsidRDefault="00B42EF3">
      <w:pPr>
        <w:pStyle w:val="Definition-Field"/>
      </w:pPr>
      <w:r>
        <w:t xml:space="preserve">f.   </w:t>
      </w:r>
      <w:r>
        <w:rPr>
          <w:i/>
        </w:rPr>
        <w:t>The standard states that the values of the paperSize attribute are defined by the XML Schema unsignedInt datatype.</w:t>
      </w:r>
    </w:p>
    <w:p w:rsidR="005F78FC" w:rsidRDefault="00B42EF3">
      <w:pPr>
        <w:pStyle w:val="Definition-Field2"/>
      </w:pPr>
      <w:r>
        <w:t>Excel restricts the value of this attribute to be at most 2147483647.</w:t>
      </w:r>
    </w:p>
    <w:p w:rsidR="005F78FC" w:rsidRDefault="00B42EF3">
      <w:pPr>
        <w:pStyle w:val="Definition-Field"/>
      </w:pPr>
      <w:r>
        <w:t xml:space="preserve">g.   </w:t>
      </w:r>
      <w:r>
        <w:rPr>
          <w:i/>
        </w:rPr>
        <w:t>The standard states that paperHeight is a valid a</w:t>
      </w:r>
      <w:r>
        <w:rPr>
          <w:i/>
        </w:rPr>
        <w:t>ttribute, and that when it is present, paperSize shall be ignored.</w:t>
      </w:r>
    </w:p>
    <w:p w:rsidR="005F78FC" w:rsidRDefault="00B42EF3">
      <w:pPr>
        <w:pStyle w:val="Definition-Field2"/>
      </w:pPr>
      <w:r>
        <w:t>Office ignores the paperHeight attribute if it is present, and does not ignore the paperSize attribute if paperHeight is present.</w:t>
      </w:r>
    </w:p>
    <w:p w:rsidR="005F78FC" w:rsidRDefault="00B42EF3">
      <w:pPr>
        <w:pStyle w:val="Definition-Field"/>
      </w:pPr>
      <w:r>
        <w:t xml:space="preserve">h.   </w:t>
      </w:r>
      <w:r>
        <w:rPr>
          <w:i/>
        </w:rPr>
        <w:t>The standard states that paperWidth is a valid attribu</w:t>
      </w:r>
      <w:r>
        <w:rPr>
          <w:i/>
        </w:rPr>
        <w:t>te, and that when it is present, paperSize shall be ignored.</w:t>
      </w:r>
    </w:p>
    <w:p w:rsidR="005F78FC" w:rsidRDefault="00B42EF3">
      <w:pPr>
        <w:pStyle w:val="Definition-Field2"/>
      </w:pPr>
      <w:r>
        <w:t>Office ignores the paperWidth attribute if it is present, and does not ignore the paperSize attribute if paperWidth is present.</w:t>
      </w:r>
    </w:p>
    <w:p w:rsidR="005F78FC" w:rsidRDefault="00B42EF3">
      <w:pPr>
        <w:pStyle w:val="Heading3"/>
      </w:pPr>
      <w:bookmarkStart w:id="1298" w:name="section_ec58171895fa49388a746b840a7044ec"/>
      <w:bookmarkStart w:id="1299" w:name="_Toc69878422"/>
      <w:r>
        <w:t>Part 1 Section 18.3.1.66, pane (View Pane)</w:t>
      </w:r>
      <w:bookmarkEnd w:id="1298"/>
      <w:bookmarkEnd w:id="1299"/>
      <w:r>
        <w:fldChar w:fldCharType="begin"/>
      </w:r>
      <w:r>
        <w:instrText xml:space="preserve"> XE "pane (View Pane)" </w:instrText>
      </w:r>
      <w:r>
        <w:fldChar w:fldCharType="end"/>
      </w:r>
    </w:p>
    <w:p w:rsidR="005F78FC" w:rsidRDefault="00B42EF3">
      <w:pPr>
        <w:pStyle w:val="Definition-Field"/>
      </w:pPr>
      <w:r>
        <w:t xml:space="preserve">a.   </w:t>
      </w:r>
      <w:r>
        <w:rPr>
          <w:i/>
        </w:rPr>
        <w:t>In the standard the TopLeftCell attribute currently states use equals optional.</w:t>
      </w:r>
    </w:p>
    <w:p w:rsidR="005F78FC" w:rsidRDefault="00B42EF3">
      <w:pPr>
        <w:pStyle w:val="Definition-Field2"/>
      </w:pPr>
      <w:r>
        <w:t>Office treats the TopLeftCell attribute as optional if state equals split; otherwise, it is required.</w:t>
      </w:r>
    </w:p>
    <w:p w:rsidR="005F78FC" w:rsidRDefault="00B42EF3">
      <w:pPr>
        <w:pStyle w:val="Definition-Field"/>
      </w:pPr>
      <w:r>
        <w:t xml:space="preserve">b.   </w:t>
      </w:r>
      <w:r>
        <w:rPr>
          <w:i/>
        </w:rPr>
        <w:t>The standard does not define what the value for the xSplit attr</w:t>
      </w:r>
      <w:r>
        <w:rPr>
          <w:i/>
        </w:rPr>
        <w:t>ibute indicates if the parent element is customSheetView.</w:t>
      </w:r>
    </w:p>
    <w:p w:rsidR="005F78FC" w:rsidRDefault="00B42EF3">
      <w:pPr>
        <w:pStyle w:val="Definition-Field2"/>
      </w:pPr>
      <w:r>
        <w:t>In Office, when parent is customSheetView, the xSplit attribute is always saved as the number of columns (regardless of frozen or unfrozen state).</w:t>
      </w:r>
    </w:p>
    <w:p w:rsidR="005F78FC" w:rsidRDefault="00B42EF3">
      <w:pPr>
        <w:pStyle w:val="Definition-Field"/>
      </w:pPr>
      <w:r>
        <w:t xml:space="preserve">c.   </w:t>
      </w:r>
      <w:r>
        <w:rPr>
          <w:i/>
        </w:rPr>
        <w:t xml:space="preserve">The standard does not define what the value </w:t>
      </w:r>
      <w:r>
        <w:rPr>
          <w:i/>
        </w:rPr>
        <w:t>for the ySplit attribute indicates if the parent element is customSheetView.</w:t>
      </w:r>
    </w:p>
    <w:p w:rsidR="005F78FC" w:rsidRDefault="00B42EF3">
      <w:pPr>
        <w:pStyle w:val="Definition-Field2"/>
      </w:pPr>
      <w:r>
        <w:t>In Office, when parent is customSheetView, the ySplit attribute is always saved as the number of rows (regardless of frozen or unfrozen state).</w:t>
      </w:r>
    </w:p>
    <w:p w:rsidR="005F78FC" w:rsidRDefault="00B42EF3">
      <w:pPr>
        <w:pStyle w:val="Definition-Field"/>
      </w:pPr>
      <w:r>
        <w:lastRenderedPageBreak/>
        <w:t xml:space="preserve">d.   </w:t>
      </w:r>
      <w:r>
        <w:rPr>
          <w:i/>
        </w:rPr>
        <w:t>In the standard the xSplit and</w:t>
      </w:r>
      <w:r>
        <w:rPr>
          <w:i/>
        </w:rPr>
        <w:t xml:space="preserve"> ySplit definitions are reversed.</w:t>
      </w:r>
    </w:p>
    <w:p w:rsidR="005F78FC" w:rsidRDefault="00B42EF3">
      <w:pPr>
        <w:pStyle w:val="Definition-Field2"/>
      </w:pPr>
      <w:r>
        <w:t>In Office, xSplit is the Vertical split position and columns visible in the left pane, and ySplit is the Horizontal split position and columns visible in the top pane.</w:t>
      </w:r>
    </w:p>
    <w:p w:rsidR="005F78FC" w:rsidRDefault="00B42EF3">
      <w:pPr>
        <w:pStyle w:val="Definition-Field"/>
      </w:pPr>
      <w:r>
        <w:t xml:space="preserve">e.   </w:t>
      </w:r>
      <w:r>
        <w:rPr>
          <w:i/>
        </w:rPr>
        <w:t>The standard states that the xSplit and ySplit va</w:t>
      </w:r>
      <w:r>
        <w:rPr>
          <w:i/>
        </w:rPr>
        <w:t>lues can be zero indicating none for that setting.</w:t>
      </w:r>
    </w:p>
    <w:p w:rsidR="005F78FC" w:rsidRDefault="00B42EF3">
      <w:pPr>
        <w:pStyle w:val="Definition-Field2"/>
      </w:pPr>
      <w:r>
        <w:t>Office does not support setting xSplit and ySplit to Zero when the parent element is SheetView.</w:t>
      </w:r>
    </w:p>
    <w:p w:rsidR="005F78FC" w:rsidRDefault="00B42EF3">
      <w:pPr>
        <w:pStyle w:val="Heading3"/>
      </w:pPr>
      <w:bookmarkStart w:id="1300" w:name="section_0258cf3b6fa44c229af13f8983d3a381"/>
      <w:bookmarkStart w:id="1301" w:name="_Toc69878423"/>
      <w:r>
        <w:t>Part 1 Section 18.3.1.68, pivotArea (Pivot Area)</w:t>
      </w:r>
      <w:bookmarkEnd w:id="1300"/>
      <w:bookmarkEnd w:id="1301"/>
      <w:r>
        <w:fldChar w:fldCharType="begin"/>
      </w:r>
      <w:r>
        <w:instrText xml:space="preserve"> XE "pivotArea (Pivot Area)" </w:instrText>
      </w:r>
      <w:r>
        <w:fldChar w:fldCharType="end"/>
      </w:r>
    </w:p>
    <w:p w:rsidR="005F78FC" w:rsidRDefault="00B42EF3">
      <w:pPr>
        <w:pStyle w:val="Definition-Field"/>
      </w:pPr>
      <w:r>
        <w:t xml:space="preserve">a.   </w:t>
      </w:r>
      <w:r>
        <w:rPr>
          <w:i/>
        </w:rPr>
        <w:t>The standard does not st</w:t>
      </w:r>
      <w:r>
        <w:rPr>
          <w:i/>
        </w:rPr>
        <w:t>ate that the dataOnly attribute can be true only if the labelOnly attribute is false.</w:t>
      </w:r>
    </w:p>
    <w:p w:rsidR="005F78FC" w:rsidRDefault="00B42EF3">
      <w:pPr>
        <w:pStyle w:val="Definition-Field2"/>
      </w:pPr>
      <w:r>
        <w:t>Office allows the dataOnly attribute to be true only if the labelOnly attribute is false.</w:t>
      </w:r>
    </w:p>
    <w:p w:rsidR="005F78FC" w:rsidRDefault="00B42EF3">
      <w:pPr>
        <w:pStyle w:val="Definition-Field"/>
      </w:pPr>
      <w:r>
        <w:t xml:space="preserve">b.   </w:t>
      </w:r>
      <w:r>
        <w:rPr>
          <w:i/>
        </w:rPr>
        <w:t>The standard does not state that the labelOnly attribute can be true only i</w:t>
      </w:r>
      <w:r>
        <w:rPr>
          <w:i/>
        </w:rPr>
        <w:t>f the dataOnly attribute is false.</w:t>
      </w:r>
    </w:p>
    <w:p w:rsidR="005F78FC" w:rsidRDefault="00B42EF3">
      <w:pPr>
        <w:pStyle w:val="Definition-Field2"/>
      </w:pPr>
      <w:r>
        <w:t>Office allows the labelOnly attribute to be true only if the dataOnly attribute is false.</w:t>
      </w:r>
    </w:p>
    <w:p w:rsidR="005F78FC" w:rsidRDefault="00B42EF3">
      <w:pPr>
        <w:pStyle w:val="Definition-Field"/>
      </w:pPr>
      <w:r>
        <w:t xml:space="preserve">c.   </w:t>
      </w:r>
      <w:r>
        <w:rPr>
          <w:i/>
        </w:rPr>
        <w:t>The standard does not specify a default value for the field attribute.</w:t>
      </w:r>
    </w:p>
    <w:p w:rsidR="005F78FC" w:rsidRDefault="00B42EF3">
      <w:pPr>
        <w:pStyle w:val="Definition-Field2"/>
      </w:pPr>
      <w:r>
        <w:t>Excel uses a default value of -1 for this attribute.</w:t>
      </w:r>
    </w:p>
    <w:p w:rsidR="005F78FC" w:rsidRDefault="00B42EF3">
      <w:pPr>
        <w:pStyle w:val="Definition-Field"/>
      </w:pPr>
      <w:r>
        <w:t>d.</w:t>
      </w:r>
      <w:r>
        <w:t xml:space="preserve">   </w:t>
      </w:r>
      <w:r>
        <w:rPr>
          <w:i/>
        </w:rPr>
        <w:t>The standard does not restrict the value of the fieldPosition attribute.</w:t>
      </w:r>
    </w:p>
    <w:p w:rsidR="005F78FC" w:rsidRDefault="00B42EF3">
      <w:r>
        <w:t>In Office, the fieldPosition attribute represents the position of the field within the axis to which this rule applies. If cacheIndex is true, the value of this field shall be grea</w:t>
      </w:r>
      <w:r>
        <w:t>ter than or equal to zero and less than 256. If cacheIndex is false, then if the axis value is axisRow, the value of fieldPosition shall be less than the number of elements in the row fields collection ("</w:t>
      </w:r>
      <w:hyperlink r:id="rId126">
        <w:r>
          <w:rPr>
            <w:rStyle w:val="Hyperlink"/>
          </w:rPr>
          <w:t>[ISO/IEC-29500-1]</w:t>
        </w:r>
      </w:hyperlink>
      <w:r>
        <w:t xml:space="preserve"> §18.10.1.81; rowFields"). If the axis value is axisCol, the value of fieldPosition shall be less than the number of elements in the column fields collection ("[ISO/IEC-29500-1] §18.10.1.14; colFields"). If the axis value is </w:t>
      </w:r>
      <w:r>
        <w:t xml:space="preserve">axisPage, the value of fieldPosition shall be less than number of elements in page fields collection ("[ISO/IEC-29500-1] §18.10.1.63; pageFields"). If axis value is axisData, the value of fieldPosition shall be less than the number of elements in the data </w:t>
      </w:r>
      <w:r>
        <w:t>fields collection ("[ISO/IEC-29500-1] §18.10.1.13; chartFormats").</w:t>
      </w:r>
    </w:p>
    <w:p w:rsidR="005F78FC" w:rsidRDefault="00B42EF3">
      <w:pPr>
        <w:pStyle w:val="Definition-Field"/>
      </w:pPr>
      <w:r>
        <w:t xml:space="preserve">e.   </w:t>
      </w:r>
      <w:r>
        <w:rPr>
          <w:i/>
        </w:rPr>
        <w:t>The standard does not place restrictions on the value of the field attribute.</w:t>
      </w:r>
    </w:p>
    <w:p w:rsidR="005F78FC" w:rsidRDefault="00B42EF3">
      <w:r>
        <w:t xml:space="preserve">In Office, the field attribute represents a zero-based index of the field that this selection rule refers </w:t>
      </w:r>
      <w:r>
        <w:t>to. The value of this field can be -1 (it references nothing) or the value can be -2 (it references data). Otherwise, if cacheIndex is true, it shall be greater than or equal to zero and less than the number of elements in the cacheFields collection in the</w:t>
      </w:r>
      <w:r>
        <w:t xml:space="preserve"> pivot cache definition ("[ISO/IEC-29500-1] §18.10.1.67; pivotCacheDefinition"); if the cacheIndex is false, the value shall be less than the number of elements in the pivot fields (§3.10.1.70 pivotFields (PivotTable Fields)) collection ("[ISO/IEC-29500-1]</w:t>
      </w:r>
      <w:r>
        <w:t xml:space="preserve"> §18.10.1.70; pivotFields").</w:t>
      </w:r>
    </w:p>
    <w:p w:rsidR="005F78FC" w:rsidRDefault="00B42EF3">
      <w:pPr>
        <w:pStyle w:val="Heading3"/>
      </w:pPr>
      <w:bookmarkStart w:id="1302" w:name="section_fc90ed3545804a84aba88bdde70ebbf8"/>
      <w:bookmarkStart w:id="1303" w:name="_Toc69878424"/>
      <w:r>
        <w:t>Part 1 Section 18.3.1.69, pivotSelection (PivotTable Selection)</w:t>
      </w:r>
      <w:bookmarkEnd w:id="1302"/>
      <w:bookmarkEnd w:id="1303"/>
      <w:r>
        <w:fldChar w:fldCharType="begin"/>
      </w:r>
      <w:r>
        <w:instrText xml:space="preserve"> XE "pivotSelection (PivotTable Selection)" </w:instrText>
      </w:r>
      <w:r>
        <w:fldChar w:fldCharType="end"/>
      </w:r>
    </w:p>
    <w:p w:rsidR="005F78FC" w:rsidRDefault="00B42EF3">
      <w:pPr>
        <w:pStyle w:val="Definition-Field"/>
      </w:pPr>
      <w:r>
        <w:t xml:space="preserve">a.   </w:t>
      </w:r>
      <w:r>
        <w:rPr>
          <w:i/>
        </w:rPr>
        <w:t>The standard does not specify any relationships for the data attribute.</w:t>
      </w:r>
    </w:p>
    <w:p w:rsidR="005F78FC" w:rsidRDefault="00B42EF3">
      <w:pPr>
        <w:pStyle w:val="Definition-Field2"/>
      </w:pPr>
      <w:r>
        <w:t xml:space="preserve">Office requires that the data attribute </w:t>
      </w:r>
      <w:r>
        <w:t>be false when the label attribute is true.</w:t>
      </w:r>
    </w:p>
    <w:p w:rsidR="005F78FC" w:rsidRDefault="00B42EF3">
      <w:pPr>
        <w:pStyle w:val="Definition-Field"/>
      </w:pPr>
      <w:r>
        <w:t xml:space="preserve">b.   </w:t>
      </w:r>
      <w:r>
        <w:rPr>
          <w:i/>
        </w:rPr>
        <w:t>The standard states that the values of the previousRow attribute are defined by the XML Schema unsignedInt datatype.</w:t>
      </w:r>
    </w:p>
    <w:p w:rsidR="005F78FC" w:rsidRDefault="00B42EF3">
      <w:pPr>
        <w:pStyle w:val="Definition-Field2"/>
      </w:pPr>
      <w:r>
        <w:t>Excel restricts the value of this attribute to be at most 1048575.</w:t>
      </w:r>
    </w:p>
    <w:p w:rsidR="005F78FC" w:rsidRDefault="00B42EF3">
      <w:pPr>
        <w:pStyle w:val="Definition-Field"/>
      </w:pPr>
      <w:r>
        <w:lastRenderedPageBreak/>
        <w:t xml:space="preserve">c.   </w:t>
      </w:r>
      <w:r>
        <w:rPr>
          <w:i/>
        </w:rPr>
        <w:t>The standard states</w:t>
      </w:r>
      <w:r>
        <w:rPr>
          <w:i/>
        </w:rPr>
        <w:t xml:space="preserve"> that the values of the previousCol attribute are defined by the XML Schema unsignedInt datatype.</w:t>
      </w:r>
    </w:p>
    <w:p w:rsidR="005F78FC" w:rsidRDefault="00B42EF3">
      <w:pPr>
        <w:pStyle w:val="Definition-Field2"/>
      </w:pPr>
      <w:r>
        <w:t>Excel restricts the value of this attribute to be at most 16383.</w:t>
      </w:r>
    </w:p>
    <w:p w:rsidR="005F78FC" w:rsidRDefault="00B42EF3">
      <w:pPr>
        <w:pStyle w:val="Definition-Field"/>
      </w:pPr>
      <w:r>
        <w:t xml:space="preserve">d.   </w:t>
      </w:r>
      <w:r>
        <w:rPr>
          <w:i/>
        </w:rPr>
        <w:t>The standard states that the values of the dimension attribute are defined by the XML Sc</w:t>
      </w:r>
      <w:r>
        <w:rPr>
          <w:i/>
        </w:rPr>
        <w:t>hema unsignedInt datatype.</w:t>
      </w:r>
    </w:p>
    <w:p w:rsidR="005F78FC" w:rsidRDefault="00B42EF3">
      <w:r>
        <w:t>In Excel, if the axis attribute equals axisRow, then the dimension attribute must be less than number of elements in the rowFields collection. If the axis attribute equals axisCol, then the dimension attribute must be less than n</w:t>
      </w:r>
      <w:r>
        <w:t>umber of elements in the columnFields collection. If the axis attribute equals axisPage, then the dimension attribute equals 0.</w:t>
      </w:r>
    </w:p>
    <w:p w:rsidR="005F78FC" w:rsidRDefault="00B42EF3">
      <w:pPr>
        <w:pStyle w:val="Definition-Field"/>
      </w:pPr>
      <w:r>
        <w:t xml:space="preserve">e.   </w:t>
      </w:r>
      <w:r>
        <w:rPr>
          <w:i/>
        </w:rPr>
        <w:t>The standard states that the values for the min attribute are defined by the XML Schema unsignedInt datatype.</w:t>
      </w:r>
    </w:p>
    <w:p w:rsidR="005F78FC" w:rsidRDefault="00B42EF3">
      <w:r>
        <w:t xml:space="preserve">In Excel, if </w:t>
      </w:r>
      <w:r>
        <w:t>the axis attribute equals axisRow, then the min attribute must be less than the number of elements in the rowItems collection. If the axis attribute equals axisCol, then the min attribute must be less than the number of elements in the colItems collection.</w:t>
      </w:r>
      <w:r>
        <w:t xml:space="preserve"> When the axis attribute equals axisPage, then the min attribute must be 0.</w:t>
      </w:r>
    </w:p>
    <w:p w:rsidR="005F78FC" w:rsidRDefault="00B42EF3">
      <w:pPr>
        <w:pStyle w:val="Definition-Field"/>
      </w:pPr>
      <w:r>
        <w:t xml:space="preserve">f.   </w:t>
      </w:r>
      <w:r>
        <w:rPr>
          <w:i/>
        </w:rPr>
        <w:t>The standard states that @max is not restricted beyond unsigned int.</w:t>
      </w:r>
    </w:p>
    <w:p w:rsidR="005F78FC" w:rsidRDefault="00B42EF3">
      <w:pPr>
        <w:pStyle w:val="Definition-Field2"/>
      </w:pPr>
      <w:r>
        <w:t xml:space="preserve">In Excel, if @axis=axisRow, @max shall be less than the number of elements in rowItems collection. If </w:t>
      </w:r>
      <w:r>
        <w:t>@axis=axisCol, @max shall be less than the number of elements in colItems. When @axis=axisPage then @max shall be 0.</w:t>
      </w:r>
    </w:p>
    <w:p w:rsidR="005F78FC" w:rsidRDefault="00B42EF3">
      <w:pPr>
        <w:pStyle w:val="Definition-Field"/>
      </w:pPr>
      <w:r>
        <w:t xml:space="preserve">g.   </w:t>
      </w:r>
      <w:r>
        <w:rPr>
          <w:i/>
        </w:rPr>
        <w:t>The standard does not limit @start beyond unsigned int.</w:t>
      </w:r>
    </w:p>
    <w:p w:rsidR="005F78FC" w:rsidRDefault="00B42EF3">
      <w:pPr>
        <w:pStyle w:val="Definition-Field2"/>
      </w:pPr>
      <w:r>
        <w:t>Office requires that @min &lt; @start &lt; @max+1.</w:t>
      </w:r>
    </w:p>
    <w:p w:rsidR="005F78FC" w:rsidRDefault="00B42EF3">
      <w:pPr>
        <w:pStyle w:val="Definition-Field"/>
      </w:pPr>
      <w:r>
        <w:t xml:space="preserve">h.   </w:t>
      </w:r>
      <w:r>
        <w:rPr>
          <w:i/>
        </w:rPr>
        <w:t>The standard does not define</w:t>
      </w:r>
      <w:r>
        <w:rPr>
          <w:i/>
        </w:rPr>
        <w:t xml:space="preserve"> the valid set of values for the activeRow or the activeCol attributes.</w:t>
      </w:r>
    </w:p>
    <w:p w:rsidR="005F78FC" w:rsidRDefault="00B42EF3">
      <w:r>
        <w:t>Office requires that the following conditions be true:</w:t>
      </w:r>
    </w:p>
    <w:p w:rsidR="005F78FC" w:rsidRDefault="00B42EF3">
      <w:pPr>
        <w:pStyle w:val="ListParagraph"/>
        <w:numPr>
          <w:ilvl w:val="0"/>
          <w:numId w:val="66"/>
        </w:numPr>
        <w:contextualSpacing/>
      </w:pPr>
      <w:r>
        <w:t xml:space="preserve">If </w:t>
      </w:r>
      <w:r>
        <w:rPr>
          <w:b/>
        </w:rPr>
        <w:t>axis</w:t>
      </w:r>
      <w:r>
        <w:t xml:space="preserve"> is set to </w:t>
      </w:r>
      <w:r>
        <w:rPr>
          <w:i/>
        </w:rPr>
        <w:t>axisRow</w:t>
      </w:r>
      <w:r>
        <w:t xml:space="preserve">, then the valid set of values for the activeRow or activeCol attributes should be within the Row axis </w:t>
      </w:r>
      <w:r>
        <w:t>area.</w:t>
      </w:r>
    </w:p>
    <w:p w:rsidR="005F78FC" w:rsidRDefault="00B42EF3">
      <w:pPr>
        <w:pStyle w:val="ListParagraph"/>
        <w:numPr>
          <w:ilvl w:val="0"/>
          <w:numId w:val="66"/>
        </w:numPr>
        <w:contextualSpacing/>
      </w:pPr>
      <w:r>
        <w:t xml:space="preserve">If </w:t>
      </w:r>
      <w:r>
        <w:rPr>
          <w:b/>
        </w:rPr>
        <w:t>axis</w:t>
      </w:r>
      <w:r>
        <w:t xml:space="preserve"> is set to </w:t>
      </w:r>
      <w:r>
        <w:rPr>
          <w:i/>
        </w:rPr>
        <w:t>axisCol</w:t>
      </w:r>
      <w:r>
        <w:t>, then the valid set of values for the activeRow or activeCol attributes should be within the Column axis area.</w:t>
      </w:r>
    </w:p>
    <w:p w:rsidR="005F78FC" w:rsidRDefault="00B42EF3">
      <w:pPr>
        <w:pStyle w:val="ListParagraph"/>
        <w:numPr>
          <w:ilvl w:val="0"/>
          <w:numId w:val="66"/>
        </w:numPr>
      </w:pPr>
      <w:r>
        <w:t xml:space="preserve">If </w:t>
      </w:r>
      <w:r>
        <w:rPr>
          <w:b/>
        </w:rPr>
        <w:t>axis</w:t>
      </w:r>
      <w:r>
        <w:t xml:space="preserve"> is set to </w:t>
      </w:r>
      <w:r>
        <w:rPr>
          <w:i/>
        </w:rPr>
        <w:t>axisPage</w:t>
      </w:r>
      <w:r>
        <w:t>, then the valid set of values for the activeRow or activeCol attributes should be with</w:t>
      </w:r>
      <w:r>
        <w:t>in the Page/Report Filter axis area.</w:t>
      </w:r>
    </w:p>
    <w:p w:rsidR="005F78FC" w:rsidRDefault="00B42EF3">
      <w:pPr>
        <w:pStyle w:val="Definition-Field"/>
      </w:pPr>
      <w:r>
        <w:t xml:space="preserve">i.   </w:t>
      </w:r>
      <w:r>
        <w:rPr>
          <w:i/>
        </w:rPr>
        <w:t>The standard defines values for the pane attribute.</w:t>
      </w:r>
    </w:p>
    <w:p w:rsidR="005F78FC" w:rsidRDefault="00B42EF3">
      <w:pPr>
        <w:pStyle w:val="Definition-Field2"/>
      </w:pPr>
      <w:r>
        <w:t>In Office, topLeft is interpreted as bottomRight and vice versa.</w:t>
      </w:r>
    </w:p>
    <w:p w:rsidR="005F78FC" w:rsidRDefault="00B42EF3">
      <w:pPr>
        <w:pStyle w:val="Definition-Field"/>
      </w:pPr>
      <w:r>
        <w:t xml:space="preserve">j.   </w:t>
      </w:r>
      <w:r>
        <w:rPr>
          <w:i/>
        </w:rPr>
        <w:t>The standard states that the r:id attribute is optional.</w:t>
      </w:r>
    </w:p>
    <w:p w:rsidR="005F78FC" w:rsidRDefault="00B42EF3">
      <w:pPr>
        <w:pStyle w:val="Definition-Field2"/>
      </w:pPr>
      <w:r>
        <w:t>Excel requires this attribute.</w:t>
      </w:r>
    </w:p>
    <w:p w:rsidR="005F78FC" w:rsidRDefault="00B42EF3">
      <w:pPr>
        <w:pStyle w:val="Definition-Field"/>
      </w:pPr>
      <w:r>
        <w:t xml:space="preserve">k.  </w:t>
      </w:r>
      <w:r>
        <w:t xml:space="preserve"> </w:t>
      </w:r>
      <w:r>
        <w:rPr>
          <w:i/>
        </w:rPr>
        <w:t>The standard states that the axis attribute has a valid value of axisPage.</w:t>
      </w:r>
    </w:p>
    <w:p w:rsidR="005F78FC" w:rsidRDefault="00B42EF3">
      <w:pPr>
        <w:pStyle w:val="Definition-Field2"/>
      </w:pPr>
      <w:r>
        <w:t>Office will report a valid file as corrupt if axis is equal to axisPage.</w:t>
      </w:r>
    </w:p>
    <w:p w:rsidR="005F78FC" w:rsidRDefault="00B42EF3">
      <w:pPr>
        <w:pStyle w:val="Definition-Field"/>
      </w:pPr>
      <w:r>
        <w:t xml:space="preserve">l.   </w:t>
      </w:r>
      <w:r>
        <w:rPr>
          <w:i/>
        </w:rPr>
        <w:t>The standard states that the valid values for the axis attribute are defined by the ST_Axis simple typ</w:t>
      </w:r>
      <w:r>
        <w:rPr>
          <w:i/>
        </w:rPr>
        <w:t>e.</w:t>
      </w:r>
    </w:p>
    <w:p w:rsidR="005F78FC" w:rsidRDefault="00B42EF3">
      <w:pPr>
        <w:pStyle w:val="Definition-Field2"/>
      </w:pPr>
      <w:r>
        <w:t>Office does not allow the axis attribute to equal axisValue.</w:t>
      </w:r>
    </w:p>
    <w:p w:rsidR="005F78FC" w:rsidRDefault="00B42EF3">
      <w:pPr>
        <w:pStyle w:val="Heading3"/>
      </w:pPr>
      <w:bookmarkStart w:id="1304" w:name="section_d162cec20b0d4de48edce1641a455d05"/>
      <w:bookmarkStart w:id="1305" w:name="_Toc69878425"/>
      <w:r>
        <w:lastRenderedPageBreak/>
        <w:t>Part 1 Section 18.3.1.71, protectedRange (Protected Range)</w:t>
      </w:r>
      <w:bookmarkEnd w:id="1304"/>
      <w:bookmarkEnd w:id="1305"/>
      <w:r>
        <w:fldChar w:fldCharType="begin"/>
      </w:r>
      <w:r>
        <w:instrText xml:space="preserve"> XE "protectedRange (Protected Range)" </w:instrText>
      </w:r>
      <w:r>
        <w:fldChar w:fldCharType="end"/>
      </w:r>
    </w:p>
    <w:p w:rsidR="005F78FC" w:rsidRDefault="00B42EF3">
      <w:pPr>
        <w:pStyle w:val="Definition-Field"/>
      </w:pPr>
      <w:r>
        <w:t xml:space="preserve">a.   </w:t>
      </w:r>
      <w:r>
        <w:rPr>
          <w:i/>
        </w:rPr>
        <w:t>The standard sets no restrictions on the string for the name attribute.</w:t>
      </w:r>
    </w:p>
    <w:p w:rsidR="005F78FC" w:rsidRDefault="00B42EF3">
      <w:pPr>
        <w:pStyle w:val="Definition-Field2"/>
      </w:pPr>
      <w:r>
        <w:t>Office requires</w:t>
      </w:r>
      <w:r>
        <w:t xml:space="preserve"> that the name attribute shall be unique within the parent element collection, start with a letter, only contain letters, numbers, spaces, underscores, periods, backslashes, or question marks.</w:t>
      </w:r>
    </w:p>
    <w:p w:rsidR="005F78FC" w:rsidRDefault="00B42EF3">
      <w:pPr>
        <w:pStyle w:val="Definition-Field"/>
      </w:pPr>
      <w:r>
        <w:t xml:space="preserve">b.   </w:t>
      </w:r>
      <w:r>
        <w:rPr>
          <w:i/>
        </w:rPr>
        <w:t>The standard does not define the minimum values for the sq</w:t>
      </w:r>
      <w:r>
        <w:rPr>
          <w:i/>
        </w:rPr>
        <w:t>ref attribute.</w:t>
      </w:r>
    </w:p>
    <w:p w:rsidR="005F78FC" w:rsidRDefault="00B42EF3">
      <w:pPr>
        <w:pStyle w:val="Definition-Field2"/>
      </w:pPr>
      <w:r>
        <w:t>Office defines the minimum value for the sqref attribute to be 1.</w:t>
      </w:r>
    </w:p>
    <w:p w:rsidR="005F78FC" w:rsidRDefault="00B42EF3">
      <w:pPr>
        <w:pStyle w:val="Definition-Field"/>
      </w:pPr>
      <w:r>
        <w:t xml:space="preserve">c.   </w:t>
      </w:r>
      <w:r>
        <w:rPr>
          <w:i/>
        </w:rPr>
        <w:t>The standard does not limit the length of the value of the name attribute.</w:t>
      </w:r>
    </w:p>
    <w:p w:rsidR="005F78FC" w:rsidRDefault="00B42EF3">
      <w:pPr>
        <w:pStyle w:val="Definition-Field2"/>
      </w:pPr>
      <w:r>
        <w:t>Word restricts the value of this attribute to be at least 1 and at most 255 characters.</w:t>
      </w:r>
    </w:p>
    <w:p w:rsidR="005F78FC" w:rsidRDefault="00B42EF3">
      <w:pPr>
        <w:pStyle w:val="Definition-Field"/>
      </w:pPr>
      <w:r>
        <w:t xml:space="preserve">d.   </w:t>
      </w:r>
      <w:r>
        <w:rPr>
          <w:i/>
        </w:rPr>
        <w:t>Th</w:t>
      </w:r>
      <w:r>
        <w:rPr>
          <w:i/>
        </w:rPr>
        <w:t>e standard states that this setting uses a specific Password attribute to store the password hash.</w:t>
      </w:r>
    </w:p>
    <w:p w:rsidR="005F78FC" w:rsidRDefault="00B42EF3">
      <w:r>
        <w:t>In Office, when the HKCU/Software/Microsoft/Office/&lt;VERSION&gt;/Common/Security/UseIsoPasswordVerifier registry key is set to 1, the XML for file sharing is wri</w:t>
      </w:r>
      <w:r>
        <w:t>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Name</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rPr>
                <w:b/>
              </w:rPr>
              <w:t>algorithm Name</w:t>
            </w:r>
          </w:p>
        </w:tc>
        <w:tc>
          <w:tcPr>
            <w:tcW w:w="0" w:type="auto"/>
            <w:vAlign w:val="center"/>
          </w:tcPr>
          <w:p w:rsidR="005F78FC" w:rsidRDefault="00B42EF3">
            <w:pPr>
              <w:pStyle w:val="TableBodyText"/>
            </w:pPr>
            <w:r>
              <w:t xml:space="preserve">The name of the cryptographic hashing algorithm used to generate the hash value. Only those algorithms that are installed in the operating system’s </w:t>
            </w:r>
            <w:r>
              <w:t>cryptographic subsystem can be utilized by Office.</w:t>
            </w:r>
          </w:p>
          <w:p w:rsidR="005F78FC" w:rsidRDefault="005F78FC">
            <w:pPr>
              <w:pStyle w:val="TableBodyText"/>
            </w:pPr>
          </w:p>
          <w:p w:rsidR="005F78FC" w:rsidRDefault="00B42EF3">
            <w:pPr>
              <w:pStyle w:val="TableBodyText"/>
            </w:pPr>
            <w:r>
              <w:t>The hash algorithm names, described in the following table, are reserved.</w:t>
            </w:r>
          </w:p>
          <w:p w:rsidR="005F78FC" w:rsidRDefault="005F78FC">
            <w:pPr>
              <w:pStyle w:val="TableBodyText"/>
            </w:pPr>
          </w:p>
          <w:p w:rsidR="005F78FC" w:rsidRDefault="00B42EF3">
            <w:pPr>
              <w:pStyle w:val="TableBodyText"/>
            </w:pPr>
            <w:r>
              <w:rPr>
                <w:b/>
                <w:i/>
              </w:rPr>
              <w:t xml:space="preserve">MD2 </w:t>
            </w:r>
          </w:p>
          <w:p w:rsidR="005F78FC" w:rsidRDefault="00B42EF3">
            <w:pPr>
              <w:pStyle w:val="TableBodyText"/>
            </w:pPr>
            <w:r>
              <w:rPr>
                <w:i/>
              </w:rPr>
              <w:t>Specifies that the MD2 algorithm, as defined by RFC 1319, shall be used.</w:t>
            </w:r>
          </w:p>
          <w:p w:rsidR="005F78FC" w:rsidRDefault="005F78FC">
            <w:pPr>
              <w:pStyle w:val="TableBodyText"/>
            </w:pPr>
          </w:p>
          <w:p w:rsidR="005F78FC" w:rsidRDefault="00B42EF3">
            <w:pPr>
              <w:pStyle w:val="TableBodyText"/>
            </w:pPr>
            <w:r>
              <w:rPr>
                <w:i/>
              </w:rPr>
              <w:t xml:space="preserve">[Note: It is recommended that applications should </w:t>
            </w:r>
            <w:r>
              <w:rPr>
                <w:i/>
              </w:rPr>
              <w:t>avoid using this algorithm to store new hash values, because of publicly known breaks. end note]</w:t>
            </w:r>
          </w:p>
          <w:p w:rsidR="005F78FC" w:rsidRDefault="00B42EF3">
            <w:pPr>
              <w:pStyle w:val="TableBodyText"/>
            </w:pPr>
            <w:r>
              <w:rPr>
                <w:b/>
                <w:i/>
              </w:rPr>
              <w:t xml:space="preserve">MD4 </w:t>
            </w:r>
          </w:p>
          <w:p w:rsidR="005F78FC" w:rsidRDefault="00B42EF3">
            <w:pPr>
              <w:pStyle w:val="TableBodyText"/>
            </w:pPr>
            <w:r>
              <w:rPr>
                <w:i/>
              </w:rPr>
              <w:t>Specifies that the MD4 algorithm, as defined by RFC 1320, shall be used.</w:t>
            </w:r>
          </w:p>
          <w:p w:rsidR="005F78FC" w:rsidRDefault="005F78FC">
            <w:pPr>
              <w:pStyle w:val="TableBodyText"/>
            </w:pPr>
          </w:p>
          <w:p w:rsidR="005F78FC" w:rsidRDefault="00B42EF3">
            <w:pPr>
              <w:pStyle w:val="TableBodyText"/>
            </w:pPr>
            <w:r>
              <w:rPr>
                <w:i/>
              </w:rPr>
              <w:t xml:space="preserve">[Note: It is recommended that applications should avoid using this algorithm to </w:t>
            </w:r>
            <w:r>
              <w:rPr>
                <w:i/>
              </w:rPr>
              <w:t>store new hash values, because of publicly known breaks. end note]</w:t>
            </w:r>
          </w:p>
          <w:p w:rsidR="005F78FC" w:rsidRDefault="00B42EF3">
            <w:pPr>
              <w:pStyle w:val="TableBodyText"/>
            </w:pPr>
            <w:r>
              <w:rPr>
                <w:b/>
                <w:i/>
              </w:rPr>
              <w:t>MD5</w:t>
            </w:r>
          </w:p>
          <w:p w:rsidR="005F78FC" w:rsidRDefault="00B42EF3">
            <w:pPr>
              <w:pStyle w:val="TableBodyText"/>
            </w:pPr>
            <w:r>
              <w:rPr>
                <w:i/>
              </w:rPr>
              <w:t>Specifies that the MD5 algorithm, as defined by RFC 1321, shall be used.</w:t>
            </w:r>
          </w:p>
          <w:p w:rsidR="005F78FC" w:rsidRDefault="005F78FC">
            <w:pPr>
              <w:pStyle w:val="TableBodyText"/>
            </w:pPr>
          </w:p>
          <w:p w:rsidR="005F78FC" w:rsidRDefault="00B42EF3">
            <w:pPr>
              <w:pStyle w:val="TableBodyText"/>
            </w:pPr>
            <w:r>
              <w:rPr>
                <w:i/>
              </w:rPr>
              <w:t xml:space="preserve">[Note: It is recommended that applications should avoid using this algorithm to store new hash values, because </w:t>
            </w:r>
            <w:r>
              <w:rPr>
                <w:i/>
              </w:rPr>
              <w:t>of publicly known breaks. end note]</w:t>
            </w:r>
          </w:p>
          <w:p w:rsidR="005F78FC" w:rsidRDefault="00B42EF3">
            <w:pPr>
              <w:pStyle w:val="TableBodyText"/>
            </w:pPr>
            <w:r>
              <w:rPr>
                <w:b/>
                <w:i/>
              </w:rPr>
              <w:t>RIPEMD-128</w:t>
            </w:r>
          </w:p>
          <w:p w:rsidR="005F78FC" w:rsidRDefault="00B42EF3">
            <w:pPr>
              <w:pStyle w:val="TableBodyText"/>
            </w:pPr>
            <w:r>
              <w:rPr>
                <w:i/>
              </w:rPr>
              <w:t>Specifies that the RIPEMD-128 algorithm, as defined by ISO/IEC 10118-3:2004 shall be used.</w:t>
            </w:r>
          </w:p>
          <w:p w:rsidR="005F78FC" w:rsidRDefault="005F78FC">
            <w:pPr>
              <w:pStyle w:val="TableBodyText"/>
            </w:pPr>
          </w:p>
          <w:p w:rsidR="005F78FC" w:rsidRDefault="00B42EF3">
            <w:pPr>
              <w:pStyle w:val="TableBodyText"/>
            </w:pPr>
            <w:r>
              <w:rPr>
                <w:i/>
              </w:rPr>
              <w:t xml:space="preserve">[Note: It is recommended that applications should avoid using this algorithm to store new hash values, because of </w:t>
            </w:r>
            <w:r>
              <w:rPr>
                <w:i/>
              </w:rPr>
              <w:t>publicly known breaks. end note]</w:t>
            </w:r>
          </w:p>
          <w:p w:rsidR="005F78FC" w:rsidRDefault="00B42EF3">
            <w:pPr>
              <w:pStyle w:val="TableBodyText"/>
            </w:pPr>
            <w:r>
              <w:rPr>
                <w:b/>
                <w:i/>
              </w:rPr>
              <w:t>RIPEMD-160</w:t>
            </w:r>
          </w:p>
          <w:p w:rsidR="005F78FC" w:rsidRDefault="00B42EF3">
            <w:pPr>
              <w:pStyle w:val="TableBodyText"/>
            </w:pPr>
            <w:r>
              <w:rPr>
                <w:i/>
              </w:rPr>
              <w:t>Specifies that the RIPEMD-160 algorithm, as defined by ISO/IEC 10118-3:2004, shall be used.</w:t>
            </w:r>
          </w:p>
          <w:p w:rsidR="005F78FC" w:rsidRDefault="00B42EF3">
            <w:pPr>
              <w:pStyle w:val="TableBodyText"/>
            </w:pPr>
            <w:r>
              <w:rPr>
                <w:b/>
                <w:i/>
              </w:rPr>
              <w:t>SHA-1</w:t>
            </w:r>
          </w:p>
          <w:p w:rsidR="005F78FC" w:rsidRDefault="00B42EF3">
            <w:pPr>
              <w:pStyle w:val="TableBodyText"/>
            </w:pPr>
            <w:r>
              <w:rPr>
                <w:i/>
              </w:rPr>
              <w:t>Specifies that the SHA-1 algorithm, as defined by ISO/IEC 10118-3:2004, shall be used.</w:t>
            </w:r>
          </w:p>
          <w:p w:rsidR="005F78FC" w:rsidRDefault="00B42EF3">
            <w:pPr>
              <w:pStyle w:val="TableBodyText"/>
            </w:pPr>
            <w:r>
              <w:rPr>
                <w:b/>
                <w:i/>
              </w:rPr>
              <w:lastRenderedPageBreak/>
              <w:t>SHA-256</w:t>
            </w:r>
          </w:p>
          <w:p w:rsidR="005F78FC" w:rsidRDefault="00B42EF3">
            <w:pPr>
              <w:pStyle w:val="TableBodyText"/>
            </w:pPr>
            <w:r>
              <w:rPr>
                <w:i/>
              </w:rPr>
              <w:t xml:space="preserve">Specifies that the </w:t>
            </w:r>
            <w:r>
              <w:rPr>
                <w:i/>
              </w:rPr>
              <w:t>SHA-256 algorithm, as defined by ISO/IEC 10118-3:2004, shall be used.</w:t>
            </w:r>
          </w:p>
          <w:p w:rsidR="005F78FC" w:rsidRDefault="00B42EF3">
            <w:pPr>
              <w:pStyle w:val="TableBodyText"/>
            </w:pPr>
            <w:r>
              <w:rPr>
                <w:b/>
                <w:i/>
              </w:rPr>
              <w:t>SHA-384</w:t>
            </w:r>
          </w:p>
          <w:p w:rsidR="005F78FC" w:rsidRDefault="00B42EF3">
            <w:pPr>
              <w:pStyle w:val="TableBodyText"/>
            </w:pPr>
            <w:r>
              <w:rPr>
                <w:i/>
              </w:rPr>
              <w:t>Specifies that the SHA-384 algorithm, as defined by ISO/IEC 10118-3:2004, shall be used.</w:t>
            </w:r>
          </w:p>
          <w:p w:rsidR="005F78FC" w:rsidRDefault="00B42EF3">
            <w:pPr>
              <w:pStyle w:val="TableBodyText"/>
            </w:pPr>
            <w:r>
              <w:rPr>
                <w:b/>
                <w:i/>
              </w:rPr>
              <w:t>SHA-512</w:t>
            </w:r>
          </w:p>
          <w:p w:rsidR="005F78FC" w:rsidRDefault="00B42EF3">
            <w:pPr>
              <w:pStyle w:val="TableBodyText"/>
            </w:pPr>
            <w:r>
              <w:rPr>
                <w:i/>
              </w:rPr>
              <w:t>Specifies that the SHA-512 algorithm, as defined by ISO/IEC 10118-3:2004, shall b</w:t>
            </w:r>
            <w:r>
              <w:rPr>
                <w:i/>
              </w:rPr>
              <w:t>e used.</w:t>
            </w:r>
          </w:p>
          <w:p w:rsidR="005F78FC" w:rsidRDefault="00B42EF3">
            <w:pPr>
              <w:pStyle w:val="TableBodyText"/>
            </w:pPr>
            <w:r>
              <w:rPr>
                <w:b/>
                <w:i/>
              </w:rPr>
              <w:t>WHIRLPOOL</w:t>
            </w:r>
          </w:p>
          <w:p w:rsidR="005F78FC" w:rsidRDefault="00B42EF3">
            <w:pPr>
              <w:pStyle w:val="TableBodyText"/>
            </w:pPr>
            <w:r>
              <w:rPr>
                <w:i/>
              </w:rPr>
              <w:t>Specifies that the WHIRLPOOL algorithm, as defined by ISO/IEC 10118-3:2004, shall be used.</w:t>
            </w:r>
          </w:p>
          <w:p w:rsidR="005F78FC" w:rsidRDefault="005F78FC">
            <w:pPr>
              <w:pStyle w:val="TableBodyText"/>
            </w:pPr>
          </w:p>
          <w:p w:rsidR="005F78FC" w:rsidRDefault="005F78FC">
            <w:pPr>
              <w:pStyle w:val="TableBodyText"/>
            </w:pPr>
          </w:p>
        </w:tc>
      </w:tr>
      <w:tr w:rsidR="005F78FC" w:rsidTr="005F78FC">
        <w:tc>
          <w:tcPr>
            <w:tcW w:w="0" w:type="auto"/>
            <w:vAlign w:val="center"/>
          </w:tcPr>
          <w:p w:rsidR="005F78FC" w:rsidRDefault="00B42EF3">
            <w:pPr>
              <w:pStyle w:val="TableBodyText"/>
            </w:pPr>
            <w:r>
              <w:rPr>
                <w:b/>
              </w:rPr>
              <w:lastRenderedPageBreak/>
              <w:t>hash Value</w:t>
            </w:r>
          </w:p>
        </w:tc>
        <w:tc>
          <w:tcPr>
            <w:tcW w:w="0" w:type="auto"/>
            <w:vAlign w:val="center"/>
          </w:tcPr>
          <w:p w:rsidR="005F78FC" w:rsidRDefault="00B42EF3">
            <w:pPr>
              <w:pStyle w:val="TableBodyText"/>
            </w:pPr>
            <w:r>
              <w:t>Specifies the hash value for the password required to edit this worksheet. This value shall be compared with the resulting hash value</w:t>
            </w:r>
            <w:r>
              <w:t xml:space="preserve"> after hashing the user-supplied password using the algorithm specified by the preceding attributes and parent XML element. If the two values match, the protection shall no longer be enforced.</w:t>
            </w:r>
          </w:p>
          <w:p w:rsidR="005F78FC" w:rsidRDefault="005F78FC">
            <w:pPr>
              <w:pStyle w:val="TableBodyText"/>
            </w:pPr>
          </w:p>
          <w:p w:rsidR="005F78FC" w:rsidRDefault="00B42EF3">
            <w:pPr>
              <w:pStyle w:val="TableBodyText"/>
            </w:pPr>
            <w:r>
              <w:t>If this value is omitted, then the reservationPassword attribu</w:t>
            </w:r>
            <w:r>
              <w:t>te shall contain the password hash for the workbook.</w:t>
            </w:r>
          </w:p>
          <w:p w:rsidR="005F78FC" w:rsidRDefault="005F78FC">
            <w:pPr>
              <w:pStyle w:val="TableBodyText"/>
            </w:pPr>
          </w:p>
          <w:p w:rsidR="005F78FC" w:rsidRDefault="00B42EF3">
            <w:pPr>
              <w:pStyle w:val="TableBodyText"/>
            </w:pPr>
            <w:r>
              <w:t>[</w:t>
            </w:r>
            <w:r>
              <w:rPr>
                <w:i/>
              </w:rPr>
              <w:t>Example</w:t>
            </w:r>
            <w:r>
              <w:t>: Consider an Office Open XML document with the following information stored in one of its protection elements:</w:t>
            </w:r>
          </w:p>
          <w:p w:rsidR="005F78FC" w:rsidRDefault="005F78FC">
            <w:pPr>
              <w:pStyle w:val="TableBodyText"/>
            </w:pPr>
          </w:p>
          <w:p w:rsidR="005F78FC" w:rsidRDefault="00B42EF3">
            <w:pPr>
              <w:pStyle w:val="TableBodyText"/>
            </w:pPr>
            <w:r>
              <w:t>&lt;… algorithmName="SHA-1" hashValue="9oN7nWkCAyEZib1RomSJTjmPpCY=" /&gt;</w:t>
            </w:r>
          </w:p>
          <w:p w:rsidR="005F78FC" w:rsidRDefault="005F78FC">
            <w:pPr>
              <w:pStyle w:val="TableBodyText"/>
            </w:pPr>
          </w:p>
          <w:p w:rsidR="005F78FC" w:rsidRDefault="00B42EF3">
            <w:pPr>
              <w:pStyle w:val="TableBodyText"/>
            </w:pPr>
            <w:r>
              <w:t>The hashValue attribute value of 9oN7nWkCAyEZib1RomSJTjmPpCY= specifies that the user-supplied password must be hashed using the pre-processing defined by the parent element (if any) followed by the hashing algorithm (specified via the algorithmName attrib</w:t>
            </w:r>
            <w:r>
              <w:t xml:space="preserve">ute value) and that the resulting hash value must be match for the protection to be disabled. </w:t>
            </w:r>
          </w:p>
          <w:p w:rsidR="005F78FC" w:rsidRDefault="00B42EF3">
            <w:pPr>
              <w:pStyle w:val="TableBodyText"/>
            </w:pPr>
            <w:r>
              <w:rPr>
                <w:i/>
              </w:rPr>
              <w:t>end example</w:t>
            </w:r>
            <w:r>
              <w:t>]</w:t>
            </w:r>
          </w:p>
          <w:p w:rsidR="005F78FC" w:rsidRDefault="005F78FC">
            <w:pPr>
              <w:pStyle w:val="TableBodyText"/>
            </w:pPr>
          </w:p>
          <w:p w:rsidR="005F78FC" w:rsidRDefault="00B42EF3">
            <w:pPr>
              <w:pStyle w:val="TableBodyText"/>
            </w:pPr>
            <w:r>
              <w:t>The possible values for this attribute are defined by the W3C XML Schema base64Binary datatype.</w:t>
            </w:r>
          </w:p>
        </w:tc>
      </w:tr>
      <w:tr w:rsidR="005F78FC" w:rsidTr="005F78FC">
        <w:tc>
          <w:tcPr>
            <w:tcW w:w="0" w:type="auto"/>
            <w:vAlign w:val="center"/>
          </w:tcPr>
          <w:p w:rsidR="005F78FC" w:rsidRDefault="00B42EF3">
            <w:pPr>
              <w:pStyle w:val="TableBodyText"/>
            </w:pPr>
            <w:r>
              <w:rPr>
                <w:b/>
              </w:rPr>
              <w:t>saltValue</w:t>
            </w:r>
          </w:p>
        </w:tc>
        <w:tc>
          <w:tcPr>
            <w:tcW w:w="0" w:type="auto"/>
            <w:vAlign w:val="center"/>
          </w:tcPr>
          <w:p w:rsidR="005F78FC" w:rsidRDefault="00B42EF3">
            <w:pPr>
              <w:pStyle w:val="TableBodyText"/>
            </w:pPr>
            <w:r>
              <w:t>Specifies the random bytes that are pre-</w:t>
            </w:r>
            <w:r>
              <w:t>pended to the user-supplied password before it was hashed by the hashing algorithm.</w:t>
            </w:r>
          </w:p>
        </w:tc>
      </w:tr>
      <w:tr w:rsidR="005F78FC" w:rsidTr="005F78FC">
        <w:tc>
          <w:tcPr>
            <w:tcW w:w="0" w:type="auto"/>
            <w:vAlign w:val="center"/>
          </w:tcPr>
          <w:p w:rsidR="005F78FC" w:rsidRDefault="00B42EF3">
            <w:pPr>
              <w:pStyle w:val="TableBodyText"/>
            </w:pPr>
            <w:r>
              <w:rPr>
                <w:b/>
              </w:rPr>
              <w:t>spinCount</w:t>
            </w:r>
          </w:p>
        </w:tc>
        <w:tc>
          <w:tcPr>
            <w:tcW w:w="0" w:type="auto"/>
            <w:vAlign w:val="center"/>
          </w:tcPr>
          <w:p w:rsidR="005F78FC" w:rsidRDefault="00B42EF3">
            <w:pPr>
              <w:pStyle w:val="TableBodyText"/>
            </w:pPr>
            <w:r>
              <w:t>Specifies the number of times the hashing function shall be iteratively run (using each iteration's result as the input for the next iteration).</w:t>
            </w:r>
          </w:p>
        </w:tc>
      </w:tr>
    </w:tbl>
    <w:p w:rsidR="005F78FC" w:rsidRDefault="005F78FC"/>
    <w:p w:rsidR="005F78FC" w:rsidRDefault="00B42EF3">
      <w:r>
        <w:t xml:space="preserve">[Example: </w:t>
      </w:r>
    </w:p>
    <w:p w:rsidR="005F78FC" w:rsidRDefault="00B42EF3">
      <w:r>
        <w:t>Con</w:t>
      </w:r>
      <w:r>
        <w:t>sider an Office Open XML document with the following information stored in one of its protection elements:</w:t>
      </w:r>
    </w:p>
    <w:p w:rsidR="005F78FC" w:rsidRDefault="00B42EF3">
      <w:r>
        <w:t>&lt; … algorithmName="SHA-1" hashValue="9oN7nWkCAyEZib1RomSJTjmPpCY=" /&gt;</w:t>
      </w:r>
    </w:p>
    <w:p w:rsidR="005F78FC" w:rsidRDefault="00B42EF3">
      <w:r>
        <w:t>The algorithmName attribute value of SHA-1 specifies that the SHA-1 hashing alg</w:t>
      </w:r>
      <w:r>
        <w:t>orithm must be used to generate a hash from the user-defined password.</w:t>
      </w:r>
    </w:p>
    <w:p w:rsidR="005F78FC" w:rsidRDefault="00B42EF3">
      <w:r>
        <w:t>end example]</w:t>
      </w:r>
    </w:p>
    <w:p w:rsidR="005F78FC" w:rsidRDefault="00B42EF3">
      <w:pPr>
        <w:pStyle w:val="Definition-Field"/>
      </w:pPr>
      <w:r>
        <w:t xml:space="preserve">e.   </w:t>
      </w:r>
      <w:r>
        <w:rPr>
          <w:i/>
        </w:rPr>
        <w:t>The standard states that the securityDescriptor element is a valid child element of the CT_ProtectedRange type.</w:t>
      </w:r>
    </w:p>
    <w:p w:rsidR="005F78FC" w:rsidRDefault="00B42EF3">
      <w:pPr>
        <w:pStyle w:val="Definition-Field2"/>
      </w:pPr>
      <w:r>
        <w:lastRenderedPageBreak/>
        <w:t xml:space="preserve">Office does not support the securityDescriptor element </w:t>
      </w:r>
      <w:r>
        <w:t>as a child of CT_ProtectedRange, and ignores any instances of the securityDescriptor element.</w:t>
      </w:r>
    </w:p>
    <w:p w:rsidR="005F78FC" w:rsidRDefault="00B42EF3">
      <w:pPr>
        <w:pStyle w:val="Heading3"/>
      </w:pPr>
      <w:bookmarkStart w:id="1306" w:name="section_5cf07e3168684d0cb0e86de69c57569f"/>
      <w:bookmarkStart w:id="1307" w:name="_Toc69878426"/>
      <w:r>
        <w:t>Part 1 Section 18.3.1.73, row (Row)</w:t>
      </w:r>
      <w:bookmarkEnd w:id="1306"/>
      <w:bookmarkEnd w:id="1307"/>
      <w:r>
        <w:fldChar w:fldCharType="begin"/>
      </w:r>
      <w:r>
        <w:instrText xml:space="preserve"> XE "row (Row)" </w:instrText>
      </w:r>
      <w:r>
        <w:fldChar w:fldCharType="end"/>
      </w:r>
    </w:p>
    <w:p w:rsidR="005F78FC" w:rsidRDefault="00B42EF3">
      <w:pPr>
        <w:pStyle w:val="Definition-Field"/>
      </w:pPr>
      <w:r>
        <w:t xml:space="preserve">a.   </w:t>
      </w:r>
      <w:r>
        <w:rPr>
          <w:i/>
        </w:rPr>
        <w:t>The standard states that the values of the r attribute are defined by the XML Schema unsignedInt dataty</w:t>
      </w:r>
      <w:r>
        <w:rPr>
          <w:i/>
        </w:rPr>
        <w:t>pe.</w:t>
      </w:r>
    </w:p>
    <w:p w:rsidR="005F78FC" w:rsidRDefault="00B42EF3">
      <w:pPr>
        <w:pStyle w:val="Definition-Field2"/>
      </w:pPr>
      <w:r>
        <w:t>Office requires that the r attribute be between 1 and 1048576 inclusive, and shall be in non-decreasing order.</w:t>
      </w:r>
    </w:p>
    <w:p w:rsidR="005F78FC" w:rsidRDefault="00B42EF3">
      <w:pPr>
        <w:pStyle w:val="Definition-Field"/>
      </w:pPr>
      <w:r>
        <w:t xml:space="preserve">b.   </w:t>
      </w:r>
      <w:r>
        <w:rPr>
          <w:i/>
        </w:rPr>
        <w:t>The standard states that the values of the outlineLevel attribute are defined by the XML Schema unsignedByte datatype.</w:t>
      </w:r>
    </w:p>
    <w:p w:rsidR="005F78FC" w:rsidRDefault="00B42EF3">
      <w:pPr>
        <w:pStyle w:val="Definition-Field2"/>
      </w:pPr>
      <w:r>
        <w:t xml:space="preserve">Office requires </w:t>
      </w:r>
      <w:r>
        <w:t>that the value of the outlineLevel attribute be between 0 and 7 inclusive.</w:t>
      </w:r>
    </w:p>
    <w:p w:rsidR="005F78FC" w:rsidRDefault="00B42EF3">
      <w:pPr>
        <w:pStyle w:val="Definition-Field"/>
      </w:pPr>
      <w:r>
        <w:t xml:space="preserve">c.   </w:t>
      </w:r>
      <w:r>
        <w:rPr>
          <w:i/>
        </w:rPr>
        <w:t>The standard states that the values of the s attribute are defined by the XML Schema unsignedInt datatype.</w:t>
      </w:r>
    </w:p>
    <w:p w:rsidR="005F78FC" w:rsidRDefault="00B42EF3">
      <w:pPr>
        <w:pStyle w:val="Definition-Field2"/>
      </w:pPr>
      <w:r>
        <w:t>Office requires that the value of the s attribute be between 0 and 65</w:t>
      </w:r>
      <w:r>
        <w:t>490 inclusive.</w:t>
      </w:r>
    </w:p>
    <w:p w:rsidR="005F78FC" w:rsidRDefault="00B42EF3">
      <w:pPr>
        <w:pStyle w:val="Heading3"/>
      </w:pPr>
      <w:bookmarkStart w:id="1308" w:name="section_09d193ae5f884f098bc2a744a755c881"/>
      <w:bookmarkStart w:id="1309" w:name="_Toc69878427"/>
      <w:r>
        <w:t>Part 1 Section 18.3.1.74, rowBreaks (Horizontal Page Breaks (Row))</w:t>
      </w:r>
      <w:bookmarkEnd w:id="1308"/>
      <w:bookmarkEnd w:id="1309"/>
      <w:r>
        <w:fldChar w:fldCharType="begin"/>
      </w:r>
      <w:r>
        <w:instrText xml:space="preserve"> XE "rowBreaks (Horizontal Page Breaks (Row))"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3d92605334c84ee091157bc5858ef579">
        <w:r>
          <w:rPr>
            <w:rStyle w:val="Hyperlink"/>
          </w:rPr>
          <w:t>colBreaks, §18.3.1.14(a, b)</w:t>
        </w:r>
      </w:hyperlink>
      <w:r>
        <w:rPr>
          <w:i/>
        </w:rPr>
        <w:t>.</w:t>
      </w:r>
    </w:p>
    <w:p w:rsidR="005F78FC" w:rsidRDefault="00B42EF3">
      <w:pPr>
        <w:pStyle w:val="Definition-Field"/>
      </w:pPr>
      <w:r>
        <w:t xml:space="preserve">a.   </w:t>
      </w:r>
      <w:r>
        <w:rPr>
          <w:i/>
        </w:rPr>
        <w:t>The standard states that the count attribute is defined by unsignedInt.</w:t>
      </w:r>
    </w:p>
    <w:p w:rsidR="005F78FC" w:rsidRDefault="00B42EF3">
      <w:pPr>
        <w:pStyle w:val="Definition-Field2"/>
      </w:pPr>
      <w:r>
        <w:t>Office defines count to be an xsd:unsignedInt less than 1023.</w:t>
      </w:r>
    </w:p>
    <w:p w:rsidR="005F78FC" w:rsidRDefault="00B42EF3">
      <w:pPr>
        <w:pStyle w:val="Definition-Field"/>
      </w:pPr>
      <w:r>
        <w:t xml:space="preserve">b.   </w:t>
      </w:r>
      <w:r>
        <w:rPr>
          <w:i/>
        </w:rPr>
        <w:t>The standard states that the manualBreakCount attribute</w:t>
      </w:r>
      <w:r>
        <w:rPr>
          <w:i/>
        </w:rPr>
        <w:t xml:space="preserve"> is defined by unsignedInt.</w:t>
      </w:r>
    </w:p>
    <w:p w:rsidR="005F78FC" w:rsidRDefault="00B42EF3">
      <w:pPr>
        <w:pStyle w:val="Definition-Field2"/>
      </w:pPr>
      <w:r>
        <w:t>Office defines manualBreakCount to be an xsd:unsignedInt less than 1023.</w:t>
      </w:r>
    </w:p>
    <w:p w:rsidR="005F78FC" w:rsidRDefault="00B42EF3">
      <w:pPr>
        <w:pStyle w:val="Heading3"/>
      </w:pPr>
      <w:bookmarkStart w:id="1310" w:name="section_44a549a0150b49d0bb6be02bc5122381"/>
      <w:bookmarkStart w:id="1311" w:name="_Toc69878428"/>
      <w:r>
        <w:t>Part 1 Section 18.3.1.75, scenario (Scenario)</w:t>
      </w:r>
      <w:bookmarkEnd w:id="1310"/>
      <w:bookmarkEnd w:id="1311"/>
      <w:r>
        <w:fldChar w:fldCharType="begin"/>
      </w:r>
      <w:r>
        <w:instrText xml:space="preserve"> XE "scenario (Scenario)" </w:instrText>
      </w:r>
      <w:r>
        <w:fldChar w:fldCharType="end"/>
      </w:r>
    </w:p>
    <w:p w:rsidR="005F78FC" w:rsidRDefault="00B42EF3">
      <w:pPr>
        <w:pStyle w:val="Definition-Field"/>
      </w:pPr>
      <w:r>
        <w:t xml:space="preserve">a.   </w:t>
      </w:r>
      <w:r>
        <w:rPr>
          <w:i/>
        </w:rPr>
        <w:t>The standard states that the values of the count attribute are defined by th</w:t>
      </w:r>
      <w:r>
        <w:rPr>
          <w:i/>
        </w:rPr>
        <w:t>e XML Schema unsignedInt datatype.</w:t>
      </w:r>
    </w:p>
    <w:p w:rsidR="005F78FC" w:rsidRDefault="00B42EF3">
      <w:pPr>
        <w:pStyle w:val="Definition-Field2"/>
      </w:pPr>
      <w:r>
        <w:t>Excel restricts the value of this attribute to be at least 1 and at most 32.</w:t>
      </w:r>
    </w:p>
    <w:p w:rsidR="005F78FC" w:rsidRDefault="00B42EF3">
      <w:pPr>
        <w:pStyle w:val="Definition-Field"/>
      </w:pPr>
      <w:r>
        <w:t xml:space="preserve">b.   </w:t>
      </w:r>
      <w:r>
        <w:rPr>
          <w:i/>
        </w:rPr>
        <w:t>The standard states that the maxOccurs value for the inputCells child element is unbounded.</w:t>
      </w:r>
    </w:p>
    <w:p w:rsidR="005F78FC" w:rsidRDefault="00B42EF3">
      <w:pPr>
        <w:pStyle w:val="Definition-Field2"/>
      </w:pPr>
      <w:r>
        <w:t>Excel limits the occurrences of this element to</w:t>
      </w:r>
      <w:r>
        <w:t xml:space="preserve"> 32.</w:t>
      </w:r>
    </w:p>
    <w:p w:rsidR="005F78FC" w:rsidRDefault="00B42EF3">
      <w:pPr>
        <w:pStyle w:val="Definition-Field"/>
      </w:pPr>
      <w:r>
        <w:t xml:space="preserve">c.   </w:t>
      </w:r>
      <w:r>
        <w:rPr>
          <w:i/>
        </w:rPr>
        <w:t>The standard does not limit the length of the value of the name attribute.</w:t>
      </w:r>
    </w:p>
    <w:p w:rsidR="005F78FC" w:rsidRDefault="00B42EF3">
      <w:pPr>
        <w:pStyle w:val="Definition-Field2"/>
      </w:pPr>
      <w:r>
        <w:t>Excel restricts the value of this attribute to be at most 255 characters, after decoding.</w:t>
      </w:r>
    </w:p>
    <w:p w:rsidR="005F78FC" w:rsidRDefault="00B42EF3">
      <w:pPr>
        <w:pStyle w:val="Definition-Field"/>
      </w:pPr>
      <w:r>
        <w:t xml:space="preserve">d.   </w:t>
      </w:r>
      <w:r>
        <w:rPr>
          <w:i/>
        </w:rPr>
        <w:t>The standard states that the name attribute must be unique for the workbook.</w:t>
      </w:r>
    </w:p>
    <w:p w:rsidR="005F78FC" w:rsidRDefault="00B42EF3">
      <w:pPr>
        <w:pStyle w:val="Definition-Field2"/>
      </w:pPr>
      <w:r>
        <w:t>Office only requires that the name attribute be unique for each worksheet (allows duplicates in a workbook).</w:t>
      </w:r>
    </w:p>
    <w:p w:rsidR="005F78FC" w:rsidRDefault="00B42EF3">
      <w:pPr>
        <w:pStyle w:val="Definition-Field"/>
      </w:pPr>
      <w:r>
        <w:t xml:space="preserve">e.   </w:t>
      </w:r>
      <w:r>
        <w:rPr>
          <w:i/>
        </w:rPr>
        <w:t>The standard does not limit the length of the value of the user attribute.</w:t>
      </w:r>
    </w:p>
    <w:p w:rsidR="005F78FC" w:rsidRDefault="00B42EF3">
      <w:pPr>
        <w:pStyle w:val="Definition-Field2"/>
      </w:pPr>
      <w:r>
        <w:t>Excel restricts the value of this attribute to be at least 1 and a</w:t>
      </w:r>
      <w:r>
        <w:t>t most 54 characters, after decoding.</w:t>
      </w:r>
    </w:p>
    <w:p w:rsidR="005F78FC" w:rsidRDefault="00B42EF3">
      <w:pPr>
        <w:pStyle w:val="Definition-Field"/>
      </w:pPr>
      <w:r>
        <w:t xml:space="preserve">f.   </w:t>
      </w:r>
      <w:r>
        <w:rPr>
          <w:i/>
        </w:rPr>
        <w:t>The standard does not limit the length of the value of the comment attribute.</w:t>
      </w:r>
    </w:p>
    <w:p w:rsidR="005F78FC" w:rsidRDefault="00B42EF3">
      <w:pPr>
        <w:pStyle w:val="Definition-Field2"/>
      </w:pPr>
      <w:r>
        <w:lastRenderedPageBreak/>
        <w:t>Excel restricts the value of this attribute to be at most 255 characters, after decoding.</w:t>
      </w:r>
    </w:p>
    <w:p w:rsidR="005F78FC" w:rsidRDefault="00B42EF3">
      <w:pPr>
        <w:pStyle w:val="Heading3"/>
      </w:pPr>
      <w:bookmarkStart w:id="1312" w:name="section_340d24aef870491180380cb886c4aa1c"/>
      <w:bookmarkStart w:id="1313" w:name="_Toc69878429"/>
      <w:r>
        <w:t>Part 1 Section 18.3.1.76, scenarios (Scenario</w:t>
      </w:r>
      <w:r>
        <w:t>s)</w:t>
      </w:r>
      <w:bookmarkEnd w:id="1312"/>
      <w:bookmarkEnd w:id="1313"/>
      <w:r>
        <w:fldChar w:fldCharType="begin"/>
      </w:r>
      <w:r>
        <w:instrText xml:space="preserve"> XE "scenarios (Scenarios)" </w:instrText>
      </w:r>
      <w:r>
        <w:fldChar w:fldCharType="end"/>
      </w:r>
    </w:p>
    <w:p w:rsidR="005F78FC" w:rsidRDefault="00B42EF3">
      <w:pPr>
        <w:pStyle w:val="Definition-Field"/>
      </w:pPr>
      <w:r>
        <w:t xml:space="preserve">a.   </w:t>
      </w:r>
      <w:r>
        <w:rPr>
          <w:i/>
        </w:rPr>
        <w:t>In the standard, the current and show attributes do not have upper limits.</w:t>
      </w:r>
    </w:p>
    <w:p w:rsidR="005F78FC" w:rsidRDefault="00B42EF3">
      <w:pPr>
        <w:pStyle w:val="Definition-Field2"/>
      </w:pPr>
      <w:r>
        <w:t>In Excel, both the current and show attributes must be less than the number of child scenario elements.</w:t>
      </w:r>
    </w:p>
    <w:p w:rsidR="005F78FC" w:rsidRDefault="00B42EF3">
      <w:pPr>
        <w:pStyle w:val="Heading3"/>
      </w:pPr>
      <w:bookmarkStart w:id="1314" w:name="section_91bb957fbae645d7a45f8dcbf898ad70"/>
      <w:bookmarkStart w:id="1315" w:name="_Toc69878430"/>
      <w:r>
        <w:t>Part 1 Section 18.3.1.77, securityDescr</w:t>
      </w:r>
      <w:r>
        <w:t>iptor (Security Descriptor)</w:t>
      </w:r>
      <w:bookmarkEnd w:id="1314"/>
      <w:bookmarkEnd w:id="1315"/>
      <w:r>
        <w:fldChar w:fldCharType="begin"/>
      </w:r>
      <w:r>
        <w:instrText xml:space="preserve"> XE "securityDescriptor (Security Descriptor)" </w:instrText>
      </w:r>
      <w:r>
        <w:fldChar w:fldCharType="end"/>
      </w:r>
    </w:p>
    <w:p w:rsidR="005F78FC" w:rsidRDefault="00B42EF3">
      <w:pPr>
        <w:pStyle w:val="Definition-Field"/>
      </w:pPr>
      <w:r>
        <w:t xml:space="preserve">a.   </w:t>
      </w:r>
      <w:r>
        <w:rPr>
          <w:i/>
        </w:rPr>
        <w:t>The standard states that the securityDescriptor element is a valid child element of the CT_ProtectedRange type.</w:t>
      </w:r>
    </w:p>
    <w:p w:rsidR="005F78FC" w:rsidRDefault="00B42EF3">
      <w:pPr>
        <w:pStyle w:val="Definition-Field2"/>
      </w:pPr>
      <w:r>
        <w:t>Office does not support the securityDescriptor element as a ch</w:t>
      </w:r>
      <w:r>
        <w:t>ild of CT_ProtectedRange, and ignores any instances of the securityDescriptor element.</w:t>
      </w:r>
    </w:p>
    <w:p w:rsidR="005F78FC" w:rsidRDefault="00B42EF3">
      <w:pPr>
        <w:pStyle w:val="Definition-Field2"/>
      </w:pPr>
      <w:r>
        <w:t>This note applies to the following products: Office 2010, Office 2010 Server, Office 2010 SP1.</w:t>
      </w:r>
    </w:p>
    <w:p w:rsidR="005F78FC" w:rsidRDefault="00B42EF3">
      <w:pPr>
        <w:pStyle w:val="Definition-Field"/>
      </w:pPr>
      <w:r>
        <w:t xml:space="preserve">b.   </w:t>
      </w:r>
      <w:r>
        <w:rPr>
          <w:i/>
        </w:rPr>
        <w:t xml:space="preserve">The standard states that the securityDescriptor element is a valid </w:t>
      </w:r>
      <w:r>
        <w:rPr>
          <w:i/>
        </w:rPr>
        <w:t>child element of the CT_ProtectedRange type.</w:t>
      </w:r>
    </w:p>
    <w:p w:rsidR="005F78FC" w:rsidRDefault="00B42EF3">
      <w:pPr>
        <w:pStyle w:val="Definition-Field2"/>
      </w:pPr>
      <w:r>
        <w:t>Excel ignores all but first of securityDescriptor elements with a common parent.</w:t>
      </w:r>
    </w:p>
    <w:p w:rsidR="005F78FC" w:rsidRDefault="00B42EF3">
      <w:pPr>
        <w:pStyle w:val="Definition-Field2"/>
      </w:pPr>
      <w:r>
        <w:t>This note applies to the following products: Office 2013 Client (Strict), Office 2013 Server (Strict), Office 2013 Client (Transit</w:t>
      </w:r>
      <w:r>
        <w:t>ional), Office 2013 Server (Transitional).</w:t>
      </w:r>
    </w:p>
    <w:p w:rsidR="005F78FC" w:rsidRDefault="00B42EF3">
      <w:pPr>
        <w:pStyle w:val="Heading3"/>
      </w:pPr>
      <w:bookmarkStart w:id="1316" w:name="section_d958b467c9464f32aecf9f7b27a28fc5"/>
      <w:bookmarkStart w:id="1317" w:name="_Toc69878431"/>
      <w:r>
        <w:t>Part 1 Section 18.3.1.78, selection (Selection)</w:t>
      </w:r>
      <w:bookmarkEnd w:id="1316"/>
      <w:bookmarkEnd w:id="1317"/>
      <w:r>
        <w:fldChar w:fldCharType="begin"/>
      </w:r>
      <w:r>
        <w:instrText xml:space="preserve"> XE "selection (Selection)" </w:instrText>
      </w:r>
      <w:r>
        <w:fldChar w:fldCharType="end"/>
      </w:r>
    </w:p>
    <w:p w:rsidR="005F78FC" w:rsidRDefault="00B42EF3">
      <w:pPr>
        <w:pStyle w:val="Definition-Field"/>
      </w:pPr>
      <w:r>
        <w:t xml:space="preserve">a.   </w:t>
      </w:r>
      <w:r>
        <w:rPr>
          <w:i/>
        </w:rPr>
        <w:t>The standard does not specify a default value for the activeCell attribute.</w:t>
      </w:r>
    </w:p>
    <w:p w:rsidR="005F78FC" w:rsidRDefault="00B42EF3">
      <w:pPr>
        <w:pStyle w:val="Definition-Field2"/>
      </w:pPr>
      <w:r>
        <w:t>Excel uses a default value of A1 for this attribute.</w:t>
      </w:r>
    </w:p>
    <w:p w:rsidR="005F78FC" w:rsidRDefault="00B42EF3">
      <w:pPr>
        <w:pStyle w:val="Definition-Field"/>
      </w:pPr>
      <w:r>
        <w:t>b</w:t>
      </w:r>
      <w:r>
        <w:t xml:space="preserve">.   </w:t>
      </w:r>
      <w:r>
        <w:rPr>
          <w:i/>
        </w:rPr>
        <w:t>The standard states that the values of the activeCellId attribute are defined by the XML Schema unsignedInt datatype.</w:t>
      </w:r>
    </w:p>
    <w:p w:rsidR="005F78FC" w:rsidRDefault="00B42EF3">
      <w:pPr>
        <w:pStyle w:val="Definition-Field2"/>
      </w:pPr>
      <w:r>
        <w:t>Excel restricts the value of this attribute to be at most 8191.</w:t>
      </w:r>
    </w:p>
    <w:p w:rsidR="005F78FC" w:rsidRDefault="00B42EF3">
      <w:pPr>
        <w:pStyle w:val="Heading3"/>
      </w:pPr>
      <w:bookmarkStart w:id="1318" w:name="section_1d47296a5b004fc2b4d7c7efc8fff0fc"/>
      <w:bookmarkStart w:id="1319" w:name="_Toc69878432"/>
      <w:r>
        <w:t>Part 1 Section 18.3.1.81, sheetFormatPr (Sheet Format Properties)</w:t>
      </w:r>
      <w:bookmarkEnd w:id="1318"/>
      <w:bookmarkEnd w:id="1319"/>
      <w:r>
        <w:fldChar w:fldCharType="begin"/>
      </w:r>
      <w:r>
        <w:instrText xml:space="preserve"> XE "</w:instrText>
      </w:r>
      <w:r>
        <w:instrText xml:space="preserve">sheetFormatPr (Sheet Format Properties)" </w:instrText>
      </w:r>
      <w:r>
        <w:fldChar w:fldCharType="end"/>
      </w:r>
    </w:p>
    <w:p w:rsidR="005F78FC" w:rsidRDefault="00B42EF3">
      <w:pPr>
        <w:pStyle w:val="Definition-Field"/>
      </w:pPr>
      <w:r>
        <w:t xml:space="preserve">a.   </w:t>
      </w:r>
      <w:r>
        <w:rPr>
          <w:i/>
        </w:rPr>
        <w:t>The standard does not place any restrictions on the value of the outlineLevelRow or outlineLevelCol attributes.</w:t>
      </w:r>
    </w:p>
    <w:p w:rsidR="005F78FC" w:rsidRDefault="00B42EF3">
      <w:pPr>
        <w:pStyle w:val="Definition-Field2"/>
      </w:pPr>
      <w:r>
        <w:t>Office requires that the outlineLevelRow and outlineLevelCol attributes be between 0 and 7 incl</w:t>
      </w:r>
      <w:r>
        <w:t>usive.</w:t>
      </w:r>
    </w:p>
    <w:p w:rsidR="005F78FC" w:rsidRDefault="00B42EF3">
      <w:pPr>
        <w:pStyle w:val="Definition-Field"/>
      </w:pPr>
      <w:r>
        <w:t xml:space="preserve">b.   </w:t>
      </w:r>
      <w:r>
        <w:rPr>
          <w:i/>
        </w:rPr>
        <w:t>The standard does not place any restrictions on the value of @baseColWidth.</w:t>
      </w:r>
    </w:p>
    <w:p w:rsidR="005F78FC" w:rsidRDefault="00B42EF3">
      <w:pPr>
        <w:pStyle w:val="Definition-Field2"/>
      </w:pPr>
      <w:r>
        <w:t>Office requires that @baseColWidth have a maximum value of less than or equal to 255.</w:t>
      </w:r>
    </w:p>
    <w:p w:rsidR="005F78FC" w:rsidRDefault="00B42EF3">
      <w:pPr>
        <w:pStyle w:val="Definition-Field"/>
      </w:pPr>
      <w:r>
        <w:t xml:space="preserve">c.   </w:t>
      </w:r>
      <w:r>
        <w:rPr>
          <w:i/>
        </w:rPr>
        <w:t xml:space="preserve">The standard does not place restrictions on the value of the defaultColWidth </w:t>
      </w:r>
      <w:r>
        <w:rPr>
          <w:i/>
        </w:rPr>
        <w:t>attribute.</w:t>
      </w:r>
    </w:p>
    <w:p w:rsidR="005F78FC" w:rsidRDefault="00B42EF3">
      <w:pPr>
        <w:pStyle w:val="Definition-Field2"/>
      </w:pPr>
      <w:r>
        <w:t>Office requires that the defaultColWidth attribute be less than 65536 and greater than or equal to zero.</w:t>
      </w:r>
    </w:p>
    <w:p w:rsidR="005F78FC" w:rsidRDefault="00B42EF3">
      <w:pPr>
        <w:pStyle w:val="Heading3"/>
      </w:pPr>
      <w:bookmarkStart w:id="1320" w:name="section_e2b7325c912947e1abc73cc75ca1e2d8"/>
      <w:bookmarkStart w:id="1321" w:name="_Toc69878433"/>
      <w:r>
        <w:t>Part 1 Section 18.3.1.82, sheetPr (Sheet Properties)</w:t>
      </w:r>
      <w:bookmarkEnd w:id="1320"/>
      <w:bookmarkEnd w:id="1321"/>
      <w:r>
        <w:fldChar w:fldCharType="begin"/>
      </w:r>
      <w:r>
        <w:instrText xml:space="preserve"> XE "sheetPr (Sheet Properties)" </w:instrText>
      </w:r>
      <w:r>
        <w:fldChar w:fldCharType="end"/>
      </w:r>
    </w:p>
    <w:p w:rsidR="005F78FC" w:rsidRDefault="00B42EF3">
      <w:pPr>
        <w:pStyle w:val="Definition-Field"/>
      </w:pPr>
      <w:r>
        <w:t xml:space="preserve">a.   </w:t>
      </w:r>
      <w:r>
        <w:rPr>
          <w:i/>
        </w:rPr>
        <w:t>The standard allows any range reference for the</w:t>
      </w:r>
      <w:r>
        <w:rPr>
          <w:i/>
        </w:rPr>
        <w:t xml:space="preserve"> syncRef attribute.</w:t>
      </w:r>
    </w:p>
    <w:p w:rsidR="005F78FC" w:rsidRDefault="00B42EF3">
      <w:pPr>
        <w:pStyle w:val="Definition-Field2"/>
      </w:pPr>
      <w:r>
        <w:lastRenderedPageBreak/>
        <w:t>In Office, the syncRef attribute specifies a valid cell reference only when either the syncHorizontal or the syncVertical attributes is true.</w:t>
      </w:r>
    </w:p>
    <w:p w:rsidR="005F78FC" w:rsidRDefault="00B42EF3">
      <w:pPr>
        <w:pStyle w:val="Definition-Field"/>
      </w:pPr>
      <w:r>
        <w:t xml:space="preserve">b.   </w:t>
      </w:r>
      <w:r>
        <w:rPr>
          <w:i/>
        </w:rPr>
        <w:t>The standard states that the values of the codeName attribute are defined by the XML Sche</w:t>
      </w:r>
      <w:r>
        <w:rPr>
          <w:i/>
        </w:rPr>
        <w:t>ma string datatype.</w:t>
      </w:r>
    </w:p>
    <w:p w:rsidR="005F78FC" w:rsidRDefault="00B42EF3">
      <w:pPr>
        <w:pStyle w:val="Definition-Field2"/>
      </w:pPr>
      <w:r>
        <w:t>Office requires the codeName attribute to be less than 32 characters with the following pattern restriction: [\p{L}\P{IsBasicLatin}][_\d\p{L}\P{IsBasicLatin}]*.</w:t>
      </w:r>
    </w:p>
    <w:p w:rsidR="005F78FC" w:rsidRDefault="00B42EF3">
      <w:pPr>
        <w:pStyle w:val="Definition-Field"/>
      </w:pPr>
      <w:r>
        <w:t xml:space="preserve">c.   </w:t>
      </w:r>
      <w:r>
        <w:rPr>
          <w:i/>
        </w:rPr>
        <w:t>The standard specifies the codeName attribute is valid for all parents</w:t>
      </w:r>
      <w:r>
        <w:rPr>
          <w:i/>
        </w:rPr>
        <w:t>.</w:t>
      </w:r>
    </w:p>
    <w:p w:rsidR="005F78FC" w:rsidRDefault="00B42EF3">
      <w:pPr>
        <w:pStyle w:val="Definition-Field2"/>
      </w:pPr>
      <w:r>
        <w:t>In Office, the codeName attribute is only valid for the worksheet parent.</w:t>
      </w:r>
    </w:p>
    <w:p w:rsidR="005F78FC" w:rsidRDefault="00B42EF3">
      <w:pPr>
        <w:pStyle w:val="Heading3"/>
      </w:pPr>
      <w:bookmarkStart w:id="1322" w:name="section_6f37d5b810364318a35b22d5899c0a23"/>
      <w:bookmarkStart w:id="1323" w:name="_Toc69878434"/>
      <w:r>
        <w:t>Part 1 Section 18.3.1.83, sheetPr (Chart Sheet Properties)</w:t>
      </w:r>
      <w:bookmarkEnd w:id="1322"/>
      <w:bookmarkEnd w:id="1323"/>
      <w:r>
        <w:fldChar w:fldCharType="begin"/>
      </w:r>
      <w:r>
        <w:instrText xml:space="preserve"> XE "sheetPr (Chart Sheet Properties)" </w:instrText>
      </w:r>
      <w:r>
        <w:fldChar w:fldCharType="end"/>
      </w:r>
    </w:p>
    <w:p w:rsidR="005F78FC" w:rsidRDefault="00B42EF3">
      <w:pPr>
        <w:pStyle w:val="Definition-Field"/>
      </w:pPr>
      <w:r>
        <w:t xml:space="preserve">a.   </w:t>
      </w:r>
      <w:r>
        <w:rPr>
          <w:i/>
        </w:rPr>
        <w:t>The standard specifies @codeName can be any xsd:string.</w:t>
      </w:r>
    </w:p>
    <w:p w:rsidR="005F78FC" w:rsidRDefault="00B42EF3">
      <w:pPr>
        <w:pStyle w:val="Definition-Field2"/>
      </w:pPr>
      <w:r>
        <w:t>Office requires @co</w:t>
      </w:r>
      <w:r>
        <w:t>deName to be less than 32 characters with the following pattern restriction: [\p{L}\P{IsBasicLatin}][_\d\p{L}\P{IsBasicLatin}]*.</w:t>
      </w:r>
    </w:p>
    <w:p w:rsidR="005F78FC" w:rsidRDefault="00B42EF3">
      <w:pPr>
        <w:pStyle w:val="Heading3"/>
      </w:pPr>
      <w:bookmarkStart w:id="1324" w:name="section_fcf4108f555a4d3ba9ca85fcfec97d1b"/>
      <w:bookmarkStart w:id="1325" w:name="_Toc69878435"/>
      <w:r>
        <w:t>Part 1 Section 18.3.1.84, sheetProtection (Chart Sheet Protection)</w:t>
      </w:r>
      <w:bookmarkEnd w:id="1324"/>
      <w:bookmarkEnd w:id="1325"/>
      <w:r>
        <w:fldChar w:fldCharType="begin"/>
      </w:r>
      <w:r>
        <w:instrText xml:space="preserve"> XE "sheetProtection (Chart Sheet Protection)" </w:instrText>
      </w:r>
      <w:r>
        <w:fldChar w:fldCharType="end"/>
      </w:r>
    </w:p>
    <w:p w:rsidR="005F78FC" w:rsidRDefault="00B42EF3">
      <w:pPr>
        <w:pStyle w:val="Definition-Field"/>
      </w:pPr>
      <w:r>
        <w:t xml:space="preserve">a.   </w:t>
      </w:r>
      <w:r>
        <w:rPr>
          <w:i/>
        </w:rPr>
        <w:t>The st</w:t>
      </w:r>
      <w:r>
        <w:rPr>
          <w:i/>
        </w:rPr>
        <w:t>andard states that when the content attribute equals true, no changes can be made to chart elements.</w:t>
      </w:r>
    </w:p>
    <w:p w:rsidR="005F78FC" w:rsidRDefault="00B42EF3">
      <w:pPr>
        <w:pStyle w:val="Definition-Field2"/>
      </w:pPr>
      <w:r>
        <w:t>Office allows changes to chart elements, even when the content attribute equals true.</w:t>
      </w:r>
    </w:p>
    <w:p w:rsidR="005F78FC" w:rsidRDefault="00B42EF3">
      <w:pPr>
        <w:pStyle w:val="Definition-Field"/>
      </w:pPr>
      <w:r>
        <w:t xml:space="preserve">b.   </w:t>
      </w:r>
      <w:r>
        <w:rPr>
          <w:i/>
        </w:rPr>
        <w:t xml:space="preserve">The standard states that this setting uses a specific Password </w:t>
      </w:r>
      <w:r>
        <w:rPr>
          <w:i/>
        </w:rPr>
        <w:t>attribute to store the password hash.</w:t>
      </w:r>
    </w:p>
    <w:p w:rsidR="005F78FC" w:rsidRDefault="00B42EF3">
      <w:r>
        <w:t>In Office, when the HKCU/Software/Microsoft/Office/&lt;VERSION&gt;/Common/Security/UseIsoPasswordVerifier registry key is set to 1, the XML for file sharing is written by using the XML attribute structure in the following ta</w:t>
      </w:r>
      <w:r>
        <w:t>ble.</w:t>
      </w:r>
    </w:p>
    <w:tbl>
      <w:tblPr>
        <w:tblStyle w:val="Table-ShadedHeader"/>
        <w:tblW w:w="0" w:type="auto"/>
        <w:tblLook w:val="04A0" w:firstRow="1" w:lastRow="0" w:firstColumn="1" w:lastColumn="0" w:noHBand="0" w:noVBand="1"/>
      </w:tblPr>
      <w:tblGrid>
        <w:gridCol w:w="1219"/>
        <w:gridCol w:w="8256"/>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Name</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rPr>
                <w:b/>
              </w:rPr>
              <w:t>algorithm Name</w:t>
            </w:r>
          </w:p>
        </w:tc>
        <w:tc>
          <w:tcPr>
            <w:tcW w:w="0" w:type="auto"/>
            <w:vAlign w:val="center"/>
          </w:tcPr>
          <w:p w:rsidR="005F78FC" w:rsidRDefault="00B42EF3">
            <w:pPr>
              <w:pStyle w:val="TableBodyText"/>
            </w:pPr>
            <w:r>
              <w:t>The name of the cryptographic hashing algorithm used to generate the hash value. Only those algorithms that are installed in the operating system’s cryptographic subsystem can be utilized by Office.</w:t>
            </w:r>
          </w:p>
          <w:p w:rsidR="005F78FC" w:rsidRDefault="005F78FC">
            <w:pPr>
              <w:pStyle w:val="TableBodyText"/>
            </w:pPr>
          </w:p>
          <w:p w:rsidR="005F78FC" w:rsidRDefault="00B42EF3">
            <w:pPr>
              <w:pStyle w:val="TableBodyText"/>
            </w:pPr>
            <w:r>
              <w:t>The hash algorithm</w:t>
            </w:r>
            <w:r>
              <w:t xml:space="preserve"> names, described in the following table, are reserved.</w:t>
            </w:r>
          </w:p>
          <w:p w:rsidR="005F78FC" w:rsidRDefault="005F78FC">
            <w:pPr>
              <w:pStyle w:val="TableBodyText"/>
            </w:pPr>
          </w:p>
          <w:p w:rsidR="005F78FC" w:rsidRDefault="00B42EF3">
            <w:pPr>
              <w:pStyle w:val="TableBodyText"/>
            </w:pPr>
            <w:r>
              <w:rPr>
                <w:b/>
                <w:i/>
              </w:rPr>
              <w:t xml:space="preserve">MD2 </w:t>
            </w:r>
          </w:p>
          <w:p w:rsidR="005F78FC" w:rsidRDefault="00B42EF3">
            <w:pPr>
              <w:pStyle w:val="TableBodyText"/>
            </w:pPr>
            <w:r>
              <w:rPr>
                <w:i/>
              </w:rPr>
              <w:t>Specifies that the MD2 algorithm, as defined by RFC 1319, shall be used.</w:t>
            </w:r>
          </w:p>
          <w:p w:rsidR="005F78FC" w:rsidRDefault="005F78FC">
            <w:pPr>
              <w:pStyle w:val="TableBodyText"/>
            </w:pPr>
          </w:p>
          <w:p w:rsidR="005F78FC" w:rsidRDefault="00B42EF3">
            <w:pPr>
              <w:pStyle w:val="TableBodyText"/>
            </w:pPr>
            <w:r>
              <w:rPr>
                <w:i/>
              </w:rPr>
              <w:t>[Note: It is recommended that applications should avoid using this algorithm to store new hash values, because of public</w:t>
            </w:r>
            <w:r>
              <w:rPr>
                <w:i/>
              </w:rPr>
              <w:t>ly known breaks. end note]</w:t>
            </w:r>
          </w:p>
          <w:p w:rsidR="005F78FC" w:rsidRDefault="00B42EF3">
            <w:pPr>
              <w:pStyle w:val="TableBodyText"/>
            </w:pPr>
            <w:r>
              <w:rPr>
                <w:b/>
                <w:i/>
              </w:rPr>
              <w:t xml:space="preserve">MD4 </w:t>
            </w:r>
          </w:p>
          <w:p w:rsidR="005F78FC" w:rsidRDefault="00B42EF3">
            <w:pPr>
              <w:pStyle w:val="TableBodyText"/>
            </w:pPr>
            <w:r>
              <w:rPr>
                <w:i/>
              </w:rPr>
              <w:t>Specifies that the MD4 algorithm, as defined by RFC 1320, shall be used.</w:t>
            </w:r>
          </w:p>
          <w:p w:rsidR="005F78FC" w:rsidRDefault="005F78FC">
            <w:pPr>
              <w:pStyle w:val="TableBodyText"/>
            </w:pPr>
          </w:p>
          <w:p w:rsidR="005F78FC" w:rsidRDefault="00B42EF3">
            <w:pPr>
              <w:pStyle w:val="TableBodyText"/>
            </w:pPr>
            <w:r>
              <w:rPr>
                <w:i/>
              </w:rPr>
              <w:t>[Note: It is recommended that applications should avoid using this algorithm to store new hash values, because of publicly known breaks. end note]</w:t>
            </w:r>
          </w:p>
          <w:p w:rsidR="005F78FC" w:rsidRDefault="00B42EF3">
            <w:pPr>
              <w:pStyle w:val="TableBodyText"/>
            </w:pPr>
            <w:r>
              <w:rPr>
                <w:b/>
                <w:i/>
              </w:rPr>
              <w:t>MD5</w:t>
            </w:r>
          </w:p>
          <w:p w:rsidR="005F78FC" w:rsidRDefault="00B42EF3">
            <w:pPr>
              <w:pStyle w:val="TableBodyText"/>
            </w:pPr>
            <w:r>
              <w:rPr>
                <w:i/>
              </w:rPr>
              <w:t>Specifies that the MD5 algorithm, as defined by RFC 1321, shall be used.</w:t>
            </w:r>
          </w:p>
          <w:p w:rsidR="005F78FC" w:rsidRDefault="005F78FC">
            <w:pPr>
              <w:pStyle w:val="TableBodyText"/>
            </w:pPr>
          </w:p>
          <w:p w:rsidR="005F78FC" w:rsidRDefault="00B42EF3">
            <w:pPr>
              <w:pStyle w:val="TableBodyText"/>
            </w:pPr>
            <w:r>
              <w:rPr>
                <w:i/>
              </w:rPr>
              <w:lastRenderedPageBreak/>
              <w:t>[Note: It is recommended that applications should avoid using this algorithm to store new hash values, because of publicly known breaks. end note]</w:t>
            </w:r>
          </w:p>
          <w:p w:rsidR="005F78FC" w:rsidRDefault="00B42EF3">
            <w:pPr>
              <w:pStyle w:val="TableBodyText"/>
            </w:pPr>
            <w:r>
              <w:rPr>
                <w:b/>
                <w:i/>
              </w:rPr>
              <w:t>RIPEMD-128</w:t>
            </w:r>
          </w:p>
          <w:p w:rsidR="005F78FC" w:rsidRDefault="00B42EF3">
            <w:pPr>
              <w:pStyle w:val="TableBodyText"/>
            </w:pPr>
            <w:r>
              <w:rPr>
                <w:i/>
              </w:rPr>
              <w:t xml:space="preserve">Specifies that the </w:t>
            </w:r>
            <w:r>
              <w:rPr>
                <w:i/>
              </w:rPr>
              <w:t>RIPEMD-128 algorithm, as defined by ISO/IEC 10118-3:2004 shall be used.</w:t>
            </w:r>
          </w:p>
          <w:p w:rsidR="005F78FC" w:rsidRDefault="005F78FC">
            <w:pPr>
              <w:pStyle w:val="TableBodyText"/>
            </w:pPr>
          </w:p>
          <w:p w:rsidR="005F78FC" w:rsidRDefault="00B42EF3">
            <w:pPr>
              <w:pStyle w:val="TableBodyText"/>
            </w:pPr>
            <w:r>
              <w:rPr>
                <w:i/>
              </w:rPr>
              <w:t>[Note: It is recommended that applications should avoid using this algorithm to store new hash values, because of publicly known breaks. end note]</w:t>
            </w:r>
          </w:p>
          <w:p w:rsidR="005F78FC" w:rsidRDefault="00B42EF3">
            <w:pPr>
              <w:pStyle w:val="TableBodyText"/>
            </w:pPr>
            <w:r>
              <w:rPr>
                <w:b/>
                <w:i/>
              </w:rPr>
              <w:t>RIPEMD-160</w:t>
            </w:r>
          </w:p>
          <w:p w:rsidR="005F78FC" w:rsidRDefault="00B42EF3">
            <w:pPr>
              <w:pStyle w:val="TableBodyText"/>
            </w:pPr>
            <w:r>
              <w:rPr>
                <w:i/>
              </w:rPr>
              <w:t>Specifies that the RIPEMD</w:t>
            </w:r>
            <w:r>
              <w:rPr>
                <w:i/>
              </w:rPr>
              <w:t>-160 algorithm, as defined by ISO/IEC 10118-3:2004, shall be used.</w:t>
            </w:r>
          </w:p>
          <w:p w:rsidR="005F78FC" w:rsidRDefault="00B42EF3">
            <w:pPr>
              <w:pStyle w:val="TableBodyText"/>
            </w:pPr>
            <w:r>
              <w:rPr>
                <w:b/>
                <w:i/>
              </w:rPr>
              <w:t>SHA-1</w:t>
            </w:r>
          </w:p>
          <w:p w:rsidR="005F78FC" w:rsidRDefault="00B42EF3">
            <w:pPr>
              <w:pStyle w:val="TableBodyText"/>
            </w:pPr>
            <w:r>
              <w:rPr>
                <w:i/>
              </w:rPr>
              <w:t>Specifies that the SHA-1 algorithm, as defined by ISO/IEC 10118-3:2004, shall be used.</w:t>
            </w:r>
          </w:p>
          <w:p w:rsidR="005F78FC" w:rsidRDefault="00B42EF3">
            <w:pPr>
              <w:pStyle w:val="TableBodyText"/>
            </w:pPr>
            <w:r>
              <w:rPr>
                <w:b/>
                <w:i/>
              </w:rPr>
              <w:t>SHA-256</w:t>
            </w:r>
          </w:p>
          <w:p w:rsidR="005F78FC" w:rsidRDefault="00B42EF3">
            <w:pPr>
              <w:pStyle w:val="TableBodyText"/>
            </w:pPr>
            <w:r>
              <w:rPr>
                <w:i/>
              </w:rPr>
              <w:t>Specifies that the SHA-256 algorithm, as defined by ISO/IEC 10118-3:2004, shall be used.</w:t>
            </w:r>
          </w:p>
          <w:p w:rsidR="005F78FC" w:rsidRDefault="00B42EF3">
            <w:pPr>
              <w:pStyle w:val="TableBodyText"/>
            </w:pPr>
            <w:r>
              <w:rPr>
                <w:b/>
                <w:i/>
              </w:rPr>
              <w:t>SHA-384</w:t>
            </w:r>
          </w:p>
          <w:p w:rsidR="005F78FC" w:rsidRDefault="00B42EF3">
            <w:pPr>
              <w:pStyle w:val="TableBodyText"/>
            </w:pPr>
            <w:r>
              <w:rPr>
                <w:i/>
              </w:rPr>
              <w:t>Specifies that the SHA-384 algorithm, as defined by ISO/IEC 10118-3:2004, shall be used.</w:t>
            </w:r>
          </w:p>
          <w:p w:rsidR="005F78FC" w:rsidRDefault="00B42EF3">
            <w:pPr>
              <w:pStyle w:val="TableBodyText"/>
            </w:pPr>
            <w:r>
              <w:rPr>
                <w:b/>
                <w:i/>
              </w:rPr>
              <w:t>SHA-512</w:t>
            </w:r>
          </w:p>
          <w:p w:rsidR="005F78FC" w:rsidRDefault="00B42EF3">
            <w:pPr>
              <w:pStyle w:val="TableBodyText"/>
            </w:pPr>
            <w:r>
              <w:rPr>
                <w:i/>
              </w:rPr>
              <w:t>Specifies that the SHA-512 algorithm, as defined by ISO/IEC 10118-3:2004, shall be used.</w:t>
            </w:r>
          </w:p>
          <w:p w:rsidR="005F78FC" w:rsidRDefault="00B42EF3">
            <w:pPr>
              <w:pStyle w:val="TableBodyText"/>
            </w:pPr>
            <w:r>
              <w:rPr>
                <w:b/>
                <w:i/>
              </w:rPr>
              <w:t>WHIRLPOOL</w:t>
            </w:r>
          </w:p>
          <w:p w:rsidR="005F78FC" w:rsidRDefault="00B42EF3">
            <w:pPr>
              <w:pStyle w:val="TableBodyText"/>
            </w:pPr>
            <w:r>
              <w:rPr>
                <w:i/>
              </w:rPr>
              <w:t xml:space="preserve">Specifies that the WHIRLPOOL algorithm, as defined </w:t>
            </w:r>
            <w:r>
              <w:rPr>
                <w:i/>
              </w:rPr>
              <w:t>by ISO/IEC 10118-3:2004, shall be used.</w:t>
            </w:r>
          </w:p>
          <w:p w:rsidR="005F78FC" w:rsidRDefault="005F78FC">
            <w:pPr>
              <w:pStyle w:val="TableBodyText"/>
            </w:pPr>
          </w:p>
          <w:p w:rsidR="005F78FC" w:rsidRDefault="005F78FC">
            <w:pPr>
              <w:pStyle w:val="TableBodyText"/>
            </w:pPr>
          </w:p>
        </w:tc>
      </w:tr>
      <w:tr w:rsidR="005F78FC" w:rsidTr="005F78FC">
        <w:tc>
          <w:tcPr>
            <w:tcW w:w="0" w:type="auto"/>
            <w:vAlign w:val="center"/>
          </w:tcPr>
          <w:p w:rsidR="005F78FC" w:rsidRDefault="00B42EF3">
            <w:pPr>
              <w:pStyle w:val="TableBodyText"/>
            </w:pPr>
            <w:r>
              <w:rPr>
                <w:b/>
              </w:rPr>
              <w:lastRenderedPageBreak/>
              <w:t>hash Value</w:t>
            </w:r>
          </w:p>
        </w:tc>
        <w:tc>
          <w:tcPr>
            <w:tcW w:w="0" w:type="auto"/>
            <w:vAlign w:val="center"/>
          </w:tcPr>
          <w:p w:rsidR="005F78FC" w:rsidRDefault="00B42EF3">
            <w:pPr>
              <w:pStyle w:val="TableBodyText"/>
            </w:pPr>
            <w:r>
              <w:t>Specifies the hash value for the password required to edit this worksheet. This value shall be compared with the resulting hash value after hashing the user-supplied password using the algorithm specifi</w:t>
            </w:r>
            <w:r>
              <w:t>ed by the preceding attributes and parent XML element. If the two values match, the protection shall no longer be enforced.</w:t>
            </w:r>
          </w:p>
          <w:p w:rsidR="005F78FC" w:rsidRDefault="005F78FC">
            <w:pPr>
              <w:pStyle w:val="TableBodyText"/>
            </w:pPr>
          </w:p>
          <w:p w:rsidR="005F78FC" w:rsidRDefault="00B42EF3">
            <w:pPr>
              <w:pStyle w:val="TableBodyText"/>
            </w:pPr>
            <w:r>
              <w:t>If this value is omitted, then the reservationPassword attribute shall contain the password hash for the workbook.</w:t>
            </w:r>
          </w:p>
          <w:p w:rsidR="005F78FC" w:rsidRDefault="005F78FC">
            <w:pPr>
              <w:pStyle w:val="TableBodyText"/>
            </w:pPr>
          </w:p>
          <w:p w:rsidR="005F78FC" w:rsidRDefault="00B42EF3">
            <w:pPr>
              <w:pStyle w:val="TableBodyText"/>
            </w:pPr>
            <w:r>
              <w:t>[</w:t>
            </w:r>
            <w:r>
              <w:rPr>
                <w:i/>
              </w:rPr>
              <w:t>Example</w:t>
            </w:r>
            <w:r>
              <w:t xml:space="preserve">: </w:t>
            </w:r>
            <w:r>
              <w:t>Consider an Office Open XML document with the following information stored in one of its protection elements:</w:t>
            </w:r>
          </w:p>
          <w:p w:rsidR="005F78FC" w:rsidRDefault="005F78FC">
            <w:pPr>
              <w:pStyle w:val="TableBodyText"/>
            </w:pPr>
          </w:p>
          <w:p w:rsidR="005F78FC" w:rsidRDefault="00B42EF3">
            <w:pPr>
              <w:pStyle w:val="TableBodyText"/>
            </w:pPr>
            <w:r>
              <w:t>&lt;… algorithmName="SHA-1" hashValue="9oN7nWkCAyEZib1RomSJTjmPpCY=" /&gt;</w:t>
            </w:r>
          </w:p>
          <w:p w:rsidR="005F78FC" w:rsidRDefault="005F78FC">
            <w:pPr>
              <w:pStyle w:val="TableBodyText"/>
            </w:pPr>
          </w:p>
          <w:p w:rsidR="005F78FC" w:rsidRDefault="00B42EF3">
            <w:pPr>
              <w:pStyle w:val="TableBodyText"/>
            </w:pPr>
            <w:r>
              <w:t>The hashValue attribute value of 9oN7nWkCAyEZib1RomSJTjmPpCY= specifies tha</w:t>
            </w:r>
            <w:r>
              <w:t>t the user-supplied password must be hashed using the pre-processing defined by the parent element (if any) followed by the hashing algorithm (specified via the algorithmName attribute value) and that the resulting hash value must be match for the protecti</w:t>
            </w:r>
            <w:r>
              <w:t xml:space="preserve">on to be disabled. </w:t>
            </w:r>
          </w:p>
          <w:p w:rsidR="005F78FC" w:rsidRDefault="00B42EF3">
            <w:pPr>
              <w:pStyle w:val="TableBodyText"/>
            </w:pPr>
            <w:r>
              <w:rPr>
                <w:i/>
              </w:rPr>
              <w:t>end example</w:t>
            </w:r>
            <w:r>
              <w:t>]</w:t>
            </w:r>
          </w:p>
          <w:p w:rsidR="005F78FC" w:rsidRDefault="005F78FC">
            <w:pPr>
              <w:pStyle w:val="TableBodyText"/>
            </w:pPr>
          </w:p>
          <w:p w:rsidR="005F78FC" w:rsidRDefault="00B42EF3">
            <w:pPr>
              <w:pStyle w:val="TableBodyText"/>
            </w:pPr>
            <w:r>
              <w:t>The possible values for this attribute are defined by the W3C XML Schema base64Binary datatype.</w:t>
            </w:r>
          </w:p>
        </w:tc>
      </w:tr>
      <w:tr w:rsidR="005F78FC" w:rsidTr="005F78FC">
        <w:tc>
          <w:tcPr>
            <w:tcW w:w="0" w:type="auto"/>
            <w:vAlign w:val="center"/>
          </w:tcPr>
          <w:p w:rsidR="005F78FC" w:rsidRDefault="00B42EF3">
            <w:pPr>
              <w:pStyle w:val="TableBodyText"/>
            </w:pPr>
            <w:r>
              <w:rPr>
                <w:b/>
              </w:rPr>
              <w:t>saltValue</w:t>
            </w:r>
          </w:p>
        </w:tc>
        <w:tc>
          <w:tcPr>
            <w:tcW w:w="0" w:type="auto"/>
            <w:vAlign w:val="center"/>
          </w:tcPr>
          <w:p w:rsidR="005F78FC" w:rsidRDefault="00B42EF3">
            <w:pPr>
              <w:pStyle w:val="TableBodyText"/>
            </w:pPr>
            <w:r>
              <w:t>Specifies the random bytes that are pre-pended to the user-supplied password before it was hashed by the hashing al</w:t>
            </w:r>
            <w:r>
              <w:t>gorithm.</w:t>
            </w:r>
          </w:p>
        </w:tc>
      </w:tr>
      <w:tr w:rsidR="005F78FC" w:rsidTr="005F78FC">
        <w:tc>
          <w:tcPr>
            <w:tcW w:w="0" w:type="auto"/>
            <w:vAlign w:val="center"/>
          </w:tcPr>
          <w:p w:rsidR="005F78FC" w:rsidRDefault="00B42EF3">
            <w:pPr>
              <w:pStyle w:val="TableBodyText"/>
            </w:pPr>
            <w:r>
              <w:rPr>
                <w:b/>
              </w:rPr>
              <w:t>spinCount</w:t>
            </w:r>
          </w:p>
        </w:tc>
        <w:tc>
          <w:tcPr>
            <w:tcW w:w="0" w:type="auto"/>
            <w:vAlign w:val="center"/>
          </w:tcPr>
          <w:p w:rsidR="005F78FC" w:rsidRDefault="00B42EF3">
            <w:pPr>
              <w:pStyle w:val="TableBodyText"/>
            </w:pPr>
            <w:r>
              <w:t>Specifies the number of times the hashing function shall be iteratively run (using each iteration's result as the input for the next iteration).</w:t>
            </w:r>
          </w:p>
        </w:tc>
      </w:tr>
    </w:tbl>
    <w:p w:rsidR="005F78FC" w:rsidRDefault="005F78FC"/>
    <w:p w:rsidR="005F78FC" w:rsidRDefault="00B42EF3">
      <w:r>
        <w:t xml:space="preserve">[Example: </w:t>
      </w:r>
    </w:p>
    <w:p w:rsidR="005F78FC" w:rsidRDefault="00B42EF3">
      <w:r>
        <w:lastRenderedPageBreak/>
        <w:t xml:space="preserve">Consider an Office Open XML document with the following information stored in </w:t>
      </w:r>
      <w:r>
        <w:t>one of its protection elements:</w:t>
      </w:r>
    </w:p>
    <w:p w:rsidR="005F78FC" w:rsidRDefault="00B42EF3">
      <w:r>
        <w:t>&lt; … algorithmName="SHA-1" hashValue="9oN7nWkCAyEZib1RomSJTjmPpCY=" /&gt;</w:t>
      </w:r>
    </w:p>
    <w:p w:rsidR="005F78FC" w:rsidRDefault="00B42EF3">
      <w:r>
        <w:t>The algorithmName attribute value of SHA-1 specifies that the SHA-1 hashing algorithm must be used to generate a hash from the user-defined password.</w:t>
      </w:r>
    </w:p>
    <w:p w:rsidR="005F78FC" w:rsidRDefault="00B42EF3">
      <w:r>
        <w:t xml:space="preserve">end </w:t>
      </w:r>
      <w:r>
        <w:t>example]</w:t>
      </w:r>
    </w:p>
    <w:p w:rsidR="005F78FC" w:rsidRDefault="00B42EF3">
      <w:pPr>
        <w:pStyle w:val="Heading3"/>
      </w:pPr>
      <w:bookmarkStart w:id="1326" w:name="section_15197a0226f74a37ab9c7de4d4894ea5"/>
      <w:bookmarkStart w:id="1327" w:name="_Toc69878436"/>
      <w:r>
        <w:t>Part 1 Section 18.3.1.85, sheetProtection (Sheet Protection Options)</w:t>
      </w:r>
      <w:bookmarkEnd w:id="1326"/>
      <w:bookmarkEnd w:id="1327"/>
      <w:r>
        <w:fldChar w:fldCharType="begin"/>
      </w:r>
      <w:r>
        <w:instrText xml:space="preserve"> XE "sheetProtection (Sheet Protection Options)" </w:instrText>
      </w:r>
      <w:r>
        <w:fldChar w:fldCharType="end"/>
      </w:r>
    </w:p>
    <w:p w:rsidR="005F78FC" w:rsidRDefault="00B42EF3">
      <w:pPr>
        <w:pStyle w:val="Definition-Field"/>
      </w:pPr>
      <w:r>
        <w:t xml:space="preserve">a.   </w:t>
      </w:r>
      <w:r>
        <w:rPr>
          <w:i/>
        </w:rPr>
        <w:t>The standard does not specify any restrictions for a dialogsheet parent element.</w:t>
      </w:r>
    </w:p>
    <w:p w:rsidR="005F78FC" w:rsidRDefault="00B42EF3">
      <w:r>
        <w:t xml:space="preserve">For a </w:t>
      </w:r>
      <w:r>
        <w:rPr>
          <w:b/>
        </w:rPr>
        <w:t>dialogsheet</w:t>
      </w:r>
      <w:r>
        <w:t xml:space="preserve"> parent element, Office requires that the dialog sheet is protected when the attributes </w:t>
      </w:r>
      <w:r>
        <w:rPr>
          <w:b/>
        </w:rPr>
        <w:t>objects</w:t>
      </w:r>
      <w:r>
        <w:t xml:space="preserve"> and </w:t>
      </w:r>
      <w:r>
        <w:rPr>
          <w:b/>
        </w:rPr>
        <w:t>scenarios</w:t>
      </w:r>
      <w:r>
        <w:t xml:space="preserve"> are </w:t>
      </w:r>
      <w:r>
        <w:rPr>
          <w:i/>
        </w:rPr>
        <w:t>true</w:t>
      </w:r>
      <w:r>
        <w:t xml:space="preserve">. The dialog sheet should not be protected when the attributes </w:t>
      </w:r>
      <w:r>
        <w:rPr>
          <w:b/>
        </w:rPr>
        <w:t>objects</w:t>
      </w:r>
      <w:r>
        <w:t xml:space="preserve"> and </w:t>
      </w:r>
      <w:r>
        <w:rPr>
          <w:b/>
        </w:rPr>
        <w:t>scenarios</w:t>
      </w:r>
      <w:r>
        <w:t xml:space="preserve"> are </w:t>
      </w:r>
      <w:r>
        <w:rPr>
          <w:i/>
        </w:rPr>
        <w:t>false</w:t>
      </w:r>
      <w:r>
        <w:t xml:space="preserve">. No other values are allowed. In addition, </w:t>
      </w:r>
      <w:r>
        <w:t xml:space="preserve">the </w:t>
      </w:r>
      <w:r>
        <w:rPr>
          <w:b/>
        </w:rPr>
        <w:t>sheet</w:t>
      </w:r>
      <w:r>
        <w:t xml:space="preserve"> attribute is always </w:t>
      </w:r>
      <w:r>
        <w:rPr>
          <w:i/>
        </w:rPr>
        <w:t>true</w:t>
      </w:r>
      <w:r>
        <w:t xml:space="preserve"> and all other attributes are their default value.</w:t>
      </w:r>
    </w:p>
    <w:p w:rsidR="005F78FC" w:rsidRDefault="00B42EF3">
      <w:pPr>
        <w:pStyle w:val="Definition-Field"/>
      </w:pPr>
      <w:r>
        <w:t xml:space="preserve">b.   </w:t>
      </w:r>
      <w:r>
        <w:rPr>
          <w:i/>
        </w:rPr>
        <w:t>The standard states that this setting uses a specific Password attribute to store the password hash.</w:t>
      </w:r>
    </w:p>
    <w:p w:rsidR="005F78FC" w:rsidRDefault="00B42EF3">
      <w:r>
        <w:t>In Office, when the HKCU/Software/Microsoft/Office/&lt;VERSION&gt;/Comm</w:t>
      </w:r>
      <w:r>
        <w:t>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Name</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rPr>
                <w:b/>
              </w:rPr>
              <w:t>algorithm Name</w:t>
            </w:r>
          </w:p>
        </w:tc>
        <w:tc>
          <w:tcPr>
            <w:tcW w:w="0" w:type="auto"/>
            <w:vAlign w:val="center"/>
          </w:tcPr>
          <w:p w:rsidR="005F78FC" w:rsidRDefault="00B42EF3">
            <w:pPr>
              <w:pStyle w:val="TableBodyText"/>
            </w:pPr>
            <w:r>
              <w:t xml:space="preserve">The name of the cryptographic hashing algorithm used to generate </w:t>
            </w:r>
            <w:r>
              <w:t>the hash value. Only those algorithms that are installed in the operating system’s cryptographic subsystem can be utilized by Office.</w:t>
            </w:r>
          </w:p>
          <w:p w:rsidR="005F78FC" w:rsidRDefault="005F78FC">
            <w:pPr>
              <w:pStyle w:val="TableBodyText"/>
            </w:pPr>
          </w:p>
          <w:p w:rsidR="005F78FC" w:rsidRDefault="00B42EF3">
            <w:pPr>
              <w:pStyle w:val="TableBodyText"/>
            </w:pPr>
            <w:r>
              <w:t>The hash algorithm names, described in the following table, are reserved.</w:t>
            </w:r>
          </w:p>
          <w:p w:rsidR="005F78FC" w:rsidRDefault="005F78FC">
            <w:pPr>
              <w:pStyle w:val="TableBodyText"/>
            </w:pPr>
          </w:p>
          <w:p w:rsidR="005F78FC" w:rsidRDefault="00B42EF3">
            <w:pPr>
              <w:pStyle w:val="TableBodyText"/>
            </w:pPr>
            <w:r>
              <w:rPr>
                <w:b/>
                <w:i/>
              </w:rPr>
              <w:t xml:space="preserve">MD2 </w:t>
            </w:r>
          </w:p>
          <w:p w:rsidR="005F78FC" w:rsidRDefault="00B42EF3">
            <w:pPr>
              <w:pStyle w:val="TableBodyText"/>
            </w:pPr>
            <w:r>
              <w:rPr>
                <w:i/>
              </w:rPr>
              <w:t>Specifies that the MD2 algorithm, as defi</w:t>
            </w:r>
            <w:r>
              <w:rPr>
                <w:i/>
              </w:rPr>
              <w:t>ned by RFC 1319, shall be used.</w:t>
            </w:r>
          </w:p>
          <w:p w:rsidR="005F78FC" w:rsidRDefault="005F78FC">
            <w:pPr>
              <w:pStyle w:val="TableBodyText"/>
            </w:pPr>
          </w:p>
          <w:p w:rsidR="005F78FC" w:rsidRDefault="00B42EF3">
            <w:pPr>
              <w:pStyle w:val="TableBodyText"/>
            </w:pPr>
            <w:r>
              <w:rPr>
                <w:i/>
              </w:rPr>
              <w:t>[Note: It is recommended that applications should avoid using this algorithm to store new hash values, because of publicly known breaks. end note]</w:t>
            </w:r>
          </w:p>
          <w:p w:rsidR="005F78FC" w:rsidRDefault="00B42EF3">
            <w:pPr>
              <w:pStyle w:val="TableBodyText"/>
            </w:pPr>
            <w:r>
              <w:rPr>
                <w:b/>
                <w:i/>
              </w:rPr>
              <w:t xml:space="preserve">MD4 </w:t>
            </w:r>
          </w:p>
          <w:p w:rsidR="005F78FC" w:rsidRDefault="00B42EF3">
            <w:pPr>
              <w:pStyle w:val="TableBodyText"/>
            </w:pPr>
            <w:r>
              <w:rPr>
                <w:i/>
              </w:rPr>
              <w:t>Specifies that the MD4 algorithm, as defined by RFC 1320, shall be used</w:t>
            </w:r>
            <w:r>
              <w:rPr>
                <w:i/>
              </w:rPr>
              <w:t>.</w:t>
            </w:r>
          </w:p>
          <w:p w:rsidR="005F78FC" w:rsidRDefault="005F78FC">
            <w:pPr>
              <w:pStyle w:val="TableBodyText"/>
            </w:pPr>
          </w:p>
          <w:p w:rsidR="005F78FC" w:rsidRDefault="00B42EF3">
            <w:pPr>
              <w:pStyle w:val="TableBodyText"/>
            </w:pPr>
            <w:r>
              <w:rPr>
                <w:i/>
              </w:rPr>
              <w:t>[Note: It is recommended that applications should avoid using this algorithm to store new hash values, because of publicly known breaks. end note]</w:t>
            </w:r>
          </w:p>
          <w:p w:rsidR="005F78FC" w:rsidRDefault="00B42EF3">
            <w:pPr>
              <w:pStyle w:val="TableBodyText"/>
            </w:pPr>
            <w:r>
              <w:rPr>
                <w:b/>
                <w:i/>
              </w:rPr>
              <w:t>MD5</w:t>
            </w:r>
          </w:p>
          <w:p w:rsidR="005F78FC" w:rsidRDefault="00B42EF3">
            <w:pPr>
              <w:pStyle w:val="TableBodyText"/>
            </w:pPr>
            <w:r>
              <w:rPr>
                <w:i/>
              </w:rPr>
              <w:t>Specifies that the MD5 algorithm, as defined by RFC 1321, shall be used.</w:t>
            </w:r>
          </w:p>
          <w:p w:rsidR="005F78FC" w:rsidRDefault="005F78FC">
            <w:pPr>
              <w:pStyle w:val="TableBodyText"/>
            </w:pPr>
          </w:p>
          <w:p w:rsidR="005F78FC" w:rsidRDefault="00B42EF3">
            <w:pPr>
              <w:pStyle w:val="TableBodyText"/>
            </w:pPr>
            <w:r>
              <w:rPr>
                <w:i/>
              </w:rPr>
              <w:t xml:space="preserve">[Note: It is recommended </w:t>
            </w:r>
            <w:r>
              <w:rPr>
                <w:i/>
              </w:rPr>
              <w:t>that applications should avoid using this algorithm to store new hash values, because of publicly known breaks. end note]</w:t>
            </w:r>
          </w:p>
          <w:p w:rsidR="005F78FC" w:rsidRDefault="00B42EF3">
            <w:pPr>
              <w:pStyle w:val="TableBodyText"/>
            </w:pPr>
            <w:r>
              <w:rPr>
                <w:b/>
                <w:i/>
              </w:rPr>
              <w:t>RIPEMD-128</w:t>
            </w:r>
          </w:p>
          <w:p w:rsidR="005F78FC" w:rsidRDefault="00B42EF3">
            <w:pPr>
              <w:pStyle w:val="TableBodyText"/>
            </w:pPr>
            <w:r>
              <w:rPr>
                <w:i/>
              </w:rPr>
              <w:t>Specifies that the RIPEMD-128 algorithm, as defined by ISO/IEC 10118-3:2004 shall be used.</w:t>
            </w:r>
          </w:p>
          <w:p w:rsidR="005F78FC" w:rsidRDefault="005F78FC">
            <w:pPr>
              <w:pStyle w:val="TableBodyText"/>
            </w:pPr>
          </w:p>
          <w:p w:rsidR="005F78FC" w:rsidRDefault="00B42EF3">
            <w:pPr>
              <w:pStyle w:val="TableBodyText"/>
            </w:pPr>
            <w:r>
              <w:rPr>
                <w:i/>
              </w:rPr>
              <w:t>[Note: It is recommended that a</w:t>
            </w:r>
            <w:r>
              <w:rPr>
                <w:i/>
              </w:rPr>
              <w:t>pplications should avoid using this algorithm to store new hash values, because of publicly known breaks. end note]</w:t>
            </w:r>
          </w:p>
          <w:p w:rsidR="005F78FC" w:rsidRDefault="00B42EF3">
            <w:pPr>
              <w:pStyle w:val="TableBodyText"/>
            </w:pPr>
            <w:r>
              <w:rPr>
                <w:b/>
                <w:i/>
              </w:rPr>
              <w:lastRenderedPageBreak/>
              <w:t>RIPEMD-160</w:t>
            </w:r>
          </w:p>
          <w:p w:rsidR="005F78FC" w:rsidRDefault="00B42EF3">
            <w:pPr>
              <w:pStyle w:val="TableBodyText"/>
            </w:pPr>
            <w:r>
              <w:rPr>
                <w:i/>
              </w:rPr>
              <w:t>Specifies that the RIPEMD-160 algorithm, as defined by ISO/IEC 10118-3:2004, shall be used.</w:t>
            </w:r>
          </w:p>
          <w:p w:rsidR="005F78FC" w:rsidRDefault="00B42EF3">
            <w:pPr>
              <w:pStyle w:val="TableBodyText"/>
            </w:pPr>
            <w:r>
              <w:rPr>
                <w:b/>
                <w:i/>
              </w:rPr>
              <w:t>SHA-1</w:t>
            </w:r>
          </w:p>
          <w:p w:rsidR="005F78FC" w:rsidRDefault="00B42EF3">
            <w:pPr>
              <w:pStyle w:val="TableBodyText"/>
            </w:pPr>
            <w:r>
              <w:rPr>
                <w:i/>
              </w:rPr>
              <w:t>Specifies that the SHA-1 algori</w:t>
            </w:r>
            <w:r>
              <w:rPr>
                <w:i/>
              </w:rPr>
              <w:t>thm, as defined by ISO/IEC 10118-3:2004, shall be used.</w:t>
            </w:r>
          </w:p>
          <w:p w:rsidR="005F78FC" w:rsidRDefault="00B42EF3">
            <w:pPr>
              <w:pStyle w:val="TableBodyText"/>
            </w:pPr>
            <w:r>
              <w:rPr>
                <w:b/>
                <w:i/>
              </w:rPr>
              <w:t>SHA-256</w:t>
            </w:r>
          </w:p>
          <w:p w:rsidR="005F78FC" w:rsidRDefault="00B42EF3">
            <w:pPr>
              <w:pStyle w:val="TableBodyText"/>
            </w:pPr>
            <w:r>
              <w:rPr>
                <w:i/>
              </w:rPr>
              <w:t>Specifies that the SHA-256 algorithm, as defined by ISO/IEC 10118-3:2004, shall be used.</w:t>
            </w:r>
          </w:p>
          <w:p w:rsidR="005F78FC" w:rsidRDefault="00B42EF3">
            <w:pPr>
              <w:pStyle w:val="TableBodyText"/>
            </w:pPr>
            <w:r>
              <w:rPr>
                <w:b/>
                <w:i/>
              </w:rPr>
              <w:t>SHA-384</w:t>
            </w:r>
          </w:p>
          <w:p w:rsidR="005F78FC" w:rsidRDefault="00B42EF3">
            <w:pPr>
              <w:pStyle w:val="TableBodyText"/>
            </w:pPr>
            <w:r>
              <w:rPr>
                <w:i/>
              </w:rPr>
              <w:t>Specifies that the SHA-384 algorithm, as defined by ISO/IEC 10118-3:2004, shall be used.</w:t>
            </w:r>
          </w:p>
          <w:p w:rsidR="005F78FC" w:rsidRDefault="00B42EF3">
            <w:pPr>
              <w:pStyle w:val="TableBodyText"/>
            </w:pPr>
            <w:r>
              <w:rPr>
                <w:b/>
                <w:i/>
              </w:rPr>
              <w:t>SHA-51</w:t>
            </w:r>
            <w:r>
              <w:rPr>
                <w:b/>
                <w:i/>
              </w:rPr>
              <w:t>2</w:t>
            </w:r>
          </w:p>
          <w:p w:rsidR="005F78FC" w:rsidRDefault="00B42EF3">
            <w:pPr>
              <w:pStyle w:val="TableBodyText"/>
            </w:pPr>
            <w:r>
              <w:rPr>
                <w:i/>
              </w:rPr>
              <w:t>Specifies that the SHA-512 algorithm, as defined by ISO/IEC 10118-3:2004, shall be used.</w:t>
            </w:r>
          </w:p>
          <w:p w:rsidR="005F78FC" w:rsidRDefault="00B42EF3">
            <w:pPr>
              <w:pStyle w:val="TableBodyText"/>
            </w:pPr>
            <w:r>
              <w:rPr>
                <w:b/>
                <w:i/>
              </w:rPr>
              <w:t>WHIRLPOOL</w:t>
            </w:r>
          </w:p>
          <w:p w:rsidR="005F78FC" w:rsidRDefault="00B42EF3">
            <w:pPr>
              <w:pStyle w:val="TableBodyText"/>
            </w:pPr>
            <w:r>
              <w:rPr>
                <w:i/>
              </w:rPr>
              <w:t>Specifies that the WHIRLPOOL algorithm, as defined by ISO/IEC 10118-3:2004, shall be used.</w:t>
            </w:r>
          </w:p>
          <w:p w:rsidR="005F78FC" w:rsidRDefault="005F78FC">
            <w:pPr>
              <w:pStyle w:val="TableBodyText"/>
            </w:pPr>
          </w:p>
          <w:p w:rsidR="005F78FC" w:rsidRDefault="005F78FC">
            <w:pPr>
              <w:pStyle w:val="TableBodyText"/>
            </w:pPr>
          </w:p>
        </w:tc>
      </w:tr>
      <w:tr w:rsidR="005F78FC" w:rsidTr="005F78FC">
        <w:tc>
          <w:tcPr>
            <w:tcW w:w="0" w:type="auto"/>
            <w:vAlign w:val="center"/>
          </w:tcPr>
          <w:p w:rsidR="005F78FC" w:rsidRDefault="00B42EF3">
            <w:pPr>
              <w:pStyle w:val="TableBodyText"/>
            </w:pPr>
            <w:r>
              <w:rPr>
                <w:b/>
              </w:rPr>
              <w:lastRenderedPageBreak/>
              <w:t>hash Value</w:t>
            </w:r>
          </w:p>
        </w:tc>
        <w:tc>
          <w:tcPr>
            <w:tcW w:w="0" w:type="auto"/>
            <w:vAlign w:val="center"/>
          </w:tcPr>
          <w:p w:rsidR="005F78FC" w:rsidRDefault="00B42EF3">
            <w:pPr>
              <w:pStyle w:val="TableBodyText"/>
            </w:pPr>
            <w:r>
              <w:t>Specifies the hash value for the password required</w:t>
            </w:r>
            <w:r>
              <w:t xml:space="preserve"> to edit this worksheet. This value shall be compared with the resulting hash value after hashing the user-supplied password using the algorithm specified by the preceding attributes and parent XML element. If the two values match, the protection shall no </w:t>
            </w:r>
            <w:r>
              <w:t>longer be enforced.</w:t>
            </w:r>
          </w:p>
          <w:p w:rsidR="005F78FC" w:rsidRDefault="005F78FC">
            <w:pPr>
              <w:pStyle w:val="TableBodyText"/>
            </w:pPr>
          </w:p>
          <w:p w:rsidR="005F78FC" w:rsidRDefault="00B42EF3">
            <w:pPr>
              <w:pStyle w:val="TableBodyText"/>
            </w:pPr>
            <w:r>
              <w:t>If this value is omitted, then the reservationPassword attribute shall contain the password hash for the workbook.</w:t>
            </w:r>
          </w:p>
          <w:p w:rsidR="005F78FC" w:rsidRDefault="005F78FC">
            <w:pPr>
              <w:pStyle w:val="TableBodyText"/>
            </w:pPr>
          </w:p>
          <w:p w:rsidR="005F78FC" w:rsidRDefault="00B42EF3">
            <w:pPr>
              <w:pStyle w:val="TableBodyText"/>
            </w:pPr>
            <w:r>
              <w:t>[</w:t>
            </w:r>
            <w:r>
              <w:rPr>
                <w:i/>
              </w:rPr>
              <w:t>Example</w:t>
            </w:r>
            <w:r>
              <w:t>: Consider an Office Open XML document with the following information stored in one of its protection elements:</w:t>
            </w:r>
          </w:p>
          <w:p w:rsidR="005F78FC" w:rsidRDefault="005F78FC">
            <w:pPr>
              <w:pStyle w:val="TableBodyText"/>
            </w:pPr>
          </w:p>
          <w:p w:rsidR="005F78FC" w:rsidRDefault="00B42EF3">
            <w:pPr>
              <w:pStyle w:val="TableBodyText"/>
            </w:pPr>
            <w:r>
              <w:t>&lt;… algorithmName="SHA-1" hashValue="9oN7nWkCAyEZib1RomSJTjmPpCY=" /&gt;</w:t>
            </w:r>
          </w:p>
          <w:p w:rsidR="005F78FC" w:rsidRDefault="005F78FC">
            <w:pPr>
              <w:pStyle w:val="TableBodyText"/>
            </w:pPr>
          </w:p>
          <w:p w:rsidR="005F78FC" w:rsidRDefault="00B42EF3">
            <w:pPr>
              <w:pStyle w:val="TableBodyText"/>
            </w:pPr>
            <w:r>
              <w:t>The hashValue attribute value of 9oN7nWkCAyEZib1RomSJTjmPpCY= specifies that the user-supplied password must be hashed using the pre-processing defined by the parent element (if any) f</w:t>
            </w:r>
            <w:r>
              <w:t xml:space="preserve">ollowed by the hashing algorithm (specified via the algorithmName attribute value) and that the resulting hash value must be match for the protection to be disabled. </w:t>
            </w:r>
          </w:p>
          <w:p w:rsidR="005F78FC" w:rsidRDefault="00B42EF3">
            <w:pPr>
              <w:pStyle w:val="TableBodyText"/>
            </w:pPr>
            <w:r>
              <w:rPr>
                <w:i/>
              </w:rPr>
              <w:t>end example</w:t>
            </w:r>
            <w:r>
              <w:t>]</w:t>
            </w:r>
          </w:p>
          <w:p w:rsidR="005F78FC" w:rsidRDefault="005F78FC">
            <w:pPr>
              <w:pStyle w:val="TableBodyText"/>
            </w:pPr>
          </w:p>
          <w:p w:rsidR="005F78FC" w:rsidRDefault="00B42EF3">
            <w:pPr>
              <w:pStyle w:val="TableBodyText"/>
            </w:pPr>
            <w:r>
              <w:t>The possible values for this attribute are defined by the W3C XML Schema ba</w:t>
            </w:r>
            <w:r>
              <w:t>se64Binary datatype.</w:t>
            </w:r>
          </w:p>
        </w:tc>
      </w:tr>
      <w:tr w:rsidR="005F78FC" w:rsidTr="005F78FC">
        <w:tc>
          <w:tcPr>
            <w:tcW w:w="0" w:type="auto"/>
            <w:vAlign w:val="center"/>
          </w:tcPr>
          <w:p w:rsidR="005F78FC" w:rsidRDefault="00B42EF3">
            <w:pPr>
              <w:pStyle w:val="TableBodyText"/>
            </w:pPr>
            <w:r>
              <w:rPr>
                <w:b/>
              </w:rPr>
              <w:t>saltValue</w:t>
            </w:r>
          </w:p>
        </w:tc>
        <w:tc>
          <w:tcPr>
            <w:tcW w:w="0" w:type="auto"/>
            <w:vAlign w:val="center"/>
          </w:tcPr>
          <w:p w:rsidR="005F78FC" w:rsidRDefault="00B42EF3">
            <w:pPr>
              <w:pStyle w:val="TableBodyText"/>
            </w:pPr>
            <w:r>
              <w:t>Specifies the random bytes that are pre-pended to the user-supplied password before it was hashed by the hashing algorithm.</w:t>
            </w:r>
          </w:p>
        </w:tc>
      </w:tr>
      <w:tr w:rsidR="005F78FC" w:rsidTr="005F78FC">
        <w:tc>
          <w:tcPr>
            <w:tcW w:w="0" w:type="auto"/>
            <w:vAlign w:val="center"/>
          </w:tcPr>
          <w:p w:rsidR="005F78FC" w:rsidRDefault="00B42EF3">
            <w:pPr>
              <w:pStyle w:val="TableBodyText"/>
            </w:pPr>
            <w:r>
              <w:rPr>
                <w:b/>
              </w:rPr>
              <w:t>spinCount</w:t>
            </w:r>
          </w:p>
        </w:tc>
        <w:tc>
          <w:tcPr>
            <w:tcW w:w="0" w:type="auto"/>
            <w:vAlign w:val="center"/>
          </w:tcPr>
          <w:p w:rsidR="005F78FC" w:rsidRDefault="00B42EF3">
            <w:pPr>
              <w:pStyle w:val="TableBodyText"/>
            </w:pPr>
            <w:r>
              <w:t>Specifies the number of times the hashing function shall be iteratively run (using each i</w:t>
            </w:r>
            <w:r>
              <w:t>teration's result as the input for the next iteration).</w:t>
            </w:r>
          </w:p>
        </w:tc>
      </w:tr>
    </w:tbl>
    <w:p w:rsidR="005F78FC" w:rsidRDefault="005F78FC"/>
    <w:p w:rsidR="005F78FC" w:rsidRDefault="00B42EF3">
      <w:r>
        <w:t xml:space="preserve">[Example: </w:t>
      </w:r>
    </w:p>
    <w:p w:rsidR="005F78FC" w:rsidRDefault="00B42EF3">
      <w:r>
        <w:t>Consider an Office Open XML document with the following information stored in one of its protection elements:</w:t>
      </w:r>
    </w:p>
    <w:p w:rsidR="005F78FC" w:rsidRDefault="00B42EF3">
      <w:r>
        <w:t>&lt; … algorithmName="SHA-1" hashValue="9oN7nWkCAyEZib1RomSJTjmPpCY=" /&gt;</w:t>
      </w:r>
    </w:p>
    <w:p w:rsidR="005F78FC" w:rsidRDefault="00B42EF3">
      <w:r>
        <w:t>The alg</w:t>
      </w:r>
      <w:r>
        <w:t>orithmName attribute value of SHA-1 specifies that the SHA-1 hashing algorithm must be used to generate a hash from the user-defined password.</w:t>
      </w:r>
    </w:p>
    <w:p w:rsidR="005F78FC" w:rsidRDefault="00B42EF3">
      <w:r>
        <w:t>end example]</w:t>
      </w:r>
    </w:p>
    <w:p w:rsidR="005F78FC" w:rsidRDefault="00B42EF3">
      <w:pPr>
        <w:pStyle w:val="Heading3"/>
      </w:pPr>
      <w:bookmarkStart w:id="1328" w:name="section_f68f7a75f8714844974dd2cc226334e8"/>
      <w:bookmarkStart w:id="1329" w:name="_Toc69878437"/>
      <w:r>
        <w:lastRenderedPageBreak/>
        <w:t>Part 1 Section 18.3.1.87, sheetView (Worksheet View)</w:t>
      </w:r>
      <w:bookmarkEnd w:id="1328"/>
      <w:bookmarkEnd w:id="1329"/>
      <w:r>
        <w:fldChar w:fldCharType="begin"/>
      </w:r>
      <w:r>
        <w:instrText xml:space="preserve"> XE "sheetView (Worksheet View)" </w:instrText>
      </w:r>
      <w:r>
        <w:fldChar w:fldCharType="end"/>
      </w:r>
    </w:p>
    <w:p w:rsidR="005F78FC" w:rsidRDefault="00B42EF3">
      <w:pPr>
        <w:pStyle w:val="Definition-Field"/>
      </w:pPr>
      <w:r>
        <w:t xml:space="preserve">a.   </w:t>
      </w:r>
      <w:r>
        <w:rPr>
          <w:i/>
        </w:rPr>
        <w:t xml:space="preserve">The </w:t>
      </w:r>
      <w:r>
        <w:rPr>
          <w:i/>
        </w:rPr>
        <w:t>standard states that the values of the colorId attribute are defined by the XML Schema unsignedInt datatype.</w:t>
      </w:r>
    </w:p>
    <w:p w:rsidR="005F78FC" w:rsidRDefault="00B42EF3">
      <w:pPr>
        <w:pStyle w:val="Definition-Field2"/>
      </w:pPr>
      <w:r>
        <w:t>Office restricts the colorId attribute value to an unsignedInt less than or equal to 64.</w:t>
      </w:r>
    </w:p>
    <w:p w:rsidR="005F78FC" w:rsidRDefault="00B42EF3">
      <w:pPr>
        <w:pStyle w:val="Definition-Field"/>
      </w:pPr>
      <w:r>
        <w:t xml:space="preserve">b.   </w:t>
      </w:r>
      <w:r>
        <w:rPr>
          <w:i/>
        </w:rPr>
        <w:t xml:space="preserve">The standard specifies that the @colorId defines the </w:t>
      </w:r>
      <w:r>
        <w:rPr>
          <w:i/>
        </w:rPr>
        <w:t>color value for text in row/column headings and gridlines in the view.</w:t>
      </w:r>
    </w:p>
    <w:p w:rsidR="005F78FC" w:rsidRDefault="00B42EF3">
      <w:pPr>
        <w:pStyle w:val="Definition-Field2"/>
      </w:pPr>
      <w:r>
        <w:t>Office uses the @colorId to define the color value only for gridlines in the view.</w:t>
      </w:r>
    </w:p>
    <w:p w:rsidR="005F78FC" w:rsidRDefault="00B42EF3">
      <w:pPr>
        <w:pStyle w:val="Heading3"/>
      </w:pPr>
      <w:bookmarkStart w:id="1330" w:name="section_81d680f217234cffb82b64b52efd2b72"/>
      <w:bookmarkStart w:id="1331" w:name="_Toc69878438"/>
      <w:r>
        <w:t>Part 1 Section 18.3.1.88, sheetViews (Sheet Views)</w:t>
      </w:r>
      <w:bookmarkEnd w:id="1330"/>
      <w:bookmarkEnd w:id="1331"/>
      <w:r>
        <w:fldChar w:fldCharType="begin"/>
      </w:r>
      <w:r>
        <w:instrText xml:space="preserve"> XE "sheetViews (Sheet Views)" </w:instrText>
      </w:r>
      <w:r>
        <w:fldChar w:fldCharType="end"/>
      </w:r>
    </w:p>
    <w:p w:rsidR="005F78FC" w:rsidRDefault="00B42EF3">
      <w:pPr>
        <w:pStyle w:val="Definition-Field"/>
      </w:pPr>
      <w:r>
        <w:t xml:space="preserve">a.   </w:t>
      </w:r>
      <w:r>
        <w:rPr>
          <w:i/>
        </w:rPr>
        <w:t xml:space="preserve">The standard </w:t>
      </w:r>
      <w:r>
        <w:rPr>
          <w:i/>
        </w:rPr>
        <w:t>states that the maxOccurs value for the sheetView child element is unbounded.</w:t>
      </w:r>
    </w:p>
    <w:p w:rsidR="005F78FC" w:rsidRDefault="00B42EF3">
      <w:pPr>
        <w:pStyle w:val="Definition-Field2"/>
      </w:pPr>
      <w:r>
        <w:t>Excel limits the occurrences of this element to 2147483647.</w:t>
      </w:r>
    </w:p>
    <w:p w:rsidR="005F78FC" w:rsidRDefault="00B42EF3">
      <w:pPr>
        <w:pStyle w:val="Heading3"/>
      </w:pPr>
      <w:bookmarkStart w:id="1332" w:name="section_b60b7e029a9e47a28424e973bc811108"/>
      <w:bookmarkStart w:id="1333" w:name="_Toc69878439"/>
      <w:r>
        <w:t>Part 1 Section 18.3.1.89, sheetViews (Chart Sheet Views)</w:t>
      </w:r>
      <w:bookmarkEnd w:id="1332"/>
      <w:bookmarkEnd w:id="1333"/>
      <w:r>
        <w:fldChar w:fldCharType="begin"/>
      </w:r>
      <w:r>
        <w:instrText xml:space="preserve"> XE "sheetViews (Chart Sheet Views)" </w:instrText>
      </w:r>
      <w:r>
        <w:fldChar w:fldCharType="end"/>
      </w:r>
    </w:p>
    <w:p w:rsidR="005F78FC" w:rsidRDefault="00B42EF3">
      <w:pPr>
        <w:pStyle w:val="Definition-Field"/>
      </w:pPr>
      <w:r>
        <w:t xml:space="preserve">a.   </w:t>
      </w:r>
      <w:r>
        <w:rPr>
          <w:i/>
        </w:rPr>
        <w:t xml:space="preserve">The standard </w:t>
      </w:r>
      <w:r>
        <w:rPr>
          <w:i/>
        </w:rPr>
        <w:t>states that the maxOccurs value for the sheetView child element is unbounded.</w:t>
      </w:r>
    </w:p>
    <w:p w:rsidR="005F78FC" w:rsidRDefault="00B42EF3">
      <w:pPr>
        <w:pStyle w:val="Definition-Field2"/>
      </w:pPr>
      <w:r>
        <w:t>Excel limits the occurrences of this element to 2147483647.</w:t>
      </w:r>
    </w:p>
    <w:p w:rsidR="005F78FC" w:rsidRDefault="00B42EF3">
      <w:pPr>
        <w:pStyle w:val="Heading3"/>
      </w:pPr>
      <w:bookmarkStart w:id="1334" w:name="section_b9ae079aa7a545a9ae7e870aa96b5f84"/>
      <w:bookmarkStart w:id="1335" w:name="_Toc69878440"/>
      <w:r>
        <w:t>Part 1 Section 18.3.1.91, sortCondition (Sort Condition)</w:t>
      </w:r>
      <w:bookmarkEnd w:id="1334"/>
      <w:bookmarkEnd w:id="1335"/>
      <w:r>
        <w:fldChar w:fldCharType="begin"/>
      </w:r>
      <w:r>
        <w:instrText xml:space="preserve"> XE "sortCondition (Sort Condition)" </w:instrText>
      </w:r>
      <w:r>
        <w:fldChar w:fldCharType="end"/>
      </w:r>
    </w:p>
    <w:p w:rsidR="005F78FC" w:rsidRDefault="00B42EF3">
      <w:pPr>
        <w:pStyle w:val="Definition-Field"/>
      </w:pPr>
      <w:r>
        <w:t xml:space="preserve">a.   </w:t>
      </w:r>
      <w:r>
        <w:rPr>
          <w:i/>
        </w:rPr>
        <w:t>The standard stat</w:t>
      </w:r>
      <w:r>
        <w:rPr>
          <w:i/>
        </w:rPr>
        <w:t>es that the values of the customList attribute are defined by the ST_Xstring simple type.</w:t>
      </w:r>
    </w:p>
    <w:p w:rsidR="005F78FC" w:rsidRDefault="00B42EF3">
      <w:pPr>
        <w:pStyle w:val="Definition-Field2"/>
      </w:pPr>
      <w:r>
        <w:t>Office requires that the customList attribute value be an escaped string not exceeding 255 UTF-16 code units after escape sequences are replaced with characters.</w:t>
      </w:r>
    </w:p>
    <w:p w:rsidR="005F78FC" w:rsidRDefault="00B42EF3">
      <w:pPr>
        <w:pStyle w:val="Heading3"/>
      </w:pPr>
      <w:bookmarkStart w:id="1336" w:name="section_57f3992c0f4646afa3c764132f66ebe0"/>
      <w:bookmarkStart w:id="1337" w:name="_Toc69878441"/>
      <w:r>
        <w:t>Part</w:t>
      </w:r>
      <w:r>
        <w:t xml:space="preserve"> 1 Section 18.3.1.93, tabColor (Sheet Tab Color)</w:t>
      </w:r>
      <w:bookmarkEnd w:id="1336"/>
      <w:bookmarkEnd w:id="1337"/>
      <w:r>
        <w:fldChar w:fldCharType="begin"/>
      </w:r>
      <w:r>
        <w:instrText xml:space="preserve"> XE "tabColor (Sheet Tab Color)"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903e02250adb44a3864f59cacf639a76">
        <w:r>
          <w:rPr>
            <w:rStyle w:val="Hyperlink"/>
          </w:rPr>
          <w:t>color, §18.3.1.15(b</w:t>
        </w:r>
        <w:r>
          <w:rPr>
            <w:rStyle w:val="Hyperlink"/>
          </w:rPr>
          <w:t>-d)</w:t>
        </w:r>
      </w:hyperlink>
      <w:r>
        <w:rPr>
          <w:i/>
        </w:rPr>
        <w:t xml:space="preserve">; </w:t>
      </w:r>
      <w:hyperlink w:anchor="Section_2b0a8b9d392f46c1b3c1c5a5f98f8e69">
        <w:r>
          <w:rPr>
            <w:rStyle w:val="Hyperlink"/>
          </w:rPr>
          <w:t>bgColor, §18.8.3(a)</w:t>
        </w:r>
      </w:hyperlink>
      <w:r>
        <w:rPr>
          <w:i/>
        </w:rPr>
        <w:t>.</w:t>
      </w:r>
    </w:p>
    <w:p w:rsidR="005F78FC" w:rsidRDefault="00B42EF3">
      <w:pPr>
        <w:pStyle w:val="Definition-Field"/>
      </w:pPr>
      <w:r>
        <w:t xml:space="preserve">a.   </w:t>
      </w:r>
      <w:r>
        <w:rPr>
          <w:i/>
        </w:rPr>
        <w:t>The standard does not specify a default value for the auto attribute.</w:t>
      </w:r>
    </w:p>
    <w:p w:rsidR="005F78FC" w:rsidRDefault="00B42EF3">
      <w:pPr>
        <w:pStyle w:val="Definition-Field2"/>
      </w:pPr>
      <w:r>
        <w:t>Excel uses a default value of false for this attribute.</w:t>
      </w:r>
    </w:p>
    <w:p w:rsidR="005F78FC" w:rsidRDefault="00B42EF3">
      <w:pPr>
        <w:pStyle w:val="Definition-Field"/>
      </w:pPr>
      <w:r>
        <w:t xml:space="preserve">b.   </w:t>
      </w:r>
      <w:r>
        <w:rPr>
          <w:i/>
        </w:rPr>
        <w:t>In the standard, the auto, inde</w:t>
      </w:r>
      <w:r>
        <w:rPr>
          <w:i/>
        </w:rPr>
        <w:t>xed, rgb, and theme attributes are all optional.</w:t>
      </w:r>
    </w:p>
    <w:p w:rsidR="005F78FC" w:rsidRDefault="00B42EF3">
      <w:pPr>
        <w:pStyle w:val="Definition-Field2"/>
      </w:pPr>
      <w:r>
        <w:t>Office requires that only one of the auto, indexed, rgb, or theme attributes shall be specified.</w:t>
      </w:r>
    </w:p>
    <w:p w:rsidR="005F78FC" w:rsidRDefault="00B42EF3">
      <w:pPr>
        <w:pStyle w:val="Definition-Field"/>
      </w:pPr>
      <w:r>
        <w:t xml:space="preserve">c.   </w:t>
      </w:r>
      <w:r>
        <w:rPr>
          <w:i/>
        </w:rPr>
        <w:t>The standard specifies that the theme attribute is an index of an item in the clrScheme collection.</w:t>
      </w:r>
    </w:p>
    <w:p w:rsidR="005F78FC" w:rsidRDefault="00B42EF3">
      <w:pPr>
        <w:pStyle w:val="Definition-Field2"/>
      </w:pPr>
      <w:r>
        <w:t>Offic</w:t>
      </w:r>
      <w:r>
        <w:t>e requires the theme attribute to be a zero-based index of an item in the clrScheme collection.</w:t>
      </w:r>
    </w:p>
    <w:p w:rsidR="005F78FC" w:rsidRDefault="00B42EF3">
      <w:pPr>
        <w:pStyle w:val="Heading3"/>
      </w:pPr>
      <w:bookmarkStart w:id="1338" w:name="section_b9d01770b85b4fb2a387f5811719a1af"/>
      <w:bookmarkStart w:id="1339" w:name="_Toc69878442"/>
      <w:r>
        <w:t>Part 1 Section 18.3.1.96, v (Cell Value)</w:t>
      </w:r>
      <w:bookmarkEnd w:id="1338"/>
      <w:bookmarkEnd w:id="1339"/>
      <w:r>
        <w:fldChar w:fldCharType="begin"/>
      </w:r>
      <w:r>
        <w:instrText xml:space="preserve"> XE "v (Cell Value)" </w:instrText>
      </w:r>
      <w:r>
        <w:fldChar w:fldCharType="end"/>
      </w:r>
    </w:p>
    <w:p w:rsidR="005F78FC" w:rsidRDefault="00B42EF3">
      <w:pPr>
        <w:pStyle w:val="Definition-Field"/>
      </w:pPr>
      <w:r>
        <w:t xml:space="preserve">a.   </w:t>
      </w:r>
      <w:r>
        <w:rPr>
          <w:i/>
        </w:rPr>
        <w:t>The standard does not limit the length of the value of this element.</w:t>
      </w:r>
    </w:p>
    <w:p w:rsidR="005F78FC" w:rsidRDefault="00B42EF3">
      <w:pPr>
        <w:pStyle w:val="Definition-Field2"/>
      </w:pPr>
      <w:r>
        <w:t>Excel restricts the va</w:t>
      </w:r>
      <w:r>
        <w:t>lue of this element to be at most 32767 characters.</w:t>
      </w:r>
    </w:p>
    <w:p w:rsidR="005F78FC" w:rsidRDefault="00B42EF3">
      <w:pPr>
        <w:pStyle w:val="Definition-Field"/>
      </w:pPr>
      <w:r>
        <w:t xml:space="preserve">b.   </w:t>
      </w:r>
      <w:r>
        <w:rPr>
          <w:i/>
        </w:rPr>
        <w:t>The standard does not place content restrictions on values based on the t attribute.</w:t>
      </w:r>
    </w:p>
    <w:p w:rsidR="005F78FC" w:rsidRDefault="00B42EF3">
      <w:r>
        <w:lastRenderedPageBreak/>
        <w:t>Office places the following value restrictions based on the cell type:</w:t>
      </w:r>
    </w:p>
    <w:p w:rsidR="005F78FC" w:rsidRDefault="00B42EF3">
      <w:pPr>
        <w:pStyle w:val="ListParagraph"/>
        <w:numPr>
          <w:ilvl w:val="0"/>
          <w:numId w:val="67"/>
        </w:numPr>
        <w:contextualSpacing/>
      </w:pPr>
      <w:r>
        <w:t>If the cell contains a string, the value sh</w:t>
      </w:r>
      <w:r>
        <w:t>all be a zero-based index into the shared string table, pointing to the actual string value.</w:t>
      </w:r>
    </w:p>
    <w:p w:rsidR="005F78FC" w:rsidRDefault="00B42EF3">
      <w:pPr>
        <w:pStyle w:val="ListParagraph"/>
        <w:numPr>
          <w:ilvl w:val="0"/>
          <w:numId w:val="67"/>
        </w:numPr>
        <w:contextualSpacing/>
      </w:pPr>
      <w:r>
        <w:t>If the cell contains a number, the value shall be a textual representation of a double-precision floating point number.</w:t>
      </w:r>
    </w:p>
    <w:p w:rsidR="005F78FC" w:rsidRDefault="00B42EF3">
      <w:pPr>
        <w:pStyle w:val="ListParagraph"/>
        <w:numPr>
          <w:ilvl w:val="0"/>
          <w:numId w:val="67"/>
        </w:numPr>
        <w:contextualSpacing/>
      </w:pPr>
      <w:r>
        <w:t xml:space="preserve">If the cell contains a Boolean, the value </w:t>
      </w:r>
      <w:r>
        <w:t>shall be 1 to specify true and 0 to specify false.</w:t>
      </w:r>
    </w:p>
    <w:p w:rsidR="005F78FC" w:rsidRDefault="00B42EF3">
      <w:pPr>
        <w:pStyle w:val="ListParagraph"/>
        <w:numPr>
          <w:ilvl w:val="0"/>
          <w:numId w:val="67"/>
        </w:numPr>
        <w:contextualSpacing/>
      </w:pPr>
      <w:r>
        <w:t>If the cell contains an error, the value shall be one of the following text strings: #NULL!, #DIV/0!, #VALUE!, #REF!, #NAME?, #NUM!, or #N/A.</w:t>
      </w:r>
    </w:p>
    <w:p w:rsidR="005F78FC" w:rsidRDefault="00B42EF3">
      <w:pPr>
        <w:pStyle w:val="ListParagraph"/>
        <w:numPr>
          <w:ilvl w:val="0"/>
          <w:numId w:val="67"/>
        </w:numPr>
      </w:pPr>
      <w:r>
        <w:t>Cells containing formulas express the last calculated result of</w:t>
      </w:r>
      <w:r>
        <w:t xml:space="preserve"> the formula in this element.</w:t>
      </w:r>
    </w:p>
    <w:p w:rsidR="005F78FC" w:rsidRDefault="00B42EF3">
      <w:r>
        <w:t xml:space="preserve">A spreadsheet application may use inline strings to bypass creating the shared string table. Inline strings are specified by the </w:t>
      </w:r>
      <w:r>
        <w:rPr>
          <w:b/>
        </w:rPr>
        <w:t>is</w:t>
      </w:r>
      <w:r>
        <w:t xml:space="preserve"> element under the </w:t>
      </w:r>
      <w:r>
        <w:rPr>
          <w:b/>
        </w:rPr>
        <w:t xml:space="preserve">c </w:t>
      </w:r>
      <w:r>
        <w:t xml:space="preserve">element instead of the </w:t>
      </w:r>
      <w:r>
        <w:rPr>
          <w:b/>
        </w:rPr>
        <w:t>v</w:t>
      </w:r>
      <w:r>
        <w:t xml:space="preserve"> element under the </w:t>
      </w:r>
      <w:r>
        <w:rPr>
          <w:b/>
        </w:rPr>
        <w:t>c</w:t>
      </w:r>
      <w:r>
        <w:t xml:space="preserve"> element. Inline strings are s</w:t>
      </w:r>
      <w:r>
        <w:t xml:space="preserve">pecified in the same way a string would be expressed in the shared string table.  See the </w:t>
      </w:r>
      <w:r>
        <w:rPr>
          <w:b/>
        </w:rPr>
        <w:t>is</w:t>
      </w:r>
      <w:r>
        <w:t xml:space="preserve"> element ("</w:t>
      </w:r>
      <w:hyperlink r:id="rId127">
        <w:r>
          <w:rPr>
            <w:rStyle w:val="Hyperlink"/>
          </w:rPr>
          <w:t>[ISO/IEC-29500-1]</w:t>
        </w:r>
      </w:hyperlink>
      <w:r>
        <w:t xml:space="preserve"> §18.3.1.53; is") for an example.</w:t>
      </w:r>
    </w:p>
    <w:p w:rsidR="005F78FC" w:rsidRDefault="00B42EF3">
      <w:pPr>
        <w:pStyle w:val="Definition-Field"/>
      </w:pPr>
      <w:r>
        <w:t xml:space="preserve">c.   </w:t>
      </w:r>
      <w:r>
        <w:rPr>
          <w:i/>
        </w:rPr>
        <w:t>The standard makes no mention o</w:t>
      </w:r>
      <w:r>
        <w:rPr>
          <w:i/>
        </w:rPr>
        <w:t>f an xml:space attribute.</w:t>
      </w:r>
    </w:p>
    <w:p w:rsidR="005F78FC" w:rsidRDefault="00B42EF3">
      <w:pPr>
        <w:pStyle w:val="Definition-Field2"/>
      </w:pPr>
      <w:r>
        <w:t>Excel uses this attribute to specify, using the W3C space preservation rules, how white space should be handled for the element's contents; its allowed values are defined by the XML 1.0 specification.</w:t>
      </w:r>
    </w:p>
    <w:p w:rsidR="005F78FC" w:rsidRDefault="00B42EF3">
      <w:pPr>
        <w:pStyle w:val="Definition-Field"/>
      </w:pPr>
      <w:r>
        <w:t xml:space="preserve">d.   </w:t>
      </w:r>
      <w:r>
        <w:rPr>
          <w:i/>
        </w:rPr>
        <w:t>The standard states that</w:t>
      </w:r>
      <w:r>
        <w:rPr>
          <w:i/>
        </w:rPr>
        <w:t xml:space="preserve"> when the cell value is a date, that it is in ISO 8601 format.</w:t>
      </w:r>
    </w:p>
    <w:p w:rsidR="005F78FC" w:rsidRDefault="00B42EF3">
      <w:pPr>
        <w:pStyle w:val="Definition-Field2"/>
      </w:pPr>
      <w:r>
        <w:t>Office supports only a limited number of date formats possible using ISO 8601, as listed in the Notes field.</w:t>
      </w:r>
    </w:p>
    <w:p w:rsidR="005F78FC" w:rsidRDefault="00B42EF3">
      <w:pPr>
        <w:pStyle w:val="Heading3"/>
      </w:pPr>
      <w:bookmarkStart w:id="1340" w:name="section_3f30b11eade64949b71423291a3c2c78"/>
      <w:bookmarkStart w:id="1341" w:name="_Toc69878443"/>
      <w:r>
        <w:t>Part 1 Section 18.3.1.97, webPublishItem (Web Publishing Item)</w:t>
      </w:r>
      <w:bookmarkEnd w:id="1340"/>
      <w:bookmarkEnd w:id="1341"/>
      <w:r>
        <w:fldChar w:fldCharType="begin"/>
      </w:r>
      <w:r>
        <w:instrText xml:space="preserve"> XE "webPublishItem (Web Publishing Item)" </w:instrText>
      </w:r>
      <w:r>
        <w:fldChar w:fldCharType="end"/>
      </w:r>
    </w:p>
    <w:p w:rsidR="005F78FC" w:rsidRDefault="00B42EF3">
      <w:pPr>
        <w:pStyle w:val="Definition-Field"/>
      </w:pPr>
      <w:r>
        <w:t xml:space="preserve">a.   </w:t>
      </w:r>
      <w:r>
        <w:rPr>
          <w:i/>
        </w:rPr>
        <w:t>The standard does not place any restrictions on the length of the value for the title attribute.</w:t>
      </w:r>
    </w:p>
    <w:p w:rsidR="005F78FC" w:rsidRDefault="00B42EF3">
      <w:pPr>
        <w:pStyle w:val="Definition-Field2"/>
      </w:pPr>
      <w:r>
        <w:t>Office requires that the title attribute be less than 255 characters in length.</w:t>
      </w:r>
    </w:p>
    <w:p w:rsidR="005F78FC" w:rsidRDefault="00B42EF3">
      <w:pPr>
        <w:pStyle w:val="Definition-Field"/>
      </w:pPr>
      <w:r>
        <w:t xml:space="preserve">b.   </w:t>
      </w:r>
      <w:r>
        <w:rPr>
          <w:i/>
        </w:rPr>
        <w:t>The standard does not p</w:t>
      </w:r>
      <w:r>
        <w:rPr>
          <w:i/>
        </w:rPr>
        <w:t>lace any restrictions on the length of the value for the destinationFile attribute.</w:t>
      </w:r>
    </w:p>
    <w:p w:rsidR="005F78FC" w:rsidRDefault="00B42EF3">
      <w:pPr>
        <w:pStyle w:val="Definition-Field2"/>
      </w:pPr>
      <w:r>
        <w:t>Office requires that the destinationFile attribute be less than 255 characters in length, and not empty.</w:t>
      </w:r>
    </w:p>
    <w:p w:rsidR="005F78FC" w:rsidRDefault="00B42EF3">
      <w:pPr>
        <w:pStyle w:val="Definition-Field"/>
      </w:pPr>
      <w:r>
        <w:t xml:space="preserve">c.   </w:t>
      </w:r>
      <w:r>
        <w:rPr>
          <w:i/>
        </w:rPr>
        <w:t xml:space="preserve">The standard does not place any restrictions on the length of </w:t>
      </w:r>
      <w:r>
        <w:rPr>
          <w:i/>
        </w:rPr>
        <w:t>the value for the divId attribute.</w:t>
      </w:r>
    </w:p>
    <w:p w:rsidR="005F78FC" w:rsidRDefault="00B42EF3">
      <w:pPr>
        <w:pStyle w:val="Definition-Field2"/>
      </w:pPr>
      <w:r>
        <w:t>Office requires that the divId attribute be less than 255 characters in length, and not empty.</w:t>
      </w:r>
    </w:p>
    <w:p w:rsidR="005F78FC" w:rsidRDefault="00B42EF3">
      <w:pPr>
        <w:pStyle w:val="Definition-Field"/>
      </w:pPr>
      <w:r>
        <w:t xml:space="preserve">d.   </w:t>
      </w:r>
      <w:r>
        <w:rPr>
          <w:i/>
        </w:rPr>
        <w:t>The standard does not place any restrictions on the length of the value for the sourceObject attribute.</w:t>
      </w:r>
    </w:p>
    <w:p w:rsidR="005F78FC" w:rsidRDefault="00B42EF3">
      <w:pPr>
        <w:pStyle w:val="Definition-Field2"/>
      </w:pPr>
      <w:r>
        <w:t>Office requires t</w:t>
      </w:r>
      <w:r>
        <w:t>hat the sourceObject attribute follow the rules of defined names as specified in Names ("</w:t>
      </w:r>
      <w:hyperlink r:id="rId128">
        <w:r>
          <w:rPr>
            <w:rStyle w:val="Hyperlink"/>
          </w:rPr>
          <w:t>[ISO/IEC-29500-1]</w:t>
        </w:r>
      </w:hyperlink>
      <w:r>
        <w:t xml:space="preserve"> §18.17.2.5").</w:t>
      </w:r>
    </w:p>
    <w:p w:rsidR="005F78FC" w:rsidRDefault="00B42EF3">
      <w:pPr>
        <w:pStyle w:val="Definition-Field"/>
      </w:pPr>
      <w:r>
        <w:t xml:space="preserve">e.   </w:t>
      </w:r>
      <w:r>
        <w:rPr>
          <w:i/>
        </w:rPr>
        <w:t>The standard does not place any restrictions on the value for th</w:t>
      </w:r>
      <w:r>
        <w:rPr>
          <w:i/>
        </w:rPr>
        <w:t>e id attribute.</w:t>
      </w:r>
    </w:p>
    <w:p w:rsidR="005F78FC" w:rsidRDefault="00B42EF3">
      <w:pPr>
        <w:pStyle w:val="Definition-Field2"/>
      </w:pPr>
      <w:r>
        <w:t>Office requires that the value of the id attribute be between 1 and 2147483647 inclusive.</w:t>
      </w:r>
    </w:p>
    <w:p w:rsidR="005F78FC" w:rsidRDefault="00B42EF3">
      <w:pPr>
        <w:pStyle w:val="Definition-Field"/>
      </w:pPr>
      <w:r>
        <w:t xml:space="preserve">f.   </w:t>
      </w:r>
      <w:r>
        <w:rPr>
          <w:i/>
        </w:rPr>
        <w:t>The standard states that the sourceObject attribute is required for sourceType equal to pivotTable, query, or label.</w:t>
      </w:r>
    </w:p>
    <w:p w:rsidR="005F78FC" w:rsidRDefault="00B42EF3">
      <w:pPr>
        <w:pStyle w:val="Definition-Field2"/>
      </w:pPr>
      <w:r>
        <w:t>Office requires the sourceOb</w:t>
      </w:r>
      <w:r>
        <w:t>ject attribute for sourceType equal to pivotTable, query, or label. The sourceObject attribute shall not be present otherwise.</w:t>
      </w:r>
    </w:p>
    <w:p w:rsidR="005F78FC" w:rsidRDefault="00B42EF3">
      <w:pPr>
        <w:pStyle w:val="Definition-Field"/>
      </w:pPr>
      <w:r>
        <w:t xml:space="preserve">g.   </w:t>
      </w:r>
      <w:r>
        <w:rPr>
          <w:i/>
        </w:rPr>
        <w:t>The standard states that the sourceRef attribute is required when the sourceType attribute equals range.</w:t>
      </w:r>
    </w:p>
    <w:p w:rsidR="005F78FC" w:rsidRDefault="00B42EF3">
      <w:pPr>
        <w:pStyle w:val="Definition-Field2"/>
      </w:pPr>
      <w:r>
        <w:lastRenderedPageBreak/>
        <w:t>Office requires the</w:t>
      </w:r>
      <w:r>
        <w:t xml:space="preserve"> sourceRef attribute shall not be missing if the sourceType is a range, otherwise it shall not be present.</w:t>
      </w:r>
    </w:p>
    <w:p w:rsidR="005F78FC" w:rsidRDefault="00B42EF3">
      <w:pPr>
        <w:pStyle w:val="Heading3"/>
      </w:pPr>
      <w:bookmarkStart w:id="1342" w:name="section_06b74d23c4ad4aea80942c046af21ce5"/>
      <w:bookmarkStart w:id="1343" w:name="_Toc69878444"/>
      <w:r>
        <w:t>Part 1 Section 18.3.1.99, worksheet (Worksheet)</w:t>
      </w:r>
      <w:bookmarkEnd w:id="1342"/>
      <w:bookmarkEnd w:id="1343"/>
      <w:r>
        <w:fldChar w:fldCharType="begin"/>
      </w:r>
      <w:r>
        <w:instrText xml:space="preserve"> XE "worksheet (Worksheet)" </w:instrText>
      </w:r>
      <w:r>
        <w:fldChar w:fldCharType="end"/>
      </w:r>
    </w:p>
    <w:p w:rsidR="005F78FC" w:rsidRDefault="00B42EF3">
      <w:pPr>
        <w:pStyle w:val="Definition-Field"/>
      </w:pPr>
      <w:r>
        <w:t xml:space="preserve">a.   </w:t>
      </w:r>
      <w:r>
        <w:rPr>
          <w:i/>
        </w:rPr>
        <w:t>The standard states that the maxOccurs value for the conditionalFo</w:t>
      </w:r>
      <w:r>
        <w:rPr>
          <w:i/>
        </w:rPr>
        <w:t>rmatting child element is unbounded.</w:t>
      </w:r>
    </w:p>
    <w:p w:rsidR="005F78FC" w:rsidRDefault="00B42EF3">
      <w:pPr>
        <w:pStyle w:val="Definition-Field2"/>
      </w:pPr>
      <w:r>
        <w:t>Excel limits the occurrences of this element to 2147483647.</w:t>
      </w:r>
    </w:p>
    <w:p w:rsidR="005F78FC" w:rsidRDefault="00B42EF3">
      <w:pPr>
        <w:pStyle w:val="Definition-Field"/>
      </w:pPr>
      <w:r>
        <w:t xml:space="preserve">b.   </w:t>
      </w:r>
      <w:r>
        <w:rPr>
          <w:i/>
        </w:rPr>
        <w:t>The standard specifies that the drawingHF element is a valid child element of the worksheet element.</w:t>
      </w:r>
    </w:p>
    <w:p w:rsidR="005F78FC" w:rsidRDefault="00B42EF3">
      <w:pPr>
        <w:pStyle w:val="Definition-Field2"/>
      </w:pPr>
      <w:r>
        <w:t>Excel ignores the drawingHF element.</w:t>
      </w:r>
    </w:p>
    <w:p w:rsidR="005F78FC" w:rsidRDefault="00B42EF3">
      <w:pPr>
        <w:pStyle w:val="Heading3"/>
      </w:pPr>
      <w:bookmarkStart w:id="1344" w:name="section_00d10ae34a454065822a7472be383126"/>
      <w:bookmarkStart w:id="1345" w:name="_Toc69878445"/>
      <w:r>
        <w:t>Part 1 Section 18.3.2.1, colorFilter (Color Filter Criteria)</w:t>
      </w:r>
      <w:bookmarkEnd w:id="1344"/>
      <w:bookmarkEnd w:id="1345"/>
      <w:r>
        <w:fldChar w:fldCharType="begin"/>
      </w:r>
      <w:r>
        <w:instrText xml:space="preserve"> XE "colorFilter (Color Filter Criteria)" </w:instrText>
      </w:r>
      <w:r>
        <w:fldChar w:fldCharType="end"/>
      </w:r>
    </w:p>
    <w:p w:rsidR="005F78FC" w:rsidRDefault="00B42EF3">
      <w:pPr>
        <w:pStyle w:val="Definition-Field"/>
      </w:pPr>
      <w:r>
        <w:t xml:space="preserve">a.   </w:t>
      </w:r>
      <w:r>
        <w:rPr>
          <w:i/>
        </w:rPr>
        <w:t>The standard states that the dxfId attribute is optional.</w:t>
      </w:r>
    </w:p>
    <w:p w:rsidR="005F78FC" w:rsidRDefault="00B42EF3">
      <w:pPr>
        <w:pStyle w:val="Definition-Field2"/>
      </w:pPr>
      <w:r>
        <w:t>Excel requires this attribute.</w:t>
      </w:r>
    </w:p>
    <w:p w:rsidR="005F78FC" w:rsidRDefault="00B42EF3">
      <w:pPr>
        <w:pStyle w:val="Heading3"/>
      </w:pPr>
      <w:bookmarkStart w:id="1346" w:name="section_94154f47b251489fbe160bbf4bd183dd"/>
      <w:bookmarkStart w:id="1347" w:name="_Toc69878446"/>
      <w:r>
        <w:t>Part 1 Section 18.3.2.4, dateGroupItem (Date Grouping)</w:t>
      </w:r>
      <w:bookmarkEnd w:id="1346"/>
      <w:bookmarkEnd w:id="1347"/>
      <w:r>
        <w:fldChar w:fldCharType="begin"/>
      </w:r>
      <w:r>
        <w:instrText xml:space="preserve"> XE</w:instrText>
      </w:r>
      <w:r>
        <w:instrText xml:space="preserve"> "dateGroupItem (Date Grouping)" </w:instrText>
      </w:r>
      <w:r>
        <w:fldChar w:fldCharType="end"/>
      </w:r>
    </w:p>
    <w:p w:rsidR="005F78FC" w:rsidRDefault="00B42EF3">
      <w:pPr>
        <w:pStyle w:val="Definition-Field"/>
      </w:pPr>
      <w:r>
        <w:t xml:space="preserve">a.   </w:t>
      </w:r>
      <w:r>
        <w:rPr>
          <w:i/>
        </w:rPr>
        <w:t>The standard does not specify a default value for the month attribute.</w:t>
      </w:r>
    </w:p>
    <w:p w:rsidR="005F78FC" w:rsidRDefault="00B42EF3">
      <w:pPr>
        <w:pStyle w:val="Definition-Field2"/>
      </w:pPr>
      <w:r>
        <w:t>Excel uses a default value of 1 for this attribute.</w:t>
      </w:r>
    </w:p>
    <w:p w:rsidR="005F78FC" w:rsidRDefault="00B42EF3">
      <w:pPr>
        <w:pStyle w:val="Definition-Field"/>
      </w:pPr>
      <w:r>
        <w:t xml:space="preserve">b.   </w:t>
      </w:r>
      <w:r>
        <w:rPr>
          <w:i/>
        </w:rPr>
        <w:t>The standard does not specify a default value for the day attribute.</w:t>
      </w:r>
    </w:p>
    <w:p w:rsidR="005F78FC" w:rsidRDefault="00B42EF3">
      <w:pPr>
        <w:pStyle w:val="Definition-Field2"/>
      </w:pPr>
      <w:r>
        <w:t>Excel uses a defau</w:t>
      </w:r>
      <w:r>
        <w:t>lt value of 1 for this attribute.</w:t>
      </w:r>
    </w:p>
    <w:p w:rsidR="005F78FC" w:rsidRDefault="00B42EF3">
      <w:pPr>
        <w:pStyle w:val="Definition-Field"/>
      </w:pPr>
      <w:r>
        <w:t xml:space="preserve">c.   </w:t>
      </w:r>
      <w:r>
        <w:rPr>
          <w:i/>
        </w:rPr>
        <w:t>The standard does not specify a default value for the hour attribute.</w:t>
      </w:r>
    </w:p>
    <w:p w:rsidR="005F78FC" w:rsidRDefault="00B42EF3">
      <w:pPr>
        <w:pStyle w:val="Definition-Field2"/>
      </w:pPr>
      <w:r>
        <w:t>Excel uses a default value of 0 for this attribute.</w:t>
      </w:r>
    </w:p>
    <w:p w:rsidR="005F78FC" w:rsidRDefault="00B42EF3">
      <w:pPr>
        <w:pStyle w:val="Definition-Field"/>
      </w:pPr>
      <w:r>
        <w:t xml:space="preserve">d.   </w:t>
      </w:r>
      <w:r>
        <w:rPr>
          <w:i/>
        </w:rPr>
        <w:t>The standard does not specify a default value for the minute attribute.</w:t>
      </w:r>
    </w:p>
    <w:p w:rsidR="005F78FC" w:rsidRDefault="00B42EF3">
      <w:pPr>
        <w:pStyle w:val="Definition-Field2"/>
      </w:pPr>
      <w:r>
        <w:t>Excel uses a defau</w:t>
      </w:r>
      <w:r>
        <w:t>lt value of 0 for this attribute.</w:t>
      </w:r>
    </w:p>
    <w:p w:rsidR="005F78FC" w:rsidRDefault="00B42EF3">
      <w:pPr>
        <w:pStyle w:val="Definition-Field"/>
      </w:pPr>
      <w:r>
        <w:t xml:space="preserve">e.   </w:t>
      </w:r>
      <w:r>
        <w:rPr>
          <w:i/>
        </w:rPr>
        <w:t>The standard does not specify a default value for the second attribute.</w:t>
      </w:r>
    </w:p>
    <w:p w:rsidR="005F78FC" w:rsidRDefault="00B42EF3">
      <w:pPr>
        <w:pStyle w:val="Definition-Field2"/>
      </w:pPr>
      <w:r>
        <w:t>Excel uses a default value of 0 for this attribute.</w:t>
      </w:r>
    </w:p>
    <w:p w:rsidR="005F78FC" w:rsidRDefault="00B42EF3">
      <w:pPr>
        <w:pStyle w:val="Heading3"/>
      </w:pPr>
      <w:bookmarkStart w:id="1348" w:name="section_d118f1d4878c4db69f4a63dba6e56158"/>
      <w:bookmarkStart w:id="1349" w:name="_Toc69878447"/>
      <w:r>
        <w:t>Part 1 Section 18.3.2.5, dynamicFilter (Dynamic Filter)</w:t>
      </w:r>
      <w:bookmarkEnd w:id="1348"/>
      <w:bookmarkEnd w:id="1349"/>
      <w:r>
        <w:fldChar w:fldCharType="begin"/>
      </w:r>
      <w:r>
        <w:instrText xml:space="preserve"> XE "dynamicFilter (Dynamic Filter)" </w:instrText>
      </w:r>
      <w:r>
        <w:fldChar w:fldCharType="end"/>
      </w:r>
    </w:p>
    <w:p w:rsidR="005F78FC" w:rsidRDefault="00B42EF3">
      <w:pPr>
        <w:pStyle w:val="Definition-Field"/>
      </w:pPr>
      <w:r>
        <w:t xml:space="preserve">a.   </w:t>
      </w:r>
      <w:r>
        <w:rPr>
          <w:i/>
        </w:rPr>
        <w:t>The standard does not place any limitations on the value of the val attribute.</w:t>
      </w:r>
    </w:p>
    <w:p w:rsidR="005F78FC" w:rsidRDefault="00B42EF3">
      <w:pPr>
        <w:pStyle w:val="Definition-Field2"/>
      </w:pPr>
      <w:r>
        <w:t>Office requires that the val attribute be less than the maxVal attribute.</w:t>
      </w:r>
    </w:p>
    <w:p w:rsidR="005F78FC" w:rsidRDefault="00B42EF3">
      <w:pPr>
        <w:pStyle w:val="Definition-Field"/>
      </w:pPr>
      <w:r>
        <w:t xml:space="preserve">b.   </w:t>
      </w:r>
      <w:r>
        <w:rPr>
          <w:i/>
        </w:rPr>
        <w:t xml:space="preserve">The standard states in the description of the val attribute: "See description of maxVal to </w:t>
      </w:r>
      <w:r>
        <w:rPr>
          <w:i/>
        </w:rPr>
        <w:t>understand when val is required." However, the description of the maxVal attribute is not clear that both values are required at the same time.</w:t>
      </w:r>
    </w:p>
    <w:p w:rsidR="005F78FC" w:rsidRDefault="00B42EF3">
      <w:pPr>
        <w:pStyle w:val="Definition-Field2"/>
      </w:pPr>
      <w:r>
        <w:t>Office requires that @val is required whenever @maxVal is required.</w:t>
      </w:r>
    </w:p>
    <w:p w:rsidR="005F78FC" w:rsidRDefault="00B42EF3">
      <w:pPr>
        <w:pStyle w:val="Definition-Field"/>
      </w:pPr>
      <w:r>
        <w:t xml:space="preserve">c.   </w:t>
      </w:r>
      <w:r>
        <w:rPr>
          <w:i/>
        </w:rPr>
        <w:t>The standard describes @maxVal as optio</w:t>
      </w:r>
      <w:r>
        <w:rPr>
          <w:i/>
        </w:rPr>
        <w:t>nal and correctly describes instances when it is required and what it means then, but does not state what happens when it is not required.</w:t>
      </w:r>
    </w:p>
    <w:p w:rsidR="005F78FC" w:rsidRDefault="00B42EF3">
      <w:pPr>
        <w:pStyle w:val="Definition-Field2"/>
      </w:pPr>
      <w:r>
        <w:t>Office requires that when @maxVal is not required, it shall not be written out.</w:t>
      </w:r>
    </w:p>
    <w:p w:rsidR="005F78FC" w:rsidRDefault="00B42EF3">
      <w:pPr>
        <w:pStyle w:val="Heading3"/>
      </w:pPr>
      <w:bookmarkStart w:id="1350" w:name="section_2d4504f3c3044e20b7542e0595c1d917"/>
      <w:bookmarkStart w:id="1351" w:name="_Toc69878448"/>
      <w:r>
        <w:lastRenderedPageBreak/>
        <w:t>Part 1 Section 18.3.2.6, filter (Filt</w:t>
      </w:r>
      <w:r>
        <w:t>er)</w:t>
      </w:r>
      <w:bookmarkEnd w:id="1350"/>
      <w:bookmarkEnd w:id="1351"/>
      <w:r>
        <w:fldChar w:fldCharType="begin"/>
      </w:r>
      <w:r>
        <w:instrText xml:space="preserve"> XE "filter (Filter)" </w:instrText>
      </w:r>
      <w:r>
        <w:fldChar w:fldCharType="end"/>
      </w:r>
    </w:p>
    <w:p w:rsidR="005F78FC" w:rsidRDefault="00B42EF3">
      <w:pPr>
        <w:pStyle w:val="Definition-Field"/>
      </w:pPr>
      <w:r>
        <w:t xml:space="preserve">a.   </w:t>
      </w:r>
      <w:r>
        <w:rPr>
          <w:i/>
        </w:rPr>
        <w:t>The standard implies that the val attribute is optional.</w:t>
      </w:r>
    </w:p>
    <w:p w:rsidR="005F78FC" w:rsidRDefault="00B42EF3">
      <w:pPr>
        <w:pStyle w:val="Definition-Field2"/>
      </w:pPr>
      <w:r>
        <w:t>Excel requires this attribute.</w:t>
      </w:r>
    </w:p>
    <w:p w:rsidR="005F78FC" w:rsidRDefault="00B42EF3">
      <w:pPr>
        <w:pStyle w:val="Heading3"/>
      </w:pPr>
      <w:bookmarkStart w:id="1352" w:name="section_fa72fc954ca54476bce45d0b756e667d"/>
      <w:bookmarkStart w:id="1353" w:name="_Toc69878449"/>
      <w:r>
        <w:t>Part 1 Section 18.3.2.7, filterColumn (AutoFilter Column)</w:t>
      </w:r>
      <w:bookmarkEnd w:id="1352"/>
      <w:bookmarkEnd w:id="1353"/>
      <w:r>
        <w:fldChar w:fldCharType="begin"/>
      </w:r>
      <w:r>
        <w:instrText xml:space="preserve"> XE "filterColumn (AutoFilter Column)" </w:instrText>
      </w:r>
      <w:r>
        <w:fldChar w:fldCharType="end"/>
      </w:r>
    </w:p>
    <w:p w:rsidR="005F78FC" w:rsidRDefault="00B42EF3">
      <w:pPr>
        <w:pStyle w:val="Definition-Field"/>
      </w:pPr>
      <w:r>
        <w:t xml:space="preserve">a.   </w:t>
      </w:r>
      <w:r>
        <w:rPr>
          <w:i/>
        </w:rPr>
        <w:t>The standard does not place lim</w:t>
      </w:r>
      <w:r>
        <w:rPr>
          <w:i/>
        </w:rPr>
        <w:t>itations on the value of the colId attribute.</w:t>
      </w:r>
    </w:p>
    <w:p w:rsidR="005F78FC" w:rsidRDefault="00B42EF3">
      <w:pPr>
        <w:pStyle w:val="Definition-Field2"/>
      </w:pPr>
      <w:r>
        <w:t>In Office, the colId attribute must be greater than or equal to 0 and less than or equal to the number of columns in the region described by the parent autoFilter element's ref attribute.</w:t>
      </w:r>
    </w:p>
    <w:p w:rsidR="005F78FC" w:rsidRDefault="00B42EF3">
      <w:pPr>
        <w:pStyle w:val="Heading3"/>
      </w:pPr>
      <w:bookmarkStart w:id="1354" w:name="section_24c0f8b91ce6447dae7cf2d69e0727b0"/>
      <w:bookmarkStart w:id="1355" w:name="_Toc69878450"/>
      <w:r>
        <w:t>Part 1 Section 18.3.2.</w:t>
      </w:r>
      <w:r>
        <w:t>8, filters (Filter Criteria)</w:t>
      </w:r>
      <w:bookmarkEnd w:id="1354"/>
      <w:bookmarkEnd w:id="1355"/>
      <w:r>
        <w:fldChar w:fldCharType="begin"/>
      </w:r>
      <w:r>
        <w:instrText xml:space="preserve"> XE "filters (Filter Criteria)" </w:instrText>
      </w:r>
      <w:r>
        <w:fldChar w:fldCharType="end"/>
      </w:r>
    </w:p>
    <w:p w:rsidR="005F78FC" w:rsidRDefault="00B42EF3">
      <w:pPr>
        <w:pStyle w:val="Definition-Field"/>
      </w:pPr>
      <w:r>
        <w:t xml:space="preserve">a.   </w:t>
      </w:r>
      <w:r>
        <w:rPr>
          <w:i/>
        </w:rPr>
        <w:t>The standard states that the filter and dateGroupItem child elements should be sequenced.</w:t>
      </w:r>
    </w:p>
    <w:p w:rsidR="005F78FC" w:rsidRDefault="00B42EF3">
      <w:pPr>
        <w:pStyle w:val="Definition-Field2"/>
      </w:pPr>
      <w:r>
        <w:t>Excel requires these child elements to be a choice of one or the other.</w:t>
      </w:r>
    </w:p>
    <w:p w:rsidR="005F78FC" w:rsidRDefault="00B42EF3">
      <w:pPr>
        <w:pStyle w:val="Definition-Field"/>
      </w:pPr>
      <w:r>
        <w:t xml:space="preserve">b.   </w:t>
      </w:r>
      <w:r>
        <w:rPr>
          <w:i/>
        </w:rPr>
        <w:t xml:space="preserve">The standard defines </w:t>
      </w:r>
      <w:r>
        <w:rPr>
          <w:i/>
        </w:rPr>
        <w:t>the calendarType attribute for date grouped items.</w:t>
      </w:r>
    </w:p>
    <w:p w:rsidR="005F78FC" w:rsidRDefault="00B42EF3">
      <w:pPr>
        <w:pStyle w:val="Definition-Field2"/>
      </w:pPr>
      <w:r>
        <w:t>Office ignores the calendarType attribute.</w:t>
      </w:r>
    </w:p>
    <w:p w:rsidR="005F78FC" w:rsidRDefault="00B42EF3">
      <w:pPr>
        <w:pStyle w:val="Definition-Field"/>
      </w:pPr>
      <w:r>
        <w:t xml:space="preserve">c.   </w:t>
      </w:r>
      <w:r>
        <w:rPr>
          <w:i/>
        </w:rPr>
        <w:t>The standard states that the calendarType attribute is of type ST_CalendarType, which has a value for "saka".</w:t>
      </w:r>
    </w:p>
    <w:p w:rsidR="005F78FC" w:rsidRDefault="00B42EF3">
      <w:pPr>
        <w:pStyle w:val="Definition-Field2"/>
      </w:pPr>
      <w:r>
        <w:t>Office does not support the ST_CalendarType val</w:t>
      </w:r>
      <w:r>
        <w:t>ue of "saka" and instead treats the "saka" value as equivalent to the "none" value of ST_CalendarType.</w:t>
      </w:r>
    </w:p>
    <w:p w:rsidR="005F78FC" w:rsidRDefault="00B42EF3">
      <w:pPr>
        <w:pStyle w:val="Heading3"/>
      </w:pPr>
      <w:bookmarkStart w:id="1356" w:name="section_05446a4887db4862bbb94fbf551e51e1"/>
      <w:bookmarkStart w:id="1357" w:name="_Toc69878451"/>
      <w:r>
        <w:t>Part 1 Section 18.3.2.9, iconFilter (Icon Filter)</w:t>
      </w:r>
      <w:bookmarkEnd w:id="1356"/>
      <w:bookmarkEnd w:id="1357"/>
      <w:r>
        <w:fldChar w:fldCharType="begin"/>
      </w:r>
      <w:r>
        <w:instrText xml:space="preserve"> XE "iconFilter (Icon Filter)" </w:instrText>
      </w:r>
      <w:r>
        <w:fldChar w:fldCharType="end"/>
      </w:r>
    </w:p>
    <w:p w:rsidR="005F78FC" w:rsidRDefault="00B42EF3">
      <w:pPr>
        <w:pStyle w:val="Definition-Field"/>
      </w:pPr>
      <w:r>
        <w:t xml:space="preserve">a.   </w:t>
      </w:r>
      <w:r>
        <w:rPr>
          <w:i/>
        </w:rPr>
        <w:t>The standard does not specify any limitations on the value of the</w:t>
      </w:r>
      <w:r>
        <w:rPr>
          <w:i/>
        </w:rPr>
        <w:t xml:space="preserve"> iconId attribute.</w:t>
      </w:r>
    </w:p>
    <w:p w:rsidR="005F78FC" w:rsidRDefault="00B42EF3">
      <w:pPr>
        <w:pStyle w:val="Definition-Field2"/>
      </w:pPr>
      <w:r>
        <w:t>Office requires that value in the iconId attribute is less than the total number of icons in the iconSet.</w:t>
      </w:r>
    </w:p>
    <w:p w:rsidR="005F78FC" w:rsidRDefault="00B42EF3">
      <w:pPr>
        <w:pStyle w:val="Heading3"/>
      </w:pPr>
      <w:bookmarkStart w:id="1358" w:name="section_2961ac370f8e47a889f9981403e619b6"/>
      <w:bookmarkStart w:id="1359" w:name="_Toc69878452"/>
      <w:r>
        <w:t>Part 1 Section 18.3.2.10, top10 (Top 10)</w:t>
      </w:r>
      <w:bookmarkEnd w:id="1358"/>
      <w:bookmarkEnd w:id="1359"/>
      <w:r>
        <w:fldChar w:fldCharType="begin"/>
      </w:r>
      <w:r>
        <w:instrText xml:space="preserve"> XE "top10 (Top 10)" </w:instrText>
      </w:r>
      <w:r>
        <w:fldChar w:fldCharType="end"/>
      </w:r>
    </w:p>
    <w:p w:rsidR="005F78FC" w:rsidRDefault="00B42EF3">
      <w:pPr>
        <w:pStyle w:val="Definition-Field"/>
      </w:pPr>
      <w:r>
        <w:t xml:space="preserve">a.   </w:t>
      </w:r>
      <w:r>
        <w:rPr>
          <w:i/>
        </w:rPr>
        <w:t>The standard does not mention any limits on the value of @val.</w:t>
      </w:r>
    </w:p>
    <w:p w:rsidR="005F78FC" w:rsidRDefault="00B42EF3">
      <w:pPr>
        <w:pStyle w:val="Definition-Field2"/>
      </w:pPr>
      <w:r>
        <w:t>In Office, if this element is on a pivottable, the @val must be greater than or equal to 0. Otherwise, it must be between 1 and 500 inclusive.</w:t>
      </w:r>
    </w:p>
    <w:p w:rsidR="005F78FC" w:rsidRDefault="00B42EF3">
      <w:pPr>
        <w:pStyle w:val="Definition-Field"/>
      </w:pPr>
      <w:r>
        <w:t xml:space="preserve">b.   </w:t>
      </w:r>
      <w:r>
        <w:rPr>
          <w:i/>
        </w:rPr>
        <w:t>The standard does not specify a default value for the filterVal attribute.</w:t>
      </w:r>
    </w:p>
    <w:p w:rsidR="005F78FC" w:rsidRDefault="00B42EF3">
      <w:pPr>
        <w:pStyle w:val="Definition-Field2"/>
      </w:pPr>
      <w:r>
        <w:t xml:space="preserve">Excel uses a default value of 0 </w:t>
      </w:r>
      <w:r>
        <w:t>for this attribute.</w:t>
      </w:r>
    </w:p>
    <w:p w:rsidR="005F78FC" w:rsidRDefault="00B42EF3">
      <w:pPr>
        <w:pStyle w:val="Heading3"/>
      </w:pPr>
      <w:bookmarkStart w:id="1360" w:name="section_90eb53d6da854c0280cf509eeec5124a"/>
      <w:bookmarkStart w:id="1361" w:name="_Toc69878453"/>
      <w:r>
        <w:t>Part 1 Section 18.4.3, phoneticPr (Phonetic Properties)</w:t>
      </w:r>
      <w:bookmarkEnd w:id="1360"/>
      <w:bookmarkEnd w:id="1361"/>
      <w:r>
        <w:fldChar w:fldCharType="begin"/>
      </w:r>
      <w:r>
        <w:instrText xml:space="preserve"> XE "phoneticPr (Phonetic Properties)" </w:instrText>
      </w:r>
      <w:r>
        <w:fldChar w:fldCharType="end"/>
      </w:r>
    </w:p>
    <w:p w:rsidR="005F78FC" w:rsidRDefault="00B42EF3">
      <w:pPr>
        <w:pStyle w:val="Definition-Field"/>
      </w:pPr>
      <w:r>
        <w:t xml:space="preserve">a.   </w:t>
      </w:r>
      <w:r>
        <w:rPr>
          <w:i/>
        </w:rPr>
        <w:t>The standard states that the type attribute specifies which type of East Asian character set should be used to display the phonetic ru</w:t>
      </w:r>
      <w:r>
        <w:rPr>
          <w:i/>
        </w:rPr>
        <w:t>n.</w:t>
      </w:r>
    </w:p>
    <w:p w:rsidR="005F78FC" w:rsidRDefault="00B42EF3">
      <w:pPr>
        <w:pStyle w:val="Definition-Field2"/>
      </w:pPr>
      <w:r>
        <w:t>Excel uses this attribute to specify which Japanese character set should be used to display the phonetic run.</w:t>
      </w:r>
    </w:p>
    <w:p w:rsidR="005F78FC" w:rsidRDefault="00B42EF3">
      <w:pPr>
        <w:pStyle w:val="Definition-Field"/>
      </w:pPr>
      <w:r>
        <w:t xml:space="preserve">b.   </w:t>
      </w:r>
      <w:r>
        <w:rPr>
          <w:i/>
        </w:rPr>
        <w:t>The standard states that phonetic text is allowed for East Asian languages.</w:t>
      </w:r>
    </w:p>
    <w:p w:rsidR="005F78FC" w:rsidRDefault="00B42EF3">
      <w:pPr>
        <w:pStyle w:val="Definition-Field2"/>
      </w:pPr>
      <w:r>
        <w:t>Excel restricts phonetic text to the Japanese language.</w:t>
      </w:r>
    </w:p>
    <w:p w:rsidR="005F78FC" w:rsidRDefault="00B42EF3">
      <w:pPr>
        <w:pStyle w:val="Heading3"/>
      </w:pPr>
      <w:bookmarkStart w:id="1362" w:name="section_00d5905375314caaa1e4be1838a69013"/>
      <w:bookmarkStart w:id="1363" w:name="_Toc69878454"/>
      <w:r>
        <w:lastRenderedPageBreak/>
        <w:t>Part 1</w:t>
      </w:r>
      <w:r>
        <w:t xml:space="preserve"> Section 18.4.5, rFont (Font)</w:t>
      </w:r>
      <w:bookmarkEnd w:id="1362"/>
      <w:bookmarkEnd w:id="1363"/>
      <w:r>
        <w:fldChar w:fldCharType="begin"/>
      </w:r>
      <w:r>
        <w:instrText xml:space="preserve"> XE "rFont (Font)" </w:instrText>
      </w:r>
      <w:r>
        <w:fldChar w:fldCharType="end"/>
      </w:r>
    </w:p>
    <w:p w:rsidR="005F78FC" w:rsidRDefault="00B42EF3">
      <w:pPr>
        <w:pStyle w:val="Definition-Field"/>
      </w:pPr>
      <w:r>
        <w:t xml:space="preserve">a.   </w:t>
      </w:r>
      <w:r>
        <w:rPr>
          <w:i/>
        </w:rPr>
        <w:t>The standard specifies the string length for the val attribute shall be 0 to 31 characters.</w:t>
      </w:r>
    </w:p>
    <w:p w:rsidR="005F78FC" w:rsidRDefault="00B42EF3">
      <w:pPr>
        <w:pStyle w:val="Definition-Field2"/>
      </w:pPr>
      <w:r>
        <w:t>Office requires the length to be that of the string before escaping.</w:t>
      </w:r>
    </w:p>
    <w:p w:rsidR="005F78FC" w:rsidRDefault="00B42EF3">
      <w:pPr>
        <w:pStyle w:val="Heading3"/>
      </w:pPr>
      <w:bookmarkStart w:id="1364" w:name="section_7a3b21a4906947cfbf05b777e6d2078d"/>
      <w:bookmarkStart w:id="1365" w:name="_Toc69878455"/>
      <w:r>
        <w:t>Part 1 Section 18.4.6, rPh (Phonetic Ru</w:t>
      </w:r>
      <w:r>
        <w:t>n)</w:t>
      </w:r>
      <w:bookmarkEnd w:id="1364"/>
      <w:bookmarkEnd w:id="1365"/>
      <w:r>
        <w:fldChar w:fldCharType="begin"/>
      </w:r>
      <w:r>
        <w:instrText xml:space="preserve"> XE "rPh (Phonetic Run)" </w:instrText>
      </w:r>
      <w:r>
        <w:fldChar w:fldCharType="end"/>
      </w:r>
    </w:p>
    <w:p w:rsidR="005F78FC" w:rsidRDefault="00B42EF3">
      <w:pPr>
        <w:pStyle w:val="Definition-Field"/>
      </w:pPr>
      <w:r>
        <w:t xml:space="preserve">a.   </w:t>
      </w:r>
      <w:r>
        <w:rPr>
          <w:i/>
        </w:rPr>
        <w:t>The standard states that phonetic text is allowed for East Asian languages.</w:t>
      </w:r>
    </w:p>
    <w:p w:rsidR="005F78FC" w:rsidRDefault="00B42EF3">
      <w:pPr>
        <w:pStyle w:val="Definition-Field2"/>
      </w:pPr>
      <w:r>
        <w:t>Excel restricts phonetic text to the Japanese language.</w:t>
      </w:r>
    </w:p>
    <w:p w:rsidR="005F78FC" w:rsidRDefault="00B42EF3">
      <w:pPr>
        <w:pStyle w:val="Heading3"/>
      </w:pPr>
      <w:bookmarkStart w:id="1366" w:name="section_29f6b8095f1a4b2bb65a0286a0758460"/>
      <w:bookmarkStart w:id="1367" w:name="_Toc69878456"/>
      <w:r>
        <w:t>Part 1 Section 18.4.7, rPr (Run Properties)</w:t>
      </w:r>
      <w:bookmarkEnd w:id="1366"/>
      <w:bookmarkEnd w:id="1367"/>
      <w:r>
        <w:fldChar w:fldCharType="begin"/>
      </w:r>
      <w:r>
        <w:instrText xml:space="preserve"> XE "rPr (Run Properties)" </w:instrText>
      </w:r>
      <w:r>
        <w:fldChar w:fldCharType="end"/>
      </w:r>
    </w:p>
    <w:p w:rsidR="005F78FC" w:rsidRDefault="00B42EF3">
      <w:pPr>
        <w:pStyle w:val="Definition-Field"/>
      </w:pPr>
      <w:r>
        <w:t xml:space="preserve">a.   </w:t>
      </w:r>
      <w:r>
        <w:rPr>
          <w:i/>
        </w:rPr>
        <w:t xml:space="preserve">The </w:t>
      </w:r>
      <w:r>
        <w:rPr>
          <w:i/>
        </w:rPr>
        <w:t>standard defines the child elements using a choice.</w:t>
      </w:r>
    </w:p>
    <w:p w:rsidR="005F78FC" w:rsidRDefault="00B42EF3">
      <w:pPr>
        <w:pStyle w:val="Definition-Field2"/>
      </w:pPr>
      <w:r>
        <w:t>Excel requires the child elements to be in the following sequence:  b, i, strike, condense, extend, outline, shadow, u, vertAlign, sz, color, rFont, family, charset, scheme.</w:t>
      </w:r>
    </w:p>
    <w:p w:rsidR="005F78FC" w:rsidRDefault="00B42EF3">
      <w:pPr>
        <w:pStyle w:val="Heading3"/>
      </w:pPr>
      <w:bookmarkStart w:id="1368" w:name="section_7265d89c907745b5826fffa7a10811ae"/>
      <w:bookmarkStart w:id="1369" w:name="_Toc69878457"/>
      <w:r>
        <w:t>Part 1 Section 18.4.8, si (Str</w:t>
      </w:r>
      <w:r>
        <w:t>ing Item)</w:t>
      </w:r>
      <w:bookmarkEnd w:id="1368"/>
      <w:bookmarkEnd w:id="1369"/>
      <w:r>
        <w:fldChar w:fldCharType="begin"/>
      </w:r>
      <w:r>
        <w:instrText xml:space="preserve"> XE "si (String Item)" </w:instrText>
      </w:r>
      <w:r>
        <w:fldChar w:fldCharType="end"/>
      </w:r>
    </w:p>
    <w:p w:rsidR="005F78FC" w:rsidRDefault="00B42EF3">
      <w:pPr>
        <w:pStyle w:val="Definition-Field"/>
      </w:pPr>
      <w:r>
        <w:t xml:space="preserve">a.   </w:t>
      </w:r>
      <w:r>
        <w:rPr>
          <w:i/>
        </w:rPr>
        <w:t>The standard states that t can be an unbounded number of characters.</w:t>
      </w:r>
    </w:p>
    <w:p w:rsidR="005F78FC" w:rsidRDefault="00B42EF3">
      <w:pPr>
        <w:pStyle w:val="Definition-Field2"/>
      </w:pPr>
      <w:r>
        <w:t>Excel restricts t to 32767.</w:t>
      </w:r>
    </w:p>
    <w:p w:rsidR="005F78FC" w:rsidRDefault="00B42EF3">
      <w:pPr>
        <w:pStyle w:val="Definition-Field"/>
      </w:pPr>
      <w:r>
        <w:t xml:space="preserve">b.   </w:t>
      </w:r>
      <w:r>
        <w:rPr>
          <w:i/>
        </w:rPr>
        <w:t>The standard states that the maxOccurs value for the r child element is unbounded.</w:t>
      </w:r>
    </w:p>
    <w:p w:rsidR="005F78FC" w:rsidRDefault="00B42EF3">
      <w:pPr>
        <w:pStyle w:val="Definition-Field2"/>
      </w:pPr>
      <w:r>
        <w:t>Excel limits the occurrences of</w:t>
      </w:r>
      <w:r>
        <w:t xml:space="preserve"> this element to 32767.</w:t>
      </w:r>
    </w:p>
    <w:p w:rsidR="005F78FC" w:rsidRDefault="00B42EF3">
      <w:pPr>
        <w:pStyle w:val="Definition-Field"/>
      </w:pPr>
      <w:r>
        <w:t xml:space="preserve">c.   </w:t>
      </w:r>
      <w:r>
        <w:rPr>
          <w:i/>
        </w:rPr>
        <w:t>The standard states that the maxOccurs value for the rPh child element is unbounded.</w:t>
      </w:r>
    </w:p>
    <w:p w:rsidR="005F78FC" w:rsidRDefault="00B42EF3">
      <w:pPr>
        <w:pStyle w:val="Definition-Field2"/>
      </w:pPr>
      <w:r>
        <w:t>Excel limits the occurrences of this element to 32767.</w:t>
      </w:r>
    </w:p>
    <w:p w:rsidR="005F78FC" w:rsidRDefault="00B42EF3">
      <w:pPr>
        <w:pStyle w:val="Heading3"/>
      </w:pPr>
      <w:bookmarkStart w:id="1370" w:name="section_4e99ac5e199d4c0cab34198ab8fbbeba"/>
      <w:bookmarkStart w:id="1371" w:name="_Toc69878458"/>
      <w:r>
        <w:t>Part 1 Section 18.4.9, sst (Shared String Table)</w:t>
      </w:r>
      <w:bookmarkEnd w:id="1370"/>
      <w:bookmarkEnd w:id="1371"/>
      <w:r>
        <w:fldChar w:fldCharType="begin"/>
      </w:r>
      <w:r>
        <w:instrText xml:space="preserve"> XE "sst (Shared String Table)" </w:instrText>
      </w:r>
      <w:r>
        <w:fldChar w:fldCharType="end"/>
      </w:r>
    </w:p>
    <w:p w:rsidR="005F78FC" w:rsidRDefault="00B42EF3">
      <w:pPr>
        <w:pStyle w:val="Definition-Field"/>
      </w:pPr>
      <w:r>
        <w:t xml:space="preserve">a.  </w:t>
      </w:r>
      <w:r>
        <w:t xml:space="preserve"> </w:t>
      </w:r>
      <w:r>
        <w:rPr>
          <w:i/>
        </w:rPr>
        <w:t>The standard specifies uniqueCount as an unbound unsigned int.</w:t>
      </w:r>
    </w:p>
    <w:p w:rsidR="005F78FC" w:rsidRDefault="00B42EF3">
      <w:pPr>
        <w:pStyle w:val="Definition-Field2"/>
      </w:pPr>
      <w:r>
        <w:t>Office requires the value be less than or equal to 2147483647.</w:t>
      </w:r>
    </w:p>
    <w:p w:rsidR="005F78FC" w:rsidRDefault="00B42EF3">
      <w:pPr>
        <w:pStyle w:val="Definition-Field"/>
      </w:pPr>
      <w:r>
        <w:t xml:space="preserve">b.   </w:t>
      </w:r>
      <w:r>
        <w:rPr>
          <w:i/>
        </w:rPr>
        <w:t>The standard specifies count as an unbound unsigned int.</w:t>
      </w:r>
    </w:p>
    <w:p w:rsidR="005F78FC" w:rsidRDefault="00B42EF3">
      <w:pPr>
        <w:pStyle w:val="Definition-Field2"/>
      </w:pPr>
      <w:r>
        <w:t>Office requires the value be less than or equal to 2147483647.</w:t>
      </w:r>
    </w:p>
    <w:p w:rsidR="005F78FC" w:rsidRDefault="00B42EF3">
      <w:pPr>
        <w:pStyle w:val="Heading3"/>
      </w:pPr>
      <w:bookmarkStart w:id="1372" w:name="section_347b28bddabc4ef59fe74e57690fbbd4"/>
      <w:bookmarkStart w:id="1373" w:name="_Toc69878459"/>
      <w:r>
        <w:t>Part</w:t>
      </w:r>
      <w:r>
        <w:t xml:space="preserve"> 1 Section 18.4.11, sz (Font Size)</w:t>
      </w:r>
      <w:bookmarkEnd w:id="1372"/>
      <w:bookmarkEnd w:id="1373"/>
      <w:r>
        <w:fldChar w:fldCharType="begin"/>
      </w:r>
      <w:r>
        <w:instrText xml:space="preserve"> XE "sz (Font Size)" </w:instrText>
      </w:r>
      <w:r>
        <w:fldChar w:fldCharType="end"/>
      </w:r>
    </w:p>
    <w:p w:rsidR="005F78FC" w:rsidRDefault="00B42EF3">
      <w:pPr>
        <w:pStyle w:val="Definition-Field"/>
      </w:pPr>
      <w:r>
        <w:t xml:space="preserve">a.   </w:t>
      </w:r>
      <w:r>
        <w:rPr>
          <w:i/>
        </w:rPr>
        <w:t>The standard restricts the definition of the sz element to Latin and East Asian text only.</w:t>
      </w:r>
    </w:p>
    <w:p w:rsidR="005F78FC" w:rsidRDefault="00B42EF3">
      <w:pPr>
        <w:pStyle w:val="Definition-Field2"/>
      </w:pPr>
      <w:r>
        <w:t>Office does not restrict the applicability of the sz element to only Latin and East Asian text, that i</w:t>
      </w:r>
      <w:r>
        <w:t>s, it applies to all text.</w:t>
      </w:r>
    </w:p>
    <w:p w:rsidR="005F78FC" w:rsidRDefault="00B42EF3">
      <w:pPr>
        <w:pStyle w:val="Definition-Field"/>
      </w:pPr>
      <w:r>
        <w:t xml:space="preserve">b.   </w:t>
      </w:r>
      <w:r>
        <w:rPr>
          <w:i/>
        </w:rPr>
        <w:t>The standard states that sz is the point size to be used to display text.</w:t>
      </w:r>
    </w:p>
    <w:p w:rsidR="005F78FC" w:rsidRDefault="00B42EF3">
      <w:pPr>
        <w:pStyle w:val="Definition-Field2"/>
      </w:pPr>
      <w:r>
        <w:t>Office converts the points provided to twips, and rounding may occur when writing sz@val back to SpreadsheetML files.</w:t>
      </w:r>
    </w:p>
    <w:p w:rsidR="005F78FC" w:rsidRDefault="00B42EF3">
      <w:pPr>
        <w:pStyle w:val="Definition-Field"/>
      </w:pPr>
      <w:r>
        <w:t xml:space="preserve">c.   </w:t>
      </w:r>
      <w:r>
        <w:rPr>
          <w:i/>
        </w:rPr>
        <w:t>The standard does not speci</w:t>
      </w:r>
      <w:r>
        <w:rPr>
          <w:i/>
        </w:rPr>
        <w:t>fy restrictions on the val attribute.</w:t>
      </w:r>
    </w:p>
    <w:p w:rsidR="005F78FC" w:rsidRDefault="00B42EF3">
      <w:pPr>
        <w:pStyle w:val="Definition-Field2"/>
      </w:pPr>
      <w:r>
        <w:t>Office requires the val attribute to be a double between 1 and 409.55 inclusive.</w:t>
      </w:r>
    </w:p>
    <w:p w:rsidR="005F78FC" w:rsidRDefault="00B42EF3">
      <w:pPr>
        <w:pStyle w:val="Heading3"/>
      </w:pPr>
      <w:bookmarkStart w:id="1374" w:name="section_82ad64a7401b4f3493193600b16b2791"/>
      <w:bookmarkStart w:id="1375" w:name="_Toc69878460"/>
      <w:r>
        <w:lastRenderedPageBreak/>
        <w:t>Part 1 Section 18.4.12, t (Text)</w:t>
      </w:r>
      <w:bookmarkEnd w:id="1374"/>
      <w:bookmarkEnd w:id="1375"/>
      <w:r>
        <w:fldChar w:fldCharType="begin"/>
      </w:r>
      <w:r>
        <w:instrText xml:space="preserve"> XE "t (Text)" </w:instrText>
      </w:r>
      <w:r>
        <w:fldChar w:fldCharType="end"/>
      </w:r>
    </w:p>
    <w:p w:rsidR="005F78FC" w:rsidRDefault="00B42EF3">
      <w:pPr>
        <w:pStyle w:val="Definition-Field"/>
      </w:pPr>
      <w:r>
        <w:t xml:space="preserve">a.   </w:t>
      </w:r>
      <w:r>
        <w:rPr>
          <w:i/>
        </w:rPr>
        <w:t>The standard makes no mention of an xml:space attribute.</w:t>
      </w:r>
    </w:p>
    <w:p w:rsidR="005F78FC" w:rsidRDefault="00B42EF3">
      <w:pPr>
        <w:pStyle w:val="Definition-Field2"/>
      </w:pPr>
      <w:r>
        <w:t>Excel uses this attribute</w:t>
      </w:r>
      <w:r>
        <w:t xml:space="preserve"> to specify, using the W3C space preservation rules, how white space should be handled for the element's contents; its allowed values are defined by the XML 1.0 specification.</w:t>
      </w:r>
    </w:p>
    <w:p w:rsidR="005F78FC" w:rsidRDefault="00B42EF3">
      <w:pPr>
        <w:pStyle w:val="Definition-Field"/>
      </w:pPr>
      <w:r>
        <w:t xml:space="preserve">b.   </w:t>
      </w:r>
      <w:r>
        <w:rPr>
          <w:i/>
        </w:rPr>
        <w:t>The standard places no restrictions on the length of the value of the t ele</w:t>
      </w:r>
      <w:r>
        <w:rPr>
          <w:i/>
        </w:rPr>
        <w:t>ment.</w:t>
      </w:r>
    </w:p>
    <w:p w:rsidR="005F78FC" w:rsidRDefault="00B42EF3">
      <w:pPr>
        <w:pStyle w:val="Definition-Field2"/>
      </w:pPr>
      <w:r>
        <w:t>Excel restricts the value of this element to 32767 characters.</w:t>
      </w:r>
    </w:p>
    <w:p w:rsidR="005F78FC" w:rsidRDefault="00B42EF3">
      <w:pPr>
        <w:pStyle w:val="Heading3"/>
      </w:pPr>
      <w:bookmarkStart w:id="1376" w:name="section_128d23b57cee4fdf9d4f94103e1bc48f"/>
      <w:bookmarkStart w:id="1377" w:name="_Toc69878461"/>
      <w:r>
        <w:t>Part 1 Section 18.5.1.1, calculatedColumnFormula (Calculated Column Formula)</w:t>
      </w:r>
      <w:bookmarkEnd w:id="1376"/>
      <w:bookmarkEnd w:id="1377"/>
      <w:r>
        <w:fldChar w:fldCharType="begin"/>
      </w:r>
      <w:r>
        <w:instrText xml:space="preserve"> XE "calculatedColumnFormula (Calculated Column Formula)" </w:instrText>
      </w:r>
      <w:r>
        <w:fldChar w:fldCharType="end"/>
      </w:r>
    </w:p>
    <w:p w:rsidR="005F78FC" w:rsidRDefault="00B42EF3">
      <w:pPr>
        <w:pStyle w:val="Definition-Field"/>
      </w:pPr>
      <w:r>
        <w:t xml:space="preserve">a.   </w:t>
      </w:r>
      <w:r>
        <w:rPr>
          <w:i/>
        </w:rPr>
        <w:t>The standard makes no mention of an xml:space</w:t>
      </w:r>
      <w:r>
        <w:rPr>
          <w:i/>
        </w:rPr>
        <w:t xml:space="preserve"> attribute.</w:t>
      </w:r>
    </w:p>
    <w:p w:rsidR="005F78FC" w:rsidRDefault="00B42EF3">
      <w:pPr>
        <w:pStyle w:val="Definition-Field2"/>
      </w:pPr>
      <w:r>
        <w:t>Excel uses this attribute to specify, using the W3C space preservation rules, how white space should be handled for the element's contents; its allowed values are defined by the XML 1.0 specification.</w:t>
      </w:r>
    </w:p>
    <w:p w:rsidR="005F78FC" w:rsidRDefault="00B42EF3">
      <w:pPr>
        <w:pStyle w:val="Heading3"/>
      </w:pPr>
      <w:bookmarkStart w:id="1378" w:name="section_bd61087c09d44789acf1b7ee8234a373"/>
      <w:bookmarkStart w:id="1379" w:name="_Toc69878462"/>
      <w:r>
        <w:t>Part 1 Section 18.5.1.2, table (Table)</w:t>
      </w:r>
      <w:bookmarkEnd w:id="1378"/>
      <w:bookmarkEnd w:id="1379"/>
      <w:r>
        <w:fldChar w:fldCharType="begin"/>
      </w:r>
      <w:r>
        <w:instrText xml:space="preserve"> XE "</w:instrText>
      </w:r>
      <w:r>
        <w:instrText xml:space="preserve">table (Table)" </w:instrText>
      </w:r>
      <w:r>
        <w:fldChar w:fldCharType="end"/>
      </w:r>
    </w:p>
    <w:p w:rsidR="005F78FC" w:rsidRDefault="00B42EF3">
      <w:pPr>
        <w:pStyle w:val="Definition-Field"/>
      </w:pPr>
      <w:r>
        <w:t xml:space="preserve">a.   </w:t>
      </w:r>
      <w:r>
        <w:rPr>
          <w:i/>
        </w:rPr>
        <w:t>The standard states that the values of the id attribute are defined by the XML Schema unsignedInt datatype.</w:t>
      </w:r>
    </w:p>
    <w:p w:rsidR="005F78FC" w:rsidRDefault="00B42EF3">
      <w:pPr>
        <w:pStyle w:val="Definition-Field2"/>
      </w:pPr>
      <w:r>
        <w:t>Excel restricts the value of this attribute to be at least 1 and at most 4294967294.</w:t>
      </w:r>
    </w:p>
    <w:p w:rsidR="005F78FC" w:rsidRDefault="00B42EF3">
      <w:pPr>
        <w:pStyle w:val="Definition-Field"/>
      </w:pPr>
      <w:r>
        <w:t xml:space="preserve">b.   </w:t>
      </w:r>
      <w:r>
        <w:rPr>
          <w:i/>
        </w:rPr>
        <w:t xml:space="preserve">The standard does not limit the </w:t>
      </w:r>
      <w:r>
        <w:rPr>
          <w:i/>
        </w:rPr>
        <w:t>length of the value of the name attribute.</w:t>
      </w:r>
    </w:p>
    <w:p w:rsidR="005F78FC" w:rsidRDefault="00B42EF3">
      <w:pPr>
        <w:pStyle w:val="Definition-Field2"/>
      </w:pPr>
      <w:r>
        <w:t>Excel restricts the value of this attribute to be at most 255 characters.</w:t>
      </w:r>
    </w:p>
    <w:p w:rsidR="005F78FC" w:rsidRDefault="00B42EF3">
      <w:pPr>
        <w:pStyle w:val="Definition-Field"/>
      </w:pPr>
      <w:r>
        <w:t xml:space="preserve">c.   </w:t>
      </w:r>
      <w:r>
        <w:rPr>
          <w:i/>
        </w:rPr>
        <w:t>The standard does not describe what happens if the name attribute value is the empty string or the name attribute is not present.</w:t>
      </w:r>
    </w:p>
    <w:p w:rsidR="005F78FC" w:rsidRDefault="00B42EF3">
      <w:pPr>
        <w:pStyle w:val="Definition-Field2"/>
      </w:pPr>
      <w:r>
        <w:t>Offi</w:t>
      </w:r>
      <w:r>
        <w:t>ce, if this attribute is not specified or the value is an empty string, the value will be set to the value specified for the required displayName attribute.</w:t>
      </w:r>
    </w:p>
    <w:p w:rsidR="005F78FC" w:rsidRDefault="00B42EF3">
      <w:pPr>
        <w:pStyle w:val="Definition-Field"/>
      </w:pPr>
      <w:r>
        <w:t xml:space="preserve">d.   </w:t>
      </w:r>
      <w:r>
        <w:rPr>
          <w:i/>
        </w:rPr>
        <w:t>The standard does not specify a default value for the connectionId attribute.</w:t>
      </w:r>
    </w:p>
    <w:p w:rsidR="005F78FC" w:rsidRDefault="00B42EF3">
      <w:pPr>
        <w:pStyle w:val="Definition-Field2"/>
      </w:pPr>
      <w:r>
        <w:t xml:space="preserve">Excel uses a </w:t>
      </w:r>
      <w:r>
        <w:t>default value of 0 for this attribute.</w:t>
      </w:r>
    </w:p>
    <w:p w:rsidR="005F78FC" w:rsidRDefault="00B42EF3">
      <w:pPr>
        <w:pStyle w:val="Definition-Field"/>
      </w:pPr>
      <w:r>
        <w:t xml:space="preserve">e.   </w:t>
      </w:r>
      <w:r>
        <w:rPr>
          <w:i/>
        </w:rPr>
        <w:t>In the standard there are no limits on when the connectionId attribute can be present.</w:t>
      </w:r>
    </w:p>
    <w:p w:rsidR="005F78FC" w:rsidRDefault="00B42EF3">
      <w:pPr>
        <w:pStyle w:val="Definition-Field2"/>
      </w:pPr>
      <w:r>
        <w:t>In Office, this attribute must not be specified or the specified value must be 0 if tableType is not xml.</w:t>
      </w:r>
    </w:p>
    <w:p w:rsidR="005F78FC" w:rsidRDefault="00B42EF3">
      <w:pPr>
        <w:pStyle w:val="Definition-Field"/>
      </w:pPr>
      <w:r>
        <w:t xml:space="preserve">f.   </w:t>
      </w:r>
      <w:r>
        <w:rPr>
          <w:i/>
        </w:rPr>
        <w:t>In the standar</w:t>
      </w:r>
      <w:r>
        <w:rPr>
          <w:i/>
        </w:rPr>
        <w:t>d no relationship between @totalsRowCount and @totalRowShown is specified.</w:t>
      </w:r>
    </w:p>
    <w:p w:rsidR="005F78FC" w:rsidRDefault="00B42EF3">
      <w:pPr>
        <w:pStyle w:val="Definition-Field2"/>
      </w:pPr>
      <w:r>
        <w:t>In Office, if @totalsRowCount equals 1, then totalsRowShown must be true.</w:t>
      </w:r>
    </w:p>
    <w:p w:rsidR="005F78FC" w:rsidRDefault="00B42EF3">
      <w:pPr>
        <w:pStyle w:val="Definition-Field"/>
      </w:pPr>
      <w:r>
        <w:t xml:space="preserve">g.   </w:t>
      </w:r>
      <w:r>
        <w:rPr>
          <w:i/>
        </w:rPr>
        <w:t>The standard does not limit the length of the value of the comment attribute.</w:t>
      </w:r>
    </w:p>
    <w:p w:rsidR="005F78FC" w:rsidRDefault="00B42EF3">
      <w:pPr>
        <w:pStyle w:val="Definition-Field2"/>
      </w:pPr>
      <w:r>
        <w:t>Excel restricts the valu</w:t>
      </w:r>
      <w:r>
        <w:t>e of this attribute to be at most 255 characters.</w:t>
      </w:r>
    </w:p>
    <w:p w:rsidR="005F78FC" w:rsidRDefault="00B42EF3">
      <w:pPr>
        <w:pStyle w:val="Definition-Field"/>
      </w:pPr>
      <w:r>
        <w:t xml:space="preserve">h.   </w:t>
      </w:r>
      <w:r>
        <w:rPr>
          <w:i/>
        </w:rPr>
        <w:t>The standard only limits the @ref to include the totals row.</w:t>
      </w:r>
    </w:p>
    <w:p w:rsidR="005F78FC" w:rsidRDefault="00B42EF3">
      <w:pPr>
        <w:pStyle w:val="Definition-Field2"/>
      </w:pPr>
      <w:r>
        <w:t>In Office, the count of rows for @ref shall be equal to or greater than the sum of rows specified by: @headerRowCount, @insertRow, and @tota</w:t>
      </w:r>
      <w:r>
        <w:t>lsRowCount. Additionally, @ref must not overlap with another Table or auto-filter on the same worksheet.</w:t>
      </w:r>
    </w:p>
    <w:p w:rsidR="005F78FC" w:rsidRDefault="00B42EF3">
      <w:pPr>
        <w:pStyle w:val="Definition-Field"/>
      </w:pPr>
      <w:r>
        <w:lastRenderedPageBreak/>
        <w:t xml:space="preserve">i.   </w:t>
      </w:r>
      <w:r>
        <w:rPr>
          <w:i/>
        </w:rPr>
        <w:t>The standard does not limit the length of the value of the dataCellStyle attribute.</w:t>
      </w:r>
    </w:p>
    <w:p w:rsidR="005F78FC" w:rsidRDefault="00B42EF3">
      <w:pPr>
        <w:pStyle w:val="Definition-Field2"/>
      </w:pPr>
      <w:r>
        <w:t>Excel restricts the value of this attribute to be at least 1 a</w:t>
      </w:r>
      <w:r>
        <w:t>nd at most 255 characters.</w:t>
      </w:r>
    </w:p>
    <w:p w:rsidR="005F78FC" w:rsidRDefault="00B42EF3">
      <w:pPr>
        <w:pStyle w:val="Definition-Field"/>
      </w:pPr>
      <w:r>
        <w:t xml:space="preserve">j.   </w:t>
      </w:r>
      <w:r>
        <w:rPr>
          <w:i/>
        </w:rPr>
        <w:t>The standard does not limit the length of the value of the headerRowCellStyle attribute.</w:t>
      </w:r>
    </w:p>
    <w:p w:rsidR="005F78FC" w:rsidRDefault="00B42EF3">
      <w:pPr>
        <w:pStyle w:val="Definition-Field2"/>
      </w:pPr>
      <w:r>
        <w:t>Excel restricts the value of this attribute to be at least 1 and at most 255 characters.</w:t>
      </w:r>
    </w:p>
    <w:p w:rsidR="005F78FC" w:rsidRDefault="00B42EF3">
      <w:pPr>
        <w:pStyle w:val="Definition-Field"/>
      </w:pPr>
      <w:r>
        <w:t xml:space="preserve">k.   </w:t>
      </w:r>
      <w:r>
        <w:rPr>
          <w:i/>
        </w:rPr>
        <w:t>The standard does not limit the length of</w:t>
      </w:r>
      <w:r>
        <w:rPr>
          <w:i/>
        </w:rPr>
        <w:t xml:space="preserve"> the value of the totalsRowCellStyle attribute.</w:t>
      </w:r>
    </w:p>
    <w:p w:rsidR="005F78FC" w:rsidRDefault="00B42EF3">
      <w:pPr>
        <w:pStyle w:val="Definition-Field2"/>
      </w:pPr>
      <w:r>
        <w:t>Excel restricts the value of this attribute to be at least 1 and at most 255 characters.</w:t>
      </w:r>
    </w:p>
    <w:p w:rsidR="005F78FC" w:rsidRDefault="00B42EF3">
      <w:pPr>
        <w:pStyle w:val="Definition-Field"/>
      </w:pPr>
      <w:r>
        <w:t xml:space="preserve">l.   </w:t>
      </w:r>
      <w:r>
        <w:rPr>
          <w:i/>
        </w:rPr>
        <w:t>The standard states that the values of the connectionId attribute are defined by the XML Schema unsignedInt dataty</w:t>
      </w:r>
      <w:r>
        <w:rPr>
          <w:i/>
        </w:rPr>
        <w:t>pe.</w:t>
      </w:r>
    </w:p>
    <w:p w:rsidR="005F78FC" w:rsidRDefault="00B42EF3">
      <w:pPr>
        <w:pStyle w:val="Definition-Field2"/>
      </w:pPr>
      <w:r>
        <w:t>Excel restricts the value of this attribute to be at most 2147483647.</w:t>
      </w:r>
    </w:p>
    <w:p w:rsidR="005F78FC" w:rsidRDefault="00B42EF3">
      <w:pPr>
        <w:pStyle w:val="Heading3"/>
      </w:pPr>
      <w:bookmarkStart w:id="1380" w:name="section_8f4f8ebca0854cefbec96d6a40066513"/>
      <w:bookmarkStart w:id="1381" w:name="_Toc69878463"/>
      <w:r>
        <w:t>Part 1 Section 18.5.1.3, tableColumn (Table Column)</w:t>
      </w:r>
      <w:bookmarkEnd w:id="1380"/>
      <w:bookmarkEnd w:id="1381"/>
      <w:r>
        <w:fldChar w:fldCharType="begin"/>
      </w:r>
      <w:r>
        <w:instrText xml:space="preserve"> XE "tableColumn (Table Column)" </w:instrText>
      </w:r>
      <w:r>
        <w:fldChar w:fldCharType="end"/>
      </w:r>
    </w:p>
    <w:p w:rsidR="005F78FC" w:rsidRDefault="00B42EF3">
      <w:pPr>
        <w:pStyle w:val="Definition-Field"/>
      </w:pPr>
      <w:r>
        <w:t xml:space="preserve">a.   </w:t>
      </w:r>
      <w:r>
        <w:rPr>
          <w:i/>
        </w:rPr>
        <w:t>The standard says the maximum string length of the name attribute is unlimited.</w:t>
      </w:r>
    </w:p>
    <w:p w:rsidR="005F78FC" w:rsidRDefault="00B42EF3">
      <w:pPr>
        <w:pStyle w:val="Definition-Field2"/>
      </w:pPr>
      <w:r>
        <w:t>In Office,</w:t>
      </w:r>
      <w:r>
        <w:t xml:space="preserve"> the name attribute string length must be less than or equal to 255 characters.</w:t>
      </w:r>
    </w:p>
    <w:p w:rsidR="005F78FC" w:rsidRDefault="00B42EF3">
      <w:pPr>
        <w:pStyle w:val="Definition-Field"/>
      </w:pPr>
      <w:r>
        <w:t xml:space="preserve">b.   </w:t>
      </w:r>
      <w:r>
        <w:rPr>
          <w:i/>
        </w:rPr>
        <w:t>The standard says the maximum string length of the uniqueName attribute is unlimited.</w:t>
      </w:r>
    </w:p>
    <w:p w:rsidR="005F78FC" w:rsidRDefault="00B42EF3">
      <w:pPr>
        <w:pStyle w:val="Definition-Field2"/>
      </w:pPr>
      <w:r>
        <w:t>In Excel, the string length of the uniqueName attribute must be less than or equal to</w:t>
      </w:r>
      <w:r>
        <w:t xml:space="preserve"> 255.</w:t>
      </w:r>
    </w:p>
    <w:p w:rsidR="005F78FC" w:rsidRDefault="00B42EF3">
      <w:pPr>
        <w:pStyle w:val="Definition-Field"/>
      </w:pPr>
      <w:r>
        <w:t xml:space="preserve">c.   </w:t>
      </w:r>
      <w:r>
        <w:rPr>
          <w:i/>
        </w:rPr>
        <w:t>The standard specifies that the totalsRowLabel attribute shall be ignored unless totalRowFunction is none.</w:t>
      </w:r>
    </w:p>
    <w:p w:rsidR="005F78FC" w:rsidRDefault="00B42EF3">
      <w:pPr>
        <w:pStyle w:val="Definition-Field2"/>
      </w:pPr>
      <w:r>
        <w:t>In Office, the totalsRowLabel attribute shall be absent if totalsRowFunction has the value custom.</w:t>
      </w:r>
    </w:p>
    <w:p w:rsidR="005F78FC" w:rsidRDefault="00B42EF3">
      <w:pPr>
        <w:pStyle w:val="Definition-Field"/>
      </w:pPr>
      <w:r>
        <w:t xml:space="preserve">d.   </w:t>
      </w:r>
      <w:r>
        <w:rPr>
          <w:i/>
        </w:rPr>
        <w:t xml:space="preserve">The standard says the </w:t>
      </w:r>
      <w:r>
        <w:rPr>
          <w:i/>
        </w:rPr>
        <w:t>@headerRowCellStyle maximum string length is unlimited.</w:t>
      </w:r>
    </w:p>
    <w:p w:rsidR="005F78FC" w:rsidRDefault="00B42EF3">
      <w:pPr>
        <w:pStyle w:val="Definition-Field2"/>
      </w:pPr>
      <w:r>
        <w:t>In Office, the headerRowCellStyle length must be between 1 and 255 characters inclusive.</w:t>
      </w:r>
    </w:p>
    <w:p w:rsidR="005F78FC" w:rsidRDefault="00B42EF3">
      <w:pPr>
        <w:pStyle w:val="Definition-Field"/>
      </w:pPr>
      <w:r>
        <w:t xml:space="preserve">e.   </w:t>
      </w:r>
      <w:r>
        <w:rPr>
          <w:i/>
        </w:rPr>
        <w:t>The standard says the @totalsRowCellStyle maximum string length is unlimited.</w:t>
      </w:r>
    </w:p>
    <w:p w:rsidR="005F78FC" w:rsidRDefault="00B42EF3">
      <w:pPr>
        <w:pStyle w:val="Definition-Field2"/>
      </w:pPr>
      <w:r>
        <w:t>In Office the length of @tot</w:t>
      </w:r>
      <w:r>
        <w:t>alsRowCellStyle shall be between 1 and 255 inclusive.</w:t>
      </w:r>
    </w:p>
    <w:p w:rsidR="005F78FC" w:rsidRDefault="00B42EF3">
      <w:pPr>
        <w:pStyle w:val="Definition-Field"/>
      </w:pPr>
      <w:r>
        <w:t xml:space="preserve">f.   </w:t>
      </w:r>
      <w:r>
        <w:rPr>
          <w:i/>
        </w:rPr>
        <w:t>The standard does not have requirements about the presence of the headerRowCellStyle attribute.</w:t>
      </w:r>
    </w:p>
    <w:p w:rsidR="005F78FC" w:rsidRDefault="00B42EF3">
      <w:pPr>
        <w:pStyle w:val="Definition-Field2"/>
      </w:pPr>
      <w:r>
        <w:t>In Office, headerRowCellStyle attribute shall be absent if the enclosing table element's headerRow at</w:t>
      </w:r>
      <w:r>
        <w:t>tribute value is greater than or equal to 1.</w:t>
      </w:r>
    </w:p>
    <w:p w:rsidR="005F78FC" w:rsidRDefault="00B42EF3">
      <w:pPr>
        <w:pStyle w:val="Definition-Field"/>
      </w:pPr>
      <w:r>
        <w:t xml:space="preserve">g.   </w:t>
      </w:r>
      <w:r>
        <w:rPr>
          <w:i/>
        </w:rPr>
        <w:t>The standard specifies the queryTableFieldId attribute as an unsignedInt datatype.</w:t>
      </w:r>
    </w:p>
    <w:p w:rsidR="005F78FC" w:rsidRDefault="00B42EF3">
      <w:pPr>
        <w:pStyle w:val="Definition-Field2"/>
      </w:pPr>
      <w:r>
        <w:t>In Office, the queryTableFieldId attribute must be greater than zero.</w:t>
      </w:r>
    </w:p>
    <w:p w:rsidR="005F78FC" w:rsidRDefault="00B42EF3">
      <w:pPr>
        <w:pStyle w:val="Definition-Field"/>
      </w:pPr>
      <w:r>
        <w:t xml:space="preserve">h.   </w:t>
      </w:r>
      <w:r>
        <w:rPr>
          <w:i/>
        </w:rPr>
        <w:t>The standard says the @id value range is defined</w:t>
      </w:r>
      <w:r>
        <w:rPr>
          <w:i/>
        </w:rPr>
        <w:t xml:space="preserve"> as unsigned integer.</w:t>
      </w:r>
    </w:p>
    <w:p w:rsidR="005F78FC" w:rsidRDefault="00B42EF3">
      <w:pPr>
        <w:pStyle w:val="Definition-Field2"/>
      </w:pPr>
      <w:r>
        <w:t>In Office the value of @id must be greater than zero.</w:t>
      </w:r>
    </w:p>
    <w:p w:rsidR="005F78FC" w:rsidRDefault="00B42EF3">
      <w:pPr>
        <w:pStyle w:val="Definition-Field"/>
      </w:pPr>
      <w:r>
        <w:t xml:space="preserve">i.   </w:t>
      </w:r>
      <w:r>
        <w:rPr>
          <w:i/>
        </w:rPr>
        <w:t>The standard does not specify any relationship between the value of the name attribute and cell contents.</w:t>
      </w:r>
    </w:p>
    <w:p w:rsidR="005F78FC" w:rsidRDefault="00B42EF3">
      <w:pPr>
        <w:pStyle w:val="Definition-Field2"/>
      </w:pPr>
      <w:r>
        <w:t xml:space="preserve">In Office, if the enclosing table element's headerRowCount attribute </w:t>
      </w:r>
      <w:r>
        <w:t>has a value greater than or equal to 1, then this attribute must have the same value as the cell it occupies.</w:t>
      </w:r>
    </w:p>
    <w:p w:rsidR="005F78FC" w:rsidRDefault="00B42EF3">
      <w:pPr>
        <w:pStyle w:val="Definition-Field"/>
      </w:pPr>
      <w:r>
        <w:t xml:space="preserve">j.   </w:t>
      </w:r>
      <w:r>
        <w:rPr>
          <w:i/>
        </w:rPr>
        <w:t>The standard says the maximum string length of the totalsRowLabel attribute is unlimited.</w:t>
      </w:r>
    </w:p>
    <w:p w:rsidR="005F78FC" w:rsidRDefault="00B42EF3">
      <w:pPr>
        <w:pStyle w:val="Definition-Field2"/>
      </w:pPr>
      <w:r>
        <w:lastRenderedPageBreak/>
        <w:t xml:space="preserve">In Office, the maximum string length of the </w:t>
      </w:r>
      <w:r>
        <w:t>totalsRowLabel attribute must be less than or equal to 32767.</w:t>
      </w:r>
    </w:p>
    <w:p w:rsidR="005F78FC" w:rsidRDefault="00B42EF3">
      <w:pPr>
        <w:pStyle w:val="Definition-Field"/>
      </w:pPr>
      <w:r>
        <w:t xml:space="preserve">k.   </w:t>
      </w:r>
      <w:r>
        <w:rPr>
          <w:i/>
        </w:rPr>
        <w:t>The standard does not specify when the headerRowDxfId attribute shall be absent.</w:t>
      </w:r>
    </w:p>
    <w:p w:rsidR="005F78FC" w:rsidRDefault="00B42EF3">
      <w:pPr>
        <w:pStyle w:val="Definition-Field2"/>
      </w:pPr>
      <w:r>
        <w:t>In Office, the headerRowDxfId attribute shall be absent if the enclosing table element's headerRow attribute</w:t>
      </w:r>
      <w:r>
        <w:t xml:space="preserve"> value is greater than or equal to 1.</w:t>
      </w:r>
    </w:p>
    <w:p w:rsidR="005F78FC" w:rsidRDefault="00B42EF3">
      <w:pPr>
        <w:pStyle w:val="Definition-Field"/>
      </w:pPr>
      <w:r>
        <w:t xml:space="preserve">l.   </w:t>
      </w:r>
      <w:r>
        <w:rPr>
          <w:i/>
        </w:rPr>
        <w:t>The standard says the @dataCellStyle maximum string length is unlimited.</w:t>
      </w:r>
    </w:p>
    <w:p w:rsidR="005F78FC" w:rsidRDefault="00B42EF3">
      <w:pPr>
        <w:pStyle w:val="Definition-Field2"/>
      </w:pPr>
      <w:r>
        <w:t>In Office, the @dataCellStyle length must be between 1 and 255 characters inclusive.</w:t>
      </w:r>
    </w:p>
    <w:p w:rsidR="005F78FC" w:rsidRDefault="00B42EF3">
      <w:pPr>
        <w:pStyle w:val="Definition-Field"/>
      </w:pPr>
      <w:r>
        <w:t xml:space="preserve">m.   </w:t>
      </w:r>
      <w:r>
        <w:rPr>
          <w:i/>
        </w:rPr>
        <w:t>The standard does not specify a relationship betwe</w:t>
      </w:r>
      <w:r>
        <w:rPr>
          <w:i/>
        </w:rPr>
        <w:t>en the queryTableFieldId attribute and @tableType.</w:t>
      </w:r>
    </w:p>
    <w:p w:rsidR="005F78FC" w:rsidRDefault="00B42EF3">
      <w:pPr>
        <w:pStyle w:val="Definition-Field2"/>
      </w:pPr>
      <w:r>
        <w:t>In Office, the queryTableFieldId attribute shall be absent when the enclosing table element's tableType attribute equals queryTable.</w:t>
      </w:r>
    </w:p>
    <w:p w:rsidR="005F78FC" w:rsidRDefault="00B42EF3">
      <w:pPr>
        <w:pStyle w:val="Definition-Field"/>
      </w:pPr>
      <w:r>
        <w:t xml:space="preserve">n.   </w:t>
      </w:r>
      <w:r>
        <w:rPr>
          <w:i/>
        </w:rPr>
        <w:t>The standard does not specify the totalsRowFunction attribute relat</w:t>
      </w:r>
      <w:r>
        <w:rPr>
          <w:i/>
        </w:rPr>
        <w:t>ionships.</w:t>
      </w:r>
    </w:p>
    <w:p w:rsidR="005F78FC" w:rsidRDefault="00B42EF3">
      <w:r>
        <w:t xml:space="preserve">In Office, if the table element attribute totalsRowCount is not 0, the totalsRowFunction attribute shall match the formula of the occupied cell and be of the form SUBTOTAL(&lt;function number&gt;,&lt;ref&gt;), unless the value is none or custom.  A value of </w:t>
      </w:r>
      <w:r>
        <w:t>none implies no formula.</w:t>
      </w:r>
    </w:p>
    <w:p w:rsidR="005F78FC" w:rsidRDefault="00B42EF3">
      <w:pPr>
        <w:pStyle w:val="Heading3"/>
      </w:pPr>
      <w:bookmarkStart w:id="1382" w:name="section_2390d9fdc06a4a93b5e4b8ccbe237708"/>
      <w:bookmarkStart w:id="1383" w:name="_Toc69878464"/>
      <w:r>
        <w:t>Part 1 Section 18.5.1.5, tableStyleInfo (Table Style)</w:t>
      </w:r>
      <w:bookmarkEnd w:id="1382"/>
      <w:bookmarkEnd w:id="1383"/>
      <w:r>
        <w:fldChar w:fldCharType="begin"/>
      </w:r>
      <w:r>
        <w:instrText xml:space="preserve"> XE "tableStyleInfo (Table Style)" </w:instrText>
      </w:r>
      <w:r>
        <w:fldChar w:fldCharType="end"/>
      </w:r>
    </w:p>
    <w:p w:rsidR="005F78FC" w:rsidRDefault="00B42EF3">
      <w:pPr>
        <w:pStyle w:val="Definition-Field"/>
      </w:pPr>
      <w:r>
        <w:t xml:space="preserve">a.   </w:t>
      </w:r>
      <w:r>
        <w:rPr>
          <w:i/>
        </w:rPr>
        <w:t>The standard does not limit the length of the value of the name attribute.</w:t>
      </w:r>
    </w:p>
    <w:p w:rsidR="005F78FC" w:rsidRDefault="00B42EF3">
      <w:pPr>
        <w:pStyle w:val="Definition-Field2"/>
      </w:pPr>
      <w:r>
        <w:t>Excel restricts the value of this attribute to be at least 1</w:t>
      </w:r>
      <w:r>
        <w:t xml:space="preserve"> and at most 255 characters.</w:t>
      </w:r>
    </w:p>
    <w:p w:rsidR="005F78FC" w:rsidRDefault="00B42EF3">
      <w:pPr>
        <w:pStyle w:val="Definition-Field"/>
      </w:pPr>
      <w:r>
        <w:t xml:space="preserve">b.   </w:t>
      </w:r>
      <w:r>
        <w:rPr>
          <w:i/>
        </w:rPr>
        <w:t>The standard does not specify a default value for the showColumnStripes attribute.</w:t>
      </w:r>
    </w:p>
    <w:p w:rsidR="005F78FC" w:rsidRDefault="00B42EF3">
      <w:pPr>
        <w:pStyle w:val="Definition-Field2"/>
      </w:pPr>
      <w:r>
        <w:t>Excel uses a default value of false for this attribute.</w:t>
      </w:r>
    </w:p>
    <w:p w:rsidR="005F78FC" w:rsidRDefault="00B42EF3">
      <w:pPr>
        <w:pStyle w:val="Definition-Field"/>
      </w:pPr>
      <w:r>
        <w:t xml:space="preserve">c.   </w:t>
      </w:r>
      <w:r>
        <w:rPr>
          <w:i/>
        </w:rPr>
        <w:t>The standard does not specify a default value for the showFirstColumn attribut</w:t>
      </w:r>
      <w:r>
        <w:rPr>
          <w:i/>
        </w:rPr>
        <w:t>e.</w:t>
      </w:r>
    </w:p>
    <w:p w:rsidR="005F78FC" w:rsidRDefault="00B42EF3">
      <w:pPr>
        <w:pStyle w:val="Definition-Field2"/>
      </w:pPr>
      <w:r>
        <w:t>Excel uses a default value of false for this attribute.</w:t>
      </w:r>
    </w:p>
    <w:p w:rsidR="005F78FC" w:rsidRDefault="00B42EF3">
      <w:pPr>
        <w:pStyle w:val="Definition-Field"/>
      </w:pPr>
      <w:r>
        <w:t xml:space="preserve">d.   </w:t>
      </w:r>
      <w:r>
        <w:rPr>
          <w:i/>
        </w:rPr>
        <w:t>The standard does not specify a default value for the showLastColumn attribute.</w:t>
      </w:r>
    </w:p>
    <w:p w:rsidR="005F78FC" w:rsidRDefault="00B42EF3">
      <w:pPr>
        <w:pStyle w:val="Definition-Field2"/>
      </w:pPr>
      <w:r>
        <w:t>Excel uses a default value of false for this attribute.</w:t>
      </w:r>
    </w:p>
    <w:p w:rsidR="005F78FC" w:rsidRDefault="00B42EF3">
      <w:pPr>
        <w:pStyle w:val="Definition-Field"/>
      </w:pPr>
      <w:r>
        <w:t xml:space="preserve">e.   </w:t>
      </w:r>
      <w:r>
        <w:rPr>
          <w:i/>
        </w:rPr>
        <w:t xml:space="preserve">The standard does not specify a default value for </w:t>
      </w:r>
      <w:r>
        <w:rPr>
          <w:i/>
        </w:rPr>
        <w:t>the showRowStripes attribute.</w:t>
      </w:r>
    </w:p>
    <w:p w:rsidR="005F78FC" w:rsidRDefault="00B42EF3">
      <w:pPr>
        <w:pStyle w:val="Definition-Field2"/>
      </w:pPr>
      <w:r>
        <w:t>Excel uses a default value of false for this attribute.</w:t>
      </w:r>
    </w:p>
    <w:p w:rsidR="005F78FC" w:rsidRDefault="00B42EF3">
      <w:pPr>
        <w:pStyle w:val="Heading3"/>
      </w:pPr>
      <w:bookmarkStart w:id="1384" w:name="section_0d3053ab7a8b4e3a9e5a59caf6f223c9"/>
      <w:bookmarkStart w:id="1385" w:name="_Toc69878465"/>
      <w:r>
        <w:t>Part 1 Section 18.5.1.6, totalsRowFormula (Totals Row Formula)</w:t>
      </w:r>
      <w:bookmarkEnd w:id="1384"/>
      <w:bookmarkEnd w:id="1385"/>
      <w:r>
        <w:fldChar w:fldCharType="begin"/>
      </w:r>
      <w:r>
        <w:instrText xml:space="preserve"> XE "totalsRowFormula (Totals Row Formula)" </w:instrText>
      </w:r>
      <w:r>
        <w:fldChar w:fldCharType="end"/>
      </w:r>
    </w:p>
    <w:p w:rsidR="005F78FC" w:rsidRDefault="00B42EF3">
      <w:pPr>
        <w:pStyle w:val="Definition-Field2"/>
      </w:pPr>
      <w:r>
        <w:rPr>
          <w:i/>
        </w:rPr>
        <w:t>For additional notes that apply to this portion of the standa</w:t>
      </w:r>
      <w:r>
        <w:rPr>
          <w:i/>
        </w:rPr>
        <w:t xml:space="preserve">rd, please see the notes for </w:t>
      </w:r>
      <w:hyperlink w:anchor="Section_128d23b57cee4fdf9d4f94103e1bc48f">
        <w:r>
          <w:rPr>
            <w:rStyle w:val="Hyperlink"/>
          </w:rPr>
          <w:t>calculatedColumnFormula, §18.5.1.1(a)</w:t>
        </w:r>
      </w:hyperlink>
      <w:r>
        <w:rPr>
          <w:i/>
        </w:rPr>
        <w:t>.</w:t>
      </w:r>
    </w:p>
    <w:p w:rsidR="005F78FC" w:rsidRDefault="00B42EF3">
      <w:pPr>
        <w:pStyle w:val="Heading3"/>
      </w:pPr>
      <w:bookmarkStart w:id="1386" w:name="section_23b8caabf8874d62a52cd0f1cb904aab"/>
      <w:bookmarkStart w:id="1387" w:name="_Toc69878466"/>
      <w:r>
        <w:t>Part 1 Section 18.5.1.7, xmlColumnPr (XML Column Properties)</w:t>
      </w:r>
      <w:bookmarkEnd w:id="1386"/>
      <w:bookmarkEnd w:id="1387"/>
      <w:r>
        <w:fldChar w:fldCharType="begin"/>
      </w:r>
      <w:r>
        <w:instrText xml:space="preserve"> XE "xmlColumnPr (XML Column Properties)" </w:instrText>
      </w:r>
      <w:r>
        <w:fldChar w:fldCharType="end"/>
      </w:r>
    </w:p>
    <w:p w:rsidR="005F78FC" w:rsidRDefault="00B42EF3">
      <w:pPr>
        <w:pStyle w:val="Definition-Field"/>
      </w:pPr>
      <w:r>
        <w:t xml:space="preserve">a.   </w:t>
      </w:r>
      <w:r>
        <w:rPr>
          <w:i/>
        </w:rPr>
        <w:t>The standard do</w:t>
      </w:r>
      <w:r>
        <w:rPr>
          <w:i/>
        </w:rPr>
        <w:t>es not specify a maximum length for @xpath.</w:t>
      </w:r>
    </w:p>
    <w:p w:rsidR="005F78FC" w:rsidRDefault="00B42EF3">
      <w:pPr>
        <w:pStyle w:val="Definition-Field2"/>
      </w:pPr>
      <w:r>
        <w:t>Office requires the decoded string length of @xpath to be less than 32000.</w:t>
      </w:r>
    </w:p>
    <w:p w:rsidR="005F78FC" w:rsidRDefault="00B42EF3">
      <w:pPr>
        <w:pStyle w:val="Definition-Field"/>
      </w:pPr>
      <w:r>
        <w:t xml:space="preserve">b.   </w:t>
      </w:r>
      <w:r>
        <w:rPr>
          <w:i/>
        </w:rPr>
        <w:t>The standard specifies that the mapId attribute has the value range of an xs:unsignedInt datatype.</w:t>
      </w:r>
    </w:p>
    <w:p w:rsidR="005F78FC" w:rsidRDefault="00B42EF3">
      <w:pPr>
        <w:pStyle w:val="Definition-Field2"/>
      </w:pPr>
      <w:r>
        <w:lastRenderedPageBreak/>
        <w:t>In Excel, the mapId attribute mus</w:t>
      </w:r>
      <w:r>
        <w:t>t be greater than 0 and less than 2147483647.</w:t>
      </w:r>
    </w:p>
    <w:p w:rsidR="005F78FC" w:rsidRDefault="00B42EF3">
      <w:pPr>
        <w:pStyle w:val="Definition-Field"/>
      </w:pPr>
      <w:r>
        <w:t xml:space="preserve">c.   </w:t>
      </w:r>
      <w:r>
        <w:rPr>
          <w:i/>
        </w:rPr>
        <w:t>The standard states that the denormalized attribute is true if it has been filled down (denormalized) and false otherwise.</w:t>
      </w:r>
    </w:p>
    <w:p w:rsidR="005F78FC" w:rsidRDefault="00B42EF3">
      <w:pPr>
        <w:pStyle w:val="Definition-Field2"/>
      </w:pPr>
      <w:r>
        <w:t>The denormalized attribute does not have any effect on the way Office behaves. Exc</w:t>
      </w:r>
      <w:r>
        <w:t>el always denormalizes non-repeating nodes when mapped to a Table's column.</w:t>
      </w:r>
    </w:p>
    <w:p w:rsidR="005F78FC" w:rsidRDefault="00B42EF3">
      <w:pPr>
        <w:pStyle w:val="Heading3"/>
      </w:pPr>
      <w:bookmarkStart w:id="1388" w:name="section_5da2bd53cc8540b2821cdcb841fe740e"/>
      <w:bookmarkStart w:id="1389" w:name="_Toc69878467"/>
      <w:r>
        <w:t>Part 1 Section 18.5.2.1, singleXmlCell (Table Properties)</w:t>
      </w:r>
      <w:bookmarkEnd w:id="1388"/>
      <w:bookmarkEnd w:id="1389"/>
      <w:r>
        <w:fldChar w:fldCharType="begin"/>
      </w:r>
      <w:r>
        <w:instrText xml:space="preserve"> XE "singleXmlCell (Table Properties)" </w:instrText>
      </w:r>
      <w:r>
        <w:fldChar w:fldCharType="end"/>
      </w:r>
    </w:p>
    <w:p w:rsidR="005F78FC" w:rsidRDefault="00B42EF3">
      <w:pPr>
        <w:pStyle w:val="Definition-Field"/>
      </w:pPr>
      <w:r>
        <w:t xml:space="preserve">a.   </w:t>
      </w:r>
      <w:r>
        <w:rPr>
          <w:i/>
        </w:rPr>
        <w:t>The standard specifies the value range for attribute id to be xsd:unsignedIn</w:t>
      </w:r>
      <w:r>
        <w:rPr>
          <w:i/>
        </w:rPr>
        <w:t>t.</w:t>
      </w:r>
    </w:p>
    <w:p w:rsidR="005F78FC" w:rsidRDefault="00B42EF3">
      <w:pPr>
        <w:pStyle w:val="Definition-Field2"/>
      </w:pPr>
      <w:r>
        <w:t>In Office, id shall be between 1 and 4294967294 inclusive.</w:t>
      </w:r>
    </w:p>
    <w:p w:rsidR="005F78FC" w:rsidRDefault="00B42EF3">
      <w:pPr>
        <w:pStyle w:val="Definition-Field"/>
      </w:pPr>
      <w:r>
        <w:t xml:space="preserve">b.   </w:t>
      </w:r>
      <w:r>
        <w:rPr>
          <w:i/>
        </w:rPr>
        <w:t>The standard specifies the value range of attribute connectionId to be xsd:unsignedInt.</w:t>
      </w:r>
    </w:p>
    <w:p w:rsidR="005F78FC" w:rsidRDefault="00B42EF3">
      <w:pPr>
        <w:pStyle w:val="Definition-Field2"/>
      </w:pPr>
      <w:r>
        <w:t>In Office, attribute connectionId shall be less than or equal to 2147483647.</w:t>
      </w:r>
    </w:p>
    <w:p w:rsidR="005F78FC" w:rsidRDefault="00B42EF3">
      <w:pPr>
        <w:pStyle w:val="Heading3"/>
      </w:pPr>
      <w:bookmarkStart w:id="1390" w:name="section_c4068cc3c49f4d34bbfc4fe10a1a689d"/>
      <w:bookmarkStart w:id="1391" w:name="_Toc69878468"/>
      <w:r>
        <w:t>Part 1 Section 18.5.2.3,</w:t>
      </w:r>
      <w:r>
        <w:t xml:space="preserve"> xmlCellPr (Cell Properties)</w:t>
      </w:r>
      <w:bookmarkEnd w:id="1390"/>
      <w:bookmarkEnd w:id="1391"/>
      <w:r>
        <w:fldChar w:fldCharType="begin"/>
      </w:r>
      <w:r>
        <w:instrText xml:space="preserve"> XE "xmlCellPr (Cell Properties)" </w:instrText>
      </w:r>
      <w:r>
        <w:fldChar w:fldCharType="end"/>
      </w:r>
    </w:p>
    <w:p w:rsidR="005F78FC" w:rsidRDefault="00B42EF3">
      <w:pPr>
        <w:pStyle w:val="Definition-Field"/>
      </w:pPr>
      <w:r>
        <w:t xml:space="preserve">a.   </w:t>
      </w:r>
      <w:r>
        <w:rPr>
          <w:i/>
        </w:rPr>
        <w:t>The standard does not limit the length of the value of the uniqueName attribute.</w:t>
      </w:r>
    </w:p>
    <w:p w:rsidR="005F78FC" w:rsidRDefault="00B42EF3">
      <w:pPr>
        <w:pStyle w:val="Definition-Field2"/>
      </w:pPr>
      <w:r>
        <w:t>Excel restricts the value of this attribute to be at least 1 and at most 255 characters.</w:t>
      </w:r>
    </w:p>
    <w:p w:rsidR="005F78FC" w:rsidRDefault="00B42EF3">
      <w:pPr>
        <w:pStyle w:val="Definition-Field"/>
      </w:pPr>
      <w:r>
        <w:t xml:space="preserve">b.   </w:t>
      </w:r>
      <w:r>
        <w:rPr>
          <w:i/>
        </w:rPr>
        <w:t xml:space="preserve">The </w:t>
      </w:r>
      <w:r>
        <w:rPr>
          <w:i/>
        </w:rPr>
        <w:t>standard states that the uniqueName attribute is optional.</w:t>
      </w:r>
    </w:p>
    <w:p w:rsidR="005F78FC" w:rsidRDefault="00B42EF3">
      <w:pPr>
        <w:pStyle w:val="Definition-Field2"/>
      </w:pPr>
      <w:r>
        <w:t>Excel requires this attribute.</w:t>
      </w:r>
    </w:p>
    <w:p w:rsidR="005F78FC" w:rsidRDefault="00B42EF3">
      <w:pPr>
        <w:pStyle w:val="Heading3"/>
      </w:pPr>
      <w:bookmarkStart w:id="1392" w:name="section_cbb4061e04964dd294f5cacadf834a0a"/>
      <w:bookmarkStart w:id="1393" w:name="_Toc69878469"/>
      <w:r>
        <w:t>Part 1 Section 18.5.2.4, xmlPr (Column XML Properties)</w:t>
      </w:r>
      <w:bookmarkEnd w:id="1392"/>
      <w:bookmarkEnd w:id="1393"/>
      <w:r>
        <w:fldChar w:fldCharType="begin"/>
      </w:r>
      <w:r>
        <w:instrText xml:space="preserve"> XE "xmlPr (Column XML Properties)" </w:instrText>
      </w:r>
      <w:r>
        <w:fldChar w:fldCharType="end"/>
      </w:r>
    </w:p>
    <w:p w:rsidR="005F78FC" w:rsidRDefault="00B42EF3">
      <w:pPr>
        <w:pStyle w:val="Definition-Field"/>
      </w:pPr>
      <w:r>
        <w:t xml:space="preserve">a.   </w:t>
      </w:r>
      <w:r>
        <w:rPr>
          <w:i/>
        </w:rPr>
        <w:t>The standard specifies the value range for @xpath to be ST_Xstring.</w:t>
      </w:r>
    </w:p>
    <w:p w:rsidR="005F78FC" w:rsidRDefault="00B42EF3">
      <w:pPr>
        <w:pStyle w:val="Definition-Field2"/>
      </w:pPr>
      <w:r>
        <w:t>Office requires that the value of attribute xpath be greater than 0 and less than 32000 characters.</w:t>
      </w:r>
    </w:p>
    <w:p w:rsidR="005F78FC" w:rsidRDefault="00B42EF3">
      <w:pPr>
        <w:pStyle w:val="Definition-Field"/>
      </w:pPr>
      <w:r>
        <w:t xml:space="preserve">b.   </w:t>
      </w:r>
      <w:r>
        <w:rPr>
          <w:i/>
        </w:rPr>
        <w:t>The standard specifies that attribute mapId has the value range of xs:unsignedInt.</w:t>
      </w:r>
    </w:p>
    <w:p w:rsidR="005F78FC" w:rsidRDefault="00B42EF3">
      <w:pPr>
        <w:pStyle w:val="Definition-Field2"/>
      </w:pPr>
      <w:r>
        <w:t>Office requires that the value of attribute mapId be greater than or</w:t>
      </w:r>
      <w:r>
        <w:t xml:space="preserve"> equal to 1 and less than or equal to 2147483647.</w:t>
      </w:r>
    </w:p>
    <w:p w:rsidR="005F78FC" w:rsidRDefault="00B42EF3">
      <w:pPr>
        <w:pStyle w:val="Heading3"/>
      </w:pPr>
      <w:bookmarkStart w:id="1394" w:name="section_67a432a81f584198aec477849c1684fd"/>
      <w:bookmarkStart w:id="1395" w:name="_Toc69878470"/>
      <w:r>
        <w:t>Part 1 Section 18.6.1, c (Cell)</w:t>
      </w:r>
      <w:bookmarkEnd w:id="1394"/>
      <w:bookmarkEnd w:id="1395"/>
      <w:r>
        <w:fldChar w:fldCharType="begin"/>
      </w:r>
      <w:r>
        <w:instrText xml:space="preserve"> XE "c (Cell)" </w:instrText>
      </w:r>
      <w:r>
        <w:fldChar w:fldCharType="end"/>
      </w:r>
    </w:p>
    <w:p w:rsidR="005F78FC" w:rsidRDefault="00B42EF3">
      <w:pPr>
        <w:pStyle w:val="Definition-Field"/>
      </w:pPr>
      <w:r>
        <w:t xml:space="preserve">a.   </w:t>
      </w:r>
      <w:r>
        <w:rPr>
          <w:i/>
        </w:rPr>
        <w:t>The standard refers to "c attribute" and "cell's" .</w:t>
      </w:r>
    </w:p>
    <w:p w:rsidR="005F78FC" w:rsidRDefault="00B42EF3">
      <w:pPr>
        <w:pStyle w:val="Definition-Field2"/>
      </w:pPr>
      <w:r>
        <w:t>Office interprets these to refer to "c element" and "cells".</w:t>
      </w:r>
    </w:p>
    <w:p w:rsidR="005F78FC" w:rsidRDefault="00B42EF3">
      <w:pPr>
        <w:pStyle w:val="Definition-Field"/>
      </w:pPr>
      <w:r>
        <w:t xml:space="preserve">b.   </w:t>
      </w:r>
      <w:r>
        <w:rPr>
          <w:i/>
        </w:rPr>
        <w:t xml:space="preserve">The standard does not specify the </w:t>
      </w:r>
      <w:r>
        <w:rPr>
          <w:i/>
        </w:rPr>
        <w:t>context of cell for the i attribute.</w:t>
      </w:r>
    </w:p>
    <w:p w:rsidR="005F78FC" w:rsidRDefault="00B42EF3">
      <w:pPr>
        <w:pStyle w:val="Definition-Field2"/>
      </w:pPr>
      <w:r>
        <w:t>Office uses the previous cell in the calcChain collection.</w:t>
      </w:r>
    </w:p>
    <w:p w:rsidR="005F78FC" w:rsidRDefault="00B42EF3">
      <w:pPr>
        <w:pStyle w:val="Definition-Field"/>
      </w:pPr>
      <w:r>
        <w:t xml:space="preserve">c.   </w:t>
      </w:r>
      <w:r>
        <w:rPr>
          <w:i/>
        </w:rPr>
        <w:t>The standard does not place restrictions between the use of the l attribute and the s attribute.</w:t>
      </w:r>
    </w:p>
    <w:p w:rsidR="005F78FC" w:rsidRDefault="00B42EF3">
      <w:pPr>
        <w:pStyle w:val="Definition-Field2"/>
      </w:pPr>
      <w:r>
        <w:t>Office requires that the l and s attributes be mutually ex</w:t>
      </w:r>
      <w:r>
        <w:t>clusive.</w:t>
      </w:r>
    </w:p>
    <w:p w:rsidR="005F78FC" w:rsidRDefault="00B42EF3">
      <w:pPr>
        <w:pStyle w:val="Definition-Field"/>
      </w:pPr>
      <w:r>
        <w:t xml:space="preserve">d.   </w:t>
      </w:r>
      <w:r>
        <w:rPr>
          <w:i/>
        </w:rPr>
        <w:t>The standard does not adequately describe dependency levels for the l attribute.</w:t>
      </w:r>
    </w:p>
    <w:p w:rsidR="005F78FC" w:rsidRDefault="00B42EF3">
      <w:r>
        <w:t xml:space="preserve">A dependency level is the set of formulas that may depend on formulas on the preceding dependency levels. A parent formula, as defined by </w:t>
      </w:r>
      <w:r>
        <w:rPr>
          <w:b/>
        </w:rPr>
        <w:t xml:space="preserve">s </w:t>
      </w:r>
      <w:r>
        <w:t xml:space="preserve">attribute, shall not </w:t>
      </w:r>
      <w:r>
        <w:t xml:space="preserve">depend on other formulas on the same dependency level. A child formula, as defined by </w:t>
      </w:r>
      <w:r>
        <w:rPr>
          <w:b/>
        </w:rPr>
        <w:t xml:space="preserve">s </w:t>
      </w:r>
      <w:r>
        <w:t>attribute, shall only depend on other formulas on the same dependency level that precede it on the same child chain.</w:t>
      </w:r>
    </w:p>
    <w:p w:rsidR="005F78FC" w:rsidRDefault="00B42EF3">
      <w:pPr>
        <w:pStyle w:val="Definition-Field"/>
      </w:pPr>
      <w:r>
        <w:lastRenderedPageBreak/>
        <w:t xml:space="preserve">e.   </w:t>
      </w:r>
      <w:r>
        <w:rPr>
          <w:i/>
        </w:rPr>
        <w:t>The standard does not adequately describe chil</w:t>
      </w:r>
      <w:r>
        <w:rPr>
          <w:i/>
        </w:rPr>
        <w:t>d chains for the s attribute.</w:t>
      </w:r>
    </w:p>
    <w:p w:rsidR="005F78FC" w:rsidRDefault="00B42EF3">
      <w:r>
        <w:t xml:space="preserve">A child chain is a sequence of </w:t>
      </w:r>
      <w:r>
        <w:rPr>
          <w:b/>
        </w:rPr>
        <w:t>c</w:t>
      </w:r>
      <w:r>
        <w:t xml:space="preserve"> elements and the corresponding formulas that have </w:t>
      </w:r>
      <w:r>
        <w:rPr>
          <w:b/>
        </w:rPr>
        <w:t xml:space="preserve">s </w:t>
      </w:r>
      <w:r>
        <w:t xml:space="preserve">attribute equal to true. A parent formula is a formula corresponding to the </w:t>
      </w:r>
      <w:r>
        <w:rPr>
          <w:b/>
        </w:rPr>
        <w:t>c</w:t>
      </w:r>
      <w:r>
        <w:t xml:space="preserve"> element that has </w:t>
      </w:r>
      <w:r>
        <w:rPr>
          <w:b/>
        </w:rPr>
        <w:t>s</w:t>
      </w:r>
      <w:r>
        <w:t xml:space="preserve"> attribute equal to false, and that immediate</w:t>
      </w:r>
      <w:r>
        <w:t>ly precedes the child chain. The child chain’s formulas, within the same dependency level, depend only on the preceding child formulas and on the parent formula.</w:t>
      </w:r>
    </w:p>
    <w:p w:rsidR="005F78FC" w:rsidRDefault="00B42EF3">
      <w:pPr>
        <w:pStyle w:val="Definition-Field"/>
      </w:pPr>
      <w:r>
        <w:t xml:space="preserve">f.   </w:t>
      </w:r>
      <w:r>
        <w:rPr>
          <w:i/>
        </w:rPr>
        <w:t xml:space="preserve">The standard states that when the s attribute is omitted its value is inherited from the </w:t>
      </w:r>
      <w:r>
        <w:rPr>
          <w:i/>
        </w:rPr>
        <w:t>previous c element.</w:t>
      </w:r>
    </w:p>
    <w:p w:rsidR="005F78FC" w:rsidRDefault="00B42EF3">
      <w:pPr>
        <w:pStyle w:val="Definition-Field2"/>
      </w:pPr>
      <w:r>
        <w:t>Office defaults to false when the s attribute is omitted, indicating that the formula is a parent formula.</w:t>
      </w:r>
    </w:p>
    <w:p w:rsidR="005F78FC" w:rsidRDefault="00B42EF3">
      <w:pPr>
        <w:pStyle w:val="Definition-Field"/>
      </w:pPr>
      <w:r>
        <w:t xml:space="preserve">g.   </w:t>
      </w:r>
      <w:r>
        <w:rPr>
          <w:i/>
        </w:rPr>
        <w:t>The standard specifies @t starts a new thread.</w:t>
      </w:r>
    </w:p>
    <w:p w:rsidR="005F78FC" w:rsidRDefault="00B42EF3">
      <w:pPr>
        <w:pStyle w:val="Definition-Field2"/>
      </w:pPr>
      <w:r>
        <w:t>Office treats the attribute as deprecated and is ignored.</w:t>
      </w:r>
    </w:p>
    <w:p w:rsidR="005F78FC" w:rsidRDefault="00B42EF3">
      <w:pPr>
        <w:pStyle w:val="Definition-Field"/>
      </w:pPr>
      <w:r>
        <w:t xml:space="preserve">h.   </w:t>
      </w:r>
      <w:r>
        <w:rPr>
          <w:i/>
        </w:rPr>
        <w:t>The standard s</w:t>
      </w:r>
      <w:r>
        <w:rPr>
          <w:i/>
        </w:rPr>
        <w:t>tates that the values of the i attribute are defined by the XML int datatype.</w:t>
      </w:r>
    </w:p>
    <w:p w:rsidR="005F78FC" w:rsidRDefault="00B42EF3">
      <w:pPr>
        <w:pStyle w:val="Definition-Field2"/>
      </w:pPr>
      <w:r>
        <w:t>Excel restricts the value of this attribute to be at least 1 and at most 65534.</w:t>
      </w:r>
    </w:p>
    <w:p w:rsidR="005F78FC" w:rsidRDefault="00B42EF3">
      <w:pPr>
        <w:pStyle w:val="Definition-Field"/>
      </w:pPr>
      <w:r>
        <w:t xml:space="preserve">i.   </w:t>
      </w:r>
      <w:r>
        <w:rPr>
          <w:i/>
        </w:rPr>
        <w:t>The standard states that the default value of the i attribute is 0.</w:t>
      </w:r>
    </w:p>
    <w:p w:rsidR="005F78FC" w:rsidRDefault="00B42EF3">
      <w:pPr>
        <w:pStyle w:val="Definition-Field2"/>
      </w:pPr>
      <w:r>
        <w:t>Excel requires this attri</w:t>
      </w:r>
      <w:r>
        <w:t>bute to be specified on the first cell in the calcChain collection; the default value on subsequent cells is taken from the previous record.</w:t>
      </w:r>
    </w:p>
    <w:p w:rsidR="005F78FC" w:rsidRDefault="00B42EF3">
      <w:pPr>
        <w:pStyle w:val="Heading3"/>
      </w:pPr>
      <w:bookmarkStart w:id="1396" w:name="section_ae3bd10a0ef44b559ee681b26f8229b0"/>
      <w:bookmarkStart w:id="1397" w:name="_Toc69878471"/>
      <w:r>
        <w:t>Part 1 Section 18.7.1, author (Author)</w:t>
      </w:r>
      <w:bookmarkEnd w:id="1396"/>
      <w:bookmarkEnd w:id="1397"/>
      <w:r>
        <w:fldChar w:fldCharType="begin"/>
      </w:r>
      <w:r>
        <w:instrText xml:space="preserve"> XE "author (Author)" </w:instrText>
      </w:r>
      <w:r>
        <w:fldChar w:fldCharType="end"/>
      </w:r>
    </w:p>
    <w:p w:rsidR="005F78FC" w:rsidRDefault="00B42EF3">
      <w:pPr>
        <w:pStyle w:val="Definition-Field"/>
      </w:pPr>
      <w:r>
        <w:t xml:space="preserve">a.   </w:t>
      </w:r>
      <w:r>
        <w:rPr>
          <w:i/>
        </w:rPr>
        <w:t>The standard does not limit the length of the v</w:t>
      </w:r>
      <w:r>
        <w:rPr>
          <w:i/>
        </w:rPr>
        <w:t>alue of the author element.</w:t>
      </w:r>
    </w:p>
    <w:p w:rsidR="005F78FC" w:rsidRDefault="00B42EF3">
      <w:pPr>
        <w:pStyle w:val="Definition-Field2"/>
      </w:pPr>
      <w:r>
        <w:t>Excel restricts the value of this element to be at most 65535 characters.</w:t>
      </w:r>
    </w:p>
    <w:p w:rsidR="005F78FC" w:rsidRDefault="00B42EF3">
      <w:pPr>
        <w:pStyle w:val="Definition-Field"/>
      </w:pPr>
      <w:r>
        <w:t xml:space="preserve">b.   </w:t>
      </w:r>
      <w:r>
        <w:rPr>
          <w:i/>
        </w:rPr>
        <w:t>The standard makes no mention of an xml:space attribute.</w:t>
      </w:r>
    </w:p>
    <w:p w:rsidR="005F78FC" w:rsidRDefault="00B42EF3">
      <w:pPr>
        <w:pStyle w:val="Definition-Field2"/>
      </w:pPr>
      <w:r>
        <w:t>Excel uses this attribute to specify, using the W3C space preservation rules, how white spac</w:t>
      </w:r>
      <w:r>
        <w:t>e should be handled for the element's contents; its allowed values are defined by the XML 1.0 specification.</w:t>
      </w:r>
    </w:p>
    <w:p w:rsidR="005F78FC" w:rsidRDefault="00B42EF3">
      <w:pPr>
        <w:pStyle w:val="Heading3"/>
      </w:pPr>
      <w:bookmarkStart w:id="1398" w:name="section_894596a2886444408e7e51c339d8e665"/>
      <w:bookmarkStart w:id="1399" w:name="_Toc69878472"/>
      <w:r>
        <w:t>Part 1 Section 18.7.3, comment (Comment)</w:t>
      </w:r>
      <w:bookmarkEnd w:id="1398"/>
      <w:bookmarkEnd w:id="1399"/>
      <w:r>
        <w:fldChar w:fldCharType="begin"/>
      </w:r>
      <w:r>
        <w:instrText xml:space="preserve"> XE "comment (Comment)" </w:instrText>
      </w:r>
      <w:r>
        <w:fldChar w:fldCharType="end"/>
      </w:r>
    </w:p>
    <w:p w:rsidR="005F78FC" w:rsidRDefault="00B42EF3">
      <w:pPr>
        <w:pStyle w:val="Definition-Field"/>
      </w:pPr>
      <w:r>
        <w:t xml:space="preserve">a.   </w:t>
      </w:r>
      <w:r>
        <w:rPr>
          <w:i/>
        </w:rPr>
        <w:t xml:space="preserve">The standard specifies @guid is required and unique if the workbook is </w:t>
      </w:r>
      <w:r>
        <w:rPr>
          <w:i/>
        </w:rPr>
        <w:t>shared.</w:t>
      </w:r>
    </w:p>
    <w:p w:rsidR="005F78FC" w:rsidRDefault="00B42EF3">
      <w:pPr>
        <w:pStyle w:val="Definition-Field2"/>
      </w:pPr>
      <w:r>
        <w:t>Excel additionally specifies @guid is optional if the workbook is not shared.</w:t>
      </w:r>
    </w:p>
    <w:p w:rsidR="005F78FC" w:rsidRDefault="00B42EF3">
      <w:pPr>
        <w:pStyle w:val="Definition-Field"/>
      </w:pPr>
      <w:r>
        <w:t xml:space="preserve">b.   </w:t>
      </w:r>
      <w:r>
        <w:rPr>
          <w:i/>
        </w:rPr>
        <w:t>The standard specifies that the shapeId attribute is a valid attribute of the comment element.</w:t>
      </w:r>
    </w:p>
    <w:p w:rsidR="005F78FC" w:rsidRDefault="00B42EF3">
      <w:pPr>
        <w:pStyle w:val="Definition-Field2"/>
      </w:pPr>
      <w:r>
        <w:t>Excel ignores the shapeId attribute.</w:t>
      </w:r>
    </w:p>
    <w:p w:rsidR="005F78FC" w:rsidRDefault="00B42EF3">
      <w:pPr>
        <w:pStyle w:val="Heading3"/>
      </w:pPr>
      <w:bookmarkStart w:id="1400" w:name="section_e9edd17d6abd4eb4809926c53991de54"/>
      <w:bookmarkStart w:id="1401" w:name="_Toc69878473"/>
      <w:r>
        <w:t>Part 1 Section 18.7.5, commentPr (Comment Properties)</w:t>
      </w:r>
      <w:bookmarkEnd w:id="1400"/>
      <w:bookmarkEnd w:id="1401"/>
      <w:r>
        <w:fldChar w:fldCharType="begin"/>
      </w:r>
      <w:r>
        <w:instrText xml:space="preserve"> XE "commentPr (Comment Properties)" </w:instrText>
      </w:r>
      <w:r>
        <w:fldChar w:fldCharType="end"/>
      </w:r>
    </w:p>
    <w:p w:rsidR="005F78FC" w:rsidRDefault="00B42EF3">
      <w:pPr>
        <w:pStyle w:val="Definition-Field"/>
      </w:pPr>
      <w:r>
        <w:t xml:space="preserve">a.   </w:t>
      </w:r>
      <w:r>
        <w:rPr>
          <w:i/>
        </w:rPr>
        <w:t>The standard specifies the commentPR element.</w:t>
      </w:r>
    </w:p>
    <w:p w:rsidR="005F78FC" w:rsidRDefault="00B42EF3">
      <w:pPr>
        <w:pStyle w:val="Definition-Field2"/>
      </w:pPr>
      <w:r>
        <w:t>Excel will fail to open a file containing the commentPR element.</w:t>
      </w:r>
    </w:p>
    <w:p w:rsidR="005F78FC" w:rsidRDefault="00B42EF3">
      <w:pPr>
        <w:pStyle w:val="Heading3"/>
      </w:pPr>
      <w:bookmarkStart w:id="1402" w:name="section_ef31a978e97949ee82693ea9b145bef3"/>
      <w:bookmarkStart w:id="1403" w:name="_Toc69878474"/>
      <w:r>
        <w:t>Part 1 Section 18.7.7, text (Comment Text)</w:t>
      </w:r>
      <w:bookmarkEnd w:id="1402"/>
      <w:bookmarkEnd w:id="1403"/>
      <w:r>
        <w:fldChar w:fldCharType="begin"/>
      </w:r>
      <w:r>
        <w:instrText xml:space="preserve"> XE "</w:instrText>
      </w:r>
      <w:r>
        <w:instrText xml:space="preserve">text (Comment Text)"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76b69cb6d97e4dd28106a823c4e65d0c">
        <w:r>
          <w:rPr>
            <w:rStyle w:val="Hyperlink"/>
          </w:rPr>
          <w:t>is, §18.3.1.53(a, b)</w:t>
        </w:r>
      </w:hyperlink>
      <w:r>
        <w:rPr>
          <w:i/>
        </w:rPr>
        <w:t xml:space="preserve">; </w:t>
      </w:r>
      <w:hyperlink w:anchor="Section_82ad64a7401b4f3493193600b16b2791">
        <w:r>
          <w:rPr>
            <w:rStyle w:val="Hyperlink"/>
          </w:rPr>
          <w:t>t, §18.4.12(b)</w:t>
        </w:r>
      </w:hyperlink>
      <w:r>
        <w:rPr>
          <w:i/>
        </w:rPr>
        <w:t>.</w:t>
      </w:r>
    </w:p>
    <w:p w:rsidR="005F78FC" w:rsidRDefault="00B42EF3">
      <w:pPr>
        <w:pStyle w:val="Heading3"/>
      </w:pPr>
      <w:bookmarkStart w:id="1404" w:name="section_e4ad6e3e77024dbe8c44f5a4c686c440"/>
      <w:bookmarkStart w:id="1405" w:name="_Toc69878475"/>
      <w:r>
        <w:lastRenderedPageBreak/>
        <w:t>Part 1 Section 18.8.1, alignment (Alignment)</w:t>
      </w:r>
      <w:bookmarkEnd w:id="1404"/>
      <w:bookmarkEnd w:id="1405"/>
      <w:r>
        <w:fldChar w:fldCharType="begin"/>
      </w:r>
      <w:r>
        <w:instrText xml:space="preserve"> XE "alignment (Alignment)" </w:instrText>
      </w:r>
      <w:r>
        <w:fldChar w:fldCharType="end"/>
      </w:r>
    </w:p>
    <w:p w:rsidR="005F78FC" w:rsidRDefault="00B42EF3">
      <w:pPr>
        <w:pStyle w:val="Definition-Field"/>
      </w:pPr>
      <w:r>
        <w:t xml:space="preserve">a.   </w:t>
      </w:r>
      <w:r>
        <w:rPr>
          <w:i/>
        </w:rPr>
        <w:t>The standard states that the values of the textRotation attribute are defined by the XML Schema unsignedInt.</w:t>
      </w:r>
    </w:p>
    <w:p w:rsidR="005F78FC" w:rsidRDefault="00B42EF3">
      <w:pPr>
        <w:pStyle w:val="Definition-Field2"/>
      </w:pPr>
      <w:r>
        <w:t>Excel restricts the value of this attribute t</w:t>
      </w:r>
      <w:r>
        <w:t>o be in the range 0-180 inclusive or 255. The meaning of the values 0-180 is defined in the standard, 255 means Vertical Text.</w:t>
      </w:r>
    </w:p>
    <w:p w:rsidR="005F78FC" w:rsidRDefault="00B42EF3">
      <w:pPr>
        <w:pStyle w:val="Definition-Field"/>
      </w:pPr>
      <w:r>
        <w:t xml:space="preserve">b.   </w:t>
      </w:r>
      <w:r>
        <w:rPr>
          <w:i/>
        </w:rPr>
        <w:t>The standard states that the values of the indent attribute are defined by the XML Schema unsignedInt datatype.</w:t>
      </w:r>
    </w:p>
    <w:p w:rsidR="005F78FC" w:rsidRDefault="00B42EF3">
      <w:pPr>
        <w:pStyle w:val="Definition-Field2"/>
      </w:pPr>
      <w:r>
        <w:t>Excel restri</w:t>
      </w:r>
      <w:r>
        <w:t>cts the value of this attribute to be at most 255.</w:t>
      </w:r>
    </w:p>
    <w:p w:rsidR="005F78FC" w:rsidRDefault="00B42EF3">
      <w:pPr>
        <w:pStyle w:val="Definition-Field"/>
      </w:pPr>
      <w:r>
        <w:t xml:space="preserve">c.   </w:t>
      </w:r>
      <w:r>
        <w:rPr>
          <w:i/>
        </w:rPr>
        <w:t>The standard states that the values of the readingOrder attribute are defined by the XML Schema unsignedInt datatype.</w:t>
      </w:r>
    </w:p>
    <w:p w:rsidR="005F78FC" w:rsidRDefault="00B42EF3">
      <w:pPr>
        <w:pStyle w:val="Definition-Field2"/>
      </w:pPr>
      <w:r>
        <w:t>Excel restricts the value of this attribute to be 0, 1, or 2.</w:t>
      </w:r>
    </w:p>
    <w:p w:rsidR="005F78FC" w:rsidRDefault="00B42EF3">
      <w:pPr>
        <w:pStyle w:val="Definition-Field"/>
      </w:pPr>
      <w:r>
        <w:t xml:space="preserve">d.   </w:t>
      </w:r>
      <w:r>
        <w:rPr>
          <w:i/>
        </w:rPr>
        <w:t>The standard do</w:t>
      </w:r>
      <w:r>
        <w:rPr>
          <w:i/>
        </w:rPr>
        <w:t>es not specify a default value for the horizontal attribute.</w:t>
      </w:r>
    </w:p>
    <w:p w:rsidR="005F78FC" w:rsidRDefault="00B42EF3">
      <w:pPr>
        <w:pStyle w:val="Definition-Field2"/>
      </w:pPr>
      <w:r>
        <w:t>Excel uses a default value of general for this attribute.</w:t>
      </w:r>
    </w:p>
    <w:p w:rsidR="005F78FC" w:rsidRDefault="00B42EF3">
      <w:pPr>
        <w:pStyle w:val="Definition-Field"/>
      </w:pPr>
      <w:r>
        <w:t xml:space="preserve">e.   </w:t>
      </w:r>
      <w:r>
        <w:rPr>
          <w:i/>
        </w:rPr>
        <w:t>The standard does not specify a default value for the vertical attribute.</w:t>
      </w:r>
    </w:p>
    <w:p w:rsidR="005F78FC" w:rsidRDefault="00B42EF3">
      <w:pPr>
        <w:pStyle w:val="Definition-Field2"/>
      </w:pPr>
      <w:r>
        <w:t>Excel uses a default value of bottom for this attribute.</w:t>
      </w:r>
    </w:p>
    <w:p w:rsidR="005F78FC" w:rsidRDefault="00B42EF3">
      <w:pPr>
        <w:pStyle w:val="Definition-Field"/>
      </w:pPr>
      <w:r>
        <w:t>f</w:t>
      </w:r>
      <w:r>
        <w:t xml:space="preserve">.   </w:t>
      </w:r>
      <w:r>
        <w:rPr>
          <w:i/>
        </w:rPr>
        <w:t>The standard does not specify a default value for the textRotation attribute.</w:t>
      </w:r>
    </w:p>
    <w:p w:rsidR="005F78FC" w:rsidRDefault="00B42EF3">
      <w:pPr>
        <w:pStyle w:val="Definition-Field2"/>
      </w:pPr>
      <w:r>
        <w:t>Excel uses a default value of 0 for this attribute.</w:t>
      </w:r>
    </w:p>
    <w:p w:rsidR="005F78FC" w:rsidRDefault="00B42EF3">
      <w:pPr>
        <w:pStyle w:val="Definition-Field"/>
      </w:pPr>
      <w:r>
        <w:t xml:space="preserve">g.   </w:t>
      </w:r>
      <w:r>
        <w:rPr>
          <w:i/>
        </w:rPr>
        <w:t>The standard does not specify a default value for the wrapText attribute.</w:t>
      </w:r>
    </w:p>
    <w:p w:rsidR="005F78FC" w:rsidRDefault="00B42EF3">
      <w:pPr>
        <w:pStyle w:val="Definition-Field2"/>
      </w:pPr>
      <w:r>
        <w:t>Excel uses a default value of false for thi</w:t>
      </w:r>
      <w:r>
        <w:t>s attribute.</w:t>
      </w:r>
    </w:p>
    <w:p w:rsidR="005F78FC" w:rsidRDefault="00B42EF3">
      <w:pPr>
        <w:pStyle w:val="Definition-Field"/>
      </w:pPr>
      <w:r>
        <w:t xml:space="preserve">h.   </w:t>
      </w:r>
      <w:r>
        <w:rPr>
          <w:i/>
        </w:rPr>
        <w:t>The standard does not specify a default value for the indent attribute.</w:t>
      </w:r>
    </w:p>
    <w:p w:rsidR="005F78FC" w:rsidRDefault="00B42EF3">
      <w:pPr>
        <w:pStyle w:val="Definition-Field2"/>
      </w:pPr>
      <w:r>
        <w:t>Excel uses a default value of 0 for this attribute.</w:t>
      </w:r>
    </w:p>
    <w:p w:rsidR="005F78FC" w:rsidRDefault="00B42EF3">
      <w:pPr>
        <w:pStyle w:val="Definition-Field"/>
      </w:pPr>
      <w:r>
        <w:t xml:space="preserve">i.   </w:t>
      </w:r>
      <w:r>
        <w:rPr>
          <w:i/>
        </w:rPr>
        <w:t>The standard does not specify a default value for the relativeIndent attribute.</w:t>
      </w:r>
    </w:p>
    <w:p w:rsidR="005F78FC" w:rsidRDefault="00B42EF3">
      <w:pPr>
        <w:pStyle w:val="Definition-Field2"/>
      </w:pPr>
      <w:r>
        <w:t>Excel uses a default value of</w:t>
      </w:r>
      <w:r>
        <w:t xml:space="preserve"> 0 for this attribute.</w:t>
      </w:r>
    </w:p>
    <w:p w:rsidR="005F78FC" w:rsidRDefault="00B42EF3">
      <w:pPr>
        <w:pStyle w:val="Definition-Field"/>
      </w:pPr>
      <w:r>
        <w:t xml:space="preserve">j.   </w:t>
      </w:r>
      <w:r>
        <w:rPr>
          <w:i/>
        </w:rPr>
        <w:t>The standard does not specify a default value for the justifyLastLine attribute.</w:t>
      </w:r>
    </w:p>
    <w:p w:rsidR="005F78FC" w:rsidRDefault="00B42EF3">
      <w:pPr>
        <w:pStyle w:val="Definition-Field2"/>
      </w:pPr>
      <w:r>
        <w:t>Excel uses a default value of false for this attribute.</w:t>
      </w:r>
    </w:p>
    <w:p w:rsidR="005F78FC" w:rsidRDefault="00B42EF3">
      <w:pPr>
        <w:pStyle w:val="Definition-Field"/>
      </w:pPr>
      <w:r>
        <w:t xml:space="preserve">k.   </w:t>
      </w:r>
      <w:r>
        <w:rPr>
          <w:i/>
        </w:rPr>
        <w:t>The standard does not specify a default value for the shrinkToFit attribute.</w:t>
      </w:r>
    </w:p>
    <w:p w:rsidR="005F78FC" w:rsidRDefault="00B42EF3">
      <w:pPr>
        <w:pStyle w:val="Definition-Field2"/>
      </w:pPr>
      <w:r>
        <w:t>Excel use</w:t>
      </w:r>
      <w:r>
        <w:t>s a default value of false for this attribute.</w:t>
      </w:r>
    </w:p>
    <w:p w:rsidR="005F78FC" w:rsidRDefault="00B42EF3">
      <w:pPr>
        <w:pStyle w:val="Definition-Field"/>
      </w:pPr>
      <w:r>
        <w:t xml:space="preserve">l.   </w:t>
      </w:r>
      <w:r>
        <w:rPr>
          <w:i/>
        </w:rPr>
        <w:t>The standard does not specify a default value for the readingOrder attribute.</w:t>
      </w:r>
    </w:p>
    <w:p w:rsidR="005F78FC" w:rsidRDefault="00B42EF3">
      <w:pPr>
        <w:pStyle w:val="Definition-Field2"/>
      </w:pPr>
      <w:r>
        <w:t>Excel uses a default value of 0 for this attribute.</w:t>
      </w:r>
    </w:p>
    <w:p w:rsidR="005F78FC" w:rsidRDefault="00B42EF3">
      <w:pPr>
        <w:pStyle w:val="Heading3"/>
      </w:pPr>
      <w:bookmarkStart w:id="1406" w:name="section_2b0a8b9d392f46c1b3c1c5a5f98f8e69"/>
      <w:bookmarkStart w:id="1407" w:name="_Toc69878476"/>
      <w:r>
        <w:t>Part 1 Section 18.8.3, bgColor (Background Color)</w:t>
      </w:r>
      <w:bookmarkEnd w:id="1406"/>
      <w:bookmarkEnd w:id="1407"/>
      <w:r>
        <w:fldChar w:fldCharType="begin"/>
      </w:r>
      <w:r>
        <w:instrText xml:space="preserve"> XE "bgColor (Background Color)"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903e02250adb44a3864f59cacf639a76">
        <w:r>
          <w:rPr>
            <w:rStyle w:val="Hyperlink"/>
          </w:rPr>
          <w:t>color, §18.3.1.15(b-d)</w:t>
        </w:r>
      </w:hyperlink>
      <w:r>
        <w:rPr>
          <w:i/>
        </w:rPr>
        <w:t xml:space="preserve">; </w:t>
      </w:r>
      <w:hyperlink w:anchor="Section_57f3992c0f4646afa3c764132f66ebe0">
        <w:r>
          <w:rPr>
            <w:rStyle w:val="Hyperlink"/>
          </w:rPr>
          <w:t>tabColor, §18.3.1.93(a-c)</w:t>
        </w:r>
      </w:hyperlink>
      <w:r>
        <w:rPr>
          <w:i/>
        </w:rPr>
        <w:t>.</w:t>
      </w:r>
    </w:p>
    <w:p w:rsidR="005F78FC" w:rsidRDefault="00B42EF3">
      <w:pPr>
        <w:pStyle w:val="Definition-Field"/>
      </w:pPr>
      <w:r>
        <w:t xml:space="preserve">a.   </w:t>
      </w:r>
      <w:r>
        <w:rPr>
          <w:i/>
        </w:rPr>
        <w:t>The standard does not specify the priorities of the various color types.</w:t>
      </w:r>
    </w:p>
    <w:p w:rsidR="005F78FC" w:rsidRDefault="00B42EF3">
      <w:pPr>
        <w:pStyle w:val="Definition-Field2"/>
      </w:pPr>
      <w:r>
        <w:lastRenderedPageBreak/>
        <w:t>Office prioritizes the attributes as auto &lt; indexed &lt; rgb &lt; theme, and only roundtrips the type with the highest priority if two or</w:t>
      </w:r>
      <w:r>
        <w:t xml:space="preserve"> more are specified.</w:t>
      </w:r>
    </w:p>
    <w:p w:rsidR="005F78FC" w:rsidRDefault="00B42EF3">
      <w:pPr>
        <w:pStyle w:val="Heading3"/>
      </w:pPr>
      <w:bookmarkStart w:id="1408" w:name="section_e9bf10bfee5749fa9c1baece23e733cb"/>
      <w:bookmarkStart w:id="1409" w:name="_Toc69878477"/>
      <w:r>
        <w:t>Part 1 Section 18.8.4, border (Border)</w:t>
      </w:r>
      <w:bookmarkEnd w:id="1408"/>
      <w:bookmarkEnd w:id="1409"/>
      <w:r>
        <w:fldChar w:fldCharType="begin"/>
      </w:r>
      <w:r>
        <w:instrText xml:space="preserve"> XE "border (Border)" </w:instrText>
      </w:r>
      <w:r>
        <w:fldChar w:fldCharType="end"/>
      </w:r>
    </w:p>
    <w:p w:rsidR="005F78FC" w:rsidRDefault="00B42EF3">
      <w:pPr>
        <w:pStyle w:val="Definition-Field"/>
      </w:pPr>
      <w:r>
        <w:t xml:space="preserve">a.   </w:t>
      </w:r>
      <w:r>
        <w:rPr>
          <w:i/>
        </w:rPr>
        <w:t>The standard does not specify a default value for the diagonalUp attribute.</w:t>
      </w:r>
    </w:p>
    <w:p w:rsidR="005F78FC" w:rsidRDefault="00B42EF3">
      <w:pPr>
        <w:pStyle w:val="Definition-Field2"/>
      </w:pPr>
      <w:r>
        <w:t>Excel uses a default value of false for this attribute.</w:t>
      </w:r>
    </w:p>
    <w:p w:rsidR="005F78FC" w:rsidRDefault="00B42EF3">
      <w:pPr>
        <w:pStyle w:val="Definition-Field"/>
      </w:pPr>
      <w:r>
        <w:t xml:space="preserve">b.   </w:t>
      </w:r>
      <w:r>
        <w:rPr>
          <w:i/>
        </w:rPr>
        <w:t xml:space="preserve">The standard does not specify </w:t>
      </w:r>
      <w:r>
        <w:rPr>
          <w:i/>
        </w:rPr>
        <w:t>a default value for the diagonalDown attribute.</w:t>
      </w:r>
    </w:p>
    <w:p w:rsidR="005F78FC" w:rsidRDefault="00B42EF3">
      <w:pPr>
        <w:pStyle w:val="Definition-Field2"/>
      </w:pPr>
      <w:r>
        <w:t>Excel uses a default value of false for this attribute.</w:t>
      </w:r>
    </w:p>
    <w:p w:rsidR="005F78FC" w:rsidRDefault="00B42EF3">
      <w:pPr>
        <w:pStyle w:val="Heading3"/>
      </w:pPr>
      <w:bookmarkStart w:id="1410" w:name="section_c3c609ef965745b98a9f023bf50268df"/>
      <w:bookmarkStart w:id="1411" w:name="_Toc69878478"/>
      <w:r>
        <w:t>Part 1 Section 18.8.5, borders (Borders)</w:t>
      </w:r>
      <w:bookmarkEnd w:id="1410"/>
      <w:bookmarkEnd w:id="1411"/>
      <w:r>
        <w:fldChar w:fldCharType="begin"/>
      </w:r>
      <w:r>
        <w:instrText xml:space="preserve"> XE "borders (Borders)" </w:instrText>
      </w:r>
      <w:r>
        <w:fldChar w:fldCharType="end"/>
      </w:r>
    </w:p>
    <w:p w:rsidR="005F78FC" w:rsidRDefault="00B42EF3">
      <w:pPr>
        <w:pStyle w:val="Definition-Field"/>
      </w:pPr>
      <w:r>
        <w:t xml:space="preserve">a.   </w:t>
      </w:r>
      <w:r>
        <w:rPr>
          <w:i/>
        </w:rPr>
        <w:t>The standard states that the border child element has a minOccurs value of 0 and</w:t>
      </w:r>
      <w:r>
        <w:rPr>
          <w:i/>
        </w:rPr>
        <w:t xml:space="preserve"> a maxOccurs value of unbounded.</w:t>
      </w:r>
    </w:p>
    <w:p w:rsidR="005F78FC" w:rsidRDefault="00B42EF3">
      <w:pPr>
        <w:pStyle w:val="Definition-Field2"/>
      </w:pPr>
      <w:r>
        <w:t>Excel limits the occurrences of this element to be at least 1 and at most 65430.</w:t>
      </w:r>
    </w:p>
    <w:p w:rsidR="005F78FC" w:rsidRDefault="00B42EF3">
      <w:pPr>
        <w:pStyle w:val="Heading3"/>
      </w:pPr>
      <w:bookmarkStart w:id="1412" w:name="section_dff6242bddbe4a768d6567496b074576"/>
      <w:bookmarkStart w:id="1413" w:name="_Toc69878479"/>
      <w:r>
        <w:t>Part 1 Section 18.8.7, cellStyle (Cell Style)</w:t>
      </w:r>
      <w:bookmarkEnd w:id="1412"/>
      <w:bookmarkEnd w:id="1413"/>
      <w:r>
        <w:fldChar w:fldCharType="begin"/>
      </w:r>
      <w:r>
        <w:instrText xml:space="preserve"> XE "cellStyle (Cell Style)" </w:instrText>
      </w:r>
      <w:r>
        <w:fldChar w:fldCharType="end"/>
      </w:r>
    </w:p>
    <w:p w:rsidR="005F78FC" w:rsidRDefault="00B42EF3">
      <w:pPr>
        <w:pStyle w:val="Definition-Field"/>
      </w:pPr>
      <w:r>
        <w:t xml:space="preserve">a.   </w:t>
      </w:r>
      <w:r>
        <w:rPr>
          <w:i/>
        </w:rPr>
        <w:t xml:space="preserve">The standard does not limit the length of the value for the </w:t>
      </w:r>
      <w:r>
        <w:rPr>
          <w:i/>
        </w:rPr>
        <w:t>@name.</w:t>
      </w:r>
    </w:p>
    <w:p w:rsidR="005F78FC" w:rsidRDefault="00B42EF3">
      <w:pPr>
        <w:pStyle w:val="Definition-Field2"/>
      </w:pPr>
      <w:r>
        <w:t>Office limits the value of @name to 255 characters.</w:t>
      </w:r>
    </w:p>
    <w:p w:rsidR="005F78FC" w:rsidRDefault="00B42EF3">
      <w:pPr>
        <w:pStyle w:val="Definition-Field"/>
      </w:pPr>
      <w:r>
        <w:t xml:space="preserve">b.   </w:t>
      </w:r>
      <w:r>
        <w:rPr>
          <w:i/>
        </w:rPr>
        <w:t>The standard states that the builtinId attribute is any 32-bit unsigned integer.</w:t>
      </w:r>
    </w:p>
    <w:p w:rsidR="005F78FC" w:rsidRDefault="00B42EF3">
      <w:pPr>
        <w:pStyle w:val="Definition-Field2"/>
      </w:pPr>
      <w:r>
        <w:t xml:space="preserve">Office limits the values of the builtinId attribute to greater than or equal to zero and less than or equal to </w:t>
      </w:r>
      <w:r>
        <w:t>53.</w:t>
      </w:r>
    </w:p>
    <w:p w:rsidR="005F78FC" w:rsidRDefault="00B42EF3">
      <w:pPr>
        <w:pStyle w:val="Definition-Field"/>
      </w:pPr>
      <w:r>
        <w:t xml:space="preserve">c.   </w:t>
      </w:r>
      <w:r>
        <w:rPr>
          <w:i/>
        </w:rPr>
        <w:t>The standard states that the iLevel attribute indicates that formatting is for an outline style, regardless of the value of the builtIn attribute.</w:t>
      </w:r>
    </w:p>
    <w:p w:rsidR="005F78FC" w:rsidRDefault="00B42EF3">
      <w:pPr>
        <w:pStyle w:val="Definition-Field2"/>
      </w:pPr>
      <w:r>
        <w:t>Office will ignore the iLevel attribute if the style is not either the RowLevel or ColLevel built-in</w:t>
      </w:r>
      <w:r>
        <w:t xml:space="preserve"> styles (builtIn=1 or =2).</w:t>
      </w:r>
    </w:p>
    <w:p w:rsidR="005F78FC" w:rsidRDefault="00B42EF3">
      <w:pPr>
        <w:pStyle w:val="Definition-Field"/>
      </w:pPr>
      <w:r>
        <w:t xml:space="preserve">d.   </w:t>
      </w:r>
      <w:r>
        <w:rPr>
          <w:i/>
        </w:rPr>
        <w:t>The standard states that the values of the iLevel attribute are defined by the XML Schema unsigned int datatype.</w:t>
      </w:r>
    </w:p>
    <w:p w:rsidR="005F78FC" w:rsidRDefault="00B42EF3">
      <w:pPr>
        <w:pStyle w:val="Definition-Field2"/>
      </w:pPr>
      <w:r>
        <w:t>Office limits the iLevel attribute to the values 0 through 7.</w:t>
      </w:r>
    </w:p>
    <w:p w:rsidR="005F78FC" w:rsidRDefault="00B42EF3">
      <w:pPr>
        <w:pStyle w:val="Definition-Field"/>
      </w:pPr>
      <w:r>
        <w:t xml:space="preserve">e.   </w:t>
      </w:r>
      <w:r>
        <w:rPr>
          <w:i/>
        </w:rPr>
        <w:t>The standard does not define built-in styles</w:t>
      </w:r>
      <w:r>
        <w:rPr>
          <w:i/>
        </w:rPr>
        <w:t xml:space="preserve"> 12, 13, and 14.</w:t>
      </w:r>
    </w:p>
    <w:p w:rsidR="005F78FC" w:rsidRDefault="00B42EF3">
      <w:pPr>
        <w:pStyle w:val="Definition-Field2"/>
      </w:pPr>
      <w:r>
        <w:t>Office defines built-in styles 12 = "Emphasis 1", 13 = "Emphasis 2", 14 = "Emphasis 3".</w:t>
      </w:r>
    </w:p>
    <w:p w:rsidR="005F78FC" w:rsidRDefault="00B42EF3">
      <w:pPr>
        <w:pStyle w:val="Definition-Field"/>
      </w:pPr>
      <w:r>
        <w:t xml:space="preserve">f.   </w:t>
      </w:r>
      <w:r>
        <w:rPr>
          <w:i/>
        </w:rPr>
        <w:t>The standard does not place uniqueness restrictions on the xfId attribute.</w:t>
      </w:r>
    </w:p>
    <w:p w:rsidR="005F78FC" w:rsidRDefault="00B42EF3">
      <w:pPr>
        <w:pStyle w:val="Definition-Field2"/>
      </w:pPr>
      <w:r>
        <w:t xml:space="preserve">Office requires that the xfId attribute must be unique with respect to </w:t>
      </w:r>
      <w:r>
        <w:t>the xfId values in all other cellStyle elements.</w:t>
      </w:r>
    </w:p>
    <w:p w:rsidR="005F78FC" w:rsidRDefault="00B42EF3">
      <w:pPr>
        <w:pStyle w:val="Definition-Field"/>
      </w:pPr>
      <w:r>
        <w:t xml:space="preserve">g.   </w:t>
      </w:r>
      <w:r>
        <w:rPr>
          <w:i/>
        </w:rPr>
        <w:t>The standard does not place uniqueness restrictions on the name attribute.</w:t>
      </w:r>
    </w:p>
    <w:p w:rsidR="005F78FC" w:rsidRDefault="00B42EF3">
      <w:pPr>
        <w:pStyle w:val="Definition-Field2"/>
      </w:pPr>
      <w:r>
        <w:t>Office requires that value of the name attribute must be unique with respect to the name values in all other cellStyle elements</w:t>
      </w:r>
      <w:r>
        <w:t>.</w:t>
      </w:r>
    </w:p>
    <w:p w:rsidR="005F78FC" w:rsidRDefault="00B42EF3">
      <w:pPr>
        <w:pStyle w:val="Heading3"/>
      </w:pPr>
      <w:bookmarkStart w:id="1414" w:name="section_991dac4a9f954af2af5a8cf088522ec1"/>
      <w:bookmarkStart w:id="1415" w:name="_Toc69878480"/>
      <w:r>
        <w:t>Part 1 Section 18.8.8, cellStyles (Cell Styles)</w:t>
      </w:r>
      <w:bookmarkEnd w:id="1414"/>
      <w:bookmarkEnd w:id="1415"/>
      <w:r>
        <w:fldChar w:fldCharType="begin"/>
      </w:r>
      <w:r>
        <w:instrText xml:space="preserve"> XE "cellStyles (Cell Styles)" </w:instrText>
      </w:r>
      <w:r>
        <w:fldChar w:fldCharType="end"/>
      </w:r>
    </w:p>
    <w:p w:rsidR="005F78FC" w:rsidRDefault="00B42EF3">
      <w:pPr>
        <w:pStyle w:val="Definition-Field"/>
      </w:pPr>
      <w:r>
        <w:t xml:space="preserve">a.   </w:t>
      </w:r>
      <w:r>
        <w:rPr>
          <w:i/>
        </w:rPr>
        <w:t>The standard states that the maxOccurs value for the cellStyle child element is unbounded.</w:t>
      </w:r>
    </w:p>
    <w:p w:rsidR="005F78FC" w:rsidRDefault="00B42EF3">
      <w:pPr>
        <w:pStyle w:val="Definition-Field2"/>
      </w:pPr>
      <w:r>
        <w:lastRenderedPageBreak/>
        <w:t>Excel limits the occurrences of this element to 65430.</w:t>
      </w:r>
    </w:p>
    <w:p w:rsidR="005F78FC" w:rsidRDefault="00B42EF3">
      <w:pPr>
        <w:pStyle w:val="Heading3"/>
      </w:pPr>
      <w:bookmarkStart w:id="1416" w:name="section_5c2f48dfe9034d4692bcf67d2f25ecb0"/>
      <w:bookmarkStart w:id="1417" w:name="_Toc69878481"/>
      <w:r>
        <w:t>Part 1 Section 18.8.9, cellStyleXfs (Formatting Records)</w:t>
      </w:r>
      <w:bookmarkEnd w:id="1416"/>
      <w:bookmarkEnd w:id="1417"/>
      <w:r>
        <w:fldChar w:fldCharType="begin"/>
      </w:r>
      <w:r>
        <w:instrText xml:space="preserve"> XE "cellStyleXfs (Formatting Records)" </w:instrText>
      </w:r>
      <w:r>
        <w:fldChar w:fldCharType="end"/>
      </w:r>
    </w:p>
    <w:p w:rsidR="005F78FC" w:rsidRDefault="00B42EF3">
      <w:pPr>
        <w:pStyle w:val="Definition-Field"/>
      </w:pPr>
      <w:r>
        <w:t xml:space="preserve">a.   </w:t>
      </w:r>
      <w:r>
        <w:rPr>
          <w:i/>
        </w:rPr>
        <w:t>The standard states that the maxOccurs value for the xf child element is unbounded.</w:t>
      </w:r>
    </w:p>
    <w:p w:rsidR="005F78FC" w:rsidRDefault="00B42EF3">
      <w:pPr>
        <w:pStyle w:val="Definition-Field2"/>
      </w:pPr>
      <w:r>
        <w:t>Excel limits the occurrences of this element to 65430.</w:t>
      </w:r>
    </w:p>
    <w:p w:rsidR="005F78FC" w:rsidRDefault="00B42EF3">
      <w:pPr>
        <w:pStyle w:val="Definition-Field"/>
      </w:pPr>
      <w:r>
        <w:t xml:space="preserve">b.   </w:t>
      </w:r>
      <w:r>
        <w:rPr>
          <w:i/>
        </w:rPr>
        <w:t xml:space="preserve">The </w:t>
      </w:r>
      <w:r>
        <w:rPr>
          <w:i/>
        </w:rPr>
        <w:t>standard states that both the cell style xf records and cell xf records must be read to understand the full set of formatting applied to a cell.</w:t>
      </w:r>
    </w:p>
    <w:p w:rsidR="005F78FC" w:rsidRDefault="00B42EF3">
      <w:pPr>
        <w:pStyle w:val="Definition-Field2"/>
      </w:pPr>
      <w:r>
        <w:t>In Office, only the cell xf record defines the formatting applied to a cell.</w:t>
      </w:r>
    </w:p>
    <w:p w:rsidR="005F78FC" w:rsidRDefault="00B42EF3">
      <w:pPr>
        <w:pStyle w:val="Definition-Field"/>
      </w:pPr>
      <w:r>
        <w:t xml:space="preserve">c.   </w:t>
      </w:r>
      <w:r>
        <w:rPr>
          <w:i/>
        </w:rPr>
        <w:t>The standard does not limit t</w:t>
      </w:r>
      <w:r>
        <w:rPr>
          <w:i/>
        </w:rPr>
        <w:t>he number of xf elements inside cellXfs and cellStyleXfs, or note any relationship between them.</w:t>
      </w:r>
    </w:p>
    <w:p w:rsidR="005F78FC" w:rsidRDefault="00B42EF3">
      <w:pPr>
        <w:pStyle w:val="Definition-Field2"/>
      </w:pPr>
      <w:r>
        <w:t>Office requires that the combined quantity of xf records inside cellXfs and non-built-in xf records inside CellStyleXfs must not exceed 65430 elements.</w:t>
      </w:r>
    </w:p>
    <w:p w:rsidR="005F78FC" w:rsidRDefault="00B42EF3">
      <w:pPr>
        <w:pStyle w:val="Heading3"/>
      </w:pPr>
      <w:bookmarkStart w:id="1418" w:name="section_d0f88a45c7c3456b9e212fd5577e9898"/>
      <w:bookmarkStart w:id="1419" w:name="_Toc69878482"/>
      <w:r>
        <w:t xml:space="preserve">Part 1 </w:t>
      </w:r>
      <w:r>
        <w:t>Section 18.8.10, cellXfs (Cell Formats)</w:t>
      </w:r>
      <w:bookmarkEnd w:id="1418"/>
      <w:bookmarkEnd w:id="1419"/>
      <w:r>
        <w:fldChar w:fldCharType="begin"/>
      </w:r>
      <w:r>
        <w:instrText xml:space="preserve"> XE "cellXfs (Cell Formats)" </w:instrText>
      </w:r>
      <w:r>
        <w:fldChar w:fldCharType="end"/>
      </w:r>
    </w:p>
    <w:p w:rsidR="005F78FC" w:rsidRDefault="00B42EF3">
      <w:pPr>
        <w:pStyle w:val="Definition-Field"/>
      </w:pPr>
      <w:r>
        <w:t xml:space="preserve">a.   </w:t>
      </w:r>
      <w:r>
        <w:rPr>
          <w:i/>
        </w:rPr>
        <w:t>The standard states that the maxOccurs value for the xf child element is unbounded.</w:t>
      </w:r>
    </w:p>
    <w:p w:rsidR="005F78FC" w:rsidRDefault="00B42EF3">
      <w:pPr>
        <w:pStyle w:val="Definition-Field2"/>
      </w:pPr>
      <w:r>
        <w:t>Excel limits the occurrences of this element to 65430.</w:t>
      </w:r>
    </w:p>
    <w:p w:rsidR="005F78FC" w:rsidRDefault="00B42EF3">
      <w:pPr>
        <w:pStyle w:val="Definition-Field"/>
      </w:pPr>
      <w:r>
        <w:t xml:space="preserve">b.   </w:t>
      </w:r>
      <w:r>
        <w:rPr>
          <w:i/>
        </w:rPr>
        <w:t>The standard states that both the ce</w:t>
      </w:r>
      <w:r>
        <w:rPr>
          <w:i/>
        </w:rPr>
        <w:t>ll style xf records and cell xf records must be read to understand the full set of formatting applied to a cell.</w:t>
      </w:r>
    </w:p>
    <w:p w:rsidR="005F78FC" w:rsidRDefault="00B42EF3">
      <w:pPr>
        <w:pStyle w:val="Definition-Field2"/>
      </w:pPr>
      <w:r>
        <w:t>In Office, only the cell xf record defines the formatting applied to a cell.</w:t>
      </w:r>
    </w:p>
    <w:p w:rsidR="005F78FC" w:rsidRDefault="00B42EF3">
      <w:pPr>
        <w:pStyle w:val="Definition-Field"/>
      </w:pPr>
      <w:r>
        <w:t xml:space="preserve">c.   </w:t>
      </w:r>
      <w:r>
        <w:rPr>
          <w:i/>
        </w:rPr>
        <w:t xml:space="preserve">The standard does not limit the number of xf elements inside </w:t>
      </w:r>
      <w:r>
        <w:rPr>
          <w:i/>
        </w:rPr>
        <w:t>cellXfs and cellStyleXfs, or note any relationship between them.</w:t>
      </w:r>
    </w:p>
    <w:p w:rsidR="005F78FC" w:rsidRDefault="00B42EF3">
      <w:pPr>
        <w:pStyle w:val="Definition-Field2"/>
      </w:pPr>
      <w:r>
        <w:t>Office requires that the combined quantity of xf records inside cellXfs and non-built-in xf records inside CellStyleXfs must not exceed 65430 elements.</w:t>
      </w:r>
    </w:p>
    <w:p w:rsidR="005F78FC" w:rsidRDefault="00B42EF3">
      <w:pPr>
        <w:pStyle w:val="Heading3"/>
      </w:pPr>
      <w:bookmarkStart w:id="1420" w:name="section_c9e9313d99ba4a11aeb1d390477d6163"/>
      <w:bookmarkStart w:id="1421" w:name="_Toc69878483"/>
      <w:r>
        <w:t>Part 1 Section 18.8.15, dxfs (Formats)</w:t>
      </w:r>
      <w:bookmarkEnd w:id="1420"/>
      <w:bookmarkEnd w:id="1421"/>
      <w:r>
        <w:fldChar w:fldCharType="begin"/>
      </w:r>
      <w:r>
        <w:instrText xml:space="preserve"> </w:instrText>
      </w:r>
      <w:r>
        <w:instrText xml:space="preserve">XE "dxfs (Formats)" </w:instrText>
      </w:r>
      <w:r>
        <w:fldChar w:fldCharType="end"/>
      </w:r>
    </w:p>
    <w:p w:rsidR="005F78FC" w:rsidRDefault="00B42EF3">
      <w:pPr>
        <w:pStyle w:val="Definition-Field"/>
      </w:pPr>
      <w:r>
        <w:t xml:space="preserve">a.   </w:t>
      </w:r>
      <w:r>
        <w:rPr>
          <w:i/>
        </w:rPr>
        <w:t>The standard states that the maxOccurs value for the dxf child element is unbounded.</w:t>
      </w:r>
    </w:p>
    <w:p w:rsidR="005F78FC" w:rsidRDefault="00B42EF3">
      <w:pPr>
        <w:pStyle w:val="Definition-Field2"/>
      </w:pPr>
      <w:r>
        <w:t>Excel limits the occurrences of this element to 2147483647.</w:t>
      </w:r>
    </w:p>
    <w:p w:rsidR="005F78FC" w:rsidRDefault="00B42EF3">
      <w:pPr>
        <w:pStyle w:val="Heading3"/>
      </w:pPr>
      <w:bookmarkStart w:id="1422" w:name="section_adcd81b4377b4c819ebd670b0fab6704"/>
      <w:bookmarkStart w:id="1423" w:name="_Toc69878484"/>
      <w:r>
        <w:t>Part 1 Section 18.8.16, end (Trailing Edge Border)</w:t>
      </w:r>
      <w:bookmarkEnd w:id="1422"/>
      <w:bookmarkEnd w:id="1423"/>
      <w:r>
        <w:fldChar w:fldCharType="begin"/>
      </w:r>
      <w:r>
        <w:instrText xml:space="preserve"> XE "end (Trailing Edge Border)" </w:instrText>
      </w:r>
      <w:r>
        <w:fldChar w:fldCharType="end"/>
      </w:r>
    </w:p>
    <w:p w:rsidR="005F78FC" w:rsidRDefault="00B42EF3">
      <w:pPr>
        <w:pStyle w:val="Definition-Field"/>
      </w:pPr>
      <w:r>
        <w:t xml:space="preserve">a.   </w:t>
      </w:r>
      <w:r>
        <w:rPr>
          <w:i/>
        </w:rPr>
        <w:t>The standard specifies that an "end" element specify a trailing edge border.</w:t>
      </w:r>
    </w:p>
    <w:p w:rsidR="005F78FC" w:rsidRDefault="00B42EF3">
      <w:pPr>
        <w:pStyle w:val="Definition-Field2"/>
      </w:pPr>
      <w:r>
        <w:t>Excel writes "right" instead of "end".</w:t>
      </w:r>
    </w:p>
    <w:p w:rsidR="005F78FC" w:rsidRDefault="00B42EF3">
      <w:pPr>
        <w:pStyle w:val="Heading3"/>
      </w:pPr>
      <w:bookmarkStart w:id="1424" w:name="section_2b2b6126757449f8bbcf6335bb1f7026"/>
      <w:bookmarkStart w:id="1425" w:name="_Toc69878485"/>
      <w:r>
        <w:t>Part 1 Section 18.8.18, family (Font Family)</w:t>
      </w:r>
      <w:bookmarkEnd w:id="1424"/>
      <w:bookmarkEnd w:id="1425"/>
      <w:r>
        <w:fldChar w:fldCharType="begin"/>
      </w:r>
      <w:r>
        <w:instrText xml:space="preserve"> XE "family (Font Family)" </w:instrText>
      </w:r>
      <w:r>
        <w:fldChar w:fldCharType="end"/>
      </w:r>
    </w:p>
    <w:p w:rsidR="005F78FC" w:rsidRDefault="00B42EF3">
      <w:pPr>
        <w:pStyle w:val="Definition-Field"/>
      </w:pPr>
      <w:r>
        <w:t xml:space="preserve">a.   </w:t>
      </w:r>
      <w:r>
        <w:rPr>
          <w:i/>
        </w:rPr>
        <w:t>The standard states that the values of the val attrib</w:t>
      </w:r>
      <w:r>
        <w:rPr>
          <w:i/>
        </w:rPr>
        <w:t>ute are defined by the XML Schema int datatype.</w:t>
      </w:r>
    </w:p>
    <w:p w:rsidR="005F78FC" w:rsidRDefault="00B42EF3">
      <w:pPr>
        <w:pStyle w:val="Definition-Field2"/>
      </w:pPr>
      <w:r>
        <w:t>Excel restricts the value of this attribute to be at least 0 and at most 5.</w:t>
      </w:r>
    </w:p>
    <w:p w:rsidR="005F78FC" w:rsidRDefault="00B42EF3">
      <w:pPr>
        <w:pStyle w:val="Definition-Field"/>
      </w:pPr>
      <w:r>
        <w:t xml:space="preserve">b.   </w:t>
      </w:r>
      <w:r>
        <w:rPr>
          <w:i/>
        </w:rPr>
        <w:t>The standard implies that the val attribute refers to character set.</w:t>
      </w:r>
    </w:p>
    <w:p w:rsidR="005F78FC" w:rsidRDefault="00B42EF3">
      <w:pPr>
        <w:pStyle w:val="Definition-Field2"/>
      </w:pPr>
      <w:r>
        <w:t>In Office, the val attribute is interpreted as referring t</w:t>
      </w:r>
      <w:r>
        <w:t>o the font family.</w:t>
      </w:r>
    </w:p>
    <w:p w:rsidR="005F78FC" w:rsidRDefault="00B42EF3">
      <w:pPr>
        <w:pStyle w:val="Heading3"/>
      </w:pPr>
      <w:bookmarkStart w:id="1426" w:name="section_df550c30b35c42d29914f3011ba1f2e6"/>
      <w:bookmarkStart w:id="1427" w:name="_Toc69878486"/>
      <w:r>
        <w:lastRenderedPageBreak/>
        <w:t>Part 1 Section 18.8.19, fgColor (Foreground Color)</w:t>
      </w:r>
      <w:bookmarkEnd w:id="1426"/>
      <w:bookmarkEnd w:id="1427"/>
      <w:r>
        <w:fldChar w:fldCharType="begin"/>
      </w:r>
      <w:r>
        <w:instrText xml:space="preserve"> XE "fgColor (Foreground Color)"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903e02250adb44a3864f59cacf639a76">
        <w:r>
          <w:rPr>
            <w:rStyle w:val="Hyperlink"/>
          </w:rPr>
          <w:t>color, §18.3.1.15(b-d)</w:t>
        </w:r>
      </w:hyperlink>
      <w:r>
        <w:rPr>
          <w:i/>
        </w:rPr>
        <w:t xml:space="preserve">; </w:t>
      </w:r>
      <w:hyperlink w:anchor="Section_57f3992c0f4646afa3c764132f66ebe0">
        <w:r>
          <w:rPr>
            <w:rStyle w:val="Hyperlink"/>
          </w:rPr>
          <w:t>tabColor, §18.3.1.93(a-c)</w:t>
        </w:r>
      </w:hyperlink>
      <w:r>
        <w:rPr>
          <w:i/>
        </w:rPr>
        <w:t xml:space="preserve">; </w:t>
      </w:r>
      <w:hyperlink w:anchor="Section_2b0a8b9d392f46c1b3c1c5a5f98f8e69">
        <w:r>
          <w:rPr>
            <w:rStyle w:val="Hyperlink"/>
          </w:rPr>
          <w:t>bgColor, §18.8.3(a</w:t>
        </w:r>
        <w:r>
          <w:rPr>
            <w:rStyle w:val="Hyperlink"/>
          </w:rPr>
          <w:t>)</w:t>
        </w:r>
      </w:hyperlink>
      <w:r>
        <w:rPr>
          <w:i/>
        </w:rPr>
        <w:t>.</w:t>
      </w:r>
    </w:p>
    <w:p w:rsidR="005F78FC" w:rsidRDefault="00B42EF3">
      <w:pPr>
        <w:pStyle w:val="Definition-Field"/>
      </w:pPr>
      <w:r>
        <w:t xml:space="preserve">a.   </w:t>
      </w:r>
      <w:r>
        <w:rPr>
          <w:i/>
        </w:rPr>
        <w:t>The standard does not specify the priorities of the various color types.</w:t>
      </w:r>
    </w:p>
    <w:p w:rsidR="005F78FC" w:rsidRDefault="00B42EF3">
      <w:pPr>
        <w:pStyle w:val="Definition-Field2"/>
      </w:pPr>
      <w:r>
        <w:t>Office prioritizes the attributes as auto &lt; indexed &lt; rgb &lt; theme, and only roundtrips the type with the highest priority if two or more are specified.</w:t>
      </w:r>
    </w:p>
    <w:p w:rsidR="005F78FC" w:rsidRDefault="00B42EF3">
      <w:pPr>
        <w:pStyle w:val="Heading3"/>
      </w:pPr>
      <w:bookmarkStart w:id="1428" w:name="section_79949711feab4cdba73477cad7a95735"/>
      <w:bookmarkStart w:id="1429" w:name="_Toc69878487"/>
      <w:r>
        <w:t>Part 1 Section 18.8.21,</w:t>
      </w:r>
      <w:r>
        <w:t xml:space="preserve"> fills (Fills)</w:t>
      </w:r>
      <w:bookmarkEnd w:id="1428"/>
      <w:bookmarkEnd w:id="1429"/>
      <w:r>
        <w:fldChar w:fldCharType="begin"/>
      </w:r>
      <w:r>
        <w:instrText xml:space="preserve"> XE "fills (Fills)" </w:instrText>
      </w:r>
      <w:r>
        <w:fldChar w:fldCharType="end"/>
      </w:r>
    </w:p>
    <w:p w:rsidR="005F78FC" w:rsidRDefault="00B42EF3">
      <w:pPr>
        <w:pStyle w:val="Definition-Field"/>
      </w:pPr>
      <w:r>
        <w:t xml:space="preserve">a.   </w:t>
      </w:r>
      <w:r>
        <w:rPr>
          <w:i/>
        </w:rPr>
        <w:t>The standard states that the fill child element has a minOccurs value of 0 and a maxOccurs value of unbounded.</w:t>
      </w:r>
    </w:p>
    <w:p w:rsidR="005F78FC" w:rsidRDefault="00B42EF3">
      <w:pPr>
        <w:pStyle w:val="Definition-Field2"/>
      </w:pPr>
      <w:r>
        <w:t>Excel limits the occurrences of this element to be at least 1 and at most 65430.</w:t>
      </w:r>
    </w:p>
    <w:p w:rsidR="005F78FC" w:rsidRDefault="00B42EF3">
      <w:pPr>
        <w:pStyle w:val="Definition-Field"/>
      </w:pPr>
      <w:r>
        <w:t xml:space="preserve">b.   </w:t>
      </w:r>
      <w:r>
        <w:rPr>
          <w:i/>
        </w:rPr>
        <w:t>The standard allo</w:t>
      </w:r>
      <w:r>
        <w:rPr>
          <w:i/>
        </w:rPr>
        <w:t>ws for arbitrary definitions of these elements</w:t>
      </w:r>
    </w:p>
    <w:p w:rsidR="005F78FC" w:rsidRDefault="00B42EF3">
      <w:pPr>
        <w:pStyle w:val="Definition-Field2"/>
      </w:pPr>
      <w:r>
        <w:t>In Excel, the first two Fill ("</w:t>
      </w:r>
      <w:hyperlink r:id="rId129">
        <w:r>
          <w:rPr>
            <w:rStyle w:val="Hyperlink"/>
          </w:rPr>
          <w:t>[ISO/IEC-29500-1]</w:t>
        </w:r>
      </w:hyperlink>
      <w:r>
        <w:t xml:space="preserve"> §18.8.20; fill") values are reserved and deviations from their predefined values are not respected</w:t>
      </w:r>
    </w:p>
    <w:p w:rsidR="005F78FC" w:rsidRDefault="00B42EF3">
      <w:pPr>
        <w:pStyle w:val="Heading3"/>
      </w:pPr>
      <w:bookmarkStart w:id="1430" w:name="section_6bb22ec6338141d69df3a1f4d588b39a"/>
      <w:bookmarkStart w:id="1431" w:name="_Toc69878488"/>
      <w:r>
        <w:t>Part 1 Section 18.8.22, font (Font)</w:t>
      </w:r>
      <w:bookmarkEnd w:id="1430"/>
      <w:bookmarkEnd w:id="1431"/>
      <w:r>
        <w:fldChar w:fldCharType="begin"/>
      </w:r>
      <w:r>
        <w:instrText xml:space="preserve"> XE "font (Font)" </w:instrText>
      </w:r>
      <w:r>
        <w:fldChar w:fldCharType="end"/>
      </w:r>
    </w:p>
    <w:p w:rsidR="005F78FC" w:rsidRDefault="00B42EF3">
      <w:pPr>
        <w:pStyle w:val="Definition-Field"/>
      </w:pPr>
      <w:r>
        <w:t xml:space="preserve">a.   </w:t>
      </w:r>
      <w:r>
        <w:rPr>
          <w:i/>
        </w:rPr>
        <w:t>The standard defines the child elements using a choice.</w:t>
      </w:r>
    </w:p>
    <w:p w:rsidR="005F78FC" w:rsidRDefault="00B42EF3">
      <w:pPr>
        <w:pStyle w:val="Definition-Field2"/>
      </w:pPr>
      <w:r>
        <w:t>Excel requires the child elements to be</w:t>
      </w:r>
      <w:r>
        <w:t xml:space="preserve"> in the following sequence:  i, strike, condense, extend, outline, shadow, u, vertAlign, sz, color, name, family, charset, scheme.</w:t>
      </w:r>
    </w:p>
    <w:p w:rsidR="005F78FC" w:rsidRDefault="00B42EF3">
      <w:pPr>
        <w:pStyle w:val="Heading3"/>
      </w:pPr>
      <w:bookmarkStart w:id="1432" w:name="section_5e6b826f1abf496a8c7faf58b5312aaf"/>
      <w:bookmarkStart w:id="1433" w:name="_Toc69878489"/>
      <w:r>
        <w:t>Part 1 Section 18.8.23, fonts (Fonts)</w:t>
      </w:r>
      <w:bookmarkEnd w:id="1432"/>
      <w:bookmarkEnd w:id="1433"/>
      <w:r>
        <w:fldChar w:fldCharType="begin"/>
      </w:r>
      <w:r>
        <w:instrText xml:space="preserve"> XE "fonts (Fonts)" </w:instrText>
      </w:r>
      <w:r>
        <w:fldChar w:fldCharType="end"/>
      </w:r>
    </w:p>
    <w:p w:rsidR="005F78FC" w:rsidRDefault="00B42EF3">
      <w:pPr>
        <w:pStyle w:val="Definition-Field"/>
      </w:pPr>
      <w:r>
        <w:t xml:space="preserve">a.   </w:t>
      </w:r>
      <w:r>
        <w:rPr>
          <w:i/>
        </w:rPr>
        <w:t>The standard states that the font child element has a minOcc</w:t>
      </w:r>
      <w:r>
        <w:rPr>
          <w:i/>
        </w:rPr>
        <w:t>urs value of 0 and a maxOccurs value of unbounded.</w:t>
      </w:r>
    </w:p>
    <w:p w:rsidR="005F78FC" w:rsidRDefault="00B42EF3">
      <w:pPr>
        <w:pStyle w:val="Definition-Field2"/>
      </w:pPr>
      <w:r>
        <w:t>Excel limits the occurrences of this element to be at least 1 and at most 65491.</w:t>
      </w:r>
    </w:p>
    <w:p w:rsidR="005F78FC" w:rsidRDefault="00B42EF3">
      <w:pPr>
        <w:pStyle w:val="Heading3"/>
      </w:pPr>
      <w:bookmarkStart w:id="1434" w:name="section_93eecc5015504cbe911ca2aad70cbbd5"/>
      <w:bookmarkStart w:id="1435" w:name="_Toc69878490"/>
      <w:r>
        <w:t>Part 1 Section 18.8.24, gradientFill (Gradient)</w:t>
      </w:r>
      <w:bookmarkEnd w:id="1434"/>
      <w:bookmarkEnd w:id="1435"/>
      <w:r>
        <w:fldChar w:fldCharType="begin"/>
      </w:r>
      <w:r>
        <w:instrText xml:space="preserve"> XE "gradientFill (Gradient)" </w:instrText>
      </w:r>
      <w:r>
        <w:fldChar w:fldCharType="end"/>
      </w:r>
    </w:p>
    <w:p w:rsidR="005F78FC" w:rsidRDefault="00B42EF3">
      <w:pPr>
        <w:pStyle w:val="Definition-Field"/>
      </w:pPr>
      <w:r>
        <w:t xml:space="preserve">a.   </w:t>
      </w:r>
      <w:r>
        <w:rPr>
          <w:i/>
        </w:rPr>
        <w:t>The standard specifies @degree as defin</w:t>
      </w:r>
      <w:r>
        <w:rPr>
          <w:i/>
        </w:rPr>
        <w:t>ed by the XML Schema double datatype.</w:t>
      </w:r>
    </w:p>
    <w:p w:rsidR="005F78FC" w:rsidRDefault="00B42EF3">
      <w:pPr>
        <w:pStyle w:val="Definition-Field2"/>
      </w:pPr>
      <w:r>
        <w:t>Office requires @degree to be a double between -1.7E308 and 1.7E308 inclusive.</w:t>
      </w:r>
    </w:p>
    <w:p w:rsidR="005F78FC" w:rsidRDefault="00B42EF3">
      <w:pPr>
        <w:pStyle w:val="Heading3"/>
      </w:pPr>
      <w:bookmarkStart w:id="1436" w:name="section_96467cf3991545d8b9979183e29b29e4"/>
      <w:bookmarkStart w:id="1437" w:name="_Toc69878491"/>
      <w:r>
        <w:t>Part 1 Section 18.8.27, indexedColors (Color Indexes)</w:t>
      </w:r>
      <w:bookmarkEnd w:id="1436"/>
      <w:bookmarkEnd w:id="1437"/>
      <w:r>
        <w:fldChar w:fldCharType="begin"/>
      </w:r>
      <w:r>
        <w:instrText xml:space="preserve"> XE "indexedColors (Color Indexes)" </w:instrText>
      </w:r>
      <w:r>
        <w:fldChar w:fldCharType="end"/>
      </w:r>
    </w:p>
    <w:p w:rsidR="005F78FC" w:rsidRDefault="00B42EF3">
      <w:pPr>
        <w:pStyle w:val="Definition-Field"/>
      </w:pPr>
      <w:r>
        <w:t xml:space="preserve">a.   </w:t>
      </w:r>
      <w:r>
        <w:rPr>
          <w:i/>
        </w:rPr>
        <w:t>The standard states that the maxOccurs val</w:t>
      </w:r>
      <w:r>
        <w:rPr>
          <w:i/>
        </w:rPr>
        <w:t>ue for the rgbColor child element is unbounded.</w:t>
      </w:r>
    </w:p>
    <w:p w:rsidR="005F78FC" w:rsidRDefault="00B42EF3">
      <w:pPr>
        <w:pStyle w:val="Definition-Field2"/>
      </w:pPr>
      <w:r>
        <w:t>Excel limits the occurrences of this element to 64.</w:t>
      </w:r>
    </w:p>
    <w:p w:rsidR="005F78FC" w:rsidRDefault="00B42EF3">
      <w:pPr>
        <w:pStyle w:val="Heading3"/>
      </w:pPr>
      <w:bookmarkStart w:id="1438" w:name="section_236b2ae9ee2841ec9cb9e9085bba3100"/>
      <w:bookmarkStart w:id="1439" w:name="_Toc69878492"/>
      <w:r>
        <w:t>Part 1 Section 18.8.28, mruColors (MRU Colors)</w:t>
      </w:r>
      <w:bookmarkEnd w:id="1438"/>
      <w:bookmarkEnd w:id="1439"/>
      <w:r>
        <w:fldChar w:fldCharType="begin"/>
      </w:r>
      <w:r>
        <w:instrText xml:space="preserve"> XE "mruColors (MRU Colors)" </w:instrText>
      </w:r>
      <w:r>
        <w:fldChar w:fldCharType="end"/>
      </w:r>
    </w:p>
    <w:p w:rsidR="005F78FC" w:rsidRDefault="00B42EF3">
      <w:pPr>
        <w:pStyle w:val="Definition-Field"/>
      </w:pPr>
      <w:r>
        <w:t xml:space="preserve">a.   </w:t>
      </w:r>
      <w:r>
        <w:rPr>
          <w:i/>
        </w:rPr>
        <w:t xml:space="preserve">The standard states that the maxOccurs value for the color child element </w:t>
      </w:r>
      <w:r>
        <w:rPr>
          <w:i/>
        </w:rPr>
        <w:t>is unbounded.</w:t>
      </w:r>
    </w:p>
    <w:p w:rsidR="005F78FC" w:rsidRDefault="00B42EF3">
      <w:pPr>
        <w:pStyle w:val="Definition-Field2"/>
      </w:pPr>
      <w:r>
        <w:t>Excel limits the occurrences of this element to 10.</w:t>
      </w:r>
    </w:p>
    <w:p w:rsidR="005F78FC" w:rsidRDefault="00B42EF3">
      <w:pPr>
        <w:pStyle w:val="Heading3"/>
      </w:pPr>
      <w:bookmarkStart w:id="1440" w:name="section_0e286ffd189c4df8a44f3879af50a4a2"/>
      <w:bookmarkStart w:id="1441" w:name="_Toc69878493"/>
      <w:r>
        <w:t>Part 1 Section 18.8.29, name (Font Name)</w:t>
      </w:r>
      <w:bookmarkEnd w:id="1440"/>
      <w:bookmarkEnd w:id="1441"/>
      <w:r>
        <w:fldChar w:fldCharType="begin"/>
      </w:r>
      <w:r>
        <w:instrText xml:space="preserve"> XE "name (Font Name)" </w:instrText>
      </w:r>
      <w:r>
        <w:fldChar w:fldCharType="end"/>
      </w:r>
    </w:p>
    <w:p w:rsidR="005F78FC" w:rsidRDefault="00B42EF3">
      <w:pPr>
        <w:pStyle w:val="Definition-Field"/>
      </w:pPr>
      <w:r>
        <w:t xml:space="preserve">a.   </w:t>
      </w:r>
      <w:r>
        <w:rPr>
          <w:i/>
        </w:rPr>
        <w:t>The standard states that string length for the val attribute can be 0 to 31 characters.</w:t>
      </w:r>
    </w:p>
    <w:p w:rsidR="005F78FC" w:rsidRDefault="00B42EF3">
      <w:pPr>
        <w:pStyle w:val="Definition-Field2"/>
      </w:pPr>
      <w:r>
        <w:lastRenderedPageBreak/>
        <w:t>Excel restricts the value of th</w:t>
      </w:r>
      <w:r>
        <w:t>is attribute to be at least 1 and at most 31 characters before escaping.</w:t>
      </w:r>
    </w:p>
    <w:p w:rsidR="005F78FC" w:rsidRDefault="00B42EF3">
      <w:pPr>
        <w:pStyle w:val="Heading3"/>
      </w:pPr>
      <w:bookmarkStart w:id="1442" w:name="section_17d11129219b4e2c88db45844d21e528"/>
      <w:bookmarkStart w:id="1443" w:name="_Toc69878494"/>
      <w:r>
        <w:t>Part 1 Section 18.8.30, numFmt (Number Format)</w:t>
      </w:r>
      <w:bookmarkEnd w:id="1442"/>
      <w:bookmarkEnd w:id="1443"/>
      <w:r>
        <w:fldChar w:fldCharType="begin"/>
      </w:r>
      <w:r>
        <w:instrText xml:space="preserve"> XE "numFmt (Number Format)" </w:instrText>
      </w:r>
      <w:r>
        <w:fldChar w:fldCharType="end"/>
      </w:r>
    </w:p>
    <w:p w:rsidR="005F78FC" w:rsidRDefault="00B42EF3">
      <w:pPr>
        <w:pStyle w:val="Definition-Field"/>
      </w:pPr>
      <w:r>
        <w:t xml:space="preserve">a.   </w:t>
      </w:r>
      <w:r>
        <w:rPr>
          <w:i/>
        </w:rPr>
        <w:t>The standard defines built-in format ID 14: "mm-dd-yy"; 22: "m/d/yy h:mm"; 37: "#,##0 ;(#,##0)"; 38:</w:t>
      </w:r>
      <w:r>
        <w:rPr>
          <w:i/>
        </w:rPr>
        <w:t xml:space="preserve"> "#,##0 ;[Red](#,##0)"; 39: "#,##0.00;(#,##0.00)"; 40: "#,##0.00;[Red](#,##0.00)"; 47: "mmss.0"; KOR fmt 55: "yyyy-mm-dd".</w:t>
      </w:r>
    </w:p>
    <w:p w:rsidR="005F78FC" w:rsidRDefault="00B42EF3">
      <w:pPr>
        <w:pStyle w:val="Definition-Field2"/>
      </w:pPr>
      <w:r>
        <w:t>Excel defines built-in format ID 14: "m/d/yyyy"; 22: "m/d/yyyy h:mm"; 37: "#,##0_);(#,##0)"; 38: "#,##0_);[Red](#,##0)"; 39: "#,##0.0</w:t>
      </w:r>
      <w:r>
        <w:t>0_);(#,##0.00)"; 40: "#,##0.00_);[Red](#,##0.00)"; 47: "mm:ss.0"; KOR fmt 55: "yyyy/mm/dd".</w:t>
      </w:r>
    </w:p>
    <w:p w:rsidR="005F78FC" w:rsidRDefault="00B42EF3">
      <w:pPr>
        <w:pStyle w:val="Definition-Field"/>
      </w:pPr>
      <w:r>
        <w:t xml:space="preserve">b.   </w:t>
      </w:r>
      <w:r>
        <w:rPr>
          <w:i/>
        </w:rPr>
        <w:t>The standard does not define a restriction on the size or content of the formatCode attribute.</w:t>
      </w:r>
    </w:p>
    <w:p w:rsidR="005F78FC" w:rsidRDefault="00B42EF3">
      <w:r>
        <w:t xml:space="preserve">In Office, the formatCode attribute is a string specifying how </w:t>
      </w:r>
      <w:r>
        <w:t>to format and render the numeric value of a cell.  It must be less than 255 characters in length.  For a string to be considered a valid format code, it should be well-formed according to the following ABNF specification.</w:t>
      </w:r>
    </w:p>
    <w:p w:rsidR="005F78FC" w:rsidRDefault="00B42EF3">
      <w:r>
        <w:t>These definitions are for en-US lo</w:t>
      </w:r>
      <w:r>
        <w:t>cale. International consideration as specified in numFmts ("</w:t>
      </w:r>
      <w:hyperlink r:id="rId130">
        <w:r>
          <w:rPr>
            <w:rStyle w:val="Hyperlink"/>
          </w:rPr>
          <w:t>[ISO/IEC-29500-1]</w:t>
        </w:r>
      </w:hyperlink>
      <w:r>
        <w:t xml:space="preserve"> §18.8.31; numFmts") must be accounted for and the ABNF must be modified accordingly for specific international n</w:t>
      </w:r>
      <w:r>
        <w:t>umber formats.</w:t>
      </w:r>
    </w:p>
    <w:p w:rsidR="005F78FC" w:rsidRDefault="00B42EF3">
      <w:r>
        <w:t>In the following ABNF specification, the following set of tokens can occur 0 to unbounded times:</w:t>
      </w:r>
    </w:p>
    <w:p w:rsidR="005F78FC" w:rsidRDefault="00B42EF3">
      <w:r>
        <w:t>LITERAL-STRING</w:t>
      </w:r>
    </w:p>
    <w:p w:rsidR="005F78FC" w:rsidRDefault="00B42EF3">
      <w:r>
        <w:t>LITERAL-CHAR-REPEAT</w:t>
      </w:r>
    </w:p>
    <w:p w:rsidR="005F78FC" w:rsidRDefault="00B42EF3">
      <w:r>
        <w:t>LITERAL-CHAR-SPACE</w:t>
      </w:r>
    </w:p>
    <w:p w:rsidR="005F78FC" w:rsidRDefault="00B42EF3">
      <w:r>
        <w:t>as long as they don't break apart the following elements:</w:t>
      </w:r>
    </w:p>
    <w:p w:rsidR="005F78FC" w:rsidRDefault="00B42EF3">
      <w:r>
        <w:t>INTL*</w:t>
      </w:r>
    </w:p>
    <w:p w:rsidR="005F78FC" w:rsidRDefault="00B42EF3">
      <w:r>
        <w:t>LITERAL*</w:t>
      </w:r>
    </w:p>
    <w:p w:rsidR="005F78FC" w:rsidRDefault="00B42EF3">
      <w:r>
        <w:t>NFDateTimeToken</w:t>
      </w:r>
    </w:p>
    <w:p w:rsidR="005F78FC" w:rsidRDefault="00B42EF3">
      <w:r>
        <w:t>N</w:t>
      </w:r>
      <w:r>
        <w:t>FPartExponential</w:t>
      </w:r>
    </w:p>
    <w:p w:rsidR="005F78FC" w:rsidRDefault="00B42EF3">
      <w:r>
        <w:t>NFPartCond</w:t>
      </w:r>
    </w:p>
    <w:p w:rsidR="005F78FC" w:rsidRDefault="00B42EF3">
      <w:r>
        <w:t>NFPartLocaleID</w:t>
      </w:r>
    </w:p>
    <w:p w:rsidR="005F78FC" w:rsidRDefault="00B42EF3">
      <w:r>
        <w:t>NFPartColor</w:t>
      </w:r>
    </w:p>
    <w:p w:rsidR="005F78FC" w:rsidRDefault="00B42EF3">
      <w:r>
        <w:t>NFPartIntNum</w:t>
      </w:r>
    </w:p>
    <w:p w:rsidR="005F78FC" w:rsidRDefault="00B42EF3">
      <w:r>
        <w:t>NFPartStrColor</w:t>
      </w:r>
    </w:p>
    <w:p w:rsidR="005F78FC" w:rsidRDefault="00B42EF3">
      <w:r>
        <w:t>The following set of tokens must occur 0 or 1 times in each section as defined in numFmts ("[ISO/IEC-29500-1] §18.8.31; numFmts").</w:t>
      </w:r>
    </w:p>
    <w:p w:rsidR="005F78FC" w:rsidRDefault="00B42EF3">
      <w:r>
        <w:t>NFPartLocaleID</w:t>
      </w:r>
    </w:p>
    <w:p w:rsidR="005F78FC" w:rsidRDefault="00B42EF3">
      <w:r>
        <w:t xml:space="preserve">NFAbsTimeToken must occur 0 or 1 times in NFDateTime.  </w:t>
      </w:r>
    </w:p>
    <w:p w:rsidR="005F78FC" w:rsidRDefault="00B42EF3">
      <w:r>
        <w:t>Also, an absolute time token must not coexist with a non-absolute equivalent token in NFDateTime.</w:t>
      </w:r>
    </w:p>
    <w:p w:rsidR="005F78FC" w:rsidRDefault="00B42EF3">
      <w:r>
        <w:t>All =</w:t>
      </w:r>
    </w:p>
    <w:p w:rsidR="005F78FC" w:rsidRDefault="00B42EF3">
      <w:r>
        <w:lastRenderedPageBreak/>
        <w:t xml:space="preserve">    ([NFPartColor] NFPartCond NFGeneral) /</w:t>
      </w:r>
    </w:p>
    <w:p w:rsidR="005F78FC" w:rsidRDefault="00B42EF3">
      <w:r>
        <w:t xml:space="preserve">    NFAnyNoCond /</w:t>
      </w:r>
    </w:p>
    <w:p w:rsidR="005F78FC" w:rsidRDefault="00B42EF3">
      <w:r>
        <w:t xml:space="preserve">    (NFAnyNoText ASCII-SEMICOLON NF</w:t>
      </w:r>
      <w:r>
        <w:t>Any) /</w:t>
      </w:r>
    </w:p>
    <w:p w:rsidR="005F78FC" w:rsidRDefault="00B42EF3">
      <w:r>
        <w:t xml:space="preserve">    (NFAnyNoText ASCII-SEMICOLON NFAnyNoText ASCII-SEMICOLON NFAnyNoCond) /</w:t>
      </w:r>
    </w:p>
    <w:p w:rsidR="005F78FC" w:rsidRDefault="00B42EF3">
      <w:r>
        <w:t xml:space="preserve">    (NFAnyNoText ASCII-SEMICOLON NFAnyNoText ASCII-SEMICOLON </w:t>
      </w:r>
    </w:p>
    <w:p w:rsidR="005F78FC" w:rsidRDefault="00B42EF3">
      <w:r>
        <w:t xml:space="preserve">        NFAnyNoTextNoCond ASCII-SEMICOLON [NFText / NFGeneral])</w:t>
      </w:r>
    </w:p>
    <w:p w:rsidR="005F78FC" w:rsidRDefault="00B42EF3">
      <w:r>
        <w:t>NFAny =</w:t>
      </w:r>
    </w:p>
    <w:p w:rsidR="005F78FC" w:rsidRDefault="00B42EF3">
      <w:r>
        <w:t>[NFPartColor]</w:t>
      </w:r>
    </w:p>
    <w:p w:rsidR="005F78FC" w:rsidRDefault="00B42EF3">
      <w:r>
        <w:t>(</w:t>
      </w:r>
    </w:p>
    <w:p w:rsidR="005F78FC" w:rsidRDefault="00B42EF3">
      <w:r>
        <w:t xml:space="preserve">    ([NFPartCond] NFNumber) /</w:t>
      </w:r>
    </w:p>
    <w:p w:rsidR="005F78FC" w:rsidRDefault="00B42EF3">
      <w:r>
        <w:t xml:space="preserve">    NFText /</w:t>
      </w:r>
    </w:p>
    <w:p w:rsidR="005F78FC" w:rsidRDefault="00B42EF3">
      <w:r>
        <w:t xml:space="preserve">    ([NFPartCond] NFFraction) /</w:t>
      </w:r>
    </w:p>
    <w:p w:rsidR="005F78FC" w:rsidRDefault="00B42EF3">
      <w:r>
        <w:t xml:space="preserve">    ([NFPartCond] [NFDateTime] [NFGeneral] [NFDateTime])</w:t>
      </w:r>
    </w:p>
    <w:p w:rsidR="005F78FC" w:rsidRDefault="00B42EF3">
      <w:r>
        <w:t xml:space="preserve">    )</w:t>
      </w:r>
    </w:p>
    <w:p w:rsidR="005F78FC" w:rsidRDefault="00B42EF3">
      <w:r>
        <w:t>NFAnyNoText =</w:t>
      </w:r>
    </w:p>
    <w:p w:rsidR="005F78FC" w:rsidRDefault="00B42EF3">
      <w:r>
        <w:t>[NFPartColor] [NFPartCond]</w:t>
      </w:r>
    </w:p>
    <w:p w:rsidR="005F78FC" w:rsidRDefault="00B42EF3">
      <w:r>
        <w:t>(</w:t>
      </w:r>
    </w:p>
    <w:p w:rsidR="005F78FC" w:rsidRDefault="00B42EF3">
      <w:r>
        <w:t xml:space="preserve">    NFNumber /</w:t>
      </w:r>
    </w:p>
    <w:p w:rsidR="005F78FC" w:rsidRDefault="00B42EF3">
      <w:r>
        <w:t xml:space="preserve">    NFFraction /</w:t>
      </w:r>
    </w:p>
    <w:p w:rsidR="005F78FC" w:rsidRDefault="00B42EF3">
      <w:r>
        <w:t xml:space="preserve">    ([NFDateTime] [NFGeneral] [NFDateTime])</w:t>
      </w:r>
    </w:p>
    <w:p w:rsidR="005F78FC" w:rsidRDefault="00B42EF3">
      <w:r>
        <w:t xml:space="preserve">    )</w:t>
      </w:r>
    </w:p>
    <w:p w:rsidR="005F78FC" w:rsidRDefault="00B42EF3">
      <w:r>
        <w:t>NFAnyNoCond =</w:t>
      </w:r>
    </w:p>
    <w:p w:rsidR="005F78FC" w:rsidRDefault="00B42EF3">
      <w:r>
        <w:t>[NFPartColor]</w:t>
      </w:r>
    </w:p>
    <w:p w:rsidR="005F78FC" w:rsidRDefault="00B42EF3">
      <w:r>
        <w:t>(</w:t>
      </w:r>
    </w:p>
    <w:p w:rsidR="005F78FC" w:rsidRDefault="00B42EF3">
      <w:r>
        <w:t xml:space="preserve">    NFNumber /</w:t>
      </w:r>
    </w:p>
    <w:p w:rsidR="005F78FC" w:rsidRDefault="00B42EF3">
      <w:r>
        <w:t xml:space="preserve">    NFText /</w:t>
      </w:r>
    </w:p>
    <w:p w:rsidR="005F78FC" w:rsidRDefault="00B42EF3">
      <w:r>
        <w:t xml:space="preserve">    NFFraction /</w:t>
      </w:r>
    </w:p>
    <w:p w:rsidR="005F78FC" w:rsidRDefault="00B42EF3">
      <w:r>
        <w:t xml:space="preserve">    ([NFDateTime] [NFGeneral] [NFDateTime])</w:t>
      </w:r>
    </w:p>
    <w:p w:rsidR="005F78FC" w:rsidRDefault="00B42EF3">
      <w:r>
        <w:t xml:space="preserve">    )</w:t>
      </w:r>
    </w:p>
    <w:p w:rsidR="005F78FC" w:rsidRDefault="00B42EF3">
      <w:r>
        <w:t>NFAnyNoTextNoCond =</w:t>
      </w:r>
    </w:p>
    <w:p w:rsidR="005F78FC" w:rsidRDefault="00B42EF3">
      <w:r>
        <w:t>[NFPartColor]</w:t>
      </w:r>
    </w:p>
    <w:p w:rsidR="005F78FC" w:rsidRDefault="00B42EF3">
      <w:r>
        <w:t>(</w:t>
      </w:r>
    </w:p>
    <w:p w:rsidR="005F78FC" w:rsidRDefault="00B42EF3">
      <w:r>
        <w:lastRenderedPageBreak/>
        <w:t xml:space="preserve">    NFNumber /</w:t>
      </w:r>
    </w:p>
    <w:p w:rsidR="005F78FC" w:rsidRDefault="00B42EF3">
      <w:r>
        <w:t xml:space="preserve">    NFFraction /</w:t>
      </w:r>
    </w:p>
    <w:p w:rsidR="005F78FC" w:rsidRDefault="00B42EF3">
      <w:r>
        <w:t xml:space="preserve">    ([NFDateTime] [NFGeneral] [NFDateTime])</w:t>
      </w:r>
    </w:p>
    <w:p w:rsidR="005F78FC" w:rsidRDefault="00B42EF3">
      <w:r>
        <w:t xml:space="preserve">    )</w:t>
      </w:r>
    </w:p>
    <w:p w:rsidR="005F78FC" w:rsidRDefault="00B42EF3">
      <w:r>
        <w:t>NFGeneral = INTL-NUMFMT-GENERAL</w:t>
      </w:r>
    </w:p>
    <w:p w:rsidR="005F78FC" w:rsidRDefault="00B42EF3">
      <w:r>
        <w:t>NFNumber = NFPartNum [NFPartExponential NFPartNum] *INTL-CHAR-NUMGRP-SEP *INTL-AMPM</w:t>
      </w:r>
    </w:p>
    <w:p w:rsidR="005F78FC" w:rsidRDefault="00B42EF3">
      <w:r>
        <w:t xml:space="preserve">NFDateTimeToken = NFPartYear / NFPartMonth / NFPartDay / </w:t>
      </w:r>
    </w:p>
    <w:p w:rsidR="005F78FC" w:rsidRDefault="00B42EF3">
      <w:r>
        <w:t xml:space="preserve">    NFPartHour / NFPartMinute / NFPartSecond / NFAbsTimeToken</w:t>
      </w:r>
    </w:p>
    <w:p w:rsidR="005F78FC" w:rsidRDefault="00B42EF3">
      <w:r>
        <w:t xml:space="preserve">    </w:t>
      </w:r>
    </w:p>
    <w:p w:rsidR="005F78FC" w:rsidRDefault="00B42EF3">
      <w:r>
        <w:t xml:space="preserve">NFAbsTimeToken </w:t>
      </w:r>
      <w:r>
        <w:t>= NFPartAbsHour / NFPartAbsSecond / NFPartAbsMinute</w:t>
      </w:r>
    </w:p>
    <w:p w:rsidR="005F78FC" w:rsidRDefault="00B42EF3">
      <w:r>
        <w:t>NFDateTime =</w:t>
      </w:r>
    </w:p>
    <w:p w:rsidR="005F78FC" w:rsidRDefault="00B42EF3">
      <w:r>
        <w:t xml:space="preserve">    *INTL-AMPM (1*(NFDateTimeToken) *(NFDateTimeToken / NFPartSubSecond / </w:t>
      </w:r>
    </w:p>
    <w:p w:rsidR="005F78FC" w:rsidRDefault="00B42EF3">
      <w:r>
        <w:t xml:space="preserve">        INTL-CHAR-DATE-SEP / INTL-CHAR-TIME-SEP / INTL-AMPM))</w:t>
      </w:r>
    </w:p>
    <w:p w:rsidR="005F78FC" w:rsidRDefault="00B42EF3">
      <w:r>
        <w:t>NFText =</w:t>
      </w:r>
    </w:p>
    <w:p w:rsidR="005F78FC" w:rsidRDefault="00B42EF3">
      <w:r>
        <w:t xml:space="preserve">(1*ASCII-COMMERCIAL-AT *(ASCII-COMMERCIAL-AT </w:t>
      </w:r>
      <w:r>
        <w:t>/ INTL-AMPM)) /</w:t>
      </w:r>
    </w:p>
    <w:p w:rsidR="005F78FC" w:rsidRDefault="00B42EF3">
      <w:r>
        <w:t>(*(ASCII-COMMERCIAL-AT / INTL-AMPM) 1*ASCII-COMMERCIAL-AT)</w:t>
      </w:r>
    </w:p>
    <w:p w:rsidR="005F78FC" w:rsidRDefault="00B42EF3">
      <w:r>
        <w:t>NFFraction = NFPartFraction ASCII-SOLIDUS NFPartFraction [NFPartNum] *INTL-AMPM</w:t>
      </w:r>
    </w:p>
    <w:p w:rsidR="005F78FC" w:rsidRDefault="00B42EF3">
      <w:r>
        <w:t>; Definitions for partial rules used by the preceding rules.</w:t>
      </w:r>
    </w:p>
    <w:p w:rsidR="005F78FC" w:rsidRDefault="00B42EF3">
      <w:r>
        <w:t xml:space="preserve">NFPartNum = </w:t>
      </w:r>
    </w:p>
    <w:p w:rsidR="005F78FC" w:rsidRDefault="00B42EF3">
      <w:r>
        <w:t>(1*NFPartNumToken2 *(NFPart</w:t>
      </w:r>
      <w:r>
        <w:t>NumToken2 / ASCII-PERCENT-SIGN)) /</w:t>
      </w:r>
    </w:p>
    <w:p w:rsidR="005F78FC" w:rsidRDefault="00B42EF3">
      <w:r>
        <w:t>(*(NFPartNumToken2 / ASCII-PERCENT-SIGN) 1*NFPartNumToken2)</w:t>
      </w:r>
    </w:p>
    <w:p w:rsidR="005F78FC" w:rsidRDefault="00B42EF3">
      <w:r>
        <w:t>NFPartExponential = ASCII-CAPITAL-LETTER-E NFPartSign</w:t>
      </w:r>
    </w:p>
    <w:p w:rsidR="005F78FC" w:rsidRDefault="00B42EF3">
      <w:r>
        <w:t>NFPartYear = 2(ASCII-SMALL-LETTER-Y) / 4(ASCII-SMALL-LETTER-Y)</w:t>
      </w:r>
    </w:p>
    <w:p w:rsidR="005F78FC" w:rsidRDefault="00B42EF3">
      <w:r>
        <w:t>NFPartMonth = 1*5(ASCII-SMALL-LETTER-M)</w:t>
      </w:r>
    </w:p>
    <w:p w:rsidR="005F78FC" w:rsidRDefault="00B42EF3">
      <w:r>
        <w:t>NFPa</w:t>
      </w:r>
      <w:r>
        <w:t>rtDay = 1*4(ASCII-SMALL-LETTER-D)</w:t>
      </w:r>
    </w:p>
    <w:p w:rsidR="005F78FC" w:rsidRDefault="00B42EF3">
      <w:r>
        <w:t>NFPartHour = 1*2(ASCII-SMALL-LETTER-H)</w:t>
      </w:r>
    </w:p>
    <w:p w:rsidR="005F78FC" w:rsidRDefault="00B42EF3">
      <w:r>
        <w:t xml:space="preserve">NFPartAbsHour = </w:t>
      </w:r>
    </w:p>
    <w:p w:rsidR="005F78FC" w:rsidRDefault="00B42EF3">
      <w:r>
        <w:t xml:space="preserve">    ASCII-LEFT-SQUARE-BRACKET 1*ASCII-SMALL-LETTER-H ASCII-RIGHT-SQUARE-BRACKET</w:t>
      </w:r>
    </w:p>
    <w:p w:rsidR="005F78FC" w:rsidRDefault="00B42EF3">
      <w:r>
        <w:t xml:space="preserve">    </w:t>
      </w:r>
    </w:p>
    <w:p w:rsidR="005F78FC" w:rsidRDefault="00B42EF3">
      <w:r>
        <w:t>NFPartMinute = 1*2(ASCII-SMALL-LETTER-M)</w:t>
      </w:r>
    </w:p>
    <w:p w:rsidR="005F78FC" w:rsidRDefault="00B42EF3">
      <w:r>
        <w:t xml:space="preserve">NFPartAbsMinute = </w:t>
      </w:r>
    </w:p>
    <w:p w:rsidR="005F78FC" w:rsidRDefault="00B42EF3">
      <w:r>
        <w:t xml:space="preserve">    ASCII-LEFT-SQUARE</w:t>
      </w:r>
      <w:r>
        <w:t>-BRACKET 1*ASCII-SMALL-LETTER-M ASCII-RIGHT-SQUARE-BRACKET</w:t>
      </w:r>
    </w:p>
    <w:p w:rsidR="005F78FC" w:rsidRDefault="00B42EF3">
      <w:r>
        <w:lastRenderedPageBreak/>
        <w:t xml:space="preserve">    </w:t>
      </w:r>
    </w:p>
    <w:p w:rsidR="005F78FC" w:rsidRDefault="00B42EF3">
      <w:r>
        <w:t xml:space="preserve">NFPartSecond = </w:t>
      </w:r>
    </w:p>
    <w:p w:rsidR="005F78FC" w:rsidRDefault="00B42EF3">
      <w:r>
        <w:t xml:space="preserve">    1*2(ASCII-SMALL-LETTER-S)</w:t>
      </w:r>
    </w:p>
    <w:p w:rsidR="005F78FC" w:rsidRDefault="00B42EF3">
      <w:r>
        <w:t xml:space="preserve">    </w:t>
      </w:r>
    </w:p>
    <w:p w:rsidR="005F78FC" w:rsidRDefault="00B42EF3">
      <w:r>
        <w:t xml:space="preserve">NFPartAbsSecond = </w:t>
      </w:r>
    </w:p>
    <w:p w:rsidR="005F78FC" w:rsidRDefault="00B42EF3">
      <w:r>
        <w:t xml:space="preserve">    ASCII-LEFT-SQUARE-BRACKET 1*ASCII-SMALL-LETTER-S ASCII-RIGHT-SQUARE-BRACKET</w:t>
      </w:r>
    </w:p>
    <w:p w:rsidR="005F78FC" w:rsidRDefault="00B42EF3">
      <w:r>
        <w:t xml:space="preserve">    </w:t>
      </w:r>
    </w:p>
    <w:p w:rsidR="005F78FC" w:rsidRDefault="00B42EF3">
      <w:r>
        <w:t xml:space="preserve">NFPartSubSecond = </w:t>
      </w:r>
      <w:r>
        <w:t>INTL-CHAR-DECIMAL-SEP 1*3ASCII-DIGIT-ZERO</w:t>
      </w:r>
    </w:p>
    <w:p w:rsidR="005F78FC" w:rsidRDefault="00B42EF3">
      <w:r>
        <w:t xml:space="preserve">NFPartCond = </w:t>
      </w:r>
    </w:p>
    <w:p w:rsidR="005F78FC" w:rsidRDefault="00B42EF3">
      <w:r>
        <w:t xml:space="preserve">    ASCII-LEFT-SQUARE-BRACKET NFPartCompOper NFPartCondNum</w:t>
      </w:r>
    </w:p>
    <w:p w:rsidR="005F78FC" w:rsidRDefault="00B42EF3">
      <w:r>
        <w:t xml:space="preserve">    ASCII-RIGHT-SQUARE-BRACKET</w:t>
      </w:r>
    </w:p>
    <w:p w:rsidR="005F78FC" w:rsidRDefault="00B42EF3">
      <w:r>
        <w:t xml:space="preserve">NFPartCompOper = </w:t>
      </w:r>
    </w:p>
    <w:p w:rsidR="005F78FC" w:rsidRDefault="00B42EF3">
      <w:r>
        <w:t xml:space="preserve">    (ASCII-LESS-THAN-SIGN [ASCII-EQUALS-SIGN / ASCII-GREATER-THAN-SIGN]) /</w:t>
      </w:r>
    </w:p>
    <w:p w:rsidR="005F78FC" w:rsidRDefault="00B42EF3">
      <w:r>
        <w:t xml:space="preserve">    ASCII-EQUALS-</w:t>
      </w:r>
      <w:r>
        <w:t>SIGN /</w:t>
      </w:r>
    </w:p>
    <w:p w:rsidR="005F78FC" w:rsidRDefault="00B42EF3">
      <w:r>
        <w:t xml:space="preserve">    (ASCII-GREATER-THAN-SIGN [ASCII-EQUALS-SIGN])</w:t>
      </w:r>
    </w:p>
    <w:p w:rsidR="005F78FC" w:rsidRDefault="00B42EF3">
      <w:r>
        <w:t xml:space="preserve">NFPartLocaleID = </w:t>
      </w:r>
    </w:p>
    <w:p w:rsidR="005F78FC" w:rsidRDefault="00B42EF3">
      <w:r>
        <w:t xml:space="preserve">    ASCII-LEFT-SQUARE-BRACKET ASCII-DOLLAR-SIGN 1*UTF16-ANY [ASCII-HYPHEN-MINUS</w:t>
      </w:r>
    </w:p>
    <w:p w:rsidR="005F78FC" w:rsidRDefault="00B42EF3">
      <w:r>
        <w:t xml:space="preserve">    3*8ASCII-DIGIT-HEXADECIMAL] ASCII-RIGHT-SQUARE-BRACKET</w:t>
      </w:r>
    </w:p>
    <w:p w:rsidR="005F78FC" w:rsidRDefault="00B42EF3">
      <w:r>
        <w:t xml:space="preserve">NFPartCondNum = </w:t>
      </w:r>
    </w:p>
    <w:p w:rsidR="005F78FC" w:rsidRDefault="00B42EF3">
      <w:r>
        <w:t xml:space="preserve">    [ASCII-HYPHEN-MINUS] </w:t>
      </w:r>
      <w:r>
        <w:t xml:space="preserve">NFPartIntNum [INTL-CHAR-DECIMAL-SEP NFPartIntNum] </w:t>
      </w:r>
    </w:p>
    <w:p w:rsidR="005F78FC" w:rsidRDefault="00B42EF3">
      <w:r>
        <w:t xml:space="preserve">        [NFPartExponential NFPartIntNum]</w:t>
      </w:r>
    </w:p>
    <w:p w:rsidR="005F78FC" w:rsidRDefault="00B42EF3">
      <w:r>
        <w:t>NFPartSign = ASCII-PLUS-SIGN / ASCII-HYPHEN-MINUS</w:t>
      </w:r>
    </w:p>
    <w:p w:rsidR="005F78FC" w:rsidRDefault="00B42EF3">
      <w:r>
        <w:t xml:space="preserve">NFPartColor = </w:t>
      </w:r>
    </w:p>
    <w:p w:rsidR="005F78FC" w:rsidRDefault="00B42EF3">
      <w:r>
        <w:t xml:space="preserve">    ASCII-LEFT-SQUARE-BRACKET </w:t>
      </w:r>
    </w:p>
    <w:p w:rsidR="005F78FC" w:rsidRDefault="00B42EF3">
      <w:r>
        <w:t xml:space="preserve">    INTL-COLOR / (NFPartStrColor NFPart1To56)</w:t>
      </w:r>
    </w:p>
    <w:p w:rsidR="005F78FC" w:rsidRDefault="00B42EF3">
      <w:r>
        <w:t xml:space="preserve">    ASCII-RIGHT-SQUARE</w:t>
      </w:r>
      <w:r>
        <w:t>-BRACKET</w:t>
      </w:r>
    </w:p>
    <w:p w:rsidR="005F78FC" w:rsidRDefault="00B42EF3">
      <w:r>
        <w:t>NFPart1To56 =</w:t>
      </w:r>
    </w:p>
    <w:p w:rsidR="005F78FC" w:rsidRDefault="00B42EF3">
      <w:r>
        <w:t xml:space="preserve">    NFPartNumber1To9 /</w:t>
      </w:r>
    </w:p>
    <w:p w:rsidR="005F78FC" w:rsidRDefault="00B42EF3">
      <w:r>
        <w:t xml:space="preserve">    NFPartNumber1To4 ASCII-DIGIT /</w:t>
      </w:r>
    </w:p>
    <w:p w:rsidR="005F78FC" w:rsidRDefault="00B42EF3">
      <w:r>
        <w:t xml:space="preserve">    ASCII-DIGIT-FIVE (ASCII-DIGIT-ZERO / NFPartNumber1To6)</w:t>
      </w:r>
    </w:p>
    <w:p w:rsidR="005F78FC" w:rsidRDefault="00B42EF3">
      <w:r>
        <w:t>NFPartIntNum = 1*ASCII-DIGIT</w:t>
      </w:r>
    </w:p>
    <w:p w:rsidR="005F78FC" w:rsidRDefault="00B42EF3">
      <w:r>
        <w:t xml:space="preserve">NFPartNumToken1 = ASCII-NUMBER-SIGN / ASCII-QUESTION-MARK / </w:t>
      </w:r>
    </w:p>
    <w:p w:rsidR="005F78FC" w:rsidRDefault="00B42EF3">
      <w:r>
        <w:lastRenderedPageBreak/>
        <w:t xml:space="preserve">    ASCII-DIGIT-ZERO</w:t>
      </w:r>
    </w:p>
    <w:p w:rsidR="005F78FC" w:rsidRDefault="00B42EF3">
      <w:r>
        <w:t>NFPartNumToken2 = NFPartNumToken1 / INTL-CHAR-DECIMAL-SEP / INTL-CHAR-NUMGRP-SEP</w:t>
      </w:r>
    </w:p>
    <w:p w:rsidR="005F78FC" w:rsidRDefault="00B42EF3">
      <w:r>
        <w:t xml:space="preserve">NFPartFraction = </w:t>
      </w:r>
    </w:p>
    <w:p w:rsidR="005F78FC" w:rsidRDefault="00B42EF3">
      <w:r>
        <w:t>(1*NFPartIntNum *(NFPartIntNum / ASCII-PERCENT-SIGN)) /</w:t>
      </w:r>
    </w:p>
    <w:p w:rsidR="005F78FC" w:rsidRDefault="00B42EF3">
      <w:r>
        <w:t>(*(NFPartIntNum / ASCII-PERCENT-SIGN) 1*NFPartIntNum) /</w:t>
      </w:r>
    </w:p>
    <w:p w:rsidR="005F78FC" w:rsidRDefault="00B42EF3">
      <w:r>
        <w:t>(1*NFPartNumToken1 *(NFPartNumToken1 / ASCII-</w:t>
      </w:r>
      <w:r>
        <w:t>PERCENT-SIGN)) /</w:t>
      </w:r>
    </w:p>
    <w:p w:rsidR="005F78FC" w:rsidRDefault="00B42EF3">
      <w:r>
        <w:t>(*(NFPartNumToken1 / ASCII-PERCENT-SIGN) 1*NFPartNumToken1)</w:t>
      </w:r>
    </w:p>
    <w:p w:rsidR="005F78FC" w:rsidRDefault="00B42EF3">
      <w:r>
        <w:t>NFPartNumber1To4 =</w:t>
      </w:r>
    </w:p>
    <w:p w:rsidR="005F78FC" w:rsidRDefault="00B42EF3">
      <w:r>
        <w:t xml:space="preserve">    ASCII-DIGIT-ONE /</w:t>
      </w:r>
    </w:p>
    <w:p w:rsidR="005F78FC" w:rsidRDefault="00B42EF3">
      <w:r>
        <w:t xml:space="preserve">    ASCII-DIGIT-TWO /</w:t>
      </w:r>
    </w:p>
    <w:p w:rsidR="005F78FC" w:rsidRDefault="00B42EF3">
      <w:r>
        <w:t xml:space="preserve">    ASCII-DIGIT-THREE /</w:t>
      </w:r>
    </w:p>
    <w:p w:rsidR="005F78FC" w:rsidRDefault="00B42EF3">
      <w:r>
        <w:t xml:space="preserve">    ASCII-DIGIT-FOUR</w:t>
      </w:r>
    </w:p>
    <w:p w:rsidR="005F78FC" w:rsidRDefault="00B42EF3">
      <w:r>
        <w:t>NFPartNumber1To6 =</w:t>
      </w:r>
    </w:p>
    <w:p w:rsidR="005F78FC" w:rsidRDefault="00B42EF3">
      <w:r>
        <w:t xml:space="preserve">    NFPartNumber1To4 /</w:t>
      </w:r>
    </w:p>
    <w:p w:rsidR="005F78FC" w:rsidRDefault="00B42EF3">
      <w:r>
        <w:t xml:space="preserve">    ASCII-DIGIT-FIVE /</w:t>
      </w:r>
    </w:p>
    <w:p w:rsidR="005F78FC" w:rsidRDefault="00B42EF3">
      <w:r>
        <w:t xml:space="preserve">    AS</w:t>
      </w:r>
      <w:r>
        <w:t>CII-DIGIT-SIX</w:t>
      </w:r>
    </w:p>
    <w:p w:rsidR="005F78FC" w:rsidRDefault="00B42EF3">
      <w:r>
        <w:t>NFPartNumber1To9 =</w:t>
      </w:r>
    </w:p>
    <w:p w:rsidR="005F78FC" w:rsidRDefault="00B42EF3">
      <w:r>
        <w:t xml:space="preserve">    NFPartNumber1To6 /</w:t>
      </w:r>
    </w:p>
    <w:p w:rsidR="005F78FC" w:rsidRDefault="00B42EF3">
      <w:r>
        <w:t xml:space="preserve">    ASCII-DIGIT-SEVEN /</w:t>
      </w:r>
    </w:p>
    <w:p w:rsidR="005F78FC" w:rsidRDefault="00B42EF3">
      <w:r>
        <w:t xml:space="preserve">    ASCII-DIGIT-EIGHT /</w:t>
      </w:r>
    </w:p>
    <w:p w:rsidR="005F78FC" w:rsidRDefault="00B42EF3">
      <w:r>
        <w:t xml:space="preserve">    ASCII-DIGIT-NINE</w:t>
      </w:r>
    </w:p>
    <w:p w:rsidR="005F78FC" w:rsidRDefault="00B42EF3">
      <w:r>
        <w:t xml:space="preserve">NFPartStrColor = </w:t>
      </w:r>
    </w:p>
    <w:p w:rsidR="005F78FC" w:rsidRDefault="00B42EF3">
      <w:r>
        <w:t xml:space="preserve">    ASCII-CAPITAL-LETTER-C ASCII-SMALL-LETTER-O ASCII-SMALL-LETTER-L </w:t>
      </w:r>
    </w:p>
    <w:p w:rsidR="005F78FC" w:rsidRDefault="00B42EF3">
      <w:r>
        <w:t xml:space="preserve">        ASCII-SMALL-LETTER-O ASCII-SMALL-LE</w:t>
      </w:r>
      <w:r>
        <w:t>TTER-R</w:t>
      </w:r>
    </w:p>
    <w:p w:rsidR="005F78FC" w:rsidRDefault="00B42EF3">
      <w:r>
        <w:t xml:space="preserve">LITERAL-CHAR = ASCII-REVERSE-SOLIDUS UTF16-ANY </w:t>
      </w:r>
    </w:p>
    <w:p w:rsidR="005F78FC" w:rsidRDefault="00B42EF3">
      <w:r>
        <w:t>LITERAL-CHAR-REPEAT = ASCII-ASTERISK UTF16-ANY</w:t>
      </w:r>
    </w:p>
    <w:p w:rsidR="005F78FC" w:rsidRDefault="00B42EF3">
      <w:r>
        <w:t xml:space="preserve">LITERAL-STRING = </w:t>
      </w:r>
    </w:p>
    <w:p w:rsidR="005F78FC" w:rsidRDefault="00B42EF3">
      <w:r>
        <w:t xml:space="preserve">    (ASCII-QUOTATION-MARK 1*UTF16-ANY-WITHOUT-QUOTE ASCII-QUOTATION-MARK) /</w:t>
      </w:r>
    </w:p>
    <w:p w:rsidR="005F78FC" w:rsidRDefault="00B42EF3">
      <w:r>
        <w:t xml:space="preserve">    1*LITERAL-CHAR</w:t>
      </w:r>
    </w:p>
    <w:p w:rsidR="005F78FC" w:rsidRDefault="00B42EF3">
      <w:r>
        <w:t xml:space="preserve">UTF16-ANY-WITHOUT-QUOTE = %x0000-0021 / </w:t>
      </w:r>
      <w:r>
        <w:t>%x0023-FFFF</w:t>
      </w:r>
    </w:p>
    <w:p w:rsidR="005F78FC" w:rsidRDefault="00B42EF3">
      <w:r>
        <w:t>LITERAL-CHAR-SPACE = ASCII-LOW-LINE UTF16-ANY</w:t>
      </w:r>
    </w:p>
    <w:p w:rsidR="005F78FC" w:rsidRDefault="00B42EF3">
      <w:r>
        <w:t xml:space="preserve">        </w:t>
      </w:r>
    </w:p>
    <w:p w:rsidR="005F78FC" w:rsidRDefault="00B42EF3">
      <w:r>
        <w:lastRenderedPageBreak/>
        <w:t xml:space="preserve">; INTL* Rules must be validated to suit the </w:t>
      </w:r>
    </w:p>
    <w:p w:rsidR="005F78FC" w:rsidRDefault="00B42EF3">
      <w:r>
        <w:t>; Locale and/or the UI language as appropriate</w:t>
      </w:r>
    </w:p>
    <w:p w:rsidR="005F78FC" w:rsidRDefault="00B42EF3">
      <w:r>
        <w:t>; ===================================================================</w:t>
      </w:r>
    </w:p>
    <w:p w:rsidR="005F78FC" w:rsidRDefault="00B42EF3">
      <w:r>
        <w:t>INTL-CHAR-DECIMAL-SEP = ASC</w:t>
      </w:r>
      <w:r>
        <w:t>II-FULL-STOP</w:t>
      </w:r>
    </w:p>
    <w:p w:rsidR="005F78FC" w:rsidRDefault="00B42EF3">
      <w:r>
        <w:t>INTL-CHAR-NUMGRP-SEP = ASCII-COMMA</w:t>
      </w:r>
    </w:p>
    <w:p w:rsidR="005F78FC" w:rsidRDefault="00B42EF3">
      <w:r>
        <w:t>INTL-CHAR-DATE-SEP = ASCII-SOLIDUS</w:t>
      </w:r>
    </w:p>
    <w:p w:rsidR="005F78FC" w:rsidRDefault="00B42EF3">
      <w:r>
        <w:t>INTL-CHAR-TIME-SEP = ASCII-COLON</w:t>
      </w:r>
    </w:p>
    <w:p w:rsidR="005F78FC" w:rsidRDefault="00B42EF3">
      <w:r>
        <w:t xml:space="preserve">INTL-COLOR = </w:t>
      </w:r>
    </w:p>
    <w:p w:rsidR="005F78FC" w:rsidRDefault="00B42EF3">
      <w:r>
        <w:t xml:space="preserve">    (ASCII-CAPITAL-LETTER-B ASCII-SMALL-LETTER-L ASCII-SMALL-LETTER-A </w:t>
      </w:r>
    </w:p>
    <w:p w:rsidR="005F78FC" w:rsidRDefault="00B42EF3">
      <w:r>
        <w:t xml:space="preserve">        ASCII-SMALL-LETTER-C ASCII-SMALL-LETTER-K) / ; </w:t>
      </w:r>
      <w:r>
        <w:t>Black</w:t>
      </w:r>
    </w:p>
    <w:p w:rsidR="005F78FC" w:rsidRDefault="00B42EF3">
      <w:r>
        <w:t xml:space="preserve">    (ASCII-CAPITAL-LETTER-B ASCII-SMALL-LETTER-L ASCII-SMALL-LETTER-U </w:t>
      </w:r>
    </w:p>
    <w:p w:rsidR="005F78FC" w:rsidRDefault="00B42EF3">
      <w:r>
        <w:t xml:space="preserve">        ASCII-SMALL-LETTER-E) / ; Blue</w:t>
      </w:r>
    </w:p>
    <w:p w:rsidR="005F78FC" w:rsidRDefault="00B42EF3">
      <w:r>
        <w:t xml:space="preserve">    (ASCII-CAPITAL-LETTER-C ASCII-SMALL-LETTER-Y ASCII-SMALL-LETTER-A </w:t>
      </w:r>
    </w:p>
    <w:p w:rsidR="005F78FC" w:rsidRDefault="00B42EF3">
      <w:r>
        <w:t xml:space="preserve">        ASCII-SMALL-LETTER-N) / ;Cyan</w:t>
      </w:r>
    </w:p>
    <w:p w:rsidR="005F78FC" w:rsidRDefault="00B42EF3">
      <w:r>
        <w:t xml:space="preserve">    (ASCII-CAPITAL-LETTER-G ASCII-SMALL-LETTER-R ASCII-SMALL-LETTER-E </w:t>
      </w:r>
    </w:p>
    <w:p w:rsidR="005F78FC" w:rsidRDefault="00B42EF3">
      <w:r>
        <w:t xml:space="preserve">        ASCII-SMALL-LETTER-E ASCII-SMALL-LETTER-N) / ; Green</w:t>
      </w:r>
    </w:p>
    <w:p w:rsidR="005F78FC" w:rsidRDefault="00B42EF3">
      <w:r>
        <w:t xml:space="preserve">    (ASCII-CAPITAL-LETTER-M ASCII-SMALL-LETTER-A ASCII-SMALL-LETTER-G </w:t>
      </w:r>
    </w:p>
    <w:p w:rsidR="005F78FC" w:rsidRDefault="00B42EF3">
      <w:r>
        <w:t xml:space="preserve">        ASCII-SMALL-LETTER-E ASCII-SMALL-LETTER-N </w:t>
      </w:r>
    </w:p>
    <w:p w:rsidR="005F78FC" w:rsidRDefault="00B42EF3">
      <w:r>
        <w:t xml:space="preserve">  </w:t>
      </w:r>
      <w:r>
        <w:t xml:space="preserve">      ASCII-SMALL-LETTER-T ASCII-SMALL-LETTER-A) / ; Magenta</w:t>
      </w:r>
    </w:p>
    <w:p w:rsidR="005F78FC" w:rsidRDefault="00B42EF3">
      <w:r>
        <w:t xml:space="preserve">    (ASCII-CAPITAL-LETTER-R ASCII-SMALL-LETTER-E </w:t>
      </w:r>
    </w:p>
    <w:p w:rsidR="005F78FC" w:rsidRDefault="00B42EF3">
      <w:r>
        <w:t xml:space="preserve">        ASCII-SMALL-LETTER-D ) / ; Red</w:t>
      </w:r>
    </w:p>
    <w:p w:rsidR="005F78FC" w:rsidRDefault="00B42EF3">
      <w:r>
        <w:t xml:space="preserve">    (ASCII-CAPITAL-LETTER-W ASCII-SMALL-LETTER-H ASCII-SMALL-LETTER-I </w:t>
      </w:r>
    </w:p>
    <w:p w:rsidR="005F78FC" w:rsidRDefault="00B42EF3">
      <w:r>
        <w:t xml:space="preserve">        ASCII-SMALL-LETTER-T ASCII-</w:t>
      </w:r>
      <w:r>
        <w:t>SMALL-LETTER-E) / ; White</w:t>
      </w:r>
    </w:p>
    <w:p w:rsidR="005F78FC" w:rsidRDefault="00B42EF3">
      <w:r>
        <w:t xml:space="preserve">    (ASCII-CAPITAL-LETTER-Y ASCII-SMALL-LETTER-E ASCII-SMALL-LETTER-L </w:t>
      </w:r>
    </w:p>
    <w:p w:rsidR="005F78FC" w:rsidRDefault="00B42EF3">
      <w:r>
        <w:t xml:space="preserve">        ASCII-SMALL-LETTER-L ASCII-SMALL-LETTER-O </w:t>
      </w:r>
    </w:p>
    <w:p w:rsidR="005F78FC" w:rsidRDefault="00B42EF3">
      <w:r>
        <w:t xml:space="preserve">        ASCII-SMALL-LETTER-W) ; Yellow</w:t>
      </w:r>
    </w:p>
    <w:p w:rsidR="005F78FC" w:rsidRDefault="00B42EF3">
      <w:r>
        <w:t xml:space="preserve">        </w:t>
      </w:r>
    </w:p>
    <w:p w:rsidR="005F78FC" w:rsidRDefault="00B42EF3">
      <w:r>
        <w:t xml:space="preserve">INTL-NUMFMT-GENERAL = </w:t>
      </w:r>
    </w:p>
    <w:p w:rsidR="005F78FC" w:rsidRDefault="00B42EF3">
      <w:r>
        <w:t xml:space="preserve">    ASCII-CAPITAL-LETTER-G ASCII-SMALL-LETTER-E ASCII-SMALL-LETTER-N </w:t>
      </w:r>
    </w:p>
    <w:p w:rsidR="005F78FC" w:rsidRDefault="00B42EF3">
      <w:r>
        <w:t xml:space="preserve">    ASCII-SMALL-LETTER-E ASCII-SMALL-LETTER-R ASCII-SMALL-LETTER-A </w:t>
      </w:r>
    </w:p>
    <w:p w:rsidR="005F78FC" w:rsidRDefault="00B42EF3">
      <w:r>
        <w:t xml:space="preserve">    ASCII-SMALL-LETTER-L</w:t>
      </w:r>
    </w:p>
    <w:p w:rsidR="005F78FC" w:rsidRDefault="00B42EF3">
      <w:r>
        <w:lastRenderedPageBreak/>
        <w:t xml:space="preserve">INTL-AMPM = </w:t>
      </w:r>
    </w:p>
    <w:p w:rsidR="005F78FC" w:rsidRDefault="00B42EF3">
      <w:r>
        <w:t xml:space="preserve">    (ASCII-CAPITAL-LETTER-A ASCII-CAPITAL-LETTER-M ASCII-SOLIDUS </w:t>
      </w:r>
    </w:p>
    <w:p w:rsidR="005F78FC" w:rsidRDefault="00B42EF3">
      <w:r>
        <w:t xml:space="preserve">        ASCII-</w:t>
      </w:r>
      <w:r>
        <w:t>CAPITAL-LETTER-P ASCII-CAPITAL-LETTER-M) /</w:t>
      </w:r>
    </w:p>
    <w:p w:rsidR="005F78FC" w:rsidRDefault="00B42EF3">
      <w:r>
        <w:t xml:space="preserve">    "A/P"</w:t>
      </w:r>
    </w:p>
    <w:p w:rsidR="005F78FC" w:rsidRDefault="00B42EF3">
      <w:r>
        <w:t xml:space="preserve">    </w:t>
      </w:r>
    </w:p>
    <w:p w:rsidR="005F78FC" w:rsidRDefault="00B42EF3">
      <w:r>
        <w:t>UTF16-ANY = %x0000-FFFF</w:t>
      </w:r>
    </w:p>
    <w:p w:rsidR="005F78FC" w:rsidRDefault="00B42EF3">
      <w:r>
        <w:t>; ===================================================================</w:t>
      </w:r>
    </w:p>
    <w:p w:rsidR="005F78FC" w:rsidRDefault="00B42EF3">
      <w:r>
        <w:t>; Derived from Unicode names of ASCII characters (%x20-7F)</w:t>
      </w:r>
    </w:p>
    <w:p w:rsidR="005F78FC" w:rsidRDefault="00B42EF3">
      <w:r>
        <w:t>; ===========================================</w:t>
      </w:r>
      <w:r>
        <w:t xml:space="preserve">======================== </w:t>
      </w:r>
    </w:p>
    <w:p w:rsidR="005F78FC" w:rsidRDefault="00B42EF3">
      <w:r>
        <w:t>ASCII-SPACE = %x20</w:t>
      </w:r>
    </w:p>
    <w:p w:rsidR="005F78FC" w:rsidRDefault="00B42EF3">
      <w:r>
        <w:t>ASCII-EXCLAMATION-MARK = %x21</w:t>
      </w:r>
    </w:p>
    <w:p w:rsidR="005F78FC" w:rsidRDefault="00B42EF3">
      <w:r>
        <w:t>ASCII-QUOTATION-MARK = %x22</w:t>
      </w:r>
    </w:p>
    <w:p w:rsidR="005F78FC" w:rsidRDefault="00B42EF3">
      <w:r>
        <w:t>ASCII-NUMBER-SIGN = %x23</w:t>
      </w:r>
    </w:p>
    <w:p w:rsidR="005F78FC" w:rsidRDefault="00B42EF3">
      <w:r>
        <w:t>ASCII-DOLLAR-SIGN = %x24</w:t>
      </w:r>
    </w:p>
    <w:p w:rsidR="005F78FC" w:rsidRDefault="00B42EF3">
      <w:r>
        <w:t>ASCII-PERCENT-SIGN = %x25</w:t>
      </w:r>
    </w:p>
    <w:p w:rsidR="005F78FC" w:rsidRDefault="00B42EF3">
      <w:r>
        <w:t>ASCII-AMPERSAND = %x26</w:t>
      </w:r>
    </w:p>
    <w:p w:rsidR="005F78FC" w:rsidRDefault="00B42EF3">
      <w:r>
        <w:t>ASCII-APOSTROPHE = %x27</w:t>
      </w:r>
    </w:p>
    <w:p w:rsidR="005F78FC" w:rsidRDefault="00B42EF3">
      <w:r>
        <w:t>ASCII-LEFT-PARENTHESIS = %x28</w:t>
      </w:r>
    </w:p>
    <w:p w:rsidR="005F78FC" w:rsidRDefault="00B42EF3">
      <w:r>
        <w:t>ASCII-RIGHT-PARENTHESIS = %x29</w:t>
      </w:r>
    </w:p>
    <w:p w:rsidR="005F78FC" w:rsidRDefault="00B42EF3">
      <w:r>
        <w:t>ASCII-ASTERISK = %x2A</w:t>
      </w:r>
    </w:p>
    <w:p w:rsidR="005F78FC" w:rsidRDefault="00B42EF3">
      <w:r>
        <w:t>ASCII-PLUS-SIGN = %x2B</w:t>
      </w:r>
    </w:p>
    <w:p w:rsidR="005F78FC" w:rsidRDefault="00B42EF3">
      <w:r>
        <w:t>ASCII-COMMA = %x2C</w:t>
      </w:r>
    </w:p>
    <w:p w:rsidR="005F78FC" w:rsidRDefault="00B42EF3">
      <w:r>
        <w:t>ASCII-HYPHEN-MINUS = %x2D</w:t>
      </w:r>
    </w:p>
    <w:p w:rsidR="005F78FC" w:rsidRDefault="00B42EF3">
      <w:r>
        <w:t>ASCII-FULL-STOP = %x2E</w:t>
      </w:r>
    </w:p>
    <w:p w:rsidR="005F78FC" w:rsidRDefault="00B42EF3">
      <w:r>
        <w:t>ASCII-SOLIDUS = %x2F</w:t>
      </w:r>
    </w:p>
    <w:p w:rsidR="005F78FC" w:rsidRDefault="00B42EF3">
      <w:r>
        <w:t>ASCII-DIGIT-ZERO = %x30</w:t>
      </w:r>
    </w:p>
    <w:p w:rsidR="005F78FC" w:rsidRDefault="00B42EF3">
      <w:r>
        <w:t>ASCII-DIGIT-ONE = %x31</w:t>
      </w:r>
    </w:p>
    <w:p w:rsidR="005F78FC" w:rsidRDefault="00B42EF3">
      <w:r>
        <w:t>ASCII-DIGIT-TWO = %x32</w:t>
      </w:r>
    </w:p>
    <w:p w:rsidR="005F78FC" w:rsidRDefault="00B42EF3">
      <w:r>
        <w:t xml:space="preserve">ASCII-DIGIT-THREE = </w:t>
      </w:r>
      <w:r>
        <w:t>%x33</w:t>
      </w:r>
    </w:p>
    <w:p w:rsidR="005F78FC" w:rsidRDefault="00B42EF3">
      <w:r>
        <w:t>ASCII-DIGIT-FOUR = %x34</w:t>
      </w:r>
    </w:p>
    <w:p w:rsidR="005F78FC" w:rsidRDefault="00B42EF3">
      <w:r>
        <w:lastRenderedPageBreak/>
        <w:t>ASCII-DIGIT-FIVE = %x35</w:t>
      </w:r>
    </w:p>
    <w:p w:rsidR="005F78FC" w:rsidRDefault="00B42EF3">
      <w:r>
        <w:t>ASCII-DIGIT-SIX = %x36</w:t>
      </w:r>
    </w:p>
    <w:p w:rsidR="005F78FC" w:rsidRDefault="00B42EF3">
      <w:r>
        <w:t>ASCII-DIGIT-SEVEN = %x37</w:t>
      </w:r>
    </w:p>
    <w:p w:rsidR="005F78FC" w:rsidRDefault="00B42EF3">
      <w:r>
        <w:t>ASCII-DIGIT-EIGHT = %x38</w:t>
      </w:r>
    </w:p>
    <w:p w:rsidR="005F78FC" w:rsidRDefault="00B42EF3">
      <w:r>
        <w:t>ASCII-DIGIT-NINE = %x39</w:t>
      </w:r>
    </w:p>
    <w:p w:rsidR="005F78FC" w:rsidRDefault="00B42EF3">
      <w:r>
        <w:t>ASCII-COLON = %x3A</w:t>
      </w:r>
    </w:p>
    <w:p w:rsidR="005F78FC" w:rsidRDefault="00B42EF3">
      <w:r>
        <w:t>ASCII-SEMICOLON = %x3B</w:t>
      </w:r>
    </w:p>
    <w:p w:rsidR="005F78FC" w:rsidRDefault="00B42EF3">
      <w:r>
        <w:t>ASCII-LESS-THAN-SIGN = %x3C</w:t>
      </w:r>
    </w:p>
    <w:p w:rsidR="005F78FC" w:rsidRDefault="00B42EF3">
      <w:r>
        <w:t>ASCII-EQUALS-SIGN = %x3D</w:t>
      </w:r>
    </w:p>
    <w:p w:rsidR="005F78FC" w:rsidRDefault="00B42EF3">
      <w:r>
        <w:t>ASCII-GREATER-THAN-SIGN = %x3E</w:t>
      </w:r>
    </w:p>
    <w:p w:rsidR="005F78FC" w:rsidRDefault="00B42EF3">
      <w:r>
        <w:t>ASCII-QUESTION-MARK = %x3F</w:t>
      </w:r>
    </w:p>
    <w:p w:rsidR="005F78FC" w:rsidRDefault="00B42EF3">
      <w:r>
        <w:t>ASCII-COMMERCIAL-AT = %x40</w:t>
      </w:r>
    </w:p>
    <w:p w:rsidR="005F78FC" w:rsidRDefault="00B42EF3">
      <w:r>
        <w:t>ASCII-CAPITAL-LETTER-A = %x41</w:t>
      </w:r>
    </w:p>
    <w:p w:rsidR="005F78FC" w:rsidRDefault="00B42EF3">
      <w:r>
        <w:t>ASCII-CAPITAL-LETTER-B = %x42</w:t>
      </w:r>
    </w:p>
    <w:p w:rsidR="005F78FC" w:rsidRDefault="00B42EF3">
      <w:r>
        <w:t>ASCII-CAPITAL-LETTER-C = %x43</w:t>
      </w:r>
    </w:p>
    <w:p w:rsidR="005F78FC" w:rsidRDefault="00B42EF3">
      <w:r>
        <w:t>ASCII-CAPITAL-LETTER-D = %x44</w:t>
      </w:r>
    </w:p>
    <w:p w:rsidR="005F78FC" w:rsidRDefault="00B42EF3">
      <w:r>
        <w:t>ASCII-CAPITAL-LETTER-E = %x45</w:t>
      </w:r>
    </w:p>
    <w:p w:rsidR="005F78FC" w:rsidRDefault="00B42EF3">
      <w:r>
        <w:t>ASCII-CAPITAL-LETTER-</w:t>
      </w:r>
      <w:r>
        <w:t>F = %x46</w:t>
      </w:r>
    </w:p>
    <w:p w:rsidR="005F78FC" w:rsidRDefault="00B42EF3">
      <w:r>
        <w:t>ASCII-CAPITAL-LETTER-G = %x47</w:t>
      </w:r>
    </w:p>
    <w:p w:rsidR="005F78FC" w:rsidRDefault="00B42EF3">
      <w:r>
        <w:t>ASCII-CAPITAL-LETTER-H = %x48</w:t>
      </w:r>
    </w:p>
    <w:p w:rsidR="005F78FC" w:rsidRDefault="00B42EF3">
      <w:r>
        <w:t>ASCII-CAPITAL-LETTER-I = %x49</w:t>
      </w:r>
    </w:p>
    <w:p w:rsidR="005F78FC" w:rsidRDefault="00B42EF3">
      <w:r>
        <w:t>ASCII-CAPITAL-LETTER-J = %x4A</w:t>
      </w:r>
    </w:p>
    <w:p w:rsidR="005F78FC" w:rsidRDefault="00B42EF3">
      <w:r>
        <w:t>ASCII-CAPITAL-LETTER-K = %x4B</w:t>
      </w:r>
    </w:p>
    <w:p w:rsidR="005F78FC" w:rsidRDefault="00B42EF3">
      <w:r>
        <w:t>ASCII-CAPITAL-LETTER-L = %x4C</w:t>
      </w:r>
    </w:p>
    <w:p w:rsidR="005F78FC" w:rsidRDefault="00B42EF3">
      <w:r>
        <w:t>ASCII-CAPITAL-LETTER-M = %x4D</w:t>
      </w:r>
    </w:p>
    <w:p w:rsidR="005F78FC" w:rsidRDefault="00B42EF3">
      <w:r>
        <w:t>ASCII-CAPITAL-LETTER-N = %x4E</w:t>
      </w:r>
    </w:p>
    <w:p w:rsidR="005F78FC" w:rsidRDefault="00B42EF3">
      <w:r>
        <w:t>ASCII-CAPITAL-LETTER-O = %x4F</w:t>
      </w:r>
    </w:p>
    <w:p w:rsidR="005F78FC" w:rsidRDefault="00B42EF3">
      <w:r>
        <w:t>ASCII-CAPITAL-LETTER-P = %x50</w:t>
      </w:r>
    </w:p>
    <w:p w:rsidR="005F78FC" w:rsidRDefault="00B42EF3">
      <w:r>
        <w:t>ASCII-CAPITAL-LETTER-Q = %x51</w:t>
      </w:r>
    </w:p>
    <w:p w:rsidR="005F78FC" w:rsidRDefault="00B42EF3">
      <w:r>
        <w:t>ASCII-CAPITAL-LETTER-R = %x52</w:t>
      </w:r>
    </w:p>
    <w:p w:rsidR="005F78FC" w:rsidRDefault="00B42EF3">
      <w:r>
        <w:t>ASCII-CAPITAL-LETTER-S = %x53</w:t>
      </w:r>
    </w:p>
    <w:p w:rsidR="005F78FC" w:rsidRDefault="00B42EF3">
      <w:r>
        <w:t>ASCII-CAPITAL-LETTER-T = %x54</w:t>
      </w:r>
    </w:p>
    <w:p w:rsidR="005F78FC" w:rsidRDefault="00B42EF3">
      <w:r>
        <w:lastRenderedPageBreak/>
        <w:t>ASCII-CAPITAL-LETTER-U = %x55</w:t>
      </w:r>
    </w:p>
    <w:p w:rsidR="005F78FC" w:rsidRDefault="00B42EF3">
      <w:r>
        <w:t>ASCII-CAPITAL-LETTER-V = %x56</w:t>
      </w:r>
    </w:p>
    <w:p w:rsidR="005F78FC" w:rsidRDefault="00B42EF3">
      <w:r>
        <w:t>ASCII-CAPITAL-LE</w:t>
      </w:r>
      <w:r>
        <w:t>TTER-W = %x57</w:t>
      </w:r>
    </w:p>
    <w:p w:rsidR="005F78FC" w:rsidRDefault="00B42EF3">
      <w:r>
        <w:t>ASCII-CAPITAL-LETTER-X = %x58</w:t>
      </w:r>
    </w:p>
    <w:p w:rsidR="005F78FC" w:rsidRDefault="00B42EF3">
      <w:r>
        <w:t>ASCII-CAPITAL-LETTER-Y = %x59</w:t>
      </w:r>
    </w:p>
    <w:p w:rsidR="005F78FC" w:rsidRDefault="00B42EF3">
      <w:r>
        <w:t>ASCII-CAPITAL-LETTER-Z = %x5A</w:t>
      </w:r>
    </w:p>
    <w:p w:rsidR="005F78FC" w:rsidRDefault="00B42EF3">
      <w:r>
        <w:t>ASCII-LEFT-SQUARE-BRACKET = %x5B</w:t>
      </w:r>
    </w:p>
    <w:p w:rsidR="005F78FC" w:rsidRDefault="00B42EF3">
      <w:r>
        <w:t>ASCII-REVERSE-SOLIDUS = %x5C</w:t>
      </w:r>
    </w:p>
    <w:p w:rsidR="005F78FC" w:rsidRDefault="00B42EF3">
      <w:r>
        <w:t>ASCII-RIGHT-SQUARE-BRACKET = %x5D</w:t>
      </w:r>
    </w:p>
    <w:p w:rsidR="005F78FC" w:rsidRDefault="00B42EF3">
      <w:r>
        <w:t>ASCII-CIRCUMFLEX-ACCENT = %x5E</w:t>
      </w:r>
    </w:p>
    <w:p w:rsidR="005F78FC" w:rsidRDefault="00B42EF3">
      <w:r>
        <w:t>ASCII-LOW-LINE = %x5F</w:t>
      </w:r>
    </w:p>
    <w:p w:rsidR="005F78FC" w:rsidRDefault="00B42EF3">
      <w:r>
        <w:t>ASC</w:t>
      </w:r>
      <w:r>
        <w:t>II-GRAVE-ACCENT = %x60</w:t>
      </w:r>
    </w:p>
    <w:p w:rsidR="005F78FC" w:rsidRDefault="00B42EF3">
      <w:r>
        <w:t>ASCII-SMALL-LETTER-A = %x61</w:t>
      </w:r>
    </w:p>
    <w:p w:rsidR="005F78FC" w:rsidRDefault="00B42EF3">
      <w:r>
        <w:t>ASCII-SMALL-LETTER-B = %x62</w:t>
      </w:r>
    </w:p>
    <w:p w:rsidR="005F78FC" w:rsidRDefault="00B42EF3">
      <w:r>
        <w:t>ASCII-SMALL-LETTER-C = %x63</w:t>
      </w:r>
    </w:p>
    <w:p w:rsidR="005F78FC" w:rsidRDefault="00B42EF3">
      <w:r>
        <w:t>ASCII-SMALL-LETTER-D = %x64</w:t>
      </w:r>
    </w:p>
    <w:p w:rsidR="005F78FC" w:rsidRDefault="00B42EF3">
      <w:r>
        <w:t>ASCII-SMALL-LETTER-E = %x65</w:t>
      </w:r>
    </w:p>
    <w:p w:rsidR="005F78FC" w:rsidRDefault="00B42EF3">
      <w:r>
        <w:t>ASCII-SMALL-LETTER-F = %x66</w:t>
      </w:r>
    </w:p>
    <w:p w:rsidR="005F78FC" w:rsidRDefault="00B42EF3">
      <w:r>
        <w:t>ASCII-SMALL-LETTER-G = %x67</w:t>
      </w:r>
    </w:p>
    <w:p w:rsidR="005F78FC" w:rsidRDefault="00B42EF3">
      <w:r>
        <w:t>ASCII-SMALL-LETTER-H = %x68</w:t>
      </w:r>
    </w:p>
    <w:p w:rsidR="005F78FC" w:rsidRDefault="00B42EF3">
      <w:r>
        <w:t>ASCII-SMALL-LETTER-I = %x69</w:t>
      </w:r>
    </w:p>
    <w:p w:rsidR="005F78FC" w:rsidRDefault="00B42EF3">
      <w:r>
        <w:t>ASCII-SMALL-LETTER-J = %x6A</w:t>
      </w:r>
    </w:p>
    <w:p w:rsidR="005F78FC" w:rsidRDefault="00B42EF3">
      <w:r>
        <w:t>ASCII-SMALL-LETTER-K = %x6B</w:t>
      </w:r>
    </w:p>
    <w:p w:rsidR="005F78FC" w:rsidRDefault="00B42EF3">
      <w:r>
        <w:t>ASCII-SMALL-LETTER-L = %x6C</w:t>
      </w:r>
    </w:p>
    <w:p w:rsidR="005F78FC" w:rsidRDefault="00B42EF3">
      <w:r>
        <w:t>ASCII-SMALL-LETTER-M = %x6D</w:t>
      </w:r>
    </w:p>
    <w:p w:rsidR="005F78FC" w:rsidRDefault="00B42EF3">
      <w:r>
        <w:t>ASCII-SMALL-LETTER-N = %x6E</w:t>
      </w:r>
    </w:p>
    <w:p w:rsidR="005F78FC" w:rsidRDefault="00B42EF3">
      <w:r>
        <w:t>ASCII-SMALL-LETTER-O = %x6F</w:t>
      </w:r>
    </w:p>
    <w:p w:rsidR="005F78FC" w:rsidRDefault="00B42EF3">
      <w:r>
        <w:t>ASCII-SMALL-LETTER-P = %x70</w:t>
      </w:r>
    </w:p>
    <w:p w:rsidR="005F78FC" w:rsidRDefault="00B42EF3">
      <w:r>
        <w:t>ASCII-SMALL-LETTER-Q = %x71</w:t>
      </w:r>
    </w:p>
    <w:p w:rsidR="005F78FC" w:rsidRDefault="00B42EF3">
      <w:r>
        <w:t>ASCII-SMALL-LETTER-R = %x72</w:t>
      </w:r>
    </w:p>
    <w:p w:rsidR="005F78FC" w:rsidRDefault="00B42EF3">
      <w:r>
        <w:t>ASCII-SMALL-LETTER-S = %x73</w:t>
      </w:r>
    </w:p>
    <w:p w:rsidR="005F78FC" w:rsidRDefault="00B42EF3">
      <w:r>
        <w:t>ASCII-SMALL-LETTER-T = %x74</w:t>
      </w:r>
    </w:p>
    <w:p w:rsidR="005F78FC" w:rsidRDefault="00B42EF3">
      <w:r>
        <w:lastRenderedPageBreak/>
        <w:t>ASCII-SMALL-LETTER-U = %x75</w:t>
      </w:r>
    </w:p>
    <w:p w:rsidR="005F78FC" w:rsidRDefault="00B42EF3">
      <w:r>
        <w:t>ASCII-SMALL-LETTER-V = %x76</w:t>
      </w:r>
    </w:p>
    <w:p w:rsidR="005F78FC" w:rsidRDefault="00B42EF3">
      <w:r>
        <w:t>ASCII-SMALL-LETTER-W = %x77</w:t>
      </w:r>
    </w:p>
    <w:p w:rsidR="005F78FC" w:rsidRDefault="00B42EF3">
      <w:r>
        <w:t>ASCII-SMALL-LETTER-X = %x78</w:t>
      </w:r>
    </w:p>
    <w:p w:rsidR="005F78FC" w:rsidRDefault="00B42EF3">
      <w:r>
        <w:t>ASCII-SMALL-LETTER-Y = %x79</w:t>
      </w:r>
    </w:p>
    <w:p w:rsidR="005F78FC" w:rsidRDefault="00B42EF3">
      <w:r>
        <w:t>ASCII-SMALL-LETTER-Z = %x7A</w:t>
      </w:r>
    </w:p>
    <w:p w:rsidR="005F78FC" w:rsidRDefault="00B42EF3">
      <w:r>
        <w:t>ASCI</w:t>
      </w:r>
      <w:r>
        <w:t>I-LEFT-CURLY-BRACKET = %x7B</w:t>
      </w:r>
    </w:p>
    <w:p w:rsidR="005F78FC" w:rsidRDefault="00B42EF3">
      <w:r>
        <w:t>ASCII-VERTICAL-LINE = %x7C</w:t>
      </w:r>
    </w:p>
    <w:p w:rsidR="005F78FC" w:rsidRDefault="00B42EF3">
      <w:r>
        <w:t>ASCII-RIGHT-CURLY-BRACKET = %x7D</w:t>
      </w:r>
    </w:p>
    <w:p w:rsidR="005F78FC" w:rsidRDefault="00B42EF3">
      <w:r>
        <w:t>ASCII-TILDE = %x7E</w:t>
      </w:r>
    </w:p>
    <w:p w:rsidR="005F78FC" w:rsidRDefault="00B42EF3">
      <w:r>
        <w:t>ASCII-DELETE = %x7F</w:t>
      </w:r>
    </w:p>
    <w:p w:rsidR="005F78FC" w:rsidRDefault="00B42EF3">
      <w:r>
        <w:t>ASCII-CRLF = %x0d.0a</w:t>
      </w:r>
    </w:p>
    <w:p w:rsidR="005F78FC" w:rsidRDefault="00B42EF3">
      <w:r>
        <w:t xml:space="preserve">ASCII-DIGIT = </w:t>
      </w:r>
    </w:p>
    <w:p w:rsidR="005F78FC" w:rsidRDefault="00B42EF3">
      <w:r>
        <w:t xml:space="preserve">    ASCII-DIGIT-ZERO /</w:t>
      </w:r>
    </w:p>
    <w:p w:rsidR="005F78FC" w:rsidRDefault="00B42EF3">
      <w:r>
        <w:t xml:space="preserve">    ASCII-DIGIT-ONE /</w:t>
      </w:r>
    </w:p>
    <w:p w:rsidR="005F78FC" w:rsidRDefault="00B42EF3">
      <w:r>
        <w:t xml:space="preserve">    ASCII-DIGIT-TWO /</w:t>
      </w:r>
    </w:p>
    <w:p w:rsidR="005F78FC" w:rsidRDefault="00B42EF3">
      <w:r>
        <w:t xml:space="preserve">    ASCII-DIGIT-THREE /</w:t>
      </w:r>
    </w:p>
    <w:p w:rsidR="005F78FC" w:rsidRDefault="00B42EF3">
      <w:r>
        <w:t xml:space="preserve">    ASCII-DIGIT-FOUR /</w:t>
      </w:r>
    </w:p>
    <w:p w:rsidR="005F78FC" w:rsidRDefault="00B42EF3">
      <w:r>
        <w:t xml:space="preserve">    ASCII-DIGIT-FIVE /</w:t>
      </w:r>
    </w:p>
    <w:p w:rsidR="005F78FC" w:rsidRDefault="00B42EF3">
      <w:r>
        <w:t xml:space="preserve">    ASCII-DIGIT-SIX /</w:t>
      </w:r>
    </w:p>
    <w:p w:rsidR="005F78FC" w:rsidRDefault="00B42EF3">
      <w:r>
        <w:t xml:space="preserve">    ASCII-DIGIT-SEVEN /</w:t>
      </w:r>
    </w:p>
    <w:p w:rsidR="005F78FC" w:rsidRDefault="00B42EF3">
      <w:r>
        <w:t xml:space="preserve">    ASCII-DIGIT-EIGHT /</w:t>
      </w:r>
    </w:p>
    <w:p w:rsidR="005F78FC" w:rsidRDefault="00B42EF3">
      <w:r>
        <w:t xml:space="preserve">    ASCII-DIGIT-NINE</w:t>
      </w:r>
    </w:p>
    <w:p w:rsidR="005F78FC" w:rsidRDefault="00B42EF3">
      <w:r>
        <w:t xml:space="preserve">ASCII-DIGIT-HEXADECIMAL = </w:t>
      </w:r>
    </w:p>
    <w:p w:rsidR="005F78FC" w:rsidRDefault="00B42EF3">
      <w:r>
        <w:t xml:space="preserve">    ASCII-DIGIT / </w:t>
      </w:r>
    </w:p>
    <w:p w:rsidR="005F78FC" w:rsidRDefault="00B42EF3">
      <w:r>
        <w:t xml:space="preserve">    ASCII-SMALL-LETTER-A /</w:t>
      </w:r>
    </w:p>
    <w:p w:rsidR="005F78FC" w:rsidRDefault="00B42EF3">
      <w:r>
        <w:t xml:space="preserve">    ASCII-SMALL-LETTER-B /</w:t>
      </w:r>
    </w:p>
    <w:p w:rsidR="005F78FC" w:rsidRDefault="00B42EF3">
      <w:r>
        <w:t xml:space="preserve">    ASCII-SMALL-LET</w:t>
      </w:r>
      <w:r>
        <w:t>TER-C /</w:t>
      </w:r>
    </w:p>
    <w:p w:rsidR="005F78FC" w:rsidRDefault="00B42EF3">
      <w:r>
        <w:t xml:space="preserve">    ASCII-SMALL-LETTER-D /</w:t>
      </w:r>
    </w:p>
    <w:p w:rsidR="005F78FC" w:rsidRDefault="00B42EF3">
      <w:r>
        <w:t xml:space="preserve">    ASCII-SMALL-LETTER-E /</w:t>
      </w:r>
    </w:p>
    <w:p w:rsidR="005F78FC" w:rsidRDefault="00B42EF3">
      <w:r>
        <w:t xml:space="preserve">    ASCII-SMALL-LETTER-F /</w:t>
      </w:r>
    </w:p>
    <w:p w:rsidR="005F78FC" w:rsidRDefault="00B42EF3">
      <w:r>
        <w:t xml:space="preserve">    ASCII-CAPITAL-LETTER-A /</w:t>
      </w:r>
    </w:p>
    <w:p w:rsidR="005F78FC" w:rsidRDefault="00B42EF3">
      <w:r>
        <w:lastRenderedPageBreak/>
        <w:t xml:space="preserve">    ASCII-CAPITAL-LETTER-B /</w:t>
      </w:r>
    </w:p>
    <w:p w:rsidR="005F78FC" w:rsidRDefault="00B42EF3">
      <w:r>
        <w:t xml:space="preserve">    ASCII-CAPITAL-LETTER-C /</w:t>
      </w:r>
    </w:p>
    <w:p w:rsidR="005F78FC" w:rsidRDefault="00B42EF3">
      <w:r>
        <w:t xml:space="preserve">    ASCII-CAPITAL-LETTER-D /</w:t>
      </w:r>
    </w:p>
    <w:p w:rsidR="005F78FC" w:rsidRDefault="00B42EF3">
      <w:r>
        <w:t xml:space="preserve">    ASCII-CAPITAL-LETTER-E /</w:t>
      </w:r>
    </w:p>
    <w:p w:rsidR="005F78FC" w:rsidRDefault="00B42EF3">
      <w:r>
        <w:t xml:space="preserve">    ASCII-CAPITAL-LETT</w:t>
      </w:r>
      <w:r>
        <w:t>ER-F</w:t>
      </w:r>
    </w:p>
    <w:p w:rsidR="005F78FC" w:rsidRDefault="00B42EF3">
      <w:r>
        <w:t xml:space="preserve">; =================================================================== </w:t>
      </w:r>
    </w:p>
    <w:p w:rsidR="005F78FC" w:rsidRDefault="00B42EF3">
      <w:pPr>
        <w:pStyle w:val="Definition-Field"/>
      </w:pPr>
      <w:r>
        <w:t xml:space="preserve">c.   </w:t>
      </w:r>
      <w:r>
        <w:rPr>
          <w:i/>
        </w:rPr>
        <w:t>The standard does not restrict the parent of numFmt, such that the numFmtId attribute specifies the Id used by the master style records (xf's) to reference this number format.</w:t>
      </w:r>
    </w:p>
    <w:p w:rsidR="005F78FC" w:rsidRDefault="00B42EF3">
      <w:pPr>
        <w:pStyle w:val="Definition-Field2"/>
      </w:pPr>
      <w:r>
        <w:t>In Office, the numFmtId attribute specifies the Id used by the master style records (xf's) to reference this number format only if the parent element is present within numFmts element. Its value is ignored otherwise.</w:t>
      </w:r>
    </w:p>
    <w:p w:rsidR="005F78FC" w:rsidRDefault="00B42EF3">
      <w:pPr>
        <w:pStyle w:val="Heading3"/>
      </w:pPr>
      <w:bookmarkStart w:id="1444" w:name="section_c6046ec6f96d460998e40dd549292955"/>
      <w:bookmarkStart w:id="1445" w:name="_Toc69878495"/>
      <w:r>
        <w:t>Part 1 Section 18.8.31, numFmts (Numbe</w:t>
      </w:r>
      <w:r>
        <w:t>r Formats)</w:t>
      </w:r>
      <w:bookmarkEnd w:id="1444"/>
      <w:bookmarkEnd w:id="1445"/>
      <w:r>
        <w:fldChar w:fldCharType="begin"/>
      </w:r>
      <w:r>
        <w:instrText xml:space="preserve"> XE "numFmts (Number Formats)" </w:instrText>
      </w:r>
      <w:r>
        <w:fldChar w:fldCharType="end"/>
      </w:r>
    </w:p>
    <w:p w:rsidR="005F78FC" w:rsidRDefault="00B42EF3">
      <w:pPr>
        <w:pStyle w:val="Definition-Field"/>
      </w:pPr>
      <w:r>
        <w:t xml:space="preserve">a.   </w:t>
      </w:r>
      <w:r>
        <w:rPr>
          <w:i/>
        </w:rPr>
        <w:t>The standard does not describe how to interpret a number format with only three sections.</w:t>
      </w:r>
    </w:p>
    <w:p w:rsidR="005F78FC" w:rsidRDefault="00B42EF3">
      <w:pPr>
        <w:pStyle w:val="Definition-Field2"/>
      </w:pPr>
      <w:r>
        <w:t>If only three sections are specified, the first is used for positive numbers, second for negative numbers and the thi</w:t>
      </w:r>
      <w:r>
        <w:t>rd is used for zero values in Office.</w:t>
      </w:r>
    </w:p>
    <w:p w:rsidR="005F78FC" w:rsidRDefault="00B42EF3">
      <w:pPr>
        <w:pStyle w:val="Definition-Field"/>
      </w:pPr>
      <w:r>
        <w:t xml:space="preserve">b.   </w:t>
      </w:r>
      <w:r>
        <w:rPr>
          <w:i/>
        </w:rPr>
        <w:t>The standard states that the &amp; (ampersand) text operator is used to join, or concatenate, two values.</w:t>
      </w:r>
    </w:p>
    <w:p w:rsidR="005F78FC" w:rsidRDefault="00B42EF3">
      <w:pPr>
        <w:pStyle w:val="Definition-Field2"/>
      </w:pPr>
      <w:r>
        <w:t>Excel displays '&amp;' if '&amp;' is present in the format.</w:t>
      </w:r>
    </w:p>
    <w:p w:rsidR="005F78FC" w:rsidRDefault="00B42EF3">
      <w:pPr>
        <w:pStyle w:val="Definition-Field"/>
      </w:pPr>
      <w:r>
        <w:t xml:space="preserve">c.   </w:t>
      </w:r>
      <w:r>
        <w:rPr>
          <w:i/>
        </w:rPr>
        <w:t>The standard states that if the cell contains a number</w:t>
      </w:r>
      <w:r>
        <w:rPr>
          <w:i/>
        </w:rPr>
        <w:t xml:space="preserve"> between 0 and 1, the application shall multiply the number by 100 and add the percentage symbol in the cell (for Percentage formatting).</w:t>
      </w:r>
    </w:p>
    <w:p w:rsidR="005F78FC" w:rsidRDefault="00B42EF3">
      <w:pPr>
        <w:pStyle w:val="Definition-Field2"/>
      </w:pPr>
      <w:r>
        <w:t>Office applies percentage formatting to any numeric cell value.</w:t>
      </w:r>
    </w:p>
    <w:p w:rsidR="005F78FC" w:rsidRDefault="00B42EF3">
      <w:pPr>
        <w:pStyle w:val="Definition-Field"/>
      </w:pPr>
      <w:r>
        <w:t xml:space="preserve">d.   </w:t>
      </w:r>
      <w:r>
        <w:rPr>
          <w:i/>
        </w:rPr>
        <w:t>The standard does not include an entry for '/' in</w:t>
      </w:r>
      <w:r>
        <w:rPr>
          <w:i/>
        </w:rPr>
        <w:t xml:space="preserve"> the table of format characters.</w:t>
      </w:r>
    </w:p>
    <w:p w:rsidR="005F78FC" w:rsidRDefault="00B42EF3">
      <w:pPr>
        <w:pStyle w:val="Definition-Field2"/>
      </w:pPr>
      <w:r>
        <w:t>In Excel, the fraction format character ('/') displays the number in the format of a fraction. It is interpreted as the fraction format character only when preceded and followed by a number symbol (0, #, and ?).</w:t>
      </w:r>
    </w:p>
    <w:p w:rsidR="005F78FC" w:rsidRDefault="00B42EF3">
      <w:pPr>
        <w:pStyle w:val="Definition-Field"/>
      </w:pPr>
      <w:r>
        <w:t xml:space="preserve">e.   </w:t>
      </w:r>
      <w:r>
        <w:rPr>
          <w:i/>
        </w:rPr>
        <w:t>The st</w:t>
      </w:r>
      <w:r>
        <w:rPr>
          <w:i/>
        </w:rPr>
        <w:t>andard lists e+ and e- along with E+ and E- as the format characters for specifying use of scientific notation.</w:t>
      </w:r>
    </w:p>
    <w:p w:rsidR="005F78FC" w:rsidRDefault="00B42EF3">
      <w:pPr>
        <w:pStyle w:val="Definition-Field2"/>
      </w:pPr>
      <w:r>
        <w:t>In Office, only E+ and E- are the format characters for specifying use of scientific notation.</w:t>
      </w:r>
    </w:p>
    <w:p w:rsidR="005F78FC" w:rsidRDefault="00B42EF3">
      <w:pPr>
        <w:pStyle w:val="Definition-Field"/>
      </w:pPr>
      <w:r>
        <w:t xml:space="preserve">f.   </w:t>
      </w:r>
      <w:r>
        <w:rPr>
          <w:i/>
        </w:rPr>
        <w:t>The standard states that date format codes e</w:t>
      </w:r>
      <w:r>
        <w:rPr>
          <w:i/>
        </w:rPr>
        <w:t xml:space="preserve"> and ee become yy in all locales other than JPN/CHT.</w:t>
      </w:r>
    </w:p>
    <w:p w:rsidR="005F78FC" w:rsidRDefault="00B42EF3">
      <w:pPr>
        <w:pStyle w:val="Definition-Field2"/>
      </w:pPr>
      <w:r>
        <w:t>In Office, date format codes e and ee become yyyy in all locales other than JPN/CHT.</w:t>
      </w:r>
    </w:p>
    <w:p w:rsidR="005F78FC" w:rsidRDefault="00B42EF3">
      <w:pPr>
        <w:pStyle w:val="Definition-Field"/>
      </w:pPr>
      <w:r>
        <w:t xml:space="preserve">g.   </w:t>
      </w:r>
      <w:r>
        <w:rPr>
          <w:i/>
        </w:rPr>
        <w:t>The standard does not limit the number of custom number formats defined in numFmts.</w:t>
      </w:r>
    </w:p>
    <w:p w:rsidR="005F78FC" w:rsidRDefault="00B42EF3">
      <w:pPr>
        <w:pStyle w:val="Definition-Field2"/>
      </w:pPr>
      <w:r>
        <w:t>Office limits the number of c</w:t>
      </w:r>
      <w:r>
        <w:t>ustom number formats to 206 and also persists files that contain more than 206 custom formats (which it cannot load).</w:t>
      </w:r>
    </w:p>
    <w:p w:rsidR="005F78FC" w:rsidRDefault="00B42EF3">
      <w:pPr>
        <w:pStyle w:val="Heading3"/>
      </w:pPr>
      <w:bookmarkStart w:id="1446" w:name="section_21ce5bfcf7c345cf9b7b6e46a34745c1"/>
      <w:bookmarkStart w:id="1447" w:name="_Toc69878496"/>
      <w:r>
        <w:lastRenderedPageBreak/>
        <w:t>Part 1 Section 18.8.33, protection (Protection Properties)</w:t>
      </w:r>
      <w:bookmarkEnd w:id="1446"/>
      <w:bookmarkEnd w:id="1447"/>
      <w:r>
        <w:fldChar w:fldCharType="begin"/>
      </w:r>
      <w:r>
        <w:instrText xml:space="preserve"> XE "protection (Protection Properties)" </w:instrText>
      </w:r>
      <w:r>
        <w:fldChar w:fldCharType="end"/>
      </w:r>
    </w:p>
    <w:p w:rsidR="005F78FC" w:rsidRDefault="00B42EF3">
      <w:pPr>
        <w:pStyle w:val="Definition-Field"/>
      </w:pPr>
      <w:r>
        <w:t xml:space="preserve">a.   </w:t>
      </w:r>
      <w:r>
        <w:rPr>
          <w:i/>
        </w:rPr>
        <w:t>The standard does not specify a</w:t>
      </w:r>
      <w:r>
        <w:rPr>
          <w:i/>
        </w:rPr>
        <w:t xml:space="preserve"> default value for the locked attribute.</w:t>
      </w:r>
    </w:p>
    <w:p w:rsidR="005F78FC" w:rsidRDefault="00B42EF3">
      <w:pPr>
        <w:pStyle w:val="Definition-Field2"/>
      </w:pPr>
      <w:r>
        <w:t>Excel uses a default value of true for this attribute.</w:t>
      </w:r>
    </w:p>
    <w:p w:rsidR="005F78FC" w:rsidRDefault="00B42EF3">
      <w:pPr>
        <w:pStyle w:val="Definition-Field"/>
      </w:pPr>
      <w:r>
        <w:t xml:space="preserve">b.   </w:t>
      </w:r>
      <w:r>
        <w:rPr>
          <w:i/>
        </w:rPr>
        <w:t>The standard does not specify a default value for the hidden attribute.</w:t>
      </w:r>
    </w:p>
    <w:p w:rsidR="005F78FC" w:rsidRDefault="00B42EF3">
      <w:pPr>
        <w:pStyle w:val="Definition-Field2"/>
      </w:pPr>
      <w:r>
        <w:t>Excel uses a default value of false for this attribute.</w:t>
      </w:r>
    </w:p>
    <w:p w:rsidR="005F78FC" w:rsidRDefault="00B42EF3">
      <w:pPr>
        <w:pStyle w:val="Heading3"/>
      </w:pPr>
      <w:bookmarkStart w:id="1448" w:name="section_56cfa653d6124212a1a7b3e67b96edc2"/>
      <w:bookmarkStart w:id="1449" w:name="_Toc69878497"/>
      <w:r>
        <w:t>Part 1 Section 18.8.37, sta</w:t>
      </w:r>
      <w:r>
        <w:t>rt (Leading Edge Border)</w:t>
      </w:r>
      <w:bookmarkEnd w:id="1448"/>
      <w:bookmarkEnd w:id="1449"/>
      <w:r>
        <w:fldChar w:fldCharType="begin"/>
      </w:r>
      <w:r>
        <w:instrText xml:space="preserve"> XE "start (Leading Edge Border)" </w:instrText>
      </w:r>
      <w:r>
        <w:fldChar w:fldCharType="end"/>
      </w:r>
    </w:p>
    <w:p w:rsidR="005F78FC" w:rsidRDefault="00B42EF3">
      <w:pPr>
        <w:pStyle w:val="Definition-Field"/>
      </w:pPr>
      <w:r>
        <w:t xml:space="preserve">a.   </w:t>
      </w:r>
      <w:r>
        <w:rPr>
          <w:i/>
        </w:rPr>
        <w:t>The standard specifies that "start" should be the element to specify a leading edge border.</w:t>
      </w:r>
    </w:p>
    <w:p w:rsidR="005F78FC" w:rsidRDefault="00B42EF3">
      <w:pPr>
        <w:pStyle w:val="Definition-Field2"/>
      </w:pPr>
      <w:r>
        <w:t>Excel uses "left" to specify a leading edge border.</w:t>
      </w:r>
    </w:p>
    <w:p w:rsidR="005F78FC" w:rsidRDefault="00B42EF3">
      <w:pPr>
        <w:pStyle w:val="Heading3"/>
      </w:pPr>
      <w:bookmarkStart w:id="1450" w:name="section_62ebad67e8234c9ba37c4ef566da94f0"/>
      <w:bookmarkStart w:id="1451" w:name="_Toc69878498"/>
      <w:r>
        <w:t>Part 1 Section 18.8.38, stop (Gradient Stop)</w:t>
      </w:r>
      <w:bookmarkEnd w:id="1450"/>
      <w:bookmarkEnd w:id="1451"/>
      <w:r>
        <w:fldChar w:fldCharType="begin"/>
      </w:r>
      <w:r>
        <w:instrText xml:space="preserve"> X</w:instrText>
      </w:r>
      <w:r>
        <w:instrText xml:space="preserve">E "stop (Gradient Stop)" </w:instrText>
      </w:r>
      <w:r>
        <w:fldChar w:fldCharType="end"/>
      </w:r>
    </w:p>
    <w:p w:rsidR="005F78FC" w:rsidRDefault="00B42EF3">
      <w:pPr>
        <w:pStyle w:val="Definition-Field"/>
      </w:pPr>
      <w:r>
        <w:t xml:space="preserve">a.   </w:t>
      </w:r>
      <w:r>
        <w:rPr>
          <w:i/>
        </w:rPr>
        <w:t>The standard specifies @position as defined by the XML Schema double datatype.</w:t>
      </w:r>
    </w:p>
    <w:p w:rsidR="005F78FC" w:rsidRDefault="00B42EF3">
      <w:pPr>
        <w:pStyle w:val="Definition-Field2"/>
      </w:pPr>
      <w:r>
        <w:t>Office requires @position to be a double between 0 and 1 inclusive.</w:t>
      </w:r>
    </w:p>
    <w:p w:rsidR="005F78FC" w:rsidRDefault="00B42EF3">
      <w:pPr>
        <w:pStyle w:val="Heading3"/>
      </w:pPr>
      <w:bookmarkStart w:id="1452" w:name="section_fffd477ceaf2417db86ef964a5f4d419"/>
      <w:bookmarkStart w:id="1453" w:name="_Toc69878499"/>
      <w:r>
        <w:t>Part 1 Section 18.8.39, styleSheet (Style Sheet)</w:t>
      </w:r>
      <w:bookmarkEnd w:id="1452"/>
      <w:bookmarkEnd w:id="1453"/>
      <w:r>
        <w:fldChar w:fldCharType="begin"/>
      </w:r>
      <w:r>
        <w:instrText xml:space="preserve"> XE "styleSheet (Style Sheet</w:instrText>
      </w:r>
      <w:r>
        <w:instrText xml:space="preserve">)" </w:instrText>
      </w:r>
      <w:r>
        <w:fldChar w:fldCharType="end"/>
      </w:r>
    </w:p>
    <w:p w:rsidR="005F78FC" w:rsidRDefault="00B42EF3">
      <w:pPr>
        <w:pStyle w:val="Definition-Field"/>
      </w:pPr>
      <w:r>
        <w:t xml:space="preserve">a.   </w:t>
      </w:r>
      <w:r>
        <w:rPr>
          <w:i/>
        </w:rPr>
        <w:t>The standard states that the child elements styleSheet have a minOccurs equal to zero.</w:t>
      </w:r>
    </w:p>
    <w:p w:rsidR="005F78FC" w:rsidRDefault="00B42EF3">
      <w:pPr>
        <w:pStyle w:val="Definition-Field2"/>
      </w:pPr>
      <w:r>
        <w:t>In Office, styleSheet child elements specify formatting information for the cells in an Excel document.  All child elements that are referenced in the Excel d</w:t>
      </w:r>
      <w:r>
        <w:t>ocument must be present or the document will be considered non-conformant.</w:t>
      </w:r>
    </w:p>
    <w:p w:rsidR="005F78FC" w:rsidRDefault="00B42EF3">
      <w:pPr>
        <w:pStyle w:val="Heading3"/>
      </w:pPr>
      <w:bookmarkStart w:id="1454" w:name="section_ff6347f03c7043748ceb81fcb2b39331"/>
      <w:bookmarkStart w:id="1455" w:name="_Toc69878500"/>
      <w:r>
        <w:t>Part 1 Section 18.8.40, tableStyle (Table Style)</w:t>
      </w:r>
      <w:bookmarkEnd w:id="1454"/>
      <w:bookmarkEnd w:id="1455"/>
      <w:r>
        <w:fldChar w:fldCharType="begin"/>
      </w:r>
      <w:r>
        <w:instrText xml:space="preserve"> XE "tableStyle (Table Style)" </w:instrText>
      </w:r>
      <w:r>
        <w:fldChar w:fldCharType="end"/>
      </w:r>
    </w:p>
    <w:p w:rsidR="005F78FC" w:rsidRDefault="00B42EF3">
      <w:pPr>
        <w:pStyle w:val="Definition-Field"/>
      </w:pPr>
      <w:r>
        <w:t xml:space="preserve">a.   </w:t>
      </w:r>
      <w:r>
        <w:rPr>
          <w:i/>
        </w:rPr>
        <w:t>The standard incorrectly states that built-in table styles are written in tableStyle elements.</w:t>
      </w:r>
    </w:p>
    <w:p w:rsidR="005F78FC" w:rsidRDefault="00B42EF3">
      <w:pPr>
        <w:pStyle w:val="Definition-Field2"/>
      </w:pPr>
      <w:r>
        <w:t>In Office, only user-defined table styles are written to the tableStyle elements.</w:t>
      </w:r>
    </w:p>
    <w:p w:rsidR="005F78FC" w:rsidRDefault="00B42EF3">
      <w:pPr>
        <w:pStyle w:val="Definition-Field"/>
      </w:pPr>
      <w:r>
        <w:t xml:space="preserve">b.   </w:t>
      </w:r>
      <w:r>
        <w:rPr>
          <w:i/>
        </w:rPr>
        <w:t>The standard does not limit the length of the value of the name attribute.</w:t>
      </w:r>
    </w:p>
    <w:p w:rsidR="005F78FC" w:rsidRDefault="00B42EF3">
      <w:pPr>
        <w:pStyle w:val="Definition-Field2"/>
      </w:pPr>
      <w:r>
        <w:t>Excel restricts the value of this attribute to be at least 1 and at most 255 characters.</w:t>
      </w:r>
    </w:p>
    <w:p w:rsidR="005F78FC" w:rsidRDefault="00B42EF3">
      <w:pPr>
        <w:pStyle w:val="Definition-Field"/>
      </w:pPr>
      <w:r>
        <w:t xml:space="preserve">c.   </w:t>
      </w:r>
      <w:r>
        <w:rPr>
          <w:i/>
        </w:rPr>
        <w:t>The standard states that the maxOccurs value for the tableStyleElement child element is unbounded.</w:t>
      </w:r>
    </w:p>
    <w:p w:rsidR="005F78FC" w:rsidRDefault="00B42EF3">
      <w:pPr>
        <w:pStyle w:val="Definition-Field2"/>
      </w:pPr>
      <w:r>
        <w:t>Excel limits the occurrences of this element to 28.</w:t>
      </w:r>
    </w:p>
    <w:p w:rsidR="005F78FC" w:rsidRDefault="00B42EF3">
      <w:pPr>
        <w:pStyle w:val="Heading3"/>
      </w:pPr>
      <w:bookmarkStart w:id="1456" w:name="section_d91a5d310bf448019139f6c13a690505"/>
      <w:bookmarkStart w:id="1457" w:name="_Toc69878501"/>
      <w:r>
        <w:t>Part 1 Section 18.8.41, tableStyleElement (Table Style)</w:t>
      </w:r>
      <w:bookmarkEnd w:id="1456"/>
      <w:bookmarkEnd w:id="1457"/>
      <w:r>
        <w:fldChar w:fldCharType="begin"/>
      </w:r>
      <w:r>
        <w:instrText xml:space="preserve"> XE "tableStyleElement (Table Style)" </w:instrText>
      </w:r>
      <w:r>
        <w:fldChar w:fldCharType="end"/>
      </w:r>
    </w:p>
    <w:p w:rsidR="005F78FC" w:rsidRDefault="00B42EF3">
      <w:pPr>
        <w:pStyle w:val="Definition-Field"/>
      </w:pPr>
      <w:r>
        <w:t xml:space="preserve">a.   </w:t>
      </w:r>
      <w:r>
        <w:rPr>
          <w:i/>
        </w:rPr>
        <w:t>The standard specifies that the values of the size attribute are defined by the XML Schema unsignedInt datatype.</w:t>
      </w:r>
    </w:p>
    <w:p w:rsidR="005F78FC" w:rsidRDefault="00B42EF3">
      <w:pPr>
        <w:pStyle w:val="Definition-Field2"/>
      </w:pPr>
      <w:r>
        <w:t>Office requires the size attribute to be an unsignedInt between 1 to 9 inclusive.</w:t>
      </w:r>
    </w:p>
    <w:p w:rsidR="005F78FC" w:rsidRDefault="00B42EF3">
      <w:pPr>
        <w:pStyle w:val="Heading3"/>
      </w:pPr>
      <w:bookmarkStart w:id="1458" w:name="section_3e73b8aa77d244a79b9fe92e296915c5"/>
      <w:bookmarkStart w:id="1459" w:name="_Toc69878502"/>
      <w:r>
        <w:t>Part 1 Section 18.8.42, tableStyles (Table Styles)</w:t>
      </w:r>
      <w:bookmarkEnd w:id="1458"/>
      <w:bookmarkEnd w:id="1459"/>
      <w:r>
        <w:fldChar w:fldCharType="begin"/>
      </w:r>
      <w:r>
        <w:instrText xml:space="preserve"> XE "t</w:instrText>
      </w:r>
      <w:r>
        <w:instrText xml:space="preserve">ableStyles (Table Styles)" </w:instrText>
      </w:r>
      <w:r>
        <w:fldChar w:fldCharType="end"/>
      </w:r>
    </w:p>
    <w:p w:rsidR="005F78FC" w:rsidRDefault="00B42EF3">
      <w:pPr>
        <w:pStyle w:val="Definition-Field"/>
      </w:pPr>
      <w:r>
        <w:t xml:space="preserve">a.   </w:t>
      </w:r>
      <w:r>
        <w:rPr>
          <w:i/>
        </w:rPr>
        <w:t>The standard specifies @defaultTableStyle as xsd:string.</w:t>
      </w:r>
    </w:p>
    <w:p w:rsidR="005F78FC" w:rsidRDefault="00B42EF3">
      <w:pPr>
        <w:pStyle w:val="Definition-Field2"/>
      </w:pPr>
      <w:r>
        <w:t>Office requires @defaultChanged to be an xsd:string whose length is between 1 and 255 inclusive.</w:t>
      </w:r>
    </w:p>
    <w:p w:rsidR="005F78FC" w:rsidRDefault="00B42EF3">
      <w:pPr>
        <w:pStyle w:val="Definition-Field"/>
      </w:pPr>
      <w:r>
        <w:lastRenderedPageBreak/>
        <w:t xml:space="preserve">b.   </w:t>
      </w:r>
      <w:r>
        <w:rPr>
          <w:i/>
        </w:rPr>
        <w:t>The standard specifies @defaultPivotStyle as xsd:string.</w:t>
      </w:r>
    </w:p>
    <w:p w:rsidR="005F78FC" w:rsidRDefault="00B42EF3">
      <w:pPr>
        <w:pStyle w:val="Definition-Field2"/>
      </w:pPr>
      <w:r>
        <w:t>Offic</w:t>
      </w:r>
      <w:r>
        <w:t>e requires @defaultPivotStyle to be an xsd:string whose length is between 1 and 255 inclusive.</w:t>
      </w:r>
    </w:p>
    <w:p w:rsidR="005F78FC" w:rsidRDefault="00B42EF3">
      <w:pPr>
        <w:pStyle w:val="Heading3"/>
      </w:pPr>
      <w:bookmarkStart w:id="1460" w:name="section_68362a4b55894504b566e8154dce1de3"/>
      <w:bookmarkStart w:id="1461" w:name="_Toc69878503"/>
      <w:r>
        <w:t>Part 1 Section 18.8.45, xf (Format)</w:t>
      </w:r>
      <w:bookmarkEnd w:id="1460"/>
      <w:bookmarkEnd w:id="1461"/>
      <w:r>
        <w:fldChar w:fldCharType="begin"/>
      </w:r>
      <w:r>
        <w:instrText xml:space="preserve"> XE "xf (Format)" </w:instrText>
      </w:r>
      <w:r>
        <w:fldChar w:fldCharType="end"/>
      </w:r>
    </w:p>
    <w:p w:rsidR="005F78FC" w:rsidRDefault="00B42EF3">
      <w:pPr>
        <w:pStyle w:val="Definition-Field"/>
      </w:pPr>
      <w:r>
        <w:t xml:space="preserve">a.   </w:t>
      </w:r>
      <w:r>
        <w:rPr>
          <w:i/>
        </w:rPr>
        <w:t xml:space="preserve">The standard does not define different behaviors for @applyAlignment depending on whether the xf is </w:t>
      </w:r>
      <w:r>
        <w:rPr>
          <w:i/>
        </w:rPr>
        <w:t>in the CellXfs element or the CellStyleXfs element.</w:t>
      </w:r>
    </w:p>
    <w:p w:rsidR="005F78FC" w:rsidRDefault="00B42EF3">
      <w:r>
        <w:t xml:space="preserve">For the </w:t>
      </w:r>
      <w:r>
        <w:rPr>
          <w:b/>
        </w:rPr>
        <w:t>cellStyleXfs</w:t>
      </w:r>
      <w:r>
        <w:t xml:space="preserve"> element, this boolean value indicates whether the alignment formatting specified for this </w:t>
      </w:r>
      <w:r>
        <w:rPr>
          <w:b/>
        </w:rPr>
        <w:t xml:space="preserve">xf </w:t>
      </w:r>
      <w:r>
        <w:t xml:space="preserve">is applied. The default value for </w:t>
      </w:r>
      <w:r>
        <w:rPr>
          <w:b/>
        </w:rPr>
        <w:t>applyAlignment</w:t>
      </w:r>
      <w:r>
        <w:t xml:space="preserve"> in </w:t>
      </w:r>
      <w:r>
        <w:rPr>
          <w:b/>
        </w:rPr>
        <w:t>cellStyleXfs</w:t>
      </w:r>
      <w:r>
        <w:t xml:space="preserve"> is true.</w:t>
      </w:r>
    </w:p>
    <w:p w:rsidR="005F78FC" w:rsidRDefault="00B42EF3">
      <w:r>
        <w:t xml:space="preserve">For the </w:t>
      </w:r>
      <w:r>
        <w:rPr>
          <w:b/>
        </w:rPr>
        <w:t>cellXfs</w:t>
      </w:r>
      <w:r>
        <w:t xml:space="preserve"> </w:t>
      </w:r>
      <w:r>
        <w:t xml:space="preserve">element, this boolean value indicates whether the alignment formatting in the xf is overwritten by changes to the </w:t>
      </w:r>
      <w:r>
        <w:rPr>
          <w:b/>
        </w:rPr>
        <w:t>cellStyleXfs</w:t>
      </w:r>
      <w:r>
        <w:t xml:space="preserve"> referenced by </w:t>
      </w:r>
      <w:r>
        <w:rPr>
          <w:b/>
        </w:rPr>
        <w:t>xfId</w:t>
      </w:r>
      <w:r>
        <w:t xml:space="preserve">. If </w:t>
      </w:r>
      <w:r>
        <w:rPr>
          <w:b/>
        </w:rPr>
        <w:t>applyAlignment</w:t>
      </w:r>
      <w:r>
        <w:t xml:space="preserve"> is false and the alignment formatting in the </w:t>
      </w:r>
      <w:r>
        <w:rPr>
          <w:b/>
        </w:rPr>
        <w:t>cellStyleXfs</w:t>
      </w:r>
      <w:r>
        <w:t xml:space="preserve"> changes, the new alignment format</w:t>
      </w:r>
      <w:r>
        <w:t xml:space="preserve">ting is set in the </w:t>
      </w:r>
      <w:r>
        <w:rPr>
          <w:b/>
        </w:rPr>
        <w:t>xf</w:t>
      </w:r>
      <w:r>
        <w:t xml:space="preserve"> as well. If </w:t>
      </w:r>
      <w:r>
        <w:rPr>
          <w:b/>
        </w:rPr>
        <w:t>applyAlignment</w:t>
      </w:r>
      <w:r>
        <w:t xml:space="preserve"> is true, then the </w:t>
      </w:r>
      <w:r>
        <w:rPr>
          <w:b/>
        </w:rPr>
        <w:t>xf</w:t>
      </w:r>
      <w:r>
        <w:t xml:space="preserve"> will retain its existing alignment formatting. If the alignment formatting in the </w:t>
      </w:r>
      <w:r>
        <w:rPr>
          <w:b/>
        </w:rPr>
        <w:t>cellXf</w:t>
      </w:r>
      <w:r>
        <w:t xml:space="preserve"> is different than the alignment formatting in the parent </w:t>
      </w:r>
      <w:r>
        <w:rPr>
          <w:b/>
        </w:rPr>
        <w:t>cellStyleXf</w:t>
      </w:r>
      <w:r>
        <w:t xml:space="preserve">, </w:t>
      </w:r>
      <w:r>
        <w:rPr>
          <w:b/>
        </w:rPr>
        <w:t>applyAlignment</w:t>
      </w:r>
      <w:r>
        <w:t xml:space="preserve"> shall be tru</w:t>
      </w:r>
      <w:r>
        <w:t xml:space="preserve">e. The default value for </w:t>
      </w:r>
      <w:r>
        <w:rPr>
          <w:b/>
        </w:rPr>
        <w:t>applyAlignment</w:t>
      </w:r>
      <w:r>
        <w:t xml:space="preserve"> in cellXfs element is false.</w:t>
      </w:r>
    </w:p>
    <w:p w:rsidR="005F78FC" w:rsidRDefault="00B42EF3">
      <w:pPr>
        <w:pStyle w:val="Definition-Field"/>
      </w:pPr>
      <w:r>
        <w:t xml:space="preserve">b.   </w:t>
      </w:r>
      <w:r>
        <w:rPr>
          <w:i/>
        </w:rPr>
        <w:t>The standard does not define different behaviors for @applyBorder depending on whether the xf is in the CellXfs element or the CellStyleXfs element.</w:t>
      </w:r>
    </w:p>
    <w:p w:rsidR="005F78FC" w:rsidRDefault="00B42EF3">
      <w:r>
        <w:t xml:space="preserve">For the </w:t>
      </w:r>
      <w:r>
        <w:rPr>
          <w:b/>
        </w:rPr>
        <w:t>cellStyleXfs</w:t>
      </w:r>
      <w:r>
        <w:t xml:space="preserve"> element, thi</w:t>
      </w:r>
      <w:r>
        <w:t xml:space="preserve">s boolean value indicates whether the border formatting specified for this </w:t>
      </w:r>
      <w:r>
        <w:rPr>
          <w:b/>
        </w:rPr>
        <w:t xml:space="preserve">xf </w:t>
      </w:r>
      <w:r>
        <w:t xml:space="preserve">is applied. The default value for </w:t>
      </w:r>
      <w:r>
        <w:rPr>
          <w:b/>
        </w:rPr>
        <w:t>applyBorder</w:t>
      </w:r>
      <w:r>
        <w:t xml:space="preserve"> in </w:t>
      </w:r>
      <w:r>
        <w:rPr>
          <w:b/>
        </w:rPr>
        <w:t>cellStyleXfs</w:t>
      </w:r>
      <w:r>
        <w:t xml:space="preserve"> is true.</w:t>
      </w:r>
    </w:p>
    <w:p w:rsidR="005F78FC" w:rsidRDefault="00B42EF3">
      <w:r>
        <w:t xml:space="preserve">For the </w:t>
      </w:r>
      <w:r>
        <w:rPr>
          <w:b/>
        </w:rPr>
        <w:t>cellXfs</w:t>
      </w:r>
      <w:r>
        <w:t xml:space="preserve"> element, this boolean value indicates whether the border formatting in the xf is overwritte</w:t>
      </w:r>
      <w:r>
        <w:t xml:space="preserve">n by changes to the </w:t>
      </w:r>
      <w:r>
        <w:rPr>
          <w:b/>
        </w:rPr>
        <w:t>cellStyleXfs</w:t>
      </w:r>
      <w:r>
        <w:t xml:space="preserve"> referenced by </w:t>
      </w:r>
      <w:r>
        <w:rPr>
          <w:b/>
        </w:rPr>
        <w:t>xfId</w:t>
      </w:r>
      <w:r>
        <w:t xml:space="preserve">. If </w:t>
      </w:r>
      <w:r>
        <w:rPr>
          <w:b/>
        </w:rPr>
        <w:t>applyBorder</w:t>
      </w:r>
      <w:r>
        <w:t xml:space="preserve"> is false and the border formatting in the </w:t>
      </w:r>
      <w:r>
        <w:rPr>
          <w:b/>
        </w:rPr>
        <w:t>cellStyleXfs</w:t>
      </w:r>
      <w:r>
        <w:t xml:space="preserve"> changes, the new border formatting is set in the </w:t>
      </w:r>
      <w:r>
        <w:rPr>
          <w:b/>
        </w:rPr>
        <w:t>xf</w:t>
      </w:r>
      <w:r>
        <w:t xml:space="preserve"> as well. If </w:t>
      </w:r>
      <w:r>
        <w:rPr>
          <w:b/>
        </w:rPr>
        <w:t>applyBorder</w:t>
      </w:r>
      <w:r>
        <w:t xml:space="preserve"> is true, then the </w:t>
      </w:r>
      <w:r>
        <w:rPr>
          <w:b/>
        </w:rPr>
        <w:t>xf</w:t>
      </w:r>
      <w:r>
        <w:t xml:space="preserve"> will retain its existing border form</w:t>
      </w:r>
      <w:r>
        <w:t xml:space="preserve">atting. If the border formatting in the </w:t>
      </w:r>
      <w:r>
        <w:rPr>
          <w:b/>
        </w:rPr>
        <w:t>cellXf</w:t>
      </w:r>
      <w:r>
        <w:t xml:space="preserve"> is different than the border formatting in the parent </w:t>
      </w:r>
      <w:r>
        <w:rPr>
          <w:b/>
        </w:rPr>
        <w:t>cellStyleXf</w:t>
      </w:r>
      <w:r>
        <w:t xml:space="preserve">, </w:t>
      </w:r>
      <w:r>
        <w:rPr>
          <w:b/>
        </w:rPr>
        <w:t>applyBorder</w:t>
      </w:r>
      <w:r>
        <w:t xml:space="preserve"> shall be true. The default value for </w:t>
      </w:r>
      <w:r>
        <w:rPr>
          <w:b/>
        </w:rPr>
        <w:t>applyBorder</w:t>
      </w:r>
      <w:r>
        <w:t xml:space="preserve"> in cellXfs element is false.</w:t>
      </w:r>
    </w:p>
    <w:p w:rsidR="005F78FC" w:rsidRDefault="00B42EF3">
      <w:pPr>
        <w:pStyle w:val="Definition-Field"/>
      </w:pPr>
      <w:r>
        <w:t xml:space="preserve">c.   </w:t>
      </w:r>
      <w:r>
        <w:rPr>
          <w:i/>
        </w:rPr>
        <w:t xml:space="preserve">The standard does not define different </w:t>
      </w:r>
      <w:r>
        <w:rPr>
          <w:i/>
        </w:rPr>
        <w:t>behaviors for @applyFill depending on whether the xf is in the CellXfs element or the CellStyleXfs element.</w:t>
      </w:r>
    </w:p>
    <w:p w:rsidR="005F78FC" w:rsidRDefault="00B42EF3">
      <w:r>
        <w:t xml:space="preserve">For the </w:t>
      </w:r>
      <w:r>
        <w:rPr>
          <w:b/>
        </w:rPr>
        <w:t>cellStyleXfs</w:t>
      </w:r>
      <w:r>
        <w:t xml:space="preserve"> element, this boolean value indicates whether the fill formatting specified for this </w:t>
      </w:r>
      <w:r>
        <w:rPr>
          <w:b/>
        </w:rPr>
        <w:t xml:space="preserve">xf </w:t>
      </w:r>
      <w:r>
        <w:t xml:space="preserve">is applied. The default value for </w:t>
      </w:r>
      <w:r>
        <w:rPr>
          <w:b/>
        </w:rPr>
        <w:t>apply</w:t>
      </w:r>
      <w:r>
        <w:rPr>
          <w:b/>
        </w:rPr>
        <w:t>Fill</w:t>
      </w:r>
      <w:r>
        <w:t xml:space="preserve"> in </w:t>
      </w:r>
      <w:r>
        <w:rPr>
          <w:b/>
        </w:rPr>
        <w:t>cellStyleXfs</w:t>
      </w:r>
      <w:r>
        <w:t xml:space="preserve"> is true.</w:t>
      </w:r>
    </w:p>
    <w:p w:rsidR="005F78FC" w:rsidRDefault="00B42EF3">
      <w:r>
        <w:t xml:space="preserve">For the </w:t>
      </w:r>
      <w:r>
        <w:rPr>
          <w:b/>
        </w:rPr>
        <w:t>cellXfs</w:t>
      </w:r>
      <w:r>
        <w:t xml:space="preserve"> element, this boolean value indicates whether the fill formatting in the xf is overwritten by changes to the </w:t>
      </w:r>
      <w:r>
        <w:rPr>
          <w:b/>
        </w:rPr>
        <w:t>cellStyleXfs</w:t>
      </w:r>
      <w:r>
        <w:t xml:space="preserve"> referenced by </w:t>
      </w:r>
      <w:r>
        <w:rPr>
          <w:b/>
        </w:rPr>
        <w:t>xfId</w:t>
      </w:r>
      <w:r>
        <w:t xml:space="preserve">. If </w:t>
      </w:r>
      <w:r>
        <w:rPr>
          <w:b/>
        </w:rPr>
        <w:t>applyFill</w:t>
      </w:r>
      <w:r>
        <w:t xml:space="preserve"> is false and the fill formatting in the </w:t>
      </w:r>
      <w:r>
        <w:rPr>
          <w:b/>
        </w:rPr>
        <w:t>cellStyleXfs</w:t>
      </w:r>
      <w:r>
        <w:t xml:space="preserve"> ch</w:t>
      </w:r>
      <w:r>
        <w:t xml:space="preserve">anges, the new fill formatting is set in the </w:t>
      </w:r>
      <w:r>
        <w:rPr>
          <w:b/>
        </w:rPr>
        <w:t>xf</w:t>
      </w:r>
      <w:r>
        <w:t xml:space="preserve"> as well. If </w:t>
      </w:r>
      <w:r>
        <w:rPr>
          <w:b/>
        </w:rPr>
        <w:t>applyFill</w:t>
      </w:r>
      <w:r>
        <w:t xml:space="preserve"> is true, then the </w:t>
      </w:r>
      <w:r>
        <w:rPr>
          <w:b/>
        </w:rPr>
        <w:t>xf</w:t>
      </w:r>
      <w:r>
        <w:t xml:space="preserve"> will retain its existing fill formatting. If the fill formatting in the </w:t>
      </w:r>
      <w:r>
        <w:rPr>
          <w:b/>
        </w:rPr>
        <w:t>cellXf</w:t>
      </w:r>
      <w:r>
        <w:t xml:space="preserve"> is different than the fill formatting in the parent </w:t>
      </w:r>
      <w:r>
        <w:rPr>
          <w:b/>
        </w:rPr>
        <w:t>cellStyleXf</w:t>
      </w:r>
      <w:r>
        <w:t xml:space="preserve">, </w:t>
      </w:r>
      <w:r>
        <w:rPr>
          <w:b/>
        </w:rPr>
        <w:t>applyFill</w:t>
      </w:r>
      <w:r>
        <w:t xml:space="preserve"> shall be tr</w:t>
      </w:r>
      <w:r>
        <w:t xml:space="preserve">ue. The default value for </w:t>
      </w:r>
      <w:r>
        <w:rPr>
          <w:b/>
        </w:rPr>
        <w:t>applyFill</w:t>
      </w:r>
      <w:r>
        <w:t xml:space="preserve"> in cellXfs element is false.</w:t>
      </w:r>
    </w:p>
    <w:p w:rsidR="005F78FC" w:rsidRDefault="00B42EF3">
      <w:pPr>
        <w:pStyle w:val="Definition-Field"/>
      </w:pPr>
      <w:r>
        <w:t xml:space="preserve">d.   </w:t>
      </w:r>
      <w:r>
        <w:rPr>
          <w:i/>
        </w:rPr>
        <w:t>The standard does not define different behaviors for @applyFont depending on whether the xf is in the CellXfs element or the CellStyleXfs element.</w:t>
      </w:r>
    </w:p>
    <w:p w:rsidR="005F78FC" w:rsidRDefault="00B42EF3">
      <w:r>
        <w:t xml:space="preserve">For the </w:t>
      </w:r>
      <w:r>
        <w:rPr>
          <w:b/>
        </w:rPr>
        <w:t>cellStyleXfs</w:t>
      </w:r>
      <w:r>
        <w:t xml:space="preserve"> element, this bool</w:t>
      </w:r>
      <w:r>
        <w:t xml:space="preserve">ean value indicates whether the font formatting specified for this </w:t>
      </w:r>
      <w:r>
        <w:rPr>
          <w:b/>
        </w:rPr>
        <w:t xml:space="preserve">xf </w:t>
      </w:r>
      <w:r>
        <w:t xml:space="preserve">is applied. The default value for </w:t>
      </w:r>
      <w:r>
        <w:rPr>
          <w:b/>
        </w:rPr>
        <w:t>applyFont</w:t>
      </w:r>
      <w:r>
        <w:t xml:space="preserve"> in </w:t>
      </w:r>
      <w:r>
        <w:rPr>
          <w:b/>
        </w:rPr>
        <w:t>cellStyleXfs</w:t>
      </w:r>
      <w:r>
        <w:t xml:space="preserve"> is true.</w:t>
      </w:r>
    </w:p>
    <w:p w:rsidR="005F78FC" w:rsidRDefault="00B42EF3">
      <w:r>
        <w:t xml:space="preserve">For the </w:t>
      </w:r>
      <w:r>
        <w:rPr>
          <w:b/>
        </w:rPr>
        <w:t>cellXfs</w:t>
      </w:r>
      <w:r>
        <w:t xml:space="preserve"> element, this boolean value indicates whether the font formatting in the xf is overwritten by changes</w:t>
      </w:r>
      <w:r>
        <w:t xml:space="preserve"> to the </w:t>
      </w:r>
      <w:r>
        <w:rPr>
          <w:b/>
        </w:rPr>
        <w:t>cellStyleXfs</w:t>
      </w:r>
      <w:r>
        <w:t xml:space="preserve"> referenced by </w:t>
      </w:r>
      <w:r>
        <w:rPr>
          <w:b/>
        </w:rPr>
        <w:t>xfId</w:t>
      </w:r>
      <w:r>
        <w:t xml:space="preserve">. If </w:t>
      </w:r>
      <w:r>
        <w:rPr>
          <w:b/>
        </w:rPr>
        <w:t>applyFont</w:t>
      </w:r>
      <w:r>
        <w:t xml:space="preserve"> is false and the font formatting in the </w:t>
      </w:r>
      <w:r>
        <w:rPr>
          <w:b/>
        </w:rPr>
        <w:t>cellStyleXfs</w:t>
      </w:r>
      <w:r>
        <w:t xml:space="preserve"> changes, the new font formatting is set in the </w:t>
      </w:r>
      <w:r>
        <w:rPr>
          <w:b/>
        </w:rPr>
        <w:t>xf</w:t>
      </w:r>
      <w:r>
        <w:t xml:space="preserve"> as well. If </w:t>
      </w:r>
      <w:r>
        <w:rPr>
          <w:b/>
        </w:rPr>
        <w:t>applyFont</w:t>
      </w:r>
      <w:r>
        <w:t xml:space="preserve"> is true, then the </w:t>
      </w:r>
      <w:r>
        <w:rPr>
          <w:b/>
        </w:rPr>
        <w:t>xf</w:t>
      </w:r>
      <w:r>
        <w:t xml:space="preserve"> will retain its existing font formatting. If the font fo</w:t>
      </w:r>
      <w:r>
        <w:t xml:space="preserve">rmatting in the </w:t>
      </w:r>
      <w:r>
        <w:rPr>
          <w:b/>
        </w:rPr>
        <w:t>cellXf</w:t>
      </w:r>
      <w:r>
        <w:t xml:space="preserve"> is different than the font formatting in the parent </w:t>
      </w:r>
      <w:r>
        <w:rPr>
          <w:b/>
        </w:rPr>
        <w:t>cellStyleXf</w:t>
      </w:r>
      <w:r>
        <w:t xml:space="preserve">, </w:t>
      </w:r>
      <w:r>
        <w:rPr>
          <w:b/>
        </w:rPr>
        <w:t>applyFont</w:t>
      </w:r>
      <w:r>
        <w:t xml:space="preserve"> shall be true. The default value for </w:t>
      </w:r>
      <w:r>
        <w:rPr>
          <w:b/>
        </w:rPr>
        <w:t>applyFont</w:t>
      </w:r>
      <w:r>
        <w:t xml:space="preserve"> in cellXfs element is false.</w:t>
      </w:r>
    </w:p>
    <w:p w:rsidR="005F78FC" w:rsidRDefault="00B42EF3">
      <w:pPr>
        <w:pStyle w:val="Definition-Field"/>
      </w:pPr>
      <w:r>
        <w:lastRenderedPageBreak/>
        <w:t xml:space="preserve">e.   </w:t>
      </w:r>
      <w:r>
        <w:rPr>
          <w:i/>
        </w:rPr>
        <w:t>The standard does not define different behavior for @applyNumberFormat depend</w:t>
      </w:r>
      <w:r>
        <w:rPr>
          <w:i/>
        </w:rPr>
        <w:t>ing on whether the xf is in the CellXfs element or the CellStyleXfs element.</w:t>
      </w:r>
    </w:p>
    <w:p w:rsidR="005F78FC" w:rsidRDefault="00B42EF3">
      <w:r>
        <w:t xml:space="preserve">For the </w:t>
      </w:r>
      <w:r>
        <w:rPr>
          <w:b/>
        </w:rPr>
        <w:t>cellStyleXfs</w:t>
      </w:r>
      <w:r>
        <w:t xml:space="preserve"> element, this boolean value indicates whether the number formatting specified for this </w:t>
      </w:r>
      <w:r>
        <w:rPr>
          <w:b/>
        </w:rPr>
        <w:t xml:space="preserve">xf </w:t>
      </w:r>
      <w:r>
        <w:t xml:space="preserve">is applied. The default value for </w:t>
      </w:r>
      <w:r>
        <w:rPr>
          <w:b/>
        </w:rPr>
        <w:t>applyNumberFormat</w:t>
      </w:r>
      <w:r>
        <w:t xml:space="preserve"> in </w:t>
      </w:r>
      <w:r>
        <w:rPr>
          <w:b/>
        </w:rPr>
        <w:t>cellStyleXfs</w:t>
      </w:r>
      <w:r>
        <w:t xml:space="preserve"> </w:t>
      </w:r>
      <w:r>
        <w:t>is true.</w:t>
      </w:r>
    </w:p>
    <w:p w:rsidR="005F78FC" w:rsidRDefault="00B42EF3">
      <w:r>
        <w:t xml:space="preserve">For the </w:t>
      </w:r>
      <w:r>
        <w:rPr>
          <w:b/>
        </w:rPr>
        <w:t>cellXfs</w:t>
      </w:r>
      <w:r>
        <w:t xml:space="preserve"> element, this boolean value indicates whether the number formatting in the xf is overwritten by changes to the </w:t>
      </w:r>
      <w:r>
        <w:rPr>
          <w:b/>
        </w:rPr>
        <w:t>cellStyleXfs</w:t>
      </w:r>
      <w:r>
        <w:t xml:space="preserve"> referenced by </w:t>
      </w:r>
      <w:r>
        <w:rPr>
          <w:b/>
        </w:rPr>
        <w:t>xfId</w:t>
      </w:r>
      <w:r>
        <w:t xml:space="preserve">. If </w:t>
      </w:r>
      <w:r>
        <w:rPr>
          <w:b/>
        </w:rPr>
        <w:t>applyNumberFormat</w:t>
      </w:r>
      <w:r>
        <w:t xml:space="preserve"> is false and the number formatting in the </w:t>
      </w:r>
      <w:r>
        <w:rPr>
          <w:b/>
        </w:rPr>
        <w:t>cellStyleXfs</w:t>
      </w:r>
      <w:r>
        <w:t xml:space="preserve"> changes, the new number formatting is set in the </w:t>
      </w:r>
      <w:r>
        <w:rPr>
          <w:b/>
        </w:rPr>
        <w:t>xf</w:t>
      </w:r>
      <w:r>
        <w:t xml:space="preserve"> as well. If </w:t>
      </w:r>
      <w:r>
        <w:rPr>
          <w:b/>
        </w:rPr>
        <w:t>applyNumberFormat</w:t>
      </w:r>
      <w:r>
        <w:t xml:space="preserve"> is true, then the </w:t>
      </w:r>
      <w:r>
        <w:rPr>
          <w:b/>
        </w:rPr>
        <w:t>xf</w:t>
      </w:r>
      <w:r>
        <w:t xml:space="preserve"> will retain its existing number formatting. If the number formatting in the </w:t>
      </w:r>
      <w:r>
        <w:rPr>
          <w:b/>
        </w:rPr>
        <w:t>cellXf</w:t>
      </w:r>
      <w:r>
        <w:t xml:space="preserve"> is different than the number formatting in the parent </w:t>
      </w:r>
      <w:r>
        <w:rPr>
          <w:b/>
        </w:rPr>
        <w:t>cellStyleXf</w:t>
      </w:r>
      <w:r>
        <w:t xml:space="preserve">, </w:t>
      </w:r>
      <w:r>
        <w:rPr>
          <w:b/>
        </w:rPr>
        <w:t>ap</w:t>
      </w:r>
      <w:r>
        <w:rPr>
          <w:b/>
        </w:rPr>
        <w:t>plyNumberFormat</w:t>
      </w:r>
      <w:r>
        <w:t xml:space="preserve"> shall be true. The default value for </w:t>
      </w:r>
      <w:r>
        <w:rPr>
          <w:b/>
        </w:rPr>
        <w:t>applyNumberFormat</w:t>
      </w:r>
      <w:r>
        <w:t xml:space="preserve"> in cellXfs element is false.</w:t>
      </w:r>
    </w:p>
    <w:p w:rsidR="005F78FC" w:rsidRDefault="00B42EF3">
      <w:pPr>
        <w:pStyle w:val="Definition-Field"/>
      </w:pPr>
      <w:r>
        <w:t xml:space="preserve">f.   </w:t>
      </w:r>
      <w:r>
        <w:rPr>
          <w:i/>
        </w:rPr>
        <w:t xml:space="preserve">The standard does not define different behaviors for @applyProtection depending on whether the xf is in the CellXfs element or the CellStyleXfs </w:t>
      </w:r>
      <w:r>
        <w:rPr>
          <w:i/>
        </w:rPr>
        <w:t>element.</w:t>
      </w:r>
    </w:p>
    <w:p w:rsidR="005F78FC" w:rsidRDefault="00B42EF3">
      <w:r>
        <w:t xml:space="preserve">For the </w:t>
      </w:r>
      <w:r>
        <w:rPr>
          <w:b/>
        </w:rPr>
        <w:t>cellStyleXfs</w:t>
      </w:r>
      <w:r>
        <w:t xml:space="preserve"> element, this boolean value indicates whether the protection formatting specified for this </w:t>
      </w:r>
      <w:r>
        <w:rPr>
          <w:b/>
        </w:rPr>
        <w:t xml:space="preserve">xf </w:t>
      </w:r>
      <w:r>
        <w:t xml:space="preserve">is applied. The default value for </w:t>
      </w:r>
      <w:r>
        <w:rPr>
          <w:b/>
        </w:rPr>
        <w:t>applyProtection</w:t>
      </w:r>
      <w:r>
        <w:t xml:space="preserve"> in </w:t>
      </w:r>
      <w:r>
        <w:rPr>
          <w:b/>
        </w:rPr>
        <w:t>cellStyleXfs</w:t>
      </w:r>
      <w:r>
        <w:t xml:space="preserve"> is true.</w:t>
      </w:r>
    </w:p>
    <w:p w:rsidR="005F78FC" w:rsidRDefault="00B42EF3">
      <w:r>
        <w:t xml:space="preserve">For the </w:t>
      </w:r>
      <w:r>
        <w:rPr>
          <w:b/>
        </w:rPr>
        <w:t>cellXfs</w:t>
      </w:r>
      <w:r>
        <w:t xml:space="preserve"> element, this boolean value indicates whe</w:t>
      </w:r>
      <w:r>
        <w:t xml:space="preserve">ther the protection formatting in the xf is overwritten by changes to the </w:t>
      </w:r>
      <w:r>
        <w:rPr>
          <w:b/>
        </w:rPr>
        <w:t>cellStyleXfs</w:t>
      </w:r>
      <w:r>
        <w:t xml:space="preserve"> referenced by </w:t>
      </w:r>
      <w:r>
        <w:rPr>
          <w:b/>
        </w:rPr>
        <w:t>xfId</w:t>
      </w:r>
      <w:r>
        <w:t xml:space="preserve">. If </w:t>
      </w:r>
      <w:r>
        <w:rPr>
          <w:b/>
        </w:rPr>
        <w:t>applyProtection</w:t>
      </w:r>
      <w:r>
        <w:t xml:space="preserve"> is false and the protection formatting in the </w:t>
      </w:r>
      <w:r>
        <w:rPr>
          <w:b/>
        </w:rPr>
        <w:t>cellStyleXfs</w:t>
      </w:r>
      <w:r>
        <w:t xml:space="preserve"> changes, the new protection formatting is set in the </w:t>
      </w:r>
      <w:r>
        <w:rPr>
          <w:b/>
        </w:rPr>
        <w:t>xf</w:t>
      </w:r>
      <w:r>
        <w:t xml:space="preserve"> as well. If </w:t>
      </w:r>
      <w:r>
        <w:rPr>
          <w:b/>
        </w:rPr>
        <w:t>app</w:t>
      </w:r>
      <w:r>
        <w:rPr>
          <w:b/>
        </w:rPr>
        <w:t>lyProtection</w:t>
      </w:r>
      <w:r>
        <w:t xml:space="preserve"> is true, then the </w:t>
      </w:r>
      <w:r>
        <w:rPr>
          <w:b/>
        </w:rPr>
        <w:t>xf</w:t>
      </w:r>
      <w:r>
        <w:t xml:space="preserve"> will retain its existing protection formatting. If the protection formatting in the </w:t>
      </w:r>
      <w:r>
        <w:rPr>
          <w:b/>
        </w:rPr>
        <w:t>cellXf</w:t>
      </w:r>
      <w:r>
        <w:t xml:space="preserve"> is different than the protection formatting in the parent </w:t>
      </w:r>
      <w:r>
        <w:rPr>
          <w:b/>
        </w:rPr>
        <w:t>cellStyleXf</w:t>
      </w:r>
      <w:r>
        <w:t xml:space="preserve">, </w:t>
      </w:r>
      <w:r>
        <w:rPr>
          <w:b/>
        </w:rPr>
        <w:t>applyProtection</w:t>
      </w:r>
      <w:r>
        <w:t xml:space="preserve"> shall be true. The default value for </w:t>
      </w:r>
      <w:r>
        <w:rPr>
          <w:b/>
        </w:rPr>
        <w:t>applyPr</w:t>
      </w:r>
      <w:r>
        <w:rPr>
          <w:b/>
        </w:rPr>
        <w:t>otection</w:t>
      </w:r>
      <w:r>
        <w:t xml:space="preserve"> in cellXfs element is false.</w:t>
      </w:r>
    </w:p>
    <w:p w:rsidR="005F78FC" w:rsidRDefault="00B42EF3">
      <w:pPr>
        <w:pStyle w:val="Heading3"/>
      </w:pPr>
      <w:bookmarkStart w:id="1462" w:name="section_46da4c4114864b60a733c76cd8bd821a"/>
      <w:bookmarkStart w:id="1463" w:name="_Toc69878504"/>
      <w:r>
        <w:t>Part 1 Section 18.9.1, bk (Metadata Block)</w:t>
      </w:r>
      <w:bookmarkEnd w:id="1462"/>
      <w:bookmarkEnd w:id="1463"/>
      <w:r>
        <w:fldChar w:fldCharType="begin"/>
      </w:r>
      <w:r>
        <w:instrText xml:space="preserve"> XE "bk (Metadata Block)" </w:instrText>
      </w:r>
      <w:r>
        <w:fldChar w:fldCharType="end"/>
      </w:r>
    </w:p>
    <w:p w:rsidR="005F78FC" w:rsidRDefault="00B42EF3">
      <w:pPr>
        <w:pStyle w:val="Definition-Field"/>
      </w:pPr>
      <w:r>
        <w:t xml:space="preserve">a.   </w:t>
      </w:r>
      <w:r>
        <w:rPr>
          <w:i/>
        </w:rPr>
        <w:t>The standard does not place any restrictions on the ordering of rc child elements.</w:t>
      </w:r>
    </w:p>
    <w:p w:rsidR="005F78FC" w:rsidRDefault="00B42EF3">
      <w:pPr>
        <w:pStyle w:val="Definition-Field2"/>
      </w:pPr>
      <w:r>
        <w:t>Office requires that rc elements must be stored in the stri</w:t>
      </w:r>
      <w:r>
        <w:t>ctly increasing order of their metadata record type indexes.</w:t>
      </w:r>
    </w:p>
    <w:p w:rsidR="005F78FC" w:rsidRDefault="00B42EF3">
      <w:pPr>
        <w:pStyle w:val="Heading3"/>
      </w:pPr>
      <w:bookmarkStart w:id="1464" w:name="section_4b58be005a134a4786a265cfd44f3209"/>
      <w:bookmarkStart w:id="1465" w:name="_Toc69878505"/>
      <w:r>
        <w:t>Part 1 Section 18.9.3, cellMetadata (Cell Metadata)</w:t>
      </w:r>
      <w:bookmarkEnd w:id="1464"/>
      <w:bookmarkEnd w:id="1465"/>
      <w:r>
        <w:fldChar w:fldCharType="begin"/>
      </w:r>
      <w:r>
        <w:instrText xml:space="preserve"> XE "cellMetadata (Cell Metadata)"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b041ae678cdb46d28551e922106b987f">
        <w:r>
          <w:rPr>
            <w:rStyle w:val="Hyperlink"/>
          </w:rPr>
          <w:t>valueMetadata, §18.9.17(a)</w:t>
        </w:r>
      </w:hyperlink>
      <w:r>
        <w:rPr>
          <w:i/>
        </w:rPr>
        <w:t>.</w:t>
      </w:r>
    </w:p>
    <w:p w:rsidR="005F78FC" w:rsidRDefault="00B42EF3">
      <w:pPr>
        <w:pStyle w:val="Definition-Field"/>
      </w:pPr>
      <w:r>
        <w:t xml:space="preserve">a.   </w:t>
      </w:r>
      <w:r>
        <w:rPr>
          <w:i/>
        </w:rPr>
        <w:t>The standard states that the values of the count attribute are defined by the XML Schema unsignedInt datatype.</w:t>
      </w:r>
    </w:p>
    <w:p w:rsidR="005F78FC" w:rsidRDefault="00B42EF3">
      <w:pPr>
        <w:pStyle w:val="Definition-Field2"/>
      </w:pPr>
      <w:r>
        <w:t>Office requires that the count attribute has a maximum value of 2</w:t>
      </w:r>
      <w:r>
        <w:t>147483647.</w:t>
      </w:r>
    </w:p>
    <w:p w:rsidR="005F78FC" w:rsidRDefault="00B42EF3">
      <w:pPr>
        <w:pStyle w:val="Heading3"/>
      </w:pPr>
      <w:bookmarkStart w:id="1466" w:name="section_345477a385564e6c8ad0895a79f9048b"/>
      <w:bookmarkStart w:id="1467" w:name="_Toc69878506"/>
      <w:r>
        <w:t>Part 1 Section 18.9.4, futureMetadata (Future Metadata)</w:t>
      </w:r>
      <w:bookmarkEnd w:id="1466"/>
      <w:bookmarkEnd w:id="1467"/>
      <w:r>
        <w:fldChar w:fldCharType="begin"/>
      </w:r>
      <w:r>
        <w:instrText xml:space="preserve"> XE "futureMetadata (Future Metadata)" </w:instrText>
      </w:r>
      <w:r>
        <w:fldChar w:fldCharType="end"/>
      </w:r>
    </w:p>
    <w:p w:rsidR="005F78FC" w:rsidRDefault="00B42EF3">
      <w:pPr>
        <w:pStyle w:val="Definition-Field"/>
      </w:pPr>
      <w:r>
        <w:t xml:space="preserve">a.   </w:t>
      </w:r>
      <w:r>
        <w:rPr>
          <w:i/>
        </w:rPr>
        <w:t>The standard specifies that the values of the count attribute are defined by the XML Schema unsignedInt datatype.</w:t>
      </w:r>
    </w:p>
    <w:p w:rsidR="005F78FC" w:rsidRDefault="00B42EF3">
      <w:pPr>
        <w:pStyle w:val="Definition-Field2"/>
      </w:pPr>
      <w:r>
        <w:t>Office requires that @count h</w:t>
      </w:r>
      <w:r>
        <w:t>as a maximum value of 2147483647.</w:t>
      </w:r>
    </w:p>
    <w:p w:rsidR="005F78FC" w:rsidRDefault="00B42EF3">
      <w:pPr>
        <w:pStyle w:val="Definition-Field"/>
      </w:pPr>
      <w:r>
        <w:t xml:space="preserve">b.   </w:t>
      </w:r>
      <w:r>
        <w:rPr>
          <w:i/>
        </w:rPr>
        <w:t>The standard states that the name attribute is the metadata type name.</w:t>
      </w:r>
    </w:p>
    <w:p w:rsidR="005F78FC" w:rsidRDefault="00B42EF3">
      <w:pPr>
        <w:pStyle w:val="Definition-Field2"/>
      </w:pPr>
      <w:r>
        <w:t>Office requires this name must be equal to the name attribute of one of the metadataType records in the metadataTypes collection. This name must be unique among all futureMetadata records and MUST NOT equal XLMDX. Excel reserves names that begin with XL. F</w:t>
      </w:r>
      <w:r>
        <w:t xml:space="preserve">or more information, see </w:t>
      </w:r>
      <w:hyperlink r:id="rId131" w:anchor="Section_2c5dee00eff24b2292b60738acd4475e">
        <w:r>
          <w:rPr>
            <w:rStyle w:val="Hyperlink"/>
          </w:rPr>
          <w:t>[MS-XLSX]</w:t>
        </w:r>
      </w:hyperlink>
      <w:r>
        <w:t xml:space="preserve"> section 2.2.4.4.</w:t>
      </w:r>
    </w:p>
    <w:p w:rsidR="005F78FC" w:rsidRDefault="00B42EF3">
      <w:pPr>
        <w:pStyle w:val="Definition-Field"/>
      </w:pPr>
      <w:r>
        <w:lastRenderedPageBreak/>
        <w:t xml:space="preserve">c.   </w:t>
      </w:r>
      <w:r>
        <w:rPr>
          <w:i/>
        </w:rPr>
        <w:t>The standard states that the possible values for the name attribute are defined by ST_Xstring simple type.</w:t>
      </w:r>
    </w:p>
    <w:p w:rsidR="005F78FC" w:rsidRDefault="00B42EF3">
      <w:pPr>
        <w:pStyle w:val="Definition-Field2"/>
      </w:pPr>
      <w:r>
        <w:t>Office requir</w:t>
      </w:r>
      <w:r>
        <w:t>es that the name attribute be non-empty and less than or equal to 65535 characters.</w:t>
      </w:r>
    </w:p>
    <w:p w:rsidR="005F78FC" w:rsidRDefault="00B42EF3">
      <w:pPr>
        <w:pStyle w:val="Heading3"/>
      </w:pPr>
      <w:bookmarkStart w:id="1468" w:name="section_72e746c537b0480d9e663a179f03e108"/>
      <w:bookmarkStart w:id="1469" w:name="_Toc69878507"/>
      <w:r>
        <w:t>Part 1 Section 18.9.5, k (KPI MDX Metadata)</w:t>
      </w:r>
      <w:bookmarkEnd w:id="1468"/>
      <w:bookmarkEnd w:id="1469"/>
      <w:r>
        <w:fldChar w:fldCharType="begin"/>
      </w:r>
      <w:r>
        <w:instrText xml:space="preserve"> XE "k (KPI MDX Metadata)" </w:instrText>
      </w:r>
      <w:r>
        <w:fldChar w:fldCharType="end"/>
      </w:r>
    </w:p>
    <w:p w:rsidR="005F78FC" w:rsidRDefault="00B42EF3">
      <w:pPr>
        <w:pStyle w:val="Definition-Field"/>
      </w:pPr>
      <w:r>
        <w:t xml:space="preserve">a.   </w:t>
      </w:r>
      <w:r>
        <w:rPr>
          <w:i/>
        </w:rPr>
        <w:t>The standard does not specify the base of @n and @np.</w:t>
      </w:r>
    </w:p>
    <w:p w:rsidR="005F78FC" w:rsidRDefault="00B42EF3">
      <w:pPr>
        <w:pStyle w:val="Definition-Field2"/>
      </w:pPr>
      <w:r>
        <w:t>Office treats @n and @np as zero-based i</w:t>
      </w:r>
      <w:r>
        <w:t>ndexes into the metadataStrings collection.</w:t>
      </w:r>
    </w:p>
    <w:p w:rsidR="005F78FC" w:rsidRDefault="00B42EF3">
      <w:pPr>
        <w:pStyle w:val="Definition-Field"/>
      </w:pPr>
      <w:r>
        <w:t xml:space="preserve">b.   </w:t>
      </w:r>
      <w:r>
        <w:rPr>
          <w:i/>
        </w:rPr>
        <w:t>The standard states that the values of the n attribute are defined by the XML Schema unsignedInt datatype.</w:t>
      </w:r>
    </w:p>
    <w:p w:rsidR="005F78FC" w:rsidRDefault="00B42EF3">
      <w:pPr>
        <w:pStyle w:val="Definition-Field2"/>
      </w:pPr>
      <w:r>
        <w:t>Office requires that the n attribute has a maximum value of 2147483647.</w:t>
      </w:r>
    </w:p>
    <w:p w:rsidR="005F78FC" w:rsidRDefault="00B42EF3">
      <w:pPr>
        <w:pStyle w:val="Definition-Field"/>
      </w:pPr>
      <w:r>
        <w:t xml:space="preserve">c.   </w:t>
      </w:r>
      <w:r>
        <w:rPr>
          <w:i/>
        </w:rPr>
        <w:t>The standard states tha</w:t>
      </w:r>
      <w:r>
        <w:rPr>
          <w:i/>
        </w:rPr>
        <w:t>t the values of the np attribute are defined by the XML Schema unsignedInt datatype.</w:t>
      </w:r>
    </w:p>
    <w:p w:rsidR="005F78FC" w:rsidRDefault="00B42EF3">
      <w:pPr>
        <w:pStyle w:val="Definition-Field2"/>
      </w:pPr>
      <w:r>
        <w:t>Office requires that the np attribute has a maximum value of 2147483647.</w:t>
      </w:r>
    </w:p>
    <w:p w:rsidR="005F78FC" w:rsidRDefault="00B42EF3">
      <w:pPr>
        <w:pStyle w:val="Heading3"/>
      </w:pPr>
      <w:bookmarkStart w:id="1470" w:name="section_81b51cf7164b4891954ecb4e39ee088d"/>
      <w:bookmarkStart w:id="1471" w:name="_Toc69878508"/>
      <w:r>
        <w:t>Part 1 Section 18.9.6, mdx (MDX Metadata Record)</w:t>
      </w:r>
      <w:bookmarkEnd w:id="1470"/>
      <w:bookmarkEnd w:id="1471"/>
      <w:r>
        <w:fldChar w:fldCharType="begin"/>
      </w:r>
      <w:r>
        <w:instrText xml:space="preserve"> XE "mdx (MDX Metadata Record)" </w:instrText>
      </w:r>
      <w:r>
        <w:fldChar w:fldCharType="end"/>
      </w:r>
    </w:p>
    <w:p w:rsidR="005F78FC" w:rsidRDefault="00B42EF3">
      <w:pPr>
        <w:pStyle w:val="Definition-Field"/>
      </w:pPr>
      <w:r>
        <w:t xml:space="preserve">a.   </w:t>
      </w:r>
      <w:r>
        <w:rPr>
          <w:i/>
        </w:rPr>
        <w:t>The standa</w:t>
      </w:r>
      <w:r>
        <w:rPr>
          <w:i/>
        </w:rPr>
        <w:t>rd states that the values of the n attribute are defined by the XML Schema unsignedInt datatype.</w:t>
      </w:r>
    </w:p>
    <w:p w:rsidR="005F78FC" w:rsidRDefault="00B42EF3">
      <w:pPr>
        <w:pStyle w:val="Definition-Field2"/>
      </w:pPr>
      <w:r>
        <w:t>Office requires that the n attribute has a maximum value of 2147483647.</w:t>
      </w:r>
    </w:p>
    <w:p w:rsidR="005F78FC" w:rsidRDefault="00B42EF3">
      <w:pPr>
        <w:pStyle w:val="Heading3"/>
      </w:pPr>
      <w:bookmarkStart w:id="1472" w:name="section_d374e3ff60bd40e1baf558234957b0af"/>
      <w:bookmarkStart w:id="1473" w:name="_Toc69878509"/>
      <w:r>
        <w:t>Part 1 Section 18.9.7, mdxMetadata (MDX Metadata Information)</w:t>
      </w:r>
      <w:bookmarkEnd w:id="1472"/>
      <w:bookmarkEnd w:id="1473"/>
      <w:r>
        <w:fldChar w:fldCharType="begin"/>
      </w:r>
      <w:r>
        <w:instrText xml:space="preserve"> XE "mdxMetadata (MDX Meta</w:instrText>
      </w:r>
      <w:r>
        <w:instrText xml:space="preserve">data Information)" </w:instrText>
      </w:r>
      <w:r>
        <w:fldChar w:fldCharType="end"/>
      </w:r>
    </w:p>
    <w:p w:rsidR="005F78FC" w:rsidRDefault="00B42EF3">
      <w:pPr>
        <w:pStyle w:val="Definition-Field"/>
      </w:pPr>
      <w:r>
        <w:t xml:space="preserve">a.   </w:t>
      </w:r>
      <w:r>
        <w:rPr>
          <w:i/>
        </w:rPr>
        <w:t>The standard states that the values of the count attribute are defined by the XML Schema unsignedInt datetype.</w:t>
      </w:r>
    </w:p>
    <w:p w:rsidR="005F78FC" w:rsidRDefault="00B42EF3">
      <w:pPr>
        <w:pStyle w:val="Definition-Field2"/>
      </w:pPr>
      <w:r>
        <w:t>Office requires that @count has a maximum value of 2147483647.</w:t>
      </w:r>
    </w:p>
    <w:p w:rsidR="005F78FC" w:rsidRDefault="00B42EF3">
      <w:pPr>
        <w:pStyle w:val="Heading3"/>
      </w:pPr>
      <w:bookmarkStart w:id="1474" w:name="section_b8398e62febd49e984731b829a8dae62"/>
      <w:bookmarkStart w:id="1475" w:name="_Toc69878510"/>
      <w:r>
        <w:t>Part 1 Section 18.9.9, metadataStrings (Metadata String Store)</w:t>
      </w:r>
      <w:bookmarkEnd w:id="1474"/>
      <w:bookmarkEnd w:id="1475"/>
      <w:r>
        <w:fldChar w:fldCharType="begin"/>
      </w:r>
      <w:r>
        <w:instrText xml:space="preserve"> XE "metadataStrings (Metadata String Store)" </w:instrText>
      </w:r>
      <w:r>
        <w:fldChar w:fldCharType="end"/>
      </w:r>
    </w:p>
    <w:p w:rsidR="005F78FC" w:rsidRDefault="00B42EF3">
      <w:pPr>
        <w:pStyle w:val="Definition-Field"/>
      </w:pPr>
      <w:r>
        <w:t xml:space="preserve">a.   </w:t>
      </w:r>
      <w:r>
        <w:rPr>
          <w:i/>
        </w:rPr>
        <w:t>The standard specifies that the values of the count attribute are defined by the XML Schema unsignedInt datatype.</w:t>
      </w:r>
    </w:p>
    <w:p w:rsidR="005F78FC" w:rsidRDefault="00B42EF3">
      <w:pPr>
        <w:pStyle w:val="Definition-Field2"/>
      </w:pPr>
      <w:r>
        <w:t>Office requires that @coun</w:t>
      </w:r>
      <w:r>
        <w:t>t has a maximum value of 2147483647.</w:t>
      </w:r>
    </w:p>
    <w:p w:rsidR="005F78FC" w:rsidRDefault="00B42EF3">
      <w:pPr>
        <w:pStyle w:val="Heading3"/>
      </w:pPr>
      <w:bookmarkStart w:id="1476" w:name="section_130fa123a3b942f5adf52f44067facf5"/>
      <w:bookmarkStart w:id="1477" w:name="_Toc69878511"/>
      <w:r>
        <w:t>Part 1 Section 18.9.10, metadataType (Metadata Type Information)</w:t>
      </w:r>
      <w:bookmarkEnd w:id="1476"/>
      <w:bookmarkEnd w:id="1477"/>
      <w:r>
        <w:fldChar w:fldCharType="begin"/>
      </w:r>
      <w:r>
        <w:instrText xml:space="preserve"> XE "metadataType (Metadata Type Information)" </w:instrText>
      </w:r>
      <w:r>
        <w:fldChar w:fldCharType="end"/>
      </w:r>
    </w:p>
    <w:p w:rsidR="005F78FC" w:rsidRDefault="00B42EF3">
      <w:pPr>
        <w:pStyle w:val="Definition-Field"/>
      </w:pPr>
      <w:r>
        <w:t xml:space="preserve">a.   </w:t>
      </w:r>
      <w:r>
        <w:rPr>
          <w:i/>
        </w:rPr>
        <w:t>The standard specifies that the adjust attribute is true if metadata corresponding to a particular c</w:t>
      </w:r>
      <w:r>
        <w:rPr>
          <w:i/>
        </w:rPr>
        <w:t>ell needs to be notified when that cell's location is changed, false otherwise.</w:t>
      </w:r>
    </w:p>
    <w:p w:rsidR="005F78FC" w:rsidRDefault="00B42EF3">
      <w:pPr>
        <w:pStyle w:val="Definition-Field2"/>
      </w:pPr>
      <w:r>
        <w:t>Office does not respect the value of the adjust attribute.</w:t>
      </w:r>
    </w:p>
    <w:p w:rsidR="005F78FC" w:rsidRDefault="00B42EF3">
      <w:pPr>
        <w:pStyle w:val="Definition-Field"/>
      </w:pPr>
      <w:r>
        <w:t xml:space="preserve">b.   </w:t>
      </w:r>
      <w:r>
        <w:rPr>
          <w:i/>
        </w:rPr>
        <w:t>The standard specifies that the assign attribute is true when metadata should be propagated by assignment, false</w:t>
      </w:r>
      <w:r>
        <w:rPr>
          <w:i/>
        </w:rPr>
        <w:t xml:space="preserve"> otherwise.</w:t>
      </w:r>
    </w:p>
    <w:p w:rsidR="005F78FC" w:rsidRDefault="00B42EF3">
      <w:pPr>
        <w:pStyle w:val="Definition-Field2"/>
      </w:pPr>
      <w:r>
        <w:t>Office does not respect the value of the assign attribute.</w:t>
      </w:r>
    </w:p>
    <w:p w:rsidR="005F78FC" w:rsidRDefault="00B42EF3">
      <w:pPr>
        <w:pStyle w:val="Definition-Field"/>
      </w:pPr>
      <w:r>
        <w:t xml:space="preserve">c.   </w:t>
      </w:r>
      <w:r>
        <w:rPr>
          <w:i/>
        </w:rPr>
        <w:t>The standard specifies that the clearAll attribute is true if the metadata persists after a clear all, false otherwise.</w:t>
      </w:r>
    </w:p>
    <w:p w:rsidR="005F78FC" w:rsidRDefault="00B42EF3">
      <w:pPr>
        <w:pStyle w:val="Definition-Field2"/>
      </w:pPr>
      <w:r>
        <w:t>Office does not respect the value of the clearAll attribute.</w:t>
      </w:r>
    </w:p>
    <w:p w:rsidR="005F78FC" w:rsidRDefault="00B42EF3">
      <w:pPr>
        <w:pStyle w:val="Definition-Field"/>
      </w:pPr>
      <w:r>
        <w:lastRenderedPageBreak/>
        <w:t xml:space="preserve">d.   </w:t>
      </w:r>
      <w:r>
        <w:rPr>
          <w:i/>
        </w:rPr>
        <w:t>The standard specifies that the coerce attribute is true if the value metadata is removed upon coercion, false otherwise.</w:t>
      </w:r>
    </w:p>
    <w:p w:rsidR="005F78FC" w:rsidRDefault="00B42EF3">
      <w:pPr>
        <w:pStyle w:val="Definition-Field2"/>
      </w:pPr>
      <w:r>
        <w:t>Office does not respect the value of the coerce attribute.</w:t>
      </w:r>
    </w:p>
    <w:p w:rsidR="005F78FC" w:rsidRDefault="00B42EF3">
      <w:pPr>
        <w:pStyle w:val="Definition-Field"/>
      </w:pPr>
      <w:r>
        <w:t xml:space="preserve">e.   </w:t>
      </w:r>
      <w:r>
        <w:rPr>
          <w:i/>
        </w:rPr>
        <w:t xml:space="preserve">The standard specifies that the ghostCol attribute is true when </w:t>
      </w:r>
      <w:r>
        <w:rPr>
          <w:i/>
        </w:rPr>
        <w:t>the metadata is copied to or from a ghost column, false otherwise.</w:t>
      </w:r>
    </w:p>
    <w:p w:rsidR="005F78FC" w:rsidRDefault="00B42EF3">
      <w:pPr>
        <w:pStyle w:val="Definition-Field2"/>
      </w:pPr>
      <w:r>
        <w:t>Office does not respect the value of the ghostCol attribute.</w:t>
      </w:r>
    </w:p>
    <w:p w:rsidR="005F78FC" w:rsidRDefault="00B42EF3">
      <w:pPr>
        <w:pStyle w:val="Definition-Field"/>
      </w:pPr>
      <w:r>
        <w:t xml:space="preserve">f.   </w:t>
      </w:r>
      <w:r>
        <w:rPr>
          <w:i/>
        </w:rPr>
        <w:t>The standard specifies that the ghostRow attribute is true when the metadata is copied to or from a ghost row, false otherw</w:t>
      </w:r>
      <w:r>
        <w:rPr>
          <w:i/>
        </w:rPr>
        <w:t>ise.</w:t>
      </w:r>
    </w:p>
    <w:p w:rsidR="005F78FC" w:rsidRDefault="00B42EF3">
      <w:pPr>
        <w:pStyle w:val="Definition-Field2"/>
      </w:pPr>
      <w:r>
        <w:t>Office does not respect the value of the ghostRow attribute.</w:t>
      </w:r>
    </w:p>
    <w:p w:rsidR="005F78FC" w:rsidRDefault="00B42EF3">
      <w:pPr>
        <w:pStyle w:val="Definition-Field"/>
      </w:pPr>
      <w:r>
        <w:t xml:space="preserve">g.   </w:t>
      </w:r>
      <w:r>
        <w:rPr>
          <w:i/>
        </w:rPr>
        <w:t>The standard specifies that merge is true if the metadata persists after a cell merge, false otherwise.</w:t>
      </w:r>
    </w:p>
    <w:p w:rsidR="005F78FC" w:rsidRDefault="00B42EF3">
      <w:pPr>
        <w:pStyle w:val="Definition-Field2"/>
      </w:pPr>
      <w:r>
        <w:t>Office does not respect the value of the merge attribute.</w:t>
      </w:r>
    </w:p>
    <w:p w:rsidR="005F78FC" w:rsidRDefault="00B42EF3">
      <w:pPr>
        <w:pStyle w:val="Definition-Field"/>
      </w:pPr>
      <w:r>
        <w:t xml:space="preserve">h.   </w:t>
      </w:r>
      <w:r>
        <w:rPr>
          <w:i/>
        </w:rPr>
        <w:t xml:space="preserve">The standard </w:t>
      </w:r>
      <w:r>
        <w:rPr>
          <w:i/>
        </w:rPr>
        <w:t>specifies that pasteAll is true when the metadata is populated on a Paste:All, false otherwise.</w:t>
      </w:r>
    </w:p>
    <w:p w:rsidR="005F78FC" w:rsidRDefault="00B42EF3">
      <w:pPr>
        <w:pStyle w:val="Definition-Field2"/>
      </w:pPr>
      <w:r>
        <w:t>Office does not respect the value of the pasteAll attribute.</w:t>
      </w:r>
    </w:p>
    <w:p w:rsidR="005F78FC" w:rsidRDefault="00B42EF3">
      <w:pPr>
        <w:pStyle w:val="Definition-Field"/>
      </w:pPr>
      <w:r>
        <w:t xml:space="preserve">i.   </w:t>
      </w:r>
      <w:r>
        <w:rPr>
          <w:i/>
        </w:rPr>
        <w:t>The standard specifies that pasteBorders is true when the metadata is populated when only bord</w:t>
      </w:r>
      <w:r>
        <w:rPr>
          <w:i/>
        </w:rPr>
        <w:t>ers are pasted, false otherwise.</w:t>
      </w:r>
    </w:p>
    <w:p w:rsidR="005F78FC" w:rsidRDefault="00B42EF3">
      <w:pPr>
        <w:pStyle w:val="Definition-Field2"/>
      </w:pPr>
      <w:r>
        <w:t>Office does not respect the value of the pasteBorders attribute.</w:t>
      </w:r>
    </w:p>
    <w:p w:rsidR="005F78FC" w:rsidRDefault="00B42EF3">
      <w:pPr>
        <w:pStyle w:val="Definition-Field"/>
      </w:pPr>
      <w:r>
        <w:t xml:space="preserve">j.   </w:t>
      </w:r>
      <w:r>
        <w:rPr>
          <w:i/>
        </w:rPr>
        <w:t>The standard specifies that pasteColWidths is true if the metadata is populated when only column widths are pasted, false otherwise.</w:t>
      </w:r>
    </w:p>
    <w:p w:rsidR="005F78FC" w:rsidRDefault="00B42EF3">
      <w:pPr>
        <w:pStyle w:val="Definition-Field2"/>
      </w:pPr>
      <w:r>
        <w:t>Office does not resp</w:t>
      </w:r>
      <w:r>
        <w:t>ect the value of the pasteColWidths attribute.</w:t>
      </w:r>
    </w:p>
    <w:p w:rsidR="005F78FC" w:rsidRDefault="00B42EF3">
      <w:pPr>
        <w:pStyle w:val="Definition-Field"/>
      </w:pPr>
      <w:r>
        <w:t xml:space="preserve">k.   </w:t>
      </w:r>
      <w:r>
        <w:rPr>
          <w:i/>
        </w:rPr>
        <w:t>The standard specifies that the pasteComments attribute is true when metadata is populated when only comments are pasted, false otherwise.</w:t>
      </w:r>
    </w:p>
    <w:p w:rsidR="005F78FC" w:rsidRDefault="00B42EF3">
      <w:pPr>
        <w:pStyle w:val="Definition-Field2"/>
      </w:pPr>
      <w:r>
        <w:t>Office does not respect the value of the pasteComments attribute.</w:t>
      </w:r>
    </w:p>
    <w:p w:rsidR="005F78FC" w:rsidRDefault="00B42EF3">
      <w:pPr>
        <w:pStyle w:val="Definition-Field"/>
      </w:pPr>
      <w:r>
        <w:t xml:space="preserve">l.   </w:t>
      </w:r>
      <w:r>
        <w:rPr>
          <w:i/>
        </w:rPr>
        <w:t>The standard specifies that the pasteDataValidation attribute is true when metadata is populated when only data validation is pasted, false otherwise.</w:t>
      </w:r>
    </w:p>
    <w:p w:rsidR="005F78FC" w:rsidRDefault="00B42EF3">
      <w:pPr>
        <w:pStyle w:val="Definition-Field2"/>
      </w:pPr>
      <w:r>
        <w:t>Office does not respect the value of the pasteDataValidation attribute.</w:t>
      </w:r>
    </w:p>
    <w:p w:rsidR="005F78FC" w:rsidRDefault="00B42EF3">
      <w:pPr>
        <w:pStyle w:val="Definition-Field"/>
      </w:pPr>
      <w:r>
        <w:t xml:space="preserve">m.   </w:t>
      </w:r>
      <w:r>
        <w:rPr>
          <w:i/>
        </w:rPr>
        <w:t>The standard specifies</w:t>
      </w:r>
      <w:r>
        <w:rPr>
          <w:i/>
        </w:rPr>
        <w:t xml:space="preserve"> that the pasteFormats attribute is true when metadata is populated when only formatting is pasted, false otherwise.</w:t>
      </w:r>
    </w:p>
    <w:p w:rsidR="005F78FC" w:rsidRDefault="00B42EF3">
      <w:pPr>
        <w:pStyle w:val="Definition-Field2"/>
      </w:pPr>
      <w:r>
        <w:t>Office does not respect the value of the pasteFormats attribute.</w:t>
      </w:r>
    </w:p>
    <w:p w:rsidR="005F78FC" w:rsidRDefault="00B42EF3">
      <w:pPr>
        <w:pStyle w:val="Definition-Field"/>
      </w:pPr>
      <w:r>
        <w:t xml:space="preserve">n.   </w:t>
      </w:r>
      <w:r>
        <w:rPr>
          <w:i/>
        </w:rPr>
        <w:t xml:space="preserve">The standard specifies that the pasteFormulas attribute is true when </w:t>
      </w:r>
      <w:r>
        <w:rPr>
          <w:i/>
        </w:rPr>
        <w:t>the metadata is populated when only formulas are pasted, false otherwise.</w:t>
      </w:r>
    </w:p>
    <w:p w:rsidR="005F78FC" w:rsidRDefault="00B42EF3">
      <w:pPr>
        <w:pStyle w:val="Definition-Field2"/>
      </w:pPr>
      <w:r>
        <w:t>Office does not respect the value of the pasteFormulas attribute.</w:t>
      </w:r>
    </w:p>
    <w:p w:rsidR="005F78FC" w:rsidRDefault="00B42EF3">
      <w:pPr>
        <w:pStyle w:val="Definition-Field"/>
      </w:pPr>
      <w:r>
        <w:t xml:space="preserve">o.   </w:t>
      </w:r>
      <w:r>
        <w:rPr>
          <w:i/>
        </w:rPr>
        <w:t>The standard specifies that the pasteNumberFormats attribute is true when metadata is populated when only numbe</w:t>
      </w:r>
      <w:r>
        <w:rPr>
          <w:i/>
        </w:rPr>
        <w:t>r formatting is pasted, false otherwise.</w:t>
      </w:r>
    </w:p>
    <w:p w:rsidR="005F78FC" w:rsidRDefault="00B42EF3">
      <w:pPr>
        <w:pStyle w:val="Definition-Field2"/>
      </w:pPr>
      <w:r>
        <w:t>Office does not respect the value of the pasteNumberFormats attribute.</w:t>
      </w:r>
    </w:p>
    <w:p w:rsidR="005F78FC" w:rsidRDefault="00B42EF3">
      <w:pPr>
        <w:pStyle w:val="Definition-Field"/>
      </w:pPr>
      <w:r>
        <w:t xml:space="preserve">p.   </w:t>
      </w:r>
      <w:r>
        <w:rPr>
          <w:i/>
        </w:rPr>
        <w:t>The standard specifies that the rowColShift attribute is true if the metadata persists after the cell has been shifted, false otherwise.</w:t>
      </w:r>
    </w:p>
    <w:p w:rsidR="005F78FC" w:rsidRDefault="00B42EF3">
      <w:pPr>
        <w:pStyle w:val="Definition-Field2"/>
      </w:pPr>
      <w:r>
        <w:lastRenderedPageBreak/>
        <w:t>Of</w:t>
      </w:r>
      <w:r>
        <w:t>fice does not respect the value of the rowColShift attribute.</w:t>
      </w:r>
    </w:p>
    <w:p w:rsidR="005F78FC" w:rsidRDefault="00B42EF3">
      <w:pPr>
        <w:pStyle w:val="Definition-Field"/>
      </w:pPr>
      <w:r>
        <w:t xml:space="preserve">q.   </w:t>
      </w:r>
      <w:r>
        <w:rPr>
          <w:i/>
        </w:rPr>
        <w:t>The standard specifies that the splitAll attribute is true if the metadata is copied to all new cells resulting from a split and false otherwise.</w:t>
      </w:r>
    </w:p>
    <w:p w:rsidR="005F78FC" w:rsidRDefault="00B42EF3">
      <w:pPr>
        <w:pStyle w:val="Definition-Field2"/>
      </w:pPr>
      <w:r>
        <w:t>Office does not respect the value of the sp</w:t>
      </w:r>
      <w:r>
        <w:t>litAll attribute.</w:t>
      </w:r>
    </w:p>
    <w:p w:rsidR="005F78FC" w:rsidRDefault="00B42EF3">
      <w:pPr>
        <w:pStyle w:val="Definition-Field"/>
      </w:pPr>
      <w:r>
        <w:t xml:space="preserve">r.   </w:t>
      </w:r>
      <w:r>
        <w:rPr>
          <w:i/>
        </w:rPr>
        <w:t>The standard specifies that the splitFirst attribute is true when the metadata from a split cell is only copied to the first resulting cell, false otherwise.</w:t>
      </w:r>
    </w:p>
    <w:p w:rsidR="005F78FC" w:rsidRDefault="00B42EF3">
      <w:pPr>
        <w:pStyle w:val="Definition-Field2"/>
      </w:pPr>
      <w:r>
        <w:t>Office does not respect the value of the splitFirst attribute.</w:t>
      </w:r>
    </w:p>
    <w:p w:rsidR="005F78FC" w:rsidRDefault="00B42EF3">
      <w:pPr>
        <w:pStyle w:val="Definition-Field"/>
      </w:pPr>
      <w:r>
        <w:t xml:space="preserve">s.   </w:t>
      </w:r>
      <w:r>
        <w:rPr>
          <w:i/>
        </w:rPr>
        <w:t>The sta</w:t>
      </w:r>
      <w:r>
        <w:rPr>
          <w:i/>
        </w:rPr>
        <w:t>ndard specifies that the clearComments attribute is true if the metadata persists after Clear:Comments, false otherwise.</w:t>
      </w:r>
    </w:p>
    <w:p w:rsidR="005F78FC" w:rsidRDefault="00B42EF3">
      <w:pPr>
        <w:pStyle w:val="Definition-Field2"/>
      </w:pPr>
      <w:r>
        <w:t>Office does not respect the value of the clearComments attribute.</w:t>
      </w:r>
    </w:p>
    <w:p w:rsidR="005F78FC" w:rsidRDefault="00B42EF3">
      <w:pPr>
        <w:pStyle w:val="Definition-Field"/>
      </w:pPr>
      <w:r>
        <w:t xml:space="preserve">t.   </w:t>
      </w:r>
      <w:r>
        <w:rPr>
          <w:i/>
        </w:rPr>
        <w:t xml:space="preserve">The standard specifies that the clearContents attribute is true </w:t>
      </w:r>
      <w:r>
        <w:rPr>
          <w:i/>
        </w:rPr>
        <w:t>if metadata persists after a "Clear: Contents" action, false otherwise.</w:t>
      </w:r>
    </w:p>
    <w:p w:rsidR="005F78FC" w:rsidRDefault="00B42EF3">
      <w:pPr>
        <w:pStyle w:val="Definition-Field2"/>
      </w:pPr>
      <w:r>
        <w:t>Office does not respect the value of the clearContents attribute.</w:t>
      </w:r>
    </w:p>
    <w:p w:rsidR="005F78FC" w:rsidRDefault="00B42EF3">
      <w:pPr>
        <w:pStyle w:val="Definition-Field"/>
      </w:pPr>
      <w:r>
        <w:t xml:space="preserve">u.   </w:t>
      </w:r>
      <w:r>
        <w:rPr>
          <w:i/>
        </w:rPr>
        <w:t>The standard does not restrict the value of the minSupportedVersion attribute when the name attribute equals XLMD</w:t>
      </w:r>
      <w:r>
        <w:rPr>
          <w:i/>
        </w:rPr>
        <w:t>X.</w:t>
      </w:r>
    </w:p>
    <w:p w:rsidR="005F78FC" w:rsidRDefault="00B42EF3">
      <w:pPr>
        <w:pStyle w:val="Definition-Field2"/>
      </w:pPr>
      <w:r>
        <w:t>Office requires that the value of the minSupportedVersion attribute shall be set to 120000 when the name attribute equals XLMDX.</w:t>
      </w:r>
    </w:p>
    <w:p w:rsidR="005F78FC" w:rsidRDefault="00B42EF3">
      <w:pPr>
        <w:pStyle w:val="Definition-Field"/>
      </w:pPr>
      <w:r>
        <w:t xml:space="preserve">v.   </w:t>
      </w:r>
      <w:r>
        <w:rPr>
          <w:i/>
        </w:rPr>
        <w:t>The standard does not restrict the value of the name attribute.</w:t>
      </w:r>
    </w:p>
    <w:p w:rsidR="005F78FC" w:rsidRDefault="00B42EF3">
      <w:pPr>
        <w:pStyle w:val="Definition-Field2"/>
      </w:pPr>
      <w:r>
        <w:t>Office requires that the value of the name attribute mu</w:t>
      </w:r>
      <w:r>
        <w:t>st be XLMDX for MDX metadata type and the name XLMDX cannot be used for future metadata type.</w:t>
      </w:r>
    </w:p>
    <w:p w:rsidR="005F78FC" w:rsidRDefault="00B42EF3">
      <w:pPr>
        <w:pStyle w:val="Definition-Field"/>
      </w:pPr>
      <w:r>
        <w:t xml:space="preserve">w.   </w:t>
      </w:r>
      <w:r>
        <w:rPr>
          <w:i/>
        </w:rPr>
        <w:t>The standard states that the possible values for the name attribute are defined by ST_Xstring simple type.</w:t>
      </w:r>
    </w:p>
    <w:p w:rsidR="005F78FC" w:rsidRDefault="00B42EF3">
      <w:pPr>
        <w:pStyle w:val="Definition-Field2"/>
      </w:pPr>
      <w:r>
        <w:t>Office requires that the name attribute be non-emp</w:t>
      </w:r>
      <w:r>
        <w:t>ty and less than or equal to 65535 characters.</w:t>
      </w:r>
    </w:p>
    <w:p w:rsidR="005F78FC" w:rsidRDefault="00B42EF3">
      <w:pPr>
        <w:pStyle w:val="Definition-Field"/>
      </w:pPr>
      <w:r>
        <w:t xml:space="preserve">x.   </w:t>
      </w:r>
      <w:r>
        <w:rPr>
          <w:i/>
        </w:rPr>
        <w:t>The standard does not restrict the value @adjust when @name=XLMDX.</w:t>
      </w:r>
    </w:p>
    <w:p w:rsidR="005F78FC" w:rsidRDefault="00B42EF3">
      <w:pPr>
        <w:pStyle w:val="Definition-Field2"/>
      </w:pPr>
      <w:r>
        <w:t>Office requires that the value @adjust shall not be true when @name=XLMDX.</w:t>
      </w:r>
    </w:p>
    <w:p w:rsidR="005F78FC" w:rsidRDefault="00B42EF3">
      <w:pPr>
        <w:pStyle w:val="Definition-Field"/>
      </w:pPr>
      <w:r>
        <w:t xml:space="preserve">y.   </w:t>
      </w:r>
      <w:r>
        <w:rPr>
          <w:i/>
        </w:rPr>
        <w:t>The standard does not restrict the value @assign when @na</w:t>
      </w:r>
      <w:r>
        <w:rPr>
          <w:i/>
        </w:rPr>
        <w:t>me=XLMDX.</w:t>
      </w:r>
    </w:p>
    <w:p w:rsidR="005F78FC" w:rsidRDefault="00B42EF3">
      <w:pPr>
        <w:pStyle w:val="Definition-Field2"/>
      </w:pPr>
      <w:r>
        <w:t>Office requires that the value @assign shall be true when @name=XLMDX.</w:t>
      </w:r>
    </w:p>
    <w:p w:rsidR="005F78FC" w:rsidRDefault="00B42EF3">
      <w:pPr>
        <w:pStyle w:val="Definition-Field"/>
      </w:pPr>
      <w:r>
        <w:t xml:space="preserve">z.   </w:t>
      </w:r>
      <w:r>
        <w:rPr>
          <w:i/>
        </w:rPr>
        <w:t>The standard does not restrict the value @cellMeta when @name=XLMDX.</w:t>
      </w:r>
    </w:p>
    <w:p w:rsidR="005F78FC" w:rsidRDefault="00B42EF3">
      <w:pPr>
        <w:pStyle w:val="Definition-Field2"/>
      </w:pPr>
      <w:r>
        <w:t>Office requires that the value @cellMeta shall not be true when @name=XLMDX.</w:t>
      </w:r>
    </w:p>
    <w:p w:rsidR="005F78FC" w:rsidRDefault="00B42EF3">
      <w:pPr>
        <w:pStyle w:val="Definition-Field"/>
      </w:pPr>
      <w:r>
        <w:t xml:space="preserve">aa.  </w:t>
      </w:r>
      <w:r>
        <w:rPr>
          <w:i/>
        </w:rPr>
        <w:t xml:space="preserve">The standard does </w:t>
      </w:r>
      <w:r>
        <w:rPr>
          <w:i/>
        </w:rPr>
        <w:t>not restrict the value @clearAll when @name=XLMDX.</w:t>
      </w:r>
    </w:p>
    <w:p w:rsidR="005F78FC" w:rsidRDefault="00B42EF3">
      <w:pPr>
        <w:pStyle w:val="Definition-Field2"/>
      </w:pPr>
      <w:r>
        <w:t>Office requires that the value @clearAll shall not be true when @name=XLMDX.</w:t>
      </w:r>
    </w:p>
    <w:p w:rsidR="005F78FC" w:rsidRDefault="00B42EF3">
      <w:pPr>
        <w:pStyle w:val="Definition-Field"/>
      </w:pPr>
      <w:r>
        <w:t xml:space="preserve">bb.  </w:t>
      </w:r>
      <w:r>
        <w:rPr>
          <w:i/>
        </w:rPr>
        <w:t>The standard does not restrict the value @clearComments when @name=XLMDX.</w:t>
      </w:r>
    </w:p>
    <w:p w:rsidR="005F78FC" w:rsidRDefault="00B42EF3">
      <w:pPr>
        <w:pStyle w:val="Definition-Field2"/>
      </w:pPr>
      <w:r>
        <w:t xml:space="preserve">Office requires that the value @clearComments </w:t>
      </w:r>
      <w:r>
        <w:t>shall be true when @name=XLMDX.</w:t>
      </w:r>
    </w:p>
    <w:p w:rsidR="005F78FC" w:rsidRDefault="00B42EF3">
      <w:pPr>
        <w:pStyle w:val="Definition-Field"/>
      </w:pPr>
      <w:r>
        <w:t xml:space="preserve">cc.  </w:t>
      </w:r>
      <w:r>
        <w:rPr>
          <w:i/>
        </w:rPr>
        <w:t>The standard does not restrict the value @clearContents when @name=XLMDX.</w:t>
      </w:r>
    </w:p>
    <w:p w:rsidR="005F78FC" w:rsidRDefault="00B42EF3">
      <w:pPr>
        <w:pStyle w:val="Definition-Field2"/>
      </w:pPr>
      <w:r>
        <w:t>Office requires that the value @clearContents shall not be true when @name=XLMDX.</w:t>
      </w:r>
    </w:p>
    <w:p w:rsidR="005F78FC" w:rsidRDefault="00B42EF3">
      <w:pPr>
        <w:pStyle w:val="Definition-Field"/>
      </w:pPr>
      <w:r>
        <w:t xml:space="preserve">dd.  </w:t>
      </w:r>
      <w:r>
        <w:rPr>
          <w:i/>
        </w:rPr>
        <w:t>The standard does not restrict the value @clearFormats whe</w:t>
      </w:r>
      <w:r>
        <w:rPr>
          <w:i/>
        </w:rPr>
        <w:t>n @name=XLMDX.</w:t>
      </w:r>
    </w:p>
    <w:p w:rsidR="005F78FC" w:rsidRDefault="00B42EF3">
      <w:pPr>
        <w:pStyle w:val="Definition-Field2"/>
      </w:pPr>
      <w:r>
        <w:lastRenderedPageBreak/>
        <w:t>Office requires that the value @clearFormats shall be true when @name=XLMDX.</w:t>
      </w:r>
    </w:p>
    <w:p w:rsidR="005F78FC" w:rsidRDefault="00B42EF3">
      <w:pPr>
        <w:pStyle w:val="Definition-Field"/>
      </w:pPr>
      <w:r>
        <w:t xml:space="preserve">ee.  </w:t>
      </w:r>
      <w:r>
        <w:rPr>
          <w:i/>
        </w:rPr>
        <w:t>The standard does not restrict the value @coerce when @name=XLMDX.</w:t>
      </w:r>
    </w:p>
    <w:p w:rsidR="005F78FC" w:rsidRDefault="00B42EF3">
      <w:pPr>
        <w:pStyle w:val="Definition-Field2"/>
      </w:pPr>
      <w:r>
        <w:t>Office requires that the value @coerce shall be true when @name=XLMDX.</w:t>
      </w:r>
    </w:p>
    <w:p w:rsidR="005F78FC" w:rsidRDefault="00B42EF3">
      <w:pPr>
        <w:pStyle w:val="Definition-Field"/>
      </w:pPr>
      <w:r>
        <w:t xml:space="preserve">ff.  </w:t>
      </w:r>
      <w:r>
        <w:rPr>
          <w:i/>
        </w:rPr>
        <w:t>The standard doe</w:t>
      </w:r>
      <w:r>
        <w:rPr>
          <w:i/>
        </w:rPr>
        <w:t>s not restrict the value @copy when @name=XLMDX.</w:t>
      </w:r>
    </w:p>
    <w:p w:rsidR="005F78FC" w:rsidRDefault="00B42EF3">
      <w:pPr>
        <w:pStyle w:val="Definition-Field2"/>
      </w:pPr>
      <w:r>
        <w:t>Office requires that the value @copy shall be true when @name=XLMDX.</w:t>
      </w:r>
    </w:p>
    <w:p w:rsidR="005F78FC" w:rsidRDefault="00B42EF3">
      <w:pPr>
        <w:pStyle w:val="Definition-Field"/>
      </w:pPr>
      <w:r>
        <w:t xml:space="preserve">gg.  </w:t>
      </w:r>
      <w:r>
        <w:rPr>
          <w:i/>
        </w:rPr>
        <w:t>The standard does not restrict the value @delete when @name=XLMDX.</w:t>
      </w:r>
    </w:p>
    <w:p w:rsidR="005F78FC" w:rsidRDefault="00B42EF3">
      <w:pPr>
        <w:pStyle w:val="Definition-Field2"/>
      </w:pPr>
      <w:r>
        <w:t>Office requires that the value @delete shall not be true when @nam</w:t>
      </w:r>
      <w:r>
        <w:t>e=XLMDX.</w:t>
      </w:r>
    </w:p>
    <w:p w:rsidR="005F78FC" w:rsidRDefault="00B42EF3">
      <w:pPr>
        <w:pStyle w:val="Definition-Field"/>
      </w:pPr>
      <w:r>
        <w:t xml:space="preserve">hh.  </w:t>
      </w:r>
      <w:r>
        <w:rPr>
          <w:i/>
        </w:rPr>
        <w:t>The standard does not restrict the value @edit when @name=XLMDX.</w:t>
      </w:r>
    </w:p>
    <w:p w:rsidR="005F78FC" w:rsidRDefault="00B42EF3">
      <w:pPr>
        <w:pStyle w:val="Definition-Field2"/>
      </w:pPr>
      <w:r>
        <w:t>Office requires that the value @edit shall not be true when @name=XLMDX.</w:t>
      </w:r>
    </w:p>
    <w:p w:rsidR="005F78FC" w:rsidRDefault="00B42EF3">
      <w:pPr>
        <w:pStyle w:val="Definition-Field"/>
      </w:pPr>
      <w:r>
        <w:t xml:space="preserve">ii.  </w:t>
      </w:r>
      <w:r>
        <w:rPr>
          <w:i/>
        </w:rPr>
        <w:t>The standard does not restrict the value @ghostCol when @name=XLMDX.</w:t>
      </w:r>
    </w:p>
    <w:p w:rsidR="005F78FC" w:rsidRDefault="00B42EF3">
      <w:pPr>
        <w:pStyle w:val="Definition-Field2"/>
      </w:pPr>
      <w:r>
        <w:t>Office requires that the value</w:t>
      </w:r>
      <w:r>
        <w:t xml:space="preserve"> @ghostCol shall not be true when @name=XLMDX.</w:t>
      </w:r>
    </w:p>
    <w:p w:rsidR="005F78FC" w:rsidRDefault="00B42EF3">
      <w:pPr>
        <w:pStyle w:val="Definition-Field"/>
      </w:pPr>
      <w:r>
        <w:t xml:space="preserve">jj.  </w:t>
      </w:r>
      <w:r>
        <w:rPr>
          <w:i/>
        </w:rPr>
        <w:t>The standard does not restrict the value @ghostRow when @name=XLMDX.</w:t>
      </w:r>
    </w:p>
    <w:p w:rsidR="005F78FC" w:rsidRDefault="00B42EF3">
      <w:pPr>
        <w:pStyle w:val="Definition-Field2"/>
      </w:pPr>
      <w:r>
        <w:t>Office requires that the value @ghostRow shall not be true when @name=XLMDX.</w:t>
      </w:r>
    </w:p>
    <w:p w:rsidR="005F78FC" w:rsidRDefault="00B42EF3">
      <w:pPr>
        <w:pStyle w:val="Definition-Field"/>
      </w:pPr>
      <w:r>
        <w:t xml:space="preserve">kk.  </w:t>
      </w:r>
      <w:r>
        <w:rPr>
          <w:i/>
        </w:rPr>
        <w:t xml:space="preserve">The standard does not restrict the value @merge when </w:t>
      </w:r>
      <w:r>
        <w:rPr>
          <w:i/>
        </w:rPr>
        <w:t>@name=XLMDX.</w:t>
      </w:r>
    </w:p>
    <w:p w:rsidR="005F78FC" w:rsidRDefault="00B42EF3">
      <w:pPr>
        <w:pStyle w:val="Definition-Field2"/>
      </w:pPr>
      <w:r>
        <w:t>Office requires that the value @merge shall be true when @name=XLMDX.</w:t>
      </w:r>
    </w:p>
    <w:p w:rsidR="005F78FC" w:rsidRDefault="00B42EF3">
      <w:pPr>
        <w:pStyle w:val="Definition-Field"/>
      </w:pPr>
      <w:r>
        <w:t xml:space="preserve">ll.  </w:t>
      </w:r>
      <w:r>
        <w:rPr>
          <w:i/>
        </w:rPr>
        <w:t>The standard does not restrict the value @pasteAll when @name=XLMDX.</w:t>
      </w:r>
    </w:p>
    <w:p w:rsidR="005F78FC" w:rsidRDefault="00B42EF3">
      <w:pPr>
        <w:pStyle w:val="Definition-Field2"/>
      </w:pPr>
      <w:r>
        <w:t>Office requires that the value @pasteAll shall be true when @name=XLMDX.</w:t>
      </w:r>
    </w:p>
    <w:p w:rsidR="005F78FC" w:rsidRDefault="00B42EF3">
      <w:pPr>
        <w:pStyle w:val="Definition-Field"/>
      </w:pPr>
      <w:r>
        <w:t xml:space="preserve">mm.  </w:t>
      </w:r>
      <w:r>
        <w:rPr>
          <w:i/>
        </w:rPr>
        <w:t>The standard does not</w:t>
      </w:r>
      <w:r>
        <w:rPr>
          <w:i/>
        </w:rPr>
        <w:t xml:space="preserve"> restrict the value @pasteBorders when @name=XLMDX.</w:t>
      </w:r>
    </w:p>
    <w:p w:rsidR="005F78FC" w:rsidRDefault="00B42EF3">
      <w:pPr>
        <w:pStyle w:val="Definition-Field2"/>
      </w:pPr>
      <w:r>
        <w:t>Office requires that the value @pasteBorders shall not be true when @name=XLMDX.</w:t>
      </w:r>
    </w:p>
    <w:p w:rsidR="005F78FC" w:rsidRDefault="00B42EF3">
      <w:pPr>
        <w:pStyle w:val="Definition-Field"/>
      </w:pPr>
      <w:r>
        <w:t xml:space="preserve">nn.  </w:t>
      </w:r>
      <w:r>
        <w:rPr>
          <w:i/>
        </w:rPr>
        <w:t>The standard does not restrict the value @pasteColWidths when @name=XLMDX.</w:t>
      </w:r>
    </w:p>
    <w:p w:rsidR="005F78FC" w:rsidRDefault="00B42EF3">
      <w:pPr>
        <w:pStyle w:val="Definition-Field2"/>
      </w:pPr>
      <w:r>
        <w:t>Office requires that the value @pasteColWid</w:t>
      </w:r>
      <w:r>
        <w:t>ths shall not be true when @name=XLMDX.</w:t>
      </w:r>
    </w:p>
    <w:p w:rsidR="005F78FC" w:rsidRDefault="00B42EF3">
      <w:pPr>
        <w:pStyle w:val="Definition-Field"/>
      </w:pPr>
      <w:r>
        <w:t xml:space="preserve">oo.  </w:t>
      </w:r>
      <w:r>
        <w:rPr>
          <w:i/>
        </w:rPr>
        <w:t>The standard does not restrict the value @pasteComments when @name=XLMDX.</w:t>
      </w:r>
    </w:p>
    <w:p w:rsidR="005F78FC" w:rsidRDefault="00B42EF3">
      <w:pPr>
        <w:pStyle w:val="Definition-Field2"/>
      </w:pPr>
      <w:r>
        <w:t>Office requires that the value @pasteComments shall not be true when @name=XLMDX.</w:t>
      </w:r>
    </w:p>
    <w:p w:rsidR="005F78FC" w:rsidRDefault="00B42EF3">
      <w:pPr>
        <w:pStyle w:val="Definition-Field"/>
      </w:pPr>
      <w:r>
        <w:t xml:space="preserve">pp.  </w:t>
      </w:r>
      <w:r>
        <w:rPr>
          <w:i/>
        </w:rPr>
        <w:t xml:space="preserve">The standard does not restrict the value </w:t>
      </w:r>
      <w:r>
        <w:rPr>
          <w:i/>
        </w:rPr>
        <w:t>@pasteDataValidation when @name=XLMDX.</w:t>
      </w:r>
    </w:p>
    <w:p w:rsidR="005F78FC" w:rsidRDefault="00B42EF3">
      <w:pPr>
        <w:pStyle w:val="Definition-Field2"/>
      </w:pPr>
      <w:r>
        <w:t>Office requires that the value @pasteDataValidation shall not be true when @name=XLMDX.</w:t>
      </w:r>
    </w:p>
    <w:p w:rsidR="005F78FC" w:rsidRDefault="00B42EF3">
      <w:pPr>
        <w:pStyle w:val="Definition-Field"/>
      </w:pPr>
      <w:r>
        <w:t xml:space="preserve">qq.  </w:t>
      </w:r>
      <w:r>
        <w:rPr>
          <w:i/>
        </w:rPr>
        <w:t>The standard does not restrict the value @pasteFormats when @name=XLMDX.</w:t>
      </w:r>
    </w:p>
    <w:p w:rsidR="005F78FC" w:rsidRDefault="00B42EF3">
      <w:pPr>
        <w:pStyle w:val="Definition-Field2"/>
      </w:pPr>
      <w:r>
        <w:t xml:space="preserve">Office requires that the value @pasteFormats shall </w:t>
      </w:r>
      <w:r>
        <w:t>not be true when @name=XLMDX.</w:t>
      </w:r>
    </w:p>
    <w:p w:rsidR="005F78FC" w:rsidRDefault="00B42EF3">
      <w:pPr>
        <w:pStyle w:val="Definition-Field"/>
      </w:pPr>
      <w:r>
        <w:t xml:space="preserve">rr.  </w:t>
      </w:r>
      <w:r>
        <w:rPr>
          <w:i/>
        </w:rPr>
        <w:t>The standard does not restrict the value @pasteFormulas when @name=XLMDX.</w:t>
      </w:r>
    </w:p>
    <w:p w:rsidR="005F78FC" w:rsidRDefault="00B42EF3">
      <w:pPr>
        <w:pStyle w:val="Definition-Field2"/>
      </w:pPr>
      <w:r>
        <w:t>Office requires that the value @pasteFormulas shall not be true when @name=XLMDX.</w:t>
      </w:r>
    </w:p>
    <w:p w:rsidR="005F78FC" w:rsidRDefault="00B42EF3">
      <w:pPr>
        <w:pStyle w:val="Definition-Field"/>
      </w:pPr>
      <w:r>
        <w:t xml:space="preserve">ss.  </w:t>
      </w:r>
      <w:r>
        <w:rPr>
          <w:i/>
        </w:rPr>
        <w:t>The standard does not restrict the value @pasteValues when @</w:t>
      </w:r>
      <w:r>
        <w:rPr>
          <w:i/>
        </w:rPr>
        <w:t>name=XLMDX.</w:t>
      </w:r>
    </w:p>
    <w:p w:rsidR="005F78FC" w:rsidRDefault="00B42EF3">
      <w:pPr>
        <w:pStyle w:val="Definition-Field2"/>
      </w:pPr>
      <w:r>
        <w:t>Office requires that the value @pasteValues shall be true when @name=XLMDX.</w:t>
      </w:r>
    </w:p>
    <w:p w:rsidR="005F78FC" w:rsidRDefault="00B42EF3">
      <w:pPr>
        <w:pStyle w:val="Definition-Field"/>
      </w:pPr>
      <w:r>
        <w:t xml:space="preserve">tt.  </w:t>
      </w:r>
      <w:r>
        <w:rPr>
          <w:i/>
        </w:rPr>
        <w:t>The standard does not restrict the value @pasteNumberFormats when @name=XLMDX.</w:t>
      </w:r>
    </w:p>
    <w:p w:rsidR="005F78FC" w:rsidRDefault="00B42EF3">
      <w:pPr>
        <w:pStyle w:val="Definition-Field2"/>
      </w:pPr>
      <w:r>
        <w:lastRenderedPageBreak/>
        <w:t>Office requires that the value @pasteNumberFormats shall not be true when @name=XLMD</w:t>
      </w:r>
      <w:r>
        <w:t>X.</w:t>
      </w:r>
    </w:p>
    <w:p w:rsidR="005F78FC" w:rsidRDefault="00B42EF3">
      <w:pPr>
        <w:pStyle w:val="Definition-Field"/>
      </w:pPr>
      <w:r>
        <w:t xml:space="preserve">uu.  </w:t>
      </w:r>
      <w:r>
        <w:rPr>
          <w:i/>
        </w:rPr>
        <w:t>The standard does not restrict the value @rowColShift when @name=XLMDX.</w:t>
      </w:r>
    </w:p>
    <w:p w:rsidR="005F78FC" w:rsidRDefault="00B42EF3">
      <w:pPr>
        <w:pStyle w:val="Definition-Field2"/>
      </w:pPr>
      <w:r>
        <w:t>Office requires that the value @rowColShift shall be true when @name=XLMDX.</w:t>
      </w:r>
    </w:p>
    <w:p w:rsidR="005F78FC" w:rsidRDefault="00B42EF3">
      <w:pPr>
        <w:pStyle w:val="Definition-Field"/>
      </w:pPr>
      <w:r>
        <w:t xml:space="preserve">vv.  </w:t>
      </w:r>
      <w:r>
        <w:rPr>
          <w:i/>
        </w:rPr>
        <w:t>The standard does not restrict the value @splitAll when @name=XLMDX.</w:t>
      </w:r>
    </w:p>
    <w:p w:rsidR="005F78FC" w:rsidRDefault="00B42EF3">
      <w:pPr>
        <w:pStyle w:val="Definition-Field2"/>
      </w:pPr>
      <w:r>
        <w:t xml:space="preserve">Office requires that the </w:t>
      </w:r>
      <w:r>
        <w:t>value @splitAll shall not be true when @name=XLMDX.</w:t>
      </w:r>
    </w:p>
    <w:p w:rsidR="005F78FC" w:rsidRDefault="00B42EF3">
      <w:pPr>
        <w:pStyle w:val="Definition-Field"/>
      </w:pPr>
      <w:r>
        <w:t xml:space="preserve">ww.  </w:t>
      </w:r>
      <w:r>
        <w:rPr>
          <w:i/>
        </w:rPr>
        <w:t>The standard does not restrict the value @splitFirst when @name=XLMDX.</w:t>
      </w:r>
    </w:p>
    <w:p w:rsidR="005F78FC" w:rsidRDefault="00B42EF3">
      <w:pPr>
        <w:pStyle w:val="Definition-Field2"/>
      </w:pPr>
      <w:r>
        <w:t>Office requires that the value @splitFirst shall be true when @name=XLMDX.</w:t>
      </w:r>
    </w:p>
    <w:p w:rsidR="005F78FC" w:rsidRDefault="00B42EF3">
      <w:pPr>
        <w:pStyle w:val="Heading3"/>
      </w:pPr>
      <w:bookmarkStart w:id="1478" w:name="section_05e9eaad291e4fa1886e5ce683c43048"/>
      <w:bookmarkStart w:id="1479" w:name="_Toc69878512"/>
      <w:r>
        <w:t>Part 1 Section 18.9.11, metadataTypes (Metadata Types</w:t>
      </w:r>
      <w:r>
        <w:t xml:space="preserve"> Collection)</w:t>
      </w:r>
      <w:bookmarkEnd w:id="1478"/>
      <w:bookmarkEnd w:id="1479"/>
      <w:r>
        <w:fldChar w:fldCharType="begin"/>
      </w:r>
      <w:r>
        <w:instrText xml:space="preserve"> XE "metadataTypes (Metadata Types Collection)" </w:instrText>
      </w:r>
      <w:r>
        <w:fldChar w:fldCharType="end"/>
      </w:r>
    </w:p>
    <w:p w:rsidR="005F78FC" w:rsidRDefault="00B42EF3">
      <w:pPr>
        <w:pStyle w:val="Definition-Field"/>
      </w:pPr>
      <w:r>
        <w:t xml:space="preserve">a.   </w:t>
      </w:r>
      <w:r>
        <w:rPr>
          <w:i/>
        </w:rPr>
        <w:t>The standard states that the values of the count attribute are defined by the XML Schema unsignedInt datatype.</w:t>
      </w:r>
    </w:p>
    <w:p w:rsidR="005F78FC" w:rsidRDefault="00B42EF3">
      <w:pPr>
        <w:pStyle w:val="Definition-Field2"/>
      </w:pPr>
      <w:r>
        <w:t>Office requires that the count attribute have a maximum value of 2147483647.</w:t>
      </w:r>
    </w:p>
    <w:p w:rsidR="005F78FC" w:rsidRDefault="00B42EF3">
      <w:pPr>
        <w:pStyle w:val="Heading3"/>
      </w:pPr>
      <w:bookmarkStart w:id="1480" w:name="section_6612d3346b3a463893d847b28879a01f"/>
      <w:bookmarkStart w:id="1481" w:name="_Toc69878513"/>
      <w:r>
        <w:t>Part 1 Section 18.9.12, ms (Set MDX Metadata)</w:t>
      </w:r>
      <w:bookmarkEnd w:id="1480"/>
      <w:bookmarkEnd w:id="1481"/>
      <w:r>
        <w:fldChar w:fldCharType="begin"/>
      </w:r>
      <w:r>
        <w:instrText xml:space="preserve"> XE "ms (Set MDX Metadata)" </w:instrText>
      </w:r>
      <w:r>
        <w:fldChar w:fldCharType="end"/>
      </w:r>
    </w:p>
    <w:p w:rsidR="005F78FC" w:rsidRDefault="00B42EF3">
      <w:pPr>
        <w:pStyle w:val="Definition-Field"/>
      </w:pPr>
      <w:r>
        <w:t xml:space="preserve">a.   </w:t>
      </w:r>
      <w:r>
        <w:rPr>
          <w:i/>
        </w:rPr>
        <w:t>The standard describes the ns attribute as an unsigned integer with 32 significant bits.</w:t>
      </w:r>
    </w:p>
    <w:p w:rsidR="005F78FC" w:rsidRDefault="00B42EF3">
      <w:pPr>
        <w:pStyle w:val="Definition-Field2"/>
      </w:pPr>
      <w:r>
        <w:t>Office requires that the value be between 0 and 2147483647 inclusive.</w:t>
      </w:r>
    </w:p>
    <w:p w:rsidR="005F78FC" w:rsidRDefault="00B42EF3">
      <w:pPr>
        <w:pStyle w:val="Definition-Field"/>
      </w:pPr>
      <w:r>
        <w:t xml:space="preserve">b.   </w:t>
      </w:r>
      <w:r>
        <w:rPr>
          <w:i/>
        </w:rPr>
        <w:t>The standar</w:t>
      </w:r>
      <w:r>
        <w:rPr>
          <w:i/>
        </w:rPr>
        <w:t>d describes the @c as an unsigned integer with 32 significant bits.</w:t>
      </w:r>
    </w:p>
    <w:p w:rsidR="005F78FC" w:rsidRDefault="00B42EF3">
      <w:pPr>
        <w:pStyle w:val="Definition-Field2"/>
      </w:pPr>
      <w:r>
        <w:t>Office requires that the value be between 0 and 2147483647 inclusive.</w:t>
      </w:r>
    </w:p>
    <w:p w:rsidR="005F78FC" w:rsidRDefault="00B42EF3">
      <w:pPr>
        <w:pStyle w:val="Heading3"/>
      </w:pPr>
      <w:bookmarkStart w:id="1482" w:name="section_e15c9df90ad44f7c979ad268c7ac9e3e"/>
      <w:bookmarkStart w:id="1483" w:name="_Toc69878514"/>
      <w:r>
        <w:t>Part 1 Section 18.9.13, n (Member Unique Name Index)</w:t>
      </w:r>
      <w:bookmarkEnd w:id="1482"/>
      <w:bookmarkEnd w:id="1483"/>
      <w:r>
        <w:fldChar w:fldCharType="begin"/>
      </w:r>
      <w:r>
        <w:instrText xml:space="preserve"> XE "n (Member Unique Name Index)" </w:instrText>
      </w:r>
      <w:r>
        <w:fldChar w:fldCharType="end"/>
      </w:r>
    </w:p>
    <w:p w:rsidR="005F78FC" w:rsidRDefault="00B42EF3">
      <w:pPr>
        <w:pStyle w:val="Definition-Field"/>
      </w:pPr>
      <w:r>
        <w:t xml:space="preserve">a.   </w:t>
      </w:r>
      <w:r>
        <w:rPr>
          <w:i/>
        </w:rPr>
        <w:t>The standard states tha</w:t>
      </w:r>
      <w:r>
        <w:rPr>
          <w:i/>
        </w:rPr>
        <w:t>t the values of the x attribute are defined by the XML Schema unsignedInt datatype.</w:t>
      </w:r>
    </w:p>
    <w:p w:rsidR="005F78FC" w:rsidRDefault="00B42EF3">
      <w:pPr>
        <w:pStyle w:val="Definition-Field2"/>
      </w:pPr>
      <w:r>
        <w:t>Office requires that the x attribute has a maximum value of 2147483647.</w:t>
      </w:r>
    </w:p>
    <w:p w:rsidR="005F78FC" w:rsidRDefault="00B42EF3">
      <w:pPr>
        <w:pStyle w:val="Heading3"/>
      </w:pPr>
      <w:bookmarkStart w:id="1484" w:name="section_920bba5747714fc3a39c9e6307c798e1"/>
      <w:bookmarkStart w:id="1485" w:name="_Toc69878515"/>
      <w:r>
        <w:t>Part 1 Section 18.9.14, p (Member Property MDX Metadata)</w:t>
      </w:r>
      <w:bookmarkEnd w:id="1484"/>
      <w:bookmarkEnd w:id="1485"/>
      <w:r>
        <w:fldChar w:fldCharType="begin"/>
      </w:r>
      <w:r>
        <w:instrText xml:space="preserve"> XE "p (Member Property MDX Metadata)" </w:instrText>
      </w:r>
      <w:r>
        <w:fldChar w:fldCharType="end"/>
      </w:r>
    </w:p>
    <w:p w:rsidR="005F78FC" w:rsidRDefault="00B42EF3">
      <w:pPr>
        <w:pStyle w:val="Definition-Field"/>
      </w:pPr>
      <w:r>
        <w:t xml:space="preserve">a.   </w:t>
      </w:r>
      <w:r>
        <w:rPr>
          <w:i/>
        </w:rPr>
        <w:t>The standard states that the values of the n attribute are defined by the XML Schema unsignedInt datatype.</w:t>
      </w:r>
    </w:p>
    <w:p w:rsidR="005F78FC" w:rsidRDefault="00B42EF3">
      <w:pPr>
        <w:pStyle w:val="Definition-Field2"/>
      </w:pPr>
      <w:r>
        <w:t>Office requires that the n attribute has a maximum value of 2147483647.</w:t>
      </w:r>
    </w:p>
    <w:p w:rsidR="005F78FC" w:rsidRDefault="00B42EF3">
      <w:pPr>
        <w:pStyle w:val="Definition-Field"/>
      </w:pPr>
      <w:r>
        <w:t xml:space="preserve">b.   </w:t>
      </w:r>
      <w:r>
        <w:rPr>
          <w:i/>
        </w:rPr>
        <w:t>The standard states that the values of the np attribute are defined</w:t>
      </w:r>
      <w:r>
        <w:rPr>
          <w:i/>
        </w:rPr>
        <w:t xml:space="preserve"> by the XML Schema unsignedInt datatype.</w:t>
      </w:r>
    </w:p>
    <w:p w:rsidR="005F78FC" w:rsidRDefault="00B42EF3">
      <w:pPr>
        <w:pStyle w:val="Definition-Field2"/>
      </w:pPr>
      <w:r>
        <w:t>Office requires that the np attribute has a maximum value of 2147483647.</w:t>
      </w:r>
    </w:p>
    <w:p w:rsidR="005F78FC" w:rsidRDefault="00B42EF3">
      <w:pPr>
        <w:pStyle w:val="Heading3"/>
      </w:pPr>
      <w:bookmarkStart w:id="1486" w:name="section_068a1e33b87d49c3b92406cf6033b8cc"/>
      <w:bookmarkStart w:id="1487" w:name="_Toc69878516"/>
      <w:r>
        <w:t>Part 1 Section 18.9.15, rc (Metadata Record)</w:t>
      </w:r>
      <w:bookmarkEnd w:id="1486"/>
      <w:bookmarkEnd w:id="1487"/>
      <w:r>
        <w:fldChar w:fldCharType="begin"/>
      </w:r>
      <w:r>
        <w:instrText xml:space="preserve"> XE "rc (Metadata Record)" </w:instrText>
      </w:r>
      <w:r>
        <w:fldChar w:fldCharType="end"/>
      </w:r>
    </w:p>
    <w:p w:rsidR="005F78FC" w:rsidRDefault="00B42EF3">
      <w:pPr>
        <w:pStyle w:val="Definition-Field"/>
      </w:pPr>
      <w:r>
        <w:t xml:space="preserve">a.   </w:t>
      </w:r>
      <w:r>
        <w:rPr>
          <w:i/>
        </w:rPr>
        <w:t>The standard states that the values of the t attribute are defi</w:t>
      </w:r>
      <w:r>
        <w:rPr>
          <w:i/>
        </w:rPr>
        <w:t>ned by the XML Schema unsignedInt datatype.</w:t>
      </w:r>
    </w:p>
    <w:p w:rsidR="005F78FC" w:rsidRDefault="00B42EF3">
      <w:pPr>
        <w:pStyle w:val="Definition-Field2"/>
      </w:pPr>
      <w:r>
        <w:t>Office requires that the t attribute has a maximum value of 2147483647.</w:t>
      </w:r>
    </w:p>
    <w:p w:rsidR="005F78FC" w:rsidRDefault="00B42EF3">
      <w:pPr>
        <w:pStyle w:val="Heading3"/>
      </w:pPr>
      <w:bookmarkStart w:id="1488" w:name="section_7497a2d02d184fe5a58079bc7ad04497"/>
      <w:bookmarkStart w:id="1489" w:name="_Toc69878517"/>
      <w:r>
        <w:lastRenderedPageBreak/>
        <w:t>Part 1 Section 18.9.16, t (Tuple MDX Metadata)</w:t>
      </w:r>
      <w:bookmarkEnd w:id="1488"/>
      <w:bookmarkEnd w:id="1489"/>
      <w:r>
        <w:fldChar w:fldCharType="begin"/>
      </w:r>
      <w:r>
        <w:instrText xml:space="preserve"> XE "t (Tuple MDX Metadata)" </w:instrText>
      </w:r>
      <w:r>
        <w:fldChar w:fldCharType="end"/>
      </w:r>
    </w:p>
    <w:p w:rsidR="005F78FC" w:rsidRDefault="00B42EF3">
      <w:pPr>
        <w:pStyle w:val="Definition-Field"/>
      </w:pPr>
      <w:r>
        <w:t xml:space="preserve">a.   </w:t>
      </w:r>
      <w:r>
        <w:rPr>
          <w:i/>
        </w:rPr>
        <w:t>The standard has no restriction on whether ct can be pres</w:t>
      </w:r>
      <w:r>
        <w:rPr>
          <w:i/>
        </w:rPr>
        <w:t>ent along with fi and/or si.</w:t>
      </w:r>
    </w:p>
    <w:p w:rsidR="005F78FC" w:rsidRDefault="00B42EF3">
      <w:pPr>
        <w:pStyle w:val="Definition-Field2"/>
      </w:pPr>
      <w:r>
        <w:t>Office requires that @ct must not be specified if either @si or @fi is specified.</w:t>
      </w:r>
    </w:p>
    <w:p w:rsidR="005F78FC" w:rsidRDefault="00B42EF3">
      <w:pPr>
        <w:pStyle w:val="Definition-Field"/>
      </w:pPr>
      <w:r>
        <w:t xml:space="preserve">b.   </w:t>
      </w:r>
      <w:r>
        <w:rPr>
          <w:i/>
        </w:rPr>
        <w:t>The standard defines the attribute si as an xsd:unsignedInt.</w:t>
      </w:r>
    </w:p>
    <w:p w:rsidR="005F78FC" w:rsidRDefault="00B42EF3">
      <w:pPr>
        <w:pStyle w:val="Definition-Field2"/>
      </w:pPr>
      <w:r>
        <w:t>In Office, @si has a maximum value of less than or equal to 2147483647.</w:t>
      </w:r>
    </w:p>
    <w:p w:rsidR="005F78FC" w:rsidRDefault="00B42EF3">
      <w:pPr>
        <w:pStyle w:val="Definition-Field"/>
      </w:pPr>
      <w:r>
        <w:t xml:space="preserve">c.   </w:t>
      </w:r>
      <w:r>
        <w:rPr>
          <w:i/>
        </w:rPr>
        <w:t>Th</w:t>
      </w:r>
      <w:r>
        <w:rPr>
          <w:i/>
        </w:rPr>
        <w:t>e standard defines the attribute c as an xsd:unsignedInt.</w:t>
      </w:r>
    </w:p>
    <w:p w:rsidR="005F78FC" w:rsidRDefault="00B42EF3">
      <w:pPr>
        <w:pStyle w:val="Definition-Field2"/>
      </w:pPr>
      <w:r>
        <w:t>In Office, @c has a maximum value of less than or equal to 2147483647.</w:t>
      </w:r>
    </w:p>
    <w:p w:rsidR="005F78FC" w:rsidRDefault="00B42EF3">
      <w:pPr>
        <w:pStyle w:val="Definition-Field"/>
      </w:pPr>
      <w:r>
        <w:t xml:space="preserve">d.   </w:t>
      </w:r>
      <w:r>
        <w:rPr>
          <w:i/>
        </w:rPr>
        <w:t>The standard does not restrict the value of @fi beyond unsigned int.</w:t>
      </w:r>
    </w:p>
    <w:p w:rsidR="005F78FC" w:rsidRDefault="00B42EF3">
      <w:pPr>
        <w:pStyle w:val="Definition-Field2"/>
      </w:pPr>
      <w:r>
        <w:t>Office requires that @fi have a maximum value of 58.</w:t>
      </w:r>
    </w:p>
    <w:p w:rsidR="005F78FC" w:rsidRDefault="00B42EF3">
      <w:pPr>
        <w:pStyle w:val="Definition-Field"/>
      </w:pPr>
      <w:r>
        <w:t xml:space="preserve">e.   </w:t>
      </w:r>
      <w:r>
        <w:rPr>
          <w:i/>
        </w:rPr>
        <w:t>The standard does not specify whether @si is a 0-based or 1-based index.</w:t>
      </w:r>
    </w:p>
    <w:p w:rsidR="005F78FC" w:rsidRDefault="00B42EF3">
      <w:pPr>
        <w:pStyle w:val="Definition-Field2"/>
      </w:pPr>
      <w:r>
        <w:t>Office specifies @si is a 0-based index to a metadata string.</w:t>
      </w:r>
    </w:p>
    <w:p w:rsidR="005F78FC" w:rsidRDefault="00B42EF3">
      <w:pPr>
        <w:pStyle w:val="Definition-Field"/>
      </w:pPr>
      <w:r>
        <w:t xml:space="preserve">f.   </w:t>
      </w:r>
      <w:r>
        <w:rPr>
          <w:i/>
        </w:rPr>
        <w:t>The standard does not limit the values of @ct.</w:t>
      </w:r>
    </w:p>
    <w:p w:rsidR="005F78FC" w:rsidRDefault="00B42EF3">
      <w:r>
        <w:t>Specifies a language used to determine the currency symbol to di</w:t>
      </w:r>
      <w:r>
        <w:t>splay for currency values. For example, if the culture is en-US, the values in the application will format the values with a dollar sign. If the culture is fr-FR the application will format the values with a euro sign.</w:t>
      </w:r>
    </w:p>
    <w:p w:rsidR="005F78FC" w:rsidRDefault="00B42EF3">
      <w:r>
        <w:t>This value conforms to the language t</w:t>
      </w:r>
      <w:r>
        <w:t>agging conventions of RFC 3066. The pattern &lt;language&gt;-&lt;REGION&gt; is used, for example, en-US or fr-FR.</w:t>
      </w:r>
    </w:p>
    <w:p w:rsidR="005F78FC" w:rsidRDefault="00B42EF3">
      <w:r>
        <w:t xml:space="preserve">Office does not load a file in which this attribute contains a value that it does not recognize, or is not recognized by the underlying operating system. </w:t>
      </w:r>
      <w:r>
        <w:t>Office recognizes the following values:</w:t>
      </w:r>
    </w:p>
    <w:tbl>
      <w:tblPr>
        <w:tblStyle w:val="Table-ShadedHeader"/>
        <w:tblW w:w="0" w:type="auto"/>
        <w:tblLook w:val="04A0" w:firstRow="1" w:lastRow="0" w:firstColumn="1" w:lastColumn="0" w:noHBand="0" w:noVBand="1"/>
      </w:tblPr>
      <w:tblGrid>
        <w:gridCol w:w="3070"/>
        <w:gridCol w:w="2848"/>
        <w:gridCol w:w="1487"/>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Language</w:t>
            </w:r>
          </w:p>
        </w:tc>
        <w:tc>
          <w:tcPr>
            <w:tcW w:w="0" w:type="auto"/>
            <w:vAlign w:val="center"/>
          </w:tcPr>
          <w:p w:rsidR="005F78FC" w:rsidRDefault="00B42EF3">
            <w:pPr>
              <w:pStyle w:val="TableHeaderText"/>
            </w:pPr>
            <w:r>
              <w:t>Locale</w:t>
            </w:r>
          </w:p>
        </w:tc>
        <w:tc>
          <w:tcPr>
            <w:tcW w:w="0" w:type="auto"/>
            <w:vAlign w:val="center"/>
          </w:tcPr>
          <w:p w:rsidR="005F78FC" w:rsidRDefault="00B42EF3">
            <w:pPr>
              <w:pStyle w:val="TableHeaderText"/>
            </w:pPr>
            <w:r>
              <w:t>Language Tag</w:t>
            </w:r>
          </w:p>
        </w:tc>
      </w:tr>
      <w:tr w:rsidR="005F78FC" w:rsidTr="005F78FC">
        <w:tc>
          <w:tcPr>
            <w:tcW w:w="0" w:type="auto"/>
            <w:vAlign w:val="center"/>
          </w:tcPr>
          <w:p w:rsidR="005F78FC" w:rsidRDefault="00B42EF3">
            <w:pPr>
              <w:pStyle w:val="TableBodyText"/>
            </w:pPr>
            <w:r>
              <w:t>Africaans</w:t>
            </w:r>
          </w:p>
        </w:tc>
        <w:tc>
          <w:tcPr>
            <w:tcW w:w="0" w:type="auto"/>
            <w:vAlign w:val="center"/>
          </w:tcPr>
          <w:p w:rsidR="005F78FC" w:rsidRDefault="00B42EF3">
            <w:pPr>
              <w:pStyle w:val="TableBodyText"/>
            </w:pPr>
            <w:r>
              <w:t>South Africa</w:t>
            </w:r>
          </w:p>
        </w:tc>
        <w:tc>
          <w:tcPr>
            <w:tcW w:w="0" w:type="auto"/>
            <w:vAlign w:val="center"/>
          </w:tcPr>
          <w:p w:rsidR="005F78FC" w:rsidRDefault="00B42EF3">
            <w:pPr>
              <w:pStyle w:val="TableBodyText"/>
            </w:pPr>
            <w:r>
              <w:t>af-ZA</w:t>
            </w:r>
          </w:p>
        </w:tc>
      </w:tr>
      <w:tr w:rsidR="005F78FC" w:rsidTr="005F78FC">
        <w:tc>
          <w:tcPr>
            <w:tcW w:w="0" w:type="auto"/>
            <w:vAlign w:val="center"/>
          </w:tcPr>
          <w:p w:rsidR="005F78FC" w:rsidRDefault="00B42EF3">
            <w:pPr>
              <w:pStyle w:val="TableBodyText"/>
            </w:pPr>
            <w:r>
              <w:t>Albanian</w:t>
            </w:r>
          </w:p>
        </w:tc>
        <w:tc>
          <w:tcPr>
            <w:tcW w:w="0" w:type="auto"/>
            <w:vAlign w:val="center"/>
          </w:tcPr>
          <w:p w:rsidR="005F78FC" w:rsidRDefault="00B42EF3">
            <w:pPr>
              <w:pStyle w:val="TableBodyText"/>
            </w:pPr>
            <w:r>
              <w:t>Albanian</w:t>
            </w:r>
          </w:p>
        </w:tc>
        <w:tc>
          <w:tcPr>
            <w:tcW w:w="0" w:type="auto"/>
            <w:vAlign w:val="center"/>
          </w:tcPr>
          <w:p w:rsidR="005F78FC" w:rsidRDefault="00B42EF3">
            <w:pPr>
              <w:pStyle w:val="TableBodyText"/>
            </w:pPr>
            <w:r>
              <w:t>sq-AL</w:t>
            </w:r>
          </w:p>
        </w:tc>
      </w:tr>
      <w:tr w:rsidR="005F78FC" w:rsidTr="005F78FC">
        <w:tc>
          <w:tcPr>
            <w:tcW w:w="0" w:type="auto"/>
            <w:vAlign w:val="center"/>
          </w:tcPr>
          <w:p w:rsidR="005F78FC" w:rsidRDefault="00B42EF3">
            <w:pPr>
              <w:pStyle w:val="TableBodyText"/>
            </w:pPr>
            <w:r>
              <w:t>Alsatian</w:t>
            </w:r>
          </w:p>
        </w:tc>
        <w:tc>
          <w:tcPr>
            <w:tcW w:w="0" w:type="auto"/>
            <w:vAlign w:val="center"/>
          </w:tcPr>
          <w:p w:rsidR="005F78FC" w:rsidRDefault="00B42EF3">
            <w:pPr>
              <w:pStyle w:val="TableBodyText"/>
            </w:pPr>
            <w:r>
              <w:t>France</w:t>
            </w:r>
          </w:p>
        </w:tc>
        <w:tc>
          <w:tcPr>
            <w:tcW w:w="0" w:type="auto"/>
            <w:vAlign w:val="center"/>
          </w:tcPr>
          <w:p w:rsidR="005F78FC" w:rsidRDefault="00B42EF3">
            <w:pPr>
              <w:pStyle w:val="TableBodyText"/>
            </w:pPr>
            <w:r>
              <w:t>gsw-FR</w:t>
            </w:r>
          </w:p>
        </w:tc>
      </w:tr>
      <w:tr w:rsidR="005F78FC" w:rsidTr="005F78FC">
        <w:tc>
          <w:tcPr>
            <w:tcW w:w="0" w:type="auto"/>
            <w:vAlign w:val="center"/>
          </w:tcPr>
          <w:p w:rsidR="005F78FC" w:rsidRDefault="00B42EF3">
            <w:pPr>
              <w:pStyle w:val="TableBodyText"/>
            </w:pPr>
            <w:r>
              <w:t>Amharic</w:t>
            </w:r>
          </w:p>
        </w:tc>
        <w:tc>
          <w:tcPr>
            <w:tcW w:w="0" w:type="auto"/>
            <w:vAlign w:val="center"/>
          </w:tcPr>
          <w:p w:rsidR="005F78FC" w:rsidRDefault="00B42EF3">
            <w:pPr>
              <w:pStyle w:val="TableBodyText"/>
            </w:pPr>
            <w:r>
              <w:t>Ethiopia</w:t>
            </w:r>
          </w:p>
        </w:tc>
        <w:tc>
          <w:tcPr>
            <w:tcW w:w="0" w:type="auto"/>
            <w:vAlign w:val="center"/>
          </w:tcPr>
          <w:p w:rsidR="005F78FC" w:rsidRDefault="00B42EF3">
            <w:pPr>
              <w:pStyle w:val="TableBodyText"/>
            </w:pPr>
            <w:r>
              <w:t>am-ET</w:t>
            </w:r>
          </w:p>
        </w:tc>
      </w:tr>
      <w:tr w:rsidR="005F78FC" w:rsidTr="005F78FC">
        <w:tc>
          <w:tcPr>
            <w:tcW w:w="0" w:type="auto"/>
            <w:vAlign w:val="center"/>
          </w:tcPr>
          <w:p w:rsidR="005F78FC" w:rsidRDefault="00B42EF3">
            <w:pPr>
              <w:pStyle w:val="TableBodyText"/>
            </w:pPr>
            <w:r>
              <w:t>Arabic</w:t>
            </w:r>
          </w:p>
        </w:tc>
        <w:tc>
          <w:tcPr>
            <w:tcW w:w="0" w:type="auto"/>
            <w:vAlign w:val="center"/>
          </w:tcPr>
          <w:p w:rsidR="005F78FC" w:rsidRDefault="00B42EF3">
            <w:pPr>
              <w:pStyle w:val="TableBodyText"/>
            </w:pPr>
            <w:r>
              <w:t>Algeria</w:t>
            </w:r>
          </w:p>
        </w:tc>
        <w:tc>
          <w:tcPr>
            <w:tcW w:w="0" w:type="auto"/>
            <w:vAlign w:val="center"/>
          </w:tcPr>
          <w:p w:rsidR="005F78FC" w:rsidRDefault="00B42EF3">
            <w:pPr>
              <w:pStyle w:val="TableBodyText"/>
            </w:pPr>
            <w:r>
              <w:t>ar-DZ</w:t>
            </w:r>
          </w:p>
        </w:tc>
      </w:tr>
      <w:tr w:rsidR="005F78FC" w:rsidTr="005F78FC">
        <w:tc>
          <w:tcPr>
            <w:tcW w:w="0" w:type="auto"/>
            <w:vAlign w:val="center"/>
          </w:tcPr>
          <w:p w:rsidR="005F78FC" w:rsidRDefault="00B42EF3">
            <w:pPr>
              <w:pStyle w:val="TableBodyText"/>
            </w:pPr>
            <w:r>
              <w:t>Arabic</w:t>
            </w:r>
          </w:p>
        </w:tc>
        <w:tc>
          <w:tcPr>
            <w:tcW w:w="0" w:type="auto"/>
            <w:vAlign w:val="center"/>
          </w:tcPr>
          <w:p w:rsidR="005F78FC" w:rsidRDefault="00B42EF3">
            <w:pPr>
              <w:pStyle w:val="TableBodyText"/>
            </w:pPr>
            <w:r>
              <w:t>Bahrain</w:t>
            </w:r>
          </w:p>
        </w:tc>
        <w:tc>
          <w:tcPr>
            <w:tcW w:w="0" w:type="auto"/>
            <w:vAlign w:val="center"/>
          </w:tcPr>
          <w:p w:rsidR="005F78FC" w:rsidRDefault="00B42EF3">
            <w:pPr>
              <w:pStyle w:val="TableBodyText"/>
            </w:pPr>
            <w:r>
              <w:t>ar-BH</w:t>
            </w:r>
          </w:p>
        </w:tc>
      </w:tr>
      <w:tr w:rsidR="005F78FC" w:rsidTr="005F78FC">
        <w:tc>
          <w:tcPr>
            <w:tcW w:w="0" w:type="auto"/>
            <w:vAlign w:val="center"/>
          </w:tcPr>
          <w:p w:rsidR="005F78FC" w:rsidRDefault="00B42EF3">
            <w:pPr>
              <w:pStyle w:val="TableBodyText"/>
            </w:pPr>
            <w:r>
              <w:t>Arabic</w:t>
            </w:r>
          </w:p>
        </w:tc>
        <w:tc>
          <w:tcPr>
            <w:tcW w:w="0" w:type="auto"/>
            <w:vAlign w:val="center"/>
          </w:tcPr>
          <w:p w:rsidR="005F78FC" w:rsidRDefault="00B42EF3">
            <w:pPr>
              <w:pStyle w:val="TableBodyText"/>
            </w:pPr>
            <w:r>
              <w:t>Egypt</w:t>
            </w:r>
          </w:p>
        </w:tc>
        <w:tc>
          <w:tcPr>
            <w:tcW w:w="0" w:type="auto"/>
            <w:vAlign w:val="center"/>
          </w:tcPr>
          <w:p w:rsidR="005F78FC" w:rsidRDefault="00B42EF3">
            <w:pPr>
              <w:pStyle w:val="TableBodyText"/>
            </w:pPr>
            <w:r>
              <w:t>ar-EG</w:t>
            </w:r>
          </w:p>
        </w:tc>
      </w:tr>
      <w:tr w:rsidR="005F78FC" w:rsidTr="005F78FC">
        <w:tc>
          <w:tcPr>
            <w:tcW w:w="0" w:type="auto"/>
            <w:vAlign w:val="center"/>
          </w:tcPr>
          <w:p w:rsidR="005F78FC" w:rsidRDefault="00B42EF3">
            <w:pPr>
              <w:pStyle w:val="TableBodyText"/>
            </w:pPr>
            <w:r>
              <w:t>Arabic</w:t>
            </w:r>
          </w:p>
        </w:tc>
        <w:tc>
          <w:tcPr>
            <w:tcW w:w="0" w:type="auto"/>
            <w:vAlign w:val="center"/>
          </w:tcPr>
          <w:p w:rsidR="005F78FC" w:rsidRDefault="00B42EF3">
            <w:pPr>
              <w:pStyle w:val="TableBodyText"/>
            </w:pPr>
            <w:r>
              <w:t>Iraq</w:t>
            </w:r>
          </w:p>
        </w:tc>
        <w:tc>
          <w:tcPr>
            <w:tcW w:w="0" w:type="auto"/>
            <w:vAlign w:val="center"/>
          </w:tcPr>
          <w:p w:rsidR="005F78FC" w:rsidRDefault="00B42EF3">
            <w:pPr>
              <w:pStyle w:val="TableBodyText"/>
            </w:pPr>
            <w:r>
              <w:t>ar-IQ</w:t>
            </w:r>
          </w:p>
        </w:tc>
      </w:tr>
      <w:tr w:rsidR="005F78FC" w:rsidTr="005F78FC">
        <w:tc>
          <w:tcPr>
            <w:tcW w:w="0" w:type="auto"/>
            <w:vAlign w:val="center"/>
          </w:tcPr>
          <w:p w:rsidR="005F78FC" w:rsidRDefault="00B42EF3">
            <w:pPr>
              <w:pStyle w:val="TableBodyText"/>
            </w:pPr>
            <w:r>
              <w:t>Arabic</w:t>
            </w:r>
          </w:p>
        </w:tc>
        <w:tc>
          <w:tcPr>
            <w:tcW w:w="0" w:type="auto"/>
            <w:vAlign w:val="center"/>
          </w:tcPr>
          <w:p w:rsidR="005F78FC" w:rsidRDefault="00B42EF3">
            <w:pPr>
              <w:pStyle w:val="TableBodyText"/>
            </w:pPr>
            <w:r>
              <w:t>Jordan</w:t>
            </w:r>
          </w:p>
        </w:tc>
        <w:tc>
          <w:tcPr>
            <w:tcW w:w="0" w:type="auto"/>
            <w:vAlign w:val="center"/>
          </w:tcPr>
          <w:p w:rsidR="005F78FC" w:rsidRDefault="00B42EF3">
            <w:pPr>
              <w:pStyle w:val="TableBodyText"/>
            </w:pPr>
            <w:r>
              <w:t>ar-JO</w:t>
            </w:r>
          </w:p>
        </w:tc>
      </w:tr>
      <w:tr w:rsidR="005F78FC" w:rsidTr="005F78FC">
        <w:tc>
          <w:tcPr>
            <w:tcW w:w="0" w:type="auto"/>
            <w:vAlign w:val="center"/>
          </w:tcPr>
          <w:p w:rsidR="005F78FC" w:rsidRDefault="00B42EF3">
            <w:pPr>
              <w:pStyle w:val="TableBodyText"/>
            </w:pPr>
            <w:r>
              <w:t>Arabic</w:t>
            </w:r>
          </w:p>
        </w:tc>
        <w:tc>
          <w:tcPr>
            <w:tcW w:w="0" w:type="auto"/>
            <w:vAlign w:val="center"/>
          </w:tcPr>
          <w:p w:rsidR="005F78FC" w:rsidRDefault="00B42EF3">
            <w:pPr>
              <w:pStyle w:val="TableBodyText"/>
            </w:pPr>
            <w:r>
              <w:t>Kuwait</w:t>
            </w:r>
          </w:p>
        </w:tc>
        <w:tc>
          <w:tcPr>
            <w:tcW w:w="0" w:type="auto"/>
            <w:vAlign w:val="center"/>
          </w:tcPr>
          <w:p w:rsidR="005F78FC" w:rsidRDefault="00B42EF3">
            <w:pPr>
              <w:pStyle w:val="TableBodyText"/>
            </w:pPr>
            <w:r>
              <w:t>ar-KW</w:t>
            </w:r>
          </w:p>
        </w:tc>
      </w:tr>
      <w:tr w:rsidR="005F78FC" w:rsidTr="005F78FC">
        <w:tc>
          <w:tcPr>
            <w:tcW w:w="0" w:type="auto"/>
            <w:vAlign w:val="center"/>
          </w:tcPr>
          <w:p w:rsidR="005F78FC" w:rsidRDefault="00B42EF3">
            <w:pPr>
              <w:pStyle w:val="TableBodyText"/>
            </w:pPr>
            <w:r>
              <w:t>Arabic</w:t>
            </w:r>
          </w:p>
        </w:tc>
        <w:tc>
          <w:tcPr>
            <w:tcW w:w="0" w:type="auto"/>
            <w:vAlign w:val="center"/>
          </w:tcPr>
          <w:p w:rsidR="005F78FC" w:rsidRDefault="00B42EF3">
            <w:pPr>
              <w:pStyle w:val="TableBodyText"/>
            </w:pPr>
            <w:r>
              <w:t>Lebanon</w:t>
            </w:r>
          </w:p>
        </w:tc>
        <w:tc>
          <w:tcPr>
            <w:tcW w:w="0" w:type="auto"/>
            <w:vAlign w:val="center"/>
          </w:tcPr>
          <w:p w:rsidR="005F78FC" w:rsidRDefault="00B42EF3">
            <w:pPr>
              <w:pStyle w:val="TableBodyText"/>
            </w:pPr>
            <w:r>
              <w:t>ar-LB</w:t>
            </w:r>
          </w:p>
        </w:tc>
      </w:tr>
      <w:tr w:rsidR="005F78FC" w:rsidTr="005F78FC">
        <w:tc>
          <w:tcPr>
            <w:tcW w:w="0" w:type="auto"/>
            <w:vAlign w:val="center"/>
          </w:tcPr>
          <w:p w:rsidR="005F78FC" w:rsidRDefault="00B42EF3">
            <w:pPr>
              <w:pStyle w:val="TableBodyText"/>
            </w:pPr>
            <w:r>
              <w:t>Arabic</w:t>
            </w:r>
          </w:p>
        </w:tc>
        <w:tc>
          <w:tcPr>
            <w:tcW w:w="0" w:type="auto"/>
            <w:vAlign w:val="center"/>
          </w:tcPr>
          <w:p w:rsidR="005F78FC" w:rsidRDefault="00B42EF3">
            <w:pPr>
              <w:pStyle w:val="TableBodyText"/>
            </w:pPr>
            <w:r>
              <w:t>Libya</w:t>
            </w:r>
          </w:p>
        </w:tc>
        <w:tc>
          <w:tcPr>
            <w:tcW w:w="0" w:type="auto"/>
            <w:vAlign w:val="center"/>
          </w:tcPr>
          <w:p w:rsidR="005F78FC" w:rsidRDefault="00B42EF3">
            <w:pPr>
              <w:pStyle w:val="TableBodyText"/>
            </w:pPr>
            <w:r>
              <w:t>ar-LY</w:t>
            </w:r>
          </w:p>
        </w:tc>
      </w:tr>
      <w:tr w:rsidR="005F78FC" w:rsidTr="005F78FC">
        <w:tc>
          <w:tcPr>
            <w:tcW w:w="0" w:type="auto"/>
            <w:vAlign w:val="center"/>
          </w:tcPr>
          <w:p w:rsidR="005F78FC" w:rsidRDefault="00B42EF3">
            <w:pPr>
              <w:pStyle w:val="TableBodyText"/>
            </w:pPr>
            <w:r>
              <w:t>Arabic</w:t>
            </w:r>
          </w:p>
        </w:tc>
        <w:tc>
          <w:tcPr>
            <w:tcW w:w="0" w:type="auto"/>
            <w:vAlign w:val="center"/>
          </w:tcPr>
          <w:p w:rsidR="005F78FC" w:rsidRDefault="00B42EF3">
            <w:pPr>
              <w:pStyle w:val="TableBodyText"/>
            </w:pPr>
            <w:r>
              <w:t>Morocco</w:t>
            </w:r>
          </w:p>
        </w:tc>
        <w:tc>
          <w:tcPr>
            <w:tcW w:w="0" w:type="auto"/>
            <w:vAlign w:val="center"/>
          </w:tcPr>
          <w:p w:rsidR="005F78FC" w:rsidRDefault="00B42EF3">
            <w:pPr>
              <w:pStyle w:val="TableBodyText"/>
            </w:pPr>
            <w:r>
              <w:t>ar-MA</w:t>
            </w:r>
          </w:p>
        </w:tc>
      </w:tr>
      <w:tr w:rsidR="005F78FC" w:rsidTr="005F78FC">
        <w:tc>
          <w:tcPr>
            <w:tcW w:w="0" w:type="auto"/>
            <w:vAlign w:val="center"/>
          </w:tcPr>
          <w:p w:rsidR="005F78FC" w:rsidRDefault="00B42EF3">
            <w:pPr>
              <w:pStyle w:val="TableBodyText"/>
            </w:pPr>
            <w:r>
              <w:t>Arabic</w:t>
            </w:r>
          </w:p>
        </w:tc>
        <w:tc>
          <w:tcPr>
            <w:tcW w:w="0" w:type="auto"/>
            <w:vAlign w:val="center"/>
          </w:tcPr>
          <w:p w:rsidR="005F78FC" w:rsidRDefault="00B42EF3">
            <w:pPr>
              <w:pStyle w:val="TableBodyText"/>
            </w:pPr>
            <w:r>
              <w:t>Oman</w:t>
            </w:r>
          </w:p>
        </w:tc>
        <w:tc>
          <w:tcPr>
            <w:tcW w:w="0" w:type="auto"/>
            <w:vAlign w:val="center"/>
          </w:tcPr>
          <w:p w:rsidR="005F78FC" w:rsidRDefault="00B42EF3">
            <w:pPr>
              <w:pStyle w:val="TableBodyText"/>
            </w:pPr>
            <w:r>
              <w:t>ar-OM</w:t>
            </w:r>
          </w:p>
        </w:tc>
      </w:tr>
      <w:tr w:rsidR="005F78FC" w:rsidTr="005F78FC">
        <w:tc>
          <w:tcPr>
            <w:tcW w:w="0" w:type="auto"/>
            <w:vAlign w:val="center"/>
          </w:tcPr>
          <w:p w:rsidR="005F78FC" w:rsidRDefault="00B42EF3">
            <w:pPr>
              <w:pStyle w:val="TableBodyText"/>
            </w:pPr>
            <w:r>
              <w:lastRenderedPageBreak/>
              <w:t>Arabic</w:t>
            </w:r>
          </w:p>
        </w:tc>
        <w:tc>
          <w:tcPr>
            <w:tcW w:w="0" w:type="auto"/>
            <w:vAlign w:val="center"/>
          </w:tcPr>
          <w:p w:rsidR="005F78FC" w:rsidRDefault="00B42EF3">
            <w:pPr>
              <w:pStyle w:val="TableBodyText"/>
            </w:pPr>
            <w:r>
              <w:t>Qatar</w:t>
            </w:r>
          </w:p>
        </w:tc>
        <w:tc>
          <w:tcPr>
            <w:tcW w:w="0" w:type="auto"/>
            <w:vAlign w:val="center"/>
          </w:tcPr>
          <w:p w:rsidR="005F78FC" w:rsidRDefault="00B42EF3">
            <w:pPr>
              <w:pStyle w:val="TableBodyText"/>
            </w:pPr>
            <w:r>
              <w:t>ar-QA</w:t>
            </w:r>
          </w:p>
        </w:tc>
      </w:tr>
      <w:tr w:rsidR="005F78FC" w:rsidTr="005F78FC">
        <w:tc>
          <w:tcPr>
            <w:tcW w:w="0" w:type="auto"/>
            <w:vAlign w:val="center"/>
          </w:tcPr>
          <w:p w:rsidR="005F78FC" w:rsidRDefault="00B42EF3">
            <w:pPr>
              <w:pStyle w:val="TableBodyText"/>
            </w:pPr>
            <w:r>
              <w:t>Arabic</w:t>
            </w:r>
          </w:p>
        </w:tc>
        <w:tc>
          <w:tcPr>
            <w:tcW w:w="0" w:type="auto"/>
            <w:vAlign w:val="center"/>
          </w:tcPr>
          <w:p w:rsidR="005F78FC" w:rsidRDefault="00B42EF3">
            <w:pPr>
              <w:pStyle w:val="TableBodyText"/>
            </w:pPr>
            <w:r>
              <w:t>Saudi Arabia</w:t>
            </w:r>
          </w:p>
        </w:tc>
        <w:tc>
          <w:tcPr>
            <w:tcW w:w="0" w:type="auto"/>
            <w:vAlign w:val="center"/>
          </w:tcPr>
          <w:p w:rsidR="005F78FC" w:rsidRDefault="00B42EF3">
            <w:pPr>
              <w:pStyle w:val="TableBodyText"/>
            </w:pPr>
            <w:r>
              <w:t>ar-SA</w:t>
            </w:r>
          </w:p>
        </w:tc>
      </w:tr>
      <w:tr w:rsidR="005F78FC" w:rsidTr="005F78FC">
        <w:tc>
          <w:tcPr>
            <w:tcW w:w="0" w:type="auto"/>
            <w:vAlign w:val="center"/>
          </w:tcPr>
          <w:p w:rsidR="005F78FC" w:rsidRDefault="00B42EF3">
            <w:pPr>
              <w:pStyle w:val="TableBodyText"/>
            </w:pPr>
            <w:r>
              <w:t>Arabic</w:t>
            </w:r>
          </w:p>
        </w:tc>
        <w:tc>
          <w:tcPr>
            <w:tcW w:w="0" w:type="auto"/>
            <w:vAlign w:val="center"/>
          </w:tcPr>
          <w:p w:rsidR="005F78FC" w:rsidRDefault="00B42EF3">
            <w:pPr>
              <w:pStyle w:val="TableBodyText"/>
            </w:pPr>
            <w:r>
              <w:t>Syria</w:t>
            </w:r>
          </w:p>
        </w:tc>
        <w:tc>
          <w:tcPr>
            <w:tcW w:w="0" w:type="auto"/>
            <w:vAlign w:val="center"/>
          </w:tcPr>
          <w:p w:rsidR="005F78FC" w:rsidRDefault="00B42EF3">
            <w:pPr>
              <w:pStyle w:val="TableBodyText"/>
            </w:pPr>
            <w:r>
              <w:t>ar-SY</w:t>
            </w:r>
          </w:p>
        </w:tc>
      </w:tr>
      <w:tr w:rsidR="005F78FC" w:rsidTr="005F78FC">
        <w:tc>
          <w:tcPr>
            <w:tcW w:w="0" w:type="auto"/>
            <w:vAlign w:val="center"/>
          </w:tcPr>
          <w:p w:rsidR="005F78FC" w:rsidRDefault="00B42EF3">
            <w:pPr>
              <w:pStyle w:val="TableBodyText"/>
            </w:pPr>
            <w:r>
              <w:t>Arabic</w:t>
            </w:r>
          </w:p>
        </w:tc>
        <w:tc>
          <w:tcPr>
            <w:tcW w:w="0" w:type="auto"/>
            <w:vAlign w:val="center"/>
          </w:tcPr>
          <w:p w:rsidR="005F78FC" w:rsidRDefault="00B42EF3">
            <w:pPr>
              <w:pStyle w:val="TableBodyText"/>
            </w:pPr>
            <w:r>
              <w:t>Tunisia</w:t>
            </w:r>
          </w:p>
        </w:tc>
        <w:tc>
          <w:tcPr>
            <w:tcW w:w="0" w:type="auto"/>
            <w:vAlign w:val="center"/>
          </w:tcPr>
          <w:p w:rsidR="005F78FC" w:rsidRDefault="00B42EF3">
            <w:pPr>
              <w:pStyle w:val="TableBodyText"/>
            </w:pPr>
            <w:r>
              <w:t>ar-TN</w:t>
            </w:r>
          </w:p>
        </w:tc>
      </w:tr>
      <w:tr w:rsidR="005F78FC" w:rsidTr="005F78FC">
        <w:tc>
          <w:tcPr>
            <w:tcW w:w="0" w:type="auto"/>
            <w:vAlign w:val="center"/>
          </w:tcPr>
          <w:p w:rsidR="005F78FC" w:rsidRDefault="00B42EF3">
            <w:pPr>
              <w:pStyle w:val="TableBodyText"/>
            </w:pPr>
            <w:r>
              <w:t>Arabic</w:t>
            </w:r>
          </w:p>
        </w:tc>
        <w:tc>
          <w:tcPr>
            <w:tcW w:w="0" w:type="auto"/>
            <w:vAlign w:val="center"/>
          </w:tcPr>
          <w:p w:rsidR="005F78FC" w:rsidRDefault="00B42EF3">
            <w:pPr>
              <w:pStyle w:val="TableBodyText"/>
            </w:pPr>
            <w:r>
              <w:t>U.A.E.</w:t>
            </w:r>
          </w:p>
        </w:tc>
        <w:tc>
          <w:tcPr>
            <w:tcW w:w="0" w:type="auto"/>
            <w:vAlign w:val="center"/>
          </w:tcPr>
          <w:p w:rsidR="005F78FC" w:rsidRDefault="00B42EF3">
            <w:pPr>
              <w:pStyle w:val="TableBodyText"/>
            </w:pPr>
            <w:r>
              <w:t>ar-AE</w:t>
            </w:r>
          </w:p>
        </w:tc>
      </w:tr>
      <w:tr w:rsidR="005F78FC" w:rsidTr="005F78FC">
        <w:tc>
          <w:tcPr>
            <w:tcW w:w="0" w:type="auto"/>
            <w:vAlign w:val="center"/>
          </w:tcPr>
          <w:p w:rsidR="005F78FC" w:rsidRDefault="00B42EF3">
            <w:pPr>
              <w:pStyle w:val="TableBodyText"/>
            </w:pPr>
            <w:r>
              <w:t>Arabic</w:t>
            </w:r>
          </w:p>
        </w:tc>
        <w:tc>
          <w:tcPr>
            <w:tcW w:w="0" w:type="auto"/>
            <w:vAlign w:val="center"/>
          </w:tcPr>
          <w:p w:rsidR="005F78FC" w:rsidRDefault="00B42EF3">
            <w:pPr>
              <w:pStyle w:val="TableBodyText"/>
            </w:pPr>
            <w:r>
              <w:t>Yemen</w:t>
            </w:r>
          </w:p>
        </w:tc>
        <w:tc>
          <w:tcPr>
            <w:tcW w:w="0" w:type="auto"/>
            <w:vAlign w:val="center"/>
          </w:tcPr>
          <w:p w:rsidR="005F78FC" w:rsidRDefault="00B42EF3">
            <w:pPr>
              <w:pStyle w:val="TableBodyText"/>
            </w:pPr>
            <w:r>
              <w:t>ar-YE</w:t>
            </w:r>
          </w:p>
        </w:tc>
      </w:tr>
      <w:tr w:rsidR="005F78FC" w:rsidTr="005F78FC">
        <w:tc>
          <w:tcPr>
            <w:tcW w:w="0" w:type="auto"/>
            <w:vAlign w:val="center"/>
          </w:tcPr>
          <w:p w:rsidR="005F78FC" w:rsidRDefault="00B42EF3">
            <w:pPr>
              <w:pStyle w:val="TableBodyText"/>
            </w:pPr>
            <w:r>
              <w:t>Armenian</w:t>
            </w:r>
          </w:p>
        </w:tc>
        <w:tc>
          <w:tcPr>
            <w:tcW w:w="0" w:type="auto"/>
            <w:vAlign w:val="center"/>
          </w:tcPr>
          <w:p w:rsidR="005F78FC" w:rsidRDefault="00B42EF3">
            <w:pPr>
              <w:pStyle w:val="TableBodyText"/>
            </w:pPr>
            <w:r>
              <w:t>Armenia</w:t>
            </w:r>
          </w:p>
        </w:tc>
        <w:tc>
          <w:tcPr>
            <w:tcW w:w="0" w:type="auto"/>
            <w:vAlign w:val="center"/>
          </w:tcPr>
          <w:p w:rsidR="005F78FC" w:rsidRDefault="00B42EF3">
            <w:pPr>
              <w:pStyle w:val="TableBodyText"/>
            </w:pPr>
            <w:r>
              <w:t>hy-AM</w:t>
            </w:r>
          </w:p>
        </w:tc>
      </w:tr>
      <w:tr w:rsidR="005F78FC" w:rsidTr="005F78FC">
        <w:tc>
          <w:tcPr>
            <w:tcW w:w="0" w:type="auto"/>
            <w:vAlign w:val="center"/>
          </w:tcPr>
          <w:p w:rsidR="005F78FC" w:rsidRDefault="00B42EF3">
            <w:pPr>
              <w:pStyle w:val="TableBodyText"/>
            </w:pPr>
            <w:r>
              <w:t>Assamese</w:t>
            </w:r>
          </w:p>
        </w:tc>
        <w:tc>
          <w:tcPr>
            <w:tcW w:w="0" w:type="auto"/>
            <w:vAlign w:val="center"/>
          </w:tcPr>
          <w:p w:rsidR="005F78FC" w:rsidRDefault="00B42EF3">
            <w:pPr>
              <w:pStyle w:val="TableBodyText"/>
            </w:pPr>
            <w:r>
              <w:t>India</w:t>
            </w:r>
          </w:p>
        </w:tc>
        <w:tc>
          <w:tcPr>
            <w:tcW w:w="0" w:type="auto"/>
            <w:vAlign w:val="center"/>
          </w:tcPr>
          <w:p w:rsidR="005F78FC" w:rsidRDefault="00B42EF3">
            <w:pPr>
              <w:pStyle w:val="TableBodyText"/>
            </w:pPr>
            <w:r>
              <w:t>as-IN</w:t>
            </w:r>
          </w:p>
        </w:tc>
      </w:tr>
      <w:tr w:rsidR="005F78FC" w:rsidTr="005F78FC">
        <w:tc>
          <w:tcPr>
            <w:tcW w:w="0" w:type="auto"/>
            <w:vAlign w:val="center"/>
          </w:tcPr>
          <w:p w:rsidR="005F78FC" w:rsidRDefault="00B42EF3">
            <w:pPr>
              <w:pStyle w:val="TableBodyText"/>
            </w:pPr>
            <w:r>
              <w:t>Azerbaijani (Cyrillic)</w:t>
            </w:r>
          </w:p>
        </w:tc>
        <w:tc>
          <w:tcPr>
            <w:tcW w:w="0" w:type="auto"/>
            <w:vAlign w:val="center"/>
          </w:tcPr>
          <w:p w:rsidR="005F78FC" w:rsidRDefault="00B42EF3">
            <w:pPr>
              <w:pStyle w:val="TableBodyText"/>
            </w:pPr>
            <w:r>
              <w:t>Azerbaijan</w:t>
            </w:r>
          </w:p>
        </w:tc>
        <w:tc>
          <w:tcPr>
            <w:tcW w:w="0" w:type="auto"/>
            <w:vAlign w:val="center"/>
          </w:tcPr>
          <w:p w:rsidR="005F78FC" w:rsidRDefault="00B42EF3">
            <w:pPr>
              <w:pStyle w:val="TableBodyText"/>
            </w:pPr>
            <w:r>
              <w:t>az-AZ-Cyrl</w:t>
            </w:r>
          </w:p>
        </w:tc>
      </w:tr>
      <w:tr w:rsidR="005F78FC" w:rsidTr="005F78FC">
        <w:tc>
          <w:tcPr>
            <w:tcW w:w="0" w:type="auto"/>
            <w:vAlign w:val="center"/>
          </w:tcPr>
          <w:p w:rsidR="005F78FC" w:rsidRDefault="00B42EF3">
            <w:pPr>
              <w:pStyle w:val="TableBodyText"/>
            </w:pPr>
            <w:r>
              <w:t>Azerbaijani (Latin)</w:t>
            </w:r>
          </w:p>
        </w:tc>
        <w:tc>
          <w:tcPr>
            <w:tcW w:w="0" w:type="auto"/>
            <w:vAlign w:val="center"/>
          </w:tcPr>
          <w:p w:rsidR="005F78FC" w:rsidRDefault="00B42EF3">
            <w:pPr>
              <w:pStyle w:val="TableBodyText"/>
            </w:pPr>
            <w:r>
              <w:t>Azerbaijan</w:t>
            </w:r>
          </w:p>
        </w:tc>
        <w:tc>
          <w:tcPr>
            <w:tcW w:w="0" w:type="auto"/>
            <w:vAlign w:val="center"/>
          </w:tcPr>
          <w:p w:rsidR="005F78FC" w:rsidRDefault="00B42EF3">
            <w:pPr>
              <w:pStyle w:val="TableBodyText"/>
            </w:pPr>
            <w:r>
              <w:t>az-AZ-Latn</w:t>
            </w:r>
          </w:p>
        </w:tc>
      </w:tr>
      <w:tr w:rsidR="005F78FC" w:rsidTr="005F78FC">
        <w:tc>
          <w:tcPr>
            <w:tcW w:w="0" w:type="auto"/>
            <w:vAlign w:val="center"/>
          </w:tcPr>
          <w:p w:rsidR="005F78FC" w:rsidRDefault="00B42EF3">
            <w:pPr>
              <w:pStyle w:val="TableBodyText"/>
            </w:pPr>
            <w:r>
              <w:t>Bangla</w:t>
            </w:r>
          </w:p>
        </w:tc>
        <w:tc>
          <w:tcPr>
            <w:tcW w:w="0" w:type="auto"/>
            <w:vAlign w:val="center"/>
          </w:tcPr>
          <w:p w:rsidR="005F78FC" w:rsidRDefault="00B42EF3">
            <w:pPr>
              <w:pStyle w:val="TableBodyText"/>
            </w:pPr>
            <w:r>
              <w:t>Bangladesh</w:t>
            </w:r>
          </w:p>
        </w:tc>
        <w:tc>
          <w:tcPr>
            <w:tcW w:w="0" w:type="auto"/>
            <w:vAlign w:val="center"/>
          </w:tcPr>
          <w:p w:rsidR="005F78FC" w:rsidRDefault="00B42EF3">
            <w:pPr>
              <w:pStyle w:val="TableBodyText"/>
            </w:pPr>
            <w:r>
              <w:t xml:space="preserve">bn-BD </w:t>
            </w:r>
          </w:p>
        </w:tc>
      </w:tr>
      <w:tr w:rsidR="005F78FC" w:rsidTr="005F78FC">
        <w:tc>
          <w:tcPr>
            <w:tcW w:w="0" w:type="auto"/>
            <w:vAlign w:val="center"/>
          </w:tcPr>
          <w:p w:rsidR="005F78FC" w:rsidRDefault="00B42EF3">
            <w:pPr>
              <w:pStyle w:val="TableBodyText"/>
            </w:pPr>
            <w:r>
              <w:t xml:space="preserve">Bangla (Bangla Script) </w:t>
            </w:r>
          </w:p>
        </w:tc>
        <w:tc>
          <w:tcPr>
            <w:tcW w:w="0" w:type="auto"/>
            <w:vAlign w:val="center"/>
          </w:tcPr>
          <w:p w:rsidR="005F78FC" w:rsidRDefault="00B42EF3">
            <w:pPr>
              <w:pStyle w:val="TableBodyText"/>
            </w:pPr>
            <w:r>
              <w:t>India</w:t>
            </w:r>
          </w:p>
        </w:tc>
        <w:tc>
          <w:tcPr>
            <w:tcW w:w="0" w:type="auto"/>
            <w:vAlign w:val="center"/>
          </w:tcPr>
          <w:p w:rsidR="005F78FC" w:rsidRDefault="00B42EF3">
            <w:pPr>
              <w:pStyle w:val="TableBodyText"/>
            </w:pPr>
            <w:r>
              <w:t>bn-IN</w:t>
            </w:r>
          </w:p>
        </w:tc>
      </w:tr>
      <w:tr w:rsidR="005F78FC" w:rsidTr="005F78FC">
        <w:tc>
          <w:tcPr>
            <w:tcW w:w="0" w:type="auto"/>
            <w:vAlign w:val="center"/>
          </w:tcPr>
          <w:p w:rsidR="005F78FC" w:rsidRDefault="00B42EF3">
            <w:pPr>
              <w:pStyle w:val="TableBodyText"/>
            </w:pPr>
            <w:r>
              <w:t>Bashkir</w:t>
            </w:r>
          </w:p>
        </w:tc>
        <w:tc>
          <w:tcPr>
            <w:tcW w:w="0" w:type="auto"/>
            <w:vAlign w:val="center"/>
          </w:tcPr>
          <w:p w:rsidR="005F78FC" w:rsidRDefault="00B42EF3">
            <w:pPr>
              <w:pStyle w:val="TableBodyText"/>
            </w:pPr>
            <w:r>
              <w:t>Russia</w:t>
            </w:r>
          </w:p>
        </w:tc>
        <w:tc>
          <w:tcPr>
            <w:tcW w:w="0" w:type="auto"/>
            <w:vAlign w:val="center"/>
          </w:tcPr>
          <w:p w:rsidR="005F78FC" w:rsidRDefault="00B42EF3">
            <w:pPr>
              <w:pStyle w:val="TableBodyText"/>
            </w:pPr>
            <w:r>
              <w:t>ba-RU</w:t>
            </w:r>
          </w:p>
        </w:tc>
      </w:tr>
      <w:tr w:rsidR="005F78FC" w:rsidTr="005F78FC">
        <w:tc>
          <w:tcPr>
            <w:tcW w:w="0" w:type="auto"/>
            <w:vAlign w:val="center"/>
          </w:tcPr>
          <w:p w:rsidR="005F78FC" w:rsidRDefault="00B42EF3">
            <w:pPr>
              <w:pStyle w:val="TableBodyText"/>
            </w:pPr>
            <w:r>
              <w:t>Basque</w:t>
            </w:r>
          </w:p>
        </w:tc>
        <w:tc>
          <w:tcPr>
            <w:tcW w:w="0" w:type="auto"/>
            <w:vAlign w:val="center"/>
          </w:tcPr>
          <w:p w:rsidR="005F78FC" w:rsidRDefault="00B42EF3">
            <w:pPr>
              <w:pStyle w:val="TableBodyText"/>
            </w:pPr>
            <w:r>
              <w:t>Basque</w:t>
            </w:r>
          </w:p>
        </w:tc>
        <w:tc>
          <w:tcPr>
            <w:tcW w:w="0" w:type="auto"/>
            <w:vAlign w:val="center"/>
          </w:tcPr>
          <w:p w:rsidR="005F78FC" w:rsidRDefault="00B42EF3">
            <w:pPr>
              <w:pStyle w:val="TableBodyText"/>
            </w:pPr>
            <w:r>
              <w:t>eu-ES</w:t>
            </w:r>
          </w:p>
        </w:tc>
      </w:tr>
      <w:tr w:rsidR="005F78FC" w:rsidTr="005F78FC">
        <w:tc>
          <w:tcPr>
            <w:tcW w:w="0" w:type="auto"/>
            <w:vAlign w:val="center"/>
          </w:tcPr>
          <w:p w:rsidR="005F78FC" w:rsidRDefault="00B42EF3">
            <w:pPr>
              <w:pStyle w:val="TableBodyText"/>
            </w:pPr>
            <w:r>
              <w:t>Belarusian</w:t>
            </w:r>
          </w:p>
        </w:tc>
        <w:tc>
          <w:tcPr>
            <w:tcW w:w="0" w:type="auto"/>
            <w:vAlign w:val="center"/>
          </w:tcPr>
          <w:p w:rsidR="005F78FC" w:rsidRDefault="00B42EF3">
            <w:pPr>
              <w:pStyle w:val="TableBodyText"/>
            </w:pPr>
            <w:r>
              <w:t>Belarus</w:t>
            </w:r>
          </w:p>
        </w:tc>
        <w:tc>
          <w:tcPr>
            <w:tcW w:w="0" w:type="auto"/>
            <w:vAlign w:val="center"/>
          </w:tcPr>
          <w:p w:rsidR="005F78FC" w:rsidRDefault="00B42EF3">
            <w:pPr>
              <w:pStyle w:val="TableBodyText"/>
            </w:pPr>
            <w:r>
              <w:t>be-BY</w:t>
            </w:r>
          </w:p>
        </w:tc>
      </w:tr>
      <w:tr w:rsidR="005F78FC" w:rsidTr="005F78FC">
        <w:tc>
          <w:tcPr>
            <w:tcW w:w="0" w:type="auto"/>
            <w:vAlign w:val="center"/>
          </w:tcPr>
          <w:p w:rsidR="005F78FC" w:rsidRDefault="00B42EF3">
            <w:pPr>
              <w:pStyle w:val="TableBodyText"/>
            </w:pPr>
            <w:r>
              <w:t>Bosnian (Cyrillic)</w:t>
            </w:r>
          </w:p>
        </w:tc>
        <w:tc>
          <w:tcPr>
            <w:tcW w:w="0" w:type="auto"/>
            <w:vAlign w:val="center"/>
          </w:tcPr>
          <w:p w:rsidR="005F78FC" w:rsidRDefault="00B42EF3">
            <w:pPr>
              <w:pStyle w:val="TableBodyText"/>
            </w:pPr>
            <w:r>
              <w:t>Bosnia and Herzegovina</w:t>
            </w:r>
          </w:p>
        </w:tc>
        <w:tc>
          <w:tcPr>
            <w:tcW w:w="0" w:type="auto"/>
            <w:vAlign w:val="center"/>
          </w:tcPr>
          <w:p w:rsidR="005F78FC" w:rsidRDefault="00B42EF3">
            <w:pPr>
              <w:pStyle w:val="TableBodyText"/>
            </w:pPr>
            <w:r>
              <w:t>bs-BA-Cyrl</w:t>
            </w:r>
          </w:p>
        </w:tc>
      </w:tr>
      <w:tr w:rsidR="005F78FC" w:rsidTr="005F78FC">
        <w:tc>
          <w:tcPr>
            <w:tcW w:w="0" w:type="auto"/>
            <w:vAlign w:val="center"/>
          </w:tcPr>
          <w:p w:rsidR="005F78FC" w:rsidRDefault="00B42EF3">
            <w:pPr>
              <w:pStyle w:val="TableBodyText"/>
            </w:pPr>
            <w:r>
              <w:t>Bosnian (Latin)</w:t>
            </w:r>
          </w:p>
        </w:tc>
        <w:tc>
          <w:tcPr>
            <w:tcW w:w="0" w:type="auto"/>
            <w:vAlign w:val="center"/>
          </w:tcPr>
          <w:p w:rsidR="005F78FC" w:rsidRDefault="00B42EF3">
            <w:pPr>
              <w:pStyle w:val="TableBodyText"/>
            </w:pPr>
            <w:r>
              <w:t>Bosnia and Herzegovina</w:t>
            </w:r>
          </w:p>
        </w:tc>
        <w:tc>
          <w:tcPr>
            <w:tcW w:w="0" w:type="auto"/>
            <w:vAlign w:val="center"/>
          </w:tcPr>
          <w:p w:rsidR="005F78FC" w:rsidRDefault="00B42EF3">
            <w:pPr>
              <w:pStyle w:val="TableBodyText"/>
            </w:pPr>
            <w:r>
              <w:t>bs-BA-Latn</w:t>
            </w:r>
          </w:p>
        </w:tc>
      </w:tr>
      <w:tr w:rsidR="005F78FC" w:rsidTr="005F78FC">
        <w:tc>
          <w:tcPr>
            <w:tcW w:w="0" w:type="auto"/>
            <w:vAlign w:val="center"/>
          </w:tcPr>
          <w:p w:rsidR="005F78FC" w:rsidRDefault="00B42EF3">
            <w:pPr>
              <w:pStyle w:val="TableBodyText"/>
            </w:pPr>
            <w:r>
              <w:t>Breton</w:t>
            </w:r>
          </w:p>
        </w:tc>
        <w:tc>
          <w:tcPr>
            <w:tcW w:w="0" w:type="auto"/>
            <w:vAlign w:val="center"/>
          </w:tcPr>
          <w:p w:rsidR="005F78FC" w:rsidRDefault="00B42EF3">
            <w:pPr>
              <w:pStyle w:val="TableBodyText"/>
            </w:pPr>
            <w:r>
              <w:t>France</w:t>
            </w:r>
          </w:p>
        </w:tc>
        <w:tc>
          <w:tcPr>
            <w:tcW w:w="0" w:type="auto"/>
            <w:vAlign w:val="center"/>
          </w:tcPr>
          <w:p w:rsidR="005F78FC" w:rsidRDefault="00B42EF3">
            <w:pPr>
              <w:pStyle w:val="TableBodyText"/>
            </w:pPr>
            <w:r>
              <w:t>br-FR</w:t>
            </w:r>
          </w:p>
        </w:tc>
      </w:tr>
      <w:tr w:rsidR="005F78FC" w:rsidTr="005F78FC">
        <w:tc>
          <w:tcPr>
            <w:tcW w:w="0" w:type="auto"/>
            <w:vAlign w:val="center"/>
          </w:tcPr>
          <w:p w:rsidR="005F78FC" w:rsidRDefault="00B42EF3">
            <w:pPr>
              <w:pStyle w:val="TableBodyText"/>
            </w:pPr>
            <w:r>
              <w:t>Bulgarian</w:t>
            </w:r>
          </w:p>
        </w:tc>
        <w:tc>
          <w:tcPr>
            <w:tcW w:w="0" w:type="auto"/>
            <w:vAlign w:val="center"/>
          </w:tcPr>
          <w:p w:rsidR="005F78FC" w:rsidRDefault="00B42EF3">
            <w:pPr>
              <w:pStyle w:val="TableBodyText"/>
            </w:pPr>
            <w:r>
              <w:t>Bulgaria</w:t>
            </w:r>
          </w:p>
        </w:tc>
        <w:tc>
          <w:tcPr>
            <w:tcW w:w="0" w:type="auto"/>
            <w:vAlign w:val="center"/>
          </w:tcPr>
          <w:p w:rsidR="005F78FC" w:rsidRDefault="00B42EF3">
            <w:pPr>
              <w:pStyle w:val="TableBodyText"/>
            </w:pPr>
            <w:r>
              <w:t>bg-BG</w:t>
            </w:r>
          </w:p>
        </w:tc>
      </w:tr>
      <w:tr w:rsidR="005F78FC" w:rsidTr="005F78FC">
        <w:tc>
          <w:tcPr>
            <w:tcW w:w="0" w:type="auto"/>
            <w:vAlign w:val="center"/>
          </w:tcPr>
          <w:p w:rsidR="005F78FC" w:rsidRDefault="00B42EF3">
            <w:pPr>
              <w:pStyle w:val="TableBodyText"/>
            </w:pPr>
            <w:r>
              <w:t>Catalan</w:t>
            </w:r>
          </w:p>
        </w:tc>
        <w:tc>
          <w:tcPr>
            <w:tcW w:w="0" w:type="auto"/>
            <w:vAlign w:val="center"/>
          </w:tcPr>
          <w:p w:rsidR="005F78FC" w:rsidRDefault="00B42EF3">
            <w:pPr>
              <w:pStyle w:val="TableBodyText"/>
            </w:pPr>
            <w:r>
              <w:t>Catalan</w:t>
            </w:r>
          </w:p>
        </w:tc>
        <w:tc>
          <w:tcPr>
            <w:tcW w:w="0" w:type="auto"/>
            <w:vAlign w:val="center"/>
          </w:tcPr>
          <w:p w:rsidR="005F78FC" w:rsidRDefault="00B42EF3">
            <w:pPr>
              <w:pStyle w:val="TableBodyText"/>
            </w:pPr>
            <w:r>
              <w:t>ca-ES</w:t>
            </w:r>
          </w:p>
        </w:tc>
      </w:tr>
      <w:tr w:rsidR="005F78FC" w:rsidTr="005F78FC">
        <w:tc>
          <w:tcPr>
            <w:tcW w:w="0" w:type="auto"/>
            <w:vAlign w:val="center"/>
          </w:tcPr>
          <w:p w:rsidR="005F78FC" w:rsidRDefault="00B42EF3">
            <w:pPr>
              <w:pStyle w:val="TableBodyText"/>
            </w:pPr>
            <w:r>
              <w:t>Chinese</w:t>
            </w:r>
          </w:p>
        </w:tc>
        <w:tc>
          <w:tcPr>
            <w:tcW w:w="0" w:type="auto"/>
            <w:vAlign w:val="center"/>
          </w:tcPr>
          <w:p w:rsidR="005F78FC" w:rsidRDefault="00B42EF3">
            <w:pPr>
              <w:pStyle w:val="TableBodyText"/>
            </w:pPr>
            <w:r>
              <w:t>Hong Kong SAR</w:t>
            </w:r>
          </w:p>
        </w:tc>
        <w:tc>
          <w:tcPr>
            <w:tcW w:w="0" w:type="auto"/>
            <w:vAlign w:val="center"/>
          </w:tcPr>
          <w:p w:rsidR="005F78FC" w:rsidRDefault="00B42EF3">
            <w:pPr>
              <w:pStyle w:val="TableBodyText"/>
            </w:pPr>
            <w:r>
              <w:t>zh-HK</w:t>
            </w:r>
          </w:p>
        </w:tc>
      </w:tr>
      <w:tr w:rsidR="005F78FC" w:rsidTr="005F78FC">
        <w:tc>
          <w:tcPr>
            <w:tcW w:w="0" w:type="auto"/>
            <w:vAlign w:val="center"/>
          </w:tcPr>
          <w:p w:rsidR="005F78FC" w:rsidRDefault="00B42EF3">
            <w:pPr>
              <w:pStyle w:val="TableBodyText"/>
            </w:pPr>
            <w:r>
              <w:t>Chinese</w:t>
            </w:r>
          </w:p>
        </w:tc>
        <w:tc>
          <w:tcPr>
            <w:tcW w:w="0" w:type="auto"/>
            <w:vAlign w:val="center"/>
          </w:tcPr>
          <w:p w:rsidR="005F78FC" w:rsidRDefault="00B42EF3">
            <w:pPr>
              <w:pStyle w:val="TableBodyText"/>
            </w:pPr>
            <w:r>
              <w:t>Macao SAR</w:t>
            </w:r>
          </w:p>
        </w:tc>
        <w:tc>
          <w:tcPr>
            <w:tcW w:w="0" w:type="auto"/>
            <w:vAlign w:val="center"/>
          </w:tcPr>
          <w:p w:rsidR="005F78FC" w:rsidRDefault="00B42EF3">
            <w:pPr>
              <w:pStyle w:val="TableBodyText"/>
            </w:pPr>
            <w:r>
              <w:t>zh-MO</w:t>
            </w:r>
          </w:p>
        </w:tc>
      </w:tr>
      <w:tr w:rsidR="005F78FC" w:rsidTr="005F78FC">
        <w:tc>
          <w:tcPr>
            <w:tcW w:w="0" w:type="auto"/>
            <w:vAlign w:val="center"/>
          </w:tcPr>
          <w:p w:rsidR="005F78FC" w:rsidRDefault="00B42EF3">
            <w:pPr>
              <w:pStyle w:val="TableBodyText"/>
            </w:pPr>
            <w:r>
              <w:t>Chinese</w:t>
            </w:r>
          </w:p>
        </w:tc>
        <w:tc>
          <w:tcPr>
            <w:tcW w:w="0" w:type="auto"/>
            <w:vAlign w:val="center"/>
          </w:tcPr>
          <w:p w:rsidR="005F78FC" w:rsidRDefault="00B42EF3">
            <w:pPr>
              <w:pStyle w:val="TableBodyText"/>
            </w:pPr>
            <w:r>
              <w:t>PRC</w:t>
            </w:r>
          </w:p>
        </w:tc>
        <w:tc>
          <w:tcPr>
            <w:tcW w:w="0" w:type="auto"/>
            <w:vAlign w:val="center"/>
          </w:tcPr>
          <w:p w:rsidR="005F78FC" w:rsidRDefault="00B42EF3">
            <w:pPr>
              <w:pStyle w:val="TableBodyText"/>
            </w:pPr>
            <w:r>
              <w:t>zh-CN</w:t>
            </w:r>
          </w:p>
        </w:tc>
      </w:tr>
      <w:tr w:rsidR="005F78FC" w:rsidTr="005F78FC">
        <w:tc>
          <w:tcPr>
            <w:tcW w:w="0" w:type="auto"/>
            <w:vAlign w:val="center"/>
          </w:tcPr>
          <w:p w:rsidR="005F78FC" w:rsidRDefault="00B42EF3">
            <w:pPr>
              <w:pStyle w:val="TableBodyText"/>
            </w:pPr>
            <w:r>
              <w:t>Chinese</w:t>
            </w:r>
          </w:p>
        </w:tc>
        <w:tc>
          <w:tcPr>
            <w:tcW w:w="0" w:type="auto"/>
            <w:vAlign w:val="center"/>
          </w:tcPr>
          <w:p w:rsidR="005F78FC" w:rsidRDefault="00B42EF3">
            <w:pPr>
              <w:pStyle w:val="TableBodyText"/>
            </w:pPr>
            <w:r>
              <w:t>Singapore</w:t>
            </w:r>
          </w:p>
        </w:tc>
        <w:tc>
          <w:tcPr>
            <w:tcW w:w="0" w:type="auto"/>
            <w:vAlign w:val="center"/>
          </w:tcPr>
          <w:p w:rsidR="005F78FC" w:rsidRDefault="00B42EF3">
            <w:pPr>
              <w:pStyle w:val="TableBodyText"/>
            </w:pPr>
            <w:r>
              <w:t>zh-SG</w:t>
            </w:r>
          </w:p>
        </w:tc>
      </w:tr>
      <w:tr w:rsidR="005F78FC" w:rsidTr="005F78FC">
        <w:tc>
          <w:tcPr>
            <w:tcW w:w="0" w:type="auto"/>
            <w:vAlign w:val="center"/>
          </w:tcPr>
          <w:p w:rsidR="005F78FC" w:rsidRDefault="00B42EF3">
            <w:pPr>
              <w:pStyle w:val="TableBodyText"/>
            </w:pPr>
            <w:r>
              <w:t>Chinese</w:t>
            </w:r>
          </w:p>
        </w:tc>
        <w:tc>
          <w:tcPr>
            <w:tcW w:w="0" w:type="auto"/>
            <w:vAlign w:val="center"/>
          </w:tcPr>
          <w:p w:rsidR="005F78FC" w:rsidRDefault="00B42EF3">
            <w:pPr>
              <w:pStyle w:val="TableBodyText"/>
            </w:pPr>
            <w:r>
              <w:t>Taiwan</w:t>
            </w:r>
          </w:p>
        </w:tc>
        <w:tc>
          <w:tcPr>
            <w:tcW w:w="0" w:type="auto"/>
            <w:vAlign w:val="center"/>
          </w:tcPr>
          <w:p w:rsidR="005F78FC" w:rsidRDefault="00B42EF3">
            <w:pPr>
              <w:pStyle w:val="TableBodyText"/>
            </w:pPr>
            <w:r>
              <w:t>zh-TW</w:t>
            </w:r>
          </w:p>
        </w:tc>
      </w:tr>
      <w:tr w:rsidR="005F78FC" w:rsidTr="005F78FC">
        <w:tc>
          <w:tcPr>
            <w:tcW w:w="0" w:type="auto"/>
            <w:vAlign w:val="center"/>
          </w:tcPr>
          <w:p w:rsidR="005F78FC" w:rsidRDefault="00B42EF3">
            <w:pPr>
              <w:pStyle w:val="TableBodyText"/>
            </w:pPr>
            <w:r>
              <w:t>Corsican</w:t>
            </w:r>
          </w:p>
        </w:tc>
        <w:tc>
          <w:tcPr>
            <w:tcW w:w="0" w:type="auto"/>
            <w:vAlign w:val="center"/>
          </w:tcPr>
          <w:p w:rsidR="005F78FC" w:rsidRDefault="00B42EF3">
            <w:pPr>
              <w:pStyle w:val="TableBodyText"/>
            </w:pPr>
            <w:r>
              <w:t>France</w:t>
            </w:r>
          </w:p>
        </w:tc>
        <w:tc>
          <w:tcPr>
            <w:tcW w:w="0" w:type="auto"/>
            <w:vAlign w:val="center"/>
          </w:tcPr>
          <w:p w:rsidR="005F78FC" w:rsidRDefault="00B42EF3">
            <w:pPr>
              <w:pStyle w:val="TableBodyText"/>
            </w:pPr>
            <w:r>
              <w:t>co-FR</w:t>
            </w:r>
          </w:p>
        </w:tc>
      </w:tr>
      <w:tr w:rsidR="005F78FC" w:rsidTr="005F78FC">
        <w:tc>
          <w:tcPr>
            <w:tcW w:w="0" w:type="auto"/>
            <w:vAlign w:val="center"/>
          </w:tcPr>
          <w:p w:rsidR="005F78FC" w:rsidRDefault="00B42EF3">
            <w:pPr>
              <w:pStyle w:val="TableBodyText"/>
            </w:pPr>
            <w:r>
              <w:t>Croatian</w:t>
            </w:r>
          </w:p>
        </w:tc>
        <w:tc>
          <w:tcPr>
            <w:tcW w:w="0" w:type="auto"/>
            <w:vAlign w:val="center"/>
          </w:tcPr>
          <w:p w:rsidR="005F78FC" w:rsidRDefault="00B42EF3">
            <w:pPr>
              <w:pStyle w:val="TableBodyText"/>
            </w:pPr>
            <w:r>
              <w:t>Croatia</w:t>
            </w:r>
          </w:p>
        </w:tc>
        <w:tc>
          <w:tcPr>
            <w:tcW w:w="0" w:type="auto"/>
            <w:vAlign w:val="center"/>
          </w:tcPr>
          <w:p w:rsidR="005F78FC" w:rsidRDefault="00B42EF3">
            <w:pPr>
              <w:pStyle w:val="TableBodyText"/>
            </w:pPr>
            <w:r>
              <w:t>hr-HR</w:t>
            </w:r>
          </w:p>
        </w:tc>
      </w:tr>
      <w:tr w:rsidR="005F78FC" w:rsidTr="005F78FC">
        <w:tc>
          <w:tcPr>
            <w:tcW w:w="0" w:type="auto"/>
            <w:vAlign w:val="center"/>
          </w:tcPr>
          <w:p w:rsidR="005F78FC" w:rsidRDefault="00B42EF3">
            <w:pPr>
              <w:pStyle w:val="TableBodyText"/>
            </w:pPr>
            <w:r>
              <w:t>Croatian (Latin)</w:t>
            </w:r>
          </w:p>
        </w:tc>
        <w:tc>
          <w:tcPr>
            <w:tcW w:w="0" w:type="auto"/>
            <w:vAlign w:val="center"/>
          </w:tcPr>
          <w:p w:rsidR="005F78FC" w:rsidRDefault="00B42EF3">
            <w:pPr>
              <w:pStyle w:val="TableBodyText"/>
            </w:pPr>
            <w:r>
              <w:t>Bosnia and Herzegovina</w:t>
            </w:r>
          </w:p>
        </w:tc>
        <w:tc>
          <w:tcPr>
            <w:tcW w:w="0" w:type="auto"/>
            <w:vAlign w:val="center"/>
          </w:tcPr>
          <w:p w:rsidR="005F78FC" w:rsidRDefault="00B42EF3">
            <w:pPr>
              <w:pStyle w:val="TableBodyText"/>
            </w:pPr>
            <w:r>
              <w:t>hr-BA-Latn</w:t>
            </w:r>
          </w:p>
        </w:tc>
      </w:tr>
      <w:tr w:rsidR="005F78FC" w:rsidTr="005F78FC">
        <w:tc>
          <w:tcPr>
            <w:tcW w:w="0" w:type="auto"/>
            <w:vAlign w:val="center"/>
          </w:tcPr>
          <w:p w:rsidR="005F78FC" w:rsidRDefault="00B42EF3">
            <w:pPr>
              <w:pStyle w:val="TableBodyText"/>
            </w:pPr>
            <w:r>
              <w:t>Czech</w:t>
            </w:r>
          </w:p>
        </w:tc>
        <w:tc>
          <w:tcPr>
            <w:tcW w:w="0" w:type="auto"/>
            <w:vAlign w:val="center"/>
          </w:tcPr>
          <w:p w:rsidR="005F78FC" w:rsidRDefault="00B42EF3">
            <w:pPr>
              <w:pStyle w:val="TableBodyText"/>
            </w:pPr>
            <w:r>
              <w:t>Czech Republic</w:t>
            </w:r>
          </w:p>
        </w:tc>
        <w:tc>
          <w:tcPr>
            <w:tcW w:w="0" w:type="auto"/>
            <w:vAlign w:val="center"/>
          </w:tcPr>
          <w:p w:rsidR="005F78FC" w:rsidRDefault="00B42EF3">
            <w:pPr>
              <w:pStyle w:val="TableBodyText"/>
            </w:pPr>
            <w:r>
              <w:t>cs-CZ</w:t>
            </w:r>
          </w:p>
        </w:tc>
      </w:tr>
      <w:tr w:rsidR="005F78FC" w:rsidTr="005F78FC">
        <w:tc>
          <w:tcPr>
            <w:tcW w:w="0" w:type="auto"/>
            <w:vAlign w:val="center"/>
          </w:tcPr>
          <w:p w:rsidR="005F78FC" w:rsidRDefault="00B42EF3">
            <w:pPr>
              <w:pStyle w:val="TableBodyText"/>
            </w:pPr>
            <w:r>
              <w:t>Danish</w:t>
            </w:r>
          </w:p>
        </w:tc>
        <w:tc>
          <w:tcPr>
            <w:tcW w:w="0" w:type="auto"/>
            <w:vAlign w:val="center"/>
          </w:tcPr>
          <w:p w:rsidR="005F78FC" w:rsidRDefault="00B42EF3">
            <w:pPr>
              <w:pStyle w:val="TableBodyText"/>
            </w:pPr>
            <w:r>
              <w:t>Denmark</w:t>
            </w:r>
          </w:p>
        </w:tc>
        <w:tc>
          <w:tcPr>
            <w:tcW w:w="0" w:type="auto"/>
            <w:vAlign w:val="center"/>
          </w:tcPr>
          <w:p w:rsidR="005F78FC" w:rsidRDefault="00B42EF3">
            <w:pPr>
              <w:pStyle w:val="TableBodyText"/>
            </w:pPr>
            <w:r>
              <w:t>da-DK</w:t>
            </w:r>
          </w:p>
        </w:tc>
      </w:tr>
      <w:tr w:rsidR="005F78FC" w:rsidTr="005F78FC">
        <w:tc>
          <w:tcPr>
            <w:tcW w:w="0" w:type="auto"/>
            <w:vAlign w:val="center"/>
          </w:tcPr>
          <w:p w:rsidR="005F78FC" w:rsidRDefault="00B42EF3">
            <w:pPr>
              <w:pStyle w:val="TableBodyText"/>
            </w:pPr>
            <w:r>
              <w:t>Dari</w:t>
            </w:r>
          </w:p>
        </w:tc>
        <w:tc>
          <w:tcPr>
            <w:tcW w:w="0" w:type="auto"/>
            <w:vAlign w:val="center"/>
          </w:tcPr>
          <w:p w:rsidR="005F78FC" w:rsidRDefault="00B42EF3">
            <w:pPr>
              <w:pStyle w:val="TableBodyText"/>
            </w:pPr>
            <w:r>
              <w:t>Afghanistan</w:t>
            </w:r>
          </w:p>
        </w:tc>
        <w:tc>
          <w:tcPr>
            <w:tcW w:w="0" w:type="auto"/>
            <w:vAlign w:val="center"/>
          </w:tcPr>
          <w:p w:rsidR="005F78FC" w:rsidRDefault="00B42EF3">
            <w:pPr>
              <w:pStyle w:val="TableBodyText"/>
            </w:pPr>
            <w:r>
              <w:t>prs-AF</w:t>
            </w:r>
          </w:p>
        </w:tc>
      </w:tr>
      <w:tr w:rsidR="005F78FC" w:rsidTr="005F78FC">
        <w:tc>
          <w:tcPr>
            <w:tcW w:w="0" w:type="auto"/>
            <w:vAlign w:val="center"/>
          </w:tcPr>
          <w:p w:rsidR="005F78FC" w:rsidRDefault="00B42EF3">
            <w:pPr>
              <w:pStyle w:val="TableBodyText"/>
            </w:pPr>
            <w:r>
              <w:t>Divehi</w:t>
            </w:r>
          </w:p>
        </w:tc>
        <w:tc>
          <w:tcPr>
            <w:tcW w:w="0" w:type="auto"/>
            <w:vAlign w:val="center"/>
          </w:tcPr>
          <w:p w:rsidR="005F78FC" w:rsidRDefault="00B42EF3">
            <w:pPr>
              <w:pStyle w:val="TableBodyText"/>
            </w:pPr>
            <w:r>
              <w:t>Maldives</w:t>
            </w:r>
          </w:p>
        </w:tc>
        <w:tc>
          <w:tcPr>
            <w:tcW w:w="0" w:type="auto"/>
            <w:vAlign w:val="center"/>
          </w:tcPr>
          <w:p w:rsidR="005F78FC" w:rsidRDefault="00B42EF3">
            <w:pPr>
              <w:pStyle w:val="TableBodyText"/>
            </w:pPr>
            <w:r>
              <w:t>div-MV</w:t>
            </w:r>
          </w:p>
        </w:tc>
      </w:tr>
      <w:tr w:rsidR="005F78FC" w:rsidTr="005F78FC">
        <w:tc>
          <w:tcPr>
            <w:tcW w:w="0" w:type="auto"/>
            <w:vAlign w:val="center"/>
          </w:tcPr>
          <w:p w:rsidR="005F78FC" w:rsidRDefault="00B42EF3">
            <w:pPr>
              <w:pStyle w:val="TableBodyText"/>
            </w:pPr>
            <w:r>
              <w:lastRenderedPageBreak/>
              <w:t>Dutch</w:t>
            </w:r>
          </w:p>
        </w:tc>
        <w:tc>
          <w:tcPr>
            <w:tcW w:w="0" w:type="auto"/>
            <w:vAlign w:val="center"/>
          </w:tcPr>
          <w:p w:rsidR="005F78FC" w:rsidRDefault="00B42EF3">
            <w:pPr>
              <w:pStyle w:val="TableBodyText"/>
            </w:pPr>
            <w:r>
              <w:t>Belgium</w:t>
            </w:r>
          </w:p>
        </w:tc>
        <w:tc>
          <w:tcPr>
            <w:tcW w:w="0" w:type="auto"/>
            <w:vAlign w:val="center"/>
          </w:tcPr>
          <w:p w:rsidR="005F78FC" w:rsidRDefault="00B42EF3">
            <w:pPr>
              <w:pStyle w:val="TableBodyText"/>
            </w:pPr>
            <w:r>
              <w:t>nl-BE</w:t>
            </w:r>
          </w:p>
        </w:tc>
      </w:tr>
      <w:tr w:rsidR="005F78FC" w:rsidTr="005F78FC">
        <w:tc>
          <w:tcPr>
            <w:tcW w:w="0" w:type="auto"/>
            <w:vAlign w:val="center"/>
          </w:tcPr>
          <w:p w:rsidR="005F78FC" w:rsidRDefault="00B42EF3">
            <w:pPr>
              <w:pStyle w:val="TableBodyText"/>
            </w:pPr>
            <w:r>
              <w:t>Dutch</w:t>
            </w:r>
          </w:p>
        </w:tc>
        <w:tc>
          <w:tcPr>
            <w:tcW w:w="0" w:type="auto"/>
            <w:vAlign w:val="center"/>
          </w:tcPr>
          <w:p w:rsidR="005F78FC" w:rsidRDefault="00B42EF3">
            <w:pPr>
              <w:pStyle w:val="TableBodyText"/>
            </w:pPr>
            <w:r>
              <w:t>Netherlands</w:t>
            </w:r>
          </w:p>
        </w:tc>
        <w:tc>
          <w:tcPr>
            <w:tcW w:w="0" w:type="auto"/>
            <w:vAlign w:val="center"/>
          </w:tcPr>
          <w:p w:rsidR="005F78FC" w:rsidRDefault="00B42EF3">
            <w:pPr>
              <w:pStyle w:val="TableBodyText"/>
            </w:pPr>
            <w:r>
              <w:t>nl-NL</w:t>
            </w:r>
          </w:p>
        </w:tc>
      </w:tr>
      <w:tr w:rsidR="005F78FC" w:rsidTr="005F78FC">
        <w:tc>
          <w:tcPr>
            <w:tcW w:w="0" w:type="auto"/>
            <w:vAlign w:val="center"/>
          </w:tcPr>
          <w:p w:rsidR="005F78FC" w:rsidRDefault="00B42EF3">
            <w:pPr>
              <w:pStyle w:val="TableBodyText"/>
            </w:pPr>
            <w:r>
              <w:t>English</w:t>
            </w:r>
          </w:p>
        </w:tc>
        <w:tc>
          <w:tcPr>
            <w:tcW w:w="0" w:type="auto"/>
            <w:vAlign w:val="center"/>
          </w:tcPr>
          <w:p w:rsidR="005F78FC" w:rsidRDefault="00B42EF3">
            <w:pPr>
              <w:pStyle w:val="TableBodyText"/>
            </w:pPr>
            <w:r>
              <w:t>Australia</w:t>
            </w:r>
          </w:p>
        </w:tc>
        <w:tc>
          <w:tcPr>
            <w:tcW w:w="0" w:type="auto"/>
            <w:vAlign w:val="center"/>
          </w:tcPr>
          <w:p w:rsidR="005F78FC" w:rsidRDefault="00B42EF3">
            <w:pPr>
              <w:pStyle w:val="TableBodyText"/>
            </w:pPr>
            <w:r>
              <w:t>en-AU</w:t>
            </w:r>
          </w:p>
        </w:tc>
      </w:tr>
      <w:tr w:rsidR="005F78FC" w:rsidTr="005F78FC">
        <w:tc>
          <w:tcPr>
            <w:tcW w:w="0" w:type="auto"/>
            <w:vAlign w:val="center"/>
          </w:tcPr>
          <w:p w:rsidR="005F78FC" w:rsidRDefault="00B42EF3">
            <w:pPr>
              <w:pStyle w:val="TableBodyText"/>
            </w:pPr>
            <w:r>
              <w:t>English</w:t>
            </w:r>
          </w:p>
        </w:tc>
        <w:tc>
          <w:tcPr>
            <w:tcW w:w="0" w:type="auto"/>
            <w:vAlign w:val="center"/>
          </w:tcPr>
          <w:p w:rsidR="005F78FC" w:rsidRDefault="00B42EF3">
            <w:pPr>
              <w:pStyle w:val="TableBodyText"/>
            </w:pPr>
            <w:r>
              <w:t>Belize</w:t>
            </w:r>
          </w:p>
        </w:tc>
        <w:tc>
          <w:tcPr>
            <w:tcW w:w="0" w:type="auto"/>
            <w:vAlign w:val="center"/>
          </w:tcPr>
          <w:p w:rsidR="005F78FC" w:rsidRDefault="00B42EF3">
            <w:pPr>
              <w:pStyle w:val="TableBodyText"/>
            </w:pPr>
            <w:r>
              <w:t>en-BZ</w:t>
            </w:r>
          </w:p>
        </w:tc>
      </w:tr>
      <w:tr w:rsidR="005F78FC" w:rsidTr="005F78FC">
        <w:tc>
          <w:tcPr>
            <w:tcW w:w="0" w:type="auto"/>
            <w:vAlign w:val="center"/>
          </w:tcPr>
          <w:p w:rsidR="005F78FC" w:rsidRDefault="00B42EF3">
            <w:pPr>
              <w:pStyle w:val="TableBodyText"/>
            </w:pPr>
            <w:r>
              <w:t>English</w:t>
            </w:r>
          </w:p>
        </w:tc>
        <w:tc>
          <w:tcPr>
            <w:tcW w:w="0" w:type="auto"/>
            <w:vAlign w:val="center"/>
          </w:tcPr>
          <w:p w:rsidR="005F78FC" w:rsidRDefault="00B42EF3">
            <w:pPr>
              <w:pStyle w:val="TableBodyText"/>
            </w:pPr>
            <w:r>
              <w:t>Canada</w:t>
            </w:r>
          </w:p>
        </w:tc>
        <w:tc>
          <w:tcPr>
            <w:tcW w:w="0" w:type="auto"/>
            <w:vAlign w:val="center"/>
          </w:tcPr>
          <w:p w:rsidR="005F78FC" w:rsidRDefault="00B42EF3">
            <w:pPr>
              <w:pStyle w:val="TableBodyText"/>
            </w:pPr>
            <w:r>
              <w:t>en-CA</w:t>
            </w:r>
          </w:p>
        </w:tc>
      </w:tr>
      <w:tr w:rsidR="005F78FC" w:rsidTr="005F78FC">
        <w:tc>
          <w:tcPr>
            <w:tcW w:w="0" w:type="auto"/>
            <w:vAlign w:val="center"/>
          </w:tcPr>
          <w:p w:rsidR="005F78FC" w:rsidRDefault="00B42EF3">
            <w:pPr>
              <w:pStyle w:val="TableBodyText"/>
            </w:pPr>
            <w:r>
              <w:t>English</w:t>
            </w:r>
          </w:p>
        </w:tc>
        <w:tc>
          <w:tcPr>
            <w:tcW w:w="0" w:type="auto"/>
            <w:vAlign w:val="center"/>
          </w:tcPr>
          <w:p w:rsidR="005F78FC" w:rsidRDefault="00B42EF3">
            <w:pPr>
              <w:pStyle w:val="TableBodyText"/>
            </w:pPr>
            <w:r>
              <w:t>Caribbean</w:t>
            </w:r>
          </w:p>
        </w:tc>
        <w:tc>
          <w:tcPr>
            <w:tcW w:w="0" w:type="auto"/>
            <w:vAlign w:val="center"/>
          </w:tcPr>
          <w:p w:rsidR="005F78FC" w:rsidRDefault="00B42EF3">
            <w:pPr>
              <w:pStyle w:val="TableBodyText"/>
            </w:pPr>
            <w:r>
              <w:t>en-CB</w:t>
            </w:r>
          </w:p>
        </w:tc>
      </w:tr>
      <w:tr w:rsidR="005F78FC" w:rsidTr="005F78FC">
        <w:tc>
          <w:tcPr>
            <w:tcW w:w="0" w:type="auto"/>
            <w:vAlign w:val="center"/>
          </w:tcPr>
          <w:p w:rsidR="005F78FC" w:rsidRDefault="00B42EF3">
            <w:pPr>
              <w:pStyle w:val="TableBodyText"/>
            </w:pPr>
            <w:r>
              <w:t>English</w:t>
            </w:r>
          </w:p>
        </w:tc>
        <w:tc>
          <w:tcPr>
            <w:tcW w:w="0" w:type="auto"/>
            <w:vAlign w:val="center"/>
          </w:tcPr>
          <w:p w:rsidR="005F78FC" w:rsidRDefault="00B42EF3">
            <w:pPr>
              <w:pStyle w:val="TableBodyText"/>
            </w:pPr>
            <w:r>
              <w:t>India</w:t>
            </w:r>
          </w:p>
        </w:tc>
        <w:tc>
          <w:tcPr>
            <w:tcW w:w="0" w:type="auto"/>
            <w:vAlign w:val="center"/>
          </w:tcPr>
          <w:p w:rsidR="005F78FC" w:rsidRDefault="00B42EF3">
            <w:pPr>
              <w:pStyle w:val="TableBodyText"/>
            </w:pPr>
            <w:r>
              <w:t>en-IN</w:t>
            </w:r>
          </w:p>
        </w:tc>
      </w:tr>
      <w:tr w:rsidR="005F78FC" w:rsidTr="005F78FC">
        <w:tc>
          <w:tcPr>
            <w:tcW w:w="0" w:type="auto"/>
            <w:vAlign w:val="center"/>
          </w:tcPr>
          <w:p w:rsidR="005F78FC" w:rsidRDefault="00B42EF3">
            <w:pPr>
              <w:pStyle w:val="TableBodyText"/>
            </w:pPr>
            <w:r>
              <w:t>English</w:t>
            </w:r>
          </w:p>
        </w:tc>
        <w:tc>
          <w:tcPr>
            <w:tcW w:w="0" w:type="auto"/>
            <w:vAlign w:val="center"/>
          </w:tcPr>
          <w:p w:rsidR="005F78FC" w:rsidRDefault="00B42EF3">
            <w:pPr>
              <w:pStyle w:val="TableBodyText"/>
            </w:pPr>
            <w:r>
              <w:t>Ireland</w:t>
            </w:r>
          </w:p>
        </w:tc>
        <w:tc>
          <w:tcPr>
            <w:tcW w:w="0" w:type="auto"/>
            <w:vAlign w:val="center"/>
          </w:tcPr>
          <w:p w:rsidR="005F78FC" w:rsidRDefault="00B42EF3">
            <w:pPr>
              <w:pStyle w:val="TableBodyText"/>
            </w:pPr>
            <w:r>
              <w:t>en-IE</w:t>
            </w:r>
          </w:p>
        </w:tc>
      </w:tr>
      <w:tr w:rsidR="005F78FC" w:rsidTr="005F78FC">
        <w:tc>
          <w:tcPr>
            <w:tcW w:w="0" w:type="auto"/>
            <w:vAlign w:val="center"/>
          </w:tcPr>
          <w:p w:rsidR="005F78FC" w:rsidRDefault="00B42EF3">
            <w:pPr>
              <w:pStyle w:val="TableBodyText"/>
            </w:pPr>
            <w:r>
              <w:t>English</w:t>
            </w:r>
          </w:p>
        </w:tc>
        <w:tc>
          <w:tcPr>
            <w:tcW w:w="0" w:type="auto"/>
            <w:vAlign w:val="center"/>
          </w:tcPr>
          <w:p w:rsidR="005F78FC" w:rsidRDefault="00B42EF3">
            <w:pPr>
              <w:pStyle w:val="TableBodyText"/>
            </w:pPr>
            <w:r>
              <w:t>Jamaica</w:t>
            </w:r>
          </w:p>
        </w:tc>
        <w:tc>
          <w:tcPr>
            <w:tcW w:w="0" w:type="auto"/>
            <w:vAlign w:val="center"/>
          </w:tcPr>
          <w:p w:rsidR="005F78FC" w:rsidRDefault="00B42EF3">
            <w:pPr>
              <w:pStyle w:val="TableBodyText"/>
            </w:pPr>
            <w:r>
              <w:t>en-JM</w:t>
            </w:r>
          </w:p>
        </w:tc>
      </w:tr>
      <w:tr w:rsidR="005F78FC" w:rsidTr="005F78FC">
        <w:tc>
          <w:tcPr>
            <w:tcW w:w="0" w:type="auto"/>
            <w:vAlign w:val="center"/>
          </w:tcPr>
          <w:p w:rsidR="005F78FC" w:rsidRDefault="00B42EF3">
            <w:pPr>
              <w:pStyle w:val="TableBodyText"/>
            </w:pPr>
            <w:r>
              <w:t>English</w:t>
            </w:r>
          </w:p>
        </w:tc>
        <w:tc>
          <w:tcPr>
            <w:tcW w:w="0" w:type="auto"/>
            <w:vAlign w:val="center"/>
          </w:tcPr>
          <w:p w:rsidR="005F78FC" w:rsidRDefault="00B42EF3">
            <w:pPr>
              <w:pStyle w:val="TableBodyText"/>
            </w:pPr>
            <w:r>
              <w:t>Malaysia</w:t>
            </w:r>
          </w:p>
        </w:tc>
        <w:tc>
          <w:tcPr>
            <w:tcW w:w="0" w:type="auto"/>
            <w:vAlign w:val="center"/>
          </w:tcPr>
          <w:p w:rsidR="005F78FC" w:rsidRDefault="00B42EF3">
            <w:pPr>
              <w:pStyle w:val="TableBodyText"/>
            </w:pPr>
            <w:r>
              <w:t>en-MY</w:t>
            </w:r>
          </w:p>
        </w:tc>
      </w:tr>
      <w:tr w:rsidR="005F78FC" w:rsidTr="005F78FC">
        <w:tc>
          <w:tcPr>
            <w:tcW w:w="0" w:type="auto"/>
            <w:vAlign w:val="center"/>
          </w:tcPr>
          <w:p w:rsidR="005F78FC" w:rsidRDefault="00B42EF3">
            <w:pPr>
              <w:pStyle w:val="TableBodyText"/>
            </w:pPr>
            <w:r>
              <w:t>English</w:t>
            </w:r>
          </w:p>
        </w:tc>
        <w:tc>
          <w:tcPr>
            <w:tcW w:w="0" w:type="auto"/>
            <w:vAlign w:val="center"/>
          </w:tcPr>
          <w:p w:rsidR="005F78FC" w:rsidRDefault="00B42EF3">
            <w:pPr>
              <w:pStyle w:val="TableBodyText"/>
            </w:pPr>
            <w:r>
              <w:t>New Zealand</w:t>
            </w:r>
          </w:p>
        </w:tc>
        <w:tc>
          <w:tcPr>
            <w:tcW w:w="0" w:type="auto"/>
            <w:vAlign w:val="center"/>
          </w:tcPr>
          <w:p w:rsidR="005F78FC" w:rsidRDefault="00B42EF3">
            <w:pPr>
              <w:pStyle w:val="TableBodyText"/>
            </w:pPr>
            <w:r>
              <w:t>en-NZ</w:t>
            </w:r>
          </w:p>
        </w:tc>
      </w:tr>
      <w:tr w:rsidR="005F78FC" w:rsidTr="005F78FC">
        <w:tc>
          <w:tcPr>
            <w:tcW w:w="0" w:type="auto"/>
            <w:vAlign w:val="center"/>
          </w:tcPr>
          <w:p w:rsidR="005F78FC" w:rsidRDefault="00B42EF3">
            <w:pPr>
              <w:pStyle w:val="TableBodyText"/>
            </w:pPr>
            <w:r>
              <w:t>English</w:t>
            </w:r>
          </w:p>
        </w:tc>
        <w:tc>
          <w:tcPr>
            <w:tcW w:w="0" w:type="auto"/>
            <w:vAlign w:val="center"/>
          </w:tcPr>
          <w:p w:rsidR="005F78FC" w:rsidRDefault="00B42EF3">
            <w:pPr>
              <w:pStyle w:val="TableBodyText"/>
            </w:pPr>
            <w:r>
              <w:t>Philippines</w:t>
            </w:r>
          </w:p>
        </w:tc>
        <w:tc>
          <w:tcPr>
            <w:tcW w:w="0" w:type="auto"/>
            <w:vAlign w:val="center"/>
          </w:tcPr>
          <w:p w:rsidR="005F78FC" w:rsidRDefault="00B42EF3">
            <w:pPr>
              <w:pStyle w:val="TableBodyText"/>
            </w:pPr>
            <w:r>
              <w:t>en-PH</w:t>
            </w:r>
          </w:p>
        </w:tc>
      </w:tr>
      <w:tr w:rsidR="005F78FC" w:rsidTr="005F78FC">
        <w:tc>
          <w:tcPr>
            <w:tcW w:w="0" w:type="auto"/>
            <w:vAlign w:val="center"/>
          </w:tcPr>
          <w:p w:rsidR="005F78FC" w:rsidRDefault="00B42EF3">
            <w:pPr>
              <w:pStyle w:val="TableBodyText"/>
            </w:pPr>
            <w:r>
              <w:t>English</w:t>
            </w:r>
          </w:p>
        </w:tc>
        <w:tc>
          <w:tcPr>
            <w:tcW w:w="0" w:type="auto"/>
            <w:vAlign w:val="center"/>
          </w:tcPr>
          <w:p w:rsidR="005F78FC" w:rsidRDefault="00B42EF3">
            <w:pPr>
              <w:pStyle w:val="TableBodyText"/>
            </w:pPr>
            <w:r>
              <w:t>South Africa</w:t>
            </w:r>
          </w:p>
        </w:tc>
        <w:tc>
          <w:tcPr>
            <w:tcW w:w="0" w:type="auto"/>
            <w:vAlign w:val="center"/>
          </w:tcPr>
          <w:p w:rsidR="005F78FC" w:rsidRDefault="00B42EF3">
            <w:pPr>
              <w:pStyle w:val="TableBodyText"/>
            </w:pPr>
            <w:r>
              <w:t>en-ZA</w:t>
            </w:r>
          </w:p>
        </w:tc>
      </w:tr>
      <w:tr w:rsidR="005F78FC" w:rsidTr="005F78FC">
        <w:tc>
          <w:tcPr>
            <w:tcW w:w="0" w:type="auto"/>
            <w:vAlign w:val="center"/>
          </w:tcPr>
          <w:p w:rsidR="005F78FC" w:rsidRDefault="00B42EF3">
            <w:pPr>
              <w:pStyle w:val="TableBodyText"/>
            </w:pPr>
            <w:r>
              <w:t>English</w:t>
            </w:r>
          </w:p>
        </w:tc>
        <w:tc>
          <w:tcPr>
            <w:tcW w:w="0" w:type="auto"/>
            <w:vAlign w:val="center"/>
          </w:tcPr>
          <w:p w:rsidR="005F78FC" w:rsidRDefault="00B42EF3">
            <w:pPr>
              <w:pStyle w:val="TableBodyText"/>
            </w:pPr>
            <w:r>
              <w:t>Trinidad</w:t>
            </w:r>
          </w:p>
        </w:tc>
        <w:tc>
          <w:tcPr>
            <w:tcW w:w="0" w:type="auto"/>
            <w:vAlign w:val="center"/>
          </w:tcPr>
          <w:p w:rsidR="005F78FC" w:rsidRDefault="00B42EF3">
            <w:pPr>
              <w:pStyle w:val="TableBodyText"/>
            </w:pPr>
            <w:r>
              <w:t>en-TT</w:t>
            </w:r>
          </w:p>
        </w:tc>
      </w:tr>
      <w:tr w:rsidR="005F78FC" w:rsidTr="005F78FC">
        <w:tc>
          <w:tcPr>
            <w:tcW w:w="0" w:type="auto"/>
            <w:vAlign w:val="center"/>
          </w:tcPr>
          <w:p w:rsidR="005F78FC" w:rsidRDefault="00B42EF3">
            <w:pPr>
              <w:pStyle w:val="TableBodyText"/>
            </w:pPr>
            <w:r>
              <w:t>English</w:t>
            </w:r>
          </w:p>
        </w:tc>
        <w:tc>
          <w:tcPr>
            <w:tcW w:w="0" w:type="auto"/>
            <w:vAlign w:val="center"/>
          </w:tcPr>
          <w:p w:rsidR="005F78FC" w:rsidRDefault="00B42EF3">
            <w:pPr>
              <w:pStyle w:val="TableBodyText"/>
            </w:pPr>
            <w:r>
              <w:t>United Kingdom</w:t>
            </w:r>
          </w:p>
        </w:tc>
        <w:tc>
          <w:tcPr>
            <w:tcW w:w="0" w:type="auto"/>
            <w:vAlign w:val="center"/>
          </w:tcPr>
          <w:p w:rsidR="005F78FC" w:rsidRDefault="00B42EF3">
            <w:pPr>
              <w:pStyle w:val="TableBodyText"/>
            </w:pPr>
            <w:r>
              <w:t>en-GB</w:t>
            </w:r>
          </w:p>
        </w:tc>
      </w:tr>
      <w:tr w:rsidR="005F78FC" w:rsidTr="005F78FC">
        <w:tc>
          <w:tcPr>
            <w:tcW w:w="0" w:type="auto"/>
            <w:vAlign w:val="center"/>
          </w:tcPr>
          <w:p w:rsidR="005F78FC" w:rsidRDefault="00B42EF3">
            <w:pPr>
              <w:pStyle w:val="TableBodyText"/>
            </w:pPr>
            <w:r>
              <w:t>English</w:t>
            </w:r>
          </w:p>
        </w:tc>
        <w:tc>
          <w:tcPr>
            <w:tcW w:w="0" w:type="auto"/>
            <w:vAlign w:val="center"/>
          </w:tcPr>
          <w:p w:rsidR="005F78FC" w:rsidRDefault="00B42EF3">
            <w:pPr>
              <w:pStyle w:val="TableBodyText"/>
            </w:pPr>
            <w:r>
              <w:t>United States</w:t>
            </w:r>
          </w:p>
        </w:tc>
        <w:tc>
          <w:tcPr>
            <w:tcW w:w="0" w:type="auto"/>
            <w:vAlign w:val="center"/>
          </w:tcPr>
          <w:p w:rsidR="005F78FC" w:rsidRDefault="00B42EF3">
            <w:pPr>
              <w:pStyle w:val="TableBodyText"/>
            </w:pPr>
            <w:r>
              <w:t>en-US</w:t>
            </w:r>
          </w:p>
        </w:tc>
      </w:tr>
      <w:tr w:rsidR="005F78FC" w:rsidTr="005F78FC">
        <w:tc>
          <w:tcPr>
            <w:tcW w:w="0" w:type="auto"/>
            <w:vAlign w:val="center"/>
          </w:tcPr>
          <w:p w:rsidR="005F78FC" w:rsidRDefault="00B42EF3">
            <w:pPr>
              <w:pStyle w:val="TableBodyText"/>
            </w:pPr>
            <w:r>
              <w:t>English</w:t>
            </w:r>
          </w:p>
        </w:tc>
        <w:tc>
          <w:tcPr>
            <w:tcW w:w="0" w:type="auto"/>
            <w:vAlign w:val="center"/>
          </w:tcPr>
          <w:p w:rsidR="005F78FC" w:rsidRDefault="00B42EF3">
            <w:pPr>
              <w:pStyle w:val="TableBodyText"/>
            </w:pPr>
            <w:r>
              <w:t>Zimbabwe</w:t>
            </w:r>
          </w:p>
        </w:tc>
        <w:tc>
          <w:tcPr>
            <w:tcW w:w="0" w:type="auto"/>
            <w:vAlign w:val="center"/>
          </w:tcPr>
          <w:p w:rsidR="005F78FC" w:rsidRDefault="00B42EF3">
            <w:pPr>
              <w:pStyle w:val="TableBodyText"/>
            </w:pPr>
            <w:r>
              <w:t>en-ZW</w:t>
            </w:r>
          </w:p>
        </w:tc>
      </w:tr>
      <w:tr w:rsidR="005F78FC" w:rsidTr="005F78FC">
        <w:tc>
          <w:tcPr>
            <w:tcW w:w="0" w:type="auto"/>
            <w:vAlign w:val="center"/>
          </w:tcPr>
          <w:p w:rsidR="005F78FC" w:rsidRDefault="00B42EF3">
            <w:pPr>
              <w:pStyle w:val="TableBodyText"/>
            </w:pPr>
            <w:r>
              <w:t xml:space="preserve">Estonian </w:t>
            </w:r>
          </w:p>
        </w:tc>
        <w:tc>
          <w:tcPr>
            <w:tcW w:w="0" w:type="auto"/>
            <w:vAlign w:val="center"/>
          </w:tcPr>
          <w:p w:rsidR="005F78FC" w:rsidRDefault="00B42EF3">
            <w:pPr>
              <w:pStyle w:val="TableBodyText"/>
            </w:pPr>
            <w:r>
              <w:t>Estonia</w:t>
            </w:r>
          </w:p>
        </w:tc>
        <w:tc>
          <w:tcPr>
            <w:tcW w:w="0" w:type="auto"/>
            <w:vAlign w:val="center"/>
          </w:tcPr>
          <w:p w:rsidR="005F78FC" w:rsidRDefault="00B42EF3">
            <w:pPr>
              <w:pStyle w:val="TableBodyText"/>
            </w:pPr>
            <w:r>
              <w:t>et-EE</w:t>
            </w:r>
          </w:p>
        </w:tc>
      </w:tr>
      <w:tr w:rsidR="005F78FC" w:rsidTr="005F78FC">
        <w:tc>
          <w:tcPr>
            <w:tcW w:w="0" w:type="auto"/>
            <w:vAlign w:val="center"/>
          </w:tcPr>
          <w:p w:rsidR="005F78FC" w:rsidRDefault="00B42EF3">
            <w:pPr>
              <w:pStyle w:val="TableBodyText"/>
            </w:pPr>
            <w:r>
              <w:t>Faroese</w:t>
            </w:r>
          </w:p>
        </w:tc>
        <w:tc>
          <w:tcPr>
            <w:tcW w:w="0" w:type="auto"/>
            <w:vAlign w:val="center"/>
          </w:tcPr>
          <w:p w:rsidR="005F78FC" w:rsidRDefault="00B42EF3">
            <w:pPr>
              <w:pStyle w:val="TableBodyText"/>
            </w:pPr>
            <w:r>
              <w:t>Faroe Islands</w:t>
            </w:r>
          </w:p>
        </w:tc>
        <w:tc>
          <w:tcPr>
            <w:tcW w:w="0" w:type="auto"/>
            <w:vAlign w:val="center"/>
          </w:tcPr>
          <w:p w:rsidR="005F78FC" w:rsidRDefault="00B42EF3">
            <w:pPr>
              <w:pStyle w:val="TableBodyText"/>
            </w:pPr>
            <w:r>
              <w:t>fo-FO</w:t>
            </w:r>
          </w:p>
        </w:tc>
      </w:tr>
      <w:tr w:rsidR="005F78FC" w:rsidTr="005F78FC">
        <w:tc>
          <w:tcPr>
            <w:tcW w:w="0" w:type="auto"/>
            <w:vAlign w:val="center"/>
          </w:tcPr>
          <w:p w:rsidR="005F78FC" w:rsidRDefault="00B42EF3">
            <w:pPr>
              <w:pStyle w:val="TableBodyText"/>
            </w:pPr>
            <w:r>
              <w:t>Filipino</w:t>
            </w:r>
          </w:p>
        </w:tc>
        <w:tc>
          <w:tcPr>
            <w:tcW w:w="0" w:type="auto"/>
            <w:vAlign w:val="center"/>
          </w:tcPr>
          <w:p w:rsidR="005F78FC" w:rsidRDefault="00B42EF3">
            <w:pPr>
              <w:pStyle w:val="TableBodyText"/>
            </w:pPr>
            <w:r>
              <w:t>Philippines</w:t>
            </w:r>
          </w:p>
        </w:tc>
        <w:tc>
          <w:tcPr>
            <w:tcW w:w="0" w:type="auto"/>
            <w:vAlign w:val="center"/>
          </w:tcPr>
          <w:p w:rsidR="005F78FC" w:rsidRDefault="00B42EF3">
            <w:pPr>
              <w:pStyle w:val="TableBodyText"/>
            </w:pPr>
            <w:r>
              <w:t>fil-PH</w:t>
            </w:r>
          </w:p>
        </w:tc>
      </w:tr>
      <w:tr w:rsidR="005F78FC" w:rsidTr="005F78FC">
        <w:tc>
          <w:tcPr>
            <w:tcW w:w="0" w:type="auto"/>
            <w:vAlign w:val="center"/>
          </w:tcPr>
          <w:p w:rsidR="005F78FC" w:rsidRDefault="00B42EF3">
            <w:pPr>
              <w:pStyle w:val="TableBodyText"/>
            </w:pPr>
            <w:r>
              <w:t>Finnish</w:t>
            </w:r>
          </w:p>
        </w:tc>
        <w:tc>
          <w:tcPr>
            <w:tcW w:w="0" w:type="auto"/>
            <w:vAlign w:val="center"/>
          </w:tcPr>
          <w:p w:rsidR="005F78FC" w:rsidRDefault="00B42EF3">
            <w:pPr>
              <w:pStyle w:val="TableBodyText"/>
            </w:pPr>
            <w:r>
              <w:t>Finland</w:t>
            </w:r>
          </w:p>
        </w:tc>
        <w:tc>
          <w:tcPr>
            <w:tcW w:w="0" w:type="auto"/>
            <w:vAlign w:val="center"/>
          </w:tcPr>
          <w:p w:rsidR="005F78FC" w:rsidRDefault="00B42EF3">
            <w:pPr>
              <w:pStyle w:val="TableBodyText"/>
            </w:pPr>
            <w:r>
              <w:t>fi-FI</w:t>
            </w:r>
          </w:p>
        </w:tc>
      </w:tr>
      <w:tr w:rsidR="005F78FC" w:rsidTr="005F78FC">
        <w:tc>
          <w:tcPr>
            <w:tcW w:w="0" w:type="auto"/>
            <w:vAlign w:val="center"/>
          </w:tcPr>
          <w:p w:rsidR="005F78FC" w:rsidRDefault="00B42EF3">
            <w:pPr>
              <w:pStyle w:val="TableBodyText"/>
            </w:pPr>
            <w:r>
              <w:t>French</w:t>
            </w:r>
          </w:p>
        </w:tc>
        <w:tc>
          <w:tcPr>
            <w:tcW w:w="0" w:type="auto"/>
            <w:vAlign w:val="center"/>
          </w:tcPr>
          <w:p w:rsidR="005F78FC" w:rsidRDefault="00B42EF3">
            <w:pPr>
              <w:pStyle w:val="TableBodyText"/>
            </w:pPr>
            <w:r>
              <w:t>Belgium</w:t>
            </w:r>
          </w:p>
        </w:tc>
        <w:tc>
          <w:tcPr>
            <w:tcW w:w="0" w:type="auto"/>
            <w:vAlign w:val="center"/>
          </w:tcPr>
          <w:p w:rsidR="005F78FC" w:rsidRDefault="00B42EF3">
            <w:pPr>
              <w:pStyle w:val="TableBodyText"/>
            </w:pPr>
            <w:r>
              <w:t>fr-BE</w:t>
            </w:r>
          </w:p>
        </w:tc>
      </w:tr>
      <w:tr w:rsidR="005F78FC" w:rsidTr="005F78FC">
        <w:tc>
          <w:tcPr>
            <w:tcW w:w="0" w:type="auto"/>
            <w:vAlign w:val="center"/>
          </w:tcPr>
          <w:p w:rsidR="005F78FC" w:rsidRDefault="00B42EF3">
            <w:pPr>
              <w:pStyle w:val="TableBodyText"/>
            </w:pPr>
            <w:r>
              <w:t>French</w:t>
            </w:r>
          </w:p>
        </w:tc>
        <w:tc>
          <w:tcPr>
            <w:tcW w:w="0" w:type="auto"/>
            <w:vAlign w:val="center"/>
          </w:tcPr>
          <w:p w:rsidR="005F78FC" w:rsidRDefault="00B42EF3">
            <w:pPr>
              <w:pStyle w:val="TableBodyText"/>
            </w:pPr>
            <w:r>
              <w:t>Canada</w:t>
            </w:r>
          </w:p>
        </w:tc>
        <w:tc>
          <w:tcPr>
            <w:tcW w:w="0" w:type="auto"/>
            <w:vAlign w:val="center"/>
          </w:tcPr>
          <w:p w:rsidR="005F78FC" w:rsidRDefault="00B42EF3">
            <w:pPr>
              <w:pStyle w:val="TableBodyText"/>
            </w:pPr>
            <w:r>
              <w:t>fr-CA</w:t>
            </w:r>
          </w:p>
        </w:tc>
      </w:tr>
      <w:tr w:rsidR="005F78FC" w:rsidTr="005F78FC">
        <w:tc>
          <w:tcPr>
            <w:tcW w:w="0" w:type="auto"/>
            <w:vAlign w:val="center"/>
          </w:tcPr>
          <w:p w:rsidR="005F78FC" w:rsidRDefault="00B42EF3">
            <w:pPr>
              <w:pStyle w:val="TableBodyText"/>
            </w:pPr>
            <w:r>
              <w:t>French</w:t>
            </w:r>
          </w:p>
        </w:tc>
        <w:tc>
          <w:tcPr>
            <w:tcW w:w="0" w:type="auto"/>
            <w:vAlign w:val="center"/>
          </w:tcPr>
          <w:p w:rsidR="005F78FC" w:rsidRDefault="00B42EF3">
            <w:pPr>
              <w:pStyle w:val="TableBodyText"/>
            </w:pPr>
            <w:r>
              <w:t>France</w:t>
            </w:r>
          </w:p>
        </w:tc>
        <w:tc>
          <w:tcPr>
            <w:tcW w:w="0" w:type="auto"/>
            <w:vAlign w:val="center"/>
          </w:tcPr>
          <w:p w:rsidR="005F78FC" w:rsidRDefault="00B42EF3">
            <w:pPr>
              <w:pStyle w:val="TableBodyText"/>
            </w:pPr>
            <w:r>
              <w:t>fr-FR</w:t>
            </w:r>
          </w:p>
        </w:tc>
      </w:tr>
      <w:tr w:rsidR="005F78FC" w:rsidTr="005F78FC">
        <w:tc>
          <w:tcPr>
            <w:tcW w:w="0" w:type="auto"/>
            <w:vAlign w:val="center"/>
          </w:tcPr>
          <w:p w:rsidR="005F78FC" w:rsidRDefault="00B42EF3">
            <w:pPr>
              <w:pStyle w:val="TableBodyText"/>
            </w:pPr>
            <w:r>
              <w:t>French</w:t>
            </w:r>
          </w:p>
        </w:tc>
        <w:tc>
          <w:tcPr>
            <w:tcW w:w="0" w:type="auto"/>
            <w:vAlign w:val="center"/>
          </w:tcPr>
          <w:p w:rsidR="005F78FC" w:rsidRDefault="00B42EF3">
            <w:pPr>
              <w:pStyle w:val="TableBodyText"/>
            </w:pPr>
            <w:r>
              <w:t>Luxembourg</w:t>
            </w:r>
          </w:p>
        </w:tc>
        <w:tc>
          <w:tcPr>
            <w:tcW w:w="0" w:type="auto"/>
            <w:vAlign w:val="center"/>
          </w:tcPr>
          <w:p w:rsidR="005F78FC" w:rsidRDefault="00B42EF3">
            <w:pPr>
              <w:pStyle w:val="TableBodyText"/>
            </w:pPr>
            <w:r>
              <w:t>fr-LU</w:t>
            </w:r>
          </w:p>
        </w:tc>
      </w:tr>
      <w:tr w:rsidR="005F78FC" w:rsidTr="005F78FC">
        <w:tc>
          <w:tcPr>
            <w:tcW w:w="0" w:type="auto"/>
            <w:vAlign w:val="center"/>
          </w:tcPr>
          <w:p w:rsidR="005F78FC" w:rsidRDefault="00B42EF3">
            <w:pPr>
              <w:pStyle w:val="TableBodyText"/>
            </w:pPr>
            <w:r>
              <w:t>French</w:t>
            </w:r>
          </w:p>
        </w:tc>
        <w:tc>
          <w:tcPr>
            <w:tcW w:w="0" w:type="auto"/>
            <w:vAlign w:val="center"/>
          </w:tcPr>
          <w:p w:rsidR="005F78FC" w:rsidRDefault="00B42EF3">
            <w:pPr>
              <w:pStyle w:val="TableBodyText"/>
            </w:pPr>
            <w:r>
              <w:t>Monaco</w:t>
            </w:r>
          </w:p>
        </w:tc>
        <w:tc>
          <w:tcPr>
            <w:tcW w:w="0" w:type="auto"/>
            <w:vAlign w:val="center"/>
          </w:tcPr>
          <w:p w:rsidR="005F78FC" w:rsidRDefault="00B42EF3">
            <w:pPr>
              <w:pStyle w:val="TableBodyText"/>
            </w:pPr>
            <w:r>
              <w:t>fr-MC</w:t>
            </w:r>
          </w:p>
        </w:tc>
      </w:tr>
      <w:tr w:rsidR="005F78FC" w:rsidTr="005F78FC">
        <w:tc>
          <w:tcPr>
            <w:tcW w:w="0" w:type="auto"/>
            <w:vAlign w:val="center"/>
          </w:tcPr>
          <w:p w:rsidR="005F78FC" w:rsidRDefault="00B42EF3">
            <w:pPr>
              <w:pStyle w:val="TableBodyText"/>
            </w:pPr>
            <w:r>
              <w:t>French</w:t>
            </w:r>
          </w:p>
        </w:tc>
        <w:tc>
          <w:tcPr>
            <w:tcW w:w="0" w:type="auto"/>
            <w:vAlign w:val="center"/>
          </w:tcPr>
          <w:p w:rsidR="005F78FC" w:rsidRDefault="00B42EF3">
            <w:pPr>
              <w:pStyle w:val="TableBodyText"/>
            </w:pPr>
            <w:r>
              <w:t>Switzerland</w:t>
            </w:r>
          </w:p>
        </w:tc>
        <w:tc>
          <w:tcPr>
            <w:tcW w:w="0" w:type="auto"/>
            <w:vAlign w:val="center"/>
          </w:tcPr>
          <w:p w:rsidR="005F78FC" w:rsidRDefault="00B42EF3">
            <w:pPr>
              <w:pStyle w:val="TableBodyText"/>
            </w:pPr>
            <w:r>
              <w:t>fr-CH</w:t>
            </w:r>
          </w:p>
        </w:tc>
      </w:tr>
      <w:tr w:rsidR="005F78FC" w:rsidTr="005F78FC">
        <w:tc>
          <w:tcPr>
            <w:tcW w:w="0" w:type="auto"/>
            <w:vAlign w:val="center"/>
          </w:tcPr>
          <w:p w:rsidR="005F78FC" w:rsidRDefault="00B42EF3">
            <w:pPr>
              <w:pStyle w:val="TableBodyText"/>
            </w:pPr>
            <w:r>
              <w:t>Frisian</w:t>
            </w:r>
          </w:p>
        </w:tc>
        <w:tc>
          <w:tcPr>
            <w:tcW w:w="0" w:type="auto"/>
            <w:vAlign w:val="center"/>
          </w:tcPr>
          <w:p w:rsidR="005F78FC" w:rsidRDefault="00B42EF3">
            <w:pPr>
              <w:pStyle w:val="TableBodyText"/>
            </w:pPr>
            <w:r>
              <w:t>Netherlands</w:t>
            </w:r>
          </w:p>
        </w:tc>
        <w:tc>
          <w:tcPr>
            <w:tcW w:w="0" w:type="auto"/>
            <w:vAlign w:val="center"/>
          </w:tcPr>
          <w:p w:rsidR="005F78FC" w:rsidRDefault="00B42EF3">
            <w:pPr>
              <w:pStyle w:val="TableBodyText"/>
            </w:pPr>
            <w:r>
              <w:t>fy-NL</w:t>
            </w:r>
          </w:p>
        </w:tc>
      </w:tr>
      <w:tr w:rsidR="005F78FC" w:rsidTr="005F78FC">
        <w:tc>
          <w:tcPr>
            <w:tcW w:w="0" w:type="auto"/>
            <w:vAlign w:val="center"/>
          </w:tcPr>
          <w:p w:rsidR="005F78FC" w:rsidRDefault="00B42EF3">
            <w:pPr>
              <w:pStyle w:val="TableBodyText"/>
            </w:pPr>
            <w:r>
              <w:t>Galician</w:t>
            </w:r>
          </w:p>
        </w:tc>
        <w:tc>
          <w:tcPr>
            <w:tcW w:w="0" w:type="auto"/>
            <w:vAlign w:val="center"/>
          </w:tcPr>
          <w:p w:rsidR="005F78FC" w:rsidRDefault="00B42EF3">
            <w:pPr>
              <w:pStyle w:val="TableBodyText"/>
            </w:pPr>
            <w:r>
              <w:t>Galicia</w:t>
            </w:r>
          </w:p>
        </w:tc>
        <w:tc>
          <w:tcPr>
            <w:tcW w:w="0" w:type="auto"/>
            <w:vAlign w:val="center"/>
          </w:tcPr>
          <w:p w:rsidR="005F78FC" w:rsidRDefault="00B42EF3">
            <w:pPr>
              <w:pStyle w:val="TableBodyText"/>
            </w:pPr>
            <w:r>
              <w:t>gl-ES</w:t>
            </w:r>
          </w:p>
        </w:tc>
      </w:tr>
      <w:tr w:rsidR="005F78FC" w:rsidTr="005F78FC">
        <w:tc>
          <w:tcPr>
            <w:tcW w:w="0" w:type="auto"/>
            <w:vAlign w:val="center"/>
          </w:tcPr>
          <w:p w:rsidR="005F78FC" w:rsidRDefault="00B42EF3">
            <w:pPr>
              <w:pStyle w:val="TableBodyText"/>
            </w:pPr>
            <w:r>
              <w:t>Georgian</w:t>
            </w:r>
          </w:p>
        </w:tc>
        <w:tc>
          <w:tcPr>
            <w:tcW w:w="0" w:type="auto"/>
            <w:vAlign w:val="center"/>
          </w:tcPr>
          <w:p w:rsidR="005F78FC" w:rsidRDefault="00B42EF3">
            <w:pPr>
              <w:pStyle w:val="TableBodyText"/>
            </w:pPr>
            <w:r>
              <w:t>Georgia</w:t>
            </w:r>
          </w:p>
        </w:tc>
        <w:tc>
          <w:tcPr>
            <w:tcW w:w="0" w:type="auto"/>
            <w:vAlign w:val="center"/>
          </w:tcPr>
          <w:p w:rsidR="005F78FC" w:rsidRDefault="00B42EF3">
            <w:pPr>
              <w:pStyle w:val="TableBodyText"/>
            </w:pPr>
            <w:r>
              <w:t>ka-GE</w:t>
            </w:r>
          </w:p>
        </w:tc>
      </w:tr>
      <w:tr w:rsidR="005F78FC" w:rsidTr="005F78FC">
        <w:tc>
          <w:tcPr>
            <w:tcW w:w="0" w:type="auto"/>
            <w:vAlign w:val="center"/>
          </w:tcPr>
          <w:p w:rsidR="005F78FC" w:rsidRDefault="00B42EF3">
            <w:pPr>
              <w:pStyle w:val="TableBodyText"/>
            </w:pPr>
            <w:r>
              <w:t>German</w:t>
            </w:r>
          </w:p>
        </w:tc>
        <w:tc>
          <w:tcPr>
            <w:tcW w:w="0" w:type="auto"/>
            <w:vAlign w:val="center"/>
          </w:tcPr>
          <w:p w:rsidR="005F78FC" w:rsidRDefault="00B42EF3">
            <w:pPr>
              <w:pStyle w:val="TableBodyText"/>
            </w:pPr>
            <w:r>
              <w:t>Austria</w:t>
            </w:r>
          </w:p>
        </w:tc>
        <w:tc>
          <w:tcPr>
            <w:tcW w:w="0" w:type="auto"/>
            <w:vAlign w:val="center"/>
          </w:tcPr>
          <w:p w:rsidR="005F78FC" w:rsidRDefault="00B42EF3">
            <w:pPr>
              <w:pStyle w:val="TableBodyText"/>
            </w:pPr>
            <w:r>
              <w:t>de-AT</w:t>
            </w:r>
          </w:p>
        </w:tc>
      </w:tr>
      <w:tr w:rsidR="005F78FC" w:rsidTr="005F78FC">
        <w:tc>
          <w:tcPr>
            <w:tcW w:w="0" w:type="auto"/>
            <w:vAlign w:val="center"/>
          </w:tcPr>
          <w:p w:rsidR="005F78FC" w:rsidRDefault="00B42EF3">
            <w:pPr>
              <w:pStyle w:val="TableBodyText"/>
            </w:pPr>
            <w:r>
              <w:t>German</w:t>
            </w:r>
          </w:p>
        </w:tc>
        <w:tc>
          <w:tcPr>
            <w:tcW w:w="0" w:type="auto"/>
            <w:vAlign w:val="center"/>
          </w:tcPr>
          <w:p w:rsidR="005F78FC" w:rsidRDefault="00B42EF3">
            <w:pPr>
              <w:pStyle w:val="TableBodyText"/>
            </w:pPr>
            <w:r>
              <w:t>Germany</w:t>
            </w:r>
          </w:p>
        </w:tc>
        <w:tc>
          <w:tcPr>
            <w:tcW w:w="0" w:type="auto"/>
            <w:vAlign w:val="center"/>
          </w:tcPr>
          <w:p w:rsidR="005F78FC" w:rsidRDefault="00B42EF3">
            <w:pPr>
              <w:pStyle w:val="TableBodyText"/>
            </w:pPr>
            <w:r>
              <w:t>de-DE</w:t>
            </w:r>
          </w:p>
        </w:tc>
      </w:tr>
      <w:tr w:rsidR="005F78FC" w:rsidTr="005F78FC">
        <w:tc>
          <w:tcPr>
            <w:tcW w:w="0" w:type="auto"/>
            <w:vAlign w:val="center"/>
          </w:tcPr>
          <w:p w:rsidR="005F78FC" w:rsidRDefault="00B42EF3">
            <w:pPr>
              <w:pStyle w:val="TableBodyText"/>
            </w:pPr>
            <w:r>
              <w:lastRenderedPageBreak/>
              <w:t>German</w:t>
            </w:r>
          </w:p>
        </w:tc>
        <w:tc>
          <w:tcPr>
            <w:tcW w:w="0" w:type="auto"/>
            <w:vAlign w:val="center"/>
          </w:tcPr>
          <w:p w:rsidR="005F78FC" w:rsidRDefault="00B42EF3">
            <w:pPr>
              <w:pStyle w:val="TableBodyText"/>
            </w:pPr>
            <w:r>
              <w:t>Liechtenstein</w:t>
            </w:r>
          </w:p>
        </w:tc>
        <w:tc>
          <w:tcPr>
            <w:tcW w:w="0" w:type="auto"/>
            <w:vAlign w:val="center"/>
          </w:tcPr>
          <w:p w:rsidR="005F78FC" w:rsidRDefault="00B42EF3">
            <w:pPr>
              <w:pStyle w:val="TableBodyText"/>
            </w:pPr>
            <w:r>
              <w:t>de-LI</w:t>
            </w:r>
          </w:p>
        </w:tc>
      </w:tr>
      <w:tr w:rsidR="005F78FC" w:rsidTr="005F78FC">
        <w:tc>
          <w:tcPr>
            <w:tcW w:w="0" w:type="auto"/>
            <w:vAlign w:val="center"/>
          </w:tcPr>
          <w:p w:rsidR="005F78FC" w:rsidRDefault="00B42EF3">
            <w:pPr>
              <w:pStyle w:val="TableBodyText"/>
            </w:pPr>
            <w:r>
              <w:t>German</w:t>
            </w:r>
          </w:p>
        </w:tc>
        <w:tc>
          <w:tcPr>
            <w:tcW w:w="0" w:type="auto"/>
            <w:vAlign w:val="center"/>
          </w:tcPr>
          <w:p w:rsidR="005F78FC" w:rsidRDefault="00B42EF3">
            <w:pPr>
              <w:pStyle w:val="TableBodyText"/>
            </w:pPr>
            <w:r>
              <w:t>Luxembourg</w:t>
            </w:r>
          </w:p>
        </w:tc>
        <w:tc>
          <w:tcPr>
            <w:tcW w:w="0" w:type="auto"/>
            <w:vAlign w:val="center"/>
          </w:tcPr>
          <w:p w:rsidR="005F78FC" w:rsidRDefault="00B42EF3">
            <w:pPr>
              <w:pStyle w:val="TableBodyText"/>
            </w:pPr>
            <w:r>
              <w:t>de-LU</w:t>
            </w:r>
          </w:p>
        </w:tc>
      </w:tr>
      <w:tr w:rsidR="005F78FC" w:rsidTr="005F78FC">
        <w:tc>
          <w:tcPr>
            <w:tcW w:w="0" w:type="auto"/>
            <w:vAlign w:val="center"/>
          </w:tcPr>
          <w:p w:rsidR="005F78FC" w:rsidRDefault="00B42EF3">
            <w:pPr>
              <w:pStyle w:val="TableBodyText"/>
            </w:pPr>
            <w:r>
              <w:t>German</w:t>
            </w:r>
          </w:p>
        </w:tc>
        <w:tc>
          <w:tcPr>
            <w:tcW w:w="0" w:type="auto"/>
            <w:vAlign w:val="center"/>
          </w:tcPr>
          <w:p w:rsidR="005F78FC" w:rsidRDefault="00B42EF3">
            <w:pPr>
              <w:pStyle w:val="TableBodyText"/>
            </w:pPr>
            <w:r>
              <w:t>Switzerland</w:t>
            </w:r>
          </w:p>
        </w:tc>
        <w:tc>
          <w:tcPr>
            <w:tcW w:w="0" w:type="auto"/>
            <w:vAlign w:val="center"/>
          </w:tcPr>
          <w:p w:rsidR="005F78FC" w:rsidRDefault="00B42EF3">
            <w:pPr>
              <w:pStyle w:val="TableBodyText"/>
            </w:pPr>
            <w:r>
              <w:t>de-CH</w:t>
            </w:r>
          </w:p>
        </w:tc>
      </w:tr>
      <w:tr w:rsidR="005F78FC" w:rsidTr="005F78FC">
        <w:tc>
          <w:tcPr>
            <w:tcW w:w="0" w:type="auto"/>
            <w:vAlign w:val="center"/>
          </w:tcPr>
          <w:p w:rsidR="005F78FC" w:rsidRDefault="00B42EF3">
            <w:pPr>
              <w:pStyle w:val="TableBodyText"/>
            </w:pPr>
            <w:r>
              <w:t>Greek</w:t>
            </w:r>
          </w:p>
        </w:tc>
        <w:tc>
          <w:tcPr>
            <w:tcW w:w="0" w:type="auto"/>
            <w:vAlign w:val="center"/>
          </w:tcPr>
          <w:p w:rsidR="005F78FC" w:rsidRDefault="00B42EF3">
            <w:pPr>
              <w:pStyle w:val="TableBodyText"/>
            </w:pPr>
            <w:r>
              <w:t>Greece</w:t>
            </w:r>
          </w:p>
        </w:tc>
        <w:tc>
          <w:tcPr>
            <w:tcW w:w="0" w:type="auto"/>
            <w:vAlign w:val="center"/>
          </w:tcPr>
          <w:p w:rsidR="005F78FC" w:rsidRDefault="00B42EF3">
            <w:pPr>
              <w:pStyle w:val="TableBodyText"/>
            </w:pPr>
            <w:r>
              <w:t>el-GR</w:t>
            </w:r>
          </w:p>
        </w:tc>
      </w:tr>
      <w:tr w:rsidR="005F78FC" w:rsidTr="005F78FC">
        <w:tc>
          <w:tcPr>
            <w:tcW w:w="0" w:type="auto"/>
            <w:vAlign w:val="center"/>
          </w:tcPr>
          <w:p w:rsidR="005F78FC" w:rsidRDefault="00B42EF3">
            <w:pPr>
              <w:pStyle w:val="TableBodyText"/>
            </w:pPr>
            <w:r>
              <w:t>Greenlandic</w:t>
            </w:r>
          </w:p>
        </w:tc>
        <w:tc>
          <w:tcPr>
            <w:tcW w:w="0" w:type="auto"/>
            <w:vAlign w:val="center"/>
          </w:tcPr>
          <w:p w:rsidR="005F78FC" w:rsidRDefault="00B42EF3">
            <w:pPr>
              <w:pStyle w:val="TableBodyText"/>
            </w:pPr>
            <w:r>
              <w:t>Greenland</w:t>
            </w:r>
          </w:p>
        </w:tc>
        <w:tc>
          <w:tcPr>
            <w:tcW w:w="0" w:type="auto"/>
            <w:vAlign w:val="center"/>
          </w:tcPr>
          <w:p w:rsidR="005F78FC" w:rsidRDefault="00B42EF3">
            <w:pPr>
              <w:pStyle w:val="TableBodyText"/>
            </w:pPr>
            <w:r>
              <w:t>kl-GL</w:t>
            </w:r>
          </w:p>
        </w:tc>
      </w:tr>
      <w:tr w:rsidR="005F78FC" w:rsidTr="005F78FC">
        <w:tc>
          <w:tcPr>
            <w:tcW w:w="0" w:type="auto"/>
            <w:vAlign w:val="center"/>
          </w:tcPr>
          <w:p w:rsidR="005F78FC" w:rsidRDefault="00B42EF3">
            <w:pPr>
              <w:pStyle w:val="TableBodyText"/>
            </w:pPr>
            <w:r>
              <w:t>Gujarati (Gujarati Script)</w:t>
            </w:r>
          </w:p>
        </w:tc>
        <w:tc>
          <w:tcPr>
            <w:tcW w:w="0" w:type="auto"/>
            <w:vAlign w:val="center"/>
          </w:tcPr>
          <w:p w:rsidR="005F78FC" w:rsidRDefault="00B42EF3">
            <w:pPr>
              <w:pStyle w:val="TableBodyText"/>
            </w:pPr>
            <w:r>
              <w:t xml:space="preserve">India </w:t>
            </w:r>
          </w:p>
        </w:tc>
        <w:tc>
          <w:tcPr>
            <w:tcW w:w="0" w:type="auto"/>
            <w:vAlign w:val="center"/>
          </w:tcPr>
          <w:p w:rsidR="005F78FC" w:rsidRDefault="00B42EF3">
            <w:pPr>
              <w:pStyle w:val="TableBodyText"/>
            </w:pPr>
            <w:r>
              <w:t>gu-IN</w:t>
            </w:r>
          </w:p>
        </w:tc>
      </w:tr>
      <w:tr w:rsidR="005F78FC" w:rsidTr="005F78FC">
        <w:tc>
          <w:tcPr>
            <w:tcW w:w="0" w:type="auto"/>
            <w:vAlign w:val="center"/>
          </w:tcPr>
          <w:p w:rsidR="005F78FC" w:rsidRDefault="00B42EF3">
            <w:pPr>
              <w:pStyle w:val="TableBodyText"/>
            </w:pPr>
            <w:r>
              <w:t>Hausa (Latin)</w:t>
            </w:r>
          </w:p>
        </w:tc>
        <w:tc>
          <w:tcPr>
            <w:tcW w:w="0" w:type="auto"/>
            <w:vAlign w:val="center"/>
          </w:tcPr>
          <w:p w:rsidR="005F78FC" w:rsidRDefault="00B42EF3">
            <w:pPr>
              <w:pStyle w:val="TableBodyText"/>
            </w:pPr>
            <w:r>
              <w:t>Nigeria</w:t>
            </w:r>
          </w:p>
        </w:tc>
        <w:tc>
          <w:tcPr>
            <w:tcW w:w="0" w:type="auto"/>
            <w:vAlign w:val="center"/>
          </w:tcPr>
          <w:p w:rsidR="005F78FC" w:rsidRDefault="00B42EF3">
            <w:pPr>
              <w:pStyle w:val="TableBodyText"/>
            </w:pPr>
            <w:r>
              <w:t xml:space="preserve">ha-NG-Latn </w:t>
            </w:r>
          </w:p>
        </w:tc>
      </w:tr>
      <w:tr w:rsidR="005F78FC" w:rsidTr="005F78FC">
        <w:tc>
          <w:tcPr>
            <w:tcW w:w="0" w:type="auto"/>
            <w:vAlign w:val="center"/>
          </w:tcPr>
          <w:p w:rsidR="005F78FC" w:rsidRDefault="00B42EF3">
            <w:pPr>
              <w:pStyle w:val="TableBodyText"/>
            </w:pPr>
            <w:r>
              <w:t>Hebrew</w:t>
            </w:r>
          </w:p>
        </w:tc>
        <w:tc>
          <w:tcPr>
            <w:tcW w:w="0" w:type="auto"/>
            <w:vAlign w:val="center"/>
          </w:tcPr>
          <w:p w:rsidR="005F78FC" w:rsidRDefault="00B42EF3">
            <w:pPr>
              <w:pStyle w:val="TableBodyText"/>
            </w:pPr>
            <w:r>
              <w:t>Israel</w:t>
            </w:r>
          </w:p>
        </w:tc>
        <w:tc>
          <w:tcPr>
            <w:tcW w:w="0" w:type="auto"/>
            <w:vAlign w:val="center"/>
          </w:tcPr>
          <w:p w:rsidR="005F78FC" w:rsidRDefault="00B42EF3">
            <w:pPr>
              <w:pStyle w:val="TableBodyText"/>
            </w:pPr>
            <w:r>
              <w:t>he-IL</w:t>
            </w:r>
          </w:p>
        </w:tc>
      </w:tr>
      <w:tr w:rsidR="005F78FC" w:rsidTr="005F78FC">
        <w:tc>
          <w:tcPr>
            <w:tcW w:w="0" w:type="auto"/>
            <w:vAlign w:val="center"/>
          </w:tcPr>
          <w:p w:rsidR="005F78FC" w:rsidRDefault="00B42EF3">
            <w:pPr>
              <w:pStyle w:val="TableBodyText"/>
            </w:pPr>
            <w:r>
              <w:t>Hindi</w:t>
            </w:r>
          </w:p>
        </w:tc>
        <w:tc>
          <w:tcPr>
            <w:tcW w:w="0" w:type="auto"/>
            <w:vAlign w:val="center"/>
          </w:tcPr>
          <w:p w:rsidR="005F78FC" w:rsidRDefault="00B42EF3">
            <w:pPr>
              <w:pStyle w:val="TableBodyText"/>
            </w:pPr>
            <w:r>
              <w:t>India</w:t>
            </w:r>
          </w:p>
        </w:tc>
        <w:tc>
          <w:tcPr>
            <w:tcW w:w="0" w:type="auto"/>
            <w:vAlign w:val="center"/>
          </w:tcPr>
          <w:p w:rsidR="005F78FC" w:rsidRDefault="00B42EF3">
            <w:pPr>
              <w:pStyle w:val="TableBodyText"/>
            </w:pPr>
            <w:r>
              <w:t>hi-IN</w:t>
            </w:r>
          </w:p>
        </w:tc>
      </w:tr>
      <w:tr w:rsidR="005F78FC" w:rsidTr="005F78FC">
        <w:tc>
          <w:tcPr>
            <w:tcW w:w="0" w:type="auto"/>
            <w:vAlign w:val="center"/>
          </w:tcPr>
          <w:p w:rsidR="005F78FC" w:rsidRDefault="00B42EF3">
            <w:pPr>
              <w:pStyle w:val="TableBodyText"/>
            </w:pPr>
            <w:r>
              <w:t>Hungarian</w:t>
            </w:r>
          </w:p>
        </w:tc>
        <w:tc>
          <w:tcPr>
            <w:tcW w:w="0" w:type="auto"/>
            <w:vAlign w:val="center"/>
          </w:tcPr>
          <w:p w:rsidR="005F78FC" w:rsidRDefault="00B42EF3">
            <w:pPr>
              <w:pStyle w:val="TableBodyText"/>
            </w:pPr>
            <w:r>
              <w:t>Hungary</w:t>
            </w:r>
          </w:p>
        </w:tc>
        <w:tc>
          <w:tcPr>
            <w:tcW w:w="0" w:type="auto"/>
            <w:vAlign w:val="center"/>
          </w:tcPr>
          <w:p w:rsidR="005F78FC" w:rsidRDefault="00B42EF3">
            <w:pPr>
              <w:pStyle w:val="TableBodyText"/>
            </w:pPr>
            <w:r>
              <w:t>hu-HU</w:t>
            </w:r>
          </w:p>
        </w:tc>
      </w:tr>
      <w:tr w:rsidR="005F78FC" w:rsidTr="005F78FC">
        <w:tc>
          <w:tcPr>
            <w:tcW w:w="0" w:type="auto"/>
            <w:vAlign w:val="center"/>
          </w:tcPr>
          <w:p w:rsidR="005F78FC" w:rsidRDefault="00B42EF3">
            <w:pPr>
              <w:pStyle w:val="TableBodyText"/>
            </w:pPr>
            <w:r>
              <w:t>Icelandic</w:t>
            </w:r>
          </w:p>
        </w:tc>
        <w:tc>
          <w:tcPr>
            <w:tcW w:w="0" w:type="auto"/>
            <w:vAlign w:val="center"/>
          </w:tcPr>
          <w:p w:rsidR="005F78FC" w:rsidRDefault="00B42EF3">
            <w:pPr>
              <w:pStyle w:val="TableBodyText"/>
            </w:pPr>
            <w:r>
              <w:t>Iceland</w:t>
            </w:r>
          </w:p>
        </w:tc>
        <w:tc>
          <w:tcPr>
            <w:tcW w:w="0" w:type="auto"/>
            <w:vAlign w:val="center"/>
          </w:tcPr>
          <w:p w:rsidR="005F78FC" w:rsidRDefault="00B42EF3">
            <w:pPr>
              <w:pStyle w:val="TableBodyText"/>
            </w:pPr>
            <w:r>
              <w:t>is-IS</w:t>
            </w:r>
          </w:p>
        </w:tc>
      </w:tr>
      <w:tr w:rsidR="005F78FC" w:rsidTr="005F78FC">
        <w:tc>
          <w:tcPr>
            <w:tcW w:w="0" w:type="auto"/>
            <w:vAlign w:val="center"/>
          </w:tcPr>
          <w:p w:rsidR="005F78FC" w:rsidRDefault="00B42EF3">
            <w:pPr>
              <w:pStyle w:val="TableBodyText"/>
            </w:pPr>
            <w:r>
              <w:t xml:space="preserve">Igbo </w:t>
            </w:r>
          </w:p>
        </w:tc>
        <w:tc>
          <w:tcPr>
            <w:tcW w:w="0" w:type="auto"/>
            <w:vAlign w:val="center"/>
          </w:tcPr>
          <w:p w:rsidR="005F78FC" w:rsidRDefault="00B42EF3">
            <w:pPr>
              <w:pStyle w:val="TableBodyText"/>
            </w:pPr>
            <w:r>
              <w:t>Nigeria</w:t>
            </w:r>
          </w:p>
        </w:tc>
        <w:tc>
          <w:tcPr>
            <w:tcW w:w="0" w:type="auto"/>
            <w:vAlign w:val="center"/>
          </w:tcPr>
          <w:p w:rsidR="005F78FC" w:rsidRDefault="00B42EF3">
            <w:pPr>
              <w:pStyle w:val="TableBodyText"/>
            </w:pPr>
            <w:r>
              <w:t xml:space="preserve">ig-NG </w:t>
            </w:r>
          </w:p>
        </w:tc>
      </w:tr>
      <w:tr w:rsidR="005F78FC" w:rsidTr="005F78FC">
        <w:tc>
          <w:tcPr>
            <w:tcW w:w="0" w:type="auto"/>
            <w:vAlign w:val="center"/>
          </w:tcPr>
          <w:p w:rsidR="005F78FC" w:rsidRDefault="00B42EF3">
            <w:pPr>
              <w:pStyle w:val="TableBodyText"/>
            </w:pPr>
            <w:r>
              <w:t>Inari Sami</w:t>
            </w:r>
          </w:p>
        </w:tc>
        <w:tc>
          <w:tcPr>
            <w:tcW w:w="0" w:type="auto"/>
            <w:vAlign w:val="center"/>
          </w:tcPr>
          <w:p w:rsidR="005F78FC" w:rsidRDefault="00B42EF3">
            <w:pPr>
              <w:pStyle w:val="TableBodyText"/>
            </w:pPr>
            <w:r>
              <w:t>Finland</w:t>
            </w:r>
          </w:p>
        </w:tc>
        <w:tc>
          <w:tcPr>
            <w:tcW w:w="0" w:type="auto"/>
            <w:vAlign w:val="center"/>
          </w:tcPr>
          <w:p w:rsidR="005F78FC" w:rsidRDefault="00B42EF3">
            <w:pPr>
              <w:pStyle w:val="TableBodyText"/>
            </w:pPr>
            <w:r>
              <w:t>smn-FI</w:t>
            </w:r>
          </w:p>
        </w:tc>
      </w:tr>
      <w:tr w:rsidR="005F78FC" w:rsidTr="005F78FC">
        <w:tc>
          <w:tcPr>
            <w:tcW w:w="0" w:type="auto"/>
            <w:vAlign w:val="center"/>
          </w:tcPr>
          <w:p w:rsidR="005F78FC" w:rsidRDefault="00B42EF3">
            <w:pPr>
              <w:pStyle w:val="TableBodyText"/>
            </w:pPr>
            <w:r>
              <w:t>Indonesian</w:t>
            </w:r>
          </w:p>
        </w:tc>
        <w:tc>
          <w:tcPr>
            <w:tcW w:w="0" w:type="auto"/>
            <w:vAlign w:val="center"/>
          </w:tcPr>
          <w:p w:rsidR="005F78FC" w:rsidRDefault="00B42EF3">
            <w:pPr>
              <w:pStyle w:val="TableBodyText"/>
            </w:pPr>
            <w:r>
              <w:t>Indonesia</w:t>
            </w:r>
          </w:p>
        </w:tc>
        <w:tc>
          <w:tcPr>
            <w:tcW w:w="0" w:type="auto"/>
            <w:vAlign w:val="center"/>
          </w:tcPr>
          <w:p w:rsidR="005F78FC" w:rsidRDefault="00B42EF3">
            <w:pPr>
              <w:pStyle w:val="TableBodyText"/>
            </w:pPr>
            <w:r>
              <w:t>id-ID</w:t>
            </w:r>
          </w:p>
        </w:tc>
      </w:tr>
      <w:tr w:rsidR="005F78FC" w:rsidTr="005F78FC">
        <w:tc>
          <w:tcPr>
            <w:tcW w:w="0" w:type="auto"/>
            <w:vAlign w:val="center"/>
          </w:tcPr>
          <w:p w:rsidR="005F78FC" w:rsidRDefault="00B42EF3">
            <w:pPr>
              <w:pStyle w:val="TableBodyText"/>
            </w:pPr>
            <w:r>
              <w:t>Inuktitut (Latin)</w:t>
            </w:r>
          </w:p>
        </w:tc>
        <w:tc>
          <w:tcPr>
            <w:tcW w:w="0" w:type="auto"/>
            <w:vAlign w:val="center"/>
          </w:tcPr>
          <w:p w:rsidR="005F78FC" w:rsidRDefault="00B42EF3">
            <w:pPr>
              <w:pStyle w:val="TableBodyText"/>
            </w:pPr>
            <w:r>
              <w:t>Canada</w:t>
            </w:r>
          </w:p>
        </w:tc>
        <w:tc>
          <w:tcPr>
            <w:tcW w:w="0" w:type="auto"/>
            <w:vAlign w:val="center"/>
          </w:tcPr>
          <w:p w:rsidR="005F78FC" w:rsidRDefault="00B42EF3">
            <w:pPr>
              <w:pStyle w:val="TableBodyText"/>
            </w:pPr>
            <w:r>
              <w:t>iu-CA-Latn</w:t>
            </w:r>
          </w:p>
        </w:tc>
      </w:tr>
      <w:tr w:rsidR="005F78FC" w:rsidTr="005F78FC">
        <w:tc>
          <w:tcPr>
            <w:tcW w:w="0" w:type="auto"/>
            <w:vAlign w:val="center"/>
          </w:tcPr>
          <w:p w:rsidR="005F78FC" w:rsidRDefault="00B42EF3">
            <w:pPr>
              <w:pStyle w:val="TableBodyText"/>
            </w:pPr>
            <w:r>
              <w:t>Inuktitut (Syllabics)</w:t>
            </w:r>
          </w:p>
        </w:tc>
        <w:tc>
          <w:tcPr>
            <w:tcW w:w="0" w:type="auto"/>
            <w:vAlign w:val="center"/>
          </w:tcPr>
          <w:p w:rsidR="005F78FC" w:rsidRDefault="00B42EF3">
            <w:pPr>
              <w:pStyle w:val="TableBodyText"/>
            </w:pPr>
            <w:r>
              <w:t>Canada</w:t>
            </w:r>
          </w:p>
        </w:tc>
        <w:tc>
          <w:tcPr>
            <w:tcW w:w="0" w:type="auto"/>
            <w:vAlign w:val="center"/>
          </w:tcPr>
          <w:p w:rsidR="005F78FC" w:rsidRDefault="00B42EF3">
            <w:pPr>
              <w:pStyle w:val="TableBodyText"/>
            </w:pPr>
            <w:r>
              <w:t>iu-CA-Cans</w:t>
            </w:r>
          </w:p>
        </w:tc>
      </w:tr>
      <w:tr w:rsidR="005F78FC" w:rsidTr="005F78FC">
        <w:tc>
          <w:tcPr>
            <w:tcW w:w="0" w:type="auto"/>
            <w:vAlign w:val="center"/>
          </w:tcPr>
          <w:p w:rsidR="005F78FC" w:rsidRDefault="00B42EF3">
            <w:pPr>
              <w:pStyle w:val="TableBodyText"/>
            </w:pPr>
            <w:r>
              <w:t>Irish</w:t>
            </w:r>
          </w:p>
        </w:tc>
        <w:tc>
          <w:tcPr>
            <w:tcW w:w="0" w:type="auto"/>
            <w:vAlign w:val="center"/>
          </w:tcPr>
          <w:p w:rsidR="005F78FC" w:rsidRDefault="00B42EF3">
            <w:pPr>
              <w:pStyle w:val="TableBodyText"/>
            </w:pPr>
            <w:r>
              <w:t>Ireland</w:t>
            </w:r>
          </w:p>
        </w:tc>
        <w:tc>
          <w:tcPr>
            <w:tcW w:w="0" w:type="auto"/>
            <w:vAlign w:val="center"/>
          </w:tcPr>
          <w:p w:rsidR="005F78FC" w:rsidRDefault="00B42EF3">
            <w:pPr>
              <w:pStyle w:val="TableBodyText"/>
            </w:pPr>
            <w:r>
              <w:t>ga-IE</w:t>
            </w:r>
          </w:p>
        </w:tc>
      </w:tr>
      <w:tr w:rsidR="005F78FC" w:rsidTr="005F78FC">
        <w:tc>
          <w:tcPr>
            <w:tcW w:w="0" w:type="auto"/>
            <w:vAlign w:val="center"/>
          </w:tcPr>
          <w:p w:rsidR="005F78FC" w:rsidRDefault="00B42EF3">
            <w:pPr>
              <w:pStyle w:val="TableBodyText"/>
            </w:pPr>
            <w:r>
              <w:t>isiXhosa / Xhosa</w:t>
            </w:r>
          </w:p>
        </w:tc>
        <w:tc>
          <w:tcPr>
            <w:tcW w:w="0" w:type="auto"/>
            <w:vAlign w:val="center"/>
          </w:tcPr>
          <w:p w:rsidR="005F78FC" w:rsidRDefault="00B42EF3">
            <w:pPr>
              <w:pStyle w:val="TableBodyText"/>
            </w:pPr>
            <w:r>
              <w:t xml:space="preserve">South </w:t>
            </w:r>
            <w:r>
              <w:t>Africa</w:t>
            </w:r>
          </w:p>
        </w:tc>
        <w:tc>
          <w:tcPr>
            <w:tcW w:w="0" w:type="auto"/>
            <w:vAlign w:val="center"/>
          </w:tcPr>
          <w:p w:rsidR="005F78FC" w:rsidRDefault="00B42EF3">
            <w:pPr>
              <w:pStyle w:val="TableBodyText"/>
            </w:pPr>
            <w:r>
              <w:t>xh-ZA</w:t>
            </w:r>
          </w:p>
        </w:tc>
      </w:tr>
      <w:tr w:rsidR="005F78FC" w:rsidTr="005F78FC">
        <w:tc>
          <w:tcPr>
            <w:tcW w:w="0" w:type="auto"/>
            <w:vAlign w:val="center"/>
          </w:tcPr>
          <w:p w:rsidR="005F78FC" w:rsidRDefault="00B42EF3">
            <w:pPr>
              <w:pStyle w:val="TableBodyText"/>
            </w:pPr>
            <w:r>
              <w:t>isiZulu / Zulu</w:t>
            </w:r>
          </w:p>
        </w:tc>
        <w:tc>
          <w:tcPr>
            <w:tcW w:w="0" w:type="auto"/>
            <w:vAlign w:val="center"/>
          </w:tcPr>
          <w:p w:rsidR="005F78FC" w:rsidRDefault="00B42EF3">
            <w:pPr>
              <w:pStyle w:val="TableBodyText"/>
            </w:pPr>
            <w:r>
              <w:t>South Africa</w:t>
            </w:r>
          </w:p>
        </w:tc>
        <w:tc>
          <w:tcPr>
            <w:tcW w:w="0" w:type="auto"/>
            <w:vAlign w:val="center"/>
          </w:tcPr>
          <w:p w:rsidR="005F78FC" w:rsidRDefault="00B42EF3">
            <w:pPr>
              <w:pStyle w:val="TableBodyText"/>
            </w:pPr>
            <w:r>
              <w:t>zu-ZA</w:t>
            </w:r>
          </w:p>
        </w:tc>
      </w:tr>
      <w:tr w:rsidR="005F78FC" w:rsidTr="005F78FC">
        <w:tc>
          <w:tcPr>
            <w:tcW w:w="0" w:type="auto"/>
            <w:vAlign w:val="center"/>
          </w:tcPr>
          <w:p w:rsidR="005F78FC" w:rsidRDefault="00B42EF3">
            <w:pPr>
              <w:pStyle w:val="TableBodyText"/>
            </w:pPr>
            <w:r>
              <w:t>Italian</w:t>
            </w:r>
          </w:p>
        </w:tc>
        <w:tc>
          <w:tcPr>
            <w:tcW w:w="0" w:type="auto"/>
            <w:vAlign w:val="center"/>
          </w:tcPr>
          <w:p w:rsidR="005F78FC" w:rsidRDefault="00B42EF3">
            <w:pPr>
              <w:pStyle w:val="TableBodyText"/>
            </w:pPr>
            <w:r>
              <w:t>Italy</w:t>
            </w:r>
          </w:p>
        </w:tc>
        <w:tc>
          <w:tcPr>
            <w:tcW w:w="0" w:type="auto"/>
            <w:vAlign w:val="center"/>
          </w:tcPr>
          <w:p w:rsidR="005F78FC" w:rsidRDefault="00B42EF3">
            <w:pPr>
              <w:pStyle w:val="TableBodyText"/>
            </w:pPr>
            <w:r>
              <w:t>it-IT</w:t>
            </w:r>
          </w:p>
        </w:tc>
      </w:tr>
      <w:tr w:rsidR="005F78FC" w:rsidTr="005F78FC">
        <w:tc>
          <w:tcPr>
            <w:tcW w:w="0" w:type="auto"/>
            <w:vAlign w:val="center"/>
          </w:tcPr>
          <w:p w:rsidR="005F78FC" w:rsidRDefault="00B42EF3">
            <w:pPr>
              <w:pStyle w:val="TableBodyText"/>
            </w:pPr>
            <w:r>
              <w:t>Italian</w:t>
            </w:r>
          </w:p>
        </w:tc>
        <w:tc>
          <w:tcPr>
            <w:tcW w:w="0" w:type="auto"/>
            <w:vAlign w:val="center"/>
          </w:tcPr>
          <w:p w:rsidR="005F78FC" w:rsidRDefault="00B42EF3">
            <w:pPr>
              <w:pStyle w:val="TableBodyText"/>
            </w:pPr>
            <w:r>
              <w:t>Switzerland</w:t>
            </w:r>
          </w:p>
        </w:tc>
        <w:tc>
          <w:tcPr>
            <w:tcW w:w="0" w:type="auto"/>
            <w:vAlign w:val="center"/>
          </w:tcPr>
          <w:p w:rsidR="005F78FC" w:rsidRDefault="00B42EF3">
            <w:pPr>
              <w:pStyle w:val="TableBodyText"/>
            </w:pPr>
            <w:r>
              <w:t>it-CH</w:t>
            </w:r>
          </w:p>
        </w:tc>
      </w:tr>
      <w:tr w:rsidR="005F78FC" w:rsidTr="005F78FC">
        <w:tc>
          <w:tcPr>
            <w:tcW w:w="0" w:type="auto"/>
            <w:vAlign w:val="center"/>
          </w:tcPr>
          <w:p w:rsidR="005F78FC" w:rsidRDefault="00B42EF3">
            <w:pPr>
              <w:pStyle w:val="TableBodyText"/>
            </w:pPr>
            <w:r>
              <w:t>Japanese</w:t>
            </w:r>
          </w:p>
        </w:tc>
        <w:tc>
          <w:tcPr>
            <w:tcW w:w="0" w:type="auto"/>
            <w:vAlign w:val="center"/>
          </w:tcPr>
          <w:p w:rsidR="005F78FC" w:rsidRDefault="00B42EF3">
            <w:pPr>
              <w:pStyle w:val="TableBodyText"/>
            </w:pPr>
            <w:r>
              <w:t>Japan</w:t>
            </w:r>
          </w:p>
        </w:tc>
        <w:tc>
          <w:tcPr>
            <w:tcW w:w="0" w:type="auto"/>
            <w:vAlign w:val="center"/>
          </w:tcPr>
          <w:p w:rsidR="005F78FC" w:rsidRDefault="00B42EF3">
            <w:pPr>
              <w:pStyle w:val="TableBodyText"/>
            </w:pPr>
            <w:r>
              <w:t>ja-JP</w:t>
            </w:r>
          </w:p>
        </w:tc>
      </w:tr>
      <w:tr w:rsidR="005F78FC" w:rsidTr="005F78FC">
        <w:tc>
          <w:tcPr>
            <w:tcW w:w="0" w:type="auto"/>
            <w:vAlign w:val="center"/>
          </w:tcPr>
          <w:p w:rsidR="005F78FC" w:rsidRDefault="00B42EF3">
            <w:pPr>
              <w:pStyle w:val="TableBodyText"/>
            </w:pPr>
            <w:r>
              <w:t>Kannada (Kannada Script)</w:t>
            </w:r>
          </w:p>
        </w:tc>
        <w:tc>
          <w:tcPr>
            <w:tcW w:w="0" w:type="auto"/>
            <w:vAlign w:val="center"/>
          </w:tcPr>
          <w:p w:rsidR="005F78FC" w:rsidRDefault="00B42EF3">
            <w:pPr>
              <w:pStyle w:val="TableBodyText"/>
            </w:pPr>
            <w:r>
              <w:t>India</w:t>
            </w:r>
          </w:p>
        </w:tc>
        <w:tc>
          <w:tcPr>
            <w:tcW w:w="0" w:type="auto"/>
            <w:vAlign w:val="center"/>
          </w:tcPr>
          <w:p w:rsidR="005F78FC" w:rsidRDefault="00B42EF3">
            <w:pPr>
              <w:pStyle w:val="TableBodyText"/>
            </w:pPr>
            <w:r>
              <w:t>kn-IN</w:t>
            </w:r>
          </w:p>
        </w:tc>
      </w:tr>
      <w:tr w:rsidR="005F78FC" w:rsidTr="005F78FC">
        <w:tc>
          <w:tcPr>
            <w:tcW w:w="0" w:type="auto"/>
            <w:vAlign w:val="center"/>
          </w:tcPr>
          <w:p w:rsidR="005F78FC" w:rsidRDefault="00B42EF3">
            <w:pPr>
              <w:pStyle w:val="TableBodyText"/>
            </w:pPr>
            <w:r>
              <w:t>Kazakh</w:t>
            </w:r>
          </w:p>
        </w:tc>
        <w:tc>
          <w:tcPr>
            <w:tcW w:w="0" w:type="auto"/>
            <w:vAlign w:val="center"/>
          </w:tcPr>
          <w:p w:rsidR="005F78FC" w:rsidRDefault="00B42EF3">
            <w:pPr>
              <w:pStyle w:val="TableBodyText"/>
            </w:pPr>
            <w:r>
              <w:t>Kazakhstan</w:t>
            </w:r>
          </w:p>
        </w:tc>
        <w:tc>
          <w:tcPr>
            <w:tcW w:w="0" w:type="auto"/>
            <w:vAlign w:val="center"/>
          </w:tcPr>
          <w:p w:rsidR="005F78FC" w:rsidRDefault="00B42EF3">
            <w:pPr>
              <w:pStyle w:val="TableBodyText"/>
            </w:pPr>
            <w:r>
              <w:t>kk-KZ</w:t>
            </w:r>
          </w:p>
        </w:tc>
      </w:tr>
      <w:tr w:rsidR="005F78FC" w:rsidTr="005F78FC">
        <w:tc>
          <w:tcPr>
            <w:tcW w:w="0" w:type="auto"/>
            <w:vAlign w:val="center"/>
          </w:tcPr>
          <w:p w:rsidR="005F78FC" w:rsidRDefault="00B42EF3">
            <w:pPr>
              <w:pStyle w:val="TableBodyText"/>
            </w:pPr>
            <w:r>
              <w:t>Khmer</w:t>
            </w:r>
          </w:p>
        </w:tc>
        <w:tc>
          <w:tcPr>
            <w:tcW w:w="0" w:type="auto"/>
            <w:vAlign w:val="center"/>
          </w:tcPr>
          <w:p w:rsidR="005F78FC" w:rsidRDefault="00B42EF3">
            <w:pPr>
              <w:pStyle w:val="TableBodyText"/>
            </w:pPr>
            <w:r>
              <w:t>Cambodia</w:t>
            </w:r>
          </w:p>
        </w:tc>
        <w:tc>
          <w:tcPr>
            <w:tcW w:w="0" w:type="auto"/>
            <w:vAlign w:val="center"/>
          </w:tcPr>
          <w:p w:rsidR="005F78FC" w:rsidRDefault="00B42EF3">
            <w:pPr>
              <w:pStyle w:val="TableBodyText"/>
            </w:pPr>
            <w:r>
              <w:t>kh-KH</w:t>
            </w:r>
          </w:p>
        </w:tc>
      </w:tr>
      <w:tr w:rsidR="005F78FC" w:rsidTr="005F78FC">
        <w:tc>
          <w:tcPr>
            <w:tcW w:w="0" w:type="auto"/>
            <w:vAlign w:val="center"/>
          </w:tcPr>
          <w:p w:rsidR="005F78FC" w:rsidRDefault="00B42EF3">
            <w:pPr>
              <w:pStyle w:val="TableBodyText"/>
            </w:pPr>
            <w:r>
              <w:t>K'iche</w:t>
            </w:r>
          </w:p>
        </w:tc>
        <w:tc>
          <w:tcPr>
            <w:tcW w:w="0" w:type="auto"/>
            <w:vAlign w:val="center"/>
          </w:tcPr>
          <w:p w:rsidR="005F78FC" w:rsidRDefault="00B42EF3">
            <w:pPr>
              <w:pStyle w:val="TableBodyText"/>
            </w:pPr>
            <w:r>
              <w:t>Guatemala</w:t>
            </w:r>
          </w:p>
        </w:tc>
        <w:tc>
          <w:tcPr>
            <w:tcW w:w="0" w:type="auto"/>
            <w:vAlign w:val="center"/>
          </w:tcPr>
          <w:p w:rsidR="005F78FC" w:rsidRDefault="00B42EF3">
            <w:pPr>
              <w:pStyle w:val="TableBodyText"/>
            </w:pPr>
            <w:r>
              <w:t>qut-GT</w:t>
            </w:r>
          </w:p>
        </w:tc>
      </w:tr>
      <w:tr w:rsidR="005F78FC" w:rsidTr="005F78FC">
        <w:tc>
          <w:tcPr>
            <w:tcW w:w="0" w:type="auto"/>
            <w:vAlign w:val="center"/>
          </w:tcPr>
          <w:p w:rsidR="005F78FC" w:rsidRDefault="00B42EF3">
            <w:pPr>
              <w:pStyle w:val="TableBodyText"/>
            </w:pPr>
            <w:r>
              <w:t xml:space="preserve">Kinyarwanda </w:t>
            </w:r>
          </w:p>
        </w:tc>
        <w:tc>
          <w:tcPr>
            <w:tcW w:w="0" w:type="auto"/>
            <w:vAlign w:val="center"/>
          </w:tcPr>
          <w:p w:rsidR="005F78FC" w:rsidRDefault="00B42EF3">
            <w:pPr>
              <w:pStyle w:val="TableBodyText"/>
            </w:pPr>
            <w:r>
              <w:t>Rwanda</w:t>
            </w:r>
          </w:p>
        </w:tc>
        <w:tc>
          <w:tcPr>
            <w:tcW w:w="0" w:type="auto"/>
            <w:vAlign w:val="center"/>
          </w:tcPr>
          <w:p w:rsidR="005F78FC" w:rsidRDefault="00B42EF3">
            <w:pPr>
              <w:pStyle w:val="TableBodyText"/>
            </w:pPr>
            <w:r>
              <w:t>rw-RW</w:t>
            </w:r>
          </w:p>
        </w:tc>
      </w:tr>
      <w:tr w:rsidR="005F78FC" w:rsidTr="005F78FC">
        <w:tc>
          <w:tcPr>
            <w:tcW w:w="0" w:type="auto"/>
            <w:vAlign w:val="center"/>
          </w:tcPr>
          <w:p w:rsidR="005F78FC" w:rsidRDefault="00B42EF3">
            <w:pPr>
              <w:pStyle w:val="TableBodyText"/>
            </w:pPr>
            <w:r>
              <w:t>Konkani</w:t>
            </w:r>
          </w:p>
        </w:tc>
        <w:tc>
          <w:tcPr>
            <w:tcW w:w="0" w:type="auto"/>
            <w:vAlign w:val="center"/>
          </w:tcPr>
          <w:p w:rsidR="005F78FC" w:rsidRDefault="00B42EF3">
            <w:pPr>
              <w:pStyle w:val="TableBodyText"/>
            </w:pPr>
            <w:r>
              <w:t>India</w:t>
            </w:r>
          </w:p>
        </w:tc>
        <w:tc>
          <w:tcPr>
            <w:tcW w:w="0" w:type="auto"/>
            <w:vAlign w:val="center"/>
          </w:tcPr>
          <w:p w:rsidR="005F78FC" w:rsidRDefault="00B42EF3">
            <w:pPr>
              <w:pStyle w:val="TableBodyText"/>
            </w:pPr>
            <w:r>
              <w:t>kok-IN</w:t>
            </w:r>
          </w:p>
        </w:tc>
      </w:tr>
      <w:tr w:rsidR="005F78FC" w:rsidTr="005F78FC">
        <w:tc>
          <w:tcPr>
            <w:tcW w:w="0" w:type="auto"/>
            <w:vAlign w:val="center"/>
          </w:tcPr>
          <w:p w:rsidR="005F78FC" w:rsidRDefault="00B42EF3">
            <w:pPr>
              <w:pStyle w:val="TableBodyText"/>
            </w:pPr>
            <w:r>
              <w:t>Korean</w:t>
            </w:r>
          </w:p>
        </w:tc>
        <w:tc>
          <w:tcPr>
            <w:tcW w:w="0" w:type="auto"/>
            <w:vAlign w:val="center"/>
          </w:tcPr>
          <w:p w:rsidR="005F78FC" w:rsidRDefault="00B42EF3">
            <w:pPr>
              <w:pStyle w:val="TableBodyText"/>
            </w:pPr>
            <w:r>
              <w:t>Korea</w:t>
            </w:r>
          </w:p>
        </w:tc>
        <w:tc>
          <w:tcPr>
            <w:tcW w:w="0" w:type="auto"/>
            <w:vAlign w:val="center"/>
          </w:tcPr>
          <w:p w:rsidR="005F78FC" w:rsidRDefault="00B42EF3">
            <w:pPr>
              <w:pStyle w:val="TableBodyText"/>
            </w:pPr>
            <w:r>
              <w:t>ko-KR</w:t>
            </w:r>
          </w:p>
        </w:tc>
      </w:tr>
      <w:tr w:rsidR="005F78FC" w:rsidTr="005F78FC">
        <w:tc>
          <w:tcPr>
            <w:tcW w:w="0" w:type="auto"/>
            <w:vAlign w:val="center"/>
          </w:tcPr>
          <w:p w:rsidR="005F78FC" w:rsidRDefault="00B42EF3">
            <w:pPr>
              <w:pStyle w:val="TableBodyText"/>
            </w:pPr>
            <w:r>
              <w:t>Kyrgyz</w:t>
            </w:r>
          </w:p>
        </w:tc>
        <w:tc>
          <w:tcPr>
            <w:tcW w:w="0" w:type="auto"/>
            <w:vAlign w:val="center"/>
          </w:tcPr>
          <w:p w:rsidR="005F78FC" w:rsidRDefault="00B42EF3">
            <w:pPr>
              <w:pStyle w:val="TableBodyText"/>
            </w:pPr>
            <w:r>
              <w:t>Kyrgyzstan</w:t>
            </w:r>
          </w:p>
        </w:tc>
        <w:tc>
          <w:tcPr>
            <w:tcW w:w="0" w:type="auto"/>
            <w:vAlign w:val="center"/>
          </w:tcPr>
          <w:p w:rsidR="005F78FC" w:rsidRDefault="00B42EF3">
            <w:pPr>
              <w:pStyle w:val="TableBodyText"/>
            </w:pPr>
            <w:r>
              <w:t>ky-KG</w:t>
            </w:r>
          </w:p>
        </w:tc>
      </w:tr>
      <w:tr w:rsidR="005F78FC" w:rsidTr="005F78FC">
        <w:tc>
          <w:tcPr>
            <w:tcW w:w="0" w:type="auto"/>
            <w:vAlign w:val="center"/>
          </w:tcPr>
          <w:p w:rsidR="005F78FC" w:rsidRDefault="00B42EF3">
            <w:pPr>
              <w:pStyle w:val="TableBodyText"/>
            </w:pPr>
            <w:r>
              <w:t>Lao</w:t>
            </w:r>
          </w:p>
        </w:tc>
        <w:tc>
          <w:tcPr>
            <w:tcW w:w="0" w:type="auto"/>
            <w:vAlign w:val="center"/>
          </w:tcPr>
          <w:p w:rsidR="005F78FC" w:rsidRDefault="00B42EF3">
            <w:pPr>
              <w:pStyle w:val="TableBodyText"/>
            </w:pPr>
            <w:r>
              <w:t>Lao PDR</w:t>
            </w:r>
          </w:p>
        </w:tc>
        <w:tc>
          <w:tcPr>
            <w:tcW w:w="0" w:type="auto"/>
            <w:vAlign w:val="center"/>
          </w:tcPr>
          <w:p w:rsidR="005F78FC" w:rsidRDefault="00B42EF3">
            <w:pPr>
              <w:pStyle w:val="TableBodyText"/>
            </w:pPr>
            <w:r>
              <w:t>lo-LA</w:t>
            </w:r>
          </w:p>
        </w:tc>
      </w:tr>
      <w:tr w:rsidR="005F78FC" w:rsidTr="005F78FC">
        <w:tc>
          <w:tcPr>
            <w:tcW w:w="0" w:type="auto"/>
            <w:vAlign w:val="center"/>
          </w:tcPr>
          <w:p w:rsidR="005F78FC" w:rsidRDefault="00B42EF3">
            <w:pPr>
              <w:pStyle w:val="TableBodyText"/>
            </w:pPr>
            <w:r>
              <w:t>Latvian</w:t>
            </w:r>
          </w:p>
        </w:tc>
        <w:tc>
          <w:tcPr>
            <w:tcW w:w="0" w:type="auto"/>
            <w:vAlign w:val="center"/>
          </w:tcPr>
          <w:p w:rsidR="005F78FC" w:rsidRDefault="00B42EF3">
            <w:pPr>
              <w:pStyle w:val="TableBodyText"/>
            </w:pPr>
            <w:r>
              <w:t>Latvia</w:t>
            </w:r>
          </w:p>
        </w:tc>
        <w:tc>
          <w:tcPr>
            <w:tcW w:w="0" w:type="auto"/>
            <w:vAlign w:val="center"/>
          </w:tcPr>
          <w:p w:rsidR="005F78FC" w:rsidRDefault="00B42EF3">
            <w:pPr>
              <w:pStyle w:val="TableBodyText"/>
            </w:pPr>
            <w:r>
              <w:t>lv-LV</w:t>
            </w:r>
          </w:p>
        </w:tc>
      </w:tr>
      <w:tr w:rsidR="005F78FC" w:rsidTr="005F78FC">
        <w:tc>
          <w:tcPr>
            <w:tcW w:w="0" w:type="auto"/>
            <w:vAlign w:val="center"/>
          </w:tcPr>
          <w:p w:rsidR="005F78FC" w:rsidRDefault="00B42EF3">
            <w:pPr>
              <w:pStyle w:val="TableBodyText"/>
            </w:pPr>
            <w:r>
              <w:lastRenderedPageBreak/>
              <w:t>Lithuanian</w:t>
            </w:r>
          </w:p>
        </w:tc>
        <w:tc>
          <w:tcPr>
            <w:tcW w:w="0" w:type="auto"/>
            <w:vAlign w:val="center"/>
          </w:tcPr>
          <w:p w:rsidR="005F78FC" w:rsidRDefault="00B42EF3">
            <w:pPr>
              <w:pStyle w:val="TableBodyText"/>
            </w:pPr>
            <w:r>
              <w:t>Lithuania</w:t>
            </w:r>
          </w:p>
        </w:tc>
        <w:tc>
          <w:tcPr>
            <w:tcW w:w="0" w:type="auto"/>
            <w:vAlign w:val="center"/>
          </w:tcPr>
          <w:p w:rsidR="005F78FC" w:rsidRDefault="00B42EF3">
            <w:pPr>
              <w:pStyle w:val="TableBodyText"/>
            </w:pPr>
            <w:r>
              <w:t>lt-LT</w:t>
            </w:r>
          </w:p>
        </w:tc>
      </w:tr>
      <w:tr w:rsidR="005F78FC" w:rsidTr="005F78FC">
        <w:tc>
          <w:tcPr>
            <w:tcW w:w="0" w:type="auto"/>
            <w:vAlign w:val="center"/>
          </w:tcPr>
          <w:p w:rsidR="005F78FC" w:rsidRDefault="00B42EF3">
            <w:pPr>
              <w:pStyle w:val="TableBodyText"/>
            </w:pPr>
            <w:r>
              <w:t>Lower Sorbian</w:t>
            </w:r>
          </w:p>
        </w:tc>
        <w:tc>
          <w:tcPr>
            <w:tcW w:w="0" w:type="auto"/>
            <w:vAlign w:val="center"/>
          </w:tcPr>
          <w:p w:rsidR="005F78FC" w:rsidRDefault="00B42EF3">
            <w:pPr>
              <w:pStyle w:val="TableBodyText"/>
            </w:pPr>
            <w:r>
              <w:t>Germany</w:t>
            </w:r>
          </w:p>
        </w:tc>
        <w:tc>
          <w:tcPr>
            <w:tcW w:w="0" w:type="auto"/>
            <w:vAlign w:val="center"/>
          </w:tcPr>
          <w:p w:rsidR="005F78FC" w:rsidRDefault="00B42EF3">
            <w:pPr>
              <w:pStyle w:val="TableBodyText"/>
            </w:pPr>
            <w:r>
              <w:t>wee-DE</w:t>
            </w:r>
          </w:p>
        </w:tc>
      </w:tr>
      <w:tr w:rsidR="005F78FC" w:rsidTr="005F78FC">
        <w:tc>
          <w:tcPr>
            <w:tcW w:w="0" w:type="auto"/>
            <w:vAlign w:val="center"/>
          </w:tcPr>
          <w:p w:rsidR="005F78FC" w:rsidRDefault="00B42EF3">
            <w:pPr>
              <w:pStyle w:val="TableBodyText"/>
            </w:pPr>
            <w:r>
              <w:t>Lule Sami</w:t>
            </w:r>
          </w:p>
        </w:tc>
        <w:tc>
          <w:tcPr>
            <w:tcW w:w="0" w:type="auto"/>
            <w:vAlign w:val="center"/>
          </w:tcPr>
          <w:p w:rsidR="005F78FC" w:rsidRDefault="00B42EF3">
            <w:pPr>
              <w:pStyle w:val="TableBodyText"/>
            </w:pPr>
            <w:r>
              <w:t>Norway</w:t>
            </w:r>
          </w:p>
        </w:tc>
        <w:tc>
          <w:tcPr>
            <w:tcW w:w="0" w:type="auto"/>
            <w:vAlign w:val="center"/>
          </w:tcPr>
          <w:p w:rsidR="005F78FC" w:rsidRDefault="00B42EF3">
            <w:pPr>
              <w:pStyle w:val="TableBodyText"/>
            </w:pPr>
            <w:r>
              <w:t>smj-NO</w:t>
            </w:r>
          </w:p>
        </w:tc>
      </w:tr>
      <w:tr w:rsidR="005F78FC" w:rsidTr="005F78FC">
        <w:tc>
          <w:tcPr>
            <w:tcW w:w="0" w:type="auto"/>
            <w:vAlign w:val="center"/>
          </w:tcPr>
          <w:p w:rsidR="005F78FC" w:rsidRDefault="00B42EF3">
            <w:pPr>
              <w:pStyle w:val="TableBodyText"/>
            </w:pPr>
            <w:r>
              <w:t>Lule Sami</w:t>
            </w:r>
          </w:p>
        </w:tc>
        <w:tc>
          <w:tcPr>
            <w:tcW w:w="0" w:type="auto"/>
            <w:vAlign w:val="center"/>
          </w:tcPr>
          <w:p w:rsidR="005F78FC" w:rsidRDefault="00B42EF3">
            <w:pPr>
              <w:pStyle w:val="TableBodyText"/>
            </w:pPr>
            <w:r>
              <w:t>Sweden</w:t>
            </w:r>
          </w:p>
        </w:tc>
        <w:tc>
          <w:tcPr>
            <w:tcW w:w="0" w:type="auto"/>
            <w:vAlign w:val="center"/>
          </w:tcPr>
          <w:p w:rsidR="005F78FC" w:rsidRDefault="00B42EF3">
            <w:pPr>
              <w:pStyle w:val="TableBodyText"/>
            </w:pPr>
            <w:r>
              <w:t>smj-SE</w:t>
            </w:r>
          </w:p>
        </w:tc>
      </w:tr>
      <w:tr w:rsidR="005F78FC" w:rsidTr="005F78FC">
        <w:tc>
          <w:tcPr>
            <w:tcW w:w="0" w:type="auto"/>
            <w:vAlign w:val="center"/>
          </w:tcPr>
          <w:p w:rsidR="005F78FC" w:rsidRDefault="00B42EF3">
            <w:pPr>
              <w:pStyle w:val="TableBodyText"/>
            </w:pPr>
            <w:r>
              <w:t>Luxembourgish</w:t>
            </w:r>
          </w:p>
        </w:tc>
        <w:tc>
          <w:tcPr>
            <w:tcW w:w="0" w:type="auto"/>
            <w:vAlign w:val="center"/>
          </w:tcPr>
          <w:p w:rsidR="005F78FC" w:rsidRDefault="00B42EF3">
            <w:pPr>
              <w:pStyle w:val="TableBodyText"/>
            </w:pPr>
            <w:r>
              <w:t>Luxembourg</w:t>
            </w:r>
          </w:p>
        </w:tc>
        <w:tc>
          <w:tcPr>
            <w:tcW w:w="0" w:type="auto"/>
            <w:vAlign w:val="center"/>
          </w:tcPr>
          <w:p w:rsidR="005F78FC" w:rsidRDefault="00B42EF3">
            <w:pPr>
              <w:pStyle w:val="TableBodyText"/>
            </w:pPr>
            <w:r>
              <w:t>lb-LU</w:t>
            </w:r>
          </w:p>
        </w:tc>
      </w:tr>
      <w:tr w:rsidR="005F78FC" w:rsidTr="005F78FC">
        <w:tc>
          <w:tcPr>
            <w:tcW w:w="0" w:type="auto"/>
            <w:vAlign w:val="center"/>
          </w:tcPr>
          <w:p w:rsidR="005F78FC" w:rsidRDefault="00B42EF3">
            <w:pPr>
              <w:pStyle w:val="TableBodyText"/>
            </w:pPr>
            <w:r>
              <w:t xml:space="preserve">Macedonian </w:t>
            </w:r>
          </w:p>
        </w:tc>
        <w:tc>
          <w:tcPr>
            <w:tcW w:w="0" w:type="auto"/>
            <w:vAlign w:val="center"/>
          </w:tcPr>
          <w:p w:rsidR="005F78FC" w:rsidRDefault="00B42EF3">
            <w:pPr>
              <w:pStyle w:val="TableBodyText"/>
            </w:pPr>
            <w:r>
              <w:t>Macedonia, FYRO</w:t>
            </w:r>
          </w:p>
        </w:tc>
        <w:tc>
          <w:tcPr>
            <w:tcW w:w="0" w:type="auto"/>
            <w:vAlign w:val="center"/>
          </w:tcPr>
          <w:p w:rsidR="005F78FC" w:rsidRDefault="00B42EF3">
            <w:pPr>
              <w:pStyle w:val="TableBodyText"/>
            </w:pPr>
            <w:r>
              <w:t>mk-MK</w:t>
            </w:r>
          </w:p>
        </w:tc>
      </w:tr>
      <w:tr w:rsidR="005F78FC" w:rsidTr="005F78FC">
        <w:tc>
          <w:tcPr>
            <w:tcW w:w="0" w:type="auto"/>
            <w:vAlign w:val="center"/>
          </w:tcPr>
          <w:p w:rsidR="005F78FC" w:rsidRDefault="00B42EF3">
            <w:pPr>
              <w:pStyle w:val="TableBodyText"/>
            </w:pPr>
            <w:r>
              <w:t>Malay</w:t>
            </w:r>
          </w:p>
        </w:tc>
        <w:tc>
          <w:tcPr>
            <w:tcW w:w="0" w:type="auto"/>
            <w:vAlign w:val="center"/>
          </w:tcPr>
          <w:p w:rsidR="005F78FC" w:rsidRDefault="00B42EF3">
            <w:pPr>
              <w:pStyle w:val="TableBodyText"/>
            </w:pPr>
            <w:r>
              <w:t>Brunei</w:t>
            </w:r>
          </w:p>
        </w:tc>
        <w:tc>
          <w:tcPr>
            <w:tcW w:w="0" w:type="auto"/>
            <w:vAlign w:val="center"/>
          </w:tcPr>
          <w:p w:rsidR="005F78FC" w:rsidRDefault="00B42EF3">
            <w:pPr>
              <w:pStyle w:val="TableBodyText"/>
            </w:pPr>
            <w:r>
              <w:t>ms-BN</w:t>
            </w:r>
          </w:p>
        </w:tc>
      </w:tr>
      <w:tr w:rsidR="005F78FC" w:rsidTr="005F78FC">
        <w:tc>
          <w:tcPr>
            <w:tcW w:w="0" w:type="auto"/>
            <w:vAlign w:val="center"/>
          </w:tcPr>
          <w:p w:rsidR="005F78FC" w:rsidRDefault="00B42EF3">
            <w:pPr>
              <w:pStyle w:val="TableBodyText"/>
            </w:pPr>
            <w:r>
              <w:t>Malay</w:t>
            </w:r>
          </w:p>
        </w:tc>
        <w:tc>
          <w:tcPr>
            <w:tcW w:w="0" w:type="auto"/>
            <w:vAlign w:val="center"/>
          </w:tcPr>
          <w:p w:rsidR="005F78FC" w:rsidRDefault="00B42EF3">
            <w:pPr>
              <w:pStyle w:val="TableBodyText"/>
            </w:pPr>
            <w:r>
              <w:t>Malaysia</w:t>
            </w:r>
          </w:p>
        </w:tc>
        <w:tc>
          <w:tcPr>
            <w:tcW w:w="0" w:type="auto"/>
            <w:vAlign w:val="center"/>
          </w:tcPr>
          <w:p w:rsidR="005F78FC" w:rsidRDefault="00B42EF3">
            <w:pPr>
              <w:pStyle w:val="TableBodyText"/>
            </w:pPr>
            <w:r>
              <w:t>ms-MY</w:t>
            </w:r>
          </w:p>
        </w:tc>
      </w:tr>
      <w:tr w:rsidR="005F78FC" w:rsidTr="005F78FC">
        <w:tc>
          <w:tcPr>
            <w:tcW w:w="0" w:type="auto"/>
            <w:vAlign w:val="center"/>
          </w:tcPr>
          <w:p w:rsidR="005F78FC" w:rsidRDefault="00B42EF3">
            <w:pPr>
              <w:pStyle w:val="TableBodyText"/>
            </w:pPr>
            <w:r>
              <w:t xml:space="preserve">Malayalam (Malayalam Script) </w:t>
            </w:r>
          </w:p>
        </w:tc>
        <w:tc>
          <w:tcPr>
            <w:tcW w:w="0" w:type="auto"/>
            <w:vAlign w:val="center"/>
          </w:tcPr>
          <w:p w:rsidR="005F78FC" w:rsidRDefault="00B42EF3">
            <w:pPr>
              <w:pStyle w:val="TableBodyText"/>
            </w:pPr>
            <w:r>
              <w:t>India</w:t>
            </w:r>
          </w:p>
        </w:tc>
        <w:tc>
          <w:tcPr>
            <w:tcW w:w="0" w:type="auto"/>
            <w:vAlign w:val="center"/>
          </w:tcPr>
          <w:p w:rsidR="005F78FC" w:rsidRDefault="00B42EF3">
            <w:pPr>
              <w:pStyle w:val="TableBodyText"/>
            </w:pPr>
            <w:r>
              <w:t>ml-IN</w:t>
            </w:r>
          </w:p>
        </w:tc>
      </w:tr>
      <w:tr w:rsidR="005F78FC" w:rsidTr="005F78FC">
        <w:tc>
          <w:tcPr>
            <w:tcW w:w="0" w:type="auto"/>
            <w:vAlign w:val="center"/>
          </w:tcPr>
          <w:p w:rsidR="005F78FC" w:rsidRDefault="00B42EF3">
            <w:pPr>
              <w:pStyle w:val="TableBodyText"/>
            </w:pPr>
            <w:r>
              <w:t>Maltese</w:t>
            </w:r>
          </w:p>
        </w:tc>
        <w:tc>
          <w:tcPr>
            <w:tcW w:w="0" w:type="auto"/>
            <w:vAlign w:val="center"/>
          </w:tcPr>
          <w:p w:rsidR="005F78FC" w:rsidRDefault="00B42EF3">
            <w:pPr>
              <w:pStyle w:val="TableBodyText"/>
            </w:pPr>
            <w:r>
              <w:t>Malta</w:t>
            </w:r>
          </w:p>
        </w:tc>
        <w:tc>
          <w:tcPr>
            <w:tcW w:w="0" w:type="auto"/>
            <w:vAlign w:val="center"/>
          </w:tcPr>
          <w:p w:rsidR="005F78FC" w:rsidRDefault="00B42EF3">
            <w:pPr>
              <w:pStyle w:val="TableBodyText"/>
            </w:pPr>
            <w:r>
              <w:t>mt-MT</w:t>
            </w:r>
          </w:p>
        </w:tc>
      </w:tr>
      <w:tr w:rsidR="005F78FC" w:rsidTr="005F78FC">
        <w:tc>
          <w:tcPr>
            <w:tcW w:w="0" w:type="auto"/>
            <w:vAlign w:val="center"/>
          </w:tcPr>
          <w:p w:rsidR="005F78FC" w:rsidRDefault="00B42EF3">
            <w:pPr>
              <w:pStyle w:val="TableBodyText"/>
            </w:pPr>
            <w:r>
              <w:t>Maori</w:t>
            </w:r>
          </w:p>
        </w:tc>
        <w:tc>
          <w:tcPr>
            <w:tcW w:w="0" w:type="auto"/>
            <w:vAlign w:val="center"/>
          </w:tcPr>
          <w:p w:rsidR="005F78FC" w:rsidRDefault="00B42EF3">
            <w:pPr>
              <w:pStyle w:val="TableBodyText"/>
            </w:pPr>
            <w:r>
              <w:t>New Zealand</w:t>
            </w:r>
          </w:p>
        </w:tc>
        <w:tc>
          <w:tcPr>
            <w:tcW w:w="0" w:type="auto"/>
            <w:vAlign w:val="center"/>
          </w:tcPr>
          <w:p w:rsidR="005F78FC" w:rsidRDefault="00B42EF3">
            <w:pPr>
              <w:pStyle w:val="TableBodyText"/>
            </w:pPr>
            <w:r>
              <w:t>mi-NZ</w:t>
            </w:r>
          </w:p>
        </w:tc>
      </w:tr>
      <w:tr w:rsidR="005F78FC" w:rsidTr="005F78FC">
        <w:tc>
          <w:tcPr>
            <w:tcW w:w="0" w:type="auto"/>
            <w:vAlign w:val="center"/>
          </w:tcPr>
          <w:p w:rsidR="005F78FC" w:rsidRDefault="00B42EF3">
            <w:pPr>
              <w:pStyle w:val="TableBodyText"/>
            </w:pPr>
            <w:r>
              <w:t>Mapudungun</w:t>
            </w:r>
          </w:p>
        </w:tc>
        <w:tc>
          <w:tcPr>
            <w:tcW w:w="0" w:type="auto"/>
            <w:vAlign w:val="center"/>
          </w:tcPr>
          <w:p w:rsidR="005F78FC" w:rsidRDefault="00B42EF3">
            <w:pPr>
              <w:pStyle w:val="TableBodyText"/>
            </w:pPr>
            <w:r>
              <w:t>Chile</w:t>
            </w:r>
          </w:p>
        </w:tc>
        <w:tc>
          <w:tcPr>
            <w:tcW w:w="0" w:type="auto"/>
            <w:vAlign w:val="center"/>
          </w:tcPr>
          <w:p w:rsidR="005F78FC" w:rsidRDefault="00B42EF3">
            <w:pPr>
              <w:pStyle w:val="TableBodyText"/>
            </w:pPr>
            <w:r>
              <w:t>arn-CL</w:t>
            </w:r>
          </w:p>
        </w:tc>
      </w:tr>
      <w:tr w:rsidR="005F78FC" w:rsidTr="005F78FC">
        <w:tc>
          <w:tcPr>
            <w:tcW w:w="0" w:type="auto"/>
            <w:vAlign w:val="center"/>
          </w:tcPr>
          <w:p w:rsidR="005F78FC" w:rsidRDefault="00B42EF3">
            <w:pPr>
              <w:pStyle w:val="TableBodyText"/>
            </w:pPr>
            <w:r>
              <w:t>Marathi</w:t>
            </w:r>
          </w:p>
        </w:tc>
        <w:tc>
          <w:tcPr>
            <w:tcW w:w="0" w:type="auto"/>
            <w:vAlign w:val="center"/>
          </w:tcPr>
          <w:p w:rsidR="005F78FC" w:rsidRDefault="00B42EF3">
            <w:pPr>
              <w:pStyle w:val="TableBodyText"/>
            </w:pPr>
            <w:r>
              <w:t>India</w:t>
            </w:r>
          </w:p>
        </w:tc>
        <w:tc>
          <w:tcPr>
            <w:tcW w:w="0" w:type="auto"/>
            <w:vAlign w:val="center"/>
          </w:tcPr>
          <w:p w:rsidR="005F78FC" w:rsidRDefault="00B42EF3">
            <w:pPr>
              <w:pStyle w:val="TableBodyText"/>
            </w:pPr>
            <w:r>
              <w:t>mr-IN</w:t>
            </w:r>
          </w:p>
        </w:tc>
      </w:tr>
      <w:tr w:rsidR="005F78FC" w:rsidTr="005F78FC">
        <w:tc>
          <w:tcPr>
            <w:tcW w:w="0" w:type="auto"/>
            <w:vAlign w:val="center"/>
          </w:tcPr>
          <w:p w:rsidR="005F78FC" w:rsidRDefault="00B42EF3">
            <w:pPr>
              <w:pStyle w:val="TableBodyText"/>
            </w:pPr>
            <w:r>
              <w:t>Mohawk</w:t>
            </w:r>
          </w:p>
        </w:tc>
        <w:tc>
          <w:tcPr>
            <w:tcW w:w="0" w:type="auto"/>
            <w:vAlign w:val="center"/>
          </w:tcPr>
          <w:p w:rsidR="005F78FC" w:rsidRDefault="00B42EF3">
            <w:pPr>
              <w:pStyle w:val="TableBodyText"/>
            </w:pPr>
            <w:r>
              <w:t>Mohawk</w:t>
            </w:r>
          </w:p>
        </w:tc>
        <w:tc>
          <w:tcPr>
            <w:tcW w:w="0" w:type="auto"/>
            <w:vAlign w:val="center"/>
          </w:tcPr>
          <w:p w:rsidR="005F78FC" w:rsidRDefault="00B42EF3">
            <w:pPr>
              <w:pStyle w:val="TableBodyText"/>
            </w:pPr>
            <w:r>
              <w:t>moh-CA</w:t>
            </w:r>
          </w:p>
        </w:tc>
      </w:tr>
      <w:tr w:rsidR="005F78FC" w:rsidTr="005F78FC">
        <w:tc>
          <w:tcPr>
            <w:tcW w:w="0" w:type="auto"/>
            <w:vAlign w:val="center"/>
          </w:tcPr>
          <w:p w:rsidR="005F78FC" w:rsidRDefault="00B42EF3">
            <w:pPr>
              <w:pStyle w:val="TableBodyText"/>
            </w:pPr>
            <w:r>
              <w:t>Mongolian (Cyrillic)</w:t>
            </w:r>
          </w:p>
        </w:tc>
        <w:tc>
          <w:tcPr>
            <w:tcW w:w="0" w:type="auto"/>
            <w:vAlign w:val="center"/>
          </w:tcPr>
          <w:p w:rsidR="005F78FC" w:rsidRDefault="00B42EF3">
            <w:pPr>
              <w:pStyle w:val="TableBodyText"/>
            </w:pPr>
            <w:r>
              <w:t>Mongolia</w:t>
            </w:r>
          </w:p>
        </w:tc>
        <w:tc>
          <w:tcPr>
            <w:tcW w:w="0" w:type="auto"/>
            <w:vAlign w:val="center"/>
          </w:tcPr>
          <w:p w:rsidR="005F78FC" w:rsidRDefault="00B42EF3">
            <w:pPr>
              <w:pStyle w:val="TableBodyText"/>
            </w:pPr>
            <w:r>
              <w:t>mn-MN</w:t>
            </w:r>
          </w:p>
        </w:tc>
      </w:tr>
      <w:tr w:rsidR="005F78FC" w:rsidTr="005F78FC">
        <w:tc>
          <w:tcPr>
            <w:tcW w:w="0" w:type="auto"/>
            <w:vAlign w:val="center"/>
          </w:tcPr>
          <w:p w:rsidR="005F78FC" w:rsidRDefault="00B42EF3">
            <w:pPr>
              <w:pStyle w:val="TableBodyText"/>
            </w:pPr>
            <w:r>
              <w:t>Mongolian (Mongolian)</w:t>
            </w:r>
          </w:p>
        </w:tc>
        <w:tc>
          <w:tcPr>
            <w:tcW w:w="0" w:type="auto"/>
            <w:vAlign w:val="center"/>
          </w:tcPr>
          <w:p w:rsidR="005F78FC" w:rsidRDefault="00B42EF3">
            <w:pPr>
              <w:pStyle w:val="TableBodyText"/>
            </w:pPr>
            <w:r>
              <w:t>PRC</w:t>
            </w:r>
          </w:p>
        </w:tc>
        <w:tc>
          <w:tcPr>
            <w:tcW w:w="0" w:type="auto"/>
            <w:vAlign w:val="center"/>
          </w:tcPr>
          <w:p w:rsidR="005F78FC" w:rsidRDefault="00B42EF3">
            <w:pPr>
              <w:pStyle w:val="TableBodyText"/>
            </w:pPr>
            <w:r>
              <w:t>mn-CN-Mong</w:t>
            </w:r>
          </w:p>
        </w:tc>
      </w:tr>
      <w:tr w:rsidR="005F78FC" w:rsidTr="005F78FC">
        <w:tc>
          <w:tcPr>
            <w:tcW w:w="0" w:type="auto"/>
            <w:vAlign w:val="center"/>
          </w:tcPr>
          <w:p w:rsidR="005F78FC" w:rsidRDefault="00B42EF3">
            <w:pPr>
              <w:pStyle w:val="TableBodyText"/>
            </w:pPr>
            <w:r>
              <w:t>Nepali</w:t>
            </w:r>
          </w:p>
        </w:tc>
        <w:tc>
          <w:tcPr>
            <w:tcW w:w="0" w:type="auto"/>
            <w:vAlign w:val="center"/>
          </w:tcPr>
          <w:p w:rsidR="005F78FC" w:rsidRDefault="00B42EF3">
            <w:pPr>
              <w:pStyle w:val="TableBodyText"/>
            </w:pPr>
            <w:r>
              <w:t>Nepal</w:t>
            </w:r>
          </w:p>
        </w:tc>
        <w:tc>
          <w:tcPr>
            <w:tcW w:w="0" w:type="auto"/>
            <w:vAlign w:val="center"/>
          </w:tcPr>
          <w:p w:rsidR="005F78FC" w:rsidRDefault="00B42EF3">
            <w:pPr>
              <w:pStyle w:val="TableBodyText"/>
            </w:pPr>
            <w:r>
              <w:t>ne-NP</w:t>
            </w:r>
          </w:p>
        </w:tc>
      </w:tr>
      <w:tr w:rsidR="005F78FC" w:rsidTr="005F78FC">
        <w:tc>
          <w:tcPr>
            <w:tcW w:w="0" w:type="auto"/>
            <w:vAlign w:val="center"/>
          </w:tcPr>
          <w:p w:rsidR="005F78FC" w:rsidRDefault="00B42EF3">
            <w:pPr>
              <w:pStyle w:val="TableBodyText"/>
            </w:pPr>
            <w:r>
              <w:t>Northern Sami</w:t>
            </w:r>
          </w:p>
        </w:tc>
        <w:tc>
          <w:tcPr>
            <w:tcW w:w="0" w:type="auto"/>
            <w:vAlign w:val="center"/>
          </w:tcPr>
          <w:p w:rsidR="005F78FC" w:rsidRDefault="00B42EF3">
            <w:pPr>
              <w:pStyle w:val="TableBodyText"/>
            </w:pPr>
            <w:r>
              <w:t>Finland</w:t>
            </w:r>
          </w:p>
        </w:tc>
        <w:tc>
          <w:tcPr>
            <w:tcW w:w="0" w:type="auto"/>
            <w:vAlign w:val="center"/>
          </w:tcPr>
          <w:p w:rsidR="005F78FC" w:rsidRDefault="00B42EF3">
            <w:pPr>
              <w:pStyle w:val="TableBodyText"/>
            </w:pPr>
            <w:r>
              <w:t>se-FI</w:t>
            </w:r>
          </w:p>
        </w:tc>
      </w:tr>
      <w:tr w:rsidR="005F78FC" w:rsidTr="005F78FC">
        <w:tc>
          <w:tcPr>
            <w:tcW w:w="0" w:type="auto"/>
            <w:vAlign w:val="center"/>
          </w:tcPr>
          <w:p w:rsidR="005F78FC" w:rsidRDefault="00B42EF3">
            <w:pPr>
              <w:pStyle w:val="TableBodyText"/>
            </w:pPr>
            <w:r>
              <w:t>Northern Sami</w:t>
            </w:r>
          </w:p>
        </w:tc>
        <w:tc>
          <w:tcPr>
            <w:tcW w:w="0" w:type="auto"/>
            <w:vAlign w:val="center"/>
          </w:tcPr>
          <w:p w:rsidR="005F78FC" w:rsidRDefault="00B42EF3">
            <w:pPr>
              <w:pStyle w:val="TableBodyText"/>
            </w:pPr>
            <w:r>
              <w:t>Norway</w:t>
            </w:r>
          </w:p>
        </w:tc>
        <w:tc>
          <w:tcPr>
            <w:tcW w:w="0" w:type="auto"/>
            <w:vAlign w:val="center"/>
          </w:tcPr>
          <w:p w:rsidR="005F78FC" w:rsidRDefault="00B42EF3">
            <w:pPr>
              <w:pStyle w:val="TableBodyText"/>
            </w:pPr>
            <w:r>
              <w:t>se-NO</w:t>
            </w:r>
          </w:p>
        </w:tc>
      </w:tr>
      <w:tr w:rsidR="005F78FC" w:rsidTr="005F78FC">
        <w:tc>
          <w:tcPr>
            <w:tcW w:w="0" w:type="auto"/>
            <w:vAlign w:val="center"/>
          </w:tcPr>
          <w:p w:rsidR="005F78FC" w:rsidRDefault="00B42EF3">
            <w:pPr>
              <w:pStyle w:val="TableBodyText"/>
            </w:pPr>
            <w:r>
              <w:t>Northern Sami</w:t>
            </w:r>
          </w:p>
        </w:tc>
        <w:tc>
          <w:tcPr>
            <w:tcW w:w="0" w:type="auto"/>
            <w:vAlign w:val="center"/>
          </w:tcPr>
          <w:p w:rsidR="005F78FC" w:rsidRDefault="00B42EF3">
            <w:pPr>
              <w:pStyle w:val="TableBodyText"/>
            </w:pPr>
            <w:r>
              <w:t>Sweden</w:t>
            </w:r>
          </w:p>
        </w:tc>
        <w:tc>
          <w:tcPr>
            <w:tcW w:w="0" w:type="auto"/>
            <w:vAlign w:val="center"/>
          </w:tcPr>
          <w:p w:rsidR="005F78FC" w:rsidRDefault="00B42EF3">
            <w:pPr>
              <w:pStyle w:val="TableBodyText"/>
            </w:pPr>
            <w:r>
              <w:t>se-SE</w:t>
            </w:r>
          </w:p>
        </w:tc>
      </w:tr>
      <w:tr w:rsidR="005F78FC" w:rsidTr="005F78FC">
        <w:tc>
          <w:tcPr>
            <w:tcW w:w="0" w:type="auto"/>
            <w:vAlign w:val="center"/>
          </w:tcPr>
          <w:p w:rsidR="005F78FC" w:rsidRDefault="00B42EF3">
            <w:pPr>
              <w:pStyle w:val="TableBodyText"/>
            </w:pPr>
            <w:r>
              <w:t>Norwegian (Bokmål)</w:t>
            </w:r>
          </w:p>
        </w:tc>
        <w:tc>
          <w:tcPr>
            <w:tcW w:w="0" w:type="auto"/>
            <w:vAlign w:val="center"/>
          </w:tcPr>
          <w:p w:rsidR="005F78FC" w:rsidRDefault="00B42EF3">
            <w:pPr>
              <w:pStyle w:val="TableBodyText"/>
            </w:pPr>
            <w:r>
              <w:t>Norway</w:t>
            </w:r>
          </w:p>
        </w:tc>
        <w:tc>
          <w:tcPr>
            <w:tcW w:w="0" w:type="auto"/>
            <w:vAlign w:val="center"/>
          </w:tcPr>
          <w:p w:rsidR="005F78FC" w:rsidRDefault="00B42EF3">
            <w:pPr>
              <w:pStyle w:val="TableBodyText"/>
            </w:pPr>
            <w:r>
              <w:t>nb-NO</w:t>
            </w:r>
          </w:p>
        </w:tc>
      </w:tr>
      <w:tr w:rsidR="005F78FC" w:rsidTr="005F78FC">
        <w:tc>
          <w:tcPr>
            <w:tcW w:w="0" w:type="auto"/>
            <w:vAlign w:val="center"/>
          </w:tcPr>
          <w:p w:rsidR="005F78FC" w:rsidRDefault="00B42EF3">
            <w:pPr>
              <w:pStyle w:val="TableBodyText"/>
            </w:pPr>
            <w:r>
              <w:t>Norwegian (Nynorsk)</w:t>
            </w:r>
          </w:p>
        </w:tc>
        <w:tc>
          <w:tcPr>
            <w:tcW w:w="0" w:type="auto"/>
            <w:vAlign w:val="center"/>
          </w:tcPr>
          <w:p w:rsidR="005F78FC" w:rsidRDefault="00B42EF3">
            <w:pPr>
              <w:pStyle w:val="TableBodyText"/>
            </w:pPr>
            <w:r>
              <w:t>Norway</w:t>
            </w:r>
          </w:p>
        </w:tc>
        <w:tc>
          <w:tcPr>
            <w:tcW w:w="0" w:type="auto"/>
            <w:vAlign w:val="center"/>
          </w:tcPr>
          <w:p w:rsidR="005F78FC" w:rsidRDefault="00B42EF3">
            <w:pPr>
              <w:pStyle w:val="TableBodyText"/>
            </w:pPr>
            <w:r>
              <w:t>nn-NO</w:t>
            </w:r>
          </w:p>
        </w:tc>
      </w:tr>
      <w:tr w:rsidR="005F78FC" w:rsidTr="005F78FC">
        <w:tc>
          <w:tcPr>
            <w:tcW w:w="0" w:type="auto"/>
            <w:vAlign w:val="center"/>
          </w:tcPr>
          <w:p w:rsidR="005F78FC" w:rsidRDefault="00B42EF3">
            <w:pPr>
              <w:pStyle w:val="TableBodyText"/>
            </w:pPr>
            <w:r>
              <w:t>Occitan</w:t>
            </w:r>
          </w:p>
        </w:tc>
        <w:tc>
          <w:tcPr>
            <w:tcW w:w="0" w:type="auto"/>
            <w:vAlign w:val="center"/>
          </w:tcPr>
          <w:p w:rsidR="005F78FC" w:rsidRDefault="00B42EF3">
            <w:pPr>
              <w:pStyle w:val="TableBodyText"/>
            </w:pPr>
            <w:r>
              <w:t>France</w:t>
            </w:r>
          </w:p>
        </w:tc>
        <w:tc>
          <w:tcPr>
            <w:tcW w:w="0" w:type="auto"/>
            <w:vAlign w:val="center"/>
          </w:tcPr>
          <w:p w:rsidR="005F78FC" w:rsidRDefault="00B42EF3">
            <w:pPr>
              <w:pStyle w:val="TableBodyText"/>
            </w:pPr>
            <w:r>
              <w:t>oc-FR</w:t>
            </w:r>
          </w:p>
        </w:tc>
      </w:tr>
      <w:tr w:rsidR="005F78FC" w:rsidTr="005F78FC">
        <w:tc>
          <w:tcPr>
            <w:tcW w:w="0" w:type="auto"/>
            <w:vAlign w:val="center"/>
          </w:tcPr>
          <w:p w:rsidR="005F78FC" w:rsidRDefault="00B42EF3">
            <w:pPr>
              <w:pStyle w:val="TableBodyText"/>
            </w:pPr>
            <w:r>
              <w:t xml:space="preserve">Odia </w:t>
            </w:r>
            <w:r>
              <w:t>(Odia Script)</w:t>
            </w:r>
          </w:p>
        </w:tc>
        <w:tc>
          <w:tcPr>
            <w:tcW w:w="0" w:type="auto"/>
            <w:vAlign w:val="center"/>
          </w:tcPr>
          <w:p w:rsidR="005F78FC" w:rsidRDefault="00B42EF3">
            <w:pPr>
              <w:pStyle w:val="TableBodyText"/>
            </w:pPr>
            <w:r>
              <w:t xml:space="preserve">India </w:t>
            </w:r>
          </w:p>
        </w:tc>
        <w:tc>
          <w:tcPr>
            <w:tcW w:w="0" w:type="auto"/>
            <w:vAlign w:val="center"/>
          </w:tcPr>
          <w:p w:rsidR="005F78FC" w:rsidRDefault="00B42EF3">
            <w:pPr>
              <w:pStyle w:val="TableBodyText"/>
            </w:pPr>
            <w:r>
              <w:t>or-IN</w:t>
            </w:r>
          </w:p>
        </w:tc>
      </w:tr>
      <w:tr w:rsidR="005F78FC" w:rsidTr="005F78FC">
        <w:tc>
          <w:tcPr>
            <w:tcW w:w="0" w:type="auto"/>
            <w:vAlign w:val="center"/>
          </w:tcPr>
          <w:p w:rsidR="005F78FC" w:rsidRDefault="00B42EF3">
            <w:pPr>
              <w:pStyle w:val="TableBodyText"/>
            </w:pPr>
            <w:r>
              <w:t>Pashto</w:t>
            </w:r>
          </w:p>
        </w:tc>
        <w:tc>
          <w:tcPr>
            <w:tcW w:w="0" w:type="auto"/>
            <w:vAlign w:val="center"/>
          </w:tcPr>
          <w:p w:rsidR="005F78FC" w:rsidRDefault="00B42EF3">
            <w:pPr>
              <w:pStyle w:val="TableBodyText"/>
            </w:pPr>
            <w:r>
              <w:t>Afghanistan</w:t>
            </w:r>
          </w:p>
        </w:tc>
        <w:tc>
          <w:tcPr>
            <w:tcW w:w="0" w:type="auto"/>
            <w:vAlign w:val="center"/>
          </w:tcPr>
          <w:p w:rsidR="005F78FC" w:rsidRDefault="00B42EF3">
            <w:pPr>
              <w:pStyle w:val="TableBodyText"/>
            </w:pPr>
            <w:r>
              <w:t>ps-AF</w:t>
            </w:r>
          </w:p>
        </w:tc>
      </w:tr>
      <w:tr w:rsidR="005F78FC" w:rsidTr="005F78FC">
        <w:tc>
          <w:tcPr>
            <w:tcW w:w="0" w:type="auto"/>
            <w:vAlign w:val="center"/>
          </w:tcPr>
          <w:p w:rsidR="005F78FC" w:rsidRDefault="00B42EF3">
            <w:pPr>
              <w:pStyle w:val="TableBodyText"/>
            </w:pPr>
            <w:r>
              <w:t>Persian</w:t>
            </w:r>
          </w:p>
        </w:tc>
        <w:tc>
          <w:tcPr>
            <w:tcW w:w="0" w:type="auto"/>
            <w:vAlign w:val="center"/>
          </w:tcPr>
          <w:p w:rsidR="005F78FC" w:rsidRDefault="00B42EF3">
            <w:pPr>
              <w:pStyle w:val="TableBodyText"/>
            </w:pPr>
            <w:r>
              <w:t>Iran</w:t>
            </w:r>
          </w:p>
        </w:tc>
        <w:tc>
          <w:tcPr>
            <w:tcW w:w="0" w:type="auto"/>
            <w:vAlign w:val="center"/>
          </w:tcPr>
          <w:p w:rsidR="005F78FC" w:rsidRDefault="00B42EF3">
            <w:pPr>
              <w:pStyle w:val="TableBodyText"/>
            </w:pPr>
            <w:r>
              <w:t>fa-IR</w:t>
            </w:r>
          </w:p>
        </w:tc>
      </w:tr>
      <w:tr w:rsidR="005F78FC" w:rsidTr="005F78FC">
        <w:tc>
          <w:tcPr>
            <w:tcW w:w="0" w:type="auto"/>
            <w:vAlign w:val="center"/>
          </w:tcPr>
          <w:p w:rsidR="005F78FC" w:rsidRDefault="00B42EF3">
            <w:pPr>
              <w:pStyle w:val="TableBodyText"/>
            </w:pPr>
            <w:r>
              <w:t>Polish</w:t>
            </w:r>
          </w:p>
        </w:tc>
        <w:tc>
          <w:tcPr>
            <w:tcW w:w="0" w:type="auto"/>
            <w:vAlign w:val="center"/>
          </w:tcPr>
          <w:p w:rsidR="005F78FC" w:rsidRDefault="00B42EF3">
            <w:pPr>
              <w:pStyle w:val="TableBodyText"/>
            </w:pPr>
            <w:r>
              <w:t>Poland</w:t>
            </w:r>
          </w:p>
        </w:tc>
        <w:tc>
          <w:tcPr>
            <w:tcW w:w="0" w:type="auto"/>
            <w:vAlign w:val="center"/>
          </w:tcPr>
          <w:p w:rsidR="005F78FC" w:rsidRDefault="00B42EF3">
            <w:pPr>
              <w:pStyle w:val="TableBodyText"/>
            </w:pPr>
            <w:r>
              <w:t>pl-PL</w:t>
            </w:r>
          </w:p>
        </w:tc>
      </w:tr>
      <w:tr w:rsidR="005F78FC" w:rsidTr="005F78FC">
        <w:tc>
          <w:tcPr>
            <w:tcW w:w="0" w:type="auto"/>
            <w:vAlign w:val="center"/>
          </w:tcPr>
          <w:p w:rsidR="005F78FC" w:rsidRDefault="00B42EF3">
            <w:pPr>
              <w:pStyle w:val="TableBodyText"/>
            </w:pPr>
            <w:r>
              <w:t>Portuguese</w:t>
            </w:r>
          </w:p>
        </w:tc>
        <w:tc>
          <w:tcPr>
            <w:tcW w:w="0" w:type="auto"/>
            <w:vAlign w:val="center"/>
          </w:tcPr>
          <w:p w:rsidR="005F78FC" w:rsidRDefault="00B42EF3">
            <w:pPr>
              <w:pStyle w:val="TableBodyText"/>
            </w:pPr>
            <w:r>
              <w:t>Brazil</w:t>
            </w:r>
          </w:p>
        </w:tc>
        <w:tc>
          <w:tcPr>
            <w:tcW w:w="0" w:type="auto"/>
            <w:vAlign w:val="center"/>
          </w:tcPr>
          <w:p w:rsidR="005F78FC" w:rsidRDefault="00B42EF3">
            <w:pPr>
              <w:pStyle w:val="TableBodyText"/>
            </w:pPr>
            <w:r>
              <w:t>pt-BR</w:t>
            </w:r>
          </w:p>
        </w:tc>
      </w:tr>
      <w:tr w:rsidR="005F78FC" w:rsidTr="005F78FC">
        <w:tc>
          <w:tcPr>
            <w:tcW w:w="0" w:type="auto"/>
            <w:vAlign w:val="center"/>
          </w:tcPr>
          <w:p w:rsidR="005F78FC" w:rsidRDefault="00B42EF3">
            <w:pPr>
              <w:pStyle w:val="TableBodyText"/>
            </w:pPr>
            <w:r>
              <w:t>Portuguese</w:t>
            </w:r>
          </w:p>
        </w:tc>
        <w:tc>
          <w:tcPr>
            <w:tcW w:w="0" w:type="auto"/>
            <w:vAlign w:val="center"/>
          </w:tcPr>
          <w:p w:rsidR="005F78FC" w:rsidRDefault="00B42EF3">
            <w:pPr>
              <w:pStyle w:val="TableBodyText"/>
            </w:pPr>
            <w:r>
              <w:t>Portugal</w:t>
            </w:r>
          </w:p>
        </w:tc>
        <w:tc>
          <w:tcPr>
            <w:tcW w:w="0" w:type="auto"/>
            <w:vAlign w:val="center"/>
          </w:tcPr>
          <w:p w:rsidR="005F78FC" w:rsidRDefault="00B42EF3">
            <w:pPr>
              <w:pStyle w:val="TableBodyText"/>
            </w:pPr>
            <w:r>
              <w:t>pt-PT</w:t>
            </w:r>
          </w:p>
        </w:tc>
      </w:tr>
      <w:tr w:rsidR="005F78FC" w:rsidTr="005F78FC">
        <w:tc>
          <w:tcPr>
            <w:tcW w:w="0" w:type="auto"/>
            <w:vAlign w:val="center"/>
          </w:tcPr>
          <w:p w:rsidR="005F78FC" w:rsidRDefault="00B42EF3">
            <w:pPr>
              <w:pStyle w:val="TableBodyText"/>
            </w:pPr>
            <w:r>
              <w:t>Punjabi (Gurmukhi Script)</w:t>
            </w:r>
          </w:p>
        </w:tc>
        <w:tc>
          <w:tcPr>
            <w:tcW w:w="0" w:type="auto"/>
            <w:vAlign w:val="center"/>
          </w:tcPr>
          <w:p w:rsidR="005F78FC" w:rsidRDefault="00B42EF3">
            <w:pPr>
              <w:pStyle w:val="TableBodyText"/>
            </w:pPr>
            <w:r>
              <w:t>India</w:t>
            </w:r>
          </w:p>
        </w:tc>
        <w:tc>
          <w:tcPr>
            <w:tcW w:w="0" w:type="auto"/>
            <w:vAlign w:val="center"/>
          </w:tcPr>
          <w:p w:rsidR="005F78FC" w:rsidRDefault="00B42EF3">
            <w:pPr>
              <w:pStyle w:val="TableBodyText"/>
            </w:pPr>
            <w:r>
              <w:t>pa-IN</w:t>
            </w:r>
          </w:p>
        </w:tc>
      </w:tr>
      <w:tr w:rsidR="005F78FC" w:rsidTr="005F78FC">
        <w:tc>
          <w:tcPr>
            <w:tcW w:w="0" w:type="auto"/>
            <w:vAlign w:val="center"/>
          </w:tcPr>
          <w:p w:rsidR="005F78FC" w:rsidRDefault="00B42EF3">
            <w:pPr>
              <w:pStyle w:val="TableBodyText"/>
            </w:pPr>
            <w:r>
              <w:t>Quechua</w:t>
            </w:r>
          </w:p>
        </w:tc>
        <w:tc>
          <w:tcPr>
            <w:tcW w:w="0" w:type="auto"/>
            <w:vAlign w:val="center"/>
          </w:tcPr>
          <w:p w:rsidR="005F78FC" w:rsidRDefault="00B42EF3">
            <w:pPr>
              <w:pStyle w:val="TableBodyText"/>
            </w:pPr>
            <w:r>
              <w:t>Bolivia</w:t>
            </w:r>
          </w:p>
        </w:tc>
        <w:tc>
          <w:tcPr>
            <w:tcW w:w="0" w:type="auto"/>
            <w:vAlign w:val="center"/>
          </w:tcPr>
          <w:p w:rsidR="005F78FC" w:rsidRDefault="00B42EF3">
            <w:pPr>
              <w:pStyle w:val="TableBodyText"/>
            </w:pPr>
            <w:r>
              <w:t>quz-BO</w:t>
            </w:r>
          </w:p>
        </w:tc>
      </w:tr>
      <w:tr w:rsidR="005F78FC" w:rsidTr="005F78FC">
        <w:tc>
          <w:tcPr>
            <w:tcW w:w="0" w:type="auto"/>
            <w:vAlign w:val="center"/>
          </w:tcPr>
          <w:p w:rsidR="005F78FC" w:rsidRDefault="00B42EF3">
            <w:pPr>
              <w:pStyle w:val="TableBodyText"/>
            </w:pPr>
            <w:r>
              <w:t>Quechua</w:t>
            </w:r>
          </w:p>
        </w:tc>
        <w:tc>
          <w:tcPr>
            <w:tcW w:w="0" w:type="auto"/>
            <w:vAlign w:val="center"/>
          </w:tcPr>
          <w:p w:rsidR="005F78FC" w:rsidRDefault="00B42EF3">
            <w:pPr>
              <w:pStyle w:val="TableBodyText"/>
            </w:pPr>
            <w:r>
              <w:t>Ecuador</w:t>
            </w:r>
          </w:p>
        </w:tc>
        <w:tc>
          <w:tcPr>
            <w:tcW w:w="0" w:type="auto"/>
            <w:vAlign w:val="center"/>
          </w:tcPr>
          <w:p w:rsidR="005F78FC" w:rsidRDefault="00B42EF3">
            <w:pPr>
              <w:pStyle w:val="TableBodyText"/>
            </w:pPr>
            <w:r>
              <w:t>quz-EC</w:t>
            </w:r>
          </w:p>
        </w:tc>
      </w:tr>
      <w:tr w:rsidR="005F78FC" w:rsidTr="005F78FC">
        <w:tc>
          <w:tcPr>
            <w:tcW w:w="0" w:type="auto"/>
            <w:vAlign w:val="center"/>
          </w:tcPr>
          <w:p w:rsidR="005F78FC" w:rsidRDefault="00B42EF3">
            <w:pPr>
              <w:pStyle w:val="TableBodyText"/>
            </w:pPr>
            <w:r>
              <w:lastRenderedPageBreak/>
              <w:t>Quechua</w:t>
            </w:r>
          </w:p>
        </w:tc>
        <w:tc>
          <w:tcPr>
            <w:tcW w:w="0" w:type="auto"/>
            <w:vAlign w:val="center"/>
          </w:tcPr>
          <w:p w:rsidR="005F78FC" w:rsidRDefault="00B42EF3">
            <w:pPr>
              <w:pStyle w:val="TableBodyText"/>
            </w:pPr>
            <w:r>
              <w:t>Peru</w:t>
            </w:r>
          </w:p>
        </w:tc>
        <w:tc>
          <w:tcPr>
            <w:tcW w:w="0" w:type="auto"/>
            <w:vAlign w:val="center"/>
          </w:tcPr>
          <w:p w:rsidR="005F78FC" w:rsidRDefault="00B42EF3">
            <w:pPr>
              <w:pStyle w:val="TableBodyText"/>
            </w:pPr>
            <w:r>
              <w:t>quz-PE</w:t>
            </w:r>
          </w:p>
        </w:tc>
      </w:tr>
      <w:tr w:rsidR="005F78FC" w:rsidTr="005F78FC">
        <w:tc>
          <w:tcPr>
            <w:tcW w:w="0" w:type="auto"/>
            <w:vAlign w:val="center"/>
          </w:tcPr>
          <w:p w:rsidR="005F78FC" w:rsidRDefault="00B42EF3">
            <w:pPr>
              <w:pStyle w:val="TableBodyText"/>
            </w:pPr>
            <w:r>
              <w:t>Romanian</w:t>
            </w:r>
          </w:p>
        </w:tc>
        <w:tc>
          <w:tcPr>
            <w:tcW w:w="0" w:type="auto"/>
            <w:vAlign w:val="center"/>
          </w:tcPr>
          <w:p w:rsidR="005F78FC" w:rsidRDefault="00B42EF3">
            <w:pPr>
              <w:pStyle w:val="TableBodyText"/>
            </w:pPr>
            <w:r>
              <w:t>Romania</w:t>
            </w:r>
          </w:p>
        </w:tc>
        <w:tc>
          <w:tcPr>
            <w:tcW w:w="0" w:type="auto"/>
            <w:vAlign w:val="center"/>
          </w:tcPr>
          <w:p w:rsidR="005F78FC" w:rsidRDefault="00B42EF3">
            <w:pPr>
              <w:pStyle w:val="TableBodyText"/>
            </w:pPr>
            <w:r>
              <w:t>ro-RO</w:t>
            </w:r>
          </w:p>
        </w:tc>
      </w:tr>
      <w:tr w:rsidR="005F78FC" w:rsidTr="005F78FC">
        <w:tc>
          <w:tcPr>
            <w:tcW w:w="0" w:type="auto"/>
            <w:vAlign w:val="center"/>
          </w:tcPr>
          <w:p w:rsidR="005F78FC" w:rsidRDefault="00B42EF3">
            <w:pPr>
              <w:pStyle w:val="TableBodyText"/>
            </w:pPr>
            <w:r>
              <w:t>Romansh</w:t>
            </w:r>
          </w:p>
        </w:tc>
        <w:tc>
          <w:tcPr>
            <w:tcW w:w="0" w:type="auto"/>
            <w:vAlign w:val="center"/>
          </w:tcPr>
          <w:p w:rsidR="005F78FC" w:rsidRDefault="00B42EF3">
            <w:pPr>
              <w:pStyle w:val="TableBodyText"/>
            </w:pPr>
            <w:r>
              <w:t>Switzerland</w:t>
            </w:r>
          </w:p>
        </w:tc>
        <w:tc>
          <w:tcPr>
            <w:tcW w:w="0" w:type="auto"/>
            <w:vAlign w:val="center"/>
          </w:tcPr>
          <w:p w:rsidR="005F78FC" w:rsidRDefault="00B42EF3">
            <w:pPr>
              <w:pStyle w:val="TableBodyText"/>
            </w:pPr>
            <w:r>
              <w:t>rm-CH</w:t>
            </w:r>
          </w:p>
        </w:tc>
      </w:tr>
      <w:tr w:rsidR="005F78FC" w:rsidTr="005F78FC">
        <w:tc>
          <w:tcPr>
            <w:tcW w:w="0" w:type="auto"/>
            <w:vAlign w:val="center"/>
          </w:tcPr>
          <w:p w:rsidR="005F78FC" w:rsidRDefault="00B42EF3">
            <w:pPr>
              <w:pStyle w:val="TableBodyText"/>
            </w:pPr>
            <w:r>
              <w:t>Russian</w:t>
            </w:r>
          </w:p>
        </w:tc>
        <w:tc>
          <w:tcPr>
            <w:tcW w:w="0" w:type="auto"/>
            <w:vAlign w:val="center"/>
          </w:tcPr>
          <w:p w:rsidR="005F78FC" w:rsidRDefault="00B42EF3">
            <w:pPr>
              <w:pStyle w:val="TableBodyText"/>
            </w:pPr>
            <w:r>
              <w:t>Russia</w:t>
            </w:r>
          </w:p>
        </w:tc>
        <w:tc>
          <w:tcPr>
            <w:tcW w:w="0" w:type="auto"/>
            <w:vAlign w:val="center"/>
          </w:tcPr>
          <w:p w:rsidR="005F78FC" w:rsidRDefault="00B42EF3">
            <w:pPr>
              <w:pStyle w:val="TableBodyText"/>
            </w:pPr>
            <w:r>
              <w:t>ru-RU</w:t>
            </w:r>
          </w:p>
        </w:tc>
      </w:tr>
      <w:tr w:rsidR="005F78FC" w:rsidTr="005F78FC">
        <w:tc>
          <w:tcPr>
            <w:tcW w:w="0" w:type="auto"/>
            <w:vAlign w:val="center"/>
          </w:tcPr>
          <w:p w:rsidR="005F78FC" w:rsidRDefault="00B42EF3">
            <w:pPr>
              <w:pStyle w:val="TableBodyText"/>
            </w:pPr>
            <w:r>
              <w:t>Sakha</w:t>
            </w:r>
          </w:p>
        </w:tc>
        <w:tc>
          <w:tcPr>
            <w:tcW w:w="0" w:type="auto"/>
            <w:vAlign w:val="center"/>
          </w:tcPr>
          <w:p w:rsidR="005F78FC" w:rsidRDefault="00B42EF3">
            <w:pPr>
              <w:pStyle w:val="TableBodyText"/>
            </w:pPr>
            <w:r>
              <w:t>Russia</w:t>
            </w:r>
          </w:p>
        </w:tc>
        <w:tc>
          <w:tcPr>
            <w:tcW w:w="0" w:type="auto"/>
            <w:vAlign w:val="center"/>
          </w:tcPr>
          <w:p w:rsidR="005F78FC" w:rsidRDefault="00B42EF3">
            <w:pPr>
              <w:pStyle w:val="TableBodyText"/>
            </w:pPr>
            <w:r>
              <w:t>sah-RU</w:t>
            </w:r>
          </w:p>
        </w:tc>
      </w:tr>
      <w:tr w:rsidR="005F78FC" w:rsidTr="005F78FC">
        <w:tc>
          <w:tcPr>
            <w:tcW w:w="0" w:type="auto"/>
            <w:vAlign w:val="center"/>
          </w:tcPr>
          <w:p w:rsidR="005F78FC" w:rsidRDefault="00B42EF3">
            <w:pPr>
              <w:pStyle w:val="TableBodyText"/>
            </w:pPr>
            <w:r>
              <w:t>Sanskrit</w:t>
            </w:r>
          </w:p>
        </w:tc>
        <w:tc>
          <w:tcPr>
            <w:tcW w:w="0" w:type="auto"/>
            <w:vAlign w:val="center"/>
          </w:tcPr>
          <w:p w:rsidR="005F78FC" w:rsidRDefault="00B42EF3">
            <w:pPr>
              <w:pStyle w:val="TableBodyText"/>
            </w:pPr>
            <w:r>
              <w:t>India</w:t>
            </w:r>
          </w:p>
        </w:tc>
        <w:tc>
          <w:tcPr>
            <w:tcW w:w="0" w:type="auto"/>
            <w:vAlign w:val="center"/>
          </w:tcPr>
          <w:p w:rsidR="005F78FC" w:rsidRDefault="00B42EF3">
            <w:pPr>
              <w:pStyle w:val="TableBodyText"/>
            </w:pPr>
            <w:r>
              <w:t>sa-IN</w:t>
            </w:r>
          </w:p>
        </w:tc>
      </w:tr>
      <w:tr w:rsidR="005F78FC" w:rsidTr="005F78FC">
        <w:tc>
          <w:tcPr>
            <w:tcW w:w="0" w:type="auto"/>
            <w:vAlign w:val="center"/>
          </w:tcPr>
          <w:p w:rsidR="005F78FC" w:rsidRDefault="00B42EF3">
            <w:pPr>
              <w:pStyle w:val="TableBodyText"/>
            </w:pPr>
            <w:r>
              <w:t>Serbian (Cyrillic)</w:t>
            </w:r>
          </w:p>
        </w:tc>
        <w:tc>
          <w:tcPr>
            <w:tcW w:w="0" w:type="auto"/>
            <w:vAlign w:val="center"/>
          </w:tcPr>
          <w:p w:rsidR="005F78FC" w:rsidRDefault="00B42EF3">
            <w:pPr>
              <w:pStyle w:val="TableBodyText"/>
            </w:pPr>
            <w:r>
              <w:t xml:space="preserve">Bosnia and Herzegovina </w:t>
            </w:r>
          </w:p>
        </w:tc>
        <w:tc>
          <w:tcPr>
            <w:tcW w:w="0" w:type="auto"/>
            <w:vAlign w:val="center"/>
          </w:tcPr>
          <w:p w:rsidR="005F78FC" w:rsidRDefault="00B42EF3">
            <w:pPr>
              <w:pStyle w:val="TableBodyText"/>
            </w:pPr>
            <w:r>
              <w:t>sr-BA-Cyrl</w:t>
            </w:r>
          </w:p>
        </w:tc>
      </w:tr>
      <w:tr w:rsidR="005F78FC" w:rsidTr="005F78FC">
        <w:tc>
          <w:tcPr>
            <w:tcW w:w="0" w:type="auto"/>
            <w:vAlign w:val="center"/>
          </w:tcPr>
          <w:p w:rsidR="005F78FC" w:rsidRDefault="00B42EF3">
            <w:pPr>
              <w:pStyle w:val="TableBodyText"/>
            </w:pPr>
            <w:r>
              <w:t>Serbian (Cyrillic)</w:t>
            </w:r>
          </w:p>
        </w:tc>
        <w:tc>
          <w:tcPr>
            <w:tcW w:w="0" w:type="auto"/>
            <w:vAlign w:val="center"/>
          </w:tcPr>
          <w:p w:rsidR="005F78FC" w:rsidRDefault="00B42EF3">
            <w:pPr>
              <w:pStyle w:val="TableBodyText"/>
            </w:pPr>
            <w:r>
              <w:t>Serbia and Montenegro (former)</w:t>
            </w:r>
          </w:p>
        </w:tc>
        <w:tc>
          <w:tcPr>
            <w:tcW w:w="0" w:type="auto"/>
            <w:vAlign w:val="center"/>
          </w:tcPr>
          <w:p w:rsidR="005F78FC" w:rsidRDefault="00B42EF3">
            <w:pPr>
              <w:pStyle w:val="TableBodyText"/>
            </w:pPr>
            <w:r>
              <w:t>sr-SP-Cyrl</w:t>
            </w:r>
          </w:p>
        </w:tc>
      </w:tr>
      <w:tr w:rsidR="005F78FC" w:rsidTr="005F78FC">
        <w:tc>
          <w:tcPr>
            <w:tcW w:w="0" w:type="auto"/>
            <w:vAlign w:val="center"/>
          </w:tcPr>
          <w:p w:rsidR="005F78FC" w:rsidRDefault="00B42EF3">
            <w:pPr>
              <w:pStyle w:val="TableBodyText"/>
            </w:pPr>
            <w:r>
              <w:t>Serbian (Latin)</w:t>
            </w:r>
          </w:p>
        </w:tc>
        <w:tc>
          <w:tcPr>
            <w:tcW w:w="0" w:type="auto"/>
            <w:vAlign w:val="center"/>
          </w:tcPr>
          <w:p w:rsidR="005F78FC" w:rsidRDefault="00B42EF3">
            <w:pPr>
              <w:pStyle w:val="TableBodyText"/>
            </w:pPr>
            <w:r>
              <w:t xml:space="preserve">Bosnia and Herzegovina </w:t>
            </w:r>
          </w:p>
        </w:tc>
        <w:tc>
          <w:tcPr>
            <w:tcW w:w="0" w:type="auto"/>
            <w:vAlign w:val="center"/>
          </w:tcPr>
          <w:p w:rsidR="005F78FC" w:rsidRDefault="00B42EF3">
            <w:pPr>
              <w:pStyle w:val="TableBodyText"/>
            </w:pPr>
            <w:r>
              <w:t>sr-BA-Latn</w:t>
            </w:r>
          </w:p>
        </w:tc>
      </w:tr>
      <w:tr w:rsidR="005F78FC" w:rsidTr="005F78FC">
        <w:tc>
          <w:tcPr>
            <w:tcW w:w="0" w:type="auto"/>
            <w:vAlign w:val="center"/>
          </w:tcPr>
          <w:p w:rsidR="005F78FC" w:rsidRDefault="00B42EF3">
            <w:pPr>
              <w:pStyle w:val="TableBodyText"/>
            </w:pPr>
            <w:r>
              <w:t>Serbian (Latin)</w:t>
            </w:r>
          </w:p>
        </w:tc>
        <w:tc>
          <w:tcPr>
            <w:tcW w:w="0" w:type="auto"/>
            <w:vAlign w:val="center"/>
          </w:tcPr>
          <w:p w:rsidR="005F78FC" w:rsidRDefault="00B42EF3">
            <w:pPr>
              <w:pStyle w:val="TableBodyText"/>
            </w:pPr>
            <w:r>
              <w:t>Serbia and Montenegro (former)</w:t>
            </w:r>
          </w:p>
        </w:tc>
        <w:tc>
          <w:tcPr>
            <w:tcW w:w="0" w:type="auto"/>
            <w:vAlign w:val="center"/>
          </w:tcPr>
          <w:p w:rsidR="005F78FC" w:rsidRDefault="00B42EF3">
            <w:pPr>
              <w:pStyle w:val="TableBodyText"/>
            </w:pPr>
            <w:r>
              <w:t>sr-SP-Latn</w:t>
            </w:r>
          </w:p>
        </w:tc>
      </w:tr>
      <w:tr w:rsidR="005F78FC" w:rsidTr="005F78FC">
        <w:tc>
          <w:tcPr>
            <w:tcW w:w="0" w:type="auto"/>
            <w:vAlign w:val="center"/>
          </w:tcPr>
          <w:p w:rsidR="005F78FC" w:rsidRDefault="00B42EF3">
            <w:pPr>
              <w:pStyle w:val="TableBodyText"/>
            </w:pPr>
            <w:r>
              <w:t>Sesotho sa Leboa / Northern Sotho</w:t>
            </w:r>
          </w:p>
        </w:tc>
        <w:tc>
          <w:tcPr>
            <w:tcW w:w="0" w:type="auto"/>
            <w:vAlign w:val="center"/>
          </w:tcPr>
          <w:p w:rsidR="005F78FC" w:rsidRDefault="00B42EF3">
            <w:pPr>
              <w:pStyle w:val="TableBodyText"/>
            </w:pPr>
            <w:r>
              <w:t>South Africa</w:t>
            </w:r>
          </w:p>
        </w:tc>
        <w:tc>
          <w:tcPr>
            <w:tcW w:w="0" w:type="auto"/>
            <w:vAlign w:val="center"/>
          </w:tcPr>
          <w:p w:rsidR="005F78FC" w:rsidRDefault="00B42EF3">
            <w:pPr>
              <w:pStyle w:val="TableBodyText"/>
            </w:pPr>
            <w:r>
              <w:t>ns-ZA</w:t>
            </w:r>
          </w:p>
        </w:tc>
      </w:tr>
      <w:tr w:rsidR="005F78FC" w:rsidTr="005F78FC">
        <w:tc>
          <w:tcPr>
            <w:tcW w:w="0" w:type="auto"/>
            <w:vAlign w:val="center"/>
          </w:tcPr>
          <w:p w:rsidR="005F78FC" w:rsidRDefault="00B42EF3">
            <w:pPr>
              <w:pStyle w:val="TableBodyText"/>
            </w:pPr>
            <w:r>
              <w:t>Setswana / Tswana</w:t>
            </w:r>
          </w:p>
        </w:tc>
        <w:tc>
          <w:tcPr>
            <w:tcW w:w="0" w:type="auto"/>
            <w:vAlign w:val="center"/>
          </w:tcPr>
          <w:p w:rsidR="005F78FC" w:rsidRDefault="00B42EF3">
            <w:pPr>
              <w:pStyle w:val="TableBodyText"/>
            </w:pPr>
            <w:r>
              <w:t>South Africa</w:t>
            </w:r>
          </w:p>
        </w:tc>
        <w:tc>
          <w:tcPr>
            <w:tcW w:w="0" w:type="auto"/>
            <w:vAlign w:val="center"/>
          </w:tcPr>
          <w:p w:rsidR="005F78FC" w:rsidRDefault="00B42EF3">
            <w:pPr>
              <w:pStyle w:val="TableBodyText"/>
            </w:pPr>
            <w:r>
              <w:t>tn-ZA</w:t>
            </w:r>
          </w:p>
        </w:tc>
      </w:tr>
      <w:tr w:rsidR="005F78FC" w:rsidTr="005F78FC">
        <w:tc>
          <w:tcPr>
            <w:tcW w:w="0" w:type="auto"/>
            <w:vAlign w:val="center"/>
          </w:tcPr>
          <w:p w:rsidR="005F78FC" w:rsidRDefault="00B42EF3">
            <w:pPr>
              <w:pStyle w:val="TableBodyText"/>
            </w:pPr>
            <w:r>
              <w:t>Sinhala</w:t>
            </w:r>
          </w:p>
        </w:tc>
        <w:tc>
          <w:tcPr>
            <w:tcW w:w="0" w:type="auto"/>
            <w:vAlign w:val="center"/>
          </w:tcPr>
          <w:p w:rsidR="005F78FC" w:rsidRDefault="00B42EF3">
            <w:pPr>
              <w:pStyle w:val="TableBodyText"/>
            </w:pPr>
            <w:r>
              <w:t>Sri Lanka</w:t>
            </w:r>
          </w:p>
        </w:tc>
        <w:tc>
          <w:tcPr>
            <w:tcW w:w="0" w:type="auto"/>
            <w:vAlign w:val="center"/>
          </w:tcPr>
          <w:p w:rsidR="005F78FC" w:rsidRDefault="00B42EF3">
            <w:pPr>
              <w:pStyle w:val="TableBodyText"/>
            </w:pPr>
            <w:r>
              <w:t>si-LK</w:t>
            </w:r>
          </w:p>
        </w:tc>
      </w:tr>
      <w:tr w:rsidR="005F78FC" w:rsidTr="005F78FC">
        <w:tc>
          <w:tcPr>
            <w:tcW w:w="0" w:type="auto"/>
            <w:vAlign w:val="center"/>
          </w:tcPr>
          <w:p w:rsidR="005F78FC" w:rsidRDefault="00B42EF3">
            <w:pPr>
              <w:pStyle w:val="TableBodyText"/>
            </w:pPr>
            <w:r>
              <w:t>Skolt Sami</w:t>
            </w:r>
          </w:p>
        </w:tc>
        <w:tc>
          <w:tcPr>
            <w:tcW w:w="0" w:type="auto"/>
            <w:vAlign w:val="center"/>
          </w:tcPr>
          <w:p w:rsidR="005F78FC" w:rsidRDefault="00B42EF3">
            <w:pPr>
              <w:pStyle w:val="TableBodyText"/>
            </w:pPr>
            <w:r>
              <w:t>Finland</w:t>
            </w:r>
          </w:p>
        </w:tc>
        <w:tc>
          <w:tcPr>
            <w:tcW w:w="0" w:type="auto"/>
            <w:vAlign w:val="center"/>
          </w:tcPr>
          <w:p w:rsidR="005F78FC" w:rsidRDefault="00B42EF3">
            <w:pPr>
              <w:pStyle w:val="TableBodyText"/>
            </w:pPr>
            <w:r>
              <w:t>sms-FI</w:t>
            </w:r>
          </w:p>
        </w:tc>
      </w:tr>
      <w:tr w:rsidR="005F78FC" w:rsidTr="005F78FC">
        <w:tc>
          <w:tcPr>
            <w:tcW w:w="0" w:type="auto"/>
            <w:vAlign w:val="center"/>
          </w:tcPr>
          <w:p w:rsidR="005F78FC" w:rsidRDefault="00B42EF3">
            <w:pPr>
              <w:pStyle w:val="TableBodyText"/>
            </w:pPr>
            <w:r>
              <w:t>Slovak</w:t>
            </w:r>
          </w:p>
        </w:tc>
        <w:tc>
          <w:tcPr>
            <w:tcW w:w="0" w:type="auto"/>
            <w:vAlign w:val="center"/>
          </w:tcPr>
          <w:p w:rsidR="005F78FC" w:rsidRDefault="00B42EF3">
            <w:pPr>
              <w:pStyle w:val="TableBodyText"/>
            </w:pPr>
            <w:r>
              <w:t>Slovakia</w:t>
            </w:r>
          </w:p>
        </w:tc>
        <w:tc>
          <w:tcPr>
            <w:tcW w:w="0" w:type="auto"/>
            <w:vAlign w:val="center"/>
          </w:tcPr>
          <w:p w:rsidR="005F78FC" w:rsidRDefault="00B42EF3">
            <w:pPr>
              <w:pStyle w:val="TableBodyText"/>
            </w:pPr>
            <w:r>
              <w:t>sk-SK</w:t>
            </w:r>
          </w:p>
        </w:tc>
      </w:tr>
      <w:tr w:rsidR="005F78FC" w:rsidTr="005F78FC">
        <w:tc>
          <w:tcPr>
            <w:tcW w:w="0" w:type="auto"/>
            <w:vAlign w:val="center"/>
          </w:tcPr>
          <w:p w:rsidR="005F78FC" w:rsidRDefault="00B42EF3">
            <w:pPr>
              <w:pStyle w:val="TableBodyText"/>
            </w:pPr>
            <w:r>
              <w:t>Slovenian</w:t>
            </w:r>
          </w:p>
        </w:tc>
        <w:tc>
          <w:tcPr>
            <w:tcW w:w="0" w:type="auto"/>
            <w:vAlign w:val="center"/>
          </w:tcPr>
          <w:p w:rsidR="005F78FC" w:rsidRDefault="00B42EF3">
            <w:pPr>
              <w:pStyle w:val="TableBodyText"/>
            </w:pPr>
            <w:r>
              <w:t>Slovenia</w:t>
            </w:r>
          </w:p>
        </w:tc>
        <w:tc>
          <w:tcPr>
            <w:tcW w:w="0" w:type="auto"/>
            <w:vAlign w:val="center"/>
          </w:tcPr>
          <w:p w:rsidR="005F78FC" w:rsidRDefault="00B42EF3">
            <w:pPr>
              <w:pStyle w:val="TableBodyText"/>
            </w:pPr>
            <w:r>
              <w:t>sl-SI</w:t>
            </w:r>
          </w:p>
        </w:tc>
      </w:tr>
      <w:tr w:rsidR="005F78FC" w:rsidTr="005F78FC">
        <w:tc>
          <w:tcPr>
            <w:tcW w:w="0" w:type="auto"/>
            <w:vAlign w:val="center"/>
          </w:tcPr>
          <w:p w:rsidR="005F78FC" w:rsidRDefault="00B42EF3">
            <w:pPr>
              <w:pStyle w:val="TableBodyText"/>
            </w:pPr>
            <w:r>
              <w:t>Southern Sami</w:t>
            </w:r>
          </w:p>
        </w:tc>
        <w:tc>
          <w:tcPr>
            <w:tcW w:w="0" w:type="auto"/>
            <w:vAlign w:val="center"/>
          </w:tcPr>
          <w:p w:rsidR="005F78FC" w:rsidRDefault="00B42EF3">
            <w:pPr>
              <w:pStyle w:val="TableBodyText"/>
            </w:pPr>
            <w:r>
              <w:t>Norway</w:t>
            </w:r>
          </w:p>
        </w:tc>
        <w:tc>
          <w:tcPr>
            <w:tcW w:w="0" w:type="auto"/>
            <w:vAlign w:val="center"/>
          </w:tcPr>
          <w:p w:rsidR="005F78FC" w:rsidRDefault="00B42EF3">
            <w:pPr>
              <w:pStyle w:val="TableBodyText"/>
            </w:pPr>
            <w:r>
              <w:t>sma-NO</w:t>
            </w:r>
          </w:p>
        </w:tc>
      </w:tr>
      <w:tr w:rsidR="005F78FC" w:rsidTr="005F78FC">
        <w:tc>
          <w:tcPr>
            <w:tcW w:w="0" w:type="auto"/>
            <w:vAlign w:val="center"/>
          </w:tcPr>
          <w:p w:rsidR="005F78FC" w:rsidRDefault="00B42EF3">
            <w:pPr>
              <w:pStyle w:val="TableBodyText"/>
            </w:pPr>
            <w:r>
              <w:t>Southern Sami</w:t>
            </w:r>
          </w:p>
        </w:tc>
        <w:tc>
          <w:tcPr>
            <w:tcW w:w="0" w:type="auto"/>
            <w:vAlign w:val="center"/>
          </w:tcPr>
          <w:p w:rsidR="005F78FC" w:rsidRDefault="00B42EF3">
            <w:pPr>
              <w:pStyle w:val="TableBodyText"/>
            </w:pPr>
            <w:r>
              <w:t>Sweden</w:t>
            </w:r>
          </w:p>
        </w:tc>
        <w:tc>
          <w:tcPr>
            <w:tcW w:w="0" w:type="auto"/>
            <w:vAlign w:val="center"/>
          </w:tcPr>
          <w:p w:rsidR="005F78FC" w:rsidRDefault="00B42EF3">
            <w:pPr>
              <w:pStyle w:val="TableBodyText"/>
            </w:pPr>
            <w:r>
              <w:t>sma-SE</w:t>
            </w:r>
          </w:p>
        </w:tc>
      </w:tr>
      <w:tr w:rsidR="005F78FC" w:rsidTr="005F78FC">
        <w:tc>
          <w:tcPr>
            <w:tcW w:w="0" w:type="auto"/>
            <w:vAlign w:val="center"/>
          </w:tcPr>
          <w:p w:rsidR="005F78FC" w:rsidRDefault="00B42EF3">
            <w:pPr>
              <w:pStyle w:val="TableBodyText"/>
            </w:pPr>
            <w:r>
              <w:t>Spanish</w:t>
            </w:r>
          </w:p>
        </w:tc>
        <w:tc>
          <w:tcPr>
            <w:tcW w:w="0" w:type="auto"/>
            <w:vAlign w:val="center"/>
          </w:tcPr>
          <w:p w:rsidR="005F78FC" w:rsidRDefault="00B42EF3">
            <w:pPr>
              <w:pStyle w:val="TableBodyText"/>
            </w:pPr>
            <w:r>
              <w:t>Argentina</w:t>
            </w:r>
          </w:p>
        </w:tc>
        <w:tc>
          <w:tcPr>
            <w:tcW w:w="0" w:type="auto"/>
            <w:vAlign w:val="center"/>
          </w:tcPr>
          <w:p w:rsidR="005F78FC" w:rsidRDefault="00B42EF3">
            <w:pPr>
              <w:pStyle w:val="TableBodyText"/>
            </w:pPr>
            <w:r>
              <w:t>es-AR</w:t>
            </w:r>
          </w:p>
        </w:tc>
      </w:tr>
      <w:tr w:rsidR="005F78FC" w:rsidTr="005F78FC">
        <w:tc>
          <w:tcPr>
            <w:tcW w:w="0" w:type="auto"/>
            <w:vAlign w:val="center"/>
          </w:tcPr>
          <w:p w:rsidR="005F78FC" w:rsidRDefault="00B42EF3">
            <w:pPr>
              <w:pStyle w:val="TableBodyText"/>
            </w:pPr>
            <w:r>
              <w:t>Spanish</w:t>
            </w:r>
          </w:p>
        </w:tc>
        <w:tc>
          <w:tcPr>
            <w:tcW w:w="0" w:type="auto"/>
            <w:vAlign w:val="center"/>
          </w:tcPr>
          <w:p w:rsidR="005F78FC" w:rsidRDefault="00B42EF3">
            <w:pPr>
              <w:pStyle w:val="TableBodyText"/>
            </w:pPr>
            <w:r>
              <w:t>Bolivia</w:t>
            </w:r>
          </w:p>
        </w:tc>
        <w:tc>
          <w:tcPr>
            <w:tcW w:w="0" w:type="auto"/>
            <w:vAlign w:val="center"/>
          </w:tcPr>
          <w:p w:rsidR="005F78FC" w:rsidRDefault="00B42EF3">
            <w:pPr>
              <w:pStyle w:val="TableBodyText"/>
            </w:pPr>
            <w:r>
              <w:t>es-BO</w:t>
            </w:r>
          </w:p>
        </w:tc>
      </w:tr>
      <w:tr w:rsidR="005F78FC" w:rsidTr="005F78FC">
        <w:tc>
          <w:tcPr>
            <w:tcW w:w="0" w:type="auto"/>
            <w:vAlign w:val="center"/>
          </w:tcPr>
          <w:p w:rsidR="005F78FC" w:rsidRDefault="00B42EF3">
            <w:pPr>
              <w:pStyle w:val="TableBodyText"/>
            </w:pPr>
            <w:r>
              <w:t>Spanish</w:t>
            </w:r>
          </w:p>
        </w:tc>
        <w:tc>
          <w:tcPr>
            <w:tcW w:w="0" w:type="auto"/>
            <w:vAlign w:val="center"/>
          </w:tcPr>
          <w:p w:rsidR="005F78FC" w:rsidRDefault="00B42EF3">
            <w:pPr>
              <w:pStyle w:val="TableBodyText"/>
            </w:pPr>
            <w:r>
              <w:t>Chile</w:t>
            </w:r>
          </w:p>
        </w:tc>
        <w:tc>
          <w:tcPr>
            <w:tcW w:w="0" w:type="auto"/>
            <w:vAlign w:val="center"/>
          </w:tcPr>
          <w:p w:rsidR="005F78FC" w:rsidRDefault="00B42EF3">
            <w:pPr>
              <w:pStyle w:val="TableBodyText"/>
            </w:pPr>
            <w:r>
              <w:t>es-CL</w:t>
            </w:r>
          </w:p>
        </w:tc>
      </w:tr>
      <w:tr w:rsidR="005F78FC" w:rsidTr="005F78FC">
        <w:tc>
          <w:tcPr>
            <w:tcW w:w="0" w:type="auto"/>
            <w:vAlign w:val="center"/>
          </w:tcPr>
          <w:p w:rsidR="005F78FC" w:rsidRDefault="00B42EF3">
            <w:pPr>
              <w:pStyle w:val="TableBodyText"/>
            </w:pPr>
            <w:r>
              <w:t>Spanish</w:t>
            </w:r>
          </w:p>
        </w:tc>
        <w:tc>
          <w:tcPr>
            <w:tcW w:w="0" w:type="auto"/>
            <w:vAlign w:val="center"/>
          </w:tcPr>
          <w:p w:rsidR="005F78FC" w:rsidRDefault="00B42EF3">
            <w:pPr>
              <w:pStyle w:val="TableBodyText"/>
            </w:pPr>
            <w:r>
              <w:t>Columbia</w:t>
            </w:r>
          </w:p>
        </w:tc>
        <w:tc>
          <w:tcPr>
            <w:tcW w:w="0" w:type="auto"/>
            <w:vAlign w:val="center"/>
          </w:tcPr>
          <w:p w:rsidR="005F78FC" w:rsidRDefault="00B42EF3">
            <w:pPr>
              <w:pStyle w:val="TableBodyText"/>
            </w:pPr>
            <w:r>
              <w:t>es-CO</w:t>
            </w:r>
          </w:p>
        </w:tc>
      </w:tr>
      <w:tr w:rsidR="005F78FC" w:rsidTr="005F78FC">
        <w:tc>
          <w:tcPr>
            <w:tcW w:w="0" w:type="auto"/>
            <w:vAlign w:val="center"/>
          </w:tcPr>
          <w:p w:rsidR="005F78FC" w:rsidRDefault="00B42EF3">
            <w:pPr>
              <w:pStyle w:val="TableBodyText"/>
            </w:pPr>
            <w:r>
              <w:t>Spanish</w:t>
            </w:r>
          </w:p>
        </w:tc>
        <w:tc>
          <w:tcPr>
            <w:tcW w:w="0" w:type="auto"/>
            <w:vAlign w:val="center"/>
          </w:tcPr>
          <w:p w:rsidR="005F78FC" w:rsidRDefault="00B42EF3">
            <w:pPr>
              <w:pStyle w:val="TableBodyText"/>
            </w:pPr>
            <w:r>
              <w:t>Costa Rica</w:t>
            </w:r>
          </w:p>
        </w:tc>
        <w:tc>
          <w:tcPr>
            <w:tcW w:w="0" w:type="auto"/>
            <w:vAlign w:val="center"/>
          </w:tcPr>
          <w:p w:rsidR="005F78FC" w:rsidRDefault="00B42EF3">
            <w:pPr>
              <w:pStyle w:val="TableBodyText"/>
            </w:pPr>
            <w:r>
              <w:t>es-CR</w:t>
            </w:r>
          </w:p>
        </w:tc>
      </w:tr>
      <w:tr w:rsidR="005F78FC" w:rsidTr="005F78FC">
        <w:tc>
          <w:tcPr>
            <w:tcW w:w="0" w:type="auto"/>
            <w:vAlign w:val="center"/>
          </w:tcPr>
          <w:p w:rsidR="005F78FC" w:rsidRDefault="00B42EF3">
            <w:pPr>
              <w:pStyle w:val="TableBodyText"/>
            </w:pPr>
            <w:r>
              <w:t>Spanish</w:t>
            </w:r>
          </w:p>
        </w:tc>
        <w:tc>
          <w:tcPr>
            <w:tcW w:w="0" w:type="auto"/>
            <w:vAlign w:val="center"/>
          </w:tcPr>
          <w:p w:rsidR="005F78FC" w:rsidRDefault="00B42EF3">
            <w:pPr>
              <w:pStyle w:val="TableBodyText"/>
            </w:pPr>
            <w:r>
              <w:t>Dominican Republic</w:t>
            </w:r>
          </w:p>
        </w:tc>
        <w:tc>
          <w:tcPr>
            <w:tcW w:w="0" w:type="auto"/>
            <w:vAlign w:val="center"/>
          </w:tcPr>
          <w:p w:rsidR="005F78FC" w:rsidRDefault="00B42EF3">
            <w:pPr>
              <w:pStyle w:val="TableBodyText"/>
            </w:pPr>
            <w:r>
              <w:t>es-DO</w:t>
            </w:r>
          </w:p>
        </w:tc>
      </w:tr>
      <w:tr w:rsidR="005F78FC" w:rsidTr="005F78FC">
        <w:tc>
          <w:tcPr>
            <w:tcW w:w="0" w:type="auto"/>
            <w:vAlign w:val="center"/>
          </w:tcPr>
          <w:p w:rsidR="005F78FC" w:rsidRDefault="00B42EF3">
            <w:pPr>
              <w:pStyle w:val="TableBodyText"/>
            </w:pPr>
            <w:r>
              <w:t>Spanish</w:t>
            </w:r>
          </w:p>
        </w:tc>
        <w:tc>
          <w:tcPr>
            <w:tcW w:w="0" w:type="auto"/>
            <w:vAlign w:val="center"/>
          </w:tcPr>
          <w:p w:rsidR="005F78FC" w:rsidRDefault="00B42EF3">
            <w:pPr>
              <w:pStyle w:val="TableBodyText"/>
            </w:pPr>
            <w:r>
              <w:t>Ecuador</w:t>
            </w:r>
          </w:p>
        </w:tc>
        <w:tc>
          <w:tcPr>
            <w:tcW w:w="0" w:type="auto"/>
            <w:vAlign w:val="center"/>
          </w:tcPr>
          <w:p w:rsidR="005F78FC" w:rsidRDefault="00B42EF3">
            <w:pPr>
              <w:pStyle w:val="TableBodyText"/>
            </w:pPr>
            <w:r>
              <w:t>es-EC</w:t>
            </w:r>
          </w:p>
        </w:tc>
      </w:tr>
      <w:tr w:rsidR="005F78FC" w:rsidTr="005F78FC">
        <w:tc>
          <w:tcPr>
            <w:tcW w:w="0" w:type="auto"/>
            <w:vAlign w:val="center"/>
          </w:tcPr>
          <w:p w:rsidR="005F78FC" w:rsidRDefault="00B42EF3">
            <w:pPr>
              <w:pStyle w:val="TableBodyText"/>
            </w:pPr>
            <w:r>
              <w:t>Spanish</w:t>
            </w:r>
          </w:p>
        </w:tc>
        <w:tc>
          <w:tcPr>
            <w:tcW w:w="0" w:type="auto"/>
            <w:vAlign w:val="center"/>
          </w:tcPr>
          <w:p w:rsidR="005F78FC" w:rsidRDefault="00B42EF3">
            <w:pPr>
              <w:pStyle w:val="TableBodyText"/>
            </w:pPr>
            <w:r>
              <w:t>El Salvador</w:t>
            </w:r>
          </w:p>
        </w:tc>
        <w:tc>
          <w:tcPr>
            <w:tcW w:w="0" w:type="auto"/>
            <w:vAlign w:val="center"/>
          </w:tcPr>
          <w:p w:rsidR="005F78FC" w:rsidRDefault="00B42EF3">
            <w:pPr>
              <w:pStyle w:val="TableBodyText"/>
            </w:pPr>
            <w:r>
              <w:t>es-SV</w:t>
            </w:r>
          </w:p>
        </w:tc>
      </w:tr>
      <w:tr w:rsidR="005F78FC" w:rsidTr="005F78FC">
        <w:tc>
          <w:tcPr>
            <w:tcW w:w="0" w:type="auto"/>
            <w:vAlign w:val="center"/>
          </w:tcPr>
          <w:p w:rsidR="005F78FC" w:rsidRDefault="00B42EF3">
            <w:pPr>
              <w:pStyle w:val="TableBodyText"/>
            </w:pPr>
            <w:r>
              <w:t>Spanish</w:t>
            </w:r>
          </w:p>
        </w:tc>
        <w:tc>
          <w:tcPr>
            <w:tcW w:w="0" w:type="auto"/>
            <w:vAlign w:val="center"/>
          </w:tcPr>
          <w:p w:rsidR="005F78FC" w:rsidRDefault="00B42EF3">
            <w:pPr>
              <w:pStyle w:val="TableBodyText"/>
            </w:pPr>
            <w:r>
              <w:t>Guatemala</w:t>
            </w:r>
          </w:p>
        </w:tc>
        <w:tc>
          <w:tcPr>
            <w:tcW w:w="0" w:type="auto"/>
            <w:vAlign w:val="center"/>
          </w:tcPr>
          <w:p w:rsidR="005F78FC" w:rsidRDefault="00B42EF3">
            <w:pPr>
              <w:pStyle w:val="TableBodyText"/>
            </w:pPr>
            <w:r>
              <w:t>es-GT</w:t>
            </w:r>
          </w:p>
        </w:tc>
      </w:tr>
      <w:tr w:rsidR="005F78FC" w:rsidTr="005F78FC">
        <w:tc>
          <w:tcPr>
            <w:tcW w:w="0" w:type="auto"/>
            <w:vAlign w:val="center"/>
          </w:tcPr>
          <w:p w:rsidR="005F78FC" w:rsidRDefault="00B42EF3">
            <w:pPr>
              <w:pStyle w:val="TableBodyText"/>
            </w:pPr>
            <w:r>
              <w:t>Spanish</w:t>
            </w:r>
          </w:p>
        </w:tc>
        <w:tc>
          <w:tcPr>
            <w:tcW w:w="0" w:type="auto"/>
            <w:vAlign w:val="center"/>
          </w:tcPr>
          <w:p w:rsidR="005F78FC" w:rsidRDefault="00B42EF3">
            <w:pPr>
              <w:pStyle w:val="TableBodyText"/>
            </w:pPr>
            <w:r>
              <w:t>Honduras</w:t>
            </w:r>
          </w:p>
        </w:tc>
        <w:tc>
          <w:tcPr>
            <w:tcW w:w="0" w:type="auto"/>
            <w:vAlign w:val="center"/>
          </w:tcPr>
          <w:p w:rsidR="005F78FC" w:rsidRDefault="00B42EF3">
            <w:pPr>
              <w:pStyle w:val="TableBodyText"/>
            </w:pPr>
            <w:r>
              <w:t>es-HN</w:t>
            </w:r>
          </w:p>
        </w:tc>
      </w:tr>
      <w:tr w:rsidR="005F78FC" w:rsidTr="005F78FC">
        <w:tc>
          <w:tcPr>
            <w:tcW w:w="0" w:type="auto"/>
            <w:vAlign w:val="center"/>
          </w:tcPr>
          <w:p w:rsidR="005F78FC" w:rsidRDefault="00B42EF3">
            <w:pPr>
              <w:pStyle w:val="TableBodyText"/>
            </w:pPr>
            <w:r>
              <w:t>Spanish</w:t>
            </w:r>
          </w:p>
        </w:tc>
        <w:tc>
          <w:tcPr>
            <w:tcW w:w="0" w:type="auto"/>
            <w:vAlign w:val="center"/>
          </w:tcPr>
          <w:p w:rsidR="005F78FC" w:rsidRDefault="00B42EF3">
            <w:pPr>
              <w:pStyle w:val="TableBodyText"/>
            </w:pPr>
            <w:r>
              <w:t>Mexico</w:t>
            </w:r>
          </w:p>
        </w:tc>
        <w:tc>
          <w:tcPr>
            <w:tcW w:w="0" w:type="auto"/>
            <w:vAlign w:val="center"/>
          </w:tcPr>
          <w:p w:rsidR="005F78FC" w:rsidRDefault="00B42EF3">
            <w:pPr>
              <w:pStyle w:val="TableBodyText"/>
            </w:pPr>
            <w:r>
              <w:t>es-MX</w:t>
            </w:r>
          </w:p>
        </w:tc>
      </w:tr>
      <w:tr w:rsidR="005F78FC" w:rsidTr="005F78FC">
        <w:tc>
          <w:tcPr>
            <w:tcW w:w="0" w:type="auto"/>
            <w:vAlign w:val="center"/>
          </w:tcPr>
          <w:p w:rsidR="005F78FC" w:rsidRDefault="00B42EF3">
            <w:pPr>
              <w:pStyle w:val="TableBodyText"/>
            </w:pPr>
            <w:r>
              <w:t>Spanish</w:t>
            </w:r>
          </w:p>
        </w:tc>
        <w:tc>
          <w:tcPr>
            <w:tcW w:w="0" w:type="auto"/>
            <w:vAlign w:val="center"/>
          </w:tcPr>
          <w:p w:rsidR="005F78FC" w:rsidRDefault="00B42EF3">
            <w:pPr>
              <w:pStyle w:val="TableBodyText"/>
            </w:pPr>
            <w:r>
              <w:t>Nicaragua</w:t>
            </w:r>
          </w:p>
        </w:tc>
        <w:tc>
          <w:tcPr>
            <w:tcW w:w="0" w:type="auto"/>
            <w:vAlign w:val="center"/>
          </w:tcPr>
          <w:p w:rsidR="005F78FC" w:rsidRDefault="00B42EF3">
            <w:pPr>
              <w:pStyle w:val="TableBodyText"/>
            </w:pPr>
            <w:r>
              <w:t>es-NI</w:t>
            </w:r>
          </w:p>
        </w:tc>
      </w:tr>
      <w:tr w:rsidR="005F78FC" w:rsidTr="005F78FC">
        <w:tc>
          <w:tcPr>
            <w:tcW w:w="0" w:type="auto"/>
            <w:vAlign w:val="center"/>
          </w:tcPr>
          <w:p w:rsidR="005F78FC" w:rsidRDefault="00B42EF3">
            <w:pPr>
              <w:pStyle w:val="TableBodyText"/>
            </w:pPr>
            <w:r>
              <w:t>Spanish</w:t>
            </w:r>
          </w:p>
        </w:tc>
        <w:tc>
          <w:tcPr>
            <w:tcW w:w="0" w:type="auto"/>
            <w:vAlign w:val="center"/>
          </w:tcPr>
          <w:p w:rsidR="005F78FC" w:rsidRDefault="00B42EF3">
            <w:pPr>
              <w:pStyle w:val="TableBodyText"/>
            </w:pPr>
            <w:r>
              <w:t>Panama</w:t>
            </w:r>
          </w:p>
        </w:tc>
        <w:tc>
          <w:tcPr>
            <w:tcW w:w="0" w:type="auto"/>
            <w:vAlign w:val="center"/>
          </w:tcPr>
          <w:p w:rsidR="005F78FC" w:rsidRDefault="00B42EF3">
            <w:pPr>
              <w:pStyle w:val="TableBodyText"/>
            </w:pPr>
            <w:r>
              <w:t>es-PA</w:t>
            </w:r>
          </w:p>
        </w:tc>
      </w:tr>
      <w:tr w:rsidR="005F78FC" w:rsidTr="005F78FC">
        <w:tc>
          <w:tcPr>
            <w:tcW w:w="0" w:type="auto"/>
            <w:vAlign w:val="center"/>
          </w:tcPr>
          <w:p w:rsidR="005F78FC" w:rsidRDefault="00B42EF3">
            <w:pPr>
              <w:pStyle w:val="TableBodyText"/>
            </w:pPr>
            <w:r>
              <w:t>Spanish</w:t>
            </w:r>
          </w:p>
        </w:tc>
        <w:tc>
          <w:tcPr>
            <w:tcW w:w="0" w:type="auto"/>
            <w:vAlign w:val="center"/>
          </w:tcPr>
          <w:p w:rsidR="005F78FC" w:rsidRDefault="00B42EF3">
            <w:pPr>
              <w:pStyle w:val="TableBodyText"/>
            </w:pPr>
            <w:r>
              <w:t>Paraguay</w:t>
            </w:r>
          </w:p>
        </w:tc>
        <w:tc>
          <w:tcPr>
            <w:tcW w:w="0" w:type="auto"/>
            <w:vAlign w:val="center"/>
          </w:tcPr>
          <w:p w:rsidR="005F78FC" w:rsidRDefault="00B42EF3">
            <w:pPr>
              <w:pStyle w:val="TableBodyText"/>
            </w:pPr>
            <w:r>
              <w:t>es-PY</w:t>
            </w:r>
          </w:p>
        </w:tc>
      </w:tr>
      <w:tr w:rsidR="005F78FC" w:rsidTr="005F78FC">
        <w:tc>
          <w:tcPr>
            <w:tcW w:w="0" w:type="auto"/>
            <w:vAlign w:val="center"/>
          </w:tcPr>
          <w:p w:rsidR="005F78FC" w:rsidRDefault="00B42EF3">
            <w:pPr>
              <w:pStyle w:val="TableBodyText"/>
            </w:pPr>
            <w:r>
              <w:lastRenderedPageBreak/>
              <w:t>Spanish</w:t>
            </w:r>
          </w:p>
        </w:tc>
        <w:tc>
          <w:tcPr>
            <w:tcW w:w="0" w:type="auto"/>
            <w:vAlign w:val="center"/>
          </w:tcPr>
          <w:p w:rsidR="005F78FC" w:rsidRDefault="00B42EF3">
            <w:pPr>
              <w:pStyle w:val="TableBodyText"/>
            </w:pPr>
            <w:r>
              <w:t>Peru</w:t>
            </w:r>
          </w:p>
        </w:tc>
        <w:tc>
          <w:tcPr>
            <w:tcW w:w="0" w:type="auto"/>
            <w:vAlign w:val="center"/>
          </w:tcPr>
          <w:p w:rsidR="005F78FC" w:rsidRDefault="00B42EF3">
            <w:pPr>
              <w:pStyle w:val="TableBodyText"/>
            </w:pPr>
            <w:r>
              <w:t>es-PE</w:t>
            </w:r>
          </w:p>
        </w:tc>
      </w:tr>
      <w:tr w:rsidR="005F78FC" w:rsidTr="005F78FC">
        <w:tc>
          <w:tcPr>
            <w:tcW w:w="0" w:type="auto"/>
            <w:vAlign w:val="center"/>
          </w:tcPr>
          <w:p w:rsidR="005F78FC" w:rsidRDefault="00B42EF3">
            <w:pPr>
              <w:pStyle w:val="TableBodyText"/>
            </w:pPr>
            <w:r>
              <w:t>Spanish</w:t>
            </w:r>
          </w:p>
        </w:tc>
        <w:tc>
          <w:tcPr>
            <w:tcW w:w="0" w:type="auto"/>
            <w:vAlign w:val="center"/>
          </w:tcPr>
          <w:p w:rsidR="005F78FC" w:rsidRDefault="00B42EF3">
            <w:pPr>
              <w:pStyle w:val="TableBodyText"/>
            </w:pPr>
            <w:r>
              <w:t>Puerto Rico</w:t>
            </w:r>
          </w:p>
        </w:tc>
        <w:tc>
          <w:tcPr>
            <w:tcW w:w="0" w:type="auto"/>
            <w:vAlign w:val="center"/>
          </w:tcPr>
          <w:p w:rsidR="005F78FC" w:rsidRDefault="00B42EF3">
            <w:pPr>
              <w:pStyle w:val="TableBodyText"/>
            </w:pPr>
            <w:r>
              <w:t>es-PR</w:t>
            </w:r>
          </w:p>
        </w:tc>
      </w:tr>
      <w:tr w:rsidR="005F78FC" w:rsidTr="005F78FC">
        <w:tc>
          <w:tcPr>
            <w:tcW w:w="0" w:type="auto"/>
            <w:vAlign w:val="center"/>
          </w:tcPr>
          <w:p w:rsidR="005F78FC" w:rsidRDefault="00B42EF3">
            <w:pPr>
              <w:pStyle w:val="TableBodyText"/>
            </w:pPr>
            <w:r>
              <w:t>Spanish</w:t>
            </w:r>
          </w:p>
        </w:tc>
        <w:tc>
          <w:tcPr>
            <w:tcW w:w="0" w:type="auto"/>
            <w:vAlign w:val="center"/>
          </w:tcPr>
          <w:p w:rsidR="005F78FC" w:rsidRDefault="00B42EF3">
            <w:pPr>
              <w:pStyle w:val="TableBodyText"/>
            </w:pPr>
            <w:r>
              <w:t>Spain</w:t>
            </w:r>
          </w:p>
        </w:tc>
        <w:tc>
          <w:tcPr>
            <w:tcW w:w="0" w:type="auto"/>
            <w:vAlign w:val="center"/>
          </w:tcPr>
          <w:p w:rsidR="005F78FC" w:rsidRDefault="00B42EF3">
            <w:pPr>
              <w:pStyle w:val="TableBodyText"/>
            </w:pPr>
            <w:r>
              <w:t>es-ES</w:t>
            </w:r>
          </w:p>
        </w:tc>
      </w:tr>
      <w:tr w:rsidR="005F78FC" w:rsidTr="005F78FC">
        <w:tc>
          <w:tcPr>
            <w:tcW w:w="0" w:type="auto"/>
            <w:vAlign w:val="center"/>
          </w:tcPr>
          <w:p w:rsidR="005F78FC" w:rsidRDefault="00B42EF3">
            <w:pPr>
              <w:pStyle w:val="TableBodyText"/>
            </w:pPr>
            <w:r>
              <w:t>Spanish</w:t>
            </w:r>
          </w:p>
        </w:tc>
        <w:tc>
          <w:tcPr>
            <w:tcW w:w="0" w:type="auto"/>
            <w:vAlign w:val="center"/>
          </w:tcPr>
          <w:p w:rsidR="005F78FC" w:rsidRDefault="00B42EF3">
            <w:pPr>
              <w:pStyle w:val="TableBodyText"/>
            </w:pPr>
            <w:r>
              <w:t>United States</w:t>
            </w:r>
          </w:p>
        </w:tc>
        <w:tc>
          <w:tcPr>
            <w:tcW w:w="0" w:type="auto"/>
            <w:vAlign w:val="center"/>
          </w:tcPr>
          <w:p w:rsidR="005F78FC" w:rsidRDefault="00B42EF3">
            <w:pPr>
              <w:pStyle w:val="TableBodyText"/>
            </w:pPr>
            <w:r>
              <w:t>es-US</w:t>
            </w:r>
          </w:p>
        </w:tc>
      </w:tr>
      <w:tr w:rsidR="005F78FC" w:rsidTr="005F78FC">
        <w:tc>
          <w:tcPr>
            <w:tcW w:w="0" w:type="auto"/>
            <w:vAlign w:val="center"/>
          </w:tcPr>
          <w:p w:rsidR="005F78FC" w:rsidRDefault="00B42EF3">
            <w:pPr>
              <w:pStyle w:val="TableBodyText"/>
            </w:pPr>
            <w:r>
              <w:t>Spanish</w:t>
            </w:r>
          </w:p>
        </w:tc>
        <w:tc>
          <w:tcPr>
            <w:tcW w:w="0" w:type="auto"/>
            <w:vAlign w:val="center"/>
          </w:tcPr>
          <w:p w:rsidR="005F78FC" w:rsidRDefault="00B42EF3">
            <w:pPr>
              <w:pStyle w:val="TableBodyText"/>
            </w:pPr>
            <w:r>
              <w:t>Uruguay</w:t>
            </w:r>
          </w:p>
        </w:tc>
        <w:tc>
          <w:tcPr>
            <w:tcW w:w="0" w:type="auto"/>
            <w:vAlign w:val="center"/>
          </w:tcPr>
          <w:p w:rsidR="005F78FC" w:rsidRDefault="00B42EF3">
            <w:pPr>
              <w:pStyle w:val="TableBodyText"/>
            </w:pPr>
            <w:r>
              <w:t>es-UY</w:t>
            </w:r>
          </w:p>
        </w:tc>
      </w:tr>
      <w:tr w:rsidR="005F78FC" w:rsidTr="005F78FC">
        <w:tc>
          <w:tcPr>
            <w:tcW w:w="0" w:type="auto"/>
            <w:vAlign w:val="center"/>
          </w:tcPr>
          <w:p w:rsidR="005F78FC" w:rsidRDefault="00B42EF3">
            <w:pPr>
              <w:pStyle w:val="TableBodyText"/>
            </w:pPr>
            <w:r>
              <w:t>Spanish</w:t>
            </w:r>
          </w:p>
        </w:tc>
        <w:tc>
          <w:tcPr>
            <w:tcW w:w="0" w:type="auto"/>
            <w:vAlign w:val="center"/>
          </w:tcPr>
          <w:p w:rsidR="005F78FC" w:rsidRDefault="00B42EF3">
            <w:pPr>
              <w:pStyle w:val="TableBodyText"/>
            </w:pPr>
            <w:r>
              <w:t>Venezuela</w:t>
            </w:r>
          </w:p>
        </w:tc>
        <w:tc>
          <w:tcPr>
            <w:tcW w:w="0" w:type="auto"/>
            <w:vAlign w:val="center"/>
          </w:tcPr>
          <w:p w:rsidR="005F78FC" w:rsidRDefault="00B42EF3">
            <w:pPr>
              <w:pStyle w:val="TableBodyText"/>
            </w:pPr>
            <w:r>
              <w:t>es-VE</w:t>
            </w:r>
          </w:p>
        </w:tc>
      </w:tr>
      <w:tr w:rsidR="005F78FC" w:rsidTr="005F78FC">
        <w:tc>
          <w:tcPr>
            <w:tcW w:w="0" w:type="auto"/>
            <w:vAlign w:val="center"/>
          </w:tcPr>
          <w:p w:rsidR="005F78FC" w:rsidRDefault="00B42EF3">
            <w:pPr>
              <w:pStyle w:val="TableBodyText"/>
            </w:pPr>
            <w:r>
              <w:t>Swahili</w:t>
            </w:r>
          </w:p>
        </w:tc>
        <w:tc>
          <w:tcPr>
            <w:tcW w:w="0" w:type="auto"/>
            <w:vAlign w:val="center"/>
          </w:tcPr>
          <w:p w:rsidR="005F78FC" w:rsidRDefault="00B42EF3">
            <w:pPr>
              <w:pStyle w:val="TableBodyText"/>
            </w:pPr>
            <w:r>
              <w:t>Kenya</w:t>
            </w:r>
          </w:p>
        </w:tc>
        <w:tc>
          <w:tcPr>
            <w:tcW w:w="0" w:type="auto"/>
            <w:vAlign w:val="center"/>
          </w:tcPr>
          <w:p w:rsidR="005F78FC" w:rsidRDefault="00B42EF3">
            <w:pPr>
              <w:pStyle w:val="TableBodyText"/>
            </w:pPr>
            <w:r>
              <w:t>sw-KE</w:t>
            </w:r>
          </w:p>
        </w:tc>
      </w:tr>
      <w:tr w:rsidR="005F78FC" w:rsidTr="005F78FC">
        <w:tc>
          <w:tcPr>
            <w:tcW w:w="0" w:type="auto"/>
            <w:vAlign w:val="center"/>
          </w:tcPr>
          <w:p w:rsidR="005F78FC" w:rsidRDefault="00B42EF3">
            <w:pPr>
              <w:pStyle w:val="TableBodyText"/>
            </w:pPr>
            <w:r>
              <w:t>Swedish</w:t>
            </w:r>
          </w:p>
        </w:tc>
        <w:tc>
          <w:tcPr>
            <w:tcW w:w="0" w:type="auto"/>
            <w:vAlign w:val="center"/>
          </w:tcPr>
          <w:p w:rsidR="005F78FC" w:rsidRDefault="00B42EF3">
            <w:pPr>
              <w:pStyle w:val="TableBodyText"/>
            </w:pPr>
            <w:r>
              <w:t>Finland</w:t>
            </w:r>
          </w:p>
        </w:tc>
        <w:tc>
          <w:tcPr>
            <w:tcW w:w="0" w:type="auto"/>
            <w:vAlign w:val="center"/>
          </w:tcPr>
          <w:p w:rsidR="005F78FC" w:rsidRDefault="00B42EF3">
            <w:pPr>
              <w:pStyle w:val="TableBodyText"/>
            </w:pPr>
            <w:r>
              <w:t>sv-FI</w:t>
            </w:r>
          </w:p>
        </w:tc>
      </w:tr>
      <w:tr w:rsidR="005F78FC" w:rsidTr="005F78FC">
        <w:tc>
          <w:tcPr>
            <w:tcW w:w="0" w:type="auto"/>
            <w:vAlign w:val="center"/>
          </w:tcPr>
          <w:p w:rsidR="005F78FC" w:rsidRDefault="00B42EF3">
            <w:pPr>
              <w:pStyle w:val="TableBodyText"/>
            </w:pPr>
            <w:r>
              <w:t>Swedish</w:t>
            </w:r>
          </w:p>
        </w:tc>
        <w:tc>
          <w:tcPr>
            <w:tcW w:w="0" w:type="auto"/>
            <w:vAlign w:val="center"/>
          </w:tcPr>
          <w:p w:rsidR="005F78FC" w:rsidRDefault="00B42EF3">
            <w:pPr>
              <w:pStyle w:val="TableBodyText"/>
            </w:pPr>
            <w:r>
              <w:t>Sweden</w:t>
            </w:r>
          </w:p>
        </w:tc>
        <w:tc>
          <w:tcPr>
            <w:tcW w:w="0" w:type="auto"/>
            <w:vAlign w:val="center"/>
          </w:tcPr>
          <w:p w:rsidR="005F78FC" w:rsidRDefault="00B42EF3">
            <w:pPr>
              <w:pStyle w:val="TableBodyText"/>
            </w:pPr>
            <w:r>
              <w:t>sv-SE</w:t>
            </w:r>
          </w:p>
        </w:tc>
      </w:tr>
      <w:tr w:rsidR="005F78FC" w:rsidTr="005F78FC">
        <w:tc>
          <w:tcPr>
            <w:tcW w:w="0" w:type="auto"/>
            <w:vAlign w:val="center"/>
          </w:tcPr>
          <w:p w:rsidR="005F78FC" w:rsidRDefault="00B42EF3">
            <w:pPr>
              <w:pStyle w:val="TableBodyText"/>
            </w:pPr>
            <w:r>
              <w:t>Syriac</w:t>
            </w:r>
          </w:p>
        </w:tc>
        <w:tc>
          <w:tcPr>
            <w:tcW w:w="0" w:type="auto"/>
            <w:vAlign w:val="center"/>
          </w:tcPr>
          <w:p w:rsidR="005F78FC" w:rsidRDefault="00B42EF3">
            <w:pPr>
              <w:pStyle w:val="TableBodyText"/>
            </w:pPr>
            <w:r>
              <w:t>Syria</w:t>
            </w:r>
          </w:p>
        </w:tc>
        <w:tc>
          <w:tcPr>
            <w:tcW w:w="0" w:type="auto"/>
            <w:vAlign w:val="center"/>
          </w:tcPr>
          <w:p w:rsidR="005F78FC" w:rsidRDefault="00B42EF3">
            <w:pPr>
              <w:pStyle w:val="TableBodyText"/>
            </w:pPr>
            <w:r>
              <w:t>syr-SY</w:t>
            </w:r>
          </w:p>
        </w:tc>
      </w:tr>
      <w:tr w:rsidR="005F78FC" w:rsidTr="005F78FC">
        <w:tc>
          <w:tcPr>
            <w:tcW w:w="0" w:type="auto"/>
            <w:vAlign w:val="center"/>
          </w:tcPr>
          <w:p w:rsidR="005F78FC" w:rsidRDefault="00B42EF3">
            <w:pPr>
              <w:pStyle w:val="TableBodyText"/>
            </w:pPr>
            <w:r>
              <w:t>Tajik (Cyrillic)</w:t>
            </w:r>
          </w:p>
        </w:tc>
        <w:tc>
          <w:tcPr>
            <w:tcW w:w="0" w:type="auto"/>
            <w:vAlign w:val="center"/>
          </w:tcPr>
          <w:p w:rsidR="005F78FC" w:rsidRDefault="00B42EF3">
            <w:pPr>
              <w:pStyle w:val="TableBodyText"/>
            </w:pPr>
            <w:r>
              <w:t>Tajikistan</w:t>
            </w:r>
          </w:p>
        </w:tc>
        <w:tc>
          <w:tcPr>
            <w:tcW w:w="0" w:type="auto"/>
            <w:vAlign w:val="center"/>
          </w:tcPr>
          <w:p w:rsidR="005F78FC" w:rsidRDefault="00B42EF3">
            <w:pPr>
              <w:pStyle w:val="TableBodyText"/>
            </w:pPr>
            <w:r>
              <w:t>tg-TJ-Cyrl</w:t>
            </w:r>
          </w:p>
        </w:tc>
      </w:tr>
      <w:tr w:rsidR="005F78FC" w:rsidTr="005F78FC">
        <w:tc>
          <w:tcPr>
            <w:tcW w:w="0" w:type="auto"/>
            <w:vAlign w:val="center"/>
          </w:tcPr>
          <w:p w:rsidR="005F78FC" w:rsidRDefault="00B42EF3">
            <w:pPr>
              <w:pStyle w:val="TableBodyText"/>
            </w:pPr>
            <w:r>
              <w:t>Tamazight (Latin)</w:t>
            </w:r>
          </w:p>
        </w:tc>
        <w:tc>
          <w:tcPr>
            <w:tcW w:w="0" w:type="auto"/>
            <w:vAlign w:val="center"/>
          </w:tcPr>
          <w:p w:rsidR="005F78FC" w:rsidRDefault="00B42EF3">
            <w:pPr>
              <w:pStyle w:val="TableBodyText"/>
            </w:pPr>
            <w:r>
              <w:t>Algeria</w:t>
            </w:r>
          </w:p>
        </w:tc>
        <w:tc>
          <w:tcPr>
            <w:tcW w:w="0" w:type="auto"/>
            <w:vAlign w:val="center"/>
          </w:tcPr>
          <w:p w:rsidR="005F78FC" w:rsidRDefault="00B42EF3">
            <w:pPr>
              <w:pStyle w:val="TableBodyText"/>
            </w:pPr>
            <w:r>
              <w:t>tmz-DZ-Latn</w:t>
            </w:r>
          </w:p>
        </w:tc>
      </w:tr>
      <w:tr w:rsidR="005F78FC" w:rsidTr="005F78FC">
        <w:tc>
          <w:tcPr>
            <w:tcW w:w="0" w:type="auto"/>
            <w:vAlign w:val="center"/>
          </w:tcPr>
          <w:p w:rsidR="005F78FC" w:rsidRDefault="00B42EF3">
            <w:pPr>
              <w:pStyle w:val="TableBodyText"/>
            </w:pPr>
            <w:r>
              <w:t>Tamil</w:t>
            </w:r>
          </w:p>
        </w:tc>
        <w:tc>
          <w:tcPr>
            <w:tcW w:w="0" w:type="auto"/>
            <w:vAlign w:val="center"/>
          </w:tcPr>
          <w:p w:rsidR="005F78FC" w:rsidRDefault="00B42EF3">
            <w:pPr>
              <w:pStyle w:val="TableBodyText"/>
            </w:pPr>
            <w:r>
              <w:t>India</w:t>
            </w:r>
          </w:p>
        </w:tc>
        <w:tc>
          <w:tcPr>
            <w:tcW w:w="0" w:type="auto"/>
            <w:vAlign w:val="center"/>
          </w:tcPr>
          <w:p w:rsidR="005F78FC" w:rsidRDefault="00B42EF3">
            <w:pPr>
              <w:pStyle w:val="TableBodyText"/>
            </w:pPr>
            <w:r>
              <w:t>ta-IN</w:t>
            </w:r>
          </w:p>
        </w:tc>
      </w:tr>
      <w:tr w:rsidR="005F78FC" w:rsidTr="005F78FC">
        <w:tc>
          <w:tcPr>
            <w:tcW w:w="0" w:type="auto"/>
            <w:vAlign w:val="center"/>
          </w:tcPr>
          <w:p w:rsidR="005F78FC" w:rsidRDefault="00B42EF3">
            <w:pPr>
              <w:pStyle w:val="TableBodyText"/>
            </w:pPr>
            <w:r>
              <w:t>Tatar</w:t>
            </w:r>
          </w:p>
        </w:tc>
        <w:tc>
          <w:tcPr>
            <w:tcW w:w="0" w:type="auto"/>
            <w:vAlign w:val="center"/>
          </w:tcPr>
          <w:p w:rsidR="005F78FC" w:rsidRDefault="00B42EF3">
            <w:pPr>
              <w:pStyle w:val="TableBodyText"/>
            </w:pPr>
            <w:r>
              <w:t>Russia</w:t>
            </w:r>
          </w:p>
        </w:tc>
        <w:tc>
          <w:tcPr>
            <w:tcW w:w="0" w:type="auto"/>
            <w:vAlign w:val="center"/>
          </w:tcPr>
          <w:p w:rsidR="005F78FC" w:rsidRDefault="00B42EF3">
            <w:pPr>
              <w:pStyle w:val="TableBodyText"/>
            </w:pPr>
            <w:r>
              <w:t>tt-RU</w:t>
            </w:r>
          </w:p>
        </w:tc>
      </w:tr>
      <w:tr w:rsidR="005F78FC" w:rsidTr="005F78FC">
        <w:tc>
          <w:tcPr>
            <w:tcW w:w="0" w:type="auto"/>
            <w:vAlign w:val="center"/>
          </w:tcPr>
          <w:p w:rsidR="005F78FC" w:rsidRDefault="00B42EF3">
            <w:pPr>
              <w:pStyle w:val="TableBodyText"/>
            </w:pPr>
            <w:r>
              <w:t>Telugu (Telugu Script)</w:t>
            </w:r>
          </w:p>
        </w:tc>
        <w:tc>
          <w:tcPr>
            <w:tcW w:w="0" w:type="auto"/>
            <w:vAlign w:val="center"/>
          </w:tcPr>
          <w:p w:rsidR="005F78FC" w:rsidRDefault="00B42EF3">
            <w:pPr>
              <w:pStyle w:val="TableBodyText"/>
            </w:pPr>
            <w:r>
              <w:t>India</w:t>
            </w:r>
          </w:p>
        </w:tc>
        <w:tc>
          <w:tcPr>
            <w:tcW w:w="0" w:type="auto"/>
            <w:vAlign w:val="center"/>
          </w:tcPr>
          <w:p w:rsidR="005F78FC" w:rsidRDefault="00B42EF3">
            <w:pPr>
              <w:pStyle w:val="TableBodyText"/>
            </w:pPr>
            <w:r>
              <w:t>te-IN</w:t>
            </w:r>
          </w:p>
        </w:tc>
      </w:tr>
      <w:tr w:rsidR="005F78FC" w:rsidTr="005F78FC">
        <w:tc>
          <w:tcPr>
            <w:tcW w:w="0" w:type="auto"/>
            <w:vAlign w:val="center"/>
          </w:tcPr>
          <w:p w:rsidR="005F78FC" w:rsidRDefault="00B42EF3">
            <w:pPr>
              <w:pStyle w:val="TableBodyText"/>
            </w:pPr>
            <w:r>
              <w:t xml:space="preserve">Thai </w:t>
            </w:r>
          </w:p>
        </w:tc>
        <w:tc>
          <w:tcPr>
            <w:tcW w:w="0" w:type="auto"/>
            <w:vAlign w:val="center"/>
          </w:tcPr>
          <w:p w:rsidR="005F78FC" w:rsidRDefault="00B42EF3">
            <w:pPr>
              <w:pStyle w:val="TableBodyText"/>
            </w:pPr>
            <w:r>
              <w:t>Thailand</w:t>
            </w:r>
          </w:p>
        </w:tc>
        <w:tc>
          <w:tcPr>
            <w:tcW w:w="0" w:type="auto"/>
            <w:vAlign w:val="center"/>
          </w:tcPr>
          <w:p w:rsidR="005F78FC" w:rsidRDefault="00B42EF3">
            <w:pPr>
              <w:pStyle w:val="TableBodyText"/>
            </w:pPr>
            <w:r>
              <w:t>th-TH</w:t>
            </w:r>
          </w:p>
        </w:tc>
      </w:tr>
      <w:tr w:rsidR="005F78FC" w:rsidTr="005F78FC">
        <w:tc>
          <w:tcPr>
            <w:tcW w:w="0" w:type="auto"/>
            <w:vAlign w:val="center"/>
          </w:tcPr>
          <w:p w:rsidR="005F78FC" w:rsidRDefault="00B42EF3">
            <w:pPr>
              <w:pStyle w:val="TableBodyText"/>
            </w:pPr>
            <w:r>
              <w:t>Tibetan</w:t>
            </w:r>
          </w:p>
        </w:tc>
        <w:tc>
          <w:tcPr>
            <w:tcW w:w="0" w:type="auto"/>
            <w:vAlign w:val="center"/>
          </w:tcPr>
          <w:p w:rsidR="005F78FC" w:rsidRDefault="00B42EF3">
            <w:pPr>
              <w:pStyle w:val="TableBodyText"/>
            </w:pPr>
            <w:r>
              <w:t>Bhutan</w:t>
            </w:r>
          </w:p>
        </w:tc>
        <w:tc>
          <w:tcPr>
            <w:tcW w:w="0" w:type="auto"/>
            <w:vAlign w:val="center"/>
          </w:tcPr>
          <w:p w:rsidR="005F78FC" w:rsidRDefault="00B42EF3">
            <w:pPr>
              <w:pStyle w:val="TableBodyText"/>
            </w:pPr>
            <w:r>
              <w:t>bo-BT</w:t>
            </w:r>
          </w:p>
        </w:tc>
      </w:tr>
      <w:tr w:rsidR="005F78FC" w:rsidTr="005F78FC">
        <w:tc>
          <w:tcPr>
            <w:tcW w:w="0" w:type="auto"/>
            <w:vAlign w:val="center"/>
          </w:tcPr>
          <w:p w:rsidR="005F78FC" w:rsidRDefault="00B42EF3">
            <w:pPr>
              <w:pStyle w:val="TableBodyText"/>
            </w:pPr>
            <w:r>
              <w:t>Tibetan</w:t>
            </w:r>
          </w:p>
        </w:tc>
        <w:tc>
          <w:tcPr>
            <w:tcW w:w="0" w:type="auto"/>
            <w:vAlign w:val="center"/>
          </w:tcPr>
          <w:p w:rsidR="005F78FC" w:rsidRDefault="00B42EF3">
            <w:pPr>
              <w:pStyle w:val="TableBodyText"/>
            </w:pPr>
            <w:r>
              <w:t>PRC</w:t>
            </w:r>
          </w:p>
        </w:tc>
        <w:tc>
          <w:tcPr>
            <w:tcW w:w="0" w:type="auto"/>
            <w:vAlign w:val="center"/>
          </w:tcPr>
          <w:p w:rsidR="005F78FC" w:rsidRDefault="00B42EF3">
            <w:pPr>
              <w:pStyle w:val="TableBodyText"/>
            </w:pPr>
            <w:r>
              <w:t>bo-CN</w:t>
            </w:r>
          </w:p>
        </w:tc>
      </w:tr>
      <w:tr w:rsidR="005F78FC" w:rsidTr="005F78FC">
        <w:tc>
          <w:tcPr>
            <w:tcW w:w="0" w:type="auto"/>
            <w:vAlign w:val="center"/>
          </w:tcPr>
          <w:p w:rsidR="005F78FC" w:rsidRDefault="00B42EF3">
            <w:pPr>
              <w:pStyle w:val="TableBodyText"/>
            </w:pPr>
            <w:r>
              <w:t>Turkish</w:t>
            </w:r>
          </w:p>
        </w:tc>
        <w:tc>
          <w:tcPr>
            <w:tcW w:w="0" w:type="auto"/>
            <w:vAlign w:val="center"/>
          </w:tcPr>
          <w:p w:rsidR="005F78FC" w:rsidRDefault="00B42EF3">
            <w:pPr>
              <w:pStyle w:val="TableBodyText"/>
            </w:pPr>
            <w:r>
              <w:t>Turkey</w:t>
            </w:r>
          </w:p>
        </w:tc>
        <w:tc>
          <w:tcPr>
            <w:tcW w:w="0" w:type="auto"/>
            <w:vAlign w:val="center"/>
          </w:tcPr>
          <w:p w:rsidR="005F78FC" w:rsidRDefault="00B42EF3">
            <w:pPr>
              <w:pStyle w:val="TableBodyText"/>
            </w:pPr>
            <w:r>
              <w:t>tr-TR</w:t>
            </w:r>
          </w:p>
        </w:tc>
      </w:tr>
      <w:tr w:rsidR="005F78FC" w:rsidTr="005F78FC">
        <w:tc>
          <w:tcPr>
            <w:tcW w:w="0" w:type="auto"/>
            <w:vAlign w:val="center"/>
          </w:tcPr>
          <w:p w:rsidR="005F78FC" w:rsidRDefault="00B42EF3">
            <w:pPr>
              <w:pStyle w:val="TableBodyText"/>
            </w:pPr>
            <w:r>
              <w:t>Turkmen</w:t>
            </w:r>
          </w:p>
        </w:tc>
        <w:tc>
          <w:tcPr>
            <w:tcW w:w="0" w:type="auto"/>
            <w:vAlign w:val="center"/>
          </w:tcPr>
          <w:p w:rsidR="005F78FC" w:rsidRDefault="00B42EF3">
            <w:pPr>
              <w:pStyle w:val="TableBodyText"/>
            </w:pPr>
            <w:r>
              <w:t>Turkmenistan</w:t>
            </w:r>
          </w:p>
        </w:tc>
        <w:tc>
          <w:tcPr>
            <w:tcW w:w="0" w:type="auto"/>
            <w:vAlign w:val="center"/>
          </w:tcPr>
          <w:p w:rsidR="005F78FC" w:rsidRDefault="00B42EF3">
            <w:pPr>
              <w:pStyle w:val="TableBodyText"/>
            </w:pPr>
            <w:r>
              <w:t>tk-TM</w:t>
            </w:r>
          </w:p>
        </w:tc>
      </w:tr>
      <w:tr w:rsidR="005F78FC" w:rsidTr="005F78FC">
        <w:tc>
          <w:tcPr>
            <w:tcW w:w="0" w:type="auto"/>
            <w:vAlign w:val="center"/>
          </w:tcPr>
          <w:p w:rsidR="005F78FC" w:rsidRDefault="00B42EF3">
            <w:pPr>
              <w:pStyle w:val="TableBodyText"/>
            </w:pPr>
            <w:r>
              <w:t xml:space="preserve">Uighur </w:t>
            </w:r>
          </w:p>
        </w:tc>
        <w:tc>
          <w:tcPr>
            <w:tcW w:w="0" w:type="auto"/>
            <w:vAlign w:val="center"/>
          </w:tcPr>
          <w:p w:rsidR="005F78FC" w:rsidRDefault="00B42EF3">
            <w:pPr>
              <w:pStyle w:val="TableBodyText"/>
            </w:pPr>
            <w:r>
              <w:t>PRC</w:t>
            </w:r>
          </w:p>
        </w:tc>
        <w:tc>
          <w:tcPr>
            <w:tcW w:w="0" w:type="auto"/>
            <w:vAlign w:val="center"/>
          </w:tcPr>
          <w:p w:rsidR="005F78FC" w:rsidRDefault="00B42EF3">
            <w:pPr>
              <w:pStyle w:val="TableBodyText"/>
            </w:pPr>
            <w:r>
              <w:t>ug-CN</w:t>
            </w:r>
          </w:p>
        </w:tc>
      </w:tr>
      <w:tr w:rsidR="005F78FC" w:rsidTr="005F78FC">
        <w:tc>
          <w:tcPr>
            <w:tcW w:w="0" w:type="auto"/>
            <w:vAlign w:val="center"/>
          </w:tcPr>
          <w:p w:rsidR="005F78FC" w:rsidRDefault="00B42EF3">
            <w:pPr>
              <w:pStyle w:val="TableBodyText"/>
            </w:pPr>
            <w:r>
              <w:t>Ukrainian</w:t>
            </w:r>
          </w:p>
        </w:tc>
        <w:tc>
          <w:tcPr>
            <w:tcW w:w="0" w:type="auto"/>
            <w:vAlign w:val="center"/>
          </w:tcPr>
          <w:p w:rsidR="005F78FC" w:rsidRDefault="00B42EF3">
            <w:pPr>
              <w:pStyle w:val="TableBodyText"/>
            </w:pPr>
            <w:r>
              <w:t>Ukraine</w:t>
            </w:r>
          </w:p>
        </w:tc>
        <w:tc>
          <w:tcPr>
            <w:tcW w:w="0" w:type="auto"/>
            <w:vAlign w:val="center"/>
          </w:tcPr>
          <w:p w:rsidR="005F78FC" w:rsidRDefault="00B42EF3">
            <w:pPr>
              <w:pStyle w:val="TableBodyText"/>
            </w:pPr>
            <w:r>
              <w:t>uk-UA</w:t>
            </w:r>
          </w:p>
        </w:tc>
      </w:tr>
      <w:tr w:rsidR="005F78FC" w:rsidTr="005F78FC">
        <w:tc>
          <w:tcPr>
            <w:tcW w:w="0" w:type="auto"/>
            <w:vAlign w:val="center"/>
          </w:tcPr>
          <w:p w:rsidR="005F78FC" w:rsidRDefault="00B42EF3">
            <w:pPr>
              <w:pStyle w:val="TableBodyText"/>
            </w:pPr>
            <w:r>
              <w:t>Upper Sorbian</w:t>
            </w:r>
          </w:p>
        </w:tc>
        <w:tc>
          <w:tcPr>
            <w:tcW w:w="0" w:type="auto"/>
            <w:vAlign w:val="center"/>
          </w:tcPr>
          <w:p w:rsidR="005F78FC" w:rsidRDefault="00B42EF3">
            <w:pPr>
              <w:pStyle w:val="TableBodyText"/>
            </w:pPr>
            <w:r>
              <w:t>Germany</w:t>
            </w:r>
          </w:p>
        </w:tc>
        <w:tc>
          <w:tcPr>
            <w:tcW w:w="0" w:type="auto"/>
            <w:vAlign w:val="center"/>
          </w:tcPr>
          <w:p w:rsidR="005F78FC" w:rsidRDefault="00B42EF3">
            <w:pPr>
              <w:pStyle w:val="TableBodyText"/>
            </w:pPr>
            <w:r>
              <w:t>wen-DE</w:t>
            </w:r>
          </w:p>
        </w:tc>
      </w:tr>
      <w:tr w:rsidR="005F78FC" w:rsidTr="005F78FC">
        <w:tc>
          <w:tcPr>
            <w:tcW w:w="0" w:type="auto"/>
            <w:vAlign w:val="center"/>
          </w:tcPr>
          <w:p w:rsidR="005F78FC" w:rsidRDefault="00B42EF3">
            <w:pPr>
              <w:pStyle w:val="TableBodyText"/>
            </w:pPr>
            <w:r>
              <w:t>Urdu</w:t>
            </w:r>
          </w:p>
        </w:tc>
        <w:tc>
          <w:tcPr>
            <w:tcW w:w="0" w:type="auto"/>
            <w:vAlign w:val="center"/>
          </w:tcPr>
          <w:p w:rsidR="005F78FC" w:rsidRDefault="00B42EF3">
            <w:pPr>
              <w:pStyle w:val="TableBodyText"/>
            </w:pPr>
            <w:r>
              <w:t>Pakistan</w:t>
            </w:r>
          </w:p>
        </w:tc>
        <w:tc>
          <w:tcPr>
            <w:tcW w:w="0" w:type="auto"/>
            <w:vAlign w:val="center"/>
          </w:tcPr>
          <w:p w:rsidR="005F78FC" w:rsidRDefault="00B42EF3">
            <w:pPr>
              <w:pStyle w:val="TableBodyText"/>
            </w:pPr>
            <w:r>
              <w:t>ur-PK</w:t>
            </w:r>
          </w:p>
        </w:tc>
      </w:tr>
      <w:tr w:rsidR="005F78FC" w:rsidTr="005F78FC">
        <w:tc>
          <w:tcPr>
            <w:tcW w:w="0" w:type="auto"/>
            <w:vAlign w:val="center"/>
          </w:tcPr>
          <w:p w:rsidR="005F78FC" w:rsidRDefault="00B42EF3">
            <w:pPr>
              <w:pStyle w:val="TableBodyText"/>
            </w:pPr>
            <w:r>
              <w:t>Uzbek (Cyrillic)</w:t>
            </w:r>
          </w:p>
        </w:tc>
        <w:tc>
          <w:tcPr>
            <w:tcW w:w="0" w:type="auto"/>
            <w:vAlign w:val="center"/>
          </w:tcPr>
          <w:p w:rsidR="005F78FC" w:rsidRDefault="00B42EF3">
            <w:pPr>
              <w:pStyle w:val="TableBodyText"/>
            </w:pPr>
            <w:r>
              <w:t>Uzbekistan</w:t>
            </w:r>
          </w:p>
        </w:tc>
        <w:tc>
          <w:tcPr>
            <w:tcW w:w="0" w:type="auto"/>
            <w:vAlign w:val="center"/>
          </w:tcPr>
          <w:p w:rsidR="005F78FC" w:rsidRDefault="00B42EF3">
            <w:pPr>
              <w:pStyle w:val="TableBodyText"/>
            </w:pPr>
            <w:r>
              <w:t>uz-UZ-Cyrl</w:t>
            </w:r>
          </w:p>
        </w:tc>
      </w:tr>
      <w:tr w:rsidR="005F78FC" w:rsidTr="005F78FC">
        <w:tc>
          <w:tcPr>
            <w:tcW w:w="0" w:type="auto"/>
            <w:vAlign w:val="center"/>
          </w:tcPr>
          <w:p w:rsidR="005F78FC" w:rsidRDefault="00B42EF3">
            <w:pPr>
              <w:pStyle w:val="TableBodyText"/>
            </w:pPr>
            <w:r>
              <w:t>Uzbek (Latin)</w:t>
            </w:r>
          </w:p>
        </w:tc>
        <w:tc>
          <w:tcPr>
            <w:tcW w:w="0" w:type="auto"/>
            <w:vAlign w:val="center"/>
          </w:tcPr>
          <w:p w:rsidR="005F78FC" w:rsidRDefault="00B42EF3">
            <w:pPr>
              <w:pStyle w:val="TableBodyText"/>
            </w:pPr>
            <w:r>
              <w:t>Uzbekistan</w:t>
            </w:r>
          </w:p>
        </w:tc>
        <w:tc>
          <w:tcPr>
            <w:tcW w:w="0" w:type="auto"/>
            <w:vAlign w:val="center"/>
          </w:tcPr>
          <w:p w:rsidR="005F78FC" w:rsidRDefault="00B42EF3">
            <w:pPr>
              <w:pStyle w:val="TableBodyText"/>
            </w:pPr>
            <w:r>
              <w:t>uz-UZ-Latn</w:t>
            </w:r>
          </w:p>
        </w:tc>
      </w:tr>
      <w:tr w:rsidR="005F78FC" w:rsidTr="005F78FC">
        <w:tc>
          <w:tcPr>
            <w:tcW w:w="0" w:type="auto"/>
            <w:vAlign w:val="center"/>
          </w:tcPr>
          <w:p w:rsidR="005F78FC" w:rsidRDefault="00B42EF3">
            <w:pPr>
              <w:pStyle w:val="TableBodyText"/>
            </w:pPr>
            <w:r>
              <w:t>Vietnamese</w:t>
            </w:r>
          </w:p>
        </w:tc>
        <w:tc>
          <w:tcPr>
            <w:tcW w:w="0" w:type="auto"/>
            <w:vAlign w:val="center"/>
          </w:tcPr>
          <w:p w:rsidR="005F78FC" w:rsidRDefault="00B42EF3">
            <w:pPr>
              <w:pStyle w:val="TableBodyText"/>
            </w:pPr>
            <w:r>
              <w:t>Viet Nam</w:t>
            </w:r>
          </w:p>
        </w:tc>
        <w:tc>
          <w:tcPr>
            <w:tcW w:w="0" w:type="auto"/>
            <w:vAlign w:val="center"/>
          </w:tcPr>
          <w:p w:rsidR="005F78FC" w:rsidRDefault="00B42EF3">
            <w:pPr>
              <w:pStyle w:val="TableBodyText"/>
            </w:pPr>
            <w:r>
              <w:t>vi-VN</w:t>
            </w:r>
          </w:p>
        </w:tc>
      </w:tr>
      <w:tr w:rsidR="005F78FC" w:rsidTr="005F78FC">
        <w:tc>
          <w:tcPr>
            <w:tcW w:w="0" w:type="auto"/>
            <w:vAlign w:val="center"/>
          </w:tcPr>
          <w:p w:rsidR="005F78FC" w:rsidRDefault="00B42EF3">
            <w:pPr>
              <w:pStyle w:val="TableBodyText"/>
            </w:pPr>
            <w:r>
              <w:t xml:space="preserve">Welsh </w:t>
            </w:r>
          </w:p>
        </w:tc>
        <w:tc>
          <w:tcPr>
            <w:tcW w:w="0" w:type="auto"/>
            <w:vAlign w:val="center"/>
          </w:tcPr>
          <w:p w:rsidR="005F78FC" w:rsidRDefault="00B42EF3">
            <w:pPr>
              <w:pStyle w:val="TableBodyText"/>
            </w:pPr>
            <w:r>
              <w:t>United Kingdom</w:t>
            </w:r>
          </w:p>
        </w:tc>
        <w:tc>
          <w:tcPr>
            <w:tcW w:w="0" w:type="auto"/>
            <w:vAlign w:val="center"/>
          </w:tcPr>
          <w:p w:rsidR="005F78FC" w:rsidRDefault="00B42EF3">
            <w:pPr>
              <w:pStyle w:val="TableBodyText"/>
            </w:pPr>
            <w:r>
              <w:t>cy-GB</w:t>
            </w:r>
          </w:p>
        </w:tc>
      </w:tr>
      <w:tr w:rsidR="005F78FC" w:rsidTr="005F78FC">
        <w:tc>
          <w:tcPr>
            <w:tcW w:w="0" w:type="auto"/>
            <w:vAlign w:val="center"/>
          </w:tcPr>
          <w:p w:rsidR="005F78FC" w:rsidRDefault="00B42EF3">
            <w:pPr>
              <w:pStyle w:val="TableBodyText"/>
            </w:pPr>
            <w:r>
              <w:t xml:space="preserve">Wolof </w:t>
            </w:r>
          </w:p>
        </w:tc>
        <w:tc>
          <w:tcPr>
            <w:tcW w:w="0" w:type="auto"/>
            <w:vAlign w:val="center"/>
          </w:tcPr>
          <w:p w:rsidR="005F78FC" w:rsidRDefault="00B42EF3">
            <w:pPr>
              <w:pStyle w:val="TableBodyText"/>
            </w:pPr>
            <w:r>
              <w:t>Senegal</w:t>
            </w:r>
          </w:p>
        </w:tc>
        <w:tc>
          <w:tcPr>
            <w:tcW w:w="0" w:type="auto"/>
            <w:vAlign w:val="center"/>
          </w:tcPr>
          <w:p w:rsidR="005F78FC" w:rsidRDefault="00B42EF3">
            <w:pPr>
              <w:pStyle w:val="TableBodyText"/>
            </w:pPr>
            <w:r>
              <w:t>wo-SN</w:t>
            </w:r>
          </w:p>
        </w:tc>
      </w:tr>
      <w:tr w:rsidR="005F78FC" w:rsidTr="005F78FC">
        <w:tc>
          <w:tcPr>
            <w:tcW w:w="0" w:type="auto"/>
            <w:vAlign w:val="center"/>
          </w:tcPr>
          <w:p w:rsidR="005F78FC" w:rsidRDefault="00B42EF3">
            <w:pPr>
              <w:pStyle w:val="TableBodyText"/>
            </w:pPr>
            <w:r>
              <w:t>Yi</w:t>
            </w:r>
          </w:p>
        </w:tc>
        <w:tc>
          <w:tcPr>
            <w:tcW w:w="0" w:type="auto"/>
            <w:vAlign w:val="center"/>
          </w:tcPr>
          <w:p w:rsidR="005F78FC" w:rsidRDefault="00B42EF3">
            <w:pPr>
              <w:pStyle w:val="TableBodyText"/>
            </w:pPr>
            <w:r>
              <w:t>PRC</w:t>
            </w:r>
          </w:p>
        </w:tc>
        <w:tc>
          <w:tcPr>
            <w:tcW w:w="0" w:type="auto"/>
            <w:vAlign w:val="center"/>
          </w:tcPr>
          <w:p w:rsidR="005F78FC" w:rsidRDefault="00B42EF3">
            <w:pPr>
              <w:pStyle w:val="TableBodyText"/>
            </w:pPr>
            <w:r>
              <w:t>ii-CN</w:t>
            </w:r>
          </w:p>
        </w:tc>
      </w:tr>
      <w:tr w:rsidR="005F78FC" w:rsidTr="005F78FC">
        <w:tc>
          <w:tcPr>
            <w:tcW w:w="0" w:type="auto"/>
            <w:vAlign w:val="center"/>
          </w:tcPr>
          <w:p w:rsidR="005F78FC" w:rsidRDefault="00B42EF3">
            <w:pPr>
              <w:pStyle w:val="TableBodyText"/>
            </w:pPr>
            <w:r>
              <w:t>Yoruba</w:t>
            </w:r>
          </w:p>
        </w:tc>
        <w:tc>
          <w:tcPr>
            <w:tcW w:w="0" w:type="auto"/>
            <w:vAlign w:val="center"/>
          </w:tcPr>
          <w:p w:rsidR="005F78FC" w:rsidRDefault="00B42EF3">
            <w:pPr>
              <w:pStyle w:val="TableBodyText"/>
            </w:pPr>
            <w:r>
              <w:t>Nigeria</w:t>
            </w:r>
          </w:p>
        </w:tc>
        <w:tc>
          <w:tcPr>
            <w:tcW w:w="0" w:type="auto"/>
            <w:vAlign w:val="center"/>
          </w:tcPr>
          <w:p w:rsidR="005F78FC" w:rsidRDefault="00B42EF3">
            <w:pPr>
              <w:pStyle w:val="TableBodyText"/>
            </w:pPr>
            <w:r>
              <w:t>yo-NG</w:t>
            </w:r>
          </w:p>
        </w:tc>
      </w:tr>
    </w:tbl>
    <w:p w:rsidR="005F78FC" w:rsidRDefault="005F78FC"/>
    <w:p w:rsidR="005F78FC" w:rsidRDefault="00B42EF3">
      <w:pPr>
        <w:pStyle w:val="Heading3"/>
      </w:pPr>
      <w:bookmarkStart w:id="1490" w:name="section_b041ae678cdb46d28551e922106b987f"/>
      <w:bookmarkStart w:id="1491" w:name="_Toc69878518"/>
      <w:r>
        <w:lastRenderedPageBreak/>
        <w:t>Part 1 Section 18.9.17, valueMetadata (Value Metadata)</w:t>
      </w:r>
      <w:bookmarkEnd w:id="1490"/>
      <w:bookmarkEnd w:id="1491"/>
      <w:r>
        <w:fldChar w:fldCharType="begin"/>
      </w:r>
      <w:r>
        <w:instrText xml:space="preserve"> XE "valueMetadata (Value Metadata)"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4b58be005a134a4786a265cfd44f3209">
        <w:r>
          <w:rPr>
            <w:rStyle w:val="Hyperlink"/>
          </w:rPr>
          <w:t>cellMetadata, §18.9.3(a)</w:t>
        </w:r>
      </w:hyperlink>
      <w:r>
        <w:rPr>
          <w:i/>
        </w:rPr>
        <w:t>.</w:t>
      </w:r>
    </w:p>
    <w:p w:rsidR="005F78FC" w:rsidRDefault="00B42EF3">
      <w:pPr>
        <w:pStyle w:val="Definition-Field"/>
      </w:pPr>
      <w:r>
        <w:t xml:space="preserve">a.   </w:t>
      </w:r>
      <w:r>
        <w:rPr>
          <w:i/>
        </w:rPr>
        <w:t>The standard states that the values of the count attribute are defined by the XML Schema unsignedInt datatype.</w:t>
      </w:r>
    </w:p>
    <w:p w:rsidR="005F78FC" w:rsidRDefault="00B42EF3">
      <w:pPr>
        <w:pStyle w:val="Definition-Field2"/>
      </w:pPr>
      <w:r>
        <w:t>Office requires that the count attribute have a maximum value of 2147483647.</w:t>
      </w:r>
    </w:p>
    <w:p w:rsidR="005F78FC" w:rsidRDefault="00B42EF3">
      <w:pPr>
        <w:pStyle w:val="Heading3"/>
      </w:pPr>
      <w:bookmarkStart w:id="1492" w:name="section_b5a44a1cafab4a5dbc8d46ab2edc18fc"/>
      <w:bookmarkStart w:id="1493" w:name="_Toc69878519"/>
      <w:r>
        <w:t>Part 1 Section 18.10.1.1, autoSortSco</w:t>
      </w:r>
      <w:r>
        <w:t>pe (AutoSort Scope)</w:t>
      </w:r>
      <w:bookmarkEnd w:id="1492"/>
      <w:bookmarkEnd w:id="1493"/>
      <w:r>
        <w:fldChar w:fldCharType="begin"/>
      </w:r>
      <w:r>
        <w:instrText xml:space="preserve"> XE "autoSortScope (AutoSort Scope)" </w:instrText>
      </w:r>
      <w:r>
        <w:fldChar w:fldCharType="end"/>
      </w:r>
    </w:p>
    <w:p w:rsidR="005F78FC" w:rsidRDefault="00B42EF3">
      <w:pPr>
        <w:pStyle w:val="Definition-Field"/>
      </w:pPr>
      <w:r>
        <w:t xml:space="preserve">a.   </w:t>
      </w:r>
      <w:r>
        <w:rPr>
          <w:i/>
        </w:rPr>
        <w:t>The standard states that autoSortScope represents the sorting scope for the PivotTable.</w:t>
      </w:r>
    </w:p>
    <w:p w:rsidR="005F78FC" w:rsidRDefault="00B42EF3">
      <w:pPr>
        <w:pStyle w:val="Definition-Field2"/>
      </w:pPr>
      <w:r>
        <w:t>In Office when autoSortScope is not specified, the sort is based on the items in the pivotField.  When t</w:t>
      </w:r>
      <w:r>
        <w:t>he sortType attribute of the parent pivotField is set to manual, autoSortScope must not be specified.</w:t>
      </w:r>
    </w:p>
    <w:p w:rsidR="005F78FC" w:rsidRDefault="00B42EF3">
      <w:pPr>
        <w:pStyle w:val="Heading3"/>
      </w:pPr>
      <w:bookmarkStart w:id="1494" w:name="section_514d639a764c4e05bdc894b684557d40"/>
      <w:bookmarkStart w:id="1495" w:name="_Toc69878520"/>
      <w:r>
        <w:t>Part 1 Section 18.10.1.2, b (Boolean)</w:t>
      </w:r>
      <w:bookmarkEnd w:id="1494"/>
      <w:bookmarkEnd w:id="1495"/>
      <w:r>
        <w:fldChar w:fldCharType="begin"/>
      </w:r>
      <w:r>
        <w:instrText xml:space="preserve"> XE "b (Boolean)" </w:instrText>
      </w:r>
      <w:r>
        <w:fldChar w:fldCharType="end"/>
      </w:r>
    </w:p>
    <w:p w:rsidR="005F78FC" w:rsidRDefault="00B42EF3">
      <w:pPr>
        <w:pStyle w:val="Definition-Field"/>
      </w:pPr>
      <w:r>
        <w:t xml:space="preserve">a.   </w:t>
      </w:r>
      <w:r>
        <w:rPr>
          <w:i/>
        </w:rPr>
        <w:t>The standard does not specify a default value for the u attribute.</w:t>
      </w:r>
    </w:p>
    <w:p w:rsidR="005F78FC" w:rsidRDefault="00B42EF3">
      <w:pPr>
        <w:pStyle w:val="Definition-Field2"/>
      </w:pPr>
      <w:r>
        <w:t>Excel uses a default val</w:t>
      </w:r>
      <w:r>
        <w:t>ue of false for this attribute.</w:t>
      </w:r>
    </w:p>
    <w:p w:rsidR="005F78FC" w:rsidRDefault="00B42EF3">
      <w:pPr>
        <w:pStyle w:val="Definition-Field"/>
      </w:pPr>
      <w:r>
        <w:t xml:space="preserve">b.   </w:t>
      </w:r>
      <w:r>
        <w:rPr>
          <w:i/>
        </w:rPr>
        <w:t>The standard does not specify a default value for the f attribute.</w:t>
      </w:r>
    </w:p>
    <w:p w:rsidR="005F78FC" w:rsidRDefault="00B42EF3">
      <w:pPr>
        <w:pStyle w:val="Definition-Field2"/>
      </w:pPr>
      <w:r>
        <w:t>Excel uses a default value of false for this attribute.</w:t>
      </w:r>
    </w:p>
    <w:p w:rsidR="005F78FC" w:rsidRDefault="00B42EF3">
      <w:pPr>
        <w:pStyle w:val="Definition-Field"/>
      </w:pPr>
      <w:r>
        <w:t xml:space="preserve">c.   </w:t>
      </w:r>
      <w:r>
        <w:rPr>
          <w:i/>
        </w:rPr>
        <w:t>The standard does not limit the length of the value of the c attribute.</w:t>
      </w:r>
    </w:p>
    <w:p w:rsidR="005F78FC" w:rsidRDefault="00B42EF3">
      <w:pPr>
        <w:pStyle w:val="Definition-Field2"/>
      </w:pPr>
      <w:r>
        <w:t>Excel restricts the</w:t>
      </w:r>
      <w:r>
        <w:t xml:space="preserve"> value of this attribute to be at most 65535 characters.</w:t>
      </w:r>
    </w:p>
    <w:p w:rsidR="005F78FC" w:rsidRDefault="00B42EF3">
      <w:pPr>
        <w:pStyle w:val="Definition-Field"/>
      </w:pPr>
      <w:r>
        <w:t xml:space="preserve">d.   </w:t>
      </w:r>
      <w:r>
        <w:rPr>
          <w:i/>
        </w:rPr>
        <w:t>The standard does not qualify the c attribute as applicable only in certain cases.</w:t>
      </w:r>
    </w:p>
    <w:p w:rsidR="005F78FC" w:rsidRDefault="00B42EF3">
      <w:pPr>
        <w:pStyle w:val="Definition-Field2"/>
      </w:pPr>
      <w:r>
        <w:t>In Office, the c attribute is only valid for OLAP PivotTables and when createdVersion is 3 or greater.</w:t>
      </w:r>
    </w:p>
    <w:p w:rsidR="005F78FC" w:rsidRDefault="00B42EF3">
      <w:pPr>
        <w:pStyle w:val="Definition-Field"/>
      </w:pPr>
      <w:r>
        <w:t xml:space="preserve">e.   </w:t>
      </w:r>
      <w:r>
        <w:rPr>
          <w:i/>
        </w:rPr>
        <w:t>The</w:t>
      </w:r>
      <w:r>
        <w:rPr>
          <w:i/>
        </w:rPr>
        <w:t xml:space="preserve"> standard does not define the relation between the u attribute and the sharedItems parent.</w:t>
      </w:r>
    </w:p>
    <w:p w:rsidR="005F78FC" w:rsidRDefault="00B42EF3">
      <w:pPr>
        <w:pStyle w:val="Definition-Field2"/>
      </w:pPr>
      <w:r>
        <w:t>In Office, the u attribute only applies when the parent is sharedItems.</w:t>
      </w:r>
    </w:p>
    <w:p w:rsidR="005F78FC" w:rsidRDefault="00B42EF3">
      <w:pPr>
        <w:pStyle w:val="Definition-Field"/>
      </w:pPr>
      <w:r>
        <w:t xml:space="preserve">f.   </w:t>
      </w:r>
      <w:r>
        <w:rPr>
          <w:i/>
        </w:rPr>
        <w:t>The standard does not define restrictions on when the cp attribute should be present.</w:t>
      </w:r>
    </w:p>
    <w:p w:rsidR="005F78FC" w:rsidRDefault="00B42EF3">
      <w:pPr>
        <w:pStyle w:val="Definition-Field2"/>
      </w:pPr>
      <w:r>
        <w:t>In</w:t>
      </w:r>
      <w:r>
        <w:t xml:space="preserve"> Office, the cp attribute applies to OLAP-based PivotTables only and the parent is sharedItems.</w:t>
      </w:r>
    </w:p>
    <w:p w:rsidR="005F78FC" w:rsidRDefault="00B42EF3">
      <w:pPr>
        <w:pStyle w:val="Definition-Field"/>
      </w:pPr>
      <w:r>
        <w:t xml:space="preserve">g.   </w:t>
      </w:r>
      <w:r>
        <w:rPr>
          <w:i/>
        </w:rPr>
        <w:t>The standard does not specify restrictions on value of the cp attribute.</w:t>
      </w:r>
    </w:p>
    <w:p w:rsidR="005F78FC" w:rsidRDefault="00B42EF3">
      <w:pPr>
        <w:pStyle w:val="Definition-Field2"/>
      </w:pPr>
      <w:r>
        <w:t xml:space="preserve">In Office, the value of the cp attribute shall be equal to the number of x child </w:t>
      </w:r>
      <w:r>
        <w:t>elements and less than or equal to the mappingCount attribute of the corresponding cacheField element.</w:t>
      </w:r>
    </w:p>
    <w:p w:rsidR="005F78FC" w:rsidRDefault="00B42EF3">
      <w:pPr>
        <w:pStyle w:val="Definition-Field"/>
      </w:pPr>
      <w:r>
        <w:t xml:space="preserve">h.   </w:t>
      </w:r>
      <w:r>
        <w:rPr>
          <w:i/>
        </w:rPr>
        <w:t>The standard does not define the relation between the f attribute and the sharedItems parent.</w:t>
      </w:r>
    </w:p>
    <w:p w:rsidR="005F78FC" w:rsidRDefault="00B42EF3">
      <w:pPr>
        <w:pStyle w:val="Definition-Field2"/>
      </w:pPr>
      <w:r>
        <w:t>In Office, the f attribute only applies when the paren</w:t>
      </w:r>
      <w:r>
        <w:t>t is sharedItems.</w:t>
      </w:r>
    </w:p>
    <w:p w:rsidR="005F78FC" w:rsidRDefault="00B42EF3">
      <w:pPr>
        <w:pStyle w:val="Heading3"/>
      </w:pPr>
      <w:bookmarkStart w:id="1496" w:name="section_a49a42d4fc784030ae6099400cba9912"/>
      <w:bookmarkStart w:id="1497" w:name="_Toc69878521"/>
      <w:r>
        <w:t>Part 1 Section 18.10.1.3, cacheField (PivotCache Field)</w:t>
      </w:r>
      <w:bookmarkEnd w:id="1496"/>
      <w:bookmarkEnd w:id="1497"/>
      <w:r>
        <w:fldChar w:fldCharType="begin"/>
      </w:r>
      <w:r>
        <w:instrText xml:space="preserve"> XE "cacheField (PivotCache Field)" </w:instrText>
      </w:r>
      <w:r>
        <w:fldChar w:fldCharType="end"/>
      </w:r>
    </w:p>
    <w:p w:rsidR="005F78FC" w:rsidRDefault="00B42EF3">
      <w:pPr>
        <w:pStyle w:val="Definition-Field"/>
      </w:pPr>
      <w:r>
        <w:t xml:space="preserve">a.   </w:t>
      </w:r>
      <w:r>
        <w:rPr>
          <w:i/>
        </w:rPr>
        <w:t>The standard does not restrict values of the hierarchy attribute.</w:t>
      </w:r>
    </w:p>
    <w:p w:rsidR="005F78FC" w:rsidRDefault="00B42EF3">
      <w:pPr>
        <w:pStyle w:val="Definition-Field2"/>
      </w:pPr>
      <w:r>
        <w:t>In Office, the hierarchy attribute must be non-negative and less than the</w:t>
      </w:r>
      <w:r>
        <w:t xml:space="preserve"> count of cacheHierarchy elements in the cacheHierarchies node. This attribute is only used by OLAP PivotCache.</w:t>
      </w:r>
    </w:p>
    <w:p w:rsidR="005F78FC" w:rsidRDefault="00B42EF3">
      <w:pPr>
        <w:pStyle w:val="Definition-Field"/>
      </w:pPr>
      <w:r>
        <w:lastRenderedPageBreak/>
        <w:t xml:space="preserve">b.   </w:t>
      </w:r>
      <w:r>
        <w:rPr>
          <w:i/>
        </w:rPr>
        <w:t>The standard does not define all the possible values of the level attribute.</w:t>
      </w:r>
    </w:p>
    <w:p w:rsidR="005F78FC" w:rsidRDefault="00B42EF3">
      <w:pPr>
        <w:pStyle w:val="Definition-Field2"/>
      </w:pPr>
      <w:r>
        <w:t>In Excel, the level attribute is only used by the OLAP PivotCa</w:t>
      </w:r>
      <w:r>
        <w:t>che. If memberPropertyField is 0, this value shall be either 0x7fff (which means all levels) or it shall be less than the count of fieldUsage elements in fieldsUsage node.</w:t>
      </w:r>
    </w:p>
    <w:p w:rsidR="005F78FC" w:rsidRDefault="00B42EF3">
      <w:pPr>
        <w:pStyle w:val="Definition-Field"/>
      </w:pPr>
      <w:r>
        <w:t xml:space="preserve">c.   </w:t>
      </w:r>
      <w:r>
        <w:rPr>
          <w:i/>
        </w:rPr>
        <w:t>The standard does not specify restrictions for the name attribute.</w:t>
      </w:r>
    </w:p>
    <w:p w:rsidR="005F78FC" w:rsidRDefault="00B42EF3">
      <w:pPr>
        <w:pStyle w:val="Definition-Field2"/>
      </w:pPr>
      <w:r>
        <w:t xml:space="preserve">In Office, </w:t>
      </w:r>
      <w:r>
        <w:t>the name attribute must be unique. The name is case-insensitive and shall have length between 1 and 32767 inclusively. If the value of createdVersion is less than 3, @name shall not be longer than 255 characters.</w:t>
      </w:r>
    </w:p>
    <w:p w:rsidR="005F78FC" w:rsidRDefault="00B42EF3">
      <w:pPr>
        <w:pStyle w:val="Definition-Field"/>
      </w:pPr>
      <w:r>
        <w:t xml:space="preserve">d.   </w:t>
      </w:r>
      <w:r>
        <w:rPr>
          <w:i/>
        </w:rPr>
        <w:t>The standard does not define maxLength</w:t>
      </w:r>
      <w:r>
        <w:rPr>
          <w:i/>
        </w:rPr>
        <w:t xml:space="preserve"> restriction for the caption attribute.</w:t>
      </w:r>
    </w:p>
    <w:p w:rsidR="005F78FC" w:rsidRDefault="00B42EF3">
      <w:pPr>
        <w:pStyle w:val="Definition-Field2"/>
      </w:pPr>
      <w:r>
        <w:t>In Office, the caption attribute shall not be longer than 32767; if createdVersion of pivotCacheDefinition is less than 3, then the caption attribute must not be defined.</w:t>
      </w:r>
    </w:p>
    <w:p w:rsidR="005F78FC" w:rsidRDefault="00B42EF3">
      <w:pPr>
        <w:pStyle w:val="Definition-Field"/>
      </w:pPr>
      <w:r>
        <w:t xml:space="preserve">e.   </w:t>
      </w:r>
      <w:r>
        <w:rPr>
          <w:i/>
        </w:rPr>
        <w:t>The standard does not define length rest</w:t>
      </w:r>
      <w:r>
        <w:rPr>
          <w:i/>
        </w:rPr>
        <w:t>riction for the propertyName attribute.</w:t>
      </w:r>
    </w:p>
    <w:p w:rsidR="005F78FC" w:rsidRDefault="00B42EF3">
      <w:pPr>
        <w:pStyle w:val="Definition-Field2"/>
      </w:pPr>
      <w:r>
        <w:t>In Office, the propertyName attribute shall have length between 1 and 32767 inclusively.</w:t>
      </w:r>
    </w:p>
    <w:p w:rsidR="005F78FC" w:rsidRDefault="00B42EF3">
      <w:pPr>
        <w:pStyle w:val="Definition-Field"/>
      </w:pPr>
      <w:r>
        <w:t xml:space="preserve">f.   </w:t>
      </w:r>
      <w:r>
        <w:rPr>
          <w:i/>
        </w:rPr>
        <w:t>In the standard the databaseField attribute is not restricted by data source type.</w:t>
      </w:r>
    </w:p>
    <w:p w:rsidR="005F78FC" w:rsidRDefault="00B42EF3">
      <w:pPr>
        <w:pStyle w:val="Definition-Field2"/>
      </w:pPr>
      <w:r>
        <w:t xml:space="preserve">In Office, the databaseField attribute </w:t>
      </w:r>
      <w:r>
        <w:t>must be TRUE for OLAP data sources.</w:t>
      </w:r>
    </w:p>
    <w:p w:rsidR="005F78FC" w:rsidRDefault="00B42EF3">
      <w:pPr>
        <w:pStyle w:val="Definition-Field"/>
      </w:pPr>
      <w:r>
        <w:t xml:space="preserve">g.   </w:t>
      </w:r>
      <w:r>
        <w:rPr>
          <w:i/>
        </w:rPr>
        <w:t>In the standard, the formula attribute is defined as a generic string.</w:t>
      </w:r>
    </w:p>
    <w:p w:rsidR="005F78FC" w:rsidRDefault="00B42EF3">
      <w:pPr>
        <w:pStyle w:val="Definition-Field2"/>
      </w:pPr>
      <w:r>
        <w:t xml:space="preserve">Office requires that the formula attribute be a Pivot formula as defined in </w:t>
      </w:r>
      <w:hyperlink w:anchor="Section_b23ed080d4e143a58259332e1bf85d08">
        <w:r>
          <w:rPr>
            <w:rStyle w:val="Hyperlink"/>
          </w:rPr>
          <w:t>§3.2.</w:t>
        </w:r>
        <w:r>
          <w:rPr>
            <w:rStyle w:val="Hyperlink"/>
          </w:rPr>
          <w:t>3.1.8, Pivot Formulas</w:t>
        </w:r>
      </w:hyperlink>
      <w:r>
        <w:t>.</w:t>
      </w:r>
    </w:p>
    <w:p w:rsidR="005F78FC" w:rsidRDefault="00B42EF3">
      <w:pPr>
        <w:pStyle w:val="Definition-Field"/>
      </w:pPr>
      <w:r>
        <w:t xml:space="preserve">h.   </w:t>
      </w:r>
      <w:r>
        <w:rPr>
          <w:i/>
        </w:rPr>
        <w:t>In the standard the mappingCount attribute does not have restrictions.</w:t>
      </w:r>
    </w:p>
    <w:p w:rsidR="005F78FC" w:rsidRDefault="00B42EF3">
      <w:pPr>
        <w:pStyle w:val="Definition-Field2"/>
      </w:pPr>
      <w:r>
        <w:t>In Office, the mappingCount attribute shall be less than or equal to number of cacheField items in the cacheFields collection.</w:t>
      </w:r>
    </w:p>
    <w:p w:rsidR="005F78FC" w:rsidRDefault="00B42EF3">
      <w:pPr>
        <w:pStyle w:val="Definition-Field"/>
      </w:pPr>
      <w:r>
        <w:t xml:space="preserve">i.   </w:t>
      </w:r>
      <w:r>
        <w:rPr>
          <w:i/>
        </w:rPr>
        <w:t>The standard does not spe</w:t>
      </w:r>
      <w:r>
        <w:rPr>
          <w:i/>
        </w:rPr>
        <w:t>cify restrictions for the memberPropertyField attribute.</w:t>
      </w:r>
    </w:p>
    <w:p w:rsidR="005F78FC" w:rsidRDefault="00B42EF3">
      <w:pPr>
        <w:pStyle w:val="Definition-Field2"/>
      </w:pPr>
      <w:r>
        <w:t>In Office, the memberPropertyField attribute shall be 1 if the propertyName attribute is not empty and it shall be 0 or false for non-OLAP PivotCaches.</w:t>
      </w:r>
    </w:p>
    <w:p w:rsidR="005F78FC" w:rsidRDefault="00B42EF3">
      <w:pPr>
        <w:pStyle w:val="Definition-Field"/>
      </w:pPr>
      <w:r>
        <w:t xml:space="preserve">j.   </w:t>
      </w:r>
      <w:r>
        <w:rPr>
          <w:i/>
        </w:rPr>
        <w:t>The standard does not restrict the formula</w:t>
      </w:r>
      <w:r>
        <w:rPr>
          <w:i/>
        </w:rPr>
        <w:t xml:space="preserve"> attribute usage for different data sources.</w:t>
      </w:r>
    </w:p>
    <w:p w:rsidR="005F78FC" w:rsidRDefault="00B42EF3">
      <w:pPr>
        <w:pStyle w:val="Definition-Field2"/>
      </w:pPr>
      <w:r>
        <w:t>In Office, the formula attribute shall not be specified for OLAP PivotCaches.</w:t>
      </w:r>
    </w:p>
    <w:p w:rsidR="005F78FC" w:rsidRDefault="00B42EF3">
      <w:pPr>
        <w:pStyle w:val="Definition-Field"/>
      </w:pPr>
      <w:r>
        <w:t xml:space="preserve">k.   </w:t>
      </w:r>
      <w:r>
        <w:rPr>
          <w:i/>
        </w:rPr>
        <w:t>In the standard, there is no restriction on value of the databaseField attribute for the first cacheField in collection.</w:t>
      </w:r>
    </w:p>
    <w:p w:rsidR="005F78FC" w:rsidRDefault="00B42EF3">
      <w:pPr>
        <w:pStyle w:val="Definition-Field2"/>
      </w:pPr>
      <w:r>
        <w:t>In Offi</w:t>
      </w:r>
      <w:r>
        <w:t>ce, the first cacheField shall have a databaseField attribute equal to 1 or true.</w:t>
      </w:r>
    </w:p>
    <w:p w:rsidR="005F78FC" w:rsidRDefault="00B42EF3">
      <w:pPr>
        <w:pStyle w:val="Heading3"/>
      </w:pPr>
      <w:bookmarkStart w:id="1498" w:name="section_f4b94667953e402280d4ca58568e6e05"/>
      <w:bookmarkStart w:id="1499" w:name="_Toc69878522"/>
      <w:r>
        <w:t>Part 1 Section 18.10.1.4, cacheFields (PivotCache Fields)</w:t>
      </w:r>
      <w:bookmarkEnd w:id="1498"/>
      <w:bookmarkEnd w:id="1499"/>
      <w:r>
        <w:fldChar w:fldCharType="begin"/>
      </w:r>
      <w:r>
        <w:instrText xml:space="preserve"> XE "cacheFields (PivotCache Fields)" </w:instrText>
      </w:r>
      <w:r>
        <w:fldChar w:fldCharType="end"/>
      </w:r>
    </w:p>
    <w:p w:rsidR="005F78FC" w:rsidRDefault="00B42EF3">
      <w:pPr>
        <w:pStyle w:val="Definition-Field"/>
      </w:pPr>
      <w:r>
        <w:t xml:space="preserve">a.   </w:t>
      </w:r>
      <w:r>
        <w:rPr>
          <w:i/>
        </w:rPr>
        <w:t>The standard states that the maxOccurs value for the cacheField child e</w:t>
      </w:r>
      <w:r>
        <w:rPr>
          <w:i/>
        </w:rPr>
        <w:t>lement is unbounded.</w:t>
      </w:r>
    </w:p>
    <w:p w:rsidR="005F78FC" w:rsidRDefault="00B42EF3">
      <w:pPr>
        <w:pStyle w:val="Definition-Field2"/>
      </w:pPr>
      <w:r>
        <w:t>Excel limits the occurrences of this element to 1024 when the value of the createdVersion attribute on the pivotCacheDefinition element is less than 3 and 16384 otherwise.</w:t>
      </w:r>
    </w:p>
    <w:p w:rsidR="005F78FC" w:rsidRDefault="00B42EF3">
      <w:pPr>
        <w:pStyle w:val="Definition-Field"/>
      </w:pPr>
      <w:r>
        <w:t xml:space="preserve">b.   </w:t>
      </w:r>
      <w:r>
        <w:rPr>
          <w:i/>
        </w:rPr>
        <w:t>The standard states that the minOccurs value for the cache</w:t>
      </w:r>
      <w:r>
        <w:rPr>
          <w:i/>
        </w:rPr>
        <w:t>Field child element is 0.</w:t>
      </w:r>
    </w:p>
    <w:p w:rsidR="005F78FC" w:rsidRDefault="00B42EF3">
      <w:pPr>
        <w:pStyle w:val="Definition-Field2"/>
      </w:pPr>
      <w:r>
        <w:t>Excel requires an occurrence of this element for non-OLAP PivotCaches.</w:t>
      </w:r>
    </w:p>
    <w:p w:rsidR="005F78FC" w:rsidRDefault="00B42EF3">
      <w:pPr>
        <w:pStyle w:val="Heading3"/>
      </w:pPr>
      <w:bookmarkStart w:id="1500" w:name="section_ce3dcffc9d464d52a8817969baf5c473"/>
      <w:bookmarkStart w:id="1501" w:name="_Toc69878523"/>
      <w:r>
        <w:lastRenderedPageBreak/>
        <w:t>Part 1 Section 18.10.1.5, cacheHierarchies (PivotCache Hierarchies)</w:t>
      </w:r>
      <w:bookmarkEnd w:id="1500"/>
      <w:bookmarkEnd w:id="1501"/>
      <w:r>
        <w:fldChar w:fldCharType="begin"/>
      </w:r>
      <w:r>
        <w:instrText xml:space="preserve"> XE "cacheHierarchies (PivotCache Hierarchies)" </w:instrText>
      </w:r>
      <w:r>
        <w:fldChar w:fldCharType="end"/>
      </w:r>
    </w:p>
    <w:p w:rsidR="005F78FC" w:rsidRDefault="00B42EF3">
      <w:pPr>
        <w:pStyle w:val="Definition-Field"/>
      </w:pPr>
      <w:r>
        <w:t xml:space="preserve">a.   </w:t>
      </w:r>
      <w:r>
        <w:rPr>
          <w:i/>
        </w:rPr>
        <w:t>The standard states that the minOccu</w:t>
      </w:r>
      <w:r>
        <w:rPr>
          <w:i/>
        </w:rPr>
        <w:t>rs value for the cacheHierarchy child element is 0.</w:t>
      </w:r>
    </w:p>
    <w:p w:rsidR="005F78FC" w:rsidRDefault="00B42EF3">
      <w:pPr>
        <w:pStyle w:val="Definition-Field2"/>
      </w:pPr>
      <w:r>
        <w:t>Excel requires an occurrence of this element.</w:t>
      </w:r>
    </w:p>
    <w:p w:rsidR="005F78FC" w:rsidRDefault="00B42EF3">
      <w:pPr>
        <w:pStyle w:val="Heading3"/>
      </w:pPr>
      <w:bookmarkStart w:id="1502" w:name="section_f8e3fe8da78d4f5bb970f9f5b0fa6d35"/>
      <w:bookmarkStart w:id="1503" w:name="_Toc69878524"/>
      <w:r>
        <w:t>Part 1 Section 18.10.1.6, cacheHierarchy (PivotCache Hierarchy)</w:t>
      </w:r>
      <w:bookmarkEnd w:id="1502"/>
      <w:bookmarkEnd w:id="1503"/>
      <w:r>
        <w:fldChar w:fldCharType="begin"/>
      </w:r>
      <w:r>
        <w:instrText xml:space="preserve"> XE "cacheHierarchy (PivotCache Hierarchy)" </w:instrText>
      </w:r>
      <w:r>
        <w:fldChar w:fldCharType="end"/>
      </w:r>
    </w:p>
    <w:p w:rsidR="005F78FC" w:rsidRDefault="00B42EF3">
      <w:pPr>
        <w:pStyle w:val="Definition-Field"/>
      </w:pPr>
      <w:r>
        <w:t xml:space="preserve">a.   </w:t>
      </w:r>
      <w:r>
        <w:rPr>
          <w:i/>
        </w:rPr>
        <w:t xml:space="preserve">The standard does not limit the length of </w:t>
      </w:r>
      <w:r>
        <w:rPr>
          <w:i/>
        </w:rPr>
        <w:t>the value of the uniqueName attribute.</w:t>
      </w:r>
    </w:p>
    <w:p w:rsidR="005F78FC" w:rsidRDefault="00B42EF3">
      <w:pPr>
        <w:pStyle w:val="Definition-Field2"/>
      </w:pPr>
      <w:r>
        <w:t>Excel restricts the value of this attribute to be at least 1 and at most 255 characters when the createdVersion attribute on the pivotCacheDefinition element is less than 3 and 32767 characters otherwise.</w:t>
      </w:r>
    </w:p>
    <w:p w:rsidR="005F78FC" w:rsidRDefault="00B42EF3">
      <w:pPr>
        <w:pStyle w:val="Definition-Field"/>
      </w:pPr>
      <w:r>
        <w:t xml:space="preserve">b.   </w:t>
      </w:r>
      <w:r>
        <w:rPr>
          <w:i/>
        </w:rPr>
        <w:t>The sta</w:t>
      </w:r>
      <w:r>
        <w:rPr>
          <w:i/>
        </w:rPr>
        <w:t>ndard does not limit the length of the value of the caption attribute.</w:t>
      </w:r>
    </w:p>
    <w:p w:rsidR="005F78FC" w:rsidRDefault="00B42EF3">
      <w:pPr>
        <w:pStyle w:val="Definition-Field2"/>
      </w:pPr>
      <w:r>
        <w:t xml:space="preserve">Excel restricts the value of this attribute to be at least 1 and at most 255 characters when the createdVersion attribute on the pivotCacheDefinition element is less than 3 and 32767 </w:t>
      </w:r>
      <w:r>
        <w:t>characters otherwise.</w:t>
      </w:r>
    </w:p>
    <w:p w:rsidR="005F78FC" w:rsidRDefault="00B42EF3">
      <w:pPr>
        <w:pStyle w:val="Definition-Field"/>
      </w:pPr>
      <w:r>
        <w:t xml:space="preserve">c.   </w:t>
      </w:r>
      <w:r>
        <w:rPr>
          <w:i/>
        </w:rPr>
        <w:t>The standard states that the caption attribute is optional.</w:t>
      </w:r>
    </w:p>
    <w:p w:rsidR="005F78FC" w:rsidRDefault="00B42EF3">
      <w:pPr>
        <w:pStyle w:val="Definition-Field2"/>
      </w:pPr>
      <w:r>
        <w:t>Excel requires this attribute.</w:t>
      </w:r>
    </w:p>
    <w:p w:rsidR="005F78FC" w:rsidRDefault="00B42EF3">
      <w:pPr>
        <w:pStyle w:val="Definition-Field"/>
      </w:pPr>
      <w:r>
        <w:t xml:space="preserve">d.   </w:t>
      </w:r>
      <w:r>
        <w:rPr>
          <w:i/>
        </w:rPr>
        <w:t>The standard does not limit the length of the value of the defaultMemberUniqueName attribute.</w:t>
      </w:r>
    </w:p>
    <w:p w:rsidR="005F78FC" w:rsidRDefault="00B42EF3">
      <w:pPr>
        <w:pStyle w:val="Definition-Field2"/>
      </w:pPr>
      <w:r>
        <w:t>Excel restricts the value of this attri</w:t>
      </w:r>
      <w:r>
        <w:t>bute to be at most 255 characters when the createdVersion attribute on the pivotCacheDefinition element is less than 3 and 32767 characters otherwise.</w:t>
      </w:r>
    </w:p>
    <w:p w:rsidR="005F78FC" w:rsidRDefault="00B42EF3">
      <w:pPr>
        <w:pStyle w:val="Definition-Field"/>
      </w:pPr>
      <w:r>
        <w:t xml:space="preserve">e.   </w:t>
      </w:r>
      <w:r>
        <w:rPr>
          <w:i/>
        </w:rPr>
        <w:t>The standard does not limit the length of the value of the allUniqueName attribute.</w:t>
      </w:r>
    </w:p>
    <w:p w:rsidR="005F78FC" w:rsidRDefault="00B42EF3">
      <w:pPr>
        <w:pStyle w:val="Definition-Field2"/>
      </w:pPr>
      <w:r>
        <w:t xml:space="preserve">Excel restricts </w:t>
      </w:r>
      <w:r>
        <w:t>the value of this attribute to be at most 255 characters when the createdVersion attribute on the pivotCacheDefinition element is less than 3 and 32767 characters otherwise.</w:t>
      </w:r>
    </w:p>
    <w:p w:rsidR="005F78FC" w:rsidRDefault="00B42EF3">
      <w:pPr>
        <w:pStyle w:val="Definition-Field"/>
      </w:pPr>
      <w:r>
        <w:t xml:space="preserve">f.   </w:t>
      </w:r>
      <w:r>
        <w:rPr>
          <w:i/>
        </w:rPr>
        <w:t>The standard does not limit the length of the value of the allCaption attribu</w:t>
      </w:r>
      <w:r>
        <w:rPr>
          <w:i/>
        </w:rPr>
        <w:t>te.</w:t>
      </w:r>
    </w:p>
    <w:p w:rsidR="005F78FC" w:rsidRDefault="00B42EF3">
      <w:pPr>
        <w:pStyle w:val="Definition-Field2"/>
      </w:pPr>
      <w:r>
        <w:t>Excel restricts the value of this attribute to be at most 255 characters when the createdVersion attribute on the pivotCacheDefinition element is less than 3 and 32767 characters otherwise.</w:t>
      </w:r>
    </w:p>
    <w:p w:rsidR="005F78FC" w:rsidRDefault="00B42EF3">
      <w:pPr>
        <w:pStyle w:val="Definition-Field"/>
      </w:pPr>
      <w:r>
        <w:t xml:space="preserve">g.   </w:t>
      </w:r>
      <w:r>
        <w:rPr>
          <w:i/>
        </w:rPr>
        <w:t>The standard does not limit the length of the value of th</w:t>
      </w:r>
      <w:r>
        <w:rPr>
          <w:i/>
        </w:rPr>
        <w:t>e dimensionUniqueName attribute.</w:t>
      </w:r>
    </w:p>
    <w:p w:rsidR="005F78FC" w:rsidRDefault="00B42EF3">
      <w:pPr>
        <w:pStyle w:val="Definition-Field2"/>
      </w:pPr>
      <w:r>
        <w:t>Excel restricts the value of this attribute to be at least 1 and at most 255 characters when the createdVersion attribute on the pivotCacheDefinition element is less than 3 and 32767 characters otherwise.</w:t>
      </w:r>
    </w:p>
    <w:p w:rsidR="005F78FC" w:rsidRDefault="00B42EF3">
      <w:pPr>
        <w:pStyle w:val="Definition-Field"/>
      </w:pPr>
      <w:r>
        <w:t xml:space="preserve">h.   </w:t>
      </w:r>
      <w:r>
        <w:rPr>
          <w:i/>
        </w:rPr>
        <w:t xml:space="preserve">The standard </w:t>
      </w:r>
      <w:r>
        <w:rPr>
          <w:i/>
        </w:rPr>
        <w:t>does not limit the length of the value of the displayFolder attribute.</w:t>
      </w:r>
    </w:p>
    <w:p w:rsidR="005F78FC" w:rsidRDefault="00B42EF3">
      <w:pPr>
        <w:pStyle w:val="Definition-Field2"/>
      </w:pPr>
      <w:r>
        <w:t>Excel restricts the value of this attribute to be at most 65535 characters.</w:t>
      </w:r>
    </w:p>
    <w:p w:rsidR="005F78FC" w:rsidRDefault="00B42EF3">
      <w:pPr>
        <w:pStyle w:val="Definition-Field"/>
      </w:pPr>
      <w:r>
        <w:t xml:space="preserve">i.   </w:t>
      </w:r>
      <w:r>
        <w:rPr>
          <w:i/>
        </w:rPr>
        <w:t>The standard does not limit the length of the value of the measureGroup attribute.</w:t>
      </w:r>
    </w:p>
    <w:p w:rsidR="005F78FC" w:rsidRDefault="00B42EF3">
      <w:pPr>
        <w:pStyle w:val="Definition-Field2"/>
      </w:pPr>
      <w:r>
        <w:t>Excel restricts the v</w:t>
      </w:r>
      <w:r>
        <w:t>alue of this attribute to be at most 65535 characters.</w:t>
      </w:r>
    </w:p>
    <w:p w:rsidR="005F78FC" w:rsidRDefault="00B42EF3">
      <w:pPr>
        <w:pStyle w:val="Definition-Field"/>
      </w:pPr>
      <w:r>
        <w:t xml:space="preserve">j.   </w:t>
      </w:r>
      <w:r>
        <w:rPr>
          <w:i/>
        </w:rPr>
        <w:t>The standard does not place any restrictions on the value for the parentSet attribute.</w:t>
      </w:r>
    </w:p>
    <w:p w:rsidR="005F78FC" w:rsidRDefault="00B42EF3">
      <w:pPr>
        <w:pStyle w:val="Definition-Field2"/>
      </w:pPr>
      <w:r>
        <w:t>In Excel, the value must be less than the number of cacheHierarchy elements in cacheHierarchies collection.</w:t>
      </w:r>
    </w:p>
    <w:p w:rsidR="005F78FC" w:rsidRDefault="00B42EF3">
      <w:pPr>
        <w:pStyle w:val="Definition-Field"/>
      </w:pPr>
      <w:r>
        <w:t>k</w:t>
      </w:r>
      <w:r>
        <w:t xml:space="preserve">.   </w:t>
      </w:r>
      <w:r>
        <w:rPr>
          <w:i/>
        </w:rPr>
        <w:t>The standard does not state value restrictions for the iconSet attribute.</w:t>
      </w:r>
    </w:p>
    <w:p w:rsidR="005F78FC" w:rsidRDefault="00B42EF3">
      <w:pPr>
        <w:pStyle w:val="Definition-Field2"/>
      </w:pPr>
      <w:r>
        <w:t>Excel requires that the iconSet attribute be between 0 and 11.</w:t>
      </w:r>
    </w:p>
    <w:p w:rsidR="005F78FC" w:rsidRDefault="00B42EF3">
      <w:pPr>
        <w:pStyle w:val="Definition-Field"/>
      </w:pPr>
      <w:r>
        <w:lastRenderedPageBreak/>
        <w:t xml:space="preserve">l.   </w:t>
      </w:r>
      <w:r>
        <w:rPr>
          <w:i/>
        </w:rPr>
        <w:t>The standard does not place any restrictions on the value for the set attribute.</w:t>
      </w:r>
    </w:p>
    <w:p w:rsidR="005F78FC" w:rsidRDefault="00B42EF3">
      <w:pPr>
        <w:pStyle w:val="Definition-Field2"/>
      </w:pPr>
      <w:r>
        <w:t xml:space="preserve">In Excel, the values for the </w:t>
      </w:r>
      <w:r>
        <w:t>measure attribute and the set attribute cannot both be 1.</w:t>
      </w:r>
    </w:p>
    <w:p w:rsidR="005F78FC" w:rsidRDefault="00B42EF3">
      <w:pPr>
        <w:pStyle w:val="Definition-Field"/>
      </w:pPr>
      <w:r>
        <w:t xml:space="preserve">m.   </w:t>
      </w:r>
      <w:r>
        <w:rPr>
          <w:i/>
        </w:rPr>
        <w:t>The standard does not place any restrictions on the value for the measure attribute.</w:t>
      </w:r>
    </w:p>
    <w:p w:rsidR="005F78FC" w:rsidRDefault="00B42EF3">
      <w:pPr>
        <w:pStyle w:val="Definition-Field2"/>
      </w:pPr>
      <w:r>
        <w:t>In Excel, the values for the measure attribute and the set attribute cannot both be 1.</w:t>
      </w:r>
    </w:p>
    <w:p w:rsidR="005F78FC" w:rsidRDefault="00B42EF3">
      <w:pPr>
        <w:pStyle w:val="Definition-Field"/>
      </w:pPr>
      <w:r>
        <w:t xml:space="preserve">n.   </w:t>
      </w:r>
      <w:r>
        <w:rPr>
          <w:i/>
        </w:rPr>
        <w:t>The standard doe</w:t>
      </w:r>
      <w:r>
        <w:rPr>
          <w:i/>
        </w:rPr>
        <w:t>s not specify the relationship between the dimensionUniqueName attribute and dimension item in the dimensions collection.</w:t>
      </w:r>
    </w:p>
    <w:p w:rsidR="005F78FC" w:rsidRDefault="00B42EF3">
      <w:pPr>
        <w:pStyle w:val="Definition-Field2"/>
      </w:pPr>
      <w:r>
        <w:t xml:space="preserve">Excel requires that the dimensionUniqueName attribute match the uniqueName attribute of an item in the dimensions collection and must </w:t>
      </w:r>
      <w:r>
        <w:t>be present if the set attribute equals 0, measure=0, and hidden=0.</w:t>
      </w:r>
    </w:p>
    <w:p w:rsidR="005F78FC" w:rsidRDefault="00B42EF3">
      <w:pPr>
        <w:pStyle w:val="Definition-Field"/>
      </w:pPr>
      <w:r>
        <w:t xml:space="preserve">o.   </w:t>
      </w:r>
      <w:r>
        <w:rPr>
          <w:i/>
        </w:rPr>
        <w:t>The standard states that the oneField attribute, when true, indicates this hierarchy is associated with only one field.</w:t>
      </w:r>
    </w:p>
    <w:p w:rsidR="005F78FC" w:rsidRDefault="00B42EF3">
      <w:pPr>
        <w:pStyle w:val="Definition-Field2"/>
      </w:pPr>
      <w:r>
        <w:t>Excel requires that the oneField attribute be written out when t</w:t>
      </w:r>
      <w:r>
        <w:t>he fieldsUsage collection contains one item.</w:t>
      </w:r>
    </w:p>
    <w:p w:rsidR="005F78FC" w:rsidRDefault="00B42EF3">
      <w:pPr>
        <w:pStyle w:val="Definition-Field"/>
      </w:pPr>
      <w:r>
        <w:t xml:space="preserve">p.   </w:t>
      </w:r>
      <w:r>
        <w:rPr>
          <w:i/>
        </w:rPr>
        <w:t>The standard does not specify any dependencies between the measure attribute value and dimensions collection.</w:t>
      </w:r>
    </w:p>
    <w:p w:rsidR="005F78FC" w:rsidRDefault="00B42EF3">
      <w:pPr>
        <w:pStyle w:val="Definition-Field2"/>
      </w:pPr>
      <w:r>
        <w:t>In Excel, if the measure attribute equals 0, the matching dimension shall not have measure=1; if</w:t>
      </w:r>
      <w:r>
        <w:t xml:space="preserve"> the measure attribute equals 1, there shall be at least one dimension with measure=1 if dimensions collection present.</w:t>
      </w:r>
    </w:p>
    <w:p w:rsidR="005F78FC" w:rsidRDefault="00B42EF3">
      <w:pPr>
        <w:pStyle w:val="Heading3"/>
      </w:pPr>
      <w:bookmarkStart w:id="1504" w:name="section_4aff486b66ff4a1ea8529ea51026f79f"/>
      <w:bookmarkStart w:id="1505" w:name="_Toc69878525"/>
      <w:r>
        <w:t>Part 1 Section 18.10.1.7, cacheSource (PivotCache Source Description)</w:t>
      </w:r>
      <w:bookmarkEnd w:id="1504"/>
      <w:bookmarkEnd w:id="1505"/>
      <w:r>
        <w:fldChar w:fldCharType="begin"/>
      </w:r>
      <w:r>
        <w:instrText xml:space="preserve"> XE "cacheSource (PivotCache Source Description)" </w:instrText>
      </w:r>
      <w:r>
        <w:fldChar w:fldCharType="end"/>
      </w:r>
    </w:p>
    <w:p w:rsidR="005F78FC" w:rsidRDefault="00B42EF3">
      <w:pPr>
        <w:pStyle w:val="Definition-Field"/>
      </w:pPr>
      <w:r>
        <w:t xml:space="preserve">a.   </w:t>
      </w:r>
      <w:r>
        <w:rPr>
          <w:i/>
        </w:rPr>
        <w:t xml:space="preserve">The </w:t>
      </w:r>
      <w:r>
        <w:rPr>
          <w:i/>
        </w:rPr>
        <w:t>standard says that data source information is retrieved with the connectionId attribute.</w:t>
      </w:r>
    </w:p>
    <w:p w:rsidR="005F78FC" w:rsidRDefault="00B42EF3">
      <w:pPr>
        <w:pStyle w:val="Definition-Field2"/>
      </w:pPr>
      <w:r>
        <w:t>Office only uses the connectionId attribute for external data sources.</w:t>
      </w:r>
    </w:p>
    <w:p w:rsidR="005F78FC" w:rsidRDefault="00B42EF3">
      <w:pPr>
        <w:pStyle w:val="Definition-Field"/>
      </w:pPr>
      <w:r>
        <w:t xml:space="preserve">b.   </w:t>
      </w:r>
      <w:r>
        <w:rPr>
          <w:i/>
        </w:rPr>
        <w:t>The standard states that the connectionId attribute is the index to the workbook connection</w:t>
      </w:r>
      <w:r>
        <w:rPr>
          <w:i/>
        </w:rPr>
        <w:t>.</w:t>
      </w:r>
    </w:p>
    <w:p w:rsidR="005F78FC" w:rsidRDefault="00B42EF3">
      <w:pPr>
        <w:pStyle w:val="Definition-Field2"/>
      </w:pPr>
      <w:r>
        <w:t>Office requires that the connectionId attribute be the unique ID of the workbook connection.</w:t>
      </w:r>
    </w:p>
    <w:p w:rsidR="005F78FC" w:rsidRDefault="00B42EF3">
      <w:pPr>
        <w:pStyle w:val="Definition-Field"/>
      </w:pPr>
      <w:r>
        <w:t xml:space="preserve">c.   </w:t>
      </w:r>
      <w:r>
        <w:rPr>
          <w:i/>
        </w:rPr>
        <w:t>The standard does not place any restrictions on the value for the connectionId attribute.</w:t>
      </w:r>
    </w:p>
    <w:p w:rsidR="005F78FC" w:rsidRDefault="00B42EF3">
      <w:r>
        <w:t>In Office, the connectionId attribute specifies the unique identif</w:t>
      </w:r>
      <w:r>
        <w:t xml:space="preserve">ier of the workbook connection. When the cache type is set to External, this value shall be greater than 0 and shall be equal to </w:t>
      </w:r>
      <w:r>
        <w:rPr>
          <w:b/>
        </w:rPr>
        <w:t>id</w:t>
      </w:r>
      <w:r>
        <w:t xml:space="preserve"> in one of the </w:t>
      </w:r>
      <w:r>
        <w:rPr>
          <w:b/>
        </w:rPr>
        <w:t>connection</w:t>
      </w:r>
      <w:r>
        <w:t xml:space="preserve"> elements. </w:t>
      </w:r>
    </w:p>
    <w:p w:rsidR="005F78FC" w:rsidRDefault="00B42EF3">
      <w:pPr>
        <w:pStyle w:val="Definition-Field"/>
      </w:pPr>
      <w:r>
        <w:t xml:space="preserve">d.   </w:t>
      </w:r>
      <w:r>
        <w:rPr>
          <w:i/>
        </w:rPr>
        <w:t xml:space="preserve">The standard does not define any required schema based on the value of the type </w:t>
      </w:r>
      <w:r>
        <w:rPr>
          <w:i/>
        </w:rPr>
        <w:t>attribute.</w:t>
      </w:r>
    </w:p>
    <w:p w:rsidR="005F78FC" w:rsidRDefault="00B42EF3">
      <w:pPr>
        <w:pStyle w:val="Definition-Field2"/>
      </w:pPr>
      <w:r>
        <w:t>Office requires that if this value is worksheet, a child element worksheetSource shall be present. If this value is consolidation, a child element consolidation shall be present.</w:t>
      </w:r>
    </w:p>
    <w:p w:rsidR="005F78FC" w:rsidRDefault="00B42EF3">
      <w:pPr>
        <w:pStyle w:val="Heading3"/>
      </w:pPr>
      <w:bookmarkStart w:id="1506" w:name="section_25596798a09d4c18a407e55532fb09f9"/>
      <w:bookmarkStart w:id="1507" w:name="_Toc69878526"/>
      <w:r>
        <w:t>Part 1 Section 18.10.1.8, calculatedItem (Calculated Item)</w:t>
      </w:r>
      <w:bookmarkEnd w:id="1506"/>
      <w:bookmarkEnd w:id="1507"/>
      <w:r>
        <w:fldChar w:fldCharType="begin"/>
      </w:r>
      <w:r>
        <w:instrText xml:space="preserve"> XE "cal</w:instrText>
      </w:r>
      <w:r>
        <w:instrText xml:space="preserve">culatedItem (Calculated Item)" </w:instrText>
      </w:r>
      <w:r>
        <w:fldChar w:fldCharType="end"/>
      </w:r>
    </w:p>
    <w:p w:rsidR="005F78FC" w:rsidRDefault="00B42EF3">
      <w:pPr>
        <w:pStyle w:val="Definition-Field"/>
      </w:pPr>
      <w:r>
        <w:t xml:space="preserve">a.   </w:t>
      </w:r>
      <w:r>
        <w:rPr>
          <w:i/>
        </w:rPr>
        <w:t>The standard does not define restrictions on the value of the field attribute.</w:t>
      </w:r>
    </w:p>
    <w:p w:rsidR="005F78FC" w:rsidRDefault="00B42EF3">
      <w:pPr>
        <w:pStyle w:val="Definition-Field2"/>
      </w:pPr>
      <w:r>
        <w:t>Office requires that the max value of the field attribute be less than the count of cacheField elements.</w:t>
      </w:r>
    </w:p>
    <w:p w:rsidR="005F78FC" w:rsidRDefault="00B42EF3">
      <w:pPr>
        <w:pStyle w:val="Definition-Field"/>
      </w:pPr>
      <w:r>
        <w:t xml:space="preserve">b.   </w:t>
      </w:r>
      <w:r>
        <w:rPr>
          <w:i/>
        </w:rPr>
        <w:t>The standard does not specif</w:t>
      </w:r>
      <w:r>
        <w:rPr>
          <w:i/>
        </w:rPr>
        <w:t>y usage of child pivotArea element.</w:t>
      </w:r>
    </w:p>
    <w:p w:rsidR="005F78FC" w:rsidRDefault="00B42EF3">
      <w:pPr>
        <w:pStyle w:val="Definition-Field2"/>
      </w:pPr>
      <w:r>
        <w:t>In Office, pivotArea child element is used to specify cells to which the formula attributes apply.</w:t>
      </w:r>
    </w:p>
    <w:p w:rsidR="005F78FC" w:rsidRDefault="00B42EF3">
      <w:pPr>
        <w:pStyle w:val="Definition-Field"/>
      </w:pPr>
      <w:r>
        <w:t xml:space="preserve">c.   </w:t>
      </w:r>
      <w:r>
        <w:rPr>
          <w:i/>
        </w:rPr>
        <w:t>The standard does not place any restrictions on the value for the formula attribute.</w:t>
      </w:r>
    </w:p>
    <w:p w:rsidR="005F78FC" w:rsidRDefault="00B42EF3">
      <w:pPr>
        <w:pStyle w:val="Definition-Field2"/>
      </w:pPr>
      <w:r>
        <w:lastRenderedPageBreak/>
        <w:t>Office restricts the value of t</w:t>
      </w:r>
      <w:r>
        <w:t>he formula attribute to be a Calculated Item Formula, as defined in Formulas ("</w:t>
      </w:r>
      <w:hyperlink r:id="rId132">
        <w:r>
          <w:rPr>
            <w:rStyle w:val="Hyperlink"/>
          </w:rPr>
          <w:t>[ISO/IEC-29500-1]</w:t>
        </w:r>
      </w:hyperlink>
      <w:r>
        <w:t xml:space="preserve"> §18.17").</w:t>
      </w:r>
    </w:p>
    <w:p w:rsidR="005F78FC" w:rsidRDefault="00B42EF3">
      <w:pPr>
        <w:pStyle w:val="Definition-Field"/>
      </w:pPr>
      <w:r>
        <w:t xml:space="preserve">d.   </w:t>
      </w:r>
      <w:r>
        <w:rPr>
          <w:i/>
        </w:rPr>
        <w:t>The standard specifies that the field attribute indicates an index of the pivo</w:t>
      </w:r>
      <w:r>
        <w:rPr>
          <w:i/>
        </w:rPr>
        <w:t>tField with which this calculated item is associated.</w:t>
      </w:r>
    </w:p>
    <w:p w:rsidR="005F78FC" w:rsidRDefault="00B42EF3">
      <w:pPr>
        <w:pStyle w:val="Definition-Field2"/>
      </w:pPr>
      <w:r>
        <w:t>Office interprets the field attribute to specify an index of the cacheField with which this calculated item is associated.</w:t>
      </w:r>
    </w:p>
    <w:p w:rsidR="005F78FC" w:rsidRDefault="00B42EF3">
      <w:pPr>
        <w:pStyle w:val="Heading3"/>
      </w:pPr>
      <w:bookmarkStart w:id="1508" w:name="section_6e081fece42441c1be2e8f97ec01cf18"/>
      <w:bookmarkStart w:id="1509" w:name="_Toc69878527"/>
      <w:r>
        <w:t>Part 1 Section 18.10.1.10, calculatedMember (Calculated Member)</w:t>
      </w:r>
      <w:bookmarkEnd w:id="1508"/>
      <w:bookmarkEnd w:id="1509"/>
      <w:r>
        <w:fldChar w:fldCharType="begin"/>
      </w:r>
      <w:r>
        <w:instrText xml:space="preserve"> XE "calculatedM</w:instrText>
      </w:r>
      <w:r>
        <w:instrText xml:space="preserve">ember (Calculated Member)" </w:instrText>
      </w:r>
      <w:r>
        <w:fldChar w:fldCharType="end"/>
      </w:r>
    </w:p>
    <w:p w:rsidR="005F78FC" w:rsidRDefault="00B42EF3">
      <w:pPr>
        <w:pStyle w:val="Definition-Field"/>
      </w:pPr>
      <w:r>
        <w:t xml:space="preserve">a.   </w:t>
      </w:r>
      <w:r>
        <w:rPr>
          <w:i/>
        </w:rPr>
        <w:t>The standard discusses calculatedMember in the context of calculated OLAP hierarchies only.</w:t>
      </w:r>
    </w:p>
    <w:p w:rsidR="005F78FC" w:rsidRDefault="00B42EF3">
      <w:pPr>
        <w:pStyle w:val="Definition-Field2"/>
      </w:pPr>
      <w:r>
        <w:t>In Office, the calculatedMember element can also be used to represent a named set.</w:t>
      </w:r>
    </w:p>
    <w:p w:rsidR="005F78FC" w:rsidRDefault="00B42EF3">
      <w:pPr>
        <w:pStyle w:val="Definition-Field"/>
      </w:pPr>
      <w:r>
        <w:t xml:space="preserve">b.   </w:t>
      </w:r>
      <w:r>
        <w:rPr>
          <w:i/>
        </w:rPr>
        <w:t>The standard does not have a length restr</w:t>
      </w:r>
      <w:r>
        <w:rPr>
          <w:i/>
        </w:rPr>
        <w:t>iction for the name attribute.</w:t>
      </w:r>
    </w:p>
    <w:p w:rsidR="005F78FC" w:rsidRDefault="00B42EF3">
      <w:pPr>
        <w:pStyle w:val="Definition-Field2"/>
      </w:pPr>
      <w:r>
        <w:t>Office limits the name attribute to being non-empty and less than 64000 characters.</w:t>
      </w:r>
    </w:p>
    <w:p w:rsidR="005F78FC" w:rsidRDefault="00B42EF3">
      <w:pPr>
        <w:pStyle w:val="Definition-Field"/>
      </w:pPr>
      <w:r>
        <w:t xml:space="preserve">c.   </w:t>
      </w:r>
      <w:r>
        <w:rPr>
          <w:i/>
        </w:rPr>
        <w:t>The standard does not specify a length restriction for the mdx attribute.</w:t>
      </w:r>
    </w:p>
    <w:p w:rsidR="005F78FC" w:rsidRDefault="00B42EF3">
      <w:pPr>
        <w:pStyle w:val="Definition-Field2"/>
      </w:pPr>
      <w:r>
        <w:t>Office limits the mdx attribute to being non-empty; if the cre</w:t>
      </w:r>
      <w:r>
        <w:t>atedVersion attribute of the pivotCacheDefinition is less than 3, the mdx attribute max length is less than 2049, otherwise it is 32767.</w:t>
      </w:r>
    </w:p>
    <w:p w:rsidR="005F78FC" w:rsidRDefault="00B42EF3">
      <w:pPr>
        <w:pStyle w:val="Definition-Field"/>
      </w:pPr>
      <w:r>
        <w:t xml:space="preserve">d.   </w:t>
      </w:r>
      <w:r>
        <w:rPr>
          <w:i/>
        </w:rPr>
        <w:t>The standard states that calculated items cannot be added.</w:t>
      </w:r>
    </w:p>
    <w:p w:rsidR="005F78FC" w:rsidRDefault="00B42EF3">
      <w:pPr>
        <w:pStyle w:val="Definition-Field2"/>
      </w:pPr>
      <w:r>
        <w:t>Office does allow the addition of calculated items.</w:t>
      </w:r>
    </w:p>
    <w:p w:rsidR="005F78FC" w:rsidRDefault="00B42EF3">
      <w:pPr>
        <w:pStyle w:val="Definition-Field"/>
      </w:pPr>
      <w:r>
        <w:t xml:space="preserve">e. </w:t>
      </w:r>
      <w:r>
        <w:t xml:space="preserve">  </w:t>
      </w:r>
      <w:r>
        <w:rPr>
          <w:i/>
        </w:rPr>
        <w:t>The standard does not limit the length of the value of the memberName attribute.</w:t>
      </w:r>
    </w:p>
    <w:p w:rsidR="005F78FC" w:rsidRDefault="00B42EF3">
      <w:pPr>
        <w:pStyle w:val="Definition-Field2"/>
      </w:pPr>
      <w:r>
        <w:t>Excel restricts the value of this attribute to be at least 1 and at most 65535 characters.</w:t>
      </w:r>
    </w:p>
    <w:p w:rsidR="005F78FC" w:rsidRDefault="00B42EF3">
      <w:pPr>
        <w:pStyle w:val="Definition-Field"/>
      </w:pPr>
      <w:r>
        <w:t xml:space="preserve">f.   </w:t>
      </w:r>
      <w:r>
        <w:rPr>
          <w:i/>
        </w:rPr>
        <w:t xml:space="preserve">The standard does not limit the length of the value of the hierarchy </w:t>
      </w:r>
      <w:r>
        <w:rPr>
          <w:i/>
        </w:rPr>
        <w:t>attribute.</w:t>
      </w:r>
    </w:p>
    <w:p w:rsidR="005F78FC" w:rsidRDefault="00B42EF3">
      <w:pPr>
        <w:pStyle w:val="Definition-Field2"/>
      </w:pPr>
      <w:r>
        <w:t>Excel restricts the value of this attribute to be at least 1 and at most 65535 characters.</w:t>
      </w:r>
    </w:p>
    <w:p w:rsidR="005F78FC" w:rsidRDefault="00B42EF3">
      <w:pPr>
        <w:pStyle w:val="Definition-Field"/>
      </w:pPr>
      <w:r>
        <w:t xml:space="preserve">g.   </w:t>
      </w:r>
      <w:r>
        <w:rPr>
          <w:i/>
        </w:rPr>
        <w:t>The standard does not limit the length of the value of the parent attribute.</w:t>
      </w:r>
    </w:p>
    <w:p w:rsidR="005F78FC" w:rsidRDefault="00B42EF3">
      <w:pPr>
        <w:pStyle w:val="Definition-Field2"/>
      </w:pPr>
      <w:r>
        <w:t>Excel restricts the value of this attribute to be at least 1 and at most</w:t>
      </w:r>
      <w:r>
        <w:t xml:space="preserve"> 65535 characters.</w:t>
      </w:r>
    </w:p>
    <w:p w:rsidR="005F78FC" w:rsidRDefault="00B42EF3">
      <w:pPr>
        <w:pStyle w:val="Definition-Field"/>
      </w:pPr>
      <w:r>
        <w:t xml:space="preserve">h.   </w:t>
      </w:r>
      <w:r>
        <w:rPr>
          <w:i/>
        </w:rPr>
        <w:t>The standard does not specify a dependency of the memberName attribute on the set attribute.</w:t>
      </w:r>
    </w:p>
    <w:p w:rsidR="005F78FC" w:rsidRDefault="00B42EF3">
      <w:pPr>
        <w:pStyle w:val="Definition-Field2"/>
      </w:pPr>
      <w:r>
        <w:t>Office requires that the memberName attribute shall be specified if the set attribute equals 0; it shall not be specified if the set attrib</w:t>
      </w:r>
      <w:r>
        <w:t>ute equals 1.</w:t>
      </w:r>
    </w:p>
    <w:p w:rsidR="005F78FC" w:rsidRDefault="00B42EF3">
      <w:pPr>
        <w:pStyle w:val="Definition-Field"/>
      </w:pPr>
      <w:r>
        <w:t xml:space="preserve">i.   </w:t>
      </w:r>
      <w:r>
        <w:rPr>
          <w:i/>
        </w:rPr>
        <w:t>The standard does not specify a dependency of the hierarchy attribute on the set attribute.</w:t>
      </w:r>
    </w:p>
    <w:p w:rsidR="005F78FC" w:rsidRDefault="00B42EF3">
      <w:pPr>
        <w:pStyle w:val="Definition-Field2"/>
      </w:pPr>
      <w:r>
        <w:t>Office requires that the hierarchy attribute shall be specified if the set attribute equals 0; it shall not be specified if the set attribute equ</w:t>
      </w:r>
      <w:r>
        <w:t>als 1.</w:t>
      </w:r>
    </w:p>
    <w:p w:rsidR="005F78FC" w:rsidRDefault="00B42EF3">
      <w:pPr>
        <w:pStyle w:val="Definition-Field"/>
      </w:pPr>
      <w:r>
        <w:t xml:space="preserve">j.   </w:t>
      </w:r>
      <w:r>
        <w:rPr>
          <w:i/>
        </w:rPr>
        <w:t>The standard does not specify a dependency between the parent attribute and the set attribute.</w:t>
      </w:r>
    </w:p>
    <w:p w:rsidR="005F78FC" w:rsidRDefault="00B42EF3">
      <w:pPr>
        <w:pStyle w:val="Definition-Field2"/>
      </w:pPr>
      <w:r>
        <w:t>Office requires that the parent attribute shall not be specified if the set attribute equals 1.</w:t>
      </w:r>
    </w:p>
    <w:p w:rsidR="005F78FC" w:rsidRDefault="00B42EF3">
      <w:pPr>
        <w:pStyle w:val="Heading3"/>
      </w:pPr>
      <w:bookmarkStart w:id="1510" w:name="section_9e183000e99d4de69b77a628dda03422"/>
      <w:bookmarkStart w:id="1511" w:name="_Toc69878528"/>
      <w:r>
        <w:t>Part 1 Section 18.10.1.12, chartFormat (PivotChart Fo</w:t>
      </w:r>
      <w:r>
        <w:t>rmat)</w:t>
      </w:r>
      <w:bookmarkEnd w:id="1510"/>
      <w:bookmarkEnd w:id="1511"/>
      <w:r>
        <w:fldChar w:fldCharType="begin"/>
      </w:r>
      <w:r>
        <w:instrText xml:space="preserve"> XE "chartFormat (PivotChart Format)" </w:instrText>
      </w:r>
      <w:r>
        <w:fldChar w:fldCharType="end"/>
      </w:r>
    </w:p>
    <w:p w:rsidR="005F78FC" w:rsidRDefault="00B42EF3">
      <w:pPr>
        <w:pStyle w:val="Definition-Field"/>
      </w:pPr>
      <w:r>
        <w:t xml:space="preserve">a.   </w:t>
      </w:r>
      <w:r>
        <w:rPr>
          <w:i/>
        </w:rPr>
        <w:t>The standard states that the format attribute specifies an index to a dxf element in the Styles part.</w:t>
      </w:r>
    </w:p>
    <w:p w:rsidR="005F78FC" w:rsidRDefault="00B42EF3">
      <w:pPr>
        <w:pStyle w:val="Definition-Field2"/>
      </w:pPr>
      <w:r>
        <w:t>Office uses the format attribute to specify an index to a pivotFmt element in the Chart part.</w:t>
      </w:r>
    </w:p>
    <w:p w:rsidR="005F78FC" w:rsidRDefault="00B42EF3">
      <w:pPr>
        <w:pStyle w:val="Heading3"/>
      </w:pPr>
      <w:bookmarkStart w:id="1512" w:name="section_751c37c0b03a4a0ab471094850b9faab"/>
      <w:bookmarkStart w:id="1513" w:name="_Toc69878529"/>
      <w:r>
        <w:lastRenderedPageBreak/>
        <w:t>Part 1 Section 18.10.1.15, colHierarchiesUsage (Column OLAP Hierarchy References)</w:t>
      </w:r>
      <w:bookmarkEnd w:id="1512"/>
      <w:bookmarkEnd w:id="1513"/>
      <w:r>
        <w:fldChar w:fldCharType="begin"/>
      </w:r>
      <w:r>
        <w:instrText xml:space="preserve"> XE "colHierarchiesUsage (Column OLAP Hierarchy References)" </w:instrText>
      </w:r>
      <w:r>
        <w:fldChar w:fldCharType="end"/>
      </w:r>
    </w:p>
    <w:p w:rsidR="005F78FC" w:rsidRDefault="00B42EF3">
      <w:pPr>
        <w:pStyle w:val="Definition-Field"/>
      </w:pPr>
      <w:r>
        <w:t xml:space="preserve">a.   </w:t>
      </w:r>
      <w:r>
        <w:rPr>
          <w:i/>
        </w:rPr>
        <w:t>The standard states that the maxOccurs value for the colHierarchyUsage child element is unbounded.</w:t>
      </w:r>
    </w:p>
    <w:p w:rsidR="005F78FC" w:rsidRDefault="00B42EF3">
      <w:pPr>
        <w:pStyle w:val="Definition-Field2"/>
      </w:pPr>
      <w:r>
        <w:t>Excel l</w:t>
      </w:r>
      <w:r>
        <w:t>imits the occurrences of this element to 16384.</w:t>
      </w:r>
    </w:p>
    <w:p w:rsidR="005F78FC" w:rsidRDefault="00B42EF3">
      <w:pPr>
        <w:pStyle w:val="Heading3"/>
      </w:pPr>
      <w:bookmarkStart w:id="1514" w:name="section_af9607e8ee2e46b1b90f57aea205bec7"/>
      <w:bookmarkStart w:id="1515" w:name="_Toc69878530"/>
      <w:r>
        <w:t>Part 1 Section 18.10.1.16, colHierarchyUsage (Column OLAP Hierarchies)</w:t>
      </w:r>
      <w:bookmarkEnd w:id="1514"/>
      <w:bookmarkEnd w:id="1515"/>
      <w:r>
        <w:fldChar w:fldCharType="begin"/>
      </w:r>
      <w:r>
        <w:instrText xml:space="preserve"> XE "colHierarchyUsage (Column OLAP Hierarchies)" </w:instrText>
      </w:r>
      <w:r>
        <w:fldChar w:fldCharType="end"/>
      </w:r>
    </w:p>
    <w:p w:rsidR="005F78FC" w:rsidRDefault="00B42EF3">
      <w:pPr>
        <w:pStyle w:val="Definition-Field2"/>
      </w:pPr>
      <w:r>
        <w:rPr>
          <w:i/>
        </w:rPr>
        <w:t>For additional notes that apply to this portion of the standard, please see the notes</w:t>
      </w:r>
      <w:r>
        <w:rPr>
          <w:i/>
        </w:rPr>
        <w:t xml:space="preserve"> for </w:t>
      </w:r>
      <w:hyperlink w:anchor="Section_506e2fc983ba464099f6ef157679b97d">
        <w:r>
          <w:rPr>
            <w:rStyle w:val="Hyperlink"/>
          </w:rPr>
          <w:t>rowHierarchyUsage, §18.10.1.83(a, b)</w:t>
        </w:r>
      </w:hyperlink>
      <w:r>
        <w:rPr>
          <w:i/>
        </w:rPr>
        <w:t>.</w:t>
      </w:r>
    </w:p>
    <w:p w:rsidR="005F78FC" w:rsidRDefault="00B42EF3">
      <w:pPr>
        <w:pStyle w:val="Heading3"/>
      </w:pPr>
      <w:bookmarkStart w:id="1516" w:name="section_857d7ed2fdba4c2a9f3c33a6229a342d"/>
      <w:bookmarkStart w:id="1517" w:name="_Toc69878531"/>
      <w:r>
        <w:t>Part 1 Section 18.10.1.17, colItems (Column Items)</w:t>
      </w:r>
      <w:bookmarkEnd w:id="1516"/>
      <w:bookmarkEnd w:id="1517"/>
      <w:r>
        <w:fldChar w:fldCharType="begin"/>
      </w:r>
      <w:r>
        <w:instrText xml:space="preserve"> XE "colItems (Column Items)" </w:instrText>
      </w:r>
      <w:r>
        <w:fldChar w:fldCharType="end"/>
      </w:r>
    </w:p>
    <w:p w:rsidR="005F78FC" w:rsidRDefault="00B42EF3">
      <w:pPr>
        <w:pStyle w:val="Definition-Field"/>
      </w:pPr>
      <w:r>
        <w:t xml:space="preserve">a.   </w:t>
      </w:r>
      <w:r>
        <w:rPr>
          <w:i/>
        </w:rPr>
        <w:t>The standard states that the maxOccurs value for the i child e</w:t>
      </w:r>
      <w:r>
        <w:rPr>
          <w:i/>
        </w:rPr>
        <w:t>lement is unbounded.</w:t>
      </w:r>
    </w:p>
    <w:p w:rsidR="005F78FC" w:rsidRDefault="00B42EF3">
      <w:pPr>
        <w:pStyle w:val="Definition-Field2"/>
      </w:pPr>
      <w:r>
        <w:t>Excel limits the occurrences of this element to 1048576.</w:t>
      </w:r>
    </w:p>
    <w:p w:rsidR="005F78FC" w:rsidRDefault="00B42EF3">
      <w:pPr>
        <w:pStyle w:val="Heading3"/>
      </w:pPr>
      <w:bookmarkStart w:id="1518" w:name="section_70202dcd0bd140e1ab4ef468dd42dc0e"/>
      <w:bookmarkStart w:id="1519" w:name="_Toc69878532"/>
      <w:r>
        <w:t>Part 1 Section 18.10.1.18, conditionalFormat (Conditional Formatting)</w:t>
      </w:r>
      <w:bookmarkEnd w:id="1518"/>
      <w:bookmarkEnd w:id="1519"/>
      <w:r>
        <w:fldChar w:fldCharType="begin"/>
      </w:r>
      <w:r>
        <w:instrText xml:space="preserve"> XE "conditionalFormat (Conditional Formatting)" </w:instrText>
      </w:r>
      <w:r>
        <w:fldChar w:fldCharType="end"/>
      </w:r>
    </w:p>
    <w:p w:rsidR="005F78FC" w:rsidRDefault="00B42EF3">
      <w:pPr>
        <w:pStyle w:val="Definition-Field"/>
      </w:pPr>
      <w:r>
        <w:t xml:space="preserve">a.   </w:t>
      </w:r>
      <w:r>
        <w:rPr>
          <w:i/>
        </w:rPr>
        <w:t xml:space="preserve">The standard does not state the relationship of the </w:t>
      </w:r>
      <w:r>
        <w:rPr>
          <w:i/>
        </w:rPr>
        <w:t>priority attribute to the worksheet cfRule element.</w:t>
      </w:r>
    </w:p>
    <w:p w:rsidR="005F78FC" w:rsidRDefault="00B42EF3">
      <w:pPr>
        <w:pStyle w:val="Definition-Field2"/>
      </w:pPr>
      <w:r>
        <w:t>In Office, there shall be a conditionalFormatting element, in the worksheet part associated with this PivotTable, with the pivot attribute equal to true and a cfRule element with the priority attribute eq</w:t>
      </w:r>
      <w:r>
        <w:t>ual to this priority value.</w:t>
      </w:r>
    </w:p>
    <w:p w:rsidR="005F78FC" w:rsidRDefault="00B42EF3">
      <w:pPr>
        <w:pStyle w:val="Definition-Field"/>
      </w:pPr>
      <w:r>
        <w:t xml:space="preserve">b.   </w:t>
      </w:r>
      <w:r>
        <w:rPr>
          <w:i/>
        </w:rPr>
        <w:t>The standard does not place any restriction on the relationship between the values of the scope attribute and the type attribute.</w:t>
      </w:r>
    </w:p>
    <w:p w:rsidR="005F78FC" w:rsidRDefault="00B42EF3">
      <w:pPr>
        <w:pStyle w:val="Definition-Field2"/>
      </w:pPr>
      <w:r>
        <w:t>In Office, when the scope attribute equals data or selection, only the values all or none are</w:t>
      </w:r>
      <w:r>
        <w:t xml:space="preserve"> allowed for the type attribute.</w:t>
      </w:r>
    </w:p>
    <w:p w:rsidR="005F78FC" w:rsidRDefault="00B42EF3">
      <w:pPr>
        <w:pStyle w:val="Heading3"/>
      </w:pPr>
      <w:bookmarkStart w:id="1520" w:name="section_11e2ac2dcf0a4db3b3f69bfae45fbce6"/>
      <w:bookmarkStart w:id="1521" w:name="_Toc69878533"/>
      <w:r>
        <w:t>Part 1 Section 18.10.1.21, d (Date Time)</w:t>
      </w:r>
      <w:bookmarkEnd w:id="1520"/>
      <w:bookmarkEnd w:id="1521"/>
      <w:r>
        <w:fldChar w:fldCharType="begin"/>
      </w:r>
      <w:r>
        <w:instrText xml:space="preserve"> XE "d (Date Time)" </w:instrText>
      </w:r>
      <w:r>
        <w:fldChar w:fldCharType="end"/>
      </w:r>
    </w:p>
    <w:p w:rsidR="005F78FC" w:rsidRDefault="00B42EF3">
      <w:pPr>
        <w:pStyle w:val="Definition-Field"/>
      </w:pPr>
      <w:r>
        <w:t xml:space="preserve">a.   </w:t>
      </w:r>
      <w:r>
        <w:rPr>
          <w:i/>
        </w:rPr>
        <w:t>The standard does not specify a default value for the u attribute.</w:t>
      </w:r>
    </w:p>
    <w:p w:rsidR="005F78FC" w:rsidRDefault="00B42EF3">
      <w:pPr>
        <w:pStyle w:val="Definition-Field2"/>
      </w:pPr>
      <w:r>
        <w:t>Excel uses a default value of false for this attribute.</w:t>
      </w:r>
    </w:p>
    <w:p w:rsidR="005F78FC" w:rsidRDefault="00B42EF3">
      <w:pPr>
        <w:pStyle w:val="Definition-Field"/>
      </w:pPr>
      <w:r>
        <w:t xml:space="preserve">b.   </w:t>
      </w:r>
      <w:r>
        <w:rPr>
          <w:i/>
        </w:rPr>
        <w:t xml:space="preserve">The standard does not </w:t>
      </w:r>
      <w:r>
        <w:rPr>
          <w:i/>
        </w:rPr>
        <w:t>specify a default value for the f attribute.</w:t>
      </w:r>
    </w:p>
    <w:p w:rsidR="005F78FC" w:rsidRDefault="00B42EF3">
      <w:pPr>
        <w:pStyle w:val="Definition-Field2"/>
      </w:pPr>
      <w:r>
        <w:t>Excel uses a default value of false for this attribute.</w:t>
      </w:r>
    </w:p>
    <w:p w:rsidR="005F78FC" w:rsidRDefault="00B42EF3">
      <w:pPr>
        <w:pStyle w:val="Definition-Field"/>
      </w:pPr>
      <w:r>
        <w:t xml:space="preserve">c.   </w:t>
      </w:r>
      <w:r>
        <w:rPr>
          <w:i/>
        </w:rPr>
        <w:t>The standard does not limit the length of the value of the c attribute.</w:t>
      </w:r>
    </w:p>
    <w:p w:rsidR="005F78FC" w:rsidRDefault="00B42EF3">
      <w:pPr>
        <w:pStyle w:val="Definition-Field2"/>
      </w:pPr>
      <w:r>
        <w:t>Excel restricts the value of this attribute to be at most 65535 characters.</w:t>
      </w:r>
    </w:p>
    <w:p w:rsidR="005F78FC" w:rsidRDefault="00B42EF3">
      <w:pPr>
        <w:pStyle w:val="Definition-Field"/>
      </w:pPr>
      <w:r>
        <w:t>d.</w:t>
      </w:r>
      <w:r>
        <w:t xml:space="preserve">   </w:t>
      </w:r>
      <w:r>
        <w:rPr>
          <w:i/>
        </w:rPr>
        <w:t>The standard does not define @c's relation with the datasource type.</w:t>
      </w:r>
    </w:p>
    <w:p w:rsidR="005F78FC" w:rsidRDefault="00B42EF3">
      <w:pPr>
        <w:pStyle w:val="Definition-Field2"/>
      </w:pPr>
      <w:r>
        <w:t>In Office, @c applies only to OLAP-based PivotTables and only when pivotCacheDefinition@createdVersion is 3 or greater.</w:t>
      </w:r>
    </w:p>
    <w:p w:rsidR="005F78FC" w:rsidRDefault="00B42EF3">
      <w:pPr>
        <w:pStyle w:val="Definition-Field"/>
      </w:pPr>
      <w:r>
        <w:t xml:space="preserve">e.   </w:t>
      </w:r>
      <w:r>
        <w:rPr>
          <w:i/>
        </w:rPr>
        <w:t>The standard does not define the relationship between the c</w:t>
      </w:r>
      <w:r>
        <w:rPr>
          <w:i/>
        </w:rPr>
        <w:t>p attribute and the datasource type.</w:t>
      </w:r>
    </w:p>
    <w:p w:rsidR="005F78FC" w:rsidRDefault="00B42EF3">
      <w:pPr>
        <w:pStyle w:val="Definition-Field2"/>
      </w:pPr>
      <w:r>
        <w:t>In Office, the cp attribute applies to OLAP-based PivotTables only.</w:t>
      </w:r>
    </w:p>
    <w:p w:rsidR="005F78FC" w:rsidRDefault="00B42EF3">
      <w:pPr>
        <w:pStyle w:val="Definition-Field"/>
      </w:pPr>
      <w:r>
        <w:t xml:space="preserve">f.   </w:t>
      </w:r>
      <w:r>
        <w:rPr>
          <w:i/>
        </w:rPr>
        <w:t>The standard does not define the relation between the cp attribute and the sharedItems parent.</w:t>
      </w:r>
    </w:p>
    <w:p w:rsidR="005F78FC" w:rsidRDefault="00B42EF3">
      <w:pPr>
        <w:pStyle w:val="Definition-Field2"/>
      </w:pPr>
      <w:r>
        <w:lastRenderedPageBreak/>
        <w:t>In Office, the cp attribute applies when the parent</w:t>
      </w:r>
      <w:r>
        <w:t xml:space="preserve"> is sharedItems.</w:t>
      </w:r>
    </w:p>
    <w:p w:rsidR="005F78FC" w:rsidRDefault="00B42EF3">
      <w:pPr>
        <w:pStyle w:val="Definition-Field"/>
      </w:pPr>
      <w:r>
        <w:t xml:space="preserve">g.   </w:t>
      </w:r>
      <w:r>
        <w:rPr>
          <w:i/>
        </w:rPr>
        <w:t>The standard does not define the relation between @f and the sharedItems parent.</w:t>
      </w:r>
    </w:p>
    <w:p w:rsidR="005F78FC" w:rsidRDefault="00B42EF3">
      <w:pPr>
        <w:pStyle w:val="Definition-Field2"/>
      </w:pPr>
      <w:r>
        <w:t>In Office, @f applies when the parent is sharedItems.</w:t>
      </w:r>
    </w:p>
    <w:p w:rsidR="005F78FC" w:rsidRDefault="00B42EF3">
      <w:pPr>
        <w:pStyle w:val="Definition-Field"/>
      </w:pPr>
      <w:r>
        <w:t xml:space="preserve">h.   </w:t>
      </w:r>
      <w:r>
        <w:rPr>
          <w:i/>
        </w:rPr>
        <w:t>The standard does not define restrictions on the value of @cp.</w:t>
      </w:r>
    </w:p>
    <w:p w:rsidR="005F78FC" w:rsidRDefault="00B42EF3">
      <w:pPr>
        <w:pStyle w:val="Definition-Field2"/>
      </w:pPr>
      <w:r>
        <w:t>In Excel, @cp shall be equal to</w:t>
      </w:r>
      <w:r>
        <w:t xml:space="preserve"> the count of child x elements and be less than or equal to the @mappingCount of the corresponding cacheField element.</w:t>
      </w:r>
    </w:p>
    <w:p w:rsidR="005F78FC" w:rsidRDefault="00B42EF3">
      <w:pPr>
        <w:pStyle w:val="Definition-Field"/>
      </w:pPr>
      <w:r>
        <w:t xml:space="preserve">i.   </w:t>
      </w:r>
      <w:r>
        <w:rPr>
          <w:i/>
        </w:rPr>
        <w:t>The standard does not define the relation between @u and the sharedItems parent.</w:t>
      </w:r>
    </w:p>
    <w:p w:rsidR="005F78FC" w:rsidRDefault="00B42EF3">
      <w:pPr>
        <w:pStyle w:val="Definition-Field2"/>
      </w:pPr>
      <w:r>
        <w:t>In Excel, @u applies when the parent is sharedItems</w:t>
      </w:r>
      <w:r>
        <w:t>.</w:t>
      </w:r>
    </w:p>
    <w:p w:rsidR="005F78FC" w:rsidRDefault="00B42EF3">
      <w:pPr>
        <w:pStyle w:val="Heading3"/>
      </w:pPr>
      <w:bookmarkStart w:id="1522" w:name="section_0736556bddde42e4ba5940410c5735c2"/>
      <w:bookmarkStart w:id="1523" w:name="_Toc69878534"/>
      <w:r>
        <w:t>Part 1 Section 18.10.1.22, dataField (Data Field Item)</w:t>
      </w:r>
      <w:bookmarkEnd w:id="1522"/>
      <w:bookmarkEnd w:id="1523"/>
      <w:r>
        <w:fldChar w:fldCharType="begin"/>
      </w:r>
      <w:r>
        <w:instrText xml:space="preserve"> XE "dataField (Data Field Item)" </w:instrText>
      </w:r>
      <w:r>
        <w:fldChar w:fldCharType="end"/>
      </w:r>
    </w:p>
    <w:p w:rsidR="005F78FC" w:rsidRDefault="00B42EF3">
      <w:pPr>
        <w:pStyle w:val="Definition-Field"/>
      </w:pPr>
      <w:r>
        <w:t xml:space="preserve">a.   </w:t>
      </w:r>
      <w:r>
        <w:rPr>
          <w:i/>
        </w:rPr>
        <w:t>The standard does not specify length restrictions for the name attribute.</w:t>
      </w:r>
    </w:p>
    <w:p w:rsidR="005F78FC" w:rsidRDefault="00B42EF3">
      <w:pPr>
        <w:pStyle w:val="Definition-Field2"/>
      </w:pPr>
      <w:r>
        <w:t xml:space="preserve">Office specifies the maximum length of the name attribute shall be 32767, unless </w:t>
      </w:r>
      <w:r>
        <w:t>pivotTableDefinition@createdVersion is less than 3 in which case the maximum shall be 255.</w:t>
      </w:r>
    </w:p>
    <w:p w:rsidR="005F78FC" w:rsidRDefault="00B42EF3">
      <w:pPr>
        <w:pStyle w:val="Definition-Field"/>
      </w:pPr>
      <w:r>
        <w:t xml:space="preserve">b.   </w:t>
      </w:r>
      <w:r>
        <w:rPr>
          <w:i/>
        </w:rPr>
        <w:t>The standard states the fld attribute specifies the index to the field in the pivotCacheRecords part that this data item summarizes.</w:t>
      </w:r>
    </w:p>
    <w:p w:rsidR="005F78FC" w:rsidRDefault="00B42EF3">
      <w:pPr>
        <w:pStyle w:val="Definition-Field2"/>
      </w:pPr>
      <w:r>
        <w:t>In Office, the fld attribut</w:t>
      </w:r>
      <w:r>
        <w:t>e specifies a valid index into the pivotField elements of the pivotFields.</w:t>
      </w:r>
    </w:p>
    <w:p w:rsidR="005F78FC" w:rsidRDefault="00B42EF3">
      <w:pPr>
        <w:pStyle w:val="Definition-Field"/>
      </w:pPr>
      <w:r>
        <w:t xml:space="preserve">c.   </w:t>
      </w:r>
      <w:r>
        <w:rPr>
          <w:i/>
        </w:rPr>
        <w:t>The standard for @showDataAs has a note about cell formatting.</w:t>
      </w:r>
    </w:p>
    <w:p w:rsidR="005F78FC" w:rsidRDefault="00B42EF3">
      <w:pPr>
        <w:pStyle w:val="Definition-Field2"/>
      </w:pPr>
      <w:r>
        <w:t>Office for @showDataAs uses the ST_ShowDataAs definition to determine how the dataField should be used rather tha</w:t>
      </w:r>
      <w:r>
        <w:t>n the note direction.</w:t>
      </w:r>
    </w:p>
    <w:p w:rsidR="005F78FC" w:rsidRDefault="00B42EF3">
      <w:pPr>
        <w:pStyle w:val="Definition-Field"/>
      </w:pPr>
      <w:r>
        <w:t xml:space="preserve">d.   </w:t>
      </w:r>
      <w:r>
        <w:rPr>
          <w:i/>
        </w:rPr>
        <w:t>The standard does not define a default behavior for the numFmtId attribute.</w:t>
      </w:r>
    </w:p>
    <w:p w:rsidR="005F78FC" w:rsidRDefault="00B42EF3">
      <w:pPr>
        <w:pStyle w:val="Definition-Field2"/>
      </w:pPr>
      <w:r>
        <w:t>Office assumes the application uses a default format if the numFmtId attribute is not present.</w:t>
      </w:r>
    </w:p>
    <w:p w:rsidR="005F78FC" w:rsidRDefault="00B42EF3">
      <w:pPr>
        <w:pStyle w:val="Definition-Field"/>
      </w:pPr>
      <w:r>
        <w:t xml:space="preserve">e.   </w:t>
      </w:r>
      <w:r>
        <w:rPr>
          <w:i/>
        </w:rPr>
        <w:t>The standard does not specify restrictions for the ba</w:t>
      </w:r>
      <w:r>
        <w:rPr>
          <w:i/>
        </w:rPr>
        <w:t>seField attribute.</w:t>
      </w:r>
    </w:p>
    <w:p w:rsidR="005F78FC" w:rsidRDefault="00B42EF3">
      <w:pPr>
        <w:pStyle w:val="Definition-Field2"/>
      </w:pPr>
      <w:r>
        <w:t>In Office, if the showDataAs attribute is difference, percent, percentDiff or runTotal, then the baseField attribute value shall be greater or equal to zero and less than the number of pivotField elements in the pivotFields collection.</w:t>
      </w:r>
    </w:p>
    <w:p w:rsidR="005F78FC" w:rsidRDefault="00B42EF3">
      <w:pPr>
        <w:pStyle w:val="Definition-Field"/>
      </w:pPr>
      <w:r>
        <w:t>f</w:t>
      </w:r>
      <w:r>
        <w:t xml:space="preserve">.   </w:t>
      </w:r>
      <w:r>
        <w:rPr>
          <w:i/>
        </w:rPr>
        <w:t>The standard does not restrict the value of the baseItem attribute.</w:t>
      </w:r>
    </w:p>
    <w:p w:rsidR="005F78FC" w:rsidRDefault="00B42EF3">
      <w:r>
        <w:t xml:space="preserve">In Office, if the showDataAs attribute equals difference, percent, or percentDiff, then the baseItem attribute shall be 1048828 (the previous item) or 1048829 (the next item). </w:t>
      </w:r>
      <w:r>
        <w:t>Otherwise, it is less than the number of item elements in the items collection of the field pointed to by the baseField attribute.</w:t>
      </w:r>
    </w:p>
    <w:p w:rsidR="005F78FC" w:rsidRDefault="00B42EF3">
      <w:pPr>
        <w:pStyle w:val="Heading3"/>
      </w:pPr>
      <w:bookmarkStart w:id="1524" w:name="section_f0f7a394d036412ca0811bb4aadc00ce"/>
      <w:bookmarkStart w:id="1525" w:name="_Toc69878535"/>
      <w:r>
        <w:t>Part 1 Section 18.10.1.24, dimension (OLAP Dimension)</w:t>
      </w:r>
      <w:bookmarkEnd w:id="1524"/>
      <w:bookmarkEnd w:id="1525"/>
      <w:r>
        <w:fldChar w:fldCharType="begin"/>
      </w:r>
      <w:r>
        <w:instrText xml:space="preserve"> XE "dimension (OLAP Dimension)" </w:instrText>
      </w:r>
      <w:r>
        <w:fldChar w:fldCharType="end"/>
      </w:r>
    </w:p>
    <w:p w:rsidR="005F78FC" w:rsidRDefault="00B42EF3">
      <w:pPr>
        <w:pStyle w:val="Definition-Field"/>
      </w:pPr>
      <w:r>
        <w:t xml:space="preserve">a.   </w:t>
      </w:r>
      <w:r>
        <w:rPr>
          <w:i/>
        </w:rPr>
        <w:t>The standard does not limit the</w:t>
      </w:r>
      <w:r>
        <w:rPr>
          <w:i/>
        </w:rPr>
        <w:t xml:space="preserve"> length of the value of the caption attribute.</w:t>
      </w:r>
    </w:p>
    <w:p w:rsidR="005F78FC" w:rsidRDefault="00B42EF3">
      <w:pPr>
        <w:pStyle w:val="Definition-Field2"/>
      </w:pPr>
      <w:r>
        <w:t>Excel restricts the value of this attribute to be at least 1 and at most 65535 characters.</w:t>
      </w:r>
    </w:p>
    <w:p w:rsidR="005F78FC" w:rsidRDefault="00B42EF3">
      <w:pPr>
        <w:pStyle w:val="Definition-Field"/>
      </w:pPr>
      <w:r>
        <w:t xml:space="preserve">b.   </w:t>
      </w:r>
      <w:r>
        <w:rPr>
          <w:i/>
        </w:rPr>
        <w:t>The standard does not limit the length of the value of the name attribute.</w:t>
      </w:r>
    </w:p>
    <w:p w:rsidR="005F78FC" w:rsidRDefault="00B42EF3">
      <w:pPr>
        <w:pStyle w:val="Definition-Field2"/>
      </w:pPr>
      <w:r>
        <w:t>Excel restricts the value of this attr</w:t>
      </w:r>
      <w:r>
        <w:t>ibute to be at least 1 and at most 65535 characters.</w:t>
      </w:r>
    </w:p>
    <w:p w:rsidR="005F78FC" w:rsidRDefault="00B42EF3">
      <w:pPr>
        <w:pStyle w:val="Definition-Field"/>
      </w:pPr>
      <w:r>
        <w:t xml:space="preserve">c.   </w:t>
      </w:r>
      <w:r>
        <w:rPr>
          <w:i/>
        </w:rPr>
        <w:t>The standard does not limit the length of the value of the uniqueName attribute.</w:t>
      </w:r>
    </w:p>
    <w:p w:rsidR="005F78FC" w:rsidRDefault="00B42EF3">
      <w:pPr>
        <w:pStyle w:val="Definition-Field2"/>
      </w:pPr>
      <w:r>
        <w:t>Excel restricts the value of this attribute to be at least 1 and at most 32767 characters.</w:t>
      </w:r>
    </w:p>
    <w:p w:rsidR="005F78FC" w:rsidRDefault="00B42EF3">
      <w:pPr>
        <w:pStyle w:val="Heading3"/>
      </w:pPr>
      <w:bookmarkStart w:id="1526" w:name="section_9cd9d70220324faa8243174a28700755"/>
      <w:bookmarkStart w:id="1527" w:name="_Toc69878536"/>
      <w:r>
        <w:lastRenderedPageBreak/>
        <w:t>Part 1 Section 18.10.1.26,</w:t>
      </w:r>
      <w:r>
        <w:t xml:space="preserve"> discretePr (Discrete Grouping Properties)</w:t>
      </w:r>
      <w:bookmarkEnd w:id="1526"/>
      <w:bookmarkEnd w:id="1527"/>
      <w:r>
        <w:fldChar w:fldCharType="begin"/>
      </w:r>
      <w:r>
        <w:instrText xml:space="preserve"> XE "discretePr (Discrete Grouping Properties)" </w:instrText>
      </w:r>
      <w:r>
        <w:fldChar w:fldCharType="end"/>
      </w:r>
    </w:p>
    <w:p w:rsidR="005F78FC" w:rsidRDefault="00B42EF3">
      <w:pPr>
        <w:pStyle w:val="Definition-Field"/>
      </w:pPr>
      <w:r>
        <w:t xml:space="preserve">a.   </w:t>
      </w:r>
      <w:r>
        <w:rPr>
          <w:i/>
        </w:rPr>
        <w:t>The standard says discretePr represents the collection of discrete grouping properties for a field group.</w:t>
      </w:r>
    </w:p>
    <w:p w:rsidR="005F78FC" w:rsidRDefault="00B42EF3">
      <w:r>
        <w:t>In Office, each child element specifies a mapping fr</w:t>
      </w:r>
      <w:r>
        <w:t>om an element in the sharedItems collection ("</w:t>
      </w:r>
      <w:hyperlink r:id="rId133">
        <w:r>
          <w:rPr>
            <w:rStyle w:val="Hyperlink"/>
          </w:rPr>
          <w:t>[ISO/IEC-29500-1]</w:t>
        </w:r>
      </w:hyperlink>
      <w:r>
        <w:t xml:space="preserve"> §18.10.1.90; sharedItems (Shared Items)") of the base field of this field group to an element in the groupItems collection ("[</w:t>
      </w:r>
      <w:r>
        <w:t>ISO/IEC-29500-1] §18.10.1.38; groupItems") of the field group, using a zero-based index into the groupItems collection. The number of child elements shall match the number of elements in the sharedItems collection ("[ISO/IEC-29500-1] §18.10.1.90; sharedIte</w:t>
      </w:r>
      <w:r>
        <w:t>ms (Shared Items)") of the base field of this field group.</w:t>
      </w:r>
    </w:p>
    <w:p w:rsidR="005F78FC" w:rsidRDefault="00B42EF3">
      <w:pPr>
        <w:pStyle w:val="Heading3"/>
      </w:pPr>
      <w:bookmarkStart w:id="1528" w:name="section_7fcc8aec5f1f443399032a30573dfc5d"/>
      <w:bookmarkStart w:id="1529" w:name="_Toc69878537"/>
      <w:r>
        <w:t>Part 1 Section 18.10.1.27, e (Error Value)</w:t>
      </w:r>
      <w:bookmarkEnd w:id="1528"/>
      <w:bookmarkEnd w:id="1529"/>
      <w:r>
        <w:fldChar w:fldCharType="begin"/>
      </w:r>
      <w:r>
        <w:instrText xml:space="preserve"> XE "e (Error Value)" </w:instrText>
      </w:r>
      <w:r>
        <w:fldChar w:fldCharType="end"/>
      </w:r>
    </w:p>
    <w:p w:rsidR="005F78FC" w:rsidRDefault="00B42EF3">
      <w:pPr>
        <w:pStyle w:val="Definition-Field"/>
      </w:pPr>
      <w:r>
        <w:t xml:space="preserve">a.   </w:t>
      </w:r>
      <w:r>
        <w:rPr>
          <w:i/>
        </w:rPr>
        <w:t>The standard does not limit the length of the value of the c attribute.</w:t>
      </w:r>
    </w:p>
    <w:p w:rsidR="005F78FC" w:rsidRDefault="00B42EF3">
      <w:pPr>
        <w:pStyle w:val="Definition-Field2"/>
      </w:pPr>
      <w:r>
        <w:t xml:space="preserve">Excel restricts the value of this attribute to be at </w:t>
      </w:r>
      <w:r>
        <w:t>most 65535 characters.</w:t>
      </w:r>
    </w:p>
    <w:p w:rsidR="005F78FC" w:rsidRDefault="00B42EF3">
      <w:pPr>
        <w:pStyle w:val="Definition-Field"/>
      </w:pPr>
      <w:r>
        <w:t xml:space="preserve">b.   </w:t>
      </w:r>
      <w:r>
        <w:rPr>
          <w:i/>
        </w:rPr>
        <w:t>The standard does not define the relation between the c attribute and the datasource type.</w:t>
      </w:r>
    </w:p>
    <w:p w:rsidR="005F78FC" w:rsidRDefault="00B42EF3">
      <w:pPr>
        <w:pStyle w:val="Definition-Field2"/>
      </w:pPr>
      <w:r>
        <w:t>In Office, the c attribute applies only to OLAP-based PivotTables when the pivotCacheDefinition element attribute createdVersion is great</w:t>
      </w:r>
      <w:r>
        <w:t>er than or equal to 3.</w:t>
      </w:r>
    </w:p>
    <w:p w:rsidR="005F78FC" w:rsidRDefault="00B42EF3">
      <w:pPr>
        <w:pStyle w:val="Definition-Field"/>
      </w:pPr>
      <w:r>
        <w:t xml:space="preserve">c.   </w:t>
      </w:r>
      <w:r>
        <w:rPr>
          <w:i/>
        </w:rPr>
        <w:t>The standard does not define the relation between the cp attribute and child elements.</w:t>
      </w:r>
    </w:p>
    <w:p w:rsidR="005F78FC" w:rsidRDefault="00B42EF3">
      <w:pPr>
        <w:pStyle w:val="Definition-Field2"/>
      </w:pPr>
      <w:r>
        <w:t xml:space="preserve">In Office, the value of the cp attribute shall be equal to the count of child elements and be less than or equal to the @mappingCount of the </w:t>
      </w:r>
      <w:r>
        <w:t>corresponding cacheField element.</w:t>
      </w:r>
    </w:p>
    <w:p w:rsidR="005F78FC" w:rsidRDefault="00B42EF3">
      <w:pPr>
        <w:pStyle w:val="Definition-Field"/>
      </w:pPr>
      <w:r>
        <w:t xml:space="preserve">d.   </w:t>
      </w:r>
      <w:r>
        <w:rPr>
          <w:i/>
        </w:rPr>
        <w:t>The standard does not define the relation between the cp attribute and the datasource type.</w:t>
      </w:r>
    </w:p>
    <w:p w:rsidR="005F78FC" w:rsidRDefault="00B42EF3">
      <w:pPr>
        <w:pStyle w:val="Definition-Field2"/>
      </w:pPr>
      <w:r>
        <w:t>In Office, the cp attribute applies only to OLAP-based PivotTables.</w:t>
      </w:r>
    </w:p>
    <w:p w:rsidR="005F78FC" w:rsidRDefault="00B42EF3">
      <w:pPr>
        <w:pStyle w:val="Definition-Field"/>
      </w:pPr>
      <w:r>
        <w:t xml:space="preserve">e.   </w:t>
      </w:r>
      <w:r>
        <w:rPr>
          <w:i/>
        </w:rPr>
        <w:t>The standard does not define relation between the cp</w:t>
      </w:r>
      <w:r>
        <w:rPr>
          <w:i/>
        </w:rPr>
        <w:t xml:space="preserve"> attribute and sharedItems node.</w:t>
      </w:r>
    </w:p>
    <w:p w:rsidR="005F78FC" w:rsidRDefault="00B42EF3">
      <w:pPr>
        <w:pStyle w:val="Definition-Field2"/>
      </w:pPr>
      <w:r>
        <w:t>In Office, the cp attribute applies only when the node parent is sharedItems.</w:t>
      </w:r>
    </w:p>
    <w:p w:rsidR="005F78FC" w:rsidRDefault="00B42EF3">
      <w:pPr>
        <w:pStyle w:val="Definition-Field"/>
      </w:pPr>
      <w:r>
        <w:t xml:space="preserve">f.   </w:t>
      </w:r>
      <w:r>
        <w:rPr>
          <w:i/>
        </w:rPr>
        <w:t>The standard does not specify a default value for the f attribute.</w:t>
      </w:r>
    </w:p>
    <w:p w:rsidR="005F78FC" w:rsidRDefault="00B42EF3">
      <w:pPr>
        <w:pStyle w:val="Definition-Field2"/>
      </w:pPr>
      <w:r>
        <w:t>Excel uses a default value of false for this attribute.</w:t>
      </w:r>
    </w:p>
    <w:p w:rsidR="005F78FC" w:rsidRDefault="00B42EF3">
      <w:pPr>
        <w:pStyle w:val="Definition-Field"/>
      </w:pPr>
      <w:r>
        <w:t xml:space="preserve">g.   </w:t>
      </w:r>
      <w:r>
        <w:rPr>
          <w:i/>
        </w:rPr>
        <w:t>The standard</w:t>
      </w:r>
      <w:r>
        <w:rPr>
          <w:i/>
        </w:rPr>
        <w:t xml:space="preserve"> does not specify a default value for the u attribute.</w:t>
      </w:r>
    </w:p>
    <w:p w:rsidR="005F78FC" w:rsidRDefault="00B42EF3">
      <w:pPr>
        <w:pStyle w:val="Definition-Field2"/>
      </w:pPr>
      <w:r>
        <w:t>Excel uses a default value of false for this attribute.</w:t>
      </w:r>
    </w:p>
    <w:p w:rsidR="005F78FC" w:rsidRDefault="00B42EF3">
      <w:pPr>
        <w:pStyle w:val="Definition-Field"/>
      </w:pPr>
      <w:r>
        <w:t xml:space="preserve">h.   </w:t>
      </w:r>
      <w:r>
        <w:rPr>
          <w:i/>
        </w:rPr>
        <w:t>The standard does not normatively define valid error values for the v attribute.</w:t>
      </w:r>
    </w:p>
    <w:p w:rsidR="005F78FC" w:rsidRDefault="00B42EF3">
      <w:r>
        <w:t>Office implements the following error values:</w:t>
      </w:r>
    </w:p>
    <w:p w:rsidR="005F78FC" w:rsidRDefault="00B42EF3">
      <w:pPr>
        <w:pStyle w:val="ListParagraph"/>
        <w:numPr>
          <w:ilvl w:val="0"/>
          <w:numId w:val="68"/>
        </w:numPr>
        <w:contextualSpacing/>
      </w:pPr>
      <w:r>
        <w:t>#DIV/0!</w:t>
      </w:r>
    </w:p>
    <w:p w:rsidR="005F78FC" w:rsidRDefault="00B42EF3">
      <w:pPr>
        <w:pStyle w:val="ListParagraph"/>
        <w:numPr>
          <w:ilvl w:val="0"/>
          <w:numId w:val="68"/>
        </w:numPr>
        <w:contextualSpacing/>
      </w:pPr>
      <w:r>
        <w:t>#NAME?</w:t>
      </w:r>
    </w:p>
    <w:p w:rsidR="005F78FC" w:rsidRDefault="00B42EF3">
      <w:pPr>
        <w:pStyle w:val="ListParagraph"/>
        <w:numPr>
          <w:ilvl w:val="0"/>
          <w:numId w:val="68"/>
        </w:numPr>
        <w:contextualSpacing/>
      </w:pPr>
      <w:r>
        <w:t>#VALUE!</w:t>
      </w:r>
    </w:p>
    <w:p w:rsidR="005F78FC" w:rsidRDefault="00B42EF3">
      <w:pPr>
        <w:pStyle w:val="ListParagraph"/>
        <w:numPr>
          <w:ilvl w:val="0"/>
          <w:numId w:val="68"/>
        </w:numPr>
        <w:contextualSpacing/>
      </w:pPr>
      <w:r>
        <w:t>#NULL!</w:t>
      </w:r>
    </w:p>
    <w:p w:rsidR="005F78FC" w:rsidRDefault="00B42EF3">
      <w:pPr>
        <w:pStyle w:val="ListParagraph"/>
        <w:numPr>
          <w:ilvl w:val="0"/>
          <w:numId w:val="68"/>
        </w:numPr>
        <w:contextualSpacing/>
      </w:pPr>
      <w:r>
        <w:t>#NUM!</w:t>
      </w:r>
    </w:p>
    <w:p w:rsidR="005F78FC" w:rsidRDefault="00B42EF3">
      <w:pPr>
        <w:pStyle w:val="ListParagraph"/>
        <w:numPr>
          <w:ilvl w:val="0"/>
          <w:numId w:val="68"/>
        </w:numPr>
        <w:contextualSpacing/>
      </w:pPr>
      <w:r>
        <w:t>#REF!</w:t>
      </w:r>
    </w:p>
    <w:p w:rsidR="005F78FC" w:rsidRDefault="00B42EF3">
      <w:pPr>
        <w:pStyle w:val="ListParagraph"/>
        <w:numPr>
          <w:ilvl w:val="0"/>
          <w:numId w:val="68"/>
        </w:numPr>
        <w:contextualSpacing/>
      </w:pPr>
      <w:r>
        <w:t>#N/A</w:t>
      </w:r>
    </w:p>
    <w:p w:rsidR="005F78FC" w:rsidRDefault="00B42EF3">
      <w:pPr>
        <w:pStyle w:val="ListParagraph"/>
        <w:numPr>
          <w:ilvl w:val="0"/>
          <w:numId w:val="68"/>
        </w:numPr>
      </w:pPr>
      <w:r>
        <w:t>#GETTING_DATA</w:t>
      </w:r>
    </w:p>
    <w:p w:rsidR="005F78FC" w:rsidRDefault="00B42EF3">
      <w:pPr>
        <w:pStyle w:val="Definition-Field"/>
      </w:pPr>
      <w:r>
        <w:t xml:space="preserve">i.   </w:t>
      </w:r>
      <w:r>
        <w:rPr>
          <w:i/>
        </w:rPr>
        <w:t>The standard does not define relation between the f attribute and sharedItems node.</w:t>
      </w:r>
    </w:p>
    <w:p w:rsidR="005F78FC" w:rsidRDefault="00B42EF3">
      <w:pPr>
        <w:pStyle w:val="Definition-Field2"/>
      </w:pPr>
      <w:r>
        <w:t>In Office, the f attribute applies only when the node parent is sharedItems.</w:t>
      </w:r>
    </w:p>
    <w:p w:rsidR="005F78FC" w:rsidRDefault="00B42EF3">
      <w:pPr>
        <w:pStyle w:val="Definition-Field"/>
      </w:pPr>
      <w:r>
        <w:lastRenderedPageBreak/>
        <w:t xml:space="preserve">j.   </w:t>
      </w:r>
      <w:r>
        <w:rPr>
          <w:i/>
        </w:rPr>
        <w:t>The standard does not define rel</w:t>
      </w:r>
      <w:r>
        <w:rPr>
          <w:i/>
        </w:rPr>
        <w:t>ation between the u attribute and sharedItems node.</w:t>
      </w:r>
    </w:p>
    <w:p w:rsidR="005F78FC" w:rsidRDefault="00B42EF3">
      <w:pPr>
        <w:pStyle w:val="Definition-Field2"/>
      </w:pPr>
      <w:r>
        <w:t>In Office, the u attribute applies only when the node parent is sharedItems.</w:t>
      </w:r>
    </w:p>
    <w:p w:rsidR="005F78FC" w:rsidRDefault="00B42EF3">
      <w:pPr>
        <w:pStyle w:val="Heading3"/>
      </w:pPr>
      <w:bookmarkStart w:id="1530" w:name="section_d7eb83632269495ca763121660facbbc"/>
      <w:bookmarkStart w:id="1531" w:name="_Toc69878538"/>
      <w:r>
        <w:t>Part 1 Section 18.10.1.29, field (Field)</w:t>
      </w:r>
      <w:bookmarkEnd w:id="1530"/>
      <w:bookmarkEnd w:id="1531"/>
      <w:r>
        <w:fldChar w:fldCharType="begin"/>
      </w:r>
      <w:r>
        <w:instrText xml:space="preserve"> XE "field (Field)" </w:instrText>
      </w:r>
      <w:r>
        <w:fldChar w:fldCharType="end"/>
      </w:r>
    </w:p>
    <w:p w:rsidR="005F78FC" w:rsidRDefault="00B42EF3">
      <w:pPr>
        <w:pStyle w:val="Definition-Field"/>
      </w:pPr>
      <w:r>
        <w:t xml:space="preserve">a.   </w:t>
      </w:r>
      <w:r>
        <w:rPr>
          <w:i/>
        </w:rPr>
        <w:t>In the standard for the element description it says there w</w:t>
      </w:r>
      <w:r>
        <w:rPr>
          <w:i/>
        </w:rPr>
        <w:t>ill be as many &lt;x&gt; elements as there are item values in any particular column or row.</w:t>
      </w:r>
    </w:p>
    <w:p w:rsidR="005F78FC" w:rsidRDefault="00B42EF3">
      <w:pPr>
        <w:pStyle w:val="Definition-Field2"/>
      </w:pPr>
      <w:r>
        <w:t>Office says that there will be as many &lt;field&gt; elements as there are fields in the column or row axis.</w:t>
      </w:r>
    </w:p>
    <w:p w:rsidR="005F78FC" w:rsidRDefault="00B42EF3">
      <w:pPr>
        <w:pStyle w:val="Definition-Field"/>
      </w:pPr>
      <w:r>
        <w:t xml:space="preserve">b.   </w:t>
      </w:r>
      <w:r>
        <w:rPr>
          <w:i/>
        </w:rPr>
        <w:t>The standard notes that elements may not be explicitly written</w:t>
      </w:r>
      <w:r>
        <w:rPr>
          <w:i/>
        </w:rPr>
        <w:t xml:space="preserve"> and i elements, @r and @v used, which do not occur on this element or its parents.</w:t>
      </w:r>
    </w:p>
    <w:p w:rsidR="005F78FC" w:rsidRDefault="00B42EF3">
      <w:pPr>
        <w:pStyle w:val="Definition-Field2"/>
      </w:pPr>
      <w:r>
        <w:t>Office assumes that field elements are always explicit and the x attribute is required.</w:t>
      </w:r>
    </w:p>
    <w:p w:rsidR="005F78FC" w:rsidRDefault="00B42EF3">
      <w:pPr>
        <w:pStyle w:val="Definition-Field"/>
      </w:pPr>
      <w:r>
        <w:t xml:space="preserve">c.   </w:t>
      </w:r>
      <w:r>
        <w:rPr>
          <w:i/>
        </w:rPr>
        <w:t>The standard specifies that the x attribute is the index to a pivotField item v</w:t>
      </w:r>
      <w:r>
        <w:rPr>
          <w:i/>
        </w:rPr>
        <w:t>alue and there will be as many x elements as there are item values in any particular column.</w:t>
      </w:r>
    </w:p>
    <w:p w:rsidR="005F78FC" w:rsidRDefault="00B42EF3">
      <w:pPr>
        <w:pStyle w:val="Definition-Field2"/>
      </w:pPr>
      <w:r>
        <w:t>Office specifies that the x attribute is a valid zero-based index to a pivotField element in the pivotFields collection with value equal to -2 or greater than or e</w:t>
      </w:r>
      <w:r>
        <w:t>qual to zero and less than the element count in the pivotFields collection.</w:t>
      </w:r>
    </w:p>
    <w:p w:rsidR="005F78FC" w:rsidRDefault="00B42EF3">
      <w:pPr>
        <w:pStyle w:val="Definition-Field"/>
      </w:pPr>
      <w:r>
        <w:t xml:space="preserve">d.   </w:t>
      </w:r>
      <w:r>
        <w:rPr>
          <w:i/>
        </w:rPr>
        <w:t>The standard does not restrict the document from having duplicate field indexes (@x).</w:t>
      </w:r>
    </w:p>
    <w:p w:rsidR="005F78FC" w:rsidRDefault="00B42EF3">
      <w:pPr>
        <w:pStyle w:val="Definition-Field2"/>
      </w:pPr>
      <w:r>
        <w:t>Office requires that the value of @x cannot be duplicated within the parent element.</w:t>
      </w:r>
    </w:p>
    <w:p w:rsidR="005F78FC" w:rsidRDefault="00B42EF3">
      <w:pPr>
        <w:pStyle w:val="Heading3"/>
      </w:pPr>
      <w:bookmarkStart w:id="1532" w:name="section_98b3cb48ba2d410889aab8ea451e0d93"/>
      <w:bookmarkStart w:id="1533" w:name="_Toc69878539"/>
      <w:r>
        <w:t>Part</w:t>
      </w:r>
      <w:r>
        <w:t xml:space="preserve"> 1 Section 18.10.1.30, fieldGroup (Field Group Properties)</w:t>
      </w:r>
      <w:bookmarkEnd w:id="1532"/>
      <w:bookmarkEnd w:id="1533"/>
      <w:r>
        <w:fldChar w:fldCharType="begin"/>
      </w:r>
      <w:r>
        <w:instrText xml:space="preserve"> XE "fieldGroup (Field Group Properties)" </w:instrText>
      </w:r>
      <w:r>
        <w:fldChar w:fldCharType="end"/>
      </w:r>
    </w:p>
    <w:p w:rsidR="005F78FC" w:rsidRDefault="00B42EF3">
      <w:pPr>
        <w:pStyle w:val="Definition-Field"/>
      </w:pPr>
      <w:r>
        <w:t xml:space="preserve">a.   </w:t>
      </w:r>
      <w:r>
        <w:rPr>
          <w:i/>
        </w:rPr>
        <w:t>The standard allows fieldGroup to include both rangePr and discretePr in a valid document.</w:t>
      </w:r>
    </w:p>
    <w:p w:rsidR="005F78FC" w:rsidRDefault="00B42EF3">
      <w:pPr>
        <w:pStyle w:val="Definition-Field2"/>
      </w:pPr>
      <w:r>
        <w:t>Office does not allow fieldGroup to include rangePr and d</w:t>
      </w:r>
      <w:r>
        <w:t>iscretePr at the same time.</w:t>
      </w:r>
    </w:p>
    <w:p w:rsidR="005F78FC" w:rsidRDefault="00B42EF3">
      <w:pPr>
        <w:pStyle w:val="Definition-Field"/>
      </w:pPr>
      <w:r>
        <w:t xml:space="preserve">b.   </w:t>
      </w:r>
      <w:r>
        <w:rPr>
          <w:i/>
        </w:rPr>
        <w:t>The standard does not require the groupItems collection to exist in any circumstances.</w:t>
      </w:r>
    </w:p>
    <w:p w:rsidR="005F78FC" w:rsidRDefault="00B42EF3">
      <w:pPr>
        <w:pStyle w:val="Definition-Field2"/>
      </w:pPr>
      <w:r>
        <w:t>In Office, if fieldGroup contains rangePr or discretePr, the groupItems collection must exist and must not be empty.</w:t>
      </w:r>
    </w:p>
    <w:p w:rsidR="005F78FC" w:rsidRDefault="00B42EF3">
      <w:pPr>
        <w:pStyle w:val="Definition-Field"/>
      </w:pPr>
      <w:r>
        <w:t xml:space="preserve">c.   </w:t>
      </w:r>
      <w:r>
        <w:rPr>
          <w:i/>
        </w:rPr>
        <w:t>The standard d</w:t>
      </w:r>
      <w:r>
        <w:rPr>
          <w:i/>
        </w:rPr>
        <w:t>oes not provide restrictions on the base attribute.</w:t>
      </w:r>
    </w:p>
    <w:p w:rsidR="005F78FC" w:rsidRDefault="00B42EF3">
      <w:pPr>
        <w:pStyle w:val="Definition-Field2"/>
      </w:pPr>
      <w:r>
        <w:t>Office requires that value of the base attribute to be less than number of cacheFields and the cacheField element pointed to by the base value must have a databaseField attribute equal to 1.</w:t>
      </w:r>
    </w:p>
    <w:p w:rsidR="005F78FC" w:rsidRDefault="00B42EF3">
      <w:pPr>
        <w:pStyle w:val="Definition-Field"/>
      </w:pPr>
      <w:r>
        <w:t xml:space="preserve">d.   </w:t>
      </w:r>
      <w:r>
        <w:rPr>
          <w:i/>
        </w:rPr>
        <w:t xml:space="preserve">The </w:t>
      </w:r>
      <w:r>
        <w:rPr>
          <w:i/>
        </w:rPr>
        <w:t>standard does not provide restrictions on the par attribute.</w:t>
      </w:r>
    </w:p>
    <w:p w:rsidR="005F78FC" w:rsidRDefault="00B42EF3">
      <w:pPr>
        <w:pStyle w:val="Definition-Field2"/>
      </w:pPr>
      <w:r>
        <w:t>Office requires that if fieldGroup has rangePr child, then cacheField pointed to by @par shall have fieldGroup that contains rangePr; the value of the base attribute in that fieldGroup must equal</w:t>
      </w:r>
      <w:r>
        <w:t xml:space="preserve"> the value of the base attribute on this element.</w:t>
      </w:r>
    </w:p>
    <w:p w:rsidR="005F78FC" w:rsidRDefault="00B42EF3">
      <w:pPr>
        <w:pStyle w:val="Definition-Field"/>
      </w:pPr>
      <w:r>
        <w:t xml:space="preserve">e.   </w:t>
      </w:r>
      <w:r>
        <w:rPr>
          <w:i/>
        </w:rPr>
        <w:t>The standard does not specify a dependency between the value of the rangePr element attribute groupBy and the par attribute value.</w:t>
      </w:r>
    </w:p>
    <w:p w:rsidR="005F78FC" w:rsidRDefault="00B42EF3">
      <w:pPr>
        <w:pStyle w:val="Definition-Field2"/>
      </w:pPr>
      <w:r>
        <w:t xml:space="preserve">In Office, if the groupBy attribute of a rangePr child is range, then </w:t>
      </w:r>
      <w:r>
        <w:t>the par attribute shall not be specified; otherwise, it shall be less than count of cacheFields elements.</w:t>
      </w:r>
    </w:p>
    <w:p w:rsidR="005F78FC" w:rsidRDefault="00B42EF3">
      <w:pPr>
        <w:pStyle w:val="Heading3"/>
      </w:pPr>
      <w:bookmarkStart w:id="1534" w:name="section_e3e39bfa42ef489a95f05a5b79682144"/>
      <w:bookmarkStart w:id="1535" w:name="_Toc69878540"/>
      <w:r>
        <w:t>Part 1 Section 18.10.1.31, fieldsUsage (Fields Usage)</w:t>
      </w:r>
      <w:bookmarkEnd w:id="1534"/>
      <w:bookmarkEnd w:id="1535"/>
      <w:r>
        <w:fldChar w:fldCharType="begin"/>
      </w:r>
      <w:r>
        <w:instrText xml:space="preserve"> XE "fieldsUsage (Fields Usage)" </w:instrText>
      </w:r>
      <w:r>
        <w:fldChar w:fldCharType="end"/>
      </w:r>
    </w:p>
    <w:p w:rsidR="005F78FC" w:rsidRDefault="00B42EF3">
      <w:pPr>
        <w:pStyle w:val="Definition-Field"/>
      </w:pPr>
      <w:r>
        <w:t xml:space="preserve">a.   </w:t>
      </w:r>
      <w:r>
        <w:rPr>
          <w:i/>
        </w:rPr>
        <w:t>The standard does not restrict the number of items in th</w:t>
      </w:r>
      <w:r>
        <w:rPr>
          <w:i/>
        </w:rPr>
        <w:t>e fieldsUsage collection, in any case.</w:t>
      </w:r>
    </w:p>
    <w:p w:rsidR="005F78FC" w:rsidRDefault="00B42EF3">
      <w:pPr>
        <w:pStyle w:val="Definition-Field2"/>
      </w:pPr>
      <w:r>
        <w:lastRenderedPageBreak/>
        <w:t>In Office, if the parent cacheHierarchy has @measure equal to 1, this collection shall contain only one item.</w:t>
      </w:r>
    </w:p>
    <w:p w:rsidR="005F78FC" w:rsidRDefault="00B42EF3">
      <w:pPr>
        <w:pStyle w:val="Heading3"/>
      </w:pPr>
      <w:bookmarkStart w:id="1536" w:name="section_cee4d9c4c5d84b4ba4f6a26f52d0024f"/>
      <w:bookmarkStart w:id="1537" w:name="_Toc69878541"/>
      <w:r>
        <w:t>Part 1 Section 18.10.1.32, fieldUsage (PivotCache Field Id)</w:t>
      </w:r>
      <w:bookmarkEnd w:id="1536"/>
      <w:bookmarkEnd w:id="1537"/>
      <w:r>
        <w:fldChar w:fldCharType="begin"/>
      </w:r>
      <w:r>
        <w:instrText xml:space="preserve"> XE "fieldUsage (PivotCache Field Id)" </w:instrText>
      </w:r>
      <w:r>
        <w:fldChar w:fldCharType="end"/>
      </w:r>
    </w:p>
    <w:p w:rsidR="005F78FC" w:rsidRDefault="00B42EF3">
      <w:pPr>
        <w:pStyle w:val="Definition-Field"/>
      </w:pPr>
      <w:r>
        <w:t xml:space="preserve">a.   </w:t>
      </w:r>
      <w:r>
        <w:rPr>
          <w:i/>
        </w:rPr>
        <w:t>The standard does not restrict the value of the x attribute in any way.</w:t>
      </w:r>
    </w:p>
    <w:p w:rsidR="005F78FC" w:rsidRDefault="00B42EF3">
      <w:pPr>
        <w:pStyle w:val="Definition-Field2"/>
      </w:pPr>
      <w:r>
        <w:t>In Office, x is a zero-based index in the parent collection, must be &gt;= -1 and &lt; the total number of cacheField elements. If x points to a cacheField, this cacheField must point back t</w:t>
      </w:r>
      <w:r>
        <w:t>o the same hierarchy the parent fieldsUsage is part of.</w:t>
      </w:r>
    </w:p>
    <w:p w:rsidR="005F78FC" w:rsidRDefault="00B42EF3">
      <w:pPr>
        <w:pStyle w:val="Definition-Field"/>
      </w:pPr>
      <w:r>
        <w:t xml:space="preserve">b.   </w:t>
      </w:r>
      <w:r>
        <w:rPr>
          <w:i/>
        </w:rPr>
        <w:t>The standard does not state a dependency between fieldUsage index and cacheField@level.</w:t>
      </w:r>
    </w:p>
    <w:p w:rsidR="005F78FC" w:rsidRDefault="00B42EF3">
      <w:pPr>
        <w:pStyle w:val="Definition-Field2"/>
      </w:pPr>
      <w:r>
        <w:t>Office requires that the index of fieldUsage in the fieldsUsage collection determine the mapping between Pi</w:t>
      </w:r>
      <w:r>
        <w:t>vot level and a cache field.  The index must match the value of @level in the corresponding cacheField item.</w:t>
      </w:r>
    </w:p>
    <w:p w:rsidR="005F78FC" w:rsidRDefault="00B42EF3">
      <w:pPr>
        <w:pStyle w:val="Heading3"/>
      </w:pPr>
      <w:bookmarkStart w:id="1538" w:name="section_ac8bc22cf207485897f477b1be34ebfb"/>
      <w:bookmarkStart w:id="1539" w:name="_Toc69878542"/>
      <w:r>
        <w:t>Part 1 Section 18.10.1.33, filter (PivotTable Advanced Filter)</w:t>
      </w:r>
      <w:bookmarkEnd w:id="1538"/>
      <w:bookmarkEnd w:id="1539"/>
      <w:r>
        <w:fldChar w:fldCharType="begin"/>
      </w:r>
      <w:r>
        <w:instrText xml:space="preserve"> XE "filter (PivotTable Advanced Filter)" </w:instrText>
      </w:r>
      <w:r>
        <w:fldChar w:fldCharType="end"/>
      </w:r>
    </w:p>
    <w:p w:rsidR="005F78FC" w:rsidRDefault="00B42EF3">
      <w:pPr>
        <w:pStyle w:val="Definition-Field"/>
      </w:pPr>
      <w:r>
        <w:t xml:space="preserve">a.   </w:t>
      </w:r>
      <w:r>
        <w:rPr>
          <w:i/>
        </w:rPr>
        <w:t>The standard does not define a maxi</w:t>
      </w:r>
      <w:r>
        <w:rPr>
          <w:i/>
        </w:rPr>
        <w:t>mum value for @fld.</w:t>
      </w:r>
    </w:p>
    <w:p w:rsidR="005F78FC" w:rsidRDefault="00B42EF3">
      <w:pPr>
        <w:pStyle w:val="Definition-Field2"/>
      </w:pPr>
      <w:r>
        <w:t>Office requires @fld to be less than the pivotFields count.</w:t>
      </w:r>
    </w:p>
    <w:p w:rsidR="005F78FC" w:rsidRDefault="00B42EF3">
      <w:pPr>
        <w:pStyle w:val="Definition-Field"/>
      </w:pPr>
      <w:r>
        <w:t xml:space="preserve">b.   </w:t>
      </w:r>
      <w:r>
        <w:rPr>
          <w:i/>
        </w:rPr>
        <w:t>The standard does not define a max value for @iMeasureHier.</w:t>
      </w:r>
    </w:p>
    <w:p w:rsidR="005F78FC" w:rsidRDefault="00B42EF3">
      <w:pPr>
        <w:pStyle w:val="Definition-Field2"/>
      </w:pPr>
      <w:r>
        <w:t>Office requires that @iMeasureHier be less than the pivotHierarchies count.</w:t>
      </w:r>
    </w:p>
    <w:p w:rsidR="005F78FC" w:rsidRDefault="00B42EF3">
      <w:pPr>
        <w:pStyle w:val="Definition-Field"/>
      </w:pPr>
      <w:r>
        <w:t xml:space="preserve">c.   </w:t>
      </w:r>
      <w:r>
        <w:rPr>
          <w:i/>
        </w:rPr>
        <w:t>The standard does not define a</w:t>
      </w:r>
      <w:r>
        <w:rPr>
          <w:i/>
        </w:rPr>
        <w:t xml:space="preserve"> maximum value for the mpFld attribute.</w:t>
      </w:r>
    </w:p>
    <w:p w:rsidR="005F78FC" w:rsidRDefault="00B42EF3">
      <w:pPr>
        <w:pStyle w:val="Definition-Field2"/>
      </w:pPr>
      <w:r>
        <w:t>Office requires that the mpFld attribute be less than the pivotFields count.</w:t>
      </w:r>
    </w:p>
    <w:p w:rsidR="005F78FC" w:rsidRDefault="00B42EF3">
      <w:pPr>
        <w:pStyle w:val="Definition-Field"/>
      </w:pPr>
      <w:r>
        <w:t xml:space="preserve">d.   </w:t>
      </w:r>
      <w:r>
        <w:rPr>
          <w:i/>
        </w:rPr>
        <w:t>The standard does not specify a default value for the iMeasureFld attribute.</w:t>
      </w:r>
    </w:p>
    <w:p w:rsidR="005F78FC" w:rsidRDefault="00B42EF3">
      <w:pPr>
        <w:pStyle w:val="Definition-Field2"/>
      </w:pPr>
      <w:r>
        <w:t>Excel uses a default value of 0 for this attribute.</w:t>
      </w:r>
    </w:p>
    <w:p w:rsidR="005F78FC" w:rsidRDefault="00B42EF3">
      <w:pPr>
        <w:pStyle w:val="Definition-Field"/>
      </w:pPr>
      <w:r>
        <w:t xml:space="preserve">e.   </w:t>
      </w:r>
      <w:r>
        <w:rPr>
          <w:i/>
        </w:rPr>
        <w:t>The standard does not state a maximum limit for the iMeasureFld attribute.</w:t>
      </w:r>
    </w:p>
    <w:p w:rsidR="005F78FC" w:rsidRDefault="00B42EF3">
      <w:pPr>
        <w:pStyle w:val="Definition-Field2"/>
      </w:pPr>
      <w:r>
        <w:t>Office specifies that @iMeasureFld be less than the data fields count. Office will not load a file that has @iMeasureFld greater or equal to the count of pivotFields.</w:t>
      </w:r>
    </w:p>
    <w:p w:rsidR="005F78FC" w:rsidRDefault="00B42EF3">
      <w:pPr>
        <w:pStyle w:val="Definition-Field"/>
      </w:pPr>
      <w:r>
        <w:t xml:space="preserve">f.   </w:t>
      </w:r>
      <w:r>
        <w:rPr>
          <w:i/>
        </w:rPr>
        <w:t>The stand</w:t>
      </w:r>
      <w:r>
        <w:rPr>
          <w:i/>
        </w:rPr>
        <w:t>ard does not state any restrictions on when the mpFld attribute can be used.</w:t>
      </w:r>
    </w:p>
    <w:p w:rsidR="005F78FC" w:rsidRDefault="00B42EF3">
      <w:pPr>
        <w:pStyle w:val="Definition-Field2"/>
      </w:pPr>
      <w:r>
        <w:t>Office assumes that the mpFld attribute is specific to OLAP PivotTables.</w:t>
      </w:r>
    </w:p>
    <w:p w:rsidR="005F78FC" w:rsidRDefault="00B42EF3">
      <w:pPr>
        <w:pStyle w:val="Definition-Field"/>
      </w:pPr>
      <w:r>
        <w:t xml:space="preserve">g.   </w:t>
      </w:r>
      <w:r>
        <w:rPr>
          <w:i/>
        </w:rPr>
        <w:t>The standard states that @evalOrder specifies the evaluation order of the pivot filter.</w:t>
      </w:r>
    </w:p>
    <w:p w:rsidR="005F78FC" w:rsidRDefault="00B42EF3">
      <w:pPr>
        <w:pStyle w:val="Definition-Field2"/>
      </w:pPr>
      <w:r>
        <w:t>In Office, th</w:t>
      </w:r>
      <w:r>
        <w:t>e value of -1 indicates that the order in which filters are applied is not relevant.</w:t>
      </w:r>
    </w:p>
    <w:p w:rsidR="005F78FC" w:rsidRDefault="00B42EF3">
      <w:pPr>
        <w:pStyle w:val="Heading3"/>
      </w:pPr>
      <w:bookmarkStart w:id="1540" w:name="section_f296125e31a94a82b171bb7c38652aa3"/>
      <w:bookmarkStart w:id="1541" w:name="_Toc69878543"/>
      <w:r>
        <w:t>Part 1 Section 18.10.1.35, format (PivotTable Format)</w:t>
      </w:r>
      <w:bookmarkEnd w:id="1540"/>
      <w:bookmarkEnd w:id="1541"/>
      <w:r>
        <w:fldChar w:fldCharType="begin"/>
      </w:r>
      <w:r>
        <w:instrText xml:space="preserve"> XE "format (PivotTable Format)" </w:instrText>
      </w:r>
      <w:r>
        <w:fldChar w:fldCharType="end"/>
      </w:r>
    </w:p>
    <w:p w:rsidR="005F78FC" w:rsidRDefault="00B42EF3">
      <w:pPr>
        <w:pStyle w:val="Definition-Field"/>
      </w:pPr>
      <w:r>
        <w:t xml:space="preserve">a.   </w:t>
      </w:r>
      <w:r>
        <w:rPr>
          <w:i/>
        </w:rPr>
        <w:t xml:space="preserve">The standard defines the action attribute as type ST_FormatAction, which </w:t>
      </w:r>
      <w:r>
        <w:rPr>
          <w:i/>
        </w:rPr>
        <w:t>contains Drill and Formula as values.</w:t>
      </w:r>
    </w:p>
    <w:p w:rsidR="005F78FC" w:rsidRDefault="00B42EF3">
      <w:pPr>
        <w:pStyle w:val="Definition-Field2"/>
      </w:pPr>
      <w:r>
        <w:t>Excel does not support the Drill and Formula values for the action attribute.</w:t>
      </w:r>
    </w:p>
    <w:p w:rsidR="005F78FC" w:rsidRDefault="00B42EF3">
      <w:pPr>
        <w:pStyle w:val="Heading3"/>
      </w:pPr>
      <w:bookmarkStart w:id="1542" w:name="section_a7ba5505eafb40878616d3f706eccbb1"/>
      <w:bookmarkStart w:id="1543" w:name="_Toc69878544"/>
      <w:r>
        <w:t>Part 1 Section 18.10.1.37, group (OLAP Group)</w:t>
      </w:r>
      <w:bookmarkEnd w:id="1542"/>
      <w:bookmarkEnd w:id="1543"/>
      <w:r>
        <w:fldChar w:fldCharType="begin"/>
      </w:r>
      <w:r>
        <w:instrText xml:space="preserve"> XE "group (OLAP Group)" </w:instrText>
      </w:r>
      <w:r>
        <w:fldChar w:fldCharType="end"/>
      </w:r>
    </w:p>
    <w:p w:rsidR="005F78FC" w:rsidRDefault="00B42EF3">
      <w:pPr>
        <w:pStyle w:val="Definition-Field"/>
      </w:pPr>
      <w:r>
        <w:t xml:space="preserve">a.   </w:t>
      </w:r>
      <w:r>
        <w:rPr>
          <w:i/>
        </w:rPr>
        <w:t>The standard does not define limitations on the valid values f</w:t>
      </w:r>
      <w:r>
        <w:rPr>
          <w:i/>
        </w:rPr>
        <w:t>or the id attribute.</w:t>
      </w:r>
    </w:p>
    <w:p w:rsidR="005F78FC" w:rsidRDefault="00B42EF3">
      <w:pPr>
        <w:pStyle w:val="Definition-Field2"/>
      </w:pPr>
      <w:r>
        <w:lastRenderedPageBreak/>
        <w:t>Office requires that the value of the id attribute be greater than 0.</w:t>
      </w:r>
    </w:p>
    <w:p w:rsidR="005F78FC" w:rsidRDefault="00B42EF3">
      <w:pPr>
        <w:pStyle w:val="Definition-Field"/>
      </w:pPr>
      <w:r>
        <w:t xml:space="preserve">b.   </w:t>
      </w:r>
      <w:r>
        <w:rPr>
          <w:i/>
        </w:rPr>
        <w:t>The standard does not define a length limitation to the value of @uniqueParent.</w:t>
      </w:r>
    </w:p>
    <w:p w:rsidR="005F78FC" w:rsidRDefault="00B42EF3">
      <w:pPr>
        <w:pStyle w:val="Definition-Field2"/>
      </w:pPr>
      <w:r>
        <w:t>Office limits the value of @uniqueParent to 65535 characters.</w:t>
      </w:r>
    </w:p>
    <w:p w:rsidR="005F78FC" w:rsidRDefault="00B42EF3">
      <w:pPr>
        <w:pStyle w:val="Definition-Field"/>
      </w:pPr>
      <w:r>
        <w:t xml:space="preserve">c.   </w:t>
      </w:r>
      <w:r>
        <w:rPr>
          <w:i/>
        </w:rPr>
        <w:t xml:space="preserve">The standard </w:t>
      </w:r>
      <w:r>
        <w:rPr>
          <w:i/>
        </w:rPr>
        <w:t>does not place limits on the length of @caption, @name, and @uniqueName.</w:t>
      </w:r>
    </w:p>
    <w:p w:rsidR="005F78FC" w:rsidRDefault="00B42EF3">
      <w:pPr>
        <w:pStyle w:val="Definition-Field2"/>
      </w:pPr>
      <w:r>
        <w:t>Office assumes that for @caption, @name, and @uniquename, if the value of pivotCacheDefinition@createdVersion is less than 3, the maximum length of these attributes is 255 characters.</w:t>
      </w:r>
    </w:p>
    <w:p w:rsidR="005F78FC" w:rsidRDefault="00B42EF3">
      <w:pPr>
        <w:pStyle w:val="Heading3"/>
      </w:pPr>
      <w:bookmarkStart w:id="1544" w:name="section_2036ae8e2a23494b89987f8f6400f5a7"/>
      <w:bookmarkStart w:id="1545" w:name="_Toc69878545"/>
      <w:r>
        <w:t>Part 1 Section 18.10.1.38, groupItems (OLAP Group Items)</w:t>
      </w:r>
      <w:bookmarkEnd w:id="1544"/>
      <w:bookmarkEnd w:id="1545"/>
      <w:r>
        <w:fldChar w:fldCharType="begin"/>
      </w:r>
      <w:r>
        <w:instrText xml:space="preserve"> XE "groupItems (OLAP Group Items)" </w:instrText>
      </w:r>
      <w:r>
        <w:fldChar w:fldCharType="end"/>
      </w:r>
    </w:p>
    <w:p w:rsidR="005F78FC" w:rsidRDefault="00B42EF3">
      <w:pPr>
        <w:pStyle w:val="Definition-Field"/>
      </w:pPr>
      <w:r>
        <w:t xml:space="preserve">a.   </w:t>
      </w:r>
      <w:r>
        <w:rPr>
          <w:i/>
        </w:rPr>
        <w:t>The standard states that the groupItems element defines OLAP Group Items.</w:t>
      </w:r>
    </w:p>
    <w:p w:rsidR="005F78FC" w:rsidRDefault="00B42EF3">
      <w:pPr>
        <w:pStyle w:val="Definition-Field2"/>
      </w:pPr>
      <w:r>
        <w:t>In Office, the groupItems element does not apply to OLAP PivotTables.</w:t>
      </w:r>
    </w:p>
    <w:p w:rsidR="005F78FC" w:rsidRDefault="00B42EF3">
      <w:pPr>
        <w:pStyle w:val="Heading3"/>
      </w:pPr>
      <w:bookmarkStart w:id="1546" w:name="section_81b11533f75341848ef6d40b5d9fe67a"/>
      <w:bookmarkStart w:id="1547" w:name="_Toc69878546"/>
      <w:r>
        <w:t>Part 1 Sect</w:t>
      </w:r>
      <w:r>
        <w:t>ion 18.10.1.39, groupLevel (OLAP Grouping Levels)</w:t>
      </w:r>
      <w:bookmarkEnd w:id="1546"/>
      <w:bookmarkEnd w:id="1547"/>
      <w:r>
        <w:fldChar w:fldCharType="begin"/>
      </w:r>
      <w:r>
        <w:instrText xml:space="preserve"> XE "groupLevel (OLAP Grouping Levels)" </w:instrText>
      </w:r>
      <w:r>
        <w:fldChar w:fldCharType="end"/>
      </w:r>
    </w:p>
    <w:p w:rsidR="005F78FC" w:rsidRDefault="00B42EF3">
      <w:pPr>
        <w:pStyle w:val="Definition-Field"/>
      </w:pPr>
      <w:r>
        <w:t xml:space="preserve">a.   </w:t>
      </w:r>
      <w:r>
        <w:rPr>
          <w:i/>
        </w:rPr>
        <w:t>The standard does not limit the length of the value of the caption attribute.</w:t>
      </w:r>
    </w:p>
    <w:p w:rsidR="005F78FC" w:rsidRDefault="00B42EF3">
      <w:pPr>
        <w:pStyle w:val="Definition-Field2"/>
      </w:pPr>
      <w:r>
        <w:t>Excel restricts the value of this attribute to be at most 255 characters when the</w:t>
      </w:r>
      <w:r>
        <w:t xml:space="preserve"> createdVersion attribute on the pivotCacheDefinition element is less than 3 and 32767 characters otherwise.</w:t>
      </w:r>
    </w:p>
    <w:p w:rsidR="005F78FC" w:rsidRDefault="00B42EF3">
      <w:pPr>
        <w:pStyle w:val="Definition-Field"/>
      </w:pPr>
      <w:r>
        <w:t xml:space="preserve">b.   </w:t>
      </w:r>
      <w:r>
        <w:rPr>
          <w:i/>
        </w:rPr>
        <w:t>The standard does not limit the length of the value of the uniqueName attribute.</w:t>
      </w:r>
    </w:p>
    <w:p w:rsidR="005F78FC" w:rsidRDefault="00B42EF3">
      <w:pPr>
        <w:pStyle w:val="Definition-Field2"/>
      </w:pPr>
      <w:r>
        <w:t>Excel restricts the value of this attribute to be at most 255</w:t>
      </w:r>
      <w:r>
        <w:t xml:space="preserve"> characters when the createdVersion attribute on the pivotCacheDefinition element is less than 3 and 32767 characters otherwise.</w:t>
      </w:r>
    </w:p>
    <w:p w:rsidR="005F78FC" w:rsidRDefault="00B42EF3">
      <w:pPr>
        <w:pStyle w:val="Heading3"/>
      </w:pPr>
      <w:bookmarkStart w:id="1548" w:name="section_f03cfcd582bc4feeb7b7b539677a55bf"/>
      <w:bookmarkStart w:id="1549" w:name="_Toc69878547"/>
      <w:r>
        <w:t>Part 1 Section 18.10.1.41, groupMember (OLAP Group Member)</w:t>
      </w:r>
      <w:bookmarkEnd w:id="1548"/>
      <w:bookmarkEnd w:id="1549"/>
      <w:r>
        <w:fldChar w:fldCharType="begin"/>
      </w:r>
      <w:r>
        <w:instrText xml:space="preserve"> XE "groupMember (OLAP Group Member)" </w:instrText>
      </w:r>
      <w:r>
        <w:fldChar w:fldCharType="end"/>
      </w:r>
    </w:p>
    <w:p w:rsidR="005F78FC" w:rsidRDefault="00B42EF3">
      <w:pPr>
        <w:pStyle w:val="Definition-Field"/>
      </w:pPr>
      <w:r>
        <w:t xml:space="preserve">a.   </w:t>
      </w:r>
      <w:r>
        <w:rPr>
          <w:i/>
        </w:rPr>
        <w:t xml:space="preserve">The standard does not </w:t>
      </w:r>
      <w:r>
        <w:rPr>
          <w:i/>
        </w:rPr>
        <w:t>limit the length of the value of the uniqueName attribute.</w:t>
      </w:r>
    </w:p>
    <w:p w:rsidR="005F78FC" w:rsidRDefault="00B42EF3">
      <w:pPr>
        <w:pStyle w:val="Definition-Field2"/>
      </w:pPr>
      <w:r>
        <w:t>Excel restricts the value of this attribute to be at least 1 and at most 65535 characters.</w:t>
      </w:r>
    </w:p>
    <w:p w:rsidR="005F78FC" w:rsidRDefault="00B42EF3">
      <w:pPr>
        <w:pStyle w:val="Heading3"/>
      </w:pPr>
      <w:bookmarkStart w:id="1550" w:name="section_9ddef91206834190bad8456a7ddfca85"/>
      <w:bookmarkStart w:id="1551" w:name="_Toc69878548"/>
      <w:r>
        <w:t>Part 1 Section 18.10.1.44, i (Row Items)</w:t>
      </w:r>
      <w:bookmarkEnd w:id="1550"/>
      <w:bookmarkEnd w:id="1551"/>
      <w:r>
        <w:fldChar w:fldCharType="begin"/>
      </w:r>
      <w:r>
        <w:instrText xml:space="preserve"> XE "i (Row Items)" </w:instrText>
      </w:r>
      <w:r>
        <w:fldChar w:fldCharType="end"/>
      </w:r>
    </w:p>
    <w:p w:rsidR="005F78FC" w:rsidRDefault="00B42EF3">
      <w:pPr>
        <w:pStyle w:val="Definition-Field"/>
      </w:pPr>
      <w:r>
        <w:t xml:space="preserve">a.   </w:t>
      </w:r>
      <w:r>
        <w:rPr>
          <w:i/>
        </w:rPr>
        <w:t>The standard does not specify restrict</w:t>
      </w:r>
      <w:r>
        <w:rPr>
          <w:i/>
        </w:rPr>
        <w:t>ions on the i attribute.</w:t>
      </w:r>
    </w:p>
    <w:p w:rsidR="005F78FC" w:rsidRDefault="00B42EF3">
      <w:pPr>
        <w:pStyle w:val="Definition-Field2"/>
      </w:pPr>
      <w:r>
        <w:t>Office specifies that the i attribute should be 0 if the dataFields collection is empty and should be less than number of elements in that collection otherwise.</w:t>
      </w:r>
    </w:p>
    <w:p w:rsidR="005F78FC" w:rsidRDefault="00B42EF3">
      <w:pPr>
        <w:pStyle w:val="Definition-Field"/>
      </w:pPr>
      <w:r>
        <w:t xml:space="preserve">b.   </w:t>
      </w:r>
      <w:r>
        <w:rPr>
          <w:i/>
        </w:rPr>
        <w:t>The standard states that a value of default on the t attribute in</w:t>
      </w:r>
      <w:r>
        <w:rPr>
          <w:i/>
        </w:rPr>
        <w:t>dicates a grand total as the last row item value.</w:t>
      </w:r>
    </w:p>
    <w:p w:rsidR="005F78FC" w:rsidRDefault="00B42EF3">
      <w:pPr>
        <w:pStyle w:val="Definition-Field2"/>
      </w:pPr>
      <w:r>
        <w:t>Excel uses the definition from the ST_ItemType simple type for the definition of this value.</w:t>
      </w:r>
    </w:p>
    <w:p w:rsidR="005F78FC" w:rsidRDefault="00B42EF3">
      <w:pPr>
        <w:pStyle w:val="Definition-Field"/>
      </w:pPr>
      <w:r>
        <w:t xml:space="preserve">c.   </w:t>
      </w:r>
      <w:r>
        <w:rPr>
          <w:i/>
        </w:rPr>
        <w:t>The standard does not place restrictions on the value of the r attribute.</w:t>
      </w:r>
    </w:p>
    <w:p w:rsidR="005F78FC" w:rsidRDefault="00B42EF3">
      <w:r>
        <w:t>In Office, if the r attribute is n</w:t>
      </w:r>
      <w:r>
        <w:t>ot 0, then the sum of the r attribute and number of x attribute elements must be less or equal to the number of elements in the rowFields or colFields collections, depending on context. The r attribute shall not exceed the number of items in the previous r</w:t>
      </w:r>
      <w:r>
        <w:t>ow item.</w:t>
      </w:r>
    </w:p>
    <w:p w:rsidR="005F78FC" w:rsidRDefault="00B42EF3">
      <w:pPr>
        <w:pStyle w:val="Definition-Field"/>
      </w:pPr>
      <w:r>
        <w:t xml:space="preserve">d.   </w:t>
      </w:r>
      <w:r>
        <w:rPr>
          <w:i/>
        </w:rPr>
        <w:t>The standard does not specify the relationship of x elements to pivotFields.</w:t>
      </w:r>
    </w:p>
    <w:p w:rsidR="005F78FC" w:rsidRDefault="00B42EF3">
      <w:r>
        <w:t xml:space="preserve">Office defines the relationship between x elements and pivotFields as follows: </w:t>
      </w:r>
    </w:p>
    <w:p w:rsidR="005F78FC" w:rsidRDefault="00B42EF3">
      <w:r>
        <w:lastRenderedPageBreak/>
        <w:t xml:space="preserve">The </w:t>
      </w:r>
      <w:r>
        <w:rPr>
          <w:b/>
        </w:rPr>
        <w:t>v</w:t>
      </w:r>
      <w:r>
        <w:t xml:space="preserve"> attribute of the </w:t>
      </w:r>
      <w:r>
        <w:rPr>
          <w:b/>
        </w:rPr>
        <w:t>x</w:t>
      </w:r>
      <w:r>
        <w:t xml:space="preserve"> element shall be </w:t>
      </w:r>
      <w:r>
        <w:rPr>
          <w:i/>
        </w:rPr>
        <w:t>1048832</w:t>
      </w:r>
      <w:r>
        <w:t xml:space="preserve"> (specifying that no item appears at this position) or a valid item index in its pivot field. </w:t>
      </w:r>
    </w:p>
    <w:p w:rsidR="005F78FC" w:rsidRDefault="00B42EF3">
      <w:r>
        <w:t xml:space="preserve">The axis index, of a child item </w:t>
      </w:r>
      <w:r>
        <w:rPr>
          <w:b/>
        </w:rPr>
        <w:t>x</w:t>
      </w:r>
      <w:r>
        <w:t xml:space="preserve">, is calculated as the value of </w:t>
      </w:r>
      <w:r>
        <w:rPr>
          <w:b/>
        </w:rPr>
        <w:t>r</w:t>
      </w:r>
      <w:r>
        <w:t xml:space="preserve"> plus the index of the </w:t>
      </w:r>
      <w:r>
        <w:rPr>
          <w:b/>
        </w:rPr>
        <w:t>x</w:t>
      </w:r>
      <w:r>
        <w:t xml:space="preserve"> element within the collection in this element. The field index is calc</w:t>
      </w:r>
      <w:r>
        <w:t>ulated as given by the</w:t>
      </w:r>
      <w:r>
        <w:rPr>
          <w:b/>
        </w:rPr>
        <w:t xml:space="preserve"> x</w:t>
      </w:r>
      <w:r>
        <w:t xml:space="preserve"> attribute of the</w:t>
      </w:r>
      <w:r>
        <w:rPr>
          <w:b/>
        </w:rPr>
        <w:t xml:space="preserve"> field</w:t>
      </w:r>
      <w:r>
        <w:t xml:space="preserve"> element, at the position given by the axis index, in either the </w:t>
      </w:r>
      <w:r>
        <w:rPr>
          <w:b/>
        </w:rPr>
        <w:t>colFields</w:t>
      </w:r>
      <w:r>
        <w:t xml:space="preserve"> element ("</w:t>
      </w:r>
      <w:hyperlink r:id="rId134">
        <w:r>
          <w:rPr>
            <w:rStyle w:val="Hyperlink"/>
          </w:rPr>
          <w:t>[ISO/IEC-29500-1]</w:t>
        </w:r>
      </w:hyperlink>
      <w:r>
        <w:t xml:space="preserve"> §18.10.1.14; colFields"), if the parent </w:t>
      </w:r>
      <w:r>
        <w:t xml:space="preserve">of this element is </w:t>
      </w:r>
      <w:r>
        <w:rPr>
          <w:b/>
        </w:rPr>
        <w:t>colItems,</w:t>
      </w:r>
      <w:r>
        <w:t xml:space="preserve"> or the </w:t>
      </w:r>
      <w:r>
        <w:rPr>
          <w:b/>
        </w:rPr>
        <w:t xml:space="preserve">rowFields </w:t>
      </w:r>
      <w:r>
        <w:t xml:space="preserve">element ("[ISO/IEC-29500-1] §18.10.1.81; rowFields"), if the parent of this element is </w:t>
      </w:r>
      <w:r>
        <w:rPr>
          <w:b/>
        </w:rPr>
        <w:t>rowItems</w:t>
      </w:r>
      <w:r>
        <w:t xml:space="preserve">. </w:t>
      </w:r>
    </w:p>
    <w:p w:rsidR="005F78FC" w:rsidRDefault="00B42EF3">
      <w:r>
        <w:t xml:space="preserve">If the field index is </w:t>
      </w:r>
      <w:r>
        <w:rPr>
          <w:i/>
        </w:rPr>
        <w:t>-2</w:t>
      </w:r>
      <w:r>
        <w:t xml:space="preserve"> valid item indexes, for the </w:t>
      </w:r>
      <w:r>
        <w:rPr>
          <w:b/>
        </w:rPr>
        <w:t>v</w:t>
      </w:r>
      <w:r>
        <w:t xml:space="preserve"> attribute of the </w:t>
      </w:r>
      <w:r>
        <w:rPr>
          <w:b/>
        </w:rPr>
        <w:t>x</w:t>
      </w:r>
      <w:r>
        <w:t xml:space="preserve"> child, shall be less than the number o</w:t>
      </w:r>
      <w:r>
        <w:t xml:space="preserve">f elements in the </w:t>
      </w:r>
      <w:r>
        <w:rPr>
          <w:b/>
        </w:rPr>
        <w:t>dataFields</w:t>
      </w:r>
      <w:r>
        <w:t xml:space="preserve"> collection ("[ISO/IEC-29500-1] §18.10.1.23; dataFields"). Otherwise valid item indexes, for the </w:t>
      </w:r>
      <w:r>
        <w:rPr>
          <w:b/>
        </w:rPr>
        <w:t>v</w:t>
      </w:r>
      <w:r>
        <w:t xml:space="preserve"> attribute of the </w:t>
      </w:r>
      <w:r>
        <w:rPr>
          <w:b/>
        </w:rPr>
        <w:t>x</w:t>
      </w:r>
      <w:r>
        <w:t xml:space="preserve"> child, shall be less than the number of elements in the </w:t>
      </w:r>
      <w:r>
        <w:rPr>
          <w:b/>
        </w:rPr>
        <w:t>items</w:t>
      </w:r>
      <w:r>
        <w:t xml:space="preserve"> collection ("[ISO/IEC-29500-1] §18.10.1.46; item</w:t>
      </w:r>
      <w:r>
        <w:t xml:space="preserve">s") of the </w:t>
      </w:r>
      <w:r>
        <w:rPr>
          <w:b/>
        </w:rPr>
        <w:t>pivotField,</w:t>
      </w:r>
      <w:r>
        <w:t xml:space="preserve"> at the index given by the field index in the pivotFields ("[ISO/IEC-29500-1] §18.10.1.70; pivotFields").</w:t>
      </w:r>
    </w:p>
    <w:p w:rsidR="005F78FC" w:rsidRDefault="00B42EF3">
      <w:pPr>
        <w:pStyle w:val="Heading3"/>
      </w:pPr>
      <w:bookmarkStart w:id="1552" w:name="section_ff55420d79e34576a52022578daf0e91"/>
      <w:bookmarkStart w:id="1553" w:name="_Toc69878549"/>
      <w:r>
        <w:t>Part 1 Section 18.10.1.45, item (PivotTable Field Item)</w:t>
      </w:r>
      <w:bookmarkEnd w:id="1552"/>
      <w:bookmarkEnd w:id="1553"/>
      <w:r>
        <w:fldChar w:fldCharType="begin"/>
      </w:r>
      <w:r>
        <w:instrText xml:space="preserve"> XE "item (PivotTable Field Item)" </w:instrText>
      </w:r>
      <w:r>
        <w:fldChar w:fldCharType="end"/>
      </w:r>
    </w:p>
    <w:p w:rsidR="005F78FC" w:rsidRDefault="00B42EF3">
      <w:pPr>
        <w:pStyle w:val="Definition-Field"/>
      </w:pPr>
      <w:r>
        <w:t xml:space="preserve">a.   </w:t>
      </w:r>
      <w:r>
        <w:rPr>
          <w:i/>
        </w:rPr>
        <w:t>The standard states that the s</w:t>
      </w:r>
      <w:r>
        <w:rPr>
          <w:i/>
        </w:rPr>
        <w:t xml:space="preserve"> attribute specifies if the item has a character value.</w:t>
      </w:r>
    </w:p>
    <w:p w:rsidR="005F78FC" w:rsidRDefault="00B42EF3">
      <w:pPr>
        <w:pStyle w:val="Definition-Field2"/>
      </w:pPr>
      <w:r>
        <w:t>Excel uses the s attribute to specify if the item has a manual filter applied.</w:t>
      </w:r>
    </w:p>
    <w:p w:rsidR="005F78FC" w:rsidRDefault="00B42EF3">
      <w:pPr>
        <w:pStyle w:val="Definition-Field"/>
      </w:pPr>
      <w:r>
        <w:t xml:space="preserve">b.   </w:t>
      </w:r>
      <w:r>
        <w:rPr>
          <w:i/>
        </w:rPr>
        <w:t>The standard does not require any ordering of the child item elements.</w:t>
      </w:r>
    </w:p>
    <w:p w:rsidR="005F78FC" w:rsidRDefault="00B42EF3">
      <w:pPr>
        <w:pStyle w:val="Definition-Field2"/>
      </w:pPr>
      <w:r>
        <w:t xml:space="preserve">In Office, any item elements that have the t </w:t>
      </w:r>
      <w:r>
        <w:t>attribute equal to the default value must appear before item elements with other values.</w:t>
      </w:r>
    </w:p>
    <w:p w:rsidR="005F78FC" w:rsidRDefault="00B42EF3">
      <w:pPr>
        <w:pStyle w:val="Definition-Field"/>
      </w:pPr>
      <w:r>
        <w:t xml:space="preserve">c.   </w:t>
      </w:r>
      <w:r>
        <w:rPr>
          <w:i/>
        </w:rPr>
        <w:t>The standard does not restrict the c attribute to OLAP PivotTables.</w:t>
      </w:r>
    </w:p>
    <w:p w:rsidR="005F78FC" w:rsidRDefault="00B42EF3">
      <w:pPr>
        <w:pStyle w:val="Definition-Field2"/>
      </w:pPr>
      <w:r>
        <w:t>Excel allows the c attribute only for OLAP PivotTables.</w:t>
      </w:r>
    </w:p>
    <w:p w:rsidR="005F78FC" w:rsidRDefault="00B42EF3">
      <w:pPr>
        <w:pStyle w:val="Definition-Field"/>
      </w:pPr>
      <w:r>
        <w:t xml:space="preserve">d.   </w:t>
      </w:r>
      <w:r>
        <w:rPr>
          <w:i/>
        </w:rPr>
        <w:t xml:space="preserve">The standard does not restrict </w:t>
      </w:r>
      <w:r>
        <w:rPr>
          <w:i/>
        </w:rPr>
        <w:t>the d attribute to OLAP PivotTables.</w:t>
      </w:r>
    </w:p>
    <w:p w:rsidR="005F78FC" w:rsidRDefault="00B42EF3">
      <w:pPr>
        <w:pStyle w:val="Definition-Field2"/>
      </w:pPr>
      <w:r>
        <w:t>Excel allows the d attribute for OLAP PivotTables only.</w:t>
      </w:r>
    </w:p>
    <w:p w:rsidR="005F78FC" w:rsidRDefault="00B42EF3">
      <w:pPr>
        <w:pStyle w:val="Definition-Field"/>
      </w:pPr>
      <w:r>
        <w:t xml:space="preserve">e.   </w:t>
      </w:r>
      <w:r>
        <w:rPr>
          <w:i/>
        </w:rPr>
        <w:t>The standard does not restrict the e attribute to OLAP PivotTables only.</w:t>
      </w:r>
    </w:p>
    <w:p w:rsidR="005F78FC" w:rsidRDefault="00B42EF3">
      <w:pPr>
        <w:pStyle w:val="Definition-Field2"/>
      </w:pPr>
      <w:r>
        <w:t>Excel allows the e attribute for OLAP PivotTables only.</w:t>
      </w:r>
    </w:p>
    <w:p w:rsidR="005F78FC" w:rsidRDefault="00B42EF3">
      <w:pPr>
        <w:pStyle w:val="Definition-Field"/>
      </w:pPr>
      <w:r>
        <w:t xml:space="preserve">f.   </w:t>
      </w:r>
      <w:r>
        <w:rPr>
          <w:i/>
        </w:rPr>
        <w:t>The standard does not re</w:t>
      </w:r>
      <w:r>
        <w:rPr>
          <w:i/>
        </w:rPr>
        <w:t>strict the f attribute to non-OLAP PivotTables.</w:t>
      </w:r>
    </w:p>
    <w:p w:rsidR="005F78FC" w:rsidRDefault="00B42EF3">
      <w:pPr>
        <w:pStyle w:val="Definition-Field2"/>
      </w:pPr>
      <w:r>
        <w:t>Excel allows the f attribute in non-OLAP PivotTables only.</w:t>
      </w:r>
    </w:p>
    <w:p w:rsidR="005F78FC" w:rsidRDefault="00B42EF3">
      <w:pPr>
        <w:pStyle w:val="Definition-Field"/>
      </w:pPr>
      <w:r>
        <w:t xml:space="preserve">g.   </w:t>
      </w:r>
      <w:r>
        <w:rPr>
          <w:i/>
        </w:rPr>
        <w:t>The standard does not restrict the h attribute to non-OLAP PivotTables.</w:t>
      </w:r>
    </w:p>
    <w:p w:rsidR="005F78FC" w:rsidRDefault="00B42EF3">
      <w:pPr>
        <w:pStyle w:val="Definition-Field2"/>
      </w:pPr>
      <w:r>
        <w:t>Excel allows the h attribute in non-OLAP PivotTables only.</w:t>
      </w:r>
    </w:p>
    <w:p w:rsidR="005F78FC" w:rsidRDefault="00B42EF3">
      <w:pPr>
        <w:pStyle w:val="Definition-Field"/>
      </w:pPr>
      <w:r>
        <w:t xml:space="preserve">h.   </w:t>
      </w:r>
      <w:r>
        <w:rPr>
          <w:i/>
        </w:rPr>
        <w:t>The stan</w:t>
      </w:r>
      <w:r>
        <w:rPr>
          <w:i/>
        </w:rPr>
        <w:t>dard does not restrict the m attribute to non-OLAP PivotTables.</w:t>
      </w:r>
    </w:p>
    <w:p w:rsidR="005F78FC" w:rsidRDefault="00B42EF3">
      <w:pPr>
        <w:pStyle w:val="Definition-Field2"/>
      </w:pPr>
      <w:r>
        <w:t>Excel allows the m attribute in non-OLAP PivotTables only.</w:t>
      </w:r>
    </w:p>
    <w:p w:rsidR="005F78FC" w:rsidRDefault="00B42EF3">
      <w:pPr>
        <w:pStyle w:val="Definition-Field"/>
      </w:pPr>
      <w:r>
        <w:t xml:space="preserve">i.   </w:t>
      </w:r>
      <w:r>
        <w:rPr>
          <w:i/>
        </w:rPr>
        <w:t>The standard does not restrict the s attribute to OLAP PivotTables.</w:t>
      </w:r>
    </w:p>
    <w:p w:rsidR="005F78FC" w:rsidRDefault="00B42EF3">
      <w:pPr>
        <w:pStyle w:val="Definition-Field2"/>
      </w:pPr>
      <w:r>
        <w:t>Excel allows the s attribute in OLAP PivotTables only.</w:t>
      </w:r>
    </w:p>
    <w:p w:rsidR="005F78FC" w:rsidRDefault="00B42EF3">
      <w:pPr>
        <w:pStyle w:val="Definition-Field"/>
      </w:pPr>
      <w:r>
        <w:t xml:space="preserve">j.   </w:t>
      </w:r>
      <w:r>
        <w:rPr>
          <w:i/>
        </w:rPr>
        <w:t>The standard does not restrict the sd attribute to non-OLAP PivotTables.</w:t>
      </w:r>
    </w:p>
    <w:p w:rsidR="005F78FC" w:rsidRDefault="00B42EF3">
      <w:pPr>
        <w:pStyle w:val="Definition-Field2"/>
      </w:pPr>
      <w:r>
        <w:t>Excel allows the sd attribute in non-OLAP PivotTables only.</w:t>
      </w:r>
    </w:p>
    <w:p w:rsidR="005F78FC" w:rsidRDefault="00B42EF3">
      <w:pPr>
        <w:pStyle w:val="Definition-Field"/>
      </w:pPr>
      <w:r>
        <w:t xml:space="preserve">k.   </w:t>
      </w:r>
      <w:r>
        <w:rPr>
          <w:i/>
        </w:rPr>
        <w:t>The standard restricts the x attribute to non-OLAP PivotTables only.</w:t>
      </w:r>
    </w:p>
    <w:p w:rsidR="005F78FC" w:rsidRDefault="00B42EF3">
      <w:pPr>
        <w:pStyle w:val="Definition-Field2"/>
      </w:pPr>
      <w:r>
        <w:t>Excel allows the x attribute in both OLAP and non</w:t>
      </w:r>
      <w:r>
        <w:t>-OLAP PivotTables.</w:t>
      </w:r>
    </w:p>
    <w:p w:rsidR="005F78FC" w:rsidRDefault="00B42EF3">
      <w:pPr>
        <w:pStyle w:val="Definition-Field"/>
      </w:pPr>
      <w:r>
        <w:lastRenderedPageBreak/>
        <w:t xml:space="preserve">l.   </w:t>
      </w:r>
      <w:r>
        <w:rPr>
          <w:i/>
        </w:rPr>
        <w:t>The standard states that the sd attribute indicates whether the details are hidden for an item.</w:t>
      </w:r>
    </w:p>
    <w:p w:rsidR="005F78FC" w:rsidRDefault="00B42EF3">
      <w:pPr>
        <w:pStyle w:val="Definition-Field2"/>
      </w:pPr>
      <w:r>
        <w:t xml:space="preserve">Excel uses the sd attribute to indicate whether the item is expanded.  A value of true indicates item details are shown.  A value of </w:t>
      </w:r>
      <w:r>
        <w:t>false indicates item details are hidden.</w:t>
      </w:r>
    </w:p>
    <w:p w:rsidR="005F78FC" w:rsidRDefault="00B42EF3">
      <w:pPr>
        <w:pStyle w:val="Definition-Field"/>
      </w:pPr>
      <w:r>
        <w:t xml:space="preserve">m.   </w:t>
      </w:r>
      <w:r>
        <w:rPr>
          <w:i/>
        </w:rPr>
        <w:t>The standard does not specify when the x attribute is required.</w:t>
      </w:r>
    </w:p>
    <w:p w:rsidR="005F78FC" w:rsidRDefault="00B42EF3">
      <w:pPr>
        <w:pStyle w:val="Definition-Field2"/>
      </w:pPr>
      <w:r>
        <w:t>Excel requires the x attribute when the value of the t attribute is data.</w:t>
      </w:r>
    </w:p>
    <w:p w:rsidR="005F78FC" w:rsidRDefault="00B42EF3">
      <w:pPr>
        <w:pStyle w:val="Definition-Field"/>
      </w:pPr>
      <w:r>
        <w:t xml:space="preserve">n.   </w:t>
      </w:r>
      <w:r>
        <w:rPr>
          <w:i/>
        </w:rPr>
        <w:t>The standard states that the x attribute specifies an index to an i</w:t>
      </w:r>
      <w:r>
        <w:rPr>
          <w:i/>
        </w:rPr>
        <w:t>tem in the pivotFields collection.</w:t>
      </w:r>
    </w:p>
    <w:p w:rsidR="005F78FC" w:rsidRDefault="00B42EF3">
      <w:pPr>
        <w:pStyle w:val="Definition-Field2"/>
      </w:pPr>
      <w:r>
        <w:t>Excel uses the x attribute to specify an index to an item in the sharedItems collection for this pivotField.</w:t>
      </w:r>
    </w:p>
    <w:p w:rsidR="005F78FC" w:rsidRDefault="00B42EF3">
      <w:pPr>
        <w:pStyle w:val="Definition-Field"/>
      </w:pPr>
      <w:r>
        <w:t xml:space="preserve">o.   </w:t>
      </w:r>
      <w:r>
        <w:rPr>
          <w:i/>
        </w:rPr>
        <w:t>The standard does not specify when the x attribute values should be unique for item elements in an items co</w:t>
      </w:r>
      <w:r>
        <w:rPr>
          <w:i/>
        </w:rPr>
        <w:t>llection.</w:t>
      </w:r>
    </w:p>
    <w:p w:rsidR="005F78FC" w:rsidRDefault="00B42EF3">
      <w:pPr>
        <w:pStyle w:val="Definition-Field2"/>
      </w:pPr>
      <w:r>
        <w:t>Excel requires the x attribute values to be unique for item elements in an items collection.</w:t>
      </w:r>
    </w:p>
    <w:p w:rsidR="005F78FC" w:rsidRDefault="00B42EF3">
      <w:pPr>
        <w:pStyle w:val="Definition-Field"/>
      </w:pPr>
      <w:r>
        <w:t xml:space="preserve">p.   </w:t>
      </w:r>
      <w:r>
        <w:rPr>
          <w:i/>
        </w:rPr>
        <w:t>The standard states that the m attribute indicates whether the item's value is missing.</w:t>
      </w:r>
    </w:p>
    <w:p w:rsidR="005F78FC" w:rsidRDefault="00B42EF3">
      <w:pPr>
        <w:pStyle w:val="Definition-Field2"/>
      </w:pPr>
      <w:r>
        <w:t>Excel uses the m attribute to indicate whether the item itse</w:t>
      </w:r>
      <w:r>
        <w:t>lf is missing from the source data.</w:t>
      </w:r>
    </w:p>
    <w:p w:rsidR="005F78FC" w:rsidRDefault="00B42EF3">
      <w:pPr>
        <w:pStyle w:val="Definition-Field"/>
      </w:pPr>
      <w:r>
        <w:t xml:space="preserve">q.   </w:t>
      </w:r>
      <w:r>
        <w:rPr>
          <w:i/>
        </w:rPr>
        <w:t>The standard does not restrict the length of the n attribute.</w:t>
      </w:r>
    </w:p>
    <w:p w:rsidR="005F78FC" w:rsidRDefault="00B42EF3">
      <w:pPr>
        <w:pStyle w:val="Definition-Field2"/>
      </w:pPr>
      <w:r>
        <w:t>Office requires that the n attribute be no longer than 32767 characters, or 255 characters when the PivotTable version is less than 3.</w:t>
      </w:r>
    </w:p>
    <w:p w:rsidR="005F78FC" w:rsidRDefault="00B42EF3">
      <w:pPr>
        <w:pStyle w:val="Definition-Field"/>
      </w:pPr>
      <w:r>
        <w:t xml:space="preserve">r.   </w:t>
      </w:r>
      <w:r>
        <w:rPr>
          <w:i/>
        </w:rPr>
        <w:t xml:space="preserve">The standard </w:t>
      </w:r>
      <w:r>
        <w:rPr>
          <w:i/>
        </w:rPr>
        <w:t>does not restrict the value of the n attribute.</w:t>
      </w:r>
    </w:p>
    <w:p w:rsidR="005F78FC" w:rsidRDefault="00B42EF3">
      <w:pPr>
        <w:pStyle w:val="Definition-Field2"/>
      </w:pPr>
      <w:r>
        <w:t>Office requires for non-OLAP PivotTables that, if present, the value of the n attribute be unique within the containing pivotField.</w:t>
      </w:r>
    </w:p>
    <w:p w:rsidR="005F78FC" w:rsidRDefault="00B42EF3">
      <w:pPr>
        <w:pStyle w:val="Definition-Field"/>
      </w:pPr>
      <w:r>
        <w:t xml:space="preserve">s.   </w:t>
      </w:r>
      <w:r>
        <w:rPr>
          <w:i/>
        </w:rPr>
        <w:t>The standard does not restrict the value of the t attribute with respec</w:t>
      </w:r>
      <w:r>
        <w:rPr>
          <w:i/>
        </w:rPr>
        <w:t>t to other attributes.</w:t>
      </w:r>
    </w:p>
    <w:p w:rsidR="005F78FC" w:rsidRDefault="00B42EF3">
      <w:pPr>
        <w:pStyle w:val="Definition-Field2"/>
      </w:pPr>
      <w:r>
        <w:t>Office requires that the f, h, m, and d attributes be the default values if the t attribute has a value other than data.</w:t>
      </w:r>
    </w:p>
    <w:p w:rsidR="005F78FC" w:rsidRDefault="00B42EF3">
      <w:pPr>
        <w:pStyle w:val="Definition-Field"/>
      </w:pPr>
      <w:r>
        <w:t xml:space="preserve">t.   </w:t>
      </w:r>
      <w:r>
        <w:rPr>
          <w:i/>
        </w:rPr>
        <w:t>The standard does not restrict the possible values for the t attribute within ST_ItemType.</w:t>
      </w:r>
    </w:p>
    <w:p w:rsidR="005F78FC" w:rsidRDefault="00B42EF3">
      <w:pPr>
        <w:pStyle w:val="Definition-Field2"/>
      </w:pPr>
      <w:r>
        <w:t xml:space="preserve">Office does not </w:t>
      </w:r>
      <w:r>
        <w:t>allow blank or grand as values for the t attribute in the item element.</w:t>
      </w:r>
    </w:p>
    <w:p w:rsidR="005F78FC" w:rsidRDefault="00B42EF3">
      <w:pPr>
        <w:pStyle w:val="Heading3"/>
      </w:pPr>
      <w:bookmarkStart w:id="1554" w:name="section_8c5ed3f97cb44debb3b968dd78fc4177"/>
      <w:bookmarkStart w:id="1555" w:name="_Toc69878550"/>
      <w:r>
        <w:t>Part 1 Section 18.10.1.46, items (Field Items)</w:t>
      </w:r>
      <w:bookmarkEnd w:id="1554"/>
      <w:bookmarkEnd w:id="1555"/>
      <w:r>
        <w:fldChar w:fldCharType="begin"/>
      </w:r>
      <w:r>
        <w:instrText xml:space="preserve"> XE "items (Field Items)" </w:instrText>
      </w:r>
      <w:r>
        <w:fldChar w:fldCharType="end"/>
      </w:r>
    </w:p>
    <w:p w:rsidR="005F78FC" w:rsidRDefault="00B42EF3">
      <w:pPr>
        <w:pStyle w:val="Definition-Field"/>
      </w:pPr>
      <w:r>
        <w:t xml:space="preserve">a.   </w:t>
      </w:r>
      <w:r>
        <w:rPr>
          <w:i/>
        </w:rPr>
        <w:t>The standard says that @count specifies the number of fields in the PivotTable.</w:t>
      </w:r>
    </w:p>
    <w:p w:rsidR="005F78FC" w:rsidRDefault="00B42EF3">
      <w:pPr>
        <w:pStyle w:val="Definition-Field2"/>
      </w:pPr>
      <w:r>
        <w:t>In Office @count specifi</w:t>
      </w:r>
      <w:r>
        <w:t>es the number of items in the pivotField.</w:t>
      </w:r>
    </w:p>
    <w:p w:rsidR="005F78FC" w:rsidRDefault="00B42EF3">
      <w:pPr>
        <w:pStyle w:val="Heading3"/>
      </w:pPr>
      <w:bookmarkStart w:id="1556" w:name="section_e047f66586f44768a4b69bc5bda62613"/>
      <w:bookmarkStart w:id="1557" w:name="_Toc69878551"/>
      <w:r>
        <w:t>Part 1 Section 18.10.1.47, kpi (OLAP KPI)</w:t>
      </w:r>
      <w:bookmarkEnd w:id="1556"/>
      <w:bookmarkEnd w:id="1557"/>
      <w:r>
        <w:fldChar w:fldCharType="begin"/>
      </w:r>
      <w:r>
        <w:instrText xml:space="preserve"> XE "kpi (OLAP KPI)" </w:instrText>
      </w:r>
      <w:r>
        <w:fldChar w:fldCharType="end"/>
      </w:r>
    </w:p>
    <w:p w:rsidR="005F78FC" w:rsidRDefault="00B42EF3">
      <w:pPr>
        <w:pStyle w:val="Definition-Field"/>
      </w:pPr>
      <w:r>
        <w:t xml:space="preserve">a.   </w:t>
      </w:r>
      <w:r>
        <w:rPr>
          <w:i/>
        </w:rPr>
        <w:t>The standard implies that the caption attribute is optional.</w:t>
      </w:r>
    </w:p>
    <w:p w:rsidR="005F78FC" w:rsidRDefault="00B42EF3">
      <w:pPr>
        <w:pStyle w:val="Definition-Field2"/>
      </w:pPr>
      <w:r>
        <w:t>Excel requires this attribute.</w:t>
      </w:r>
    </w:p>
    <w:p w:rsidR="005F78FC" w:rsidRDefault="00B42EF3">
      <w:pPr>
        <w:pStyle w:val="Definition-Field"/>
      </w:pPr>
      <w:r>
        <w:t xml:space="preserve">b.   </w:t>
      </w:r>
      <w:r>
        <w:rPr>
          <w:i/>
        </w:rPr>
        <w:t xml:space="preserve">The standard does not limit the length of the </w:t>
      </w:r>
      <w:r>
        <w:rPr>
          <w:i/>
        </w:rPr>
        <w:t>value of the uniqueName attribute.</w:t>
      </w:r>
    </w:p>
    <w:p w:rsidR="005F78FC" w:rsidRDefault="00B42EF3">
      <w:pPr>
        <w:pStyle w:val="Definition-Field2"/>
      </w:pPr>
      <w:r>
        <w:t>Excel restricts the value of this attribute to be at least 1 and at most 255 characters when the createdVersion attribute on the pivotCacheDefinition element is less than 3 and 32767 characters otherwise.</w:t>
      </w:r>
    </w:p>
    <w:p w:rsidR="005F78FC" w:rsidRDefault="00B42EF3">
      <w:pPr>
        <w:pStyle w:val="Definition-Field"/>
      </w:pPr>
      <w:r>
        <w:t xml:space="preserve">c.   </w:t>
      </w:r>
      <w:r>
        <w:rPr>
          <w:i/>
        </w:rPr>
        <w:t>The standar</w:t>
      </w:r>
      <w:r>
        <w:rPr>
          <w:i/>
        </w:rPr>
        <w:t>d does not limit the length of the value of the caption attribute.</w:t>
      </w:r>
    </w:p>
    <w:p w:rsidR="005F78FC" w:rsidRDefault="00B42EF3">
      <w:pPr>
        <w:pStyle w:val="Definition-Field2"/>
      </w:pPr>
      <w:r>
        <w:lastRenderedPageBreak/>
        <w:t>Excel restricts the value of this attribute to be at least 1 and most 32767 characters.</w:t>
      </w:r>
    </w:p>
    <w:p w:rsidR="005F78FC" w:rsidRDefault="00B42EF3">
      <w:pPr>
        <w:pStyle w:val="Definition-Field"/>
      </w:pPr>
      <w:r>
        <w:t xml:space="preserve">d.   </w:t>
      </w:r>
      <w:r>
        <w:rPr>
          <w:i/>
        </w:rPr>
        <w:t>The standard does not limit the length of the value of the displayFolder attribute.</w:t>
      </w:r>
    </w:p>
    <w:p w:rsidR="005F78FC" w:rsidRDefault="00B42EF3">
      <w:pPr>
        <w:pStyle w:val="Definition-Field2"/>
      </w:pPr>
      <w:r>
        <w:t>Excel restri</w:t>
      </w:r>
      <w:r>
        <w:t>cts the value of this attribute to be at most 65535 characters.</w:t>
      </w:r>
    </w:p>
    <w:p w:rsidR="005F78FC" w:rsidRDefault="00B42EF3">
      <w:pPr>
        <w:pStyle w:val="Definition-Field"/>
      </w:pPr>
      <w:r>
        <w:t xml:space="preserve">e.   </w:t>
      </w:r>
      <w:r>
        <w:rPr>
          <w:i/>
        </w:rPr>
        <w:t>The standard does not limit the length of the value of the measureGroup attribute.</w:t>
      </w:r>
    </w:p>
    <w:p w:rsidR="005F78FC" w:rsidRDefault="00B42EF3">
      <w:pPr>
        <w:pStyle w:val="Definition-Field2"/>
      </w:pPr>
      <w:r>
        <w:t>Excel restricts the value of this attribute to be at most 65535 characters.</w:t>
      </w:r>
    </w:p>
    <w:p w:rsidR="005F78FC" w:rsidRDefault="00B42EF3">
      <w:pPr>
        <w:pStyle w:val="Definition-Field"/>
      </w:pPr>
      <w:r>
        <w:t xml:space="preserve">f.   </w:t>
      </w:r>
      <w:r>
        <w:rPr>
          <w:i/>
        </w:rPr>
        <w:t xml:space="preserve">The standard does not </w:t>
      </w:r>
      <w:r>
        <w:rPr>
          <w:i/>
        </w:rPr>
        <w:t>limit the length of the value of the parent attribute.</w:t>
      </w:r>
    </w:p>
    <w:p w:rsidR="005F78FC" w:rsidRDefault="00B42EF3">
      <w:pPr>
        <w:pStyle w:val="Definition-Field2"/>
      </w:pPr>
      <w:r>
        <w:t>Excel restricts the value of this attribute to be at most 32767 characters.</w:t>
      </w:r>
    </w:p>
    <w:p w:rsidR="005F78FC" w:rsidRDefault="00B42EF3">
      <w:pPr>
        <w:pStyle w:val="Definition-Field"/>
      </w:pPr>
      <w:r>
        <w:t xml:space="preserve">g.   </w:t>
      </w:r>
      <w:r>
        <w:rPr>
          <w:i/>
        </w:rPr>
        <w:t>The standard does not limit the length of the value of the value attribute.</w:t>
      </w:r>
    </w:p>
    <w:p w:rsidR="005F78FC" w:rsidRDefault="00B42EF3">
      <w:pPr>
        <w:pStyle w:val="Definition-Field2"/>
      </w:pPr>
      <w:r>
        <w:t xml:space="preserve">Excel restricts the value of this attribute </w:t>
      </w:r>
      <w:r>
        <w:t>to be at least 1 and at most 255 characters when the createdVersion attribute on the pivotCacheDefinition element is less than 3 and 32767 characters otherwise.</w:t>
      </w:r>
    </w:p>
    <w:p w:rsidR="005F78FC" w:rsidRDefault="00B42EF3">
      <w:pPr>
        <w:pStyle w:val="Definition-Field"/>
      </w:pPr>
      <w:r>
        <w:t xml:space="preserve">h.   </w:t>
      </w:r>
      <w:r>
        <w:rPr>
          <w:i/>
        </w:rPr>
        <w:t>The standard does not limit the length of the value of the goal attribute.</w:t>
      </w:r>
    </w:p>
    <w:p w:rsidR="005F78FC" w:rsidRDefault="00B42EF3">
      <w:pPr>
        <w:pStyle w:val="Definition-Field2"/>
      </w:pPr>
      <w:r>
        <w:t>Excel restricts</w:t>
      </w:r>
      <w:r>
        <w:t xml:space="preserve"> the value of this attribute to be at most 255 characters when the createdVersion attribute on the pivotCacheDefinition element is less than 3 and 32767 characters otherwise.</w:t>
      </w:r>
    </w:p>
    <w:p w:rsidR="005F78FC" w:rsidRDefault="00B42EF3">
      <w:pPr>
        <w:pStyle w:val="Definition-Field"/>
      </w:pPr>
      <w:r>
        <w:t xml:space="preserve">i.   </w:t>
      </w:r>
      <w:r>
        <w:rPr>
          <w:i/>
        </w:rPr>
        <w:t>The standard does not limit the length of the value of the status attribute.</w:t>
      </w:r>
    </w:p>
    <w:p w:rsidR="005F78FC" w:rsidRDefault="00B42EF3">
      <w:pPr>
        <w:pStyle w:val="Definition-Field2"/>
      </w:pPr>
      <w:r>
        <w:t>Excel restricts the value of this attribute to be at most 255 characters when the createdVersion attribute on the pivotCacheDefinition element is less than 3 and 32767 characters otherwise.</w:t>
      </w:r>
    </w:p>
    <w:p w:rsidR="005F78FC" w:rsidRDefault="00B42EF3">
      <w:pPr>
        <w:pStyle w:val="Definition-Field"/>
      </w:pPr>
      <w:r>
        <w:t xml:space="preserve">j.   </w:t>
      </w:r>
      <w:r>
        <w:rPr>
          <w:i/>
        </w:rPr>
        <w:t>The standard does not limit the length of the value of the t</w:t>
      </w:r>
      <w:r>
        <w:rPr>
          <w:i/>
        </w:rPr>
        <w:t>rend attribute.</w:t>
      </w:r>
    </w:p>
    <w:p w:rsidR="005F78FC" w:rsidRDefault="00B42EF3">
      <w:pPr>
        <w:pStyle w:val="Definition-Field2"/>
      </w:pPr>
      <w:r>
        <w:t>Excel restricts the value of this attribute to be at most 255 characters when the createdVersion attribute on the pivotCacheDefinition element is less than 3 and 32767 characters otherwise.</w:t>
      </w:r>
    </w:p>
    <w:p w:rsidR="005F78FC" w:rsidRDefault="00B42EF3">
      <w:pPr>
        <w:pStyle w:val="Definition-Field"/>
      </w:pPr>
      <w:r>
        <w:t xml:space="preserve">k.   </w:t>
      </w:r>
      <w:r>
        <w:rPr>
          <w:i/>
        </w:rPr>
        <w:t>The standard does not limit the length of the</w:t>
      </w:r>
      <w:r>
        <w:rPr>
          <w:i/>
        </w:rPr>
        <w:t xml:space="preserve"> value of the weight attribute.</w:t>
      </w:r>
    </w:p>
    <w:p w:rsidR="005F78FC" w:rsidRDefault="00B42EF3">
      <w:pPr>
        <w:pStyle w:val="Definition-Field2"/>
      </w:pPr>
      <w:r>
        <w:t>Excel restricts the value of this attribute to be at most 255 characters when the createdVersion attribute on the pivotCacheDefinition element is less than 3 and 32767 characters otherwise.</w:t>
      </w:r>
    </w:p>
    <w:p w:rsidR="005F78FC" w:rsidRDefault="00B42EF3">
      <w:pPr>
        <w:pStyle w:val="Definition-Field"/>
      </w:pPr>
      <w:r>
        <w:t xml:space="preserve">l.   </w:t>
      </w:r>
      <w:r>
        <w:rPr>
          <w:i/>
        </w:rPr>
        <w:t>The standard does not limit t</w:t>
      </w:r>
      <w:r>
        <w:rPr>
          <w:i/>
        </w:rPr>
        <w:t>he length of the value of the time attribute.</w:t>
      </w:r>
    </w:p>
    <w:p w:rsidR="005F78FC" w:rsidRDefault="00B42EF3">
      <w:pPr>
        <w:pStyle w:val="Definition-Field2"/>
      </w:pPr>
      <w:r>
        <w:t>Excel restricts the value of this attribute to be at most 255 characters when the createdVersion attribute on the pivotCacheDefinition element is less than 3 and 32767 characters otherwise.</w:t>
      </w:r>
    </w:p>
    <w:p w:rsidR="005F78FC" w:rsidRDefault="00B42EF3">
      <w:pPr>
        <w:pStyle w:val="Definition-Field"/>
      </w:pPr>
      <w:r>
        <w:t xml:space="preserve">m.   </w:t>
      </w:r>
      <w:r>
        <w:rPr>
          <w:i/>
        </w:rPr>
        <w:t>The standard st</w:t>
      </w:r>
      <w:r>
        <w:rPr>
          <w:i/>
        </w:rPr>
        <w:t>ates that the time attribute can be present.</w:t>
      </w:r>
    </w:p>
    <w:p w:rsidR="005F78FC" w:rsidRDefault="00B42EF3">
      <w:pPr>
        <w:pStyle w:val="Definition-Field2"/>
      </w:pPr>
      <w:r>
        <w:t>Office reports files as corrupt that contain this attribute.</w:t>
      </w:r>
    </w:p>
    <w:p w:rsidR="005F78FC" w:rsidRDefault="00B42EF3">
      <w:pPr>
        <w:pStyle w:val="Definition-Field"/>
      </w:pPr>
      <w:r>
        <w:t xml:space="preserve">n.   </w:t>
      </w:r>
      <w:r>
        <w:rPr>
          <w:i/>
        </w:rPr>
        <w:t>The standard states the values of the weight attribute are defined by the Xstring simple type.</w:t>
      </w:r>
    </w:p>
    <w:p w:rsidR="005F78FC" w:rsidRDefault="00B42EF3">
      <w:pPr>
        <w:pStyle w:val="Definition-Field2"/>
      </w:pPr>
      <w:r>
        <w:t xml:space="preserve">Office will not successfully open files when this </w:t>
      </w:r>
      <w:r>
        <w:t>attribute is non-empty and contains a value that does not match the uniqueName attribute value of a cacheHierarchy with a measure value of 1.</w:t>
      </w:r>
    </w:p>
    <w:p w:rsidR="005F78FC" w:rsidRDefault="00B42EF3">
      <w:pPr>
        <w:pStyle w:val="Definition-Field"/>
      </w:pPr>
      <w:r>
        <w:t xml:space="preserve">o.   </w:t>
      </w:r>
      <w:r>
        <w:rPr>
          <w:i/>
        </w:rPr>
        <w:t>The standard places no restrictions on the relationship between the parent attribute and the uniqueName attri</w:t>
      </w:r>
      <w:r>
        <w:rPr>
          <w:i/>
        </w:rPr>
        <w:t>bute on the parent kpi element.</w:t>
      </w:r>
    </w:p>
    <w:p w:rsidR="005F78FC" w:rsidRDefault="00B42EF3">
      <w:pPr>
        <w:pStyle w:val="Definition-Field2"/>
      </w:pPr>
      <w:r>
        <w:t>Excel requires the value of the parent attribute, when not null, to be equal to the value of the uniqueName attribute on the parent kpi element.</w:t>
      </w:r>
    </w:p>
    <w:p w:rsidR="005F78FC" w:rsidRDefault="00B42EF3">
      <w:pPr>
        <w:pStyle w:val="Definition-Field"/>
      </w:pPr>
      <w:r>
        <w:t xml:space="preserve">p.   </w:t>
      </w:r>
      <w:r>
        <w:rPr>
          <w:i/>
        </w:rPr>
        <w:t xml:space="preserve">The standard places no restrictions on the relationship between the value </w:t>
      </w:r>
      <w:r>
        <w:rPr>
          <w:i/>
        </w:rPr>
        <w:t>attribute and the uniqueName attribute on the cacheHierarchy element.</w:t>
      </w:r>
    </w:p>
    <w:p w:rsidR="005F78FC" w:rsidRDefault="00B42EF3">
      <w:pPr>
        <w:pStyle w:val="Definition-Field2"/>
      </w:pPr>
      <w:r>
        <w:lastRenderedPageBreak/>
        <w:t>Excel requires the value of the value attribute to be equal to the value of the uniqueName attribute on a cacheHierarchy element whose measure attribute has a value of 1.</w:t>
      </w:r>
    </w:p>
    <w:p w:rsidR="005F78FC" w:rsidRDefault="00B42EF3">
      <w:pPr>
        <w:pStyle w:val="Definition-Field"/>
      </w:pPr>
      <w:r>
        <w:t xml:space="preserve">q.   </w:t>
      </w:r>
      <w:r>
        <w:rPr>
          <w:i/>
        </w:rPr>
        <w:t>The standa</w:t>
      </w:r>
      <w:r>
        <w:rPr>
          <w:i/>
        </w:rPr>
        <w:t>rd places no restrictions on the relationship between the goal attribute and the uniqueName attribute on the cacheHierarchy element.</w:t>
      </w:r>
    </w:p>
    <w:p w:rsidR="005F78FC" w:rsidRDefault="00B42EF3">
      <w:pPr>
        <w:pStyle w:val="Definition-Field2"/>
      </w:pPr>
      <w:r>
        <w:t>Excel requires the value of the goal attribute to be equal to the value of the uniqueName attribute on a cacheHierarchy ele</w:t>
      </w:r>
      <w:r>
        <w:t>ment whose measure attribute has a value of 1.</w:t>
      </w:r>
    </w:p>
    <w:p w:rsidR="005F78FC" w:rsidRDefault="00B42EF3">
      <w:pPr>
        <w:pStyle w:val="Definition-Field"/>
      </w:pPr>
      <w:r>
        <w:t xml:space="preserve">r.   </w:t>
      </w:r>
      <w:r>
        <w:rPr>
          <w:i/>
        </w:rPr>
        <w:t>The standard places no restrictions on the relationship between the status attribute and the uniqueName attribute on the cacheHierarchy element.</w:t>
      </w:r>
    </w:p>
    <w:p w:rsidR="005F78FC" w:rsidRDefault="00B42EF3">
      <w:pPr>
        <w:pStyle w:val="Definition-Field2"/>
      </w:pPr>
      <w:r>
        <w:t>Excel requires the value of the status attribute to be equa</w:t>
      </w:r>
      <w:r>
        <w:t>l to the value of the uniqueName attribute on a cacheHierarchy element whose measure attribute has a value of 1.</w:t>
      </w:r>
    </w:p>
    <w:p w:rsidR="005F78FC" w:rsidRDefault="00B42EF3">
      <w:pPr>
        <w:pStyle w:val="Definition-Field"/>
      </w:pPr>
      <w:r>
        <w:t xml:space="preserve">s.   </w:t>
      </w:r>
      <w:r>
        <w:rPr>
          <w:i/>
        </w:rPr>
        <w:t>The standard places no restrictions on the relationship between the trend attribute and the uniqueName attribute on the cacheHierarchy ele</w:t>
      </w:r>
      <w:r>
        <w:rPr>
          <w:i/>
        </w:rPr>
        <w:t>ment.</w:t>
      </w:r>
    </w:p>
    <w:p w:rsidR="005F78FC" w:rsidRDefault="00B42EF3">
      <w:pPr>
        <w:pStyle w:val="Definition-Field2"/>
      </w:pPr>
      <w:r>
        <w:t>Excel requires the value of the trend attribute to be equal to the value of the uniqueName attribute on a cacheHierarchy element whose measure attribute has a value of 1.</w:t>
      </w:r>
    </w:p>
    <w:p w:rsidR="005F78FC" w:rsidRDefault="00B42EF3">
      <w:pPr>
        <w:pStyle w:val="Heading3"/>
      </w:pPr>
      <w:bookmarkStart w:id="1558" w:name="section_fa78de5c80bd45c2b90fc99e77c58627"/>
      <w:bookmarkStart w:id="1559" w:name="_Toc69878552"/>
      <w:r>
        <w:t>Part 1 Section 18.10.1.49, location (PivotTable Location)</w:t>
      </w:r>
      <w:bookmarkEnd w:id="1558"/>
      <w:bookmarkEnd w:id="1559"/>
      <w:r>
        <w:fldChar w:fldCharType="begin"/>
      </w:r>
      <w:r>
        <w:instrText xml:space="preserve"> XE "location (PivotTable Location)" </w:instrText>
      </w:r>
      <w:r>
        <w:fldChar w:fldCharType="end"/>
      </w:r>
    </w:p>
    <w:p w:rsidR="005F78FC" w:rsidRDefault="00B42EF3">
      <w:pPr>
        <w:pStyle w:val="Definition-Field"/>
      </w:pPr>
      <w:r>
        <w:t xml:space="preserve">a.   </w:t>
      </w:r>
      <w:r>
        <w:rPr>
          <w:i/>
        </w:rPr>
        <w:t>The standard does not bound the maximum allowed value on the firstHeaderRow attribute.</w:t>
      </w:r>
    </w:p>
    <w:p w:rsidR="005F78FC" w:rsidRDefault="00B42EF3">
      <w:pPr>
        <w:pStyle w:val="Definition-Field2"/>
      </w:pPr>
      <w:r>
        <w:t>Office bounds the maximum allowed value of firstHeaderRow by the value of firstDataRow.</w:t>
      </w:r>
    </w:p>
    <w:p w:rsidR="005F78FC" w:rsidRDefault="00B42EF3">
      <w:pPr>
        <w:pStyle w:val="Definition-Field"/>
      </w:pPr>
      <w:r>
        <w:t xml:space="preserve">b.   </w:t>
      </w:r>
      <w:r>
        <w:rPr>
          <w:i/>
        </w:rPr>
        <w:t>The standard says the @ref spec</w:t>
      </w:r>
      <w:r>
        <w:rPr>
          <w:i/>
        </w:rPr>
        <w:t>ifies the first row of the PivotTable.</w:t>
      </w:r>
    </w:p>
    <w:p w:rsidR="005F78FC" w:rsidRDefault="00B42EF3">
      <w:pPr>
        <w:pStyle w:val="Definition-Field2"/>
      </w:pPr>
      <w:r>
        <w:t>Office assumes that @ref specifies the range of the PivotTable excluding the page fields.</w:t>
      </w:r>
    </w:p>
    <w:p w:rsidR="005F78FC" w:rsidRDefault="00B42EF3">
      <w:pPr>
        <w:pStyle w:val="Heading3"/>
      </w:pPr>
      <w:bookmarkStart w:id="1560" w:name="section_148814680d094701a500d97e5d61c8a2"/>
      <w:bookmarkStart w:id="1561" w:name="_Toc69878553"/>
      <w:r>
        <w:t>Part 1 Section 18.10.1.50, m (No Value)</w:t>
      </w:r>
      <w:bookmarkEnd w:id="1560"/>
      <w:bookmarkEnd w:id="1561"/>
      <w:r>
        <w:fldChar w:fldCharType="begin"/>
      </w:r>
      <w:r>
        <w:instrText xml:space="preserve"> XE "m (No Value)" </w:instrText>
      </w:r>
      <w:r>
        <w:fldChar w:fldCharType="end"/>
      </w:r>
    </w:p>
    <w:p w:rsidR="005F78FC" w:rsidRDefault="00B42EF3">
      <w:pPr>
        <w:pStyle w:val="Definition-Field"/>
      </w:pPr>
      <w:r>
        <w:t xml:space="preserve">a.   </w:t>
      </w:r>
      <w:r>
        <w:rPr>
          <w:i/>
        </w:rPr>
        <w:t xml:space="preserve">The standard does not limit the length of the value of the c </w:t>
      </w:r>
      <w:r>
        <w:rPr>
          <w:i/>
        </w:rPr>
        <w:t>attribute.</w:t>
      </w:r>
    </w:p>
    <w:p w:rsidR="005F78FC" w:rsidRDefault="00B42EF3">
      <w:pPr>
        <w:pStyle w:val="Definition-Field2"/>
      </w:pPr>
      <w:r>
        <w:t>Excel restricts the value of this attribute to be at most 65535 characters.</w:t>
      </w:r>
    </w:p>
    <w:p w:rsidR="005F78FC" w:rsidRDefault="00B42EF3">
      <w:pPr>
        <w:pStyle w:val="Definition-Field"/>
      </w:pPr>
      <w:r>
        <w:t xml:space="preserve">b.   </w:t>
      </w:r>
      <w:r>
        <w:rPr>
          <w:i/>
        </w:rPr>
        <w:t>The standard does not define the relation between @c and the datasource type.</w:t>
      </w:r>
    </w:p>
    <w:p w:rsidR="005F78FC" w:rsidRDefault="00B42EF3">
      <w:pPr>
        <w:pStyle w:val="Definition-Field2"/>
      </w:pPr>
      <w:r>
        <w:t>In Office, @c applies only to OLAP-based PivotTables.  If the value of pivotCacheDefin</w:t>
      </w:r>
      <w:r>
        <w:t>ition@createdVersion is less than 3, this value shall not be specified.</w:t>
      </w:r>
    </w:p>
    <w:p w:rsidR="005F78FC" w:rsidRDefault="00B42EF3">
      <w:pPr>
        <w:pStyle w:val="Definition-Field"/>
      </w:pPr>
      <w:r>
        <w:t xml:space="preserve">c.   </w:t>
      </w:r>
      <w:r>
        <w:rPr>
          <w:i/>
        </w:rPr>
        <w:t>The standard does not specify a default value for the f attribute.</w:t>
      </w:r>
    </w:p>
    <w:p w:rsidR="005F78FC" w:rsidRDefault="00B42EF3">
      <w:pPr>
        <w:pStyle w:val="Definition-Field2"/>
      </w:pPr>
      <w:r>
        <w:t>Excel uses a default value of false for this attribute.</w:t>
      </w:r>
    </w:p>
    <w:p w:rsidR="005F78FC" w:rsidRDefault="00B42EF3">
      <w:pPr>
        <w:pStyle w:val="Definition-Field"/>
      </w:pPr>
      <w:r>
        <w:t xml:space="preserve">d.   </w:t>
      </w:r>
      <w:r>
        <w:rPr>
          <w:i/>
        </w:rPr>
        <w:t>The standard does not define the relation between @</w:t>
      </w:r>
      <w:r>
        <w:rPr>
          <w:i/>
        </w:rPr>
        <w:t>cp and child elements.</w:t>
      </w:r>
    </w:p>
    <w:p w:rsidR="005F78FC" w:rsidRDefault="00B42EF3">
      <w:pPr>
        <w:pStyle w:val="Definition-Field2"/>
      </w:pPr>
      <w:r>
        <w:t>In Office, the value of @cp shall be equal to the count of child x elements and be less than or equal to the @mappingCount of the corresponding cacheField element.</w:t>
      </w:r>
    </w:p>
    <w:p w:rsidR="005F78FC" w:rsidRDefault="00B42EF3">
      <w:pPr>
        <w:pStyle w:val="Definition-Field"/>
      </w:pPr>
      <w:r>
        <w:t xml:space="preserve">e.   </w:t>
      </w:r>
      <w:r>
        <w:rPr>
          <w:i/>
        </w:rPr>
        <w:t>The standard does not define the relation between @cp and the da</w:t>
      </w:r>
      <w:r>
        <w:rPr>
          <w:i/>
        </w:rPr>
        <w:t>tasource type.</w:t>
      </w:r>
    </w:p>
    <w:p w:rsidR="005F78FC" w:rsidRDefault="00B42EF3">
      <w:pPr>
        <w:pStyle w:val="Definition-Field2"/>
      </w:pPr>
      <w:r>
        <w:t>In Office, @cp applies only to OLAP-based PivotTables.</w:t>
      </w:r>
    </w:p>
    <w:p w:rsidR="005F78FC" w:rsidRDefault="00B42EF3">
      <w:pPr>
        <w:pStyle w:val="Definition-Field"/>
      </w:pPr>
      <w:r>
        <w:t xml:space="preserve">f.   </w:t>
      </w:r>
      <w:r>
        <w:rPr>
          <w:i/>
        </w:rPr>
        <w:t>The standard does not define relation between @cp and sharedItems node.</w:t>
      </w:r>
    </w:p>
    <w:p w:rsidR="005F78FC" w:rsidRDefault="00B42EF3">
      <w:pPr>
        <w:pStyle w:val="Definition-Field2"/>
      </w:pPr>
      <w:r>
        <w:t>In Office, @cp applies only when the node parent is sharedItems.</w:t>
      </w:r>
    </w:p>
    <w:p w:rsidR="005F78FC" w:rsidRDefault="00B42EF3">
      <w:pPr>
        <w:pStyle w:val="Definition-Field"/>
      </w:pPr>
      <w:r>
        <w:t xml:space="preserve">g.   </w:t>
      </w:r>
      <w:r>
        <w:rPr>
          <w:i/>
        </w:rPr>
        <w:t>The standard does not specify a default</w:t>
      </w:r>
      <w:r>
        <w:rPr>
          <w:i/>
        </w:rPr>
        <w:t xml:space="preserve"> value for the u attribute.</w:t>
      </w:r>
    </w:p>
    <w:p w:rsidR="005F78FC" w:rsidRDefault="00B42EF3">
      <w:pPr>
        <w:pStyle w:val="Definition-Field2"/>
      </w:pPr>
      <w:r>
        <w:lastRenderedPageBreak/>
        <w:t>Excel uses a default value of false for this attribute.</w:t>
      </w:r>
    </w:p>
    <w:p w:rsidR="005F78FC" w:rsidRDefault="00B42EF3">
      <w:pPr>
        <w:pStyle w:val="Definition-Field"/>
      </w:pPr>
      <w:r>
        <w:t xml:space="preserve">h.   </w:t>
      </w:r>
      <w:r>
        <w:rPr>
          <w:i/>
        </w:rPr>
        <w:t>The standard does not define relation between @f and sharedItems node.</w:t>
      </w:r>
    </w:p>
    <w:p w:rsidR="005F78FC" w:rsidRDefault="00B42EF3">
      <w:pPr>
        <w:pStyle w:val="Definition-Field2"/>
      </w:pPr>
      <w:r>
        <w:t>In Office, @f applies only when the node parent is sharedItems.</w:t>
      </w:r>
    </w:p>
    <w:p w:rsidR="005F78FC" w:rsidRDefault="00B42EF3">
      <w:pPr>
        <w:pStyle w:val="Definition-Field"/>
      </w:pPr>
      <w:r>
        <w:t xml:space="preserve">i.   </w:t>
      </w:r>
      <w:r>
        <w:rPr>
          <w:i/>
        </w:rPr>
        <w:t>The standard does not defin</w:t>
      </w:r>
      <w:r>
        <w:rPr>
          <w:i/>
        </w:rPr>
        <w:t>e relation between @u and sharedItems node.</w:t>
      </w:r>
    </w:p>
    <w:p w:rsidR="005F78FC" w:rsidRDefault="00B42EF3">
      <w:pPr>
        <w:pStyle w:val="Definition-Field2"/>
      </w:pPr>
      <w:r>
        <w:t>In Office, @u applies only when the node parent is sharedItems.</w:t>
      </w:r>
    </w:p>
    <w:p w:rsidR="005F78FC" w:rsidRDefault="00B42EF3">
      <w:pPr>
        <w:pStyle w:val="Definition-Field"/>
      </w:pPr>
      <w:r>
        <w:t xml:space="preserve">j.   </w:t>
      </w:r>
      <w:r>
        <w:rPr>
          <w:i/>
        </w:rPr>
        <w:t>The standard defines that a value of true for the i attribute indicates this value contains underline formatting.</w:t>
      </w:r>
    </w:p>
    <w:p w:rsidR="005F78FC" w:rsidRDefault="00B42EF3">
      <w:pPr>
        <w:pStyle w:val="Definition-Field2"/>
      </w:pPr>
      <w:r>
        <w:t>In Excel, a value of true for</w:t>
      </w:r>
      <w:r>
        <w:t xml:space="preserve"> the i attribute indicates this value contains italic formatting.</w:t>
      </w:r>
    </w:p>
    <w:p w:rsidR="005F78FC" w:rsidRDefault="00B42EF3">
      <w:pPr>
        <w:pStyle w:val="Definition-Field"/>
      </w:pPr>
      <w:r>
        <w:t xml:space="preserve">k.   </w:t>
      </w:r>
      <w:r>
        <w:rPr>
          <w:i/>
        </w:rPr>
        <w:t>The standard defines that a value of true for the st attribute indicates this value contains underline formatting.</w:t>
      </w:r>
    </w:p>
    <w:p w:rsidR="005F78FC" w:rsidRDefault="00B42EF3">
      <w:pPr>
        <w:pStyle w:val="Definition-Field2"/>
      </w:pPr>
      <w:r>
        <w:t>In Excel, a value of true for the st attribute indicates this value co</w:t>
      </w:r>
      <w:r>
        <w:t>ntains strikethrough formatting.</w:t>
      </w:r>
    </w:p>
    <w:p w:rsidR="005F78FC" w:rsidRDefault="00B42EF3">
      <w:pPr>
        <w:pStyle w:val="Heading3"/>
      </w:pPr>
      <w:bookmarkStart w:id="1562" w:name="section_402db8a4378941b1a621df9fe88402ad"/>
      <w:bookmarkStart w:id="1563" w:name="_Toc69878554"/>
      <w:r>
        <w:t>Part 1 Section 18.10.1.51, map (OLAP Measure Group)</w:t>
      </w:r>
      <w:bookmarkEnd w:id="1562"/>
      <w:bookmarkEnd w:id="1563"/>
      <w:r>
        <w:fldChar w:fldCharType="begin"/>
      </w:r>
      <w:r>
        <w:instrText xml:space="preserve"> XE "map (OLAP Measure Group)" </w:instrText>
      </w:r>
      <w:r>
        <w:fldChar w:fldCharType="end"/>
      </w:r>
    </w:p>
    <w:p w:rsidR="005F78FC" w:rsidRDefault="00B42EF3">
      <w:pPr>
        <w:pStyle w:val="Definition-Field"/>
      </w:pPr>
      <w:r>
        <w:t xml:space="preserve">a.   </w:t>
      </w:r>
      <w:r>
        <w:rPr>
          <w:i/>
        </w:rPr>
        <w:t>The standard does not place any restrictions on the value of the measureGroup attribute.</w:t>
      </w:r>
    </w:p>
    <w:p w:rsidR="005F78FC" w:rsidRDefault="00B42EF3">
      <w:pPr>
        <w:pStyle w:val="Definition-Field2"/>
      </w:pPr>
      <w:r>
        <w:t xml:space="preserve">In Office, the value of the measureGroup </w:t>
      </w:r>
      <w:r>
        <w:t>attribute must be less than the number of items in measureGroups collection.</w:t>
      </w:r>
    </w:p>
    <w:p w:rsidR="005F78FC" w:rsidRDefault="00B42EF3">
      <w:pPr>
        <w:pStyle w:val="Definition-Field"/>
      </w:pPr>
      <w:r>
        <w:t xml:space="preserve">b.   </w:t>
      </w:r>
      <w:r>
        <w:rPr>
          <w:i/>
        </w:rPr>
        <w:t>The standard does not restrict the value of @dimension.</w:t>
      </w:r>
    </w:p>
    <w:p w:rsidR="005F78FC" w:rsidRDefault="00B42EF3">
      <w:pPr>
        <w:pStyle w:val="Definition-Field2"/>
      </w:pPr>
      <w:r>
        <w:t>In Office, @dimension must be less than the number of items in the dimensions collection.</w:t>
      </w:r>
    </w:p>
    <w:p w:rsidR="005F78FC" w:rsidRDefault="00B42EF3">
      <w:pPr>
        <w:pStyle w:val="Definition-Field"/>
      </w:pPr>
      <w:r>
        <w:t xml:space="preserve">c.   </w:t>
      </w:r>
      <w:r>
        <w:rPr>
          <w:i/>
        </w:rPr>
        <w:t>The standard does not s</w:t>
      </w:r>
      <w:r>
        <w:rPr>
          <w:i/>
        </w:rPr>
        <w:t>pecify the base of the dimension attribute index.</w:t>
      </w:r>
    </w:p>
    <w:p w:rsidR="005F78FC" w:rsidRDefault="00B42EF3">
      <w:pPr>
        <w:pStyle w:val="Definition-Field2"/>
      </w:pPr>
      <w:r>
        <w:t>Office treats the dimension attribute as a zero-based index.</w:t>
      </w:r>
    </w:p>
    <w:p w:rsidR="005F78FC" w:rsidRDefault="00B42EF3">
      <w:pPr>
        <w:pStyle w:val="Definition-Field"/>
      </w:pPr>
      <w:r>
        <w:t xml:space="preserve">d.   </w:t>
      </w:r>
      <w:r>
        <w:rPr>
          <w:i/>
        </w:rPr>
        <w:t>The standard does not specify the base of the measureGroup attribute index.</w:t>
      </w:r>
    </w:p>
    <w:p w:rsidR="005F78FC" w:rsidRDefault="00B42EF3">
      <w:pPr>
        <w:pStyle w:val="Definition-Field2"/>
      </w:pPr>
      <w:r>
        <w:t>Office treats the measureGroup attribute as a zero-based index.</w:t>
      </w:r>
    </w:p>
    <w:p w:rsidR="005F78FC" w:rsidRDefault="00B42EF3">
      <w:pPr>
        <w:pStyle w:val="Definition-Field"/>
      </w:pPr>
      <w:r>
        <w:t xml:space="preserve">e.   </w:t>
      </w:r>
      <w:r>
        <w:rPr>
          <w:i/>
        </w:rPr>
        <w:t>The standard states that the dimension attribute is optional.</w:t>
      </w:r>
    </w:p>
    <w:p w:rsidR="005F78FC" w:rsidRDefault="00B42EF3">
      <w:pPr>
        <w:pStyle w:val="Definition-Field2"/>
      </w:pPr>
      <w:r>
        <w:t>Excel requires this attribute.</w:t>
      </w:r>
    </w:p>
    <w:p w:rsidR="005F78FC" w:rsidRDefault="00B42EF3">
      <w:pPr>
        <w:pStyle w:val="Definition-Field"/>
      </w:pPr>
      <w:r>
        <w:t xml:space="preserve">f.   </w:t>
      </w:r>
      <w:r>
        <w:rPr>
          <w:i/>
        </w:rPr>
        <w:t>The standard implies that the measureGroup attribute is optional.</w:t>
      </w:r>
    </w:p>
    <w:p w:rsidR="005F78FC" w:rsidRDefault="00B42EF3">
      <w:pPr>
        <w:pStyle w:val="Definition-Field2"/>
      </w:pPr>
      <w:r>
        <w:t>Excel requires this attribute.</w:t>
      </w:r>
    </w:p>
    <w:p w:rsidR="005F78FC" w:rsidRDefault="00B42EF3">
      <w:pPr>
        <w:pStyle w:val="Heading3"/>
      </w:pPr>
      <w:bookmarkStart w:id="1564" w:name="section_cfecb95860864d0c90767301fa40250e"/>
      <w:bookmarkStart w:id="1565" w:name="_Toc69878555"/>
      <w:r>
        <w:t>Part 1 Section 18.10.1.53, measureGroup (OLAP Measure Group)</w:t>
      </w:r>
      <w:bookmarkEnd w:id="1564"/>
      <w:bookmarkEnd w:id="1565"/>
      <w:r>
        <w:fldChar w:fldCharType="begin"/>
      </w:r>
      <w:r>
        <w:instrText xml:space="preserve"> XE "measureGroup (OLAP Measure Group)" </w:instrText>
      </w:r>
      <w:r>
        <w:fldChar w:fldCharType="end"/>
      </w:r>
    </w:p>
    <w:p w:rsidR="005F78FC" w:rsidRDefault="00B42EF3">
      <w:pPr>
        <w:pStyle w:val="Definition-Field"/>
      </w:pPr>
      <w:r>
        <w:t xml:space="preserve">a.   </w:t>
      </w:r>
      <w:r>
        <w:rPr>
          <w:i/>
        </w:rPr>
        <w:t>The standard does not limit the length of the value of the caption attribute.</w:t>
      </w:r>
    </w:p>
    <w:p w:rsidR="005F78FC" w:rsidRDefault="00B42EF3">
      <w:pPr>
        <w:pStyle w:val="Definition-Field2"/>
      </w:pPr>
      <w:r>
        <w:t>Excel restricts the value of this attribute to be at least 1 and at mo</w:t>
      </w:r>
      <w:r>
        <w:t>st 65535 characters.</w:t>
      </w:r>
    </w:p>
    <w:p w:rsidR="005F78FC" w:rsidRDefault="00B42EF3">
      <w:pPr>
        <w:pStyle w:val="Definition-Field"/>
      </w:pPr>
      <w:r>
        <w:t xml:space="preserve">b.   </w:t>
      </w:r>
      <w:r>
        <w:rPr>
          <w:i/>
        </w:rPr>
        <w:t>The standard does not limit the length of the value of the name attribute.</w:t>
      </w:r>
    </w:p>
    <w:p w:rsidR="005F78FC" w:rsidRDefault="00B42EF3">
      <w:pPr>
        <w:pStyle w:val="Definition-Field2"/>
      </w:pPr>
      <w:r>
        <w:t>Excel restricts the value of this attribute to be at least 1 and at most 65535 characters.</w:t>
      </w:r>
    </w:p>
    <w:p w:rsidR="005F78FC" w:rsidRDefault="00B42EF3">
      <w:pPr>
        <w:pStyle w:val="Heading3"/>
      </w:pPr>
      <w:bookmarkStart w:id="1566" w:name="section_1bef1665e5ea43e6aa806382ef735c9f"/>
      <w:bookmarkStart w:id="1567" w:name="_Toc69878556"/>
      <w:r>
        <w:t>Part 1 Section 18.10.1.55, member (Member)</w:t>
      </w:r>
      <w:bookmarkEnd w:id="1566"/>
      <w:bookmarkEnd w:id="1567"/>
      <w:r>
        <w:fldChar w:fldCharType="begin"/>
      </w:r>
      <w:r>
        <w:instrText xml:space="preserve"> XE "member (Member)" </w:instrText>
      </w:r>
      <w:r>
        <w:fldChar w:fldCharType="end"/>
      </w:r>
    </w:p>
    <w:p w:rsidR="005F78FC" w:rsidRDefault="00B42EF3">
      <w:pPr>
        <w:pStyle w:val="Definition-Field"/>
      </w:pPr>
      <w:r>
        <w:t xml:space="preserve">a.   </w:t>
      </w:r>
      <w:r>
        <w:rPr>
          <w:i/>
        </w:rPr>
        <w:t>The standard states that the name attribute specifies the name of a hidden item.</w:t>
      </w:r>
    </w:p>
    <w:p w:rsidR="005F78FC" w:rsidRDefault="00B42EF3">
      <w:pPr>
        <w:pStyle w:val="Definition-Field2"/>
      </w:pPr>
      <w:r>
        <w:lastRenderedPageBreak/>
        <w:t>Excel uses this attribute to specify the name of an included or excluded item.</w:t>
      </w:r>
    </w:p>
    <w:p w:rsidR="005F78FC" w:rsidRDefault="00B42EF3">
      <w:pPr>
        <w:pStyle w:val="Heading3"/>
      </w:pPr>
      <w:bookmarkStart w:id="1568" w:name="section_29bfbcf811e64151a3b3abb4825c9160"/>
      <w:bookmarkStart w:id="1569" w:name="_Toc69878557"/>
      <w:r>
        <w:t>Part 1 Section 18.10.1.56, members (Members)</w:t>
      </w:r>
      <w:bookmarkEnd w:id="1568"/>
      <w:bookmarkEnd w:id="1569"/>
      <w:r>
        <w:fldChar w:fldCharType="begin"/>
      </w:r>
      <w:r>
        <w:instrText xml:space="preserve"> XE "members (Members)" </w:instrText>
      </w:r>
      <w:r>
        <w:fldChar w:fldCharType="end"/>
      </w:r>
    </w:p>
    <w:p w:rsidR="005F78FC" w:rsidRDefault="00B42EF3">
      <w:pPr>
        <w:pStyle w:val="Definition-Field"/>
      </w:pPr>
      <w:r>
        <w:t xml:space="preserve">a.   </w:t>
      </w:r>
      <w:r>
        <w:rPr>
          <w:i/>
        </w:rPr>
        <w:t>The standard</w:t>
      </w:r>
      <w:r>
        <w:rPr>
          <w:i/>
        </w:rPr>
        <w:t xml:space="preserve"> does not state how to handle the absence of the level attribute.</w:t>
      </w:r>
    </w:p>
    <w:p w:rsidR="005F78FC" w:rsidRDefault="00B42EF3">
      <w:pPr>
        <w:pStyle w:val="Definition-Field2"/>
      </w:pPr>
      <w:r>
        <w:t>Excel allows child member elements in this collection to be from all hierarchy levels under this circumstance.</w:t>
      </w:r>
    </w:p>
    <w:p w:rsidR="005F78FC" w:rsidRDefault="00B42EF3">
      <w:pPr>
        <w:pStyle w:val="Definition-Field"/>
      </w:pPr>
      <w:r>
        <w:t xml:space="preserve">b.   </w:t>
      </w:r>
      <w:r>
        <w:rPr>
          <w:i/>
        </w:rPr>
        <w:t xml:space="preserve">The standard states that the values of the level attribute are defined by </w:t>
      </w:r>
      <w:r>
        <w:rPr>
          <w:i/>
        </w:rPr>
        <w:t>the XML Schema unsignedInt datatype.</w:t>
      </w:r>
    </w:p>
    <w:p w:rsidR="005F78FC" w:rsidRDefault="00B42EF3">
      <w:r>
        <w:t>Excel requires the value of this attribute, when present, to be more than 0 and less than the value of the count attribute of the associated PivotCache's cacheHierarchy element with the same index as the parent pivotHie</w:t>
      </w:r>
      <w:r>
        <w:t>rarchy element, if that value is greater than 0.</w:t>
      </w:r>
    </w:p>
    <w:p w:rsidR="005F78FC" w:rsidRDefault="00B42EF3">
      <w:pPr>
        <w:pStyle w:val="Heading3"/>
      </w:pPr>
      <w:bookmarkStart w:id="1570" w:name="section_71f10955d10148acb9bb4fefc73cdb96"/>
      <w:bookmarkStart w:id="1571" w:name="_Toc69878558"/>
      <w:r>
        <w:t>Part 1 Section 18.10.1.57, mp (OLAP Member Property)</w:t>
      </w:r>
      <w:bookmarkEnd w:id="1570"/>
      <w:bookmarkEnd w:id="1571"/>
      <w:r>
        <w:fldChar w:fldCharType="begin"/>
      </w:r>
      <w:r>
        <w:instrText xml:space="preserve"> XE "mp (OLAP Member Property)" </w:instrText>
      </w:r>
      <w:r>
        <w:fldChar w:fldCharType="end"/>
      </w:r>
    </w:p>
    <w:p w:rsidR="005F78FC" w:rsidRDefault="00B42EF3">
      <w:pPr>
        <w:pStyle w:val="Definition-Field"/>
      </w:pPr>
      <w:r>
        <w:t xml:space="preserve">a.   </w:t>
      </w:r>
      <w:r>
        <w:rPr>
          <w:i/>
        </w:rPr>
        <w:t>The standard does not state the relation between the name attribute and the nameLen attribute.</w:t>
      </w:r>
    </w:p>
    <w:p w:rsidR="005F78FC" w:rsidRDefault="00B42EF3">
      <w:pPr>
        <w:pStyle w:val="Definition-Field2"/>
      </w:pPr>
      <w:r>
        <w:t xml:space="preserve">In Office, if the </w:t>
      </w:r>
      <w:r>
        <w:t>name attribute is specified, the nameLen attribute shall also be specified and gives the length of an OLAP hierarchy name.</w:t>
      </w:r>
    </w:p>
    <w:p w:rsidR="005F78FC" w:rsidRDefault="00B42EF3">
      <w:pPr>
        <w:pStyle w:val="Definition-Field"/>
      </w:pPr>
      <w:r>
        <w:t xml:space="preserve">b.   </w:t>
      </w:r>
      <w:r>
        <w:rPr>
          <w:i/>
        </w:rPr>
        <w:t>The standard does not state the relation between the name attribute and the pLen attribute.</w:t>
      </w:r>
    </w:p>
    <w:p w:rsidR="005F78FC" w:rsidRDefault="00B42EF3">
      <w:pPr>
        <w:pStyle w:val="Definition-Field2"/>
      </w:pPr>
      <w:r>
        <w:t xml:space="preserve">In Office, if the name attribute is </w:t>
      </w:r>
      <w:r>
        <w:t>specified then the pLen attribute must also be specified.</w:t>
      </w:r>
    </w:p>
    <w:p w:rsidR="005F78FC" w:rsidRDefault="00B42EF3">
      <w:pPr>
        <w:pStyle w:val="Definition-Field"/>
      </w:pPr>
      <w:r>
        <w:t xml:space="preserve">c.   </w:t>
      </w:r>
      <w:r>
        <w:rPr>
          <w:i/>
        </w:rPr>
        <w:t>The standard does not state the relation between the name attribute and the pPos attribute.</w:t>
      </w:r>
    </w:p>
    <w:p w:rsidR="005F78FC" w:rsidRDefault="00B42EF3">
      <w:pPr>
        <w:pStyle w:val="Definition-Field2"/>
      </w:pPr>
      <w:r>
        <w:t>In Office, if the name attribute is specified then the pPos attribute ust also be specified.</w:t>
      </w:r>
    </w:p>
    <w:p w:rsidR="005F78FC" w:rsidRDefault="00B42EF3">
      <w:pPr>
        <w:pStyle w:val="Definition-Field"/>
      </w:pPr>
      <w:r>
        <w:t xml:space="preserve">d.   </w:t>
      </w:r>
      <w:r>
        <w:rPr>
          <w:i/>
        </w:rPr>
        <w:t>The</w:t>
      </w:r>
      <w:r>
        <w:rPr>
          <w:i/>
        </w:rPr>
        <w:t xml:space="preserve"> standard does not state any relationship between the mp element and pivotTableDefinition@createdVersion.</w:t>
      </w:r>
    </w:p>
    <w:p w:rsidR="005F78FC" w:rsidRDefault="00B42EF3">
      <w:pPr>
        <w:pStyle w:val="Definition-Field2"/>
      </w:pPr>
      <w:r>
        <w:t>Office assumes that if pivotTableDefinition@createdVersion is less than 3, then the name attribute shall be present.</w:t>
      </w:r>
    </w:p>
    <w:p w:rsidR="005F78FC" w:rsidRDefault="00B42EF3">
      <w:pPr>
        <w:pStyle w:val="Definition-Field"/>
      </w:pPr>
      <w:r>
        <w:t xml:space="preserve">e.   </w:t>
      </w:r>
      <w:r>
        <w:rPr>
          <w:i/>
        </w:rPr>
        <w:t>The standard says that mp re</w:t>
      </w:r>
      <w:r>
        <w:rPr>
          <w:i/>
        </w:rPr>
        <w:t>presents an OLAP Member property.</w:t>
      </w:r>
    </w:p>
    <w:p w:rsidR="005F78FC" w:rsidRDefault="00B42EF3">
      <w:pPr>
        <w:pStyle w:val="Definition-Field2"/>
      </w:pPr>
      <w:r>
        <w:t>Office assumes that if field is not 4294967295, then it specifies a valid index to a pivotField, in this PivotTable, which specifies the information for the member property that is not specified in this element.</w:t>
      </w:r>
    </w:p>
    <w:p w:rsidR="005F78FC" w:rsidRDefault="00B42EF3">
      <w:pPr>
        <w:pStyle w:val="Definition-Field"/>
      </w:pPr>
      <w:r>
        <w:t xml:space="preserve">f.   </w:t>
      </w:r>
      <w:r>
        <w:rPr>
          <w:i/>
        </w:rPr>
        <w:t>The s</w:t>
      </w:r>
      <w:r>
        <w:rPr>
          <w:i/>
        </w:rPr>
        <w:t>tandard limits the possible values for @level to unsignedInt.</w:t>
      </w:r>
    </w:p>
    <w:p w:rsidR="005F78FC" w:rsidRDefault="00B42EF3">
      <w:pPr>
        <w:pStyle w:val="Definition-Field2"/>
      </w:pPr>
      <w:r>
        <w:t>Office requires that when specified, the value of @level be equal to the value of the associated cacheField element @level with the same name attribute as this element, or that the special value</w:t>
      </w:r>
      <w:r>
        <w:t xml:space="preserve"> of 32767 be used to apply to all levels.</w:t>
      </w:r>
    </w:p>
    <w:p w:rsidR="005F78FC" w:rsidRDefault="00B42EF3">
      <w:pPr>
        <w:pStyle w:val="Definition-Field"/>
      </w:pPr>
      <w:r>
        <w:t xml:space="preserve">g.   </w:t>
      </w:r>
      <w:r>
        <w:rPr>
          <w:i/>
        </w:rPr>
        <w:t>The standard does not place restrictions on when the showAsCaption attribute is used.</w:t>
      </w:r>
    </w:p>
    <w:p w:rsidR="005F78FC" w:rsidRDefault="00B42EF3">
      <w:pPr>
        <w:pStyle w:val="Definition-Field2"/>
      </w:pPr>
      <w:r>
        <w:t>Office ignores the showAsCaption attribute unless the name attribute is present and the uniqueMemberProperty attribute on t</w:t>
      </w:r>
      <w:r>
        <w:t>he PivotField this element applies to is present.</w:t>
      </w:r>
    </w:p>
    <w:p w:rsidR="005F78FC" w:rsidRDefault="00B42EF3">
      <w:pPr>
        <w:pStyle w:val="Definition-Field"/>
      </w:pPr>
      <w:r>
        <w:t xml:space="preserve">h.   </w:t>
      </w:r>
      <w:r>
        <w:rPr>
          <w:i/>
        </w:rPr>
        <w:t>The standard does not place any restrictions on the value of @field.</w:t>
      </w:r>
    </w:p>
    <w:p w:rsidR="005F78FC" w:rsidRDefault="00B42EF3">
      <w:pPr>
        <w:pStyle w:val="Definition-Field2"/>
      </w:pPr>
      <w:r>
        <w:t>In Office, the value of @field must refer to a valid pivotField or be equal to 4294967295.</w:t>
      </w:r>
    </w:p>
    <w:p w:rsidR="005F78FC" w:rsidRDefault="00B42EF3">
      <w:pPr>
        <w:pStyle w:val="Definition-Field"/>
      </w:pPr>
      <w:r>
        <w:t xml:space="preserve">i.   </w:t>
      </w:r>
      <w:r>
        <w:rPr>
          <w:i/>
        </w:rPr>
        <w:t>The standard does not state any rela</w:t>
      </w:r>
      <w:r>
        <w:rPr>
          <w:i/>
        </w:rPr>
        <w:t>tionship between the element and pivotTableDefinition@createdVersion.</w:t>
      </w:r>
    </w:p>
    <w:p w:rsidR="005F78FC" w:rsidRDefault="00B42EF3">
      <w:pPr>
        <w:pStyle w:val="Definition-Field2"/>
      </w:pPr>
      <w:r>
        <w:lastRenderedPageBreak/>
        <w:t>In Office, if the pivotTableDefinition@createdVersion is greater than or equal to 3, then the field attribute shall not equal 4294967295 and the other attributes of this element shall no</w:t>
      </w:r>
      <w:r>
        <w:t>t be present.</w:t>
      </w:r>
    </w:p>
    <w:p w:rsidR="005F78FC" w:rsidRDefault="00B42EF3">
      <w:pPr>
        <w:pStyle w:val="Definition-Field"/>
      </w:pPr>
      <w:r>
        <w:t xml:space="preserve">j.   </w:t>
      </w:r>
      <w:r>
        <w:rPr>
          <w:i/>
        </w:rPr>
        <w:t>The standard says that mp represents an OLAP Member property.</w:t>
      </w:r>
    </w:p>
    <w:p w:rsidR="005F78FC" w:rsidRDefault="00B42EF3">
      <w:pPr>
        <w:pStyle w:val="Definition-Field2"/>
      </w:pPr>
      <w:r>
        <w:t>Office specifies that if field is not 4294967295, then the cacheField at index field in the associated PivotCache shall have memberPropertyField attribute equal to 1 or true.</w:t>
      </w:r>
    </w:p>
    <w:p w:rsidR="005F78FC" w:rsidRDefault="00B42EF3">
      <w:pPr>
        <w:pStyle w:val="Definition-Field"/>
      </w:pPr>
      <w:r>
        <w:t xml:space="preserve">k.   </w:t>
      </w:r>
      <w:r>
        <w:rPr>
          <w:i/>
        </w:rPr>
        <w:t>The standard does not state the relation between the name attribute and the associated cacheField.</w:t>
      </w:r>
    </w:p>
    <w:p w:rsidR="005F78FC" w:rsidRDefault="00B42EF3">
      <w:pPr>
        <w:pStyle w:val="Definition-Field2"/>
      </w:pPr>
      <w:r>
        <w:t>In Office, if name is specified and if field is not equal to 4294967295, then the associated cacheField shall have with a name attribute that matches th</w:t>
      </w:r>
      <w:r>
        <w:t>is one and shall begin with the unique name of the OLAP hierarchy which this element is attached.</w:t>
      </w:r>
    </w:p>
    <w:p w:rsidR="005F78FC" w:rsidRDefault="00B42EF3">
      <w:pPr>
        <w:pStyle w:val="Definition-Field"/>
      </w:pPr>
      <w:r>
        <w:t xml:space="preserve">l.   </w:t>
      </w:r>
      <w:r>
        <w:rPr>
          <w:i/>
        </w:rPr>
        <w:t>The standard does not state a default value for the pPos attribute.</w:t>
      </w:r>
    </w:p>
    <w:p w:rsidR="005F78FC" w:rsidRDefault="00B42EF3">
      <w:pPr>
        <w:pStyle w:val="Definition-Field2"/>
      </w:pPr>
      <w:r>
        <w:t>Excel uses a default value of 0 for this attribute.</w:t>
      </w:r>
    </w:p>
    <w:p w:rsidR="005F78FC" w:rsidRDefault="00B42EF3">
      <w:pPr>
        <w:pStyle w:val="Definition-Field"/>
      </w:pPr>
      <w:r>
        <w:t xml:space="preserve">m.   </w:t>
      </w:r>
      <w:r>
        <w:rPr>
          <w:i/>
        </w:rPr>
        <w:t xml:space="preserve">The standard does not state </w:t>
      </w:r>
      <w:r>
        <w:rPr>
          <w:i/>
        </w:rPr>
        <w:t>a default value for the pLen attribute.</w:t>
      </w:r>
    </w:p>
    <w:p w:rsidR="005F78FC" w:rsidRDefault="00B42EF3">
      <w:pPr>
        <w:pStyle w:val="Definition-Field2"/>
      </w:pPr>
      <w:r>
        <w:t>Excel uses a default value of 0 for this attribute.</w:t>
      </w:r>
    </w:p>
    <w:p w:rsidR="005F78FC" w:rsidRDefault="00B42EF3">
      <w:pPr>
        <w:pStyle w:val="Definition-Field"/>
      </w:pPr>
      <w:r>
        <w:t xml:space="preserve">n.   </w:t>
      </w:r>
      <w:r>
        <w:rPr>
          <w:i/>
        </w:rPr>
        <w:t>The standard does not state a default value for the nameLen attribute.</w:t>
      </w:r>
    </w:p>
    <w:p w:rsidR="005F78FC" w:rsidRDefault="00B42EF3">
      <w:pPr>
        <w:pStyle w:val="Definition-Field2"/>
      </w:pPr>
      <w:r>
        <w:t>Excel uses a default value of 0 for this attribute.</w:t>
      </w:r>
    </w:p>
    <w:p w:rsidR="005F78FC" w:rsidRDefault="00B42EF3">
      <w:pPr>
        <w:pStyle w:val="Heading3"/>
      </w:pPr>
      <w:bookmarkStart w:id="1572" w:name="section_b4dc42bf1fd54fac8d83fb17156bdcd2"/>
      <w:bookmarkStart w:id="1573" w:name="_Toc69878559"/>
      <w:r>
        <w:t>Part 1 Section 18.10.1.58, mpMap (Me</w:t>
      </w:r>
      <w:r>
        <w:t>mber Properties Map)</w:t>
      </w:r>
      <w:bookmarkEnd w:id="1572"/>
      <w:bookmarkEnd w:id="1573"/>
      <w:r>
        <w:fldChar w:fldCharType="begin"/>
      </w:r>
      <w:r>
        <w:instrText xml:space="preserve"> XE "mpMap (Member Properties Map)" </w:instrText>
      </w:r>
      <w:r>
        <w:fldChar w:fldCharType="end"/>
      </w:r>
    </w:p>
    <w:p w:rsidR="005F78FC" w:rsidRDefault="00B42EF3">
      <w:pPr>
        <w:pStyle w:val="Definition-Field"/>
      </w:pPr>
      <w:r>
        <w:t xml:space="preserve">a.   </w:t>
      </w:r>
      <w:r>
        <w:rPr>
          <w:i/>
        </w:rPr>
        <w:t>The standard states that @v is an index into the shared items table...</w:t>
      </w:r>
    </w:p>
    <w:p w:rsidR="005F78FC" w:rsidRDefault="00B42EF3">
      <w:pPr>
        <w:pStyle w:val="Definition-Field2"/>
      </w:pPr>
      <w:r>
        <w:t>Office treats @v as an index into the cacheFields collection.</w:t>
      </w:r>
    </w:p>
    <w:p w:rsidR="005F78FC" w:rsidRDefault="00B42EF3">
      <w:pPr>
        <w:pStyle w:val="Definition-Field"/>
      </w:pPr>
      <w:r>
        <w:t xml:space="preserve">b.   </w:t>
      </w:r>
      <w:r>
        <w:rPr>
          <w:i/>
        </w:rPr>
        <w:t>The standard states that the values of the v attribute</w:t>
      </w:r>
      <w:r>
        <w:rPr>
          <w:i/>
        </w:rPr>
        <w:t xml:space="preserve"> are defined by the XML int datatype.</w:t>
      </w:r>
    </w:p>
    <w:p w:rsidR="005F78FC" w:rsidRDefault="00B42EF3">
      <w:pPr>
        <w:pStyle w:val="Definition-Field2"/>
      </w:pPr>
      <w:r>
        <w:t>Excel restricts the value of this attribute to be at least 0 and at most equal to the value of the cacheFields count; the value of the memberPropertyField attribute on the cacheField pointed to by this value must be tr</w:t>
      </w:r>
      <w:r>
        <w:t>ue.</w:t>
      </w:r>
    </w:p>
    <w:p w:rsidR="005F78FC" w:rsidRDefault="00B42EF3">
      <w:pPr>
        <w:pStyle w:val="Heading3"/>
      </w:pPr>
      <w:bookmarkStart w:id="1574" w:name="section_7dc71bdcc6a048ce87fd58bc9aa6ca0e"/>
      <w:bookmarkStart w:id="1575" w:name="_Toc69878560"/>
      <w:r>
        <w:t>Part 1 Section 18.10.1.60, n (Numeric)</w:t>
      </w:r>
      <w:bookmarkEnd w:id="1574"/>
      <w:bookmarkEnd w:id="1575"/>
      <w:r>
        <w:fldChar w:fldCharType="begin"/>
      </w:r>
      <w:r>
        <w:instrText xml:space="preserve"> XE "n (Numeric)" </w:instrText>
      </w:r>
      <w:r>
        <w:fldChar w:fldCharType="end"/>
      </w:r>
    </w:p>
    <w:p w:rsidR="005F78FC" w:rsidRDefault="00B42EF3">
      <w:pPr>
        <w:pStyle w:val="Definition-Field"/>
      </w:pPr>
      <w:r>
        <w:t xml:space="preserve">a.   </w:t>
      </w:r>
      <w:r>
        <w:rPr>
          <w:i/>
        </w:rPr>
        <w:t>The standard does not define relation between @cp and the datasource type.</w:t>
      </w:r>
    </w:p>
    <w:p w:rsidR="005F78FC" w:rsidRDefault="00B42EF3">
      <w:pPr>
        <w:pStyle w:val="Definition-Field2"/>
      </w:pPr>
      <w:r>
        <w:t>Office allows @cp only with OLAP PivotTables.</w:t>
      </w:r>
    </w:p>
    <w:p w:rsidR="005F78FC" w:rsidRDefault="00B42EF3">
      <w:pPr>
        <w:pStyle w:val="Definition-Field"/>
      </w:pPr>
      <w:r>
        <w:t xml:space="preserve">b.   </w:t>
      </w:r>
      <w:r>
        <w:rPr>
          <w:i/>
        </w:rPr>
        <w:t>The standard does not limit the length of the value of the c a</w:t>
      </w:r>
      <w:r>
        <w:rPr>
          <w:i/>
        </w:rPr>
        <w:t>ttribute.</w:t>
      </w:r>
    </w:p>
    <w:p w:rsidR="005F78FC" w:rsidRDefault="00B42EF3">
      <w:pPr>
        <w:pStyle w:val="Definition-Field2"/>
      </w:pPr>
      <w:r>
        <w:t>Excel restricts the value of this attribute to be at most 65535 characters.</w:t>
      </w:r>
    </w:p>
    <w:p w:rsidR="005F78FC" w:rsidRDefault="00B42EF3">
      <w:pPr>
        <w:pStyle w:val="Definition-Field"/>
      </w:pPr>
      <w:r>
        <w:t xml:space="preserve">c.   </w:t>
      </w:r>
      <w:r>
        <w:rPr>
          <w:i/>
        </w:rPr>
        <w:t>The standard does not define relation between @c and the datasource type.</w:t>
      </w:r>
    </w:p>
    <w:p w:rsidR="005F78FC" w:rsidRDefault="00B42EF3">
      <w:pPr>
        <w:pStyle w:val="Definition-Field2"/>
      </w:pPr>
      <w:r>
        <w:t>Office allows @c only for OLAP-based PivotTables.  If the value of pivotCacheDefinition@cre</w:t>
      </w:r>
      <w:r>
        <w:t>atedVersion is less than 3 this value shall not be specified.</w:t>
      </w:r>
    </w:p>
    <w:p w:rsidR="005F78FC" w:rsidRDefault="00B42EF3">
      <w:pPr>
        <w:pStyle w:val="Definition-Field"/>
      </w:pPr>
      <w:r>
        <w:t xml:space="preserve">d.   </w:t>
      </w:r>
      <w:r>
        <w:rPr>
          <w:i/>
        </w:rPr>
        <w:t>The standard does not specify a default value for the u attribute.</w:t>
      </w:r>
    </w:p>
    <w:p w:rsidR="005F78FC" w:rsidRDefault="00B42EF3">
      <w:pPr>
        <w:pStyle w:val="Definition-Field2"/>
      </w:pPr>
      <w:r>
        <w:t>Excel uses a default value of false for this attribute.</w:t>
      </w:r>
    </w:p>
    <w:p w:rsidR="005F78FC" w:rsidRDefault="00B42EF3">
      <w:pPr>
        <w:pStyle w:val="Definition-Field"/>
      </w:pPr>
      <w:r>
        <w:t xml:space="preserve">e.   </w:t>
      </w:r>
      <w:r>
        <w:rPr>
          <w:i/>
        </w:rPr>
        <w:t>The standard does not restrict the value of @cp.</w:t>
      </w:r>
    </w:p>
    <w:p w:rsidR="005F78FC" w:rsidRDefault="00B42EF3">
      <w:pPr>
        <w:pStyle w:val="Definition-Field2"/>
      </w:pPr>
      <w:r>
        <w:lastRenderedPageBreak/>
        <w:t>Office requi</w:t>
      </w:r>
      <w:r>
        <w:t>res that @cp be equal to the count of child x elements and be less than or equal to the mappingCount of the corresponding cacheField element.</w:t>
      </w:r>
    </w:p>
    <w:p w:rsidR="005F78FC" w:rsidRDefault="00B42EF3">
      <w:pPr>
        <w:pStyle w:val="Definition-Field"/>
      </w:pPr>
      <w:r>
        <w:t xml:space="preserve">f.   </w:t>
      </w:r>
      <w:r>
        <w:rPr>
          <w:i/>
        </w:rPr>
        <w:t>The standard does not specify a default value for the f attribute.</w:t>
      </w:r>
    </w:p>
    <w:p w:rsidR="005F78FC" w:rsidRDefault="00B42EF3">
      <w:pPr>
        <w:pStyle w:val="Definition-Field2"/>
      </w:pPr>
      <w:r>
        <w:t>Excel uses a default value of false for th</w:t>
      </w:r>
      <w:r>
        <w:t>is attribute.</w:t>
      </w:r>
    </w:p>
    <w:p w:rsidR="005F78FC" w:rsidRDefault="00B42EF3">
      <w:pPr>
        <w:pStyle w:val="Definition-Field"/>
      </w:pPr>
      <w:r>
        <w:t xml:space="preserve">g.   </w:t>
      </w:r>
      <w:r>
        <w:rPr>
          <w:i/>
        </w:rPr>
        <w:t>The standard states that the values of the v attribute are defined by the XML Schema double datatype.</w:t>
      </w:r>
    </w:p>
    <w:p w:rsidR="005F78FC" w:rsidRDefault="00B42EF3">
      <w:pPr>
        <w:pStyle w:val="Definition-Field2"/>
      </w:pPr>
      <w:r>
        <w:t>Excel does not allow the values of INF, -INF, or NaN on this attribute.</w:t>
      </w:r>
    </w:p>
    <w:p w:rsidR="005F78FC" w:rsidRDefault="00B42EF3">
      <w:pPr>
        <w:pStyle w:val="Definition-Field"/>
      </w:pPr>
      <w:r>
        <w:t xml:space="preserve">h.   </w:t>
      </w:r>
      <w:r>
        <w:rPr>
          <w:i/>
        </w:rPr>
        <w:t>The standard does not state when @f is valid.</w:t>
      </w:r>
    </w:p>
    <w:p w:rsidR="005F78FC" w:rsidRDefault="00B42EF3">
      <w:pPr>
        <w:pStyle w:val="Definition-Field2"/>
      </w:pPr>
      <w:r>
        <w:t>In Office, @</w:t>
      </w:r>
      <w:r>
        <w:t>f is valid only when the parent of the n element is of CT_SharedItems type.</w:t>
      </w:r>
    </w:p>
    <w:p w:rsidR="005F78FC" w:rsidRDefault="00B42EF3">
      <w:pPr>
        <w:pStyle w:val="Definition-Field"/>
      </w:pPr>
      <w:r>
        <w:t xml:space="preserve">i.   </w:t>
      </w:r>
      <w:r>
        <w:rPr>
          <w:i/>
        </w:rPr>
        <w:t>The standard does not define relation of @u with CT_SharedItems node.</w:t>
      </w:r>
    </w:p>
    <w:p w:rsidR="005F78FC" w:rsidRDefault="00B42EF3">
      <w:pPr>
        <w:pStyle w:val="Definition-Field2"/>
      </w:pPr>
      <w:r>
        <w:t>In Office, @u is used only when the n element's parent is of CT_SharedItems type.</w:t>
      </w:r>
    </w:p>
    <w:p w:rsidR="005F78FC" w:rsidRDefault="00B42EF3">
      <w:pPr>
        <w:pStyle w:val="Definition-Field"/>
      </w:pPr>
      <w:r>
        <w:t xml:space="preserve">j.   </w:t>
      </w:r>
      <w:r>
        <w:rPr>
          <w:i/>
        </w:rPr>
        <w:t>The standard state</w:t>
      </w:r>
      <w:r>
        <w:rPr>
          <w:i/>
        </w:rPr>
        <w:t>s that @b applies to italics.</w:t>
      </w:r>
    </w:p>
    <w:p w:rsidR="005F78FC" w:rsidRDefault="00B42EF3">
      <w:pPr>
        <w:pStyle w:val="Definition-Field2"/>
      </w:pPr>
      <w:r>
        <w:t>Office assumes that @b applies to bold.</w:t>
      </w:r>
    </w:p>
    <w:p w:rsidR="005F78FC" w:rsidRDefault="00B42EF3">
      <w:pPr>
        <w:pStyle w:val="Definition-Field"/>
      </w:pPr>
      <w:r>
        <w:t xml:space="preserve">k.   </w:t>
      </w:r>
      <w:r>
        <w:rPr>
          <w:i/>
        </w:rPr>
        <w:t>The standard does not place a restriction for on the value of the cp attribute.</w:t>
      </w:r>
    </w:p>
    <w:p w:rsidR="005F78FC" w:rsidRDefault="00B42EF3">
      <w:pPr>
        <w:pStyle w:val="Definition-Field2"/>
      </w:pPr>
      <w:r>
        <w:t>In Office, the cp  attribute applies only when the node parent is sharedItems.</w:t>
      </w:r>
    </w:p>
    <w:p w:rsidR="005F78FC" w:rsidRDefault="00B42EF3">
      <w:pPr>
        <w:pStyle w:val="Heading3"/>
      </w:pPr>
      <w:bookmarkStart w:id="1576" w:name="section_87cd92562a8c462c805a1e489575afd0"/>
      <w:bookmarkStart w:id="1577" w:name="_Toc69878561"/>
      <w:r>
        <w:t>Part 1 Section 18.10.1</w:t>
      </w:r>
      <w:r>
        <w:t>.62, pageField (Page Field)</w:t>
      </w:r>
      <w:bookmarkEnd w:id="1576"/>
      <w:bookmarkEnd w:id="1577"/>
      <w:r>
        <w:fldChar w:fldCharType="begin"/>
      </w:r>
      <w:r>
        <w:instrText xml:space="preserve"> XE "pageField (Page Field)" </w:instrText>
      </w:r>
      <w:r>
        <w:fldChar w:fldCharType="end"/>
      </w:r>
    </w:p>
    <w:p w:rsidR="005F78FC" w:rsidRDefault="00B42EF3">
      <w:pPr>
        <w:pStyle w:val="Definition-Field"/>
      </w:pPr>
      <w:r>
        <w:t xml:space="preserve">a.   </w:t>
      </w:r>
      <w:r>
        <w:rPr>
          <w:i/>
        </w:rPr>
        <w:t>The standard does not state the default for the item attribute.</w:t>
      </w:r>
    </w:p>
    <w:p w:rsidR="005F78FC" w:rsidRDefault="00B42EF3">
      <w:pPr>
        <w:pStyle w:val="Definition-Field2"/>
      </w:pPr>
      <w:r>
        <w:t xml:space="preserve">In Office, if the item attribute is not specified it means that all items will be used if non-OLAP and </w:t>
      </w:r>
      <w:r>
        <w:t>pivotField@multipleItemSelectionAllowed is false.</w:t>
      </w:r>
    </w:p>
    <w:p w:rsidR="005F78FC" w:rsidRDefault="00B42EF3">
      <w:pPr>
        <w:pStyle w:val="Definition-Field"/>
      </w:pPr>
      <w:r>
        <w:t xml:space="preserve">b.   </w:t>
      </w:r>
      <w:r>
        <w:rPr>
          <w:i/>
        </w:rPr>
        <w:t>The standard says @index specifies the index of the item in the PivotCache.</w:t>
      </w:r>
    </w:p>
    <w:p w:rsidR="005F78FC" w:rsidRDefault="00B42EF3">
      <w:pPr>
        <w:pStyle w:val="Definition-Field2"/>
      </w:pPr>
      <w:r>
        <w:t xml:space="preserve">In Office, @item specifies the index of an item in the pivotField referred to by @fld. If present, @item shall be a valid </w:t>
      </w:r>
      <w:r>
        <w:t>index of an item element and shall specify how to filter this field in the PivotTable.</w:t>
      </w:r>
    </w:p>
    <w:p w:rsidR="005F78FC" w:rsidRDefault="00B42EF3">
      <w:pPr>
        <w:pStyle w:val="Definition-Field"/>
      </w:pPr>
      <w:r>
        <w:t xml:space="preserve">c.   </w:t>
      </w:r>
      <w:r>
        <w:rPr>
          <w:i/>
        </w:rPr>
        <w:t>The standard does not mention limitations on @hier value.</w:t>
      </w:r>
    </w:p>
    <w:p w:rsidR="005F78FC" w:rsidRDefault="00B42EF3">
      <w:pPr>
        <w:pStyle w:val="Definition-Field2"/>
      </w:pPr>
      <w:r>
        <w:t>In Office, if @hier is present and the PivotTable is an OLAP PivotTable then the number of pivotHierarchie</w:t>
      </w:r>
      <w:r>
        <w:t>s shall be greater than 0, and @hier must be &gt;=0 and &lt; the number of pivotHierarchies. For a non-OLAP PivotTable, @hier must be -1.</w:t>
      </w:r>
    </w:p>
    <w:p w:rsidR="005F78FC" w:rsidRDefault="00B42EF3">
      <w:pPr>
        <w:pStyle w:val="Definition-Field"/>
      </w:pPr>
      <w:r>
        <w:t xml:space="preserve">d.   </w:t>
      </w:r>
      <w:r>
        <w:rPr>
          <w:i/>
        </w:rPr>
        <w:t>The standard does not specify limits on length of the name attribute.</w:t>
      </w:r>
    </w:p>
    <w:p w:rsidR="005F78FC" w:rsidRDefault="00B42EF3">
      <w:pPr>
        <w:pStyle w:val="Definition-Field2"/>
      </w:pPr>
      <w:r>
        <w:t>Office requires that the length of the name attri</w:t>
      </w:r>
      <w:r>
        <w:t>bute be less than or equal to 255 if pivotTableDefinition@createdVersion is less than 3, and less than or equal to 32767 if pivotTableDefinition@createdVersion is greater than or equal to 3.</w:t>
      </w:r>
    </w:p>
    <w:p w:rsidR="005F78FC" w:rsidRDefault="00B42EF3">
      <w:pPr>
        <w:pStyle w:val="Definition-Field"/>
      </w:pPr>
      <w:r>
        <w:t xml:space="preserve">e.   </w:t>
      </w:r>
      <w:r>
        <w:rPr>
          <w:i/>
        </w:rPr>
        <w:t>The standard does not state limits on string length of @cap.</w:t>
      </w:r>
    </w:p>
    <w:p w:rsidR="005F78FC" w:rsidRDefault="00B42EF3">
      <w:pPr>
        <w:pStyle w:val="Definition-Field2"/>
      </w:pPr>
      <w:r>
        <w:t>Office specifies that the length of @cap shall be less than or equal to 255 if pivotTableDefinition@createdVersion is less than 3, and less than or equal to 32767 if pivotTableDefinition@createdVersion is greater than or equal to 3.</w:t>
      </w:r>
    </w:p>
    <w:p w:rsidR="005F78FC" w:rsidRDefault="00B42EF3">
      <w:pPr>
        <w:pStyle w:val="Definition-Field"/>
      </w:pPr>
      <w:r>
        <w:t xml:space="preserve">f.   </w:t>
      </w:r>
      <w:r>
        <w:rPr>
          <w:i/>
        </w:rPr>
        <w:t>The standard does</w:t>
      </w:r>
      <w:r>
        <w:rPr>
          <w:i/>
        </w:rPr>
        <w:t xml:space="preserve"> not specify restrictions on @fld.</w:t>
      </w:r>
    </w:p>
    <w:p w:rsidR="005F78FC" w:rsidRDefault="00B42EF3">
      <w:pPr>
        <w:pStyle w:val="Definition-Field2"/>
      </w:pPr>
      <w:r>
        <w:lastRenderedPageBreak/>
        <w:t>In Office, @fld must be greater than or equal to 0 and less than the number of pivotField elements on the PivotTable. Additionally, the pivotField referred to must have an axis attribute set to axisPage.</w:t>
      </w:r>
    </w:p>
    <w:p w:rsidR="005F78FC" w:rsidRDefault="00B42EF3">
      <w:pPr>
        <w:pStyle w:val="Definition-Field"/>
      </w:pPr>
      <w:r>
        <w:t xml:space="preserve">g.   </w:t>
      </w:r>
      <w:r>
        <w:rPr>
          <w:i/>
        </w:rPr>
        <w:t>The standard</w:t>
      </w:r>
      <w:r>
        <w:rPr>
          <w:i/>
        </w:rPr>
        <w:t xml:space="preserve"> does not specify limits on when the item attribute shall be present.</w:t>
      </w:r>
    </w:p>
    <w:p w:rsidR="005F78FC" w:rsidRDefault="00B42EF3">
      <w:pPr>
        <w:pStyle w:val="Definition-Field2"/>
      </w:pPr>
      <w:r>
        <w:t>In Office, the item attribute shall not be present for OLAP PivotTables, or if pivotField@multipleItemSelectionAllowed is true. In those cases the filtering will be determined by the set</w:t>
      </w:r>
      <w:r>
        <w:t>tings on the pivotField and/or pivotHierarchy.</w:t>
      </w:r>
    </w:p>
    <w:p w:rsidR="005F78FC" w:rsidRDefault="00B42EF3">
      <w:pPr>
        <w:pStyle w:val="Definition-Field"/>
      </w:pPr>
      <w:r>
        <w:t xml:space="preserve">h.   </w:t>
      </w:r>
      <w:r>
        <w:rPr>
          <w:i/>
        </w:rPr>
        <w:t>The standard does not define when the name attribute will be present.</w:t>
      </w:r>
    </w:p>
    <w:p w:rsidR="005F78FC" w:rsidRDefault="00B42EF3">
      <w:pPr>
        <w:pStyle w:val="Definition-Field2"/>
      </w:pPr>
      <w:r>
        <w:t>Office requires the name attribute for OLAP PivotTables.</w:t>
      </w:r>
    </w:p>
    <w:p w:rsidR="005F78FC" w:rsidRDefault="00B42EF3">
      <w:pPr>
        <w:pStyle w:val="Definition-Field"/>
      </w:pPr>
      <w:r>
        <w:t xml:space="preserve">i.   </w:t>
      </w:r>
      <w:r>
        <w:rPr>
          <w:i/>
        </w:rPr>
        <w:t>The standard describes page fields as allowing filtering to display data</w:t>
      </w:r>
      <w:r>
        <w:rPr>
          <w:i/>
        </w:rPr>
        <w:t xml:space="preserve"> for a single item or all the items.</w:t>
      </w:r>
    </w:p>
    <w:p w:rsidR="005F78FC" w:rsidRDefault="00B42EF3">
      <w:pPr>
        <w:pStyle w:val="Definition-Field2"/>
      </w:pPr>
      <w:r>
        <w:t>Office additionally assumes that using settings on a pivotField or pivotHierarchy filtering can be done for multiple items in a field used as a page or report filter.</w:t>
      </w:r>
    </w:p>
    <w:p w:rsidR="005F78FC" w:rsidRDefault="00B42EF3">
      <w:pPr>
        <w:pStyle w:val="Definition-Field"/>
      </w:pPr>
      <w:r>
        <w:t xml:space="preserve">j.   </w:t>
      </w:r>
      <w:r>
        <w:rPr>
          <w:i/>
        </w:rPr>
        <w:t>The standard does not state that the name attri</w:t>
      </w:r>
      <w:r>
        <w:rPr>
          <w:i/>
        </w:rPr>
        <w:t>bute is affected by the multipleItemSelectionAllowed attribute.</w:t>
      </w:r>
    </w:p>
    <w:p w:rsidR="005F78FC" w:rsidRDefault="00B42EF3">
      <w:pPr>
        <w:pStyle w:val="Definition-Field2"/>
      </w:pPr>
      <w:r>
        <w:t>In Office, if pivotHierarchy@multipleItemSelectionAllowed equals 0, the name attribute specifies the member used for filtering. Otherwise, it is ignored.</w:t>
      </w:r>
    </w:p>
    <w:p w:rsidR="005F78FC" w:rsidRDefault="00B42EF3">
      <w:pPr>
        <w:pStyle w:val="Definition-Field"/>
      </w:pPr>
      <w:r>
        <w:t xml:space="preserve">k.   </w:t>
      </w:r>
      <w:r>
        <w:rPr>
          <w:i/>
        </w:rPr>
        <w:t>The standard states that @name sp</w:t>
      </w:r>
      <w:r>
        <w:rPr>
          <w:i/>
        </w:rPr>
        <w:t>ecifies the unique name of the hierarchy.</w:t>
      </w:r>
    </w:p>
    <w:p w:rsidR="005F78FC" w:rsidRDefault="00B42EF3">
      <w:pPr>
        <w:pStyle w:val="Definition-Field2"/>
      </w:pPr>
      <w:r>
        <w:t>Office assumes that @name specifies the member unique name of the OLAP member being displayed.</w:t>
      </w:r>
    </w:p>
    <w:p w:rsidR="005F78FC" w:rsidRDefault="00B42EF3">
      <w:pPr>
        <w:pStyle w:val="Heading3"/>
      </w:pPr>
      <w:bookmarkStart w:id="1578" w:name="section_14b39f7e6d054a8a8cbc7fb18850a82a"/>
      <w:bookmarkStart w:id="1579" w:name="_Toc69878562"/>
      <w:r>
        <w:t>Part 1 Section 18.10.1.63, pageFields (Page Field Items)</w:t>
      </w:r>
      <w:bookmarkEnd w:id="1578"/>
      <w:bookmarkEnd w:id="1579"/>
      <w:r>
        <w:fldChar w:fldCharType="begin"/>
      </w:r>
      <w:r>
        <w:instrText xml:space="preserve"> XE "pageFields (Page Field Items)" </w:instrText>
      </w:r>
      <w:r>
        <w:fldChar w:fldCharType="end"/>
      </w:r>
    </w:p>
    <w:p w:rsidR="005F78FC" w:rsidRDefault="00B42EF3">
      <w:pPr>
        <w:pStyle w:val="Definition-Field"/>
      </w:pPr>
      <w:r>
        <w:t xml:space="preserve">a.   </w:t>
      </w:r>
      <w:r>
        <w:rPr>
          <w:i/>
        </w:rPr>
        <w:t>The standard states</w:t>
      </w:r>
      <w:r>
        <w:rPr>
          <w:i/>
        </w:rPr>
        <w:t xml:space="preserve"> that the maxOccurs value for the pageField child element is unbounded.</w:t>
      </w:r>
    </w:p>
    <w:p w:rsidR="005F78FC" w:rsidRDefault="00B42EF3">
      <w:pPr>
        <w:pStyle w:val="Definition-Field2"/>
      </w:pPr>
      <w:r>
        <w:t>Excel limits the occurrences of this element to 256.</w:t>
      </w:r>
    </w:p>
    <w:p w:rsidR="005F78FC" w:rsidRDefault="00B42EF3">
      <w:pPr>
        <w:pStyle w:val="Heading3"/>
      </w:pPr>
      <w:bookmarkStart w:id="1580" w:name="section_4027d9f9ded64b99a6141ebec23feece"/>
      <w:bookmarkStart w:id="1581" w:name="_Toc69878563"/>
      <w:r>
        <w:t>Part 1 Section 18.10.1.64, pageItem (Page Item)</w:t>
      </w:r>
      <w:bookmarkEnd w:id="1580"/>
      <w:bookmarkEnd w:id="1581"/>
      <w:r>
        <w:fldChar w:fldCharType="begin"/>
      </w:r>
      <w:r>
        <w:instrText xml:space="preserve"> XE "pageItem (Page Item)" </w:instrText>
      </w:r>
      <w:r>
        <w:fldChar w:fldCharType="end"/>
      </w:r>
    </w:p>
    <w:p w:rsidR="005F78FC" w:rsidRDefault="00B42EF3">
      <w:pPr>
        <w:pStyle w:val="Definition-Field"/>
      </w:pPr>
      <w:r>
        <w:t xml:space="preserve">a.   </w:t>
      </w:r>
      <w:r>
        <w:rPr>
          <w:i/>
        </w:rPr>
        <w:t>The standard does not define a length restriction</w:t>
      </w:r>
      <w:r>
        <w:rPr>
          <w:i/>
        </w:rPr>
        <w:t xml:space="preserve"> on the name attribute.</w:t>
      </w:r>
    </w:p>
    <w:p w:rsidR="005F78FC" w:rsidRDefault="00B42EF3">
      <w:pPr>
        <w:pStyle w:val="Definition-Field2"/>
      </w:pPr>
      <w:r>
        <w:t>Office limits the name attribute to 255 or fewer characters when pivotCacheDefinition@createdVersion is less than 3, otherwise to 32767 or fewer characters.</w:t>
      </w:r>
    </w:p>
    <w:p w:rsidR="005F78FC" w:rsidRDefault="00B42EF3">
      <w:pPr>
        <w:pStyle w:val="Heading3"/>
      </w:pPr>
      <w:bookmarkStart w:id="1582" w:name="section_e51aae59add04998811379ab9f8c9a4d"/>
      <w:bookmarkStart w:id="1583" w:name="_Toc69878564"/>
      <w:r>
        <w:t>Part 1 Section 18.10.1.67, pivotCacheDefinition (PivotCache Definition)</w:t>
      </w:r>
      <w:bookmarkEnd w:id="1582"/>
      <w:bookmarkEnd w:id="1583"/>
      <w:r>
        <w:fldChar w:fldCharType="begin"/>
      </w:r>
      <w:r>
        <w:instrText xml:space="preserve"> XE </w:instrText>
      </w:r>
      <w:r>
        <w:instrText xml:space="preserve">"pivotCacheDefinition (PivotCache Definition)" </w:instrText>
      </w:r>
      <w:r>
        <w:fldChar w:fldCharType="end"/>
      </w:r>
    </w:p>
    <w:p w:rsidR="005F78FC" w:rsidRDefault="00B42EF3">
      <w:pPr>
        <w:pStyle w:val="Definition-Field"/>
      </w:pPr>
      <w:r>
        <w:t xml:space="preserve">a.   </w:t>
      </w:r>
      <w:r>
        <w:rPr>
          <w:i/>
        </w:rPr>
        <w:t>The standard doesn't specify maxLength for @refreshedBy.</w:t>
      </w:r>
    </w:p>
    <w:p w:rsidR="005F78FC" w:rsidRDefault="00B42EF3">
      <w:pPr>
        <w:pStyle w:val="Definition-Field2"/>
      </w:pPr>
      <w:r>
        <w:t>In Office, the maxLength for @refreshedBy is 255.</w:t>
      </w:r>
    </w:p>
    <w:p w:rsidR="005F78FC" w:rsidRDefault="00B42EF3">
      <w:pPr>
        <w:pStyle w:val="Definition-Field"/>
      </w:pPr>
      <w:r>
        <w:t xml:space="preserve">b.   </w:t>
      </w:r>
      <w:r>
        <w:rPr>
          <w:i/>
        </w:rPr>
        <w:t>The standard doesn't specify any restrictions for @backgroundQuery.</w:t>
      </w:r>
    </w:p>
    <w:p w:rsidR="005F78FC" w:rsidRDefault="00B42EF3">
      <w:pPr>
        <w:pStyle w:val="Definition-Field2"/>
      </w:pPr>
      <w:r>
        <w:t xml:space="preserve">In Office, the </w:t>
      </w:r>
      <w:r>
        <w:t>@backgroundQuery shall be 0 for non-external data sources.</w:t>
      </w:r>
    </w:p>
    <w:p w:rsidR="005F78FC" w:rsidRDefault="00B42EF3">
      <w:pPr>
        <w:pStyle w:val="Definition-Field"/>
      </w:pPr>
      <w:r>
        <w:t xml:space="preserve">c.   </w:t>
      </w:r>
      <w:r>
        <w:rPr>
          <w:i/>
        </w:rPr>
        <w:t>The standard does not specify any restrictions for the optimizeMemory attribute.</w:t>
      </w:r>
    </w:p>
    <w:p w:rsidR="005F78FC" w:rsidRDefault="00B42EF3">
      <w:pPr>
        <w:pStyle w:val="Definition-Field2"/>
      </w:pPr>
      <w:r>
        <w:t>In Office, the optimizeMemory attribute must be 0 or false for non-external and non-ODBC data sources.</w:t>
      </w:r>
    </w:p>
    <w:p w:rsidR="005F78FC" w:rsidRDefault="00B42EF3">
      <w:pPr>
        <w:pStyle w:val="Definition-Field"/>
      </w:pPr>
      <w:r>
        <w:t xml:space="preserve">d.   </w:t>
      </w:r>
      <w:r>
        <w:rPr>
          <w:i/>
        </w:rPr>
        <w:t>The</w:t>
      </w:r>
      <w:r>
        <w:rPr>
          <w:i/>
        </w:rPr>
        <w:t xml:space="preserve"> standard does not specify any restrictions for the refreshedVersion attribute.</w:t>
      </w:r>
    </w:p>
    <w:p w:rsidR="005F78FC" w:rsidRDefault="00B42EF3">
      <w:pPr>
        <w:pStyle w:val="Definition-Field2"/>
      </w:pPr>
      <w:r>
        <w:lastRenderedPageBreak/>
        <w:t>In Office, the refreshedVersion attribute shall not be less than the minRefreshableVersion attribute.</w:t>
      </w:r>
    </w:p>
    <w:p w:rsidR="005F78FC" w:rsidRDefault="00B42EF3">
      <w:pPr>
        <w:pStyle w:val="Definition-Field"/>
      </w:pPr>
      <w:r>
        <w:t xml:space="preserve">e.   </w:t>
      </w:r>
      <w:r>
        <w:rPr>
          <w:i/>
        </w:rPr>
        <w:t>The standard does not specify any restrictions for the id attribute.</w:t>
      </w:r>
    </w:p>
    <w:p w:rsidR="005F78FC" w:rsidRDefault="00B42EF3">
      <w:pPr>
        <w:pStyle w:val="Definition-Field2"/>
      </w:pPr>
      <w:r>
        <w:t>In Office, the id attribute must not be empty if the saveData attribute is 1 and the invalid attribute is 0.</w:t>
      </w:r>
    </w:p>
    <w:p w:rsidR="005F78FC" w:rsidRDefault="00B42EF3">
      <w:pPr>
        <w:pStyle w:val="Definition-Field"/>
      </w:pPr>
      <w:r>
        <w:t xml:space="preserve">f.   </w:t>
      </w:r>
      <w:r>
        <w:rPr>
          <w:i/>
        </w:rPr>
        <w:t>The standard does not define application defined behavior when the missingItemsLimit attribute is not present.</w:t>
      </w:r>
    </w:p>
    <w:p w:rsidR="005F78FC" w:rsidRDefault="00B42EF3">
      <w:pPr>
        <w:pStyle w:val="Definition-Field2"/>
      </w:pPr>
      <w:r>
        <w:t xml:space="preserve">If this number is not </w:t>
      </w:r>
      <w:r>
        <w:t>specified, Office sets the threshold automatically based on the number of items.</w:t>
      </w:r>
    </w:p>
    <w:p w:rsidR="005F78FC" w:rsidRDefault="00B42EF3">
      <w:pPr>
        <w:pStyle w:val="Definition-Field"/>
      </w:pPr>
      <w:r>
        <w:t xml:space="preserve">g.   </w:t>
      </w:r>
      <w:r>
        <w:rPr>
          <w:i/>
        </w:rPr>
        <w:t>The standard does not define a relation between this @tupleCache and the tupleCache child element.</w:t>
      </w:r>
    </w:p>
    <w:p w:rsidR="005F78FC" w:rsidRDefault="00B42EF3">
      <w:pPr>
        <w:pStyle w:val="Definition-Field2"/>
      </w:pPr>
      <w:r>
        <w:t>In Office, if @tupleCache has a value of 0, then pivotCacheDefinition s</w:t>
      </w:r>
      <w:r>
        <w:t>hall not contain tupleCache element.</w:t>
      </w:r>
    </w:p>
    <w:p w:rsidR="005F78FC" w:rsidRDefault="00B42EF3">
      <w:pPr>
        <w:pStyle w:val="Definition-Field"/>
      </w:pPr>
      <w:r>
        <w:t xml:space="preserve">h.   </w:t>
      </w:r>
      <w:r>
        <w:rPr>
          <w:i/>
        </w:rPr>
        <w:t>The standard does not place any restrictions on the value of the backgroundQuery attribute with respect to connection element.</w:t>
      </w:r>
    </w:p>
    <w:p w:rsidR="005F78FC" w:rsidRDefault="00B42EF3">
      <w:pPr>
        <w:pStyle w:val="Definition-Field2"/>
      </w:pPr>
      <w:r>
        <w:t>Office requires the backgroundQuery attribute match the value of background on the rela</w:t>
      </w:r>
      <w:r>
        <w:t>ted connection element.</w:t>
      </w:r>
    </w:p>
    <w:p w:rsidR="005F78FC" w:rsidRDefault="00B42EF3">
      <w:pPr>
        <w:pStyle w:val="Heading3"/>
      </w:pPr>
      <w:bookmarkStart w:id="1584" w:name="section_991b9d727f544454ac7801c6f4e5249b"/>
      <w:bookmarkStart w:id="1585" w:name="_Toc69878565"/>
      <w:r>
        <w:t>Part 1 Section 18.10.1.69, pivotField (PivotTable Field)</w:t>
      </w:r>
      <w:bookmarkEnd w:id="1584"/>
      <w:bookmarkEnd w:id="1585"/>
      <w:r>
        <w:fldChar w:fldCharType="begin"/>
      </w:r>
      <w:r>
        <w:instrText xml:space="preserve"> XE "pivotField (PivotTable Field)" </w:instrText>
      </w:r>
      <w:r>
        <w:fldChar w:fldCharType="end"/>
      </w:r>
    </w:p>
    <w:p w:rsidR="005F78FC" w:rsidRDefault="00B42EF3">
      <w:pPr>
        <w:pStyle w:val="Definition-Field"/>
      </w:pPr>
      <w:r>
        <w:t xml:space="preserve">a.   </w:t>
      </w:r>
      <w:r>
        <w:rPr>
          <w:i/>
        </w:rPr>
        <w:t>The standard does not specify behavior if @axis is not present.</w:t>
      </w:r>
    </w:p>
    <w:p w:rsidR="005F78FC" w:rsidRDefault="00B42EF3">
      <w:pPr>
        <w:pStyle w:val="Definition-Field2"/>
      </w:pPr>
      <w:r>
        <w:t xml:space="preserve">Office specifies if @axis is not present, the field does not appear </w:t>
      </w:r>
      <w:r>
        <w:t>in the row, column or page regions of the PivotTable.</w:t>
      </w:r>
    </w:p>
    <w:p w:rsidR="005F78FC" w:rsidRDefault="00B42EF3">
      <w:pPr>
        <w:pStyle w:val="Definition-Field"/>
      </w:pPr>
      <w:r>
        <w:t xml:space="preserve">b.   </w:t>
      </w:r>
      <w:r>
        <w:rPr>
          <w:i/>
        </w:rPr>
        <w:t>The standard does not restrict valid values for the axis attribute.</w:t>
      </w:r>
    </w:p>
    <w:p w:rsidR="005F78FC" w:rsidRDefault="00B42EF3">
      <w:pPr>
        <w:pStyle w:val="Definition-Field2"/>
      </w:pPr>
      <w:r>
        <w:t>In Office, axisValues shall not be used for the axis attribute.</w:t>
      </w:r>
    </w:p>
    <w:p w:rsidR="005F78FC" w:rsidRDefault="00B42EF3">
      <w:pPr>
        <w:pStyle w:val="Definition-Field"/>
      </w:pPr>
      <w:r>
        <w:t xml:space="preserve">c.   </w:t>
      </w:r>
      <w:r>
        <w:rPr>
          <w:i/>
        </w:rPr>
        <w:t>The standard does not specify a default value for the numFmt</w:t>
      </w:r>
      <w:r>
        <w:rPr>
          <w:i/>
        </w:rPr>
        <w:t>Id attribute.</w:t>
      </w:r>
    </w:p>
    <w:p w:rsidR="005F78FC" w:rsidRDefault="00B42EF3">
      <w:pPr>
        <w:pStyle w:val="Definition-Field2"/>
      </w:pPr>
      <w:r>
        <w:t>Excel uses a default value of 0 for this attribute.</w:t>
      </w:r>
    </w:p>
    <w:p w:rsidR="005F78FC" w:rsidRDefault="00B42EF3">
      <w:pPr>
        <w:pStyle w:val="Definition-Field"/>
      </w:pPr>
      <w:r>
        <w:t xml:space="preserve">d.   </w:t>
      </w:r>
      <w:r>
        <w:rPr>
          <w:i/>
        </w:rPr>
        <w:t>The standard does not specify a default value for the dataSourceSort attribute.</w:t>
      </w:r>
    </w:p>
    <w:p w:rsidR="005F78FC" w:rsidRDefault="00B42EF3">
      <w:pPr>
        <w:pStyle w:val="Definition-Field2"/>
      </w:pPr>
      <w:r>
        <w:t>Excel uses a default value of false for this attribute.</w:t>
      </w:r>
    </w:p>
    <w:p w:rsidR="005F78FC" w:rsidRDefault="00B42EF3">
      <w:pPr>
        <w:pStyle w:val="Definition-Field"/>
      </w:pPr>
      <w:r>
        <w:t xml:space="preserve">e.   </w:t>
      </w:r>
      <w:r>
        <w:rPr>
          <w:i/>
        </w:rPr>
        <w:t xml:space="preserve">The standard does not define the meaning of </w:t>
      </w:r>
      <w:r>
        <w:rPr>
          <w:i/>
        </w:rPr>
        <w:t>the absence of @rankBy.</w:t>
      </w:r>
    </w:p>
    <w:p w:rsidR="005F78FC" w:rsidRDefault="00B42EF3">
      <w:pPr>
        <w:pStyle w:val="Definition-Field2"/>
      </w:pPr>
      <w:r>
        <w:t>Office assumes if @rankBy is not present, this indicates that no data field will be used by AutoShow for ranking.</w:t>
      </w:r>
    </w:p>
    <w:p w:rsidR="005F78FC" w:rsidRDefault="00B42EF3">
      <w:pPr>
        <w:pStyle w:val="Definition-Field"/>
      </w:pPr>
      <w:r>
        <w:t xml:space="preserve">f.   </w:t>
      </w:r>
      <w:r>
        <w:rPr>
          <w:i/>
        </w:rPr>
        <w:t>The standard does not mention any relationship between the value of the dataField attribute and dataField element</w:t>
      </w:r>
      <w:r>
        <w:rPr>
          <w:i/>
        </w:rPr>
        <w:t>s.</w:t>
      </w:r>
    </w:p>
    <w:p w:rsidR="005F78FC" w:rsidRDefault="00B42EF3">
      <w:r>
        <w:t>Office requires that if the dataField attribute is true and this pivotTable is not an OLAP pivotTable, then there must be at least one matching dataField element on this pivotTable with an fld attribute equal to this element's index within its parent el</w:t>
      </w:r>
      <w:r>
        <w:t>ement.</w:t>
      </w:r>
    </w:p>
    <w:p w:rsidR="005F78FC" w:rsidRDefault="00B42EF3">
      <w:pPr>
        <w:pStyle w:val="Definition-Field"/>
      </w:pPr>
      <w:r>
        <w:t xml:space="preserve">g.   </w:t>
      </w:r>
      <w:r>
        <w:rPr>
          <w:i/>
        </w:rPr>
        <w:t>The standard says that for @nonAutoSortDefault, a value of 1 or true indicates that an AutoSort operation will be applied to the field.</w:t>
      </w:r>
    </w:p>
    <w:p w:rsidR="005F78FC" w:rsidRDefault="00B42EF3">
      <w:pPr>
        <w:pStyle w:val="Definition-Field2"/>
      </w:pPr>
      <w:r>
        <w:t>In Office, a value of 1 or true indicates a simple data sort operation will be applied to the field.</w:t>
      </w:r>
    </w:p>
    <w:p w:rsidR="005F78FC" w:rsidRDefault="00B42EF3">
      <w:pPr>
        <w:pStyle w:val="Definition-Field"/>
      </w:pPr>
      <w:r>
        <w:lastRenderedPageBreak/>
        <w:t xml:space="preserve">h.   </w:t>
      </w:r>
      <w:r>
        <w:rPr>
          <w:i/>
        </w:rPr>
        <w:t>The standard does not require a relationship between the axis attribute and rowFields.</w:t>
      </w:r>
    </w:p>
    <w:p w:rsidR="005F78FC" w:rsidRDefault="00B42EF3">
      <w:pPr>
        <w:pStyle w:val="Definition-Field2"/>
      </w:pPr>
      <w:r>
        <w:t>Office requires that if the axis attribute equals axisRow and this pivotTable is not an OLAP pivotTable, then there must be a field element in the rowFields collection w</w:t>
      </w:r>
      <w:r>
        <w:t>ith its x attribute set to the index of this pivotField.</w:t>
      </w:r>
    </w:p>
    <w:p w:rsidR="005F78FC" w:rsidRDefault="00B42EF3">
      <w:pPr>
        <w:pStyle w:val="Definition-Field"/>
      </w:pPr>
      <w:r>
        <w:t xml:space="preserve">i.   </w:t>
      </w:r>
      <w:r>
        <w:rPr>
          <w:i/>
        </w:rPr>
        <w:t>The standard does not require a relationship between the axis attribute and colFields.</w:t>
      </w:r>
    </w:p>
    <w:p w:rsidR="005F78FC" w:rsidRDefault="00B42EF3">
      <w:pPr>
        <w:pStyle w:val="Definition-Field2"/>
      </w:pPr>
      <w:r>
        <w:t>Office requires that if the axis attribute equals axisCol and this pivotTable is not an OLAP pivotTable, th</w:t>
      </w:r>
      <w:r>
        <w:t>en there must be a field element in the colFields collection with its x attribute set to the index of this pivotField.</w:t>
      </w:r>
    </w:p>
    <w:p w:rsidR="005F78FC" w:rsidRDefault="00B42EF3">
      <w:pPr>
        <w:pStyle w:val="Definition-Field"/>
      </w:pPr>
      <w:r>
        <w:t xml:space="preserve">j.   </w:t>
      </w:r>
      <w:r>
        <w:rPr>
          <w:i/>
        </w:rPr>
        <w:t>The standard does not require a relationship between the axis attribute and pageFields.</w:t>
      </w:r>
    </w:p>
    <w:p w:rsidR="005F78FC" w:rsidRDefault="00B42EF3">
      <w:pPr>
        <w:pStyle w:val="Definition-Field2"/>
      </w:pPr>
      <w:r>
        <w:t>Office requires that if the axis attribute e</w:t>
      </w:r>
      <w:r>
        <w:t>quals axisPage and this pivotTable is not an OLAP pivotTable, then there shall be a pageField element on this pivotTable with the fld attribute set to this pivotField's index.</w:t>
      </w:r>
    </w:p>
    <w:p w:rsidR="005F78FC" w:rsidRDefault="00B42EF3">
      <w:pPr>
        <w:pStyle w:val="Definition-Field"/>
      </w:pPr>
      <w:r>
        <w:t xml:space="preserve">k.   </w:t>
      </w:r>
      <w:r>
        <w:rPr>
          <w:i/>
        </w:rPr>
        <w:t>The standard does not define a relationship between the dataField attribute</w:t>
      </w:r>
      <w:r>
        <w:rPr>
          <w:i/>
        </w:rPr>
        <w:t xml:space="preserve"> and the cacheHierarchy element.</w:t>
      </w:r>
    </w:p>
    <w:p w:rsidR="005F78FC" w:rsidRDefault="00B42EF3">
      <w:r>
        <w:t xml:space="preserve">Office requires that if the dataField attribute equals 1 and this is an OLAP pivotTable, then the cacheField on the associated pivotCache with the same index as this element shall exist and have a hierarchy attribute which </w:t>
      </w:r>
      <w:r>
        <w:t>will refer to a cacheHierarchy element with its measure attribute equal to 1.</w:t>
      </w:r>
    </w:p>
    <w:p w:rsidR="005F78FC" w:rsidRDefault="00B42EF3">
      <w:pPr>
        <w:pStyle w:val="Definition-Field"/>
      </w:pPr>
      <w:r>
        <w:t xml:space="preserve">l.   </w:t>
      </w:r>
      <w:r>
        <w:rPr>
          <w:i/>
        </w:rPr>
        <w:t>The standard does not require a relationship between the axis attribute and cacheHierarchy.</w:t>
      </w:r>
    </w:p>
    <w:p w:rsidR="005F78FC" w:rsidRDefault="00B42EF3">
      <w:r>
        <w:t>Office specifies if the axis attribute is present and this is an OLAP pivotTable,</w:t>
      </w:r>
      <w:r>
        <w:t xml:space="preserve"> then the cacheField on the associated pivotCache with the same index as this element shall have a hierarchy attribute which will refer to a cacheHierarchy element with its measure attribute equal to 0.</w:t>
      </w:r>
    </w:p>
    <w:p w:rsidR="005F78FC" w:rsidRDefault="00B42EF3">
      <w:pPr>
        <w:pStyle w:val="Definition-Field"/>
      </w:pPr>
      <w:r>
        <w:t xml:space="preserve">m.   </w:t>
      </w:r>
      <w:r>
        <w:rPr>
          <w:i/>
        </w:rPr>
        <w:t>The standard does not limit the length of the va</w:t>
      </w:r>
      <w:r>
        <w:rPr>
          <w:i/>
        </w:rPr>
        <w:t>lue of the name attribute.</w:t>
      </w:r>
    </w:p>
    <w:p w:rsidR="005F78FC" w:rsidRDefault="00B42EF3">
      <w:pPr>
        <w:pStyle w:val="Definition-Field2"/>
      </w:pPr>
      <w:r>
        <w:t>Excel restricts the value of this attribute to be at most 255 characters when the createdVersion attribute on the pivotCacheDefinition element is less than 3 and 32767 characters otherwise.</w:t>
      </w:r>
    </w:p>
    <w:p w:rsidR="005F78FC" w:rsidRDefault="00B42EF3">
      <w:pPr>
        <w:pStyle w:val="Definition-Field"/>
      </w:pPr>
      <w:r>
        <w:t xml:space="preserve">n.   </w:t>
      </w:r>
      <w:r>
        <w:rPr>
          <w:i/>
        </w:rPr>
        <w:t>The standard does not limit the le</w:t>
      </w:r>
      <w:r>
        <w:rPr>
          <w:i/>
        </w:rPr>
        <w:t>ngth of the value of the subtotalCaption attribute.</w:t>
      </w:r>
    </w:p>
    <w:p w:rsidR="005F78FC" w:rsidRDefault="00B42EF3">
      <w:pPr>
        <w:pStyle w:val="Definition-Field2"/>
      </w:pPr>
      <w:r>
        <w:t>Excel restricts the value of this attribute to be at most 255 characters when the createdVersion attribute on the pivotCacheDefinition element is less than 3 and 32767 characters otherwise.</w:t>
      </w:r>
    </w:p>
    <w:p w:rsidR="005F78FC" w:rsidRDefault="00B42EF3">
      <w:pPr>
        <w:pStyle w:val="Definition-Field"/>
      </w:pPr>
      <w:r>
        <w:t xml:space="preserve">o.   </w:t>
      </w:r>
      <w:r>
        <w:rPr>
          <w:i/>
        </w:rPr>
        <w:t>The stand</w:t>
      </w:r>
      <w:r>
        <w:rPr>
          <w:i/>
        </w:rPr>
        <w:t>ard does not limit the length of the value of the uniqueMemberProperty attribute.</w:t>
      </w:r>
    </w:p>
    <w:p w:rsidR="005F78FC" w:rsidRDefault="00B42EF3">
      <w:pPr>
        <w:pStyle w:val="Definition-Field2"/>
      </w:pPr>
      <w:r>
        <w:t>Excel restricts the value of this attribute to be at most 255 characters when the createdVersion attribute on the pivotCacheDefinition element is less than 3 and 32767 charac</w:t>
      </w:r>
      <w:r>
        <w:t>ters otherwise.</w:t>
      </w:r>
    </w:p>
    <w:p w:rsidR="005F78FC" w:rsidRDefault="00B42EF3">
      <w:pPr>
        <w:pStyle w:val="Definition-Field"/>
      </w:pPr>
      <w:r>
        <w:t xml:space="preserve">p.   </w:t>
      </w:r>
      <w:r>
        <w:rPr>
          <w:i/>
        </w:rPr>
        <w:t>The standard does not place a uniqueness restriction on the value of @name.</w:t>
      </w:r>
    </w:p>
    <w:p w:rsidR="005F78FC" w:rsidRDefault="00B42EF3">
      <w:pPr>
        <w:pStyle w:val="Definition-Field2"/>
      </w:pPr>
      <w:r>
        <w:t>Office requires @name to be unique for non-OLAP PivotTables.</w:t>
      </w:r>
    </w:p>
    <w:p w:rsidR="005F78FC" w:rsidRDefault="00B42EF3">
      <w:pPr>
        <w:pStyle w:val="Definition-Field"/>
      </w:pPr>
      <w:r>
        <w:t xml:space="preserve">q.   </w:t>
      </w:r>
      <w:r>
        <w:rPr>
          <w:i/>
        </w:rPr>
        <w:t xml:space="preserve">The standard does not place any restrictions on the relationship between the serverField </w:t>
      </w:r>
      <w:r>
        <w:rPr>
          <w:i/>
        </w:rPr>
        <w:t>attribute and the cacheField and pivotCache elements.</w:t>
      </w:r>
    </w:p>
    <w:p w:rsidR="005F78FC" w:rsidRDefault="00B42EF3">
      <w:pPr>
        <w:pStyle w:val="Definition-Field2"/>
      </w:pPr>
      <w:r>
        <w:t>Excel requires that the value of the serverField attribute on the cacheField element be 1 and the value of the type attribute on the associated pivotCache element be external when the value of the serve</w:t>
      </w:r>
      <w:r>
        <w:t>rField attribute on this element is true.</w:t>
      </w:r>
    </w:p>
    <w:p w:rsidR="005F78FC" w:rsidRDefault="00B42EF3">
      <w:pPr>
        <w:pStyle w:val="Definition-Field"/>
      </w:pPr>
      <w:r>
        <w:t xml:space="preserve">r.   </w:t>
      </w:r>
      <w:r>
        <w:rPr>
          <w:i/>
        </w:rPr>
        <w:t>The standard does not mention that if autoShow is true, there are range limitations on itemPageCount.</w:t>
      </w:r>
    </w:p>
    <w:p w:rsidR="005F78FC" w:rsidRDefault="00B42EF3">
      <w:pPr>
        <w:pStyle w:val="Definition-Field2"/>
      </w:pPr>
      <w:r>
        <w:lastRenderedPageBreak/>
        <w:t>In Excel, the itemPageCount attribute must be between 1 and 255 inclusive or the rankBy attribute must be g</w:t>
      </w:r>
      <w:r>
        <w:t>reater than or equal to 0 and less than the number of dataField elements.</w:t>
      </w:r>
    </w:p>
    <w:p w:rsidR="005F78FC" w:rsidRDefault="00B42EF3">
      <w:pPr>
        <w:pStyle w:val="Definition-Field"/>
      </w:pPr>
      <w:r>
        <w:t xml:space="preserve">s.   </w:t>
      </w:r>
      <w:r>
        <w:rPr>
          <w:i/>
        </w:rPr>
        <w:t>The standard does not specify restrictions for the hideNewItems attribute.</w:t>
      </w:r>
    </w:p>
    <w:p w:rsidR="005F78FC" w:rsidRDefault="00B42EF3">
      <w:pPr>
        <w:pStyle w:val="Definition-Field2"/>
      </w:pPr>
      <w:r>
        <w:t>Office specifies that the hideNewItems attribute shall be false for non-OLAP pivotTables.</w:t>
      </w:r>
    </w:p>
    <w:p w:rsidR="005F78FC" w:rsidRDefault="00B42EF3">
      <w:pPr>
        <w:pStyle w:val="Definition-Field"/>
      </w:pPr>
      <w:r>
        <w:t xml:space="preserve">t.   </w:t>
      </w:r>
      <w:r>
        <w:rPr>
          <w:i/>
        </w:rPr>
        <w:t>The sta</w:t>
      </w:r>
      <w:r>
        <w:rPr>
          <w:i/>
        </w:rPr>
        <w:t>ndard does not specify restrictions for the showPropAsCaption attribute.</w:t>
      </w:r>
    </w:p>
    <w:p w:rsidR="005F78FC" w:rsidRDefault="00B42EF3">
      <w:pPr>
        <w:pStyle w:val="Definition-Field2"/>
      </w:pPr>
      <w:r>
        <w:t>Office specifies that the showPropAsCaption attribute shall be false for non-OLAP pivotTables.</w:t>
      </w:r>
    </w:p>
    <w:p w:rsidR="005F78FC" w:rsidRDefault="00B42EF3">
      <w:pPr>
        <w:pStyle w:val="Definition-Field"/>
      </w:pPr>
      <w:r>
        <w:t xml:space="preserve">u.   </w:t>
      </w:r>
      <w:r>
        <w:rPr>
          <w:i/>
        </w:rPr>
        <w:t>The standard does not specify restrictions for the showPropCell attribute.</w:t>
      </w:r>
    </w:p>
    <w:p w:rsidR="005F78FC" w:rsidRDefault="00B42EF3">
      <w:pPr>
        <w:pStyle w:val="Definition-Field2"/>
      </w:pPr>
      <w:r>
        <w:t>Office s</w:t>
      </w:r>
      <w:r>
        <w:t>pecifies that the showPropCell attribute shall be false for non-OLAP tables.</w:t>
      </w:r>
    </w:p>
    <w:p w:rsidR="005F78FC" w:rsidRDefault="00B42EF3">
      <w:pPr>
        <w:pStyle w:val="Definition-Field"/>
      </w:pPr>
      <w:r>
        <w:t xml:space="preserve">v.   </w:t>
      </w:r>
      <w:r>
        <w:rPr>
          <w:i/>
        </w:rPr>
        <w:t>The standard does not specify restrictions for the showPropTip attribute.</w:t>
      </w:r>
    </w:p>
    <w:p w:rsidR="005F78FC" w:rsidRDefault="00B42EF3">
      <w:pPr>
        <w:pStyle w:val="Definition-Field2"/>
      </w:pPr>
      <w:r>
        <w:t>Office specifies that the showPropTip attribute shall be false for non-OLAP pivotTables.</w:t>
      </w:r>
    </w:p>
    <w:p w:rsidR="005F78FC" w:rsidRDefault="00B42EF3">
      <w:pPr>
        <w:pStyle w:val="Definition-Field"/>
      </w:pPr>
      <w:r>
        <w:t xml:space="preserve">w.   </w:t>
      </w:r>
      <w:r>
        <w:rPr>
          <w:i/>
        </w:rPr>
        <w:t xml:space="preserve">The </w:t>
      </w:r>
      <w:r>
        <w:rPr>
          <w:i/>
        </w:rPr>
        <w:t>standard does not specify restrictions for the showAll attribute.</w:t>
      </w:r>
    </w:p>
    <w:p w:rsidR="005F78FC" w:rsidRDefault="00B42EF3">
      <w:pPr>
        <w:pStyle w:val="Definition-Field2"/>
      </w:pPr>
      <w:r>
        <w:t>Office specifies that the showAll attribute shall be false for OLAP pivotTables.</w:t>
      </w:r>
    </w:p>
    <w:p w:rsidR="005F78FC" w:rsidRDefault="00B42EF3">
      <w:pPr>
        <w:pStyle w:val="Definition-Field"/>
      </w:pPr>
      <w:r>
        <w:t xml:space="preserve">x.   </w:t>
      </w:r>
      <w:r>
        <w:rPr>
          <w:i/>
        </w:rPr>
        <w:t>The standard does not specify restrictions on @dataSourceSort.</w:t>
      </w:r>
    </w:p>
    <w:p w:rsidR="005F78FC" w:rsidRDefault="00B42EF3">
      <w:pPr>
        <w:pStyle w:val="Definition-Field2"/>
      </w:pPr>
      <w:r>
        <w:t>Office specifies that @dataSourceSort sha</w:t>
      </w:r>
      <w:r>
        <w:t>ll not be 1 on a non-OLAP PivotTable.</w:t>
      </w:r>
    </w:p>
    <w:p w:rsidR="005F78FC" w:rsidRDefault="00B42EF3">
      <w:pPr>
        <w:pStyle w:val="Definition-Field"/>
      </w:pPr>
      <w:r>
        <w:t xml:space="preserve">y.   </w:t>
      </w:r>
      <w:r>
        <w:rPr>
          <w:i/>
        </w:rPr>
        <w:t>The standard describes @hiddenLevel as a PivotTable wide attribute.</w:t>
      </w:r>
    </w:p>
    <w:p w:rsidR="005F78FC" w:rsidRDefault="00B42EF3">
      <w:pPr>
        <w:pStyle w:val="Definition-Field2"/>
      </w:pPr>
      <w:r>
        <w:t>Office assumes @hiddenLevel refers to the particular level of this PivotField.</w:t>
      </w:r>
    </w:p>
    <w:p w:rsidR="005F78FC" w:rsidRDefault="00B42EF3">
      <w:pPr>
        <w:pStyle w:val="Definition-Field"/>
      </w:pPr>
      <w:r>
        <w:t xml:space="preserve">z.   </w:t>
      </w:r>
      <w:r>
        <w:rPr>
          <w:i/>
        </w:rPr>
        <w:t xml:space="preserve">The standard specifies that a @dataField value of 0 or false </w:t>
      </w:r>
      <w:r>
        <w:rPr>
          <w:i/>
        </w:rPr>
        <w:t>indicates this field appears in another region of the PivotTable.</w:t>
      </w:r>
    </w:p>
    <w:p w:rsidR="005F78FC" w:rsidRDefault="00B42EF3">
      <w:pPr>
        <w:pStyle w:val="Definition-Field2"/>
      </w:pPr>
      <w:r>
        <w:t>Office assumes a @dataField value of 0 or false indicates this field does not appear in the data region of the PivotTable.</w:t>
      </w:r>
    </w:p>
    <w:p w:rsidR="005F78FC" w:rsidRDefault="00B42EF3">
      <w:pPr>
        <w:pStyle w:val="Definition-Field"/>
      </w:pPr>
      <w:r>
        <w:t xml:space="preserve">aa.  </w:t>
      </w:r>
      <w:r>
        <w:rPr>
          <w:i/>
        </w:rPr>
        <w:t>The standard states that @itemPageCount is the number of items</w:t>
      </w:r>
      <w:r>
        <w:rPr>
          <w:i/>
        </w:rPr>
        <w:t xml:space="preserve"> showed per page in the PivotTable.</w:t>
      </w:r>
    </w:p>
    <w:p w:rsidR="005F78FC" w:rsidRDefault="00B42EF3">
      <w:pPr>
        <w:pStyle w:val="Definition-Field2"/>
      </w:pPr>
      <w:r>
        <w:t>In Office, specifies @itemPageCount is the number of items to show when the PivotTable’s Autoshow feature is enabled.</w:t>
      </w:r>
    </w:p>
    <w:p w:rsidR="005F78FC" w:rsidRDefault="00B42EF3">
      <w:pPr>
        <w:pStyle w:val="Definition-Field"/>
      </w:pPr>
      <w:r>
        <w:t xml:space="preserve">bb.  </w:t>
      </w:r>
      <w:r>
        <w:rPr>
          <w:i/>
        </w:rPr>
        <w:t>The standard specifies the subtotalCaption attribute as text.</w:t>
      </w:r>
    </w:p>
    <w:p w:rsidR="005F78FC" w:rsidRDefault="00B42EF3">
      <w:pPr>
        <w:pStyle w:val="Definition-Field2"/>
      </w:pPr>
      <w:r>
        <w:t>Office will replace the ? character</w:t>
      </w:r>
      <w:r>
        <w:t xml:space="preserve"> in this attribute with the field name when displayed in the UI.</w:t>
      </w:r>
    </w:p>
    <w:p w:rsidR="005F78FC" w:rsidRDefault="00B42EF3">
      <w:pPr>
        <w:pStyle w:val="Definition-Field"/>
      </w:pPr>
      <w:r>
        <w:t xml:space="preserve">cc.  </w:t>
      </w:r>
      <w:r>
        <w:rPr>
          <w:i/>
        </w:rPr>
        <w:t>The standard states that a value of 0 or false for @serverField indicates that this is a local page field.</w:t>
      </w:r>
    </w:p>
    <w:p w:rsidR="005F78FC" w:rsidRDefault="00B42EF3">
      <w:pPr>
        <w:pStyle w:val="Definition-Field2"/>
      </w:pPr>
      <w:r>
        <w:t>In Office, assumes value of 0 or false indicates that this is not a server-base</w:t>
      </w:r>
      <w:r>
        <w:t>d page field and the @axis can be any valid value.</w:t>
      </w:r>
    </w:p>
    <w:p w:rsidR="005F78FC" w:rsidRDefault="00B42EF3">
      <w:pPr>
        <w:pStyle w:val="Definition-Field"/>
      </w:pPr>
      <w:r>
        <w:t xml:space="preserve">dd.  </w:t>
      </w:r>
      <w:r>
        <w:rPr>
          <w:i/>
        </w:rPr>
        <w:t>The standard does not state when @dragToData is used.</w:t>
      </w:r>
    </w:p>
    <w:p w:rsidR="005F78FC" w:rsidRDefault="00B42EF3">
      <w:pPr>
        <w:pStyle w:val="Definition-Field2"/>
      </w:pPr>
      <w:r>
        <w:t>Office ignores @dragToData for OLAP PivotTables.</w:t>
      </w:r>
    </w:p>
    <w:p w:rsidR="005F78FC" w:rsidRDefault="00B42EF3">
      <w:pPr>
        <w:pStyle w:val="Definition-Field"/>
      </w:pPr>
      <w:r>
        <w:t xml:space="preserve">ee.  </w:t>
      </w:r>
      <w:r>
        <w:rPr>
          <w:i/>
        </w:rPr>
        <w:t>The standard does not state when @dragToRow is used.</w:t>
      </w:r>
    </w:p>
    <w:p w:rsidR="005F78FC" w:rsidRDefault="00B42EF3">
      <w:pPr>
        <w:pStyle w:val="Definition-Field2"/>
      </w:pPr>
      <w:r>
        <w:t>Office ignores @dragToRow for OLAP Pivo</w:t>
      </w:r>
      <w:r>
        <w:t>tTables.</w:t>
      </w:r>
    </w:p>
    <w:p w:rsidR="005F78FC" w:rsidRDefault="00B42EF3">
      <w:pPr>
        <w:pStyle w:val="Definition-Field"/>
      </w:pPr>
      <w:r>
        <w:t xml:space="preserve">ff.  </w:t>
      </w:r>
      <w:r>
        <w:rPr>
          <w:i/>
        </w:rPr>
        <w:t>The standard does not state when @dragToCol is used.</w:t>
      </w:r>
    </w:p>
    <w:p w:rsidR="005F78FC" w:rsidRDefault="00B42EF3">
      <w:pPr>
        <w:pStyle w:val="Definition-Field2"/>
      </w:pPr>
      <w:r>
        <w:lastRenderedPageBreak/>
        <w:t>Office ignores @dragToCol for OLAP PivotTables.</w:t>
      </w:r>
    </w:p>
    <w:p w:rsidR="005F78FC" w:rsidRDefault="00B42EF3">
      <w:pPr>
        <w:pStyle w:val="Definition-Field"/>
      </w:pPr>
      <w:r>
        <w:t xml:space="preserve">gg.  </w:t>
      </w:r>
      <w:r>
        <w:rPr>
          <w:i/>
        </w:rPr>
        <w:t>The standard does state when @dragToPage will be used.</w:t>
      </w:r>
    </w:p>
    <w:p w:rsidR="005F78FC" w:rsidRDefault="00B42EF3">
      <w:pPr>
        <w:pStyle w:val="Definition-Field2"/>
      </w:pPr>
      <w:r>
        <w:t>In Office, @dragToPage is ignored for OLAP PivotTables.</w:t>
      </w:r>
    </w:p>
    <w:p w:rsidR="005F78FC" w:rsidRDefault="00B42EF3">
      <w:pPr>
        <w:pStyle w:val="Definition-Field"/>
      </w:pPr>
      <w:r>
        <w:t xml:space="preserve">hh.  </w:t>
      </w:r>
      <w:r>
        <w:rPr>
          <w:i/>
        </w:rPr>
        <w:t>The standard does no</w:t>
      </w:r>
      <w:r>
        <w:rPr>
          <w:i/>
        </w:rPr>
        <w:t>t require a corresponding item element when the avgSubtotal is true.</w:t>
      </w:r>
    </w:p>
    <w:p w:rsidR="005F78FC" w:rsidRDefault="00B42EF3">
      <w:pPr>
        <w:pStyle w:val="Definition-Field2"/>
      </w:pPr>
      <w:r>
        <w:t>In Office, if avgSubtotal is true, then this element's items collection must contain an item element with t="avg".</w:t>
      </w:r>
    </w:p>
    <w:p w:rsidR="005F78FC" w:rsidRDefault="00B42EF3">
      <w:pPr>
        <w:pStyle w:val="Definition-Field"/>
      </w:pPr>
      <w:r>
        <w:t xml:space="preserve">ii.  </w:t>
      </w:r>
      <w:r>
        <w:rPr>
          <w:i/>
        </w:rPr>
        <w:t>The standard does not require a corresponding item element when the</w:t>
      </w:r>
      <w:r>
        <w:rPr>
          <w:i/>
        </w:rPr>
        <w:t xml:space="preserve"> countASubtotal is true.</w:t>
      </w:r>
    </w:p>
    <w:p w:rsidR="005F78FC" w:rsidRDefault="00B42EF3">
      <w:pPr>
        <w:pStyle w:val="Definition-Field2"/>
      </w:pPr>
      <w:r>
        <w:t>In Office, if countASubtotal is true, then this element's items collection must contain an item element with t="countA".</w:t>
      </w:r>
    </w:p>
    <w:p w:rsidR="005F78FC" w:rsidRDefault="00B42EF3">
      <w:pPr>
        <w:pStyle w:val="Definition-Field"/>
      </w:pPr>
      <w:r>
        <w:t xml:space="preserve">jj.  </w:t>
      </w:r>
      <w:r>
        <w:rPr>
          <w:i/>
        </w:rPr>
        <w:t>The standard does not require a corresponding item element when @countSubtotal is true.</w:t>
      </w:r>
    </w:p>
    <w:p w:rsidR="005F78FC" w:rsidRDefault="00B42EF3">
      <w:pPr>
        <w:pStyle w:val="Definition-Field2"/>
      </w:pPr>
      <w:r>
        <w:t xml:space="preserve">In Office if </w:t>
      </w:r>
      <w:r>
        <w:t>@countSubtotal is true, then this element's items collection must contain an item element with t="count".</w:t>
      </w:r>
    </w:p>
    <w:p w:rsidR="005F78FC" w:rsidRDefault="00B42EF3">
      <w:pPr>
        <w:pStyle w:val="Definition-Field"/>
      </w:pPr>
      <w:r>
        <w:t xml:space="preserve">kk.  </w:t>
      </w:r>
      <w:r>
        <w:rPr>
          <w:i/>
        </w:rPr>
        <w:t>The standard does not require a corresponding item element when the maxSubtotal is true.</w:t>
      </w:r>
    </w:p>
    <w:p w:rsidR="005F78FC" w:rsidRDefault="00B42EF3">
      <w:pPr>
        <w:pStyle w:val="Definition-Field2"/>
      </w:pPr>
      <w:r>
        <w:t>In Office, if maxSubtotal is true, then this element's i</w:t>
      </w:r>
      <w:r>
        <w:t>tems collection must contain an item element with t="max".</w:t>
      </w:r>
    </w:p>
    <w:p w:rsidR="005F78FC" w:rsidRDefault="00B42EF3">
      <w:pPr>
        <w:pStyle w:val="Definition-Field"/>
      </w:pPr>
      <w:r>
        <w:t xml:space="preserve">ll.  </w:t>
      </w:r>
      <w:r>
        <w:rPr>
          <w:i/>
        </w:rPr>
        <w:t>The standard does not require a corresponding item element when the minSubtotal is true.</w:t>
      </w:r>
    </w:p>
    <w:p w:rsidR="005F78FC" w:rsidRDefault="00B42EF3">
      <w:pPr>
        <w:pStyle w:val="Definition-Field2"/>
      </w:pPr>
      <w:r>
        <w:t>In Office, if minSubtotal is true, then this element's items collection must contain an item element wi</w:t>
      </w:r>
      <w:r>
        <w:t>th t="min".</w:t>
      </w:r>
    </w:p>
    <w:p w:rsidR="005F78FC" w:rsidRDefault="00B42EF3">
      <w:pPr>
        <w:pStyle w:val="Definition-Field"/>
      </w:pPr>
      <w:r>
        <w:t xml:space="preserve">mm.  </w:t>
      </w:r>
      <w:r>
        <w:rPr>
          <w:i/>
        </w:rPr>
        <w:t>The standard does not require a corresponding item element when the productSubtotal is true.</w:t>
      </w:r>
    </w:p>
    <w:p w:rsidR="005F78FC" w:rsidRDefault="00B42EF3">
      <w:pPr>
        <w:pStyle w:val="Definition-Field2"/>
      </w:pPr>
      <w:r>
        <w:t>In Office, if productSubtotal is true, then this element's items collection must contain an item element with t="product".</w:t>
      </w:r>
    </w:p>
    <w:p w:rsidR="005F78FC" w:rsidRDefault="00B42EF3">
      <w:pPr>
        <w:pStyle w:val="Definition-Field"/>
      </w:pPr>
      <w:r>
        <w:t xml:space="preserve">nn.  </w:t>
      </w:r>
      <w:r>
        <w:rPr>
          <w:i/>
        </w:rPr>
        <w:t xml:space="preserve">The standard does </w:t>
      </w:r>
      <w:r>
        <w:rPr>
          <w:i/>
        </w:rPr>
        <w:t>not require a corresponding item element when the stdDevPSubtotal is true.</w:t>
      </w:r>
    </w:p>
    <w:p w:rsidR="005F78FC" w:rsidRDefault="00B42EF3">
      <w:pPr>
        <w:pStyle w:val="Definition-Field2"/>
      </w:pPr>
      <w:r>
        <w:t>In Office, if stdDevPSubtotal is true, then this element's items collection must contain an item element with t="stdDevP".</w:t>
      </w:r>
    </w:p>
    <w:p w:rsidR="005F78FC" w:rsidRDefault="00B42EF3">
      <w:pPr>
        <w:pStyle w:val="Definition-Field"/>
      </w:pPr>
      <w:r>
        <w:t xml:space="preserve">oo.  </w:t>
      </w:r>
      <w:r>
        <w:rPr>
          <w:i/>
        </w:rPr>
        <w:t>The standard does not require a corresponding item el</w:t>
      </w:r>
      <w:r>
        <w:rPr>
          <w:i/>
        </w:rPr>
        <w:t>ement when the stdDevSubtotal is true.</w:t>
      </w:r>
    </w:p>
    <w:p w:rsidR="005F78FC" w:rsidRDefault="00B42EF3">
      <w:pPr>
        <w:pStyle w:val="Definition-Field2"/>
      </w:pPr>
      <w:r>
        <w:t>In Office, if stdDevSubtotal is true, then this element's items collection must contain an item element with t="stdDev".</w:t>
      </w:r>
    </w:p>
    <w:p w:rsidR="005F78FC" w:rsidRDefault="00B42EF3">
      <w:pPr>
        <w:pStyle w:val="Definition-Field"/>
      </w:pPr>
      <w:r>
        <w:t xml:space="preserve">pp.  </w:t>
      </w:r>
      <w:r>
        <w:rPr>
          <w:i/>
        </w:rPr>
        <w:t>The standard does not require a corresponding item element when the sumSubtotal is true.</w:t>
      </w:r>
    </w:p>
    <w:p w:rsidR="005F78FC" w:rsidRDefault="00B42EF3">
      <w:pPr>
        <w:pStyle w:val="Definition-Field2"/>
      </w:pPr>
      <w:r>
        <w:t>In</w:t>
      </w:r>
      <w:r>
        <w:t xml:space="preserve"> Office, if sumSubtotal is true, then this element's items collection must contain an item element with t="sum".</w:t>
      </w:r>
    </w:p>
    <w:p w:rsidR="005F78FC" w:rsidRDefault="00B42EF3">
      <w:pPr>
        <w:pStyle w:val="Definition-Field"/>
      </w:pPr>
      <w:r>
        <w:t xml:space="preserve">qq.  </w:t>
      </w:r>
      <w:r>
        <w:rPr>
          <w:i/>
        </w:rPr>
        <w:t>The standard does not require a corresponding item element when the varPSubtotal is true.</w:t>
      </w:r>
    </w:p>
    <w:p w:rsidR="005F78FC" w:rsidRDefault="00B42EF3">
      <w:pPr>
        <w:pStyle w:val="Definition-Field2"/>
      </w:pPr>
      <w:r>
        <w:t>In Office, if varPSubtotal is true, then this el</w:t>
      </w:r>
      <w:r>
        <w:t>ement's items collection must contain an item element with t="varP".</w:t>
      </w:r>
    </w:p>
    <w:p w:rsidR="005F78FC" w:rsidRDefault="00B42EF3">
      <w:pPr>
        <w:pStyle w:val="Definition-Field"/>
      </w:pPr>
      <w:r>
        <w:t xml:space="preserve">rr.  </w:t>
      </w:r>
      <w:r>
        <w:rPr>
          <w:i/>
        </w:rPr>
        <w:t>The standard does not require a corresponding item element when the varSubtotal is true.</w:t>
      </w:r>
    </w:p>
    <w:p w:rsidR="005F78FC" w:rsidRDefault="00B42EF3">
      <w:pPr>
        <w:pStyle w:val="Definition-Field2"/>
      </w:pPr>
      <w:r>
        <w:t xml:space="preserve">In Office, if varSubtotal is true, then this element's items collection must contain an item </w:t>
      </w:r>
      <w:r>
        <w:t>element with t="var".</w:t>
      </w:r>
    </w:p>
    <w:p w:rsidR="005F78FC" w:rsidRDefault="00B42EF3">
      <w:pPr>
        <w:pStyle w:val="Definition-Field"/>
      </w:pPr>
      <w:r>
        <w:t xml:space="preserve">ss.  </w:t>
      </w:r>
      <w:r>
        <w:rPr>
          <w:i/>
        </w:rPr>
        <w:t>The standard does not require a corresponding item element when the defaultSubtotal is false.</w:t>
      </w:r>
    </w:p>
    <w:p w:rsidR="005F78FC" w:rsidRDefault="00B42EF3">
      <w:pPr>
        <w:pStyle w:val="Definition-Field2"/>
      </w:pPr>
      <w:r>
        <w:lastRenderedPageBreak/>
        <w:t>In Office, if defaultSubtotal is true or not written, then this element's items collection must contain an item element with t="default</w:t>
      </w:r>
      <w:r>
        <w:t>".</w:t>
      </w:r>
    </w:p>
    <w:p w:rsidR="005F78FC" w:rsidRDefault="00B42EF3">
      <w:pPr>
        <w:pStyle w:val="Definition-Field"/>
      </w:pPr>
      <w:r>
        <w:t xml:space="preserve">tt.  </w:t>
      </w:r>
      <w:r>
        <w:rPr>
          <w:i/>
        </w:rPr>
        <w:t>The standard does not state any requirements on the type of PivotTable for which @uniqueMemberProperty is valid.</w:t>
      </w:r>
    </w:p>
    <w:p w:rsidR="005F78FC" w:rsidRDefault="00B42EF3">
      <w:pPr>
        <w:pStyle w:val="Definition-Field2"/>
      </w:pPr>
      <w:r>
        <w:t>Office requires that this attribute is only set on OLAP PivotTables.</w:t>
      </w:r>
    </w:p>
    <w:p w:rsidR="005F78FC" w:rsidRDefault="00B42EF3">
      <w:pPr>
        <w:pStyle w:val="Definition-Field"/>
      </w:pPr>
      <w:r>
        <w:t xml:space="preserve">uu.  </w:t>
      </w:r>
      <w:r>
        <w:rPr>
          <w:i/>
        </w:rPr>
        <w:t>The standard does not restrict the usage of the includeNewIte</w:t>
      </w:r>
      <w:r>
        <w:rPr>
          <w:i/>
        </w:rPr>
        <w:t>msInFilter attribute.</w:t>
      </w:r>
    </w:p>
    <w:p w:rsidR="005F78FC" w:rsidRDefault="00B42EF3">
      <w:pPr>
        <w:pStyle w:val="Definition-Field2"/>
      </w:pPr>
      <w:r>
        <w:t>Office assumes the includeNewItemsInFilter attribute shall be ignored for OLAP PivotTables.</w:t>
      </w:r>
    </w:p>
    <w:p w:rsidR="005F78FC" w:rsidRDefault="00B42EF3">
      <w:pPr>
        <w:pStyle w:val="Definition-Field"/>
      </w:pPr>
      <w:r>
        <w:t xml:space="preserve">vv.  </w:t>
      </w:r>
      <w:r>
        <w:rPr>
          <w:i/>
        </w:rPr>
        <w:t>The standard states that @showPropTip determines if a tooltip is shown for a PivotTable cell.</w:t>
      </w:r>
    </w:p>
    <w:p w:rsidR="005F78FC" w:rsidRDefault="00B42EF3">
      <w:pPr>
        <w:pStyle w:val="Definition-Field2"/>
      </w:pPr>
      <w:r>
        <w:t>In Office the value of mp@showTip, if prese</w:t>
      </w:r>
      <w:r>
        <w:t>nt, takes precedence over @showPropTip.</w:t>
      </w:r>
    </w:p>
    <w:p w:rsidR="005F78FC" w:rsidRDefault="00B42EF3">
      <w:pPr>
        <w:pStyle w:val="Definition-Field"/>
      </w:pPr>
      <w:r>
        <w:t xml:space="preserve">ww.  </w:t>
      </w:r>
      <w:r>
        <w:rPr>
          <w:i/>
        </w:rPr>
        <w:t>The standard states that @showPropCell determines if a tooltip is shown for a PivotTable cell.</w:t>
      </w:r>
    </w:p>
    <w:p w:rsidR="005F78FC" w:rsidRDefault="00B42EF3">
      <w:pPr>
        <w:pStyle w:val="Definition-Field2"/>
      </w:pPr>
      <w:r>
        <w:t>In Office the value of mp@showCell, if present, takes precedence over @showPropCell.</w:t>
      </w:r>
    </w:p>
    <w:p w:rsidR="005F78FC" w:rsidRDefault="00B42EF3">
      <w:pPr>
        <w:pStyle w:val="Heading3"/>
      </w:pPr>
      <w:bookmarkStart w:id="1586" w:name="section_5f2cb624bb19425584b50ccc3694063f"/>
      <w:bookmarkStart w:id="1587" w:name="_Toc69878566"/>
      <w:r>
        <w:t>Part 1 Section 18.10.1.70, pivo</w:t>
      </w:r>
      <w:r>
        <w:t>tFields (PivotTable Fields)</w:t>
      </w:r>
      <w:bookmarkEnd w:id="1586"/>
      <w:bookmarkEnd w:id="1587"/>
      <w:r>
        <w:fldChar w:fldCharType="begin"/>
      </w:r>
      <w:r>
        <w:instrText xml:space="preserve"> XE "pivotFields (PivotTable Fields)" </w:instrText>
      </w:r>
      <w:r>
        <w:fldChar w:fldCharType="end"/>
      </w:r>
    </w:p>
    <w:p w:rsidR="005F78FC" w:rsidRDefault="00B42EF3">
      <w:pPr>
        <w:pStyle w:val="Definition-Field"/>
      </w:pPr>
      <w:r>
        <w:t xml:space="preserve">a.   </w:t>
      </w:r>
      <w:r>
        <w:rPr>
          <w:i/>
        </w:rPr>
        <w:t>The standard does not specify a limit on the number of pivotField child elements.</w:t>
      </w:r>
    </w:p>
    <w:p w:rsidR="005F78FC" w:rsidRDefault="00B42EF3">
      <w:pPr>
        <w:pStyle w:val="Definition-Field2"/>
      </w:pPr>
      <w:r>
        <w:t xml:space="preserve">In Office, if this PivotTable is an OLAP PivotTable, then the number of pivotField elements must be </w:t>
      </w:r>
      <w:r>
        <w:t>less than or equal to the number of cacheField elements on the associated cache. Otherwise they must be equal.</w:t>
      </w:r>
    </w:p>
    <w:p w:rsidR="005F78FC" w:rsidRDefault="00B42EF3">
      <w:pPr>
        <w:pStyle w:val="Heading3"/>
      </w:pPr>
      <w:bookmarkStart w:id="1588" w:name="section_7deb007e8c6e420a8c1f12c46f901bad"/>
      <w:bookmarkStart w:id="1589" w:name="_Toc69878567"/>
      <w:r>
        <w:t>Part 1 Section 18.10.1.71, pivotHierarchies (PivotTable OLAP Hierarchies)</w:t>
      </w:r>
      <w:bookmarkEnd w:id="1588"/>
      <w:bookmarkEnd w:id="1589"/>
      <w:r>
        <w:fldChar w:fldCharType="begin"/>
      </w:r>
      <w:r>
        <w:instrText xml:space="preserve"> XE "pivotHierarchies (PivotTable OLAP Hierarchies)" </w:instrText>
      </w:r>
      <w:r>
        <w:fldChar w:fldCharType="end"/>
      </w:r>
    </w:p>
    <w:p w:rsidR="005F78FC" w:rsidRDefault="00B42EF3">
      <w:pPr>
        <w:pStyle w:val="Definition-Field"/>
      </w:pPr>
      <w:r>
        <w:t xml:space="preserve">a.   </w:t>
      </w:r>
      <w:r>
        <w:rPr>
          <w:i/>
        </w:rPr>
        <w:t>The standar</w:t>
      </w:r>
      <w:r>
        <w:rPr>
          <w:i/>
        </w:rPr>
        <w:t>d does not mention limitations on the number of child elements.</w:t>
      </w:r>
    </w:p>
    <w:p w:rsidR="005F78FC" w:rsidRDefault="00B42EF3">
      <w:pPr>
        <w:pStyle w:val="Definition-Field2"/>
      </w:pPr>
      <w:r>
        <w:t>Office requires that the number of child elements must be the same as the number of cacheHierarchy elements plus the number of kpi elements in the PivotCacheDefinition associated with this Piv</w:t>
      </w:r>
      <w:r>
        <w:t>otTable.</w:t>
      </w:r>
    </w:p>
    <w:p w:rsidR="005F78FC" w:rsidRDefault="00B42EF3">
      <w:pPr>
        <w:pStyle w:val="Heading3"/>
      </w:pPr>
      <w:bookmarkStart w:id="1590" w:name="section_70f0f8e6ea974c19a60c296040c6245b"/>
      <w:bookmarkStart w:id="1591" w:name="_Toc69878568"/>
      <w:r>
        <w:t>Part 1 Section 18.10.1.72, pivotHierarchy (OLAP Hierarchy)</w:t>
      </w:r>
      <w:bookmarkEnd w:id="1590"/>
      <w:bookmarkEnd w:id="1591"/>
      <w:r>
        <w:fldChar w:fldCharType="begin"/>
      </w:r>
      <w:r>
        <w:instrText xml:space="preserve"> XE "pivotHierarchy (OLAP Hierarchy)" </w:instrText>
      </w:r>
      <w:r>
        <w:fldChar w:fldCharType="end"/>
      </w:r>
    </w:p>
    <w:p w:rsidR="005F78FC" w:rsidRDefault="00B42EF3">
      <w:pPr>
        <w:pStyle w:val="Definition-Field"/>
      </w:pPr>
      <w:r>
        <w:t xml:space="preserve">a.   </w:t>
      </w:r>
      <w:r>
        <w:rPr>
          <w:i/>
        </w:rPr>
        <w:t>The standard specifies @includeNewItemsInFilter value of 1 indicates the application will show only items the user has selected; all other item</w:t>
      </w:r>
      <w:r>
        <w:rPr>
          <w:i/>
        </w:rPr>
        <w:t>s will be hidden.</w:t>
      </w:r>
    </w:p>
    <w:p w:rsidR="005F78FC" w:rsidRDefault="00B42EF3">
      <w:r>
        <w:t xml:space="preserve">Specification of the includeNewItemsInFilter attribute applies to </w:t>
      </w:r>
      <w:r>
        <w:rPr>
          <w:b/>
        </w:rPr>
        <w:t xml:space="preserve">member </w:t>
      </w:r>
      <w:r>
        <w:t xml:space="preserve">elements in the </w:t>
      </w:r>
      <w:r>
        <w:rPr>
          <w:b/>
        </w:rPr>
        <w:t xml:space="preserve">members </w:t>
      </w:r>
      <w:r>
        <w:t xml:space="preserve">children (there can be more than 1 </w:t>
      </w:r>
      <w:r>
        <w:rPr>
          <w:b/>
        </w:rPr>
        <w:t xml:space="preserve">members </w:t>
      </w:r>
      <w:r>
        <w:t xml:space="preserve">under </w:t>
      </w:r>
      <w:r>
        <w:rPr>
          <w:b/>
        </w:rPr>
        <w:t>pivotHierarchy</w:t>
      </w:r>
      <w:r>
        <w:t xml:space="preserve">) of this element and </w:t>
      </w:r>
      <w:r>
        <w:rPr>
          <w:b/>
        </w:rPr>
        <w:t xml:space="preserve">item </w:t>
      </w:r>
      <w:r>
        <w:t xml:space="preserve">elements, which have </w:t>
      </w:r>
      <w:r>
        <w:rPr>
          <w:i/>
        </w:rPr>
        <w:t>s</w:t>
      </w:r>
      <w:r>
        <w:t xml:space="preserve"> equal to </w:t>
      </w:r>
      <w:r>
        <w:rPr>
          <w:i/>
        </w:rPr>
        <w:t>1</w:t>
      </w:r>
      <w:r>
        <w:t xml:space="preserve"> or </w:t>
      </w:r>
      <w:r>
        <w:rPr>
          <w:i/>
        </w:rPr>
        <w:t>true</w:t>
      </w:r>
      <w:r>
        <w:t xml:space="preserve"> and which are in </w:t>
      </w:r>
      <w:r>
        <w:rPr>
          <w:b/>
        </w:rPr>
        <w:t xml:space="preserve">pivotField </w:t>
      </w:r>
      <w:r>
        <w:t xml:space="preserve">element associated with this </w:t>
      </w:r>
      <w:r>
        <w:rPr>
          <w:b/>
        </w:rPr>
        <w:t xml:space="preserve">pivotHierarchy </w:t>
      </w:r>
      <w:r>
        <w:t xml:space="preserve">by the </w:t>
      </w:r>
      <w:r>
        <w:rPr>
          <w:b/>
        </w:rPr>
        <w:t xml:space="preserve">fieldsUsage </w:t>
      </w:r>
      <w:r>
        <w:t xml:space="preserve">element of the </w:t>
      </w:r>
      <w:r>
        <w:rPr>
          <w:b/>
        </w:rPr>
        <w:t>cacheHieararchy</w:t>
      </w:r>
      <w:r>
        <w:t xml:space="preserve">. </w:t>
      </w:r>
    </w:p>
    <w:p w:rsidR="005F78FC" w:rsidRDefault="00B42EF3">
      <w:r>
        <w:t xml:space="preserve">A value of 1, or true, indicates the specified </w:t>
      </w:r>
      <w:r>
        <w:rPr>
          <w:b/>
        </w:rPr>
        <w:t>members</w:t>
      </w:r>
      <w:r>
        <w:t xml:space="preserve"> and </w:t>
      </w:r>
      <w:r>
        <w:rPr>
          <w:b/>
        </w:rPr>
        <w:t>items</w:t>
      </w:r>
      <w:r>
        <w:t xml:space="preserve"> represent items that are excluded from the PivotTable, along with </w:t>
      </w:r>
      <w:r>
        <w:t xml:space="preserve">their descendants. </w:t>
      </w:r>
    </w:p>
    <w:p w:rsidR="005F78FC" w:rsidRDefault="00B42EF3">
      <w:r>
        <w:t xml:space="preserve">A value of 0, or false, indicates the specified </w:t>
      </w:r>
      <w:r>
        <w:rPr>
          <w:b/>
        </w:rPr>
        <w:t>members</w:t>
      </w:r>
      <w:r>
        <w:t xml:space="preserve"> and </w:t>
      </w:r>
      <w:r>
        <w:rPr>
          <w:b/>
        </w:rPr>
        <w:t>items</w:t>
      </w:r>
      <w:r>
        <w:t xml:space="preserve"> represent items that are included in the PivotTable, along with their ascendants and descendants.</w:t>
      </w:r>
    </w:p>
    <w:p w:rsidR="005F78FC" w:rsidRDefault="00B42EF3">
      <w:pPr>
        <w:pStyle w:val="Definition-Field"/>
      </w:pPr>
      <w:r>
        <w:t xml:space="preserve">b.   </w:t>
      </w:r>
      <w:r>
        <w:rPr>
          <w:i/>
        </w:rPr>
        <w:t>The standard specifies @dragToData indicates whether the user is al</w:t>
      </w:r>
      <w:r>
        <w:rPr>
          <w:i/>
        </w:rPr>
        <w:t>lowed to put this hierarchy into the data area of the view.</w:t>
      </w:r>
    </w:p>
    <w:p w:rsidR="005F78FC" w:rsidRDefault="00B42EF3">
      <w:pPr>
        <w:pStyle w:val="Definition-Field2"/>
      </w:pPr>
      <w:r>
        <w:t>Office specifies @dragToData value of indicates the user can put this hierarchy into the data area of the PivotTable, subject to other constraints that may apply.</w:t>
      </w:r>
    </w:p>
    <w:p w:rsidR="005F78FC" w:rsidRDefault="00B42EF3">
      <w:pPr>
        <w:pStyle w:val="Definition-Field"/>
      </w:pPr>
      <w:r>
        <w:lastRenderedPageBreak/>
        <w:t xml:space="preserve">c.   </w:t>
      </w:r>
      <w:r>
        <w:rPr>
          <w:i/>
        </w:rPr>
        <w:t>The standard specifies @drag</w:t>
      </w:r>
      <w:r>
        <w:rPr>
          <w:i/>
        </w:rPr>
        <w:t>ToRow indicates whether the user is allowed to put this hierarchy into the row area of the PivotTable.</w:t>
      </w:r>
    </w:p>
    <w:p w:rsidR="005F78FC" w:rsidRDefault="00B42EF3">
      <w:pPr>
        <w:pStyle w:val="Definition-Field2"/>
      </w:pPr>
      <w:r>
        <w:t>Office specifies @dragToRow value of 1 true indicates the user can put this hierarchy into the row area of the PivotTable, subject to other constraints t</w:t>
      </w:r>
      <w:r>
        <w:t>hat may apply.</w:t>
      </w:r>
    </w:p>
    <w:p w:rsidR="005F78FC" w:rsidRDefault="00B42EF3">
      <w:pPr>
        <w:pStyle w:val="Definition-Field"/>
      </w:pPr>
      <w:r>
        <w:t xml:space="preserve">d.   </w:t>
      </w:r>
      <w:r>
        <w:rPr>
          <w:i/>
        </w:rPr>
        <w:t>The standard does not specify a length limit for the caption attribute.</w:t>
      </w:r>
    </w:p>
    <w:p w:rsidR="005F78FC" w:rsidRDefault="00B42EF3">
      <w:pPr>
        <w:pStyle w:val="Definition-Field2"/>
      </w:pPr>
      <w:r>
        <w:t>Office specifies a limit of less than or equal to 65535 characters for the caption attribute.</w:t>
      </w:r>
    </w:p>
    <w:p w:rsidR="005F78FC" w:rsidRDefault="00B42EF3">
      <w:pPr>
        <w:pStyle w:val="Definition-Field"/>
      </w:pPr>
      <w:r>
        <w:t xml:space="preserve">e.   </w:t>
      </w:r>
      <w:r>
        <w:rPr>
          <w:i/>
        </w:rPr>
        <w:t xml:space="preserve">The standard specifies @dragToPage indicates whether the user is </w:t>
      </w:r>
      <w:r>
        <w:rPr>
          <w:i/>
        </w:rPr>
        <w:t>allowed to put this hierarchy into the page area of the PivotTable.</w:t>
      </w:r>
    </w:p>
    <w:p w:rsidR="005F78FC" w:rsidRDefault="00B42EF3">
      <w:pPr>
        <w:pStyle w:val="Definition-Field2"/>
      </w:pPr>
      <w:r>
        <w:t>Office specifies @dragToPage value of 1 indicates the user can put this hierarchy into the page area of the PivotTable, subject to other constraints that may apply.</w:t>
      </w:r>
    </w:p>
    <w:p w:rsidR="005F78FC" w:rsidRDefault="00B42EF3">
      <w:pPr>
        <w:pStyle w:val="Definition-Field"/>
      </w:pPr>
      <w:r>
        <w:t xml:space="preserve">f.   </w:t>
      </w:r>
      <w:r>
        <w:rPr>
          <w:i/>
        </w:rPr>
        <w:t>In the standard wh</w:t>
      </w:r>
      <w:r>
        <w:rPr>
          <w:i/>
        </w:rPr>
        <w:t>en @dragToCol is 0, this hierarchy cannot be removed.</w:t>
      </w:r>
    </w:p>
    <w:p w:rsidR="005F78FC" w:rsidRDefault="00B42EF3">
      <w:pPr>
        <w:pStyle w:val="Definition-Field2"/>
      </w:pPr>
      <w:r>
        <w:t>Office specifies when @dragToCol is 0 the user cannot put this hierarchy into the column area of the PivotTable. When the value is 1 the user can put this hierarchy into the column area of the PivotTabl</w:t>
      </w:r>
      <w:r>
        <w:t>e, subject to other constraints that may apply.</w:t>
      </w:r>
    </w:p>
    <w:p w:rsidR="005F78FC" w:rsidRDefault="00B42EF3">
      <w:pPr>
        <w:pStyle w:val="Heading3"/>
      </w:pPr>
      <w:bookmarkStart w:id="1592" w:name="section_7b6c9fe631584a228a8abbf584ecf45f"/>
      <w:bookmarkStart w:id="1593" w:name="_Toc69878569"/>
      <w:r>
        <w:t>Part 1 Section 18.10.1.73, pivotTableDefinition (PivotTable Definition)</w:t>
      </w:r>
      <w:bookmarkEnd w:id="1592"/>
      <w:bookmarkEnd w:id="1593"/>
      <w:r>
        <w:fldChar w:fldCharType="begin"/>
      </w:r>
      <w:r>
        <w:instrText xml:space="preserve"> XE "pivotTableDefinition (PivotTable Definition)" </w:instrText>
      </w:r>
      <w:r>
        <w:fldChar w:fldCharType="end"/>
      </w:r>
    </w:p>
    <w:p w:rsidR="005F78FC" w:rsidRDefault="00B42EF3">
      <w:pPr>
        <w:pStyle w:val="Definition-Field2"/>
      </w:pPr>
      <w:r>
        <w:rPr>
          <w:i/>
        </w:rPr>
        <w:t>For additional notes that apply to this portion of the standard, please see the not</w:t>
      </w:r>
      <w:r>
        <w:rPr>
          <w:i/>
        </w:rPr>
        <w:t xml:space="preserve">es for </w:t>
      </w:r>
      <w:hyperlink w:anchor="Section_c204cff307be4db39524f802d03fa17c">
        <w:r>
          <w:rPr>
            <w:rStyle w:val="Hyperlink"/>
          </w:rPr>
          <w:t>raf, §18.11.1.8(b)</w:t>
        </w:r>
      </w:hyperlink>
      <w:r>
        <w:rPr>
          <w:i/>
        </w:rPr>
        <w:t>.</w:t>
      </w:r>
    </w:p>
    <w:p w:rsidR="005F78FC" w:rsidRDefault="00B42EF3">
      <w:pPr>
        <w:pStyle w:val="Definition-Field"/>
      </w:pPr>
      <w:r>
        <w:t xml:space="preserve">a.   </w:t>
      </w:r>
      <w:r>
        <w:rPr>
          <w:i/>
        </w:rPr>
        <w:t>The standard does not specify a default value for the dataPosition attribute.</w:t>
      </w:r>
    </w:p>
    <w:p w:rsidR="005F78FC" w:rsidRDefault="00B42EF3">
      <w:pPr>
        <w:pStyle w:val="Definition-Field2"/>
      </w:pPr>
      <w:r>
        <w:t>Excel uses a default value of 0 for this attribute.</w:t>
      </w:r>
    </w:p>
    <w:p w:rsidR="005F78FC" w:rsidRDefault="00B42EF3">
      <w:pPr>
        <w:pStyle w:val="Definition-Field"/>
      </w:pPr>
      <w:r>
        <w:t xml:space="preserve">b.   </w:t>
      </w:r>
      <w:r>
        <w:rPr>
          <w:i/>
        </w:rPr>
        <w:t>The standard does not defi</w:t>
      </w:r>
      <w:r>
        <w:rPr>
          <w:i/>
        </w:rPr>
        <w:t>ne a default value for @autoFormatId.</w:t>
      </w:r>
    </w:p>
    <w:p w:rsidR="005F78FC" w:rsidRDefault="00B42EF3">
      <w:pPr>
        <w:pStyle w:val="Definition-Field2"/>
      </w:pPr>
      <w:r>
        <w:t>Office defines a default value for @autoFormatId of 1.</w:t>
      </w:r>
    </w:p>
    <w:p w:rsidR="005F78FC" w:rsidRDefault="00B42EF3">
      <w:pPr>
        <w:pStyle w:val="Definition-Field"/>
      </w:pPr>
      <w:r>
        <w:t xml:space="preserve">c.   </w:t>
      </w:r>
      <w:r>
        <w:rPr>
          <w:i/>
        </w:rPr>
        <w:t>The standard describes the mdxSubqueries attribute.</w:t>
      </w:r>
    </w:p>
    <w:p w:rsidR="005F78FC" w:rsidRDefault="00B42EF3">
      <w:pPr>
        <w:pStyle w:val="Definition-Field2"/>
      </w:pPr>
      <w:r>
        <w:t>Office does not use the mdxSubqueries attribute.</w:t>
      </w:r>
    </w:p>
    <w:p w:rsidR="005F78FC" w:rsidRDefault="00B42EF3">
      <w:pPr>
        <w:pStyle w:val="Definition-Field"/>
      </w:pPr>
      <w:r>
        <w:t xml:space="preserve">d.   </w:t>
      </w:r>
      <w:r>
        <w:rPr>
          <w:i/>
        </w:rPr>
        <w:t>The standard states for @asteriskTotals that 1 or tr</w:t>
      </w:r>
      <w:r>
        <w:rPr>
          <w:i/>
        </w:rPr>
        <w:t>ue means that asterisks will be displayed.</w:t>
      </w:r>
    </w:p>
    <w:p w:rsidR="005F78FC" w:rsidRDefault="00B42EF3">
      <w:pPr>
        <w:pStyle w:val="Definition-Field2"/>
      </w:pPr>
      <w:r>
        <w:t>In Office, a value for @asteriskTotals of 1 or true means that asterisks will not be displayed.</w:t>
      </w:r>
    </w:p>
    <w:p w:rsidR="005F78FC" w:rsidRDefault="00B42EF3">
      <w:pPr>
        <w:pStyle w:val="Definition-Field"/>
      </w:pPr>
      <w:r>
        <w:t xml:space="preserve">e.   </w:t>
      </w:r>
      <w:r>
        <w:rPr>
          <w:i/>
        </w:rPr>
        <w:t>The standard does not limit the length of the value of the dataCaption attribute.</w:t>
      </w:r>
    </w:p>
    <w:p w:rsidR="005F78FC" w:rsidRDefault="00B42EF3">
      <w:pPr>
        <w:pStyle w:val="Definition-Field2"/>
      </w:pPr>
      <w:r>
        <w:t xml:space="preserve">Excel restricts the value of </w:t>
      </w:r>
      <w:r>
        <w:t>this attribute to be at most 255 characters.</w:t>
      </w:r>
    </w:p>
    <w:p w:rsidR="005F78FC" w:rsidRDefault="00B42EF3">
      <w:pPr>
        <w:pStyle w:val="Definition-Field"/>
      </w:pPr>
      <w:r>
        <w:t xml:space="preserve">f.   </w:t>
      </w:r>
      <w:r>
        <w:rPr>
          <w:i/>
        </w:rPr>
        <w:t>The standard does not limit the length of the value of the grandTotalCaption attribute.</w:t>
      </w:r>
    </w:p>
    <w:p w:rsidR="005F78FC" w:rsidRDefault="00B42EF3">
      <w:pPr>
        <w:pStyle w:val="Definition-Field2"/>
      </w:pPr>
      <w:r>
        <w:t>Excel restricts the value of this attribute to be at most 255 characters.</w:t>
      </w:r>
    </w:p>
    <w:p w:rsidR="005F78FC" w:rsidRDefault="00B42EF3">
      <w:pPr>
        <w:pStyle w:val="Definition-Field"/>
      </w:pPr>
      <w:r>
        <w:t xml:space="preserve">g.   </w:t>
      </w:r>
      <w:r>
        <w:rPr>
          <w:i/>
        </w:rPr>
        <w:t xml:space="preserve">The standard does not limit the length </w:t>
      </w:r>
      <w:r>
        <w:rPr>
          <w:i/>
        </w:rPr>
        <w:t>of the value of the errorCaption attribute.</w:t>
      </w:r>
    </w:p>
    <w:p w:rsidR="005F78FC" w:rsidRDefault="00B42EF3">
      <w:pPr>
        <w:pStyle w:val="Definition-Field2"/>
      </w:pPr>
      <w:r>
        <w:t>Excel restricts the value of this attribute to be at most 255 characters.</w:t>
      </w:r>
    </w:p>
    <w:p w:rsidR="005F78FC" w:rsidRDefault="00B42EF3">
      <w:pPr>
        <w:pStyle w:val="Definition-Field"/>
      </w:pPr>
      <w:r>
        <w:t xml:space="preserve">h.   </w:t>
      </w:r>
      <w:r>
        <w:rPr>
          <w:i/>
        </w:rPr>
        <w:t>The standard does not limit the length of the value of the missingCaption attribute.</w:t>
      </w:r>
    </w:p>
    <w:p w:rsidR="005F78FC" w:rsidRDefault="00B42EF3">
      <w:pPr>
        <w:pStyle w:val="Definition-Field2"/>
      </w:pPr>
      <w:r>
        <w:t>Excel restricts the value of this attribute to b</w:t>
      </w:r>
      <w:r>
        <w:t>e at most 255 characters.</w:t>
      </w:r>
    </w:p>
    <w:p w:rsidR="005F78FC" w:rsidRDefault="00B42EF3">
      <w:pPr>
        <w:pStyle w:val="Definition-Field"/>
      </w:pPr>
      <w:r>
        <w:t xml:space="preserve">i.   </w:t>
      </w:r>
      <w:r>
        <w:rPr>
          <w:i/>
        </w:rPr>
        <w:t>The standard does not limit the length of the value of the pageStyle attribute.</w:t>
      </w:r>
    </w:p>
    <w:p w:rsidR="005F78FC" w:rsidRDefault="00B42EF3">
      <w:pPr>
        <w:pStyle w:val="Definition-Field2"/>
      </w:pPr>
      <w:r>
        <w:t>Excel restricts the value of this attribute to be at most 255 characters.</w:t>
      </w:r>
    </w:p>
    <w:p w:rsidR="005F78FC" w:rsidRDefault="00B42EF3">
      <w:pPr>
        <w:pStyle w:val="Definition-Field"/>
      </w:pPr>
      <w:r>
        <w:lastRenderedPageBreak/>
        <w:t xml:space="preserve">j.   </w:t>
      </w:r>
      <w:r>
        <w:rPr>
          <w:i/>
        </w:rPr>
        <w:t>The standard does not limit the length of the value of the pivotTa</w:t>
      </w:r>
      <w:r>
        <w:rPr>
          <w:i/>
        </w:rPr>
        <w:t>bleStyle attribute.</w:t>
      </w:r>
    </w:p>
    <w:p w:rsidR="005F78FC" w:rsidRDefault="00B42EF3">
      <w:pPr>
        <w:pStyle w:val="Definition-Field2"/>
      </w:pPr>
      <w:r>
        <w:t>Excel restricts the value of this attribute to be at most 255 characters.</w:t>
      </w:r>
    </w:p>
    <w:p w:rsidR="005F78FC" w:rsidRDefault="00B42EF3">
      <w:pPr>
        <w:pStyle w:val="Definition-Field"/>
      </w:pPr>
      <w:r>
        <w:t xml:space="preserve">k.   </w:t>
      </w:r>
      <w:r>
        <w:rPr>
          <w:i/>
        </w:rPr>
        <w:t>The standard does not limit the length of the value of the vacatedStyle attribute.</w:t>
      </w:r>
    </w:p>
    <w:p w:rsidR="005F78FC" w:rsidRDefault="00B42EF3">
      <w:pPr>
        <w:pStyle w:val="Definition-Field2"/>
      </w:pPr>
      <w:r>
        <w:t>Excel restricts the value of this attribute to be at most 255 characters.</w:t>
      </w:r>
    </w:p>
    <w:p w:rsidR="005F78FC" w:rsidRDefault="00B42EF3">
      <w:pPr>
        <w:pStyle w:val="Definition-Field"/>
      </w:pPr>
      <w:r>
        <w:t xml:space="preserve">l.   </w:t>
      </w:r>
      <w:r>
        <w:rPr>
          <w:i/>
        </w:rPr>
        <w:t>The standard does not limit the length of the value of the tag attribute.</w:t>
      </w:r>
    </w:p>
    <w:p w:rsidR="005F78FC" w:rsidRDefault="00B42EF3">
      <w:pPr>
        <w:pStyle w:val="Definition-Field2"/>
      </w:pPr>
      <w:r>
        <w:t>Excel restricts the value of this attribute to be at most 255 characters.</w:t>
      </w:r>
    </w:p>
    <w:p w:rsidR="005F78FC" w:rsidRDefault="00B42EF3">
      <w:pPr>
        <w:pStyle w:val="Definition-Field"/>
      </w:pPr>
      <w:r>
        <w:t xml:space="preserve">m.   </w:t>
      </w:r>
      <w:r>
        <w:rPr>
          <w:i/>
        </w:rPr>
        <w:t>The standard does not limit the length of the value of the rowHeaderCaption attribute.</w:t>
      </w:r>
    </w:p>
    <w:p w:rsidR="005F78FC" w:rsidRDefault="00B42EF3">
      <w:pPr>
        <w:pStyle w:val="Definition-Field2"/>
      </w:pPr>
      <w:r>
        <w:t>Excel restr</w:t>
      </w:r>
      <w:r>
        <w:t>icts the value of this attribute to be at most 255 characters when the createdVersion attribute on the pivotTable element is less than 3 and 32767 characters otherwise.</w:t>
      </w:r>
    </w:p>
    <w:p w:rsidR="005F78FC" w:rsidRDefault="00B42EF3">
      <w:pPr>
        <w:pStyle w:val="Definition-Field"/>
      </w:pPr>
      <w:r>
        <w:t xml:space="preserve">n.   </w:t>
      </w:r>
      <w:r>
        <w:rPr>
          <w:i/>
        </w:rPr>
        <w:t>The standard does not limit the length of the value of the name attribute.</w:t>
      </w:r>
    </w:p>
    <w:p w:rsidR="005F78FC" w:rsidRDefault="00B42EF3">
      <w:pPr>
        <w:pStyle w:val="Definition-Field2"/>
      </w:pPr>
      <w:r>
        <w:t>Excel r</w:t>
      </w:r>
      <w:r>
        <w:t>estricts the value of this attribute to be at most 255 characters.</w:t>
      </w:r>
    </w:p>
    <w:p w:rsidR="005F78FC" w:rsidRDefault="00B42EF3">
      <w:pPr>
        <w:pStyle w:val="Definition-Field"/>
      </w:pPr>
      <w:r>
        <w:t xml:space="preserve">o.   </w:t>
      </w:r>
      <w:r>
        <w:rPr>
          <w:i/>
        </w:rPr>
        <w:t>The standard says that, for @preserveFormatting, 1 or true specifies to discard formatting on refresh.</w:t>
      </w:r>
    </w:p>
    <w:p w:rsidR="005F78FC" w:rsidRDefault="00B42EF3">
      <w:pPr>
        <w:pStyle w:val="Definition-Field2"/>
      </w:pPr>
      <w:r>
        <w:t>Office interprets a value of 1 or true for @preserveFormatting to indicate the fo</w:t>
      </w:r>
      <w:r>
        <w:t>rmatting will be preserved and 0 or false to indicate the formatting will be discarded.</w:t>
      </w:r>
    </w:p>
    <w:p w:rsidR="005F78FC" w:rsidRDefault="00B42EF3">
      <w:pPr>
        <w:pStyle w:val="Definition-Field"/>
      </w:pPr>
      <w:r>
        <w:t xml:space="preserve">p.   </w:t>
      </w:r>
      <w:r>
        <w:rPr>
          <w:i/>
        </w:rPr>
        <w:t>The standard's @subtotalHiddenItems definition refers to the data area of the pivotTable.</w:t>
      </w:r>
    </w:p>
    <w:p w:rsidR="005F78FC" w:rsidRDefault="00B42EF3">
      <w:pPr>
        <w:pStyle w:val="Definition-Field2"/>
      </w:pPr>
      <w:r>
        <w:t>Office defines @subtotalHiddenItems to indicate whether hidden items in t</w:t>
      </w:r>
      <w:r>
        <w:t>he page area of the pivotTable are used for subtotal calculation.</w:t>
      </w:r>
    </w:p>
    <w:p w:rsidR="005F78FC" w:rsidRDefault="00B42EF3">
      <w:pPr>
        <w:pStyle w:val="Definition-Field"/>
      </w:pPr>
      <w:r>
        <w:t xml:space="preserve">q.   </w:t>
      </w:r>
      <w:r>
        <w:rPr>
          <w:i/>
        </w:rPr>
        <w:t>The standard says that a value of 1 for @immersive means immersive is off, and that 0 means it is on.</w:t>
      </w:r>
    </w:p>
    <w:p w:rsidR="005F78FC" w:rsidRDefault="00B42EF3">
      <w:pPr>
        <w:pStyle w:val="Definition-Field2"/>
      </w:pPr>
      <w:r>
        <w:t>Office specifies a value of 1 for @immersive means that the immersive experience is</w:t>
      </w:r>
      <w:r>
        <w:t xml:space="preserve"> left on, and a value of 0 means it is turned off.</w:t>
      </w:r>
    </w:p>
    <w:p w:rsidR="005F78FC" w:rsidRDefault="00B42EF3">
      <w:pPr>
        <w:pStyle w:val="Definition-Field"/>
      </w:pPr>
      <w:r>
        <w:t xml:space="preserve">r.   </w:t>
      </w:r>
      <w:r>
        <w:rPr>
          <w:i/>
        </w:rPr>
        <w:t>The standard does not explain what the published attribute is used for.</w:t>
      </w:r>
    </w:p>
    <w:p w:rsidR="005F78FC" w:rsidRDefault="00B42EF3">
      <w:pPr>
        <w:pStyle w:val="Definition-Field2"/>
      </w:pPr>
      <w:r>
        <w:t>Office uses the published attribute to indicate that the PivotTable is published for display in a Web browser.</w:t>
      </w:r>
    </w:p>
    <w:p w:rsidR="005F78FC" w:rsidRDefault="00B42EF3">
      <w:pPr>
        <w:pStyle w:val="Definition-Field"/>
      </w:pPr>
      <w:r>
        <w:t xml:space="preserve">s.   </w:t>
      </w:r>
      <w:r>
        <w:rPr>
          <w:i/>
        </w:rPr>
        <w:t>The standard</w:t>
      </w:r>
      <w:r>
        <w:rPr>
          <w:i/>
        </w:rPr>
        <w:t xml:space="preserve"> does not list valid values for the autoFormatId attribute.</w:t>
      </w:r>
    </w:p>
    <w:p w:rsidR="005F78FC" w:rsidRDefault="00B42EF3">
      <w:pPr>
        <w:pStyle w:val="Definition-Field2"/>
      </w:pPr>
      <w:r>
        <w:t>Office, in the context of pivotTableDefinition, requires that the value of the autoFormatId attribute be less than 21 or greater than 4096 and less than or equal to 4117.</w:t>
      </w:r>
    </w:p>
    <w:p w:rsidR="005F78FC" w:rsidRDefault="00B42EF3">
      <w:pPr>
        <w:pStyle w:val="Definition-Field"/>
      </w:pPr>
      <w:r>
        <w:t xml:space="preserve">t.   </w:t>
      </w:r>
      <w:r>
        <w:rPr>
          <w:i/>
        </w:rPr>
        <w:t>The standard does no</w:t>
      </w:r>
      <w:r>
        <w:rPr>
          <w:i/>
        </w:rPr>
        <w:t>t state a default value for the applyNumberFormats attribute.</w:t>
      </w:r>
    </w:p>
    <w:p w:rsidR="005F78FC" w:rsidRDefault="00B42EF3">
      <w:pPr>
        <w:pStyle w:val="Definition-Field2"/>
      </w:pPr>
      <w:r>
        <w:t>Excel uses a default value of 0 for this attribute.</w:t>
      </w:r>
    </w:p>
    <w:p w:rsidR="005F78FC" w:rsidRDefault="00B42EF3">
      <w:pPr>
        <w:pStyle w:val="Definition-Field"/>
      </w:pPr>
      <w:r>
        <w:t xml:space="preserve">u.   </w:t>
      </w:r>
      <w:r>
        <w:rPr>
          <w:i/>
        </w:rPr>
        <w:t>The standard does not state a default value for the applyBorderFormats attribute.</w:t>
      </w:r>
    </w:p>
    <w:p w:rsidR="005F78FC" w:rsidRDefault="00B42EF3">
      <w:pPr>
        <w:pStyle w:val="Definition-Field2"/>
      </w:pPr>
      <w:r>
        <w:t>Excel uses a default value of 0 for this attribute.</w:t>
      </w:r>
    </w:p>
    <w:p w:rsidR="005F78FC" w:rsidRDefault="00B42EF3">
      <w:pPr>
        <w:pStyle w:val="Definition-Field"/>
      </w:pPr>
      <w:r>
        <w:t xml:space="preserve">v. </w:t>
      </w:r>
      <w:r>
        <w:t xml:space="preserve">  </w:t>
      </w:r>
      <w:r>
        <w:rPr>
          <w:i/>
        </w:rPr>
        <w:t>The standard does not state a default value for the applyFontFormats attribute.</w:t>
      </w:r>
    </w:p>
    <w:p w:rsidR="005F78FC" w:rsidRDefault="00B42EF3">
      <w:pPr>
        <w:pStyle w:val="Definition-Field2"/>
      </w:pPr>
      <w:r>
        <w:t>Excel uses a default value of 0 for this attribute.</w:t>
      </w:r>
    </w:p>
    <w:p w:rsidR="005F78FC" w:rsidRDefault="00B42EF3">
      <w:pPr>
        <w:pStyle w:val="Definition-Field"/>
      </w:pPr>
      <w:r>
        <w:t xml:space="preserve">w.   </w:t>
      </w:r>
      <w:r>
        <w:rPr>
          <w:i/>
        </w:rPr>
        <w:t>The standard does not state a default value for the applyPatternFormats attribute.</w:t>
      </w:r>
    </w:p>
    <w:p w:rsidR="005F78FC" w:rsidRDefault="00B42EF3">
      <w:pPr>
        <w:pStyle w:val="Definition-Field2"/>
      </w:pPr>
      <w:r>
        <w:t>Excel uses a default value of 0 fo</w:t>
      </w:r>
      <w:r>
        <w:t>r this attribute.</w:t>
      </w:r>
    </w:p>
    <w:p w:rsidR="005F78FC" w:rsidRDefault="00B42EF3">
      <w:pPr>
        <w:pStyle w:val="Definition-Field"/>
      </w:pPr>
      <w:r>
        <w:lastRenderedPageBreak/>
        <w:t xml:space="preserve">x.   </w:t>
      </w:r>
      <w:r>
        <w:rPr>
          <w:i/>
        </w:rPr>
        <w:t>The standard does not state a default value for the applyAlignmentFormats attribute.</w:t>
      </w:r>
    </w:p>
    <w:p w:rsidR="005F78FC" w:rsidRDefault="00B42EF3">
      <w:pPr>
        <w:pStyle w:val="Definition-Field2"/>
      </w:pPr>
      <w:r>
        <w:t>Excel uses a default value of 0 for this attribute.</w:t>
      </w:r>
    </w:p>
    <w:p w:rsidR="005F78FC" w:rsidRDefault="00B42EF3">
      <w:pPr>
        <w:pStyle w:val="Definition-Field"/>
      </w:pPr>
      <w:r>
        <w:t xml:space="preserve">y.   </w:t>
      </w:r>
      <w:r>
        <w:rPr>
          <w:i/>
        </w:rPr>
        <w:t>The standard does not state a default value for the applyWidthHeightFormats attribute.</w:t>
      </w:r>
    </w:p>
    <w:p w:rsidR="005F78FC" w:rsidRDefault="00B42EF3">
      <w:pPr>
        <w:pStyle w:val="Definition-Field2"/>
      </w:pPr>
      <w:r>
        <w:t>Exce</w:t>
      </w:r>
      <w:r>
        <w:t>l uses a default value of 0 for this attribute.</w:t>
      </w:r>
    </w:p>
    <w:p w:rsidR="005F78FC" w:rsidRDefault="00B42EF3">
      <w:pPr>
        <w:pStyle w:val="Definition-Field"/>
      </w:pPr>
      <w:r>
        <w:t xml:space="preserve">z.   </w:t>
      </w:r>
      <w:r>
        <w:rPr>
          <w:i/>
        </w:rPr>
        <w:t>The standard does not limit the length of the value of the colHeaderCaption attribute.</w:t>
      </w:r>
    </w:p>
    <w:p w:rsidR="005F78FC" w:rsidRDefault="00B42EF3">
      <w:pPr>
        <w:pStyle w:val="Definition-Field2"/>
      </w:pPr>
      <w:r>
        <w:t xml:space="preserve">Excel restricts the value of this attribute to be at most 255 characters when the createdVersion attribute on the </w:t>
      </w:r>
      <w:r>
        <w:t>pivotTable element is less than 3 and 32767 characters otherwise.</w:t>
      </w:r>
    </w:p>
    <w:p w:rsidR="005F78FC" w:rsidRDefault="00B42EF3">
      <w:pPr>
        <w:pStyle w:val="Definition-Field"/>
      </w:pPr>
      <w:r>
        <w:t xml:space="preserve">aa.  </w:t>
      </w:r>
      <w:r>
        <w:rPr>
          <w:i/>
        </w:rPr>
        <w:t>The standard does not state a maximum value for @indent.</w:t>
      </w:r>
    </w:p>
    <w:p w:rsidR="005F78FC" w:rsidRDefault="00B42EF3">
      <w:pPr>
        <w:pStyle w:val="Definition-Field2"/>
      </w:pPr>
      <w:r>
        <w:t>Office has a maximum value of 127 for @indent.</w:t>
      </w:r>
    </w:p>
    <w:p w:rsidR="005F78FC" w:rsidRDefault="00B42EF3">
      <w:pPr>
        <w:pStyle w:val="Definition-Field"/>
      </w:pPr>
      <w:r>
        <w:t xml:space="preserve">bb.  </w:t>
      </w:r>
      <w:r>
        <w:rPr>
          <w:i/>
        </w:rPr>
        <w:t xml:space="preserve">The standard does not state how to interpret the values for @indent, or the </w:t>
      </w:r>
      <w:r>
        <w:rPr>
          <w:i/>
        </w:rPr>
        <w:t>value for no indent.</w:t>
      </w:r>
    </w:p>
    <w:p w:rsidR="005F78FC" w:rsidRDefault="00B42EF3">
      <w:pPr>
        <w:pStyle w:val="Definition-Field2"/>
      </w:pPr>
      <w:r>
        <w:t>Office assumes that @indent contains a number that is one less than the number of indent increments to apply; greater than or equal to zero and less than or equal to 127. A value of 127 indicates no indent will be used.</w:t>
      </w:r>
    </w:p>
    <w:p w:rsidR="005F78FC" w:rsidRDefault="00B42EF3">
      <w:pPr>
        <w:pStyle w:val="Definition-Field"/>
      </w:pPr>
      <w:r>
        <w:t xml:space="preserve">cc.  </w:t>
      </w:r>
      <w:r>
        <w:rPr>
          <w:i/>
        </w:rPr>
        <w:t>The standa</w:t>
      </w:r>
      <w:r>
        <w:rPr>
          <w:i/>
        </w:rPr>
        <w:t>rd does not specify a maximum value for @pageWrap.</w:t>
      </w:r>
    </w:p>
    <w:p w:rsidR="005F78FC" w:rsidRDefault="00B42EF3">
      <w:pPr>
        <w:pStyle w:val="Definition-Field2"/>
      </w:pPr>
      <w:r>
        <w:t>Office allows a max value of 255 for @pageWrap.</w:t>
      </w:r>
    </w:p>
    <w:p w:rsidR="005F78FC" w:rsidRDefault="00B42EF3">
      <w:pPr>
        <w:pStyle w:val="Definition-Field"/>
      </w:pPr>
      <w:r>
        <w:t xml:space="preserve">dd.  </w:t>
      </w:r>
      <w:r>
        <w:rPr>
          <w:i/>
        </w:rPr>
        <w:t>The standard does not define a default value for @rowHeaderCaption.</w:t>
      </w:r>
    </w:p>
    <w:p w:rsidR="005F78FC" w:rsidRDefault="00B42EF3">
      <w:pPr>
        <w:pStyle w:val="Definition-Field2"/>
      </w:pPr>
      <w:r>
        <w:t>Office assumes that if @rowHeaderCaption is not present an application specific stri</w:t>
      </w:r>
      <w:r>
        <w:t>ng can be used.</w:t>
      </w:r>
    </w:p>
    <w:p w:rsidR="005F78FC" w:rsidRDefault="00B42EF3">
      <w:pPr>
        <w:pStyle w:val="Definition-Field"/>
      </w:pPr>
      <w:r>
        <w:t xml:space="preserve">ee.  </w:t>
      </w:r>
      <w:r>
        <w:rPr>
          <w:i/>
        </w:rPr>
        <w:t>The standard specifies the showEmptyCol attribute as indicating whether to include empty columns in the table.</w:t>
      </w:r>
    </w:p>
    <w:p w:rsidR="005F78FC" w:rsidRDefault="00B42EF3">
      <w:pPr>
        <w:pStyle w:val="Definition-Field2"/>
      </w:pPr>
      <w:r>
        <w:t>Office only uses the showEmptyCol attribute for OLAP PivotTables.</w:t>
      </w:r>
    </w:p>
    <w:p w:rsidR="005F78FC" w:rsidRDefault="00B42EF3">
      <w:pPr>
        <w:pStyle w:val="Definition-Field"/>
      </w:pPr>
      <w:r>
        <w:t xml:space="preserve">ff.  </w:t>
      </w:r>
      <w:r>
        <w:rPr>
          <w:i/>
        </w:rPr>
        <w:t>The standard specifies @showEmptyRow as indicating wh</w:t>
      </w:r>
      <w:r>
        <w:rPr>
          <w:i/>
        </w:rPr>
        <w:t>ether to include empty rows in the table.</w:t>
      </w:r>
    </w:p>
    <w:p w:rsidR="005F78FC" w:rsidRDefault="00B42EF3">
      <w:pPr>
        <w:pStyle w:val="Definition-Field2"/>
      </w:pPr>
      <w:r>
        <w:t>Office only uses @showEmptyRow for OLAP PivotTables.</w:t>
      </w:r>
    </w:p>
    <w:p w:rsidR="005F78FC" w:rsidRDefault="00B42EF3">
      <w:pPr>
        <w:pStyle w:val="Definition-Field"/>
      </w:pPr>
      <w:r>
        <w:t xml:space="preserve">gg.  </w:t>
      </w:r>
      <w:r>
        <w:rPr>
          <w:i/>
        </w:rPr>
        <w:t>The standard does not define when @subtotalHiddenItems should be used by an application.</w:t>
      </w:r>
    </w:p>
    <w:p w:rsidR="005F78FC" w:rsidRDefault="00B42EF3">
      <w:pPr>
        <w:pStyle w:val="Definition-Field2"/>
      </w:pPr>
      <w:r>
        <w:t xml:space="preserve">Office only uses the value of @subtotalHiddenItems for non-OLAP </w:t>
      </w:r>
      <w:r>
        <w:t>PivotTables.</w:t>
      </w:r>
    </w:p>
    <w:p w:rsidR="005F78FC" w:rsidRDefault="00B42EF3">
      <w:pPr>
        <w:pStyle w:val="Definition-Field"/>
      </w:pPr>
      <w:r>
        <w:t xml:space="preserve">hh.  </w:t>
      </w:r>
      <w:r>
        <w:rPr>
          <w:i/>
        </w:rPr>
        <w:t>The standard states that page fields allow filtering of the entire PivotTable report to display data for a single item or all of the items.</w:t>
      </w:r>
    </w:p>
    <w:p w:rsidR="005F78FC" w:rsidRDefault="00B42EF3">
      <w:pPr>
        <w:pStyle w:val="Definition-Field2"/>
      </w:pPr>
      <w:r>
        <w:t>In Office, page fields allow filtering to display data for multiple items.</w:t>
      </w:r>
    </w:p>
    <w:p w:rsidR="005F78FC" w:rsidRDefault="00B42EF3">
      <w:pPr>
        <w:pStyle w:val="Heading3"/>
      </w:pPr>
      <w:bookmarkStart w:id="1594" w:name="section_320febb51cfe47b3ae76f2eaad735193"/>
      <w:bookmarkStart w:id="1595" w:name="_Toc69878570"/>
      <w:r>
        <w:t>Part 1 Section 18.10.1.</w:t>
      </w:r>
      <w:r>
        <w:t>74, pivotTableStyleInfo (PivotTable Style)</w:t>
      </w:r>
      <w:bookmarkEnd w:id="1594"/>
      <w:bookmarkEnd w:id="1595"/>
      <w:r>
        <w:fldChar w:fldCharType="begin"/>
      </w:r>
      <w:r>
        <w:instrText xml:space="preserve"> XE "pivotTableStyleInfo (PivotTable Style)" </w:instrText>
      </w:r>
      <w:r>
        <w:fldChar w:fldCharType="end"/>
      </w:r>
    </w:p>
    <w:p w:rsidR="005F78FC" w:rsidRDefault="00B42EF3">
      <w:pPr>
        <w:pStyle w:val="Definition-Field"/>
      </w:pPr>
      <w:r>
        <w:t xml:space="preserve">a.   </w:t>
      </w:r>
      <w:r>
        <w:rPr>
          <w:i/>
        </w:rPr>
        <w:t>The standard defines the @showLastColumn to determine if the last column of formatting is shown.</w:t>
      </w:r>
    </w:p>
    <w:p w:rsidR="005F78FC" w:rsidRDefault="00B42EF3">
      <w:pPr>
        <w:pStyle w:val="Definition-Field2"/>
      </w:pPr>
      <w:r>
        <w:t>Office ignores this attribute.</w:t>
      </w:r>
    </w:p>
    <w:p w:rsidR="005F78FC" w:rsidRDefault="00B42EF3">
      <w:pPr>
        <w:pStyle w:val="Definition-Field"/>
      </w:pPr>
      <w:r>
        <w:t xml:space="preserve">b.   </w:t>
      </w:r>
      <w:r>
        <w:rPr>
          <w:i/>
        </w:rPr>
        <w:t>The standard does not specif</w:t>
      </w:r>
      <w:r>
        <w:rPr>
          <w:i/>
        </w:rPr>
        <w:t>y a default value for the showRowHeaders attribute.</w:t>
      </w:r>
    </w:p>
    <w:p w:rsidR="005F78FC" w:rsidRDefault="00B42EF3">
      <w:pPr>
        <w:pStyle w:val="Definition-Field2"/>
      </w:pPr>
      <w:r>
        <w:t>Excel uses a default value of 0 for this attribute.</w:t>
      </w:r>
    </w:p>
    <w:p w:rsidR="005F78FC" w:rsidRDefault="00B42EF3">
      <w:pPr>
        <w:pStyle w:val="Definition-Field"/>
      </w:pPr>
      <w:r>
        <w:t xml:space="preserve">c.   </w:t>
      </w:r>
      <w:r>
        <w:rPr>
          <w:i/>
        </w:rPr>
        <w:t>The standard does not specify a default value for the showRowStripes attribute.</w:t>
      </w:r>
    </w:p>
    <w:p w:rsidR="005F78FC" w:rsidRDefault="00B42EF3">
      <w:pPr>
        <w:pStyle w:val="Definition-Field2"/>
      </w:pPr>
      <w:r>
        <w:lastRenderedPageBreak/>
        <w:t>Excel uses a default value of 0 for this attribute.</w:t>
      </w:r>
    </w:p>
    <w:p w:rsidR="005F78FC" w:rsidRDefault="00B42EF3">
      <w:pPr>
        <w:pStyle w:val="Definition-Field"/>
      </w:pPr>
      <w:r>
        <w:t xml:space="preserve">d.   </w:t>
      </w:r>
      <w:r>
        <w:rPr>
          <w:i/>
        </w:rPr>
        <w:t>The standa</w:t>
      </w:r>
      <w:r>
        <w:rPr>
          <w:i/>
        </w:rPr>
        <w:t>rd does not specify a default value for the showColStripes attribute.</w:t>
      </w:r>
    </w:p>
    <w:p w:rsidR="005F78FC" w:rsidRDefault="00B42EF3">
      <w:pPr>
        <w:pStyle w:val="Definition-Field2"/>
      </w:pPr>
      <w:r>
        <w:t>Excel uses a default value of 0 for this attribute.</w:t>
      </w:r>
    </w:p>
    <w:p w:rsidR="005F78FC" w:rsidRDefault="00B42EF3">
      <w:pPr>
        <w:pStyle w:val="Definition-Field"/>
      </w:pPr>
      <w:r>
        <w:t xml:space="preserve">e.   </w:t>
      </w:r>
      <w:r>
        <w:rPr>
          <w:i/>
        </w:rPr>
        <w:t>The standard does not specify a default value for the showColHeaders attribute.</w:t>
      </w:r>
    </w:p>
    <w:p w:rsidR="005F78FC" w:rsidRDefault="00B42EF3">
      <w:pPr>
        <w:pStyle w:val="Definition-Field2"/>
      </w:pPr>
      <w:r>
        <w:t>Excel uses a default value of 0 for this attribut</w:t>
      </w:r>
      <w:r>
        <w:t>e.</w:t>
      </w:r>
    </w:p>
    <w:p w:rsidR="005F78FC" w:rsidRDefault="00B42EF3">
      <w:pPr>
        <w:pStyle w:val="Definition-Field"/>
      </w:pPr>
      <w:r>
        <w:t xml:space="preserve">f.   </w:t>
      </w:r>
      <w:r>
        <w:rPr>
          <w:i/>
        </w:rPr>
        <w:t>The standard does not limit the length of the value of the name attribute.</w:t>
      </w:r>
    </w:p>
    <w:p w:rsidR="005F78FC" w:rsidRDefault="00B42EF3">
      <w:pPr>
        <w:pStyle w:val="Definition-Field2"/>
      </w:pPr>
      <w:r>
        <w:t>Excel restricts the value of this attribute to be at most 255 characters.</w:t>
      </w:r>
    </w:p>
    <w:p w:rsidR="005F78FC" w:rsidRDefault="00B42EF3">
      <w:pPr>
        <w:pStyle w:val="Heading3"/>
      </w:pPr>
      <w:bookmarkStart w:id="1596" w:name="section_17df2d7dd5bd4329906b1d4b4adc0c02"/>
      <w:bookmarkStart w:id="1597" w:name="_Toc69878571"/>
      <w:r>
        <w:t>Part 1 Section 18.10.1.75, query (Query)</w:t>
      </w:r>
      <w:bookmarkEnd w:id="1596"/>
      <w:bookmarkEnd w:id="1597"/>
      <w:r>
        <w:fldChar w:fldCharType="begin"/>
      </w:r>
      <w:r>
        <w:instrText xml:space="preserve"> XE "query (Query)" </w:instrText>
      </w:r>
      <w:r>
        <w:fldChar w:fldCharType="end"/>
      </w:r>
    </w:p>
    <w:p w:rsidR="005F78FC" w:rsidRDefault="00B42EF3">
      <w:pPr>
        <w:pStyle w:val="Definition-Field"/>
      </w:pPr>
      <w:r>
        <w:t xml:space="preserve">a.   </w:t>
      </w:r>
      <w:r>
        <w:rPr>
          <w:i/>
        </w:rPr>
        <w:t>The standard allows the mdx att</w:t>
      </w:r>
      <w:r>
        <w:rPr>
          <w:i/>
        </w:rPr>
        <w:t>ribute to be any ST_Xstring.</w:t>
      </w:r>
    </w:p>
    <w:p w:rsidR="005F78FC" w:rsidRDefault="00B42EF3">
      <w:pPr>
        <w:pStyle w:val="Definition-Field2"/>
      </w:pPr>
      <w:r>
        <w:t>Office requires that the mdx attribute be less than 65535 characters in length.</w:t>
      </w:r>
    </w:p>
    <w:p w:rsidR="005F78FC" w:rsidRDefault="00B42EF3">
      <w:pPr>
        <w:pStyle w:val="Heading3"/>
      </w:pPr>
      <w:bookmarkStart w:id="1598" w:name="section_f1a0020af88a4f86b0d6cc59f8332454"/>
      <w:bookmarkStart w:id="1599" w:name="_Toc69878572"/>
      <w:r>
        <w:t>Part 1 Section 18.10.1.77, r (PivotCache Record)</w:t>
      </w:r>
      <w:bookmarkEnd w:id="1598"/>
      <w:bookmarkEnd w:id="1599"/>
      <w:r>
        <w:fldChar w:fldCharType="begin"/>
      </w:r>
      <w:r>
        <w:instrText xml:space="preserve"> XE "r (PivotCache Record)" </w:instrText>
      </w:r>
      <w:r>
        <w:fldChar w:fldCharType="end"/>
      </w:r>
    </w:p>
    <w:p w:rsidR="005F78FC" w:rsidRDefault="00B42EF3">
      <w:pPr>
        <w:pStyle w:val="Definition-Field"/>
      </w:pPr>
      <w:r>
        <w:t xml:space="preserve">a.   </w:t>
      </w:r>
      <w:r>
        <w:rPr>
          <w:i/>
        </w:rPr>
        <w:t>The standard does not specify restriction on the number of chil</w:t>
      </w:r>
      <w:r>
        <w:rPr>
          <w:i/>
        </w:rPr>
        <w:t>d elements.</w:t>
      </w:r>
    </w:p>
    <w:p w:rsidR="005F78FC" w:rsidRDefault="00B42EF3">
      <w:pPr>
        <w:pStyle w:val="Definition-Field2"/>
      </w:pPr>
      <w:r>
        <w:t>In Office, the number of child elements shall be equal to the number of cacheField elements with the databaseField attribute equal to 1 or true.</w:t>
      </w:r>
    </w:p>
    <w:p w:rsidR="005F78FC" w:rsidRDefault="00B42EF3">
      <w:pPr>
        <w:pStyle w:val="Heading3"/>
      </w:pPr>
      <w:bookmarkStart w:id="1600" w:name="section_26ccde017f1e47eb997380dad81e6e0e"/>
      <w:bookmarkStart w:id="1601" w:name="_Toc69878573"/>
      <w:r>
        <w:t>Part 1 Section 18.10.1.78, rangePr (Range Grouping Properties)</w:t>
      </w:r>
      <w:bookmarkEnd w:id="1600"/>
      <w:bookmarkEnd w:id="1601"/>
      <w:r>
        <w:fldChar w:fldCharType="begin"/>
      </w:r>
      <w:r>
        <w:instrText xml:space="preserve"> XE "rangePr (Range Grouping Properti</w:instrText>
      </w:r>
      <w:r>
        <w:instrText xml:space="preserve">es)" </w:instrText>
      </w:r>
      <w:r>
        <w:fldChar w:fldCharType="end"/>
      </w:r>
    </w:p>
    <w:p w:rsidR="005F78FC" w:rsidRDefault="00B42EF3">
      <w:pPr>
        <w:pStyle w:val="Definition-Field"/>
      </w:pPr>
      <w:r>
        <w:t xml:space="preserve">a.   </w:t>
      </w:r>
      <w:r>
        <w:rPr>
          <w:i/>
        </w:rPr>
        <w:t>The standard does not specify restrictions for @groupBy in case of parent/child relationship.</w:t>
      </w:r>
    </w:p>
    <w:p w:rsidR="005F78FC" w:rsidRDefault="00B42EF3">
      <w:pPr>
        <w:pStyle w:val="Definition-Field2"/>
      </w:pPr>
      <w:r>
        <w:t xml:space="preserve">In Office, if this rangePr is a part of a fieldGroup with a parent field, the groupBy in the rangePr of the parent must have a value that is greater </w:t>
      </w:r>
      <w:r>
        <w:t>than the groupBy in this rangePr.</w:t>
      </w:r>
    </w:p>
    <w:p w:rsidR="005F78FC" w:rsidRDefault="00B42EF3">
      <w:pPr>
        <w:pStyle w:val="Definition-Field"/>
      </w:pPr>
      <w:r>
        <w:t xml:space="preserve">b.   </w:t>
      </w:r>
      <w:r>
        <w:rPr>
          <w:i/>
        </w:rPr>
        <w:t>The standard does not specify restrictions for @groupInterval.</w:t>
      </w:r>
    </w:p>
    <w:p w:rsidR="005F78FC" w:rsidRDefault="00B42EF3">
      <w:pPr>
        <w:pStyle w:val="Definition-Field2"/>
      </w:pPr>
      <w:r>
        <w:t>In Office, @groupInterval must be greater than zero; if @groupBy does not equal range, the value must be an integer less than 32768.</w:t>
      </w:r>
    </w:p>
    <w:p w:rsidR="005F78FC" w:rsidRDefault="00B42EF3">
      <w:pPr>
        <w:pStyle w:val="Definition-Field"/>
      </w:pPr>
      <w:r>
        <w:t xml:space="preserve">c.   </w:t>
      </w:r>
      <w:r>
        <w:rPr>
          <w:i/>
        </w:rPr>
        <w:t>The standard doe</w:t>
      </w:r>
      <w:r>
        <w:rPr>
          <w:i/>
        </w:rPr>
        <w:t>s not specify restrictions for the @startNum and @endNum relationship.</w:t>
      </w:r>
    </w:p>
    <w:p w:rsidR="005F78FC" w:rsidRDefault="00B42EF3">
      <w:pPr>
        <w:pStyle w:val="Definition-Field2"/>
      </w:pPr>
      <w:r>
        <w:t>In Office, @startNum shall be less than @endNum.</w:t>
      </w:r>
    </w:p>
    <w:p w:rsidR="005F78FC" w:rsidRDefault="00B42EF3">
      <w:pPr>
        <w:pStyle w:val="Definition-Field"/>
      </w:pPr>
      <w:r>
        <w:t xml:space="preserve">d.   </w:t>
      </w:r>
      <w:r>
        <w:rPr>
          <w:i/>
        </w:rPr>
        <w:t>The standard does not specify restrictions for the @startDate and @endDate relationship.</w:t>
      </w:r>
    </w:p>
    <w:p w:rsidR="005F78FC" w:rsidRDefault="00B42EF3">
      <w:pPr>
        <w:pStyle w:val="Definition-Field2"/>
      </w:pPr>
      <w:r>
        <w:t xml:space="preserve">In Office, @startDate shall be less than </w:t>
      </w:r>
      <w:r>
        <w:t>@endDate.</w:t>
      </w:r>
    </w:p>
    <w:p w:rsidR="005F78FC" w:rsidRDefault="00B42EF3">
      <w:pPr>
        <w:pStyle w:val="Definition-Field"/>
      </w:pPr>
      <w:r>
        <w:t xml:space="preserve">e.   </w:t>
      </w:r>
      <w:r>
        <w:rPr>
          <w:i/>
        </w:rPr>
        <w:t>The standard does not specify restrictions for the startDate attribute and startNum or endNum attribute relationships.</w:t>
      </w:r>
    </w:p>
    <w:p w:rsidR="005F78FC" w:rsidRDefault="00B42EF3">
      <w:pPr>
        <w:pStyle w:val="Definition-Field2"/>
      </w:pPr>
      <w:r>
        <w:t>In Office, the startDate attribute shall not be specified if the startNum or endNum attributes are specified.</w:t>
      </w:r>
    </w:p>
    <w:p w:rsidR="005F78FC" w:rsidRDefault="00B42EF3">
      <w:pPr>
        <w:pStyle w:val="Definition-Field"/>
      </w:pPr>
      <w:r>
        <w:t xml:space="preserve">f.   </w:t>
      </w:r>
      <w:r>
        <w:rPr>
          <w:i/>
        </w:rPr>
        <w:t>The sta</w:t>
      </w:r>
      <w:r>
        <w:rPr>
          <w:i/>
        </w:rPr>
        <w:t>ndard does not specify restrictions for the endDate attribute and startNum or endNum attribute relationships.</w:t>
      </w:r>
    </w:p>
    <w:p w:rsidR="005F78FC" w:rsidRDefault="00B42EF3">
      <w:pPr>
        <w:pStyle w:val="Definition-Field2"/>
      </w:pPr>
      <w:r>
        <w:t>Office requires that the endDate attribute shall not be specified if the startNum or endNum attributes are specified.</w:t>
      </w:r>
    </w:p>
    <w:p w:rsidR="005F78FC" w:rsidRDefault="00B42EF3">
      <w:pPr>
        <w:pStyle w:val="Definition-Field"/>
      </w:pPr>
      <w:r>
        <w:lastRenderedPageBreak/>
        <w:t xml:space="preserve">g.   </w:t>
      </w:r>
      <w:r>
        <w:rPr>
          <w:i/>
        </w:rPr>
        <w:t>The standard does not s</w:t>
      </w:r>
      <w:r>
        <w:rPr>
          <w:i/>
        </w:rPr>
        <w:t>pecify the relationship between the groupBy attribute and the startDate and endDate attributes.</w:t>
      </w:r>
    </w:p>
    <w:p w:rsidR="005F78FC" w:rsidRDefault="00B42EF3">
      <w:r>
        <w:t xml:space="preserve">In Office, if this value is not </w:t>
      </w:r>
      <w:r>
        <w:rPr>
          <w:i/>
        </w:rPr>
        <w:t>range</w:t>
      </w:r>
      <w:r>
        <w:t xml:space="preserve">, at least one of </w:t>
      </w:r>
      <w:r>
        <w:rPr>
          <w:b/>
        </w:rPr>
        <w:t>startDate</w:t>
      </w:r>
      <w:r>
        <w:t xml:space="preserve"> or </w:t>
      </w:r>
      <w:r>
        <w:rPr>
          <w:b/>
        </w:rPr>
        <w:t>endDate</w:t>
      </w:r>
      <w:r>
        <w:t xml:space="preserve"> shall be specified. Additionally, if this value is not </w:t>
      </w:r>
      <w:r>
        <w:rPr>
          <w:i/>
        </w:rPr>
        <w:t>range</w:t>
      </w:r>
      <w:r>
        <w:t xml:space="preserve"> and the enclosing </w:t>
      </w:r>
      <w:r>
        <w:rPr>
          <w:b/>
        </w:rPr>
        <w:t>cache</w:t>
      </w:r>
      <w:r>
        <w:rPr>
          <w:b/>
        </w:rPr>
        <w:t xml:space="preserve">Field </w:t>
      </w:r>
      <w:r>
        <w:t xml:space="preserve">has </w:t>
      </w:r>
      <w:r>
        <w:rPr>
          <w:b/>
        </w:rPr>
        <w:t>databaseField</w:t>
      </w:r>
      <w:r>
        <w:t xml:space="preserve"> equal to 1, </w:t>
      </w:r>
      <w:r>
        <w:rPr>
          <w:b/>
        </w:rPr>
        <w:t>sharedItems</w:t>
      </w:r>
      <w:r>
        <w:t xml:space="preserve"> element ("</w:t>
      </w:r>
      <w:hyperlink r:id="rId135">
        <w:r>
          <w:rPr>
            <w:rStyle w:val="Hyperlink"/>
          </w:rPr>
          <w:t>[ISO/IEC-29500-1]</w:t>
        </w:r>
      </w:hyperlink>
      <w:r>
        <w:t xml:space="preserve"> §18.10.1.90; sharedItems (Shared Items)") of the enclosing </w:t>
      </w:r>
      <w:r>
        <w:rPr>
          <w:b/>
        </w:rPr>
        <w:t xml:space="preserve">cacheField </w:t>
      </w:r>
      <w:r>
        <w:t xml:space="preserve">shall have </w:t>
      </w:r>
      <w:r>
        <w:rPr>
          <w:b/>
        </w:rPr>
        <w:t>containsDate</w:t>
      </w:r>
      <w:r>
        <w:t xml:space="preserve"> equal to 1 and </w:t>
      </w:r>
      <w:r>
        <w:rPr>
          <w:b/>
        </w:rPr>
        <w:t>conta</w:t>
      </w:r>
      <w:r>
        <w:rPr>
          <w:b/>
        </w:rPr>
        <w:t>insNumber</w:t>
      </w:r>
      <w:r>
        <w:t xml:space="preserve"> equal to 0; also, this </w:t>
      </w:r>
      <w:r>
        <w:rPr>
          <w:b/>
        </w:rPr>
        <w:t>cacheField</w:t>
      </w:r>
      <w:r>
        <w:t xml:space="preserve"> shall have </w:t>
      </w:r>
      <w:r>
        <w:rPr>
          <w:b/>
        </w:rPr>
        <w:t>containsSemiMixedTypes</w:t>
      </w:r>
      <w:r>
        <w:t xml:space="preserve"> equal to 0, otherwise it shall have </w:t>
      </w:r>
      <w:r>
        <w:rPr>
          <w:b/>
        </w:rPr>
        <w:t>containsMixedTypes</w:t>
      </w:r>
      <w:r>
        <w:t xml:space="preserve"> equal to 0 and </w:t>
      </w:r>
      <w:r>
        <w:rPr>
          <w:b/>
        </w:rPr>
        <w:t>containsBlank</w:t>
      </w:r>
      <w:r>
        <w:t xml:space="preserve"> equal to 0.</w:t>
      </w:r>
    </w:p>
    <w:p w:rsidR="005F78FC" w:rsidRDefault="00B42EF3">
      <w:pPr>
        <w:pStyle w:val="Definition-Field"/>
      </w:pPr>
      <w:r>
        <w:t xml:space="preserve">h.   </w:t>
      </w:r>
      <w:r>
        <w:rPr>
          <w:i/>
        </w:rPr>
        <w:t>In the standard no default behavior is specified for @endDate.</w:t>
      </w:r>
    </w:p>
    <w:p w:rsidR="005F78FC" w:rsidRDefault="00B42EF3">
      <w:pPr>
        <w:pStyle w:val="Definition-Field2"/>
      </w:pPr>
      <w:r>
        <w:t>If @endDate is</w:t>
      </w:r>
      <w:r>
        <w:t xml:space="preserve"> not specified, Office uses values in the sharedItems collection of the enclosing cacheField to calculate the ending value.</w:t>
      </w:r>
    </w:p>
    <w:p w:rsidR="005F78FC" w:rsidRDefault="00B42EF3">
      <w:pPr>
        <w:pStyle w:val="Definition-Field"/>
      </w:pPr>
      <w:r>
        <w:t xml:space="preserve">i.   </w:t>
      </w:r>
      <w:r>
        <w:rPr>
          <w:i/>
        </w:rPr>
        <w:t>In the standard no default behavior is specified for @startDate.</w:t>
      </w:r>
    </w:p>
    <w:p w:rsidR="005F78FC" w:rsidRDefault="00B42EF3">
      <w:pPr>
        <w:pStyle w:val="Definition-Field2"/>
      </w:pPr>
      <w:r>
        <w:t>If @startDate is not specified, Office uses values in the shar</w:t>
      </w:r>
      <w:r>
        <w:t>edItems collection of the enclosing cacheField to calculate the starting value.</w:t>
      </w:r>
    </w:p>
    <w:p w:rsidR="005F78FC" w:rsidRDefault="00B42EF3">
      <w:pPr>
        <w:pStyle w:val="Definition-Field"/>
      </w:pPr>
      <w:r>
        <w:t xml:space="preserve">j.   </w:t>
      </w:r>
      <w:r>
        <w:rPr>
          <w:i/>
        </w:rPr>
        <w:t>In the standard, no default behavior is specified for the endNum attribute.</w:t>
      </w:r>
    </w:p>
    <w:p w:rsidR="005F78FC" w:rsidRDefault="00B42EF3">
      <w:pPr>
        <w:pStyle w:val="Definition-Field2"/>
      </w:pPr>
      <w:r>
        <w:t>If the endNum attribute is not specified, Office uses values in the sharedItems collection of t</w:t>
      </w:r>
      <w:r>
        <w:t>he enclosing cacheField to calculate the ending value.</w:t>
      </w:r>
    </w:p>
    <w:p w:rsidR="005F78FC" w:rsidRDefault="00B42EF3">
      <w:pPr>
        <w:pStyle w:val="Definition-Field"/>
      </w:pPr>
      <w:r>
        <w:t xml:space="preserve">k.   </w:t>
      </w:r>
      <w:r>
        <w:rPr>
          <w:i/>
        </w:rPr>
        <w:t>In the standard, no default behavior is specified for the startNum attribute.</w:t>
      </w:r>
    </w:p>
    <w:p w:rsidR="005F78FC" w:rsidRDefault="00B42EF3">
      <w:pPr>
        <w:pStyle w:val="Definition-Field2"/>
      </w:pPr>
      <w:r>
        <w:t>If the startNum attribute is not specified, Office uses values in the sharedItems collection of the enclosing cacheFie</w:t>
      </w:r>
      <w:r>
        <w:t>ld to calculate the starting value.</w:t>
      </w:r>
    </w:p>
    <w:p w:rsidR="005F78FC" w:rsidRDefault="00B42EF3">
      <w:pPr>
        <w:pStyle w:val="Definition-Field"/>
      </w:pPr>
      <w:r>
        <w:t xml:space="preserve">l.   </w:t>
      </w:r>
      <w:r>
        <w:rPr>
          <w:i/>
        </w:rPr>
        <w:t>The standard does not specify restrictions on data types for items of fields when the groupBy attribute equals range.</w:t>
      </w:r>
    </w:p>
    <w:p w:rsidR="005F78FC" w:rsidRDefault="00B42EF3">
      <w:pPr>
        <w:pStyle w:val="Definition-Field2"/>
      </w:pPr>
      <w:r>
        <w:t>Office requires that the sharedItems element of the enclosing cacheField have a containsString at</w:t>
      </w:r>
      <w:r>
        <w:t>tribute equal to 0 and a containsMixedTypes attribute equal to 0 when the value of the groupBy attribute equals range.</w:t>
      </w:r>
    </w:p>
    <w:p w:rsidR="005F78FC" w:rsidRDefault="00B42EF3">
      <w:pPr>
        <w:pStyle w:val="Definition-Field"/>
      </w:pPr>
      <w:r>
        <w:t xml:space="preserve">m.   </w:t>
      </w:r>
      <w:r>
        <w:rPr>
          <w:i/>
        </w:rPr>
        <w:t>The standard does not place any restrictions on the value of the groupBy attribute when the value of the containsMixedType attribute</w:t>
      </w:r>
      <w:r>
        <w:rPr>
          <w:i/>
        </w:rPr>
        <w:t xml:space="preserve"> on the sharedItems element of the enclosing cacheField is 1.</w:t>
      </w:r>
    </w:p>
    <w:p w:rsidR="005F78FC" w:rsidRDefault="00B42EF3">
      <w:pPr>
        <w:pStyle w:val="Definition-Field2"/>
      </w:pPr>
      <w:r>
        <w:t>Excel requires the value of the groupBy attribute to be range under this circumstance.</w:t>
      </w:r>
    </w:p>
    <w:p w:rsidR="005F78FC" w:rsidRDefault="00B42EF3">
      <w:pPr>
        <w:pStyle w:val="Heading3"/>
      </w:pPr>
      <w:bookmarkStart w:id="1602" w:name="section_a9b7cdf864e547c9950debe253c5c82e"/>
      <w:bookmarkStart w:id="1603" w:name="_Toc69878574"/>
      <w:r>
        <w:t>Part 1 Section 18.10.1.79, rangeSet (Range Set)</w:t>
      </w:r>
      <w:bookmarkEnd w:id="1602"/>
      <w:bookmarkEnd w:id="1603"/>
      <w:r>
        <w:fldChar w:fldCharType="begin"/>
      </w:r>
      <w:r>
        <w:instrText xml:space="preserve"> XE "rangeSet (Range Set)" </w:instrText>
      </w:r>
      <w:r>
        <w:fldChar w:fldCharType="end"/>
      </w:r>
    </w:p>
    <w:p w:rsidR="005F78FC" w:rsidRDefault="00B42EF3">
      <w:pPr>
        <w:pStyle w:val="Definition-Field"/>
      </w:pPr>
      <w:r>
        <w:t xml:space="preserve">a.   </w:t>
      </w:r>
      <w:r>
        <w:rPr>
          <w:i/>
        </w:rPr>
        <w:t xml:space="preserve">The standard does not </w:t>
      </w:r>
      <w:r>
        <w:rPr>
          <w:i/>
        </w:rPr>
        <w:t>describe a relationship between the i1 attribute and the count attribute of the pages element.</w:t>
      </w:r>
    </w:p>
    <w:p w:rsidR="005F78FC" w:rsidRDefault="00B42EF3">
      <w:pPr>
        <w:pStyle w:val="Definition-Field2"/>
      </w:pPr>
      <w:r>
        <w:t xml:space="preserve">Office expects that the i1 attribute is not present when the count attribute of the pages element is less than 1; otherwise, the presence of the i1 attribute is </w:t>
      </w:r>
      <w:r>
        <w:t>optional.</w:t>
      </w:r>
    </w:p>
    <w:p w:rsidR="005F78FC" w:rsidRDefault="00B42EF3">
      <w:pPr>
        <w:pStyle w:val="Definition-Field"/>
      </w:pPr>
      <w:r>
        <w:t xml:space="preserve">b.   </w:t>
      </w:r>
      <w:r>
        <w:rPr>
          <w:i/>
        </w:rPr>
        <w:t>In the standard, no relationship is described between @i1 and page@count.</w:t>
      </w:r>
    </w:p>
    <w:p w:rsidR="005F78FC" w:rsidRDefault="00B42EF3">
      <w:pPr>
        <w:pStyle w:val="Definition-Field2"/>
      </w:pPr>
      <w:r>
        <w:t>Office expects @i1 to be less than page@count.</w:t>
      </w:r>
    </w:p>
    <w:p w:rsidR="005F78FC" w:rsidRDefault="00B42EF3">
      <w:pPr>
        <w:pStyle w:val="Definition-Field"/>
      </w:pPr>
      <w:r>
        <w:t xml:space="preserve">c.   </w:t>
      </w:r>
      <w:r>
        <w:rPr>
          <w:i/>
        </w:rPr>
        <w:t>The standard does not describe a relationship between the i2 attribute and the count attribute of the pages element</w:t>
      </w:r>
      <w:r>
        <w:rPr>
          <w:i/>
        </w:rPr>
        <w:t>.</w:t>
      </w:r>
    </w:p>
    <w:p w:rsidR="005F78FC" w:rsidRDefault="00B42EF3">
      <w:pPr>
        <w:pStyle w:val="Definition-Field2"/>
      </w:pPr>
      <w:r>
        <w:t>Office expects that the i2 attribute is not present when the count attribute of the pages element is less than 2; otherwise, the presence of the i2 attribute is optional.</w:t>
      </w:r>
    </w:p>
    <w:p w:rsidR="005F78FC" w:rsidRDefault="00B42EF3">
      <w:pPr>
        <w:pStyle w:val="Definition-Field"/>
      </w:pPr>
      <w:r>
        <w:lastRenderedPageBreak/>
        <w:t xml:space="preserve">d.   </w:t>
      </w:r>
      <w:r>
        <w:rPr>
          <w:i/>
        </w:rPr>
        <w:t>The standard does not describe a relationship between the i3 attribute and the</w:t>
      </w:r>
      <w:r>
        <w:rPr>
          <w:i/>
        </w:rPr>
        <w:t xml:space="preserve"> count attribute of the pages element.</w:t>
      </w:r>
    </w:p>
    <w:p w:rsidR="005F78FC" w:rsidRDefault="00B42EF3">
      <w:pPr>
        <w:pStyle w:val="Definition-Field2"/>
      </w:pPr>
      <w:r>
        <w:t>Office expects that the i3 attribute is not present when the count attribute of the pages element is less than 3; otherwise, the presence of the i3 attribute is optional.</w:t>
      </w:r>
    </w:p>
    <w:p w:rsidR="005F78FC" w:rsidRDefault="00B42EF3">
      <w:pPr>
        <w:pStyle w:val="Definition-Field"/>
      </w:pPr>
      <w:r>
        <w:t xml:space="preserve">e.   </w:t>
      </w:r>
      <w:r>
        <w:rPr>
          <w:i/>
        </w:rPr>
        <w:t xml:space="preserve">The standard does not describe a </w:t>
      </w:r>
      <w:r>
        <w:rPr>
          <w:i/>
        </w:rPr>
        <w:t>relationship between the i4 attribute and the count attribute of the pages element.</w:t>
      </w:r>
    </w:p>
    <w:p w:rsidR="005F78FC" w:rsidRDefault="00B42EF3">
      <w:pPr>
        <w:pStyle w:val="Definition-Field2"/>
      </w:pPr>
      <w:r>
        <w:t>Office expects that the i4 attribute is not present when the count attribute of the pages element is less than 4; otherwise, the presence of the i4 attribute is optional.</w:t>
      </w:r>
    </w:p>
    <w:p w:rsidR="005F78FC" w:rsidRDefault="00B42EF3">
      <w:pPr>
        <w:pStyle w:val="Definition-Field"/>
      </w:pPr>
      <w:r>
        <w:t>f</w:t>
      </w:r>
      <w:r>
        <w:t xml:space="preserve">.   </w:t>
      </w:r>
      <w:r>
        <w:rPr>
          <w:i/>
        </w:rPr>
        <w:t>In the standard, no relationship is described between @i2 and page@count.</w:t>
      </w:r>
    </w:p>
    <w:p w:rsidR="005F78FC" w:rsidRDefault="00B42EF3">
      <w:pPr>
        <w:pStyle w:val="Definition-Field2"/>
      </w:pPr>
      <w:r>
        <w:t>Office expects @i2 to be less than page@count for the second page.</w:t>
      </w:r>
    </w:p>
    <w:p w:rsidR="005F78FC" w:rsidRDefault="00B42EF3">
      <w:pPr>
        <w:pStyle w:val="Definition-Field"/>
      </w:pPr>
      <w:r>
        <w:t xml:space="preserve">g.   </w:t>
      </w:r>
      <w:r>
        <w:rPr>
          <w:i/>
        </w:rPr>
        <w:t>In the standard, no relationship is described between @i3 and page@count.</w:t>
      </w:r>
    </w:p>
    <w:p w:rsidR="005F78FC" w:rsidRDefault="00B42EF3">
      <w:pPr>
        <w:pStyle w:val="Definition-Field2"/>
      </w:pPr>
      <w:r>
        <w:t>Office expects @i3 to be less th</w:t>
      </w:r>
      <w:r>
        <w:t>an page@count for the third page.</w:t>
      </w:r>
    </w:p>
    <w:p w:rsidR="005F78FC" w:rsidRDefault="00B42EF3">
      <w:pPr>
        <w:pStyle w:val="Definition-Field"/>
      </w:pPr>
      <w:r>
        <w:t xml:space="preserve">h.   </w:t>
      </w:r>
      <w:r>
        <w:rPr>
          <w:i/>
        </w:rPr>
        <w:t>In the standard, no relationship is described between @i4 and page@count.</w:t>
      </w:r>
    </w:p>
    <w:p w:rsidR="005F78FC" w:rsidRDefault="00B42EF3">
      <w:pPr>
        <w:pStyle w:val="Definition-Field2"/>
      </w:pPr>
      <w:r>
        <w:t>Office expects @i4 to be less than page@count for the fourth page.</w:t>
      </w:r>
    </w:p>
    <w:p w:rsidR="005F78FC" w:rsidRDefault="00B42EF3">
      <w:pPr>
        <w:pStyle w:val="Definition-Field"/>
      </w:pPr>
      <w:r>
        <w:t xml:space="preserve">i.   </w:t>
      </w:r>
      <w:r>
        <w:rPr>
          <w:i/>
        </w:rPr>
        <w:t>The standard does not specify a relationship between @name and @ref.</w:t>
      </w:r>
    </w:p>
    <w:p w:rsidR="005F78FC" w:rsidRDefault="00B42EF3">
      <w:pPr>
        <w:pStyle w:val="Definition-Field2"/>
      </w:pPr>
      <w:r>
        <w:t>Of</w:t>
      </w:r>
      <w:r>
        <w:t>fice requires that @name and @ref not both be present.</w:t>
      </w:r>
    </w:p>
    <w:p w:rsidR="005F78FC" w:rsidRDefault="00B42EF3">
      <w:pPr>
        <w:pStyle w:val="Definition-Field"/>
      </w:pPr>
      <w:r>
        <w:t xml:space="preserve">j.   </w:t>
      </w:r>
      <w:r>
        <w:rPr>
          <w:i/>
        </w:rPr>
        <w:t>The standard states that the values of the sheet attribute are defined by the XML Schema string datatype.</w:t>
      </w:r>
    </w:p>
    <w:p w:rsidR="005F78FC" w:rsidRDefault="00B42EF3">
      <w:r>
        <w:t>Office places additional restrictions on the value of the sheet attribute.  This string sh</w:t>
      </w:r>
      <w:r>
        <w:t>all not be empty and its length shall not exceed 31 characters. This string shall not begin or end with the apostrophe (0x0027) character. This string shall not contain the following characters:</w:t>
      </w:r>
    </w:p>
    <w:p w:rsidR="005F78FC" w:rsidRDefault="00B42EF3">
      <w:pPr>
        <w:pStyle w:val="ListParagraph"/>
        <w:numPr>
          <w:ilvl w:val="0"/>
          <w:numId w:val="69"/>
        </w:numPr>
        <w:contextualSpacing/>
      </w:pPr>
      <w:r>
        <w:t>Null (0x0000)</w:t>
      </w:r>
    </w:p>
    <w:p w:rsidR="005F78FC" w:rsidRDefault="00B42EF3">
      <w:pPr>
        <w:pStyle w:val="ListParagraph"/>
        <w:numPr>
          <w:ilvl w:val="0"/>
          <w:numId w:val="69"/>
        </w:numPr>
        <w:contextualSpacing/>
      </w:pPr>
      <w:r>
        <w:t>End Of Text (0x0003)</w:t>
      </w:r>
    </w:p>
    <w:p w:rsidR="005F78FC" w:rsidRDefault="00B42EF3">
      <w:pPr>
        <w:pStyle w:val="ListParagraph"/>
        <w:numPr>
          <w:ilvl w:val="0"/>
          <w:numId w:val="69"/>
        </w:numPr>
        <w:contextualSpacing/>
      </w:pPr>
      <w:r>
        <w:t>Asterisk (0x002A)</w:t>
      </w:r>
    </w:p>
    <w:p w:rsidR="005F78FC" w:rsidRDefault="00B42EF3">
      <w:pPr>
        <w:pStyle w:val="ListParagraph"/>
        <w:numPr>
          <w:ilvl w:val="0"/>
          <w:numId w:val="69"/>
        </w:numPr>
        <w:contextualSpacing/>
      </w:pPr>
      <w:r>
        <w:t xml:space="preserve">Solidus </w:t>
      </w:r>
      <w:r>
        <w:t>(0x002F)</w:t>
      </w:r>
    </w:p>
    <w:p w:rsidR="005F78FC" w:rsidRDefault="00B42EF3">
      <w:pPr>
        <w:pStyle w:val="ListParagraph"/>
        <w:numPr>
          <w:ilvl w:val="0"/>
          <w:numId w:val="69"/>
        </w:numPr>
        <w:contextualSpacing/>
      </w:pPr>
      <w:r>
        <w:t>Colon (0x003A)</w:t>
      </w:r>
    </w:p>
    <w:p w:rsidR="005F78FC" w:rsidRDefault="00B42EF3">
      <w:pPr>
        <w:pStyle w:val="ListParagraph"/>
        <w:numPr>
          <w:ilvl w:val="0"/>
          <w:numId w:val="69"/>
        </w:numPr>
        <w:contextualSpacing/>
      </w:pPr>
      <w:r>
        <w:t>Question Mark (0x003F)</w:t>
      </w:r>
    </w:p>
    <w:p w:rsidR="005F78FC" w:rsidRDefault="00B42EF3">
      <w:pPr>
        <w:pStyle w:val="ListParagraph"/>
        <w:numPr>
          <w:ilvl w:val="0"/>
          <w:numId w:val="69"/>
        </w:numPr>
        <w:contextualSpacing/>
      </w:pPr>
      <w:r>
        <w:t>Left Square Bracket (0x005B)</w:t>
      </w:r>
    </w:p>
    <w:p w:rsidR="005F78FC" w:rsidRDefault="00B42EF3">
      <w:pPr>
        <w:pStyle w:val="ListParagraph"/>
        <w:numPr>
          <w:ilvl w:val="0"/>
          <w:numId w:val="69"/>
        </w:numPr>
        <w:contextualSpacing/>
      </w:pPr>
      <w:r>
        <w:t>Reverse Solidus (0x005C)</w:t>
      </w:r>
    </w:p>
    <w:p w:rsidR="005F78FC" w:rsidRDefault="00B42EF3">
      <w:pPr>
        <w:pStyle w:val="ListParagraph"/>
        <w:numPr>
          <w:ilvl w:val="0"/>
          <w:numId w:val="69"/>
        </w:numPr>
      </w:pPr>
      <w:r>
        <w:t>Right Square Bracket (0x005D)802</w:t>
      </w:r>
    </w:p>
    <w:p w:rsidR="005F78FC" w:rsidRDefault="00B42EF3">
      <w:pPr>
        <w:pStyle w:val="Heading3"/>
      </w:pPr>
      <w:bookmarkStart w:id="1604" w:name="section_506e2fc983ba464099f6ef157679b97d"/>
      <w:bookmarkStart w:id="1605" w:name="_Toc69878575"/>
      <w:r>
        <w:t>Part 1 Section 18.10.1.83, rowHierarchyUsage (Row OLAP Hierarchies)</w:t>
      </w:r>
      <w:bookmarkEnd w:id="1604"/>
      <w:bookmarkEnd w:id="1605"/>
      <w:r>
        <w:fldChar w:fldCharType="begin"/>
      </w:r>
      <w:r>
        <w:instrText xml:space="preserve"> XE "rowHierarchyUsage (Row OLAP Hierarchies)" </w:instrText>
      </w:r>
      <w:r>
        <w:fldChar w:fldCharType="end"/>
      </w:r>
    </w:p>
    <w:p w:rsidR="005F78FC" w:rsidRDefault="00B42EF3">
      <w:pPr>
        <w:pStyle w:val="Definition-Field"/>
      </w:pPr>
      <w:r>
        <w:t xml:space="preserve">a.   </w:t>
      </w:r>
      <w:r>
        <w:rPr>
          <w:i/>
        </w:rPr>
        <w:t>The standard does not specify that @hierarchyUsage values cannot be duplicated.</w:t>
      </w:r>
    </w:p>
    <w:p w:rsidR="005F78FC" w:rsidRDefault="00B42EF3">
      <w:pPr>
        <w:pStyle w:val="Definition-Field2"/>
      </w:pPr>
      <w:r>
        <w:t>In Office, @hierarchyUsage values may not be duplicated within a rowHierarchiesUsage.</w:t>
      </w:r>
    </w:p>
    <w:p w:rsidR="005F78FC" w:rsidRDefault="00B42EF3">
      <w:pPr>
        <w:pStyle w:val="Definition-Field"/>
      </w:pPr>
      <w:r>
        <w:t xml:space="preserve">b.   </w:t>
      </w:r>
      <w:r>
        <w:rPr>
          <w:i/>
        </w:rPr>
        <w:t>The standard says hierarchyUsage specifies the reference to an OLAP hierarchy in a Pi</w:t>
      </w:r>
      <w:r>
        <w:rPr>
          <w:i/>
        </w:rPr>
        <w:t>votTable.</w:t>
      </w:r>
    </w:p>
    <w:p w:rsidR="005F78FC" w:rsidRDefault="00B42EF3">
      <w:pPr>
        <w:pStyle w:val="Definition-Field2"/>
      </w:pPr>
      <w:r>
        <w:t>In Office, @hierarchyUsage must be -2 (specifying the data hierarchy) or greater than or equal to 0 and less than the number of pivotHierarchy elements.</w:t>
      </w:r>
    </w:p>
    <w:p w:rsidR="005F78FC" w:rsidRDefault="00B42EF3">
      <w:pPr>
        <w:pStyle w:val="Heading3"/>
      </w:pPr>
      <w:bookmarkStart w:id="1606" w:name="section_666f1692575a4f56a5dd705e766fdf96"/>
      <w:bookmarkStart w:id="1607" w:name="_Toc69878576"/>
      <w:r>
        <w:t>Part 1 Section 18.10.1.85, s (Character Value)</w:t>
      </w:r>
      <w:bookmarkEnd w:id="1606"/>
      <w:bookmarkEnd w:id="1607"/>
      <w:r>
        <w:fldChar w:fldCharType="begin"/>
      </w:r>
      <w:r>
        <w:instrText xml:space="preserve"> XE "s (Character Value)" </w:instrText>
      </w:r>
      <w:r>
        <w:fldChar w:fldCharType="end"/>
      </w:r>
    </w:p>
    <w:p w:rsidR="005F78FC" w:rsidRDefault="00B42EF3">
      <w:pPr>
        <w:pStyle w:val="Definition-Field"/>
      </w:pPr>
      <w:r>
        <w:t xml:space="preserve">a.   </w:t>
      </w:r>
      <w:r>
        <w:rPr>
          <w:i/>
        </w:rPr>
        <w:t xml:space="preserve">The standard </w:t>
      </w:r>
      <w:r>
        <w:rPr>
          <w:i/>
        </w:rPr>
        <w:t>does not specify a default value for the u attribute.</w:t>
      </w:r>
    </w:p>
    <w:p w:rsidR="005F78FC" w:rsidRDefault="00B42EF3">
      <w:pPr>
        <w:pStyle w:val="Definition-Field2"/>
      </w:pPr>
      <w:r>
        <w:lastRenderedPageBreak/>
        <w:t>Excel uses a default value of false for this attribute.</w:t>
      </w:r>
    </w:p>
    <w:p w:rsidR="005F78FC" w:rsidRDefault="00B42EF3">
      <w:pPr>
        <w:pStyle w:val="Definition-Field"/>
      </w:pPr>
      <w:r>
        <w:t xml:space="preserve">b.   </w:t>
      </w:r>
      <w:r>
        <w:rPr>
          <w:i/>
        </w:rPr>
        <w:t>The standard does not specify a default value for the f attribute.</w:t>
      </w:r>
    </w:p>
    <w:p w:rsidR="005F78FC" w:rsidRDefault="00B42EF3">
      <w:pPr>
        <w:pStyle w:val="Definition-Field2"/>
      </w:pPr>
      <w:r>
        <w:t>Excel uses a default value of false for this attribute.</w:t>
      </w:r>
    </w:p>
    <w:p w:rsidR="005F78FC" w:rsidRDefault="00B42EF3">
      <w:pPr>
        <w:pStyle w:val="Definition-Field"/>
      </w:pPr>
      <w:r>
        <w:t xml:space="preserve">c.   </w:t>
      </w:r>
      <w:r>
        <w:rPr>
          <w:i/>
        </w:rPr>
        <w:t xml:space="preserve">The standard </w:t>
      </w:r>
      <w:r>
        <w:rPr>
          <w:i/>
        </w:rPr>
        <w:t>does not limit the length of the value of the c attribute.</w:t>
      </w:r>
    </w:p>
    <w:p w:rsidR="005F78FC" w:rsidRDefault="00B42EF3">
      <w:pPr>
        <w:pStyle w:val="Definition-Field2"/>
      </w:pPr>
      <w:r>
        <w:t>Excel restricts the value of this attribute to be at most 65535 characters.</w:t>
      </w:r>
    </w:p>
    <w:p w:rsidR="005F78FC" w:rsidRDefault="00B42EF3">
      <w:pPr>
        <w:pStyle w:val="Definition-Field"/>
      </w:pPr>
      <w:r>
        <w:t xml:space="preserve">d.   </w:t>
      </w:r>
      <w:r>
        <w:rPr>
          <w:i/>
        </w:rPr>
        <w:t>The standard does not define a relationship between the c attribute and the datasource type.</w:t>
      </w:r>
    </w:p>
    <w:p w:rsidR="005F78FC" w:rsidRDefault="00B42EF3">
      <w:pPr>
        <w:pStyle w:val="Definition-Field2"/>
      </w:pPr>
      <w:r>
        <w:t>In Office, the c attrib</w:t>
      </w:r>
      <w:r>
        <w:t>ute is only used with OLAP-based PivotTables. If the value of pivotCacheDefinition@createdVersion is less than 3, this value shall not be specified.</w:t>
      </w:r>
    </w:p>
    <w:p w:rsidR="005F78FC" w:rsidRDefault="00B42EF3">
      <w:pPr>
        <w:pStyle w:val="Definition-Field"/>
      </w:pPr>
      <w:r>
        <w:t xml:space="preserve">e.   </w:t>
      </w:r>
      <w:r>
        <w:rPr>
          <w:i/>
        </w:rPr>
        <w:t>The standard does not state that @cp is required in certain cases.</w:t>
      </w:r>
    </w:p>
    <w:p w:rsidR="005F78FC" w:rsidRDefault="00B42EF3">
      <w:pPr>
        <w:pStyle w:val="Definition-Field2"/>
      </w:pPr>
      <w:r>
        <w:t>Office requires that @cp shall be e</w:t>
      </w:r>
      <w:r>
        <w:t>qual to the count of child x elements and be less than or equal to the @mappingCount of the corresponding cacheField element.</w:t>
      </w:r>
    </w:p>
    <w:p w:rsidR="005F78FC" w:rsidRDefault="00B42EF3">
      <w:pPr>
        <w:pStyle w:val="Definition-Field"/>
      </w:pPr>
      <w:r>
        <w:t xml:space="preserve">f.   </w:t>
      </w:r>
      <w:r>
        <w:rPr>
          <w:i/>
        </w:rPr>
        <w:t>The standard does not state that the presence of @cp is related to the datasource type.</w:t>
      </w:r>
    </w:p>
    <w:p w:rsidR="005F78FC" w:rsidRDefault="00B42EF3">
      <w:pPr>
        <w:pStyle w:val="Definition-Field2"/>
      </w:pPr>
      <w:r>
        <w:t>In Office, @cp is specific to OLAP-ba</w:t>
      </w:r>
      <w:r>
        <w:t>sed PivotTables.</w:t>
      </w:r>
    </w:p>
    <w:p w:rsidR="005F78FC" w:rsidRDefault="00B42EF3">
      <w:pPr>
        <w:pStyle w:val="Definition-Field"/>
      </w:pPr>
      <w:r>
        <w:t xml:space="preserve">g.   </w:t>
      </w:r>
      <w:r>
        <w:rPr>
          <w:i/>
        </w:rPr>
        <w:t>The standard does not define a relationship between @cp and the parent element of s.</w:t>
      </w:r>
    </w:p>
    <w:p w:rsidR="005F78FC" w:rsidRDefault="00B42EF3">
      <w:pPr>
        <w:pStyle w:val="Definition-Field2"/>
      </w:pPr>
      <w:r>
        <w:t>In Office, @cp applies only when the parent of the s element is of type CT_SharedItems.</w:t>
      </w:r>
    </w:p>
    <w:p w:rsidR="005F78FC" w:rsidRDefault="00B42EF3">
      <w:pPr>
        <w:pStyle w:val="Definition-Field"/>
      </w:pPr>
      <w:r>
        <w:t xml:space="preserve">h.   </w:t>
      </w:r>
      <w:r>
        <w:rPr>
          <w:i/>
        </w:rPr>
        <w:t>The standard does not define a relationship between @f a</w:t>
      </w:r>
      <w:r>
        <w:rPr>
          <w:i/>
        </w:rPr>
        <w:t>nd the parent element of s.</w:t>
      </w:r>
    </w:p>
    <w:p w:rsidR="005F78FC" w:rsidRDefault="00B42EF3">
      <w:pPr>
        <w:pStyle w:val="Definition-Field2"/>
      </w:pPr>
      <w:r>
        <w:t>In Office, @f applies only when the parent of the s element is of type CT_SharedItems.</w:t>
      </w:r>
    </w:p>
    <w:p w:rsidR="005F78FC" w:rsidRDefault="00B42EF3">
      <w:pPr>
        <w:pStyle w:val="Definition-Field"/>
      </w:pPr>
      <w:r>
        <w:t xml:space="preserve">i.   </w:t>
      </w:r>
      <w:r>
        <w:rPr>
          <w:i/>
        </w:rPr>
        <w:t>The standard does not define a relationship between @u and the parent element of s.</w:t>
      </w:r>
    </w:p>
    <w:p w:rsidR="005F78FC" w:rsidRDefault="00B42EF3">
      <w:pPr>
        <w:pStyle w:val="Definition-Field2"/>
      </w:pPr>
      <w:r>
        <w:t xml:space="preserve">In Office, @u applies only when the parent of the s </w:t>
      </w:r>
      <w:r>
        <w:t>element is of type CT_SharedItems.</w:t>
      </w:r>
    </w:p>
    <w:p w:rsidR="005F78FC" w:rsidRDefault="00B42EF3">
      <w:pPr>
        <w:pStyle w:val="Definition-Field"/>
      </w:pPr>
      <w:r>
        <w:t xml:space="preserve">j.   </w:t>
      </w:r>
      <w:r>
        <w:rPr>
          <w:i/>
        </w:rPr>
        <w:t>The standard does not limit the length of the value of the v attribute.</w:t>
      </w:r>
    </w:p>
    <w:p w:rsidR="005F78FC" w:rsidRDefault="00B42EF3">
      <w:pPr>
        <w:pStyle w:val="Definition-Field2"/>
      </w:pPr>
      <w:r>
        <w:t>Excel restricts the value of this attribute to be at most 255 characters when the createdVersion attribute on the pivotCacheDefinition element i</w:t>
      </w:r>
      <w:r>
        <w:t>s less than 3 and 32767 characters otherwise.</w:t>
      </w:r>
    </w:p>
    <w:p w:rsidR="005F78FC" w:rsidRDefault="00B42EF3">
      <w:pPr>
        <w:pStyle w:val="Heading3"/>
      </w:pPr>
      <w:bookmarkStart w:id="1608" w:name="section_19b9ace7dba048ac9112554150c1563a"/>
      <w:bookmarkStart w:id="1609" w:name="_Toc69878577"/>
      <w:r>
        <w:t>Part 1 Section 18.10.1.86, serverFormat (Server Format)</w:t>
      </w:r>
      <w:bookmarkEnd w:id="1608"/>
      <w:bookmarkEnd w:id="1609"/>
      <w:r>
        <w:fldChar w:fldCharType="begin"/>
      </w:r>
      <w:r>
        <w:instrText xml:space="preserve"> XE "serverFormat (Server Format)" </w:instrText>
      </w:r>
      <w:r>
        <w:fldChar w:fldCharType="end"/>
      </w:r>
    </w:p>
    <w:p w:rsidR="005F78FC" w:rsidRDefault="00B42EF3">
      <w:pPr>
        <w:pStyle w:val="Definition-Field"/>
      </w:pPr>
      <w:r>
        <w:t xml:space="preserve">a.   </w:t>
      </w:r>
      <w:r>
        <w:rPr>
          <w:i/>
        </w:rPr>
        <w:t>The standard allows for both culture and format attributes.</w:t>
      </w:r>
    </w:p>
    <w:p w:rsidR="005F78FC" w:rsidRDefault="00B42EF3">
      <w:pPr>
        <w:pStyle w:val="Definition-Field2"/>
      </w:pPr>
      <w:r>
        <w:t>Office allows only one of culture or format attribut</w:t>
      </w:r>
      <w:r>
        <w:t>es.</w:t>
      </w:r>
    </w:p>
    <w:p w:rsidR="005F78FC" w:rsidRDefault="00B42EF3">
      <w:pPr>
        <w:pStyle w:val="Definition-Field"/>
      </w:pPr>
      <w:r>
        <w:t xml:space="preserve">b.   </w:t>
      </w:r>
      <w:r>
        <w:rPr>
          <w:i/>
        </w:rPr>
        <w:t>The standard does not specify a maximum length for the culture attribute.</w:t>
      </w:r>
    </w:p>
    <w:p w:rsidR="005F78FC" w:rsidRDefault="00B42EF3">
      <w:pPr>
        <w:pStyle w:val="Definition-Field2"/>
      </w:pPr>
      <w:r>
        <w:t>Office has a maximum length of 31 for the culture attribute.</w:t>
      </w:r>
    </w:p>
    <w:p w:rsidR="005F78FC" w:rsidRDefault="00B42EF3">
      <w:pPr>
        <w:pStyle w:val="Definition-Field"/>
      </w:pPr>
      <w:r>
        <w:t xml:space="preserve">c.   </w:t>
      </w:r>
      <w:r>
        <w:rPr>
          <w:i/>
        </w:rPr>
        <w:t>The standard defines the format attribute to be an ST_Xstring, with no length limitations.</w:t>
      </w:r>
    </w:p>
    <w:p w:rsidR="005F78FC" w:rsidRDefault="00B42EF3">
      <w:pPr>
        <w:pStyle w:val="Definition-Field2"/>
      </w:pPr>
      <w:r>
        <w:t>Office limits th</w:t>
      </w:r>
      <w:r>
        <w:t>e format attribute to 65535 characters.</w:t>
      </w:r>
    </w:p>
    <w:p w:rsidR="005F78FC" w:rsidRDefault="00B42EF3">
      <w:pPr>
        <w:pStyle w:val="Definition-Field"/>
      </w:pPr>
      <w:r>
        <w:t xml:space="preserve">d.   </w:t>
      </w:r>
      <w:r>
        <w:rPr>
          <w:i/>
        </w:rPr>
        <w:t>The standard does not restrict valid files to those with known language tags.</w:t>
      </w:r>
    </w:p>
    <w:p w:rsidR="005F78FC" w:rsidRDefault="00B42EF3">
      <w:r>
        <w:t xml:space="preserve">Office does not load a file in which this attribute contains a value that it does not recognize, or is not recognized by the </w:t>
      </w:r>
      <w:r>
        <w:t>underlying operating system. Office recognizes the following values:</w:t>
      </w:r>
    </w:p>
    <w:tbl>
      <w:tblPr>
        <w:tblStyle w:val="Table-ShadedHeader"/>
        <w:tblW w:w="0" w:type="auto"/>
        <w:tblLook w:val="04A0" w:firstRow="1" w:lastRow="0" w:firstColumn="1" w:lastColumn="0" w:noHBand="0" w:noVBand="1"/>
      </w:tblPr>
      <w:tblGrid>
        <w:gridCol w:w="3070"/>
        <w:gridCol w:w="2848"/>
        <w:gridCol w:w="1487"/>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lastRenderedPageBreak/>
              <w:t>Language</w:t>
            </w:r>
          </w:p>
        </w:tc>
        <w:tc>
          <w:tcPr>
            <w:tcW w:w="0" w:type="auto"/>
            <w:vAlign w:val="center"/>
          </w:tcPr>
          <w:p w:rsidR="005F78FC" w:rsidRDefault="00B42EF3">
            <w:pPr>
              <w:pStyle w:val="TableHeaderText"/>
            </w:pPr>
            <w:r>
              <w:t>Locale</w:t>
            </w:r>
          </w:p>
        </w:tc>
        <w:tc>
          <w:tcPr>
            <w:tcW w:w="0" w:type="auto"/>
            <w:vAlign w:val="center"/>
          </w:tcPr>
          <w:p w:rsidR="005F78FC" w:rsidRDefault="00B42EF3">
            <w:pPr>
              <w:pStyle w:val="TableHeaderText"/>
            </w:pPr>
            <w:r>
              <w:t>Language Tag</w:t>
            </w:r>
          </w:p>
        </w:tc>
      </w:tr>
      <w:tr w:rsidR="005F78FC" w:rsidTr="005F78FC">
        <w:tc>
          <w:tcPr>
            <w:tcW w:w="0" w:type="auto"/>
            <w:vAlign w:val="center"/>
          </w:tcPr>
          <w:p w:rsidR="005F78FC" w:rsidRDefault="00B42EF3">
            <w:pPr>
              <w:pStyle w:val="TableBodyText"/>
            </w:pPr>
            <w:r>
              <w:t>Africaans</w:t>
            </w:r>
          </w:p>
        </w:tc>
        <w:tc>
          <w:tcPr>
            <w:tcW w:w="0" w:type="auto"/>
            <w:vAlign w:val="center"/>
          </w:tcPr>
          <w:p w:rsidR="005F78FC" w:rsidRDefault="00B42EF3">
            <w:pPr>
              <w:pStyle w:val="TableBodyText"/>
            </w:pPr>
            <w:r>
              <w:t>South Africa</w:t>
            </w:r>
          </w:p>
        </w:tc>
        <w:tc>
          <w:tcPr>
            <w:tcW w:w="0" w:type="auto"/>
            <w:vAlign w:val="center"/>
          </w:tcPr>
          <w:p w:rsidR="005F78FC" w:rsidRDefault="00B42EF3">
            <w:pPr>
              <w:pStyle w:val="TableBodyText"/>
            </w:pPr>
            <w:r>
              <w:t>af-ZA</w:t>
            </w:r>
          </w:p>
        </w:tc>
      </w:tr>
      <w:tr w:rsidR="005F78FC" w:rsidTr="005F78FC">
        <w:tc>
          <w:tcPr>
            <w:tcW w:w="0" w:type="auto"/>
            <w:vAlign w:val="center"/>
          </w:tcPr>
          <w:p w:rsidR="005F78FC" w:rsidRDefault="00B42EF3">
            <w:pPr>
              <w:pStyle w:val="TableBodyText"/>
            </w:pPr>
            <w:r>
              <w:t>Albanian</w:t>
            </w:r>
          </w:p>
        </w:tc>
        <w:tc>
          <w:tcPr>
            <w:tcW w:w="0" w:type="auto"/>
            <w:vAlign w:val="center"/>
          </w:tcPr>
          <w:p w:rsidR="005F78FC" w:rsidRDefault="00B42EF3">
            <w:pPr>
              <w:pStyle w:val="TableBodyText"/>
            </w:pPr>
            <w:r>
              <w:t>Albanian</w:t>
            </w:r>
          </w:p>
        </w:tc>
        <w:tc>
          <w:tcPr>
            <w:tcW w:w="0" w:type="auto"/>
            <w:vAlign w:val="center"/>
          </w:tcPr>
          <w:p w:rsidR="005F78FC" w:rsidRDefault="00B42EF3">
            <w:pPr>
              <w:pStyle w:val="TableBodyText"/>
            </w:pPr>
            <w:r>
              <w:t>sq-AL</w:t>
            </w:r>
          </w:p>
        </w:tc>
      </w:tr>
      <w:tr w:rsidR="005F78FC" w:rsidTr="005F78FC">
        <w:tc>
          <w:tcPr>
            <w:tcW w:w="0" w:type="auto"/>
            <w:vAlign w:val="center"/>
          </w:tcPr>
          <w:p w:rsidR="005F78FC" w:rsidRDefault="00B42EF3">
            <w:pPr>
              <w:pStyle w:val="TableBodyText"/>
            </w:pPr>
            <w:r>
              <w:t>Alsatian</w:t>
            </w:r>
          </w:p>
        </w:tc>
        <w:tc>
          <w:tcPr>
            <w:tcW w:w="0" w:type="auto"/>
            <w:vAlign w:val="center"/>
          </w:tcPr>
          <w:p w:rsidR="005F78FC" w:rsidRDefault="00B42EF3">
            <w:pPr>
              <w:pStyle w:val="TableBodyText"/>
            </w:pPr>
            <w:r>
              <w:t>France</w:t>
            </w:r>
          </w:p>
        </w:tc>
        <w:tc>
          <w:tcPr>
            <w:tcW w:w="0" w:type="auto"/>
            <w:vAlign w:val="center"/>
          </w:tcPr>
          <w:p w:rsidR="005F78FC" w:rsidRDefault="00B42EF3">
            <w:pPr>
              <w:pStyle w:val="TableBodyText"/>
            </w:pPr>
            <w:r>
              <w:t>gsw-FR</w:t>
            </w:r>
          </w:p>
        </w:tc>
      </w:tr>
      <w:tr w:rsidR="005F78FC" w:rsidTr="005F78FC">
        <w:tc>
          <w:tcPr>
            <w:tcW w:w="0" w:type="auto"/>
            <w:vAlign w:val="center"/>
          </w:tcPr>
          <w:p w:rsidR="005F78FC" w:rsidRDefault="00B42EF3">
            <w:pPr>
              <w:pStyle w:val="TableBodyText"/>
            </w:pPr>
            <w:r>
              <w:t>Amharic</w:t>
            </w:r>
          </w:p>
        </w:tc>
        <w:tc>
          <w:tcPr>
            <w:tcW w:w="0" w:type="auto"/>
            <w:vAlign w:val="center"/>
          </w:tcPr>
          <w:p w:rsidR="005F78FC" w:rsidRDefault="00B42EF3">
            <w:pPr>
              <w:pStyle w:val="TableBodyText"/>
            </w:pPr>
            <w:r>
              <w:t>Ethiopia</w:t>
            </w:r>
          </w:p>
        </w:tc>
        <w:tc>
          <w:tcPr>
            <w:tcW w:w="0" w:type="auto"/>
            <w:vAlign w:val="center"/>
          </w:tcPr>
          <w:p w:rsidR="005F78FC" w:rsidRDefault="00B42EF3">
            <w:pPr>
              <w:pStyle w:val="TableBodyText"/>
            </w:pPr>
            <w:r>
              <w:t>am-ET</w:t>
            </w:r>
          </w:p>
        </w:tc>
      </w:tr>
      <w:tr w:rsidR="005F78FC" w:rsidTr="005F78FC">
        <w:tc>
          <w:tcPr>
            <w:tcW w:w="0" w:type="auto"/>
            <w:vAlign w:val="center"/>
          </w:tcPr>
          <w:p w:rsidR="005F78FC" w:rsidRDefault="00B42EF3">
            <w:pPr>
              <w:pStyle w:val="TableBodyText"/>
            </w:pPr>
            <w:r>
              <w:t>Arabic</w:t>
            </w:r>
          </w:p>
        </w:tc>
        <w:tc>
          <w:tcPr>
            <w:tcW w:w="0" w:type="auto"/>
            <w:vAlign w:val="center"/>
          </w:tcPr>
          <w:p w:rsidR="005F78FC" w:rsidRDefault="00B42EF3">
            <w:pPr>
              <w:pStyle w:val="TableBodyText"/>
            </w:pPr>
            <w:r>
              <w:t>Algeria</w:t>
            </w:r>
          </w:p>
        </w:tc>
        <w:tc>
          <w:tcPr>
            <w:tcW w:w="0" w:type="auto"/>
            <w:vAlign w:val="center"/>
          </w:tcPr>
          <w:p w:rsidR="005F78FC" w:rsidRDefault="00B42EF3">
            <w:pPr>
              <w:pStyle w:val="TableBodyText"/>
            </w:pPr>
            <w:r>
              <w:t>ar-DZ</w:t>
            </w:r>
          </w:p>
        </w:tc>
      </w:tr>
      <w:tr w:rsidR="005F78FC" w:rsidTr="005F78FC">
        <w:tc>
          <w:tcPr>
            <w:tcW w:w="0" w:type="auto"/>
            <w:vAlign w:val="center"/>
          </w:tcPr>
          <w:p w:rsidR="005F78FC" w:rsidRDefault="00B42EF3">
            <w:pPr>
              <w:pStyle w:val="TableBodyText"/>
            </w:pPr>
            <w:r>
              <w:t>Arabic</w:t>
            </w:r>
          </w:p>
        </w:tc>
        <w:tc>
          <w:tcPr>
            <w:tcW w:w="0" w:type="auto"/>
            <w:vAlign w:val="center"/>
          </w:tcPr>
          <w:p w:rsidR="005F78FC" w:rsidRDefault="00B42EF3">
            <w:pPr>
              <w:pStyle w:val="TableBodyText"/>
            </w:pPr>
            <w:r>
              <w:t>Bahrain</w:t>
            </w:r>
          </w:p>
        </w:tc>
        <w:tc>
          <w:tcPr>
            <w:tcW w:w="0" w:type="auto"/>
            <w:vAlign w:val="center"/>
          </w:tcPr>
          <w:p w:rsidR="005F78FC" w:rsidRDefault="00B42EF3">
            <w:pPr>
              <w:pStyle w:val="TableBodyText"/>
            </w:pPr>
            <w:r>
              <w:t>ar-BH</w:t>
            </w:r>
          </w:p>
        </w:tc>
      </w:tr>
      <w:tr w:rsidR="005F78FC" w:rsidTr="005F78FC">
        <w:tc>
          <w:tcPr>
            <w:tcW w:w="0" w:type="auto"/>
            <w:vAlign w:val="center"/>
          </w:tcPr>
          <w:p w:rsidR="005F78FC" w:rsidRDefault="00B42EF3">
            <w:pPr>
              <w:pStyle w:val="TableBodyText"/>
            </w:pPr>
            <w:r>
              <w:t>Arabic</w:t>
            </w:r>
          </w:p>
        </w:tc>
        <w:tc>
          <w:tcPr>
            <w:tcW w:w="0" w:type="auto"/>
            <w:vAlign w:val="center"/>
          </w:tcPr>
          <w:p w:rsidR="005F78FC" w:rsidRDefault="00B42EF3">
            <w:pPr>
              <w:pStyle w:val="TableBodyText"/>
            </w:pPr>
            <w:r>
              <w:t>Egypt</w:t>
            </w:r>
          </w:p>
        </w:tc>
        <w:tc>
          <w:tcPr>
            <w:tcW w:w="0" w:type="auto"/>
            <w:vAlign w:val="center"/>
          </w:tcPr>
          <w:p w:rsidR="005F78FC" w:rsidRDefault="00B42EF3">
            <w:pPr>
              <w:pStyle w:val="TableBodyText"/>
            </w:pPr>
            <w:r>
              <w:t>ar-EG</w:t>
            </w:r>
          </w:p>
        </w:tc>
      </w:tr>
      <w:tr w:rsidR="005F78FC" w:rsidTr="005F78FC">
        <w:tc>
          <w:tcPr>
            <w:tcW w:w="0" w:type="auto"/>
            <w:vAlign w:val="center"/>
          </w:tcPr>
          <w:p w:rsidR="005F78FC" w:rsidRDefault="00B42EF3">
            <w:pPr>
              <w:pStyle w:val="TableBodyText"/>
            </w:pPr>
            <w:r>
              <w:t>Arabic</w:t>
            </w:r>
          </w:p>
        </w:tc>
        <w:tc>
          <w:tcPr>
            <w:tcW w:w="0" w:type="auto"/>
            <w:vAlign w:val="center"/>
          </w:tcPr>
          <w:p w:rsidR="005F78FC" w:rsidRDefault="00B42EF3">
            <w:pPr>
              <w:pStyle w:val="TableBodyText"/>
            </w:pPr>
            <w:r>
              <w:t>Iraq</w:t>
            </w:r>
          </w:p>
        </w:tc>
        <w:tc>
          <w:tcPr>
            <w:tcW w:w="0" w:type="auto"/>
            <w:vAlign w:val="center"/>
          </w:tcPr>
          <w:p w:rsidR="005F78FC" w:rsidRDefault="00B42EF3">
            <w:pPr>
              <w:pStyle w:val="TableBodyText"/>
            </w:pPr>
            <w:r>
              <w:t>ar-IQ</w:t>
            </w:r>
          </w:p>
        </w:tc>
      </w:tr>
      <w:tr w:rsidR="005F78FC" w:rsidTr="005F78FC">
        <w:tc>
          <w:tcPr>
            <w:tcW w:w="0" w:type="auto"/>
            <w:vAlign w:val="center"/>
          </w:tcPr>
          <w:p w:rsidR="005F78FC" w:rsidRDefault="00B42EF3">
            <w:pPr>
              <w:pStyle w:val="TableBodyText"/>
            </w:pPr>
            <w:r>
              <w:t>Arabic</w:t>
            </w:r>
          </w:p>
        </w:tc>
        <w:tc>
          <w:tcPr>
            <w:tcW w:w="0" w:type="auto"/>
            <w:vAlign w:val="center"/>
          </w:tcPr>
          <w:p w:rsidR="005F78FC" w:rsidRDefault="00B42EF3">
            <w:pPr>
              <w:pStyle w:val="TableBodyText"/>
            </w:pPr>
            <w:r>
              <w:t>Jordan</w:t>
            </w:r>
          </w:p>
        </w:tc>
        <w:tc>
          <w:tcPr>
            <w:tcW w:w="0" w:type="auto"/>
            <w:vAlign w:val="center"/>
          </w:tcPr>
          <w:p w:rsidR="005F78FC" w:rsidRDefault="00B42EF3">
            <w:pPr>
              <w:pStyle w:val="TableBodyText"/>
            </w:pPr>
            <w:r>
              <w:t>ar-JO</w:t>
            </w:r>
          </w:p>
        </w:tc>
      </w:tr>
      <w:tr w:rsidR="005F78FC" w:rsidTr="005F78FC">
        <w:tc>
          <w:tcPr>
            <w:tcW w:w="0" w:type="auto"/>
            <w:vAlign w:val="center"/>
          </w:tcPr>
          <w:p w:rsidR="005F78FC" w:rsidRDefault="00B42EF3">
            <w:pPr>
              <w:pStyle w:val="TableBodyText"/>
            </w:pPr>
            <w:r>
              <w:t>Arabic</w:t>
            </w:r>
          </w:p>
        </w:tc>
        <w:tc>
          <w:tcPr>
            <w:tcW w:w="0" w:type="auto"/>
            <w:vAlign w:val="center"/>
          </w:tcPr>
          <w:p w:rsidR="005F78FC" w:rsidRDefault="00B42EF3">
            <w:pPr>
              <w:pStyle w:val="TableBodyText"/>
            </w:pPr>
            <w:r>
              <w:t>Kuwait</w:t>
            </w:r>
          </w:p>
        </w:tc>
        <w:tc>
          <w:tcPr>
            <w:tcW w:w="0" w:type="auto"/>
            <w:vAlign w:val="center"/>
          </w:tcPr>
          <w:p w:rsidR="005F78FC" w:rsidRDefault="00B42EF3">
            <w:pPr>
              <w:pStyle w:val="TableBodyText"/>
            </w:pPr>
            <w:r>
              <w:t>ar-KW</w:t>
            </w:r>
          </w:p>
        </w:tc>
      </w:tr>
      <w:tr w:rsidR="005F78FC" w:rsidTr="005F78FC">
        <w:tc>
          <w:tcPr>
            <w:tcW w:w="0" w:type="auto"/>
            <w:vAlign w:val="center"/>
          </w:tcPr>
          <w:p w:rsidR="005F78FC" w:rsidRDefault="00B42EF3">
            <w:pPr>
              <w:pStyle w:val="TableBodyText"/>
            </w:pPr>
            <w:r>
              <w:t>Arabic</w:t>
            </w:r>
          </w:p>
        </w:tc>
        <w:tc>
          <w:tcPr>
            <w:tcW w:w="0" w:type="auto"/>
            <w:vAlign w:val="center"/>
          </w:tcPr>
          <w:p w:rsidR="005F78FC" w:rsidRDefault="00B42EF3">
            <w:pPr>
              <w:pStyle w:val="TableBodyText"/>
            </w:pPr>
            <w:r>
              <w:t>Lebanon</w:t>
            </w:r>
          </w:p>
        </w:tc>
        <w:tc>
          <w:tcPr>
            <w:tcW w:w="0" w:type="auto"/>
            <w:vAlign w:val="center"/>
          </w:tcPr>
          <w:p w:rsidR="005F78FC" w:rsidRDefault="00B42EF3">
            <w:pPr>
              <w:pStyle w:val="TableBodyText"/>
            </w:pPr>
            <w:r>
              <w:t>ar-LB</w:t>
            </w:r>
          </w:p>
        </w:tc>
      </w:tr>
      <w:tr w:rsidR="005F78FC" w:rsidTr="005F78FC">
        <w:tc>
          <w:tcPr>
            <w:tcW w:w="0" w:type="auto"/>
            <w:vAlign w:val="center"/>
          </w:tcPr>
          <w:p w:rsidR="005F78FC" w:rsidRDefault="00B42EF3">
            <w:pPr>
              <w:pStyle w:val="TableBodyText"/>
            </w:pPr>
            <w:r>
              <w:t>Arabic</w:t>
            </w:r>
          </w:p>
        </w:tc>
        <w:tc>
          <w:tcPr>
            <w:tcW w:w="0" w:type="auto"/>
            <w:vAlign w:val="center"/>
          </w:tcPr>
          <w:p w:rsidR="005F78FC" w:rsidRDefault="00B42EF3">
            <w:pPr>
              <w:pStyle w:val="TableBodyText"/>
            </w:pPr>
            <w:r>
              <w:t>Libya</w:t>
            </w:r>
          </w:p>
        </w:tc>
        <w:tc>
          <w:tcPr>
            <w:tcW w:w="0" w:type="auto"/>
            <w:vAlign w:val="center"/>
          </w:tcPr>
          <w:p w:rsidR="005F78FC" w:rsidRDefault="00B42EF3">
            <w:pPr>
              <w:pStyle w:val="TableBodyText"/>
            </w:pPr>
            <w:r>
              <w:t>ar-LY</w:t>
            </w:r>
          </w:p>
        </w:tc>
      </w:tr>
      <w:tr w:rsidR="005F78FC" w:rsidTr="005F78FC">
        <w:tc>
          <w:tcPr>
            <w:tcW w:w="0" w:type="auto"/>
            <w:vAlign w:val="center"/>
          </w:tcPr>
          <w:p w:rsidR="005F78FC" w:rsidRDefault="00B42EF3">
            <w:pPr>
              <w:pStyle w:val="TableBodyText"/>
            </w:pPr>
            <w:r>
              <w:t>Arabic</w:t>
            </w:r>
          </w:p>
        </w:tc>
        <w:tc>
          <w:tcPr>
            <w:tcW w:w="0" w:type="auto"/>
            <w:vAlign w:val="center"/>
          </w:tcPr>
          <w:p w:rsidR="005F78FC" w:rsidRDefault="00B42EF3">
            <w:pPr>
              <w:pStyle w:val="TableBodyText"/>
            </w:pPr>
            <w:r>
              <w:t>Morocco</w:t>
            </w:r>
          </w:p>
        </w:tc>
        <w:tc>
          <w:tcPr>
            <w:tcW w:w="0" w:type="auto"/>
            <w:vAlign w:val="center"/>
          </w:tcPr>
          <w:p w:rsidR="005F78FC" w:rsidRDefault="00B42EF3">
            <w:pPr>
              <w:pStyle w:val="TableBodyText"/>
            </w:pPr>
            <w:r>
              <w:t>ar-MA</w:t>
            </w:r>
          </w:p>
        </w:tc>
      </w:tr>
      <w:tr w:rsidR="005F78FC" w:rsidTr="005F78FC">
        <w:tc>
          <w:tcPr>
            <w:tcW w:w="0" w:type="auto"/>
            <w:vAlign w:val="center"/>
          </w:tcPr>
          <w:p w:rsidR="005F78FC" w:rsidRDefault="00B42EF3">
            <w:pPr>
              <w:pStyle w:val="TableBodyText"/>
            </w:pPr>
            <w:r>
              <w:t>Arabic</w:t>
            </w:r>
          </w:p>
        </w:tc>
        <w:tc>
          <w:tcPr>
            <w:tcW w:w="0" w:type="auto"/>
            <w:vAlign w:val="center"/>
          </w:tcPr>
          <w:p w:rsidR="005F78FC" w:rsidRDefault="00B42EF3">
            <w:pPr>
              <w:pStyle w:val="TableBodyText"/>
            </w:pPr>
            <w:r>
              <w:t>Oman</w:t>
            </w:r>
          </w:p>
        </w:tc>
        <w:tc>
          <w:tcPr>
            <w:tcW w:w="0" w:type="auto"/>
            <w:vAlign w:val="center"/>
          </w:tcPr>
          <w:p w:rsidR="005F78FC" w:rsidRDefault="00B42EF3">
            <w:pPr>
              <w:pStyle w:val="TableBodyText"/>
            </w:pPr>
            <w:r>
              <w:t>ar-OM</w:t>
            </w:r>
          </w:p>
        </w:tc>
      </w:tr>
      <w:tr w:rsidR="005F78FC" w:rsidTr="005F78FC">
        <w:tc>
          <w:tcPr>
            <w:tcW w:w="0" w:type="auto"/>
            <w:vAlign w:val="center"/>
          </w:tcPr>
          <w:p w:rsidR="005F78FC" w:rsidRDefault="00B42EF3">
            <w:pPr>
              <w:pStyle w:val="TableBodyText"/>
            </w:pPr>
            <w:r>
              <w:t>Arabic</w:t>
            </w:r>
          </w:p>
        </w:tc>
        <w:tc>
          <w:tcPr>
            <w:tcW w:w="0" w:type="auto"/>
            <w:vAlign w:val="center"/>
          </w:tcPr>
          <w:p w:rsidR="005F78FC" w:rsidRDefault="00B42EF3">
            <w:pPr>
              <w:pStyle w:val="TableBodyText"/>
            </w:pPr>
            <w:r>
              <w:t>Qatar</w:t>
            </w:r>
          </w:p>
        </w:tc>
        <w:tc>
          <w:tcPr>
            <w:tcW w:w="0" w:type="auto"/>
            <w:vAlign w:val="center"/>
          </w:tcPr>
          <w:p w:rsidR="005F78FC" w:rsidRDefault="00B42EF3">
            <w:pPr>
              <w:pStyle w:val="TableBodyText"/>
            </w:pPr>
            <w:r>
              <w:t>ar-QA</w:t>
            </w:r>
          </w:p>
        </w:tc>
      </w:tr>
      <w:tr w:rsidR="005F78FC" w:rsidTr="005F78FC">
        <w:tc>
          <w:tcPr>
            <w:tcW w:w="0" w:type="auto"/>
            <w:vAlign w:val="center"/>
          </w:tcPr>
          <w:p w:rsidR="005F78FC" w:rsidRDefault="00B42EF3">
            <w:pPr>
              <w:pStyle w:val="TableBodyText"/>
            </w:pPr>
            <w:r>
              <w:t>Arabic</w:t>
            </w:r>
          </w:p>
        </w:tc>
        <w:tc>
          <w:tcPr>
            <w:tcW w:w="0" w:type="auto"/>
            <w:vAlign w:val="center"/>
          </w:tcPr>
          <w:p w:rsidR="005F78FC" w:rsidRDefault="00B42EF3">
            <w:pPr>
              <w:pStyle w:val="TableBodyText"/>
            </w:pPr>
            <w:r>
              <w:t>Saudi Arabia</w:t>
            </w:r>
          </w:p>
        </w:tc>
        <w:tc>
          <w:tcPr>
            <w:tcW w:w="0" w:type="auto"/>
            <w:vAlign w:val="center"/>
          </w:tcPr>
          <w:p w:rsidR="005F78FC" w:rsidRDefault="00B42EF3">
            <w:pPr>
              <w:pStyle w:val="TableBodyText"/>
            </w:pPr>
            <w:r>
              <w:t>ar-SA</w:t>
            </w:r>
          </w:p>
        </w:tc>
      </w:tr>
      <w:tr w:rsidR="005F78FC" w:rsidTr="005F78FC">
        <w:tc>
          <w:tcPr>
            <w:tcW w:w="0" w:type="auto"/>
            <w:vAlign w:val="center"/>
          </w:tcPr>
          <w:p w:rsidR="005F78FC" w:rsidRDefault="00B42EF3">
            <w:pPr>
              <w:pStyle w:val="TableBodyText"/>
            </w:pPr>
            <w:r>
              <w:t>Arabic</w:t>
            </w:r>
          </w:p>
        </w:tc>
        <w:tc>
          <w:tcPr>
            <w:tcW w:w="0" w:type="auto"/>
            <w:vAlign w:val="center"/>
          </w:tcPr>
          <w:p w:rsidR="005F78FC" w:rsidRDefault="00B42EF3">
            <w:pPr>
              <w:pStyle w:val="TableBodyText"/>
            </w:pPr>
            <w:r>
              <w:t>Syria</w:t>
            </w:r>
          </w:p>
        </w:tc>
        <w:tc>
          <w:tcPr>
            <w:tcW w:w="0" w:type="auto"/>
            <w:vAlign w:val="center"/>
          </w:tcPr>
          <w:p w:rsidR="005F78FC" w:rsidRDefault="00B42EF3">
            <w:pPr>
              <w:pStyle w:val="TableBodyText"/>
            </w:pPr>
            <w:r>
              <w:t>ar-SY</w:t>
            </w:r>
          </w:p>
        </w:tc>
      </w:tr>
      <w:tr w:rsidR="005F78FC" w:rsidTr="005F78FC">
        <w:tc>
          <w:tcPr>
            <w:tcW w:w="0" w:type="auto"/>
            <w:vAlign w:val="center"/>
          </w:tcPr>
          <w:p w:rsidR="005F78FC" w:rsidRDefault="00B42EF3">
            <w:pPr>
              <w:pStyle w:val="TableBodyText"/>
            </w:pPr>
            <w:r>
              <w:t>Arabic</w:t>
            </w:r>
          </w:p>
        </w:tc>
        <w:tc>
          <w:tcPr>
            <w:tcW w:w="0" w:type="auto"/>
            <w:vAlign w:val="center"/>
          </w:tcPr>
          <w:p w:rsidR="005F78FC" w:rsidRDefault="00B42EF3">
            <w:pPr>
              <w:pStyle w:val="TableBodyText"/>
            </w:pPr>
            <w:r>
              <w:t>Tunisia</w:t>
            </w:r>
          </w:p>
        </w:tc>
        <w:tc>
          <w:tcPr>
            <w:tcW w:w="0" w:type="auto"/>
            <w:vAlign w:val="center"/>
          </w:tcPr>
          <w:p w:rsidR="005F78FC" w:rsidRDefault="00B42EF3">
            <w:pPr>
              <w:pStyle w:val="TableBodyText"/>
            </w:pPr>
            <w:r>
              <w:t>ar-TN</w:t>
            </w:r>
          </w:p>
        </w:tc>
      </w:tr>
      <w:tr w:rsidR="005F78FC" w:rsidTr="005F78FC">
        <w:tc>
          <w:tcPr>
            <w:tcW w:w="0" w:type="auto"/>
            <w:vAlign w:val="center"/>
          </w:tcPr>
          <w:p w:rsidR="005F78FC" w:rsidRDefault="00B42EF3">
            <w:pPr>
              <w:pStyle w:val="TableBodyText"/>
            </w:pPr>
            <w:r>
              <w:t>Arabic</w:t>
            </w:r>
          </w:p>
        </w:tc>
        <w:tc>
          <w:tcPr>
            <w:tcW w:w="0" w:type="auto"/>
            <w:vAlign w:val="center"/>
          </w:tcPr>
          <w:p w:rsidR="005F78FC" w:rsidRDefault="00B42EF3">
            <w:pPr>
              <w:pStyle w:val="TableBodyText"/>
            </w:pPr>
            <w:r>
              <w:t>U.A.E.</w:t>
            </w:r>
          </w:p>
        </w:tc>
        <w:tc>
          <w:tcPr>
            <w:tcW w:w="0" w:type="auto"/>
            <w:vAlign w:val="center"/>
          </w:tcPr>
          <w:p w:rsidR="005F78FC" w:rsidRDefault="00B42EF3">
            <w:pPr>
              <w:pStyle w:val="TableBodyText"/>
            </w:pPr>
            <w:r>
              <w:t>ar-AE</w:t>
            </w:r>
          </w:p>
        </w:tc>
      </w:tr>
      <w:tr w:rsidR="005F78FC" w:rsidTr="005F78FC">
        <w:tc>
          <w:tcPr>
            <w:tcW w:w="0" w:type="auto"/>
            <w:vAlign w:val="center"/>
          </w:tcPr>
          <w:p w:rsidR="005F78FC" w:rsidRDefault="00B42EF3">
            <w:pPr>
              <w:pStyle w:val="TableBodyText"/>
            </w:pPr>
            <w:r>
              <w:t>Arabic</w:t>
            </w:r>
          </w:p>
        </w:tc>
        <w:tc>
          <w:tcPr>
            <w:tcW w:w="0" w:type="auto"/>
            <w:vAlign w:val="center"/>
          </w:tcPr>
          <w:p w:rsidR="005F78FC" w:rsidRDefault="00B42EF3">
            <w:pPr>
              <w:pStyle w:val="TableBodyText"/>
            </w:pPr>
            <w:r>
              <w:t>Yemen</w:t>
            </w:r>
          </w:p>
        </w:tc>
        <w:tc>
          <w:tcPr>
            <w:tcW w:w="0" w:type="auto"/>
            <w:vAlign w:val="center"/>
          </w:tcPr>
          <w:p w:rsidR="005F78FC" w:rsidRDefault="00B42EF3">
            <w:pPr>
              <w:pStyle w:val="TableBodyText"/>
            </w:pPr>
            <w:r>
              <w:t>ar-YE</w:t>
            </w:r>
          </w:p>
        </w:tc>
      </w:tr>
      <w:tr w:rsidR="005F78FC" w:rsidTr="005F78FC">
        <w:tc>
          <w:tcPr>
            <w:tcW w:w="0" w:type="auto"/>
            <w:vAlign w:val="center"/>
          </w:tcPr>
          <w:p w:rsidR="005F78FC" w:rsidRDefault="00B42EF3">
            <w:pPr>
              <w:pStyle w:val="TableBodyText"/>
            </w:pPr>
            <w:r>
              <w:t>Armenian</w:t>
            </w:r>
          </w:p>
        </w:tc>
        <w:tc>
          <w:tcPr>
            <w:tcW w:w="0" w:type="auto"/>
            <w:vAlign w:val="center"/>
          </w:tcPr>
          <w:p w:rsidR="005F78FC" w:rsidRDefault="00B42EF3">
            <w:pPr>
              <w:pStyle w:val="TableBodyText"/>
            </w:pPr>
            <w:r>
              <w:t>Armenia</w:t>
            </w:r>
          </w:p>
        </w:tc>
        <w:tc>
          <w:tcPr>
            <w:tcW w:w="0" w:type="auto"/>
            <w:vAlign w:val="center"/>
          </w:tcPr>
          <w:p w:rsidR="005F78FC" w:rsidRDefault="00B42EF3">
            <w:pPr>
              <w:pStyle w:val="TableBodyText"/>
            </w:pPr>
            <w:r>
              <w:t>hy-AM</w:t>
            </w:r>
          </w:p>
        </w:tc>
      </w:tr>
      <w:tr w:rsidR="005F78FC" w:rsidTr="005F78FC">
        <w:tc>
          <w:tcPr>
            <w:tcW w:w="0" w:type="auto"/>
            <w:vAlign w:val="center"/>
          </w:tcPr>
          <w:p w:rsidR="005F78FC" w:rsidRDefault="00B42EF3">
            <w:pPr>
              <w:pStyle w:val="TableBodyText"/>
            </w:pPr>
            <w:r>
              <w:t>Assamese</w:t>
            </w:r>
          </w:p>
        </w:tc>
        <w:tc>
          <w:tcPr>
            <w:tcW w:w="0" w:type="auto"/>
            <w:vAlign w:val="center"/>
          </w:tcPr>
          <w:p w:rsidR="005F78FC" w:rsidRDefault="00B42EF3">
            <w:pPr>
              <w:pStyle w:val="TableBodyText"/>
            </w:pPr>
            <w:r>
              <w:t>India</w:t>
            </w:r>
          </w:p>
        </w:tc>
        <w:tc>
          <w:tcPr>
            <w:tcW w:w="0" w:type="auto"/>
            <w:vAlign w:val="center"/>
          </w:tcPr>
          <w:p w:rsidR="005F78FC" w:rsidRDefault="00B42EF3">
            <w:pPr>
              <w:pStyle w:val="TableBodyText"/>
            </w:pPr>
            <w:r>
              <w:t>as-IN</w:t>
            </w:r>
          </w:p>
        </w:tc>
      </w:tr>
      <w:tr w:rsidR="005F78FC" w:rsidTr="005F78FC">
        <w:tc>
          <w:tcPr>
            <w:tcW w:w="0" w:type="auto"/>
            <w:vAlign w:val="center"/>
          </w:tcPr>
          <w:p w:rsidR="005F78FC" w:rsidRDefault="00B42EF3">
            <w:pPr>
              <w:pStyle w:val="TableBodyText"/>
            </w:pPr>
            <w:r>
              <w:t>Azerbaijani (Cyrillic)</w:t>
            </w:r>
          </w:p>
        </w:tc>
        <w:tc>
          <w:tcPr>
            <w:tcW w:w="0" w:type="auto"/>
            <w:vAlign w:val="center"/>
          </w:tcPr>
          <w:p w:rsidR="005F78FC" w:rsidRDefault="00B42EF3">
            <w:pPr>
              <w:pStyle w:val="TableBodyText"/>
            </w:pPr>
            <w:r>
              <w:t>Azerbaijan</w:t>
            </w:r>
          </w:p>
        </w:tc>
        <w:tc>
          <w:tcPr>
            <w:tcW w:w="0" w:type="auto"/>
            <w:vAlign w:val="center"/>
          </w:tcPr>
          <w:p w:rsidR="005F78FC" w:rsidRDefault="00B42EF3">
            <w:pPr>
              <w:pStyle w:val="TableBodyText"/>
            </w:pPr>
            <w:r>
              <w:t>az-AZ-Cyrl</w:t>
            </w:r>
          </w:p>
        </w:tc>
      </w:tr>
      <w:tr w:rsidR="005F78FC" w:rsidTr="005F78FC">
        <w:tc>
          <w:tcPr>
            <w:tcW w:w="0" w:type="auto"/>
            <w:vAlign w:val="center"/>
          </w:tcPr>
          <w:p w:rsidR="005F78FC" w:rsidRDefault="00B42EF3">
            <w:pPr>
              <w:pStyle w:val="TableBodyText"/>
            </w:pPr>
            <w:r>
              <w:t>Azerbaijani (Latin)</w:t>
            </w:r>
          </w:p>
        </w:tc>
        <w:tc>
          <w:tcPr>
            <w:tcW w:w="0" w:type="auto"/>
            <w:vAlign w:val="center"/>
          </w:tcPr>
          <w:p w:rsidR="005F78FC" w:rsidRDefault="00B42EF3">
            <w:pPr>
              <w:pStyle w:val="TableBodyText"/>
            </w:pPr>
            <w:r>
              <w:t>Azerbaijan</w:t>
            </w:r>
          </w:p>
        </w:tc>
        <w:tc>
          <w:tcPr>
            <w:tcW w:w="0" w:type="auto"/>
            <w:vAlign w:val="center"/>
          </w:tcPr>
          <w:p w:rsidR="005F78FC" w:rsidRDefault="00B42EF3">
            <w:pPr>
              <w:pStyle w:val="TableBodyText"/>
            </w:pPr>
            <w:r>
              <w:t>az-AZ-Latn</w:t>
            </w:r>
          </w:p>
        </w:tc>
      </w:tr>
      <w:tr w:rsidR="005F78FC" w:rsidTr="005F78FC">
        <w:tc>
          <w:tcPr>
            <w:tcW w:w="0" w:type="auto"/>
            <w:vAlign w:val="center"/>
          </w:tcPr>
          <w:p w:rsidR="005F78FC" w:rsidRDefault="00B42EF3">
            <w:pPr>
              <w:pStyle w:val="TableBodyText"/>
            </w:pPr>
            <w:r>
              <w:t>Bangla</w:t>
            </w:r>
          </w:p>
        </w:tc>
        <w:tc>
          <w:tcPr>
            <w:tcW w:w="0" w:type="auto"/>
            <w:vAlign w:val="center"/>
          </w:tcPr>
          <w:p w:rsidR="005F78FC" w:rsidRDefault="00B42EF3">
            <w:pPr>
              <w:pStyle w:val="TableBodyText"/>
            </w:pPr>
            <w:r>
              <w:t>Bangladesh</w:t>
            </w:r>
          </w:p>
        </w:tc>
        <w:tc>
          <w:tcPr>
            <w:tcW w:w="0" w:type="auto"/>
            <w:vAlign w:val="center"/>
          </w:tcPr>
          <w:p w:rsidR="005F78FC" w:rsidRDefault="00B42EF3">
            <w:pPr>
              <w:pStyle w:val="TableBodyText"/>
            </w:pPr>
            <w:r>
              <w:t xml:space="preserve">bn-BD </w:t>
            </w:r>
          </w:p>
        </w:tc>
      </w:tr>
      <w:tr w:rsidR="005F78FC" w:rsidTr="005F78FC">
        <w:tc>
          <w:tcPr>
            <w:tcW w:w="0" w:type="auto"/>
            <w:vAlign w:val="center"/>
          </w:tcPr>
          <w:p w:rsidR="005F78FC" w:rsidRDefault="00B42EF3">
            <w:pPr>
              <w:pStyle w:val="TableBodyText"/>
            </w:pPr>
            <w:r>
              <w:t xml:space="preserve">Bangla (Bangla Script) </w:t>
            </w:r>
          </w:p>
        </w:tc>
        <w:tc>
          <w:tcPr>
            <w:tcW w:w="0" w:type="auto"/>
            <w:vAlign w:val="center"/>
          </w:tcPr>
          <w:p w:rsidR="005F78FC" w:rsidRDefault="00B42EF3">
            <w:pPr>
              <w:pStyle w:val="TableBodyText"/>
            </w:pPr>
            <w:r>
              <w:t>India</w:t>
            </w:r>
          </w:p>
        </w:tc>
        <w:tc>
          <w:tcPr>
            <w:tcW w:w="0" w:type="auto"/>
            <w:vAlign w:val="center"/>
          </w:tcPr>
          <w:p w:rsidR="005F78FC" w:rsidRDefault="00B42EF3">
            <w:pPr>
              <w:pStyle w:val="TableBodyText"/>
            </w:pPr>
            <w:r>
              <w:t>bn-IN</w:t>
            </w:r>
          </w:p>
        </w:tc>
      </w:tr>
      <w:tr w:rsidR="005F78FC" w:rsidTr="005F78FC">
        <w:tc>
          <w:tcPr>
            <w:tcW w:w="0" w:type="auto"/>
            <w:vAlign w:val="center"/>
          </w:tcPr>
          <w:p w:rsidR="005F78FC" w:rsidRDefault="00B42EF3">
            <w:pPr>
              <w:pStyle w:val="TableBodyText"/>
            </w:pPr>
            <w:r>
              <w:t>Bashkir</w:t>
            </w:r>
          </w:p>
        </w:tc>
        <w:tc>
          <w:tcPr>
            <w:tcW w:w="0" w:type="auto"/>
            <w:vAlign w:val="center"/>
          </w:tcPr>
          <w:p w:rsidR="005F78FC" w:rsidRDefault="00B42EF3">
            <w:pPr>
              <w:pStyle w:val="TableBodyText"/>
            </w:pPr>
            <w:r>
              <w:t>Russia</w:t>
            </w:r>
          </w:p>
        </w:tc>
        <w:tc>
          <w:tcPr>
            <w:tcW w:w="0" w:type="auto"/>
            <w:vAlign w:val="center"/>
          </w:tcPr>
          <w:p w:rsidR="005F78FC" w:rsidRDefault="00B42EF3">
            <w:pPr>
              <w:pStyle w:val="TableBodyText"/>
            </w:pPr>
            <w:r>
              <w:t>ba-RU</w:t>
            </w:r>
          </w:p>
        </w:tc>
      </w:tr>
      <w:tr w:rsidR="005F78FC" w:rsidTr="005F78FC">
        <w:tc>
          <w:tcPr>
            <w:tcW w:w="0" w:type="auto"/>
            <w:vAlign w:val="center"/>
          </w:tcPr>
          <w:p w:rsidR="005F78FC" w:rsidRDefault="00B42EF3">
            <w:pPr>
              <w:pStyle w:val="TableBodyText"/>
            </w:pPr>
            <w:r>
              <w:t>Basque</w:t>
            </w:r>
          </w:p>
        </w:tc>
        <w:tc>
          <w:tcPr>
            <w:tcW w:w="0" w:type="auto"/>
            <w:vAlign w:val="center"/>
          </w:tcPr>
          <w:p w:rsidR="005F78FC" w:rsidRDefault="00B42EF3">
            <w:pPr>
              <w:pStyle w:val="TableBodyText"/>
            </w:pPr>
            <w:r>
              <w:t>Basque</w:t>
            </w:r>
          </w:p>
        </w:tc>
        <w:tc>
          <w:tcPr>
            <w:tcW w:w="0" w:type="auto"/>
            <w:vAlign w:val="center"/>
          </w:tcPr>
          <w:p w:rsidR="005F78FC" w:rsidRDefault="00B42EF3">
            <w:pPr>
              <w:pStyle w:val="TableBodyText"/>
            </w:pPr>
            <w:r>
              <w:t>eu-ES</w:t>
            </w:r>
          </w:p>
        </w:tc>
      </w:tr>
      <w:tr w:rsidR="005F78FC" w:rsidTr="005F78FC">
        <w:tc>
          <w:tcPr>
            <w:tcW w:w="0" w:type="auto"/>
            <w:vAlign w:val="center"/>
          </w:tcPr>
          <w:p w:rsidR="005F78FC" w:rsidRDefault="00B42EF3">
            <w:pPr>
              <w:pStyle w:val="TableBodyText"/>
            </w:pPr>
            <w:r>
              <w:t>Belarusian</w:t>
            </w:r>
          </w:p>
        </w:tc>
        <w:tc>
          <w:tcPr>
            <w:tcW w:w="0" w:type="auto"/>
            <w:vAlign w:val="center"/>
          </w:tcPr>
          <w:p w:rsidR="005F78FC" w:rsidRDefault="00B42EF3">
            <w:pPr>
              <w:pStyle w:val="TableBodyText"/>
            </w:pPr>
            <w:r>
              <w:t>Belarus</w:t>
            </w:r>
          </w:p>
        </w:tc>
        <w:tc>
          <w:tcPr>
            <w:tcW w:w="0" w:type="auto"/>
            <w:vAlign w:val="center"/>
          </w:tcPr>
          <w:p w:rsidR="005F78FC" w:rsidRDefault="00B42EF3">
            <w:pPr>
              <w:pStyle w:val="TableBodyText"/>
            </w:pPr>
            <w:r>
              <w:t>be-BY</w:t>
            </w:r>
          </w:p>
        </w:tc>
      </w:tr>
      <w:tr w:rsidR="005F78FC" w:rsidTr="005F78FC">
        <w:tc>
          <w:tcPr>
            <w:tcW w:w="0" w:type="auto"/>
            <w:vAlign w:val="center"/>
          </w:tcPr>
          <w:p w:rsidR="005F78FC" w:rsidRDefault="00B42EF3">
            <w:pPr>
              <w:pStyle w:val="TableBodyText"/>
            </w:pPr>
            <w:r>
              <w:t>Bosnian (Cyrillic)</w:t>
            </w:r>
          </w:p>
        </w:tc>
        <w:tc>
          <w:tcPr>
            <w:tcW w:w="0" w:type="auto"/>
            <w:vAlign w:val="center"/>
          </w:tcPr>
          <w:p w:rsidR="005F78FC" w:rsidRDefault="00B42EF3">
            <w:pPr>
              <w:pStyle w:val="TableBodyText"/>
            </w:pPr>
            <w:r>
              <w:t>Bosnia and Herzegovina</w:t>
            </w:r>
          </w:p>
        </w:tc>
        <w:tc>
          <w:tcPr>
            <w:tcW w:w="0" w:type="auto"/>
            <w:vAlign w:val="center"/>
          </w:tcPr>
          <w:p w:rsidR="005F78FC" w:rsidRDefault="00B42EF3">
            <w:pPr>
              <w:pStyle w:val="TableBodyText"/>
            </w:pPr>
            <w:r>
              <w:t>bs-BA-Cyrl</w:t>
            </w:r>
          </w:p>
        </w:tc>
      </w:tr>
      <w:tr w:rsidR="005F78FC" w:rsidTr="005F78FC">
        <w:tc>
          <w:tcPr>
            <w:tcW w:w="0" w:type="auto"/>
            <w:vAlign w:val="center"/>
          </w:tcPr>
          <w:p w:rsidR="005F78FC" w:rsidRDefault="00B42EF3">
            <w:pPr>
              <w:pStyle w:val="TableBodyText"/>
            </w:pPr>
            <w:r>
              <w:t>Bosnian (Latin)</w:t>
            </w:r>
          </w:p>
        </w:tc>
        <w:tc>
          <w:tcPr>
            <w:tcW w:w="0" w:type="auto"/>
            <w:vAlign w:val="center"/>
          </w:tcPr>
          <w:p w:rsidR="005F78FC" w:rsidRDefault="00B42EF3">
            <w:pPr>
              <w:pStyle w:val="TableBodyText"/>
            </w:pPr>
            <w:r>
              <w:t>Bosnia and Herzegovina</w:t>
            </w:r>
          </w:p>
        </w:tc>
        <w:tc>
          <w:tcPr>
            <w:tcW w:w="0" w:type="auto"/>
            <w:vAlign w:val="center"/>
          </w:tcPr>
          <w:p w:rsidR="005F78FC" w:rsidRDefault="00B42EF3">
            <w:pPr>
              <w:pStyle w:val="TableBodyText"/>
            </w:pPr>
            <w:r>
              <w:t>bs-BA-Latn</w:t>
            </w:r>
          </w:p>
        </w:tc>
      </w:tr>
      <w:tr w:rsidR="005F78FC" w:rsidTr="005F78FC">
        <w:tc>
          <w:tcPr>
            <w:tcW w:w="0" w:type="auto"/>
            <w:vAlign w:val="center"/>
          </w:tcPr>
          <w:p w:rsidR="005F78FC" w:rsidRDefault="00B42EF3">
            <w:pPr>
              <w:pStyle w:val="TableBodyText"/>
            </w:pPr>
            <w:r>
              <w:t>Breton</w:t>
            </w:r>
          </w:p>
        </w:tc>
        <w:tc>
          <w:tcPr>
            <w:tcW w:w="0" w:type="auto"/>
            <w:vAlign w:val="center"/>
          </w:tcPr>
          <w:p w:rsidR="005F78FC" w:rsidRDefault="00B42EF3">
            <w:pPr>
              <w:pStyle w:val="TableBodyText"/>
            </w:pPr>
            <w:r>
              <w:t>France</w:t>
            </w:r>
          </w:p>
        </w:tc>
        <w:tc>
          <w:tcPr>
            <w:tcW w:w="0" w:type="auto"/>
            <w:vAlign w:val="center"/>
          </w:tcPr>
          <w:p w:rsidR="005F78FC" w:rsidRDefault="00B42EF3">
            <w:pPr>
              <w:pStyle w:val="TableBodyText"/>
            </w:pPr>
            <w:r>
              <w:t>br-FR</w:t>
            </w:r>
          </w:p>
        </w:tc>
      </w:tr>
      <w:tr w:rsidR="005F78FC" w:rsidTr="005F78FC">
        <w:tc>
          <w:tcPr>
            <w:tcW w:w="0" w:type="auto"/>
            <w:vAlign w:val="center"/>
          </w:tcPr>
          <w:p w:rsidR="005F78FC" w:rsidRDefault="00B42EF3">
            <w:pPr>
              <w:pStyle w:val="TableBodyText"/>
            </w:pPr>
            <w:r>
              <w:lastRenderedPageBreak/>
              <w:t>Bulgarian</w:t>
            </w:r>
          </w:p>
        </w:tc>
        <w:tc>
          <w:tcPr>
            <w:tcW w:w="0" w:type="auto"/>
            <w:vAlign w:val="center"/>
          </w:tcPr>
          <w:p w:rsidR="005F78FC" w:rsidRDefault="00B42EF3">
            <w:pPr>
              <w:pStyle w:val="TableBodyText"/>
            </w:pPr>
            <w:r>
              <w:t>Bulgaria</w:t>
            </w:r>
          </w:p>
        </w:tc>
        <w:tc>
          <w:tcPr>
            <w:tcW w:w="0" w:type="auto"/>
            <w:vAlign w:val="center"/>
          </w:tcPr>
          <w:p w:rsidR="005F78FC" w:rsidRDefault="00B42EF3">
            <w:pPr>
              <w:pStyle w:val="TableBodyText"/>
            </w:pPr>
            <w:r>
              <w:t>bg-BG</w:t>
            </w:r>
          </w:p>
        </w:tc>
      </w:tr>
      <w:tr w:rsidR="005F78FC" w:rsidTr="005F78FC">
        <w:tc>
          <w:tcPr>
            <w:tcW w:w="0" w:type="auto"/>
            <w:vAlign w:val="center"/>
          </w:tcPr>
          <w:p w:rsidR="005F78FC" w:rsidRDefault="00B42EF3">
            <w:pPr>
              <w:pStyle w:val="TableBodyText"/>
            </w:pPr>
            <w:r>
              <w:t>Catalan</w:t>
            </w:r>
          </w:p>
        </w:tc>
        <w:tc>
          <w:tcPr>
            <w:tcW w:w="0" w:type="auto"/>
            <w:vAlign w:val="center"/>
          </w:tcPr>
          <w:p w:rsidR="005F78FC" w:rsidRDefault="00B42EF3">
            <w:pPr>
              <w:pStyle w:val="TableBodyText"/>
            </w:pPr>
            <w:r>
              <w:t>Catalan</w:t>
            </w:r>
          </w:p>
        </w:tc>
        <w:tc>
          <w:tcPr>
            <w:tcW w:w="0" w:type="auto"/>
            <w:vAlign w:val="center"/>
          </w:tcPr>
          <w:p w:rsidR="005F78FC" w:rsidRDefault="00B42EF3">
            <w:pPr>
              <w:pStyle w:val="TableBodyText"/>
            </w:pPr>
            <w:r>
              <w:t>ca-ES</w:t>
            </w:r>
          </w:p>
        </w:tc>
      </w:tr>
      <w:tr w:rsidR="005F78FC" w:rsidTr="005F78FC">
        <w:tc>
          <w:tcPr>
            <w:tcW w:w="0" w:type="auto"/>
            <w:vAlign w:val="center"/>
          </w:tcPr>
          <w:p w:rsidR="005F78FC" w:rsidRDefault="00B42EF3">
            <w:pPr>
              <w:pStyle w:val="TableBodyText"/>
            </w:pPr>
            <w:r>
              <w:t>Chinese</w:t>
            </w:r>
          </w:p>
        </w:tc>
        <w:tc>
          <w:tcPr>
            <w:tcW w:w="0" w:type="auto"/>
            <w:vAlign w:val="center"/>
          </w:tcPr>
          <w:p w:rsidR="005F78FC" w:rsidRDefault="00B42EF3">
            <w:pPr>
              <w:pStyle w:val="TableBodyText"/>
            </w:pPr>
            <w:r>
              <w:t>Hong Kong SAR</w:t>
            </w:r>
          </w:p>
        </w:tc>
        <w:tc>
          <w:tcPr>
            <w:tcW w:w="0" w:type="auto"/>
            <w:vAlign w:val="center"/>
          </w:tcPr>
          <w:p w:rsidR="005F78FC" w:rsidRDefault="00B42EF3">
            <w:pPr>
              <w:pStyle w:val="TableBodyText"/>
            </w:pPr>
            <w:r>
              <w:t>zh-HK</w:t>
            </w:r>
          </w:p>
        </w:tc>
      </w:tr>
      <w:tr w:rsidR="005F78FC" w:rsidTr="005F78FC">
        <w:tc>
          <w:tcPr>
            <w:tcW w:w="0" w:type="auto"/>
            <w:vAlign w:val="center"/>
          </w:tcPr>
          <w:p w:rsidR="005F78FC" w:rsidRDefault="00B42EF3">
            <w:pPr>
              <w:pStyle w:val="TableBodyText"/>
            </w:pPr>
            <w:r>
              <w:t>Chinese</w:t>
            </w:r>
          </w:p>
        </w:tc>
        <w:tc>
          <w:tcPr>
            <w:tcW w:w="0" w:type="auto"/>
            <w:vAlign w:val="center"/>
          </w:tcPr>
          <w:p w:rsidR="005F78FC" w:rsidRDefault="00B42EF3">
            <w:pPr>
              <w:pStyle w:val="TableBodyText"/>
            </w:pPr>
            <w:r>
              <w:t>Macao SAR</w:t>
            </w:r>
          </w:p>
        </w:tc>
        <w:tc>
          <w:tcPr>
            <w:tcW w:w="0" w:type="auto"/>
            <w:vAlign w:val="center"/>
          </w:tcPr>
          <w:p w:rsidR="005F78FC" w:rsidRDefault="00B42EF3">
            <w:pPr>
              <w:pStyle w:val="TableBodyText"/>
            </w:pPr>
            <w:r>
              <w:t>zh-MO</w:t>
            </w:r>
          </w:p>
        </w:tc>
      </w:tr>
      <w:tr w:rsidR="005F78FC" w:rsidTr="005F78FC">
        <w:tc>
          <w:tcPr>
            <w:tcW w:w="0" w:type="auto"/>
            <w:vAlign w:val="center"/>
          </w:tcPr>
          <w:p w:rsidR="005F78FC" w:rsidRDefault="00B42EF3">
            <w:pPr>
              <w:pStyle w:val="TableBodyText"/>
            </w:pPr>
            <w:r>
              <w:t>Chinese</w:t>
            </w:r>
          </w:p>
        </w:tc>
        <w:tc>
          <w:tcPr>
            <w:tcW w:w="0" w:type="auto"/>
            <w:vAlign w:val="center"/>
          </w:tcPr>
          <w:p w:rsidR="005F78FC" w:rsidRDefault="00B42EF3">
            <w:pPr>
              <w:pStyle w:val="TableBodyText"/>
            </w:pPr>
            <w:r>
              <w:t>PRC</w:t>
            </w:r>
          </w:p>
        </w:tc>
        <w:tc>
          <w:tcPr>
            <w:tcW w:w="0" w:type="auto"/>
            <w:vAlign w:val="center"/>
          </w:tcPr>
          <w:p w:rsidR="005F78FC" w:rsidRDefault="00B42EF3">
            <w:pPr>
              <w:pStyle w:val="TableBodyText"/>
            </w:pPr>
            <w:r>
              <w:t>zh-CN</w:t>
            </w:r>
          </w:p>
        </w:tc>
      </w:tr>
      <w:tr w:rsidR="005F78FC" w:rsidTr="005F78FC">
        <w:tc>
          <w:tcPr>
            <w:tcW w:w="0" w:type="auto"/>
            <w:vAlign w:val="center"/>
          </w:tcPr>
          <w:p w:rsidR="005F78FC" w:rsidRDefault="00B42EF3">
            <w:pPr>
              <w:pStyle w:val="TableBodyText"/>
            </w:pPr>
            <w:r>
              <w:t>Chinese</w:t>
            </w:r>
          </w:p>
        </w:tc>
        <w:tc>
          <w:tcPr>
            <w:tcW w:w="0" w:type="auto"/>
            <w:vAlign w:val="center"/>
          </w:tcPr>
          <w:p w:rsidR="005F78FC" w:rsidRDefault="00B42EF3">
            <w:pPr>
              <w:pStyle w:val="TableBodyText"/>
            </w:pPr>
            <w:r>
              <w:t>Singapore</w:t>
            </w:r>
          </w:p>
        </w:tc>
        <w:tc>
          <w:tcPr>
            <w:tcW w:w="0" w:type="auto"/>
            <w:vAlign w:val="center"/>
          </w:tcPr>
          <w:p w:rsidR="005F78FC" w:rsidRDefault="00B42EF3">
            <w:pPr>
              <w:pStyle w:val="TableBodyText"/>
            </w:pPr>
            <w:r>
              <w:t>zh-SG</w:t>
            </w:r>
          </w:p>
        </w:tc>
      </w:tr>
      <w:tr w:rsidR="005F78FC" w:rsidTr="005F78FC">
        <w:tc>
          <w:tcPr>
            <w:tcW w:w="0" w:type="auto"/>
            <w:vAlign w:val="center"/>
          </w:tcPr>
          <w:p w:rsidR="005F78FC" w:rsidRDefault="00B42EF3">
            <w:pPr>
              <w:pStyle w:val="TableBodyText"/>
            </w:pPr>
            <w:r>
              <w:t>Chinese</w:t>
            </w:r>
          </w:p>
        </w:tc>
        <w:tc>
          <w:tcPr>
            <w:tcW w:w="0" w:type="auto"/>
            <w:vAlign w:val="center"/>
          </w:tcPr>
          <w:p w:rsidR="005F78FC" w:rsidRDefault="00B42EF3">
            <w:pPr>
              <w:pStyle w:val="TableBodyText"/>
            </w:pPr>
            <w:r>
              <w:t>Taiwan</w:t>
            </w:r>
          </w:p>
        </w:tc>
        <w:tc>
          <w:tcPr>
            <w:tcW w:w="0" w:type="auto"/>
            <w:vAlign w:val="center"/>
          </w:tcPr>
          <w:p w:rsidR="005F78FC" w:rsidRDefault="00B42EF3">
            <w:pPr>
              <w:pStyle w:val="TableBodyText"/>
            </w:pPr>
            <w:r>
              <w:t>zh-TW</w:t>
            </w:r>
          </w:p>
        </w:tc>
      </w:tr>
      <w:tr w:rsidR="005F78FC" w:rsidTr="005F78FC">
        <w:tc>
          <w:tcPr>
            <w:tcW w:w="0" w:type="auto"/>
            <w:vAlign w:val="center"/>
          </w:tcPr>
          <w:p w:rsidR="005F78FC" w:rsidRDefault="00B42EF3">
            <w:pPr>
              <w:pStyle w:val="TableBodyText"/>
            </w:pPr>
            <w:r>
              <w:t>Corsican</w:t>
            </w:r>
          </w:p>
        </w:tc>
        <w:tc>
          <w:tcPr>
            <w:tcW w:w="0" w:type="auto"/>
            <w:vAlign w:val="center"/>
          </w:tcPr>
          <w:p w:rsidR="005F78FC" w:rsidRDefault="00B42EF3">
            <w:pPr>
              <w:pStyle w:val="TableBodyText"/>
            </w:pPr>
            <w:r>
              <w:t>France</w:t>
            </w:r>
          </w:p>
        </w:tc>
        <w:tc>
          <w:tcPr>
            <w:tcW w:w="0" w:type="auto"/>
            <w:vAlign w:val="center"/>
          </w:tcPr>
          <w:p w:rsidR="005F78FC" w:rsidRDefault="00B42EF3">
            <w:pPr>
              <w:pStyle w:val="TableBodyText"/>
            </w:pPr>
            <w:r>
              <w:t>co-FR</w:t>
            </w:r>
          </w:p>
        </w:tc>
      </w:tr>
      <w:tr w:rsidR="005F78FC" w:rsidTr="005F78FC">
        <w:tc>
          <w:tcPr>
            <w:tcW w:w="0" w:type="auto"/>
            <w:vAlign w:val="center"/>
          </w:tcPr>
          <w:p w:rsidR="005F78FC" w:rsidRDefault="00B42EF3">
            <w:pPr>
              <w:pStyle w:val="TableBodyText"/>
            </w:pPr>
            <w:r>
              <w:t>Croatian</w:t>
            </w:r>
          </w:p>
        </w:tc>
        <w:tc>
          <w:tcPr>
            <w:tcW w:w="0" w:type="auto"/>
            <w:vAlign w:val="center"/>
          </w:tcPr>
          <w:p w:rsidR="005F78FC" w:rsidRDefault="00B42EF3">
            <w:pPr>
              <w:pStyle w:val="TableBodyText"/>
            </w:pPr>
            <w:r>
              <w:t>Croatia</w:t>
            </w:r>
          </w:p>
        </w:tc>
        <w:tc>
          <w:tcPr>
            <w:tcW w:w="0" w:type="auto"/>
            <w:vAlign w:val="center"/>
          </w:tcPr>
          <w:p w:rsidR="005F78FC" w:rsidRDefault="00B42EF3">
            <w:pPr>
              <w:pStyle w:val="TableBodyText"/>
            </w:pPr>
            <w:r>
              <w:t>hr-HR</w:t>
            </w:r>
          </w:p>
        </w:tc>
      </w:tr>
      <w:tr w:rsidR="005F78FC" w:rsidTr="005F78FC">
        <w:tc>
          <w:tcPr>
            <w:tcW w:w="0" w:type="auto"/>
            <w:vAlign w:val="center"/>
          </w:tcPr>
          <w:p w:rsidR="005F78FC" w:rsidRDefault="00B42EF3">
            <w:pPr>
              <w:pStyle w:val="TableBodyText"/>
            </w:pPr>
            <w:r>
              <w:t>Croatian (Latin)</w:t>
            </w:r>
          </w:p>
        </w:tc>
        <w:tc>
          <w:tcPr>
            <w:tcW w:w="0" w:type="auto"/>
            <w:vAlign w:val="center"/>
          </w:tcPr>
          <w:p w:rsidR="005F78FC" w:rsidRDefault="00B42EF3">
            <w:pPr>
              <w:pStyle w:val="TableBodyText"/>
            </w:pPr>
            <w:r>
              <w:t>Bosnia and Herzegovina</w:t>
            </w:r>
          </w:p>
        </w:tc>
        <w:tc>
          <w:tcPr>
            <w:tcW w:w="0" w:type="auto"/>
            <w:vAlign w:val="center"/>
          </w:tcPr>
          <w:p w:rsidR="005F78FC" w:rsidRDefault="00B42EF3">
            <w:pPr>
              <w:pStyle w:val="TableBodyText"/>
            </w:pPr>
            <w:r>
              <w:t>hr-BA-Latn</w:t>
            </w:r>
          </w:p>
        </w:tc>
      </w:tr>
      <w:tr w:rsidR="005F78FC" w:rsidTr="005F78FC">
        <w:tc>
          <w:tcPr>
            <w:tcW w:w="0" w:type="auto"/>
            <w:vAlign w:val="center"/>
          </w:tcPr>
          <w:p w:rsidR="005F78FC" w:rsidRDefault="00B42EF3">
            <w:pPr>
              <w:pStyle w:val="TableBodyText"/>
            </w:pPr>
            <w:r>
              <w:t>Czech</w:t>
            </w:r>
          </w:p>
        </w:tc>
        <w:tc>
          <w:tcPr>
            <w:tcW w:w="0" w:type="auto"/>
            <w:vAlign w:val="center"/>
          </w:tcPr>
          <w:p w:rsidR="005F78FC" w:rsidRDefault="00B42EF3">
            <w:pPr>
              <w:pStyle w:val="TableBodyText"/>
            </w:pPr>
            <w:r>
              <w:t>Czech Republic</w:t>
            </w:r>
          </w:p>
        </w:tc>
        <w:tc>
          <w:tcPr>
            <w:tcW w:w="0" w:type="auto"/>
            <w:vAlign w:val="center"/>
          </w:tcPr>
          <w:p w:rsidR="005F78FC" w:rsidRDefault="00B42EF3">
            <w:pPr>
              <w:pStyle w:val="TableBodyText"/>
            </w:pPr>
            <w:r>
              <w:t>cs-CZ</w:t>
            </w:r>
          </w:p>
        </w:tc>
      </w:tr>
      <w:tr w:rsidR="005F78FC" w:rsidTr="005F78FC">
        <w:tc>
          <w:tcPr>
            <w:tcW w:w="0" w:type="auto"/>
            <w:vAlign w:val="center"/>
          </w:tcPr>
          <w:p w:rsidR="005F78FC" w:rsidRDefault="00B42EF3">
            <w:pPr>
              <w:pStyle w:val="TableBodyText"/>
            </w:pPr>
            <w:r>
              <w:t>Danish</w:t>
            </w:r>
          </w:p>
        </w:tc>
        <w:tc>
          <w:tcPr>
            <w:tcW w:w="0" w:type="auto"/>
            <w:vAlign w:val="center"/>
          </w:tcPr>
          <w:p w:rsidR="005F78FC" w:rsidRDefault="00B42EF3">
            <w:pPr>
              <w:pStyle w:val="TableBodyText"/>
            </w:pPr>
            <w:r>
              <w:t>Denmark</w:t>
            </w:r>
          </w:p>
        </w:tc>
        <w:tc>
          <w:tcPr>
            <w:tcW w:w="0" w:type="auto"/>
            <w:vAlign w:val="center"/>
          </w:tcPr>
          <w:p w:rsidR="005F78FC" w:rsidRDefault="00B42EF3">
            <w:pPr>
              <w:pStyle w:val="TableBodyText"/>
            </w:pPr>
            <w:r>
              <w:t>da-DK</w:t>
            </w:r>
          </w:p>
        </w:tc>
      </w:tr>
      <w:tr w:rsidR="005F78FC" w:rsidTr="005F78FC">
        <w:tc>
          <w:tcPr>
            <w:tcW w:w="0" w:type="auto"/>
            <w:vAlign w:val="center"/>
          </w:tcPr>
          <w:p w:rsidR="005F78FC" w:rsidRDefault="00B42EF3">
            <w:pPr>
              <w:pStyle w:val="TableBodyText"/>
            </w:pPr>
            <w:r>
              <w:t>Dari</w:t>
            </w:r>
          </w:p>
        </w:tc>
        <w:tc>
          <w:tcPr>
            <w:tcW w:w="0" w:type="auto"/>
            <w:vAlign w:val="center"/>
          </w:tcPr>
          <w:p w:rsidR="005F78FC" w:rsidRDefault="00B42EF3">
            <w:pPr>
              <w:pStyle w:val="TableBodyText"/>
            </w:pPr>
            <w:r>
              <w:t>Afghanistan</w:t>
            </w:r>
          </w:p>
        </w:tc>
        <w:tc>
          <w:tcPr>
            <w:tcW w:w="0" w:type="auto"/>
            <w:vAlign w:val="center"/>
          </w:tcPr>
          <w:p w:rsidR="005F78FC" w:rsidRDefault="00B42EF3">
            <w:pPr>
              <w:pStyle w:val="TableBodyText"/>
            </w:pPr>
            <w:r>
              <w:t>prs-AF</w:t>
            </w:r>
          </w:p>
        </w:tc>
      </w:tr>
      <w:tr w:rsidR="005F78FC" w:rsidTr="005F78FC">
        <w:tc>
          <w:tcPr>
            <w:tcW w:w="0" w:type="auto"/>
            <w:vAlign w:val="center"/>
          </w:tcPr>
          <w:p w:rsidR="005F78FC" w:rsidRDefault="00B42EF3">
            <w:pPr>
              <w:pStyle w:val="TableBodyText"/>
            </w:pPr>
            <w:r>
              <w:t>Divehi</w:t>
            </w:r>
          </w:p>
        </w:tc>
        <w:tc>
          <w:tcPr>
            <w:tcW w:w="0" w:type="auto"/>
            <w:vAlign w:val="center"/>
          </w:tcPr>
          <w:p w:rsidR="005F78FC" w:rsidRDefault="00B42EF3">
            <w:pPr>
              <w:pStyle w:val="TableBodyText"/>
            </w:pPr>
            <w:r>
              <w:t>Maldives</w:t>
            </w:r>
          </w:p>
        </w:tc>
        <w:tc>
          <w:tcPr>
            <w:tcW w:w="0" w:type="auto"/>
            <w:vAlign w:val="center"/>
          </w:tcPr>
          <w:p w:rsidR="005F78FC" w:rsidRDefault="00B42EF3">
            <w:pPr>
              <w:pStyle w:val="TableBodyText"/>
            </w:pPr>
            <w:r>
              <w:t>div-MV</w:t>
            </w:r>
          </w:p>
        </w:tc>
      </w:tr>
      <w:tr w:rsidR="005F78FC" w:rsidTr="005F78FC">
        <w:tc>
          <w:tcPr>
            <w:tcW w:w="0" w:type="auto"/>
            <w:vAlign w:val="center"/>
          </w:tcPr>
          <w:p w:rsidR="005F78FC" w:rsidRDefault="00B42EF3">
            <w:pPr>
              <w:pStyle w:val="TableBodyText"/>
            </w:pPr>
            <w:r>
              <w:t>Dutch</w:t>
            </w:r>
          </w:p>
        </w:tc>
        <w:tc>
          <w:tcPr>
            <w:tcW w:w="0" w:type="auto"/>
            <w:vAlign w:val="center"/>
          </w:tcPr>
          <w:p w:rsidR="005F78FC" w:rsidRDefault="00B42EF3">
            <w:pPr>
              <w:pStyle w:val="TableBodyText"/>
            </w:pPr>
            <w:r>
              <w:t>Belgium</w:t>
            </w:r>
          </w:p>
        </w:tc>
        <w:tc>
          <w:tcPr>
            <w:tcW w:w="0" w:type="auto"/>
            <w:vAlign w:val="center"/>
          </w:tcPr>
          <w:p w:rsidR="005F78FC" w:rsidRDefault="00B42EF3">
            <w:pPr>
              <w:pStyle w:val="TableBodyText"/>
            </w:pPr>
            <w:r>
              <w:t>nl-BE</w:t>
            </w:r>
          </w:p>
        </w:tc>
      </w:tr>
      <w:tr w:rsidR="005F78FC" w:rsidTr="005F78FC">
        <w:tc>
          <w:tcPr>
            <w:tcW w:w="0" w:type="auto"/>
            <w:vAlign w:val="center"/>
          </w:tcPr>
          <w:p w:rsidR="005F78FC" w:rsidRDefault="00B42EF3">
            <w:pPr>
              <w:pStyle w:val="TableBodyText"/>
            </w:pPr>
            <w:r>
              <w:t>Dutch</w:t>
            </w:r>
          </w:p>
        </w:tc>
        <w:tc>
          <w:tcPr>
            <w:tcW w:w="0" w:type="auto"/>
            <w:vAlign w:val="center"/>
          </w:tcPr>
          <w:p w:rsidR="005F78FC" w:rsidRDefault="00B42EF3">
            <w:pPr>
              <w:pStyle w:val="TableBodyText"/>
            </w:pPr>
            <w:r>
              <w:t>Netherlands</w:t>
            </w:r>
          </w:p>
        </w:tc>
        <w:tc>
          <w:tcPr>
            <w:tcW w:w="0" w:type="auto"/>
            <w:vAlign w:val="center"/>
          </w:tcPr>
          <w:p w:rsidR="005F78FC" w:rsidRDefault="00B42EF3">
            <w:pPr>
              <w:pStyle w:val="TableBodyText"/>
            </w:pPr>
            <w:r>
              <w:t>nl-NL</w:t>
            </w:r>
          </w:p>
        </w:tc>
      </w:tr>
      <w:tr w:rsidR="005F78FC" w:rsidTr="005F78FC">
        <w:tc>
          <w:tcPr>
            <w:tcW w:w="0" w:type="auto"/>
            <w:vAlign w:val="center"/>
          </w:tcPr>
          <w:p w:rsidR="005F78FC" w:rsidRDefault="00B42EF3">
            <w:pPr>
              <w:pStyle w:val="TableBodyText"/>
            </w:pPr>
            <w:r>
              <w:t>English</w:t>
            </w:r>
          </w:p>
        </w:tc>
        <w:tc>
          <w:tcPr>
            <w:tcW w:w="0" w:type="auto"/>
            <w:vAlign w:val="center"/>
          </w:tcPr>
          <w:p w:rsidR="005F78FC" w:rsidRDefault="00B42EF3">
            <w:pPr>
              <w:pStyle w:val="TableBodyText"/>
            </w:pPr>
            <w:r>
              <w:t>Australia</w:t>
            </w:r>
          </w:p>
        </w:tc>
        <w:tc>
          <w:tcPr>
            <w:tcW w:w="0" w:type="auto"/>
            <w:vAlign w:val="center"/>
          </w:tcPr>
          <w:p w:rsidR="005F78FC" w:rsidRDefault="00B42EF3">
            <w:pPr>
              <w:pStyle w:val="TableBodyText"/>
            </w:pPr>
            <w:r>
              <w:t>en-AU</w:t>
            </w:r>
          </w:p>
        </w:tc>
      </w:tr>
      <w:tr w:rsidR="005F78FC" w:rsidTr="005F78FC">
        <w:tc>
          <w:tcPr>
            <w:tcW w:w="0" w:type="auto"/>
            <w:vAlign w:val="center"/>
          </w:tcPr>
          <w:p w:rsidR="005F78FC" w:rsidRDefault="00B42EF3">
            <w:pPr>
              <w:pStyle w:val="TableBodyText"/>
            </w:pPr>
            <w:r>
              <w:t>English</w:t>
            </w:r>
          </w:p>
        </w:tc>
        <w:tc>
          <w:tcPr>
            <w:tcW w:w="0" w:type="auto"/>
            <w:vAlign w:val="center"/>
          </w:tcPr>
          <w:p w:rsidR="005F78FC" w:rsidRDefault="00B42EF3">
            <w:pPr>
              <w:pStyle w:val="TableBodyText"/>
            </w:pPr>
            <w:r>
              <w:t>Belize</w:t>
            </w:r>
          </w:p>
        </w:tc>
        <w:tc>
          <w:tcPr>
            <w:tcW w:w="0" w:type="auto"/>
            <w:vAlign w:val="center"/>
          </w:tcPr>
          <w:p w:rsidR="005F78FC" w:rsidRDefault="00B42EF3">
            <w:pPr>
              <w:pStyle w:val="TableBodyText"/>
            </w:pPr>
            <w:r>
              <w:t>en-BZ</w:t>
            </w:r>
          </w:p>
        </w:tc>
      </w:tr>
      <w:tr w:rsidR="005F78FC" w:rsidTr="005F78FC">
        <w:tc>
          <w:tcPr>
            <w:tcW w:w="0" w:type="auto"/>
            <w:vAlign w:val="center"/>
          </w:tcPr>
          <w:p w:rsidR="005F78FC" w:rsidRDefault="00B42EF3">
            <w:pPr>
              <w:pStyle w:val="TableBodyText"/>
            </w:pPr>
            <w:r>
              <w:t>English</w:t>
            </w:r>
          </w:p>
        </w:tc>
        <w:tc>
          <w:tcPr>
            <w:tcW w:w="0" w:type="auto"/>
            <w:vAlign w:val="center"/>
          </w:tcPr>
          <w:p w:rsidR="005F78FC" w:rsidRDefault="00B42EF3">
            <w:pPr>
              <w:pStyle w:val="TableBodyText"/>
            </w:pPr>
            <w:r>
              <w:t>Canada</w:t>
            </w:r>
          </w:p>
        </w:tc>
        <w:tc>
          <w:tcPr>
            <w:tcW w:w="0" w:type="auto"/>
            <w:vAlign w:val="center"/>
          </w:tcPr>
          <w:p w:rsidR="005F78FC" w:rsidRDefault="00B42EF3">
            <w:pPr>
              <w:pStyle w:val="TableBodyText"/>
            </w:pPr>
            <w:r>
              <w:t>en-CA</w:t>
            </w:r>
          </w:p>
        </w:tc>
      </w:tr>
      <w:tr w:rsidR="005F78FC" w:rsidTr="005F78FC">
        <w:tc>
          <w:tcPr>
            <w:tcW w:w="0" w:type="auto"/>
            <w:vAlign w:val="center"/>
          </w:tcPr>
          <w:p w:rsidR="005F78FC" w:rsidRDefault="00B42EF3">
            <w:pPr>
              <w:pStyle w:val="TableBodyText"/>
            </w:pPr>
            <w:r>
              <w:t>English</w:t>
            </w:r>
          </w:p>
        </w:tc>
        <w:tc>
          <w:tcPr>
            <w:tcW w:w="0" w:type="auto"/>
            <w:vAlign w:val="center"/>
          </w:tcPr>
          <w:p w:rsidR="005F78FC" w:rsidRDefault="00B42EF3">
            <w:pPr>
              <w:pStyle w:val="TableBodyText"/>
            </w:pPr>
            <w:r>
              <w:t>Caribbean</w:t>
            </w:r>
          </w:p>
        </w:tc>
        <w:tc>
          <w:tcPr>
            <w:tcW w:w="0" w:type="auto"/>
            <w:vAlign w:val="center"/>
          </w:tcPr>
          <w:p w:rsidR="005F78FC" w:rsidRDefault="00B42EF3">
            <w:pPr>
              <w:pStyle w:val="TableBodyText"/>
            </w:pPr>
            <w:r>
              <w:t>en-CB</w:t>
            </w:r>
          </w:p>
        </w:tc>
      </w:tr>
      <w:tr w:rsidR="005F78FC" w:rsidTr="005F78FC">
        <w:tc>
          <w:tcPr>
            <w:tcW w:w="0" w:type="auto"/>
            <w:vAlign w:val="center"/>
          </w:tcPr>
          <w:p w:rsidR="005F78FC" w:rsidRDefault="00B42EF3">
            <w:pPr>
              <w:pStyle w:val="TableBodyText"/>
            </w:pPr>
            <w:r>
              <w:t>English</w:t>
            </w:r>
          </w:p>
        </w:tc>
        <w:tc>
          <w:tcPr>
            <w:tcW w:w="0" w:type="auto"/>
            <w:vAlign w:val="center"/>
          </w:tcPr>
          <w:p w:rsidR="005F78FC" w:rsidRDefault="00B42EF3">
            <w:pPr>
              <w:pStyle w:val="TableBodyText"/>
            </w:pPr>
            <w:r>
              <w:t>India</w:t>
            </w:r>
          </w:p>
        </w:tc>
        <w:tc>
          <w:tcPr>
            <w:tcW w:w="0" w:type="auto"/>
            <w:vAlign w:val="center"/>
          </w:tcPr>
          <w:p w:rsidR="005F78FC" w:rsidRDefault="00B42EF3">
            <w:pPr>
              <w:pStyle w:val="TableBodyText"/>
            </w:pPr>
            <w:r>
              <w:t>en-IN</w:t>
            </w:r>
          </w:p>
        </w:tc>
      </w:tr>
      <w:tr w:rsidR="005F78FC" w:rsidTr="005F78FC">
        <w:tc>
          <w:tcPr>
            <w:tcW w:w="0" w:type="auto"/>
            <w:vAlign w:val="center"/>
          </w:tcPr>
          <w:p w:rsidR="005F78FC" w:rsidRDefault="00B42EF3">
            <w:pPr>
              <w:pStyle w:val="TableBodyText"/>
            </w:pPr>
            <w:r>
              <w:t>English</w:t>
            </w:r>
          </w:p>
        </w:tc>
        <w:tc>
          <w:tcPr>
            <w:tcW w:w="0" w:type="auto"/>
            <w:vAlign w:val="center"/>
          </w:tcPr>
          <w:p w:rsidR="005F78FC" w:rsidRDefault="00B42EF3">
            <w:pPr>
              <w:pStyle w:val="TableBodyText"/>
            </w:pPr>
            <w:r>
              <w:t>Ireland</w:t>
            </w:r>
          </w:p>
        </w:tc>
        <w:tc>
          <w:tcPr>
            <w:tcW w:w="0" w:type="auto"/>
            <w:vAlign w:val="center"/>
          </w:tcPr>
          <w:p w:rsidR="005F78FC" w:rsidRDefault="00B42EF3">
            <w:pPr>
              <w:pStyle w:val="TableBodyText"/>
            </w:pPr>
            <w:r>
              <w:t>en-IE</w:t>
            </w:r>
          </w:p>
        </w:tc>
      </w:tr>
      <w:tr w:rsidR="005F78FC" w:rsidTr="005F78FC">
        <w:tc>
          <w:tcPr>
            <w:tcW w:w="0" w:type="auto"/>
            <w:vAlign w:val="center"/>
          </w:tcPr>
          <w:p w:rsidR="005F78FC" w:rsidRDefault="00B42EF3">
            <w:pPr>
              <w:pStyle w:val="TableBodyText"/>
            </w:pPr>
            <w:r>
              <w:t>English</w:t>
            </w:r>
          </w:p>
        </w:tc>
        <w:tc>
          <w:tcPr>
            <w:tcW w:w="0" w:type="auto"/>
            <w:vAlign w:val="center"/>
          </w:tcPr>
          <w:p w:rsidR="005F78FC" w:rsidRDefault="00B42EF3">
            <w:pPr>
              <w:pStyle w:val="TableBodyText"/>
            </w:pPr>
            <w:r>
              <w:t>Jamaica</w:t>
            </w:r>
          </w:p>
        </w:tc>
        <w:tc>
          <w:tcPr>
            <w:tcW w:w="0" w:type="auto"/>
            <w:vAlign w:val="center"/>
          </w:tcPr>
          <w:p w:rsidR="005F78FC" w:rsidRDefault="00B42EF3">
            <w:pPr>
              <w:pStyle w:val="TableBodyText"/>
            </w:pPr>
            <w:r>
              <w:t>en-JM</w:t>
            </w:r>
          </w:p>
        </w:tc>
      </w:tr>
      <w:tr w:rsidR="005F78FC" w:rsidTr="005F78FC">
        <w:tc>
          <w:tcPr>
            <w:tcW w:w="0" w:type="auto"/>
            <w:vAlign w:val="center"/>
          </w:tcPr>
          <w:p w:rsidR="005F78FC" w:rsidRDefault="00B42EF3">
            <w:pPr>
              <w:pStyle w:val="TableBodyText"/>
            </w:pPr>
            <w:r>
              <w:t>English</w:t>
            </w:r>
          </w:p>
        </w:tc>
        <w:tc>
          <w:tcPr>
            <w:tcW w:w="0" w:type="auto"/>
            <w:vAlign w:val="center"/>
          </w:tcPr>
          <w:p w:rsidR="005F78FC" w:rsidRDefault="00B42EF3">
            <w:pPr>
              <w:pStyle w:val="TableBodyText"/>
            </w:pPr>
            <w:r>
              <w:t>Malaysia</w:t>
            </w:r>
          </w:p>
        </w:tc>
        <w:tc>
          <w:tcPr>
            <w:tcW w:w="0" w:type="auto"/>
            <w:vAlign w:val="center"/>
          </w:tcPr>
          <w:p w:rsidR="005F78FC" w:rsidRDefault="00B42EF3">
            <w:pPr>
              <w:pStyle w:val="TableBodyText"/>
            </w:pPr>
            <w:r>
              <w:t>en-MY</w:t>
            </w:r>
          </w:p>
        </w:tc>
      </w:tr>
      <w:tr w:rsidR="005F78FC" w:rsidTr="005F78FC">
        <w:tc>
          <w:tcPr>
            <w:tcW w:w="0" w:type="auto"/>
            <w:vAlign w:val="center"/>
          </w:tcPr>
          <w:p w:rsidR="005F78FC" w:rsidRDefault="00B42EF3">
            <w:pPr>
              <w:pStyle w:val="TableBodyText"/>
            </w:pPr>
            <w:r>
              <w:t>English</w:t>
            </w:r>
          </w:p>
        </w:tc>
        <w:tc>
          <w:tcPr>
            <w:tcW w:w="0" w:type="auto"/>
            <w:vAlign w:val="center"/>
          </w:tcPr>
          <w:p w:rsidR="005F78FC" w:rsidRDefault="00B42EF3">
            <w:pPr>
              <w:pStyle w:val="TableBodyText"/>
            </w:pPr>
            <w:r>
              <w:t>New Zealand</w:t>
            </w:r>
          </w:p>
        </w:tc>
        <w:tc>
          <w:tcPr>
            <w:tcW w:w="0" w:type="auto"/>
            <w:vAlign w:val="center"/>
          </w:tcPr>
          <w:p w:rsidR="005F78FC" w:rsidRDefault="00B42EF3">
            <w:pPr>
              <w:pStyle w:val="TableBodyText"/>
            </w:pPr>
            <w:r>
              <w:t>en-NZ</w:t>
            </w:r>
          </w:p>
        </w:tc>
      </w:tr>
      <w:tr w:rsidR="005F78FC" w:rsidTr="005F78FC">
        <w:tc>
          <w:tcPr>
            <w:tcW w:w="0" w:type="auto"/>
            <w:vAlign w:val="center"/>
          </w:tcPr>
          <w:p w:rsidR="005F78FC" w:rsidRDefault="00B42EF3">
            <w:pPr>
              <w:pStyle w:val="TableBodyText"/>
            </w:pPr>
            <w:r>
              <w:t>English</w:t>
            </w:r>
          </w:p>
        </w:tc>
        <w:tc>
          <w:tcPr>
            <w:tcW w:w="0" w:type="auto"/>
            <w:vAlign w:val="center"/>
          </w:tcPr>
          <w:p w:rsidR="005F78FC" w:rsidRDefault="00B42EF3">
            <w:pPr>
              <w:pStyle w:val="TableBodyText"/>
            </w:pPr>
            <w:r>
              <w:t>Philippines</w:t>
            </w:r>
          </w:p>
        </w:tc>
        <w:tc>
          <w:tcPr>
            <w:tcW w:w="0" w:type="auto"/>
            <w:vAlign w:val="center"/>
          </w:tcPr>
          <w:p w:rsidR="005F78FC" w:rsidRDefault="00B42EF3">
            <w:pPr>
              <w:pStyle w:val="TableBodyText"/>
            </w:pPr>
            <w:r>
              <w:t>en-PH</w:t>
            </w:r>
          </w:p>
        </w:tc>
      </w:tr>
      <w:tr w:rsidR="005F78FC" w:rsidTr="005F78FC">
        <w:tc>
          <w:tcPr>
            <w:tcW w:w="0" w:type="auto"/>
            <w:vAlign w:val="center"/>
          </w:tcPr>
          <w:p w:rsidR="005F78FC" w:rsidRDefault="00B42EF3">
            <w:pPr>
              <w:pStyle w:val="TableBodyText"/>
            </w:pPr>
            <w:r>
              <w:t>English</w:t>
            </w:r>
          </w:p>
        </w:tc>
        <w:tc>
          <w:tcPr>
            <w:tcW w:w="0" w:type="auto"/>
            <w:vAlign w:val="center"/>
          </w:tcPr>
          <w:p w:rsidR="005F78FC" w:rsidRDefault="00B42EF3">
            <w:pPr>
              <w:pStyle w:val="TableBodyText"/>
            </w:pPr>
            <w:r>
              <w:t>South Africa</w:t>
            </w:r>
          </w:p>
        </w:tc>
        <w:tc>
          <w:tcPr>
            <w:tcW w:w="0" w:type="auto"/>
            <w:vAlign w:val="center"/>
          </w:tcPr>
          <w:p w:rsidR="005F78FC" w:rsidRDefault="00B42EF3">
            <w:pPr>
              <w:pStyle w:val="TableBodyText"/>
            </w:pPr>
            <w:r>
              <w:t>en-ZA</w:t>
            </w:r>
          </w:p>
        </w:tc>
      </w:tr>
      <w:tr w:rsidR="005F78FC" w:rsidTr="005F78FC">
        <w:tc>
          <w:tcPr>
            <w:tcW w:w="0" w:type="auto"/>
            <w:vAlign w:val="center"/>
          </w:tcPr>
          <w:p w:rsidR="005F78FC" w:rsidRDefault="00B42EF3">
            <w:pPr>
              <w:pStyle w:val="TableBodyText"/>
            </w:pPr>
            <w:r>
              <w:t>English</w:t>
            </w:r>
          </w:p>
        </w:tc>
        <w:tc>
          <w:tcPr>
            <w:tcW w:w="0" w:type="auto"/>
            <w:vAlign w:val="center"/>
          </w:tcPr>
          <w:p w:rsidR="005F78FC" w:rsidRDefault="00B42EF3">
            <w:pPr>
              <w:pStyle w:val="TableBodyText"/>
            </w:pPr>
            <w:r>
              <w:t>Trinidad</w:t>
            </w:r>
          </w:p>
        </w:tc>
        <w:tc>
          <w:tcPr>
            <w:tcW w:w="0" w:type="auto"/>
            <w:vAlign w:val="center"/>
          </w:tcPr>
          <w:p w:rsidR="005F78FC" w:rsidRDefault="00B42EF3">
            <w:pPr>
              <w:pStyle w:val="TableBodyText"/>
            </w:pPr>
            <w:r>
              <w:t>en-TT</w:t>
            </w:r>
          </w:p>
        </w:tc>
      </w:tr>
      <w:tr w:rsidR="005F78FC" w:rsidTr="005F78FC">
        <w:tc>
          <w:tcPr>
            <w:tcW w:w="0" w:type="auto"/>
            <w:vAlign w:val="center"/>
          </w:tcPr>
          <w:p w:rsidR="005F78FC" w:rsidRDefault="00B42EF3">
            <w:pPr>
              <w:pStyle w:val="TableBodyText"/>
            </w:pPr>
            <w:r>
              <w:t>English</w:t>
            </w:r>
          </w:p>
        </w:tc>
        <w:tc>
          <w:tcPr>
            <w:tcW w:w="0" w:type="auto"/>
            <w:vAlign w:val="center"/>
          </w:tcPr>
          <w:p w:rsidR="005F78FC" w:rsidRDefault="00B42EF3">
            <w:pPr>
              <w:pStyle w:val="TableBodyText"/>
            </w:pPr>
            <w:r>
              <w:t>United Kingdom</w:t>
            </w:r>
          </w:p>
        </w:tc>
        <w:tc>
          <w:tcPr>
            <w:tcW w:w="0" w:type="auto"/>
            <w:vAlign w:val="center"/>
          </w:tcPr>
          <w:p w:rsidR="005F78FC" w:rsidRDefault="00B42EF3">
            <w:pPr>
              <w:pStyle w:val="TableBodyText"/>
            </w:pPr>
            <w:r>
              <w:t>en-GB</w:t>
            </w:r>
          </w:p>
        </w:tc>
      </w:tr>
      <w:tr w:rsidR="005F78FC" w:rsidTr="005F78FC">
        <w:tc>
          <w:tcPr>
            <w:tcW w:w="0" w:type="auto"/>
            <w:vAlign w:val="center"/>
          </w:tcPr>
          <w:p w:rsidR="005F78FC" w:rsidRDefault="00B42EF3">
            <w:pPr>
              <w:pStyle w:val="TableBodyText"/>
            </w:pPr>
            <w:r>
              <w:t>English</w:t>
            </w:r>
          </w:p>
        </w:tc>
        <w:tc>
          <w:tcPr>
            <w:tcW w:w="0" w:type="auto"/>
            <w:vAlign w:val="center"/>
          </w:tcPr>
          <w:p w:rsidR="005F78FC" w:rsidRDefault="00B42EF3">
            <w:pPr>
              <w:pStyle w:val="TableBodyText"/>
            </w:pPr>
            <w:r>
              <w:t>United States</w:t>
            </w:r>
          </w:p>
        </w:tc>
        <w:tc>
          <w:tcPr>
            <w:tcW w:w="0" w:type="auto"/>
            <w:vAlign w:val="center"/>
          </w:tcPr>
          <w:p w:rsidR="005F78FC" w:rsidRDefault="00B42EF3">
            <w:pPr>
              <w:pStyle w:val="TableBodyText"/>
            </w:pPr>
            <w:r>
              <w:t>en-US</w:t>
            </w:r>
          </w:p>
        </w:tc>
      </w:tr>
      <w:tr w:rsidR="005F78FC" w:rsidTr="005F78FC">
        <w:tc>
          <w:tcPr>
            <w:tcW w:w="0" w:type="auto"/>
            <w:vAlign w:val="center"/>
          </w:tcPr>
          <w:p w:rsidR="005F78FC" w:rsidRDefault="00B42EF3">
            <w:pPr>
              <w:pStyle w:val="TableBodyText"/>
            </w:pPr>
            <w:r>
              <w:t>English</w:t>
            </w:r>
          </w:p>
        </w:tc>
        <w:tc>
          <w:tcPr>
            <w:tcW w:w="0" w:type="auto"/>
            <w:vAlign w:val="center"/>
          </w:tcPr>
          <w:p w:rsidR="005F78FC" w:rsidRDefault="00B42EF3">
            <w:pPr>
              <w:pStyle w:val="TableBodyText"/>
            </w:pPr>
            <w:r>
              <w:t>Zimbabwe</w:t>
            </w:r>
          </w:p>
        </w:tc>
        <w:tc>
          <w:tcPr>
            <w:tcW w:w="0" w:type="auto"/>
            <w:vAlign w:val="center"/>
          </w:tcPr>
          <w:p w:rsidR="005F78FC" w:rsidRDefault="00B42EF3">
            <w:pPr>
              <w:pStyle w:val="TableBodyText"/>
            </w:pPr>
            <w:r>
              <w:t>en-ZW</w:t>
            </w:r>
          </w:p>
        </w:tc>
      </w:tr>
      <w:tr w:rsidR="005F78FC" w:rsidTr="005F78FC">
        <w:tc>
          <w:tcPr>
            <w:tcW w:w="0" w:type="auto"/>
            <w:vAlign w:val="center"/>
          </w:tcPr>
          <w:p w:rsidR="005F78FC" w:rsidRDefault="00B42EF3">
            <w:pPr>
              <w:pStyle w:val="TableBodyText"/>
            </w:pPr>
            <w:r>
              <w:t xml:space="preserve">Estonian </w:t>
            </w:r>
          </w:p>
        </w:tc>
        <w:tc>
          <w:tcPr>
            <w:tcW w:w="0" w:type="auto"/>
            <w:vAlign w:val="center"/>
          </w:tcPr>
          <w:p w:rsidR="005F78FC" w:rsidRDefault="00B42EF3">
            <w:pPr>
              <w:pStyle w:val="TableBodyText"/>
            </w:pPr>
            <w:r>
              <w:t>Estonia</w:t>
            </w:r>
          </w:p>
        </w:tc>
        <w:tc>
          <w:tcPr>
            <w:tcW w:w="0" w:type="auto"/>
            <w:vAlign w:val="center"/>
          </w:tcPr>
          <w:p w:rsidR="005F78FC" w:rsidRDefault="00B42EF3">
            <w:pPr>
              <w:pStyle w:val="TableBodyText"/>
            </w:pPr>
            <w:r>
              <w:t>et-EE</w:t>
            </w:r>
          </w:p>
        </w:tc>
      </w:tr>
      <w:tr w:rsidR="005F78FC" w:rsidTr="005F78FC">
        <w:tc>
          <w:tcPr>
            <w:tcW w:w="0" w:type="auto"/>
            <w:vAlign w:val="center"/>
          </w:tcPr>
          <w:p w:rsidR="005F78FC" w:rsidRDefault="00B42EF3">
            <w:pPr>
              <w:pStyle w:val="TableBodyText"/>
            </w:pPr>
            <w:r>
              <w:lastRenderedPageBreak/>
              <w:t>Faroese</w:t>
            </w:r>
          </w:p>
        </w:tc>
        <w:tc>
          <w:tcPr>
            <w:tcW w:w="0" w:type="auto"/>
            <w:vAlign w:val="center"/>
          </w:tcPr>
          <w:p w:rsidR="005F78FC" w:rsidRDefault="00B42EF3">
            <w:pPr>
              <w:pStyle w:val="TableBodyText"/>
            </w:pPr>
            <w:r>
              <w:t>Faroe Islands</w:t>
            </w:r>
          </w:p>
        </w:tc>
        <w:tc>
          <w:tcPr>
            <w:tcW w:w="0" w:type="auto"/>
            <w:vAlign w:val="center"/>
          </w:tcPr>
          <w:p w:rsidR="005F78FC" w:rsidRDefault="00B42EF3">
            <w:pPr>
              <w:pStyle w:val="TableBodyText"/>
            </w:pPr>
            <w:r>
              <w:t>fo-FO</w:t>
            </w:r>
          </w:p>
        </w:tc>
      </w:tr>
      <w:tr w:rsidR="005F78FC" w:rsidTr="005F78FC">
        <w:tc>
          <w:tcPr>
            <w:tcW w:w="0" w:type="auto"/>
            <w:vAlign w:val="center"/>
          </w:tcPr>
          <w:p w:rsidR="005F78FC" w:rsidRDefault="00B42EF3">
            <w:pPr>
              <w:pStyle w:val="TableBodyText"/>
            </w:pPr>
            <w:r>
              <w:t>Filipino</w:t>
            </w:r>
          </w:p>
        </w:tc>
        <w:tc>
          <w:tcPr>
            <w:tcW w:w="0" w:type="auto"/>
            <w:vAlign w:val="center"/>
          </w:tcPr>
          <w:p w:rsidR="005F78FC" w:rsidRDefault="00B42EF3">
            <w:pPr>
              <w:pStyle w:val="TableBodyText"/>
            </w:pPr>
            <w:r>
              <w:t>Philippines</w:t>
            </w:r>
          </w:p>
        </w:tc>
        <w:tc>
          <w:tcPr>
            <w:tcW w:w="0" w:type="auto"/>
            <w:vAlign w:val="center"/>
          </w:tcPr>
          <w:p w:rsidR="005F78FC" w:rsidRDefault="00B42EF3">
            <w:pPr>
              <w:pStyle w:val="TableBodyText"/>
            </w:pPr>
            <w:r>
              <w:t>fil-PH</w:t>
            </w:r>
          </w:p>
        </w:tc>
      </w:tr>
      <w:tr w:rsidR="005F78FC" w:rsidTr="005F78FC">
        <w:tc>
          <w:tcPr>
            <w:tcW w:w="0" w:type="auto"/>
            <w:vAlign w:val="center"/>
          </w:tcPr>
          <w:p w:rsidR="005F78FC" w:rsidRDefault="00B42EF3">
            <w:pPr>
              <w:pStyle w:val="TableBodyText"/>
            </w:pPr>
            <w:r>
              <w:t>Finnish</w:t>
            </w:r>
          </w:p>
        </w:tc>
        <w:tc>
          <w:tcPr>
            <w:tcW w:w="0" w:type="auto"/>
            <w:vAlign w:val="center"/>
          </w:tcPr>
          <w:p w:rsidR="005F78FC" w:rsidRDefault="00B42EF3">
            <w:pPr>
              <w:pStyle w:val="TableBodyText"/>
            </w:pPr>
            <w:r>
              <w:t>Finland</w:t>
            </w:r>
          </w:p>
        </w:tc>
        <w:tc>
          <w:tcPr>
            <w:tcW w:w="0" w:type="auto"/>
            <w:vAlign w:val="center"/>
          </w:tcPr>
          <w:p w:rsidR="005F78FC" w:rsidRDefault="00B42EF3">
            <w:pPr>
              <w:pStyle w:val="TableBodyText"/>
            </w:pPr>
            <w:r>
              <w:t>fi-FI</w:t>
            </w:r>
          </w:p>
        </w:tc>
      </w:tr>
      <w:tr w:rsidR="005F78FC" w:rsidTr="005F78FC">
        <w:tc>
          <w:tcPr>
            <w:tcW w:w="0" w:type="auto"/>
            <w:vAlign w:val="center"/>
          </w:tcPr>
          <w:p w:rsidR="005F78FC" w:rsidRDefault="00B42EF3">
            <w:pPr>
              <w:pStyle w:val="TableBodyText"/>
            </w:pPr>
            <w:r>
              <w:t>French</w:t>
            </w:r>
          </w:p>
        </w:tc>
        <w:tc>
          <w:tcPr>
            <w:tcW w:w="0" w:type="auto"/>
            <w:vAlign w:val="center"/>
          </w:tcPr>
          <w:p w:rsidR="005F78FC" w:rsidRDefault="00B42EF3">
            <w:pPr>
              <w:pStyle w:val="TableBodyText"/>
            </w:pPr>
            <w:r>
              <w:t>Belgium</w:t>
            </w:r>
          </w:p>
        </w:tc>
        <w:tc>
          <w:tcPr>
            <w:tcW w:w="0" w:type="auto"/>
            <w:vAlign w:val="center"/>
          </w:tcPr>
          <w:p w:rsidR="005F78FC" w:rsidRDefault="00B42EF3">
            <w:pPr>
              <w:pStyle w:val="TableBodyText"/>
            </w:pPr>
            <w:r>
              <w:t>fr-BE</w:t>
            </w:r>
          </w:p>
        </w:tc>
      </w:tr>
      <w:tr w:rsidR="005F78FC" w:rsidTr="005F78FC">
        <w:tc>
          <w:tcPr>
            <w:tcW w:w="0" w:type="auto"/>
            <w:vAlign w:val="center"/>
          </w:tcPr>
          <w:p w:rsidR="005F78FC" w:rsidRDefault="00B42EF3">
            <w:pPr>
              <w:pStyle w:val="TableBodyText"/>
            </w:pPr>
            <w:r>
              <w:t>French</w:t>
            </w:r>
          </w:p>
        </w:tc>
        <w:tc>
          <w:tcPr>
            <w:tcW w:w="0" w:type="auto"/>
            <w:vAlign w:val="center"/>
          </w:tcPr>
          <w:p w:rsidR="005F78FC" w:rsidRDefault="00B42EF3">
            <w:pPr>
              <w:pStyle w:val="TableBodyText"/>
            </w:pPr>
            <w:r>
              <w:t>Canada</w:t>
            </w:r>
          </w:p>
        </w:tc>
        <w:tc>
          <w:tcPr>
            <w:tcW w:w="0" w:type="auto"/>
            <w:vAlign w:val="center"/>
          </w:tcPr>
          <w:p w:rsidR="005F78FC" w:rsidRDefault="00B42EF3">
            <w:pPr>
              <w:pStyle w:val="TableBodyText"/>
            </w:pPr>
            <w:r>
              <w:t>fr-CA</w:t>
            </w:r>
          </w:p>
        </w:tc>
      </w:tr>
      <w:tr w:rsidR="005F78FC" w:rsidTr="005F78FC">
        <w:tc>
          <w:tcPr>
            <w:tcW w:w="0" w:type="auto"/>
            <w:vAlign w:val="center"/>
          </w:tcPr>
          <w:p w:rsidR="005F78FC" w:rsidRDefault="00B42EF3">
            <w:pPr>
              <w:pStyle w:val="TableBodyText"/>
            </w:pPr>
            <w:r>
              <w:t>French</w:t>
            </w:r>
          </w:p>
        </w:tc>
        <w:tc>
          <w:tcPr>
            <w:tcW w:w="0" w:type="auto"/>
            <w:vAlign w:val="center"/>
          </w:tcPr>
          <w:p w:rsidR="005F78FC" w:rsidRDefault="00B42EF3">
            <w:pPr>
              <w:pStyle w:val="TableBodyText"/>
            </w:pPr>
            <w:r>
              <w:t>France</w:t>
            </w:r>
          </w:p>
        </w:tc>
        <w:tc>
          <w:tcPr>
            <w:tcW w:w="0" w:type="auto"/>
            <w:vAlign w:val="center"/>
          </w:tcPr>
          <w:p w:rsidR="005F78FC" w:rsidRDefault="00B42EF3">
            <w:pPr>
              <w:pStyle w:val="TableBodyText"/>
            </w:pPr>
            <w:r>
              <w:t>fr-FR</w:t>
            </w:r>
          </w:p>
        </w:tc>
      </w:tr>
      <w:tr w:rsidR="005F78FC" w:rsidTr="005F78FC">
        <w:tc>
          <w:tcPr>
            <w:tcW w:w="0" w:type="auto"/>
            <w:vAlign w:val="center"/>
          </w:tcPr>
          <w:p w:rsidR="005F78FC" w:rsidRDefault="00B42EF3">
            <w:pPr>
              <w:pStyle w:val="TableBodyText"/>
            </w:pPr>
            <w:r>
              <w:t>French</w:t>
            </w:r>
          </w:p>
        </w:tc>
        <w:tc>
          <w:tcPr>
            <w:tcW w:w="0" w:type="auto"/>
            <w:vAlign w:val="center"/>
          </w:tcPr>
          <w:p w:rsidR="005F78FC" w:rsidRDefault="00B42EF3">
            <w:pPr>
              <w:pStyle w:val="TableBodyText"/>
            </w:pPr>
            <w:r>
              <w:t>Luxembourg</w:t>
            </w:r>
          </w:p>
        </w:tc>
        <w:tc>
          <w:tcPr>
            <w:tcW w:w="0" w:type="auto"/>
            <w:vAlign w:val="center"/>
          </w:tcPr>
          <w:p w:rsidR="005F78FC" w:rsidRDefault="00B42EF3">
            <w:pPr>
              <w:pStyle w:val="TableBodyText"/>
            </w:pPr>
            <w:r>
              <w:t>fr-LU</w:t>
            </w:r>
          </w:p>
        </w:tc>
      </w:tr>
      <w:tr w:rsidR="005F78FC" w:rsidTr="005F78FC">
        <w:tc>
          <w:tcPr>
            <w:tcW w:w="0" w:type="auto"/>
            <w:vAlign w:val="center"/>
          </w:tcPr>
          <w:p w:rsidR="005F78FC" w:rsidRDefault="00B42EF3">
            <w:pPr>
              <w:pStyle w:val="TableBodyText"/>
            </w:pPr>
            <w:r>
              <w:t>French</w:t>
            </w:r>
          </w:p>
        </w:tc>
        <w:tc>
          <w:tcPr>
            <w:tcW w:w="0" w:type="auto"/>
            <w:vAlign w:val="center"/>
          </w:tcPr>
          <w:p w:rsidR="005F78FC" w:rsidRDefault="00B42EF3">
            <w:pPr>
              <w:pStyle w:val="TableBodyText"/>
            </w:pPr>
            <w:r>
              <w:t>Monaco</w:t>
            </w:r>
          </w:p>
        </w:tc>
        <w:tc>
          <w:tcPr>
            <w:tcW w:w="0" w:type="auto"/>
            <w:vAlign w:val="center"/>
          </w:tcPr>
          <w:p w:rsidR="005F78FC" w:rsidRDefault="00B42EF3">
            <w:pPr>
              <w:pStyle w:val="TableBodyText"/>
            </w:pPr>
            <w:r>
              <w:t>fr-MC</w:t>
            </w:r>
          </w:p>
        </w:tc>
      </w:tr>
      <w:tr w:rsidR="005F78FC" w:rsidTr="005F78FC">
        <w:tc>
          <w:tcPr>
            <w:tcW w:w="0" w:type="auto"/>
            <w:vAlign w:val="center"/>
          </w:tcPr>
          <w:p w:rsidR="005F78FC" w:rsidRDefault="00B42EF3">
            <w:pPr>
              <w:pStyle w:val="TableBodyText"/>
            </w:pPr>
            <w:r>
              <w:t>French</w:t>
            </w:r>
          </w:p>
        </w:tc>
        <w:tc>
          <w:tcPr>
            <w:tcW w:w="0" w:type="auto"/>
            <w:vAlign w:val="center"/>
          </w:tcPr>
          <w:p w:rsidR="005F78FC" w:rsidRDefault="00B42EF3">
            <w:pPr>
              <w:pStyle w:val="TableBodyText"/>
            </w:pPr>
            <w:r>
              <w:t>Switzerland</w:t>
            </w:r>
          </w:p>
        </w:tc>
        <w:tc>
          <w:tcPr>
            <w:tcW w:w="0" w:type="auto"/>
            <w:vAlign w:val="center"/>
          </w:tcPr>
          <w:p w:rsidR="005F78FC" w:rsidRDefault="00B42EF3">
            <w:pPr>
              <w:pStyle w:val="TableBodyText"/>
            </w:pPr>
            <w:r>
              <w:t>fr-CH</w:t>
            </w:r>
          </w:p>
        </w:tc>
      </w:tr>
      <w:tr w:rsidR="005F78FC" w:rsidTr="005F78FC">
        <w:tc>
          <w:tcPr>
            <w:tcW w:w="0" w:type="auto"/>
            <w:vAlign w:val="center"/>
          </w:tcPr>
          <w:p w:rsidR="005F78FC" w:rsidRDefault="00B42EF3">
            <w:pPr>
              <w:pStyle w:val="TableBodyText"/>
            </w:pPr>
            <w:r>
              <w:t>Frisian</w:t>
            </w:r>
          </w:p>
        </w:tc>
        <w:tc>
          <w:tcPr>
            <w:tcW w:w="0" w:type="auto"/>
            <w:vAlign w:val="center"/>
          </w:tcPr>
          <w:p w:rsidR="005F78FC" w:rsidRDefault="00B42EF3">
            <w:pPr>
              <w:pStyle w:val="TableBodyText"/>
            </w:pPr>
            <w:r>
              <w:t>Netherlands</w:t>
            </w:r>
          </w:p>
        </w:tc>
        <w:tc>
          <w:tcPr>
            <w:tcW w:w="0" w:type="auto"/>
            <w:vAlign w:val="center"/>
          </w:tcPr>
          <w:p w:rsidR="005F78FC" w:rsidRDefault="00B42EF3">
            <w:pPr>
              <w:pStyle w:val="TableBodyText"/>
            </w:pPr>
            <w:r>
              <w:t>fy-NL</w:t>
            </w:r>
          </w:p>
        </w:tc>
      </w:tr>
      <w:tr w:rsidR="005F78FC" w:rsidTr="005F78FC">
        <w:tc>
          <w:tcPr>
            <w:tcW w:w="0" w:type="auto"/>
            <w:vAlign w:val="center"/>
          </w:tcPr>
          <w:p w:rsidR="005F78FC" w:rsidRDefault="00B42EF3">
            <w:pPr>
              <w:pStyle w:val="TableBodyText"/>
            </w:pPr>
            <w:r>
              <w:t>Galician</w:t>
            </w:r>
          </w:p>
        </w:tc>
        <w:tc>
          <w:tcPr>
            <w:tcW w:w="0" w:type="auto"/>
            <w:vAlign w:val="center"/>
          </w:tcPr>
          <w:p w:rsidR="005F78FC" w:rsidRDefault="00B42EF3">
            <w:pPr>
              <w:pStyle w:val="TableBodyText"/>
            </w:pPr>
            <w:r>
              <w:t>Galicia</w:t>
            </w:r>
          </w:p>
        </w:tc>
        <w:tc>
          <w:tcPr>
            <w:tcW w:w="0" w:type="auto"/>
            <w:vAlign w:val="center"/>
          </w:tcPr>
          <w:p w:rsidR="005F78FC" w:rsidRDefault="00B42EF3">
            <w:pPr>
              <w:pStyle w:val="TableBodyText"/>
            </w:pPr>
            <w:r>
              <w:t>gl-ES</w:t>
            </w:r>
          </w:p>
        </w:tc>
      </w:tr>
      <w:tr w:rsidR="005F78FC" w:rsidTr="005F78FC">
        <w:tc>
          <w:tcPr>
            <w:tcW w:w="0" w:type="auto"/>
            <w:vAlign w:val="center"/>
          </w:tcPr>
          <w:p w:rsidR="005F78FC" w:rsidRDefault="00B42EF3">
            <w:pPr>
              <w:pStyle w:val="TableBodyText"/>
            </w:pPr>
            <w:r>
              <w:t>Georgian</w:t>
            </w:r>
          </w:p>
        </w:tc>
        <w:tc>
          <w:tcPr>
            <w:tcW w:w="0" w:type="auto"/>
            <w:vAlign w:val="center"/>
          </w:tcPr>
          <w:p w:rsidR="005F78FC" w:rsidRDefault="00B42EF3">
            <w:pPr>
              <w:pStyle w:val="TableBodyText"/>
            </w:pPr>
            <w:r>
              <w:t>Georgia</w:t>
            </w:r>
          </w:p>
        </w:tc>
        <w:tc>
          <w:tcPr>
            <w:tcW w:w="0" w:type="auto"/>
            <w:vAlign w:val="center"/>
          </w:tcPr>
          <w:p w:rsidR="005F78FC" w:rsidRDefault="00B42EF3">
            <w:pPr>
              <w:pStyle w:val="TableBodyText"/>
            </w:pPr>
            <w:r>
              <w:t>ka-GE</w:t>
            </w:r>
          </w:p>
        </w:tc>
      </w:tr>
      <w:tr w:rsidR="005F78FC" w:rsidTr="005F78FC">
        <w:tc>
          <w:tcPr>
            <w:tcW w:w="0" w:type="auto"/>
            <w:vAlign w:val="center"/>
          </w:tcPr>
          <w:p w:rsidR="005F78FC" w:rsidRDefault="00B42EF3">
            <w:pPr>
              <w:pStyle w:val="TableBodyText"/>
            </w:pPr>
            <w:r>
              <w:t>German</w:t>
            </w:r>
          </w:p>
        </w:tc>
        <w:tc>
          <w:tcPr>
            <w:tcW w:w="0" w:type="auto"/>
            <w:vAlign w:val="center"/>
          </w:tcPr>
          <w:p w:rsidR="005F78FC" w:rsidRDefault="00B42EF3">
            <w:pPr>
              <w:pStyle w:val="TableBodyText"/>
            </w:pPr>
            <w:r>
              <w:t>Austria</w:t>
            </w:r>
          </w:p>
        </w:tc>
        <w:tc>
          <w:tcPr>
            <w:tcW w:w="0" w:type="auto"/>
            <w:vAlign w:val="center"/>
          </w:tcPr>
          <w:p w:rsidR="005F78FC" w:rsidRDefault="00B42EF3">
            <w:pPr>
              <w:pStyle w:val="TableBodyText"/>
            </w:pPr>
            <w:r>
              <w:t>de-AT</w:t>
            </w:r>
          </w:p>
        </w:tc>
      </w:tr>
      <w:tr w:rsidR="005F78FC" w:rsidTr="005F78FC">
        <w:tc>
          <w:tcPr>
            <w:tcW w:w="0" w:type="auto"/>
            <w:vAlign w:val="center"/>
          </w:tcPr>
          <w:p w:rsidR="005F78FC" w:rsidRDefault="00B42EF3">
            <w:pPr>
              <w:pStyle w:val="TableBodyText"/>
            </w:pPr>
            <w:r>
              <w:t>German</w:t>
            </w:r>
          </w:p>
        </w:tc>
        <w:tc>
          <w:tcPr>
            <w:tcW w:w="0" w:type="auto"/>
            <w:vAlign w:val="center"/>
          </w:tcPr>
          <w:p w:rsidR="005F78FC" w:rsidRDefault="00B42EF3">
            <w:pPr>
              <w:pStyle w:val="TableBodyText"/>
            </w:pPr>
            <w:r>
              <w:t>Germany</w:t>
            </w:r>
          </w:p>
        </w:tc>
        <w:tc>
          <w:tcPr>
            <w:tcW w:w="0" w:type="auto"/>
            <w:vAlign w:val="center"/>
          </w:tcPr>
          <w:p w:rsidR="005F78FC" w:rsidRDefault="00B42EF3">
            <w:pPr>
              <w:pStyle w:val="TableBodyText"/>
            </w:pPr>
            <w:r>
              <w:t>de-DE</w:t>
            </w:r>
          </w:p>
        </w:tc>
      </w:tr>
      <w:tr w:rsidR="005F78FC" w:rsidTr="005F78FC">
        <w:tc>
          <w:tcPr>
            <w:tcW w:w="0" w:type="auto"/>
            <w:vAlign w:val="center"/>
          </w:tcPr>
          <w:p w:rsidR="005F78FC" w:rsidRDefault="00B42EF3">
            <w:pPr>
              <w:pStyle w:val="TableBodyText"/>
            </w:pPr>
            <w:r>
              <w:t>German</w:t>
            </w:r>
          </w:p>
        </w:tc>
        <w:tc>
          <w:tcPr>
            <w:tcW w:w="0" w:type="auto"/>
            <w:vAlign w:val="center"/>
          </w:tcPr>
          <w:p w:rsidR="005F78FC" w:rsidRDefault="00B42EF3">
            <w:pPr>
              <w:pStyle w:val="TableBodyText"/>
            </w:pPr>
            <w:r>
              <w:t>Liechtenstein</w:t>
            </w:r>
          </w:p>
        </w:tc>
        <w:tc>
          <w:tcPr>
            <w:tcW w:w="0" w:type="auto"/>
            <w:vAlign w:val="center"/>
          </w:tcPr>
          <w:p w:rsidR="005F78FC" w:rsidRDefault="00B42EF3">
            <w:pPr>
              <w:pStyle w:val="TableBodyText"/>
            </w:pPr>
            <w:r>
              <w:t>de-LI</w:t>
            </w:r>
          </w:p>
        </w:tc>
      </w:tr>
      <w:tr w:rsidR="005F78FC" w:rsidTr="005F78FC">
        <w:tc>
          <w:tcPr>
            <w:tcW w:w="0" w:type="auto"/>
            <w:vAlign w:val="center"/>
          </w:tcPr>
          <w:p w:rsidR="005F78FC" w:rsidRDefault="00B42EF3">
            <w:pPr>
              <w:pStyle w:val="TableBodyText"/>
            </w:pPr>
            <w:r>
              <w:t>German</w:t>
            </w:r>
          </w:p>
        </w:tc>
        <w:tc>
          <w:tcPr>
            <w:tcW w:w="0" w:type="auto"/>
            <w:vAlign w:val="center"/>
          </w:tcPr>
          <w:p w:rsidR="005F78FC" w:rsidRDefault="00B42EF3">
            <w:pPr>
              <w:pStyle w:val="TableBodyText"/>
            </w:pPr>
            <w:r>
              <w:t>Luxembourg</w:t>
            </w:r>
          </w:p>
        </w:tc>
        <w:tc>
          <w:tcPr>
            <w:tcW w:w="0" w:type="auto"/>
            <w:vAlign w:val="center"/>
          </w:tcPr>
          <w:p w:rsidR="005F78FC" w:rsidRDefault="00B42EF3">
            <w:pPr>
              <w:pStyle w:val="TableBodyText"/>
            </w:pPr>
            <w:r>
              <w:t>de-LU</w:t>
            </w:r>
          </w:p>
        </w:tc>
      </w:tr>
      <w:tr w:rsidR="005F78FC" w:rsidTr="005F78FC">
        <w:tc>
          <w:tcPr>
            <w:tcW w:w="0" w:type="auto"/>
            <w:vAlign w:val="center"/>
          </w:tcPr>
          <w:p w:rsidR="005F78FC" w:rsidRDefault="00B42EF3">
            <w:pPr>
              <w:pStyle w:val="TableBodyText"/>
            </w:pPr>
            <w:r>
              <w:t>German</w:t>
            </w:r>
          </w:p>
        </w:tc>
        <w:tc>
          <w:tcPr>
            <w:tcW w:w="0" w:type="auto"/>
            <w:vAlign w:val="center"/>
          </w:tcPr>
          <w:p w:rsidR="005F78FC" w:rsidRDefault="00B42EF3">
            <w:pPr>
              <w:pStyle w:val="TableBodyText"/>
            </w:pPr>
            <w:r>
              <w:t>Switzerland</w:t>
            </w:r>
          </w:p>
        </w:tc>
        <w:tc>
          <w:tcPr>
            <w:tcW w:w="0" w:type="auto"/>
            <w:vAlign w:val="center"/>
          </w:tcPr>
          <w:p w:rsidR="005F78FC" w:rsidRDefault="00B42EF3">
            <w:pPr>
              <w:pStyle w:val="TableBodyText"/>
            </w:pPr>
            <w:r>
              <w:t>de-CH</w:t>
            </w:r>
          </w:p>
        </w:tc>
      </w:tr>
      <w:tr w:rsidR="005F78FC" w:rsidTr="005F78FC">
        <w:tc>
          <w:tcPr>
            <w:tcW w:w="0" w:type="auto"/>
            <w:vAlign w:val="center"/>
          </w:tcPr>
          <w:p w:rsidR="005F78FC" w:rsidRDefault="00B42EF3">
            <w:pPr>
              <w:pStyle w:val="TableBodyText"/>
            </w:pPr>
            <w:r>
              <w:t>Greek</w:t>
            </w:r>
          </w:p>
        </w:tc>
        <w:tc>
          <w:tcPr>
            <w:tcW w:w="0" w:type="auto"/>
            <w:vAlign w:val="center"/>
          </w:tcPr>
          <w:p w:rsidR="005F78FC" w:rsidRDefault="00B42EF3">
            <w:pPr>
              <w:pStyle w:val="TableBodyText"/>
            </w:pPr>
            <w:r>
              <w:t>Greece</w:t>
            </w:r>
          </w:p>
        </w:tc>
        <w:tc>
          <w:tcPr>
            <w:tcW w:w="0" w:type="auto"/>
            <w:vAlign w:val="center"/>
          </w:tcPr>
          <w:p w:rsidR="005F78FC" w:rsidRDefault="00B42EF3">
            <w:pPr>
              <w:pStyle w:val="TableBodyText"/>
            </w:pPr>
            <w:r>
              <w:t>el-GR</w:t>
            </w:r>
          </w:p>
        </w:tc>
      </w:tr>
      <w:tr w:rsidR="005F78FC" w:rsidTr="005F78FC">
        <w:tc>
          <w:tcPr>
            <w:tcW w:w="0" w:type="auto"/>
            <w:vAlign w:val="center"/>
          </w:tcPr>
          <w:p w:rsidR="005F78FC" w:rsidRDefault="00B42EF3">
            <w:pPr>
              <w:pStyle w:val="TableBodyText"/>
            </w:pPr>
            <w:r>
              <w:t>Greenlandic</w:t>
            </w:r>
          </w:p>
        </w:tc>
        <w:tc>
          <w:tcPr>
            <w:tcW w:w="0" w:type="auto"/>
            <w:vAlign w:val="center"/>
          </w:tcPr>
          <w:p w:rsidR="005F78FC" w:rsidRDefault="00B42EF3">
            <w:pPr>
              <w:pStyle w:val="TableBodyText"/>
            </w:pPr>
            <w:r>
              <w:t>Greenland</w:t>
            </w:r>
          </w:p>
        </w:tc>
        <w:tc>
          <w:tcPr>
            <w:tcW w:w="0" w:type="auto"/>
            <w:vAlign w:val="center"/>
          </w:tcPr>
          <w:p w:rsidR="005F78FC" w:rsidRDefault="00B42EF3">
            <w:pPr>
              <w:pStyle w:val="TableBodyText"/>
            </w:pPr>
            <w:r>
              <w:t>kl-GL</w:t>
            </w:r>
          </w:p>
        </w:tc>
      </w:tr>
      <w:tr w:rsidR="005F78FC" w:rsidTr="005F78FC">
        <w:tc>
          <w:tcPr>
            <w:tcW w:w="0" w:type="auto"/>
            <w:vAlign w:val="center"/>
          </w:tcPr>
          <w:p w:rsidR="005F78FC" w:rsidRDefault="00B42EF3">
            <w:pPr>
              <w:pStyle w:val="TableBodyText"/>
            </w:pPr>
            <w:r>
              <w:t>Gujarati (Gujarati Script)</w:t>
            </w:r>
          </w:p>
        </w:tc>
        <w:tc>
          <w:tcPr>
            <w:tcW w:w="0" w:type="auto"/>
            <w:vAlign w:val="center"/>
          </w:tcPr>
          <w:p w:rsidR="005F78FC" w:rsidRDefault="00B42EF3">
            <w:pPr>
              <w:pStyle w:val="TableBodyText"/>
            </w:pPr>
            <w:r>
              <w:t xml:space="preserve">India </w:t>
            </w:r>
          </w:p>
        </w:tc>
        <w:tc>
          <w:tcPr>
            <w:tcW w:w="0" w:type="auto"/>
            <w:vAlign w:val="center"/>
          </w:tcPr>
          <w:p w:rsidR="005F78FC" w:rsidRDefault="00B42EF3">
            <w:pPr>
              <w:pStyle w:val="TableBodyText"/>
            </w:pPr>
            <w:r>
              <w:t>gu-IN</w:t>
            </w:r>
          </w:p>
        </w:tc>
      </w:tr>
      <w:tr w:rsidR="005F78FC" w:rsidTr="005F78FC">
        <w:tc>
          <w:tcPr>
            <w:tcW w:w="0" w:type="auto"/>
            <w:vAlign w:val="center"/>
          </w:tcPr>
          <w:p w:rsidR="005F78FC" w:rsidRDefault="00B42EF3">
            <w:pPr>
              <w:pStyle w:val="TableBodyText"/>
            </w:pPr>
            <w:r>
              <w:t>Hausa (Latin)</w:t>
            </w:r>
          </w:p>
        </w:tc>
        <w:tc>
          <w:tcPr>
            <w:tcW w:w="0" w:type="auto"/>
            <w:vAlign w:val="center"/>
          </w:tcPr>
          <w:p w:rsidR="005F78FC" w:rsidRDefault="00B42EF3">
            <w:pPr>
              <w:pStyle w:val="TableBodyText"/>
            </w:pPr>
            <w:r>
              <w:t>Nigeria</w:t>
            </w:r>
          </w:p>
        </w:tc>
        <w:tc>
          <w:tcPr>
            <w:tcW w:w="0" w:type="auto"/>
            <w:vAlign w:val="center"/>
          </w:tcPr>
          <w:p w:rsidR="005F78FC" w:rsidRDefault="00B42EF3">
            <w:pPr>
              <w:pStyle w:val="TableBodyText"/>
            </w:pPr>
            <w:r>
              <w:t xml:space="preserve">ha-NG-Latn </w:t>
            </w:r>
          </w:p>
        </w:tc>
      </w:tr>
      <w:tr w:rsidR="005F78FC" w:rsidTr="005F78FC">
        <w:tc>
          <w:tcPr>
            <w:tcW w:w="0" w:type="auto"/>
            <w:vAlign w:val="center"/>
          </w:tcPr>
          <w:p w:rsidR="005F78FC" w:rsidRDefault="00B42EF3">
            <w:pPr>
              <w:pStyle w:val="TableBodyText"/>
            </w:pPr>
            <w:r>
              <w:t>Hebrew</w:t>
            </w:r>
          </w:p>
        </w:tc>
        <w:tc>
          <w:tcPr>
            <w:tcW w:w="0" w:type="auto"/>
            <w:vAlign w:val="center"/>
          </w:tcPr>
          <w:p w:rsidR="005F78FC" w:rsidRDefault="00B42EF3">
            <w:pPr>
              <w:pStyle w:val="TableBodyText"/>
            </w:pPr>
            <w:r>
              <w:t>Israel</w:t>
            </w:r>
          </w:p>
        </w:tc>
        <w:tc>
          <w:tcPr>
            <w:tcW w:w="0" w:type="auto"/>
            <w:vAlign w:val="center"/>
          </w:tcPr>
          <w:p w:rsidR="005F78FC" w:rsidRDefault="00B42EF3">
            <w:pPr>
              <w:pStyle w:val="TableBodyText"/>
            </w:pPr>
            <w:r>
              <w:t>he-IL</w:t>
            </w:r>
          </w:p>
        </w:tc>
      </w:tr>
      <w:tr w:rsidR="005F78FC" w:rsidTr="005F78FC">
        <w:tc>
          <w:tcPr>
            <w:tcW w:w="0" w:type="auto"/>
            <w:vAlign w:val="center"/>
          </w:tcPr>
          <w:p w:rsidR="005F78FC" w:rsidRDefault="00B42EF3">
            <w:pPr>
              <w:pStyle w:val="TableBodyText"/>
            </w:pPr>
            <w:r>
              <w:t>Hindi</w:t>
            </w:r>
          </w:p>
        </w:tc>
        <w:tc>
          <w:tcPr>
            <w:tcW w:w="0" w:type="auto"/>
            <w:vAlign w:val="center"/>
          </w:tcPr>
          <w:p w:rsidR="005F78FC" w:rsidRDefault="00B42EF3">
            <w:pPr>
              <w:pStyle w:val="TableBodyText"/>
            </w:pPr>
            <w:r>
              <w:t>India</w:t>
            </w:r>
          </w:p>
        </w:tc>
        <w:tc>
          <w:tcPr>
            <w:tcW w:w="0" w:type="auto"/>
            <w:vAlign w:val="center"/>
          </w:tcPr>
          <w:p w:rsidR="005F78FC" w:rsidRDefault="00B42EF3">
            <w:pPr>
              <w:pStyle w:val="TableBodyText"/>
            </w:pPr>
            <w:r>
              <w:t>hi-IN</w:t>
            </w:r>
          </w:p>
        </w:tc>
      </w:tr>
      <w:tr w:rsidR="005F78FC" w:rsidTr="005F78FC">
        <w:tc>
          <w:tcPr>
            <w:tcW w:w="0" w:type="auto"/>
            <w:vAlign w:val="center"/>
          </w:tcPr>
          <w:p w:rsidR="005F78FC" w:rsidRDefault="00B42EF3">
            <w:pPr>
              <w:pStyle w:val="TableBodyText"/>
            </w:pPr>
            <w:r>
              <w:t>Hungarian</w:t>
            </w:r>
          </w:p>
        </w:tc>
        <w:tc>
          <w:tcPr>
            <w:tcW w:w="0" w:type="auto"/>
            <w:vAlign w:val="center"/>
          </w:tcPr>
          <w:p w:rsidR="005F78FC" w:rsidRDefault="00B42EF3">
            <w:pPr>
              <w:pStyle w:val="TableBodyText"/>
            </w:pPr>
            <w:r>
              <w:t>Hungary</w:t>
            </w:r>
          </w:p>
        </w:tc>
        <w:tc>
          <w:tcPr>
            <w:tcW w:w="0" w:type="auto"/>
            <w:vAlign w:val="center"/>
          </w:tcPr>
          <w:p w:rsidR="005F78FC" w:rsidRDefault="00B42EF3">
            <w:pPr>
              <w:pStyle w:val="TableBodyText"/>
            </w:pPr>
            <w:r>
              <w:t>hu-HU</w:t>
            </w:r>
          </w:p>
        </w:tc>
      </w:tr>
      <w:tr w:rsidR="005F78FC" w:rsidTr="005F78FC">
        <w:tc>
          <w:tcPr>
            <w:tcW w:w="0" w:type="auto"/>
            <w:vAlign w:val="center"/>
          </w:tcPr>
          <w:p w:rsidR="005F78FC" w:rsidRDefault="00B42EF3">
            <w:pPr>
              <w:pStyle w:val="TableBodyText"/>
            </w:pPr>
            <w:r>
              <w:t>Icelandic</w:t>
            </w:r>
          </w:p>
        </w:tc>
        <w:tc>
          <w:tcPr>
            <w:tcW w:w="0" w:type="auto"/>
            <w:vAlign w:val="center"/>
          </w:tcPr>
          <w:p w:rsidR="005F78FC" w:rsidRDefault="00B42EF3">
            <w:pPr>
              <w:pStyle w:val="TableBodyText"/>
            </w:pPr>
            <w:r>
              <w:t>Iceland</w:t>
            </w:r>
          </w:p>
        </w:tc>
        <w:tc>
          <w:tcPr>
            <w:tcW w:w="0" w:type="auto"/>
            <w:vAlign w:val="center"/>
          </w:tcPr>
          <w:p w:rsidR="005F78FC" w:rsidRDefault="00B42EF3">
            <w:pPr>
              <w:pStyle w:val="TableBodyText"/>
            </w:pPr>
            <w:r>
              <w:t>is-IS</w:t>
            </w:r>
          </w:p>
        </w:tc>
      </w:tr>
      <w:tr w:rsidR="005F78FC" w:rsidTr="005F78FC">
        <w:tc>
          <w:tcPr>
            <w:tcW w:w="0" w:type="auto"/>
            <w:vAlign w:val="center"/>
          </w:tcPr>
          <w:p w:rsidR="005F78FC" w:rsidRDefault="00B42EF3">
            <w:pPr>
              <w:pStyle w:val="TableBodyText"/>
            </w:pPr>
            <w:r>
              <w:t xml:space="preserve">Igbo </w:t>
            </w:r>
          </w:p>
        </w:tc>
        <w:tc>
          <w:tcPr>
            <w:tcW w:w="0" w:type="auto"/>
            <w:vAlign w:val="center"/>
          </w:tcPr>
          <w:p w:rsidR="005F78FC" w:rsidRDefault="00B42EF3">
            <w:pPr>
              <w:pStyle w:val="TableBodyText"/>
            </w:pPr>
            <w:r>
              <w:t>Nigeria</w:t>
            </w:r>
          </w:p>
        </w:tc>
        <w:tc>
          <w:tcPr>
            <w:tcW w:w="0" w:type="auto"/>
            <w:vAlign w:val="center"/>
          </w:tcPr>
          <w:p w:rsidR="005F78FC" w:rsidRDefault="00B42EF3">
            <w:pPr>
              <w:pStyle w:val="TableBodyText"/>
            </w:pPr>
            <w:r>
              <w:t xml:space="preserve">ig-NG </w:t>
            </w:r>
          </w:p>
        </w:tc>
      </w:tr>
      <w:tr w:rsidR="005F78FC" w:rsidTr="005F78FC">
        <w:tc>
          <w:tcPr>
            <w:tcW w:w="0" w:type="auto"/>
            <w:vAlign w:val="center"/>
          </w:tcPr>
          <w:p w:rsidR="005F78FC" w:rsidRDefault="00B42EF3">
            <w:pPr>
              <w:pStyle w:val="TableBodyText"/>
            </w:pPr>
            <w:r>
              <w:t>Inari Sami</w:t>
            </w:r>
          </w:p>
        </w:tc>
        <w:tc>
          <w:tcPr>
            <w:tcW w:w="0" w:type="auto"/>
            <w:vAlign w:val="center"/>
          </w:tcPr>
          <w:p w:rsidR="005F78FC" w:rsidRDefault="00B42EF3">
            <w:pPr>
              <w:pStyle w:val="TableBodyText"/>
            </w:pPr>
            <w:r>
              <w:t>Finland</w:t>
            </w:r>
          </w:p>
        </w:tc>
        <w:tc>
          <w:tcPr>
            <w:tcW w:w="0" w:type="auto"/>
            <w:vAlign w:val="center"/>
          </w:tcPr>
          <w:p w:rsidR="005F78FC" w:rsidRDefault="00B42EF3">
            <w:pPr>
              <w:pStyle w:val="TableBodyText"/>
            </w:pPr>
            <w:r>
              <w:t>smn-FI</w:t>
            </w:r>
          </w:p>
        </w:tc>
      </w:tr>
      <w:tr w:rsidR="005F78FC" w:rsidTr="005F78FC">
        <w:tc>
          <w:tcPr>
            <w:tcW w:w="0" w:type="auto"/>
            <w:vAlign w:val="center"/>
          </w:tcPr>
          <w:p w:rsidR="005F78FC" w:rsidRDefault="00B42EF3">
            <w:pPr>
              <w:pStyle w:val="TableBodyText"/>
            </w:pPr>
            <w:r>
              <w:t>Indonesian</w:t>
            </w:r>
          </w:p>
        </w:tc>
        <w:tc>
          <w:tcPr>
            <w:tcW w:w="0" w:type="auto"/>
            <w:vAlign w:val="center"/>
          </w:tcPr>
          <w:p w:rsidR="005F78FC" w:rsidRDefault="00B42EF3">
            <w:pPr>
              <w:pStyle w:val="TableBodyText"/>
            </w:pPr>
            <w:r>
              <w:t>Indonesia</w:t>
            </w:r>
          </w:p>
        </w:tc>
        <w:tc>
          <w:tcPr>
            <w:tcW w:w="0" w:type="auto"/>
            <w:vAlign w:val="center"/>
          </w:tcPr>
          <w:p w:rsidR="005F78FC" w:rsidRDefault="00B42EF3">
            <w:pPr>
              <w:pStyle w:val="TableBodyText"/>
            </w:pPr>
            <w:r>
              <w:t>id-ID</w:t>
            </w:r>
          </w:p>
        </w:tc>
      </w:tr>
      <w:tr w:rsidR="005F78FC" w:rsidTr="005F78FC">
        <w:tc>
          <w:tcPr>
            <w:tcW w:w="0" w:type="auto"/>
            <w:vAlign w:val="center"/>
          </w:tcPr>
          <w:p w:rsidR="005F78FC" w:rsidRDefault="00B42EF3">
            <w:pPr>
              <w:pStyle w:val="TableBodyText"/>
            </w:pPr>
            <w:r>
              <w:t>Inuktitut (Latin)</w:t>
            </w:r>
          </w:p>
        </w:tc>
        <w:tc>
          <w:tcPr>
            <w:tcW w:w="0" w:type="auto"/>
            <w:vAlign w:val="center"/>
          </w:tcPr>
          <w:p w:rsidR="005F78FC" w:rsidRDefault="00B42EF3">
            <w:pPr>
              <w:pStyle w:val="TableBodyText"/>
            </w:pPr>
            <w:r>
              <w:t>Canada</w:t>
            </w:r>
          </w:p>
        </w:tc>
        <w:tc>
          <w:tcPr>
            <w:tcW w:w="0" w:type="auto"/>
            <w:vAlign w:val="center"/>
          </w:tcPr>
          <w:p w:rsidR="005F78FC" w:rsidRDefault="00B42EF3">
            <w:pPr>
              <w:pStyle w:val="TableBodyText"/>
            </w:pPr>
            <w:r>
              <w:t>iu-CA-Latn</w:t>
            </w:r>
          </w:p>
        </w:tc>
      </w:tr>
      <w:tr w:rsidR="005F78FC" w:rsidTr="005F78FC">
        <w:tc>
          <w:tcPr>
            <w:tcW w:w="0" w:type="auto"/>
            <w:vAlign w:val="center"/>
          </w:tcPr>
          <w:p w:rsidR="005F78FC" w:rsidRDefault="00B42EF3">
            <w:pPr>
              <w:pStyle w:val="TableBodyText"/>
            </w:pPr>
            <w:r>
              <w:t>Inuktitut (Syllabics)</w:t>
            </w:r>
          </w:p>
        </w:tc>
        <w:tc>
          <w:tcPr>
            <w:tcW w:w="0" w:type="auto"/>
            <w:vAlign w:val="center"/>
          </w:tcPr>
          <w:p w:rsidR="005F78FC" w:rsidRDefault="00B42EF3">
            <w:pPr>
              <w:pStyle w:val="TableBodyText"/>
            </w:pPr>
            <w:r>
              <w:t>Canada</w:t>
            </w:r>
          </w:p>
        </w:tc>
        <w:tc>
          <w:tcPr>
            <w:tcW w:w="0" w:type="auto"/>
            <w:vAlign w:val="center"/>
          </w:tcPr>
          <w:p w:rsidR="005F78FC" w:rsidRDefault="00B42EF3">
            <w:pPr>
              <w:pStyle w:val="TableBodyText"/>
            </w:pPr>
            <w:r>
              <w:t>iu-CA-Cans</w:t>
            </w:r>
          </w:p>
        </w:tc>
      </w:tr>
      <w:tr w:rsidR="005F78FC" w:rsidTr="005F78FC">
        <w:tc>
          <w:tcPr>
            <w:tcW w:w="0" w:type="auto"/>
            <w:vAlign w:val="center"/>
          </w:tcPr>
          <w:p w:rsidR="005F78FC" w:rsidRDefault="00B42EF3">
            <w:pPr>
              <w:pStyle w:val="TableBodyText"/>
            </w:pPr>
            <w:r>
              <w:t>Irish</w:t>
            </w:r>
          </w:p>
        </w:tc>
        <w:tc>
          <w:tcPr>
            <w:tcW w:w="0" w:type="auto"/>
            <w:vAlign w:val="center"/>
          </w:tcPr>
          <w:p w:rsidR="005F78FC" w:rsidRDefault="00B42EF3">
            <w:pPr>
              <w:pStyle w:val="TableBodyText"/>
            </w:pPr>
            <w:r>
              <w:t>Ireland</w:t>
            </w:r>
          </w:p>
        </w:tc>
        <w:tc>
          <w:tcPr>
            <w:tcW w:w="0" w:type="auto"/>
            <w:vAlign w:val="center"/>
          </w:tcPr>
          <w:p w:rsidR="005F78FC" w:rsidRDefault="00B42EF3">
            <w:pPr>
              <w:pStyle w:val="TableBodyText"/>
            </w:pPr>
            <w:r>
              <w:t>ga-IE</w:t>
            </w:r>
          </w:p>
        </w:tc>
      </w:tr>
      <w:tr w:rsidR="005F78FC" w:rsidTr="005F78FC">
        <w:tc>
          <w:tcPr>
            <w:tcW w:w="0" w:type="auto"/>
            <w:vAlign w:val="center"/>
          </w:tcPr>
          <w:p w:rsidR="005F78FC" w:rsidRDefault="00B42EF3">
            <w:pPr>
              <w:pStyle w:val="TableBodyText"/>
            </w:pPr>
            <w:r>
              <w:t>isiXhosa / Xhosa</w:t>
            </w:r>
          </w:p>
        </w:tc>
        <w:tc>
          <w:tcPr>
            <w:tcW w:w="0" w:type="auto"/>
            <w:vAlign w:val="center"/>
          </w:tcPr>
          <w:p w:rsidR="005F78FC" w:rsidRDefault="00B42EF3">
            <w:pPr>
              <w:pStyle w:val="TableBodyText"/>
            </w:pPr>
            <w:r>
              <w:t>South Africa</w:t>
            </w:r>
          </w:p>
        </w:tc>
        <w:tc>
          <w:tcPr>
            <w:tcW w:w="0" w:type="auto"/>
            <w:vAlign w:val="center"/>
          </w:tcPr>
          <w:p w:rsidR="005F78FC" w:rsidRDefault="00B42EF3">
            <w:pPr>
              <w:pStyle w:val="TableBodyText"/>
            </w:pPr>
            <w:r>
              <w:t>xh-ZA</w:t>
            </w:r>
          </w:p>
        </w:tc>
      </w:tr>
      <w:tr w:rsidR="005F78FC" w:rsidTr="005F78FC">
        <w:tc>
          <w:tcPr>
            <w:tcW w:w="0" w:type="auto"/>
            <w:vAlign w:val="center"/>
          </w:tcPr>
          <w:p w:rsidR="005F78FC" w:rsidRDefault="00B42EF3">
            <w:pPr>
              <w:pStyle w:val="TableBodyText"/>
            </w:pPr>
            <w:r>
              <w:lastRenderedPageBreak/>
              <w:t>isiZulu / Zulu</w:t>
            </w:r>
          </w:p>
        </w:tc>
        <w:tc>
          <w:tcPr>
            <w:tcW w:w="0" w:type="auto"/>
            <w:vAlign w:val="center"/>
          </w:tcPr>
          <w:p w:rsidR="005F78FC" w:rsidRDefault="00B42EF3">
            <w:pPr>
              <w:pStyle w:val="TableBodyText"/>
            </w:pPr>
            <w:r>
              <w:t>South Africa</w:t>
            </w:r>
          </w:p>
        </w:tc>
        <w:tc>
          <w:tcPr>
            <w:tcW w:w="0" w:type="auto"/>
            <w:vAlign w:val="center"/>
          </w:tcPr>
          <w:p w:rsidR="005F78FC" w:rsidRDefault="00B42EF3">
            <w:pPr>
              <w:pStyle w:val="TableBodyText"/>
            </w:pPr>
            <w:r>
              <w:t>zu-ZA</w:t>
            </w:r>
          </w:p>
        </w:tc>
      </w:tr>
      <w:tr w:rsidR="005F78FC" w:rsidTr="005F78FC">
        <w:tc>
          <w:tcPr>
            <w:tcW w:w="0" w:type="auto"/>
            <w:vAlign w:val="center"/>
          </w:tcPr>
          <w:p w:rsidR="005F78FC" w:rsidRDefault="00B42EF3">
            <w:pPr>
              <w:pStyle w:val="TableBodyText"/>
            </w:pPr>
            <w:r>
              <w:t>Italian</w:t>
            </w:r>
          </w:p>
        </w:tc>
        <w:tc>
          <w:tcPr>
            <w:tcW w:w="0" w:type="auto"/>
            <w:vAlign w:val="center"/>
          </w:tcPr>
          <w:p w:rsidR="005F78FC" w:rsidRDefault="00B42EF3">
            <w:pPr>
              <w:pStyle w:val="TableBodyText"/>
            </w:pPr>
            <w:r>
              <w:t>Italy</w:t>
            </w:r>
          </w:p>
        </w:tc>
        <w:tc>
          <w:tcPr>
            <w:tcW w:w="0" w:type="auto"/>
            <w:vAlign w:val="center"/>
          </w:tcPr>
          <w:p w:rsidR="005F78FC" w:rsidRDefault="00B42EF3">
            <w:pPr>
              <w:pStyle w:val="TableBodyText"/>
            </w:pPr>
            <w:r>
              <w:t>it-IT</w:t>
            </w:r>
          </w:p>
        </w:tc>
      </w:tr>
      <w:tr w:rsidR="005F78FC" w:rsidTr="005F78FC">
        <w:tc>
          <w:tcPr>
            <w:tcW w:w="0" w:type="auto"/>
            <w:vAlign w:val="center"/>
          </w:tcPr>
          <w:p w:rsidR="005F78FC" w:rsidRDefault="00B42EF3">
            <w:pPr>
              <w:pStyle w:val="TableBodyText"/>
            </w:pPr>
            <w:r>
              <w:t>Italian</w:t>
            </w:r>
          </w:p>
        </w:tc>
        <w:tc>
          <w:tcPr>
            <w:tcW w:w="0" w:type="auto"/>
            <w:vAlign w:val="center"/>
          </w:tcPr>
          <w:p w:rsidR="005F78FC" w:rsidRDefault="00B42EF3">
            <w:pPr>
              <w:pStyle w:val="TableBodyText"/>
            </w:pPr>
            <w:r>
              <w:t>Switzerland</w:t>
            </w:r>
          </w:p>
        </w:tc>
        <w:tc>
          <w:tcPr>
            <w:tcW w:w="0" w:type="auto"/>
            <w:vAlign w:val="center"/>
          </w:tcPr>
          <w:p w:rsidR="005F78FC" w:rsidRDefault="00B42EF3">
            <w:pPr>
              <w:pStyle w:val="TableBodyText"/>
            </w:pPr>
            <w:r>
              <w:t>it-CH</w:t>
            </w:r>
          </w:p>
        </w:tc>
      </w:tr>
      <w:tr w:rsidR="005F78FC" w:rsidTr="005F78FC">
        <w:tc>
          <w:tcPr>
            <w:tcW w:w="0" w:type="auto"/>
            <w:vAlign w:val="center"/>
          </w:tcPr>
          <w:p w:rsidR="005F78FC" w:rsidRDefault="00B42EF3">
            <w:pPr>
              <w:pStyle w:val="TableBodyText"/>
            </w:pPr>
            <w:r>
              <w:t>Japanese</w:t>
            </w:r>
          </w:p>
        </w:tc>
        <w:tc>
          <w:tcPr>
            <w:tcW w:w="0" w:type="auto"/>
            <w:vAlign w:val="center"/>
          </w:tcPr>
          <w:p w:rsidR="005F78FC" w:rsidRDefault="00B42EF3">
            <w:pPr>
              <w:pStyle w:val="TableBodyText"/>
            </w:pPr>
            <w:r>
              <w:t>Japan</w:t>
            </w:r>
          </w:p>
        </w:tc>
        <w:tc>
          <w:tcPr>
            <w:tcW w:w="0" w:type="auto"/>
            <w:vAlign w:val="center"/>
          </w:tcPr>
          <w:p w:rsidR="005F78FC" w:rsidRDefault="00B42EF3">
            <w:pPr>
              <w:pStyle w:val="TableBodyText"/>
            </w:pPr>
            <w:r>
              <w:t>ja-JP</w:t>
            </w:r>
          </w:p>
        </w:tc>
      </w:tr>
      <w:tr w:rsidR="005F78FC" w:rsidTr="005F78FC">
        <w:tc>
          <w:tcPr>
            <w:tcW w:w="0" w:type="auto"/>
            <w:vAlign w:val="center"/>
          </w:tcPr>
          <w:p w:rsidR="005F78FC" w:rsidRDefault="00B42EF3">
            <w:pPr>
              <w:pStyle w:val="TableBodyText"/>
            </w:pPr>
            <w:r>
              <w:t>Kannada (Kannada Script)</w:t>
            </w:r>
          </w:p>
        </w:tc>
        <w:tc>
          <w:tcPr>
            <w:tcW w:w="0" w:type="auto"/>
            <w:vAlign w:val="center"/>
          </w:tcPr>
          <w:p w:rsidR="005F78FC" w:rsidRDefault="00B42EF3">
            <w:pPr>
              <w:pStyle w:val="TableBodyText"/>
            </w:pPr>
            <w:r>
              <w:t>India</w:t>
            </w:r>
          </w:p>
        </w:tc>
        <w:tc>
          <w:tcPr>
            <w:tcW w:w="0" w:type="auto"/>
            <w:vAlign w:val="center"/>
          </w:tcPr>
          <w:p w:rsidR="005F78FC" w:rsidRDefault="00B42EF3">
            <w:pPr>
              <w:pStyle w:val="TableBodyText"/>
            </w:pPr>
            <w:r>
              <w:t>kn-IN</w:t>
            </w:r>
          </w:p>
        </w:tc>
      </w:tr>
      <w:tr w:rsidR="005F78FC" w:rsidTr="005F78FC">
        <w:tc>
          <w:tcPr>
            <w:tcW w:w="0" w:type="auto"/>
            <w:vAlign w:val="center"/>
          </w:tcPr>
          <w:p w:rsidR="005F78FC" w:rsidRDefault="00B42EF3">
            <w:pPr>
              <w:pStyle w:val="TableBodyText"/>
            </w:pPr>
            <w:r>
              <w:t>Kazakh</w:t>
            </w:r>
          </w:p>
        </w:tc>
        <w:tc>
          <w:tcPr>
            <w:tcW w:w="0" w:type="auto"/>
            <w:vAlign w:val="center"/>
          </w:tcPr>
          <w:p w:rsidR="005F78FC" w:rsidRDefault="00B42EF3">
            <w:pPr>
              <w:pStyle w:val="TableBodyText"/>
            </w:pPr>
            <w:r>
              <w:t>Kazakhstan</w:t>
            </w:r>
          </w:p>
        </w:tc>
        <w:tc>
          <w:tcPr>
            <w:tcW w:w="0" w:type="auto"/>
            <w:vAlign w:val="center"/>
          </w:tcPr>
          <w:p w:rsidR="005F78FC" w:rsidRDefault="00B42EF3">
            <w:pPr>
              <w:pStyle w:val="TableBodyText"/>
            </w:pPr>
            <w:r>
              <w:t>kk-KZ</w:t>
            </w:r>
          </w:p>
        </w:tc>
      </w:tr>
      <w:tr w:rsidR="005F78FC" w:rsidTr="005F78FC">
        <w:tc>
          <w:tcPr>
            <w:tcW w:w="0" w:type="auto"/>
            <w:vAlign w:val="center"/>
          </w:tcPr>
          <w:p w:rsidR="005F78FC" w:rsidRDefault="00B42EF3">
            <w:pPr>
              <w:pStyle w:val="TableBodyText"/>
            </w:pPr>
            <w:r>
              <w:t>Khmer</w:t>
            </w:r>
          </w:p>
        </w:tc>
        <w:tc>
          <w:tcPr>
            <w:tcW w:w="0" w:type="auto"/>
            <w:vAlign w:val="center"/>
          </w:tcPr>
          <w:p w:rsidR="005F78FC" w:rsidRDefault="00B42EF3">
            <w:pPr>
              <w:pStyle w:val="TableBodyText"/>
            </w:pPr>
            <w:r>
              <w:t>Cambodia</w:t>
            </w:r>
          </w:p>
        </w:tc>
        <w:tc>
          <w:tcPr>
            <w:tcW w:w="0" w:type="auto"/>
            <w:vAlign w:val="center"/>
          </w:tcPr>
          <w:p w:rsidR="005F78FC" w:rsidRDefault="00B42EF3">
            <w:pPr>
              <w:pStyle w:val="TableBodyText"/>
            </w:pPr>
            <w:r>
              <w:t>kh-KH</w:t>
            </w:r>
          </w:p>
        </w:tc>
      </w:tr>
      <w:tr w:rsidR="005F78FC" w:rsidTr="005F78FC">
        <w:tc>
          <w:tcPr>
            <w:tcW w:w="0" w:type="auto"/>
            <w:vAlign w:val="center"/>
          </w:tcPr>
          <w:p w:rsidR="005F78FC" w:rsidRDefault="00B42EF3">
            <w:pPr>
              <w:pStyle w:val="TableBodyText"/>
            </w:pPr>
            <w:r>
              <w:t>K'iche</w:t>
            </w:r>
          </w:p>
        </w:tc>
        <w:tc>
          <w:tcPr>
            <w:tcW w:w="0" w:type="auto"/>
            <w:vAlign w:val="center"/>
          </w:tcPr>
          <w:p w:rsidR="005F78FC" w:rsidRDefault="00B42EF3">
            <w:pPr>
              <w:pStyle w:val="TableBodyText"/>
            </w:pPr>
            <w:r>
              <w:t>Guatemala</w:t>
            </w:r>
          </w:p>
        </w:tc>
        <w:tc>
          <w:tcPr>
            <w:tcW w:w="0" w:type="auto"/>
            <w:vAlign w:val="center"/>
          </w:tcPr>
          <w:p w:rsidR="005F78FC" w:rsidRDefault="00B42EF3">
            <w:pPr>
              <w:pStyle w:val="TableBodyText"/>
            </w:pPr>
            <w:r>
              <w:t>qut-GT</w:t>
            </w:r>
          </w:p>
        </w:tc>
      </w:tr>
      <w:tr w:rsidR="005F78FC" w:rsidTr="005F78FC">
        <w:tc>
          <w:tcPr>
            <w:tcW w:w="0" w:type="auto"/>
            <w:vAlign w:val="center"/>
          </w:tcPr>
          <w:p w:rsidR="005F78FC" w:rsidRDefault="00B42EF3">
            <w:pPr>
              <w:pStyle w:val="TableBodyText"/>
            </w:pPr>
            <w:r>
              <w:t xml:space="preserve">Kinyarwanda </w:t>
            </w:r>
          </w:p>
        </w:tc>
        <w:tc>
          <w:tcPr>
            <w:tcW w:w="0" w:type="auto"/>
            <w:vAlign w:val="center"/>
          </w:tcPr>
          <w:p w:rsidR="005F78FC" w:rsidRDefault="00B42EF3">
            <w:pPr>
              <w:pStyle w:val="TableBodyText"/>
            </w:pPr>
            <w:r>
              <w:t>Rwanda</w:t>
            </w:r>
          </w:p>
        </w:tc>
        <w:tc>
          <w:tcPr>
            <w:tcW w:w="0" w:type="auto"/>
            <w:vAlign w:val="center"/>
          </w:tcPr>
          <w:p w:rsidR="005F78FC" w:rsidRDefault="00B42EF3">
            <w:pPr>
              <w:pStyle w:val="TableBodyText"/>
            </w:pPr>
            <w:r>
              <w:t>rw-RW</w:t>
            </w:r>
          </w:p>
        </w:tc>
      </w:tr>
      <w:tr w:rsidR="005F78FC" w:rsidTr="005F78FC">
        <w:tc>
          <w:tcPr>
            <w:tcW w:w="0" w:type="auto"/>
            <w:vAlign w:val="center"/>
          </w:tcPr>
          <w:p w:rsidR="005F78FC" w:rsidRDefault="00B42EF3">
            <w:pPr>
              <w:pStyle w:val="TableBodyText"/>
            </w:pPr>
            <w:r>
              <w:t>Konkani</w:t>
            </w:r>
          </w:p>
        </w:tc>
        <w:tc>
          <w:tcPr>
            <w:tcW w:w="0" w:type="auto"/>
            <w:vAlign w:val="center"/>
          </w:tcPr>
          <w:p w:rsidR="005F78FC" w:rsidRDefault="00B42EF3">
            <w:pPr>
              <w:pStyle w:val="TableBodyText"/>
            </w:pPr>
            <w:r>
              <w:t>India</w:t>
            </w:r>
          </w:p>
        </w:tc>
        <w:tc>
          <w:tcPr>
            <w:tcW w:w="0" w:type="auto"/>
            <w:vAlign w:val="center"/>
          </w:tcPr>
          <w:p w:rsidR="005F78FC" w:rsidRDefault="00B42EF3">
            <w:pPr>
              <w:pStyle w:val="TableBodyText"/>
            </w:pPr>
            <w:r>
              <w:t>kok-IN</w:t>
            </w:r>
          </w:p>
        </w:tc>
      </w:tr>
      <w:tr w:rsidR="005F78FC" w:rsidTr="005F78FC">
        <w:tc>
          <w:tcPr>
            <w:tcW w:w="0" w:type="auto"/>
            <w:vAlign w:val="center"/>
          </w:tcPr>
          <w:p w:rsidR="005F78FC" w:rsidRDefault="00B42EF3">
            <w:pPr>
              <w:pStyle w:val="TableBodyText"/>
            </w:pPr>
            <w:r>
              <w:t>Korean</w:t>
            </w:r>
          </w:p>
        </w:tc>
        <w:tc>
          <w:tcPr>
            <w:tcW w:w="0" w:type="auto"/>
            <w:vAlign w:val="center"/>
          </w:tcPr>
          <w:p w:rsidR="005F78FC" w:rsidRDefault="00B42EF3">
            <w:pPr>
              <w:pStyle w:val="TableBodyText"/>
            </w:pPr>
            <w:r>
              <w:t>Korea</w:t>
            </w:r>
          </w:p>
        </w:tc>
        <w:tc>
          <w:tcPr>
            <w:tcW w:w="0" w:type="auto"/>
            <w:vAlign w:val="center"/>
          </w:tcPr>
          <w:p w:rsidR="005F78FC" w:rsidRDefault="00B42EF3">
            <w:pPr>
              <w:pStyle w:val="TableBodyText"/>
            </w:pPr>
            <w:r>
              <w:t>ko-KR</w:t>
            </w:r>
          </w:p>
        </w:tc>
      </w:tr>
      <w:tr w:rsidR="005F78FC" w:rsidTr="005F78FC">
        <w:tc>
          <w:tcPr>
            <w:tcW w:w="0" w:type="auto"/>
            <w:vAlign w:val="center"/>
          </w:tcPr>
          <w:p w:rsidR="005F78FC" w:rsidRDefault="00B42EF3">
            <w:pPr>
              <w:pStyle w:val="TableBodyText"/>
            </w:pPr>
            <w:r>
              <w:t>Kyrgyz</w:t>
            </w:r>
          </w:p>
        </w:tc>
        <w:tc>
          <w:tcPr>
            <w:tcW w:w="0" w:type="auto"/>
            <w:vAlign w:val="center"/>
          </w:tcPr>
          <w:p w:rsidR="005F78FC" w:rsidRDefault="00B42EF3">
            <w:pPr>
              <w:pStyle w:val="TableBodyText"/>
            </w:pPr>
            <w:r>
              <w:t>Kyrgyzstan</w:t>
            </w:r>
          </w:p>
        </w:tc>
        <w:tc>
          <w:tcPr>
            <w:tcW w:w="0" w:type="auto"/>
            <w:vAlign w:val="center"/>
          </w:tcPr>
          <w:p w:rsidR="005F78FC" w:rsidRDefault="00B42EF3">
            <w:pPr>
              <w:pStyle w:val="TableBodyText"/>
            </w:pPr>
            <w:r>
              <w:t>ky-KG</w:t>
            </w:r>
          </w:p>
        </w:tc>
      </w:tr>
      <w:tr w:rsidR="005F78FC" w:rsidTr="005F78FC">
        <w:tc>
          <w:tcPr>
            <w:tcW w:w="0" w:type="auto"/>
            <w:vAlign w:val="center"/>
          </w:tcPr>
          <w:p w:rsidR="005F78FC" w:rsidRDefault="00B42EF3">
            <w:pPr>
              <w:pStyle w:val="TableBodyText"/>
            </w:pPr>
            <w:r>
              <w:t>Lao</w:t>
            </w:r>
          </w:p>
        </w:tc>
        <w:tc>
          <w:tcPr>
            <w:tcW w:w="0" w:type="auto"/>
            <w:vAlign w:val="center"/>
          </w:tcPr>
          <w:p w:rsidR="005F78FC" w:rsidRDefault="00B42EF3">
            <w:pPr>
              <w:pStyle w:val="TableBodyText"/>
            </w:pPr>
            <w:r>
              <w:t>Lao PDR</w:t>
            </w:r>
          </w:p>
        </w:tc>
        <w:tc>
          <w:tcPr>
            <w:tcW w:w="0" w:type="auto"/>
            <w:vAlign w:val="center"/>
          </w:tcPr>
          <w:p w:rsidR="005F78FC" w:rsidRDefault="00B42EF3">
            <w:pPr>
              <w:pStyle w:val="TableBodyText"/>
            </w:pPr>
            <w:r>
              <w:t>lo-LA</w:t>
            </w:r>
          </w:p>
        </w:tc>
      </w:tr>
      <w:tr w:rsidR="005F78FC" w:rsidTr="005F78FC">
        <w:tc>
          <w:tcPr>
            <w:tcW w:w="0" w:type="auto"/>
            <w:vAlign w:val="center"/>
          </w:tcPr>
          <w:p w:rsidR="005F78FC" w:rsidRDefault="00B42EF3">
            <w:pPr>
              <w:pStyle w:val="TableBodyText"/>
            </w:pPr>
            <w:r>
              <w:t>Latvian</w:t>
            </w:r>
          </w:p>
        </w:tc>
        <w:tc>
          <w:tcPr>
            <w:tcW w:w="0" w:type="auto"/>
            <w:vAlign w:val="center"/>
          </w:tcPr>
          <w:p w:rsidR="005F78FC" w:rsidRDefault="00B42EF3">
            <w:pPr>
              <w:pStyle w:val="TableBodyText"/>
            </w:pPr>
            <w:r>
              <w:t>Latvia</w:t>
            </w:r>
          </w:p>
        </w:tc>
        <w:tc>
          <w:tcPr>
            <w:tcW w:w="0" w:type="auto"/>
            <w:vAlign w:val="center"/>
          </w:tcPr>
          <w:p w:rsidR="005F78FC" w:rsidRDefault="00B42EF3">
            <w:pPr>
              <w:pStyle w:val="TableBodyText"/>
            </w:pPr>
            <w:r>
              <w:t>lv-LV</w:t>
            </w:r>
          </w:p>
        </w:tc>
      </w:tr>
      <w:tr w:rsidR="005F78FC" w:rsidTr="005F78FC">
        <w:tc>
          <w:tcPr>
            <w:tcW w:w="0" w:type="auto"/>
            <w:vAlign w:val="center"/>
          </w:tcPr>
          <w:p w:rsidR="005F78FC" w:rsidRDefault="00B42EF3">
            <w:pPr>
              <w:pStyle w:val="TableBodyText"/>
            </w:pPr>
            <w:r>
              <w:t>Lithuanian</w:t>
            </w:r>
          </w:p>
        </w:tc>
        <w:tc>
          <w:tcPr>
            <w:tcW w:w="0" w:type="auto"/>
            <w:vAlign w:val="center"/>
          </w:tcPr>
          <w:p w:rsidR="005F78FC" w:rsidRDefault="00B42EF3">
            <w:pPr>
              <w:pStyle w:val="TableBodyText"/>
            </w:pPr>
            <w:r>
              <w:t>Lithuania</w:t>
            </w:r>
          </w:p>
        </w:tc>
        <w:tc>
          <w:tcPr>
            <w:tcW w:w="0" w:type="auto"/>
            <w:vAlign w:val="center"/>
          </w:tcPr>
          <w:p w:rsidR="005F78FC" w:rsidRDefault="00B42EF3">
            <w:pPr>
              <w:pStyle w:val="TableBodyText"/>
            </w:pPr>
            <w:r>
              <w:t>lt-LT</w:t>
            </w:r>
          </w:p>
        </w:tc>
      </w:tr>
      <w:tr w:rsidR="005F78FC" w:rsidTr="005F78FC">
        <w:tc>
          <w:tcPr>
            <w:tcW w:w="0" w:type="auto"/>
            <w:vAlign w:val="center"/>
          </w:tcPr>
          <w:p w:rsidR="005F78FC" w:rsidRDefault="00B42EF3">
            <w:pPr>
              <w:pStyle w:val="TableBodyText"/>
            </w:pPr>
            <w:r>
              <w:t>Lower Sorbian</w:t>
            </w:r>
          </w:p>
        </w:tc>
        <w:tc>
          <w:tcPr>
            <w:tcW w:w="0" w:type="auto"/>
            <w:vAlign w:val="center"/>
          </w:tcPr>
          <w:p w:rsidR="005F78FC" w:rsidRDefault="00B42EF3">
            <w:pPr>
              <w:pStyle w:val="TableBodyText"/>
            </w:pPr>
            <w:r>
              <w:t>Germany</w:t>
            </w:r>
          </w:p>
        </w:tc>
        <w:tc>
          <w:tcPr>
            <w:tcW w:w="0" w:type="auto"/>
            <w:vAlign w:val="center"/>
          </w:tcPr>
          <w:p w:rsidR="005F78FC" w:rsidRDefault="00B42EF3">
            <w:pPr>
              <w:pStyle w:val="TableBodyText"/>
            </w:pPr>
            <w:r>
              <w:t>wee-DE</w:t>
            </w:r>
          </w:p>
        </w:tc>
      </w:tr>
      <w:tr w:rsidR="005F78FC" w:rsidTr="005F78FC">
        <w:tc>
          <w:tcPr>
            <w:tcW w:w="0" w:type="auto"/>
            <w:vAlign w:val="center"/>
          </w:tcPr>
          <w:p w:rsidR="005F78FC" w:rsidRDefault="00B42EF3">
            <w:pPr>
              <w:pStyle w:val="TableBodyText"/>
            </w:pPr>
            <w:r>
              <w:t>Lule Sami</w:t>
            </w:r>
          </w:p>
        </w:tc>
        <w:tc>
          <w:tcPr>
            <w:tcW w:w="0" w:type="auto"/>
            <w:vAlign w:val="center"/>
          </w:tcPr>
          <w:p w:rsidR="005F78FC" w:rsidRDefault="00B42EF3">
            <w:pPr>
              <w:pStyle w:val="TableBodyText"/>
            </w:pPr>
            <w:r>
              <w:t>Norway</w:t>
            </w:r>
          </w:p>
        </w:tc>
        <w:tc>
          <w:tcPr>
            <w:tcW w:w="0" w:type="auto"/>
            <w:vAlign w:val="center"/>
          </w:tcPr>
          <w:p w:rsidR="005F78FC" w:rsidRDefault="00B42EF3">
            <w:pPr>
              <w:pStyle w:val="TableBodyText"/>
            </w:pPr>
            <w:r>
              <w:t>smj-NO</w:t>
            </w:r>
          </w:p>
        </w:tc>
      </w:tr>
      <w:tr w:rsidR="005F78FC" w:rsidTr="005F78FC">
        <w:tc>
          <w:tcPr>
            <w:tcW w:w="0" w:type="auto"/>
            <w:vAlign w:val="center"/>
          </w:tcPr>
          <w:p w:rsidR="005F78FC" w:rsidRDefault="00B42EF3">
            <w:pPr>
              <w:pStyle w:val="TableBodyText"/>
            </w:pPr>
            <w:r>
              <w:t>Lule Sami</w:t>
            </w:r>
          </w:p>
        </w:tc>
        <w:tc>
          <w:tcPr>
            <w:tcW w:w="0" w:type="auto"/>
            <w:vAlign w:val="center"/>
          </w:tcPr>
          <w:p w:rsidR="005F78FC" w:rsidRDefault="00B42EF3">
            <w:pPr>
              <w:pStyle w:val="TableBodyText"/>
            </w:pPr>
            <w:r>
              <w:t>Sweden</w:t>
            </w:r>
          </w:p>
        </w:tc>
        <w:tc>
          <w:tcPr>
            <w:tcW w:w="0" w:type="auto"/>
            <w:vAlign w:val="center"/>
          </w:tcPr>
          <w:p w:rsidR="005F78FC" w:rsidRDefault="00B42EF3">
            <w:pPr>
              <w:pStyle w:val="TableBodyText"/>
            </w:pPr>
            <w:r>
              <w:t>smj-SE</w:t>
            </w:r>
          </w:p>
        </w:tc>
      </w:tr>
      <w:tr w:rsidR="005F78FC" w:rsidTr="005F78FC">
        <w:tc>
          <w:tcPr>
            <w:tcW w:w="0" w:type="auto"/>
            <w:vAlign w:val="center"/>
          </w:tcPr>
          <w:p w:rsidR="005F78FC" w:rsidRDefault="00B42EF3">
            <w:pPr>
              <w:pStyle w:val="TableBodyText"/>
            </w:pPr>
            <w:r>
              <w:t>Luxembourgish</w:t>
            </w:r>
          </w:p>
        </w:tc>
        <w:tc>
          <w:tcPr>
            <w:tcW w:w="0" w:type="auto"/>
            <w:vAlign w:val="center"/>
          </w:tcPr>
          <w:p w:rsidR="005F78FC" w:rsidRDefault="00B42EF3">
            <w:pPr>
              <w:pStyle w:val="TableBodyText"/>
            </w:pPr>
            <w:r>
              <w:t>Luxembourg</w:t>
            </w:r>
          </w:p>
        </w:tc>
        <w:tc>
          <w:tcPr>
            <w:tcW w:w="0" w:type="auto"/>
            <w:vAlign w:val="center"/>
          </w:tcPr>
          <w:p w:rsidR="005F78FC" w:rsidRDefault="00B42EF3">
            <w:pPr>
              <w:pStyle w:val="TableBodyText"/>
            </w:pPr>
            <w:r>
              <w:t>lb-LU</w:t>
            </w:r>
          </w:p>
        </w:tc>
      </w:tr>
      <w:tr w:rsidR="005F78FC" w:rsidTr="005F78FC">
        <w:tc>
          <w:tcPr>
            <w:tcW w:w="0" w:type="auto"/>
            <w:vAlign w:val="center"/>
          </w:tcPr>
          <w:p w:rsidR="005F78FC" w:rsidRDefault="00B42EF3">
            <w:pPr>
              <w:pStyle w:val="TableBodyText"/>
            </w:pPr>
            <w:r>
              <w:t xml:space="preserve">Macedonian </w:t>
            </w:r>
          </w:p>
        </w:tc>
        <w:tc>
          <w:tcPr>
            <w:tcW w:w="0" w:type="auto"/>
            <w:vAlign w:val="center"/>
          </w:tcPr>
          <w:p w:rsidR="005F78FC" w:rsidRDefault="00B42EF3">
            <w:pPr>
              <w:pStyle w:val="TableBodyText"/>
            </w:pPr>
            <w:r>
              <w:t>Macedonia, FYRO</w:t>
            </w:r>
          </w:p>
        </w:tc>
        <w:tc>
          <w:tcPr>
            <w:tcW w:w="0" w:type="auto"/>
            <w:vAlign w:val="center"/>
          </w:tcPr>
          <w:p w:rsidR="005F78FC" w:rsidRDefault="00B42EF3">
            <w:pPr>
              <w:pStyle w:val="TableBodyText"/>
            </w:pPr>
            <w:r>
              <w:t>mk-MK</w:t>
            </w:r>
          </w:p>
        </w:tc>
      </w:tr>
      <w:tr w:rsidR="005F78FC" w:rsidTr="005F78FC">
        <w:tc>
          <w:tcPr>
            <w:tcW w:w="0" w:type="auto"/>
            <w:vAlign w:val="center"/>
          </w:tcPr>
          <w:p w:rsidR="005F78FC" w:rsidRDefault="00B42EF3">
            <w:pPr>
              <w:pStyle w:val="TableBodyText"/>
            </w:pPr>
            <w:r>
              <w:t>Malay</w:t>
            </w:r>
          </w:p>
        </w:tc>
        <w:tc>
          <w:tcPr>
            <w:tcW w:w="0" w:type="auto"/>
            <w:vAlign w:val="center"/>
          </w:tcPr>
          <w:p w:rsidR="005F78FC" w:rsidRDefault="00B42EF3">
            <w:pPr>
              <w:pStyle w:val="TableBodyText"/>
            </w:pPr>
            <w:r>
              <w:t>Brunei</w:t>
            </w:r>
          </w:p>
        </w:tc>
        <w:tc>
          <w:tcPr>
            <w:tcW w:w="0" w:type="auto"/>
            <w:vAlign w:val="center"/>
          </w:tcPr>
          <w:p w:rsidR="005F78FC" w:rsidRDefault="00B42EF3">
            <w:pPr>
              <w:pStyle w:val="TableBodyText"/>
            </w:pPr>
            <w:r>
              <w:t>ms-BN</w:t>
            </w:r>
          </w:p>
        </w:tc>
      </w:tr>
      <w:tr w:rsidR="005F78FC" w:rsidTr="005F78FC">
        <w:tc>
          <w:tcPr>
            <w:tcW w:w="0" w:type="auto"/>
            <w:vAlign w:val="center"/>
          </w:tcPr>
          <w:p w:rsidR="005F78FC" w:rsidRDefault="00B42EF3">
            <w:pPr>
              <w:pStyle w:val="TableBodyText"/>
            </w:pPr>
            <w:r>
              <w:t>Malay</w:t>
            </w:r>
          </w:p>
        </w:tc>
        <w:tc>
          <w:tcPr>
            <w:tcW w:w="0" w:type="auto"/>
            <w:vAlign w:val="center"/>
          </w:tcPr>
          <w:p w:rsidR="005F78FC" w:rsidRDefault="00B42EF3">
            <w:pPr>
              <w:pStyle w:val="TableBodyText"/>
            </w:pPr>
            <w:r>
              <w:t>Malaysia</w:t>
            </w:r>
          </w:p>
        </w:tc>
        <w:tc>
          <w:tcPr>
            <w:tcW w:w="0" w:type="auto"/>
            <w:vAlign w:val="center"/>
          </w:tcPr>
          <w:p w:rsidR="005F78FC" w:rsidRDefault="00B42EF3">
            <w:pPr>
              <w:pStyle w:val="TableBodyText"/>
            </w:pPr>
            <w:r>
              <w:t>ms-MY</w:t>
            </w:r>
          </w:p>
        </w:tc>
      </w:tr>
      <w:tr w:rsidR="005F78FC" w:rsidTr="005F78FC">
        <w:tc>
          <w:tcPr>
            <w:tcW w:w="0" w:type="auto"/>
            <w:vAlign w:val="center"/>
          </w:tcPr>
          <w:p w:rsidR="005F78FC" w:rsidRDefault="00B42EF3">
            <w:pPr>
              <w:pStyle w:val="TableBodyText"/>
            </w:pPr>
            <w:r>
              <w:t xml:space="preserve">Malayalam (Malayalam Script) </w:t>
            </w:r>
          </w:p>
        </w:tc>
        <w:tc>
          <w:tcPr>
            <w:tcW w:w="0" w:type="auto"/>
            <w:vAlign w:val="center"/>
          </w:tcPr>
          <w:p w:rsidR="005F78FC" w:rsidRDefault="00B42EF3">
            <w:pPr>
              <w:pStyle w:val="TableBodyText"/>
            </w:pPr>
            <w:r>
              <w:t>India</w:t>
            </w:r>
          </w:p>
        </w:tc>
        <w:tc>
          <w:tcPr>
            <w:tcW w:w="0" w:type="auto"/>
            <w:vAlign w:val="center"/>
          </w:tcPr>
          <w:p w:rsidR="005F78FC" w:rsidRDefault="00B42EF3">
            <w:pPr>
              <w:pStyle w:val="TableBodyText"/>
            </w:pPr>
            <w:r>
              <w:t>ml-IN</w:t>
            </w:r>
          </w:p>
        </w:tc>
      </w:tr>
      <w:tr w:rsidR="005F78FC" w:rsidTr="005F78FC">
        <w:tc>
          <w:tcPr>
            <w:tcW w:w="0" w:type="auto"/>
            <w:vAlign w:val="center"/>
          </w:tcPr>
          <w:p w:rsidR="005F78FC" w:rsidRDefault="00B42EF3">
            <w:pPr>
              <w:pStyle w:val="TableBodyText"/>
            </w:pPr>
            <w:r>
              <w:t>Maltese</w:t>
            </w:r>
          </w:p>
        </w:tc>
        <w:tc>
          <w:tcPr>
            <w:tcW w:w="0" w:type="auto"/>
            <w:vAlign w:val="center"/>
          </w:tcPr>
          <w:p w:rsidR="005F78FC" w:rsidRDefault="00B42EF3">
            <w:pPr>
              <w:pStyle w:val="TableBodyText"/>
            </w:pPr>
            <w:r>
              <w:t>Malta</w:t>
            </w:r>
          </w:p>
        </w:tc>
        <w:tc>
          <w:tcPr>
            <w:tcW w:w="0" w:type="auto"/>
            <w:vAlign w:val="center"/>
          </w:tcPr>
          <w:p w:rsidR="005F78FC" w:rsidRDefault="00B42EF3">
            <w:pPr>
              <w:pStyle w:val="TableBodyText"/>
            </w:pPr>
            <w:r>
              <w:t>mt-MT</w:t>
            </w:r>
          </w:p>
        </w:tc>
      </w:tr>
      <w:tr w:rsidR="005F78FC" w:rsidTr="005F78FC">
        <w:tc>
          <w:tcPr>
            <w:tcW w:w="0" w:type="auto"/>
            <w:vAlign w:val="center"/>
          </w:tcPr>
          <w:p w:rsidR="005F78FC" w:rsidRDefault="00B42EF3">
            <w:pPr>
              <w:pStyle w:val="TableBodyText"/>
            </w:pPr>
            <w:r>
              <w:t>Maori</w:t>
            </w:r>
          </w:p>
        </w:tc>
        <w:tc>
          <w:tcPr>
            <w:tcW w:w="0" w:type="auto"/>
            <w:vAlign w:val="center"/>
          </w:tcPr>
          <w:p w:rsidR="005F78FC" w:rsidRDefault="00B42EF3">
            <w:pPr>
              <w:pStyle w:val="TableBodyText"/>
            </w:pPr>
            <w:r>
              <w:t>New Zealand</w:t>
            </w:r>
          </w:p>
        </w:tc>
        <w:tc>
          <w:tcPr>
            <w:tcW w:w="0" w:type="auto"/>
            <w:vAlign w:val="center"/>
          </w:tcPr>
          <w:p w:rsidR="005F78FC" w:rsidRDefault="00B42EF3">
            <w:pPr>
              <w:pStyle w:val="TableBodyText"/>
            </w:pPr>
            <w:r>
              <w:t>mi-NZ</w:t>
            </w:r>
          </w:p>
        </w:tc>
      </w:tr>
      <w:tr w:rsidR="005F78FC" w:rsidTr="005F78FC">
        <w:tc>
          <w:tcPr>
            <w:tcW w:w="0" w:type="auto"/>
            <w:vAlign w:val="center"/>
          </w:tcPr>
          <w:p w:rsidR="005F78FC" w:rsidRDefault="00B42EF3">
            <w:pPr>
              <w:pStyle w:val="TableBodyText"/>
            </w:pPr>
            <w:r>
              <w:t>Mapudungun</w:t>
            </w:r>
          </w:p>
        </w:tc>
        <w:tc>
          <w:tcPr>
            <w:tcW w:w="0" w:type="auto"/>
            <w:vAlign w:val="center"/>
          </w:tcPr>
          <w:p w:rsidR="005F78FC" w:rsidRDefault="00B42EF3">
            <w:pPr>
              <w:pStyle w:val="TableBodyText"/>
            </w:pPr>
            <w:r>
              <w:t>Chile</w:t>
            </w:r>
          </w:p>
        </w:tc>
        <w:tc>
          <w:tcPr>
            <w:tcW w:w="0" w:type="auto"/>
            <w:vAlign w:val="center"/>
          </w:tcPr>
          <w:p w:rsidR="005F78FC" w:rsidRDefault="00B42EF3">
            <w:pPr>
              <w:pStyle w:val="TableBodyText"/>
            </w:pPr>
            <w:r>
              <w:t>arn-CL</w:t>
            </w:r>
          </w:p>
        </w:tc>
      </w:tr>
      <w:tr w:rsidR="005F78FC" w:rsidTr="005F78FC">
        <w:tc>
          <w:tcPr>
            <w:tcW w:w="0" w:type="auto"/>
            <w:vAlign w:val="center"/>
          </w:tcPr>
          <w:p w:rsidR="005F78FC" w:rsidRDefault="00B42EF3">
            <w:pPr>
              <w:pStyle w:val="TableBodyText"/>
            </w:pPr>
            <w:r>
              <w:t>Marathi</w:t>
            </w:r>
          </w:p>
        </w:tc>
        <w:tc>
          <w:tcPr>
            <w:tcW w:w="0" w:type="auto"/>
            <w:vAlign w:val="center"/>
          </w:tcPr>
          <w:p w:rsidR="005F78FC" w:rsidRDefault="00B42EF3">
            <w:pPr>
              <w:pStyle w:val="TableBodyText"/>
            </w:pPr>
            <w:r>
              <w:t>India</w:t>
            </w:r>
          </w:p>
        </w:tc>
        <w:tc>
          <w:tcPr>
            <w:tcW w:w="0" w:type="auto"/>
            <w:vAlign w:val="center"/>
          </w:tcPr>
          <w:p w:rsidR="005F78FC" w:rsidRDefault="00B42EF3">
            <w:pPr>
              <w:pStyle w:val="TableBodyText"/>
            </w:pPr>
            <w:r>
              <w:t>mr-IN</w:t>
            </w:r>
          </w:p>
        </w:tc>
      </w:tr>
      <w:tr w:rsidR="005F78FC" w:rsidTr="005F78FC">
        <w:tc>
          <w:tcPr>
            <w:tcW w:w="0" w:type="auto"/>
            <w:vAlign w:val="center"/>
          </w:tcPr>
          <w:p w:rsidR="005F78FC" w:rsidRDefault="00B42EF3">
            <w:pPr>
              <w:pStyle w:val="TableBodyText"/>
            </w:pPr>
            <w:r>
              <w:t>Mohawk</w:t>
            </w:r>
          </w:p>
        </w:tc>
        <w:tc>
          <w:tcPr>
            <w:tcW w:w="0" w:type="auto"/>
            <w:vAlign w:val="center"/>
          </w:tcPr>
          <w:p w:rsidR="005F78FC" w:rsidRDefault="00B42EF3">
            <w:pPr>
              <w:pStyle w:val="TableBodyText"/>
            </w:pPr>
            <w:r>
              <w:t>Mohawk</w:t>
            </w:r>
          </w:p>
        </w:tc>
        <w:tc>
          <w:tcPr>
            <w:tcW w:w="0" w:type="auto"/>
            <w:vAlign w:val="center"/>
          </w:tcPr>
          <w:p w:rsidR="005F78FC" w:rsidRDefault="00B42EF3">
            <w:pPr>
              <w:pStyle w:val="TableBodyText"/>
            </w:pPr>
            <w:r>
              <w:t>moh-CA</w:t>
            </w:r>
          </w:p>
        </w:tc>
      </w:tr>
      <w:tr w:rsidR="005F78FC" w:rsidTr="005F78FC">
        <w:tc>
          <w:tcPr>
            <w:tcW w:w="0" w:type="auto"/>
            <w:vAlign w:val="center"/>
          </w:tcPr>
          <w:p w:rsidR="005F78FC" w:rsidRDefault="00B42EF3">
            <w:pPr>
              <w:pStyle w:val="TableBodyText"/>
            </w:pPr>
            <w:r>
              <w:t>Mongolian (Cyrillic)</w:t>
            </w:r>
          </w:p>
        </w:tc>
        <w:tc>
          <w:tcPr>
            <w:tcW w:w="0" w:type="auto"/>
            <w:vAlign w:val="center"/>
          </w:tcPr>
          <w:p w:rsidR="005F78FC" w:rsidRDefault="00B42EF3">
            <w:pPr>
              <w:pStyle w:val="TableBodyText"/>
            </w:pPr>
            <w:r>
              <w:t>Mongolia</w:t>
            </w:r>
          </w:p>
        </w:tc>
        <w:tc>
          <w:tcPr>
            <w:tcW w:w="0" w:type="auto"/>
            <w:vAlign w:val="center"/>
          </w:tcPr>
          <w:p w:rsidR="005F78FC" w:rsidRDefault="00B42EF3">
            <w:pPr>
              <w:pStyle w:val="TableBodyText"/>
            </w:pPr>
            <w:r>
              <w:t>mn-MN</w:t>
            </w:r>
          </w:p>
        </w:tc>
      </w:tr>
      <w:tr w:rsidR="005F78FC" w:rsidTr="005F78FC">
        <w:tc>
          <w:tcPr>
            <w:tcW w:w="0" w:type="auto"/>
            <w:vAlign w:val="center"/>
          </w:tcPr>
          <w:p w:rsidR="005F78FC" w:rsidRDefault="00B42EF3">
            <w:pPr>
              <w:pStyle w:val="TableBodyText"/>
            </w:pPr>
            <w:r>
              <w:t>Mongolian (Mongolian)</w:t>
            </w:r>
          </w:p>
        </w:tc>
        <w:tc>
          <w:tcPr>
            <w:tcW w:w="0" w:type="auto"/>
            <w:vAlign w:val="center"/>
          </w:tcPr>
          <w:p w:rsidR="005F78FC" w:rsidRDefault="00B42EF3">
            <w:pPr>
              <w:pStyle w:val="TableBodyText"/>
            </w:pPr>
            <w:r>
              <w:t>PRC</w:t>
            </w:r>
          </w:p>
        </w:tc>
        <w:tc>
          <w:tcPr>
            <w:tcW w:w="0" w:type="auto"/>
            <w:vAlign w:val="center"/>
          </w:tcPr>
          <w:p w:rsidR="005F78FC" w:rsidRDefault="00B42EF3">
            <w:pPr>
              <w:pStyle w:val="TableBodyText"/>
            </w:pPr>
            <w:r>
              <w:t>mn-CN-Mong</w:t>
            </w:r>
          </w:p>
        </w:tc>
      </w:tr>
      <w:tr w:rsidR="005F78FC" w:rsidTr="005F78FC">
        <w:tc>
          <w:tcPr>
            <w:tcW w:w="0" w:type="auto"/>
            <w:vAlign w:val="center"/>
          </w:tcPr>
          <w:p w:rsidR="005F78FC" w:rsidRDefault="00B42EF3">
            <w:pPr>
              <w:pStyle w:val="TableBodyText"/>
            </w:pPr>
            <w:r>
              <w:t>Nepali</w:t>
            </w:r>
          </w:p>
        </w:tc>
        <w:tc>
          <w:tcPr>
            <w:tcW w:w="0" w:type="auto"/>
            <w:vAlign w:val="center"/>
          </w:tcPr>
          <w:p w:rsidR="005F78FC" w:rsidRDefault="00B42EF3">
            <w:pPr>
              <w:pStyle w:val="TableBodyText"/>
            </w:pPr>
            <w:r>
              <w:t>Nepal</w:t>
            </w:r>
          </w:p>
        </w:tc>
        <w:tc>
          <w:tcPr>
            <w:tcW w:w="0" w:type="auto"/>
            <w:vAlign w:val="center"/>
          </w:tcPr>
          <w:p w:rsidR="005F78FC" w:rsidRDefault="00B42EF3">
            <w:pPr>
              <w:pStyle w:val="TableBodyText"/>
            </w:pPr>
            <w:r>
              <w:t>ne-NP</w:t>
            </w:r>
          </w:p>
        </w:tc>
      </w:tr>
      <w:tr w:rsidR="005F78FC" w:rsidTr="005F78FC">
        <w:tc>
          <w:tcPr>
            <w:tcW w:w="0" w:type="auto"/>
            <w:vAlign w:val="center"/>
          </w:tcPr>
          <w:p w:rsidR="005F78FC" w:rsidRDefault="00B42EF3">
            <w:pPr>
              <w:pStyle w:val="TableBodyText"/>
            </w:pPr>
            <w:r>
              <w:t>Northern Sami</w:t>
            </w:r>
          </w:p>
        </w:tc>
        <w:tc>
          <w:tcPr>
            <w:tcW w:w="0" w:type="auto"/>
            <w:vAlign w:val="center"/>
          </w:tcPr>
          <w:p w:rsidR="005F78FC" w:rsidRDefault="00B42EF3">
            <w:pPr>
              <w:pStyle w:val="TableBodyText"/>
            </w:pPr>
            <w:r>
              <w:t>Finland</w:t>
            </w:r>
          </w:p>
        </w:tc>
        <w:tc>
          <w:tcPr>
            <w:tcW w:w="0" w:type="auto"/>
            <w:vAlign w:val="center"/>
          </w:tcPr>
          <w:p w:rsidR="005F78FC" w:rsidRDefault="00B42EF3">
            <w:pPr>
              <w:pStyle w:val="TableBodyText"/>
            </w:pPr>
            <w:r>
              <w:t>se-FI</w:t>
            </w:r>
          </w:p>
        </w:tc>
      </w:tr>
      <w:tr w:rsidR="005F78FC" w:rsidTr="005F78FC">
        <w:tc>
          <w:tcPr>
            <w:tcW w:w="0" w:type="auto"/>
            <w:vAlign w:val="center"/>
          </w:tcPr>
          <w:p w:rsidR="005F78FC" w:rsidRDefault="00B42EF3">
            <w:pPr>
              <w:pStyle w:val="TableBodyText"/>
            </w:pPr>
            <w:r>
              <w:lastRenderedPageBreak/>
              <w:t>Northern Sami</w:t>
            </w:r>
          </w:p>
        </w:tc>
        <w:tc>
          <w:tcPr>
            <w:tcW w:w="0" w:type="auto"/>
            <w:vAlign w:val="center"/>
          </w:tcPr>
          <w:p w:rsidR="005F78FC" w:rsidRDefault="00B42EF3">
            <w:pPr>
              <w:pStyle w:val="TableBodyText"/>
            </w:pPr>
            <w:r>
              <w:t>Norway</w:t>
            </w:r>
          </w:p>
        </w:tc>
        <w:tc>
          <w:tcPr>
            <w:tcW w:w="0" w:type="auto"/>
            <w:vAlign w:val="center"/>
          </w:tcPr>
          <w:p w:rsidR="005F78FC" w:rsidRDefault="00B42EF3">
            <w:pPr>
              <w:pStyle w:val="TableBodyText"/>
            </w:pPr>
            <w:r>
              <w:t>se-NO</w:t>
            </w:r>
          </w:p>
        </w:tc>
      </w:tr>
      <w:tr w:rsidR="005F78FC" w:rsidTr="005F78FC">
        <w:tc>
          <w:tcPr>
            <w:tcW w:w="0" w:type="auto"/>
            <w:vAlign w:val="center"/>
          </w:tcPr>
          <w:p w:rsidR="005F78FC" w:rsidRDefault="00B42EF3">
            <w:pPr>
              <w:pStyle w:val="TableBodyText"/>
            </w:pPr>
            <w:r>
              <w:t>Northern Sami</w:t>
            </w:r>
          </w:p>
        </w:tc>
        <w:tc>
          <w:tcPr>
            <w:tcW w:w="0" w:type="auto"/>
            <w:vAlign w:val="center"/>
          </w:tcPr>
          <w:p w:rsidR="005F78FC" w:rsidRDefault="00B42EF3">
            <w:pPr>
              <w:pStyle w:val="TableBodyText"/>
            </w:pPr>
            <w:r>
              <w:t>Sweden</w:t>
            </w:r>
          </w:p>
        </w:tc>
        <w:tc>
          <w:tcPr>
            <w:tcW w:w="0" w:type="auto"/>
            <w:vAlign w:val="center"/>
          </w:tcPr>
          <w:p w:rsidR="005F78FC" w:rsidRDefault="00B42EF3">
            <w:pPr>
              <w:pStyle w:val="TableBodyText"/>
            </w:pPr>
            <w:r>
              <w:t>se-SE</w:t>
            </w:r>
          </w:p>
        </w:tc>
      </w:tr>
      <w:tr w:rsidR="005F78FC" w:rsidTr="005F78FC">
        <w:tc>
          <w:tcPr>
            <w:tcW w:w="0" w:type="auto"/>
            <w:vAlign w:val="center"/>
          </w:tcPr>
          <w:p w:rsidR="005F78FC" w:rsidRDefault="00B42EF3">
            <w:pPr>
              <w:pStyle w:val="TableBodyText"/>
            </w:pPr>
            <w:r>
              <w:t>Norwegian (Bokmål)</w:t>
            </w:r>
          </w:p>
        </w:tc>
        <w:tc>
          <w:tcPr>
            <w:tcW w:w="0" w:type="auto"/>
            <w:vAlign w:val="center"/>
          </w:tcPr>
          <w:p w:rsidR="005F78FC" w:rsidRDefault="00B42EF3">
            <w:pPr>
              <w:pStyle w:val="TableBodyText"/>
            </w:pPr>
            <w:r>
              <w:t>Norway</w:t>
            </w:r>
          </w:p>
        </w:tc>
        <w:tc>
          <w:tcPr>
            <w:tcW w:w="0" w:type="auto"/>
            <w:vAlign w:val="center"/>
          </w:tcPr>
          <w:p w:rsidR="005F78FC" w:rsidRDefault="00B42EF3">
            <w:pPr>
              <w:pStyle w:val="TableBodyText"/>
            </w:pPr>
            <w:r>
              <w:t>nb-NO</w:t>
            </w:r>
          </w:p>
        </w:tc>
      </w:tr>
      <w:tr w:rsidR="005F78FC" w:rsidTr="005F78FC">
        <w:tc>
          <w:tcPr>
            <w:tcW w:w="0" w:type="auto"/>
            <w:vAlign w:val="center"/>
          </w:tcPr>
          <w:p w:rsidR="005F78FC" w:rsidRDefault="00B42EF3">
            <w:pPr>
              <w:pStyle w:val="TableBodyText"/>
            </w:pPr>
            <w:r>
              <w:t>Norwegian (Nynorsk)</w:t>
            </w:r>
          </w:p>
        </w:tc>
        <w:tc>
          <w:tcPr>
            <w:tcW w:w="0" w:type="auto"/>
            <w:vAlign w:val="center"/>
          </w:tcPr>
          <w:p w:rsidR="005F78FC" w:rsidRDefault="00B42EF3">
            <w:pPr>
              <w:pStyle w:val="TableBodyText"/>
            </w:pPr>
            <w:r>
              <w:t>Norway</w:t>
            </w:r>
          </w:p>
        </w:tc>
        <w:tc>
          <w:tcPr>
            <w:tcW w:w="0" w:type="auto"/>
            <w:vAlign w:val="center"/>
          </w:tcPr>
          <w:p w:rsidR="005F78FC" w:rsidRDefault="00B42EF3">
            <w:pPr>
              <w:pStyle w:val="TableBodyText"/>
            </w:pPr>
            <w:r>
              <w:t>nn-NO</w:t>
            </w:r>
          </w:p>
        </w:tc>
      </w:tr>
      <w:tr w:rsidR="005F78FC" w:rsidTr="005F78FC">
        <w:tc>
          <w:tcPr>
            <w:tcW w:w="0" w:type="auto"/>
            <w:vAlign w:val="center"/>
          </w:tcPr>
          <w:p w:rsidR="005F78FC" w:rsidRDefault="00B42EF3">
            <w:pPr>
              <w:pStyle w:val="TableBodyText"/>
            </w:pPr>
            <w:r>
              <w:t>Occitan</w:t>
            </w:r>
          </w:p>
        </w:tc>
        <w:tc>
          <w:tcPr>
            <w:tcW w:w="0" w:type="auto"/>
            <w:vAlign w:val="center"/>
          </w:tcPr>
          <w:p w:rsidR="005F78FC" w:rsidRDefault="00B42EF3">
            <w:pPr>
              <w:pStyle w:val="TableBodyText"/>
            </w:pPr>
            <w:r>
              <w:t>France</w:t>
            </w:r>
          </w:p>
        </w:tc>
        <w:tc>
          <w:tcPr>
            <w:tcW w:w="0" w:type="auto"/>
            <w:vAlign w:val="center"/>
          </w:tcPr>
          <w:p w:rsidR="005F78FC" w:rsidRDefault="00B42EF3">
            <w:pPr>
              <w:pStyle w:val="TableBodyText"/>
            </w:pPr>
            <w:r>
              <w:t>oc-FR</w:t>
            </w:r>
          </w:p>
        </w:tc>
      </w:tr>
      <w:tr w:rsidR="005F78FC" w:rsidTr="005F78FC">
        <w:tc>
          <w:tcPr>
            <w:tcW w:w="0" w:type="auto"/>
            <w:vAlign w:val="center"/>
          </w:tcPr>
          <w:p w:rsidR="005F78FC" w:rsidRDefault="00B42EF3">
            <w:pPr>
              <w:pStyle w:val="TableBodyText"/>
            </w:pPr>
            <w:r>
              <w:t>Odia (Odia Script)</w:t>
            </w:r>
          </w:p>
        </w:tc>
        <w:tc>
          <w:tcPr>
            <w:tcW w:w="0" w:type="auto"/>
            <w:vAlign w:val="center"/>
          </w:tcPr>
          <w:p w:rsidR="005F78FC" w:rsidRDefault="00B42EF3">
            <w:pPr>
              <w:pStyle w:val="TableBodyText"/>
            </w:pPr>
            <w:r>
              <w:t xml:space="preserve">India </w:t>
            </w:r>
          </w:p>
        </w:tc>
        <w:tc>
          <w:tcPr>
            <w:tcW w:w="0" w:type="auto"/>
            <w:vAlign w:val="center"/>
          </w:tcPr>
          <w:p w:rsidR="005F78FC" w:rsidRDefault="00B42EF3">
            <w:pPr>
              <w:pStyle w:val="TableBodyText"/>
            </w:pPr>
            <w:r>
              <w:t>or-IN</w:t>
            </w:r>
          </w:p>
        </w:tc>
      </w:tr>
      <w:tr w:rsidR="005F78FC" w:rsidTr="005F78FC">
        <w:tc>
          <w:tcPr>
            <w:tcW w:w="0" w:type="auto"/>
            <w:vAlign w:val="center"/>
          </w:tcPr>
          <w:p w:rsidR="005F78FC" w:rsidRDefault="00B42EF3">
            <w:pPr>
              <w:pStyle w:val="TableBodyText"/>
            </w:pPr>
            <w:r>
              <w:t>Pashto</w:t>
            </w:r>
          </w:p>
        </w:tc>
        <w:tc>
          <w:tcPr>
            <w:tcW w:w="0" w:type="auto"/>
            <w:vAlign w:val="center"/>
          </w:tcPr>
          <w:p w:rsidR="005F78FC" w:rsidRDefault="00B42EF3">
            <w:pPr>
              <w:pStyle w:val="TableBodyText"/>
            </w:pPr>
            <w:r>
              <w:t>Afghanistan</w:t>
            </w:r>
          </w:p>
        </w:tc>
        <w:tc>
          <w:tcPr>
            <w:tcW w:w="0" w:type="auto"/>
            <w:vAlign w:val="center"/>
          </w:tcPr>
          <w:p w:rsidR="005F78FC" w:rsidRDefault="00B42EF3">
            <w:pPr>
              <w:pStyle w:val="TableBodyText"/>
            </w:pPr>
            <w:r>
              <w:t>ps-AF</w:t>
            </w:r>
          </w:p>
        </w:tc>
      </w:tr>
      <w:tr w:rsidR="005F78FC" w:rsidTr="005F78FC">
        <w:tc>
          <w:tcPr>
            <w:tcW w:w="0" w:type="auto"/>
            <w:vAlign w:val="center"/>
          </w:tcPr>
          <w:p w:rsidR="005F78FC" w:rsidRDefault="00B42EF3">
            <w:pPr>
              <w:pStyle w:val="TableBodyText"/>
            </w:pPr>
            <w:r>
              <w:t>Persian</w:t>
            </w:r>
          </w:p>
        </w:tc>
        <w:tc>
          <w:tcPr>
            <w:tcW w:w="0" w:type="auto"/>
            <w:vAlign w:val="center"/>
          </w:tcPr>
          <w:p w:rsidR="005F78FC" w:rsidRDefault="00B42EF3">
            <w:pPr>
              <w:pStyle w:val="TableBodyText"/>
            </w:pPr>
            <w:r>
              <w:t>Iran</w:t>
            </w:r>
          </w:p>
        </w:tc>
        <w:tc>
          <w:tcPr>
            <w:tcW w:w="0" w:type="auto"/>
            <w:vAlign w:val="center"/>
          </w:tcPr>
          <w:p w:rsidR="005F78FC" w:rsidRDefault="00B42EF3">
            <w:pPr>
              <w:pStyle w:val="TableBodyText"/>
            </w:pPr>
            <w:r>
              <w:t>fa-IR</w:t>
            </w:r>
          </w:p>
        </w:tc>
      </w:tr>
      <w:tr w:rsidR="005F78FC" w:rsidTr="005F78FC">
        <w:tc>
          <w:tcPr>
            <w:tcW w:w="0" w:type="auto"/>
            <w:vAlign w:val="center"/>
          </w:tcPr>
          <w:p w:rsidR="005F78FC" w:rsidRDefault="00B42EF3">
            <w:pPr>
              <w:pStyle w:val="TableBodyText"/>
            </w:pPr>
            <w:r>
              <w:t>Polish</w:t>
            </w:r>
          </w:p>
        </w:tc>
        <w:tc>
          <w:tcPr>
            <w:tcW w:w="0" w:type="auto"/>
            <w:vAlign w:val="center"/>
          </w:tcPr>
          <w:p w:rsidR="005F78FC" w:rsidRDefault="00B42EF3">
            <w:pPr>
              <w:pStyle w:val="TableBodyText"/>
            </w:pPr>
            <w:r>
              <w:t>Poland</w:t>
            </w:r>
          </w:p>
        </w:tc>
        <w:tc>
          <w:tcPr>
            <w:tcW w:w="0" w:type="auto"/>
            <w:vAlign w:val="center"/>
          </w:tcPr>
          <w:p w:rsidR="005F78FC" w:rsidRDefault="00B42EF3">
            <w:pPr>
              <w:pStyle w:val="TableBodyText"/>
            </w:pPr>
            <w:r>
              <w:t>pl-PL</w:t>
            </w:r>
          </w:p>
        </w:tc>
      </w:tr>
      <w:tr w:rsidR="005F78FC" w:rsidTr="005F78FC">
        <w:tc>
          <w:tcPr>
            <w:tcW w:w="0" w:type="auto"/>
            <w:vAlign w:val="center"/>
          </w:tcPr>
          <w:p w:rsidR="005F78FC" w:rsidRDefault="00B42EF3">
            <w:pPr>
              <w:pStyle w:val="TableBodyText"/>
            </w:pPr>
            <w:r>
              <w:t>Portuguese</w:t>
            </w:r>
          </w:p>
        </w:tc>
        <w:tc>
          <w:tcPr>
            <w:tcW w:w="0" w:type="auto"/>
            <w:vAlign w:val="center"/>
          </w:tcPr>
          <w:p w:rsidR="005F78FC" w:rsidRDefault="00B42EF3">
            <w:pPr>
              <w:pStyle w:val="TableBodyText"/>
            </w:pPr>
            <w:r>
              <w:t>Brazil</w:t>
            </w:r>
          </w:p>
        </w:tc>
        <w:tc>
          <w:tcPr>
            <w:tcW w:w="0" w:type="auto"/>
            <w:vAlign w:val="center"/>
          </w:tcPr>
          <w:p w:rsidR="005F78FC" w:rsidRDefault="00B42EF3">
            <w:pPr>
              <w:pStyle w:val="TableBodyText"/>
            </w:pPr>
            <w:r>
              <w:t>pt-BR</w:t>
            </w:r>
          </w:p>
        </w:tc>
      </w:tr>
      <w:tr w:rsidR="005F78FC" w:rsidTr="005F78FC">
        <w:tc>
          <w:tcPr>
            <w:tcW w:w="0" w:type="auto"/>
            <w:vAlign w:val="center"/>
          </w:tcPr>
          <w:p w:rsidR="005F78FC" w:rsidRDefault="00B42EF3">
            <w:pPr>
              <w:pStyle w:val="TableBodyText"/>
            </w:pPr>
            <w:r>
              <w:t>Portuguese</w:t>
            </w:r>
          </w:p>
        </w:tc>
        <w:tc>
          <w:tcPr>
            <w:tcW w:w="0" w:type="auto"/>
            <w:vAlign w:val="center"/>
          </w:tcPr>
          <w:p w:rsidR="005F78FC" w:rsidRDefault="00B42EF3">
            <w:pPr>
              <w:pStyle w:val="TableBodyText"/>
            </w:pPr>
            <w:r>
              <w:t>Portugal</w:t>
            </w:r>
          </w:p>
        </w:tc>
        <w:tc>
          <w:tcPr>
            <w:tcW w:w="0" w:type="auto"/>
            <w:vAlign w:val="center"/>
          </w:tcPr>
          <w:p w:rsidR="005F78FC" w:rsidRDefault="00B42EF3">
            <w:pPr>
              <w:pStyle w:val="TableBodyText"/>
            </w:pPr>
            <w:r>
              <w:t>pt-PT</w:t>
            </w:r>
          </w:p>
        </w:tc>
      </w:tr>
      <w:tr w:rsidR="005F78FC" w:rsidTr="005F78FC">
        <w:tc>
          <w:tcPr>
            <w:tcW w:w="0" w:type="auto"/>
            <w:vAlign w:val="center"/>
          </w:tcPr>
          <w:p w:rsidR="005F78FC" w:rsidRDefault="00B42EF3">
            <w:pPr>
              <w:pStyle w:val="TableBodyText"/>
            </w:pPr>
            <w:r>
              <w:t>Punjabi (Gurmukhi Script)</w:t>
            </w:r>
          </w:p>
        </w:tc>
        <w:tc>
          <w:tcPr>
            <w:tcW w:w="0" w:type="auto"/>
            <w:vAlign w:val="center"/>
          </w:tcPr>
          <w:p w:rsidR="005F78FC" w:rsidRDefault="00B42EF3">
            <w:pPr>
              <w:pStyle w:val="TableBodyText"/>
            </w:pPr>
            <w:r>
              <w:t>India</w:t>
            </w:r>
          </w:p>
        </w:tc>
        <w:tc>
          <w:tcPr>
            <w:tcW w:w="0" w:type="auto"/>
            <w:vAlign w:val="center"/>
          </w:tcPr>
          <w:p w:rsidR="005F78FC" w:rsidRDefault="00B42EF3">
            <w:pPr>
              <w:pStyle w:val="TableBodyText"/>
            </w:pPr>
            <w:r>
              <w:t>pa-IN</w:t>
            </w:r>
          </w:p>
        </w:tc>
      </w:tr>
      <w:tr w:rsidR="005F78FC" w:rsidTr="005F78FC">
        <w:tc>
          <w:tcPr>
            <w:tcW w:w="0" w:type="auto"/>
            <w:vAlign w:val="center"/>
          </w:tcPr>
          <w:p w:rsidR="005F78FC" w:rsidRDefault="00B42EF3">
            <w:pPr>
              <w:pStyle w:val="TableBodyText"/>
            </w:pPr>
            <w:r>
              <w:t>Quechua</w:t>
            </w:r>
          </w:p>
        </w:tc>
        <w:tc>
          <w:tcPr>
            <w:tcW w:w="0" w:type="auto"/>
            <w:vAlign w:val="center"/>
          </w:tcPr>
          <w:p w:rsidR="005F78FC" w:rsidRDefault="00B42EF3">
            <w:pPr>
              <w:pStyle w:val="TableBodyText"/>
            </w:pPr>
            <w:r>
              <w:t>Bolivia</w:t>
            </w:r>
          </w:p>
        </w:tc>
        <w:tc>
          <w:tcPr>
            <w:tcW w:w="0" w:type="auto"/>
            <w:vAlign w:val="center"/>
          </w:tcPr>
          <w:p w:rsidR="005F78FC" w:rsidRDefault="00B42EF3">
            <w:pPr>
              <w:pStyle w:val="TableBodyText"/>
            </w:pPr>
            <w:r>
              <w:t>quz-BO</w:t>
            </w:r>
          </w:p>
        </w:tc>
      </w:tr>
      <w:tr w:rsidR="005F78FC" w:rsidTr="005F78FC">
        <w:tc>
          <w:tcPr>
            <w:tcW w:w="0" w:type="auto"/>
            <w:vAlign w:val="center"/>
          </w:tcPr>
          <w:p w:rsidR="005F78FC" w:rsidRDefault="00B42EF3">
            <w:pPr>
              <w:pStyle w:val="TableBodyText"/>
            </w:pPr>
            <w:r>
              <w:t>Quechua</w:t>
            </w:r>
          </w:p>
        </w:tc>
        <w:tc>
          <w:tcPr>
            <w:tcW w:w="0" w:type="auto"/>
            <w:vAlign w:val="center"/>
          </w:tcPr>
          <w:p w:rsidR="005F78FC" w:rsidRDefault="00B42EF3">
            <w:pPr>
              <w:pStyle w:val="TableBodyText"/>
            </w:pPr>
            <w:r>
              <w:t>Ecuador</w:t>
            </w:r>
          </w:p>
        </w:tc>
        <w:tc>
          <w:tcPr>
            <w:tcW w:w="0" w:type="auto"/>
            <w:vAlign w:val="center"/>
          </w:tcPr>
          <w:p w:rsidR="005F78FC" w:rsidRDefault="00B42EF3">
            <w:pPr>
              <w:pStyle w:val="TableBodyText"/>
            </w:pPr>
            <w:r>
              <w:t>quz-EC</w:t>
            </w:r>
          </w:p>
        </w:tc>
      </w:tr>
      <w:tr w:rsidR="005F78FC" w:rsidTr="005F78FC">
        <w:tc>
          <w:tcPr>
            <w:tcW w:w="0" w:type="auto"/>
            <w:vAlign w:val="center"/>
          </w:tcPr>
          <w:p w:rsidR="005F78FC" w:rsidRDefault="00B42EF3">
            <w:pPr>
              <w:pStyle w:val="TableBodyText"/>
            </w:pPr>
            <w:r>
              <w:t>Quechua</w:t>
            </w:r>
          </w:p>
        </w:tc>
        <w:tc>
          <w:tcPr>
            <w:tcW w:w="0" w:type="auto"/>
            <w:vAlign w:val="center"/>
          </w:tcPr>
          <w:p w:rsidR="005F78FC" w:rsidRDefault="00B42EF3">
            <w:pPr>
              <w:pStyle w:val="TableBodyText"/>
            </w:pPr>
            <w:r>
              <w:t>Peru</w:t>
            </w:r>
          </w:p>
        </w:tc>
        <w:tc>
          <w:tcPr>
            <w:tcW w:w="0" w:type="auto"/>
            <w:vAlign w:val="center"/>
          </w:tcPr>
          <w:p w:rsidR="005F78FC" w:rsidRDefault="00B42EF3">
            <w:pPr>
              <w:pStyle w:val="TableBodyText"/>
            </w:pPr>
            <w:r>
              <w:t>quz-PE</w:t>
            </w:r>
          </w:p>
        </w:tc>
      </w:tr>
      <w:tr w:rsidR="005F78FC" w:rsidTr="005F78FC">
        <w:tc>
          <w:tcPr>
            <w:tcW w:w="0" w:type="auto"/>
            <w:vAlign w:val="center"/>
          </w:tcPr>
          <w:p w:rsidR="005F78FC" w:rsidRDefault="00B42EF3">
            <w:pPr>
              <w:pStyle w:val="TableBodyText"/>
            </w:pPr>
            <w:r>
              <w:t>Romanian</w:t>
            </w:r>
          </w:p>
        </w:tc>
        <w:tc>
          <w:tcPr>
            <w:tcW w:w="0" w:type="auto"/>
            <w:vAlign w:val="center"/>
          </w:tcPr>
          <w:p w:rsidR="005F78FC" w:rsidRDefault="00B42EF3">
            <w:pPr>
              <w:pStyle w:val="TableBodyText"/>
            </w:pPr>
            <w:r>
              <w:t>Romania</w:t>
            </w:r>
          </w:p>
        </w:tc>
        <w:tc>
          <w:tcPr>
            <w:tcW w:w="0" w:type="auto"/>
            <w:vAlign w:val="center"/>
          </w:tcPr>
          <w:p w:rsidR="005F78FC" w:rsidRDefault="00B42EF3">
            <w:pPr>
              <w:pStyle w:val="TableBodyText"/>
            </w:pPr>
            <w:r>
              <w:t>ro-RO</w:t>
            </w:r>
          </w:p>
        </w:tc>
      </w:tr>
      <w:tr w:rsidR="005F78FC" w:rsidTr="005F78FC">
        <w:tc>
          <w:tcPr>
            <w:tcW w:w="0" w:type="auto"/>
            <w:vAlign w:val="center"/>
          </w:tcPr>
          <w:p w:rsidR="005F78FC" w:rsidRDefault="00B42EF3">
            <w:pPr>
              <w:pStyle w:val="TableBodyText"/>
            </w:pPr>
            <w:r>
              <w:t>Romansh</w:t>
            </w:r>
          </w:p>
        </w:tc>
        <w:tc>
          <w:tcPr>
            <w:tcW w:w="0" w:type="auto"/>
            <w:vAlign w:val="center"/>
          </w:tcPr>
          <w:p w:rsidR="005F78FC" w:rsidRDefault="00B42EF3">
            <w:pPr>
              <w:pStyle w:val="TableBodyText"/>
            </w:pPr>
            <w:r>
              <w:t>Switzerland</w:t>
            </w:r>
          </w:p>
        </w:tc>
        <w:tc>
          <w:tcPr>
            <w:tcW w:w="0" w:type="auto"/>
            <w:vAlign w:val="center"/>
          </w:tcPr>
          <w:p w:rsidR="005F78FC" w:rsidRDefault="00B42EF3">
            <w:pPr>
              <w:pStyle w:val="TableBodyText"/>
            </w:pPr>
            <w:r>
              <w:t>rm-CH</w:t>
            </w:r>
          </w:p>
        </w:tc>
      </w:tr>
      <w:tr w:rsidR="005F78FC" w:rsidTr="005F78FC">
        <w:tc>
          <w:tcPr>
            <w:tcW w:w="0" w:type="auto"/>
            <w:vAlign w:val="center"/>
          </w:tcPr>
          <w:p w:rsidR="005F78FC" w:rsidRDefault="00B42EF3">
            <w:pPr>
              <w:pStyle w:val="TableBodyText"/>
            </w:pPr>
            <w:r>
              <w:t>Russian</w:t>
            </w:r>
          </w:p>
        </w:tc>
        <w:tc>
          <w:tcPr>
            <w:tcW w:w="0" w:type="auto"/>
            <w:vAlign w:val="center"/>
          </w:tcPr>
          <w:p w:rsidR="005F78FC" w:rsidRDefault="00B42EF3">
            <w:pPr>
              <w:pStyle w:val="TableBodyText"/>
            </w:pPr>
            <w:r>
              <w:t>Russia</w:t>
            </w:r>
          </w:p>
        </w:tc>
        <w:tc>
          <w:tcPr>
            <w:tcW w:w="0" w:type="auto"/>
            <w:vAlign w:val="center"/>
          </w:tcPr>
          <w:p w:rsidR="005F78FC" w:rsidRDefault="00B42EF3">
            <w:pPr>
              <w:pStyle w:val="TableBodyText"/>
            </w:pPr>
            <w:r>
              <w:t>ru-RU</w:t>
            </w:r>
          </w:p>
        </w:tc>
      </w:tr>
      <w:tr w:rsidR="005F78FC" w:rsidTr="005F78FC">
        <w:tc>
          <w:tcPr>
            <w:tcW w:w="0" w:type="auto"/>
            <w:vAlign w:val="center"/>
          </w:tcPr>
          <w:p w:rsidR="005F78FC" w:rsidRDefault="00B42EF3">
            <w:pPr>
              <w:pStyle w:val="TableBodyText"/>
            </w:pPr>
            <w:r>
              <w:t xml:space="preserve">Sakha </w:t>
            </w:r>
          </w:p>
        </w:tc>
        <w:tc>
          <w:tcPr>
            <w:tcW w:w="0" w:type="auto"/>
            <w:vAlign w:val="center"/>
          </w:tcPr>
          <w:p w:rsidR="005F78FC" w:rsidRDefault="00B42EF3">
            <w:pPr>
              <w:pStyle w:val="TableBodyText"/>
            </w:pPr>
            <w:r>
              <w:t>Russia</w:t>
            </w:r>
          </w:p>
        </w:tc>
        <w:tc>
          <w:tcPr>
            <w:tcW w:w="0" w:type="auto"/>
            <w:vAlign w:val="center"/>
          </w:tcPr>
          <w:p w:rsidR="005F78FC" w:rsidRDefault="00B42EF3">
            <w:pPr>
              <w:pStyle w:val="TableBodyText"/>
            </w:pPr>
            <w:r>
              <w:t>sah-RU</w:t>
            </w:r>
          </w:p>
        </w:tc>
      </w:tr>
      <w:tr w:rsidR="005F78FC" w:rsidTr="005F78FC">
        <w:tc>
          <w:tcPr>
            <w:tcW w:w="0" w:type="auto"/>
            <w:vAlign w:val="center"/>
          </w:tcPr>
          <w:p w:rsidR="005F78FC" w:rsidRDefault="00B42EF3">
            <w:pPr>
              <w:pStyle w:val="TableBodyText"/>
            </w:pPr>
            <w:r>
              <w:t>Sanskrit</w:t>
            </w:r>
          </w:p>
        </w:tc>
        <w:tc>
          <w:tcPr>
            <w:tcW w:w="0" w:type="auto"/>
            <w:vAlign w:val="center"/>
          </w:tcPr>
          <w:p w:rsidR="005F78FC" w:rsidRDefault="00B42EF3">
            <w:pPr>
              <w:pStyle w:val="TableBodyText"/>
            </w:pPr>
            <w:r>
              <w:t>India</w:t>
            </w:r>
          </w:p>
        </w:tc>
        <w:tc>
          <w:tcPr>
            <w:tcW w:w="0" w:type="auto"/>
            <w:vAlign w:val="center"/>
          </w:tcPr>
          <w:p w:rsidR="005F78FC" w:rsidRDefault="00B42EF3">
            <w:pPr>
              <w:pStyle w:val="TableBodyText"/>
            </w:pPr>
            <w:r>
              <w:t>sa-IN</w:t>
            </w:r>
          </w:p>
        </w:tc>
      </w:tr>
      <w:tr w:rsidR="005F78FC" w:rsidTr="005F78FC">
        <w:tc>
          <w:tcPr>
            <w:tcW w:w="0" w:type="auto"/>
            <w:vAlign w:val="center"/>
          </w:tcPr>
          <w:p w:rsidR="005F78FC" w:rsidRDefault="00B42EF3">
            <w:pPr>
              <w:pStyle w:val="TableBodyText"/>
            </w:pPr>
            <w:r>
              <w:t>Serbian (Cyrillic)</w:t>
            </w:r>
          </w:p>
        </w:tc>
        <w:tc>
          <w:tcPr>
            <w:tcW w:w="0" w:type="auto"/>
            <w:vAlign w:val="center"/>
          </w:tcPr>
          <w:p w:rsidR="005F78FC" w:rsidRDefault="00B42EF3">
            <w:pPr>
              <w:pStyle w:val="TableBodyText"/>
            </w:pPr>
            <w:r>
              <w:t xml:space="preserve">Bosnia and Herzegovina </w:t>
            </w:r>
          </w:p>
        </w:tc>
        <w:tc>
          <w:tcPr>
            <w:tcW w:w="0" w:type="auto"/>
            <w:vAlign w:val="center"/>
          </w:tcPr>
          <w:p w:rsidR="005F78FC" w:rsidRDefault="00B42EF3">
            <w:pPr>
              <w:pStyle w:val="TableBodyText"/>
            </w:pPr>
            <w:r>
              <w:t>sr-BA-Cyrl</w:t>
            </w:r>
          </w:p>
        </w:tc>
      </w:tr>
      <w:tr w:rsidR="005F78FC" w:rsidTr="005F78FC">
        <w:tc>
          <w:tcPr>
            <w:tcW w:w="0" w:type="auto"/>
            <w:vAlign w:val="center"/>
          </w:tcPr>
          <w:p w:rsidR="005F78FC" w:rsidRDefault="00B42EF3">
            <w:pPr>
              <w:pStyle w:val="TableBodyText"/>
            </w:pPr>
            <w:r>
              <w:t>Serbian (Cyrillic)</w:t>
            </w:r>
          </w:p>
        </w:tc>
        <w:tc>
          <w:tcPr>
            <w:tcW w:w="0" w:type="auto"/>
            <w:vAlign w:val="center"/>
          </w:tcPr>
          <w:p w:rsidR="005F78FC" w:rsidRDefault="00B42EF3">
            <w:pPr>
              <w:pStyle w:val="TableBodyText"/>
            </w:pPr>
            <w:r>
              <w:t xml:space="preserve">Serbia and </w:t>
            </w:r>
            <w:r>
              <w:t>Montenegro (former)</w:t>
            </w:r>
          </w:p>
        </w:tc>
        <w:tc>
          <w:tcPr>
            <w:tcW w:w="0" w:type="auto"/>
            <w:vAlign w:val="center"/>
          </w:tcPr>
          <w:p w:rsidR="005F78FC" w:rsidRDefault="00B42EF3">
            <w:pPr>
              <w:pStyle w:val="TableBodyText"/>
            </w:pPr>
            <w:r>
              <w:t>sr-SP-Cyrl</w:t>
            </w:r>
          </w:p>
        </w:tc>
      </w:tr>
      <w:tr w:rsidR="005F78FC" w:rsidTr="005F78FC">
        <w:tc>
          <w:tcPr>
            <w:tcW w:w="0" w:type="auto"/>
            <w:vAlign w:val="center"/>
          </w:tcPr>
          <w:p w:rsidR="005F78FC" w:rsidRDefault="00B42EF3">
            <w:pPr>
              <w:pStyle w:val="TableBodyText"/>
            </w:pPr>
            <w:r>
              <w:t>Serbian (Latin)</w:t>
            </w:r>
          </w:p>
        </w:tc>
        <w:tc>
          <w:tcPr>
            <w:tcW w:w="0" w:type="auto"/>
            <w:vAlign w:val="center"/>
          </w:tcPr>
          <w:p w:rsidR="005F78FC" w:rsidRDefault="00B42EF3">
            <w:pPr>
              <w:pStyle w:val="TableBodyText"/>
            </w:pPr>
            <w:r>
              <w:t xml:space="preserve">Bosnia and Herzegovina </w:t>
            </w:r>
          </w:p>
        </w:tc>
        <w:tc>
          <w:tcPr>
            <w:tcW w:w="0" w:type="auto"/>
            <w:vAlign w:val="center"/>
          </w:tcPr>
          <w:p w:rsidR="005F78FC" w:rsidRDefault="00B42EF3">
            <w:pPr>
              <w:pStyle w:val="TableBodyText"/>
            </w:pPr>
            <w:r>
              <w:t>sr-BA-Latn</w:t>
            </w:r>
          </w:p>
        </w:tc>
      </w:tr>
      <w:tr w:rsidR="005F78FC" w:rsidTr="005F78FC">
        <w:tc>
          <w:tcPr>
            <w:tcW w:w="0" w:type="auto"/>
            <w:vAlign w:val="center"/>
          </w:tcPr>
          <w:p w:rsidR="005F78FC" w:rsidRDefault="00B42EF3">
            <w:pPr>
              <w:pStyle w:val="TableBodyText"/>
            </w:pPr>
            <w:r>
              <w:t>Serbian (Latin)</w:t>
            </w:r>
          </w:p>
        </w:tc>
        <w:tc>
          <w:tcPr>
            <w:tcW w:w="0" w:type="auto"/>
            <w:vAlign w:val="center"/>
          </w:tcPr>
          <w:p w:rsidR="005F78FC" w:rsidRDefault="00B42EF3">
            <w:pPr>
              <w:pStyle w:val="TableBodyText"/>
            </w:pPr>
            <w:r>
              <w:t>Serbia and Montenegro (former)</w:t>
            </w:r>
          </w:p>
        </w:tc>
        <w:tc>
          <w:tcPr>
            <w:tcW w:w="0" w:type="auto"/>
            <w:vAlign w:val="center"/>
          </w:tcPr>
          <w:p w:rsidR="005F78FC" w:rsidRDefault="00B42EF3">
            <w:pPr>
              <w:pStyle w:val="TableBodyText"/>
            </w:pPr>
            <w:r>
              <w:t>sr-SP-Latn</w:t>
            </w:r>
          </w:p>
        </w:tc>
      </w:tr>
      <w:tr w:rsidR="005F78FC" w:rsidTr="005F78FC">
        <w:tc>
          <w:tcPr>
            <w:tcW w:w="0" w:type="auto"/>
            <w:vAlign w:val="center"/>
          </w:tcPr>
          <w:p w:rsidR="005F78FC" w:rsidRDefault="00B42EF3">
            <w:pPr>
              <w:pStyle w:val="TableBodyText"/>
            </w:pPr>
            <w:r>
              <w:t>Sesotho sa Leboa / Northern Sotho</w:t>
            </w:r>
          </w:p>
        </w:tc>
        <w:tc>
          <w:tcPr>
            <w:tcW w:w="0" w:type="auto"/>
            <w:vAlign w:val="center"/>
          </w:tcPr>
          <w:p w:rsidR="005F78FC" w:rsidRDefault="00B42EF3">
            <w:pPr>
              <w:pStyle w:val="TableBodyText"/>
            </w:pPr>
            <w:r>
              <w:t>South Africa</w:t>
            </w:r>
          </w:p>
        </w:tc>
        <w:tc>
          <w:tcPr>
            <w:tcW w:w="0" w:type="auto"/>
            <w:vAlign w:val="center"/>
          </w:tcPr>
          <w:p w:rsidR="005F78FC" w:rsidRDefault="00B42EF3">
            <w:pPr>
              <w:pStyle w:val="TableBodyText"/>
            </w:pPr>
            <w:r>
              <w:t>ns-ZA</w:t>
            </w:r>
          </w:p>
        </w:tc>
      </w:tr>
      <w:tr w:rsidR="005F78FC" w:rsidTr="005F78FC">
        <w:tc>
          <w:tcPr>
            <w:tcW w:w="0" w:type="auto"/>
            <w:vAlign w:val="center"/>
          </w:tcPr>
          <w:p w:rsidR="005F78FC" w:rsidRDefault="00B42EF3">
            <w:pPr>
              <w:pStyle w:val="TableBodyText"/>
            </w:pPr>
            <w:r>
              <w:t>Setswana / Tswana</w:t>
            </w:r>
          </w:p>
        </w:tc>
        <w:tc>
          <w:tcPr>
            <w:tcW w:w="0" w:type="auto"/>
            <w:vAlign w:val="center"/>
          </w:tcPr>
          <w:p w:rsidR="005F78FC" w:rsidRDefault="00B42EF3">
            <w:pPr>
              <w:pStyle w:val="TableBodyText"/>
            </w:pPr>
            <w:r>
              <w:t>South Africa</w:t>
            </w:r>
          </w:p>
        </w:tc>
        <w:tc>
          <w:tcPr>
            <w:tcW w:w="0" w:type="auto"/>
            <w:vAlign w:val="center"/>
          </w:tcPr>
          <w:p w:rsidR="005F78FC" w:rsidRDefault="00B42EF3">
            <w:pPr>
              <w:pStyle w:val="TableBodyText"/>
            </w:pPr>
            <w:r>
              <w:t>tn-ZA</w:t>
            </w:r>
          </w:p>
        </w:tc>
      </w:tr>
      <w:tr w:rsidR="005F78FC" w:rsidTr="005F78FC">
        <w:tc>
          <w:tcPr>
            <w:tcW w:w="0" w:type="auto"/>
            <w:vAlign w:val="center"/>
          </w:tcPr>
          <w:p w:rsidR="005F78FC" w:rsidRDefault="00B42EF3">
            <w:pPr>
              <w:pStyle w:val="TableBodyText"/>
            </w:pPr>
            <w:r>
              <w:t>Sinhala</w:t>
            </w:r>
          </w:p>
        </w:tc>
        <w:tc>
          <w:tcPr>
            <w:tcW w:w="0" w:type="auto"/>
            <w:vAlign w:val="center"/>
          </w:tcPr>
          <w:p w:rsidR="005F78FC" w:rsidRDefault="00B42EF3">
            <w:pPr>
              <w:pStyle w:val="TableBodyText"/>
            </w:pPr>
            <w:r>
              <w:t>Sri Lanka</w:t>
            </w:r>
          </w:p>
        </w:tc>
        <w:tc>
          <w:tcPr>
            <w:tcW w:w="0" w:type="auto"/>
            <w:vAlign w:val="center"/>
          </w:tcPr>
          <w:p w:rsidR="005F78FC" w:rsidRDefault="00B42EF3">
            <w:pPr>
              <w:pStyle w:val="TableBodyText"/>
            </w:pPr>
            <w:r>
              <w:t>si-LK</w:t>
            </w:r>
          </w:p>
        </w:tc>
      </w:tr>
      <w:tr w:rsidR="005F78FC" w:rsidTr="005F78FC">
        <w:tc>
          <w:tcPr>
            <w:tcW w:w="0" w:type="auto"/>
            <w:vAlign w:val="center"/>
          </w:tcPr>
          <w:p w:rsidR="005F78FC" w:rsidRDefault="00B42EF3">
            <w:pPr>
              <w:pStyle w:val="TableBodyText"/>
            </w:pPr>
            <w:r>
              <w:t>Skolt Sami</w:t>
            </w:r>
          </w:p>
        </w:tc>
        <w:tc>
          <w:tcPr>
            <w:tcW w:w="0" w:type="auto"/>
            <w:vAlign w:val="center"/>
          </w:tcPr>
          <w:p w:rsidR="005F78FC" w:rsidRDefault="00B42EF3">
            <w:pPr>
              <w:pStyle w:val="TableBodyText"/>
            </w:pPr>
            <w:r>
              <w:t>Finland</w:t>
            </w:r>
          </w:p>
        </w:tc>
        <w:tc>
          <w:tcPr>
            <w:tcW w:w="0" w:type="auto"/>
            <w:vAlign w:val="center"/>
          </w:tcPr>
          <w:p w:rsidR="005F78FC" w:rsidRDefault="00B42EF3">
            <w:pPr>
              <w:pStyle w:val="TableBodyText"/>
            </w:pPr>
            <w:r>
              <w:t>sms-FI</w:t>
            </w:r>
          </w:p>
        </w:tc>
      </w:tr>
      <w:tr w:rsidR="005F78FC" w:rsidTr="005F78FC">
        <w:tc>
          <w:tcPr>
            <w:tcW w:w="0" w:type="auto"/>
            <w:vAlign w:val="center"/>
          </w:tcPr>
          <w:p w:rsidR="005F78FC" w:rsidRDefault="00B42EF3">
            <w:pPr>
              <w:pStyle w:val="TableBodyText"/>
            </w:pPr>
            <w:r>
              <w:t>Slovak</w:t>
            </w:r>
          </w:p>
        </w:tc>
        <w:tc>
          <w:tcPr>
            <w:tcW w:w="0" w:type="auto"/>
            <w:vAlign w:val="center"/>
          </w:tcPr>
          <w:p w:rsidR="005F78FC" w:rsidRDefault="00B42EF3">
            <w:pPr>
              <w:pStyle w:val="TableBodyText"/>
            </w:pPr>
            <w:r>
              <w:t>Slovakia</w:t>
            </w:r>
          </w:p>
        </w:tc>
        <w:tc>
          <w:tcPr>
            <w:tcW w:w="0" w:type="auto"/>
            <w:vAlign w:val="center"/>
          </w:tcPr>
          <w:p w:rsidR="005F78FC" w:rsidRDefault="00B42EF3">
            <w:pPr>
              <w:pStyle w:val="TableBodyText"/>
            </w:pPr>
            <w:r>
              <w:t>sk-SK</w:t>
            </w:r>
          </w:p>
        </w:tc>
      </w:tr>
      <w:tr w:rsidR="005F78FC" w:rsidTr="005F78FC">
        <w:tc>
          <w:tcPr>
            <w:tcW w:w="0" w:type="auto"/>
            <w:vAlign w:val="center"/>
          </w:tcPr>
          <w:p w:rsidR="005F78FC" w:rsidRDefault="00B42EF3">
            <w:pPr>
              <w:pStyle w:val="TableBodyText"/>
            </w:pPr>
            <w:r>
              <w:t>Slovenian</w:t>
            </w:r>
          </w:p>
        </w:tc>
        <w:tc>
          <w:tcPr>
            <w:tcW w:w="0" w:type="auto"/>
            <w:vAlign w:val="center"/>
          </w:tcPr>
          <w:p w:rsidR="005F78FC" w:rsidRDefault="00B42EF3">
            <w:pPr>
              <w:pStyle w:val="TableBodyText"/>
            </w:pPr>
            <w:r>
              <w:t>Slovenia</w:t>
            </w:r>
          </w:p>
        </w:tc>
        <w:tc>
          <w:tcPr>
            <w:tcW w:w="0" w:type="auto"/>
            <w:vAlign w:val="center"/>
          </w:tcPr>
          <w:p w:rsidR="005F78FC" w:rsidRDefault="00B42EF3">
            <w:pPr>
              <w:pStyle w:val="TableBodyText"/>
            </w:pPr>
            <w:r>
              <w:t>sl-SI</w:t>
            </w:r>
          </w:p>
        </w:tc>
      </w:tr>
      <w:tr w:rsidR="005F78FC" w:rsidTr="005F78FC">
        <w:tc>
          <w:tcPr>
            <w:tcW w:w="0" w:type="auto"/>
            <w:vAlign w:val="center"/>
          </w:tcPr>
          <w:p w:rsidR="005F78FC" w:rsidRDefault="00B42EF3">
            <w:pPr>
              <w:pStyle w:val="TableBodyText"/>
            </w:pPr>
            <w:r>
              <w:t>Southern Sami</w:t>
            </w:r>
          </w:p>
        </w:tc>
        <w:tc>
          <w:tcPr>
            <w:tcW w:w="0" w:type="auto"/>
            <w:vAlign w:val="center"/>
          </w:tcPr>
          <w:p w:rsidR="005F78FC" w:rsidRDefault="00B42EF3">
            <w:pPr>
              <w:pStyle w:val="TableBodyText"/>
            </w:pPr>
            <w:r>
              <w:t>Norway</w:t>
            </w:r>
          </w:p>
        </w:tc>
        <w:tc>
          <w:tcPr>
            <w:tcW w:w="0" w:type="auto"/>
            <w:vAlign w:val="center"/>
          </w:tcPr>
          <w:p w:rsidR="005F78FC" w:rsidRDefault="00B42EF3">
            <w:pPr>
              <w:pStyle w:val="TableBodyText"/>
            </w:pPr>
            <w:r>
              <w:t>sma-NO</w:t>
            </w:r>
          </w:p>
        </w:tc>
      </w:tr>
      <w:tr w:rsidR="005F78FC" w:rsidTr="005F78FC">
        <w:tc>
          <w:tcPr>
            <w:tcW w:w="0" w:type="auto"/>
            <w:vAlign w:val="center"/>
          </w:tcPr>
          <w:p w:rsidR="005F78FC" w:rsidRDefault="00B42EF3">
            <w:pPr>
              <w:pStyle w:val="TableBodyText"/>
            </w:pPr>
            <w:r>
              <w:t>Southern Sami</w:t>
            </w:r>
          </w:p>
        </w:tc>
        <w:tc>
          <w:tcPr>
            <w:tcW w:w="0" w:type="auto"/>
            <w:vAlign w:val="center"/>
          </w:tcPr>
          <w:p w:rsidR="005F78FC" w:rsidRDefault="00B42EF3">
            <w:pPr>
              <w:pStyle w:val="TableBodyText"/>
            </w:pPr>
            <w:r>
              <w:t>Sweden</w:t>
            </w:r>
          </w:p>
        </w:tc>
        <w:tc>
          <w:tcPr>
            <w:tcW w:w="0" w:type="auto"/>
            <w:vAlign w:val="center"/>
          </w:tcPr>
          <w:p w:rsidR="005F78FC" w:rsidRDefault="00B42EF3">
            <w:pPr>
              <w:pStyle w:val="TableBodyText"/>
            </w:pPr>
            <w:r>
              <w:t>sma-SE</w:t>
            </w:r>
          </w:p>
        </w:tc>
      </w:tr>
      <w:tr w:rsidR="005F78FC" w:rsidTr="005F78FC">
        <w:tc>
          <w:tcPr>
            <w:tcW w:w="0" w:type="auto"/>
            <w:vAlign w:val="center"/>
          </w:tcPr>
          <w:p w:rsidR="005F78FC" w:rsidRDefault="00B42EF3">
            <w:pPr>
              <w:pStyle w:val="TableBodyText"/>
            </w:pPr>
            <w:r>
              <w:lastRenderedPageBreak/>
              <w:t>Spanish</w:t>
            </w:r>
          </w:p>
        </w:tc>
        <w:tc>
          <w:tcPr>
            <w:tcW w:w="0" w:type="auto"/>
            <w:vAlign w:val="center"/>
          </w:tcPr>
          <w:p w:rsidR="005F78FC" w:rsidRDefault="00B42EF3">
            <w:pPr>
              <w:pStyle w:val="TableBodyText"/>
            </w:pPr>
            <w:r>
              <w:t>Argentina</w:t>
            </w:r>
          </w:p>
        </w:tc>
        <w:tc>
          <w:tcPr>
            <w:tcW w:w="0" w:type="auto"/>
            <w:vAlign w:val="center"/>
          </w:tcPr>
          <w:p w:rsidR="005F78FC" w:rsidRDefault="00B42EF3">
            <w:pPr>
              <w:pStyle w:val="TableBodyText"/>
            </w:pPr>
            <w:r>
              <w:t>es-AR</w:t>
            </w:r>
          </w:p>
        </w:tc>
      </w:tr>
      <w:tr w:rsidR="005F78FC" w:rsidTr="005F78FC">
        <w:tc>
          <w:tcPr>
            <w:tcW w:w="0" w:type="auto"/>
            <w:vAlign w:val="center"/>
          </w:tcPr>
          <w:p w:rsidR="005F78FC" w:rsidRDefault="00B42EF3">
            <w:pPr>
              <w:pStyle w:val="TableBodyText"/>
            </w:pPr>
            <w:r>
              <w:t>Spanish</w:t>
            </w:r>
          </w:p>
        </w:tc>
        <w:tc>
          <w:tcPr>
            <w:tcW w:w="0" w:type="auto"/>
            <w:vAlign w:val="center"/>
          </w:tcPr>
          <w:p w:rsidR="005F78FC" w:rsidRDefault="00B42EF3">
            <w:pPr>
              <w:pStyle w:val="TableBodyText"/>
            </w:pPr>
            <w:r>
              <w:t>Bolivia</w:t>
            </w:r>
          </w:p>
        </w:tc>
        <w:tc>
          <w:tcPr>
            <w:tcW w:w="0" w:type="auto"/>
            <w:vAlign w:val="center"/>
          </w:tcPr>
          <w:p w:rsidR="005F78FC" w:rsidRDefault="00B42EF3">
            <w:pPr>
              <w:pStyle w:val="TableBodyText"/>
            </w:pPr>
            <w:r>
              <w:t>es-BO</w:t>
            </w:r>
          </w:p>
        </w:tc>
      </w:tr>
      <w:tr w:rsidR="005F78FC" w:rsidTr="005F78FC">
        <w:tc>
          <w:tcPr>
            <w:tcW w:w="0" w:type="auto"/>
            <w:vAlign w:val="center"/>
          </w:tcPr>
          <w:p w:rsidR="005F78FC" w:rsidRDefault="00B42EF3">
            <w:pPr>
              <w:pStyle w:val="TableBodyText"/>
            </w:pPr>
            <w:r>
              <w:t>Spanish</w:t>
            </w:r>
          </w:p>
        </w:tc>
        <w:tc>
          <w:tcPr>
            <w:tcW w:w="0" w:type="auto"/>
            <w:vAlign w:val="center"/>
          </w:tcPr>
          <w:p w:rsidR="005F78FC" w:rsidRDefault="00B42EF3">
            <w:pPr>
              <w:pStyle w:val="TableBodyText"/>
            </w:pPr>
            <w:r>
              <w:t>Chile</w:t>
            </w:r>
          </w:p>
        </w:tc>
        <w:tc>
          <w:tcPr>
            <w:tcW w:w="0" w:type="auto"/>
            <w:vAlign w:val="center"/>
          </w:tcPr>
          <w:p w:rsidR="005F78FC" w:rsidRDefault="00B42EF3">
            <w:pPr>
              <w:pStyle w:val="TableBodyText"/>
            </w:pPr>
            <w:r>
              <w:t>es-CL</w:t>
            </w:r>
          </w:p>
        </w:tc>
      </w:tr>
      <w:tr w:rsidR="005F78FC" w:rsidTr="005F78FC">
        <w:tc>
          <w:tcPr>
            <w:tcW w:w="0" w:type="auto"/>
            <w:vAlign w:val="center"/>
          </w:tcPr>
          <w:p w:rsidR="005F78FC" w:rsidRDefault="00B42EF3">
            <w:pPr>
              <w:pStyle w:val="TableBodyText"/>
            </w:pPr>
            <w:r>
              <w:t>Spanish</w:t>
            </w:r>
          </w:p>
        </w:tc>
        <w:tc>
          <w:tcPr>
            <w:tcW w:w="0" w:type="auto"/>
            <w:vAlign w:val="center"/>
          </w:tcPr>
          <w:p w:rsidR="005F78FC" w:rsidRDefault="00B42EF3">
            <w:pPr>
              <w:pStyle w:val="TableBodyText"/>
            </w:pPr>
            <w:r>
              <w:t>Columbia</w:t>
            </w:r>
          </w:p>
        </w:tc>
        <w:tc>
          <w:tcPr>
            <w:tcW w:w="0" w:type="auto"/>
            <w:vAlign w:val="center"/>
          </w:tcPr>
          <w:p w:rsidR="005F78FC" w:rsidRDefault="00B42EF3">
            <w:pPr>
              <w:pStyle w:val="TableBodyText"/>
            </w:pPr>
            <w:r>
              <w:t>es-CO</w:t>
            </w:r>
          </w:p>
        </w:tc>
      </w:tr>
      <w:tr w:rsidR="005F78FC" w:rsidTr="005F78FC">
        <w:tc>
          <w:tcPr>
            <w:tcW w:w="0" w:type="auto"/>
            <w:vAlign w:val="center"/>
          </w:tcPr>
          <w:p w:rsidR="005F78FC" w:rsidRDefault="00B42EF3">
            <w:pPr>
              <w:pStyle w:val="TableBodyText"/>
            </w:pPr>
            <w:r>
              <w:t>Spanish</w:t>
            </w:r>
          </w:p>
        </w:tc>
        <w:tc>
          <w:tcPr>
            <w:tcW w:w="0" w:type="auto"/>
            <w:vAlign w:val="center"/>
          </w:tcPr>
          <w:p w:rsidR="005F78FC" w:rsidRDefault="00B42EF3">
            <w:pPr>
              <w:pStyle w:val="TableBodyText"/>
            </w:pPr>
            <w:r>
              <w:t>Costa Rica</w:t>
            </w:r>
          </w:p>
        </w:tc>
        <w:tc>
          <w:tcPr>
            <w:tcW w:w="0" w:type="auto"/>
            <w:vAlign w:val="center"/>
          </w:tcPr>
          <w:p w:rsidR="005F78FC" w:rsidRDefault="00B42EF3">
            <w:pPr>
              <w:pStyle w:val="TableBodyText"/>
            </w:pPr>
            <w:r>
              <w:t>es-CR</w:t>
            </w:r>
          </w:p>
        </w:tc>
      </w:tr>
      <w:tr w:rsidR="005F78FC" w:rsidTr="005F78FC">
        <w:tc>
          <w:tcPr>
            <w:tcW w:w="0" w:type="auto"/>
            <w:vAlign w:val="center"/>
          </w:tcPr>
          <w:p w:rsidR="005F78FC" w:rsidRDefault="00B42EF3">
            <w:pPr>
              <w:pStyle w:val="TableBodyText"/>
            </w:pPr>
            <w:r>
              <w:t>Spanish</w:t>
            </w:r>
          </w:p>
        </w:tc>
        <w:tc>
          <w:tcPr>
            <w:tcW w:w="0" w:type="auto"/>
            <w:vAlign w:val="center"/>
          </w:tcPr>
          <w:p w:rsidR="005F78FC" w:rsidRDefault="00B42EF3">
            <w:pPr>
              <w:pStyle w:val="TableBodyText"/>
            </w:pPr>
            <w:r>
              <w:t>Dominican Republic</w:t>
            </w:r>
          </w:p>
        </w:tc>
        <w:tc>
          <w:tcPr>
            <w:tcW w:w="0" w:type="auto"/>
            <w:vAlign w:val="center"/>
          </w:tcPr>
          <w:p w:rsidR="005F78FC" w:rsidRDefault="00B42EF3">
            <w:pPr>
              <w:pStyle w:val="TableBodyText"/>
            </w:pPr>
            <w:r>
              <w:t>es-DO</w:t>
            </w:r>
          </w:p>
        </w:tc>
      </w:tr>
      <w:tr w:rsidR="005F78FC" w:rsidTr="005F78FC">
        <w:tc>
          <w:tcPr>
            <w:tcW w:w="0" w:type="auto"/>
            <w:vAlign w:val="center"/>
          </w:tcPr>
          <w:p w:rsidR="005F78FC" w:rsidRDefault="00B42EF3">
            <w:pPr>
              <w:pStyle w:val="TableBodyText"/>
            </w:pPr>
            <w:r>
              <w:t>Spanish</w:t>
            </w:r>
          </w:p>
        </w:tc>
        <w:tc>
          <w:tcPr>
            <w:tcW w:w="0" w:type="auto"/>
            <w:vAlign w:val="center"/>
          </w:tcPr>
          <w:p w:rsidR="005F78FC" w:rsidRDefault="00B42EF3">
            <w:pPr>
              <w:pStyle w:val="TableBodyText"/>
            </w:pPr>
            <w:r>
              <w:t>Ecuador</w:t>
            </w:r>
          </w:p>
        </w:tc>
        <w:tc>
          <w:tcPr>
            <w:tcW w:w="0" w:type="auto"/>
            <w:vAlign w:val="center"/>
          </w:tcPr>
          <w:p w:rsidR="005F78FC" w:rsidRDefault="00B42EF3">
            <w:pPr>
              <w:pStyle w:val="TableBodyText"/>
            </w:pPr>
            <w:r>
              <w:t>es-EC</w:t>
            </w:r>
          </w:p>
        </w:tc>
      </w:tr>
      <w:tr w:rsidR="005F78FC" w:rsidTr="005F78FC">
        <w:tc>
          <w:tcPr>
            <w:tcW w:w="0" w:type="auto"/>
            <w:vAlign w:val="center"/>
          </w:tcPr>
          <w:p w:rsidR="005F78FC" w:rsidRDefault="00B42EF3">
            <w:pPr>
              <w:pStyle w:val="TableBodyText"/>
            </w:pPr>
            <w:r>
              <w:t>Spanish</w:t>
            </w:r>
          </w:p>
        </w:tc>
        <w:tc>
          <w:tcPr>
            <w:tcW w:w="0" w:type="auto"/>
            <w:vAlign w:val="center"/>
          </w:tcPr>
          <w:p w:rsidR="005F78FC" w:rsidRDefault="00B42EF3">
            <w:pPr>
              <w:pStyle w:val="TableBodyText"/>
            </w:pPr>
            <w:r>
              <w:t>El Salvador</w:t>
            </w:r>
          </w:p>
        </w:tc>
        <w:tc>
          <w:tcPr>
            <w:tcW w:w="0" w:type="auto"/>
            <w:vAlign w:val="center"/>
          </w:tcPr>
          <w:p w:rsidR="005F78FC" w:rsidRDefault="00B42EF3">
            <w:pPr>
              <w:pStyle w:val="TableBodyText"/>
            </w:pPr>
            <w:r>
              <w:t>es-SV</w:t>
            </w:r>
          </w:p>
        </w:tc>
      </w:tr>
      <w:tr w:rsidR="005F78FC" w:rsidTr="005F78FC">
        <w:tc>
          <w:tcPr>
            <w:tcW w:w="0" w:type="auto"/>
            <w:vAlign w:val="center"/>
          </w:tcPr>
          <w:p w:rsidR="005F78FC" w:rsidRDefault="00B42EF3">
            <w:pPr>
              <w:pStyle w:val="TableBodyText"/>
            </w:pPr>
            <w:r>
              <w:t>Spanish</w:t>
            </w:r>
          </w:p>
        </w:tc>
        <w:tc>
          <w:tcPr>
            <w:tcW w:w="0" w:type="auto"/>
            <w:vAlign w:val="center"/>
          </w:tcPr>
          <w:p w:rsidR="005F78FC" w:rsidRDefault="00B42EF3">
            <w:pPr>
              <w:pStyle w:val="TableBodyText"/>
            </w:pPr>
            <w:r>
              <w:t>Guatemala</w:t>
            </w:r>
          </w:p>
        </w:tc>
        <w:tc>
          <w:tcPr>
            <w:tcW w:w="0" w:type="auto"/>
            <w:vAlign w:val="center"/>
          </w:tcPr>
          <w:p w:rsidR="005F78FC" w:rsidRDefault="00B42EF3">
            <w:pPr>
              <w:pStyle w:val="TableBodyText"/>
            </w:pPr>
            <w:r>
              <w:t>es-GT</w:t>
            </w:r>
          </w:p>
        </w:tc>
      </w:tr>
      <w:tr w:rsidR="005F78FC" w:rsidTr="005F78FC">
        <w:tc>
          <w:tcPr>
            <w:tcW w:w="0" w:type="auto"/>
            <w:vAlign w:val="center"/>
          </w:tcPr>
          <w:p w:rsidR="005F78FC" w:rsidRDefault="00B42EF3">
            <w:pPr>
              <w:pStyle w:val="TableBodyText"/>
            </w:pPr>
            <w:r>
              <w:t>Spanish</w:t>
            </w:r>
          </w:p>
        </w:tc>
        <w:tc>
          <w:tcPr>
            <w:tcW w:w="0" w:type="auto"/>
            <w:vAlign w:val="center"/>
          </w:tcPr>
          <w:p w:rsidR="005F78FC" w:rsidRDefault="00B42EF3">
            <w:pPr>
              <w:pStyle w:val="TableBodyText"/>
            </w:pPr>
            <w:r>
              <w:t>Honduras</w:t>
            </w:r>
          </w:p>
        </w:tc>
        <w:tc>
          <w:tcPr>
            <w:tcW w:w="0" w:type="auto"/>
            <w:vAlign w:val="center"/>
          </w:tcPr>
          <w:p w:rsidR="005F78FC" w:rsidRDefault="00B42EF3">
            <w:pPr>
              <w:pStyle w:val="TableBodyText"/>
            </w:pPr>
            <w:r>
              <w:t>es-HN</w:t>
            </w:r>
          </w:p>
        </w:tc>
      </w:tr>
      <w:tr w:rsidR="005F78FC" w:rsidTr="005F78FC">
        <w:tc>
          <w:tcPr>
            <w:tcW w:w="0" w:type="auto"/>
            <w:vAlign w:val="center"/>
          </w:tcPr>
          <w:p w:rsidR="005F78FC" w:rsidRDefault="00B42EF3">
            <w:pPr>
              <w:pStyle w:val="TableBodyText"/>
            </w:pPr>
            <w:r>
              <w:t>Spanish</w:t>
            </w:r>
          </w:p>
        </w:tc>
        <w:tc>
          <w:tcPr>
            <w:tcW w:w="0" w:type="auto"/>
            <w:vAlign w:val="center"/>
          </w:tcPr>
          <w:p w:rsidR="005F78FC" w:rsidRDefault="00B42EF3">
            <w:pPr>
              <w:pStyle w:val="TableBodyText"/>
            </w:pPr>
            <w:r>
              <w:t>Mexico</w:t>
            </w:r>
          </w:p>
        </w:tc>
        <w:tc>
          <w:tcPr>
            <w:tcW w:w="0" w:type="auto"/>
            <w:vAlign w:val="center"/>
          </w:tcPr>
          <w:p w:rsidR="005F78FC" w:rsidRDefault="00B42EF3">
            <w:pPr>
              <w:pStyle w:val="TableBodyText"/>
            </w:pPr>
            <w:r>
              <w:t>es-MX</w:t>
            </w:r>
          </w:p>
        </w:tc>
      </w:tr>
      <w:tr w:rsidR="005F78FC" w:rsidTr="005F78FC">
        <w:tc>
          <w:tcPr>
            <w:tcW w:w="0" w:type="auto"/>
            <w:vAlign w:val="center"/>
          </w:tcPr>
          <w:p w:rsidR="005F78FC" w:rsidRDefault="00B42EF3">
            <w:pPr>
              <w:pStyle w:val="TableBodyText"/>
            </w:pPr>
            <w:r>
              <w:t>Spanish</w:t>
            </w:r>
          </w:p>
        </w:tc>
        <w:tc>
          <w:tcPr>
            <w:tcW w:w="0" w:type="auto"/>
            <w:vAlign w:val="center"/>
          </w:tcPr>
          <w:p w:rsidR="005F78FC" w:rsidRDefault="00B42EF3">
            <w:pPr>
              <w:pStyle w:val="TableBodyText"/>
            </w:pPr>
            <w:r>
              <w:t>Nicaragua</w:t>
            </w:r>
          </w:p>
        </w:tc>
        <w:tc>
          <w:tcPr>
            <w:tcW w:w="0" w:type="auto"/>
            <w:vAlign w:val="center"/>
          </w:tcPr>
          <w:p w:rsidR="005F78FC" w:rsidRDefault="00B42EF3">
            <w:pPr>
              <w:pStyle w:val="TableBodyText"/>
            </w:pPr>
            <w:r>
              <w:t>es-NI</w:t>
            </w:r>
          </w:p>
        </w:tc>
      </w:tr>
      <w:tr w:rsidR="005F78FC" w:rsidTr="005F78FC">
        <w:tc>
          <w:tcPr>
            <w:tcW w:w="0" w:type="auto"/>
            <w:vAlign w:val="center"/>
          </w:tcPr>
          <w:p w:rsidR="005F78FC" w:rsidRDefault="00B42EF3">
            <w:pPr>
              <w:pStyle w:val="TableBodyText"/>
            </w:pPr>
            <w:r>
              <w:t>Spanish</w:t>
            </w:r>
          </w:p>
        </w:tc>
        <w:tc>
          <w:tcPr>
            <w:tcW w:w="0" w:type="auto"/>
            <w:vAlign w:val="center"/>
          </w:tcPr>
          <w:p w:rsidR="005F78FC" w:rsidRDefault="00B42EF3">
            <w:pPr>
              <w:pStyle w:val="TableBodyText"/>
            </w:pPr>
            <w:r>
              <w:t>Panama</w:t>
            </w:r>
          </w:p>
        </w:tc>
        <w:tc>
          <w:tcPr>
            <w:tcW w:w="0" w:type="auto"/>
            <w:vAlign w:val="center"/>
          </w:tcPr>
          <w:p w:rsidR="005F78FC" w:rsidRDefault="00B42EF3">
            <w:pPr>
              <w:pStyle w:val="TableBodyText"/>
            </w:pPr>
            <w:r>
              <w:t>es-PA</w:t>
            </w:r>
          </w:p>
        </w:tc>
      </w:tr>
      <w:tr w:rsidR="005F78FC" w:rsidTr="005F78FC">
        <w:tc>
          <w:tcPr>
            <w:tcW w:w="0" w:type="auto"/>
            <w:vAlign w:val="center"/>
          </w:tcPr>
          <w:p w:rsidR="005F78FC" w:rsidRDefault="00B42EF3">
            <w:pPr>
              <w:pStyle w:val="TableBodyText"/>
            </w:pPr>
            <w:r>
              <w:t>Spanish</w:t>
            </w:r>
          </w:p>
        </w:tc>
        <w:tc>
          <w:tcPr>
            <w:tcW w:w="0" w:type="auto"/>
            <w:vAlign w:val="center"/>
          </w:tcPr>
          <w:p w:rsidR="005F78FC" w:rsidRDefault="00B42EF3">
            <w:pPr>
              <w:pStyle w:val="TableBodyText"/>
            </w:pPr>
            <w:r>
              <w:t>Paraguay</w:t>
            </w:r>
          </w:p>
        </w:tc>
        <w:tc>
          <w:tcPr>
            <w:tcW w:w="0" w:type="auto"/>
            <w:vAlign w:val="center"/>
          </w:tcPr>
          <w:p w:rsidR="005F78FC" w:rsidRDefault="00B42EF3">
            <w:pPr>
              <w:pStyle w:val="TableBodyText"/>
            </w:pPr>
            <w:r>
              <w:t>es-PY</w:t>
            </w:r>
          </w:p>
        </w:tc>
      </w:tr>
      <w:tr w:rsidR="005F78FC" w:rsidTr="005F78FC">
        <w:tc>
          <w:tcPr>
            <w:tcW w:w="0" w:type="auto"/>
            <w:vAlign w:val="center"/>
          </w:tcPr>
          <w:p w:rsidR="005F78FC" w:rsidRDefault="00B42EF3">
            <w:pPr>
              <w:pStyle w:val="TableBodyText"/>
            </w:pPr>
            <w:r>
              <w:t>Spanish</w:t>
            </w:r>
          </w:p>
        </w:tc>
        <w:tc>
          <w:tcPr>
            <w:tcW w:w="0" w:type="auto"/>
            <w:vAlign w:val="center"/>
          </w:tcPr>
          <w:p w:rsidR="005F78FC" w:rsidRDefault="00B42EF3">
            <w:pPr>
              <w:pStyle w:val="TableBodyText"/>
            </w:pPr>
            <w:r>
              <w:t>Peru</w:t>
            </w:r>
          </w:p>
        </w:tc>
        <w:tc>
          <w:tcPr>
            <w:tcW w:w="0" w:type="auto"/>
            <w:vAlign w:val="center"/>
          </w:tcPr>
          <w:p w:rsidR="005F78FC" w:rsidRDefault="00B42EF3">
            <w:pPr>
              <w:pStyle w:val="TableBodyText"/>
            </w:pPr>
            <w:r>
              <w:t>es-PE</w:t>
            </w:r>
          </w:p>
        </w:tc>
      </w:tr>
      <w:tr w:rsidR="005F78FC" w:rsidTr="005F78FC">
        <w:tc>
          <w:tcPr>
            <w:tcW w:w="0" w:type="auto"/>
            <w:vAlign w:val="center"/>
          </w:tcPr>
          <w:p w:rsidR="005F78FC" w:rsidRDefault="00B42EF3">
            <w:pPr>
              <w:pStyle w:val="TableBodyText"/>
            </w:pPr>
            <w:r>
              <w:t>Spanish</w:t>
            </w:r>
          </w:p>
        </w:tc>
        <w:tc>
          <w:tcPr>
            <w:tcW w:w="0" w:type="auto"/>
            <w:vAlign w:val="center"/>
          </w:tcPr>
          <w:p w:rsidR="005F78FC" w:rsidRDefault="00B42EF3">
            <w:pPr>
              <w:pStyle w:val="TableBodyText"/>
            </w:pPr>
            <w:r>
              <w:t>Puerto Rico</w:t>
            </w:r>
          </w:p>
        </w:tc>
        <w:tc>
          <w:tcPr>
            <w:tcW w:w="0" w:type="auto"/>
            <w:vAlign w:val="center"/>
          </w:tcPr>
          <w:p w:rsidR="005F78FC" w:rsidRDefault="00B42EF3">
            <w:pPr>
              <w:pStyle w:val="TableBodyText"/>
            </w:pPr>
            <w:r>
              <w:t>es-PR</w:t>
            </w:r>
          </w:p>
        </w:tc>
      </w:tr>
      <w:tr w:rsidR="005F78FC" w:rsidTr="005F78FC">
        <w:tc>
          <w:tcPr>
            <w:tcW w:w="0" w:type="auto"/>
            <w:vAlign w:val="center"/>
          </w:tcPr>
          <w:p w:rsidR="005F78FC" w:rsidRDefault="00B42EF3">
            <w:pPr>
              <w:pStyle w:val="TableBodyText"/>
            </w:pPr>
            <w:r>
              <w:t>Spanish</w:t>
            </w:r>
          </w:p>
        </w:tc>
        <w:tc>
          <w:tcPr>
            <w:tcW w:w="0" w:type="auto"/>
            <w:vAlign w:val="center"/>
          </w:tcPr>
          <w:p w:rsidR="005F78FC" w:rsidRDefault="00B42EF3">
            <w:pPr>
              <w:pStyle w:val="TableBodyText"/>
            </w:pPr>
            <w:r>
              <w:t>Spain</w:t>
            </w:r>
          </w:p>
        </w:tc>
        <w:tc>
          <w:tcPr>
            <w:tcW w:w="0" w:type="auto"/>
            <w:vAlign w:val="center"/>
          </w:tcPr>
          <w:p w:rsidR="005F78FC" w:rsidRDefault="00B42EF3">
            <w:pPr>
              <w:pStyle w:val="TableBodyText"/>
            </w:pPr>
            <w:r>
              <w:t>es-ES</w:t>
            </w:r>
          </w:p>
        </w:tc>
      </w:tr>
      <w:tr w:rsidR="005F78FC" w:rsidTr="005F78FC">
        <w:tc>
          <w:tcPr>
            <w:tcW w:w="0" w:type="auto"/>
            <w:vAlign w:val="center"/>
          </w:tcPr>
          <w:p w:rsidR="005F78FC" w:rsidRDefault="00B42EF3">
            <w:pPr>
              <w:pStyle w:val="TableBodyText"/>
            </w:pPr>
            <w:r>
              <w:t>Spanish</w:t>
            </w:r>
          </w:p>
        </w:tc>
        <w:tc>
          <w:tcPr>
            <w:tcW w:w="0" w:type="auto"/>
            <w:vAlign w:val="center"/>
          </w:tcPr>
          <w:p w:rsidR="005F78FC" w:rsidRDefault="00B42EF3">
            <w:pPr>
              <w:pStyle w:val="TableBodyText"/>
            </w:pPr>
            <w:r>
              <w:t>United States</w:t>
            </w:r>
          </w:p>
        </w:tc>
        <w:tc>
          <w:tcPr>
            <w:tcW w:w="0" w:type="auto"/>
            <w:vAlign w:val="center"/>
          </w:tcPr>
          <w:p w:rsidR="005F78FC" w:rsidRDefault="00B42EF3">
            <w:pPr>
              <w:pStyle w:val="TableBodyText"/>
            </w:pPr>
            <w:r>
              <w:t>es-US</w:t>
            </w:r>
          </w:p>
        </w:tc>
      </w:tr>
      <w:tr w:rsidR="005F78FC" w:rsidTr="005F78FC">
        <w:tc>
          <w:tcPr>
            <w:tcW w:w="0" w:type="auto"/>
            <w:vAlign w:val="center"/>
          </w:tcPr>
          <w:p w:rsidR="005F78FC" w:rsidRDefault="00B42EF3">
            <w:pPr>
              <w:pStyle w:val="TableBodyText"/>
            </w:pPr>
            <w:r>
              <w:t>Spanish</w:t>
            </w:r>
          </w:p>
        </w:tc>
        <w:tc>
          <w:tcPr>
            <w:tcW w:w="0" w:type="auto"/>
            <w:vAlign w:val="center"/>
          </w:tcPr>
          <w:p w:rsidR="005F78FC" w:rsidRDefault="00B42EF3">
            <w:pPr>
              <w:pStyle w:val="TableBodyText"/>
            </w:pPr>
            <w:r>
              <w:t>Uruguay</w:t>
            </w:r>
          </w:p>
        </w:tc>
        <w:tc>
          <w:tcPr>
            <w:tcW w:w="0" w:type="auto"/>
            <w:vAlign w:val="center"/>
          </w:tcPr>
          <w:p w:rsidR="005F78FC" w:rsidRDefault="00B42EF3">
            <w:pPr>
              <w:pStyle w:val="TableBodyText"/>
            </w:pPr>
            <w:r>
              <w:t>es-UY</w:t>
            </w:r>
          </w:p>
        </w:tc>
      </w:tr>
      <w:tr w:rsidR="005F78FC" w:rsidTr="005F78FC">
        <w:tc>
          <w:tcPr>
            <w:tcW w:w="0" w:type="auto"/>
            <w:vAlign w:val="center"/>
          </w:tcPr>
          <w:p w:rsidR="005F78FC" w:rsidRDefault="00B42EF3">
            <w:pPr>
              <w:pStyle w:val="TableBodyText"/>
            </w:pPr>
            <w:r>
              <w:t>Spanish</w:t>
            </w:r>
          </w:p>
        </w:tc>
        <w:tc>
          <w:tcPr>
            <w:tcW w:w="0" w:type="auto"/>
            <w:vAlign w:val="center"/>
          </w:tcPr>
          <w:p w:rsidR="005F78FC" w:rsidRDefault="00B42EF3">
            <w:pPr>
              <w:pStyle w:val="TableBodyText"/>
            </w:pPr>
            <w:r>
              <w:t>Venezuela</w:t>
            </w:r>
          </w:p>
        </w:tc>
        <w:tc>
          <w:tcPr>
            <w:tcW w:w="0" w:type="auto"/>
            <w:vAlign w:val="center"/>
          </w:tcPr>
          <w:p w:rsidR="005F78FC" w:rsidRDefault="00B42EF3">
            <w:pPr>
              <w:pStyle w:val="TableBodyText"/>
            </w:pPr>
            <w:r>
              <w:t>es-VE</w:t>
            </w:r>
          </w:p>
        </w:tc>
      </w:tr>
      <w:tr w:rsidR="005F78FC" w:rsidTr="005F78FC">
        <w:tc>
          <w:tcPr>
            <w:tcW w:w="0" w:type="auto"/>
            <w:vAlign w:val="center"/>
          </w:tcPr>
          <w:p w:rsidR="005F78FC" w:rsidRDefault="00B42EF3">
            <w:pPr>
              <w:pStyle w:val="TableBodyText"/>
            </w:pPr>
            <w:r>
              <w:t>Swahili</w:t>
            </w:r>
          </w:p>
        </w:tc>
        <w:tc>
          <w:tcPr>
            <w:tcW w:w="0" w:type="auto"/>
            <w:vAlign w:val="center"/>
          </w:tcPr>
          <w:p w:rsidR="005F78FC" w:rsidRDefault="00B42EF3">
            <w:pPr>
              <w:pStyle w:val="TableBodyText"/>
            </w:pPr>
            <w:r>
              <w:t>Kenya</w:t>
            </w:r>
          </w:p>
        </w:tc>
        <w:tc>
          <w:tcPr>
            <w:tcW w:w="0" w:type="auto"/>
            <w:vAlign w:val="center"/>
          </w:tcPr>
          <w:p w:rsidR="005F78FC" w:rsidRDefault="00B42EF3">
            <w:pPr>
              <w:pStyle w:val="TableBodyText"/>
            </w:pPr>
            <w:r>
              <w:t>sw-KE</w:t>
            </w:r>
          </w:p>
        </w:tc>
      </w:tr>
      <w:tr w:rsidR="005F78FC" w:rsidTr="005F78FC">
        <w:tc>
          <w:tcPr>
            <w:tcW w:w="0" w:type="auto"/>
            <w:vAlign w:val="center"/>
          </w:tcPr>
          <w:p w:rsidR="005F78FC" w:rsidRDefault="00B42EF3">
            <w:pPr>
              <w:pStyle w:val="TableBodyText"/>
            </w:pPr>
            <w:r>
              <w:t>Swedish</w:t>
            </w:r>
          </w:p>
        </w:tc>
        <w:tc>
          <w:tcPr>
            <w:tcW w:w="0" w:type="auto"/>
            <w:vAlign w:val="center"/>
          </w:tcPr>
          <w:p w:rsidR="005F78FC" w:rsidRDefault="00B42EF3">
            <w:pPr>
              <w:pStyle w:val="TableBodyText"/>
            </w:pPr>
            <w:r>
              <w:t>Finland</w:t>
            </w:r>
          </w:p>
        </w:tc>
        <w:tc>
          <w:tcPr>
            <w:tcW w:w="0" w:type="auto"/>
            <w:vAlign w:val="center"/>
          </w:tcPr>
          <w:p w:rsidR="005F78FC" w:rsidRDefault="00B42EF3">
            <w:pPr>
              <w:pStyle w:val="TableBodyText"/>
            </w:pPr>
            <w:r>
              <w:t>sv-FI</w:t>
            </w:r>
          </w:p>
        </w:tc>
      </w:tr>
      <w:tr w:rsidR="005F78FC" w:rsidTr="005F78FC">
        <w:tc>
          <w:tcPr>
            <w:tcW w:w="0" w:type="auto"/>
            <w:vAlign w:val="center"/>
          </w:tcPr>
          <w:p w:rsidR="005F78FC" w:rsidRDefault="00B42EF3">
            <w:pPr>
              <w:pStyle w:val="TableBodyText"/>
            </w:pPr>
            <w:r>
              <w:t>Swedish</w:t>
            </w:r>
          </w:p>
        </w:tc>
        <w:tc>
          <w:tcPr>
            <w:tcW w:w="0" w:type="auto"/>
            <w:vAlign w:val="center"/>
          </w:tcPr>
          <w:p w:rsidR="005F78FC" w:rsidRDefault="00B42EF3">
            <w:pPr>
              <w:pStyle w:val="TableBodyText"/>
            </w:pPr>
            <w:r>
              <w:t>Sweden</w:t>
            </w:r>
          </w:p>
        </w:tc>
        <w:tc>
          <w:tcPr>
            <w:tcW w:w="0" w:type="auto"/>
            <w:vAlign w:val="center"/>
          </w:tcPr>
          <w:p w:rsidR="005F78FC" w:rsidRDefault="00B42EF3">
            <w:pPr>
              <w:pStyle w:val="TableBodyText"/>
            </w:pPr>
            <w:r>
              <w:t>sv-SE</w:t>
            </w:r>
          </w:p>
        </w:tc>
      </w:tr>
      <w:tr w:rsidR="005F78FC" w:rsidTr="005F78FC">
        <w:tc>
          <w:tcPr>
            <w:tcW w:w="0" w:type="auto"/>
            <w:vAlign w:val="center"/>
          </w:tcPr>
          <w:p w:rsidR="005F78FC" w:rsidRDefault="00B42EF3">
            <w:pPr>
              <w:pStyle w:val="TableBodyText"/>
            </w:pPr>
            <w:r>
              <w:t>Syriac</w:t>
            </w:r>
          </w:p>
        </w:tc>
        <w:tc>
          <w:tcPr>
            <w:tcW w:w="0" w:type="auto"/>
            <w:vAlign w:val="center"/>
          </w:tcPr>
          <w:p w:rsidR="005F78FC" w:rsidRDefault="00B42EF3">
            <w:pPr>
              <w:pStyle w:val="TableBodyText"/>
            </w:pPr>
            <w:r>
              <w:t>Syria</w:t>
            </w:r>
          </w:p>
        </w:tc>
        <w:tc>
          <w:tcPr>
            <w:tcW w:w="0" w:type="auto"/>
            <w:vAlign w:val="center"/>
          </w:tcPr>
          <w:p w:rsidR="005F78FC" w:rsidRDefault="00B42EF3">
            <w:pPr>
              <w:pStyle w:val="TableBodyText"/>
            </w:pPr>
            <w:r>
              <w:t>syr-SY</w:t>
            </w:r>
          </w:p>
        </w:tc>
      </w:tr>
      <w:tr w:rsidR="005F78FC" w:rsidTr="005F78FC">
        <w:tc>
          <w:tcPr>
            <w:tcW w:w="0" w:type="auto"/>
            <w:vAlign w:val="center"/>
          </w:tcPr>
          <w:p w:rsidR="005F78FC" w:rsidRDefault="00B42EF3">
            <w:pPr>
              <w:pStyle w:val="TableBodyText"/>
            </w:pPr>
            <w:r>
              <w:t>Tajik (Cyrillic)</w:t>
            </w:r>
          </w:p>
        </w:tc>
        <w:tc>
          <w:tcPr>
            <w:tcW w:w="0" w:type="auto"/>
            <w:vAlign w:val="center"/>
          </w:tcPr>
          <w:p w:rsidR="005F78FC" w:rsidRDefault="00B42EF3">
            <w:pPr>
              <w:pStyle w:val="TableBodyText"/>
            </w:pPr>
            <w:r>
              <w:t>Tajikistan</w:t>
            </w:r>
          </w:p>
        </w:tc>
        <w:tc>
          <w:tcPr>
            <w:tcW w:w="0" w:type="auto"/>
            <w:vAlign w:val="center"/>
          </w:tcPr>
          <w:p w:rsidR="005F78FC" w:rsidRDefault="00B42EF3">
            <w:pPr>
              <w:pStyle w:val="TableBodyText"/>
            </w:pPr>
            <w:r>
              <w:t>tg-TJ-Cyrl</w:t>
            </w:r>
          </w:p>
        </w:tc>
      </w:tr>
      <w:tr w:rsidR="005F78FC" w:rsidTr="005F78FC">
        <w:tc>
          <w:tcPr>
            <w:tcW w:w="0" w:type="auto"/>
            <w:vAlign w:val="center"/>
          </w:tcPr>
          <w:p w:rsidR="005F78FC" w:rsidRDefault="00B42EF3">
            <w:pPr>
              <w:pStyle w:val="TableBodyText"/>
            </w:pPr>
            <w:r>
              <w:t>Tamazight (Latin)</w:t>
            </w:r>
          </w:p>
        </w:tc>
        <w:tc>
          <w:tcPr>
            <w:tcW w:w="0" w:type="auto"/>
            <w:vAlign w:val="center"/>
          </w:tcPr>
          <w:p w:rsidR="005F78FC" w:rsidRDefault="00B42EF3">
            <w:pPr>
              <w:pStyle w:val="TableBodyText"/>
            </w:pPr>
            <w:r>
              <w:t>Algeria</w:t>
            </w:r>
          </w:p>
        </w:tc>
        <w:tc>
          <w:tcPr>
            <w:tcW w:w="0" w:type="auto"/>
            <w:vAlign w:val="center"/>
          </w:tcPr>
          <w:p w:rsidR="005F78FC" w:rsidRDefault="00B42EF3">
            <w:pPr>
              <w:pStyle w:val="TableBodyText"/>
            </w:pPr>
            <w:r>
              <w:t>tmz-DZ-Latn</w:t>
            </w:r>
          </w:p>
        </w:tc>
      </w:tr>
      <w:tr w:rsidR="005F78FC" w:rsidTr="005F78FC">
        <w:tc>
          <w:tcPr>
            <w:tcW w:w="0" w:type="auto"/>
            <w:vAlign w:val="center"/>
          </w:tcPr>
          <w:p w:rsidR="005F78FC" w:rsidRDefault="00B42EF3">
            <w:pPr>
              <w:pStyle w:val="TableBodyText"/>
            </w:pPr>
            <w:r>
              <w:t>Tamil</w:t>
            </w:r>
          </w:p>
        </w:tc>
        <w:tc>
          <w:tcPr>
            <w:tcW w:w="0" w:type="auto"/>
            <w:vAlign w:val="center"/>
          </w:tcPr>
          <w:p w:rsidR="005F78FC" w:rsidRDefault="00B42EF3">
            <w:pPr>
              <w:pStyle w:val="TableBodyText"/>
            </w:pPr>
            <w:r>
              <w:t>India</w:t>
            </w:r>
          </w:p>
        </w:tc>
        <w:tc>
          <w:tcPr>
            <w:tcW w:w="0" w:type="auto"/>
            <w:vAlign w:val="center"/>
          </w:tcPr>
          <w:p w:rsidR="005F78FC" w:rsidRDefault="00B42EF3">
            <w:pPr>
              <w:pStyle w:val="TableBodyText"/>
            </w:pPr>
            <w:r>
              <w:t>ta-IN</w:t>
            </w:r>
          </w:p>
        </w:tc>
      </w:tr>
      <w:tr w:rsidR="005F78FC" w:rsidTr="005F78FC">
        <w:tc>
          <w:tcPr>
            <w:tcW w:w="0" w:type="auto"/>
            <w:vAlign w:val="center"/>
          </w:tcPr>
          <w:p w:rsidR="005F78FC" w:rsidRDefault="00B42EF3">
            <w:pPr>
              <w:pStyle w:val="TableBodyText"/>
            </w:pPr>
            <w:r>
              <w:t>Tatar</w:t>
            </w:r>
          </w:p>
        </w:tc>
        <w:tc>
          <w:tcPr>
            <w:tcW w:w="0" w:type="auto"/>
            <w:vAlign w:val="center"/>
          </w:tcPr>
          <w:p w:rsidR="005F78FC" w:rsidRDefault="00B42EF3">
            <w:pPr>
              <w:pStyle w:val="TableBodyText"/>
            </w:pPr>
            <w:r>
              <w:t>Russia</w:t>
            </w:r>
          </w:p>
        </w:tc>
        <w:tc>
          <w:tcPr>
            <w:tcW w:w="0" w:type="auto"/>
            <w:vAlign w:val="center"/>
          </w:tcPr>
          <w:p w:rsidR="005F78FC" w:rsidRDefault="00B42EF3">
            <w:pPr>
              <w:pStyle w:val="TableBodyText"/>
            </w:pPr>
            <w:r>
              <w:t>tt-RU</w:t>
            </w:r>
          </w:p>
        </w:tc>
      </w:tr>
      <w:tr w:rsidR="005F78FC" w:rsidTr="005F78FC">
        <w:tc>
          <w:tcPr>
            <w:tcW w:w="0" w:type="auto"/>
            <w:vAlign w:val="center"/>
          </w:tcPr>
          <w:p w:rsidR="005F78FC" w:rsidRDefault="00B42EF3">
            <w:pPr>
              <w:pStyle w:val="TableBodyText"/>
            </w:pPr>
            <w:r>
              <w:t>Telugu (Telugu Script)</w:t>
            </w:r>
          </w:p>
        </w:tc>
        <w:tc>
          <w:tcPr>
            <w:tcW w:w="0" w:type="auto"/>
            <w:vAlign w:val="center"/>
          </w:tcPr>
          <w:p w:rsidR="005F78FC" w:rsidRDefault="00B42EF3">
            <w:pPr>
              <w:pStyle w:val="TableBodyText"/>
            </w:pPr>
            <w:r>
              <w:t>India</w:t>
            </w:r>
          </w:p>
        </w:tc>
        <w:tc>
          <w:tcPr>
            <w:tcW w:w="0" w:type="auto"/>
            <w:vAlign w:val="center"/>
          </w:tcPr>
          <w:p w:rsidR="005F78FC" w:rsidRDefault="00B42EF3">
            <w:pPr>
              <w:pStyle w:val="TableBodyText"/>
            </w:pPr>
            <w:r>
              <w:t>te-IN</w:t>
            </w:r>
          </w:p>
        </w:tc>
      </w:tr>
      <w:tr w:rsidR="005F78FC" w:rsidTr="005F78FC">
        <w:tc>
          <w:tcPr>
            <w:tcW w:w="0" w:type="auto"/>
            <w:vAlign w:val="center"/>
          </w:tcPr>
          <w:p w:rsidR="005F78FC" w:rsidRDefault="00B42EF3">
            <w:pPr>
              <w:pStyle w:val="TableBodyText"/>
            </w:pPr>
            <w:r>
              <w:t xml:space="preserve">Thai </w:t>
            </w:r>
          </w:p>
        </w:tc>
        <w:tc>
          <w:tcPr>
            <w:tcW w:w="0" w:type="auto"/>
            <w:vAlign w:val="center"/>
          </w:tcPr>
          <w:p w:rsidR="005F78FC" w:rsidRDefault="00B42EF3">
            <w:pPr>
              <w:pStyle w:val="TableBodyText"/>
            </w:pPr>
            <w:r>
              <w:t>Thailand</w:t>
            </w:r>
          </w:p>
        </w:tc>
        <w:tc>
          <w:tcPr>
            <w:tcW w:w="0" w:type="auto"/>
            <w:vAlign w:val="center"/>
          </w:tcPr>
          <w:p w:rsidR="005F78FC" w:rsidRDefault="00B42EF3">
            <w:pPr>
              <w:pStyle w:val="TableBodyText"/>
            </w:pPr>
            <w:r>
              <w:t>th-TH</w:t>
            </w:r>
          </w:p>
        </w:tc>
      </w:tr>
      <w:tr w:rsidR="005F78FC" w:rsidTr="005F78FC">
        <w:tc>
          <w:tcPr>
            <w:tcW w:w="0" w:type="auto"/>
            <w:vAlign w:val="center"/>
          </w:tcPr>
          <w:p w:rsidR="005F78FC" w:rsidRDefault="00B42EF3">
            <w:pPr>
              <w:pStyle w:val="TableBodyText"/>
            </w:pPr>
            <w:r>
              <w:t>Tibetan</w:t>
            </w:r>
          </w:p>
        </w:tc>
        <w:tc>
          <w:tcPr>
            <w:tcW w:w="0" w:type="auto"/>
            <w:vAlign w:val="center"/>
          </w:tcPr>
          <w:p w:rsidR="005F78FC" w:rsidRDefault="00B42EF3">
            <w:pPr>
              <w:pStyle w:val="TableBodyText"/>
            </w:pPr>
            <w:r>
              <w:t>Bhutan</w:t>
            </w:r>
          </w:p>
        </w:tc>
        <w:tc>
          <w:tcPr>
            <w:tcW w:w="0" w:type="auto"/>
            <w:vAlign w:val="center"/>
          </w:tcPr>
          <w:p w:rsidR="005F78FC" w:rsidRDefault="00B42EF3">
            <w:pPr>
              <w:pStyle w:val="TableBodyText"/>
            </w:pPr>
            <w:r>
              <w:t>bo-BT</w:t>
            </w:r>
          </w:p>
        </w:tc>
      </w:tr>
      <w:tr w:rsidR="005F78FC" w:rsidTr="005F78FC">
        <w:tc>
          <w:tcPr>
            <w:tcW w:w="0" w:type="auto"/>
            <w:vAlign w:val="center"/>
          </w:tcPr>
          <w:p w:rsidR="005F78FC" w:rsidRDefault="00B42EF3">
            <w:pPr>
              <w:pStyle w:val="TableBodyText"/>
            </w:pPr>
            <w:r>
              <w:t>Tibetan</w:t>
            </w:r>
          </w:p>
        </w:tc>
        <w:tc>
          <w:tcPr>
            <w:tcW w:w="0" w:type="auto"/>
            <w:vAlign w:val="center"/>
          </w:tcPr>
          <w:p w:rsidR="005F78FC" w:rsidRDefault="00B42EF3">
            <w:pPr>
              <w:pStyle w:val="TableBodyText"/>
            </w:pPr>
            <w:r>
              <w:t>PRC</w:t>
            </w:r>
          </w:p>
        </w:tc>
        <w:tc>
          <w:tcPr>
            <w:tcW w:w="0" w:type="auto"/>
            <w:vAlign w:val="center"/>
          </w:tcPr>
          <w:p w:rsidR="005F78FC" w:rsidRDefault="00B42EF3">
            <w:pPr>
              <w:pStyle w:val="TableBodyText"/>
            </w:pPr>
            <w:r>
              <w:t>bo-CN</w:t>
            </w:r>
          </w:p>
        </w:tc>
      </w:tr>
      <w:tr w:rsidR="005F78FC" w:rsidTr="005F78FC">
        <w:tc>
          <w:tcPr>
            <w:tcW w:w="0" w:type="auto"/>
            <w:vAlign w:val="center"/>
          </w:tcPr>
          <w:p w:rsidR="005F78FC" w:rsidRDefault="00B42EF3">
            <w:pPr>
              <w:pStyle w:val="TableBodyText"/>
            </w:pPr>
            <w:r>
              <w:lastRenderedPageBreak/>
              <w:t>Turkish</w:t>
            </w:r>
          </w:p>
        </w:tc>
        <w:tc>
          <w:tcPr>
            <w:tcW w:w="0" w:type="auto"/>
            <w:vAlign w:val="center"/>
          </w:tcPr>
          <w:p w:rsidR="005F78FC" w:rsidRDefault="00B42EF3">
            <w:pPr>
              <w:pStyle w:val="TableBodyText"/>
            </w:pPr>
            <w:r>
              <w:t>Turkey</w:t>
            </w:r>
          </w:p>
        </w:tc>
        <w:tc>
          <w:tcPr>
            <w:tcW w:w="0" w:type="auto"/>
            <w:vAlign w:val="center"/>
          </w:tcPr>
          <w:p w:rsidR="005F78FC" w:rsidRDefault="00B42EF3">
            <w:pPr>
              <w:pStyle w:val="TableBodyText"/>
            </w:pPr>
            <w:r>
              <w:t>tr-TR</w:t>
            </w:r>
          </w:p>
        </w:tc>
      </w:tr>
      <w:tr w:rsidR="005F78FC" w:rsidTr="005F78FC">
        <w:tc>
          <w:tcPr>
            <w:tcW w:w="0" w:type="auto"/>
            <w:vAlign w:val="center"/>
          </w:tcPr>
          <w:p w:rsidR="005F78FC" w:rsidRDefault="00B42EF3">
            <w:pPr>
              <w:pStyle w:val="TableBodyText"/>
            </w:pPr>
            <w:r>
              <w:t>Turkmen</w:t>
            </w:r>
          </w:p>
        </w:tc>
        <w:tc>
          <w:tcPr>
            <w:tcW w:w="0" w:type="auto"/>
            <w:vAlign w:val="center"/>
          </w:tcPr>
          <w:p w:rsidR="005F78FC" w:rsidRDefault="00B42EF3">
            <w:pPr>
              <w:pStyle w:val="TableBodyText"/>
            </w:pPr>
            <w:r>
              <w:t>Turkmenistan</w:t>
            </w:r>
          </w:p>
        </w:tc>
        <w:tc>
          <w:tcPr>
            <w:tcW w:w="0" w:type="auto"/>
            <w:vAlign w:val="center"/>
          </w:tcPr>
          <w:p w:rsidR="005F78FC" w:rsidRDefault="00B42EF3">
            <w:pPr>
              <w:pStyle w:val="TableBodyText"/>
            </w:pPr>
            <w:r>
              <w:t>tk-TM</w:t>
            </w:r>
          </w:p>
        </w:tc>
      </w:tr>
      <w:tr w:rsidR="005F78FC" w:rsidTr="005F78FC">
        <w:tc>
          <w:tcPr>
            <w:tcW w:w="0" w:type="auto"/>
            <w:vAlign w:val="center"/>
          </w:tcPr>
          <w:p w:rsidR="005F78FC" w:rsidRDefault="00B42EF3">
            <w:pPr>
              <w:pStyle w:val="TableBodyText"/>
            </w:pPr>
            <w:r>
              <w:t xml:space="preserve">Uighur </w:t>
            </w:r>
          </w:p>
        </w:tc>
        <w:tc>
          <w:tcPr>
            <w:tcW w:w="0" w:type="auto"/>
            <w:vAlign w:val="center"/>
          </w:tcPr>
          <w:p w:rsidR="005F78FC" w:rsidRDefault="00B42EF3">
            <w:pPr>
              <w:pStyle w:val="TableBodyText"/>
            </w:pPr>
            <w:r>
              <w:t>PRC</w:t>
            </w:r>
          </w:p>
        </w:tc>
        <w:tc>
          <w:tcPr>
            <w:tcW w:w="0" w:type="auto"/>
            <w:vAlign w:val="center"/>
          </w:tcPr>
          <w:p w:rsidR="005F78FC" w:rsidRDefault="00B42EF3">
            <w:pPr>
              <w:pStyle w:val="TableBodyText"/>
            </w:pPr>
            <w:r>
              <w:t>ug-CN</w:t>
            </w:r>
          </w:p>
        </w:tc>
      </w:tr>
      <w:tr w:rsidR="005F78FC" w:rsidTr="005F78FC">
        <w:tc>
          <w:tcPr>
            <w:tcW w:w="0" w:type="auto"/>
            <w:vAlign w:val="center"/>
          </w:tcPr>
          <w:p w:rsidR="005F78FC" w:rsidRDefault="00B42EF3">
            <w:pPr>
              <w:pStyle w:val="TableBodyText"/>
            </w:pPr>
            <w:r>
              <w:t>Ukrainian</w:t>
            </w:r>
          </w:p>
        </w:tc>
        <w:tc>
          <w:tcPr>
            <w:tcW w:w="0" w:type="auto"/>
            <w:vAlign w:val="center"/>
          </w:tcPr>
          <w:p w:rsidR="005F78FC" w:rsidRDefault="00B42EF3">
            <w:pPr>
              <w:pStyle w:val="TableBodyText"/>
            </w:pPr>
            <w:r>
              <w:t>Ukraine</w:t>
            </w:r>
          </w:p>
        </w:tc>
        <w:tc>
          <w:tcPr>
            <w:tcW w:w="0" w:type="auto"/>
            <w:vAlign w:val="center"/>
          </w:tcPr>
          <w:p w:rsidR="005F78FC" w:rsidRDefault="00B42EF3">
            <w:pPr>
              <w:pStyle w:val="TableBodyText"/>
            </w:pPr>
            <w:r>
              <w:t>uk-UA</w:t>
            </w:r>
          </w:p>
        </w:tc>
      </w:tr>
      <w:tr w:rsidR="005F78FC" w:rsidTr="005F78FC">
        <w:tc>
          <w:tcPr>
            <w:tcW w:w="0" w:type="auto"/>
            <w:vAlign w:val="center"/>
          </w:tcPr>
          <w:p w:rsidR="005F78FC" w:rsidRDefault="00B42EF3">
            <w:pPr>
              <w:pStyle w:val="TableBodyText"/>
            </w:pPr>
            <w:r>
              <w:t>Upper Sorbian</w:t>
            </w:r>
          </w:p>
        </w:tc>
        <w:tc>
          <w:tcPr>
            <w:tcW w:w="0" w:type="auto"/>
            <w:vAlign w:val="center"/>
          </w:tcPr>
          <w:p w:rsidR="005F78FC" w:rsidRDefault="00B42EF3">
            <w:pPr>
              <w:pStyle w:val="TableBodyText"/>
            </w:pPr>
            <w:r>
              <w:t>Germany</w:t>
            </w:r>
          </w:p>
        </w:tc>
        <w:tc>
          <w:tcPr>
            <w:tcW w:w="0" w:type="auto"/>
            <w:vAlign w:val="center"/>
          </w:tcPr>
          <w:p w:rsidR="005F78FC" w:rsidRDefault="00B42EF3">
            <w:pPr>
              <w:pStyle w:val="TableBodyText"/>
            </w:pPr>
            <w:r>
              <w:t>wen-DE</w:t>
            </w:r>
          </w:p>
        </w:tc>
      </w:tr>
      <w:tr w:rsidR="005F78FC" w:rsidTr="005F78FC">
        <w:tc>
          <w:tcPr>
            <w:tcW w:w="0" w:type="auto"/>
            <w:vAlign w:val="center"/>
          </w:tcPr>
          <w:p w:rsidR="005F78FC" w:rsidRDefault="00B42EF3">
            <w:pPr>
              <w:pStyle w:val="TableBodyText"/>
            </w:pPr>
            <w:r>
              <w:t>Urdu</w:t>
            </w:r>
          </w:p>
        </w:tc>
        <w:tc>
          <w:tcPr>
            <w:tcW w:w="0" w:type="auto"/>
            <w:vAlign w:val="center"/>
          </w:tcPr>
          <w:p w:rsidR="005F78FC" w:rsidRDefault="00B42EF3">
            <w:pPr>
              <w:pStyle w:val="TableBodyText"/>
            </w:pPr>
            <w:r>
              <w:t>Pakistan</w:t>
            </w:r>
          </w:p>
        </w:tc>
        <w:tc>
          <w:tcPr>
            <w:tcW w:w="0" w:type="auto"/>
            <w:vAlign w:val="center"/>
          </w:tcPr>
          <w:p w:rsidR="005F78FC" w:rsidRDefault="00B42EF3">
            <w:pPr>
              <w:pStyle w:val="TableBodyText"/>
            </w:pPr>
            <w:r>
              <w:t>ur-PK</w:t>
            </w:r>
          </w:p>
        </w:tc>
      </w:tr>
      <w:tr w:rsidR="005F78FC" w:rsidTr="005F78FC">
        <w:tc>
          <w:tcPr>
            <w:tcW w:w="0" w:type="auto"/>
            <w:vAlign w:val="center"/>
          </w:tcPr>
          <w:p w:rsidR="005F78FC" w:rsidRDefault="00B42EF3">
            <w:pPr>
              <w:pStyle w:val="TableBodyText"/>
            </w:pPr>
            <w:r>
              <w:t>Uzbek (Cyrillic)</w:t>
            </w:r>
          </w:p>
        </w:tc>
        <w:tc>
          <w:tcPr>
            <w:tcW w:w="0" w:type="auto"/>
            <w:vAlign w:val="center"/>
          </w:tcPr>
          <w:p w:rsidR="005F78FC" w:rsidRDefault="00B42EF3">
            <w:pPr>
              <w:pStyle w:val="TableBodyText"/>
            </w:pPr>
            <w:r>
              <w:t>Uzbekistan</w:t>
            </w:r>
          </w:p>
        </w:tc>
        <w:tc>
          <w:tcPr>
            <w:tcW w:w="0" w:type="auto"/>
            <w:vAlign w:val="center"/>
          </w:tcPr>
          <w:p w:rsidR="005F78FC" w:rsidRDefault="00B42EF3">
            <w:pPr>
              <w:pStyle w:val="TableBodyText"/>
            </w:pPr>
            <w:r>
              <w:t>uz-UZ-Cyrl</w:t>
            </w:r>
          </w:p>
        </w:tc>
      </w:tr>
      <w:tr w:rsidR="005F78FC" w:rsidTr="005F78FC">
        <w:tc>
          <w:tcPr>
            <w:tcW w:w="0" w:type="auto"/>
            <w:vAlign w:val="center"/>
          </w:tcPr>
          <w:p w:rsidR="005F78FC" w:rsidRDefault="00B42EF3">
            <w:pPr>
              <w:pStyle w:val="TableBodyText"/>
            </w:pPr>
            <w:r>
              <w:t>Uzbek (Latin)</w:t>
            </w:r>
          </w:p>
        </w:tc>
        <w:tc>
          <w:tcPr>
            <w:tcW w:w="0" w:type="auto"/>
            <w:vAlign w:val="center"/>
          </w:tcPr>
          <w:p w:rsidR="005F78FC" w:rsidRDefault="00B42EF3">
            <w:pPr>
              <w:pStyle w:val="TableBodyText"/>
            </w:pPr>
            <w:r>
              <w:t>Uzbekistan</w:t>
            </w:r>
          </w:p>
        </w:tc>
        <w:tc>
          <w:tcPr>
            <w:tcW w:w="0" w:type="auto"/>
            <w:vAlign w:val="center"/>
          </w:tcPr>
          <w:p w:rsidR="005F78FC" w:rsidRDefault="00B42EF3">
            <w:pPr>
              <w:pStyle w:val="TableBodyText"/>
            </w:pPr>
            <w:r>
              <w:t>uz-UZ-Latn</w:t>
            </w:r>
          </w:p>
        </w:tc>
      </w:tr>
      <w:tr w:rsidR="005F78FC" w:rsidTr="005F78FC">
        <w:tc>
          <w:tcPr>
            <w:tcW w:w="0" w:type="auto"/>
            <w:vAlign w:val="center"/>
          </w:tcPr>
          <w:p w:rsidR="005F78FC" w:rsidRDefault="00B42EF3">
            <w:pPr>
              <w:pStyle w:val="TableBodyText"/>
            </w:pPr>
            <w:r>
              <w:t>Vietnamese</w:t>
            </w:r>
          </w:p>
        </w:tc>
        <w:tc>
          <w:tcPr>
            <w:tcW w:w="0" w:type="auto"/>
            <w:vAlign w:val="center"/>
          </w:tcPr>
          <w:p w:rsidR="005F78FC" w:rsidRDefault="00B42EF3">
            <w:pPr>
              <w:pStyle w:val="TableBodyText"/>
            </w:pPr>
            <w:r>
              <w:t>Viet Nam</w:t>
            </w:r>
          </w:p>
        </w:tc>
        <w:tc>
          <w:tcPr>
            <w:tcW w:w="0" w:type="auto"/>
            <w:vAlign w:val="center"/>
          </w:tcPr>
          <w:p w:rsidR="005F78FC" w:rsidRDefault="00B42EF3">
            <w:pPr>
              <w:pStyle w:val="TableBodyText"/>
            </w:pPr>
            <w:r>
              <w:t>vi-VN</w:t>
            </w:r>
          </w:p>
        </w:tc>
      </w:tr>
      <w:tr w:rsidR="005F78FC" w:rsidTr="005F78FC">
        <w:tc>
          <w:tcPr>
            <w:tcW w:w="0" w:type="auto"/>
            <w:vAlign w:val="center"/>
          </w:tcPr>
          <w:p w:rsidR="005F78FC" w:rsidRDefault="00B42EF3">
            <w:pPr>
              <w:pStyle w:val="TableBodyText"/>
            </w:pPr>
            <w:r>
              <w:t xml:space="preserve">Welsh </w:t>
            </w:r>
          </w:p>
        </w:tc>
        <w:tc>
          <w:tcPr>
            <w:tcW w:w="0" w:type="auto"/>
            <w:vAlign w:val="center"/>
          </w:tcPr>
          <w:p w:rsidR="005F78FC" w:rsidRDefault="00B42EF3">
            <w:pPr>
              <w:pStyle w:val="TableBodyText"/>
            </w:pPr>
            <w:r>
              <w:t>United Kingdom</w:t>
            </w:r>
          </w:p>
        </w:tc>
        <w:tc>
          <w:tcPr>
            <w:tcW w:w="0" w:type="auto"/>
            <w:vAlign w:val="center"/>
          </w:tcPr>
          <w:p w:rsidR="005F78FC" w:rsidRDefault="00B42EF3">
            <w:pPr>
              <w:pStyle w:val="TableBodyText"/>
            </w:pPr>
            <w:r>
              <w:t>cy-GB</w:t>
            </w:r>
          </w:p>
        </w:tc>
      </w:tr>
      <w:tr w:rsidR="005F78FC" w:rsidTr="005F78FC">
        <w:tc>
          <w:tcPr>
            <w:tcW w:w="0" w:type="auto"/>
            <w:vAlign w:val="center"/>
          </w:tcPr>
          <w:p w:rsidR="005F78FC" w:rsidRDefault="00B42EF3">
            <w:pPr>
              <w:pStyle w:val="TableBodyText"/>
            </w:pPr>
            <w:r>
              <w:t xml:space="preserve">Wolof </w:t>
            </w:r>
          </w:p>
        </w:tc>
        <w:tc>
          <w:tcPr>
            <w:tcW w:w="0" w:type="auto"/>
            <w:vAlign w:val="center"/>
          </w:tcPr>
          <w:p w:rsidR="005F78FC" w:rsidRDefault="00B42EF3">
            <w:pPr>
              <w:pStyle w:val="TableBodyText"/>
            </w:pPr>
            <w:r>
              <w:t>Senegal</w:t>
            </w:r>
          </w:p>
        </w:tc>
        <w:tc>
          <w:tcPr>
            <w:tcW w:w="0" w:type="auto"/>
            <w:vAlign w:val="center"/>
          </w:tcPr>
          <w:p w:rsidR="005F78FC" w:rsidRDefault="00B42EF3">
            <w:pPr>
              <w:pStyle w:val="TableBodyText"/>
            </w:pPr>
            <w:r>
              <w:t>wo-SN</w:t>
            </w:r>
          </w:p>
        </w:tc>
      </w:tr>
      <w:tr w:rsidR="005F78FC" w:rsidTr="005F78FC">
        <w:tc>
          <w:tcPr>
            <w:tcW w:w="0" w:type="auto"/>
            <w:vAlign w:val="center"/>
          </w:tcPr>
          <w:p w:rsidR="005F78FC" w:rsidRDefault="00B42EF3">
            <w:pPr>
              <w:pStyle w:val="TableBodyText"/>
            </w:pPr>
            <w:r>
              <w:t>Yi</w:t>
            </w:r>
          </w:p>
        </w:tc>
        <w:tc>
          <w:tcPr>
            <w:tcW w:w="0" w:type="auto"/>
            <w:vAlign w:val="center"/>
          </w:tcPr>
          <w:p w:rsidR="005F78FC" w:rsidRDefault="00B42EF3">
            <w:pPr>
              <w:pStyle w:val="TableBodyText"/>
            </w:pPr>
            <w:r>
              <w:t>PRC</w:t>
            </w:r>
          </w:p>
        </w:tc>
        <w:tc>
          <w:tcPr>
            <w:tcW w:w="0" w:type="auto"/>
            <w:vAlign w:val="center"/>
          </w:tcPr>
          <w:p w:rsidR="005F78FC" w:rsidRDefault="00B42EF3">
            <w:pPr>
              <w:pStyle w:val="TableBodyText"/>
            </w:pPr>
            <w:r>
              <w:t>ii-CN</w:t>
            </w:r>
          </w:p>
        </w:tc>
      </w:tr>
      <w:tr w:rsidR="005F78FC" w:rsidTr="005F78FC">
        <w:tc>
          <w:tcPr>
            <w:tcW w:w="0" w:type="auto"/>
            <w:vAlign w:val="center"/>
          </w:tcPr>
          <w:p w:rsidR="005F78FC" w:rsidRDefault="00B42EF3">
            <w:pPr>
              <w:pStyle w:val="TableBodyText"/>
            </w:pPr>
            <w:r>
              <w:t>Yoruba</w:t>
            </w:r>
          </w:p>
        </w:tc>
        <w:tc>
          <w:tcPr>
            <w:tcW w:w="0" w:type="auto"/>
            <w:vAlign w:val="center"/>
          </w:tcPr>
          <w:p w:rsidR="005F78FC" w:rsidRDefault="00B42EF3">
            <w:pPr>
              <w:pStyle w:val="TableBodyText"/>
            </w:pPr>
            <w:r>
              <w:t>Nigeria</w:t>
            </w:r>
          </w:p>
        </w:tc>
        <w:tc>
          <w:tcPr>
            <w:tcW w:w="0" w:type="auto"/>
            <w:vAlign w:val="center"/>
          </w:tcPr>
          <w:p w:rsidR="005F78FC" w:rsidRDefault="00B42EF3">
            <w:pPr>
              <w:pStyle w:val="TableBodyText"/>
            </w:pPr>
            <w:r>
              <w:t>yo-NG</w:t>
            </w:r>
          </w:p>
        </w:tc>
      </w:tr>
    </w:tbl>
    <w:p w:rsidR="005F78FC" w:rsidRDefault="005F78FC"/>
    <w:p w:rsidR="005F78FC" w:rsidRDefault="00B42EF3">
      <w:pPr>
        <w:pStyle w:val="Heading3"/>
      </w:pPr>
      <w:bookmarkStart w:id="1610" w:name="section_3590372544d74cb08faf96d3d3dc0463"/>
      <w:bookmarkStart w:id="1611" w:name="_Toc69878578"/>
      <w:r>
        <w:t>Part 1 Section 18.10.1.88, set (OLAP Set)</w:t>
      </w:r>
      <w:bookmarkEnd w:id="1610"/>
      <w:bookmarkEnd w:id="1611"/>
      <w:r>
        <w:fldChar w:fldCharType="begin"/>
      </w:r>
      <w:r>
        <w:instrText xml:space="preserve"> XE "set (OLAP Set)" </w:instrText>
      </w:r>
      <w:r>
        <w:fldChar w:fldCharType="end"/>
      </w:r>
    </w:p>
    <w:p w:rsidR="005F78FC" w:rsidRDefault="00B42EF3">
      <w:pPr>
        <w:pStyle w:val="Definition-Field"/>
      </w:pPr>
      <w:r>
        <w:t xml:space="preserve">a.   </w:t>
      </w:r>
      <w:r>
        <w:rPr>
          <w:i/>
        </w:rPr>
        <w:t>The standard states that the values of the count attribute are defined by the XML Schema unsignedInt datatype.</w:t>
      </w:r>
    </w:p>
    <w:p w:rsidR="005F78FC" w:rsidRDefault="00B42EF3">
      <w:pPr>
        <w:pStyle w:val="Definition-Field2"/>
      </w:pPr>
      <w:r>
        <w:t>Office requires that the count attribute be less than 2147483648 or 42949</w:t>
      </w:r>
      <w:r>
        <w:t>67295 when number of items in the set is unknown.</w:t>
      </w:r>
    </w:p>
    <w:p w:rsidR="005F78FC" w:rsidRDefault="00B42EF3">
      <w:pPr>
        <w:pStyle w:val="Definition-Field"/>
      </w:pPr>
      <w:r>
        <w:t xml:space="preserve">b.   </w:t>
      </w:r>
      <w:r>
        <w:rPr>
          <w:i/>
        </w:rPr>
        <w:t>The standard does not limit the length of the value of the setDefinition attribute.</w:t>
      </w:r>
    </w:p>
    <w:p w:rsidR="005F78FC" w:rsidRDefault="00B42EF3">
      <w:pPr>
        <w:pStyle w:val="Definition-Field2"/>
      </w:pPr>
      <w:r>
        <w:t>Excel restricts the value of this attribute to be at most 65535 characters.</w:t>
      </w:r>
    </w:p>
    <w:p w:rsidR="005F78FC" w:rsidRDefault="00B42EF3">
      <w:pPr>
        <w:pStyle w:val="Definition-Field"/>
      </w:pPr>
      <w:r>
        <w:t xml:space="preserve">c.   </w:t>
      </w:r>
      <w:r>
        <w:rPr>
          <w:i/>
        </w:rPr>
        <w:t xml:space="preserve">The standard states that the values </w:t>
      </w:r>
      <w:r>
        <w:rPr>
          <w:i/>
        </w:rPr>
        <w:t>of the maxRank attribute are defined by the XML Schema int datatype.</w:t>
      </w:r>
    </w:p>
    <w:p w:rsidR="005F78FC" w:rsidRDefault="00B42EF3">
      <w:pPr>
        <w:pStyle w:val="Definition-Field2"/>
      </w:pPr>
      <w:r>
        <w:t>Excel restricts the value of this attribute to be at least 0 and at most 1048576.</w:t>
      </w:r>
    </w:p>
    <w:p w:rsidR="005F78FC" w:rsidRDefault="00B42EF3">
      <w:pPr>
        <w:pStyle w:val="Definition-Field"/>
      </w:pPr>
      <w:r>
        <w:t xml:space="preserve">d.   </w:t>
      </w:r>
      <w:r>
        <w:rPr>
          <w:i/>
        </w:rPr>
        <w:t>The standard does not specify a default value for the count attribute.</w:t>
      </w:r>
    </w:p>
    <w:p w:rsidR="005F78FC" w:rsidRDefault="00B42EF3">
      <w:pPr>
        <w:pStyle w:val="Definition-Field2"/>
      </w:pPr>
      <w:r>
        <w:t>Excel uses a default value of</w:t>
      </w:r>
      <w:r>
        <w:t xml:space="preserve"> 4294967295 for this attribute.</w:t>
      </w:r>
    </w:p>
    <w:p w:rsidR="005F78FC" w:rsidRDefault="00B42EF3">
      <w:pPr>
        <w:pStyle w:val="Definition-Field"/>
      </w:pPr>
      <w:r>
        <w:t xml:space="preserve">e.   </w:t>
      </w:r>
      <w:r>
        <w:rPr>
          <w:i/>
        </w:rPr>
        <w:t>The standard says that the count attribute specifies the number of tuples in the set.</w:t>
      </w:r>
    </w:p>
    <w:p w:rsidR="005F78FC" w:rsidRDefault="00B42EF3">
      <w:pPr>
        <w:pStyle w:val="Definition-Field2"/>
      </w:pPr>
      <w:r>
        <w:t>Office assumes that this indicates the number of tuples in the resulting set rather than the tpls element.</w:t>
      </w:r>
    </w:p>
    <w:p w:rsidR="005F78FC" w:rsidRDefault="00B42EF3">
      <w:pPr>
        <w:pStyle w:val="Heading3"/>
      </w:pPr>
      <w:bookmarkStart w:id="1612" w:name="section_e6bf5eddaa4c40b58f43b3da6b664823"/>
      <w:bookmarkStart w:id="1613" w:name="_Toc69878579"/>
      <w:r>
        <w:t>Part 1 Section 18.10.1.90,</w:t>
      </w:r>
      <w:r>
        <w:t xml:space="preserve"> sharedItems (Shared Items)</w:t>
      </w:r>
      <w:bookmarkEnd w:id="1612"/>
      <w:bookmarkEnd w:id="1613"/>
      <w:r>
        <w:fldChar w:fldCharType="begin"/>
      </w:r>
      <w:r>
        <w:instrText xml:space="preserve"> XE "sharedItems (Shared Items)" </w:instrText>
      </w:r>
      <w:r>
        <w:fldChar w:fldCharType="end"/>
      </w:r>
    </w:p>
    <w:p w:rsidR="005F78FC" w:rsidRDefault="00B42EF3">
      <w:pPr>
        <w:pStyle w:val="Definition-Field"/>
      </w:pPr>
      <w:r>
        <w:t xml:space="preserve">a.   </w:t>
      </w:r>
      <w:r>
        <w:rPr>
          <w:i/>
        </w:rPr>
        <w:t>In the standard @maxValue is a double.</w:t>
      </w:r>
    </w:p>
    <w:p w:rsidR="005F78FC" w:rsidRDefault="00B42EF3">
      <w:pPr>
        <w:pStyle w:val="Definition-Field2"/>
      </w:pPr>
      <w:r>
        <w:t>Office does not support the use of NaN, INF, or -INF for @maxValue.</w:t>
      </w:r>
    </w:p>
    <w:p w:rsidR="005F78FC" w:rsidRDefault="00B42EF3">
      <w:pPr>
        <w:pStyle w:val="Definition-Field"/>
      </w:pPr>
      <w:r>
        <w:lastRenderedPageBreak/>
        <w:t xml:space="preserve">b.   </w:t>
      </w:r>
      <w:r>
        <w:rPr>
          <w:i/>
        </w:rPr>
        <w:t>The standard states that the values of the minValue attribute are defined by</w:t>
      </w:r>
      <w:r>
        <w:rPr>
          <w:i/>
        </w:rPr>
        <w:t xml:space="preserve"> the XML Schema double datatype.</w:t>
      </w:r>
    </w:p>
    <w:p w:rsidR="005F78FC" w:rsidRDefault="00B42EF3">
      <w:pPr>
        <w:pStyle w:val="Definition-Field2"/>
      </w:pPr>
      <w:r>
        <w:t>Office does not support the use of NaN, INF, or -INF for the minValue attribute.</w:t>
      </w:r>
    </w:p>
    <w:p w:rsidR="005F78FC" w:rsidRDefault="00B42EF3">
      <w:pPr>
        <w:pStyle w:val="Definition-Field"/>
      </w:pPr>
      <w:r>
        <w:t xml:space="preserve">c.   </w:t>
      </w:r>
      <w:r>
        <w:rPr>
          <w:i/>
        </w:rPr>
        <w:t>In the standard it states that a longText attribute value of false indicates when text is less than 255 characters.</w:t>
      </w:r>
    </w:p>
    <w:p w:rsidR="005F78FC" w:rsidRDefault="00B42EF3">
      <w:pPr>
        <w:pStyle w:val="Definition-Field2"/>
      </w:pPr>
      <w:r>
        <w:t>Office interprets a l</w:t>
      </w:r>
      <w:r>
        <w:t>ongText attribute value of false to indicate when text is less than or equal to 255 characters.</w:t>
      </w:r>
    </w:p>
    <w:p w:rsidR="005F78FC" w:rsidRDefault="00B42EF3">
      <w:pPr>
        <w:pStyle w:val="Definition-Field"/>
      </w:pPr>
      <w:r>
        <w:t xml:space="preserve">d.   </w:t>
      </w:r>
      <w:r>
        <w:rPr>
          <w:i/>
        </w:rPr>
        <w:t>The standard describes when the attributes are not used in the load process.</w:t>
      </w:r>
    </w:p>
    <w:p w:rsidR="005F78FC" w:rsidRDefault="00B42EF3">
      <w:pPr>
        <w:pStyle w:val="Definition-Field2"/>
      </w:pPr>
      <w:r>
        <w:t>Office checks these restrictions for individual attributes, not on the element</w:t>
      </w:r>
      <w:r>
        <w:t xml:space="preserve"> as a whole. Restrictions are described in detail per attribute.</w:t>
      </w:r>
    </w:p>
    <w:p w:rsidR="005F78FC" w:rsidRDefault="00B42EF3">
      <w:pPr>
        <w:pStyle w:val="Definition-Field"/>
      </w:pPr>
      <w:r>
        <w:t xml:space="preserve">e.   </w:t>
      </w:r>
      <w:r>
        <w:rPr>
          <w:i/>
        </w:rPr>
        <w:t>In the standard relationships of @containsNumber with other attributes is not explicit.</w:t>
      </w:r>
    </w:p>
    <w:p w:rsidR="005F78FC" w:rsidRDefault="00B42EF3">
      <w:pPr>
        <w:pStyle w:val="Definition-Field2"/>
      </w:pPr>
      <w:r>
        <w:t>In Office, @containsNumber shall be 1 or true when @containsInteger is specified. This value shall</w:t>
      </w:r>
      <w:r>
        <w:t xml:space="preserve"> also be 1 or true when @minValue or @maxValue is specified.</w:t>
      </w:r>
    </w:p>
    <w:p w:rsidR="005F78FC" w:rsidRDefault="00B42EF3">
      <w:pPr>
        <w:pStyle w:val="Definition-Field"/>
      </w:pPr>
      <w:r>
        <w:t xml:space="preserve">f.   </w:t>
      </w:r>
      <w:r>
        <w:rPr>
          <w:i/>
        </w:rPr>
        <w:t>In the standard there is not an explicit order between @minValue and @maxValue.</w:t>
      </w:r>
    </w:p>
    <w:p w:rsidR="005F78FC" w:rsidRDefault="00B42EF3">
      <w:pPr>
        <w:pStyle w:val="Definition-Field2"/>
      </w:pPr>
      <w:r>
        <w:t>In Office the value of @minValue shall be less than or equal to the value of @maxValue.</w:t>
      </w:r>
    </w:p>
    <w:p w:rsidR="005F78FC" w:rsidRDefault="00B42EF3">
      <w:pPr>
        <w:pStyle w:val="Definition-Field"/>
      </w:pPr>
      <w:r>
        <w:t xml:space="preserve">g.   </w:t>
      </w:r>
      <w:r>
        <w:rPr>
          <w:i/>
        </w:rPr>
        <w:t>The standard does</w:t>
      </w:r>
      <w:r>
        <w:rPr>
          <w:i/>
        </w:rPr>
        <w:t xml:space="preserve"> not defined what mixed types are for the containsMixedTypes attribute.</w:t>
      </w:r>
    </w:p>
    <w:p w:rsidR="005F78FC" w:rsidRDefault="00B42EF3">
      <w:pPr>
        <w:pStyle w:val="Definition-Field2"/>
      </w:pPr>
      <w:r>
        <w:t>In Office, the containsMixedTypes attribute assumes that boolean and error shall be considered part of the string type.</w:t>
      </w:r>
    </w:p>
    <w:p w:rsidR="005F78FC" w:rsidRDefault="00B42EF3">
      <w:pPr>
        <w:pStyle w:val="Definition-Field"/>
      </w:pPr>
      <w:r>
        <w:t xml:space="preserve">h.   </w:t>
      </w:r>
      <w:r>
        <w:rPr>
          <w:i/>
        </w:rPr>
        <w:t xml:space="preserve">The standard does not define what other values are for the </w:t>
      </w:r>
      <w:r>
        <w:rPr>
          <w:i/>
        </w:rPr>
        <w:t>containsSemiMixedTypes attribute.</w:t>
      </w:r>
    </w:p>
    <w:p w:rsidR="005F78FC" w:rsidRDefault="00B42EF3">
      <w:pPr>
        <w:pStyle w:val="Definition-Field2"/>
      </w:pPr>
      <w:r>
        <w:t>Office expects that the containsSemiMixedTypes attribute is true when the field contains text, blank, boolean or error values.</w:t>
      </w:r>
    </w:p>
    <w:p w:rsidR="005F78FC" w:rsidRDefault="00B42EF3">
      <w:pPr>
        <w:pStyle w:val="Definition-Field"/>
      </w:pPr>
      <w:r>
        <w:t xml:space="preserve">i.   </w:t>
      </w:r>
      <w:r>
        <w:rPr>
          <w:i/>
        </w:rPr>
        <w:t>The standard states that when the containsString attribute equals 1, this field contains a</w:t>
      </w:r>
      <w:r>
        <w:rPr>
          <w:i/>
        </w:rPr>
        <w:t xml:space="preserve"> text value.</w:t>
      </w:r>
    </w:p>
    <w:p w:rsidR="005F78FC" w:rsidRDefault="00B42EF3">
      <w:pPr>
        <w:pStyle w:val="Definition-Field2"/>
      </w:pPr>
      <w:r>
        <w:t>In Office, boolean and error are considered strings in the context of the containsString attribute.</w:t>
      </w:r>
    </w:p>
    <w:p w:rsidR="005F78FC" w:rsidRDefault="00B42EF3">
      <w:pPr>
        <w:pStyle w:val="Definition-Field"/>
      </w:pPr>
      <w:r>
        <w:t xml:space="preserve">j.   </w:t>
      </w:r>
      <w:r>
        <w:rPr>
          <w:i/>
        </w:rPr>
        <w:t>In the standard, a value of 1 or true for the containsInteger attribute indicates this field contains integer values.</w:t>
      </w:r>
    </w:p>
    <w:p w:rsidR="005F78FC" w:rsidRDefault="00B42EF3">
      <w:pPr>
        <w:pStyle w:val="Definition-Field2"/>
      </w:pPr>
      <w:r>
        <w:t>In Office, a value o</w:t>
      </w:r>
      <w:r>
        <w:t>f 1 or true for the containsInteger attribute indicates this field contains only integer values and does not contain non-integer numeric values.</w:t>
      </w:r>
    </w:p>
    <w:p w:rsidR="005F78FC" w:rsidRDefault="00B42EF3">
      <w:pPr>
        <w:pStyle w:val="Definition-Field"/>
      </w:pPr>
      <w:r>
        <w:t xml:space="preserve">k.   </w:t>
      </w:r>
      <w:r>
        <w:rPr>
          <w:i/>
        </w:rPr>
        <w:t>The standard does not explicitly specify relationships for the minValue attribute.</w:t>
      </w:r>
    </w:p>
    <w:p w:rsidR="005F78FC" w:rsidRDefault="00B42EF3">
      <w:pPr>
        <w:pStyle w:val="Definition-Field2"/>
      </w:pPr>
      <w:r>
        <w:t>In Office, the minValue</w:t>
      </w:r>
      <w:r>
        <w:t xml:space="preserve"> attribute shall be present when the maxValue attribute is specified. The minValue attribute shall not be specified when the minDate or maxDate attributes are specified. If present, at least one child must be a n element.</w:t>
      </w:r>
    </w:p>
    <w:p w:rsidR="005F78FC" w:rsidRDefault="00B42EF3">
      <w:pPr>
        <w:pStyle w:val="Definition-Field"/>
      </w:pPr>
      <w:r>
        <w:t xml:space="preserve">l.   </w:t>
      </w:r>
      <w:r>
        <w:rPr>
          <w:i/>
        </w:rPr>
        <w:t>The standard does not explici</w:t>
      </w:r>
      <w:r>
        <w:rPr>
          <w:i/>
        </w:rPr>
        <w:t>tly specify relationships for @maxValue.</w:t>
      </w:r>
    </w:p>
    <w:p w:rsidR="005F78FC" w:rsidRDefault="00B42EF3">
      <w:pPr>
        <w:pStyle w:val="Definition-Field2"/>
      </w:pPr>
      <w:r>
        <w:t>In Office, @maxValue shall be present when @minValue is specified.  @maxValue shall not be specified when @minDate or @maxDate are specified. If present, at least one child must be a n element.</w:t>
      </w:r>
    </w:p>
    <w:p w:rsidR="005F78FC" w:rsidRDefault="00B42EF3">
      <w:pPr>
        <w:pStyle w:val="Definition-Field"/>
      </w:pPr>
      <w:r>
        <w:t xml:space="preserve">m.   </w:t>
      </w:r>
      <w:r>
        <w:rPr>
          <w:i/>
        </w:rPr>
        <w:t xml:space="preserve">The standard </w:t>
      </w:r>
      <w:r>
        <w:rPr>
          <w:i/>
        </w:rPr>
        <w:t>does not explicitly specify relationships for @minDate.</w:t>
      </w:r>
    </w:p>
    <w:p w:rsidR="005F78FC" w:rsidRDefault="00B42EF3">
      <w:pPr>
        <w:pStyle w:val="Definition-Field2"/>
      </w:pPr>
      <w:r>
        <w:t>In Office @minDate shall be present when @maxDate is specified. @minDate shall not be present when @minValue or maxValue are present. If present, at least one child must be a d element.</w:t>
      </w:r>
    </w:p>
    <w:p w:rsidR="005F78FC" w:rsidRDefault="00B42EF3">
      <w:pPr>
        <w:pStyle w:val="Definition-Field"/>
      </w:pPr>
      <w:r>
        <w:lastRenderedPageBreak/>
        <w:t xml:space="preserve">n.   </w:t>
      </w:r>
      <w:r>
        <w:rPr>
          <w:i/>
        </w:rPr>
        <w:t>The stand</w:t>
      </w:r>
      <w:r>
        <w:rPr>
          <w:i/>
        </w:rPr>
        <w:t>ard does not explicitly specify relationships for @maxDate.</w:t>
      </w:r>
    </w:p>
    <w:p w:rsidR="005F78FC" w:rsidRDefault="00B42EF3">
      <w:pPr>
        <w:pStyle w:val="Definition-Field2"/>
      </w:pPr>
      <w:r>
        <w:t>In Office @maxDate must be present when @minDate is specified. @maxDate shall not be present when @minValue or @maxValue are present. If present, at least one child must be a d element.</w:t>
      </w:r>
    </w:p>
    <w:p w:rsidR="005F78FC" w:rsidRDefault="00B42EF3">
      <w:pPr>
        <w:pStyle w:val="Definition-Field"/>
      </w:pPr>
      <w:r>
        <w:t xml:space="preserve">o.   </w:t>
      </w:r>
      <w:r>
        <w:rPr>
          <w:i/>
        </w:rPr>
        <w:t>The s</w:t>
      </w:r>
      <w:r>
        <w:rPr>
          <w:i/>
        </w:rPr>
        <w:t>tandard states that the maxOccurs value for the choice statement including the m, n, b, e, s, and d elements is unbounded.</w:t>
      </w:r>
    </w:p>
    <w:p w:rsidR="005F78FC" w:rsidRDefault="00B42EF3">
      <w:pPr>
        <w:pStyle w:val="Definition-Field2"/>
      </w:pPr>
      <w:r>
        <w:t>Excel limits the occurrences of this choice to 32500 when the createdVersion attribute on the pivotCacheDefinition element is less th</w:t>
      </w:r>
      <w:r>
        <w:t>an 3 and 1048576 otherwise.</w:t>
      </w:r>
    </w:p>
    <w:p w:rsidR="005F78FC" w:rsidRDefault="00B42EF3">
      <w:pPr>
        <w:pStyle w:val="Heading3"/>
      </w:pPr>
      <w:bookmarkStart w:id="1614" w:name="section_d6773131ba494bed82b8d8cdb7fe0ea3"/>
      <w:bookmarkStart w:id="1615" w:name="_Toc69878580"/>
      <w:r>
        <w:t>Part 1 Section 18.10.1.91, sortByTuple (Sort By Tuple)</w:t>
      </w:r>
      <w:bookmarkEnd w:id="1614"/>
      <w:bookmarkEnd w:id="1615"/>
      <w:r>
        <w:fldChar w:fldCharType="begin"/>
      </w:r>
      <w:r>
        <w:instrText xml:space="preserve"> XE "sortByTuple (Sort By Tuple)" </w:instrText>
      </w:r>
      <w:r>
        <w:fldChar w:fldCharType="end"/>
      </w:r>
    </w:p>
    <w:p w:rsidR="005F78FC" w:rsidRDefault="00B42EF3">
      <w:pPr>
        <w:pStyle w:val="Definition-Field"/>
      </w:pPr>
      <w:r>
        <w:t xml:space="preserve">a.   </w:t>
      </w:r>
      <w:r>
        <w:rPr>
          <w:i/>
        </w:rPr>
        <w:t>The standard does not place any restrictions the relationship between this element and the parent set.</w:t>
      </w:r>
    </w:p>
    <w:p w:rsidR="005F78FC" w:rsidRDefault="00B42EF3">
      <w:pPr>
        <w:pStyle w:val="Definition-Field2"/>
      </w:pPr>
      <w:r>
        <w:t>Excel specifies that any sort</w:t>
      </w:r>
      <w:r>
        <w:t xml:space="preserve"> done on the parent set will consider this tuple when determining sort values.</w:t>
      </w:r>
    </w:p>
    <w:p w:rsidR="005F78FC" w:rsidRDefault="00B42EF3">
      <w:pPr>
        <w:pStyle w:val="Heading3"/>
      </w:pPr>
      <w:bookmarkStart w:id="1616" w:name="section_9af15714a00f4a5290aae4fe8a4be470"/>
      <w:bookmarkStart w:id="1617" w:name="_Toc69878581"/>
      <w:r>
        <w:t>Part 1 Section 18.10.1.92, tpl (Tuple)</w:t>
      </w:r>
      <w:bookmarkEnd w:id="1616"/>
      <w:bookmarkEnd w:id="1617"/>
      <w:r>
        <w:fldChar w:fldCharType="begin"/>
      </w:r>
      <w:r>
        <w:instrText xml:space="preserve"> XE "tpl (Tuple)" </w:instrText>
      </w:r>
      <w:r>
        <w:fldChar w:fldCharType="end"/>
      </w:r>
    </w:p>
    <w:p w:rsidR="005F78FC" w:rsidRDefault="00B42EF3">
      <w:pPr>
        <w:pStyle w:val="Definition-Field"/>
      </w:pPr>
      <w:r>
        <w:t xml:space="preserve">a.   </w:t>
      </w:r>
      <w:r>
        <w:rPr>
          <w:i/>
        </w:rPr>
        <w:t>The standard does not require that @fld is mutually exclusive with @hier in a SpreadsheetML document.</w:t>
      </w:r>
    </w:p>
    <w:p w:rsidR="005F78FC" w:rsidRDefault="00B42EF3">
      <w:pPr>
        <w:pStyle w:val="Definition-Field2"/>
      </w:pPr>
      <w:r>
        <w:t xml:space="preserve">Office </w:t>
      </w:r>
      <w:r>
        <w:t>requires that @fld and @heir be mutually exclusive in SpreadsheetML documents.</w:t>
      </w:r>
    </w:p>
    <w:p w:rsidR="005F78FC" w:rsidRDefault="00B42EF3">
      <w:pPr>
        <w:pStyle w:val="Definition-Field"/>
      </w:pPr>
      <w:r>
        <w:t xml:space="preserve">b.   </w:t>
      </w:r>
      <w:r>
        <w:rPr>
          <w:i/>
        </w:rPr>
        <w:t>The standard does not state that @fld has restrictions beyond unsignedInt.</w:t>
      </w:r>
    </w:p>
    <w:p w:rsidR="005F78FC" w:rsidRDefault="00B42EF3">
      <w:pPr>
        <w:pStyle w:val="Definition-Field2"/>
      </w:pPr>
      <w:r>
        <w:t xml:space="preserve">Office expects that @fld is a zero-based index and shall be less than the number of items in the </w:t>
      </w:r>
      <w:r>
        <w:t>cacheFields collection.</w:t>
      </w:r>
    </w:p>
    <w:p w:rsidR="005F78FC" w:rsidRDefault="00B42EF3">
      <w:pPr>
        <w:pStyle w:val="Definition-Field"/>
      </w:pPr>
      <w:r>
        <w:t xml:space="preserve">c.   </w:t>
      </w:r>
      <w:r>
        <w:rPr>
          <w:i/>
        </w:rPr>
        <w:t>The standard does not place any restrictions on the value of the hier attribute.</w:t>
      </w:r>
    </w:p>
    <w:p w:rsidR="005F78FC" w:rsidRDefault="00B42EF3">
      <w:pPr>
        <w:pStyle w:val="Definition-Field2"/>
      </w:pPr>
      <w:r>
        <w:t>Office expects that the hier attribute is a zero-based index and shall be less than the number of items in the cacheHierarchies collection.</w:t>
      </w:r>
    </w:p>
    <w:p w:rsidR="005F78FC" w:rsidRDefault="00B42EF3">
      <w:pPr>
        <w:pStyle w:val="Definition-Field"/>
      </w:pPr>
      <w:r>
        <w:t xml:space="preserve">d.   </w:t>
      </w:r>
      <w:r>
        <w:rPr>
          <w:i/>
        </w:rPr>
        <w:t>T</w:t>
      </w:r>
      <w:r>
        <w:rPr>
          <w:i/>
        </w:rPr>
        <w:t>he standard does not specify restrictions for the item attribute.</w:t>
      </w:r>
    </w:p>
    <w:p w:rsidR="005F78FC" w:rsidRDefault="00B42EF3">
      <w:r>
        <w:t>If the value for the fld attribute is specified, then the value for this attribute shall be less than the number of items in the sharedItems collection, defined in sharedItems ("</w:t>
      </w:r>
      <w:hyperlink r:id="rId136">
        <w:r>
          <w:rPr>
            <w:rStyle w:val="Hyperlink"/>
          </w:rPr>
          <w:t>[ISO/IEC-29500-1]</w:t>
        </w:r>
      </w:hyperlink>
      <w:r>
        <w:t xml:space="preserve"> §18.10.1.90; sharedItems (Shared Items)").</w:t>
      </w:r>
    </w:p>
    <w:p w:rsidR="005F78FC" w:rsidRDefault="00B42EF3">
      <w:r>
        <w:t>If the value for the hier attribute is specified, then the value for this attribute shall either be equal to one of the special values 429496</w:t>
      </w:r>
      <w:r>
        <w:t>7294/4294967295 or it shall be less than number of items in the sets collection defined in sets ("[ISO/IEC-29500-1] §18.10.1.89; sets (Sets)").</w:t>
      </w:r>
    </w:p>
    <w:p w:rsidR="005F78FC" w:rsidRDefault="00B42EF3">
      <w:r>
        <w:t>The special value of 4294967294 implies that this is the all member of the hierarchy.</w:t>
      </w:r>
    </w:p>
    <w:p w:rsidR="005F78FC" w:rsidRDefault="00B42EF3">
      <w:r>
        <w:t>The special value of 42949</w:t>
      </w:r>
      <w:r>
        <w:t>67295 implies that this is the default member of the hierarchy.</w:t>
      </w:r>
    </w:p>
    <w:p w:rsidR="005F78FC" w:rsidRDefault="00B42EF3">
      <w:pPr>
        <w:pStyle w:val="Heading3"/>
      </w:pPr>
      <w:bookmarkStart w:id="1618" w:name="section_282914a2b1a44811aaaaa0fcd5cd486c"/>
      <w:bookmarkStart w:id="1619" w:name="_Toc69878582"/>
      <w:r>
        <w:t>Part 1 Section 18.10.1.95, worksheetSource (Worksheet PivotCache Source)</w:t>
      </w:r>
      <w:bookmarkEnd w:id="1618"/>
      <w:bookmarkEnd w:id="1619"/>
      <w:r>
        <w:fldChar w:fldCharType="begin"/>
      </w:r>
      <w:r>
        <w:instrText xml:space="preserve"> XE "worksheetSource (Worksheet PivotCache Source)" </w:instrText>
      </w:r>
      <w:r>
        <w:fldChar w:fldCharType="end"/>
      </w:r>
    </w:p>
    <w:p w:rsidR="005F78FC" w:rsidRDefault="00B42EF3">
      <w:pPr>
        <w:pStyle w:val="Definition-Field"/>
      </w:pPr>
      <w:r>
        <w:t xml:space="preserve">a.   </w:t>
      </w:r>
      <w:r>
        <w:rPr>
          <w:i/>
        </w:rPr>
        <w:t>The standard allows both ref and name attributes.</w:t>
      </w:r>
    </w:p>
    <w:p w:rsidR="005F78FC" w:rsidRDefault="00B42EF3">
      <w:pPr>
        <w:pStyle w:val="Definition-Field2"/>
      </w:pPr>
      <w:r>
        <w:t>Office req</w:t>
      </w:r>
      <w:r>
        <w:t>uires one and only one of these attributes.</w:t>
      </w:r>
    </w:p>
    <w:p w:rsidR="005F78FC" w:rsidRDefault="00B42EF3">
      <w:pPr>
        <w:pStyle w:val="Definition-Field"/>
      </w:pPr>
      <w:r>
        <w:t xml:space="preserve">b.   </w:t>
      </w:r>
      <w:r>
        <w:rPr>
          <w:i/>
        </w:rPr>
        <w:t>The standard states that the id attribute contains a relationship to a sheet part.</w:t>
      </w:r>
    </w:p>
    <w:p w:rsidR="005F78FC" w:rsidRDefault="00B42EF3">
      <w:pPr>
        <w:pStyle w:val="Definition-Field2"/>
      </w:pPr>
      <w:r>
        <w:lastRenderedPageBreak/>
        <w:t>Office uses the id attribute to specify a relationship to an external workbook.</w:t>
      </w:r>
    </w:p>
    <w:p w:rsidR="005F78FC" w:rsidRDefault="00B42EF3">
      <w:pPr>
        <w:pStyle w:val="Definition-Field"/>
      </w:pPr>
      <w:r>
        <w:t xml:space="preserve">c.   </w:t>
      </w:r>
      <w:r>
        <w:rPr>
          <w:i/>
        </w:rPr>
        <w:t>The standard limits @name to any length</w:t>
      </w:r>
      <w:r>
        <w:rPr>
          <w:i/>
        </w:rPr>
        <w:t xml:space="preserve"> string.</w:t>
      </w:r>
    </w:p>
    <w:p w:rsidR="005F78FC" w:rsidRDefault="00B42EF3">
      <w:pPr>
        <w:pStyle w:val="Definition-Field2"/>
      </w:pPr>
      <w:r>
        <w:t>In Office, @name has a limit of 255 characters, and cannot be empty.</w:t>
      </w:r>
    </w:p>
    <w:p w:rsidR="005F78FC" w:rsidRDefault="00B42EF3">
      <w:pPr>
        <w:pStyle w:val="Definition-Field"/>
      </w:pPr>
      <w:r>
        <w:t xml:space="preserve">d.   </w:t>
      </w:r>
      <w:r>
        <w:rPr>
          <w:i/>
        </w:rPr>
        <w:t>The standard limits @sheet to any length string.</w:t>
      </w:r>
    </w:p>
    <w:p w:rsidR="005F78FC" w:rsidRDefault="00B42EF3">
      <w:pPr>
        <w:pStyle w:val="Definition-Field2"/>
      </w:pPr>
      <w:r>
        <w:t>In Office, @sheet has a limit of 31 characters.</w:t>
      </w:r>
    </w:p>
    <w:p w:rsidR="005F78FC" w:rsidRDefault="00B42EF3">
      <w:pPr>
        <w:pStyle w:val="Heading3"/>
      </w:pPr>
      <w:bookmarkStart w:id="1620" w:name="section_6218162291ef44eea9498c9232d7780b"/>
      <w:bookmarkStart w:id="1621" w:name="_Toc69878583"/>
      <w:r>
        <w:t>Part 1 Section 18.10.1.96, x (Member Property Index)</w:t>
      </w:r>
      <w:bookmarkEnd w:id="1620"/>
      <w:bookmarkEnd w:id="1621"/>
      <w:r>
        <w:fldChar w:fldCharType="begin"/>
      </w:r>
      <w:r>
        <w:instrText xml:space="preserve"> XE "x (Member Property </w:instrText>
      </w:r>
      <w:r>
        <w:instrText xml:space="preserve">Index)" </w:instrText>
      </w:r>
      <w:r>
        <w:fldChar w:fldCharType="end"/>
      </w:r>
    </w:p>
    <w:p w:rsidR="005F78FC" w:rsidRDefault="00B42EF3">
      <w:pPr>
        <w:pStyle w:val="Definition-Field"/>
      </w:pPr>
      <w:r>
        <w:t xml:space="preserve">a.   </w:t>
      </w:r>
      <w:r>
        <w:rPr>
          <w:i/>
        </w:rPr>
        <w:t>The standard states the values for the v attribute are defined by the XML Schema int datatype.</w:t>
      </w:r>
    </w:p>
    <w:p w:rsidR="005F78FC" w:rsidRDefault="00B42EF3">
      <w:pPr>
        <w:pStyle w:val="Definition-Field2"/>
      </w:pPr>
      <w:r>
        <w:t>Office requires that the v attribute be greater than or equal to -1 and less than the corresponding sharedItems count. A value of -1 specifies th</w:t>
      </w:r>
      <w:r>
        <w:t>at there is no value for this member property.</w:t>
      </w:r>
    </w:p>
    <w:p w:rsidR="005F78FC" w:rsidRDefault="00B42EF3">
      <w:pPr>
        <w:pStyle w:val="Definition-Field"/>
      </w:pPr>
      <w:r>
        <w:t xml:space="preserve">b.   </w:t>
      </w:r>
      <w:r>
        <w:rPr>
          <w:i/>
        </w:rPr>
        <w:t>The standard describes x as an array of indexes.</w:t>
      </w:r>
    </w:p>
    <w:p w:rsidR="005F78FC" w:rsidRDefault="00B42EF3">
      <w:pPr>
        <w:pStyle w:val="Definition-Field2"/>
      </w:pPr>
      <w:r>
        <w:t>Office expects that x represents an index to the cached member property value.</w:t>
      </w:r>
    </w:p>
    <w:p w:rsidR="005F78FC" w:rsidRDefault="00B42EF3">
      <w:pPr>
        <w:pStyle w:val="Definition-Field"/>
      </w:pPr>
      <w:r>
        <w:t xml:space="preserve">c.   </w:t>
      </w:r>
      <w:r>
        <w:rPr>
          <w:i/>
        </w:rPr>
        <w:t>The standard does not provide complete information on which cacheField'</w:t>
      </w:r>
      <w:r>
        <w:rPr>
          <w:i/>
        </w:rPr>
        <w:t>s shared item table is indexed by @v.</w:t>
      </w:r>
    </w:p>
    <w:p w:rsidR="005F78FC" w:rsidRDefault="00B42EF3">
      <w:pPr>
        <w:pStyle w:val="Definition-Field2"/>
      </w:pPr>
      <w:r>
        <w:t>Office assumes that @v is the 0-based index into the shared items table of the member property pointed by @mpMap. The Nth @mpMap used for Nth x element (the parent of @v).</w:t>
      </w:r>
    </w:p>
    <w:p w:rsidR="005F78FC" w:rsidRDefault="00B42EF3">
      <w:pPr>
        <w:pStyle w:val="Definition-Field"/>
      </w:pPr>
      <w:r>
        <w:t xml:space="preserve">d.   </w:t>
      </w:r>
      <w:r>
        <w:rPr>
          <w:i/>
        </w:rPr>
        <w:t xml:space="preserve">The standard says @v represents an index </w:t>
      </w:r>
      <w:r>
        <w:rPr>
          <w:i/>
        </w:rPr>
        <w:t>to shared items table.</w:t>
      </w:r>
    </w:p>
    <w:p w:rsidR="005F78FC" w:rsidRDefault="00B42EF3">
      <w:pPr>
        <w:pStyle w:val="Definition-Field2"/>
      </w:pPr>
      <w:r>
        <w:t>Office specifies that if the parent of this element is i, then v shall be specified by the specification for i ("</w:t>
      </w:r>
      <w:hyperlink r:id="rId137">
        <w:r>
          <w:rPr>
            <w:rStyle w:val="Hyperlink"/>
          </w:rPr>
          <w:t>[ISO/IEC-29500-1]</w:t>
        </w:r>
      </w:hyperlink>
      <w:r>
        <w:t xml:space="preserve"> §18.10.1.44; i").</w:t>
      </w:r>
    </w:p>
    <w:p w:rsidR="005F78FC" w:rsidRDefault="00B42EF3">
      <w:pPr>
        <w:pStyle w:val="Heading3"/>
      </w:pPr>
      <w:bookmarkStart w:id="1622" w:name="section_a74ed3e7cea5463ba1ca57c2d1428a00"/>
      <w:bookmarkStart w:id="1623" w:name="_Toc69878584"/>
      <w:r>
        <w:t>Part 1 Section 18.10.1.97, x (Shared Items Index)</w:t>
      </w:r>
      <w:bookmarkEnd w:id="1622"/>
      <w:bookmarkEnd w:id="1623"/>
      <w:r>
        <w:fldChar w:fldCharType="begin"/>
      </w:r>
      <w:r>
        <w:instrText xml:space="preserve"> XE "x (Shared Items Index)" </w:instrText>
      </w:r>
      <w:r>
        <w:fldChar w:fldCharType="end"/>
      </w:r>
    </w:p>
    <w:p w:rsidR="005F78FC" w:rsidRDefault="00B42EF3">
      <w:pPr>
        <w:pStyle w:val="Definition-Field"/>
      </w:pPr>
      <w:r>
        <w:t xml:space="preserve">a.   </w:t>
      </w:r>
      <w:r>
        <w:rPr>
          <w:i/>
        </w:rPr>
        <w:t>The standard specifies that the x element is an array of indexes.</w:t>
      </w:r>
    </w:p>
    <w:p w:rsidR="005F78FC" w:rsidRDefault="00B42EF3">
      <w:pPr>
        <w:pStyle w:val="Definition-Field2"/>
      </w:pPr>
      <w:r>
        <w:t>Office assumes that the value of x@v is an index into the shared items collection.</w:t>
      </w:r>
    </w:p>
    <w:p w:rsidR="005F78FC" w:rsidRDefault="00B42EF3">
      <w:pPr>
        <w:pStyle w:val="Definition-Field"/>
      </w:pPr>
      <w:r>
        <w:t xml:space="preserve">b.   </w:t>
      </w:r>
      <w:r>
        <w:rPr>
          <w:i/>
        </w:rPr>
        <w:t>The standard doe</w:t>
      </w:r>
      <w:r>
        <w:rPr>
          <w:i/>
        </w:rPr>
        <w:t>s not place a limit on the value of @v.</w:t>
      </w:r>
    </w:p>
    <w:p w:rsidR="005F78FC" w:rsidRDefault="00B42EF3">
      <w:pPr>
        <w:pStyle w:val="Definition-Field2"/>
      </w:pPr>
      <w:r>
        <w:t>Office requires that @v shall be less than sharedItems count.</w:t>
      </w:r>
    </w:p>
    <w:p w:rsidR="005F78FC" w:rsidRDefault="00B42EF3">
      <w:pPr>
        <w:pStyle w:val="Definition-Field"/>
      </w:pPr>
      <w:r>
        <w:t xml:space="preserve">c.   </w:t>
      </w:r>
      <w:r>
        <w:rPr>
          <w:i/>
        </w:rPr>
        <w:t>The standard does not specify different restrictions for @v based on the parent element of x.</w:t>
      </w:r>
    </w:p>
    <w:p w:rsidR="005F78FC" w:rsidRDefault="00B42EF3">
      <w:pPr>
        <w:pStyle w:val="Definition-Field2"/>
      </w:pPr>
      <w:r>
        <w:t xml:space="preserve">In Office if the parent is the reference element, then </w:t>
      </w:r>
      <w:r>
        <w:t>restrictions of this value are defined by reference@field. If the parent is the tables element, then this value specifies the index into the table tag position in @url.</w:t>
      </w:r>
    </w:p>
    <w:p w:rsidR="005F78FC" w:rsidRDefault="00B42EF3">
      <w:pPr>
        <w:pStyle w:val="Heading3"/>
      </w:pPr>
      <w:bookmarkStart w:id="1624" w:name="section_8e92a8162bb449389f1c1a9800714ede"/>
      <w:bookmarkStart w:id="1625" w:name="_Toc69878585"/>
      <w:r>
        <w:t>Part 1 Section 18.10.2.1, reference (Reference)</w:t>
      </w:r>
      <w:bookmarkEnd w:id="1624"/>
      <w:bookmarkEnd w:id="1625"/>
      <w:r>
        <w:fldChar w:fldCharType="begin"/>
      </w:r>
      <w:r>
        <w:instrText xml:space="preserve"> XE "reference (Reference)" </w:instrText>
      </w:r>
      <w:r>
        <w:fldChar w:fldCharType="end"/>
      </w:r>
    </w:p>
    <w:p w:rsidR="005F78FC" w:rsidRDefault="00B42EF3">
      <w:pPr>
        <w:pStyle w:val="Definition-Field"/>
      </w:pPr>
      <w:r>
        <w:t xml:space="preserve">a.   </w:t>
      </w:r>
      <w:r>
        <w:rPr>
          <w:i/>
        </w:rPr>
        <w:t xml:space="preserve">The </w:t>
      </w:r>
      <w:r>
        <w:rPr>
          <w:i/>
        </w:rPr>
        <w:t>standard defines @field (Field Index) values range as unsignedInt and says a value of -2 indicates the data field.</w:t>
      </w:r>
    </w:p>
    <w:p w:rsidR="005F78FC" w:rsidRDefault="00B42EF3">
      <w:pPr>
        <w:pStyle w:val="Definition-Field2"/>
      </w:pPr>
      <w:r>
        <w:t>Office uses the value 4294967294 (a valid unsignedInt) to specify the data field and the @v in the x elements represent indices into the data</w:t>
      </w:r>
      <w:r>
        <w:t>Fields collection.</w:t>
      </w:r>
    </w:p>
    <w:p w:rsidR="005F78FC" w:rsidRDefault="00B42EF3">
      <w:pPr>
        <w:pStyle w:val="Definition-Field"/>
      </w:pPr>
      <w:r>
        <w:t xml:space="preserve">b.   </w:t>
      </w:r>
      <w:r>
        <w:rPr>
          <w:i/>
        </w:rPr>
        <w:t>The standard defines @field values range as unsignedInt.</w:t>
      </w:r>
    </w:p>
    <w:p w:rsidR="005F78FC" w:rsidRDefault="00B42EF3">
      <w:pPr>
        <w:pStyle w:val="Definition-Field2"/>
      </w:pPr>
      <w:r>
        <w:lastRenderedPageBreak/>
        <w:t>Office requires that if the pivotArea@cacheIndex is 0, then the value shall be a valid index in the pivotFields in the pivotTable, and, unless byPosition is 1, @v in the x ele</w:t>
      </w:r>
      <w:r>
        <w:t>ments represent indices into items collection of the pivotField.</w:t>
      </w:r>
    </w:p>
    <w:p w:rsidR="005F78FC" w:rsidRDefault="00B42EF3">
      <w:pPr>
        <w:pStyle w:val="Definition-Field"/>
      </w:pPr>
      <w:r>
        <w:t xml:space="preserve">c.   </w:t>
      </w:r>
      <w:r>
        <w:rPr>
          <w:i/>
        </w:rPr>
        <w:t>The standard states that the values for the field attribute are defined by the XML Schema unsignedInt datatype.</w:t>
      </w:r>
    </w:p>
    <w:p w:rsidR="005F78FC" w:rsidRDefault="00B42EF3">
      <w:pPr>
        <w:pStyle w:val="Definition-Field2"/>
      </w:pPr>
      <w:r>
        <w:t xml:space="preserve">Office requires that if the pivotArea@chacheIndex is 1 the value shall be </w:t>
      </w:r>
      <w:r>
        <w:t>a valid index in the cacheFields in the pivot cache and the v attribute in the x elements represent indices into sharedItems collection of the cacheField.</w:t>
      </w:r>
    </w:p>
    <w:p w:rsidR="005F78FC" w:rsidRDefault="00B42EF3">
      <w:pPr>
        <w:pStyle w:val="Heading3"/>
      </w:pPr>
      <w:bookmarkStart w:id="1626" w:name="section_854db427e1714e5996a93cdd08117c36"/>
      <w:bookmarkStart w:id="1627" w:name="_Toc69878586"/>
      <w:r>
        <w:t>Part 1 Section 18.11.1.1, header (Header)</w:t>
      </w:r>
      <w:bookmarkEnd w:id="1626"/>
      <w:bookmarkEnd w:id="1627"/>
      <w:r>
        <w:fldChar w:fldCharType="begin"/>
      </w:r>
      <w:r>
        <w:instrText xml:space="preserve"> XE "header (Header)" </w:instrText>
      </w:r>
      <w:r>
        <w:fldChar w:fldCharType="end"/>
      </w:r>
    </w:p>
    <w:p w:rsidR="005F78FC" w:rsidRDefault="00B42EF3">
      <w:pPr>
        <w:pStyle w:val="Definition-Field"/>
      </w:pPr>
      <w:r>
        <w:t xml:space="preserve">a.   </w:t>
      </w:r>
      <w:r>
        <w:rPr>
          <w:i/>
        </w:rPr>
        <w:t>The standard states that the v</w:t>
      </w:r>
      <w:r>
        <w:rPr>
          <w:i/>
        </w:rPr>
        <w:t>alues of the maxSheetId attribute are defined by the XML Schema unsignedInt datatype.</w:t>
      </w:r>
    </w:p>
    <w:p w:rsidR="005F78FC" w:rsidRDefault="00B42EF3">
      <w:pPr>
        <w:pStyle w:val="Definition-Field2"/>
      </w:pPr>
      <w:r>
        <w:t>Excel restricts the value of this attribute to be at most 32767.</w:t>
      </w:r>
    </w:p>
    <w:p w:rsidR="005F78FC" w:rsidRDefault="00B42EF3">
      <w:pPr>
        <w:pStyle w:val="Definition-Field"/>
      </w:pPr>
      <w:r>
        <w:t xml:space="preserve">b.   </w:t>
      </w:r>
      <w:r>
        <w:rPr>
          <w:i/>
        </w:rPr>
        <w:t>The standard does not limit the length of the value of the userName attribute.</w:t>
      </w:r>
    </w:p>
    <w:p w:rsidR="005F78FC" w:rsidRDefault="00B42EF3">
      <w:pPr>
        <w:pStyle w:val="Definition-Field2"/>
      </w:pPr>
      <w:r>
        <w:t>Excel restricts the v</w:t>
      </w:r>
      <w:r>
        <w:t>alue of this attribute to be at least 1 and at most 54 characters.</w:t>
      </w:r>
    </w:p>
    <w:p w:rsidR="005F78FC" w:rsidRDefault="00B42EF3">
      <w:pPr>
        <w:pStyle w:val="Definition-Field"/>
      </w:pPr>
      <w:r>
        <w:t xml:space="preserve">c.   </w:t>
      </w:r>
      <w:r>
        <w:rPr>
          <w:i/>
        </w:rPr>
        <w:t>The standard does not specify a default value for the minRId attribute.</w:t>
      </w:r>
    </w:p>
    <w:p w:rsidR="005F78FC" w:rsidRDefault="00B42EF3">
      <w:pPr>
        <w:pStyle w:val="Definition-Field2"/>
      </w:pPr>
      <w:r>
        <w:t>Excel uses a default value of 0 for this attribute.</w:t>
      </w:r>
    </w:p>
    <w:p w:rsidR="005F78FC" w:rsidRDefault="00B42EF3">
      <w:pPr>
        <w:pStyle w:val="Definition-Field"/>
      </w:pPr>
      <w:r>
        <w:t xml:space="preserve">d.   </w:t>
      </w:r>
      <w:r>
        <w:rPr>
          <w:i/>
        </w:rPr>
        <w:t>The standard does not specify a default value for the m</w:t>
      </w:r>
      <w:r>
        <w:rPr>
          <w:i/>
        </w:rPr>
        <w:t>axRId attribute.</w:t>
      </w:r>
    </w:p>
    <w:p w:rsidR="005F78FC" w:rsidRDefault="00B42EF3">
      <w:pPr>
        <w:pStyle w:val="Definition-Field2"/>
      </w:pPr>
      <w:r>
        <w:t>Excel uses the value of the minRId attribute as the default value for this attribute.</w:t>
      </w:r>
    </w:p>
    <w:p w:rsidR="005F78FC" w:rsidRDefault="00B42EF3">
      <w:pPr>
        <w:pStyle w:val="Definition-Field"/>
      </w:pPr>
      <w:r>
        <w:t xml:space="preserve">e.   </w:t>
      </w:r>
      <w:r>
        <w:rPr>
          <w:i/>
        </w:rPr>
        <w:t>The standard states that the values of the maxRId attribute are defined by the XML Schema unsignedInt datatype.</w:t>
      </w:r>
    </w:p>
    <w:p w:rsidR="005F78FC" w:rsidRDefault="00B42EF3">
      <w:pPr>
        <w:pStyle w:val="Definition-Field2"/>
      </w:pPr>
      <w:r>
        <w:t>Excel restricts the value of this at</w:t>
      </w:r>
      <w:r>
        <w:t>tribute to be at least the value of the minRId attribute and at most 2147483647.</w:t>
      </w:r>
    </w:p>
    <w:p w:rsidR="005F78FC" w:rsidRDefault="00B42EF3">
      <w:pPr>
        <w:pStyle w:val="Definition-Field"/>
      </w:pPr>
      <w:r>
        <w:t xml:space="preserve">f.   </w:t>
      </w:r>
      <w:r>
        <w:rPr>
          <w:i/>
        </w:rPr>
        <w:t>The standard states that the values of the minRId attribute are defined by the XML Schema unsignedInt datatype.</w:t>
      </w:r>
    </w:p>
    <w:p w:rsidR="005F78FC" w:rsidRDefault="00B42EF3">
      <w:pPr>
        <w:pStyle w:val="Definition-Field2"/>
      </w:pPr>
      <w:r>
        <w:t xml:space="preserve">Excel restricts the value of this attribute to be at most </w:t>
      </w:r>
      <w:r>
        <w:t>2147483647.</w:t>
      </w:r>
    </w:p>
    <w:p w:rsidR="005F78FC" w:rsidRDefault="00B42EF3">
      <w:pPr>
        <w:pStyle w:val="Heading3"/>
      </w:pPr>
      <w:bookmarkStart w:id="1628" w:name="section_dfc65cb606c74ce3922b2d3cecde9852"/>
      <w:bookmarkStart w:id="1629" w:name="_Toc69878587"/>
      <w:r>
        <w:t>Part 1 Section 18.11.1.2, headers (Revision Headers)</w:t>
      </w:r>
      <w:bookmarkEnd w:id="1628"/>
      <w:bookmarkEnd w:id="1629"/>
      <w:r>
        <w:fldChar w:fldCharType="begin"/>
      </w:r>
      <w:r>
        <w:instrText xml:space="preserve"> XE "headers (Revision Headers)" </w:instrText>
      </w:r>
      <w:r>
        <w:fldChar w:fldCharType="end"/>
      </w:r>
    </w:p>
    <w:p w:rsidR="005F78FC" w:rsidRDefault="00B42EF3">
      <w:pPr>
        <w:pStyle w:val="Definition-Field"/>
      </w:pPr>
      <w:r>
        <w:t xml:space="preserve">a.   </w:t>
      </w:r>
      <w:r>
        <w:rPr>
          <w:i/>
        </w:rPr>
        <w:t>The standard does not specify a default value for the lastGuid attribute.</w:t>
      </w:r>
    </w:p>
    <w:p w:rsidR="005F78FC" w:rsidRDefault="00B42EF3">
      <w:pPr>
        <w:pStyle w:val="Definition-Field2"/>
      </w:pPr>
      <w:r>
        <w:t xml:space="preserve">Excel uses the value of the guid attribute as the default value of the </w:t>
      </w:r>
      <w:r>
        <w:t>lastGuid attribute.</w:t>
      </w:r>
    </w:p>
    <w:p w:rsidR="005F78FC" w:rsidRDefault="00B42EF3">
      <w:pPr>
        <w:pStyle w:val="Definition-Field"/>
      </w:pPr>
      <w:r>
        <w:t xml:space="preserve">b.   </w:t>
      </w:r>
      <w:r>
        <w:rPr>
          <w:i/>
        </w:rPr>
        <w:t>The standard does not place any restrictions on the value for @preserveHistory.</w:t>
      </w:r>
    </w:p>
    <w:p w:rsidR="005F78FC" w:rsidRDefault="00B42EF3">
      <w:pPr>
        <w:pStyle w:val="Definition-Field2"/>
      </w:pPr>
      <w:r>
        <w:t>Office requires that the value of @preserveHistory shall be greater than or equal to 0 and less than or equal to 32K.</w:t>
      </w:r>
    </w:p>
    <w:p w:rsidR="005F78FC" w:rsidRDefault="00B42EF3">
      <w:pPr>
        <w:pStyle w:val="Definition-Field"/>
      </w:pPr>
      <w:r>
        <w:t xml:space="preserve">c.   </w:t>
      </w:r>
      <w:r>
        <w:rPr>
          <w:i/>
        </w:rPr>
        <w:t xml:space="preserve">The standard specifies </w:t>
      </w:r>
      <w:r>
        <w:rPr>
          <w:i/>
        </w:rPr>
        <w:t>@protected is false if the tracking should not be removed, true otherwise.</w:t>
      </w:r>
    </w:p>
    <w:p w:rsidR="005F78FC" w:rsidRDefault="00B42EF3">
      <w:pPr>
        <w:pStyle w:val="Definition-Field2"/>
      </w:pPr>
      <w:r>
        <w:t>Office specifies @protected is true if the tracking should not be removed, false if it can be removed.</w:t>
      </w:r>
    </w:p>
    <w:p w:rsidR="005F78FC" w:rsidRDefault="00B42EF3">
      <w:pPr>
        <w:pStyle w:val="Definition-Field"/>
      </w:pPr>
      <w:r>
        <w:t xml:space="preserve">d.   </w:t>
      </w:r>
      <w:r>
        <w:rPr>
          <w:i/>
        </w:rPr>
        <w:t>The standard does not place any restrictions on the value for @revisionId</w:t>
      </w:r>
      <w:r>
        <w:rPr>
          <w:i/>
        </w:rPr>
        <w:t>.</w:t>
      </w:r>
    </w:p>
    <w:p w:rsidR="005F78FC" w:rsidRDefault="00B42EF3">
      <w:pPr>
        <w:pStyle w:val="Definition-Field2"/>
      </w:pPr>
      <w:r>
        <w:t>Office allows a maximum value of 2147483647.</w:t>
      </w:r>
    </w:p>
    <w:p w:rsidR="005F78FC" w:rsidRDefault="00B42EF3">
      <w:pPr>
        <w:pStyle w:val="Definition-Field"/>
      </w:pPr>
      <w:r>
        <w:lastRenderedPageBreak/>
        <w:t xml:space="preserve">e.   </w:t>
      </w:r>
      <w:r>
        <w:rPr>
          <w:i/>
        </w:rPr>
        <w:t>The standard does not place any restrictions on the value for the version attribute.</w:t>
      </w:r>
    </w:p>
    <w:p w:rsidR="005F78FC" w:rsidRDefault="00B42EF3">
      <w:pPr>
        <w:pStyle w:val="Definition-Field2"/>
      </w:pPr>
      <w:r>
        <w:t>Office requires that the version attribute be between 1 and 2147483647 inclusive.</w:t>
      </w:r>
    </w:p>
    <w:p w:rsidR="005F78FC" w:rsidRDefault="00B42EF3">
      <w:pPr>
        <w:pStyle w:val="Definition-Field"/>
      </w:pPr>
      <w:r>
        <w:t xml:space="preserve">f.   </w:t>
      </w:r>
      <w:r>
        <w:rPr>
          <w:i/>
        </w:rPr>
        <w:t xml:space="preserve">The standard specifies @guid to </w:t>
      </w:r>
      <w:r>
        <w:rPr>
          <w:i/>
        </w:rPr>
        <w:t>be of type ST_Guid.</w:t>
      </w:r>
    </w:p>
    <w:p w:rsidR="005F78FC" w:rsidRDefault="00B42EF3">
      <w:pPr>
        <w:pStyle w:val="Definition-Field2"/>
      </w:pPr>
      <w:r>
        <w:t>Office requires @guid to not be a null Guid ({00000000-0000-0000-0000-000000000000}).</w:t>
      </w:r>
    </w:p>
    <w:p w:rsidR="005F78FC" w:rsidRDefault="00B42EF3">
      <w:pPr>
        <w:pStyle w:val="Heading3"/>
      </w:pPr>
      <w:bookmarkStart w:id="1630" w:name="section_c9d4ffcff09b48b4b65e844f2281d2e0"/>
      <w:bookmarkStart w:id="1631" w:name="_Toc69878588"/>
      <w:r>
        <w:t>Part 1 Section 18.11.1.3, nc (New Cell Data)</w:t>
      </w:r>
      <w:bookmarkEnd w:id="1630"/>
      <w:bookmarkEnd w:id="1631"/>
      <w:r>
        <w:fldChar w:fldCharType="begin"/>
      </w:r>
      <w:r>
        <w:instrText xml:space="preserve"> XE "nc (New Cell Data)" </w:instrText>
      </w:r>
      <w:r>
        <w:fldChar w:fldCharType="end"/>
      </w:r>
    </w:p>
    <w:p w:rsidR="005F78FC" w:rsidRDefault="00B42EF3">
      <w:pPr>
        <w:pStyle w:val="Definition-Field"/>
      </w:pPr>
      <w:r>
        <w:t xml:space="preserve">a.   </w:t>
      </w:r>
      <w:r>
        <w:rPr>
          <w:i/>
        </w:rPr>
        <w:t>The standard states that the values of the cm attribute are defined by th</w:t>
      </w:r>
      <w:r>
        <w:rPr>
          <w:i/>
        </w:rPr>
        <w:t>e XML Schema unsignedInt datatype.</w:t>
      </w:r>
    </w:p>
    <w:p w:rsidR="005F78FC" w:rsidRDefault="00B42EF3">
      <w:pPr>
        <w:pStyle w:val="Definition-Field2"/>
      </w:pPr>
      <w:r>
        <w:t>Excel requires the value of this attribute to be 0.</w:t>
      </w:r>
    </w:p>
    <w:p w:rsidR="005F78FC" w:rsidRDefault="00B42EF3">
      <w:pPr>
        <w:pStyle w:val="Definition-Field"/>
      </w:pPr>
      <w:r>
        <w:t xml:space="preserve">b.   </w:t>
      </w:r>
      <w:r>
        <w:rPr>
          <w:i/>
        </w:rPr>
        <w:t>The standard states that the values of the s attribute are defined by the XML Schema unsignedInt datatype.</w:t>
      </w:r>
    </w:p>
    <w:p w:rsidR="005F78FC" w:rsidRDefault="00B42EF3">
      <w:pPr>
        <w:pStyle w:val="Definition-Field2"/>
      </w:pPr>
      <w:r>
        <w:t>Excel requires the value of this attribute to be 0.</w:t>
      </w:r>
    </w:p>
    <w:p w:rsidR="005F78FC" w:rsidRDefault="00B42EF3">
      <w:pPr>
        <w:pStyle w:val="Definition-Field"/>
      </w:pPr>
      <w:r>
        <w:t xml:space="preserve">c.   </w:t>
      </w:r>
      <w:r>
        <w:rPr>
          <w:i/>
        </w:rPr>
        <w:t>The standard states that the values of the ph attribute are defined by the XML Schema boolean datatype.</w:t>
      </w:r>
    </w:p>
    <w:p w:rsidR="005F78FC" w:rsidRDefault="00B42EF3">
      <w:pPr>
        <w:pStyle w:val="Definition-Field2"/>
      </w:pPr>
      <w:r>
        <w:t>Excel requires the value of this attribute to be 0 or false.</w:t>
      </w:r>
    </w:p>
    <w:p w:rsidR="005F78FC" w:rsidRDefault="00B42EF3">
      <w:pPr>
        <w:pStyle w:val="Definition-Field"/>
      </w:pPr>
      <w:r>
        <w:t xml:space="preserve">d.   </w:t>
      </w:r>
      <w:r>
        <w:rPr>
          <w:i/>
        </w:rPr>
        <w:t xml:space="preserve">The standard states that the values of the vm attribute are defined by the XML Schema </w:t>
      </w:r>
      <w:r>
        <w:rPr>
          <w:i/>
        </w:rPr>
        <w:t>unsignedInt datatype.</w:t>
      </w:r>
    </w:p>
    <w:p w:rsidR="005F78FC" w:rsidRDefault="00B42EF3">
      <w:pPr>
        <w:pStyle w:val="Definition-Field2"/>
      </w:pPr>
      <w:r>
        <w:t>Excel requires the value of this attribute to be 0.</w:t>
      </w:r>
    </w:p>
    <w:p w:rsidR="005F78FC" w:rsidRDefault="00B42EF3">
      <w:pPr>
        <w:pStyle w:val="Definition-Field"/>
      </w:pPr>
      <w:r>
        <w:t xml:space="preserve">e.   </w:t>
      </w:r>
      <w:r>
        <w:rPr>
          <w:i/>
        </w:rPr>
        <w:t>The standard states that the values of the t attribute are defined y the ST_CellType simple type.</w:t>
      </w:r>
    </w:p>
    <w:p w:rsidR="005F78FC" w:rsidRDefault="00B42EF3">
      <w:pPr>
        <w:pStyle w:val="Definition-Field2"/>
      </w:pPr>
      <w:r>
        <w:t>Excel limits the values of this attribute to be b, e, inlineStr, or n.</w:t>
      </w:r>
    </w:p>
    <w:p w:rsidR="005F78FC" w:rsidRDefault="00B42EF3">
      <w:pPr>
        <w:pStyle w:val="Definition-Field"/>
      </w:pPr>
      <w:r>
        <w:t xml:space="preserve">f.   </w:t>
      </w:r>
      <w:r>
        <w:rPr>
          <w:i/>
        </w:rPr>
        <w:t>The</w:t>
      </w:r>
      <w:r>
        <w:rPr>
          <w:i/>
        </w:rPr>
        <w:t xml:space="preserve"> standard states that the r attribute is optional.</w:t>
      </w:r>
    </w:p>
    <w:p w:rsidR="005F78FC" w:rsidRDefault="00B42EF3">
      <w:pPr>
        <w:pStyle w:val="Definition-Field2"/>
      </w:pPr>
      <w:r>
        <w:t>Excel requires this attribute.</w:t>
      </w:r>
    </w:p>
    <w:p w:rsidR="005F78FC" w:rsidRDefault="00B42EF3">
      <w:pPr>
        <w:pStyle w:val="Definition-Field"/>
      </w:pPr>
      <w:r>
        <w:t xml:space="preserve">g.   </w:t>
      </w:r>
      <w:r>
        <w:rPr>
          <w:i/>
        </w:rPr>
        <w:t>The standard does not limit the length of the value of the child v element.</w:t>
      </w:r>
    </w:p>
    <w:p w:rsidR="005F78FC" w:rsidRDefault="00B42EF3">
      <w:pPr>
        <w:pStyle w:val="Definition-Field2"/>
      </w:pPr>
      <w:r>
        <w:t>Excel restricts the value of this child element to be at most 32767 characters.</w:t>
      </w:r>
    </w:p>
    <w:p w:rsidR="005F78FC" w:rsidRDefault="00B42EF3">
      <w:pPr>
        <w:pStyle w:val="Definition-Field"/>
      </w:pPr>
      <w:r>
        <w:t xml:space="preserve">h.   </w:t>
      </w:r>
      <w:r>
        <w:rPr>
          <w:i/>
        </w:rPr>
        <w:t>The stan</w:t>
      </w:r>
      <w:r>
        <w:rPr>
          <w:i/>
        </w:rPr>
        <w:t>dard places no restrictions on the relationship between the values of the r attributes on the oc and nc elements.</w:t>
      </w:r>
    </w:p>
    <w:p w:rsidR="005F78FC" w:rsidRDefault="00B42EF3">
      <w:pPr>
        <w:pStyle w:val="Definition-Field2"/>
      </w:pPr>
      <w:r>
        <w:t>Excel requires that the value of the r attribute on the oc element match the value of the r attribute on the nc element.</w:t>
      </w:r>
    </w:p>
    <w:p w:rsidR="005F78FC" w:rsidRDefault="00B42EF3">
      <w:pPr>
        <w:pStyle w:val="Heading3"/>
      </w:pPr>
      <w:bookmarkStart w:id="1632" w:name="section_e054c87cccdf456191b158928b880f73"/>
      <w:bookmarkStart w:id="1633" w:name="_Toc69878589"/>
      <w:r>
        <w:t>Part 1 Section 18.11.</w:t>
      </w:r>
      <w:r>
        <w:t>1.5, oc (Old Cell Data)</w:t>
      </w:r>
      <w:bookmarkEnd w:id="1632"/>
      <w:bookmarkEnd w:id="1633"/>
      <w:r>
        <w:fldChar w:fldCharType="begin"/>
      </w:r>
      <w:r>
        <w:instrText xml:space="preserve"> XE "oc (Old Cell Data)"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c9d4ffcff09b48b4b65e844f2281d2e0">
        <w:r>
          <w:rPr>
            <w:rStyle w:val="Hyperlink"/>
          </w:rPr>
          <w:t>nc, §18.11.1.3(a-g)</w:t>
        </w:r>
      </w:hyperlink>
      <w:r>
        <w:rPr>
          <w:i/>
        </w:rPr>
        <w:t>.</w:t>
      </w:r>
    </w:p>
    <w:p w:rsidR="005F78FC" w:rsidRDefault="00B42EF3">
      <w:pPr>
        <w:pStyle w:val="Heading3"/>
      </w:pPr>
      <w:bookmarkStart w:id="1634" w:name="section_4a386293993e42ffae8f541aed32c43e"/>
      <w:bookmarkStart w:id="1635" w:name="_Toc69878590"/>
      <w:r>
        <w:t>Part 1 Section 18.11.1.7, oldFormula (Old Formula)</w:t>
      </w:r>
      <w:bookmarkEnd w:id="1634"/>
      <w:bookmarkEnd w:id="1635"/>
      <w:r>
        <w:fldChar w:fldCharType="begin"/>
      </w:r>
      <w:r>
        <w:instrText xml:space="preserve"> XE "oldFormula (Old Formula)" </w:instrText>
      </w:r>
      <w:r>
        <w:fldChar w:fldCharType="end"/>
      </w:r>
    </w:p>
    <w:p w:rsidR="005F78FC" w:rsidRDefault="00B42EF3">
      <w:pPr>
        <w:pStyle w:val="Definition-Field"/>
      </w:pPr>
      <w:r>
        <w:t xml:space="preserve">a.   </w:t>
      </w:r>
      <w:r>
        <w:rPr>
          <w:i/>
        </w:rPr>
        <w:t>The standard states that the contents of this element are an extension on the ST_Formula simple type.</w:t>
      </w:r>
    </w:p>
    <w:p w:rsidR="005F78FC" w:rsidRDefault="00B42EF3">
      <w:pPr>
        <w:pStyle w:val="Definition-Field2"/>
      </w:pPr>
      <w:r>
        <w:t>Excel requires the contents of this element to follow the grammar</w:t>
      </w:r>
      <w:r>
        <w:t xml:space="preserve"> for a name formula, as defined in Name Formulas (</w:t>
      </w:r>
      <w:hyperlink w:anchor="Section_da7f42ad0083451a98cfb475b578d91d">
        <w:r>
          <w:rPr>
            <w:rStyle w:val="Hyperlink"/>
          </w:rPr>
          <w:t>§3.2.3.1.4, Name Formulas</w:t>
        </w:r>
      </w:hyperlink>
      <w:r>
        <w:t>).</w:t>
      </w:r>
    </w:p>
    <w:p w:rsidR="005F78FC" w:rsidRDefault="00B42EF3">
      <w:pPr>
        <w:pStyle w:val="Definition-Field"/>
      </w:pPr>
      <w:r>
        <w:lastRenderedPageBreak/>
        <w:t xml:space="preserve">b.   </w:t>
      </w:r>
      <w:r>
        <w:rPr>
          <w:i/>
        </w:rPr>
        <w:t>The standard makes no mention of an xml:space attribute.</w:t>
      </w:r>
    </w:p>
    <w:p w:rsidR="005F78FC" w:rsidRDefault="00B42EF3">
      <w:pPr>
        <w:pStyle w:val="Definition-Field2"/>
      </w:pPr>
      <w:r>
        <w:t>Excel uses this attribute to specify, using the W3C s</w:t>
      </w:r>
      <w:r>
        <w:t>pace preservation rules, how white space should be handled for the element's contents; its allowed values are defined by the XML 1.0 specification.</w:t>
      </w:r>
    </w:p>
    <w:p w:rsidR="005F78FC" w:rsidRDefault="00B42EF3">
      <w:pPr>
        <w:pStyle w:val="Heading3"/>
      </w:pPr>
      <w:bookmarkStart w:id="1636" w:name="section_c204cff307be4db39524f802d03fa17c"/>
      <w:bookmarkStart w:id="1637" w:name="_Toc69878591"/>
      <w:r>
        <w:t>Part 1 Section 18.11.1.8, raf (Revision AutoFormat)</w:t>
      </w:r>
      <w:bookmarkEnd w:id="1636"/>
      <w:bookmarkEnd w:id="1637"/>
      <w:r>
        <w:fldChar w:fldCharType="begin"/>
      </w:r>
      <w:r>
        <w:instrText xml:space="preserve"> XE "raf (Revision AutoFormat)" </w:instrText>
      </w:r>
      <w:r>
        <w:fldChar w:fldCharType="end"/>
      </w:r>
    </w:p>
    <w:p w:rsidR="005F78FC" w:rsidRDefault="00B42EF3">
      <w:pPr>
        <w:pStyle w:val="Definition-Field2"/>
      </w:pPr>
      <w:r>
        <w:rPr>
          <w:i/>
        </w:rPr>
        <w:t>For additional notes t</w:t>
      </w:r>
      <w:r>
        <w:rPr>
          <w:i/>
        </w:rPr>
        <w:t xml:space="preserve">hat apply to this portion of the standard, please see the notes for </w:t>
      </w:r>
      <w:hyperlink w:anchor="Section_7b6c9fe631584a228a8abbf584ecf45f">
        <w:r>
          <w:rPr>
            <w:rStyle w:val="Hyperlink"/>
          </w:rPr>
          <w:t>pivotTableDefinition, §18.10.1.79(s-y)</w:t>
        </w:r>
      </w:hyperlink>
      <w:r>
        <w:rPr>
          <w:i/>
        </w:rPr>
        <w:t>.</w:t>
      </w:r>
    </w:p>
    <w:p w:rsidR="005F78FC" w:rsidRDefault="00B42EF3">
      <w:pPr>
        <w:pStyle w:val="Definition-Field"/>
      </w:pPr>
      <w:r>
        <w:t xml:space="preserve">a.   </w:t>
      </w:r>
      <w:r>
        <w:rPr>
          <w:i/>
        </w:rPr>
        <w:t xml:space="preserve">The standard states that the values of the sheetId attribute are defined by the </w:t>
      </w:r>
      <w:r>
        <w:rPr>
          <w:i/>
        </w:rPr>
        <w:t>XML Schema unsignedInt datatype.</w:t>
      </w:r>
    </w:p>
    <w:p w:rsidR="005F78FC" w:rsidRDefault="00B42EF3">
      <w:pPr>
        <w:pStyle w:val="Definition-Field2"/>
      </w:pPr>
      <w:r>
        <w:t>Excel restricts the value of this attribute to be at most 32767.</w:t>
      </w:r>
    </w:p>
    <w:p w:rsidR="005F78FC" w:rsidRDefault="00B42EF3">
      <w:pPr>
        <w:pStyle w:val="Definition-Field"/>
      </w:pPr>
      <w:r>
        <w:t xml:space="preserve">b.   </w:t>
      </w:r>
      <w:r>
        <w:rPr>
          <w:i/>
        </w:rPr>
        <w:t>In the standard, @autoformatid is defined to be of type unsignedInt with no restrictions.</w:t>
      </w:r>
    </w:p>
    <w:p w:rsidR="005F78FC" w:rsidRDefault="00B42EF3">
      <w:pPr>
        <w:pStyle w:val="Definition-Field2"/>
      </w:pPr>
      <w:r>
        <w:t>Office specifies that when in the context of raf and queryTable</w:t>
      </w:r>
      <w:r>
        <w:t xml:space="preserve"> elements, the value shall be less than 21. In the context of the pivotTableDefinition element, the value shall be less than 21 or greater than 4096 and less than or equal to 4117.</w:t>
      </w:r>
    </w:p>
    <w:p w:rsidR="005F78FC" w:rsidRDefault="00B42EF3">
      <w:pPr>
        <w:pStyle w:val="Heading3"/>
      </w:pPr>
      <w:bookmarkStart w:id="1638" w:name="section_93a010b3df434cd4833aebacc1a80517"/>
      <w:bookmarkStart w:id="1639" w:name="_Toc69878592"/>
      <w:r>
        <w:t>Part 1 Section 18.11.1.9, rcc (Revision Cell Change)</w:t>
      </w:r>
      <w:bookmarkEnd w:id="1638"/>
      <w:bookmarkEnd w:id="1639"/>
      <w:r>
        <w:fldChar w:fldCharType="begin"/>
      </w:r>
      <w:r>
        <w:instrText xml:space="preserve"> XE "rcc (Revision Cell</w:instrText>
      </w:r>
      <w:r>
        <w:instrText xml:space="preserve"> Change)"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3c60e3058f99460abca886e39ebb0e49">
        <w:r>
          <w:rPr>
            <w:rStyle w:val="Hyperlink"/>
          </w:rPr>
          <w:t>rdn, §18.11.1.13(j,n)</w:t>
        </w:r>
      </w:hyperlink>
      <w:r>
        <w:rPr>
          <w:i/>
        </w:rPr>
        <w:t>.</w:t>
      </w:r>
    </w:p>
    <w:p w:rsidR="005F78FC" w:rsidRDefault="00B42EF3">
      <w:pPr>
        <w:pStyle w:val="Definition-Field"/>
      </w:pPr>
      <w:r>
        <w:t xml:space="preserve">a.   </w:t>
      </w:r>
      <w:r>
        <w:rPr>
          <w:i/>
        </w:rPr>
        <w:t>The standard states that the values of the sId attribute are d</w:t>
      </w:r>
      <w:r>
        <w:rPr>
          <w:i/>
        </w:rPr>
        <w:t>efined by the XML Schema unsignedInt datatype.</w:t>
      </w:r>
    </w:p>
    <w:p w:rsidR="005F78FC" w:rsidRDefault="00B42EF3">
      <w:pPr>
        <w:pStyle w:val="Definition-Field2"/>
      </w:pPr>
      <w:r>
        <w:t>Excel restricts the value of this attribute to be at most 32767.</w:t>
      </w:r>
    </w:p>
    <w:p w:rsidR="005F78FC" w:rsidRDefault="00B42EF3">
      <w:pPr>
        <w:pStyle w:val="Definition-Field"/>
      </w:pPr>
      <w:r>
        <w:t xml:space="preserve">b.   </w:t>
      </w:r>
      <w:r>
        <w:rPr>
          <w:i/>
        </w:rPr>
        <w:t>The standard does not specify a default value for the numFmtId attribute.</w:t>
      </w:r>
    </w:p>
    <w:p w:rsidR="005F78FC" w:rsidRDefault="00B42EF3">
      <w:pPr>
        <w:pStyle w:val="Definition-Field2"/>
      </w:pPr>
      <w:r>
        <w:t>Excel uses a default value of 0 for this attribute.</w:t>
      </w:r>
    </w:p>
    <w:p w:rsidR="005F78FC" w:rsidRDefault="00B42EF3">
      <w:pPr>
        <w:pStyle w:val="Definition-Field"/>
      </w:pPr>
      <w:r>
        <w:t xml:space="preserve">c.   </w:t>
      </w:r>
      <w:r>
        <w:rPr>
          <w:i/>
        </w:rPr>
        <w:t>The stan</w:t>
      </w:r>
      <w:r>
        <w:rPr>
          <w:i/>
        </w:rPr>
        <w:t>dard states that the s attribute is only applicable to undo operations.</w:t>
      </w:r>
    </w:p>
    <w:p w:rsidR="005F78FC" w:rsidRDefault="00B42EF3">
      <w:pPr>
        <w:pStyle w:val="Definition-Field2"/>
      </w:pPr>
      <w:r>
        <w:t>Excel allows this attribute to be applicable to operations other than undo.</w:t>
      </w:r>
    </w:p>
    <w:p w:rsidR="005F78FC" w:rsidRDefault="00B42EF3">
      <w:pPr>
        <w:pStyle w:val="Heading3"/>
      </w:pPr>
      <w:bookmarkStart w:id="1640" w:name="section_b551f264a701421c9a934fd7b5202aaf"/>
      <w:bookmarkStart w:id="1641" w:name="_Toc69878593"/>
      <w:r>
        <w:t>Part 1 Section 18.11.1.10, rcft (Revision Merge Conflict)</w:t>
      </w:r>
      <w:bookmarkEnd w:id="1640"/>
      <w:bookmarkEnd w:id="1641"/>
      <w:r>
        <w:fldChar w:fldCharType="begin"/>
      </w:r>
      <w:r>
        <w:instrText xml:space="preserve"> XE "rcft (Revision Merge Conflict)" </w:instrText>
      </w:r>
      <w:r>
        <w:fldChar w:fldCharType="end"/>
      </w:r>
    </w:p>
    <w:p w:rsidR="005F78FC" w:rsidRDefault="00B42EF3">
      <w:pPr>
        <w:pStyle w:val="Definition-Field2"/>
      </w:pPr>
      <w:r>
        <w:rPr>
          <w:i/>
        </w:rPr>
        <w:t>For additio</w:t>
      </w:r>
      <w:r>
        <w:rPr>
          <w:i/>
        </w:rPr>
        <w:t xml:space="preserve">nal notes that apply to this portion of the standard, please see the notes for </w:t>
      </w:r>
      <w:hyperlink w:anchor="Section_3c60e3058f99460abca886e39ebb0e49">
        <w:r>
          <w:rPr>
            <w:rStyle w:val="Hyperlink"/>
          </w:rPr>
          <w:t>rdn, §18.11.1.13(j,n)</w:t>
        </w:r>
      </w:hyperlink>
      <w:r>
        <w:rPr>
          <w:i/>
        </w:rPr>
        <w:t>.</w:t>
      </w:r>
    </w:p>
    <w:p w:rsidR="005F78FC" w:rsidRDefault="00B42EF3">
      <w:pPr>
        <w:pStyle w:val="Definition-Field"/>
      </w:pPr>
      <w:r>
        <w:t xml:space="preserve">a.   </w:t>
      </w:r>
      <w:r>
        <w:rPr>
          <w:i/>
        </w:rPr>
        <w:t>The standard defines the @sheetId without including its maximum or minimum values.</w:t>
      </w:r>
    </w:p>
    <w:p w:rsidR="005F78FC" w:rsidRDefault="00B42EF3">
      <w:pPr>
        <w:pStyle w:val="Definition-Field2"/>
      </w:pPr>
      <w:r>
        <w:t>Off</w:t>
      </w:r>
      <w:r>
        <w:t>ice specifies that @sheetId is in the range from 0 to 32767.</w:t>
      </w:r>
    </w:p>
    <w:p w:rsidR="005F78FC" w:rsidRDefault="00B42EF3">
      <w:pPr>
        <w:pStyle w:val="Heading3"/>
      </w:pPr>
      <w:bookmarkStart w:id="1642" w:name="section_71c2defd91e4428192ce402908c9a57d"/>
      <w:bookmarkStart w:id="1643" w:name="_Toc69878594"/>
      <w:r>
        <w:t>Part 1 Section 18.11.1.11, rcmt (Revision Cell Comment)</w:t>
      </w:r>
      <w:bookmarkEnd w:id="1642"/>
      <w:bookmarkEnd w:id="1643"/>
      <w:r>
        <w:fldChar w:fldCharType="begin"/>
      </w:r>
      <w:r>
        <w:instrText xml:space="preserve"> XE "rcmt (Revision Cell Comment)" </w:instrText>
      </w:r>
      <w:r>
        <w:fldChar w:fldCharType="end"/>
      </w:r>
    </w:p>
    <w:p w:rsidR="005F78FC" w:rsidRDefault="00B42EF3">
      <w:pPr>
        <w:pStyle w:val="Definition-Field"/>
      </w:pPr>
      <w:r>
        <w:t xml:space="preserve">a.   </w:t>
      </w:r>
      <w:r>
        <w:rPr>
          <w:i/>
        </w:rPr>
        <w:t>The standard specifies that @author is restricted to be of type ST_Xstring.</w:t>
      </w:r>
    </w:p>
    <w:p w:rsidR="005F78FC" w:rsidRDefault="00B42EF3">
      <w:pPr>
        <w:pStyle w:val="Definition-Field2"/>
      </w:pPr>
      <w:r>
        <w:t>Office defines that t</w:t>
      </w:r>
      <w:r>
        <w:t>he length of @author should be between 1 and 52 inclusive.</w:t>
      </w:r>
    </w:p>
    <w:p w:rsidR="005F78FC" w:rsidRDefault="00B42EF3">
      <w:pPr>
        <w:pStyle w:val="Definition-Field"/>
      </w:pPr>
      <w:r>
        <w:t xml:space="preserve">b.   </w:t>
      </w:r>
      <w:r>
        <w:rPr>
          <w:i/>
        </w:rPr>
        <w:t>The standard places no restrictions on the relationship between the guid attribute and a revision record.</w:t>
      </w:r>
    </w:p>
    <w:p w:rsidR="005F78FC" w:rsidRDefault="00B42EF3">
      <w:pPr>
        <w:pStyle w:val="Definition-Field2"/>
      </w:pPr>
      <w:r>
        <w:t>Office uses the guid attribute to associate a revision record with a comment in a work</w:t>
      </w:r>
      <w:r>
        <w:t>sheet.</w:t>
      </w:r>
    </w:p>
    <w:p w:rsidR="005F78FC" w:rsidRDefault="00B42EF3">
      <w:pPr>
        <w:pStyle w:val="Heading3"/>
      </w:pPr>
      <w:bookmarkStart w:id="1644" w:name="section_3c60e3058f99460abca886e39ebb0e49"/>
      <w:bookmarkStart w:id="1645" w:name="_Toc69878595"/>
      <w:r>
        <w:lastRenderedPageBreak/>
        <w:t>Part 1 Section 18.11.1.13, rdn (Revision Defined Name)</w:t>
      </w:r>
      <w:bookmarkEnd w:id="1644"/>
      <w:bookmarkEnd w:id="1645"/>
      <w:r>
        <w:fldChar w:fldCharType="begin"/>
      </w:r>
      <w:r>
        <w:instrText xml:space="preserve"> XE "rdn (Revision Defined Name)" </w:instrText>
      </w:r>
      <w:r>
        <w:fldChar w:fldCharType="end"/>
      </w:r>
    </w:p>
    <w:p w:rsidR="005F78FC" w:rsidRDefault="00B42EF3">
      <w:pPr>
        <w:pStyle w:val="Definition-Field"/>
      </w:pPr>
      <w:r>
        <w:t xml:space="preserve">a.   </w:t>
      </w:r>
      <w:r>
        <w:rPr>
          <w:i/>
        </w:rPr>
        <w:t>The standard defines the @localSheetId without specifying a maximum value.</w:t>
      </w:r>
    </w:p>
    <w:p w:rsidR="005F78FC" w:rsidRDefault="00B42EF3">
      <w:pPr>
        <w:pStyle w:val="Definition-Field2"/>
      </w:pPr>
      <w:r>
        <w:t>Office specifies the maximum value of @localSheetId to be 32767.</w:t>
      </w:r>
    </w:p>
    <w:p w:rsidR="005F78FC" w:rsidRDefault="00B42EF3">
      <w:pPr>
        <w:pStyle w:val="Definition-Field"/>
      </w:pPr>
      <w:r>
        <w:t xml:space="preserve">b.   </w:t>
      </w:r>
      <w:r>
        <w:rPr>
          <w:i/>
        </w:rPr>
        <w:t xml:space="preserve">The </w:t>
      </w:r>
      <w:r>
        <w:rPr>
          <w:i/>
        </w:rPr>
        <w:t>standard does not limit the length of the attribute customMenu.</w:t>
      </w:r>
    </w:p>
    <w:p w:rsidR="005F78FC" w:rsidRDefault="00B42EF3">
      <w:pPr>
        <w:pStyle w:val="Definition-Field2"/>
      </w:pPr>
      <w:r>
        <w:t>Office specifies the maximum length of @customMenu shall be 32767.</w:t>
      </w:r>
    </w:p>
    <w:p w:rsidR="005F78FC" w:rsidRDefault="00B42EF3">
      <w:pPr>
        <w:pStyle w:val="Definition-Field"/>
      </w:pPr>
      <w:r>
        <w:t xml:space="preserve">c.   </w:t>
      </w:r>
      <w:r>
        <w:rPr>
          <w:i/>
        </w:rPr>
        <w:t>The standard does not limit the length of the oldCustomMenu attribute.</w:t>
      </w:r>
    </w:p>
    <w:p w:rsidR="005F78FC" w:rsidRDefault="00B42EF3">
      <w:pPr>
        <w:pStyle w:val="Definition-Field2"/>
      </w:pPr>
      <w:r>
        <w:t>Office specifies the maximum length of @oldCustom</w:t>
      </w:r>
      <w:r>
        <w:t>Menu shall be 32767.</w:t>
      </w:r>
    </w:p>
    <w:p w:rsidR="005F78FC" w:rsidRDefault="00B42EF3">
      <w:pPr>
        <w:pStyle w:val="Definition-Field"/>
      </w:pPr>
      <w:r>
        <w:t xml:space="preserve">d.   </w:t>
      </w:r>
      <w:r>
        <w:rPr>
          <w:i/>
        </w:rPr>
        <w:t>The standard does not limit the length of the attribute description.</w:t>
      </w:r>
    </w:p>
    <w:p w:rsidR="005F78FC" w:rsidRDefault="00B42EF3">
      <w:pPr>
        <w:pStyle w:val="Definition-Field2"/>
      </w:pPr>
      <w:r>
        <w:t>Office specifies the maximum length of @description to be 32767.</w:t>
      </w:r>
    </w:p>
    <w:p w:rsidR="005F78FC" w:rsidRDefault="00B42EF3">
      <w:pPr>
        <w:pStyle w:val="Definition-Field"/>
      </w:pPr>
      <w:r>
        <w:t xml:space="preserve">e.   </w:t>
      </w:r>
      <w:r>
        <w:rPr>
          <w:i/>
        </w:rPr>
        <w:t>The standard does not limit the length of the @oldDescription.</w:t>
      </w:r>
    </w:p>
    <w:p w:rsidR="005F78FC" w:rsidRDefault="00B42EF3">
      <w:pPr>
        <w:pStyle w:val="Definition-Field2"/>
      </w:pPr>
      <w:r>
        <w:t>Office specifies a maximum l</w:t>
      </w:r>
      <w:r>
        <w:t>ength for @oldDescription is 32767.</w:t>
      </w:r>
    </w:p>
    <w:p w:rsidR="005F78FC" w:rsidRDefault="00B42EF3">
      <w:pPr>
        <w:pStyle w:val="Definition-Field"/>
      </w:pPr>
      <w:r>
        <w:t xml:space="preserve">f.   </w:t>
      </w:r>
      <w:r>
        <w:rPr>
          <w:i/>
        </w:rPr>
        <w:t>The standard does not limit the length of @help.</w:t>
      </w:r>
    </w:p>
    <w:p w:rsidR="005F78FC" w:rsidRDefault="00B42EF3">
      <w:pPr>
        <w:pStyle w:val="Definition-Field2"/>
      </w:pPr>
      <w:r>
        <w:t>Office specifies the maximum length of @help shall be 32767.</w:t>
      </w:r>
    </w:p>
    <w:p w:rsidR="005F78FC" w:rsidRDefault="00B42EF3">
      <w:pPr>
        <w:pStyle w:val="Definition-Field"/>
      </w:pPr>
      <w:r>
        <w:t xml:space="preserve">g.   </w:t>
      </w:r>
      <w:r>
        <w:rPr>
          <w:i/>
        </w:rPr>
        <w:t>The standard does not limit the length of the oldHelp attribute.</w:t>
      </w:r>
    </w:p>
    <w:p w:rsidR="005F78FC" w:rsidRDefault="00B42EF3">
      <w:pPr>
        <w:pStyle w:val="Definition-Field2"/>
      </w:pPr>
      <w:r>
        <w:t>Office specifies the maximum length</w:t>
      </w:r>
      <w:r>
        <w:t xml:space="preserve"> of @oldHelp to be 32767.</w:t>
      </w:r>
    </w:p>
    <w:p w:rsidR="005F78FC" w:rsidRDefault="00B42EF3">
      <w:pPr>
        <w:pStyle w:val="Definition-Field"/>
      </w:pPr>
      <w:r>
        <w:t xml:space="preserve">h.   </w:t>
      </w:r>
      <w:r>
        <w:rPr>
          <w:i/>
        </w:rPr>
        <w:t>The standard does not limit the length of the statusBar attribute.</w:t>
      </w:r>
    </w:p>
    <w:p w:rsidR="005F78FC" w:rsidRDefault="00B42EF3">
      <w:pPr>
        <w:pStyle w:val="Definition-Field2"/>
      </w:pPr>
      <w:r>
        <w:t>Office specifies the maximum length of @statusBar to be 32767.</w:t>
      </w:r>
    </w:p>
    <w:p w:rsidR="005F78FC" w:rsidRDefault="00B42EF3">
      <w:pPr>
        <w:pStyle w:val="Definition-Field"/>
      </w:pPr>
      <w:r>
        <w:t xml:space="preserve">i.   </w:t>
      </w:r>
      <w:r>
        <w:rPr>
          <w:i/>
        </w:rPr>
        <w:t>The standard does not limit the length of @oldStatusBar.</w:t>
      </w:r>
    </w:p>
    <w:p w:rsidR="005F78FC" w:rsidRDefault="00B42EF3">
      <w:pPr>
        <w:pStyle w:val="Definition-Field2"/>
      </w:pPr>
      <w:r>
        <w:t>Office specifies the maximum leng</w:t>
      </w:r>
      <w:r>
        <w:t>th of @oldStatusBar to be 32767.</w:t>
      </w:r>
    </w:p>
    <w:p w:rsidR="005F78FC" w:rsidRDefault="00B42EF3">
      <w:pPr>
        <w:pStyle w:val="Definition-Field"/>
      </w:pPr>
      <w:r>
        <w:t xml:space="preserve">j.   </w:t>
      </w:r>
      <w:r>
        <w:rPr>
          <w:i/>
        </w:rPr>
        <w:t>The standard does not specify any restrictions on the formula in the formula element.</w:t>
      </w:r>
    </w:p>
    <w:p w:rsidR="005F78FC" w:rsidRDefault="00B42EF3">
      <w:pPr>
        <w:pStyle w:val="Definition-Field2"/>
      </w:pPr>
      <w:r>
        <w:t>Excel specifies the formula element to be a Name formula, as defined in Formulas ("</w:t>
      </w:r>
      <w:hyperlink r:id="rId138">
        <w:r>
          <w:rPr>
            <w:rStyle w:val="Hyperlink"/>
          </w:rPr>
          <w:t>[ISO/IEC-29500-1]</w:t>
        </w:r>
      </w:hyperlink>
      <w:r>
        <w:t xml:space="preserve"> §18.17").</w:t>
      </w:r>
    </w:p>
    <w:p w:rsidR="005F78FC" w:rsidRDefault="00B42EF3">
      <w:pPr>
        <w:pStyle w:val="Definition-Field"/>
      </w:pPr>
      <w:r>
        <w:t xml:space="preserve">k.   </w:t>
      </w:r>
      <w:r>
        <w:rPr>
          <w:i/>
        </w:rPr>
        <w:t>The standard does not limit the length of the value of the comment attribute.</w:t>
      </w:r>
    </w:p>
    <w:p w:rsidR="005F78FC" w:rsidRDefault="00B42EF3">
      <w:pPr>
        <w:pStyle w:val="Definition-Field2"/>
      </w:pPr>
      <w:r>
        <w:t>Excel restricts the value of this attribute to be at most 255 characters.</w:t>
      </w:r>
    </w:p>
    <w:p w:rsidR="005F78FC" w:rsidRDefault="00B42EF3">
      <w:pPr>
        <w:pStyle w:val="Definition-Field"/>
      </w:pPr>
      <w:r>
        <w:t xml:space="preserve">l.   </w:t>
      </w:r>
      <w:r>
        <w:rPr>
          <w:i/>
        </w:rPr>
        <w:t>The standard states that the values of the name a</w:t>
      </w:r>
      <w:r>
        <w:rPr>
          <w:i/>
        </w:rPr>
        <w:t>ttribute are defined by the ST_Xstring simple type.</w:t>
      </w:r>
    </w:p>
    <w:p w:rsidR="005F78FC" w:rsidRDefault="00B42EF3">
      <w:pPr>
        <w:pStyle w:val="Definition-Field2"/>
      </w:pPr>
      <w:r>
        <w:t>In Office, the value of the name attribute shall be unique within the parent element collection and must match the definition of Defined Name in Formulas ("[ISO/IEC-29500-1] §18.17").</w:t>
      </w:r>
    </w:p>
    <w:p w:rsidR="005F78FC" w:rsidRDefault="00B42EF3">
      <w:pPr>
        <w:pStyle w:val="Definition-Field"/>
      </w:pPr>
      <w:r>
        <w:t xml:space="preserve">m.   </w:t>
      </w:r>
      <w:r>
        <w:rPr>
          <w:i/>
        </w:rPr>
        <w:t>The standard do</w:t>
      </w:r>
      <w:r>
        <w:rPr>
          <w:i/>
        </w:rPr>
        <w:t>es not limit the length of the value of the oldComment attribute.</w:t>
      </w:r>
    </w:p>
    <w:p w:rsidR="005F78FC" w:rsidRDefault="00B42EF3">
      <w:pPr>
        <w:pStyle w:val="Definition-Field2"/>
      </w:pPr>
      <w:r>
        <w:t>Excel restricts the value of this attribute to be at most 255 characters.</w:t>
      </w:r>
    </w:p>
    <w:p w:rsidR="005F78FC" w:rsidRDefault="00B42EF3">
      <w:pPr>
        <w:pStyle w:val="Definition-Field"/>
      </w:pPr>
      <w:r>
        <w:t xml:space="preserve">n.   </w:t>
      </w:r>
      <w:r>
        <w:rPr>
          <w:i/>
        </w:rPr>
        <w:t>The standard states that the values of the rId attribute are defined by the XML Schema unsignedInt datatype.</w:t>
      </w:r>
    </w:p>
    <w:p w:rsidR="005F78FC" w:rsidRDefault="00B42EF3">
      <w:pPr>
        <w:pStyle w:val="Definition-Field2"/>
      </w:pPr>
      <w:r>
        <w:t>Ex</w:t>
      </w:r>
      <w:r>
        <w:t>cel restricts the value of this attribute to be at most 2147483647.</w:t>
      </w:r>
    </w:p>
    <w:p w:rsidR="005F78FC" w:rsidRDefault="00B42EF3">
      <w:pPr>
        <w:pStyle w:val="Heading3"/>
      </w:pPr>
      <w:bookmarkStart w:id="1646" w:name="section_91b38086b27c4d3fb6aee7d37845d2cd"/>
      <w:bookmarkStart w:id="1647" w:name="_Toc69878596"/>
      <w:r>
        <w:lastRenderedPageBreak/>
        <w:t>Part 1 Section 18.11.1.14, reviewed (Reviewed)</w:t>
      </w:r>
      <w:bookmarkEnd w:id="1646"/>
      <w:bookmarkEnd w:id="1647"/>
      <w:r>
        <w:fldChar w:fldCharType="begin"/>
      </w:r>
      <w:r>
        <w:instrText xml:space="preserve"> XE "reviewed (Reviewed)" </w:instrText>
      </w:r>
      <w:r>
        <w:fldChar w:fldCharType="end"/>
      </w:r>
    </w:p>
    <w:p w:rsidR="005F78FC" w:rsidRDefault="00B42EF3">
      <w:pPr>
        <w:pStyle w:val="Definition-Field"/>
      </w:pPr>
      <w:r>
        <w:t xml:space="preserve">a.   </w:t>
      </w:r>
      <w:r>
        <w:rPr>
          <w:i/>
        </w:rPr>
        <w:t>The standard does not place any restrictions on the value for the rId attribute.</w:t>
      </w:r>
    </w:p>
    <w:p w:rsidR="005F78FC" w:rsidRDefault="00B42EF3">
      <w:pPr>
        <w:pStyle w:val="Definition-Field2"/>
      </w:pPr>
      <w:r>
        <w:t xml:space="preserve">Office allows the rId </w:t>
      </w:r>
      <w:r>
        <w:t>attribute to have a maximum value of 2147483647. Revision records shall always appear in increasing order of revision record Ids within a shared workbooks part</w:t>
      </w:r>
    </w:p>
    <w:p w:rsidR="005F78FC" w:rsidRDefault="00B42EF3">
      <w:pPr>
        <w:pStyle w:val="Heading3"/>
      </w:pPr>
      <w:bookmarkStart w:id="1648" w:name="section_d814f876102941be95e9eb6997794b91"/>
      <w:bookmarkStart w:id="1649" w:name="_Toc69878597"/>
      <w:r>
        <w:t>Part 1 Section 18.11.1.17, rfmt (Revision Format)</w:t>
      </w:r>
      <w:bookmarkEnd w:id="1648"/>
      <w:bookmarkEnd w:id="1649"/>
      <w:r>
        <w:fldChar w:fldCharType="begin"/>
      </w:r>
      <w:r>
        <w:instrText xml:space="preserve"> XE "rfmt (Revision Format)" </w:instrText>
      </w:r>
      <w:r>
        <w:fldChar w:fldCharType="end"/>
      </w:r>
    </w:p>
    <w:p w:rsidR="005F78FC" w:rsidRDefault="00B42EF3">
      <w:pPr>
        <w:pStyle w:val="Definition-Field"/>
      </w:pPr>
      <w:r>
        <w:t xml:space="preserve">a.   </w:t>
      </w:r>
      <w:r>
        <w:rPr>
          <w:i/>
        </w:rPr>
        <w:t>The standa</w:t>
      </w:r>
      <w:r>
        <w:rPr>
          <w:i/>
        </w:rPr>
        <w:t>rd defines the length attribute without including its maximum values.</w:t>
      </w:r>
    </w:p>
    <w:p w:rsidR="005F78FC" w:rsidRDefault="00B42EF3">
      <w:pPr>
        <w:pStyle w:val="Definition-Field2"/>
      </w:pPr>
      <w:r>
        <w:t>Office requires that the length attribute shall be less than 32767 when a part of string is affected by the change or shall be 2147483647 when all the characters of the string are affect</w:t>
      </w:r>
      <w:r>
        <w:t>ed by the change.</w:t>
      </w:r>
    </w:p>
    <w:p w:rsidR="005F78FC" w:rsidRDefault="00B42EF3">
      <w:pPr>
        <w:pStyle w:val="Definition-Field"/>
      </w:pPr>
      <w:r>
        <w:t xml:space="preserve">b.   </w:t>
      </w:r>
      <w:r>
        <w:rPr>
          <w:i/>
        </w:rPr>
        <w:t>The standard defines the @sheetId without including its maximum or minimum values.</w:t>
      </w:r>
    </w:p>
    <w:p w:rsidR="005F78FC" w:rsidRDefault="00B42EF3">
      <w:pPr>
        <w:pStyle w:val="Definition-Field2"/>
      </w:pPr>
      <w:r>
        <w:t>Office specifies that @sheetId is in the range from 0 to 32767.</w:t>
      </w:r>
    </w:p>
    <w:p w:rsidR="005F78FC" w:rsidRDefault="00B42EF3">
      <w:pPr>
        <w:pStyle w:val="Definition-Field"/>
      </w:pPr>
      <w:r>
        <w:t xml:space="preserve">c.   </w:t>
      </w:r>
      <w:r>
        <w:rPr>
          <w:i/>
        </w:rPr>
        <w:t>The standard does not describe the limits and relationships of @start.</w:t>
      </w:r>
    </w:p>
    <w:p w:rsidR="005F78FC" w:rsidRDefault="00B42EF3">
      <w:pPr>
        <w:pStyle w:val="Definition-Field2"/>
      </w:pPr>
      <w:r>
        <w:t>Office req</w:t>
      </w:r>
      <w:r>
        <w:t>uires that either @length is 2147483647 and @start is 0 or the sum of @start and @length shall be less than 32767.</w:t>
      </w:r>
    </w:p>
    <w:p w:rsidR="005F78FC" w:rsidRDefault="00B42EF3">
      <w:pPr>
        <w:pStyle w:val="Definition-Field"/>
      </w:pPr>
      <w:r>
        <w:t xml:space="preserve">d.   </w:t>
      </w:r>
      <w:r>
        <w:rPr>
          <w:i/>
        </w:rPr>
        <w:t>The standard does not specify when @start shall be omitted.</w:t>
      </w:r>
    </w:p>
    <w:p w:rsidR="005F78FC" w:rsidRDefault="00B42EF3">
      <w:pPr>
        <w:pStyle w:val="Definition-Field2"/>
      </w:pPr>
      <w:r>
        <w:t xml:space="preserve">Office specifies @start such that start shall be omitted when a built-in or </w:t>
      </w:r>
      <w:r>
        <w:t>custom format is applied to the references specified by @sqref.</w:t>
      </w:r>
    </w:p>
    <w:p w:rsidR="005F78FC" w:rsidRDefault="00B42EF3">
      <w:pPr>
        <w:pStyle w:val="Definition-Field"/>
      </w:pPr>
      <w:r>
        <w:t xml:space="preserve">e.   </w:t>
      </w:r>
      <w:r>
        <w:rPr>
          <w:i/>
        </w:rPr>
        <w:t>The standard does not specify when @length is omitted.</w:t>
      </w:r>
    </w:p>
    <w:p w:rsidR="005F78FC" w:rsidRDefault="00B42EF3">
      <w:pPr>
        <w:pStyle w:val="Definition-Field2"/>
      </w:pPr>
      <w:r>
        <w:t>Office specifies that @length shall be omitted when a built-in or custom format is applied to the references specified by @sqref.</w:t>
      </w:r>
    </w:p>
    <w:p w:rsidR="005F78FC" w:rsidRDefault="00B42EF3">
      <w:pPr>
        <w:pStyle w:val="Heading3"/>
      </w:pPr>
      <w:bookmarkStart w:id="1650" w:name="section_7b5212ccf081484f85d66b5129ee8d61"/>
      <w:bookmarkStart w:id="1651" w:name="_Toc69878598"/>
      <w:r>
        <w:t>Pa</w:t>
      </w:r>
      <w:r>
        <w:t>rt 1 Section 18.11.1.18, ris (Revision Insert Sheet)</w:t>
      </w:r>
      <w:bookmarkEnd w:id="1650"/>
      <w:bookmarkEnd w:id="1651"/>
      <w:r>
        <w:fldChar w:fldCharType="begin"/>
      </w:r>
      <w:r>
        <w:instrText xml:space="preserve"> XE "ris (Revision Insert Sheet)"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3c60e3058f99460abca886e39ebb0e49">
        <w:r>
          <w:rPr>
            <w:rStyle w:val="Hyperlink"/>
          </w:rPr>
          <w:t>rdn, §18.11.1.</w:t>
        </w:r>
        <w:r>
          <w:rPr>
            <w:rStyle w:val="Hyperlink"/>
          </w:rPr>
          <w:t>13(j,n)</w:t>
        </w:r>
      </w:hyperlink>
      <w:r>
        <w:rPr>
          <w:i/>
        </w:rPr>
        <w:t>.</w:t>
      </w:r>
    </w:p>
    <w:p w:rsidR="005F78FC" w:rsidRDefault="00B42EF3">
      <w:pPr>
        <w:pStyle w:val="Definition-Field"/>
      </w:pPr>
      <w:r>
        <w:t xml:space="preserve">a.   </w:t>
      </w:r>
      <w:r>
        <w:rPr>
          <w:i/>
        </w:rPr>
        <w:t>The standard states that the values of the sheetId attribute are defined by the XML Schema unsignedInt datatype.</w:t>
      </w:r>
    </w:p>
    <w:p w:rsidR="005F78FC" w:rsidRDefault="00B42EF3">
      <w:pPr>
        <w:pStyle w:val="Definition-Field2"/>
      </w:pPr>
      <w:r>
        <w:t>Excel restricts the value of this attribute to be at most 32767.</w:t>
      </w:r>
    </w:p>
    <w:p w:rsidR="005F78FC" w:rsidRDefault="00B42EF3">
      <w:pPr>
        <w:pStyle w:val="Definition-Field"/>
      </w:pPr>
      <w:r>
        <w:t xml:space="preserve">b.   </w:t>
      </w:r>
      <w:r>
        <w:rPr>
          <w:i/>
        </w:rPr>
        <w:t xml:space="preserve">The standard states that the values of the sheetPosition </w:t>
      </w:r>
      <w:r>
        <w:rPr>
          <w:i/>
        </w:rPr>
        <w:t>attribute are defined by the XML Schema unsignedInt datatype.</w:t>
      </w:r>
    </w:p>
    <w:p w:rsidR="005F78FC" w:rsidRDefault="00B42EF3">
      <w:pPr>
        <w:pStyle w:val="Definition-Field2"/>
      </w:pPr>
      <w:r>
        <w:t>Excel restricts the value of this attribute to be at most 65533.</w:t>
      </w:r>
    </w:p>
    <w:p w:rsidR="005F78FC" w:rsidRDefault="00B42EF3">
      <w:pPr>
        <w:pStyle w:val="Definition-Field"/>
      </w:pPr>
      <w:r>
        <w:t xml:space="preserve">c.   </w:t>
      </w:r>
      <w:r>
        <w:rPr>
          <w:i/>
        </w:rPr>
        <w:t>The standard defines the possible values for the @name without specifying the format of the value.</w:t>
      </w:r>
    </w:p>
    <w:p w:rsidR="005F78FC" w:rsidRDefault="00B42EF3">
      <w:pPr>
        <w:pStyle w:val="Definition-Field2"/>
      </w:pPr>
      <w:r>
        <w:t>Office requires that @nam</w:t>
      </w:r>
      <w:r>
        <w:t>e follows the form [Book]SheetName, where SheetName follows valid syntax for a sheet name.</w:t>
      </w:r>
    </w:p>
    <w:p w:rsidR="005F78FC" w:rsidRDefault="00B42EF3">
      <w:pPr>
        <w:pStyle w:val="Heading3"/>
      </w:pPr>
      <w:bookmarkStart w:id="1652" w:name="section_3759ca9c7212429dbd9f58df2db63036"/>
      <w:bookmarkStart w:id="1653" w:name="_Toc69878599"/>
      <w:r>
        <w:t>Part 1 Section 18.11.1.19, rm (Revision Cell Move)</w:t>
      </w:r>
      <w:bookmarkEnd w:id="1652"/>
      <w:bookmarkEnd w:id="1653"/>
      <w:r>
        <w:fldChar w:fldCharType="begin"/>
      </w:r>
      <w:r>
        <w:instrText xml:space="preserve"> XE "rm (Revision Cell Move)" </w:instrText>
      </w:r>
      <w:r>
        <w:fldChar w:fldCharType="end"/>
      </w:r>
    </w:p>
    <w:p w:rsidR="005F78FC" w:rsidRDefault="00B42EF3">
      <w:pPr>
        <w:pStyle w:val="Definition-Field2"/>
      </w:pPr>
      <w:r>
        <w:rPr>
          <w:i/>
        </w:rPr>
        <w:t>For additional notes that apply to this portion of the standard, please see the no</w:t>
      </w:r>
      <w:r>
        <w:rPr>
          <w:i/>
        </w:rPr>
        <w:t xml:space="preserve">tes for </w:t>
      </w:r>
      <w:hyperlink w:anchor="Section_3c60e3058f99460abca886e39ebb0e49">
        <w:r>
          <w:rPr>
            <w:rStyle w:val="Hyperlink"/>
          </w:rPr>
          <w:t>rdn, §18.11.1.13(j,n)</w:t>
        </w:r>
      </w:hyperlink>
      <w:r>
        <w:rPr>
          <w:i/>
        </w:rPr>
        <w:t>.</w:t>
      </w:r>
    </w:p>
    <w:p w:rsidR="005F78FC" w:rsidRDefault="00B42EF3">
      <w:pPr>
        <w:pStyle w:val="Definition-Field"/>
      </w:pPr>
      <w:r>
        <w:lastRenderedPageBreak/>
        <w:t xml:space="preserve">a.   </w:t>
      </w:r>
      <w:r>
        <w:rPr>
          <w:i/>
        </w:rPr>
        <w:t>The standard includes the attribute sheetId defined as an unsignedInt.</w:t>
      </w:r>
    </w:p>
    <w:p w:rsidR="005F78FC" w:rsidRDefault="00B42EF3">
      <w:pPr>
        <w:pStyle w:val="Definition-Field2"/>
      </w:pPr>
      <w:r>
        <w:t>Office specifies that the maximum value of the sheetId attribute is 32767.</w:t>
      </w:r>
    </w:p>
    <w:p w:rsidR="005F78FC" w:rsidRDefault="00B42EF3">
      <w:pPr>
        <w:pStyle w:val="Definition-Field"/>
      </w:pPr>
      <w:r>
        <w:t xml:space="preserve">b.   </w:t>
      </w:r>
      <w:r>
        <w:rPr>
          <w:i/>
        </w:rPr>
        <w:t>The st</w:t>
      </w:r>
      <w:r>
        <w:rPr>
          <w:i/>
        </w:rPr>
        <w:t>andard includes the attribute sourceSheetId defined as an unsignedInt.</w:t>
      </w:r>
    </w:p>
    <w:p w:rsidR="005F78FC" w:rsidRDefault="00B42EF3">
      <w:pPr>
        <w:pStyle w:val="Definition-Field2"/>
      </w:pPr>
      <w:r>
        <w:t>Office specifies that the maximum value of the sourceSheetId attribute is 32767.</w:t>
      </w:r>
    </w:p>
    <w:p w:rsidR="005F78FC" w:rsidRDefault="00B42EF3">
      <w:pPr>
        <w:pStyle w:val="Definition-Field"/>
      </w:pPr>
      <w:r>
        <w:t xml:space="preserve">c.   </w:t>
      </w:r>
      <w:r>
        <w:rPr>
          <w:i/>
        </w:rPr>
        <w:t>The standard does not limit the restrictions between the size of the attributes source and destinat</w:t>
      </w:r>
      <w:r>
        <w:rPr>
          <w:i/>
        </w:rPr>
        <w:t>ion.</w:t>
      </w:r>
    </w:p>
    <w:p w:rsidR="005F78FC" w:rsidRDefault="00B42EF3">
      <w:pPr>
        <w:pStyle w:val="Definition-Field2"/>
      </w:pPr>
      <w:r>
        <w:t>Office requires that @source and @destination should be equal in width and height.</w:t>
      </w:r>
    </w:p>
    <w:p w:rsidR="005F78FC" w:rsidRDefault="00B42EF3">
      <w:pPr>
        <w:pStyle w:val="Heading3"/>
      </w:pPr>
      <w:bookmarkStart w:id="1654" w:name="section_47f7f4b3b75e4e2c8a17a5b2508a76f3"/>
      <w:bookmarkStart w:id="1655" w:name="_Toc69878600"/>
      <w:r>
        <w:t>Part 1 Section 18.11.1.20, rqt (Revision Query Table)</w:t>
      </w:r>
      <w:bookmarkEnd w:id="1654"/>
      <w:bookmarkEnd w:id="1655"/>
      <w:r>
        <w:fldChar w:fldCharType="begin"/>
      </w:r>
      <w:r>
        <w:instrText xml:space="preserve"> XE "rqt (Revision Query Table)" </w:instrText>
      </w:r>
      <w:r>
        <w:fldChar w:fldCharType="end"/>
      </w:r>
    </w:p>
    <w:p w:rsidR="005F78FC" w:rsidRDefault="00B42EF3">
      <w:pPr>
        <w:pStyle w:val="Definition-Field"/>
      </w:pPr>
      <w:r>
        <w:t xml:space="preserve">a.   </w:t>
      </w:r>
      <w:r>
        <w:rPr>
          <w:i/>
        </w:rPr>
        <w:t>The standard does not place any restrictions on the value for @sheetId.</w:t>
      </w:r>
    </w:p>
    <w:p w:rsidR="005F78FC" w:rsidRDefault="00B42EF3">
      <w:pPr>
        <w:pStyle w:val="Definition-Field2"/>
      </w:pPr>
      <w:r>
        <w:t>Office requires that @version be less than or equal to 32767.</w:t>
      </w:r>
    </w:p>
    <w:p w:rsidR="005F78FC" w:rsidRDefault="00B42EF3">
      <w:pPr>
        <w:pStyle w:val="Heading3"/>
      </w:pPr>
      <w:bookmarkStart w:id="1656" w:name="section_8aa1a35f152949af865abb4ba51645b5"/>
      <w:bookmarkStart w:id="1657" w:name="_Toc69878601"/>
      <w:r>
        <w:t>Part 1 Section 18.11.1.21, rrc (Revision Row Column Insert Delete)</w:t>
      </w:r>
      <w:bookmarkEnd w:id="1656"/>
      <w:bookmarkEnd w:id="1657"/>
      <w:r>
        <w:fldChar w:fldCharType="begin"/>
      </w:r>
      <w:r>
        <w:instrText xml:space="preserve"> XE "rrc (Revision Row Column Insert Delete)" </w:instrText>
      </w:r>
      <w:r>
        <w:fldChar w:fldCharType="end"/>
      </w:r>
    </w:p>
    <w:p w:rsidR="005F78FC" w:rsidRDefault="00B42EF3">
      <w:pPr>
        <w:pStyle w:val="Definition-Field2"/>
      </w:pPr>
      <w:r>
        <w:rPr>
          <w:i/>
        </w:rPr>
        <w:t>For additional notes that apply to this portion of the standard, please see the</w:t>
      </w:r>
      <w:r>
        <w:rPr>
          <w:i/>
        </w:rPr>
        <w:t xml:space="preserve"> notes for </w:t>
      </w:r>
      <w:hyperlink w:anchor="Section_3c60e3058f99460abca886e39ebb0e49">
        <w:r>
          <w:rPr>
            <w:rStyle w:val="Hyperlink"/>
          </w:rPr>
          <w:t>rdn, §18.11.1.13(j,n)</w:t>
        </w:r>
      </w:hyperlink>
      <w:r>
        <w:rPr>
          <w:i/>
        </w:rPr>
        <w:t>.</w:t>
      </w:r>
    </w:p>
    <w:p w:rsidR="005F78FC" w:rsidRDefault="00B42EF3">
      <w:pPr>
        <w:pStyle w:val="Definition-Field"/>
      </w:pPr>
      <w:r>
        <w:t xml:space="preserve">a.   </w:t>
      </w:r>
      <w:r>
        <w:rPr>
          <w:i/>
        </w:rPr>
        <w:t>The standard includes the @sId defined as an unsignedInt.</w:t>
      </w:r>
    </w:p>
    <w:p w:rsidR="005F78FC" w:rsidRDefault="00B42EF3">
      <w:pPr>
        <w:pStyle w:val="Definition-Field2"/>
      </w:pPr>
      <w:r>
        <w:t>Office specifies that the maximum length of @sId is 32767.</w:t>
      </w:r>
    </w:p>
    <w:p w:rsidR="005F78FC" w:rsidRDefault="00B42EF3">
      <w:pPr>
        <w:pStyle w:val="Heading3"/>
      </w:pPr>
      <w:bookmarkStart w:id="1658" w:name="section_ca21574c0dfb4e9ba0e39cf9c855e9bb"/>
      <w:bookmarkStart w:id="1659" w:name="_Toc69878602"/>
      <w:r>
        <w:t>Part 1 Section 18.11.1.22, rsnm (Revi</w:t>
      </w:r>
      <w:r>
        <w:t>sion Sheet Name)</w:t>
      </w:r>
      <w:bookmarkEnd w:id="1658"/>
      <w:bookmarkEnd w:id="1659"/>
      <w:r>
        <w:fldChar w:fldCharType="begin"/>
      </w:r>
      <w:r>
        <w:instrText xml:space="preserve"> XE "rsnm (Revision Sheet Name)"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3c60e3058f99460abca886e39ebb0e49">
        <w:r>
          <w:rPr>
            <w:rStyle w:val="Hyperlink"/>
          </w:rPr>
          <w:t>rdn, §18.11.1.13(j,n)</w:t>
        </w:r>
      </w:hyperlink>
      <w:r>
        <w:rPr>
          <w:i/>
        </w:rPr>
        <w:t>.</w:t>
      </w:r>
    </w:p>
    <w:p w:rsidR="005F78FC" w:rsidRDefault="00B42EF3">
      <w:pPr>
        <w:pStyle w:val="Definition-Field"/>
      </w:pPr>
      <w:r>
        <w:t xml:space="preserve">a.   </w:t>
      </w:r>
      <w:r>
        <w:rPr>
          <w:i/>
        </w:rPr>
        <w:t>The standard defines th</w:t>
      </w:r>
      <w:r>
        <w:rPr>
          <w:i/>
        </w:rPr>
        <w:t>e sheetId attribute without restrictions on its maximum value.</w:t>
      </w:r>
    </w:p>
    <w:p w:rsidR="005F78FC" w:rsidRDefault="00B42EF3">
      <w:pPr>
        <w:pStyle w:val="Definition-Field2"/>
      </w:pPr>
      <w:r>
        <w:t>Office specifies the maximum length of the sheetId attribute to be 32767.</w:t>
      </w:r>
    </w:p>
    <w:p w:rsidR="005F78FC" w:rsidRDefault="00B42EF3">
      <w:pPr>
        <w:pStyle w:val="Definition-Field"/>
      </w:pPr>
      <w:r>
        <w:t xml:space="preserve">b.   </w:t>
      </w:r>
      <w:r>
        <w:rPr>
          <w:i/>
        </w:rPr>
        <w:t>The standard defines @newName without any restrictions on its the form of the value.</w:t>
      </w:r>
    </w:p>
    <w:p w:rsidR="005F78FC" w:rsidRDefault="00B42EF3">
      <w:pPr>
        <w:pStyle w:val="Definition-Field2"/>
      </w:pPr>
      <w:r>
        <w:t>Office requires @newName foll</w:t>
      </w:r>
      <w:r>
        <w:t>ows the form [Book]SheetName where SheetName follows valid sheet name syntax.</w:t>
      </w:r>
    </w:p>
    <w:p w:rsidR="005F78FC" w:rsidRDefault="00B42EF3">
      <w:pPr>
        <w:pStyle w:val="Definition-Field"/>
      </w:pPr>
      <w:r>
        <w:t xml:space="preserve">c.   </w:t>
      </w:r>
      <w:r>
        <w:rPr>
          <w:i/>
        </w:rPr>
        <w:t>The standard defines @oldname without any limitations on the form of the value.</w:t>
      </w:r>
    </w:p>
    <w:p w:rsidR="005F78FC" w:rsidRDefault="00B42EF3">
      <w:pPr>
        <w:pStyle w:val="Definition-Field2"/>
      </w:pPr>
      <w:r>
        <w:t xml:space="preserve">Office requires that @oldName follow the form [Book]SheetName, where SheetName follows valid </w:t>
      </w:r>
      <w:r>
        <w:t>sheet name syntax.</w:t>
      </w:r>
    </w:p>
    <w:p w:rsidR="005F78FC" w:rsidRDefault="00B42EF3">
      <w:pPr>
        <w:pStyle w:val="Heading3"/>
      </w:pPr>
      <w:bookmarkStart w:id="1660" w:name="section_98e3f568bac74abfbdc04eed2cd91ae8"/>
      <w:bookmarkStart w:id="1661" w:name="_Toc69878603"/>
      <w:r>
        <w:t>Part 1 Section 18.11.1.23, sheetId (Sheet Id)</w:t>
      </w:r>
      <w:bookmarkEnd w:id="1660"/>
      <w:bookmarkEnd w:id="1661"/>
      <w:r>
        <w:fldChar w:fldCharType="begin"/>
      </w:r>
      <w:r>
        <w:instrText xml:space="preserve"> XE "sheetId (Sheet Id)" </w:instrText>
      </w:r>
      <w:r>
        <w:fldChar w:fldCharType="end"/>
      </w:r>
    </w:p>
    <w:p w:rsidR="005F78FC" w:rsidRDefault="00B42EF3">
      <w:pPr>
        <w:pStyle w:val="Definition-Field"/>
      </w:pPr>
      <w:r>
        <w:t xml:space="preserve">a.   </w:t>
      </w:r>
      <w:r>
        <w:rPr>
          <w:i/>
        </w:rPr>
        <w:t>The standard defines @val without restrictions on its maximum value.</w:t>
      </w:r>
    </w:p>
    <w:p w:rsidR="005F78FC" w:rsidRDefault="00B42EF3">
      <w:pPr>
        <w:pStyle w:val="Definition-Field2"/>
      </w:pPr>
      <w:r>
        <w:t>Office specifies @val has a maximum value of 65535.</w:t>
      </w:r>
    </w:p>
    <w:p w:rsidR="005F78FC" w:rsidRDefault="00B42EF3">
      <w:pPr>
        <w:pStyle w:val="Heading3"/>
      </w:pPr>
      <w:bookmarkStart w:id="1662" w:name="section_b76122d4802144cbadad1bb478e483e2"/>
      <w:bookmarkStart w:id="1663" w:name="_Toc69878604"/>
      <w:r>
        <w:t>Part 1 Section 18.11.1.24, sheetIdMap (Sheet Id Map)</w:t>
      </w:r>
      <w:bookmarkEnd w:id="1662"/>
      <w:bookmarkEnd w:id="1663"/>
      <w:r>
        <w:fldChar w:fldCharType="begin"/>
      </w:r>
      <w:r>
        <w:instrText xml:space="preserve"> XE "sheetIdMap (Sheet Id Map)" </w:instrText>
      </w:r>
      <w:r>
        <w:fldChar w:fldCharType="end"/>
      </w:r>
    </w:p>
    <w:p w:rsidR="005F78FC" w:rsidRDefault="00B42EF3">
      <w:pPr>
        <w:pStyle w:val="Definition-Field"/>
      </w:pPr>
      <w:r>
        <w:t xml:space="preserve">a.   </w:t>
      </w:r>
      <w:r>
        <w:rPr>
          <w:i/>
        </w:rPr>
        <w:t>The standard states that the maxOccurs value for the sheetId child element is unbounded.</w:t>
      </w:r>
    </w:p>
    <w:p w:rsidR="005F78FC" w:rsidRDefault="00B42EF3">
      <w:pPr>
        <w:pStyle w:val="Definition-Field2"/>
      </w:pPr>
      <w:r>
        <w:t>Excel limits the occurrences of this element to 65535.</w:t>
      </w:r>
    </w:p>
    <w:p w:rsidR="005F78FC" w:rsidRDefault="00B42EF3">
      <w:pPr>
        <w:pStyle w:val="Heading3"/>
      </w:pPr>
      <w:bookmarkStart w:id="1664" w:name="section_69cadf75de6b4dbfac34b8261e44afc3"/>
      <w:bookmarkStart w:id="1665" w:name="_Toc69878605"/>
      <w:r>
        <w:lastRenderedPageBreak/>
        <w:t>Part 1 Section 18.11</w:t>
      </w:r>
      <w:r>
        <w:t>.1.25, undo (Undo)</w:t>
      </w:r>
      <w:bookmarkEnd w:id="1664"/>
      <w:bookmarkEnd w:id="1665"/>
      <w:r>
        <w:fldChar w:fldCharType="begin"/>
      </w:r>
      <w:r>
        <w:instrText xml:space="preserve"> XE "undo (Undo)" </w:instrText>
      </w:r>
      <w:r>
        <w:fldChar w:fldCharType="end"/>
      </w:r>
    </w:p>
    <w:p w:rsidR="005F78FC" w:rsidRDefault="00B42EF3">
      <w:pPr>
        <w:pStyle w:val="Definition-Field"/>
      </w:pPr>
      <w:r>
        <w:t xml:space="preserve">a.   </w:t>
      </w:r>
      <w:r>
        <w:rPr>
          <w:i/>
        </w:rPr>
        <w:t>The standard does not place any restrictions on the value for the sId attribute.</w:t>
      </w:r>
    </w:p>
    <w:p w:rsidR="005F78FC" w:rsidRDefault="00B42EF3">
      <w:pPr>
        <w:pStyle w:val="Definition-Field2"/>
      </w:pPr>
      <w:r>
        <w:t>Office only allows a maximum value of 32767 for the sId attribute.</w:t>
      </w:r>
    </w:p>
    <w:p w:rsidR="005F78FC" w:rsidRDefault="00B42EF3">
      <w:pPr>
        <w:pStyle w:val="Definition-Field"/>
      </w:pPr>
      <w:r>
        <w:t xml:space="preserve">b.   </w:t>
      </w:r>
      <w:r>
        <w:rPr>
          <w:i/>
        </w:rPr>
        <w:t>The standard does not place any restrictions on the existen</w:t>
      </w:r>
      <w:r>
        <w:rPr>
          <w:i/>
        </w:rPr>
        <w:t>ce of the array and v attributes.</w:t>
      </w:r>
    </w:p>
    <w:p w:rsidR="005F78FC" w:rsidRDefault="00B42EF3">
      <w:pPr>
        <w:pStyle w:val="Definition-Field2"/>
      </w:pPr>
      <w:r>
        <w:t>In Office, the array attribute and the v attribute are mutually exclusive. Both cannot be true at the same time.</w:t>
      </w:r>
    </w:p>
    <w:p w:rsidR="005F78FC" w:rsidRDefault="00B42EF3">
      <w:pPr>
        <w:pStyle w:val="Definition-Field"/>
      </w:pPr>
      <w:r>
        <w:t xml:space="preserve">c.   </w:t>
      </w:r>
      <w:r>
        <w:rPr>
          <w:i/>
        </w:rPr>
        <w:t>The standard defines @exp without specifying the relationships it has with other attributes.</w:t>
      </w:r>
    </w:p>
    <w:p w:rsidR="005F78FC" w:rsidRDefault="00B42EF3">
      <w:pPr>
        <w:pStyle w:val="Definition-Field2"/>
      </w:pPr>
      <w:r>
        <w:t>Office requ</w:t>
      </w:r>
      <w:r>
        <w:t>ires that when @exp equals ref or refError, then @dr should define a single cell reference.</w:t>
      </w:r>
    </w:p>
    <w:p w:rsidR="005F78FC" w:rsidRDefault="00B42EF3">
      <w:pPr>
        <w:pStyle w:val="Definition-Field"/>
      </w:pPr>
      <w:r>
        <w:t xml:space="preserve">d.   </w:t>
      </w:r>
      <w:r>
        <w:rPr>
          <w:i/>
        </w:rPr>
        <w:t>The standard does not define a relationship between the value of the nf attribute and the value of the ref3D and exp attributes.</w:t>
      </w:r>
    </w:p>
    <w:p w:rsidR="005F78FC" w:rsidRDefault="00B42EF3">
      <w:pPr>
        <w:pStyle w:val="Definition-Field2"/>
      </w:pPr>
      <w:r>
        <w:t>In Office, if the nf attribute</w:t>
      </w:r>
      <w:r>
        <w:t xml:space="preserve"> is true, then the ref3D attribute should be false and the exp attribute should not be refError or areaError.</w:t>
      </w:r>
    </w:p>
    <w:p w:rsidR="005F78FC" w:rsidRDefault="00B42EF3">
      <w:pPr>
        <w:pStyle w:val="Definition-Field"/>
      </w:pPr>
      <w:r>
        <w:t xml:space="preserve">e.   </w:t>
      </w:r>
      <w:r>
        <w:rPr>
          <w:i/>
        </w:rPr>
        <w:t>The standard does not define a relationship between the value of the ref3D attribute and the value of the exp attribute.</w:t>
      </w:r>
    </w:p>
    <w:p w:rsidR="005F78FC" w:rsidRDefault="00B42EF3">
      <w:pPr>
        <w:pStyle w:val="Definition-Field2"/>
      </w:pPr>
      <w:r>
        <w:t>In Office, if the re</w:t>
      </w:r>
      <w:r>
        <w:t>f3D attribute is true, then the exp attribute should not be computedArea.</w:t>
      </w:r>
    </w:p>
    <w:p w:rsidR="005F78FC" w:rsidRDefault="00B42EF3">
      <w:pPr>
        <w:pStyle w:val="Definition-Field"/>
      </w:pPr>
      <w:r>
        <w:t xml:space="preserve">f.   </w:t>
      </w:r>
      <w:r>
        <w:rPr>
          <w:i/>
        </w:rPr>
        <w:t>The standard states that this element represents undo information for row and column deletion.</w:t>
      </w:r>
    </w:p>
    <w:p w:rsidR="005F78FC" w:rsidRDefault="00B42EF3">
      <w:pPr>
        <w:pStyle w:val="Definition-Field2"/>
      </w:pPr>
      <w:r>
        <w:t>Office uses this element to represent undo information for row and column deletion</w:t>
      </w:r>
      <w:r>
        <w:t xml:space="preserve"> and also move operations of rows and columns.</w:t>
      </w:r>
    </w:p>
    <w:p w:rsidR="005F78FC" w:rsidRDefault="00B42EF3">
      <w:pPr>
        <w:pStyle w:val="Definition-Field"/>
      </w:pPr>
      <w:r>
        <w:t xml:space="preserve">g.   </w:t>
      </w:r>
      <w:r>
        <w:rPr>
          <w:i/>
        </w:rPr>
        <w:t>The standard states that the dn attribute is mutually exclusive with the r attribute.</w:t>
      </w:r>
    </w:p>
    <w:p w:rsidR="005F78FC" w:rsidRDefault="00B42EF3">
      <w:pPr>
        <w:pStyle w:val="Definition-Field2"/>
      </w:pPr>
      <w:r>
        <w:t>In Office, the dn attribute is mutually exclusive with the r and sId attributes.</w:t>
      </w:r>
    </w:p>
    <w:p w:rsidR="005F78FC" w:rsidRDefault="00B42EF3">
      <w:pPr>
        <w:pStyle w:val="Definition-Field"/>
      </w:pPr>
      <w:r>
        <w:t xml:space="preserve">h.   </w:t>
      </w:r>
      <w:r>
        <w:rPr>
          <w:i/>
        </w:rPr>
        <w:t>The standard places no restricti</w:t>
      </w:r>
      <w:r>
        <w:rPr>
          <w:i/>
        </w:rPr>
        <w:t>ons on the index attribute.</w:t>
      </w:r>
    </w:p>
    <w:p w:rsidR="005F78FC" w:rsidRDefault="00B42EF3">
      <w:pPr>
        <w:pStyle w:val="Definition-Field2"/>
      </w:pPr>
      <w:r>
        <w:t>Office requires that the index attribute be less than the total number of expressions in the formula.</w:t>
      </w:r>
    </w:p>
    <w:p w:rsidR="005F78FC" w:rsidRDefault="00B42EF3">
      <w:pPr>
        <w:pStyle w:val="Heading3"/>
      </w:pPr>
      <w:bookmarkStart w:id="1666" w:name="section_98a171fb28a2412fb7e945d21335b00c"/>
      <w:bookmarkStart w:id="1667" w:name="_Toc69878606"/>
      <w:r>
        <w:t>Part 1 Section 18.11.2.2, users (User List)</w:t>
      </w:r>
      <w:bookmarkEnd w:id="1666"/>
      <w:bookmarkEnd w:id="1667"/>
      <w:r>
        <w:fldChar w:fldCharType="begin"/>
      </w:r>
      <w:r>
        <w:instrText xml:space="preserve"> XE "users (User List)" </w:instrText>
      </w:r>
      <w:r>
        <w:fldChar w:fldCharType="end"/>
      </w:r>
    </w:p>
    <w:p w:rsidR="005F78FC" w:rsidRDefault="00B42EF3">
      <w:pPr>
        <w:pStyle w:val="Definition-Field"/>
      </w:pPr>
      <w:r>
        <w:t xml:space="preserve">a.   </w:t>
      </w:r>
      <w:r>
        <w:rPr>
          <w:i/>
        </w:rPr>
        <w:t>The standard states that the values of the count at</w:t>
      </w:r>
      <w:r>
        <w:rPr>
          <w:i/>
        </w:rPr>
        <w:t>tribute are defined by the XML Schema unsignedInt datatype.</w:t>
      </w:r>
    </w:p>
    <w:p w:rsidR="005F78FC" w:rsidRDefault="00B42EF3">
      <w:pPr>
        <w:pStyle w:val="Definition-Field2"/>
      </w:pPr>
      <w:r>
        <w:t>Excel restricts the value of this attribute to be at most 256.</w:t>
      </w:r>
    </w:p>
    <w:p w:rsidR="005F78FC" w:rsidRDefault="00B42EF3">
      <w:pPr>
        <w:pStyle w:val="Heading3"/>
      </w:pPr>
      <w:bookmarkStart w:id="1668" w:name="section_77da14e2b4ea44a8af58622a93fa3abf"/>
      <w:bookmarkStart w:id="1669" w:name="_Toc69878607"/>
      <w:r>
        <w:t>Part 1 Section 18.12.1, deletedField (Deleted Field)</w:t>
      </w:r>
      <w:bookmarkEnd w:id="1668"/>
      <w:bookmarkEnd w:id="1669"/>
      <w:r>
        <w:fldChar w:fldCharType="begin"/>
      </w:r>
      <w:r>
        <w:instrText xml:space="preserve"> XE "deletedField (Deleted Field)" </w:instrText>
      </w:r>
      <w:r>
        <w:fldChar w:fldCharType="end"/>
      </w:r>
    </w:p>
    <w:p w:rsidR="005F78FC" w:rsidRDefault="00B42EF3">
      <w:pPr>
        <w:pStyle w:val="Definition-Field"/>
      </w:pPr>
      <w:r>
        <w:t xml:space="preserve">a.   </w:t>
      </w:r>
      <w:r>
        <w:rPr>
          <w:i/>
        </w:rPr>
        <w:t>The standard does not limit the length</w:t>
      </w:r>
      <w:r>
        <w:rPr>
          <w:i/>
        </w:rPr>
        <w:t xml:space="preserve"> of the value of the name attribute.</w:t>
      </w:r>
    </w:p>
    <w:p w:rsidR="005F78FC" w:rsidRDefault="00B42EF3">
      <w:pPr>
        <w:pStyle w:val="Definition-Field2"/>
      </w:pPr>
      <w:r>
        <w:t>Excel restricts the value of this attribute to be at least 1 and at most 255 characters.</w:t>
      </w:r>
    </w:p>
    <w:p w:rsidR="005F78FC" w:rsidRDefault="00B42EF3">
      <w:pPr>
        <w:pStyle w:val="Heading3"/>
      </w:pPr>
      <w:bookmarkStart w:id="1670" w:name="section_ad7e94cbf93d40629e7059f03c10f5cb"/>
      <w:bookmarkStart w:id="1671" w:name="_Toc69878608"/>
      <w:r>
        <w:t>Part 1 Section 18.12.2, queryTable (Query Table)</w:t>
      </w:r>
      <w:bookmarkEnd w:id="1670"/>
      <w:bookmarkEnd w:id="1671"/>
      <w:r>
        <w:fldChar w:fldCharType="begin"/>
      </w:r>
      <w:r>
        <w:instrText xml:space="preserve"> XE "queryTable (Query Table)" </w:instrText>
      </w:r>
      <w:r>
        <w:fldChar w:fldCharType="end"/>
      </w:r>
    </w:p>
    <w:p w:rsidR="005F78FC" w:rsidRDefault="00B42EF3">
      <w:pPr>
        <w:pStyle w:val="Definition-Field2"/>
      </w:pPr>
      <w:r>
        <w:rPr>
          <w:i/>
        </w:rPr>
        <w:t xml:space="preserve">For additional notes that apply to this portion </w:t>
      </w:r>
      <w:r>
        <w:rPr>
          <w:i/>
        </w:rPr>
        <w:t xml:space="preserve">of the standard, please see the notes for </w:t>
      </w:r>
      <w:hyperlink w:anchor="Section_7b6c9fe631584a228a8abbf584ecf45f">
        <w:r>
          <w:rPr>
            <w:rStyle w:val="Hyperlink"/>
          </w:rPr>
          <w:t>pivotTableDefinition, §18.10.1.73(s-y)</w:t>
        </w:r>
      </w:hyperlink>
      <w:r>
        <w:rPr>
          <w:i/>
        </w:rPr>
        <w:t xml:space="preserve">; </w:t>
      </w:r>
      <w:hyperlink w:anchor="Section_c204cff307be4db39524f802d03fa17c">
        <w:r>
          <w:rPr>
            <w:rStyle w:val="Hyperlink"/>
          </w:rPr>
          <w:t>raf, §18.11.1.8(b)</w:t>
        </w:r>
      </w:hyperlink>
      <w:r>
        <w:rPr>
          <w:i/>
        </w:rPr>
        <w:t>.</w:t>
      </w:r>
    </w:p>
    <w:p w:rsidR="005F78FC" w:rsidRDefault="00B42EF3">
      <w:pPr>
        <w:pStyle w:val="Definition-Field"/>
      </w:pPr>
      <w:r>
        <w:t xml:space="preserve">a.   </w:t>
      </w:r>
      <w:r>
        <w:rPr>
          <w:i/>
        </w:rPr>
        <w:t>The standard does not s</w:t>
      </w:r>
      <w:r>
        <w:rPr>
          <w:i/>
        </w:rPr>
        <w:t>tate any limitations on the value of @firstBackgroundRefresh.</w:t>
      </w:r>
    </w:p>
    <w:p w:rsidR="005F78FC" w:rsidRDefault="00B42EF3">
      <w:pPr>
        <w:pStyle w:val="Definition-Field2"/>
      </w:pPr>
      <w:r>
        <w:lastRenderedPageBreak/>
        <w:t>Office requires that if @firstBackgroundRefresh is true, then @backgroundRefresh shall also be true.</w:t>
      </w:r>
    </w:p>
    <w:p w:rsidR="005F78FC" w:rsidRDefault="00B42EF3">
      <w:pPr>
        <w:pStyle w:val="Definition-Field"/>
      </w:pPr>
      <w:r>
        <w:t xml:space="preserve">b.   </w:t>
      </w:r>
      <w:r>
        <w:rPr>
          <w:i/>
        </w:rPr>
        <w:t>The standard does not state that @name must be unique.</w:t>
      </w:r>
    </w:p>
    <w:p w:rsidR="005F78FC" w:rsidRDefault="00B42EF3">
      <w:pPr>
        <w:pStyle w:val="Definition-Field2"/>
      </w:pPr>
      <w:r>
        <w:t>Office requires that @name be uni</w:t>
      </w:r>
      <w:r>
        <w:t>que.</w:t>
      </w:r>
    </w:p>
    <w:p w:rsidR="005F78FC" w:rsidRDefault="00B42EF3">
      <w:pPr>
        <w:pStyle w:val="Definition-Field"/>
      </w:pPr>
      <w:r>
        <w:t xml:space="preserve">c.   </w:t>
      </w:r>
      <w:r>
        <w:rPr>
          <w:i/>
        </w:rPr>
        <w:t>The standard does not state any limitations for @connectionId.</w:t>
      </w:r>
    </w:p>
    <w:p w:rsidR="005F78FC" w:rsidRDefault="00B42EF3">
      <w:pPr>
        <w:pStyle w:val="Definition-Field2"/>
      </w:pPr>
      <w:r>
        <w:t>Office requires @connectionId to be greater than 0 and must refer to a valid external data connection.</w:t>
      </w:r>
    </w:p>
    <w:p w:rsidR="005F78FC" w:rsidRDefault="00B42EF3">
      <w:pPr>
        <w:pStyle w:val="Definition-Field"/>
      </w:pPr>
      <w:r>
        <w:t xml:space="preserve">d.   </w:t>
      </w:r>
      <w:r>
        <w:rPr>
          <w:i/>
        </w:rPr>
        <w:t xml:space="preserve">The standard does not define any relationship between @name and defined </w:t>
      </w:r>
      <w:r>
        <w:rPr>
          <w:i/>
        </w:rPr>
        <w:t>names.</w:t>
      </w:r>
    </w:p>
    <w:p w:rsidR="005F78FC" w:rsidRDefault="00B42EF3">
      <w:pPr>
        <w:pStyle w:val="Definition-Field2"/>
      </w:pPr>
      <w:r>
        <w:t>In Office, if there is a definedName that matches this value, with any spaces within this name converted to underscores (“_”) for the purposes of this comparison, then that definedName indicates the range of this query table.</w:t>
      </w:r>
    </w:p>
    <w:p w:rsidR="005F78FC" w:rsidRDefault="00B42EF3">
      <w:pPr>
        <w:pStyle w:val="Definition-Field"/>
      </w:pPr>
      <w:r>
        <w:t xml:space="preserve">e.   </w:t>
      </w:r>
      <w:r>
        <w:rPr>
          <w:i/>
        </w:rPr>
        <w:t xml:space="preserve">The standard does </w:t>
      </w:r>
      <w:r>
        <w:rPr>
          <w:i/>
        </w:rPr>
        <w:t>not state any limitations on the value of @removeDataOnSave.</w:t>
      </w:r>
    </w:p>
    <w:p w:rsidR="005F78FC" w:rsidRDefault="00B42EF3">
      <w:pPr>
        <w:pStyle w:val="Definition-Field2"/>
      </w:pPr>
      <w:r>
        <w:t>Office ignores @removeDataOnSave if @refreshOnLoad is false.</w:t>
      </w:r>
    </w:p>
    <w:p w:rsidR="005F78FC" w:rsidRDefault="00B42EF3">
      <w:pPr>
        <w:pStyle w:val="Definition-Field"/>
      </w:pPr>
      <w:r>
        <w:t xml:space="preserve">f.   </w:t>
      </w:r>
      <w:r>
        <w:rPr>
          <w:i/>
        </w:rPr>
        <w:t>The standard does not place restrictions on the length of @name.</w:t>
      </w:r>
    </w:p>
    <w:p w:rsidR="005F78FC" w:rsidRDefault="00B42EF3">
      <w:pPr>
        <w:pStyle w:val="Definition-Field2"/>
      </w:pPr>
      <w:r>
        <w:t xml:space="preserve">Office requires that @name be less than 256 characters in </w:t>
      </w:r>
      <w:r>
        <w:t>length, and non-empty.</w:t>
      </w:r>
    </w:p>
    <w:p w:rsidR="005F78FC" w:rsidRDefault="00B42EF3">
      <w:pPr>
        <w:pStyle w:val="Definition-Field"/>
      </w:pPr>
      <w:r>
        <w:t xml:space="preserve">g.   </w:t>
      </w:r>
      <w:r>
        <w:rPr>
          <w:i/>
        </w:rPr>
        <w:t>The standard does not define any relationship between @name and tables.</w:t>
      </w:r>
    </w:p>
    <w:p w:rsidR="005F78FC" w:rsidRDefault="00B42EF3">
      <w:pPr>
        <w:pStyle w:val="Definition-Field2"/>
      </w:pPr>
      <w:r>
        <w:t xml:space="preserve">In Office, if this query table is related to a Table, then a definedName associated with this @name shall exist and shall refer to the same range the Table </w:t>
      </w:r>
      <w:r>
        <w:t>refers to.</w:t>
      </w:r>
    </w:p>
    <w:p w:rsidR="005F78FC" w:rsidRDefault="00B42EF3">
      <w:pPr>
        <w:pStyle w:val="Heading3"/>
      </w:pPr>
      <w:bookmarkStart w:id="1672" w:name="section_fef88e81fa6046b09fd98578a18088b2"/>
      <w:bookmarkStart w:id="1673" w:name="_Toc69878609"/>
      <w:r>
        <w:t>Part 1 Section 18.12.4, queryTableField (QueryTable Field)</w:t>
      </w:r>
      <w:bookmarkEnd w:id="1672"/>
      <w:bookmarkEnd w:id="1673"/>
      <w:r>
        <w:fldChar w:fldCharType="begin"/>
      </w:r>
      <w:r>
        <w:instrText xml:space="preserve"> XE "queryTableField (QueryTable Field)" </w:instrText>
      </w:r>
      <w:r>
        <w:fldChar w:fldCharType="end"/>
      </w:r>
    </w:p>
    <w:p w:rsidR="005F78FC" w:rsidRDefault="00B42EF3">
      <w:pPr>
        <w:pStyle w:val="Definition-Field"/>
      </w:pPr>
      <w:r>
        <w:t xml:space="preserve">a.   </w:t>
      </w:r>
      <w:r>
        <w:rPr>
          <w:i/>
        </w:rPr>
        <w:t>The standard states that the tableColumnId attribute specifies the unique identifier for the table column if the query table is attached t</w:t>
      </w:r>
      <w:r>
        <w:rPr>
          <w:i/>
        </w:rPr>
        <w:t>o a table object rather than just a range in the sheet.</w:t>
      </w:r>
    </w:p>
    <w:p w:rsidR="005F78FC" w:rsidRDefault="00B42EF3">
      <w:pPr>
        <w:pStyle w:val="Definition-Field2"/>
      </w:pPr>
      <w:r>
        <w:t>In Office, the tableColumnId attribute shall be 0 if the query table is attached to a range in the sheet.</w:t>
      </w:r>
    </w:p>
    <w:p w:rsidR="005F78FC" w:rsidRDefault="00B42EF3">
      <w:pPr>
        <w:pStyle w:val="Definition-Field"/>
      </w:pPr>
      <w:r>
        <w:t xml:space="preserve">b.   </w:t>
      </w:r>
      <w:r>
        <w:rPr>
          <w:i/>
        </w:rPr>
        <w:t xml:space="preserve">The standard states the possible values for the name attribute are defined by ST_Xstring </w:t>
      </w:r>
      <w:r>
        <w:rPr>
          <w:i/>
        </w:rPr>
        <w:t>simple type.</w:t>
      </w:r>
    </w:p>
    <w:p w:rsidR="005F78FC" w:rsidRDefault="00B42EF3">
      <w:pPr>
        <w:pStyle w:val="Definition-Field2"/>
      </w:pPr>
      <w:r>
        <w:t>Office requires that the name attribute is a string 0-255 characters in length.</w:t>
      </w:r>
    </w:p>
    <w:p w:rsidR="005F78FC" w:rsidRDefault="00B42EF3">
      <w:pPr>
        <w:pStyle w:val="Definition-Field"/>
      </w:pPr>
      <w:r>
        <w:t xml:space="preserve">c.   </w:t>
      </w:r>
      <w:r>
        <w:rPr>
          <w:i/>
        </w:rPr>
        <w:t>The standard states no restrictions on value of the clipped attribute are stated.</w:t>
      </w:r>
    </w:p>
    <w:p w:rsidR="005F78FC" w:rsidRDefault="00B42EF3">
      <w:pPr>
        <w:pStyle w:val="Definition-Field2"/>
      </w:pPr>
      <w:r>
        <w:t>Office requires that if the clipped attribute is true, the dataBound attribu</w:t>
      </w:r>
      <w:r>
        <w:t>te shall also be true.</w:t>
      </w:r>
    </w:p>
    <w:p w:rsidR="005F78FC" w:rsidRDefault="00B42EF3">
      <w:pPr>
        <w:pStyle w:val="Definition-Field"/>
      </w:pPr>
      <w:r>
        <w:t xml:space="preserve">d.   </w:t>
      </w:r>
      <w:r>
        <w:rPr>
          <w:i/>
        </w:rPr>
        <w:t>The standard states no limitations on @fillFormulas.</w:t>
      </w:r>
    </w:p>
    <w:p w:rsidR="005F78FC" w:rsidRDefault="00B42EF3">
      <w:pPr>
        <w:pStyle w:val="Definition-Field2"/>
      </w:pPr>
      <w:r>
        <w:t>Office requires that is @fillFormulas is true, @dataBound shall also be false.</w:t>
      </w:r>
    </w:p>
    <w:p w:rsidR="005F78FC" w:rsidRDefault="00B42EF3">
      <w:pPr>
        <w:pStyle w:val="Definition-Field"/>
      </w:pPr>
      <w:r>
        <w:t xml:space="preserve">e.   </w:t>
      </w:r>
      <w:r>
        <w:rPr>
          <w:i/>
        </w:rPr>
        <w:t>The standard states no limitations on @rowNumbers.</w:t>
      </w:r>
    </w:p>
    <w:p w:rsidR="005F78FC" w:rsidRDefault="00B42EF3">
      <w:pPr>
        <w:pStyle w:val="Definition-Field2"/>
      </w:pPr>
      <w:r>
        <w:t>Office requires that if @rowNumbers is t</w:t>
      </w:r>
      <w:r>
        <w:t>rue, @dataBound shall also be true.</w:t>
      </w:r>
    </w:p>
    <w:p w:rsidR="005F78FC" w:rsidRDefault="00B42EF3">
      <w:pPr>
        <w:pStyle w:val="Heading3"/>
      </w:pPr>
      <w:bookmarkStart w:id="1674" w:name="section_cd1089f6b04b458f8077489b116b61ba"/>
      <w:bookmarkStart w:id="1675" w:name="_Toc69878610"/>
      <w:r>
        <w:t>Part 1 Section 18.12.6, queryTableRefresh (QueryTable Refresh Information)</w:t>
      </w:r>
      <w:bookmarkEnd w:id="1674"/>
      <w:bookmarkEnd w:id="1675"/>
      <w:r>
        <w:fldChar w:fldCharType="begin"/>
      </w:r>
      <w:r>
        <w:instrText xml:space="preserve"> XE "queryTableRefresh (QueryTable Refresh Information)" </w:instrText>
      </w:r>
      <w:r>
        <w:fldChar w:fldCharType="end"/>
      </w:r>
    </w:p>
    <w:p w:rsidR="005F78FC" w:rsidRDefault="00B42EF3">
      <w:pPr>
        <w:pStyle w:val="Definition-Field"/>
      </w:pPr>
      <w:r>
        <w:t xml:space="preserve">a.   </w:t>
      </w:r>
      <w:r>
        <w:rPr>
          <w:i/>
        </w:rPr>
        <w:t>The standard does not restrict @unboundColumnsLeft.</w:t>
      </w:r>
    </w:p>
    <w:p w:rsidR="005F78FC" w:rsidRDefault="00B42EF3">
      <w:pPr>
        <w:pStyle w:val="Definition-Field2"/>
      </w:pPr>
      <w:r>
        <w:lastRenderedPageBreak/>
        <w:t>Office requires that @unbound</w:t>
      </w:r>
      <w:r>
        <w:t>ColumnsLeft shall be less than 16384.</w:t>
      </w:r>
    </w:p>
    <w:p w:rsidR="005F78FC" w:rsidRDefault="00B42EF3">
      <w:pPr>
        <w:pStyle w:val="Definition-Field"/>
      </w:pPr>
      <w:r>
        <w:t xml:space="preserve">b.   </w:t>
      </w:r>
      <w:r>
        <w:rPr>
          <w:i/>
        </w:rPr>
        <w:t>The standard does not restrict @unboundColumnsRight.</w:t>
      </w:r>
    </w:p>
    <w:p w:rsidR="005F78FC" w:rsidRDefault="00B42EF3">
      <w:pPr>
        <w:pStyle w:val="Definition-Field2"/>
      </w:pPr>
      <w:r>
        <w:t>Office requires that @unboundColumnsRight shall be less than 16384.</w:t>
      </w:r>
    </w:p>
    <w:p w:rsidR="005F78FC" w:rsidRDefault="00B42EF3">
      <w:pPr>
        <w:pStyle w:val="Definition-Field"/>
      </w:pPr>
      <w:r>
        <w:t xml:space="preserve">c.   </w:t>
      </w:r>
      <w:r>
        <w:rPr>
          <w:i/>
        </w:rPr>
        <w:t xml:space="preserve">The standard states that the possible values for @nextId are defined by the XML Schema </w:t>
      </w:r>
      <w:r>
        <w:rPr>
          <w:i/>
        </w:rPr>
        <w:t>unsignedInt datatype.</w:t>
      </w:r>
    </w:p>
    <w:p w:rsidR="005F78FC" w:rsidRDefault="00B42EF3">
      <w:pPr>
        <w:pStyle w:val="Definition-Field2"/>
      </w:pPr>
      <w:r>
        <w:t>Office has an additional restriction on @nextId requiring that the maximum value cannot be larger than 65535.</w:t>
      </w:r>
    </w:p>
    <w:p w:rsidR="005F78FC" w:rsidRDefault="00B42EF3">
      <w:pPr>
        <w:pStyle w:val="Definition-Field"/>
      </w:pPr>
      <w:r>
        <w:t xml:space="preserve">d.   </w:t>
      </w:r>
      <w:r>
        <w:rPr>
          <w:i/>
        </w:rPr>
        <w:t>The standard states that @fieldWrappedId indicates whether @nextId wrapped around.</w:t>
      </w:r>
    </w:p>
    <w:p w:rsidR="005F78FC" w:rsidRDefault="00B42EF3">
      <w:pPr>
        <w:pStyle w:val="Definition-Field2"/>
      </w:pPr>
      <w:r>
        <w:t>Office requires that if @fieldWrappe</w:t>
      </w:r>
      <w:r>
        <w:t>dId is false, then all id values on the queryTableField elements within the queryTableFields collection will be less than @nextId.</w:t>
      </w:r>
    </w:p>
    <w:p w:rsidR="005F78FC" w:rsidRDefault="00B42EF3">
      <w:pPr>
        <w:pStyle w:val="Definition-Field"/>
      </w:pPr>
      <w:r>
        <w:t xml:space="preserve">e.   </w:t>
      </w:r>
      <w:r>
        <w:rPr>
          <w:i/>
        </w:rPr>
        <w:t>The standard does not state any restrictions on the value of @minimumVersion.</w:t>
      </w:r>
    </w:p>
    <w:p w:rsidR="005F78FC" w:rsidRDefault="00B42EF3">
      <w:pPr>
        <w:pStyle w:val="Definition-Field2"/>
      </w:pPr>
      <w:r>
        <w:t>Office requires @minimumVersion be 0-31 in</w:t>
      </w:r>
      <w:r>
        <w:t>clusive.</w:t>
      </w:r>
    </w:p>
    <w:p w:rsidR="005F78FC" w:rsidRDefault="00B42EF3">
      <w:pPr>
        <w:pStyle w:val="Heading3"/>
      </w:pPr>
      <w:bookmarkStart w:id="1676" w:name="section_248127ad505d4b14839ca425b8821352"/>
      <w:bookmarkStart w:id="1677" w:name="_Toc69878611"/>
      <w:r>
        <w:t>Part 1 Section 18.13.1, connection (Connection)</w:t>
      </w:r>
      <w:bookmarkEnd w:id="1676"/>
      <w:bookmarkEnd w:id="1677"/>
      <w:r>
        <w:fldChar w:fldCharType="begin"/>
      </w:r>
      <w:r>
        <w:instrText xml:space="preserve"> XE "connection (Connection)" </w:instrText>
      </w:r>
      <w:r>
        <w:fldChar w:fldCharType="end"/>
      </w:r>
    </w:p>
    <w:p w:rsidR="005F78FC" w:rsidRDefault="00B42EF3">
      <w:pPr>
        <w:pStyle w:val="Definition-Field"/>
      </w:pPr>
      <w:r>
        <w:t xml:space="preserve">a.   </w:t>
      </w:r>
      <w:r>
        <w:rPr>
          <w:i/>
        </w:rPr>
        <w:t>The standard states that when @interval is not present, the connection is not automatically refreshed.</w:t>
      </w:r>
    </w:p>
    <w:p w:rsidR="005F78FC" w:rsidRDefault="00B42EF3">
      <w:pPr>
        <w:pStyle w:val="Definition-Field2"/>
      </w:pPr>
      <w:r>
        <w:t>In Office, @interval = 0 also indicates the connection is n</w:t>
      </w:r>
      <w:r>
        <w:t>ot automatically refreshed.</w:t>
      </w:r>
    </w:p>
    <w:p w:rsidR="005F78FC" w:rsidRDefault="00B42EF3">
      <w:pPr>
        <w:pStyle w:val="Definition-Field"/>
      </w:pPr>
      <w:r>
        <w:t xml:space="preserve">b.   </w:t>
      </w:r>
      <w:r>
        <w:rPr>
          <w:i/>
        </w:rPr>
        <w:t>The standard states that the values of the interval attribute are defined by the XML Schema unsignedInt datatype.</w:t>
      </w:r>
    </w:p>
    <w:p w:rsidR="005F78FC" w:rsidRDefault="00B42EF3">
      <w:pPr>
        <w:pStyle w:val="Definition-Field2"/>
      </w:pPr>
      <w:r>
        <w:t>Excel restricts the value of this attribute to be at most 32767.</w:t>
      </w:r>
    </w:p>
    <w:p w:rsidR="005F78FC" w:rsidRDefault="00B42EF3">
      <w:pPr>
        <w:pStyle w:val="Definition-Field"/>
      </w:pPr>
      <w:r>
        <w:t xml:space="preserve">c.   </w:t>
      </w:r>
      <w:r>
        <w:rPr>
          <w:i/>
        </w:rPr>
        <w:t xml:space="preserve">The standard does not limit the length </w:t>
      </w:r>
      <w:r>
        <w:rPr>
          <w:i/>
        </w:rPr>
        <w:t>of the value of the name attribute.</w:t>
      </w:r>
    </w:p>
    <w:p w:rsidR="005F78FC" w:rsidRDefault="00B42EF3">
      <w:pPr>
        <w:pStyle w:val="Definition-Field2"/>
      </w:pPr>
      <w:r>
        <w:t>Excel restricts the value of this attribute to be at least 1 and at most 255 characters.</w:t>
      </w:r>
    </w:p>
    <w:p w:rsidR="005F78FC" w:rsidRDefault="00B42EF3">
      <w:pPr>
        <w:pStyle w:val="Definition-Field"/>
      </w:pPr>
      <w:r>
        <w:t xml:space="preserve">d.   </w:t>
      </w:r>
      <w:r>
        <w:rPr>
          <w:i/>
        </w:rPr>
        <w:t>The standard states that the name attribute is optional.</w:t>
      </w:r>
    </w:p>
    <w:p w:rsidR="005F78FC" w:rsidRDefault="00B42EF3">
      <w:pPr>
        <w:pStyle w:val="Definition-Field2"/>
      </w:pPr>
      <w:r>
        <w:t>Excel requires this attribute.</w:t>
      </w:r>
    </w:p>
    <w:p w:rsidR="005F78FC" w:rsidRDefault="00B42EF3">
      <w:pPr>
        <w:pStyle w:val="Definition-Field"/>
      </w:pPr>
      <w:r>
        <w:t xml:space="preserve">e.   </w:t>
      </w:r>
      <w:r>
        <w:rPr>
          <w:i/>
        </w:rPr>
        <w:t xml:space="preserve">The standard defines values for </w:t>
      </w:r>
      <w:r>
        <w:rPr>
          <w:i/>
        </w:rPr>
        <w:t>@type through 8, with 8 being DSP.</w:t>
      </w:r>
    </w:p>
    <w:p w:rsidR="005F78FC" w:rsidRDefault="00B42EF3">
      <w:pPr>
        <w:pStyle w:val="Definition-Field2"/>
      </w:pPr>
      <w:r>
        <w:t>Office assumes that there are 9 possible values, and that values 8 and 9 are unused/reserved.</w:t>
      </w:r>
    </w:p>
    <w:p w:rsidR="005F78FC" w:rsidRDefault="00B42EF3">
      <w:pPr>
        <w:pStyle w:val="Definition-Field"/>
      </w:pPr>
      <w:r>
        <w:t xml:space="preserve">f.   </w:t>
      </w:r>
      <w:r>
        <w:rPr>
          <w:i/>
        </w:rPr>
        <w:t>The standard does not limit the length of the value of the description attribute.</w:t>
      </w:r>
    </w:p>
    <w:p w:rsidR="005F78FC" w:rsidRDefault="00B42EF3">
      <w:pPr>
        <w:pStyle w:val="Definition-Field2"/>
      </w:pPr>
      <w:r>
        <w:t>Excel restricts the value of this attrib</w:t>
      </w:r>
      <w:r>
        <w:t>ute to be at most 255 characters.</w:t>
      </w:r>
    </w:p>
    <w:p w:rsidR="005F78FC" w:rsidRDefault="00B42EF3">
      <w:pPr>
        <w:pStyle w:val="Definition-Field"/>
      </w:pPr>
      <w:r>
        <w:t xml:space="preserve">g.   </w:t>
      </w:r>
      <w:r>
        <w:rPr>
          <w:i/>
        </w:rPr>
        <w:t>The standard does not limit the length of the value of the singleSignOnId attribute.</w:t>
      </w:r>
    </w:p>
    <w:p w:rsidR="005F78FC" w:rsidRDefault="00B42EF3">
      <w:pPr>
        <w:pStyle w:val="Definition-Field2"/>
      </w:pPr>
      <w:r>
        <w:t>Excel restricts the value of this attribute to be at most 255 characters.</w:t>
      </w:r>
    </w:p>
    <w:p w:rsidR="005F78FC" w:rsidRDefault="00B42EF3">
      <w:pPr>
        <w:pStyle w:val="Definition-Field"/>
      </w:pPr>
      <w:r>
        <w:t xml:space="preserve">h.   </w:t>
      </w:r>
      <w:r>
        <w:rPr>
          <w:i/>
        </w:rPr>
        <w:t>The standard does not limit the length of the value o</w:t>
      </w:r>
      <w:r>
        <w:rPr>
          <w:i/>
        </w:rPr>
        <w:t>f the odcFile attribute.</w:t>
      </w:r>
    </w:p>
    <w:p w:rsidR="005F78FC" w:rsidRDefault="00B42EF3">
      <w:pPr>
        <w:pStyle w:val="Definition-Field2"/>
      </w:pPr>
      <w:r>
        <w:t>Excel restricts the value of this attribute to be at most 255 characters.</w:t>
      </w:r>
    </w:p>
    <w:p w:rsidR="005F78FC" w:rsidRDefault="00B42EF3">
      <w:pPr>
        <w:pStyle w:val="Definition-Field"/>
      </w:pPr>
      <w:r>
        <w:t xml:space="preserve">i.   </w:t>
      </w:r>
      <w:r>
        <w:rPr>
          <w:i/>
        </w:rPr>
        <w:t>The standard does not limit the length of the value of the sourceFile attribute.</w:t>
      </w:r>
    </w:p>
    <w:p w:rsidR="005F78FC" w:rsidRDefault="00B42EF3">
      <w:pPr>
        <w:pStyle w:val="Definition-Field2"/>
      </w:pPr>
      <w:r>
        <w:t>Excel restricts the value of this attribute to be at most 255 character</w:t>
      </w:r>
      <w:r>
        <w:t>s.</w:t>
      </w:r>
    </w:p>
    <w:p w:rsidR="005F78FC" w:rsidRDefault="00B42EF3">
      <w:pPr>
        <w:pStyle w:val="Definition-Field"/>
      </w:pPr>
      <w:r>
        <w:t xml:space="preserve">j.   </w:t>
      </w:r>
      <w:r>
        <w:rPr>
          <w:i/>
        </w:rPr>
        <w:t>The standard states that the type attribute is optional.</w:t>
      </w:r>
    </w:p>
    <w:p w:rsidR="005F78FC" w:rsidRDefault="00B42EF3">
      <w:pPr>
        <w:pStyle w:val="Definition-Field2"/>
      </w:pPr>
      <w:r>
        <w:lastRenderedPageBreak/>
        <w:t>Excel requires this attribute.</w:t>
      </w:r>
    </w:p>
    <w:p w:rsidR="005F78FC" w:rsidRDefault="00B42EF3">
      <w:pPr>
        <w:pStyle w:val="Definition-Field"/>
      </w:pPr>
      <w:r>
        <w:t xml:space="preserve">k.   </w:t>
      </w:r>
      <w:r>
        <w:rPr>
          <w:i/>
        </w:rPr>
        <w:t>The standard states that @reconnectionMethod specifies what the spreadsheet application should do when a connection fails.</w:t>
      </w:r>
    </w:p>
    <w:p w:rsidR="005F78FC" w:rsidRDefault="00B42EF3">
      <w:pPr>
        <w:pStyle w:val="Definition-Field2"/>
      </w:pPr>
      <w:r>
        <w:t>In Office, @reconnectionMethod i</w:t>
      </w:r>
      <w:r>
        <w:t>s ignored if @onlyUseConnectionFile is set to true.</w:t>
      </w:r>
    </w:p>
    <w:p w:rsidR="005F78FC" w:rsidRDefault="00B42EF3">
      <w:pPr>
        <w:pStyle w:val="Definition-Field"/>
      </w:pPr>
      <w:r>
        <w:t xml:space="preserve">l.   </w:t>
      </w:r>
      <w:r>
        <w:rPr>
          <w:i/>
        </w:rPr>
        <w:t>The standard states that @refreshedVersion applies to connections that are used by a query table.</w:t>
      </w:r>
    </w:p>
    <w:p w:rsidR="005F78FC" w:rsidRDefault="00B42EF3">
      <w:pPr>
        <w:pStyle w:val="Definition-Field2"/>
      </w:pPr>
      <w:r>
        <w:t>In Office, @refreshedVersion is used by both pivot caches and query tables.</w:t>
      </w:r>
    </w:p>
    <w:p w:rsidR="005F78FC" w:rsidRDefault="00B42EF3">
      <w:pPr>
        <w:pStyle w:val="Definition-Field"/>
      </w:pPr>
      <w:r>
        <w:t xml:space="preserve">m.   </w:t>
      </w:r>
      <w:r>
        <w:rPr>
          <w:i/>
        </w:rPr>
        <w:t xml:space="preserve">The standard states </w:t>
      </w:r>
      <w:r>
        <w:rPr>
          <w:i/>
        </w:rPr>
        <w:t>that @minRefreshableVersion applies to connections that are used by a QueryTable.</w:t>
      </w:r>
    </w:p>
    <w:p w:rsidR="005F78FC" w:rsidRDefault="00B42EF3">
      <w:pPr>
        <w:pStyle w:val="Definition-Field2"/>
      </w:pPr>
      <w:r>
        <w:t>In Office, @minRefreshableVersion applies to both pivot caches and query tables.</w:t>
      </w:r>
    </w:p>
    <w:p w:rsidR="005F78FC" w:rsidRDefault="00B42EF3">
      <w:pPr>
        <w:pStyle w:val="Definition-Field"/>
      </w:pPr>
      <w:r>
        <w:t xml:space="preserve">n.   </w:t>
      </w:r>
      <w:r>
        <w:rPr>
          <w:i/>
        </w:rPr>
        <w:t>The standard does not place restrictions on when the saveData attribute is used.</w:t>
      </w:r>
    </w:p>
    <w:p w:rsidR="005F78FC" w:rsidRDefault="00B42EF3">
      <w:pPr>
        <w:pStyle w:val="Definition-Field2"/>
      </w:pPr>
      <w:r>
        <w:t xml:space="preserve">Office </w:t>
      </w:r>
      <w:r>
        <w:t>only uses the saveData attribute for query tables. It is ignored for PivotTables. When the saveData attribute is false, the refreshFileOnLoad attribute must be true.</w:t>
      </w:r>
    </w:p>
    <w:p w:rsidR="005F78FC" w:rsidRDefault="00B42EF3">
      <w:pPr>
        <w:pStyle w:val="Definition-Field"/>
      </w:pPr>
      <w:r>
        <w:t xml:space="preserve">o.   </w:t>
      </w:r>
      <w:r>
        <w:rPr>
          <w:i/>
        </w:rPr>
        <w:t>The standard states that @type=3 denotes a file based database source.</w:t>
      </w:r>
    </w:p>
    <w:p w:rsidR="005F78FC" w:rsidRDefault="00B42EF3">
      <w:pPr>
        <w:pStyle w:val="Definition-Field2"/>
      </w:pPr>
      <w:r>
        <w:t>Office does no</w:t>
      </w:r>
      <w:r>
        <w:t>t use the value 3 for @type.</w:t>
      </w:r>
    </w:p>
    <w:p w:rsidR="005F78FC" w:rsidRDefault="00B42EF3">
      <w:pPr>
        <w:pStyle w:val="Heading3"/>
      </w:pPr>
      <w:bookmarkStart w:id="1678" w:name="section_200d01b9e9474e61a6551aae98327daa"/>
      <w:bookmarkStart w:id="1679" w:name="_Toc69878612"/>
      <w:r>
        <w:t>Part 1 Section 18.13.3, dbPr (Database Properties)</w:t>
      </w:r>
      <w:bookmarkEnd w:id="1678"/>
      <w:bookmarkEnd w:id="1679"/>
      <w:r>
        <w:fldChar w:fldCharType="begin"/>
      </w:r>
      <w:r>
        <w:instrText xml:space="preserve"> XE "dbPr (Database Properties)" </w:instrText>
      </w:r>
      <w:r>
        <w:fldChar w:fldCharType="end"/>
      </w:r>
    </w:p>
    <w:p w:rsidR="005F78FC" w:rsidRDefault="00B42EF3">
      <w:pPr>
        <w:pStyle w:val="Definition-Field"/>
      </w:pPr>
      <w:r>
        <w:t xml:space="preserve">a.   </w:t>
      </w:r>
      <w:r>
        <w:rPr>
          <w:i/>
        </w:rPr>
        <w:t>The standard does not limit the length of the value of the connection attribute.</w:t>
      </w:r>
    </w:p>
    <w:p w:rsidR="005F78FC" w:rsidRDefault="00B42EF3">
      <w:pPr>
        <w:pStyle w:val="Definition-Field2"/>
      </w:pPr>
      <w:r>
        <w:t xml:space="preserve">Excel restricts the value of this attribute to be at </w:t>
      </w:r>
      <w:r>
        <w:t>most 65535 characters.</w:t>
      </w:r>
    </w:p>
    <w:p w:rsidR="005F78FC" w:rsidRDefault="00B42EF3">
      <w:pPr>
        <w:pStyle w:val="Heading3"/>
      </w:pPr>
      <w:bookmarkStart w:id="1680" w:name="section_8ad37bc593b249a6bfdc6dd280f6ace9"/>
      <w:bookmarkStart w:id="1681" w:name="_Toc69878613"/>
      <w:r>
        <w:t>Part 1 Section 18.13.5, olapPr (OLAP Properties)</w:t>
      </w:r>
      <w:bookmarkEnd w:id="1680"/>
      <w:bookmarkEnd w:id="1681"/>
      <w:r>
        <w:fldChar w:fldCharType="begin"/>
      </w:r>
      <w:r>
        <w:instrText xml:space="preserve"> XE "olapPr (OLAP Properties)" </w:instrText>
      </w:r>
      <w:r>
        <w:fldChar w:fldCharType="end"/>
      </w:r>
    </w:p>
    <w:p w:rsidR="005F78FC" w:rsidRDefault="00B42EF3">
      <w:pPr>
        <w:pStyle w:val="Definition-Field"/>
      </w:pPr>
      <w:r>
        <w:t xml:space="preserve">a.   </w:t>
      </w:r>
      <w:r>
        <w:rPr>
          <w:i/>
        </w:rPr>
        <w:t>The standard states that the localConnection attribute is used when the local attribute is set to true.</w:t>
      </w:r>
    </w:p>
    <w:p w:rsidR="005F78FC" w:rsidRDefault="00B42EF3">
      <w:pPr>
        <w:pStyle w:val="Definition-Field2"/>
      </w:pPr>
      <w:r>
        <w:t>Office requires the localConnection attrib</w:t>
      </w:r>
      <w:r>
        <w:t>ute if the local attribute equals true.</w:t>
      </w:r>
    </w:p>
    <w:p w:rsidR="005F78FC" w:rsidRDefault="00B42EF3">
      <w:pPr>
        <w:pStyle w:val="Definition-Field"/>
      </w:pPr>
      <w:r>
        <w:t xml:space="preserve">b.   </w:t>
      </w:r>
      <w:r>
        <w:rPr>
          <w:i/>
        </w:rPr>
        <w:t>The standard does not place restrictions on the value of @rowDrillCount.</w:t>
      </w:r>
    </w:p>
    <w:p w:rsidR="005F78FC" w:rsidRDefault="00B42EF3">
      <w:pPr>
        <w:pStyle w:val="Definition-Field2"/>
      </w:pPr>
      <w:r>
        <w:t>Office limits the value of @rowDrillCount to 1 through 1048576 inclusive.</w:t>
      </w:r>
    </w:p>
    <w:p w:rsidR="005F78FC" w:rsidRDefault="00B42EF3">
      <w:pPr>
        <w:pStyle w:val="Heading3"/>
      </w:pPr>
      <w:bookmarkStart w:id="1682" w:name="section_26f1dd202d7b429fa0694235248a851a"/>
      <w:bookmarkStart w:id="1683" w:name="_Toc69878614"/>
      <w:r>
        <w:t>Part 1 Section 18.13.6, parameter (Parameter Properties)</w:t>
      </w:r>
      <w:bookmarkEnd w:id="1682"/>
      <w:bookmarkEnd w:id="1683"/>
      <w:r>
        <w:fldChar w:fldCharType="begin"/>
      </w:r>
      <w:r>
        <w:instrText xml:space="preserve"> XE "par</w:instrText>
      </w:r>
      <w:r>
        <w:instrText xml:space="preserve">ameter (Parameter Properties)" </w:instrText>
      </w:r>
      <w:r>
        <w:fldChar w:fldCharType="end"/>
      </w:r>
    </w:p>
    <w:p w:rsidR="005F78FC" w:rsidRDefault="00B42EF3">
      <w:pPr>
        <w:pStyle w:val="Definition-Field"/>
      </w:pPr>
      <w:r>
        <w:t xml:space="preserve">a.   </w:t>
      </w:r>
      <w:r>
        <w:rPr>
          <w:i/>
        </w:rPr>
        <w:t>The standard states that @cell is restricted to be of type ST_Xstring.</w:t>
      </w:r>
    </w:p>
    <w:p w:rsidR="005F78FC" w:rsidRDefault="00B42EF3">
      <w:pPr>
        <w:pStyle w:val="Definition-Field2"/>
      </w:pPr>
      <w:r>
        <w:t>Office requires that @cell be restricted to be of type ST_Formula and not be empty.</w:t>
      </w:r>
    </w:p>
    <w:p w:rsidR="005F78FC" w:rsidRDefault="00B42EF3">
      <w:pPr>
        <w:pStyle w:val="Definition-Field"/>
      </w:pPr>
      <w:r>
        <w:t xml:space="preserve">b.   </w:t>
      </w:r>
      <w:r>
        <w:rPr>
          <w:i/>
        </w:rPr>
        <w:t>The standard does not place any restrictions on the lengt</w:t>
      </w:r>
      <w:r>
        <w:rPr>
          <w:i/>
        </w:rPr>
        <w:t>h of the value for @name.</w:t>
      </w:r>
    </w:p>
    <w:p w:rsidR="005F78FC" w:rsidRDefault="00B42EF3">
      <w:pPr>
        <w:pStyle w:val="Definition-Field2"/>
      </w:pPr>
      <w:r>
        <w:t>Office requires that @name be less or equal to 255 characters in length.</w:t>
      </w:r>
    </w:p>
    <w:p w:rsidR="005F78FC" w:rsidRDefault="00B42EF3">
      <w:pPr>
        <w:pStyle w:val="Definition-Field"/>
      </w:pPr>
      <w:r>
        <w:t xml:space="preserve">c.   </w:t>
      </w:r>
      <w:r>
        <w:rPr>
          <w:i/>
        </w:rPr>
        <w:t>The standard does not place any length restrictions on @string.</w:t>
      </w:r>
    </w:p>
    <w:p w:rsidR="005F78FC" w:rsidRDefault="00B42EF3">
      <w:pPr>
        <w:pStyle w:val="Definition-Field2"/>
      </w:pPr>
      <w:r>
        <w:t>Office limits @string length to 255 characters.</w:t>
      </w:r>
    </w:p>
    <w:p w:rsidR="005F78FC" w:rsidRDefault="00B42EF3">
      <w:pPr>
        <w:pStyle w:val="Definition-Field"/>
      </w:pPr>
      <w:r>
        <w:t xml:space="preserve">d.   </w:t>
      </w:r>
      <w:r>
        <w:rPr>
          <w:i/>
        </w:rPr>
        <w:t xml:space="preserve">In the standard, there is no </w:t>
      </w:r>
      <w:r>
        <w:rPr>
          <w:i/>
        </w:rPr>
        <w:t>relation between the cell attribute and the parameterType attribute .</w:t>
      </w:r>
    </w:p>
    <w:p w:rsidR="005F78FC" w:rsidRDefault="00B42EF3">
      <w:pPr>
        <w:pStyle w:val="Definition-Field2"/>
      </w:pPr>
      <w:r>
        <w:t>Office requires that the cell attribute be specified when the parameterType attribute equals cell.</w:t>
      </w:r>
    </w:p>
    <w:p w:rsidR="005F78FC" w:rsidRDefault="00B42EF3">
      <w:pPr>
        <w:pStyle w:val="Definition-Field"/>
      </w:pPr>
      <w:r>
        <w:lastRenderedPageBreak/>
        <w:t xml:space="preserve">e.   </w:t>
      </w:r>
      <w:r>
        <w:rPr>
          <w:i/>
        </w:rPr>
        <w:t>The standard does not place any restrictions on the length of the value for @promp</w:t>
      </w:r>
      <w:r>
        <w:rPr>
          <w:i/>
        </w:rPr>
        <w:t>t.</w:t>
      </w:r>
    </w:p>
    <w:p w:rsidR="005F78FC" w:rsidRDefault="00B42EF3">
      <w:pPr>
        <w:pStyle w:val="Definition-Field2"/>
      </w:pPr>
      <w:r>
        <w:t>Office specifies @prompt length limit to be 65535.</w:t>
      </w:r>
    </w:p>
    <w:p w:rsidR="005F78FC" w:rsidRDefault="00B42EF3">
      <w:pPr>
        <w:pStyle w:val="Heading3"/>
      </w:pPr>
      <w:bookmarkStart w:id="1684" w:name="section_a88f22503afe4d50bec546158f10b928"/>
      <w:bookmarkStart w:id="1685" w:name="_Toc69878615"/>
      <w:r>
        <w:t>Part 1 Section 18.13.8, s (Character Value)</w:t>
      </w:r>
      <w:bookmarkEnd w:id="1684"/>
      <w:bookmarkEnd w:id="1685"/>
      <w:r>
        <w:fldChar w:fldCharType="begin"/>
      </w:r>
      <w:r>
        <w:instrText xml:space="preserve"> XE "s (Character Value)" </w:instrText>
      </w:r>
      <w:r>
        <w:fldChar w:fldCharType="end"/>
      </w:r>
    </w:p>
    <w:p w:rsidR="005F78FC" w:rsidRDefault="00B42EF3">
      <w:pPr>
        <w:pStyle w:val="Definition-Field"/>
      </w:pPr>
      <w:r>
        <w:t xml:space="preserve">a.   </w:t>
      </w:r>
      <w:r>
        <w:rPr>
          <w:i/>
        </w:rPr>
        <w:t>The standard says this element is used to specify an HTML table to import by name.</w:t>
      </w:r>
    </w:p>
    <w:p w:rsidR="005F78FC" w:rsidRDefault="00B42EF3">
      <w:pPr>
        <w:pStyle w:val="Definition-Field2"/>
      </w:pPr>
      <w:r>
        <w:t xml:space="preserve">In Office, the element is used to specify </w:t>
      </w:r>
      <w:r>
        <w:t>an HTML table to import when it is a child of tables.</w:t>
      </w:r>
    </w:p>
    <w:p w:rsidR="005F78FC" w:rsidRDefault="00B42EF3">
      <w:pPr>
        <w:pStyle w:val="Definition-Field"/>
      </w:pPr>
      <w:r>
        <w:t xml:space="preserve">b.   </w:t>
      </w:r>
      <w:r>
        <w:rPr>
          <w:i/>
        </w:rPr>
        <w:t>The standard says @v is used as the name of the HTML table.</w:t>
      </w:r>
    </w:p>
    <w:p w:rsidR="005F78FC" w:rsidRDefault="00B42EF3">
      <w:pPr>
        <w:pStyle w:val="Definition-Field2"/>
      </w:pPr>
      <w:r>
        <w:t>In Office, when the element is a child of tables, @v is used as the name of the HTML table. When the element is a child of metadataString</w:t>
      </w:r>
      <w:r>
        <w:t>s, @v is used to hold an element in the metadata string store.</w:t>
      </w:r>
    </w:p>
    <w:p w:rsidR="005F78FC" w:rsidRDefault="00B42EF3">
      <w:pPr>
        <w:pStyle w:val="Definition-Field"/>
      </w:pPr>
      <w:r>
        <w:t xml:space="preserve">c.   </w:t>
      </w:r>
      <w:r>
        <w:rPr>
          <w:i/>
        </w:rPr>
        <w:t>In the standard, @v does not have a size restriction.</w:t>
      </w:r>
    </w:p>
    <w:p w:rsidR="005F78FC" w:rsidRDefault="00B42EF3">
      <w:pPr>
        <w:pStyle w:val="Definition-Field2"/>
      </w:pPr>
      <w:r>
        <w:t>In Office, when the element is a child of tables, @v has a maximum length of 255 characters. When the element is a child of metadataSt</w:t>
      </w:r>
      <w:r>
        <w:t>rings, @v has a maximum length of 65535 characters.</w:t>
      </w:r>
    </w:p>
    <w:p w:rsidR="005F78FC" w:rsidRDefault="00B42EF3">
      <w:pPr>
        <w:pStyle w:val="Heading3"/>
      </w:pPr>
      <w:bookmarkStart w:id="1686" w:name="section_6c31d0d2456342268409009fc4f47a84"/>
      <w:bookmarkStart w:id="1687" w:name="_Toc69878616"/>
      <w:r>
        <w:t>Part 1 Section 18.13.10, textField (Text Import Field Settings)</w:t>
      </w:r>
      <w:bookmarkEnd w:id="1686"/>
      <w:bookmarkEnd w:id="1687"/>
      <w:r>
        <w:fldChar w:fldCharType="begin"/>
      </w:r>
      <w:r>
        <w:instrText xml:space="preserve"> XE "textField (Text Import Field Settings)" </w:instrText>
      </w:r>
      <w:r>
        <w:fldChar w:fldCharType="end"/>
      </w:r>
    </w:p>
    <w:p w:rsidR="005F78FC" w:rsidRDefault="00B42EF3">
      <w:pPr>
        <w:pStyle w:val="Definition-Field"/>
      </w:pPr>
      <w:r>
        <w:t xml:space="preserve">a.   </w:t>
      </w:r>
      <w:r>
        <w:rPr>
          <w:i/>
        </w:rPr>
        <w:t>The standard does not indicate relationships between the position attributes of textFiel</w:t>
      </w:r>
      <w:r>
        <w:rPr>
          <w:i/>
        </w:rPr>
        <w:t>d elements of the collection.</w:t>
      </w:r>
    </w:p>
    <w:p w:rsidR="005F78FC" w:rsidRDefault="00B42EF3">
      <w:pPr>
        <w:pStyle w:val="Definition-Field2"/>
      </w:pPr>
      <w:r>
        <w:t>In Office, subsequent textField elements shall have position values greater than or equal to the preceding elements.</w:t>
      </w:r>
    </w:p>
    <w:p w:rsidR="005F78FC" w:rsidRDefault="00B42EF3">
      <w:pPr>
        <w:pStyle w:val="Definition-Field"/>
      </w:pPr>
      <w:r>
        <w:t xml:space="preserve">b.   </w:t>
      </w:r>
      <w:r>
        <w:rPr>
          <w:i/>
        </w:rPr>
        <w:t xml:space="preserve">The standard states that the values of the position attribute are defined by the XML Schema unsignedInt </w:t>
      </w:r>
      <w:r>
        <w:rPr>
          <w:i/>
        </w:rPr>
        <w:t>datatype.</w:t>
      </w:r>
    </w:p>
    <w:p w:rsidR="005F78FC" w:rsidRDefault="00B42EF3">
      <w:pPr>
        <w:pStyle w:val="Definition-Field2"/>
      </w:pPr>
      <w:r>
        <w:t>In Office, the range for the position attribute is between 0 and 2147483647 inclusive.</w:t>
      </w:r>
    </w:p>
    <w:p w:rsidR="005F78FC" w:rsidRDefault="00B42EF3">
      <w:pPr>
        <w:pStyle w:val="Heading3"/>
      </w:pPr>
      <w:bookmarkStart w:id="1688" w:name="section_0606ff4c53254d04ab6f44bad775a1b7"/>
      <w:bookmarkStart w:id="1689" w:name="_Toc69878617"/>
      <w:r>
        <w:t>Part 1 Section 18.13.11, textFields (Fields)</w:t>
      </w:r>
      <w:bookmarkEnd w:id="1688"/>
      <w:bookmarkEnd w:id="1689"/>
      <w:r>
        <w:fldChar w:fldCharType="begin"/>
      </w:r>
      <w:r>
        <w:instrText xml:space="preserve"> XE "textFields (Fields)" </w:instrText>
      </w:r>
      <w:r>
        <w:fldChar w:fldCharType="end"/>
      </w:r>
    </w:p>
    <w:p w:rsidR="005F78FC" w:rsidRDefault="00B42EF3">
      <w:pPr>
        <w:pStyle w:val="Definition-Field"/>
      </w:pPr>
      <w:r>
        <w:t xml:space="preserve">a.   </w:t>
      </w:r>
      <w:r>
        <w:rPr>
          <w:i/>
        </w:rPr>
        <w:t xml:space="preserve">The standard states that the maxOccurs value for the textField child element is </w:t>
      </w:r>
      <w:r>
        <w:rPr>
          <w:i/>
        </w:rPr>
        <w:t>unbounded.</w:t>
      </w:r>
    </w:p>
    <w:p w:rsidR="005F78FC" w:rsidRDefault="00B42EF3">
      <w:pPr>
        <w:pStyle w:val="Definition-Field2"/>
      </w:pPr>
      <w:r>
        <w:t>Office limits the occurrences of this element to 2001.</w:t>
      </w:r>
    </w:p>
    <w:p w:rsidR="005F78FC" w:rsidRDefault="00B42EF3">
      <w:pPr>
        <w:pStyle w:val="Heading3"/>
      </w:pPr>
      <w:bookmarkStart w:id="1690" w:name="section_338ef3303d804c38888dbd770a0659f6"/>
      <w:bookmarkStart w:id="1691" w:name="_Toc69878618"/>
      <w:r>
        <w:t>Part 1 Section 18.13.12, textPr (Text Import Settings)</w:t>
      </w:r>
      <w:bookmarkEnd w:id="1690"/>
      <w:bookmarkEnd w:id="1691"/>
      <w:r>
        <w:fldChar w:fldCharType="begin"/>
      </w:r>
      <w:r>
        <w:instrText xml:space="preserve"> XE "textPr (Text Import Settings)" </w:instrText>
      </w:r>
      <w:r>
        <w:fldChar w:fldCharType="end"/>
      </w:r>
    </w:p>
    <w:p w:rsidR="005F78FC" w:rsidRDefault="00B42EF3">
      <w:pPr>
        <w:pStyle w:val="Definition-Field"/>
      </w:pPr>
      <w:r>
        <w:t xml:space="preserve">a.   </w:t>
      </w:r>
      <w:r>
        <w:rPr>
          <w:i/>
        </w:rPr>
        <w:t xml:space="preserve">The standard places no restrictions on the relationship between the delimited attribute and </w:t>
      </w:r>
      <w:r>
        <w:rPr>
          <w:i/>
        </w:rPr>
        <w:t>the comma, delimiter, semicolon, space, and tab attributes.</w:t>
      </w:r>
    </w:p>
    <w:p w:rsidR="005F78FC" w:rsidRDefault="00B42EF3">
      <w:pPr>
        <w:pStyle w:val="Definition-Field2"/>
      </w:pPr>
      <w:r>
        <w:t>Excel will ignore the comma, delimiter, semicolon, space, and tab attributes when the value of the delimited attribute is false.</w:t>
      </w:r>
    </w:p>
    <w:p w:rsidR="005F78FC" w:rsidRDefault="00B42EF3">
      <w:pPr>
        <w:pStyle w:val="Definition-Field"/>
      </w:pPr>
      <w:r>
        <w:t xml:space="preserve">b.   </w:t>
      </w:r>
      <w:r>
        <w:rPr>
          <w:i/>
        </w:rPr>
        <w:t xml:space="preserve">The standard states that the values of the firstRow attribute </w:t>
      </w:r>
      <w:r>
        <w:rPr>
          <w:i/>
        </w:rPr>
        <w:t>are defined by the XML Schema unsignedInt datatype.</w:t>
      </w:r>
    </w:p>
    <w:p w:rsidR="005F78FC" w:rsidRDefault="00B42EF3">
      <w:pPr>
        <w:pStyle w:val="Definition-Field2"/>
      </w:pPr>
      <w:r>
        <w:t>Excel restricts the value of this attribute to be at most 2147483647.</w:t>
      </w:r>
    </w:p>
    <w:p w:rsidR="005F78FC" w:rsidRDefault="00B42EF3">
      <w:pPr>
        <w:pStyle w:val="Definition-Field"/>
      </w:pPr>
      <w:r>
        <w:t xml:space="preserve">c.   </w:t>
      </w:r>
      <w:r>
        <w:rPr>
          <w:i/>
        </w:rPr>
        <w:t>The standard states that string values of the decimal attribute are expected to be one character in length.</w:t>
      </w:r>
    </w:p>
    <w:p w:rsidR="005F78FC" w:rsidRDefault="00B42EF3">
      <w:pPr>
        <w:pStyle w:val="Definition-Field2"/>
      </w:pPr>
      <w:r>
        <w:t>Office expects string</w:t>
      </w:r>
      <w:r>
        <w:t xml:space="preserve"> values of the decimal attribute to be one character with an ANSI value up to 255.</w:t>
      </w:r>
    </w:p>
    <w:p w:rsidR="005F78FC" w:rsidRDefault="00B42EF3">
      <w:pPr>
        <w:pStyle w:val="Definition-Field"/>
      </w:pPr>
      <w:r>
        <w:lastRenderedPageBreak/>
        <w:t xml:space="preserve">d.   </w:t>
      </w:r>
      <w:r>
        <w:rPr>
          <w:i/>
        </w:rPr>
        <w:t>The standard states that strings values of the thousands attribute are expected to be one character in length.</w:t>
      </w:r>
    </w:p>
    <w:p w:rsidR="005F78FC" w:rsidRDefault="00B42EF3">
      <w:pPr>
        <w:pStyle w:val="Definition-Field2"/>
      </w:pPr>
      <w:r>
        <w:t>Office expects string values of the thousands attribute t</w:t>
      </w:r>
      <w:r>
        <w:t>o be one character with an ANSI value up to 255.</w:t>
      </w:r>
    </w:p>
    <w:p w:rsidR="005F78FC" w:rsidRDefault="00B42EF3">
      <w:pPr>
        <w:pStyle w:val="Definition-Field"/>
      </w:pPr>
      <w:r>
        <w:t xml:space="preserve">e.   </w:t>
      </w:r>
      <w:r>
        <w:rPr>
          <w:i/>
        </w:rPr>
        <w:t>The standard states that the minOccurs value for the textFields child element is 0.</w:t>
      </w:r>
    </w:p>
    <w:p w:rsidR="005F78FC" w:rsidRDefault="00B42EF3">
      <w:pPr>
        <w:pStyle w:val="Definition-Field2"/>
      </w:pPr>
      <w:r>
        <w:t>Excel requires an occurrence of this element.</w:t>
      </w:r>
    </w:p>
    <w:p w:rsidR="005F78FC" w:rsidRDefault="00B42EF3">
      <w:pPr>
        <w:pStyle w:val="Definition-Field"/>
      </w:pPr>
      <w:r>
        <w:t xml:space="preserve">f.   </w:t>
      </w:r>
      <w:r>
        <w:rPr>
          <w:i/>
        </w:rPr>
        <w:t>The standard does not limit the length of the value of the sourceFi</w:t>
      </w:r>
      <w:r>
        <w:rPr>
          <w:i/>
        </w:rPr>
        <w:t>le attribute.</w:t>
      </w:r>
    </w:p>
    <w:p w:rsidR="005F78FC" w:rsidRDefault="00B42EF3">
      <w:pPr>
        <w:pStyle w:val="Definition-Field2"/>
      </w:pPr>
      <w:r>
        <w:t>Excel restricts the value of this attribute to be at least 1 and at most 218 characters.</w:t>
      </w:r>
    </w:p>
    <w:p w:rsidR="005F78FC" w:rsidRDefault="00B42EF3">
      <w:pPr>
        <w:pStyle w:val="Definition-Field"/>
      </w:pPr>
      <w:r>
        <w:t xml:space="preserve">g.   </w:t>
      </w:r>
      <w:r>
        <w:rPr>
          <w:i/>
        </w:rPr>
        <w:t>The standard places no restrictions on the relationship between the prompt attribute and the sourceFile attribute.</w:t>
      </w:r>
    </w:p>
    <w:p w:rsidR="005F78FC" w:rsidRDefault="00B42EF3">
      <w:pPr>
        <w:pStyle w:val="Definition-Field2"/>
      </w:pPr>
      <w:r>
        <w:t>Excel requires the sourceFile att</w:t>
      </w:r>
      <w:r>
        <w:t>ribute when the value of the prompt attribute is false.</w:t>
      </w:r>
    </w:p>
    <w:p w:rsidR="005F78FC" w:rsidRDefault="00B42EF3">
      <w:pPr>
        <w:pStyle w:val="Definition-Field"/>
      </w:pPr>
      <w:r>
        <w:t xml:space="preserve">h.   </w:t>
      </w:r>
      <w:r>
        <w:rPr>
          <w:i/>
        </w:rPr>
        <w:t>The standard states that when both system and text file decimal separator is set to "," and thousands separator to period, 123,123.45 is imported as 123,123.45 (numeric).</w:t>
      </w:r>
    </w:p>
    <w:p w:rsidR="005F78FC" w:rsidRDefault="00B42EF3">
      <w:pPr>
        <w:pStyle w:val="Definition-Field2"/>
      </w:pPr>
      <w:r>
        <w:t>Office imports the value</w:t>
      </w:r>
      <w:r>
        <w:t xml:space="preserve"> as text in this case.</w:t>
      </w:r>
    </w:p>
    <w:p w:rsidR="005F78FC" w:rsidRDefault="00B42EF3">
      <w:pPr>
        <w:pStyle w:val="Definition-Field"/>
      </w:pPr>
      <w:r>
        <w:t xml:space="preserve">i.   </w:t>
      </w:r>
      <w:r>
        <w:rPr>
          <w:i/>
        </w:rPr>
        <w:t>The standard states that the default value of the sourceFile attribute is the empty string.</w:t>
      </w:r>
    </w:p>
    <w:p w:rsidR="005F78FC" w:rsidRDefault="00B42EF3">
      <w:pPr>
        <w:pStyle w:val="Definition-Field2"/>
      </w:pPr>
      <w:r>
        <w:t>Excel does not use a default value for this attribute.</w:t>
      </w:r>
    </w:p>
    <w:p w:rsidR="005F78FC" w:rsidRDefault="00B42EF3">
      <w:pPr>
        <w:pStyle w:val="Definition-Field"/>
      </w:pPr>
      <w:r>
        <w:t xml:space="preserve">j.   </w:t>
      </w:r>
      <w:r>
        <w:rPr>
          <w:i/>
        </w:rPr>
        <w:t>The standard states that characterSet is a valid attribute, and that when it</w:t>
      </w:r>
      <w:r>
        <w:rPr>
          <w:i/>
        </w:rPr>
        <w:t xml:space="preserve"> is present, codePage should be ignored.</w:t>
      </w:r>
    </w:p>
    <w:p w:rsidR="005F78FC" w:rsidRDefault="00B42EF3">
      <w:pPr>
        <w:pStyle w:val="Definition-Field2"/>
      </w:pPr>
      <w:r>
        <w:t>Office ignores the characterSet attribute if it is present, and does not ignore the codePage attribute if characterSet is present.</w:t>
      </w:r>
    </w:p>
    <w:p w:rsidR="005F78FC" w:rsidRDefault="00B42EF3">
      <w:pPr>
        <w:pStyle w:val="Definition-Field2"/>
      </w:pPr>
      <w:r>
        <w:t>This note applies to the following products: Office 2010, Office 2010 Server, Office</w:t>
      </w:r>
      <w:r>
        <w:t xml:space="preserve"> 2010 SP1.</w:t>
      </w:r>
    </w:p>
    <w:p w:rsidR="005F78FC" w:rsidRDefault="00B42EF3">
      <w:pPr>
        <w:pStyle w:val="Heading3"/>
      </w:pPr>
      <w:bookmarkStart w:id="1692" w:name="section_80e7f5389522414bbb21b06f6fa50e8c"/>
      <w:bookmarkStart w:id="1693" w:name="_Toc69878619"/>
      <w:r>
        <w:t>Part 1 Section 18.13.13, webPr (Web Query Properties)</w:t>
      </w:r>
      <w:bookmarkEnd w:id="1692"/>
      <w:bookmarkEnd w:id="1693"/>
      <w:r>
        <w:fldChar w:fldCharType="begin"/>
      </w:r>
      <w:r>
        <w:instrText xml:space="preserve"> XE "webPr (Web Query Properties)" </w:instrText>
      </w:r>
      <w:r>
        <w:fldChar w:fldCharType="end"/>
      </w:r>
    </w:p>
    <w:p w:rsidR="005F78FC" w:rsidRDefault="00B42EF3">
      <w:pPr>
        <w:pStyle w:val="Definition-Field"/>
      </w:pPr>
      <w:r>
        <w:t xml:space="preserve">a.   </w:t>
      </w:r>
      <w:r>
        <w:rPr>
          <w:i/>
        </w:rPr>
        <w:t>The standard describes @sourceData as a flag indicating if XML source data should be imported instead of HTML.</w:t>
      </w:r>
    </w:p>
    <w:p w:rsidR="005F78FC" w:rsidRDefault="00B42EF3">
      <w:pPr>
        <w:pStyle w:val="Definition-Field2"/>
      </w:pPr>
      <w:r>
        <w:t>Office specifies that the XML source s</w:t>
      </w:r>
      <w:r>
        <w:t>hall be from the URL specified by WebQuerySourceHRef in the HTML.</w:t>
      </w:r>
    </w:p>
    <w:p w:rsidR="005F78FC" w:rsidRDefault="00B42EF3">
      <w:pPr>
        <w:pStyle w:val="Definition-Field"/>
      </w:pPr>
      <w:r>
        <w:t xml:space="preserve">b.   </w:t>
      </w:r>
      <w:r>
        <w:rPr>
          <w:i/>
        </w:rPr>
        <w:t>The standard states that @url may be an empty string.</w:t>
      </w:r>
    </w:p>
    <w:p w:rsidR="005F78FC" w:rsidRDefault="00B42EF3">
      <w:pPr>
        <w:pStyle w:val="Definition-Field2"/>
      </w:pPr>
      <w:r>
        <w:t>In Office @url cannot be an empty string, and must have a length less than or equal to 230 characters.</w:t>
      </w:r>
    </w:p>
    <w:p w:rsidR="005F78FC" w:rsidRDefault="00B42EF3">
      <w:pPr>
        <w:pStyle w:val="Definition-Field"/>
      </w:pPr>
      <w:r>
        <w:t xml:space="preserve">c.   </w:t>
      </w:r>
      <w:r>
        <w:rPr>
          <w:i/>
        </w:rPr>
        <w:t xml:space="preserve">The standard does not </w:t>
      </w:r>
      <w:r>
        <w:rPr>
          <w:i/>
        </w:rPr>
        <w:t>state the relationship between the url, xml, and connection@deleted elements.</w:t>
      </w:r>
    </w:p>
    <w:p w:rsidR="005F78FC" w:rsidRDefault="00B42EF3">
      <w:pPr>
        <w:pStyle w:val="Definition-Field2"/>
      </w:pPr>
      <w:r>
        <w:t>In Office, if @xml= true and the @deleted of the parent connection element is false, a non-empty @url shall be specified. If @xml is false, @url shall be specified if the @delete</w:t>
      </w:r>
      <w:r>
        <w:t>d of the parent connection element is false and not specified otherwise.</w:t>
      </w:r>
    </w:p>
    <w:p w:rsidR="005F78FC" w:rsidRDefault="00B42EF3">
      <w:pPr>
        <w:pStyle w:val="Heading3"/>
      </w:pPr>
      <w:bookmarkStart w:id="1694" w:name="section_8c8d962a5d154229a28f2ebf88bdd6fc"/>
      <w:bookmarkStart w:id="1695" w:name="_Toc69878620"/>
      <w:r>
        <w:t>Part 1 Section 18.14.1, cell (External Cell Data)</w:t>
      </w:r>
      <w:bookmarkEnd w:id="1694"/>
      <w:bookmarkEnd w:id="1695"/>
      <w:r>
        <w:fldChar w:fldCharType="begin"/>
      </w:r>
      <w:r>
        <w:instrText xml:space="preserve"> XE "cell (External Cell Data)" </w:instrText>
      </w:r>
      <w:r>
        <w:fldChar w:fldCharType="end"/>
      </w:r>
    </w:p>
    <w:p w:rsidR="005F78FC" w:rsidRDefault="00B42EF3">
      <w:pPr>
        <w:pStyle w:val="Definition-Field"/>
      </w:pPr>
      <w:r>
        <w:t xml:space="preserve">a.   </w:t>
      </w:r>
      <w:r>
        <w:rPr>
          <w:i/>
        </w:rPr>
        <w:t>The standard does not restrict @t having value s, which implies v contains a reference to a sh</w:t>
      </w:r>
      <w:r>
        <w:rPr>
          <w:i/>
        </w:rPr>
        <w:t>ared string table.</w:t>
      </w:r>
    </w:p>
    <w:p w:rsidR="005F78FC" w:rsidRDefault="00B42EF3">
      <w:pPr>
        <w:pStyle w:val="Definition-Field2"/>
      </w:pPr>
      <w:r>
        <w:lastRenderedPageBreak/>
        <w:t>In Office, @t shall not equal s.</w:t>
      </w:r>
    </w:p>
    <w:p w:rsidR="005F78FC" w:rsidRDefault="00B42EF3">
      <w:pPr>
        <w:pStyle w:val="Definition-Field"/>
      </w:pPr>
      <w:r>
        <w:t xml:space="preserve">b.   </w:t>
      </w:r>
      <w:r>
        <w:rPr>
          <w:i/>
        </w:rPr>
        <w:t>The standard does not specify how the index for the vm attribute is used.</w:t>
      </w:r>
    </w:p>
    <w:p w:rsidR="005F78FC" w:rsidRDefault="00B42EF3">
      <w:pPr>
        <w:pStyle w:val="Definition-Field2"/>
      </w:pPr>
      <w:r>
        <w:t xml:space="preserve">In Office, the vm attribute shall be a one-based index into the valueMetadata collection in the metadata part that specifies </w:t>
      </w:r>
      <w:r>
        <w:t>this cell’s value metadata.</w:t>
      </w:r>
    </w:p>
    <w:p w:rsidR="005F78FC" w:rsidRDefault="00B42EF3">
      <w:pPr>
        <w:pStyle w:val="Definition-Field"/>
      </w:pPr>
      <w:r>
        <w:t xml:space="preserve">c.   </w:t>
      </w:r>
      <w:r>
        <w:rPr>
          <w:i/>
        </w:rPr>
        <w:t>For @r, the standard does not restrict cell reference to be within the row of the parent row element.</w:t>
      </w:r>
    </w:p>
    <w:p w:rsidR="005F78FC" w:rsidRDefault="00B42EF3">
      <w:pPr>
        <w:pStyle w:val="Definition-Field2"/>
      </w:pPr>
      <w:r>
        <w:t>For @r, Office requires that cell reference be within the row of the parent row element.</w:t>
      </w:r>
    </w:p>
    <w:p w:rsidR="005F78FC" w:rsidRDefault="00B42EF3">
      <w:pPr>
        <w:pStyle w:val="Definition-Field"/>
      </w:pPr>
      <w:r>
        <w:t xml:space="preserve">d.   </w:t>
      </w:r>
      <w:r>
        <w:rPr>
          <w:i/>
        </w:rPr>
        <w:t>The standard implies that t</w:t>
      </w:r>
      <w:r>
        <w:rPr>
          <w:i/>
        </w:rPr>
        <w:t>he r attribute is optional.</w:t>
      </w:r>
    </w:p>
    <w:p w:rsidR="005F78FC" w:rsidRDefault="00B42EF3">
      <w:pPr>
        <w:pStyle w:val="Definition-Field2"/>
      </w:pPr>
      <w:r>
        <w:t>Excel requires this attribute.</w:t>
      </w:r>
    </w:p>
    <w:p w:rsidR="005F78FC" w:rsidRDefault="00B42EF3">
      <w:pPr>
        <w:pStyle w:val="Heading3"/>
      </w:pPr>
      <w:bookmarkStart w:id="1696" w:name="section_3de0d6c7878a401d996a9620685ac333"/>
      <w:bookmarkStart w:id="1697" w:name="_Toc69878621"/>
      <w:r>
        <w:t>Part 1 Section 18.14.2, ddeItem (DDE Item definition)</w:t>
      </w:r>
      <w:bookmarkEnd w:id="1696"/>
      <w:bookmarkEnd w:id="1697"/>
      <w:r>
        <w:fldChar w:fldCharType="begin"/>
      </w:r>
      <w:r>
        <w:instrText xml:space="preserve"> XE "ddeItem (DDE Item definition)" </w:instrText>
      </w:r>
      <w:r>
        <w:fldChar w:fldCharType="end"/>
      </w:r>
    </w:p>
    <w:p w:rsidR="005F78FC" w:rsidRDefault="00B42EF3">
      <w:pPr>
        <w:pStyle w:val="Definition-Field"/>
      </w:pPr>
      <w:r>
        <w:t xml:space="preserve">a.   </w:t>
      </w:r>
      <w:r>
        <w:rPr>
          <w:i/>
        </w:rPr>
        <w:t>The standard does not specify length restrictions on @name.</w:t>
      </w:r>
    </w:p>
    <w:p w:rsidR="005F78FC" w:rsidRDefault="00B42EF3">
      <w:pPr>
        <w:pStyle w:val="Definition-Field2"/>
      </w:pPr>
      <w:r>
        <w:t>Office restricts @name to not be empty a</w:t>
      </w:r>
      <w:r>
        <w:t>nd have a length less than or equal to 255 characters.</w:t>
      </w:r>
    </w:p>
    <w:p w:rsidR="005F78FC" w:rsidRDefault="00B42EF3">
      <w:pPr>
        <w:pStyle w:val="Definition-Field"/>
      </w:pPr>
      <w:r>
        <w:t xml:space="preserve">b.   </w:t>
      </w:r>
      <w:r>
        <w:rPr>
          <w:i/>
        </w:rPr>
        <w:t>The standard states that the ole attribute indicates that the DDE item uses OLE.</w:t>
      </w:r>
    </w:p>
    <w:p w:rsidR="005F78FC" w:rsidRDefault="00B42EF3">
      <w:pPr>
        <w:pStyle w:val="Definition-Field2"/>
      </w:pPr>
      <w:r>
        <w:t>In Office, the ole attribute specifies that DDE Item is used to provide the name of the data source topic. If set t</w:t>
      </w:r>
      <w:r>
        <w:t>o true, the value of name should be StdDocumentName.</w:t>
      </w:r>
    </w:p>
    <w:p w:rsidR="005F78FC" w:rsidRDefault="00B42EF3">
      <w:pPr>
        <w:pStyle w:val="Heading3"/>
      </w:pPr>
      <w:bookmarkStart w:id="1698" w:name="section_9d35fcee49904fa78953e6a3ea450dd8"/>
      <w:bookmarkStart w:id="1699" w:name="_Toc69878622"/>
      <w:r>
        <w:t>Part 1 Section 18.14.4, ddeLink (DDE Connection)</w:t>
      </w:r>
      <w:bookmarkEnd w:id="1698"/>
      <w:bookmarkEnd w:id="1699"/>
      <w:r>
        <w:fldChar w:fldCharType="begin"/>
      </w:r>
      <w:r>
        <w:instrText xml:space="preserve"> XE "ddeLink (DDE Connection)" </w:instrText>
      </w:r>
      <w:r>
        <w:fldChar w:fldCharType="end"/>
      </w:r>
    </w:p>
    <w:p w:rsidR="005F78FC" w:rsidRDefault="00B42EF3">
      <w:pPr>
        <w:pStyle w:val="Definition-Field"/>
      </w:pPr>
      <w:r>
        <w:t xml:space="preserve">a.   </w:t>
      </w:r>
      <w:r>
        <w:rPr>
          <w:i/>
        </w:rPr>
        <w:t>The standard does not specify length limits on @ddeService.</w:t>
      </w:r>
    </w:p>
    <w:p w:rsidR="005F78FC" w:rsidRDefault="00B42EF3">
      <w:pPr>
        <w:pStyle w:val="Definition-Field2"/>
      </w:pPr>
      <w:r>
        <w:t>Office enforces a minimum of 1 character and a maximum o</w:t>
      </w:r>
      <w:r>
        <w:t>f 255 characters for @ddeService.</w:t>
      </w:r>
    </w:p>
    <w:p w:rsidR="005F78FC" w:rsidRDefault="00B42EF3">
      <w:pPr>
        <w:pStyle w:val="Definition-Field"/>
      </w:pPr>
      <w:r>
        <w:t xml:space="preserve">b.   </w:t>
      </w:r>
      <w:r>
        <w:rPr>
          <w:i/>
        </w:rPr>
        <w:t>The standard does not specify length limits on the ddeTopic attribute.</w:t>
      </w:r>
    </w:p>
    <w:p w:rsidR="005F78FC" w:rsidRDefault="00B42EF3">
      <w:pPr>
        <w:pStyle w:val="Definition-Field2"/>
      </w:pPr>
      <w:r>
        <w:t>Office restricts the ddeTopic attribute to 255 characters.</w:t>
      </w:r>
    </w:p>
    <w:p w:rsidR="005F78FC" w:rsidRDefault="00B42EF3">
      <w:pPr>
        <w:pStyle w:val="Definition-Field"/>
      </w:pPr>
      <w:r>
        <w:t xml:space="preserve">c.   </w:t>
      </w:r>
      <w:r>
        <w:rPr>
          <w:i/>
        </w:rPr>
        <w:t xml:space="preserve">The standard does not place a restriction on the maximum length of the ddeService </w:t>
      </w:r>
      <w:r>
        <w:rPr>
          <w:i/>
        </w:rPr>
        <w:t>attribute concatenated with the ddeTopic attribute.</w:t>
      </w:r>
    </w:p>
    <w:p w:rsidR="005F78FC" w:rsidRDefault="00B42EF3">
      <w:pPr>
        <w:pStyle w:val="Definition-Field2"/>
      </w:pPr>
      <w:r>
        <w:t>Office requires that the combined length of the ddeService and ddeTopic attributes be less than 255.</w:t>
      </w:r>
    </w:p>
    <w:p w:rsidR="005F78FC" w:rsidRDefault="00B42EF3">
      <w:pPr>
        <w:pStyle w:val="Definition-Field"/>
      </w:pPr>
      <w:r>
        <w:t xml:space="preserve">d.   </w:t>
      </w:r>
      <w:r>
        <w:rPr>
          <w:i/>
        </w:rPr>
        <w:t>The standard does not place restrictions on the inclusion of '[' or ']' in the ddeService and ddeT</w:t>
      </w:r>
      <w:r>
        <w:rPr>
          <w:i/>
        </w:rPr>
        <w:t>opic attributes.</w:t>
      </w:r>
    </w:p>
    <w:p w:rsidR="005F78FC" w:rsidRDefault="00B42EF3">
      <w:pPr>
        <w:pStyle w:val="Definition-Field2"/>
      </w:pPr>
      <w:r>
        <w:t>Office requires that the concatenation of the ddeService attribute followed by the ddeTopic attribute contain at most one pair of square brackets ('[' and ']'), and that the opening bracket precede the closing bracket.</w:t>
      </w:r>
    </w:p>
    <w:p w:rsidR="005F78FC" w:rsidRDefault="00B42EF3">
      <w:pPr>
        <w:pStyle w:val="Heading3"/>
      </w:pPr>
      <w:bookmarkStart w:id="1700" w:name="section_74770f15dc8b4cc0bf1a4fbcefdee941"/>
      <w:bookmarkStart w:id="1701" w:name="_Toc69878623"/>
      <w:r>
        <w:t>Part 1 Section 18.14</w:t>
      </w:r>
      <w:r>
        <w:t>.5, definedName (Defined Name)</w:t>
      </w:r>
      <w:bookmarkEnd w:id="1700"/>
      <w:bookmarkEnd w:id="1701"/>
      <w:r>
        <w:fldChar w:fldCharType="begin"/>
      </w:r>
      <w:r>
        <w:instrText xml:space="preserve"> XE "definedName (Defined Name)" </w:instrText>
      </w:r>
      <w:r>
        <w:fldChar w:fldCharType="end"/>
      </w:r>
    </w:p>
    <w:p w:rsidR="005F78FC" w:rsidRDefault="00B42EF3">
      <w:pPr>
        <w:pStyle w:val="Definition-Field"/>
      </w:pPr>
      <w:r>
        <w:t xml:space="preserve">a.   </w:t>
      </w:r>
      <w:r>
        <w:rPr>
          <w:i/>
        </w:rPr>
        <w:t>The standard does not specify the maximum length for @name.</w:t>
      </w:r>
    </w:p>
    <w:p w:rsidR="005F78FC" w:rsidRDefault="00B42EF3">
      <w:pPr>
        <w:pStyle w:val="Definition-Field2"/>
      </w:pPr>
      <w:r>
        <w:t>Office limits the possible values of @name to be defined names as defined in Names ("</w:t>
      </w:r>
      <w:hyperlink r:id="rId139">
        <w:r>
          <w:rPr>
            <w:rStyle w:val="Hyperlink"/>
          </w:rPr>
          <w:t>[ISO/IEC-29500-1]</w:t>
        </w:r>
      </w:hyperlink>
      <w:r>
        <w:t xml:space="preserve"> §18.17.2.5").</w:t>
      </w:r>
    </w:p>
    <w:p w:rsidR="005F78FC" w:rsidRDefault="00B42EF3">
      <w:pPr>
        <w:pStyle w:val="Definition-Field"/>
      </w:pPr>
      <w:r>
        <w:t xml:space="preserve">b.   </w:t>
      </w:r>
      <w:r>
        <w:rPr>
          <w:i/>
        </w:rPr>
        <w:t>In the standard the refersTo attribute uses the ST_Xstring type.</w:t>
      </w:r>
    </w:p>
    <w:p w:rsidR="005F78FC" w:rsidRDefault="00B42EF3">
      <w:pPr>
        <w:pStyle w:val="Definition-Field2"/>
      </w:pPr>
      <w:r>
        <w:lastRenderedPageBreak/>
        <w:t xml:space="preserve">Office requires @referTo to be a valid formula that is restricted to cell references </w:t>
      </w:r>
      <w:r>
        <w:t>within the same external book.</w:t>
      </w:r>
    </w:p>
    <w:p w:rsidR="005F78FC" w:rsidRDefault="00B42EF3">
      <w:pPr>
        <w:pStyle w:val="Definition-Field"/>
      </w:pPr>
      <w:r>
        <w:t xml:space="preserve">c.   </w:t>
      </w:r>
      <w:r>
        <w:rPr>
          <w:i/>
        </w:rPr>
        <w:t>The standard does not specify the range of the sheetId attribute.</w:t>
      </w:r>
    </w:p>
    <w:p w:rsidR="005F78FC" w:rsidRDefault="00B42EF3">
      <w:pPr>
        <w:pStyle w:val="Definition-Field2"/>
      </w:pPr>
      <w:r>
        <w:t>Office restricts the sheetID attribute to a minimum value of greater than or equal to 0 and less than or equal to 65533.</w:t>
      </w:r>
    </w:p>
    <w:p w:rsidR="005F78FC" w:rsidRDefault="00B42EF3">
      <w:pPr>
        <w:pStyle w:val="Heading3"/>
      </w:pPr>
      <w:bookmarkStart w:id="1702" w:name="section_f529ffb15f1f4b838626d53767553c27"/>
      <w:bookmarkStart w:id="1703" w:name="_Toc69878624"/>
      <w:r>
        <w:t>Part 1 Section 18.14.8, externalL</w:t>
      </w:r>
      <w:r>
        <w:t>ink (External Reference)</w:t>
      </w:r>
      <w:bookmarkEnd w:id="1702"/>
      <w:bookmarkEnd w:id="1703"/>
      <w:r>
        <w:fldChar w:fldCharType="begin"/>
      </w:r>
      <w:r>
        <w:instrText xml:space="preserve"> XE "externalLink (External Reference)" </w:instrText>
      </w:r>
      <w:r>
        <w:fldChar w:fldCharType="end"/>
      </w:r>
    </w:p>
    <w:p w:rsidR="005F78FC" w:rsidRDefault="00B42EF3">
      <w:pPr>
        <w:pStyle w:val="Definition-Field"/>
      </w:pPr>
      <w:r>
        <w:t xml:space="preserve">a.   </w:t>
      </w:r>
      <w:r>
        <w:rPr>
          <w:i/>
        </w:rPr>
        <w:t>The standard states that the extLst child element is mutually exclusive with the externalBook, ddeLink, and oleLink child elements.</w:t>
      </w:r>
    </w:p>
    <w:p w:rsidR="005F78FC" w:rsidRDefault="00B42EF3">
      <w:pPr>
        <w:pStyle w:val="Definition-Field2"/>
      </w:pPr>
      <w:r>
        <w:t>Excel allows an extLst child element to follow an ex</w:t>
      </w:r>
      <w:r>
        <w:t>ternalBook, ddeLink, or oleLink child element.</w:t>
      </w:r>
    </w:p>
    <w:p w:rsidR="005F78FC" w:rsidRDefault="00B42EF3">
      <w:pPr>
        <w:pStyle w:val="Definition-Field"/>
      </w:pPr>
      <w:r>
        <w:t xml:space="preserve">b.   </w:t>
      </w:r>
      <w:r>
        <w:rPr>
          <w:i/>
        </w:rPr>
        <w:t>The standard states that externalList element can be empty.</w:t>
      </w:r>
    </w:p>
    <w:p w:rsidR="005F78FC" w:rsidRDefault="00B42EF3">
      <w:pPr>
        <w:pStyle w:val="Definition-Field2"/>
      </w:pPr>
      <w:r>
        <w:t>Excel requires that an externalList element must contain one of externalBook, ddeLink, or oleLink.</w:t>
      </w:r>
    </w:p>
    <w:p w:rsidR="005F78FC" w:rsidRDefault="00B42EF3">
      <w:pPr>
        <w:pStyle w:val="Heading3"/>
      </w:pPr>
      <w:bookmarkStart w:id="1704" w:name="section_e7c6f0e39e194cb3ba0e483ef7d89728"/>
      <w:bookmarkStart w:id="1705" w:name="_Toc69878625"/>
      <w:r>
        <w:t xml:space="preserve">Part 1 Section 18.14.9, oleItem (Object Link </w:t>
      </w:r>
      <w:r>
        <w:t>Item)</w:t>
      </w:r>
      <w:bookmarkEnd w:id="1704"/>
      <w:bookmarkEnd w:id="1705"/>
      <w:r>
        <w:fldChar w:fldCharType="begin"/>
      </w:r>
      <w:r>
        <w:instrText xml:space="preserve"> XE "oleItem (Object Link Item)" </w:instrText>
      </w:r>
      <w:r>
        <w:fldChar w:fldCharType="end"/>
      </w:r>
    </w:p>
    <w:p w:rsidR="005F78FC" w:rsidRDefault="00B42EF3">
      <w:pPr>
        <w:pStyle w:val="Definition-Field"/>
      </w:pPr>
      <w:r>
        <w:t xml:space="preserve">a.   </w:t>
      </w:r>
      <w:r>
        <w:rPr>
          <w:i/>
        </w:rPr>
        <w:t>The standard does not specify the length limit of the name attribute.</w:t>
      </w:r>
    </w:p>
    <w:p w:rsidR="005F78FC" w:rsidRDefault="00B42EF3">
      <w:pPr>
        <w:pStyle w:val="Definition-Field2"/>
      </w:pPr>
      <w:r>
        <w:t>Office limits the name attribute length to between 0 and 255 characters inclusive.</w:t>
      </w:r>
    </w:p>
    <w:p w:rsidR="005F78FC" w:rsidRDefault="00B42EF3">
      <w:pPr>
        <w:pStyle w:val="Definition-Field"/>
      </w:pPr>
      <w:r>
        <w:t xml:space="preserve">b.   </w:t>
      </w:r>
      <w:r>
        <w:rPr>
          <w:i/>
        </w:rPr>
        <w:t>The standard specifies that the value of the name at</w:t>
      </w:r>
      <w:r>
        <w:rPr>
          <w:i/>
        </w:rPr>
        <w:t>tribute is ST_XString.</w:t>
      </w:r>
    </w:p>
    <w:p w:rsidR="005F78FC" w:rsidRDefault="00B42EF3">
      <w:pPr>
        <w:pStyle w:val="Definition-Field2"/>
      </w:pPr>
      <w:r>
        <w:t>Office will not open files with the name attribute length equal to zero.</w:t>
      </w:r>
    </w:p>
    <w:p w:rsidR="005F78FC" w:rsidRDefault="00B42EF3">
      <w:pPr>
        <w:pStyle w:val="Heading3"/>
      </w:pPr>
      <w:bookmarkStart w:id="1706" w:name="section_83cecf06377145969e2c9b70cdd07db9"/>
      <w:bookmarkStart w:id="1707" w:name="_Toc69878626"/>
      <w:r>
        <w:t>Part 1 Section 18.14.11, oleLink (Generic Object Link Connection)</w:t>
      </w:r>
      <w:bookmarkEnd w:id="1706"/>
      <w:bookmarkEnd w:id="1707"/>
      <w:r>
        <w:fldChar w:fldCharType="begin"/>
      </w:r>
      <w:r>
        <w:instrText xml:space="preserve"> XE "oleLink (Generic Object Link Connection)" </w:instrText>
      </w:r>
      <w:r>
        <w:fldChar w:fldCharType="end"/>
      </w:r>
    </w:p>
    <w:p w:rsidR="005F78FC" w:rsidRDefault="00B42EF3">
      <w:pPr>
        <w:pStyle w:val="Definition-Field"/>
      </w:pPr>
      <w:r>
        <w:t xml:space="preserve">a.   </w:t>
      </w:r>
      <w:r>
        <w:rPr>
          <w:i/>
        </w:rPr>
        <w:t>The standard does not specify a limit fo</w:t>
      </w:r>
      <w:r>
        <w:rPr>
          <w:i/>
        </w:rPr>
        <w:t>r the @progId string.</w:t>
      </w:r>
    </w:p>
    <w:p w:rsidR="005F78FC" w:rsidRDefault="00B42EF3">
      <w:pPr>
        <w:pStyle w:val="Definition-Field2"/>
      </w:pPr>
      <w:r>
        <w:t>Office limits the @progId string to a minimum of 1 and a maximum of 255.</w:t>
      </w:r>
    </w:p>
    <w:p w:rsidR="005F78FC" w:rsidRDefault="00B42EF3">
      <w:pPr>
        <w:pStyle w:val="Definition-Field"/>
      </w:pPr>
      <w:r>
        <w:t xml:space="preserve">b.   </w:t>
      </w:r>
      <w:r>
        <w:rPr>
          <w:i/>
        </w:rPr>
        <w:t>The standard indicates that @progId has a maximum length of 255 according to ST_Xstring255.</w:t>
      </w:r>
    </w:p>
    <w:p w:rsidR="005F78FC" w:rsidRDefault="00B42EF3">
      <w:pPr>
        <w:pStyle w:val="Definition-Field2"/>
      </w:pPr>
      <w:r>
        <w:t>In Office, @progId and the referenced target in the correspondin</w:t>
      </w:r>
      <w:r>
        <w:t>g relationships part have a maximum combined length of 254.</w:t>
      </w:r>
    </w:p>
    <w:p w:rsidR="005F78FC" w:rsidRDefault="00B42EF3">
      <w:pPr>
        <w:pStyle w:val="Heading3"/>
      </w:pPr>
      <w:bookmarkStart w:id="1708" w:name="section_29d2ff1c1057491992a959229862218c"/>
      <w:bookmarkStart w:id="1709" w:name="_Toc69878627"/>
      <w:r>
        <w:t>Part 1 Section 18.14.12, row (Row)</w:t>
      </w:r>
      <w:bookmarkEnd w:id="1708"/>
      <w:bookmarkEnd w:id="1709"/>
      <w:r>
        <w:fldChar w:fldCharType="begin"/>
      </w:r>
      <w:r>
        <w:instrText xml:space="preserve"> XE "row (Row)" </w:instrText>
      </w:r>
      <w:r>
        <w:fldChar w:fldCharType="end"/>
      </w:r>
    </w:p>
    <w:p w:rsidR="005F78FC" w:rsidRDefault="00B42EF3">
      <w:pPr>
        <w:pStyle w:val="Definition-Field"/>
      </w:pPr>
      <w:r>
        <w:t xml:space="preserve">a.   </w:t>
      </w:r>
      <w:r>
        <w:rPr>
          <w:i/>
        </w:rPr>
        <w:t>The standard does not place any restrictions on the value for @row.</w:t>
      </w:r>
    </w:p>
    <w:p w:rsidR="005F78FC" w:rsidRDefault="00B42EF3">
      <w:pPr>
        <w:pStyle w:val="Definition-Field2"/>
      </w:pPr>
      <w:r>
        <w:t>Office requires that the value of @row be less than or equal to 104857</w:t>
      </w:r>
      <w:r>
        <w:t>6.</w:t>
      </w:r>
    </w:p>
    <w:p w:rsidR="005F78FC" w:rsidRDefault="00B42EF3">
      <w:pPr>
        <w:pStyle w:val="Heading3"/>
      </w:pPr>
      <w:bookmarkStart w:id="1710" w:name="section_ea6eca83ef44428c8d91968009edc496"/>
      <w:bookmarkStart w:id="1711" w:name="_Toc69878628"/>
      <w:r>
        <w:t>Part 1 Section 18.14.13, sheetData (External Sheet Data Set)</w:t>
      </w:r>
      <w:bookmarkEnd w:id="1710"/>
      <w:bookmarkEnd w:id="1711"/>
      <w:r>
        <w:fldChar w:fldCharType="begin"/>
      </w:r>
      <w:r>
        <w:instrText xml:space="preserve"> XE "sheetData (External Sheet Data Set)" </w:instrText>
      </w:r>
      <w:r>
        <w:fldChar w:fldCharType="end"/>
      </w:r>
    </w:p>
    <w:p w:rsidR="005F78FC" w:rsidRDefault="00B42EF3">
      <w:pPr>
        <w:pStyle w:val="Definition-Field"/>
      </w:pPr>
      <w:r>
        <w:t xml:space="preserve">a.   </w:t>
      </w:r>
      <w:r>
        <w:rPr>
          <w:i/>
        </w:rPr>
        <w:t>The standard states that @sheetId index is an unsigned integer, with no additional restrictions on value, and that it is 1-based.</w:t>
      </w:r>
    </w:p>
    <w:p w:rsidR="005F78FC" w:rsidRDefault="00B42EF3">
      <w:pPr>
        <w:pStyle w:val="Definition-Field2"/>
      </w:pPr>
      <w:r>
        <w:t>Office requir</w:t>
      </w:r>
      <w:r>
        <w:t>es that @sheetId range from 0 through 65533 inclusive.</w:t>
      </w:r>
    </w:p>
    <w:p w:rsidR="005F78FC" w:rsidRDefault="00B42EF3">
      <w:pPr>
        <w:pStyle w:val="Definition-Field"/>
      </w:pPr>
      <w:r>
        <w:t xml:space="preserve">b.   </w:t>
      </w:r>
      <w:r>
        <w:rPr>
          <w:i/>
        </w:rPr>
        <w:t>The standard does not define any order requirements for rows.</w:t>
      </w:r>
    </w:p>
    <w:p w:rsidR="005F78FC" w:rsidRDefault="00B42EF3">
      <w:pPr>
        <w:pStyle w:val="Definition-Field2"/>
      </w:pPr>
      <w:r>
        <w:t>In Office, rows must appear in ascending order.</w:t>
      </w:r>
    </w:p>
    <w:p w:rsidR="005F78FC" w:rsidRDefault="00B42EF3">
      <w:pPr>
        <w:pStyle w:val="Heading3"/>
      </w:pPr>
      <w:bookmarkStart w:id="1712" w:name="section_2f06c253c63240b3b2cc4c7b0fe2bad4"/>
      <w:bookmarkStart w:id="1713" w:name="_Toc69878629"/>
      <w:r>
        <w:lastRenderedPageBreak/>
        <w:t>Part 1 Section 18.14.15, sheetName (Sheet Name)</w:t>
      </w:r>
      <w:bookmarkEnd w:id="1712"/>
      <w:bookmarkEnd w:id="1713"/>
      <w:r>
        <w:fldChar w:fldCharType="begin"/>
      </w:r>
      <w:r>
        <w:instrText xml:space="preserve"> XE "sheetName (Sheet Name)" </w:instrText>
      </w:r>
      <w:r>
        <w:fldChar w:fldCharType="end"/>
      </w:r>
    </w:p>
    <w:p w:rsidR="005F78FC" w:rsidRDefault="00B42EF3">
      <w:pPr>
        <w:pStyle w:val="Definition-Field"/>
      </w:pPr>
      <w:r>
        <w:t xml:space="preserve">a.   </w:t>
      </w:r>
      <w:r>
        <w:rPr>
          <w:i/>
        </w:rPr>
        <w:t>Th</w:t>
      </w:r>
      <w:r>
        <w:rPr>
          <w:i/>
        </w:rPr>
        <w:t>e standard indicates that @val is a string of unbounded length.</w:t>
      </w:r>
    </w:p>
    <w:p w:rsidR="005F78FC" w:rsidRDefault="00B42EF3">
      <w:pPr>
        <w:pStyle w:val="Definition-Field2"/>
      </w:pPr>
      <w:r>
        <w:t>Office generally expects that @val has a maximum length of 31 characters and enforces this limit on load. On save, in some circumstances, up to 252 characters can be saved for @val.</w:t>
      </w:r>
    </w:p>
    <w:p w:rsidR="005F78FC" w:rsidRDefault="00B42EF3">
      <w:pPr>
        <w:pStyle w:val="Heading3"/>
      </w:pPr>
      <w:bookmarkStart w:id="1714" w:name="section_43554bcee58a45b5aa0770029f56dc91"/>
      <w:bookmarkStart w:id="1715" w:name="_Toc69878630"/>
      <w:r>
        <w:t>Part 1 Section 18.14.16, sheetNames (Supporting Workbook Sheet Names)</w:t>
      </w:r>
      <w:bookmarkEnd w:id="1714"/>
      <w:bookmarkEnd w:id="1715"/>
      <w:r>
        <w:fldChar w:fldCharType="begin"/>
      </w:r>
      <w:r>
        <w:instrText xml:space="preserve"> XE "sheetNames (Supporting Workbook Sheet Names)" </w:instrText>
      </w:r>
      <w:r>
        <w:fldChar w:fldCharType="end"/>
      </w:r>
    </w:p>
    <w:p w:rsidR="005F78FC" w:rsidRDefault="00B42EF3">
      <w:pPr>
        <w:pStyle w:val="Definition-Field"/>
      </w:pPr>
      <w:r>
        <w:t xml:space="preserve">a.   </w:t>
      </w:r>
      <w:r>
        <w:rPr>
          <w:i/>
        </w:rPr>
        <w:t>The standard states that the maxOccurs value for the sheetName child element is unbounded.</w:t>
      </w:r>
    </w:p>
    <w:p w:rsidR="005F78FC" w:rsidRDefault="00B42EF3">
      <w:pPr>
        <w:pStyle w:val="Definition-Field2"/>
      </w:pPr>
      <w:r>
        <w:t xml:space="preserve">Excel limits the occurrences of this </w:t>
      </w:r>
      <w:r>
        <w:t>element to 65534.</w:t>
      </w:r>
    </w:p>
    <w:p w:rsidR="005F78FC" w:rsidRDefault="00B42EF3">
      <w:pPr>
        <w:pStyle w:val="Heading3"/>
      </w:pPr>
      <w:bookmarkStart w:id="1716" w:name="section_9d1e79f6ab69441d8397ec6144a6afee"/>
      <w:bookmarkStart w:id="1717" w:name="_Toc69878631"/>
      <w:r>
        <w:t>Part 1 Section 18.14.17, val (DDE Link Value)</w:t>
      </w:r>
      <w:bookmarkEnd w:id="1716"/>
      <w:bookmarkEnd w:id="1717"/>
      <w:r>
        <w:fldChar w:fldCharType="begin"/>
      </w:r>
      <w:r>
        <w:instrText xml:space="preserve"> XE "val (DDE Link Value)" </w:instrText>
      </w:r>
      <w:r>
        <w:fldChar w:fldCharType="end"/>
      </w:r>
    </w:p>
    <w:p w:rsidR="005F78FC" w:rsidRDefault="00B42EF3">
      <w:pPr>
        <w:pStyle w:val="Definition-Field"/>
      </w:pPr>
      <w:r>
        <w:t xml:space="preserve">a.   </w:t>
      </w:r>
      <w:r>
        <w:rPr>
          <w:i/>
        </w:rPr>
        <w:t>The standard does not limit the length of the value of this element.</w:t>
      </w:r>
    </w:p>
    <w:p w:rsidR="005F78FC" w:rsidRDefault="00B42EF3">
      <w:pPr>
        <w:pStyle w:val="Definition-Field2"/>
      </w:pPr>
      <w:r>
        <w:t>Excel restricts the value of this element to be at most 32767 characters.</w:t>
      </w:r>
    </w:p>
    <w:p w:rsidR="005F78FC" w:rsidRDefault="00B42EF3">
      <w:pPr>
        <w:pStyle w:val="Definition-Field"/>
      </w:pPr>
      <w:r>
        <w:t xml:space="preserve">b.   </w:t>
      </w:r>
      <w:r>
        <w:rPr>
          <w:i/>
        </w:rPr>
        <w:t xml:space="preserve">The </w:t>
      </w:r>
      <w:r>
        <w:rPr>
          <w:i/>
        </w:rPr>
        <w:t>standard makes no mention of an xml:space attribute.</w:t>
      </w:r>
    </w:p>
    <w:p w:rsidR="005F78FC" w:rsidRDefault="00B42EF3">
      <w:pPr>
        <w:pStyle w:val="Definition-Field2"/>
      </w:pPr>
      <w:r>
        <w:t>Excel uses this attribute to specify, using the W3C space preservation rules, how white space should be handled for the element's contents; its allowed values are defined by the XML 1.0 specification.</w:t>
      </w:r>
    </w:p>
    <w:p w:rsidR="005F78FC" w:rsidRDefault="00B42EF3">
      <w:pPr>
        <w:pStyle w:val="Heading3"/>
      </w:pPr>
      <w:bookmarkStart w:id="1718" w:name="section_1d927b7d707f410ba9a95ee9d5289132"/>
      <w:bookmarkStart w:id="1719" w:name="_Toc69878632"/>
      <w:r>
        <w:t>Pa</w:t>
      </w:r>
      <w:r>
        <w:t>rt 1 Section 18.14.18, value (Value)</w:t>
      </w:r>
      <w:bookmarkEnd w:id="1718"/>
      <w:bookmarkEnd w:id="1719"/>
      <w:r>
        <w:fldChar w:fldCharType="begin"/>
      </w:r>
      <w:r>
        <w:instrText xml:space="preserve"> XE "value (Value)" </w:instrText>
      </w:r>
      <w:r>
        <w:fldChar w:fldCharType="end"/>
      </w:r>
    </w:p>
    <w:p w:rsidR="005F78FC" w:rsidRDefault="00B42EF3">
      <w:pPr>
        <w:pStyle w:val="Definition-Field"/>
      </w:pPr>
      <w:r>
        <w:t xml:space="preserve">a.   </w:t>
      </w:r>
      <w:r>
        <w:rPr>
          <w:i/>
        </w:rPr>
        <w:t>The standard does not give length restriction for the val element.</w:t>
      </w:r>
    </w:p>
    <w:p w:rsidR="005F78FC" w:rsidRDefault="00B42EF3">
      <w:pPr>
        <w:pStyle w:val="Definition-Field2"/>
      </w:pPr>
      <w:r>
        <w:t>In Office, the val element has a maximum length of 32767 characters.</w:t>
      </w:r>
    </w:p>
    <w:p w:rsidR="005F78FC" w:rsidRDefault="00B42EF3">
      <w:pPr>
        <w:pStyle w:val="Heading3"/>
      </w:pPr>
      <w:bookmarkStart w:id="1720" w:name="section_4869f11e196c409caeb928d64ae3902e"/>
      <w:bookmarkStart w:id="1721" w:name="_Toc69878633"/>
      <w:r>
        <w:t>Part 1 Section 18.14.19, values (DDE Name Values)</w:t>
      </w:r>
      <w:bookmarkEnd w:id="1720"/>
      <w:bookmarkEnd w:id="1721"/>
      <w:r>
        <w:fldChar w:fldCharType="begin"/>
      </w:r>
      <w:r>
        <w:instrText xml:space="preserve"> XE "va</w:instrText>
      </w:r>
      <w:r>
        <w:instrText xml:space="preserve">lues (DDE Name Values)" </w:instrText>
      </w:r>
      <w:r>
        <w:fldChar w:fldCharType="end"/>
      </w:r>
    </w:p>
    <w:p w:rsidR="005F78FC" w:rsidRDefault="00B42EF3">
      <w:pPr>
        <w:pStyle w:val="Definition-Field"/>
      </w:pPr>
      <w:r>
        <w:t xml:space="preserve">a.   </w:t>
      </w:r>
      <w:r>
        <w:rPr>
          <w:i/>
        </w:rPr>
        <w:t>The standard allows the cols attribute to be unbounded.</w:t>
      </w:r>
    </w:p>
    <w:p w:rsidR="005F78FC" w:rsidRDefault="00B42EF3">
      <w:pPr>
        <w:pStyle w:val="Definition-Field2"/>
      </w:pPr>
      <w:r>
        <w:t>Excel limits the value to be in the range 1 to 16384 inclusive.</w:t>
      </w:r>
    </w:p>
    <w:p w:rsidR="005F78FC" w:rsidRDefault="00B42EF3">
      <w:pPr>
        <w:pStyle w:val="Definition-Field"/>
      </w:pPr>
      <w:r>
        <w:t xml:space="preserve">b.   </w:t>
      </w:r>
      <w:r>
        <w:rPr>
          <w:i/>
        </w:rPr>
        <w:t>The standard allows the rows attribute to be unbounded.</w:t>
      </w:r>
    </w:p>
    <w:p w:rsidR="005F78FC" w:rsidRDefault="00B42EF3">
      <w:pPr>
        <w:pStyle w:val="Definition-Field2"/>
      </w:pPr>
      <w:r>
        <w:t>Excel limits the value to be in the range 1</w:t>
      </w:r>
      <w:r>
        <w:t xml:space="preserve"> to 1048576, inclusive.</w:t>
      </w:r>
    </w:p>
    <w:p w:rsidR="005F78FC" w:rsidRDefault="00B42EF3">
      <w:pPr>
        <w:pStyle w:val="Definition-Field"/>
      </w:pPr>
      <w:r>
        <w:t xml:space="preserve">c.   </w:t>
      </w:r>
      <w:r>
        <w:rPr>
          <w:i/>
        </w:rPr>
        <w:t>The standard does not specify the relationship of the value elements to the cols and rows attributes.</w:t>
      </w:r>
    </w:p>
    <w:p w:rsidR="005F78FC" w:rsidRDefault="00B42EF3">
      <w:pPr>
        <w:pStyle w:val="Definition-Field2"/>
      </w:pPr>
      <w:r>
        <w:t>Excel requires that the number of value elements must be equal to rows times cols and that value elements appear in row-major</w:t>
      </w:r>
      <w:r>
        <w:t xml:space="preserve"> order.</w:t>
      </w:r>
    </w:p>
    <w:p w:rsidR="005F78FC" w:rsidRDefault="00B42EF3">
      <w:pPr>
        <w:pStyle w:val="Heading3"/>
      </w:pPr>
      <w:bookmarkStart w:id="1722" w:name="section_e57228cfd6724d27a0b2305886693f3c"/>
      <w:bookmarkStart w:id="1723" w:name="_Toc69878634"/>
      <w:r>
        <w:t>Part 1 Section 18.15.1, main (Main)</w:t>
      </w:r>
      <w:bookmarkEnd w:id="1722"/>
      <w:bookmarkEnd w:id="1723"/>
      <w:r>
        <w:fldChar w:fldCharType="begin"/>
      </w:r>
      <w:r>
        <w:instrText xml:space="preserve"> XE "main (Main)" </w:instrText>
      </w:r>
      <w:r>
        <w:fldChar w:fldCharType="end"/>
      </w:r>
    </w:p>
    <w:p w:rsidR="005F78FC" w:rsidRDefault="00B42EF3">
      <w:pPr>
        <w:pStyle w:val="Definition-Field"/>
      </w:pPr>
      <w:r>
        <w:t xml:space="preserve">a.   </w:t>
      </w:r>
      <w:r>
        <w:rPr>
          <w:i/>
        </w:rPr>
        <w:t>The standard does not limit the length of the value of the first attribute.</w:t>
      </w:r>
    </w:p>
    <w:p w:rsidR="005F78FC" w:rsidRDefault="00B42EF3">
      <w:pPr>
        <w:pStyle w:val="Definition-Field2"/>
      </w:pPr>
      <w:r>
        <w:t>Excel restricts the value of this attribute to be at least 1 and at most 255 characters.</w:t>
      </w:r>
    </w:p>
    <w:p w:rsidR="005F78FC" w:rsidRDefault="00B42EF3">
      <w:pPr>
        <w:pStyle w:val="Heading3"/>
      </w:pPr>
      <w:bookmarkStart w:id="1724" w:name="section_765c41d0db7e4335ab387f38a71277cc"/>
      <w:bookmarkStart w:id="1725" w:name="_Toc69878635"/>
      <w:r>
        <w:t>Part 1 Section 18.15.2</w:t>
      </w:r>
      <w:r>
        <w:t>, stp (Strings in Subtopic)</w:t>
      </w:r>
      <w:bookmarkEnd w:id="1724"/>
      <w:bookmarkEnd w:id="1725"/>
      <w:r>
        <w:fldChar w:fldCharType="begin"/>
      </w:r>
      <w:r>
        <w:instrText xml:space="preserve"> XE "stp (Strings in Subtopic)" </w:instrText>
      </w:r>
      <w:r>
        <w:fldChar w:fldCharType="end"/>
      </w:r>
    </w:p>
    <w:p w:rsidR="005F78FC" w:rsidRDefault="00B42EF3">
      <w:pPr>
        <w:pStyle w:val="Definition-Field"/>
      </w:pPr>
      <w:r>
        <w:t xml:space="preserve">a.   </w:t>
      </w:r>
      <w:r>
        <w:rPr>
          <w:i/>
        </w:rPr>
        <w:t>The standard does not limit the length of the value of this element.</w:t>
      </w:r>
    </w:p>
    <w:p w:rsidR="005F78FC" w:rsidRDefault="00B42EF3">
      <w:pPr>
        <w:pStyle w:val="Definition-Field2"/>
      </w:pPr>
      <w:r>
        <w:lastRenderedPageBreak/>
        <w:t>Excel restricts the value of this element to be at most 255 characters.</w:t>
      </w:r>
    </w:p>
    <w:p w:rsidR="005F78FC" w:rsidRDefault="00B42EF3">
      <w:pPr>
        <w:pStyle w:val="Definition-Field"/>
      </w:pPr>
      <w:r>
        <w:t xml:space="preserve">b.   </w:t>
      </w:r>
      <w:r>
        <w:rPr>
          <w:i/>
        </w:rPr>
        <w:t>The standard describes 1 for stp for cube f</w:t>
      </w:r>
      <w:r>
        <w:rPr>
          <w:i/>
        </w:rPr>
        <w:t>unctions only.</w:t>
      </w:r>
    </w:p>
    <w:p w:rsidR="005F78FC" w:rsidRDefault="00B42EF3">
      <w:pPr>
        <w:pStyle w:val="Definition-Field2"/>
      </w:pPr>
      <w:r>
        <w:t>In Office, a value of 0 for the first stp indicates that not all of the related cells with calling cube functions have been refreshed. For each Cube function, there shall be exactly one stp.</w:t>
      </w:r>
    </w:p>
    <w:p w:rsidR="005F78FC" w:rsidRDefault="00B42EF3">
      <w:pPr>
        <w:pStyle w:val="Definition-Field"/>
      </w:pPr>
      <w:r>
        <w:t xml:space="preserve">c.   </w:t>
      </w:r>
      <w:r>
        <w:rPr>
          <w:i/>
        </w:rPr>
        <w:t>The standard makes no mention of an xml:space</w:t>
      </w:r>
      <w:r>
        <w:rPr>
          <w:i/>
        </w:rPr>
        <w:t xml:space="preserve"> attribute.</w:t>
      </w:r>
    </w:p>
    <w:p w:rsidR="005F78FC" w:rsidRDefault="00B42EF3">
      <w:pPr>
        <w:pStyle w:val="Definition-Field2"/>
      </w:pPr>
      <w:r>
        <w:t>Excel uses this attribute to specify, using the W3C space preservation rules, how white space should be handled for the element's contents; its allowed values are defined by the XML 1.0 specification.</w:t>
      </w:r>
    </w:p>
    <w:p w:rsidR="005F78FC" w:rsidRDefault="00B42EF3">
      <w:pPr>
        <w:pStyle w:val="Definition-Field"/>
      </w:pPr>
      <w:r>
        <w:t xml:space="preserve">d.   </w:t>
      </w:r>
      <w:r>
        <w:rPr>
          <w:i/>
        </w:rPr>
        <w:t>The standard does not describe how stp</w:t>
      </w:r>
      <w:r>
        <w:rPr>
          <w:i/>
        </w:rPr>
        <w:t xml:space="preserve"> relates to the RTD function.</w:t>
      </w:r>
    </w:p>
    <w:p w:rsidR="005F78FC" w:rsidRDefault="00B42EF3">
      <w:pPr>
        <w:pStyle w:val="Definition-Field2"/>
      </w:pPr>
      <w:r>
        <w:t>In Office, for the RTD function, the first stp having a value of "" indicates that the RTP add-in is run on the local machine. Any other value for the stp indicates the server name. All subsequent stps indicate the topics of t</w:t>
      </w:r>
      <w:r>
        <w:t>he RTD function.</w:t>
      </w:r>
    </w:p>
    <w:p w:rsidR="005F78FC" w:rsidRDefault="00B42EF3">
      <w:pPr>
        <w:pStyle w:val="Heading3"/>
      </w:pPr>
      <w:bookmarkStart w:id="1726" w:name="section_35eccf3dab5a4f67ae97655fe026c1aa"/>
      <w:bookmarkStart w:id="1727" w:name="_Toc69878636"/>
      <w:r>
        <w:t>Part 1 Section 18.15.3, tp (Topic)</w:t>
      </w:r>
      <w:bookmarkEnd w:id="1726"/>
      <w:bookmarkEnd w:id="1727"/>
      <w:r>
        <w:fldChar w:fldCharType="begin"/>
      </w:r>
      <w:r>
        <w:instrText xml:space="preserve"> XE "tp (Topic)"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b9d01770b85b4fb2a387f5811719a1af">
        <w:r>
          <w:rPr>
            <w:rStyle w:val="Hyperlink"/>
          </w:rPr>
          <w:t>v, §18.3.1.96(c)</w:t>
        </w:r>
      </w:hyperlink>
      <w:r>
        <w:rPr>
          <w:i/>
        </w:rPr>
        <w:t>.</w:t>
      </w:r>
    </w:p>
    <w:p w:rsidR="005F78FC" w:rsidRDefault="00B42EF3">
      <w:pPr>
        <w:pStyle w:val="Definition-Field"/>
      </w:pPr>
      <w:r>
        <w:t xml:space="preserve">a.   </w:t>
      </w:r>
      <w:r>
        <w:rPr>
          <w:i/>
        </w:rPr>
        <w:t>The stand</w:t>
      </w:r>
      <w:r>
        <w:rPr>
          <w:i/>
        </w:rPr>
        <w:t>ard does not specify a length restriction for the v element.</w:t>
      </w:r>
    </w:p>
    <w:p w:rsidR="005F78FC" w:rsidRDefault="00B42EF3">
      <w:pPr>
        <w:pStyle w:val="Definition-Field2"/>
      </w:pPr>
      <w:r>
        <w:t>In Excel, the v element must not be more than 32767 characters long.</w:t>
      </w:r>
    </w:p>
    <w:p w:rsidR="005F78FC" w:rsidRDefault="00B42EF3">
      <w:pPr>
        <w:pStyle w:val="Heading3"/>
      </w:pPr>
      <w:bookmarkStart w:id="1728" w:name="section_5253fec85698422f9346288d9f67dbd2"/>
      <w:bookmarkStart w:id="1729" w:name="_Toc69878637"/>
      <w:r>
        <w:t>Part 1 Section 18.15.4, tr (References)</w:t>
      </w:r>
      <w:bookmarkEnd w:id="1728"/>
      <w:bookmarkEnd w:id="1729"/>
      <w:r>
        <w:fldChar w:fldCharType="begin"/>
      </w:r>
      <w:r>
        <w:instrText xml:space="preserve"> XE "tr (References)" </w:instrText>
      </w:r>
      <w:r>
        <w:fldChar w:fldCharType="end"/>
      </w:r>
    </w:p>
    <w:p w:rsidR="005F78FC" w:rsidRDefault="00B42EF3">
      <w:pPr>
        <w:pStyle w:val="Definition-Field"/>
      </w:pPr>
      <w:r>
        <w:t xml:space="preserve">a.   </w:t>
      </w:r>
      <w:r>
        <w:rPr>
          <w:i/>
        </w:rPr>
        <w:t>The standard states that the values of the s attribute ar</w:t>
      </w:r>
      <w:r>
        <w:rPr>
          <w:i/>
        </w:rPr>
        <w:t>e defined by the XML Schema unsignedInt datatype.</w:t>
      </w:r>
    </w:p>
    <w:p w:rsidR="005F78FC" w:rsidRDefault="00B42EF3">
      <w:pPr>
        <w:pStyle w:val="Definition-Field2"/>
      </w:pPr>
      <w:r>
        <w:t>Excel restricts the value of this attribute to be at least 1 and at most 65534.</w:t>
      </w:r>
    </w:p>
    <w:p w:rsidR="005F78FC" w:rsidRDefault="00B42EF3">
      <w:pPr>
        <w:pStyle w:val="Heading3"/>
      </w:pPr>
      <w:bookmarkStart w:id="1730" w:name="section_e46452807ae048c0b82ef72096eaca48"/>
      <w:bookmarkStart w:id="1731" w:name="_Toc69878638"/>
      <w:r>
        <w:t>Part 1 Section 18.16.1, DataBinding (XML Mapping)</w:t>
      </w:r>
      <w:bookmarkEnd w:id="1730"/>
      <w:bookmarkEnd w:id="1731"/>
      <w:r>
        <w:fldChar w:fldCharType="begin"/>
      </w:r>
      <w:r>
        <w:instrText xml:space="preserve"> XE "DataBinding (XML Mapping)" </w:instrText>
      </w:r>
      <w:r>
        <w:fldChar w:fldCharType="end"/>
      </w:r>
    </w:p>
    <w:p w:rsidR="005F78FC" w:rsidRDefault="00B42EF3">
      <w:pPr>
        <w:pStyle w:val="Definition-Field"/>
      </w:pPr>
      <w:r>
        <w:t xml:space="preserve">a.   </w:t>
      </w:r>
      <w:r>
        <w:rPr>
          <w:i/>
        </w:rPr>
        <w:t>The standard does not specify a defau</w:t>
      </w:r>
      <w:r>
        <w:rPr>
          <w:i/>
        </w:rPr>
        <w:t>lt value for the FileBinding attribute.</w:t>
      </w:r>
    </w:p>
    <w:p w:rsidR="005F78FC" w:rsidRDefault="00B42EF3">
      <w:pPr>
        <w:pStyle w:val="Definition-Field2"/>
      </w:pPr>
      <w:r>
        <w:t>Excel uses a default value of false for this attribute.</w:t>
      </w:r>
    </w:p>
    <w:p w:rsidR="005F78FC" w:rsidRDefault="00B42EF3">
      <w:pPr>
        <w:pStyle w:val="Definition-Field"/>
      </w:pPr>
      <w:r>
        <w:t xml:space="preserve">b.   </w:t>
      </w:r>
      <w:r>
        <w:rPr>
          <w:i/>
        </w:rPr>
        <w:t>The standard does not say that @ConnectionID is equal to @id in one of collection elements.</w:t>
      </w:r>
    </w:p>
    <w:p w:rsidR="005F78FC" w:rsidRDefault="00B42EF3">
      <w:pPr>
        <w:pStyle w:val="Definition-Field2"/>
      </w:pPr>
      <w:r>
        <w:t xml:space="preserve">In Office, @ConnectionID must be equal to @id in one of </w:t>
      </w:r>
      <w:r>
        <w:t>collection elements.</w:t>
      </w:r>
    </w:p>
    <w:p w:rsidR="005F78FC" w:rsidRDefault="00B42EF3">
      <w:pPr>
        <w:pStyle w:val="Definition-Field"/>
      </w:pPr>
      <w:r>
        <w:t xml:space="preserve">c.   </w:t>
      </w:r>
      <w:r>
        <w:rPr>
          <w:i/>
        </w:rPr>
        <w:t>The standard does not indicate any restrictions for the attribute @ConnectionID.</w:t>
      </w:r>
    </w:p>
    <w:p w:rsidR="005F78FC" w:rsidRDefault="00B42EF3">
      <w:pPr>
        <w:pStyle w:val="Definition-Field2"/>
      </w:pPr>
      <w:r>
        <w:t>In Office, @ConnectionID shall be specified if @FileBinding is true, it shall not be specified if @FileBinding is false.</w:t>
      </w:r>
    </w:p>
    <w:p w:rsidR="005F78FC" w:rsidRDefault="00B42EF3">
      <w:pPr>
        <w:pStyle w:val="Definition-Field"/>
      </w:pPr>
      <w:r>
        <w:t xml:space="preserve">d.   </w:t>
      </w:r>
      <w:r>
        <w:rPr>
          <w:i/>
        </w:rPr>
        <w:t>The standard does not l</w:t>
      </w:r>
      <w:r>
        <w:rPr>
          <w:i/>
        </w:rPr>
        <w:t>imit the length of the value of the DataBindingName attribute.</w:t>
      </w:r>
    </w:p>
    <w:p w:rsidR="005F78FC" w:rsidRDefault="00B42EF3">
      <w:pPr>
        <w:pStyle w:val="Definition-Field2"/>
      </w:pPr>
      <w:r>
        <w:t>Excel restricts the value of this attribute to be at most 65535 characters.</w:t>
      </w:r>
    </w:p>
    <w:p w:rsidR="005F78FC" w:rsidRDefault="00B42EF3">
      <w:pPr>
        <w:pStyle w:val="Definition-Field"/>
      </w:pPr>
      <w:r>
        <w:t xml:space="preserve">e.   </w:t>
      </w:r>
      <w:r>
        <w:rPr>
          <w:i/>
        </w:rPr>
        <w:t>The standard does not limit the length of the value of the FileBindingName attribute.</w:t>
      </w:r>
    </w:p>
    <w:p w:rsidR="005F78FC" w:rsidRDefault="00B42EF3">
      <w:pPr>
        <w:pStyle w:val="Definition-Field2"/>
      </w:pPr>
      <w:r>
        <w:t xml:space="preserve">Excel restricts the value </w:t>
      </w:r>
      <w:r>
        <w:t>of this attribute to be at most 65535 characters.</w:t>
      </w:r>
    </w:p>
    <w:p w:rsidR="005F78FC" w:rsidRDefault="00B42EF3">
      <w:pPr>
        <w:pStyle w:val="Definition-Field"/>
      </w:pPr>
      <w:r>
        <w:t xml:space="preserve">f.   </w:t>
      </w:r>
      <w:r>
        <w:rPr>
          <w:i/>
        </w:rPr>
        <w:t>The standard states that the values of the FileBinding attribute are defined by the XML Schema boolean datatype.</w:t>
      </w:r>
    </w:p>
    <w:p w:rsidR="005F78FC" w:rsidRDefault="00B42EF3">
      <w:pPr>
        <w:pStyle w:val="Definition-Field2"/>
      </w:pPr>
      <w:r>
        <w:lastRenderedPageBreak/>
        <w:t>Excel restricts the value of this attribute to be true or false.</w:t>
      </w:r>
    </w:p>
    <w:p w:rsidR="005F78FC" w:rsidRDefault="00B42EF3">
      <w:pPr>
        <w:pStyle w:val="Definition-Field"/>
      </w:pPr>
      <w:r>
        <w:t xml:space="preserve">g.   </w:t>
      </w:r>
      <w:r>
        <w:rPr>
          <w:i/>
        </w:rPr>
        <w:t>The standard state</w:t>
      </w:r>
      <w:r>
        <w:rPr>
          <w:i/>
        </w:rPr>
        <w:t>s that the values of the ConnectionID attribute are defined by the XML Schema unsignedInt datatype.</w:t>
      </w:r>
    </w:p>
    <w:p w:rsidR="005F78FC" w:rsidRDefault="00B42EF3">
      <w:pPr>
        <w:pStyle w:val="Definition-Field2"/>
      </w:pPr>
      <w:r>
        <w:t>Excel restricts the value of this attribute to be at most 2147483647.</w:t>
      </w:r>
    </w:p>
    <w:p w:rsidR="005F78FC" w:rsidRDefault="00B42EF3">
      <w:pPr>
        <w:pStyle w:val="Definition-Field"/>
      </w:pPr>
      <w:r>
        <w:t xml:space="preserve">h.   </w:t>
      </w:r>
      <w:r>
        <w:rPr>
          <w:i/>
        </w:rPr>
        <w:t>The standard does not specify a minOccurs value for the any element.</w:t>
      </w:r>
    </w:p>
    <w:p w:rsidR="005F78FC" w:rsidRDefault="00B42EF3">
      <w:pPr>
        <w:pStyle w:val="Definition-Field2"/>
      </w:pPr>
      <w:r>
        <w:t>Excel sets t</w:t>
      </w:r>
      <w:r>
        <w:t>his value to be 0.</w:t>
      </w:r>
    </w:p>
    <w:p w:rsidR="005F78FC" w:rsidRDefault="00B42EF3">
      <w:pPr>
        <w:pStyle w:val="Definition-Field"/>
      </w:pPr>
      <w:r>
        <w:t xml:space="preserve">i.   </w:t>
      </w:r>
      <w:r>
        <w:rPr>
          <w:i/>
        </w:rPr>
        <w:t>The standard places no restrictions on the relationship between the FileBindingName attribute and the FileBinding attribute.</w:t>
      </w:r>
    </w:p>
    <w:p w:rsidR="005F78FC" w:rsidRDefault="00B42EF3">
      <w:pPr>
        <w:pStyle w:val="Definition-Field2"/>
      </w:pPr>
      <w:r>
        <w:t>Excel requires that the value of the FileBindingName attribute not be specified if the FileBinding attribut</w:t>
      </w:r>
      <w:r>
        <w:t>e is false.</w:t>
      </w:r>
    </w:p>
    <w:p w:rsidR="005F78FC" w:rsidRDefault="00B42EF3">
      <w:pPr>
        <w:pStyle w:val="Heading3"/>
      </w:pPr>
      <w:bookmarkStart w:id="1732" w:name="section_b99c81f1268a460a96cc4bbbe2ddf7c5"/>
      <w:bookmarkStart w:id="1733" w:name="_Toc69878639"/>
      <w:r>
        <w:t>Part 1 Section 18.16.2, Map (XML Mapping Properties)</w:t>
      </w:r>
      <w:bookmarkEnd w:id="1732"/>
      <w:bookmarkEnd w:id="1733"/>
      <w:r>
        <w:fldChar w:fldCharType="begin"/>
      </w:r>
      <w:r>
        <w:instrText xml:space="preserve"> XE "Map (XML Mapping Properties)" </w:instrText>
      </w:r>
      <w:r>
        <w:fldChar w:fldCharType="end"/>
      </w:r>
    </w:p>
    <w:p w:rsidR="005F78FC" w:rsidRDefault="00B42EF3">
      <w:pPr>
        <w:pStyle w:val="Definition-Field"/>
      </w:pPr>
      <w:r>
        <w:t xml:space="preserve">a.   </w:t>
      </w:r>
      <w:r>
        <w:rPr>
          <w:i/>
        </w:rPr>
        <w:t>The standard indicates that @Append type is xsd:boolean.</w:t>
      </w:r>
    </w:p>
    <w:p w:rsidR="005F78FC" w:rsidRDefault="00B42EF3">
      <w:pPr>
        <w:pStyle w:val="Definition-Field2"/>
      </w:pPr>
      <w:r>
        <w:t>Office requires @Append to be true or false (not 1/0).</w:t>
      </w:r>
    </w:p>
    <w:p w:rsidR="005F78FC" w:rsidRDefault="00B42EF3">
      <w:pPr>
        <w:pStyle w:val="Definition-Field"/>
      </w:pPr>
      <w:r>
        <w:t xml:space="preserve">b.   </w:t>
      </w:r>
      <w:r>
        <w:rPr>
          <w:i/>
        </w:rPr>
        <w:t xml:space="preserve">The standard indicates that </w:t>
      </w:r>
      <w:r>
        <w:rPr>
          <w:i/>
        </w:rPr>
        <w:t>@ShowImportExportValidationErrors type is xsd:boolean.</w:t>
      </w:r>
    </w:p>
    <w:p w:rsidR="005F78FC" w:rsidRDefault="00B42EF3">
      <w:pPr>
        <w:pStyle w:val="Definition-Field2"/>
      </w:pPr>
      <w:r>
        <w:t>Office requires @ShowImportExportValidationErrors to be true or false (not 1/0).</w:t>
      </w:r>
    </w:p>
    <w:p w:rsidR="005F78FC" w:rsidRDefault="00B42EF3">
      <w:pPr>
        <w:pStyle w:val="Definition-Field"/>
      </w:pPr>
      <w:r>
        <w:t xml:space="preserve">c.   </w:t>
      </w:r>
      <w:r>
        <w:rPr>
          <w:i/>
        </w:rPr>
        <w:t>The standard states that the values of the AutoFit attribute are defined by the XML Schema boolean datatype.</w:t>
      </w:r>
    </w:p>
    <w:p w:rsidR="005F78FC" w:rsidRDefault="00B42EF3">
      <w:pPr>
        <w:pStyle w:val="Definition-Field2"/>
      </w:pPr>
      <w:r>
        <w:t xml:space="preserve">Excel </w:t>
      </w:r>
      <w:r>
        <w:t>restricts the value of this attribute to be true or false.</w:t>
      </w:r>
    </w:p>
    <w:p w:rsidR="005F78FC" w:rsidRDefault="00B42EF3">
      <w:pPr>
        <w:pStyle w:val="Definition-Field"/>
      </w:pPr>
      <w:r>
        <w:t xml:space="preserve">d.   </w:t>
      </w:r>
      <w:r>
        <w:rPr>
          <w:i/>
        </w:rPr>
        <w:t>The standard indicates that @PreserveSortAFLayout type is xsd:boolean.</w:t>
      </w:r>
    </w:p>
    <w:p w:rsidR="005F78FC" w:rsidRDefault="00B42EF3">
      <w:pPr>
        <w:pStyle w:val="Definition-Field2"/>
      </w:pPr>
      <w:r>
        <w:t>Office requires @PreserveSortAFLayout to be true or false (not 1/0).</w:t>
      </w:r>
    </w:p>
    <w:p w:rsidR="005F78FC" w:rsidRDefault="00B42EF3">
      <w:pPr>
        <w:pStyle w:val="Definition-Field"/>
      </w:pPr>
      <w:r>
        <w:t xml:space="preserve">e.   </w:t>
      </w:r>
      <w:r>
        <w:rPr>
          <w:i/>
        </w:rPr>
        <w:t>The standard indicates that @PreserveFormat typ</w:t>
      </w:r>
      <w:r>
        <w:rPr>
          <w:i/>
        </w:rPr>
        <w:t>e is xsd:boolean.</w:t>
      </w:r>
    </w:p>
    <w:p w:rsidR="005F78FC" w:rsidRDefault="00B42EF3">
      <w:pPr>
        <w:pStyle w:val="Definition-Field2"/>
      </w:pPr>
      <w:r>
        <w:t>Office requires @PreserveFormat to be true or false (not 1/0).</w:t>
      </w:r>
    </w:p>
    <w:p w:rsidR="005F78FC" w:rsidRDefault="00B42EF3">
      <w:pPr>
        <w:pStyle w:val="Definition-Field"/>
      </w:pPr>
      <w:r>
        <w:t xml:space="preserve">f.   </w:t>
      </w:r>
      <w:r>
        <w:rPr>
          <w:i/>
        </w:rPr>
        <w:t>The standard does not specify a maximum length restriction for the name attribute.</w:t>
      </w:r>
    </w:p>
    <w:p w:rsidR="005F78FC" w:rsidRDefault="00B42EF3">
      <w:pPr>
        <w:pStyle w:val="Definition-Field2"/>
      </w:pPr>
      <w:r>
        <w:t>Office limits the name attribute length to less than 65536 characters.</w:t>
      </w:r>
    </w:p>
    <w:p w:rsidR="005F78FC" w:rsidRDefault="00B42EF3">
      <w:pPr>
        <w:pStyle w:val="Definition-Field"/>
      </w:pPr>
      <w:r>
        <w:t xml:space="preserve">g.   </w:t>
      </w:r>
      <w:r>
        <w:rPr>
          <w:i/>
        </w:rPr>
        <w:t>The standar</w:t>
      </w:r>
      <w:r>
        <w:rPr>
          <w:i/>
        </w:rPr>
        <w:t>d does not specify a maximum length restriction for @RootElement.</w:t>
      </w:r>
    </w:p>
    <w:p w:rsidR="005F78FC" w:rsidRDefault="00B42EF3">
      <w:pPr>
        <w:pStyle w:val="Definition-Field2"/>
      </w:pPr>
      <w:r>
        <w:t>Office limits @RootElement to less than 65536 characters.</w:t>
      </w:r>
    </w:p>
    <w:p w:rsidR="005F78FC" w:rsidRDefault="00B42EF3">
      <w:pPr>
        <w:pStyle w:val="Definition-Field"/>
      </w:pPr>
      <w:r>
        <w:t xml:space="preserve">h.   </w:t>
      </w:r>
      <w:r>
        <w:rPr>
          <w:i/>
        </w:rPr>
        <w:t>The standard does not specify a maximum for @ID.</w:t>
      </w:r>
    </w:p>
    <w:p w:rsidR="005F78FC" w:rsidRDefault="00B42EF3">
      <w:pPr>
        <w:pStyle w:val="Definition-Field2"/>
      </w:pPr>
      <w:r>
        <w:t>Office limits @ID to be less than 2147483648 and greater than 0.</w:t>
      </w:r>
    </w:p>
    <w:p w:rsidR="005F78FC" w:rsidRDefault="00B42EF3">
      <w:pPr>
        <w:pStyle w:val="Heading3"/>
      </w:pPr>
      <w:bookmarkStart w:id="1734" w:name="section_472cffc122ad47cdba49f24a14e565fe"/>
      <w:bookmarkStart w:id="1735" w:name="_Toc69878640"/>
      <w:r>
        <w:t>Part 1 Sectio</w:t>
      </w:r>
      <w:r>
        <w:t>n 18.16.4, Schema (XML Schema)</w:t>
      </w:r>
      <w:bookmarkEnd w:id="1734"/>
      <w:bookmarkEnd w:id="1735"/>
      <w:r>
        <w:fldChar w:fldCharType="begin"/>
      </w:r>
      <w:r>
        <w:instrText xml:space="preserve"> XE "Schema (XML Schema)" </w:instrText>
      </w:r>
      <w:r>
        <w:fldChar w:fldCharType="end"/>
      </w:r>
    </w:p>
    <w:p w:rsidR="005F78FC" w:rsidRDefault="00B42EF3">
      <w:pPr>
        <w:pStyle w:val="Definition-Field"/>
      </w:pPr>
      <w:r>
        <w:t xml:space="preserve">a.   </w:t>
      </w:r>
      <w:r>
        <w:rPr>
          <w:i/>
        </w:rPr>
        <w:t>The standard does not limit the length of the value of the ID attribute.</w:t>
      </w:r>
    </w:p>
    <w:p w:rsidR="005F78FC" w:rsidRDefault="00B42EF3">
      <w:pPr>
        <w:pStyle w:val="Definition-Field2"/>
      </w:pPr>
      <w:r>
        <w:t>Excel restricts the value of this attribute to be at most 65535 characters.</w:t>
      </w:r>
    </w:p>
    <w:p w:rsidR="005F78FC" w:rsidRDefault="00B42EF3">
      <w:pPr>
        <w:pStyle w:val="Definition-Field"/>
      </w:pPr>
      <w:r>
        <w:t xml:space="preserve">b.   </w:t>
      </w:r>
      <w:r>
        <w:rPr>
          <w:i/>
        </w:rPr>
        <w:t>The standard does not limit the length</w:t>
      </w:r>
      <w:r>
        <w:rPr>
          <w:i/>
        </w:rPr>
        <w:t xml:space="preserve"> of the value of the SchemaRef attribute.</w:t>
      </w:r>
    </w:p>
    <w:p w:rsidR="005F78FC" w:rsidRDefault="00B42EF3">
      <w:pPr>
        <w:pStyle w:val="Definition-Field2"/>
      </w:pPr>
      <w:r>
        <w:t>Excel restricts the value of this attribute to be at most 65535 characters.</w:t>
      </w:r>
    </w:p>
    <w:p w:rsidR="005F78FC" w:rsidRDefault="00B42EF3">
      <w:pPr>
        <w:pStyle w:val="Definition-Field"/>
      </w:pPr>
      <w:r>
        <w:lastRenderedPageBreak/>
        <w:t xml:space="preserve">c.   </w:t>
      </w:r>
      <w:r>
        <w:rPr>
          <w:i/>
        </w:rPr>
        <w:t>The standard does not limit the length of the value of the Namespace attribute.</w:t>
      </w:r>
    </w:p>
    <w:p w:rsidR="005F78FC" w:rsidRDefault="00B42EF3">
      <w:pPr>
        <w:pStyle w:val="Definition-Field2"/>
      </w:pPr>
      <w:r>
        <w:t xml:space="preserve">Excel restricts the value of this attribute to be at </w:t>
      </w:r>
      <w:r>
        <w:t>most 65535 characters.</w:t>
      </w:r>
    </w:p>
    <w:p w:rsidR="005F78FC" w:rsidRDefault="00B42EF3">
      <w:pPr>
        <w:pStyle w:val="Definition-Field"/>
      </w:pPr>
      <w:r>
        <w:t xml:space="preserve">d.   </w:t>
      </w:r>
      <w:r>
        <w:rPr>
          <w:i/>
        </w:rPr>
        <w:t>The standard does not specify a minOccurs value for the any element.</w:t>
      </w:r>
    </w:p>
    <w:p w:rsidR="005F78FC" w:rsidRDefault="00B42EF3">
      <w:pPr>
        <w:pStyle w:val="Definition-Field2"/>
      </w:pPr>
      <w:r>
        <w:t>Excel sets this value to be 0.</w:t>
      </w:r>
    </w:p>
    <w:p w:rsidR="005F78FC" w:rsidRDefault="00B42EF3">
      <w:pPr>
        <w:pStyle w:val="Definition-Field"/>
      </w:pPr>
      <w:r>
        <w:t xml:space="preserve">e.   </w:t>
      </w:r>
      <w:r>
        <w:rPr>
          <w:i/>
        </w:rPr>
        <w:t>The standard states that the SchemaLanguage attribute is a valid attribute, and that it specifies the media type of the sch</w:t>
      </w:r>
      <w:r>
        <w:rPr>
          <w:i/>
        </w:rPr>
        <w:t>ema language.</w:t>
      </w:r>
    </w:p>
    <w:p w:rsidR="005F78FC" w:rsidRDefault="00B42EF3">
      <w:pPr>
        <w:pStyle w:val="Definition-Field2"/>
      </w:pPr>
      <w:r>
        <w:t>Office ignores the SchemaLanguage attribute, and assumes that any Custom XML Mappings (as specified in Section 18.16) use XML Schema (media type application/xml).</w:t>
      </w:r>
    </w:p>
    <w:p w:rsidR="005F78FC" w:rsidRDefault="00B42EF3">
      <w:pPr>
        <w:pStyle w:val="Definition-Field"/>
      </w:pPr>
      <w:r>
        <w:t xml:space="preserve">f.   </w:t>
      </w:r>
      <w:r>
        <w:rPr>
          <w:i/>
        </w:rPr>
        <w:t>The standard states that the complex type for the schema element defines i</w:t>
      </w:r>
      <w:r>
        <w:rPr>
          <w:i/>
        </w:rPr>
        <w:t>ts mixed attribute as true.</w:t>
      </w:r>
    </w:p>
    <w:p w:rsidR="005F78FC" w:rsidRDefault="00B42EF3">
      <w:pPr>
        <w:pStyle w:val="Definition-Field2"/>
      </w:pPr>
      <w:r>
        <w:t>Excel ignores the mixed attribute on the schema element.</w:t>
      </w:r>
    </w:p>
    <w:p w:rsidR="005F78FC" w:rsidRDefault="00B42EF3">
      <w:pPr>
        <w:pStyle w:val="Heading3"/>
      </w:pPr>
      <w:bookmarkStart w:id="1736" w:name="section_8a3a109cd76943aca4498526a2ea40dc"/>
      <w:bookmarkStart w:id="1737" w:name="_Toc69878641"/>
      <w:r>
        <w:t>Part 1 Section 18.17, Formulas</w:t>
      </w:r>
      <w:bookmarkEnd w:id="1736"/>
      <w:bookmarkEnd w:id="1737"/>
      <w:r>
        <w:fldChar w:fldCharType="begin"/>
      </w:r>
      <w:r>
        <w:instrText xml:space="preserve"> XE "Formulas" </w:instrText>
      </w:r>
      <w:r>
        <w:fldChar w:fldCharType="end"/>
      </w:r>
    </w:p>
    <w:p w:rsidR="005F78FC" w:rsidRDefault="00B42EF3">
      <w:pPr>
        <w:pStyle w:val="Definition-Field"/>
      </w:pPr>
      <w:r>
        <w:t xml:space="preserve">a.   </w:t>
      </w:r>
      <w:r>
        <w:rPr>
          <w:i/>
        </w:rPr>
        <w:t>The standard does not specify structure references.</w:t>
      </w:r>
    </w:p>
    <w:p w:rsidR="005F78FC" w:rsidRDefault="00B42EF3">
      <w:pPr>
        <w:pStyle w:val="Definition-Field2"/>
      </w:pPr>
      <w:r>
        <w:t>Office has special restrictions on structure references as defined</w:t>
      </w:r>
      <w:r>
        <w:t xml:space="preserve"> in Structure References (</w:t>
      </w:r>
      <w:hyperlink w:anchor="Section_089fbdefed494a149509794c95651b17">
        <w:r>
          <w:rPr>
            <w:rStyle w:val="Hyperlink"/>
          </w:rPr>
          <w:t>§3.2.3.1.1, Structure References</w:t>
        </w:r>
      </w:hyperlink>
      <w:r>
        <w:t>).</w:t>
      </w:r>
    </w:p>
    <w:p w:rsidR="005F78FC" w:rsidRDefault="00B42EF3">
      <w:pPr>
        <w:pStyle w:val="Definition-Field"/>
      </w:pPr>
      <w:r>
        <w:t xml:space="preserve">b.   </w:t>
      </w:r>
      <w:r>
        <w:rPr>
          <w:i/>
        </w:rPr>
        <w:t>The standard does not specify conditional formatting formulas.</w:t>
      </w:r>
    </w:p>
    <w:p w:rsidR="005F78FC" w:rsidRDefault="00B42EF3">
      <w:pPr>
        <w:pStyle w:val="Definition-Field2"/>
      </w:pPr>
      <w:r>
        <w:t>Office has special restrictions on conditional formatting formul</w:t>
      </w:r>
      <w:r>
        <w:t>as as defined in Conditional Formatting Formulas (</w:t>
      </w:r>
      <w:hyperlink w:anchor="Section_ed5fc677a2444bfca1488ac15a6a97db">
        <w:r>
          <w:rPr>
            <w:rStyle w:val="Hyperlink"/>
          </w:rPr>
          <w:t>§3.2.3.1.2, Conditional Formatting Formulas</w:t>
        </w:r>
      </w:hyperlink>
      <w:r>
        <w:t>).</w:t>
      </w:r>
    </w:p>
    <w:p w:rsidR="005F78FC" w:rsidRDefault="00B42EF3">
      <w:pPr>
        <w:pStyle w:val="Definition-Field"/>
      </w:pPr>
      <w:r>
        <w:t xml:space="preserve">c.   </w:t>
      </w:r>
      <w:r>
        <w:rPr>
          <w:i/>
        </w:rPr>
        <w:t>The standard does not specify data validation formulas.</w:t>
      </w:r>
    </w:p>
    <w:p w:rsidR="005F78FC" w:rsidRDefault="00B42EF3">
      <w:pPr>
        <w:pStyle w:val="Definition-Field2"/>
      </w:pPr>
      <w:r>
        <w:t>Office has special restrictions on d</w:t>
      </w:r>
      <w:r>
        <w:t>ata validation formulas as defined in Data Validation Formulas (</w:t>
      </w:r>
      <w:hyperlink w:anchor="Section_26e0ceb25b9342dc838c9e15c1a8cd8b">
        <w:r>
          <w:rPr>
            <w:rStyle w:val="Hyperlink"/>
          </w:rPr>
          <w:t>§3.2.3.1.3, Data Validation Formulas</w:t>
        </w:r>
      </w:hyperlink>
      <w:r>
        <w:t>).</w:t>
      </w:r>
    </w:p>
    <w:p w:rsidR="005F78FC" w:rsidRDefault="00B42EF3">
      <w:pPr>
        <w:pStyle w:val="Definition-Field"/>
      </w:pPr>
      <w:r>
        <w:t xml:space="preserve">d.   </w:t>
      </w:r>
      <w:r>
        <w:rPr>
          <w:i/>
        </w:rPr>
        <w:t>The standard does not specify name formulas.</w:t>
      </w:r>
    </w:p>
    <w:p w:rsidR="005F78FC" w:rsidRDefault="00B42EF3">
      <w:pPr>
        <w:pStyle w:val="Definition-Field2"/>
      </w:pPr>
      <w:r>
        <w:t xml:space="preserve">Office has special restrictions on name </w:t>
      </w:r>
      <w:r>
        <w:t>formulas as defined in Name Formulas (</w:t>
      </w:r>
      <w:hyperlink w:anchor="Section_da7f42ad0083451a98cfb475b578d91d">
        <w:r>
          <w:rPr>
            <w:rStyle w:val="Hyperlink"/>
          </w:rPr>
          <w:t>§3.2.3.1.4, Name Formulas</w:t>
        </w:r>
      </w:hyperlink>
      <w:r>
        <w:t>).</w:t>
      </w:r>
    </w:p>
    <w:p w:rsidR="005F78FC" w:rsidRDefault="00B42EF3">
      <w:pPr>
        <w:pStyle w:val="Definition-Field"/>
      </w:pPr>
      <w:r>
        <w:t xml:space="preserve">e.   </w:t>
      </w:r>
      <w:r>
        <w:rPr>
          <w:i/>
        </w:rPr>
        <w:t>The standard does not specify pivot formulas.</w:t>
      </w:r>
    </w:p>
    <w:p w:rsidR="005F78FC" w:rsidRDefault="00B42EF3">
      <w:pPr>
        <w:pStyle w:val="Definition-Field2"/>
      </w:pPr>
      <w:r>
        <w:t>Office has special restrictions on pivot formulas as defined in Pivot Formul</w:t>
      </w:r>
      <w:r>
        <w:t>as (</w:t>
      </w:r>
      <w:hyperlink w:anchor="Section_b23ed080d4e143a58259332e1bf85d08">
        <w:r>
          <w:rPr>
            <w:rStyle w:val="Hyperlink"/>
          </w:rPr>
          <w:t>§3.2.3.1.8, Pivot Formulas</w:t>
        </w:r>
      </w:hyperlink>
      <w:r>
        <w:t>).</w:t>
      </w:r>
    </w:p>
    <w:p w:rsidR="005F78FC" w:rsidRDefault="00B42EF3">
      <w:pPr>
        <w:pStyle w:val="Definition-Field"/>
      </w:pPr>
      <w:r>
        <w:t xml:space="preserve">f.   </w:t>
      </w:r>
      <w:r>
        <w:rPr>
          <w:i/>
        </w:rPr>
        <w:t>The standard does not specify chart formulas.</w:t>
      </w:r>
    </w:p>
    <w:p w:rsidR="005F78FC" w:rsidRDefault="00B42EF3">
      <w:pPr>
        <w:pStyle w:val="Definition-Field2"/>
      </w:pPr>
      <w:r>
        <w:t>Office has special restrictions on chart formulas as defined in Chart Formulas (</w:t>
      </w:r>
      <w:hyperlink w:anchor="Section_a7f5e690608d4293affbcbe334eb4b62">
        <w:r>
          <w:rPr>
            <w:rStyle w:val="Hyperlink"/>
          </w:rPr>
          <w:t>§3.2.3.1.6, Chart formulas</w:t>
        </w:r>
      </w:hyperlink>
      <w:r>
        <w:t>).</w:t>
      </w:r>
    </w:p>
    <w:p w:rsidR="005F78FC" w:rsidRDefault="00B42EF3">
      <w:pPr>
        <w:pStyle w:val="Definition-Field"/>
      </w:pPr>
      <w:r>
        <w:t xml:space="preserve">g.   </w:t>
      </w:r>
      <w:r>
        <w:rPr>
          <w:i/>
        </w:rPr>
        <w:t>The standard does not specify R1C1 formulas.</w:t>
      </w:r>
    </w:p>
    <w:p w:rsidR="005F78FC" w:rsidRDefault="00B42EF3">
      <w:pPr>
        <w:pStyle w:val="Definition-Field2"/>
      </w:pPr>
      <w:r>
        <w:t>Office has special restrictions on R1C1 formulas as defined in R1C1 Formulas (</w:t>
      </w:r>
      <w:hyperlink w:anchor="Section_85f4d41ff3d649c987c1d570f55b03cb">
        <w:r>
          <w:rPr>
            <w:rStyle w:val="Hyperlink"/>
          </w:rPr>
          <w:t>§3</w:t>
        </w:r>
        <w:r>
          <w:rPr>
            <w:rStyle w:val="Hyperlink"/>
          </w:rPr>
          <w:t>.2.3.1.7, R1C1 formulas</w:t>
        </w:r>
      </w:hyperlink>
      <w:r>
        <w:t>).</w:t>
      </w:r>
    </w:p>
    <w:p w:rsidR="005F78FC" w:rsidRDefault="00B42EF3">
      <w:pPr>
        <w:pStyle w:val="Definition-Field"/>
      </w:pPr>
      <w:r>
        <w:t xml:space="preserve">h.   </w:t>
      </w:r>
      <w:r>
        <w:rPr>
          <w:i/>
        </w:rPr>
        <w:t>The standard does not specify external name formulas.</w:t>
      </w:r>
    </w:p>
    <w:p w:rsidR="005F78FC" w:rsidRDefault="00B42EF3">
      <w:pPr>
        <w:pStyle w:val="Definition-Field2"/>
      </w:pPr>
      <w:r>
        <w:t>Office has special restrictions on external name formulas as defined in External Name Formulas (</w:t>
      </w:r>
      <w:hyperlink w:anchor="Section_8a1616b2936d416fa5dee155de223008">
        <w:r>
          <w:rPr>
            <w:rStyle w:val="Hyperlink"/>
          </w:rPr>
          <w:t xml:space="preserve">§3.2.3.1.5, </w:t>
        </w:r>
        <w:r>
          <w:rPr>
            <w:rStyle w:val="Hyperlink"/>
          </w:rPr>
          <w:t>External Name Formulas</w:t>
        </w:r>
      </w:hyperlink>
      <w:r>
        <w:t>).</w:t>
      </w:r>
    </w:p>
    <w:p w:rsidR="005F78FC" w:rsidRDefault="00B42EF3">
      <w:pPr>
        <w:pStyle w:val="Definition-Field"/>
      </w:pPr>
      <w:r>
        <w:lastRenderedPageBreak/>
        <w:t xml:space="preserve">i.   </w:t>
      </w:r>
      <w:r>
        <w:rPr>
          <w:i/>
        </w:rPr>
        <w:t>The standard does not specify OLE Link formulas.</w:t>
      </w:r>
    </w:p>
    <w:p w:rsidR="005F78FC" w:rsidRDefault="00B42EF3">
      <w:pPr>
        <w:pStyle w:val="Definition-Field2"/>
      </w:pPr>
      <w:r>
        <w:t>Office has special restrictions on OLE Link formulas as defined in OLE Link Formulas (</w:t>
      </w:r>
      <w:hyperlink w:anchor="Section_9892ca2173c94655b488f146c6dd5a94">
        <w:r>
          <w:rPr>
            <w:rStyle w:val="Hyperlink"/>
          </w:rPr>
          <w:t>§3.2.3.1.9, OLE Link Formula</w:t>
        </w:r>
        <w:r>
          <w:rPr>
            <w:rStyle w:val="Hyperlink"/>
          </w:rPr>
          <w:t>s</w:t>
        </w:r>
      </w:hyperlink>
      <w:r>
        <w:t>).</w:t>
      </w:r>
    </w:p>
    <w:p w:rsidR="005F78FC" w:rsidRDefault="00B42EF3">
      <w:pPr>
        <w:pStyle w:val="Heading3"/>
      </w:pPr>
      <w:bookmarkStart w:id="1738" w:name="section_c45b0396bc384fd6abf79782b7d6f926"/>
      <w:bookmarkStart w:id="1739" w:name="_Toc69878642"/>
      <w:r>
        <w:t>Part 1 Section 18.17.2, Syntax</w:t>
      </w:r>
      <w:bookmarkEnd w:id="1738"/>
      <w:bookmarkEnd w:id="1739"/>
      <w:r>
        <w:fldChar w:fldCharType="begin"/>
      </w:r>
      <w:r>
        <w:instrText xml:space="preserve"> XE "Syntax" </w:instrText>
      </w:r>
      <w:r>
        <w:fldChar w:fldCharType="end"/>
      </w:r>
    </w:p>
    <w:p w:rsidR="005F78FC" w:rsidRDefault="00B42EF3">
      <w:pPr>
        <w:pStyle w:val="Definition-Field"/>
      </w:pPr>
      <w:r>
        <w:t xml:space="preserve">a.   </w:t>
      </w:r>
      <w:r>
        <w:rPr>
          <w:i/>
        </w:rPr>
        <w:t>The standard does not specify the EBNF standard used to describe formula.</w:t>
      </w:r>
    </w:p>
    <w:p w:rsidR="005F78FC" w:rsidRDefault="00B42EF3">
      <w:r>
        <w:t>Office defines the syntax rules in this subclause follow the system shown in ISO/IEC 14977: literal text is surrounded by doubl</w:t>
      </w:r>
      <w:r>
        <w:t>e-quotes (or by apostrophes); the left-square-bracket and right-square-bracket designate the start and end of an option; the left-curly-bracket and right-curly-bracket designate the start and end of an sequence of zero-or-more items; the vertical-line indi</w:t>
      </w:r>
      <w:r>
        <w:t>cates an alternative; and each rule ends with a semicolon. Whenever hyphen is used as the exception-symbol (as per ISO/IEC 14977), it is surrounded by white space, and further clarified by a comment.</w:t>
      </w:r>
    </w:p>
    <w:p w:rsidR="005F78FC" w:rsidRDefault="00B42EF3">
      <w:pPr>
        <w:pStyle w:val="Definition-Field"/>
      </w:pPr>
      <w:r>
        <w:t xml:space="preserve">b.   </w:t>
      </w:r>
      <w:r>
        <w:rPr>
          <w:i/>
        </w:rPr>
        <w:t>The standard does not specify the set of production</w:t>
      </w:r>
      <w:r>
        <w:rPr>
          <w:i/>
        </w:rPr>
        <w:t>s for formula using EBNF.</w:t>
      </w:r>
    </w:p>
    <w:p w:rsidR="005F78FC" w:rsidRDefault="00B42EF3">
      <w:r>
        <w:t>Office writes the productions for formula using the following EBNF:</w:t>
      </w:r>
    </w:p>
    <w:p w:rsidR="005F78FC" w:rsidRDefault="00B42EF3">
      <w:pPr>
        <w:pStyle w:val="Code"/>
      </w:pPr>
      <w:r>
        <w:t>formula=</w:t>
      </w:r>
    </w:p>
    <w:p w:rsidR="005F78FC" w:rsidRDefault="00B42EF3">
      <w:pPr>
        <w:pStyle w:val="Code"/>
      </w:pPr>
      <w:r>
        <w:t xml:space="preserve">  expression  ;</w:t>
      </w:r>
    </w:p>
    <w:p w:rsidR="005F78FC" w:rsidRDefault="00B42EF3">
      <w:pPr>
        <w:pStyle w:val="Code"/>
      </w:pPr>
      <w:r>
        <w:t>expression= {space}, nospace-expression, {space};</w:t>
      </w:r>
    </w:p>
    <w:p w:rsidR="005F78FC" w:rsidRDefault="00B42EF3">
      <w:pPr>
        <w:pStyle w:val="Code"/>
      </w:pPr>
      <w:r>
        <w:t>nospace-expression=</w:t>
      </w:r>
    </w:p>
    <w:p w:rsidR="005F78FC" w:rsidRDefault="00B42EF3">
      <w:pPr>
        <w:pStyle w:val="Code"/>
      </w:pPr>
      <w:r>
        <w:t xml:space="preserve">  "(",  expression,  ")"  | </w:t>
      </w:r>
    </w:p>
    <w:p w:rsidR="005F78FC" w:rsidRDefault="00B42EF3">
      <w:pPr>
        <w:pStyle w:val="Code"/>
      </w:pPr>
      <w:r>
        <w:t xml:space="preserve">  constant  | </w:t>
      </w:r>
    </w:p>
    <w:p w:rsidR="005F78FC" w:rsidRDefault="00B42EF3">
      <w:pPr>
        <w:pStyle w:val="Code"/>
      </w:pPr>
      <w:r>
        <w:t xml:space="preserve">  prefix-operator,  expression  | </w:t>
      </w:r>
    </w:p>
    <w:p w:rsidR="005F78FC" w:rsidRDefault="00B42EF3">
      <w:pPr>
        <w:pStyle w:val="Code"/>
      </w:pPr>
      <w:r>
        <w:t xml:space="preserve">  expression,  infix-operator,  expression  | </w:t>
      </w:r>
    </w:p>
    <w:p w:rsidR="005F78FC" w:rsidRDefault="00B42EF3">
      <w:pPr>
        <w:pStyle w:val="Code"/>
      </w:pPr>
      <w:r>
        <w:t xml:space="preserve">  expression,  postfix-operator  | </w:t>
      </w:r>
    </w:p>
    <w:p w:rsidR="005F78FC" w:rsidRDefault="00B42EF3">
      <w:pPr>
        <w:pStyle w:val="Code"/>
      </w:pPr>
      <w:r>
        <w:t xml:space="preserve">  cell-reference  |</w:t>
      </w:r>
    </w:p>
    <w:p w:rsidR="005F78FC" w:rsidRDefault="00B42EF3">
      <w:pPr>
        <w:pStyle w:val="Code"/>
      </w:pPr>
      <w:r>
        <w:t xml:space="preserve">  function-call  | </w:t>
      </w:r>
    </w:p>
    <w:p w:rsidR="005F78FC" w:rsidRDefault="00B42EF3">
      <w:pPr>
        <w:pStyle w:val="Code"/>
      </w:pPr>
      <w:r>
        <w:t xml:space="preserve">  name-reference  |</w:t>
      </w:r>
    </w:p>
    <w:p w:rsidR="005F78FC" w:rsidRDefault="00B42EF3">
      <w:pPr>
        <w:pStyle w:val="Code"/>
      </w:pPr>
      <w:r>
        <w:t>structure-reference ;</w:t>
      </w:r>
    </w:p>
    <w:p w:rsidR="005F78FC" w:rsidRDefault="00B42EF3">
      <w:pPr>
        <w:pStyle w:val="Definition-Field"/>
      </w:pPr>
      <w:r>
        <w:t xml:space="preserve">c.   </w:t>
      </w:r>
      <w:r>
        <w:rPr>
          <w:i/>
        </w:rPr>
        <w:t>The standard does not state that structured referen</w:t>
      </w:r>
      <w:r>
        <w:rPr>
          <w:i/>
        </w:rPr>
        <w:t>cing in formulas is allowed.</w:t>
      </w:r>
    </w:p>
    <w:p w:rsidR="005F78FC" w:rsidRDefault="00B42EF3">
      <w:pPr>
        <w:pStyle w:val="Definition-Field2"/>
      </w:pPr>
      <w:r>
        <w:t>Office allows structured referencing in formulas.</w:t>
      </w:r>
    </w:p>
    <w:p w:rsidR="005F78FC" w:rsidRDefault="00B42EF3">
      <w:pPr>
        <w:pStyle w:val="Definition-Field"/>
      </w:pPr>
      <w:r>
        <w:t xml:space="preserve">d.   </w:t>
      </w:r>
      <w:r>
        <w:rPr>
          <w:i/>
        </w:rPr>
        <w:t>The standard provides a rather loose definition of value space for arithmetic terms in an expression.</w:t>
      </w:r>
    </w:p>
    <w:p w:rsidR="005F78FC" w:rsidRDefault="00B42EF3">
      <w:pPr>
        <w:pStyle w:val="Definition-Field2"/>
      </w:pPr>
      <w:r>
        <w:t>Excel uses IEC 60559's double precision, excluding denormalized number</w:t>
      </w:r>
      <w:r>
        <w:t>s.</w:t>
      </w:r>
    </w:p>
    <w:p w:rsidR="005F78FC" w:rsidRDefault="00B42EF3">
      <w:pPr>
        <w:pStyle w:val="Definition-Field"/>
      </w:pPr>
      <w:r>
        <w:t xml:space="preserve">e.   </w:t>
      </w:r>
      <w:r>
        <w:rPr>
          <w:i/>
        </w:rPr>
        <w:t>The standard does not define how behavior of range values differ between array formulas and normal formulas.</w:t>
      </w:r>
    </w:p>
    <w:p w:rsidR="005F78FC" w:rsidRDefault="00B42EF3">
      <w:r>
        <w:t>In Office, the way in which input ranges are interpreted and output values are understood to relate to cells sharing the formula may mean o</w:t>
      </w:r>
      <w:r>
        <w:t>ne of two things based on whether the formula was an array formula or not.</w:t>
      </w:r>
    </w:p>
    <w:p w:rsidR="005F78FC" w:rsidRDefault="00B42EF3">
      <w:r>
        <w:t xml:space="preserve">For an array-entered formula: All range arguments are interpreted to be their full range. If the result of the formula is an array, the values of the array are meant to be returned </w:t>
      </w:r>
      <w:r>
        <w:t>across all of the cells in the sheet sharing the formula. (When the size of the range for an array formula exceeds in either dimension the size of the returned array, the excess cells take on a value of </w:t>
      </w:r>
      <w:r>
        <w:rPr>
          <w:rStyle w:val="InlineCode"/>
        </w:rPr>
        <w:t>#N/A.</w:t>
      </w:r>
      <w:r>
        <w:t>)</w:t>
      </w:r>
    </w:p>
    <w:p w:rsidR="005F78FC" w:rsidRDefault="00B42EF3">
      <w:r>
        <w:t>For a normal (non-array) formula:</w:t>
      </w:r>
    </w:p>
    <w:p w:rsidR="005F78FC" w:rsidRDefault="00B42EF3">
      <w:pPr>
        <w:pStyle w:val="ListParagraph"/>
        <w:numPr>
          <w:ilvl w:val="0"/>
          <w:numId w:val="70"/>
        </w:numPr>
        <w:contextualSpacing/>
      </w:pPr>
      <w:r>
        <w:t>Implicit int</w:t>
      </w:r>
      <w:r>
        <w:t>ersection is performed on all arguments to functions except for those that allow a range.</w:t>
      </w:r>
    </w:p>
    <w:p w:rsidR="005F78FC" w:rsidRDefault="00B42EF3">
      <w:pPr>
        <w:pStyle w:val="ListParagraph"/>
        <w:numPr>
          <w:ilvl w:val="0"/>
          <w:numId w:val="70"/>
        </w:numPr>
        <w:contextualSpacing/>
      </w:pPr>
      <w:r>
        <w:t>If the formula results in an array, only the first value from the array is returned to the cell.</w:t>
      </w:r>
    </w:p>
    <w:p w:rsidR="005F78FC" w:rsidRDefault="00B42EF3">
      <w:pPr>
        <w:pStyle w:val="ListParagraph"/>
        <w:numPr>
          <w:ilvl w:val="0"/>
          <w:numId w:val="70"/>
        </w:numPr>
      </w:pPr>
      <w:r>
        <w:lastRenderedPageBreak/>
        <w:t>In Office, if implicit intersection cannot be performed, #VALUE! is r</w:t>
      </w:r>
      <w:r>
        <w:t>eturned to the cell.</w:t>
      </w:r>
    </w:p>
    <w:p w:rsidR="005F78FC" w:rsidRDefault="00B42EF3">
      <w:r>
        <w:t>Implicit intersection is determined as follows: When a range is passed to a function which expects only a single cell, a test is made to discover whether the calling cell intersects that range at any point horizontally or vertically. I</w:t>
      </w:r>
      <w:r>
        <w:t>f it does, the cell at the point of intersection is passed to the function. [Example: The formula ABS(B1:B3) is entered into A2. Because the ABS function does not expect a range, implicit intersection is performed. A2 intersects B1:B3 horizontally on row 2</w:t>
      </w:r>
      <w:r>
        <w:t>, and so the value in B2 is passed into the function. end example]</w:t>
      </w:r>
    </w:p>
    <w:p w:rsidR="005F78FC" w:rsidRDefault="00B42EF3">
      <w:pPr>
        <w:pStyle w:val="Definition-Field"/>
      </w:pPr>
      <w:r>
        <w:t xml:space="preserve">f.   </w:t>
      </w:r>
      <w:r>
        <w:rPr>
          <w:i/>
        </w:rPr>
        <w:t>The standard does specify which function's arguments can be a range.</w:t>
      </w:r>
    </w:p>
    <w:p w:rsidR="005F78FC" w:rsidRDefault="00B42EF3">
      <w:r>
        <w:t>Office defines the list of function arguments that allow a range is as follows:</w:t>
      </w:r>
    </w:p>
    <w:p w:rsidR="005F78FC" w:rsidRDefault="00B42EF3">
      <w:pPr>
        <w:pStyle w:val="ListParagraph"/>
        <w:numPr>
          <w:ilvl w:val="0"/>
          <w:numId w:val="71"/>
        </w:numPr>
        <w:contextualSpacing/>
      </w:pPr>
      <w:r>
        <w:t>ACCRINT - all arguments</w:t>
      </w:r>
    </w:p>
    <w:p w:rsidR="005F78FC" w:rsidRDefault="00B42EF3">
      <w:pPr>
        <w:pStyle w:val="ListParagraph"/>
        <w:numPr>
          <w:ilvl w:val="0"/>
          <w:numId w:val="71"/>
        </w:numPr>
        <w:contextualSpacing/>
      </w:pPr>
      <w:r>
        <w:t xml:space="preserve">ACCRINTM - </w:t>
      </w:r>
      <w:r>
        <w:t>all arguments</w:t>
      </w:r>
    </w:p>
    <w:p w:rsidR="005F78FC" w:rsidRDefault="00B42EF3">
      <w:pPr>
        <w:pStyle w:val="ListParagraph"/>
        <w:numPr>
          <w:ilvl w:val="0"/>
          <w:numId w:val="71"/>
        </w:numPr>
        <w:contextualSpacing/>
      </w:pPr>
      <w:r>
        <w:t>AMORDEGRC - all arguments</w:t>
      </w:r>
    </w:p>
    <w:p w:rsidR="005F78FC" w:rsidRDefault="00B42EF3">
      <w:pPr>
        <w:pStyle w:val="ListParagraph"/>
        <w:numPr>
          <w:ilvl w:val="0"/>
          <w:numId w:val="71"/>
        </w:numPr>
        <w:contextualSpacing/>
      </w:pPr>
      <w:r>
        <w:t>AMORLINC - all arguments</w:t>
      </w:r>
    </w:p>
    <w:p w:rsidR="005F78FC" w:rsidRDefault="00B42EF3">
      <w:pPr>
        <w:pStyle w:val="ListParagraph"/>
        <w:numPr>
          <w:ilvl w:val="0"/>
          <w:numId w:val="71"/>
        </w:numPr>
        <w:contextualSpacing/>
      </w:pPr>
      <w:r>
        <w:t>AND - all arguments</w:t>
      </w:r>
    </w:p>
    <w:p w:rsidR="005F78FC" w:rsidRDefault="00B42EF3">
      <w:pPr>
        <w:pStyle w:val="ListParagraph"/>
        <w:numPr>
          <w:ilvl w:val="0"/>
          <w:numId w:val="71"/>
        </w:numPr>
        <w:contextualSpacing/>
      </w:pPr>
      <w:r>
        <w:t>AREAS – reference argument</w:t>
      </w:r>
    </w:p>
    <w:p w:rsidR="005F78FC" w:rsidRDefault="00B42EF3">
      <w:pPr>
        <w:pStyle w:val="ListParagraph"/>
        <w:numPr>
          <w:ilvl w:val="0"/>
          <w:numId w:val="71"/>
        </w:numPr>
        <w:contextualSpacing/>
      </w:pPr>
      <w:r>
        <w:t>AVEDEV - all arguments</w:t>
      </w:r>
    </w:p>
    <w:p w:rsidR="005F78FC" w:rsidRDefault="00B42EF3">
      <w:pPr>
        <w:pStyle w:val="ListParagraph"/>
        <w:numPr>
          <w:ilvl w:val="0"/>
          <w:numId w:val="71"/>
        </w:numPr>
        <w:contextualSpacing/>
      </w:pPr>
      <w:r>
        <w:t>AVERAGE - all arguments</w:t>
      </w:r>
    </w:p>
    <w:p w:rsidR="005F78FC" w:rsidRDefault="00B42EF3">
      <w:pPr>
        <w:pStyle w:val="ListParagraph"/>
        <w:numPr>
          <w:ilvl w:val="0"/>
          <w:numId w:val="71"/>
        </w:numPr>
        <w:contextualSpacing/>
      </w:pPr>
      <w:r>
        <w:t>AVERAGEA - all arguments</w:t>
      </w:r>
    </w:p>
    <w:p w:rsidR="005F78FC" w:rsidRDefault="00B42EF3">
      <w:pPr>
        <w:pStyle w:val="ListParagraph"/>
        <w:numPr>
          <w:ilvl w:val="0"/>
          <w:numId w:val="71"/>
        </w:numPr>
        <w:contextualSpacing/>
      </w:pPr>
      <w:r>
        <w:t>AVERAGEIF - all arguments except for criteria</w:t>
      </w:r>
    </w:p>
    <w:p w:rsidR="005F78FC" w:rsidRDefault="00B42EF3">
      <w:pPr>
        <w:pStyle w:val="ListParagraph"/>
        <w:numPr>
          <w:ilvl w:val="0"/>
          <w:numId w:val="71"/>
        </w:numPr>
        <w:contextualSpacing/>
      </w:pPr>
      <w:r>
        <w:t>AVERAGEIFS - all arguments</w:t>
      </w:r>
      <w:r>
        <w:t xml:space="preserve"> except for criteria1, criteria2, and so on.</w:t>
      </w:r>
    </w:p>
    <w:p w:rsidR="005F78FC" w:rsidRDefault="00B42EF3">
      <w:pPr>
        <w:pStyle w:val="ListParagraph"/>
        <w:numPr>
          <w:ilvl w:val="0"/>
          <w:numId w:val="71"/>
        </w:numPr>
        <w:contextualSpacing/>
      </w:pPr>
      <w:r>
        <w:t>BESSELI - all arguments</w:t>
      </w:r>
    </w:p>
    <w:p w:rsidR="005F78FC" w:rsidRDefault="00B42EF3">
      <w:pPr>
        <w:pStyle w:val="ListParagraph"/>
        <w:numPr>
          <w:ilvl w:val="0"/>
          <w:numId w:val="71"/>
        </w:numPr>
        <w:contextualSpacing/>
      </w:pPr>
      <w:r>
        <w:t>BESSELJ - all arguments</w:t>
      </w:r>
    </w:p>
    <w:p w:rsidR="005F78FC" w:rsidRDefault="00B42EF3">
      <w:pPr>
        <w:pStyle w:val="ListParagraph"/>
        <w:numPr>
          <w:ilvl w:val="0"/>
          <w:numId w:val="71"/>
        </w:numPr>
        <w:contextualSpacing/>
      </w:pPr>
      <w:r>
        <w:t>BESSELK - all arguments</w:t>
      </w:r>
    </w:p>
    <w:p w:rsidR="005F78FC" w:rsidRDefault="00B42EF3">
      <w:pPr>
        <w:pStyle w:val="ListParagraph"/>
        <w:numPr>
          <w:ilvl w:val="0"/>
          <w:numId w:val="71"/>
        </w:numPr>
        <w:contextualSpacing/>
      </w:pPr>
      <w:r>
        <w:t>BESSELY - all arguments</w:t>
      </w:r>
    </w:p>
    <w:p w:rsidR="005F78FC" w:rsidRDefault="00B42EF3">
      <w:pPr>
        <w:pStyle w:val="ListParagraph"/>
        <w:numPr>
          <w:ilvl w:val="0"/>
          <w:numId w:val="71"/>
        </w:numPr>
        <w:contextualSpacing/>
      </w:pPr>
      <w:r>
        <w:t>BIN2DEC - all arguments</w:t>
      </w:r>
    </w:p>
    <w:p w:rsidR="005F78FC" w:rsidRDefault="00B42EF3">
      <w:pPr>
        <w:pStyle w:val="ListParagraph"/>
        <w:numPr>
          <w:ilvl w:val="0"/>
          <w:numId w:val="71"/>
        </w:numPr>
        <w:contextualSpacing/>
      </w:pPr>
      <w:r>
        <w:t>BIN2HEX - all arguments</w:t>
      </w:r>
    </w:p>
    <w:p w:rsidR="005F78FC" w:rsidRDefault="00B42EF3">
      <w:pPr>
        <w:pStyle w:val="ListParagraph"/>
        <w:numPr>
          <w:ilvl w:val="0"/>
          <w:numId w:val="71"/>
        </w:numPr>
        <w:contextualSpacing/>
      </w:pPr>
      <w:r>
        <w:t>BIN2OCT - all arguments</w:t>
      </w:r>
    </w:p>
    <w:p w:rsidR="005F78FC" w:rsidRDefault="00B42EF3">
      <w:pPr>
        <w:pStyle w:val="ListParagraph"/>
        <w:numPr>
          <w:ilvl w:val="0"/>
          <w:numId w:val="71"/>
        </w:numPr>
        <w:contextualSpacing/>
      </w:pPr>
      <w:r>
        <w:t>CHOOSE - all arguments except index</w:t>
      </w:r>
    </w:p>
    <w:p w:rsidR="005F78FC" w:rsidRDefault="00B42EF3">
      <w:pPr>
        <w:pStyle w:val="ListParagraph"/>
        <w:numPr>
          <w:ilvl w:val="0"/>
          <w:numId w:val="71"/>
        </w:numPr>
        <w:contextualSpacing/>
      </w:pPr>
      <w:r>
        <w:t xml:space="preserve">COLUMN </w:t>
      </w:r>
      <w:r>
        <w:t>- all arguments</w:t>
      </w:r>
    </w:p>
    <w:p w:rsidR="005F78FC" w:rsidRDefault="00B42EF3">
      <w:pPr>
        <w:pStyle w:val="ListParagraph"/>
        <w:numPr>
          <w:ilvl w:val="0"/>
          <w:numId w:val="71"/>
        </w:numPr>
        <w:contextualSpacing/>
      </w:pPr>
      <w:r>
        <w:t>COLUMNS - all arguments</w:t>
      </w:r>
    </w:p>
    <w:p w:rsidR="005F78FC" w:rsidRDefault="00B42EF3">
      <w:pPr>
        <w:pStyle w:val="ListParagraph"/>
        <w:numPr>
          <w:ilvl w:val="0"/>
          <w:numId w:val="71"/>
        </w:numPr>
        <w:contextualSpacing/>
      </w:pPr>
      <w:r>
        <w:t>COMPLEX - all arguments</w:t>
      </w:r>
    </w:p>
    <w:p w:rsidR="005F78FC" w:rsidRDefault="00B42EF3">
      <w:pPr>
        <w:pStyle w:val="ListParagraph"/>
        <w:numPr>
          <w:ilvl w:val="0"/>
          <w:numId w:val="71"/>
        </w:numPr>
        <w:contextualSpacing/>
      </w:pPr>
      <w:r>
        <w:t>CONVERT - all arguments</w:t>
      </w:r>
    </w:p>
    <w:p w:rsidR="005F78FC" w:rsidRDefault="00B42EF3">
      <w:pPr>
        <w:pStyle w:val="ListParagraph"/>
        <w:numPr>
          <w:ilvl w:val="0"/>
          <w:numId w:val="71"/>
        </w:numPr>
        <w:contextualSpacing/>
      </w:pPr>
      <w:r>
        <w:t>COUNT - all arguments</w:t>
      </w:r>
    </w:p>
    <w:p w:rsidR="005F78FC" w:rsidRDefault="00B42EF3">
      <w:pPr>
        <w:pStyle w:val="ListParagraph"/>
        <w:numPr>
          <w:ilvl w:val="0"/>
          <w:numId w:val="71"/>
        </w:numPr>
        <w:contextualSpacing/>
      </w:pPr>
      <w:r>
        <w:t>COUNTA - all arguments</w:t>
      </w:r>
    </w:p>
    <w:p w:rsidR="005F78FC" w:rsidRDefault="00B42EF3">
      <w:pPr>
        <w:pStyle w:val="ListParagraph"/>
        <w:numPr>
          <w:ilvl w:val="0"/>
          <w:numId w:val="71"/>
        </w:numPr>
        <w:contextualSpacing/>
      </w:pPr>
      <w:r>
        <w:t>COUNTBLANK - all arguments</w:t>
      </w:r>
    </w:p>
    <w:p w:rsidR="005F78FC" w:rsidRDefault="00B42EF3">
      <w:pPr>
        <w:pStyle w:val="ListParagraph"/>
        <w:numPr>
          <w:ilvl w:val="0"/>
          <w:numId w:val="71"/>
        </w:numPr>
        <w:contextualSpacing/>
      </w:pPr>
      <w:r>
        <w:t>COUNTIF - all arguments except criteria</w:t>
      </w:r>
    </w:p>
    <w:p w:rsidR="005F78FC" w:rsidRDefault="00B42EF3">
      <w:pPr>
        <w:pStyle w:val="ListParagraph"/>
        <w:numPr>
          <w:ilvl w:val="0"/>
          <w:numId w:val="71"/>
        </w:numPr>
        <w:contextualSpacing/>
      </w:pPr>
      <w:r>
        <w:t>COUNTIFS - all arguments except for criteria1, criteria2</w:t>
      </w:r>
      <w:r>
        <w:t>, and so on.</w:t>
      </w:r>
    </w:p>
    <w:p w:rsidR="005F78FC" w:rsidRDefault="00B42EF3">
      <w:pPr>
        <w:pStyle w:val="ListParagraph"/>
        <w:numPr>
          <w:ilvl w:val="0"/>
          <w:numId w:val="71"/>
        </w:numPr>
        <w:contextualSpacing/>
      </w:pPr>
      <w:r>
        <w:t>COUPDAYBS- all arguments</w:t>
      </w:r>
    </w:p>
    <w:p w:rsidR="005F78FC" w:rsidRDefault="00B42EF3">
      <w:pPr>
        <w:pStyle w:val="ListParagraph"/>
        <w:numPr>
          <w:ilvl w:val="0"/>
          <w:numId w:val="71"/>
        </w:numPr>
        <w:contextualSpacing/>
      </w:pPr>
      <w:r>
        <w:t>COUPDAYS - all arguments</w:t>
      </w:r>
    </w:p>
    <w:p w:rsidR="005F78FC" w:rsidRDefault="00B42EF3">
      <w:pPr>
        <w:pStyle w:val="ListParagraph"/>
        <w:numPr>
          <w:ilvl w:val="0"/>
          <w:numId w:val="71"/>
        </w:numPr>
        <w:contextualSpacing/>
      </w:pPr>
      <w:r>
        <w:t>COUPDAYSNC - all arguments</w:t>
      </w:r>
    </w:p>
    <w:p w:rsidR="005F78FC" w:rsidRDefault="00B42EF3">
      <w:pPr>
        <w:pStyle w:val="ListParagraph"/>
        <w:numPr>
          <w:ilvl w:val="0"/>
          <w:numId w:val="71"/>
        </w:numPr>
        <w:contextualSpacing/>
      </w:pPr>
      <w:r>
        <w:t>COUPNCD - all arguments</w:t>
      </w:r>
    </w:p>
    <w:p w:rsidR="005F78FC" w:rsidRDefault="00B42EF3">
      <w:pPr>
        <w:pStyle w:val="ListParagraph"/>
        <w:numPr>
          <w:ilvl w:val="0"/>
          <w:numId w:val="71"/>
        </w:numPr>
        <w:contextualSpacing/>
      </w:pPr>
      <w:r>
        <w:t>COUPNUM - all arguments</w:t>
      </w:r>
    </w:p>
    <w:p w:rsidR="005F78FC" w:rsidRDefault="00B42EF3">
      <w:pPr>
        <w:pStyle w:val="ListParagraph"/>
        <w:numPr>
          <w:ilvl w:val="0"/>
          <w:numId w:val="71"/>
        </w:numPr>
        <w:contextualSpacing/>
      </w:pPr>
      <w:r>
        <w:t>COUPPCD - all arguments</w:t>
      </w:r>
    </w:p>
    <w:p w:rsidR="005F78FC" w:rsidRDefault="00B42EF3">
      <w:pPr>
        <w:pStyle w:val="ListParagraph"/>
        <w:numPr>
          <w:ilvl w:val="0"/>
          <w:numId w:val="71"/>
        </w:numPr>
        <w:contextualSpacing/>
      </w:pPr>
      <w:r>
        <w:t>CUBEMEMBER - member-expression</w:t>
      </w:r>
    </w:p>
    <w:p w:rsidR="005F78FC" w:rsidRDefault="00B42EF3">
      <w:pPr>
        <w:pStyle w:val="ListParagraph"/>
        <w:numPr>
          <w:ilvl w:val="0"/>
          <w:numId w:val="71"/>
        </w:numPr>
        <w:contextualSpacing/>
      </w:pPr>
      <w:r>
        <w:t>CUBESET - set-expression</w:t>
      </w:r>
    </w:p>
    <w:p w:rsidR="005F78FC" w:rsidRDefault="00B42EF3">
      <w:pPr>
        <w:pStyle w:val="ListParagraph"/>
        <w:numPr>
          <w:ilvl w:val="0"/>
          <w:numId w:val="71"/>
        </w:numPr>
        <w:contextualSpacing/>
      </w:pPr>
      <w:r>
        <w:t>CUBEVALUE - all except connection</w:t>
      </w:r>
    </w:p>
    <w:p w:rsidR="005F78FC" w:rsidRDefault="00B42EF3">
      <w:pPr>
        <w:pStyle w:val="ListParagraph"/>
        <w:numPr>
          <w:ilvl w:val="0"/>
          <w:numId w:val="71"/>
        </w:numPr>
        <w:contextualSpacing/>
      </w:pPr>
      <w:r>
        <w:t>CUMIPMT - all arguments</w:t>
      </w:r>
    </w:p>
    <w:p w:rsidR="005F78FC" w:rsidRDefault="00B42EF3">
      <w:pPr>
        <w:pStyle w:val="ListParagraph"/>
        <w:numPr>
          <w:ilvl w:val="0"/>
          <w:numId w:val="71"/>
        </w:numPr>
        <w:contextualSpacing/>
      </w:pPr>
      <w:r>
        <w:t>CUMPRINC - all arguments</w:t>
      </w:r>
    </w:p>
    <w:p w:rsidR="005F78FC" w:rsidRDefault="00B42EF3">
      <w:pPr>
        <w:pStyle w:val="ListParagraph"/>
        <w:numPr>
          <w:ilvl w:val="0"/>
          <w:numId w:val="71"/>
        </w:numPr>
        <w:contextualSpacing/>
      </w:pPr>
      <w:r>
        <w:t>DAVERAGE - all arguments</w:t>
      </w:r>
    </w:p>
    <w:p w:rsidR="005F78FC" w:rsidRDefault="00B42EF3">
      <w:pPr>
        <w:pStyle w:val="ListParagraph"/>
        <w:numPr>
          <w:ilvl w:val="0"/>
          <w:numId w:val="71"/>
        </w:numPr>
        <w:contextualSpacing/>
      </w:pPr>
      <w:r>
        <w:t>DCOUNT - all arguments</w:t>
      </w:r>
    </w:p>
    <w:p w:rsidR="005F78FC" w:rsidRDefault="00B42EF3">
      <w:pPr>
        <w:pStyle w:val="ListParagraph"/>
        <w:numPr>
          <w:ilvl w:val="0"/>
          <w:numId w:val="71"/>
        </w:numPr>
        <w:contextualSpacing/>
      </w:pPr>
      <w:r>
        <w:t>DCOUNTA - all arguments</w:t>
      </w:r>
    </w:p>
    <w:p w:rsidR="005F78FC" w:rsidRDefault="00B42EF3">
      <w:pPr>
        <w:pStyle w:val="ListParagraph"/>
        <w:numPr>
          <w:ilvl w:val="0"/>
          <w:numId w:val="71"/>
        </w:numPr>
        <w:contextualSpacing/>
      </w:pPr>
      <w:r>
        <w:t>DEC2BIN - all arguments</w:t>
      </w:r>
    </w:p>
    <w:p w:rsidR="005F78FC" w:rsidRDefault="00B42EF3">
      <w:pPr>
        <w:pStyle w:val="ListParagraph"/>
        <w:numPr>
          <w:ilvl w:val="0"/>
          <w:numId w:val="71"/>
        </w:numPr>
        <w:contextualSpacing/>
      </w:pPr>
      <w:r>
        <w:t>DEC2HEX - all arguments</w:t>
      </w:r>
    </w:p>
    <w:p w:rsidR="005F78FC" w:rsidRDefault="00B42EF3">
      <w:pPr>
        <w:pStyle w:val="ListParagraph"/>
        <w:numPr>
          <w:ilvl w:val="0"/>
          <w:numId w:val="71"/>
        </w:numPr>
        <w:contextualSpacing/>
      </w:pPr>
      <w:r>
        <w:t>DEC2OCT - all arguments</w:t>
      </w:r>
    </w:p>
    <w:p w:rsidR="005F78FC" w:rsidRDefault="00B42EF3">
      <w:pPr>
        <w:pStyle w:val="ListParagraph"/>
        <w:numPr>
          <w:ilvl w:val="0"/>
          <w:numId w:val="71"/>
        </w:numPr>
        <w:contextualSpacing/>
      </w:pPr>
      <w:r>
        <w:lastRenderedPageBreak/>
        <w:t>DELTA - all arguments</w:t>
      </w:r>
    </w:p>
    <w:p w:rsidR="005F78FC" w:rsidRDefault="00B42EF3">
      <w:pPr>
        <w:pStyle w:val="ListParagraph"/>
        <w:numPr>
          <w:ilvl w:val="0"/>
          <w:numId w:val="71"/>
        </w:numPr>
        <w:contextualSpacing/>
      </w:pPr>
      <w:r>
        <w:t>DEVSQ - all arguments</w:t>
      </w:r>
    </w:p>
    <w:p w:rsidR="005F78FC" w:rsidRDefault="00B42EF3">
      <w:pPr>
        <w:pStyle w:val="ListParagraph"/>
        <w:numPr>
          <w:ilvl w:val="0"/>
          <w:numId w:val="71"/>
        </w:numPr>
        <w:contextualSpacing/>
      </w:pPr>
      <w:r>
        <w:t>DGET - all argument</w:t>
      </w:r>
      <w:r>
        <w:t>s</w:t>
      </w:r>
    </w:p>
    <w:p w:rsidR="005F78FC" w:rsidRDefault="00B42EF3">
      <w:pPr>
        <w:pStyle w:val="ListParagraph"/>
        <w:numPr>
          <w:ilvl w:val="0"/>
          <w:numId w:val="71"/>
        </w:numPr>
        <w:contextualSpacing/>
      </w:pPr>
      <w:r>
        <w:t>DISC - all arguments</w:t>
      </w:r>
    </w:p>
    <w:p w:rsidR="005F78FC" w:rsidRDefault="00B42EF3">
      <w:pPr>
        <w:pStyle w:val="ListParagraph"/>
        <w:numPr>
          <w:ilvl w:val="0"/>
          <w:numId w:val="71"/>
        </w:numPr>
        <w:contextualSpacing/>
      </w:pPr>
      <w:r>
        <w:t>DMAX - all arguments</w:t>
      </w:r>
    </w:p>
    <w:p w:rsidR="005F78FC" w:rsidRDefault="00B42EF3">
      <w:pPr>
        <w:pStyle w:val="ListParagraph"/>
        <w:numPr>
          <w:ilvl w:val="0"/>
          <w:numId w:val="71"/>
        </w:numPr>
        <w:contextualSpacing/>
      </w:pPr>
      <w:r>
        <w:t>DMIN - all arguments</w:t>
      </w:r>
    </w:p>
    <w:p w:rsidR="005F78FC" w:rsidRDefault="00B42EF3">
      <w:pPr>
        <w:pStyle w:val="ListParagraph"/>
        <w:numPr>
          <w:ilvl w:val="0"/>
          <w:numId w:val="71"/>
        </w:numPr>
        <w:contextualSpacing/>
      </w:pPr>
      <w:r>
        <w:t>DOLLARDE - all arguments</w:t>
      </w:r>
    </w:p>
    <w:p w:rsidR="005F78FC" w:rsidRDefault="00B42EF3">
      <w:pPr>
        <w:pStyle w:val="ListParagraph"/>
        <w:numPr>
          <w:ilvl w:val="0"/>
          <w:numId w:val="71"/>
        </w:numPr>
        <w:contextualSpacing/>
      </w:pPr>
      <w:r>
        <w:t>DOLLARFR - all arguments</w:t>
      </w:r>
    </w:p>
    <w:p w:rsidR="005F78FC" w:rsidRDefault="00B42EF3">
      <w:pPr>
        <w:pStyle w:val="ListParagraph"/>
        <w:numPr>
          <w:ilvl w:val="0"/>
          <w:numId w:val="71"/>
        </w:numPr>
        <w:contextualSpacing/>
      </w:pPr>
      <w:r>
        <w:t>DPRODUCT - all arguments</w:t>
      </w:r>
    </w:p>
    <w:p w:rsidR="005F78FC" w:rsidRDefault="00B42EF3">
      <w:pPr>
        <w:pStyle w:val="ListParagraph"/>
        <w:numPr>
          <w:ilvl w:val="0"/>
          <w:numId w:val="71"/>
        </w:numPr>
        <w:contextualSpacing/>
      </w:pPr>
      <w:r>
        <w:t>DSTDEV - all arguments</w:t>
      </w:r>
    </w:p>
    <w:p w:rsidR="005F78FC" w:rsidRDefault="00B42EF3">
      <w:pPr>
        <w:pStyle w:val="ListParagraph"/>
        <w:numPr>
          <w:ilvl w:val="0"/>
          <w:numId w:val="71"/>
        </w:numPr>
        <w:contextualSpacing/>
      </w:pPr>
      <w:r>
        <w:t>DSTDEVP - all arguments</w:t>
      </w:r>
    </w:p>
    <w:p w:rsidR="005F78FC" w:rsidRDefault="00B42EF3">
      <w:pPr>
        <w:pStyle w:val="ListParagraph"/>
        <w:numPr>
          <w:ilvl w:val="0"/>
          <w:numId w:val="71"/>
        </w:numPr>
        <w:contextualSpacing/>
      </w:pPr>
      <w:r>
        <w:t>DSUM - all arguments</w:t>
      </w:r>
    </w:p>
    <w:p w:rsidR="005F78FC" w:rsidRDefault="00B42EF3">
      <w:pPr>
        <w:pStyle w:val="ListParagraph"/>
        <w:numPr>
          <w:ilvl w:val="0"/>
          <w:numId w:val="71"/>
        </w:numPr>
        <w:contextualSpacing/>
      </w:pPr>
      <w:r>
        <w:t>DURATION - all arguments</w:t>
      </w:r>
    </w:p>
    <w:p w:rsidR="005F78FC" w:rsidRDefault="00B42EF3">
      <w:pPr>
        <w:pStyle w:val="ListParagraph"/>
        <w:numPr>
          <w:ilvl w:val="0"/>
          <w:numId w:val="71"/>
        </w:numPr>
        <w:contextualSpacing/>
      </w:pPr>
      <w:r>
        <w:t>DVAR - all arguments</w:t>
      </w:r>
    </w:p>
    <w:p w:rsidR="005F78FC" w:rsidRDefault="00B42EF3">
      <w:pPr>
        <w:pStyle w:val="ListParagraph"/>
        <w:numPr>
          <w:ilvl w:val="0"/>
          <w:numId w:val="71"/>
        </w:numPr>
        <w:contextualSpacing/>
      </w:pPr>
      <w:r>
        <w:t>DVARP - all arguments</w:t>
      </w:r>
    </w:p>
    <w:p w:rsidR="005F78FC" w:rsidRDefault="00B42EF3">
      <w:pPr>
        <w:pStyle w:val="ListParagraph"/>
        <w:numPr>
          <w:ilvl w:val="0"/>
          <w:numId w:val="71"/>
        </w:numPr>
        <w:contextualSpacing/>
      </w:pPr>
      <w:r>
        <w:t>EDATE - all arguments</w:t>
      </w:r>
    </w:p>
    <w:p w:rsidR="005F78FC" w:rsidRDefault="00B42EF3">
      <w:pPr>
        <w:pStyle w:val="ListParagraph"/>
        <w:numPr>
          <w:ilvl w:val="0"/>
          <w:numId w:val="71"/>
        </w:numPr>
        <w:contextualSpacing/>
      </w:pPr>
      <w:r>
        <w:t>EFFECT - all arguments</w:t>
      </w:r>
    </w:p>
    <w:p w:rsidR="005F78FC" w:rsidRDefault="00B42EF3">
      <w:pPr>
        <w:pStyle w:val="ListParagraph"/>
        <w:numPr>
          <w:ilvl w:val="0"/>
          <w:numId w:val="71"/>
        </w:numPr>
        <w:contextualSpacing/>
      </w:pPr>
      <w:r>
        <w:t>EOMONTH - all arguments</w:t>
      </w:r>
    </w:p>
    <w:p w:rsidR="005F78FC" w:rsidRDefault="00B42EF3">
      <w:pPr>
        <w:pStyle w:val="ListParagraph"/>
        <w:numPr>
          <w:ilvl w:val="0"/>
          <w:numId w:val="71"/>
        </w:numPr>
        <w:contextualSpacing/>
      </w:pPr>
      <w:r>
        <w:t>ERF - all arguments</w:t>
      </w:r>
    </w:p>
    <w:p w:rsidR="005F78FC" w:rsidRDefault="00B42EF3">
      <w:pPr>
        <w:pStyle w:val="ListParagraph"/>
        <w:numPr>
          <w:ilvl w:val="0"/>
          <w:numId w:val="71"/>
        </w:numPr>
        <w:contextualSpacing/>
      </w:pPr>
      <w:r>
        <w:t>ERFC - all arguments</w:t>
      </w:r>
    </w:p>
    <w:p w:rsidR="005F78FC" w:rsidRDefault="00B42EF3">
      <w:pPr>
        <w:pStyle w:val="ListParagraph"/>
        <w:numPr>
          <w:ilvl w:val="0"/>
          <w:numId w:val="71"/>
        </w:numPr>
        <w:contextualSpacing/>
      </w:pPr>
      <w:r>
        <w:t>FACTDOUBLE - all arguments</w:t>
      </w:r>
    </w:p>
    <w:p w:rsidR="005F78FC" w:rsidRDefault="00B42EF3">
      <w:pPr>
        <w:pStyle w:val="ListParagraph"/>
        <w:numPr>
          <w:ilvl w:val="0"/>
          <w:numId w:val="71"/>
        </w:numPr>
        <w:contextualSpacing/>
      </w:pPr>
      <w:r>
        <w:t>FREQUENCY - all arguments</w:t>
      </w:r>
    </w:p>
    <w:p w:rsidR="005F78FC" w:rsidRDefault="00B42EF3">
      <w:pPr>
        <w:pStyle w:val="ListParagraph"/>
        <w:numPr>
          <w:ilvl w:val="0"/>
          <w:numId w:val="71"/>
        </w:numPr>
        <w:contextualSpacing/>
      </w:pPr>
      <w:r>
        <w:t>FVSCHEDULE - schedule argument</w:t>
      </w:r>
    </w:p>
    <w:p w:rsidR="005F78FC" w:rsidRDefault="00B42EF3">
      <w:pPr>
        <w:pStyle w:val="ListParagraph"/>
        <w:numPr>
          <w:ilvl w:val="0"/>
          <w:numId w:val="71"/>
        </w:numPr>
        <w:contextualSpacing/>
      </w:pPr>
      <w:r>
        <w:t>GCD - all arguments</w:t>
      </w:r>
    </w:p>
    <w:p w:rsidR="005F78FC" w:rsidRDefault="00B42EF3">
      <w:pPr>
        <w:pStyle w:val="ListParagraph"/>
        <w:numPr>
          <w:ilvl w:val="0"/>
          <w:numId w:val="71"/>
        </w:numPr>
        <w:contextualSpacing/>
      </w:pPr>
      <w:r>
        <w:t>GEOMEAN - all argume</w:t>
      </w:r>
      <w:r>
        <w:t>nts</w:t>
      </w:r>
    </w:p>
    <w:p w:rsidR="005F78FC" w:rsidRDefault="00B42EF3">
      <w:pPr>
        <w:pStyle w:val="ListParagraph"/>
        <w:numPr>
          <w:ilvl w:val="0"/>
          <w:numId w:val="71"/>
        </w:numPr>
        <w:contextualSpacing/>
      </w:pPr>
      <w:r>
        <w:t>GESTEP - all arguments</w:t>
      </w:r>
    </w:p>
    <w:p w:rsidR="005F78FC" w:rsidRDefault="00B42EF3">
      <w:pPr>
        <w:pStyle w:val="ListParagraph"/>
        <w:numPr>
          <w:ilvl w:val="0"/>
          <w:numId w:val="71"/>
        </w:numPr>
        <w:contextualSpacing/>
      </w:pPr>
      <w:r>
        <w:t>GETPIVOTDATA - data-field, pivot-table, field-1, and item-1 arguments</w:t>
      </w:r>
    </w:p>
    <w:p w:rsidR="005F78FC" w:rsidRDefault="00B42EF3">
      <w:pPr>
        <w:pStyle w:val="ListParagraph"/>
        <w:numPr>
          <w:ilvl w:val="0"/>
          <w:numId w:val="71"/>
        </w:numPr>
        <w:contextualSpacing/>
      </w:pPr>
      <w:r>
        <w:t>GROWTH - all arguments</w:t>
      </w:r>
    </w:p>
    <w:p w:rsidR="005F78FC" w:rsidRDefault="00B42EF3">
      <w:pPr>
        <w:pStyle w:val="ListParagraph"/>
        <w:numPr>
          <w:ilvl w:val="0"/>
          <w:numId w:val="71"/>
        </w:numPr>
        <w:contextualSpacing/>
      </w:pPr>
      <w:r>
        <w:t>HARMEAN - all arguments</w:t>
      </w:r>
    </w:p>
    <w:p w:rsidR="005F78FC" w:rsidRDefault="00B42EF3">
      <w:pPr>
        <w:pStyle w:val="ListParagraph"/>
        <w:numPr>
          <w:ilvl w:val="0"/>
          <w:numId w:val="71"/>
        </w:numPr>
        <w:contextualSpacing/>
      </w:pPr>
      <w:r>
        <w:t>HEX2BIN - all arguments</w:t>
      </w:r>
    </w:p>
    <w:p w:rsidR="005F78FC" w:rsidRDefault="00B42EF3">
      <w:pPr>
        <w:pStyle w:val="ListParagraph"/>
        <w:numPr>
          <w:ilvl w:val="0"/>
          <w:numId w:val="71"/>
        </w:numPr>
        <w:contextualSpacing/>
      </w:pPr>
      <w:r>
        <w:t>HEX2DEC - all arguments</w:t>
      </w:r>
    </w:p>
    <w:p w:rsidR="005F78FC" w:rsidRDefault="00B42EF3">
      <w:pPr>
        <w:pStyle w:val="ListParagraph"/>
        <w:numPr>
          <w:ilvl w:val="0"/>
          <w:numId w:val="71"/>
        </w:numPr>
        <w:contextualSpacing/>
      </w:pPr>
      <w:r>
        <w:t>HEX2OCT - all arguments</w:t>
      </w:r>
    </w:p>
    <w:p w:rsidR="005F78FC" w:rsidRDefault="00B42EF3">
      <w:pPr>
        <w:pStyle w:val="ListParagraph"/>
        <w:numPr>
          <w:ilvl w:val="0"/>
          <w:numId w:val="71"/>
        </w:numPr>
        <w:contextualSpacing/>
      </w:pPr>
      <w:r>
        <w:t>HLOOKUP - all arguments</w:t>
      </w:r>
    </w:p>
    <w:p w:rsidR="005F78FC" w:rsidRDefault="00B42EF3">
      <w:pPr>
        <w:pStyle w:val="ListParagraph"/>
        <w:numPr>
          <w:ilvl w:val="0"/>
          <w:numId w:val="71"/>
        </w:numPr>
        <w:contextualSpacing/>
      </w:pPr>
      <w:r>
        <w:t>IFERROR - value-</w:t>
      </w:r>
      <w:r>
        <w:t>if-error argument</w:t>
      </w:r>
    </w:p>
    <w:p w:rsidR="005F78FC" w:rsidRDefault="00B42EF3">
      <w:pPr>
        <w:pStyle w:val="ListParagraph"/>
        <w:numPr>
          <w:ilvl w:val="0"/>
          <w:numId w:val="71"/>
        </w:numPr>
        <w:contextualSpacing/>
      </w:pPr>
      <w:r>
        <w:t>IMABS - all arguments</w:t>
      </w:r>
    </w:p>
    <w:p w:rsidR="005F78FC" w:rsidRDefault="00B42EF3">
      <w:pPr>
        <w:pStyle w:val="ListParagraph"/>
        <w:numPr>
          <w:ilvl w:val="0"/>
          <w:numId w:val="71"/>
        </w:numPr>
        <w:contextualSpacing/>
      </w:pPr>
      <w:r>
        <w:t>IMAGINARY - all arguments</w:t>
      </w:r>
    </w:p>
    <w:p w:rsidR="005F78FC" w:rsidRDefault="00B42EF3">
      <w:pPr>
        <w:pStyle w:val="ListParagraph"/>
        <w:numPr>
          <w:ilvl w:val="0"/>
          <w:numId w:val="71"/>
        </w:numPr>
        <w:contextualSpacing/>
      </w:pPr>
      <w:r>
        <w:t>IMARGUMENT - all arguments</w:t>
      </w:r>
    </w:p>
    <w:p w:rsidR="005F78FC" w:rsidRDefault="00B42EF3">
      <w:pPr>
        <w:pStyle w:val="ListParagraph"/>
        <w:numPr>
          <w:ilvl w:val="0"/>
          <w:numId w:val="71"/>
        </w:numPr>
        <w:contextualSpacing/>
      </w:pPr>
      <w:r>
        <w:t>IMCONJUGATE - all arguments</w:t>
      </w:r>
    </w:p>
    <w:p w:rsidR="005F78FC" w:rsidRDefault="00B42EF3">
      <w:pPr>
        <w:pStyle w:val="ListParagraph"/>
        <w:numPr>
          <w:ilvl w:val="0"/>
          <w:numId w:val="71"/>
        </w:numPr>
        <w:contextualSpacing/>
      </w:pPr>
      <w:r>
        <w:t>IMCOS - all arguments</w:t>
      </w:r>
    </w:p>
    <w:p w:rsidR="005F78FC" w:rsidRDefault="00B42EF3">
      <w:pPr>
        <w:pStyle w:val="ListParagraph"/>
        <w:numPr>
          <w:ilvl w:val="0"/>
          <w:numId w:val="71"/>
        </w:numPr>
        <w:contextualSpacing/>
      </w:pPr>
      <w:r>
        <w:t>IMDIV - all arguments</w:t>
      </w:r>
    </w:p>
    <w:p w:rsidR="005F78FC" w:rsidRDefault="00B42EF3">
      <w:pPr>
        <w:pStyle w:val="ListParagraph"/>
        <w:numPr>
          <w:ilvl w:val="0"/>
          <w:numId w:val="71"/>
        </w:numPr>
        <w:contextualSpacing/>
      </w:pPr>
      <w:r>
        <w:t>IMEXP - all arguments</w:t>
      </w:r>
    </w:p>
    <w:p w:rsidR="005F78FC" w:rsidRDefault="00B42EF3">
      <w:pPr>
        <w:pStyle w:val="ListParagraph"/>
        <w:numPr>
          <w:ilvl w:val="0"/>
          <w:numId w:val="71"/>
        </w:numPr>
        <w:contextualSpacing/>
      </w:pPr>
      <w:r>
        <w:t>IMLN - all arguments</w:t>
      </w:r>
    </w:p>
    <w:p w:rsidR="005F78FC" w:rsidRDefault="00B42EF3">
      <w:pPr>
        <w:pStyle w:val="ListParagraph"/>
        <w:numPr>
          <w:ilvl w:val="0"/>
          <w:numId w:val="71"/>
        </w:numPr>
        <w:contextualSpacing/>
      </w:pPr>
      <w:r>
        <w:t>IMLOG10 - all arguments</w:t>
      </w:r>
    </w:p>
    <w:p w:rsidR="005F78FC" w:rsidRDefault="00B42EF3">
      <w:pPr>
        <w:pStyle w:val="ListParagraph"/>
        <w:numPr>
          <w:ilvl w:val="0"/>
          <w:numId w:val="71"/>
        </w:numPr>
        <w:contextualSpacing/>
      </w:pPr>
      <w:r>
        <w:t>IMLOG2 - all arguments</w:t>
      </w:r>
    </w:p>
    <w:p w:rsidR="005F78FC" w:rsidRDefault="00B42EF3">
      <w:pPr>
        <w:pStyle w:val="ListParagraph"/>
        <w:numPr>
          <w:ilvl w:val="0"/>
          <w:numId w:val="71"/>
        </w:numPr>
        <w:contextualSpacing/>
      </w:pPr>
      <w:r>
        <w:t>IMPOWER - all arguments</w:t>
      </w:r>
    </w:p>
    <w:p w:rsidR="005F78FC" w:rsidRDefault="00B42EF3">
      <w:pPr>
        <w:pStyle w:val="ListParagraph"/>
        <w:numPr>
          <w:ilvl w:val="0"/>
          <w:numId w:val="71"/>
        </w:numPr>
        <w:contextualSpacing/>
      </w:pPr>
      <w:r>
        <w:t>IMPRODUCT - all arguments</w:t>
      </w:r>
    </w:p>
    <w:p w:rsidR="005F78FC" w:rsidRDefault="00B42EF3">
      <w:pPr>
        <w:pStyle w:val="ListParagraph"/>
        <w:numPr>
          <w:ilvl w:val="0"/>
          <w:numId w:val="71"/>
        </w:numPr>
        <w:contextualSpacing/>
      </w:pPr>
      <w:r>
        <w:t>IMREAL - all arguments</w:t>
      </w:r>
    </w:p>
    <w:p w:rsidR="005F78FC" w:rsidRDefault="00B42EF3">
      <w:pPr>
        <w:pStyle w:val="ListParagraph"/>
        <w:numPr>
          <w:ilvl w:val="0"/>
          <w:numId w:val="71"/>
        </w:numPr>
        <w:contextualSpacing/>
      </w:pPr>
      <w:r>
        <w:t>IMSIN - all arguments</w:t>
      </w:r>
    </w:p>
    <w:p w:rsidR="005F78FC" w:rsidRDefault="00B42EF3">
      <w:pPr>
        <w:pStyle w:val="ListParagraph"/>
        <w:numPr>
          <w:ilvl w:val="0"/>
          <w:numId w:val="71"/>
        </w:numPr>
        <w:contextualSpacing/>
      </w:pPr>
      <w:r>
        <w:t>IMSQRT - all arguments</w:t>
      </w:r>
    </w:p>
    <w:p w:rsidR="005F78FC" w:rsidRDefault="00B42EF3">
      <w:pPr>
        <w:pStyle w:val="ListParagraph"/>
        <w:numPr>
          <w:ilvl w:val="0"/>
          <w:numId w:val="71"/>
        </w:numPr>
        <w:contextualSpacing/>
      </w:pPr>
      <w:r>
        <w:t>IMSUB - all arguments</w:t>
      </w:r>
    </w:p>
    <w:p w:rsidR="005F78FC" w:rsidRDefault="00B42EF3">
      <w:pPr>
        <w:pStyle w:val="ListParagraph"/>
        <w:numPr>
          <w:ilvl w:val="0"/>
          <w:numId w:val="71"/>
        </w:numPr>
        <w:contextualSpacing/>
      </w:pPr>
      <w:r>
        <w:t>IMSUM - all arguments</w:t>
      </w:r>
    </w:p>
    <w:p w:rsidR="005F78FC" w:rsidRDefault="00B42EF3">
      <w:pPr>
        <w:pStyle w:val="ListParagraph"/>
        <w:numPr>
          <w:ilvl w:val="0"/>
          <w:numId w:val="71"/>
        </w:numPr>
        <w:contextualSpacing/>
      </w:pPr>
      <w:r>
        <w:t>INDEX - array or reference argument</w:t>
      </w:r>
    </w:p>
    <w:p w:rsidR="005F78FC" w:rsidRDefault="00B42EF3">
      <w:pPr>
        <w:pStyle w:val="ListParagraph"/>
        <w:numPr>
          <w:ilvl w:val="0"/>
          <w:numId w:val="71"/>
        </w:numPr>
        <w:contextualSpacing/>
      </w:pPr>
      <w:r>
        <w:t>INTRATE - all arguments</w:t>
      </w:r>
    </w:p>
    <w:p w:rsidR="005F78FC" w:rsidRDefault="00B42EF3">
      <w:pPr>
        <w:pStyle w:val="ListParagraph"/>
        <w:numPr>
          <w:ilvl w:val="0"/>
          <w:numId w:val="71"/>
        </w:numPr>
        <w:contextualSpacing/>
      </w:pPr>
      <w:r>
        <w:t>IRR - values argument</w:t>
      </w:r>
    </w:p>
    <w:p w:rsidR="005F78FC" w:rsidRDefault="00B42EF3">
      <w:pPr>
        <w:pStyle w:val="ListParagraph"/>
        <w:numPr>
          <w:ilvl w:val="0"/>
          <w:numId w:val="71"/>
        </w:numPr>
        <w:contextualSpacing/>
      </w:pPr>
      <w:r>
        <w:t>ISEVEN - all</w:t>
      </w:r>
      <w:r>
        <w:t xml:space="preserve"> arguments</w:t>
      </w:r>
    </w:p>
    <w:p w:rsidR="005F78FC" w:rsidRDefault="00B42EF3">
      <w:pPr>
        <w:pStyle w:val="ListParagraph"/>
        <w:numPr>
          <w:ilvl w:val="0"/>
          <w:numId w:val="71"/>
        </w:numPr>
        <w:contextualSpacing/>
      </w:pPr>
      <w:r>
        <w:t>ISODD - all arguments</w:t>
      </w:r>
    </w:p>
    <w:p w:rsidR="005F78FC" w:rsidRDefault="00B42EF3">
      <w:pPr>
        <w:pStyle w:val="ListParagraph"/>
        <w:numPr>
          <w:ilvl w:val="0"/>
          <w:numId w:val="71"/>
        </w:numPr>
        <w:contextualSpacing/>
      </w:pPr>
      <w:r>
        <w:t>ISREF - all arguments</w:t>
      </w:r>
    </w:p>
    <w:p w:rsidR="005F78FC" w:rsidRDefault="00B42EF3">
      <w:pPr>
        <w:pStyle w:val="ListParagraph"/>
        <w:numPr>
          <w:ilvl w:val="0"/>
          <w:numId w:val="71"/>
        </w:numPr>
        <w:contextualSpacing/>
      </w:pPr>
      <w:r>
        <w:t>KURT - all arguments</w:t>
      </w:r>
    </w:p>
    <w:p w:rsidR="005F78FC" w:rsidRDefault="00B42EF3">
      <w:pPr>
        <w:pStyle w:val="ListParagraph"/>
        <w:numPr>
          <w:ilvl w:val="0"/>
          <w:numId w:val="71"/>
        </w:numPr>
        <w:contextualSpacing/>
      </w:pPr>
      <w:r>
        <w:lastRenderedPageBreak/>
        <w:t>LARGE - array argument</w:t>
      </w:r>
    </w:p>
    <w:p w:rsidR="005F78FC" w:rsidRDefault="00B42EF3">
      <w:pPr>
        <w:pStyle w:val="ListParagraph"/>
        <w:numPr>
          <w:ilvl w:val="0"/>
          <w:numId w:val="71"/>
        </w:numPr>
        <w:contextualSpacing/>
      </w:pPr>
      <w:r>
        <w:t>LCM - all arguments</w:t>
      </w:r>
    </w:p>
    <w:p w:rsidR="005F78FC" w:rsidRDefault="00B42EF3">
      <w:pPr>
        <w:pStyle w:val="ListParagraph"/>
        <w:numPr>
          <w:ilvl w:val="0"/>
          <w:numId w:val="71"/>
        </w:numPr>
        <w:contextualSpacing/>
      </w:pPr>
      <w:r>
        <w:t>LINEST - known-xs and known-ys arguments</w:t>
      </w:r>
    </w:p>
    <w:p w:rsidR="005F78FC" w:rsidRDefault="00B42EF3">
      <w:pPr>
        <w:pStyle w:val="ListParagraph"/>
        <w:numPr>
          <w:ilvl w:val="0"/>
          <w:numId w:val="71"/>
        </w:numPr>
        <w:contextualSpacing/>
      </w:pPr>
      <w:r>
        <w:t>LOGEST - known-xs and known-ys arguments</w:t>
      </w:r>
    </w:p>
    <w:p w:rsidR="005F78FC" w:rsidRDefault="00B42EF3">
      <w:pPr>
        <w:pStyle w:val="ListParagraph"/>
        <w:numPr>
          <w:ilvl w:val="0"/>
          <w:numId w:val="71"/>
        </w:numPr>
        <w:contextualSpacing/>
      </w:pPr>
      <w:r>
        <w:t>LOOKUP - all arguments except lookup_value</w:t>
      </w:r>
    </w:p>
    <w:p w:rsidR="005F78FC" w:rsidRDefault="00B42EF3">
      <w:pPr>
        <w:pStyle w:val="ListParagraph"/>
        <w:numPr>
          <w:ilvl w:val="0"/>
          <w:numId w:val="71"/>
        </w:numPr>
        <w:contextualSpacing/>
      </w:pPr>
      <w:r>
        <w:t xml:space="preserve">MATCH - </w:t>
      </w:r>
      <w:r>
        <w:t>lookup_array argument</w:t>
      </w:r>
    </w:p>
    <w:p w:rsidR="005F78FC" w:rsidRDefault="00B42EF3">
      <w:pPr>
        <w:pStyle w:val="ListParagraph"/>
        <w:numPr>
          <w:ilvl w:val="0"/>
          <w:numId w:val="71"/>
        </w:numPr>
        <w:contextualSpacing/>
      </w:pPr>
      <w:r>
        <w:t>MAX - all arguments</w:t>
      </w:r>
    </w:p>
    <w:p w:rsidR="005F78FC" w:rsidRDefault="00B42EF3">
      <w:pPr>
        <w:pStyle w:val="ListParagraph"/>
        <w:numPr>
          <w:ilvl w:val="0"/>
          <w:numId w:val="71"/>
        </w:numPr>
        <w:contextualSpacing/>
      </w:pPr>
      <w:r>
        <w:t>MAXA - all arguments</w:t>
      </w:r>
    </w:p>
    <w:p w:rsidR="005F78FC" w:rsidRDefault="00B42EF3">
      <w:pPr>
        <w:pStyle w:val="ListParagraph"/>
        <w:numPr>
          <w:ilvl w:val="0"/>
          <w:numId w:val="71"/>
        </w:numPr>
        <w:contextualSpacing/>
      </w:pPr>
      <w:r>
        <w:t>MDURATION - all arguments</w:t>
      </w:r>
    </w:p>
    <w:p w:rsidR="005F78FC" w:rsidRDefault="00B42EF3">
      <w:pPr>
        <w:pStyle w:val="ListParagraph"/>
        <w:numPr>
          <w:ilvl w:val="0"/>
          <w:numId w:val="71"/>
        </w:numPr>
        <w:contextualSpacing/>
      </w:pPr>
      <w:r>
        <w:t>MEDIAN - all arguments</w:t>
      </w:r>
    </w:p>
    <w:p w:rsidR="005F78FC" w:rsidRDefault="00B42EF3">
      <w:pPr>
        <w:pStyle w:val="ListParagraph"/>
        <w:numPr>
          <w:ilvl w:val="0"/>
          <w:numId w:val="71"/>
        </w:numPr>
        <w:contextualSpacing/>
      </w:pPr>
      <w:r>
        <w:t>MIN - all arguments</w:t>
      </w:r>
    </w:p>
    <w:p w:rsidR="005F78FC" w:rsidRDefault="00B42EF3">
      <w:pPr>
        <w:pStyle w:val="ListParagraph"/>
        <w:numPr>
          <w:ilvl w:val="0"/>
          <w:numId w:val="71"/>
        </w:numPr>
        <w:contextualSpacing/>
      </w:pPr>
      <w:r>
        <w:t>MINA - all arguments</w:t>
      </w:r>
    </w:p>
    <w:p w:rsidR="005F78FC" w:rsidRDefault="00B42EF3">
      <w:pPr>
        <w:pStyle w:val="ListParagraph"/>
        <w:numPr>
          <w:ilvl w:val="0"/>
          <w:numId w:val="71"/>
        </w:numPr>
        <w:contextualSpacing/>
      </w:pPr>
      <w:r>
        <w:t>MIRR - values argument</w:t>
      </w:r>
    </w:p>
    <w:p w:rsidR="005F78FC" w:rsidRDefault="00B42EF3">
      <w:pPr>
        <w:pStyle w:val="ListParagraph"/>
        <w:numPr>
          <w:ilvl w:val="0"/>
          <w:numId w:val="71"/>
        </w:numPr>
        <w:contextualSpacing/>
      </w:pPr>
      <w:r>
        <w:t>MROUND - all arguments</w:t>
      </w:r>
    </w:p>
    <w:p w:rsidR="005F78FC" w:rsidRDefault="00B42EF3">
      <w:pPr>
        <w:pStyle w:val="ListParagraph"/>
        <w:numPr>
          <w:ilvl w:val="0"/>
          <w:numId w:val="71"/>
        </w:numPr>
        <w:contextualSpacing/>
      </w:pPr>
      <w:r>
        <w:t>MULTINOMIAL - all arguments</w:t>
      </w:r>
    </w:p>
    <w:p w:rsidR="005F78FC" w:rsidRDefault="00B42EF3">
      <w:pPr>
        <w:pStyle w:val="ListParagraph"/>
        <w:numPr>
          <w:ilvl w:val="0"/>
          <w:numId w:val="71"/>
        </w:numPr>
        <w:contextualSpacing/>
      </w:pPr>
      <w:r>
        <w:t>N - all arguments</w:t>
      </w:r>
    </w:p>
    <w:p w:rsidR="005F78FC" w:rsidRDefault="00B42EF3">
      <w:pPr>
        <w:pStyle w:val="ListParagraph"/>
        <w:numPr>
          <w:ilvl w:val="0"/>
          <w:numId w:val="71"/>
        </w:numPr>
        <w:contextualSpacing/>
      </w:pPr>
      <w:r>
        <w:t>NETWORKDAYS</w:t>
      </w:r>
      <w:r>
        <w:t xml:space="preserve"> - holidays argument</w:t>
      </w:r>
    </w:p>
    <w:p w:rsidR="005F78FC" w:rsidRDefault="00B42EF3">
      <w:pPr>
        <w:pStyle w:val="ListParagraph"/>
        <w:numPr>
          <w:ilvl w:val="0"/>
          <w:numId w:val="71"/>
        </w:numPr>
        <w:contextualSpacing/>
      </w:pPr>
      <w:r>
        <w:t>NOMINAL - all arguments</w:t>
      </w:r>
    </w:p>
    <w:p w:rsidR="005F78FC" w:rsidRDefault="00B42EF3">
      <w:pPr>
        <w:pStyle w:val="ListParagraph"/>
        <w:numPr>
          <w:ilvl w:val="0"/>
          <w:numId w:val="71"/>
        </w:numPr>
        <w:contextualSpacing/>
      </w:pPr>
      <w:r>
        <w:t>NPV - all arguments except rate</w:t>
      </w:r>
    </w:p>
    <w:p w:rsidR="005F78FC" w:rsidRDefault="00B42EF3">
      <w:pPr>
        <w:pStyle w:val="ListParagraph"/>
        <w:numPr>
          <w:ilvl w:val="0"/>
          <w:numId w:val="71"/>
        </w:numPr>
        <w:contextualSpacing/>
      </w:pPr>
      <w:r>
        <w:t>OCT2BIN - all arguments</w:t>
      </w:r>
    </w:p>
    <w:p w:rsidR="005F78FC" w:rsidRDefault="00B42EF3">
      <w:pPr>
        <w:pStyle w:val="ListParagraph"/>
        <w:numPr>
          <w:ilvl w:val="0"/>
          <w:numId w:val="71"/>
        </w:numPr>
        <w:contextualSpacing/>
      </w:pPr>
      <w:r>
        <w:t>OCT2DEC - all arguments</w:t>
      </w:r>
    </w:p>
    <w:p w:rsidR="005F78FC" w:rsidRDefault="00B42EF3">
      <w:pPr>
        <w:pStyle w:val="ListParagraph"/>
        <w:numPr>
          <w:ilvl w:val="0"/>
          <w:numId w:val="71"/>
        </w:numPr>
        <w:contextualSpacing/>
      </w:pPr>
      <w:r>
        <w:t>OCT2HEX - all arguments</w:t>
      </w:r>
    </w:p>
    <w:p w:rsidR="005F78FC" w:rsidRDefault="00B42EF3">
      <w:pPr>
        <w:pStyle w:val="ListParagraph"/>
        <w:numPr>
          <w:ilvl w:val="0"/>
          <w:numId w:val="71"/>
        </w:numPr>
        <w:contextualSpacing/>
      </w:pPr>
      <w:r>
        <w:t>ODDFPRICE - all arguments</w:t>
      </w:r>
    </w:p>
    <w:p w:rsidR="005F78FC" w:rsidRDefault="00B42EF3">
      <w:pPr>
        <w:pStyle w:val="ListParagraph"/>
        <w:numPr>
          <w:ilvl w:val="0"/>
          <w:numId w:val="71"/>
        </w:numPr>
        <w:contextualSpacing/>
      </w:pPr>
      <w:r>
        <w:t>ODDFYIELD - all arguments</w:t>
      </w:r>
    </w:p>
    <w:p w:rsidR="005F78FC" w:rsidRDefault="00B42EF3">
      <w:pPr>
        <w:pStyle w:val="ListParagraph"/>
        <w:numPr>
          <w:ilvl w:val="0"/>
          <w:numId w:val="71"/>
        </w:numPr>
        <w:contextualSpacing/>
      </w:pPr>
      <w:r>
        <w:t>ODDLPRICE - all arguments</w:t>
      </w:r>
    </w:p>
    <w:p w:rsidR="005F78FC" w:rsidRDefault="00B42EF3">
      <w:pPr>
        <w:pStyle w:val="ListParagraph"/>
        <w:numPr>
          <w:ilvl w:val="0"/>
          <w:numId w:val="71"/>
        </w:numPr>
        <w:contextualSpacing/>
      </w:pPr>
      <w:r>
        <w:t>ODDLYIELD - all arguments</w:t>
      </w:r>
    </w:p>
    <w:p w:rsidR="005F78FC" w:rsidRDefault="00B42EF3">
      <w:pPr>
        <w:pStyle w:val="ListParagraph"/>
        <w:numPr>
          <w:ilvl w:val="0"/>
          <w:numId w:val="71"/>
        </w:numPr>
        <w:contextualSpacing/>
      </w:pPr>
      <w:r>
        <w:t>OFF</w:t>
      </w:r>
      <w:r>
        <w:t>SET - reference argument</w:t>
      </w:r>
    </w:p>
    <w:p w:rsidR="005F78FC" w:rsidRDefault="00B42EF3">
      <w:pPr>
        <w:pStyle w:val="ListParagraph"/>
        <w:numPr>
          <w:ilvl w:val="0"/>
          <w:numId w:val="71"/>
        </w:numPr>
        <w:contextualSpacing/>
      </w:pPr>
      <w:r>
        <w:t>OR - all arguments</w:t>
      </w:r>
    </w:p>
    <w:p w:rsidR="005F78FC" w:rsidRDefault="00B42EF3">
      <w:pPr>
        <w:pStyle w:val="ListParagraph"/>
        <w:numPr>
          <w:ilvl w:val="0"/>
          <w:numId w:val="71"/>
        </w:numPr>
        <w:contextualSpacing/>
      </w:pPr>
      <w:r>
        <w:t>PERCENTILE - array argument</w:t>
      </w:r>
    </w:p>
    <w:p w:rsidR="005F78FC" w:rsidRDefault="00B42EF3">
      <w:pPr>
        <w:pStyle w:val="ListParagraph"/>
        <w:numPr>
          <w:ilvl w:val="0"/>
          <w:numId w:val="71"/>
        </w:numPr>
        <w:contextualSpacing/>
      </w:pPr>
      <w:r>
        <w:t>PERCENTRANK - array argument</w:t>
      </w:r>
    </w:p>
    <w:p w:rsidR="005F78FC" w:rsidRDefault="00B42EF3">
      <w:pPr>
        <w:pStyle w:val="ListParagraph"/>
        <w:numPr>
          <w:ilvl w:val="0"/>
          <w:numId w:val="71"/>
        </w:numPr>
        <w:contextualSpacing/>
      </w:pPr>
      <w:r>
        <w:t>PHONETIC - all arguments</w:t>
      </w:r>
    </w:p>
    <w:p w:rsidR="005F78FC" w:rsidRDefault="00B42EF3">
      <w:pPr>
        <w:pStyle w:val="ListParagraph"/>
        <w:numPr>
          <w:ilvl w:val="0"/>
          <w:numId w:val="71"/>
        </w:numPr>
        <w:contextualSpacing/>
      </w:pPr>
      <w:r>
        <w:t>PRICE - all arguments</w:t>
      </w:r>
    </w:p>
    <w:p w:rsidR="005F78FC" w:rsidRDefault="00B42EF3">
      <w:pPr>
        <w:pStyle w:val="ListParagraph"/>
        <w:numPr>
          <w:ilvl w:val="0"/>
          <w:numId w:val="71"/>
        </w:numPr>
        <w:contextualSpacing/>
      </w:pPr>
      <w:r>
        <w:t>PRICEDISC - all arguments</w:t>
      </w:r>
    </w:p>
    <w:p w:rsidR="005F78FC" w:rsidRDefault="00B42EF3">
      <w:pPr>
        <w:pStyle w:val="ListParagraph"/>
        <w:numPr>
          <w:ilvl w:val="0"/>
          <w:numId w:val="71"/>
        </w:numPr>
        <w:contextualSpacing/>
      </w:pPr>
      <w:r>
        <w:t>PRICEMAT - all arguments</w:t>
      </w:r>
    </w:p>
    <w:p w:rsidR="005F78FC" w:rsidRDefault="00B42EF3">
      <w:pPr>
        <w:pStyle w:val="ListParagraph"/>
        <w:numPr>
          <w:ilvl w:val="0"/>
          <w:numId w:val="71"/>
        </w:numPr>
        <w:contextualSpacing/>
      </w:pPr>
      <w:r>
        <w:t>PRODUCT - all arguments</w:t>
      </w:r>
    </w:p>
    <w:p w:rsidR="005F78FC" w:rsidRDefault="00B42EF3">
      <w:pPr>
        <w:pStyle w:val="ListParagraph"/>
        <w:numPr>
          <w:ilvl w:val="0"/>
          <w:numId w:val="71"/>
        </w:numPr>
        <w:contextualSpacing/>
      </w:pPr>
      <w:r>
        <w:t>QUARTILE – array argument</w:t>
      </w:r>
    </w:p>
    <w:p w:rsidR="005F78FC" w:rsidRDefault="00B42EF3">
      <w:pPr>
        <w:pStyle w:val="ListParagraph"/>
        <w:numPr>
          <w:ilvl w:val="0"/>
          <w:numId w:val="71"/>
        </w:numPr>
        <w:contextualSpacing/>
      </w:pPr>
      <w:r>
        <w:t>QUOTIEN</w:t>
      </w:r>
      <w:r>
        <w:t>T - all arguments</w:t>
      </w:r>
    </w:p>
    <w:p w:rsidR="005F78FC" w:rsidRDefault="00B42EF3">
      <w:pPr>
        <w:pStyle w:val="ListParagraph"/>
        <w:numPr>
          <w:ilvl w:val="0"/>
          <w:numId w:val="71"/>
        </w:numPr>
        <w:contextualSpacing/>
      </w:pPr>
      <w:r>
        <w:t>RANDBETWEEN - all arguments</w:t>
      </w:r>
    </w:p>
    <w:p w:rsidR="005F78FC" w:rsidRDefault="00B42EF3">
      <w:pPr>
        <w:pStyle w:val="ListParagraph"/>
        <w:numPr>
          <w:ilvl w:val="0"/>
          <w:numId w:val="71"/>
        </w:numPr>
        <w:contextualSpacing/>
      </w:pPr>
      <w:r>
        <w:t>RANK - ref argument</w:t>
      </w:r>
    </w:p>
    <w:p w:rsidR="005F78FC" w:rsidRDefault="00B42EF3">
      <w:pPr>
        <w:pStyle w:val="ListParagraph"/>
        <w:numPr>
          <w:ilvl w:val="0"/>
          <w:numId w:val="71"/>
        </w:numPr>
        <w:contextualSpacing/>
      </w:pPr>
      <w:r>
        <w:t>RECEIVED - all arguments</w:t>
      </w:r>
    </w:p>
    <w:p w:rsidR="005F78FC" w:rsidRDefault="00B42EF3">
      <w:pPr>
        <w:pStyle w:val="ListParagraph"/>
        <w:numPr>
          <w:ilvl w:val="0"/>
          <w:numId w:val="71"/>
        </w:numPr>
        <w:contextualSpacing/>
      </w:pPr>
      <w:r>
        <w:t>ROW – reference argument</w:t>
      </w:r>
    </w:p>
    <w:p w:rsidR="005F78FC" w:rsidRDefault="00B42EF3">
      <w:pPr>
        <w:pStyle w:val="ListParagraph"/>
        <w:numPr>
          <w:ilvl w:val="0"/>
          <w:numId w:val="71"/>
        </w:numPr>
        <w:contextualSpacing/>
      </w:pPr>
      <w:r>
        <w:t>ROWS – array argument</w:t>
      </w:r>
    </w:p>
    <w:p w:rsidR="005F78FC" w:rsidRDefault="00B42EF3">
      <w:pPr>
        <w:pStyle w:val="ListParagraph"/>
        <w:numPr>
          <w:ilvl w:val="0"/>
          <w:numId w:val="71"/>
        </w:numPr>
        <w:contextualSpacing/>
      </w:pPr>
      <w:r>
        <w:t>SERIESSUM - all arguments</w:t>
      </w:r>
    </w:p>
    <w:p w:rsidR="005F78FC" w:rsidRDefault="00B42EF3">
      <w:pPr>
        <w:pStyle w:val="ListParagraph"/>
        <w:numPr>
          <w:ilvl w:val="0"/>
          <w:numId w:val="71"/>
        </w:numPr>
        <w:contextualSpacing/>
      </w:pPr>
      <w:r>
        <w:t>SKEW - all arguments</w:t>
      </w:r>
    </w:p>
    <w:p w:rsidR="005F78FC" w:rsidRDefault="00B42EF3">
      <w:pPr>
        <w:pStyle w:val="ListParagraph"/>
        <w:numPr>
          <w:ilvl w:val="0"/>
          <w:numId w:val="71"/>
        </w:numPr>
        <w:contextualSpacing/>
      </w:pPr>
      <w:r>
        <w:t>SMALL - array argument</w:t>
      </w:r>
    </w:p>
    <w:p w:rsidR="005F78FC" w:rsidRDefault="00B42EF3">
      <w:pPr>
        <w:pStyle w:val="ListParagraph"/>
        <w:numPr>
          <w:ilvl w:val="0"/>
          <w:numId w:val="71"/>
        </w:numPr>
        <w:contextualSpacing/>
      </w:pPr>
      <w:r>
        <w:t>SQRTPI - all arguments</w:t>
      </w:r>
    </w:p>
    <w:p w:rsidR="005F78FC" w:rsidRDefault="00B42EF3">
      <w:pPr>
        <w:pStyle w:val="ListParagraph"/>
        <w:numPr>
          <w:ilvl w:val="0"/>
          <w:numId w:val="71"/>
        </w:numPr>
        <w:contextualSpacing/>
      </w:pPr>
      <w:r>
        <w:t>STDEV - all arguments</w:t>
      </w:r>
    </w:p>
    <w:p w:rsidR="005F78FC" w:rsidRDefault="00B42EF3">
      <w:pPr>
        <w:pStyle w:val="ListParagraph"/>
        <w:numPr>
          <w:ilvl w:val="0"/>
          <w:numId w:val="71"/>
        </w:numPr>
        <w:contextualSpacing/>
      </w:pPr>
      <w:r>
        <w:t>STDEVA - all arguments</w:t>
      </w:r>
    </w:p>
    <w:p w:rsidR="005F78FC" w:rsidRDefault="00B42EF3">
      <w:pPr>
        <w:pStyle w:val="ListParagraph"/>
        <w:numPr>
          <w:ilvl w:val="0"/>
          <w:numId w:val="71"/>
        </w:numPr>
        <w:contextualSpacing/>
      </w:pPr>
      <w:r>
        <w:t>STDEVP - all arguments</w:t>
      </w:r>
    </w:p>
    <w:p w:rsidR="005F78FC" w:rsidRDefault="00B42EF3">
      <w:pPr>
        <w:pStyle w:val="ListParagraph"/>
        <w:numPr>
          <w:ilvl w:val="0"/>
          <w:numId w:val="71"/>
        </w:numPr>
        <w:contextualSpacing/>
      </w:pPr>
      <w:r>
        <w:t>STDEVPA - all arguments</w:t>
      </w:r>
    </w:p>
    <w:p w:rsidR="005F78FC" w:rsidRDefault="00B42EF3">
      <w:pPr>
        <w:pStyle w:val="ListParagraph"/>
        <w:numPr>
          <w:ilvl w:val="0"/>
          <w:numId w:val="71"/>
        </w:numPr>
        <w:contextualSpacing/>
      </w:pPr>
      <w:r>
        <w:t>SUBTOTAL - all arguments except function_num</w:t>
      </w:r>
    </w:p>
    <w:p w:rsidR="005F78FC" w:rsidRDefault="00B42EF3">
      <w:pPr>
        <w:pStyle w:val="ListParagraph"/>
        <w:numPr>
          <w:ilvl w:val="0"/>
          <w:numId w:val="71"/>
        </w:numPr>
        <w:contextualSpacing/>
      </w:pPr>
      <w:r>
        <w:t>SUM - all arguments</w:t>
      </w:r>
    </w:p>
    <w:p w:rsidR="005F78FC" w:rsidRDefault="00B42EF3">
      <w:pPr>
        <w:pStyle w:val="ListParagraph"/>
        <w:numPr>
          <w:ilvl w:val="0"/>
          <w:numId w:val="71"/>
        </w:numPr>
        <w:contextualSpacing/>
      </w:pPr>
      <w:r>
        <w:t>SUMIF - all arguments except criteria</w:t>
      </w:r>
    </w:p>
    <w:p w:rsidR="005F78FC" w:rsidRDefault="00B42EF3">
      <w:pPr>
        <w:pStyle w:val="ListParagraph"/>
        <w:numPr>
          <w:ilvl w:val="0"/>
          <w:numId w:val="71"/>
        </w:numPr>
        <w:contextualSpacing/>
      </w:pPr>
      <w:r>
        <w:t>SUMIFS - all arguments except criteria1, criteria2, and so on.</w:t>
      </w:r>
    </w:p>
    <w:p w:rsidR="005F78FC" w:rsidRDefault="00B42EF3">
      <w:pPr>
        <w:pStyle w:val="ListParagraph"/>
        <w:numPr>
          <w:ilvl w:val="0"/>
          <w:numId w:val="71"/>
        </w:numPr>
        <w:contextualSpacing/>
      </w:pPr>
      <w:r>
        <w:t xml:space="preserve">SUMSQ - all </w:t>
      </w:r>
      <w:r>
        <w:t>arguments</w:t>
      </w:r>
    </w:p>
    <w:p w:rsidR="005F78FC" w:rsidRDefault="00B42EF3">
      <w:pPr>
        <w:pStyle w:val="ListParagraph"/>
        <w:numPr>
          <w:ilvl w:val="0"/>
          <w:numId w:val="71"/>
        </w:numPr>
        <w:contextualSpacing/>
      </w:pPr>
      <w:r>
        <w:t>T - all arguments</w:t>
      </w:r>
    </w:p>
    <w:p w:rsidR="005F78FC" w:rsidRDefault="00B42EF3">
      <w:pPr>
        <w:pStyle w:val="ListParagraph"/>
        <w:numPr>
          <w:ilvl w:val="0"/>
          <w:numId w:val="71"/>
        </w:numPr>
        <w:contextualSpacing/>
      </w:pPr>
      <w:r>
        <w:t>TBILLEQ - all arguments</w:t>
      </w:r>
    </w:p>
    <w:p w:rsidR="005F78FC" w:rsidRDefault="00B42EF3">
      <w:pPr>
        <w:pStyle w:val="ListParagraph"/>
        <w:numPr>
          <w:ilvl w:val="0"/>
          <w:numId w:val="71"/>
        </w:numPr>
        <w:contextualSpacing/>
      </w:pPr>
      <w:r>
        <w:t>TBILLPRICE - all arguments</w:t>
      </w:r>
    </w:p>
    <w:p w:rsidR="005F78FC" w:rsidRDefault="00B42EF3">
      <w:pPr>
        <w:pStyle w:val="ListParagraph"/>
        <w:numPr>
          <w:ilvl w:val="0"/>
          <w:numId w:val="71"/>
        </w:numPr>
        <w:contextualSpacing/>
      </w:pPr>
      <w:r>
        <w:lastRenderedPageBreak/>
        <w:t>TBILLYIELD - all arguments</w:t>
      </w:r>
    </w:p>
    <w:p w:rsidR="005F78FC" w:rsidRDefault="00B42EF3">
      <w:pPr>
        <w:pStyle w:val="ListParagraph"/>
        <w:numPr>
          <w:ilvl w:val="0"/>
          <w:numId w:val="71"/>
        </w:numPr>
        <w:contextualSpacing/>
      </w:pPr>
      <w:r>
        <w:t>TREND – all arguments except const-flag</w:t>
      </w:r>
    </w:p>
    <w:p w:rsidR="005F78FC" w:rsidRDefault="00B42EF3">
      <w:pPr>
        <w:pStyle w:val="ListParagraph"/>
        <w:numPr>
          <w:ilvl w:val="0"/>
          <w:numId w:val="71"/>
        </w:numPr>
        <w:contextualSpacing/>
      </w:pPr>
      <w:r>
        <w:t>TRIMMEAN – array argument</w:t>
      </w:r>
    </w:p>
    <w:p w:rsidR="005F78FC" w:rsidRDefault="00B42EF3">
      <w:pPr>
        <w:pStyle w:val="ListParagraph"/>
        <w:numPr>
          <w:ilvl w:val="0"/>
          <w:numId w:val="71"/>
        </w:numPr>
        <w:contextualSpacing/>
      </w:pPr>
      <w:r>
        <w:t>VAR – all arguments</w:t>
      </w:r>
    </w:p>
    <w:p w:rsidR="005F78FC" w:rsidRDefault="00B42EF3">
      <w:pPr>
        <w:pStyle w:val="ListParagraph"/>
        <w:numPr>
          <w:ilvl w:val="0"/>
          <w:numId w:val="71"/>
        </w:numPr>
        <w:contextualSpacing/>
      </w:pPr>
      <w:r>
        <w:t>VARA – all arguments</w:t>
      </w:r>
    </w:p>
    <w:p w:rsidR="005F78FC" w:rsidRDefault="00B42EF3">
      <w:pPr>
        <w:pStyle w:val="ListParagraph"/>
        <w:numPr>
          <w:ilvl w:val="0"/>
          <w:numId w:val="71"/>
        </w:numPr>
        <w:contextualSpacing/>
      </w:pPr>
      <w:r>
        <w:t>VARP – all arguments</w:t>
      </w:r>
    </w:p>
    <w:p w:rsidR="005F78FC" w:rsidRDefault="00B42EF3">
      <w:pPr>
        <w:pStyle w:val="ListParagraph"/>
        <w:numPr>
          <w:ilvl w:val="0"/>
          <w:numId w:val="71"/>
        </w:numPr>
        <w:contextualSpacing/>
      </w:pPr>
      <w:r>
        <w:t>VARPA – all arguments</w:t>
      </w:r>
    </w:p>
    <w:p w:rsidR="005F78FC" w:rsidRDefault="00B42EF3">
      <w:pPr>
        <w:pStyle w:val="ListParagraph"/>
        <w:numPr>
          <w:ilvl w:val="0"/>
          <w:numId w:val="71"/>
        </w:numPr>
        <w:contextualSpacing/>
      </w:pPr>
      <w:r>
        <w:t>VLOOKUP – table-array argument</w:t>
      </w:r>
    </w:p>
    <w:p w:rsidR="005F78FC" w:rsidRDefault="00B42EF3">
      <w:pPr>
        <w:pStyle w:val="ListParagraph"/>
        <w:numPr>
          <w:ilvl w:val="0"/>
          <w:numId w:val="71"/>
        </w:numPr>
        <w:contextualSpacing/>
      </w:pPr>
      <w:r>
        <w:t>WEEKNUM - all arguments</w:t>
      </w:r>
    </w:p>
    <w:p w:rsidR="005F78FC" w:rsidRDefault="00B42EF3">
      <w:pPr>
        <w:pStyle w:val="ListParagraph"/>
        <w:numPr>
          <w:ilvl w:val="0"/>
          <w:numId w:val="71"/>
        </w:numPr>
        <w:contextualSpacing/>
      </w:pPr>
      <w:r>
        <w:t>WORKDAY – holidays argument</w:t>
      </w:r>
    </w:p>
    <w:p w:rsidR="005F78FC" w:rsidRDefault="00B42EF3">
      <w:pPr>
        <w:pStyle w:val="ListParagraph"/>
        <w:numPr>
          <w:ilvl w:val="0"/>
          <w:numId w:val="71"/>
        </w:numPr>
        <w:contextualSpacing/>
      </w:pPr>
      <w:r>
        <w:t>XIRR – all arguments except guess</w:t>
      </w:r>
    </w:p>
    <w:p w:rsidR="005F78FC" w:rsidRDefault="00B42EF3">
      <w:pPr>
        <w:pStyle w:val="ListParagraph"/>
        <w:numPr>
          <w:ilvl w:val="0"/>
          <w:numId w:val="71"/>
        </w:numPr>
        <w:contextualSpacing/>
      </w:pPr>
      <w:r>
        <w:t>XNPV – all arguments except rate</w:t>
      </w:r>
    </w:p>
    <w:p w:rsidR="005F78FC" w:rsidRDefault="00B42EF3">
      <w:pPr>
        <w:pStyle w:val="ListParagraph"/>
        <w:numPr>
          <w:ilvl w:val="0"/>
          <w:numId w:val="71"/>
        </w:numPr>
        <w:contextualSpacing/>
      </w:pPr>
      <w:r>
        <w:t>YEARFRAC - all arguments</w:t>
      </w:r>
    </w:p>
    <w:p w:rsidR="005F78FC" w:rsidRDefault="00B42EF3">
      <w:pPr>
        <w:pStyle w:val="ListParagraph"/>
        <w:numPr>
          <w:ilvl w:val="0"/>
          <w:numId w:val="71"/>
        </w:numPr>
        <w:contextualSpacing/>
      </w:pPr>
      <w:r>
        <w:t>YIELD - all arguments</w:t>
      </w:r>
    </w:p>
    <w:p w:rsidR="005F78FC" w:rsidRDefault="00B42EF3">
      <w:pPr>
        <w:pStyle w:val="ListParagraph"/>
        <w:numPr>
          <w:ilvl w:val="0"/>
          <w:numId w:val="71"/>
        </w:numPr>
        <w:contextualSpacing/>
      </w:pPr>
      <w:r>
        <w:t>YIELDDISC - all arguments</w:t>
      </w:r>
    </w:p>
    <w:p w:rsidR="005F78FC" w:rsidRDefault="00B42EF3">
      <w:pPr>
        <w:pStyle w:val="ListParagraph"/>
        <w:numPr>
          <w:ilvl w:val="0"/>
          <w:numId w:val="71"/>
        </w:numPr>
        <w:contextualSpacing/>
      </w:pPr>
      <w:r>
        <w:t>YIELDMAT - all arguments</w:t>
      </w:r>
    </w:p>
    <w:p w:rsidR="005F78FC" w:rsidRDefault="00B42EF3">
      <w:pPr>
        <w:pStyle w:val="ListParagraph"/>
        <w:numPr>
          <w:ilvl w:val="0"/>
          <w:numId w:val="71"/>
        </w:numPr>
      </w:pPr>
      <w:r>
        <w:t xml:space="preserve">ZTEST – </w:t>
      </w:r>
      <w:r>
        <w:t>array argument</w:t>
      </w:r>
    </w:p>
    <w:p w:rsidR="005F78FC" w:rsidRDefault="00B42EF3">
      <w:pPr>
        <w:pStyle w:val="Definition-Field"/>
      </w:pPr>
      <w:r>
        <w:t xml:space="preserve">g.   </w:t>
      </w:r>
      <w:r>
        <w:rPr>
          <w:i/>
        </w:rPr>
        <w:t>The standard does not specify what happens when implicit intersection cannot be performed.</w:t>
      </w:r>
    </w:p>
    <w:p w:rsidR="005F78FC" w:rsidRDefault="00B42EF3">
      <w:pPr>
        <w:pStyle w:val="Definition-Field2"/>
      </w:pPr>
      <w:r>
        <w:t>Office returns #VALUE! when implicit intersection cannot be performed.</w:t>
      </w:r>
    </w:p>
    <w:p w:rsidR="005F78FC" w:rsidRDefault="00B42EF3">
      <w:pPr>
        <w:pStyle w:val="Heading3"/>
      </w:pPr>
      <w:bookmarkStart w:id="1740" w:name="section_e7502ecf232e44a084eb1d391ff386b5"/>
      <w:bookmarkStart w:id="1741" w:name="_Toc69878643"/>
      <w:r>
        <w:t>Part 1 Section 18.17.2.1, Constants</w:t>
      </w:r>
      <w:bookmarkEnd w:id="1740"/>
      <w:bookmarkEnd w:id="1741"/>
      <w:r>
        <w:fldChar w:fldCharType="begin"/>
      </w:r>
      <w:r>
        <w:instrText xml:space="preserve"> XE "Constants" </w:instrText>
      </w:r>
      <w:r>
        <w:fldChar w:fldCharType="end"/>
      </w:r>
    </w:p>
    <w:p w:rsidR="005F78FC" w:rsidRDefault="00B42EF3">
      <w:pPr>
        <w:pStyle w:val="Definition-Field"/>
      </w:pPr>
      <w:r>
        <w:t xml:space="preserve">a.   </w:t>
      </w:r>
      <w:r>
        <w:rPr>
          <w:i/>
        </w:rPr>
        <w:t>The standard do</w:t>
      </w:r>
      <w:r>
        <w:rPr>
          <w:i/>
        </w:rPr>
        <w:t>es not specify the set of productions for constant using EBNF.</w:t>
      </w:r>
    </w:p>
    <w:p w:rsidR="005F78FC" w:rsidRDefault="00B42EF3">
      <w:r>
        <w:t>Office writes the productions for constant using the following EBNF:</w:t>
      </w:r>
    </w:p>
    <w:p w:rsidR="005F78FC" w:rsidRDefault="00B42EF3">
      <w:pPr>
        <w:pStyle w:val="Code"/>
      </w:pPr>
      <w:r>
        <w:t>constant=</w:t>
      </w:r>
    </w:p>
    <w:p w:rsidR="005F78FC" w:rsidRDefault="00B42EF3">
      <w:pPr>
        <w:pStyle w:val="Code"/>
      </w:pPr>
      <w:r>
        <w:t xml:space="preserve">  error-constant  |</w:t>
      </w:r>
    </w:p>
    <w:p w:rsidR="005F78FC" w:rsidRDefault="00B42EF3">
      <w:pPr>
        <w:pStyle w:val="Code"/>
      </w:pPr>
      <w:r>
        <w:t xml:space="preserve">  logical-constant  |</w:t>
      </w:r>
    </w:p>
    <w:p w:rsidR="005F78FC" w:rsidRDefault="00B42EF3">
      <w:pPr>
        <w:pStyle w:val="Code"/>
      </w:pPr>
      <w:r>
        <w:t xml:space="preserve">  numerical-constant  |</w:t>
      </w:r>
    </w:p>
    <w:p w:rsidR="005F78FC" w:rsidRDefault="00B42EF3">
      <w:pPr>
        <w:pStyle w:val="Code"/>
      </w:pPr>
      <w:r>
        <w:t xml:space="preserve">  string-constant  |</w:t>
      </w:r>
    </w:p>
    <w:p w:rsidR="005F78FC" w:rsidRDefault="00B42EF3">
      <w:pPr>
        <w:pStyle w:val="Code"/>
      </w:pPr>
      <w:r>
        <w:t xml:space="preserve">  array-constant  ;</w:t>
      </w:r>
    </w:p>
    <w:p w:rsidR="005F78FC" w:rsidRDefault="00B42EF3">
      <w:pPr>
        <w:pStyle w:val="Code"/>
      </w:pPr>
      <w:r>
        <w:t>error-c</w:t>
      </w:r>
      <w:r>
        <w:t>onstant=</w:t>
      </w:r>
    </w:p>
    <w:p w:rsidR="005F78FC" w:rsidRDefault="00B42EF3">
      <w:pPr>
        <w:pStyle w:val="Code"/>
      </w:pPr>
      <w:r>
        <w:t xml:space="preserve">  "#DIV/0!"  |  "#N/A"  |  "#NAME?"  |  "#NULL!"  |  </w:t>
      </w:r>
    </w:p>
    <w:p w:rsidR="005F78FC" w:rsidRDefault="00B42EF3">
      <w:pPr>
        <w:pStyle w:val="Code"/>
      </w:pPr>
      <w:r>
        <w:t xml:space="preserve">  "#NUM!"  |  "#REF!"  | "#VALUE!" | "#GETTING_DATA"; </w:t>
      </w:r>
    </w:p>
    <w:p w:rsidR="005F78FC" w:rsidRDefault="00B42EF3">
      <w:pPr>
        <w:pStyle w:val="Code"/>
      </w:pPr>
      <w:r>
        <w:t>logical-constant=</w:t>
      </w:r>
    </w:p>
    <w:p w:rsidR="005F78FC" w:rsidRDefault="00B42EF3">
      <w:pPr>
        <w:pStyle w:val="Code"/>
      </w:pPr>
      <w:r>
        <w:t xml:space="preserve">  "FALSE"  |  "TRUE"  ;</w:t>
      </w:r>
    </w:p>
    <w:p w:rsidR="005F78FC" w:rsidRDefault="00B42EF3">
      <w:pPr>
        <w:pStyle w:val="Code"/>
      </w:pPr>
      <w:r>
        <w:t>numerical-constant=</w:t>
      </w:r>
    </w:p>
    <w:p w:rsidR="005F78FC" w:rsidRDefault="00B42EF3">
      <w:pPr>
        <w:pStyle w:val="Code"/>
      </w:pPr>
      <w:r>
        <w:t xml:space="preserve">  [neg-sign],  significand-part, [exponent-part] ;</w:t>
      </w:r>
    </w:p>
    <w:p w:rsidR="005F78FC" w:rsidRDefault="00B42EF3">
      <w:pPr>
        <w:pStyle w:val="Code"/>
      </w:pPr>
      <w:r>
        <w:t>significand-part=</w:t>
      </w:r>
    </w:p>
    <w:p w:rsidR="005F78FC" w:rsidRDefault="00B42EF3">
      <w:pPr>
        <w:pStyle w:val="Code"/>
      </w:pPr>
      <w:r>
        <w:t xml:space="preserve">  whole</w:t>
      </w:r>
      <w:r>
        <w:t>-number-part, [fractional-part] |</w:t>
      </w:r>
    </w:p>
    <w:p w:rsidR="005F78FC" w:rsidRDefault="00B42EF3">
      <w:pPr>
        <w:pStyle w:val="Code"/>
      </w:pPr>
      <w:r>
        <w:t xml:space="preserve">  fractional-part ;</w:t>
      </w:r>
    </w:p>
    <w:p w:rsidR="005F78FC" w:rsidRDefault="00B42EF3">
      <w:pPr>
        <w:pStyle w:val="Code"/>
      </w:pPr>
      <w:r>
        <w:t>whole-number-part=</w:t>
      </w:r>
    </w:p>
    <w:p w:rsidR="005F78FC" w:rsidRDefault="00B42EF3">
      <w:pPr>
        <w:pStyle w:val="Code"/>
      </w:pPr>
      <w:r>
        <w:t xml:space="preserve">  digit-sequence;</w:t>
      </w:r>
    </w:p>
    <w:p w:rsidR="005F78FC" w:rsidRDefault="00B42EF3">
      <w:pPr>
        <w:pStyle w:val="Code"/>
      </w:pPr>
      <w:r>
        <w:t>fractional-part=</w:t>
      </w:r>
    </w:p>
    <w:p w:rsidR="005F78FC" w:rsidRDefault="00B42EF3">
      <w:pPr>
        <w:pStyle w:val="Code"/>
      </w:pPr>
      <w:r>
        <w:t xml:space="preserve">  full-stop, digit-sequence  ;</w:t>
      </w:r>
    </w:p>
    <w:p w:rsidR="005F78FC" w:rsidRDefault="00B42EF3">
      <w:pPr>
        <w:pStyle w:val="Code"/>
      </w:pPr>
      <w:r>
        <w:t>exponent-part=</w:t>
      </w:r>
    </w:p>
    <w:p w:rsidR="005F78FC" w:rsidRDefault="00B42EF3">
      <w:pPr>
        <w:pStyle w:val="Code"/>
      </w:pPr>
      <w:r>
        <w:t xml:space="preserve">  exponent-character, [ sign ], digit-sequence  ;</w:t>
      </w:r>
    </w:p>
    <w:p w:rsidR="005F78FC" w:rsidRDefault="00B42EF3">
      <w:pPr>
        <w:pStyle w:val="Code"/>
      </w:pPr>
      <w:r>
        <w:t>full-stop=</w:t>
      </w:r>
    </w:p>
    <w:p w:rsidR="005F78FC" w:rsidRDefault="00B42EF3">
      <w:pPr>
        <w:pStyle w:val="Code"/>
      </w:pPr>
      <w:r>
        <w:t xml:space="preserve">  "."    ;  (* also known as “period” *)</w:t>
      </w:r>
    </w:p>
    <w:p w:rsidR="005F78FC" w:rsidRDefault="00B42EF3">
      <w:pPr>
        <w:pStyle w:val="Code"/>
      </w:pPr>
      <w:r>
        <w:t>sign=</w:t>
      </w:r>
    </w:p>
    <w:p w:rsidR="005F78FC" w:rsidRDefault="00B42EF3">
      <w:pPr>
        <w:pStyle w:val="Code"/>
      </w:pPr>
      <w:r>
        <w:t xml:space="preserve">  "+"  |</w:t>
      </w:r>
    </w:p>
    <w:p w:rsidR="005F78FC" w:rsidRDefault="00B42EF3">
      <w:pPr>
        <w:pStyle w:val="Code"/>
      </w:pPr>
      <w:r>
        <w:t xml:space="preserve">  neg-sign  ;</w:t>
      </w:r>
    </w:p>
    <w:p w:rsidR="005F78FC" w:rsidRDefault="00B42EF3">
      <w:pPr>
        <w:pStyle w:val="Code"/>
      </w:pPr>
      <w:r>
        <w:t>neg-sign=</w:t>
      </w:r>
    </w:p>
    <w:p w:rsidR="005F78FC" w:rsidRDefault="00B42EF3">
      <w:pPr>
        <w:pStyle w:val="Code"/>
      </w:pPr>
      <w:r>
        <w:t xml:space="preserve">  "-" ;</w:t>
      </w:r>
    </w:p>
    <w:p w:rsidR="005F78FC" w:rsidRDefault="00B42EF3">
      <w:pPr>
        <w:pStyle w:val="Code"/>
      </w:pPr>
      <w:r>
        <w:t>exponent-character=</w:t>
      </w:r>
    </w:p>
    <w:p w:rsidR="005F78FC" w:rsidRDefault="00B42EF3">
      <w:pPr>
        <w:pStyle w:val="Code"/>
      </w:pPr>
      <w:r>
        <w:t xml:space="preserve">  "E" | "e" ;</w:t>
      </w:r>
    </w:p>
    <w:p w:rsidR="005F78FC" w:rsidRDefault="005F78FC">
      <w:pPr>
        <w:pStyle w:val="Code"/>
      </w:pPr>
    </w:p>
    <w:p w:rsidR="005F78FC" w:rsidRDefault="00B42EF3">
      <w:pPr>
        <w:pStyle w:val="Code"/>
      </w:pPr>
      <w:r>
        <w:t>digit-sequence=</w:t>
      </w:r>
    </w:p>
    <w:p w:rsidR="005F78FC" w:rsidRDefault="00B42EF3">
      <w:pPr>
        <w:pStyle w:val="Code"/>
      </w:pPr>
      <w:r>
        <w:t xml:space="preserve">  decimal-digit,  {decimal-digit}  ;</w:t>
      </w:r>
    </w:p>
    <w:p w:rsidR="005F78FC" w:rsidRDefault="00B42EF3">
      <w:pPr>
        <w:pStyle w:val="Code"/>
      </w:pPr>
      <w:r>
        <w:t>nonzero-digit-sequence=</w:t>
      </w:r>
    </w:p>
    <w:p w:rsidR="005F78FC" w:rsidRDefault="00B42EF3">
      <w:pPr>
        <w:pStyle w:val="Code"/>
      </w:pPr>
      <w:r>
        <w:t>nonzero-decimal-digit,  {decimal-digit}  ;</w:t>
      </w:r>
    </w:p>
    <w:p w:rsidR="005F78FC" w:rsidRDefault="00B42EF3">
      <w:pPr>
        <w:pStyle w:val="Code"/>
      </w:pPr>
      <w:r>
        <w:lastRenderedPageBreak/>
        <w:t xml:space="preserve">decimal-digit=               </w:t>
      </w:r>
    </w:p>
    <w:p w:rsidR="005F78FC" w:rsidRDefault="00B42EF3">
      <w:pPr>
        <w:pStyle w:val="Code"/>
      </w:pPr>
      <w:r>
        <w:t xml:space="preserve">  "0"  |  nonzero-decima</w:t>
      </w:r>
      <w:r>
        <w:t>l-digit  ;</w:t>
      </w:r>
    </w:p>
    <w:p w:rsidR="005F78FC" w:rsidRDefault="00B42EF3">
      <w:pPr>
        <w:pStyle w:val="Code"/>
      </w:pPr>
      <w:r>
        <w:t>nonzero-decimal-digit=</w:t>
      </w:r>
    </w:p>
    <w:p w:rsidR="005F78FC" w:rsidRDefault="00B42EF3">
      <w:pPr>
        <w:pStyle w:val="Code"/>
      </w:pPr>
      <w:r>
        <w:t xml:space="preserve">  "1"  |  "2"  |  "3"  |  "4"  |  </w:t>
      </w:r>
    </w:p>
    <w:p w:rsidR="005F78FC" w:rsidRDefault="00B42EF3">
      <w:pPr>
        <w:pStyle w:val="Code"/>
      </w:pPr>
      <w:r>
        <w:t xml:space="preserve">  "5"  |  "6"  |  "7"  |  "8"  |  "9"  ;</w:t>
      </w:r>
    </w:p>
    <w:p w:rsidR="005F78FC" w:rsidRDefault="005F78FC">
      <w:pPr>
        <w:pStyle w:val="Code"/>
      </w:pPr>
    </w:p>
    <w:p w:rsidR="005F78FC" w:rsidRDefault="00B42EF3">
      <w:pPr>
        <w:pStyle w:val="Code"/>
      </w:pPr>
      <w:r>
        <w:t>string-constant=</w:t>
      </w:r>
    </w:p>
    <w:p w:rsidR="005F78FC" w:rsidRDefault="00B42EF3">
      <w:pPr>
        <w:pStyle w:val="Code"/>
      </w:pPr>
      <w:r>
        <w:t xml:space="preserve">  double-quote, [string-chars], double-quote  ;</w:t>
      </w:r>
    </w:p>
    <w:p w:rsidR="005F78FC" w:rsidRDefault="00B42EF3">
      <w:pPr>
        <w:pStyle w:val="Code"/>
      </w:pPr>
      <w:r>
        <w:t>string-chars=</w:t>
      </w:r>
    </w:p>
    <w:p w:rsidR="005F78FC" w:rsidRDefault="00B42EF3">
      <w:pPr>
        <w:pStyle w:val="Code"/>
      </w:pPr>
      <w:r>
        <w:t xml:space="preserve">  string-char,  {string-char}  ;</w:t>
      </w:r>
    </w:p>
    <w:p w:rsidR="005F78FC" w:rsidRDefault="00B42EF3">
      <w:pPr>
        <w:pStyle w:val="Code"/>
      </w:pPr>
      <w:r>
        <w:t>string-char=</w:t>
      </w:r>
    </w:p>
    <w:p w:rsidR="005F78FC" w:rsidRDefault="00B42EF3">
      <w:pPr>
        <w:pStyle w:val="Code"/>
      </w:pPr>
      <w:r>
        <w:t xml:space="preserve">  escaped-double-quote  |</w:t>
      </w:r>
    </w:p>
    <w:p w:rsidR="005F78FC" w:rsidRDefault="00B42EF3">
      <w:pPr>
        <w:pStyle w:val="Code"/>
      </w:pPr>
      <w:r>
        <w:t xml:space="preserve">  character  -  double-quote  ;   (* any character except double-quote *)</w:t>
      </w:r>
    </w:p>
    <w:p w:rsidR="005F78FC" w:rsidRDefault="00B42EF3">
      <w:pPr>
        <w:pStyle w:val="Code"/>
      </w:pPr>
      <w:r>
        <w:t>escaped-double-quote=</w:t>
      </w:r>
    </w:p>
    <w:p w:rsidR="005F78FC" w:rsidRDefault="00B42EF3">
      <w:pPr>
        <w:pStyle w:val="Code"/>
      </w:pPr>
      <w:r>
        <w:t xml:space="preserve">  ' "" '  ;   (* consecutive double-quotes, with no space between them *)</w:t>
      </w:r>
    </w:p>
    <w:p w:rsidR="005F78FC" w:rsidRDefault="00B42EF3">
      <w:pPr>
        <w:pStyle w:val="Code"/>
      </w:pPr>
      <w:r>
        <w:t>double-quote=</w:t>
      </w:r>
    </w:p>
    <w:p w:rsidR="005F78FC" w:rsidRDefault="00B42EF3">
      <w:pPr>
        <w:pStyle w:val="Code"/>
      </w:pPr>
      <w:r>
        <w:t xml:space="preserve">  ' " '  ; (* one double-quote character*)</w:t>
      </w:r>
    </w:p>
    <w:p w:rsidR="005F78FC" w:rsidRDefault="00B42EF3">
      <w:pPr>
        <w:pStyle w:val="Code"/>
      </w:pPr>
      <w:r>
        <w:t>cha</w:t>
      </w:r>
      <w:r>
        <w:t>racter=</w:t>
      </w:r>
    </w:p>
    <w:p w:rsidR="005F78FC" w:rsidRDefault="00B42EF3">
      <w:pPr>
        <w:pStyle w:val="Code"/>
      </w:pPr>
      <w:r>
        <w:t xml:space="preserve">  as defined by the production Char in the XML 1.0 specification, §2.2.</w:t>
      </w:r>
    </w:p>
    <w:p w:rsidR="005F78FC" w:rsidRDefault="00B42EF3">
      <w:pPr>
        <w:pStyle w:val="Definition-Field"/>
      </w:pPr>
      <w:r>
        <w:t xml:space="preserve">b.   </w:t>
      </w:r>
      <w:r>
        <w:rPr>
          <w:i/>
        </w:rPr>
        <w:t>The standard does not specify the set of productions for array-constant using EBNF.</w:t>
      </w:r>
    </w:p>
    <w:p w:rsidR="005F78FC" w:rsidRDefault="00B42EF3">
      <w:r>
        <w:t>Office writes the productions for array-constant using the following EBNF:</w:t>
      </w:r>
    </w:p>
    <w:p w:rsidR="005F78FC" w:rsidRDefault="00B42EF3">
      <w:pPr>
        <w:pStyle w:val="Code"/>
      </w:pPr>
      <w:r>
        <w:t>array-consta</w:t>
      </w:r>
      <w:r>
        <w:t>nt=</w:t>
      </w:r>
    </w:p>
    <w:p w:rsidR="005F78FC" w:rsidRDefault="00B42EF3">
      <w:pPr>
        <w:pStyle w:val="Code"/>
      </w:pPr>
      <w:r>
        <w:t xml:space="preserve">  "{",  constant-list-rows,  "}"  ;</w:t>
      </w:r>
    </w:p>
    <w:p w:rsidR="005F78FC" w:rsidRDefault="00B42EF3">
      <w:pPr>
        <w:pStyle w:val="Code"/>
      </w:pPr>
      <w:r>
        <w:t>constant-list-rows=</w:t>
      </w:r>
    </w:p>
    <w:p w:rsidR="005F78FC" w:rsidRDefault="00B42EF3">
      <w:pPr>
        <w:pStyle w:val="Code"/>
      </w:pPr>
      <w:r>
        <w:t xml:space="preserve">  constant-list-row,  {  semicolon,  constant-list-row  }  ;</w:t>
      </w:r>
    </w:p>
    <w:p w:rsidR="005F78FC" w:rsidRDefault="00B42EF3">
      <w:pPr>
        <w:pStyle w:val="Code"/>
      </w:pPr>
      <w:r>
        <w:t>semicolon=</w:t>
      </w:r>
    </w:p>
    <w:p w:rsidR="005F78FC" w:rsidRDefault="00B42EF3">
      <w:pPr>
        <w:pStyle w:val="Code"/>
      </w:pPr>
      <w:r>
        <w:t xml:space="preserve">  ";"    ;</w:t>
      </w:r>
    </w:p>
    <w:p w:rsidR="005F78FC" w:rsidRDefault="00B42EF3">
      <w:pPr>
        <w:pStyle w:val="Code"/>
      </w:pPr>
      <w:r>
        <w:t xml:space="preserve">constant-list-row=                     </w:t>
      </w:r>
    </w:p>
    <w:p w:rsidR="005F78FC" w:rsidRDefault="00B42EF3">
      <w:pPr>
        <w:pStyle w:val="Code"/>
      </w:pPr>
      <w:r>
        <w:t xml:space="preserve">  constant,  {  comma,  constant  }  ;</w:t>
      </w:r>
    </w:p>
    <w:p w:rsidR="005F78FC" w:rsidRDefault="00B42EF3">
      <w:pPr>
        <w:pStyle w:val="Definition-Field"/>
      </w:pPr>
      <w:r>
        <w:t xml:space="preserve">c.   </w:t>
      </w:r>
      <w:r>
        <w:rPr>
          <w:i/>
        </w:rPr>
        <w:t>The standard does not list #G</w:t>
      </w:r>
      <w:r>
        <w:rPr>
          <w:i/>
        </w:rPr>
        <w:t>ETTING_DATA as being saved in any formulas.</w:t>
      </w:r>
    </w:p>
    <w:p w:rsidR="005F78FC" w:rsidRDefault="00B42EF3">
      <w:pPr>
        <w:pStyle w:val="Definition-Field2"/>
      </w:pPr>
      <w:r>
        <w:t>Office saves #GETTING_DATA in formulas.</w:t>
      </w:r>
    </w:p>
    <w:p w:rsidR="005F78FC" w:rsidRDefault="00B42EF3">
      <w:pPr>
        <w:pStyle w:val="Heading3"/>
      </w:pPr>
      <w:bookmarkStart w:id="1742" w:name="section_caae6c6efc424f27ad8f91002f4e56ac"/>
      <w:bookmarkStart w:id="1743" w:name="_Toc69878644"/>
      <w:r>
        <w:t>Part 1 Section 18.17.2.2, Operators</w:t>
      </w:r>
      <w:bookmarkEnd w:id="1742"/>
      <w:bookmarkEnd w:id="1743"/>
      <w:r>
        <w:fldChar w:fldCharType="begin"/>
      </w:r>
      <w:r>
        <w:instrText xml:space="preserve"> XE "Operators" </w:instrText>
      </w:r>
      <w:r>
        <w:fldChar w:fldCharType="end"/>
      </w:r>
    </w:p>
    <w:p w:rsidR="005F78FC" w:rsidRDefault="00B42EF3">
      <w:pPr>
        <w:pStyle w:val="Definition-Field"/>
      </w:pPr>
      <w:r>
        <w:t xml:space="preserve">a.   </w:t>
      </w:r>
      <w:r>
        <w:rPr>
          <w:i/>
        </w:rPr>
        <w:t>The standard does not specify the productions for operator using EBNF.</w:t>
      </w:r>
    </w:p>
    <w:p w:rsidR="005F78FC" w:rsidRDefault="00B42EF3">
      <w:r>
        <w:t>Office writes the productions for operator</w:t>
      </w:r>
      <w:r>
        <w:t xml:space="preserve"> using the following EBNF:</w:t>
      </w:r>
    </w:p>
    <w:p w:rsidR="005F78FC" w:rsidRDefault="00B42EF3">
      <w:pPr>
        <w:pStyle w:val="Code"/>
      </w:pPr>
      <w:r>
        <w:t>operator=</w:t>
      </w:r>
    </w:p>
    <w:p w:rsidR="005F78FC" w:rsidRDefault="00B42EF3">
      <w:pPr>
        <w:pStyle w:val="Code"/>
      </w:pPr>
      <w:r>
        <w:t xml:space="preserve">  ":"  |  comma  |  space  |  "^"  |  "*"  |  "/"  |  "+"  |  "-"</w:t>
      </w:r>
    </w:p>
    <w:p w:rsidR="005F78FC" w:rsidRDefault="00B42EF3">
      <w:pPr>
        <w:pStyle w:val="Code"/>
      </w:pPr>
      <w:r>
        <w:t xml:space="preserve">  |  "&amp;"  |  "="  |  "&lt;&gt;"  |  "&lt;"  |  "&lt;="  |  "&gt;"  |  "&gt;="  |  "%"  ;</w:t>
      </w:r>
    </w:p>
    <w:p w:rsidR="005F78FC" w:rsidRDefault="00B42EF3">
      <w:pPr>
        <w:pStyle w:val="Code"/>
      </w:pPr>
      <w:r>
        <w:t>infix-operator=</w:t>
      </w:r>
    </w:p>
    <w:p w:rsidR="005F78FC" w:rsidRDefault="00B42EF3">
      <w:pPr>
        <w:pStyle w:val="Code"/>
      </w:pPr>
      <w:r>
        <w:t xml:space="preserve">  ":"  |  comma  |  space  |  "^"  |  "*"  |  "/"  |  "+"  |  "-"  |  "&amp;"</w:t>
      </w:r>
    </w:p>
    <w:p w:rsidR="005F78FC" w:rsidRDefault="00B42EF3">
      <w:pPr>
        <w:pStyle w:val="Code"/>
      </w:pPr>
      <w:r>
        <w:t xml:space="preserve">  |  "="  |  "&lt;&gt;"  |  "&lt;"  |  "&lt;="  |  "&gt;"  |  "&gt;="  ;</w:t>
      </w:r>
    </w:p>
    <w:p w:rsidR="005F78FC" w:rsidRDefault="00B42EF3">
      <w:pPr>
        <w:pStyle w:val="Code"/>
      </w:pPr>
      <w:r>
        <w:t>postfix-operator=</w:t>
      </w:r>
    </w:p>
    <w:p w:rsidR="005F78FC" w:rsidRDefault="00B42EF3">
      <w:pPr>
        <w:pStyle w:val="Code"/>
      </w:pPr>
      <w:r>
        <w:t xml:space="preserve">  "%"  ;</w:t>
      </w:r>
    </w:p>
    <w:p w:rsidR="005F78FC" w:rsidRDefault="00B42EF3">
      <w:pPr>
        <w:pStyle w:val="Code"/>
      </w:pPr>
      <w:r>
        <w:t>prefix-operator=</w:t>
      </w:r>
    </w:p>
    <w:p w:rsidR="005F78FC" w:rsidRDefault="00B42EF3">
      <w:pPr>
        <w:pStyle w:val="Code"/>
      </w:pPr>
      <w:r>
        <w:t xml:space="preserve">  "+"  |  "-";</w:t>
      </w:r>
    </w:p>
    <w:p w:rsidR="005F78FC" w:rsidRDefault="00B42EF3">
      <w:pPr>
        <w:pStyle w:val="Definition-Field"/>
      </w:pPr>
      <w:r>
        <w:t xml:space="preserve">b.   </w:t>
      </w:r>
      <w:r>
        <w:rPr>
          <w:i/>
        </w:rPr>
        <w:t>The standard states that an expression with value 0 tests logic</w:t>
      </w:r>
      <w:r>
        <w:rPr>
          <w:i/>
        </w:rPr>
        <w:t>ally false while one with any nonzero value tests true.</w:t>
      </w:r>
    </w:p>
    <w:p w:rsidR="005F78FC" w:rsidRDefault="00B42EF3">
      <w:pPr>
        <w:pStyle w:val="Definition-Field2"/>
      </w:pPr>
      <w:r>
        <w:t>In Office, an expression with value 0 tests logically false while one with any nonzero numeric value tests true.</w:t>
      </w:r>
    </w:p>
    <w:p w:rsidR="005F78FC" w:rsidRDefault="00B42EF3">
      <w:pPr>
        <w:pStyle w:val="Heading3"/>
      </w:pPr>
      <w:bookmarkStart w:id="1744" w:name="section_3c420ebb6ef14b0d959d76e88c841c3e"/>
      <w:bookmarkStart w:id="1745" w:name="_Toc69878645"/>
      <w:r>
        <w:lastRenderedPageBreak/>
        <w:t>Part 1 Section 18.17.2.3, Cell References</w:t>
      </w:r>
      <w:bookmarkEnd w:id="1744"/>
      <w:bookmarkEnd w:id="1745"/>
      <w:r>
        <w:fldChar w:fldCharType="begin"/>
      </w:r>
      <w:r>
        <w:instrText xml:space="preserve"> XE "Cell References" </w:instrText>
      </w:r>
      <w:r>
        <w:fldChar w:fldCharType="end"/>
      </w:r>
    </w:p>
    <w:p w:rsidR="005F78FC" w:rsidRDefault="00B42EF3">
      <w:pPr>
        <w:pStyle w:val="Definition-Field"/>
      </w:pPr>
      <w:r>
        <w:t xml:space="preserve">a.   </w:t>
      </w:r>
      <w:r>
        <w:rPr>
          <w:i/>
        </w:rPr>
        <w:t>The standard doe</w:t>
      </w:r>
      <w:r>
        <w:rPr>
          <w:i/>
        </w:rPr>
        <w:t>s not specify the productions for cell-reference using EBNF.</w:t>
      </w:r>
    </w:p>
    <w:p w:rsidR="005F78FC" w:rsidRDefault="00B42EF3">
      <w:r>
        <w:t>Office writes the productions for cell-reference using the following EBNF:</w:t>
      </w:r>
    </w:p>
    <w:p w:rsidR="005F78FC" w:rsidRDefault="00B42EF3">
      <w:pPr>
        <w:pStyle w:val="Code"/>
      </w:pPr>
      <w:r>
        <w:t>cell-reference= external-cell-reference | A1-reference ;</w:t>
      </w:r>
    </w:p>
    <w:p w:rsidR="005F78FC" w:rsidRDefault="00B42EF3">
      <w:pPr>
        <w:pStyle w:val="Code"/>
      </w:pPr>
      <w:r>
        <w:t>external-cell-reference= sheets-prefix, A1-reference ;</w:t>
      </w:r>
    </w:p>
    <w:p w:rsidR="005F78FC" w:rsidRDefault="00B42EF3">
      <w:pPr>
        <w:pStyle w:val="Code"/>
      </w:pPr>
      <w:r>
        <w:t>book-pre</w:t>
      </w:r>
      <w:r>
        <w:t xml:space="preserve">fix= workbook-index, "!" ; </w:t>
      </w:r>
    </w:p>
    <w:p w:rsidR="005F78FC" w:rsidRDefault="00B42EF3">
      <w:pPr>
        <w:pStyle w:val="Code"/>
      </w:pPr>
      <w:r>
        <w:t>sheets-prefix = single-sheet-prefix |</w:t>
      </w:r>
    </w:p>
    <w:p w:rsidR="005F78FC" w:rsidRDefault="00B42EF3">
      <w:pPr>
        <w:pStyle w:val="Code"/>
      </w:pPr>
      <w:r>
        <w:t xml:space="preserve">  sheet-range, "!" ; </w:t>
      </w:r>
    </w:p>
    <w:p w:rsidR="005F78FC" w:rsidRDefault="00B42EF3">
      <w:pPr>
        <w:pStyle w:val="Code"/>
      </w:pPr>
      <w:r>
        <w:t>single-sheet-prefix = single-sheet, "!" ;</w:t>
      </w:r>
    </w:p>
    <w:p w:rsidR="005F78FC" w:rsidRDefault="00B42EF3">
      <w:pPr>
        <w:pStyle w:val="Code"/>
      </w:pPr>
      <w:r>
        <w:t>single-sheet= [workbook-index] sheet-name |</w:t>
      </w:r>
    </w:p>
    <w:p w:rsidR="005F78FC" w:rsidRDefault="00B42EF3">
      <w:pPr>
        <w:pStyle w:val="Code"/>
      </w:pPr>
      <w:r>
        <w:t xml:space="preserve">  apostrophe,  [workbook-index] sheet-name-special,  apostrophe ;</w:t>
      </w:r>
    </w:p>
    <w:p w:rsidR="005F78FC" w:rsidRDefault="00B42EF3">
      <w:pPr>
        <w:pStyle w:val="Code"/>
      </w:pPr>
      <w:r>
        <w:t>sheet-range= [wo</w:t>
      </w:r>
      <w:r>
        <w:t>rkbook-index], sheet-name, ":", sheet-name |</w:t>
      </w:r>
    </w:p>
    <w:p w:rsidR="005F78FC" w:rsidRDefault="00B42EF3">
      <w:pPr>
        <w:pStyle w:val="Code"/>
      </w:pPr>
      <w:r>
        <w:t xml:space="preserve">apostrophe,  [workbook-index] sheet-name-special, ":", sheet-name-special,  apostrophe ; </w:t>
      </w:r>
    </w:p>
    <w:p w:rsidR="005F78FC" w:rsidRDefault="00B42EF3">
      <w:pPr>
        <w:pStyle w:val="Code"/>
      </w:pPr>
      <w:r>
        <w:t>workbook-index =</w:t>
      </w:r>
    </w:p>
    <w:p w:rsidR="005F78FC" w:rsidRDefault="00B42EF3">
      <w:pPr>
        <w:pStyle w:val="Code"/>
      </w:pPr>
      <w:r>
        <w:t xml:space="preserve">  "[",  whole-number-part,  "]" ;</w:t>
      </w:r>
    </w:p>
    <w:p w:rsidR="005F78FC" w:rsidRDefault="00B42EF3">
      <w:pPr>
        <w:pStyle w:val="Code"/>
      </w:pPr>
      <w:r>
        <w:t>sheet-name=</w:t>
      </w:r>
    </w:p>
    <w:p w:rsidR="005F78FC" w:rsidRDefault="00B42EF3">
      <w:pPr>
        <w:pStyle w:val="Code"/>
      </w:pPr>
      <w:r>
        <w:t xml:space="preserve">  sheet-name-characters ;</w:t>
      </w:r>
    </w:p>
    <w:p w:rsidR="005F78FC" w:rsidRDefault="00B42EF3">
      <w:pPr>
        <w:pStyle w:val="Code"/>
      </w:pPr>
      <w:r>
        <w:t>sheet-name-characters=</w:t>
      </w:r>
    </w:p>
    <w:p w:rsidR="005F78FC" w:rsidRDefault="00B42EF3">
      <w:pPr>
        <w:pStyle w:val="Code"/>
      </w:pPr>
      <w:r>
        <w:t xml:space="preserve">  sheet-name-character,  {sheet-name-character} ;</w:t>
      </w:r>
    </w:p>
    <w:p w:rsidR="005F78FC" w:rsidRDefault="00B42EF3">
      <w:pPr>
        <w:pStyle w:val="Code"/>
      </w:pPr>
      <w:r>
        <w:t>sheet-name-character=</w:t>
      </w:r>
    </w:p>
    <w:p w:rsidR="005F78FC" w:rsidRDefault="00B42EF3">
      <w:pPr>
        <w:pStyle w:val="Code"/>
      </w:pPr>
      <w:r>
        <w:t xml:space="preserve">  character – (operator  |  apostrophe  |  "["  |  "]"  |  "\"  |  "?") ;</w:t>
      </w:r>
    </w:p>
    <w:p w:rsidR="005F78FC" w:rsidRDefault="00B42EF3">
      <w:pPr>
        <w:pStyle w:val="Code"/>
      </w:pPr>
      <w:r>
        <w:t xml:space="preserve">             (* any character except operator or ', [, ], \, or ? *)</w:t>
      </w:r>
    </w:p>
    <w:p w:rsidR="005F78FC" w:rsidRDefault="00B42EF3">
      <w:pPr>
        <w:pStyle w:val="Code"/>
      </w:pPr>
      <w:r>
        <w:t>apostrophe= "'"   ;</w:t>
      </w:r>
    </w:p>
    <w:p w:rsidR="005F78FC" w:rsidRDefault="00B42EF3">
      <w:pPr>
        <w:pStyle w:val="Code"/>
      </w:pPr>
      <w:r>
        <w:t>space = " "   ;</w:t>
      </w:r>
    </w:p>
    <w:p w:rsidR="005F78FC" w:rsidRDefault="00B42EF3">
      <w:pPr>
        <w:pStyle w:val="Code"/>
      </w:pPr>
      <w:r>
        <w:t>sheet</w:t>
      </w:r>
      <w:r>
        <w:t>-name-special=</w:t>
      </w:r>
    </w:p>
    <w:p w:rsidR="005F78FC" w:rsidRDefault="00B42EF3">
      <w:pPr>
        <w:pStyle w:val="Code"/>
      </w:pPr>
      <w:r>
        <w:t xml:space="preserve">  sheet-name-start-character-special,  </w:t>
      </w:r>
    </w:p>
    <w:p w:rsidR="005F78FC" w:rsidRDefault="00B42EF3">
      <w:pPr>
        <w:pStyle w:val="Code"/>
      </w:pPr>
      <w:r>
        <w:t xml:space="preserve">    [ [sheet-name-characters-special], sheet-name-end-character-special] ;</w:t>
      </w:r>
    </w:p>
    <w:p w:rsidR="005F78FC" w:rsidRDefault="00B42EF3">
      <w:pPr>
        <w:pStyle w:val="Code"/>
      </w:pPr>
      <w:r>
        <w:t>sheet-name-start-character-special=</w:t>
      </w:r>
    </w:p>
    <w:p w:rsidR="005F78FC" w:rsidRDefault="00B42EF3">
      <w:pPr>
        <w:pStyle w:val="Code"/>
      </w:pPr>
      <w:r>
        <w:t xml:space="preserve">  character  –  (apostrophe  |  "*"  |  "["  |  "]"  |  "\"  |  ":"  |  "/"</w:t>
      </w:r>
    </w:p>
    <w:p w:rsidR="005F78FC" w:rsidRDefault="00B42EF3">
      <w:pPr>
        <w:pStyle w:val="Code"/>
      </w:pPr>
      <w:r>
        <w:t>|  "?" | ? Uni</w:t>
      </w:r>
      <w:r>
        <w:t>code character END OF TEXT ? )  ;</w:t>
      </w:r>
    </w:p>
    <w:p w:rsidR="005F78FC" w:rsidRDefault="00B42EF3">
      <w:pPr>
        <w:pStyle w:val="Code"/>
      </w:pPr>
      <w:r>
        <w:t>(* any character, including operator, except ', *, [, ], \, :, /, ?, or END OF TEXT *)</w:t>
      </w:r>
    </w:p>
    <w:p w:rsidR="005F78FC" w:rsidRDefault="00B42EF3">
      <w:pPr>
        <w:pStyle w:val="Code"/>
      </w:pPr>
      <w:r>
        <w:t>sheet-name-end-character-special=</w:t>
      </w:r>
    </w:p>
    <w:p w:rsidR="005F78FC" w:rsidRDefault="00B42EF3">
      <w:pPr>
        <w:pStyle w:val="Code"/>
      </w:pPr>
      <w:r>
        <w:t xml:space="preserve">  sheet-name-start-character-special  ;</w:t>
      </w:r>
    </w:p>
    <w:p w:rsidR="005F78FC" w:rsidRDefault="00B42EF3">
      <w:pPr>
        <w:pStyle w:val="Code"/>
      </w:pPr>
      <w:r>
        <w:t>sheet-name-characters-special=</w:t>
      </w:r>
    </w:p>
    <w:p w:rsidR="005F78FC" w:rsidRDefault="00B42EF3">
      <w:pPr>
        <w:pStyle w:val="Code"/>
      </w:pPr>
      <w:r>
        <w:t xml:space="preserve">  sheet-name-character-special,  {sheet-name-character-special}  ;</w:t>
      </w:r>
    </w:p>
    <w:p w:rsidR="005F78FC" w:rsidRDefault="00B42EF3">
      <w:pPr>
        <w:pStyle w:val="Code"/>
      </w:pPr>
      <w:r>
        <w:t>sheet-name-character-special=</w:t>
      </w:r>
    </w:p>
    <w:p w:rsidR="005F78FC" w:rsidRDefault="00B42EF3">
      <w:pPr>
        <w:pStyle w:val="Code"/>
      </w:pPr>
      <w:r>
        <w:t xml:space="preserve">  apostrophe, apostrophe  |</w:t>
      </w:r>
    </w:p>
    <w:p w:rsidR="005F78FC" w:rsidRDefault="00B42EF3">
      <w:pPr>
        <w:pStyle w:val="Code"/>
      </w:pPr>
      <w:r>
        <w:t xml:space="preserve">  character  –  (apostrophe  |  "*"  |  "["  |  "]"  |  "\"  |  ":"  |  "/"</w:t>
      </w:r>
    </w:p>
    <w:p w:rsidR="005F78FC" w:rsidRDefault="00B42EF3">
      <w:pPr>
        <w:pStyle w:val="Code"/>
      </w:pPr>
      <w:r>
        <w:t xml:space="preserve">  |  "?" | ? Unicode character END OF TEXT ? )  ;</w:t>
      </w:r>
    </w:p>
    <w:p w:rsidR="005F78FC" w:rsidRDefault="00B42EF3">
      <w:pPr>
        <w:pStyle w:val="Code"/>
      </w:pPr>
      <w:r>
        <w:t>(* an</w:t>
      </w:r>
      <w:r>
        <w:t>y character, including operator, except ', *, [, ], \, :, /, ?, or END OF TEXT *)</w:t>
      </w:r>
    </w:p>
    <w:p w:rsidR="005F78FC" w:rsidRDefault="00B42EF3">
      <w:pPr>
        <w:pStyle w:val="Definition-Field"/>
      </w:pPr>
      <w:r>
        <w:t xml:space="preserve">b.   </w:t>
      </w:r>
      <w:r>
        <w:rPr>
          <w:i/>
        </w:rPr>
        <w:t>The standard does not specify how external book index can be used to access a cell in external workbook.</w:t>
      </w:r>
    </w:p>
    <w:p w:rsidR="005F78FC" w:rsidRDefault="00B42EF3">
      <w:pPr>
        <w:pStyle w:val="Definition-Field2"/>
      </w:pPr>
      <w:r>
        <w:t>In Office, a nonzero index represents a reference to an external</w:t>
      </w:r>
      <w:r>
        <w:t xml:space="preserve"> book in an external link collection.</w:t>
      </w:r>
    </w:p>
    <w:p w:rsidR="005F78FC" w:rsidRDefault="00B42EF3">
      <w:pPr>
        <w:pStyle w:val="Definition-Field"/>
      </w:pPr>
      <w:r>
        <w:t xml:space="preserve">c.   </w:t>
      </w:r>
      <w:r>
        <w:rPr>
          <w:i/>
        </w:rPr>
        <w:t>The standard refers to absolute cell reference behavior when the position of the cell containing the formula changes.</w:t>
      </w:r>
    </w:p>
    <w:p w:rsidR="005F78FC" w:rsidRDefault="00B42EF3">
      <w:pPr>
        <w:pStyle w:val="Definition-Field2"/>
      </w:pPr>
      <w:r>
        <w:t>Excel does not relate the behavior of cells during move operations to relative or absolute refe</w:t>
      </w:r>
      <w:r>
        <w:t>rences.</w:t>
      </w:r>
    </w:p>
    <w:p w:rsidR="005F78FC" w:rsidRDefault="00B42EF3">
      <w:pPr>
        <w:pStyle w:val="Definition-Field"/>
      </w:pPr>
      <w:r>
        <w:t xml:space="preserve">d.   </w:t>
      </w:r>
      <w:r>
        <w:rPr>
          <w:i/>
        </w:rPr>
        <w:t>The standard states that functions which take 3D references are AVERAGE, AVERAGEA, COUNT, COUNTA, MAX, MAXA, MIN, MINA, PRODUCT, STDEV, STDEVA, STDEVP, STDEVPA, SUM, VAR, VARA, VARP, and VARPA.</w:t>
      </w:r>
    </w:p>
    <w:p w:rsidR="005F78FC" w:rsidRDefault="00B42EF3">
      <w:pPr>
        <w:pStyle w:val="Definition-Field2"/>
      </w:pPr>
      <w:r>
        <w:t>In Office, the following functions also take 3D r</w:t>
      </w:r>
      <w:r>
        <w:t>eferences: AND, AVEDEV, DEVSQ, GEOMEAN, HARMEAN, KURT, MEDIAN, NPV, OR, SKEW, SUMSQ, TRIMMEAN, and ZTEST.</w:t>
      </w:r>
    </w:p>
    <w:p w:rsidR="005F78FC" w:rsidRDefault="00B42EF3">
      <w:pPr>
        <w:pStyle w:val="Definition-Field"/>
      </w:pPr>
      <w:r>
        <w:t xml:space="preserve">e.   </w:t>
      </w:r>
      <w:r>
        <w:rPr>
          <w:i/>
        </w:rPr>
        <w:t>The standard states 3-D references shall not be used in multi-cell formulas.</w:t>
      </w:r>
    </w:p>
    <w:p w:rsidR="005F78FC" w:rsidRDefault="00B42EF3">
      <w:pPr>
        <w:pStyle w:val="Definition-Field2"/>
      </w:pPr>
      <w:r>
        <w:lastRenderedPageBreak/>
        <w:t xml:space="preserve">In Office, 3-D references can be used in array or multi-cell </w:t>
      </w:r>
      <w:r>
        <w:t>formulas within the same limits as in a single-cell formula.</w:t>
      </w:r>
    </w:p>
    <w:p w:rsidR="005F78FC" w:rsidRDefault="00B42EF3">
      <w:pPr>
        <w:pStyle w:val="Heading3"/>
      </w:pPr>
      <w:bookmarkStart w:id="1746" w:name="section_3b539277da4f49d094d484d9256afb36"/>
      <w:bookmarkStart w:id="1747" w:name="_Toc69878646"/>
      <w:r>
        <w:t>Part 1 Section 18.17.2.3.1, A1-Style Cell References</w:t>
      </w:r>
      <w:bookmarkEnd w:id="1746"/>
      <w:bookmarkEnd w:id="1747"/>
      <w:r>
        <w:fldChar w:fldCharType="begin"/>
      </w:r>
      <w:r>
        <w:instrText xml:space="preserve"> XE "A1-Style Cell References" </w:instrText>
      </w:r>
      <w:r>
        <w:fldChar w:fldCharType="end"/>
      </w:r>
    </w:p>
    <w:p w:rsidR="005F78FC" w:rsidRDefault="00B42EF3">
      <w:pPr>
        <w:pStyle w:val="Definition-Field"/>
      </w:pPr>
      <w:r>
        <w:t xml:space="preserve">a.   </w:t>
      </w:r>
      <w:r>
        <w:rPr>
          <w:i/>
        </w:rPr>
        <w:t>The standard does not specify the productions for A1-reference using EBNF.</w:t>
      </w:r>
    </w:p>
    <w:p w:rsidR="005F78FC" w:rsidRDefault="00B42EF3">
      <w:r>
        <w:t>Office writes the productions</w:t>
      </w:r>
      <w:r>
        <w:t xml:space="preserve"> for A1-reference using the following EBNF:</w:t>
      </w:r>
    </w:p>
    <w:p w:rsidR="005F78FC" w:rsidRDefault="00B42EF3">
      <w:pPr>
        <w:pStyle w:val="Code"/>
      </w:pPr>
      <w:r>
        <w:t>A1-reference=</w:t>
      </w:r>
    </w:p>
    <w:p w:rsidR="005F78FC" w:rsidRDefault="00B42EF3">
      <w:pPr>
        <w:pStyle w:val="Code"/>
      </w:pPr>
      <w:r>
        <w:t xml:space="preserve">  A1-column,  ":",  A1-column    |  </w:t>
      </w:r>
    </w:p>
    <w:p w:rsidR="005F78FC" w:rsidRDefault="00B42EF3">
      <w:pPr>
        <w:pStyle w:val="Code"/>
      </w:pPr>
      <w:r>
        <w:t xml:space="preserve">  A1-row,  ":", A1-row    |  </w:t>
      </w:r>
    </w:p>
    <w:p w:rsidR="005F78FC" w:rsidRDefault="00B42EF3">
      <w:pPr>
        <w:pStyle w:val="Code"/>
      </w:pPr>
      <w:r>
        <w:t xml:space="preserve">  A1-cell, ":", A1-cell |</w:t>
      </w:r>
    </w:p>
    <w:p w:rsidR="005F78FC" w:rsidRDefault="00B42EF3">
      <w:pPr>
        <w:pStyle w:val="Code"/>
      </w:pPr>
      <w:r>
        <w:t xml:space="preserve">  A1-cell ;</w:t>
      </w:r>
    </w:p>
    <w:p w:rsidR="005F78FC" w:rsidRDefault="00B42EF3">
      <w:pPr>
        <w:pStyle w:val="Code"/>
      </w:pPr>
      <w:r>
        <w:t>A1-cell=</w:t>
      </w:r>
    </w:p>
    <w:p w:rsidR="005F78FC" w:rsidRDefault="00B42EF3">
      <w:pPr>
        <w:pStyle w:val="Code"/>
      </w:pPr>
      <w:r>
        <w:t xml:space="preserve">  A1-column,  A1-row;</w:t>
      </w:r>
    </w:p>
    <w:p w:rsidR="005F78FC" w:rsidRDefault="00B42EF3">
      <w:pPr>
        <w:pStyle w:val="Code"/>
      </w:pPr>
      <w:r>
        <w:t>A1-column=</w:t>
      </w:r>
    </w:p>
    <w:p w:rsidR="005F78FC" w:rsidRDefault="00B42EF3">
      <w:pPr>
        <w:pStyle w:val="Code"/>
      </w:pPr>
      <w:r>
        <w:t xml:space="preserve">  A1-relative-column  |  </w:t>
      </w:r>
    </w:p>
    <w:p w:rsidR="005F78FC" w:rsidRDefault="00B42EF3">
      <w:pPr>
        <w:pStyle w:val="Code"/>
      </w:pPr>
      <w:r>
        <w:t xml:space="preserve">  A1-absolute-column  ;</w:t>
      </w:r>
    </w:p>
    <w:p w:rsidR="005F78FC" w:rsidRDefault="00B42EF3">
      <w:pPr>
        <w:pStyle w:val="Code"/>
      </w:pPr>
      <w:r>
        <w:t>A</w:t>
      </w:r>
      <w:r>
        <w:t>1-relative-column=</w:t>
      </w:r>
    </w:p>
    <w:p w:rsidR="005F78FC" w:rsidRDefault="00B42EF3">
      <w:pPr>
        <w:pStyle w:val="Code"/>
      </w:pPr>
      <w:r>
        <w:t xml:space="preserve">  letter, {letter}  ;  (* see semantic rules for A1-Style Cell References  ("</w:t>
      </w:r>
      <w:hyperlink r:id="rId140">
        <w:r>
          <w:rPr>
            <w:rStyle w:val="Hyperlink"/>
          </w:rPr>
          <w:t>[ISO/IEC-29500-1]</w:t>
        </w:r>
      </w:hyperlink>
      <w:r>
        <w:t xml:space="preserve"> §18.17.2.3.1") *)</w:t>
      </w:r>
    </w:p>
    <w:p w:rsidR="005F78FC" w:rsidRDefault="00B42EF3">
      <w:pPr>
        <w:pStyle w:val="Code"/>
      </w:pPr>
      <w:r>
        <w:t>letter=</w:t>
      </w:r>
    </w:p>
    <w:p w:rsidR="005F78FC" w:rsidRDefault="00B42EF3">
      <w:pPr>
        <w:pStyle w:val="Code"/>
      </w:pPr>
      <w:r>
        <w:t xml:space="preserve">  "A"|"B"|"C"|"D"|"E"|"F"|"G"|"H"|"I"|"J"|"K"|"L"|</w:t>
      </w:r>
      <w:r>
        <w:t>"M"|</w:t>
      </w:r>
    </w:p>
    <w:p w:rsidR="005F78FC" w:rsidRDefault="00B42EF3">
      <w:pPr>
        <w:pStyle w:val="Code"/>
      </w:pPr>
      <w:r>
        <w:t xml:space="preserve">  "N"|"O"|"P"|"Q"|"R"|"S"|"T"|"U"|"V"|"W"|"X"|"Y"|"Z"|</w:t>
      </w:r>
    </w:p>
    <w:p w:rsidR="005F78FC" w:rsidRDefault="00B42EF3">
      <w:pPr>
        <w:pStyle w:val="Code"/>
      </w:pPr>
      <w:r>
        <w:t xml:space="preserve">  "a"|"b"|"c"|"d"|"e"|"f"|"g"|"h"|"i"|"j"|"k"|"l"|"m"|</w:t>
      </w:r>
    </w:p>
    <w:p w:rsidR="005F78FC" w:rsidRDefault="00B42EF3">
      <w:pPr>
        <w:pStyle w:val="Code"/>
      </w:pPr>
      <w:r>
        <w:t xml:space="preserve">  "n"|"o"|"p"|"q"|"r"|"s"|"t"|"u"|"v"|"w"|"x"|"y"|"z"  ;</w:t>
      </w:r>
    </w:p>
    <w:p w:rsidR="005F78FC" w:rsidRDefault="00B42EF3">
      <w:pPr>
        <w:pStyle w:val="Code"/>
      </w:pPr>
      <w:r>
        <w:t>A1-absolute-column=</w:t>
      </w:r>
    </w:p>
    <w:p w:rsidR="005F78FC" w:rsidRDefault="00B42EF3">
      <w:pPr>
        <w:pStyle w:val="Code"/>
      </w:pPr>
      <w:r>
        <w:t xml:space="preserve">  "$", A1-relative-column  ; </w:t>
      </w:r>
    </w:p>
    <w:p w:rsidR="005F78FC" w:rsidRDefault="00B42EF3">
      <w:pPr>
        <w:pStyle w:val="Code"/>
      </w:pPr>
      <w:r>
        <w:t>A1-row=</w:t>
      </w:r>
    </w:p>
    <w:p w:rsidR="005F78FC" w:rsidRDefault="00B42EF3">
      <w:pPr>
        <w:pStyle w:val="Code"/>
      </w:pPr>
      <w:r>
        <w:t xml:space="preserve">  A1-relative-row  |  </w:t>
      </w:r>
    </w:p>
    <w:p w:rsidR="005F78FC" w:rsidRDefault="00B42EF3">
      <w:pPr>
        <w:pStyle w:val="Code"/>
      </w:pPr>
      <w:r>
        <w:t xml:space="preserve">  A</w:t>
      </w:r>
      <w:r>
        <w:t>1-absolute-row  ;</w:t>
      </w:r>
    </w:p>
    <w:p w:rsidR="005F78FC" w:rsidRDefault="00B42EF3">
      <w:pPr>
        <w:pStyle w:val="Code"/>
      </w:pPr>
      <w:r>
        <w:t>A1-relative-row=</w:t>
      </w:r>
    </w:p>
    <w:p w:rsidR="005F78FC" w:rsidRDefault="00B42EF3">
      <w:pPr>
        <w:pStyle w:val="Code"/>
      </w:pPr>
      <w:r>
        <w:t xml:space="preserve">  digit-sequence  ;  (* must be nonzero; see A1-Style Cell References  ("[ISO/IEC-29500-1] §18.17.2.3.1") *)</w:t>
      </w:r>
    </w:p>
    <w:p w:rsidR="005F78FC" w:rsidRDefault="00B42EF3">
      <w:pPr>
        <w:pStyle w:val="Code"/>
      </w:pPr>
      <w:r>
        <w:t>A1-absolute-row=</w:t>
      </w:r>
    </w:p>
    <w:p w:rsidR="005F78FC" w:rsidRDefault="00B42EF3">
      <w:pPr>
        <w:pStyle w:val="Code"/>
      </w:pPr>
      <w:r>
        <w:t xml:space="preserve">  “$”, A1-relative-row  ; </w:t>
      </w:r>
    </w:p>
    <w:p w:rsidR="005F78FC" w:rsidRDefault="00B42EF3">
      <w:pPr>
        <w:pStyle w:val="Heading3"/>
      </w:pPr>
      <w:bookmarkStart w:id="1748" w:name="section_8d68c790057144f68583f837e72635ed"/>
      <w:bookmarkStart w:id="1749" w:name="_Toc69878647"/>
      <w:r>
        <w:t>Part 1 Section 18.17.2.3.2, R1C1-Style Cell Reference</w:t>
      </w:r>
      <w:bookmarkEnd w:id="1748"/>
      <w:bookmarkEnd w:id="1749"/>
      <w:r>
        <w:fldChar w:fldCharType="begin"/>
      </w:r>
      <w:r>
        <w:instrText xml:space="preserve"> XE "R1C1-Style Cell Reference" </w:instrText>
      </w:r>
      <w:r>
        <w:fldChar w:fldCharType="end"/>
      </w:r>
    </w:p>
    <w:p w:rsidR="005F78FC" w:rsidRDefault="00B42EF3">
      <w:pPr>
        <w:pStyle w:val="Definition-Field"/>
      </w:pPr>
      <w:r>
        <w:t xml:space="preserve">a.   </w:t>
      </w:r>
      <w:r>
        <w:rPr>
          <w:i/>
        </w:rPr>
        <w:t>The standard does not use EBNF to specify the productions for R1C1-reference.</w:t>
      </w:r>
    </w:p>
    <w:p w:rsidR="005F78FC" w:rsidRDefault="00B42EF3">
      <w:r>
        <w:t>Office writes the productions for R1C1-reference using the following EBNF:</w:t>
      </w:r>
    </w:p>
    <w:p w:rsidR="005F78FC" w:rsidRDefault="00B42EF3">
      <w:pPr>
        <w:pStyle w:val="Code"/>
      </w:pPr>
      <w:r>
        <w:t>R1C1-reference=</w:t>
      </w:r>
    </w:p>
    <w:p w:rsidR="005F78FC" w:rsidRDefault="00B42EF3">
      <w:pPr>
        <w:pStyle w:val="Code"/>
      </w:pPr>
      <w:r>
        <w:t xml:space="preserve">  R1C1-row-only    |  </w:t>
      </w:r>
    </w:p>
    <w:p w:rsidR="005F78FC" w:rsidRDefault="00B42EF3">
      <w:pPr>
        <w:pStyle w:val="Code"/>
      </w:pPr>
      <w:r>
        <w:t xml:space="preserve">  R1C1-column-only    | </w:t>
      </w:r>
      <w:r>
        <w:t xml:space="preserve"> </w:t>
      </w:r>
    </w:p>
    <w:p w:rsidR="005F78FC" w:rsidRDefault="00B42EF3">
      <w:pPr>
        <w:pStyle w:val="Code"/>
      </w:pPr>
      <w:r>
        <w:t xml:space="preserve">  R1C1-cell, ":", R1C1-cell |</w:t>
      </w:r>
    </w:p>
    <w:p w:rsidR="005F78FC" w:rsidRDefault="00B42EF3">
      <w:pPr>
        <w:pStyle w:val="Code"/>
      </w:pPr>
      <w:r>
        <w:t xml:space="preserve">  R1C1-cell ;</w:t>
      </w:r>
    </w:p>
    <w:p w:rsidR="005F78FC" w:rsidRDefault="00B42EF3">
      <w:pPr>
        <w:pStyle w:val="Code"/>
      </w:pPr>
      <w:r>
        <w:t>R1C1-cell=</w:t>
      </w:r>
    </w:p>
    <w:p w:rsidR="005F78FC" w:rsidRDefault="00B42EF3">
      <w:pPr>
        <w:pStyle w:val="Code"/>
      </w:pPr>
      <w:r>
        <w:t xml:space="preserve">  R1C1-row,  R1C1-column  ;</w:t>
      </w:r>
    </w:p>
    <w:p w:rsidR="005F78FC" w:rsidRDefault="00B42EF3">
      <w:pPr>
        <w:pStyle w:val="Code"/>
      </w:pPr>
      <w:r>
        <w:t>R1C1-row-only=</w:t>
      </w:r>
    </w:p>
    <w:p w:rsidR="005F78FC" w:rsidRDefault="00B42EF3">
      <w:pPr>
        <w:pStyle w:val="Code"/>
      </w:pPr>
      <w:r>
        <w:t xml:space="preserve">  "R",  R1C1-absolute-number,   |  </w:t>
      </w:r>
    </w:p>
    <w:p w:rsidR="005F78FC" w:rsidRDefault="00B42EF3">
      <w:pPr>
        <w:pStyle w:val="Code"/>
      </w:pPr>
      <w:r>
        <w:t xml:space="preserve">  "R[",  R1C1-relative-number, "]"  ;</w:t>
      </w:r>
    </w:p>
    <w:p w:rsidR="005F78FC" w:rsidRDefault="00B42EF3">
      <w:pPr>
        <w:pStyle w:val="Code"/>
      </w:pPr>
      <w:r>
        <w:t>R1C1-row=</w:t>
      </w:r>
    </w:p>
    <w:p w:rsidR="005F78FC" w:rsidRDefault="00B42EF3">
      <w:pPr>
        <w:pStyle w:val="Code"/>
      </w:pPr>
      <w:r>
        <w:t xml:space="preserve">  R1C1-relative-row  |  </w:t>
      </w:r>
    </w:p>
    <w:p w:rsidR="005F78FC" w:rsidRDefault="00B42EF3">
      <w:pPr>
        <w:pStyle w:val="Code"/>
      </w:pPr>
      <w:r>
        <w:t xml:space="preserve">  R1C1-absolute-row  ;</w:t>
      </w:r>
    </w:p>
    <w:p w:rsidR="005F78FC" w:rsidRDefault="00B42EF3">
      <w:pPr>
        <w:pStyle w:val="Code"/>
      </w:pPr>
      <w:r>
        <w:t xml:space="preserve">R1C1-relative-row= "R"  </w:t>
      </w:r>
      <w:r>
        <w:t xml:space="preserve">  |</w:t>
      </w:r>
    </w:p>
    <w:p w:rsidR="005F78FC" w:rsidRDefault="00B42EF3">
      <w:pPr>
        <w:pStyle w:val="Code"/>
      </w:pPr>
      <w:r>
        <w:t xml:space="preserve">  "R[",  R1C1-relative-number, "]"  ;  </w:t>
      </w:r>
    </w:p>
    <w:p w:rsidR="005F78FC" w:rsidRDefault="00B42EF3">
      <w:pPr>
        <w:pStyle w:val="Code"/>
      </w:pPr>
      <w:r>
        <w:t>R1C1-absolute-row=</w:t>
      </w:r>
    </w:p>
    <w:p w:rsidR="005F78FC" w:rsidRDefault="00B42EF3">
      <w:pPr>
        <w:pStyle w:val="Code"/>
      </w:pPr>
      <w:r>
        <w:t xml:space="preserve">  "R", R1C1-absolute-number  ; </w:t>
      </w:r>
    </w:p>
    <w:p w:rsidR="005F78FC" w:rsidRDefault="00B42EF3">
      <w:pPr>
        <w:pStyle w:val="Code"/>
      </w:pPr>
      <w:r>
        <w:t>R1C1-column-only=</w:t>
      </w:r>
    </w:p>
    <w:p w:rsidR="005F78FC" w:rsidRDefault="00B42EF3">
      <w:pPr>
        <w:pStyle w:val="Code"/>
      </w:pPr>
      <w:r>
        <w:t xml:space="preserve">  "C",  R1C1-absolute-number  |  </w:t>
      </w:r>
    </w:p>
    <w:p w:rsidR="005F78FC" w:rsidRDefault="00B42EF3">
      <w:pPr>
        <w:pStyle w:val="Code"/>
      </w:pPr>
      <w:r>
        <w:t xml:space="preserve">  "C[",  R1C1-relative-number,  "]"  ;</w:t>
      </w:r>
    </w:p>
    <w:p w:rsidR="005F78FC" w:rsidRDefault="00B42EF3">
      <w:pPr>
        <w:pStyle w:val="Code"/>
      </w:pPr>
      <w:r>
        <w:lastRenderedPageBreak/>
        <w:t>R1C1-column=</w:t>
      </w:r>
    </w:p>
    <w:p w:rsidR="005F78FC" w:rsidRDefault="00B42EF3">
      <w:pPr>
        <w:pStyle w:val="Code"/>
      </w:pPr>
      <w:r>
        <w:t xml:space="preserve">  R1C1-relative-column  |  </w:t>
      </w:r>
    </w:p>
    <w:p w:rsidR="005F78FC" w:rsidRDefault="00B42EF3">
      <w:pPr>
        <w:pStyle w:val="Code"/>
      </w:pPr>
      <w:r>
        <w:t xml:space="preserve">  R1C1-absolute-column  ;</w:t>
      </w:r>
    </w:p>
    <w:p w:rsidR="005F78FC" w:rsidRDefault="00B42EF3">
      <w:pPr>
        <w:pStyle w:val="Code"/>
      </w:pPr>
      <w:r>
        <w:t>R1C1-relative-column= "C"    |</w:t>
      </w:r>
    </w:p>
    <w:p w:rsidR="005F78FC" w:rsidRDefault="00B42EF3">
      <w:pPr>
        <w:pStyle w:val="Code"/>
      </w:pPr>
      <w:r>
        <w:t xml:space="preserve">  "C[",  R1C1-relative-number,  "]"  ;</w:t>
      </w:r>
    </w:p>
    <w:p w:rsidR="005F78FC" w:rsidRDefault="00B42EF3">
      <w:pPr>
        <w:pStyle w:val="Code"/>
      </w:pPr>
      <w:r>
        <w:t>R1C1-absolute-column= "C", R1C1-absolute-number  ;</w:t>
      </w:r>
    </w:p>
    <w:p w:rsidR="005F78FC" w:rsidRDefault="00B42EF3">
      <w:pPr>
        <w:pStyle w:val="Code"/>
      </w:pPr>
      <w:r>
        <w:t>R1C1-relative-number=</w:t>
      </w:r>
    </w:p>
    <w:p w:rsidR="005F78FC" w:rsidRDefault="00B42EF3">
      <w:pPr>
        <w:pStyle w:val="Code"/>
      </w:pPr>
      <w:r>
        <w:t xml:space="preserve">  ["-"], digit-sequence   ;</w:t>
      </w:r>
    </w:p>
    <w:p w:rsidR="005F78FC" w:rsidRDefault="00B42EF3">
      <w:pPr>
        <w:pStyle w:val="Code"/>
      </w:pPr>
      <w:r>
        <w:t xml:space="preserve">R1C1-absolute-number=                                  </w:t>
      </w:r>
    </w:p>
    <w:p w:rsidR="005F78FC" w:rsidRDefault="00B42EF3">
      <w:pPr>
        <w:pStyle w:val="Code"/>
      </w:pPr>
      <w:r>
        <w:t xml:space="preserve">  digit-sequence  ;  (* must </w:t>
      </w:r>
      <w:r>
        <w:t>be nonzero; see A1-Style Cell References  ("</w:t>
      </w:r>
      <w:hyperlink r:id="rId141">
        <w:r>
          <w:rPr>
            <w:rStyle w:val="Hyperlink"/>
          </w:rPr>
          <w:t>[ISO/IEC-29500-1]</w:t>
        </w:r>
      </w:hyperlink>
      <w:r>
        <w:t xml:space="preserve"> §18.17.2.3.1") *)</w:t>
      </w:r>
    </w:p>
    <w:p w:rsidR="005F78FC" w:rsidRDefault="00B42EF3">
      <w:pPr>
        <w:pStyle w:val="Definition-Field"/>
      </w:pPr>
      <w:r>
        <w:t xml:space="preserve">b.   </w:t>
      </w:r>
      <w:r>
        <w:rPr>
          <w:i/>
        </w:rPr>
        <w:t xml:space="preserve">The standard states that a negative offset indicates a row to the left or a column above, and a positive </w:t>
      </w:r>
      <w:r>
        <w:rPr>
          <w:i/>
        </w:rPr>
        <w:t>offset indicates a row to the right or a column below.</w:t>
      </w:r>
    </w:p>
    <w:p w:rsidR="005F78FC" w:rsidRDefault="00B42EF3">
      <w:pPr>
        <w:pStyle w:val="Definition-Field2"/>
      </w:pPr>
      <w:r>
        <w:t>In Office, a negative offset indicates a column to the left or a row above, and a positive offset indicates a column to the right or a row below.</w:t>
      </w:r>
    </w:p>
    <w:p w:rsidR="005F78FC" w:rsidRDefault="00B42EF3">
      <w:pPr>
        <w:pStyle w:val="Heading3"/>
      </w:pPr>
      <w:bookmarkStart w:id="1750" w:name="section_364a891349b546aa9cd5bc8180948a2a"/>
      <w:bookmarkStart w:id="1751" w:name="_Toc69878648"/>
      <w:r>
        <w:t>Part 1 Section 18.17.2.4, Functions</w:t>
      </w:r>
      <w:bookmarkEnd w:id="1750"/>
      <w:bookmarkEnd w:id="1751"/>
      <w:r>
        <w:fldChar w:fldCharType="begin"/>
      </w:r>
      <w:r>
        <w:instrText xml:space="preserve"> XE "Functions" </w:instrText>
      </w:r>
      <w:r>
        <w:fldChar w:fldCharType="end"/>
      </w:r>
    </w:p>
    <w:p w:rsidR="005F78FC" w:rsidRDefault="00B42EF3">
      <w:pPr>
        <w:pStyle w:val="Definition-Field"/>
      </w:pPr>
      <w:r>
        <w:t>a</w:t>
      </w:r>
      <w:r>
        <w:t xml:space="preserve">.   </w:t>
      </w:r>
      <w:r>
        <w:rPr>
          <w:i/>
        </w:rPr>
        <w:t>The standard does not use EBNF to write the productions for function-call.</w:t>
      </w:r>
    </w:p>
    <w:p w:rsidR="005F78FC" w:rsidRDefault="00B42EF3">
      <w:r>
        <w:t>Office writes the productions for function-call using the following EBNF:</w:t>
      </w:r>
    </w:p>
    <w:p w:rsidR="005F78FC" w:rsidRDefault="00B42EF3">
      <w:pPr>
        <w:pStyle w:val="Code"/>
      </w:pPr>
      <w:r>
        <w:t>function-call=</w:t>
      </w:r>
    </w:p>
    <w:p w:rsidR="005F78FC" w:rsidRDefault="00B42EF3">
      <w:pPr>
        <w:pStyle w:val="Code"/>
      </w:pPr>
      <w:r>
        <w:t xml:space="preserve">  function-name,  "(",  argument-list,  ")"    ;</w:t>
      </w:r>
    </w:p>
    <w:p w:rsidR="005F78FC" w:rsidRDefault="00B42EF3">
      <w:pPr>
        <w:pStyle w:val="Code"/>
      </w:pPr>
      <w:r>
        <w:t>function-name=</w:t>
      </w:r>
    </w:p>
    <w:p w:rsidR="005F78FC" w:rsidRDefault="00B42EF3">
      <w:pPr>
        <w:pStyle w:val="Code"/>
      </w:pPr>
      <w:r>
        <w:t xml:space="preserve">  predefined-function-name |</w:t>
      </w:r>
    </w:p>
    <w:p w:rsidR="005F78FC" w:rsidRDefault="00B42EF3">
      <w:pPr>
        <w:pStyle w:val="Code"/>
      </w:pPr>
      <w:r>
        <w:t xml:space="preserve">  user-defined-function-name ;</w:t>
      </w:r>
    </w:p>
    <w:p w:rsidR="005F78FC" w:rsidRDefault="00B42EF3">
      <w:pPr>
        <w:pStyle w:val="Code"/>
      </w:pPr>
      <w:r>
        <w:t>predefined-function-name=</w:t>
      </w:r>
    </w:p>
    <w:p w:rsidR="005F78FC" w:rsidRDefault="00B42EF3">
      <w:pPr>
        <w:pStyle w:val="Code"/>
      </w:pPr>
      <w:r>
        <w:t xml:space="preserve">  "ABS"  |  "ACOS"  |  "ACOSH"</w:t>
      </w:r>
    </w:p>
    <w:p w:rsidR="005F78FC" w:rsidRDefault="00B42EF3">
      <w:pPr>
        <w:pStyle w:val="Code"/>
      </w:pPr>
      <w:r>
        <w:t xml:space="preserve">  |  ( any of the other functions defined in Predefined Function Definitions ("</w:t>
      </w:r>
      <w:hyperlink r:id="rId142">
        <w:r>
          <w:rPr>
            <w:rStyle w:val="Hyperlink"/>
          </w:rPr>
          <w:t>[ISO/IEC-29500-1]</w:t>
        </w:r>
      </w:hyperlink>
      <w:r>
        <w:t xml:space="preserve"> §18.17.7"))  ;</w:t>
      </w:r>
    </w:p>
    <w:p w:rsidR="005F78FC" w:rsidRDefault="00B42EF3">
      <w:pPr>
        <w:pStyle w:val="Code"/>
      </w:pPr>
      <w:r>
        <w:t>user-defined-function-name=</w:t>
      </w:r>
    </w:p>
    <w:p w:rsidR="005F78FC" w:rsidRDefault="00B42EF3">
      <w:pPr>
        <w:pStyle w:val="Code"/>
      </w:pPr>
      <w:r>
        <w:t xml:space="preserve">  name-reference ;</w:t>
      </w:r>
    </w:p>
    <w:p w:rsidR="005F78FC" w:rsidRDefault="00B42EF3">
      <w:pPr>
        <w:pStyle w:val="Code"/>
      </w:pPr>
      <w:r>
        <w:t>argument-list=</w:t>
      </w:r>
    </w:p>
    <w:p w:rsidR="005F78FC" w:rsidRDefault="00B42EF3">
      <w:pPr>
        <w:pStyle w:val="Code"/>
      </w:pPr>
      <w:r>
        <w:t xml:space="preserve">  argument,  {  comma,  argument  }  ;</w:t>
      </w:r>
    </w:p>
    <w:p w:rsidR="005F78FC" w:rsidRDefault="00B42EF3">
      <w:pPr>
        <w:pStyle w:val="Code"/>
      </w:pPr>
      <w:r>
        <w:t>comma=</w:t>
      </w:r>
    </w:p>
    <w:p w:rsidR="005F78FC" w:rsidRDefault="00B42EF3">
      <w:pPr>
        <w:pStyle w:val="Code"/>
      </w:pPr>
      <w:r>
        <w:t xml:space="preserve">  ","  ;</w:t>
      </w:r>
    </w:p>
    <w:p w:rsidR="005F78FC" w:rsidRDefault="00B42EF3">
      <w:pPr>
        <w:pStyle w:val="Code"/>
      </w:pPr>
      <w:r>
        <w:t xml:space="preserve">argument=                   </w:t>
      </w:r>
    </w:p>
    <w:p w:rsidR="005F78FC" w:rsidRDefault="00B42EF3">
      <w:pPr>
        <w:pStyle w:val="Code"/>
      </w:pPr>
      <w:r>
        <w:t xml:space="preserve">  [expression]  ;</w:t>
      </w:r>
    </w:p>
    <w:p w:rsidR="005F78FC" w:rsidRDefault="00B42EF3">
      <w:pPr>
        <w:pStyle w:val="Definition-Field"/>
      </w:pPr>
      <w:r>
        <w:t xml:space="preserve">b.   </w:t>
      </w:r>
      <w:r>
        <w:rPr>
          <w:i/>
        </w:rPr>
        <w:t xml:space="preserve">The standard states that a function is a named </w:t>
      </w:r>
      <w:r>
        <w:rPr>
          <w:i/>
        </w:rPr>
        <w:t>formula that takes zero or more arguments, performs an operation, and, optionally, returns a result.</w:t>
      </w:r>
    </w:p>
    <w:p w:rsidR="005F78FC" w:rsidRDefault="00B42EF3">
      <w:pPr>
        <w:pStyle w:val="Definition-Field2"/>
      </w:pPr>
      <w:r>
        <w:t>In Office, a function always returns a result.</w:t>
      </w:r>
    </w:p>
    <w:p w:rsidR="005F78FC" w:rsidRDefault="00B42EF3">
      <w:pPr>
        <w:pStyle w:val="Heading3"/>
      </w:pPr>
      <w:bookmarkStart w:id="1752" w:name="section_1399f3cb927c461196ee666143a8be35"/>
      <w:bookmarkStart w:id="1753" w:name="_Toc69878649"/>
      <w:r>
        <w:t>Part 1 Section 18.17.2.5, Names</w:t>
      </w:r>
      <w:bookmarkEnd w:id="1752"/>
      <w:bookmarkEnd w:id="1753"/>
      <w:r>
        <w:fldChar w:fldCharType="begin"/>
      </w:r>
      <w:r>
        <w:instrText xml:space="preserve"> XE "Names" </w:instrText>
      </w:r>
      <w:r>
        <w:fldChar w:fldCharType="end"/>
      </w:r>
    </w:p>
    <w:p w:rsidR="005F78FC" w:rsidRDefault="00B42EF3">
      <w:pPr>
        <w:pStyle w:val="Definition-Field"/>
      </w:pPr>
      <w:r>
        <w:t xml:space="preserve">a.   </w:t>
      </w:r>
      <w:r>
        <w:rPr>
          <w:i/>
        </w:rPr>
        <w:t>The standard does not use EBNF to write the syntax for na</w:t>
      </w:r>
      <w:r>
        <w:rPr>
          <w:i/>
        </w:rPr>
        <w:t>me.</w:t>
      </w:r>
    </w:p>
    <w:p w:rsidR="005F78FC" w:rsidRDefault="00B42EF3">
      <w:r>
        <w:t>Office writes the productions for name using the following EBNF:</w:t>
      </w:r>
    </w:p>
    <w:p w:rsidR="005F78FC" w:rsidRDefault="00B42EF3">
      <w:pPr>
        <w:pStyle w:val="Code"/>
      </w:pPr>
      <w:r>
        <w:t>name-reference= name |</w:t>
      </w:r>
    </w:p>
    <w:p w:rsidR="005F78FC" w:rsidRDefault="00B42EF3">
      <w:pPr>
        <w:pStyle w:val="Code"/>
      </w:pPr>
      <w:r>
        <w:t xml:space="preserve">  external-name;</w:t>
      </w:r>
    </w:p>
    <w:p w:rsidR="005F78FC" w:rsidRDefault="00B42EF3">
      <w:pPr>
        <w:pStyle w:val="Code"/>
      </w:pPr>
      <w:r>
        <w:t>external-name= single-sheet-prefix, name;</w:t>
      </w:r>
    </w:p>
    <w:p w:rsidR="005F78FC" w:rsidRDefault="00B42EF3">
      <w:pPr>
        <w:pStyle w:val="Code"/>
      </w:pPr>
      <w:r>
        <w:t>name=</w:t>
      </w:r>
    </w:p>
    <w:p w:rsidR="005F78FC" w:rsidRDefault="00B42EF3">
      <w:pPr>
        <w:pStyle w:val="Code"/>
      </w:pPr>
      <w:r>
        <w:t xml:space="preserve">  name-start-character, [ name-characters ]  ;</w:t>
      </w:r>
    </w:p>
    <w:p w:rsidR="005F78FC" w:rsidRDefault="00B42EF3">
      <w:pPr>
        <w:pStyle w:val="Code"/>
      </w:pPr>
      <w:r>
        <w:t>name-start-character=</w:t>
      </w:r>
    </w:p>
    <w:p w:rsidR="005F78FC" w:rsidRDefault="00B42EF3">
      <w:pPr>
        <w:pStyle w:val="Code"/>
      </w:pPr>
      <w:r>
        <w:t xml:space="preserve">  underscore  |  backslash  | </w:t>
      </w:r>
      <w:r>
        <w:t xml:space="preserve"> ? any code points which are characters as defined by the Unicode character properties, chapter four of the Unicode Standard ?;</w:t>
      </w:r>
    </w:p>
    <w:p w:rsidR="005F78FC" w:rsidRDefault="00B42EF3">
      <w:pPr>
        <w:pStyle w:val="Code"/>
      </w:pPr>
      <w:r>
        <w:lastRenderedPageBreak/>
        <w:t>underscore=</w:t>
      </w:r>
    </w:p>
    <w:p w:rsidR="005F78FC" w:rsidRDefault="00B42EF3">
      <w:pPr>
        <w:pStyle w:val="Code"/>
      </w:pPr>
      <w:r>
        <w:t xml:space="preserve">  "_"  ;</w:t>
      </w:r>
    </w:p>
    <w:p w:rsidR="005F78FC" w:rsidRDefault="00B42EF3">
      <w:pPr>
        <w:pStyle w:val="Code"/>
      </w:pPr>
      <w:r>
        <w:t>backslash=</w:t>
      </w:r>
    </w:p>
    <w:p w:rsidR="005F78FC" w:rsidRDefault="00B42EF3">
      <w:pPr>
        <w:pStyle w:val="Code"/>
      </w:pPr>
      <w:r>
        <w:t xml:space="preserve">  "\"  ;</w:t>
      </w:r>
    </w:p>
    <w:p w:rsidR="005F78FC" w:rsidRDefault="00B42EF3">
      <w:pPr>
        <w:pStyle w:val="Code"/>
      </w:pPr>
      <w:r>
        <w:t>name-characters=</w:t>
      </w:r>
    </w:p>
    <w:p w:rsidR="005F78FC" w:rsidRDefault="00B42EF3">
      <w:pPr>
        <w:pStyle w:val="Code"/>
      </w:pPr>
      <w:r>
        <w:t xml:space="preserve">  name-character,  {name-character}  ;</w:t>
      </w:r>
    </w:p>
    <w:p w:rsidR="005F78FC" w:rsidRDefault="00B42EF3">
      <w:pPr>
        <w:pStyle w:val="Code"/>
      </w:pPr>
      <w:r>
        <w:t>name-character=</w:t>
      </w:r>
    </w:p>
    <w:p w:rsidR="005F78FC" w:rsidRDefault="00B42EF3">
      <w:pPr>
        <w:pStyle w:val="Code"/>
      </w:pPr>
      <w:r>
        <w:t xml:space="preserve">  name-start-ch</w:t>
      </w:r>
      <w:r>
        <w:t>aracter  |  decimal-digit  |  full-stop  |  ? any code points which are digits as defined by the Unicode character properties, chapter four of the Unicode standard ?;</w:t>
      </w:r>
    </w:p>
    <w:p w:rsidR="005F78FC" w:rsidRDefault="00B42EF3">
      <w:pPr>
        <w:pStyle w:val="Definition-Field"/>
      </w:pPr>
      <w:r>
        <w:t xml:space="preserve">b.   </w:t>
      </w:r>
      <w:r>
        <w:rPr>
          <w:i/>
        </w:rPr>
        <w:t>The standard specifies that two names that are the same in different workbooks can b</w:t>
      </w:r>
      <w:r>
        <w:rPr>
          <w:i/>
        </w:rPr>
        <w:t>e disambiguated by prepending the workbook name.</w:t>
      </w:r>
    </w:p>
    <w:p w:rsidR="005F78FC" w:rsidRDefault="00B42EF3">
      <w:pPr>
        <w:pStyle w:val="Definition-Field2"/>
      </w:pPr>
      <w:r>
        <w:t>Office prefixes names used in the same context with the index of the relationship ID associated with the workbook name and an exclamation mark. A relationship ID index of 0 indicates the current workbook.</w:t>
      </w:r>
    </w:p>
    <w:p w:rsidR="005F78FC" w:rsidRDefault="00B42EF3">
      <w:pPr>
        <w:pStyle w:val="Definition-Field"/>
      </w:pPr>
      <w:r>
        <w:t>c.</w:t>
      </w:r>
      <w:r>
        <w:t xml:space="preserve">   </w:t>
      </w:r>
      <w:r>
        <w:rPr>
          <w:i/>
        </w:rPr>
        <w:t>The standard does not specify that \name-character is an invalid name.</w:t>
      </w:r>
    </w:p>
    <w:p w:rsidR="005F78FC" w:rsidRDefault="00B42EF3">
      <w:pPr>
        <w:pStyle w:val="Definition-Field2"/>
      </w:pPr>
      <w:r>
        <w:t>Office will not create or load names of the form \name-character.</w:t>
      </w:r>
    </w:p>
    <w:p w:rsidR="005F78FC" w:rsidRDefault="00B42EF3">
      <w:pPr>
        <w:pStyle w:val="Heading3"/>
      </w:pPr>
      <w:bookmarkStart w:id="1754" w:name="section_65b46619bfd94e1fb803596ec36fd891"/>
      <w:bookmarkStart w:id="1755" w:name="_Toc69878650"/>
      <w:r>
        <w:t>Part 1 Section 18.17.2.6, Types and Values</w:t>
      </w:r>
      <w:bookmarkEnd w:id="1754"/>
      <w:bookmarkEnd w:id="1755"/>
      <w:r>
        <w:fldChar w:fldCharType="begin"/>
      </w:r>
      <w:r>
        <w:instrText xml:space="preserve"> XE "Types and Values" </w:instrText>
      </w:r>
      <w:r>
        <w:fldChar w:fldCharType="end"/>
      </w:r>
    </w:p>
    <w:p w:rsidR="005F78FC" w:rsidRDefault="00B42EF3">
      <w:pPr>
        <w:pStyle w:val="Definition-Field"/>
      </w:pPr>
      <w:r>
        <w:t xml:space="preserve">a.   </w:t>
      </w:r>
      <w:r>
        <w:rPr>
          <w:i/>
        </w:rPr>
        <w:t>The standard does not specify a limit on th</w:t>
      </w:r>
      <w:r>
        <w:rPr>
          <w:i/>
        </w:rPr>
        <w:t>e expression.</w:t>
      </w:r>
    </w:p>
    <w:p w:rsidR="005F78FC" w:rsidRDefault="00B42EF3">
      <w:pPr>
        <w:pStyle w:val="Definition-Field2"/>
      </w:pPr>
      <w:r>
        <w:t>In Office, if the expression is text and is greater than 32767 characters, then a consuming application shall treat this as equivalent to the error value #VALUE!.</w:t>
      </w:r>
    </w:p>
    <w:p w:rsidR="005F78FC" w:rsidRDefault="00B42EF3">
      <w:pPr>
        <w:pStyle w:val="Heading3"/>
      </w:pPr>
      <w:bookmarkStart w:id="1756" w:name="section_965edd08dd794418946b83294ec25770"/>
      <w:bookmarkStart w:id="1757" w:name="_Toc69878651"/>
      <w:r>
        <w:t>Part 1 Section 18.17.3, Error values</w:t>
      </w:r>
      <w:bookmarkEnd w:id="1756"/>
      <w:bookmarkEnd w:id="1757"/>
      <w:r>
        <w:fldChar w:fldCharType="begin"/>
      </w:r>
      <w:r>
        <w:instrText xml:space="preserve"> XE "Error values" </w:instrText>
      </w:r>
      <w:r>
        <w:fldChar w:fldCharType="end"/>
      </w:r>
    </w:p>
    <w:p w:rsidR="005F78FC" w:rsidRDefault="00B42EF3">
      <w:pPr>
        <w:pStyle w:val="Definition-Field"/>
      </w:pPr>
      <w:r>
        <w:t xml:space="preserve">a.   </w:t>
      </w:r>
      <w:r>
        <w:rPr>
          <w:i/>
        </w:rPr>
        <w:t xml:space="preserve">The standard </w:t>
      </w:r>
      <w:r>
        <w:rPr>
          <w:i/>
        </w:rPr>
        <w:t>does not specify #GETTING_DATA as an error value.</w:t>
      </w:r>
    </w:p>
    <w:p w:rsidR="005F78FC" w:rsidRDefault="00B42EF3">
      <w:pPr>
        <w:pStyle w:val="Definition-Field2"/>
      </w:pPr>
      <w:r>
        <w:t>Office allows #GETTING_DATA as an error value. Reason for occurrence: Intended to indicate when value is waiting on data from an asynchronous function.</w:t>
      </w:r>
    </w:p>
    <w:p w:rsidR="005F78FC" w:rsidRDefault="00B42EF3">
      <w:pPr>
        <w:pStyle w:val="Heading3"/>
      </w:pPr>
      <w:bookmarkStart w:id="1758" w:name="section_286bceb73e02476c8ee91e06dd3f9636"/>
      <w:bookmarkStart w:id="1759" w:name="_Toc69878652"/>
      <w:r>
        <w:t>Part 1 Section 18.17.5.2, Precision</w:t>
      </w:r>
      <w:bookmarkEnd w:id="1758"/>
      <w:bookmarkEnd w:id="1759"/>
      <w:r>
        <w:fldChar w:fldCharType="begin"/>
      </w:r>
      <w:r>
        <w:instrText xml:space="preserve"> XE "Precision" </w:instrText>
      </w:r>
      <w:r>
        <w:fldChar w:fldCharType="end"/>
      </w:r>
    </w:p>
    <w:p w:rsidR="005F78FC" w:rsidRDefault="00B42EF3">
      <w:pPr>
        <w:pStyle w:val="Definition-Field"/>
      </w:pPr>
      <w:r>
        <w:t xml:space="preserve">a.   </w:t>
      </w:r>
      <w:r>
        <w:rPr>
          <w:i/>
        </w:rPr>
        <w:t>The standard states that m is an integer whose absolute value is less than 2^53, and n is an integer between -1075 and 970, inclusive.</w:t>
      </w:r>
    </w:p>
    <w:p w:rsidR="005F78FC" w:rsidRDefault="00B42EF3">
      <w:pPr>
        <w:pStyle w:val="Definition-Field2"/>
      </w:pPr>
      <w:r>
        <w:t xml:space="preserve">Office treats m as an integer whose absolute value is greater than or equal to 2^52 and less than 2^53, and n is an </w:t>
      </w:r>
      <w:r>
        <w:t>integer between -1074 and 971, inclusive.</w:t>
      </w:r>
    </w:p>
    <w:p w:rsidR="005F78FC" w:rsidRDefault="00B42EF3">
      <w:pPr>
        <w:pStyle w:val="Definition-Field"/>
      </w:pPr>
      <w:r>
        <w:t xml:space="preserve">b.   </w:t>
      </w:r>
      <w:r>
        <w:rPr>
          <w:i/>
        </w:rPr>
        <w:t>The standard states in a note that the default precision is patterned after the IEEE double-precision 64-bit floating-point type.</w:t>
      </w:r>
    </w:p>
    <w:p w:rsidR="005F78FC" w:rsidRDefault="00B42EF3">
      <w:pPr>
        <w:pStyle w:val="Definition-Field2"/>
      </w:pPr>
      <w:r>
        <w:t>In Office, the default precision is patterned after the IEEE double-precision 6</w:t>
      </w:r>
      <w:r>
        <w:t>4-bit floating-point type, with denormalized numbers excluded.</w:t>
      </w:r>
    </w:p>
    <w:p w:rsidR="005F78FC" w:rsidRDefault="00B42EF3">
      <w:pPr>
        <w:pStyle w:val="Heading3"/>
      </w:pPr>
      <w:bookmarkStart w:id="1760" w:name="section_d5e9192c66724b44892ca05686abc4b0"/>
      <w:bookmarkStart w:id="1761" w:name="_Toc69878653"/>
      <w:r>
        <w:t>Part 1 Section 18.17.5.4, Interpretation</w:t>
      </w:r>
      <w:bookmarkEnd w:id="1760"/>
      <w:bookmarkEnd w:id="1761"/>
      <w:r>
        <w:fldChar w:fldCharType="begin"/>
      </w:r>
      <w:r>
        <w:instrText xml:space="preserve"> XE "Interpretation" </w:instrText>
      </w:r>
      <w:r>
        <w:fldChar w:fldCharType="end"/>
      </w:r>
    </w:p>
    <w:p w:rsidR="005F78FC" w:rsidRDefault="00B42EF3">
      <w:pPr>
        <w:pStyle w:val="Definition-Field"/>
      </w:pPr>
      <w:r>
        <w:t xml:space="preserve">a.   </w:t>
      </w:r>
      <w:r>
        <w:rPr>
          <w:i/>
        </w:rPr>
        <w:t>The standard gives maximum value as 2^1023 - 1, minimum as - 2^1023 + 1.</w:t>
      </w:r>
    </w:p>
    <w:p w:rsidR="005F78FC" w:rsidRDefault="00B42EF3">
      <w:pPr>
        <w:pStyle w:val="Definition-Field2"/>
      </w:pPr>
      <w:r>
        <w:t>Office uses maximum 2^1024 – 2^971, minimum - 2^102</w:t>
      </w:r>
      <w:r>
        <w:t>4 + 2^971 and has smallest positive value of 2^-1022.</w:t>
      </w:r>
    </w:p>
    <w:p w:rsidR="005F78FC" w:rsidRDefault="00B42EF3">
      <w:pPr>
        <w:pStyle w:val="Definition-Field"/>
      </w:pPr>
      <w:r>
        <w:t xml:space="preserve">b.   </w:t>
      </w:r>
      <w:r>
        <w:rPr>
          <w:i/>
        </w:rPr>
        <w:t>The standard does not specify behavior if the absolute value of the raw value is smaller than the smallest positive value in the value space.</w:t>
      </w:r>
    </w:p>
    <w:p w:rsidR="005F78FC" w:rsidRDefault="00B42EF3">
      <w:pPr>
        <w:pStyle w:val="Definition-Field2"/>
      </w:pPr>
      <w:r>
        <w:lastRenderedPageBreak/>
        <w:t>In Office, if the absolute value of the raw value is sm</w:t>
      </w:r>
      <w:r>
        <w:t>aller than the smallest positive value in the value space, then a consuming application shall treat this as equivalent to 0.</w:t>
      </w:r>
    </w:p>
    <w:p w:rsidR="005F78FC" w:rsidRDefault="00B42EF3">
      <w:pPr>
        <w:pStyle w:val="Heading3"/>
      </w:pPr>
      <w:bookmarkStart w:id="1762" w:name="section_b2400668ba0d40b38365416d843e5aa4"/>
      <w:bookmarkStart w:id="1763" w:name="_Toc69878654"/>
      <w:r>
        <w:t>Part 1 Section 18.17.6.3, Array Formulas</w:t>
      </w:r>
      <w:bookmarkEnd w:id="1762"/>
      <w:bookmarkEnd w:id="1763"/>
      <w:r>
        <w:fldChar w:fldCharType="begin"/>
      </w:r>
      <w:r>
        <w:instrText xml:space="preserve"> XE "Array Formulas" </w:instrText>
      </w:r>
      <w:r>
        <w:fldChar w:fldCharType="end"/>
      </w:r>
    </w:p>
    <w:p w:rsidR="005F78FC" w:rsidRDefault="00B42EF3">
      <w:pPr>
        <w:pStyle w:val="Definition-Field"/>
      </w:pPr>
      <w:r>
        <w:t xml:space="preserve">a.   </w:t>
      </w:r>
      <w:r>
        <w:rPr>
          <w:i/>
        </w:rPr>
        <w:t>The standard refers to the r attribute in multiple places to d</w:t>
      </w:r>
      <w:r>
        <w:rPr>
          <w:i/>
        </w:rPr>
        <w:t>enote the reference to which the formula applies.</w:t>
      </w:r>
    </w:p>
    <w:p w:rsidR="005F78FC" w:rsidRDefault="00B42EF3">
      <w:pPr>
        <w:pStyle w:val="Definition-Field2"/>
      </w:pPr>
      <w:r>
        <w:t>Office uses the ref attribute in formulas to denote the reference to which the formula applies.</w:t>
      </w:r>
    </w:p>
    <w:p w:rsidR="005F78FC" w:rsidRDefault="00B42EF3">
      <w:pPr>
        <w:pStyle w:val="Heading3"/>
      </w:pPr>
      <w:bookmarkStart w:id="1764" w:name="section_3b91dece249a4d57953d8068dbdaeb62"/>
      <w:bookmarkStart w:id="1765" w:name="_Toc69878655"/>
      <w:r>
        <w:t>Part 1 Section 18.17.6.5, Name Representation</w:t>
      </w:r>
      <w:bookmarkEnd w:id="1764"/>
      <w:bookmarkEnd w:id="1765"/>
      <w:r>
        <w:fldChar w:fldCharType="begin"/>
      </w:r>
      <w:r>
        <w:instrText xml:space="preserve"> XE "Name Representation" </w:instrText>
      </w:r>
      <w:r>
        <w:fldChar w:fldCharType="end"/>
      </w:r>
    </w:p>
    <w:p w:rsidR="005F78FC" w:rsidRDefault="00B42EF3">
      <w:pPr>
        <w:pStyle w:val="Definition-Field"/>
      </w:pPr>
      <w:r>
        <w:t xml:space="preserve">a.   </w:t>
      </w:r>
      <w:r>
        <w:rPr>
          <w:i/>
        </w:rPr>
        <w:t>The standard states that the na</w:t>
      </w:r>
      <w:r>
        <w:rPr>
          <w:i/>
        </w:rPr>
        <w:t>mes shall be defined in the Worksheet part's XML with each being the subject of a definedName element, inside a definedNames element.</w:t>
      </w:r>
    </w:p>
    <w:p w:rsidR="005F78FC" w:rsidRDefault="00B42EF3">
      <w:pPr>
        <w:pStyle w:val="Definition-Field2"/>
      </w:pPr>
      <w:r>
        <w:t>In Office, these names shall be defined in the Workbook part's XML with each being the subject of a definedName element, i</w:t>
      </w:r>
      <w:r>
        <w:t>nside a definedNames element.</w:t>
      </w:r>
    </w:p>
    <w:p w:rsidR="005F78FC" w:rsidRDefault="00B42EF3">
      <w:pPr>
        <w:pStyle w:val="Heading3"/>
      </w:pPr>
      <w:bookmarkStart w:id="1766" w:name="section_e32cd66ea03543389e6ea75929aaa73f"/>
      <w:bookmarkStart w:id="1767" w:name="_Toc69878656"/>
      <w:r>
        <w:t>Part 1 Section 18.17.7.2, ACCRINT</w:t>
      </w:r>
      <w:bookmarkEnd w:id="1766"/>
      <w:bookmarkEnd w:id="1767"/>
      <w:r>
        <w:fldChar w:fldCharType="begin"/>
      </w:r>
      <w:r>
        <w:instrText xml:space="preserve"> XE "ACCRINT" </w:instrText>
      </w:r>
      <w:r>
        <w:fldChar w:fldCharType="end"/>
      </w:r>
    </w:p>
    <w:p w:rsidR="005F78FC" w:rsidRDefault="00B42EF3">
      <w:pPr>
        <w:pStyle w:val="Definition-Field"/>
      </w:pPr>
      <w:r>
        <w:t xml:space="preserve">a.   </w:t>
      </w:r>
      <w:r>
        <w:rPr>
          <w:i/>
        </w:rPr>
        <w:t>The standard does not specify an optional argument calc-method.</w:t>
      </w:r>
    </w:p>
    <w:p w:rsidR="005F78FC" w:rsidRDefault="00B42EF3">
      <w:r>
        <w:t xml:space="preserve">Excel has an optional argument </w:t>
      </w:r>
      <w:r>
        <w:rPr>
          <w:i/>
        </w:rPr>
        <w:t>calc-method</w:t>
      </w:r>
      <w:r>
        <w:t>, which is defined as follows:</w:t>
      </w:r>
    </w:p>
    <w:tbl>
      <w:tblPr>
        <w:tblStyle w:val="Table-ShadedHeader"/>
        <w:tblW w:w="0" w:type="auto"/>
        <w:tblLook w:val="04A0" w:firstRow="1" w:lastRow="0" w:firstColumn="1" w:lastColumn="0" w:noHBand="0" w:noVBand="1"/>
      </w:tblPr>
      <w:tblGrid>
        <w:gridCol w:w="939"/>
        <w:gridCol w:w="738"/>
        <w:gridCol w:w="7798"/>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Name</w:t>
            </w:r>
          </w:p>
        </w:tc>
        <w:tc>
          <w:tcPr>
            <w:tcW w:w="0" w:type="auto"/>
            <w:vAlign w:val="center"/>
          </w:tcPr>
          <w:p w:rsidR="005F78FC" w:rsidRDefault="00B42EF3">
            <w:pPr>
              <w:pStyle w:val="TableHeaderText"/>
            </w:pPr>
            <w:r>
              <w:t>Type</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t>calc-method</w:t>
            </w:r>
          </w:p>
        </w:tc>
        <w:tc>
          <w:tcPr>
            <w:tcW w:w="0" w:type="auto"/>
            <w:vAlign w:val="center"/>
          </w:tcPr>
          <w:p w:rsidR="005F78FC" w:rsidRDefault="00B42EF3">
            <w:pPr>
              <w:pStyle w:val="TableBodyText"/>
            </w:pPr>
            <w:r>
              <w:t>logical</w:t>
            </w:r>
          </w:p>
        </w:tc>
        <w:tc>
          <w:tcPr>
            <w:tcW w:w="0" w:type="auto"/>
            <w:vAlign w:val="center"/>
          </w:tcPr>
          <w:p w:rsidR="005F78FC" w:rsidRDefault="00B42EF3">
            <w:pPr>
              <w:pStyle w:val="TableBodyText"/>
            </w:pPr>
            <w:r>
              <w:t>Specifies the way to calculate the total accrued interest when the date of settlement is later than the date of first-interest. A value of TRUE (1) returns the total accrued interest from issue to settlement. A value of FALSE (0) returns the accru</w:t>
            </w:r>
            <w:r>
              <w:t>ed interest from first-interest to settlement. If no argument is specified, it defaults to TRUE.</w:t>
            </w:r>
          </w:p>
        </w:tc>
      </w:tr>
    </w:tbl>
    <w:p w:rsidR="005F78FC" w:rsidRDefault="005F78FC"/>
    <w:p w:rsidR="005F78FC" w:rsidRDefault="00B42EF3">
      <w:pPr>
        <w:pStyle w:val="Definition-Field"/>
      </w:pPr>
      <w:r>
        <w:t xml:space="preserve">b.   </w:t>
      </w:r>
      <w:r>
        <w:rPr>
          <w:i/>
        </w:rPr>
        <w:t>The standard does not specify day and month adjustments for the basis argument.</w:t>
      </w:r>
    </w:p>
    <w:p w:rsidR="005F78FC" w:rsidRDefault="00B42EF3">
      <w:r>
        <w:t xml:space="preserve">In Excel, the </w:t>
      </w:r>
      <w:r>
        <w:rPr>
          <w:i/>
        </w:rPr>
        <w:t>basis</w:t>
      </w:r>
      <w:r>
        <w:rPr>
          <w:b/>
          <w:i/>
        </w:rPr>
        <w:t xml:space="preserve"> </w:t>
      </w:r>
      <w:r>
        <w:t>argument specifies the truncated integer type of day</w:t>
      </w:r>
      <w:r>
        <w:t xml:space="preserve"> count basis to use, as follows:</w:t>
      </w:r>
    </w:p>
    <w:tbl>
      <w:tblPr>
        <w:tblStyle w:val="Table-ShadedHeader"/>
        <w:tblW w:w="0" w:type="auto"/>
        <w:tblLook w:val="04A0" w:firstRow="1" w:lastRow="0" w:firstColumn="1" w:lastColumn="0" w:noHBand="0" w:noVBand="1"/>
      </w:tblPr>
      <w:tblGrid>
        <w:gridCol w:w="939"/>
        <w:gridCol w:w="8536"/>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Value</w:t>
            </w:r>
          </w:p>
        </w:tc>
        <w:tc>
          <w:tcPr>
            <w:tcW w:w="0" w:type="auto"/>
            <w:vAlign w:val="center"/>
          </w:tcPr>
          <w:p w:rsidR="005F78FC" w:rsidRDefault="00B42EF3">
            <w:pPr>
              <w:pStyle w:val="TableHeaderText"/>
            </w:pPr>
            <w:r>
              <w:t>Day Count Basis</w:t>
            </w:r>
          </w:p>
        </w:tc>
      </w:tr>
      <w:tr w:rsidR="005F78FC" w:rsidTr="005F78FC">
        <w:tc>
          <w:tcPr>
            <w:tcW w:w="0" w:type="auto"/>
            <w:vAlign w:val="center"/>
          </w:tcPr>
          <w:p w:rsidR="005F78FC" w:rsidRDefault="00B42EF3">
            <w:pPr>
              <w:pStyle w:val="TableBodyText"/>
            </w:pPr>
            <w:r>
              <w:rPr>
                <w:rStyle w:val="InlineCode"/>
              </w:rPr>
              <w:t>0</w:t>
            </w:r>
            <w:r>
              <w:t xml:space="preserve"> or omitted</w:t>
            </w:r>
          </w:p>
        </w:tc>
        <w:tc>
          <w:tcPr>
            <w:tcW w:w="0" w:type="auto"/>
            <w:vAlign w:val="center"/>
          </w:tcPr>
          <w:p w:rsidR="005F78FC" w:rsidRDefault="00B42EF3">
            <w:pPr>
              <w:pStyle w:val="TableBodyText"/>
            </w:pPr>
            <w:r>
              <w:t xml:space="preserve">US (NASD) 30/360. If the dates are equal, the difference of days is 0. Assumes that each month has 30 days and the total number of days in the year is 360 by making the following </w:t>
            </w:r>
            <w:r>
              <w:t>adjustments:</w:t>
            </w:r>
          </w:p>
          <w:p w:rsidR="005F78FC" w:rsidRDefault="00B42EF3">
            <w:pPr>
              <w:pStyle w:val="TableBodyText"/>
            </w:pPr>
            <w:r>
              <w:t>If both day-of-months are 31, they are changed to 30</w:t>
            </w:r>
          </w:p>
          <w:p w:rsidR="005F78FC" w:rsidRDefault="00B42EF3">
            <w:pPr>
              <w:pStyle w:val="TableBodyText"/>
            </w:pPr>
            <w:r>
              <w:t>Otherwise, if date1’s day-of-month is 31, it is changed to 30</w:t>
            </w:r>
          </w:p>
          <w:p w:rsidR="005F78FC" w:rsidRDefault="00B42EF3">
            <w:pPr>
              <w:pStyle w:val="TableBodyText"/>
            </w:pPr>
            <w:r>
              <w:t xml:space="preserve">Otherwise, if date1’s day-of-month is 30 and date2’s day-of-month is 31, date2’s day-of-month is changed to 30 (note that </w:t>
            </w:r>
            <w:r>
              <w:t>date2’s day-of-month will stay 31 if date1’s day &lt; 30)</w:t>
            </w:r>
          </w:p>
          <w:p w:rsidR="005F78FC" w:rsidRDefault="00B42EF3">
            <w:pPr>
              <w:pStyle w:val="TableBodyText"/>
            </w:pPr>
            <w:r>
              <w:t>Otherwise, if both dates are the last day of February in their respective years, both day-of-month is changed to 30</w:t>
            </w:r>
          </w:p>
          <w:p w:rsidR="005F78FC" w:rsidRDefault="00B42EF3">
            <w:pPr>
              <w:pStyle w:val="TableBodyText"/>
            </w:pPr>
            <w:r>
              <w:t>Otherwise, if date1 is the last day of February, its day-of-month is changed to 30</w:t>
            </w:r>
          </w:p>
        </w:tc>
      </w:tr>
      <w:tr w:rsidR="005F78FC" w:rsidTr="005F78FC">
        <w:tc>
          <w:tcPr>
            <w:tcW w:w="0" w:type="auto"/>
            <w:vAlign w:val="center"/>
          </w:tcPr>
          <w:p w:rsidR="005F78FC" w:rsidRDefault="00B42EF3">
            <w:pPr>
              <w:pStyle w:val="TableBodyText"/>
            </w:pPr>
            <w:r>
              <w:rPr>
                <w:rStyle w:val="InlineCode"/>
              </w:rPr>
              <w:t>1</w:t>
            </w:r>
          </w:p>
        </w:tc>
        <w:tc>
          <w:tcPr>
            <w:tcW w:w="0" w:type="auto"/>
            <w:vAlign w:val="center"/>
          </w:tcPr>
          <w:p w:rsidR="005F78FC" w:rsidRDefault="00B42EF3">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w:t>
            </w:r>
            <w:r>
              <w:t xml:space="preserve">ate2,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5F78FC" w:rsidRDefault="005F78FC">
            <w:pPr>
              <w:pStyle w:val="TableBodyText"/>
            </w:pPr>
          </w:p>
          <w:p w:rsidR="005F78FC" w:rsidRDefault="00B42EF3">
            <w:pPr>
              <w:pStyle w:val="TableBodyText"/>
            </w:pPr>
            <w:r>
              <w:t>To de</w:t>
            </w:r>
            <w:r>
              <w:t>termine if date1 and date2 are “less than or equal to a year apart” for purposes of this algorithm, one of these conditions must be true:</w:t>
            </w:r>
          </w:p>
          <w:p w:rsidR="005F78FC" w:rsidRDefault="00B42EF3">
            <w:pPr>
              <w:pStyle w:val="ListParagraph"/>
              <w:numPr>
                <w:ilvl w:val="0"/>
                <w:numId w:val="72"/>
              </w:numPr>
            </w:pPr>
            <w:r>
              <w:lastRenderedPageBreak/>
              <w:t>The two dates have the same year</w:t>
            </w:r>
          </w:p>
          <w:p w:rsidR="005F78FC" w:rsidRDefault="00B42EF3">
            <w:pPr>
              <w:pStyle w:val="ListParagraph"/>
              <w:numPr>
                <w:ilvl w:val="0"/>
                <w:numId w:val="73"/>
              </w:numPr>
            </w:pPr>
            <w:r>
              <w:t xml:space="preserve">Date2’s year is exactly one more than date1’s year, and ((date1.month &gt; date2.month) </w:t>
            </w:r>
            <w:r>
              <w:t>or ((date1.month == date2.month) and (date1.day &gt;= date2.day)))</w:t>
            </w:r>
          </w:p>
        </w:tc>
      </w:tr>
      <w:tr w:rsidR="005F78FC" w:rsidTr="005F78FC">
        <w:tc>
          <w:tcPr>
            <w:tcW w:w="0" w:type="auto"/>
            <w:vAlign w:val="center"/>
          </w:tcPr>
          <w:p w:rsidR="005F78FC" w:rsidRDefault="00B42EF3">
            <w:pPr>
              <w:pStyle w:val="TableBodyText"/>
            </w:pPr>
            <w:r>
              <w:rPr>
                <w:rStyle w:val="InlineCode"/>
              </w:rPr>
              <w:lastRenderedPageBreak/>
              <w:t>2</w:t>
            </w:r>
          </w:p>
        </w:tc>
        <w:tc>
          <w:tcPr>
            <w:tcW w:w="0" w:type="auto"/>
            <w:vAlign w:val="center"/>
          </w:tcPr>
          <w:p w:rsidR="005F78FC" w:rsidRDefault="00B42EF3">
            <w:pPr>
              <w:pStyle w:val="TableBodyText"/>
            </w:pPr>
            <w:r>
              <w:t>Actual/360. Computes the actual difference in days, and presumes there are always 360 days per year.</w:t>
            </w:r>
          </w:p>
        </w:tc>
      </w:tr>
      <w:tr w:rsidR="005F78FC" w:rsidTr="005F78FC">
        <w:tc>
          <w:tcPr>
            <w:tcW w:w="0" w:type="auto"/>
            <w:vAlign w:val="center"/>
          </w:tcPr>
          <w:p w:rsidR="005F78FC" w:rsidRDefault="00B42EF3">
            <w:pPr>
              <w:pStyle w:val="TableBodyText"/>
            </w:pPr>
            <w:r>
              <w:rPr>
                <w:rStyle w:val="InlineCode"/>
              </w:rPr>
              <w:t>3</w:t>
            </w:r>
          </w:p>
        </w:tc>
        <w:tc>
          <w:tcPr>
            <w:tcW w:w="0" w:type="auto"/>
            <w:vAlign w:val="center"/>
          </w:tcPr>
          <w:p w:rsidR="005F78FC" w:rsidRDefault="00B42EF3">
            <w:pPr>
              <w:pStyle w:val="TableBodyText"/>
            </w:pPr>
            <w:r>
              <w:t>Actual/365. Computes the actual difference in days, and presumes there are always 365</w:t>
            </w:r>
            <w:r>
              <w:t xml:space="preserve"> days per year.</w:t>
            </w:r>
          </w:p>
        </w:tc>
      </w:tr>
      <w:tr w:rsidR="005F78FC" w:rsidTr="005F78FC">
        <w:tc>
          <w:tcPr>
            <w:tcW w:w="0" w:type="auto"/>
            <w:vAlign w:val="center"/>
          </w:tcPr>
          <w:p w:rsidR="005F78FC" w:rsidRDefault="00B42EF3">
            <w:pPr>
              <w:pStyle w:val="TableBodyText"/>
            </w:pPr>
            <w:r>
              <w:rPr>
                <w:rStyle w:val="InlineCode"/>
              </w:rPr>
              <w:t>4</w:t>
            </w:r>
          </w:p>
        </w:tc>
        <w:tc>
          <w:tcPr>
            <w:tcW w:w="0" w:type="auto"/>
            <w:vAlign w:val="center"/>
          </w:tcPr>
          <w:p w:rsidR="005F78FC" w:rsidRDefault="00B42EF3">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5F78FC" w:rsidRDefault="005F78FC"/>
    <w:p w:rsidR="005F78FC" w:rsidRDefault="00B42EF3">
      <w:pPr>
        <w:pStyle w:val="Definition-Field"/>
      </w:pPr>
      <w:r>
        <w:t xml:space="preserve">c.   </w:t>
      </w:r>
      <w:r>
        <w:rPr>
          <w:i/>
        </w:rPr>
        <w:t>The standard states that the par argument has a default value of 1000.</w:t>
      </w:r>
    </w:p>
    <w:p w:rsidR="005F78FC" w:rsidRDefault="00B42EF3">
      <w:pPr>
        <w:pStyle w:val="Definition-Field2"/>
      </w:pPr>
      <w:r>
        <w:t>Office uses 0.001 as the default value for the par argument.</w:t>
      </w:r>
    </w:p>
    <w:p w:rsidR="005F78FC" w:rsidRDefault="00B42EF3">
      <w:pPr>
        <w:pStyle w:val="Heading3"/>
      </w:pPr>
      <w:bookmarkStart w:id="1768" w:name="section_5c30913f91804772969fed116b8166ce"/>
      <w:bookmarkStart w:id="1769" w:name="_Toc69878657"/>
      <w:r>
        <w:t>Part 1 Section</w:t>
      </w:r>
      <w:r>
        <w:t xml:space="preserve"> 18.17.7.3, ACCRINTM</w:t>
      </w:r>
      <w:bookmarkEnd w:id="1768"/>
      <w:bookmarkEnd w:id="1769"/>
      <w:r>
        <w:fldChar w:fldCharType="begin"/>
      </w:r>
      <w:r>
        <w:instrText xml:space="preserve"> XE "ACCRINTM" </w:instrText>
      </w:r>
      <w:r>
        <w:fldChar w:fldCharType="end"/>
      </w:r>
    </w:p>
    <w:p w:rsidR="005F78FC" w:rsidRDefault="00B42EF3">
      <w:pPr>
        <w:pStyle w:val="Definition-Field"/>
      </w:pPr>
      <w:r>
        <w:t xml:space="preserve">a.   </w:t>
      </w:r>
      <w:r>
        <w:rPr>
          <w:i/>
        </w:rPr>
        <w:t>The standard does not specify day and month adjustments for the basis argument.</w:t>
      </w:r>
    </w:p>
    <w:p w:rsidR="005F78FC" w:rsidRDefault="00B42EF3">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Value</w:t>
            </w:r>
          </w:p>
        </w:tc>
        <w:tc>
          <w:tcPr>
            <w:tcW w:w="0" w:type="auto"/>
            <w:vAlign w:val="center"/>
          </w:tcPr>
          <w:p w:rsidR="005F78FC" w:rsidRDefault="00B42EF3">
            <w:pPr>
              <w:pStyle w:val="TableHeaderText"/>
            </w:pPr>
            <w:r>
              <w:t>Day Count Basis</w:t>
            </w:r>
          </w:p>
        </w:tc>
      </w:tr>
      <w:tr w:rsidR="005F78FC" w:rsidTr="005F78FC">
        <w:tc>
          <w:tcPr>
            <w:tcW w:w="0" w:type="auto"/>
            <w:vAlign w:val="center"/>
          </w:tcPr>
          <w:p w:rsidR="005F78FC" w:rsidRDefault="00B42EF3">
            <w:pPr>
              <w:pStyle w:val="TableBodyText"/>
            </w:pPr>
            <w:r>
              <w:rPr>
                <w:rStyle w:val="InlineCode"/>
              </w:rPr>
              <w:t>0</w:t>
            </w:r>
            <w:r>
              <w:t xml:space="preserve"> or </w:t>
            </w:r>
            <w:r>
              <w:t>omitted</w:t>
            </w:r>
          </w:p>
        </w:tc>
        <w:tc>
          <w:tcPr>
            <w:tcW w:w="0" w:type="auto"/>
            <w:vAlign w:val="center"/>
          </w:tcPr>
          <w:p w:rsidR="005F78FC" w:rsidRDefault="00B42EF3">
            <w:pPr>
              <w:pStyle w:val="TableBodyText"/>
            </w:pPr>
            <w:r>
              <w:t>US (NASD) 30/360. If the dates are equal, the difference of days is 0. Assumes that each month has 30 days and the total number of days in the year is 360 by making the following adjustments:</w:t>
            </w:r>
          </w:p>
          <w:p w:rsidR="005F78FC" w:rsidRDefault="00B42EF3">
            <w:pPr>
              <w:pStyle w:val="TableBodyText"/>
            </w:pPr>
            <w:r>
              <w:t>If both day-of-months are 31, they are changed to 30</w:t>
            </w:r>
          </w:p>
          <w:p w:rsidR="005F78FC" w:rsidRDefault="00B42EF3">
            <w:pPr>
              <w:pStyle w:val="TableBodyText"/>
            </w:pPr>
            <w:r>
              <w:t>Oth</w:t>
            </w:r>
            <w:r>
              <w:t>erwise, if date1’s day-of-month is 31, it is changed to 30</w:t>
            </w:r>
          </w:p>
          <w:p w:rsidR="005F78FC" w:rsidRDefault="00B42EF3">
            <w:pPr>
              <w:pStyle w:val="TableBodyText"/>
            </w:pPr>
            <w:r>
              <w:t>Otherwise, if date1’s day-of-month is 30 and date2’s day-of-month is 31, date2’s day-of-month is changed to 30 (note that date2’s day-of-month will stay 31 if date1’s day &lt; 30)</w:t>
            </w:r>
          </w:p>
          <w:p w:rsidR="005F78FC" w:rsidRDefault="00B42EF3">
            <w:pPr>
              <w:pStyle w:val="TableBodyText"/>
            </w:pPr>
            <w:r>
              <w:t xml:space="preserve">Otherwise, if both </w:t>
            </w:r>
            <w:r>
              <w:t>dates are the last day of February in their respective years, both day-of-month is changed to 30</w:t>
            </w:r>
          </w:p>
          <w:p w:rsidR="005F78FC" w:rsidRDefault="00B42EF3">
            <w:pPr>
              <w:pStyle w:val="TableBodyText"/>
            </w:pPr>
            <w:r>
              <w:t>Otherwise, if date1 is the last day of February, its day-of-month is changed to 30</w:t>
            </w:r>
          </w:p>
        </w:tc>
      </w:tr>
      <w:tr w:rsidR="005F78FC" w:rsidTr="005F78FC">
        <w:tc>
          <w:tcPr>
            <w:tcW w:w="0" w:type="auto"/>
            <w:vAlign w:val="center"/>
          </w:tcPr>
          <w:p w:rsidR="005F78FC" w:rsidRDefault="00B42EF3">
            <w:pPr>
              <w:pStyle w:val="TableBodyText"/>
            </w:pPr>
            <w:r>
              <w:rPr>
                <w:rStyle w:val="InlineCode"/>
              </w:rPr>
              <w:t>1</w:t>
            </w:r>
          </w:p>
        </w:tc>
        <w:tc>
          <w:tcPr>
            <w:tcW w:w="0" w:type="auto"/>
            <w:vAlign w:val="center"/>
          </w:tcPr>
          <w:p w:rsidR="005F78FC" w:rsidRDefault="00B42EF3">
            <w:pPr>
              <w:pStyle w:val="TableBodyText"/>
            </w:pPr>
            <w:r>
              <w:t>Actual/actual. If the dates are equal, the difference in days is 0. If da</w:t>
            </w:r>
            <w:r>
              <w:t>te1 and date2 not “less than or equal to a year apart” (as defined below), then the days in the years between the dates is the average number of days in the years between date1 and date2, inclusive. Otherwise, the days in the years between the dates is 365</w:t>
            </w:r>
            <w:r>
              <w:t xml:space="preserve">, except for these cases (where it is 366): the dates are in the same year and it is a leap-year, a February 29 occurs between the two dates, or </w:t>
            </w:r>
            <w:r>
              <w:rPr>
                <w:b/>
              </w:rPr>
              <w:t>date1 or</w:t>
            </w:r>
            <w:r>
              <w:t xml:space="preserve"> date2 is February 29.</w:t>
            </w:r>
          </w:p>
          <w:p w:rsidR="005F78FC" w:rsidRDefault="005F78FC">
            <w:pPr>
              <w:pStyle w:val="TableBodyText"/>
            </w:pPr>
          </w:p>
          <w:p w:rsidR="005F78FC" w:rsidRDefault="00B42EF3">
            <w:pPr>
              <w:pStyle w:val="TableBodyText"/>
            </w:pPr>
            <w:r>
              <w:t>To determine if date1 and date2 are “less than or equal to a year apart” for pu</w:t>
            </w:r>
            <w:r>
              <w:t>rposes of this algorithm, one of these conditions must be true:</w:t>
            </w:r>
          </w:p>
          <w:p w:rsidR="005F78FC" w:rsidRDefault="00B42EF3">
            <w:pPr>
              <w:pStyle w:val="ListParagraph"/>
              <w:numPr>
                <w:ilvl w:val="0"/>
                <w:numId w:val="74"/>
              </w:numPr>
            </w:pPr>
            <w:r>
              <w:t>The two dates have the same year</w:t>
            </w:r>
          </w:p>
          <w:p w:rsidR="005F78FC" w:rsidRDefault="00B42EF3">
            <w:pPr>
              <w:pStyle w:val="ListParagraph"/>
              <w:numPr>
                <w:ilvl w:val="0"/>
                <w:numId w:val="75"/>
              </w:numPr>
            </w:pPr>
            <w:r>
              <w:t>Date2’s year is exactly one more than date1’s year, and ((date1.month &gt; date2.month) or ((date1.month == date2.month) and (date1.day &gt;= date2.day)))</w:t>
            </w:r>
          </w:p>
        </w:tc>
      </w:tr>
      <w:tr w:rsidR="005F78FC" w:rsidTr="005F78FC">
        <w:tc>
          <w:tcPr>
            <w:tcW w:w="0" w:type="auto"/>
            <w:vAlign w:val="center"/>
          </w:tcPr>
          <w:p w:rsidR="005F78FC" w:rsidRDefault="00B42EF3">
            <w:pPr>
              <w:pStyle w:val="TableBodyText"/>
            </w:pPr>
            <w:r>
              <w:rPr>
                <w:rStyle w:val="InlineCode"/>
              </w:rPr>
              <w:t>2</w:t>
            </w:r>
          </w:p>
        </w:tc>
        <w:tc>
          <w:tcPr>
            <w:tcW w:w="0" w:type="auto"/>
            <w:vAlign w:val="center"/>
          </w:tcPr>
          <w:p w:rsidR="005F78FC" w:rsidRDefault="00B42EF3">
            <w:pPr>
              <w:pStyle w:val="TableBodyText"/>
            </w:pPr>
            <w:r>
              <w:t>Actual/</w:t>
            </w:r>
            <w:r>
              <w:t>360. Computes the actual difference in days, and presumes there are always 360 days per year.</w:t>
            </w:r>
          </w:p>
        </w:tc>
      </w:tr>
      <w:tr w:rsidR="005F78FC" w:rsidTr="005F78FC">
        <w:tc>
          <w:tcPr>
            <w:tcW w:w="0" w:type="auto"/>
            <w:vAlign w:val="center"/>
          </w:tcPr>
          <w:p w:rsidR="005F78FC" w:rsidRDefault="00B42EF3">
            <w:pPr>
              <w:pStyle w:val="TableBodyText"/>
            </w:pPr>
            <w:r>
              <w:rPr>
                <w:rStyle w:val="InlineCode"/>
              </w:rPr>
              <w:lastRenderedPageBreak/>
              <w:t>3</w:t>
            </w:r>
          </w:p>
        </w:tc>
        <w:tc>
          <w:tcPr>
            <w:tcW w:w="0" w:type="auto"/>
            <w:vAlign w:val="center"/>
          </w:tcPr>
          <w:p w:rsidR="005F78FC" w:rsidRDefault="00B42EF3">
            <w:pPr>
              <w:pStyle w:val="TableBodyText"/>
            </w:pPr>
            <w:r>
              <w:t>Actual/365. Computes the actual difference in days, and presumes there are always 365 days per year.</w:t>
            </w:r>
          </w:p>
        </w:tc>
      </w:tr>
      <w:tr w:rsidR="005F78FC" w:rsidTr="005F78FC">
        <w:tc>
          <w:tcPr>
            <w:tcW w:w="0" w:type="auto"/>
            <w:vAlign w:val="center"/>
          </w:tcPr>
          <w:p w:rsidR="005F78FC" w:rsidRDefault="00B42EF3">
            <w:pPr>
              <w:pStyle w:val="TableBodyText"/>
            </w:pPr>
            <w:r>
              <w:rPr>
                <w:rStyle w:val="InlineCode"/>
              </w:rPr>
              <w:t>4</w:t>
            </w:r>
          </w:p>
        </w:tc>
        <w:tc>
          <w:tcPr>
            <w:tcW w:w="0" w:type="auto"/>
            <w:vAlign w:val="center"/>
          </w:tcPr>
          <w:p w:rsidR="005F78FC" w:rsidRDefault="00B42EF3">
            <w:pPr>
              <w:pStyle w:val="TableBodyText"/>
            </w:pPr>
            <w:r>
              <w:t xml:space="preserve">European 30/360. The European method for adjusting day </w:t>
            </w:r>
            <w:r>
              <w:t xml:space="preserve">counts. If the dates are equal, the difference of days is 0. Assumes that each month has 30 days and the total number of days in the year is 360; any day-of-month (in date1, date2, or both) with a value of 31 is changed to 30. Note that February dates are </w:t>
            </w:r>
            <w:r>
              <w:rPr>
                <w:i/>
              </w:rPr>
              <w:t xml:space="preserve">never </w:t>
            </w:r>
            <w:r>
              <w:t>changed, because there is no February 31.</w:t>
            </w:r>
          </w:p>
        </w:tc>
      </w:tr>
    </w:tbl>
    <w:p w:rsidR="005F78FC" w:rsidRDefault="005F78FC"/>
    <w:p w:rsidR="005F78FC" w:rsidRDefault="00B42EF3">
      <w:pPr>
        <w:pStyle w:val="Definition-Field"/>
      </w:pPr>
      <w:r>
        <w:t xml:space="preserve">b.   </w:t>
      </w:r>
      <w:r>
        <w:rPr>
          <w:i/>
        </w:rPr>
        <w:t>The standard states that the par argument has a default value of 1000.</w:t>
      </w:r>
    </w:p>
    <w:p w:rsidR="005F78FC" w:rsidRDefault="00B42EF3">
      <w:pPr>
        <w:pStyle w:val="Definition-Field2"/>
      </w:pPr>
      <w:r>
        <w:t>Office uses a 0.001 as the default value for the par argument.</w:t>
      </w:r>
    </w:p>
    <w:p w:rsidR="005F78FC" w:rsidRDefault="00B42EF3">
      <w:pPr>
        <w:pStyle w:val="Definition-Field"/>
      </w:pPr>
      <w:r>
        <w:t xml:space="preserve">c.   </w:t>
      </w:r>
      <w:r>
        <w:rPr>
          <w:i/>
        </w:rPr>
        <w:t xml:space="preserve">The standard states A is the number of days from the issue </w:t>
      </w:r>
      <w:r>
        <w:rPr>
          <w:i/>
        </w:rPr>
        <w:t>date to the maturity date.</w:t>
      </w:r>
    </w:p>
    <w:p w:rsidR="005F78FC" w:rsidRDefault="00B42EF3">
      <w:pPr>
        <w:pStyle w:val="Definition-Field2"/>
      </w:pPr>
      <w:r>
        <w:t>Office treats A as the number of days from the issue date to the settlement date.</w:t>
      </w:r>
    </w:p>
    <w:p w:rsidR="005F78FC" w:rsidRDefault="00B42EF3">
      <w:pPr>
        <w:pStyle w:val="Heading3"/>
      </w:pPr>
      <w:bookmarkStart w:id="1770" w:name="section_dc05ff6aa42f42b8b07434cc2c0d28c3"/>
      <w:bookmarkStart w:id="1771" w:name="_Toc69878658"/>
      <w:r>
        <w:t>Part 1 Section 18.17.7.4, ACOS</w:t>
      </w:r>
      <w:bookmarkEnd w:id="1770"/>
      <w:bookmarkEnd w:id="1771"/>
      <w:r>
        <w:fldChar w:fldCharType="begin"/>
      </w:r>
      <w:r>
        <w:instrText xml:space="preserve"> XE "ACOS" </w:instrText>
      </w:r>
      <w:r>
        <w:fldChar w:fldCharType="end"/>
      </w:r>
    </w:p>
    <w:p w:rsidR="005F78FC" w:rsidRDefault="00B42EF3">
      <w:pPr>
        <w:pStyle w:val="Definition-Field"/>
      </w:pPr>
      <w:r>
        <w:t xml:space="preserve">a.   </w:t>
      </w:r>
      <w:r>
        <w:rPr>
          <w:i/>
        </w:rPr>
        <w:t>The standard does not specify unit of return value.</w:t>
      </w:r>
    </w:p>
    <w:p w:rsidR="005F78FC" w:rsidRDefault="00B42EF3">
      <w:pPr>
        <w:pStyle w:val="Definition-Field2"/>
      </w:pPr>
      <w:r>
        <w:t>Office calculates arc cosine of x, in radians.</w:t>
      </w:r>
    </w:p>
    <w:p w:rsidR="005F78FC" w:rsidRDefault="00B42EF3">
      <w:pPr>
        <w:pStyle w:val="Heading3"/>
      </w:pPr>
      <w:bookmarkStart w:id="1772" w:name="section_c18d21bc2f664b928717db472acd27c7"/>
      <w:bookmarkStart w:id="1773" w:name="_Toc69878659"/>
      <w:r>
        <w:t>Part 1 Section 18.17.7.6, ADDRESS</w:t>
      </w:r>
      <w:bookmarkEnd w:id="1772"/>
      <w:bookmarkEnd w:id="1773"/>
      <w:r>
        <w:fldChar w:fldCharType="begin"/>
      </w:r>
      <w:r>
        <w:instrText xml:space="preserve"> XE "ADDRESS" </w:instrText>
      </w:r>
      <w:r>
        <w:fldChar w:fldCharType="end"/>
      </w:r>
    </w:p>
    <w:p w:rsidR="005F78FC" w:rsidRDefault="00B42EF3">
      <w:pPr>
        <w:pStyle w:val="Definition-Field"/>
      </w:pPr>
      <w:r>
        <w:t xml:space="preserve">a.   </w:t>
      </w:r>
      <w:r>
        <w:rPr>
          <w:i/>
        </w:rPr>
        <w:t>The standard states if row-number or col-number &lt; 1, #NUM! is returned and if ref-type is outside the range 1–4, #NUM! is returned.</w:t>
      </w:r>
    </w:p>
    <w:p w:rsidR="005F78FC" w:rsidRDefault="00B42EF3">
      <w:pPr>
        <w:pStyle w:val="Definition-Field2"/>
      </w:pPr>
      <w:r>
        <w:t>Office returns #VALUE! in such cases for the function.</w:t>
      </w:r>
    </w:p>
    <w:p w:rsidR="005F78FC" w:rsidRDefault="00B42EF3">
      <w:pPr>
        <w:pStyle w:val="Heading3"/>
      </w:pPr>
      <w:bookmarkStart w:id="1774" w:name="section_de52a81e371a46f5a1041dec10fc3df2"/>
      <w:bookmarkStart w:id="1775" w:name="_Toc69878660"/>
      <w:r>
        <w:t>Part 1 Sectio</w:t>
      </w:r>
      <w:r>
        <w:t>n 18.17.7.7, AMORDEGRC</w:t>
      </w:r>
      <w:bookmarkEnd w:id="1774"/>
      <w:bookmarkEnd w:id="1775"/>
      <w:r>
        <w:fldChar w:fldCharType="begin"/>
      </w:r>
      <w:r>
        <w:instrText xml:space="preserve"> XE "AMORDEGRC" </w:instrText>
      </w:r>
      <w:r>
        <w:fldChar w:fldCharType="end"/>
      </w:r>
    </w:p>
    <w:p w:rsidR="005F78FC" w:rsidRDefault="00B42EF3">
      <w:pPr>
        <w:pStyle w:val="Definition-Field"/>
      </w:pPr>
      <w:r>
        <w:t xml:space="preserve">a.   </w:t>
      </w:r>
      <w:r>
        <w:rPr>
          <w:i/>
        </w:rPr>
        <w:t>The standard does not specify day and month adjustments for the basis argument.</w:t>
      </w:r>
    </w:p>
    <w:p w:rsidR="005F78FC" w:rsidRDefault="00B42EF3">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Value</w:t>
            </w:r>
          </w:p>
        </w:tc>
        <w:tc>
          <w:tcPr>
            <w:tcW w:w="0" w:type="auto"/>
            <w:vAlign w:val="center"/>
          </w:tcPr>
          <w:p w:rsidR="005F78FC" w:rsidRDefault="00B42EF3">
            <w:pPr>
              <w:pStyle w:val="TableHeaderText"/>
            </w:pPr>
            <w:r>
              <w:t>Day Count Basis</w:t>
            </w:r>
          </w:p>
        </w:tc>
      </w:tr>
      <w:tr w:rsidR="005F78FC" w:rsidTr="005F78FC">
        <w:tc>
          <w:tcPr>
            <w:tcW w:w="0" w:type="auto"/>
            <w:vAlign w:val="center"/>
          </w:tcPr>
          <w:p w:rsidR="005F78FC" w:rsidRDefault="00B42EF3">
            <w:pPr>
              <w:pStyle w:val="TableBodyText"/>
            </w:pPr>
            <w:r>
              <w:rPr>
                <w:rStyle w:val="InlineCode"/>
              </w:rPr>
              <w:t>0</w:t>
            </w:r>
            <w:r>
              <w:t xml:space="preserve"> </w:t>
            </w:r>
            <w:r>
              <w:t>or omitted</w:t>
            </w:r>
          </w:p>
        </w:tc>
        <w:tc>
          <w:tcPr>
            <w:tcW w:w="0" w:type="auto"/>
            <w:vAlign w:val="center"/>
          </w:tcPr>
          <w:p w:rsidR="005F78FC" w:rsidRDefault="00B42EF3">
            <w:pPr>
              <w:pStyle w:val="TableBodyText"/>
            </w:pPr>
            <w:r>
              <w:t>US (NASD) 30/360. If the dates are equal, the difference of days is 0. Assumes that each month has 30 days and the total number of days in the year is 360 by making the following adjustments:</w:t>
            </w:r>
          </w:p>
          <w:p w:rsidR="005F78FC" w:rsidRDefault="00B42EF3">
            <w:pPr>
              <w:pStyle w:val="TableBodyText"/>
            </w:pPr>
            <w:r>
              <w:t>If both day-of-months are 31, they are changed to 30</w:t>
            </w:r>
          </w:p>
          <w:p w:rsidR="005F78FC" w:rsidRDefault="00B42EF3">
            <w:pPr>
              <w:pStyle w:val="TableBodyText"/>
            </w:pPr>
            <w:r>
              <w:t>Otherwise, if date1’s day-of-month is 31, it is changed to 30</w:t>
            </w:r>
          </w:p>
          <w:p w:rsidR="005F78FC" w:rsidRDefault="00B42EF3">
            <w:pPr>
              <w:pStyle w:val="TableBodyText"/>
            </w:pPr>
            <w:r>
              <w:t>Otherwise, if date1’s day-of-month is 30 and date2’s day-of-month is 31, date2’s day-of-month is changed to 30 (note that date2’s day-of-month will stay 31 if date1’s day &lt; 30)</w:t>
            </w:r>
          </w:p>
          <w:p w:rsidR="005F78FC" w:rsidRDefault="00B42EF3">
            <w:pPr>
              <w:pStyle w:val="TableBodyText"/>
            </w:pPr>
            <w:r>
              <w:t xml:space="preserve">Otherwise, if </w:t>
            </w:r>
            <w:r>
              <w:t>both dates are the last day of February in their respective years, both day-of-month is changed to 30</w:t>
            </w:r>
          </w:p>
          <w:p w:rsidR="005F78FC" w:rsidRDefault="00B42EF3">
            <w:pPr>
              <w:pStyle w:val="TableBodyText"/>
            </w:pPr>
            <w:r>
              <w:t>Otherwise, if date1 is the last day of February, its day-of-month is changed to 30</w:t>
            </w:r>
          </w:p>
        </w:tc>
      </w:tr>
      <w:tr w:rsidR="005F78FC" w:rsidTr="005F78FC">
        <w:tc>
          <w:tcPr>
            <w:tcW w:w="0" w:type="auto"/>
            <w:vAlign w:val="center"/>
          </w:tcPr>
          <w:p w:rsidR="005F78FC" w:rsidRDefault="00B42EF3">
            <w:pPr>
              <w:pStyle w:val="TableBodyText"/>
            </w:pPr>
            <w:r>
              <w:rPr>
                <w:rStyle w:val="InlineCode"/>
              </w:rPr>
              <w:t>1</w:t>
            </w:r>
          </w:p>
        </w:tc>
        <w:tc>
          <w:tcPr>
            <w:tcW w:w="0" w:type="auto"/>
            <w:vAlign w:val="center"/>
          </w:tcPr>
          <w:p w:rsidR="005F78FC" w:rsidRDefault="00B42EF3">
            <w:pPr>
              <w:pStyle w:val="TableBodyText"/>
            </w:pPr>
            <w:r>
              <w:t xml:space="preserve">Actual/actual. If the dates are equal, the difference in days is 0. </w:t>
            </w:r>
            <w:r>
              <w:t>If date1 and date2 not “less than or equal to a year apart” (as defined below), then the days in the years between the dates is the average number of days in the years between date1 and date2, inclusive. Otherwise, the days in the years between the dates i</w:t>
            </w:r>
            <w:r>
              <w:t xml:space="preserve">s 365, except for these cases (where it is 366): the dates are in the same year and it is a leap-year, a February 29 occurs between the two dates, or </w:t>
            </w:r>
            <w:r>
              <w:rPr>
                <w:b/>
              </w:rPr>
              <w:t>date1 or</w:t>
            </w:r>
            <w:r>
              <w:t xml:space="preserve"> date2 is February 29.</w:t>
            </w:r>
          </w:p>
          <w:p w:rsidR="005F78FC" w:rsidRDefault="005F78FC">
            <w:pPr>
              <w:pStyle w:val="TableBodyText"/>
            </w:pPr>
          </w:p>
          <w:p w:rsidR="005F78FC" w:rsidRDefault="00B42EF3">
            <w:pPr>
              <w:pStyle w:val="TableBodyText"/>
            </w:pPr>
            <w:r>
              <w:t>To determine if date1 and date2 are “less than or equal to a year apart” f</w:t>
            </w:r>
            <w:r>
              <w:t xml:space="preserve">or purposes of this </w:t>
            </w:r>
            <w:r>
              <w:lastRenderedPageBreak/>
              <w:t>algorithm, one of these conditions must be true:</w:t>
            </w:r>
          </w:p>
          <w:p w:rsidR="005F78FC" w:rsidRDefault="00B42EF3">
            <w:pPr>
              <w:pStyle w:val="ListParagraph"/>
              <w:numPr>
                <w:ilvl w:val="0"/>
                <w:numId w:val="76"/>
              </w:numPr>
            </w:pPr>
            <w:r>
              <w:t>The two dates have the same year</w:t>
            </w:r>
          </w:p>
          <w:p w:rsidR="005F78FC" w:rsidRDefault="00B42EF3">
            <w:pPr>
              <w:pStyle w:val="ListParagraph"/>
              <w:numPr>
                <w:ilvl w:val="0"/>
                <w:numId w:val="77"/>
              </w:numPr>
            </w:pPr>
            <w:r>
              <w:t>Date2’s year is exactly one more than date1’s year, and ((date1.month &gt; date2.month) or ((date1.month == date2.month) and (date1.day &gt;= date2.day)))</w:t>
            </w:r>
          </w:p>
        </w:tc>
      </w:tr>
      <w:tr w:rsidR="005F78FC" w:rsidTr="005F78FC">
        <w:tc>
          <w:tcPr>
            <w:tcW w:w="0" w:type="auto"/>
            <w:vAlign w:val="center"/>
          </w:tcPr>
          <w:p w:rsidR="005F78FC" w:rsidRDefault="00B42EF3">
            <w:pPr>
              <w:pStyle w:val="TableBodyText"/>
            </w:pPr>
            <w:r>
              <w:rPr>
                <w:rStyle w:val="InlineCode"/>
              </w:rPr>
              <w:lastRenderedPageBreak/>
              <w:t>2</w:t>
            </w:r>
          </w:p>
        </w:tc>
        <w:tc>
          <w:tcPr>
            <w:tcW w:w="0" w:type="auto"/>
            <w:vAlign w:val="center"/>
          </w:tcPr>
          <w:p w:rsidR="005F78FC" w:rsidRDefault="00B42EF3">
            <w:pPr>
              <w:pStyle w:val="TableBodyText"/>
            </w:pPr>
            <w:r>
              <w:t>Ac</w:t>
            </w:r>
            <w:r>
              <w:t>tual/360. Computes the actual difference in days, and presumes there are always 360 days per year.</w:t>
            </w:r>
          </w:p>
        </w:tc>
      </w:tr>
      <w:tr w:rsidR="005F78FC" w:rsidTr="005F78FC">
        <w:tc>
          <w:tcPr>
            <w:tcW w:w="0" w:type="auto"/>
            <w:vAlign w:val="center"/>
          </w:tcPr>
          <w:p w:rsidR="005F78FC" w:rsidRDefault="00B42EF3">
            <w:pPr>
              <w:pStyle w:val="TableBodyText"/>
            </w:pPr>
            <w:r>
              <w:rPr>
                <w:rStyle w:val="InlineCode"/>
              </w:rPr>
              <w:t>3</w:t>
            </w:r>
          </w:p>
        </w:tc>
        <w:tc>
          <w:tcPr>
            <w:tcW w:w="0" w:type="auto"/>
            <w:vAlign w:val="center"/>
          </w:tcPr>
          <w:p w:rsidR="005F78FC" w:rsidRDefault="00B42EF3">
            <w:pPr>
              <w:pStyle w:val="TableBodyText"/>
            </w:pPr>
            <w:r>
              <w:t>Actual/365. Computes the actual difference in days, and presumes there are always 365 days per year.</w:t>
            </w:r>
          </w:p>
        </w:tc>
      </w:tr>
      <w:tr w:rsidR="005F78FC" w:rsidTr="005F78FC">
        <w:tc>
          <w:tcPr>
            <w:tcW w:w="0" w:type="auto"/>
            <w:vAlign w:val="center"/>
          </w:tcPr>
          <w:p w:rsidR="005F78FC" w:rsidRDefault="00B42EF3">
            <w:pPr>
              <w:pStyle w:val="TableBodyText"/>
            </w:pPr>
            <w:r>
              <w:rPr>
                <w:rStyle w:val="InlineCode"/>
              </w:rPr>
              <w:t>4</w:t>
            </w:r>
          </w:p>
        </w:tc>
        <w:tc>
          <w:tcPr>
            <w:tcW w:w="0" w:type="auto"/>
            <w:vAlign w:val="center"/>
          </w:tcPr>
          <w:p w:rsidR="005F78FC" w:rsidRDefault="00B42EF3">
            <w:pPr>
              <w:pStyle w:val="TableBodyText"/>
            </w:pPr>
            <w:r>
              <w:t>European 30/360. The European method for adjusting</w:t>
            </w:r>
            <w:r>
              <w:t xml:space="preserve"> day counts. If the dates are equal, the difference of days is 0. Assumes that each month has 30 days and the total number of days in the year is 360; any day-of-month (in date1, date2, or both) with a value of 31 is changed to 30. Note that February dates</w:t>
            </w:r>
            <w:r>
              <w:t xml:space="preserve"> are </w:t>
            </w:r>
            <w:r>
              <w:rPr>
                <w:i/>
              </w:rPr>
              <w:t xml:space="preserve">never </w:t>
            </w:r>
            <w:r>
              <w:t>changed, because there is no February 31.</w:t>
            </w:r>
          </w:p>
        </w:tc>
      </w:tr>
    </w:tbl>
    <w:p w:rsidR="005F78FC" w:rsidRDefault="005F78FC"/>
    <w:p w:rsidR="005F78FC" w:rsidRDefault="00B42EF3">
      <w:pPr>
        <w:pStyle w:val="Definition-Field"/>
      </w:pPr>
      <w:r>
        <w:t xml:space="preserve">b.   </w:t>
      </w:r>
      <w:r>
        <w:rPr>
          <w:i/>
        </w:rPr>
        <w:t>The standard describes day basis value of 2 (actual/360).</w:t>
      </w:r>
    </w:p>
    <w:p w:rsidR="005F78FC" w:rsidRDefault="00B42EF3">
      <w:pPr>
        <w:pStyle w:val="Definition-Field2"/>
      </w:pPr>
      <w:r>
        <w:t>Office only uses day basis values of 0, 1, 3 or 4.</w:t>
      </w:r>
    </w:p>
    <w:p w:rsidR="005F78FC" w:rsidRDefault="00B42EF3">
      <w:pPr>
        <w:pStyle w:val="Heading3"/>
      </w:pPr>
      <w:bookmarkStart w:id="1776" w:name="section_98cfb234d00a4cfc899757d8f282dd28"/>
      <w:bookmarkStart w:id="1777" w:name="_Toc69878661"/>
      <w:r>
        <w:t>Part 1 Section 18.17.7.8, AMORLINC</w:t>
      </w:r>
      <w:bookmarkEnd w:id="1776"/>
      <w:bookmarkEnd w:id="1777"/>
      <w:r>
        <w:fldChar w:fldCharType="begin"/>
      </w:r>
      <w:r>
        <w:instrText xml:space="preserve"> XE "AMORLINC" </w:instrText>
      </w:r>
      <w:r>
        <w:fldChar w:fldCharType="end"/>
      </w:r>
    </w:p>
    <w:p w:rsidR="005F78FC" w:rsidRDefault="00B42EF3">
      <w:pPr>
        <w:pStyle w:val="Definition-Field"/>
      </w:pPr>
      <w:r>
        <w:t xml:space="preserve">a.   </w:t>
      </w:r>
      <w:r>
        <w:rPr>
          <w:i/>
        </w:rPr>
        <w:t xml:space="preserve">The standard does not specify </w:t>
      </w:r>
      <w:r>
        <w:rPr>
          <w:i/>
        </w:rPr>
        <w:t>day and month adjustments for the basis argument.</w:t>
      </w:r>
    </w:p>
    <w:p w:rsidR="005F78FC" w:rsidRDefault="00B42EF3">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Value</w:t>
            </w:r>
          </w:p>
        </w:tc>
        <w:tc>
          <w:tcPr>
            <w:tcW w:w="0" w:type="auto"/>
            <w:vAlign w:val="center"/>
          </w:tcPr>
          <w:p w:rsidR="005F78FC" w:rsidRDefault="00B42EF3">
            <w:pPr>
              <w:pStyle w:val="TableHeaderText"/>
            </w:pPr>
            <w:r>
              <w:t>Day Count Basis</w:t>
            </w:r>
          </w:p>
        </w:tc>
      </w:tr>
      <w:tr w:rsidR="005F78FC" w:rsidTr="005F78FC">
        <w:tc>
          <w:tcPr>
            <w:tcW w:w="0" w:type="auto"/>
            <w:vAlign w:val="center"/>
          </w:tcPr>
          <w:p w:rsidR="005F78FC" w:rsidRDefault="00B42EF3">
            <w:pPr>
              <w:pStyle w:val="TableBodyText"/>
            </w:pPr>
            <w:r>
              <w:rPr>
                <w:rStyle w:val="InlineCode"/>
              </w:rPr>
              <w:t>0</w:t>
            </w:r>
            <w:r>
              <w:t xml:space="preserve"> or omitted</w:t>
            </w:r>
          </w:p>
        </w:tc>
        <w:tc>
          <w:tcPr>
            <w:tcW w:w="0" w:type="auto"/>
            <w:vAlign w:val="center"/>
          </w:tcPr>
          <w:p w:rsidR="005F78FC" w:rsidRDefault="00B42EF3">
            <w:pPr>
              <w:pStyle w:val="TableBodyText"/>
            </w:pPr>
            <w:r>
              <w:t xml:space="preserve">US (NASD) 30/360. If the dates are equal, the difference of days </w:t>
            </w:r>
            <w:r>
              <w:t>is 0. Assumes that each month has 30 days and the total number of days in the year is 360 by making the following adjustments:</w:t>
            </w:r>
          </w:p>
          <w:p w:rsidR="005F78FC" w:rsidRDefault="00B42EF3">
            <w:pPr>
              <w:pStyle w:val="TableBodyText"/>
            </w:pPr>
            <w:r>
              <w:t>If both day-of-months are 31, they are changed to 30</w:t>
            </w:r>
          </w:p>
          <w:p w:rsidR="005F78FC" w:rsidRDefault="00B42EF3">
            <w:pPr>
              <w:pStyle w:val="TableBodyText"/>
            </w:pPr>
            <w:r>
              <w:t>Otherwise, if date1’s day-of-month is 31, it is changed to 30</w:t>
            </w:r>
          </w:p>
          <w:p w:rsidR="005F78FC" w:rsidRDefault="00B42EF3">
            <w:pPr>
              <w:pStyle w:val="TableBodyText"/>
            </w:pPr>
            <w:r>
              <w:t xml:space="preserve">Otherwise, if </w:t>
            </w:r>
            <w:r>
              <w:t>date1’s day-of-month is 30 and date2’s day-of-month is 31, date2’s day-of-month is changed to 30 (note that date2’s day-of-month will stay 31 if date1’s day &lt; 30)</w:t>
            </w:r>
          </w:p>
          <w:p w:rsidR="005F78FC" w:rsidRDefault="00B42EF3">
            <w:pPr>
              <w:pStyle w:val="TableBodyText"/>
            </w:pPr>
            <w:r>
              <w:t>Otherwise, if both dates are the last day of February in their respective years, both day-of-</w:t>
            </w:r>
            <w:r>
              <w:t>month is changed to 30</w:t>
            </w:r>
          </w:p>
          <w:p w:rsidR="005F78FC" w:rsidRDefault="00B42EF3">
            <w:pPr>
              <w:pStyle w:val="TableBodyText"/>
            </w:pPr>
            <w:r>
              <w:t>Otherwise, if date1 is the last day of February, its day-of-month is changed to 30</w:t>
            </w:r>
          </w:p>
        </w:tc>
      </w:tr>
      <w:tr w:rsidR="005F78FC" w:rsidTr="005F78FC">
        <w:tc>
          <w:tcPr>
            <w:tcW w:w="0" w:type="auto"/>
            <w:vAlign w:val="center"/>
          </w:tcPr>
          <w:p w:rsidR="005F78FC" w:rsidRDefault="00B42EF3">
            <w:pPr>
              <w:pStyle w:val="TableBodyText"/>
            </w:pPr>
            <w:r>
              <w:rPr>
                <w:rStyle w:val="InlineCode"/>
              </w:rPr>
              <w:t>1</w:t>
            </w:r>
          </w:p>
        </w:tc>
        <w:tc>
          <w:tcPr>
            <w:tcW w:w="0" w:type="auto"/>
            <w:vAlign w:val="center"/>
          </w:tcPr>
          <w:p w:rsidR="005F78FC" w:rsidRDefault="00B42EF3">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5F78FC" w:rsidRDefault="005F78FC">
            <w:pPr>
              <w:pStyle w:val="TableBodyText"/>
            </w:pPr>
          </w:p>
          <w:p w:rsidR="005F78FC" w:rsidRDefault="00B42EF3">
            <w:pPr>
              <w:pStyle w:val="TableBodyText"/>
            </w:pPr>
            <w:r>
              <w:t>To det</w:t>
            </w:r>
            <w:r>
              <w:t>ermine if date1 and date2 are “less than or equal to a year apart” for purposes of this algorithm, one of these conditions must be true:</w:t>
            </w:r>
          </w:p>
          <w:p w:rsidR="005F78FC" w:rsidRDefault="00B42EF3">
            <w:pPr>
              <w:pStyle w:val="ListParagraph"/>
              <w:numPr>
                <w:ilvl w:val="0"/>
                <w:numId w:val="78"/>
              </w:numPr>
            </w:pPr>
            <w:r>
              <w:t>The two dates have the same year</w:t>
            </w:r>
          </w:p>
          <w:p w:rsidR="005F78FC" w:rsidRDefault="00B42EF3">
            <w:pPr>
              <w:pStyle w:val="ListParagraph"/>
              <w:numPr>
                <w:ilvl w:val="0"/>
                <w:numId w:val="79"/>
              </w:numPr>
            </w:pPr>
            <w:r>
              <w:t>Date2’s year is exactly one more than date1’s year, and ((date1.month &gt; date2.month) o</w:t>
            </w:r>
            <w:r>
              <w:t>r ((date1.month == date2.month) and (date1.day &gt;= date2.day)))</w:t>
            </w:r>
          </w:p>
        </w:tc>
      </w:tr>
      <w:tr w:rsidR="005F78FC" w:rsidTr="005F78FC">
        <w:tc>
          <w:tcPr>
            <w:tcW w:w="0" w:type="auto"/>
            <w:vAlign w:val="center"/>
          </w:tcPr>
          <w:p w:rsidR="005F78FC" w:rsidRDefault="00B42EF3">
            <w:pPr>
              <w:pStyle w:val="TableBodyText"/>
            </w:pPr>
            <w:r>
              <w:rPr>
                <w:rStyle w:val="InlineCode"/>
              </w:rPr>
              <w:t>2</w:t>
            </w:r>
          </w:p>
        </w:tc>
        <w:tc>
          <w:tcPr>
            <w:tcW w:w="0" w:type="auto"/>
            <w:vAlign w:val="center"/>
          </w:tcPr>
          <w:p w:rsidR="005F78FC" w:rsidRDefault="00B42EF3">
            <w:pPr>
              <w:pStyle w:val="TableBodyText"/>
            </w:pPr>
            <w:r>
              <w:t xml:space="preserve">Actual/360. Computes the actual difference in days, and presumes there are always 360 days per </w:t>
            </w:r>
            <w:r>
              <w:lastRenderedPageBreak/>
              <w:t>year.</w:t>
            </w:r>
          </w:p>
        </w:tc>
      </w:tr>
      <w:tr w:rsidR="005F78FC" w:rsidTr="005F78FC">
        <w:tc>
          <w:tcPr>
            <w:tcW w:w="0" w:type="auto"/>
            <w:vAlign w:val="center"/>
          </w:tcPr>
          <w:p w:rsidR="005F78FC" w:rsidRDefault="00B42EF3">
            <w:pPr>
              <w:pStyle w:val="TableBodyText"/>
            </w:pPr>
            <w:r>
              <w:rPr>
                <w:rStyle w:val="InlineCode"/>
              </w:rPr>
              <w:lastRenderedPageBreak/>
              <w:t>3</w:t>
            </w:r>
          </w:p>
        </w:tc>
        <w:tc>
          <w:tcPr>
            <w:tcW w:w="0" w:type="auto"/>
            <w:vAlign w:val="center"/>
          </w:tcPr>
          <w:p w:rsidR="005F78FC" w:rsidRDefault="00B42EF3">
            <w:pPr>
              <w:pStyle w:val="TableBodyText"/>
            </w:pPr>
            <w:r>
              <w:t xml:space="preserve">Actual/365. Computes the actual difference in days, and presumes there are always 365 </w:t>
            </w:r>
            <w:r>
              <w:t>days per year.</w:t>
            </w:r>
          </w:p>
        </w:tc>
      </w:tr>
      <w:tr w:rsidR="005F78FC" w:rsidTr="005F78FC">
        <w:tc>
          <w:tcPr>
            <w:tcW w:w="0" w:type="auto"/>
            <w:vAlign w:val="center"/>
          </w:tcPr>
          <w:p w:rsidR="005F78FC" w:rsidRDefault="00B42EF3">
            <w:pPr>
              <w:pStyle w:val="TableBodyText"/>
            </w:pPr>
            <w:r>
              <w:rPr>
                <w:rStyle w:val="InlineCode"/>
              </w:rPr>
              <w:t>4</w:t>
            </w:r>
          </w:p>
        </w:tc>
        <w:tc>
          <w:tcPr>
            <w:tcW w:w="0" w:type="auto"/>
            <w:vAlign w:val="center"/>
          </w:tcPr>
          <w:p w:rsidR="005F78FC" w:rsidRDefault="00B42EF3">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5F78FC" w:rsidRDefault="005F78FC"/>
    <w:p w:rsidR="005F78FC" w:rsidRDefault="00B42EF3">
      <w:pPr>
        <w:pStyle w:val="Definition-Field"/>
      </w:pPr>
      <w:r>
        <w:t xml:space="preserve">b.   </w:t>
      </w:r>
      <w:r>
        <w:rPr>
          <w:i/>
        </w:rPr>
        <w:t>The standard describes day basis value of 2 (actual/360).</w:t>
      </w:r>
    </w:p>
    <w:p w:rsidR="005F78FC" w:rsidRDefault="00B42EF3">
      <w:pPr>
        <w:pStyle w:val="Definition-Field2"/>
      </w:pPr>
      <w:r>
        <w:t>Office only uses day basis values of 0, 1, 3 or 4.</w:t>
      </w:r>
    </w:p>
    <w:p w:rsidR="005F78FC" w:rsidRDefault="00B42EF3">
      <w:pPr>
        <w:pStyle w:val="Heading3"/>
      </w:pPr>
      <w:bookmarkStart w:id="1778" w:name="section_336b8f05a2344e46bd4e1f94b673f6f5"/>
      <w:bookmarkStart w:id="1779" w:name="_Toc69878662"/>
      <w:r>
        <w:t>Part 1 Section 18.1</w:t>
      </w:r>
      <w:r>
        <w:t>7.7.10, AREAS</w:t>
      </w:r>
      <w:bookmarkEnd w:id="1778"/>
      <w:bookmarkEnd w:id="1779"/>
      <w:r>
        <w:fldChar w:fldCharType="begin"/>
      </w:r>
      <w:r>
        <w:instrText xml:space="preserve"> XE "AREAS" </w:instrText>
      </w:r>
      <w:r>
        <w:fldChar w:fldCharType="end"/>
      </w:r>
    </w:p>
    <w:p w:rsidR="005F78FC" w:rsidRDefault="00B42EF3">
      <w:pPr>
        <w:pStyle w:val="Definition-Field"/>
      </w:pPr>
      <w:r>
        <w:t xml:space="preserve">a.   </w:t>
      </w:r>
      <w:r>
        <w:rPr>
          <w:i/>
        </w:rPr>
        <w:t>The standard states if the reference designates no areas, #NUM! is returned.</w:t>
      </w:r>
    </w:p>
    <w:p w:rsidR="005F78FC" w:rsidRDefault="00B42EF3">
      <w:pPr>
        <w:pStyle w:val="Definition-Field2"/>
      </w:pPr>
      <w:r>
        <w:t>Office returns #NULL! if the reference designates no areas.</w:t>
      </w:r>
    </w:p>
    <w:p w:rsidR="005F78FC" w:rsidRDefault="00B42EF3">
      <w:pPr>
        <w:pStyle w:val="Heading3"/>
      </w:pPr>
      <w:bookmarkStart w:id="1780" w:name="section_55c9ba7b44644f9a99cc7fbeda431238"/>
      <w:bookmarkStart w:id="1781" w:name="_Toc69878663"/>
      <w:r>
        <w:t>Part 1 Section 18.17.7.12, ASIN</w:t>
      </w:r>
      <w:bookmarkEnd w:id="1780"/>
      <w:bookmarkEnd w:id="1781"/>
      <w:r>
        <w:fldChar w:fldCharType="begin"/>
      </w:r>
      <w:r>
        <w:instrText xml:space="preserve"> XE "ASIN" </w:instrText>
      </w:r>
      <w:r>
        <w:fldChar w:fldCharType="end"/>
      </w:r>
    </w:p>
    <w:p w:rsidR="005F78FC" w:rsidRDefault="00B42EF3">
      <w:pPr>
        <w:pStyle w:val="Definition-Field"/>
      </w:pPr>
      <w:r>
        <w:t xml:space="preserve">a.   </w:t>
      </w:r>
      <w:r>
        <w:rPr>
          <w:i/>
        </w:rPr>
        <w:t xml:space="preserve">The standard does not specify the </w:t>
      </w:r>
      <w:r>
        <w:rPr>
          <w:i/>
        </w:rPr>
        <w:t>unit of the return value.</w:t>
      </w:r>
    </w:p>
    <w:p w:rsidR="005F78FC" w:rsidRDefault="00B42EF3">
      <w:pPr>
        <w:pStyle w:val="Definition-Field2"/>
      </w:pPr>
      <w:r>
        <w:t>Office calculates arc sine of x, in radians.</w:t>
      </w:r>
    </w:p>
    <w:p w:rsidR="005F78FC" w:rsidRDefault="00B42EF3">
      <w:pPr>
        <w:pStyle w:val="Heading3"/>
      </w:pPr>
      <w:bookmarkStart w:id="1782" w:name="section_d07bdd52dae64d1c829af210f455c857"/>
      <w:bookmarkStart w:id="1783" w:name="_Toc69878664"/>
      <w:r>
        <w:t>Part 1 Section 18.17.7.13, ASINH</w:t>
      </w:r>
      <w:bookmarkEnd w:id="1782"/>
      <w:bookmarkEnd w:id="1783"/>
      <w:r>
        <w:fldChar w:fldCharType="begin"/>
      </w:r>
      <w:r>
        <w:instrText xml:space="preserve"> XE "ASINH" </w:instrText>
      </w:r>
      <w:r>
        <w:fldChar w:fldCharType="end"/>
      </w:r>
    </w:p>
    <w:p w:rsidR="005F78FC" w:rsidRDefault="00B42EF3">
      <w:pPr>
        <w:pStyle w:val="Definition-Field"/>
      </w:pPr>
      <w:r>
        <w:t xml:space="preserve">a.   </w:t>
      </w:r>
      <w:r>
        <w:rPr>
          <w:i/>
        </w:rPr>
        <w:t>The standard states that ASINH computes the inverse hyperbolic cosine of x.</w:t>
      </w:r>
    </w:p>
    <w:p w:rsidR="005F78FC" w:rsidRDefault="00B42EF3">
      <w:pPr>
        <w:pStyle w:val="Definition-Field2"/>
      </w:pPr>
      <w:r>
        <w:t>Office computes ASINH as the inverse hyperbolic sine of x</w:t>
      </w:r>
      <w:r>
        <w:t>.</w:t>
      </w:r>
    </w:p>
    <w:p w:rsidR="005F78FC" w:rsidRDefault="00B42EF3">
      <w:pPr>
        <w:pStyle w:val="Heading3"/>
      </w:pPr>
      <w:bookmarkStart w:id="1784" w:name="section_170ad2311e1048408355f52ca577c938"/>
      <w:bookmarkStart w:id="1785" w:name="_Toc69878665"/>
      <w:r>
        <w:t>Part 1 Section 18.17.7.14, ATAN</w:t>
      </w:r>
      <w:bookmarkEnd w:id="1784"/>
      <w:bookmarkEnd w:id="1785"/>
      <w:r>
        <w:fldChar w:fldCharType="begin"/>
      </w:r>
      <w:r>
        <w:instrText xml:space="preserve"> XE "ATAN" </w:instrText>
      </w:r>
      <w:r>
        <w:fldChar w:fldCharType="end"/>
      </w:r>
    </w:p>
    <w:p w:rsidR="005F78FC" w:rsidRDefault="00B42EF3">
      <w:pPr>
        <w:pStyle w:val="Definition-Field"/>
      </w:pPr>
      <w:r>
        <w:t xml:space="preserve">a.   </w:t>
      </w:r>
      <w:r>
        <w:rPr>
          <w:i/>
        </w:rPr>
        <w:t>The standard does not specify the unit of the return value.</w:t>
      </w:r>
    </w:p>
    <w:p w:rsidR="005F78FC" w:rsidRDefault="00B42EF3">
      <w:pPr>
        <w:pStyle w:val="Definition-Field2"/>
      </w:pPr>
      <w:r>
        <w:t>Office calculates arc tangent of x, in radians.</w:t>
      </w:r>
    </w:p>
    <w:p w:rsidR="005F78FC" w:rsidRDefault="00B42EF3">
      <w:pPr>
        <w:pStyle w:val="Heading3"/>
      </w:pPr>
      <w:bookmarkStart w:id="1786" w:name="section_ddf1af4005c3432881aa629658ddfbde"/>
      <w:bookmarkStart w:id="1787" w:name="_Toc69878666"/>
      <w:r>
        <w:t>Part 1 Section 18.17.7.15, ATAN2</w:t>
      </w:r>
      <w:bookmarkEnd w:id="1786"/>
      <w:bookmarkEnd w:id="1787"/>
      <w:r>
        <w:fldChar w:fldCharType="begin"/>
      </w:r>
      <w:r>
        <w:instrText xml:space="preserve"> XE "ATAN2" </w:instrText>
      </w:r>
      <w:r>
        <w:fldChar w:fldCharType="end"/>
      </w:r>
    </w:p>
    <w:p w:rsidR="005F78FC" w:rsidRDefault="00B42EF3">
      <w:pPr>
        <w:pStyle w:val="Definition-Field"/>
      </w:pPr>
      <w:r>
        <w:t xml:space="preserve">a.   </w:t>
      </w:r>
      <w:r>
        <w:rPr>
          <w:i/>
        </w:rPr>
        <w:t>The standard states that the return value of</w:t>
      </w:r>
      <w:r>
        <w:rPr>
          <w:i/>
        </w:rPr>
        <w:t xml:space="preserve"> the function is the arc tangent of x.</w:t>
      </w:r>
    </w:p>
    <w:p w:rsidR="005F78FC" w:rsidRDefault="00B42EF3">
      <w:r>
        <w:t xml:space="preserve">In Office, the return value of the function is the arc tangent of two arguments determined by the point (x, y); that is, the angle in the Cartesian plane formed by the positive x-axis and the vector from (0,0) to the </w:t>
      </w:r>
      <w:r>
        <w:t>point (x, y); the result is constrained to be in the half-open interval (-π,π].   This function is useful in converting from rectangular coordinates (x, y) to polar coordinates (r,θ), with the angle θ being returned by this function, in radians.</w:t>
      </w:r>
    </w:p>
    <w:p w:rsidR="005F78FC" w:rsidRDefault="00B42EF3">
      <w:r>
        <w:t>Mathematic</w:t>
      </w:r>
      <w:r>
        <w:t>al Formula:</w:t>
      </w:r>
    </w:p>
    <w:p w:rsidR="005F78FC" w:rsidRDefault="00B42EF3">
      <w:r>
        <w:t>If x&gt; 0 (in the 1st or 4th quadrant or on the positive x -axis), then ATAN2(x,y) =arctan(y/x);</w:t>
      </w:r>
    </w:p>
    <w:p w:rsidR="005F78FC" w:rsidRDefault="00B42EF3">
      <w:r>
        <w:t>If x&lt; 0 and y≥ 0 (in the 2nd quadrant or on the negative x -axis), then ATAN2(x,y) =arctan(y/x) + π;</w:t>
      </w:r>
    </w:p>
    <w:p w:rsidR="005F78FC" w:rsidRDefault="00B42EF3">
      <w:r>
        <w:t>If x&lt; 0 and y&lt; 0 (in the 3rd quadrant), then ATA</w:t>
      </w:r>
      <w:r>
        <w:t>N2(x,y) =arctan(y/x) - π;</w:t>
      </w:r>
    </w:p>
    <w:p w:rsidR="005F78FC" w:rsidRDefault="00B42EF3">
      <w:r>
        <w:lastRenderedPageBreak/>
        <w:t xml:space="preserve">If x = 0 and y≠ 0 (on the y -axis excluding the origin), then ATAN2(x,y) =(π/2)*sgn(y), </w:t>
      </w:r>
    </w:p>
    <w:p w:rsidR="005F78FC" w:rsidRDefault="00B42EF3">
      <w:r>
        <w:t>In the preceding formulas, arctan is the principal value of inverse tangent function, whose range is the interval (-π/2,π/2), and sgn(y) retu</w:t>
      </w:r>
      <w:r>
        <w:t>rns one of the values -1, 0, or +1 according as y is negative, zero, or positive.</w:t>
      </w:r>
    </w:p>
    <w:p w:rsidR="005F78FC" w:rsidRDefault="00B42EF3">
      <w:pPr>
        <w:pStyle w:val="Heading3"/>
      </w:pPr>
      <w:bookmarkStart w:id="1788" w:name="section_87e066baf82f46a8b339df874e598d8b"/>
      <w:bookmarkStart w:id="1789" w:name="_Toc69878667"/>
      <w:r>
        <w:t>Part 1 Section 18.17.7.17, AVEDEV</w:t>
      </w:r>
      <w:bookmarkEnd w:id="1788"/>
      <w:bookmarkEnd w:id="1789"/>
      <w:r>
        <w:fldChar w:fldCharType="begin"/>
      </w:r>
      <w:r>
        <w:instrText xml:space="preserve"> XE "AVEDEV" </w:instrText>
      </w:r>
      <w:r>
        <w:fldChar w:fldCharType="end"/>
      </w:r>
    </w:p>
    <w:p w:rsidR="005F78FC" w:rsidRDefault="00B42EF3">
      <w:pPr>
        <w:pStyle w:val="Definition-Field"/>
      </w:pPr>
      <w:r>
        <w:t xml:space="preserve">a.   </w:t>
      </w:r>
      <w:r>
        <w:rPr>
          <w:i/>
        </w:rPr>
        <w:t>The standard specifies the mathematical formula for AVEDEV to be C(n,k) = P(k,n)/k!=n!/(k!(n-k)!).</w:t>
      </w:r>
    </w:p>
    <w:p w:rsidR="005F78FC" w:rsidRDefault="00B42EF3">
      <w:pPr>
        <w:pStyle w:val="Definition-Field2"/>
      </w:pPr>
      <w:r>
        <w:t>Office uses the mathe</w:t>
      </w:r>
      <w:r>
        <w:t>matical formula: (1/n) ∑|x - x-bar| and maps n to the size of the data set, x to a value from the data set, and x-bar as the AVERAGE(argument-list).</w:t>
      </w:r>
    </w:p>
    <w:p w:rsidR="005F78FC" w:rsidRDefault="00B42EF3">
      <w:pPr>
        <w:pStyle w:val="Heading3"/>
      </w:pPr>
      <w:bookmarkStart w:id="1790" w:name="section_5a181518d30945439a4ab4b2742e7e3e"/>
      <w:bookmarkStart w:id="1791" w:name="_Toc69878668"/>
      <w:r>
        <w:t>Part 1 Section 18.17.7.19, AVERAGEA</w:t>
      </w:r>
      <w:bookmarkEnd w:id="1790"/>
      <w:bookmarkEnd w:id="1791"/>
      <w:r>
        <w:fldChar w:fldCharType="begin"/>
      </w:r>
      <w:r>
        <w:instrText xml:space="preserve"> XE "AVERAGEA" </w:instrText>
      </w:r>
      <w:r>
        <w:fldChar w:fldCharType="end"/>
      </w:r>
    </w:p>
    <w:p w:rsidR="005F78FC" w:rsidRDefault="00B42EF3">
      <w:pPr>
        <w:pStyle w:val="Definition-Field"/>
      </w:pPr>
      <w:r>
        <w:t xml:space="preserve">a.   </w:t>
      </w:r>
      <w:r>
        <w:rPr>
          <w:i/>
        </w:rPr>
        <w:t>The standard states if an argument in argument-li</w:t>
      </w:r>
      <w:r>
        <w:rPr>
          <w:i/>
        </w:rPr>
        <w:t>st is an array or reference, only values in that array or reference are used.</w:t>
      </w:r>
    </w:p>
    <w:p w:rsidR="005F78FC" w:rsidRDefault="00B42EF3">
      <w:pPr>
        <w:pStyle w:val="Definition-Field2"/>
      </w:pPr>
      <w:r>
        <w:t>In Office, if an argument in argument-list is an array or reference, numeric values in that array or reference are included, and text values are included but treated as 0.</w:t>
      </w:r>
    </w:p>
    <w:p w:rsidR="005F78FC" w:rsidRDefault="00B42EF3">
      <w:pPr>
        <w:pStyle w:val="Heading3"/>
      </w:pPr>
      <w:bookmarkStart w:id="1792" w:name="section_f1017281c95349629dde313dfc64d4c9"/>
      <w:bookmarkStart w:id="1793" w:name="_Toc69878669"/>
      <w:r>
        <w:t>Part 1</w:t>
      </w:r>
      <w:r>
        <w:t xml:space="preserve"> Section 18.17.7.20, AVERAGEIF</w:t>
      </w:r>
      <w:bookmarkEnd w:id="1792"/>
      <w:bookmarkEnd w:id="1793"/>
      <w:r>
        <w:fldChar w:fldCharType="begin"/>
      </w:r>
      <w:r>
        <w:instrText xml:space="preserve"> XE "AVERAGEIF" </w:instrText>
      </w:r>
      <w:r>
        <w:fldChar w:fldCharType="end"/>
      </w:r>
    </w:p>
    <w:p w:rsidR="005F78FC" w:rsidRDefault="00B42EF3">
      <w:pPr>
        <w:pStyle w:val="Definition-Field"/>
      </w:pPr>
      <w:r>
        <w:t xml:space="preserve">a.   </w:t>
      </w:r>
      <w:r>
        <w:rPr>
          <w:i/>
        </w:rPr>
        <w:t>The standard does not describe error case when all the cells being averaged in average-range (or in cell-range if average-range is omitted) are empty or contain non-numeric data.</w:t>
      </w:r>
    </w:p>
    <w:p w:rsidR="005F78FC" w:rsidRDefault="00B42EF3">
      <w:pPr>
        <w:pStyle w:val="Definition-Field2"/>
      </w:pPr>
      <w:r>
        <w:t xml:space="preserve">Office returns #DIV/0! </w:t>
      </w:r>
      <w:r>
        <w:t>in this case.</w:t>
      </w:r>
    </w:p>
    <w:p w:rsidR="005F78FC" w:rsidRDefault="00B42EF3">
      <w:pPr>
        <w:pStyle w:val="Heading3"/>
      </w:pPr>
      <w:bookmarkStart w:id="1794" w:name="section_fa2b6805c3cd4386866483d1635cd18e"/>
      <w:bookmarkStart w:id="1795" w:name="_Toc69878670"/>
      <w:r>
        <w:t>Part 1 Section 18.17.7.21, AVERAGEIFS</w:t>
      </w:r>
      <w:bookmarkEnd w:id="1794"/>
      <w:bookmarkEnd w:id="1795"/>
      <w:r>
        <w:fldChar w:fldCharType="begin"/>
      </w:r>
      <w:r>
        <w:instrText xml:space="preserve"> XE "AVERAGEIFS" </w:instrText>
      </w:r>
      <w:r>
        <w:fldChar w:fldCharType="end"/>
      </w:r>
    </w:p>
    <w:p w:rsidR="005F78FC" w:rsidRDefault="00B42EF3">
      <w:pPr>
        <w:pStyle w:val="Definition-Field"/>
      </w:pPr>
      <w:r>
        <w:t xml:space="preserve">a.   </w:t>
      </w:r>
      <w:r>
        <w:rPr>
          <w:i/>
        </w:rPr>
        <w:t>The standard indicates the Average-range need not have the same size and shape as cell-range-1 through cell-range-n.</w:t>
      </w:r>
    </w:p>
    <w:p w:rsidR="005F78FC" w:rsidRDefault="00B42EF3">
      <w:pPr>
        <w:pStyle w:val="Definition-Field2"/>
      </w:pPr>
      <w:r>
        <w:t xml:space="preserve">Office requires each cell-range-1 through cell-range-n to have </w:t>
      </w:r>
      <w:r>
        <w:t>the same size and shape as the average-range.</w:t>
      </w:r>
    </w:p>
    <w:p w:rsidR="005F78FC" w:rsidRDefault="00B42EF3">
      <w:pPr>
        <w:pStyle w:val="Definition-Field"/>
      </w:pPr>
      <w:r>
        <w:t xml:space="preserve">b.   </w:t>
      </w:r>
      <w:r>
        <w:rPr>
          <w:i/>
        </w:rPr>
        <w:t>The standard states that argument cell-range-n is of type number, expression, reference, or text; while argument selection-criteria-n is of type reference or text.</w:t>
      </w:r>
    </w:p>
    <w:p w:rsidR="005F78FC" w:rsidRDefault="00B42EF3">
      <w:pPr>
        <w:pStyle w:val="Definition-Field2"/>
      </w:pPr>
      <w:r>
        <w:t>In Office, argument cell-range-n can be o</w:t>
      </w:r>
      <w:r>
        <w:t>f type reference and argument selection-criteria-n can be of type number, expression, reference, or text.</w:t>
      </w:r>
    </w:p>
    <w:p w:rsidR="005F78FC" w:rsidRDefault="00B42EF3">
      <w:pPr>
        <w:pStyle w:val="Heading3"/>
      </w:pPr>
      <w:bookmarkStart w:id="1796" w:name="section_70f9e4b103cb4ed981b041d3f00b784a"/>
      <w:bookmarkStart w:id="1797" w:name="_Toc69878671"/>
      <w:r>
        <w:t>Part 1 Section 18.17.7.23, BESSELI</w:t>
      </w:r>
      <w:bookmarkEnd w:id="1796"/>
      <w:bookmarkEnd w:id="1797"/>
      <w:r>
        <w:fldChar w:fldCharType="begin"/>
      </w:r>
      <w:r>
        <w:instrText xml:space="preserve"> XE "BESSELI" </w:instrText>
      </w:r>
      <w:r>
        <w:fldChar w:fldCharType="end"/>
      </w:r>
    </w:p>
    <w:p w:rsidR="005F78FC" w:rsidRDefault="00B42EF3">
      <w:pPr>
        <w:pStyle w:val="Definition-Field"/>
      </w:pPr>
      <w:r>
        <w:t xml:space="preserve">a.   </w:t>
      </w:r>
      <w:r>
        <w:rPr>
          <w:i/>
        </w:rPr>
        <w:t>The standard does not specify how function arguments map to formula variables.</w:t>
      </w:r>
    </w:p>
    <w:p w:rsidR="005F78FC" w:rsidRDefault="00B42EF3">
      <w:pPr>
        <w:pStyle w:val="Definition-Field2"/>
      </w:pPr>
      <w:r>
        <w:t>Office maps x t</w:t>
      </w:r>
      <w:r>
        <w:t>o argument x and n to argument n.</w:t>
      </w:r>
    </w:p>
    <w:p w:rsidR="005F78FC" w:rsidRDefault="00B42EF3">
      <w:pPr>
        <w:pStyle w:val="Heading3"/>
      </w:pPr>
      <w:bookmarkStart w:id="1798" w:name="section_cba98ecda06642cd986df3c9e3fd1065"/>
      <w:bookmarkStart w:id="1799" w:name="_Toc69878672"/>
      <w:r>
        <w:t>Part 1 Section 18.17.7.24, BESSELJ</w:t>
      </w:r>
      <w:bookmarkEnd w:id="1798"/>
      <w:bookmarkEnd w:id="1799"/>
      <w:r>
        <w:fldChar w:fldCharType="begin"/>
      </w:r>
      <w:r>
        <w:instrText xml:space="preserve"> XE "BESSELJ" </w:instrText>
      </w:r>
      <w:r>
        <w:fldChar w:fldCharType="end"/>
      </w:r>
    </w:p>
    <w:p w:rsidR="005F78FC" w:rsidRDefault="00B42EF3">
      <w:pPr>
        <w:pStyle w:val="Definition-Field"/>
      </w:pPr>
      <w:r>
        <w:t xml:space="preserve">a.   </w:t>
      </w:r>
      <w:r>
        <w:rPr>
          <w:i/>
        </w:rPr>
        <w:t>The standard does not specify how function arguments map to formula variables.</w:t>
      </w:r>
    </w:p>
    <w:p w:rsidR="005F78FC" w:rsidRDefault="00B42EF3">
      <w:pPr>
        <w:pStyle w:val="Definition-Field2"/>
      </w:pPr>
      <w:r>
        <w:t>Office maps x to argument x and n to argument n.</w:t>
      </w:r>
    </w:p>
    <w:p w:rsidR="005F78FC" w:rsidRDefault="00B42EF3">
      <w:pPr>
        <w:pStyle w:val="Heading3"/>
      </w:pPr>
      <w:bookmarkStart w:id="1800" w:name="section_509516a4b37541f59aee9361ecba272e"/>
      <w:bookmarkStart w:id="1801" w:name="_Toc69878673"/>
      <w:r>
        <w:lastRenderedPageBreak/>
        <w:t>Part 1 Section 18.17.7.25, BESSELK</w:t>
      </w:r>
      <w:bookmarkEnd w:id="1800"/>
      <w:bookmarkEnd w:id="1801"/>
      <w:r>
        <w:fldChar w:fldCharType="begin"/>
      </w:r>
      <w:r>
        <w:instrText xml:space="preserve"> XE </w:instrText>
      </w:r>
      <w:r>
        <w:instrText xml:space="preserve">"BESSELK" </w:instrText>
      </w:r>
      <w:r>
        <w:fldChar w:fldCharType="end"/>
      </w:r>
    </w:p>
    <w:p w:rsidR="005F78FC" w:rsidRDefault="00B42EF3">
      <w:pPr>
        <w:pStyle w:val="Definition-Field"/>
      </w:pPr>
      <w:r>
        <w:t xml:space="preserve">a.   </w:t>
      </w:r>
      <w:r>
        <w:rPr>
          <w:i/>
        </w:rPr>
        <w:t>The standard uses the mathematical formula: K_n (x)= (p/2) i^(n+1) [ J_n (ix)+iY_n (ix) ], and does not say how function arguments map to formula variables.</w:t>
      </w:r>
    </w:p>
    <w:p w:rsidR="005F78FC" w:rsidRDefault="00B42EF3">
      <w:pPr>
        <w:pStyle w:val="Definition-Field2"/>
      </w:pPr>
      <w:r>
        <w:t xml:space="preserve">Office uses the mathematical formula K_n (x)= (π/2) i^(n+1) [ J_n (ix)+iY_n (ix) </w:t>
      </w:r>
      <w:r>
        <w:t>] and maps Jn to the J Bessel function, Yn to the Y Bessel function, n to argument n, and x to argument x.</w:t>
      </w:r>
    </w:p>
    <w:p w:rsidR="005F78FC" w:rsidRDefault="00B42EF3">
      <w:pPr>
        <w:pStyle w:val="Heading3"/>
      </w:pPr>
      <w:bookmarkStart w:id="1802" w:name="section_29abcd8bb4a4493eb205654196e8be98"/>
      <w:bookmarkStart w:id="1803" w:name="_Toc69878674"/>
      <w:r>
        <w:t>Part 1 Section 18.17.7.26, BESSELY</w:t>
      </w:r>
      <w:bookmarkEnd w:id="1802"/>
      <w:bookmarkEnd w:id="1803"/>
      <w:r>
        <w:fldChar w:fldCharType="begin"/>
      </w:r>
      <w:r>
        <w:instrText xml:space="preserve"> XE "BESSELY" </w:instrText>
      </w:r>
      <w:r>
        <w:fldChar w:fldCharType="end"/>
      </w:r>
    </w:p>
    <w:p w:rsidR="005F78FC" w:rsidRDefault="00B42EF3">
      <w:pPr>
        <w:pStyle w:val="Definition-Field"/>
      </w:pPr>
      <w:r>
        <w:t xml:space="preserve">a.   </w:t>
      </w:r>
      <w:r>
        <w:rPr>
          <w:i/>
        </w:rPr>
        <w:t>The standard does not specify how function arguments map to formula variables.</w:t>
      </w:r>
    </w:p>
    <w:p w:rsidR="005F78FC" w:rsidRDefault="00B42EF3">
      <w:pPr>
        <w:pStyle w:val="Definition-Field2"/>
      </w:pPr>
      <w:r>
        <w:t xml:space="preserve">Office maps n </w:t>
      </w:r>
      <w:r>
        <w:t>to argument n and x to argument x.</w:t>
      </w:r>
    </w:p>
    <w:p w:rsidR="005F78FC" w:rsidRDefault="00B42EF3">
      <w:pPr>
        <w:pStyle w:val="Heading3"/>
      </w:pPr>
      <w:bookmarkStart w:id="1804" w:name="section_bd7ec0e8c2c84ca7a9d3866ff5d30380"/>
      <w:bookmarkStart w:id="1805" w:name="_Toc69878675"/>
      <w:r>
        <w:t>Part 1 Section 18.17.7.28, BETAINV</w:t>
      </w:r>
      <w:bookmarkEnd w:id="1804"/>
      <w:bookmarkEnd w:id="1805"/>
      <w:r>
        <w:fldChar w:fldCharType="begin"/>
      </w:r>
      <w:r>
        <w:instrText xml:space="preserve"> XE "BETAINV" </w:instrText>
      </w:r>
      <w:r>
        <w:fldChar w:fldCharType="end"/>
      </w:r>
    </w:p>
    <w:p w:rsidR="005F78FC" w:rsidRDefault="00B42EF3">
      <w:pPr>
        <w:pStyle w:val="Definition-Field"/>
      </w:pPr>
      <w:r>
        <w:t xml:space="preserve">a.   </w:t>
      </w:r>
      <w:r>
        <w:rPr>
          <w:i/>
        </w:rPr>
        <w:t>The standard states that if probability &lt; 0 or probability &gt; 1, #NUM! is returned.</w:t>
      </w:r>
    </w:p>
    <w:p w:rsidR="005F78FC" w:rsidRDefault="00B42EF3">
      <w:pPr>
        <w:pStyle w:val="Definition-Field2"/>
      </w:pPr>
      <w:r>
        <w:t>Office returns #NUM! if probability &lt;= 0 or probability &gt;= 1.</w:t>
      </w:r>
    </w:p>
    <w:p w:rsidR="005F78FC" w:rsidRDefault="00B42EF3">
      <w:pPr>
        <w:pStyle w:val="Definition-Field"/>
      </w:pPr>
      <w:r>
        <w:t xml:space="preserve">b.   </w:t>
      </w:r>
      <w:r>
        <w:rPr>
          <w:i/>
        </w:rPr>
        <w:t>The standard do</w:t>
      </w:r>
      <w:r>
        <w:rPr>
          <w:i/>
        </w:rPr>
        <w:t>es not place a restriction on the relationship between argument A and argument B.</w:t>
      </w:r>
    </w:p>
    <w:p w:rsidR="005F78FC" w:rsidRDefault="00B42EF3">
      <w:pPr>
        <w:pStyle w:val="Definition-Field2"/>
      </w:pPr>
      <w:r>
        <w:t>Office returns #NUM! if argument A is greater than or equal to argument B.</w:t>
      </w:r>
    </w:p>
    <w:p w:rsidR="005F78FC" w:rsidRDefault="00B42EF3">
      <w:pPr>
        <w:pStyle w:val="Definition-Field"/>
      </w:pPr>
      <w:r>
        <w:t xml:space="preserve">c.   </w:t>
      </w:r>
      <w:r>
        <w:rPr>
          <w:i/>
        </w:rPr>
        <w:t>The standard specifies that BETAINV uses an iterative search technique.</w:t>
      </w:r>
    </w:p>
    <w:p w:rsidR="005F78FC" w:rsidRDefault="00B42EF3">
      <w:pPr>
        <w:pStyle w:val="Definition-Field2"/>
      </w:pPr>
      <w:r>
        <w:t xml:space="preserve">Office does not </w:t>
      </w:r>
      <w:r>
        <w:t>require an iterative search technique to be used.</w:t>
      </w:r>
    </w:p>
    <w:p w:rsidR="005F78FC" w:rsidRDefault="00B42EF3">
      <w:pPr>
        <w:pStyle w:val="Heading3"/>
      </w:pPr>
      <w:bookmarkStart w:id="1806" w:name="section_10bf48e80594494d914363d48d91036b"/>
      <w:bookmarkStart w:id="1807" w:name="_Toc69878676"/>
      <w:r>
        <w:t>Part 1 Section 18.17.7.29, BIN2DEC</w:t>
      </w:r>
      <w:bookmarkEnd w:id="1806"/>
      <w:bookmarkEnd w:id="1807"/>
      <w:r>
        <w:fldChar w:fldCharType="begin"/>
      </w:r>
      <w:r>
        <w:instrText xml:space="preserve"> XE "BIN2DEC" </w:instrText>
      </w:r>
      <w:r>
        <w:fldChar w:fldCharType="end"/>
      </w:r>
    </w:p>
    <w:p w:rsidR="005F78FC" w:rsidRDefault="00B42EF3">
      <w:pPr>
        <w:pStyle w:val="Definition-Field"/>
      </w:pPr>
      <w:r>
        <w:t xml:space="preserve">a.   </w:t>
      </w:r>
      <w:r>
        <w:rPr>
          <w:i/>
        </w:rPr>
        <w:t>The standard states that the number argument is a 10-digit binary number that is to be converted to a decimal string.</w:t>
      </w:r>
    </w:p>
    <w:p w:rsidR="005F78FC" w:rsidRDefault="00B42EF3">
      <w:pPr>
        <w:pStyle w:val="Definition-Field2"/>
      </w:pPr>
      <w:r>
        <w:t>Office treats the number argumen</w:t>
      </w:r>
      <w:r>
        <w:t>t as a 10-digit binary number that is to be converted to a decimal number.</w:t>
      </w:r>
    </w:p>
    <w:p w:rsidR="005F78FC" w:rsidRDefault="00B42EF3">
      <w:pPr>
        <w:pStyle w:val="Heading3"/>
      </w:pPr>
      <w:bookmarkStart w:id="1808" w:name="section_7e24f68ff81d4fa3852f9c7fe2152ea9"/>
      <w:bookmarkStart w:id="1809" w:name="_Toc69878677"/>
      <w:r>
        <w:t>Part 1 Section 18.17.7.33, CEILING</w:t>
      </w:r>
      <w:bookmarkEnd w:id="1808"/>
      <w:bookmarkEnd w:id="1809"/>
      <w:r>
        <w:fldChar w:fldCharType="begin"/>
      </w:r>
      <w:r>
        <w:instrText xml:space="preserve"> XE "CEILING" </w:instrText>
      </w:r>
      <w:r>
        <w:fldChar w:fldCharType="end"/>
      </w:r>
    </w:p>
    <w:p w:rsidR="005F78FC" w:rsidRDefault="00B42EF3">
      <w:pPr>
        <w:pStyle w:val="Definition-Field"/>
      </w:pPr>
      <w:r>
        <w:t xml:space="preserve">a.   </w:t>
      </w:r>
      <w:r>
        <w:rPr>
          <w:i/>
        </w:rPr>
        <w:t>The standard states that If x is negative, and significance is positive, then the value is rounded up toward zero.</w:t>
      </w:r>
    </w:p>
    <w:p w:rsidR="005F78FC" w:rsidRDefault="00B42EF3">
      <w:pPr>
        <w:pStyle w:val="Definition-Field2"/>
      </w:pPr>
      <w:r>
        <w:t xml:space="preserve">Office </w:t>
      </w:r>
      <w:r>
        <w:t>returns #NUM! if x and significance have different signs.</w:t>
      </w:r>
    </w:p>
    <w:p w:rsidR="005F78FC" w:rsidRDefault="00B42EF3">
      <w:pPr>
        <w:pStyle w:val="Heading3"/>
      </w:pPr>
      <w:bookmarkStart w:id="1810" w:name="section_286f442f1e6b427da03b5aefc05bd879"/>
      <w:bookmarkStart w:id="1811" w:name="_Toc69878678"/>
      <w:r>
        <w:t>Part 1 Section 18.17.7.34, CELL</w:t>
      </w:r>
      <w:bookmarkEnd w:id="1810"/>
      <w:bookmarkEnd w:id="1811"/>
      <w:r>
        <w:fldChar w:fldCharType="begin"/>
      </w:r>
      <w:r>
        <w:instrText xml:space="preserve"> XE "CELL" </w:instrText>
      </w:r>
      <w:r>
        <w:fldChar w:fldCharType="end"/>
      </w:r>
    </w:p>
    <w:p w:rsidR="005F78FC" w:rsidRDefault="00B42EF3">
      <w:pPr>
        <w:pStyle w:val="Definition-Field"/>
      </w:pPr>
      <w:r>
        <w:t xml:space="preserve">a.   </w:t>
      </w:r>
      <w:r>
        <w:rPr>
          <w:i/>
        </w:rPr>
        <w:t>The standard does not specify locale specific strings for argument category.</w:t>
      </w:r>
    </w:p>
    <w:p w:rsidR="005F78FC" w:rsidRDefault="00B42EF3">
      <w:r>
        <w:t>In Excel, if the SpreadsheetML is intended to be used in certain non-En</w:t>
      </w:r>
      <w:r>
        <w:t>glish locales, the category string can be the English value shown in the standard, or the translation shown in the following tables. Locales not specified in the following tables shall only use the English versions of the category string.</w:t>
      </w:r>
    </w:p>
    <w:p w:rsidR="005F78FC" w:rsidRDefault="00B42EF3">
      <w:r>
        <w:t>[Note: Using tran</w:t>
      </w:r>
      <w:r>
        <w:t>slated versions of the category string is strongly discouraged, as spreadsheet applications might not support these translations. end note]</w:t>
      </w:r>
    </w:p>
    <w:tbl>
      <w:tblPr>
        <w:tblStyle w:val="Table-ShadedHeader"/>
        <w:tblW w:w="0" w:type="auto"/>
        <w:tblLook w:val="04A0" w:firstRow="1" w:lastRow="0" w:firstColumn="1" w:lastColumn="0" w:noHBand="0" w:noVBand="1"/>
      </w:tblPr>
      <w:tblGrid>
        <w:gridCol w:w="1040"/>
        <w:gridCol w:w="1055"/>
        <w:gridCol w:w="979"/>
        <w:gridCol w:w="821"/>
        <w:gridCol w:w="1241"/>
        <w:gridCol w:w="1250"/>
        <w:gridCol w:w="1582"/>
        <w:gridCol w:w="891"/>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lastRenderedPageBreak/>
              <w:t>Locale</w:t>
            </w:r>
          </w:p>
        </w:tc>
        <w:tc>
          <w:tcPr>
            <w:tcW w:w="0" w:type="auto"/>
            <w:vAlign w:val="center"/>
          </w:tcPr>
          <w:p w:rsidR="005F78FC" w:rsidRDefault="00B42EF3">
            <w:pPr>
              <w:pStyle w:val="TableHeaderText"/>
            </w:pPr>
            <w:r>
              <w:t>address</w:t>
            </w:r>
          </w:p>
        </w:tc>
        <w:tc>
          <w:tcPr>
            <w:tcW w:w="0" w:type="auto"/>
            <w:vAlign w:val="center"/>
          </w:tcPr>
          <w:p w:rsidR="005F78FC" w:rsidRDefault="00B42EF3">
            <w:pPr>
              <w:pStyle w:val="TableHeaderText"/>
            </w:pPr>
            <w:r>
              <w:t>col</w:t>
            </w:r>
          </w:p>
        </w:tc>
        <w:tc>
          <w:tcPr>
            <w:tcW w:w="0" w:type="auto"/>
            <w:vAlign w:val="center"/>
          </w:tcPr>
          <w:p w:rsidR="005F78FC" w:rsidRDefault="00B42EF3">
            <w:pPr>
              <w:pStyle w:val="TableHeaderText"/>
            </w:pPr>
            <w:r>
              <w:t>color</w:t>
            </w:r>
          </w:p>
        </w:tc>
        <w:tc>
          <w:tcPr>
            <w:tcW w:w="0" w:type="auto"/>
            <w:vAlign w:val="center"/>
          </w:tcPr>
          <w:p w:rsidR="005F78FC" w:rsidRDefault="00B42EF3">
            <w:pPr>
              <w:pStyle w:val="TableHeaderText"/>
            </w:pPr>
            <w:r>
              <w:t>contents</w:t>
            </w:r>
          </w:p>
        </w:tc>
        <w:tc>
          <w:tcPr>
            <w:tcW w:w="0" w:type="auto"/>
            <w:vAlign w:val="center"/>
          </w:tcPr>
          <w:p w:rsidR="005F78FC" w:rsidRDefault="00B42EF3">
            <w:pPr>
              <w:pStyle w:val="TableHeaderText"/>
            </w:pPr>
            <w:r>
              <w:t>coord</w:t>
            </w:r>
          </w:p>
        </w:tc>
        <w:tc>
          <w:tcPr>
            <w:tcW w:w="0" w:type="auto"/>
            <w:vAlign w:val="center"/>
          </w:tcPr>
          <w:p w:rsidR="005F78FC" w:rsidRDefault="00B42EF3">
            <w:pPr>
              <w:pStyle w:val="TableHeaderText"/>
            </w:pPr>
            <w:r>
              <w:t>filename</w:t>
            </w:r>
          </w:p>
        </w:tc>
        <w:tc>
          <w:tcPr>
            <w:tcW w:w="0" w:type="auto"/>
            <w:vAlign w:val="center"/>
          </w:tcPr>
          <w:p w:rsidR="005F78FC" w:rsidRDefault="00B42EF3">
            <w:pPr>
              <w:pStyle w:val="TableHeaderText"/>
            </w:pPr>
            <w:r>
              <w:t>format</w:t>
            </w:r>
          </w:p>
        </w:tc>
      </w:tr>
      <w:tr w:rsidR="005F78FC" w:rsidTr="005F78FC">
        <w:tc>
          <w:tcPr>
            <w:tcW w:w="0" w:type="auto"/>
            <w:vAlign w:val="center"/>
          </w:tcPr>
          <w:p w:rsidR="005F78FC" w:rsidRDefault="00B42EF3">
            <w:pPr>
              <w:pStyle w:val="TableBodyText"/>
            </w:pPr>
            <w:r>
              <w:t>az-latn-az</w:t>
            </w:r>
          </w:p>
        </w:tc>
        <w:tc>
          <w:tcPr>
            <w:tcW w:w="0" w:type="auto"/>
            <w:vAlign w:val="center"/>
          </w:tcPr>
          <w:p w:rsidR="005F78FC" w:rsidRDefault="00B42EF3">
            <w:pPr>
              <w:pStyle w:val="TableBodyText"/>
            </w:pPr>
            <w:r>
              <w:t>ünvan</w:t>
            </w:r>
          </w:p>
        </w:tc>
        <w:tc>
          <w:tcPr>
            <w:tcW w:w="0" w:type="auto"/>
            <w:vAlign w:val="center"/>
          </w:tcPr>
          <w:p w:rsidR="005F78FC" w:rsidRDefault="00B42EF3">
            <w:pPr>
              <w:pStyle w:val="TableBodyText"/>
            </w:pPr>
            <w:r>
              <w:t>col</w:t>
            </w:r>
          </w:p>
        </w:tc>
        <w:tc>
          <w:tcPr>
            <w:tcW w:w="0" w:type="auto"/>
            <w:vAlign w:val="center"/>
          </w:tcPr>
          <w:p w:rsidR="005F78FC" w:rsidRDefault="00B42EF3">
            <w:pPr>
              <w:pStyle w:val="TableBodyText"/>
            </w:pPr>
            <w:r>
              <w:t>rəng</w:t>
            </w:r>
          </w:p>
        </w:tc>
        <w:tc>
          <w:tcPr>
            <w:tcW w:w="0" w:type="auto"/>
            <w:vAlign w:val="center"/>
          </w:tcPr>
          <w:p w:rsidR="005F78FC" w:rsidRDefault="00B42EF3">
            <w:pPr>
              <w:pStyle w:val="TableBodyText"/>
            </w:pPr>
            <w:r>
              <w:t>mündəricat</w:t>
            </w:r>
          </w:p>
        </w:tc>
        <w:tc>
          <w:tcPr>
            <w:tcW w:w="0" w:type="auto"/>
            <w:vAlign w:val="center"/>
          </w:tcPr>
          <w:p w:rsidR="005F78FC" w:rsidRDefault="00B42EF3">
            <w:pPr>
              <w:pStyle w:val="TableBodyText"/>
            </w:pPr>
            <w:r>
              <w:t>coord</w:t>
            </w:r>
          </w:p>
        </w:tc>
        <w:tc>
          <w:tcPr>
            <w:tcW w:w="0" w:type="auto"/>
            <w:vAlign w:val="center"/>
          </w:tcPr>
          <w:p w:rsidR="005F78FC" w:rsidRDefault="00B42EF3">
            <w:pPr>
              <w:pStyle w:val="TableBodyText"/>
            </w:pPr>
            <w:r>
              <w:t>fayladi</w:t>
            </w:r>
          </w:p>
        </w:tc>
        <w:tc>
          <w:tcPr>
            <w:tcW w:w="0" w:type="auto"/>
            <w:vAlign w:val="center"/>
          </w:tcPr>
          <w:p w:rsidR="005F78FC" w:rsidRDefault="00B42EF3">
            <w:pPr>
              <w:pStyle w:val="TableBodyText"/>
            </w:pPr>
            <w:r>
              <w:t>format</w:t>
            </w:r>
          </w:p>
        </w:tc>
      </w:tr>
      <w:tr w:rsidR="005F78FC" w:rsidTr="005F78FC">
        <w:tc>
          <w:tcPr>
            <w:tcW w:w="0" w:type="auto"/>
            <w:vAlign w:val="center"/>
          </w:tcPr>
          <w:p w:rsidR="005F78FC" w:rsidRDefault="00B42EF3">
            <w:pPr>
              <w:pStyle w:val="TableBodyText"/>
            </w:pPr>
            <w:r>
              <w:t>ca-es</w:t>
            </w:r>
          </w:p>
        </w:tc>
        <w:tc>
          <w:tcPr>
            <w:tcW w:w="0" w:type="auto"/>
            <w:vAlign w:val="center"/>
          </w:tcPr>
          <w:p w:rsidR="005F78FC" w:rsidRDefault="00B42EF3">
            <w:pPr>
              <w:pStyle w:val="TableBodyText"/>
            </w:pPr>
            <w:r>
              <w:t>dirección</w:t>
            </w:r>
          </w:p>
        </w:tc>
        <w:tc>
          <w:tcPr>
            <w:tcW w:w="0" w:type="auto"/>
            <w:vAlign w:val="center"/>
          </w:tcPr>
          <w:p w:rsidR="005F78FC" w:rsidRDefault="00B42EF3">
            <w:pPr>
              <w:pStyle w:val="TableBodyText"/>
            </w:pPr>
            <w:r>
              <w:t>columna</w:t>
            </w:r>
          </w:p>
        </w:tc>
        <w:tc>
          <w:tcPr>
            <w:tcW w:w="0" w:type="auto"/>
            <w:vAlign w:val="center"/>
          </w:tcPr>
          <w:p w:rsidR="005F78FC" w:rsidRDefault="00B42EF3">
            <w:pPr>
              <w:pStyle w:val="TableBodyText"/>
            </w:pPr>
            <w:r>
              <w:t>color</w:t>
            </w:r>
          </w:p>
        </w:tc>
        <w:tc>
          <w:tcPr>
            <w:tcW w:w="0" w:type="auto"/>
            <w:vAlign w:val="center"/>
          </w:tcPr>
          <w:p w:rsidR="005F78FC" w:rsidRDefault="00B42EF3">
            <w:pPr>
              <w:pStyle w:val="TableBodyText"/>
            </w:pPr>
            <w:r>
              <w:t>contenido</w:t>
            </w:r>
          </w:p>
        </w:tc>
        <w:tc>
          <w:tcPr>
            <w:tcW w:w="0" w:type="auto"/>
            <w:vAlign w:val="center"/>
          </w:tcPr>
          <w:p w:rsidR="005F78FC" w:rsidRDefault="00B42EF3">
            <w:pPr>
              <w:pStyle w:val="TableBodyText"/>
            </w:pPr>
            <w:r>
              <w:t>coord</w:t>
            </w:r>
          </w:p>
        </w:tc>
        <w:tc>
          <w:tcPr>
            <w:tcW w:w="0" w:type="auto"/>
            <w:vAlign w:val="center"/>
          </w:tcPr>
          <w:p w:rsidR="005F78FC" w:rsidRDefault="00B42EF3">
            <w:pPr>
              <w:pStyle w:val="TableBodyText"/>
            </w:pPr>
            <w:r>
              <w:t>nombrearchivo</w:t>
            </w:r>
          </w:p>
        </w:tc>
        <w:tc>
          <w:tcPr>
            <w:tcW w:w="0" w:type="auto"/>
            <w:vAlign w:val="center"/>
          </w:tcPr>
          <w:p w:rsidR="005F78FC" w:rsidRDefault="00B42EF3">
            <w:pPr>
              <w:pStyle w:val="TableBodyText"/>
            </w:pPr>
            <w:r>
              <w:t>formato</w:t>
            </w:r>
          </w:p>
        </w:tc>
      </w:tr>
      <w:tr w:rsidR="005F78FC" w:rsidTr="005F78FC">
        <w:tc>
          <w:tcPr>
            <w:tcW w:w="0" w:type="auto"/>
            <w:vAlign w:val="center"/>
          </w:tcPr>
          <w:p w:rsidR="005F78FC" w:rsidRDefault="00B42EF3">
            <w:pPr>
              <w:pStyle w:val="TableBodyText"/>
            </w:pPr>
            <w:r>
              <w:t>cs-cz</w:t>
            </w:r>
          </w:p>
        </w:tc>
        <w:tc>
          <w:tcPr>
            <w:tcW w:w="0" w:type="auto"/>
            <w:vAlign w:val="center"/>
          </w:tcPr>
          <w:p w:rsidR="005F78FC" w:rsidRDefault="00B42EF3">
            <w:pPr>
              <w:pStyle w:val="TableBodyText"/>
            </w:pPr>
            <w:r>
              <w:t>adresa</w:t>
            </w:r>
          </w:p>
        </w:tc>
        <w:tc>
          <w:tcPr>
            <w:tcW w:w="0" w:type="auto"/>
            <w:vAlign w:val="center"/>
          </w:tcPr>
          <w:p w:rsidR="005F78FC" w:rsidRDefault="00B42EF3">
            <w:pPr>
              <w:pStyle w:val="TableBodyText"/>
            </w:pPr>
            <w:r>
              <w:t>sloupec</w:t>
            </w:r>
          </w:p>
        </w:tc>
        <w:tc>
          <w:tcPr>
            <w:tcW w:w="0" w:type="auto"/>
            <w:vAlign w:val="center"/>
          </w:tcPr>
          <w:p w:rsidR="005F78FC" w:rsidRDefault="00B42EF3">
            <w:pPr>
              <w:pStyle w:val="TableBodyText"/>
            </w:pPr>
            <w:r>
              <w:t>barva</w:t>
            </w:r>
          </w:p>
        </w:tc>
        <w:tc>
          <w:tcPr>
            <w:tcW w:w="0" w:type="auto"/>
            <w:vAlign w:val="center"/>
          </w:tcPr>
          <w:p w:rsidR="005F78FC" w:rsidRDefault="00B42EF3">
            <w:pPr>
              <w:pStyle w:val="TableBodyText"/>
            </w:pPr>
            <w:r>
              <w:t>obsah</w:t>
            </w:r>
          </w:p>
        </w:tc>
        <w:tc>
          <w:tcPr>
            <w:tcW w:w="0" w:type="auto"/>
            <w:vAlign w:val="center"/>
          </w:tcPr>
          <w:p w:rsidR="005F78FC" w:rsidRDefault="00B42EF3">
            <w:pPr>
              <w:pStyle w:val="TableBodyText"/>
            </w:pPr>
            <w:r>
              <w:t>souřadnice</w:t>
            </w:r>
          </w:p>
        </w:tc>
        <w:tc>
          <w:tcPr>
            <w:tcW w:w="0" w:type="auto"/>
            <w:vAlign w:val="center"/>
          </w:tcPr>
          <w:p w:rsidR="005F78FC" w:rsidRDefault="00B42EF3">
            <w:pPr>
              <w:pStyle w:val="TableBodyText"/>
            </w:pPr>
            <w:r>
              <w:t>názevsouboru</w:t>
            </w:r>
          </w:p>
        </w:tc>
        <w:tc>
          <w:tcPr>
            <w:tcW w:w="0" w:type="auto"/>
            <w:vAlign w:val="center"/>
          </w:tcPr>
          <w:p w:rsidR="005F78FC" w:rsidRDefault="00B42EF3">
            <w:pPr>
              <w:pStyle w:val="TableBodyText"/>
            </w:pPr>
            <w:r>
              <w:t>formát</w:t>
            </w:r>
          </w:p>
        </w:tc>
      </w:tr>
      <w:tr w:rsidR="005F78FC" w:rsidTr="005F78FC">
        <w:tc>
          <w:tcPr>
            <w:tcW w:w="0" w:type="auto"/>
            <w:vAlign w:val="center"/>
          </w:tcPr>
          <w:p w:rsidR="005F78FC" w:rsidRDefault="00B42EF3">
            <w:pPr>
              <w:pStyle w:val="TableBodyText"/>
            </w:pPr>
            <w:r>
              <w:t>da-dk</w:t>
            </w:r>
          </w:p>
        </w:tc>
        <w:tc>
          <w:tcPr>
            <w:tcW w:w="0" w:type="auto"/>
            <w:vAlign w:val="center"/>
          </w:tcPr>
          <w:p w:rsidR="005F78FC" w:rsidRDefault="00B42EF3">
            <w:pPr>
              <w:pStyle w:val="TableBodyText"/>
            </w:pPr>
            <w:r>
              <w:t>adresse</w:t>
            </w:r>
          </w:p>
        </w:tc>
        <w:tc>
          <w:tcPr>
            <w:tcW w:w="0" w:type="auto"/>
            <w:vAlign w:val="center"/>
          </w:tcPr>
          <w:p w:rsidR="005F78FC" w:rsidRDefault="00B42EF3">
            <w:pPr>
              <w:pStyle w:val="TableBodyText"/>
            </w:pPr>
            <w:r>
              <w:t>kolonne</w:t>
            </w:r>
          </w:p>
        </w:tc>
        <w:tc>
          <w:tcPr>
            <w:tcW w:w="0" w:type="auto"/>
            <w:vAlign w:val="center"/>
          </w:tcPr>
          <w:p w:rsidR="005F78FC" w:rsidRDefault="00B42EF3">
            <w:pPr>
              <w:pStyle w:val="TableBodyText"/>
            </w:pPr>
            <w:r>
              <w:t>farve</w:t>
            </w:r>
          </w:p>
        </w:tc>
        <w:tc>
          <w:tcPr>
            <w:tcW w:w="0" w:type="auto"/>
            <w:vAlign w:val="center"/>
          </w:tcPr>
          <w:p w:rsidR="005F78FC" w:rsidRDefault="00B42EF3">
            <w:pPr>
              <w:pStyle w:val="TableBodyText"/>
            </w:pPr>
            <w:r>
              <w:t>indhold</w:t>
            </w:r>
          </w:p>
        </w:tc>
        <w:tc>
          <w:tcPr>
            <w:tcW w:w="0" w:type="auto"/>
            <w:vAlign w:val="center"/>
          </w:tcPr>
          <w:p w:rsidR="005F78FC" w:rsidRDefault="00B42EF3">
            <w:pPr>
              <w:pStyle w:val="TableBodyText"/>
            </w:pPr>
            <w:r>
              <w:t>koord</w:t>
            </w:r>
          </w:p>
        </w:tc>
        <w:tc>
          <w:tcPr>
            <w:tcW w:w="0" w:type="auto"/>
            <w:vAlign w:val="center"/>
          </w:tcPr>
          <w:p w:rsidR="005F78FC" w:rsidRDefault="00B42EF3">
            <w:pPr>
              <w:pStyle w:val="TableBodyText"/>
            </w:pPr>
            <w:r>
              <w:t>filnavn</w:t>
            </w:r>
          </w:p>
        </w:tc>
        <w:tc>
          <w:tcPr>
            <w:tcW w:w="0" w:type="auto"/>
            <w:vAlign w:val="center"/>
          </w:tcPr>
          <w:p w:rsidR="005F78FC" w:rsidRDefault="00B42EF3">
            <w:pPr>
              <w:pStyle w:val="TableBodyText"/>
            </w:pPr>
            <w:r>
              <w:t>format</w:t>
            </w:r>
          </w:p>
        </w:tc>
      </w:tr>
      <w:tr w:rsidR="005F78FC" w:rsidTr="005F78FC">
        <w:tc>
          <w:tcPr>
            <w:tcW w:w="0" w:type="auto"/>
            <w:vAlign w:val="center"/>
          </w:tcPr>
          <w:p w:rsidR="005F78FC" w:rsidRDefault="00B42EF3">
            <w:pPr>
              <w:pStyle w:val="TableBodyText"/>
            </w:pPr>
            <w:r>
              <w:t>de-de</w:t>
            </w:r>
          </w:p>
        </w:tc>
        <w:tc>
          <w:tcPr>
            <w:tcW w:w="0" w:type="auto"/>
            <w:vAlign w:val="center"/>
          </w:tcPr>
          <w:p w:rsidR="005F78FC" w:rsidRDefault="00B42EF3">
            <w:pPr>
              <w:pStyle w:val="TableBodyText"/>
            </w:pPr>
            <w:r>
              <w:t>adresse</w:t>
            </w:r>
          </w:p>
        </w:tc>
        <w:tc>
          <w:tcPr>
            <w:tcW w:w="0" w:type="auto"/>
            <w:vAlign w:val="center"/>
          </w:tcPr>
          <w:p w:rsidR="005F78FC" w:rsidRDefault="00B42EF3">
            <w:pPr>
              <w:pStyle w:val="TableBodyText"/>
            </w:pPr>
            <w:r>
              <w:t>spalte</w:t>
            </w:r>
          </w:p>
        </w:tc>
        <w:tc>
          <w:tcPr>
            <w:tcW w:w="0" w:type="auto"/>
            <w:vAlign w:val="center"/>
          </w:tcPr>
          <w:p w:rsidR="005F78FC" w:rsidRDefault="00B42EF3">
            <w:pPr>
              <w:pStyle w:val="TableBodyText"/>
            </w:pPr>
            <w:r>
              <w:t>farbe</w:t>
            </w:r>
          </w:p>
        </w:tc>
        <w:tc>
          <w:tcPr>
            <w:tcW w:w="0" w:type="auto"/>
            <w:vAlign w:val="center"/>
          </w:tcPr>
          <w:p w:rsidR="005F78FC" w:rsidRDefault="00B42EF3">
            <w:pPr>
              <w:pStyle w:val="TableBodyText"/>
            </w:pPr>
            <w:r>
              <w:t>inhalt</w:t>
            </w:r>
          </w:p>
        </w:tc>
        <w:tc>
          <w:tcPr>
            <w:tcW w:w="0" w:type="auto"/>
            <w:vAlign w:val="center"/>
          </w:tcPr>
          <w:p w:rsidR="005F78FC" w:rsidRDefault="00B42EF3">
            <w:pPr>
              <w:pStyle w:val="TableBodyText"/>
            </w:pPr>
            <w:r>
              <w:t>koord</w:t>
            </w:r>
          </w:p>
        </w:tc>
        <w:tc>
          <w:tcPr>
            <w:tcW w:w="0" w:type="auto"/>
            <w:vAlign w:val="center"/>
          </w:tcPr>
          <w:p w:rsidR="005F78FC" w:rsidRDefault="00B42EF3">
            <w:pPr>
              <w:pStyle w:val="TableBodyText"/>
            </w:pPr>
            <w:r>
              <w:t>dateiname</w:t>
            </w:r>
          </w:p>
        </w:tc>
        <w:tc>
          <w:tcPr>
            <w:tcW w:w="0" w:type="auto"/>
            <w:vAlign w:val="center"/>
          </w:tcPr>
          <w:p w:rsidR="005F78FC" w:rsidRDefault="00B42EF3">
            <w:pPr>
              <w:pStyle w:val="TableBodyText"/>
            </w:pPr>
            <w:r>
              <w:t>format</w:t>
            </w:r>
          </w:p>
        </w:tc>
      </w:tr>
      <w:tr w:rsidR="005F78FC" w:rsidTr="005F78FC">
        <w:tc>
          <w:tcPr>
            <w:tcW w:w="0" w:type="auto"/>
            <w:vAlign w:val="center"/>
          </w:tcPr>
          <w:p w:rsidR="005F78FC" w:rsidRDefault="00B42EF3">
            <w:pPr>
              <w:pStyle w:val="TableBodyText"/>
            </w:pPr>
            <w:r>
              <w:t>es-es</w:t>
            </w:r>
          </w:p>
        </w:tc>
        <w:tc>
          <w:tcPr>
            <w:tcW w:w="0" w:type="auto"/>
            <w:vAlign w:val="center"/>
          </w:tcPr>
          <w:p w:rsidR="005F78FC" w:rsidRDefault="00B42EF3">
            <w:pPr>
              <w:pStyle w:val="TableBodyText"/>
            </w:pPr>
            <w:r>
              <w:t>direccion</w:t>
            </w:r>
          </w:p>
        </w:tc>
        <w:tc>
          <w:tcPr>
            <w:tcW w:w="0" w:type="auto"/>
            <w:vAlign w:val="center"/>
          </w:tcPr>
          <w:p w:rsidR="005F78FC" w:rsidRDefault="00B42EF3">
            <w:pPr>
              <w:pStyle w:val="TableBodyText"/>
            </w:pPr>
            <w:r>
              <w:t>columna</w:t>
            </w:r>
          </w:p>
        </w:tc>
        <w:tc>
          <w:tcPr>
            <w:tcW w:w="0" w:type="auto"/>
            <w:vAlign w:val="center"/>
          </w:tcPr>
          <w:p w:rsidR="005F78FC" w:rsidRDefault="00B42EF3">
            <w:pPr>
              <w:pStyle w:val="TableBodyText"/>
            </w:pPr>
            <w:r>
              <w:t>color</w:t>
            </w:r>
          </w:p>
        </w:tc>
        <w:tc>
          <w:tcPr>
            <w:tcW w:w="0" w:type="auto"/>
            <w:vAlign w:val="center"/>
          </w:tcPr>
          <w:p w:rsidR="005F78FC" w:rsidRDefault="00B42EF3">
            <w:pPr>
              <w:pStyle w:val="TableBodyText"/>
            </w:pPr>
            <w:r>
              <w:t>contenido</w:t>
            </w:r>
          </w:p>
        </w:tc>
        <w:tc>
          <w:tcPr>
            <w:tcW w:w="0" w:type="auto"/>
            <w:vAlign w:val="center"/>
          </w:tcPr>
          <w:p w:rsidR="005F78FC" w:rsidRDefault="00B42EF3">
            <w:pPr>
              <w:pStyle w:val="TableBodyText"/>
            </w:pPr>
            <w:r>
              <w:t>coord</w:t>
            </w:r>
          </w:p>
        </w:tc>
        <w:tc>
          <w:tcPr>
            <w:tcW w:w="0" w:type="auto"/>
            <w:vAlign w:val="center"/>
          </w:tcPr>
          <w:p w:rsidR="005F78FC" w:rsidRDefault="00B42EF3">
            <w:pPr>
              <w:pStyle w:val="TableBodyText"/>
            </w:pPr>
            <w:r>
              <w:t>nombrearchivo</w:t>
            </w:r>
          </w:p>
        </w:tc>
        <w:tc>
          <w:tcPr>
            <w:tcW w:w="0" w:type="auto"/>
            <w:vAlign w:val="center"/>
          </w:tcPr>
          <w:p w:rsidR="005F78FC" w:rsidRDefault="00B42EF3">
            <w:pPr>
              <w:pStyle w:val="TableBodyText"/>
            </w:pPr>
            <w:r>
              <w:t>formato</w:t>
            </w:r>
          </w:p>
        </w:tc>
      </w:tr>
      <w:tr w:rsidR="005F78FC" w:rsidTr="005F78FC">
        <w:tc>
          <w:tcPr>
            <w:tcW w:w="0" w:type="auto"/>
            <w:vAlign w:val="center"/>
          </w:tcPr>
          <w:p w:rsidR="005F78FC" w:rsidRDefault="00B42EF3">
            <w:pPr>
              <w:pStyle w:val="TableBodyText"/>
            </w:pPr>
            <w:r>
              <w:t>et-ee</w:t>
            </w:r>
          </w:p>
        </w:tc>
        <w:tc>
          <w:tcPr>
            <w:tcW w:w="0" w:type="auto"/>
            <w:vAlign w:val="center"/>
          </w:tcPr>
          <w:p w:rsidR="005F78FC" w:rsidRDefault="00B42EF3">
            <w:pPr>
              <w:pStyle w:val="TableBodyText"/>
            </w:pPr>
            <w:r>
              <w:t>aadress</w:t>
            </w:r>
          </w:p>
        </w:tc>
        <w:tc>
          <w:tcPr>
            <w:tcW w:w="0" w:type="auto"/>
            <w:vAlign w:val="center"/>
          </w:tcPr>
          <w:p w:rsidR="005F78FC" w:rsidRDefault="00B42EF3">
            <w:pPr>
              <w:pStyle w:val="TableBodyText"/>
            </w:pPr>
            <w:r>
              <w:t>veerg</w:t>
            </w:r>
          </w:p>
        </w:tc>
        <w:tc>
          <w:tcPr>
            <w:tcW w:w="0" w:type="auto"/>
            <w:vAlign w:val="center"/>
          </w:tcPr>
          <w:p w:rsidR="005F78FC" w:rsidRDefault="00B42EF3">
            <w:pPr>
              <w:pStyle w:val="TableBodyText"/>
            </w:pPr>
            <w:r>
              <w:t>värv</w:t>
            </w:r>
          </w:p>
        </w:tc>
        <w:tc>
          <w:tcPr>
            <w:tcW w:w="0" w:type="auto"/>
            <w:vAlign w:val="center"/>
          </w:tcPr>
          <w:p w:rsidR="005F78FC" w:rsidRDefault="00B42EF3">
            <w:pPr>
              <w:pStyle w:val="TableBodyText"/>
            </w:pPr>
            <w:r>
              <w:t>sisukord</w:t>
            </w:r>
          </w:p>
        </w:tc>
        <w:tc>
          <w:tcPr>
            <w:tcW w:w="0" w:type="auto"/>
            <w:vAlign w:val="center"/>
          </w:tcPr>
          <w:p w:rsidR="005F78FC" w:rsidRDefault="00B42EF3">
            <w:pPr>
              <w:pStyle w:val="TableBodyText"/>
            </w:pPr>
            <w:r>
              <w:t>Koordinatt</w:t>
            </w:r>
          </w:p>
        </w:tc>
        <w:tc>
          <w:tcPr>
            <w:tcW w:w="0" w:type="auto"/>
            <w:vAlign w:val="center"/>
          </w:tcPr>
          <w:p w:rsidR="005F78FC" w:rsidRDefault="00B42EF3">
            <w:pPr>
              <w:pStyle w:val="TableBodyText"/>
            </w:pPr>
            <w:r>
              <w:t>failinimi</w:t>
            </w:r>
          </w:p>
        </w:tc>
        <w:tc>
          <w:tcPr>
            <w:tcW w:w="0" w:type="auto"/>
            <w:vAlign w:val="center"/>
          </w:tcPr>
          <w:p w:rsidR="005F78FC" w:rsidRDefault="00B42EF3">
            <w:pPr>
              <w:pStyle w:val="TableBodyText"/>
            </w:pPr>
            <w:r>
              <w:t>vorming</w:t>
            </w:r>
          </w:p>
        </w:tc>
      </w:tr>
      <w:tr w:rsidR="005F78FC" w:rsidTr="005F78FC">
        <w:tc>
          <w:tcPr>
            <w:tcW w:w="0" w:type="auto"/>
            <w:vAlign w:val="center"/>
          </w:tcPr>
          <w:p w:rsidR="005F78FC" w:rsidRDefault="00B42EF3">
            <w:pPr>
              <w:pStyle w:val="TableBodyText"/>
            </w:pPr>
            <w:r>
              <w:t>fi-fi</w:t>
            </w:r>
          </w:p>
        </w:tc>
        <w:tc>
          <w:tcPr>
            <w:tcW w:w="0" w:type="auto"/>
            <w:vAlign w:val="center"/>
          </w:tcPr>
          <w:p w:rsidR="005F78FC" w:rsidRDefault="00B42EF3">
            <w:pPr>
              <w:pStyle w:val="TableBodyText"/>
            </w:pPr>
            <w:r>
              <w:t>osoite</w:t>
            </w:r>
          </w:p>
        </w:tc>
        <w:tc>
          <w:tcPr>
            <w:tcW w:w="0" w:type="auto"/>
            <w:vAlign w:val="center"/>
          </w:tcPr>
          <w:p w:rsidR="005F78FC" w:rsidRDefault="00B42EF3">
            <w:pPr>
              <w:pStyle w:val="TableBodyText"/>
            </w:pPr>
            <w:r>
              <w:t>sarake</w:t>
            </w:r>
          </w:p>
        </w:tc>
        <w:tc>
          <w:tcPr>
            <w:tcW w:w="0" w:type="auto"/>
            <w:vAlign w:val="center"/>
          </w:tcPr>
          <w:p w:rsidR="005F78FC" w:rsidRDefault="00B42EF3">
            <w:pPr>
              <w:pStyle w:val="TableBodyText"/>
            </w:pPr>
            <w:r>
              <w:t>väri</w:t>
            </w:r>
          </w:p>
        </w:tc>
        <w:tc>
          <w:tcPr>
            <w:tcW w:w="0" w:type="auto"/>
            <w:vAlign w:val="center"/>
          </w:tcPr>
          <w:p w:rsidR="005F78FC" w:rsidRDefault="00B42EF3">
            <w:pPr>
              <w:pStyle w:val="TableBodyText"/>
            </w:pPr>
            <w:r>
              <w:t>sisältö</w:t>
            </w:r>
          </w:p>
        </w:tc>
        <w:tc>
          <w:tcPr>
            <w:tcW w:w="0" w:type="auto"/>
            <w:vAlign w:val="center"/>
          </w:tcPr>
          <w:p w:rsidR="005F78FC" w:rsidRDefault="00B42EF3">
            <w:pPr>
              <w:pStyle w:val="TableBodyText"/>
            </w:pPr>
            <w:r>
              <w:t>koord</w:t>
            </w:r>
          </w:p>
        </w:tc>
        <w:tc>
          <w:tcPr>
            <w:tcW w:w="0" w:type="auto"/>
            <w:vAlign w:val="center"/>
          </w:tcPr>
          <w:p w:rsidR="005F78FC" w:rsidRDefault="00B42EF3">
            <w:pPr>
              <w:pStyle w:val="TableBodyText"/>
            </w:pPr>
            <w:r>
              <w:t>tiedostonnimi</w:t>
            </w:r>
          </w:p>
        </w:tc>
        <w:tc>
          <w:tcPr>
            <w:tcW w:w="0" w:type="auto"/>
            <w:vAlign w:val="center"/>
          </w:tcPr>
          <w:p w:rsidR="005F78FC" w:rsidRDefault="00B42EF3">
            <w:pPr>
              <w:pStyle w:val="TableBodyText"/>
            </w:pPr>
            <w:r>
              <w:t>muoto</w:t>
            </w:r>
          </w:p>
        </w:tc>
      </w:tr>
      <w:tr w:rsidR="005F78FC" w:rsidTr="005F78FC">
        <w:tc>
          <w:tcPr>
            <w:tcW w:w="0" w:type="auto"/>
            <w:vAlign w:val="center"/>
          </w:tcPr>
          <w:p w:rsidR="005F78FC" w:rsidRDefault="00B42EF3">
            <w:pPr>
              <w:pStyle w:val="TableBodyText"/>
            </w:pPr>
            <w:r>
              <w:t>fr-fr</w:t>
            </w:r>
          </w:p>
        </w:tc>
        <w:tc>
          <w:tcPr>
            <w:tcW w:w="0" w:type="auto"/>
            <w:vAlign w:val="center"/>
          </w:tcPr>
          <w:p w:rsidR="005F78FC" w:rsidRDefault="00B42EF3">
            <w:pPr>
              <w:pStyle w:val="TableBodyText"/>
            </w:pPr>
            <w:r>
              <w:t>adresse</w:t>
            </w:r>
          </w:p>
        </w:tc>
        <w:tc>
          <w:tcPr>
            <w:tcW w:w="0" w:type="auto"/>
            <w:vAlign w:val="center"/>
          </w:tcPr>
          <w:p w:rsidR="005F78FC" w:rsidRDefault="00B42EF3">
            <w:pPr>
              <w:pStyle w:val="TableBodyText"/>
            </w:pPr>
            <w:r>
              <w:t>colonne</w:t>
            </w:r>
          </w:p>
        </w:tc>
        <w:tc>
          <w:tcPr>
            <w:tcW w:w="0" w:type="auto"/>
            <w:vAlign w:val="center"/>
          </w:tcPr>
          <w:p w:rsidR="005F78FC" w:rsidRDefault="00B42EF3">
            <w:pPr>
              <w:pStyle w:val="TableBodyText"/>
            </w:pPr>
            <w:r>
              <w:t>couleur</w:t>
            </w:r>
          </w:p>
        </w:tc>
        <w:tc>
          <w:tcPr>
            <w:tcW w:w="0" w:type="auto"/>
            <w:vAlign w:val="center"/>
          </w:tcPr>
          <w:p w:rsidR="005F78FC" w:rsidRDefault="00B42EF3">
            <w:pPr>
              <w:pStyle w:val="TableBodyText"/>
            </w:pPr>
            <w:r>
              <w:t>contenu</w:t>
            </w:r>
          </w:p>
        </w:tc>
        <w:tc>
          <w:tcPr>
            <w:tcW w:w="0" w:type="auto"/>
            <w:vAlign w:val="center"/>
          </w:tcPr>
          <w:p w:rsidR="005F78FC" w:rsidRDefault="00B42EF3">
            <w:pPr>
              <w:pStyle w:val="TableBodyText"/>
            </w:pPr>
            <w:r>
              <w:t>coordonnees</w:t>
            </w:r>
          </w:p>
        </w:tc>
        <w:tc>
          <w:tcPr>
            <w:tcW w:w="0" w:type="auto"/>
            <w:vAlign w:val="center"/>
          </w:tcPr>
          <w:p w:rsidR="005F78FC" w:rsidRDefault="00B42EF3">
            <w:pPr>
              <w:pStyle w:val="TableBodyText"/>
            </w:pPr>
            <w:r>
              <w:t>nomfichier</w:t>
            </w:r>
          </w:p>
        </w:tc>
        <w:tc>
          <w:tcPr>
            <w:tcW w:w="0" w:type="auto"/>
            <w:vAlign w:val="center"/>
          </w:tcPr>
          <w:p w:rsidR="005F78FC" w:rsidRDefault="00B42EF3">
            <w:pPr>
              <w:pStyle w:val="TableBodyText"/>
            </w:pPr>
            <w:r>
              <w:t>format</w:t>
            </w:r>
          </w:p>
        </w:tc>
      </w:tr>
      <w:tr w:rsidR="005F78FC" w:rsidTr="005F78FC">
        <w:tc>
          <w:tcPr>
            <w:tcW w:w="0" w:type="auto"/>
            <w:vAlign w:val="center"/>
          </w:tcPr>
          <w:p w:rsidR="005F78FC" w:rsidRDefault="00B42EF3">
            <w:pPr>
              <w:pStyle w:val="TableBodyText"/>
            </w:pPr>
            <w:r>
              <w:t>hu-hu</w:t>
            </w:r>
          </w:p>
        </w:tc>
        <w:tc>
          <w:tcPr>
            <w:tcW w:w="0" w:type="auto"/>
            <w:vAlign w:val="center"/>
          </w:tcPr>
          <w:p w:rsidR="005F78FC" w:rsidRDefault="00B42EF3">
            <w:pPr>
              <w:pStyle w:val="TableBodyText"/>
            </w:pPr>
            <w:r>
              <w:t>cím</w:t>
            </w:r>
          </w:p>
        </w:tc>
        <w:tc>
          <w:tcPr>
            <w:tcW w:w="0" w:type="auto"/>
            <w:vAlign w:val="center"/>
          </w:tcPr>
          <w:p w:rsidR="005F78FC" w:rsidRDefault="00B42EF3">
            <w:pPr>
              <w:pStyle w:val="TableBodyText"/>
            </w:pPr>
            <w:r>
              <w:t>oszlop</w:t>
            </w:r>
          </w:p>
        </w:tc>
        <w:tc>
          <w:tcPr>
            <w:tcW w:w="0" w:type="auto"/>
            <w:vAlign w:val="center"/>
          </w:tcPr>
          <w:p w:rsidR="005F78FC" w:rsidRDefault="00B42EF3">
            <w:pPr>
              <w:pStyle w:val="TableBodyText"/>
            </w:pPr>
            <w:r>
              <w:t>szín</w:t>
            </w:r>
          </w:p>
        </w:tc>
        <w:tc>
          <w:tcPr>
            <w:tcW w:w="0" w:type="auto"/>
            <w:vAlign w:val="center"/>
          </w:tcPr>
          <w:p w:rsidR="005F78FC" w:rsidRDefault="00B42EF3">
            <w:pPr>
              <w:pStyle w:val="TableBodyText"/>
            </w:pPr>
            <w:r>
              <w:t>tartalom</w:t>
            </w:r>
          </w:p>
        </w:tc>
        <w:tc>
          <w:tcPr>
            <w:tcW w:w="0" w:type="auto"/>
            <w:vAlign w:val="center"/>
          </w:tcPr>
          <w:p w:rsidR="005F78FC" w:rsidRDefault="00B42EF3">
            <w:pPr>
              <w:pStyle w:val="TableBodyText"/>
            </w:pPr>
            <w:r>
              <w:t>koord</w:t>
            </w:r>
          </w:p>
        </w:tc>
        <w:tc>
          <w:tcPr>
            <w:tcW w:w="0" w:type="auto"/>
            <w:vAlign w:val="center"/>
          </w:tcPr>
          <w:p w:rsidR="005F78FC" w:rsidRDefault="00B42EF3">
            <w:pPr>
              <w:pStyle w:val="TableBodyText"/>
            </w:pPr>
            <w:r>
              <w:t>filenév</w:t>
            </w:r>
          </w:p>
        </w:tc>
        <w:tc>
          <w:tcPr>
            <w:tcW w:w="0" w:type="auto"/>
            <w:vAlign w:val="center"/>
          </w:tcPr>
          <w:p w:rsidR="005F78FC" w:rsidRDefault="00B42EF3">
            <w:pPr>
              <w:pStyle w:val="TableBodyText"/>
            </w:pPr>
            <w:r>
              <w:t>forma</w:t>
            </w:r>
          </w:p>
        </w:tc>
      </w:tr>
      <w:tr w:rsidR="005F78FC" w:rsidTr="005F78FC">
        <w:tc>
          <w:tcPr>
            <w:tcW w:w="0" w:type="auto"/>
            <w:vAlign w:val="center"/>
          </w:tcPr>
          <w:p w:rsidR="005F78FC" w:rsidRDefault="00B42EF3">
            <w:pPr>
              <w:pStyle w:val="TableBodyText"/>
            </w:pPr>
            <w:r>
              <w:t>it-it</w:t>
            </w:r>
          </w:p>
        </w:tc>
        <w:tc>
          <w:tcPr>
            <w:tcW w:w="0" w:type="auto"/>
            <w:vAlign w:val="center"/>
          </w:tcPr>
          <w:p w:rsidR="005F78FC" w:rsidRDefault="00B42EF3">
            <w:pPr>
              <w:pStyle w:val="TableBodyText"/>
            </w:pPr>
            <w:r>
              <w:t>indirizzo</w:t>
            </w:r>
          </w:p>
        </w:tc>
        <w:tc>
          <w:tcPr>
            <w:tcW w:w="0" w:type="auto"/>
            <w:vAlign w:val="center"/>
          </w:tcPr>
          <w:p w:rsidR="005F78FC" w:rsidRDefault="00B42EF3">
            <w:pPr>
              <w:pStyle w:val="TableBodyText"/>
            </w:pPr>
            <w:r>
              <w:t>col</w:t>
            </w:r>
          </w:p>
        </w:tc>
        <w:tc>
          <w:tcPr>
            <w:tcW w:w="0" w:type="auto"/>
            <w:vAlign w:val="center"/>
          </w:tcPr>
          <w:p w:rsidR="005F78FC" w:rsidRDefault="00B42EF3">
            <w:pPr>
              <w:pStyle w:val="TableBodyText"/>
            </w:pPr>
            <w:r>
              <w:t>colore</w:t>
            </w:r>
          </w:p>
        </w:tc>
        <w:tc>
          <w:tcPr>
            <w:tcW w:w="0" w:type="auto"/>
            <w:vAlign w:val="center"/>
          </w:tcPr>
          <w:p w:rsidR="005F78FC" w:rsidRDefault="00B42EF3">
            <w:pPr>
              <w:pStyle w:val="TableBodyText"/>
            </w:pPr>
            <w:r>
              <w:t>contenuto</w:t>
            </w:r>
          </w:p>
        </w:tc>
        <w:tc>
          <w:tcPr>
            <w:tcW w:w="0" w:type="auto"/>
            <w:vAlign w:val="center"/>
          </w:tcPr>
          <w:p w:rsidR="005F78FC" w:rsidRDefault="00B42EF3">
            <w:pPr>
              <w:pStyle w:val="TableBodyText"/>
            </w:pPr>
            <w:r>
              <w:t>coordinate</w:t>
            </w:r>
          </w:p>
        </w:tc>
        <w:tc>
          <w:tcPr>
            <w:tcW w:w="0" w:type="auto"/>
            <w:vAlign w:val="center"/>
          </w:tcPr>
          <w:p w:rsidR="005F78FC" w:rsidRDefault="00B42EF3">
            <w:pPr>
              <w:pStyle w:val="TableBodyText"/>
            </w:pPr>
            <w:r>
              <w:t>nomefile</w:t>
            </w:r>
          </w:p>
        </w:tc>
        <w:tc>
          <w:tcPr>
            <w:tcW w:w="0" w:type="auto"/>
            <w:vAlign w:val="center"/>
          </w:tcPr>
          <w:p w:rsidR="005F78FC" w:rsidRDefault="00B42EF3">
            <w:pPr>
              <w:pStyle w:val="TableBodyText"/>
            </w:pPr>
            <w:r>
              <w:t>formato</w:t>
            </w:r>
          </w:p>
        </w:tc>
      </w:tr>
      <w:tr w:rsidR="005F78FC" w:rsidTr="005F78FC">
        <w:tc>
          <w:tcPr>
            <w:tcW w:w="0" w:type="auto"/>
            <w:vAlign w:val="center"/>
          </w:tcPr>
          <w:p w:rsidR="005F78FC" w:rsidRDefault="00B42EF3">
            <w:pPr>
              <w:pStyle w:val="TableBodyText"/>
            </w:pPr>
            <w:r>
              <w:t>kk-kz</w:t>
            </w:r>
          </w:p>
        </w:tc>
        <w:tc>
          <w:tcPr>
            <w:tcW w:w="0" w:type="auto"/>
            <w:vAlign w:val="center"/>
          </w:tcPr>
          <w:p w:rsidR="005F78FC" w:rsidRDefault="00B42EF3">
            <w:pPr>
              <w:pStyle w:val="TableBodyText"/>
            </w:pPr>
            <w:r>
              <w:t>мекенжай</w:t>
            </w:r>
          </w:p>
        </w:tc>
        <w:tc>
          <w:tcPr>
            <w:tcW w:w="0" w:type="auto"/>
            <w:vAlign w:val="center"/>
          </w:tcPr>
          <w:p w:rsidR="005F78FC" w:rsidRDefault="00B42EF3">
            <w:pPr>
              <w:pStyle w:val="TableBodyText"/>
            </w:pPr>
            <w:r>
              <w:t>баған</w:t>
            </w:r>
          </w:p>
        </w:tc>
        <w:tc>
          <w:tcPr>
            <w:tcW w:w="0" w:type="auto"/>
            <w:vAlign w:val="center"/>
          </w:tcPr>
          <w:p w:rsidR="005F78FC" w:rsidRDefault="00B42EF3">
            <w:pPr>
              <w:pStyle w:val="TableBodyText"/>
            </w:pPr>
            <w:r>
              <w:t>түс</w:t>
            </w:r>
          </w:p>
        </w:tc>
        <w:tc>
          <w:tcPr>
            <w:tcW w:w="0" w:type="auto"/>
            <w:vAlign w:val="center"/>
          </w:tcPr>
          <w:p w:rsidR="005F78FC" w:rsidRDefault="00B42EF3">
            <w:pPr>
              <w:pStyle w:val="TableBodyText"/>
            </w:pPr>
            <w:r>
              <w:t>мазмұны</w:t>
            </w:r>
          </w:p>
        </w:tc>
        <w:tc>
          <w:tcPr>
            <w:tcW w:w="0" w:type="auto"/>
            <w:vAlign w:val="center"/>
          </w:tcPr>
          <w:p w:rsidR="005F78FC" w:rsidRDefault="00B42EF3">
            <w:pPr>
              <w:pStyle w:val="TableBodyText"/>
            </w:pPr>
            <w:r>
              <w:t>ТҰРАҒИАТ</w:t>
            </w:r>
          </w:p>
        </w:tc>
        <w:tc>
          <w:tcPr>
            <w:tcW w:w="0" w:type="auto"/>
            <w:vAlign w:val="center"/>
          </w:tcPr>
          <w:p w:rsidR="005F78FC" w:rsidRDefault="00B42EF3">
            <w:pPr>
              <w:pStyle w:val="TableBodyText"/>
            </w:pPr>
            <w:r>
              <w:t>файлатауы</w:t>
            </w:r>
          </w:p>
        </w:tc>
        <w:tc>
          <w:tcPr>
            <w:tcW w:w="0" w:type="auto"/>
            <w:vAlign w:val="center"/>
          </w:tcPr>
          <w:p w:rsidR="005F78FC" w:rsidRDefault="00B42EF3">
            <w:pPr>
              <w:pStyle w:val="TableBodyText"/>
            </w:pPr>
            <w:r>
              <w:t>пішім</w:t>
            </w:r>
          </w:p>
        </w:tc>
      </w:tr>
      <w:tr w:rsidR="005F78FC" w:rsidTr="005F78FC">
        <w:tc>
          <w:tcPr>
            <w:tcW w:w="0" w:type="auto"/>
            <w:vAlign w:val="center"/>
          </w:tcPr>
          <w:p w:rsidR="005F78FC" w:rsidRDefault="00B42EF3">
            <w:pPr>
              <w:pStyle w:val="TableBodyText"/>
            </w:pPr>
            <w:r>
              <w:t>lv-lv</w:t>
            </w:r>
          </w:p>
        </w:tc>
        <w:tc>
          <w:tcPr>
            <w:tcW w:w="0" w:type="auto"/>
            <w:vAlign w:val="center"/>
          </w:tcPr>
          <w:p w:rsidR="005F78FC" w:rsidRDefault="00B42EF3">
            <w:pPr>
              <w:pStyle w:val="TableBodyText"/>
            </w:pPr>
            <w:r>
              <w:t>adrese</w:t>
            </w:r>
          </w:p>
        </w:tc>
        <w:tc>
          <w:tcPr>
            <w:tcW w:w="0" w:type="auto"/>
            <w:vAlign w:val="center"/>
          </w:tcPr>
          <w:p w:rsidR="005F78FC" w:rsidRDefault="00B42EF3">
            <w:pPr>
              <w:pStyle w:val="TableBodyText"/>
            </w:pPr>
            <w:r>
              <w:t>kolonna</w:t>
            </w:r>
          </w:p>
        </w:tc>
        <w:tc>
          <w:tcPr>
            <w:tcW w:w="0" w:type="auto"/>
            <w:vAlign w:val="center"/>
          </w:tcPr>
          <w:p w:rsidR="005F78FC" w:rsidRDefault="00B42EF3">
            <w:pPr>
              <w:pStyle w:val="TableBodyText"/>
            </w:pPr>
            <w:r>
              <w:t>krāsa</w:t>
            </w:r>
          </w:p>
        </w:tc>
        <w:tc>
          <w:tcPr>
            <w:tcW w:w="0" w:type="auto"/>
            <w:vAlign w:val="center"/>
          </w:tcPr>
          <w:p w:rsidR="005F78FC" w:rsidRDefault="00B42EF3">
            <w:pPr>
              <w:pStyle w:val="TableBodyText"/>
            </w:pPr>
            <w:r>
              <w:t>saturs</w:t>
            </w:r>
          </w:p>
        </w:tc>
        <w:tc>
          <w:tcPr>
            <w:tcW w:w="0" w:type="auto"/>
            <w:vAlign w:val="center"/>
          </w:tcPr>
          <w:p w:rsidR="005F78FC" w:rsidRDefault="00B42EF3">
            <w:pPr>
              <w:pStyle w:val="TableBodyText"/>
            </w:pPr>
            <w:r>
              <w:t>koordinātas</w:t>
            </w:r>
          </w:p>
        </w:tc>
        <w:tc>
          <w:tcPr>
            <w:tcW w:w="0" w:type="auto"/>
            <w:vAlign w:val="center"/>
          </w:tcPr>
          <w:p w:rsidR="005F78FC" w:rsidRDefault="00B42EF3">
            <w:pPr>
              <w:pStyle w:val="TableBodyText"/>
            </w:pPr>
            <w:r>
              <w:t>faila_nosaukums</w:t>
            </w:r>
          </w:p>
        </w:tc>
        <w:tc>
          <w:tcPr>
            <w:tcW w:w="0" w:type="auto"/>
            <w:vAlign w:val="center"/>
          </w:tcPr>
          <w:p w:rsidR="005F78FC" w:rsidRDefault="00B42EF3">
            <w:pPr>
              <w:pStyle w:val="TableBodyText"/>
            </w:pPr>
            <w:r>
              <w:t>formāts</w:t>
            </w:r>
          </w:p>
        </w:tc>
      </w:tr>
      <w:tr w:rsidR="005F78FC" w:rsidTr="005F78FC">
        <w:tc>
          <w:tcPr>
            <w:tcW w:w="0" w:type="auto"/>
            <w:vAlign w:val="center"/>
          </w:tcPr>
          <w:p w:rsidR="005F78FC" w:rsidRDefault="00B42EF3">
            <w:pPr>
              <w:pStyle w:val="TableBodyText"/>
            </w:pPr>
            <w:r>
              <w:t>nb-no</w:t>
            </w:r>
          </w:p>
        </w:tc>
        <w:tc>
          <w:tcPr>
            <w:tcW w:w="0" w:type="auto"/>
            <w:vAlign w:val="center"/>
          </w:tcPr>
          <w:p w:rsidR="005F78FC" w:rsidRDefault="00B42EF3">
            <w:pPr>
              <w:pStyle w:val="TableBodyText"/>
            </w:pPr>
            <w:r>
              <w:t>adresse</w:t>
            </w:r>
          </w:p>
        </w:tc>
        <w:tc>
          <w:tcPr>
            <w:tcW w:w="0" w:type="auto"/>
            <w:vAlign w:val="center"/>
          </w:tcPr>
          <w:p w:rsidR="005F78FC" w:rsidRDefault="00B42EF3">
            <w:pPr>
              <w:pStyle w:val="TableBodyText"/>
            </w:pPr>
            <w:r>
              <w:t>kol</w:t>
            </w:r>
          </w:p>
        </w:tc>
        <w:tc>
          <w:tcPr>
            <w:tcW w:w="0" w:type="auto"/>
            <w:vAlign w:val="center"/>
          </w:tcPr>
          <w:p w:rsidR="005F78FC" w:rsidRDefault="00B42EF3">
            <w:pPr>
              <w:pStyle w:val="TableBodyText"/>
            </w:pPr>
            <w:r>
              <w:t>farge</w:t>
            </w:r>
          </w:p>
        </w:tc>
        <w:tc>
          <w:tcPr>
            <w:tcW w:w="0" w:type="auto"/>
            <w:vAlign w:val="center"/>
          </w:tcPr>
          <w:p w:rsidR="005F78FC" w:rsidRDefault="00B42EF3">
            <w:pPr>
              <w:pStyle w:val="TableBodyText"/>
            </w:pPr>
            <w:r>
              <w:t>innhold</w:t>
            </w:r>
          </w:p>
        </w:tc>
        <w:tc>
          <w:tcPr>
            <w:tcW w:w="0" w:type="auto"/>
            <w:vAlign w:val="center"/>
          </w:tcPr>
          <w:p w:rsidR="005F78FC" w:rsidRDefault="00B42EF3">
            <w:pPr>
              <w:pStyle w:val="TableBodyText"/>
            </w:pPr>
            <w:r>
              <w:t>koord</w:t>
            </w:r>
          </w:p>
        </w:tc>
        <w:tc>
          <w:tcPr>
            <w:tcW w:w="0" w:type="auto"/>
            <w:vAlign w:val="center"/>
          </w:tcPr>
          <w:p w:rsidR="005F78FC" w:rsidRDefault="00B42EF3">
            <w:pPr>
              <w:pStyle w:val="TableBodyText"/>
            </w:pPr>
            <w:r>
              <w:t>filnavn</w:t>
            </w:r>
          </w:p>
        </w:tc>
        <w:tc>
          <w:tcPr>
            <w:tcW w:w="0" w:type="auto"/>
            <w:vAlign w:val="center"/>
          </w:tcPr>
          <w:p w:rsidR="005F78FC" w:rsidRDefault="00B42EF3">
            <w:pPr>
              <w:pStyle w:val="TableBodyText"/>
            </w:pPr>
            <w:r>
              <w:t>format</w:t>
            </w:r>
          </w:p>
        </w:tc>
      </w:tr>
      <w:tr w:rsidR="005F78FC" w:rsidTr="005F78FC">
        <w:tc>
          <w:tcPr>
            <w:tcW w:w="0" w:type="auto"/>
            <w:vAlign w:val="center"/>
          </w:tcPr>
          <w:p w:rsidR="005F78FC" w:rsidRDefault="00B42EF3">
            <w:pPr>
              <w:pStyle w:val="TableBodyText"/>
            </w:pPr>
            <w:r>
              <w:t>nl-nl</w:t>
            </w:r>
          </w:p>
        </w:tc>
        <w:tc>
          <w:tcPr>
            <w:tcW w:w="0" w:type="auto"/>
            <w:vAlign w:val="center"/>
          </w:tcPr>
          <w:p w:rsidR="005F78FC" w:rsidRDefault="00B42EF3">
            <w:pPr>
              <w:pStyle w:val="TableBodyText"/>
            </w:pPr>
            <w:r>
              <w:t>adres</w:t>
            </w:r>
          </w:p>
        </w:tc>
        <w:tc>
          <w:tcPr>
            <w:tcW w:w="0" w:type="auto"/>
            <w:vAlign w:val="center"/>
          </w:tcPr>
          <w:p w:rsidR="005F78FC" w:rsidRDefault="00B42EF3">
            <w:pPr>
              <w:pStyle w:val="TableBodyText"/>
            </w:pPr>
            <w:r>
              <w:t>kolom</w:t>
            </w:r>
          </w:p>
        </w:tc>
        <w:tc>
          <w:tcPr>
            <w:tcW w:w="0" w:type="auto"/>
            <w:vAlign w:val="center"/>
          </w:tcPr>
          <w:p w:rsidR="005F78FC" w:rsidRDefault="00B42EF3">
            <w:pPr>
              <w:pStyle w:val="TableBodyText"/>
            </w:pPr>
            <w:r>
              <w:t>kleur</w:t>
            </w:r>
          </w:p>
        </w:tc>
        <w:tc>
          <w:tcPr>
            <w:tcW w:w="0" w:type="auto"/>
            <w:vAlign w:val="center"/>
          </w:tcPr>
          <w:p w:rsidR="005F78FC" w:rsidRDefault="00B42EF3">
            <w:pPr>
              <w:pStyle w:val="TableBodyText"/>
            </w:pPr>
            <w:r>
              <w:t>inhoud</w:t>
            </w:r>
          </w:p>
        </w:tc>
        <w:tc>
          <w:tcPr>
            <w:tcW w:w="0" w:type="auto"/>
            <w:vAlign w:val="center"/>
          </w:tcPr>
          <w:p w:rsidR="005F78FC" w:rsidRDefault="00B42EF3">
            <w:pPr>
              <w:pStyle w:val="TableBodyText"/>
            </w:pPr>
            <w:r>
              <w:t>coord</w:t>
            </w:r>
          </w:p>
        </w:tc>
        <w:tc>
          <w:tcPr>
            <w:tcW w:w="0" w:type="auto"/>
            <w:vAlign w:val="center"/>
          </w:tcPr>
          <w:p w:rsidR="005F78FC" w:rsidRDefault="00B42EF3">
            <w:pPr>
              <w:pStyle w:val="TableBodyText"/>
            </w:pPr>
            <w:r>
              <w:t>bestandsnaam</w:t>
            </w:r>
          </w:p>
        </w:tc>
        <w:tc>
          <w:tcPr>
            <w:tcW w:w="0" w:type="auto"/>
            <w:vAlign w:val="center"/>
          </w:tcPr>
          <w:p w:rsidR="005F78FC" w:rsidRDefault="00B42EF3">
            <w:pPr>
              <w:pStyle w:val="TableBodyText"/>
            </w:pPr>
            <w:r>
              <w:t>notatie</w:t>
            </w:r>
          </w:p>
        </w:tc>
      </w:tr>
      <w:tr w:rsidR="005F78FC" w:rsidTr="005F78FC">
        <w:tc>
          <w:tcPr>
            <w:tcW w:w="0" w:type="auto"/>
            <w:vAlign w:val="center"/>
          </w:tcPr>
          <w:p w:rsidR="005F78FC" w:rsidRDefault="00B42EF3">
            <w:pPr>
              <w:pStyle w:val="TableBodyText"/>
            </w:pPr>
            <w:r>
              <w:t>pl-pl</w:t>
            </w:r>
          </w:p>
        </w:tc>
        <w:tc>
          <w:tcPr>
            <w:tcW w:w="0" w:type="auto"/>
            <w:vAlign w:val="center"/>
          </w:tcPr>
          <w:p w:rsidR="005F78FC" w:rsidRDefault="00B42EF3">
            <w:pPr>
              <w:pStyle w:val="TableBodyText"/>
            </w:pPr>
            <w:r>
              <w:t>adres</w:t>
            </w:r>
          </w:p>
        </w:tc>
        <w:tc>
          <w:tcPr>
            <w:tcW w:w="0" w:type="auto"/>
            <w:vAlign w:val="center"/>
          </w:tcPr>
          <w:p w:rsidR="005F78FC" w:rsidRDefault="00B42EF3">
            <w:pPr>
              <w:pStyle w:val="TableBodyText"/>
            </w:pPr>
            <w:r>
              <w:t>kolumna</w:t>
            </w:r>
          </w:p>
        </w:tc>
        <w:tc>
          <w:tcPr>
            <w:tcW w:w="0" w:type="auto"/>
            <w:vAlign w:val="center"/>
          </w:tcPr>
          <w:p w:rsidR="005F78FC" w:rsidRDefault="00B42EF3">
            <w:pPr>
              <w:pStyle w:val="TableBodyText"/>
            </w:pPr>
            <w:r>
              <w:t>kolor</w:t>
            </w:r>
          </w:p>
        </w:tc>
        <w:tc>
          <w:tcPr>
            <w:tcW w:w="0" w:type="auto"/>
            <w:vAlign w:val="center"/>
          </w:tcPr>
          <w:p w:rsidR="005F78FC" w:rsidRDefault="00B42EF3">
            <w:pPr>
              <w:pStyle w:val="TableBodyText"/>
            </w:pPr>
            <w:r>
              <w:t>zawartość</w:t>
            </w:r>
          </w:p>
        </w:tc>
        <w:tc>
          <w:tcPr>
            <w:tcW w:w="0" w:type="auto"/>
            <w:vAlign w:val="center"/>
          </w:tcPr>
          <w:p w:rsidR="005F78FC" w:rsidRDefault="00B42EF3">
            <w:pPr>
              <w:pStyle w:val="TableBodyText"/>
            </w:pPr>
            <w:r>
              <w:t>WSPÓŁRZ</w:t>
            </w:r>
          </w:p>
        </w:tc>
        <w:tc>
          <w:tcPr>
            <w:tcW w:w="0" w:type="auto"/>
            <w:vAlign w:val="center"/>
          </w:tcPr>
          <w:p w:rsidR="005F78FC" w:rsidRDefault="00B42EF3">
            <w:pPr>
              <w:pStyle w:val="TableBodyText"/>
            </w:pPr>
            <w:r>
              <w:t>nazwa_pliku</w:t>
            </w:r>
          </w:p>
        </w:tc>
        <w:tc>
          <w:tcPr>
            <w:tcW w:w="0" w:type="auto"/>
            <w:vAlign w:val="center"/>
          </w:tcPr>
          <w:p w:rsidR="005F78FC" w:rsidRDefault="00B42EF3">
            <w:pPr>
              <w:pStyle w:val="TableBodyText"/>
            </w:pPr>
            <w:r>
              <w:t>format</w:t>
            </w:r>
          </w:p>
        </w:tc>
      </w:tr>
      <w:tr w:rsidR="005F78FC" w:rsidTr="005F78FC">
        <w:tc>
          <w:tcPr>
            <w:tcW w:w="0" w:type="auto"/>
            <w:vAlign w:val="center"/>
          </w:tcPr>
          <w:p w:rsidR="005F78FC" w:rsidRDefault="00B42EF3">
            <w:pPr>
              <w:pStyle w:val="TableBodyText"/>
            </w:pPr>
            <w:r>
              <w:t>pt-br</w:t>
            </w:r>
          </w:p>
        </w:tc>
        <w:tc>
          <w:tcPr>
            <w:tcW w:w="0" w:type="auto"/>
            <w:vAlign w:val="center"/>
          </w:tcPr>
          <w:p w:rsidR="005F78FC" w:rsidRDefault="00B42EF3">
            <w:pPr>
              <w:pStyle w:val="TableBodyText"/>
            </w:pPr>
            <w:r>
              <w:t>endereço</w:t>
            </w:r>
          </w:p>
        </w:tc>
        <w:tc>
          <w:tcPr>
            <w:tcW w:w="0" w:type="auto"/>
            <w:vAlign w:val="center"/>
          </w:tcPr>
          <w:p w:rsidR="005F78FC" w:rsidRDefault="00B42EF3">
            <w:pPr>
              <w:pStyle w:val="TableBodyText"/>
            </w:pPr>
            <w:r>
              <w:t>col</w:t>
            </w:r>
          </w:p>
        </w:tc>
        <w:tc>
          <w:tcPr>
            <w:tcW w:w="0" w:type="auto"/>
            <w:vAlign w:val="center"/>
          </w:tcPr>
          <w:p w:rsidR="005F78FC" w:rsidRDefault="00B42EF3">
            <w:pPr>
              <w:pStyle w:val="TableBodyText"/>
            </w:pPr>
            <w:r>
              <w:t>cor</w:t>
            </w:r>
          </w:p>
        </w:tc>
        <w:tc>
          <w:tcPr>
            <w:tcW w:w="0" w:type="auto"/>
            <w:vAlign w:val="center"/>
          </w:tcPr>
          <w:p w:rsidR="005F78FC" w:rsidRDefault="00B42EF3">
            <w:pPr>
              <w:pStyle w:val="TableBodyText"/>
            </w:pPr>
            <w:r>
              <w:t>conteúdo</w:t>
            </w:r>
          </w:p>
        </w:tc>
        <w:tc>
          <w:tcPr>
            <w:tcW w:w="0" w:type="auto"/>
            <w:vAlign w:val="center"/>
          </w:tcPr>
          <w:p w:rsidR="005F78FC" w:rsidRDefault="00B42EF3">
            <w:pPr>
              <w:pStyle w:val="TableBodyText"/>
            </w:pPr>
            <w:r>
              <w:t>coord</w:t>
            </w:r>
          </w:p>
        </w:tc>
        <w:tc>
          <w:tcPr>
            <w:tcW w:w="0" w:type="auto"/>
            <w:vAlign w:val="center"/>
          </w:tcPr>
          <w:p w:rsidR="005F78FC" w:rsidRDefault="00B42EF3">
            <w:pPr>
              <w:pStyle w:val="TableBodyText"/>
            </w:pPr>
            <w:r>
              <w:t>nome.arquivo</w:t>
            </w:r>
          </w:p>
        </w:tc>
        <w:tc>
          <w:tcPr>
            <w:tcW w:w="0" w:type="auto"/>
            <w:vAlign w:val="center"/>
          </w:tcPr>
          <w:p w:rsidR="005F78FC" w:rsidRDefault="00B42EF3">
            <w:pPr>
              <w:pStyle w:val="TableBodyText"/>
            </w:pPr>
            <w:r>
              <w:t>formato</w:t>
            </w:r>
          </w:p>
        </w:tc>
      </w:tr>
      <w:tr w:rsidR="005F78FC" w:rsidTr="005F78FC">
        <w:tc>
          <w:tcPr>
            <w:tcW w:w="0" w:type="auto"/>
            <w:vAlign w:val="center"/>
          </w:tcPr>
          <w:p w:rsidR="005F78FC" w:rsidRDefault="00B42EF3">
            <w:pPr>
              <w:pStyle w:val="TableBodyText"/>
            </w:pPr>
            <w:r>
              <w:t>pt-pt</w:t>
            </w:r>
          </w:p>
        </w:tc>
        <w:tc>
          <w:tcPr>
            <w:tcW w:w="0" w:type="auto"/>
            <w:vAlign w:val="center"/>
          </w:tcPr>
          <w:p w:rsidR="005F78FC" w:rsidRDefault="00B42EF3">
            <w:pPr>
              <w:pStyle w:val="TableBodyText"/>
            </w:pPr>
            <w:r>
              <w:t>endereço</w:t>
            </w:r>
          </w:p>
        </w:tc>
        <w:tc>
          <w:tcPr>
            <w:tcW w:w="0" w:type="auto"/>
            <w:vAlign w:val="center"/>
          </w:tcPr>
          <w:p w:rsidR="005F78FC" w:rsidRDefault="00B42EF3">
            <w:pPr>
              <w:pStyle w:val="TableBodyText"/>
            </w:pPr>
            <w:r>
              <w:t>col</w:t>
            </w:r>
          </w:p>
        </w:tc>
        <w:tc>
          <w:tcPr>
            <w:tcW w:w="0" w:type="auto"/>
            <w:vAlign w:val="center"/>
          </w:tcPr>
          <w:p w:rsidR="005F78FC" w:rsidRDefault="00B42EF3">
            <w:pPr>
              <w:pStyle w:val="TableBodyText"/>
            </w:pPr>
            <w:r>
              <w:t>cor</w:t>
            </w:r>
          </w:p>
        </w:tc>
        <w:tc>
          <w:tcPr>
            <w:tcW w:w="0" w:type="auto"/>
            <w:vAlign w:val="center"/>
          </w:tcPr>
          <w:p w:rsidR="005F78FC" w:rsidRDefault="00B42EF3">
            <w:pPr>
              <w:pStyle w:val="TableBodyText"/>
            </w:pPr>
            <w:r>
              <w:t>conteúdo</w:t>
            </w:r>
          </w:p>
        </w:tc>
        <w:tc>
          <w:tcPr>
            <w:tcW w:w="0" w:type="auto"/>
            <w:vAlign w:val="center"/>
          </w:tcPr>
          <w:p w:rsidR="005F78FC" w:rsidRDefault="00B42EF3">
            <w:pPr>
              <w:pStyle w:val="TableBodyText"/>
            </w:pPr>
            <w:r>
              <w:t>coord</w:t>
            </w:r>
          </w:p>
        </w:tc>
        <w:tc>
          <w:tcPr>
            <w:tcW w:w="0" w:type="auto"/>
            <w:vAlign w:val="center"/>
          </w:tcPr>
          <w:p w:rsidR="005F78FC" w:rsidRDefault="00B42EF3">
            <w:pPr>
              <w:pStyle w:val="TableBodyText"/>
            </w:pPr>
            <w:r>
              <w:t>nome.ficheiro</w:t>
            </w:r>
          </w:p>
        </w:tc>
        <w:tc>
          <w:tcPr>
            <w:tcW w:w="0" w:type="auto"/>
            <w:vAlign w:val="center"/>
          </w:tcPr>
          <w:p w:rsidR="005F78FC" w:rsidRDefault="00B42EF3">
            <w:pPr>
              <w:pStyle w:val="TableBodyText"/>
            </w:pPr>
            <w:r>
              <w:t>formato</w:t>
            </w:r>
          </w:p>
        </w:tc>
      </w:tr>
      <w:tr w:rsidR="005F78FC" w:rsidTr="005F78FC">
        <w:tc>
          <w:tcPr>
            <w:tcW w:w="0" w:type="auto"/>
            <w:vAlign w:val="center"/>
          </w:tcPr>
          <w:p w:rsidR="005F78FC" w:rsidRDefault="00B42EF3">
            <w:pPr>
              <w:pStyle w:val="TableBodyText"/>
            </w:pPr>
            <w:r>
              <w:t>ru-ru</w:t>
            </w:r>
          </w:p>
        </w:tc>
        <w:tc>
          <w:tcPr>
            <w:tcW w:w="0" w:type="auto"/>
            <w:vAlign w:val="center"/>
          </w:tcPr>
          <w:p w:rsidR="005F78FC" w:rsidRDefault="00B42EF3">
            <w:pPr>
              <w:pStyle w:val="TableBodyText"/>
            </w:pPr>
            <w:r>
              <w:t>адрес</w:t>
            </w:r>
          </w:p>
        </w:tc>
        <w:tc>
          <w:tcPr>
            <w:tcW w:w="0" w:type="auto"/>
            <w:vAlign w:val="center"/>
          </w:tcPr>
          <w:p w:rsidR="005F78FC" w:rsidRDefault="00B42EF3">
            <w:pPr>
              <w:pStyle w:val="TableBodyText"/>
            </w:pPr>
            <w:r>
              <w:t>столбец</w:t>
            </w:r>
          </w:p>
        </w:tc>
        <w:tc>
          <w:tcPr>
            <w:tcW w:w="0" w:type="auto"/>
            <w:vAlign w:val="center"/>
          </w:tcPr>
          <w:p w:rsidR="005F78FC" w:rsidRDefault="00B42EF3">
            <w:pPr>
              <w:pStyle w:val="TableBodyText"/>
            </w:pPr>
            <w:r>
              <w:t>цвет</w:t>
            </w:r>
          </w:p>
        </w:tc>
        <w:tc>
          <w:tcPr>
            <w:tcW w:w="0" w:type="auto"/>
            <w:vAlign w:val="center"/>
          </w:tcPr>
          <w:p w:rsidR="005F78FC" w:rsidRDefault="00B42EF3">
            <w:pPr>
              <w:pStyle w:val="TableBodyText"/>
            </w:pPr>
            <w:r>
              <w:t>содержимое</w:t>
            </w:r>
          </w:p>
        </w:tc>
        <w:tc>
          <w:tcPr>
            <w:tcW w:w="0" w:type="auto"/>
            <w:vAlign w:val="center"/>
          </w:tcPr>
          <w:p w:rsidR="005F78FC" w:rsidRDefault="00B42EF3">
            <w:pPr>
              <w:pStyle w:val="TableBodyText"/>
            </w:pPr>
            <w:r>
              <w:t>КООРД</w:t>
            </w:r>
          </w:p>
        </w:tc>
        <w:tc>
          <w:tcPr>
            <w:tcW w:w="0" w:type="auto"/>
            <w:vAlign w:val="center"/>
          </w:tcPr>
          <w:p w:rsidR="005F78FC" w:rsidRDefault="00B42EF3">
            <w:pPr>
              <w:pStyle w:val="TableBodyText"/>
            </w:pPr>
            <w:r>
              <w:t>имяфайла</w:t>
            </w:r>
          </w:p>
        </w:tc>
        <w:tc>
          <w:tcPr>
            <w:tcW w:w="0" w:type="auto"/>
            <w:vAlign w:val="center"/>
          </w:tcPr>
          <w:p w:rsidR="005F78FC" w:rsidRDefault="00B42EF3">
            <w:pPr>
              <w:pStyle w:val="TableBodyText"/>
            </w:pPr>
            <w:r>
              <w:t>формат</w:t>
            </w:r>
          </w:p>
        </w:tc>
      </w:tr>
      <w:tr w:rsidR="005F78FC" w:rsidTr="005F78FC">
        <w:tc>
          <w:tcPr>
            <w:tcW w:w="0" w:type="auto"/>
            <w:vAlign w:val="center"/>
          </w:tcPr>
          <w:p w:rsidR="005F78FC" w:rsidRDefault="00B42EF3">
            <w:pPr>
              <w:pStyle w:val="TableBodyText"/>
            </w:pPr>
            <w:r>
              <w:t>sk-sk</w:t>
            </w:r>
          </w:p>
        </w:tc>
        <w:tc>
          <w:tcPr>
            <w:tcW w:w="0" w:type="auto"/>
            <w:vAlign w:val="center"/>
          </w:tcPr>
          <w:p w:rsidR="005F78FC" w:rsidRDefault="00B42EF3">
            <w:pPr>
              <w:pStyle w:val="TableBodyText"/>
            </w:pPr>
            <w:r>
              <w:t>adresa</w:t>
            </w:r>
          </w:p>
        </w:tc>
        <w:tc>
          <w:tcPr>
            <w:tcW w:w="0" w:type="auto"/>
            <w:vAlign w:val="center"/>
          </w:tcPr>
          <w:p w:rsidR="005F78FC" w:rsidRDefault="00B42EF3">
            <w:pPr>
              <w:pStyle w:val="TableBodyText"/>
            </w:pPr>
            <w:r>
              <w:t>stĺpec</w:t>
            </w:r>
          </w:p>
        </w:tc>
        <w:tc>
          <w:tcPr>
            <w:tcW w:w="0" w:type="auto"/>
            <w:vAlign w:val="center"/>
          </w:tcPr>
          <w:p w:rsidR="005F78FC" w:rsidRDefault="00B42EF3">
            <w:pPr>
              <w:pStyle w:val="TableBodyText"/>
            </w:pPr>
            <w:r>
              <w:t>farba</w:t>
            </w:r>
          </w:p>
        </w:tc>
        <w:tc>
          <w:tcPr>
            <w:tcW w:w="0" w:type="auto"/>
            <w:vAlign w:val="center"/>
          </w:tcPr>
          <w:p w:rsidR="005F78FC" w:rsidRDefault="00B42EF3">
            <w:pPr>
              <w:pStyle w:val="TableBodyText"/>
            </w:pPr>
            <w:r>
              <w:t>obsah</w:t>
            </w:r>
          </w:p>
        </w:tc>
        <w:tc>
          <w:tcPr>
            <w:tcW w:w="0" w:type="auto"/>
            <w:vAlign w:val="center"/>
          </w:tcPr>
          <w:p w:rsidR="005F78FC" w:rsidRDefault="00B42EF3">
            <w:pPr>
              <w:pStyle w:val="TableBodyText"/>
            </w:pPr>
            <w:r>
              <w:t>koordinovať</w:t>
            </w:r>
          </w:p>
        </w:tc>
        <w:tc>
          <w:tcPr>
            <w:tcW w:w="0" w:type="auto"/>
            <w:vAlign w:val="center"/>
          </w:tcPr>
          <w:p w:rsidR="005F78FC" w:rsidRDefault="00B42EF3">
            <w:pPr>
              <w:pStyle w:val="TableBodyText"/>
            </w:pPr>
            <w:r>
              <w:t>názovsúboru</w:t>
            </w:r>
          </w:p>
        </w:tc>
        <w:tc>
          <w:tcPr>
            <w:tcW w:w="0" w:type="auto"/>
            <w:vAlign w:val="center"/>
          </w:tcPr>
          <w:p w:rsidR="005F78FC" w:rsidRDefault="00B42EF3">
            <w:pPr>
              <w:pStyle w:val="TableBodyText"/>
            </w:pPr>
            <w:r>
              <w:t>formát</w:t>
            </w:r>
          </w:p>
        </w:tc>
      </w:tr>
      <w:tr w:rsidR="005F78FC" w:rsidTr="005F78FC">
        <w:tc>
          <w:tcPr>
            <w:tcW w:w="0" w:type="auto"/>
            <w:vAlign w:val="center"/>
          </w:tcPr>
          <w:p w:rsidR="005F78FC" w:rsidRDefault="00B42EF3">
            <w:pPr>
              <w:pStyle w:val="TableBodyText"/>
            </w:pPr>
            <w:r>
              <w:t>sl-si</w:t>
            </w:r>
          </w:p>
        </w:tc>
        <w:tc>
          <w:tcPr>
            <w:tcW w:w="0" w:type="auto"/>
            <w:vAlign w:val="center"/>
          </w:tcPr>
          <w:p w:rsidR="005F78FC" w:rsidRDefault="00B42EF3">
            <w:pPr>
              <w:pStyle w:val="TableBodyText"/>
            </w:pPr>
            <w:r>
              <w:t>address</w:t>
            </w:r>
          </w:p>
        </w:tc>
        <w:tc>
          <w:tcPr>
            <w:tcW w:w="0" w:type="auto"/>
            <w:vAlign w:val="center"/>
          </w:tcPr>
          <w:p w:rsidR="005F78FC" w:rsidRDefault="00B42EF3">
            <w:pPr>
              <w:pStyle w:val="TableBodyText"/>
            </w:pPr>
            <w:r>
              <w:t>sto</w:t>
            </w:r>
          </w:p>
        </w:tc>
        <w:tc>
          <w:tcPr>
            <w:tcW w:w="0" w:type="auto"/>
            <w:vAlign w:val="center"/>
          </w:tcPr>
          <w:p w:rsidR="005F78FC" w:rsidRDefault="00B42EF3">
            <w:pPr>
              <w:pStyle w:val="TableBodyText"/>
            </w:pPr>
            <w:r>
              <w:t>color</w:t>
            </w:r>
          </w:p>
        </w:tc>
        <w:tc>
          <w:tcPr>
            <w:tcW w:w="0" w:type="auto"/>
            <w:vAlign w:val="center"/>
          </w:tcPr>
          <w:p w:rsidR="005F78FC" w:rsidRDefault="00B42EF3">
            <w:pPr>
              <w:pStyle w:val="TableBodyText"/>
            </w:pPr>
            <w:r>
              <w:t>contents</w:t>
            </w:r>
          </w:p>
        </w:tc>
        <w:tc>
          <w:tcPr>
            <w:tcW w:w="0" w:type="auto"/>
            <w:vAlign w:val="center"/>
          </w:tcPr>
          <w:p w:rsidR="005F78FC" w:rsidRDefault="00B42EF3">
            <w:pPr>
              <w:pStyle w:val="TableBodyText"/>
            </w:pPr>
            <w:r>
              <w:t>coord</w:t>
            </w:r>
          </w:p>
        </w:tc>
        <w:tc>
          <w:tcPr>
            <w:tcW w:w="0" w:type="auto"/>
            <w:vAlign w:val="center"/>
          </w:tcPr>
          <w:p w:rsidR="005F78FC" w:rsidRDefault="00B42EF3">
            <w:pPr>
              <w:pStyle w:val="TableBodyText"/>
            </w:pPr>
            <w:r>
              <w:t>filename</w:t>
            </w:r>
          </w:p>
        </w:tc>
        <w:tc>
          <w:tcPr>
            <w:tcW w:w="0" w:type="auto"/>
            <w:vAlign w:val="center"/>
          </w:tcPr>
          <w:p w:rsidR="005F78FC" w:rsidRDefault="00B42EF3">
            <w:pPr>
              <w:pStyle w:val="TableBodyText"/>
            </w:pPr>
            <w:r>
              <w:t>format</w:t>
            </w:r>
          </w:p>
        </w:tc>
      </w:tr>
      <w:tr w:rsidR="005F78FC" w:rsidTr="005F78FC">
        <w:tc>
          <w:tcPr>
            <w:tcW w:w="0" w:type="auto"/>
            <w:vAlign w:val="center"/>
          </w:tcPr>
          <w:p w:rsidR="005F78FC" w:rsidRDefault="00B42EF3">
            <w:pPr>
              <w:pStyle w:val="TableBodyText"/>
            </w:pPr>
            <w:r>
              <w:t>sv-se</w:t>
            </w:r>
          </w:p>
        </w:tc>
        <w:tc>
          <w:tcPr>
            <w:tcW w:w="0" w:type="auto"/>
            <w:vAlign w:val="center"/>
          </w:tcPr>
          <w:p w:rsidR="005F78FC" w:rsidRDefault="00B42EF3">
            <w:pPr>
              <w:pStyle w:val="TableBodyText"/>
            </w:pPr>
            <w:r>
              <w:t>adress</w:t>
            </w:r>
          </w:p>
        </w:tc>
        <w:tc>
          <w:tcPr>
            <w:tcW w:w="0" w:type="auto"/>
            <w:vAlign w:val="center"/>
          </w:tcPr>
          <w:p w:rsidR="005F78FC" w:rsidRDefault="00B42EF3">
            <w:pPr>
              <w:pStyle w:val="TableBodyText"/>
            </w:pPr>
            <w:r>
              <w:t>kol</w:t>
            </w:r>
          </w:p>
        </w:tc>
        <w:tc>
          <w:tcPr>
            <w:tcW w:w="0" w:type="auto"/>
            <w:vAlign w:val="center"/>
          </w:tcPr>
          <w:p w:rsidR="005F78FC" w:rsidRDefault="00B42EF3">
            <w:pPr>
              <w:pStyle w:val="TableBodyText"/>
            </w:pPr>
            <w:r>
              <w:t>färg</w:t>
            </w:r>
          </w:p>
        </w:tc>
        <w:tc>
          <w:tcPr>
            <w:tcW w:w="0" w:type="auto"/>
            <w:vAlign w:val="center"/>
          </w:tcPr>
          <w:p w:rsidR="005F78FC" w:rsidRDefault="00B42EF3">
            <w:pPr>
              <w:pStyle w:val="TableBodyText"/>
            </w:pPr>
            <w:r>
              <w:t>innehåll</w:t>
            </w:r>
          </w:p>
        </w:tc>
        <w:tc>
          <w:tcPr>
            <w:tcW w:w="0" w:type="auto"/>
            <w:vAlign w:val="center"/>
          </w:tcPr>
          <w:p w:rsidR="005F78FC" w:rsidRDefault="00B42EF3">
            <w:pPr>
              <w:pStyle w:val="TableBodyText"/>
            </w:pPr>
            <w:r>
              <w:t>koord</w:t>
            </w:r>
          </w:p>
        </w:tc>
        <w:tc>
          <w:tcPr>
            <w:tcW w:w="0" w:type="auto"/>
            <w:vAlign w:val="center"/>
          </w:tcPr>
          <w:p w:rsidR="005F78FC" w:rsidRDefault="00B42EF3">
            <w:pPr>
              <w:pStyle w:val="TableBodyText"/>
            </w:pPr>
            <w:r>
              <w:t>filnamn</w:t>
            </w:r>
          </w:p>
        </w:tc>
        <w:tc>
          <w:tcPr>
            <w:tcW w:w="0" w:type="auto"/>
            <w:vAlign w:val="center"/>
          </w:tcPr>
          <w:p w:rsidR="005F78FC" w:rsidRDefault="00B42EF3">
            <w:pPr>
              <w:pStyle w:val="TableBodyText"/>
            </w:pPr>
            <w:r>
              <w:t>format</w:t>
            </w:r>
          </w:p>
        </w:tc>
      </w:tr>
      <w:tr w:rsidR="005F78FC" w:rsidTr="005F78FC">
        <w:tc>
          <w:tcPr>
            <w:tcW w:w="0" w:type="auto"/>
            <w:vAlign w:val="center"/>
          </w:tcPr>
          <w:p w:rsidR="005F78FC" w:rsidRDefault="00B42EF3">
            <w:pPr>
              <w:pStyle w:val="TableBodyText"/>
            </w:pPr>
            <w:r>
              <w:t>tr-tr</w:t>
            </w:r>
          </w:p>
        </w:tc>
        <w:tc>
          <w:tcPr>
            <w:tcW w:w="0" w:type="auto"/>
            <w:vAlign w:val="center"/>
          </w:tcPr>
          <w:p w:rsidR="005F78FC" w:rsidRDefault="00B42EF3">
            <w:pPr>
              <w:pStyle w:val="TableBodyText"/>
            </w:pPr>
            <w:r>
              <w:t>adres</w:t>
            </w:r>
          </w:p>
        </w:tc>
        <w:tc>
          <w:tcPr>
            <w:tcW w:w="0" w:type="auto"/>
            <w:vAlign w:val="center"/>
          </w:tcPr>
          <w:p w:rsidR="005F78FC" w:rsidRDefault="00B42EF3">
            <w:pPr>
              <w:pStyle w:val="TableBodyText"/>
            </w:pPr>
            <w:r>
              <w:t>süt</w:t>
            </w:r>
          </w:p>
        </w:tc>
        <w:tc>
          <w:tcPr>
            <w:tcW w:w="0" w:type="auto"/>
            <w:vAlign w:val="center"/>
          </w:tcPr>
          <w:p w:rsidR="005F78FC" w:rsidRDefault="00B42EF3">
            <w:pPr>
              <w:pStyle w:val="TableBodyText"/>
            </w:pPr>
            <w:r>
              <w:t>renk</w:t>
            </w:r>
          </w:p>
        </w:tc>
        <w:tc>
          <w:tcPr>
            <w:tcW w:w="0" w:type="auto"/>
            <w:vAlign w:val="center"/>
          </w:tcPr>
          <w:p w:rsidR="005F78FC" w:rsidRDefault="00B42EF3">
            <w:pPr>
              <w:pStyle w:val="TableBodyText"/>
            </w:pPr>
            <w:r>
              <w:t>içerik</w:t>
            </w:r>
          </w:p>
        </w:tc>
        <w:tc>
          <w:tcPr>
            <w:tcW w:w="0" w:type="auto"/>
            <w:vAlign w:val="center"/>
          </w:tcPr>
          <w:p w:rsidR="005F78FC" w:rsidRDefault="00B42EF3">
            <w:pPr>
              <w:pStyle w:val="TableBodyText"/>
            </w:pPr>
            <w:r>
              <w:t>koord</w:t>
            </w:r>
          </w:p>
        </w:tc>
        <w:tc>
          <w:tcPr>
            <w:tcW w:w="0" w:type="auto"/>
            <w:vAlign w:val="center"/>
          </w:tcPr>
          <w:p w:rsidR="005F78FC" w:rsidRDefault="00B42EF3">
            <w:pPr>
              <w:pStyle w:val="TableBodyText"/>
            </w:pPr>
            <w:r>
              <w:t>dosyaadi</w:t>
            </w:r>
          </w:p>
        </w:tc>
        <w:tc>
          <w:tcPr>
            <w:tcW w:w="0" w:type="auto"/>
            <w:vAlign w:val="center"/>
          </w:tcPr>
          <w:p w:rsidR="005F78FC" w:rsidRDefault="00B42EF3">
            <w:pPr>
              <w:pStyle w:val="TableBodyText"/>
            </w:pPr>
            <w:r>
              <w:t>biçim</w:t>
            </w:r>
          </w:p>
        </w:tc>
      </w:tr>
      <w:tr w:rsidR="005F78FC" w:rsidTr="005F78FC">
        <w:tc>
          <w:tcPr>
            <w:tcW w:w="0" w:type="auto"/>
            <w:vAlign w:val="center"/>
          </w:tcPr>
          <w:p w:rsidR="005F78FC" w:rsidRDefault="00B42EF3">
            <w:pPr>
              <w:pStyle w:val="TableBodyText"/>
            </w:pPr>
            <w:r>
              <w:t>uk-ua</w:t>
            </w:r>
          </w:p>
        </w:tc>
        <w:tc>
          <w:tcPr>
            <w:tcW w:w="0" w:type="auto"/>
            <w:vAlign w:val="center"/>
          </w:tcPr>
          <w:p w:rsidR="005F78FC" w:rsidRDefault="00B42EF3">
            <w:pPr>
              <w:pStyle w:val="TableBodyText"/>
            </w:pPr>
            <w:r>
              <w:t>адреса</w:t>
            </w:r>
          </w:p>
        </w:tc>
        <w:tc>
          <w:tcPr>
            <w:tcW w:w="0" w:type="auto"/>
            <w:vAlign w:val="center"/>
          </w:tcPr>
          <w:p w:rsidR="005F78FC" w:rsidRDefault="00B42EF3">
            <w:pPr>
              <w:pStyle w:val="TableBodyText"/>
            </w:pPr>
            <w:r>
              <w:t>стовпець</w:t>
            </w:r>
          </w:p>
        </w:tc>
        <w:tc>
          <w:tcPr>
            <w:tcW w:w="0" w:type="auto"/>
            <w:vAlign w:val="center"/>
          </w:tcPr>
          <w:p w:rsidR="005F78FC" w:rsidRDefault="00B42EF3">
            <w:pPr>
              <w:pStyle w:val="TableBodyText"/>
            </w:pPr>
            <w:r>
              <w:t>колір</w:t>
            </w:r>
          </w:p>
        </w:tc>
        <w:tc>
          <w:tcPr>
            <w:tcW w:w="0" w:type="auto"/>
            <w:vAlign w:val="center"/>
          </w:tcPr>
          <w:p w:rsidR="005F78FC" w:rsidRDefault="00B42EF3">
            <w:pPr>
              <w:pStyle w:val="TableBodyText"/>
            </w:pPr>
            <w:r>
              <w:t>вміст</w:t>
            </w:r>
          </w:p>
        </w:tc>
        <w:tc>
          <w:tcPr>
            <w:tcW w:w="0" w:type="auto"/>
            <w:vAlign w:val="center"/>
          </w:tcPr>
          <w:p w:rsidR="005F78FC" w:rsidRDefault="00B42EF3">
            <w:pPr>
              <w:pStyle w:val="TableBodyText"/>
            </w:pPr>
            <w:r>
              <w:t>КООРД</w:t>
            </w:r>
          </w:p>
        </w:tc>
        <w:tc>
          <w:tcPr>
            <w:tcW w:w="0" w:type="auto"/>
            <w:vAlign w:val="center"/>
          </w:tcPr>
          <w:p w:rsidR="005F78FC" w:rsidRDefault="00B42EF3">
            <w:pPr>
              <w:pStyle w:val="TableBodyText"/>
            </w:pPr>
            <w:r>
              <w:t>ім`я_файлу</w:t>
            </w:r>
          </w:p>
        </w:tc>
        <w:tc>
          <w:tcPr>
            <w:tcW w:w="0" w:type="auto"/>
            <w:vAlign w:val="center"/>
          </w:tcPr>
          <w:p w:rsidR="005F78FC" w:rsidRDefault="00B42EF3">
            <w:pPr>
              <w:pStyle w:val="TableBodyText"/>
            </w:pPr>
            <w:r>
              <w:t>формат</w:t>
            </w:r>
          </w:p>
        </w:tc>
      </w:tr>
    </w:tbl>
    <w:p w:rsidR="005F78FC" w:rsidRDefault="005F78FC"/>
    <w:p w:rsidR="005F78FC" w:rsidRDefault="005F78FC"/>
    <w:tbl>
      <w:tblPr>
        <w:tblStyle w:val="Table-ShadedHeader"/>
        <w:tblW w:w="0" w:type="auto"/>
        <w:tblLook w:val="04A0" w:firstRow="1" w:lastRow="0" w:firstColumn="1" w:lastColumn="0" w:noHBand="0" w:noVBand="1"/>
      </w:tblPr>
      <w:tblGrid>
        <w:gridCol w:w="1040"/>
        <w:gridCol w:w="1338"/>
        <w:gridCol w:w="1218"/>
        <w:gridCol w:w="1258"/>
        <w:gridCol w:w="783"/>
        <w:gridCol w:w="1017"/>
        <w:gridCol w:w="1043"/>
        <w:gridCol w:w="1017"/>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Locale</w:t>
            </w:r>
          </w:p>
        </w:tc>
        <w:tc>
          <w:tcPr>
            <w:tcW w:w="0" w:type="auto"/>
            <w:vAlign w:val="center"/>
          </w:tcPr>
          <w:p w:rsidR="005F78FC" w:rsidRDefault="00B42EF3">
            <w:pPr>
              <w:pStyle w:val="TableHeaderText"/>
            </w:pPr>
            <w:r>
              <w:t>parentheses</w:t>
            </w:r>
          </w:p>
        </w:tc>
        <w:tc>
          <w:tcPr>
            <w:tcW w:w="0" w:type="auto"/>
            <w:vAlign w:val="center"/>
          </w:tcPr>
          <w:p w:rsidR="005F78FC" w:rsidRDefault="00B42EF3">
            <w:pPr>
              <w:pStyle w:val="TableHeaderText"/>
            </w:pPr>
            <w:r>
              <w:t>prefix</w:t>
            </w:r>
          </w:p>
        </w:tc>
        <w:tc>
          <w:tcPr>
            <w:tcW w:w="0" w:type="auto"/>
            <w:vAlign w:val="center"/>
          </w:tcPr>
          <w:p w:rsidR="005F78FC" w:rsidRDefault="00B42EF3">
            <w:pPr>
              <w:pStyle w:val="TableHeaderText"/>
            </w:pPr>
            <w:r>
              <w:t>protect</w:t>
            </w:r>
          </w:p>
        </w:tc>
        <w:tc>
          <w:tcPr>
            <w:tcW w:w="0" w:type="auto"/>
            <w:vAlign w:val="center"/>
          </w:tcPr>
          <w:p w:rsidR="005F78FC" w:rsidRDefault="00B42EF3">
            <w:pPr>
              <w:pStyle w:val="TableHeaderText"/>
            </w:pPr>
            <w:r>
              <w:t>row</w:t>
            </w:r>
          </w:p>
        </w:tc>
        <w:tc>
          <w:tcPr>
            <w:tcW w:w="0" w:type="auto"/>
            <w:vAlign w:val="center"/>
          </w:tcPr>
          <w:p w:rsidR="005F78FC" w:rsidRDefault="00B42EF3">
            <w:pPr>
              <w:pStyle w:val="TableHeaderText"/>
            </w:pPr>
            <w:r>
              <w:t>Sheet</w:t>
            </w:r>
          </w:p>
        </w:tc>
        <w:tc>
          <w:tcPr>
            <w:tcW w:w="0" w:type="auto"/>
            <w:vAlign w:val="center"/>
          </w:tcPr>
          <w:p w:rsidR="005F78FC" w:rsidRDefault="00B42EF3">
            <w:pPr>
              <w:pStyle w:val="TableHeaderText"/>
            </w:pPr>
            <w:r>
              <w:t>type</w:t>
            </w:r>
          </w:p>
        </w:tc>
        <w:tc>
          <w:tcPr>
            <w:tcW w:w="0" w:type="auto"/>
            <w:vAlign w:val="center"/>
          </w:tcPr>
          <w:p w:rsidR="005F78FC" w:rsidRDefault="00B42EF3">
            <w:pPr>
              <w:pStyle w:val="TableHeaderText"/>
            </w:pPr>
            <w:r>
              <w:t>width</w:t>
            </w:r>
          </w:p>
        </w:tc>
      </w:tr>
      <w:tr w:rsidR="005F78FC" w:rsidTr="005F78FC">
        <w:tc>
          <w:tcPr>
            <w:tcW w:w="0" w:type="auto"/>
            <w:vAlign w:val="center"/>
          </w:tcPr>
          <w:p w:rsidR="005F78FC" w:rsidRDefault="00B42EF3">
            <w:pPr>
              <w:pStyle w:val="TableBodyText"/>
            </w:pPr>
            <w:r>
              <w:t>az-latn-az</w:t>
            </w:r>
          </w:p>
        </w:tc>
        <w:tc>
          <w:tcPr>
            <w:tcW w:w="0" w:type="auto"/>
            <w:vAlign w:val="center"/>
          </w:tcPr>
          <w:p w:rsidR="005F78FC" w:rsidRDefault="00B42EF3">
            <w:pPr>
              <w:pStyle w:val="TableBodyText"/>
            </w:pPr>
            <w:r>
              <w:t>parentheses</w:t>
            </w:r>
          </w:p>
        </w:tc>
        <w:tc>
          <w:tcPr>
            <w:tcW w:w="0" w:type="auto"/>
            <w:vAlign w:val="center"/>
          </w:tcPr>
          <w:p w:rsidR="005F78FC" w:rsidRDefault="00B42EF3">
            <w:pPr>
              <w:pStyle w:val="TableBodyText"/>
            </w:pPr>
            <w:r>
              <w:t>prefix</w:t>
            </w:r>
          </w:p>
        </w:tc>
        <w:tc>
          <w:tcPr>
            <w:tcW w:w="0" w:type="auto"/>
            <w:vAlign w:val="center"/>
          </w:tcPr>
          <w:p w:rsidR="005F78FC" w:rsidRDefault="00B42EF3">
            <w:pPr>
              <w:pStyle w:val="TableBodyText"/>
            </w:pPr>
            <w:r>
              <w:t>protect</w:t>
            </w:r>
          </w:p>
        </w:tc>
        <w:tc>
          <w:tcPr>
            <w:tcW w:w="0" w:type="auto"/>
            <w:vAlign w:val="center"/>
          </w:tcPr>
          <w:p w:rsidR="005F78FC" w:rsidRDefault="00B42EF3">
            <w:pPr>
              <w:pStyle w:val="TableBodyText"/>
            </w:pPr>
            <w:r>
              <w:t>sətir</w:t>
            </w:r>
          </w:p>
        </w:tc>
        <w:tc>
          <w:tcPr>
            <w:tcW w:w="0" w:type="auto"/>
            <w:vAlign w:val="center"/>
          </w:tcPr>
          <w:p w:rsidR="005F78FC" w:rsidRDefault="00B42EF3">
            <w:pPr>
              <w:pStyle w:val="TableBodyText"/>
            </w:pPr>
            <w:r>
              <w:t>Vərəq</w:t>
            </w:r>
          </w:p>
        </w:tc>
        <w:tc>
          <w:tcPr>
            <w:tcW w:w="0" w:type="auto"/>
            <w:vAlign w:val="center"/>
          </w:tcPr>
          <w:p w:rsidR="005F78FC" w:rsidRDefault="00B42EF3">
            <w:pPr>
              <w:pStyle w:val="TableBodyText"/>
            </w:pPr>
            <w:r>
              <w:t>tip</w:t>
            </w:r>
          </w:p>
        </w:tc>
        <w:tc>
          <w:tcPr>
            <w:tcW w:w="0" w:type="auto"/>
            <w:vAlign w:val="center"/>
          </w:tcPr>
          <w:p w:rsidR="005F78FC" w:rsidRDefault="00B42EF3">
            <w:pPr>
              <w:pStyle w:val="TableBodyText"/>
            </w:pPr>
            <w:r>
              <w:t>en</w:t>
            </w:r>
          </w:p>
        </w:tc>
      </w:tr>
      <w:tr w:rsidR="005F78FC" w:rsidTr="005F78FC">
        <w:tc>
          <w:tcPr>
            <w:tcW w:w="0" w:type="auto"/>
            <w:vAlign w:val="center"/>
          </w:tcPr>
          <w:p w:rsidR="005F78FC" w:rsidRDefault="00B42EF3">
            <w:pPr>
              <w:pStyle w:val="TableBodyText"/>
            </w:pPr>
            <w:r>
              <w:t>ca-es</w:t>
            </w:r>
          </w:p>
        </w:tc>
        <w:tc>
          <w:tcPr>
            <w:tcW w:w="0" w:type="auto"/>
            <w:vAlign w:val="center"/>
          </w:tcPr>
          <w:p w:rsidR="005F78FC" w:rsidRDefault="00B42EF3">
            <w:pPr>
              <w:pStyle w:val="TableBodyText"/>
            </w:pPr>
            <w:r>
              <w:t>parentesis</w:t>
            </w:r>
          </w:p>
        </w:tc>
        <w:tc>
          <w:tcPr>
            <w:tcW w:w="0" w:type="auto"/>
            <w:vAlign w:val="center"/>
          </w:tcPr>
          <w:p w:rsidR="005F78FC" w:rsidRDefault="00B42EF3">
            <w:pPr>
              <w:pStyle w:val="TableBodyText"/>
            </w:pPr>
            <w:r>
              <w:t>prefijo</w:t>
            </w:r>
          </w:p>
        </w:tc>
        <w:tc>
          <w:tcPr>
            <w:tcW w:w="0" w:type="auto"/>
            <w:vAlign w:val="center"/>
          </w:tcPr>
          <w:p w:rsidR="005F78FC" w:rsidRDefault="00B42EF3">
            <w:pPr>
              <w:pStyle w:val="TableBodyText"/>
            </w:pPr>
            <w:r>
              <w:t>proteger</w:t>
            </w:r>
          </w:p>
        </w:tc>
        <w:tc>
          <w:tcPr>
            <w:tcW w:w="0" w:type="auto"/>
            <w:vAlign w:val="center"/>
          </w:tcPr>
          <w:p w:rsidR="005F78FC" w:rsidRDefault="00B42EF3">
            <w:pPr>
              <w:pStyle w:val="TableBodyText"/>
            </w:pPr>
            <w:r>
              <w:t>fila</w:t>
            </w:r>
          </w:p>
        </w:tc>
        <w:tc>
          <w:tcPr>
            <w:tcW w:w="0" w:type="auto"/>
            <w:vAlign w:val="center"/>
          </w:tcPr>
          <w:p w:rsidR="005F78FC" w:rsidRDefault="00B42EF3">
            <w:pPr>
              <w:pStyle w:val="TableBodyText"/>
            </w:pPr>
            <w:r>
              <w:t>hoja</w:t>
            </w:r>
          </w:p>
        </w:tc>
        <w:tc>
          <w:tcPr>
            <w:tcW w:w="0" w:type="auto"/>
            <w:vAlign w:val="center"/>
          </w:tcPr>
          <w:p w:rsidR="005F78FC" w:rsidRDefault="00B42EF3">
            <w:pPr>
              <w:pStyle w:val="TableBodyText"/>
            </w:pPr>
            <w:r>
              <w:t>tipo</w:t>
            </w:r>
          </w:p>
        </w:tc>
        <w:tc>
          <w:tcPr>
            <w:tcW w:w="0" w:type="auto"/>
            <w:vAlign w:val="center"/>
          </w:tcPr>
          <w:p w:rsidR="005F78FC" w:rsidRDefault="00B42EF3">
            <w:pPr>
              <w:pStyle w:val="TableBodyText"/>
            </w:pPr>
            <w:r>
              <w:t>ancho</w:t>
            </w:r>
          </w:p>
        </w:tc>
      </w:tr>
      <w:tr w:rsidR="005F78FC" w:rsidTr="005F78FC">
        <w:tc>
          <w:tcPr>
            <w:tcW w:w="0" w:type="auto"/>
            <w:vAlign w:val="center"/>
          </w:tcPr>
          <w:p w:rsidR="005F78FC" w:rsidRDefault="00B42EF3">
            <w:pPr>
              <w:pStyle w:val="TableBodyText"/>
            </w:pPr>
            <w:r>
              <w:t>cs-cz</w:t>
            </w:r>
          </w:p>
        </w:tc>
        <w:tc>
          <w:tcPr>
            <w:tcW w:w="0" w:type="auto"/>
            <w:vAlign w:val="center"/>
          </w:tcPr>
          <w:p w:rsidR="005F78FC" w:rsidRDefault="00B42EF3">
            <w:pPr>
              <w:pStyle w:val="TableBodyText"/>
            </w:pPr>
            <w:r>
              <w:t>závorky</w:t>
            </w:r>
          </w:p>
        </w:tc>
        <w:tc>
          <w:tcPr>
            <w:tcW w:w="0" w:type="auto"/>
            <w:vAlign w:val="center"/>
          </w:tcPr>
          <w:p w:rsidR="005F78FC" w:rsidRDefault="00B42EF3">
            <w:pPr>
              <w:pStyle w:val="TableBodyText"/>
            </w:pPr>
            <w:r>
              <w:t>prefix</w:t>
            </w:r>
          </w:p>
        </w:tc>
        <w:tc>
          <w:tcPr>
            <w:tcW w:w="0" w:type="auto"/>
            <w:vAlign w:val="center"/>
          </w:tcPr>
          <w:p w:rsidR="005F78FC" w:rsidRDefault="00B42EF3">
            <w:pPr>
              <w:pStyle w:val="TableBodyText"/>
            </w:pPr>
            <w:r>
              <w:t>zámek</w:t>
            </w:r>
          </w:p>
        </w:tc>
        <w:tc>
          <w:tcPr>
            <w:tcW w:w="0" w:type="auto"/>
            <w:vAlign w:val="center"/>
          </w:tcPr>
          <w:p w:rsidR="005F78FC" w:rsidRDefault="00B42EF3">
            <w:pPr>
              <w:pStyle w:val="TableBodyText"/>
            </w:pPr>
            <w:r>
              <w:t>řádek</w:t>
            </w:r>
          </w:p>
        </w:tc>
        <w:tc>
          <w:tcPr>
            <w:tcW w:w="0" w:type="auto"/>
            <w:vAlign w:val="center"/>
          </w:tcPr>
          <w:p w:rsidR="005F78FC" w:rsidRDefault="00B42EF3">
            <w:pPr>
              <w:pStyle w:val="TableBodyText"/>
            </w:pPr>
            <w:r>
              <w:t>list</w:t>
            </w:r>
          </w:p>
        </w:tc>
        <w:tc>
          <w:tcPr>
            <w:tcW w:w="0" w:type="auto"/>
            <w:vAlign w:val="center"/>
          </w:tcPr>
          <w:p w:rsidR="005F78FC" w:rsidRDefault="00B42EF3">
            <w:pPr>
              <w:pStyle w:val="TableBodyText"/>
            </w:pPr>
            <w:r>
              <w:t>typ</w:t>
            </w:r>
          </w:p>
        </w:tc>
        <w:tc>
          <w:tcPr>
            <w:tcW w:w="0" w:type="auto"/>
            <w:vAlign w:val="center"/>
          </w:tcPr>
          <w:p w:rsidR="005F78FC" w:rsidRDefault="00B42EF3">
            <w:pPr>
              <w:pStyle w:val="TableBodyText"/>
            </w:pPr>
            <w:r>
              <w:t>šířka</w:t>
            </w:r>
          </w:p>
        </w:tc>
      </w:tr>
      <w:tr w:rsidR="005F78FC" w:rsidTr="005F78FC">
        <w:tc>
          <w:tcPr>
            <w:tcW w:w="0" w:type="auto"/>
            <w:vAlign w:val="center"/>
          </w:tcPr>
          <w:p w:rsidR="005F78FC" w:rsidRDefault="00B42EF3">
            <w:pPr>
              <w:pStyle w:val="TableBodyText"/>
            </w:pPr>
            <w:r>
              <w:t>da-dk</w:t>
            </w:r>
          </w:p>
        </w:tc>
        <w:tc>
          <w:tcPr>
            <w:tcW w:w="0" w:type="auto"/>
            <w:vAlign w:val="center"/>
          </w:tcPr>
          <w:p w:rsidR="005F78FC" w:rsidRDefault="00B42EF3">
            <w:pPr>
              <w:pStyle w:val="TableBodyText"/>
            </w:pPr>
            <w:r>
              <w:t>parenteser</w:t>
            </w:r>
          </w:p>
        </w:tc>
        <w:tc>
          <w:tcPr>
            <w:tcW w:w="0" w:type="auto"/>
            <w:vAlign w:val="center"/>
          </w:tcPr>
          <w:p w:rsidR="005F78FC" w:rsidRDefault="00B42EF3">
            <w:pPr>
              <w:pStyle w:val="TableBodyText"/>
            </w:pPr>
            <w:r>
              <w:t>foranstillet</w:t>
            </w:r>
          </w:p>
        </w:tc>
        <w:tc>
          <w:tcPr>
            <w:tcW w:w="0" w:type="auto"/>
            <w:vAlign w:val="center"/>
          </w:tcPr>
          <w:p w:rsidR="005F78FC" w:rsidRDefault="00B42EF3">
            <w:pPr>
              <w:pStyle w:val="TableBodyText"/>
            </w:pPr>
            <w:r>
              <w:t>beskyt</w:t>
            </w:r>
          </w:p>
        </w:tc>
        <w:tc>
          <w:tcPr>
            <w:tcW w:w="0" w:type="auto"/>
            <w:vAlign w:val="center"/>
          </w:tcPr>
          <w:p w:rsidR="005F78FC" w:rsidRDefault="00B42EF3">
            <w:pPr>
              <w:pStyle w:val="TableBodyText"/>
            </w:pPr>
            <w:r>
              <w:t>række</w:t>
            </w:r>
          </w:p>
        </w:tc>
        <w:tc>
          <w:tcPr>
            <w:tcW w:w="0" w:type="auto"/>
            <w:vAlign w:val="center"/>
          </w:tcPr>
          <w:p w:rsidR="005F78FC" w:rsidRDefault="00B42EF3">
            <w:pPr>
              <w:pStyle w:val="TableBodyText"/>
            </w:pPr>
            <w:r>
              <w:t>ark</w:t>
            </w:r>
          </w:p>
        </w:tc>
        <w:tc>
          <w:tcPr>
            <w:tcW w:w="0" w:type="auto"/>
            <w:vAlign w:val="center"/>
          </w:tcPr>
          <w:p w:rsidR="005F78FC" w:rsidRDefault="00B42EF3">
            <w:pPr>
              <w:pStyle w:val="TableBodyText"/>
            </w:pPr>
            <w:r>
              <w:t>værditype</w:t>
            </w:r>
          </w:p>
        </w:tc>
        <w:tc>
          <w:tcPr>
            <w:tcW w:w="0" w:type="auto"/>
            <w:vAlign w:val="center"/>
          </w:tcPr>
          <w:p w:rsidR="005F78FC" w:rsidRDefault="00B42EF3">
            <w:pPr>
              <w:pStyle w:val="TableBodyText"/>
            </w:pPr>
            <w:r>
              <w:t>bredde</w:t>
            </w:r>
          </w:p>
        </w:tc>
      </w:tr>
      <w:tr w:rsidR="005F78FC" w:rsidTr="005F78FC">
        <w:tc>
          <w:tcPr>
            <w:tcW w:w="0" w:type="auto"/>
            <w:vAlign w:val="center"/>
          </w:tcPr>
          <w:p w:rsidR="005F78FC" w:rsidRDefault="00B42EF3">
            <w:pPr>
              <w:pStyle w:val="TableBodyText"/>
            </w:pPr>
            <w:r>
              <w:lastRenderedPageBreak/>
              <w:t>de-de</w:t>
            </w:r>
          </w:p>
        </w:tc>
        <w:tc>
          <w:tcPr>
            <w:tcW w:w="0" w:type="auto"/>
            <w:vAlign w:val="center"/>
          </w:tcPr>
          <w:p w:rsidR="005F78FC" w:rsidRDefault="00B42EF3">
            <w:pPr>
              <w:pStyle w:val="TableBodyText"/>
            </w:pPr>
            <w:r>
              <w:t>klammern</w:t>
            </w:r>
          </w:p>
        </w:tc>
        <w:tc>
          <w:tcPr>
            <w:tcW w:w="0" w:type="auto"/>
            <w:vAlign w:val="center"/>
          </w:tcPr>
          <w:p w:rsidR="005F78FC" w:rsidRDefault="00B42EF3">
            <w:pPr>
              <w:pStyle w:val="TableBodyText"/>
            </w:pPr>
            <w:r>
              <w:t>präfix</w:t>
            </w:r>
          </w:p>
        </w:tc>
        <w:tc>
          <w:tcPr>
            <w:tcW w:w="0" w:type="auto"/>
            <w:vAlign w:val="center"/>
          </w:tcPr>
          <w:p w:rsidR="005F78FC" w:rsidRDefault="00B42EF3">
            <w:pPr>
              <w:pStyle w:val="TableBodyText"/>
            </w:pPr>
            <w:r>
              <w:t>schutz</w:t>
            </w:r>
          </w:p>
        </w:tc>
        <w:tc>
          <w:tcPr>
            <w:tcW w:w="0" w:type="auto"/>
            <w:vAlign w:val="center"/>
          </w:tcPr>
          <w:p w:rsidR="005F78FC" w:rsidRDefault="00B42EF3">
            <w:pPr>
              <w:pStyle w:val="TableBodyText"/>
            </w:pPr>
            <w:r>
              <w:t>zeile</w:t>
            </w:r>
          </w:p>
        </w:tc>
        <w:tc>
          <w:tcPr>
            <w:tcW w:w="0" w:type="auto"/>
            <w:vAlign w:val="center"/>
          </w:tcPr>
          <w:p w:rsidR="005F78FC" w:rsidRDefault="00B42EF3">
            <w:pPr>
              <w:pStyle w:val="TableBodyText"/>
            </w:pPr>
            <w:r>
              <w:t>blatt</w:t>
            </w:r>
          </w:p>
        </w:tc>
        <w:tc>
          <w:tcPr>
            <w:tcW w:w="0" w:type="auto"/>
            <w:vAlign w:val="center"/>
          </w:tcPr>
          <w:p w:rsidR="005F78FC" w:rsidRDefault="00B42EF3">
            <w:pPr>
              <w:pStyle w:val="TableBodyText"/>
            </w:pPr>
            <w:r>
              <w:t>typ</w:t>
            </w:r>
          </w:p>
        </w:tc>
        <w:tc>
          <w:tcPr>
            <w:tcW w:w="0" w:type="auto"/>
            <w:vAlign w:val="center"/>
          </w:tcPr>
          <w:p w:rsidR="005F78FC" w:rsidRDefault="00B42EF3">
            <w:pPr>
              <w:pStyle w:val="TableBodyText"/>
            </w:pPr>
            <w:r>
              <w:t>breite</w:t>
            </w:r>
          </w:p>
        </w:tc>
      </w:tr>
      <w:tr w:rsidR="005F78FC" w:rsidTr="005F78FC">
        <w:tc>
          <w:tcPr>
            <w:tcW w:w="0" w:type="auto"/>
            <w:vAlign w:val="center"/>
          </w:tcPr>
          <w:p w:rsidR="005F78FC" w:rsidRDefault="00B42EF3">
            <w:pPr>
              <w:pStyle w:val="TableBodyText"/>
            </w:pPr>
            <w:r>
              <w:t>es-es</w:t>
            </w:r>
          </w:p>
        </w:tc>
        <w:tc>
          <w:tcPr>
            <w:tcW w:w="0" w:type="auto"/>
            <w:vAlign w:val="center"/>
          </w:tcPr>
          <w:p w:rsidR="005F78FC" w:rsidRDefault="00B42EF3">
            <w:pPr>
              <w:pStyle w:val="TableBodyText"/>
            </w:pPr>
            <w:r>
              <w:t>parentesis</w:t>
            </w:r>
          </w:p>
        </w:tc>
        <w:tc>
          <w:tcPr>
            <w:tcW w:w="0" w:type="auto"/>
            <w:vAlign w:val="center"/>
          </w:tcPr>
          <w:p w:rsidR="005F78FC" w:rsidRDefault="00B42EF3">
            <w:pPr>
              <w:pStyle w:val="TableBodyText"/>
            </w:pPr>
            <w:r>
              <w:t>prefijo</w:t>
            </w:r>
          </w:p>
        </w:tc>
        <w:tc>
          <w:tcPr>
            <w:tcW w:w="0" w:type="auto"/>
            <w:vAlign w:val="center"/>
          </w:tcPr>
          <w:p w:rsidR="005F78FC" w:rsidRDefault="00B42EF3">
            <w:pPr>
              <w:pStyle w:val="TableBodyText"/>
            </w:pPr>
            <w:r>
              <w:t>proteger</w:t>
            </w:r>
          </w:p>
        </w:tc>
        <w:tc>
          <w:tcPr>
            <w:tcW w:w="0" w:type="auto"/>
            <w:vAlign w:val="center"/>
          </w:tcPr>
          <w:p w:rsidR="005F78FC" w:rsidRDefault="00B42EF3">
            <w:pPr>
              <w:pStyle w:val="TableBodyText"/>
            </w:pPr>
            <w:r>
              <w:t>fila</w:t>
            </w:r>
          </w:p>
        </w:tc>
        <w:tc>
          <w:tcPr>
            <w:tcW w:w="0" w:type="auto"/>
            <w:vAlign w:val="center"/>
          </w:tcPr>
          <w:p w:rsidR="005F78FC" w:rsidRDefault="00B42EF3">
            <w:pPr>
              <w:pStyle w:val="TableBodyText"/>
            </w:pPr>
            <w:r>
              <w:t>hoja</w:t>
            </w:r>
          </w:p>
        </w:tc>
        <w:tc>
          <w:tcPr>
            <w:tcW w:w="0" w:type="auto"/>
            <w:vAlign w:val="center"/>
          </w:tcPr>
          <w:p w:rsidR="005F78FC" w:rsidRDefault="00B42EF3">
            <w:pPr>
              <w:pStyle w:val="TableBodyText"/>
            </w:pPr>
            <w:r>
              <w:t>tipo</w:t>
            </w:r>
          </w:p>
        </w:tc>
        <w:tc>
          <w:tcPr>
            <w:tcW w:w="0" w:type="auto"/>
            <w:vAlign w:val="center"/>
          </w:tcPr>
          <w:p w:rsidR="005F78FC" w:rsidRDefault="00B42EF3">
            <w:pPr>
              <w:pStyle w:val="TableBodyText"/>
            </w:pPr>
            <w:r>
              <w:t>ancho</w:t>
            </w:r>
          </w:p>
        </w:tc>
      </w:tr>
      <w:tr w:rsidR="005F78FC" w:rsidTr="005F78FC">
        <w:tc>
          <w:tcPr>
            <w:tcW w:w="0" w:type="auto"/>
            <w:vAlign w:val="center"/>
          </w:tcPr>
          <w:p w:rsidR="005F78FC" w:rsidRDefault="00B42EF3">
            <w:pPr>
              <w:pStyle w:val="TableBodyText"/>
            </w:pPr>
            <w:r>
              <w:t>et-ee</w:t>
            </w:r>
          </w:p>
        </w:tc>
        <w:tc>
          <w:tcPr>
            <w:tcW w:w="0" w:type="auto"/>
            <w:vAlign w:val="center"/>
          </w:tcPr>
          <w:p w:rsidR="005F78FC" w:rsidRDefault="00B42EF3">
            <w:pPr>
              <w:pStyle w:val="TableBodyText"/>
            </w:pPr>
            <w:r>
              <w:t>sulud</w:t>
            </w:r>
          </w:p>
        </w:tc>
        <w:tc>
          <w:tcPr>
            <w:tcW w:w="0" w:type="auto"/>
            <w:vAlign w:val="center"/>
          </w:tcPr>
          <w:p w:rsidR="005F78FC" w:rsidRDefault="00B42EF3">
            <w:pPr>
              <w:pStyle w:val="TableBodyText"/>
            </w:pPr>
            <w:r>
              <w:t>eesliide</w:t>
            </w:r>
          </w:p>
        </w:tc>
        <w:tc>
          <w:tcPr>
            <w:tcW w:w="0" w:type="auto"/>
            <w:vAlign w:val="center"/>
          </w:tcPr>
          <w:p w:rsidR="005F78FC" w:rsidRDefault="00B42EF3">
            <w:pPr>
              <w:pStyle w:val="TableBodyText"/>
            </w:pPr>
            <w:r>
              <w:t>kaitse</w:t>
            </w:r>
          </w:p>
        </w:tc>
        <w:tc>
          <w:tcPr>
            <w:tcW w:w="0" w:type="auto"/>
            <w:vAlign w:val="center"/>
          </w:tcPr>
          <w:p w:rsidR="005F78FC" w:rsidRDefault="00B42EF3">
            <w:pPr>
              <w:pStyle w:val="TableBodyText"/>
            </w:pPr>
            <w:r>
              <w:t>rida</w:t>
            </w:r>
          </w:p>
        </w:tc>
        <w:tc>
          <w:tcPr>
            <w:tcW w:w="0" w:type="auto"/>
            <w:vAlign w:val="center"/>
          </w:tcPr>
          <w:p w:rsidR="005F78FC" w:rsidRDefault="00B42EF3">
            <w:pPr>
              <w:pStyle w:val="TableBodyText"/>
            </w:pPr>
            <w:r>
              <w:t>leht</w:t>
            </w:r>
          </w:p>
        </w:tc>
        <w:tc>
          <w:tcPr>
            <w:tcW w:w="0" w:type="auto"/>
            <w:vAlign w:val="center"/>
          </w:tcPr>
          <w:p w:rsidR="005F78FC" w:rsidRDefault="00B42EF3">
            <w:pPr>
              <w:pStyle w:val="TableBodyText"/>
            </w:pPr>
            <w:r>
              <w:t>tüüp</w:t>
            </w:r>
          </w:p>
        </w:tc>
        <w:tc>
          <w:tcPr>
            <w:tcW w:w="0" w:type="auto"/>
            <w:vAlign w:val="center"/>
          </w:tcPr>
          <w:p w:rsidR="005F78FC" w:rsidRDefault="00B42EF3">
            <w:pPr>
              <w:pStyle w:val="TableBodyText"/>
            </w:pPr>
            <w:r>
              <w:t>laius</w:t>
            </w:r>
          </w:p>
        </w:tc>
      </w:tr>
      <w:tr w:rsidR="005F78FC" w:rsidTr="005F78FC">
        <w:tc>
          <w:tcPr>
            <w:tcW w:w="0" w:type="auto"/>
            <w:vAlign w:val="center"/>
          </w:tcPr>
          <w:p w:rsidR="005F78FC" w:rsidRDefault="00B42EF3">
            <w:pPr>
              <w:pStyle w:val="TableBodyText"/>
            </w:pPr>
            <w:r>
              <w:t>fi-fi</w:t>
            </w:r>
          </w:p>
        </w:tc>
        <w:tc>
          <w:tcPr>
            <w:tcW w:w="0" w:type="auto"/>
            <w:vAlign w:val="center"/>
          </w:tcPr>
          <w:p w:rsidR="005F78FC" w:rsidRDefault="00B42EF3">
            <w:pPr>
              <w:pStyle w:val="TableBodyText"/>
            </w:pPr>
            <w:r>
              <w:t>sulkeet</w:t>
            </w:r>
          </w:p>
        </w:tc>
        <w:tc>
          <w:tcPr>
            <w:tcW w:w="0" w:type="auto"/>
            <w:vAlign w:val="center"/>
          </w:tcPr>
          <w:p w:rsidR="005F78FC" w:rsidRDefault="00B42EF3">
            <w:pPr>
              <w:pStyle w:val="TableBodyText"/>
            </w:pPr>
            <w:r>
              <w:t>etuliite</w:t>
            </w:r>
          </w:p>
        </w:tc>
        <w:tc>
          <w:tcPr>
            <w:tcW w:w="0" w:type="auto"/>
            <w:vAlign w:val="center"/>
          </w:tcPr>
          <w:p w:rsidR="005F78FC" w:rsidRDefault="00B42EF3">
            <w:pPr>
              <w:pStyle w:val="TableBodyText"/>
            </w:pPr>
            <w:r>
              <w:t>suojaus</w:t>
            </w:r>
          </w:p>
        </w:tc>
        <w:tc>
          <w:tcPr>
            <w:tcW w:w="0" w:type="auto"/>
            <w:vAlign w:val="center"/>
          </w:tcPr>
          <w:p w:rsidR="005F78FC" w:rsidRDefault="00B42EF3">
            <w:pPr>
              <w:pStyle w:val="TableBodyText"/>
            </w:pPr>
            <w:r>
              <w:t>rivi</w:t>
            </w:r>
          </w:p>
        </w:tc>
        <w:tc>
          <w:tcPr>
            <w:tcW w:w="0" w:type="auto"/>
            <w:vAlign w:val="center"/>
          </w:tcPr>
          <w:p w:rsidR="005F78FC" w:rsidRDefault="00B42EF3">
            <w:pPr>
              <w:pStyle w:val="TableBodyText"/>
            </w:pPr>
            <w:r>
              <w:t>taulukko</w:t>
            </w:r>
          </w:p>
        </w:tc>
        <w:tc>
          <w:tcPr>
            <w:tcW w:w="0" w:type="auto"/>
            <w:vAlign w:val="center"/>
          </w:tcPr>
          <w:p w:rsidR="005F78FC" w:rsidRDefault="00B42EF3">
            <w:pPr>
              <w:pStyle w:val="TableBodyText"/>
            </w:pPr>
            <w:r>
              <w:t>tyyppi</w:t>
            </w:r>
          </w:p>
        </w:tc>
        <w:tc>
          <w:tcPr>
            <w:tcW w:w="0" w:type="auto"/>
            <w:vAlign w:val="center"/>
          </w:tcPr>
          <w:p w:rsidR="005F78FC" w:rsidRDefault="00B42EF3">
            <w:pPr>
              <w:pStyle w:val="TableBodyText"/>
            </w:pPr>
            <w:r>
              <w:t>leveys</w:t>
            </w:r>
          </w:p>
        </w:tc>
      </w:tr>
      <w:tr w:rsidR="005F78FC" w:rsidTr="005F78FC">
        <w:tc>
          <w:tcPr>
            <w:tcW w:w="0" w:type="auto"/>
            <w:vAlign w:val="center"/>
          </w:tcPr>
          <w:p w:rsidR="005F78FC" w:rsidRDefault="00B42EF3">
            <w:pPr>
              <w:pStyle w:val="TableBodyText"/>
            </w:pPr>
            <w:r>
              <w:t>fr-fr</w:t>
            </w:r>
          </w:p>
        </w:tc>
        <w:tc>
          <w:tcPr>
            <w:tcW w:w="0" w:type="auto"/>
            <w:vAlign w:val="center"/>
          </w:tcPr>
          <w:p w:rsidR="005F78FC" w:rsidRDefault="00B42EF3">
            <w:pPr>
              <w:pStyle w:val="TableBodyText"/>
            </w:pPr>
            <w:r>
              <w:t>parentheses</w:t>
            </w:r>
          </w:p>
        </w:tc>
        <w:tc>
          <w:tcPr>
            <w:tcW w:w="0" w:type="auto"/>
            <w:vAlign w:val="center"/>
          </w:tcPr>
          <w:p w:rsidR="005F78FC" w:rsidRDefault="00B42EF3">
            <w:pPr>
              <w:pStyle w:val="TableBodyText"/>
            </w:pPr>
            <w:r>
              <w:t>prefixe</w:t>
            </w:r>
          </w:p>
        </w:tc>
        <w:tc>
          <w:tcPr>
            <w:tcW w:w="0" w:type="auto"/>
            <w:vAlign w:val="center"/>
          </w:tcPr>
          <w:p w:rsidR="005F78FC" w:rsidRDefault="00B42EF3">
            <w:pPr>
              <w:pStyle w:val="TableBodyText"/>
            </w:pPr>
            <w:r>
              <w:t>protege</w:t>
            </w:r>
          </w:p>
        </w:tc>
        <w:tc>
          <w:tcPr>
            <w:tcW w:w="0" w:type="auto"/>
            <w:vAlign w:val="center"/>
          </w:tcPr>
          <w:p w:rsidR="005F78FC" w:rsidRDefault="00B42EF3">
            <w:pPr>
              <w:pStyle w:val="TableBodyText"/>
            </w:pPr>
            <w:r>
              <w:t>ligne</w:t>
            </w:r>
          </w:p>
        </w:tc>
        <w:tc>
          <w:tcPr>
            <w:tcW w:w="0" w:type="auto"/>
            <w:vAlign w:val="center"/>
          </w:tcPr>
          <w:p w:rsidR="005F78FC" w:rsidRDefault="00B42EF3">
            <w:pPr>
              <w:pStyle w:val="TableBodyText"/>
            </w:pPr>
            <w:r>
              <w:t>feuille</w:t>
            </w:r>
          </w:p>
        </w:tc>
        <w:tc>
          <w:tcPr>
            <w:tcW w:w="0" w:type="auto"/>
            <w:vAlign w:val="center"/>
          </w:tcPr>
          <w:p w:rsidR="005F78FC" w:rsidRDefault="00B42EF3">
            <w:pPr>
              <w:pStyle w:val="TableBodyText"/>
            </w:pPr>
            <w:r>
              <w:t>type</w:t>
            </w:r>
          </w:p>
        </w:tc>
        <w:tc>
          <w:tcPr>
            <w:tcW w:w="0" w:type="auto"/>
            <w:vAlign w:val="center"/>
          </w:tcPr>
          <w:p w:rsidR="005F78FC" w:rsidRDefault="00B42EF3">
            <w:pPr>
              <w:pStyle w:val="TableBodyText"/>
            </w:pPr>
            <w:r>
              <w:t>largeur</w:t>
            </w:r>
          </w:p>
        </w:tc>
      </w:tr>
      <w:tr w:rsidR="005F78FC" w:rsidTr="005F78FC">
        <w:tc>
          <w:tcPr>
            <w:tcW w:w="0" w:type="auto"/>
            <w:vAlign w:val="center"/>
          </w:tcPr>
          <w:p w:rsidR="005F78FC" w:rsidRDefault="00B42EF3">
            <w:pPr>
              <w:pStyle w:val="TableBodyText"/>
            </w:pPr>
            <w:r>
              <w:t>hu-hu</w:t>
            </w:r>
          </w:p>
        </w:tc>
        <w:tc>
          <w:tcPr>
            <w:tcW w:w="0" w:type="auto"/>
            <w:vAlign w:val="center"/>
          </w:tcPr>
          <w:p w:rsidR="005F78FC" w:rsidRDefault="00B42EF3">
            <w:pPr>
              <w:pStyle w:val="TableBodyText"/>
            </w:pPr>
            <w:r>
              <w:t>zárójelek</w:t>
            </w:r>
          </w:p>
        </w:tc>
        <w:tc>
          <w:tcPr>
            <w:tcW w:w="0" w:type="auto"/>
            <w:vAlign w:val="center"/>
          </w:tcPr>
          <w:p w:rsidR="005F78FC" w:rsidRDefault="00B42EF3">
            <w:pPr>
              <w:pStyle w:val="TableBodyText"/>
            </w:pPr>
            <w:r>
              <w:t>előtag</w:t>
            </w:r>
          </w:p>
        </w:tc>
        <w:tc>
          <w:tcPr>
            <w:tcW w:w="0" w:type="auto"/>
            <w:vAlign w:val="center"/>
          </w:tcPr>
          <w:p w:rsidR="005F78FC" w:rsidRDefault="00B42EF3">
            <w:pPr>
              <w:pStyle w:val="TableBodyText"/>
            </w:pPr>
            <w:r>
              <w:t>védett</w:t>
            </w:r>
          </w:p>
        </w:tc>
        <w:tc>
          <w:tcPr>
            <w:tcW w:w="0" w:type="auto"/>
            <w:vAlign w:val="center"/>
          </w:tcPr>
          <w:p w:rsidR="005F78FC" w:rsidRDefault="00B42EF3">
            <w:pPr>
              <w:pStyle w:val="TableBodyText"/>
            </w:pPr>
            <w:r>
              <w:t>sor</w:t>
            </w:r>
          </w:p>
        </w:tc>
        <w:tc>
          <w:tcPr>
            <w:tcW w:w="0" w:type="auto"/>
            <w:vAlign w:val="center"/>
          </w:tcPr>
          <w:p w:rsidR="005F78FC" w:rsidRDefault="00B42EF3">
            <w:pPr>
              <w:pStyle w:val="TableBodyText"/>
            </w:pPr>
            <w:r>
              <w:t>lap</w:t>
            </w:r>
          </w:p>
        </w:tc>
        <w:tc>
          <w:tcPr>
            <w:tcW w:w="0" w:type="auto"/>
            <w:vAlign w:val="center"/>
          </w:tcPr>
          <w:p w:rsidR="005F78FC" w:rsidRDefault="00B42EF3">
            <w:pPr>
              <w:pStyle w:val="TableBodyText"/>
            </w:pPr>
            <w:r>
              <w:t>típus</w:t>
            </w:r>
          </w:p>
        </w:tc>
        <w:tc>
          <w:tcPr>
            <w:tcW w:w="0" w:type="auto"/>
            <w:vAlign w:val="center"/>
          </w:tcPr>
          <w:p w:rsidR="005F78FC" w:rsidRDefault="00B42EF3">
            <w:pPr>
              <w:pStyle w:val="TableBodyText"/>
            </w:pPr>
            <w:r>
              <w:t>széles</w:t>
            </w:r>
          </w:p>
        </w:tc>
      </w:tr>
      <w:tr w:rsidR="005F78FC" w:rsidTr="005F78FC">
        <w:tc>
          <w:tcPr>
            <w:tcW w:w="0" w:type="auto"/>
            <w:vAlign w:val="center"/>
          </w:tcPr>
          <w:p w:rsidR="005F78FC" w:rsidRDefault="00B42EF3">
            <w:pPr>
              <w:pStyle w:val="TableBodyText"/>
            </w:pPr>
            <w:r>
              <w:t>it-it</w:t>
            </w:r>
          </w:p>
        </w:tc>
        <w:tc>
          <w:tcPr>
            <w:tcW w:w="0" w:type="auto"/>
            <w:vAlign w:val="center"/>
          </w:tcPr>
          <w:p w:rsidR="005F78FC" w:rsidRDefault="00B42EF3">
            <w:pPr>
              <w:pStyle w:val="TableBodyText"/>
            </w:pPr>
            <w:r>
              <w:t>parentesi</w:t>
            </w:r>
          </w:p>
        </w:tc>
        <w:tc>
          <w:tcPr>
            <w:tcW w:w="0" w:type="auto"/>
            <w:vAlign w:val="center"/>
          </w:tcPr>
          <w:p w:rsidR="005F78FC" w:rsidRDefault="00B42EF3">
            <w:pPr>
              <w:pStyle w:val="TableBodyText"/>
            </w:pPr>
            <w:r>
              <w:t>prefisso</w:t>
            </w:r>
          </w:p>
        </w:tc>
        <w:tc>
          <w:tcPr>
            <w:tcW w:w="0" w:type="auto"/>
            <w:vAlign w:val="center"/>
          </w:tcPr>
          <w:p w:rsidR="005F78FC" w:rsidRDefault="00B42EF3">
            <w:pPr>
              <w:pStyle w:val="TableBodyText"/>
            </w:pPr>
            <w:r>
              <w:t>proteggi</w:t>
            </w:r>
          </w:p>
        </w:tc>
        <w:tc>
          <w:tcPr>
            <w:tcW w:w="0" w:type="auto"/>
            <w:vAlign w:val="center"/>
          </w:tcPr>
          <w:p w:rsidR="005F78FC" w:rsidRDefault="00B42EF3">
            <w:pPr>
              <w:pStyle w:val="TableBodyText"/>
            </w:pPr>
            <w:r>
              <w:t>riga</w:t>
            </w:r>
          </w:p>
        </w:tc>
        <w:tc>
          <w:tcPr>
            <w:tcW w:w="0" w:type="auto"/>
            <w:vAlign w:val="center"/>
          </w:tcPr>
          <w:p w:rsidR="005F78FC" w:rsidRDefault="00B42EF3">
            <w:pPr>
              <w:pStyle w:val="TableBodyText"/>
            </w:pPr>
            <w:r>
              <w:t>foglio</w:t>
            </w:r>
          </w:p>
        </w:tc>
        <w:tc>
          <w:tcPr>
            <w:tcW w:w="0" w:type="auto"/>
            <w:vAlign w:val="center"/>
          </w:tcPr>
          <w:p w:rsidR="005F78FC" w:rsidRDefault="00B42EF3">
            <w:pPr>
              <w:pStyle w:val="TableBodyText"/>
            </w:pPr>
            <w:r>
              <w:t>tipo</w:t>
            </w:r>
          </w:p>
        </w:tc>
        <w:tc>
          <w:tcPr>
            <w:tcW w:w="0" w:type="auto"/>
            <w:vAlign w:val="center"/>
          </w:tcPr>
          <w:p w:rsidR="005F78FC" w:rsidRDefault="00B42EF3">
            <w:pPr>
              <w:pStyle w:val="TableBodyText"/>
            </w:pPr>
            <w:r>
              <w:t>larghezza</w:t>
            </w:r>
          </w:p>
        </w:tc>
      </w:tr>
      <w:tr w:rsidR="005F78FC" w:rsidTr="005F78FC">
        <w:tc>
          <w:tcPr>
            <w:tcW w:w="0" w:type="auto"/>
            <w:vAlign w:val="center"/>
          </w:tcPr>
          <w:p w:rsidR="005F78FC" w:rsidRDefault="00B42EF3">
            <w:pPr>
              <w:pStyle w:val="TableBodyText"/>
            </w:pPr>
            <w:r>
              <w:t>kk-kz</w:t>
            </w:r>
          </w:p>
        </w:tc>
        <w:tc>
          <w:tcPr>
            <w:tcW w:w="0" w:type="auto"/>
            <w:vAlign w:val="center"/>
          </w:tcPr>
          <w:p w:rsidR="005F78FC" w:rsidRDefault="00B42EF3">
            <w:pPr>
              <w:pStyle w:val="TableBodyText"/>
            </w:pPr>
            <w:r>
              <w:t>жақшалар</w:t>
            </w:r>
          </w:p>
        </w:tc>
        <w:tc>
          <w:tcPr>
            <w:tcW w:w="0" w:type="auto"/>
            <w:vAlign w:val="center"/>
          </w:tcPr>
          <w:p w:rsidR="005F78FC" w:rsidRDefault="00B42EF3">
            <w:pPr>
              <w:pStyle w:val="TableBodyText"/>
            </w:pPr>
            <w:r>
              <w:t>префикс</w:t>
            </w:r>
          </w:p>
        </w:tc>
        <w:tc>
          <w:tcPr>
            <w:tcW w:w="0" w:type="auto"/>
            <w:vAlign w:val="center"/>
          </w:tcPr>
          <w:p w:rsidR="005F78FC" w:rsidRDefault="00B42EF3">
            <w:pPr>
              <w:pStyle w:val="TableBodyText"/>
            </w:pPr>
            <w:r>
              <w:t>қорғаныс</w:t>
            </w:r>
          </w:p>
        </w:tc>
        <w:tc>
          <w:tcPr>
            <w:tcW w:w="0" w:type="auto"/>
            <w:vAlign w:val="center"/>
          </w:tcPr>
          <w:p w:rsidR="005F78FC" w:rsidRDefault="00B42EF3">
            <w:pPr>
              <w:pStyle w:val="TableBodyText"/>
            </w:pPr>
            <w:r>
              <w:t>жол</w:t>
            </w:r>
          </w:p>
        </w:tc>
        <w:tc>
          <w:tcPr>
            <w:tcW w:w="0" w:type="auto"/>
            <w:vAlign w:val="center"/>
          </w:tcPr>
          <w:p w:rsidR="005F78FC" w:rsidRDefault="00B42EF3">
            <w:pPr>
              <w:pStyle w:val="TableBodyText"/>
            </w:pPr>
            <w:r>
              <w:t>ПАРАҚ</w:t>
            </w:r>
          </w:p>
          <w:p w:rsidR="005F78FC" w:rsidRDefault="005F78FC">
            <w:pPr>
              <w:pStyle w:val="TableBodyText"/>
            </w:pPr>
          </w:p>
        </w:tc>
        <w:tc>
          <w:tcPr>
            <w:tcW w:w="0" w:type="auto"/>
            <w:vAlign w:val="center"/>
          </w:tcPr>
          <w:p w:rsidR="005F78FC" w:rsidRDefault="00B42EF3">
            <w:pPr>
              <w:pStyle w:val="TableBodyText"/>
            </w:pPr>
            <w:r>
              <w:t>түр</w:t>
            </w:r>
          </w:p>
        </w:tc>
        <w:tc>
          <w:tcPr>
            <w:tcW w:w="0" w:type="auto"/>
            <w:vAlign w:val="center"/>
          </w:tcPr>
          <w:p w:rsidR="005F78FC" w:rsidRDefault="00B42EF3">
            <w:pPr>
              <w:pStyle w:val="TableBodyText"/>
            </w:pPr>
            <w:r>
              <w:t>ені</w:t>
            </w:r>
          </w:p>
        </w:tc>
      </w:tr>
      <w:tr w:rsidR="005F78FC" w:rsidTr="005F78FC">
        <w:tc>
          <w:tcPr>
            <w:tcW w:w="0" w:type="auto"/>
            <w:vAlign w:val="center"/>
          </w:tcPr>
          <w:p w:rsidR="005F78FC" w:rsidRDefault="00B42EF3">
            <w:pPr>
              <w:pStyle w:val="TableBodyText"/>
            </w:pPr>
            <w:r>
              <w:t>lv-lv</w:t>
            </w:r>
          </w:p>
        </w:tc>
        <w:tc>
          <w:tcPr>
            <w:tcW w:w="0" w:type="auto"/>
            <w:vAlign w:val="center"/>
          </w:tcPr>
          <w:p w:rsidR="005F78FC" w:rsidRDefault="00B42EF3">
            <w:pPr>
              <w:pStyle w:val="TableBodyText"/>
            </w:pPr>
            <w:r>
              <w:t>iekavas</w:t>
            </w:r>
          </w:p>
        </w:tc>
        <w:tc>
          <w:tcPr>
            <w:tcW w:w="0" w:type="auto"/>
            <w:vAlign w:val="center"/>
          </w:tcPr>
          <w:p w:rsidR="005F78FC" w:rsidRDefault="00B42EF3">
            <w:pPr>
              <w:pStyle w:val="TableBodyText"/>
            </w:pPr>
            <w:r>
              <w:t>prefikss</w:t>
            </w:r>
          </w:p>
        </w:tc>
        <w:tc>
          <w:tcPr>
            <w:tcW w:w="0" w:type="auto"/>
            <w:vAlign w:val="center"/>
          </w:tcPr>
          <w:p w:rsidR="005F78FC" w:rsidRDefault="00B42EF3">
            <w:pPr>
              <w:pStyle w:val="TableBodyText"/>
            </w:pPr>
            <w:r>
              <w:t>aizsargāt</w:t>
            </w:r>
          </w:p>
        </w:tc>
        <w:tc>
          <w:tcPr>
            <w:tcW w:w="0" w:type="auto"/>
            <w:vAlign w:val="center"/>
          </w:tcPr>
          <w:p w:rsidR="005F78FC" w:rsidRDefault="00B42EF3">
            <w:pPr>
              <w:pStyle w:val="TableBodyText"/>
            </w:pPr>
            <w:r>
              <w:t>rinda</w:t>
            </w:r>
          </w:p>
        </w:tc>
        <w:tc>
          <w:tcPr>
            <w:tcW w:w="0" w:type="auto"/>
            <w:vAlign w:val="center"/>
          </w:tcPr>
          <w:p w:rsidR="005F78FC" w:rsidRDefault="00B42EF3">
            <w:pPr>
              <w:pStyle w:val="TableBodyText"/>
            </w:pPr>
            <w:r>
              <w:t>lapa</w:t>
            </w:r>
          </w:p>
        </w:tc>
        <w:tc>
          <w:tcPr>
            <w:tcW w:w="0" w:type="auto"/>
            <w:vAlign w:val="center"/>
          </w:tcPr>
          <w:p w:rsidR="005F78FC" w:rsidRDefault="00B42EF3">
            <w:pPr>
              <w:pStyle w:val="TableBodyText"/>
            </w:pPr>
            <w:r>
              <w:t>tips</w:t>
            </w:r>
          </w:p>
        </w:tc>
        <w:tc>
          <w:tcPr>
            <w:tcW w:w="0" w:type="auto"/>
            <w:vAlign w:val="center"/>
          </w:tcPr>
          <w:p w:rsidR="005F78FC" w:rsidRDefault="00B42EF3">
            <w:pPr>
              <w:pStyle w:val="TableBodyText"/>
            </w:pPr>
            <w:r>
              <w:t>platums</w:t>
            </w:r>
          </w:p>
        </w:tc>
      </w:tr>
      <w:tr w:rsidR="005F78FC" w:rsidTr="005F78FC">
        <w:tc>
          <w:tcPr>
            <w:tcW w:w="0" w:type="auto"/>
            <w:vAlign w:val="center"/>
          </w:tcPr>
          <w:p w:rsidR="005F78FC" w:rsidRDefault="00B42EF3">
            <w:pPr>
              <w:pStyle w:val="TableBodyText"/>
            </w:pPr>
            <w:r>
              <w:t>nb-no</w:t>
            </w:r>
          </w:p>
        </w:tc>
        <w:tc>
          <w:tcPr>
            <w:tcW w:w="0" w:type="auto"/>
            <w:vAlign w:val="center"/>
          </w:tcPr>
          <w:p w:rsidR="005F78FC" w:rsidRDefault="00B42EF3">
            <w:pPr>
              <w:pStyle w:val="TableBodyText"/>
            </w:pPr>
            <w:r>
              <w:t>parenteser</w:t>
            </w:r>
          </w:p>
        </w:tc>
        <w:tc>
          <w:tcPr>
            <w:tcW w:w="0" w:type="auto"/>
            <w:vAlign w:val="center"/>
          </w:tcPr>
          <w:p w:rsidR="005F78FC" w:rsidRDefault="00B42EF3">
            <w:pPr>
              <w:pStyle w:val="TableBodyText"/>
            </w:pPr>
            <w:r>
              <w:t>prefiks</w:t>
            </w:r>
          </w:p>
        </w:tc>
        <w:tc>
          <w:tcPr>
            <w:tcW w:w="0" w:type="auto"/>
            <w:vAlign w:val="center"/>
          </w:tcPr>
          <w:p w:rsidR="005F78FC" w:rsidRDefault="00B42EF3">
            <w:pPr>
              <w:pStyle w:val="TableBodyText"/>
            </w:pPr>
            <w:r>
              <w:t>beskytt</w:t>
            </w:r>
          </w:p>
        </w:tc>
        <w:tc>
          <w:tcPr>
            <w:tcW w:w="0" w:type="auto"/>
            <w:vAlign w:val="center"/>
          </w:tcPr>
          <w:p w:rsidR="005F78FC" w:rsidRDefault="00B42EF3">
            <w:pPr>
              <w:pStyle w:val="TableBodyText"/>
            </w:pPr>
            <w:r>
              <w:t>rad</w:t>
            </w:r>
          </w:p>
        </w:tc>
        <w:tc>
          <w:tcPr>
            <w:tcW w:w="0" w:type="auto"/>
            <w:vAlign w:val="center"/>
          </w:tcPr>
          <w:p w:rsidR="005F78FC" w:rsidRDefault="00B42EF3">
            <w:pPr>
              <w:pStyle w:val="TableBodyText"/>
            </w:pPr>
            <w:r>
              <w:t>ark</w:t>
            </w:r>
          </w:p>
        </w:tc>
        <w:tc>
          <w:tcPr>
            <w:tcW w:w="0" w:type="auto"/>
            <w:vAlign w:val="center"/>
          </w:tcPr>
          <w:p w:rsidR="005F78FC" w:rsidRDefault="00B42EF3">
            <w:pPr>
              <w:pStyle w:val="TableBodyText"/>
            </w:pPr>
            <w:r>
              <w:t>verditype</w:t>
            </w:r>
          </w:p>
        </w:tc>
        <w:tc>
          <w:tcPr>
            <w:tcW w:w="0" w:type="auto"/>
            <w:vAlign w:val="center"/>
          </w:tcPr>
          <w:p w:rsidR="005F78FC" w:rsidRDefault="00B42EF3">
            <w:pPr>
              <w:pStyle w:val="TableBodyText"/>
            </w:pPr>
            <w:r>
              <w:t>bredde</w:t>
            </w:r>
          </w:p>
        </w:tc>
      </w:tr>
      <w:tr w:rsidR="005F78FC" w:rsidTr="005F78FC">
        <w:tc>
          <w:tcPr>
            <w:tcW w:w="0" w:type="auto"/>
            <w:vAlign w:val="center"/>
          </w:tcPr>
          <w:p w:rsidR="005F78FC" w:rsidRDefault="00B42EF3">
            <w:pPr>
              <w:pStyle w:val="TableBodyText"/>
            </w:pPr>
            <w:r>
              <w:t>nl-nl</w:t>
            </w:r>
          </w:p>
        </w:tc>
        <w:tc>
          <w:tcPr>
            <w:tcW w:w="0" w:type="auto"/>
            <w:vAlign w:val="center"/>
          </w:tcPr>
          <w:p w:rsidR="005F78FC" w:rsidRDefault="00B42EF3">
            <w:pPr>
              <w:pStyle w:val="TableBodyText"/>
            </w:pPr>
            <w:r>
              <w:t>haakjes</w:t>
            </w:r>
          </w:p>
        </w:tc>
        <w:tc>
          <w:tcPr>
            <w:tcW w:w="0" w:type="auto"/>
            <w:vAlign w:val="center"/>
          </w:tcPr>
          <w:p w:rsidR="005F78FC" w:rsidRDefault="00B42EF3">
            <w:pPr>
              <w:pStyle w:val="TableBodyText"/>
            </w:pPr>
            <w:r>
              <w:t>voorvoegsel</w:t>
            </w:r>
          </w:p>
        </w:tc>
        <w:tc>
          <w:tcPr>
            <w:tcW w:w="0" w:type="auto"/>
            <w:vAlign w:val="center"/>
          </w:tcPr>
          <w:p w:rsidR="005F78FC" w:rsidRDefault="00B42EF3">
            <w:pPr>
              <w:pStyle w:val="TableBodyText"/>
            </w:pPr>
            <w:r>
              <w:t>bescherming</w:t>
            </w:r>
          </w:p>
        </w:tc>
        <w:tc>
          <w:tcPr>
            <w:tcW w:w="0" w:type="auto"/>
            <w:vAlign w:val="center"/>
          </w:tcPr>
          <w:p w:rsidR="005F78FC" w:rsidRDefault="00B42EF3">
            <w:pPr>
              <w:pStyle w:val="TableBodyText"/>
            </w:pPr>
            <w:r>
              <w:t>rij</w:t>
            </w:r>
          </w:p>
        </w:tc>
        <w:tc>
          <w:tcPr>
            <w:tcW w:w="0" w:type="auto"/>
            <w:vAlign w:val="center"/>
          </w:tcPr>
          <w:p w:rsidR="005F78FC" w:rsidRDefault="00B42EF3">
            <w:pPr>
              <w:pStyle w:val="TableBodyText"/>
            </w:pPr>
            <w:r>
              <w:t>blad</w:t>
            </w:r>
          </w:p>
        </w:tc>
        <w:tc>
          <w:tcPr>
            <w:tcW w:w="0" w:type="auto"/>
            <w:vAlign w:val="center"/>
          </w:tcPr>
          <w:p w:rsidR="005F78FC" w:rsidRDefault="00B42EF3">
            <w:pPr>
              <w:pStyle w:val="TableBodyText"/>
            </w:pPr>
            <w:r>
              <w:t>type</w:t>
            </w:r>
          </w:p>
        </w:tc>
        <w:tc>
          <w:tcPr>
            <w:tcW w:w="0" w:type="auto"/>
            <w:vAlign w:val="center"/>
          </w:tcPr>
          <w:p w:rsidR="005F78FC" w:rsidRDefault="00B42EF3">
            <w:pPr>
              <w:pStyle w:val="TableBodyText"/>
            </w:pPr>
            <w:r>
              <w:t>breedte</w:t>
            </w:r>
          </w:p>
        </w:tc>
      </w:tr>
      <w:tr w:rsidR="005F78FC" w:rsidTr="005F78FC">
        <w:tc>
          <w:tcPr>
            <w:tcW w:w="0" w:type="auto"/>
            <w:vAlign w:val="center"/>
          </w:tcPr>
          <w:p w:rsidR="005F78FC" w:rsidRDefault="00B42EF3">
            <w:pPr>
              <w:pStyle w:val="TableBodyText"/>
            </w:pPr>
            <w:r>
              <w:t>pl-pl</w:t>
            </w:r>
          </w:p>
        </w:tc>
        <w:tc>
          <w:tcPr>
            <w:tcW w:w="0" w:type="auto"/>
            <w:vAlign w:val="center"/>
          </w:tcPr>
          <w:p w:rsidR="005F78FC" w:rsidRDefault="00B42EF3">
            <w:pPr>
              <w:pStyle w:val="TableBodyText"/>
            </w:pPr>
            <w:r>
              <w:t>nawiasy</w:t>
            </w:r>
          </w:p>
        </w:tc>
        <w:tc>
          <w:tcPr>
            <w:tcW w:w="0" w:type="auto"/>
            <w:vAlign w:val="center"/>
          </w:tcPr>
          <w:p w:rsidR="005F78FC" w:rsidRDefault="00B42EF3">
            <w:pPr>
              <w:pStyle w:val="TableBodyText"/>
            </w:pPr>
            <w:r>
              <w:t>prefiks</w:t>
            </w:r>
          </w:p>
        </w:tc>
        <w:tc>
          <w:tcPr>
            <w:tcW w:w="0" w:type="auto"/>
            <w:vAlign w:val="center"/>
          </w:tcPr>
          <w:p w:rsidR="005F78FC" w:rsidRDefault="00B42EF3">
            <w:pPr>
              <w:pStyle w:val="TableBodyText"/>
            </w:pPr>
            <w:r>
              <w:t>ochrona</w:t>
            </w:r>
          </w:p>
        </w:tc>
        <w:tc>
          <w:tcPr>
            <w:tcW w:w="0" w:type="auto"/>
            <w:vAlign w:val="center"/>
          </w:tcPr>
          <w:p w:rsidR="005F78FC" w:rsidRDefault="00B42EF3">
            <w:pPr>
              <w:pStyle w:val="TableBodyText"/>
            </w:pPr>
            <w:r>
              <w:t>wiersz</w:t>
            </w:r>
          </w:p>
        </w:tc>
        <w:tc>
          <w:tcPr>
            <w:tcW w:w="0" w:type="auto"/>
            <w:vAlign w:val="center"/>
          </w:tcPr>
          <w:p w:rsidR="005F78FC" w:rsidRDefault="00B42EF3">
            <w:pPr>
              <w:pStyle w:val="TableBodyText"/>
            </w:pPr>
            <w:r>
              <w:t>arkusz</w:t>
            </w:r>
          </w:p>
        </w:tc>
        <w:tc>
          <w:tcPr>
            <w:tcW w:w="0" w:type="auto"/>
            <w:vAlign w:val="center"/>
          </w:tcPr>
          <w:p w:rsidR="005F78FC" w:rsidRDefault="00B42EF3">
            <w:pPr>
              <w:pStyle w:val="TableBodyText"/>
            </w:pPr>
            <w:r>
              <w:t>typ</w:t>
            </w:r>
          </w:p>
        </w:tc>
        <w:tc>
          <w:tcPr>
            <w:tcW w:w="0" w:type="auto"/>
            <w:vAlign w:val="center"/>
          </w:tcPr>
          <w:p w:rsidR="005F78FC" w:rsidRDefault="00B42EF3">
            <w:pPr>
              <w:pStyle w:val="TableBodyText"/>
            </w:pPr>
            <w:r>
              <w:t>szerokość</w:t>
            </w:r>
          </w:p>
        </w:tc>
      </w:tr>
      <w:tr w:rsidR="005F78FC" w:rsidTr="005F78FC">
        <w:tc>
          <w:tcPr>
            <w:tcW w:w="0" w:type="auto"/>
            <w:vAlign w:val="center"/>
          </w:tcPr>
          <w:p w:rsidR="005F78FC" w:rsidRDefault="00B42EF3">
            <w:pPr>
              <w:pStyle w:val="TableBodyText"/>
            </w:pPr>
            <w:r>
              <w:t>pt-br</w:t>
            </w:r>
          </w:p>
        </w:tc>
        <w:tc>
          <w:tcPr>
            <w:tcW w:w="0" w:type="auto"/>
            <w:vAlign w:val="center"/>
          </w:tcPr>
          <w:p w:rsidR="005F78FC" w:rsidRDefault="00B42EF3">
            <w:pPr>
              <w:pStyle w:val="TableBodyText"/>
            </w:pPr>
            <w:r>
              <w:t>parênteses</w:t>
            </w:r>
          </w:p>
        </w:tc>
        <w:tc>
          <w:tcPr>
            <w:tcW w:w="0" w:type="auto"/>
            <w:vAlign w:val="center"/>
          </w:tcPr>
          <w:p w:rsidR="005F78FC" w:rsidRDefault="00B42EF3">
            <w:pPr>
              <w:pStyle w:val="TableBodyText"/>
            </w:pPr>
            <w:r>
              <w:t>prefixo</w:t>
            </w:r>
          </w:p>
        </w:tc>
        <w:tc>
          <w:tcPr>
            <w:tcW w:w="0" w:type="auto"/>
            <w:vAlign w:val="center"/>
          </w:tcPr>
          <w:p w:rsidR="005F78FC" w:rsidRDefault="00B42EF3">
            <w:pPr>
              <w:pStyle w:val="TableBodyText"/>
            </w:pPr>
            <w:r>
              <w:t>proteger</w:t>
            </w:r>
          </w:p>
        </w:tc>
        <w:tc>
          <w:tcPr>
            <w:tcW w:w="0" w:type="auto"/>
            <w:vAlign w:val="center"/>
          </w:tcPr>
          <w:p w:rsidR="005F78FC" w:rsidRDefault="00B42EF3">
            <w:pPr>
              <w:pStyle w:val="TableBodyText"/>
            </w:pPr>
            <w:r>
              <w:t>lin</w:t>
            </w:r>
          </w:p>
        </w:tc>
        <w:tc>
          <w:tcPr>
            <w:tcW w:w="0" w:type="auto"/>
            <w:vAlign w:val="center"/>
          </w:tcPr>
          <w:p w:rsidR="005F78FC" w:rsidRDefault="00B42EF3">
            <w:pPr>
              <w:pStyle w:val="TableBodyText"/>
            </w:pPr>
            <w:r>
              <w:t>planilha</w:t>
            </w:r>
          </w:p>
        </w:tc>
        <w:tc>
          <w:tcPr>
            <w:tcW w:w="0" w:type="auto"/>
            <w:vAlign w:val="center"/>
          </w:tcPr>
          <w:p w:rsidR="005F78FC" w:rsidRDefault="00B42EF3">
            <w:pPr>
              <w:pStyle w:val="TableBodyText"/>
            </w:pPr>
            <w:r>
              <w:t>tipo</w:t>
            </w:r>
          </w:p>
        </w:tc>
        <w:tc>
          <w:tcPr>
            <w:tcW w:w="0" w:type="auto"/>
            <w:vAlign w:val="center"/>
          </w:tcPr>
          <w:p w:rsidR="005F78FC" w:rsidRDefault="00B42EF3">
            <w:pPr>
              <w:pStyle w:val="TableBodyText"/>
            </w:pPr>
            <w:r>
              <w:t>largura</w:t>
            </w:r>
          </w:p>
        </w:tc>
      </w:tr>
      <w:tr w:rsidR="005F78FC" w:rsidTr="005F78FC">
        <w:tc>
          <w:tcPr>
            <w:tcW w:w="0" w:type="auto"/>
            <w:vAlign w:val="center"/>
          </w:tcPr>
          <w:p w:rsidR="005F78FC" w:rsidRDefault="00B42EF3">
            <w:pPr>
              <w:pStyle w:val="TableBodyText"/>
            </w:pPr>
            <w:r>
              <w:t>pt-pt</w:t>
            </w:r>
          </w:p>
        </w:tc>
        <w:tc>
          <w:tcPr>
            <w:tcW w:w="0" w:type="auto"/>
            <w:vAlign w:val="center"/>
          </w:tcPr>
          <w:p w:rsidR="005F78FC" w:rsidRDefault="00B42EF3">
            <w:pPr>
              <w:pStyle w:val="TableBodyText"/>
            </w:pPr>
            <w:r>
              <w:t>parênteses</w:t>
            </w:r>
          </w:p>
        </w:tc>
        <w:tc>
          <w:tcPr>
            <w:tcW w:w="0" w:type="auto"/>
            <w:vAlign w:val="center"/>
          </w:tcPr>
          <w:p w:rsidR="005F78FC" w:rsidRDefault="00B42EF3">
            <w:pPr>
              <w:pStyle w:val="TableBodyText"/>
            </w:pPr>
            <w:r>
              <w:t>prefixo</w:t>
            </w:r>
          </w:p>
        </w:tc>
        <w:tc>
          <w:tcPr>
            <w:tcW w:w="0" w:type="auto"/>
            <w:vAlign w:val="center"/>
          </w:tcPr>
          <w:p w:rsidR="005F78FC" w:rsidRDefault="00B42EF3">
            <w:pPr>
              <w:pStyle w:val="TableBodyText"/>
            </w:pPr>
            <w:r>
              <w:t>proteger</w:t>
            </w:r>
          </w:p>
        </w:tc>
        <w:tc>
          <w:tcPr>
            <w:tcW w:w="0" w:type="auto"/>
            <w:vAlign w:val="center"/>
          </w:tcPr>
          <w:p w:rsidR="005F78FC" w:rsidRDefault="00B42EF3">
            <w:pPr>
              <w:pStyle w:val="TableBodyText"/>
            </w:pPr>
            <w:r>
              <w:t>lin</w:t>
            </w:r>
          </w:p>
        </w:tc>
        <w:tc>
          <w:tcPr>
            <w:tcW w:w="0" w:type="auto"/>
            <w:vAlign w:val="center"/>
          </w:tcPr>
          <w:p w:rsidR="005F78FC" w:rsidRDefault="00B42EF3">
            <w:pPr>
              <w:pStyle w:val="TableBodyText"/>
            </w:pPr>
            <w:r>
              <w:t>folha</w:t>
            </w:r>
          </w:p>
        </w:tc>
        <w:tc>
          <w:tcPr>
            <w:tcW w:w="0" w:type="auto"/>
            <w:vAlign w:val="center"/>
          </w:tcPr>
          <w:p w:rsidR="005F78FC" w:rsidRDefault="00B42EF3">
            <w:pPr>
              <w:pStyle w:val="TableBodyText"/>
            </w:pPr>
            <w:r>
              <w:t>tipo</w:t>
            </w:r>
          </w:p>
        </w:tc>
        <w:tc>
          <w:tcPr>
            <w:tcW w:w="0" w:type="auto"/>
            <w:vAlign w:val="center"/>
          </w:tcPr>
          <w:p w:rsidR="005F78FC" w:rsidRDefault="00B42EF3">
            <w:pPr>
              <w:pStyle w:val="TableBodyText"/>
            </w:pPr>
            <w:r>
              <w:t>largura</w:t>
            </w:r>
          </w:p>
        </w:tc>
      </w:tr>
      <w:tr w:rsidR="005F78FC" w:rsidTr="005F78FC">
        <w:tc>
          <w:tcPr>
            <w:tcW w:w="0" w:type="auto"/>
            <w:vAlign w:val="center"/>
          </w:tcPr>
          <w:p w:rsidR="005F78FC" w:rsidRDefault="00B42EF3">
            <w:pPr>
              <w:pStyle w:val="TableBodyText"/>
            </w:pPr>
            <w:r>
              <w:t>ru-ru</w:t>
            </w:r>
          </w:p>
        </w:tc>
        <w:tc>
          <w:tcPr>
            <w:tcW w:w="0" w:type="auto"/>
            <w:vAlign w:val="center"/>
          </w:tcPr>
          <w:p w:rsidR="005F78FC" w:rsidRDefault="00B42EF3">
            <w:pPr>
              <w:pStyle w:val="TableBodyText"/>
            </w:pPr>
            <w:r>
              <w:t>скобки</w:t>
            </w:r>
          </w:p>
        </w:tc>
        <w:tc>
          <w:tcPr>
            <w:tcW w:w="0" w:type="auto"/>
            <w:vAlign w:val="center"/>
          </w:tcPr>
          <w:p w:rsidR="005F78FC" w:rsidRDefault="00B42EF3">
            <w:pPr>
              <w:pStyle w:val="TableBodyText"/>
            </w:pPr>
            <w:r>
              <w:t>префикс</w:t>
            </w:r>
          </w:p>
        </w:tc>
        <w:tc>
          <w:tcPr>
            <w:tcW w:w="0" w:type="auto"/>
            <w:vAlign w:val="center"/>
          </w:tcPr>
          <w:p w:rsidR="005F78FC" w:rsidRDefault="00B42EF3">
            <w:pPr>
              <w:pStyle w:val="TableBodyText"/>
            </w:pPr>
            <w:r>
              <w:t>защита</w:t>
            </w:r>
          </w:p>
        </w:tc>
        <w:tc>
          <w:tcPr>
            <w:tcW w:w="0" w:type="auto"/>
            <w:vAlign w:val="center"/>
          </w:tcPr>
          <w:p w:rsidR="005F78FC" w:rsidRDefault="00B42EF3">
            <w:pPr>
              <w:pStyle w:val="TableBodyText"/>
            </w:pPr>
            <w:r>
              <w:t>строка</w:t>
            </w:r>
          </w:p>
        </w:tc>
        <w:tc>
          <w:tcPr>
            <w:tcW w:w="0" w:type="auto"/>
            <w:vAlign w:val="center"/>
          </w:tcPr>
          <w:p w:rsidR="005F78FC" w:rsidRDefault="00B42EF3">
            <w:pPr>
              <w:pStyle w:val="TableBodyText"/>
            </w:pPr>
            <w:r>
              <w:t>ТАБЛИЦА</w:t>
            </w:r>
          </w:p>
          <w:p w:rsidR="005F78FC" w:rsidRDefault="005F78FC">
            <w:pPr>
              <w:pStyle w:val="TableBodyText"/>
            </w:pPr>
          </w:p>
        </w:tc>
        <w:tc>
          <w:tcPr>
            <w:tcW w:w="0" w:type="auto"/>
            <w:vAlign w:val="center"/>
          </w:tcPr>
          <w:p w:rsidR="005F78FC" w:rsidRDefault="00B42EF3">
            <w:pPr>
              <w:pStyle w:val="TableBodyText"/>
            </w:pPr>
            <w:r>
              <w:t>тип</w:t>
            </w:r>
          </w:p>
        </w:tc>
        <w:tc>
          <w:tcPr>
            <w:tcW w:w="0" w:type="auto"/>
            <w:vAlign w:val="center"/>
          </w:tcPr>
          <w:p w:rsidR="005F78FC" w:rsidRDefault="00B42EF3">
            <w:pPr>
              <w:pStyle w:val="TableBodyText"/>
            </w:pPr>
            <w:r>
              <w:t>ширина</w:t>
            </w:r>
          </w:p>
        </w:tc>
      </w:tr>
      <w:tr w:rsidR="005F78FC" w:rsidTr="005F78FC">
        <w:tc>
          <w:tcPr>
            <w:tcW w:w="0" w:type="auto"/>
            <w:vAlign w:val="center"/>
          </w:tcPr>
          <w:p w:rsidR="005F78FC" w:rsidRDefault="00B42EF3">
            <w:pPr>
              <w:pStyle w:val="TableBodyText"/>
            </w:pPr>
            <w:r>
              <w:t>sk-sk</w:t>
            </w:r>
          </w:p>
        </w:tc>
        <w:tc>
          <w:tcPr>
            <w:tcW w:w="0" w:type="auto"/>
            <w:vAlign w:val="center"/>
          </w:tcPr>
          <w:p w:rsidR="005F78FC" w:rsidRDefault="00B42EF3">
            <w:pPr>
              <w:pStyle w:val="TableBodyText"/>
            </w:pPr>
            <w:r>
              <w:t>zátvorky</w:t>
            </w:r>
          </w:p>
        </w:tc>
        <w:tc>
          <w:tcPr>
            <w:tcW w:w="0" w:type="auto"/>
            <w:vAlign w:val="center"/>
          </w:tcPr>
          <w:p w:rsidR="005F78FC" w:rsidRDefault="00B42EF3">
            <w:pPr>
              <w:pStyle w:val="TableBodyText"/>
            </w:pPr>
            <w:r>
              <w:t>vloženýznak</w:t>
            </w:r>
          </w:p>
        </w:tc>
        <w:tc>
          <w:tcPr>
            <w:tcW w:w="0" w:type="auto"/>
            <w:vAlign w:val="center"/>
          </w:tcPr>
          <w:p w:rsidR="005F78FC" w:rsidRDefault="00B42EF3">
            <w:pPr>
              <w:pStyle w:val="TableBodyText"/>
            </w:pPr>
            <w:r>
              <w:t>chrániť</w:t>
            </w:r>
          </w:p>
        </w:tc>
        <w:tc>
          <w:tcPr>
            <w:tcW w:w="0" w:type="auto"/>
            <w:vAlign w:val="center"/>
          </w:tcPr>
          <w:p w:rsidR="005F78FC" w:rsidRDefault="00B42EF3">
            <w:pPr>
              <w:pStyle w:val="TableBodyText"/>
            </w:pPr>
            <w:r>
              <w:t>riadok</w:t>
            </w:r>
          </w:p>
        </w:tc>
        <w:tc>
          <w:tcPr>
            <w:tcW w:w="0" w:type="auto"/>
            <w:vAlign w:val="center"/>
          </w:tcPr>
          <w:p w:rsidR="005F78FC" w:rsidRDefault="00B42EF3">
            <w:pPr>
              <w:pStyle w:val="TableBodyText"/>
            </w:pPr>
            <w:r>
              <w:t>hárok</w:t>
            </w:r>
          </w:p>
        </w:tc>
        <w:tc>
          <w:tcPr>
            <w:tcW w:w="0" w:type="auto"/>
            <w:vAlign w:val="center"/>
          </w:tcPr>
          <w:p w:rsidR="005F78FC" w:rsidRDefault="00B42EF3">
            <w:pPr>
              <w:pStyle w:val="TableBodyText"/>
            </w:pPr>
            <w:r>
              <w:t>typ</w:t>
            </w:r>
          </w:p>
        </w:tc>
        <w:tc>
          <w:tcPr>
            <w:tcW w:w="0" w:type="auto"/>
            <w:vAlign w:val="center"/>
          </w:tcPr>
          <w:p w:rsidR="005F78FC" w:rsidRDefault="00B42EF3">
            <w:pPr>
              <w:pStyle w:val="TableBodyText"/>
            </w:pPr>
            <w:r>
              <w:t>šírka</w:t>
            </w:r>
          </w:p>
        </w:tc>
      </w:tr>
      <w:tr w:rsidR="005F78FC" w:rsidTr="005F78FC">
        <w:tc>
          <w:tcPr>
            <w:tcW w:w="0" w:type="auto"/>
            <w:vAlign w:val="center"/>
          </w:tcPr>
          <w:p w:rsidR="005F78FC" w:rsidRDefault="00B42EF3">
            <w:pPr>
              <w:pStyle w:val="TableBodyText"/>
            </w:pPr>
            <w:r>
              <w:t>sl-si</w:t>
            </w:r>
          </w:p>
        </w:tc>
        <w:tc>
          <w:tcPr>
            <w:tcW w:w="0" w:type="auto"/>
            <w:vAlign w:val="center"/>
          </w:tcPr>
          <w:p w:rsidR="005F78FC" w:rsidRDefault="00B42EF3">
            <w:pPr>
              <w:pStyle w:val="TableBodyText"/>
            </w:pPr>
            <w:r>
              <w:t>parentheses</w:t>
            </w:r>
          </w:p>
        </w:tc>
        <w:tc>
          <w:tcPr>
            <w:tcW w:w="0" w:type="auto"/>
            <w:vAlign w:val="center"/>
          </w:tcPr>
          <w:p w:rsidR="005F78FC" w:rsidRDefault="00B42EF3">
            <w:pPr>
              <w:pStyle w:val="TableBodyText"/>
            </w:pPr>
            <w:r>
              <w:t>prefix</w:t>
            </w:r>
          </w:p>
        </w:tc>
        <w:tc>
          <w:tcPr>
            <w:tcW w:w="0" w:type="auto"/>
            <w:vAlign w:val="center"/>
          </w:tcPr>
          <w:p w:rsidR="005F78FC" w:rsidRDefault="00B42EF3">
            <w:pPr>
              <w:pStyle w:val="TableBodyText"/>
            </w:pPr>
            <w:r>
              <w:t>protect</w:t>
            </w:r>
          </w:p>
        </w:tc>
        <w:tc>
          <w:tcPr>
            <w:tcW w:w="0" w:type="auto"/>
            <w:vAlign w:val="center"/>
          </w:tcPr>
          <w:p w:rsidR="005F78FC" w:rsidRDefault="00B42EF3">
            <w:pPr>
              <w:pStyle w:val="TableBodyText"/>
            </w:pPr>
            <w:r>
              <w:t>vrstica</w:t>
            </w:r>
          </w:p>
        </w:tc>
        <w:tc>
          <w:tcPr>
            <w:tcW w:w="0" w:type="auto"/>
            <w:vAlign w:val="center"/>
          </w:tcPr>
          <w:p w:rsidR="005F78FC" w:rsidRDefault="00B42EF3">
            <w:pPr>
              <w:pStyle w:val="TableBodyText"/>
            </w:pPr>
            <w:r>
              <w:t>sheet</w:t>
            </w:r>
          </w:p>
        </w:tc>
        <w:tc>
          <w:tcPr>
            <w:tcW w:w="0" w:type="auto"/>
            <w:vAlign w:val="center"/>
          </w:tcPr>
          <w:p w:rsidR="005F78FC" w:rsidRDefault="00B42EF3">
            <w:pPr>
              <w:pStyle w:val="TableBodyText"/>
            </w:pPr>
            <w:r>
              <w:t>type</w:t>
            </w:r>
          </w:p>
        </w:tc>
        <w:tc>
          <w:tcPr>
            <w:tcW w:w="0" w:type="auto"/>
            <w:vAlign w:val="center"/>
          </w:tcPr>
          <w:p w:rsidR="005F78FC" w:rsidRDefault="00B42EF3">
            <w:pPr>
              <w:pStyle w:val="TableBodyText"/>
            </w:pPr>
            <w:r>
              <w:t>širina</w:t>
            </w:r>
          </w:p>
        </w:tc>
      </w:tr>
      <w:tr w:rsidR="005F78FC" w:rsidTr="005F78FC">
        <w:tc>
          <w:tcPr>
            <w:tcW w:w="0" w:type="auto"/>
            <w:vAlign w:val="center"/>
          </w:tcPr>
          <w:p w:rsidR="005F78FC" w:rsidRDefault="00B42EF3">
            <w:pPr>
              <w:pStyle w:val="TableBodyText"/>
            </w:pPr>
            <w:r>
              <w:t>sv-se</w:t>
            </w:r>
          </w:p>
        </w:tc>
        <w:tc>
          <w:tcPr>
            <w:tcW w:w="0" w:type="auto"/>
            <w:vAlign w:val="center"/>
          </w:tcPr>
          <w:p w:rsidR="005F78FC" w:rsidRDefault="00B42EF3">
            <w:pPr>
              <w:pStyle w:val="TableBodyText"/>
            </w:pPr>
            <w:r>
              <w:t>parenteser</w:t>
            </w:r>
          </w:p>
        </w:tc>
        <w:tc>
          <w:tcPr>
            <w:tcW w:w="0" w:type="auto"/>
            <w:vAlign w:val="center"/>
          </w:tcPr>
          <w:p w:rsidR="005F78FC" w:rsidRDefault="00B42EF3">
            <w:pPr>
              <w:pStyle w:val="TableBodyText"/>
            </w:pPr>
            <w:r>
              <w:t>prefix</w:t>
            </w:r>
          </w:p>
        </w:tc>
        <w:tc>
          <w:tcPr>
            <w:tcW w:w="0" w:type="auto"/>
            <w:vAlign w:val="center"/>
          </w:tcPr>
          <w:p w:rsidR="005F78FC" w:rsidRDefault="00B42EF3">
            <w:pPr>
              <w:pStyle w:val="TableBodyText"/>
            </w:pPr>
            <w:r>
              <w:t>skydd</w:t>
            </w:r>
          </w:p>
        </w:tc>
        <w:tc>
          <w:tcPr>
            <w:tcW w:w="0" w:type="auto"/>
            <w:vAlign w:val="center"/>
          </w:tcPr>
          <w:p w:rsidR="005F78FC" w:rsidRDefault="00B42EF3">
            <w:pPr>
              <w:pStyle w:val="TableBodyText"/>
            </w:pPr>
            <w:r>
              <w:t>rad</w:t>
            </w:r>
          </w:p>
        </w:tc>
        <w:tc>
          <w:tcPr>
            <w:tcW w:w="0" w:type="auto"/>
            <w:vAlign w:val="center"/>
          </w:tcPr>
          <w:p w:rsidR="005F78FC" w:rsidRDefault="00B42EF3">
            <w:pPr>
              <w:pStyle w:val="TableBodyText"/>
            </w:pPr>
            <w:r>
              <w:t>blad</w:t>
            </w:r>
          </w:p>
        </w:tc>
        <w:tc>
          <w:tcPr>
            <w:tcW w:w="0" w:type="auto"/>
            <w:vAlign w:val="center"/>
          </w:tcPr>
          <w:p w:rsidR="005F78FC" w:rsidRDefault="00B42EF3">
            <w:pPr>
              <w:pStyle w:val="TableBodyText"/>
            </w:pPr>
            <w:r>
              <w:t>typ</w:t>
            </w:r>
          </w:p>
        </w:tc>
        <w:tc>
          <w:tcPr>
            <w:tcW w:w="0" w:type="auto"/>
            <w:vAlign w:val="center"/>
          </w:tcPr>
          <w:p w:rsidR="005F78FC" w:rsidRDefault="00B42EF3">
            <w:pPr>
              <w:pStyle w:val="TableBodyText"/>
            </w:pPr>
            <w:r>
              <w:t>bredd</w:t>
            </w:r>
          </w:p>
        </w:tc>
      </w:tr>
      <w:tr w:rsidR="005F78FC" w:rsidTr="005F78FC">
        <w:tc>
          <w:tcPr>
            <w:tcW w:w="0" w:type="auto"/>
            <w:vAlign w:val="center"/>
          </w:tcPr>
          <w:p w:rsidR="005F78FC" w:rsidRDefault="00B42EF3">
            <w:pPr>
              <w:pStyle w:val="TableBodyText"/>
            </w:pPr>
            <w:r>
              <w:t>tr-tr</w:t>
            </w:r>
          </w:p>
        </w:tc>
        <w:tc>
          <w:tcPr>
            <w:tcW w:w="0" w:type="auto"/>
            <w:vAlign w:val="center"/>
          </w:tcPr>
          <w:p w:rsidR="005F78FC" w:rsidRDefault="00B42EF3">
            <w:pPr>
              <w:pStyle w:val="TableBodyText"/>
            </w:pPr>
            <w:r>
              <w:t>ayraç</w:t>
            </w:r>
          </w:p>
        </w:tc>
        <w:tc>
          <w:tcPr>
            <w:tcW w:w="0" w:type="auto"/>
            <w:vAlign w:val="center"/>
          </w:tcPr>
          <w:p w:rsidR="005F78FC" w:rsidRDefault="00B42EF3">
            <w:pPr>
              <w:pStyle w:val="TableBodyText"/>
            </w:pPr>
            <w:r>
              <w:t>önek</w:t>
            </w:r>
          </w:p>
        </w:tc>
        <w:tc>
          <w:tcPr>
            <w:tcW w:w="0" w:type="auto"/>
            <w:vAlign w:val="center"/>
          </w:tcPr>
          <w:p w:rsidR="005F78FC" w:rsidRDefault="00B42EF3">
            <w:pPr>
              <w:pStyle w:val="TableBodyText"/>
            </w:pPr>
            <w:r>
              <w:t>koruma</w:t>
            </w:r>
          </w:p>
        </w:tc>
        <w:tc>
          <w:tcPr>
            <w:tcW w:w="0" w:type="auto"/>
            <w:vAlign w:val="center"/>
          </w:tcPr>
          <w:p w:rsidR="005F78FC" w:rsidRDefault="00B42EF3">
            <w:pPr>
              <w:pStyle w:val="TableBodyText"/>
            </w:pPr>
            <w:r>
              <w:t>sat</w:t>
            </w:r>
          </w:p>
        </w:tc>
        <w:tc>
          <w:tcPr>
            <w:tcW w:w="0" w:type="auto"/>
            <w:vAlign w:val="center"/>
          </w:tcPr>
          <w:p w:rsidR="005F78FC" w:rsidRDefault="00B42EF3">
            <w:pPr>
              <w:pStyle w:val="TableBodyText"/>
            </w:pPr>
            <w:r>
              <w:t>tablo</w:t>
            </w:r>
          </w:p>
        </w:tc>
        <w:tc>
          <w:tcPr>
            <w:tcW w:w="0" w:type="auto"/>
            <w:vAlign w:val="center"/>
          </w:tcPr>
          <w:p w:rsidR="005F78FC" w:rsidRDefault="00B42EF3">
            <w:pPr>
              <w:pStyle w:val="TableBodyText"/>
            </w:pPr>
            <w:r>
              <w:t>tür</w:t>
            </w:r>
          </w:p>
        </w:tc>
        <w:tc>
          <w:tcPr>
            <w:tcW w:w="0" w:type="auto"/>
            <w:vAlign w:val="center"/>
          </w:tcPr>
          <w:p w:rsidR="005F78FC" w:rsidRDefault="00B42EF3">
            <w:pPr>
              <w:pStyle w:val="TableBodyText"/>
            </w:pPr>
            <w:r>
              <w:t>genişlik</w:t>
            </w:r>
          </w:p>
        </w:tc>
      </w:tr>
      <w:tr w:rsidR="005F78FC" w:rsidTr="005F78FC">
        <w:tc>
          <w:tcPr>
            <w:tcW w:w="0" w:type="auto"/>
            <w:vAlign w:val="center"/>
          </w:tcPr>
          <w:p w:rsidR="005F78FC" w:rsidRDefault="00B42EF3">
            <w:pPr>
              <w:pStyle w:val="TableBodyText"/>
            </w:pPr>
            <w:r>
              <w:t>uk-ua</w:t>
            </w:r>
          </w:p>
        </w:tc>
        <w:tc>
          <w:tcPr>
            <w:tcW w:w="0" w:type="auto"/>
            <w:vAlign w:val="center"/>
          </w:tcPr>
          <w:p w:rsidR="005F78FC" w:rsidRDefault="00B42EF3">
            <w:pPr>
              <w:pStyle w:val="TableBodyText"/>
            </w:pPr>
            <w:r>
              <w:t>дужки</w:t>
            </w:r>
          </w:p>
        </w:tc>
        <w:tc>
          <w:tcPr>
            <w:tcW w:w="0" w:type="auto"/>
            <w:vAlign w:val="center"/>
          </w:tcPr>
          <w:p w:rsidR="005F78FC" w:rsidRDefault="00B42EF3">
            <w:pPr>
              <w:pStyle w:val="TableBodyText"/>
            </w:pPr>
            <w:r>
              <w:t>префікс</w:t>
            </w:r>
          </w:p>
        </w:tc>
        <w:tc>
          <w:tcPr>
            <w:tcW w:w="0" w:type="auto"/>
            <w:vAlign w:val="center"/>
          </w:tcPr>
          <w:p w:rsidR="005F78FC" w:rsidRDefault="00B42EF3">
            <w:pPr>
              <w:pStyle w:val="TableBodyText"/>
            </w:pPr>
            <w:r>
              <w:t>захист</w:t>
            </w:r>
          </w:p>
        </w:tc>
        <w:tc>
          <w:tcPr>
            <w:tcW w:w="0" w:type="auto"/>
            <w:vAlign w:val="center"/>
          </w:tcPr>
          <w:p w:rsidR="005F78FC" w:rsidRDefault="00B42EF3">
            <w:pPr>
              <w:pStyle w:val="TableBodyText"/>
            </w:pPr>
            <w:r>
              <w:t>рядок</w:t>
            </w:r>
          </w:p>
        </w:tc>
        <w:tc>
          <w:tcPr>
            <w:tcW w:w="0" w:type="auto"/>
            <w:vAlign w:val="center"/>
          </w:tcPr>
          <w:p w:rsidR="005F78FC" w:rsidRDefault="00B42EF3">
            <w:pPr>
              <w:pStyle w:val="TableBodyText"/>
            </w:pPr>
            <w:r>
              <w:t>АРКУШ</w:t>
            </w:r>
          </w:p>
          <w:p w:rsidR="005F78FC" w:rsidRDefault="005F78FC">
            <w:pPr>
              <w:pStyle w:val="TableBodyText"/>
            </w:pPr>
          </w:p>
        </w:tc>
        <w:tc>
          <w:tcPr>
            <w:tcW w:w="0" w:type="auto"/>
            <w:vAlign w:val="center"/>
          </w:tcPr>
          <w:p w:rsidR="005F78FC" w:rsidRDefault="00B42EF3">
            <w:pPr>
              <w:pStyle w:val="TableBodyText"/>
            </w:pPr>
            <w:r>
              <w:t>тип</w:t>
            </w:r>
          </w:p>
        </w:tc>
        <w:tc>
          <w:tcPr>
            <w:tcW w:w="0" w:type="auto"/>
            <w:vAlign w:val="center"/>
          </w:tcPr>
          <w:p w:rsidR="005F78FC" w:rsidRDefault="00B42EF3">
            <w:pPr>
              <w:pStyle w:val="TableBodyText"/>
            </w:pPr>
            <w:r>
              <w:t>довжина</w:t>
            </w:r>
          </w:p>
        </w:tc>
      </w:tr>
    </w:tbl>
    <w:p w:rsidR="005F78FC" w:rsidRDefault="005F78FC"/>
    <w:p w:rsidR="005F78FC" w:rsidRDefault="00B42EF3">
      <w:pPr>
        <w:pStyle w:val="Definition-Field"/>
      </w:pPr>
      <w:r>
        <w:t xml:space="preserve">b.   </w:t>
      </w:r>
      <w:r>
        <w:rPr>
          <w:i/>
        </w:rPr>
        <w:t>The standard does not fully specify details when argument category is format.</w:t>
      </w:r>
    </w:p>
    <w:p w:rsidR="005F78FC" w:rsidRDefault="00B42EF3">
      <w:r>
        <w:t>In Excel, when the category parameter is format then the value returned depends upon the number format of the upper-left cell of reference, and more specific</w:t>
      </w:r>
      <w:r>
        <w:t>ally upon the number format code of the upper-left cell of reference.  Depending upon the number format code of the appropriate cell, the result value of CELL when the category is format is based upon the following rules.</w:t>
      </w:r>
    </w:p>
    <w:p w:rsidR="005F78FC" w:rsidRDefault="00B42EF3">
      <w:r>
        <w:t>First, some observations regarding</w:t>
      </w:r>
      <w:r>
        <w:t xml:space="preserve"> the rules are in order:</w:t>
      </w:r>
    </w:p>
    <w:p w:rsidR="005F78FC" w:rsidRDefault="00B42EF3">
      <w:r>
        <w:t>The various sections of the number format code are referred to within the rules. For more information on sections in the number format code, see numFmts ("</w:t>
      </w:r>
      <w:hyperlink r:id="rId143">
        <w:r>
          <w:rPr>
            <w:rStyle w:val="Hyperlink"/>
          </w:rPr>
          <w:t>[ISO/IEC-2</w:t>
        </w:r>
        <w:r>
          <w:rPr>
            <w:rStyle w:val="Hyperlink"/>
          </w:rPr>
          <w:t>9500-1]</w:t>
        </w:r>
      </w:hyperlink>
      <w:r>
        <w:t xml:space="preserve"> §18.8.31; numFmts"). There are cases where it is useful to discuss the characters from the number format code which are dependent upon the value in the cell. These characters, instead of representing text or spacing in the cell’s display text, inte</w:t>
      </w:r>
      <w:r>
        <w:t xml:space="preserve">rpret, in some fashion, the value to be displayed. In the rules, these characters </w:t>
      </w:r>
      <w:r>
        <w:lastRenderedPageBreak/>
        <w:t>are referred to as interpreted characters of the number format code. The following table shows all the interpreted characters:</w:t>
      </w:r>
    </w:p>
    <w:tbl>
      <w:tblPr>
        <w:tblStyle w:val="Table-ShadedHeader"/>
        <w:tblW w:w="0" w:type="auto"/>
        <w:tblLook w:val="04A0" w:firstRow="1" w:lastRow="0" w:firstColumn="1" w:lastColumn="0" w:noHBand="0" w:noVBand="1"/>
      </w:tblPr>
      <w:tblGrid>
        <w:gridCol w:w="2305"/>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Interpreted Characters</w:t>
            </w:r>
          </w:p>
        </w:tc>
      </w:tr>
      <w:tr w:rsidR="005F78FC" w:rsidTr="005F78FC">
        <w:tc>
          <w:tcPr>
            <w:tcW w:w="0" w:type="auto"/>
            <w:vAlign w:val="center"/>
          </w:tcPr>
          <w:p w:rsidR="005F78FC" w:rsidRDefault="00B42EF3">
            <w:pPr>
              <w:pStyle w:val="TableBodyText"/>
            </w:pPr>
            <w:r>
              <w:t>0</w:t>
            </w:r>
          </w:p>
        </w:tc>
      </w:tr>
      <w:tr w:rsidR="005F78FC" w:rsidTr="005F78FC">
        <w:tc>
          <w:tcPr>
            <w:tcW w:w="0" w:type="auto"/>
            <w:vAlign w:val="center"/>
          </w:tcPr>
          <w:p w:rsidR="005F78FC" w:rsidRDefault="00B42EF3">
            <w:pPr>
              <w:pStyle w:val="TableBodyText"/>
            </w:pPr>
            <w:r>
              <w:t>#</w:t>
            </w:r>
          </w:p>
        </w:tc>
      </w:tr>
      <w:tr w:rsidR="005F78FC" w:rsidTr="005F78FC">
        <w:tc>
          <w:tcPr>
            <w:tcW w:w="0" w:type="auto"/>
            <w:vAlign w:val="center"/>
          </w:tcPr>
          <w:p w:rsidR="005F78FC" w:rsidRDefault="00B42EF3">
            <w:pPr>
              <w:pStyle w:val="TableBodyText"/>
            </w:pPr>
            <w:r>
              <w:t>@</w:t>
            </w:r>
          </w:p>
        </w:tc>
      </w:tr>
      <w:tr w:rsidR="005F78FC" w:rsidTr="005F78FC">
        <w:tc>
          <w:tcPr>
            <w:tcW w:w="0" w:type="auto"/>
            <w:vAlign w:val="center"/>
          </w:tcPr>
          <w:p w:rsidR="005F78FC" w:rsidRDefault="00B42EF3">
            <w:pPr>
              <w:pStyle w:val="TableBodyText"/>
            </w:pPr>
            <w:r>
              <w:t>D</w:t>
            </w:r>
          </w:p>
        </w:tc>
      </w:tr>
      <w:tr w:rsidR="005F78FC" w:rsidTr="005F78FC">
        <w:tc>
          <w:tcPr>
            <w:tcW w:w="0" w:type="auto"/>
            <w:vAlign w:val="center"/>
          </w:tcPr>
          <w:p w:rsidR="005F78FC" w:rsidRDefault="00B42EF3">
            <w:pPr>
              <w:pStyle w:val="TableBodyText"/>
            </w:pPr>
            <w:r>
              <w:t>M</w:t>
            </w:r>
          </w:p>
        </w:tc>
      </w:tr>
      <w:tr w:rsidR="005F78FC" w:rsidTr="005F78FC">
        <w:tc>
          <w:tcPr>
            <w:tcW w:w="0" w:type="auto"/>
            <w:vAlign w:val="center"/>
          </w:tcPr>
          <w:p w:rsidR="005F78FC" w:rsidRDefault="00B42EF3">
            <w:pPr>
              <w:pStyle w:val="TableBodyText"/>
            </w:pPr>
            <w:r>
              <w:t>Y</w:t>
            </w:r>
          </w:p>
        </w:tc>
      </w:tr>
      <w:tr w:rsidR="005F78FC" w:rsidTr="005F78FC">
        <w:tc>
          <w:tcPr>
            <w:tcW w:w="0" w:type="auto"/>
            <w:vAlign w:val="center"/>
          </w:tcPr>
          <w:p w:rsidR="005F78FC" w:rsidRDefault="00B42EF3">
            <w:pPr>
              <w:pStyle w:val="TableBodyText"/>
            </w:pPr>
            <w:r>
              <w:t>H</w:t>
            </w:r>
          </w:p>
        </w:tc>
      </w:tr>
      <w:tr w:rsidR="005F78FC" w:rsidTr="005F78FC">
        <w:tc>
          <w:tcPr>
            <w:tcW w:w="0" w:type="auto"/>
            <w:vAlign w:val="center"/>
          </w:tcPr>
          <w:p w:rsidR="005F78FC" w:rsidRDefault="00B42EF3">
            <w:pPr>
              <w:pStyle w:val="TableBodyText"/>
            </w:pPr>
            <w:r>
              <w:t>S</w:t>
            </w:r>
          </w:p>
        </w:tc>
      </w:tr>
      <w:tr w:rsidR="005F78FC" w:rsidTr="005F78FC">
        <w:tc>
          <w:tcPr>
            <w:tcW w:w="0" w:type="auto"/>
            <w:vAlign w:val="center"/>
          </w:tcPr>
          <w:p w:rsidR="005F78FC" w:rsidRDefault="00B42EF3">
            <w:pPr>
              <w:pStyle w:val="TableBodyText"/>
            </w:pPr>
            <w:r>
              <w:t>?</w:t>
            </w:r>
          </w:p>
        </w:tc>
      </w:tr>
      <w:tr w:rsidR="005F78FC" w:rsidTr="005F78FC">
        <w:tc>
          <w:tcPr>
            <w:tcW w:w="0" w:type="auto"/>
            <w:vAlign w:val="center"/>
          </w:tcPr>
          <w:p w:rsidR="005F78FC" w:rsidRDefault="00B42EF3">
            <w:pPr>
              <w:pStyle w:val="TableBodyText"/>
            </w:pPr>
            <w:r>
              <w:t>AM/PM</w:t>
            </w:r>
          </w:p>
        </w:tc>
      </w:tr>
      <w:tr w:rsidR="005F78FC" w:rsidTr="005F78FC">
        <w:tc>
          <w:tcPr>
            <w:tcW w:w="0" w:type="auto"/>
            <w:vAlign w:val="center"/>
          </w:tcPr>
          <w:p w:rsidR="005F78FC" w:rsidRDefault="00B42EF3">
            <w:pPr>
              <w:pStyle w:val="TableBodyText"/>
            </w:pPr>
            <w:r>
              <w:t>A/P</w:t>
            </w:r>
          </w:p>
        </w:tc>
      </w:tr>
      <w:tr w:rsidR="005F78FC" w:rsidTr="005F78FC">
        <w:tc>
          <w:tcPr>
            <w:tcW w:w="0" w:type="auto"/>
            <w:vAlign w:val="center"/>
          </w:tcPr>
          <w:p w:rsidR="005F78FC" w:rsidRDefault="00B42EF3">
            <w:pPr>
              <w:pStyle w:val="TableBodyText"/>
            </w:pPr>
            <w:r>
              <w:t>G</w:t>
            </w:r>
          </w:p>
        </w:tc>
      </w:tr>
      <w:tr w:rsidR="005F78FC" w:rsidTr="005F78FC">
        <w:tc>
          <w:tcPr>
            <w:tcW w:w="0" w:type="auto"/>
            <w:vAlign w:val="center"/>
          </w:tcPr>
          <w:p w:rsidR="005F78FC" w:rsidRDefault="00B42EF3">
            <w:pPr>
              <w:pStyle w:val="TableBodyText"/>
            </w:pPr>
            <w:r>
              <w:t>E</w:t>
            </w:r>
          </w:p>
        </w:tc>
      </w:tr>
      <w:tr w:rsidR="005F78FC" w:rsidTr="005F78FC">
        <w:tc>
          <w:tcPr>
            <w:tcW w:w="0" w:type="auto"/>
            <w:vAlign w:val="center"/>
          </w:tcPr>
          <w:p w:rsidR="005F78FC" w:rsidRDefault="00B42EF3">
            <w:pPr>
              <w:pStyle w:val="TableBodyText"/>
            </w:pPr>
            <w:r>
              <w:t>R</w:t>
            </w:r>
          </w:p>
        </w:tc>
      </w:tr>
    </w:tbl>
    <w:p w:rsidR="005F78FC" w:rsidRDefault="005F78FC"/>
    <w:p w:rsidR="005F78FC" w:rsidRDefault="00B42EF3">
      <w:r>
        <w:t>There are cases where it is also useful to discuss runs of similar interpreted characters.  [</w:t>
      </w:r>
      <w:r>
        <w:rPr>
          <w:i/>
        </w:rPr>
        <w:t>Example</w:t>
      </w:r>
      <w:r>
        <w:t xml:space="preserve">: Each d, m, and y within the number format code dd/mm/yyyy does not represent a separate interpretation of the day of the date value to be represented, and instead helps to make up a representation of the day of the date that is two digits in length. </w:t>
      </w:r>
      <w:r>
        <w:rPr>
          <w:i/>
        </w:rPr>
        <w:t xml:space="preserve">end </w:t>
      </w:r>
      <w:r>
        <w:rPr>
          <w:i/>
        </w:rPr>
        <w:t>example</w:t>
      </w:r>
      <w:r>
        <w:t>]. These runs of similar characters are referred to as interpreted symbols because multiple characters are used, but the result is a single symbolic representation of at least part of the value.</w:t>
      </w:r>
    </w:p>
    <w:p w:rsidR="005F78FC" w:rsidRDefault="00B42EF3">
      <w:r>
        <w:t>Because there are multiple different symbols for days,</w:t>
      </w:r>
      <w:r>
        <w:t xml:space="preserve"> months, years, hours, minutes, seconds, and AM/PM, it is sometimes useful to discuss all of the representations of each of these. When any of Day, Month, Year, Hour, Minute, and so on, is referred to within a rule, what is meant is any of the possible rep</w:t>
      </w:r>
      <w:r>
        <w:t>resentations for that date/time portion.  For example, a Day symbol would be any of d, dd, ddd, or dddd.</w:t>
      </w:r>
    </w:p>
    <w:p w:rsidR="005F78FC" w:rsidRDefault="00B42EF3">
      <w:r>
        <w:t>The use of characters such as 0, E, and % as a symbol within a number format code does not include usages of these same characters either escaped (by p</w:t>
      </w:r>
      <w:r>
        <w:t>receding them with a backslash character “\”) or as a part of a quoted string.</w:t>
      </w:r>
    </w:p>
    <w:p w:rsidR="005F78FC" w:rsidRDefault="00B42EF3">
      <w:r>
        <w:t>Here are the rules to determine the result value:</w:t>
      </w:r>
    </w:p>
    <w:p w:rsidR="005F78FC" w:rsidRDefault="00B42EF3">
      <w:r>
        <w:t>If the first interpreted symbols within the first section are any of the date or time characters (any of y, m, d, h, m, s), the</w:t>
      </w:r>
      <w:r>
        <w:t>n the first one or two characters of the return value are determined by the order of interpreted symbols (including any interpreted symbols, not just date/time symbols) according to the following table ("anything" can mean "no additional symbols". If the t</w:t>
      </w:r>
      <w:r>
        <w:t>ype is "anything except &lt;type&gt;", then the excepted symbol type cannot follow the previously specified symbol):</w:t>
      </w:r>
    </w:p>
    <w:tbl>
      <w:tblPr>
        <w:tblStyle w:val="Table-ShadedHeader"/>
        <w:tblW w:w="0" w:type="auto"/>
        <w:tblLook w:val="04A0" w:firstRow="1" w:lastRow="0" w:firstColumn="1" w:lastColumn="0" w:noHBand="0" w:noVBand="1"/>
      </w:tblPr>
      <w:tblGrid>
        <w:gridCol w:w="4630"/>
        <w:gridCol w:w="4845"/>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lastRenderedPageBreak/>
              <w:t>Interpreted Symbols in Order</w:t>
            </w:r>
          </w:p>
        </w:tc>
        <w:tc>
          <w:tcPr>
            <w:tcW w:w="0" w:type="auto"/>
            <w:vAlign w:val="center"/>
          </w:tcPr>
          <w:p w:rsidR="005F78FC" w:rsidRDefault="00B42EF3">
            <w:pPr>
              <w:pStyle w:val="TableHeaderText"/>
            </w:pPr>
            <w:r>
              <w:t>Return Value Characters</w:t>
            </w:r>
          </w:p>
        </w:tc>
      </w:tr>
      <w:tr w:rsidR="005F78FC" w:rsidTr="005F78FC">
        <w:tc>
          <w:tcPr>
            <w:tcW w:w="0" w:type="auto"/>
            <w:vAlign w:val="center"/>
          </w:tcPr>
          <w:p w:rsidR="005F78FC" w:rsidRDefault="00B42EF3">
            <w:pPr>
              <w:pStyle w:val="TableBodyText"/>
            </w:pPr>
            <w:r>
              <w:t>Day, month, year, anything</w:t>
            </w:r>
          </w:p>
        </w:tc>
        <w:tc>
          <w:tcPr>
            <w:tcW w:w="0" w:type="auto"/>
            <w:vAlign w:val="center"/>
          </w:tcPr>
          <w:p w:rsidR="005F78FC" w:rsidRDefault="00B42EF3">
            <w:pPr>
              <w:pStyle w:val="TableBodyText"/>
            </w:pPr>
            <w:r>
              <w:t>"D1"</w:t>
            </w:r>
          </w:p>
        </w:tc>
      </w:tr>
      <w:tr w:rsidR="005F78FC" w:rsidTr="005F78FC">
        <w:tc>
          <w:tcPr>
            <w:tcW w:w="0" w:type="auto"/>
            <w:vAlign w:val="center"/>
          </w:tcPr>
          <w:p w:rsidR="005F78FC" w:rsidRDefault="00B42EF3">
            <w:pPr>
              <w:pStyle w:val="TableBodyText"/>
            </w:pPr>
            <w:r>
              <w:t>Day, month, anything besides year, anything</w:t>
            </w:r>
          </w:p>
        </w:tc>
        <w:tc>
          <w:tcPr>
            <w:tcW w:w="0" w:type="auto"/>
            <w:vAlign w:val="center"/>
          </w:tcPr>
          <w:p w:rsidR="005F78FC" w:rsidRDefault="00B42EF3">
            <w:pPr>
              <w:pStyle w:val="TableBodyText"/>
            </w:pPr>
            <w:r>
              <w:t>"D2"</w:t>
            </w:r>
          </w:p>
        </w:tc>
      </w:tr>
      <w:tr w:rsidR="005F78FC" w:rsidTr="005F78FC">
        <w:tc>
          <w:tcPr>
            <w:tcW w:w="0" w:type="auto"/>
            <w:vAlign w:val="center"/>
          </w:tcPr>
          <w:p w:rsidR="005F78FC" w:rsidRDefault="00B42EF3">
            <w:pPr>
              <w:pStyle w:val="TableBodyText"/>
            </w:pPr>
            <w:r>
              <w:t xml:space="preserve">Month, </w:t>
            </w:r>
            <w:r>
              <w:t>year, anything</w:t>
            </w:r>
          </w:p>
        </w:tc>
        <w:tc>
          <w:tcPr>
            <w:tcW w:w="0" w:type="auto"/>
            <w:vAlign w:val="center"/>
          </w:tcPr>
          <w:p w:rsidR="005F78FC" w:rsidRDefault="00B42EF3">
            <w:pPr>
              <w:pStyle w:val="TableBodyText"/>
            </w:pPr>
            <w:r>
              <w:t>"D3"</w:t>
            </w:r>
          </w:p>
        </w:tc>
      </w:tr>
      <w:tr w:rsidR="005F78FC" w:rsidTr="005F78FC">
        <w:tc>
          <w:tcPr>
            <w:tcW w:w="0" w:type="auto"/>
            <w:vAlign w:val="center"/>
          </w:tcPr>
          <w:p w:rsidR="005F78FC" w:rsidRDefault="00B42EF3">
            <w:pPr>
              <w:pStyle w:val="TableBodyText"/>
            </w:pPr>
            <w:r>
              <w:t>Month, day, year, anything</w:t>
            </w:r>
          </w:p>
        </w:tc>
        <w:tc>
          <w:tcPr>
            <w:tcW w:w="0" w:type="auto"/>
            <w:vAlign w:val="center"/>
          </w:tcPr>
          <w:p w:rsidR="005F78FC" w:rsidRDefault="00B42EF3">
            <w:pPr>
              <w:pStyle w:val="TableBodyText"/>
            </w:pPr>
            <w:r>
              <w:t>"D4"</w:t>
            </w:r>
          </w:p>
        </w:tc>
      </w:tr>
      <w:tr w:rsidR="005F78FC" w:rsidTr="005F78FC">
        <w:tc>
          <w:tcPr>
            <w:tcW w:w="0" w:type="auto"/>
            <w:vAlign w:val="center"/>
          </w:tcPr>
          <w:p w:rsidR="005F78FC" w:rsidRDefault="00B42EF3">
            <w:pPr>
              <w:pStyle w:val="TableBodyText"/>
            </w:pPr>
            <w:r>
              <w:t>Month, day, anything besides year, anything</w:t>
            </w:r>
          </w:p>
        </w:tc>
        <w:tc>
          <w:tcPr>
            <w:tcW w:w="0" w:type="auto"/>
            <w:vAlign w:val="center"/>
          </w:tcPr>
          <w:p w:rsidR="005F78FC" w:rsidRDefault="00B42EF3">
            <w:pPr>
              <w:pStyle w:val="TableBodyText"/>
            </w:pPr>
            <w:r>
              <w:t>"D5"</w:t>
            </w:r>
          </w:p>
        </w:tc>
      </w:tr>
      <w:tr w:rsidR="005F78FC" w:rsidTr="005F78FC">
        <w:tc>
          <w:tcPr>
            <w:tcW w:w="0" w:type="auto"/>
            <w:vAlign w:val="center"/>
          </w:tcPr>
          <w:p w:rsidR="005F78FC" w:rsidRDefault="00B42EF3">
            <w:pPr>
              <w:pStyle w:val="TableBodyText"/>
            </w:pPr>
            <w:r>
              <w:t>Hours, minutes, seconds, AM/PM, anything</w:t>
            </w:r>
          </w:p>
        </w:tc>
        <w:tc>
          <w:tcPr>
            <w:tcW w:w="0" w:type="auto"/>
            <w:vAlign w:val="center"/>
          </w:tcPr>
          <w:p w:rsidR="005F78FC" w:rsidRDefault="00B42EF3">
            <w:pPr>
              <w:pStyle w:val="TableBodyText"/>
            </w:pPr>
            <w:r>
              <w:t>"D6"</w:t>
            </w:r>
          </w:p>
        </w:tc>
      </w:tr>
      <w:tr w:rsidR="005F78FC" w:rsidTr="005F78FC">
        <w:tc>
          <w:tcPr>
            <w:tcW w:w="0" w:type="auto"/>
            <w:vAlign w:val="center"/>
          </w:tcPr>
          <w:p w:rsidR="005F78FC" w:rsidRDefault="00B42EF3">
            <w:pPr>
              <w:pStyle w:val="TableBodyText"/>
            </w:pPr>
            <w:r>
              <w:t>Hours, minutes, AM/PM, anything</w:t>
            </w:r>
          </w:p>
        </w:tc>
        <w:tc>
          <w:tcPr>
            <w:tcW w:w="0" w:type="auto"/>
            <w:vAlign w:val="center"/>
          </w:tcPr>
          <w:p w:rsidR="005F78FC" w:rsidRDefault="00B42EF3">
            <w:pPr>
              <w:pStyle w:val="TableBodyText"/>
            </w:pPr>
            <w:r>
              <w:t>"D7"</w:t>
            </w:r>
          </w:p>
        </w:tc>
      </w:tr>
      <w:tr w:rsidR="005F78FC" w:rsidTr="005F78FC">
        <w:tc>
          <w:tcPr>
            <w:tcW w:w="0" w:type="auto"/>
            <w:vAlign w:val="center"/>
          </w:tcPr>
          <w:p w:rsidR="005F78FC" w:rsidRDefault="00B42EF3">
            <w:pPr>
              <w:pStyle w:val="TableBodyText"/>
            </w:pPr>
            <w:r>
              <w:t>Hours, minutes, seconds, anything besides AM/PM, anything</w:t>
            </w:r>
          </w:p>
        </w:tc>
        <w:tc>
          <w:tcPr>
            <w:tcW w:w="0" w:type="auto"/>
            <w:vAlign w:val="center"/>
          </w:tcPr>
          <w:p w:rsidR="005F78FC" w:rsidRDefault="00B42EF3">
            <w:pPr>
              <w:pStyle w:val="TableBodyText"/>
            </w:pPr>
            <w:r>
              <w:t>"D8"</w:t>
            </w:r>
          </w:p>
        </w:tc>
      </w:tr>
      <w:tr w:rsidR="005F78FC" w:rsidTr="005F78FC">
        <w:tc>
          <w:tcPr>
            <w:tcW w:w="0" w:type="auto"/>
            <w:vAlign w:val="center"/>
          </w:tcPr>
          <w:p w:rsidR="005F78FC" w:rsidRDefault="00B42EF3">
            <w:pPr>
              <w:pStyle w:val="TableBodyText"/>
            </w:pPr>
            <w:r>
              <w:t>Hours, minutes, anything besides seconds or AM/PM, anything</w:t>
            </w:r>
          </w:p>
        </w:tc>
        <w:tc>
          <w:tcPr>
            <w:tcW w:w="0" w:type="auto"/>
            <w:vAlign w:val="center"/>
          </w:tcPr>
          <w:p w:rsidR="005F78FC" w:rsidRDefault="00B42EF3">
            <w:pPr>
              <w:pStyle w:val="TableBodyText"/>
            </w:pPr>
            <w:r>
              <w:t>"D9"</w:t>
            </w:r>
          </w:p>
        </w:tc>
      </w:tr>
      <w:tr w:rsidR="005F78FC" w:rsidTr="005F78FC">
        <w:tc>
          <w:tcPr>
            <w:tcW w:w="0" w:type="auto"/>
            <w:vAlign w:val="center"/>
          </w:tcPr>
          <w:p w:rsidR="005F78FC" w:rsidRDefault="00B42EF3">
            <w:pPr>
              <w:pStyle w:val="TableBodyText"/>
            </w:pPr>
            <w:r>
              <w:t>Any other combination of symbols</w:t>
            </w:r>
          </w:p>
        </w:tc>
        <w:tc>
          <w:tcPr>
            <w:tcW w:w="0" w:type="auto"/>
            <w:vAlign w:val="center"/>
          </w:tcPr>
          <w:p w:rsidR="005F78FC" w:rsidRDefault="00B42EF3">
            <w:pPr>
              <w:pStyle w:val="TableBodyText"/>
            </w:pPr>
            <w:r>
              <w:t>"G" or "C" depending on whether there is a $ in the first condition</w:t>
            </w:r>
          </w:p>
        </w:tc>
      </w:tr>
    </w:tbl>
    <w:p w:rsidR="005F78FC" w:rsidRDefault="005F78FC"/>
    <w:p w:rsidR="005F78FC" w:rsidRDefault="00B42EF3">
      <w:r>
        <w:t>Otherwise, the first character of the return value is determined based upon the referen</w:t>
      </w:r>
      <w:r>
        <w:t>ced cell’s number format code according to the rules in the following table:</w:t>
      </w:r>
    </w:p>
    <w:tbl>
      <w:tblPr>
        <w:tblStyle w:val="Table-ShadedHeader"/>
        <w:tblW w:w="0" w:type="auto"/>
        <w:tblLook w:val="04A0" w:firstRow="1" w:lastRow="0" w:firstColumn="1" w:lastColumn="0" w:noHBand="0" w:noVBand="1"/>
      </w:tblPr>
      <w:tblGrid>
        <w:gridCol w:w="2911"/>
        <w:gridCol w:w="4975"/>
        <w:gridCol w:w="1589"/>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5F78FC" w:rsidRDefault="00B42EF3">
            <w:pPr>
              <w:pStyle w:val="TableHeaderText"/>
            </w:pPr>
            <w:r>
              <w:t>First Section of the Number Format Code</w:t>
            </w:r>
          </w:p>
        </w:tc>
        <w:tc>
          <w:tcPr>
            <w:tcW w:w="0" w:type="auto"/>
            <w:vAlign w:val="center"/>
          </w:tcPr>
          <w:p w:rsidR="005F78FC" w:rsidRDefault="00B42EF3">
            <w:pPr>
              <w:pStyle w:val="TableHeaderText"/>
            </w:pPr>
            <w:r>
              <w:t>First Return Value Character</w:t>
            </w:r>
          </w:p>
        </w:tc>
      </w:tr>
      <w:tr w:rsidR="005F78FC" w:rsidTr="005F78FC">
        <w:tc>
          <w:tcPr>
            <w:tcW w:w="0" w:type="auto"/>
            <w:vAlign w:val="center"/>
          </w:tcPr>
          <w:p w:rsidR="005F78FC" w:rsidRDefault="00B42EF3">
            <w:pPr>
              <w:pStyle w:val="TableBodyText"/>
            </w:pPr>
            <w:r>
              <w:t>Absent Characters</w:t>
            </w:r>
          </w:p>
          <w:p w:rsidR="005F78FC" w:rsidRDefault="00B42EF3">
            <w:pPr>
              <w:pStyle w:val="TableBodyText"/>
            </w:pPr>
            <w:r>
              <w:t>(as Symbols)</w:t>
            </w:r>
          </w:p>
        </w:tc>
        <w:tc>
          <w:tcPr>
            <w:tcW w:w="0" w:type="auto"/>
            <w:vAlign w:val="center"/>
          </w:tcPr>
          <w:p w:rsidR="005F78FC" w:rsidRDefault="00B42EF3">
            <w:pPr>
              <w:pStyle w:val="TableBodyText"/>
            </w:pPr>
            <w:r>
              <w:t>Present Characters</w:t>
            </w:r>
          </w:p>
          <w:p w:rsidR="005F78FC" w:rsidRDefault="00B42EF3">
            <w:pPr>
              <w:pStyle w:val="TableBodyText"/>
            </w:pPr>
            <w:r>
              <w:t>(as Symbols)</w:t>
            </w:r>
          </w:p>
        </w:tc>
        <w:tc>
          <w:tcPr>
            <w:tcW w:w="0" w:type="auto"/>
            <w:vAlign w:val="center"/>
          </w:tcPr>
          <w:p w:rsidR="005F78FC" w:rsidRDefault="005F78FC">
            <w:pPr>
              <w:pStyle w:val="TableBodyText"/>
            </w:pPr>
          </w:p>
        </w:tc>
      </w:tr>
      <w:tr w:rsidR="005F78FC" w:rsidTr="005F78FC">
        <w:tc>
          <w:tcPr>
            <w:tcW w:w="0" w:type="auto"/>
            <w:vAlign w:val="center"/>
          </w:tcPr>
          <w:p w:rsidR="005F78FC" w:rsidRDefault="005F78FC">
            <w:pPr>
              <w:pStyle w:val="TableBodyText"/>
            </w:pPr>
          </w:p>
        </w:tc>
        <w:tc>
          <w:tcPr>
            <w:tcW w:w="0" w:type="auto"/>
            <w:vAlign w:val="center"/>
          </w:tcPr>
          <w:p w:rsidR="005F78FC" w:rsidRDefault="00B42EF3">
            <w:pPr>
              <w:pStyle w:val="TableBodyText"/>
            </w:pPr>
            <w:r>
              <w:t>@</w:t>
            </w:r>
          </w:p>
        </w:tc>
        <w:tc>
          <w:tcPr>
            <w:tcW w:w="0" w:type="auto"/>
            <w:vAlign w:val="center"/>
          </w:tcPr>
          <w:p w:rsidR="005F78FC" w:rsidRDefault="00B42EF3">
            <w:pPr>
              <w:pStyle w:val="TableBodyText"/>
            </w:pPr>
            <w:r>
              <w:t>"G"</w:t>
            </w:r>
          </w:p>
        </w:tc>
      </w:tr>
      <w:tr w:rsidR="005F78FC" w:rsidTr="005F78FC">
        <w:tc>
          <w:tcPr>
            <w:tcW w:w="0" w:type="auto"/>
            <w:vAlign w:val="center"/>
          </w:tcPr>
          <w:p w:rsidR="005F78FC" w:rsidRDefault="00B42EF3">
            <w:pPr>
              <w:pStyle w:val="TableBodyText"/>
            </w:pPr>
            <w:r>
              <w:t>@</w:t>
            </w:r>
          </w:p>
        </w:tc>
        <w:tc>
          <w:tcPr>
            <w:tcW w:w="0" w:type="auto"/>
            <w:vAlign w:val="center"/>
          </w:tcPr>
          <w:p w:rsidR="005F78FC" w:rsidRDefault="00B42EF3">
            <w:pPr>
              <w:pStyle w:val="TableBodyText"/>
            </w:pPr>
            <w:r>
              <w:t>$</w:t>
            </w:r>
          </w:p>
        </w:tc>
        <w:tc>
          <w:tcPr>
            <w:tcW w:w="0" w:type="auto"/>
            <w:vAlign w:val="center"/>
          </w:tcPr>
          <w:p w:rsidR="005F78FC" w:rsidRDefault="00B42EF3">
            <w:pPr>
              <w:pStyle w:val="TableBodyText"/>
            </w:pPr>
            <w:r>
              <w:t>"C"</w:t>
            </w:r>
          </w:p>
        </w:tc>
      </w:tr>
      <w:tr w:rsidR="005F78FC" w:rsidTr="005F78FC">
        <w:tc>
          <w:tcPr>
            <w:tcW w:w="0" w:type="auto"/>
            <w:vAlign w:val="center"/>
          </w:tcPr>
          <w:p w:rsidR="005F78FC" w:rsidRDefault="00B42EF3">
            <w:pPr>
              <w:pStyle w:val="TableBodyText"/>
            </w:pPr>
            <w:r>
              <w:t>@, $</w:t>
            </w:r>
          </w:p>
        </w:tc>
        <w:tc>
          <w:tcPr>
            <w:tcW w:w="0" w:type="auto"/>
            <w:vAlign w:val="center"/>
          </w:tcPr>
          <w:p w:rsidR="005F78FC" w:rsidRDefault="00B42EF3">
            <w:pPr>
              <w:pStyle w:val="TableBodyText"/>
            </w:pPr>
            <w:r>
              <w:t>%</w:t>
            </w:r>
          </w:p>
        </w:tc>
        <w:tc>
          <w:tcPr>
            <w:tcW w:w="0" w:type="auto"/>
            <w:vAlign w:val="center"/>
          </w:tcPr>
          <w:p w:rsidR="005F78FC" w:rsidRDefault="00B42EF3">
            <w:pPr>
              <w:pStyle w:val="TableBodyText"/>
            </w:pPr>
            <w:r>
              <w:t>"P"</w:t>
            </w:r>
          </w:p>
        </w:tc>
      </w:tr>
      <w:tr w:rsidR="005F78FC" w:rsidTr="005F78FC">
        <w:tc>
          <w:tcPr>
            <w:tcW w:w="0" w:type="auto"/>
            <w:vAlign w:val="center"/>
          </w:tcPr>
          <w:p w:rsidR="005F78FC" w:rsidRDefault="00B42EF3">
            <w:pPr>
              <w:pStyle w:val="TableBodyText"/>
            </w:pPr>
            <w:r>
              <w:t>@, $, %</w:t>
            </w:r>
          </w:p>
        </w:tc>
        <w:tc>
          <w:tcPr>
            <w:tcW w:w="0" w:type="auto"/>
            <w:vAlign w:val="center"/>
          </w:tcPr>
          <w:p w:rsidR="005F78FC" w:rsidRDefault="00B42EF3">
            <w:pPr>
              <w:pStyle w:val="TableBodyText"/>
            </w:pPr>
            <w:r>
              <w:t>E</w:t>
            </w:r>
          </w:p>
        </w:tc>
        <w:tc>
          <w:tcPr>
            <w:tcW w:w="0" w:type="auto"/>
            <w:vAlign w:val="center"/>
          </w:tcPr>
          <w:p w:rsidR="005F78FC" w:rsidRDefault="00B42EF3">
            <w:pPr>
              <w:pStyle w:val="TableBodyText"/>
            </w:pPr>
            <w:r>
              <w:t>"S"</w:t>
            </w:r>
          </w:p>
        </w:tc>
      </w:tr>
      <w:tr w:rsidR="005F78FC" w:rsidTr="005F78FC">
        <w:tc>
          <w:tcPr>
            <w:tcW w:w="0" w:type="auto"/>
            <w:vAlign w:val="center"/>
          </w:tcPr>
          <w:p w:rsidR="005F78FC" w:rsidRDefault="00B42EF3">
            <w:pPr>
              <w:pStyle w:val="TableBodyText"/>
            </w:pPr>
            <w:r>
              <w:t>@, $, %, E</w:t>
            </w:r>
          </w:p>
        </w:tc>
        <w:tc>
          <w:tcPr>
            <w:tcW w:w="0" w:type="auto"/>
            <w:vAlign w:val="center"/>
          </w:tcPr>
          <w:p w:rsidR="005F78FC" w:rsidRDefault="00B42EF3">
            <w:pPr>
              <w:pStyle w:val="TableBodyText"/>
            </w:pPr>
            <w:r>
              <w:t>A run of any combination of one or more "0", "#", and "?" characters, followed by a comma, followed by a run of any combination of one or more "0", "#", and "?" characters.</w:t>
            </w:r>
          </w:p>
          <w:p w:rsidR="005F78FC" w:rsidRDefault="005F78FC">
            <w:pPr>
              <w:pStyle w:val="TableBodyText"/>
            </w:pPr>
          </w:p>
          <w:p w:rsidR="005F78FC" w:rsidRDefault="00B42EF3">
            <w:pPr>
              <w:pStyle w:val="TableBodyText"/>
            </w:pPr>
            <w:r>
              <w:t>This run cannot be preceded by a period (".") or by any interpreted cha</w:t>
            </w:r>
            <w:r>
              <w:t>racters.</w:t>
            </w:r>
          </w:p>
        </w:tc>
        <w:tc>
          <w:tcPr>
            <w:tcW w:w="0" w:type="auto"/>
            <w:vAlign w:val="center"/>
          </w:tcPr>
          <w:p w:rsidR="005F78FC" w:rsidRDefault="00B42EF3">
            <w:pPr>
              <w:pStyle w:val="TableBodyText"/>
            </w:pPr>
            <w:r>
              <w:t>","</w:t>
            </w:r>
          </w:p>
        </w:tc>
      </w:tr>
      <w:tr w:rsidR="005F78FC" w:rsidTr="005F78FC">
        <w:tc>
          <w:tcPr>
            <w:tcW w:w="0" w:type="auto"/>
            <w:vAlign w:val="center"/>
          </w:tcPr>
          <w:p w:rsidR="005F78FC" w:rsidRDefault="00B42EF3">
            <w:pPr>
              <w:pStyle w:val="TableBodyText"/>
            </w:pPr>
            <w:r>
              <w:t xml:space="preserve">@, $, %, E, or a run of characters containing a comma as described in the preceding row </w:t>
            </w:r>
          </w:p>
        </w:tc>
        <w:tc>
          <w:tcPr>
            <w:tcW w:w="0" w:type="auto"/>
            <w:vAlign w:val="center"/>
          </w:tcPr>
          <w:p w:rsidR="005F78FC" w:rsidRDefault="00B42EF3">
            <w:pPr>
              <w:pStyle w:val="TableBodyText"/>
            </w:pPr>
            <w:r>
              <w:t>At least one of "0", "?", or "#"</w:t>
            </w:r>
          </w:p>
        </w:tc>
        <w:tc>
          <w:tcPr>
            <w:tcW w:w="0" w:type="auto"/>
            <w:vAlign w:val="center"/>
          </w:tcPr>
          <w:p w:rsidR="005F78FC" w:rsidRDefault="00B42EF3">
            <w:pPr>
              <w:pStyle w:val="TableBodyText"/>
            </w:pPr>
            <w:r>
              <w:t>"F"</w:t>
            </w:r>
          </w:p>
        </w:tc>
      </w:tr>
      <w:tr w:rsidR="005F78FC" w:rsidTr="005F78FC">
        <w:tc>
          <w:tcPr>
            <w:tcW w:w="0" w:type="auto"/>
            <w:vAlign w:val="center"/>
          </w:tcPr>
          <w:p w:rsidR="005F78FC" w:rsidRDefault="00B42EF3">
            <w:pPr>
              <w:pStyle w:val="TableBodyText"/>
            </w:pPr>
            <w:r>
              <w:t>Any of the conditions described in the preceding rows</w:t>
            </w:r>
          </w:p>
        </w:tc>
        <w:tc>
          <w:tcPr>
            <w:tcW w:w="0" w:type="auto"/>
            <w:vAlign w:val="center"/>
          </w:tcPr>
          <w:p w:rsidR="005F78FC" w:rsidRDefault="00B42EF3">
            <w:pPr>
              <w:pStyle w:val="TableBodyText"/>
            </w:pPr>
            <w:r>
              <w:t>Anything</w:t>
            </w:r>
          </w:p>
        </w:tc>
        <w:tc>
          <w:tcPr>
            <w:tcW w:w="0" w:type="auto"/>
            <w:vAlign w:val="center"/>
          </w:tcPr>
          <w:p w:rsidR="005F78FC" w:rsidRDefault="00B42EF3">
            <w:pPr>
              <w:pStyle w:val="TableBodyText"/>
            </w:pPr>
            <w:r>
              <w:t>"G"</w:t>
            </w:r>
          </w:p>
        </w:tc>
      </w:tr>
    </w:tbl>
    <w:p w:rsidR="005F78FC" w:rsidRDefault="005F78FC"/>
    <w:p w:rsidR="005F78FC" w:rsidRDefault="00B42EF3">
      <w:r>
        <w:lastRenderedPageBreak/>
        <w:t>The final value is determined by appending any</w:t>
      </w:r>
      <w:r>
        <w:t xml:space="preserve"> of the applicable characters from the following table to the return value characters obtained from the previous two tables:</w:t>
      </w:r>
    </w:p>
    <w:tbl>
      <w:tblPr>
        <w:tblStyle w:val="Table-ShadedHeader"/>
        <w:tblW w:w="0" w:type="auto"/>
        <w:tblLook w:val="04A0" w:firstRow="1" w:lastRow="0" w:firstColumn="1" w:lastColumn="0" w:noHBand="0" w:noVBand="1"/>
      </w:tblPr>
      <w:tblGrid>
        <w:gridCol w:w="4922"/>
        <w:gridCol w:w="4553"/>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Case</w:t>
            </w:r>
          </w:p>
        </w:tc>
        <w:tc>
          <w:tcPr>
            <w:tcW w:w="0" w:type="auto"/>
            <w:vAlign w:val="center"/>
          </w:tcPr>
          <w:p w:rsidR="005F78FC" w:rsidRDefault="00B42EF3">
            <w:pPr>
              <w:pStyle w:val="TableHeaderText"/>
            </w:pPr>
            <w:r>
              <w:t>Characters to Append</w:t>
            </w:r>
          </w:p>
        </w:tc>
      </w:tr>
      <w:tr w:rsidR="005F78FC" w:rsidTr="005F78FC">
        <w:tc>
          <w:tcPr>
            <w:tcW w:w="0" w:type="auto"/>
            <w:vAlign w:val="center"/>
          </w:tcPr>
          <w:p w:rsidR="005F78FC" w:rsidRDefault="00B42EF3">
            <w:pPr>
              <w:pStyle w:val="TableBodyText"/>
            </w:pPr>
            <w:r>
              <w:t>The first character of the return value is C, F, S, P, or "," and the number format code contains any of</w:t>
            </w:r>
            <w:r>
              <w:t xml:space="preserve"> "?", "0", or "#" as a symbol.</w:t>
            </w:r>
          </w:p>
        </w:tc>
        <w:tc>
          <w:tcPr>
            <w:tcW w:w="0" w:type="auto"/>
            <w:vAlign w:val="center"/>
          </w:tcPr>
          <w:p w:rsidR="005F78FC" w:rsidRDefault="00B42EF3">
            <w:pPr>
              <w:pStyle w:val="TableBodyText"/>
            </w:pPr>
            <w:r>
              <w:t>The decimal number equal to the total number of "#", "?", and "0" characters to the right of the first "." within the first section.</w:t>
            </w:r>
          </w:p>
        </w:tc>
      </w:tr>
      <w:tr w:rsidR="005F78FC" w:rsidTr="005F78FC">
        <w:tc>
          <w:tcPr>
            <w:tcW w:w="0" w:type="auto"/>
            <w:vAlign w:val="center"/>
          </w:tcPr>
          <w:p w:rsidR="005F78FC" w:rsidRDefault="00B42EF3">
            <w:pPr>
              <w:pStyle w:val="TableBodyText"/>
            </w:pPr>
            <w:r>
              <w:t>The first character of the return value was C, and the number format code does not contains</w:t>
            </w:r>
            <w:r>
              <w:t xml:space="preserve"> any of "?", "0", or "#" as a symbol.</w:t>
            </w:r>
          </w:p>
        </w:tc>
        <w:tc>
          <w:tcPr>
            <w:tcW w:w="0" w:type="auto"/>
            <w:vAlign w:val="center"/>
          </w:tcPr>
          <w:p w:rsidR="005F78FC" w:rsidRDefault="00B42EF3">
            <w:pPr>
              <w:pStyle w:val="TableBodyText"/>
            </w:pPr>
            <w:r>
              <w:t>15 or the length of the string immediately following the first "$" sign in the number format code that is a symbol.</w:t>
            </w:r>
          </w:p>
        </w:tc>
      </w:tr>
      <w:tr w:rsidR="005F78FC" w:rsidTr="005F78FC">
        <w:tc>
          <w:tcPr>
            <w:tcW w:w="0" w:type="auto"/>
            <w:vAlign w:val="center"/>
          </w:tcPr>
          <w:p w:rsidR="005F78FC" w:rsidRDefault="00B42EF3">
            <w:pPr>
              <w:pStyle w:val="TableBodyText"/>
            </w:pPr>
            <w:r>
              <w:t>The first section of the number format code contains an open parenthesis ("(") as a symbol.</w:t>
            </w:r>
          </w:p>
        </w:tc>
        <w:tc>
          <w:tcPr>
            <w:tcW w:w="0" w:type="auto"/>
            <w:vAlign w:val="center"/>
          </w:tcPr>
          <w:p w:rsidR="005F78FC" w:rsidRDefault="00B42EF3">
            <w:pPr>
              <w:pStyle w:val="TableBodyText"/>
            </w:pPr>
            <w:r>
              <w:t>"()"</w:t>
            </w:r>
          </w:p>
        </w:tc>
      </w:tr>
      <w:tr w:rsidR="005F78FC" w:rsidTr="005F78FC">
        <w:tc>
          <w:tcPr>
            <w:tcW w:w="0" w:type="auto"/>
            <w:vAlign w:val="center"/>
          </w:tcPr>
          <w:p w:rsidR="005F78FC" w:rsidRDefault="00B42EF3">
            <w:pPr>
              <w:pStyle w:val="TableBodyText"/>
            </w:pPr>
            <w:r>
              <w:t>The</w:t>
            </w:r>
            <w:r>
              <w:t xml:space="preserve"> second section of the number format code contains [Red], [Black], [Green], [White], [Blue], [Magenta], [Yellow], or [Cyan] as a symbol.</w:t>
            </w:r>
          </w:p>
        </w:tc>
        <w:tc>
          <w:tcPr>
            <w:tcW w:w="0" w:type="auto"/>
            <w:vAlign w:val="center"/>
          </w:tcPr>
          <w:p w:rsidR="005F78FC" w:rsidRDefault="00B42EF3">
            <w:pPr>
              <w:pStyle w:val="TableBodyText"/>
            </w:pPr>
            <w:r>
              <w:t>"-"</w:t>
            </w:r>
          </w:p>
        </w:tc>
      </w:tr>
    </w:tbl>
    <w:p w:rsidR="005F78FC" w:rsidRDefault="005F78FC"/>
    <w:p w:rsidR="005F78FC" w:rsidRDefault="00B42EF3">
      <w:pPr>
        <w:pStyle w:val="Definition-Field"/>
      </w:pPr>
      <w:r>
        <w:t xml:space="preserve">c.   </w:t>
      </w:r>
      <w:r>
        <w:rPr>
          <w:i/>
        </w:rPr>
        <w:t>The standard does not specify coord and sheet as values for argument category.</w:t>
      </w:r>
    </w:p>
    <w:p w:rsidR="005F78FC" w:rsidRDefault="00B42EF3">
      <w:r>
        <w:t>Excel allows the following ad</w:t>
      </w:r>
      <w:r>
        <w:t xml:space="preserve">ditional values for the </w:t>
      </w:r>
      <w:r>
        <w:rPr>
          <w:i/>
        </w:rPr>
        <w:t>category</w:t>
      </w:r>
      <w:r>
        <w:t xml:space="preserve"> argument: </w:t>
      </w:r>
    </w:p>
    <w:tbl>
      <w:tblPr>
        <w:tblStyle w:val="Table-ShadedHeader"/>
        <w:tblW w:w="0" w:type="auto"/>
        <w:tblLook w:val="04A0" w:firstRow="1" w:lastRow="0" w:firstColumn="1" w:lastColumn="0" w:noHBand="0" w:noVBand="1"/>
      </w:tblPr>
      <w:tblGrid>
        <w:gridCol w:w="1016"/>
        <w:gridCol w:w="7188"/>
        <w:gridCol w:w="1271"/>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category</w:t>
            </w:r>
          </w:p>
        </w:tc>
        <w:tc>
          <w:tcPr>
            <w:tcW w:w="0" w:type="auto"/>
            <w:vAlign w:val="center"/>
          </w:tcPr>
          <w:p w:rsidR="005F78FC" w:rsidRDefault="00B42EF3">
            <w:pPr>
              <w:pStyle w:val="TableHeaderText"/>
            </w:pPr>
            <w:r>
              <w:t>Meaning</w:t>
            </w:r>
          </w:p>
        </w:tc>
        <w:tc>
          <w:tcPr>
            <w:tcW w:w="0" w:type="auto"/>
            <w:vAlign w:val="center"/>
          </w:tcPr>
          <w:p w:rsidR="005F78FC" w:rsidRDefault="00B42EF3">
            <w:pPr>
              <w:pStyle w:val="TableHeaderText"/>
            </w:pPr>
            <w:r>
              <w:t>Result Type</w:t>
            </w:r>
          </w:p>
        </w:tc>
      </w:tr>
      <w:tr w:rsidR="005F78FC" w:rsidTr="005F78FC">
        <w:tc>
          <w:tcPr>
            <w:tcW w:w="0" w:type="auto"/>
            <w:vAlign w:val="center"/>
          </w:tcPr>
          <w:p w:rsidR="005F78FC" w:rsidRDefault="00B42EF3">
            <w:pPr>
              <w:pStyle w:val="TableBodyText"/>
            </w:pPr>
            <w:r>
              <w:rPr>
                <w:rStyle w:val="InlineCode"/>
              </w:rPr>
              <w:t>“coord”</w:t>
            </w:r>
          </w:p>
        </w:tc>
        <w:tc>
          <w:tcPr>
            <w:tcW w:w="0" w:type="auto"/>
            <w:vAlign w:val="center"/>
          </w:tcPr>
          <w:p w:rsidR="005F78FC" w:rsidRDefault="00B42EF3">
            <w:pPr>
              <w:pStyle w:val="TableBodyText"/>
            </w:pPr>
            <w:r>
              <w:t>Returns the referenced cell in the format $A:$&lt;referenced column&gt;$&lt;referenced row&gt;.</w:t>
            </w:r>
          </w:p>
        </w:tc>
        <w:tc>
          <w:tcPr>
            <w:tcW w:w="0" w:type="auto"/>
            <w:vAlign w:val="center"/>
          </w:tcPr>
          <w:p w:rsidR="005F78FC" w:rsidRDefault="00B42EF3">
            <w:pPr>
              <w:pStyle w:val="TableBodyText"/>
            </w:pPr>
            <w:r>
              <w:t>text</w:t>
            </w:r>
          </w:p>
        </w:tc>
      </w:tr>
      <w:tr w:rsidR="005F78FC" w:rsidTr="005F78FC">
        <w:tc>
          <w:tcPr>
            <w:tcW w:w="0" w:type="auto"/>
            <w:vAlign w:val="center"/>
          </w:tcPr>
          <w:p w:rsidR="005F78FC" w:rsidRDefault="00B42EF3">
            <w:pPr>
              <w:pStyle w:val="TableBodyText"/>
            </w:pPr>
            <w:r>
              <w:rPr>
                <w:rStyle w:val="InlineCode"/>
              </w:rPr>
              <w:t>“sheet”</w:t>
            </w:r>
          </w:p>
        </w:tc>
        <w:tc>
          <w:tcPr>
            <w:tcW w:w="0" w:type="auto"/>
            <w:vAlign w:val="center"/>
          </w:tcPr>
          <w:p w:rsidR="005F78FC" w:rsidRDefault="00B42EF3">
            <w:pPr>
              <w:pStyle w:val="TableBodyText"/>
            </w:pPr>
            <w:r>
              <w:t>Returns 1.</w:t>
            </w:r>
          </w:p>
        </w:tc>
        <w:tc>
          <w:tcPr>
            <w:tcW w:w="0" w:type="auto"/>
            <w:vAlign w:val="center"/>
          </w:tcPr>
          <w:p w:rsidR="005F78FC" w:rsidRDefault="00B42EF3">
            <w:pPr>
              <w:pStyle w:val="TableBodyText"/>
            </w:pPr>
            <w:r>
              <w:t>number</w:t>
            </w:r>
          </w:p>
        </w:tc>
      </w:tr>
    </w:tbl>
    <w:p w:rsidR="005F78FC" w:rsidRDefault="005F78FC"/>
    <w:p w:rsidR="005F78FC" w:rsidRDefault="00B42EF3">
      <w:pPr>
        <w:pStyle w:val="Heading3"/>
      </w:pPr>
      <w:bookmarkStart w:id="1812" w:name="section_ea535fffeba54b7eb9d5875c916ad0a9"/>
      <w:bookmarkStart w:id="1813" w:name="_Toc69878679"/>
      <w:r>
        <w:t>Part 1 Section 18.17.7.37, CHIINV</w:t>
      </w:r>
      <w:bookmarkEnd w:id="1812"/>
      <w:bookmarkEnd w:id="1813"/>
      <w:r>
        <w:fldChar w:fldCharType="begin"/>
      </w:r>
      <w:r>
        <w:instrText xml:space="preserve"> XE "CHIINV" </w:instrText>
      </w:r>
      <w:r>
        <w:fldChar w:fldCharType="end"/>
      </w:r>
    </w:p>
    <w:p w:rsidR="005F78FC" w:rsidRDefault="00B42EF3">
      <w:pPr>
        <w:pStyle w:val="Definition-Field"/>
      </w:pPr>
      <w:r>
        <w:t xml:space="preserve">a.   </w:t>
      </w:r>
      <w:r>
        <w:rPr>
          <w:i/>
        </w:rPr>
        <w:t>The standard specifies that an iterative search technique is used for the implementation of the CHIINV function.</w:t>
      </w:r>
    </w:p>
    <w:p w:rsidR="005F78FC" w:rsidRDefault="00B42EF3">
      <w:pPr>
        <w:pStyle w:val="Definition-Field2"/>
      </w:pPr>
      <w:r>
        <w:t>Office does not require an iterative search technique to be used.</w:t>
      </w:r>
    </w:p>
    <w:p w:rsidR="005F78FC" w:rsidRDefault="00B42EF3">
      <w:pPr>
        <w:pStyle w:val="Definition-Field"/>
      </w:pPr>
      <w:r>
        <w:t xml:space="preserve">b.   </w:t>
      </w:r>
      <w:r>
        <w:rPr>
          <w:i/>
        </w:rPr>
        <w:t>The standard lists #N/A as the return value in case the search has not c</w:t>
      </w:r>
      <w:r>
        <w:rPr>
          <w:i/>
        </w:rPr>
        <w:t>onverged after some number of iterations.</w:t>
      </w:r>
    </w:p>
    <w:p w:rsidR="005F78FC" w:rsidRDefault="00B42EF3">
      <w:pPr>
        <w:pStyle w:val="Definition-Field2"/>
      </w:pPr>
      <w:r>
        <w:t>Office does not require an iterative search technique to be used.</w:t>
      </w:r>
    </w:p>
    <w:p w:rsidR="005F78FC" w:rsidRDefault="00B42EF3">
      <w:pPr>
        <w:pStyle w:val="Heading3"/>
      </w:pPr>
      <w:bookmarkStart w:id="1814" w:name="section_6b555c7bc86744e48241299daf41f91f"/>
      <w:bookmarkStart w:id="1815" w:name="_Toc69878680"/>
      <w:r>
        <w:t>Part 1 Section 18.17.7.40, CLEAN</w:t>
      </w:r>
      <w:bookmarkEnd w:id="1814"/>
      <w:bookmarkEnd w:id="1815"/>
      <w:r>
        <w:fldChar w:fldCharType="begin"/>
      </w:r>
      <w:r>
        <w:instrText xml:space="preserve"> XE "CLEAN" </w:instrText>
      </w:r>
      <w:r>
        <w:fldChar w:fldCharType="end"/>
      </w:r>
    </w:p>
    <w:p w:rsidR="005F78FC" w:rsidRDefault="00B42EF3">
      <w:pPr>
        <w:pStyle w:val="Definition-Field"/>
      </w:pPr>
      <w:r>
        <w:t xml:space="preserve">a.   </w:t>
      </w:r>
      <w:r>
        <w:rPr>
          <w:i/>
        </w:rPr>
        <w:t>The standard states that the function makes a string that is a copy of string with all so-called</w:t>
      </w:r>
      <w:r>
        <w:rPr>
          <w:i/>
        </w:rPr>
        <w:t xml:space="preserve"> non-printable characters—those with internal values in the range U+0000–001F—removed.</w:t>
      </w:r>
    </w:p>
    <w:p w:rsidR="005F78FC" w:rsidRDefault="00B42EF3">
      <w:pPr>
        <w:pStyle w:val="Definition-Field2"/>
      </w:pPr>
      <w:r>
        <w:t xml:space="preserve">In Office, the function makes a string that is a copy of string with all so-called non-printable characters removed; specifically, those characters with internal values </w:t>
      </w:r>
      <w:r>
        <w:t>in the Unicode ranges U+0000 – U+001F and U+0080 – U+009F are removed.</w:t>
      </w:r>
    </w:p>
    <w:p w:rsidR="005F78FC" w:rsidRDefault="00B42EF3">
      <w:pPr>
        <w:pStyle w:val="Heading3"/>
      </w:pPr>
      <w:bookmarkStart w:id="1816" w:name="section_fde89d007c2b42478077d9d923e7c804"/>
      <w:bookmarkStart w:id="1817" w:name="_Toc69878681"/>
      <w:r>
        <w:lastRenderedPageBreak/>
        <w:t>Part 1 Section 18.17.7.45, COMPLEX</w:t>
      </w:r>
      <w:bookmarkEnd w:id="1816"/>
      <w:bookmarkEnd w:id="1817"/>
      <w:r>
        <w:fldChar w:fldCharType="begin"/>
      </w:r>
      <w:r>
        <w:instrText xml:space="preserve"> XE "COMPLEX" </w:instrText>
      </w:r>
      <w:r>
        <w:fldChar w:fldCharType="end"/>
      </w:r>
    </w:p>
    <w:p w:rsidR="005F78FC" w:rsidRDefault="00B42EF3">
      <w:pPr>
        <w:pStyle w:val="Definition-Field"/>
      </w:pPr>
      <w:r>
        <w:t xml:space="preserve">a.   </w:t>
      </w:r>
      <w:r>
        <w:rPr>
          <w:i/>
        </w:rPr>
        <w:t xml:space="preserve">The standard states that if real-number has the value 0 and imaginary-number has a non-zero value, the resulting string contains </w:t>
      </w:r>
      <w:r>
        <w:rPr>
          <w:i/>
        </w:rPr>
        <w:t>just the real number.</w:t>
      </w:r>
    </w:p>
    <w:p w:rsidR="005F78FC" w:rsidRDefault="00B42EF3">
      <w:pPr>
        <w:pStyle w:val="Definition-Field2"/>
      </w:pPr>
      <w:r>
        <w:t>In Office, if real-number has the value 0 and imaginary-number has a non-zero value, the resulting string contains just the imaginary-number and suffix.</w:t>
      </w:r>
    </w:p>
    <w:p w:rsidR="005F78FC" w:rsidRDefault="00B42EF3">
      <w:pPr>
        <w:pStyle w:val="Heading3"/>
      </w:pPr>
      <w:bookmarkStart w:id="1818" w:name="section_aa6808c815784fff8c5fd2005b48dbda"/>
      <w:bookmarkStart w:id="1819" w:name="_Toc69878682"/>
      <w:r>
        <w:t>Part 1 Section 18.17.7.47, CONFIDENCE</w:t>
      </w:r>
      <w:bookmarkEnd w:id="1818"/>
      <w:bookmarkEnd w:id="1819"/>
      <w:r>
        <w:fldChar w:fldCharType="begin"/>
      </w:r>
      <w:r>
        <w:instrText xml:space="preserve"> XE "CONFIDENCE" </w:instrText>
      </w:r>
      <w:r>
        <w:fldChar w:fldCharType="end"/>
      </w:r>
    </w:p>
    <w:p w:rsidR="005F78FC" w:rsidRDefault="00B42EF3">
      <w:pPr>
        <w:pStyle w:val="Definition-Field"/>
      </w:pPr>
      <w:r>
        <w:t xml:space="preserve">a.   </w:t>
      </w:r>
      <w:r>
        <w:rPr>
          <w:i/>
        </w:rPr>
        <w:t>The standard does n</w:t>
      </w:r>
      <w:r>
        <w:rPr>
          <w:i/>
        </w:rPr>
        <w:t>ot specify on which probability distribution the CONFIDENCE function is based.</w:t>
      </w:r>
    </w:p>
    <w:p w:rsidR="005F78FC" w:rsidRDefault="00B42EF3">
      <w:pPr>
        <w:pStyle w:val="Definition-Field2"/>
      </w:pPr>
      <w:r>
        <w:t>In Office, the CONFIDENCE function is based on a normal distribution.</w:t>
      </w:r>
    </w:p>
    <w:p w:rsidR="005F78FC" w:rsidRDefault="00B42EF3">
      <w:pPr>
        <w:pStyle w:val="Heading3"/>
      </w:pPr>
      <w:bookmarkStart w:id="1820" w:name="section_fd31bfcbc9464f1a88e258d40cde169e"/>
      <w:bookmarkStart w:id="1821" w:name="_Toc69878683"/>
      <w:r>
        <w:t>Part 1 Section 18.17.7.48, CONVERT</w:t>
      </w:r>
      <w:bookmarkEnd w:id="1820"/>
      <w:bookmarkEnd w:id="1821"/>
      <w:r>
        <w:fldChar w:fldCharType="begin"/>
      </w:r>
      <w:r>
        <w:instrText xml:space="preserve"> XE "CONVERT" </w:instrText>
      </w:r>
      <w:r>
        <w:fldChar w:fldCharType="end"/>
      </w:r>
    </w:p>
    <w:p w:rsidR="005F78FC" w:rsidRDefault="00B42EF3">
      <w:pPr>
        <w:pStyle w:val="Definition-Field"/>
      </w:pPr>
      <w:r>
        <w:t xml:space="preserve">a.   </w:t>
      </w:r>
      <w:r>
        <w:rPr>
          <w:i/>
        </w:rPr>
        <w:t xml:space="preserve">The standard specifies P or p as the unit string </w:t>
      </w:r>
      <w:r>
        <w:rPr>
          <w:i/>
        </w:rPr>
        <w:t>for Pascal.</w:t>
      </w:r>
    </w:p>
    <w:p w:rsidR="005F78FC" w:rsidRDefault="00B42EF3">
      <w:pPr>
        <w:pStyle w:val="Definition-Field2"/>
      </w:pPr>
      <w:r>
        <w:t>Office requires Pa or p to be the unit string for Pascal.</w:t>
      </w:r>
    </w:p>
    <w:p w:rsidR="005F78FC" w:rsidRDefault="00B42EF3">
      <w:pPr>
        <w:pStyle w:val="Definition-Field"/>
      </w:pPr>
      <w:r>
        <w:t xml:space="preserve">b.   </w:t>
      </w:r>
      <w:r>
        <w:rPr>
          <w:i/>
        </w:rPr>
        <w:t>The standard specifies H or hp as the unit string for Horsepower.</w:t>
      </w:r>
    </w:p>
    <w:p w:rsidR="005F78FC" w:rsidRDefault="00B42EF3">
      <w:pPr>
        <w:pStyle w:val="Definition-Field2"/>
      </w:pPr>
      <w:r>
        <w:t>Office requires h or HP as the unit string for Horsepower.</w:t>
      </w:r>
    </w:p>
    <w:p w:rsidR="005F78FC" w:rsidRDefault="00B42EF3">
      <w:pPr>
        <w:pStyle w:val="Definition-Field"/>
      </w:pPr>
      <w:r>
        <w:t xml:space="preserve">c.   </w:t>
      </w:r>
      <w:r>
        <w:rPr>
          <w:i/>
        </w:rPr>
        <w:t>The standard does not specify the detailed unity ty</w:t>
      </w:r>
      <w:r>
        <w:rPr>
          <w:i/>
        </w:rPr>
        <w:t>pe for cup, oz, tbs, and tsp.</w:t>
      </w:r>
    </w:p>
    <w:p w:rsidR="005F78FC" w:rsidRDefault="00B42EF3">
      <w:pPr>
        <w:pStyle w:val="Definition-Field2"/>
      </w:pPr>
      <w:r>
        <w:t>Office treats cup as traditional U.S cup, oz as U.S. fluid ounce, tbs as traditional U.S. tablespoon, and tsp as traditional U.S. teaspoon.</w:t>
      </w:r>
    </w:p>
    <w:p w:rsidR="005F78FC" w:rsidRDefault="00B42EF3">
      <w:pPr>
        <w:pStyle w:val="Definition-Field"/>
      </w:pPr>
      <w:r>
        <w:t xml:space="preserve">d.   </w:t>
      </w:r>
      <w:r>
        <w:rPr>
          <w:i/>
        </w:rPr>
        <w:t>The standard specifies ptorus_pt as the unit string for U.S. pint.</w:t>
      </w:r>
    </w:p>
    <w:p w:rsidR="005F78FC" w:rsidRDefault="00B42EF3">
      <w:pPr>
        <w:pStyle w:val="Definition-Field2"/>
      </w:pPr>
      <w:r>
        <w:t xml:space="preserve">Office </w:t>
      </w:r>
      <w:r>
        <w:t>requires pt or us_pt as the unit string for U.S. pint.</w:t>
      </w:r>
    </w:p>
    <w:p w:rsidR="005F78FC" w:rsidRDefault="00B42EF3">
      <w:pPr>
        <w:pStyle w:val="Definition-Field"/>
      </w:pPr>
      <w:r>
        <w:t xml:space="preserve">e.   </w:t>
      </w:r>
      <w:r>
        <w:rPr>
          <w:i/>
        </w:rPr>
        <w:t>The standard specifies a list of liquid measure conversions.</w:t>
      </w:r>
    </w:p>
    <w:p w:rsidR="005F78FC" w:rsidRDefault="00B42EF3">
      <w:r>
        <w:t>Office does not support the following liquid measure conversions: AU_tbs, CZ_mass, CZ_mug, GB_tbs, CA_tbs, JP_tbs, imperial_gal, AU_gal</w:t>
      </w:r>
      <w:r>
        <w:t>, CA_gal, GB_gal, imperial_oz, AU_oz, CA_oz, GB_oz, imperial_pt, AU_pt, CA_pt, GB_pt, imperial_qt, AU_qt, CA_qt, GB_qt, JP_cup, metric_cup, AU_cup, CA_cup, NZ_cup, metric_tsp, AU_tsp, CA_tsp, JP_tsp, GB_tsp.</w:t>
      </w:r>
    </w:p>
    <w:p w:rsidR="005F78FC" w:rsidRDefault="00B42EF3">
      <w:pPr>
        <w:pStyle w:val="Heading3"/>
      </w:pPr>
      <w:bookmarkStart w:id="1822" w:name="section_7864edd9d4b74cf0bc4f6c50985e22ce"/>
      <w:bookmarkStart w:id="1823" w:name="_Toc69878684"/>
      <w:r>
        <w:t>Part 1 Section 18.17.7.49, CORREL</w:t>
      </w:r>
      <w:bookmarkEnd w:id="1822"/>
      <w:bookmarkEnd w:id="1823"/>
      <w:r>
        <w:fldChar w:fldCharType="begin"/>
      </w:r>
      <w:r>
        <w:instrText xml:space="preserve"> XE "CORREL" </w:instrText>
      </w:r>
      <w:r>
        <w:fldChar w:fldCharType="end"/>
      </w:r>
    </w:p>
    <w:p w:rsidR="005F78FC" w:rsidRDefault="00B42EF3">
      <w:pPr>
        <w:pStyle w:val="Definition-Field"/>
      </w:pPr>
      <w:r>
        <w:t xml:space="preserve">a.   </w:t>
      </w:r>
      <w:r>
        <w:rPr>
          <w:i/>
        </w:rPr>
        <w:t>The standard does not specify how function arguments map to formula variables.</w:t>
      </w:r>
    </w:p>
    <w:p w:rsidR="005F78FC" w:rsidRDefault="00B42EF3">
      <w:pPr>
        <w:pStyle w:val="Definition-Field2"/>
      </w:pPr>
      <w:r>
        <w:t>Office maps x to value from array-1, x-bar to AVERAGE(array-1), y to value from array-2, y-bar to AVERAGE(array-2).</w:t>
      </w:r>
    </w:p>
    <w:p w:rsidR="005F78FC" w:rsidRDefault="00B42EF3">
      <w:pPr>
        <w:pStyle w:val="Heading3"/>
      </w:pPr>
      <w:bookmarkStart w:id="1824" w:name="section_fe40154b9eac4223a8660a77432aa3e5"/>
      <w:bookmarkStart w:id="1825" w:name="_Toc69878685"/>
      <w:r>
        <w:t>Part 1 Section 18.17.7.50, COS</w:t>
      </w:r>
      <w:bookmarkEnd w:id="1824"/>
      <w:bookmarkEnd w:id="1825"/>
      <w:r>
        <w:fldChar w:fldCharType="begin"/>
      </w:r>
      <w:r>
        <w:instrText xml:space="preserve"> XE "COS" </w:instrText>
      </w:r>
      <w:r>
        <w:fldChar w:fldCharType="end"/>
      </w:r>
    </w:p>
    <w:p w:rsidR="005F78FC" w:rsidRDefault="00B42EF3">
      <w:pPr>
        <w:pStyle w:val="Definition-Field"/>
      </w:pPr>
      <w:r>
        <w:t xml:space="preserve">a.   </w:t>
      </w:r>
      <w:r>
        <w:rPr>
          <w:i/>
        </w:rPr>
        <w:t>The sta</w:t>
      </w:r>
      <w:r>
        <w:rPr>
          <w:i/>
        </w:rPr>
        <w:t>ndard does not specify the unit for x.</w:t>
      </w:r>
    </w:p>
    <w:p w:rsidR="005F78FC" w:rsidRDefault="00B42EF3">
      <w:pPr>
        <w:pStyle w:val="Definition-Field2"/>
      </w:pPr>
      <w:r>
        <w:t>Office uses x in radians.</w:t>
      </w:r>
    </w:p>
    <w:p w:rsidR="005F78FC" w:rsidRDefault="00B42EF3">
      <w:pPr>
        <w:pStyle w:val="Heading3"/>
      </w:pPr>
      <w:bookmarkStart w:id="1826" w:name="section_130b7fae1db946df83cfd6d3174fe06d"/>
      <w:bookmarkStart w:id="1827" w:name="_Toc69878686"/>
      <w:r>
        <w:t>Part 1 Section 18.17.7.52, COUNT</w:t>
      </w:r>
      <w:bookmarkEnd w:id="1826"/>
      <w:bookmarkEnd w:id="1827"/>
      <w:r>
        <w:fldChar w:fldCharType="begin"/>
      </w:r>
      <w:r>
        <w:instrText xml:space="preserve"> XE "COUNT" </w:instrText>
      </w:r>
      <w:r>
        <w:fldChar w:fldCharType="end"/>
      </w:r>
    </w:p>
    <w:p w:rsidR="005F78FC" w:rsidRDefault="00B42EF3">
      <w:pPr>
        <w:pStyle w:val="Definition-Field"/>
      </w:pPr>
      <w:r>
        <w:t xml:space="preserve">a.   </w:t>
      </w:r>
      <w:r>
        <w:rPr>
          <w:i/>
        </w:rPr>
        <w:t>The standard states that argument-list is of type text.</w:t>
      </w:r>
    </w:p>
    <w:p w:rsidR="005F78FC" w:rsidRDefault="00B42EF3">
      <w:pPr>
        <w:pStyle w:val="Definition-Field2"/>
      </w:pPr>
      <w:r>
        <w:lastRenderedPageBreak/>
        <w:t>Office requires that each argument in argument-list be of type logical, number, nam</w:t>
      </w:r>
      <w:r>
        <w:t>e, text, array, or reference.</w:t>
      </w:r>
    </w:p>
    <w:p w:rsidR="005F78FC" w:rsidRDefault="00B42EF3">
      <w:pPr>
        <w:pStyle w:val="Heading3"/>
      </w:pPr>
      <w:bookmarkStart w:id="1828" w:name="section_3f3a26fbc07a43f1bea6d6c0e00c54d5"/>
      <w:bookmarkStart w:id="1829" w:name="_Toc69878687"/>
      <w:r>
        <w:t>Part 1 Section 18.17.7.53, COUNTA</w:t>
      </w:r>
      <w:bookmarkEnd w:id="1828"/>
      <w:bookmarkEnd w:id="1829"/>
      <w:r>
        <w:fldChar w:fldCharType="begin"/>
      </w:r>
      <w:r>
        <w:instrText xml:space="preserve"> XE "COUNTA" </w:instrText>
      </w:r>
      <w:r>
        <w:fldChar w:fldCharType="end"/>
      </w:r>
    </w:p>
    <w:p w:rsidR="005F78FC" w:rsidRDefault="00B42EF3">
      <w:pPr>
        <w:pStyle w:val="Definition-Field"/>
      </w:pPr>
      <w:r>
        <w:t xml:space="preserve">a.   </w:t>
      </w:r>
      <w:r>
        <w:rPr>
          <w:i/>
        </w:rPr>
        <w:t>The standard states that argument-list is of type text.</w:t>
      </w:r>
    </w:p>
    <w:p w:rsidR="005F78FC" w:rsidRDefault="00B42EF3">
      <w:pPr>
        <w:pStyle w:val="Definition-Field2"/>
      </w:pPr>
      <w:r>
        <w:t>Office requires argument-list to be of type logical, number, name, text, array, or reference.</w:t>
      </w:r>
    </w:p>
    <w:p w:rsidR="005F78FC" w:rsidRDefault="00B42EF3">
      <w:pPr>
        <w:pStyle w:val="Heading3"/>
      </w:pPr>
      <w:bookmarkStart w:id="1830" w:name="section_e5e3e0c53ee54c0da41d171441efc56d"/>
      <w:bookmarkStart w:id="1831" w:name="_Toc69878688"/>
      <w:r>
        <w:t>Part 1 Section 18.17.7</w:t>
      </w:r>
      <w:r>
        <w:t>.56, COUNTIFS</w:t>
      </w:r>
      <w:bookmarkEnd w:id="1830"/>
      <w:bookmarkEnd w:id="1831"/>
      <w:r>
        <w:fldChar w:fldCharType="begin"/>
      </w:r>
      <w:r>
        <w:instrText xml:space="preserve"> XE "COUNTIFS" </w:instrText>
      </w:r>
      <w:r>
        <w:fldChar w:fldCharType="end"/>
      </w:r>
    </w:p>
    <w:p w:rsidR="005F78FC" w:rsidRDefault="00B42EF3">
      <w:pPr>
        <w:pStyle w:val="Definition-Field"/>
      </w:pPr>
      <w:r>
        <w:t xml:space="preserve">a.   </w:t>
      </w:r>
      <w:r>
        <w:rPr>
          <w:i/>
        </w:rPr>
        <w:t>The standard specifies a count-range argument.</w:t>
      </w:r>
    </w:p>
    <w:p w:rsidR="005F78FC" w:rsidRDefault="00B42EF3">
      <w:pPr>
        <w:pStyle w:val="Definition-Field2"/>
      </w:pPr>
      <w:r>
        <w:t>Office does not accept a count-range argument.</w:t>
      </w:r>
    </w:p>
    <w:p w:rsidR="005F78FC" w:rsidRDefault="00B42EF3">
      <w:pPr>
        <w:pStyle w:val="Definition-Field"/>
      </w:pPr>
      <w:r>
        <w:t xml:space="preserve">b.   </w:t>
      </w:r>
      <w:r>
        <w:rPr>
          <w:i/>
        </w:rPr>
        <w:t>The standard specifies that selection-criteria-1 is the first range of cells to be counted.</w:t>
      </w:r>
    </w:p>
    <w:p w:rsidR="005F78FC" w:rsidRDefault="00B42EF3">
      <w:pPr>
        <w:pStyle w:val="Definition-Field2"/>
      </w:pPr>
      <w:r>
        <w:t xml:space="preserve">Office specifies that </w:t>
      </w:r>
      <w:r>
        <w:t>selection-criteria-1 is in the form of a number, expression, cell reference, or text that define which cells will be counted.</w:t>
      </w:r>
    </w:p>
    <w:p w:rsidR="005F78FC" w:rsidRDefault="00B42EF3">
      <w:pPr>
        <w:pStyle w:val="Heading3"/>
      </w:pPr>
      <w:bookmarkStart w:id="1832" w:name="section_0dd5776bedf5474082fbf4bd600a803c"/>
      <w:bookmarkStart w:id="1833" w:name="_Toc69878689"/>
      <w:r>
        <w:t>Part 1 Section 18.17.7.57, COUPDAYBS</w:t>
      </w:r>
      <w:bookmarkEnd w:id="1832"/>
      <w:bookmarkEnd w:id="1833"/>
      <w:r>
        <w:fldChar w:fldCharType="begin"/>
      </w:r>
      <w:r>
        <w:instrText xml:space="preserve"> XE "COUPDAYBS" </w:instrText>
      </w:r>
      <w:r>
        <w:fldChar w:fldCharType="end"/>
      </w:r>
    </w:p>
    <w:p w:rsidR="005F78FC" w:rsidRDefault="00B42EF3">
      <w:pPr>
        <w:pStyle w:val="Definition-Field"/>
      </w:pPr>
      <w:r>
        <w:t xml:space="preserve">a.   </w:t>
      </w:r>
      <w:r>
        <w:rPr>
          <w:i/>
        </w:rPr>
        <w:t xml:space="preserve">The standard does not specify day and month adjustments for the basis </w:t>
      </w:r>
      <w:r>
        <w:rPr>
          <w:i/>
        </w:rPr>
        <w:t>argument.</w:t>
      </w:r>
    </w:p>
    <w:p w:rsidR="005F78FC" w:rsidRDefault="00B42EF3">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Value</w:t>
            </w:r>
          </w:p>
        </w:tc>
        <w:tc>
          <w:tcPr>
            <w:tcW w:w="0" w:type="auto"/>
            <w:vAlign w:val="center"/>
          </w:tcPr>
          <w:p w:rsidR="005F78FC" w:rsidRDefault="00B42EF3">
            <w:pPr>
              <w:pStyle w:val="TableHeaderText"/>
            </w:pPr>
            <w:r>
              <w:t>Day Count Basis</w:t>
            </w:r>
          </w:p>
        </w:tc>
      </w:tr>
      <w:tr w:rsidR="005F78FC" w:rsidTr="005F78FC">
        <w:tc>
          <w:tcPr>
            <w:tcW w:w="0" w:type="auto"/>
            <w:vAlign w:val="center"/>
          </w:tcPr>
          <w:p w:rsidR="005F78FC" w:rsidRDefault="00B42EF3">
            <w:pPr>
              <w:pStyle w:val="TableBodyText"/>
            </w:pPr>
            <w:r>
              <w:rPr>
                <w:rStyle w:val="InlineCode"/>
              </w:rPr>
              <w:t>0</w:t>
            </w:r>
            <w:r>
              <w:t xml:space="preserve"> or omitted</w:t>
            </w:r>
          </w:p>
        </w:tc>
        <w:tc>
          <w:tcPr>
            <w:tcW w:w="0" w:type="auto"/>
            <w:vAlign w:val="center"/>
          </w:tcPr>
          <w:p w:rsidR="005F78FC" w:rsidRDefault="00B42EF3">
            <w:pPr>
              <w:pStyle w:val="TableBodyText"/>
            </w:pPr>
            <w:r>
              <w:t>US (NASD) 30/360. If the dates are equal, the difference of days is 0. Assumes that each month has 30 day</w:t>
            </w:r>
            <w:r>
              <w:t>s and the total number of days in the year is 360 by making the following adjustments:</w:t>
            </w:r>
          </w:p>
          <w:p w:rsidR="005F78FC" w:rsidRDefault="00B42EF3">
            <w:pPr>
              <w:pStyle w:val="TableBodyText"/>
            </w:pPr>
            <w:r>
              <w:t>If both day-of-months are 31, they are changed to 30</w:t>
            </w:r>
          </w:p>
          <w:p w:rsidR="005F78FC" w:rsidRDefault="00B42EF3">
            <w:pPr>
              <w:pStyle w:val="TableBodyText"/>
            </w:pPr>
            <w:r>
              <w:t>Otherwise, if date1’s day-of-month is 31, it is changed to 30</w:t>
            </w:r>
          </w:p>
          <w:p w:rsidR="005F78FC" w:rsidRDefault="00B42EF3">
            <w:pPr>
              <w:pStyle w:val="TableBodyText"/>
            </w:pPr>
            <w:r>
              <w:t>Otherwise, if date1’s day-of-month is 30 and date2’s d</w:t>
            </w:r>
            <w:r>
              <w:t>ay-of-month is 31, date2’s day-of-month is changed to 30 (note that date2’s day-of-month will stay 31 if date1’s day &lt; 30)</w:t>
            </w:r>
          </w:p>
          <w:p w:rsidR="005F78FC" w:rsidRDefault="00B42EF3">
            <w:pPr>
              <w:pStyle w:val="TableBodyText"/>
            </w:pPr>
            <w:r>
              <w:t>Otherwise, if both dates are the last day of February in their respective years, both day-of-month is changed to 30</w:t>
            </w:r>
          </w:p>
          <w:p w:rsidR="005F78FC" w:rsidRDefault="00B42EF3">
            <w:pPr>
              <w:pStyle w:val="TableBodyText"/>
            </w:pPr>
            <w:r>
              <w:t>Otherwise, if dat</w:t>
            </w:r>
            <w:r>
              <w:t>e1 is the last day of February, its day-of-month is changed to 30</w:t>
            </w:r>
          </w:p>
        </w:tc>
      </w:tr>
      <w:tr w:rsidR="005F78FC" w:rsidTr="005F78FC">
        <w:tc>
          <w:tcPr>
            <w:tcW w:w="0" w:type="auto"/>
            <w:vAlign w:val="center"/>
          </w:tcPr>
          <w:p w:rsidR="005F78FC" w:rsidRDefault="00B42EF3">
            <w:pPr>
              <w:pStyle w:val="TableBodyText"/>
            </w:pPr>
            <w:r>
              <w:rPr>
                <w:rStyle w:val="InlineCode"/>
              </w:rPr>
              <w:t>1</w:t>
            </w:r>
          </w:p>
        </w:tc>
        <w:tc>
          <w:tcPr>
            <w:tcW w:w="0" w:type="auto"/>
            <w:vAlign w:val="center"/>
          </w:tcPr>
          <w:p w:rsidR="005F78FC" w:rsidRDefault="00B42EF3">
            <w:pPr>
              <w:pStyle w:val="TableBodyText"/>
            </w:pPr>
            <w:r>
              <w:t xml:space="preserve">Actual/actual. If the dates are equal, the difference in days is 0. If date1 and date2 not “less than or equal to a year apart” (as defined below), then the days in the years between the </w:t>
            </w:r>
            <w:r>
              <w:t>dates is the average number of days in the years between date1 and date2, inclusive. Otherwise, the days in the years between the dates is 365, except for these cases (where it is 366): the dates are in the same year and it is a leap-year, a February 29 oc</w:t>
            </w:r>
            <w:r>
              <w:t xml:space="preserve">curs between the two dates, or </w:t>
            </w:r>
            <w:r>
              <w:rPr>
                <w:b/>
              </w:rPr>
              <w:t>date1 or</w:t>
            </w:r>
            <w:r>
              <w:t xml:space="preserve"> date2 is February 29.</w:t>
            </w:r>
          </w:p>
          <w:p w:rsidR="005F78FC" w:rsidRDefault="005F78FC">
            <w:pPr>
              <w:pStyle w:val="TableBodyText"/>
            </w:pPr>
          </w:p>
          <w:p w:rsidR="005F78FC" w:rsidRDefault="00B42EF3">
            <w:pPr>
              <w:pStyle w:val="TableBodyText"/>
            </w:pPr>
            <w:r>
              <w:t>To determine if date1 and date2 are “less than or equal to a year apart” for purposes of this algorithm, one of these conditions must be true:</w:t>
            </w:r>
          </w:p>
          <w:p w:rsidR="005F78FC" w:rsidRDefault="00B42EF3">
            <w:pPr>
              <w:pStyle w:val="ListParagraph"/>
              <w:numPr>
                <w:ilvl w:val="0"/>
                <w:numId w:val="80"/>
              </w:numPr>
            </w:pPr>
            <w:r>
              <w:t>The two dates have the same year</w:t>
            </w:r>
          </w:p>
          <w:p w:rsidR="005F78FC" w:rsidRDefault="00B42EF3">
            <w:pPr>
              <w:pStyle w:val="ListParagraph"/>
              <w:numPr>
                <w:ilvl w:val="0"/>
                <w:numId w:val="81"/>
              </w:numPr>
            </w:pPr>
            <w:r>
              <w:t xml:space="preserve">Date2’s year is </w:t>
            </w:r>
            <w:r>
              <w:t>exactly one more than date1’s year, and ((date1.month &gt; date2.month) or ((date1.month == date2.month) and (date1.day &gt;= date2.day)))</w:t>
            </w:r>
          </w:p>
        </w:tc>
      </w:tr>
      <w:tr w:rsidR="005F78FC" w:rsidTr="005F78FC">
        <w:tc>
          <w:tcPr>
            <w:tcW w:w="0" w:type="auto"/>
            <w:vAlign w:val="center"/>
          </w:tcPr>
          <w:p w:rsidR="005F78FC" w:rsidRDefault="00B42EF3">
            <w:pPr>
              <w:pStyle w:val="TableBodyText"/>
            </w:pPr>
            <w:r>
              <w:rPr>
                <w:rStyle w:val="InlineCode"/>
              </w:rPr>
              <w:t>2</w:t>
            </w:r>
          </w:p>
        </w:tc>
        <w:tc>
          <w:tcPr>
            <w:tcW w:w="0" w:type="auto"/>
            <w:vAlign w:val="center"/>
          </w:tcPr>
          <w:p w:rsidR="005F78FC" w:rsidRDefault="00B42EF3">
            <w:pPr>
              <w:pStyle w:val="TableBodyText"/>
            </w:pPr>
            <w:r>
              <w:t>Actual/360. Computes the actual difference in days, and presumes there are always 360 days per year.</w:t>
            </w:r>
          </w:p>
        </w:tc>
      </w:tr>
      <w:tr w:rsidR="005F78FC" w:rsidTr="005F78FC">
        <w:tc>
          <w:tcPr>
            <w:tcW w:w="0" w:type="auto"/>
            <w:vAlign w:val="center"/>
          </w:tcPr>
          <w:p w:rsidR="005F78FC" w:rsidRDefault="00B42EF3">
            <w:pPr>
              <w:pStyle w:val="TableBodyText"/>
            </w:pPr>
            <w:r>
              <w:rPr>
                <w:rStyle w:val="InlineCode"/>
              </w:rPr>
              <w:t>3</w:t>
            </w:r>
          </w:p>
        </w:tc>
        <w:tc>
          <w:tcPr>
            <w:tcW w:w="0" w:type="auto"/>
            <w:vAlign w:val="center"/>
          </w:tcPr>
          <w:p w:rsidR="005F78FC" w:rsidRDefault="00B42EF3">
            <w:pPr>
              <w:pStyle w:val="TableBodyText"/>
            </w:pPr>
            <w:r>
              <w:t>Actual/365. Comp</w:t>
            </w:r>
            <w:r>
              <w:t>utes the actual difference in days, and presumes there are always 365 days per year.</w:t>
            </w:r>
          </w:p>
        </w:tc>
      </w:tr>
      <w:tr w:rsidR="005F78FC" w:rsidTr="005F78FC">
        <w:tc>
          <w:tcPr>
            <w:tcW w:w="0" w:type="auto"/>
            <w:vAlign w:val="center"/>
          </w:tcPr>
          <w:p w:rsidR="005F78FC" w:rsidRDefault="00B42EF3">
            <w:pPr>
              <w:pStyle w:val="TableBodyText"/>
            </w:pPr>
            <w:r>
              <w:rPr>
                <w:rStyle w:val="InlineCode"/>
              </w:rPr>
              <w:lastRenderedPageBreak/>
              <w:t>4</w:t>
            </w:r>
          </w:p>
        </w:tc>
        <w:tc>
          <w:tcPr>
            <w:tcW w:w="0" w:type="auto"/>
            <w:vAlign w:val="center"/>
          </w:tcPr>
          <w:p w:rsidR="005F78FC" w:rsidRDefault="00B42EF3">
            <w:pPr>
              <w:pStyle w:val="TableBodyText"/>
            </w:pPr>
            <w:r>
              <w:t>European 30/360. The European method for adjusting day counts. If the dates are equal, the difference of days is 0. Assumes that each month has 30 days and the total nu</w:t>
            </w:r>
            <w:r>
              <w:t xml:space="preserve">mber of days in the year is 360; any day-of-month (in date1, date2, or both) with a value of 31 is changed to 30. Note that February dates are </w:t>
            </w:r>
            <w:r>
              <w:rPr>
                <w:i/>
              </w:rPr>
              <w:t xml:space="preserve">never </w:t>
            </w:r>
            <w:r>
              <w:t>changed, because there is no February 31.</w:t>
            </w:r>
          </w:p>
        </w:tc>
      </w:tr>
    </w:tbl>
    <w:p w:rsidR="005F78FC" w:rsidRDefault="005F78FC"/>
    <w:p w:rsidR="005F78FC" w:rsidRDefault="00B42EF3">
      <w:pPr>
        <w:pStyle w:val="Heading3"/>
      </w:pPr>
      <w:bookmarkStart w:id="1834" w:name="section_220caf3eaaf3483f844a454abcf07bd2"/>
      <w:bookmarkStart w:id="1835" w:name="_Toc69878690"/>
      <w:r>
        <w:t>Part 1 Section 18.17.7.58, COUPDAYS</w:t>
      </w:r>
      <w:bookmarkEnd w:id="1834"/>
      <w:bookmarkEnd w:id="1835"/>
      <w:r>
        <w:fldChar w:fldCharType="begin"/>
      </w:r>
      <w:r>
        <w:instrText xml:space="preserve"> XE "COUPDAYS" </w:instrText>
      </w:r>
      <w:r>
        <w:fldChar w:fldCharType="end"/>
      </w:r>
    </w:p>
    <w:p w:rsidR="005F78FC" w:rsidRDefault="00B42EF3">
      <w:pPr>
        <w:pStyle w:val="Definition-Field"/>
      </w:pPr>
      <w:r>
        <w:t xml:space="preserve">a.   </w:t>
      </w:r>
      <w:r>
        <w:rPr>
          <w:i/>
        </w:rPr>
        <w:t>The s</w:t>
      </w:r>
      <w:r>
        <w:rPr>
          <w:i/>
        </w:rPr>
        <w:t>tandard does not specify day and month adjustments for the basis argument.</w:t>
      </w:r>
    </w:p>
    <w:p w:rsidR="005F78FC" w:rsidRDefault="00B42EF3">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Value</w:t>
            </w:r>
          </w:p>
        </w:tc>
        <w:tc>
          <w:tcPr>
            <w:tcW w:w="0" w:type="auto"/>
            <w:vAlign w:val="center"/>
          </w:tcPr>
          <w:p w:rsidR="005F78FC" w:rsidRDefault="00B42EF3">
            <w:pPr>
              <w:pStyle w:val="TableHeaderText"/>
            </w:pPr>
            <w:r>
              <w:t>Day Count Basis</w:t>
            </w:r>
          </w:p>
        </w:tc>
      </w:tr>
      <w:tr w:rsidR="005F78FC" w:rsidTr="005F78FC">
        <w:tc>
          <w:tcPr>
            <w:tcW w:w="0" w:type="auto"/>
            <w:vAlign w:val="center"/>
          </w:tcPr>
          <w:p w:rsidR="005F78FC" w:rsidRDefault="00B42EF3">
            <w:pPr>
              <w:pStyle w:val="TableBodyText"/>
            </w:pPr>
            <w:r>
              <w:rPr>
                <w:rStyle w:val="InlineCode"/>
              </w:rPr>
              <w:t>0</w:t>
            </w:r>
            <w:r>
              <w:t xml:space="preserve"> or omitted</w:t>
            </w:r>
          </w:p>
        </w:tc>
        <w:tc>
          <w:tcPr>
            <w:tcW w:w="0" w:type="auto"/>
            <w:vAlign w:val="center"/>
          </w:tcPr>
          <w:p w:rsidR="005F78FC" w:rsidRDefault="00B42EF3">
            <w:pPr>
              <w:pStyle w:val="TableBodyText"/>
            </w:pPr>
            <w:r>
              <w:t xml:space="preserve">US (NASD) 30/360. If the dates are </w:t>
            </w:r>
            <w:r>
              <w:t>equal, the difference of days is 0. Assumes that each month has 30 days and the total number of days in the year is 360 by making the following adjustments:</w:t>
            </w:r>
          </w:p>
          <w:p w:rsidR="005F78FC" w:rsidRDefault="00B42EF3">
            <w:pPr>
              <w:pStyle w:val="TableBodyText"/>
            </w:pPr>
            <w:r>
              <w:t>If both day-of-months are 31, they are changed to 30</w:t>
            </w:r>
          </w:p>
          <w:p w:rsidR="005F78FC" w:rsidRDefault="00B42EF3">
            <w:pPr>
              <w:pStyle w:val="TableBodyText"/>
            </w:pPr>
            <w:r>
              <w:t>Otherwise, if date1’s day-of-month is 31, it i</w:t>
            </w:r>
            <w:r>
              <w:t>s changed to 30</w:t>
            </w:r>
          </w:p>
          <w:p w:rsidR="005F78FC" w:rsidRDefault="00B42EF3">
            <w:pPr>
              <w:pStyle w:val="TableBodyText"/>
            </w:pPr>
            <w:r>
              <w:t>Otherwise, if date1’s day-of-month is 30 and date2’s day-of-month is 31, date2’s day-of-month is changed to 30 (note that date2’s day-of-month will stay 31 if date1’s day &lt; 30)</w:t>
            </w:r>
          </w:p>
          <w:p w:rsidR="005F78FC" w:rsidRDefault="00B42EF3">
            <w:pPr>
              <w:pStyle w:val="TableBodyText"/>
            </w:pPr>
            <w:r>
              <w:t xml:space="preserve">Otherwise, if both dates are the last day of February in their </w:t>
            </w:r>
            <w:r>
              <w:t>respective years, both day-of-month is changed to 30</w:t>
            </w:r>
          </w:p>
          <w:p w:rsidR="005F78FC" w:rsidRDefault="00B42EF3">
            <w:pPr>
              <w:pStyle w:val="TableBodyText"/>
            </w:pPr>
            <w:r>
              <w:t>Otherwise, if date1 is the last day of February, its day-of-month is changed to 30</w:t>
            </w:r>
          </w:p>
        </w:tc>
      </w:tr>
      <w:tr w:rsidR="005F78FC" w:rsidTr="005F78FC">
        <w:tc>
          <w:tcPr>
            <w:tcW w:w="0" w:type="auto"/>
            <w:vAlign w:val="center"/>
          </w:tcPr>
          <w:p w:rsidR="005F78FC" w:rsidRDefault="00B42EF3">
            <w:pPr>
              <w:pStyle w:val="TableBodyText"/>
            </w:pPr>
            <w:r>
              <w:rPr>
                <w:rStyle w:val="InlineCode"/>
              </w:rPr>
              <w:t>1</w:t>
            </w:r>
          </w:p>
        </w:tc>
        <w:tc>
          <w:tcPr>
            <w:tcW w:w="0" w:type="auto"/>
            <w:vAlign w:val="center"/>
          </w:tcPr>
          <w:p w:rsidR="005F78FC" w:rsidRDefault="00B42EF3">
            <w:pPr>
              <w:pStyle w:val="TableBodyText"/>
            </w:pPr>
            <w:r>
              <w:t>Actual/actual. If the dates are equal, the difference in days is 0. If date1 and date2 not “less than or equal to a y</w:t>
            </w:r>
            <w:r>
              <w:t xml:space="preserve">ear apart” (as defined below), then the days in the years between the dates is the average number of days in the years between date1 and date2, inclusive. Otherwise, the days in the years between the dates is 365, except for these cases (where it is 366): </w:t>
            </w:r>
            <w:r>
              <w:t xml:space="preserve">the dates are in the same year and it is a leap-year, a February 29 occurs between the two dates, or </w:t>
            </w:r>
            <w:r>
              <w:rPr>
                <w:b/>
              </w:rPr>
              <w:t>date1 or</w:t>
            </w:r>
            <w:r>
              <w:t xml:space="preserve"> date2 is February 29.</w:t>
            </w:r>
          </w:p>
          <w:p w:rsidR="005F78FC" w:rsidRDefault="005F78FC">
            <w:pPr>
              <w:pStyle w:val="TableBodyText"/>
            </w:pPr>
          </w:p>
          <w:p w:rsidR="005F78FC" w:rsidRDefault="00B42EF3">
            <w:pPr>
              <w:pStyle w:val="TableBodyText"/>
            </w:pPr>
            <w:r>
              <w:t>To determine if date1 and date2 are “less than or equal to a year apart” for purposes of this algorithm, one of these condi</w:t>
            </w:r>
            <w:r>
              <w:t>tions must be true:</w:t>
            </w:r>
          </w:p>
          <w:p w:rsidR="005F78FC" w:rsidRDefault="00B42EF3">
            <w:pPr>
              <w:pStyle w:val="ListParagraph"/>
              <w:numPr>
                <w:ilvl w:val="0"/>
                <w:numId w:val="82"/>
              </w:numPr>
            </w:pPr>
            <w:r>
              <w:t>The two dates have the same year</w:t>
            </w:r>
          </w:p>
          <w:p w:rsidR="005F78FC" w:rsidRDefault="00B42EF3">
            <w:pPr>
              <w:pStyle w:val="ListParagraph"/>
              <w:numPr>
                <w:ilvl w:val="0"/>
                <w:numId w:val="83"/>
              </w:numPr>
            </w:pPr>
            <w:r>
              <w:t>Date2’s year is exactly one more than date1’s year, and ((date1.month &gt; date2.month) or ((date1.month == date2.month) and (date1.day &gt;= date2.day)))</w:t>
            </w:r>
          </w:p>
        </w:tc>
      </w:tr>
      <w:tr w:rsidR="005F78FC" w:rsidTr="005F78FC">
        <w:tc>
          <w:tcPr>
            <w:tcW w:w="0" w:type="auto"/>
            <w:vAlign w:val="center"/>
          </w:tcPr>
          <w:p w:rsidR="005F78FC" w:rsidRDefault="00B42EF3">
            <w:pPr>
              <w:pStyle w:val="TableBodyText"/>
            </w:pPr>
            <w:r>
              <w:rPr>
                <w:rStyle w:val="InlineCode"/>
              </w:rPr>
              <w:t>2</w:t>
            </w:r>
          </w:p>
        </w:tc>
        <w:tc>
          <w:tcPr>
            <w:tcW w:w="0" w:type="auto"/>
            <w:vAlign w:val="center"/>
          </w:tcPr>
          <w:p w:rsidR="005F78FC" w:rsidRDefault="00B42EF3">
            <w:pPr>
              <w:pStyle w:val="TableBodyText"/>
            </w:pPr>
            <w:r>
              <w:t>Actual/360. Computes the actual difference in days,</w:t>
            </w:r>
            <w:r>
              <w:t xml:space="preserve"> and presumes there are always 360 days per year.</w:t>
            </w:r>
          </w:p>
        </w:tc>
      </w:tr>
      <w:tr w:rsidR="005F78FC" w:rsidTr="005F78FC">
        <w:tc>
          <w:tcPr>
            <w:tcW w:w="0" w:type="auto"/>
            <w:vAlign w:val="center"/>
          </w:tcPr>
          <w:p w:rsidR="005F78FC" w:rsidRDefault="00B42EF3">
            <w:pPr>
              <w:pStyle w:val="TableBodyText"/>
            </w:pPr>
            <w:r>
              <w:rPr>
                <w:rStyle w:val="InlineCode"/>
              </w:rPr>
              <w:t>3</w:t>
            </w:r>
          </w:p>
        </w:tc>
        <w:tc>
          <w:tcPr>
            <w:tcW w:w="0" w:type="auto"/>
            <w:vAlign w:val="center"/>
          </w:tcPr>
          <w:p w:rsidR="005F78FC" w:rsidRDefault="00B42EF3">
            <w:pPr>
              <w:pStyle w:val="TableBodyText"/>
            </w:pPr>
            <w:r>
              <w:t>Actual/365. Computes the actual difference in days, and presumes there are always 365 days per year.</w:t>
            </w:r>
          </w:p>
        </w:tc>
      </w:tr>
      <w:tr w:rsidR="005F78FC" w:rsidTr="005F78FC">
        <w:tc>
          <w:tcPr>
            <w:tcW w:w="0" w:type="auto"/>
            <w:vAlign w:val="center"/>
          </w:tcPr>
          <w:p w:rsidR="005F78FC" w:rsidRDefault="00B42EF3">
            <w:pPr>
              <w:pStyle w:val="TableBodyText"/>
            </w:pPr>
            <w:r>
              <w:rPr>
                <w:rStyle w:val="InlineCode"/>
              </w:rPr>
              <w:t>4</w:t>
            </w:r>
          </w:p>
        </w:tc>
        <w:tc>
          <w:tcPr>
            <w:tcW w:w="0" w:type="auto"/>
            <w:vAlign w:val="center"/>
          </w:tcPr>
          <w:p w:rsidR="005F78FC" w:rsidRDefault="00B42EF3">
            <w:pPr>
              <w:pStyle w:val="TableBodyText"/>
            </w:pPr>
            <w:r>
              <w:t>European 30/360. The European method for adjusting day counts. If the dates are equal, the differen</w:t>
            </w:r>
            <w:r>
              <w:t xml:space="preserve">ce of days is 0. Assumes that each month has 30 days and the total number of days in the year is 360; any day-of-month (in date1, date2, or both) with a value of 31 is changed to 30. Note that February dates are </w:t>
            </w:r>
            <w:r>
              <w:rPr>
                <w:i/>
              </w:rPr>
              <w:t xml:space="preserve">never </w:t>
            </w:r>
            <w:r>
              <w:t xml:space="preserve">changed, because there is no February </w:t>
            </w:r>
            <w:r>
              <w:t>31.</w:t>
            </w:r>
          </w:p>
        </w:tc>
      </w:tr>
    </w:tbl>
    <w:p w:rsidR="005F78FC" w:rsidRDefault="005F78FC"/>
    <w:p w:rsidR="005F78FC" w:rsidRDefault="00B42EF3">
      <w:pPr>
        <w:pStyle w:val="Heading3"/>
      </w:pPr>
      <w:bookmarkStart w:id="1836" w:name="section_03a8b66dce9d43d8a75117c0b018f0c3"/>
      <w:bookmarkStart w:id="1837" w:name="_Toc69878691"/>
      <w:r>
        <w:t>Part 1 Section 18.17.7.59, COUPDAYSNC</w:t>
      </w:r>
      <w:bookmarkEnd w:id="1836"/>
      <w:bookmarkEnd w:id="1837"/>
      <w:r>
        <w:fldChar w:fldCharType="begin"/>
      </w:r>
      <w:r>
        <w:instrText xml:space="preserve"> XE "COUPDAYSNC" </w:instrText>
      </w:r>
      <w:r>
        <w:fldChar w:fldCharType="end"/>
      </w:r>
    </w:p>
    <w:p w:rsidR="005F78FC" w:rsidRDefault="00B42EF3">
      <w:pPr>
        <w:pStyle w:val="Definition-Field"/>
      </w:pPr>
      <w:r>
        <w:t xml:space="preserve">a.   </w:t>
      </w:r>
      <w:r>
        <w:rPr>
          <w:i/>
        </w:rPr>
        <w:t>The standard does not specify day and month adjustments for the basis argument.</w:t>
      </w:r>
    </w:p>
    <w:p w:rsidR="005F78FC" w:rsidRDefault="00B42EF3">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lastRenderedPageBreak/>
              <w:t>Val</w:t>
            </w:r>
            <w:r>
              <w:t>ue</w:t>
            </w:r>
          </w:p>
        </w:tc>
        <w:tc>
          <w:tcPr>
            <w:tcW w:w="0" w:type="auto"/>
            <w:vAlign w:val="center"/>
          </w:tcPr>
          <w:p w:rsidR="005F78FC" w:rsidRDefault="00B42EF3">
            <w:pPr>
              <w:pStyle w:val="TableHeaderText"/>
            </w:pPr>
            <w:r>
              <w:t>Day Count Basis</w:t>
            </w:r>
          </w:p>
        </w:tc>
      </w:tr>
      <w:tr w:rsidR="005F78FC" w:rsidTr="005F78FC">
        <w:tc>
          <w:tcPr>
            <w:tcW w:w="0" w:type="auto"/>
            <w:vAlign w:val="center"/>
          </w:tcPr>
          <w:p w:rsidR="005F78FC" w:rsidRDefault="00B42EF3">
            <w:pPr>
              <w:pStyle w:val="TableBodyText"/>
            </w:pPr>
            <w:r>
              <w:rPr>
                <w:rStyle w:val="InlineCode"/>
              </w:rPr>
              <w:t>0</w:t>
            </w:r>
            <w:r>
              <w:t xml:space="preserve"> or omitted</w:t>
            </w:r>
          </w:p>
        </w:tc>
        <w:tc>
          <w:tcPr>
            <w:tcW w:w="0" w:type="auto"/>
            <w:vAlign w:val="center"/>
          </w:tcPr>
          <w:p w:rsidR="005F78FC" w:rsidRDefault="00B42EF3">
            <w:pPr>
              <w:pStyle w:val="TableBodyText"/>
            </w:pPr>
            <w:r>
              <w:t>US (NASD) 30/360. If the dates are equal, the difference of days is 0. Assumes that each month has 30 days and the total number of days in the year is 360 by making the following adjustments:</w:t>
            </w:r>
          </w:p>
          <w:p w:rsidR="005F78FC" w:rsidRDefault="00B42EF3">
            <w:pPr>
              <w:pStyle w:val="TableBodyText"/>
            </w:pPr>
            <w:r>
              <w:t xml:space="preserve">If both day-of-months are 31, </w:t>
            </w:r>
            <w:r>
              <w:t>they are changed to 30</w:t>
            </w:r>
          </w:p>
          <w:p w:rsidR="005F78FC" w:rsidRDefault="00B42EF3">
            <w:pPr>
              <w:pStyle w:val="TableBodyText"/>
            </w:pPr>
            <w:r>
              <w:t>Otherwise, if date1’s day-of-month is 31, it is changed to 30</w:t>
            </w:r>
          </w:p>
          <w:p w:rsidR="005F78FC" w:rsidRDefault="00B42EF3">
            <w:pPr>
              <w:pStyle w:val="TableBodyText"/>
            </w:pPr>
            <w:r>
              <w:t xml:space="preserve">Otherwise, if date1’s day-of-month is 30 and date2’s day-of-month is 31, date2’s day-of-month is changed to 30 (note that date2’s day-of-month will stay 31 if date1’s day </w:t>
            </w:r>
            <w:r>
              <w:t>&lt; 30)</w:t>
            </w:r>
          </w:p>
          <w:p w:rsidR="005F78FC" w:rsidRDefault="00B42EF3">
            <w:pPr>
              <w:pStyle w:val="TableBodyText"/>
            </w:pPr>
            <w:r>
              <w:t>Otherwise, if both dates are the last day of February in their respective years, both day-of-month is changed to 30</w:t>
            </w:r>
          </w:p>
          <w:p w:rsidR="005F78FC" w:rsidRDefault="00B42EF3">
            <w:pPr>
              <w:pStyle w:val="TableBodyText"/>
            </w:pPr>
            <w:r>
              <w:t>Otherwise, if date1 is the last day of February, its day-of-month is changed to 30</w:t>
            </w:r>
          </w:p>
        </w:tc>
      </w:tr>
      <w:tr w:rsidR="005F78FC" w:rsidTr="005F78FC">
        <w:tc>
          <w:tcPr>
            <w:tcW w:w="0" w:type="auto"/>
            <w:vAlign w:val="center"/>
          </w:tcPr>
          <w:p w:rsidR="005F78FC" w:rsidRDefault="00B42EF3">
            <w:pPr>
              <w:pStyle w:val="TableBodyText"/>
            </w:pPr>
            <w:r>
              <w:rPr>
                <w:rStyle w:val="InlineCode"/>
              </w:rPr>
              <w:t>1</w:t>
            </w:r>
          </w:p>
        </w:tc>
        <w:tc>
          <w:tcPr>
            <w:tcW w:w="0" w:type="auto"/>
            <w:vAlign w:val="center"/>
          </w:tcPr>
          <w:p w:rsidR="005F78FC" w:rsidRDefault="00B42EF3">
            <w:pPr>
              <w:pStyle w:val="TableBodyText"/>
            </w:pPr>
            <w:r>
              <w:t>Actual/actual. If the dates are equal, the diffe</w:t>
            </w:r>
            <w:r>
              <w:t>rence in days is 0. If date1 and date2 not “less than or equal to a year apart” (as defined below), then the days in the years between the dates is the average number of days in the years between date1 and date2, inclusive. Otherwise, the days in the years</w:t>
            </w:r>
            <w:r>
              <w:t xml:space="preserve"> between the dates is 365, except for these cases (where it is 366): the dates are in the same year and it is a leap-year, a February 29 occurs between the two dates, or </w:t>
            </w:r>
            <w:r>
              <w:rPr>
                <w:b/>
              </w:rPr>
              <w:t>date1 or</w:t>
            </w:r>
            <w:r>
              <w:t xml:space="preserve"> date2 is February 29.</w:t>
            </w:r>
          </w:p>
          <w:p w:rsidR="005F78FC" w:rsidRDefault="005F78FC">
            <w:pPr>
              <w:pStyle w:val="TableBodyText"/>
            </w:pPr>
          </w:p>
          <w:p w:rsidR="005F78FC" w:rsidRDefault="00B42EF3">
            <w:pPr>
              <w:pStyle w:val="TableBodyText"/>
            </w:pPr>
            <w:r>
              <w:t>To determine if date1 and date2 are “less than or equa</w:t>
            </w:r>
            <w:r>
              <w:t>l to a year apart” for purposes of this algorithm, one of these conditions must be true:</w:t>
            </w:r>
          </w:p>
          <w:p w:rsidR="005F78FC" w:rsidRDefault="00B42EF3">
            <w:pPr>
              <w:pStyle w:val="ListParagraph"/>
              <w:numPr>
                <w:ilvl w:val="0"/>
                <w:numId w:val="84"/>
              </w:numPr>
            </w:pPr>
            <w:r>
              <w:t>The two dates have the same year</w:t>
            </w:r>
          </w:p>
          <w:p w:rsidR="005F78FC" w:rsidRDefault="00B42EF3">
            <w:pPr>
              <w:pStyle w:val="ListParagraph"/>
              <w:numPr>
                <w:ilvl w:val="0"/>
                <w:numId w:val="85"/>
              </w:numPr>
            </w:pPr>
            <w:r>
              <w:t>Date2’s year is exactly one more than date1’s year, and ((date1.month &gt; date2.month) or ((date1.month == date2.month) and (date1.day &gt;</w:t>
            </w:r>
            <w:r>
              <w:t>= date2.day)))</w:t>
            </w:r>
          </w:p>
        </w:tc>
      </w:tr>
      <w:tr w:rsidR="005F78FC" w:rsidTr="005F78FC">
        <w:tc>
          <w:tcPr>
            <w:tcW w:w="0" w:type="auto"/>
            <w:vAlign w:val="center"/>
          </w:tcPr>
          <w:p w:rsidR="005F78FC" w:rsidRDefault="00B42EF3">
            <w:pPr>
              <w:pStyle w:val="TableBodyText"/>
            </w:pPr>
            <w:r>
              <w:rPr>
                <w:rStyle w:val="InlineCode"/>
              </w:rPr>
              <w:t>2</w:t>
            </w:r>
          </w:p>
        </w:tc>
        <w:tc>
          <w:tcPr>
            <w:tcW w:w="0" w:type="auto"/>
            <w:vAlign w:val="center"/>
          </w:tcPr>
          <w:p w:rsidR="005F78FC" w:rsidRDefault="00B42EF3">
            <w:pPr>
              <w:pStyle w:val="TableBodyText"/>
            </w:pPr>
            <w:r>
              <w:t>Actual/360. Computes the actual difference in days, and presumes there are always 360 days per year.</w:t>
            </w:r>
          </w:p>
        </w:tc>
      </w:tr>
      <w:tr w:rsidR="005F78FC" w:rsidTr="005F78FC">
        <w:tc>
          <w:tcPr>
            <w:tcW w:w="0" w:type="auto"/>
            <w:vAlign w:val="center"/>
          </w:tcPr>
          <w:p w:rsidR="005F78FC" w:rsidRDefault="00B42EF3">
            <w:pPr>
              <w:pStyle w:val="TableBodyText"/>
            </w:pPr>
            <w:r>
              <w:rPr>
                <w:rStyle w:val="InlineCode"/>
              </w:rPr>
              <w:t>3</w:t>
            </w:r>
          </w:p>
        </w:tc>
        <w:tc>
          <w:tcPr>
            <w:tcW w:w="0" w:type="auto"/>
            <w:vAlign w:val="center"/>
          </w:tcPr>
          <w:p w:rsidR="005F78FC" w:rsidRDefault="00B42EF3">
            <w:pPr>
              <w:pStyle w:val="TableBodyText"/>
            </w:pPr>
            <w:r>
              <w:t>Actual/365. Computes the actual difference in days, and presumes there are always 365 days per year.</w:t>
            </w:r>
          </w:p>
        </w:tc>
      </w:tr>
      <w:tr w:rsidR="005F78FC" w:rsidTr="005F78FC">
        <w:tc>
          <w:tcPr>
            <w:tcW w:w="0" w:type="auto"/>
            <w:vAlign w:val="center"/>
          </w:tcPr>
          <w:p w:rsidR="005F78FC" w:rsidRDefault="00B42EF3">
            <w:pPr>
              <w:pStyle w:val="TableBodyText"/>
            </w:pPr>
            <w:r>
              <w:rPr>
                <w:rStyle w:val="InlineCode"/>
              </w:rPr>
              <w:t>4</w:t>
            </w:r>
          </w:p>
        </w:tc>
        <w:tc>
          <w:tcPr>
            <w:tcW w:w="0" w:type="auto"/>
            <w:vAlign w:val="center"/>
          </w:tcPr>
          <w:p w:rsidR="005F78FC" w:rsidRDefault="00B42EF3">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5F78FC" w:rsidRDefault="005F78FC"/>
    <w:p w:rsidR="005F78FC" w:rsidRDefault="00B42EF3">
      <w:pPr>
        <w:pStyle w:val="Heading3"/>
      </w:pPr>
      <w:bookmarkStart w:id="1838" w:name="section_b48d56a6c03446c2acbb0ea61547b4b8"/>
      <w:bookmarkStart w:id="1839" w:name="_Toc69878692"/>
      <w:r>
        <w:t>Part 1 Section 18.17.7.60, COUPNCD</w:t>
      </w:r>
      <w:bookmarkEnd w:id="1838"/>
      <w:bookmarkEnd w:id="1839"/>
      <w:r>
        <w:fldChar w:fldCharType="begin"/>
      </w:r>
      <w:r>
        <w:instrText xml:space="preserve"> XE "COUPNCD" </w:instrText>
      </w:r>
      <w:r>
        <w:fldChar w:fldCharType="end"/>
      </w:r>
    </w:p>
    <w:p w:rsidR="005F78FC" w:rsidRDefault="00B42EF3">
      <w:pPr>
        <w:pStyle w:val="Definition-Field"/>
      </w:pPr>
      <w:r>
        <w:t xml:space="preserve">a.   </w:t>
      </w:r>
      <w:r>
        <w:rPr>
          <w:i/>
        </w:rPr>
        <w:t>The standard does not specify day and month adjustments for the basis argument.</w:t>
      </w:r>
    </w:p>
    <w:p w:rsidR="005F78FC" w:rsidRDefault="00B42EF3">
      <w:r>
        <w:t xml:space="preserve">In Excel, the </w:t>
      </w:r>
      <w:r>
        <w:rPr>
          <w:i/>
        </w:rPr>
        <w:t>b</w:t>
      </w:r>
      <w:r>
        <w:rPr>
          <w:i/>
        </w:rPr>
        <w:t>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Value</w:t>
            </w:r>
          </w:p>
        </w:tc>
        <w:tc>
          <w:tcPr>
            <w:tcW w:w="0" w:type="auto"/>
            <w:vAlign w:val="center"/>
          </w:tcPr>
          <w:p w:rsidR="005F78FC" w:rsidRDefault="00B42EF3">
            <w:pPr>
              <w:pStyle w:val="TableHeaderText"/>
            </w:pPr>
            <w:r>
              <w:t>Day Count Basis</w:t>
            </w:r>
          </w:p>
        </w:tc>
      </w:tr>
      <w:tr w:rsidR="005F78FC" w:rsidTr="005F78FC">
        <w:tc>
          <w:tcPr>
            <w:tcW w:w="0" w:type="auto"/>
            <w:vAlign w:val="center"/>
          </w:tcPr>
          <w:p w:rsidR="005F78FC" w:rsidRDefault="00B42EF3">
            <w:pPr>
              <w:pStyle w:val="TableBodyText"/>
            </w:pPr>
            <w:r>
              <w:rPr>
                <w:rStyle w:val="InlineCode"/>
              </w:rPr>
              <w:t>0</w:t>
            </w:r>
            <w:r>
              <w:t xml:space="preserve"> or omitted</w:t>
            </w:r>
          </w:p>
        </w:tc>
        <w:tc>
          <w:tcPr>
            <w:tcW w:w="0" w:type="auto"/>
            <w:vAlign w:val="center"/>
          </w:tcPr>
          <w:p w:rsidR="005F78FC" w:rsidRDefault="00B42EF3">
            <w:pPr>
              <w:pStyle w:val="TableBodyText"/>
            </w:pPr>
            <w:r>
              <w:t>US (NASD) 30/360. If the dates are equal, the difference of days is 0. Assumes that each month has 30 days and the total number of</w:t>
            </w:r>
            <w:r>
              <w:t xml:space="preserve"> days in the year is 360 by making the following adjustments:</w:t>
            </w:r>
          </w:p>
          <w:p w:rsidR="005F78FC" w:rsidRDefault="00B42EF3">
            <w:pPr>
              <w:pStyle w:val="TableBodyText"/>
            </w:pPr>
            <w:r>
              <w:t>If both day-of-months are 31, they are changed to 30</w:t>
            </w:r>
          </w:p>
          <w:p w:rsidR="005F78FC" w:rsidRDefault="00B42EF3">
            <w:pPr>
              <w:pStyle w:val="TableBodyText"/>
            </w:pPr>
            <w:r>
              <w:t>Otherwise, if date1’s day-of-month is 31, it is changed to 30</w:t>
            </w:r>
          </w:p>
          <w:p w:rsidR="005F78FC" w:rsidRDefault="00B42EF3">
            <w:pPr>
              <w:pStyle w:val="TableBodyText"/>
            </w:pPr>
            <w:r>
              <w:t>Otherwise, if date1’s day-of-month is 30 and date2’s day-of-month is 31, date2’</w:t>
            </w:r>
            <w:r>
              <w:t>s day-of-month is changed to 30 (note that date2’s day-of-month will stay 31 if date1’s day &lt; 30)</w:t>
            </w:r>
          </w:p>
          <w:p w:rsidR="005F78FC" w:rsidRDefault="00B42EF3">
            <w:pPr>
              <w:pStyle w:val="TableBodyText"/>
            </w:pPr>
            <w:r>
              <w:t>Otherwise, if both dates are the last day of February in their respective years, both day-of-month is changed to 30</w:t>
            </w:r>
          </w:p>
          <w:p w:rsidR="005F78FC" w:rsidRDefault="00B42EF3">
            <w:pPr>
              <w:pStyle w:val="TableBodyText"/>
            </w:pPr>
            <w:r>
              <w:t>Otherwise, if date1 is the last day of Feb</w:t>
            </w:r>
            <w:r>
              <w:t>ruary, its day-of-month is changed to 30</w:t>
            </w:r>
          </w:p>
        </w:tc>
      </w:tr>
      <w:tr w:rsidR="005F78FC" w:rsidTr="005F78FC">
        <w:tc>
          <w:tcPr>
            <w:tcW w:w="0" w:type="auto"/>
            <w:vAlign w:val="center"/>
          </w:tcPr>
          <w:p w:rsidR="005F78FC" w:rsidRDefault="00B42EF3">
            <w:pPr>
              <w:pStyle w:val="TableBodyText"/>
            </w:pPr>
            <w:r>
              <w:rPr>
                <w:rStyle w:val="InlineCode"/>
              </w:rPr>
              <w:t>1</w:t>
            </w:r>
          </w:p>
        </w:tc>
        <w:tc>
          <w:tcPr>
            <w:tcW w:w="0" w:type="auto"/>
            <w:vAlign w:val="center"/>
          </w:tcPr>
          <w:p w:rsidR="005F78FC" w:rsidRDefault="00B42EF3">
            <w:pPr>
              <w:pStyle w:val="TableBodyText"/>
            </w:pPr>
            <w:r>
              <w:t xml:space="preserve">Actual/actual. If the dates are equal, the difference in days is 0. If date1 and date2 not “less than or </w:t>
            </w:r>
            <w:r>
              <w:lastRenderedPageBreak/>
              <w:t>equal to a year apart” (as defined below), then the days in the years between the dates is the average numb</w:t>
            </w:r>
            <w:r>
              <w:t>er of days in the years between date1 and date2, inclusive. Otherwise, the days in the years between the dates is 365, except for these cases (where it is 366): the dates are in the same year and it is a leap-year, a February 29 occurs between the two date</w:t>
            </w:r>
            <w:r>
              <w:t xml:space="preserve">s, or </w:t>
            </w:r>
            <w:r>
              <w:rPr>
                <w:b/>
              </w:rPr>
              <w:t>date1 or</w:t>
            </w:r>
            <w:r>
              <w:t xml:space="preserve"> date2 is February 29.</w:t>
            </w:r>
          </w:p>
          <w:p w:rsidR="005F78FC" w:rsidRDefault="005F78FC">
            <w:pPr>
              <w:pStyle w:val="TableBodyText"/>
            </w:pPr>
          </w:p>
          <w:p w:rsidR="005F78FC" w:rsidRDefault="00B42EF3">
            <w:pPr>
              <w:pStyle w:val="TableBodyText"/>
            </w:pPr>
            <w:r>
              <w:t>To determine if date1 and date2 are “less than or equal to a year apart” for purposes of this algorithm, one of these conditions must be true:</w:t>
            </w:r>
          </w:p>
          <w:p w:rsidR="005F78FC" w:rsidRDefault="00B42EF3">
            <w:pPr>
              <w:pStyle w:val="ListParagraph"/>
              <w:numPr>
                <w:ilvl w:val="0"/>
                <w:numId w:val="86"/>
              </w:numPr>
            </w:pPr>
            <w:r>
              <w:t>The two dates have the same year</w:t>
            </w:r>
          </w:p>
          <w:p w:rsidR="005F78FC" w:rsidRDefault="00B42EF3">
            <w:pPr>
              <w:pStyle w:val="ListParagraph"/>
              <w:numPr>
                <w:ilvl w:val="0"/>
                <w:numId w:val="87"/>
              </w:numPr>
            </w:pPr>
            <w:r>
              <w:t>Date2’s year is exactly one more than date</w:t>
            </w:r>
            <w:r>
              <w:t>1’s year, and ((date1.month &gt; date2.month) or ((date1.month == date2.month) and (date1.day &gt;= date2.day)))</w:t>
            </w:r>
          </w:p>
        </w:tc>
      </w:tr>
      <w:tr w:rsidR="005F78FC" w:rsidTr="005F78FC">
        <w:tc>
          <w:tcPr>
            <w:tcW w:w="0" w:type="auto"/>
            <w:vAlign w:val="center"/>
          </w:tcPr>
          <w:p w:rsidR="005F78FC" w:rsidRDefault="00B42EF3">
            <w:pPr>
              <w:pStyle w:val="TableBodyText"/>
            </w:pPr>
            <w:r>
              <w:rPr>
                <w:rStyle w:val="InlineCode"/>
              </w:rPr>
              <w:lastRenderedPageBreak/>
              <w:t>2</w:t>
            </w:r>
          </w:p>
        </w:tc>
        <w:tc>
          <w:tcPr>
            <w:tcW w:w="0" w:type="auto"/>
            <w:vAlign w:val="center"/>
          </w:tcPr>
          <w:p w:rsidR="005F78FC" w:rsidRDefault="00B42EF3">
            <w:pPr>
              <w:pStyle w:val="TableBodyText"/>
            </w:pPr>
            <w:r>
              <w:t>Actual/360. Computes the actual difference in days, and presumes there are always 360 days per year.</w:t>
            </w:r>
          </w:p>
        </w:tc>
      </w:tr>
      <w:tr w:rsidR="005F78FC" w:rsidTr="005F78FC">
        <w:tc>
          <w:tcPr>
            <w:tcW w:w="0" w:type="auto"/>
            <w:vAlign w:val="center"/>
          </w:tcPr>
          <w:p w:rsidR="005F78FC" w:rsidRDefault="00B42EF3">
            <w:pPr>
              <w:pStyle w:val="TableBodyText"/>
            </w:pPr>
            <w:r>
              <w:rPr>
                <w:rStyle w:val="InlineCode"/>
              </w:rPr>
              <w:t>3</w:t>
            </w:r>
          </w:p>
        </w:tc>
        <w:tc>
          <w:tcPr>
            <w:tcW w:w="0" w:type="auto"/>
            <w:vAlign w:val="center"/>
          </w:tcPr>
          <w:p w:rsidR="005F78FC" w:rsidRDefault="00B42EF3">
            <w:pPr>
              <w:pStyle w:val="TableBodyText"/>
            </w:pPr>
            <w:r>
              <w:t>Actual/365. Computes the actual difference</w:t>
            </w:r>
            <w:r>
              <w:t xml:space="preserve"> in days, and presumes there are always 365 days per year.</w:t>
            </w:r>
          </w:p>
        </w:tc>
      </w:tr>
      <w:tr w:rsidR="005F78FC" w:rsidTr="005F78FC">
        <w:tc>
          <w:tcPr>
            <w:tcW w:w="0" w:type="auto"/>
            <w:vAlign w:val="center"/>
          </w:tcPr>
          <w:p w:rsidR="005F78FC" w:rsidRDefault="00B42EF3">
            <w:pPr>
              <w:pStyle w:val="TableBodyText"/>
            </w:pPr>
            <w:r>
              <w:rPr>
                <w:rStyle w:val="InlineCode"/>
              </w:rPr>
              <w:t>4</w:t>
            </w:r>
          </w:p>
        </w:tc>
        <w:tc>
          <w:tcPr>
            <w:tcW w:w="0" w:type="auto"/>
            <w:vAlign w:val="center"/>
          </w:tcPr>
          <w:p w:rsidR="005F78FC" w:rsidRDefault="00B42EF3">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5F78FC" w:rsidRDefault="005F78FC"/>
    <w:p w:rsidR="005F78FC" w:rsidRDefault="00B42EF3">
      <w:pPr>
        <w:pStyle w:val="Heading3"/>
      </w:pPr>
      <w:bookmarkStart w:id="1840" w:name="section_cb1a2b1ece6241f0aa54baf09de7379c"/>
      <w:bookmarkStart w:id="1841" w:name="_Toc69878693"/>
      <w:r>
        <w:t>Part 1 Section 18.17.7.61, COUPNUM</w:t>
      </w:r>
      <w:bookmarkEnd w:id="1840"/>
      <w:bookmarkEnd w:id="1841"/>
      <w:r>
        <w:fldChar w:fldCharType="begin"/>
      </w:r>
      <w:r>
        <w:instrText xml:space="preserve"> XE "COUPNUM" </w:instrText>
      </w:r>
      <w:r>
        <w:fldChar w:fldCharType="end"/>
      </w:r>
    </w:p>
    <w:p w:rsidR="005F78FC" w:rsidRDefault="00B42EF3">
      <w:pPr>
        <w:pStyle w:val="Definition-Field"/>
      </w:pPr>
      <w:r>
        <w:t xml:space="preserve">a.   </w:t>
      </w:r>
      <w:r>
        <w:rPr>
          <w:i/>
        </w:rPr>
        <w:t>The standard does not specify day and month adjustments for the basis argument.</w:t>
      </w:r>
    </w:p>
    <w:p w:rsidR="005F78FC" w:rsidRDefault="00B42EF3">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Value</w:t>
            </w:r>
          </w:p>
        </w:tc>
        <w:tc>
          <w:tcPr>
            <w:tcW w:w="0" w:type="auto"/>
            <w:vAlign w:val="center"/>
          </w:tcPr>
          <w:p w:rsidR="005F78FC" w:rsidRDefault="00B42EF3">
            <w:pPr>
              <w:pStyle w:val="TableHeaderText"/>
            </w:pPr>
            <w:r>
              <w:t>Day Count Basis</w:t>
            </w:r>
          </w:p>
        </w:tc>
      </w:tr>
      <w:tr w:rsidR="005F78FC" w:rsidTr="005F78FC">
        <w:tc>
          <w:tcPr>
            <w:tcW w:w="0" w:type="auto"/>
            <w:vAlign w:val="center"/>
          </w:tcPr>
          <w:p w:rsidR="005F78FC" w:rsidRDefault="00B42EF3">
            <w:pPr>
              <w:pStyle w:val="TableBodyText"/>
            </w:pPr>
            <w:r>
              <w:rPr>
                <w:rStyle w:val="InlineCode"/>
              </w:rPr>
              <w:t>0</w:t>
            </w:r>
            <w:r>
              <w:t xml:space="preserve"> or omitted</w:t>
            </w:r>
          </w:p>
        </w:tc>
        <w:tc>
          <w:tcPr>
            <w:tcW w:w="0" w:type="auto"/>
            <w:vAlign w:val="center"/>
          </w:tcPr>
          <w:p w:rsidR="005F78FC" w:rsidRDefault="00B42EF3">
            <w:pPr>
              <w:pStyle w:val="TableBodyText"/>
            </w:pPr>
            <w:r>
              <w:t>US (NASD) 30/360. If the dates are equal, the difference of days is 0. Assumes that each month has 30 days and the total number o</w:t>
            </w:r>
            <w:r>
              <w:t>f days in the year is 360 by making the following adjustments:</w:t>
            </w:r>
          </w:p>
          <w:p w:rsidR="005F78FC" w:rsidRDefault="00B42EF3">
            <w:pPr>
              <w:pStyle w:val="TableBodyText"/>
            </w:pPr>
            <w:r>
              <w:t>If both day-of-months are 31, they are changed to 30</w:t>
            </w:r>
          </w:p>
          <w:p w:rsidR="005F78FC" w:rsidRDefault="00B42EF3">
            <w:pPr>
              <w:pStyle w:val="TableBodyText"/>
            </w:pPr>
            <w:r>
              <w:t>Otherwise, if date1’s day-of-month is 31, it is changed to 30</w:t>
            </w:r>
          </w:p>
          <w:p w:rsidR="005F78FC" w:rsidRDefault="00B42EF3">
            <w:pPr>
              <w:pStyle w:val="TableBodyText"/>
            </w:pPr>
            <w:r>
              <w:t>Otherwise, if date1’s day-of-month is 30 and date2’s day-of-month is 31, date2</w:t>
            </w:r>
            <w:r>
              <w:t>’s day-of-month is changed to 30 (note that date2’s day-of-month will stay 31 if date1’s day &lt; 30)</w:t>
            </w:r>
          </w:p>
          <w:p w:rsidR="005F78FC" w:rsidRDefault="00B42EF3">
            <w:pPr>
              <w:pStyle w:val="TableBodyText"/>
            </w:pPr>
            <w:r>
              <w:t>Otherwise, if both dates are the last day of February in their respective years, both day-of-month is changed to 30</w:t>
            </w:r>
          </w:p>
          <w:p w:rsidR="005F78FC" w:rsidRDefault="00B42EF3">
            <w:pPr>
              <w:pStyle w:val="TableBodyText"/>
            </w:pPr>
            <w:r>
              <w:t>Otherwise, if date1 is the last day of Fe</w:t>
            </w:r>
            <w:r>
              <w:t>bruary, its day-of-month is changed to 30</w:t>
            </w:r>
          </w:p>
        </w:tc>
      </w:tr>
      <w:tr w:rsidR="005F78FC" w:rsidTr="005F78FC">
        <w:tc>
          <w:tcPr>
            <w:tcW w:w="0" w:type="auto"/>
            <w:vAlign w:val="center"/>
          </w:tcPr>
          <w:p w:rsidR="005F78FC" w:rsidRDefault="00B42EF3">
            <w:pPr>
              <w:pStyle w:val="TableBodyText"/>
            </w:pPr>
            <w:r>
              <w:rPr>
                <w:rStyle w:val="InlineCode"/>
              </w:rPr>
              <w:t>1</w:t>
            </w:r>
          </w:p>
        </w:tc>
        <w:tc>
          <w:tcPr>
            <w:tcW w:w="0" w:type="auto"/>
            <w:vAlign w:val="center"/>
          </w:tcPr>
          <w:p w:rsidR="005F78FC" w:rsidRDefault="00B42EF3">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5F78FC" w:rsidRDefault="005F78FC">
            <w:pPr>
              <w:pStyle w:val="TableBodyText"/>
            </w:pPr>
          </w:p>
          <w:p w:rsidR="005F78FC" w:rsidRDefault="00B42EF3">
            <w:pPr>
              <w:pStyle w:val="TableBodyText"/>
            </w:pPr>
            <w:r>
              <w:t>To det</w:t>
            </w:r>
            <w:r>
              <w:t>ermine if date1 and date2 are “less than or equal to a year apart” for purposes of this algorithm, one of these conditions must be true:</w:t>
            </w:r>
          </w:p>
          <w:p w:rsidR="005F78FC" w:rsidRDefault="00B42EF3">
            <w:pPr>
              <w:pStyle w:val="ListParagraph"/>
              <w:numPr>
                <w:ilvl w:val="0"/>
                <w:numId w:val="88"/>
              </w:numPr>
            </w:pPr>
            <w:r>
              <w:t>The two dates have the same year</w:t>
            </w:r>
          </w:p>
          <w:p w:rsidR="005F78FC" w:rsidRDefault="00B42EF3">
            <w:pPr>
              <w:pStyle w:val="ListParagraph"/>
              <w:numPr>
                <w:ilvl w:val="0"/>
                <w:numId w:val="89"/>
              </w:numPr>
            </w:pPr>
            <w:r>
              <w:t>Date2’s year is exactly one more than date1’s year, and ((date1.month &gt; date2.month) o</w:t>
            </w:r>
            <w:r>
              <w:t>r ((date1.month == date2.month) and (date1.day &gt;= date2.day)))</w:t>
            </w:r>
          </w:p>
        </w:tc>
      </w:tr>
      <w:tr w:rsidR="005F78FC" w:rsidTr="005F78FC">
        <w:tc>
          <w:tcPr>
            <w:tcW w:w="0" w:type="auto"/>
            <w:vAlign w:val="center"/>
          </w:tcPr>
          <w:p w:rsidR="005F78FC" w:rsidRDefault="00B42EF3">
            <w:pPr>
              <w:pStyle w:val="TableBodyText"/>
            </w:pPr>
            <w:r>
              <w:rPr>
                <w:rStyle w:val="InlineCode"/>
              </w:rPr>
              <w:lastRenderedPageBreak/>
              <w:t>2</w:t>
            </w:r>
          </w:p>
        </w:tc>
        <w:tc>
          <w:tcPr>
            <w:tcW w:w="0" w:type="auto"/>
            <w:vAlign w:val="center"/>
          </w:tcPr>
          <w:p w:rsidR="005F78FC" w:rsidRDefault="00B42EF3">
            <w:pPr>
              <w:pStyle w:val="TableBodyText"/>
            </w:pPr>
            <w:r>
              <w:t>Actual/360. Computes the actual difference in days, and presumes there are always 360 days per year.</w:t>
            </w:r>
          </w:p>
        </w:tc>
      </w:tr>
      <w:tr w:rsidR="005F78FC" w:rsidTr="005F78FC">
        <w:tc>
          <w:tcPr>
            <w:tcW w:w="0" w:type="auto"/>
            <w:vAlign w:val="center"/>
          </w:tcPr>
          <w:p w:rsidR="005F78FC" w:rsidRDefault="00B42EF3">
            <w:pPr>
              <w:pStyle w:val="TableBodyText"/>
            </w:pPr>
            <w:r>
              <w:rPr>
                <w:rStyle w:val="InlineCode"/>
              </w:rPr>
              <w:t>3</w:t>
            </w:r>
          </w:p>
        </w:tc>
        <w:tc>
          <w:tcPr>
            <w:tcW w:w="0" w:type="auto"/>
            <w:vAlign w:val="center"/>
          </w:tcPr>
          <w:p w:rsidR="005F78FC" w:rsidRDefault="00B42EF3">
            <w:pPr>
              <w:pStyle w:val="TableBodyText"/>
            </w:pPr>
            <w:r>
              <w:t xml:space="preserve">Actual/365. Computes the actual difference in days, and presumes there are always 365 </w:t>
            </w:r>
            <w:r>
              <w:t>days per year.</w:t>
            </w:r>
          </w:p>
        </w:tc>
      </w:tr>
      <w:tr w:rsidR="005F78FC" w:rsidTr="005F78FC">
        <w:tc>
          <w:tcPr>
            <w:tcW w:w="0" w:type="auto"/>
            <w:vAlign w:val="center"/>
          </w:tcPr>
          <w:p w:rsidR="005F78FC" w:rsidRDefault="00B42EF3">
            <w:pPr>
              <w:pStyle w:val="TableBodyText"/>
            </w:pPr>
            <w:r>
              <w:rPr>
                <w:rStyle w:val="InlineCode"/>
              </w:rPr>
              <w:t>4</w:t>
            </w:r>
          </w:p>
        </w:tc>
        <w:tc>
          <w:tcPr>
            <w:tcW w:w="0" w:type="auto"/>
            <w:vAlign w:val="center"/>
          </w:tcPr>
          <w:p w:rsidR="005F78FC" w:rsidRDefault="00B42EF3">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5F78FC" w:rsidRDefault="005F78FC"/>
    <w:p w:rsidR="005F78FC" w:rsidRDefault="00B42EF3">
      <w:pPr>
        <w:pStyle w:val="Definition-Field"/>
      </w:pPr>
      <w:r>
        <w:t xml:space="preserve">b.   </w:t>
      </w:r>
      <w:r>
        <w:rPr>
          <w:i/>
        </w:rPr>
        <w:t>The standard does not specify that arguments settlement and maturity are truncated to integers.</w:t>
      </w:r>
    </w:p>
    <w:p w:rsidR="005F78FC" w:rsidRDefault="00B42EF3">
      <w:pPr>
        <w:pStyle w:val="Definition-Field2"/>
      </w:pPr>
      <w:r>
        <w:t xml:space="preserve">In Office, arguments settlement </w:t>
      </w:r>
      <w:r>
        <w:t>and maturity are truncated to integers.</w:t>
      </w:r>
    </w:p>
    <w:p w:rsidR="005F78FC" w:rsidRDefault="00B42EF3">
      <w:pPr>
        <w:pStyle w:val="Definition-Field"/>
      </w:pPr>
      <w:r>
        <w:t xml:space="preserve">c.   </w:t>
      </w:r>
      <w:r>
        <w:rPr>
          <w:i/>
        </w:rPr>
        <w:t>The standard states that the return values is the number of coupons payable between the settlement date and maturity date, rounded up to the nearest whole coupon.</w:t>
      </w:r>
    </w:p>
    <w:p w:rsidR="005F78FC" w:rsidRDefault="00B42EF3">
      <w:pPr>
        <w:pStyle w:val="Definition-Field2"/>
      </w:pPr>
      <w:r>
        <w:t>In Office, if the number of months between the s</w:t>
      </w:r>
      <w:r>
        <w:t>ettlement and maturity is not a multiple of the number of months between coupon payments and settlement date is less than one payment period away from serial day 1, #NUM! is returned.</w:t>
      </w:r>
    </w:p>
    <w:p w:rsidR="005F78FC" w:rsidRDefault="00B42EF3">
      <w:pPr>
        <w:pStyle w:val="Heading3"/>
      </w:pPr>
      <w:bookmarkStart w:id="1842" w:name="section_c1984310e77840939b4d90e00b44ce89"/>
      <w:bookmarkStart w:id="1843" w:name="_Toc69878694"/>
      <w:r>
        <w:t>Part 1 Section 18.17.7.62, COUPPCD</w:t>
      </w:r>
      <w:bookmarkEnd w:id="1842"/>
      <w:bookmarkEnd w:id="1843"/>
      <w:r>
        <w:fldChar w:fldCharType="begin"/>
      </w:r>
      <w:r>
        <w:instrText xml:space="preserve"> XE "COUPPCD" </w:instrText>
      </w:r>
      <w:r>
        <w:fldChar w:fldCharType="end"/>
      </w:r>
    </w:p>
    <w:p w:rsidR="005F78FC" w:rsidRDefault="00B42EF3">
      <w:pPr>
        <w:pStyle w:val="Definition-Field"/>
      </w:pPr>
      <w:r>
        <w:t xml:space="preserve">a.   </w:t>
      </w:r>
      <w:r>
        <w:rPr>
          <w:i/>
        </w:rPr>
        <w:t>The standard doe</w:t>
      </w:r>
      <w:r>
        <w:rPr>
          <w:i/>
        </w:rPr>
        <w:t>s not specify day and month adjustments for the basis argument.</w:t>
      </w:r>
    </w:p>
    <w:p w:rsidR="005F78FC" w:rsidRDefault="00B42EF3">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Value</w:t>
            </w:r>
          </w:p>
        </w:tc>
        <w:tc>
          <w:tcPr>
            <w:tcW w:w="0" w:type="auto"/>
            <w:vAlign w:val="center"/>
          </w:tcPr>
          <w:p w:rsidR="005F78FC" w:rsidRDefault="00B42EF3">
            <w:pPr>
              <w:pStyle w:val="TableHeaderText"/>
            </w:pPr>
            <w:r>
              <w:t>Day Count Basis</w:t>
            </w:r>
          </w:p>
        </w:tc>
      </w:tr>
      <w:tr w:rsidR="005F78FC" w:rsidTr="005F78FC">
        <w:tc>
          <w:tcPr>
            <w:tcW w:w="0" w:type="auto"/>
            <w:vAlign w:val="center"/>
          </w:tcPr>
          <w:p w:rsidR="005F78FC" w:rsidRDefault="00B42EF3">
            <w:pPr>
              <w:pStyle w:val="TableBodyText"/>
            </w:pPr>
            <w:r>
              <w:rPr>
                <w:rStyle w:val="InlineCode"/>
              </w:rPr>
              <w:t>0</w:t>
            </w:r>
            <w:r>
              <w:t xml:space="preserve"> or omitted</w:t>
            </w:r>
          </w:p>
        </w:tc>
        <w:tc>
          <w:tcPr>
            <w:tcW w:w="0" w:type="auto"/>
            <w:vAlign w:val="center"/>
          </w:tcPr>
          <w:p w:rsidR="005F78FC" w:rsidRDefault="00B42EF3">
            <w:pPr>
              <w:pStyle w:val="TableBodyText"/>
            </w:pPr>
            <w:r>
              <w:t>US (NASD) 30/360. If the dates are equal, the diffe</w:t>
            </w:r>
            <w:r>
              <w:t>rence of days is 0. Assumes that each month has 30 days and the total number of days in the year is 360 by making the following adjustments:</w:t>
            </w:r>
          </w:p>
          <w:p w:rsidR="005F78FC" w:rsidRDefault="00B42EF3">
            <w:pPr>
              <w:pStyle w:val="TableBodyText"/>
            </w:pPr>
            <w:r>
              <w:t>If both day-of-months are 31, they are changed to 30</w:t>
            </w:r>
          </w:p>
          <w:p w:rsidR="005F78FC" w:rsidRDefault="00B42EF3">
            <w:pPr>
              <w:pStyle w:val="TableBodyText"/>
            </w:pPr>
            <w:r>
              <w:t>Otherwise, if date1’s day-of-month is 31, it is changed to 30</w:t>
            </w:r>
          </w:p>
          <w:p w:rsidR="005F78FC" w:rsidRDefault="00B42EF3">
            <w:pPr>
              <w:pStyle w:val="TableBodyText"/>
            </w:pPr>
            <w:r>
              <w:t>Otherwise, if date1’s day-of-month is 30 and date2’s day-of-month is 31, date2’s day-of-month is changed to 30 (note that date2’s day-of-month will stay 31 if date1’s day &lt; 30)</w:t>
            </w:r>
          </w:p>
          <w:p w:rsidR="005F78FC" w:rsidRDefault="00B42EF3">
            <w:pPr>
              <w:pStyle w:val="TableBodyText"/>
            </w:pPr>
            <w:r>
              <w:t xml:space="preserve">Otherwise, if both dates are the last day of February in their respective </w:t>
            </w:r>
            <w:r>
              <w:t>years, both day-of-month is changed to 30</w:t>
            </w:r>
          </w:p>
          <w:p w:rsidR="005F78FC" w:rsidRDefault="00B42EF3">
            <w:pPr>
              <w:pStyle w:val="TableBodyText"/>
            </w:pPr>
            <w:r>
              <w:t>Otherwise, if date1 is the last day of February, its day-of-month is changed to 30</w:t>
            </w:r>
          </w:p>
        </w:tc>
      </w:tr>
      <w:tr w:rsidR="005F78FC" w:rsidTr="005F78FC">
        <w:tc>
          <w:tcPr>
            <w:tcW w:w="0" w:type="auto"/>
            <w:vAlign w:val="center"/>
          </w:tcPr>
          <w:p w:rsidR="005F78FC" w:rsidRDefault="00B42EF3">
            <w:pPr>
              <w:pStyle w:val="TableBodyText"/>
            </w:pPr>
            <w:r>
              <w:rPr>
                <w:rStyle w:val="InlineCode"/>
              </w:rPr>
              <w:t>1</w:t>
            </w:r>
          </w:p>
        </w:tc>
        <w:tc>
          <w:tcPr>
            <w:tcW w:w="0" w:type="auto"/>
            <w:vAlign w:val="center"/>
          </w:tcPr>
          <w:p w:rsidR="005F78FC" w:rsidRDefault="00B42EF3">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5F78FC" w:rsidRDefault="005F78FC">
            <w:pPr>
              <w:pStyle w:val="TableBodyText"/>
            </w:pPr>
          </w:p>
          <w:p w:rsidR="005F78FC" w:rsidRDefault="00B42EF3">
            <w:pPr>
              <w:pStyle w:val="TableBodyText"/>
            </w:pPr>
            <w:r>
              <w:t>To det</w:t>
            </w:r>
            <w:r>
              <w:t>ermine if date1 and date2 are “less than or equal to a year apart” for purposes of this algorithm, one of these conditions must be true:</w:t>
            </w:r>
          </w:p>
          <w:p w:rsidR="005F78FC" w:rsidRDefault="00B42EF3">
            <w:pPr>
              <w:pStyle w:val="ListParagraph"/>
              <w:numPr>
                <w:ilvl w:val="0"/>
                <w:numId w:val="90"/>
              </w:numPr>
            </w:pPr>
            <w:r>
              <w:t>The two dates have the same year</w:t>
            </w:r>
          </w:p>
          <w:p w:rsidR="005F78FC" w:rsidRDefault="00B42EF3">
            <w:pPr>
              <w:pStyle w:val="ListParagraph"/>
              <w:numPr>
                <w:ilvl w:val="0"/>
                <w:numId w:val="91"/>
              </w:numPr>
            </w:pPr>
            <w:r>
              <w:t>Date2’s year is exactly one more than date1’s year, and ((date1.month &gt; date2.month) o</w:t>
            </w:r>
            <w:r>
              <w:t>r ((date1.month == date2.month) and (date1.day &gt;= date2.day)))</w:t>
            </w:r>
          </w:p>
        </w:tc>
      </w:tr>
      <w:tr w:rsidR="005F78FC" w:rsidTr="005F78FC">
        <w:tc>
          <w:tcPr>
            <w:tcW w:w="0" w:type="auto"/>
            <w:vAlign w:val="center"/>
          </w:tcPr>
          <w:p w:rsidR="005F78FC" w:rsidRDefault="00B42EF3">
            <w:pPr>
              <w:pStyle w:val="TableBodyText"/>
            </w:pPr>
            <w:r>
              <w:rPr>
                <w:rStyle w:val="InlineCode"/>
              </w:rPr>
              <w:t>2</w:t>
            </w:r>
          </w:p>
        </w:tc>
        <w:tc>
          <w:tcPr>
            <w:tcW w:w="0" w:type="auto"/>
            <w:vAlign w:val="center"/>
          </w:tcPr>
          <w:p w:rsidR="005F78FC" w:rsidRDefault="00B42EF3">
            <w:pPr>
              <w:pStyle w:val="TableBodyText"/>
            </w:pPr>
            <w:r>
              <w:t xml:space="preserve">Actual/360. Computes the actual difference in days, and presumes there are always 360 days per </w:t>
            </w:r>
            <w:r>
              <w:lastRenderedPageBreak/>
              <w:t>year.</w:t>
            </w:r>
          </w:p>
        </w:tc>
      </w:tr>
      <w:tr w:rsidR="005F78FC" w:rsidTr="005F78FC">
        <w:tc>
          <w:tcPr>
            <w:tcW w:w="0" w:type="auto"/>
            <w:vAlign w:val="center"/>
          </w:tcPr>
          <w:p w:rsidR="005F78FC" w:rsidRDefault="00B42EF3">
            <w:pPr>
              <w:pStyle w:val="TableBodyText"/>
            </w:pPr>
            <w:r>
              <w:rPr>
                <w:rStyle w:val="InlineCode"/>
              </w:rPr>
              <w:lastRenderedPageBreak/>
              <w:t>3</w:t>
            </w:r>
          </w:p>
        </w:tc>
        <w:tc>
          <w:tcPr>
            <w:tcW w:w="0" w:type="auto"/>
            <w:vAlign w:val="center"/>
          </w:tcPr>
          <w:p w:rsidR="005F78FC" w:rsidRDefault="00B42EF3">
            <w:pPr>
              <w:pStyle w:val="TableBodyText"/>
            </w:pPr>
            <w:r>
              <w:t xml:space="preserve">Actual/365. Computes the actual difference in days, and presumes there are always 365 </w:t>
            </w:r>
            <w:r>
              <w:t>days per year.</w:t>
            </w:r>
          </w:p>
        </w:tc>
      </w:tr>
      <w:tr w:rsidR="005F78FC" w:rsidTr="005F78FC">
        <w:tc>
          <w:tcPr>
            <w:tcW w:w="0" w:type="auto"/>
            <w:vAlign w:val="center"/>
          </w:tcPr>
          <w:p w:rsidR="005F78FC" w:rsidRDefault="00B42EF3">
            <w:pPr>
              <w:pStyle w:val="TableBodyText"/>
            </w:pPr>
            <w:r>
              <w:rPr>
                <w:rStyle w:val="InlineCode"/>
              </w:rPr>
              <w:t>4</w:t>
            </w:r>
          </w:p>
        </w:tc>
        <w:tc>
          <w:tcPr>
            <w:tcW w:w="0" w:type="auto"/>
            <w:vAlign w:val="center"/>
          </w:tcPr>
          <w:p w:rsidR="005F78FC" w:rsidRDefault="00B42EF3">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5F78FC" w:rsidRDefault="005F78FC"/>
    <w:p w:rsidR="005F78FC" w:rsidRDefault="00B42EF3">
      <w:pPr>
        <w:pStyle w:val="Heading3"/>
      </w:pPr>
      <w:bookmarkStart w:id="1844" w:name="section_253c6fac2aa2405bb389f8b813d20428"/>
      <w:bookmarkStart w:id="1845" w:name="_Toc69878695"/>
      <w:r>
        <w:t>Part 1 Section 18.17.7.64, CRITBINOM</w:t>
      </w:r>
      <w:bookmarkEnd w:id="1844"/>
      <w:bookmarkEnd w:id="1845"/>
      <w:r>
        <w:fldChar w:fldCharType="begin"/>
      </w:r>
      <w:r>
        <w:instrText xml:space="preserve"> XE "CRITBINOM" </w:instrText>
      </w:r>
      <w:r>
        <w:fldChar w:fldCharType="end"/>
      </w:r>
    </w:p>
    <w:p w:rsidR="005F78FC" w:rsidRDefault="00B42EF3">
      <w:pPr>
        <w:pStyle w:val="Definition-Field"/>
      </w:pPr>
      <w:r>
        <w:t xml:space="preserve">a.   </w:t>
      </w:r>
      <w:r>
        <w:rPr>
          <w:i/>
        </w:rPr>
        <w:t>The standard specifies the number-trials argument as a number.</w:t>
      </w:r>
    </w:p>
    <w:p w:rsidR="005F78FC" w:rsidRDefault="00B42EF3">
      <w:pPr>
        <w:pStyle w:val="Definition-Field2"/>
      </w:pPr>
      <w:r>
        <w:t xml:space="preserve">In Excel, </w:t>
      </w:r>
      <w:r>
        <w:t>the number-trials argument is truncated to an integer.</w:t>
      </w:r>
    </w:p>
    <w:p w:rsidR="005F78FC" w:rsidRDefault="00B42EF3">
      <w:pPr>
        <w:pStyle w:val="Heading3"/>
      </w:pPr>
      <w:bookmarkStart w:id="1846" w:name="section_340546969f524105914397bccd1e9366"/>
      <w:bookmarkStart w:id="1847" w:name="_Toc69878696"/>
      <w:r>
        <w:t>Part 1 Section 18.17.7.65, CUBEKPIMEMBER</w:t>
      </w:r>
      <w:bookmarkEnd w:id="1846"/>
      <w:bookmarkEnd w:id="1847"/>
      <w:r>
        <w:fldChar w:fldCharType="begin"/>
      </w:r>
      <w:r>
        <w:instrText xml:space="preserve"> XE "CUBEKPIMEMBER" </w:instrText>
      </w:r>
      <w:r>
        <w:fldChar w:fldCharType="end"/>
      </w:r>
    </w:p>
    <w:p w:rsidR="005F78FC" w:rsidRDefault="00B42EF3">
      <w:pPr>
        <w:pStyle w:val="Definition-Field"/>
      </w:pPr>
      <w:r>
        <w:t xml:space="preserve">a.   </w:t>
      </w:r>
      <w:r>
        <w:rPr>
          <w:i/>
        </w:rPr>
        <w:t>The standard does not specify how the relative importance of the KPI can be used on the server when argument kpi-property is 5.</w:t>
      </w:r>
    </w:p>
    <w:p w:rsidR="005F78FC" w:rsidRDefault="00B42EF3">
      <w:r>
        <w:t>In Ex</w:t>
      </w:r>
      <w:r>
        <w:t>cel, a kpi-property value of 5 indicates the relative importance assigned to the KPI on the server.  If this KPI is assigned a parent KPI, then this number can be used on the server to proportionally adjust the results of this KPI value when calculating th</w:t>
      </w:r>
      <w:r>
        <w:t>e value of the parent KPI. While this number can be shown in the spreadsheet application, it is assumed that it is used by the server for any calculations affecting the KPI.</w:t>
      </w:r>
    </w:p>
    <w:p w:rsidR="005F78FC" w:rsidRDefault="00B42EF3">
      <w:pPr>
        <w:pStyle w:val="Definition-Field"/>
      </w:pPr>
      <w:r>
        <w:t xml:space="preserve">b.   </w:t>
      </w:r>
      <w:r>
        <w:rPr>
          <w:i/>
        </w:rPr>
        <w:t>The standard states argument kpi-property equal to 6 returns a temporal conte</w:t>
      </w:r>
      <w:r>
        <w:rPr>
          <w:i/>
        </w:rPr>
        <w:t>xt of the KPI.</w:t>
      </w:r>
    </w:p>
    <w:p w:rsidR="005F78FC" w:rsidRDefault="00B42EF3">
      <w:pPr>
        <w:pStyle w:val="Definition-Field2"/>
      </w:pPr>
      <w:r>
        <w:t>Office returns the unique name of the member in the time dimension that defines the timeframe of the KPI if kpi-property equals 6.</w:t>
      </w:r>
    </w:p>
    <w:p w:rsidR="005F78FC" w:rsidRDefault="00B42EF3">
      <w:pPr>
        <w:pStyle w:val="Heading3"/>
      </w:pPr>
      <w:bookmarkStart w:id="1848" w:name="section_22a502a9d3384459bd878a18d9037bc3"/>
      <w:bookmarkStart w:id="1849" w:name="_Toc69878697"/>
      <w:r>
        <w:t>Part 1 Section 18.17.7.69, CUBESET</w:t>
      </w:r>
      <w:bookmarkEnd w:id="1848"/>
      <w:bookmarkEnd w:id="1849"/>
      <w:r>
        <w:fldChar w:fldCharType="begin"/>
      </w:r>
      <w:r>
        <w:instrText xml:space="preserve"> XE "CUBESET" </w:instrText>
      </w:r>
      <w:r>
        <w:fldChar w:fldCharType="end"/>
      </w:r>
    </w:p>
    <w:p w:rsidR="005F78FC" w:rsidRDefault="00B42EF3">
      <w:pPr>
        <w:pStyle w:val="Definition-Field"/>
      </w:pPr>
      <w:r>
        <w:t xml:space="preserve">a.   </w:t>
      </w:r>
      <w:r>
        <w:rPr>
          <w:i/>
        </w:rPr>
        <w:t>The standard does not define the return value when sor</w:t>
      </w:r>
      <w:r>
        <w:rPr>
          <w:i/>
        </w:rPr>
        <w:t>t-order requires sort-by but sort-by value is not in the cube.</w:t>
      </w:r>
    </w:p>
    <w:p w:rsidR="005F78FC" w:rsidRDefault="00B42EF3">
      <w:pPr>
        <w:pStyle w:val="Definition-Field2"/>
      </w:pPr>
      <w:r>
        <w:t>In Office, #N/A is returned in this case.</w:t>
      </w:r>
    </w:p>
    <w:p w:rsidR="005F78FC" w:rsidRDefault="00B42EF3">
      <w:pPr>
        <w:pStyle w:val="Heading3"/>
      </w:pPr>
      <w:bookmarkStart w:id="1850" w:name="section_7b300f59520b4394976ae6e747a90f79"/>
      <w:bookmarkStart w:id="1851" w:name="_Toc69878698"/>
      <w:r>
        <w:t>Part 1 Section 18.17.7.70, CUBESETCOUNT</w:t>
      </w:r>
      <w:bookmarkEnd w:id="1850"/>
      <w:bookmarkEnd w:id="1851"/>
      <w:r>
        <w:fldChar w:fldCharType="begin"/>
      </w:r>
      <w:r>
        <w:instrText xml:space="preserve"> XE "CUBESETCOUNT" </w:instrText>
      </w:r>
      <w:r>
        <w:fldChar w:fldCharType="end"/>
      </w:r>
    </w:p>
    <w:p w:rsidR="005F78FC" w:rsidRDefault="00B42EF3">
      <w:pPr>
        <w:pStyle w:val="Definition-Field"/>
      </w:pPr>
      <w:r>
        <w:t xml:space="preserve">a.   </w:t>
      </w:r>
      <w:r>
        <w:rPr>
          <w:i/>
        </w:rPr>
        <w:t xml:space="preserve">The standard does not define the return value if set argument does not evaluate to a </w:t>
      </w:r>
      <w:r>
        <w:rPr>
          <w:i/>
        </w:rPr>
        <w:t>set.</w:t>
      </w:r>
    </w:p>
    <w:p w:rsidR="005F78FC" w:rsidRDefault="00B42EF3">
      <w:pPr>
        <w:pStyle w:val="Definition-Field2"/>
      </w:pPr>
      <w:r>
        <w:t>In Office, #N/A is returned in this case.</w:t>
      </w:r>
    </w:p>
    <w:p w:rsidR="005F78FC" w:rsidRDefault="00B42EF3">
      <w:pPr>
        <w:pStyle w:val="Heading3"/>
      </w:pPr>
      <w:bookmarkStart w:id="1852" w:name="section_66332a3d99bf4eea80038f4bad1f8752"/>
      <w:bookmarkStart w:id="1853" w:name="_Toc69878699"/>
      <w:r>
        <w:t>Part 1 Section 18.17.7.72, CUMIPMT</w:t>
      </w:r>
      <w:bookmarkEnd w:id="1852"/>
      <w:bookmarkEnd w:id="1853"/>
      <w:r>
        <w:fldChar w:fldCharType="begin"/>
      </w:r>
      <w:r>
        <w:instrText xml:space="preserve"> XE "CUMIPMT" </w:instrText>
      </w:r>
      <w:r>
        <w:fldChar w:fldCharType="end"/>
      </w:r>
    </w:p>
    <w:p w:rsidR="005F78FC" w:rsidRDefault="00B42EF3">
      <w:pPr>
        <w:pStyle w:val="Definition-Field"/>
      </w:pPr>
      <w:r>
        <w:t xml:space="preserve">a.   </w:t>
      </w:r>
      <w:r>
        <w:rPr>
          <w:i/>
        </w:rPr>
        <w:t>The standard does not define the return value of the CUMIPMT formula when end_period is greater than nper.</w:t>
      </w:r>
    </w:p>
    <w:p w:rsidR="005F78FC" w:rsidRDefault="00B42EF3">
      <w:pPr>
        <w:pStyle w:val="Definition-Field2"/>
      </w:pPr>
      <w:r>
        <w:t>Excel returns a value of #NUM! when end_period</w:t>
      </w:r>
      <w:r>
        <w:t xml:space="preserve"> is greater than nper.</w:t>
      </w:r>
    </w:p>
    <w:p w:rsidR="005F78FC" w:rsidRDefault="00B42EF3">
      <w:pPr>
        <w:pStyle w:val="Definition-Field"/>
      </w:pPr>
      <w:r>
        <w:t xml:space="preserve">b.   </w:t>
      </w:r>
      <w:r>
        <w:rPr>
          <w:i/>
        </w:rPr>
        <w:t>The standard states that start-period and end-period are numbers.</w:t>
      </w:r>
    </w:p>
    <w:p w:rsidR="005F78FC" w:rsidRDefault="00B42EF3">
      <w:pPr>
        <w:pStyle w:val="Definition-Field2"/>
      </w:pPr>
      <w:r>
        <w:lastRenderedPageBreak/>
        <w:t>Excel truncates start-period and end-period to integers.</w:t>
      </w:r>
    </w:p>
    <w:p w:rsidR="005F78FC" w:rsidRDefault="00B42EF3">
      <w:pPr>
        <w:pStyle w:val="Heading3"/>
      </w:pPr>
      <w:bookmarkStart w:id="1854" w:name="section_3449459a0e834a19b4029642a5ea36ff"/>
      <w:bookmarkStart w:id="1855" w:name="_Toc69878700"/>
      <w:r>
        <w:t>Part 1 Section 18.17.7.73, CUMPRINC</w:t>
      </w:r>
      <w:bookmarkEnd w:id="1854"/>
      <w:bookmarkEnd w:id="1855"/>
      <w:r>
        <w:fldChar w:fldCharType="begin"/>
      </w:r>
      <w:r>
        <w:instrText xml:space="preserve"> XE "CUMPRINC" </w:instrText>
      </w:r>
      <w:r>
        <w:fldChar w:fldCharType="end"/>
      </w:r>
    </w:p>
    <w:p w:rsidR="005F78FC" w:rsidRDefault="00B42EF3">
      <w:pPr>
        <w:pStyle w:val="Definition-Field"/>
      </w:pPr>
      <w:r>
        <w:t xml:space="preserve">a.   </w:t>
      </w:r>
      <w:r>
        <w:rPr>
          <w:i/>
        </w:rPr>
        <w:t xml:space="preserve">The standard does not specify the return value </w:t>
      </w:r>
      <w:r>
        <w:rPr>
          <w:i/>
        </w:rPr>
        <w:t>if the end_period argument is greater than the nper argument.</w:t>
      </w:r>
    </w:p>
    <w:p w:rsidR="005F78FC" w:rsidRDefault="00B42EF3">
      <w:pPr>
        <w:pStyle w:val="Definition-Field2"/>
      </w:pPr>
      <w:r>
        <w:t>Office returns #NUM! if the end_period argument is greater than the nper argument.</w:t>
      </w:r>
    </w:p>
    <w:p w:rsidR="005F78FC" w:rsidRDefault="00B42EF3">
      <w:pPr>
        <w:pStyle w:val="Definition-Field"/>
      </w:pPr>
      <w:r>
        <w:t xml:space="preserve">b.   </w:t>
      </w:r>
      <w:r>
        <w:rPr>
          <w:i/>
        </w:rPr>
        <w:t>The standard states that start-period and end-period are numbers.</w:t>
      </w:r>
    </w:p>
    <w:p w:rsidR="005F78FC" w:rsidRDefault="00B42EF3">
      <w:pPr>
        <w:pStyle w:val="Definition-Field2"/>
      </w:pPr>
      <w:r>
        <w:t>Excel truncates start-period and end-per</w:t>
      </w:r>
      <w:r>
        <w:t>iod to integers.</w:t>
      </w:r>
    </w:p>
    <w:p w:rsidR="005F78FC" w:rsidRDefault="00B42EF3">
      <w:pPr>
        <w:pStyle w:val="Heading3"/>
      </w:pPr>
      <w:bookmarkStart w:id="1856" w:name="section_4bbbb410cf9c45ecb96d8aa62d0d8cfa"/>
      <w:bookmarkStart w:id="1857" w:name="_Toc69878701"/>
      <w:r>
        <w:t>Part 1 Section 18.17.7.74, DATE</w:t>
      </w:r>
      <w:bookmarkEnd w:id="1856"/>
      <w:bookmarkEnd w:id="1857"/>
      <w:r>
        <w:fldChar w:fldCharType="begin"/>
      </w:r>
      <w:r>
        <w:instrText xml:space="preserve"> XE "DATE" </w:instrText>
      </w:r>
      <w:r>
        <w:fldChar w:fldCharType="end"/>
      </w:r>
    </w:p>
    <w:p w:rsidR="005F78FC" w:rsidRDefault="00B42EF3">
      <w:pPr>
        <w:pStyle w:val="Definition-Field"/>
      </w:pPr>
      <w:r>
        <w:t xml:space="preserve">a.   </w:t>
      </w:r>
      <w:r>
        <w:rPr>
          <w:i/>
        </w:rPr>
        <w:t>The standard does not specify that the year argument must be positive.</w:t>
      </w:r>
    </w:p>
    <w:p w:rsidR="005F78FC" w:rsidRDefault="00B42EF3">
      <w:pPr>
        <w:pStyle w:val="Definition-Field2"/>
      </w:pPr>
      <w:r>
        <w:t>Office requires the year argument to be a positive number.</w:t>
      </w:r>
    </w:p>
    <w:p w:rsidR="005F78FC" w:rsidRDefault="00B42EF3">
      <w:pPr>
        <w:pStyle w:val="Definition-Field"/>
      </w:pPr>
      <w:r>
        <w:t xml:space="preserve">b.   </w:t>
      </w:r>
      <w:r>
        <w:rPr>
          <w:i/>
        </w:rPr>
        <w:t>The standard defines a normalization process for month</w:t>
      </w:r>
      <w:r>
        <w:rPr>
          <w:i/>
        </w:rPr>
        <w:t xml:space="preserve"> and day arguments.</w:t>
      </w:r>
    </w:p>
    <w:p w:rsidR="005F78FC" w:rsidRDefault="00B42EF3">
      <w:r>
        <w:t xml:space="preserve">Office applies additional rules to the value of month or day in a year-month-day argument triplet when those values are out of range. </w:t>
      </w:r>
    </w:p>
    <w:p w:rsidR="005F78FC" w:rsidRDefault="00B42EF3">
      <w:r>
        <w:t>month is simply an instance of counting a given number of months, minus one, relative to January of t</w:t>
      </w:r>
      <w:r>
        <w:t xml:space="preserve">he year specified, using the Gregorian calendar </w:t>
      </w:r>
      <w:hyperlink r:id="rId144">
        <w:r>
          <w:rPr>
            <w:rStyle w:val="Hyperlink"/>
          </w:rPr>
          <w:t>[ISO-8601]</w:t>
        </w:r>
      </w:hyperlink>
      <w:r>
        <w:t xml:space="preserve">. This calendar defines that there are 12 months in a year, and that when counting forward, the month following December of one year </w:t>
      </w:r>
      <w:r>
        <w:t>is January of the following year, and when counting backward, the month preceding January of one year is December of the previous year. Likewise, day is simply an instance of counting a given number of days, minus one, relative to the first day of the adju</w:t>
      </w:r>
      <w:r>
        <w:t>sted month, using the Gregorian calendar. This calendar defines the number of days in each month, and that when counting forward, the day following the final day of one month is the first day of the following month, and when counting backward, the day prec</w:t>
      </w:r>
      <w:r>
        <w:t xml:space="preserve">eding the first day of one month is the final day of the previous month. </w:t>
      </w:r>
    </w:p>
    <w:p w:rsidR="005F78FC" w:rsidRDefault="00B42EF3">
      <w:r>
        <w:t>[</w:t>
      </w:r>
      <w:r>
        <w:rPr>
          <w:i/>
        </w:rPr>
        <w:t>Example</w:t>
      </w:r>
      <w:r>
        <w:t xml:space="preserve">: The year-month-day argument triplets (2007, 12,32), (2007,13,1), and (2008,1,1) all result in the same serial date. </w:t>
      </w:r>
      <w:r>
        <w:rPr>
          <w:i/>
        </w:rPr>
        <w:t>end example</w:t>
      </w:r>
      <w:r>
        <w:t>]</w:t>
      </w:r>
    </w:p>
    <w:p w:rsidR="005F78FC" w:rsidRDefault="00B42EF3">
      <w:r>
        <w:t>[</w:t>
      </w:r>
      <w:r>
        <w:rPr>
          <w:i/>
        </w:rPr>
        <w:t>Note</w:t>
      </w:r>
      <w:r>
        <w:t xml:space="preserve">: One way to handle out-of-range values for month or day is as follows:  </w:t>
      </w:r>
    </w:p>
    <w:p w:rsidR="005F78FC" w:rsidRDefault="00B42EF3">
      <w:r>
        <w:t>Compute yearAdjust  = INT((month - 1)/12)</w:t>
      </w:r>
    </w:p>
    <w:p w:rsidR="005F78FC" w:rsidRDefault="00B42EF3">
      <w:r>
        <w:t>Compute adjustedMonth = month - (yearAdjust * 12)</w:t>
      </w:r>
    </w:p>
    <w:p w:rsidR="005F78FC" w:rsidRDefault="00B42EF3">
      <w:r>
        <w:t>Compute adjustedYear = year + yearAdjust.</w:t>
      </w:r>
    </w:p>
    <w:p w:rsidR="005F78FC" w:rsidRDefault="00B42EF3">
      <w:r>
        <w:t xml:space="preserve"> A serialDateBase can now be computed for the fi</w:t>
      </w:r>
      <w:r>
        <w:t xml:space="preserve">rst day of the adjustedYear and adjustedMonth. Finally, compute the serial date for the full triplet by adding (day-1) to this serialDateBase. </w:t>
      </w:r>
      <w:r>
        <w:rPr>
          <w:i/>
        </w:rPr>
        <w:t>end note</w:t>
      </w:r>
      <w:r>
        <w:t>]</w:t>
      </w:r>
    </w:p>
    <w:p w:rsidR="005F78FC" w:rsidRDefault="00B42EF3">
      <w:pPr>
        <w:pStyle w:val="Definition-Field"/>
      </w:pPr>
      <w:r>
        <w:t xml:space="preserve">c.   </w:t>
      </w:r>
      <w:r>
        <w:rPr>
          <w:i/>
        </w:rPr>
        <w:t>The standard indicates various range of values for the year that cause #NUM! to be returned.</w:t>
      </w:r>
    </w:p>
    <w:p w:rsidR="005F78FC" w:rsidRDefault="00B42EF3">
      <w:pPr>
        <w:pStyle w:val="Definition-Field2"/>
      </w:pPr>
      <w:r>
        <w:t>Offic</w:t>
      </w:r>
      <w:r>
        <w:t>e returns #NUM! if the year is outside the acceptable range for the date base currently in use.</w:t>
      </w:r>
    </w:p>
    <w:p w:rsidR="005F78FC" w:rsidRDefault="00B42EF3">
      <w:pPr>
        <w:pStyle w:val="Heading3"/>
      </w:pPr>
      <w:bookmarkStart w:id="1858" w:name="section_d7d842ece9424a95933c7f514858422e"/>
      <w:bookmarkStart w:id="1859" w:name="_Toc69878702"/>
      <w:r>
        <w:t>Part 1 Section 18.17.7.76, DATEVALUE</w:t>
      </w:r>
      <w:bookmarkEnd w:id="1858"/>
      <w:bookmarkEnd w:id="1859"/>
      <w:r>
        <w:fldChar w:fldCharType="begin"/>
      </w:r>
      <w:r>
        <w:instrText xml:space="preserve"> XE "DATEVALUE" </w:instrText>
      </w:r>
      <w:r>
        <w:fldChar w:fldCharType="end"/>
      </w:r>
    </w:p>
    <w:p w:rsidR="005F78FC" w:rsidRDefault="00B42EF3">
      <w:pPr>
        <w:pStyle w:val="Definition-Field"/>
      </w:pPr>
      <w:r>
        <w:t xml:space="preserve">a.   </w:t>
      </w:r>
      <w:r>
        <w:rPr>
          <w:i/>
        </w:rPr>
        <w:t>The standard states the function computes the serial value of the date and/or time represented by th</w:t>
      </w:r>
      <w:r>
        <w:rPr>
          <w:i/>
        </w:rPr>
        <w:t>e string date-time-string, taking into account the current date base value.</w:t>
      </w:r>
    </w:p>
    <w:p w:rsidR="005F78FC" w:rsidRDefault="00B42EF3">
      <w:pPr>
        <w:pStyle w:val="Definition-Field2"/>
      </w:pPr>
      <w:r>
        <w:t>In Office, the function computes the serial value of the date represented by the string date-time-string, taking into account the current date base value.</w:t>
      </w:r>
    </w:p>
    <w:p w:rsidR="005F78FC" w:rsidRDefault="00B42EF3">
      <w:pPr>
        <w:pStyle w:val="Definition-Field"/>
      </w:pPr>
      <w:r>
        <w:lastRenderedPageBreak/>
        <w:t xml:space="preserve">b.   </w:t>
      </w:r>
      <w:r>
        <w:rPr>
          <w:i/>
        </w:rPr>
        <w:t>The standard does no</w:t>
      </w:r>
      <w:r>
        <w:rPr>
          <w:i/>
        </w:rPr>
        <w:t>t specify what happens when the date-time-string argument contains both a date and time part.</w:t>
      </w:r>
    </w:p>
    <w:p w:rsidR="005F78FC" w:rsidRDefault="00B42EF3">
      <w:pPr>
        <w:pStyle w:val="Definition-Field2"/>
      </w:pPr>
      <w:r>
        <w:t>Office truncates the time portion of the date-time-string argument, or returns 0 for time only values of date-time-string argument.</w:t>
      </w:r>
    </w:p>
    <w:p w:rsidR="005F78FC" w:rsidRDefault="00B42EF3">
      <w:pPr>
        <w:pStyle w:val="Heading3"/>
      </w:pPr>
      <w:bookmarkStart w:id="1860" w:name="section_772b35329d4d4cc999f47fc8e6f7cbee"/>
      <w:bookmarkStart w:id="1861" w:name="_Toc69878703"/>
      <w:r>
        <w:t>Part 1 Section 18.17.7.77, DAV</w:t>
      </w:r>
      <w:r>
        <w:t>ERAGE</w:t>
      </w:r>
      <w:bookmarkEnd w:id="1860"/>
      <w:bookmarkEnd w:id="1861"/>
      <w:r>
        <w:fldChar w:fldCharType="begin"/>
      </w:r>
      <w:r>
        <w:instrText xml:space="preserve"> XE "DAVERAGE" </w:instrText>
      </w:r>
      <w:r>
        <w:fldChar w:fldCharType="end"/>
      </w:r>
    </w:p>
    <w:p w:rsidR="005F78FC" w:rsidRDefault="00B42EF3">
      <w:pPr>
        <w:pStyle w:val="Definition-Field"/>
      </w:pPr>
      <w:r>
        <w:t xml:space="preserve">a.   </w:t>
      </w:r>
      <w:r>
        <w:rPr>
          <w:i/>
        </w:rPr>
        <w:t>The standard states that the field argument is the column to which criteria shall be applied.</w:t>
      </w:r>
    </w:p>
    <w:p w:rsidR="005F78FC" w:rsidRDefault="00B42EF3">
      <w:pPr>
        <w:pStyle w:val="Definition-Field2"/>
      </w:pPr>
      <w:r>
        <w:t>Office treats the field argument as the column to use to compute the average.</w:t>
      </w:r>
    </w:p>
    <w:p w:rsidR="005F78FC" w:rsidRDefault="00B42EF3">
      <w:pPr>
        <w:pStyle w:val="Heading3"/>
      </w:pPr>
      <w:bookmarkStart w:id="1862" w:name="section_0a57025c61144f1fab1e82504edb7859"/>
      <w:bookmarkStart w:id="1863" w:name="_Toc69878704"/>
      <w:r>
        <w:t>Part 1 Section 18.17.7.78, DAY</w:t>
      </w:r>
      <w:bookmarkEnd w:id="1862"/>
      <w:bookmarkEnd w:id="1863"/>
      <w:r>
        <w:fldChar w:fldCharType="begin"/>
      </w:r>
      <w:r>
        <w:instrText xml:space="preserve"> XE "DAY" </w:instrText>
      </w:r>
      <w:r>
        <w:fldChar w:fldCharType="end"/>
      </w:r>
    </w:p>
    <w:p w:rsidR="005F78FC" w:rsidRDefault="00B42EF3">
      <w:pPr>
        <w:pStyle w:val="Definition-Field"/>
      </w:pPr>
      <w:r>
        <w:t xml:space="preserve">a.   </w:t>
      </w:r>
      <w:r>
        <w:rPr>
          <w:i/>
        </w:rPr>
        <w:t>The stan</w:t>
      </w:r>
      <w:r>
        <w:rPr>
          <w:i/>
        </w:rPr>
        <w:t>dard includes the example “DAY(DATE(2006,0,2)) results in 31”, which is inconsistent with the defined behaviors for the DAY ("</w:t>
      </w:r>
      <w:hyperlink r:id="rId145">
        <w:r>
          <w:rPr>
            <w:rStyle w:val="Hyperlink"/>
          </w:rPr>
          <w:t>[ISO/IEC-29500-1]</w:t>
        </w:r>
      </w:hyperlink>
      <w:r>
        <w:rPr>
          <w:i/>
        </w:rPr>
        <w:t xml:space="preserve"> §18.17.7.78; DAY") and DATE ("</w:t>
      </w:r>
      <w:r>
        <w:t>[ISO/IEC-29500-1</w:t>
      </w:r>
      <w:r>
        <w:t>]</w:t>
      </w:r>
      <w:r>
        <w:rPr>
          <w:i/>
        </w:rPr>
        <w:t xml:space="preserve"> §18.17.7.74; DATE") functions.</w:t>
      </w:r>
    </w:p>
    <w:p w:rsidR="005F78FC" w:rsidRDefault="00B42EF3">
      <w:pPr>
        <w:pStyle w:val="Definition-Field2"/>
      </w:pPr>
      <w:r>
        <w:t>Excel implements the standard as written, and returns 2.</w:t>
      </w:r>
    </w:p>
    <w:p w:rsidR="005F78FC" w:rsidRDefault="00B42EF3">
      <w:pPr>
        <w:pStyle w:val="Heading3"/>
      </w:pPr>
      <w:bookmarkStart w:id="1864" w:name="section_1eeeff014a644d04909fa65156b0a515"/>
      <w:bookmarkStart w:id="1865" w:name="_Toc69878705"/>
      <w:r>
        <w:t>Part 1 Section 18.17.7.79, DAYS360</w:t>
      </w:r>
      <w:bookmarkEnd w:id="1864"/>
      <w:bookmarkEnd w:id="1865"/>
      <w:r>
        <w:fldChar w:fldCharType="begin"/>
      </w:r>
      <w:r>
        <w:instrText xml:space="preserve"> XE "DAYS360" </w:instrText>
      </w:r>
      <w:r>
        <w:fldChar w:fldCharType="end"/>
      </w:r>
    </w:p>
    <w:p w:rsidR="005F78FC" w:rsidRDefault="00B42EF3">
      <w:pPr>
        <w:pStyle w:val="Definition-Field"/>
      </w:pPr>
      <w:r>
        <w:t xml:space="preserve">a.   </w:t>
      </w:r>
      <w:r>
        <w:rPr>
          <w:i/>
        </w:rPr>
        <w:t xml:space="preserve">The standard does not describe the adjustments made when start-date is the 28th day of the 2nd month (or 29th </w:t>
      </w:r>
      <w:r>
        <w:rPr>
          <w:i/>
        </w:rPr>
        <w:t>day of the second month for leap-years) for when argument method-flag is FALSE or omitted.</w:t>
      </w:r>
    </w:p>
    <w:p w:rsidR="005F78FC" w:rsidRDefault="00B42EF3">
      <w:pPr>
        <w:pStyle w:val="Definition-Field2"/>
      </w:pPr>
      <w:r>
        <w:t>In Office, if the start-date is the 28th day of the 2nd month (29th day of the 2nd month for leap-years) it is also changed to the 30th day of that same month.</w:t>
      </w:r>
    </w:p>
    <w:p w:rsidR="005F78FC" w:rsidRDefault="00B42EF3">
      <w:pPr>
        <w:pStyle w:val="Heading3"/>
      </w:pPr>
      <w:bookmarkStart w:id="1866" w:name="section_7600adb286b144e9afc75ff91d70a281"/>
      <w:bookmarkStart w:id="1867" w:name="_Toc69878706"/>
      <w:r>
        <w:t xml:space="preserve">Part </w:t>
      </w:r>
      <w:r>
        <w:t>1 Section 18.17.7.80, DB</w:t>
      </w:r>
      <w:bookmarkEnd w:id="1866"/>
      <w:bookmarkEnd w:id="1867"/>
      <w:r>
        <w:fldChar w:fldCharType="begin"/>
      </w:r>
      <w:r>
        <w:instrText xml:space="preserve"> XE "DB" </w:instrText>
      </w:r>
      <w:r>
        <w:fldChar w:fldCharType="end"/>
      </w:r>
    </w:p>
    <w:p w:rsidR="005F78FC" w:rsidRDefault="00B42EF3">
      <w:pPr>
        <w:pStyle w:val="Definition-Field"/>
      </w:pPr>
      <w:r>
        <w:t xml:space="preserve">a.   </w:t>
      </w:r>
      <w:r>
        <w:rPr>
          <w:i/>
        </w:rPr>
        <w:t>The standard does not specify the return value if period &gt; life and month argument is omitted or month is 12, or if period &gt; (life + 1).</w:t>
      </w:r>
    </w:p>
    <w:p w:rsidR="005F78FC" w:rsidRDefault="00B42EF3">
      <w:pPr>
        <w:pStyle w:val="Definition-Field2"/>
      </w:pPr>
      <w:r>
        <w:t>Office returns #NUM! in this case.</w:t>
      </w:r>
    </w:p>
    <w:p w:rsidR="005F78FC" w:rsidRDefault="00B42EF3">
      <w:pPr>
        <w:pStyle w:val="Definition-Field"/>
      </w:pPr>
      <w:r>
        <w:t xml:space="preserve">b.   </w:t>
      </w:r>
      <w:r>
        <w:rPr>
          <w:i/>
        </w:rPr>
        <w:t xml:space="preserve">The standard states that the syntax </w:t>
      </w:r>
      <w:r>
        <w:rPr>
          <w:i/>
        </w:rPr>
        <w:t>is: DB  (  cost  ,  salvage  ,  life  ,  period  [  , [  month  ] ]  ).</w:t>
      </w:r>
    </w:p>
    <w:p w:rsidR="005F78FC" w:rsidRDefault="00B42EF3">
      <w:pPr>
        <w:pStyle w:val="Definition-Field2"/>
      </w:pPr>
      <w:r>
        <w:t>Office uses the following syntax: DB  (  cost  ,  salvage  ,  life  ,  period  [  ,  month   ]  ).</w:t>
      </w:r>
    </w:p>
    <w:p w:rsidR="005F78FC" w:rsidRDefault="00B42EF3">
      <w:pPr>
        <w:pStyle w:val="Heading3"/>
      </w:pPr>
      <w:bookmarkStart w:id="1868" w:name="section_49ad2a8386a24125a4b94c7feef6a0ba"/>
      <w:bookmarkStart w:id="1869" w:name="_Toc69878707"/>
      <w:r>
        <w:t>Part 1 Section 18.17.7.81, DCOUNT</w:t>
      </w:r>
      <w:bookmarkEnd w:id="1868"/>
      <w:bookmarkEnd w:id="1869"/>
      <w:r>
        <w:fldChar w:fldCharType="begin"/>
      </w:r>
      <w:r>
        <w:instrText xml:space="preserve"> XE "DCOUNT" </w:instrText>
      </w:r>
      <w:r>
        <w:fldChar w:fldCharType="end"/>
      </w:r>
    </w:p>
    <w:p w:rsidR="005F78FC" w:rsidRDefault="00B42EF3">
      <w:pPr>
        <w:pStyle w:val="Definition-Field"/>
      </w:pPr>
      <w:r>
        <w:t xml:space="preserve">a.   </w:t>
      </w:r>
      <w:r>
        <w:rPr>
          <w:i/>
        </w:rPr>
        <w:t xml:space="preserve">The standard states that the </w:t>
      </w:r>
      <w:r>
        <w:rPr>
          <w:i/>
        </w:rPr>
        <w:t>field argument is the column to which criteria shall be applied.</w:t>
      </w:r>
    </w:p>
    <w:p w:rsidR="005F78FC" w:rsidRDefault="00B42EF3">
      <w:pPr>
        <w:pStyle w:val="Definition-Field2"/>
      </w:pPr>
      <w:r>
        <w:t>Office treats the field argument as the column with values to count.</w:t>
      </w:r>
    </w:p>
    <w:p w:rsidR="005F78FC" w:rsidRDefault="00B42EF3">
      <w:pPr>
        <w:pStyle w:val="Heading3"/>
      </w:pPr>
      <w:bookmarkStart w:id="1870" w:name="section_9d863f40e03744bf958bdc158baf3397"/>
      <w:bookmarkStart w:id="1871" w:name="_Toc69878708"/>
      <w:r>
        <w:t>Part 1 Section 18.17.7.82, DCOUNTA</w:t>
      </w:r>
      <w:bookmarkEnd w:id="1870"/>
      <w:bookmarkEnd w:id="1871"/>
      <w:r>
        <w:fldChar w:fldCharType="begin"/>
      </w:r>
      <w:r>
        <w:instrText xml:space="preserve"> XE "DCOUNTA" </w:instrText>
      </w:r>
      <w:r>
        <w:fldChar w:fldCharType="end"/>
      </w:r>
    </w:p>
    <w:p w:rsidR="005F78FC" w:rsidRDefault="00B42EF3">
      <w:pPr>
        <w:pStyle w:val="Definition-Field"/>
      </w:pPr>
      <w:r>
        <w:t xml:space="preserve">a.   </w:t>
      </w:r>
      <w:r>
        <w:rPr>
          <w:i/>
        </w:rPr>
        <w:t>The standard states that the field argument is the column to which</w:t>
      </w:r>
      <w:r>
        <w:rPr>
          <w:i/>
        </w:rPr>
        <w:t xml:space="preserve"> criteria shall be applied.</w:t>
      </w:r>
    </w:p>
    <w:p w:rsidR="005F78FC" w:rsidRDefault="00B42EF3">
      <w:pPr>
        <w:pStyle w:val="Definition-Field2"/>
      </w:pPr>
      <w:r>
        <w:t>Office treats the field argument as the column with values to count.</w:t>
      </w:r>
    </w:p>
    <w:p w:rsidR="005F78FC" w:rsidRDefault="00B42EF3">
      <w:pPr>
        <w:pStyle w:val="Heading3"/>
      </w:pPr>
      <w:bookmarkStart w:id="1872" w:name="section_23d8e559f4544723822a8e219ab9992e"/>
      <w:bookmarkStart w:id="1873" w:name="_Toc69878709"/>
      <w:r>
        <w:t>Part 1 Section 18.17.7.83, DDB</w:t>
      </w:r>
      <w:bookmarkEnd w:id="1872"/>
      <w:bookmarkEnd w:id="1873"/>
      <w:r>
        <w:fldChar w:fldCharType="begin"/>
      </w:r>
      <w:r>
        <w:instrText xml:space="preserve"> XE "DDB" </w:instrText>
      </w:r>
      <w:r>
        <w:fldChar w:fldCharType="end"/>
      </w:r>
    </w:p>
    <w:p w:rsidR="005F78FC" w:rsidRDefault="00B42EF3">
      <w:pPr>
        <w:pStyle w:val="Definition-Field"/>
      </w:pPr>
      <w:r>
        <w:t xml:space="preserve">a.   </w:t>
      </w:r>
      <w:r>
        <w:rPr>
          <w:i/>
        </w:rPr>
        <w:t>The standard states that if the cost life argument is less than or equal to 0, then #NUM! is returned.</w:t>
      </w:r>
    </w:p>
    <w:p w:rsidR="005F78FC" w:rsidRDefault="00B42EF3">
      <w:pPr>
        <w:pStyle w:val="Definition-Field2"/>
      </w:pPr>
      <w:r>
        <w:lastRenderedPageBreak/>
        <w:t>Office r</w:t>
      </w:r>
      <w:r>
        <w:t>eturns #NUM! if the cost argument is less than 0.</w:t>
      </w:r>
    </w:p>
    <w:p w:rsidR="005F78FC" w:rsidRDefault="00B42EF3">
      <w:pPr>
        <w:pStyle w:val="Definition-Field"/>
      </w:pPr>
      <w:r>
        <w:t xml:space="preserve">b.   </w:t>
      </w:r>
      <w:r>
        <w:rPr>
          <w:i/>
        </w:rPr>
        <w:t>The standard does not specify the return value if period &gt; life.</w:t>
      </w:r>
    </w:p>
    <w:p w:rsidR="005F78FC" w:rsidRDefault="00B42EF3">
      <w:pPr>
        <w:pStyle w:val="Definition-Field2"/>
      </w:pPr>
      <w:r>
        <w:t>Office returns #NUM! if period &gt; life.</w:t>
      </w:r>
    </w:p>
    <w:p w:rsidR="005F78FC" w:rsidRDefault="00B42EF3">
      <w:pPr>
        <w:pStyle w:val="Definition-Field"/>
      </w:pPr>
      <w:r>
        <w:t xml:space="preserve">c.   </w:t>
      </w:r>
      <w:r>
        <w:rPr>
          <w:i/>
        </w:rPr>
        <w:t xml:space="preserve">The standard states that the syntax is: DDB  (  cost  ,  salvage  ,  life  ,  period  [  ,  </w:t>
      </w:r>
      <w:r>
        <w:rPr>
          <w:i/>
        </w:rPr>
        <w:t>factor  ] ]  ).</w:t>
      </w:r>
    </w:p>
    <w:p w:rsidR="005F78FC" w:rsidRDefault="00B42EF3">
      <w:pPr>
        <w:pStyle w:val="Definition-Field2"/>
      </w:pPr>
      <w:r>
        <w:t>Office uses the following syntax: DDB  (  cost  ,  salvage  ,  life  ,  period  [  ,  factor  ]  ).</w:t>
      </w:r>
    </w:p>
    <w:p w:rsidR="005F78FC" w:rsidRDefault="00B42EF3">
      <w:pPr>
        <w:pStyle w:val="Heading3"/>
      </w:pPr>
      <w:bookmarkStart w:id="1874" w:name="section_7cfe0e73dd0844b981fdc615f73ce6af"/>
      <w:bookmarkStart w:id="1875" w:name="_Toc69878710"/>
      <w:r>
        <w:t>Part 1 Section 18.17.7.84, DEC2BIN</w:t>
      </w:r>
      <w:bookmarkEnd w:id="1874"/>
      <w:bookmarkEnd w:id="1875"/>
      <w:r>
        <w:fldChar w:fldCharType="begin"/>
      </w:r>
      <w:r>
        <w:instrText xml:space="preserve"> XE "DEC2BIN" </w:instrText>
      </w:r>
      <w:r>
        <w:fldChar w:fldCharType="end"/>
      </w:r>
    </w:p>
    <w:p w:rsidR="005F78FC" w:rsidRDefault="00B42EF3">
      <w:pPr>
        <w:pStyle w:val="Definition-Field"/>
      </w:pPr>
      <w:r>
        <w:t xml:space="preserve">a.   </w:t>
      </w:r>
      <w:r>
        <w:rPr>
          <w:i/>
        </w:rPr>
        <w:t>The standard defines the number argument as a decimal number.</w:t>
      </w:r>
    </w:p>
    <w:p w:rsidR="005F78FC" w:rsidRDefault="00B42EF3">
      <w:pPr>
        <w:pStyle w:val="Definition-Field2"/>
      </w:pPr>
      <w:r>
        <w:t>Office truncates the n</w:t>
      </w:r>
      <w:r>
        <w:t>umber argument to a decimal integer.</w:t>
      </w:r>
    </w:p>
    <w:p w:rsidR="005F78FC" w:rsidRDefault="00B42EF3">
      <w:pPr>
        <w:pStyle w:val="Heading3"/>
      </w:pPr>
      <w:bookmarkStart w:id="1876" w:name="section_bc120263421b490faae7da0c6026ca7a"/>
      <w:bookmarkStart w:id="1877" w:name="_Toc69878711"/>
      <w:r>
        <w:t>Part 1 Section 18.17.7.85, DEC2HEX</w:t>
      </w:r>
      <w:bookmarkEnd w:id="1876"/>
      <w:bookmarkEnd w:id="1877"/>
      <w:r>
        <w:fldChar w:fldCharType="begin"/>
      </w:r>
      <w:r>
        <w:instrText xml:space="preserve"> XE "DEC2HEX" </w:instrText>
      </w:r>
      <w:r>
        <w:fldChar w:fldCharType="end"/>
      </w:r>
    </w:p>
    <w:p w:rsidR="005F78FC" w:rsidRDefault="00B42EF3">
      <w:pPr>
        <w:pStyle w:val="Definition-Field"/>
      </w:pPr>
      <w:r>
        <w:t xml:space="preserve">a.   </w:t>
      </w:r>
      <w:r>
        <w:rPr>
          <w:i/>
        </w:rPr>
        <w:t>The standard defines the number argument as a decimal number.</w:t>
      </w:r>
    </w:p>
    <w:p w:rsidR="005F78FC" w:rsidRDefault="00B42EF3">
      <w:pPr>
        <w:pStyle w:val="Definition-Field2"/>
      </w:pPr>
      <w:r>
        <w:t>Office truncates the number argument to a decimal integer.</w:t>
      </w:r>
    </w:p>
    <w:p w:rsidR="005F78FC" w:rsidRDefault="00B42EF3">
      <w:pPr>
        <w:pStyle w:val="Heading3"/>
      </w:pPr>
      <w:bookmarkStart w:id="1878" w:name="section_7556f95cd5e84ceca3354ace0aa5ef09"/>
      <w:bookmarkStart w:id="1879" w:name="_Toc69878712"/>
      <w:r>
        <w:t>Part 1 Section 18.17.7.86, DEC2OCT</w:t>
      </w:r>
      <w:bookmarkEnd w:id="1878"/>
      <w:bookmarkEnd w:id="1879"/>
      <w:r>
        <w:fldChar w:fldCharType="begin"/>
      </w:r>
      <w:r>
        <w:instrText xml:space="preserve"> XE "DEC</w:instrText>
      </w:r>
      <w:r>
        <w:instrText xml:space="preserve">2OCT" </w:instrText>
      </w:r>
      <w:r>
        <w:fldChar w:fldCharType="end"/>
      </w:r>
    </w:p>
    <w:p w:rsidR="005F78FC" w:rsidRDefault="00B42EF3">
      <w:pPr>
        <w:pStyle w:val="Definition-Field"/>
      </w:pPr>
      <w:r>
        <w:t xml:space="preserve">a.   </w:t>
      </w:r>
      <w:r>
        <w:rPr>
          <w:i/>
        </w:rPr>
        <w:t>The standard defines the number argument as a decimal number.</w:t>
      </w:r>
    </w:p>
    <w:p w:rsidR="005F78FC" w:rsidRDefault="00B42EF3">
      <w:pPr>
        <w:pStyle w:val="Definition-Field2"/>
      </w:pPr>
      <w:r>
        <w:t>Office truncates the number argument to a decimal integer.</w:t>
      </w:r>
    </w:p>
    <w:p w:rsidR="005F78FC" w:rsidRDefault="00B42EF3">
      <w:pPr>
        <w:pStyle w:val="Heading3"/>
      </w:pPr>
      <w:bookmarkStart w:id="1880" w:name="section_380b2e0778094280a39e0eec38e2e71d"/>
      <w:bookmarkStart w:id="1881" w:name="_Toc69878713"/>
      <w:r>
        <w:t>Part 1 Section 18.17.7.89, DEVSQ</w:t>
      </w:r>
      <w:bookmarkEnd w:id="1880"/>
      <w:bookmarkEnd w:id="1881"/>
      <w:r>
        <w:fldChar w:fldCharType="begin"/>
      </w:r>
      <w:r>
        <w:instrText xml:space="preserve"> XE "DEVSQ" </w:instrText>
      </w:r>
      <w:r>
        <w:fldChar w:fldCharType="end"/>
      </w:r>
    </w:p>
    <w:p w:rsidR="005F78FC" w:rsidRDefault="00B42EF3">
      <w:pPr>
        <w:pStyle w:val="Definition-Field"/>
      </w:pPr>
      <w:r>
        <w:t xml:space="preserve">a.   </w:t>
      </w:r>
      <w:r>
        <w:rPr>
          <w:i/>
        </w:rPr>
        <w:t>The standard does not specify the return value when the argument is a</w:t>
      </w:r>
      <w:r>
        <w:rPr>
          <w:i/>
        </w:rPr>
        <w:t>n array or a reference that contains only text, logical values, or empty cells.</w:t>
      </w:r>
    </w:p>
    <w:p w:rsidR="005F78FC" w:rsidRDefault="00B42EF3">
      <w:pPr>
        <w:pStyle w:val="Definition-Field2"/>
      </w:pPr>
      <w:r>
        <w:t>Office returns #NUM! when argument is an array or a reference that contains only text, logical values, or empty cells.</w:t>
      </w:r>
    </w:p>
    <w:p w:rsidR="005F78FC" w:rsidRDefault="00B42EF3">
      <w:pPr>
        <w:pStyle w:val="Heading3"/>
      </w:pPr>
      <w:bookmarkStart w:id="1882" w:name="section_53cd50963b4d41f8bb3566dd020960bb"/>
      <w:bookmarkStart w:id="1883" w:name="_Toc69878714"/>
      <w:r>
        <w:t>Part 1 Section 18.17.7.90, DGET</w:t>
      </w:r>
      <w:bookmarkEnd w:id="1882"/>
      <w:bookmarkEnd w:id="1883"/>
      <w:r>
        <w:fldChar w:fldCharType="begin"/>
      </w:r>
      <w:r>
        <w:instrText xml:space="preserve"> XE "DGET" </w:instrText>
      </w:r>
      <w:r>
        <w:fldChar w:fldCharType="end"/>
      </w:r>
    </w:p>
    <w:p w:rsidR="005F78FC" w:rsidRDefault="00B42EF3">
      <w:pPr>
        <w:pStyle w:val="Definition-Field"/>
      </w:pPr>
      <w:r>
        <w:t xml:space="preserve">a.   </w:t>
      </w:r>
      <w:r>
        <w:rPr>
          <w:i/>
        </w:rPr>
        <w:t>The sta</w:t>
      </w:r>
      <w:r>
        <w:rPr>
          <w:i/>
        </w:rPr>
        <w:t>ndard states that argument field is the column to which criteria shall be applied.</w:t>
      </w:r>
    </w:p>
    <w:p w:rsidR="005F78FC" w:rsidRDefault="00B42EF3">
      <w:pPr>
        <w:pStyle w:val="Definition-Field2"/>
      </w:pPr>
      <w:r>
        <w:t>Office treats argument field as the column containing the value to get.</w:t>
      </w:r>
    </w:p>
    <w:p w:rsidR="005F78FC" w:rsidRDefault="00B42EF3">
      <w:pPr>
        <w:pStyle w:val="Heading3"/>
      </w:pPr>
      <w:bookmarkStart w:id="1884" w:name="section_e0c10da50878451da411270f6f96ef6e"/>
      <w:bookmarkStart w:id="1885" w:name="_Toc69878715"/>
      <w:r>
        <w:t>Part 1 Section 18.17.7.91, DISC</w:t>
      </w:r>
      <w:bookmarkEnd w:id="1884"/>
      <w:bookmarkEnd w:id="1885"/>
      <w:r>
        <w:fldChar w:fldCharType="begin"/>
      </w:r>
      <w:r>
        <w:instrText xml:space="preserve"> XE "DISC" </w:instrText>
      </w:r>
      <w:r>
        <w:fldChar w:fldCharType="end"/>
      </w:r>
    </w:p>
    <w:p w:rsidR="005F78FC" w:rsidRDefault="00B42EF3">
      <w:pPr>
        <w:pStyle w:val="Definition-Field"/>
      </w:pPr>
      <w:r>
        <w:t xml:space="preserve">a.   </w:t>
      </w:r>
      <w:r>
        <w:rPr>
          <w:i/>
        </w:rPr>
        <w:t>The standard states the pr argument is the security</w:t>
      </w:r>
      <w:r>
        <w:rPr>
          <w:i/>
        </w:rPr>
        <w:t>'s price per $100 face value.</w:t>
      </w:r>
    </w:p>
    <w:p w:rsidR="005F78FC" w:rsidRDefault="00B42EF3">
      <w:pPr>
        <w:pStyle w:val="Definition-Field2"/>
      </w:pPr>
      <w:r>
        <w:t>Office treats the pr argument as the price per 100 currency units face value.</w:t>
      </w:r>
    </w:p>
    <w:p w:rsidR="005F78FC" w:rsidRDefault="00B42EF3">
      <w:pPr>
        <w:pStyle w:val="Definition-Field"/>
      </w:pPr>
      <w:r>
        <w:t xml:space="preserve">b.   </w:t>
      </w:r>
      <w:r>
        <w:rPr>
          <w:i/>
        </w:rPr>
        <w:t>The standard states the redemption argument is the security's redemption value per $100 face value.</w:t>
      </w:r>
    </w:p>
    <w:p w:rsidR="005F78FC" w:rsidRDefault="00B42EF3">
      <w:pPr>
        <w:pStyle w:val="Definition-Field2"/>
      </w:pPr>
      <w:r>
        <w:t xml:space="preserve">Office treats the redemption argument as </w:t>
      </w:r>
      <w:r>
        <w:t>the security's redemption value per 100 currency units face value.</w:t>
      </w:r>
    </w:p>
    <w:p w:rsidR="005F78FC" w:rsidRDefault="00B42EF3">
      <w:pPr>
        <w:pStyle w:val="Definition-Field"/>
      </w:pPr>
      <w:r>
        <w:t xml:space="preserve">c.   </w:t>
      </w:r>
      <w:r>
        <w:rPr>
          <w:i/>
        </w:rPr>
        <w:t>The standard does not specify day and month adjustments for the basis argument.</w:t>
      </w:r>
    </w:p>
    <w:p w:rsidR="005F78FC" w:rsidRDefault="00B42EF3">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lastRenderedPageBreak/>
              <w:t>Value</w:t>
            </w:r>
          </w:p>
        </w:tc>
        <w:tc>
          <w:tcPr>
            <w:tcW w:w="0" w:type="auto"/>
            <w:vAlign w:val="center"/>
          </w:tcPr>
          <w:p w:rsidR="005F78FC" w:rsidRDefault="00B42EF3">
            <w:pPr>
              <w:pStyle w:val="TableHeaderText"/>
            </w:pPr>
            <w:r>
              <w:t>Day Count Basis</w:t>
            </w:r>
          </w:p>
        </w:tc>
      </w:tr>
      <w:tr w:rsidR="005F78FC" w:rsidTr="005F78FC">
        <w:tc>
          <w:tcPr>
            <w:tcW w:w="0" w:type="auto"/>
            <w:vAlign w:val="center"/>
          </w:tcPr>
          <w:p w:rsidR="005F78FC" w:rsidRDefault="00B42EF3">
            <w:pPr>
              <w:pStyle w:val="TableBodyText"/>
            </w:pPr>
            <w:r>
              <w:rPr>
                <w:rStyle w:val="InlineCode"/>
              </w:rPr>
              <w:t>0</w:t>
            </w:r>
            <w:r>
              <w:t xml:space="preserve"> or omitted</w:t>
            </w:r>
          </w:p>
        </w:tc>
        <w:tc>
          <w:tcPr>
            <w:tcW w:w="0" w:type="auto"/>
            <w:vAlign w:val="center"/>
          </w:tcPr>
          <w:p w:rsidR="005F78FC" w:rsidRDefault="00B42EF3">
            <w:pPr>
              <w:pStyle w:val="TableBodyText"/>
            </w:pPr>
            <w:r>
              <w:t>US (NASD) 30/360. If the dates are equal, the difference of days is 0. Assumes that each month has 30 days and the total number of days in the year is 360 by making the following adjustments:</w:t>
            </w:r>
          </w:p>
          <w:p w:rsidR="005F78FC" w:rsidRDefault="00B42EF3">
            <w:pPr>
              <w:pStyle w:val="TableBodyText"/>
            </w:pPr>
            <w:r>
              <w:t>If both day-of-months are 3</w:t>
            </w:r>
            <w:r>
              <w:t>1, they are changed to 30</w:t>
            </w:r>
          </w:p>
          <w:p w:rsidR="005F78FC" w:rsidRDefault="00B42EF3">
            <w:pPr>
              <w:pStyle w:val="TableBodyText"/>
            </w:pPr>
            <w:r>
              <w:t>Otherwise, if date1’s day-of-month is 31, it is changed to 30</w:t>
            </w:r>
          </w:p>
          <w:p w:rsidR="005F78FC" w:rsidRDefault="00B42EF3">
            <w:pPr>
              <w:pStyle w:val="TableBodyText"/>
            </w:pPr>
            <w:r>
              <w:t>Otherwise, if date1’s day-of-month is 30 and date2’s day-of-month is 31, date2’s day-of-month is changed to 30 (note that date2’s day-of-month will stay 31 if date1’s d</w:t>
            </w:r>
            <w:r>
              <w:t>ay &lt; 30)</w:t>
            </w:r>
          </w:p>
          <w:p w:rsidR="005F78FC" w:rsidRDefault="00B42EF3">
            <w:pPr>
              <w:pStyle w:val="TableBodyText"/>
            </w:pPr>
            <w:r>
              <w:t>Otherwise, if both dates are the last day of February in their respective years, both day-of-month is changed to 30</w:t>
            </w:r>
          </w:p>
          <w:p w:rsidR="005F78FC" w:rsidRDefault="00B42EF3">
            <w:pPr>
              <w:pStyle w:val="TableBodyText"/>
            </w:pPr>
            <w:r>
              <w:t>Otherwise, if date1 is the last day of February, its day-of-month is changed to 30</w:t>
            </w:r>
          </w:p>
        </w:tc>
      </w:tr>
      <w:tr w:rsidR="005F78FC" w:rsidTr="005F78FC">
        <w:tc>
          <w:tcPr>
            <w:tcW w:w="0" w:type="auto"/>
            <w:vAlign w:val="center"/>
          </w:tcPr>
          <w:p w:rsidR="005F78FC" w:rsidRDefault="00B42EF3">
            <w:pPr>
              <w:pStyle w:val="TableBodyText"/>
            </w:pPr>
            <w:r>
              <w:rPr>
                <w:rStyle w:val="InlineCode"/>
              </w:rPr>
              <w:t>1</w:t>
            </w:r>
          </w:p>
        </w:tc>
        <w:tc>
          <w:tcPr>
            <w:tcW w:w="0" w:type="auto"/>
            <w:vAlign w:val="center"/>
          </w:tcPr>
          <w:p w:rsidR="005F78FC" w:rsidRDefault="00B42EF3">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5F78FC" w:rsidRDefault="005F78FC">
            <w:pPr>
              <w:pStyle w:val="TableBodyText"/>
            </w:pPr>
          </w:p>
          <w:p w:rsidR="005F78FC" w:rsidRDefault="00B42EF3">
            <w:pPr>
              <w:pStyle w:val="TableBodyText"/>
            </w:pPr>
            <w:r>
              <w:t>To det</w:t>
            </w:r>
            <w:r>
              <w:t>ermine if date1 and date2 are “less than or equal to a year apart” for purposes of this algorithm, one of these conditions must be true:</w:t>
            </w:r>
          </w:p>
          <w:p w:rsidR="005F78FC" w:rsidRDefault="00B42EF3">
            <w:pPr>
              <w:pStyle w:val="ListParagraph"/>
              <w:numPr>
                <w:ilvl w:val="0"/>
                <w:numId w:val="92"/>
              </w:numPr>
            </w:pPr>
            <w:r>
              <w:t>The two dates have the same year</w:t>
            </w:r>
          </w:p>
          <w:p w:rsidR="005F78FC" w:rsidRDefault="00B42EF3">
            <w:pPr>
              <w:pStyle w:val="ListParagraph"/>
              <w:numPr>
                <w:ilvl w:val="0"/>
                <w:numId w:val="93"/>
              </w:numPr>
            </w:pPr>
            <w:r>
              <w:t>Date2’s year is exactly one more than date1’s year, and ((date1.month &gt; date2.month) o</w:t>
            </w:r>
            <w:r>
              <w:t>r ((date1.month == date2.month) and (date1.day &gt;= date2.day)))</w:t>
            </w:r>
          </w:p>
        </w:tc>
      </w:tr>
      <w:tr w:rsidR="005F78FC" w:rsidTr="005F78FC">
        <w:tc>
          <w:tcPr>
            <w:tcW w:w="0" w:type="auto"/>
            <w:vAlign w:val="center"/>
          </w:tcPr>
          <w:p w:rsidR="005F78FC" w:rsidRDefault="00B42EF3">
            <w:pPr>
              <w:pStyle w:val="TableBodyText"/>
            </w:pPr>
            <w:r>
              <w:rPr>
                <w:rStyle w:val="InlineCode"/>
              </w:rPr>
              <w:t>2</w:t>
            </w:r>
          </w:p>
        </w:tc>
        <w:tc>
          <w:tcPr>
            <w:tcW w:w="0" w:type="auto"/>
            <w:vAlign w:val="center"/>
          </w:tcPr>
          <w:p w:rsidR="005F78FC" w:rsidRDefault="00B42EF3">
            <w:pPr>
              <w:pStyle w:val="TableBodyText"/>
            </w:pPr>
            <w:r>
              <w:t>Actual/360. Computes the actual difference in days, and presumes there are always 360 days per year.</w:t>
            </w:r>
          </w:p>
        </w:tc>
      </w:tr>
      <w:tr w:rsidR="005F78FC" w:rsidTr="005F78FC">
        <w:tc>
          <w:tcPr>
            <w:tcW w:w="0" w:type="auto"/>
            <w:vAlign w:val="center"/>
          </w:tcPr>
          <w:p w:rsidR="005F78FC" w:rsidRDefault="00B42EF3">
            <w:pPr>
              <w:pStyle w:val="TableBodyText"/>
            </w:pPr>
            <w:r>
              <w:rPr>
                <w:rStyle w:val="InlineCode"/>
              </w:rPr>
              <w:t>3</w:t>
            </w:r>
          </w:p>
        </w:tc>
        <w:tc>
          <w:tcPr>
            <w:tcW w:w="0" w:type="auto"/>
            <w:vAlign w:val="center"/>
          </w:tcPr>
          <w:p w:rsidR="005F78FC" w:rsidRDefault="00B42EF3">
            <w:pPr>
              <w:pStyle w:val="TableBodyText"/>
            </w:pPr>
            <w:r>
              <w:t xml:space="preserve">Actual/365. Computes the actual difference in days, and presumes there are always 365 </w:t>
            </w:r>
            <w:r>
              <w:t>days per year.</w:t>
            </w:r>
          </w:p>
        </w:tc>
      </w:tr>
      <w:tr w:rsidR="005F78FC" w:rsidTr="005F78FC">
        <w:tc>
          <w:tcPr>
            <w:tcW w:w="0" w:type="auto"/>
            <w:vAlign w:val="center"/>
          </w:tcPr>
          <w:p w:rsidR="005F78FC" w:rsidRDefault="00B42EF3">
            <w:pPr>
              <w:pStyle w:val="TableBodyText"/>
            </w:pPr>
            <w:r>
              <w:rPr>
                <w:rStyle w:val="InlineCode"/>
              </w:rPr>
              <w:t>4</w:t>
            </w:r>
          </w:p>
        </w:tc>
        <w:tc>
          <w:tcPr>
            <w:tcW w:w="0" w:type="auto"/>
            <w:vAlign w:val="center"/>
          </w:tcPr>
          <w:p w:rsidR="005F78FC" w:rsidRDefault="00B42EF3">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5F78FC" w:rsidRDefault="005F78FC"/>
    <w:p w:rsidR="005F78FC" w:rsidRDefault="00B42EF3">
      <w:pPr>
        <w:pStyle w:val="Definition-Field"/>
      </w:pPr>
      <w:r>
        <w:t xml:space="preserve">d.   </w:t>
      </w:r>
      <w:r>
        <w:rPr>
          <w:i/>
        </w:rPr>
        <w:t>The standard states that the formula for DISC has par as the denominator.</w:t>
      </w:r>
    </w:p>
    <w:p w:rsidR="005F78FC" w:rsidRDefault="00B42EF3">
      <w:pPr>
        <w:pStyle w:val="Definition-Field2"/>
      </w:pPr>
      <w:r>
        <w:t xml:space="preserve">Office requires the formula to have redemption in the </w:t>
      </w:r>
      <w:r>
        <w:t>denominator instead of par.</w:t>
      </w:r>
    </w:p>
    <w:p w:rsidR="005F78FC" w:rsidRDefault="00B42EF3">
      <w:pPr>
        <w:pStyle w:val="Heading3"/>
      </w:pPr>
      <w:bookmarkStart w:id="1886" w:name="section_aa3e1f3eb51c4330af60fdcf8e8f943c"/>
      <w:bookmarkStart w:id="1887" w:name="_Toc69878716"/>
      <w:r>
        <w:t>Part 1 Section 18.17.7.92, DMAX</w:t>
      </w:r>
      <w:bookmarkEnd w:id="1886"/>
      <w:bookmarkEnd w:id="1887"/>
      <w:r>
        <w:fldChar w:fldCharType="begin"/>
      </w:r>
      <w:r>
        <w:instrText xml:space="preserve"> XE "DMAX" </w:instrText>
      </w:r>
      <w:r>
        <w:fldChar w:fldCharType="end"/>
      </w:r>
    </w:p>
    <w:p w:rsidR="005F78FC" w:rsidRDefault="00B42EF3">
      <w:pPr>
        <w:pStyle w:val="Definition-Field"/>
      </w:pPr>
      <w:r>
        <w:t xml:space="preserve">a.   </w:t>
      </w:r>
      <w:r>
        <w:rPr>
          <w:i/>
        </w:rPr>
        <w:t>The standard states that the field argument is the column to which criteria shall be applied.</w:t>
      </w:r>
    </w:p>
    <w:p w:rsidR="005F78FC" w:rsidRDefault="00B42EF3">
      <w:pPr>
        <w:pStyle w:val="Definition-Field2"/>
      </w:pPr>
      <w:r>
        <w:t>Office treats the field argument as the column for which to find the maximum.</w:t>
      </w:r>
    </w:p>
    <w:p w:rsidR="005F78FC" w:rsidRDefault="00B42EF3">
      <w:pPr>
        <w:pStyle w:val="Heading3"/>
      </w:pPr>
      <w:bookmarkStart w:id="1888" w:name="section_24c5d4171ace4d9fafce3baa0a6bde27"/>
      <w:bookmarkStart w:id="1889" w:name="_Toc69878717"/>
      <w:r>
        <w:t>Part 1 Section 18.17.7.93, DMIN</w:t>
      </w:r>
      <w:bookmarkEnd w:id="1888"/>
      <w:bookmarkEnd w:id="1889"/>
      <w:r>
        <w:fldChar w:fldCharType="begin"/>
      </w:r>
      <w:r>
        <w:instrText xml:space="preserve"> XE "DMIN" </w:instrText>
      </w:r>
      <w:r>
        <w:fldChar w:fldCharType="end"/>
      </w:r>
    </w:p>
    <w:p w:rsidR="005F78FC" w:rsidRDefault="00B42EF3">
      <w:pPr>
        <w:pStyle w:val="Definition-Field"/>
      </w:pPr>
      <w:r>
        <w:t xml:space="preserve">a.   </w:t>
      </w:r>
      <w:r>
        <w:rPr>
          <w:i/>
        </w:rPr>
        <w:t>The standard states that the field argument is the column to which criteria shall be applied.</w:t>
      </w:r>
    </w:p>
    <w:p w:rsidR="005F78FC" w:rsidRDefault="00B42EF3">
      <w:pPr>
        <w:pStyle w:val="Definition-Field2"/>
      </w:pPr>
      <w:r>
        <w:t>Office treats the field argument as the column for which to find the minimum.</w:t>
      </w:r>
    </w:p>
    <w:p w:rsidR="005F78FC" w:rsidRDefault="00B42EF3">
      <w:pPr>
        <w:pStyle w:val="Heading3"/>
      </w:pPr>
      <w:bookmarkStart w:id="1890" w:name="section_8c4980c3abb244b887910b5b00c8546a"/>
      <w:bookmarkStart w:id="1891" w:name="_Toc69878718"/>
      <w:r>
        <w:lastRenderedPageBreak/>
        <w:t>Part 1 Section 18.17.7.94, DOLLAR</w:t>
      </w:r>
      <w:bookmarkEnd w:id="1890"/>
      <w:bookmarkEnd w:id="1891"/>
      <w:r>
        <w:fldChar w:fldCharType="begin"/>
      </w:r>
      <w:r>
        <w:instrText xml:space="preserve"> </w:instrText>
      </w:r>
      <w:r>
        <w:instrText xml:space="preserve">XE "DOLLAR" </w:instrText>
      </w:r>
      <w:r>
        <w:fldChar w:fldCharType="end"/>
      </w:r>
    </w:p>
    <w:p w:rsidR="005F78FC" w:rsidRDefault="00B42EF3">
      <w:pPr>
        <w:pStyle w:val="Definition-Field"/>
      </w:pPr>
      <w:r>
        <w:t xml:space="preserve">a.   </w:t>
      </w:r>
      <w:r>
        <w:rPr>
          <w:i/>
        </w:rPr>
        <w:t>The standard states that the thousands separator, radix point, and currency symbol are locale-specific. The format used is $#,##0.00;$(#,##0.00).</w:t>
      </w:r>
    </w:p>
    <w:p w:rsidR="005F78FC" w:rsidRDefault="00B42EF3">
      <w:pPr>
        <w:pStyle w:val="Definition-Field2"/>
      </w:pPr>
      <w:r>
        <w:t>Office treats the thousands separator, radix point, and currency symbol to be implementati</w:t>
      </w:r>
      <w:r>
        <w:t>on-specific.</w:t>
      </w:r>
    </w:p>
    <w:p w:rsidR="005F78FC" w:rsidRDefault="00B42EF3">
      <w:pPr>
        <w:pStyle w:val="Definition-Field"/>
      </w:pPr>
      <w:r>
        <w:t xml:space="preserve">b.   </w:t>
      </w:r>
      <w:r>
        <w:rPr>
          <w:i/>
        </w:rPr>
        <w:t>The standard does not specify the return value if the num-decimal argument is greater than 127.</w:t>
      </w:r>
    </w:p>
    <w:p w:rsidR="005F78FC" w:rsidRDefault="00B42EF3">
      <w:pPr>
        <w:pStyle w:val="Definition-Field2"/>
      </w:pPr>
      <w:r>
        <w:t>Office returns #VALUE! if the num-decimal argument is greater than 127.</w:t>
      </w:r>
    </w:p>
    <w:p w:rsidR="005F78FC" w:rsidRDefault="00B42EF3">
      <w:pPr>
        <w:pStyle w:val="Heading3"/>
      </w:pPr>
      <w:bookmarkStart w:id="1892" w:name="section_9db144490d4049699ce7de5c45e6f786"/>
      <w:bookmarkStart w:id="1893" w:name="_Toc69878719"/>
      <w:r>
        <w:t>Part 1 Section 18.17.7.95, DOLLARDE</w:t>
      </w:r>
      <w:bookmarkEnd w:id="1892"/>
      <w:bookmarkEnd w:id="1893"/>
      <w:r>
        <w:fldChar w:fldCharType="begin"/>
      </w:r>
      <w:r>
        <w:instrText xml:space="preserve"> XE "DOLLARDE" </w:instrText>
      </w:r>
      <w:r>
        <w:fldChar w:fldCharType="end"/>
      </w:r>
    </w:p>
    <w:p w:rsidR="005F78FC" w:rsidRDefault="00B42EF3">
      <w:pPr>
        <w:pStyle w:val="Definition-Field"/>
      </w:pPr>
      <w:r>
        <w:t xml:space="preserve">a.   </w:t>
      </w:r>
      <w:r>
        <w:rPr>
          <w:i/>
        </w:rPr>
        <w:t>The standard</w:t>
      </w:r>
      <w:r>
        <w:rPr>
          <w:i/>
        </w:rPr>
        <w:t xml:space="preserve"> does not specify how the return value is calculated.</w:t>
      </w:r>
    </w:p>
    <w:p w:rsidR="005F78FC" w:rsidRDefault="00B42EF3">
      <w:r>
        <w:t>In Excel, the fractional part of fractional-dollar is scaled to match the magnitude of fraction by moving the decimal place right by the number of digits in fraction.  The fractional-dollarm.n is comput</w:t>
      </w:r>
      <w:r>
        <w:t>ed into a decimal dollar value as m + i, where i is an intermediate result equal to (((0.n)*(10x))/fraction), and x is the base 10 log of fraction, rounded up to the nearest whole number.</w:t>
      </w:r>
    </w:p>
    <w:p w:rsidR="005F78FC" w:rsidRDefault="00B42EF3">
      <w:r>
        <w:t>[Example: Given a fractional-dollar value of 1.02 and a fraction val</w:t>
      </w:r>
      <w:r>
        <w:t>ue of 16, the fractional part of fractional-dollar is multiplied by 100, giving a value of 2 to be divided by fraction before being added to the integral part of fractional-dollar, yielding a decimal price of 1.125. end example]</w:t>
      </w:r>
    </w:p>
    <w:p w:rsidR="005F78FC" w:rsidRDefault="00B42EF3">
      <w:pPr>
        <w:pStyle w:val="Definition-Field"/>
      </w:pPr>
      <w:r>
        <w:t xml:space="preserve">b.   </w:t>
      </w:r>
      <w:r>
        <w:rPr>
          <w:i/>
        </w:rPr>
        <w:t xml:space="preserve">The standard states </w:t>
      </w:r>
      <w:r>
        <w:rPr>
          <w:i/>
        </w:rPr>
        <w:t>that argument fractional-dollar is the number expressed as a fraction.</w:t>
      </w:r>
    </w:p>
    <w:p w:rsidR="005F78FC" w:rsidRDefault="00B42EF3">
      <w:pPr>
        <w:pStyle w:val="Definition-Field2"/>
      </w:pPr>
      <w:r>
        <w:t>Office treats argument fractional-dollar as the number to be interpreted as a fractional dollar price.</w:t>
      </w:r>
    </w:p>
    <w:p w:rsidR="005F78FC" w:rsidRDefault="00B42EF3">
      <w:pPr>
        <w:pStyle w:val="Heading3"/>
      </w:pPr>
      <w:bookmarkStart w:id="1894" w:name="section_ecddd7b509c9434a845ef520c6384747"/>
      <w:bookmarkStart w:id="1895" w:name="_Toc69878720"/>
      <w:r>
        <w:t>Part 1 Section 18.17.7.96, DOLLARFR</w:t>
      </w:r>
      <w:bookmarkEnd w:id="1894"/>
      <w:bookmarkEnd w:id="1895"/>
      <w:r>
        <w:fldChar w:fldCharType="begin"/>
      </w:r>
      <w:r>
        <w:instrText xml:space="preserve"> XE "DOLLARFR" </w:instrText>
      </w:r>
      <w:r>
        <w:fldChar w:fldCharType="end"/>
      </w:r>
    </w:p>
    <w:p w:rsidR="005F78FC" w:rsidRDefault="00B42EF3">
      <w:pPr>
        <w:pStyle w:val="Definition-Field"/>
      </w:pPr>
      <w:r>
        <w:t xml:space="preserve">a.   </w:t>
      </w:r>
      <w:r>
        <w:rPr>
          <w:i/>
        </w:rPr>
        <w:t>The standard does not sp</w:t>
      </w:r>
      <w:r>
        <w:rPr>
          <w:i/>
        </w:rPr>
        <w:t>ecify how the return value is calculated.</w:t>
      </w:r>
    </w:p>
    <w:p w:rsidR="005F78FC" w:rsidRDefault="00B42EF3">
      <w:r>
        <w:t>In Excel, the fractional part of the return value is scaled to have the same number of digits after the decimal point, as there are digits in fraction. [Example: DOLLARFR(1.125, 16) has a two-digit fraction value a</w:t>
      </w:r>
      <w:r>
        <w:t>nd so returns the two-digit fractional number 1.02 end example] If an exact numerator cannot be found, the function returns the lowest numerator that could be used with fraction, multiplied by a power of ten. [Example: DOLLARFR(1.5,3) returns 1.15, as ther</w:t>
      </w:r>
      <w:r>
        <w:t>e is no exact fraction which satisfies n/3 = 0.5, and 15/30 represents the lowest power of ten fraction can be multiplied by to obtain an exact value. end example]</w:t>
      </w:r>
    </w:p>
    <w:p w:rsidR="005F78FC" w:rsidRDefault="00B42EF3">
      <w:pPr>
        <w:pStyle w:val="Heading3"/>
      </w:pPr>
      <w:bookmarkStart w:id="1896" w:name="section_10229973494b4cf4bcdbe6e1d4f7dff4"/>
      <w:bookmarkStart w:id="1897" w:name="_Toc69878721"/>
      <w:r>
        <w:t>Part 1 Section 18.17.7.97, DPRODUCT</w:t>
      </w:r>
      <w:bookmarkEnd w:id="1896"/>
      <w:bookmarkEnd w:id="1897"/>
      <w:r>
        <w:fldChar w:fldCharType="begin"/>
      </w:r>
      <w:r>
        <w:instrText xml:space="preserve"> XE "DPRODUCT" </w:instrText>
      </w:r>
      <w:r>
        <w:fldChar w:fldCharType="end"/>
      </w:r>
    </w:p>
    <w:p w:rsidR="005F78FC" w:rsidRDefault="00B42EF3">
      <w:pPr>
        <w:pStyle w:val="Definition-Field"/>
      </w:pPr>
      <w:r>
        <w:t xml:space="preserve">a.   </w:t>
      </w:r>
      <w:r>
        <w:rPr>
          <w:i/>
        </w:rPr>
        <w:t>The standard states that the field</w:t>
      </w:r>
      <w:r>
        <w:rPr>
          <w:i/>
        </w:rPr>
        <w:t xml:space="preserve"> argument is the column to which criteria shall be applied.</w:t>
      </w:r>
    </w:p>
    <w:p w:rsidR="005F78FC" w:rsidRDefault="00B42EF3">
      <w:pPr>
        <w:pStyle w:val="Definition-Field2"/>
      </w:pPr>
      <w:r>
        <w:t>Office treats the field argument as the column containing the values to be multiplied.</w:t>
      </w:r>
    </w:p>
    <w:p w:rsidR="005F78FC" w:rsidRDefault="00B42EF3">
      <w:pPr>
        <w:pStyle w:val="Heading3"/>
      </w:pPr>
      <w:bookmarkStart w:id="1898" w:name="section_f4583c0d8f87480793ccf7144bb4901e"/>
      <w:bookmarkStart w:id="1899" w:name="_Toc69878722"/>
      <w:r>
        <w:t>Part 1 Section 18.17.7.98, DSTDEV</w:t>
      </w:r>
      <w:bookmarkEnd w:id="1898"/>
      <w:bookmarkEnd w:id="1899"/>
      <w:r>
        <w:fldChar w:fldCharType="begin"/>
      </w:r>
      <w:r>
        <w:instrText xml:space="preserve"> XE "DSTDEV" </w:instrText>
      </w:r>
      <w:r>
        <w:fldChar w:fldCharType="end"/>
      </w:r>
    </w:p>
    <w:p w:rsidR="005F78FC" w:rsidRDefault="00B42EF3">
      <w:pPr>
        <w:pStyle w:val="Definition-Field"/>
      </w:pPr>
      <w:r>
        <w:t xml:space="preserve">a.   </w:t>
      </w:r>
      <w:r>
        <w:rPr>
          <w:i/>
        </w:rPr>
        <w:t>The standard states that the field argument is the colu</w:t>
      </w:r>
      <w:r>
        <w:rPr>
          <w:i/>
        </w:rPr>
        <w:t>mn to which criteria shall be applied.</w:t>
      </w:r>
    </w:p>
    <w:p w:rsidR="005F78FC" w:rsidRDefault="00B42EF3">
      <w:pPr>
        <w:pStyle w:val="Definition-Field2"/>
      </w:pPr>
      <w:r>
        <w:t>Office treats the field argument as the column for which the standard deviation is to be computed.</w:t>
      </w:r>
    </w:p>
    <w:p w:rsidR="005F78FC" w:rsidRDefault="00B42EF3">
      <w:pPr>
        <w:pStyle w:val="Heading3"/>
      </w:pPr>
      <w:bookmarkStart w:id="1900" w:name="section_c516d215cc2a472f98e9a3e4d454084a"/>
      <w:bookmarkStart w:id="1901" w:name="_Toc69878723"/>
      <w:r>
        <w:t>Part 1 Section 18.17.7.99, DSTDEVP</w:t>
      </w:r>
      <w:bookmarkEnd w:id="1900"/>
      <w:bookmarkEnd w:id="1901"/>
      <w:r>
        <w:fldChar w:fldCharType="begin"/>
      </w:r>
      <w:r>
        <w:instrText xml:space="preserve"> XE "DSTDEVP" </w:instrText>
      </w:r>
      <w:r>
        <w:fldChar w:fldCharType="end"/>
      </w:r>
    </w:p>
    <w:p w:rsidR="005F78FC" w:rsidRDefault="00B42EF3">
      <w:pPr>
        <w:pStyle w:val="Definition-Field"/>
      </w:pPr>
      <w:r>
        <w:t xml:space="preserve">a.   </w:t>
      </w:r>
      <w:r>
        <w:rPr>
          <w:i/>
        </w:rPr>
        <w:t>The standard states that the field argument is the column to w</w:t>
      </w:r>
      <w:r>
        <w:rPr>
          <w:i/>
        </w:rPr>
        <w:t>hich criteria shall be applied.</w:t>
      </w:r>
    </w:p>
    <w:p w:rsidR="005F78FC" w:rsidRDefault="00B42EF3">
      <w:pPr>
        <w:pStyle w:val="Definition-Field2"/>
      </w:pPr>
      <w:r>
        <w:lastRenderedPageBreak/>
        <w:t>Office treats the field argument as the column for which the standard deviation is to be computed.</w:t>
      </w:r>
    </w:p>
    <w:p w:rsidR="005F78FC" w:rsidRDefault="00B42EF3">
      <w:pPr>
        <w:pStyle w:val="Heading3"/>
      </w:pPr>
      <w:bookmarkStart w:id="1902" w:name="section_b9002f2fcbd749a7b93fef03eb167d0c"/>
      <w:bookmarkStart w:id="1903" w:name="_Toc69878724"/>
      <w:r>
        <w:t>Part 1 Section 18.17.7.100, DSUM</w:t>
      </w:r>
      <w:bookmarkEnd w:id="1902"/>
      <w:bookmarkEnd w:id="1903"/>
      <w:r>
        <w:fldChar w:fldCharType="begin"/>
      </w:r>
      <w:r>
        <w:instrText xml:space="preserve"> XE "DSUM" </w:instrText>
      </w:r>
      <w:r>
        <w:fldChar w:fldCharType="end"/>
      </w:r>
    </w:p>
    <w:p w:rsidR="005F78FC" w:rsidRDefault="00B42EF3">
      <w:pPr>
        <w:pStyle w:val="Definition-Field"/>
      </w:pPr>
      <w:r>
        <w:t xml:space="preserve">a.   </w:t>
      </w:r>
      <w:r>
        <w:rPr>
          <w:i/>
        </w:rPr>
        <w:t xml:space="preserve">The standard states that the field argument is the column to which </w:t>
      </w:r>
      <w:r>
        <w:rPr>
          <w:i/>
        </w:rPr>
        <w:t>criteria shall be applied.</w:t>
      </w:r>
    </w:p>
    <w:p w:rsidR="005F78FC" w:rsidRDefault="00B42EF3">
      <w:pPr>
        <w:pStyle w:val="Definition-Field2"/>
      </w:pPr>
      <w:r>
        <w:t>Office treats the field argument as the column for which the sum is to be computed.</w:t>
      </w:r>
    </w:p>
    <w:p w:rsidR="005F78FC" w:rsidRDefault="00B42EF3">
      <w:pPr>
        <w:pStyle w:val="Heading3"/>
      </w:pPr>
      <w:bookmarkStart w:id="1904" w:name="section_68f1329a6d8f49d6ad141af208658265"/>
      <w:bookmarkStart w:id="1905" w:name="_Toc69878725"/>
      <w:r>
        <w:t>Part 1 Section 18.17.7.101, DURATION</w:t>
      </w:r>
      <w:bookmarkEnd w:id="1904"/>
      <w:bookmarkEnd w:id="1905"/>
      <w:r>
        <w:fldChar w:fldCharType="begin"/>
      </w:r>
      <w:r>
        <w:instrText xml:space="preserve"> XE "DURATION" </w:instrText>
      </w:r>
      <w:r>
        <w:fldChar w:fldCharType="end"/>
      </w:r>
    </w:p>
    <w:p w:rsidR="005F78FC" w:rsidRDefault="00B42EF3">
      <w:pPr>
        <w:pStyle w:val="Definition-Field"/>
      </w:pPr>
      <w:r>
        <w:t xml:space="preserve">a.   </w:t>
      </w:r>
      <w:r>
        <w:rPr>
          <w:i/>
        </w:rPr>
        <w:t>The standard says that duration is defined as the weighted average of the present valu</w:t>
      </w:r>
      <w:r>
        <w:rPr>
          <w:i/>
        </w:rPr>
        <w:t>e of the cash flows and is used as a measure of a bond price's response to changes in yield.</w:t>
      </w:r>
    </w:p>
    <w:p w:rsidR="005F78FC" w:rsidRDefault="00B42EF3">
      <w:pPr>
        <w:pStyle w:val="Definition-Field2"/>
      </w:pPr>
      <w:r>
        <w:t>Office treats duration as the weighted average term to maturity of the cash flows from a bond. The weight of each cash flow is determined by dividing the present v</w:t>
      </w:r>
      <w:r>
        <w:t>alue of the cash flow by the price.</w:t>
      </w:r>
    </w:p>
    <w:p w:rsidR="005F78FC" w:rsidRDefault="00B42EF3">
      <w:pPr>
        <w:pStyle w:val="Definition-Field"/>
      </w:pPr>
      <w:r>
        <w:t xml:space="preserve">b.   </w:t>
      </w:r>
      <w:r>
        <w:rPr>
          <w:i/>
        </w:rPr>
        <w:t>The standard indicates that the function is specific to U.S. currency.</w:t>
      </w:r>
    </w:p>
    <w:p w:rsidR="005F78FC" w:rsidRDefault="00B42EF3">
      <w:pPr>
        <w:pStyle w:val="Definition-Field2"/>
      </w:pPr>
      <w:r>
        <w:t>Office does not require the function to be specific to any currency.</w:t>
      </w:r>
    </w:p>
    <w:p w:rsidR="005F78FC" w:rsidRDefault="00B42EF3">
      <w:pPr>
        <w:pStyle w:val="Definition-Field"/>
      </w:pPr>
      <w:r>
        <w:t xml:space="preserve">c.   </w:t>
      </w:r>
      <w:r>
        <w:rPr>
          <w:i/>
        </w:rPr>
        <w:t xml:space="preserve">The standard does not specify day and month adjustments for the basis </w:t>
      </w:r>
      <w:r>
        <w:rPr>
          <w:i/>
        </w:rPr>
        <w:t>argument.</w:t>
      </w:r>
    </w:p>
    <w:p w:rsidR="005F78FC" w:rsidRDefault="00B42EF3">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Value</w:t>
            </w:r>
          </w:p>
        </w:tc>
        <w:tc>
          <w:tcPr>
            <w:tcW w:w="0" w:type="auto"/>
            <w:vAlign w:val="center"/>
          </w:tcPr>
          <w:p w:rsidR="005F78FC" w:rsidRDefault="00B42EF3">
            <w:pPr>
              <w:pStyle w:val="TableHeaderText"/>
            </w:pPr>
            <w:r>
              <w:t>Day Count Basis</w:t>
            </w:r>
          </w:p>
        </w:tc>
      </w:tr>
      <w:tr w:rsidR="005F78FC" w:rsidTr="005F78FC">
        <w:tc>
          <w:tcPr>
            <w:tcW w:w="0" w:type="auto"/>
            <w:vAlign w:val="center"/>
          </w:tcPr>
          <w:p w:rsidR="005F78FC" w:rsidRDefault="00B42EF3">
            <w:pPr>
              <w:pStyle w:val="TableBodyText"/>
            </w:pPr>
            <w:r>
              <w:rPr>
                <w:rStyle w:val="InlineCode"/>
              </w:rPr>
              <w:t>0</w:t>
            </w:r>
            <w:r>
              <w:t xml:space="preserve"> or omitted</w:t>
            </w:r>
          </w:p>
        </w:tc>
        <w:tc>
          <w:tcPr>
            <w:tcW w:w="0" w:type="auto"/>
            <w:vAlign w:val="center"/>
          </w:tcPr>
          <w:p w:rsidR="005F78FC" w:rsidRDefault="00B42EF3">
            <w:pPr>
              <w:pStyle w:val="TableBodyText"/>
            </w:pPr>
            <w:r>
              <w:t>US (NASD) 30/360. If the dates are equal, the difference of days is 0. Assumes that each month has 30 day</w:t>
            </w:r>
            <w:r>
              <w:t>s and the total number of days in the year is 360 by making the following adjustments:</w:t>
            </w:r>
          </w:p>
          <w:p w:rsidR="005F78FC" w:rsidRDefault="00B42EF3">
            <w:pPr>
              <w:pStyle w:val="TableBodyText"/>
            </w:pPr>
            <w:r>
              <w:t>If both day-of-months are 31, they are changed to 30</w:t>
            </w:r>
          </w:p>
          <w:p w:rsidR="005F78FC" w:rsidRDefault="00B42EF3">
            <w:pPr>
              <w:pStyle w:val="TableBodyText"/>
            </w:pPr>
            <w:r>
              <w:t>Otherwise, if date1’s day-of-month is 31, it is changed to 30</w:t>
            </w:r>
          </w:p>
          <w:p w:rsidR="005F78FC" w:rsidRDefault="00B42EF3">
            <w:pPr>
              <w:pStyle w:val="TableBodyText"/>
            </w:pPr>
            <w:r>
              <w:t>Otherwise, if date1’s day-of-month is 30 and date2’s d</w:t>
            </w:r>
            <w:r>
              <w:t>ay-of-month is 31, date2’s day-of-month is changed to 30 (note that date2’s day-of-month will stay 31 if date1’s day &lt; 30)</w:t>
            </w:r>
          </w:p>
          <w:p w:rsidR="005F78FC" w:rsidRDefault="00B42EF3">
            <w:pPr>
              <w:pStyle w:val="TableBodyText"/>
            </w:pPr>
            <w:r>
              <w:t>Otherwise, if both dates are the last day of February in their respective years, both day-of-month is changed to 30</w:t>
            </w:r>
          </w:p>
          <w:p w:rsidR="005F78FC" w:rsidRDefault="00B42EF3">
            <w:pPr>
              <w:pStyle w:val="TableBodyText"/>
            </w:pPr>
            <w:r>
              <w:t>Otherwise, if dat</w:t>
            </w:r>
            <w:r>
              <w:t>e1 is the last day of February, its day-of-month is changed to 30</w:t>
            </w:r>
          </w:p>
        </w:tc>
      </w:tr>
      <w:tr w:rsidR="005F78FC" w:rsidTr="005F78FC">
        <w:tc>
          <w:tcPr>
            <w:tcW w:w="0" w:type="auto"/>
            <w:vAlign w:val="center"/>
          </w:tcPr>
          <w:p w:rsidR="005F78FC" w:rsidRDefault="00B42EF3">
            <w:pPr>
              <w:pStyle w:val="TableBodyText"/>
            </w:pPr>
            <w:r>
              <w:rPr>
                <w:rStyle w:val="InlineCode"/>
              </w:rPr>
              <w:t>1</w:t>
            </w:r>
          </w:p>
        </w:tc>
        <w:tc>
          <w:tcPr>
            <w:tcW w:w="0" w:type="auto"/>
            <w:vAlign w:val="center"/>
          </w:tcPr>
          <w:p w:rsidR="005F78FC" w:rsidRDefault="00B42EF3">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5F78FC" w:rsidRDefault="005F78FC">
            <w:pPr>
              <w:pStyle w:val="TableBodyText"/>
            </w:pPr>
          </w:p>
          <w:p w:rsidR="005F78FC" w:rsidRDefault="00B42EF3">
            <w:pPr>
              <w:pStyle w:val="TableBodyText"/>
            </w:pPr>
            <w:r>
              <w:t>To det</w:t>
            </w:r>
            <w:r>
              <w:t>ermine if date1 and date2 are “less than or equal to a year apart” for purposes of this algorithm, one of these conditions must be true:</w:t>
            </w:r>
          </w:p>
          <w:p w:rsidR="005F78FC" w:rsidRDefault="00B42EF3">
            <w:pPr>
              <w:pStyle w:val="ListParagraph"/>
              <w:numPr>
                <w:ilvl w:val="0"/>
                <w:numId w:val="94"/>
              </w:numPr>
            </w:pPr>
            <w:r>
              <w:t>The two dates have the same year</w:t>
            </w:r>
          </w:p>
          <w:p w:rsidR="005F78FC" w:rsidRDefault="00B42EF3">
            <w:pPr>
              <w:pStyle w:val="ListParagraph"/>
              <w:numPr>
                <w:ilvl w:val="0"/>
                <w:numId w:val="95"/>
              </w:numPr>
            </w:pPr>
            <w:r>
              <w:t xml:space="preserve">Date2’s year is exactly one more than date1’s year, and ((date1.month &gt; date2.month) </w:t>
            </w:r>
            <w:r>
              <w:t>or ((date1.month == date2.month) and (date1.day &gt;= date2.day)))</w:t>
            </w:r>
          </w:p>
        </w:tc>
      </w:tr>
      <w:tr w:rsidR="005F78FC" w:rsidTr="005F78FC">
        <w:tc>
          <w:tcPr>
            <w:tcW w:w="0" w:type="auto"/>
            <w:vAlign w:val="center"/>
          </w:tcPr>
          <w:p w:rsidR="005F78FC" w:rsidRDefault="00B42EF3">
            <w:pPr>
              <w:pStyle w:val="TableBodyText"/>
            </w:pPr>
            <w:r>
              <w:rPr>
                <w:rStyle w:val="InlineCode"/>
              </w:rPr>
              <w:t>2</w:t>
            </w:r>
          </w:p>
        </w:tc>
        <w:tc>
          <w:tcPr>
            <w:tcW w:w="0" w:type="auto"/>
            <w:vAlign w:val="center"/>
          </w:tcPr>
          <w:p w:rsidR="005F78FC" w:rsidRDefault="00B42EF3">
            <w:pPr>
              <w:pStyle w:val="TableBodyText"/>
            </w:pPr>
            <w:r>
              <w:t>Actual/360. Computes the actual difference in days, and presumes there are always 360 days per year.</w:t>
            </w:r>
          </w:p>
        </w:tc>
      </w:tr>
      <w:tr w:rsidR="005F78FC" w:rsidTr="005F78FC">
        <w:tc>
          <w:tcPr>
            <w:tcW w:w="0" w:type="auto"/>
            <w:vAlign w:val="center"/>
          </w:tcPr>
          <w:p w:rsidR="005F78FC" w:rsidRDefault="00B42EF3">
            <w:pPr>
              <w:pStyle w:val="TableBodyText"/>
            </w:pPr>
            <w:r>
              <w:rPr>
                <w:rStyle w:val="InlineCode"/>
              </w:rPr>
              <w:t>3</w:t>
            </w:r>
          </w:p>
        </w:tc>
        <w:tc>
          <w:tcPr>
            <w:tcW w:w="0" w:type="auto"/>
            <w:vAlign w:val="center"/>
          </w:tcPr>
          <w:p w:rsidR="005F78FC" w:rsidRDefault="00B42EF3">
            <w:pPr>
              <w:pStyle w:val="TableBodyText"/>
            </w:pPr>
            <w:r>
              <w:t>Actual/365. Computes the actual difference in days, and presumes there are always 365</w:t>
            </w:r>
            <w:r>
              <w:t xml:space="preserve"> days per year.</w:t>
            </w:r>
          </w:p>
        </w:tc>
      </w:tr>
      <w:tr w:rsidR="005F78FC" w:rsidTr="005F78FC">
        <w:tc>
          <w:tcPr>
            <w:tcW w:w="0" w:type="auto"/>
            <w:vAlign w:val="center"/>
          </w:tcPr>
          <w:p w:rsidR="005F78FC" w:rsidRDefault="00B42EF3">
            <w:pPr>
              <w:pStyle w:val="TableBodyText"/>
            </w:pPr>
            <w:r>
              <w:rPr>
                <w:rStyle w:val="InlineCode"/>
              </w:rPr>
              <w:t>4</w:t>
            </w:r>
          </w:p>
        </w:tc>
        <w:tc>
          <w:tcPr>
            <w:tcW w:w="0" w:type="auto"/>
            <w:vAlign w:val="center"/>
          </w:tcPr>
          <w:p w:rsidR="005F78FC" w:rsidRDefault="00B42EF3">
            <w:pPr>
              <w:pStyle w:val="TableBodyText"/>
            </w:pPr>
            <w:r>
              <w:t xml:space="preserve">European 30/360. The European method for adjusting day counts. If the dates are equal, the difference of days is 0. Assumes that each month has 30 days and the total number of days in the </w:t>
            </w:r>
            <w:r>
              <w:lastRenderedPageBreak/>
              <w:t>year is 360; any day-of-month (in date1, date2, o</w:t>
            </w:r>
            <w:r>
              <w:t xml:space="preserve">r both) with a value of 31 is changed to 30. Note that February dates are </w:t>
            </w:r>
            <w:r>
              <w:rPr>
                <w:i/>
              </w:rPr>
              <w:t xml:space="preserve">never </w:t>
            </w:r>
            <w:r>
              <w:t>changed, because there is no February 31.</w:t>
            </w:r>
          </w:p>
        </w:tc>
      </w:tr>
    </w:tbl>
    <w:p w:rsidR="005F78FC" w:rsidRDefault="005F78FC"/>
    <w:p w:rsidR="005F78FC" w:rsidRDefault="00B42EF3">
      <w:pPr>
        <w:pStyle w:val="Heading3"/>
      </w:pPr>
      <w:bookmarkStart w:id="1906" w:name="section_4c431026aee849dcb59333e886fa11a5"/>
      <w:bookmarkStart w:id="1907" w:name="_Toc69878726"/>
      <w:r>
        <w:t>Part 1 Section 18.17.7.102, DVAR</w:t>
      </w:r>
      <w:bookmarkEnd w:id="1906"/>
      <w:bookmarkEnd w:id="1907"/>
      <w:r>
        <w:fldChar w:fldCharType="begin"/>
      </w:r>
      <w:r>
        <w:instrText xml:space="preserve"> XE "DVAR" </w:instrText>
      </w:r>
      <w:r>
        <w:fldChar w:fldCharType="end"/>
      </w:r>
    </w:p>
    <w:p w:rsidR="005F78FC" w:rsidRDefault="00B42EF3">
      <w:pPr>
        <w:pStyle w:val="Definition-Field"/>
      </w:pPr>
      <w:r>
        <w:t xml:space="preserve">a.   </w:t>
      </w:r>
      <w:r>
        <w:rPr>
          <w:i/>
        </w:rPr>
        <w:t>The standard states that the field argument is the column to which criteria shall</w:t>
      </w:r>
      <w:r>
        <w:rPr>
          <w:i/>
        </w:rPr>
        <w:t xml:space="preserve"> be applied.</w:t>
      </w:r>
    </w:p>
    <w:p w:rsidR="005F78FC" w:rsidRDefault="00B42EF3">
      <w:pPr>
        <w:pStyle w:val="Definition-Field2"/>
      </w:pPr>
      <w:r>
        <w:t>Office treats the field argument as the column for which the variance is to be computed.</w:t>
      </w:r>
    </w:p>
    <w:p w:rsidR="005F78FC" w:rsidRDefault="00B42EF3">
      <w:pPr>
        <w:pStyle w:val="Heading3"/>
      </w:pPr>
      <w:bookmarkStart w:id="1908" w:name="section_4ff3283999cf4feab83bf5b2e4a6f0f4"/>
      <w:bookmarkStart w:id="1909" w:name="_Toc69878727"/>
      <w:r>
        <w:t>Part 1 Section 18.17.7.103, DVARP</w:t>
      </w:r>
      <w:bookmarkEnd w:id="1908"/>
      <w:bookmarkEnd w:id="1909"/>
      <w:r>
        <w:fldChar w:fldCharType="begin"/>
      </w:r>
      <w:r>
        <w:instrText xml:space="preserve"> XE "DVARP" </w:instrText>
      </w:r>
      <w:r>
        <w:fldChar w:fldCharType="end"/>
      </w:r>
    </w:p>
    <w:p w:rsidR="005F78FC" w:rsidRDefault="00B42EF3">
      <w:pPr>
        <w:pStyle w:val="Definition-Field"/>
      </w:pPr>
      <w:r>
        <w:t xml:space="preserve">a.   </w:t>
      </w:r>
      <w:r>
        <w:rPr>
          <w:i/>
        </w:rPr>
        <w:t>The standard states that the field argument is the column to which criteria shall be applied.</w:t>
      </w:r>
    </w:p>
    <w:p w:rsidR="005F78FC" w:rsidRDefault="00B42EF3">
      <w:pPr>
        <w:pStyle w:val="Definition-Field2"/>
      </w:pPr>
      <w:r>
        <w:t xml:space="preserve">Office </w:t>
      </w:r>
      <w:r>
        <w:t>treats the field argument as the column for which the variance is to be computed.</w:t>
      </w:r>
    </w:p>
    <w:p w:rsidR="005F78FC" w:rsidRDefault="00B42EF3">
      <w:pPr>
        <w:pStyle w:val="Heading3"/>
      </w:pPr>
      <w:bookmarkStart w:id="1910" w:name="section_0e6c5c298bbf496d9494aaed1fcd59d7"/>
      <w:bookmarkStart w:id="1911" w:name="_Toc69878728"/>
      <w:r>
        <w:t>Part 1 Section 18.17.7.105, EDATE</w:t>
      </w:r>
      <w:bookmarkEnd w:id="1910"/>
      <w:bookmarkEnd w:id="1911"/>
      <w:r>
        <w:fldChar w:fldCharType="begin"/>
      </w:r>
      <w:r>
        <w:instrText xml:space="preserve"> XE "EDATE" </w:instrText>
      </w:r>
      <w:r>
        <w:fldChar w:fldCharType="end"/>
      </w:r>
    </w:p>
    <w:p w:rsidR="005F78FC" w:rsidRDefault="00B42EF3">
      <w:pPr>
        <w:pStyle w:val="Definition-Field"/>
      </w:pPr>
      <w:r>
        <w:t xml:space="preserve">a.   </w:t>
      </w:r>
      <w:r>
        <w:rPr>
          <w:i/>
        </w:rPr>
        <w:t xml:space="preserve">The standard does not specify the case where the day of the month in argument start-date is greater than the last day of </w:t>
      </w:r>
      <w:r>
        <w:rPr>
          <w:i/>
        </w:rPr>
        <w:t>the result month.</w:t>
      </w:r>
    </w:p>
    <w:p w:rsidR="005F78FC" w:rsidRDefault="00B42EF3">
      <w:pPr>
        <w:pStyle w:val="Definition-Field2"/>
      </w:pPr>
      <w:r>
        <w:t>In this case, Office will round day to the last day of the result month.</w:t>
      </w:r>
    </w:p>
    <w:p w:rsidR="005F78FC" w:rsidRDefault="00B42EF3">
      <w:pPr>
        <w:pStyle w:val="Heading3"/>
      </w:pPr>
      <w:bookmarkStart w:id="1912" w:name="section_31ffd3e4140e44dca59bf5545b511558"/>
      <w:bookmarkStart w:id="1913" w:name="_Toc69878729"/>
      <w:r>
        <w:t>Part 1 Section 18.17.7.108, ERF</w:t>
      </w:r>
      <w:bookmarkEnd w:id="1912"/>
      <w:bookmarkEnd w:id="1913"/>
      <w:r>
        <w:fldChar w:fldCharType="begin"/>
      </w:r>
      <w:r>
        <w:instrText xml:space="preserve"> XE "ERF" </w:instrText>
      </w:r>
      <w:r>
        <w:fldChar w:fldCharType="end"/>
      </w:r>
    </w:p>
    <w:p w:rsidR="005F78FC" w:rsidRDefault="00B42EF3">
      <w:pPr>
        <w:pStyle w:val="Definition-Field"/>
      </w:pPr>
      <w:r>
        <w:t xml:space="preserve">a.   </w:t>
      </w:r>
      <w:r>
        <w:rPr>
          <w:i/>
        </w:rPr>
        <w:t>The standard does not specify how function arguments map to formula variables.</w:t>
      </w:r>
    </w:p>
    <w:p w:rsidR="005F78FC" w:rsidRDefault="00B42EF3">
      <w:pPr>
        <w:pStyle w:val="Definition-Field2"/>
      </w:pPr>
      <w:r>
        <w:t>Office maps z to lower-bound argument</w:t>
      </w:r>
      <w:r>
        <w:t>, a to lower-bound argument, b to upper-bound argument.</w:t>
      </w:r>
    </w:p>
    <w:p w:rsidR="005F78FC" w:rsidRDefault="00B42EF3">
      <w:pPr>
        <w:pStyle w:val="Heading3"/>
      </w:pPr>
      <w:bookmarkStart w:id="1914" w:name="section_b90dd1d8dd354137b8a059312734a7e2"/>
      <w:bookmarkStart w:id="1915" w:name="_Toc69878730"/>
      <w:r>
        <w:t>Part 1 Section 18.17.7.109, ERFC</w:t>
      </w:r>
      <w:bookmarkEnd w:id="1914"/>
      <w:bookmarkEnd w:id="1915"/>
      <w:r>
        <w:fldChar w:fldCharType="begin"/>
      </w:r>
      <w:r>
        <w:instrText xml:space="preserve"> XE "ERFC" </w:instrText>
      </w:r>
      <w:r>
        <w:fldChar w:fldCharType="end"/>
      </w:r>
    </w:p>
    <w:p w:rsidR="005F78FC" w:rsidRDefault="00B42EF3">
      <w:pPr>
        <w:pStyle w:val="Definition-Field"/>
      </w:pPr>
      <w:r>
        <w:t xml:space="preserve">a.   </w:t>
      </w:r>
      <w:r>
        <w:rPr>
          <w:i/>
        </w:rPr>
        <w:t>The standard does not specify how function arguments map to formula variables.</w:t>
      </w:r>
    </w:p>
    <w:p w:rsidR="005F78FC" w:rsidRDefault="00B42EF3">
      <w:pPr>
        <w:pStyle w:val="Definition-Field2"/>
      </w:pPr>
      <w:r>
        <w:t>Office maps x to lower-bound argument.</w:t>
      </w:r>
    </w:p>
    <w:p w:rsidR="005F78FC" w:rsidRDefault="00B42EF3">
      <w:pPr>
        <w:pStyle w:val="Heading3"/>
      </w:pPr>
      <w:bookmarkStart w:id="1916" w:name="section_f3689539eb2b4392b05c936b871c4557"/>
      <w:bookmarkStart w:id="1917" w:name="_Toc69878731"/>
      <w:r>
        <w:t>Part 1 Section 18.17.7.110, ERR</w:t>
      </w:r>
      <w:r>
        <w:t>OR.TYPE</w:t>
      </w:r>
      <w:bookmarkEnd w:id="1916"/>
      <w:bookmarkEnd w:id="1917"/>
      <w:r>
        <w:fldChar w:fldCharType="begin"/>
      </w:r>
      <w:r>
        <w:instrText xml:space="preserve"> XE "ERROR.TYPE" </w:instrText>
      </w:r>
      <w:r>
        <w:fldChar w:fldCharType="end"/>
      </w:r>
    </w:p>
    <w:p w:rsidR="005F78FC" w:rsidRDefault="00B42EF3">
      <w:pPr>
        <w:pStyle w:val="Definition-Field"/>
      </w:pPr>
      <w:r>
        <w:t xml:space="preserve">a.   </w:t>
      </w:r>
      <w:r>
        <w:rPr>
          <w:i/>
        </w:rPr>
        <w:t>The standard states that return values are 1-7 or #N/A.</w:t>
      </w:r>
    </w:p>
    <w:p w:rsidR="005F78FC" w:rsidRDefault="00B42EF3">
      <w:pPr>
        <w:pStyle w:val="Definition-Field2"/>
      </w:pPr>
      <w:r>
        <w:t>Office can also return a value of 8, corresponding to value #GETTING_DATA.</w:t>
      </w:r>
    </w:p>
    <w:p w:rsidR="005F78FC" w:rsidRDefault="00B42EF3">
      <w:pPr>
        <w:pStyle w:val="Heading3"/>
      </w:pPr>
      <w:bookmarkStart w:id="1918" w:name="section_43520b959fff46bb88a6b7b1e177de47"/>
      <w:bookmarkStart w:id="1919" w:name="_Toc69878732"/>
      <w:r>
        <w:t>Part 1 Section 18.17.7.119, FIND</w:t>
      </w:r>
      <w:bookmarkEnd w:id="1918"/>
      <w:bookmarkEnd w:id="1919"/>
      <w:r>
        <w:fldChar w:fldCharType="begin"/>
      </w:r>
      <w:r>
        <w:instrText xml:space="preserve"> XE "FIND" </w:instrText>
      </w:r>
      <w:r>
        <w:fldChar w:fldCharType="end"/>
      </w:r>
    </w:p>
    <w:p w:rsidR="005F78FC" w:rsidRDefault="00B42EF3">
      <w:pPr>
        <w:pStyle w:val="Definition-Field"/>
      </w:pPr>
      <w:r>
        <w:t xml:space="preserve">a.   </w:t>
      </w:r>
      <w:r>
        <w:rPr>
          <w:i/>
        </w:rPr>
        <w:t xml:space="preserve">The standard specifies that the start-pos </w:t>
      </w:r>
      <w:r>
        <w:rPr>
          <w:i/>
        </w:rPr>
        <w:t>argument shall be at least 0.</w:t>
      </w:r>
    </w:p>
    <w:p w:rsidR="005F78FC" w:rsidRDefault="00B42EF3">
      <w:pPr>
        <w:pStyle w:val="Definition-Field2"/>
      </w:pPr>
      <w:r>
        <w:t>Office requires start-pos argument to be at least 1.</w:t>
      </w:r>
    </w:p>
    <w:p w:rsidR="005F78FC" w:rsidRDefault="00B42EF3">
      <w:pPr>
        <w:pStyle w:val="Definition-Field"/>
      </w:pPr>
      <w:r>
        <w:t xml:space="preserve">b.   </w:t>
      </w:r>
      <w:r>
        <w:rPr>
          <w:i/>
        </w:rPr>
        <w:t>The standard states that FIND is intended for use with languages that use the single-byte character set (SBCS), whereas FINDB is intended for use with languages that us</w:t>
      </w:r>
      <w:r>
        <w:rPr>
          <w:i/>
        </w:rPr>
        <w:t>e the double-byte character set (DBCS).</w:t>
      </w:r>
    </w:p>
    <w:p w:rsidR="005F78FC" w:rsidRDefault="00B42EF3">
      <w:pPr>
        <w:pStyle w:val="Definition-Field2"/>
      </w:pPr>
      <w:r>
        <w:t>In Office, FIND is intended for use with any language, whereas FINDB is intended for use with languages that use the double-byte character set (DBCS).</w:t>
      </w:r>
    </w:p>
    <w:p w:rsidR="005F78FC" w:rsidRDefault="00B42EF3">
      <w:pPr>
        <w:pStyle w:val="Heading3"/>
      </w:pPr>
      <w:bookmarkStart w:id="1920" w:name="section_dca5abf4bf0a4de4aaa87057c9962f5f"/>
      <w:bookmarkStart w:id="1921" w:name="_Toc69878733"/>
      <w:r>
        <w:lastRenderedPageBreak/>
        <w:t>Part 1 Section 18.17.7.120, FINDB</w:t>
      </w:r>
      <w:bookmarkEnd w:id="1920"/>
      <w:bookmarkEnd w:id="1921"/>
      <w:r>
        <w:fldChar w:fldCharType="begin"/>
      </w:r>
      <w:r>
        <w:instrText xml:space="preserve"> XE "FINDB" </w:instrText>
      </w:r>
      <w:r>
        <w:fldChar w:fldCharType="end"/>
      </w:r>
    </w:p>
    <w:p w:rsidR="005F78FC" w:rsidRDefault="00B42EF3">
      <w:pPr>
        <w:pStyle w:val="Definition-Field"/>
      </w:pPr>
      <w:r>
        <w:t xml:space="preserve">a.   </w:t>
      </w:r>
      <w:r>
        <w:rPr>
          <w:i/>
        </w:rPr>
        <w:t>The standard</w:t>
      </w:r>
      <w:r>
        <w:rPr>
          <w:i/>
        </w:rPr>
        <w:t xml:space="preserve"> states argument start-pos shall be at least 0.</w:t>
      </w:r>
    </w:p>
    <w:p w:rsidR="005F78FC" w:rsidRDefault="00B42EF3">
      <w:pPr>
        <w:pStyle w:val="Definition-Field2"/>
      </w:pPr>
      <w:r>
        <w:t>Office requires argument stat-pos to be at least 1.</w:t>
      </w:r>
    </w:p>
    <w:p w:rsidR="005F78FC" w:rsidRDefault="00B42EF3">
      <w:pPr>
        <w:pStyle w:val="Definition-Field"/>
      </w:pPr>
      <w:r>
        <w:t xml:space="preserve">b.   </w:t>
      </w:r>
      <w:r>
        <w:rPr>
          <w:i/>
        </w:rPr>
        <w:t>The standard does not specify that argument start-pos and the return value are measured in bytes.</w:t>
      </w:r>
    </w:p>
    <w:p w:rsidR="005F78FC" w:rsidRDefault="00B42EF3">
      <w:pPr>
        <w:pStyle w:val="Definition-Field2"/>
      </w:pPr>
      <w:r>
        <w:t>In Office, argument start-pos and return value are me</w:t>
      </w:r>
      <w:r>
        <w:t>asured in bytes.</w:t>
      </w:r>
    </w:p>
    <w:p w:rsidR="005F78FC" w:rsidRDefault="00B42EF3">
      <w:pPr>
        <w:pStyle w:val="Definition-Field"/>
      </w:pPr>
      <w:r>
        <w:t xml:space="preserve">c.   </w:t>
      </w:r>
      <w:r>
        <w:rPr>
          <w:i/>
        </w:rPr>
        <w:t>The standard does not specify behavior of FINDB when default language supports DBCS and when it does not support DBCS.</w:t>
      </w:r>
    </w:p>
    <w:p w:rsidR="005F78FC" w:rsidRDefault="00B42EF3">
      <w:pPr>
        <w:pStyle w:val="Definition-Field2"/>
      </w:pPr>
      <w:r>
        <w:t>In Office, when the default language supports DBCS, FINDB counts each double-byte character as 2 bytes, and each si</w:t>
      </w:r>
      <w:r>
        <w:t>ngle-byte character as 1. When the default language does not support DBCS, FINDB counts each character as 1 byte.</w:t>
      </w:r>
    </w:p>
    <w:p w:rsidR="005F78FC" w:rsidRDefault="00B42EF3">
      <w:pPr>
        <w:pStyle w:val="Definition-Field"/>
      </w:pPr>
      <w:r>
        <w:t xml:space="preserve">d.   </w:t>
      </w:r>
      <w:r>
        <w:rPr>
          <w:i/>
        </w:rPr>
        <w:t>The standard does not specify which languages support DBCS.</w:t>
      </w:r>
    </w:p>
    <w:p w:rsidR="005F78FC" w:rsidRDefault="00B42EF3">
      <w:pPr>
        <w:pStyle w:val="Definition-Field2"/>
      </w:pPr>
      <w:r>
        <w:t xml:space="preserve">In Office, the languages that support DBCS include Japanese, Chinese </w:t>
      </w:r>
      <w:r>
        <w:t>(Simplified), Chinese (Traditional), and Korean.</w:t>
      </w:r>
    </w:p>
    <w:p w:rsidR="005F78FC" w:rsidRDefault="00B42EF3">
      <w:pPr>
        <w:pStyle w:val="Heading3"/>
      </w:pPr>
      <w:bookmarkStart w:id="1922" w:name="section_19702fccfd174d3dbe7cfb98aab067a1"/>
      <w:bookmarkStart w:id="1923" w:name="_Toc69878734"/>
      <w:r>
        <w:t>Part 1 Section 18.17.7.121, FINV</w:t>
      </w:r>
      <w:bookmarkEnd w:id="1922"/>
      <w:bookmarkEnd w:id="1923"/>
      <w:r>
        <w:fldChar w:fldCharType="begin"/>
      </w:r>
      <w:r>
        <w:instrText xml:space="preserve"> XE "FINV" </w:instrText>
      </w:r>
      <w:r>
        <w:fldChar w:fldCharType="end"/>
      </w:r>
    </w:p>
    <w:p w:rsidR="005F78FC" w:rsidRDefault="00B42EF3">
      <w:pPr>
        <w:pStyle w:val="Definition-Field"/>
      </w:pPr>
      <w:r>
        <w:t xml:space="preserve">a.   </w:t>
      </w:r>
      <w:r>
        <w:rPr>
          <w:i/>
        </w:rPr>
        <w:t>The standard specifies that an iterative search technique is used for the implementation of this function.</w:t>
      </w:r>
    </w:p>
    <w:p w:rsidR="005F78FC" w:rsidRDefault="00B42EF3">
      <w:pPr>
        <w:pStyle w:val="Definition-Field2"/>
      </w:pPr>
      <w:r>
        <w:t>Office does not require an iterative search techn</w:t>
      </w:r>
      <w:r>
        <w:t>ique to be used.</w:t>
      </w:r>
    </w:p>
    <w:p w:rsidR="005F78FC" w:rsidRDefault="00B42EF3">
      <w:pPr>
        <w:pStyle w:val="Heading3"/>
      </w:pPr>
      <w:bookmarkStart w:id="1924" w:name="section_a27a9affa6634ea586c8c21105f12564"/>
      <w:bookmarkStart w:id="1925" w:name="_Toc69878735"/>
      <w:r>
        <w:t>Part 1 Section 18.17.7.124, FIXED</w:t>
      </w:r>
      <w:bookmarkEnd w:id="1924"/>
      <w:bookmarkEnd w:id="1925"/>
      <w:r>
        <w:fldChar w:fldCharType="begin"/>
      </w:r>
      <w:r>
        <w:instrText xml:space="preserve"> XE "FIXED" </w:instrText>
      </w:r>
      <w:r>
        <w:fldChar w:fldCharType="end"/>
      </w:r>
    </w:p>
    <w:p w:rsidR="005F78FC" w:rsidRDefault="00B42EF3">
      <w:pPr>
        <w:pStyle w:val="Definition-Field"/>
      </w:pPr>
      <w:r>
        <w:t xml:space="preserve">a.   </w:t>
      </w:r>
      <w:r>
        <w:rPr>
          <w:i/>
        </w:rPr>
        <w:t>The standard states that the number parameter is truncated to integer.</w:t>
      </w:r>
    </w:p>
    <w:p w:rsidR="005F78FC" w:rsidRDefault="00B42EF3">
      <w:pPr>
        <w:pStyle w:val="Definition-Field2"/>
      </w:pPr>
      <w:r>
        <w:t>Office does not truncate the number parameter to an integer.</w:t>
      </w:r>
    </w:p>
    <w:p w:rsidR="005F78FC" w:rsidRDefault="00B42EF3">
      <w:pPr>
        <w:pStyle w:val="Definition-Field"/>
      </w:pPr>
      <w:r>
        <w:t xml:space="preserve">b.   </w:t>
      </w:r>
      <w:r>
        <w:rPr>
          <w:i/>
        </w:rPr>
        <w:t>The standard does not state that num-decimal is t</w:t>
      </w:r>
      <w:r>
        <w:rPr>
          <w:i/>
        </w:rPr>
        <w:t>runcated to an integer.</w:t>
      </w:r>
    </w:p>
    <w:p w:rsidR="005F78FC" w:rsidRDefault="00B42EF3">
      <w:pPr>
        <w:pStyle w:val="Definition-Field2"/>
      </w:pPr>
      <w:r>
        <w:t>Office truncates num-decimal to an integer.</w:t>
      </w:r>
    </w:p>
    <w:p w:rsidR="005F78FC" w:rsidRDefault="00B42EF3">
      <w:pPr>
        <w:pStyle w:val="Definition-Field"/>
      </w:pPr>
      <w:r>
        <w:t xml:space="preserve">c.   </w:t>
      </w:r>
      <w:r>
        <w:rPr>
          <w:i/>
        </w:rPr>
        <w:t>For argument suppress-commas-flag, the standard states that if it is TRUE, commas are not included; if FALSE or omitted, commas are included.</w:t>
      </w:r>
    </w:p>
    <w:p w:rsidR="005F78FC" w:rsidRDefault="00B42EF3">
      <w:pPr>
        <w:pStyle w:val="Definition-Field2"/>
      </w:pPr>
      <w:r>
        <w:t>In Office, if argument suppress-commas-fl</w:t>
      </w:r>
      <w:r>
        <w:t>ag is TRUE, digit grouping symbols are not included; if FALSE or omitted, they are included.</w:t>
      </w:r>
    </w:p>
    <w:p w:rsidR="005F78FC" w:rsidRDefault="00B42EF3">
      <w:pPr>
        <w:pStyle w:val="Heading3"/>
      </w:pPr>
      <w:bookmarkStart w:id="1926" w:name="section_534f018290984b228583bd0f8c2cc5f8"/>
      <w:bookmarkStart w:id="1927" w:name="_Toc69878736"/>
      <w:r>
        <w:t>Part 1 Section 18.17.7.125, FLOOR</w:t>
      </w:r>
      <w:bookmarkEnd w:id="1926"/>
      <w:bookmarkEnd w:id="1927"/>
      <w:r>
        <w:fldChar w:fldCharType="begin"/>
      </w:r>
      <w:r>
        <w:instrText xml:space="preserve"> XE "FLOOR" </w:instrText>
      </w:r>
      <w:r>
        <w:fldChar w:fldCharType="end"/>
      </w:r>
    </w:p>
    <w:p w:rsidR="005F78FC" w:rsidRDefault="00B42EF3">
      <w:pPr>
        <w:pStyle w:val="Definition-Field"/>
      </w:pPr>
      <w:r>
        <w:t xml:space="preserve">a.   </w:t>
      </w:r>
      <w:r>
        <w:rPr>
          <w:i/>
        </w:rPr>
        <w:t>The standard states that regardless of the sign of x, a value is rounded down when adjusted toward zero.</w:t>
      </w:r>
    </w:p>
    <w:p w:rsidR="005F78FC" w:rsidRDefault="00B42EF3">
      <w:pPr>
        <w:pStyle w:val="Definition-Field2"/>
      </w:pPr>
      <w:r>
        <w:t>In Of</w:t>
      </w:r>
      <w:r>
        <w:t>fice, a value is rounded toward zero when adjusted.</w:t>
      </w:r>
    </w:p>
    <w:p w:rsidR="005F78FC" w:rsidRDefault="00B42EF3">
      <w:pPr>
        <w:pStyle w:val="Heading3"/>
      </w:pPr>
      <w:bookmarkStart w:id="1928" w:name="section_b5664c5839084645bb1ad88250c33aa2"/>
      <w:bookmarkStart w:id="1929" w:name="_Toc69878737"/>
      <w:r>
        <w:t>Part 1 Section 18.17.7.126, FORECAST</w:t>
      </w:r>
      <w:bookmarkEnd w:id="1928"/>
      <w:bookmarkEnd w:id="1929"/>
      <w:r>
        <w:fldChar w:fldCharType="begin"/>
      </w:r>
      <w:r>
        <w:instrText xml:space="preserve"> XE "FORECAST" </w:instrText>
      </w:r>
      <w:r>
        <w:fldChar w:fldCharType="end"/>
      </w:r>
    </w:p>
    <w:p w:rsidR="005F78FC" w:rsidRDefault="00B42EF3">
      <w:pPr>
        <w:pStyle w:val="Definition-Field"/>
      </w:pPr>
      <w:r>
        <w:t xml:space="preserve">a.   </w:t>
      </w:r>
      <w:r>
        <w:rPr>
          <w:i/>
        </w:rPr>
        <w:t>The standard states that x and y are the sample means.</w:t>
      </w:r>
    </w:p>
    <w:p w:rsidR="005F78FC" w:rsidRDefault="00B42EF3">
      <w:pPr>
        <w:pStyle w:val="Definition-Field2"/>
      </w:pPr>
      <w:r>
        <w:t>Office treats x and y as the sample values while x-bar and y-bar as the sample means.</w:t>
      </w:r>
    </w:p>
    <w:p w:rsidR="005F78FC" w:rsidRDefault="00B42EF3">
      <w:pPr>
        <w:pStyle w:val="Heading3"/>
      </w:pPr>
      <w:bookmarkStart w:id="1930" w:name="section_7eb63416dfd44087b2076372769e91d0"/>
      <w:bookmarkStart w:id="1931" w:name="_Toc69878738"/>
      <w:r>
        <w:lastRenderedPageBreak/>
        <w:t>Part</w:t>
      </w:r>
      <w:r>
        <w:t xml:space="preserve"> 1 Section 18.17.7.129, FV</w:t>
      </w:r>
      <w:bookmarkEnd w:id="1930"/>
      <w:bookmarkEnd w:id="1931"/>
      <w:r>
        <w:fldChar w:fldCharType="begin"/>
      </w:r>
      <w:r>
        <w:instrText xml:space="preserve"> XE "FV" </w:instrText>
      </w:r>
      <w:r>
        <w:fldChar w:fldCharType="end"/>
      </w:r>
    </w:p>
    <w:p w:rsidR="005F78FC" w:rsidRDefault="00B42EF3">
      <w:pPr>
        <w:pStyle w:val="Definition-Field"/>
      </w:pPr>
      <w:r>
        <w:t xml:space="preserve">a.   </w:t>
      </w:r>
      <w:r>
        <w:rPr>
          <w:i/>
        </w:rPr>
        <w:t>The standard states that the type argument is truncated to an integer.</w:t>
      </w:r>
    </w:p>
    <w:p w:rsidR="005F78FC" w:rsidRDefault="00B42EF3">
      <w:pPr>
        <w:pStyle w:val="Definition-Field2"/>
      </w:pPr>
      <w:r>
        <w:t>Office does not truncate the type argument to an integer.</w:t>
      </w:r>
    </w:p>
    <w:p w:rsidR="005F78FC" w:rsidRDefault="00B42EF3">
      <w:pPr>
        <w:pStyle w:val="Definition-Field"/>
      </w:pPr>
      <w:r>
        <w:t xml:space="preserve">b.   </w:t>
      </w:r>
      <w:r>
        <w:rPr>
          <w:i/>
        </w:rPr>
        <w:t>The standard states that argument type is either 0 or 1.</w:t>
      </w:r>
    </w:p>
    <w:p w:rsidR="005F78FC" w:rsidRDefault="00B42EF3">
      <w:pPr>
        <w:pStyle w:val="Definition-Field2"/>
      </w:pPr>
      <w:r>
        <w:t>In Office, any nonzero</w:t>
      </w:r>
      <w:r>
        <w:t xml:space="preserve"> value of argument type is equivalent to 1.</w:t>
      </w:r>
    </w:p>
    <w:p w:rsidR="005F78FC" w:rsidRDefault="00B42EF3">
      <w:pPr>
        <w:pStyle w:val="Definition-Field"/>
      </w:pPr>
      <w:r>
        <w:t xml:space="preserve">c.   </w:t>
      </w:r>
      <w:r>
        <w:rPr>
          <w:i/>
        </w:rPr>
        <w:t>The standard states that if type is any number other than 0 or 1, #NUM! is returned.</w:t>
      </w:r>
    </w:p>
    <w:p w:rsidR="005F78FC" w:rsidRDefault="00B42EF3">
      <w:pPr>
        <w:pStyle w:val="Definition-Field2"/>
      </w:pPr>
      <w:r>
        <w:t>In Office, any nonzero value of argument type is equivalent to 1.</w:t>
      </w:r>
    </w:p>
    <w:p w:rsidR="005F78FC" w:rsidRDefault="00B42EF3">
      <w:pPr>
        <w:pStyle w:val="Definition-Field"/>
      </w:pPr>
      <w:r>
        <w:t xml:space="preserve">d.   </w:t>
      </w:r>
      <w:r>
        <w:rPr>
          <w:i/>
        </w:rPr>
        <w:t>The standard states that argument nper is truncated</w:t>
      </w:r>
      <w:r>
        <w:rPr>
          <w:i/>
        </w:rPr>
        <w:t xml:space="preserve"> to integer.</w:t>
      </w:r>
    </w:p>
    <w:p w:rsidR="005F78FC" w:rsidRDefault="00B42EF3">
      <w:pPr>
        <w:pStyle w:val="Definition-Field2"/>
      </w:pPr>
      <w:r>
        <w:t>Office does not truncate argument nper to integer.</w:t>
      </w:r>
    </w:p>
    <w:p w:rsidR="005F78FC" w:rsidRDefault="00B42EF3">
      <w:pPr>
        <w:pStyle w:val="Definition-Field"/>
      </w:pPr>
      <w:r>
        <w:t xml:space="preserve">e.   </w:t>
      </w:r>
      <w:r>
        <w:rPr>
          <w:i/>
        </w:rPr>
        <w:t>The standard states that either the pmt argument or the pv argument must be supplied.</w:t>
      </w:r>
    </w:p>
    <w:p w:rsidR="005F78FC" w:rsidRDefault="00B42EF3">
      <w:pPr>
        <w:pStyle w:val="Definition-Field2"/>
      </w:pPr>
      <w:r>
        <w:t>Office allows both to be omitted (and returns a future value of zero).</w:t>
      </w:r>
    </w:p>
    <w:p w:rsidR="005F78FC" w:rsidRDefault="00B42EF3">
      <w:pPr>
        <w:pStyle w:val="Heading3"/>
      </w:pPr>
      <w:bookmarkStart w:id="1932" w:name="section_82dbbad19eb54458b41d462e746c465e"/>
      <w:bookmarkStart w:id="1933" w:name="_Toc69878739"/>
      <w:r>
        <w:t>Part 1 Section 18.17.7.132, GAMMAINV</w:t>
      </w:r>
      <w:bookmarkEnd w:id="1932"/>
      <w:bookmarkEnd w:id="1933"/>
      <w:r>
        <w:fldChar w:fldCharType="begin"/>
      </w:r>
      <w:r>
        <w:instrText xml:space="preserve"> XE "GAMMAINV" </w:instrText>
      </w:r>
      <w:r>
        <w:fldChar w:fldCharType="end"/>
      </w:r>
    </w:p>
    <w:p w:rsidR="005F78FC" w:rsidRDefault="00B42EF3">
      <w:pPr>
        <w:pStyle w:val="Definition-Field"/>
      </w:pPr>
      <w:r>
        <w:t xml:space="preserve">a.   </w:t>
      </w:r>
      <w:r>
        <w:rPr>
          <w:i/>
        </w:rPr>
        <w:t>The standard specifies that an iterative search technique is used for the implementation of this function.</w:t>
      </w:r>
    </w:p>
    <w:p w:rsidR="005F78FC" w:rsidRDefault="00B42EF3">
      <w:pPr>
        <w:pStyle w:val="Definition-Field2"/>
      </w:pPr>
      <w:r>
        <w:t>Office does not require an iterative search technique to be used.</w:t>
      </w:r>
    </w:p>
    <w:p w:rsidR="005F78FC" w:rsidRDefault="00B42EF3">
      <w:pPr>
        <w:pStyle w:val="Heading3"/>
      </w:pPr>
      <w:bookmarkStart w:id="1934" w:name="section_82f90d9017f9441d82eb47b5167e9757"/>
      <w:bookmarkStart w:id="1935" w:name="_Toc69878740"/>
      <w:r>
        <w:t>Part 1 Section 18.17.7.1</w:t>
      </w:r>
      <w:r>
        <w:t>35, GEOMEAN</w:t>
      </w:r>
      <w:bookmarkEnd w:id="1934"/>
      <w:bookmarkEnd w:id="1935"/>
      <w:r>
        <w:fldChar w:fldCharType="begin"/>
      </w:r>
      <w:r>
        <w:instrText xml:space="preserve"> XE "GEOMEAN" </w:instrText>
      </w:r>
      <w:r>
        <w:fldChar w:fldCharType="end"/>
      </w:r>
    </w:p>
    <w:p w:rsidR="005F78FC" w:rsidRDefault="00B42EF3">
      <w:pPr>
        <w:pStyle w:val="Definition-Field"/>
      </w:pPr>
      <w:r>
        <w:t xml:space="preserve">a.   </w:t>
      </w:r>
      <w:r>
        <w:rPr>
          <w:i/>
        </w:rPr>
        <w:t>The standard states that cells with a value equal to 0 are included in the calculation.</w:t>
      </w:r>
    </w:p>
    <w:p w:rsidR="005F78FC" w:rsidRDefault="00B42EF3">
      <w:pPr>
        <w:pStyle w:val="Definition-Field2"/>
      </w:pPr>
      <w:r>
        <w:t>Office returns #NUM! if the value of any data point is less than or equal to 0.</w:t>
      </w:r>
    </w:p>
    <w:p w:rsidR="005F78FC" w:rsidRDefault="00B42EF3">
      <w:pPr>
        <w:pStyle w:val="Heading3"/>
      </w:pPr>
      <w:bookmarkStart w:id="1936" w:name="section_dad1aeafe2be4fbca86419ac8dba4ac9"/>
      <w:bookmarkStart w:id="1937" w:name="_Toc69878741"/>
      <w:r>
        <w:t>Part 1 Section 18.17.7.137, GETPIVOTDATA</w:t>
      </w:r>
      <w:bookmarkEnd w:id="1936"/>
      <w:bookmarkEnd w:id="1937"/>
      <w:r>
        <w:fldChar w:fldCharType="begin"/>
      </w:r>
      <w:r>
        <w:instrText xml:space="preserve"> XE "GETPIVOTDA</w:instrText>
      </w:r>
      <w:r>
        <w:instrText xml:space="preserve">TA" </w:instrText>
      </w:r>
      <w:r>
        <w:fldChar w:fldCharType="end"/>
      </w:r>
    </w:p>
    <w:p w:rsidR="005F78FC" w:rsidRDefault="00B42EF3">
      <w:pPr>
        <w:pStyle w:val="Definition-Field"/>
      </w:pPr>
      <w:r>
        <w:t xml:space="preserve">a.   </w:t>
      </w:r>
      <w:r>
        <w:rPr>
          <w:i/>
        </w:rPr>
        <w:t>The standard states that arguments field-1 and item-1 are mandatory arguments.</w:t>
      </w:r>
    </w:p>
    <w:p w:rsidR="005F78FC" w:rsidRDefault="00B42EF3">
      <w:pPr>
        <w:pStyle w:val="Definition-Field2"/>
      </w:pPr>
      <w:r>
        <w:t>Office treats arguments field-1 and item-1 as optional arguments.</w:t>
      </w:r>
    </w:p>
    <w:p w:rsidR="005F78FC" w:rsidRDefault="00B42EF3">
      <w:pPr>
        <w:pStyle w:val="Heading3"/>
      </w:pPr>
      <w:bookmarkStart w:id="1938" w:name="section_0de78b6e776c4f608c4c92eeb6a8ca56"/>
      <w:bookmarkStart w:id="1939" w:name="_Toc69878742"/>
      <w:r>
        <w:t>Part 1 Section 18.17.7.139, HARMEAN</w:t>
      </w:r>
      <w:bookmarkEnd w:id="1938"/>
      <w:bookmarkEnd w:id="1939"/>
      <w:r>
        <w:fldChar w:fldCharType="begin"/>
      </w:r>
      <w:r>
        <w:instrText xml:space="preserve"> XE "HARMEAN" </w:instrText>
      </w:r>
      <w:r>
        <w:fldChar w:fldCharType="end"/>
      </w:r>
    </w:p>
    <w:p w:rsidR="005F78FC" w:rsidRDefault="00B42EF3">
      <w:pPr>
        <w:pStyle w:val="Definition-Field"/>
      </w:pPr>
      <w:r>
        <w:t xml:space="preserve">a.   </w:t>
      </w:r>
      <w:r>
        <w:rPr>
          <w:i/>
        </w:rPr>
        <w:t xml:space="preserve">The standard states that cells with the </w:t>
      </w:r>
      <w:r>
        <w:rPr>
          <w:i/>
        </w:rPr>
        <w:t>value 0 are included in calculations.</w:t>
      </w:r>
    </w:p>
    <w:p w:rsidR="005F78FC" w:rsidRDefault="00B42EF3">
      <w:pPr>
        <w:pStyle w:val="Definition-Field2"/>
      </w:pPr>
      <w:r>
        <w:t>Office returns #NUM! if the value of any data point is less than or equal to 0.</w:t>
      </w:r>
    </w:p>
    <w:p w:rsidR="005F78FC" w:rsidRDefault="00B42EF3">
      <w:pPr>
        <w:pStyle w:val="Heading3"/>
      </w:pPr>
      <w:bookmarkStart w:id="1940" w:name="section_a29a20868a8c4281ab65217dc7d563a4"/>
      <w:bookmarkStart w:id="1941" w:name="_Toc69878743"/>
      <w:r>
        <w:t>Part 1 Section 18.17.7.143, HLOOKUP</w:t>
      </w:r>
      <w:bookmarkEnd w:id="1940"/>
      <w:bookmarkEnd w:id="1941"/>
      <w:r>
        <w:fldChar w:fldCharType="begin"/>
      </w:r>
      <w:r>
        <w:instrText xml:space="preserve"> XE "HLOOKUP" </w:instrText>
      </w:r>
      <w:r>
        <w:fldChar w:fldCharType="end"/>
      </w:r>
    </w:p>
    <w:p w:rsidR="005F78FC" w:rsidRDefault="00B42EF3">
      <w:pPr>
        <w:pStyle w:val="Definition-Field"/>
      </w:pPr>
      <w:r>
        <w:t xml:space="preserve">a.   </w:t>
      </w:r>
      <w:r>
        <w:rPr>
          <w:i/>
        </w:rPr>
        <w:t>The standard states that argument row-index-num is the row number in argument tab</w:t>
      </w:r>
      <w:r>
        <w:rPr>
          <w:i/>
        </w:rPr>
        <w:t>le-array from which the matching value is to be returned.</w:t>
      </w:r>
    </w:p>
    <w:p w:rsidR="005F78FC" w:rsidRDefault="00B42EF3">
      <w:pPr>
        <w:pStyle w:val="Definition-Field2"/>
      </w:pPr>
      <w:r>
        <w:t>In Office, argument row-index-num is the row number, truncated to integer, in argument table-array from which the matching value is to be returned.</w:t>
      </w:r>
    </w:p>
    <w:p w:rsidR="005F78FC" w:rsidRDefault="00B42EF3">
      <w:pPr>
        <w:pStyle w:val="Heading3"/>
      </w:pPr>
      <w:bookmarkStart w:id="1942" w:name="section_dec36d7c644e4622821ef9e00c33e4ee"/>
      <w:bookmarkStart w:id="1943" w:name="_Toc69878744"/>
      <w:r>
        <w:t>Part 1 Section 18.17.7.144, HOUR</w:t>
      </w:r>
      <w:bookmarkEnd w:id="1942"/>
      <w:bookmarkEnd w:id="1943"/>
      <w:r>
        <w:fldChar w:fldCharType="begin"/>
      </w:r>
      <w:r>
        <w:instrText xml:space="preserve"> XE "HOUR" </w:instrText>
      </w:r>
      <w:r>
        <w:fldChar w:fldCharType="end"/>
      </w:r>
    </w:p>
    <w:p w:rsidR="005F78FC" w:rsidRDefault="00B42EF3">
      <w:pPr>
        <w:pStyle w:val="Definition-Field"/>
      </w:pPr>
      <w:r>
        <w:t xml:space="preserve">a.  </w:t>
      </w:r>
      <w:r>
        <w:t xml:space="preserve"> </w:t>
      </w:r>
      <w:r>
        <w:rPr>
          <w:i/>
        </w:rPr>
        <w:t>The standard states that the returned value shall be in the range 0 - 59.</w:t>
      </w:r>
    </w:p>
    <w:p w:rsidR="005F78FC" w:rsidRDefault="00B42EF3">
      <w:pPr>
        <w:pStyle w:val="Definition-Field2"/>
      </w:pPr>
      <w:r>
        <w:lastRenderedPageBreak/>
        <w:t>Office requires that the returned value shall be in the range 0 - 23.</w:t>
      </w:r>
    </w:p>
    <w:p w:rsidR="005F78FC" w:rsidRDefault="00B42EF3">
      <w:pPr>
        <w:pStyle w:val="Heading3"/>
      </w:pPr>
      <w:bookmarkStart w:id="1944" w:name="section_10cbd87900d34a2e9f3234b7ecab1d49"/>
      <w:bookmarkStart w:id="1945" w:name="_Toc69878745"/>
      <w:r>
        <w:t>Part 1 Section 18.17.7.147, IF</w:t>
      </w:r>
      <w:bookmarkEnd w:id="1944"/>
      <w:bookmarkEnd w:id="1945"/>
      <w:r>
        <w:fldChar w:fldCharType="begin"/>
      </w:r>
      <w:r>
        <w:instrText xml:space="preserve"> XE "IF" </w:instrText>
      </w:r>
      <w:r>
        <w:fldChar w:fldCharType="end"/>
      </w:r>
    </w:p>
    <w:p w:rsidR="005F78FC" w:rsidRDefault="00B42EF3">
      <w:pPr>
        <w:pStyle w:val="Definition-Field"/>
      </w:pPr>
      <w:r>
        <w:t xml:space="preserve">a.   </w:t>
      </w:r>
      <w:r>
        <w:rPr>
          <w:i/>
        </w:rPr>
        <w:t>The standard states that arguments value-if-true and value-if-fa</w:t>
      </w:r>
      <w:r>
        <w:rPr>
          <w:i/>
        </w:rPr>
        <w:t>lse can contain up to seven levels of nested IF function calls.</w:t>
      </w:r>
    </w:p>
    <w:p w:rsidR="005F78FC" w:rsidRDefault="00B42EF3">
      <w:pPr>
        <w:pStyle w:val="Definition-Field2"/>
      </w:pPr>
      <w:r>
        <w:t>In Office, these arguments can contain as many levels of nesting as the application allows.</w:t>
      </w:r>
    </w:p>
    <w:p w:rsidR="005F78FC" w:rsidRDefault="00B42EF3">
      <w:pPr>
        <w:pStyle w:val="Heading3"/>
      </w:pPr>
      <w:bookmarkStart w:id="1946" w:name="section_7311ea9061a4418aa67ac5a29a456273"/>
      <w:bookmarkStart w:id="1947" w:name="_Toc69878746"/>
      <w:r>
        <w:t>Part 1 Section 18.17.7.148, IFERROR</w:t>
      </w:r>
      <w:bookmarkEnd w:id="1946"/>
      <w:bookmarkEnd w:id="1947"/>
      <w:r>
        <w:fldChar w:fldCharType="begin"/>
      </w:r>
      <w:r>
        <w:instrText xml:space="preserve"> XE "IFERROR" </w:instrText>
      </w:r>
      <w:r>
        <w:fldChar w:fldCharType="end"/>
      </w:r>
    </w:p>
    <w:p w:rsidR="005F78FC" w:rsidRDefault="00B42EF3">
      <w:pPr>
        <w:pStyle w:val="Definition-Field"/>
      </w:pPr>
      <w:r>
        <w:t xml:space="preserve">a.   </w:t>
      </w:r>
      <w:r>
        <w:rPr>
          <w:i/>
        </w:rPr>
        <w:t>The standard states that the value argument</w:t>
      </w:r>
      <w:r>
        <w:rPr>
          <w:i/>
        </w:rPr>
        <w:t xml:space="preserve"> is checked for the following error values: #N/A, #VALUE!, #REF!, #DIV/0!, #NUM!, #NAME?, or #NULL!.</w:t>
      </w:r>
    </w:p>
    <w:p w:rsidR="005F78FC" w:rsidRDefault="00B42EF3">
      <w:pPr>
        <w:pStyle w:val="Definition-Field2"/>
      </w:pPr>
      <w:r>
        <w:t>In Office, the value argument is checked for the following error values: #N/A, #VALUE!, #REF!, #DIV/0!, #NUM!, #NAME?, #NULL!, or #GETTING_DATA.</w:t>
      </w:r>
    </w:p>
    <w:p w:rsidR="005F78FC" w:rsidRDefault="00B42EF3">
      <w:pPr>
        <w:pStyle w:val="Heading3"/>
      </w:pPr>
      <w:bookmarkStart w:id="1948" w:name="section_2367967f202d49569278f2ba1e5afe7f"/>
      <w:bookmarkStart w:id="1949" w:name="_Toc69878747"/>
      <w:r>
        <w:t>Part 1 Sec</w:t>
      </w:r>
      <w:r>
        <w:t>tion 18.17.7.151, IMARGUMENT</w:t>
      </w:r>
      <w:bookmarkEnd w:id="1948"/>
      <w:bookmarkEnd w:id="1949"/>
      <w:r>
        <w:fldChar w:fldCharType="begin"/>
      </w:r>
      <w:r>
        <w:instrText xml:space="preserve"> XE "IMARGUMENT" </w:instrText>
      </w:r>
      <w:r>
        <w:fldChar w:fldCharType="end"/>
      </w:r>
    </w:p>
    <w:p w:rsidR="005F78FC" w:rsidRDefault="00B42EF3">
      <w:pPr>
        <w:pStyle w:val="Definition-Field"/>
      </w:pPr>
      <w:r>
        <w:t xml:space="preserve">a.   </w:t>
      </w:r>
      <w:r>
        <w:rPr>
          <w:i/>
        </w:rPr>
        <w:t>The standard does not fully specify how the angle θ is calculated.</w:t>
      </w:r>
    </w:p>
    <w:p w:rsidR="005F78FC" w:rsidRDefault="00B42EF3">
      <w:pPr>
        <w:pStyle w:val="Definition-Field2"/>
      </w:pPr>
      <w:r>
        <w:t>Office calculates angle θ as ATAN2(x,y).</w:t>
      </w:r>
    </w:p>
    <w:p w:rsidR="005F78FC" w:rsidRDefault="00B42EF3">
      <w:pPr>
        <w:pStyle w:val="Definition-Field"/>
      </w:pPr>
      <w:r>
        <w:t xml:space="preserve">b.   </w:t>
      </w:r>
      <w:r>
        <w:rPr>
          <w:i/>
        </w:rPr>
        <w:t>The standard does not specify how function arguments map to formula variables.</w:t>
      </w:r>
    </w:p>
    <w:p w:rsidR="005F78FC" w:rsidRDefault="00B42EF3">
      <w:pPr>
        <w:pStyle w:val="Definition-Field2"/>
      </w:pPr>
      <w:r>
        <w:t>Office maps</w:t>
      </w:r>
      <w:r>
        <w:t xml:space="preserve"> x + yi to argument complex number, and theta to ATAN2(x,y).</w:t>
      </w:r>
    </w:p>
    <w:p w:rsidR="005F78FC" w:rsidRDefault="00B42EF3">
      <w:pPr>
        <w:pStyle w:val="Definition-Field"/>
      </w:pPr>
      <w:r>
        <w:t xml:space="preserve">c.   </w:t>
      </w:r>
      <w:r>
        <w:rPr>
          <w:i/>
        </w:rPr>
        <w:t>The standard states that the complex number can be in the form x+yi.</w:t>
      </w:r>
    </w:p>
    <w:p w:rsidR="005F78FC" w:rsidRDefault="00B42EF3">
      <w:pPr>
        <w:pStyle w:val="Definition-Field2"/>
      </w:pPr>
      <w:r>
        <w:t>Office accepts complex numbers in the form x+yi and x+yj.</w:t>
      </w:r>
    </w:p>
    <w:p w:rsidR="005F78FC" w:rsidRDefault="00B42EF3">
      <w:pPr>
        <w:pStyle w:val="Heading3"/>
      </w:pPr>
      <w:bookmarkStart w:id="1950" w:name="section_bd714073b3d34e4da8ab9ae68871d9d6"/>
      <w:bookmarkStart w:id="1951" w:name="_Toc69878748"/>
      <w:r>
        <w:t>Part 1 Section 18.17.7.154, IMDIV</w:t>
      </w:r>
      <w:bookmarkEnd w:id="1950"/>
      <w:bookmarkEnd w:id="1951"/>
      <w:r>
        <w:fldChar w:fldCharType="begin"/>
      </w:r>
      <w:r>
        <w:instrText xml:space="preserve"> XE "IMDIV" </w:instrText>
      </w:r>
      <w:r>
        <w:fldChar w:fldCharType="end"/>
      </w:r>
    </w:p>
    <w:p w:rsidR="005F78FC" w:rsidRDefault="00B42EF3">
      <w:pPr>
        <w:pStyle w:val="Definition-Field"/>
      </w:pPr>
      <w:r>
        <w:t xml:space="preserve">a.   </w:t>
      </w:r>
      <w:r>
        <w:rPr>
          <w:i/>
        </w:rPr>
        <w:t xml:space="preserve">The </w:t>
      </w:r>
      <w:r>
        <w:rPr>
          <w:i/>
        </w:rPr>
        <w:t>standard does not specify what happens in the case of complex division by zero.</w:t>
      </w:r>
    </w:p>
    <w:p w:rsidR="005F78FC" w:rsidRDefault="00B42EF3">
      <w:pPr>
        <w:pStyle w:val="Definition-Field2"/>
      </w:pPr>
      <w:r>
        <w:t>Office returns #NUM! if complex-number-2 is zero.</w:t>
      </w:r>
    </w:p>
    <w:p w:rsidR="005F78FC" w:rsidRDefault="00B42EF3">
      <w:pPr>
        <w:pStyle w:val="Heading3"/>
      </w:pPr>
      <w:bookmarkStart w:id="1952" w:name="section_b1fb964ee5ea4e10ad72e10986208e92"/>
      <w:bookmarkStart w:id="1953" w:name="_Toc69878749"/>
      <w:r>
        <w:t>Part 1 Section 18.17.7.156, IMLN</w:t>
      </w:r>
      <w:bookmarkEnd w:id="1952"/>
      <w:bookmarkEnd w:id="1953"/>
      <w:r>
        <w:fldChar w:fldCharType="begin"/>
      </w:r>
      <w:r>
        <w:instrText xml:space="preserve"> XE "IMLN" </w:instrText>
      </w:r>
      <w:r>
        <w:fldChar w:fldCharType="end"/>
      </w:r>
    </w:p>
    <w:p w:rsidR="005F78FC" w:rsidRDefault="00B42EF3">
      <w:pPr>
        <w:pStyle w:val="Definition-Field"/>
      </w:pPr>
      <w:r>
        <w:t xml:space="preserve">a.   </w:t>
      </w:r>
      <w:r>
        <w:rPr>
          <w:i/>
        </w:rPr>
        <w:t>The standard does not specify what happens if complex-number is zero.</w:t>
      </w:r>
    </w:p>
    <w:p w:rsidR="005F78FC" w:rsidRDefault="00B42EF3">
      <w:pPr>
        <w:pStyle w:val="Definition-Field2"/>
      </w:pPr>
      <w:r>
        <w:t>Offic</w:t>
      </w:r>
      <w:r>
        <w:t>e returns #NUM! if complex-number is zero.</w:t>
      </w:r>
    </w:p>
    <w:p w:rsidR="005F78FC" w:rsidRDefault="00B42EF3">
      <w:pPr>
        <w:pStyle w:val="Definition-Field"/>
      </w:pPr>
      <w:r>
        <w:t xml:space="preserve">b.   </w:t>
      </w:r>
      <w:r>
        <w:rPr>
          <w:i/>
        </w:rPr>
        <w:t>The standard does not fully specify how the angle θ is calculated.</w:t>
      </w:r>
    </w:p>
    <w:p w:rsidR="005F78FC" w:rsidRDefault="00B42EF3">
      <w:r>
        <w:t>Excel calculates imln using the following mathematical formula:</w:t>
      </w:r>
    </w:p>
    <w:p w:rsidR="005F78FC" w:rsidRDefault="00B42EF3">
      <w:r>
        <w:rPr>
          <w:noProof/>
        </w:rPr>
        <w:drawing>
          <wp:inline distT="0" distB="0" distL="0" distR="0">
            <wp:extent cx="1885950" cy="209550"/>
            <wp:effectExtent l="0" t="0" r="0" b="0"/>
            <wp:docPr id="18" name="Picture 1" descr="Formula for imln: natural log open parentheses x + yi closed parentheses = natural log open parentheses square root x squared + y squared closed parentheses plus i theta" title="Formula for im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a908a79-0000-0000-0000-000000000000" descr="Formula for imln: natural log open parentheses x + yi closed parentheses = natural log open parentheses square root x squared + y squared closed parentheses plus i theta" title="Formula for imln"/>
                    <pic:cNvPicPr>
                      <a:picLocks noChangeAspect="1" noChangeArrowheads="1"/>
                    </pic:cNvPicPr>
                  </pic:nvPicPr>
                  <pic:blipFill>
                    <a:blip r:embed="rId146" cstate="print"/>
                    <a:srcRect/>
                    <a:stretch>
                      <a:fillRect/>
                    </a:stretch>
                  </pic:blipFill>
                  <pic:spPr bwMode="auto">
                    <a:xfrm>
                      <a:off x="0" y="0"/>
                      <a:ext cx="1885950" cy="209550"/>
                    </a:xfrm>
                    <a:prstGeom prst="rect">
                      <a:avLst/>
                    </a:prstGeom>
                    <a:noFill/>
                    <a:ln w="9525">
                      <a:noFill/>
                      <a:miter lim="800000"/>
                      <a:headEnd/>
                      <a:tailEnd/>
                    </a:ln>
                  </pic:spPr>
                </pic:pic>
              </a:graphicData>
            </a:graphic>
          </wp:inline>
        </w:drawing>
      </w:r>
    </w:p>
    <w:p w:rsidR="005F78FC" w:rsidRDefault="00B42EF3">
      <w:r>
        <w:t>where:</w:t>
      </w:r>
    </w:p>
    <w:p w:rsidR="005F78FC" w:rsidRDefault="00B42EF3">
      <w:r>
        <w:t>θ = ATAN2(x,y) calculated according to the formula in ATAN2 ("</w:t>
      </w:r>
      <w:hyperlink r:id="rId147">
        <w:r>
          <w:rPr>
            <w:rStyle w:val="Hyperlink"/>
          </w:rPr>
          <w:t>[ISO/IEC-29500-1]</w:t>
        </w:r>
      </w:hyperlink>
      <w:r>
        <w:t xml:space="preserve"> §18.17.7.15; ATAN2")</w:t>
      </w:r>
      <w:r>
        <w:rPr>
          <w:noProof/>
        </w:rPr>
        <w:drawing>
          <wp:inline distT="0" distB="0" distL="0" distR="0">
            <wp:extent cx="628650" cy="142875"/>
            <wp:effectExtent l="0" t="0" r="0" b="0"/>
            <wp:docPr id="21" name="Picture 1" descr="Formula for ATAN2: theta contains open parentheses minus pie; pie closed bracket" title="Formula for AT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a908a76-0000-0000-0000-000000000000" descr="Formula for ATAN2: theta contains open parentheses minus pie; pie closed bracket" title="Formula for ATAN2"/>
                    <pic:cNvPicPr>
                      <a:picLocks noChangeAspect="1" noChangeArrowheads="1"/>
                    </pic:cNvPicPr>
                  </pic:nvPicPr>
                  <pic:blipFill>
                    <a:blip r:embed="rId148" cstate="print"/>
                    <a:srcRect/>
                    <a:stretch>
                      <a:fillRect/>
                    </a:stretch>
                  </pic:blipFill>
                  <pic:spPr bwMode="auto">
                    <a:xfrm>
                      <a:off x="0" y="0"/>
                      <a:ext cx="628650" cy="142875"/>
                    </a:xfrm>
                    <a:prstGeom prst="rect">
                      <a:avLst/>
                    </a:prstGeom>
                    <a:noFill/>
                    <a:ln w="9525">
                      <a:noFill/>
                      <a:miter lim="800000"/>
                      <a:headEnd/>
                      <a:tailEnd/>
                    </a:ln>
                  </pic:spPr>
                </pic:pic>
              </a:graphicData>
            </a:graphic>
          </wp:inline>
        </w:drawing>
      </w:r>
    </w:p>
    <w:p w:rsidR="005F78FC" w:rsidRDefault="00B42EF3">
      <w:pPr>
        <w:pStyle w:val="Heading3"/>
      </w:pPr>
      <w:bookmarkStart w:id="1954" w:name="section_2395740104484810972b2832c8918aaa"/>
      <w:bookmarkStart w:id="1955" w:name="_Toc69878750"/>
      <w:r>
        <w:t>Part 1 Section 18.17.7.157, IMLOG10</w:t>
      </w:r>
      <w:bookmarkEnd w:id="1954"/>
      <w:bookmarkEnd w:id="1955"/>
      <w:r>
        <w:fldChar w:fldCharType="begin"/>
      </w:r>
      <w:r>
        <w:instrText xml:space="preserve"> XE "IMLOG10" </w:instrText>
      </w:r>
      <w:r>
        <w:fldChar w:fldCharType="end"/>
      </w:r>
    </w:p>
    <w:p w:rsidR="005F78FC" w:rsidRDefault="00B42EF3">
      <w:pPr>
        <w:pStyle w:val="Definition-Field"/>
      </w:pPr>
      <w:r>
        <w:t xml:space="preserve">a.   </w:t>
      </w:r>
      <w:r>
        <w:rPr>
          <w:i/>
        </w:rPr>
        <w:t>The standard does not specify what happens if complex-number is zero.</w:t>
      </w:r>
    </w:p>
    <w:p w:rsidR="005F78FC" w:rsidRDefault="00B42EF3">
      <w:pPr>
        <w:pStyle w:val="Definition-Field2"/>
      </w:pPr>
      <w:r>
        <w:lastRenderedPageBreak/>
        <w:t xml:space="preserve">Office returns #NUM! if </w:t>
      </w:r>
      <w:r>
        <w:t>complex-number is zero.</w:t>
      </w:r>
    </w:p>
    <w:p w:rsidR="005F78FC" w:rsidRDefault="00B42EF3">
      <w:pPr>
        <w:pStyle w:val="Heading3"/>
      </w:pPr>
      <w:bookmarkStart w:id="1956" w:name="section_53a80498b5bf4e9391ce44621001750c"/>
      <w:bookmarkStart w:id="1957" w:name="_Toc69878751"/>
      <w:r>
        <w:t>Part 1 Section 18.17.7.158, IMLOG2</w:t>
      </w:r>
      <w:bookmarkEnd w:id="1956"/>
      <w:bookmarkEnd w:id="1957"/>
      <w:r>
        <w:fldChar w:fldCharType="begin"/>
      </w:r>
      <w:r>
        <w:instrText xml:space="preserve"> XE "IMLOG2" </w:instrText>
      </w:r>
      <w:r>
        <w:fldChar w:fldCharType="end"/>
      </w:r>
    </w:p>
    <w:p w:rsidR="005F78FC" w:rsidRDefault="00B42EF3">
      <w:pPr>
        <w:pStyle w:val="Definition-Field"/>
      </w:pPr>
      <w:r>
        <w:t xml:space="preserve">a.   </w:t>
      </w:r>
      <w:r>
        <w:rPr>
          <w:i/>
        </w:rPr>
        <w:t>The standard does not specify what happens if complex-number is zero.</w:t>
      </w:r>
    </w:p>
    <w:p w:rsidR="005F78FC" w:rsidRDefault="00B42EF3">
      <w:pPr>
        <w:pStyle w:val="Definition-Field2"/>
      </w:pPr>
      <w:r>
        <w:t>Office returns #NUM! if complex-number is zero.</w:t>
      </w:r>
    </w:p>
    <w:p w:rsidR="005F78FC" w:rsidRDefault="00B42EF3">
      <w:pPr>
        <w:pStyle w:val="Heading3"/>
      </w:pPr>
      <w:bookmarkStart w:id="1958" w:name="section_316e6d911f1645cd9ef2b7b817e30f9f"/>
      <w:bookmarkStart w:id="1959" w:name="_Toc69878752"/>
      <w:r>
        <w:t>Part 1 Section 18.17.7.159, IMPOWER</w:t>
      </w:r>
      <w:bookmarkEnd w:id="1958"/>
      <w:bookmarkEnd w:id="1959"/>
      <w:r>
        <w:fldChar w:fldCharType="begin"/>
      </w:r>
      <w:r>
        <w:instrText xml:space="preserve"> XE "IMPOWER" </w:instrText>
      </w:r>
      <w:r>
        <w:fldChar w:fldCharType="end"/>
      </w:r>
    </w:p>
    <w:p w:rsidR="005F78FC" w:rsidRDefault="00B42EF3">
      <w:pPr>
        <w:pStyle w:val="Definition-Field"/>
      </w:pPr>
      <w:r>
        <w:t xml:space="preserve">a.   </w:t>
      </w:r>
      <w:r>
        <w:rPr>
          <w:i/>
        </w:rPr>
        <w:t>Th</w:t>
      </w:r>
      <w:r>
        <w:rPr>
          <w:i/>
        </w:rPr>
        <w:t>e standard does not mention error case of argument complex-number equal to zero and argument n is not a positive number.</w:t>
      </w:r>
    </w:p>
    <w:p w:rsidR="005F78FC" w:rsidRDefault="00B42EF3">
      <w:pPr>
        <w:pStyle w:val="Definition-Field2"/>
      </w:pPr>
      <w:r>
        <w:t>Office returns #NUM! if complex-number is zero, and the exponent n is not a positive number.</w:t>
      </w:r>
    </w:p>
    <w:p w:rsidR="005F78FC" w:rsidRDefault="00B42EF3">
      <w:pPr>
        <w:pStyle w:val="Definition-Field"/>
      </w:pPr>
      <w:r>
        <w:t xml:space="preserve">b.   </w:t>
      </w:r>
      <w:r>
        <w:rPr>
          <w:i/>
        </w:rPr>
        <w:t xml:space="preserve">The standard specifies that y is the </w:t>
      </w:r>
      <w:r>
        <w:rPr>
          <w:i/>
        </w:rPr>
        <w:t>exponent to which complex-number is to be raised as well as a coefficient of the argument complex-number.</w:t>
      </w:r>
    </w:p>
    <w:p w:rsidR="005F78FC" w:rsidRDefault="00B42EF3">
      <w:pPr>
        <w:pStyle w:val="Definition-Field2"/>
      </w:pPr>
      <w:r>
        <w:t>Office treats n as the exponent to which argument complex-number is to be raised.</w:t>
      </w:r>
    </w:p>
    <w:p w:rsidR="005F78FC" w:rsidRDefault="00B42EF3">
      <w:pPr>
        <w:pStyle w:val="Definition-Field"/>
      </w:pPr>
      <w:r>
        <w:t xml:space="preserve">c.   </w:t>
      </w:r>
      <w:r>
        <w:rPr>
          <w:i/>
        </w:rPr>
        <w:t>The standard does not fully specify how the angle θ is calculat</w:t>
      </w:r>
      <w:r>
        <w:rPr>
          <w:i/>
        </w:rPr>
        <w:t>ed.</w:t>
      </w:r>
    </w:p>
    <w:p w:rsidR="005F78FC" w:rsidRDefault="00B42EF3">
      <w:pPr>
        <w:pStyle w:val="Definition-Field2"/>
      </w:pPr>
      <w:r>
        <w:t>Office calculates angle θ as ATAN2(x,y).</w:t>
      </w:r>
    </w:p>
    <w:p w:rsidR="005F78FC" w:rsidRDefault="00B42EF3">
      <w:pPr>
        <w:pStyle w:val="Heading3"/>
      </w:pPr>
      <w:bookmarkStart w:id="1960" w:name="section_d62977af731d4533a681028c97121b2b"/>
      <w:bookmarkStart w:id="1961" w:name="_Toc69878753"/>
      <w:r>
        <w:t>Part 1 Section 18.17.7.162, IMSIN</w:t>
      </w:r>
      <w:bookmarkEnd w:id="1960"/>
      <w:bookmarkEnd w:id="1961"/>
      <w:r>
        <w:fldChar w:fldCharType="begin"/>
      </w:r>
      <w:r>
        <w:instrText xml:space="preserve"> XE "IMSIN" </w:instrText>
      </w:r>
      <w:r>
        <w:fldChar w:fldCharType="end"/>
      </w:r>
    </w:p>
    <w:p w:rsidR="005F78FC" w:rsidRDefault="00B42EF3">
      <w:pPr>
        <w:pStyle w:val="Definition-Field"/>
      </w:pPr>
      <w:r>
        <w:t xml:space="preserve">a.   </w:t>
      </w:r>
      <w:r>
        <w:rPr>
          <w:i/>
        </w:rPr>
        <w:t>The standard states the mathematical formula is sin(x+yi) = sin(x)cosh(y) - cos(x)sinh(y)i.</w:t>
      </w:r>
    </w:p>
    <w:p w:rsidR="005F78FC" w:rsidRDefault="00B42EF3">
      <w:pPr>
        <w:pStyle w:val="Definition-Field2"/>
      </w:pPr>
      <w:r>
        <w:t xml:space="preserve">Office uses the mathematical formula sin(x+yi) = sin(x)cosh(y) + </w:t>
      </w:r>
      <w:r>
        <w:t>cos(x)sinh(y)i.</w:t>
      </w:r>
    </w:p>
    <w:p w:rsidR="005F78FC" w:rsidRDefault="00B42EF3">
      <w:pPr>
        <w:pStyle w:val="Heading3"/>
      </w:pPr>
      <w:bookmarkStart w:id="1962" w:name="section_eef4f9053db747d085bdf4e3634e9cee"/>
      <w:bookmarkStart w:id="1963" w:name="_Toc69878754"/>
      <w:r>
        <w:t>Part 1 Section 18.17.7.163, IMSQRT</w:t>
      </w:r>
      <w:bookmarkEnd w:id="1962"/>
      <w:bookmarkEnd w:id="1963"/>
      <w:r>
        <w:fldChar w:fldCharType="begin"/>
      </w:r>
      <w:r>
        <w:instrText xml:space="preserve"> XE "IMSQRT" </w:instrText>
      </w:r>
      <w:r>
        <w:fldChar w:fldCharType="end"/>
      </w:r>
    </w:p>
    <w:p w:rsidR="005F78FC" w:rsidRDefault="00B42EF3">
      <w:pPr>
        <w:pStyle w:val="Definition-Field"/>
      </w:pPr>
      <w:r>
        <w:t xml:space="preserve">a.   </w:t>
      </w:r>
      <w:r>
        <w:rPr>
          <w:i/>
        </w:rPr>
        <w:t>The standard does not fully specify how the angle θ is calculated.</w:t>
      </w:r>
    </w:p>
    <w:p w:rsidR="005F78FC" w:rsidRDefault="00B42EF3">
      <w:pPr>
        <w:pStyle w:val="Definition-Field2"/>
      </w:pPr>
      <w:r>
        <w:t>Office calculates angle θ as ATAN2(x,y).</w:t>
      </w:r>
    </w:p>
    <w:p w:rsidR="005F78FC" w:rsidRDefault="00B42EF3">
      <w:pPr>
        <w:pStyle w:val="Heading3"/>
      </w:pPr>
      <w:bookmarkStart w:id="1964" w:name="section_8a9e8a05d0934fe185658f8f6671995b"/>
      <w:bookmarkStart w:id="1965" w:name="_Toc69878755"/>
      <w:r>
        <w:t>Part 1 Section 18.17.7.166, INDEX</w:t>
      </w:r>
      <w:bookmarkEnd w:id="1964"/>
      <w:bookmarkEnd w:id="1965"/>
      <w:r>
        <w:fldChar w:fldCharType="begin"/>
      </w:r>
      <w:r>
        <w:instrText xml:space="preserve"> XE "INDEX" </w:instrText>
      </w:r>
      <w:r>
        <w:fldChar w:fldCharType="end"/>
      </w:r>
    </w:p>
    <w:p w:rsidR="005F78FC" w:rsidRDefault="00B42EF3">
      <w:pPr>
        <w:pStyle w:val="Definition-Field"/>
      </w:pPr>
      <w:r>
        <w:t xml:space="preserve">a.   </w:t>
      </w:r>
      <w:r>
        <w:rPr>
          <w:i/>
        </w:rPr>
        <w:t>The standard states that</w:t>
      </w:r>
      <w:r>
        <w:rPr>
          <w:i/>
        </w:rPr>
        <w:t xml:space="preserve"> the argument row-number and argument column-number refers to the row or column, respectively, in argument array.</w:t>
      </w:r>
    </w:p>
    <w:p w:rsidR="005F78FC" w:rsidRDefault="00B42EF3">
      <w:pPr>
        <w:pStyle w:val="Definition-Field2"/>
      </w:pPr>
      <w:r>
        <w:t>Office treats argument row-number as the column number if there is only one row in the array.</w:t>
      </w:r>
    </w:p>
    <w:p w:rsidR="005F78FC" w:rsidRDefault="00B42EF3">
      <w:pPr>
        <w:pStyle w:val="Heading3"/>
      </w:pPr>
      <w:bookmarkStart w:id="1966" w:name="section_dcedecc22b68492e8802a5885866703b"/>
      <w:bookmarkStart w:id="1967" w:name="_Toc69878756"/>
      <w:r>
        <w:t>Part 1 Section 18.17.7.167, INDIRECT</w:t>
      </w:r>
      <w:bookmarkEnd w:id="1966"/>
      <w:bookmarkEnd w:id="1967"/>
      <w:r>
        <w:fldChar w:fldCharType="begin"/>
      </w:r>
      <w:r>
        <w:instrText xml:space="preserve"> XE "INDIREC</w:instrText>
      </w:r>
      <w:r>
        <w:instrText xml:space="preserve">T" </w:instrText>
      </w:r>
      <w:r>
        <w:fldChar w:fldCharType="end"/>
      </w:r>
    </w:p>
    <w:p w:rsidR="005F78FC" w:rsidRDefault="00B42EF3">
      <w:pPr>
        <w:pStyle w:val="Definition-Field"/>
      </w:pPr>
      <w:r>
        <w:t xml:space="preserve">a.   </w:t>
      </w:r>
      <w:r>
        <w:rPr>
          <w:i/>
        </w:rPr>
        <w:t>The standard does not place any length restrictions on argument ref-text.</w:t>
      </w:r>
    </w:p>
    <w:p w:rsidR="005F78FC" w:rsidRDefault="00B42EF3">
      <w:pPr>
        <w:pStyle w:val="Definition-Field2"/>
      </w:pPr>
      <w:r>
        <w:t>Office returns #VALUE! if argument ref-text is more than 255 characters.</w:t>
      </w:r>
    </w:p>
    <w:p w:rsidR="005F78FC" w:rsidRDefault="00B42EF3">
      <w:pPr>
        <w:pStyle w:val="Definition-Field"/>
      </w:pPr>
      <w:r>
        <w:t xml:space="preserve">b.   </w:t>
      </w:r>
      <w:r>
        <w:rPr>
          <w:i/>
        </w:rPr>
        <w:t>The standard states the argument ref-text is of type A1-style reference, an R1C1-style refere</w:t>
      </w:r>
      <w:r>
        <w:rPr>
          <w:i/>
        </w:rPr>
        <w:t>nce, a name defined as a reference, or a reference to a cell as a string.</w:t>
      </w:r>
    </w:p>
    <w:p w:rsidR="005F78FC" w:rsidRDefault="00B42EF3">
      <w:pPr>
        <w:pStyle w:val="Definition-Field2"/>
      </w:pPr>
      <w:r>
        <w:t>Office allows argument ref-text to be type A1-style reference, an R1C1-style reference, a name defined as a reference, a structure reference, or a reference to a cell as a string.</w:t>
      </w:r>
    </w:p>
    <w:p w:rsidR="005F78FC" w:rsidRDefault="00B42EF3">
      <w:pPr>
        <w:pStyle w:val="Heading3"/>
      </w:pPr>
      <w:bookmarkStart w:id="1968" w:name="section_ed33866d5a02492e87a6a1aca55d9d16"/>
      <w:bookmarkStart w:id="1969" w:name="_Toc69878757"/>
      <w:r>
        <w:lastRenderedPageBreak/>
        <w:t>Pa</w:t>
      </w:r>
      <w:r>
        <w:t>rt 1 Section 18.17.7.168, INFO</w:t>
      </w:r>
      <w:bookmarkEnd w:id="1968"/>
      <w:bookmarkEnd w:id="1969"/>
      <w:r>
        <w:fldChar w:fldCharType="begin"/>
      </w:r>
      <w:r>
        <w:instrText xml:space="preserve"> XE "INFO" </w:instrText>
      </w:r>
      <w:r>
        <w:fldChar w:fldCharType="end"/>
      </w:r>
    </w:p>
    <w:p w:rsidR="005F78FC" w:rsidRDefault="00B42EF3">
      <w:pPr>
        <w:pStyle w:val="Definition-Field"/>
      </w:pPr>
      <w:r>
        <w:t xml:space="preserve">a.   </w:t>
      </w:r>
      <w:r>
        <w:rPr>
          <w:i/>
        </w:rPr>
        <w:t>The standard lists "memavail" as "Amount of memory available, in bytes."</w:t>
      </w:r>
    </w:p>
    <w:p w:rsidR="005F78FC" w:rsidRDefault="00B42EF3">
      <w:pPr>
        <w:pStyle w:val="Definition-Field2"/>
      </w:pPr>
      <w:r>
        <w:t>Office always returns #N/A for "memavail".</w:t>
      </w:r>
    </w:p>
    <w:p w:rsidR="005F78FC" w:rsidRDefault="00B42EF3">
      <w:pPr>
        <w:pStyle w:val="Definition-Field"/>
      </w:pPr>
      <w:r>
        <w:t xml:space="preserve">b.   </w:t>
      </w:r>
      <w:r>
        <w:rPr>
          <w:i/>
        </w:rPr>
        <w:t>The standard lists "memused" as "Amount of memory being used for data."</w:t>
      </w:r>
    </w:p>
    <w:p w:rsidR="005F78FC" w:rsidRDefault="00B42EF3">
      <w:pPr>
        <w:pStyle w:val="Definition-Field2"/>
      </w:pPr>
      <w:r>
        <w:t xml:space="preserve">Office always </w:t>
      </w:r>
      <w:r>
        <w:t>returns #N/A for "memused".</w:t>
      </w:r>
    </w:p>
    <w:p w:rsidR="005F78FC" w:rsidRDefault="00B42EF3">
      <w:pPr>
        <w:pStyle w:val="Definition-Field"/>
      </w:pPr>
      <w:r>
        <w:t xml:space="preserve">c.   </w:t>
      </w:r>
      <w:r>
        <w:rPr>
          <w:i/>
        </w:rPr>
        <w:t>The standard lists "totmem" as "Total memory available, including memory already in use, in bytes."</w:t>
      </w:r>
    </w:p>
    <w:p w:rsidR="005F78FC" w:rsidRDefault="00B42EF3">
      <w:pPr>
        <w:pStyle w:val="Definition-Field2"/>
      </w:pPr>
      <w:r>
        <w:t>Office always returns #N/A for "totmem".</w:t>
      </w:r>
    </w:p>
    <w:p w:rsidR="005F78FC" w:rsidRDefault="00B42EF3">
      <w:pPr>
        <w:pStyle w:val="Definition-Field"/>
      </w:pPr>
      <w:r>
        <w:t xml:space="preserve">d.   </w:t>
      </w:r>
      <w:r>
        <w:rPr>
          <w:i/>
        </w:rPr>
        <w:t>The standard does not specify mode as a valid value for argument category.</w:t>
      </w:r>
    </w:p>
    <w:p w:rsidR="005F78FC" w:rsidRDefault="00B42EF3">
      <w:pPr>
        <w:pStyle w:val="Definition-Field2"/>
      </w:pPr>
      <w:r>
        <w:t>Office permits mode as a valid value for argument category and it returns 1.</w:t>
      </w:r>
    </w:p>
    <w:p w:rsidR="005F78FC" w:rsidRDefault="00B42EF3">
      <w:pPr>
        <w:pStyle w:val="Definition-Field"/>
      </w:pPr>
      <w:r>
        <w:t xml:space="preserve">e.   </w:t>
      </w:r>
      <w:r>
        <w:rPr>
          <w:i/>
        </w:rPr>
        <w:t>The standard does not specify the valid value osreturncode for argument category.</w:t>
      </w:r>
    </w:p>
    <w:p w:rsidR="005F78FC" w:rsidRDefault="00B42EF3">
      <w:pPr>
        <w:pStyle w:val="Definition-Field2"/>
      </w:pPr>
      <w:r>
        <w:t>Office permits ostreturncode as a valid value for argument category and it returns 0.</w:t>
      </w:r>
    </w:p>
    <w:p w:rsidR="005F78FC" w:rsidRDefault="00B42EF3">
      <w:pPr>
        <w:pStyle w:val="Definition-Field"/>
      </w:pPr>
      <w:r>
        <w:t xml:space="preserve">f.   </w:t>
      </w:r>
      <w:r>
        <w:rPr>
          <w:i/>
        </w:rPr>
        <w:t>T</w:t>
      </w:r>
      <w:r>
        <w:rPr>
          <w:i/>
        </w:rPr>
        <w:t>he standard does not specify setlang as a valid value for argument category.</w:t>
      </w:r>
    </w:p>
    <w:p w:rsidR="005F78FC" w:rsidRDefault="00B42EF3">
      <w:pPr>
        <w:pStyle w:val="Definition-Field2"/>
      </w:pPr>
      <w:r>
        <w:t>Office permits setlang as a valid value for argument category and it returns locale information.</w:t>
      </w:r>
    </w:p>
    <w:p w:rsidR="005F78FC" w:rsidRDefault="00B42EF3">
      <w:pPr>
        <w:pStyle w:val="Definition-Field"/>
      </w:pPr>
      <w:r>
        <w:t xml:space="preserve">g.   </w:t>
      </w:r>
      <w:r>
        <w:rPr>
          <w:i/>
        </w:rPr>
        <w:t>The standard states that the return type is text.</w:t>
      </w:r>
    </w:p>
    <w:p w:rsidR="005F78FC" w:rsidRDefault="00B42EF3">
      <w:pPr>
        <w:pStyle w:val="Definition-Field2"/>
      </w:pPr>
      <w:r>
        <w:t>Office allows the return ty</w:t>
      </w:r>
      <w:r>
        <w:t>pe to be text or number.</w:t>
      </w:r>
    </w:p>
    <w:p w:rsidR="005F78FC" w:rsidRDefault="00B42EF3">
      <w:pPr>
        <w:pStyle w:val="Heading3"/>
      </w:pPr>
      <w:bookmarkStart w:id="1970" w:name="section_fbe8422bbec94cfa872a1f0b66b534ca"/>
      <w:bookmarkStart w:id="1971" w:name="_Toc69878758"/>
      <w:r>
        <w:t>Part 1 Section 18.17.7.170, INTERCEPT</w:t>
      </w:r>
      <w:bookmarkEnd w:id="1970"/>
      <w:bookmarkEnd w:id="1971"/>
      <w:r>
        <w:fldChar w:fldCharType="begin"/>
      </w:r>
      <w:r>
        <w:instrText xml:space="preserve"> XE "INTERCEPT" </w:instrText>
      </w:r>
      <w:r>
        <w:fldChar w:fldCharType="end"/>
      </w:r>
    </w:p>
    <w:p w:rsidR="005F78FC" w:rsidRDefault="00B42EF3">
      <w:pPr>
        <w:pStyle w:val="Definition-Field"/>
      </w:pPr>
      <w:r>
        <w:t xml:space="preserve">a.   </w:t>
      </w:r>
      <w:r>
        <w:rPr>
          <w:i/>
        </w:rPr>
        <w:t>The standard states that x and y are the sample means.</w:t>
      </w:r>
    </w:p>
    <w:p w:rsidR="005F78FC" w:rsidRDefault="00B42EF3">
      <w:pPr>
        <w:pStyle w:val="Definition-Field2"/>
      </w:pPr>
      <w:r>
        <w:t>Office treats x and y as the sample values; x-bar and y-bar are the sample means.</w:t>
      </w:r>
    </w:p>
    <w:p w:rsidR="005F78FC" w:rsidRDefault="00B42EF3">
      <w:pPr>
        <w:pStyle w:val="Definition-Field"/>
      </w:pPr>
      <w:r>
        <w:t xml:space="preserve">b.   </w:t>
      </w:r>
      <w:r>
        <w:rPr>
          <w:i/>
        </w:rPr>
        <w:t xml:space="preserve">The standard makes no </w:t>
      </w:r>
      <w:r>
        <w:rPr>
          <w:i/>
        </w:rPr>
        <w:t>mention of the case for non-intercepting lines.</w:t>
      </w:r>
    </w:p>
    <w:p w:rsidR="005F78FC" w:rsidRDefault="00B42EF3">
      <w:pPr>
        <w:pStyle w:val="Definition-Field2"/>
      </w:pPr>
      <w:r>
        <w:t>Office returns #DIV/0, if the regression line does not intercept the y-axis,.</w:t>
      </w:r>
    </w:p>
    <w:p w:rsidR="005F78FC" w:rsidRDefault="00B42EF3">
      <w:pPr>
        <w:pStyle w:val="Heading3"/>
      </w:pPr>
      <w:bookmarkStart w:id="1972" w:name="section_d8b43e5eef264b6582cb73f006020a2e"/>
      <w:bookmarkStart w:id="1973" w:name="_Toc69878759"/>
      <w:r>
        <w:t>Part 1 Section 18.17.7.171, INTRATE</w:t>
      </w:r>
      <w:bookmarkEnd w:id="1972"/>
      <w:bookmarkEnd w:id="1973"/>
      <w:r>
        <w:fldChar w:fldCharType="begin"/>
      </w:r>
      <w:r>
        <w:instrText xml:space="preserve"> XE "INTRATE" </w:instrText>
      </w:r>
      <w:r>
        <w:fldChar w:fldCharType="end"/>
      </w:r>
    </w:p>
    <w:p w:rsidR="005F78FC" w:rsidRDefault="00B42EF3">
      <w:pPr>
        <w:pStyle w:val="Definition-Field"/>
      </w:pPr>
      <w:r>
        <w:t xml:space="preserve">a.   </w:t>
      </w:r>
      <w:r>
        <w:rPr>
          <w:i/>
        </w:rPr>
        <w:t>The standard does not specify day and month adjustments for the basis arg</w:t>
      </w:r>
      <w:r>
        <w:rPr>
          <w:i/>
        </w:rPr>
        <w:t>ument.</w:t>
      </w:r>
    </w:p>
    <w:p w:rsidR="005F78FC" w:rsidRDefault="00B42EF3">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Value</w:t>
            </w:r>
          </w:p>
        </w:tc>
        <w:tc>
          <w:tcPr>
            <w:tcW w:w="0" w:type="auto"/>
            <w:vAlign w:val="center"/>
          </w:tcPr>
          <w:p w:rsidR="005F78FC" w:rsidRDefault="00B42EF3">
            <w:pPr>
              <w:pStyle w:val="TableHeaderText"/>
            </w:pPr>
            <w:r>
              <w:t>Day Count Basis</w:t>
            </w:r>
          </w:p>
        </w:tc>
      </w:tr>
      <w:tr w:rsidR="005F78FC" w:rsidTr="005F78FC">
        <w:tc>
          <w:tcPr>
            <w:tcW w:w="0" w:type="auto"/>
            <w:vAlign w:val="center"/>
          </w:tcPr>
          <w:p w:rsidR="005F78FC" w:rsidRDefault="00B42EF3">
            <w:pPr>
              <w:pStyle w:val="TableBodyText"/>
            </w:pPr>
            <w:r>
              <w:rPr>
                <w:rStyle w:val="InlineCode"/>
              </w:rPr>
              <w:t>0</w:t>
            </w:r>
            <w:r>
              <w:t xml:space="preserve"> or omitted</w:t>
            </w:r>
          </w:p>
        </w:tc>
        <w:tc>
          <w:tcPr>
            <w:tcW w:w="0" w:type="auto"/>
            <w:vAlign w:val="center"/>
          </w:tcPr>
          <w:p w:rsidR="005F78FC" w:rsidRDefault="00B42EF3">
            <w:pPr>
              <w:pStyle w:val="TableBodyText"/>
            </w:pPr>
            <w:r>
              <w:t>US (NASD) 30/360. If the dates are equal, the difference of days is 0. Assumes that each month has 30 days a</w:t>
            </w:r>
            <w:r>
              <w:t>nd the total number of days in the year is 360 by making the following adjustments:</w:t>
            </w:r>
          </w:p>
          <w:p w:rsidR="005F78FC" w:rsidRDefault="00B42EF3">
            <w:pPr>
              <w:pStyle w:val="TableBodyText"/>
            </w:pPr>
            <w:r>
              <w:t>If both day-of-months are 31, they are changed to 30</w:t>
            </w:r>
          </w:p>
          <w:p w:rsidR="005F78FC" w:rsidRDefault="00B42EF3">
            <w:pPr>
              <w:pStyle w:val="TableBodyText"/>
            </w:pPr>
            <w:r>
              <w:t>Otherwise, if date1’s day-of-month is 31, it is changed to 30</w:t>
            </w:r>
          </w:p>
          <w:p w:rsidR="005F78FC" w:rsidRDefault="00B42EF3">
            <w:pPr>
              <w:pStyle w:val="TableBodyText"/>
            </w:pPr>
            <w:r>
              <w:t>Otherwise, if date1’s day-of-month is 30 and date2’s day-</w:t>
            </w:r>
            <w:r>
              <w:t>of-month is 31, date2’s day-of-month is changed to 30 (note that date2’s day-of-month will stay 31 if date1’s day &lt; 30)</w:t>
            </w:r>
          </w:p>
          <w:p w:rsidR="005F78FC" w:rsidRDefault="00B42EF3">
            <w:pPr>
              <w:pStyle w:val="TableBodyText"/>
            </w:pPr>
            <w:r>
              <w:t>Otherwise, if both dates are the last day of February in their respective years, both day-of-month is changed to 30</w:t>
            </w:r>
          </w:p>
          <w:p w:rsidR="005F78FC" w:rsidRDefault="00B42EF3">
            <w:pPr>
              <w:pStyle w:val="TableBodyText"/>
            </w:pPr>
            <w:r>
              <w:t xml:space="preserve">Otherwise, if date1 </w:t>
            </w:r>
            <w:r>
              <w:t>is the last day of February, its day-of-month is changed to 30</w:t>
            </w:r>
          </w:p>
        </w:tc>
      </w:tr>
      <w:tr w:rsidR="005F78FC" w:rsidTr="005F78FC">
        <w:tc>
          <w:tcPr>
            <w:tcW w:w="0" w:type="auto"/>
            <w:vAlign w:val="center"/>
          </w:tcPr>
          <w:p w:rsidR="005F78FC" w:rsidRDefault="00B42EF3">
            <w:pPr>
              <w:pStyle w:val="TableBodyText"/>
            </w:pPr>
            <w:r>
              <w:rPr>
                <w:rStyle w:val="InlineCode"/>
              </w:rPr>
              <w:lastRenderedPageBreak/>
              <w:t>1</w:t>
            </w:r>
          </w:p>
        </w:tc>
        <w:tc>
          <w:tcPr>
            <w:tcW w:w="0" w:type="auto"/>
            <w:vAlign w:val="center"/>
          </w:tcPr>
          <w:p w:rsidR="005F78FC" w:rsidRDefault="00B42EF3">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5F78FC" w:rsidRDefault="005F78FC">
            <w:pPr>
              <w:pStyle w:val="TableBodyText"/>
            </w:pPr>
          </w:p>
          <w:p w:rsidR="005F78FC" w:rsidRDefault="00B42EF3">
            <w:pPr>
              <w:pStyle w:val="TableBodyText"/>
            </w:pPr>
            <w:r>
              <w:t>To det</w:t>
            </w:r>
            <w:r>
              <w:t>ermine if date1 and date2 are “less than or equal to a year apart” for purposes of this algorithm, one of these conditions must be true:</w:t>
            </w:r>
          </w:p>
          <w:p w:rsidR="005F78FC" w:rsidRDefault="00B42EF3">
            <w:pPr>
              <w:pStyle w:val="ListParagraph"/>
              <w:numPr>
                <w:ilvl w:val="0"/>
                <w:numId w:val="96"/>
              </w:numPr>
            </w:pPr>
            <w:r>
              <w:t>The two dates have the same year</w:t>
            </w:r>
          </w:p>
          <w:p w:rsidR="005F78FC" w:rsidRDefault="00B42EF3">
            <w:pPr>
              <w:pStyle w:val="ListParagraph"/>
              <w:numPr>
                <w:ilvl w:val="0"/>
                <w:numId w:val="97"/>
              </w:numPr>
            </w:pPr>
            <w:r>
              <w:t>Date2’s year is exactly one more than date1’s year, and ((date1.month &gt; date2.month) o</w:t>
            </w:r>
            <w:r>
              <w:t>r ((date1.month == date2.month) and (date1.day &gt;= date2.day)))</w:t>
            </w:r>
          </w:p>
        </w:tc>
      </w:tr>
      <w:tr w:rsidR="005F78FC" w:rsidTr="005F78FC">
        <w:tc>
          <w:tcPr>
            <w:tcW w:w="0" w:type="auto"/>
            <w:vAlign w:val="center"/>
          </w:tcPr>
          <w:p w:rsidR="005F78FC" w:rsidRDefault="00B42EF3">
            <w:pPr>
              <w:pStyle w:val="TableBodyText"/>
            </w:pPr>
            <w:r>
              <w:rPr>
                <w:rStyle w:val="InlineCode"/>
              </w:rPr>
              <w:t>2</w:t>
            </w:r>
          </w:p>
        </w:tc>
        <w:tc>
          <w:tcPr>
            <w:tcW w:w="0" w:type="auto"/>
            <w:vAlign w:val="center"/>
          </w:tcPr>
          <w:p w:rsidR="005F78FC" w:rsidRDefault="00B42EF3">
            <w:pPr>
              <w:pStyle w:val="TableBodyText"/>
            </w:pPr>
            <w:r>
              <w:t>Actual/360. Computes the actual difference in days, and presumes there are always 360 days per year.</w:t>
            </w:r>
          </w:p>
        </w:tc>
      </w:tr>
      <w:tr w:rsidR="005F78FC" w:rsidTr="005F78FC">
        <w:tc>
          <w:tcPr>
            <w:tcW w:w="0" w:type="auto"/>
            <w:vAlign w:val="center"/>
          </w:tcPr>
          <w:p w:rsidR="005F78FC" w:rsidRDefault="00B42EF3">
            <w:pPr>
              <w:pStyle w:val="TableBodyText"/>
            </w:pPr>
            <w:r>
              <w:rPr>
                <w:rStyle w:val="InlineCode"/>
              </w:rPr>
              <w:t>3</w:t>
            </w:r>
          </w:p>
        </w:tc>
        <w:tc>
          <w:tcPr>
            <w:tcW w:w="0" w:type="auto"/>
            <w:vAlign w:val="center"/>
          </w:tcPr>
          <w:p w:rsidR="005F78FC" w:rsidRDefault="00B42EF3">
            <w:pPr>
              <w:pStyle w:val="TableBodyText"/>
            </w:pPr>
            <w:r>
              <w:t xml:space="preserve">Actual/365. Computes the actual difference in days, and presumes there are always 365 </w:t>
            </w:r>
            <w:r>
              <w:t>days per year.</w:t>
            </w:r>
          </w:p>
        </w:tc>
      </w:tr>
      <w:tr w:rsidR="005F78FC" w:rsidTr="005F78FC">
        <w:tc>
          <w:tcPr>
            <w:tcW w:w="0" w:type="auto"/>
            <w:vAlign w:val="center"/>
          </w:tcPr>
          <w:p w:rsidR="005F78FC" w:rsidRDefault="00B42EF3">
            <w:pPr>
              <w:pStyle w:val="TableBodyText"/>
            </w:pPr>
            <w:r>
              <w:rPr>
                <w:rStyle w:val="InlineCode"/>
              </w:rPr>
              <w:t>4</w:t>
            </w:r>
          </w:p>
        </w:tc>
        <w:tc>
          <w:tcPr>
            <w:tcW w:w="0" w:type="auto"/>
            <w:vAlign w:val="center"/>
          </w:tcPr>
          <w:p w:rsidR="005F78FC" w:rsidRDefault="00B42EF3">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5F78FC" w:rsidRDefault="005F78FC"/>
    <w:p w:rsidR="005F78FC" w:rsidRDefault="00B42EF3">
      <w:pPr>
        <w:pStyle w:val="Definition-Field"/>
      </w:pPr>
      <w:r>
        <w:t xml:space="preserve">b.   </w:t>
      </w:r>
      <w:r>
        <w:rPr>
          <w:i/>
        </w:rPr>
        <w:t>The standard states argument redemption is the amount to be received at maturity, the security's annual yield.</w:t>
      </w:r>
    </w:p>
    <w:p w:rsidR="005F78FC" w:rsidRDefault="00B42EF3">
      <w:pPr>
        <w:pStyle w:val="Definition-Field2"/>
      </w:pPr>
      <w:r>
        <w:t xml:space="preserve">Office defines </w:t>
      </w:r>
      <w:r>
        <w:t>the argument redemption as the amount to be received at maturity.</w:t>
      </w:r>
    </w:p>
    <w:p w:rsidR="005F78FC" w:rsidRDefault="00B42EF3">
      <w:pPr>
        <w:pStyle w:val="Heading3"/>
      </w:pPr>
      <w:bookmarkStart w:id="1974" w:name="section_5c0583c254594b569657c94fb48dc600"/>
      <w:bookmarkStart w:id="1975" w:name="_Toc69878760"/>
      <w:r>
        <w:t>Part 1 Section 18.17.7.172, IPMT</w:t>
      </w:r>
      <w:bookmarkEnd w:id="1974"/>
      <w:bookmarkEnd w:id="1975"/>
      <w:r>
        <w:fldChar w:fldCharType="begin"/>
      </w:r>
      <w:r>
        <w:instrText xml:space="preserve"> XE "IPMT" </w:instrText>
      </w:r>
      <w:r>
        <w:fldChar w:fldCharType="end"/>
      </w:r>
    </w:p>
    <w:p w:rsidR="005F78FC" w:rsidRDefault="00B42EF3">
      <w:pPr>
        <w:pStyle w:val="Definition-Field"/>
      </w:pPr>
      <w:r>
        <w:t xml:space="preserve">a.   </w:t>
      </w:r>
      <w:r>
        <w:rPr>
          <w:i/>
        </w:rPr>
        <w:t>The standard states that payment type is truncated to integer.</w:t>
      </w:r>
    </w:p>
    <w:p w:rsidR="005F78FC" w:rsidRDefault="00B42EF3">
      <w:pPr>
        <w:pStyle w:val="Definition-Field2"/>
      </w:pPr>
      <w:r>
        <w:t>Office does not truncate payment type to integer.</w:t>
      </w:r>
    </w:p>
    <w:p w:rsidR="005F78FC" w:rsidRDefault="00B42EF3">
      <w:pPr>
        <w:pStyle w:val="Definition-Field"/>
      </w:pPr>
      <w:r>
        <w:t xml:space="preserve">b.   </w:t>
      </w:r>
      <w:r>
        <w:rPr>
          <w:i/>
        </w:rPr>
        <w:t xml:space="preserve">The standard states </w:t>
      </w:r>
      <w:r>
        <w:rPr>
          <w:i/>
        </w:rPr>
        <w:t>that argument type is either 0 or 1.</w:t>
      </w:r>
    </w:p>
    <w:p w:rsidR="005F78FC" w:rsidRDefault="00B42EF3">
      <w:pPr>
        <w:pStyle w:val="Definition-Field2"/>
      </w:pPr>
      <w:r>
        <w:t>In Office, any nonzero value of argument type is equivalent to 1.</w:t>
      </w:r>
    </w:p>
    <w:p w:rsidR="005F78FC" w:rsidRDefault="00B42EF3">
      <w:pPr>
        <w:pStyle w:val="Definition-Field"/>
      </w:pPr>
      <w:r>
        <w:t xml:space="preserve">c.   </w:t>
      </w:r>
      <w:r>
        <w:rPr>
          <w:i/>
        </w:rPr>
        <w:t>The standard states that if argument type is not 0 or 1, #NUM! is returned.</w:t>
      </w:r>
    </w:p>
    <w:p w:rsidR="005F78FC" w:rsidRDefault="00B42EF3">
      <w:pPr>
        <w:pStyle w:val="Definition-Field2"/>
      </w:pPr>
      <w:r>
        <w:t>In Office argument type is a value of any number.</w:t>
      </w:r>
    </w:p>
    <w:p w:rsidR="005F78FC" w:rsidRDefault="00B42EF3">
      <w:pPr>
        <w:pStyle w:val="Definition-Field"/>
      </w:pPr>
      <w:r>
        <w:t xml:space="preserve">d.   </w:t>
      </w:r>
      <w:r>
        <w:rPr>
          <w:i/>
        </w:rPr>
        <w:t>The standard stat</w:t>
      </w:r>
      <w:r>
        <w:rPr>
          <w:i/>
        </w:rPr>
        <w:t>es that argument per shall be in the range 1-nper.</w:t>
      </w:r>
    </w:p>
    <w:p w:rsidR="005F78FC" w:rsidRDefault="00B42EF3">
      <w:pPr>
        <w:pStyle w:val="Definition-Field2"/>
      </w:pPr>
      <w:r>
        <w:t>In Office argument per shall be in the range 1 ≤ per &lt; nper+1.</w:t>
      </w:r>
    </w:p>
    <w:p w:rsidR="005F78FC" w:rsidRDefault="00B42EF3">
      <w:pPr>
        <w:pStyle w:val="Definition-Field"/>
      </w:pPr>
      <w:r>
        <w:t xml:space="preserve">e.   </w:t>
      </w:r>
      <w:r>
        <w:rPr>
          <w:i/>
        </w:rPr>
        <w:t>The standard does not define the error case if argument per is not in the range 1 ≤ per &lt; nper+1.</w:t>
      </w:r>
    </w:p>
    <w:p w:rsidR="005F78FC" w:rsidRDefault="00B42EF3">
      <w:pPr>
        <w:pStyle w:val="Definition-Field2"/>
      </w:pPr>
      <w:r>
        <w:t>In Office if argument per is not in the</w:t>
      </w:r>
      <w:r>
        <w:t xml:space="preserve"> range 1 ≤ per &lt; nper+1, then #NUM! is returned.</w:t>
      </w:r>
    </w:p>
    <w:p w:rsidR="005F78FC" w:rsidRDefault="00B42EF3">
      <w:pPr>
        <w:pStyle w:val="Definition-Field"/>
      </w:pPr>
      <w:r>
        <w:t xml:space="preserve">f.   </w:t>
      </w:r>
      <w:r>
        <w:rPr>
          <w:i/>
        </w:rPr>
        <w:t>The standard does not specify the value of argument type if omitted.</w:t>
      </w:r>
    </w:p>
    <w:p w:rsidR="005F78FC" w:rsidRDefault="00B42EF3">
      <w:pPr>
        <w:pStyle w:val="Definition-Field2"/>
      </w:pPr>
      <w:r>
        <w:t>In Office if the argument type is omitted the argument type has a value of 0.</w:t>
      </w:r>
    </w:p>
    <w:p w:rsidR="005F78FC" w:rsidRDefault="00B42EF3">
      <w:pPr>
        <w:pStyle w:val="Heading3"/>
      </w:pPr>
      <w:bookmarkStart w:id="1976" w:name="section_992887335f9f42e68e61ab6cea01a0d3"/>
      <w:bookmarkStart w:id="1977" w:name="_Toc69878761"/>
      <w:r>
        <w:lastRenderedPageBreak/>
        <w:t>Part 1 Section 18.17.7.173, IRR</w:t>
      </w:r>
      <w:bookmarkEnd w:id="1976"/>
      <w:bookmarkEnd w:id="1977"/>
      <w:r>
        <w:fldChar w:fldCharType="begin"/>
      </w:r>
      <w:r>
        <w:instrText xml:space="preserve"> XE "IRR" </w:instrText>
      </w:r>
      <w:r>
        <w:fldChar w:fldCharType="end"/>
      </w:r>
    </w:p>
    <w:p w:rsidR="005F78FC" w:rsidRDefault="00B42EF3">
      <w:pPr>
        <w:pStyle w:val="Definition-Field"/>
      </w:pPr>
      <w:r>
        <w:t xml:space="preserve">a.   </w:t>
      </w:r>
      <w:r>
        <w:rPr>
          <w:i/>
        </w:rPr>
        <w:t>The st</w:t>
      </w:r>
      <w:r>
        <w:rPr>
          <w:i/>
        </w:rPr>
        <w:t>andard states that IRR uses an iterative calculation technique.</w:t>
      </w:r>
    </w:p>
    <w:p w:rsidR="005F78FC" w:rsidRDefault="00B42EF3">
      <w:pPr>
        <w:pStyle w:val="Definition-Field2"/>
      </w:pPr>
      <w:r>
        <w:t>Office does not require an iterative calculation technique to be used for this function.</w:t>
      </w:r>
    </w:p>
    <w:p w:rsidR="005F78FC" w:rsidRDefault="00B42EF3">
      <w:pPr>
        <w:pStyle w:val="Heading3"/>
      </w:pPr>
      <w:bookmarkStart w:id="1978" w:name="section_6edcb9784bd74a0f9e33b455b813dfa7"/>
      <w:bookmarkStart w:id="1979" w:name="_Toc69878762"/>
      <w:r>
        <w:t>Part 1 Section 18.17.7.184, ISPMT</w:t>
      </w:r>
      <w:bookmarkEnd w:id="1978"/>
      <w:bookmarkEnd w:id="1979"/>
      <w:r>
        <w:fldChar w:fldCharType="begin"/>
      </w:r>
      <w:r>
        <w:instrText xml:space="preserve"> XE "ISPMT" </w:instrText>
      </w:r>
      <w:r>
        <w:fldChar w:fldCharType="end"/>
      </w:r>
    </w:p>
    <w:p w:rsidR="005F78FC" w:rsidRDefault="00B42EF3">
      <w:pPr>
        <w:pStyle w:val="Definition-Field"/>
      </w:pPr>
      <w:r>
        <w:t xml:space="preserve">a.   </w:t>
      </w:r>
      <w:r>
        <w:rPr>
          <w:i/>
        </w:rPr>
        <w:t>The standard states that the range for argument pe</w:t>
      </w:r>
      <w:r>
        <w:rPr>
          <w:i/>
        </w:rPr>
        <w:t>r is 1 - nper.</w:t>
      </w:r>
    </w:p>
    <w:p w:rsidR="005F78FC" w:rsidRDefault="00B42EF3">
      <w:pPr>
        <w:pStyle w:val="Definition-Field2"/>
      </w:pPr>
      <w:r>
        <w:t>In Office the argument per has no range restriction.</w:t>
      </w:r>
    </w:p>
    <w:p w:rsidR="005F78FC" w:rsidRDefault="00B42EF3">
      <w:pPr>
        <w:pStyle w:val="Definition-Field"/>
      </w:pPr>
      <w:r>
        <w:t xml:space="preserve">b.   </w:t>
      </w:r>
      <w:r>
        <w:rPr>
          <w:i/>
        </w:rPr>
        <w:t>The standard does not state the returned error case if argument nper is 0.</w:t>
      </w:r>
    </w:p>
    <w:p w:rsidR="005F78FC" w:rsidRDefault="00B42EF3">
      <w:pPr>
        <w:pStyle w:val="Definition-Field2"/>
      </w:pPr>
      <w:r>
        <w:t>In Office when the argument nper is 0, #DIV/0! is returned.</w:t>
      </w:r>
    </w:p>
    <w:p w:rsidR="005F78FC" w:rsidRDefault="00B42EF3">
      <w:pPr>
        <w:pStyle w:val="Heading3"/>
      </w:pPr>
      <w:bookmarkStart w:id="1980" w:name="section_e695b5596b384df9927a6077fff4f888"/>
      <w:bookmarkStart w:id="1981" w:name="_Toc69878763"/>
      <w:r>
        <w:t>Part 1 Section 18.17.7.191, LEFT</w:t>
      </w:r>
      <w:bookmarkEnd w:id="1980"/>
      <w:bookmarkEnd w:id="1981"/>
      <w:r>
        <w:fldChar w:fldCharType="begin"/>
      </w:r>
      <w:r>
        <w:instrText xml:space="preserve"> XE "LEFT" </w:instrText>
      </w:r>
      <w:r>
        <w:fldChar w:fldCharType="end"/>
      </w:r>
    </w:p>
    <w:p w:rsidR="005F78FC" w:rsidRDefault="00B42EF3">
      <w:pPr>
        <w:pStyle w:val="Definition-Field"/>
      </w:pPr>
      <w:r>
        <w:t>a.</w:t>
      </w:r>
      <w:r>
        <w:t xml:space="preserve">   </w:t>
      </w:r>
      <w:r>
        <w:rPr>
          <w:i/>
        </w:rPr>
        <w:t>The standard states that LEFT is intended for use with languages that use the single-byte character set (SBCS), whereas LEFTB is intended for use with languages that use the double-byte character set (DBCS).</w:t>
      </w:r>
    </w:p>
    <w:p w:rsidR="005F78FC" w:rsidRDefault="00B42EF3">
      <w:pPr>
        <w:pStyle w:val="Definition-Field2"/>
      </w:pPr>
      <w:r>
        <w:t xml:space="preserve">In Office, LEFT is intended for use with any </w:t>
      </w:r>
      <w:r>
        <w:t>language, whereas LEFTB is intended for use with languages that use the double-byte character set (DBCS).</w:t>
      </w:r>
    </w:p>
    <w:p w:rsidR="005F78FC" w:rsidRDefault="00B42EF3">
      <w:pPr>
        <w:pStyle w:val="Heading3"/>
      </w:pPr>
      <w:bookmarkStart w:id="1982" w:name="section_1ff4777a2b164eedaea6bca9ee46e38f"/>
      <w:bookmarkStart w:id="1983" w:name="_Toc69878764"/>
      <w:r>
        <w:t>Part 1 Section 18.17.7.192, LEFTB</w:t>
      </w:r>
      <w:bookmarkEnd w:id="1982"/>
      <w:bookmarkEnd w:id="1983"/>
      <w:r>
        <w:fldChar w:fldCharType="begin"/>
      </w:r>
      <w:r>
        <w:instrText xml:space="preserve"> XE "LEFTB" </w:instrText>
      </w:r>
      <w:r>
        <w:fldChar w:fldCharType="end"/>
      </w:r>
    </w:p>
    <w:p w:rsidR="005F78FC" w:rsidRDefault="00B42EF3">
      <w:pPr>
        <w:pStyle w:val="Definition-Field"/>
      </w:pPr>
      <w:r>
        <w:t xml:space="preserve">a.   </w:t>
      </w:r>
      <w:r>
        <w:rPr>
          <w:i/>
        </w:rPr>
        <w:t>The standard states that LEFT is intended for use with languages that use the single-byte charact</w:t>
      </w:r>
      <w:r>
        <w:rPr>
          <w:i/>
        </w:rPr>
        <w:t>er set (SBCS), whereas LEFTB is intended for use with languages that use the double-byte character set (DBCS).</w:t>
      </w:r>
    </w:p>
    <w:p w:rsidR="005F78FC" w:rsidRDefault="00B42EF3">
      <w:pPr>
        <w:pStyle w:val="Definition-Field2"/>
      </w:pPr>
      <w:r>
        <w:t>In Office, LEFT is intended for use with any language, whereas LEFTB is intended for use with languages that use the double-byte character set (D</w:t>
      </w:r>
      <w:r>
        <w:t>BCS).</w:t>
      </w:r>
    </w:p>
    <w:p w:rsidR="005F78FC" w:rsidRDefault="00B42EF3">
      <w:pPr>
        <w:pStyle w:val="Definition-Field"/>
      </w:pPr>
      <w:r>
        <w:t xml:space="preserve">b.   </w:t>
      </w:r>
      <w:r>
        <w:rPr>
          <w:i/>
        </w:rPr>
        <w:t>The standard does not specify behavior of LEFTB when default language supports DBCS and when it does not support DBCS.</w:t>
      </w:r>
    </w:p>
    <w:p w:rsidR="005F78FC" w:rsidRDefault="00B42EF3">
      <w:pPr>
        <w:pStyle w:val="Definition-Field2"/>
      </w:pPr>
      <w:r>
        <w:t>In Office, when the default language supports DBCS, LEFTB counts each double-byte character as 2 bytes, and each single-byte c</w:t>
      </w:r>
      <w:r>
        <w:t>haracter as 1. When the default language does not support DBCS, LEFTB counts each character as 1 byte.</w:t>
      </w:r>
    </w:p>
    <w:p w:rsidR="005F78FC" w:rsidRDefault="00B42EF3">
      <w:pPr>
        <w:pStyle w:val="Definition-Field"/>
      </w:pPr>
      <w:r>
        <w:t xml:space="preserve">c.   </w:t>
      </w:r>
      <w:r>
        <w:rPr>
          <w:i/>
        </w:rPr>
        <w:t>The standard does not specify which languages support DBCS.</w:t>
      </w:r>
    </w:p>
    <w:p w:rsidR="005F78FC" w:rsidRDefault="00B42EF3">
      <w:pPr>
        <w:pStyle w:val="Definition-Field2"/>
      </w:pPr>
      <w:r>
        <w:t xml:space="preserve">In Office, the languages that support DBCS include Japanese, Chinese (Simplified), </w:t>
      </w:r>
      <w:r>
        <w:t>Chinese (Traditional), and Korean.</w:t>
      </w:r>
    </w:p>
    <w:p w:rsidR="005F78FC" w:rsidRDefault="00B42EF3">
      <w:pPr>
        <w:pStyle w:val="Heading3"/>
      </w:pPr>
      <w:bookmarkStart w:id="1984" w:name="section_d6a74eba0eff4bb6bfc68d69fc7c6aac"/>
      <w:bookmarkStart w:id="1985" w:name="_Toc69878765"/>
      <w:r>
        <w:t>Part 1 Section 18.17.7.193, LEN</w:t>
      </w:r>
      <w:bookmarkEnd w:id="1984"/>
      <w:bookmarkEnd w:id="1985"/>
      <w:r>
        <w:fldChar w:fldCharType="begin"/>
      </w:r>
      <w:r>
        <w:instrText xml:space="preserve"> XE "LEN" </w:instrText>
      </w:r>
      <w:r>
        <w:fldChar w:fldCharType="end"/>
      </w:r>
    </w:p>
    <w:p w:rsidR="005F78FC" w:rsidRDefault="00B42EF3">
      <w:pPr>
        <w:pStyle w:val="Definition-Field"/>
      </w:pPr>
      <w:r>
        <w:t xml:space="preserve">a.   </w:t>
      </w:r>
      <w:r>
        <w:rPr>
          <w:i/>
        </w:rPr>
        <w:t>The standard specifies that LEN is intended for use with languages that use the single-byte (SBCS), whereas LENB is intended for use with languages that use the double-byte</w:t>
      </w:r>
      <w:r>
        <w:rPr>
          <w:i/>
        </w:rPr>
        <w:t xml:space="preserve"> character set (DBCS).</w:t>
      </w:r>
    </w:p>
    <w:p w:rsidR="005F78FC" w:rsidRDefault="00B42EF3">
      <w:pPr>
        <w:pStyle w:val="Definition-Field2"/>
      </w:pPr>
      <w:r>
        <w:t>In Office, LEN is intended for use with any language, whereas LENB is intended for use with languages that use the double-byte character set (DBCS).</w:t>
      </w:r>
    </w:p>
    <w:p w:rsidR="005F78FC" w:rsidRDefault="00B42EF3">
      <w:pPr>
        <w:pStyle w:val="Heading3"/>
      </w:pPr>
      <w:bookmarkStart w:id="1986" w:name="section_3603d0a308ca4280ab15d97c69cb47b6"/>
      <w:bookmarkStart w:id="1987" w:name="_Toc69878766"/>
      <w:r>
        <w:lastRenderedPageBreak/>
        <w:t>Part 1 Section 18.17.7.194, LENB</w:t>
      </w:r>
      <w:bookmarkEnd w:id="1986"/>
      <w:bookmarkEnd w:id="1987"/>
      <w:r>
        <w:fldChar w:fldCharType="begin"/>
      </w:r>
      <w:r>
        <w:instrText xml:space="preserve"> XE "LENB" </w:instrText>
      </w:r>
      <w:r>
        <w:fldChar w:fldCharType="end"/>
      </w:r>
    </w:p>
    <w:p w:rsidR="005F78FC" w:rsidRDefault="00B42EF3">
      <w:pPr>
        <w:pStyle w:val="Definition-Field"/>
      </w:pPr>
      <w:r>
        <w:t xml:space="preserve">a.   </w:t>
      </w:r>
      <w:r>
        <w:rPr>
          <w:i/>
        </w:rPr>
        <w:t xml:space="preserve">The standard states that LENB is </w:t>
      </w:r>
      <w:r>
        <w:rPr>
          <w:i/>
        </w:rPr>
        <w:t>intended for use with languages that use the double-byte character set (DBCS), whereas LEN is intended for use with languages that use the single-byte character set (SBCS).</w:t>
      </w:r>
    </w:p>
    <w:p w:rsidR="005F78FC" w:rsidRDefault="00B42EF3">
      <w:pPr>
        <w:pStyle w:val="Definition-Field2"/>
      </w:pPr>
      <w:r>
        <w:t>In Office, LENB is intended for use with languages that use the double-byte charact</w:t>
      </w:r>
      <w:r>
        <w:t>er set (DBCS), whereas LEN is intended for use with any language.</w:t>
      </w:r>
    </w:p>
    <w:p w:rsidR="005F78FC" w:rsidRDefault="00B42EF3">
      <w:pPr>
        <w:pStyle w:val="Definition-Field"/>
      </w:pPr>
      <w:r>
        <w:t xml:space="preserve">b.   </w:t>
      </w:r>
      <w:r>
        <w:rPr>
          <w:i/>
        </w:rPr>
        <w:t>The standard does not specify behavior of LENB when default language supports DBCS and when it does not support DBCS.</w:t>
      </w:r>
    </w:p>
    <w:p w:rsidR="005F78FC" w:rsidRDefault="00B42EF3">
      <w:pPr>
        <w:pStyle w:val="Definition-Field2"/>
      </w:pPr>
      <w:r>
        <w:t xml:space="preserve">In Office, when the default language supports DBCS, LENB counts </w:t>
      </w:r>
      <w:r>
        <w:t>each double-byte character as 2 bytes, and each single-byte character as 1. When the default language does not support DBCS, LENB counts each character as 1 byte.</w:t>
      </w:r>
    </w:p>
    <w:p w:rsidR="005F78FC" w:rsidRDefault="00B42EF3">
      <w:pPr>
        <w:pStyle w:val="Definition-Field"/>
      </w:pPr>
      <w:r>
        <w:t xml:space="preserve">c.   </w:t>
      </w:r>
      <w:r>
        <w:rPr>
          <w:i/>
        </w:rPr>
        <w:t>The standard does not specify which languages support DBCS.</w:t>
      </w:r>
    </w:p>
    <w:p w:rsidR="005F78FC" w:rsidRDefault="00B42EF3">
      <w:pPr>
        <w:pStyle w:val="Definition-Field2"/>
      </w:pPr>
      <w:r>
        <w:t>In Office, the languages tha</w:t>
      </w:r>
      <w:r>
        <w:t>t support DBCS include Japanese, Chinese (Simplified), Chinese (Traditional), and Korean.</w:t>
      </w:r>
    </w:p>
    <w:p w:rsidR="005F78FC" w:rsidRDefault="00B42EF3">
      <w:pPr>
        <w:pStyle w:val="Heading3"/>
      </w:pPr>
      <w:bookmarkStart w:id="1988" w:name="section_85a7e2ec196140b4ad596f91de000cf7"/>
      <w:bookmarkStart w:id="1989" w:name="_Toc69878767"/>
      <w:r>
        <w:t>Part 1 Section 18.17.7.195, LINEST</w:t>
      </w:r>
      <w:bookmarkEnd w:id="1988"/>
      <w:bookmarkEnd w:id="1989"/>
      <w:r>
        <w:fldChar w:fldCharType="begin"/>
      </w:r>
      <w:r>
        <w:instrText xml:space="preserve"> XE "LINEST" </w:instrText>
      </w:r>
      <w:r>
        <w:fldChar w:fldCharType="end"/>
      </w:r>
    </w:p>
    <w:p w:rsidR="005F78FC" w:rsidRDefault="00B42EF3">
      <w:pPr>
        <w:pStyle w:val="Definition-Field"/>
      </w:pPr>
      <w:r>
        <w:t xml:space="preserve">a.   </w:t>
      </w:r>
      <w:r>
        <w:rPr>
          <w:i/>
        </w:rPr>
        <w:t>The standard states that x and y are sample means.</w:t>
      </w:r>
    </w:p>
    <w:p w:rsidR="005F78FC" w:rsidRDefault="00B42EF3">
      <w:pPr>
        <w:pStyle w:val="Definition-Field2"/>
      </w:pPr>
      <w:r>
        <w:t>Office treats x and y as the sample values, and x-bar and y-</w:t>
      </w:r>
      <w:r>
        <w:t>bar as the sample means of known-xs and known-ys, respectively.</w:t>
      </w:r>
    </w:p>
    <w:p w:rsidR="005F78FC" w:rsidRDefault="00B42EF3">
      <w:pPr>
        <w:pStyle w:val="Definition-Field"/>
      </w:pPr>
      <w:r>
        <w:t xml:space="preserve">b.   </w:t>
      </w:r>
      <w:r>
        <w:rPr>
          <w:i/>
        </w:rPr>
        <w:t>The standard does not place any restrictions on dimensions of known-ys or known-xs.</w:t>
      </w:r>
    </w:p>
    <w:p w:rsidR="005F78FC" w:rsidRDefault="00B42EF3">
      <w:pPr>
        <w:pStyle w:val="Definition-Field2"/>
      </w:pPr>
      <w:r>
        <w:t xml:space="preserve">In Office, if known-ys and known-xs are both specified but don't match in size (or number of variables </w:t>
      </w:r>
      <w:r>
        <w:t>for the multivariate case), #REF! is returned.</w:t>
      </w:r>
    </w:p>
    <w:p w:rsidR="005F78FC" w:rsidRDefault="00B42EF3">
      <w:pPr>
        <w:pStyle w:val="Definition-Field"/>
      </w:pPr>
      <w:r>
        <w:t xml:space="preserve">c.   </w:t>
      </w:r>
      <w:r>
        <w:rPr>
          <w:i/>
        </w:rPr>
        <w:t>The standard describes statistic seb as the standard error value for the constant b.</w:t>
      </w:r>
    </w:p>
    <w:p w:rsidR="005F78FC" w:rsidRDefault="00B42EF3">
      <w:pPr>
        <w:pStyle w:val="Definition-Field2"/>
      </w:pPr>
      <w:r>
        <w:t>In Office, if b is forced to be zero (const-flag=FALSE), then it has no standard error and #N/A is returned.</w:t>
      </w:r>
    </w:p>
    <w:p w:rsidR="005F78FC" w:rsidRDefault="00B42EF3">
      <w:pPr>
        <w:pStyle w:val="Definition-Field"/>
      </w:pPr>
      <w:r>
        <w:t xml:space="preserve">d.   </w:t>
      </w:r>
      <w:r>
        <w:rPr>
          <w:i/>
        </w:rPr>
        <w:t>The s</w:t>
      </w:r>
      <w:r>
        <w:rPr>
          <w:i/>
        </w:rPr>
        <w:t>tandard does not mention collinearity cases for this function.</w:t>
      </w:r>
    </w:p>
    <w:p w:rsidR="005F78FC" w:rsidRDefault="00B42EF3">
      <w:r>
        <w:t>In Excel, vectors in known-xs that are collinear (have no additional predictive value because they can be expressed as sum of multiples of existing vectors) are omitted from the regression calc</w:t>
      </w:r>
      <w:r>
        <w:t>ulations. The vectors are given a coefficient of 0 and a standard error of 0 (m = 0; se=0).  If vectors are omitted, df is affected because df depends on the number of values used for predictive purposes.</w:t>
      </w:r>
    </w:p>
    <w:p w:rsidR="005F78FC" w:rsidRDefault="00B42EF3">
      <w:pPr>
        <w:pStyle w:val="Definition-Field"/>
      </w:pPr>
      <w:r>
        <w:t xml:space="preserve">e.   </w:t>
      </w:r>
      <w:r>
        <w:rPr>
          <w:i/>
        </w:rPr>
        <w:t xml:space="preserve">The standard states the syntax is: LINEST  (  </w:t>
      </w:r>
      <w:r>
        <w:rPr>
          <w:i/>
        </w:rPr>
        <w:t>known-ys  [  ,  [  known-xs  ]  [  ,  [  const-flag  ] [  ,  stats-flag  ] ]  ).</w:t>
      </w:r>
    </w:p>
    <w:p w:rsidR="005F78FC" w:rsidRDefault="00B42EF3">
      <w:pPr>
        <w:pStyle w:val="Definition-Field2"/>
      </w:pPr>
      <w:r>
        <w:t>Office uses the following syntax: LINEST  (  known-ys  [  ,  [  known-xs  ] [  ,  [  const-flag  ] [  , [  stats-flag  ] ] ] ] ).</w:t>
      </w:r>
    </w:p>
    <w:p w:rsidR="005F78FC" w:rsidRDefault="00B42EF3">
      <w:pPr>
        <w:pStyle w:val="Heading3"/>
      </w:pPr>
      <w:bookmarkStart w:id="1990" w:name="section_9e06359058a34e4c8a15b9cfb1bc1b88"/>
      <w:bookmarkStart w:id="1991" w:name="_Toc69878768"/>
      <w:r>
        <w:t>Part 1 Section 18.17.7.197, LOG</w:t>
      </w:r>
      <w:bookmarkEnd w:id="1990"/>
      <w:bookmarkEnd w:id="1991"/>
      <w:r>
        <w:fldChar w:fldCharType="begin"/>
      </w:r>
      <w:r>
        <w:instrText xml:space="preserve"> XE "LOG" </w:instrText>
      </w:r>
      <w:r>
        <w:fldChar w:fldCharType="end"/>
      </w:r>
    </w:p>
    <w:p w:rsidR="005F78FC" w:rsidRDefault="00B42EF3">
      <w:pPr>
        <w:pStyle w:val="Definition-Field"/>
      </w:pPr>
      <w:r>
        <w:t>a</w:t>
      </w:r>
      <w:r>
        <w:t xml:space="preserve">.   </w:t>
      </w:r>
      <w:r>
        <w:rPr>
          <w:i/>
        </w:rPr>
        <w:t>The standard does not specify what happens if base is equal to 1.</w:t>
      </w:r>
    </w:p>
    <w:p w:rsidR="005F78FC" w:rsidRDefault="00B42EF3">
      <w:pPr>
        <w:pStyle w:val="Definition-Field2"/>
      </w:pPr>
      <w:r>
        <w:t>Office returns #DIV/0! if base is equal to 1.</w:t>
      </w:r>
    </w:p>
    <w:p w:rsidR="005F78FC" w:rsidRDefault="00B42EF3">
      <w:pPr>
        <w:pStyle w:val="Heading3"/>
      </w:pPr>
      <w:bookmarkStart w:id="1992" w:name="section_bd605e24aefa4f038aaefb389ffea52c"/>
      <w:bookmarkStart w:id="1993" w:name="_Toc69878769"/>
      <w:r>
        <w:lastRenderedPageBreak/>
        <w:t>Part 1 Section 18.17.7.199, LOGEST</w:t>
      </w:r>
      <w:bookmarkEnd w:id="1992"/>
      <w:bookmarkEnd w:id="1993"/>
      <w:r>
        <w:fldChar w:fldCharType="begin"/>
      </w:r>
      <w:r>
        <w:instrText xml:space="preserve"> XE "LOGEST" </w:instrText>
      </w:r>
      <w:r>
        <w:fldChar w:fldCharType="end"/>
      </w:r>
    </w:p>
    <w:p w:rsidR="005F78FC" w:rsidRDefault="00B42EF3">
      <w:pPr>
        <w:pStyle w:val="Definition-Field"/>
      </w:pPr>
      <w:r>
        <w:t xml:space="preserve">a.   </w:t>
      </w:r>
      <w:r>
        <w:rPr>
          <w:i/>
        </w:rPr>
        <w:t>The standard specifies the equation for the curve is y = b * mx or y=b*(m1*x1)*(m2*x2</w:t>
      </w:r>
      <w:r>
        <w:rPr>
          <w:i/>
        </w:rPr>
        <w:t>)*...) if there are multiple values</w:t>
      </w:r>
    </w:p>
    <w:p w:rsidR="005F78FC" w:rsidRDefault="00B42EF3">
      <w:pPr>
        <w:pStyle w:val="Definition-Field2"/>
      </w:pPr>
      <w:r>
        <w:t>Office uses the following equation for the curve: y = b * (m^x) or y=b*(m1^x1)*(m2^x2)...(mn^xn) if there are multiple values</w:t>
      </w:r>
    </w:p>
    <w:p w:rsidR="005F78FC" w:rsidRDefault="00B42EF3">
      <w:pPr>
        <w:pStyle w:val="Definition-Field"/>
      </w:pPr>
      <w:r>
        <w:t xml:space="preserve">b.   </w:t>
      </w:r>
      <w:r>
        <w:rPr>
          <w:i/>
        </w:rPr>
        <w:t>The standard does not place any restrictions on dimensions of known-ys or known-xs.</w:t>
      </w:r>
    </w:p>
    <w:p w:rsidR="005F78FC" w:rsidRDefault="00B42EF3">
      <w:pPr>
        <w:pStyle w:val="Definition-Field2"/>
      </w:pPr>
      <w:r>
        <w:t xml:space="preserve">In </w:t>
      </w:r>
      <w:r>
        <w:t>Office, if known-ys and known-xs are not the same size, or known-ys does not contain exactly one value for each row or column of known-xs, #REF! is returned.</w:t>
      </w:r>
    </w:p>
    <w:p w:rsidR="005F78FC" w:rsidRDefault="00B42EF3">
      <w:pPr>
        <w:pStyle w:val="Definition-Field"/>
      </w:pPr>
      <w:r>
        <w:t xml:space="preserve">c.   </w:t>
      </w:r>
      <w:r>
        <w:rPr>
          <w:i/>
        </w:rPr>
        <w:t xml:space="preserve">The standard specifies the following syntax: LOGEST  (  known-ys  [  ,  [  known-xs  ]  [  , </w:t>
      </w:r>
      <w:r>
        <w:rPr>
          <w:i/>
        </w:rPr>
        <w:t xml:space="preserve"> [  const-flag  ] [  ,  stats-flag  ] ]  ).</w:t>
      </w:r>
    </w:p>
    <w:p w:rsidR="005F78FC" w:rsidRDefault="00B42EF3">
      <w:pPr>
        <w:pStyle w:val="Definition-Field2"/>
      </w:pPr>
      <w:r>
        <w:t>Office uses the following syntax: LOGEST  (  known-ys  [  ,  [  known-xs  ]  [  ,  [  const-flag  ] [  ,  [  stats-flag  ] ] ] ]  ).</w:t>
      </w:r>
    </w:p>
    <w:p w:rsidR="005F78FC" w:rsidRDefault="00B42EF3">
      <w:pPr>
        <w:pStyle w:val="Heading3"/>
      </w:pPr>
      <w:bookmarkStart w:id="1994" w:name="section_30e516d248dd4052be896aae823b298e"/>
      <w:bookmarkStart w:id="1995" w:name="_Toc69878770"/>
      <w:r>
        <w:t>Part 1 Section 18.17.7.200, LOGINV</w:t>
      </w:r>
      <w:bookmarkEnd w:id="1994"/>
      <w:bookmarkEnd w:id="1995"/>
      <w:r>
        <w:fldChar w:fldCharType="begin"/>
      </w:r>
      <w:r>
        <w:instrText xml:space="preserve"> XE "LOGINV" </w:instrText>
      </w:r>
      <w:r>
        <w:fldChar w:fldCharType="end"/>
      </w:r>
    </w:p>
    <w:p w:rsidR="005F78FC" w:rsidRDefault="00B42EF3">
      <w:pPr>
        <w:pStyle w:val="Definition-Field"/>
      </w:pPr>
      <w:r>
        <w:t xml:space="preserve">a.   </w:t>
      </w:r>
      <w:r>
        <w:rPr>
          <w:i/>
        </w:rPr>
        <w:t>The standard states that</w:t>
      </w:r>
      <w:r>
        <w:rPr>
          <w:i/>
        </w:rPr>
        <w:t xml:space="preserve"> if probability is less than 0, or if probability is greater than 1, #NUM! is returned.</w:t>
      </w:r>
    </w:p>
    <w:p w:rsidR="005F78FC" w:rsidRDefault="00B42EF3">
      <w:pPr>
        <w:pStyle w:val="Definition-Field2"/>
      </w:pPr>
      <w:r>
        <w:t>Office returns #NUM! if probability is less than or equal to 0, or if probability is greater than or equal to 1.</w:t>
      </w:r>
    </w:p>
    <w:p w:rsidR="005F78FC" w:rsidRDefault="00B42EF3">
      <w:pPr>
        <w:pStyle w:val="Heading3"/>
      </w:pPr>
      <w:bookmarkStart w:id="1996" w:name="section_572fe441c59643d68a9f2a5baeae54a4"/>
      <w:bookmarkStart w:id="1997" w:name="_Toc69878771"/>
      <w:r>
        <w:t>Part 1 Section 18.17.7.201, LOGNORMDIST</w:t>
      </w:r>
      <w:bookmarkEnd w:id="1996"/>
      <w:bookmarkEnd w:id="1997"/>
      <w:r>
        <w:fldChar w:fldCharType="begin"/>
      </w:r>
      <w:r>
        <w:instrText xml:space="preserve"> XE "LOGNORMDIST</w:instrText>
      </w:r>
      <w:r>
        <w:instrText xml:space="preserve">" </w:instrText>
      </w:r>
      <w:r>
        <w:fldChar w:fldCharType="end"/>
      </w:r>
    </w:p>
    <w:p w:rsidR="005F78FC" w:rsidRDefault="00B42EF3">
      <w:pPr>
        <w:pStyle w:val="Definition-Field"/>
      </w:pPr>
      <w:r>
        <w:t xml:space="preserve">a.   </w:t>
      </w:r>
      <w:r>
        <w:rPr>
          <w:i/>
        </w:rPr>
        <w:t>The standard states that the function returns the inverse of the lognormal cumulative distribution function of x.</w:t>
      </w:r>
    </w:p>
    <w:p w:rsidR="005F78FC" w:rsidRDefault="00B42EF3">
      <w:pPr>
        <w:pStyle w:val="Definition-Field2"/>
      </w:pPr>
      <w:r>
        <w:t>In Office, the function returns the lognormal cumulative distribution of x.</w:t>
      </w:r>
    </w:p>
    <w:p w:rsidR="005F78FC" w:rsidRDefault="00B42EF3">
      <w:pPr>
        <w:pStyle w:val="Heading3"/>
      </w:pPr>
      <w:bookmarkStart w:id="1998" w:name="section_19f20aeb5ca84a59acd8b01ba6e8ed07"/>
      <w:bookmarkStart w:id="1999" w:name="_Toc69878772"/>
      <w:r>
        <w:t>Part 1 Section 18.17.7.204, MATCH</w:t>
      </w:r>
      <w:bookmarkEnd w:id="1998"/>
      <w:bookmarkEnd w:id="1999"/>
      <w:r>
        <w:fldChar w:fldCharType="begin"/>
      </w:r>
      <w:r>
        <w:instrText xml:space="preserve"> XE "MATCH" </w:instrText>
      </w:r>
      <w:r>
        <w:fldChar w:fldCharType="end"/>
      </w:r>
    </w:p>
    <w:p w:rsidR="005F78FC" w:rsidRDefault="00B42EF3">
      <w:pPr>
        <w:pStyle w:val="Definition-Field"/>
      </w:pPr>
      <w:r>
        <w:t xml:space="preserve">a.   </w:t>
      </w:r>
      <w:r>
        <w:rPr>
          <w:i/>
        </w:rPr>
        <w:t>The</w:t>
      </w:r>
      <w:r>
        <w:rPr>
          <w:i/>
        </w:rPr>
        <w:t xml:space="preserve"> standard states that if no match is found, #NUM! is returned.</w:t>
      </w:r>
    </w:p>
    <w:p w:rsidR="005F78FC" w:rsidRDefault="00B42EF3">
      <w:pPr>
        <w:pStyle w:val="Definition-Field2"/>
      </w:pPr>
      <w:r>
        <w:t>In Office, #N/A is returned if no match is found.</w:t>
      </w:r>
    </w:p>
    <w:p w:rsidR="005F78FC" w:rsidRDefault="00B42EF3">
      <w:pPr>
        <w:pStyle w:val="Definition-Field"/>
      </w:pPr>
      <w:r>
        <w:t xml:space="preserve">b.   </w:t>
      </w:r>
      <w:r>
        <w:rPr>
          <w:i/>
        </w:rPr>
        <w:t>The standard does not place any restrictions on the dimensions of argument lookup-array.</w:t>
      </w:r>
    </w:p>
    <w:p w:rsidR="005F78FC" w:rsidRDefault="00B42EF3">
      <w:pPr>
        <w:pStyle w:val="Definition-Field2"/>
      </w:pPr>
      <w:r>
        <w:t>In Office, argument lookup-array must be an array</w:t>
      </w:r>
      <w:r>
        <w:t xml:space="preserve"> or range with only one row or only one column, else #N/A is returned.</w:t>
      </w:r>
    </w:p>
    <w:p w:rsidR="005F78FC" w:rsidRDefault="00B42EF3">
      <w:pPr>
        <w:pStyle w:val="Heading3"/>
      </w:pPr>
      <w:bookmarkStart w:id="2000" w:name="section_785ab22f8b1f4137a3c10f7627cb4be2"/>
      <w:bookmarkStart w:id="2001" w:name="_Toc69878773"/>
      <w:r>
        <w:t>Part 1 Section 18.17.7.208, MDURATION</w:t>
      </w:r>
      <w:bookmarkEnd w:id="2000"/>
      <w:bookmarkEnd w:id="2001"/>
      <w:r>
        <w:fldChar w:fldCharType="begin"/>
      </w:r>
      <w:r>
        <w:instrText xml:space="preserve"> XE "MDURATION" </w:instrText>
      </w:r>
      <w:r>
        <w:fldChar w:fldCharType="end"/>
      </w:r>
    </w:p>
    <w:p w:rsidR="005F78FC" w:rsidRDefault="00B42EF3">
      <w:pPr>
        <w:pStyle w:val="Definition-Field"/>
      </w:pPr>
      <w:r>
        <w:t xml:space="preserve">a.   </w:t>
      </w:r>
      <w:r>
        <w:rPr>
          <w:i/>
        </w:rPr>
        <w:t>The standard does not specify day and month adjustments for the basis argument.</w:t>
      </w:r>
    </w:p>
    <w:p w:rsidR="005F78FC" w:rsidRDefault="00B42EF3">
      <w:r>
        <w:t xml:space="preserve">In Excel, the </w:t>
      </w:r>
      <w:r>
        <w:rPr>
          <w:i/>
        </w:rPr>
        <w:t>basis</w:t>
      </w:r>
      <w:r>
        <w:rPr>
          <w:b/>
          <w:i/>
        </w:rPr>
        <w:t xml:space="preserve"> </w:t>
      </w:r>
      <w:r>
        <w:t xml:space="preserve">argument specifies the </w:t>
      </w:r>
      <w:r>
        <w:t>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Value</w:t>
            </w:r>
          </w:p>
        </w:tc>
        <w:tc>
          <w:tcPr>
            <w:tcW w:w="0" w:type="auto"/>
            <w:vAlign w:val="center"/>
          </w:tcPr>
          <w:p w:rsidR="005F78FC" w:rsidRDefault="00B42EF3">
            <w:pPr>
              <w:pStyle w:val="TableHeaderText"/>
            </w:pPr>
            <w:r>
              <w:t>Day Count Basis</w:t>
            </w:r>
          </w:p>
        </w:tc>
      </w:tr>
      <w:tr w:rsidR="005F78FC" w:rsidTr="005F78FC">
        <w:tc>
          <w:tcPr>
            <w:tcW w:w="0" w:type="auto"/>
            <w:vAlign w:val="center"/>
          </w:tcPr>
          <w:p w:rsidR="005F78FC" w:rsidRDefault="00B42EF3">
            <w:pPr>
              <w:pStyle w:val="TableBodyText"/>
            </w:pPr>
            <w:r>
              <w:rPr>
                <w:rStyle w:val="InlineCode"/>
              </w:rPr>
              <w:t>0</w:t>
            </w:r>
            <w:r>
              <w:t xml:space="preserve"> or omitted</w:t>
            </w:r>
          </w:p>
        </w:tc>
        <w:tc>
          <w:tcPr>
            <w:tcW w:w="0" w:type="auto"/>
            <w:vAlign w:val="center"/>
          </w:tcPr>
          <w:p w:rsidR="005F78FC" w:rsidRDefault="00B42EF3">
            <w:pPr>
              <w:pStyle w:val="TableBodyText"/>
            </w:pPr>
            <w:r>
              <w:t xml:space="preserve">US (NASD) 30/360. If the dates are equal, the difference of days is 0. Assumes that each month has 30 days and the total number of days in the year is 360 by </w:t>
            </w:r>
            <w:r>
              <w:t>making the following adjustments:</w:t>
            </w:r>
          </w:p>
          <w:p w:rsidR="005F78FC" w:rsidRDefault="00B42EF3">
            <w:pPr>
              <w:pStyle w:val="TableBodyText"/>
            </w:pPr>
            <w:r>
              <w:t>If both day-of-months are 31, they are changed to 30</w:t>
            </w:r>
          </w:p>
          <w:p w:rsidR="005F78FC" w:rsidRDefault="00B42EF3">
            <w:pPr>
              <w:pStyle w:val="TableBodyText"/>
            </w:pPr>
            <w:r>
              <w:t>Otherwise, if date1’s day-of-month is 31, it is changed to 30</w:t>
            </w:r>
          </w:p>
          <w:p w:rsidR="005F78FC" w:rsidRDefault="00B42EF3">
            <w:pPr>
              <w:pStyle w:val="TableBodyText"/>
            </w:pPr>
            <w:r>
              <w:t xml:space="preserve">Otherwise, if date1’s day-of-month is 30 and date2’s day-of-month is 31, date2’s day-of-month is </w:t>
            </w:r>
            <w:r>
              <w:lastRenderedPageBreak/>
              <w:t>changed to</w:t>
            </w:r>
            <w:r>
              <w:t xml:space="preserve"> 30 (note that date2’s day-of-month will stay 31 if date1’s day &lt; 30)</w:t>
            </w:r>
          </w:p>
          <w:p w:rsidR="005F78FC" w:rsidRDefault="00B42EF3">
            <w:pPr>
              <w:pStyle w:val="TableBodyText"/>
            </w:pPr>
            <w:r>
              <w:t>Otherwise, if both dates are the last day of February in their respective years, both day-of-month is changed to 30</w:t>
            </w:r>
          </w:p>
          <w:p w:rsidR="005F78FC" w:rsidRDefault="00B42EF3">
            <w:pPr>
              <w:pStyle w:val="TableBodyText"/>
            </w:pPr>
            <w:r>
              <w:t>Otherwise, if date1 is the last day of February, its day-of-month is c</w:t>
            </w:r>
            <w:r>
              <w:t>hanged to 30</w:t>
            </w:r>
          </w:p>
        </w:tc>
      </w:tr>
      <w:tr w:rsidR="005F78FC" w:rsidTr="005F78FC">
        <w:tc>
          <w:tcPr>
            <w:tcW w:w="0" w:type="auto"/>
            <w:vAlign w:val="center"/>
          </w:tcPr>
          <w:p w:rsidR="005F78FC" w:rsidRDefault="00B42EF3">
            <w:pPr>
              <w:pStyle w:val="TableBodyText"/>
            </w:pPr>
            <w:r>
              <w:rPr>
                <w:rStyle w:val="InlineCode"/>
              </w:rPr>
              <w:lastRenderedPageBreak/>
              <w:t>1</w:t>
            </w:r>
          </w:p>
        </w:tc>
        <w:tc>
          <w:tcPr>
            <w:tcW w:w="0" w:type="auto"/>
            <w:vAlign w:val="center"/>
          </w:tcPr>
          <w:p w:rsidR="005F78FC" w:rsidRDefault="00B42EF3">
            <w:pPr>
              <w:pStyle w:val="TableBodyText"/>
            </w:pPr>
            <w:r>
              <w:t>Actual/actual. If the dates are equal, the difference in days is 0. If date1 and date2 not “less than or equal to a year apart” (as defined below), then the days in the years between the dates is the average number of days in the years betw</w:t>
            </w:r>
            <w:r>
              <w:t xml:space="preserve">een date1 and date2,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w:t>
            </w:r>
            <w:r>
              <w:t>uary 29.</w:t>
            </w:r>
          </w:p>
          <w:p w:rsidR="005F78FC" w:rsidRDefault="005F78FC">
            <w:pPr>
              <w:pStyle w:val="TableBodyText"/>
            </w:pPr>
          </w:p>
          <w:p w:rsidR="005F78FC" w:rsidRDefault="00B42EF3">
            <w:pPr>
              <w:pStyle w:val="TableBodyText"/>
            </w:pPr>
            <w:r>
              <w:t>To determine if date1 and date2 are “less than or equal to a year apart” for purposes of this algorithm, one of these conditions must be true:</w:t>
            </w:r>
          </w:p>
          <w:p w:rsidR="005F78FC" w:rsidRDefault="00B42EF3">
            <w:pPr>
              <w:pStyle w:val="ListParagraph"/>
              <w:numPr>
                <w:ilvl w:val="0"/>
                <w:numId w:val="98"/>
              </w:numPr>
            </w:pPr>
            <w:r>
              <w:t>The two dates have the same year</w:t>
            </w:r>
          </w:p>
          <w:p w:rsidR="005F78FC" w:rsidRDefault="00B42EF3">
            <w:pPr>
              <w:pStyle w:val="ListParagraph"/>
              <w:numPr>
                <w:ilvl w:val="0"/>
                <w:numId w:val="99"/>
              </w:numPr>
            </w:pPr>
            <w:r>
              <w:t xml:space="preserve">Date2’s year is exactly one more than date1’s year, and ((date1.month </w:t>
            </w:r>
            <w:r>
              <w:t>&gt; date2.month) or ((date1.month == date2.month) and (date1.day &gt;= date2.day)))</w:t>
            </w:r>
          </w:p>
        </w:tc>
      </w:tr>
      <w:tr w:rsidR="005F78FC" w:rsidTr="005F78FC">
        <w:tc>
          <w:tcPr>
            <w:tcW w:w="0" w:type="auto"/>
            <w:vAlign w:val="center"/>
          </w:tcPr>
          <w:p w:rsidR="005F78FC" w:rsidRDefault="00B42EF3">
            <w:pPr>
              <w:pStyle w:val="TableBodyText"/>
            </w:pPr>
            <w:r>
              <w:rPr>
                <w:rStyle w:val="InlineCode"/>
              </w:rPr>
              <w:t>2</w:t>
            </w:r>
          </w:p>
        </w:tc>
        <w:tc>
          <w:tcPr>
            <w:tcW w:w="0" w:type="auto"/>
            <w:vAlign w:val="center"/>
          </w:tcPr>
          <w:p w:rsidR="005F78FC" w:rsidRDefault="00B42EF3">
            <w:pPr>
              <w:pStyle w:val="TableBodyText"/>
            </w:pPr>
            <w:r>
              <w:t>Actual/360. Computes the actual difference in days, and presumes there are always 360 days per year.</w:t>
            </w:r>
          </w:p>
        </w:tc>
      </w:tr>
      <w:tr w:rsidR="005F78FC" w:rsidTr="005F78FC">
        <w:tc>
          <w:tcPr>
            <w:tcW w:w="0" w:type="auto"/>
            <w:vAlign w:val="center"/>
          </w:tcPr>
          <w:p w:rsidR="005F78FC" w:rsidRDefault="00B42EF3">
            <w:pPr>
              <w:pStyle w:val="TableBodyText"/>
            </w:pPr>
            <w:r>
              <w:rPr>
                <w:rStyle w:val="InlineCode"/>
              </w:rPr>
              <w:t>3</w:t>
            </w:r>
          </w:p>
        </w:tc>
        <w:tc>
          <w:tcPr>
            <w:tcW w:w="0" w:type="auto"/>
            <w:vAlign w:val="center"/>
          </w:tcPr>
          <w:p w:rsidR="005F78FC" w:rsidRDefault="00B42EF3">
            <w:pPr>
              <w:pStyle w:val="TableBodyText"/>
            </w:pPr>
            <w:r>
              <w:t>Actual/365. Computes the actual difference in days, and presumes there</w:t>
            </w:r>
            <w:r>
              <w:t xml:space="preserve"> are always 365 days per year.</w:t>
            </w:r>
          </w:p>
        </w:tc>
      </w:tr>
      <w:tr w:rsidR="005F78FC" w:rsidTr="005F78FC">
        <w:tc>
          <w:tcPr>
            <w:tcW w:w="0" w:type="auto"/>
            <w:vAlign w:val="center"/>
          </w:tcPr>
          <w:p w:rsidR="005F78FC" w:rsidRDefault="00B42EF3">
            <w:pPr>
              <w:pStyle w:val="TableBodyText"/>
            </w:pPr>
            <w:r>
              <w:rPr>
                <w:rStyle w:val="InlineCode"/>
              </w:rPr>
              <w:t>4</w:t>
            </w:r>
          </w:p>
        </w:tc>
        <w:tc>
          <w:tcPr>
            <w:tcW w:w="0" w:type="auto"/>
            <w:vAlign w:val="center"/>
          </w:tcPr>
          <w:p w:rsidR="005F78FC" w:rsidRDefault="00B42EF3">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5F78FC" w:rsidRDefault="005F78FC"/>
    <w:p w:rsidR="005F78FC" w:rsidRDefault="00B42EF3">
      <w:pPr>
        <w:pStyle w:val="Definition-Field"/>
      </w:pPr>
      <w:r>
        <w:t xml:space="preserve">b.   </w:t>
      </w:r>
      <w:r>
        <w:rPr>
          <w:i/>
        </w:rPr>
        <w:t>The standard does not specify how function arguments map to formula variables.</w:t>
      </w:r>
    </w:p>
    <w:p w:rsidR="005F78FC" w:rsidRDefault="00B42EF3">
      <w:pPr>
        <w:pStyle w:val="Definition-Field2"/>
      </w:pPr>
      <w:r>
        <w:t>Office maps coupon payments per year to argument frequency, DURATIO</w:t>
      </w:r>
      <w:r>
        <w:t>N to DURATION(settlement, maturity, coupon, yld, frequency, [basis]), and market yield to argument yld.</w:t>
      </w:r>
    </w:p>
    <w:p w:rsidR="005F78FC" w:rsidRDefault="00B42EF3">
      <w:pPr>
        <w:pStyle w:val="Heading3"/>
      </w:pPr>
      <w:bookmarkStart w:id="2002" w:name="section_612ff32d2b6b45d58904f41a2bd7fcd6"/>
      <w:bookmarkStart w:id="2003" w:name="_Toc69878774"/>
      <w:r>
        <w:t>Part 1 Section 18.17.7.210, MID</w:t>
      </w:r>
      <w:bookmarkEnd w:id="2002"/>
      <w:bookmarkEnd w:id="2003"/>
      <w:r>
        <w:fldChar w:fldCharType="begin"/>
      </w:r>
      <w:r>
        <w:instrText xml:space="preserve"> XE "MID" </w:instrText>
      </w:r>
      <w:r>
        <w:fldChar w:fldCharType="end"/>
      </w:r>
    </w:p>
    <w:p w:rsidR="005F78FC" w:rsidRDefault="00B42EF3">
      <w:pPr>
        <w:pStyle w:val="Definition-Field"/>
      </w:pPr>
      <w:r>
        <w:t xml:space="preserve">a.   </w:t>
      </w:r>
      <w:r>
        <w:rPr>
          <w:i/>
        </w:rPr>
        <w:t xml:space="preserve">The standard states that MID is intended for use with languages that use the single-byte character set </w:t>
      </w:r>
      <w:r>
        <w:rPr>
          <w:i/>
        </w:rPr>
        <w:t>(SBCS), whereas MIDB is intended for use with languages that use the double-byte character set (DBCS).</w:t>
      </w:r>
    </w:p>
    <w:p w:rsidR="005F78FC" w:rsidRDefault="00B42EF3">
      <w:pPr>
        <w:pStyle w:val="Definition-Field2"/>
      </w:pPr>
      <w:r>
        <w:t>In Office, MID is intended for use with any language, whereas MIDB is intended for use with languages that use the double-byte character set (DBCS).</w:t>
      </w:r>
    </w:p>
    <w:p w:rsidR="005F78FC" w:rsidRDefault="00B42EF3">
      <w:pPr>
        <w:pStyle w:val="Definition-Field"/>
      </w:pPr>
      <w:r>
        <w:t xml:space="preserve">b.  </w:t>
      </w:r>
      <w:r>
        <w:t xml:space="preserve"> </w:t>
      </w:r>
      <w:r>
        <w:rPr>
          <w:i/>
        </w:rPr>
        <w:t>The standard states if start-pos &lt; 0, #VALUE! is returned.</w:t>
      </w:r>
    </w:p>
    <w:p w:rsidR="005F78FC" w:rsidRDefault="00B42EF3">
      <w:pPr>
        <w:pStyle w:val="Definition-Field2"/>
      </w:pPr>
      <w:r>
        <w:t>Office returns #VALUE! if start-pos &lt; 1.</w:t>
      </w:r>
    </w:p>
    <w:p w:rsidR="005F78FC" w:rsidRDefault="00B42EF3">
      <w:pPr>
        <w:pStyle w:val="Definition-Field"/>
      </w:pPr>
      <w:r>
        <w:t xml:space="preserve">c.   </w:t>
      </w:r>
      <w:r>
        <w:rPr>
          <w:i/>
        </w:rPr>
        <w:t>The standard states that if the start-pos argument is greater than the length of string, or if start-pos and number- bytes combined exceeds the length</w:t>
      </w:r>
      <w:r>
        <w:rPr>
          <w:i/>
        </w:rPr>
        <w:t xml:space="preserve"> of the string argument, the whole of the string argument shall be extracted.</w:t>
      </w:r>
    </w:p>
    <w:p w:rsidR="005F78FC" w:rsidRDefault="00B42EF3">
      <w:pPr>
        <w:pStyle w:val="Definition-Field2"/>
      </w:pPr>
      <w:r>
        <w:t>In Office, if start-pos is greater than the length of string the empty string is returned. If start-pos and number-bytes combined exceeds the length of string, the remainder of s</w:t>
      </w:r>
      <w:r>
        <w:t>tring starting at byte position start-pos is returned.</w:t>
      </w:r>
    </w:p>
    <w:p w:rsidR="005F78FC" w:rsidRDefault="00B42EF3">
      <w:pPr>
        <w:pStyle w:val="Heading3"/>
      </w:pPr>
      <w:bookmarkStart w:id="2004" w:name="section_b4f02a916d4b4713aba9c99ba6abdb52"/>
      <w:bookmarkStart w:id="2005" w:name="_Toc69878775"/>
      <w:r>
        <w:lastRenderedPageBreak/>
        <w:t>Part 1 Section 18.17.7.211, MIDB</w:t>
      </w:r>
      <w:bookmarkEnd w:id="2004"/>
      <w:bookmarkEnd w:id="2005"/>
      <w:r>
        <w:fldChar w:fldCharType="begin"/>
      </w:r>
      <w:r>
        <w:instrText xml:space="preserve"> XE "MIDB" </w:instrText>
      </w:r>
      <w:r>
        <w:fldChar w:fldCharType="end"/>
      </w:r>
    </w:p>
    <w:p w:rsidR="005F78FC" w:rsidRDefault="00B42EF3">
      <w:pPr>
        <w:pStyle w:val="Definition-Field"/>
      </w:pPr>
      <w:r>
        <w:t xml:space="preserve">a.   </w:t>
      </w:r>
      <w:r>
        <w:rPr>
          <w:i/>
        </w:rPr>
        <w:t>The standard states that MIDB is intended for use with languages that use the double-byte character set (DBCS), whereas MID is intended for use with l</w:t>
      </w:r>
      <w:r>
        <w:rPr>
          <w:i/>
        </w:rPr>
        <w:t>anguages that use the single-byte character set (SBCS).</w:t>
      </w:r>
    </w:p>
    <w:p w:rsidR="005F78FC" w:rsidRDefault="00B42EF3">
      <w:pPr>
        <w:pStyle w:val="Definition-Field2"/>
      </w:pPr>
      <w:r>
        <w:t>In Office, MIDB is intended for use with languages that use the double-byte character set (DBCS), whereas MID is intended for use with any language.</w:t>
      </w:r>
    </w:p>
    <w:p w:rsidR="005F78FC" w:rsidRDefault="00B42EF3">
      <w:pPr>
        <w:pStyle w:val="Definition-Field"/>
      </w:pPr>
      <w:r>
        <w:t xml:space="preserve">b.   </w:t>
      </w:r>
      <w:r>
        <w:rPr>
          <w:i/>
        </w:rPr>
        <w:t xml:space="preserve">The standard states if start-pos &lt; 0, #VALUE! </w:t>
      </w:r>
      <w:r>
        <w:rPr>
          <w:i/>
        </w:rPr>
        <w:t>is returned.</w:t>
      </w:r>
    </w:p>
    <w:p w:rsidR="005F78FC" w:rsidRDefault="00B42EF3">
      <w:pPr>
        <w:pStyle w:val="Definition-Field2"/>
      </w:pPr>
      <w:r>
        <w:t>Office returns #VALUE! if start-pos &lt; 1.</w:t>
      </w:r>
    </w:p>
    <w:p w:rsidR="005F78FC" w:rsidRDefault="00B42EF3">
      <w:pPr>
        <w:pStyle w:val="Definition-Field"/>
      </w:pPr>
      <w:r>
        <w:t xml:space="preserve">c.   </w:t>
      </w:r>
      <w:r>
        <w:rPr>
          <w:i/>
        </w:rPr>
        <w:t>The standard states that if the start-pos argument is greater than the length of the string argument, or if the start-pos argument and the number- bytes argument combined exceed the length of the s</w:t>
      </w:r>
      <w:r>
        <w:rPr>
          <w:i/>
        </w:rPr>
        <w:t>tring argument, the whole of string shall be extracted.</w:t>
      </w:r>
    </w:p>
    <w:p w:rsidR="005F78FC" w:rsidRDefault="00B42EF3">
      <w:pPr>
        <w:pStyle w:val="Definition-Field2"/>
      </w:pPr>
      <w:r>
        <w:t>In Office, if start-pos is greater than the length of string the empty string is returned. If start-pos and number-bytes combined exceeds the length of string, the remainder of string starting at byte</w:t>
      </w:r>
      <w:r>
        <w:t xml:space="preserve"> position start-pos is returned.</w:t>
      </w:r>
    </w:p>
    <w:p w:rsidR="005F78FC" w:rsidRDefault="00B42EF3">
      <w:pPr>
        <w:pStyle w:val="Definition-Field"/>
      </w:pPr>
      <w:r>
        <w:t xml:space="preserve">d.   </w:t>
      </w:r>
      <w:r>
        <w:rPr>
          <w:i/>
        </w:rPr>
        <w:t>The standard specifies the return value as a string containing number-bytes-worth of characters from string, starting at character position start-pos.</w:t>
      </w:r>
    </w:p>
    <w:p w:rsidR="005F78FC" w:rsidRDefault="00B42EF3">
      <w:pPr>
        <w:pStyle w:val="Definition-Field2"/>
      </w:pPr>
      <w:r>
        <w:t>Office returns a string containing number-bytes-worth of characters</w:t>
      </w:r>
      <w:r>
        <w:t xml:space="preserve"> from string, starting at byte position start-pos.</w:t>
      </w:r>
    </w:p>
    <w:p w:rsidR="005F78FC" w:rsidRDefault="00B42EF3">
      <w:pPr>
        <w:pStyle w:val="Definition-Field"/>
      </w:pPr>
      <w:r>
        <w:t xml:space="preserve">e.   </w:t>
      </w:r>
      <w:r>
        <w:rPr>
          <w:i/>
        </w:rPr>
        <w:t>The standard does not specify behavior of MIDB when default language supports DBCS and when it does not support DBCS.</w:t>
      </w:r>
    </w:p>
    <w:p w:rsidR="005F78FC" w:rsidRDefault="00B42EF3">
      <w:pPr>
        <w:pStyle w:val="Definition-Field2"/>
      </w:pPr>
      <w:r>
        <w:t xml:space="preserve">In Office, when the default language supports DBCS, MIDB counts each double-byte </w:t>
      </w:r>
      <w:r>
        <w:t>character as 2 bytes, and each single-byte character as 1. When the default language does not support DBCS, MIDB counts each character as 1 byte.</w:t>
      </w:r>
    </w:p>
    <w:p w:rsidR="005F78FC" w:rsidRDefault="00B42EF3">
      <w:pPr>
        <w:pStyle w:val="Definition-Field"/>
      </w:pPr>
      <w:r>
        <w:t xml:space="preserve">f.   </w:t>
      </w:r>
      <w:r>
        <w:rPr>
          <w:i/>
        </w:rPr>
        <w:t>The standard does not specify which languages support DBCS.</w:t>
      </w:r>
    </w:p>
    <w:p w:rsidR="005F78FC" w:rsidRDefault="00B42EF3">
      <w:pPr>
        <w:pStyle w:val="Definition-Field2"/>
      </w:pPr>
      <w:r>
        <w:t>In Office, the languages that support DBCS in</w:t>
      </w:r>
      <w:r>
        <w:t>clude Japanese, Chinese (Simplified), Chinese (Traditional), and Korean.</w:t>
      </w:r>
    </w:p>
    <w:p w:rsidR="005F78FC" w:rsidRDefault="00B42EF3">
      <w:pPr>
        <w:pStyle w:val="Heading3"/>
      </w:pPr>
      <w:bookmarkStart w:id="2006" w:name="section_04d93d19a68d4a4e82d7d61afbf4dea1"/>
      <w:bookmarkStart w:id="2007" w:name="_Toc69878776"/>
      <w:r>
        <w:t>Part 1 Section 18.17.7.212, MIN</w:t>
      </w:r>
      <w:bookmarkEnd w:id="2006"/>
      <w:bookmarkEnd w:id="2007"/>
      <w:r>
        <w:fldChar w:fldCharType="begin"/>
      </w:r>
      <w:r>
        <w:instrText xml:space="preserve"> XE "MIN" </w:instrText>
      </w:r>
      <w:r>
        <w:fldChar w:fldCharType="end"/>
      </w:r>
    </w:p>
    <w:p w:rsidR="005F78FC" w:rsidRDefault="00B42EF3">
      <w:pPr>
        <w:pStyle w:val="Definition-Field"/>
      </w:pPr>
      <w:r>
        <w:t xml:space="preserve">a.   </w:t>
      </w:r>
      <w:r>
        <w:rPr>
          <w:i/>
        </w:rPr>
        <w:t>The standard states that the arguments in argument-list designate the values for which the largest value is to be computed.</w:t>
      </w:r>
    </w:p>
    <w:p w:rsidR="005F78FC" w:rsidRDefault="00B42EF3">
      <w:pPr>
        <w:pStyle w:val="Definition-Field2"/>
      </w:pPr>
      <w:r>
        <w:t>Office tre</w:t>
      </w:r>
      <w:r>
        <w:t>ats the arguments in argument-list to be the values for which the smallest value is to be computed.</w:t>
      </w:r>
    </w:p>
    <w:p w:rsidR="005F78FC" w:rsidRDefault="00B42EF3">
      <w:pPr>
        <w:pStyle w:val="Heading3"/>
      </w:pPr>
      <w:bookmarkStart w:id="2008" w:name="section_cea49501521c41829539fb0d19c8c732"/>
      <w:bookmarkStart w:id="2009" w:name="_Toc69878777"/>
      <w:r>
        <w:t>Part 1 Section 18.17.7.213, MINA</w:t>
      </w:r>
      <w:bookmarkEnd w:id="2008"/>
      <w:bookmarkEnd w:id="2009"/>
      <w:r>
        <w:fldChar w:fldCharType="begin"/>
      </w:r>
      <w:r>
        <w:instrText xml:space="preserve"> XE "MINA" </w:instrText>
      </w:r>
      <w:r>
        <w:fldChar w:fldCharType="end"/>
      </w:r>
    </w:p>
    <w:p w:rsidR="005F78FC" w:rsidRDefault="00B42EF3">
      <w:pPr>
        <w:pStyle w:val="Definition-Field"/>
      </w:pPr>
      <w:r>
        <w:t xml:space="preserve">a.   </w:t>
      </w:r>
      <w:r>
        <w:rPr>
          <w:i/>
        </w:rPr>
        <w:t xml:space="preserve">The standard states that the arguments in argument-list designate the values for which the largest value </w:t>
      </w:r>
      <w:r>
        <w:rPr>
          <w:i/>
        </w:rPr>
        <w:t>is to be computed.</w:t>
      </w:r>
    </w:p>
    <w:p w:rsidR="005F78FC" w:rsidRDefault="00B42EF3">
      <w:pPr>
        <w:pStyle w:val="Definition-Field2"/>
      </w:pPr>
      <w:r>
        <w:t>Office treats the arguments in argument-list to be the values for which the smallest value is to be computed.</w:t>
      </w:r>
    </w:p>
    <w:p w:rsidR="005F78FC" w:rsidRDefault="00B42EF3">
      <w:pPr>
        <w:pStyle w:val="Heading3"/>
      </w:pPr>
      <w:bookmarkStart w:id="2010" w:name="section_3ce4055731a94b8a8f0f38f73c07c844"/>
      <w:bookmarkStart w:id="2011" w:name="_Toc69878778"/>
      <w:r>
        <w:t>Part 1 Section 18.17.7.215, MINVERSE</w:t>
      </w:r>
      <w:bookmarkEnd w:id="2010"/>
      <w:bookmarkEnd w:id="2011"/>
      <w:r>
        <w:fldChar w:fldCharType="begin"/>
      </w:r>
      <w:r>
        <w:instrText xml:space="preserve"> XE "MINVERSE" </w:instrText>
      </w:r>
      <w:r>
        <w:fldChar w:fldCharType="end"/>
      </w:r>
    </w:p>
    <w:p w:rsidR="005F78FC" w:rsidRDefault="00B42EF3">
      <w:pPr>
        <w:pStyle w:val="Definition-Field"/>
      </w:pPr>
      <w:r>
        <w:t xml:space="preserve">a.   </w:t>
      </w:r>
      <w:r>
        <w:rPr>
          <w:i/>
        </w:rPr>
        <w:t>The standard states the inverse matrix is calculated with an accurac</w:t>
      </w:r>
      <w:r>
        <w:rPr>
          <w:i/>
        </w:rPr>
        <w:t>y of at least 15 digits, which can lead to a small numeric error when the cancellation is not complete.</w:t>
      </w:r>
    </w:p>
    <w:p w:rsidR="005F78FC" w:rsidRDefault="00B42EF3">
      <w:pPr>
        <w:pStyle w:val="Definition-Field2"/>
      </w:pPr>
      <w:r>
        <w:lastRenderedPageBreak/>
        <w:t>In Office, the inverse matrix is calculated with an accuracy of at least 15 digits, which can lead to a small numeric error.</w:t>
      </w:r>
    </w:p>
    <w:p w:rsidR="005F78FC" w:rsidRDefault="00B42EF3">
      <w:pPr>
        <w:pStyle w:val="Heading3"/>
      </w:pPr>
      <w:bookmarkStart w:id="2012" w:name="section_2cd7e0b4d9d1491c92c6c271203af29a"/>
      <w:bookmarkStart w:id="2013" w:name="_Toc69878779"/>
      <w:r>
        <w:t>Part 1 Section 18.17.7.222,</w:t>
      </w:r>
      <w:r>
        <w:t xml:space="preserve"> MULTINOMIAL</w:t>
      </w:r>
      <w:bookmarkEnd w:id="2012"/>
      <w:bookmarkEnd w:id="2013"/>
      <w:r>
        <w:fldChar w:fldCharType="begin"/>
      </w:r>
      <w:r>
        <w:instrText xml:space="preserve"> XE "MULTINOMIAL" </w:instrText>
      </w:r>
      <w:r>
        <w:fldChar w:fldCharType="end"/>
      </w:r>
    </w:p>
    <w:p w:rsidR="005F78FC" w:rsidRDefault="00B42EF3">
      <w:pPr>
        <w:pStyle w:val="Definition-Field"/>
      </w:pPr>
      <w:r>
        <w:t xml:space="preserve">a.   </w:t>
      </w:r>
      <w:r>
        <w:rPr>
          <w:i/>
        </w:rPr>
        <w:t>The standard defines MULTINOMIAL as a function of a,b,c.</w:t>
      </w:r>
    </w:p>
    <w:p w:rsidR="005F78FC" w:rsidRDefault="00B42EF3">
      <w:pPr>
        <w:pStyle w:val="Definition-Field2"/>
      </w:pPr>
      <w:r>
        <w:t>Office treats MULTINOMIAL as a function of a1, a2,...,an, where a1 maps to arg-1, a2 to arg-2,...,an to arg-n.</w:t>
      </w:r>
    </w:p>
    <w:p w:rsidR="005F78FC" w:rsidRDefault="00B42EF3">
      <w:pPr>
        <w:pStyle w:val="Heading3"/>
      </w:pPr>
      <w:bookmarkStart w:id="2014" w:name="section_9fe99a43b15e40eea2cc9318cb945451"/>
      <w:bookmarkStart w:id="2015" w:name="_Toc69878780"/>
      <w:r>
        <w:t>Part 1 Section 18.17.7.223, N</w:t>
      </w:r>
      <w:bookmarkEnd w:id="2014"/>
      <w:bookmarkEnd w:id="2015"/>
      <w:r>
        <w:fldChar w:fldCharType="begin"/>
      </w:r>
      <w:r>
        <w:instrText xml:space="preserve"> XE "N" </w:instrText>
      </w:r>
      <w:r>
        <w:fldChar w:fldCharType="end"/>
      </w:r>
    </w:p>
    <w:p w:rsidR="005F78FC" w:rsidRDefault="00B42EF3">
      <w:pPr>
        <w:pStyle w:val="Definition-Field"/>
      </w:pPr>
      <w:r>
        <w:t xml:space="preserve">a.   </w:t>
      </w:r>
      <w:r>
        <w:rPr>
          <w:i/>
        </w:rPr>
        <w:t>The s</w:t>
      </w:r>
      <w:r>
        <w:rPr>
          <w:i/>
        </w:rPr>
        <w:t>tandard states that if argument value is anything else (including array and text), the function will return 0.</w:t>
      </w:r>
    </w:p>
    <w:p w:rsidR="005F78FC" w:rsidRDefault="00B42EF3">
      <w:pPr>
        <w:pStyle w:val="Definition-Field2"/>
      </w:pPr>
      <w:r>
        <w:t>Office does not treat array as a special case: the function will return 0 if argument value is anything else (including text).</w:t>
      </w:r>
    </w:p>
    <w:p w:rsidR="005F78FC" w:rsidRDefault="00B42EF3">
      <w:pPr>
        <w:pStyle w:val="Heading3"/>
      </w:pPr>
      <w:bookmarkStart w:id="2016" w:name="section_7302498fd72c4dbe9bc66a0bac98cca4"/>
      <w:bookmarkStart w:id="2017" w:name="_Toc69878781"/>
      <w:r>
        <w:t>Part 1 Section 18.</w:t>
      </w:r>
      <w:r>
        <w:t>17.7.225, NEGBINOMDIST</w:t>
      </w:r>
      <w:bookmarkEnd w:id="2016"/>
      <w:bookmarkEnd w:id="2017"/>
      <w:r>
        <w:fldChar w:fldCharType="begin"/>
      </w:r>
      <w:r>
        <w:instrText xml:space="preserve"> XE "NEGBINOMDIST" </w:instrText>
      </w:r>
      <w:r>
        <w:fldChar w:fldCharType="end"/>
      </w:r>
    </w:p>
    <w:p w:rsidR="005F78FC" w:rsidRDefault="00B42EF3">
      <w:pPr>
        <w:pStyle w:val="Definition-Field"/>
      </w:pPr>
      <w:r>
        <w:t xml:space="preserve">a.   </w:t>
      </w:r>
      <w:r>
        <w:rPr>
          <w:i/>
        </w:rPr>
        <w:t>The standard states if success-probability is &lt; 0 or &gt; 1, #NUM! is returned.</w:t>
      </w:r>
    </w:p>
    <w:p w:rsidR="005F78FC" w:rsidRDefault="00B42EF3">
      <w:pPr>
        <w:pStyle w:val="Definition-Field2"/>
      </w:pPr>
      <w:r>
        <w:t>Office returns #NUM!, if success-probability is &lt;= 0 or &gt;=1.</w:t>
      </w:r>
    </w:p>
    <w:p w:rsidR="005F78FC" w:rsidRDefault="00B42EF3">
      <w:pPr>
        <w:pStyle w:val="Heading3"/>
      </w:pPr>
      <w:bookmarkStart w:id="2018" w:name="section_214494b323134c20bbcba4bc9768aaf7"/>
      <w:bookmarkStart w:id="2019" w:name="_Toc69878782"/>
      <w:r>
        <w:t>Part 1 Section 18.17.7.226, NETWORKDAYS</w:t>
      </w:r>
      <w:bookmarkEnd w:id="2018"/>
      <w:bookmarkEnd w:id="2019"/>
      <w:r>
        <w:fldChar w:fldCharType="begin"/>
      </w:r>
      <w:r>
        <w:instrText xml:space="preserve"> XE "NETWORKDAYS" </w:instrText>
      </w:r>
      <w:r>
        <w:fldChar w:fldCharType="end"/>
      </w:r>
    </w:p>
    <w:p w:rsidR="005F78FC" w:rsidRDefault="00B42EF3">
      <w:pPr>
        <w:pStyle w:val="Definition-Field"/>
      </w:pPr>
      <w:r>
        <w:t xml:space="preserve">a.   </w:t>
      </w:r>
      <w:r>
        <w:rPr>
          <w:i/>
        </w:rPr>
        <w:t xml:space="preserve">The </w:t>
      </w:r>
      <w:r>
        <w:rPr>
          <w:i/>
        </w:rPr>
        <w:t>standard states that the function computes the number of whole working days between start-date and end-date.</w:t>
      </w:r>
    </w:p>
    <w:p w:rsidR="005F78FC" w:rsidRDefault="00B42EF3">
      <w:pPr>
        <w:pStyle w:val="Definition-Field2"/>
      </w:pPr>
      <w:r>
        <w:t>Office computes the number of whole working days between start-date and end-date, inclusive.</w:t>
      </w:r>
    </w:p>
    <w:p w:rsidR="005F78FC" w:rsidRDefault="00B42EF3">
      <w:pPr>
        <w:pStyle w:val="Definition-Field"/>
      </w:pPr>
      <w:r>
        <w:t xml:space="preserve">b.   </w:t>
      </w:r>
      <w:r>
        <w:rPr>
          <w:i/>
        </w:rPr>
        <w:t>The standard states that the function returns the</w:t>
      </w:r>
      <w:r>
        <w:rPr>
          <w:i/>
        </w:rPr>
        <w:t xml:space="preserve"> number of whole working days between start-date and end-date.</w:t>
      </w:r>
    </w:p>
    <w:p w:rsidR="005F78FC" w:rsidRDefault="00B42EF3">
      <w:pPr>
        <w:pStyle w:val="Definition-Field2"/>
      </w:pPr>
      <w:r>
        <w:t>In Office, time information in the date arguments is ignored when computing the number of whole working days between start-date and end-date.</w:t>
      </w:r>
    </w:p>
    <w:p w:rsidR="005F78FC" w:rsidRDefault="00B42EF3">
      <w:pPr>
        <w:pStyle w:val="Definition-Field"/>
      </w:pPr>
      <w:r>
        <w:t xml:space="preserve">c.   </w:t>
      </w:r>
      <w:r>
        <w:rPr>
          <w:i/>
        </w:rPr>
        <w:t xml:space="preserve">The standard states that weekend days are not </w:t>
      </w:r>
      <w:r>
        <w:rPr>
          <w:i/>
        </w:rPr>
        <w:t>considered as working days.</w:t>
      </w:r>
    </w:p>
    <w:p w:rsidR="005F78FC" w:rsidRDefault="00B42EF3">
      <w:pPr>
        <w:pStyle w:val="Definition-Field2"/>
      </w:pPr>
      <w:r>
        <w:t>Office treats Saturday and Sunday as weekend days.</w:t>
      </w:r>
    </w:p>
    <w:p w:rsidR="005F78FC" w:rsidRDefault="00B42EF3">
      <w:pPr>
        <w:pStyle w:val="Heading3"/>
      </w:pPr>
      <w:bookmarkStart w:id="2020" w:name="section_0b65cfbebb2849b898f831a78913406f"/>
      <w:bookmarkStart w:id="2021" w:name="_Toc69878783"/>
      <w:r>
        <w:t>Part 1 Section 18.17.7.230, NORMINV</w:t>
      </w:r>
      <w:bookmarkEnd w:id="2020"/>
      <w:bookmarkEnd w:id="2021"/>
      <w:r>
        <w:fldChar w:fldCharType="begin"/>
      </w:r>
      <w:r>
        <w:instrText xml:space="preserve"> XE "NORMINV" </w:instrText>
      </w:r>
      <w:r>
        <w:fldChar w:fldCharType="end"/>
      </w:r>
    </w:p>
    <w:p w:rsidR="005F78FC" w:rsidRDefault="00B42EF3">
      <w:pPr>
        <w:pStyle w:val="Definition-Field"/>
      </w:pPr>
      <w:r>
        <w:t xml:space="preserve">a.   </w:t>
      </w:r>
      <w:r>
        <w:rPr>
          <w:i/>
        </w:rPr>
        <w:t>The standard states that the function uses an iterative search technique.</w:t>
      </w:r>
    </w:p>
    <w:p w:rsidR="005F78FC" w:rsidRDefault="00B42EF3">
      <w:pPr>
        <w:pStyle w:val="Definition-Field2"/>
      </w:pPr>
      <w:r>
        <w:t xml:space="preserve">Office does not require an iterative search </w:t>
      </w:r>
      <w:r>
        <w:t>technique to be used.</w:t>
      </w:r>
    </w:p>
    <w:p w:rsidR="005F78FC" w:rsidRDefault="00B42EF3">
      <w:pPr>
        <w:pStyle w:val="Definition-Field"/>
      </w:pPr>
      <w:r>
        <w:t xml:space="preserve">b.   </w:t>
      </w:r>
      <w:r>
        <w:rPr>
          <w:i/>
        </w:rPr>
        <w:t>The standard states if probability &lt; 0 or probability &gt; 1, #NUM! is returned.</w:t>
      </w:r>
    </w:p>
    <w:p w:rsidR="005F78FC" w:rsidRDefault="00B42EF3">
      <w:pPr>
        <w:pStyle w:val="Definition-Field2"/>
      </w:pPr>
      <w:r>
        <w:t>Office returns #NUM! if probability is &lt;= 0 or if probability is &gt;= 1.</w:t>
      </w:r>
    </w:p>
    <w:p w:rsidR="005F78FC" w:rsidRDefault="00B42EF3">
      <w:pPr>
        <w:pStyle w:val="Heading3"/>
      </w:pPr>
      <w:bookmarkStart w:id="2022" w:name="section_7af45ac4859542ccb71393fe1446217d"/>
      <w:bookmarkStart w:id="2023" w:name="_Toc69878784"/>
      <w:r>
        <w:t>Part 1 Section 18.17.7.231, NORMSDIST</w:t>
      </w:r>
      <w:bookmarkEnd w:id="2022"/>
      <w:bookmarkEnd w:id="2023"/>
      <w:r>
        <w:fldChar w:fldCharType="begin"/>
      </w:r>
      <w:r>
        <w:instrText xml:space="preserve"> XE "NORMSDIST" </w:instrText>
      </w:r>
      <w:r>
        <w:fldChar w:fldCharType="end"/>
      </w:r>
    </w:p>
    <w:p w:rsidR="005F78FC" w:rsidRDefault="00B42EF3">
      <w:pPr>
        <w:pStyle w:val="Definition-Field"/>
      </w:pPr>
      <w:r>
        <w:t xml:space="preserve">a.   </w:t>
      </w:r>
      <w:r>
        <w:rPr>
          <w:i/>
        </w:rPr>
        <w:t>The standard states</w:t>
      </w:r>
      <w:r>
        <w:rPr>
          <w:i/>
        </w:rPr>
        <w:t xml:space="preserve"> that the function returns the standard normal distribution for the specified mean and standard deviation.</w:t>
      </w:r>
    </w:p>
    <w:p w:rsidR="005F78FC" w:rsidRDefault="00B42EF3">
      <w:pPr>
        <w:pStyle w:val="Definition-Field2"/>
      </w:pPr>
      <w:r>
        <w:t>Office returns the cumulative standard normal distribution for the specified value.</w:t>
      </w:r>
    </w:p>
    <w:p w:rsidR="005F78FC" w:rsidRDefault="00B42EF3">
      <w:pPr>
        <w:pStyle w:val="Definition-Field"/>
      </w:pPr>
      <w:r>
        <w:lastRenderedPageBreak/>
        <w:t xml:space="preserve">b.   </w:t>
      </w:r>
      <w:r>
        <w:rPr>
          <w:i/>
        </w:rPr>
        <w:t>The standard states that the mathematical formula for the fu</w:t>
      </w:r>
      <w:r>
        <w:rPr>
          <w:i/>
        </w:rPr>
        <w:t>nction is: f(z)= (1/√2π) e^(-z^2/2).</w:t>
      </w:r>
    </w:p>
    <w:p w:rsidR="005F78FC" w:rsidRDefault="00B42EF3">
      <w:r>
        <w:t>In Excel, the NORMSDIST function is described by the following mathematical formula:</w:t>
      </w:r>
    </w:p>
    <w:p w:rsidR="005F78FC" w:rsidRDefault="00B42EF3">
      <w:r>
        <w:rPr>
          <w:noProof/>
        </w:rPr>
        <w:drawing>
          <wp:inline distT="0" distB="0" distL="0" distR="0">
            <wp:extent cx="1276350" cy="352425"/>
            <wp:effectExtent l="0" t="0" r="0" b="0"/>
            <wp:docPr id="23" name="Picture 1" descr="Formula describing NORMSDIST function: function of z = the integral from minus infinity to z of 1 over square root of 2 pi times e to the minus x squared over 2 dx. " title="Formula describing NORMSDIST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cd35ca3-0000-0000-0000-000000000000" descr="Formula describing NORMSDIST function: function of z = the integral from minus infinity to z of 1 over square root of 2 pi times e to the minus x squared over 2 dx. " title="Formula describing NORMSDIST function"/>
                    <pic:cNvPicPr>
                      <a:picLocks noChangeAspect="1" noChangeArrowheads="1"/>
                    </pic:cNvPicPr>
                  </pic:nvPicPr>
                  <pic:blipFill>
                    <a:blip r:embed="rId149" cstate="print"/>
                    <a:srcRect/>
                    <a:stretch>
                      <a:fillRect/>
                    </a:stretch>
                  </pic:blipFill>
                  <pic:spPr bwMode="auto">
                    <a:xfrm>
                      <a:off x="0" y="0"/>
                      <a:ext cx="1276350" cy="352425"/>
                    </a:xfrm>
                    <a:prstGeom prst="rect">
                      <a:avLst/>
                    </a:prstGeom>
                    <a:noFill/>
                    <a:ln w="9525">
                      <a:noFill/>
                      <a:miter lim="800000"/>
                      <a:headEnd/>
                      <a:tailEnd/>
                    </a:ln>
                  </pic:spPr>
                </pic:pic>
              </a:graphicData>
            </a:graphic>
          </wp:inline>
        </w:drawing>
      </w:r>
    </w:p>
    <w:p w:rsidR="005F78FC" w:rsidRDefault="00B42EF3">
      <w:pPr>
        <w:pStyle w:val="Definition-Field"/>
      </w:pPr>
      <w:r>
        <w:t xml:space="preserve">c.   </w:t>
      </w:r>
      <w:r>
        <w:rPr>
          <w:i/>
        </w:rPr>
        <w:t>The standard states that the return value is the standard normal distribution for the specified mean and standard deviation.</w:t>
      </w:r>
    </w:p>
    <w:p w:rsidR="005F78FC" w:rsidRDefault="00B42EF3">
      <w:pPr>
        <w:pStyle w:val="Definition-Field2"/>
      </w:pPr>
      <w:r>
        <w:t>Of</w:t>
      </w:r>
      <w:r>
        <w:t>fice returns the cumulative standard normal distribution.</w:t>
      </w:r>
    </w:p>
    <w:p w:rsidR="005F78FC" w:rsidRDefault="00B42EF3">
      <w:pPr>
        <w:pStyle w:val="Heading3"/>
      </w:pPr>
      <w:bookmarkStart w:id="2024" w:name="section_22c8b401b1dc4d3d936df76298dd2c0d"/>
      <w:bookmarkStart w:id="2025" w:name="_Toc69878785"/>
      <w:r>
        <w:t>Part 1 Section 18.17.7.232, NORMSINV</w:t>
      </w:r>
      <w:bookmarkEnd w:id="2024"/>
      <w:bookmarkEnd w:id="2025"/>
      <w:r>
        <w:fldChar w:fldCharType="begin"/>
      </w:r>
      <w:r>
        <w:instrText xml:space="preserve"> XE "NORMSINV" </w:instrText>
      </w:r>
      <w:r>
        <w:fldChar w:fldCharType="end"/>
      </w:r>
    </w:p>
    <w:p w:rsidR="005F78FC" w:rsidRDefault="00B42EF3">
      <w:pPr>
        <w:pStyle w:val="Definition-Field"/>
      </w:pPr>
      <w:r>
        <w:t xml:space="preserve">a.   </w:t>
      </w:r>
      <w:r>
        <w:rPr>
          <w:i/>
        </w:rPr>
        <w:t>The standard states that the function uses an iterative search technique.</w:t>
      </w:r>
    </w:p>
    <w:p w:rsidR="005F78FC" w:rsidRDefault="00B42EF3">
      <w:pPr>
        <w:pStyle w:val="Definition-Field2"/>
      </w:pPr>
      <w:r>
        <w:t>Office does not require an iterative search technique to be used.</w:t>
      </w:r>
    </w:p>
    <w:p w:rsidR="005F78FC" w:rsidRDefault="00B42EF3">
      <w:pPr>
        <w:pStyle w:val="Definition-Field"/>
      </w:pPr>
      <w:r>
        <w:t xml:space="preserve">b.   </w:t>
      </w:r>
      <w:r>
        <w:rPr>
          <w:i/>
        </w:rPr>
        <w:t>The standard states that the function returns the inverse of the standard normal distribution.</w:t>
      </w:r>
    </w:p>
    <w:p w:rsidR="005F78FC" w:rsidRDefault="00B42EF3">
      <w:pPr>
        <w:pStyle w:val="Definition-Field2"/>
      </w:pPr>
      <w:r>
        <w:t>In Office, the function returns the inverse of the standard normal cumulative distribution.</w:t>
      </w:r>
    </w:p>
    <w:p w:rsidR="005F78FC" w:rsidRDefault="00B42EF3">
      <w:pPr>
        <w:pStyle w:val="Definition-Field"/>
      </w:pPr>
      <w:r>
        <w:t xml:space="preserve">c.   </w:t>
      </w:r>
      <w:r>
        <w:rPr>
          <w:i/>
        </w:rPr>
        <w:t>The standard states that if probability &lt; 0 or if probabil</w:t>
      </w:r>
      <w:r>
        <w:rPr>
          <w:i/>
        </w:rPr>
        <w:t>ity &gt; 1, #NUM! is returned.</w:t>
      </w:r>
    </w:p>
    <w:p w:rsidR="005F78FC" w:rsidRDefault="00B42EF3">
      <w:pPr>
        <w:pStyle w:val="Definition-Field2"/>
      </w:pPr>
      <w:r>
        <w:t>Office returns #NUM! if probability ≤ 0 or if probability ≥ 1.</w:t>
      </w:r>
    </w:p>
    <w:p w:rsidR="005F78FC" w:rsidRDefault="00B42EF3">
      <w:pPr>
        <w:pStyle w:val="Heading3"/>
      </w:pPr>
      <w:bookmarkStart w:id="2026" w:name="section_822f4b9fbb6749abb48bdf59acf1a21f"/>
      <w:bookmarkStart w:id="2027" w:name="_Toc69878786"/>
      <w:r>
        <w:t>Part 1 Section 18.17.7.235, NPER</w:t>
      </w:r>
      <w:bookmarkEnd w:id="2026"/>
      <w:bookmarkEnd w:id="2027"/>
      <w:r>
        <w:fldChar w:fldCharType="begin"/>
      </w:r>
      <w:r>
        <w:instrText xml:space="preserve"> XE "NPER" </w:instrText>
      </w:r>
      <w:r>
        <w:fldChar w:fldCharType="end"/>
      </w:r>
    </w:p>
    <w:p w:rsidR="005F78FC" w:rsidRDefault="00B42EF3">
      <w:pPr>
        <w:pStyle w:val="Definition-Field"/>
      </w:pPr>
      <w:r>
        <w:t xml:space="preserve">a.   </w:t>
      </w:r>
      <w:r>
        <w:rPr>
          <w:i/>
        </w:rPr>
        <w:t>The standard states if type is any number other than 0 or 1, #NUM! is returned.</w:t>
      </w:r>
    </w:p>
    <w:p w:rsidR="005F78FC" w:rsidRDefault="00B42EF3">
      <w:pPr>
        <w:pStyle w:val="Definition-Field2"/>
      </w:pPr>
      <w:r>
        <w:t>Office treats nonzero values of ty</w:t>
      </w:r>
      <w:r>
        <w:t>pe to indicate payment is at the beginning of the period.</w:t>
      </w:r>
    </w:p>
    <w:p w:rsidR="005F78FC" w:rsidRDefault="00B42EF3">
      <w:pPr>
        <w:pStyle w:val="Definition-Field"/>
      </w:pPr>
      <w:r>
        <w:t xml:space="preserve">b.   </w:t>
      </w:r>
      <w:r>
        <w:rPr>
          <w:i/>
        </w:rPr>
        <w:t>The standard does not specify a default for the optional argument type.</w:t>
      </w:r>
    </w:p>
    <w:p w:rsidR="005F78FC" w:rsidRDefault="00B42EF3">
      <w:pPr>
        <w:pStyle w:val="Definition-Field2"/>
      </w:pPr>
      <w:r>
        <w:t>In Office, if the value for type is omitted it defaults to value of 0.</w:t>
      </w:r>
    </w:p>
    <w:p w:rsidR="005F78FC" w:rsidRDefault="00B42EF3">
      <w:pPr>
        <w:pStyle w:val="Definition-Field"/>
      </w:pPr>
      <w:r>
        <w:t xml:space="preserve">c.   </w:t>
      </w:r>
      <w:r>
        <w:rPr>
          <w:i/>
        </w:rPr>
        <w:t>The standard states that the argument type is</w:t>
      </w:r>
      <w:r>
        <w:rPr>
          <w:i/>
        </w:rPr>
        <w:t xml:space="preserve"> truncated to an integer.</w:t>
      </w:r>
    </w:p>
    <w:p w:rsidR="005F78FC" w:rsidRDefault="00B42EF3">
      <w:pPr>
        <w:pStyle w:val="Definition-Field2"/>
      </w:pPr>
      <w:r>
        <w:t>Office does not truncate the argument type to an integer.</w:t>
      </w:r>
    </w:p>
    <w:p w:rsidR="005F78FC" w:rsidRDefault="00B42EF3">
      <w:pPr>
        <w:pStyle w:val="Heading3"/>
      </w:pPr>
      <w:bookmarkStart w:id="2028" w:name="section_989b9d25033d4717b74760218531c618"/>
      <w:bookmarkStart w:id="2029" w:name="_Toc69878787"/>
      <w:r>
        <w:t>Part 1 Section 18.17.7.236, NPV</w:t>
      </w:r>
      <w:bookmarkEnd w:id="2028"/>
      <w:bookmarkEnd w:id="2029"/>
      <w:r>
        <w:fldChar w:fldCharType="begin"/>
      </w:r>
      <w:r>
        <w:instrText xml:space="preserve"> XE "NPV" </w:instrText>
      </w:r>
      <w:r>
        <w:fldChar w:fldCharType="end"/>
      </w:r>
    </w:p>
    <w:p w:rsidR="005F78FC" w:rsidRDefault="00B42EF3">
      <w:pPr>
        <w:pStyle w:val="Definition-Field"/>
      </w:pPr>
      <w:r>
        <w:t xml:space="preserve">a.   </w:t>
      </w:r>
      <w:r>
        <w:rPr>
          <w:i/>
        </w:rPr>
        <w:t xml:space="preserve">The standard states that arguments that are numbers, empty cells, logical values, or text representations of numbers are </w:t>
      </w:r>
      <w:r>
        <w:rPr>
          <w:i/>
        </w:rPr>
        <w:t>included; arguments that are error values or text that cannot be translated into numbers are ignored.</w:t>
      </w:r>
    </w:p>
    <w:p w:rsidR="005F78FC" w:rsidRDefault="00B42EF3">
      <w:pPr>
        <w:pStyle w:val="Definition-Field2"/>
      </w:pPr>
      <w:r>
        <w:t>In Office, arguments that are numbers or text that can be translated into numbers are included. arguments that are empty cells, logical values, or text th</w:t>
      </w:r>
      <w:r>
        <w:t>at cannot be translated into numbers are ignored.</w:t>
      </w:r>
    </w:p>
    <w:p w:rsidR="005F78FC" w:rsidRDefault="00B42EF3">
      <w:pPr>
        <w:pStyle w:val="Heading3"/>
      </w:pPr>
      <w:bookmarkStart w:id="2030" w:name="section_9c8802df529e465d8a0faa139394890e"/>
      <w:bookmarkStart w:id="2031" w:name="_Toc69878788"/>
      <w:r>
        <w:t>Part 1 Section 18.17.7.237, OCT2BIN</w:t>
      </w:r>
      <w:bookmarkEnd w:id="2030"/>
      <w:bookmarkEnd w:id="2031"/>
      <w:r>
        <w:fldChar w:fldCharType="begin"/>
      </w:r>
      <w:r>
        <w:instrText xml:space="preserve"> XE "OCT2BIN" </w:instrText>
      </w:r>
      <w:r>
        <w:fldChar w:fldCharType="end"/>
      </w:r>
    </w:p>
    <w:p w:rsidR="005F78FC" w:rsidRDefault="00B42EF3">
      <w:pPr>
        <w:pStyle w:val="Definition-Field"/>
      </w:pPr>
      <w:r>
        <w:t xml:space="preserve">a.   </w:t>
      </w:r>
      <w:r>
        <w:rPr>
          <w:i/>
        </w:rPr>
        <w:t>The standard states that if number is negative, num-bin-digits is ignored and the result has 10 digits.</w:t>
      </w:r>
    </w:p>
    <w:p w:rsidR="005F78FC" w:rsidRDefault="00B42EF3">
      <w:pPr>
        <w:pStyle w:val="Definition-Field2"/>
      </w:pPr>
      <w:r>
        <w:t>Office does not ignore num-bin-digits when th</w:t>
      </w:r>
      <w:r>
        <w:t>e number is negative.</w:t>
      </w:r>
    </w:p>
    <w:p w:rsidR="005F78FC" w:rsidRDefault="00B42EF3">
      <w:pPr>
        <w:pStyle w:val="Heading3"/>
      </w:pPr>
      <w:bookmarkStart w:id="2032" w:name="section_567697347d764b0fbaf497c735d5d7df"/>
      <w:bookmarkStart w:id="2033" w:name="_Toc69878789"/>
      <w:r>
        <w:lastRenderedPageBreak/>
        <w:t>Part 1 Section 18.17.7.238, OCT2DEC</w:t>
      </w:r>
      <w:bookmarkEnd w:id="2032"/>
      <w:bookmarkEnd w:id="2033"/>
      <w:r>
        <w:fldChar w:fldCharType="begin"/>
      </w:r>
      <w:r>
        <w:instrText xml:space="preserve"> XE "OCT2DEC" </w:instrText>
      </w:r>
      <w:r>
        <w:fldChar w:fldCharType="end"/>
      </w:r>
    </w:p>
    <w:p w:rsidR="005F78FC" w:rsidRDefault="00B42EF3">
      <w:pPr>
        <w:pStyle w:val="Definition-Field"/>
      </w:pPr>
      <w:r>
        <w:t xml:space="preserve">a.   </w:t>
      </w:r>
      <w:r>
        <w:rPr>
          <w:i/>
        </w:rPr>
        <w:t>The standard states that argument number is of type number.</w:t>
      </w:r>
    </w:p>
    <w:p w:rsidR="005F78FC" w:rsidRDefault="00B42EF3">
      <w:pPr>
        <w:pStyle w:val="Definition-Field2"/>
      </w:pPr>
      <w:r>
        <w:t>Office treats argument number as type text.</w:t>
      </w:r>
    </w:p>
    <w:p w:rsidR="005F78FC" w:rsidRDefault="00B42EF3">
      <w:pPr>
        <w:pStyle w:val="Heading3"/>
      </w:pPr>
      <w:bookmarkStart w:id="2034" w:name="section_30c159a8b7a04a6080f800e0bef2d1db"/>
      <w:bookmarkStart w:id="2035" w:name="_Toc69878790"/>
      <w:r>
        <w:t>Part 1 Section 18.17.7.241, ODDFPRICE</w:t>
      </w:r>
      <w:bookmarkEnd w:id="2034"/>
      <w:bookmarkEnd w:id="2035"/>
      <w:r>
        <w:fldChar w:fldCharType="begin"/>
      </w:r>
      <w:r>
        <w:instrText xml:space="preserve"> XE "ODDFPRICE" </w:instrText>
      </w:r>
      <w:r>
        <w:fldChar w:fldCharType="end"/>
      </w:r>
    </w:p>
    <w:p w:rsidR="005F78FC" w:rsidRDefault="00B42EF3">
      <w:pPr>
        <w:pStyle w:val="Definition-Field"/>
      </w:pPr>
      <w:r>
        <w:t xml:space="preserve">a.   </w:t>
      </w:r>
      <w:r>
        <w:rPr>
          <w:i/>
        </w:rPr>
        <w:t>The standard</w:t>
      </w:r>
      <w:r>
        <w:rPr>
          <w:i/>
        </w:rPr>
        <w:t xml:space="preserve"> does not specify day and month adjustments for the basis argument.</w:t>
      </w:r>
    </w:p>
    <w:p w:rsidR="005F78FC" w:rsidRDefault="00B42EF3">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Value</w:t>
            </w:r>
          </w:p>
        </w:tc>
        <w:tc>
          <w:tcPr>
            <w:tcW w:w="0" w:type="auto"/>
            <w:vAlign w:val="center"/>
          </w:tcPr>
          <w:p w:rsidR="005F78FC" w:rsidRDefault="00B42EF3">
            <w:pPr>
              <w:pStyle w:val="TableHeaderText"/>
            </w:pPr>
            <w:r>
              <w:t>Day Count Basis</w:t>
            </w:r>
          </w:p>
        </w:tc>
      </w:tr>
      <w:tr w:rsidR="005F78FC" w:rsidTr="005F78FC">
        <w:tc>
          <w:tcPr>
            <w:tcW w:w="0" w:type="auto"/>
            <w:vAlign w:val="center"/>
          </w:tcPr>
          <w:p w:rsidR="005F78FC" w:rsidRDefault="00B42EF3">
            <w:pPr>
              <w:pStyle w:val="TableBodyText"/>
            </w:pPr>
            <w:r>
              <w:rPr>
                <w:rStyle w:val="InlineCode"/>
              </w:rPr>
              <w:t>0</w:t>
            </w:r>
            <w:r>
              <w:t xml:space="preserve"> or omitted</w:t>
            </w:r>
          </w:p>
        </w:tc>
        <w:tc>
          <w:tcPr>
            <w:tcW w:w="0" w:type="auto"/>
            <w:vAlign w:val="center"/>
          </w:tcPr>
          <w:p w:rsidR="005F78FC" w:rsidRDefault="00B42EF3">
            <w:pPr>
              <w:pStyle w:val="TableBodyText"/>
            </w:pPr>
            <w:r>
              <w:t xml:space="preserve">US (NASD) 30/360. If the dates are equal, the </w:t>
            </w:r>
            <w:r>
              <w:t>difference of days is 0. Assumes that each month has 30 days and the total number of days in the year is 360 by making the following adjustments:</w:t>
            </w:r>
          </w:p>
          <w:p w:rsidR="005F78FC" w:rsidRDefault="00B42EF3">
            <w:pPr>
              <w:pStyle w:val="TableBodyText"/>
            </w:pPr>
            <w:r>
              <w:t>If both day-of-months are 31, they are changed to 30</w:t>
            </w:r>
          </w:p>
          <w:p w:rsidR="005F78FC" w:rsidRDefault="00B42EF3">
            <w:pPr>
              <w:pStyle w:val="TableBodyText"/>
            </w:pPr>
            <w:r>
              <w:t>Otherwise, if date1’s day-of-month is 31, it is changed t</w:t>
            </w:r>
            <w:r>
              <w:t>o 30</w:t>
            </w:r>
          </w:p>
          <w:p w:rsidR="005F78FC" w:rsidRDefault="00B42EF3">
            <w:pPr>
              <w:pStyle w:val="TableBodyText"/>
            </w:pPr>
            <w:r>
              <w:t>Otherwise, if date1’s day-of-month is 30 and date2’s day-of-month is 31, date2’s day-of-month is changed to 30 (note that date2’s day-of-month will stay 31 if date1’s day &lt; 30)</w:t>
            </w:r>
          </w:p>
          <w:p w:rsidR="005F78FC" w:rsidRDefault="00B42EF3">
            <w:pPr>
              <w:pStyle w:val="TableBodyText"/>
            </w:pPr>
            <w:r>
              <w:t xml:space="preserve">Otherwise, if both dates are the last day of February in their respective </w:t>
            </w:r>
            <w:r>
              <w:t>years, both day-of-month is changed to 30</w:t>
            </w:r>
          </w:p>
          <w:p w:rsidR="005F78FC" w:rsidRDefault="00B42EF3">
            <w:pPr>
              <w:pStyle w:val="TableBodyText"/>
            </w:pPr>
            <w:r>
              <w:t>Otherwise, if date1 is the last day of February, its day-of-month is changed to 30</w:t>
            </w:r>
          </w:p>
        </w:tc>
      </w:tr>
      <w:tr w:rsidR="005F78FC" w:rsidTr="005F78FC">
        <w:tc>
          <w:tcPr>
            <w:tcW w:w="0" w:type="auto"/>
            <w:vAlign w:val="center"/>
          </w:tcPr>
          <w:p w:rsidR="005F78FC" w:rsidRDefault="00B42EF3">
            <w:pPr>
              <w:pStyle w:val="TableBodyText"/>
            </w:pPr>
            <w:r>
              <w:rPr>
                <w:rStyle w:val="InlineCode"/>
              </w:rPr>
              <w:t>1</w:t>
            </w:r>
          </w:p>
        </w:tc>
        <w:tc>
          <w:tcPr>
            <w:tcW w:w="0" w:type="auto"/>
            <w:vAlign w:val="center"/>
          </w:tcPr>
          <w:p w:rsidR="005F78FC" w:rsidRDefault="00B42EF3">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5F78FC" w:rsidRDefault="005F78FC">
            <w:pPr>
              <w:pStyle w:val="TableBodyText"/>
            </w:pPr>
          </w:p>
          <w:p w:rsidR="005F78FC" w:rsidRDefault="00B42EF3">
            <w:pPr>
              <w:pStyle w:val="TableBodyText"/>
            </w:pPr>
            <w:r>
              <w:t>To det</w:t>
            </w:r>
            <w:r>
              <w:t>ermine if date1 and date2 are “less than or equal to a year apart” for purposes of this algorithm, one of these conditions must be true:</w:t>
            </w:r>
          </w:p>
          <w:p w:rsidR="005F78FC" w:rsidRDefault="00B42EF3">
            <w:pPr>
              <w:pStyle w:val="ListParagraph"/>
              <w:numPr>
                <w:ilvl w:val="0"/>
                <w:numId w:val="100"/>
              </w:numPr>
            </w:pPr>
            <w:r>
              <w:t>The two dates have the same year</w:t>
            </w:r>
          </w:p>
          <w:p w:rsidR="005F78FC" w:rsidRDefault="00B42EF3">
            <w:pPr>
              <w:pStyle w:val="ListParagraph"/>
              <w:numPr>
                <w:ilvl w:val="0"/>
                <w:numId w:val="101"/>
              </w:numPr>
            </w:pPr>
            <w:r>
              <w:t>Date2’s year is exactly one more than date1’s year, and ((date1.month &gt; date2.month) o</w:t>
            </w:r>
            <w:r>
              <w:t>r ((date1.month == date2.month) and (date1.day &gt;= date2.day)))</w:t>
            </w:r>
          </w:p>
        </w:tc>
      </w:tr>
      <w:tr w:rsidR="005F78FC" w:rsidTr="005F78FC">
        <w:tc>
          <w:tcPr>
            <w:tcW w:w="0" w:type="auto"/>
            <w:vAlign w:val="center"/>
          </w:tcPr>
          <w:p w:rsidR="005F78FC" w:rsidRDefault="00B42EF3">
            <w:pPr>
              <w:pStyle w:val="TableBodyText"/>
            </w:pPr>
            <w:r>
              <w:rPr>
                <w:rStyle w:val="InlineCode"/>
              </w:rPr>
              <w:t>2</w:t>
            </w:r>
          </w:p>
        </w:tc>
        <w:tc>
          <w:tcPr>
            <w:tcW w:w="0" w:type="auto"/>
            <w:vAlign w:val="center"/>
          </w:tcPr>
          <w:p w:rsidR="005F78FC" w:rsidRDefault="00B42EF3">
            <w:pPr>
              <w:pStyle w:val="TableBodyText"/>
            </w:pPr>
            <w:r>
              <w:t>Actual/360. Computes the actual difference in days, and presumes there are always 360 days per year.</w:t>
            </w:r>
          </w:p>
        </w:tc>
      </w:tr>
      <w:tr w:rsidR="005F78FC" w:rsidTr="005F78FC">
        <w:tc>
          <w:tcPr>
            <w:tcW w:w="0" w:type="auto"/>
            <w:vAlign w:val="center"/>
          </w:tcPr>
          <w:p w:rsidR="005F78FC" w:rsidRDefault="00B42EF3">
            <w:pPr>
              <w:pStyle w:val="TableBodyText"/>
            </w:pPr>
            <w:r>
              <w:rPr>
                <w:rStyle w:val="InlineCode"/>
              </w:rPr>
              <w:t>3</w:t>
            </w:r>
          </w:p>
        </w:tc>
        <w:tc>
          <w:tcPr>
            <w:tcW w:w="0" w:type="auto"/>
            <w:vAlign w:val="center"/>
          </w:tcPr>
          <w:p w:rsidR="005F78FC" w:rsidRDefault="00B42EF3">
            <w:pPr>
              <w:pStyle w:val="TableBodyText"/>
            </w:pPr>
            <w:r>
              <w:t xml:space="preserve">Actual/365. Computes the actual difference in days, and presumes there are always 365 </w:t>
            </w:r>
            <w:r>
              <w:t>days per year.</w:t>
            </w:r>
          </w:p>
        </w:tc>
      </w:tr>
      <w:tr w:rsidR="005F78FC" w:rsidTr="005F78FC">
        <w:tc>
          <w:tcPr>
            <w:tcW w:w="0" w:type="auto"/>
            <w:vAlign w:val="center"/>
          </w:tcPr>
          <w:p w:rsidR="005F78FC" w:rsidRDefault="00B42EF3">
            <w:pPr>
              <w:pStyle w:val="TableBodyText"/>
            </w:pPr>
            <w:r>
              <w:rPr>
                <w:rStyle w:val="InlineCode"/>
              </w:rPr>
              <w:t>4</w:t>
            </w:r>
          </w:p>
        </w:tc>
        <w:tc>
          <w:tcPr>
            <w:tcW w:w="0" w:type="auto"/>
            <w:vAlign w:val="center"/>
          </w:tcPr>
          <w:p w:rsidR="005F78FC" w:rsidRDefault="00B42EF3">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5F78FC" w:rsidRDefault="005F78FC"/>
    <w:p w:rsidR="005F78FC" w:rsidRDefault="00B42EF3">
      <w:pPr>
        <w:pStyle w:val="Definition-Field"/>
      </w:pPr>
      <w:r>
        <w:t xml:space="preserve">b.   </w:t>
      </w:r>
      <w:r>
        <w:rPr>
          <w:i/>
        </w:rPr>
        <w:t>The standard states that the function is specific to U.S. currency.</w:t>
      </w:r>
    </w:p>
    <w:p w:rsidR="005F78FC" w:rsidRDefault="00B42EF3">
      <w:pPr>
        <w:pStyle w:val="Definition-Field2"/>
      </w:pPr>
      <w:r>
        <w:t xml:space="preserve">Office does not require the function to be specific to any </w:t>
      </w:r>
      <w:r>
        <w:t>currency.</w:t>
      </w:r>
    </w:p>
    <w:p w:rsidR="005F78FC" w:rsidRDefault="00B42EF3">
      <w:pPr>
        <w:pStyle w:val="Definition-Field"/>
      </w:pPr>
      <w:r>
        <w:t xml:space="preserve">c.   </w:t>
      </w:r>
      <w:r>
        <w:rPr>
          <w:i/>
        </w:rPr>
        <w:t>The standard indicates no restriction on the argument redemption.</w:t>
      </w:r>
    </w:p>
    <w:p w:rsidR="005F78FC" w:rsidRDefault="00B42EF3">
      <w:pPr>
        <w:pStyle w:val="Definition-Field2"/>
      </w:pPr>
      <w:r>
        <w:t>Office returns #NUM! if argument redemption &lt;= 0.</w:t>
      </w:r>
    </w:p>
    <w:p w:rsidR="005F78FC" w:rsidRDefault="00B42EF3">
      <w:pPr>
        <w:pStyle w:val="Heading3"/>
      </w:pPr>
      <w:bookmarkStart w:id="2036" w:name="section_61a69b8c4bdc4a5db748206b84c5013b"/>
      <w:bookmarkStart w:id="2037" w:name="_Toc69878791"/>
      <w:r>
        <w:lastRenderedPageBreak/>
        <w:t>Part 1 Section 18.17.7.242, ODDFYIELD</w:t>
      </w:r>
      <w:bookmarkEnd w:id="2036"/>
      <w:bookmarkEnd w:id="2037"/>
      <w:r>
        <w:fldChar w:fldCharType="begin"/>
      </w:r>
      <w:r>
        <w:instrText xml:space="preserve"> XE "ODDFYIELD" </w:instrText>
      </w:r>
      <w:r>
        <w:fldChar w:fldCharType="end"/>
      </w:r>
    </w:p>
    <w:p w:rsidR="005F78FC" w:rsidRDefault="00B42EF3">
      <w:pPr>
        <w:pStyle w:val="Definition-Field"/>
      </w:pPr>
      <w:r>
        <w:t xml:space="preserve">a.   </w:t>
      </w:r>
      <w:r>
        <w:rPr>
          <w:i/>
        </w:rPr>
        <w:t xml:space="preserve">The standard does not specify day and month adjustments for the </w:t>
      </w:r>
      <w:r>
        <w:rPr>
          <w:i/>
        </w:rPr>
        <w:t>basis argument.</w:t>
      </w:r>
    </w:p>
    <w:p w:rsidR="005F78FC" w:rsidRDefault="00B42EF3">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Value</w:t>
            </w:r>
          </w:p>
        </w:tc>
        <w:tc>
          <w:tcPr>
            <w:tcW w:w="0" w:type="auto"/>
            <w:vAlign w:val="center"/>
          </w:tcPr>
          <w:p w:rsidR="005F78FC" w:rsidRDefault="00B42EF3">
            <w:pPr>
              <w:pStyle w:val="TableHeaderText"/>
            </w:pPr>
            <w:r>
              <w:t>Day Count Basis</w:t>
            </w:r>
          </w:p>
        </w:tc>
      </w:tr>
      <w:tr w:rsidR="005F78FC" w:rsidTr="005F78FC">
        <w:tc>
          <w:tcPr>
            <w:tcW w:w="0" w:type="auto"/>
            <w:vAlign w:val="center"/>
          </w:tcPr>
          <w:p w:rsidR="005F78FC" w:rsidRDefault="00B42EF3">
            <w:pPr>
              <w:pStyle w:val="TableBodyText"/>
            </w:pPr>
            <w:r>
              <w:rPr>
                <w:rStyle w:val="InlineCode"/>
              </w:rPr>
              <w:t>0</w:t>
            </w:r>
            <w:r>
              <w:t xml:space="preserve"> or omitted</w:t>
            </w:r>
          </w:p>
        </w:tc>
        <w:tc>
          <w:tcPr>
            <w:tcW w:w="0" w:type="auto"/>
            <w:vAlign w:val="center"/>
          </w:tcPr>
          <w:p w:rsidR="005F78FC" w:rsidRDefault="00B42EF3">
            <w:pPr>
              <w:pStyle w:val="TableBodyText"/>
            </w:pPr>
            <w:r>
              <w:t xml:space="preserve">US (NASD) 30/360. If the dates are equal, the difference of days is 0. Assumes that each month has </w:t>
            </w:r>
            <w:r>
              <w:t>30 days and the total number of days in the year is 360 by making the following adjustments:</w:t>
            </w:r>
          </w:p>
          <w:p w:rsidR="005F78FC" w:rsidRDefault="00B42EF3">
            <w:pPr>
              <w:pStyle w:val="TableBodyText"/>
            </w:pPr>
            <w:r>
              <w:t>If both day-of-months are 31, they are changed to 30</w:t>
            </w:r>
          </w:p>
          <w:p w:rsidR="005F78FC" w:rsidRDefault="00B42EF3">
            <w:pPr>
              <w:pStyle w:val="TableBodyText"/>
            </w:pPr>
            <w:r>
              <w:t>Otherwise, if date1’s day-of-month is 31, it is changed to 30</w:t>
            </w:r>
          </w:p>
          <w:p w:rsidR="005F78FC" w:rsidRDefault="00B42EF3">
            <w:pPr>
              <w:pStyle w:val="TableBodyText"/>
            </w:pPr>
            <w:r>
              <w:t>Otherwise, if date1’s day-of-month is 30 and dat</w:t>
            </w:r>
            <w:r>
              <w:t>e2’s day-of-month is 31, date2’s day-of-month is changed to 30 (note that date2’s day-of-month will stay 31 if date1’s day &lt; 30)</w:t>
            </w:r>
          </w:p>
          <w:p w:rsidR="005F78FC" w:rsidRDefault="00B42EF3">
            <w:pPr>
              <w:pStyle w:val="TableBodyText"/>
            </w:pPr>
            <w:r>
              <w:t>Otherwise, if both dates are the last day of February in their respective years, both day-of-month is changed to 30</w:t>
            </w:r>
          </w:p>
          <w:p w:rsidR="005F78FC" w:rsidRDefault="00B42EF3">
            <w:pPr>
              <w:pStyle w:val="TableBodyText"/>
            </w:pPr>
            <w:r>
              <w:t xml:space="preserve">Otherwise, </w:t>
            </w:r>
            <w:r>
              <w:t>if date1 is the last day of February, its day-of-month is changed to 30</w:t>
            </w:r>
          </w:p>
        </w:tc>
      </w:tr>
      <w:tr w:rsidR="005F78FC" w:rsidTr="005F78FC">
        <w:tc>
          <w:tcPr>
            <w:tcW w:w="0" w:type="auto"/>
            <w:vAlign w:val="center"/>
          </w:tcPr>
          <w:p w:rsidR="005F78FC" w:rsidRDefault="00B42EF3">
            <w:pPr>
              <w:pStyle w:val="TableBodyText"/>
            </w:pPr>
            <w:r>
              <w:rPr>
                <w:rStyle w:val="InlineCode"/>
              </w:rPr>
              <w:t>1</w:t>
            </w:r>
          </w:p>
        </w:tc>
        <w:tc>
          <w:tcPr>
            <w:tcW w:w="0" w:type="auto"/>
            <w:vAlign w:val="center"/>
          </w:tcPr>
          <w:p w:rsidR="005F78FC" w:rsidRDefault="00B42EF3">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5F78FC" w:rsidRDefault="005F78FC">
            <w:pPr>
              <w:pStyle w:val="TableBodyText"/>
            </w:pPr>
          </w:p>
          <w:p w:rsidR="005F78FC" w:rsidRDefault="00B42EF3">
            <w:pPr>
              <w:pStyle w:val="TableBodyText"/>
            </w:pPr>
            <w:r>
              <w:t>To det</w:t>
            </w:r>
            <w:r>
              <w:t>ermine if date1 and date2 are “less than or equal to a year apart” for purposes of this algorithm, one of these conditions must be true:</w:t>
            </w:r>
          </w:p>
          <w:p w:rsidR="005F78FC" w:rsidRDefault="00B42EF3">
            <w:pPr>
              <w:pStyle w:val="ListParagraph"/>
              <w:numPr>
                <w:ilvl w:val="0"/>
                <w:numId w:val="102"/>
              </w:numPr>
            </w:pPr>
            <w:r>
              <w:t>The two dates have the same year</w:t>
            </w:r>
          </w:p>
          <w:p w:rsidR="005F78FC" w:rsidRDefault="00B42EF3">
            <w:pPr>
              <w:pStyle w:val="ListParagraph"/>
              <w:numPr>
                <w:ilvl w:val="0"/>
                <w:numId w:val="103"/>
              </w:numPr>
            </w:pPr>
            <w:r>
              <w:t xml:space="preserve">Date2’s year is exactly one more than date1’s year, and ((date1.month &gt; date2.month) </w:t>
            </w:r>
            <w:r>
              <w:t>or ((date1.month == date2.month) and (date1.day &gt;= date2.day)))</w:t>
            </w:r>
          </w:p>
        </w:tc>
      </w:tr>
      <w:tr w:rsidR="005F78FC" w:rsidTr="005F78FC">
        <w:tc>
          <w:tcPr>
            <w:tcW w:w="0" w:type="auto"/>
            <w:vAlign w:val="center"/>
          </w:tcPr>
          <w:p w:rsidR="005F78FC" w:rsidRDefault="00B42EF3">
            <w:pPr>
              <w:pStyle w:val="TableBodyText"/>
            </w:pPr>
            <w:r>
              <w:rPr>
                <w:rStyle w:val="InlineCode"/>
              </w:rPr>
              <w:t>2</w:t>
            </w:r>
          </w:p>
        </w:tc>
        <w:tc>
          <w:tcPr>
            <w:tcW w:w="0" w:type="auto"/>
            <w:vAlign w:val="center"/>
          </w:tcPr>
          <w:p w:rsidR="005F78FC" w:rsidRDefault="00B42EF3">
            <w:pPr>
              <w:pStyle w:val="TableBodyText"/>
            </w:pPr>
            <w:r>
              <w:t>Actual/360. Computes the actual difference in days, and presumes there are always 360 days per year.</w:t>
            </w:r>
          </w:p>
        </w:tc>
      </w:tr>
      <w:tr w:rsidR="005F78FC" w:rsidTr="005F78FC">
        <w:tc>
          <w:tcPr>
            <w:tcW w:w="0" w:type="auto"/>
            <w:vAlign w:val="center"/>
          </w:tcPr>
          <w:p w:rsidR="005F78FC" w:rsidRDefault="00B42EF3">
            <w:pPr>
              <w:pStyle w:val="TableBodyText"/>
            </w:pPr>
            <w:r>
              <w:rPr>
                <w:rStyle w:val="InlineCode"/>
              </w:rPr>
              <w:t>3</w:t>
            </w:r>
          </w:p>
        </w:tc>
        <w:tc>
          <w:tcPr>
            <w:tcW w:w="0" w:type="auto"/>
            <w:vAlign w:val="center"/>
          </w:tcPr>
          <w:p w:rsidR="005F78FC" w:rsidRDefault="00B42EF3">
            <w:pPr>
              <w:pStyle w:val="TableBodyText"/>
            </w:pPr>
            <w:r>
              <w:t>Actual/365. Computes the actual difference in days, and presumes there are always 365</w:t>
            </w:r>
            <w:r>
              <w:t xml:space="preserve"> days per year.</w:t>
            </w:r>
          </w:p>
        </w:tc>
      </w:tr>
      <w:tr w:rsidR="005F78FC" w:rsidTr="005F78FC">
        <w:tc>
          <w:tcPr>
            <w:tcW w:w="0" w:type="auto"/>
            <w:vAlign w:val="center"/>
          </w:tcPr>
          <w:p w:rsidR="005F78FC" w:rsidRDefault="00B42EF3">
            <w:pPr>
              <w:pStyle w:val="TableBodyText"/>
            </w:pPr>
            <w:r>
              <w:rPr>
                <w:rStyle w:val="InlineCode"/>
              </w:rPr>
              <w:t>4</w:t>
            </w:r>
          </w:p>
        </w:tc>
        <w:tc>
          <w:tcPr>
            <w:tcW w:w="0" w:type="auto"/>
            <w:vAlign w:val="center"/>
          </w:tcPr>
          <w:p w:rsidR="005F78FC" w:rsidRDefault="00B42EF3">
            <w:pPr>
              <w:pStyle w:val="TableBodyText"/>
            </w:pPr>
            <w:r>
              <w:t>European 30/360. The European method for adjusting day counts. If the dates are equal, the difference of days is 0. Assumes that each month has 30 days and the total number of days in the year is 360; any day-of-month (in date1, date2, o</w:t>
            </w:r>
            <w:r>
              <w:t xml:space="preserve">r both) with a value of 31 is changed to 30. Note that February dates are </w:t>
            </w:r>
            <w:r>
              <w:rPr>
                <w:i/>
              </w:rPr>
              <w:t xml:space="preserve">never </w:t>
            </w:r>
            <w:r>
              <w:t>changed, because there is no February 31.</w:t>
            </w:r>
          </w:p>
        </w:tc>
      </w:tr>
    </w:tbl>
    <w:p w:rsidR="005F78FC" w:rsidRDefault="005F78FC"/>
    <w:p w:rsidR="005F78FC" w:rsidRDefault="00B42EF3">
      <w:pPr>
        <w:pStyle w:val="Definition-Field"/>
      </w:pPr>
      <w:r>
        <w:t xml:space="preserve">b.   </w:t>
      </w:r>
      <w:r>
        <w:rPr>
          <w:i/>
        </w:rPr>
        <w:t>The standard states the function is specific to U.S. currency.</w:t>
      </w:r>
    </w:p>
    <w:p w:rsidR="005F78FC" w:rsidRDefault="00B42EF3">
      <w:pPr>
        <w:pStyle w:val="Definition-Field2"/>
      </w:pPr>
      <w:r>
        <w:t>In Excel, the function is not specific to any currency.</w:t>
      </w:r>
    </w:p>
    <w:p w:rsidR="005F78FC" w:rsidRDefault="00B42EF3">
      <w:pPr>
        <w:pStyle w:val="Definition-Field"/>
      </w:pPr>
      <w:r>
        <w:t xml:space="preserve">c.   </w:t>
      </w:r>
      <w:r>
        <w:rPr>
          <w:i/>
        </w:rPr>
        <w:t>The</w:t>
      </w:r>
      <w:r>
        <w:rPr>
          <w:i/>
        </w:rPr>
        <w:t xml:space="preserve"> standard states that if rate or pr &lt; 0, #NUM! is returned.</w:t>
      </w:r>
    </w:p>
    <w:p w:rsidR="005F78FC" w:rsidRDefault="00B42EF3">
      <w:pPr>
        <w:pStyle w:val="Definition-Field2"/>
      </w:pPr>
      <w:r>
        <w:t>Office returns #NUM! if rate &lt; 0 or pr &lt;= 0.</w:t>
      </w:r>
    </w:p>
    <w:p w:rsidR="005F78FC" w:rsidRDefault="00B42EF3">
      <w:pPr>
        <w:pStyle w:val="Heading3"/>
      </w:pPr>
      <w:bookmarkStart w:id="2038" w:name="section_d8ac59055dd14c3a8b540cc16b6f8c14"/>
      <w:bookmarkStart w:id="2039" w:name="_Toc69878792"/>
      <w:r>
        <w:t>Part 1 Section 18.17.7.243, ODDLPRICE</w:t>
      </w:r>
      <w:bookmarkEnd w:id="2038"/>
      <w:bookmarkEnd w:id="2039"/>
      <w:r>
        <w:fldChar w:fldCharType="begin"/>
      </w:r>
      <w:r>
        <w:instrText xml:space="preserve"> XE "ODDLPRICE" </w:instrText>
      </w:r>
      <w:r>
        <w:fldChar w:fldCharType="end"/>
      </w:r>
    </w:p>
    <w:p w:rsidR="005F78FC" w:rsidRDefault="00B42EF3">
      <w:pPr>
        <w:pStyle w:val="Definition-Field"/>
      </w:pPr>
      <w:r>
        <w:t xml:space="preserve">a.   </w:t>
      </w:r>
      <w:r>
        <w:rPr>
          <w:i/>
        </w:rPr>
        <w:t>The standard does not specify day and month adjustments for the basis argument.</w:t>
      </w:r>
    </w:p>
    <w:p w:rsidR="005F78FC" w:rsidRDefault="00B42EF3">
      <w:r>
        <w:t xml:space="preserve">In Excel, </w:t>
      </w:r>
      <w:r>
        <w:t xml:space="preserve">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lastRenderedPageBreak/>
              <w:t>Value</w:t>
            </w:r>
          </w:p>
        </w:tc>
        <w:tc>
          <w:tcPr>
            <w:tcW w:w="0" w:type="auto"/>
            <w:vAlign w:val="center"/>
          </w:tcPr>
          <w:p w:rsidR="005F78FC" w:rsidRDefault="00B42EF3">
            <w:pPr>
              <w:pStyle w:val="TableHeaderText"/>
            </w:pPr>
            <w:r>
              <w:t>Day Count Basis</w:t>
            </w:r>
          </w:p>
        </w:tc>
      </w:tr>
      <w:tr w:rsidR="005F78FC" w:rsidTr="005F78FC">
        <w:tc>
          <w:tcPr>
            <w:tcW w:w="0" w:type="auto"/>
            <w:vAlign w:val="center"/>
          </w:tcPr>
          <w:p w:rsidR="005F78FC" w:rsidRDefault="00B42EF3">
            <w:pPr>
              <w:pStyle w:val="TableBodyText"/>
            </w:pPr>
            <w:r>
              <w:rPr>
                <w:rStyle w:val="InlineCode"/>
              </w:rPr>
              <w:t>0</w:t>
            </w:r>
            <w:r>
              <w:t xml:space="preserve"> or omitted</w:t>
            </w:r>
          </w:p>
        </w:tc>
        <w:tc>
          <w:tcPr>
            <w:tcW w:w="0" w:type="auto"/>
            <w:vAlign w:val="center"/>
          </w:tcPr>
          <w:p w:rsidR="005F78FC" w:rsidRDefault="00B42EF3">
            <w:pPr>
              <w:pStyle w:val="TableBodyText"/>
            </w:pPr>
            <w:r>
              <w:t>US (NASD) 30/360. If the dates are equal, the difference of days is 0. Assumes that each month has 30 days and the total numb</w:t>
            </w:r>
            <w:r>
              <w:t>er of days in the year is 360 by making the following adjustments:</w:t>
            </w:r>
          </w:p>
          <w:p w:rsidR="005F78FC" w:rsidRDefault="00B42EF3">
            <w:pPr>
              <w:pStyle w:val="TableBodyText"/>
            </w:pPr>
            <w:r>
              <w:t>If both day-of-months are 31, they are changed to 30</w:t>
            </w:r>
          </w:p>
          <w:p w:rsidR="005F78FC" w:rsidRDefault="00B42EF3">
            <w:pPr>
              <w:pStyle w:val="TableBodyText"/>
            </w:pPr>
            <w:r>
              <w:t>Otherwise, if date1’s day-of-month is 31, it is changed to 30</w:t>
            </w:r>
          </w:p>
          <w:p w:rsidR="005F78FC" w:rsidRDefault="00B42EF3">
            <w:pPr>
              <w:pStyle w:val="TableBodyText"/>
            </w:pPr>
            <w:r>
              <w:t>Otherwise, if date1’s day-of-month is 30 and date2’s day-of-month is 31, d</w:t>
            </w:r>
            <w:r>
              <w:t>ate2’s day-of-month is changed to 30 (note that date2’s day-of-month will stay 31 if date1’s day &lt; 30)</w:t>
            </w:r>
          </w:p>
          <w:p w:rsidR="005F78FC" w:rsidRDefault="00B42EF3">
            <w:pPr>
              <w:pStyle w:val="TableBodyText"/>
            </w:pPr>
            <w:r>
              <w:t>Otherwise, if both dates are the last day of February in their respective years, both day-of-month is changed to 30</w:t>
            </w:r>
          </w:p>
          <w:p w:rsidR="005F78FC" w:rsidRDefault="00B42EF3">
            <w:pPr>
              <w:pStyle w:val="TableBodyText"/>
            </w:pPr>
            <w:r>
              <w:t>Otherwise, if date1 is the last day o</w:t>
            </w:r>
            <w:r>
              <w:t>f February, its day-of-month is changed to 30</w:t>
            </w:r>
          </w:p>
        </w:tc>
      </w:tr>
      <w:tr w:rsidR="005F78FC" w:rsidTr="005F78FC">
        <w:tc>
          <w:tcPr>
            <w:tcW w:w="0" w:type="auto"/>
            <w:vAlign w:val="center"/>
          </w:tcPr>
          <w:p w:rsidR="005F78FC" w:rsidRDefault="00B42EF3">
            <w:pPr>
              <w:pStyle w:val="TableBodyText"/>
            </w:pPr>
            <w:r>
              <w:rPr>
                <w:rStyle w:val="InlineCode"/>
              </w:rPr>
              <w:t>1</w:t>
            </w:r>
          </w:p>
        </w:tc>
        <w:tc>
          <w:tcPr>
            <w:tcW w:w="0" w:type="auto"/>
            <w:vAlign w:val="center"/>
          </w:tcPr>
          <w:p w:rsidR="005F78FC" w:rsidRDefault="00B42EF3">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5F78FC" w:rsidRDefault="005F78FC">
            <w:pPr>
              <w:pStyle w:val="TableBodyText"/>
            </w:pPr>
          </w:p>
          <w:p w:rsidR="005F78FC" w:rsidRDefault="00B42EF3">
            <w:pPr>
              <w:pStyle w:val="TableBodyText"/>
            </w:pPr>
            <w:r>
              <w:t>To det</w:t>
            </w:r>
            <w:r>
              <w:t>ermine if date1 and date2 are “less than or equal to a year apart” for purposes of this algorithm, one of these conditions must be true:</w:t>
            </w:r>
          </w:p>
          <w:p w:rsidR="005F78FC" w:rsidRDefault="00B42EF3">
            <w:pPr>
              <w:pStyle w:val="ListParagraph"/>
              <w:numPr>
                <w:ilvl w:val="0"/>
                <w:numId w:val="104"/>
              </w:numPr>
            </w:pPr>
            <w:r>
              <w:t>The two dates have the same year</w:t>
            </w:r>
          </w:p>
          <w:p w:rsidR="005F78FC" w:rsidRDefault="00B42EF3">
            <w:pPr>
              <w:pStyle w:val="ListParagraph"/>
              <w:numPr>
                <w:ilvl w:val="0"/>
                <w:numId w:val="105"/>
              </w:numPr>
            </w:pPr>
            <w:r>
              <w:t>Date2’s year is exactly one more than date1’s year, and ((date1.month &gt; date2.month) o</w:t>
            </w:r>
            <w:r>
              <w:t>r ((date1.month == date2.month) and (date1.day &gt;= date2.day)))</w:t>
            </w:r>
          </w:p>
        </w:tc>
      </w:tr>
      <w:tr w:rsidR="005F78FC" w:rsidTr="005F78FC">
        <w:tc>
          <w:tcPr>
            <w:tcW w:w="0" w:type="auto"/>
            <w:vAlign w:val="center"/>
          </w:tcPr>
          <w:p w:rsidR="005F78FC" w:rsidRDefault="00B42EF3">
            <w:pPr>
              <w:pStyle w:val="TableBodyText"/>
            </w:pPr>
            <w:r>
              <w:rPr>
                <w:rStyle w:val="InlineCode"/>
              </w:rPr>
              <w:t>2</w:t>
            </w:r>
          </w:p>
        </w:tc>
        <w:tc>
          <w:tcPr>
            <w:tcW w:w="0" w:type="auto"/>
            <w:vAlign w:val="center"/>
          </w:tcPr>
          <w:p w:rsidR="005F78FC" w:rsidRDefault="00B42EF3">
            <w:pPr>
              <w:pStyle w:val="TableBodyText"/>
            </w:pPr>
            <w:r>
              <w:t>Actual/360. Computes the actual difference in days, and presumes there are always 360 days per year.</w:t>
            </w:r>
          </w:p>
        </w:tc>
      </w:tr>
      <w:tr w:rsidR="005F78FC" w:rsidTr="005F78FC">
        <w:tc>
          <w:tcPr>
            <w:tcW w:w="0" w:type="auto"/>
            <w:vAlign w:val="center"/>
          </w:tcPr>
          <w:p w:rsidR="005F78FC" w:rsidRDefault="00B42EF3">
            <w:pPr>
              <w:pStyle w:val="TableBodyText"/>
            </w:pPr>
            <w:r>
              <w:rPr>
                <w:rStyle w:val="InlineCode"/>
              </w:rPr>
              <w:t>3</w:t>
            </w:r>
          </w:p>
        </w:tc>
        <w:tc>
          <w:tcPr>
            <w:tcW w:w="0" w:type="auto"/>
            <w:vAlign w:val="center"/>
          </w:tcPr>
          <w:p w:rsidR="005F78FC" w:rsidRDefault="00B42EF3">
            <w:pPr>
              <w:pStyle w:val="TableBodyText"/>
            </w:pPr>
            <w:r>
              <w:t xml:space="preserve">Actual/365. Computes the actual difference in days, and presumes there are always 365 </w:t>
            </w:r>
            <w:r>
              <w:t>days per year.</w:t>
            </w:r>
          </w:p>
        </w:tc>
      </w:tr>
      <w:tr w:rsidR="005F78FC" w:rsidTr="005F78FC">
        <w:tc>
          <w:tcPr>
            <w:tcW w:w="0" w:type="auto"/>
            <w:vAlign w:val="center"/>
          </w:tcPr>
          <w:p w:rsidR="005F78FC" w:rsidRDefault="00B42EF3">
            <w:pPr>
              <w:pStyle w:val="TableBodyText"/>
            </w:pPr>
            <w:r>
              <w:rPr>
                <w:rStyle w:val="InlineCode"/>
              </w:rPr>
              <w:t>4</w:t>
            </w:r>
          </w:p>
        </w:tc>
        <w:tc>
          <w:tcPr>
            <w:tcW w:w="0" w:type="auto"/>
            <w:vAlign w:val="center"/>
          </w:tcPr>
          <w:p w:rsidR="005F78FC" w:rsidRDefault="00B42EF3">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5F78FC" w:rsidRDefault="005F78FC"/>
    <w:p w:rsidR="005F78FC" w:rsidRDefault="00B42EF3">
      <w:pPr>
        <w:pStyle w:val="Definition-Field"/>
      </w:pPr>
      <w:r>
        <w:t xml:space="preserve">b.   </w:t>
      </w:r>
      <w:r>
        <w:rPr>
          <w:i/>
        </w:rPr>
        <w:t>The standard indicates that the function is specific to U.S. currency.</w:t>
      </w:r>
    </w:p>
    <w:p w:rsidR="005F78FC" w:rsidRDefault="00B42EF3">
      <w:pPr>
        <w:pStyle w:val="Definition-Field2"/>
      </w:pPr>
      <w:r>
        <w:t>Office does not require the function to be specific to an</w:t>
      </w:r>
      <w:r>
        <w:t>y currency.</w:t>
      </w:r>
    </w:p>
    <w:p w:rsidR="005F78FC" w:rsidRDefault="00B42EF3">
      <w:pPr>
        <w:pStyle w:val="Definition-Field"/>
      </w:pPr>
      <w:r>
        <w:t xml:space="preserve">c.   </w:t>
      </w:r>
      <w:r>
        <w:rPr>
          <w:i/>
        </w:rPr>
        <w:t>The standard indicates no restriction on the argument redemption.</w:t>
      </w:r>
    </w:p>
    <w:p w:rsidR="005F78FC" w:rsidRDefault="00B42EF3">
      <w:pPr>
        <w:pStyle w:val="Definition-Field2"/>
      </w:pPr>
      <w:r>
        <w:t>Office returns #NUM! ff the argument redemption &lt;= 0.</w:t>
      </w:r>
    </w:p>
    <w:p w:rsidR="005F78FC" w:rsidRDefault="00B42EF3">
      <w:pPr>
        <w:pStyle w:val="Heading3"/>
      </w:pPr>
      <w:bookmarkStart w:id="2040" w:name="section_3f0b46b39db74c8f9648c98178acff40"/>
      <w:bookmarkStart w:id="2041" w:name="_Toc69878793"/>
      <w:r>
        <w:t>Part 1 Section 18.17.7.244, ODDLYIELD</w:t>
      </w:r>
      <w:bookmarkEnd w:id="2040"/>
      <w:bookmarkEnd w:id="2041"/>
      <w:r>
        <w:fldChar w:fldCharType="begin"/>
      </w:r>
      <w:r>
        <w:instrText xml:space="preserve"> XE "ODDLYIELD" </w:instrText>
      </w:r>
      <w:r>
        <w:fldChar w:fldCharType="end"/>
      </w:r>
    </w:p>
    <w:p w:rsidR="005F78FC" w:rsidRDefault="00B42EF3">
      <w:pPr>
        <w:pStyle w:val="Definition-Field"/>
      </w:pPr>
      <w:r>
        <w:t xml:space="preserve">a.   </w:t>
      </w:r>
      <w:r>
        <w:rPr>
          <w:i/>
        </w:rPr>
        <w:t xml:space="preserve">The standard does not specify day and month adjustments </w:t>
      </w:r>
      <w:r>
        <w:rPr>
          <w:i/>
        </w:rPr>
        <w:t>for the basis argument.</w:t>
      </w:r>
    </w:p>
    <w:p w:rsidR="005F78FC" w:rsidRDefault="00B42EF3">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Value</w:t>
            </w:r>
          </w:p>
        </w:tc>
        <w:tc>
          <w:tcPr>
            <w:tcW w:w="0" w:type="auto"/>
            <w:vAlign w:val="center"/>
          </w:tcPr>
          <w:p w:rsidR="005F78FC" w:rsidRDefault="00B42EF3">
            <w:pPr>
              <w:pStyle w:val="TableHeaderText"/>
            </w:pPr>
            <w:r>
              <w:t>Day Count Basis</w:t>
            </w:r>
          </w:p>
        </w:tc>
      </w:tr>
      <w:tr w:rsidR="005F78FC" w:rsidTr="005F78FC">
        <w:tc>
          <w:tcPr>
            <w:tcW w:w="0" w:type="auto"/>
            <w:vAlign w:val="center"/>
          </w:tcPr>
          <w:p w:rsidR="005F78FC" w:rsidRDefault="00B42EF3">
            <w:pPr>
              <w:pStyle w:val="TableBodyText"/>
            </w:pPr>
            <w:r>
              <w:rPr>
                <w:rStyle w:val="InlineCode"/>
              </w:rPr>
              <w:t>0</w:t>
            </w:r>
            <w:r>
              <w:t xml:space="preserve"> or omitted</w:t>
            </w:r>
          </w:p>
        </w:tc>
        <w:tc>
          <w:tcPr>
            <w:tcW w:w="0" w:type="auto"/>
            <w:vAlign w:val="center"/>
          </w:tcPr>
          <w:p w:rsidR="005F78FC" w:rsidRDefault="00B42EF3">
            <w:pPr>
              <w:pStyle w:val="TableBodyText"/>
            </w:pPr>
            <w:r>
              <w:t>US (NASD) 30/360. If the dates are equal, the difference of days is 0. Assumes that each mo</w:t>
            </w:r>
            <w:r>
              <w:t>nth has 30 days and the total number of days in the year is 360 by making the following adjustments:</w:t>
            </w:r>
          </w:p>
          <w:p w:rsidR="005F78FC" w:rsidRDefault="00B42EF3">
            <w:pPr>
              <w:pStyle w:val="TableBodyText"/>
            </w:pPr>
            <w:r>
              <w:t>If both day-of-months are 31, they are changed to 30</w:t>
            </w:r>
          </w:p>
          <w:p w:rsidR="005F78FC" w:rsidRDefault="00B42EF3">
            <w:pPr>
              <w:pStyle w:val="TableBodyText"/>
            </w:pPr>
            <w:r>
              <w:t>Otherwise, if date1’s day-of-month is 31, it is changed to 30</w:t>
            </w:r>
          </w:p>
          <w:p w:rsidR="005F78FC" w:rsidRDefault="00B42EF3">
            <w:pPr>
              <w:pStyle w:val="TableBodyText"/>
            </w:pPr>
            <w:r>
              <w:lastRenderedPageBreak/>
              <w:t>Otherwise, if date1’s day-of-month is 30</w:t>
            </w:r>
            <w:r>
              <w:t xml:space="preserve"> and date2’s day-of-month is 31, date2’s day-of-month is changed to 30 (note that date2’s day-of-month will stay 31 if date1’s day &lt; 30)</w:t>
            </w:r>
          </w:p>
          <w:p w:rsidR="005F78FC" w:rsidRDefault="00B42EF3">
            <w:pPr>
              <w:pStyle w:val="TableBodyText"/>
            </w:pPr>
            <w:r>
              <w:t>Otherwise, if both dates are the last day of February in their respective years, both day-of-month is changed to 30</w:t>
            </w:r>
          </w:p>
          <w:p w:rsidR="005F78FC" w:rsidRDefault="00B42EF3">
            <w:pPr>
              <w:pStyle w:val="TableBodyText"/>
            </w:pPr>
            <w:r>
              <w:t>Oth</w:t>
            </w:r>
            <w:r>
              <w:t>erwise, if date1 is the last day of February, its day-of-month is changed to 30</w:t>
            </w:r>
          </w:p>
        </w:tc>
      </w:tr>
      <w:tr w:rsidR="005F78FC" w:rsidTr="005F78FC">
        <w:tc>
          <w:tcPr>
            <w:tcW w:w="0" w:type="auto"/>
            <w:vAlign w:val="center"/>
          </w:tcPr>
          <w:p w:rsidR="005F78FC" w:rsidRDefault="00B42EF3">
            <w:pPr>
              <w:pStyle w:val="TableBodyText"/>
            </w:pPr>
            <w:r>
              <w:rPr>
                <w:rStyle w:val="InlineCode"/>
              </w:rPr>
              <w:lastRenderedPageBreak/>
              <w:t>1</w:t>
            </w:r>
          </w:p>
        </w:tc>
        <w:tc>
          <w:tcPr>
            <w:tcW w:w="0" w:type="auto"/>
            <w:vAlign w:val="center"/>
          </w:tcPr>
          <w:p w:rsidR="005F78FC" w:rsidRDefault="00B42EF3">
            <w:pPr>
              <w:pStyle w:val="TableBodyText"/>
            </w:pPr>
            <w:r>
              <w:t>Actual/actual. If the dates are equal, the difference in days is 0. If date1 and date2 not “less than or equal to a year apart” (as defined below), then the days in the year</w:t>
            </w:r>
            <w:r>
              <w:t xml:space="preserve">s between the dates is the average number of days in the years between date1 and date2, inclusive. Otherwise, the days in the years between the dates is 365, except for these cases (where it is 366): the dates are in the same year and it is a leap-year, a </w:t>
            </w:r>
            <w:r>
              <w:t xml:space="preserve">February 29 occurs between the two dates, or </w:t>
            </w:r>
            <w:r>
              <w:rPr>
                <w:b/>
              </w:rPr>
              <w:t>date1 or</w:t>
            </w:r>
            <w:r>
              <w:t xml:space="preserve"> date2 is February 29.</w:t>
            </w:r>
          </w:p>
          <w:p w:rsidR="005F78FC" w:rsidRDefault="005F78FC">
            <w:pPr>
              <w:pStyle w:val="TableBodyText"/>
            </w:pPr>
          </w:p>
          <w:p w:rsidR="005F78FC" w:rsidRDefault="00B42EF3">
            <w:pPr>
              <w:pStyle w:val="TableBodyText"/>
            </w:pPr>
            <w:r>
              <w:t>To determine if date1 and date2 are “less than or equal to a year apart” for purposes of this algorithm, one of these conditions must be true:</w:t>
            </w:r>
          </w:p>
          <w:p w:rsidR="005F78FC" w:rsidRDefault="00B42EF3">
            <w:pPr>
              <w:pStyle w:val="ListParagraph"/>
              <w:numPr>
                <w:ilvl w:val="0"/>
                <w:numId w:val="106"/>
              </w:numPr>
            </w:pPr>
            <w:r>
              <w:t>The two dates have the same year</w:t>
            </w:r>
          </w:p>
          <w:p w:rsidR="005F78FC" w:rsidRDefault="00B42EF3">
            <w:pPr>
              <w:pStyle w:val="ListParagraph"/>
              <w:numPr>
                <w:ilvl w:val="0"/>
                <w:numId w:val="107"/>
              </w:numPr>
            </w:pPr>
            <w:r>
              <w:t>Date2’s year is exactly one more than date1’s year, and ((date1.month &gt; date2.month) or ((date1.month == date2.month) and (date1.day &gt;= date2.day)))</w:t>
            </w:r>
          </w:p>
        </w:tc>
      </w:tr>
      <w:tr w:rsidR="005F78FC" w:rsidTr="005F78FC">
        <w:tc>
          <w:tcPr>
            <w:tcW w:w="0" w:type="auto"/>
            <w:vAlign w:val="center"/>
          </w:tcPr>
          <w:p w:rsidR="005F78FC" w:rsidRDefault="00B42EF3">
            <w:pPr>
              <w:pStyle w:val="TableBodyText"/>
            </w:pPr>
            <w:r>
              <w:rPr>
                <w:rStyle w:val="InlineCode"/>
              </w:rPr>
              <w:t>2</w:t>
            </w:r>
          </w:p>
        </w:tc>
        <w:tc>
          <w:tcPr>
            <w:tcW w:w="0" w:type="auto"/>
            <w:vAlign w:val="center"/>
          </w:tcPr>
          <w:p w:rsidR="005F78FC" w:rsidRDefault="00B42EF3">
            <w:pPr>
              <w:pStyle w:val="TableBodyText"/>
            </w:pPr>
            <w:r>
              <w:t>Actual/360. Computes the actual difference in days, and presumes there are always 360 days per year.</w:t>
            </w:r>
          </w:p>
        </w:tc>
      </w:tr>
      <w:tr w:rsidR="005F78FC" w:rsidTr="005F78FC">
        <w:tc>
          <w:tcPr>
            <w:tcW w:w="0" w:type="auto"/>
            <w:vAlign w:val="center"/>
          </w:tcPr>
          <w:p w:rsidR="005F78FC" w:rsidRDefault="00B42EF3">
            <w:pPr>
              <w:pStyle w:val="TableBodyText"/>
            </w:pPr>
            <w:r>
              <w:rPr>
                <w:rStyle w:val="InlineCode"/>
              </w:rPr>
              <w:t>3</w:t>
            </w:r>
          </w:p>
        </w:tc>
        <w:tc>
          <w:tcPr>
            <w:tcW w:w="0" w:type="auto"/>
            <w:vAlign w:val="center"/>
          </w:tcPr>
          <w:p w:rsidR="005F78FC" w:rsidRDefault="00B42EF3">
            <w:pPr>
              <w:pStyle w:val="TableBodyText"/>
            </w:pPr>
            <w:r>
              <w:t>Actual/365. Computes the actual difference in days, and presumes there are always 365 days per year.</w:t>
            </w:r>
          </w:p>
        </w:tc>
      </w:tr>
      <w:tr w:rsidR="005F78FC" w:rsidTr="005F78FC">
        <w:tc>
          <w:tcPr>
            <w:tcW w:w="0" w:type="auto"/>
            <w:vAlign w:val="center"/>
          </w:tcPr>
          <w:p w:rsidR="005F78FC" w:rsidRDefault="00B42EF3">
            <w:pPr>
              <w:pStyle w:val="TableBodyText"/>
            </w:pPr>
            <w:r>
              <w:rPr>
                <w:rStyle w:val="InlineCode"/>
              </w:rPr>
              <w:t>4</w:t>
            </w:r>
          </w:p>
        </w:tc>
        <w:tc>
          <w:tcPr>
            <w:tcW w:w="0" w:type="auto"/>
            <w:vAlign w:val="center"/>
          </w:tcPr>
          <w:p w:rsidR="005F78FC" w:rsidRDefault="00B42EF3">
            <w:pPr>
              <w:pStyle w:val="TableBodyText"/>
            </w:pPr>
            <w:r>
              <w:t xml:space="preserve">European 30/360. The European method for adjusting day counts. If the dates are equal, the difference of days is 0. Assumes that each month has 30 days </w:t>
            </w:r>
            <w:r>
              <w:t xml:space="preserve">and the total number of days in the year is 360; any day-of-month (in date1, date2, or both) with a value of 31 is changed to 30. Note that February dates are </w:t>
            </w:r>
            <w:r>
              <w:rPr>
                <w:i/>
              </w:rPr>
              <w:t xml:space="preserve">never </w:t>
            </w:r>
            <w:r>
              <w:t>changed, because there is no February 31.</w:t>
            </w:r>
          </w:p>
        </w:tc>
      </w:tr>
    </w:tbl>
    <w:p w:rsidR="005F78FC" w:rsidRDefault="005F78FC"/>
    <w:p w:rsidR="005F78FC" w:rsidRDefault="00B42EF3">
      <w:pPr>
        <w:pStyle w:val="Definition-Field"/>
      </w:pPr>
      <w:r>
        <w:t xml:space="preserve">b.   </w:t>
      </w:r>
      <w:r>
        <w:rPr>
          <w:i/>
        </w:rPr>
        <w:t>The standard indicates that the function i</w:t>
      </w:r>
      <w:r>
        <w:rPr>
          <w:i/>
        </w:rPr>
        <w:t>s specific to U.S. currency.</w:t>
      </w:r>
    </w:p>
    <w:p w:rsidR="005F78FC" w:rsidRDefault="00B42EF3">
      <w:pPr>
        <w:pStyle w:val="Definition-Field2"/>
      </w:pPr>
      <w:r>
        <w:t>Office does not require the function to be specific to any currency.</w:t>
      </w:r>
    </w:p>
    <w:p w:rsidR="005F78FC" w:rsidRDefault="00B42EF3">
      <w:pPr>
        <w:pStyle w:val="Definition-Field"/>
      </w:pPr>
      <w:r>
        <w:t xml:space="preserve">c.   </w:t>
      </w:r>
      <w:r>
        <w:rPr>
          <w:i/>
        </w:rPr>
        <w:t>The standard states that if rate or pr &lt; 0, #NUM! is returned.</w:t>
      </w:r>
    </w:p>
    <w:p w:rsidR="005F78FC" w:rsidRDefault="00B42EF3">
      <w:pPr>
        <w:pStyle w:val="Definition-Field2"/>
      </w:pPr>
      <w:r>
        <w:t>Office returns #NUM! if rate &lt; 0 or pr &lt;= 0.</w:t>
      </w:r>
    </w:p>
    <w:p w:rsidR="005F78FC" w:rsidRDefault="00B42EF3">
      <w:pPr>
        <w:pStyle w:val="Heading3"/>
      </w:pPr>
      <w:bookmarkStart w:id="2042" w:name="section_0ff7e6c2c09e403781452c21b7e55f9b"/>
      <w:bookmarkStart w:id="2043" w:name="_Toc69878794"/>
      <w:r>
        <w:t>Part 1 Section 18.17.7.245, OFFSET</w:t>
      </w:r>
      <w:bookmarkEnd w:id="2042"/>
      <w:bookmarkEnd w:id="2043"/>
      <w:r>
        <w:fldChar w:fldCharType="begin"/>
      </w:r>
      <w:r>
        <w:instrText xml:space="preserve"> XE "OFFSET" </w:instrText>
      </w:r>
      <w:r>
        <w:fldChar w:fldCharType="end"/>
      </w:r>
    </w:p>
    <w:p w:rsidR="005F78FC" w:rsidRDefault="00B42EF3">
      <w:pPr>
        <w:pStyle w:val="Definition-Field"/>
      </w:pPr>
      <w:r>
        <w:t xml:space="preserve">a.   </w:t>
      </w:r>
      <w:r>
        <w:rPr>
          <w:i/>
        </w:rPr>
        <w:t>The standard specifies that the height and width arguments shall be positive.</w:t>
      </w:r>
    </w:p>
    <w:p w:rsidR="005F78FC" w:rsidRDefault="00B42EF3">
      <w:pPr>
        <w:pStyle w:val="Definition-Field2"/>
      </w:pPr>
      <w:r>
        <w:t>Office allows the height and width arguments to be negative.</w:t>
      </w:r>
    </w:p>
    <w:p w:rsidR="005F78FC" w:rsidRDefault="00B42EF3">
      <w:pPr>
        <w:pStyle w:val="Heading3"/>
      </w:pPr>
      <w:bookmarkStart w:id="2044" w:name="section_1bef1e6aca8a4f4c9d452a4d84daf079"/>
      <w:bookmarkStart w:id="2045" w:name="_Toc69878795"/>
      <w:r>
        <w:t>Part 1 Section 18.17.7.247, PEARSON</w:t>
      </w:r>
      <w:bookmarkEnd w:id="2044"/>
      <w:bookmarkEnd w:id="2045"/>
      <w:r>
        <w:fldChar w:fldCharType="begin"/>
      </w:r>
      <w:r>
        <w:instrText xml:space="preserve"> XE "PEARSON" </w:instrText>
      </w:r>
      <w:r>
        <w:fldChar w:fldCharType="end"/>
      </w:r>
    </w:p>
    <w:p w:rsidR="005F78FC" w:rsidRDefault="00B42EF3">
      <w:pPr>
        <w:pStyle w:val="Definition-Field"/>
      </w:pPr>
      <w:r>
        <w:t xml:space="preserve">a.   </w:t>
      </w:r>
      <w:r>
        <w:rPr>
          <w:i/>
        </w:rPr>
        <w:t>The standard maps x and y to AVERAGE(ar</w:t>
      </w:r>
      <w:r>
        <w:rPr>
          <w:i/>
        </w:rPr>
        <w:t>ray-1) and AVERAGE(array-2), respectively.</w:t>
      </w:r>
    </w:p>
    <w:p w:rsidR="005F78FC" w:rsidRDefault="00B42EF3">
      <w:pPr>
        <w:pStyle w:val="Definition-Field2"/>
      </w:pPr>
      <w:r>
        <w:t>Office maps x to an individual value from array-1, x-bar to AVERAGE(array-1), y to an individual value from array-2, y-bar to AVERAGE(array-2).</w:t>
      </w:r>
    </w:p>
    <w:p w:rsidR="005F78FC" w:rsidRDefault="00B42EF3">
      <w:pPr>
        <w:pStyle w:val="Heading3"/>
      </w:pPr>
      <w:bookmarkStart w:id="2046" w:name="section_c7d5519620ea494ebc189f54df3eaca6"/>
      <w:bookmarkStart w:id="2047" w:name="_Toc69878796"/>
      <w:r>
        <w:t>Part 1 Section 18.17.7.248, PERCENTILE</w:t>
      </w:r>
      <w:bookmarkEnd w:id="2046"/>
      <w:bookmarkEnd w:id="2047"/>
      <w:r>
        <w:fldChar w:fldCharType="begin"/>
      </w:r>
      <w:r>
        <w:instrText xml:space="preserve"> XE "PERCENTILE" </w:instrText>
      </w:r>
      <w:r>
        <w:fldChar w:fldCharType="end"/>
      </w:r>
    </w:p>
    <w:p w:rsidR="005F78FC" w:rsidRDefault="00B42EF3">
      <w:pPr>
        <w:pStyle w:val="Definition-Field"/>
      </w:pPr>
      <w:r>
        <w:t xml:space="preserve">a.   </w:t>
      </w:r>
      <w:r>
        <w:rPr>
          <w:i/>
        </w:rPr>
        <w:t>The st</w:t>
      </w:r>
      <w:r>
        <w:rPr>
          <w:i/>
        </w:rPr>
        <w:t>andard indicated the return value is undefined if the array is empty.</w:t>
      </w:r>
    </w:p>
    <w:p w:rsidR="005F78FC" w:rsidRDefault="00B42EF3">
      <w:pPr>
        <w:pStyle w:val="Definition-Field2"/>
      </w:pPr>
      <w:r>
        <w:lastRenderedPageBreak/>
        <w:t>Office returns 0 if the array is empty.</w:t>
      </w:r>
    </w:p>
    <w:p w:rsidR="005F78FC" w:rsidRDefault="00B42EF3">
      <w:pPr>
        <w:pStyle w:val="Heading3"/>
      </w:pPr>
      <w:bookmarkStart w:id="2048" w:name="section_ee517e537e4049ca8431f184ad2cd716"/>
      <w:bookmarkStart w:id="2049" w:name="_Toc69878797"/>
      <w:r>
        <w:t>Part 1 Section 18.17.7.249, PERCENTRANK</w:t>
      </w:r>
      <w:bookmarkEnd w:id="2048"/>
      <w:bookmarkEnd w:id="2049"/>
      <w:r>
        <w:fldChar w:fldCharType="begin"/>
      </w:r>
      <w:r>
        <w:instrText xml:space="preserve"> XE "PERCENTRANK" </w:instrText>
      </w:r>
      <w:r>
        <w:fldChar w:fldCharType="end"/>
      </w:r>
    </w:p>
    <w:p w:rsidR="005F78FC" w:rsidRDefault="00B42EF3">
      <w:pPr>
        <w:pStyle w:val="Definition-Field"/>
      </w:pPr>
      <w:r>
        <w:t xml:space="preserve">a.   </w:t>
      </w:r>
      <w:r>
        <w:rPr>
          <w:i/>
        </w:rPr>
        <w:t>The standard defines significance argument as a number.</w:t>
      </w:r>
    </w:p>
    <w:p w:rsidR="005F78FC" w:rsidRDefault="00B42EF3">
      <w:pPr>
        <w:pStyle w:val="Definition-Field2"/>
      </w:pPr>
      <w:r>
        <w:t xml:space="preserve">Office truncates </w:t>
      </w:r>
      <w:r>
        <w:t>significance argument to an integer.</w:t>
      </w:r>
    </w:p>
    <w:p w:rsidR="005F78FC" w:rsidRDefault="00B42EF3">
      <w:pPr>
        <w:pStyle w:val="Definition-Field"/>
      </w:pPr>
      <w:r>
        <w:t xml:space="preserve">b.   </w:t>
      </w:r>
      <w:r>
        <w:rPr>
          <w:i/>
        </w:rPr>
        <w:t>The standard does not specify an upper limit on significance argument.</w:t>
      </w:r>
    </w:p>
    <w:p w:rsidR="005F78FC" w:rsidRDefault="00B42EF3">
      <w:pPr>
        <w:pStyle w:val="Definition-Field2"/>
      </w:pPr>
      <w:r>
        <w:t>Office returns #DIV/0! when the significance argument is greater than 308.</w:t>
      </w:r>
    </w:p>
    <w:p w:rsidR="005F78FC" w:rsidRDefault="00B42EF3">
      <w:pPr>
        <w:pStyle w:val="Heading3"/>
      </w:pPr>
      <w:bookmarkStart w:id="2050" w:name="section_77902b0ad44f4b40bf1fd73167a47f39"/>
      <w:bookmarkStart w:id="2051" w:name="_Toc69878798"/>
      <w:r>
        <w:t>Part 1 Section 18.17.7.253, PMT</w:t>
      </w:r>
      <w:bookmarkEnd w:id="2050"/>
      <w:bookmarkEnd w:id="2051"/>
      <w:r>
        <w:fldChar w:fldCharType="begin"/>
      </w:r>
      <w:r>
        <w:instrText xml:space="preserve"> XE "PMT" </w:instrText>
      </w:r>
      <w:r>
        <w:fldChar w:fldCharType="end"/>
      </w:r>
    </w:p>
    <w:p w:rsidR="005F78FC" w:rsidRDefault="00B42EF3">
      <w:pPr>
        <w:pStyle w:val="Definition-Field"/>
      </w:pPr>
      <w:r>
        <w:t xml:space="preserve">a.   </w:t>
      </w:r>
      <w:r>
        <w:rPr>
          <w:i/>
        </w:rPr>
        <w:t>The standard places</w:t>
      </w:r>
      <w:r>
        <w:rPr>
          <w:i/>
        </w:rPr>
        <w:t xml:space="preserve"> no restrictions on nper.</w:t>
      </w:r>
    </w:p>
    <w:p w:rsidR="005F78FC" w:rsidRDefault="00B42EF3">
      <w:pPr>
        <w:pStyle w:val="Definition-Field2"/>
      </w:pPr>
      <w:r>
        <w:t>In Excel, if nper is 0, then #DIV/0! is returned.</w:t>
      </w:r>
    </w:p>
    <w:p w:rsidR="005F78FC" w:rsidRDefault="00B42EF3">
      <w:pPr>
        <w:pStyle w:val="Definition-Field"/>
      </w:pPr>
      <w:r>
        <w:t xml:space="preserve">b.   </w:t>
      </w:r>
      <w:r>
        <w:rPr>
          <w:i/>
        </w:rPr>
        <w:t>The standard states that the argument type can only be 0 or 1.</w:t>
      </w:r>
    </w:p>
    <w:p w:rsidR="005F78FC" w:rsidRDefault="00B42EF3">
      <w:pPr>
        <w:pStyle w:val="Definition-Field2"/>
      </w:pPr>
      <w:r>
        <w:t>Office allows the value for argument type to be omitted or nonzero.</w:t>
      </w:r>
    </w:p>
    <w:p w:rsidR="005F78FC" w:rsidRDefault="00B42EF3">
      <w:pPr>
        <w:pStyle w:val="Definition-Field"/>
      </w:pPr>
      <w:r>
        <w:t xml:space="preserve">c.   </w:t>
      </w:r>
      <w:r>
        <w:rPr>
          <w:i/>
        </w:rPr>
        <w:t>The standard states that the argument t</w:t>
      </w:r>
      <w:r>
        <w:rPr>
          <w:i/>
        </w:rPr>
        <w:t>ype is truncated to an integer.</w:t>
      </w:r>
    </w:p>
    <w:p w:rsidR="005F78FC" w:rsidRDefault="00B42EF3">
      <w:pPr>
        <w:pStyle w:val="Definition-Field2"/>
      </w:pPr>
      <w:r>
        <w:t>Office does not truncate the argument type to an integer.</w:t>
      </w:r>
    </w:p>
    <w:p w:rsidR="005F78FC" w:rsidRDefault="00B42EF3">
      <w:pPr>
        <w:pStyle w:val="Definition-Field"/>
      </w:pPr>
      <w:r>
        <w:t xml:space="preserve">d.   </w:t>
      </w:r>
      <w:r>
        <w:rPr>
          <w:i/>
        </w:rPr>
        <w:t>The standard does not specify a default for the optional argument type.</w:t>
      </w:r>
    </w:p>
    <w:p w:rsidR="005F78FC" w:rsidRDefault="00B42EF3">
      <w:pPr>
        <w:pStyle w:val="Definition-Field2"/>
      </w:pPr>
      <w:r>
        <w:t>In Office, if the value for type is omitted it defaults to value of 0.</w:t>
      </w:r>
    </w:p>
    <w:p w:rsidR="005F78FC" w:rsidRDefault="00B42EF3">
      <w:pPr>
        <w:pStyle w:val="Heading3"/>
      </w:pPr>
      <w:bookmarkStart w:id="2052" w:name="section_0001645b75344016ae4bf913658dd855"/>
      <w:bookmarkStart w:id="2053" w:name="_Toc69878799"/>
      <w:r>
        <w:t>Part 1 Section 18.</w:t>
      </w:r>
      <w:r>
        <w:t>17.7.254, POISSON</w:t>
      </w:r>
      <w:bookmarkEnd w:id="2052"/>
      <w:bookmarkEnd w:id="2053"/>
      <w:r>
        <w:fldChar w:fldCharType="begin"/>
      </w:r>
      <w:r>
        <w:instrText xml:space="preserve"> XE "POISSON" </w:instrText>
      </w:r>
      <w:r>
        <w:fldChar w:fldCharType="end"/>
      </w:r>
    </w:p>
    <w:p w:rsidR="005F78FC" w:rsidRDefault="00B42EF3">
      <w:pPr>
        <w:pStyle w:val="Definition-Field"/>
      </w:pPr>
      <w:r>
        <w:t xml:space="preserve">a.   </w:t>
      </w:r>
      <w:r>
        <w:rPr>
          <w:i/>
        </w:rPr>
        <w:t>The standard stated that if argument mean ≤ 0, #NUM! is returned.</w:t>
      </w:r>
    </w:p>
    <w:p w:rsidR="005F78FC" w:rsidRDefault="00B42EF3">
      <w:pPr>
        <w:pStyle w:val="Definition-Field2"/>
      </w:pPr>
      <w:r>
        <w:t>Office returns #NUM! if argument mean is &lt; 0.</w:t>
      </w:r>
    </w:p>
    <w:p w:rsidR="005F78FC" w:rsidRDefault="00B42EF3">
      <w:pPr>
        <w:pStyle w:val="Definition-Field"/>
      </w:pPr>
      <w:r>
        <w:t xml:space="preserve">b.   </w:t>
      </w:r>
      <w:r>
        <w:rPr>
          <w:i/>
        </w:rPr>
        <w:t>The standard states the formula for CUMPOISSON =  ∑_(k=0)^x((e^(-λ) λ^x)/k!).</w:t>
      </w:r>
    </w:p>
    <w:p w:rsidR="005F78FC" w:rsidRDefault="00B42EF3">
      <w:pPr>
        <w:pStyle w:val="Definition-Field2"/>
      </w:pPr>
      <w:r>
        <w:t>Office requires CUMPOI</w:t>
      </w:r>
      <w:r>
        <w:t>SSON = ∑_(k=0)^x((e^(-λ) λ^k)/k!).</w:t>
      </w:r>
    </w:p>
    <w:p w:rsidR="005F78FC" w:rsidRDefault="00B42EF3">
      <w:pPr>
        <w:pStyle w:val="Heading3"/>
      </w:pPr>
      <w:bookmarkStart w:id="2054" w:name="section_a2ea85f8876e4587958008fc856b67ab"/>
      <w:bookmarkStart w:id="2055" w:name="_Toc69878800"/>
      <w:r>
        <w:t>Part 1 Section 18.17.7.255, POWER</w:t>
      </w:r>
      <w:bookmarkEnd w:id="2054"/>
      <w:bookmarkEnd w:id="2055"/>
      <w:r>
        <w:fldChar w:fldCharType="begin"/>
      </w:r>
      <w:r>
        <w:instrText xml:space="preserve"> XE "POWER" </w:instrText>
      </w:r>
      <w:r>
        <w:fldChar w:fldCharType="end"/>
      </w:r>
    </w:p>
    <w:p w:rsidR="005F78FC" w:rsidRDefault="00B42EF3">
      <w:pPr>
        <w:pStyle w:val="Definition-Field"/>
      </w:pPr>
      <w:r>
        <w:t xml:space="preserve">a.   </w:t>
      </w:r>
      <w:r>
        <w:rPr>
          <w:i/>
        </w:rPr>
        <w:t>The standard states that POWER(0,0) will return #DIV/0!.</w:t>
      </w:r>
    </w:p>
    <w:p w:rsidR="005F78FC" w:rsidRDefault="00B42EF3">
      <w:pPr>
        <w:pStyle w:val="Definition-Field2"/>
      </w:pPr>
      <w:r>
        <w:t>Office returns #NUM! for POWER(0,0).</w:t>
      </w:r>
    </w:p>
    <w:p w:rsidR="005F78FC" w:rsidRDefault="00B42EF3">
      <w:pPr>
        <w:pStyle w:val="Heading3"/>
      </w:pPr>
      <w:bookmarkStart w:id="2056" w:name="section_e6f17fb3cf2542c5817dd67f8c6241e3"/>
      <w:bookmarkStart w:id="2057" w:name="_Toc69878801"/>
      <w:r>
        <w:t>Part 1 Section 18.17.7.256, PPMT</w:t>
      </w:r>
      <w:bookmarkEnd w:id="2056"/>
      <w:bookmarkEnd w:id="2057"/>
      <w:r>
        <w:fldChar w:fldCharType="begin"/>
      </w:r>
      <w:r>
        <w:instrText xml:space="preserve"> XE "PPMT" </w:instrText>
      </w:r>
      <w:r>
        <w:fldChar w:fldCharType="end"/>
      </w:r>
    </w:p>
    <w:p w:rsidR="005F78FC" w:rsidRDefault="00B42EF3">
      <w:pPr>
        <w:pStyle w:val="Definition-Field"/>
      </w:pPr>
      <w:r>
        <w:t xml:space="preserve">a.   </w:t>
      </w:r>
      <w:r>
        <w:rPr>
          <w:i/>
        </w:rPr>
        <w:t xml:space="preserve">The standard states </w:t>
      </w:r>
      <w:r>
        <w:rPr>
          <w:i/>
        </w:rPr>
        <w:t>that the type argument is truncated to an integer.</w:t>
      </w:r>
    </w:p>
    <w:p w:rsidR="005F78FC" w:rsidRDefault="00B42EF3">
      <w:pPr>
        <w:pStyle w:val="Definition-Field2"/>
      </w:pPr>
      <w:r>
        <w:t>Office does not truncate the type argument to an integer.</w:t>
      </w:r>
    </w:p>
    <w:p w:rsidR="005F78FC" w:rsidRDefault="00B42EF3">
      <w:pPr>
        <w:pStyle w:val="Definition-Field"/>
      </w:pPr>
      <w:r>
        <w:t xml:space="preserve">b.   </w:t>
      </w:r>
      <w:r>
        <w:rPr>
          <w:i/>
        </w:rPr>
        <w:t>The standard does not specify a default for the optional argument type.</w:t>
      </w:r>
    </w:p>
    <w:p w:rsidR="005F78FC" w:rsidRDefault="00B42EF3">
      <w:pPr>
        <w:pStyle w:val="Definition-Field2"/>
      </w:pPr>
      <w:r>
        <w:t>In Office, if the value for type is omitted it defaults to value of 0.</w:t>
      </w:r>
    </w:p>
    <w:p w:rsidR="005F78FC" w:rsidRDefault="00B42EF3">
      <w:pPr>
        <w:pStyle w:val="Definition-Field"/>
      </w:pPr>
      <w:r>
        <w:t xml:space="preserve">c.   </w:t>
      </w:r>
      <w:r>
        <w:rPr>
          <w:i/>
        </w:rPr>
        <w:t>The standard states that the argument type can only be 0 or 1.</w:t>
      </w:r>
    </w:p>
    <w:p w:rsidR="005F78FC" w:rsidRDefault="00B42EF3">
      <w:pPr>
        <w:pStyle w:val="Definition-Field2"/>
      </w:pPr>
      <w:r>
        <w:t>Office allows the value for argument type to be omitted or nonzero.</w:t>
      </w:r>
    </w:p>
    <w:p w:rsidR="005F78FC" w:rsidRDefault="00B42EF3">
      <w:pPr>
        <w:pStyle w:val="Definition-Field"/>
      </w:pPr>
      <w:r>
        <w:lastRenderedPageBreak/>
        <w:t xml:space="preserve">d.   </w:t>
      </w:r>
      <w:r>
        <w:rPr>
          <w:i/>
        </w:rPr>
        <w:t>The standard does not place any restrictions on the per argument.</w:t>
      </w:r>
    </w:p>
    <w:p w:rsidR="005F78FC" w:rsidRDefault="00B42EF3">
      <w:pPr>
        <w:pStyle w:val="Definition-Field2"/>
      </w:pPr>
      <w:r>
        <w:t xml:space="preserve">In Excel, if the per argument is less than 1 or </w:t>
      </w:r>
      <w:r>
        <w:t>greater than the nper argument, #NUM! is returned.</w:t>
      </w:r>
    </w:p>
    <w:p w:rsidR="005F78FC" w:rsidRDefault="00B42EF3">
      <w:pPr>
        <w:pStyle w:val="Heading3"/>
      </w:pPr>
      <w:bookmarkStart w:id="2058" w:name="section_43bbf55ba3b7457da526450e4bd8f136"/>
      <w:bookmarkStart w:id="2059" w:name="_Toc69878802"/>
      <w:r>
        <w:t>Part 1 Section 18.17.7.257, PRICE</w:t>
      </w:r>
      <w:bookmarkEnd w:id="2058"/>
      <w:bookmarkEnd w:id="2059"/>
      <w:r>
        <w:fldChar w:fldCharType="begin"/>
      </w:r>
      <w:r>
        <w:instrText xml:space="preserve"> XE "PRICE" </w:instrText>
      </w:r>
      <w:r>
        <w:fldChar w:fldCharType="end"/>
      </w:r>
    </w:p>
    <w:p w:rsidR="005F78FC" w:rsidRDefault="00B42EF3">
      <w:pPr>
        <w:pStyle w:val="Definition-Field"/>
      </w:pPr>
      <w:r>
        <w:t xml:space="preserve">a.   </w:t>
      </w:r>
      <w:r>
        <w:rPr>
          <w:i/>
        </w:rPr>
        <w:t>The standard does not specify day and month adjustments for the basis argument.</w:t>
      </w:r>
    </w:p>
    <w:p w:rsidR="005F78FC" w:rsidRDefault="00B42EF3">
      <w:r>
        <w:t xml:space="preserve">In Excel, the </w:t>
      </w:r>
      <w:r>
        <w:rPr>
          <w:i/>
        </w:rPr>
        <w:t>basis</w:t>
      </w:r>
      <w:r>
        <w:rPr>
          <w:b/>
          <w:i/>
        </w:rPr>
        <w:t xml:space="preserve"> </w:t>
      </w:r>
      <w:r>
        <w:t>argument specifies the truncated integer type of day</w:t>
      </w:r>
      <w:r>
        <w:t xml:space="preserve"> count basis to use, as follows:</w:t>
      </w:r>
    </w:p>
    <w:tbl>
      <w:tblPr>
        <w:tblStyle w:val="Table-ShadedHeader"/>
        <w:tblW w:w="0" w:type="auto"/>
        <w:tblLook w:val="04A0" w:firstRow="1" w:lastRow="0" w:firstColumn="1" w:lastColumn="0" w:noHBand="0" w:noVBand="1"/>
      </w:tblPr>
      <w:tblGrid>
        <w:gridCol w:w="939"/>
        <w:gridCol w:w="8536"/>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Value</w:t>
            </w:r>
          </w:p>
        </w:tc>
        <w:tc>
          <w:tcPr>
            <w:tcW w:w="0" w:type="auto"/>
            <w:vAlign w:val="center"/>
          </w:tcPr>
          <w:p w:rsidR="005F78FC" w:rsidRDefault="00B42EF3">
            <w:pPr>
              <w:pStyle w:val="TableHeaderText"/>
            </w:pPr>
            <w:r>
              <w:t>Day Count Basis</w:t>
            </w:r>
          </w:p>
        </w:tc>
      </w:tr>
      <w:tr w:rsidR="005F78FC" w:rsidTr="005F78FC">
        <w:tc>
          <w:tcPr>
            <w:tcW w:w="0" w:type="auto"/>
            <w:vAlign w:val="center"/>
          </w:tcPr>
          <w:p w:rsidR="005F78FC" w:rsidRDefault="00B42EF3">
            <w:pPr>
              <w:pStyle w:val="TableBodyText"/>
            </w:pPr>
            <w:r>
              <w:rPr>
                <w:rStyle w:val="InlineCode"/>
              </w:rPr>
              <w:t>0</w:t>
            </w:r>
            <w:r>
              <w:t xml:space="preserve"> or omitted</w:t>
            </w:r>
          </w:p>
        </w:tc>
        <w:tc>
          <w:tcPr>
            <w:tcW w:w="0" w:type="auto"/>
            <w:vAlign w:val="center"/>
          </w:tcPr>
          <w:p w:rsidR="005F78FC" w:rsidRDefault="00B42EF3">
            <w:pPr>
              <w:pStyle w:val="TableBodyText"/>
            </w:pPr>
            <w:r>
              <w:t xml:space="preserve">US (NASD) 30/360. If the dates are equal, the difference of days is 0. Assumes that each month has 30 days and the total number of days in the year is 360 by making the following </w:t>
            </w:r>
            <w:r>
              <w:t>adjustments:</w:t>
            </w:r>
          </w:p>
          <w:p w:rsidR="005F78FC" w:rsidRDefault="00B42EF3">
            <w:pPr>
              <w:pStyle w:val="TableBodyText"/>
            </w:pPr>
            <w:r>
              <w:t>If both day-of-months are 31, they are changed to 30</w:t>
            </w:r>
          </w:p>
          <w:p w:rsidR="005F78FC" w:rsidRDefault="00B42EF3">
            <w:pPr>
              <w:pStyle w:val="TableBodyText"/>
            </w:pPr>
            <w:r>
              <w:t>Otherwise, if date1’s day-of-month is 31, it is changed to 30</w:t>
            </w:r>
          </w:p>
          <w:p w:rsidR="005F78FC" w:rsidRDefault="00B42EF3">
            <w:pPr>
              <w:pStyle w:val="TableBodyText"/>
            </w:pPr>
            <w:r>
              <w:t xml:space="preserve">Otherwise, if date1’s day-of-month is 30 and date2’s day-of-month is 31, date2’s day-of-month is changed to 30 (note that </w:t>
            </w:r>
            <w:r>
              <w:t>date2’s day-of-month will stay 31 if date1’s day &lt; 30)</w:t>
            </w:r>
          </w:p>
          <w:p w:rsidR="005F78FC" w:rsidRDefault="00B42EF3">
            <w:pPr>
              <w:pStyle w:val="TableBodyText"/>
            </w:pPr>
            <w:r>
              <w:t>Otherwise, if both dates are the last day of February in their respective years, both day-of-month is changed to 30</w:t>
            </w:r>
          </w:p>
          <w:p w:rsidR="005F78FC" w:rsidRDefault="00B42EF3">
            <w:pPr>
              <w:pStyle w:val="TableBodyText"/>
            </w:pPr>
            <w:r>
              <w:t>Otherwise, if date1 is the last day of February, its day-of-month is changed to 30</w:t>
            </w:r>
          </w:p>
        </w:tc>
      </w:tr>
      <w:tr w:rsidR="005F78FC" w:rsidTr="005F78FC">
        <w:tc>
          <w:tcPr>
            <w:tcW w:w="0" w:type="auto"/>
            <w:vAlign w:val="center"/>
          </w:tcPr>
          <w:p w:rsidR="005F78FC" w:rsidRDefault="00B42EF3">
            <w:pPr>
              <w:pStyle w:val="TableBodyText"/>
            </w:pPr>
            <w:r>
              <w:rPr>
                <w:rStyle w:val="InlineCode"/>
              </w:rPr>
              <w:t>1</w:t>
            </w:r>
          </w:p>
        </w:tc>
        <w:tc>
          <w:tcPr>
            <w:tcW w:w="0" w:type="auto"/>
            <w:vAlign w:val="center"/>
          </w:tcPr>
          <w:p w:rsidR="005F78FC" w:rsidRDefault="00B42EF3">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w:t>
            </w:r>
            <w:r>
              <w:t xml:space="preserve">ate2,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5F78FC" w:rsidRDefault="005F78FC">
            <w:pPr>
              <w:pStyle w:val="TableBodyText"/>
            </w:pPr>
          </w:p>
          <w:p w:rsidR="005F78FC" w:rsidRDefault="00B42EF3">
            <w:pPr>
              <w:pStyle w:val="TableBodyText"/>
            </w:pPr>
            <w:r>
              <w:t>To de</w:t>
            </w:r>
            <w:r>
              <w:t>termine if date1 and date2 are “less than or equal to a year apart” for purposes of this algorithm, one of these conditions must be true:</w:t>
            </w:r>
          </w:p>
          <w:p w:rsidR="005F78FC" w:rsidRDefault="00B42EF3">
            <w:pPr>
              <w:pStyle w:val="ListParagraph"/>
              <w:numPr>
                <w:ilvl w:val="0"/>
                <w:numId w:val="108"/>
              </w:numPr>
            </w:pPr>
            <w:r>
              <w:t>The two dates have the same year</w:t>
            </w:r>
          </w:p>
          <w:p w:rsidR="005F78FC" w:rsidRDefault="00B42EF3">
            <w:pPr>
              <w:pStyle w:val="ListParagraph"/>
              <w:numPr>
                <w:ilvl w:val="0"/>
                <w:numId w:val="109"/>
              </w:numPr>
            </w:pPr>
            <w:r>
              <w:t xml:space="preserve">Date2’s year is exactly one more than date1’s year, and ((date1.month &gt; date2.month) </w:t>
            </w:r>
            <w:r>
              <w:t>or ((date1.month == date2.month) and (date1.day &gt;= date2.day)))</w:t>
            </w:r>
          </w:p>
        </w:tc>
      </w:tr>
      <w:tr w:rsidR="005F78FC" w:rsidTr="005F78FC">
        <w:tc>
          <w:tcPr>
            <w:tcW w:w="0" w:type="auto"/>
            <w:vAlign w:val="center"/>
          </w:tcPr>
          <w:p w:rsidR="005F78FC" w:rsidRDefault="00B42EF3">
            <w:pPr>
              <w:pStyle w:val="TableBodyText"/>
            </w:pPr>
            <w:r>
              <w:rPr>
                <w:rStyle w:val="InlineCode"/>
              </w:rPr>
              <w:t>2</w:t>
            </w:r>
          </w:p>
        </w:tc>
        <w:tc>
          <w:tcPr>
            <w:tcW w:w="0" w:type="auto"/>
            <w:vAlign w:val="center"/>
          </w:tcPr>
          <w:p w:rsidR="005F78FC" w:rsidRDefault="00B42EF3">
            <w:pPr>
              <w:pStyle w:val="TableBodyText"/>
            </w:pPr>
            <w:r>
              <w:t>Actual/360. Computes the actual difference in days, and presumes there are always 360 days per year.</w:t>
            </w:r>
          </w:p>
        </w:tc>
      </w:tr>
      <w:tr w:rsidR="005F78FC" w:rsidTr="005F78FC">
        <w:tc>
          <w:tcPr>
            <w:tcW w:w="0" w:type="auto"/>
            <w:vAlign w:val="center"/>
          </w:tcPr>
          <w:p w:rsidR="005F78FC" w:rsidRDefault="00B42EF3">
            <w:pPr>
              <w:pStyle w:val="TableBodyText"/>
            </w:pPr>
            <w:r>
              <w:rPr>
                <w:rStyle w:val="InlineCode"/>
              </w:rPr>
              <w:t>3</w:t>
            </w:r>
          </w:p>
        </w:tc>
        <w:tc>
          <w:tcPr>
            <w:tcW w:w="0" w:type="auto"/>
            <w:vAlign w:val="center"/>
          </w:tcPr>
          <w:p w:rsidR="005F78FC" w:rsidRDefault="00B42EF3">
            <w:pPr>
              <w:pStyle w:val="TableBodyText"/>
            </w:pPr>
            <w:r>
              <w:t>Actual/365. Computes the actual difference in days, and presumes there are always 365</w:t>
            </w:r>
            <w:r>
              <w:t xml:space="preserve"> days per year.</w:t>
            </w:r>
          </w:p>
        </w:tc>
      </w:tr>
      <w:tr w:rsidR="005F78FC" w:rsidTr="005F78FC">
        <w:tc>
          <w:tcPr>
            <w:tcW w:w="0" w:type="auto"/>
            <w:vAlign w:val="center"/>
          </w:tcPr>
          <w:p w:rsidR="005F78FC" w:rsidRDefault="00B42EF3">
            <w:pPr>
              <w:pStyle w:val="TableBodyText"/>
            </w:pPr>
            <w:r>
              <w:rPr>
                <w:rStyle w:val="InlineCode"/>
              </w:rPr>
              <w:t>4</w:t>
            </w:r>
          </w:p>
        </w:tc>
        <w:tc>
          <w:tcPr>
            <w:tcW w:w="0" w:type="auto"/>
            <w:vAlign w:val="center"/>
          </w:tcPr>
          <w:p w:rsidR="005F78FC" w:rsidRDefault="00B42EF3">
            <w:pPr>
              <w:pStyle w:val="TableBodyText"/>
            </w:pPr>
            <w:r>
              <w:t>European 30/360. The European method for adjusting day counts. If the dates are equal, the difference of days is 0. Assumes that each month has 30 days and the total number of days in the year is 360; any day-of-month (in date1, date2, o</w:t>
            </w:r>
            <w:r>
              <w:t xml:space="preserve">r both) with a value of 31 is changed to 30. Note that February dates are </w:t>
            </w:r>
            <w:r>
              <w:rPr>
                <w:i/>
              </w:rPr>
              <w:t xml:space="preserve">never </w:t>
            </w:r>
            <w:r>
              <w:t>changed, because there is no February 31.</w:t>
            </w:r>
          </w:p>
        </w:tc>
      </w:tr>
    </w:tbl>
    <w:p w:rsidR="005F78FC" w:rsidRDefault="005F78FC"/>
    <w:p w:rsidR="005F78FC" w:rsidRDefault="00B42EF3">
      <w:pPr>
        <w:pStyle w:val="Definition-Field"/>
      </w:pPr>
      <w:r>
        <w:t xml:space="preserve">b.   </w:t>
      </w:r>
      <w:r>
        <w:rPr>
          <w:i/>
        </w:rPr>
        <w:t>The standard indicates that the function is specific to U.S. currency.</w:t>
      </w:r>
    </w:p>
    <w:p w:rsidR="005F78FC" w:rsidRDefault="00B42EF3">
      <w:pPr>
        <w:pStyle w:val="Definition-Field2"/>
      </w:pPr>
      <w:r>
        <w:t xml:space="preserve">Office does not require the function to be specific to </w:t>
      </w:r>
      <w:r>
        <w:t>any currency.</w:t>
      </w:r>
    </w:p>
    <w:p w:rsidR="005F78FC" w:rsidRDefault="00B42EF3">
      <w:pPr>
        <w:pStyle w:val="Heading3"/>
      </w:pPr>
      <w:bookmarkStart w:id="2060" w:name="section_cef504a96c0343388a35811de77e59b2"/>
      <w:bookmarkStart w:id="2061" w:name="_Toc69878803"/>
      <w:r>
        <w:t>Part 1 Section 18.17.7.258, PRICEDISC</w:t>
      </w:r>
      <w:bookmarkEnd w:id="2060"/>
      <w:bookmarkEnd w:id="2061"/>
      <w:r>
        <w:fldChar w:fldCharType="begin"/>
      </w:r>
      <w:r>
        <w:instrText xml:space="preserve"> XE "PRICEDISC" </w:instrText>
      </w:r>
      <w:r>
        <w:fldChar w:fldCharType="end"/>
      </w:r>
    </w:p>
    <w:p w:rsidR="005F78FC" w:rsidRDefault="00B42EF3">
      <w:pPr>
        <w:pStyle w:val="Definition-Field"/>
      </w:pPr>
      <w:r>
        <w:t xml:space="preserve">a.   </w:t>
      </w:r>
      <w:r>
        <w:rPr>
          <w:i/>
        </w:rPr>
        <w:t>The standard does not specify day and month adjustments for the basis argument.</w:t>
      </w:r>
    </w:p>
    <w:p w:rsidR="005F78FC" w:rsidRDefault="00B42EF3">
      <w:r>
        <w:t xml:space="preserve">In Excel, the </w:t>
      </w:r>
      <w:r>
        <w:rPr>
          <w:i/>
        </w:rPr>
        <w:t>basis</w:t>
      </w:r>
      <w:r>
        <w:rPr>
          <w:b/>
          <w:i/>
        </w:rPr>
        <w:t xml:space="preserve"> </w:t>
      </w:r>
      <w:r>
        <w:t>argument specifies the truncated integer type of day count basis to use, as follo</w:t>
      </w:r>
      <w:r>
        <w:t>ws:</w:t>
      </w:r>
    </w:p>
    <w:tbl>
      <w:tblPr>
        <w:tblStyle w:val="Table-ShadedHeader"/>
        <w:tblW w:w="0" w:type="auto"/>
        <w:tblLook w:val="04A0" w:firstRow="1" w:lastRow="0" w:firstColumn="1" w:lastColumn="0" w:noHBand="0" w:noVBand="1"/>
      </w:tblPr>
      <w:tblGrid>
        <w:gridCol w:w="939"/>
        <w:gridCol w:w="8536"/>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lastRenderedPageBreak/>
              <w:t>Value</w:t>
            </w:r>
          </w:p>
        </w:tc>
        <w:tc>
          <w:tcPr>
            <w:tcW w:w="0" w:type="auto"/>
            <w:vAlign w:val="center"/>
          </w:tcPr>
          <w:p w:rsidR="005F78FC" w:rsidRDefault="00B42EF3">
            <w:pPr>
              <w:pStyle w:val="TableHeaderText"/>
            </w:pPr>
            <w:r>
              <w:t>Day Count Basis</w:t>
            </w:r>
          </w:p>
        </w:tc>
      </w:tr>
      <w:tr w:rsidR="005F78FC" w:rsidTr="005F78FC">
        <w:tc>
          <w:tcPr>
            <w:tcW w:w="0" w:type="auto"/>
            <w:vAlign w:val="center"/>
          </w:tcPr>
          <w:p w:rsidR="005F78FC" w:rsidRDefault="00B42EF3">
            <w:pPr>
              <w:pStyle w:val="TableBodyText"/>
            </w:pPr>
            <w:r>
              <w:rPr>
                <w:rStyle w:val="InlineCode"/>
              </w:rPr>
              <w:t>0</w:t>
            </w:r>
            <w:r>
              <w:t xml:space="preserve"> or omitted</w:t>
            </w:r>
          </w:p>
        </w:tc>
        <w:tc>
          <w:tcPr>
            <w:tcW w:w="0" w:type="auto"/>
            <w:vAlign w:val="center"/>
          </w:tcPr>
          <w:p w:rsidR="005F78FC" w:rsidRDefault="00B42EF3">
            <w:pPr>
              <w:pStyle w:val="TableBodyText"/>
            </w:pPr>
            <w:r>
              <w:t>US (NASD) 30/360. If the dates are equal, the difference of days is 0. Assumes that each month has 30 days and the total number of days in the year is 360 by making the following adjustments:</w:t>
            </w:r>
          </w:p>
          <w:p w:rsidR="005F78FC" w:rsidRDefault="00B42EF3">
            <w:pPr>
              <w:pStyle w:val="TableBodyText"/>
            </w:pPr>
            <w:r>
              <w:t>If both day-of-months ar</w:t>
            </w:r>
            <w:r>
              <w:t>e 31, they are changed to 30</w:t>
            </w:r>
          </w:p>
          <w:p w:rsidR="005F78FC" w:rsidRDefault="00B42EF3">
            <w:pPr>
              <w:pStyle w:val="TableBodyText"/>
            </w:pPr>
            <w:r>
              <w:t>Otherwise, if date1’s day-of-month is 31, it is changed to 30</w:t>
            </w:r>
          </w:p>
          <w:p w:rsidR="005F78FC" w:rsidRDefault="00B42EF3">
            <w:pPr>
              <w:pStyle w:val="TableBodyText"/>
            </w:pPr>
            <w:r>
              <w:t>Otherwise, if date1’s day-of-month is 30 and date2’s day-of-month is 31, date2’s day-of-month is changed to 30 (note that date2’s day-of-month will stay 31 if date1’</w:t>
            </w:r>
            <w:r>
              <w:t>s day &lt; 30)</w:t>
            </w:r>
          </w:p>
          <w:p w:rsidR="005F78FC" w:rsidRDefault="00B42EF3">
            <w:pPr>
              <w:pStyle w:val="TableBodyText"/>
            </w:pPr>
            <w:r>
              <w:t>Otherwise, if both dates are the last day of February in their respective years, both day-of-month is changed to 30</w:t>
            </w:r>
          </w:p>
          <w:p w:rsidR="005F78FC" w:rsidRDefault="00B42EF3">
            <w:pPr>
              <w:pStyle w:val="TableBodyText"/>
            </w:pPr>
            <w:r>
              <w:t>Otherwise, if date1 is the last day of February, its day-of-month is changed to 30</w:t>
            </w:r>
          </w:p>
        </w:tc>
      </w:tr>
      <w:tr w:rsidR="005F78FC" w:rsidTr="005F78FC">
        <w:tc>
          <w:tcPr>
            <w:tcW w:w="0" w:type="auto"/>
            <w:vAlign w:val="center"/>
          </w:tcPr>
          <w:p w:rsidR="005F78FC" w:rsidRDefault="00B42EF3">
            <w:pPr>
              <w:pStyle w:val="TableBodyText"/>
            </w:pPr>
            <w:r>
              <w:rPr>
                <w:rStyle w:val="InlineCode"/>
              </w:rPr>
              <w:t>1</w:t>
            </w:r>
          </w:p>
        </w:tc>
        <w:tc>
          <w:tcPr>
            <w:tcW w:w="0" w:type="auto"/>
            <w:vAlign w:val="center"/>
          </w:tcPr>
          <w:p w:rsidR="005F78FC" w:rsidRDefault="00B42EF3">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5F78FC" w:rsidRDefault="005F78FC">
            <w:pPr>
              <w:pStyle w:val="TableBodyText"/>
            </w:pPr>
          </w:p>
          <w:p w:rsidR="005F78FC" w:rsidRDefault="00B42EF3">
            <w:pPr>
              <w:pStyle w:val="TableBodyText"/>
            </w:pPr>
            <w:r>
              <w:t>To det</w:t>
            </w:r>
            <w:r>
              <w:t>ermine if date1 and date2 are “less than or equal to a year apart” for purposes of this algorithm, one of these conditions must be true:</w:t>
            </w:r>
          </w:p>
          <w:p w:rsidR="005F78FC" w:rsidRDefault="00B42EF3">
            <w:pPr>
              <w:pStyle w:val="ListParagraph"/>
              <w:numPr>
                <w:ilvl w:val="0"/>
                <w:numId w:val="110"/>
              </w:numPr>
            </w:pPr>
            <w:r>
              <w:t>The two dates have the same year</w:t>
            </w:r>
          </w:p>
          <w:p w:rsidR="005F78FC" w:rsidRDefault="00B42EF3">
            <w:pPr>
              <w:pStyle w:val="ListParagraph"/>
              <w:numPr>
                <w:ilvl w:val="0"/>
                <w:numId w:val="111"/>
              </w:numPr>
            </w:pPr>
            <w:r>
              <w:t>Date2’s year is exactly one more than date1’s year, and ((date1.month &gt; date2.month) o</w:t>
            </w:r>
            <w:r>
              <w:t>r ((date1.month == date2.month) and (date1.day &gt;= date2.day)))</w:t>
            </w:r>
          </w:p>
        </w:tc>
      </w:tr>
      <w:tr w:rsidR="005F78FC" w:rsidTr="005F78FC">
        <w:tc>
          <w:tcPr>
            <w:tcW w:w="0" w:type="auto"/>
            <w:vAlign w:val="center"/>
          </w:tcPr>
          <w:p w:rsidR="005F78FC" w:rsidRDefault="00B42EF3">
            <w:pPr>
              <w:pStyle w:val="TableBodyText"/>
            </w:pPr>
            <w:r>
              <w:rPr>
                <w:rStyle w:val="InlineCode"/>
              </w:rPr>
              <w:t>2</w:t>
            </w:r>
          </w:p>
        </w:tc>
        <w:tc>
          <w:tcPr>
            <w:tcW w:w="0" w:type="auto"/>
            <w:vAlign w:val="center"/>
          </w:tcPr>
          <w:p w:rsidR="005F78FC" w:rsidRDefault="00B42EF3">
            <w:pPr>
              <w:pStyle w:val="TableBodyText"/>
            </w:pPr>
            <w:r>
              <w:t>Actual/360. Computes the actual difference in days, and presumes there are always 360 days per year.</w:t>
            </w:r>
          </w:p>
        </w:tc>
      </w:tr>
      <w:tr w:rsidR="005F78FC" w:rsidTr="005F78FC">
        <w:tc>
          <w:tcPr>
            <w:tcW w:w="0" w:type="auto"/>
            <w:vAlign w:val="center"/>
          </w:tcPr>
          <w:p w:rsidR="005F78FC" w:rsidRDefault="00B42EF3">
            <w:pPr>
              <w:pStyle w:val="TableBodyText"/>
            </w:pPr>
            <w:r>
              <w:rPr>
                <w:rStyle w:val="InlineCode"/>
              </w:rPr>
              <w:t>3</w:t>
            </w:r>
          </w:p>
        </w:tc>
        <w:tc>
          <w:tcPr>
            <w:tcW w:w="0" w:type="auto"/>
            <w:vAlign w:val="center"/>
          </w:tcPr>
          <w:p w:rsidR="005F78FC" w:rsidRDefault="00B42EF3">
            <w:pPr>
              <w:pStyle w:val="TableBodyText"/>
            </w:pPr>
            <w:r>
              <w:t xml:space="preserve">Actual/365. Computes the actual difference in days, and presumes there are always 365 </w:t>
            </w:r>
            <w:r>
              <w:t>days per year.</w:t>
            </w:r>
          </w:p>
        </w:tc>
      </w:tr>
      <w:tr w:rsidR="005F78FC" w:rsidTr="005F78FC">
        <w:tc>
          <w:tcPr>
            <w:tcW w:w="0" w:type="auto"/>
            <w:vAlign w:val="center"/>
          </w:tcPr>
          <w:p w:rsidR="005F78FC" w:rsidRDefault="00B42EF3">
            <w:pPr>
              <w:pStyle w:val="TableBodyText"/>
            </w:pPr>
            <w:r>
              <w:rPr>
                <w:rStyle w:val="InlineCode"/>
              </w:rPr>
              <w:t>4</w:t>
            </w:r>
          </w:p>
        </w:tc>
        <w:tc>
          <w:tcPr>
            <w:tcW w:w="0" w:type="auto"/>
            <w:vAlign w:val="center"/>
          </w:tcPr>
          <w:p w:rsidR="005F78FC" w:rsidRDefault="00B42EF3">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5F78FC" w:rsidRDefault="005F78FC"/>
    <w:p w:rsidR="005F78FC" w:rsidRDefault="00B42EF3">
      <w:pPr>
        <w:pStyle w:val="Definition-Field"/>
      </w:pPr>
      <w:r>
        <w:t xml:space="preserve">b.   </w:t>
      </w:r>
      <w:r>
        <w:rPr>
          <w:i/>
        </w:rPr>
        <w:t>The standard indicates that the function is specific to U.S. currency.</w:t>
      </w:r>
    </w:p>
    <w:p w:rsidR="005F78FC" w:rsidRDefault="00B42EF3">
      <w:pPr>
        <w:pStyle w:val="Definition-Field2"/>
      </w:pPr>
      <w:r>
        <w:t>Office does not require the function to be specific to any currency.</w:t>
      </w:r>
    </w:p>
    <w:p w:rsidR="005F78FC" w:rsidRDefault="00B42EF3">
      <w:pPr>
        <w:pStyle w:val="Heading3"/>
      </w:pPr>
      <w:bookmarkStart w:id="2062" w:name="section_acdfd09dc4814c74a1cd90697c9d987e"/>
      <w:bookmarkStart w:id="2063" w:name="_Toc69878804"/>
      <w:r>
        <w:t>Part 1 Section 18.17.7.259, PRICEMAT</w:t>
      </w:r>
      <w:bookmarkEnd w:id="2062"/>
      <w:bookmarkEnd w:id="2063"/>
      <w:r>
        <w:fldChar w:fldCharType="begin"/>
      </w:r>
      <w:r>
        <w:instrText xml:space="preserve"> XE "PRICEMAT" </w:instrText>
      </w:r>
      <w:r>
        <w:fldChar w:fldCharType="end"/>
      </w:r>
    </w:p>
    <w:p w:rsidR="005F78FC" w:rsidRDefault="00B42EF3">
      <w:pPr>
        <w:pStyle w:val="Definition-Field"/>
      </w:pPr>
      <w:r>
        <w:t xml:space="preserve">a.   </w:t>
      </w:r>
      <w:r>
        <w:rPr>
          <w:i/>
        </w:rPr>
        <w:t>The standard does not specify day and month adjustments for the basis argument.</w:t>
      </w:r>
    </w:p>
    <w:p w:rsidR="005F78FC" w:rsidRDefault="00B42EF3">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Value</w:t>
            </w:r>
          </w:p>
        </w:tc>
        <w:tc>
          <w:tcPr>
            <w:tcW w:w="0" w:type="auto"/>
            <w:vAlign w:val="center"/>
          </w:tcPr>
          <w:p w:rsidR="005F78FC" w:rsidRDefault="00B42EF3">
            <w:pPr>
              <w:pStyle w:val="TableHeaderText"/>
            </w:pPr>
            <w:r>
              <w:t>Day Co</w:t>
            </w:r>
            <w:r>
              <w:t>unt Basis</w:t>
            </w:r>
          </w:p>
        </w:tc>
      </w:tr>
      <w:tr w:rsidR="005F78FC" w:rsidTr="005F78FC">
        <w:tc>
          <w:tcPr>
            <w:tcW w:w="0" w:type="auto"/>
            <w:vAlign w:val="center"/>
          </w:tcPr>
          <w:p w:rsidR="005F78FC" w:rsidRDefault="00B42EF3">
            <w:pPr>
              <w:pStyle w:val="TableBodyText"/>
            </w:pPr>
            <w:r>
              <w:rPr>
                <w:rStyle w:val="InlineCode"/>
              </w:rPr>
              <w:t>0</w:t>
            </w:r>
            <w:r>
              <w:t xml:space="preserve"> or omitted</w:t>
            </w:r>
          </w:p>
        </w:tc>
        <w:tc>
          <w:tcPr>
            <w:tcW w:w="0" w:type="auto"/>
            <w:vAlign w:val="center"/>
          </w:tcPr>
          <w:p w:rsidR="005F78FC" w:rsidRDefault="00B42EF3">
            <w:pPr>
              <w:pStyle w:val="TableBodyText"/>
            </w:pPr>
            <w:r>
              <w:t>US (NASD) 30/360. If the dates are equal, the difference of days is 0. Assumes that each month has 30 days and the total number of days in the year is 360 by making the following adjustments:</w:t>
            </w:r>
          </w:p>
          <w:p w:rsidR="005F78FC" w:rsidRDefault="00B42EF3">
            <w:pPr>
              <w:pStyle w:val="TableBodyText"/>
            </w:pPr>
            <w:r>
              <w:t>If both day-of-months are 31, they are c</w:t>
            </w:r>
            <w:r>
              <w:t>hanged to 30</w:t>
            </w:r>
          </w:p>
          <w:p w:rsidR="005F78FC" w:rsidRDefault="00B42EF3">
            <w:pPr>
              <w:pStyle w:val="TableBodyText"/>
            </w:pPr>
            <w:r>
              <w:t>Otherwise, if date1’s day-of-month is 31, it is changed to 30</w:t>
            </w:r>
          </w:p>
          <w:p w:rsidR="005F78FC" w:rsidRDefault="00B42EF3">
            <w:pPr>
              <w:pStyle w:val="TableBodyText"/>
            </w:pPr>
            <w:r>
              <w:t>Otherwise, if date1’s day-of-month is 30 and date2’s day-of-month is 31, date2’s day-of-month is changed to 30 (note that date2’s day-of-month will stay 31 if date1’s day &lt; 30)</w:t>
            </w:r>
          </w:p>
          <w:p w:rsidR="005F78FC" w:rsidRDefault="00B42EF3">
            <w:pPr>
              <w:pStyle w:val="TableBodyText"/>
            </w:pPr>
            <w:r>
              <w:t>Othe</w:t>
            </w:r>
            <w:r>
              <w:t xml:space="preserve">rwise, if both dates are the last day of February in their respective years, both day-of-month is </w:t>
            </w:r>
            <w:r>
              <w:lastRenderedPageBreak/>
              <w:t>changed to 30</w:t>
            </w:r>
          </w:p>
          <w:p w:rsidR="005F78FC" w:rsidRDefault="00B42EF3">
            <w:pPr>
              <w:pStyle w:val="TableBodyText"/>
            </w:pPr>
            <w:r>
              <w:t>Otherwise, if date1 is the last day of February, its day-of-month is changed to 30</w:t>
            </w:r>
          </w:p>
        </w:tc>
      </w:tr>
      <w:tr w:rsidR="005F78FC" w:rsidTr="005F78FC">
        <w:tc>
          <w:tcPr>
            <w:tcW w:w="0" w:type="auto"/>
            <w:vAlign w:val="center"/>
          </w:tcPr>
          <w:p w:rsidR="005F78FC" w:rsidRDefault="00B42EF3">
            <w:pPr>
              <w:pStyle w:val="TableBodyText"/>
            </w:pPr>
            <w:r>
              <w:rPr>
                <w:rStyle w:val="InlineCode"/>
              </w:rPr>
              <w:lastRenderedPageBreak/>
              <w:t>1</w:t>
            </w:r>
          </w:p>
        </w:tc>
        <w:tc>
          <w:tcPr>
            <w:tcW w:w="0" w:type="auto"/>
            <w:vAlign w:val="center"/>
          </w:tcPr>
          <w:p w:rsidR="005F78FC" w:rsidRDefault="00B42EF3">
            <w:pPr>
              <w:pStyle w:val="TableBodyText"/>
            </w:pPr>
            <w:r>
              <w:t>Actual/actual. If the dates are equal, the difference in d</w:t>
            </w:r>
            <w:r>
              <w:t>ays is 0. If date1 and date2 not “less than or equal to a year apart” (as defined below), then the days in the years between the dates is the average number of days in the years between date1 and date2, inclusive. Otherwise, the days in the years between t</w:t>
            </w:r>
            <w:r>
              <w:t xml:space="preserve">he dates is 365, except for these cases (where it is 366): the dates are in the same year and it is a leap-year, a February 29 occurs between the two dates, or </w:t>
            </w:r>
            <w:r>
              <w:rPr>
                <w:b/>
              </w:rPr>
              <w:t>date1 or</w:t>
            </w:r>
            <w:r>
              <w:t xml:space="preserve"> date2 is February 29.</w:t>
            </w:r>
          </w:p>
          <w:p w:rsidR="005F78FC" w:rsidRDefault="005F78FC">
            <w:pPr>
              <w:pStyle w:val="TableBodyText"/>
            </w:pPr>
          </w:p>
          <w:p w:rsidR="005F78FC" w:rsidRDefault="00B42EF3">
            <w:pPr>
              <w:pStyle w:val="TableBodyText"/>
            </w:pPr>
            <w:r>
              <w:t xml:space="preserve">To determine if date1 and date2 are “less than or equal to a </w:t>
            </w:r>
            <w:r>
              <w:t>year apart” for purposes of this algorithm, one of these conditions must be true:</w:t>
            </w:r>
          </w:p>
          <w:p w:rsidR="005F78FC" w:rsidRDefault="00B42EF3">
            <w:pPr>
              <w:pStyle w:val="ListParagraph"/>
              <w:numPr>
                <w:ilvl w:val="0"/>
                <w:numId w:val="112"/>
              </w:numPr>
            </w:pPr>
            <w:r>
              <w:t>The two dates have the same year</w:t>
            </w:r>
          </w:p>
          <w:p w:rsidR="005F78FC" w:rsidRDefault="00B42EF3">
            <w:pPr>
              <w:pStyle w:val="ListParagraph"/>
              <w:numPr>
                <w:ilvl w:val="0"/>
                <w:numId w:val="113"/>
              </w:numPr>
            </w:pPr>
            <w:r>
              <w:t>Date2’s year is exactly one more than date1’s year, and ((date1.month &gt; date2.month) or ((date1.month == date2.month) and (date1.day &gt;= date2</w:t>
            </w:r>
            <w:r>
              <w:t>.day)))</w:t>
            </w:r>
          </w:p>
        </w:tc>
      </w:tr>
      <w:tr w:rsidR="005F78FC" w:rsidTr="005F78FC">
        <w:tc>
          <w:tcPr>
            <w:tcW w:w="0" w:type="auto"/>
            <w:vAlign w:val="center"/>
          </w:tcPr>
          <w:p w:rsidR="005F78FC" w:rsidRDefault="00B42EF3">
            <w:pPr>
              <w:pStyle w:val="TableBodyText"/>
            </w:pPr>
            <w:r>
              <w:rPr>
                <w:rStyle w:val="InlineCode"/>
              </w:rPr>
              <w:t>2</w:t>
            </w:r>
          </w:p>
        </w:tc>
        <w:tc>
          <w:tcPr>
            <w:tcW w:w="0" w:type="auto"/>
            <w:vAlign w:val="center"/>
          </w:tcPr>
          <w:p w:rsidR="005F78FC" w:rsidRDefault="00B42EF3">
            <w:pPr>
              <w:pStyle w:val="TableBodyText"/>
            </w:pPr>
            <w:r>
              <w:t>Actual/360. Computes the actual difference in days, and presumes there are always 360 days per year.</w:t>
            </w:r>
          </w:p>
        </w:tc>
      </w:tr>
      <w:tr w:rsidR="005F78FC" w:rsidTr="005F78FC">
        <w:tc>
          <w:tcPr>
            <w:tcW w:w="0" w:type="auto"/>
            <w:vAlign w:val="center"/>
          </w:tcPr>
          <w:p w:rsidR="005F78FC" w:rsidRDefault="00B42EF3">
            <w:pPr>
              <w:pStyle w:val="TableBodyText"/>
            </w:pPr>
            <w:r>
              <w:rPr>
                <w:rStyle w:val="InlineCode"/>
              </w:rPr>
              <w:t>3</w:t>
            </w:r>
          </w:p>
        </w:tc>
        <w:tc>
          <w:tcPr>
            <w:tcW w:w="0" w:type="auto"/>
            <w:vAlign w:val="center"/>
          </w:tcPr>
          <w:p w:rsidR="005F78FC" w:rsidRDefault="00B42EF3">
            <w:pPr>
              <w:pStyle w:val="TableBodyText"/>
            </w:pPr>
            <w:r>
              <w:t>Actual/365. Computes the actual difference in days, and presumes there are always 365 days per year.</w:t>
            </w:r>
          </w:p>
        </w:tc>
      </w:tr>
      <w:tr w:rsidR="005F78FC" w:rsidTr="005F78FC">
        <w:tc>
          <w:tcPr>
            <w:tcW w:w="0" w:type="auto"/>
            <w:vAlign w:val="center"/>
          </w:tcPr>
          <w:p w:rsidR="005F78FC" w:rsidRDefault="00B42EF3">
            <w:pPr>
              <w:pStyle w:val="TableBodyText"/>
            </w:pPr>
            <w:r>
              <w:rPr>
                <w:rStyle w:val="InlineCode"/>
              </w:rPr>
              <w:t>4</w:t>
            </w:r>
          </w:p>
        </w:tc>
        <w:tc>
          <w:tcPr>
            <w:tcW w:w="0" w:type="auto"/>
            <w:vAlign w:val="center"/>
          </w:tcPr>
          <w:p w:rsidR="005F78FC" w:rsidRDefault="00B42EF3">
            <w:pPr>
              <w:pStyle w:val="TableBodyText"/>
            </w:pPr>
            <w:r>
              <w:t xml:space="preserve">European 30/360. The European method </w:t>
            </w:r>
            <w:r>
              <w:t>for adjusting day counts. If the dates are equal, the difference of days is 0. Assumes that each month has 30 days and the total number of days in the year is 360; any day-of-month (in date1, date2, or both) with a value of 31 is changed to 30. Note that F</w:t>
            </w:r>
            <w:r>
              <w:t xml:space="preserve">ebruary dates are </w:t>
            </w:r>
            <w:r>
              <w:rPr>
                <w:i/>
              </w:rPr>
              <w:t xml:space="preserve">never </w:t>
            </w:r>
            <w:r>
              <w:t>changed, because there is no February 31.</w:t>
            </w:r>
          </w:p>
        </w:tc>
      </w:tr>
    </w:tbl>
    <w:p w:rsidR="005F78FC" w:rsidRDefault="005F78FC"/>
    <w:p w:rsidR="005F78FC" w:rsidRDefault="00B42EF3">
      <w:pPr>
        <w:pStyle w:val="Definition-Field"/>
      </w:pPr>
      <w:r>
        <w:t xml:space="preserve">b.   </w:t>
      </w:r>
      <w:r>
        <w:rPr>
          <w:i/>
        </w:rPr>
        <w:t>The standard indicates that the function is specific to U.S. currency.</w:t>
      </w:r>
    </w:p>
    <w:p w:rsidR="005F78FC" w:rsidRDefault="00B42EF3">
      <w:pPr>
        <w:pStyle w:val="Definition-Field2"/>
      </w:pPr>
      <w:r>
        <w:t>Office does not require the function to be specific to any currency.</w:t>
      </w:r>
    </w:p>
    <w:p w:rsidR="005F78FC" w:rsidRDefault="00B42EF3">
      <w:pPr>
        <w:pStyle w:val="Heading3"/>
      </w:pPr>
      <w:bookmarkStart w:id="2064" w:name="section_6ab73e31403a4d83a90a2e0eb900f906"/>
      <w:bookmarkStart w:id="2065" w:name="_Toc69878805"/>
      <w:r>
        <w:t>Part 1 Section 18.17.7.260, PROB</w:t>
      </w:r>
      <w:bookmarkEnd w:id="2064"/>
      <w:bookmarkEnd w:id="2065"/>
      <w:r>
        <w:fldChar w:fldCharType="begin"/>
      </w:r>
      <w:r>
        <w:instrText xml:space="preserve"> XE "PROB" </w:instrText>
      </w:r>
      <w:r>
        <w:fldChar w:fldCharType="end"/>
      </w:r>
    </w:p>
    <w:p w:rsidR="005F78FC" w:rsidRDefault="00B42EF3">
      <w:pPr>
        <w:pStyle w:val="Definition-Field"/>
      </w:pPr>
      <w:r>
        <w:t xml:space="preserve">a.   </w:t>
      </w:r>
      <w:r>
        <w:rPr>
          <w:i/>
        </w:rPr>
        <w:t>The standard states that if the sum of the values in probability-range &lt; 1, #NUM! is returned.</w:t>
      </w:r>
    </w:p>
    <w:p w:rsidR="005F78FC" w:rsidRDefault="00B42EF3">
      <w:pPr>
        <w:pStyle w:val="Definition-Field2"/>
      </w:pPr>
      <w:r>
        <w:t>Office returns #NUM! if the sum of the values in probability-range is not equal to 1.</w:t>
      </w:r>
    </w:p>
    <w:p w:rsidR="005F78FC" w:rsidRDefault="00B42EF3">
      <w:pPr>
        <w:pStyle w:val="Definition-Field"/>
      </w:pPr>
      <w:r>
        <w:t xml:space="preserve">b.   </w:t>
      </w:r>
      <w:r>
        <w:rPr>
          <w:i/>
        </w:rPr>
        <w:t xml:space="preserve">The standard states that if any value in argument </w:t>
      </w:r>
      <w:r>
        <w:rPr>
          <w:i/>
        </w:rPr>
        <w:t>probability-range ≤ 0 or any value in probability-range &gt; 1, #NUM! is returned.</w:t>
      </w:r>
    </w:p>
    <w:p w:rsidR="005F78FC" w:rsidRDefault="00B42EF3">
      <w:pPr>
        <w:pStyle w:val="Definition-Field2"/>
      </w:pPr>
      <w:r>
        <w:t>In Office, values in argument probability-range may be ≤ 0 or &gt; 1.</w:t>
      </w:r>
    </w:p>
    <w:p w:rsidR="005F78FC" w:rsidRDefault="00B42EF3">
      <w:pPr>
        <w:pStyle w:val="Heading3"/>
      </w:pPr>
      <w:bookmarkStart w:id="2066" w:name="section_2198fc993b4945a2bbb8f68a85adb7fe"/>
      <w:bookmarkStart w:id="2067" w:name="_Toc69878806"/>
      <w:r>
        <w:t>Part 1 Section 18.17.7.261, PRODUCT</w:t>
      </w:r>
      <w:bookmarkEnd w:id="2066"/>
      <w:bookmarkEnd w:id="2067"/>
      <w:r>
        <w:fldChar w:fldCharType="begin"/>
      </w:r>
      <w:r>
        <w:instrText xml:space="preserve"> XE "PRODUCT" </w:instrText>
      </w:r>
      <w:r>
        <w:fldChar w:fldCharType="end"/>
      </w:r>
    </w:p>
    <w:p w:rsidR="005F78FC" w:rsidRDefault="00B42EF3">
      <w:pPr>
        <w:pStyle w:val="Definition-Field"/>
      </w:pPr>
      <w:r>
        <w:t xml:space="preserve">a.   </w:t>
      </w:r>
      <w:r>
        <w:rPr>
          <w:i/>
        </w:rPr>
        <w:t>The standard states that valid arguments in argument</w:t>
      </w:r>
      <w:r>
        <w:rPr>
          <w:i/>
        </w:rPr>
        <w:t>-list shall be counted.</w:t>
      </w:r>
    </w:p>
    <w:p w:rsidR="005F78FC" w:rsidRDefault="00B42EF3">
      <w:pPr>
        <w:pStyle w:val="Definition-Field2"/>
      </w:pPr>
      <w:r>
        <w:t>In Office, valid arguments in argument-list shall be multiplied.</w:t>
      </w:r>
    </w:p>
    <w:p w:rsidR="005F78FC" w:rsidRDefault="00B42EF3">
      <w:pPr>
        <w:pStyle w:val="Heading3"/>
      </w:pPr>
      <w:bookmarkStart w:id="2068" w:name="section_dec0bdefb97a4de69df1c5ed7f74e150"/>
      <w:bookmarkStart w:id="2069" w:name="_Toc69878807"/>
      <w:r>
        <w:t>Part 1 Section 18.17.7.263, PV</w:t>
      </w:r>
      <w:bookmarkEnd w:id="2068"/>
      <w:bookmarkEnd w:id="2069"/>
      <w:r>
        <w:fldChar w:fldCharType="begin"/>
      </w:r>
      <w:r>
        <w:instrText xml:space="preserve"> XE "PV" </w:instrText>
      </w:r>
      <w:r>
        <w:fldChar w:fldCharType="end"/>
      </w:r>
    </w:p>
    <w:p w:rsidR="005F78FC" w:rsidRDefault="00B42EF3">
      <w:pPr>
        <w:pStyle w:val="Definition-Field"/>
      </w:pPr>
      <w:r>
        <w:t xml:space="preserve">a.   </w:t>
      </w:r>
      <w:r>
        <w:rPr>
          <w:i/>
        </w:rPr>
        <w:t>The standard does not specify a default for the optional argument type.</w:t>
      </w:r>
    </w:p>
    <w:p w:rsidR="005F78FC" w:rsidRDefault="00B42EF3">
      <w:pPr>
        <w:pStyle w:val="Definition-Field2"/>
      </w:pPr>
      <w:r>
        <w:t xml:space="preserve">In Office, if the value for type is omitted it </w:t>
      </w:r>
      <w:r>
        <w:t>defaults to value of 0.</w:t>
      </w:r>
    </w:p>
    <w:p w:rsidR="005F78FC" w:rsidRDefault="00B42EF3">
      <w:pPr>
        <w:pStyle w:val="Definition-Field"/>
      </w:pPr>
      <w:r>
        <w:t xml:space="preserve">b.   </w:t>
      </w:r>
      <w:r>
        <w:rPr>
          <w:i/>
        </w:rPr>
        <w:t>The standard states that the argument type is truncated to an integer.</w:t>
      </w:r>
    </w:p>
    <w:p w:rsidR="005F78FC" w:rsidRDefault="00B42EF3">
      <w:pPr>
        <w:pStyle w:val="Definition-Field2"/>
      </w:pPr>
      <w:r>
        <w:lastRenderedPageBreak/>
        <w:t>Office does not truncate the argument type to an integer.</w:t>
      </w:r>
    </w:p>
    <w:p w:rsidR="005F78FC" w:rsidRDefault="00B42EF3">
      <w:pPr>
        <w:pStyle w:val="Definition-Field"/>
      </w:pPr>
      <w:r>
        <w:t xml:space="preserve">c.   </w:t>
      </w:r>
      <w:r>
        <w:rPr>
          <w:i/>
        </w:rPr>
        <w:t>The standard states that if the argument type is any number other than 0 or 1, #NUM! is retur</w:t>
      </w:r>
      <w:r>
        <w:rPr>
          <w:i/>
        </w:rPr>
        <w:t>ned.</w:t>
      </w:r>
    </w:p>
    <w:p w:rsidR="005F78FC" w:rsidRDefault="00B42EF3">
      <w:pPr>
        <w:pStyle w:val="Definition-Field2"/>
      </w:pPr>
      <w:r>
        <w:t>Office allows the value for argument type to be omitted or nonzero.</w:t>
      </w:r>
    </w:p>
    <w:p w:rsidR="005F78FC" w:rsidRDefault="00B42EF3">
      <w:pPr>
        <w:pStyle w:val="Heading3"/>
      </w:pPr>
      <w:bookmarkStart w:id="2070" w:name="section_cdea6da968434689976deed0f25b764f"/>
      <w:bookmarkStart w:id="2071" w:name="_Toc69878808"/>
      <w:r>
        <w:t>Part 1 Section 18.17.7.269, RANK</w:t>
      </w:r>
      <w:bookmarkEnd w:id="2070"/>
      <w:bookmarkEnd w:id="2071"/>
      <w:r>
        <w:fldChar w:fldCharType="begin"/>
      </w:r>
      <w:r>
        <w:instrText xml:space="preserve"> XE "RANK" </w:instrText>
      </w:r>
      <w:r>
        <w:fldChar w:fldCharType="end"/>
      </w:r>
    </w:p>
    <w:p w:rsidR="005F78FC" w:rsidRDefault="00B42EF3">
      <w:pPr>
        <w:pStyle w:val="Definition-Field"/>
      </w:pPr>
      <w:r>
        <w:t xml:space="preserve">a.   </w:t>
      </w:r>
      <w:r>
        <w:rPr>
          <w:i/>
        </w:rPr>
        <w:t>The standard does not indicate restrictions on the value of attribute number.</w:t>
      </w:r>
    </w:p>
    <w:p w:rsidR="005F78FC" w:rsidRDefault="00B42EF3">
      <w:pPr>
        <w:pStyle w:val="Definition-Field2"/>
      </w:pPr>
      <w:r>
        <w:t>Office returns #N/A if number does not exist in number</w:t>
      </w:r>
      <w:r>
        <w:t>-list.</w:t>
      </w:r>
    </w:p>
    <w:p w:rsidR="005F78FC" w:rsidRDefault="00B42EF3">
      <w:pPr>
        <w:pStyle w:val="Heading3"/>
      </w:pPr>
      <w:bookmarkStart w:id="2072" w:name="section_6bf7d39525104a2cb31878717aecd437"/>
      <w:bookmarkStart w:id="2073" w:name="_Toc69878809"/>
      <w:r>
        <w:t>Part 1 Section 18.17.7.270, RATE</w:t>
      </w:r>
      <w:bookmarkEnd w:id="2072"/>
      <w:bookmarkEnd w:id="2073"/>
      <w:r>
        <w:fldChar w:fldCharType="begin"/>
      </w:r>
      <w:r>
        <w:instrText xml:space="preserve"> XE "RATE" </w:instrText>
      </w:r>
      <w:r>
        <w:fldChar w:fldCharType="end"/>
      </w:r>
    </w:p>
    <w:p w:rsidR="005F78FC" w:rsidRDefault="00B42EF3">
      <w:pPr>
        <w:pStyle w:val="Definition-Field"/>
      </w:pPr>
      <w:r>
        <w:t xml:space="preserve">a.   </w:t>
      </w:r>
      <w:r>
        <w:rPr>
          <w:i/>
        </w:rPr>
        <w:t>The standard does not define a default for the argument type.</w:t>
      </w:r>
    </w:p>
    <w:p w:rsidR="005F78FC" w:rsidRDefault="00B42EF3">
      <w:pPr>
        <w:pStyle w:val="Definition-Field2"/>
      </w:pPr>
      <w:r>
        <w:t>Office specifies that the argument type defaults to 0.</w:t>
      </w:r>
    </w:p>
    <w:p w:rsidR="005F78FC" w:rsidRDefault="00B42EF3">
      <w:pPr>
        <w:pStyle w:val="Definition-Field"/>
      </w:pPr>
      <w:r>
        <w:t xml:space="preserve">b.   </w:t>
      </w:r>
      <w:r>
        <w:rPr>
          <w:i/>
        </w:rPr>
        <w:t>The standard states that the argument type may only be 0 or 1.</w:t>
      </w:r>
    </w:p>
    <w:p w:rsidR="005F78FC" w:rsidRDefault="00B42EF3">
      <w:pPr>
        <w:pStyle w:val="Definition-Field2"/>
      </w:pPr>
      <w:r>
        <w:t>In Office, if</w:t>
      </w:r>
      <w:r>
        <w:t xml:space="preserve"> the argument type is nonzero the payment is at the beginning of the period.</w:t>
      </w:r>
    </w:p>
    <w:p w:rsidR="005F78FC" w:rsidRDefault="00B42EF3">
      <w:pPr>
        <w:pStyle w:val="Definition-Field"/>
      </w:pPr>
      <w:r>
        <w:t xml:space="preserve">c.   </w:t>
      </w:r>
      <w:r>
        <w:rPr>
          <w:i/>
        </w:rPr>
        <w:t>The standard specifies that an iterative technique is used for the implementation of this function.</w:t>
      </w:r>
    </w:p>
    <w:p w:rsidR="005F78FC" w:rsidRDefault="00B42EF3">
      <w:pPr>
        <w:pStyle w:val="Definition-Field2"/>
      </w:pPr>
      <w:r>
        <w:t>Office does not use an iterative technique.</w:t>
      </w:r>
    </w:p>
    <w:p w:rsidR="005F78FC" w:rsidRDefault="00B42EF3">
      <w:pPr>
        <w:pStyle w:val="Heading3"/>
      </w:pPr>
      <w:bookmarkStart w:id="2074" w:name="section_f087c56b2adf4e548719047179937cb5"/>
      <w:bookmarkStart w:id="2075" w:name="_Toc69878810"/>
      <w:r>
        <w:t>Part 1 Section 18.17.7.271, RE</w:t>
      </w:r>
      <w:r>
        <w:t>CEIVED</w:t>
      </w:r>
      <w:bookmarkEnd w:id="2074"/>
      <w:bookmarkEnd w:id="2075"/>
      <w:r>
        <w:fldChar w:fldCharType="begin"/>
      </w:r>
      <w:r>
        <w:instrText xml:space="preserve"> XE "RECEIVED" </w:instrText>
      </w:r>
      <w:r>
        <w:fldChar w:fldCharType="end"/>
      </w:r>
    </w:p>
    <w:p w:rsidR="005F78FC" w:rsidRDefault="00B42EF3">
      <w:pPr>
        <w:pStyle w:val="Definition-Field"/>
      </w:pPr>
      <w:r>
        <w:t xml:space="preserve">a.   </w:t>
      </w:r>
      <w:r>
        <w:rPr>
          <w:i/>
        </w:rPr>
        <w:t>The standard does not specify day and month adjustments for the basis argument.</w:t>
      </w:r>
    </w:p>
    <w:p w:rsidR="005F78FC" w:rsidRDefault="00B42EF3">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Value</w:t>
            </w:r>
          </w:p>
        </w:tc>
        <w:tc>
          <w:tcPr>
            <w:tcW w:w="0" w:type="auto"/>
            <w:vAlign w:val="center"/>
          </w:tcPr>
          <w:p w:rsidR="005F78FC" w:rsidRDefault="00B42EF3">
            <w:pPr>
              <w:pStyle w:val="TableHeaderText"/>
            </w:pPr>
            <w:r>
              <w:t>Day Count Basis</w:t>
            </w:r>
          </w:p>
        </w:tc>
      </w:tr>
      <w:tr w:rsidR="005F78FC" w:rsidTr="005F78FC">
        <w:tc>
          <w:tcPr>
            <w:tcW w:w="0" w:type="auto"/>
            <w:vAlign w:val="center"/>
          </w:tcPr>
          <w:p w:rsidR="005F78FC" w:rsidRDefault="00B42EF3">
            <w:pPr>
              <w:pStyle w:val="TableBodyText"/>
            </w:pPr>
            <w:r>
              <w:rPr>
                <w:rStyle w:val="InlineCode"/>
              </w:rPr>
              <w:t>0</w:t>
            </w:r>
            <w:r>
              <w:t xml:space="preserve"> or omitted</w:t>
            </w:r>
          </w:p>
        </w:tc>
        <w:tc>
          <w:tcPr>
            <w:tcW w:w="0" w:type="auto"/>
            <w:vAlign w:val="center"/>
          </w:tcPr>
          <w:p w:rsidR="005F78FC" w:rsidRDefault="00B42EF3">
            <w:pPr>
              <w:pStyle w:val="TableBodyText"/>
            </w:pPr>
            <w:r>
              <w:t xml:space="preserve">US </w:t>
            </w:r>
            <w:r>
              <w:t>(NASD) 30/360. If the dates are equal, the difference of days is 0. Assumes that each month has 30 days and the total number of days in the year is 360 by making the following adjustments:</w:t>
            </w:r>
          </w:p>
          <w:p w:rsidR="005F78FC" w:rsidRDefault="00B42EF3">
            <w:pPr>
              <w:pStyle w:val="TableBodyText"/>
            </w:pPr>
            <w:r>
              <w:t>If both day-of-months are 31, they are changed to 30</w:t>
            </w:r>
          </w:p>
          <w:p w:rsidR="005F78FC" w:rsidRDefault="00B42EF3">
            <w:pPr>
              <w:pStyle w:val="TableBodyText"/>
            </w:pPr>
            <w:r>
              <w:t xml:space="preserve">Otherwise, if </w:t>
            </w:r>
            <w:r>
              <w:t>date1’s day-of-month is 31, it is changed to 30</w:t>
            </w:r>
          </w:p>
          <w:p w:rsidR="005F78FC" w:rsidRDefault="00B42EF3">
            <w:pPr>
              <w:pStyle w:val="TableBodyText"/>
            </w:pPr>
            <w:r>
              <w:t>Otherwise, if date1’s day-of-month is 30 and date2’s day-of-month is 31, date2’s day-of-month is changed to 30 (note that date2’s day-of-month will stay 31 if date1’s day &lt; 30)</w:t>
            </w:r>
          </w:p>
          <w:p w:rsidR="005F78FC" w:rsidRDefault="00B42EF3">
            <w:pPr>
              <w:pStyle w:val="TableBodyText"/>
            </w:pPr>
            <w:r>
              <w:t>Otherwise, if both dates are th</w:t>
            </w:r>
            <w:r>
              <w:t>e last day of February in their respective years, both day-of-month is changed to 30</w:t>
            </w:r>
          </w:p>
          <w:p w:rsidR="005F78FC" w:rsidRDefault="00B42EF3">
            <w:pPr>
              <w:pStyle w:val="TableBodyText"/>
            </w:pPr>
            <w:r>
              <w:t>Otherwise, if date1 is the last day of February, its day-of-month is changed to 30</w:t>
            </w:r>
          </w:p>
        </w:tc>
      </w:tr>
      <w:tr w:rsidR="005F78FC" w:rsidTr="005F78FC">
        <w:tc>
          <w:tcPr>
            <w:tcW w:w="0" w:type="auto"/>
            <w:vAlign w:val="center"/>
          </w:tcPr>
          <w:p w:rsidR="005F78FC" w:rsidRDefault="00B42EF3">
            <w:pPr>
              <w:pStyle w:val="TableBodyText"/>
            </w:pPr>
            <w:r>
              <w:rPr>
                <w:rStyle w:val="InlineCode"/>
              </w:rPr>
              <w:t>1</w:t>
            </w:r>
          </w:p>
        </w:tc>
        <w:tc>
          <w:tcPr>
            <w:tcW w:w="0" w:type="auto"/>
            <w:vAlign w:val="center"/>
          </w:tcPr>
          <w:p w:rsidR="005F78FC" w:rsidRDefault="00B42EF3">
            <w:pPr>
              <w:pStyle w:val="TableBodyText"/>
            </w:pPr>
            <w:r>
              <w:t>Actual/actual. If the dates are equal, the difference in days is 0. If date1 and date</w:t>
            </w:r>
            <w:r>
              <w:t>2 not “less than or equal to a year apart” (as defined below), then the days in the years between the dates is the average number of days in the years between date1 and date2, inclusive. Otherwise, the days in the years between the dates is 365, except for</w:t>
            </w:r>
            <w:r>
              <w:t xml:space="preserve"> these cases (where it is 366): the dates are in the same year and it is a leap-year, a February 29 occurs between the two dates, or </w:t>
            </w:r>
            <w:r>
              <w:rPr>
                <w:b/>
              </w:rPr>
              <w:t>date1 or</w:t>
            </w:r>
            <w:r>
              <w:t xml:space="preserve"> date2 is February 29.</w:t>
            </w:r>
          </w:p>
          <w:p w:rsidR="005F78FC" w:rsidRDefault="005F78FC">
            <w:pPr>
              <w:pStyle w:val="TableBodyText"/>
            </w:pPr>
          </w:p>
          <w:p w:rsidR="005F78FC" w:rsidRDefault="00B42EF3">
            <w:pPr>
              <w:pStyle w:val="TableBodyText"/>
            </w:pPr>
            <w:r>
              <w:t>To determine if date1 and date2 are “less than or equal to a year apart” for purposes of th</w:t>
            </w:r>
            <w:r>
              <w:t>is algorithm, one of these conditions must be true:</w:t>
            </w:r>
          </w:p>
          <w:p w:rsidR="005F78FC" w:rsidRDefault="00B42EF3">
            <w:pPr>
              <w:pStyle w:val="ListParagraph"/>
              <w:numPr>
                <w:ilvl w:val="0"/>
                <w:numId w:val="114"/>
              </w:numPr>
            </w:pPr>
            <w:r>
              <w:t>The two dates have the same year</w:t>
            </w:r>
          </w:p>
          <w:p w:rsidR="005F78FC" w:rsidRDefault="00B42EF3">
            <w:pPr>
              <w:pStyle w:val="ListParagraph"/>
              <w:numPr>
                <w:ilvl w:val="0"/>
                <w:numId w:val="115"/>
              </w:numPr>
            </w:pPr>
            <w:r>
              <w:t>Date2’s year is exactly one more than date1’s year, and ((date1.month &gt; date2.month) or ((date1.month == date2.month) and (date1.day &gt;= date2.day)))</w:t>
            </w:r>
          </w:p>
        </w:tc>
      </w:tr>
      <w:tr w:rsidR="005F78FC" w:rsidTr="005F78FC">
        <w:tc>
          <w:tcPr>
            <w:tcW w:w="0" w:type="auto"/>
            <w:vAlign w:val="center"/>
          </w:tcPr>
          <w:p w:rsidR="005F78FC" w:rsidRDefault="00B42EF3">
            <w:pPr>
              <w:pStyle w:val="TableBodyText"/>
            </w:pPr>
            <w:r>
              <w:rPr>
                <w:rStyle w:val="InlineCode"/>
              </w:rPr>
              <w:lastRenderedPageBreak/>
              <w:t>2</w:t>
            </w:r>
          </w:p>
        </w:tc>
        <w:tc>
          <w:tcPr>
            <w:tcW w:w="0" w:type="auto"/>
            <w:vAlign w:val="center"/>
          </w:tcPr>
          <w:p w:rsidR="005F78FC" w:rsidRDefault="00B42EF3">
            <w:pPr>
              <w:pStyle w:val="TableBodyText"/>
            </w:pPr>
            <w:r>
              <w:t xml:space="preserve">Actual/360. </w:t>
            </w:r>
            <w:r>
              <w:t>Computes the actual difference in days, and presumes there are always 360 days per year.</w:t>
            </w:r>
          </w:p>
        </w:tc>
      </w:tr>
      <w:tr w:rsidR="005F78FC" w:rsidTr="005F78FC">
        <w:tc>
          <w:tcPr>
            <w:tcW w:w="0" w:type="auto"/>
            <w:vAlign w:val="center"/>
          </w:tcPr>
          <w:p w:rsidR="005F78FC" w:rsidRDefault="00B42EF3">
            <w:pPr>
              <w:pStyle w:val="TableBodyText"/>
            </w:pPr>
            <w:r>
              <w:rPr>
                <w:rStyle w:val="InlineCode"/>
              </w:rPr>
              <w:t>3</w:t>
            </w:r>
          </w:p>
        </w:tc>
        <w:tc>
          <w:tcPr>
            <w:tcW w:w="0" w:type="auto"/>
            <w:vAlign w:val="center"/>
          </w:tcPr>
          <w:p w:rsidR="005F78FC" w:rsidRDefault="00B42EF3">
            <w:pPr>
              <w:pStyle w:val="TableBodyText"/>
            </w:pPr>
            <w:r>
              <w:t>Actual/365. Computes the actual difference in days, and presumes there are always 365 days per year.</w:t>
            </w:r>
          </w:p>
        </w:tc>
      </w:tr>
      <w:tr w:rsidR="005F78FC" w:rsidTr="005F78FC">
        <w:tc>
          <w:tcPr>
            <w:tcW w:w="0" w:type="auto"/>
            <w:vAlign w:val="center"/>
          </w:tcPr>
          <w:p w:rsidR="005F78FC" w:rsidRDefault="00B42EF3">
            <w:pPr>
              <w:pStyle w:val="TableBodyText"/>
            </w:pPr>
            <w:r>
              <w:rPr>
                <w:rStyle w:val="InlineCode"/>
              </w:rPr>
              <w:t>4</w:t>
            </w:r>
          </w:p>
        </w:tc>
        <w:tc>
          <w:tcPr>
            <w:tcW w:w="0" w:type="auto"/>
            <w:vAlign w:val="center"/>
          </w:tcPr>
          <w:p w:rsidR="005F78FC" w:rsidRDefault="00B42EF3">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5F78FC" w:rsidRDefault="005F78FC"/>
    <w:p w:rsidR="005F78FC" w:rsidRDefault="00B42EF3">
      <w:pPr>
        <w:pStyle w:val="Heading3"/>
      </w:pPr>
      <w:bookmarkStart w:id="2076" w:name="section_d1d151f6ea8249cea3714df6ff22cd9d"/>
      <w:bookmarkStart w:id="2077" w:name="_Toc69878811"/>
      <w:r>
        <w:t>Part 1 Section 18.17.7.272, REPLACE</w:t>
      </w:r>
      <w:bookmarkEnd w:id="2076"/>
      <w:bookmarkEnd w:id="2077"/>
      <w:r>
        <w:fldChar w:fldCharType="begin"/>
      </w:r>
      <w:r>
        <w:instrText xml:space="preserve"> XE "REPLACE" </w:instrText>
      </w:r>
      <w:r>
        <w:fldChar w:fldCharType="end"/>
      </w:r>
    </w:p>
    <w:p w:rsidR="005F78FC" w:rsidRDefault="00B42EF3">
      <w:pPr>
        <w:pStyle w:val="Definition-Field"/>
      </w:pPr>
      <w:r>
        <w:t xml:space="preserve">a.   </w:t>
      </w:r>
      <w:r>
        <w:rPr>
          <w:i/>
        </w:rPr>
        <w:t>The standard states that REPLACE is intended for use with languages that use the single-byte c</w:t>
      </w:r>
      <w:r>
        <w:rPr>
          <w:i/>
        </w:rPr>
        <w:t>haracter set (SBCS), whereas REPLACEB is intended for use with languages that use the double-byte character set (DBCS).</w:t>
      </w:r>
    </w:p>
    <w:p w:rsidR="005F78FC" w:rsidRDefault="00B42EF3">
      <w:pPr>
        <w:pStyle w:val="Definition-Field2"/>
      </w:pPr>
      <w:r>
        <w:t>In Office, REPLACE is intended for use with any language, whereas REPLACEB is intended for use with languages that use the double-byte c</w:t>
      </w:r>
      <w:r>
        <w:t>haracter set (DBCS).</w:t>
      </w:r>
    </w:p>
    <w:p w:rsidR="005F78FC" w:rsidRDefault="00B42EF3">
      <w:pPr>
        <w:pStyle w:val="Definition-Field"/>
      </w:pPr>
      <w:r>
        <w:t xml:space="preserve">b.   </w:t>
      </w:r>
      <w:r>
        <w:rPr>
          <w:i/>
        </w:rPr>
        <w:t>The standard specifies start-pos shall be greater than or equal to 0.</w:t>
      </w:r>
    </w:p>
    <w:p w:rsidR="005F78FC" w:rsidRDefault="00B42EF3">
      <w:pPr>
        <w:pStyle w:val="Definition-Field2"/>
      </w:pPr>
      <w:r>
        <w:t>In Office, start-pos shall be greater than or equal to 1.</w:t>
      </w:r>
    </w:p>
    <w:p w:rsidR="005F78FC" w:rsidRDefault="00B42EF3">
      <w:pPr>
        <w:pStyle w:val="Heading3"/>
      </w:pPr>
      <w:bookmarkStart w:id="2078" w:name="section_96ce77b13cab4619a54e1d57cea2592f"/>
      <w:bookmarkStart w:id="2079" w:name="_Toc69878812"/>
      <w:r>
        <w:t>Part 1 Section 18.17.7.273, REPLACEB</w:t>
      </w:r>
      <w:bookmarkEnd w:id="2078"/>
      <w:bookmarkEnd w:id="2079"/>
      <w:r>
        <w:fldChar w:fldCharType="begin"/>
      </w:r>
      <w:r>
        <w:instrText xml:space="preserve"> XE "REPLACEB" </w:instrText>
      </w:r>
      <w:r>
        <w:fldChar w:fldCharType="end"/>
      </w:r>
    </w:p>
    <w:p w:rsidR="005F78FC" w:rsidRDefault="00B42EF3">
      <w:pPr>
        <w:pStyle w:val="Definition-Field"/>
      </w:pPr>
      <w:r>
        <w:t xml:space="preserve">a.   </w:t>
      </w:r>
      <w:r>
        <w:rPr>
          <w:i/>
        </w:rPr>
        <w:t>The standard does not specify that argument</w:t>
      </w:r>
      <w:r>
        <w:rPr>
          <w:i/>
        </w:rPr>
        <w:t xml:space="preserve"> start-pos and number-bytes are measured in bytes.</w:t>
      </w:r>
    </w:p>
    <w:p w:rsidR="005F78FC" w:rsidRDefault="00B42EF3">
      <w:pPr>
        <w:pStyle w:val="Definition-Field2"/>
      </w:pPr>
      <w:r>
        <w:t>Office measures argument start-pos and number-bytes in bytes.</w:t>
      </w:r>
    </w:p>
    <w:p w:rsidR="005F78FC" w:rsidRDefault="00B42EF3">
      <w:pPr>
        <w:pStyle w:val="Definition-Field"/>
      </w:pPr>
      <w:r>
        <w:t xml:space="preserve">b.   </w:t>
      </w:r>
      <w:r>
        <w:rPr>
          <w:i/>
        </w:rPr>
        <w:t>The standard states that REPLACEB is intended for use with languages that use the double-byte character set (DBCS) and REPLACE is intended</w:t>
      </w:r>
      <w:r>
        <w:rPr>
          <w:i/>
        </w:rPr>
        <w:t xml:space="preserve"> for use with languages that use the single-byte character set (SBCS).</w:t>
      </w:r>
    </w:p>
    <w:p w:rsidR="005F78FC" w:rsidRDefault="00B42EF3">
      <w:pPr>
        <w:pStyle w:val="Definition-Field2"/>
      </w:pPr>
      <w:r>
        <w:t>In Office, REPLACEB is intended for use with languages that use the double-byte character set (DBCS) and REPLACE is intended for use with any language.</w:t>
      </w:r>
    </w:p>
    <w:p w:rsidR="005F78FC" w:rsidRDefault="00B42EF3">
      <w:pPr>
        <w:pStyle w:val="Definition-Field"/>
      </w:pPr>
      <w:r>
        <w:t xml:space="preserve">c.   </w:t>
      </w:r>
      <w:r>
        <w:rPr>
          <w:i/>
        </w:rPr>
        <w:t xml:space="preserve">The standard specifies that </w:t>
      </w:r>
      <w:r>
        <w:rPr>
          <w:i/>
        </w:rPr>
        <w:t>start-pos shall be greater than or equal to 0.</w:t>
      </w:r>
    </w:p>
    <w:p w:rsidR="005F78FC" w:rsidRDefault="00B42EF3">
      <w:pPr>
        <w:pStyle w:val="Definition-Field2"/>
      </w:pPr>
      <w:r>
        <w:t>In Office, start-pos shall be greater than or equal to1.</w:t>
      </w:r>
    </w:p>
    <w:p w:rsidR="005F78FC" w:rsidRDefault="00B42EF3">
      <w:pPr>
        <w:pStyle w:val="Definition-Field"/>
      </w:pPr>
      <w:r>
        <w:t xml:space="preserve">d.   </w:t>
      </w:r>
      <w:r>
        <w:rPr>
          <w:i/>
        </w:rPr>
        <w:t>The standard does not specify which languages support DBCS.</w:t>
      </w:r>
    </w:p>
    <w:p w:rsidR="005F78FC" w:rsidRDefault="00B42EF3">
      <w:pPr>
        <w:pStyle w:val="Definition-Field2"/>
      </w:pPr>
      <w:r>
        <w:t xml:space="preserve">In Office, the languages that support DBCS include Japanese, Chinese (Simplified), </w:t>
      </w:r>
      <w:r>
        <w:t>Chinese (Traditional), and Korean.</w:t>
      </w:r>
    </w:p>
    <w:p w:rsidR="005F78FC" w:rsidRDefault="00B42EF3">
      <w:pPr>
        <w:pStyle w:val="Definition-Field"/>
      </w:pPr>
      <w:r>
        <w:t xml:space="preserve">e.   </w:t>
      </w:r>
      <w:r>
        <w:rPr>
          <w:i/>
        </w:rPr>
        <w:t>The standard does not specify behavior of REPLACEB when default language supports DBCS and when it does not support DBCS.</w:t>
      </w:r>
    </w:p>
    <w:p w:rsidR="005F78FC" w:rsidRDefault="00B42EF3">
      <w:pPr>
        <w:pStyle w:val="Definition-Field2"/>
      </w:pPr>
      <w:r>
        <w:t>In Office, when the default language supports DBCS, REPLACEB counts each double-byte character</w:t>
      </w:r>
      <w:r>
        <w:t xml:space="preserve"> as 2 bytes, and each single-byte character as 1. When the default language does not support DBCS, REPLACEB counts each character as 1 byte.</w:t>
      </w:r>
    </w:p>
    <w:p w:rsidR="005F78FC" w:rsidRDefault="00B42EF3">
      <w:pPr>
        <w:pStyle w:val="Heading3"/>
      </w:pPr>
      <w:bookmarkStart w:id="2080" w:name="section_a6a6184fcd8d481facbd8d3c4accd982"/>
      <w:bookmarkStart w:id="2081" w:name="_Toc69878813"/>
      <w:r>
        <w:lastRenderedPageBreak/>
        <w:t>Part 1 Section 18.17.7.275, RIGHT</w:t>
      </w:r>
      <w:bookmarkEnd w:id="2080"/>
      <w:bookmarkEnd w:id="2081"/>
      <w:r>
        <w:fldChar w:fldCharType="begin"/>
      </w:r>
      <w:r>
        <w:instrText xml:space="preserve"> XE "RIGHT" </w:instrText>
      </w:r>
      <w:r>
        <w:fldChar w:fldCharType="end"/>
      </w:r>
    </w:p>
    <w:p w:rsidR="005F78FC" w:rsidRDefault="00B42EF3">
      <w:pPr>
        <w:pStyle w:val="Definition-Field"/>
      </w:pPr>
      <w:r>
        <w:t xml:space="preserve">a.   </w:t>
      </w:r>
      <w:r>
        <w:rPr>
          <w:i/>
        </w:rPr>
        <w:t>The standard specifies that RIGHT is intended for use with lan</w:t>
      </w:r>
      <w:r>
        <w:rPr>
          <w:i/>
        </w:rPr>
        <w:t>guages that use the single-byte character set (SBCS), whereas RIGHTB is intended for use with languages that use the double-byte character set (DBCS).</w:t>
      </w:r>
    </w:p>
    <w:p w:rsidR="005F78FC" w:rsidRDefault="00B42EF3">
      <w:pPr>
        <w:pStyle w:val="Definition-Field2"/>
      </w:pPr>
      <w:r>
        <w:t>In Office, RIGHT is intended for use with any language, whereas RIGHTB is intended for use with languages</w:t>
      </w:r>
      <w:r>
        <w:t xml:space="preserve"> that use the double-byte character set (DBCS).</w:t>
      </w:r>
    </w:p>
    <w:p w:rsidR="005F78FC" w:rsidRDefault="00B42EF3">
      <w:pPr>
        <w:pStyle w:val="Heading3"/>
      </w:pPr>
      <w:bookmarkStart w:id="2082" w:name="section_eb12d10c702b4d9d938d34d55b9099a4"/>
      <w:bookmarkStart w:id="2083" w:name="_Toc69878814"/>
      <w:r>
        <w:t>Part 1 Section 18.17.7.276, RIGHTB</w:t>
      </w:r>
      <w:bookmarkEnd w:id="2082"/>
      <w:bookmarkEnd w:id="2083"/>
      <w:r>
        <w:fldChar w:fldCharType="begin"/>
      </w:r>
      <w:r>
        <w:instrText xml:space="preserve"> XE "RIGHTB" </w:instrText>
      </w:r>
      <w:r>
        <w:fldChar w:fldCharType="end"/>
      </w:r>
    </w:p>
    <w:p w:rsidR="005F78FC" w:rsidRDefault="00B42EF3">
      <w:pPr>
        <w:pStyle w:val="Definition-Field"/>
      </w:pPr>
      <w:r>
        <w:t xml:space="preserve">a.   </w:t>
      </w:r>
      <w:r>
        <w:rPr>
          <w:i/>
        </w:rPr>
        <w:t>The standard does not specify which languages support DBCS.</w:t>
      </w:r>
    </w:p>
    <w:p w:rsidR="005F78FC" w:rsidRDefault="00B42EF3">
      <w:pPr>
        <w:pStyle w:val="Definition-Field2"/>
      </w:pPr>
      <w:r>
        <w:t>In Office, the languages that support DBCS include Japanese, Chinese (Simplified), Chinese (T</w:t>
      </w:r>
      <w:r>
        <w:t>raditional), and Korean.</w:t>
      </w:r>
    </w:p>
    <w:p w:rsidR="005F78FC" w:rsidRDefault="00B42EF3">
      <w:pPr>
        <w:pStyle w:val="Definition-Field"/>
      </w:pPr>
      <w:r>
        <w:t xml:space="preserve">b.   </w:t>
      </w:r>
      <w:r>
        <w:rPr>
          <w:i/>
        </w:rPr>
        <w:t>The standard does not specify behavior of RIGHTB when default language supports DBCS and when it does not support DBCS.</w:t>
      </w:r>
    </w:p>
    <w:p w:rsidR="005F78FC" w:rsidRDefault="00B42EF3">
      <w:pPr>
        <w:pStyle w:val="Definition-Field2"/>
      </w:pPr>
      <w:r>
        <w:t>In Office, when the default language supports DBCS, RIGHTB counts each double-byte character as 2 bytes, a</w:t>
      </w:r>
      <w:r>
        <w:t>nd each single-byte character as 1. When the default language does not support DBCS, RIGHTB counts each character as 1 byte.</w:t>
      </w:r>
    </w:p>
    <w:p w:rsidR="005F78FC" w:rsidRDefault="00B42EF3">
      <w:pPr>
        <w:pStyle w:val="Heading3"/>
      </w:pPr>
      <w:bookmarkStart w:id="2084" w:name="section_58cc2461256744ea87c39358c542b0c8"/>
      <w:bookmarkStart w:id="2085" w:name="_Toc69878815"/>
      <w:r>
        <w:t>Part 1 Section 18.17.7.277, ROMAN</w:t>
      </w:r>
      <w:bookmarkEnd w:id="2084"/>
      <w:bookmarkEnd w:id="2085"/>
      <w:r>
        <w:fldChar w:fldCharType="begin"/>
      </w:r>
      <w:r>
        <w:instrText xml:space="preserve"> XE "ROMAN" </w:instrText>
      </w:r>
      <w:r>
        <w:fldChar w:fldCharType="end"/>
      </w:r>
    </w:p>
    <w:p w:rsidR="005F78FC" w:rsidRDefault="00B42EF3">
      <w:pPr>
        <w:pStyle w:val="Definition-Field"/>
      </w:pPr>
      <w:r>
        <w:t xml:space="preserve">a.   </w:t>
      </w:r>
      <w:r>
        <w:rPr>
          <w:i/>
        </w:rPr>
        <w:t>The standard does not specify what happens if number argument is equal to 0.</w:t>
      </w:r>
    </w:p>
    <w:p w:rsidR="005F78FC" w:rsidRDefault="00B42EF3">
      <w:pPr>
        <w:pStyle w:val="Definition-Field2"/>
      </w:pPr>
      <w:r>
        <w:t>O</w:t>
      </w:r>
      <w:r>
        <w:t>ffice returns the empty string if number argument is equal to 0.</w:t>
      </w:r>
    </w:p>
    <w:p w:rsidR="005F78FC" w:rsidRDefault="00B42EF3">
      <w:pPr>
        <w:pStyle w:val="Heading3"/>
      </w:pPr>
      <w:bookmarkStart w:id="2086" w:name="section_e702ec419f9f41fcb62c24c38274e331"/>
      <w:bookmarkStart w:id="2087" w:name="_Toc69878816"/>
      <w:r>
        <w:t>Part 1 Section 18.17.7.278, ROUND</w:t>
      </w:r>
      <w:bookmarkEnd w:id="2086"/>
      <w:bookmarkEnd w:id="2087"/>
      <w:r>
        <w:fldChar w:fldCharType="begin"/>
      </w:r>
      <w:r>
        <w:instrText xml:space="preserve"> XE "ROUND" </w:instrText>
      </w:r>
      <w:r>
        <w:fldChar w:fldCharType="end"/>
      </w:r>
    </w:p>
    <w:p w:rsidR="005F78FC" w:rsidRDefault="00B42EF3">
      <w:pPr>
        <w:pStyle w:val="Definition-Field"/>
      </w:pPr>
      <w:r>
        <w:t xml:space="preserve">a.   </w:t>
      </w:r>
      <w:r>
        <w:rPr>
          <w:i/>
        </w:rPr>
        <w:t>The standard states that a return value is the rounded down value of x.</w:t>
      </w:r>
    </w:p>
    <w:p w:rsidR="005F78FC" w:rsidRDefault="00B42EF3">
      <w:pPr>
        <w:pStyle w:val="Definition-Field2"/>
      </w:pPr>
      <w:r>
        <w:t>Office treats x as the rounded value of x.</w:t>
      </w:r>
    </w:p>
    <w:p w:rsidR="005F78FC" w:rsidRDefault="00B42EF3">
      <w:pPr>
        <w:pStyle w:val="Heading3"/>
      </w:pPr>
      <w:bookmarkStart w:id="2088" w:name="section_3cd2aea4797d42fc80de1a4ed0e01932"/>
      <w:bookmarkStart w:id="2089" w:name="_Toc69878817"/>
      <w:r>
        <w:t>Part 1 Section 18.17.7.</w:t>
      </w:r>
      <w:r>
        <w:t>282, ROWS</w:t>
      </w:r>
      <w:bookmarkEnd w:id="2088"/>
      <w:bookmarkEnd w:id="2089"/>
      <w:r>
        <w:fldChar w:fldCharType="begin"/>
      </w:r>
      <w:r>
        <w:instrText xml:space="preserve"> XE "ROWS" </w:instrText>
      </w:r>
      <w:r>
        <w:fldChar w:fldCharType="end"/>
      </w:r>
    </w:p>
    <w:p w:rsidR="005F78FC" w:rsidRDefault="00B42EF3">
      <w:pPr>
        <w:pStyle w:val="Definition-Field"/>
      </w:pPr>
      <w:r>
        <w:t xml:space="preserve">a.   </w:t>
      </w:r>
      <w:r>
        <w:rPr>
          <w:i/>
        </w:rPr>
        <w:t>The standard states that if the range of cells referred to by array is not contiguous, #NULL! is returned.</w:t>
      </w:r>
    </w:p>
    <w:p w:rsidR="005F78FC" w:rsidRDefault="00B42EF3">
      <w:pPr>
        <w:pStyle w:val="Definition-Field2"/>
      </w:pPr>
      <w:r>
        <w:t>Office returns #REF!, if array refers to the union of discontiguous ranges.</w:t>
      </w:r>
    </w:p>
    <w:p w:rsidR="005F78FC" w:rsidRDefault="00B42EF3">
      <w:pPr>
        <w:pStyle w:val="Heading3"/>
      </w:pPr>
      <w:bookmarkStart w:id="2090" w:name="section_70a4382f51c64640851dd8612b038217"/>
      <w:bookmarkStart w:id="2091" w:name="_Toc69878818"/>
      <w:r>
        <w:t>Part 1 Section 18.17.7.284, RTD</w:t>
      </w:r>
      <w:bookmarkEnd w:id="2090"/>
      <w:bookmarkEnd w:id="2091"/>
      <w:r>
        <w:fldChar w:fldCharType="begin"/>
      </w:r>
      <w:r>
        <w:instrText xml:space="preserve"> XE "RTD" </w:instrText>
      </w:r>
      <w:r>
        <w:fldChar w:fldCharType="end"/>
      </w:r>
    </w:p>
    <w:p w:rsidR="005F78FC" w:rsidRDefault="00B42EF3">
      <w:pPr>
        <w:pStyle w:val="Definition-Field"/>
      </w:pPr>
      <w:r>
        <w:t xml:space="preserve">a.   </w:t>
      </w:r>
      <w:r>
        <w:rPr>
          <w:i/>
        </w:rPr>
        <w:t>The standard does not describe restrictions on progID.</w:t>
      </w:r>
    </w:p>
    <w:p w:rsidR="005F78FC" w:rsidRDefault="00B42EF3">
      <w:pPr>
        <w:pStyle w:val="Definition-Field2"/>
      </w:pPr>
      <w:r>
        <w:t>In Office, if progID does not reference an application that is registered and that implements IRTDServer, then #N/A is returned.</w:t>
      </w:r>
    </w:p>
    <w:p w:rsidR="005F78FC" w:rsidRDefault="00B42EF3">
      <w:pPr>
        <w:pStyle w:val="Definition-Field"/>
      </w:pPr>
      <w:r>
        <w:t xml:space="preserve">b.   </w:t>
      </w:r>
      <w:r>
        <w:rPr>
          <w:i/>
        </w:rPr>
        <w:t>The standard does not describe how the application communicate</w:t>
      </w:r>
      <w:r>
        <w:rPr>
          <w:i/>
        </w:rPr>
        <w:t>s with Excel.</w:t>
      </w:r>
    </w:p>
    <w:p w:rsidR="005F78FC" w:rsidRDefault="00B42EF3">
      <w:pPr>
        <w:pStyle w:val="Definition-Field2"/>
      </w:pPr>
      <w:r>
        <w:t>In Office, the application must implement the IRTDServer interface.</w:t>
      </w:r>
    </w:p>
    <w:p w:rsidR="005F78FC" w:rsidRDefault="00B42EF3">
      <w:pPr>
        <w:pStyle w:val="Definition-Field"/>
      </w:pPr>
      <w:r>
        <w:t xml:space="preserve">c.   </w:t>
      </w:r>
      <w:r>
        <w:rPr>
          <w:i/>
        </w:rPr>
        <w:t>The standard does not specify that argument-list may be left blank.</w:t>
      </w:r>
    </w:p>
    <w:p w:rsidR="005F78FC" w:rsidRDefault="00B42EF3">
      <w:pPr>
        <w:pStyle w:val="Definition-Field2"/>
      </w:pPr>
      <w:r>
        <w:t>In Office, argument-list is required, but may be left blank.</w:t>
      </w:r>
    </w:p>
    <w:p w:rsidR="005F78FC" w:rsidRDefault="00B42EF3">
      <w:pPr>
        <w:pStyle w:val="Definition-Field"/>
      </w:pPr>
      <w:r>
        <w:t xml:space="preserve">d.   </w:t>
      </w:r>
      <w:r>
        <w:rPr>
          <w:i/>
        </w:rPr>
        <w:t>The standard uses the following syn</w:t>
      </w:r>
      <w:r>
        <w:rPr>
          <w:i/>
        </w:rPr>
        <w:t>tax: RTD(progID, [rtd-server], argument-list).</w:t>
      </w:r>
    </w:p>
    <w:p w:rsidR="005F78FC" w:rsidRDefault="00B42EF3">
      <w:pPr>
        <w:pStyle w:val="Definition-Field2"/>
      </w:pPr>
      <w:r>
        <w:lastRenderedPageBreak/>
        <w:t>Office uses the following syntax: RTD(progID, rtd-server, argument-list).</w:t>
      </w:r>
    </w:p>
    <w:p w:rsidR="005F78FC" w:rsidRDefault="00B42EF3">
      <w:pPr>
        <w:pStyle w:val="Definition-Field"/>
      </w:pPr>
      <w:r>
        <w:t xml:space="preserve">e.   </w:t>
      </w:r>
      <w:r>
        <w:rPr>
          <w:i/>
        </w:rPr>
        <w:t>In the standard, argument-list does not specify the maximum number of arguments.</w:t>
      </w:r>
    </w:p>
    <w:p w:rsidR="005F78FC" w:rsidRDefault="00B42EF3">
      <w:pPr>
        <w:pStyle w:val="Definition-Field2"/>
      </w:pPr>
      <w:r>
        <w:t xml:space="preserve">In Office, argument-list may contain at most 253 </w:t>
      </w:r>
      <w:r>
        <w:t>arguments.</w:t>
      </w:r>
    </w:p>
    <w:p w:rsidR="005F78FC" w:rsidRDefault="00B42EF3">
      <w:pPr>
        <w:pStyle w:val="Definition-Field"/>
      </w:pPr>
      <w:r>
        <w:t xml:space="preserve">f.   </w:t>
      </w:r>
      <w:r>
        <w:rPr>
          <w:i/>
        </w:rPr>
        <w:t>The standard describes the rtd-server argument as a string that is specific to the application with which RTD is communicating.</w:t>
      </w:r>
    </w:p>
    <w:p w:rsidR="005F78FC" w:rsidRDefault="00B42EF3">
      <w:pPr>
        <w:pStyle w:val="Definition-Field2"/>
      </w:pPr>
      <w:r>
        <w:t xml:space="preserve">In Office, the rtd-server argument is used to perform a DCOM call to a remote RTD server. It is not specific to </w:t>
      </w:r>
      <w:r>
        <w:t>the RTD server.  If there is no server and the application is run locally, the argument is left blank.</w:t>
      </w:r>
    </w:p>
    <w:p w:rsidR="005F78FC" w:rsidRDefault="00B42EF3">
      <w:pPr>
        <w:pStyle w:val="Heading3"/>
      </w:pPr>
      <w:bookmarkStart w:id="2092" w:name="section_18d08c10e8554b85bcdd66dc1cd44673"/>
      <w:bookmarkStart w:id="2093" w:name="_Toc69878819"/>
      <w:r>
        <w:t>Part 1 Section 18.17.7.285, SEARCH</w:t>
      </w:r>
      <w:bookmarkEnd w:id="2092"/>
      <w:bookmarkEnd w:id="2093"/>
      <w:r>
        <w:fldChar w:fldCharType="begin"/>
      </w:r>
      <w:r>
        <w:instrText xml:space="preserve"> XE "SEARCH" </w:instrText>
      </w:r>
      <w:r>
        <w:fldChar w:fldCharType="end"/>
      </w:r>
    </w:p>
    <w:p w:rsidR="005F78FC" w:rsidRDefault="00B42EF3">
      <w:pPr>
        <w:pStyle w:val="Definition-Field"/>
      </w:pPr>
      <w:r>
        <w:t xml:space="preserve">a.   </w:t>
      </w:r>
      <w:r>
        <w:rPr>
          <w:i/>
        </w:rPr>
        <w:t>The standard states that start-pos shall be at least 0.</w:t>
      </w:r>
    </w:p>
    <w:p w:rsidR="005F78FC" w:rsidRDefault="00B42EF3">
      <w:pPr>
        <w:pStyle w:val="Definition-Field2"/>
      </w:pPr>
      <w:r>
        <w:t>In Office, start-pos shall be at least 1.</w:t>
      </w:r>
    </w:p>
    <w:p w:rsidR="005F78FC" w:rsidRDefault="00B42EF3">
      <w:pPr>
        <w:pStyle w:val="Definition-Field"/>
      </w:pPr>
      <w:r>
        <w:t xml:space="preserve">b.   </w:t>
      </w:r>
      <w:r>
        <w:rPr>
          <w:i/>
        </w:rPr>
        <w:t>The standard states that SEARCH is intended for use with languages that use the single-byte character set (SBCS), whereas SEARCHB is intended for use with languages that use the double-byte character set (DBCS).</w:t>
      </w:r>
    </w:p>
    <w:p w:rsidR="005F78FC" w:rsidRDefault="00B42EF3">
      <w:pPr>
        <w:pStyle w:val="Definition-Field2"/>
      </w:pPr>
      <w:r>
        <w:t>In Office, SEARCH is intended for use w</w:t>
      </w:r>
      <w:r>
        <w:t>ith any language, whereas SEARCHB is intended for use with languages that use the double-byte character set (DBCS).</w:t>
      </w:r>
    </w:p>
    <w:p w:rsidR="005F78FC" w:rsidRDefault="00B42EF3">
      <w:pPr>
        <w:pStyle w:val="Heading3"/>
      </w:pPr>
      <w:bookmarkStart w:id="2094" w:name="section_62b11e5620d741298c09837a45147585"/>
      <w:bookmarkStart w:id="2095" w:name="_Toc69878820"/>
      <w:r>
        <w:t>Part 1 Section 18.17.7.286, SEARCHB</w:t>
      </w:r>
      <w:bookmarkEnd w:id="2094"/>
      <w:bookmarkEnd w:id="2095"/>
      <w:r>
        <w:fldChar w:fldCharType="begin"/>
      </w:r>
      <w:r>
        <w:instrText xml:space="preserve"> XE "SEARCHB" </w:instrText>
      </w:r>
      <w:r>
        <w:fldChar w:fldCharType="end"/>
      </w:r>
    </w:p>
    <w:p w:rsidR="005F78FC" w:rsidRDefault="00B42EF3">
      <w:pPr>
        <w:pStyle w:val="Definition-Field"/>
      </w:pPr>
      <w:r>
        <w:t xml:space="preserve">a.   </w:t>
      </w:r>
      <w:r>
        <w:rPr>
          <w:i/>
        </w:rPr>
        <w:t xml:space="preserve">The standard states that in the description of argument start-pos, start-pos shall </w:t>
      </w:r>
      <w:r>
        <w:rPr>
          <w:i/>
        </w:rPr>
        <w:t>be at least 0.</w:t>
      </w:r>
    </w:p>
    <w:p w:rsidR="005F78FC" w:rsidRDefault="00B42EF3">
      <w:pPr>
        <w:pStyle w:val="Definition-Field2"/>
      </w:pPr>
      <w:r>
        <w:t>In Office, start-pos shall be at least 1, measured in bytes.</w:t>
      </w:r>
    </w:p>
    <w:p w:rsidR="005F78FC" w:rsidRDefault="00B42EF3">
      <w:pPr>
        <w:pStyle w:val="Definition-Field"/>
      </w:pPr>
      <w:r>
        <w:t xml:space="preserve">b.   </w:t>
      </w:r>
      <w:r>
        <w:rPr>
          <w:i/>
        </w:rPr>
        <w:t>The standard does not specify that the start position is measured in bytes.</w:t>
      </w:r>
    </w:p>
    <w:p w:rsidR="005F78FC" w:rsidRDefault="00B42EF3">
      <w:pPr>
        <w:pStyle w:val="Definition-Field2"/>
      </w:pPr>
      <w:r>
        <w:t>Office measures the start position in bytes.</w:t>
      </w:r>
    </w:p>
    <w:p w:rsidR="005F78FC" w:rsidRDefault="00B42EF3">
      <w:pPr>
        <w:pStyle w:val="Definition-Field"/>
      </w:pPr>
      <w:r>
        <w:t xml:space="preserve">c.   </w:t>
      </w:r>
      <w:r>
        <w:rPr>
          <w:i/>
        </w:rPr>
        <w:t>The standard does not specify behavior of SEARCHB</w:t>
      </w:r>
      <w:r>
        <w:rPr>
          <w:i/>
        </w:rPr>
        <w:t xml:space="preserve"> when default language supports DBCS and when it does not support DBCS.</w:t>
      </w:r>
    </w:p>
    <w:p w:rsidR="005F78FC" w:rsidRDefault="00B42EF3">
      <w:pPr>
        <w:pStyle w:val="Definition-Field2"/>
      </w:pPr>
      <w:r>
        <w:t>In Office, when the default language supports DBCS, SEARCHB counts each double-byte character as 2 bytes, and each single-byte character as 1. When the default language does not suppor</w:t>
      </w:r>
      <w:r>
        <w:t>t DBCS, SEARCHB counts each character as 1 byte.</w:t>
      </w:r>
    </w:p>
    <w:p w:rsidR="005F78FC" w:rsidRDefault="00B42EF3">
      <w:pPr>
        <w:pStyle w:val="Definition-Field"/>
      </w:pPr>
      <w:r>
        <w:t xml:space="preserve">d.   </w:t>
      </w:r>
      <w:r>
        <w:rPr>
          <w:i/>
        </w:rPr>
        <w:t>The standard does not specify which languages support DBCS.</w:t>
      </w:r>
    </w:p>
    <w:p w:rsidR="005F78FC" w:rsidRDefault="00B42EF3">
      <w:pPr>
        <w:pStyle w:val="Definition-Field2"/>
      </w:pPr>
      <w:r>
        <w:t>In Office, the languages that support DBCS include Japanese, Chinese (Simplified), Chinese (Traditional), and Korean.</w:t>
      </w:r>
    </w:p>
    <w:p w:rsidR="005F78FC" w:rsidRDefault="00B42EF3">
      <w:pPr>
        <w:pStyle w:val="Heading3"/>
      </w:pPr>
      <w:bookmarkStart w:id="2096" w:name="section_990788fe5bd443d6813b1bf3c7644848"/>
      <w:bookmarkStart w:id="2097" w:name="_Toc69878821"/>
      <w:r>
        <w:t>Part 1 Section 18.17.7.2</w:t>
      </w:r>
      <w:r>
        <w:t>88, SERIESSUM</w:t>
      </w:r>
      <w:bookmarkEnd w:id="2096"/>
      <w:bookmarkEnd w:id="2097"/>
      <w:r>
        <w:fldChar w:fldCharType="begin"/>
      </w:r>
      <w:r>
        <w:instrText xml:space="preserve"> XE "SERIESSUM" </w:instrText>
      </w:r>
      <w:r>
        <w:fldChar w:fldCharType="end"/>
      </w:r>
    </w:p>
    <w:p w:rsidR="005F78FC" w:rsidRDefault="00B42EF3">
      <w:pPr>
        <w:pStyle w:val="Definition-Field"/>
      </w:pPr>
      <w:r>
        <w:t xml:space="preserve">a.   </w:t>
      </w:r>
      <w:r>
        <w:rPr>
          <w:i/>
        </w:rPr>
        <w:t>The standard states that the argument coefficients must be of type reference.</w:t>
      </w:r>
    </w:p>
    <w:p w:rsidR="005F78FC" w:rsidRDefault="00B42EF3">
      <w:pPr>
        <w:pStyle w:val="Definition-Field2"/>
      </w:pPr>
      <w:r>
        <w:t>Office allows the coefficients argument to be of types array or reference.</w:t>
      </w:r>
    </w:p>
    <w:p w:rsidR="005F78FC" w:rsidRDefault="00B42EF3">
      <w:pPr>
        <w:pStyle w:val="Heading3"/>
      </w:pPr>
      <w:bookmarkStart w:id="2098" w:name="section_75fa1301c60a407b953d83f5eb3abbb9"/>
      <w:bookmarkStart w:id="2099" w:name="_Toc69878822"/>
      <w:r>
        <w:t>Part 1 Section 18.17.7.290, SIN</w:t>
      </w:r>
      <w:bookmarkEnd w:id="2098"/>
      <w:bookmarkEnd w:id="2099"/>
      <w:r>
        <w:fldChar w:fldCharType="begin"/>
      </w:r>
      <w:r>
        <w:instrText xml:space="preserve"> XE "SIN" </w:instrText>
      </w:r>
      <w:r>
        <w:fldChar w:fldCharType="end"/>
      </w:r>
    </w:p>
    <w:p w:rsidR="005F78FC" w:rsidRDefault="00B42EF3">
      <w:pPr>
        <w:pStyle w:val="Definition-Field"/>
      </w:pPr>
      <w:r>
        <w:t xml:space="preserve">a.   </w:t>
      </w:r>
      <w:r>
        <w:rPr>
          <w:i/>
        </w:rPr>
        <w:t>The standard does</w:t>
      </w:r>
      <w:r>
        <w:rPr>
          <w:i/>
        </w:rPr>
        <w:t xml:space="preserve"> not specify the unit for x.</w:t>
      </w:r>
    </w:p>
    <w:p w:rsidR="005F78FC" w:rsidRDefault="00B42EF3">
      <w:pPr>
        <w:pStyle w:val="Definition-Field2"/>
      </w:pPr>
      <w:r>
        <w:t>Office uses x in radians.</w:t>
      </w:r>
    </w:p>
    <w:p w:rsidR="005F78FC" w:rsidRDefault="00B42EF3">
      <w:pPr>
        <w:pStyle w:val="Heading3"/>
      </w:pPr>
      <w:bookmarkStart w:id="2100" w:name="section_fe5372708bd24348885bc6d159cfccc1"/>
      <w:bookmarkStart w:id="2101" w:name="_Toc69878823"/>
      <w:r>
        <w:lastRenderedPageBreak/>
        <w:t>Part 1 Section 18.17.7.294, SLOPE</w:t>
      </w:r>
      <w:bookmarkEnd w:id="2100"/>
      <w:bookmarkEnd w:id="2101"/>
      <w:r>
        <w:fldChar w:fldCharType="begin"/>
      </w:r>
      <w:r>
        <w:instrText xml:space="preserve"> XE "SLOPE" </w:instrText>
      </w:r>
      <w:r>
        <w:fldChar w:fldCharType="end"/>
      </w:r>
    </w:p>
    <w:p w:rsidR="005F78FC" w:rsidRDefault="00B42EF3">
      <w:pPr>
        <w:pStyle w:val="Definition-Field"/>
      </w:pPr>
      <w:r>
        <w:t xml:space="preserve">a.   </w:t>
      </w:r>
      <w:r>
        <w:rPr>
          <w:i/>
        </w:rPr>
        <w:t>The standard does not specify how function arguments map to formula variables.</w:t>
      </w:r>
    </w:p>
    <w:p w:rsidR="005F78FC" w:rsidRDefault="00B42EF3">
      <w:pPr>
        <w:pStyle w:val="Definition-Field2"/>
      </w:pPr>
      <w:r>
        <w:t>Office maps x-bar  to the sample mean AVERAGE (known-xs) argument and</w:t>
      </w:r>
      <w:r>
        <w:t xml:space="preserve"> y-bar to the sample mean AVERAGE (known-ys) argument.</w:t>
      </w:r>
    </w:p>
    <w:p w:rsidR="005F78FC" w:rsidRDefault="00B42EF3">
      <w:pPr>
        <w:pStyle w:val="Heading3"/>
      </w:pPr>
      <w:bookmarkStart w:id="2102" w:name="section_1df6af0af8044a189683ef5e9dcf9624"/>
      <w:bookmarkStart w:id="2103" w:name="_Toc69878824"/>
      <w:r>
        <w:t>Part 1 Section 18.17.7.299, STDEV</w:t>
      </w:r>
      <w:bookmarkEnd w:id="2102"/>
      <w:bookmarkEnd w:id="2103"/>
      <w:r>
        <w:fldChar w:fldCharType="begin"/>
      </w:r>
      <w:r>
        <w:instrText xml:space="preserve"> XE "STDEV" </w:instrText>
      </w:r>
      <w:r>
        <w:fldChar w:fldCharType="end"/>
      </w:r>
    </w:p>
    <w:p w:rsidR="005F78FC" w:rsidRDefault="00B42EF3">
      <w:pPr>
        <w:pStyle w:val="Definition-Field"/>
      </w:pPr>
      <w:r>
        <w:t xml:space="preserve">a.   </w:t>
      </w:r>
      <w:r>
        <w:rPr>
          <w:i/>
        </w:rPr>
        <w:t>The standard maps x to the sample mean and n to the sample size.</w:t>
      </w:r>
    </w:p>
    <w:p w:rsidR="005F78FC" w:rsidRDefault="00B42EF3">
      <w:pPr>
        <w:pStyle w:val="Definition-Field2"/>
      </w:pPr>
      <w:r>
        <w:t>Office maps x-bar to the sample mean, n to the sample size and x to a sample value.</w:t>
      </w:r>
    </w:p>
    <w:p w:rsidR="005F78FC" w:rsidRDefault="00B42EF3">
      <w:pPr>
        <w:pStyle w:val="Definition-Field"/>
      </w:pPr>
      <w:r>
        <w:t xml:space="preserve">b.   </w:t>
      </w:r>
      <w:r>
        <w:rPr>
          <w:i/>
        </w:rPr>
        <w:t>The standard does not specify what happens if sample size is less than or equal to 1.</w:t>
      </w:r>
    </w:p>
    <w:p w:rsidR="005F78FC" w:rsidRDefault="00B42EF3">
      <w:pPr>
        <w:pStyle w:val="Definition-Field2"/>
      </w:pPr>
      <w:r>
        <w:t>Office returns #DIV/0! if sample size is less than or equal to 1.</w:t>
      </w:r>
    </w:p>
    <w:p w:rsidR="005F78FC" w:rsidRDefault="00B42EF3">
      <w:pPr>
        <w:pStyle w:val="Heading3"/>
      </w:pPr>
      <w:bookmarkStart w:id="2104" w:name="section_7cd80ce62f494e28a7fc75bab7b14571"/>
      <w:bookmarkStart w:id="2105" w:name="_Toc69878825"/>
      <w:r>
        <w:t>Part 1 Section 18.17.7.300, STDEVA</w:t>
      </w:r>
      <w:bookmarkEnd w:id="2104"/>
      <w:bookmarkEnd w:id="2105"/>
      <w:r>
        <w:fldChar w:fldCharType="begin"/>
      </w:r>
      <w:r>
        <w:instrText xml:space="preserve"> XE "STDEVA" </w:instrText>
      </w:r>
      <w:r>
        <w:fldChar w:fldCharType="end"/>
      </w:r>
    </w:p>
    <w:p w:rsidR="005F78FC" w:rsidRDefault="00B42EF3">
      <w:pPr>
        <w:pStyle w:val="Definition-Field"/>
      </w:pPr>
      <w:r>
        <w:t xml:space="preserve">a.   </w:t>
      </w:r>
      <w:r>
        <w:rPr>
          <w:i/>
        </w:rPr>
        <w:t xml:space="preserve">The standard maps x to the sample mean and </w:t>
      </w:r>
      <w:r>
        <w:rPr>
          <w:i/>
        </w:rPr>
        <w:t>n to the sample size.</w:t>
      </w:r>
    </w:p>
    <w:p w:rsidR="005F78FC" w:rsidRDefault="00B42EF3">
      <w:pPr>
        <w:pStyle w:val="Definition-Field2"/>
      </w:pPr>
      <w:r>
        <w:t>Office maps x-bar to the sample mean, n to the sample size and x to a sample value.</w:t>
      </w:r>
    </w:p>
    <w:p w:rsidR="005F78FC" w:rsidRDefault="00B42EF3">
      <w:pPr>
        <w:pStyle w:val="Definition-Field"/>
      </w:pPr>
      <w:r>
        <w:t xml:space="preserve">b.   </w:t>
      </w:r>
      <w:r>
        <w:rPr>
          <w:i/>
        </w:rPr>
        <w:t>The standard does not specify what happens if size is less than or equal to one.</w:t>
      </w:r>
    </w:p>
    <w:p w:rsidR="005F78FC" w:rsidRDefault="00B42EF3">
      <w:pPr>
        <w:pStyle w:val="Definition-Field2"/>
      </w:pPr>
      <w:r>
        <w:t>Office returns #DIV/0! if sample size is less than or equal to o</w:t>
      </w:r>
      <w:r>
        <w:t>ne.</w:t>
      </w:r>
    </w:p>
    <w:p w:rsidR="005F78FC" w:rsidRDefault="00B42EF3">
      <w:pPr>
        <w:pStyle w:val="Heading3"/>
      </w:pPr>
      <w:bookmarkStart w:id="2106" w:name="section_a17fe1342b274cc7a117baf9dc444b52"/>
      <w:bookmarkStart w:id="2107" w:name="_Toc69878826"/>
      <w:r>
        <w:t>Part 1 Section 18.17.7.301, STDEVP</w:t>
      </w:r>
      <w:bookmarkEnd w:id="2106"/>
      <w:bookmarkEnd w:id="2107"/>
      <w:r>
        <w:fldChar w:fldCharType="begin"/>
      </w:r>
      <w:r>
        <w:instrText xml:space="preserve"> XE "STDEVP" </w:instrText>
      </w:r>
      <w:r>
        <w:fldChar w:fldCharType="end"/>
      </w:r>
    </w:p>
    <w:p w:rsidR="005F78FC" w:rsidRDefault="00B42EF3">
      <w:pPr>
        <w:pStyle w:val="Definition-Field"/>
      </w:pPr>
      <w:r>
        <w:t xml:space="preserve">a.   </w:t>
      </w:r>
      <w:r>
        <w:rPr>
          <w:i/>
        </w:rPr>
        <w:t>The standard maps x to sample value, x-bar to sample mean, and n to the sample size.</w:t>
      </w:r>
    </w:p>
    <w:p w:rsidR="005F78FC" w:rsidRDefault="00B42EF3">
      <w:pPr>
        <w:pStyle w:val="Definition-Field2"/>
      </w:pPr>
      <w:r>
        <w:t>Office maps x to a population value, x-bar to the population mean, and n to the population size.</w:t>
      </w:r>
    </w:p>
    <w:p w:rsidR="005F78FC" w:rsidRDefault="00B42EF3">
      <w:pPr>
        <w:pStyle w:val="Definition-Field"/>
      </w:pPr>
      <w:r>
        <w:t xml:space="preserve">b.   </w:t>
      </w:r>
      <w:r>
        <w:rPr>
          <w:i/>
        </w:rPr>
        <w:t>The standa</w:t>
      </w:r>
      <w:r>
        <w:rPr>
          <w:i/>
        </w:rPr>
        <w:t>rd states that if data represents a population sample only, STDEVA should be used.</w:t>
      </w:r>
    </w:p>
    <w:p w:rsidR="005F78FC" w:rsidRDefault="00B42EF3">
      <w:pPr>
        <w:pStyle w:val="Definition-Field2"/>
      </w:pPr>
      <w:r>
        <w:t>In Office, STDEV should be used in this case.</w:t>
      </w:r>
    </w:p>
    <w:p w:rsidR="005F78FC" w:rsidRDefault="00B42EF3">
      <w:pPr>
        <w:pStyle w:val="Definition-Field"/>
      </w:pPr>
      <w:r>
        <w:t xml:space="preserve">c.   </w:t>
      </w:r>
      <w:r>
        <w:rPr>
          <w:i/>
        </w:rPr>
        <w:t>The standard does not specify what happens if population size is 0.</w:t>
      </w:r>
    </w:p>
    <w:p w:rsidR="005F78FC" w:rsidRDefault="00B42EF3">
      <w:pPr>
        <w:pStyle w:val="Definition-Field2"/>
      </w:pPr>
      <w:r>
        <w:t>Office returns #DIV/0! if population size is 0.</w:t>
      </w:r>
    </w:p>
    <w:p w:rsidR="005F78FC" w:rsidRDefault="00B42EF3">
      <w:pPr>
        <w:pStyle w:val="Heading3"/>
      </w:pPr>
      <w:bookmarkStart w:id="2108" w:name="section_f3fa4168d6cb4974b749023650d7066e"/>
      <w:bookmarkStart w:id="2109" w:name="_Toc69878827"/>
      <w:r>
        <w:t>Part 1</w:t>
      </w:r>
      <w:r>
        <w:t xml:space="preserve"> Section 18.17.7.302, STDEVPA</w:t>
      </w:r>
      <w:bookmarkEnd w:id="2108"/>
      <w:bookmarkEnd w:id="2109"/>
      <w:r>
        <w:fldChar w:fldCharType="begin"/>
      </w:r>
      <w:r>
        <w:instrText xml:space="preserve"> XE "STDEVPA" </w:instrText>
      </w:r>
      <w:r>
        <w:fldChar w:fldCharType="end"/>
      </w:r>
    </w:p>
    <w:p w:rsidR="005F78FC" w:rsidRDefault="00B42EF3">
      <w:pPr>
        <w:pStyle w:val="Definition-Field"/>
      </w:pPr>
      <w:r>
        <w:t xml:space="preserve">a.   </w:t>
      </w:r>
      <w:r>
        <w:rPr>
          <w:i/>
        </w:rPr>
        <w:t>The standard maps x to sample value, x-bar to sample mean, and n to the sample size.</w:t>
      </w:r>
    </w:p>
    <w:p w:rsidR="005F78FC" w:rsidRDefault="00B42EF3">
      <w:pPr>
        <w:pStyle w:val="Definition-Field2"/>
      </w:pPr>
      <w:r>
        <w:t>Office maps x to a population value, x-bar to the population mean, and n to the population size.</w:t>
      </w:r>
    </w:p>
    <w:p w:rsidR="005F78FC" w:rsidRDefault="00B42EF3">
      <w:pPr>
        <w:pStyle w:val="Definition-Field"/>
      </w:pPr>
      <w:r>
        <w:t xml:space="preserve">b.   </w:t>
      </w:r>
      <w:r>
        <w:rPr>
          <w:i/>
        </w:rPr>
        <w:t xml:space="preserve">The standard does </w:t>
      </w:r>
      <w:r>
        <w:rPr>
          <w:i/>
        </w:rPr>
        <w:t>not specify what happens if population size is 0.</w:t>
      </w:r>
    </w:p>
    <w:p w:rsidR="005F78FC" w:rsidRDefault="00B42EF3">
      <w:pPr>
        <w:pStyle w:val="Definition-Field2"/>
      </w:pPr>
      <w:r>
        <w:t>Office returns #DIV/0! if population size is 0.</w:t>
      </w:r>
    </w:p>
    <w:p w:rsidR="005F78FC" w:rsidRDefault="00B42EF3">
      <w:pPr>
        <w:pStyle w:val="Heading3"/>
      </w:pPr>
      <w:bookmarkStart w:id="2110" w:name="section_f469d851d5c043e99f7fded5c6d64a6f"/>
      <w:bookmarkStart w:id="2111" w:name="_Toc69878828"/>
      <w:r>
        <w:t>Part 1 Section 18.17.7.304, SUBSTITUTE</w:t>
      </w:r>
      <w:bookmarkEnd w:id="2110"/>
      <w:bookmarkEnd w:id="2111"/>
      <w:r>
        <w:fldChar w:fldCharType="begin"/>
      </w:r>
      <w:r>
        <w:instrText xml:space="preserve"> XE "SUBSTITUTE" </w:instrText>
      </w:r>
      <w:r>
        <w:fldChar w:fldCharType="end"/>
      </w:r>
    </w:p>
    <w:p w:rsidR="005F78FC" w:rsidRDefault="00B42EF3">
      <w:pPr>
        <w:pStyle w:val="Definition-Field"/>
      </w:pPr>
      <w:r>
        <w:t xml:space="preserve">a.   </w:t>
      </w:r>
      <w:r>
        <w:rPr>
          <w:i/>
        </w:rPr>
        <w:t>The standard states if occurence is less than 0, #VALUE! is returned.</w:t>
      </w:r>
    </w:p>
    <w:p w:rsidR="005F78FC" w:rsidRDefault="00B42EF3">
      <w:pPr>
        <w:pStyle w:val="Definition-Field2"/>
      </w:pPr>
      <w:r>
        <w:t>Office returns #VALUE! if</w:t>
      </w:r>
      <w:r>
        <w:t xml:space="preserve"> occurence is less than or equal to 0.</w:t>
      </w:r>
    </w:p>
    <w:p w:rsidR="005F78FC" w:rsidRDefault="00B42EF3">
      <w:pPr>
        <w:pStyle w:val="Heading3"/>
      </w:pPr>
      <w:bookmarkStart w:id="2112" w:name="section_7ae08e5fee2843e8bdf3e9e358a7c4fe"/>
      <w:bookmarkStart w:id="2113" w:name="_Toc69878829"/>
      <w:r>
        <w:lastRenderedPageBreak/>
        <w:t>Part 1 Section 18.17.7.306, SUM</w:t>
      </w:r>
      <w:bookmarkEnd w:id="2112"/>
      <w:bookmarkEnd w:id="2113"/>
      <w:r>
        <w:fldChar w:fldCharType="begin"/>
      </w:r>
      <w:r>
        <w:instrText xml:space="preserve"> XE "SUM" </w:instrText>
      </w:r>
      <w:r>
        <w:fldChar w:fldCharType="end"/>
      </w:r>
    </w:p>
    <w:p w:rsidR="005F78FC" w:rsidRDefault="00B42EF3">
      <w:pPr>
        <w:pStyle w:val="Definition-Field"/>
      </w:pPr>
      <w:r>
        <w:t xml:space="preserve">a.   </w:t>
      </w:r>
      <w:r>
        <w:rPr>
          <w:i/>
        </w:rPr>
        <w:t>The standard states that valid arguments in argument-list shall be counted.</w:t>
      </w:r>
    </w:p>
    <w:p w:rsidR="005F78FC" w:rsidRDefault="00B42EF3">
      <w:pPr>
        <w:pStyle w:val="Definition-Field2"/>
      </w:pPr>
      <w:r>
        <w:t>In Office, valid arguments in argument-list shall be added.</w:t>
      </w:r>
    </w:p>
    <w:p w:rsidR="005F78FC" w:rsidRDefault="00B42EF3">
      <w:pPr>
        <w:pStyle w:val="Heading3"/>
      </w:pPr>
      <w:bookmarkStart w:id="2114" w:name="section_d669f66b65ed441e8c198845b572cd13"/>
      <w:bookmarkStart w:id="2115" w:name="_Toc69878830"/>
      <w:r>
        <w:t>Part 1 Section 18.17.7.308, SUMI</w:t>
      </w:r>
      <w:r>
        <w:t>FS</w:t>
      </w:r>
      <w:bookmarkEnd w:id="2114"/>
      <w:bookmarkEnd w:id="2115"/>
      <w:r>
        <w:fldChar w:fldCharType="begin"/>
      </w:r>
      <w:r>
        <w:instrText xml:space="preserve"> XE "SUMIFS" </w:instrText>
      </w:r>
      <w:r>
        <w:fldChar w:fldCharType="end"/>
      </w:r>
    </w:p>
    <w:p w:rsidR="005F78FC" w:rsidRDefault="00B42EF3">
      <w:pPr>
        <w:pStyle w:val="Definition-Field"/>
      </w:pPr>
      <w:r>
        <w:t xml:space="preserve">a.   </w:t>
      </w:r>
      <w:r>
        <w:rPr>
          <w:i/>
        </w:rPr>
        <w:t>The standard states that sum-range need not have the same size and shape as cell-range-1 through cell-range-n.</w:t>
      </w:r>
    </w:p>
    <w:p w:rsidR="005F78FC" w:rsidRDefault="00B42EF3">
      <w:pPr>
        <w:pStyle w:val="Definition-Field2"/>
      </w:pPr>
      <w:r>
        <w:t>In Office, each cell-range-1...cell-range-n shall have the same size and shape as sum-range.</w:t>
      </w:r>
    </w:p>
    <w:p w:rsidR="005F78FC" w:rsidRDefault="00B42EF3">
      <w:pPr>
        <w:pStyle w:val="Definition-Field"/>
      </w:pPr>
      <w:r>
        <w:t xml:space="preserve">b.   </w:t>
      </w:r>
      <w:r>
        <w:rPr>
          <w:i/>
        </w:rPr>
        <w:t>The standard states that</w:t>
      </w:r>
      <w:r>
        <w:rPr>
          <w:i/>
        </w:rPr>
        <w:t xml:space="preserve"> cells in sum-range that contain TRUE evaluate to 1; cells in sum-range that contain FALSE evaluate to 0.</w:t>
      </w:r>
    </w:p>
    <w:p w:rsidR="005F78FC" w:rsidRDefault="00B42EF3">
      <w:pPr>
        <w:pStyle w:val="Definition-Field2"/>
      </w:pPr>
      <w:r>
        <w:t>In Office, cells in sum-range that do not contain numeric values evaluate to 0.</w:t>
      </w:r>
    </w:p>
    <w:p w:rsidR="005F78FC" w:rsidRDefault="00B42EF3">
      <w:pPr>
        <w:pStyle w:val="Heading3"/>
      </w:pPr>
      <w:bookmarkStart w:id="2116" w:name="section_d5d00d6f26194707a91cbd48fb7109d8"/>
      <w:bookmarkStart w:id="2117" w:name="_Toc69878831"/>
      <w:r>
        <w:t>Part 1 Section 18.17.7.309, SUMPRODUCT</w:t>
      </w:r>
      <w:bookmarkEnd w:id="2116"/>
      <w:bookmarkEnd w:id="2117"/>
      <w:r>
        <w:fldChar w:fldCharType="begin"/>
      </w:r>
      <w:r>
        <w:instrText xml:space="preserve"> XE "SUMPRODUCT" </w:instrText>
      </w:r>
      <w:r>
        <w:fldChar w:fldCharType="end"/>
      </w:r>
    </w:p>
    <w:p w:rsidR="005F78FC" w:rsidRDefault="00B42EF3">
      <w:pPr>
        <w:pStyle w:val="Definition-Field"/>
      </w:pPr>
      <w:r>
        <w:t xml:space="preserve">a.   </w:t>
      </w:r>
      <w:r>
        <w:rPr>
          <w:i/>
        </w:rPr>
        <w:t>The sta</w:t>
      </w:r>
      <w:r>
        <w:rPr>
          <w:i/>
        </w:rPr>
        <w:t>ndard states if the array arguments do not have the same dimensions, #NUM! is returned.</w:t>
      </w:r>
    </w:p>
    <w:p w:rsidR="005F78FC" w:rsidRDefault="00B42EF3">
      <w:pPr>
        <w:pStyle w:val="Definition-Field2"/>
      </w:pPr>
      <w:r>
        <w:t>In Office, if the array arguments do not have the same dimensions, #VALUE! is returned.</w:t>
      </w:r>
    </w:p>
    <w:p w:rsidR="005F78FC" w:rsidRDefault="00B42EF3">
      <w:pPr>
        <w:pStyle w:val="Heading3"/>
      </w:pPr>
      <w:bookmarkStart w:id="2118" w:name="section_4353b2ada7bb412bbad44c1749f76897"/>
      <w:bookmarkStart w:id="2119" w:name="_Toc69878832"/>
      <w:r>
        <w:t>Part 1 Section 18.17.7.310, SUMSQ</w:t>
      </w:r>
      <w:bookmarkEnd w:id="2118"/>
      <w:bookmarkEnd w:id="2119"/>
      <w:r>
        <w:fldChar w:fldCharType="begin"/>
      </w:r>
      <w:r>
        <w:instrText xml:space="preserve"> XE "SUMSQ" </w:instrText>
      </w:r>
      <w:r>
        <w:fldChar w:fldCharType="end"/>
      </w:r>
    </w:p>
    <w:p w:rsidR="005F78FC" w:rsidRDefault="00B42EF3">
      <w:pPr>
        <w:pStyle w:val="Definition-Field"/>
      </w:pPr>
      <w:r>
        <w:t xml:space="preserve">a.   </w:t>
      </w:r>
      <w:r>
        <w:rPr>
          <w:i/>
        </w:rPr>
        <w:t>The standard states that va</w:t>
      </w:r>
      <w:r>
        <w:rPr>
          <w:i/>
        </w:rPr>
        <w:t>lid arguments in argument-list shall be counted.</w:t>
      </w:r>
    </w:p>
    <w:p w:rsidR="005F78FC" w:rsidRDefault="00B42EF3">
      <w:pPr>
        <w:pStyle w:val="Definition-Field2"/>
      </w:pPr>
      <w:r>
        <w:t>In Office, valid arguments in argument-list shall have their squares summed.</w:t>
      </w:r>
    </w:p>
    <w:p w:rsidR="005F78FC" w:rsidRDefault="00B42EF3">
      <w:pPr>
        <w:pStyle w:val="Heading3"/>
      </w:pPr>
      <w:bookmarkStart w:id="2120" w:name="section_b24fde3123534d2bac61724078e1213f"/>
      <w:bookmarkStart w:id="2121" w:name="_Toc69878833"/>
      <w:r>
        <w:t>Part 1 Section 18.17.7.316, TAN</w:t>
      </w:r>
      <w:bookmarkEnd w:id="2120"/>
      <w:bookmarkEnd w:id="2121"/>
      <w:r>
        <w:fldChar w:fldCharType="begin"/>
      </w:r>
      <w:r>
        <w:instrText xml:space="preserve"> XE "TAN" </w:instrText>
      </w:r>
      <w:r>
        <w:fldChar w:fldCharType="end"/>
      </w:r>
    </w:p>
    <w:p w:rsidR="005F78FC" w:rsidRDefault="00B42EF3">
      <w:pPr>
        <w:pStyle w:val="Definition-Field"/>
      </w:pPr>
      <w:r>
        <w:t xml:space="preserve">a.   </w:t>
      </w:r>
      <w:r>
        <w:rPr>
          <w:i/>
        </w:rPr>
        <w:t>The standard does not specify the unit for x.</w:t>
      </w:r>
    </w:p>
    <w:p w:rsidR="005F78FC" w:rsidRDefault="00B42EF3">
      <w:pPr>
        <w:pStyle w:val="Definition-Field2"/>
      </w:pPr>
      <w:r>
        <w:t>Office uses x in radians.</w:t>
      </w:r>
    </w:p>
    <w:p w:rsidR="005F78FC" w:rsidRDefault="00B42EF3">
      <w:pPr>
        <w:pStyle w:val="Heading3"/>
      </w:pPr>
      <w:bookmarkStart w:id="2122" w:name="section_314e45ecb2d842379103a0ed722130a8"/>
      <w:bookmarkStart w:id="2123" w:name="_Toc69878834"/>
      <w:r>
        <w:t>Part 1 Section 18.17.7.319, TBILLPRICE</w:t>
      </w:r>
      <w:bookmarkEnd w:id="2122"/>
      <w:bookmarkEnd w:id="2123"/>
      <w:r>
        <w:fldChar w:fldCharType="begin"/>
      </w:r>
      <w:r>
        <w:instrText xml:space="preserve"> XE "TBILLPRICE" </w:instrText>
      </w:r>
      <w:r>
        <w:fldChar w:fldCharType="end"/>
      </w:r>
    </w:p>
    <w:p w:rsidR="005F78FC" w:rsidRDefault="00B42EF3">
      <w:pPr>
        <w:pStyle w:val="Definition-Field"/>
      </w:pPr>
      <w:r>
        <w:t xml:space="preserve">a.   </w:t>
      </w:r>
      <w:r>
        <w:rPr>
          <w:i/>
        </w:rPr>
        <w:t>The standard states that the function computes the price per $100 face value for a U.S. Treasury bill.</w:t>
      </w:r>
    </w:p>
    <w:p w:rsidR="005F78FC" w:rsidRDefault="00B42EF3">
      <w:pPr>
        <w:pStyle w:val="Definition-Field2"/>
      </w:pPr>
      <w:r>
        <w:t>In Office, the function is not specific to any currency or treasury bill.</w:t>
      </w:r>
    </w:p>
    <w:p w:rsidR="005F78FC" w:rsidRDefault="00B42EF3">
      <w:pPr>
        <w:pStyle w:val="Definition-Field"/>
      </w:pPr>
      <w:r>
        <w:t xml:space="preserve">b.   </w:t>
      </w:r>
      <w:r>
        <w:rPr>
          <w:i/>
        </w:rPr>
        <w:t>The standar</w:t>
      </w:r>
      <w:r>
        <w:rPr>
          <w:i/>
        </w:rPr>
        <w:t>d states that if the settlement arguent is greater than the maturity argument, then #NUM! is returned.</w:t>
      </w:r>
    </w:p>
    <w:p w:rsidR="005F78FC" w:rsidRDefault="00B42EF3">
      <w:pPr>
        <w:pStyle w:val="Definition-Field2"/>
      </w:pPr>
      <w:r>
        <w:t>Office returns #NUM! if the settlement argument is greater than or equal to the maturity argument.</w:t>
      </w:r>
    </w:p>
    <w:p w:rsidR="005F78FC" w:rsidRDefault="00B42EF3">
      <w:pPr>
        <w:pStyle w:val="Heading3"/>
      </w:pPr>
      <w:bookmarkStart w:id="2124" w:name="section_ae3240448a1a4e0daea87546318811b7"/>
      <w:bookmarkStart w:id="2125" w:name="_Toc69878835"/>
      <w:r>
        <w:t>Part 1 Section 18.17.7.320, TBILLYIELD</w:t>
      </w:r>
      <w:bookmarkEnd w:id="2124"/>
      <w:bookmarkEnd w:id="2125"/>
      <w:r>
        <w:fldChar w:fldCharType="begin"/>
      </w:r>
      <w:r>
        <w:instrText xml:space="preserve"> XE "TBILLYIELD"</w:instrText>
      </w:r>
      <w:r>
        <w:instrText xml:space="preserve"> </w:instrText>
      </w:r>
      <w:r>
        <w:fldChar w:fldCharType="end"/>
      </w:r>
    </w:p>
    <w:p w:rsidR="005F78FC" w:rsidRDefault="00B42EF3">
      <w:pPr>
        <w:pStyle w:val="Definition-Field"/>
      </w:pPr>
      <w:r>
        <w:t xml:space="preserve">a.   </w:t>
      </w:r>
      <w:r>
        <w:rPr>
          <w:i/>
        </w:rPr>
        <w:t>The standard states that the argument pr is the Treasury bill's price per $100 face value.</w:t>
      </w:r>
    </w:p>
    <w:p w:rsidR="005F78FC" w:rsidRDefault="00B42EF3">
      <w:pPr>
        <w:pStyle w:val="Definition-Field2"/>
      </w:pPr>
      <w:r>
        <w:t>In Office, the argument pr is not specific to any currency or Treasury bill.</w:t>
      </w:r>
    </w:p>
    <w:p w:rsidR="005F78FC" w:rsidRDefault="00B42EF3">
      <w:pPr>
        <w:pStyle w:val="Definition-Field"/>
      </w:pPr>
      <w:r>
        <w:t xml:space="preserve">b.   </w:t>
      </w:r>
      <w:r>
        <w:rPr>
          <w:i/>
        </w:rPr>
        <w:t>The standard states that If settlement &gt; maturity, #NUM! is returned.</w:t>
      </w:r>
    </w:p>
    <w:p w:rsidR="005F78FC" w:rsidRDefault="00B42EF3">
      <w:pPr>
        <w:pStyle w:val="Definition-Field2"/>
      </w:pPr>
      <w:r>
        <w:t>Offi</w:t>
      </w:r>
      <w:r>
        <w:t>ce returns #NUM! if settlement ≥ maturity.</w:t>
      </w:r>
    </w:p>
    <w:p w:rsidR="005F78FC" w:rsidRDefault="00B42EF3">
      <w:pPr>
        <w:pStyle w:val="Heading3"/>
      </w:pPr>
      <w:bookmarkStart w:id="2126" w:name="section_8c6629cf956745578c6223d7467173a8"/>
      <w:bookmarkStart w:id="2127" w:name="_Toc69878836"/>
      <w:r>
        <w:lastRenderedPageBreak/>
        <w:t>Part 1 Section 18.17.7.323, TIME</w:t>
      </w:r>
      <w:bookmarkEnd w:id="2126"/>
      <w:bookmarkEnd w:id="2127"/>
      <w:r>
        <w:fldChar w:fldCharType="begin"/>
      </w:r>
      <w:r>
        <w:instrText xml:space="preserve"> XE "TIME" </w:instrText>
      </w:r>
      <w:r>
        <w:fldChar w:fldCharType="end"/>
      </w:r>
    </w:p>
    <w:p w:rsidR="005F78FC" w:rsidRDefault="00B42EF3">
      <w:pPr>
        <w:pStyle w:val="Definition-Field"/>
      </w:pPr>
      <w:r>
        <w:t xml:space="preserve">a.   </w:t>
      </w:r>
      <w:r>
        <w:rPr>
          <w:i/>
        </w:rPr>
        <w:t>The standard specifies that the serial value for the given time, as a value greater than or equal to 0 and less than or equal to 1.</w:t>
      </w:r>
    </w:p>
    <w:p w:rsidR="005F78FC" w:rsidRDefault="00B42EF3">
      <w:pPr>
        <w:pStyle w:val="Definition-Field2"/>
      </w:pPr>
      <w:r>
        <w:t>Office treats the serial value</w:t>
      </w:r>
      <w:r>
        <w:t xml:space="preserve"> for the given time, as a value greater than or equal to 0 and less than 1.</w:t>
      </w:r>
    </w:p>
    <w:p w:rsidR="005F78FC" w:rsidRDefault="00B42EF3">
      <w:pPr>
        <w:pStyle w:val="Heading3"/>
      </w:pPr>
      <w:bookmarkStart w:id="2128" w:name="section_cf0b5eb22dd54c109d0c4a3810cc90fd"/>
      <w:bookmarkStart w:id="2129" w:name="_Toc69878837"/>
      <w:r>
        <w:t>Part 1 Section 18.17.7.324, TIMEVALUE</w:t>
      </w:r>
      <w:bookmarkEnd w:id="2128"/>
      <w:bookmarkEnd w:id="2129"/>
      <w:r>
        <w:fldChar w:fldCharType="begin"/>
      </w:r>
      <w:r>
        <w:instrText xml:space="preserve"> XE "TIMEVALUE" </w:instrText>
      </w:r>
      <w:r>
        <w:fldChar w:fldCharType="end"/>
      </w:r>
    </w:p>
    <w:p w:rsidR="005F78FC" w:rsidRDefault="00B42EF3">
      <w:pPr>
        <w:pStyle w:val="Definition-Field"/>
      </w:pPr>
      <w:r>
        <w:t xml:space="preserve">a.   </w:t>
      </w:r>
      <w:r>
        <w:rPr>
          <w:i/>
        </w:rPr>
        <w:t>The standard does not state the range for the result of the function.</w:t>
      </w:r>
    </w:p>
    <w:p w:rsidR="005F78FC" w:rsidRDefault="00B42EF3">
      <w:pPr>
        <w:pStyle w:val="Definition-Field2"/>
      </w:pPr>
      <w:r>
        <w:t>Office returns a value greater than or equal to z</w:t>
      </w:r>
      <w:r>
        <w:t>ero and less than 1.</w:t>
      </w:r>
    </w:p>
    <w:p w:rsidR="005F78FC" w:rsidRDefault="00B42EF3">
      <w:pPr>
        <w:pStyle w:val="Heading3"/>
      </w:pPr>
      <w:bookmarkStart w:id="2130" w:name="section_2cbdb9beb9b2410daf3b3b09d6872ad6"/>
      <w:bookmarkStart w:id="2131" w:name="_Toc69878838"/>
      <w:r>
        <w:t>Part 1 Section 18.17.7.330, TRIMMEAN</w:t>
      </w:r>
      <w:bookmarkEnd w:id="2130"/>
      <w:bookmarkEnd w:id="2131"/>
      <w:r>
        <w:fldChar w:fldCharType="begin"/>
      </w:r>
      <w:r>
        <w:instrText xml:space="preserve"> XE "TRIMMEAN" </w:instrText>
      </w:r>
      <w:r>
        <w:fldChar w:fldCharType="end"/>
      </w:r>
    </w:p>
    <w:p w:rsidR="005F78FC" w:rsidRDefault="00B42EF3">
      <w:pPr>
        <w:pStyle w:val="Definition-Field"/>
      </w:pPr>
      <w:r>
        <w:t xml:space="preserve">a.   </w:t>
      </w:r>
      <w:r>
        <w:rPr>
          <w:i/>
        </w:rPr>
        <w:t>The standard states that #NUM! is returned if the percent argument is less than zero or greater than 1.</w:t>
      </w:r>
    </w:p>
    <w:p w:rsidR="005F78FC" w:rsidRDefault="00B42EF3">
      <w:pPr>
        <w:pStyle w:val="Definition-Field2"/>
      </w:pPr>
      <w:r>
        <w:t xml:space="preserve">In Office, #NUM! is returned if the percent argument is less than zero </w:t>
      </w:r>
      <w:r>
        <w:t>or greater than or equal to 1.</w:t>
      </w:r>
    </w:p>
    <w:p w:rsidR="005F78FC" w:rsidRDefault="00B42EF3">
      <w:pPr>
        <w:pStyle w:val="Heading3"/>
      </w:pPr>
      <w:bookmarkStart w:id="2132" w:name="section_5987610d70aa4818afcbd2769417c6fa"/>
      <w:bookmarkStart w:id="2133" w:name="_Toc69878839"/>
      <w:r>
        <w:t>Part 1 Section 18.17.7.332, TRUNC</w:t>
      </w:r>
      <w:bookmarkEnd w:id="2132"/>
      <w:bookmarkEnd w:id="2133"/>
      <w:r>
        <w:fldChar w:fldCharType="begin"/>
      </w:r>
      <w:r>
        <w:instrText xml:space="preserve"> XE "TRUNC" </w:instrText>
      </w:r>
      <w:r>
        <w:fldChar w:fldCharType="end"/>
      </w:r>
    </w:p>
    <w:p w:rsidR="005F78FC" w:rsidRDefault="00B42EF3">
      <w:pPr>
        <w:pStyle w:val="Definition-Field"/>
      </w:pPr>
      <w:r>
        <w:t xml:space="preserve">a.   </w:t>
      </w:r>
      <w:r>
        <w:rPr>
          <w:i/>
        </w:rPr>
        <w:t>The standard states that the argument x is of type array or reference.</w:t>
      </w:r>
    </w:p>
    <w:p w:rsidR="005F78FC" w:rsidRDefault="00B42EF3">
      <w:pPr>
        <w:pStyle w:val="Definition-Field2"/>
      </w:pPr>
      <w:r>
        <w:t>Office requires argument x to be of type number.</w:t>
      </w:r>
    </w:p>
    <w:p w:rsidR="005F78FC" w:rsidRDefault="00B42EF3">
      <w:pPr>
        <w:pStyle w:val="Heading3"/>
      </w:pPr>
      <w:bookmarkStart w:id="2134" w:name="section_2cdcacbb510645f0bf6a22a240164164"/>
      <w:bookmarkStart w:id="2135" w:name="_Toc69878840"/>
      <w:r>
        <w:t>Part 1 Section 18.17.7.333, TTEST</w:t>
      </w:r>
      <w:bookmarkEnd w:id="2134"/>
      <w:bookmarkEnd w:id="2135"/>
      <w:r>
        <w:fldChar w:fldCharType="begin"/>
      </w:r>
      <w:r>
        <w:instrText xml:space="preserve"> XE "TTEST" </w:instrText>
      </w:r>
      <w:r>
        <w:fldChar w:fldCharType="end"/>
      </w:r>
    </w:p>
    <w:p w:rsidR="005F78FC" w:rsidRDefault="00B42EF3">
      <w:pPr>
        <w:pStyle w:val="Definition-Field"/>
      </w:pPr>
      <w:r>
        <w:t xml:space="preserve">a.  </w:t>
      </w:r>
      <w:r>
        <w:t xml:space="preserve"> </w:t>
      </w:r>
      <w:r>
        <w:rPr>
          <w:i/>
        </w:rPr>
        <w:t>The standard does not specify any restriction on argument test-type.</w:t>
      </w:r>
    </w:p>
    <w:p w:rsidR="005F78FC" w:rsidRDefault="00B42EF3">
      <w:pPr>
        <w:pStyle w:val="Definition-Field2"/>
      </w:pPr>
      <w:r>
        <w:t>In Office, #NUM! is returned if argument test-type is any value other than 1, 2, or 3.</w:t>
      </w:r>
    </w:p>
    <w:p w:rsidR="005F78FC" w:rsidRDefault="00B42EF3">
      <w:pPr>
        <w:pStyle w:val="Heading3"/>
      </w:pPr>
      <w:bookmarkStart w:id="2136" w:name="section_ab045545aaa841f5945ead37902440a0"/>
      <w:bookmarkStart w:id="2137" w:name="_Toc69878841"/>
      <w:r>
        <w:t>Part 1 Section 18.17.7.334, TYPE</w:t>
      </w:r>
      <w:bookmarkEnd w:id="2136"/>
      <w:bookmarkEnd w:id="2137"/>
      <w:r>
        <w:fldChar w:fldCharType="begin"/>
      </w:r>
      <w:r>
        <w:instrText xml:space="preserve"> XE "TYPE" </w:instrText>
      </w:r>
      <w:r>
        <w:fldChar w:fldCharType="end"/>
      </w:r>
    </w:p>
    <w:p w:rsidR="005F78FC" w:rsidRDefault="00B42EF3">
      <w:pPr>
        <w:pStyle w:val="Definition-Field"/>
      </w:pPr>
      <w:r>
        <w:t xml:space="preserve">a.   </w:t>
      </w:r>
      <w:r>
        <w:rPr>
          <w:i/>
        </w:rPr>
        <w:t xml:space="preserve">The standard states that the argument can be of </w:t>
      </w:r>
      <w:r>
        <w:rPr>
          <w:i/>
        </w:rPr>
        <w:t>any type.</w:t>
      </w:r>
    </w:p>
    <w:p w:rsidR="005F78FC" w:rsidRDefault="00B42EF3">
      <w:pPr>
        <w:pStyle w:val="Definition-Field2"/>
      </w:pPr>
      <w:r>
        <w:t>Office allows the argument value to be of any type except for reference.</w:t>
      </w:r>
    </w:p>
    <w:p w:rsidR="005F78FC" w:rsidRDefault="00B42EF3">
      <w:pPr>
        <w:pStyle w:val="Heading3"/>
      </w:pPr>
      <w:bookmarkStart w:id="2138" w:name="section_dc6ad719d7db4b06a8f17375c2d61522"/>
      <w:bookmarkStart w:id="2139" w:name="_Toc69878842"/>
      <w:r>
        <w:t>Part 1 Section 18.17.7.336, USDOLLAR</w:t>
      </w:r>
      <w:bookmarkEnd w:id="2138"/>
      <w:bookmarkEnd w:id="2139"/>
      <w:r>
        <w:fldChar w:fldCharType="begin"/>
      </w:r>
      <w:r>
        <w:instrText xml:space="preserve"> XE "USDOLLAR" </w:instrText>
      </w:r>
      <w:r>
        <w:fldChar w:fldCharType="end"/>
      </w:r>
    </w:p>
    <w:p w:rsidR="005F78FC" w:rsidRDefault="00B42EF3">
      <w:pPr>
        <w:pStyle w:val="Definition-Field"/>
      </w:pPr>
      <w:r>
        <w:t xml:space="preserve">a.   </w:t>
      </w:r>
      <w:r>
        <w:rPr>
          <w:i/>
        </w:rPr>
        <w:t>The standard does not specify any restriction on argument num-decimal.</w:t>
      </w:r>
    </w:p>
    <w:p w:rsidR="005F78FC" w:rsidRDefault="00B42EF3">
      <w:pPr>
        <w:pStyle w:val="Definition-Field2"/>
      </w:pPr>
      <w:r>
        <w:t>Office returns #VALUE! if argument num-deci</w:t>
      </w:r>
      <w:r>
        <w:t>mal is greater than 127.</w:t>
      </w:r>
    </w:p>
    <w:p w:rsidR="005F78FC" w:rsidRDefault="00B42EF3">
      <w:pPr>
        <w:pStyle w:val="Definition-Field"/>
      </w:pPr>
      <w:r>
        <w:t xml:space="preserve">b.   </w:t>
      </w:r>
      <w:r>
        <w:rPr>
          <w:i/>
        </w:rPr>
        <w:t>The standard states that the thousands separator is the comma, the radix point is the period, and the currency symbol is $ and the format used is $#,##0.00;($#,##0.00).</w:t>
      </w:r>
    </w:p>
    <w:p w:rsidR="005F78FC" w:rsidRDefault="00B42EF3">
      <w:pPr>
        <w:pStyle w:val="Definition-Field2"/>
      </w:pPr>
      <w:r>
        <w:t>In Office, the formatting applied to the string for the t</w:t>
      </w:r>
      <w:r>
        <w:t>housands separator, radix point, and currency symbol are implementation-specific.</w:t>
      </w:r>
    </w:p>
    <w:p w:rsidR="005F78FC" w:rsidRDefault="00B42EF3">
      <w:pPr>
        <w:pStyle w:val="Heading3"/>
      </w:pPr>
      <w:bookmarkStart w:id="2140" w:name="section_4d0498fcd6fd48449c3e82fb61cff764"/>
      <w:bookmarkStart w:id="2141" w:name="_Toc69878843"/>
      <w:r>
        <w:t>Part 1 Section 18.17.7.337, VALUE</w:t>
      </w:r>
      <w:bookmarkEnd w:id="2140"/>
      <w:bookmarkEnd w:id="2141"/>
      <w:r>
        <w:fldChar w:fldCharType="begin"/>
      </w:r>
      <w:r>
        <w:instrText xml:space="preserve"> XE "VALUE" </w:instrText>
      </w:r>
      <w:r>
        <w:fldChar w:fldCharType="end"/>
      </w:r>
    </w:p>
    <w:p w:rsidR="005F78FC" w:rsidRDefault="00B42EF3">
      <w:pPr>
        <w:pStyle w:val="Definition-Field"/>
      </w:pPr>
      <w:r>
        <w:t xml:space="preserve">a.   </w:t>
      </w:r>
      <w:r>
        <w:rPr>
          <w:i/>
        </w:rPr>
        <w:t>The standard does not specify what happens if string argument is not formatted as number, currency, date or time.</w:t>
      </w:r>
    </w:p>
    <w:p w:rsidR="005F78FC" w:rsidRDefault="00B42EF3">
      <w:pPr>
        <w:pStyle w:val="Definition-Field2"/>
      </w:pPr>
      <w:r>
        <w:lastRenderedPageBreak/>
        <w:t xml:space="preserve">In </w:t>
      </w:r>
      <w:r>
        <w:t>Office, if string is not formatted using a number, currency, date, or time format, #VALUE! Is returned.</w:t>
      </w:r>
    </w:p>
    <w:p w:rsidR="005F78FC" w:rsidRDefault="00B42EF3">
      <w:pPr>
        <w:pStyle w:val="Heading3"/>
      </w:pPr>
      <w:bookmarkStart w:id="2142" w:name="section_17cbd3caed7e49d781c4937496be200e"/>
      <w:bookmarkStart w:id="2143" w:name="_Toc69878844"/>
      <w:r>
        <w:t>Part 1 Section 18.17.7.338, VAR</w:t>
      </w:r>
      <w:bookmarkEnd w:id="2142"/>
      <w:bookmarkEnd w:id="2143"/>
      <w:r>
        <w:fldChar w:fldCharType="begin"/>
      </w:r>
      <w:r>
        <w:instrText xml:space="preserve"> XE "VAR" </w:instrText>
      </w:r>
      <w:r>
        <w:fldChar w:fldCharType="end"/>
      </w:r>
    </w:p>
    <w:p w:rsidR="005F78FC" w:rsidRDefault="00B42EF3">
      <w:pPr>
        <w:pStyle w:val="Definition-Field"/>
      </w:pPr>
      <w:r>
        <w:t xml:space="preserve">a.   </w:t>
      </w:r>
      <w:r>
        <w:rPr>
          <w:i/>
        </w:rPr>
        <w:t>The standard does not specify what happens if sample size is less than or equal to 1.</w:t>
      </w:r>
    </w:p>
    <w:p w:rsidR="005F78FC" w:rsidRDefault="00B42EF3">
      <w:pPr>
        <w:pStyle w:val="Definition-Field2"/>
      </w:pPr>
      <w:r>
        <w:t>Office returns #D</w:t>
      </w:r>
      <w:r>
        <w:t>IV/0! if sample size less than or equal to 1.</w:t>
      </w:r>
    </w:p>
    <w:p w:rsidR="005F78FC" w:rsidRDefault="00B42EF3">
      <w:pPr>
        <w:pStyle w:val="Definition-Field"/>
      </w:pPr>
      <w:r>
        <w:t xml:space="preserve">b.   </w:t>
      </w:r>
      <w:r>
        <w:rPr>
          <w:i/>
        </w:rPr>
        <w:t>The standard does not specify how function arguments map to formula variables.</w:t>
      </w:r>
    </w:p>
    <w:p w:rsidR="005F78FC" w:rsidRDefault="00B42EF3">
      <w:pPr>
        <w:pStyle w:val="Definition-Field2"/>
      </w:pPr>
      <w:r>
        <w:t>Office maps x to a sample value, x-bar to AVERAGE(argument-1, argument-2,...,argument-n) and n to sample size.</w:t>
      </w:r>
    </w:p>
    <w:p w:rsidR="005F78FC" w:rsidRDefault="00B42EF3">
      <w:pPr>
        <w:pStyle w:val="Heading3"/>
      </w:pPr>
      <w:bookmarkStart w:id="2144" w:name="section_679b42b683744f1d98b2948061f3b26a"/>
      <w:bookmarkStart w:id="2145" w:name="_Toc69878845"/>
      <w:r>
        <w:t xml:space="preserve">Part 1 Section </w:t>
      </w:r>
      <w:r>
        <w:t>18.17.7.339, VARA</w:t>
      </w:r>
      <w:bookmarkEnd w:id="2144"/>
      <w:bookmarkEnd w:id="2145"/>
      <w:r>
        <w:fldChar w:fldCharType="begin"/>
      </w:r>
      <w:r>
        <w:instrText xml:space="preserve"> XE "VARA" </w:instrText>
      </w:r>
      <w:r>
        <w:fldChar w:fldCharType="end"/>
      </w:r>
    </w:p>
    <w:p w:rsidR="005F78FC" w:rsidRDefault="00B42EF3">
      <w:pPr>
        <w:pStyle w:val="Definition-Field"/>
      </w:pPr>
      <w:r>
        <w:t xml:space="preserve">a.   </w:t>
      </w:r>
      <w:r>
        <w:rPr>
          <w:i/>
        </w:rPr>
        <w:t>The standard does not specify what happens if sample size is less than or equal to 1.</w:t>
      </w:r>
    </w:p>
    <w:p w:rsidR="005F78FC" w:rsidRDefault="00B42EF3">
      <w:pPr>
        <w:pStyle w:val="Definition-Field2"/>
      </w:pPr>
      <w:r>
        <w:t>Office returns #DIV/0! if sample size is less than or equal to 1.</w:t>
      </w:r>
    </w:p>
    <w:p w:rsidR="005F78FC" w:rsidRDefault="00B42EF3">
      <w:pPr>
        <w:pStyle w:val="Definition-Field"/>
      </w:pPr>
      <w:r>
        <w:t xml:space="preserve">b.   </w:t>
      </w:r>
      <w:r>
        <w:rPr>
          <w:i/>
        </w:rPr>
        <w:t>The standard does not specify how function arguments map to for</w:t>
      </w:r>
      <w:r>
        <w:rPr>
          <w:i/>
        </w:rPr>
        <w:t>mula variables.</w:t>
      </w:r>
    </w:p>
    <w:p w:rsidR="005F78FC" w:rsidRDefault="00B42EF3">
      <w:pPr>
        <w:pStyle w:val="Definition-Field2"/>
      </w:pPr>
      <w:r>
        <w:t>Office maps x to a sample value, x-bar to AVERAGE(argument-1, argument-2,...,argument-n) and n to sample size.</w:t>
      </w:r>
    </w:p>
    <w:p w:rsidR="005F78FC" w:rsidRDefault="00B42EF3">
      <w:pPr>
        <w:pStyle w:val="Heading3"/>
      </w:pPr>
      <w:bookmarkStart w:id="2146" w:name="section_cbed238b9f4444d6941aeec4f9e4dd4d"/>
      <w:bookmarkStart w:id="2147" w:name="_Toc69878846"/>
      <w:r>
        <w:t>Part 1 Section 18.17.7.340, VARP</w:t>
      </w:r>
      <w:bookmarkEnd w:id="2146"/>
      <w:bookmarkEnd w:id="2147"/>
      <w:r>
        <w:fldChar w:fldCharType="begin"/>
      </w:r>
      <w:r>
        <w:instrText xml:space="preserve"> XE "VARP" </w:instrText>
      </w:r>
      <w:r>
        <w:fldChar w:fldCharType="end"/>
      </w:r>
    </w:p>
    <w:p w:rsidR="005F78FC" w:rsidRDefault="00B42EF3">
      <w:pPr>
        <w:pStyle w:val="Definition-Field"/>
      </w:pPr>
      <w:r>
        <w:t xml:space="preserve">a.   </w:t>
      </w:r>
      <w:r>
        <w:rPr>
          <w:i/>
        </w:rPr>
        <w:t>The standard does not specify what happens if population size is 0.</w:t>
      </w:r>
    </w:p>
    <w:p w:rsidR="005F78FC" w:rsidRDefault="00B42EF3">
      <w:pPr>
        <w:pStyle w:val="Definition-Field2"/>
      </w:pPr>
      <w:r>
        <w:t xml:space="preserve">Office </w:t>
      </w:r>
      <w:r>
        <w:t>returns #DIV/0! if population size is 0.</w:t>
      </w:r>
    </w:p>
    <w:p w:rsidR="005F78FC" w:rsidRDefault="00B42EF3">
      <w:pPr>
        <w:pStyle w:val="Definition-Field"/>
      </w:pPr>
      <w:r>
        <w:t xml:space="preserve">b.   </w:t>
      </w:r>
      <w:r>
        <w:rPr>
          <w:i/>
        </w:rPr>
        <w:t>The standard does not specify how function arguments map to formula variables.</w:t>
      </w:r>
    </w:p>
    <w:p w:rsidR="005F78FC" w:rsidRDefault="00B42EF3">
      <w:pPr>
        <w:pStyle w:val="Definition-Field2"/>
      </w:pPr>
      <w:r>
        <w:t>Office maps x to a population value, x-bar to AVERAGE(argument-1, argument-2,...,argument-n) and n to population size.</w:t>
      </w:r>
    </w:p>
    <w:p w:rsidR="005F78FC" w:rsidRDefault="00B42EF3">
      <w:pPr>
        <w:pStyle w:val="Heading3"/>
      </w:pPr>
      <w:bookmarkStart w:id="2148" w:name="section_9fcbeb9f84674d9381ab8ce9c5270da0"/>
      <w:bookmarkStart w:id="2149" w:name="_Toc69878847"/>
      <w:r>
        <w:t>Part 1 Secti</w:t>
      </w:r>
      <w:r>
        <w:t>on 18.17.7.341, VARPA</w:t>
      </w:r>
      <w:bookmarkEnd w:id="2148"/>
      <w:bookmarkEnd w:id="2149"/>
      <w:r>
        <w:fldChar w:fldCharType="begin"/>
      </w:r>
      <w:r>
        <w:instrText xml:space="preserve"> XE "VARPA" </w:instrText>
      </w:r>
      <w:r>
        <w:fldChar w:fldCharType="end"/>
      </w:r>
    </w:p>
    <w:p w:rsidR="005F78FC" w:rsidRDefault="00B42EF3">
      <w:pPr>
        <w:pStyle w:val="Definition-Field"/>
      </w:pPr>
      <w:r>
        <w:t xml:space="preserve">a.   </w:t>
      </w:r>
      <w:r>
        <w:rPr>
          <w:i/>
        </w:rPr>
        <w:t>The standard does not specify what happens if population size is 0.</w:t>
      </w:r>
    </w:p>
    <w:p w:rsidR="005F78FC" w:rsidRDefault="00B42EF3">
      <w:pPr>
        <w:pStyle w:val="Definition-Field2"/>
      </w:pPr>
      <w:r>
        <w:t>Office returns #DIV/0! if population size is 0.</w:t>
      </w:r>
    </w:p>
    <w:p w:rsidR="005F78FC" w:rsidRDefault="00B42EF3">
      <w:pPr>
        <w:pStyle w:val="Definition-Field"/>
      </w:pPr>
      <w:r>
        <w:t xml:space="preserve">b.   </w:t>
      </w:r>
      <w:r>
        <w:rPr>
          <w:i/>
        </w:rPr>
        <w:t>The standard does not specify how function arguments map to formula variables.</w:t>
      </w:r>
    </w:p>
    <w:p w:rsidR="005F78FC" w:rsidRDefault="00B42EF3">
      <w:pPr>
        <w:pStyle w:val="Definition-Field2"/>
      </w:pPr>
      <w:r>
        <w:t>Office maps x t</w:t>
      </w:r>
      <w:r>
        <w:t>o a population value, x-bar to AVERAGE(argument-1, argument-2,...,argument-n) and n to population size.</w:t>
      </w:r>
    </w:p>
    <w:p w:rsidR="005F78FC" w:rsidRDefault="00B42EF3">
      <w:pPr>
        <w:pStyle w:val="Heading3"/>
      </w:pPr>
      <w:bookmarkStart w:id="2150" w:name="section_ffd66ea9f4964af2a3bb9bb2bbfde505"/>
      <w:bookmarkStart w:id="2151" w:name="_Toc69878848"/>
      <w:r>
        <w:t>Part 1 Section 18.17.7.342, VDB</w:t>
      </w:r>
      <w:bookmarkEnd w:id="2150"/>
      <w:bookmarkEnd w:id="2151"/>
      <w:r>
        <w:fldChar w:fldCharType="begin"/>
      </w:r>
      <w:r>
        <w:instrText xml:space="preserve"> XE "VDB" </w:instrText>
      </w:r>
      <w:r>
        <w:fldChar w:fldCharType="end"/>
      </w:r>
    </w:p>
    <w:p w:rsidR="005F78FC" w:rsidRDefault="00B42EF3">
      <w:pPr>
        <w:pStyle w:val="Definition-Field"/>
      </w:pPr>
      <w:r>
        <w:t xml:space="preserve">a.   </w:t>
      </w:r>
      <w:r>
        <w:rPr>
          <w:i/>
        </w:rPr>
        <w:t>The standard does not define any restriction on the relationship between the arguments start-period and</w:t>
      </w:r>
      <w:r>
        <w:rPr>
          <w:i/>
        </w:rPr>
        <w:t xml:space="preserve"> end-period.</w:t>
      </w:r>
    </w:p>
    <w:p w:rsidR="005F78FC" w:rsidRDefault="00B42EF3">
      <w:pPr>
        <w:pStyle w:val="Definition-Field2"/>
      </w:pPr>
      <w:r>
        <w:t>In Office, if argument start-period &gt; argument end-period, #NUM! is returned.</w:t>
      </w:r>
    </w:p>
    <w:p w:rsidR="005F78FC" w:rsidRDefault="00B42EF3">
      <w:pPr>
        <w:pStyle w:val="Definition-Field"/>
      </w:pPr>
      <w:r>
        <w:t xml:space="preserve">b.   </w:t>
      </w:r>
      <w:r>
        <w:rPr>
          <w:i/>
        </w:rPr>
        <w:t>The standard does not define any restriction on the relationship between the arguments end-period and life.</w:t>
      </w:r>
    </w:p>
    <w:p w:rsidR="005F78FC" w:rsidRDefault="00B42EF3">
      <w:pPr>
        <w:pStyle w:val="Definition-Field2"/>
      </w:pPr>
      <w:r>
        <w:t>In Office, if argument end-period &gt; argument life, t</w:t>
      </w:r>
      <w:r>
        <w:t>hen #NUM! is returned.</w:t>
      </w:r>
    </w:p>
    <w:p w:rsidR="005F78FC" w:rsidRDefault="00B42EF3">
      <w:pPr>
        <w:pStyle w:val="Definition-Field"/>
      </w:pPr>
      <w:r>
        <w:lastRenderedPageBreak/>
        <w:t xml:space="preserve">c.   </w:t>
      </w:r>
      <w:r>
        <w:rPr>
          <w:i/>
        </w:rPr>
        <w:t>The standard does not define any restriction on the relationship between the arguments cost and salvage.</w:t>
      </w:r>
    </w:p>
    <w:p w:rsidR="005F78FC" w:rsidRDefault="00B42EF3">
      <w:pPr>
        <w:pStyle w:val="Definition-Field2"/>
      </w:pPr>
      <w:r>
        <w:t>In Office, if argument cost is less than argument salvage, then 0 is returned.</w:t>
      </w:r>
    </w:p>
    <w:p w:rsidR="005F78FC" w:rsidRDefault="00B42EF3">
      <w:pPr>
        <w:pStyle w:val="Heading3"/>
      </w:pPr>
      <w:bookmarkStart w:id="2152" w:name="section_f4941e4bd1ca43978593cf9367743447"/>
      <w:bookmarkStart w:id="2153" w:name="_Toc69878849"/>
      <w:r>
        <w:t>Part 1 Section 18.17.7.343, VLOOKUP</w:t>
      </w:r>
      <w:bookmarkEnd w:id="2152"/>
      <w:bookmarkEnd w:id="2153"/>
      <w:r>
        <w:fldChar w:fldCharType="begin"/>
      </w:r>
      <w:r>
        <w:instrText xml:space="preserve"> XE "VLOO</w:instrText>
      </w:r>
      <w:r>
        <w:instrText xml:space="preserve">KUP" </w:instrText>
      </w:r>
      <w:r>
        <w:fldChar w:fldCharType="end"/>
      </w:r>
    </w:p>
    <w:p w:rsidR="005F78FC" w:rsidRDefault="00B42EF3">
      <w:pPr>
        <w:pStyle w:val="Definition-Field"/>
      </w:pPr>
      <w:r>
        <w:t xml:space="preserve">a.   </w:t>
      </w:r>
      <w:r>
        <w:rPr>
          <w:i/>
        </w:rPr>
        <w:t>The standard states the values in the left-most column of table-array shall be placed in ascending order.</w:t>
      </w:r>
    </w:p>
    <w:p w:rsidR="005F78FC" w:rsidRDefault="00B42EF3">
      <w:pPr>
        <w:pStyle w:val="Definition-Field2"/>
      </w:pPr>
      <w:r>
        <w:t>In Office, if range-lookup-flag is TRUE or omitted the values in the left-most column of table-array shall be placed in ascending order.</w:t>
      </w:r>
    </w:p>
    <w:p w:rsidR="005F78FC" w:rsidRDefault="00B42EF3">
      <w:pPr>
        <w:pStyle w:val="Heading3"/>
      </w:pPr>
      <w:bookmarkStart w:id="2154" w:name="section_1ee2ed46bf004ca099e61c1af79d871d"/>
      <w:bookmarkStart w:id="2155" w:name="_Toc69878850"/>
      <w:r>
        <w:t>Part 1 Section 18.17.7.346, WEIBULL</w:t>
      </w:r>
      <w:bookmarkEnd w:id="2154"/>
      <w:bookmarkEnd w:id="2155"/>
      <w:r>
        <w:fldChar w:fldCharType="begin"/>
      </w:r>
      <w:r>
        <w:instrText xml:space="preserve"> XE "WEIBULL" </w:instrText>
      </w:r>
      <w:r>
        <w:fldChar w:fldCharType="end"/>
      </w:r>
    </w:p>
    <w:p w:rsidR="005F78FC" w:rsidRDefault="00B42EF3">
      <w:pPr>
        <w:pStyle w:val="Definition-Field"/>
      </w:pPr>
      <w:r>
        <w:t xml:space="preserve">a.   </w:t>
      </w:r>
      <w:r>
        <w:rPr>
          <w:i/>
        </w:rPr>
        <w:t>The standard states that if argument cumulative-flag is TRUE, GAMMADIST returns the cumulative distribution function; if FALSE, it returns the probability density function.</w:t>
      </w:r>
    </w:p>
    <w:p w:rsidR="005F78FC" w:rsidRDefault="00B42EF3">
      <w:pPr>
        <w:pStyle w:val="Definition-Field2"/>
      </w:pPr>
      <w:r>
        <w:t>In Office, if argument cum</w:t>
      </w:r>
      <w:r>
        <w:t>ulative-flag is TRUE, WEIBULL returns the cumulative distribution function; if FALSE, it returns the probability density function.</w:t>
      </w:r>
    </w:p>
    <w:p w:rsidR="005F78FC" w:rsidRDefault="00B42EF3">
      <w:pPr>
        <w:pStyle w:val="Heading3"/>
      </w:pPr>
      <w:bookmarkStart w:id="2156" w:name="section_98b8f687fb534181bca576f0d5fb0980"/>
      <w:bookmarkStart w:id="2157" w:name="_Toc69878851"/>
      <w:r>
        <w:t>Part 1 Section 18.17.7.347, WORKDAY</w:t>
      </w:r>
      <w:bookmarkEnd w:id="2156"/>
      <w:bookmarkEnd w:id="2157"/>
      <w:r>
        <w:fldChar w:fldCharType="begin"/>
      </w:r>
      <w:r>
        <w:instrText xml:space="preserve"> XE "WORKDAY" </w:instrText>
      </w:r>
      <w:r>
        <w:fldChar w:fldCharType="end"/>
      </w:r>
    </w:p>
    <w:p w:rsidR="005F78FC" w:rsidRDefault="00B42EF3">
      <w:pPr>
        <w:pStyle w:val="Definition-Field"/>
      </w:pPr>
      <w:r>
        <w:t xml:space="preserve">a.   </w:t>
      </w:r>
      <w:r>
        <w:rPr>
          <w:i/>
        </w:rPr>
        <w:t xml:space="preserve">The standard states that #NUM! is returned if any date in argument </w:t>
      </w:r>
      <w:r>
        <w:rPr>
          <w:i/>
        </w:rPr>
        <w:t>holidays is out of range for the current date base value.</w:t>
      </w:r>
    </w:p>
    <w:p w:rsidR="005F78FC" w:rsidRDefault="00B42EF3">
      <w:pPr>
        <w:pStyle w:val="Definition-Field2"/>
      </w:pPr>
      <w:r>
        <w:t>Office returns #VALUE! if any date in argument holidays is out of range for the current date base value.</w:t>
      </w:r>
    </w:p>
    <w:p w:rsidR="005F78FC" w:rsidRDefault="00B42EF3">
      <w:pPr>
        <w:pStyle w:val="Definition-Field"/>
      </w:pPr>
      <w:r>
        <w:t xml:space="preserve">b.   </w:t>
      </w:r>
      <w:r>
        <w:rPr>
          <w:i/>
        </w:rPr>
        <w:t>The standard does not declare which days are weekend days.</w:t>
      </w:r>
    </w:p>
    <w:p w:rsidR="005F78FC" w:rsidRDefault="00B42EF3">
      <w:pPr>
        <w:pStyle w:val="Definition-Field2"/>
      </w:pPr>
      <w:r>
        <w:t>In Office the function consid</w:t>
      </w:r>
      <w:r>
        <w:t>ers Saturday and Sunday to be the weekend days.</w:t>
      </w:r>
    </w:p>
    <w:p w:rsidR="005F78FC" w:rsidRDefault="00B42EF3">
      <w:pPr>
        <w:pStyle w:val="Heading3"/>
      </w:pPr>
      <w:bookmarkStart w:id="2158" w:name="section_a003023ad1664c12821a703ac0870f7d"/>
      <w:bookmarkStart w:id="2159" w:name="_Toc69878852"/>
      <w:r>
        <w:t>Part 1 Section 18.17.7.349, XIRR</w:t>
      </w:r>
      <w:bookmarkEnd w:id="2158"/>
      <w:bookmarkEnd w:id="2159"/>
      <w:r>
        <w:fldChar w:fldCharType="begin"/>
      </w:r>
      <w:r>
        <w:instrText xml:space="preserve"> XE "XIRR" </w:instrText>
      </w:r>
      <w:r>
        <w:fldChar w:fldCharType="end"/>
      </w:r>
    </w:p>
    <w:p w:rsidR="005F78FC" w:rsidRDefault="00B42EF3">
      <w:pPr>
        <w:pStyle w:val="Definition-Field"/>
      </w:pPr>
      <w:r>
        <w:t xml:space="preserve">a.   </w:t>
      </w:r>
      <w:r>
        <w:rPr>
          <w:i/>
        </w:rPr>
        <w:t>The standard specifies that an iterative technique is used for the implementation of this function.</w:t>
      </w:r>
    </w:p>
    <w:p w:rsidR="005F78FC" w:rsidRDefault="00B42EF3">
      <w:pPr>
        <w:pStyle w:val="Definition-Field2"/>
      </w:pPr>
      <w:r>
        <w:t xml:space="preserve">Office does not require an iterative technique to be </w:t>
      </w:r>
      <w:r>
        <w:t>used.</w:t>
      </w:r>
    </w:p>
    <w:p w:rsidR="005F78FC" w:rsidRDefault="00B42EF3">
      <w:pPr>
        <w:pStyle w:val="Definition-Field"/>
      </w:pPr>
      <w:r>
        <w:t xml:space="preserve">b.   </w:t>
      </w:r>
      <w:r>
        <w:rPr>
          <w:i/>
        </w:rPr>
        <w:t>The standard states that if any date in argument dates is out of range for the current date base value, #NUM! is returned.</w:t>
      </w:r>
    </w:p>
    <w:p w:rsidR="005F78FC" w:rsidRDefault="00B42EF3">
      <w:pPr>
        <w:pStyle w:val="Definition-Field2"/>
      </w:pPr>
      <w:r>
        <w:t>In Office, if any date in argument dates is out of range for the current date base value, #VALUE! is returned.</w:t>
      </w:r>
    </w:p>
    <w:p w:rsidR="005F78FC" w:rsidRDefault="00B42EF3">
      <w:pPr>
        <w:pStyle w:val="Definition-Field"/>
      </w:pPr>
      <w:r>
        <w:t xml:space="preserve">c.   </w:t>
      </w:r>
      <w:r>
        <w:rPr>
          <w:i/>
        </w:rPr>
        <w:t>The st</w:t>
      </w:r>
      <w:r>
        <w:rPr>
          <w:i/>
        </w:rPr>
        <w:t>andard does not define any restriction that argument values must contain one positive and one negative value.</w:t>
      </w:r>
    </w:p>
    <w:p w:rsidR="005F78FC" w:rsidRDefault="00B42EF3">
      <w:pPr>
        <w:pStyle w:val="Definition-Field2"/>
      </w:pPr>
      <w:r>
        <w:t>In Office, if argument values do not contain at least one positive and one negative value, #NUM! is returned.</w:t>
      </w:r>
    </w:p>
    <w:p w:rsidR="005F78FC" w:rsidRDefault="00B42EF3">
      <w:pPr>
        <w:pStyle w:val="Definition-Field"/>
      </w:pPr>
      <w:r>
        <w:t xml:space="preserve">d.   </w:t>
      </w:r>
      <w:r>
        <w:rPr>
          <w:i/>
        </w:rPr>
        <w:t>The standard states that if any</w:t>
      </w:r>
      <w:r>
        <w:rPr>
          <w:i/>
        </w:rPr>
        <w:t xml:space="preserve"> date in argument dates precedes the start date, #NUM! is returned.</w:t>
      </w:r>
    </w:p>
    <w:p w:rsidR="005F78FC" w:rsidRDefault="00B42EF3">
      <w:pPr>
        <w:pStyle w:val="Definition-Field2"/>
      </w:pPr>
      <w:r>
        <w:t>In Office, dates in the argument dates can precede the start date.</w:t>
      </w:r>
    </w:p>
    <w:p w:rsidR="005F78FC" w:rsidRDefault="00B42EF3">
      <w:pPr>
        <w:pStyle w:val="Heading3"/>
      </w:pPr>
      <w:bookmarkStart w:id="2160" w:name="section_9878cf828dc64790998a3f7e7763f58f"/>
      <w:bookmarkStart w:id="2161" w:name="_Toc69878853"/>
      <w:r>
        <w:lastRenderedPageBreak/>
        <w:t>Part 1 Section 18.17.7.350, XNPV</w:t>
      </w:r>
      <w:bookmarkEnd w:id="2160"/>
      <w:bookmarkEnd w:id="2161"/>
      <w:r>
        <w:fldChar w:fldCharType="begin"/>
      </w:r>
      <w:r>
        <w:instrText xml:space="preserve"> XE "XNPV" </w:instrText>
      </w:r>
      <w:r>
        <w:fldChar w:fldCharType="end"/>
      </w:r>
    </w:p>
    <w:p w:rsidR="005F78FC" w:rsidRDefault="00B42EF3">
      <w:pPr>
        <w:pStyle w:val="Definition-Field"/>
      </w:pPr>
      <w:r>
        <w:t xml:space="preserve">a.   </w:t>
      </w:r>
      <w:r>
        <w:rPr>
          <w:i/>
        </w:rPr>
        <w:t>The standard does not define any restriction on the argument rate.</w:t>
      </w:r>
    </w:p>
    <w:p w:rsidR="005F78FC" w:rsidRDefault="00B42EF3">
      <w:pPr>
        <w:pStyle w:val="Definition-Field2"/>
      </w:pPr>
      <w:r>
        <w:t xml:space="preserve">In </w:t>
      </w:r>
      <w:r>
        <w:t>Office, if rate ≤ 0, #NUM! is returned.</w:t>
      </w:r>
    </w:p>
    <w:p w:rsidR="005F78FC" w:rsidRDefault="00B42EF3">
      <w:pPr>
        <w:pStyle w:val="Heading3"/>
      </w:pPr>
      <w:bookmarkStart w:id="2162" w:name="section_603d48e1ab4648c395e0f9ce750d9623"/>
      <w:bookmarkStart w:id="2163" w:name="_Toc69878854"/>
      <w:r>
        <w:t>Part 1 Section 18.17.7.352, YEARFRAC</w:t>
      </w:r>
      <w:bookmarkEnd w:id="2162"/>
      <w:bookmarkEnd w:id="2163"/>
      <w:r>
        <w:fldChar w:fldCharType="begin"/>
      </w:r>
      <w:r>
        <w:instrText xml:space="preserve"> XE "YEARFRAC" </w:instrText>
      </w:r>
      <w:r>
        <w:fldChar w:fldCharType="end"/>
      </w:r>
    </w:p>
    <w:p w:rsidR="005F78FC" w:rsidRDefault="00B42EF3">
      <w:pPr>
        <w:pStyle w:val="Definition-Field"/>
      </w:pPr>
      <w:r>
        <w:t xml:space="preserve">a.   </w:t>
      </w:r>
      <w:r>
        <w:rPr>
          <w:i/>
        </w:rPr>
        <w:t>The standard does not describe day and month adjustments for the argument basis.</w:t>
      </w:r>
    </w:p>
    <w:p w:rsidR="005F78FC" w:rsidRDefault="00B42EF3">
      <w:r>
        <w:t xml:space="preserve">In Excel, the </w:t>
      </w:r>
      <w:r>
        <w:rPr>
          <w:i/>
        </w:rPr>
        <w:t>basis</w:t>
      </w:r>
      <w:r>
        <w:rPr>
          <w:b/>
          <w:i/>
        </w:rPr>
        <w:t xml:space="preserve"> </w:t>
      </w:r>
      <w:r>
        <w:t>argument specifies the truncated integer type of day cou</w:t>
      </w:r>
      <w:r>
        <w:t>nt basis to use, as follows:</w:t>
      </w:r>
    </w:p>
    <w:tbl>
      <w:tblPr>
        <w:tblStyle w:val="Table-ShadedHeader"/>
        <w:tblW w:w="0" w:type="auto"/>
        <w:tblLook w:val="04A0" w:firstRow="1" w:lastRow="0" w:firstColumn="1" w:lastColumn="0" w:noHBand="0" w:noVBand="1"/>
      </w:tblPr>
      <w:tblGrid>
        <w:gridCol w:w="1035"/>
        <w:gridCol w:w="8440"/>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Value</w:t>
            </w:r>
          </w:p>
        </w:tc>
        <w:tc>
          <w:tcPr>
            <w:tcW w:w="0" w:type="auto"/>
            <w:vAlign w:val="center"/>
          </w:tcPr>
          <w:p w:rsidR="005F78FC" w:rsidRDefault="00B42EF3">
            <w:pPr>
              <w:pStyle w:val="TableHeaderText"/>
            </w:pPr>
            <w:r>
              <w:t>Day Count Basis</w:t>
            </w:r>
          </w:p>
        </w:tc>
      </w:tr>
      <w:tr w:rsidR="005F78FC" w:rsidTr="005F78FC">
        <w:tc>
          <w:tcPr>
            <w:tcW w:w="0" w:type="auto"/>
            <w:vAlign w:val="center"/>
          </w:tcPr>
          <w:p w:rsidR="005F78FC" w:rsidRDefault="00B42EF3">
            <w:pPr>
              <w:pStyle w:val="TableBodyText"/>
            </w:pPr>
            <w:r>
              <w:rPr>
                <w:rStyle w:val="InlineCode"/>
              </w:rPr>
              <w:t>0</w:t>
            </w:r>
            <w:r>
              <w:t xml:space="preserve"> or omitted</w:t>
            </w:r>
          </w:p>
        </w:tc>
        <w:tc>
          <w:tcPr>
            <w:tcW w:w="0" w:type="auto"/>
            <w:vAlign w:val="center"/>
          </w:tcPr>
          <w:p w:rsidR="005F78FC" w:rsidRDefault="00B42EF3">
            <w:pPr>
              <w:pStyle w:val="TableBodyText"/>
            </w:pPr>
            <w:r>
              <w:t>US (NASD) 30/360.Assumes that each month has 30 days and the total number of days in the year is 360 by making the following adjustments:</w:t>
            </w:r>
          </w:p>
          <w:p w:rsidR="005F78FC" w:rsidRDefault="00B42EF3">
            <w:pPr>
              <w:pStyle w:val="ListParagraph"/>
              <w:numPr>
                <w:ilvl w:val="0"/>
                <w:numId w:val="116"/>
              </w:numPr>
            </w:pPr>
            <w:r>
              <w:t>If the date is 28 or 29 February, it is adjusted to 3</w:t>
            </w:r>
            <w:r>
              <w:t>0 February.</w:t>
            </w:r>
          </w:p>
          <w:p w:rsidR="005F78FC" w:rsidRDefault="00B42EF3">
            <w:pPr>
              <w:pStyle w:val="ListParagraph"/>
              <w:numPr>
                <w:ilvl w:val="0"/>
                <w:numId w:val="117"/>
              </w:numPr>
            </w:pPr>
            <w:r>
              <w:t>For months with 31 days, all dates with a day value of 31 are changed to day 30, including situations where the first date is 28 or 29 February.</w:t>
            </w:r>
          </w:p>
        </w:tc>
      </w:tr>
      <w:tr w:rsidR="005F78FC" w:rsidTr="005F78FC">
        <w:tc>
          <w:tcPr>
            <w:tcW w:w="0" w:type="auto"/>
            <w:vAlign w:val="center"/>
          </w:tcPr>
          <w:p w:rsidR="005F78FC" w:rsidRDefault="00B42EF3">
            <w:pPr>
              <w:pStyle w:val="TableBodyText"/>
            </w:pPr>
            <w:r>
              <w:rPr>
                <w:rStyle w:val="InlineCode"/>
              </w:rPr>
              <w:t>1</w:t>
            </w:r>
          </w:p>
        </w:tc>
        <w:tc>
          <w:tcPr>
            <w:tcW w:w="0" w:type="auto"/>
            <w:vAlign w:val="center"/>
          </w:tcPr>
          <w:p w:rsidR="005F78FC" w:rsidRDefault="00B42EF3">
            <w:pPr>
              <w:pStyle w:val="TableBodyText"/>
            </w:pPr>
            <w:r>
              <w:t xml:space="preserve">Actual/actual. The actual number of days between the two dates are counted. If the date range </w:t>
            </w:r>
            <w:r>
              <w:t>includes the date 29 February, the year is 366 days; otherwise it is 365 days.</w:t>
            </w:r>
          </w:p>
        </w:tc>
      </w:tr>
      <w:tr w:rsidR="005F78FC" w:rsidTr="005F78FC">
        <w:tc>
          <w:tcPr>
            <w:tcW w:w="0" w:type="auto"/>
            <w:vAlign w:val="center"/>
          </w:tcPr>
          <w:p w:rsidR="005F78FC" w:rsidRDefault="00B42EF3">
            <w:pPr>
              <w:pStyle w:val="TableBodyText"/>
            </w:pPr>
            <w:r>
              <w:rPr>
                <w:rStyle w:val="InlineCode"/>
              </w:rPr>
              <w:t>2</w:t>
            </w:r>
          </w:p>
        </w:tc>
        <w:tc>
          <w:tcPr>
            <w:tcW w:w="0" w:type="auto"/>
            <w:vAlign w:val="center"/>
          </w:tcPr>
          <w:p w:rsidR="005F78FC" w:rsidRDefault="00B42EF3">
            <w:pPr>
              <w:pStyle w:val="TableBodyText"/>
            </w:pPr>
            <w:r>
              <w:t>Actual/360. Similar to Basis 1, but only has 360 days per year.</w:t>
            </w:r>
          </w:p>
        </w:tc>
      </w:tr>
      <w:tr w:rsidR="005F78FC" w:rsidTr="005F78FC">
        <w:tc>
          <w:tcPr>
            <w:tcW w:w="0" w:type="auto"/>
            <w:vAlign w:val="center"/>
          </w:tcPr>
          <w:p w:rsidR="005F78FC" w:rsidRDefault="00B42EF3">
            <w:pPr>
              <w:pStyle w:val="TableBodyText"/>
            </w:pPr>
            <w:r>
              <w:rPr>
                <w:rStyle w:val="InlineCode"/>
              </w:rPr>
              <w:t>3</w:t>
            </w:r>
          </w:p>
        </w:tc>
        <w:tc>
          <w:tcPr>
            <w:tcW w:w="0" w:type="auto"/>
            <w:vAlign w:val="center"/>
          </w:tcPr>
          <w:p w:rsidR="005F78FC" w:rsidRDefault="00B42EF3">
            <w:pPr>
              <w:pStyle w:val="TableBodyText"/>
            </w:pPr>
            <w:r>
              <w:t>Actual/365. Similar to Basis 1, but always has 365 days per year.</w:t>
            </w:r>
          </w:p>
        </w:tc>
      </w:tr>
      <w:tr w:rsidR="005F78FC" w:rsidTr="005F78FC">
        <w:tc>
          <w:tcPr>
            <w:tcW w:w="0" w:type="auto"/>
            <w:vAlign w:val="center"/>
          </w:tcPr>
          <w:p w:rsidR="005F78FC" w:rsidRDefault="00B42EF3">
            <w:pPr>
              <w:pStyle w:val="TableBodyText"/>
            </w:pPr>
            <w:r>
              <w:rPr>
                <w:rStyle w:val="InlineCode"/>
              </w:rPr>
              <w:t>4</w:t>
            </w:r>
          </w:p>
        </w:tc>
        <w:tc>
          <w:tcPr>
            <w:tcW w:w="0" w:type="auto"/>
            <w:vAlign w:val="center"/>
          </w:tcPr>
          <w:p w:rsidR="005F78FC" w:rsidRDefault="00B42EF3">
            <w:pPr>
              <w:pStyle w:val="TableBodyText"/>
            </w:pPr>
            <w:r>
              <w:t>European 30/360. The European method f</w:t>
            </w:r>
            <w:r>
              <w:t>or adjusting day counts. Assumes that each month has 30 days and the total number of days in the year is 360 by making the following adjustments:</w:t>
            </w:r>
          </w:p>
          <w:p w:rsidR="005F78FC" w:rsidRDefault="00B42EF3">
            <w:pPr>
              <w:pStyle w:val="TableBodyText"/>
            </w:pPr>
            <w:r>
              <w:t>If the date is 28 or 29 February, it is adjusted to 30 February.</w:t>
            </w:r>
          </w:p>
          <w:p w:rsidR="005F78FC" w:rsidRDefault="00B42EF3">
            <w:pPr>
              <w:pStyle w:val="TableBodyText"/>
            </w:pPr>
            <w:r>
              <w:t>For months with 31 days, all dates with a day</w:t>
            </w:r>
            <w:r>
              <w:t xml:space="preserve"> value of 31 are changed to day 30, including situations where the first date is 28 or 29 February.</w:t>
            </w:r>
          </w:p>
        </w:tc>
      </w:tr>
    </w:tbl>
    <w:p w:rsidR="005F78FC" w:rsidRDefault="005F78FC"/>
    <w:p w:rsidR="005F78FC" w:rsidRDefault="00B42EF3">
      <w:pPr>
        <w:pStyle w:val="Definition-Field"/>
      </w:pPr>
      <w:r>
        <w:t xml:space="preserve">b.   </w:t>
      </w:r>
      <w:r>
        <w:rPr>
          <w:i/>
        </w:rPr>
        <w:t>The standard lists day-count-basis as one of the function's arguments.</w:t>
      </w:r>
    </w:p>
    <w:p w:rsidR="005F78FC" w:rsidRDefault="00B42EF3">
      <w:pPr>
        <w:pStyle w:val="Definition-Field2"/>
      </w:pPr>
      <w:r>
        <w:t>In Excel, the function does not take a day-count-basis argument.</w:t>
      </w:r>
    </w:p>
    <w:p w:rsidR="005F78FC" w:rsidRDefault="00B42EF3">
      <w:pPr>
        <w:pStyle w:val="Definition-Field"/>
      </w:pPr>
      <w:r>
        <w:t xml:space="preserve">c.   </w:t>
      </w:r>
      <w:r>
        <w:rPr>
          <w:i/>
        </w:rPr>
        <w:t>The stan</w:t>
      </w:r>
      <w:r>
        <w:rPr>
          <w:i/>
        </w:rPr>
        <w:t>dard does not specify any restrictions on arguments start-date or end-date.</w:t>
      </w:r>
    </w:p>
    <w:p w:rsidR="005F78FC" w:rsidRDefault="00B42EF3">
      <w:pPr>
        <w:pStyle w:val="Definition-Field2"/>
      </w:pPr>
      <w:r>
        <w:t>Office returns #NUM! if arguments start-date or end-date is out of range for the current date base value.</w:t>
      </w:r>
    </w:p>
    <w:p w:rsidR="005F78FC" w:rsidRDefault="00B42EF3">
      <w:pPr>
        <w:pStyle w:val="Definition-Field"/>
      </w:pPr>
      <w:r>
        <w:t xml:space="preserve">d.   </w:t>
      </w:r>
      <w:r>
        <w:rPr>
          <w:i/>
        </w:rPr>
        <w:t xml:space="preserve">The standard does not describe year length adjustments when argument </w:t>
      </w:r>
      <w:r>
        <w:rPr>
          <w:i/>
        </w:rPr>
        <w:t>basis is Actual/actual.</w:t>
      </w:r>
    </w:p>
    <w:p w:rsidR="005F78FC" w:rsidRDefault="00B42EF3">
      <w:pPr>
        <w:pStyle w:val="Definition-Field2"/>
      </w:pPr>
      <w:r>
        <w:t>In Office, if the argument basis is Actual/actual, the year length used is the average length of the years that the range crosses, regardless of where arguments start-date and end-date fall in their respective years.</w:t>
      </w:r>
    </w:p>
    <w:p w:rsidR="005F78FC" w:rsidRDefault="00B42EF3">
      <w:pPr>
        <w:pStyle w:val="Heading3"/>
      </w:pPr>
      <w:bookmarkStart w:id="2164" w:name="section_1f5b7d6fe6514fc1b89a6fc80241afa5"/>
      <w:bookmarkStart w:id="2165" w:name="_Toc69878855"/>
      <w:r>
        <w:t xml:space="preserve">Part 1 Section </w:t>
      </w:r>
      <w:r>
        <w:t>18.17.7.353, YIELD</w:t>
      </w:r>
      <w:bookmarkEnd w:id="2164"/>
      <w:bookmarkEnd w:id="2165"/>
      <w:r>
        <w:fldChar w:fldCharType="begin"/>
      </w:r>
      <w:r>
        <w:instrText xml:space="preserve"> XE "YIELD" </w:instrText>
      </w:r>
      <w:r>
        <w:fldChar w:fldCharType="end"/>
      </w:r>
    </w:p>
    <w:p w:rsidR="005F78FC" w:rsidRDefault="00B42EF3">
      <w:pPr>
        <w:pStyle w:val="Definition-Field"/>
      </w:pPr>
      <w:r>
        <w:t xml:space="preserve">a.   </w:t>
      </w:r>
      <w:r>
        <w:rPr>
          <w:i/>
        </w:rPr>
        <w:t>The standard does not describe day and month adjustments.</w:t>
      </w:r>
    </w:p>
    <w:p w:rsidR="005F78FC" w:rsidRDefault="00B42EF3">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lastRenderedPageBreak/>
              <w:t>Value</w:t>
            </w:r>
          </w:p>
        </w:tc>
        <w:tc>
          <w:tcPr>
            <w:tcW w:w="0" w:type="auto"/>
            <w:vAlign w:val="center"/>
          </w:tcPr>
          <w:p w:rsidR="005F78FC" w:rsidRDefault="00B42EF3">
            <w:pPr>
              <w:pStyle w:val="TableHeaderText"/>
            </w:pPr>
            <w:r>
              <w:t>Day Count Basis</w:t>
            </w:r>
          </w:p>
        </w:tc>
      </w:tr>
      <w:tr w:rsidR="005F78FC" w:rsidTr="005F78FC">
        <w:tc>
          <w:tcPr>
            <w:tcW w:w="0" w:type="auto"/>
            <w:vAlign w:val="center"/>
          </w:tcPr>
          <w:p w:rsidR="005F78FC" w:rsidRDefault="00B42EF3">
            <w:pPr>
              <w:pStyle w:val="TableBodyText"/>
            </w:pPr>
            <w:r>
              <w:rPr>
                <w:rStyle w:val="InlineCode"/>
              </w:rPr>
              <w:t>0</w:t>
            </w:r>
            <w:r>
              <w:t xml:space="preserve"> or omitted</w:t>
            </w:r>
          </w:p>
        </w:tc>
        <w:tc>
          <w:tcPr>
            <w:tcW w:w="0" w:type="auto"/>
            <w:vAlign w:val="center"/>
          </w:tcPr>
          <w:p w:rsidR="005F78FC" w:rsidRDefault="00B42EF3">
            <w:pPr>
              <w:pStyle w:val="TableBodyText"/>
            </w:pPr>
            <w:r>
              <w:t>US (NASD) 30/360.As</w:t>
            </w:r>
            <w:r>
              <w:t>sumes that each month has 30 days and the total number of days in the year is 360 by making the following adjustments:</w:t>
            </w:r>
          </w:p>
          <w:p w:rsidR="005F78FC" w:rsidRDefault="00B42EF3">
            <w:pPr>
              <w:pStyle w:val="ListParagraph"/>
              <w:numPr>
                <w:ilvl w:val="0"/>
                <w:numId w:val="118"/>
              </w:numPr>
            </w:pPr>
            <w:r>
              <w:t>If the date is 28 or 29 February, it is adjusted to 30 February.</w:t>
            </w:r>
          </w:p>
          <w:p w:rsidR="005F78FC" w:rsidRDefault="00B42EF3">
            <w:pPr>
              <w:pStyle w:val="ListParagraph"/>
              <w:numPr>
                <w:ilvl w:val="0"/>
                <w:numId w:val="119"/>
              </w:numPr>
            </w:pPr>
            <w:r>
              <w:t>For months with 31 days, all dates with a day value of 31 are changed to</w:t>
            </w:r>
            <w:r>
              <w:t xml:space="preserve"> day 30, including situations where the first date is 28 or 29 February.</w:t>
            </w:r>
          </w:p>
        </w:tc>
      </w:tr>
      <w:tr w:rsidR="005F78FC" w:rsidTr="005F78FC">
        <w:tc>
          <w:tcPr>
            <w:tcW w:w="0" w:type="auto"/>
            <w:vAlign w:val="center"/>
          </w:tcPr>
          <w:p w:rsidR="005F78FC" w:rsidRDefault="00B42EF3">
            <w:pPr>
              <w:pStyle w:val="TableBodyText"/>
            </w:pPr>
            <w:r>
              <w:rPr>
                <w:rStyle w:val="InlineCode"/>
              </w:rPr>
              <w:t>1</w:t>
            </w:r>
          </w:p>
        </w:tc>
        <w:tc>
          <w:tcPr>
            <w:tcW w:w="0" w:type="auto"/>
            <w:vAlign w:val="center"/>
          </w:tcPr>
          <w:p w:rsidR="005F78FC" w:rsidRDefault="00B42EF3">
            <w:pPr>
              <w:pStyle w:val="TableBodyText"/>
            </w:pPr>
            <w:r>
              <w:t>Actual/actual. The actual number of days between the two dates are counted. If the date range includes the date 29 February, the year is 366 days; otherwise it is 365 days.</w:t>
            </w:r>
          </w:p>
        </w:tc>
      </w:tr>
      <w:tr w:rsidR="005F78FC" w:rsidTr="005F78FC">
        <w:tc>
          <w:tcPr>
            <w:tcW w:w="0" w:type="auto"/>
            <w:vAlign w:val="center"/>
          </w:tcPr>
          <w:p w:rsidR="005F78FC" w:rsidRDefault="00B42EF3">
            <w:pPr>
              <w:pStyle w:val="TableBodyText"/>
            </w:pPr>
            <w:r>
              <w:rPr>
                <w:rStyle w:val="InlineCode"/>
              </w:rPr>
              <w:t>2</w:t>
            </w:r>
          </w:p>
        </w:tc>
        <w:tc>
          <w:tcPr>
            <w:tcW w:w="0" w:type="auto"/>
            <w:vAlign w:val="center"/>
          </w:tcPr>
          <w:p w:rsidR="005F78FC" w:rsidRDefault="00B42EF3">
            <w:pPr>
              <w:pStyle w:val="TableBodyText"/>
            </w:pPr>
            <w:r>
              <w:t>Actual/360. Similar to Basis 1, but only has 360 days per year.</w:t>
            </w:r>
          </w:p>
        </w:tc>
      </w:tr>
      <w:tr w:rsidR="005F78FC" w:rsidTr="005F78FC">
        <w:tc>
          <w:tcPr>
            <w:tcW w:w="0" w:type="auto"/>
            <w:vAlign w:val="center"/>
          </w:tcPr>
          <w:p w:rsidR="005F78FC" w:rsidRDefault="00B42EF3">
            <w:pPr>
              <w:pStyle w:val="TableBodyText"/>
            </w:pPr>
            <w:r>
              <w:rPr>
                <w:rStyle w:val="InlineCode"/>
              </w:rPr>
              <w:t>3</w:t>
            </w:r>
          </w:p>
        </w:tc>
        <w:tc>
          <w:tcPr>
            <w:tcW w:w="0" w:type="auto"/>
            <w:vAlign w:val="center"/>
          </w:tcPr>
          <w:p w:rsidR="005F78FC" w:rsidRDefault="00B42EF3">
            <w:pPr>
              <w:pStyle w:val="TableBodyText"/>
            </w:pPr>
            <w:r>
              <w:t>Actual/365. Similar to Basis 1, but always has 365 days per year.</w:t>
            </w:r>
          </w:p>
        </w:tc>
      </w:tr>
      <w:tr w:rsidR="005F78FC" w:rsidTr="005F78FC">
        <w:tc>
          <w:tcPr>
            <w:tcW w:w="0" w:type="auto"/>
            <w:vAlign w:val="center"/>
          </w:tcPr>
          <w:p w:rsidR="005F78FC" w:rsidRDefault="00B42EF3">
            <w:pPr>
              <w:pStyle w:val="TableBodyText"/>
            </w:pPr>
            <w:r>
              <w:rPr>
                <w:rStyle w:val="InlineCode"/>
              </w:rPr>
              <w:t>4</w:t>
            </w:r>
          </w:p>
        </w:tc>
        <w:tc>
          <w:tcPr>
            <w:tcW w:w="0" w:type="auto"/>
            <w:vAlign w:val="center"/>
          </w:tcPr>
          <w:p w:rsidR="005F78FC" w:rsidRDefault="00B42EF3">
            <w:pPr>
              <w:pStyle w:val="TableBodyText"/>
            </w:pPr>
            <w:r>
              <w:t xml:space="preserve">European 30/360. The European method for adjusting day counts. Assumes that each month has 30 days and the total number </w:t>
            </w:r>
            <w:r>
              <w:t>of days in the year is 360 by making the following adjustments:</w:t>
            </w:r>
          </w:p>
          <w:p w:rsidR="005F78FC" w:rsidRDefault="00B42EF3">
            <w:pPr>
              <w:pStyle w:val="TableBodyText"/>
            </w:pPr>
            <w:r>
              <w:t>If the date is 28 or 29 February, it is adjusted to 30 February.</w:t>
            </w:r>
          </w:p>
          <w:p w:rsidR="005F78FC" w:rsidRDefault="00B42EF3">
            <w:pPr>
              <w:pStyle w:val="TableBodyText"/>
            </w:pPr>
            <w:r>
              <w:t>For months with 31 days, all dates with a day value of 31 are changed to day 30, including situations where the first date is 2</w:t>
            </w:r>
            <w:r>
              <w:t>8 or 29 February.</w:t>
            </w:r>
          </w:p>
        </w:tc>
      </w:tr>
    </w:tbl>
    <w:p w:rsidR="005F78FC" w:rsidRDefault="005F78FC"/>
    <w:p w:rsidR="005F78FC" w:rsidRDefault="00B42EF3">
      <w:pPr>
        <w:pStyle w:val="Definition-Field"/>
      </w:pPr>
      <w:r>
        <w:t xml:space="preserve">b.   </w:t>
      </w:r>
      <w:r>
        <w:rPr>
          <w:i/>
        </w:rPr>
        <w:t>The standard states that the redemption argument is the security's redemption value per $100 face value.</w:t>
      </w:r>
    </w:p>
    <w:p w:rsidR="005F78FC" w:rsidRDefault="00B42EF3">
      <w:pPr>
        <w:pStyle w:val="Definition-Field2"/>
      </w:pPr>
      <w:r>
        <w:t>In Office the redemption argument is the security's redemption value per 100 currency units face value.</w:t>
      </w:r>
    </w:p>
    <w:p w:rsidR="005F78FC" w:rsidRDefault="00B42EF3">
      <w:pPr>
        <w:pStyle w:val="Definition-Field"/>
      </w:pPr>
      <w:r>
        <w:t xml:space="preserve">c.   </w:t>
      </w:r>
      <w:r>
        <w:rPr>
          <w:i/>
        </w:rPr>
        <w:t>The standard desc</w:t>
      </w:r>
      <w:r>
        <w:rPr>
          <w:i/>
        </w:rPr>
        <w:t>ribes the argument pr as the security's price.</w:t>
      </w:r>
    </w:p>
    <w:p w:rsidR="005F78FC" w:rsidRDefault="00B42EF3">
      <w:pPr>
        <w:pStyle w:val="Definition-Field2"/>
      </w:pPr>
      <w:r>
        <w:t>In Office, the argument pr is the security's price per 100 currency units face value.</w:t>
      </w:r>
    </w:p>
    <w:p w:rsidR="005F78FC" w:rsidRDefault="00B42EF3">
      <w:pPr>
        <w:pStyle w:val="Definition-Field"/>
      </w:pPr>
      <w:r>
        <w:t xml:space="preserve">d.   </w:t>
      </w:r>
      <w:r>
        <w:rPr>
          <w:i/>
        </w:rPr>
        <w:t>The standard describes the argument rate as the security's interest rate.</w:t>
      </w:r>
    </w:p>
    <w:p w:rsidR="005F78FC" w:rsidRDefault="00B42EF3">
      <w:pPr>
        <w:pStyle w:val="Definition-Field2"/>
      </w:pPr>
      <w:r>
        <w:t>In Office, the argument rate is the security</w:t>
      </w:r>
      <w:r>
        <w:t>'s annual coupon rate.</w:t>
      </w:r>
    </w:p>
    <w:p w:rsidR="005F78FC" w:rsidRDefault="00B42EF3">
      <w:pPr>
        <w:pStyle w:val="Heading3"/>
      </w:pPr>
      <w:bookmarkStart w:id="2166" w:name="section_652fb537a84b47869554d8624ce0d4a5"/>
      <w:bookmarkStart w:id="2167" w:name="_Toc69878856"/>
      <w:r>
        <w:t>Part 1 Section 18.17.7.354, YIELDDISC</w:t>
      </w:r>
      <w:bookmarkEnd w:id="2166"/>
      <w:bookmarkEnd w:id="2167"/>
      <w:r>
        <w:fldChar w:fldCharType="begin"/>
      </w:r>
      <w:r>
        <w:instrText xml:space="preserve"> XE "YIELDDISC" </w:instrText>
      </w:r>
      <w:r>
        <w:fldChar w:fldCharType="end"/>
      </w:r>
    </w:p>
    <w:p w:rsidR="005F78FC" w:rsidRDefault="00B42EF3">
      <w:pPr>
        <w:pStyle w:val="Definition-Field"/>
      </w:pPr>
      <w:r>
        <w:t xml:space="preserve">a.   </w:t>
      </w:r>
      <w:r>
        <w:rPr>
          <w:i/>
        </w:rPr>
        <w:t>The standard does not describe day and month adjustments.</w:t>
      </w:r>
    </w:p>
    <w:p w:rsidR="005F78FC" w:rsidRDefault="00B42EF3">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Value</w:t>
            </w:r>
          </w:p>
        </w:tc>
        <w:tc>
          <w:tcPr>
            <w:tcW w:w="0" w:type="auto"/>
            <w:vAlign w:val="center"/>
          </w:tcPr>
          <w:p w:rsidR="005F78FC" w:rsidRDefault="00B42EF3">
            <w:pPr>
              <w:pStyle w:val="TableHeaderText"/>
            </w:pPr>
            <w:r>
              <w:t>Day</w:t>
            </w:r>
            <w:r>
              <w:t xml:space="preserve"> Count Basis</w:t>
            </w:r>
          </w:p>
        </w:tc>
      </w:tr>
      <w:tr w:rsidR="005F78FC" w:rsidTr="005F78FC">
        <w:tc>
          <w:tcPr>
            <w:tcW w:w="0" w:type="auto"/>
            <w:vAlign w:val="center"/>
          </w:tcPr>
          <w:p w:rsidR="005F78FC" w:rsidRDefault="00B42EF3">
            <w:pPr>
              <w:pStyle w:val="TableBodyText"/>
            </w:pPr>
            <w:r>
              <w:rPr>
                <w:rStyle w:val="InlineCode"/>
              </w:rPr>
              <w:t>0</w:t>
            </w:r>
            <w:r>
              <w:t xml:space="preserve"> or omitted</w:t>
            </w:r>
          </w:p>
        </w:tc>
        <w:tc>
          <w:tcPr>
            <w:tcW w:w="0" w:type="auto"/>
            <w:vAlign w:val="center"/>
          </w:tcPr>
          <w:p w:rsidR="005F78FC" w:rsidRDefault="00B42EF3">
            <w:pPr>
              <w:pStyle w:val="TableBodyText"/>
            </w:pPr>
            <w:r>
              <w:t>US (NASD) 30/360.Assumes that each month has 30 days and the total number of days in the year is 360 by making the following adjustments:</w:t>
            </w:r>
          </w:p>
          <w:p w:rsidR="005F78FC" w:rsidRDefault="00B42EF3">
            <w:pPr>
              <w:pStyle w:val="ListParagraph"/>
              <w:numPr>
                <w:ilvl w:val="0"/>
                <w:numId w:val="120"/>
              </w:numPr>
            </w:pPr>
            <w:r>
              <w:t>If the date is 28 or 29 February, it is adjusted to 30 February.</w:t>
            </w:r>
          </w:p>
          <w:p w:rsidR="005F78FC" w:rsidRDefault="00B42EF3">
            <w:pPr>
              <w:pStyle w:val="ListParagraph"/>
              <w:numPr>
                <w:ilvl w:val="0"/>
                <w:numId w:val="121"/>
              </w:numPr>
            </w:pPr>
            <w:r>
              <w:t>For months with 31 days, a</w:t>
            </w:r>
            <w:r>
              <w:t>ll dates with a day value of 31 are changed to day 30, including situations where the first date is 28 or 29 February.</w:t>
            </w:r>
          </w:p>
        </w:tc>
      </w:tr>
      <w:tr w:rsidR="005F78FC" w:rsidTr="005F78FC">
        <w:tc>
          <w:tcPr>
            <w:tcW w:w="0" w:type="auto"/>
            <w:vAlign w:val="center"/>
          </w:tcPr>
          <w:p w:rsidR="005F78FC" w:rsidRDefault="00B42EF3">
            <w:pPr>
              <w:pStyle w:val="TableBodyText"/>
            </w:pPr>
            <w:r>
              <w:rPr>
                <w:rStyle w:val="InlineCode"/>
              </w:rPr>
              <w:t>1</w:t>
            </w:r>
          </w:p>
        </w:tc>
        <w:tc>
          <w:tcPr>
            <w:tcW w:w="0" w:type="auto"/>
            <w:vAlign w:val="center"/>
          </w:tcPr>
          <w:p w:rsidR="005F78FC" w:rsidRDefault="00B42EF3">
            <w:pPr>
              <w:pStyle w:val="TableBodyText"/>
            </w:pPr>
            <w:r>
              <w:t xml:space="preserve">Actual/actual. The actual number of days between the two dates are counted. If the date range includes the date 29 February, the year </w:t>
            </w:r>
            <w:r>
              <w:t>is 366 days; otherwise it is 365 days.</w:t>
            </w:r>
          </w:p>
        </w:tc>
      </w:tr>
      <w:tr w:rsidR="005F78FC" w:rsidTr="005F78FC">
        <w:tc>
          <w:tcPr>
            <w:tcW w:w="0" w:type="auto"/>
            <w:vAlign w:val="center"/>
          </w:tcPr>
          <w:p w:rsidR="005F78FC" w:rsidRDefault="00B42EF3">
            <w:pPr>
              <w:pStyle w:val="TableBodyText"/>
            </w:pPr>
            <w:r>
              <w:rPr>
                <w:rStyle w:val="InlineCode"/>
              </w:rPr>
              <w:t>2</w:t>
            </w:r>
          </w:p>
        </w:tc>
        <w:tc>
          <w:tcPr>
            <w:tcW w:w="0" w:type="auto"/>
            <w:vAlign w:val="center"/>
          </w:tcPr>
          <w:p w:rsidR="005F78FC" w:rsidRDefault="00B42EF3">
            <w:pPr>
              <w:pStyle w:val="TableBodyText"/>
            </w:pPr>
            <w:r>
              <w:t>Actual/360. Similar to Basis 1, but only has 360 days per year.</w:t>
            </w:r>
          </w:p>
        </w:tc>
      </w:tr>
      <w:tr w:rsidR="005F78FC" w:rsidTr="005F78FC">
        <w:tc>
          <w:tcPr>
            <w:tcW w:w="0" w:type="auto"/>
            <w:vAlign w:val="center"/>
          </w:tcPr>
          <w:p w:rsidR="005F78FC" w:rsidRDefault="00B42EF3">
            <w:pPr>
              <w:pStyle w:val="TableBodyText"/>
            </w:pPr>
            <w:r>
              <w:rPr>
                <w:rStyle w:val="InlineCode"/>
              </w:rPr>
              <w:lastRenderedPageBreak/>
              <w:t>3</w:t>
            </w:r>
          </w:p>
        </w:tc>
        <w:tc>
          <w:tcPr>
            <w:tcW w:w="0" w:type="auto"/>
            <w:vAlign w:val="center"/>
          </w:tcPr>
          <w:p w:rsidR="005F78FC" w:rsidRDefault="00B42EF3">
            <w:pPr>
              <w:pStyle w:val="TableBodyText"/>
            </w:pPr>
            <w:r>
              <w:t>Actual/365. Similar to Basis 1, but always has 365 days per year.</w:t>
            </w:r>
          </w:p>
        </w:tc>
      </w:tr>
      <w:tr w:rsidR="005F78FC" w:rsidTr="005F78FC">
        <w:tc>
          <w:tcPr>
            <w:tcW w:w="0" w:type="auto"/>
            <w:vAlign w:val="center"/>
          </w:tcPr>
          <w:p w:rsidR="005F78FC" w:rsidRDefault="00B42EF3">
            <w:pPr>
              <w:pStyle w:val="TableBodyText"/>
            </w:pPr>
            <w:r>
              <w:rPr>
                <w:rStyle w:val="InlineCode"/>
              </w:rPr>
              <w:t>4</w:t>
            </w:r>
          </w:p>
        </w:tc>
        <w:tc>
          <w:tcPr>
            <w:tcW w:w="0" w:type="auto"/>
            <w:vAlign w:val="center"/>
          </w:tcPr>
          <w:p w:rsidR="005F78FC" w:rsidRDefault="00B42EF3">
            <w:pPr>
              <w:pStyle w:val="TableBodyText"/>
            </w:pPr>
            <w:r>
              <w:t xml:space="preserve">European 30/360. The European method for adjusting day counts. Assumes that </w:t>
            </w:r>
            <w:r>
              <w:t>each month has 30 days and the total number of days in the year is 360 by making the following adjustments:</w:t>
            </w:r>
          </w:p>
          <w:p w:rsidR="005F78FC" w:rsidRDefault="00B42EF3">
            <w:pPr>
              <w:pStyle w:val="TableBodyText"/>
            </w:pPr>
            <w:r>
              <w:t>If the date is 28 or 29 February, it is adjusted to 30 February.</w:t>
            </w:r>
          </w:p>
          <w:p w:rsidR="005F78FC" w:rsidRDefault="00B42EF3">
            <w:pPr>
              <w:pStyle w:val="TableBodyText"/>
            </w:pPr>
            <w:r>
              <w:t>For months with 31 days, all dates with a day value of 31 are changed to day 30, in</w:t>
            </w:r>
            <w:r>
              <w:t>cluding situations where the first date is 28 or 29 February.</w:t>
            </w:r>
          </w:p>
        </w:tc>
      </w:tr>
    </w:tbl>
    <w:p w:rsidR="005F78FC" w:rsidRDefault="005F78FC"/>
    <w:p w:rsidR="005F78FC" w:rsidRDefault="00B42EF3">
      <w:pPr>
        <w:pStyle w:val="Definition-Field"/>
      </w:pPr>
      <w:r>
        <w:t xml:space="preserve">b.   </w:t>
      </w:r>
      <w:r>
        <w:rPr>
          <w:i/>
        </w:rPr>
        <w:t>The standard states that the redemption argument is the security's redemption value per $100 face value.</w:t>
      </w:r>
    </w:p>
    <w:p w:rsidR="005F78FC" w:rsidRDefault="00B42EF3">
      <w:pPr>
        <w:pStyle w:val="Definition-Field2"/>
      </w:pPr>
      <w:r>
        <w:t>In Office, the redemption argument is the security's redemption value per 100 curr</w:t>
      </w:r>
      <w:r>
        <w:t>ency units face value.</w:t>
      </w:r>
    </w:p>
    <w:p w:rsidR="005F78FC" w:rsidRDefault="00B42EF3">
      <w:pPr>
        <w:pStyle w:val="Definition-Field"/>
      </w:pPr>
      <w:r>
        <w:t xml:space="preserve">c.   </w:t>
      </w:r>
      <w:r>
        <w:rPr>
          <w:i/>
        </w:rPr>
        <w:t>The standard describes the argument pr as the security's price.</w:t>
      </w:r>
    </w:p>
    <w:p w:rsidR="005F78FC" w:rsidRDefault="00B42EF3">
      <w:pPr>
        <w:pStyle w:val="Definition-Field2"/>
      </w:pPr>
      <w:r>
        <w:t>In Office, the argument pr is the security's price per 100 currency units face value.</w:t>
      </w:r>
    </w:p>
    <w:p w:rsidR="005F78FC" w:rsidRDefault="00B42EF3">
      <w:pPr>
        <w:pStyle w:val="Heading3"/>
      </w:pPr>
      <w:bookmarkStart w:id="2168" w:name="section_eba3b8ce07c64244a95524ab4b61a0fb"/>
      <w:bookmarkStart w:id="2169" w:name="_Toc69878857"/>
      <w:r>
        <w:t>Part 1 Section 18.17.7.355, YIELDMAT</w:t>
      </w:r>
      <w:bookmarkEnd w:id="2168"/>
      <w:bookmarkEnd w:id="2169"/>
      <w:r>
        <w:fldChar w:fldCharType="begin"/>
      </w:r>
      <w:r>
        <w:instrText xml:space="preserve"> XE "YIELDMAT" </w:instrText>
      </w:r>
      <w:r>
        <w:fldChar w:fldCharType="end"/>
      </w:r>
    </w:p>
    <w:p w:rsidR="005F78FC" w:rsidRDefault="00B42EF3">
      <w:pPr>
        <w:pStyle w:val="Definition-Field"/>
      </w:pPr>
      <w:r>
        <w:t xml:space="preserve">a.   </w:t>
      </w:r>
      <w:r>
        <w:rPr>
          <w:i/>
        </w:rPr>
        <w:t>The standard does n</w:t>
      </w:r>
      <w:r>
        <w:rPr>
          <w:i/>
        </w:rPr>
        <w:t>ot specify day and month adjustments for the basis argument.</w:t>
      </w:r>
    </w:p>
    <w:p w:rsidR="005F78FC" w:rsidRDefault="00B42EF3">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Value</w:t>
            </w:r>
          </w:p>
        </w:tc>
        <w:tc>
          <w:tcPr>
            <w:tcW w:w="0" w:type="auto"/>
            <w:vAlign w:val="center"/>
          </w:tcPr>
          <w:p w:rsidR="005F78FC" w:rsidRDefault="00B42EF3">
            <w:pPr>
              <w:pStyle w:val="TableHeaderText"/>
            </w:pPr>
            <w:r>
              <w:t>Day Count Basis</w:t>
            </w:r>
          </w:p>
        </w:tc>
      </w:tr>
      <w:tr w:rsidR="005F78FC" w:rsidTr="005F78FC">
        <w:tc>
          <w:tcPr>
            <w:tcW w:w="0" w:type="auto"/>
            <w:vAlign w:val="center"/>
          </w:tcPr>
          <w:p w:rsidR="005F78FC" w:rsidRDefault="00B42EF3">
            <w:pPr>
              <w:pStyle w:val="TableBodyText"/>
            </w:pPr>
            <w:r>
              <w:rPr>
                <w:rStyle w:val="InlineCode"/>
              </w:rPr>
              <w:t>0</w:t>
            </w:r>
            <w:r>
              <w:t xml:space="preserve"> or omitted</w:t>
            </w:r>
          </w:p>
        </w:tc>
        <w:tc>
          <w:tcPr>
            <w:tcW w:w="0" w:type="auto"/>
            <w:vAlign w:val="center"/>
          </w:tcPr>
          <w:p w:rsidR="005F78FC" w:rsidRDefault="00B42EF3">
            <w:pPr>
              <w:pStyle w:val="TableBodyText"/>
            </w:pPr>
            <w:r>
              <w:t xml:space="preserve">US (NASD) 30/360. If the dates are equal, the </w:t>
            </w:r>
            <w:r>
              <w:t>difference of days is 0. Assumes that each month has 30 days and the total number of days in the year is 360 by making the following adjustments:</w:t>
            </w:r>
          </w:p>
          <w:p w:rsidR="005F78FC" w:rsidRDefault="00B42EF3">
            <w:pPr>
              <w:pStyle w:val="TableBodyText"/>
            </w:pPr>
            <w:r>
              <w:t>If both day-of-months are 31, they are changed to 30</w:t>
            </w:r>
          </w:p>
          <w:p w:rsidR="005F78FC" w:rsidRDefault="00B42EF3">
            <w:pPr>
              <w:pStyle w:val="TableBodyText"/>
            </w:pPr>
            <w:r>
              <w:t>Otherwise, if date1’s day-of-month is 31, it is changed t</w:t>
            </w:r>
            <w:r>
              <w:t>o 30</w:t>
            </w:r>
          </w:p>
          <w:p w:rsidR="005F78FC" w:rsidRDefault="00B42EF3">
            <w:pPr>
              <w:pStyle w:val="TableBodyText"/>
            </w:pPr>
            <w:r>
              <w:t>Otherwise, if date1’s day-of-month is 30 and date2’s day-of-month is 31, date2’s day-of-month is changed to 30 (note that date2’s day-of-month will stay 31 if date1’s day &lt; 30)</w:t>
            </w:r>
          </w:p>
          <w:p w:rsidR="005F78FC" w:rsidRDefault="00B42EF3">
            <w:pPr>
              <w:pStyle w:val="TableBodyText"/>
            </w:pPr>
            <w:r>
              <w:t xml:space="preserve">Otherwise, if both dates are the last day of February in their respective </w:t>
            </w:r>
            <w:r>
              <w:t>years, both day-of-month is changed to 30</w:t>
            </w:r>
          </w:p>
          <w:p w:rsidR="005F78FC" w:rsidRDefault="00B42EF3">
            <w:pPr>
              <w:pStyle w:val="TableBodyText"/>
            </w:pPr>
            <w:r>
              <w:t>Otherwise, if date1 is the last day of February, its day-of-month is changed to 30</w:t>
            </w:r>
          </w:p>
        </w:tc>
      </w:tr>
      <w:tr w:rsidR="005F78FC" w:rsidTr="005F78FC">
        <w:tc>
          <w:tcPr>
            <w:tcW w:w="0" w:type="auto"/>
            <w:vAlign w:val="center"/>
          </w:tcPr>
          <w:p w:rsidR="005F78FC" w:rsidRDefault="00B42EF3">
            <w:pPr>
              <w:pStyle w:val="TableBodyText"/>
            </w:pPr>
            <w:r>
              <w:rPr>
                <w:rStyle w:val="InlineCode"/>
              </w:rPr>
              <w:t>1</w:t>
            </w:r>
          </w:p>
        </w:tc>
        <w:tc>
          <w:tcPr>
            <w:tcW w:w="0" w:type="auto"/>
            <w:vAlign w:val="center"/>
          </w:tcPr>
          <w:p w:rsidR="005F78FC" w:rsidRDefault="00B42EF3">
            <w:pPr>
              <w:pStyle w:val="TableBodyText"/>
            </w:pPr>
            <w:r>
              <w:t xml:space="preserve">Actual/actual. If the dates are equal, the difference in days is 0. If date1 and date2 not “less than or equal to a year apart” </w:t>
            </w:r>
            <w:r>
              <w:t>(as defined below), then the days in the years between the dates is the average number of days in the years between date1 and date2, inclusive. Otherwise, the days in the years between the dates is 365, except for these cases (where it is 366): the dates a</w:t>
            </w:r>
            <w:r>
              <w:t xml:space="preserve">re in the same year and it is a leap-year, a February 29 occurs between the two dates, or </w:t>
            </w:r>
            <w:r>
              <w:rPr>
                <w:b/>
              </w:rPr>
              <w:t>date1 or</w:t>
            </w:r>
            <w:r>
              <w:t xml:space="preserve"> date2 is February 29.</w:t>
            </w:r>
          </w:p>
          <w:p w:rsidR="005F78FC" w:rsidRDefault="005F78FC">
            <w:pPr>
              <w:pStyle w:val="TableBodyText"/>
            </w:pPr>
          </w:p>
          <w:p w:rsidR="005F78FC" w:rsidRDefault="00B42EF3">
            <w:pPr>
              <w:pStyle w:val="TableBodyText"/>
            </w:pPr>
            <w:r>
              <w:t xml:space="preserve">To determine if date1 and date2 are “less than or equal to a year apart” for purposes of this algorithm, one of these conditions must </w:t>
            </w:r>
            <w:r>
              <w:t>be true:</w:t>
            </w:r>
          </w:p>
          <w:p w:rsidR="005F78FC" w:rsidRDefault="00B42EF3">
            <w:pPr>
              <w:pStyle w:val="ListParagraph"/>
              <w:numPr>
                <w:ilvl w:val="0"/>
                <w:numId w:val="122"/>
              </w:numPr>
            </w:pPr>
            <w:r>
              <w:t>The two dates have the same year</w:t>
            </w:r>
          </w:p>
          <w:p w:rsidR="005F78FC" w:rsidRDefault="00B42EF3">
            <w:pPr>
              <w:pStyle w:val="ListParagraph"/>
              <w:numPr>
                <w:ilvl w:val="0"/>
                <w:numId w:val="123"/>
              </w:numPr>
            </w:pPr>
            <w:r>
              <w:t>Date2’s year is exactly one more than date1’s year, and ((date1.month &gt; date2.month) or ((date1.month == date2.month) and (date1.day &gt;= date2.day)))</w:t>
            </w:r>
          </w:p>
        </w:tc>
      </w:tr>
      <w:tr w:rsidR="005F78FC" w:rsidTr="005F78FC">
        <w:tc>
          <w:tcPr>
            <w:tcW w:w="0" w:type="auto"/>
            <w:vAlign w:val="center"/>
          </w:tcPr>
          <w:p w:rsidR="005F78FC" w:rsidRDefault="00B42EF3">
            <w:pPr>
              <w:pStyle w:val="TableBodyText"/>
            </w:pPr>
            <w:r>
              <w:rPr>
                <w:rStyle w:val="InlineCode"/>
              </w:rPr>
              <w:t>2</w:t>
            </w:r>
          </w:p>
        </w:tc>
        <w:tc>
          <w:tcPr>
            <w:tcW w:w="0" w:type="auto"/>
            <w:vAlign w:val="center"/>
          </w:tcPr>
          <w:p w:rsidR="005F78FC" w:rsidRDefault="00B42EF3">
            <w:pPr>
              <w:pStyle w:val="TableBodyText"/>
            </w:pPr>
            <w:r>
              <w:t xml:space="preserve">Actual/360. Computes the actual difference in days, and </w:t>
            </w:r>
            <w:r>
              <w:t>presumes there are always 360 days per year.</w:t>
            </w:r>
          </w:p>
        </w:tc>
      </w:tr>
      <w:tr w:rsidR="005F78FC" w:rsidTr="005F78FC">
        <w:tc>
          <w:tcPr>
            <w:tcW w:w="0" w:type="auto"/>
            <w:vAlign w:val="center"/>
          </w:tcPr>
          <w:p w:rsidR="005F78FC" w:rsidRDefault="00B42EF3">
            <w:pPr>
              <w:pStyle w:val="TableBodyText"/>
            </w:pPr>
            <w:r>
              <w:rPr>
                <w:rStyle w:val="InlineCode"/>
              </w:rPr>
              <w:t>3</w:t>
            </w:r>
          </w:p>
        </w:tc>
        <w:tc>
          <w:tcPr>
            <w:tcW w:w="0" w:type="auto"/>
            <w:vAlign w:val="center"/>
          </w:tcPr>
          <w:p w:rsidR="005F78FC" w:rsidRDefault="00B42EF3">
            <w:pPr>
              <w:pStyle w:val="TableBodyText"/>
            </w:pPr>
            <w:r>
              <w:t xml:space="preserve">Actual/365. Computes the actual difference in days, and presumes there are always 365 days per </w:t>
            </w:r>
            <w:r>
              <w:lastRenderedPageBreak/>
              <w:t>year.</w:t>
            </w:r>
          </w:p>
        </w:tc>
      </w:tr>
      <w:tr w:rsidR="005F78FC" w:rsidTr="005F78FC">
        <w:tc>
          <w:tcPr>
            <w:tcW w:w="0" w:type="auto"/>
            <w:vAlign w:val="center"/>
          </w:tcPr>
          <w:p w:rsidR="005F78FC" w:rsidRDefault="00B42EF3">
            <w:pPr>
              <w:pStyle w:val="TableBodyText"/>
            </w:pPr>
            <w:r>
              <w:rPr>
                <w:rStyle w:val="InlineCode"/>
              </w:rPr>
              <w:lastRenderedPageBreak/>
              <w:t>4</w:t>
            </w:r>
          </w:p>
        </w:tc>
        <w:tc>
          <w:tcPr>
            <w:tcW w:w="0" w:type="auto"/>
            <w:vAlign w:val="center"/>
          </w:tcPr>
          <w:p w:rsidR="005F78FC" w:rsidRDefault="00B42EF3">
            <w:pPr>
              <w:pStyle w:val="TableBodyText"/>
            </w:pPr>
            <w:r>
              <w:t>European 30/360. The European method for adjusting day counts. If the dates are equal, the difference of</w:t>
            </w:r>
            <w:r>
              <w:t xml:space="preserve"> days is 0. Assumes that each month has 30 days and the total number of days in the year is 360; any day-of-month (in date1, date2, or both) with a value of 31 is changed to 30. Note that February dates are </w:t>
            </w:r>
            <w:r>
              <w:rPr>
                <w:i/>
              </w:rPr>
              <w:t xml:space="preserve">never </w:t>
            </w:r>
            <w:r>
              <w:t>changed, because there is no February 31.</w:t>
            </w:r>
          </w:p>
        </w:tc>
      </w:tr>
    </w:tbl>
    <w:p w:rsidR="005F78FC" w:rsidRDefault="005F78FC"/>
    <w:p w:rsidR="005F78FC" w:rsidRDefault="00B42EF3">
      <w:pPr>
        <w:pStyle w:val="Definition-Field"/>
      </w:pPr>
      <w:r>
        <w:t xml:space="preserve">b.   </w:t>
      </w:r>
      <w:r>
        <w:rPr>
          <w:i/>
        </w:rPr>
        <w:t>The standard specifies pr argument as the security's price.</w:t>
      </w:r>
    </w:p>
    <w:p w:rsidR="005F78FC" w:rsidRDefault="00B42EF3">
      <w:pPr>
        <w:pStyle w:val="Definition-Field2"/>
      </w:pPr>
      <w:r>
        <w:t>Office treats pr argument as the security's price per 100 currency units face value.</w:t>
      </w:r>
    </w:p>
    <w:p w:rsidR="005F78FC" w:rsidRDefault="00B42EF3">
      <w:pPr>
        <w:pStyle w:val="Definition-Field"/>
      </w:pPr>
      <w:r>
        <w:t xml:space="preserve">c.   </w:t>
      </w:r>
      <w:r>
        <w:rPr>
          <w:i/>
        </w:rPr>
        <w:t>The standard states if rate or pr ≤ 0, #NUM! is returned.</w:t>
      </w:r>
    </w:p>
    <w:p w:rsidR="005F78FC" w:rsidRDefault="00B42EF3">
      <w:pPr>
        <w:pStyle w:val="Definition-Field2"/>
      </w:pPr>
      <w:r>
        <w:t>Office returns #NUM! if pr is less than or</w:t>
      </w:r>
      <w:r>
        <w:t xml:space="preserve"> equal to 0, or if rate is less than 0.</w:t>
      </w:r>
    </w:p>
    <w:p w:rsidR="005F78FC" w:rsidRDefault="00B42EF3">
      <w:pPr>
        <w:pStyle w:val="Definition-Field"/>
      </w:pPr>
      <w:r>
        <w:t xml:space="preserve">d.   </w:t>
      </w:r>
      <w:r>
        <w:rPr>
          <w:i/>
        </w:rPr>
        <w:t>The standard does not describe a restriction on the relative values of issue and settlement.</w:t>
      </w:r>
    </w:p>
    <w:p w:rsidR="005F78FC" w:rsidRDefault="00B42EF3">
      <w:pPr>
        <w:pStyle w:val="Definition-Field2"/>
      </w:pPr>
      <w:r>
        <w:t>Office returns #NUM! if issue ≥ settlement.</w:t>
      </w:r>
    </w:p>
    <w:p w:rsidR="005F78FC" w:rsidRDefault="00B42EF3">
      <w:pPr>
        <w:pStyle w:val="Heading3"/>
      </w:pPr>
      <w:bookmarkStart w:id="2170" w:name="section_c494196a44ad4042b21bb60c3f93c792"/>
      <w:bookmarkStart w:id="2171" w:name="_Toc69878858"/>
      <w:r>
        <w:t>Part 1 Section 18.17.7.356, ZTEST</w:t>
      </w:r>
      <w:bookmarkEnd w:id="2170"/>
      <w:bookmarkEnd w:id="2171"/>
      <w:r>
        <w:fldChar w:fldCharType="begin"/>
      </w:r>
      <w:r>
        <w:instrText xml:space="preserve"> XE "ZTEST" </w:instrText>
      </w:r>
      <w:r>
        <w:fldChar w:fldCharType="end"/>
      </w:r>
    </w:p>
    <w:p w:rsidR="005F78FC" w:rsidRDefault="00B42EF3">
      <w:pPr>
        <w:pStyle w:val="Definition-Field"/>
      </w:pPr>
      <w:r>
        <w:t xml:space="preserve">a.   </w:t>
      </w:r>
      <w:r>
        <w:rPr>
          <w:i/>
        </w:rPr>
        <w:t>The standard does not</w:t>
      </w:r>
      <w:r>
        <w:rPr>
          <w:i/>
        </w:rPr>
        <w:t xml:space="preserve"> specify how function arguments map to formula variables.</w:t>
      </w:r>
    </w:p>
    <w:p w:rsidR="005F78FC" w:rsidRDefault="00B42EF3">
      <w:pPr>
        <w:pStyle w:val="Definition-Field2"/>
      </w:pPr>
      <w:r>
        <w:t>Office maps x-bar to sample mean and µ_0 to argument test-value.</w:t>
      </w:r>
    </w:p>
    <w:p w:rsidR="005F78FC" w:rsidRDefault="00B42EF3">
      <w:pPr>
        <w:pStyle w:val="Definition-Field"/>
      </w:pPr>
      <w:r>
        <w:t xml:space="preserve">b.   </w:t>
      </w:r>
      <w:r>
        <w:rPr>
          <w:i/>
        </w:rPr>
        <w:t>In the standard, there is no restriction on the value of sigma.</w:t>
      </w:r>
    </w:p>
    <w:p w:rsidR="005F78FC" w:rsidRDefault="00B42EF3">
      <w:pPr>
        <w:pStyle w:val="Definition-Field2"/>
      </w:pPr>
      <w:r>
        <w:t>In Office, if sigma is less than or equal to 0, then #NUM! is re</w:t>
      </w:r>
      <w:r>
        <w:t>turned.</w:t>
      </w:r>
    </w:p>
    <w:p w:rsidR="005F78FC" w:rsidRDefault="00B42EF3">
      <w:pPr>
        <w:pStyle w:val="Heading3"/>
      </w:pPr>
      <w:bookmarkStart w:id="2172" w:name="section_53249af3c6b1442193665720617c9e53"/>
      <w:bookmarkStart w:id="2173" w:name="_Toc69878859"/>
      <w:r>
        <w:t>Part 1 Section 18.18.2, ST_BorderId (Border Id)</w:t>
      </w:r>
      <w:bookmarkEnd w:id="2172"/>
      <w:bookmarkEnd w:id="2173"/>
      <w:r>
        <w:fldChar w:fldCharType="begin"/>
      </w:r>
      <w:r>
        <w:instrText xml:space="preserve"> XE "ST_BorderId (Border Id)" </w:instrText>
      </w:r>
      <w:r>
        <w:fldChar w:fldCharType="end"/>
      </w:r>
    </w:p>
    <w:p w:rsidR="005F78FC" w:rsidRDefault="00B42EF3">
      <w:pPr>
        <w:pStyle w:val="Definition-Field"/>
      </w:pPr>
      <w:r>
        <w:t xml:space="preserve">a.   </w:t>
      </w:r>
      <w:r>
        <w:rPr>
          <w:i/>
        </w:rPr>
        <w:t>The standard allows this type to be any unsignedInt.</w:t>
      </w:r>
    </w:p>
    <w:p w:rsidR="005F78FC" w:rsidRDefault="00B42EF3">
      <w:pPr>
        <w:pStyle w:val="Definition-Field2"/>
      </w:pPr>
      <w:r>
        <w:t xml:space="preserve">In Office, the valid values for attributes that use this type are restricted by the count of border elements </w:t>
      </w:r>
      <w:r>
        <w:t>in the borders collection.</w:t>
      </w:r>
    </w:p>
    <w:p w:rsidR="005F78FC" w:rsidRDefault="00B42EF3">
      <w:pPr>
        <w:pStyle w:val="Heading3"/>
      </w:pPr>
      <w:bookmarkStart w:id="2174" w:name="section_0adc381aa21a457c8a5a88dc96fa2688"/>
      <w:bookmarkStart w:id="2175" w:name="_Toc69878860"/>
      <w:r>
        <w:t>Part 1 Section 18.18.6, ST_CellFormulaType (Formula Type)</w:t>
      </w:r>
      <w:bookmarkEnd w:id="2174"/>
      <w:bookmarkEnd w:id="2175"/>
      <w:r>
        <w:fldChar w:fldCharType="begin"/>
      </w:r>
      <w:r>
        <w:instrText xml:space="preserve"> XE "ST_CellFormulaType (Formula Type)" </w:instrText>
      </w:r>
      <w:r>
        <w:fldChar w:fldCharType="end"/>
      </w:r>
    </w:p>
    <w:p w:rsidR="005F78FC" w:rsidRDefault="00B42EF3">
      <w:pPr>
        <w:pStyle w:val="Definition-Field"/>
      </w:pPr>
      <w:r>
        <w:t xml:space="preserve">a.   </w:t>
      </w:r>
      <w:r>
        <w:rPr>
          <w:i/>
        </w:rPr>
        <w:t>The standard is missing attributes referencing this type.</w:t>
      </w:r>
    </w:p>
    <w:p w:rsidR="005F78FC" w:rsidRDefault="00B42EF3">
      <w:pPr>
        <w:pStyle w:val="Definition-Field2"/>
      </w:pPr>
      <w:r>
        <w:t>Office allows f@t to reference this type.</w:t>
      </w:r>
    </w:p>
    <w:p w:rsidR="005F78FC" w:rsidRDefault="00B42EF3">
      <w:pPr>
        <w:pStyle w:val="Heading3"/>
      </w:pPr>
      <w:bookmarkStart w:id="2176" w:name="section_044c2ba4098b4b15b9603f7f972665df"/>
      <w:bookmarkStart w:id="2177" w:name="_Toc69878861"/>
      <w:r>
        <w:t xml:space="preserve">Part 1 Section 18.18.7, </w:t>
      </w:r>
      <w:r>
        <w:t>ST_CellRef (Cell Reference)</w:t>
      </w:r>
      <w:bookmarkEnd w:id="2176"/>
      <w:bookmarkEnd w:id="2177"/>
      <w:r>
        <w:fldChar w:fldCharType="begin"/>
      </w:r>
      <w:r>
        <w:instrText xml:space="preserve"> XE "ST_CellRef (Cell Reference)" </w:instrText>
      </w:r>
      <w:r>
        <w:fldChar w:fldCharType="end"/>
      </w:r>
    </w:p>
    <w:p w:rsidR="005F78FC" w:rsidRDefault="00B42EF3">
      <w:pPr>
        <w:pStyle w:val="Definition-Field"/>
      </w:pPr>
      <w:r>
        <w:t xml:space="preserve">a.   </w:t>
      </w:r>
      <w:r>
        <w:rPr>
          <w:i/>
        </w:rPr>
        <w:t>The standard defines a cell reference to be any string.</w:t>
      </w:r>
    </w:p>
    <w:p w:rsidR="005F78FC" w:rsidRDefault="00B42EF3">
      <w:r>
        <w:t xml:space="preserve">A single cell reference consists of a column name immediately followed by a row number. The column name is encoded using one, two, </w:t>
      </w:r>
      <w:r>
        <w:t>or three capital letters in US English locale:</w:t>
      </w:r>
    </w:p>
    <w:p w:rsidR="005F78FC" w:rsidRDefault="00B42EF3">
      <w:r>
        <w:t>&lt;letter&gt; ::= “A” | “B” | “C” | “D” | “E” | “F” | “G” | “H” | “I” | “J” | “K” | “L” | “M” | “N” | “O” | “P” | “Q” | “R” | “S” | “T” | “U” | “V” | “W” | “X” | “Y” | “Z”</w:t>
      </w:r>
    </w:p>
    <w:p w:rsidR="005F78FC" w:rsidRDefault="00B42EF3">
      <w:r>
        <w:t>&lt;column name&gt; ::= &lt;letter&gt; | &lt;letter&gt; &lt;let</w:t>
      </w:r>
      <w:r>
        <w:t>ter&gt; | &lt;letter&gt; &lt;letter&gt; &lt;letter&gt;</w:t>
      </w:r>
    </w:p>
    <w:p w:rsidR="005F78FC" w:rsidRDefault="00B42EF3">
      <w:r>
        <w:t>&lt;cell reference&gt; ::= &lt;column name&gt; &lt;row number&gt;</w:t>
      </w:r>
    </w:p>
    <w:p w:rsidR="005F78FC" w:rsidRDefault="00B42EF3">
      <w:r>
        <w:lastRenderedPageBreak/>
        <w:t>The row number is an integer in the range from 1 to 1048576.</w:t>
      </w:r>
    </w:p>
    <w:p w:rsidR="005F78FC" w:rsidRDefault="00B42EF3">
      <w:r>
        <w:t>Assume that the letter “A” corresponds to the numeric value 1, the letter “B” – to the numeric value 2, and so on</w:t>
      </w:r>
      <w:r>
        <w:t>, and the letter “Z” corresponding to the numeric value 26. Further assume that &lt;letter N&gt; designates the letter in position N of the column name, counting from the right, with a missing letter corresponding to the numeric value 0. The column number then c</w:t>
      </w:r>
      <w:r>
        <w:t>an be expressed as follows:</w:t>
      </w:r>
    </w:p>
    <w:p w:rsidR="005F78FC" w:rsidRDefault="00B42EF3">
      <w:r>
        <w:t>&lt;column number&gt; = 676*&lt;letter 3&gt; + 26*&lt;letter 2&gt; + &lt;letter 1&gt;</w:t>
      </w:r>
    </w:p>
    <w:p w:rsidR="005F78FC" w:rsidRDefault="00B42EF3">
      <w:r>
        <w:t>[Example:</w:t>
      </w:r>
    </w:p>
    <w:p w:rsidR="005F78FC" w:rsidRDefault="00B42EF3">
      <w:r>
        <w:t>Column name “A” corresponds to the column number 1: 676*0 + 26*0 + 1 = 1.</w:t>
      </w:r>
    </w:p>
    <w:p w:rsidR="005F78FC" w:rsidRDefault="00B42EF3">
      <w:r>
        <w:t>Column name “AD” corresponds to the column number 30: 676*0 + 26*1 + 4 = 30.</w:t>
      </w:r>
    </w:p>
    <w:p w:rsidR="005F78FC" w:rsidRDefault="00B42EF3">
      <w:r>
        <w:t>Colum</w:t>
      </w:r>
      <w:r>
        <w:t>n name “XFD” corresponds to the column number 16384: 676*24 + 26*6 + 4 = 16384.</w:t>
      </w:r>
    </w:p>
    <w:p w:rsidR="005F78FC" w:rsidRDefault="00B42EF3">
      <w:r>
        <w:t>end example]</w:t>
      </w:r>
    </w:p>
    <w:p w:rsidR="005F78FC" w:rsidRDefault="00B42EF3">
      <w:r>
        <w:t>The first column in a sheet is number 1 and it has the name “A”. The last column in the sheet is number 16384 and it has the name “XFD”.</w:t>
      </w:r>
    </w:p>
    <w:p w:rsidR="005F78FC" w:rsidRDefault="00B42EF3">
      <w:r>
        <w:t>[Example:</w:t>
      </w:r>
    </w:p>
    <w:p w:rsidR="005F78FC" w:rsidRDefault="00B42EF3">
      <w:r>
        <w:t>A1 – a reference</w:t>
      </w:r>
      <w:r>
        <w:t xml:space="preserve"> to the cell at column 1, row 1.</w:t>
      </w:r>
    </w:p>
    <w:p w:rsidR="005F78FC" w:rsidRDefault="00B42EF3">
      <w:r>
        <w:t>XFD1048576 – a reference to the cell in the bottom right corner of the sheet, that is, at column 16384, row 1048576.</w:t>
      </w:r>
    </w:p>
    <w:p w:rsidR="005F78FC" w:rsidRDefault="00B42EF3">
      <w:r>
        <w:t>end example]</w:t>
      </w:r>
    </w:p>
    <w:p w:rsidR="005F78FC" w:rsidRDefault="00B42EF3">
      <w:pPr>
        <w:pStyle w:val="Heading3"/>
      </w:pPr>
      <w:bookmarkStart w:id="2178" w:name="section_dbd6f7062cb8443d992c603bddbcc95c"/>
      <w:bookmarkStart w:id="2179" w:name="_Toc69878862"/>
      <w:r>
        <w:t>Part 1 Section 18.18.8, ST_CellSpan (Cell Span Type)</w:t>
      </w:r>
      <w:bookmarkEnd w:id="2178"/>
      <w:bookmarkEnd w:id="2179"/>
      <w:r>
        <w:fldChar w:fldCharType="begin"/>
      </w:r>
      <w:r>
        <w:instrText xml:space="preserve"> XE "ST_CellSpan (Cell Span Type)" </w:instrText>
      </w:r>
      <w:r>
        <w:fldChar w:fldCharType="end"/>
      </w:r>
    </w:p>
    <w:p w:rsidR="005F78FC" w:rsidRDefault="00B42EF3">
      <w:pPr>
        <w:pStyle w:val="Definition-Field"/>
      </w:pPr>
      <w:r>
        <w:t xml:space="preserve">a. </w:t>
      </w:r>
      <w:r>
        <w:t xml:space="preserve">  </w:t>
      </w:r>
      <w:r>
        <w:rPr>
          <w:i/>
        </w:rPr>
        <w:t>The standard states that the ST_CellSpan simple type is referenced by the ST_CellSpan simple type.</w:t>
      </w:r>
    </w:p>
    <w:p w:rsidR="005F78FC" w:rsidRDefault="00B42EF3">
      <w:pPr>
        <w:pStyle w:val="Definition-Field2"/>
      </w:pPr>
      <w:r>
        <w:t>Office defines this simple type to be referenced by the ST_CellSpans simple type.</w:t>
      </w:r>
    </w:p>
    <w:p w:rsidR="005F78FC" w:rsidRDefault="00B42EF3">
      <w:pPr>
        <w:pStyle w:val="Definition-Field"/>
      </w:pPr>
      <w:r>
        <w:t xml:space="preserve">b.   </w:t>
      </w:r>
      <w:r>
        <w:rPr>
          <w:i/>
        </w:rPr>
        <w:t>The standard allows any string to be a valid CellSpan.</w:t>
      </w:r>
    </w:p>
    <w:p w:rsidR="005F78FC" w:rsidRDefault="00B42EF3">
      <w:r>
        <w:t>In Office, th</w:t>
      </w:r>
      <w:r>
        <w:t>e numerical values separated by the colon specify the first and last columns of the span using one-based column indices. The values shall be positive and never exceed the maximum number of columns within the spreadsheet document. The value to the left of t</w:t>
      </w:r>
      <w:r>
        <w:t xml:space="preserve">he colon shall be less than or equal to the value to the right of the colon.  </w:t>
      </w:r>
    </w:p>
    <w:p w:rsidR="005F78FC" w:rsidRDefault="00B42EF3">
      <w:r>
        <w:t xml:space="preserve">This restriction matches the following regular expression pattern: \d+:\d+. </w:t>
      </w:r>
    </w:p>
    <w:p w:rsidR="005F78FC" w:rsidRDefault="00B42EF3">
      <w:pPr>
        <w:pStyle w:val="Heading3"/>
      </w:pPr>
      <w:bookmarkStart w:id="2180" w:name="section_8f64b974a9a944129ccb91382135586b"/>
      <w:bookmarkStart w:id="2181" w:name="_Toc69878863"/>
      <w:r>
        <w:t>Part 1 Section 18.18.16, ST_CredMethod (Credentials Method)</w:t>
      </w:r>
      <w:bookmarkEnd w:id="2180"/>
      <w:bookmarkEnd w:id="2181"/>
      <w:r>
        <w:fldChar w:fldCharType="begin"/>
      </w:r>
      <w:r>
        <w:instrText xml:space="preserve"> XE "ST_CredMethod (Credentials Method)" </w:instrText>
      </w:r>
      <w:r>
        <w:fldChar w:fldCharType="end"/>
      </w:r>
    </w:p>
    <w:p w:rsidR="005F78FC" w:rsidRDefault="00B42EF3">
      <w:pPr>
        <w:pStyle w:val="Definition-Field"/>
      </w:pPr>
      <w:r>
        <w:t xml:space="preserve">a.   </w:t>
      </w:r>
      <w:r>
        <w:rPr>
          <w:i/>
        </w:rPr>
        <w:t>The standard states that prompt is a valid value of the ST_CredMethod simple type.</w:t>
      </w:r>
    </w:p>
    <w:p w:rsidR="005F78FC" w:rsidRDefault="00B42EF3">
      <w:pPr>
        <w:pStyle w:val="Definition-Field2"/>
      </w:pPr>
      <w:r>
        <w:t>Excel does not allow this value on this simple type.</w:t>
      </w:r>
    </w:p>
    <w:p w:rsidR="005F78FC" w:rsidRDefault="00B42EF3">
      <w:pPr>
        <w:pStyle w:val="Heading3"/>
      </w:pPr>
      <w:bookmarkStart w:id="2182" w:name="section_cf92e21e16414d069a73f5ecb57e368f"/>
      <w:bookmarkStart w:id="2183" w:name="_Toc69878864"/>
      <w:r>
        <w:t>Part 1 Section 18.18.25, ST_DxfId (Format Id)</w:t>
      </w:r>
      <w:bookmarkEnd w:id="2182"/>
      <w:bookmarkEnd w:id="2183"/>
      <w:r>
        <w:fldChar w:fldCharType="begin"/>
      </w:r>
      <w:r>
        <w:instrText xml:space="preserve"> XE "ST_DxfId (Format Id)" </w:instrText>
      </w:r>
      <w:r>
        <w:fldChar w:fldCharType="end"/>
      </w:r>
    </w:p>
    <w:p w:rsidR="005F78FC" w:rsidRDefault="00B42EF3">
      <w:pPr>
        <w:pStyle w:val="Definition-Field"/>
      </w:pPr>
      <w:r>
        <w:t xml:space="preserve">a.   </w:t>
      </w:r>
      <w:r>
        <w:rPr>
          <w:i/>
        </w:rPr>
        <w:t xml:space="preserve">The standard specifies that the </w:t>
      </w:r>
      <w:r>
        <w:rPr>
          <w:i/>
        </w:rPr>
        <w:t>values for the ST_Dxfld simple type are defined by the XML Schema unsignedInt datatype.</w:t>
      </w:r>
    </w:p>
    <w:p w:rsidR="005F78FC" w:rsidRDefault="00B42EF3">
      <w:pPr>
        <w:pStyle w:val="Definition-Field2"/>
      </w:pPr>
      <w:r>
        <w:t>In Office, the valid values for attributes that use this simple type must be less than or equal to 4294967294.</w:t>
      </w:r>
    </w:p>
    <w:p w:rsidR="005F78FC" w:rsidRDefault="00B42EF3">
      <w:pPr>
        <w:pStyle w:val="Heading3"/>
      </w:pPr>
      <w:bookmarkStart w:id="2184" w:name="section_6ba27075db5b4f3dab0ae7347a2d56c5"/>
      <w:bookmarkStart w:id="2185" w:name="_Toc69878865"/>
      <w:r>
        <w:lastRenderedPageBreak/>
        <w:t>Part 1 Section 18.18.29, ST_FileType (File Type)</w:t>
      </w:r>
      <w:bookmarkEnd w:id="2184"/>
      <w:bookmarkEnd w:id="2185"/>
      <w:r>
        <w:fldChar w:fldCharType="begin"/>
      </w:r>
      <w:r>
        <w:instrText xml:space="preserve"> XE "ST_F</w:instrText>
      </w:r>
      <w:r>
        <w:instrText xml:space="preserve">ileType (File Type)" </w:instrText>
      </w:r>
      <w:r>
        <w:fldChar w:fldCharType="end"/>
      </w:r>
    </w:p>
    <w:p w:rsidR="005F78FC" w:rsidRDefault="00B42EF3">
      <w:pPr>
        <w:pStyle w:val="Definition-Field"/>
      </w:pPr>
      <w:r>
        <w:t xml:space="preserve">a.   </w:t>
      </w:r>
      <w:r>
        <w:rPr>
          <w:i/>
        </w:rPr>
        <w:t>The standard does not state that this setting can be overridden.</w:t>
      </w:r>
    </w:p>
    <w:p w:rsidR="005F78FC" w:rsidRDefault="00B42EF3">
      <w:pPr>
        <w:pStyle w:val="Definition-Field2"/>
      </w:pPr>
      <w:r>
        <w:t>In Office, this simple type is used in the absence of the byte-order mark (BOM), whose value shall override this setting.</w:t>
      </w:r>
    </w:p>
    <w:p w:rsidR="005F78FC" w:rsidRDefault="00B42EF3">
      <w:pPr>
        <w:pStyle w:val="Definition-Field"/>
      </w:pPr>
      <w:r>
        <w:t xml:space="preserve">b.   </w:t>
      </w:r>
      <w:r>
        <w:rPr>
          <w:i/>
        </w:rPr>
        <w:t xml:space="preserve">The standard states that "lin" and </w:t>
      </w:r>
      <w:r>
        <w:rPr>
          <w:i/>
        </w:rPr>
        <w:t>"other" are valid values for ST_FileType.</w:t>
      </w:r>
    </w:p>
    <w:p w:rsidR="005F78FC" w:rsidRDefault="00B42EF3">
      <w:pPr>
        <w:pStyle w:val="Definition-Field2"/>
      </w:pPr>
      <w:r>
        <w:t>Office does not support the values "lin" and "other", and instead uses the value "win".</w:t>
      </w:r>
    </w:p>
    <w:p w:rsidR="005F78FC" w:rsidRDefault="00B42EF3">
      <w:pPr>
        <w:pStyle w:val="Heading3"/>
      </w:pPr>
      <w:bookmarkStart w:id="2186" w:name="section_1053b25753e44ce5a8cbd5525d9a6100"/>
      <w:bookmarkStart w:id="2187" w:name="_Toc69878866"/>
      <w:r>
        <w:t>Part 1 Section 18.18.30, ST_FillId (Fill Id)</w:t>
      </w:r>
      <w:bookmarkEnd w:id="2186"/>
      <w:bookmarkEnd w:id="2187"/>
      <w:r>
        <w:fldChar w:fldCharType="begin"/>
      </w:r>
      <w:r>
        <w:instrText xml:space="preserve"> XE "ST_FillId (Fill Id)" </w:instrText>
      </w:r>
      <w:r>
        <w:fldChar w:fldCharType="end"/>
      </w:r>
    </w:p>
    <w:p w:rsidR="005F78FC" w:rsidRDefault="00B42EF3">
      <w:pPr>
        <w:pStyle w:val="Definition-Field"/>
      </w:pPr>
      <w:r>
        <w:t xml:space="preserve">a.   </w:t>
      </w:r>
      <w:r>
        <w:rPr>
          <w:i/>
        </w:rPr>
        <w:t>The standard allows this type to be any unsigned</w:t>
      </w:r>
      <w:r>
        <w:rPr>
          <w:i/>
        </w:rPr>
        <w:t>Int.</w:t>
      </w:r>
    </w:p>
    <w:p w:rsidR="005F78FC" w:rsidRDefault="00B42EF3">
      <w:r>
        <w:t>In Office, the valid values for attributes that use this type are restricted by the count of fill elements in the fills collection ("</w:t>
      </w:r>
      <w:hyperlink r:id="rId150">
        <w:r>
          <w:rPr>
            <w:rStyle w:val="Hyperlink"/>
          </w:rPr>
          <w:t>[ISO/IEC-29500-1]</w:t>
        </w:r>
      </w:hyperlink>
      <w:r>
        <w:t xml:space="preserve"> §18.8.21; fills").</w:t>
      </w:r>
    </w:p>
    <w:p w:rsidR="005F78FC" w:rsidRDefault="00B42EF3">
      <w:r>
        <w:t xml:space="preserve">Excel reserves </w:t>
      </w:r>
      <w:r>
        <w:t>FIllId index values 0 and 1 for internal use. If these are overwritten in the styles.xml file, Excel will ignore the fill definitions and use its internally defined styles instead.</w:t>
      </w:r>
    </w:p>
    <w:p w:rsidR="005F78FC" w:rsidRDefault="00B42EF3">
      <w:pPr>
        <w:pStyle w:val="Heading3"/>
      </w:pPr>
      <w:bookmarkStart w:id="2188" w:name="section_8ebf82e44fa443a69ecdd2d793a6f4bf"/>
      <w:bookmarkStart w:id="2189" w:name="_Toc69878867"/>
      <w:r>
        <w:t>Part 1 Section 18.18.35, ST_Formula (Formula)</w:t>
      </w:r>
      <w:bookmarkEnd w:id="2188"/>
      <w:bookmarkEnd w:id="2189"/>
      <w:r>
        <w:fldChar w:fldCharType="begin"/>
      </w:r>
      <w:r>
        <w:instrText xml:space="preserve"> XE "ST_Formula (Formula)" </w:instrText>
      </w:r>
      <w:r>
        <w:fldChar w:fldCharType="end"/>
      </w:r>
    </w:p>
    <w:p w:rsidR="005F78FC" w:rsidRDefault="00B42EF3">
      <w:pPr>
        <w:pStyle w:val="Definition-Field"/>
      </w:pPr>
      <w:r>
        <w:t xml:space="preserve">a.   </w:t>
      </w:r>
      <w:r>
        <w:rPr>
          <w:i/>
        </w:rPr>
        <w:t>The standard does not limit the length of the contents of the ST_Formula simple type.</w:t>
      </w:r>
    </w:p>
    <w:p w:rsidR="005F78FC" w:rsidRDefault="00B42EF3">
      <w:pPr>
        <w:pStyle w:val="Definition-Field2"/>
      </w:pPr>
      <w:r>
        <w:t>Excel restricts the contents of this simple type to be at most 8192 characters.</w:t>
      </w:r>
    </w:p>
    <w:p w:rsidR="005F78FC" w:rsidRDefault="00B42EF3">
      <w:pPr>
        <w:pStyle w:val="Definition-Field"/>
      </w:pPr>
      <w:r>
        <w:t xml:space="preserve">b.   </w:t>
      </w:r>
      <w:r>
        <w:rPr>
          <w:i/>
        </w:rPr>
        <w:t>The standard is missing reference to general formulas syntax and prose.</w:t>
      </w:r>
    </w:p>
    <w:p w:rsidR="005F78FC" w:rsidRDefault="00B42EF3">
      <w:pPr>
        <w:pStyle w:val="Definition-Field2"/>
      </w:pPr>
      <w:r>
        <w:t>In Excel</w:t>
      </w:r>
      <w:r>
        <w:t>, the ST_Formula simple type should have a reference to general formulas syntax and prose as defined in Formulas ("</w:t>
      </w:r>
      <w:hyperlink r:id="rId151">
        <w:r>
          <w:rPr>
            <w:rStyle w:val="Hyperlink"/>
          </w:rPr>
          <w:t>[ISO/IEC-29500-1]</w:t>
        </w:r>
      </w:hyperlink>
      <w:r>
        <w:t xml:space="preserve"> §18.17").</w:t>
      </w:r>
    </w:p>
    <w:p w:rsidR="005F78FC" w:rsidRDefault="00B42EF3">
      <w:pPr>
        <w:pStyle w:val="Heading3"/>
      </w:pPr>
      <w:bookmarkStart w:id="2190" w:name="section_c4cfb1aae45d4ae0bc786ec437e9c444"/>
      <w:bookmarkStart w:id="2191" w:name="_Toc69878868"/>
      <w:r>
        <w:t>Part 1 Section 18.18.42, ST_IconSetType (Icon S</w:t>
      </w:r>
      <w:r>
        <w:t>et Type)</w:t>
      </w:r>
      <w:bookmarkEnd w:id="2190"/>
      <w:bookmarkEnd w:id="2191"/>
      <w:r>
        <w:fldChar w:fldCharType="begin"/>
      </w:r>
      <w:r>
        <w:instrText xml:space="preserve"> XE "ST_IconSetType (Icon Set Type)" </w:instrText>
      </w:r>
      <w:r>
        <w:fldChar w:fldCharType="end"/>
      </w:r>
    </w:p>
    <w:p w:rsidR="005F78FC" w:rsidRDefault="00B42EF3">
      <w:pPr>
        <w:pStyle w:val="Definition-Field"/>
      </w:pPr>
      <w:r>
        <w:t xml:space="preserve">a.   </w:t>
      </w:r>
      <w:r>
        <w:rPr>
          <w:i/>
        </w:rPr>
        <w:t>The standard states that the 5Rating set contains smiley-face icons for conditional formatting.</w:t>
      </w:r>
    </w:p>
    <w:p w:rsidR="005F78FC" w:rsidRDefault="00B42EF3">
      <w:pPr>
        <w:pStyle w:val="Definition-Field2"/>
      </w:pPr>
      <w:r>
        <w:t>Office implements the 5Rating icon set is a set of 5 cell phone-like bars (see icons for '4 ratings icon se</w:t>
      </w:r>
      <w:r>
        <w:t>t').</w:t>
      </w:r>
    </w:p>
    <w:p w:rsidR="005F78FC" w:rsidRDefault="00B42EF3">
      <w:pPr>
        <w:pStyle w:val="Heading3"/>
      </w:pPr>
      <w:bookmarkStart w:id="2192" w:name="section_693a4c2462a847d187514405629f6f50"/>
      <w:bookmarkStart w:id="2193" w:name="_Toc69878869"/>
      <w:r>
        <w:t>Part 1 Section 18.18.47, ST_NumFmtId (Number Format Id)</w:t>
      </w:r>
      <w:bookmarkEnd w:id="2192"/>
      <w:bookmarkEnd w:id="2193"/>
      <w:r>
        <w:fldChar w:fldCharType="begin"/>
      </w:r>
      <w:r>
        <w:instrText xml:space="preserve"> XE "ST_NumFmtId (Number Format Id)" </w:instrText>
      </w:r>
      <w:r>
        <w:fldChar w:fldCharType="end"/>
      </w:r>
    </w:p>
    <w:p w:rsidR="005F78FC" w:rsidRDefault="00B42EF3">
      <w:pPr>
        <w:pStyle w:val="Definition-Field"/>
      </w:pPr>
      <w:r>
        <w:t xml:space="preserve">a.   </w:t>
      </w:r>
      <w:r>
        <w:rPr>
          <w:i/>
        </w:rPr>
        <w:t>The standard states that the values of the ST_NumFmtId simple type are defined by the XML Schema unsignedInt datatype.</w:t>
      </w:r>
    </w:p>
    <w:p w:rsidR="005F78FC" w:rsidRDefault="00B42EF3">
      <w:pPr>
        <w:pStyle w:val="Definition-Field2"/>
      </w:pPr>
      <w:r>
        <w:t>Office restricts the values of t</w:t>
      </w:r>
      <w:r>
        <w:t>his attribute to be at most 65535.</w:t>
      </w:r>
    </w:p>
    <w:p w:rsidR="005F78FC" w:rsidRDefault="00B42EF3">
      <w:pPr>
        <w:pStyle w:val="Definition-Field"/>
      </w:pPr>
      <w:r>
        <w:t xml:space="preserve">b.   </w:t>
      </w:r>
      <w:r>
        <w:rPr>
          <w:i/>
        </w:rPr>
        <w:t>The standard does not restrict the values of instances of the ST_NumFmtId simple type.</w:t>
      </w:r>
    </w:p>
    <w:p w:rsidR="005F78FC" w:rsidRDefault="00B42EF3">
      <w:pPr>
        <w:pStyle w:val="Definition-Field2"/>
      </w:pPr>
      <w:r>
        <w:t>Office requires the first instance of this type in any sequence to be equal to zero. This instance specifies the default style.</w:t>
      </w:r>
    </w:p>
    <w:p w:rsidR="005F78FC" w:rsidRDefault="00B42EF3">
      <w:pPr>
        <w:pStyle w:val="Heading3"/>
      </w:pPr>
      <w:bookmarkStart w:id="2194" w:name="section_f7289bd3806145098c2cb5fc2252c195"/>
      <w:bookmarkStart w:id="2195" w:name="_Toc69878870"/>
      <w:r>
        <w:t>Part 1 Section 18.18.57, ST_PhoneticType (Phonetic Type)</w:t>
      </w:r>
      <w:bookmarkEnd w:id="2194"/>
      <w:bookmarkEnd w:id="2195"/>
      <w:r>
        <w:fldChar w:fldCharType="begin"/>
      </w:r>
      <w:r>
        <w:instrText xml:space="preserve"> XE "ST_PhoneticType (Phonetic Type)" </w:instrText>
      </w:r>
      <w:r>
        <w:fldChar w:fldCharType="end"/>
      </w:r>
    </w:p>
    <w:p w:rsidR="005F78FC" w:rsidRDefault="00B42EF3">
      <w:pPr>
        <w:pStyle w:val="Definition-Field"/>
      </w:pPr>
      <w:r>
        <w:t xml:space="preserve">a.   </w:t>
      </w:r>
      <w:r>
        <w:rPr>
          <w:i/>
        </w:rPr>
        <w:t>The standard defines the character set that will be defined for displaying phonetic hints.</w:t>
      </w:r>
    </w:p>
    <w:p w:rsidR="005F78FC" w:rsidRDefault="00B42EF3">
      <w:pPr>
        <w:pStyle w:val="Definition-Field2"/>
      </w:pPr>
      <w:r>
        <w:t>Office uses the value as a hint as to what character set is pre</w:t>
      </w:r>
      <w:r>
        <w:t>ferred for editing phonetic hints.</w:t>
      </w:r>
    </w:p>
    <w:p w:rsidR="005F78FC" w:rsidRDefault="00B42EF3">
      <w:pPr>
        <w:pStyle w:val="Heading3"/>
      </w:pPr>
      <w:bookmarkStart w:id="2196" w:name="section_e3e3238f97ce40c0ae596b71a8f69a96"/>
      <w:bookmarkStart w:id="2197" w:name="_Toc69878871"/>
      <w:r>
        <w:lastRenderedPageBreak/>
        <w:t>Part 1 Section 18.18.59, ST_PivotFilterType (Pivot Filter Types)</w:t>
      </w:r>
      <w:bookmarkEnd w:id="2196"/>
      <w:bookmarkEnd w:id="2197"/>
      <w:r>
        <w:fldChar w:fldCharType="begin"/>
      </w:r>
      <w:r>
        <w:instrText xml:space="preserve"> XE "ST_PivotFilterType (Pivot Filter Types)" </w:instrText>
      </w:r>
      <w:r>
        <w:fldChar w:fldCharType="end"/>
      </w:r>
    </w:p>
    <w:p w:rsidR="005F78FC" w:rsidRDefault="00B42EF3">
      <w:pPr>
        <w:pStyle w:val="Definition-Field"/>
      </w:pPr>
      <w:r>
        <w:t xml:space="preserve">a.   </w:t>
      </w:r>
      <w:r>
        <w:rPr>
          <w:i/>
        </w:rPr>
        <w:t>The standard has descriptions for caption enumeration values stating they apply to field captions.</w:t>
      </w:r>
    </w:p>
    <w:p w:rsidR="005F78FC" w:rsidRDefault="00B42EF3">
      <w:pPr>
        <w:pStyle w:val="Definition-Field2"/>
      </w:pPr>
      <w:r>
        <w:t>In O</w:t>
      </w:r>
      <w:r>
        <w:t>ffice, these enumeration values apply to item captions.</w:t>
      </w:r>
    </w:p>
    <w:p w:rsidR="005F78FC" w:rsidRDefault="00B42EF3">
      <w:pPr>
        <w:pStyle w:val="Heading3"/>
      </w:pPr>
      <w:bookmarkStart w:id="2198" w:name="section_fe7f7a7d5ec741f886313ac7884f0883"/>
      <w:bookmarkStart w:id="2199" w:name="_Toc69878872"/>
      <w:r>
        <w:t>Part 1 Section 18.18.62, ST_Ref (Cell References)</w:t>
      </w:r>
      <w:bookmarkEnd w:id="2198"/>
      <w:bookmarkEnd w:id="2199"/>
      <w:r>
        <w:fldChar w:fldCharType="begin"/>
      </w:r>
      <w:r>
        <w:instrText xml:space="preserve"> XE "ST_Ref (Cell References)" </w:instrText>
      </w:r>
      <w:r>
        <w:fldChar w:fldCharType="end"/>
      </w:r>
    </w:p>
    <w:p w:rsidR="005F78FC" w:rsidRDefault="00B42EF3">
      <w:pPr>
        <w:pStyle w:val="Definition-Field"/>
      </w:pPr>
      <w:r>
        <w:t xml:space="preserve">a.   </w:t>
      </w:r>
      <w:r>
        <w:rPr>
          <w:i/>
        </w:rPr>
        <w:t>The standard does not clearly define what constitutes a valid a cell range reference.</w:t>
      </w:r>
    </w:p>
    <w:p w:rsidR="005F78FC" w:rsidRDefault="00B42EF3">
      <w:r>
        <w:t xml:space="preserve">In Office, a cell range </w:t>
      </w:r>
      <w:r>
        <w:t>reference consists of two single cell references separated by “:” character. The first single cell reference corresponds to the cell with the smallest row and column numbers, and the second single cell reference corresponds to the cell with the largest row</w:t>
      </w:r>
      <w:r>
        <w:t xml:space="preserve"> and column numbers within the range. If both references correspond to the same cell, only the first reference might be recorded, and both “:” and the second reference might be omitted:</w:t>
      </w:r>
    </w:p>
    <w:p w:rsidR="005F78FC" w:rsidRDefault="00B42EF3">
      <w:r>
        <w:t>&lt;cell range reference&gt; ::= &lt;cell reference&gt; “:” &lt;cell reference&gt; | &lt;ce</w:t>
      </w:r>
      <w:r>
        <w:t>ll reference&gt;</w:t>
      </w:r>
    </w:p>
    <w:p w:rsidR="005F78FC" w:rsidRDefault="00B42EF3">
      <w:r>
        <w:t>The cell reference, the encoding of column names and their mapping to column numbers are described in ST_CellRef simple type ("</w:t>
      </w:r>
      <w:hyperlink r:id="rId152">
        <w:r>
          <w:rPr>
            <w:rStyle w:val="Hyperlink"/>
          </w:rPr>
          <w:t>[ISO/IEC-29500-1]</w:t>
        </w:r>
      </w:hyperlink>
      <w:r>
        <w:t xml:space="preserve"> §18.18.8; ST_CellSpan").</w:t>
      </w:r>
    </w:p>
    <w:p w:rsidR="005F78FC" w:rsidRDefault="00B42EF3">
      <w:r>
        <w:t>The wi</w:t>
      </w:r>
      <w:r>
        <w:t>dth of the cell range reference is equal to the difference between the largest column number and the smallest column number of the cell range reference, plus 1.</w:t>
      </w:r>
    </w:p>
    <w:p w:rsidR="005F78FC" w:rsidRDefault="00B42EF3">
      <w:r>
        <w:t>The height of the cell range reference is equal to the difference between the largest row numbe</w:t>
      </w:r>
      <w:r>
        <w:t>r and the smallest row number of the cell range reference, plus 1.</w:t>
      </w:r>
    </w:p>
    <w:p w:rsidR="005F78FC" w:rsidRDefault="00B42EF3">
      <w:r>
        <w:t>[Examples</w:t>
      </w:r>
    </w:p>
    <w:p w:rsidR="005F78FC" w:rsidRDefault="00B42EF3">
      <w:r>
        <w:t xml:space="preserve">A1:AD5 – a reference to the cell range of 150 cells, with top left corner in the cell at column , row 1, and the bottom right corner in the cell at column 30, row 5. The width of </w:t>
      </w:r>
      <w:r>
        <w:t>this range is 30 columns, and the height of this range is 5 rows.</w:t>
      </w:r>
    </w:p>
    <w:p w:rsidR="005F78FC" w:rsidRDefault="00B42EF3">
      <w:r>
        <w:t>XFD1048576 – a reference to the cell in the bottom right corner of the sheet.</w:t>
      </w:r>
    </w:p>
    <w:p w:rsidR="005F78FC" w:rsidRDefault="00B42EF3">
      <w:r>
        <w:t>end examples]</w:t>
      </w:r>
    </w:p>
    <w:p w:rsidR="005F78FC" w:rsidRDefault="00B42EF3">
      <w:pPr>
        <w:pStyle w:val="Heading3"/>
      </w:pPr>
      <w:bookmarkStart w:id="2200" w:name="section_bfae8b6f1af14788b99a0a544efa2a81"/>
      <w:bookmarkStart w:id="2201" w:name="_Toc69878873"/>
      <w:r>
        <w:t>Part 1 Section 18.18.63, ST_RefA (Single Cell Reference)</w:t>
      </w:r>
      <w:bookmarkEnd w:id="2200"/>
      <w:bookmarkEnd w:id="2201"/>
      <w:r>
        <w:fldChar w:fldCharType="begin"/>
      </w:r>
      <w:r>
        <w:instrText xml:space="preserve"> XE "ST_RefA (Single Cell Reference)" </w:instrText>
      </w:r>
      <w:r>
        <w:fldChar w:fldCharType="end"/>
      </w:r>
    </w:p>
    <w:p w:rsidR="005F78FC" w:rsidRDefault="00B42EF3">
      <w:pPr>
        <w:pStyle w:val="Definition-Field"/>
      </w:pPr>
      <w:r>
        <w:t>a</w:t>
      </w:r>
      <w:r>
        <w:t xml:space="preserve">.   </w:t>
      </w:r>
      <w:r>
        <w:rPr>
          <w:i/>
        </w:rPr>
        <w:t>The standard defines this subclause to be a reference to single cell.</w:t>
      </w:r>
    </w:p>
    <w:p w:rsidR="005F78FC" w:rsidRDefault="00B42EF3">
      <w:pPr>
        <w:pStyle w:val="Definition-Field2"/>
      </w:pPr>
      <w:r>
        <w:t>Office allows elements or attributes of this type to be either a single cell reference or an area reference.</w:t>
      </w:r>
    </w:p>
    <w:p w:rsidR="005F78FC" w:rsidRDefault="00B42EF3">
      <w:pPr>
        <w:pStyle w:val="Definition-Field"/>
      </w:pPr>
      <w:r>
        <w:t xml:space="preserve">b.   </w:t>
      </w:r>
      <w:r>
        <w:rPr>
          <w:i/>
        </w:rPr>
        <w:t xml:space="preserve">The standard does not describe the type of cell references that are </w:t>
      </w:r>
      <w:r>
        <w:rPr>
          <w:i/>
        </w:rPr>
        <w:t>allowed.</w:t>
      </w:r>
    </w:p>
    <w:p w:rsidR="005F78FC" w:rsidRDefault="00B42EF3">
      <w:pPr>
        <w:pStyle w:val="Definition-Field2"/>
      </w:pPr>
      <w:r>
        <w:t>Office specifies the appropriate format of the cell references and the parsing format to be the same as ST_Ref.</w:t>
      </w:r>
    </w:p>
    <w:p w:rsidR="005F78FC" w:rsidRDefault="00B42EF3">
      <w:pPr>
        <w:pStyle w:val="Heading3"/>
      </w:pPr>
      <w:bookmarkStart w:id="2202" w:name="section_124de93f54d64d61ad5ae8548f7680b2"/>
      <w:bookmarkStart w:id="2203" w:name="_Toc69878874"/>
      <w:r>
        <w:t>Part 1 Section 18.18.76, ST_Sqref (Reference Sequence)</w:t>
      </w:r>
      <w:bookmarkEnd w:id="2202"/>
      <w:bookmarkEnd w:id="2203"/>
      <w:r>
        <w:fldChar w:fldCharType="begin"/>
      </w:r>
      <w:r>
        <w:instrText xml:space="preserve"> XE "ST_Sqref (Reference Sequence)" </w:instrText>
      </w:r>
      <w:r>
        <w:fldChar w:fldCharType="end"/>
      </w:r>
    </w:p>
    <w:p w:rsidR="005F78FC" w:rsidRDefault="00B42EF3">
      <w:pPr>
        <w:pStyle w:val="Definition-Field"/>
      </w:pPr>
      <w:r>
        <w:t xml:space="preserve">a.   </w:t>
      </w:r>
      <w:r>
        <w:rPr>
          <w:i/>
        </w:rPr>
        <w:t>The standard states that the number o</w:t>
      </w:r>
      <w:r>
        <w:rPr>
          <w:i/>
        </w:rPr>
        <w:t>f ST_Refs in the list is not limited.</w:t>
      </w:r>
    </w:p>
    <w:p w:rsidR="005F78FC" w:rsidRDefault="00B42EF3">
      <w:pPr>
        <w:pStyle w:val="Definition-Field2"/>
      </w:pPr>
      <w:r>
        <w:t>Office limits the number of refs in the list to 8192, unless explicitly noted in the respective usage text.</w:t>
      </w:r>
    </w:p>
    <w:p w:rsidR="005F78FC" w:rsidRDefault="00B42EF3">
      <w:pPr>
        <w:pStyle w:val="Heading3"/>
      </w:pPr>
      <w:bookmarkStart w:id="2204" w:name="section_af86bfea020b45aa8faa4ad272fe6617"/>
      <w:bookmarkStart w:id="2205" w:name="_Toc69878875"/>
      <w:r>
        <w:lastRenderedPageBreak/>
        <w:t>Part 1 Section 18.18.77, ST_TableStyleType (Table Style Type)</w:t>
      </w:r>
      <w:bookmarkEnd w:id="2204"/>
      <w:bookmarkEnd w:id="2205"/>
      <w:r>
        <w:fldChar w:fldCharType="begin"/>
      </w:r>
      <w:r>
        <w:instrText xml:space="preserve"> XE "ST_TableStyleType (Table Style Type)" </w:instrText>
      </w:r>
      <w:r>
        <w:fldChar w:fldCharType="end"/>
      </w:r>
    </w:p>
    <w:p w:rsidR="005F78FC" w:rsidRDefault="00B42EF3">
      <w:pPr>
        <w:pStyle w:val="Definition-Field"/>
      </w:pPr>
      <w:r>
        <w:t xml:space="preserve">a. </w:t>
      </w:r>
      <w:r>
        <w:t xml:space="preserve">  </w:t>
      </w:r>
      <w:r>
        <w:rPr>
          <w:i/>
        </w:rPr>
        <w:t>The standard specifies enumeration values using the generic term "table", so that each value can be applied to either ordinary tables or PivotTables.</w:t>
      </w:r>
    </w:p>
    <w:p w:rsidR="005F78FC" w:rsidRDefault="00B42EF3">
      <w:pPr>
        <w:pStyle w:val="Definition-Field2"/>
      </w:pPr>
      <w:r>
        <w:t xml:space="preserve">Office the following enumeration values also apply to PivotTables: firstColumn, firstColumnStripe, </w:t>
      </w:r>
      <w:r>
        <w:t>firstHeaderCell, firstRowStripe, headerRow, lastColumn, secondColumnStripe, secondRowStripe, totalRow, and wholeTable.</w:t>
      </w:r>
    </w:p>
    <w:p w:rsidR="005F78FC" w:rsidRDefault="00B42EF3">
      <w:pPr>
        <w:pStyle w:val="Heading3"/>
      </w:pPr>
      <w:bookmarkStart w:id="2206" w:name="section_99e8f4cc2f6c46638cf5b044dddc7e1c"/>
      <w:bookmarkStart w:id="2207" w:name="_Toc69878876"/>
      <w:r>
        <w:t>Part 1 Section 18.18.83, ST_TotalsRowFunction (Totals Row Function Types)</w:t>
      </w:r>
      <w:bookmarkEnd w:id="2206"/>
      <w:bookmarkEnd w:id="2207"/>
      <w:r>
        <w:fldChar w:fldCharType="begin"/>
      </w:r>
      <w:r>
        <w:instrText xml:space="preserve"> XE "ST_TotalsRowFunction (Totals Row Function Types)" </w:instrText>
      </w:r>
      <w:r>
        <w:fldChar w:fldCharType="end"/>
      </w:r>
    </w:p>
    <w:p w:rsidR="005F78FC" w:rsidRDefault="00B42EF3">
      <w:pPr>
        <w:pStyle w:val="Definition-Field"/>
      </w:pPr>
      <w:r>
        <w:t xml:space="preserve">a.   </w:t>
      </w:r>
      <w:r>
        <w:rPr>
          <w:i/>
        </w:rPr>
        <w:t>T</w:t>
      </w:r>
      <w:r>
        <w:rPr>
          <w:i/>
        </w:rPr>
        <w:t>he standard does not specify the formula specified by the enumeration value.</w:t>
      </w:r>
    </w:p>
    <w:p w:rsidR="005F78FC" w:rsidRDefault="00B42EF3">
      <w:r>
        <w:t xml:space="preserve">The values </w:t>
      </w:r>
      <w:r>
        <w:rPr>
          <w:i/>
        </w:rPr>
        <w:t>average</w:t>
      </w:r>
      <w:r>
        <w:t xml:space="preserve">, </w:t>
      </w:r>
      <w:r>
        <w:rPr>
          <w:i/>
        </w:rPr>
        <w:t>count</w:t>
      </w:r>
      <w:r>
        <w:t xml:space="preserve">, </w:t>
      </w:r>
      <w:r>
        <w:rPr>
          <w:i/>
        </w:rPr>
        <w:t>countNums</w:t>
      </w:r>
      <w:r>
        <w:t xml:space="preserve">, </w:t>
      </w:r>
      <w:r>
        <w:rPr>
          <w:i/>
        </w:rPr>
        <w:t>max</w:t>
      </w:r>
      <w:r>
        <w:t xml:space="preserve">, </w:t>
      </w:r>
      <w:r>
        <w:rPr>
          <w:i/>
        </w:rPr>
        <w:t>min</w:t>
      </w:r>
      <w:r>
        <w:t xml:space="preserve">, </w:t>
      </w:r>
      <w:r>
        <w:rPr>
          <w:i/>
        </w:rPr>
        <w:t>stdDev</w:t>
      </w:r>
      <w:r>
        <w:t xml:space="preserve">, </w:t>
      </w:r>
      <w:r>
        <w:rPr>
          <w:i/>
        </w:rPr>
        <w:t>sum</w:t>
      </w:r>
      <w:r>
        <w:t xml:space="preserve">, and </w:t>
      </w:r>
      <w:r>
        <w:rPr>
          <w:i/>
        </w:rPr>
        <w:t>var</w:t>
      </w:r>
      <w:r>
        <w:t xml:space="preserve"> specify the SUBTOTAL formula ("</w:t>
      </w:r>
      <w:hyperlink r:id="rId153">
        <w:r>
          <w:rPr>
            <w:rStyle w:val="Hyperlink"/>
          </w:rPr>
          <w:t>[ISO/IEC-2950</w:t>
        </w:r>
        <w:r>
          <w:rPr>
            <w:rStyle w:val="Hyperlink"/>
          </w:rPr>
          <w:t>0-1]</w:t>
        </w:r>
      </w:hyperlink>
      <w:r>
        <w:t xml:space="preserve"> §18.17.7.305; SUBTOTAL"); where the </w:t>
      </w:r>
      <w:r>
        <w:rPr>
          <w:i/>
        </w:rPr>
        <w:t>function-number</w:t>
      </w:r>
      <w:r>
        <w:t xml:space="preserve"> is specified in the following value table and the </w:t>
      </w:r>
      <w:r>
        <w:rPr>
          <w:i/>
        </w:rPr>
        <w:t>argument-list</w:t>
      </w:r>
      <w:r>
        <w:t xml:space="preserve"> is a cell reference ("[ISO/IEC-29500-1] §18.17.2.3") or structure reference ("[ISO/IEC-29500-1] §18.17.2.3") that designates the cells </w:t>
      </w:r>
      <w:r>
        <w:t>of the table column’s data region.</w:t>
      </w:r>
    </w:p>
    <w:p w:rsidR="005F78FC" w:rsidRDefault="00B42EF3">
      <w:r>
        <w:t>The following are possible enumeration values for this type:</w:t>
      </w:r>
    </w:p>
    <w:tbl>
      <w:tblPr>
        <w:tblStyle w:val="Table-ShadedHeader"/>
        <w:tblW w:w="0" w:type="auto"/>
        <w:tblLook w:val="04A0" w:firstRow="1" w:lastRow="0" w:firstColumn="1" w:lastColumn="0" w:noHBand="0" w:noVBand="1"/>
      </w:tblPr>
      <w:tblGrid>
        <w:gridCol w:w="2513"/>
        <w:gridCol w:w="6962"/>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Enumeration Value</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rPr>
                <w:b/>
              </w:rPr>
              <w:t>average</w:t>
            </w:r>
            <w:r>
              <w:t xml:space="preserve"> (Average)</w:t>
            </w:r>
          </w:p>
        </w:tc>
        <w:tc>
          <w:tcPr>
            <w:tcW w:w="0" w:type="auto"/>
            <w:vAlign w:val="center"/>
          </w:tcPr>
          <w:p w:rsidR="005F78FC" w:rsidRDefault="00B42EF3">
            <w:pPr>
              <w:pStyle w:val="TableBodyText"/>
            </w:pPr>
            <w:r>
              <w:t xml:space="preserve">Represents the arithmetic mean. The SUBTOTAL </w:t>
            </w:r>
            <w:r>
              <w:rPr>
                <w:i/>
              </w:rPr>
              <w:t>function-number</w:t>
            </w:r>
            <w:r>
              <w:t xml:space="preserve"> is 101.</w:t>
            </w:r>
          </w:p>
        </w:tc>
      </w:tr>
      <w:tr w:rsidR="005F78FC" w:rsidTr="005F78FC">
        <w:tc>
          <w:tcPr>
            <w:tcW w:w="0" w:type="auto"/>
            <w:vAlign w:val="center"/>
          </w:tcPr>
          <w:p w:rsidR="005F78FC" w:rsidRDefault="00B42EF3">
            <w:pPr>
              <w:pStyle w:val="TableBodyText"/>
            </w:pPr>
            <w:r>
              <w:rPr>
                <w:b/>
              </w:rPr>
              <w:t>count</w:t>
            </w:r>
            <w:r>
              <w:t xml:space="preserve"> (Non Empty Cell Count)</w:t>
            </w:r>
          </w:p>
        </w:tc>
        <w:tc>
          <w:tcPr>
            <w:tcW w:w="0" w:type="auto"/>
            <w:vAlign w:val="center"/>
          </w:tcPr>
          <w:p w:rsidR="005F78FC" w:rsidRDefault="00B42EF3">
            <w:pPr>
              <w:pStyle w:val="TableBodyText"/>
            </w:pPr>
            <w:r>
              <w:t xml:space="preserve">Represents a count of the number of non-empty cells. The SUBTOTAL </w:t>
            </w:r>
            <w:r>
              <w:rPr>
                <w:i/>
              </w:rPr>
              <w:t>function-number</w:t>
            </w:r>
            <w:r>
              <w:t xml:space="preserve"> is 103.</w:t>
            </w:r>
          </w:p>
        </w:tc>
      </w:tr>
      <w:tr w:rsidR="005F78FC" w:rsidTr="005F78FC">
        <w:tc>
          <w:tcPr>
            <w:tcW w:w="0" w:type="auto"/>
            <w:vAlign w:val="center"/>
          </w:tcPr>
          <w:p w:rsidR="005F78FC" w:rsidRDefault="00B42EF3">
            <w:pPr>
              <w:pStyle w:val="TableBodyText"/>
            </w:pPr>
            <w:r>
              <w:rPr>
                <w:b/>
              </w:rPr>
              <w:t>countNums</w:t>
            </w:r>
            <w:r>
              <w:t xml:space="preserve"> (Count Numbers)</w:t>
            </w:r>
          </w:p>
        </w:tc>
        <w:tc>
          <w:tcPr>
            <w:tcW w:w="0" w:type="auto"/>
            <w:vAlign w:val="center"/>
          </w:tcPr>
          <w:p w:rsidR="005F78FC" w:rsidRDefault="00B42EF3">
            <w:pPr>
              <w:pStyle w:val="TableBodyText"/>
            </w:pPr>
            <w:r>
              <w:t xml:space="preserve">Represents the number of cells that contain numbers. The SUBTOTAL </w:t>
            </w:r>
            <w:r>
              <w:rPr>
                <w:i/>
              </w:rPr>
              <w:t>function-number</w:t>
            </w:r>
            <w:r>
              <w:t xml:space="preserve"> is 102.</w:t>
            </w:r>
          </w:p>
        </w:tc>
      </w:tr>
      <w:tr w:rsidR="005F78FC" w:rsidTr="005F78FC">
        <w:tc>
          <w:tcPr>
            <w:tcW w:w="0" w:type="auto"/>
            <w:vAlign w:val="center"/>
          </w:tcPr>
          <w:p w:rsidR="005F78FC" w:rsidRDefault="00B42EF3">
            <w:pPr>
              <w:pStyle w:val="TableBodyText"/>
            </w:pPr>
            <w:r>
              <w:rPr>
                <w:b/>
              </w:rPr>
              <w:t>custom</w:t>
            </w:r>
            <w:r>
              <w:t xml:space="preserve"> (Custom Formula)</w:t>
            </w:r>
          </w:p>
        </w:tc>
        <w:tc>
          <w:tcPr>
            <w:tcW w:w="0" w:type="auto"/>
            <w:vAlign w:val="center"/>
          </w:tcPr>
          <w:p w:rsidR="005F78FC" w:rsidRDefault="00B42EF3">
            <w:pPr>
              <w:pStyle w:val="TableBodyText"/>
            </w:pPr>
            <w:r>
              <w:t xml:space="preserve">Represents the formula provided in </w:t>
            </w:r>
            <w:r>
              <w:rPr>
                <w:i/>
              </w:rPr>
              <w:t>totalsRowFormula.</w:t>
            </w:r>
          </w:p>
        </w:tc>
      </w:tr>
      <w:tr w:rsidR="005F78FC" w:rsidTr="005F78FC">
        <w:tc>
          <w:tcPr>
            <w:tcW w:w="0" w:type="auto"/>
            <w:vAlign w:val="center"/>
          </w:tcPr>
          <w:p w:rsidR="005F78FC" w:rsidRDefault="00B42EF3">
            <w:pPr>
              <w:pStyle w:val="TableBodyText"/>
            </w:pPr>
            <w:r>
              <w:rPr>
                <w:b/>
              </w:rPr>
              <w:t>max</w:t>
            </w:r>
            <w:r>
              <w:t xml:space="preserve"> (Maximum)</w:t>
            </w:r>
          </w:p>
        </w:tc>
        <w:tc>
          <w:tcPr>
            <w:tcW w:w="0" w:type="auto"/>
            <w:vAlign w:val="center"/>
          </w:tcPr>
          <w:p w:rsidR="005F78FC" w:rsidRDefault="00B42EF3">
            <w:pPr>
              <w:pStyle w:val="TableBodyText"/>
            </w:pPr>
            <w:r>
              <w:t xml:space="preserve">Represents the largest value. The SUBTOTAL </w:t>
            </w:r>
            <w:r>
              <w:rPr>
                <w:i/>
              </w:rPr>
              <w:t>function-number</w:t>
            </w:r>
            <w:r>
              <w:t xml:space="preserve"> is 104.</w:t>
            </w:r>
          </w:p>
        </w:tc>
      </w:tr>
      <w:tr w:rsidR="005F78FC" w:rsidTr="005F78FC">
        <w:tc>
          <w:tcPr>
            <w:tcW w:w="0" w:type="auto"/>
            <w:vAlign w:val="center"/>
          </w:tcPr>
          <w:p w:rsidR="005F78FC" w:rsidRDefault="00B42EF3">
            <w:pPr>
              <w:pStyle w:val="TableBodyText"/>
            </w:pPr>
            <w:r>
              <w:rPr>
                <w:b/>
              </w:rPr>
              <w:t>min</w:t>
            </w:r>
            <w:r>
              <w:t xml:space="preserve"> (Minimum)</w:t>
            </w:r>
          </w:p>
        </w:tc>
        <w:tc>
          <w:tcPr>
            <w:tcW w:w="0" w:type="auto"/>
            <w:vAlign w:val="center"/>
          </w:tcPr>
          <w:p w:rsidR="005F78FC" w:rsidRDefault="00B42EF3">
            <w:pPr>
              <w:pStyle w:val="TableBodyText"/>
            </w:pPr>
            <w:r>
              <w:t xml:space="preserve">Represents the smallest value. The SUBTOTAL </w:t>
            </w:r>
            <w:r>
              <w:rPr>
                <w:i/>
              </w:rPr>
              <w:t>function-number</w:t>
            </w:r>
            <w:r>
              <w:t xml:space="preserve"> is 105.</w:t>
            </w:r>
          </w:p>
        </w:tc>
      </w:tr>
      <w:tr w:rsidR="005F78FC" w:rsidTr="005F78FC">
        <w:tc>
          <w:tcPr>
            <w:tcW w:w="0" w:type="auto"/>
            <w:vAlign w:val="center"/>
          </w:tcPr>
          <w:p w:rsidR="005F78FC" w:rsidRDefault="00B42EF3">
            <w:pPr>
              <w:pStyle w:val="TableBodyText"/>
            </w:pPr>
            <w:r>
              <w:rPr>
                <w:b/>
              </w:rPr>
              <w:t>none</w:t>
            </w:r>
            <w:r>
              <w:t xml:space="preserve"> (None)</w:t>
            </w:r>
          </w:p>
        </w:tc>
        <w:tc>
          <w:tcPr>
            <w:tcW w:w="0" w:type="auto"/>
            <w:vAlign w:val="center"/>
          </w:tcPr>
          <w:p w:rsidR="005F78FC" w:rsidRDefault="00B42EF3">
            <w:pPr>
              <w:pStyle w:val="TableBodyText"/>
            </w:pPr>
            <w:r>
              <w:t>No total row.</w:t>
            </w:r>
          </w:p>
        </w:tc>
      </w:tr>
      <w:tr w:rsidR="005F78FC" w:rsidTr="005F78FC">
        <w:tc>
          <w:tcPr>
            <w:tcW w:w="0" w:type="auto"/>
            <w:vAlign w:val="center"/>
          </w:tcPr>
          <w:p w:rsidR="005F78FC" w:rsidRDefault="00B42EF3">
            <w:pPr>
              <w:pStyle w:val="TableBodyText"/>
            </w:pPr>
            <w:r>
              <w:rPr>
                <w:b/>
              </w:rPr>
              <w:t>stdDev</w:t>
            </w:r>
            <w:r>
              <w:t xml:space="preserve"> (St</w:t>
            </w:r>
            <w:r>
              <w:t>dDev)</w:t>
            </w:r>
          </w:p>
        </w:tc>
        <w:tc>
          <w:tcPr>
            <w:tcW w:w="0" w:type="auto"/>
            <w:vAlign w:val="center"/>
          </w:tcPr>
          <w:p w:rsidR="005F78FC" w:rsidRDefault="00B42EF3">
            <w:pPr>
              <w:pStyle w:val="TableBodyText"/>
            </w:pPr>
            <w:r>
              <w:t xml:space="preserve">Represents the estimated standard deviation. The SUBTOTAL </w:t>
            </w:r>
            <w:r>
              <w:rPr>
                <w:i/>
              </w:rPr>
              <w:t>function-number</w:t>
            </w:r>
            <w:r>
              <w:t xml:space="preserve"> is 107.</w:t>
            </w:r>
          </w:p>
        </w:tc>
      </w:tr>
      <w:tr w:rsidR="005F78FC" w:rsidTr="005F78FC">
        <w:tc>
          <w:tcPr>
            <w:tcW w:w="0" w:type="auto"/>
            <w:vAlign w:val="center"/>
          </w:tcPr>
          <w:p w:rsidR="005F78FC" w:rsidRDefault="00B42EF3">
            <w:pPr>
              <w:pStyle w:val="TableBodyText"/>
            </w:pPr>
            <w:r>
              <w:rPr>
                <w:b/>
              </w:rPr>
              <w:t>sum</w:t>
            </w:r>
            <w:r>
              <w:t xml:space="preserve"> (Sum)</w:t>
            </w:r>
          </w:p>
        </w:tc>
        <w:tc>
          <w:tcPr>
            <w:tcW w:w="0" w:type="auto"/>
            <w:vAlign w:val="center"/>
          </w:tcPr>
          <w:p w:rsidR="005F78FC" w:rsidRDefault="00B42EF3">
            <w:pPr>
              <w:pStyle w:val="TableBodyText"/>
            </w:pPr>
            <w:r>
              <w:t xml:space="preserve">Represents the arithmetic sum. The SUBTOTAL </w:t>
            </w:r>
            <w:r>
              <w:rPr>
                <w:i/>
              </w:rPr>
              <w:t>function-number</w:t>
            </w:r>
            <w:r>
              <w:t xml:space="preserve"> is 109.</w:t>
            </w:r>
          </w:p>
        </w:tc>
      </w:tr>
      <w:tr w:rsidR="005F78FC" w:rsidTr="005F78FC">
        <w:tc>
          <w:tcPr>
            <w:tcW w:w="0" w:type="auto"/>
            <w:vAlign w:val="center"/>
          </w:tcPr>
          <w:p w:rsidR="005F78FC" w:rsidRDefault="00B42EF3">
            <w:pPr>
              <w:pStyle w:val="TableBodyText"/>
            </w:pPr>
            <w:r>
              <w:rPr>
                <w:b/>
              </w:rPr>
              <w:t>var</w:t>
            </w:r>
            <w:r>
              <w:t xml:space="preserve"> (Var)</w:t>
            </w:r>
          </w:p>
        </w:tc>
        <w:tc>
          <w:tcPr>
            <w:tcW w:w="0" w:type="auto"/>
            <w:vAlign w:val="center"/>
          </w:tcPr>
          <w:p w:rsidR="005F78FC" w:rsidRDefault="00B42EF3">
            <w:pPr>
              <w:pStyle w:val="TableBodyText"/>
            </w:pPr>
            <w:r>
              <w:t xml:space="preserve">Represents the estimated variance. The SUBTOTAL </w:t>
            </w:r>
            <w:r>
              <w:rPr>
                <w:i/>
              </w:rPr>
              <w:t>function-number</w:t>
            </w:r>
            <w:r>
              <w:t xml:space="preserve"> is 110.</w:t>
            </w:r>
          </w:p>
        </w:tc>
      </w:tr>
    </w:tbl>
    <w:p w:rsidR="005F78FC" w:rsidRDefault="005F78FC"/>
    <w:p w:rsidR="005F78FC" w:rsidRDefault="00B42EF3">
      <w:pPr>
        <w:pStyle w:val="Heading3"/>
      </w:pPr>
      <w:bookmarkStart w:id="2208" w:name="section_49537dee2826428a984e70e8d44af015"/>
      <w:bookmarkStart w:id="2209" w:name="_Toc69878877"/>
      <w:r>
        <w:t>Part</w:t>
      </w:r>
      <w:r>
        <w:t xml:space="preserve"> 1 Section 18.18.87, ST_UpdateLinks (Update Links Behavior Types)</w:t>
      </w:r>
      <w:bookmarkEnd w:id="2208"/>
      <w:bookmarkEnd w:id="2209"/>
      <w:r>
        <w:fldChar w:fldCharType="begin"/>
      </w:r>
      <w:r>
        <w:instrText xml:space="preserve"> XE "ST_UpdateLinks (Update Links Behavior Types)" </w:instrText>
      </w:r>
      <w:r>
        <w:fldChar w:fldCharType="end"/>
      </w:r>
    </w:p>
    <w:p w:rsidR="005F78FC" w:rsidRDefault="00B42EF3">
      <w:pPr>
        <w:pStyle w:val="Definition-Field"/>
      </w:pPr>
      <w:r>
        <w:t xml:space="preserve">a.   </w:t>
      </w:r>
      <w:r>
        <w:rPr>
          <w:i/>
        </w:rPr>
        <w:t>The standard requires that for the value of always the links are always updated without displaying an alert.</w:t>
      </w:r>
    </w:p>
    <w:p w:rsidR="005F78FC" w:rsidRDefault="00B42EF3">
      <w:pPr>
        <w:pStyle w:val="Definition-Field2"/>
      </w:pPr>
      <w:r>
        <w:t xml:space="preserve">Excel always displays </w:t>
      </w:r>
      <w:r>
        <w:t>an alert before updating the links.</w:t>
      </w:r>
    </w:p>
    <w:p w:rsidR="005F78FC" w:rsidRDefault="00B42EF3">
      <w:pPr>
        <w:pStyle w:val="Heading3"/>
      </w:pPr>
      <w:bookmarkStart w:id="2210" w:name="section_049a4e676f4c4025a8696fe7dec8f7e5"/>
      <w:bookmarkStart w:id="2211" w:name="_Toc69878878"/>
      <w:r>
        <w:t>Part 1 Section 18.18.89, ST_Visibility (Visibility Types)</w:t>
      </w:r>
      <w:bookmarkEnd w:id="2210"/>
      <w:bookmarkEnd w:id="2211"/>
      <w:r>
        <w:fldChar w:fldCharType="begin"/>
      </w:r>
      <w:r>
        <w:instrText xml:space="preserve"> XE "ST_Visibility (Visibility Types)" </w:instrText>
      </w:r>
      <w:r>
        <w:fldChar w:fldCharType="end"/>
      </w:r>
    </w:p>
    <w:p w:rsidR="005F78FC" w:rsidRDefault="00B42EF3">
      <w:pPr>
        <w:pStyle w:val="Definition-Field"/>
      </w:pPr>
      <w:r>
        <w:t xml:space="preserve">a.   </w:t>
      </w:r>
      <w:r>
        <w:rPr>
          <w:i/>
        </w:rPr>
        <w:t>The standard states this is about sheet visibility.</w:t>
      </w:r>
    </w:p>
    <w:p w:rsidR="005F78FC" w:rsidRDefault="00B42EF3">
      <w:pPr>
        <w:pStyle w:val="Definition-Field2"/>
      </w:pPr>
      <w:r>
        <w:lastRenderedPageBreak/>
        <w:t>Office uses this for workbook window visibility.</w:t>
      </w:r>
    </w:p>
    <w:p w:rsidR="005F78FC" w:rsidRDefault="00B42EF3">
      <w:pPr>
        <w:pStyle w:val="Heading3"/>
      </w:pPr>
      <w:bookmarkStart w:id="2212" w:name="section_a0b95db945994a7dae014cff87aa21f9"/>
      <w:bookmarkStart w:id="2213" w:name="_Toc69878879"/>
      <w:r>
        <w:t xml:space="preserve">Part 1 Section </w:t>
      </w:r>
      <w:r>
        <w:t>18.18.92, ST_WebSourceType (Web Source Type)</w:t>
      </w:r>
      <w:bookmarkEnd w:id="2212"/>
      <w:bookmarkEnd w:id="2213"/>
      <w:r>
        <w:fldChar w:fldCharType="begin"/>
      </w:r>
      <w:r>
        <w:instrText xml:space="preserve"> XE "ST_WebSourceType (Web Source Type)" </w:instrText>
      </w:r>
      <w:r>
        <w:fldChar w:fldCharType="end"/>
      </w:r>
    </w:p>
    <w:p w:rsidR="005F78FC" w:rsidRDefault="00B42EF3">
      <w:pPr>
        <w:pStyle w:val="Definition-Field"/>
      </w:pPr>
      <w:r>
        <w:t xml:space="preserve">a.   </w:t>
      </w:r>
      <w:r>
        <w:rPr>
          <w:i/>
        </w:rPr>
        <w:t>The standard states that the label value defines a label.</w:t>
      </w:r>
    </w:p>
    <w:p w:rsidR="005F78FC" w:rsidRDefault="00B42EF3">
      <w:pPr>
        <w:pStyle w:val="Definition-Field2"/>
      </w:pPr>
      <w:r>
        <w:t>Excel uses this value to define a named range of cells.</w:t>
      </w:r>
    </w:p>
    <w:p w:rsidR="005F78FC" w:rsidRDefault="00B42EF3">
      <w:pPr>
        <w:pStyle w:val="Definition-Field"/>
      </w:pPr>
      <w:r>
        <w:t xml:space="preserve">b.   </w:t>
      </w:r>
      <w:r>
        <w:rPr>
          <w:i/>
        </w:rPr>
        <w:t>The standard states that charts can be publi</w:t>
      </w:r>
      <w:r>
        <w:rPr>
          <w:i/>
        </w:rPr>
        <w:t>shed.</w:t>
      </w:r>
    </w:p>
    <w:p w:rsidR="005F78FC" w:rsidRDefault="00B42EF3">
      <w:pPr>
        <w:pStyle w:val="Definition-Field2"/>
      </w:pPr>
      <w:r>
        <w:t>Office does not allow charts to be published.</w:t>
      </w:r>
    </w:p>
    <w:p w:rsidR="005F78FC" w:rsidRDefault="00B42EF3">
      <w:pPr>
        <w:pStyle w:val="Heading3"/>
      </w:pPr>
      <w:bookmarkStart w:id="2214" w:name="section_054574864bf84e099d276f74fcf68562"/>
      <w:bookmarkStart w:id="2215" w:name="_Toc69878880"/>
      <w:r>
        <w:t>Part 1 Section 19.2.1.5, custShow (Custom Show)</w:t>
      </w:r>
      <w:bookmarkEnd w:id="2214"/>
      <w:bookmarkEnd w:id="2215"/>
      <w:r>
        <w:fldChar w:fldCharType="begin"/>
      </w:r>
      <w:r>
        <w:instrText xml:space="preserve"> XE "custShow (Custom Show)" </w:instrText>
      </w:r>
      <w:r>
        <w:fldChar w:fldCharType="end"/>
      </w:r>
    </w:p>
    <w:p w:rsidR="005F78FC" w:rsidRDefault="00B42EF3">
      <w:pPr>
        <w:pStyle w:val="Definition-Field"/>
      </w:pPr>
      <w:r>
        <w:t xml:space="preserve">a.   </w:t>
      </w:r>
      <w:r>
        <w:rPr>
          <w:i/>
        </w:rPr>
        <w:t>The standard states that the id attribute is a number that should be unique within the presentation.</w:t>
      </w:r>
    </w:p>
    <w:p w:rsidR="005F78FC" w:rsidRDefault="00B42EF3">
      <w:pPr>
        <w:pStyle w:val="Definition-Field2"/>
      </w:pPr>
      <w:r>
        <w:t>PowerPoint requires</w:t>
      </w:r>
      <w:r>
        <w:t xml:space="preserve"> that the id attribute shall be linked to one of the custom shows defined in the presentation's custShowLst element.</w:t>
      </w:r>
    </w:p>
    <w:p w:rsidR="005F78FC" w:rsidRDefault="00B42EF3">
      <w:pPr>
        <w:pStyle w:val="Heading3"/>
      </w:pPr>
      <w:bookmarkStart w:id="2216" w:name="section_41eb94ad9a8e4f7fb17eed9cc54b5fd7"/>
      <w:bookmarkStart w:id="2217" w:name="_Toc69878881"/>
      <w:r>
        <w:t>Part 1 Section 19.2.1.6, custShow (Custom Show)</w:t>
      </w:r>
      <w:bookmarkEnd w:id="2216"/>
      <w:bookmarkEnd w:id="2217"/>
      <w:r>
        <w:fldChar w:fldCharType="begin"/>
      </w:r>
      <w:r>
        <w:instrText xml:space="preserve"> XE "custShow (Custom Show)" </w:instrText>
      </w:r>
      <w:r>
        <w:fldChar w:fldCharType="end"/>
      </w:r>
    </w:p>
    <w:p w:rsidR="005F78FC" w:rsidRDefault="00B42EF3">
      <w:pPr>
        <w:pStyle w:val="Definition-Field"/>
      </w:pPr>
      <w:r>
        <w:t xml:space="preserve">a.   </w:t>
      </w:r>
      <w:r>
        <w:rPr>
          <w:i/>
        </w:rPr>
        <w:t>The standard states that the id attribute should be uni</w:t>
      </w:r>
      <w:r>
        <w:rPr>
          <w:i/>
        </w:rPr>
        <w:t>que among all the custom shows within the corresponding presentation.</w:t>
      </w:r>
    </w:p>
    <w:p w:rsidR="005F78FC" w:rsidRDefault="00B42EF3">
      <w:pPr>
        <w:pStyle w:val="Definition-Field2"/>
      </w:pPr>
      <w:r>
        <w:t>PowerPoint further uses consecutive values when writing out the id values.</w:t>
      </w:r>
    </w:p>
    <w:p w:rsidR="005F78FC" w:rsidRDefault="00B42EF3">
      <w:pPr>
        <w:pStyle w:val="Heading3"/>
      </w:pPr>
      <w:bookmarkStart w:id="2218" w:name="section_fb2ecab117a14552bac38df949321ba8"/>
      <w:bookmarkStart w:id="2219" w:name="_Toc69878882"/>
      <w:r>
        <w:t>Part 1 Section 19.2.1.10, embeddedFontLst (Embedded Font List)</w:t>
      </w:r>
      <w:bookmarkEnd w:id="2218"/>
      <w:bookmarkEnd w:id="2219"/>
      <w:r>
        <w:fldChar w:fldCharType="begin"/>
      </w:r>
      <w:r>
        <w:instrText xml:space="preserve"> XE "embeddedFontLst (Embedded Font List)" </w:instrText>
      </w:r>
      <w:r>
        <w:fldChar w:fldCharType="end"/>
      </w:r>
    </w:p>
    <w:p w:rsidR="005F78FC" w:rsidRDefault="00B42EF3">
      <w:pPr>
        <w:pStyle w:val="Definition-Field"/>
      </w:pPr>
      <w:r>
        <w:t xml:space="preserve">a. </w:t>
      </w:r>
      <w:r>
        <w:t xml:space="preserve">  </w:t>
      </w:r>
      <w:r>
        <w:rPr>
          <w:i/>
        </w:rPr>
        <w:t>The standard states that the font data is referenced within the embeddedFont element.</w:t>
      </w:r>
    </w:p>
    <w:p w:rsidR="005F78FC" w:rsidRDefault="00B42EF3">
      <w:pPr>
        <w:pStyle w:val="Definition-Field2"/>
      </w:pPr>
      <w:r>
        <w:t>PowerPoint further requires that the typeface of each embeddedFont element shall be unique.</w:t>
      </w:r>
    </w:p>
    <w:p w:rsidR="005F78FC" w:rsidRDefault="00B42EF3">
      <w:pPr>
        <w:pStyle w:val="Definition-Field"/>
      </w:pPr>
      <w:r>
        <w:t xml:space="preserve">b.   </w:t>
      </w:r>
      <w:r>
        <w:rPr>
          <w:i/>
        </w:rPr>
        <w:t>The standard states that the embeddedFontLst element specifies a list o</w:t>
      </w:r>
      <w:r>
        <w:rPr>
          <w:i/>
        </w:rPr>
        <w:t>f fonts that are embedded within the corresponding presentation.</w:t>
      </w:r>
    </w:p>
    <w:p w:rsidR="005F78FC" w:rsidRDefault="00B42EF3">
      <w:pPr>
        <w:pStyle w:val="Definition-Field2"/>
      </w:pPr>
      <w:r>
        <w:t>PowerPoint further requires that all of the fonts specified in this list shall be used in this presentation.</w:t>
      </w:r>
    </w:p>
    <w:p w:rsidR="005F78FC" w:rsidRDefault="00B42EF3">
      <w:pPr>
        <w:pStyle w:val="Heading3"/>
      </w:pPr>
      <w:bookmarkStart w:id="2220" w:name="section_5d37fa53ccfe40c2b255c6aecc584a0f"/>
      <w:bookmarkStart w:id="2221" w:name="_Toc69878883"/>
      <w:r>
        <w:t>Part 1 Section 19.2.1.11, ext (Extension)</w:t>
      </w:r>
      <w:bookmarkEnd w:id="2220"/>
      <w:bookmarkEnd w:id="2221"/>
      <w:r>
        <w:fldChar w:fldCharType="begin"/>
      </w:r>
      <w:r>
        <w:instrText xml:space="preserve"> XE "ext (Extension)" </w:instrText>
      </w:r>
      <w:r>
        <w:fldChar w:fldCharType="end"/>
      </w:r>
    </w:p>
    <w:p w:rsidR="005F78FC" w:rsidRDefault="00B42EF3">
      <w:pPr>
        <w:pStyle w:val="Definition-Field"/>
      </w:pPr>
      <w:r>
        <w:t xml:space="preserve">a.   </w:t>
      </w:r>
      <w:r>
        <w:rPr>
          <w:i/>
        </w:rPr>
        <w:t>The standar</w:t>
      </w:r>
      <w:r>
        <w:rPr>
          <w:i/>
        </w:rPr>
        <w:t>d implies that the uri attribute is optional.</w:t>
      </w:r>
    </w:p>
    <w:p w:rsidR="005F78FC" w:rsidRDefault="00B42EF3">
      <w:pPr>
        <w:pStyle w:val="Definition-Field2"/>
      </w:pPr>
      <w:r>
        <w:t>PowerPoint requires the uri attribute.</w:t>
      </w:r>
    </w:p>
    <w:p w:rsidR="005F78FC" w:rsidRDefault="00B42EF3">
      <w:pPr>
        <w:pStyle w:val="Heading3"/>
      </w:pPr>
      <w:bookmarkStart w:id="2222" w:name="section_2799f9b3d0b84e5f949480ecda8934e7"/>
      <w:bookmarkStart w:id="2223" w:name="_Toc69878884"/>
      <w:r>
        <w:t>Part 1 Section 19.2.1.13, font (Embedded Font Name)</w:t>
      </w:r>
      <w:bookmarkEnd w:id="2222"/>
      <w:bookmarkEnd w:id="2223"/>
      <w:r>
        <w:fldChar w:fldCharType="begin"/>
      </w:r>
      <w:r>
        <w:instrText xml:space="preserve"> XE "font (Embedded Font Name)" </w:instrText>
      </w:r>
      <w:r>
        <w:fldChar w:fldCharType="end"/>
      </w:r>
    </w:p>
    <w:p w:rsidR="005F78FC" w:rsidRDefault="00B42EF3">
      <w:pPr>
        <w:pStyle w:val="Definition-Field2"/>
      </w:pPr>
      <w:r>
        <w:rPr>
          <w:i/>
        </w:rPr>
        <w:t>For additional notes that apply to this portion of the standard, please see the notes</w:t>
      </w:r>
      <w:r>
        <w:rPr>
          <w:i/>
        </w:rPr>
        <w:t xml:space="preserve"> for </w:t>
      </w:r>
      <w:hyperlink w:anchor="Section_e6784cb715474ee5addc730cac8b4d00">
        <w:r>
          <w:rPr>
            <w:rStyle w:val="Hyperlink"/>
          </w:rPr>
          <w:t>latin, §21.1.2.3.7(a-d)</w:t>
        </w:r>
      </w:hyperlink>
      <w:r>
        <w:rPr>
          <w:i/>
        </w:rPr>
        <w:t>.</w:t>
      </w:r>
    </w:p>
    <w:p w:rsidR="005F78FC" w:rsidRDefault="00B42EF3">
      <w:pPr>
        <w:pStyle w:val="Heading3"/>
      </w:pPr>
      <w:bookmarkStart w:id="2224" w:name="section_c02a5399b3584f4e8e42ad4fbb0e5261"/>
      <w:bookmarkStart w:id="2225" w:name="_Toc69878885"/>
      <w:r>
        <w:t>Part 1 Section 19.2.1.17, kinsoku (Kinsoku Settings)</w:t>
      </w:r>
      <w:bookmarkEnd w:id="2224"/>
      <w:bookmarkEnd w:id="2225"/>
      <w:r>
        <w:fldChar w:fldCharType="begin"/>
      </w:r>
      <w:r>
        <w:instrText xml:space="preserve"> XE "kinsoku (Kinsoku Settings)" </w:instrText>
      </w:r>
      <w:r>
        <w:fldChar w:fldCharType="end"/>
      </w:r>
    </w:p>
    <w:p w:rsidR="005F78FC" w:rsidRDefault="00B42EF3">
      <w:pPr>
        <w:pStyle w:val="Definition-Field"/>
      </w:pPr>
      <w:r>
        <w:t xml:space="preserve">a.   </w:t>
      </w:r>
      <w:r>
        <w:rPr>
          <w:i/>
        </w:rPr>
        <w:t>The standard does not specify which values of the lang attribute repre</w:t>
      </w:r>
      <w:r>
        <w:rPr>
          <w:i/>
        </w:rPr>
        <w:t>sent valid East Asian languages.</w:t>
      </w:r>
    </w:p>
    <w:p w:rsidR="005F78FC" w:rsidRDefault="00B42EF3">
      <w:r>
        <w:t>In PowerPoint, the value for the lang attribute must be one of the following:</w:t>
      </w:r>
    </w:p>
    <w:tbl>
      <w:tblPr>
        <w:tblStyle w:val="Table-ShadedHeader"/>
        <w:tblW w:w="0" w:type="auto"/>
        <w:tblLook w:val="04A0" w:firstRow="1" w:lastRow="0" w:firstColumn="1" w:lastColumn="0" w:noHBand="0" w:noVBand="1"/>
      </w:tblPr>
      <w:tblGrid>
        <w:gridCol w:w="734"/>
        <w:gridCol w:w="8741"/>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lastRenderedPageBreak/>
              <w:t>Value</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t>ja-jp</w:t>
            </w:r>
          </w:p>
        </w:tc>
        <w:tc>
          <w:tcPr>
            <w:tcW w:w="0" w:type="auto"/>
            <w:vAlign w:val="center"/>
          </w:tcPr>
          <w:p w:rsidR="005F78FC" w:rsidRDefault="00B42EF3">
            <w:pPr>
              <w:pStyle w:val="TableBodyText"/>
            </w:pPr>
            <w:r>
              <w:t xml:space="preserve">Japanese.  Specifies that the settings apply to runs of text with the </w:t>
            </w:r>
            <w:r>
              <w:rPr>
                <w:b/>
              </w:rPr>
              <w:t>langId</w:t>
            </w:r>
            <w:r>
              <w:t xml:space="preserve"> attribute of the </w:t>
            </w:r>
            <w:r>
              <w:rPr>
                <w:b/>
              </w:rPr>
              <w:t>rPr</w:t>
            </w:r>
            <w:r>
              <w:t xml:space="preserve"> element ("</w:t>
            </w:r>
            <w:hyperlink r:id="rId154">
              <w:r>
                <w:rPr>
                  <w:rStyle w:val="Hyperlink"/>
                </w:rPr>
                <w:t>[ISO/IEC-29500-1]</w:t>
              </w:r>
            </w:hyperlink>
            <w:r>
              <w:t xml:space="preserve"> §21.1.2.3.9; rPr") equal to ja-jp (Japanese).</w:t>
            </w:r>
          </w:p>
        </w:tc>
      </w:tr>
      <w:tr w:rsidR="005F78FC" w:rsidTr="005F78FC">
        <w:tc>
          <w:tcPr>
            <w:tcW w:w="0" w:type="auto"/>
            <w:vAlign w:val="center"/>
          </w:tcPr>
          <w:p w:rsidR="005F78FC" w:rsidRDefault="00B42EF3">
            <w:pPr>
              <w:pStyle w:val="TableBodyText"/>
            </w:pPr>
            <w:r>
              <w:t>ko-kr</w:t>
            </w:r>
          </w:p>
        </w:tc>
        <w:tc>
          <w:tcPr>
            <w:tcW w:w="0" w:type="auto"/>
            <w:vAlign w:val="center"/>
          </w:tcPr>
          <w:p w:rsidR="005F78FC" w:rsidRDefault="00B42EF3">
            <w:pPr>
              <w:pStyle w:val="TableBodyText"/>
            </w:pPr>
            <w:r>
              <w:t xml:space="preserve">Korean.  Specifies that the settings apply to runs of text with the </w:t>
            </w:r>
            <w:r>
              <w:rPr>
                <w:b/>
              </w:rPr>
              <w:t>langId</w:t>
            </w:r>
            <w:r>
              <w:t xml:space="preserve"> attribute of the </w:t>
            </w:r>
            <w:r>
              <w:rPr>
                <w:b/>
              </w:rPr>
              <w:t>rPr</w:t>
            </w:r>
            <w:r>
              <w:t xml:space="preserve"> element ("[ISO/IEC-29500-</w:t>
            </w:r>
            <w:r>
              <w:t>1] §21.1.2.3.9; rPr") equal to ko-kr (Korean).</w:t>
            </w:r>
          </w:p>
        </w:tc>
      </w:tr>
      <w:tr w:rsidR="005F78FC" w:rsidTr="005F78FC">
        <w:tc>
          <w:tcPr>
            <w:tcW w:w="0" w:type="auto"/>
            <w:vAlign w:val="center"/>
          </w:tcPr>
          <w:p w:rsidR="005F78FC" w:rsidRDefault="00B42EF3">
            <w:pPr>
              <w:pStyle w:val="TableBodyText"/>
            </w:pPr>
            <w:r>
              <w:t>zh-cn</w:t>
            </w:r>
          </w:p>
        </w:tc>
        <w:tc>
          <w:tcPr>
            <w:tcW w:w="0" w:type="auto"/>
            <w:vAlign w:val="center"/>
          </w:tcPr>
          <w:p w:rsidR="005F78FC" w:rsidRDefault="00B42EF3">
            <w:pPr>
              <w:pStyle w:val="TableBodyText"/>
            </w:pPr>
            <w:r>
              <w:t xml:space="preserve">Chinese (Simplified).  Specifies that the settings apply to runs of text with the </w:t>
            </w:r>
            <w:r>
              <w:rPr>
                <w:b/>
              </w:rPr>
              <w:t>langId</w:t>
            </w:r>
            <w:r>
              <w:t xml:space="preserve"> attribute of the </w:t>
            </w:r>
            <w:r>
              <w:rPr>
                <w:b/>
              </w:rPr>
              <w:t>rPr</w:t>
            </w:r>
            <w:r>
              <w:t xml:space="preserve"> element ("[ISO/IEC-29500-1] §21.1.2.3.9; rPr") equal to one of the following:</w:t>
            </w:r>
          </w:p>
          <w:p w:rsidR="005F78FC" w:rsidRDefault="00B42EF3">
            <w:pPr>
              <w:pStyle w:val="TableBodyText"/>
            </w:pPr>
            <w:r>
              <w:t>zh-cn (Chinese</w:t>
            </w:r>
            <w:r>
              <w:t xml:space="preserve"> - People's Republic of China)</w:t>
            </w:r>
          </w:p>
          <w:p w:rsidR="005F78FC" w:rsidRDefault="00B42EF3">
            <w:pPr>
              <w:pStyle w:val="TableBodyText"/>
            </w:pPr>
            <w:r>
              <w:t>zh-sg (Chinese - Singapore)</w:t>
            </w:r>
          </w:p>
          <w:p w:rsidR="005F78FC" w:rsidRDefault="00B42EF3">
            <w:pPr>
              <w:pStyle w:val="TableBodyText"/>
            </w:pPr>
            <w:r>
              <w:t>ii-cn (Yi)</w:t>
            </w:r>
          </w:p>
        </w:tc>
      </w:tr>
      <w:tr w:rsidR="005F78FC" w:rsidTr="005F78FC">
        <w:tc>
          <w:tcPr>
            <w:tcW w:w="0" w:type="auto"/>
            <w:vAlign w:val="center"/>
          </w:tcPr>
          <w:p w:rsidR="005F78FC" w:rsidRDefault="00B42EF3">
            <w:pPr>
              <w:pStyle w:val="TableBodyText"/>
            </w:pPr>
            <w:r>
              <w:t>zh-tw</w:t>
            </w:r>
          </w:p>
        </w:tc>
        <w:tc>
          <w:tcPr>
            <w:tcW w:w="0" w:type="auto"/>
            <w:vAlign w:val="center"/>
          </w:tcPr>
          <w:p w:rsidR="005F78FC" w:rsidRDefault="00B42EF3">
            <w:pPr>
              <w:pStyle w:val="TableBodyText"/>
            </w:pPr>
            <w:r>
              <w:t xml:space="preserve">Chinese (Traditional).  Specifies that the settings apply to runs of text with the </w:t>
            </w:r>
            <w:r>
              <w:rPr>
                <w:b/>
              </w:rPr>
              <w:t>langId</w:t>
            </w:r>
            <w:r>
              <w:t xml:space="preserve"> attribute of the </w:t>
            </w:r>
            <w:r>
              <w:rPr>
                <w:b/>
              </w:rPr>
              <w:t>rPr</w:t>
            </w:r>
            <w:r>
              <w:t xml:space="preserve"> element ("[ISO/IEC-29500-1]</w:t>
            </w:r>
            <w:r>
              <w:t xml:space="preserve"> §21.1.2.3.9; rPr") equal to one of the following:</w:t>
            </w:r>
          </w:p>
          <w:p w:rsidR="005F78FC" w:rsidRDefault="00B42EF3">
            <w:pPr>
              <w:pStyle w:val="TableBodyText"/>
            </w:pPr>
            <w:r>
              <w:t>zh-tw (Chinese - Taiwan)</w:t>
            </w:r>
          </w:p>
          <w:p w:rsidR="005F78FC" w:rsidRDefault="00B42EF3">
            <w:pPr>
              <w:pStyle w:val="TableBodyText"/>
            </w:pPr>
            <w:r>
              <w:t>zh-hk (Chinese - Hong Kong SAR)</w:t>
            </w:r>
          </w:p>
          <w:p w:rsidR="005F78FC" w:rsidRDefault="00B42EF3">
            <w:pPr>
              <w:pStyle w:val="TableBodyText"/>
            </w:pPr>
            <w:r>
              <w:t>zh-mo (Chinese - Macao SAR)</w:t>
            </w:r>
          </w:p>
        </w:tc>
      </w:tr>
    </w:tbl>
    <w:p w:rsidR="005F78FC" w:rsidRDefault="005F78FC"/>
    <w:p w:rsidR="005F78FC" w:rsidRDefault="00B42EF3">
      <w:r>
        <w:t>The value is case insensitive.</w:t>
      </w:r>
    </w:p>
    <w:p w:rsidR="005F78FC" w:rsidRDefault="00B42EF3">
      <w:pPr>
        <w:pStyle w:val="Heading3"/>
      </w:pPr>
      <w:bookmarkStart w:id="2226" w:name="section_236b7423470948f98b928617074bb197"/>
      <w:bookmarkStart w:id="2227" w:name="_Toc69878886"/>
      <w:r>
        <w:t>Part 1 Section 19.2.1.19, modifyVerifier (Modification Verifier)</w:t>
      </w:r>
      <w:bookmarkEnd w:id="2226"/>
      <w:bookmarkEnd w:id="2227"/>
      <w:r>
        <w:fldChar w:fldCharType="begin"/>
      </w:r>
      <w:r>
        <w:instrText xml:space="preserve"> XE "modifyVerifier (Modification Verifier)" </w:instrText>
      </w:r>
      <w:r>
        <w:fldChar w:fldCharType="end"/>
      </w:r>
    </w:p>
    <w:p w:rsidR="005F78FC" w:rsidRDefault="00B42EF3">
      <w:pPr>
        <w:pStyle w:val="Definition-Field"/>
      </w:pPr>
      <w:r>
        <w:t xml:space="preserve">a.   </w:t>
      </w:r>
      <w:r>
        <w:rPr>
          <w:i/>
        </w:rPr>
        <w:t>The standard states that the algIdExt attribute specifies that a cryptographic algorithm not defined in the standard has been used to generate the hash value stored with the document.</w:t>
      </w:r>
    </w:p>
    <w:p w:rsidR="005F78FC" w:rsidRDefault="00B42EF3">
      <w:pPr>
        <w:pStyle w:val="Definition-Field2"/>
      </w:pPr>
      <w:r>
        <w:t xml:space="preserve">PowerPoint further </w:t>
      </w:r>
      <w:r>
        <w:t>requires that the algIdExt attribute specifies a hashing algorithm which is implemented by a CryptoAPI provider, and if the algIdExt attribute is used, the cryptProviderTypeExt attribute shall specify the provider.</w:t>
      </w:r>
    </w:p>
    <w:p w:rsidR="005F78FC" w:rsidRDefault="00B42EF3">
      <w:pPr>
        <w:pStyle w:val="Definition-Field"/>
      </w:pPr>
      <w:r>
        <w:t xml:space="preserve">b.   </w:t>
      </w:r>
      <w:r>
        <w:rPr>
          <w:i/>
        </w:rPr>
        <w:t xml:space="preserve">The standard describes the hashData </w:t>
      </w:r>
      <w:r>
        <w:rPr>
          <w:i/>
        </w:rPr>
        <w:t>attribute as the hash value for the password stored within the document.</w:t>
      </w:r>
    </w:p>
    <w:p w:rsidR="005F78FC" w:rsidRDefault="00B42EF3">
      <w:r>
        <w:t>In Office, the hashData value is the Base64 encoded representation of the binary hashing algorithm output, which is calculated as follows:</w:t>
      </w:r>
    </w:p>
    <w:p w:rsidR="005F78FC" w:rsidRDefault="00B42EF3">
      <w:r>
        <w:t>H[init] = H(password, salt)</w:t>
      </w:r>
    </w:p>
    <w:p w:rsidR="005F78FC" w:rsidRDefault="00B42EF3">
      <w:r>
        <w:t>Followed by spin</w:t>
      </w:r>
      <w:r>
        <w:t>Count cycles where:</w:t>
      </w:r>
    </w:p>
    <w:p w:rsidR="005F78FC" w:rsidRDefault="00B42EF3">
      <w:r>
        <w:t>H[n] = H(H[n-1], count)</w:t>
      </w:r>
    </w:p>
    <w:p w:rsidR="005F78FC" w:rsidRDefault="00B42EF3">
      <w:r>
        <w:t>Count shall begin with 0x0 and is expressed as a little-endian 32-bit integer. The initial hashing operation shall not be included in count.</w:t>
      </w:r>
    </w:p>
    <w:p w:rsidR="005F78FC" w:rsidRDefault="00B42EF3">
      <w:pPr>
        <w:pStyle w:val="Definition-Field"/>
      </w:pPr>
      <w:r>
        <w:t xml:space="preserve">c.   </w:t>
      </w:r>
      <w:r>
        <w:rPr>
          <w:i/>
        </w:rPr>
        <w:t>The standard states that the saltData attribute is a random string</w:t>
      </w:r>
      <w:r>
        <w:rPr>
          <w:i/>
        </w:rPr>
        <w:t>.</w:t>
      </w:r>
    </w:p>
    <w:p w:rsidR="005F78FC" w:rsidRDefault="00B42EF3">
      <w:pPr>
        <w:pStyle w:val="Definition-Field2"/>
      </w:pPr>
      <w:r>
        <w:t>PowerPoint defines the saltData attribute as random base 64-encoded data (typically 16 bytes), and the binary form of this attribute (not the base 64-encoded version) is used by the hashing algorithm.</w:t>
      </w:r>
    </w:p>
    <w:p w:rsidR="005F78FC" w:rsidRDefault="00B42EF3">
      <w:pPr>
        <w:pStyle w:val="Definition-Field"/>
      </w:pPr>
      <w:r>
        <w:t xml:space="preserve">d.   </w:t>
      </w:r>
      <w:r>
        <w:rPr>
          <w:i/>
        </w:rPr>
        <w:t>The standard specifies that the spinCount attrib</w:t>
      </w:r>
      <w:r>
        <w:rPr>
          <w:i/>
        </w:rPr>
        <w:t>ute specifies the number of times the hashing function shall be iteratively run when attempting to compare a user-supplied password with the value stored in the hashData attribute.</w:t>
      </w:r>
    </w:p>
    <w:p w:rsidR="005F78FC" w:rsidRDefault="00B42EF3">
      <w:pPr>
        <w:pStyle w:val="Definition-Field2"/>
      </w:pPr>
      <w:r>
        <w:t xml:space="preserve">PowerPoint does not include the initial hash of the password with the salt </w:t>
      </w:r>
      <w:r>
        <w:t>in this count.</w:t>
      </w:r>
    </w:p>
    <w:p w:rsidR="005F78FC" w:rsidRDefault="00B42EF3">
      <w:pPr>
        <w:pStyle w:val="Definition-Field"/>
      </w:pPr>
      <w:r>
        <w:lastRenderedPageBreak/>
        <w:t xml:space="preserve">e.   </w:t>
      </w:r>
      <w:r>
        <w:rPr>
          <w:i/>
        </w:rPr>
        <w:t>The standard lists several possible values for the cryptAlgorithmSid attribute.</w:t>
      </w:r>
    </w:p>
    <w:p w:rsidR="005F78FC" w:rsidRDefault="00B42EF3">
      <w:pPr>
        <w:pStyle w:val="Definition-Field2"/>
      </w:pPr>
      <w:r>
        <w:t>PowerPoint only uses values 1, 2, 3, 4, 12, 13, and 14.</w:t>
      </w:r>
    </w:p>
    <w:p w:rsidR="005F78FC" w:rsidRDefault="00B42EF3">
      <w:pPr>
        <w:pStyle w:val="Definition-Field"/>
      </w:pPr>
      <w:r>
        <w:t xml:space="preserve">f.   </w:t>
      </w:r>
      <w:r>
        <w:rPr>
          <w:i/>
        </w:rPr>
        <w:t>The standard states that this setting uses a specific set of attributes to store the password h</w:t>
      </w:r>
      <w:r>
        <w:rPr>
          <w:i/>
        </w:rPr>
        <w:t>ash.</w:t>
      </w:r>
    </w:p>
    <w:p w:rsidR="005F78FC" w:rsidRDefault="00B42EF3">
      <w:r>
        <w:t>In Office, when the HKCU/Software/Microsoft/Office/&lt;VERSION&gt;/Common/Security/UseIsoPasswordVerifier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Name</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rPr>
                <w:b/>
              </w:rPr>
              <w:t xml:space="preserve">algorithm </w:t>
            </w:r>
            <w:r>
              <w:rPr>
                <w:b/>
              </w:rPr>
              <w:t>Name</w:t>
            </w:r>
          </w:p>
        </w:tc>
        <w:tc>
          <w:tcPr>
            <w:tcW w:w="0" w:type="auto"/>
            <w:vAlign w:val="center"/>
          </w:tcPr>
          <w:p w:rsidR="005F78FC" w:rsidRDefault="00B42EF3">
            <w:pPr>
              <w:pStyle w:val="TableBodyText"/>
            </w:pPr>
            <w:r>
              <w:t>The name of the cryptographic hashing algorithm used to generate the hash value. Only those algorithms that are installed in the operating system’s cryptographic subsystem can be utilized by Office.</w:t>
            </w:r>
          </w:p>
          <w:p w:rsidR="005F78FC" w:rsidRDefault="005F78FC">
            <w:pPr>
              <w:pStyle w:val="TableBodyText"/>
            </w:pPr>
          </w:p>
          <w:p w:rsidR="005F78FC" w:rsidRDefault="00B42EF3">
            <w:pPr>
              <w:pStyle w:val="TableBodyText"/>
            </w:pPr>
            <w:r>
              <w:t>The following hash algorithm names are reserved:</w:t>
            </w:r>
          </w:p>
          <w:p w:rsidR="005F78FC" w:rsidRDefault="005F78FC">
            <w:pPr>
              <w:pStyle w:val="TableBodyText"/>
            </w:pPr>
          </w:p>
          <w:p w:rsidR="005F78FC" w:rsidRDefault="00B42EF3">
            <w:pPr>
              <w:pStyle w:val="TableBodyText"/>
            </w:pPr>
            <w:r>
              <w:rPr>
                <w:b/>
                <w:i/>
              </w:rPr>
              <w:t>M</w:t>
            </w:r>
            <w:r>
              <w:rPr>
                <w:b/>
                <w:i/>
              </w:rPr>
              <w:t>D2</w:t>
            </w:r>
          </w:p>
          <w:p w:rsidR="005F78FC" w:rsidRDefault="00B42EF3">
            <w:pPr>
              <w:pStyle w:val="TableBodyText"/>
            </w:pPr>
            <w:r>
              <w:rPr>
                <w:i/>
              </w:rPr>
              <w:t>Specifies that the MD2 algorithm, as defined by RFC 1319, shall be used.</w:t>
            </w:r>
          </w:p>
          <w:p w:rsidR="005F78FC" w:rsidRDefault="005F78FC">
            <w:pPr>
              <w:pStyle w:val="TableBodyText"/>
            </w:pPr>
          </w:p>
          <w:p w:rsidR="005F78FC" w:rsidRDefault="00B42EF3">
            <w:pPr>
              <w:pStyle w:val="TableBodyText"/>
            </w:pPr>
            <w:r>
              <w:rPr>
                <w:i/>
              </w:rPr>
              <w:t>[Note: It is recommended that applications should avoid using this algorithm to store new hash values, because of publicly known breaks. end note]</w:t>
            </w:r>
          </w:p>
          <w:p w:rsidR="005F78FC" w:rsidRDefault="00B42EF3">
            <w:pPr>
              <w:pStyle w:val="TableBodyText"/>
            </w:pPr>
            <w:r>
              <w:rPr>
                <w:b/>
                <w:i/>
              </w:rPr>
              <w:t xml:space="preserve">MD4 </w:t>
            </w:r>
          </w:p>
          <w:p w:rsidR="005F78FC" w:rsidRDefault="00B42EF3">
            <w:pPr>
              <w:pStyle w:val="TableBodyText"/>
            </w:pPr>
            <w:r>
              <w:rPr>
                <w:i/>
              </w:rPr>
              <w:t>Specifies that the MD4 algo</w:t>
            </w:r>
            <w:r>
              <w:rPr>
                <w:i/>
              </w:rPr>
              <w:t>rithm, as defined by RFC 1320, shall be used.</w:t>
            </w:r>
          </w:p>
          <w:p w:rsidR="005F78FC" w:rsidRDefault="005F78FC">
            <w:pPr>
              <w:pStyle w:val="TableBodyText"/>
            </w:pPr>
          </w:p>
          <w:p w:rsidR="005F78FC" w:rsidRDefault="00B42EF3">
            <w:pPr>
              <w:pStyle w:val="TableBodyText"/>
            </w:pPr>
            <w:r>
              <w:rPr>
                <w:i/>
              </w:rPr>
              <w:t>[Note: It is recommended that applications should avoid using this algorithm to store new hash values, because of publicly known breaks. end note]</w:t>
            </w:r>
          </w:p>
          <w:p w:rsidR="005F78FC" w:rsidRDefault="00B42EF3">
            <w:pPr>
              <w:pStyle w:val="TableBodyText"/>
            </w:pPr>
            <w:r>
              <w:rPr>
                <w:b/>
                <w:i/>
              </w:rPr>
              <w:t>MD5</w:t>
            </w:r>
          </w:p>
          <w:p w:rsidR="005F78FC" w:rsidRDefault="00B42EF3">
            <w:pPr>
              <w:pStyle w:val="TableBodyText"/>
            </w:pPr>
            <w:r>
              <w:rPr>
                <w:i/>
              </w:rPr>
              <w:t xml:space="preserve">Specifies that the MD5 algorithm, as defined by RFC 1321, </w:t>
            </w:r>
            <w:r>
              <w:rPr>
                <w:i/>
              </w:rPr>
              <w:t>shall be used.</w:t>
            </w:r>
          </w:p>
          <w:p w:rsidR="005F78FC" w:rsidRDefault="005F78FC">
            <w:pPr>
              <w:pStyle w:val="TableBodyText"/>
            </w:pPr>
          </w:p>
          <w:p w:rsidR="005F78FC" w:rsidRDefault="00B42EF3">
            <w:pPr>
              <w:pStyle w:val="TableBodyText"/>
            </w:pPr>
            <w:r>
              <w:rPr>
                <w:i/>
              </w:rPr>
              <w:t>[Note: It is recommended that applications should avoid using this algorithm to store new hash values, because of publicly known breaks. end note]</w:t>
            </w:r>
          </w:p>
          <w:p w:rsidR="005F78FC" w:rsidRDefault="00B42EF3">
            <w:pPr>
              <w:pStyle w:val="TableBodyText"/>
            </w:pPr>
            <w:r>
              <w:rPr>
                <w:b/>
                <w:i/>
              </w:rPr>
              <w:t>RIPEMD-128</w:t>
            </w:r>
          </w:p>
          <w:p w:rsidR="005F78FC" w:rsidRDefault="00B42EF3">
            <w:pPr>
              <w:pStyle w:val="TableBodyText"/>
            </w:pPr>
            <w:r>
              <w:rPr>
                <w:i/>
              </w:rPr>
              <w:t xml:space="preserve">Specifies that the RIPEMD-128 algorithm, as defined by ISO/IEC 10118-3:2004 shall </w:t>
            </w:r>
            <w:r>
              <w:rPr>
                <w:i/>
              </w:rPr>
              <w:t>be used.</w:t>
            </w:r>
          </w:p>
          <w:p w:rsidR="005F78FC" w:rsidRDefault="005F78FC">
            <w:pPr>
              <w:pStyle w:val="TableBodyText"/>
            </w:pPr>
          </w:p>
          <w:p w:rsidR="005F78FC" w:rsidRDefault="00B42EF3">
            <w:pPr>
              <w:pStyle w:val="TableBodyText"/>
            </w:pPr>
            <w:r>
              <w:rPr>
                <w:i/>
              </w:rPr>
              <w:t>[Note: It is recommended that applications should avoid using this algorithm to store new hash values, because of publicly known breaks. end note]</w:t>
            </w:r>
          </w:p>
          <w:p w:rsidR="005F78FC" w:rsidRDefault="00B42EF3">
            <w:pPr>
              <w:pStyle w:val="TableBodyText"/>
            </w:pPr>
            <w:r>
              <w:rPr>
                <w:b/>
                <w:i/>
              </w:rPr>
              <w:t>RIPEMD-160</w:t>
            </w:r>
          </w:p>
          <w:p w:rsidR="005F78FC" w:rsidRDefault="00B42EF3">
            <w:pPr>
              <w:pStyle w:val="TableBodyText"/>
            </w:pPr>
            <w:r>
              <w:rPr>
                <w:i/>
              </w:rPr>
              <w:t xml:space="preserve">Specifies that the RIPEMD-160 algorithm, as defined by ISO/IEC 10118-3:2004, shall be </w:t>
            </w:r>
            <w:r>
              <w:rPr>
                <w:i/>
              </w:rPr>
              <w:t>used.</w:t>
            </w:r>
          </w:p>
          <w:p w:rsidR="005F78FC" w:rsidRDefault="00B42EF3">
            <w:pPr>
              <w:pStyle w:val="TableBodyText"/>
            </w:pPr>
            <w:r>
              <w:rPr>
                <w:b/>
                <w:i/>
              </w:rPr>
              <w:t>SHA-1</w:t>
            </w:r>
          </w:p>
          <w:p w:rsidR="005F78FC" w:rsidRDefault="00B42EF3">
            <w:pPr>
              <w:pStyle w:val="TableBodyText"/>
            </w:pPr>
            <w:r>
              <w:rPr>
                <w:i/>
              </w:rPr>
              <w:t>Specifies that the SHA-1 algorithm, as defined by ISO/IEC 10118-3:2004, shall be used.</w:t>
            </w:r>
          </w:p>
          <w:p w:rsidR="005F78FC" w:rsidRDefault="00B42EF3">
            <w:pPr>
              <w:pStyle w:val="TableBodyText"/>
            </w:pPr>
            <w:r>
              <w:rPr>
                <w:b/>
                <w:i/>
              </w:rPr>
              <w:t>SHA-256</w:t>
            </w:r>
          </w:p>
          <w:p w:rsidR="005F78FC" w:rsidRDefault="00B42EF3">
            <w:pPr>
              <w:pStyle w:val="TableBodyText"/>
            </w:pPr>
            <w:r>
              <w:rPr>
                <w:i/>
              </w:rPr>
              <w:t>Specifies that the SHA-256 algorithm, as defined by ISO/IEC 10118-3:2004, shall be used.</w:t>
            </w:r>
          </w:p>
          <w:p w:rsidR="005F78FC" w:rsidRDefault="00B42EF3">
            <w:pPr>
              <w:pStyle w:val="TableBodyText"/>
            </w:pPr>
            <w:r>
              <w:rPr>
                <w:b/>
                <w:i/>
              </w:rPr>
              <w:t>SHA-384</w:t>
            </w:r>
          </w:p>
          <w:p w:rsidR="005F78FC" w:rsidRDefault="00B42EF3">
            <w:pPr>
              <w:pStyle w:val="TableBodyText"/>
            </w:pPr>
            <w:r>
              <w:rPr>
                <w:i/>
              </w:rPr>
              <w:t xml:space="preserve">Specifies that the SHA-384 algorithm, as defined by </w:t>
            </w:r>
            <w:r>
              <w:rPr>
                <w:i/>
              </w:rPr>
              <w:t>ISO/IEC 10118-3:2004, shall be used.</w:t>
            </w:r>
          </w:p>
          <w:p w:rsidR="005F78FC" w:rsidRDefault="00B42EF3">
            <w:pPr>
              <w:pStyle w:val="TableBodyText"/>
            </w:pPr>
            <w:r>
              <w:rPr>
                <w:b/>
                <w:i/>
              </w:rPr>
              <w:t>SHA-512</w:t>
            </w:r>
          </w:p>
          <w:p w:rsidR="005F78FC" w:rsidRDefault="00B42EF3">
            <w:pPr>
              <w:pStyle w:val="TableBodyText"/>
            </w:pPr>
            <w:r>
              <w:rPr>
                <w:i/>
              </w:rPr>
              <w:t>Specifies that the SHA-512 algorithm, as defined by ISO/IEC 10118-3:2004, shall be used.</w:t>
            </w:r>
          </w:p>
          <w:p w:rsidR="005F78FC" w:rsidRDefault="00B42EF3">
            <w:pPr>
              <w:pStyle w:val="TableBodyText"/>
            </w:pPr>
            <w:r>
              <w:rPr>
                <w:b/>
                <w:i/>
              </w:rPr>
              <w:t>WHIRLPOOL</w:t>
            </w:r>
          </w:p>
          <w:p w:rsidR="005F78FC" w:rsidRDefault="00B42EF3">
            <w:pPr>
              <w:pStyle w:val="TableBodyText"/>
            </w:pPr>
            <w:r>
              <w:rPr>
                <w:i/>
              </w:rPr>
              <w:t>Specifies that the WHIRLPOOL algorithm, as defined by ISO/IEC 10118-3:2004, shall be used.</w:t>
            </w:r>
          </w:p>
          <w:p w:rsidR="005F78FC" w:rsidRDefault="005F78FC">
            <w:pPr>
              <w:pStyle w:val="TableBodyText"/>
            </w:pPr>
          </w:p>
          <w:p w:rsidR="005F78FC" w:rsidRDefault="005F78FC">
            <w:pPr>
              <w:pStyle w:val="TableBodyText"/>
            </w:pPr>
          </w:p>
        </w:tc>
      </w:tr>
      <w:tr w:rsidR="005F78FC" w:rsidTr="005F78FC">
        <w:tc>
          <w:tcPr>
            <w:tcW w:w="0" w:type="auto"/>
            <w:vAlign w:val="center"/>
          </w:tcPr>
          <w:p w:rsidR="005F78FC" w:rsidRDefault="00B42EF3">
            <w:pPr>
              <w:pStyle w:val="TableBodyText"/>
            </w:pPr>
            <w:r>
              <w:rPr>
                <w:b/>
              </w:rPr>
              <w:lastRenderedPageBreak/>
              <w:t>hash Value</w:t>
            </w:r>
          </w:p>
        </w:tc>
        <w:tc>
          <w:tcPr>
            <w:tcW w:w="0" w:type="auto"/>
            <w:vAlign w:val="center"/>
          </w:tcPr>
          <w:p w:rsidR="005F78FC" w:rsidRDefault="00B42EF3">
            <w:pPr>
              <w:pStyle w:val="TableBodyText"/>
            </w:pPr>
            <w:r>
              <w:t>Specifi</w:t>
            </w:r>
            <w:r>
              <w:t xml:space="preserve">es the hash value for the password required to edit this presentation. This value shall be compared with the resulting hash value after hashing the user-supplied password using the algorithm specified by the preceding attributes and parent XML element. If </w:t>
            </w:r>
            <w:r>
              <w:t>the two values match, the protection shall no longer be enforced.</w:t>
            </w:r>
          </w:p>
          <w:p w:rsidR="005F78FC" w:rsidRDefault="005F78FC">
            <w:pPr>
              <w:pStyle w:val="TableBodyText"/>
            </w:pPr>
          </w:p>
          <w:p w:rsidR="005F78FC" w:rsidRDefault="00B42EF3">
            <w:pPr>
              <w:pStyle w:val="TableBodyText"/>
            </w:pPr>
            <w:r>
              <w:t>[</w:t>
            </w:r>
            <w:r>
              <w:rPr>
                <w:i/>
              </w:rPr>
              <w:t>Example</w:t>
            </w:r>
            <w:r>
              <w:t>: Consider an Office Open XML document with the following information stored in one of its protection elements:</w:t>
            </w:r>
          </w:p>
          <w:p w:rsidR="005F78FC" w:rsidRDefault="005F78FC">
            <w:pPr>
              <w:pStyle w:val="TableBodyText"/>
            </w:pPr>
          </w:p>
          <w:p w:rsidR="005F78FC" w:rsidRDefault="00B42EF3">
            <w:pPr>
              <w:pStyle w:val="TableBodyText"/>
            </w:pPr>
            <w:r>
              <w:t>&lt;… algorithmName="SHA-1" hashValue="9oN7nWkCAyEZib1RomSJTjmPpCY=" /&gt;</w:t>
            </w:r>
          </w:p>
          <w:p w:rsidR="005F78FC" w:rsidRDefault="005F78FC">
            <w:pPr>
              <w:pStyle w:val="TableBodyText"/>
            </w:pPr>
          </w:p>
          <w:p w:rsidR="005F78FC" w:rsidRDefault="00B42EF3">
            <w:pPr>
              <w:pStyle w:val="TableBodyText"/>
            </w:pPr>
            <w:r>
              <w:t>The hashValue attribute value of 9oN7nWkCAyEZib1RomSJTjmPpCY= specifies that the user-supplied password must be hashed using the pre-processing defined by the parent element (if any) followed by the hashing algorithm (specified via the algorithmName attr</w:t>
            </w:r>
            <w:r>
              <w:t xml:space="preserve">ibute value) and that the resulting hash value must be match for the protection to be disabled. </w:t>
            </w:r>
          </w:p>
          <w:p w:rsidR="005F78FC" w:rsidRDefault="00B42EF3">
            <w:pPr>
              <w:pStyle w:val="TableBodyText"/>
            </w:pPr>
            <w:r>
              <w:rPr>
                <w:i/>
              </w:rPr>
              <w:t>end example</w:t>
            </w:r>
            <w:r>
              <w:t>]</w:t>
            </w:r>
          </w:p>
          <w:p w:rsidR="005F78FC" w:rsidRDefault="005F78FC">
            <w:pPr>
              <w:pStyle w:val="TableBodyText"/>
            </w:pPr>
          </w:p>
          <w:p w:rsidR="005F78FC" w:rsidRDefault="00B42EF3">
            <w:pPr>
              <w:pStyle w:val="TableBodyText"/>
            </w:pPr>
            <w:r>
              <w:t>The possible values for this attribute are defined by the W3C XML Schema base64Binary datatype.</w:t>
            </w:r>
          </w:p>
        </w:tc>
      </w:tr>
      <w:tr w:rsidR="005F78FC" w:rsidTr="005F78FC">
        <w:tc>
          <w:tcPr>
            <w:tcW w:w="0" w:type="auto"/>
            <w:vAlign w:val="center"/>
          </w:tcPr>
          <w:p w:rsidR="005F78FC" w:rsidRDefault="00B42EF3">
            <w:pPr>
              <w:pStyle w:val="TableBodyText"/>
            </w:pPr>
            <w:r>
              <w:rPr>
                <w:b/>
              </w:rPr>
              <w:t>saltValue</w:t>
            </w:r>
          </w:p>
        </w:tc>
        <w:tc>
          <w:tcPr>
            <w:tcW w:w="0" w:type="auto"/>
            <w:vAlign w:val="center"/>
          </w:tcPr>
          <w:p w:rsidR="005F78FC" w:rsidRDefault="00B42EF3">
            <w:pPr>
              <w:pStyle w:val="TableBodyText"/>
            </w:pPr>
            <w:r>
              <w:t xml:space="preserve">Specifies the random bytes that are </w:t>
            </w:r>
            <w:r>
              <w:t>pre-pended to the user-supplied password before it was hashed by the hashing algorithm.</w:t>
            </w:r>
          </w:p>
        </w:tc>
      </w:tr>
      <w:tr w:rsidR="005F78FC" w:rsidTr="005F78FC">
        <w:tc>
          <w:tcPr>
            <w:tcW w:w="0" w:type="auto"/>
            <w:vAlign w:val="center"/>
          </w:tcPr>
          <w:p w:rsidR="005F78FC" w:rsidRDefault="00B42EF3">
            <w:pPr>
              <w:pStyle w:val="TableBodyText"/>
            </w:pPr>
            <w:r>
              <w:rPr>
                <w:b/>
              </w:rPr>
              <w:t>spinCount</w:t>
            </w:r>
          </w:p>
        </w:tc>
        <w:tc>
          <w:tcPr>
            <w:tcW w:w="0" w:type="auto"/>
            <w:vAlign w:val="center"/>
          </w:tcPr>
          <w:p w:rsidR="005F78FC" w:rsidRDefault="00B42EF3">
            <w:pPr>
              <w:pStyle w:val="TableBodyText"/>
            </w:pPr>
            <w:r>
              <w:t>Specifies the number of times the hashing function shall be iteratively run (using each iteration's result as the input for the next iteration).</w:t>
            </w:r>
          </w:p>
        </w:tc>
      </w:tr>
    </w:tbl>
    <w:p w:rsidR="005F78FC" w:rsidRDefault="005F78FC"/>
    <w:p w:rsidR="005F78FC" w:rsidRDefault="00B42EF3">
      <w:r>
        <w:t>[</w:t>
      </w:r>
      <w:r>
        <w:rPr>
          <w:i/>
        </w:rPr>
        <w:t>Example</w:t>
      </w:r>
      <w:r>
        <w:t xml:space="preserve">: </w:t>
      </w:r>
    </w:p>
    <w:p w:rsidR="005F78FC" w:rsidRDefault="00B42EF3">
      <w:r>
        <w:t>Consider an Office Open XML document with the following information stored in one of its protection elements:</w:t>
      </w:r>
    </w:p>
    <w:p w:rsidR="005F78FC" w:rsidRDefault="00B42EF3">
      <w:r>
        <w:t>&lt; … algorithmName="SHA-1" hashValue="9oN7nWkCAyEZib1RomSJTjmPpCY=" /&gt;</w:t>
      </w:r>
    </w:p>
    <w:p w:rsidR="005F78FC" w:rsidRDefault="00B42EF3">
      <w:r>
        <w:t>The algorithmName attribute value of SHA-1 specifies that the SHA-1 hashing</w:t>
      </w:r>
      <w:r>
        <w:t xml:space="preserve"> algorithm must be used to generate a hash from the user-defined password.</w:t>
      </w:r>
    </w:p>
    <w:p w:rsidR="005F78FC" w:rsidRDefault="00B42EF3">
      <w:r>
        <w:rPr>
          <w:i/>
        </w:rPr>
        <w:t>end example</w:t>
      </w:r>
      <w:r>
        <w:t>]</w:t>
      </w:r>
    </w:p>
    <w:p w:rsidR="005F78FC" w:rsidRDefault="00B42EF3">
      <w:pPr>
        <w:pStyle w:val="Heading3"/>
      </w:pPr>
      <w:bookmarkStart w:id="2228" w:name="section_9fa0cdca54df40ccb4b49952bca09eb5"/>
      <w:bookmarkStart w:id="2229" w:name="_Toc69878887"/>
      <w:r>
        <w:t>Part 1 Section 19.2.1.22, notesSz (Notes Slide Size)</w:t>
      </w:r>
      <w:bookmarkEnd w:id="2228"/>
      <w:bookmarkEnd w:id="2229"/>
      <w:r>
        <w:fldChar w:fldCharType="begin"/>
      </w:r>
      <w:r>
        <w:instrText xml:space="preserve"> XE "notesSz (Notes Slide Size)" </w:instrText>
      </w:r>
      <w:r>
        <w:fldChar w:fldCharType="end"/>
      </w:r>
    </w:p>
    <w:p w:rsidR="005F78FC" w:rsidRDefault="00B42EF3">
      <w:pPr>
        <w:pStyle w:val="Definition-Field"/>
      </w:pPr>
      <w:r>
        <w:t xml:space="preserve">a.   </w:t>
      </w:r>
      <w:r>
        <w:rPr>
          <w:i/>
        </w:rPr>
        <w:t xml:space="preserve">The standard states that the values of the cx attribute are defined by the </w:t>
      </w:r>
      <w:r>
        <w:rPr>
          <w:i/>
        </w:rPr>
        <w:t>ST_PositiveCoordinate simple type.</w:t>
      </w:r>
    </w:p>
    <w:p w:rsidR="005F78FC" w:rsidRDefault="00B42EF3">
      <w:pPr>
        <w:pStyle w:val="Definition-Field2"/>
      </w:pPr>
      <w:r>
        <w:t>PowerPoint defines the values of the cx attribute with the ST_SlideSizeCoordinate simple type.</w:t>
      </w:r>
    </w:p>
    <w:p w:rsidR="005F78FC" w:rsidRDefault="00B42EF3">
      <w:pPr>
        <w:pStyle w:val="Definition-Field"/>
      </w:pPr>
      <w:r>
        <w:t xml:space="preserve">b.   </w:t>
      </w:r>
      <w:r>
        <w:rPr>
          <w:i/>
        </w:rPr>
        <w:t>The standard states that the values of the cy attribute are defined by the ST_PositiveCoordinate simple type.</w:t>
      </w:r>
    </w:p>
    <w:p w:rsidR="005F78FC" w:rsidRDefault="00B42EF3">
      <w:pPr>
        <w:pStyle w:val="Definition-Field2"/>
      </w:pPr>
      <w:r>
        <w:t xml:space="preserve">PowerPoint </w:t>
      </w:r>
      <w:r>
        <w:t>defines the values of the cy attribute with the ST_SlideSizeCoordinate simple type.</w:t>
      </w:r>
    </w:p>
    <w:p w:rsidR="005F78FC" w:rsidRDefault="00B42EF3">
      <w:pPr>
        <w:pStyle w:val="Definition-Field"/>
      </w:pPr>
      <w:r>
        <w:t xml:space="preserve">c.   </w:t>
      </w:r>
      <w:r>
        <w:rPr>
          <w:i/>
        </w:rPr>
        <w:t>The standard states that the cx attribute specifies the length of the extents rectangle in EMUs.</w:t>
      </w:r>
    </w:p>
    <w:p w:rsidR="005F78FC" w:rsidRDefault="00B42EF3">
      <w:pPr>
        <w:pStyle w:val="Definition-Field2"/>
      </w:pPr>
      <w:r>
        <w:t>PowerPoint uses the cx attribute to specify the width of the rectangle</w:t>
      </w:r>
      <w:r>
        <w:t>.</w:t>
      </w:r>
    </w:p>
    <w:p w:rsidR="005F78FC" w:rsidRDefault="00B42EF3">
      <w:pPr>
        <w:pStyle w:val="Definition-Field"/>
      </w:pPr>
      <w:r>
        <w:t xml:space="preserve">d.   </w:t>
      </w:r>
      <w:r>
        <w:rPr>
          <w:i/>
        </w:rPr>
        <w:t>The standard states that the cy attribute specifies the width of the extents rectangle in EMUs.</w:t>
      </w:r>
    </w:p>
    <w:p w:rsidR="005F78FC" w:rsidRDefault="00B42EF3">
      <w:pPr>
        <w:pStyle w:val="Definition-Field2"/>
      </w:pPr>
      <w:r>
        <w:t>PowerPoint uses the cy attribute to specify the height of the rectangle.</w:t>
      </w:r>
    </w:p>
    <w:p w:rsidR="005F78FC" w:rsidRDefault="00B42EF3">
      <w:pPr>
        <w:pStyle w:val="Heading3"/>
      </w:pPr>
      <w:bookmarkStart w:id="2230" w:name="section_e80b4fafba5943169c8e0bb6dddcf9f9"/>
      <w:bookmarkStart w:id="2231" w:name="_Toc69878888"/>
      <w:r>
        <w:lastRenderedPageBreak/>
        <w:t>Part 1 Section 19.2.1.24, photoAlbum (Photo Album Information)</w:t>
      </w:r>
      <w:bookmarkEnd w:id="2230"/>
      <w:bookmarkEnd w:id="2231"/>
      <w:r>
        <w:fldChar w:fldCharType="begin"/>
      </w:r>
      <w:r>
        <w:instrText xml:space="preserve"> XE "photoAlbum (Photo Album Information)" </w:instrText>
      </w:r>
      <w:r>
        <w:fldChar w:fldCharType="end"/>
      </w:r>
    </w:p>
    <w:p w:rsidR="005F78FC" w:rsidRDefault="00B42EF3">
      <w:pPr>
        <w:pStyle w:val="Definition-Field"/>
      </w:pPr>
      <w:r>
        <w:t xml:space="preserve">a.   </w:t>
      </w:r>
      <w:r>
        <w:rPr>
          <w:i/>
        </w:rPr>
        <w:t>The standard states that images that are part of the photo album are identified by the presence of the isPhoto element in the definition of the picture.</w:t>
      </w:r>
    </w:p>
    <w:p w:rsidR="005F78FC" w:rsidRDefault="00B42EF3">
      <w:pPr>
        <w:pStyle w:val="Definition-Field2"/>
      </w:pPr>
      <w:r>
        <w:t>PowerPoint identifies photo album images as those wi</w:t>
      </w:r>
      <w:r>
        <w:t>th the isPhoto attribute of the nvPr element set to a value of true.</w:t>
      </w:r>
    </w:p>
    <w:p w:rsidR="005F78FC" w:rsidRDefault="00B42EF3">
      <w:pPr>
        <w:pStyle w:val="Definition-Field"/>
      </w:pPr>
      <w:r>
        <w:t xml:space="preserve">b.   </w:t>
      </w:r>
      <w:r>
        <w:rPr>
          <w:i/>
        </w:rPr>
        <w:t>The standard states that the bw attribute specifies whether all pictures in the photo album are to be displayed as black and white.</w:t>
      </w:r>
    </w:p>
    <w:p w:rsidR="005F78FC" w:rsidRDefault="00B42EF3">
      <w:pPr>
        <w:pStyle w:val="Definition-Field2"/>
      </w:pPr>
      <w:r>
        <w:t>PowerPoint uses the bw attribute to specify the la</w:t>
      </w:r>
      <w:r>
        <w:t>st state of a user interface setting that indicates whether all pictures in the photo album are to be displayed as black and white.</w:t>
      </w:r>
    </w:p>
    <w:p w:rsidR="005F78FC" w:rsidRDefault="00B42EF3">
      <w:pPr>
        <w:pStyle w:val="Definition-Field"/>
      </w:pPr>
      <w:r>
        <w:t xml:space="preserve">c.   </w:t>
      </w:r>
      <w:r>
        <w:rPr>
          <w:i/>
        </w:rPr>
        <w:t xml:space="preserve">The standard states that the frame attribute specifies the frame type that is to be used on all the pictures in the </w:t>
      </w:r>
      <w:r>
        <w:rPr>
          <w:i/>
        </w:rPr>
        <w:t>photo album.</w:t>
      </w:r>
    </w:p>
    <w:p w:rsidR="005F78FC" w:rsidRDefault="00B42EF3">
      <w:pPr>
        <w:pStyle w:val="Definition-Field2"/>
      </w:pPr>
      <w:r>
        <w:t>PowerPoint uses the frame attribute to specify the last state of a user interface setting for the frame type that is to be used on all the pictures in the photo album.</w:t>
      </w:r>
    </w:p>
    <w:p w:rsidR="005F78FC" w:rsidRDefault="00B42EF3">
      <w:pPr>
        <w:pStyle w:val="Definition-Field"/>
      </w:pPr>
      <w:r>
        <w:t xml:space="preserve">d.   </w:t>
      </w:r>
      <w:r>
        <w:rPr>
          <w:i/>
        </w:rPr>
        <w:t>The standard states that the layout attribute specifies the layout tha</w:t>
      </w:r>
      <w:r>
        <w:rPr>
          <w:i/>
        </w:rPr>
        <w:t>t is to be used to arrange the pictures in the photo album on individual slides.</w:t>
      </w:r>
    </w:p>
    <w:p w:rsidR="005F78FC" w:rsidRDefault="00B42EF3">
      <w:pPr>
        <w:pStyle w:val="Definition-Field2"/>
      </w:pPr>
      <w:r>
        <w:t>PowerPoint uses the layout attribute to specify the last state of a user interface setting for the layout that is to be used to arrange the pictures in the photo album on indi</w:t>
      </w:r>
      <w:r>
        <w:t>vidual slides.</w:t>
      </w:r>
    </w:p>
    <w:p w:rsidR="005F78FC" w:rsidRDefault="00B42EF3">
      <w:pPr>
        <w:pStyle w:val="Definition-Field"/>
      </w:pPr>
      <w:r>
        <w:t xml:space="preserve">e.   </w:t>
      </w:r>
      <w:r>
        <w:rPr>
          <w:i/>
        </w:rPr>
        <w:t>The standard states that the showCaptions attribute specifies whether to show captions for pictures in the photo album.</w:t>
      </w:r>
    </w:p>
    <w:p w:rsidR="005F78FC" w:rsidRDefault="00B42EF3">
      <w:pPr>
        <w:pStyle w:val="Definition-Field2"/>
      </w:pPr>
      <w:r>
        <w:t>PowerPoint uses the showCaptions attribute to specify the last state of a user interface setting that indicates whet</w:t>
      </w:r>
      <w:r>
        <w:t>her to show captions for pictures in the photo album.</w:t>
      </w:r>
    </w:p>
    <w:p w:rsidR="005F78FC" w:rsidRDefault="00B42EF3">
      <w:pPr>
        <w:pStyle w:val="Heading3"/>
      </w:pPr>
      <w:bookmarkStart w:id="2232" w:name="section_cce7a3040e914fa490bdf3a0f4f58f95"/>
      <w:bookmarkStart w:id="2233" w:name="_Toc69878889"/>
      <w:r>
        <w:t>Part 1 Section 19.2.1.25, present (Presenter Slide Show Mode)</w:t>
      </w:r>
      <w:bookmarkEnd w:id="2232"/>
      <w:bookmarkEnd w:id="2233"/>
      <w:r>
        <w:fldChar w:fldCharType="begin"/>
      </w:r>
      <w:r>
        <w:instrText xml:space="preserve"> XE "present (Presenter Slide Show Mode)" </w:instrText>
      </w:r>
      <w:r>
        <w:fldChar w:fldCharType="end"/>
      </w:r>
    </w:p>
    <w:p w:rsidR="005F78FC" w:rsidRDefault="00B42EF3">
      <w:pPr>
        <w:pStyle w:val="Definition-Field"/>
      </w:pPr>
      <w:r>
        <w:t xml:space="preserve">a.   </w:t>
      </w:r>
      <w:r>
        <w:rPr>
          <w:i/>
        </w:rPr>
        <w:t xml:space="preserve">The standard states that when in full-screen presenter mode, the presentation is displayed </w:t>
      </w:r>
      <w:r>
        <w:rPr>
          <w:i/>
        </w:rPr>
        <w:t>on one monitor while a different monitor displays notes and provides navigation controls.</w:t>
      </w:r>
    </w:p>
    <w:p w:rsidR="005F78FC" w:rsidRDefault="00B42EF3">
      <w:pPr>
        <w:pStyle w:val="Definition-Field2"/>
      </w:pPr>
      <w:r>
        <w:t>PowerPoint does not display the presentation and the notes and navigation controls on separate monitors in this mode.</w:t>
      </w:r>
    </w:p>
    <w:p w:rsidR="005F78FC" w:rsidRDefault="00B42EF3">
      <w:pPr>
        <w:pStyle w:val="Heading3"/>
      </w:pPr>
      <w:bookmarkStart w:id="2234" w:name="section_5cc61456aa4e4c48a1153efed3e57d95"/>
      <w:bookmarkStart w:id="2235" w:name="_Toc69878890"/>
      <w:r>
        <w:t>Part 1 Section 19.2.1.26, presentation (Presenta</w:t>
      </w:r>
      <w:r>
        <w:t>tion)</w:t>
      </w:r>
      <w:bookmarkEnd w:id="2234"/>
      <w:bookmarkEnd w:id="2235"/>
      <w:r>
        <w:fldChar w:fldCharType="begin"/>
      </w:r>
      <w:r>
        <w:instrText xml:space="preserve"> XE "presentation (Presentation)" </w:instrText>
      </w:r>
      <w:r>
        <w:fldChar w:fldCharType="end"/>
      </w:r>
    </w:p>
    <w:p w:rsidR="005F78FC" w:rsidRDefault="00B42EF3">
      <w:pPr>
        <w:pStyle w:val="Definition-Field"/>
      </w:pPr>
      <w:r>
        <w:t xml:space="preserve">a.   </w:t>
      </w:r>
      <w:r>
        <w:rPr>
          <w:i/>
        </w:rPr>
        <w:t>The standard states that possible values for the firstSlideNum attribute are defined by the XML Schema int datatype.</w:t>
      </w:r>
    </w:p>
    <w:p w:rsidR="005F78FC" w:rsidRDefault="00B42EF3">
      <w:pPr>
        <w:pStyle w:val="Definition-Field2"/>
      </w:pPr>
      <w:r>
        <w:t>PowerPoint restricts the value of the firstSlideNum attribute to be greater than or equal to</w:t>
      </w:r>
      <w:r>
        <w:t xml:space="preserve"> 0 and less than or equal to 9999.</w:t>
      </w:r>
    </w:p>
    <w:p w:rsidR="005F78FC" w:rsidRDefault="00B42EF3">
      <w:pPr>
        <w:pStyle w:val="Definition-Field"/>
      </w:pPr>
      <w:r>
        <w:t xml:space="preserve">b.   </w:t>
      </w:r>
      <w:r>
        <w:rPr>
          <w:i/>
        </w:rPr>
        <w:t>The standard states that the values of the serverZoom attribute are defined by the ST_Percentage simple type.</w:t>
      </w:r>
    </w:p>
    <w:p w:rsidR="005F78FC" w:rsidRDefault="00B42EF3">
      <w:pPr>
        <w:pStyle w:val="Definition-Field2"/>
      </w:pPr>
      <w:r>
        <w:t>PowerPoint defines the values of the serverZoom attribute with the ST_PositivePercentage simple type.</w:t>
      </w:r>
    </w:p>
    <w:p w:rsidR="005F78FC" w:rsidRDefault="00B42EF3">
      <w:pPr>
        <w:pStyle w:val="Definition-Field"/>
      </w:pPr>
      <w:r>
        <w:t xml:space="preserve">c.  </w:t>
      </w:r>
      <w:r>
        <w:t xml:space="preserve"> </w:t>
      </w:r>
      <w:r>
        <w:rPr>
          <w:i/>
        </w:rPr>
        <w:t>The standard states that the showSpecialPlsOnTitleSld attribute specifies whether to show the header and footer placeholders on the title slides.</w:t>
      </w:r>
    </w:p>
    <w:p w:rsidR="005F78FC" w:rsidRDefault="00B42EF3">
      <w:pPr>
        <w:pStyle w:val="Definition-Field2"/>
      </w:pPr>
      <w:r>
        <w:t>PowerPoint uses the showSpecialPlsOnTitleSld attribute to specify the last state of the user interface settin</w:t>
      </w:r>
      <w:r>
        <w:t>g which indicates whether to show the header and footer placeholders on the title slides.</w:t>
      </w:r>
    </w:p>
    <w:p w:rsidR="005F78FC" w:rsidRDefault="00B42EF3">
      <w:pPr>
        <w:pStyle w:val="Definition-Field"/>
      </w:pPr>
      <w:r>
        <w:lastRenderedPageBreak/>
        <w:t xml:space="preserve">d.   </w:t>
      </w:r>
      <w:r>
        <w:rPr>
          <w:i/>
        </w:rPr>
        <w:t>The standard states that the strictFirstAndLastChars attribute specifies whether to use strict characters for starting and ending lines of Japanese text.</w:t>
      </w:r>
    </w:p>
    <w:p w:rsidR="005F78FC" w:rsidRDefault="00B42EF3">
      <w:pPr>
        <w:pStyle w:val="Definition-Field2"/>
      </w:pPr>
      <w:r>
        <w:t>PowerPo</w:t>
      </w:r>
      <w:r>
        <w:t>int ignores the strictFirstAndLastChars attribute when the lang attribute on the kinsoku element has a value of ja-jp.</w:t>
      </w:r>
    </w:p>
    <w:p w:rsidR="005F78FC" w:rsidRDefault="00B42EF3">
      <w:pPr>
        <w:pStyle w:val="Definition-Field"/>
      </w:pPr>
      <w:r>
        <w:t xml:space="preserve">e.   </w:t>
      </w:r>
      <w:r>
        <w:rPr>
          <w:i/>
        </w:rPr>
        <w:t>The standard states that the conformance attribute specifies the schema to use to validate the document.</w:t>
      </w:r>
    </w:p>
    <w:p w:rsidR="005F78FC" w:rsidRDefault="00B42EF3">
      <w:pPr>
        <w:pStyle w:val="Definition-Field2"/>
      </w:pPr>
      <w:r>
        <w:t>PowerPoint ignores the conf</w:t>
      </w:r>
      <w:r>
        <w:t>ormance attribute.</w:t>
      </w:r>
    </w:p>
    <w:p w:rsidR="005F78FC" w:rsidRDefault="00B42EF3">
      <w:pPr>
        <w:pStyle w:val="Heading3"/>
      </w:pPr>
      <w:bookmarkStart w:id="2236" w:name="section_e1331a7584dc46d29e5551afd9f38af8"/>
      <w:bookmarkStart w:id="2237" w:name="_Toc69878891"/>
      <w:r>
        <w:t>Part 1 Section 19.2.1.38, sldRg (Slide Range)</w:t>
      </w:r>
      <w:bookmarkEnd w:id="2236"/>
      <w:bookmarkEnd w:id="2237"/>
      <w:r>
        <w:fldChar w:fldCharType="begin"/>
      </w:r>
      <w:r>
        <w:instrText xml:space="preserve"> XE "sldRg (Slide Range)"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05f6a62df7db400e9ae497a6d422ac5b">
        <w:r>
          <w:rPr>
            <w:rStyle w:val="Hyperlink"/>
          </w:rPr>
          <w:t>pRg, §19.5</w:t>
        </w:r>
        <w:r>
          <w:rPr>
            <w:rStyle w:val="Hyperlink"/>
          </w:rPr>
          <w:t>.56(b)</w:t>
        </w:r>
      </w:hyperlink>
      <w:r>
        <w:rPr>
          <w:i/>
        </w:rPr>
        <w:t>.</w:t>
      </w:r>
    </w:p>
    <w:p w:rsidR="005F78FC" w:rsidRDefault="00B42EF3">
      <w:pPr>
        <w:pStyle w:val="Heading3"/>
      </w:pPr>
      <w:bookmarkStart w:id="2238" w:name="section_de4053e1e1ca4cc2a810aa2da4cc43a0"/>
      <w:bookmarkStart w:id="2239" w:name="_Toc69878892"/>
      <w:r>
        <w:t>Part 1 Section 19.2.1.39, sldSz (Presentation Slide Size)</w:t>
      </w:r>
      <w:bookmarkEnd w:id="2238"/>
      <w:bookmarkEnd w:id="2239"/>
      <w:r>
        <w:fldChar w:fldCharType="begin"/>
      </w:r>
      <w:r>
        <w:instrText xml:space="preserve"> XE "sldSz (Presentation Slide Size)" </w:instrText>
      </w:r>
      <w:r>
        <w:fldChar w:fldCharType="end"/>
      </w:r>
    </w:p>
    <w:p w:rsidR="005F78FC" w:rsidRDefault="00B42EF3">
      <w:pPr>
        <w:pStyle w:val="Definition-Field"/>
      </w:pPr>
      <w:r>
        <w:t xml:space="preserve">a.   </w:t>
      </w:r>
      <w:r>
        <w:rPr>
          <w:i/>
        </w:rPr>
        <w:t>The standard states that the type attribute specifies the type of slide size that should be used.</w:t>
      </w:r>
    </w:p>
    <w:p w:rsidR="005F78FC" w:rsidRDefault="00B42EF3">
      <w:pPr>
        <w:pStyle w:val="Definition-Field2"/>
      </w:pPr>
      <w:r>
        <w:t xml:space="preserve">PowerPoint only uses the type attribute when </w:t>
      </w:r>
      <w:r>
        <w:t>the cx attribute and the cy attribute map to more than one type.</w:t>
      </w:r>
    </w:p>
    <w:p w:rsidR="005F78FC" w:rsidRDefault="00B42EF3">
      <w:pPr>
        <w:pStyle w:val="Definition-Field"/>
      </w:pPr>
      <w:r>
        <w:t xml:space="preserve">b.   </w:t>
      </w:r>
      <w:r>
        <w:rPr>
          <w:i/>
        </w:rPr>
        <w:t>The standard states that the cy attribute specifies the width of the extents rectangle in EMUs.</w:t>
      </w:r>
    </w:p>
    <w:p w:rsidR="005F78FC" w:rsidRDefault="00B42EF3">
      <w:pPr>
        <w:pStyle w:val="Definition-Field2"/>
      </w:pPr>
      <w:r>
        <w:t>PowerPoint uses the cy attribute to specify the height of the rectangle.</w:t>
      </w:r>
    </w:p>
    <w:p w:rsidR="005F78FC" w:rsidRDefault="00B42EF3">
      <w:pPr>
        <w:pStyle w:val="Definition-Field"/>
      </w:pPr>
      <w:r>
        <w:t xml:space="preserve">c.   </w:t>
      </w:r>
      <w:r>
        <w:rPr>
          <w:i/>
        </w:rPr>
        <w:t>The standard</w:t>
      </w:r>
      <w:r>
        <w:rPr>
          <w:i/>
        </w:rPr>
        <w:t xml:space="preserve"> states that the cx attribute specifies the length of the extents rectangle in EMUs.</w:t>
      </w:r>
    </w:p>
    <w:p w:rsidR="005F78FC" w:rsidRDefault="00B42EF3">
      <w:pPr>
        <w:pStyle w:val="Definition-Field2"/>
      </w:pPr>
      <w:r>
        <w:t>PowerPoint uses the cx attribute to specify the width of the rectangle.</w:t>
      </w:r>
    </w:p>
    <w:p w:rsidR="005F78FC" w:rsidRDefault="00B42EF3">
      <w:pPr>
        <w:pStyle w:val="Definition-Field"/>
      </w:pPr>
      <w:r>
        <w:t xml:space="preserve">d.   </w:t>
      </w:r>
      <w:r>
        <w:rPr>
          <w:i/>
        </w:rPr>
        <w:t>The standard states that the sldSz element specifies the size of the presentation slide surfac</w:t>
      </w:r>
      <w:r>
        <w:rPr>
          <w:i/>
        </w:rPr>
        <w:t>e.</w:t>
      </w:r>
    </w:p>
    <w:p w:rsidR="005F78FC" w:rsidRDefault="00B42EF3">
      <w:pPr>
        <w:pStyle w:val="Definition-Field2"/>
      </w:pPr>
      <w:r>
        <w:t>PowerPoint assumes a default of &lt;p:sldSz cx=”9144000” cy=”6858000” /&gt; if the sldSz element is not present.</w:t>
      </w:r>
    </w:p>
    <w:p w:rsidR="005F78FC" w:rsidRDefault="00B42EF3">
      <w:pPr>
        <w:pStyle w:val="Heading3"/>
      </w:pPr>
      <w:bookmarkStart w:id="2240" w:name="section_5d1dbc83b5204c20b60b219211294901"/>
      <w:bookmarkStart w:id="2241" w:name="_Toc69878893"/>
      <w:r>
        <w:t>Part 1 Section 19.2.1.40, smartTags (Smart Tags)</w:t>
      </w:r>
      <w:bookmarkEnd w:id="2240"/>
      <w:bookmarkEnd w:id="2241"/>
      <w:r>
        <w:fldChar w:fldCharType="begin"/>
      </w:r>
      <w:r>
        <w:instrText xml:space="preserve"> XE "smartTags (Smart Tags)" </w:instrText>
      </w:r>
      <w:r>
        <w:fldChar w:fldCharType="end"/>
      </w:r>
    </w:p>
    <w:p w:rsidR="005F78FC" w:rsidRDefault="00B42EF3">
      <w:pPr>
        <w:pStyle w:val="Definition-Field"/>
      </w:pPr>
      <w:r>
        <w:t xml:space="preserve">a.   </w:t>
      </w:r>
      <w:r>
        <w:rPr>
          <w:i/>
        </w:rPr>
        <w:t>The standard states that the id attribute specifies the relat</w:t>
      </w:r>
      <w:r>
        <w:rPr>
          <w:i/>
        </w:rPr>
        <w:t>ionship identifier that is used in conjunction with a corresponding relationship file to resolve the location of the smart tag.</w:t>
      </w:r>
    </w:p>
    <w:p w:rsidR="005F78FC" w:rsidRDefault="00B42EF3">
      <w:r>
        <w:t>The id attribute of the smartTags element defines a relationship to a part within the presentation package whose contents are de</w:t>
      </w:r>
      <w:r>
        <w:t>fined by the PowerPoint 97-2003 Binary File Format (.ppt) Structure Specification (“</w:t>
      </w:r>
      <w:hyperlink r:id="rId155" w:anchor="Section_6be79dde33c14c1b8ccc4b2301c08662">
        <w:r>
          <w:rPr>
            <w:rStyle w:val="Hyperlink"/>
          </w:rPr>
          <w:t>[MS-PPT]</w:t>
        </w:r>
      </w:hyperlink>
      <w:r>
        <w:t xml:space="preserve"> section 2.11.28; SmartTagStore11Container”). This binary part contains no RecordHeade</w:t>
      </w:r>
      <w:r>
        <w:t>r structure.</w:t>
      </w:r>
    </w:p>
    <w:p w:rsidR="005F78FC" w:rsidRDefault="00B42EF3">
      <w:pPr>
        <w:pStyle w:val="Heading3"/>
      </w:pPr>
      <w:bookmarkStart w:id="2242" w:name="section_dfb28ce5885d4193957c8ae93866b92e"/>
      <w:bookmarkStart w:id="2243" w:name="_Toc69878894"/>
      <w:r>
        <w:t>Part 1 Section 19.2.2.4, guide (A Guide)</w:t>
      </w:r>
      <w:bookmarkEnd w:id="2242"/>
      <w:bookmarkEnd w:id="2243"/>
      <w:r>
        <w:fldChar w:fldCharType="begin"/>
      </w:r>
      <w:r>
        <w:instrText xml:space="preserve"> XE "guide (A Guide)" </w:instrText>
      </w:r>
      <w:r>
        <w:fldChar w:fldCharType="end"/>
      </w:r>
    </w:p>
    <w:p w:rsidR="005F78FC" w:rsidRDefault="00B42EF3">
      <w:pPr>
        <w:pStyle w:val="Definition-Field"/>
      </w:pPr>
      <w:r>
        <w:t xml:space="preserve">a.   </w:t>
      </w:r>
      <w:r>
        <w:rPr>
          <w:i/>
        </w:rPr>
        <w:t>The standard does not state how to interpret the position information of the pos attribute.</w:t>
      </w:r>
    </w:p>
    <w:p w:rsidR="005F78FC" w:rsidRDefault="00B42EF3">
      <w:pPr>
        <w:pStyle w:val="Definition-Field2"/>
      </w:pPr>
      <w:r>
        <w:t xml:space="preserve">PowerPoint interprets the position information to be relative to the top, left </w:t>
      </w:r>
      <w:r>
        <w:t>corner of the slide.</w:t>
      </w:r>
    </w:p>
    <w:p w:rsidR="005F78FC" w:rsidRDefault="00B42EF3">
      <w:pPr>
        <w:pStyle w:val="Heading3"/>
      </w:pPr>
      <w:bookmarkStart w:id="2244" w:name="section_9163cc39baea4093980bafc28546324d"/>
      <w:bookmarkStart w:id="2245" w:name="_Toc69878895"/>
      <w:r>
        <w:t>Part 1 Section 19.2.2.6, normalViewPr (Normal View Properties)</w:t>
      </w:r>
      <w:bookmarkEnd w:id="2244"/>
      <w:bookmarkEnd w:id="2245"/>
      <w:r>
        <w:fldChar w:fldCharType="begin"/>
      </w:r>
      <w:r>
        <w:instrText xml:space="preserve"> XE "normalViewPr (Normal View Properties)" </w:instrText>
      </w:r>
      <w:r>
        <w:fldChar w:fldCharType="end"/>
      </w:r>
    </w:p>
    <w:p w:rsidR="005F78FC" w:rsidRDefault="00B42EF3">
      <w:pPr>
        <w:pStyle w:val="Definition-Field"/>
      </w:pPr>
      <w:r>
        <w:t xml:space="preserve">a.   </w:t>
      </w:r>
      <w:r>
        <w:rPr>
          <w:i/>
        </w:rPr>
        <w:t>The standard states that the vertBarState attribute affects the state of the slide region.</w:t>
      </w:r>
    </w:p>
    <w:p w:rsidR="005F78FC" w:rsidRDefault="00B42EF3">
      <w:pPr>
        <w:pStyle w:val="Definition-Field2"/>
      </w:pPr>
      <w:r>
        <w:t>PowerPoint uses the vertBarSta</w:t>
      </w:r>
      <w:r>
        <w:t>te attribute to affect the state of the side content region.</w:t>
      </w:r>
    </w:p>
    <w:p w:rsidR="005F78FC" w:rsidRDefault="00B42EF3">
      <w:pPr>
        <w:pStyle w:val="Definition-Field"/>
      </w:pPr>
      <w:r>
        <w:lastRenderedPageBreak/>
        <w:t xml:space="preserve">b.   </w:t>
      </w:r>
      <w:r>
        <w:rPr>
          <w:i/>
        </w:rPr>
        <w:t>The standard states that the horzBarState attribute affects the state of the side content region.</w:t>
      </w:r>
    </w:p>
    <w:p w:rsidR="005F78FC" w:rsidRDefault="00B42EF3">
      <w:pPr>
        <w:pStyle w:val="Definition-Field2"/>
      </w:pPr>
      <w:r>
        <w:t>PowerPoint uses the horzBarState attribute to affect the state of the slide region.</w:t>
      </w:r>
    </w:p>
    <w:p w:rsidR="005F78FC" w:rsidRDefault="00B42EF3">
      <w:pPr>
        <w:pStyle w:val="Definition-Field"/>
      </w:pPr>
      <w:r>
        <w:t xml:space="preserve">c.   </w:t>
      </w:r>
      <w:r>
        <w:rPr>
          <w:i/>
        </w:rPr>
        <w:t>The</w:t>
      </w:r>
      <w:r>
        <w:rPr>
          <w:i/>
        </w:rPr>
        <w:t xml:space="preserve"> standard places no restrictions on the relationship between the horzBarState attribute and the restoredTop child element.</w:t>
      </w:r>
    </w:p>
    <w:p w:rsidR="005F78FC" w:rsidRDefault="00B42EF3">
      <w:pPr>
        <w:pStyle w:val="Definition-Field2"/>
      </w:pPr>
      <w:r>
        <w:t>PowerPoint ignores the restoredTop child element when the value of the horzBarState attribute is minimized or maximized.</w:t>
      </w:r>
    </w:p>
    <w:p w:rsidR="005F78FC" w:rsidRDefault="00B42EF3">
      <w:pPr>
        <w:pStyle w:val="Definition-Field"/>
      </w:pPr>
      <w:r>
        <w:t xml:space="preserve">d.   </w:t>
      </w:r>
      <w:r>
        <w:rPr>
          <w:i/>
        </w:rPr>
        <w:t>The sta</w:t>
      </w:r>
      <w:r>
        <w:rPr>
          <w:i/>
        </w:rPr>
        <w:t>ndard places no restrictions on the relationship between the vertBarState attribute and the restoredLeft child element.</w:t>
      </w:r>
    </w:p>
    <w:p w:rsidR="005F78FC" w:rsidRDefault="00B42EF3">
      <w:pPr>
        <w:pStyle w:val="Definition-Field2"/>
      </w:pPr>
      <w:r>
        <w:t>PowerPoint ignores the restoredLeft child element when the value of the vertBarState attribute is minimized or maximized.</w:t>
      </w:r>
    </w:p>
    <w:p w:rsidR="005F78FC" w:rsidRDefault="00B42EF3">
      <w:pPr>
        <w:pStyle w:val="Heading3"/>
      </w:pPr>
      <w:bookmarkStart w:id="2246" w:name="section_b0d10d875aa74b37b2caea9cc2705984"/>
      <w:bookmarkStart w:id="2247" w:name="_Toc69878896"/>
      <w:r>
        <w:t>Part 1 Section</w:t>
      </w:r>
      <w:r>
        <w:t xml:space="preserve"> 19.2.2.9, origin (View Origin)</w:t>
      </w:r>
      <w:bookmarkEnd w:id="2246"/>
      <w:bookmarkEnd w:id="2247"/>
      <w:r>
        <w:fldChar w:fldCharType="begin"/>
      </w:r>
      <w:r>
        <w:instrText xml:space="preserve"> XE "origin (View Origin)"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5F78FC" w:rsidRDefault="00B42EF3">
      <w:pPr>
        <w:pStyle w:val="Heading3"/>
      </w:pPr>
      <w:bookmarkStart w:id="2248" w:name="section_6551673052ab49638c4ccfb2127809ab"/>
      <w:bookmarkStart w:id="2249" w:name="_Toc69878897"/>
      <w:r>
        <w:t>Part 1 Section 19.2.2</w:t>
      </w:r>
      <w:r>
        <w:t>.11, restoredLeft (Normal View Restored Left Properties)</w:t>
      </w:r>
      <w:bookmarkEnd w:id="2248"/>
      <w:bookmarkEnd w:id="2249"/>
      <w:r>
        <w:fldChar w:fldCharType="begin"/>
      </w:r>
      <w:r>
        <w:instrText xml:space="preserve"> XE "restoredLeft (Normal View Restored Left Properties)"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53ceb85bfb0c40f4af1d9feecfb64502">
        <w:r>
          <w:rPr>
            <w:rStyle w:val="Hyperlink"/>
          </w:rPr>
          <w:t>restoredTop, §19.2.2.12(a)</w:t>
        </w:r>
      </w:hyperlink>
      <w:r>
        <w:rPr>
          <w:i/>
        </w:rPr>
        <w:t>.</w:t>
      </w:r>
    </w:p>
    <w:p w:rsidR="005F78FC" w:rsidRDefault="00B42EF3">
      <w:pPr>
        <w:pStyle w:val="Definition-Field"/>
      </w:pPr>
      <w:r>
        <w:t xml:space="preserve">a.   </w:t>
      </w:r>
      <w:r>
        <w:rPr>
          <w:i/>
        </w:rPr>
        <w:t>The standard states that the sz attribute specifies the size of the slide region.</w:t>
      </w:r>
    </w:p>
    <w:p w:rsidR="005F78FC" w:rsidRDefault="00B42EF3">
      <w:pPr>
        <w:pStyle w:val="Definition-Field2"/>
      </w:pPr>
      <w:r>
        <w:t xml:space="preserve">PowerPoint uses the sz attribute to specify the height of the slide region when the sz attribute is a child of the restoredTop </w:t>
      </w:r>
      <w:r>
        <w:t>element and width of the slide region when @sz is a child of the restoredLeft element.</w:t>
      </w:r>
    </w:p>
    <w:p w:rsidR="005F78FC" w:rsidRDefault="00B42EF3">
      <w:pPr>
        <w:pStyle w:val="Heading3"/>
      </w:pPr>
      <w:bookmarkStart w:id="2250" w:name="section_53ceb85bfb0c40f4af1d9feecfb64502"/>
      <w:bookmarkStart w:id="2251" w:name="_Toc69878898"/>
      <w:r>
        <w:t>Part 1 Section 19.2.2.12, restoredTop (Normal View Restored Top Properties)</w:t>
      </w:r>
      <w:bookmarkEnd w:id="2250"/>
      <w:bookmarkEnd w:id="2251"/>
      <w:r>
        <w:fldChar w:fldCharType="begin"/>
      </w:r>
      <w:r>
        <w:instrText xml:space="preserve"> XE "restoredTop (Normal View Restored Top Properties)" </w:instrText>
      </w:r>
      <w:r>
        <w:fldChar w:fldCharType="end"/>
      </w:r>
    </w:p>
    <w:p w:rsidR="005F78FC" w:rsidRDefault="00B42EF3">
      <w:pPr>
        <w:pStyle w:val="Definition-Field2"/>
      </w:pPr>
      <w:r>
        <w:rPr>
          <w:i/>
        </w:rPr>
        <w:t xml:space="preserve">For additional notes that apply to </w:t>
      </w:r>
      <w:r>
        <w:rPr>
          <w:i/>
        </w:rPr>
        <w:t xml:space="preserve">this portion of the standard, please see the notes for </w:t>
      </w:r>
      <w:hyperlink w:anchor="Section_6551673052ab49638c4ccfb2127809ab">
        <w:r>
          <w:rPr>
            <w:rStyle w:val="Hyperlink"/>
          </w:rPr>
          <w:t>restoredLeft, §19.2.2.11(a)</w:t>
        </w:r>
      </w:hyperlink>
      <w:r>
        <w:rPr>
          <w:i/>
        </w:rPr>
        <w:t>.</w:t>
      </w:r>
    </w:p>
    <w:p w:rsidR="005F78FC" w:rsidRDefault="00B42EF3">
      <w:pPr>
        <w:pStyle w:val="Definition-Field"/>
      </w:pPr>
      <w:r>
        <w:t xml:space="preserve">a.   </w:t>
      </w:r>
      <w:r>
        <w:rPr>
          <w:i/>
        </w:rPr>
        <w:t>The standard states that the autoAdjust attribute specifies the size of the side content region.</w:t>
      </w:r>
    </w:p>
    <w:p w:rsidR="005F78FC" w:rsidRDefault="00B42EF3">
      <w:pPr>
        <w:pStyle w:val="Definition-Field2"/>
      </w:pPr>
      <w:r>
        <w:t>PowerPo</w:t>
      </w:r>
      <w:r>
        <w:t>int interprets the autoAdjust attribute to specify the size of the slide region, not the side content region.</w:t>
      </w:r>
    </w:p>
    <w:p w:rsidR="005F78FC" w:rsidRDefault="00B42EF3">
      <w:pPr>
        <w:pStyle w:val="Heading3"/>
      </w:pPr>
      <w:bookmarkStart w:id="2252" w:name="section_467128baa9144fe8a022184922a47c21"/>
      <w:bookmarkStart w:id="2253" w:name="_Toc69878899"/>
      <w:r>
        <w:t>Part 1 Section 19.2.2.13, scale (View Scale)</w:t>
      </w:r>
      <w:bookmarkEnd w:id="2252"/>
      <w:bookmarkEnd w:id="2253"/>
      <w:r>
        <w:fldChar w:fldCharType="begin"/>
      </w:r>
      <w:r>
        <w:instrText xml:space="preserve"> XE "scale (View Scale)" </w:instrText>
      </w:r>
      <w:r>
        <w:fldChar w:fldCharType="end"/>
      </w:r>
    </w:p>
    <w:p w:rsidR="005F78FC" w:rsidRDefault="00B42EF3">
      <w:pPr>
        <w:pStyle w:val="Definition-Field"/>
      </w:pPr>
      <w:r>
        <w:t xml:space="preserve">a.   </w:t>
      </w:r>
      <w:r>
        <w:rPr>
          <w:i/>
        </w:rPr>
        <w:t>The standard states that the scale element specifies the view scaling</w:t>
      </w:r>
      <w:r>
        <w:rPr>
          <w:i/>
        </w:rPr>
        <w:t xml:space="preserve"> factors that the presentation was last viewed with.</w:t>
      </w:r>
    </w:p>
    <w:p w:rsidR="005F78FC" w:rsidRDefault="00B42EF3">
      <w:pPr>
        <w:pStyle w:val="Definition-Field2"/>
      </w:pPr>
      <w:r>
        <w:t>PowerPoint requires that the ratio value of child element sx and child element sy shall not be less than 0.03 or greater than 5.</w:t>
      </w:r>
    </w:p>
    <w:p w:rsidR="005F78FC" w:rsidRDefault="00B42EF3">
      <w:pPr>
        <w:pStyle w:val="Definition-Field"/>
      </w:pPr>
      <w:r>
        <w:t xml:space="preserve">b.   </w:t>
      </w:r>
      <w:r>
        <w:rPr>
          <w:i/>
        </w:rPr>
        <w:t xml:space="preserve">The standard states that the values of the n attribute on the sx and </w:t>
      </w:r>
      <w:r>
        <w:rPr>
          <w:i/>
        </w:rPr>
        <w:t>sy child elements are defined by the XML Schema long datatype.</w:t>
      </w:r>
    </w:p>
    <w:p w:rsidR="005F78FC" w:rsidRDefault="00B42EF3">
      <w:pPr>
        <w:pStyle w:val="Definition-Field2"/>
      </w:pPr>
      <w:r>
        <w:t>PowerPoint defines the values of the n attribute with the XML Schema int datatype.</w:t>
      </w:r>
    </w:p>
    <w:p w:rsidR="005F78FC" w:rsidRDefault="00B42EF3">
      <w:pPr>
        <w:pStyle w:val="Definition-Field"/>
      </w:pPr>
      <w:r>
        <w:lastRenderedPageBreak/>
        <w:t xml:space="preserve">c.   </w:t>
      </w:r>
      <w:r>
        <w:rPr>
          <w:i/>
        </w:rPr>
        <w:t>The standard states that the values of the d attribute on the sx and sy child elements are defined by the</w:t>
      </w:r>
      <w:r>
        <w:rPr>
          <w:i/>
        </w:rPr>
        <w:t xml:space="preserve"> XML Schema long datatype.</w:t>
      </w:r>
    </w:p>
    <w:p w:rsidR="005F78FC" w:rsidRDefault="00B42EF3">
      <w:pPr>
        <w:pStyle w:val="Definition-Field2"/>
      </w:pPr>
      <w:r>
        <w:t>PowerPoint defines the values of the d attribute with the XML Schema int datatype.</w:t>
      </w:r>
    </w:p>
    <w:p w:rsidR="005F78FC" w:rsidRDefault="00B42EF3">
      <w:pPr>
        <w:pStyle w:val="Heading3"/>
      </w:pPr>
      <w:bookmarkStart w:id="2254" w:name="section_71e8b4e0e70d416aa249c870d41e6d5e"/>
      <w:bookmarkStart w:id="2255" w:name="_Toc69878900"/>
      <w:r>
        <w:t>Part 1 Section 19.3.1.1, bg (Slide Background)</w:t>
      </w:r>
      <w:bookmarkEnd w:id="2254"/>
      <w:bookmarkEnd w:id="2255"/>
      <w:r>
        <w:fldChar w:fldCharType="begin"/>
      </w:r>
      <w:r>
        <w:instrText xml:space="preserve"> XE "bg (Slide Background)" </w:instrText>
      </w:r>
      <w:r>
        <w:fldChar w:fldCharType="end"/>
      </w:r>
    </w:p>
    <w:p w:rsidR="005F78FC" w:rsidRDefault="00B42EF3">
      <w:pPr>
        <w:pStyle w:val="Definition-Field"/>
      </w:pPr>
      <w:r>
        <w:t xml:space="preserve">a.   </w:t>
      </w:r>
      <w:r>
        <w:rPr>
          <w:i/>
        </w:rPr>
        <w:t>The standard states that the bwMode attribute specifies that the</w:t>
      </w:r>
      <w:r>
        <w:rPr>
          <w:i/>
        </w:rPr>
        <w:t xml:space="preserve"> background should be rendered using only black and white coloring.</w:t>
      </w:r>
    </w:p>
    <w:p w:rsidR="005F78FC" w:rsidRDefault="00B42EF3">
      <w:pPr>
        <w:pStyle w:val="Definition-Field2"/>
      </w:pPr>
      <w:r>
        <w:t>PowerPoint uses the bwMode attribute to specify how the background should be rendered when in black and white mode.</w:t>
      </w:r>
    </w:p>
    <w:p w:rsidR="005F78FC" w:rsidRDefault="00B42EF3">
      <w:pPr>
        <w:pStyle w:val="Heading3"/>
      </w:pPr>
      <w:bookmarkStart w:id="2256" w:name="section_c1fadbc6d06348b9b57ea043969cf6c5"/>
      <w:bookmarkStart w:id="2257" w:name="_Toc69878901"/>
      <w:r>
        <w:t>Part 1 Section 19.3.1.2, bgPr (Background Properties)</w:t>
      </w:r>
      <w:bookmarkEnd w:id="2256"/>
      <w:bookmarkEnd w:id="2257"/>
      <w:r>
        <w:fldChar w:fldCharType="begin"/>
      </w:r>
      <w:r>
        <w:instrText xml:space="preserve"> XE "bgPr (Background Properties)" </w:instrText>
      </w:r>
      <w:r>
        <w:fldChar w:fldCharType="end"/>
      </w:r>
    </w:p>
    <w:p w:rsidR="005F78FC" w:rsidRDefault="00B42EF3">
      <w:pPr>
        <w:pStyle w:val="Definition-Field"/>
      </w:pPr>
      <w:r>
        <w:t xml:space="preserve">a.   </w:t>
      </w:r>
      <w:r>
        <w:rPr>
          <w:i/>
        </w:rPr>
        <w:t>The standard states the grpFill element is a valid child of the bgPr element.</w:t>
      </w:r>
    </w:p>
    <w:p w:rsidR="005F78FC" w:rsidRDefault="00B42EF3">
      <w:pPr>
        <w:pStyle w:val="Definition-Field2"/>
      </w:pPr>
      <w:r>
        <w:t>PowerPoint does not allow the grpFill element to be a child of the bgPr element.</w:t>
      </w:r>
    </w:p>
    <w:p w:rsidR="005F78FC" w:rsidRDefault="00B42EF3">
      <w:pPr>
        <w:pStyle w:val="Heading3"/>
      </w:pPr>
      <w:bookmarkStart w:id="2258" w:name="section_17c4667a47c248f69f112565d029009c"/>
      <w:bookmarkStart w:id="2259" w:name="_Toc69878902"/>
      <w:r>
        <w:t>Part 1 Section 19.3.1.4, blipFill (Picture Fill)</w:t>
      </w:r>
      <w:bookmarkEnd w:id="2258"/>
      <w:bookmarkEnd w:id="2259"/>
      <w:r>
        <w:fldChar w:fldCharType="begin"/>
      </w:r>
      <w:r>
        <w:instrText xml:space="preserve"> XE "b</w:instrText>
      </w:r>
      <w:r>
        <w:instrText xml:space="preserve">lipFill (Picture Fill)"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0329492820b44cdd9ecdac4d63dc4674">
        <w:r>
          <w:rPr>
            <w:rStyle w:val="Hyperlink"/>
          </w:rPr>
          <w:t>blipFill, §21.3.2.2(a)</w:t>
        </w:r>
      </w:hyperlink>
      <w:r>
        <w:rPr>
          <w:i/>
        </w:rPr>
        <w:t>.</w:t>
      </w:r>
    </w:p>
    <w:p w:rsidR="005F78FC" w:rsidRDefault="00B42EF3">
      <w:pPr>
        <w:pStyle w:val="Heading3"/>
      </w:pPr>
      <w:bookmarkStart w:id="2260" w:name="section_27570db3ce3e4a0693da4c8f1b7552ed"/>
      <w:bookmarkStart w:id="2261" w:name="_Toc69878903"/>
      <w:r>
        <w:t>Part 1 Section 19.3.1.16, cSld (Common Slide Data)</w:t>
      </w:r>
      <w:bookmarkEnd w:id="2260"/>
      <w:bookmarkEnd w:id="2261"/>
      <w:r>
        <w:fldChar w:fldCharType="begin"/>
      </w:r>
      <w:r>
        <w:instrText xml:space="preserve"> X</w:instrText>
      </w:r>
      <w:r>
        <w:instrText xml:space="preserve">E "cSld (Common Slide Data)" </w:instrText>
      </w:r>
      <w:r>
        <w:fldChar w:fldCharType="end"/>
      </w:r>
    </w:p>
    <w:p w:rsidR="005F78FC" w:rsidRDefault="00B42EF3">
      <w:pPr>
        <w:pStyle w:val="Definition-Field"/>
      </w:pPr>
      <w:r>
        <w:t xml:space="preserve">a.   </w:t>
      </w:r>
      <w:r>
        <w:rPr>
          <w:i/>
        </w:rPr>
        <w:t>The standard states that the controls element is a valid child of the cSld element.</w:t>
      </w:r>
    </w:p>
    <w:p w:rsidR="005F78FC" w:rsidRDefault="00B42EF3">
      <w:pPr>
        <w:pStyle w:val="Definition-Field2"/>
      </w:pPr>
      <w:r>
        <w:t>PowerPoint does not allow the controls element to be a child of the cSld element when the cSld's parent element is the handoutMaster el</w:t>
      </w:r>
      <w:r>
        <w:t>ement, the notes element, or the notesMaster element.</w:t>
      </w:r>
    </w:p>
    <w:p w:rsidR="005F78FC" w:rsidRDefault="00B42EF3">
      <w:pPr>
        <w:pStyle w:val="Heading3"/>
      </w:pPr>
      <w:bookmarkStart w:id="2262" w:name="section_ded574023d5740a88662fa25bfffe329"/>
      <w:bookmarkStart w:id="2263" w:name="_Toc69878904"/>
      <w:r>
        <w:t>Part 1 Section 19.3.1.17, custData (Customer Data)</w:t>
      </w:r>
      <w:bookmarkEnd w:id="2262"/>
      <w:bookmarkEnd w:id="2263"/>
      <w:r>
        <w:fldChar w:fldCharType="begin"/>
      </w:r>
      <w:r>
        <w:instrText xml:space="preserve"> XE "custData (Customer Data)" </w:instrText>
      </w:r>
      <w:r>
        <w:fldChar w:fldCharType="end"/>
      </w:r>
    </w:p>
    <w:p w:rsidR="005F78FC" w:rsidRDefault="00B42EF3">
      <w:pPr>
        <w:pStyle w:val="Definition-Field"/>
      </w:pPr>
      <w:r>
        <w:t xml:space="preserve">a.   </w:t>
      </w:r>
      <w:r>
        <w:rPr>
          <w:i/>
        </w:rPr>
        <w:t>The standard does not specify what type of resource the id attribute should refer to.</w:t>
      </w:r>
    </w:p>
    <w:p w:rsidR="005F78FC" w:rsidRDefault="00B42EF3">
      <w:pPr>
        <w:pStyle w:val="Definition-Field2"/>
      </w:pPr>
      <w:r>
        <w:t>PowerPoint requires that th</w:t>
      </w:r>
      <w:r>
        <w:t>e id attribute specify a valid data store item.</w:t>
      </w:r>
    </w:p>
    <w:p w:rsidR="005F78FC" w:rsidRDefault="00B42EF3">
      <w:pPr>
        <w:pStyle w:val="Heading3"/>
      </w:pPr>
      <w:bookmarkStart w:id="2264" w:name="section_9ddba7fd39a643d3b232fb6d0de0047b"/>
      <w:bookmarkStart w:id="2265" w:name="_Toc69878905"/>
      <w:r>
        <w:t>Part 1 Section 19.3.1.23, grpSpPr (Group Shape Properties)</w:t>
      </w:r>
      <w:bookmarkEnd w:id="2264"/>
      <w:bookmarkEnd w:id="2265"/>
      <w:r>
        <w:fldChar w:fldCharType="begin"/>
      </w:r>
      <w:r>
        <w:instrText xml:space="preserve"> XE "grpSpPr (Group Shape Properties)"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0b7e3dab028b4c2285e631bc3dc52e04">
        <w:r>
          <w:rPr>
            <w:rStyle w:val="Hyperlink"/>
          </w:rPr>
          <w:t>grpSpPr, §20.5.2.18(a-c)</w:t>
        </w:r>
      </w:hyperlink>
      <w:r>
        <w:rPr>
          <w:i/>
        </w:rPr>
        <w:t>.</w:t>
      </w:r>
    </w:p>
    <w:p w:rsidR="005F78FC" w:rsidRDefault="00B42EF3">
      <w:pPr>
        <w:pStyle w:val="Heading3"/>
      </w:pPr>
      <w:bookmarkStart w:id="2266" w:name="section_8951fadae9e043209013222984368104"/>
      <w:bookmarkStart w:id="2267" w:name="_Toc69878906"/>
      <w:r>
        <w:t>Part 1 Section 19.3.1.27, notesMaster (Notes Master)</w:t>
      </w:r>
      <w:bookmarkEnd w:id="2266"/>
      <w:bookmarkEnd w:id="2267"/>
      <w:r>
        <w:fldChar w:fldCharType="begin"/>
      </w:r>
      <w:r>
        <w:instrText xml:space="preserve"> XE "notesMaster (Notes Master)" </w:instrText>
      </w:r>
      <w:r>
        <w:fldChar w:fldCharType="end"/>
      </w:r>
    </w:p>
    <w:p w:rsidR="005F78FC" w:rsidRDefault="00B42EF3">
      <w:pPr>
        <w:pStyle w:val="Definition-Field"/>
      </w:pPr>
      <w:r>
        <w:t xml:space="preserve">a.   </w:t>
      </w:r>
      <w:r>
        <w:rPr>
          <w:i/>
        </w:rPr>
        <w:t xml:space="preserve">The standard states that the notesMaster element specifies an instance of a handout master </w:t>
      </w:r>
      <w:r>
        <w:rPr>
          <w:i/>
        </w:rPr>
        <w:t>slide.</w:t>
      </w:r>
    </w:p>
    <w:p w:rsidR="005F78FC" w:rsidRDefault="00B42EF3">
      <w:pPr>
        <w:pStyle w:val="Definition-Field2"/>
      </w:pPr>
      <w:r>
        <w:t>PowerPoint uses the notesMaster element to specify an instance of a notes master slide.</w:t>
      </w:r>
    </w:p>
    <w:p w:rsidR="005F78FC" w:rsidRDefault="00B42EF3">
      <w:pPr>
        <w:pStyle w:val="Definition-Field"/>
      </w:pPr>
      <w:r>
        <w:t xml:space="preserve">b.   </w:t>
      </w:r>
      <w:r>
        <w:rPr>
          <w:i/>
        </w:rPr>
        <w:t>The standard does not specify the z-order of shapes in a notes master slide.</w:t>
      </w:r>
    </w:p>
    <w:p w:rsidR="005F78FC" w:rsidRDefault="00B42EF3">
      <w:pPr>
        <w:pStyle w:val="Definition-Field2"/>
      </w:pPr>
      <w:r>
        <w:t>PowerPoint renders the shape elements contained in a notesMaster element in the</w:t>
      </w:r>
      <w:r>
        <w:t xml:space="preserve"> order they are written.  The note text is always rendered in the foreground.</w:t>
      </w:r>
    </w:p>
    <w:p w:rsidR="005F78FC" w:rsidRDefault="00B42EF3">
      <w:pPr>
        <w:pStyle w:val="Heading3"/>
      </w:pPr>
      <w:bookmarkStart w:id="2268" w:name="section_714b0f8f82e346b0a46d91c29471c19e"/>
      <w:bookmarkStart w:id="2269" w:name="_Toc69878907"/>
      <w:r>
        <w:lastRenderedPageBreak/>
        <w:t>Part 1 Section 19.3.1.28, notesStyle (Notes Text Style)</w:t>
      </w:r>
      <w:bookmarkEnd w:id="2268"/>
      <w:bookmarkEnd w:id="2269"/>
      <w:r>
        <w:fldChar w:fldCharType="begin"/>
      </w:r>
      <w:r>
        <w:instrText xml:space="preserve"> XE "notesStyle (Notes Text Style)" </w:instrText>
      </w:r>
      <w:r>
        <w:fldChar w:fldCharType="end"/>
      </w:r>
    </w:p>
    <w:p w:rsidR="005F78FC" w:rsidRDefault="00B42EF3">
      <w:pPr>
        <w:pStyle w:val="Definition-Field"/>
      </w:pPr>
      <w:r>
        <w:t xml:space="preserve">a.   </w:t>
      </w:r>
      <w:r>
        <w:rPr>
          <w:i/>
        </w:rPr>
        <w:t>The standard states that the notesStyle element specifies the text formatting s</w:t>
      </w:r>
      <w:r>
        <w:rPr>
          <w:i/>
        </w:rPr>
        <w:t>tyle for all text within a notes slide.</w:t>
      </w:r>
    </w:p>
    <w:p w:rsidR="005F78FC" w:rsidRDefault="00B42EF3">
      <w:pPr>
        <w:pStyle w:val="Definition-Field2"/>
      </w:pPr>
      <w:r>
        <w:t>PowerPoint uses the notesStyle element to specify the text in the notes section of the notes page view and the notes master view.</w:t>
      </w:r>
    </w:p>
    <w:p w:rsidR="005F78FC" w:rsidRDefault="00B42EF3">
      <w:pPr>
        <w:pStyle w:val="Heading3"/>
      </w:pPr>
      <w:bookmarkStart w:id="2270" w:name="section_df435a6d5e4b4d95b0e273276d70cc5b"/>
      <w:bookmarkStart w:id="2271" w:name="_Toc69878908"/>
      <w:r>
        <w:t>Part 1 Section 19.3.1.33, nvPr (Non-Visual Properties)</w:t>
      </w:r>
      <w:bookmarkEnd w:id="2270"/>
      <w:bookmarkEnd w:id="2271"/>
      <w:r>
        <w:fldChar w:fldCharType="begin"/>
      </w:r>
      <w:r>
        <w:instrText xml:space="preserve"> XE "nvPr (Non-Visual Properties</w:instrText>
      </w:r>
      <w:r>
        <w:instrText xml:space="preserve">)" </w:instrText>
      </w:r>
      <w:r>
        <w:fldChar w:fldCharType="end"/>
      </w:r>
    </w:p>
    <w:p w:rsidR="005F78FC" w:rsidRDefault="00B42EF3">
      <w:pPr>
        <w:pStyle w:val="Definition-Field"/>
      </w:pPr>
      <w:r>
        <w:t xml:space="preserve">a.   </w:t>
      </w:r>
      <w:r>
        <w:rPr>
          <w:i/>
        </w:rPr>
        <w:t>The standard states that the isPhoto attribute specifies whether the picture belongs to a photo album.</w:t>
      </w:r>
    </w:p>
    <w:p w:rsidR="005F78FC" w:rsidRDefault="00B42EF3">
      <w:pPr>
        <w:pStyle w:val="Definition-Field2"/>
      </w:pPr>
      <w:r>
        <w:t>PowerPoint does not support the isPhoto attribute when nvPr's parent element is the nvGrpSpPr element.</w:t>
      </w:r>
    </w:p>
    <w:p w:rsidR="005F78FC" w:rsidRDefault="00B42EF3">
      <w:pPr>
        <w:pStyle w:val="Definition-Field"/>
      </w:pPr>
      <w:r>
        <w:t xml:space="preserve">b.   </w:t>
      </w:r>
      <w:r>
        <w:rPr>
          <w:i/>
        </w:rPr>
        <w:t>The standard states that the ph el</w:t>
      </w:r>
      <w:r>
        <w:rPr>
          <w:i/>
        </w:rPr>
        <w:t>ement is a valid child of the nvPr element.</w:t>
      </w:r>
    </w:p>
    <w:p w:rsidR="005F78FC" w:rsidRDefault="00B42EF3">
      <w:pPr>
        <w:pStyle w:val="Definition-Field2"/>
      </w:pPr>
      <w:r>
        <w:t>PowerPoint does not allow the ph element to be a child of the nvPr element when the nvPr's parent element is the nvCxnSpPr element or the nvGrpSpPr element.</w:t>
      </w:r>
    </w:p>
    <w:p w:rsidR="005F78FC" w:rsidRDefault="00B42EF3">
      <w:pPr>
        <w:pStyle w:val="Heading3"/>
      </w:pPr>
      <w:bookmarkStart w:id="2272" w:name="section_3ec954b237a641da897304a592c91fb2"/>
      <w:bookmarkStart w:id="2273" w:name="_Toc69878909"/>
      <w:r>
        <w:t>Part 1 Section 19.3.1.36, ph (Placeholder Shape)</w:t>
      </w:r>
      <w:bookmarkEnd w:id="2272"/>
      <w:bookmarkEnd w:id="2273"/>
      <w:r>
        <w:fldChar w:fldCharType="begin"/>
      </w:r>
      <w:r>
        <w:instrText xml:space="preserve"> XE "ph</w:instrText>
      </w:r>
      <w:r>
        <w:instrText xml:space="preserve"> (Placeholder Shape)" </w:instrText>
      </w:r>
      <w:r>
        <w:fldChar w:fldCharType="end"/>
      </w:r>
    </w:p>
    <w:p w:rsidR="005F78FC" w:rsidRDefault="00B42EF3">
      <w:pPr>
        <w:pStyle w:val="Definition-Field"/>
      </w:pPr>
      <w:r>
        <w:t xml:space="preserve">a.   </w:t>
      </w:r>
      <w:r>
        <w:rPr>
          <w:i/>
        </w:rPr>
        <w:t>The standard states that the placeholder idx attribute specifies the placeholder index.</w:t>
      </w:r>
    </w:p>
    <w:p w:rsidR="005F78FC" w:rsidRDefault="00B42EF3">
      <w:r>
        <w:t>The following additional restrictions apply to values on the idx attribute:</w:t>
      </w:r>
    </w:p>
    <w:p w:rsidR="005F78FC" w:rsidRDefault="00B42EF3">
      <w:pPr>
        <w:pStyle w:val="ListParagraph"/>
        <w:numPr>
          <w:ilvl w:val="0"/>
          <w:numId w:val="124"/>
        </w:numPr>
        <w:contextualSpacing/>
      </w:pPr>
      <w:r>
        <w:t>For a placeholder on a Master, Notes Master, Handout Master, S</w:t>
      </w:r>
      <w:r>
        <w:t>lide Layout or Notes Slide the value shall not be equal to 0xffffffff.</w:t>
      </w:r>
    </w:p>
    <w:p w:rsidR="005F78FC" w:rsidRDefault="00B42EF3">
      <w:pPr>
        <w:pStyle w:val="ListParagraph"/>
        <w:numPr>
          <w:ilvl w:val="0"/>
          <w:numId w:val="124"/>
        </w:numPr>
        <w:contextualSpacing/>
      </w:pPr>
      <w:r>
        <w:t>For any two placeholders on a Master, Notes Master, Handout Master, Slide Layout or Notes Slide the values must not be the same.</w:t>
      </w:r>
    </w:p>
    <w:p w:rsidR="005F78FC" w:rsidRDefault="00B42EF3">
      <w:pPr>
        <w:pStyle w:val="ListParagraph"/>
        <w:numPr>
          <w:ilvl w:val="0"/>
          <w:numId w:val="124"/>
        </w:numPr>
        <w:contextualSpacing/>
      </w:pPr>
      <w:r>
        <w:t>For any two placeholders on a Slide with values not equa</w:t>
      </w:r>
      <w:r>
        <w:t>l to 0xffffffff the values shall not be the same.</w:t>
      </w:r>
    </w:p>
    <w:p w:rsidR="005F78FC" w:rsidRDefault="00B42EF3">
      <w:pPr>
        <w:pStyle w:val="ListParagraph"/>
        <w:numPr>
          <w:ilvl w:val="0"/>
          <w:numId w:val="124"/>
        </w:numPr>
      </w:pPr>
      <w:r>
        <w:t>For a placeholder on a Slide with a value not equal to 0xffffffff there shall be a placeholder on the Slide Layout with the same attribute values.</w:t>
      </w:r>
    </w:p>
    <w:p w:rsidR="005F78FC" w:rsidRDefault="00B42EF3">
      <w:pPr>
        <w:pStyle w:val="Definition-Field"/>
      </w:pPr>
      <w:r>
        <w:t xml:space="preserve">b.   </w:t>
      </w:r>
      <w:r>
        <w:rPr>
          <w:i/>
        </w:rPr>
        <w:t>The standard does not specify the inheritance model of</w:t>
      </w:r>
      <w:r>
        <w:rPr>
          <w:i/>
        </w:rPr>
        <w:t xml:space="preserve"> a placeholder shape.</w:t>
      </w:r>
    </w:p>
    <w:p w:rsidR="005F78FC" w:rsidRDefault="00B42EF3">
      <w:pPr>
        <w:pStyle w:val="Definition-Field2"/>
      </w:pPr>
      <w:r>
        <w:t>PowerPoint defines a placeholder shape on a slide to inherit from the slide layout placeholder with the same idx value, and a placeholder shape on a notes slide to inherit from the notes master placeholder with the same type value.</w:t>
      </w:r>
    </w:p>
    <w:p w:rsidR="005F78FC" w:rsidRDefault="00B42EF3">
      <w:pPr>
        <w:pStyle w:val="Heading3"/>
      </w:pPr>
      <w:bookmarkStart w:id="2274" w:name="section_ba458354c051419ea68e0027cbac03bc"/>
      <w:bookmarkStart w:id="2275" w:name="_Toc69878910"/>
      <w:r>
        <w:t>Pa</w:t>
      </w:r>
      <w:r>
        <w:t>rt 1 Section 19.3.1.38, sld (Presentation Slide)</w:t>
      </w:r>
      <w:bookmarkEnd w:id="2274"/>
      <w:bookmarkEnd w:id="2275"/>
      <w:r>
        <w:fldChar w:fldCharType="begin"/>
      </w:r>
      <w:r>
        <w:instrText xml:space="preserve"> XE "sld (Presentation Slide)" </w:instrText>
      </w:r>
      <w:r>
        <w:fldChar w:fldCharType="end"/>
      </w:r>
    </w:p>
    <w:p w:rsidR="005F78FC" w:rsidRDefault="00B42EF3">
      <w:pPr>
        <w:pStyle w:val="Definition-Field"/>
      </w:pPr>
      <w:r>
        <w:t xml:space="preserve">a.   </w:t>
      </w:r>
      <w:r>
        <w:rPr>
          <w:i/>
        </w:rPr>
        <w:t>The standard states that the sld element specifies a slide within a slide list, where the slide list is used to specify an ordering of slides.</w:t>
      </w:r>
    </w:p>
    <w:p w:rsidR="005F78FC" w:rsidRDefault="00B42EF3">
      <w:pPr>
        <w:pStyle w:val="Definition-Field2"/>
      </w:pPr>
      <w:r>
        <w:t>PowerPoint uses this eleme</w:t>
      </w:r>
      <w:r>
        <w:t>nt to specify the root element of a slide part.</w:t>
      </w:r>
    </w:p>
    <w:p w:rsidR="005F78FC" w:rsidRDefault="00B42EF3">
      <w:pPr>
        <w:pStyle w:val="Heading3"/>
      </w:pPr>
      <w:bookmarkStart w:id="2276" w:name="section_72be4c606c0f4d7f9876c9aef5af30a5"/>
      <w:bookmarkStart w:id="2277" w:name="_Toc69878911"/>
      <w:r>
        <w:t>Part 1 Section 19.3.1.44, spPr (Shape Properties)</w:t>
      </w:r>
      <w:bookmarkEnd w:id="2276"/>
      <w:bookmarkEnd w:id="2277"/>
      <w:r>
        <w:fldChar w:fldCharType="begin"/>
      </w:r>
      <w:r>
        <w:instrText xml:space="preserve"> XE "spPr (Shape Properties)"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rsidR="005F78FC" w:rsidRDefault="00B42EF3">
      <w:pPr>
        <w:pStyle w:val="Heading3"/>
      </w:pPr>
      <w:bookmarkStart w:id="2278" w:name="section_48a966ea81ee44d28ed033607dc865e5"/>
      <w:bookmarkStart w:id="2279" w:name="_Toc69878912"/>
      <w:r>
        <w:lastRenderedPageBreak/>
        <w:t>Part 1 Section 19.3.1.53, xfrm (2D Transform for Graphic Frame)</w:t>
      </w:r>
      <w:bookmarkEnd w:id="2278"/>
      <w:bookmarkEnd w:id="2279"/>
      <w:r>
        <w:fldChar w:fldCharType="begin"/>
      </w:r>
      <w:r>
        <w:instrText xml:space="preserve"> XE "xfrm (2D Transform for Graphic Frame)"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c7555d2c472a4d15b23041046bc41819">
        <w:r>
          <w:rPr>
            <w:rStyle w:val="Hyperlink"/>
          </w:rPr>
          <w:t>xfrm, §20.1.7.6(a)</w:t>
        </w:r>
      </w:hyperlink>
      <w:r>
        <w:rPr>
          <w:i/>
        </w:rPr>
        <w:t>.</w:t>
      </w:r>
    </w:p>
    <w:p w:rsidR="005F78FC" w:rsidRDefault="00B42EF3">
      <w:pPr>
        <w:pStyle w:val="Heading3"/>
      </w:pPr>
      <w:bookmarkStart w:id="2280" w:name="section_4a7566a1d53e40df8b001876715deeec"/>
      <w:bookmarkStart w:id="2281" w:name="_Toc69878913"/>
      <w:r>
        <w:t>Part 1 Section 19.3.2.1, control (Embedded Control)</w:t>
      </w:r>
      <w:bookmarkEnd w:id="2280"/>
      <w:bookmarkEnd w:id="2281"/>
      <w:r>
        <w:fldChar w:fldCharType="begin"/>
      </w:r>
      <w:r>
        <w:instrText xml:space="preserve"> XE "control (Embedded Control)" </w:instrText>
      </w:r>
      <w:r>
        <w:fldChar w:fldCharType="end"/>
      </w:r>
    </w:p>
    <w:p w:rsidR="005F78FC" w:rsidRDefault="00B42EF3">
      <w:pPr>
        <w:pStyle w:val="Definition-Field2"/>
      </w:pPr>
      <w:r>
        <w:rPr>
          <w:i/>
        </w:rPr>
        <w:t>For additional notes that apply to this portion of the standard, please see the notes fo</w:t>
      </w:r>
      <w:r>
        <w:rPr>
          <w:i/>
        </w:rPr>
        <w:t xml:space="preserve">r </w:t>
      </w:r>
      <w:hyperlink w:anchor="Section_3301d159111e4ccf9211af5d1f4a0a03">
        <w:r>
          <w:rPr>
            <w:rStyle w:val="Hyperlink"/>
          </w:rPr>
          <w:t>oleObj, §19.3.2.4(b, c)</w:t>
        </w:r>
      </w:hyperlink>
      <w:r>
        <w:rPr>
          <w:i/>
        </w:rPr>
        <w:t>.</w:t>
      </w:r>
    </w:p>
    <w:p w:rsidR="005F78FC" w:rsidRDefault="00B42EF3">
      <w:pPr>
        <w:pStyle w:val="Definition-Field"/>
      </w:pPr>
      <w:r>
        <w:t xml:space="preserve">a.   </w:t>
      </w:r>
      <w:r>
        <w:rPr>
          <w:i/>
        </w:rPr>
        <w:t>The standard states that the showAsIcon attribute specifies whether the Embedded object will be shown as an icon or using its native representation.</w:t>
      </w:r>
    </w:p>
    <w:p w:rsidR="005F78FC" w:rsidRDefault="00B42EF3">
      <w:pPr>
        <w:pStyle w:val="Definition-Field2"/>
      </w:pPr>
      <w:r>
        <w:t>PowerPoint u</w:t>
      </w:r>
      <w:r>
        <w:t>ses the showAsIcon attribute to specify the user preference to show the Embedded object as an icon rather than using its native representation.</w:t>
      </w:r>
    </w:p>
    <w:p w:rsidR="005F78FC" w:rsidRDefault="00B42EF3">
      <w:pPr>
        <w:pStyle w:val="Definition-Field"/>
      </w:pPr>
      <w:r>
        <w:t xml:space="preserve">b.   </w:t>
      </w:r>
      <w:r>
        <w:rPr>
          <w:i/>
        </w:rPr>
        <w:t>The standard states that the imgW attribute specifies the width of the embedded control.</w:t>
      </w:r>
    </w:p>
    <w:p w:rsidR="005F78FC" w:rsidRDefault="00B42EF3">
      <w:pPr>
        <w:pStyle w:val="Definition-Field2"/>
      </w:pPr>
      <w:r>
        <w:t>PowerPoint uses th</w:t>
      </w:r>
      <w:r>
        <w:t>e imgW attribute to specify the width of the thumbnail image.</w:t>
      </w:r>
    </w:p>
    <w:p w:rsidR="005F78FC" w:rsidRDefault="00B42EF3">
      <w:pPr>
        <w:pStyle w:val="Definition-Field"/>
      </w:pPr>
      <w:r>
        <w:t xml:space="preserve">c.   </w:t>
      </w:r>
      <w:r>
        <w:rPr>
          <w:i/>
        </w:rPr>
        <w:t>The standard states that the imgH attribute specifies the height of the embedded control.</w:t>
      </w:r>
    </w:p>
    <w:p w:rsidR="005F78FC" w:rsidRDefault="00B42EF3">
      <w:pPr>
        <w:pStyle w:val="Definition-Field2"/>
      </w:pPr>
      <w:r>
        <w:t>PowerPoint uses the imgH attribute to specify the height of the thumbnail image.</w:t>
      </w:r>
    </w:p>
    <w:p w:rsidR="005F78FC" w:rsidRDefault="00B42EF3">
      <w:pPr>
        <w:pStyle w:val="Heading3"/>
      </w:pPr>
      <w:bookmarkStart w:id="2282" w:name="section_31c096fd0b5c4a08baf1480296df51b3"/>
      <w:bookmarkStart w:id="2283" w:name="_Toc69878914"/>
      <w:r>
        <w:t>Part 1 Section 19.</w:t>
      </w:r>
      <w:r>
        <w:t>3.2.2, embed (Embedded Object or Control)</w:t>
      </w:r>
      <w:bookmarkEnd w:id="2282"/>
      <w:bookmarkEnd w:id="2283"/>
      <w:r>
        <w:fldChar w:fldCharType="begin"/>
      </w:r>
      <w:r>
        <w:instrText xml:space="preserve"> XE "embed (Embedded Object or Control)" </w:instrText>
      </w:r>
      <w:r>
        <w:fldChar w:fldCharType="end"/>
      </w:r>
    </w:p>
    <w:p w:rsidR="005F78FC" w:rsidRDefault="00B42EF3">
      <w:pPr>
        <w:pStyle w:val="Definition-Field"/>
      </w:pPr>
      <w:r>
        <w:t xml:space="preserve">a.   </w:t>
      </w:r>
      <w:r>
        <w:rPr>
          <w:i/>
        </w:rPr>
        <w:t>The standard states that the embed element specifies an Embedded object or Control that is embedded within the presentation.</w:t>
      </w:r>
    </w:p>
    <w:p w:rsidR="005F78FC" w:rsidRDefault="00B42EF3">
      <w:pPr>
        <w:pStyle w:val="Definition-Field2"/>
      </w:pPr>
      <w:r>
        <w:t>PowerPoint uses the embed element to spec</w:t>
      </w:r>
      <w:r>
        <w:t>ify an OLE object that is embedded within the presentation.</w:t>
      </w:r>
    </w:p>
    <w:p w:rsidR="005F78FC" w:rsidRDefault="00B42EF3">
      <w:pPr>
        <w:pStyle w:val="Heading3"/>
      </w:pPr>
      <w:bookmarkStart w:id="2284" w:name="section_7abe11b8b25046bc877dd4490aa3d1ff"/>
      <w:bookmarkStart w:id="2285" w:name="_Toc69878915"/>
      <w:r>
        <w:t>Part 1 Section 19.3.2.3, link (Linked Object or Control)</w:t>
      </w:r>
      <w:bookmarkEnd w:id="2284"/>
      <w:bookmarkEnd w:id="2285"/>
      <w:r>
        <w:fldChar w:fldCharType="begin"/>
      </w:r>
      <w:r>
        <w:instrText xml:space="preserve"> XE "link (Linked Object or Control)" </w:instrText>
      </w:r>
      <w:r>
        <w:fldChar w:fldCharType="end"/>
      </w:r>
    </w:p>
    <w:p w:rsidR="005F78FC" w:rsidRDefault="00B42EF3">
      <w:pPr>
        <w:pStyle w:val="Definition-Field"/>
      </w:pPr>
      <w:r>
        <w:t xml:space="preserve">a.   </w:t>
      </w:r>
      <w:r>
        <w:rPr>
          <w:i/>
        </w:rPr>
        <w:t>The standard states that the link element specifies a link to an external Embedded object or C</w:t>
      </w:r>
      <w:r>
        <w:rPr>
          <w:i/>
        </w:rPr>
        <w:t>ontrol.</w:t>
      </w:r>
    </w:p>
    <w:p w:rsidR="005F78FC" w:rsidRDefault="00B42EF3">
      <w:pPr>
        <w:pStyle w:val="Definition-Field2"/>
      </w:pPr>
      <w:r>
        <w:t>PowerPoint the link this element to specify a link to an external OLE object.</w:t>
      </w:r>
    </w:p>
    <w:p w:rsidR="005F78FC" w:rsidRDefault="00B42EF3">
      <w:pPr>
        <w:pStyle w:val="Heading3"/>
      </w:pPr>
      <w:bookmarkStart w:id="2286" w:name="section_3301d159111e4ccf9211af5d1f4a0a03"/>
      <w:bookmarkStart w:id="2287" w:name="_Toc69878916"/>
      <w:r>
        <w:t>Part 1 Section 19.3.2.4, oleObj (Global Element for Embedded objects and Controls)</w:t>
      </w:r>
      <w:bookmarkEnd w:id="2286"/>
      <w:bookmarkEnd w:id="2287"/>
      <w:r>
        <w:fldChar w:fldCharType="begin"/>
      </w:r>
      <w:r>
        <w:instrText xml:space="preserve"> XE "oleObj (Global Element for Embedded objects and Controls)" </w:instrText>
      </w:r>
      <w:r>
        <w:fldChar w:fldCharType="end"/>
      </w:r>
    </w:p>
    <w:p w:rsidR="005F78FC" w:rsidRDefault="00B42EF3">
      <w:pPr>
        <w:pStyle w:val="Definition-Field2"/>
      </w:pPr>
      <w:r>
        <w:rPr>
          <w:i/>
        </w:rPr>
        <w:t xml:space="preserve">For additional notes </w:t>
      </w:r>
      <w:r>
        <w:rPr>
          <w:i/>
        </w:rPr>
        <w:t xml:space="preserve">that apply to this portion of the standard, please see the notes for </w:t>
      </w:r>
      <w:hyperlink w:anchor="Section_4a7566a1d53e40df8b001876715deeec">
        <w:r>
          <w:rPr>
            <w:rStyle w:val="Hyperlink"/>
          </w:rPr>
          <w:t>control, §19.3.2.1(a-c)</w:t>
        </w:r>
      </w:hyperlink>
      <w:r>
        <w:rPr>
          <w:i/>
        </w:rPr>
        <w:t>.</w:t>
      </w:r>
    </w:p>
    <w:p w:rsidR="005F78FC" w:rsidRDefault="00B42EF3">
      <w:pPr>
        <w:pStyle w:val="Definition-Field"/>
      </w:pPr>
      <w:r>
        <w:t xml:space="preserve">a.   </w:t>
      </w:r>
      <w:r>
        <w:rPr>
          <w:i/>
        </w:rPr>
        <w:t>The standard states that the oleObj element specifies a global element to be used for an Embed</w:t>
      </w:r>
      <w:r>
        <w:rPr>
          <w:i/>
        </w:rPr>
        <w:t>ded object and Control.</w:t>
      </w:r>
    </w:p>
    <w:p w:rsidR="005F78FC" w:rsidRDefault="00B42EF3">
      <w:pPr>
        <w:pStyle w:val="Definition-Field2"/>
      </w:pPr>
      <w:r>
        <w:t>PowerPoint uses the oleObj element to specify a global element to be used for an OLE object.</w:t>
      </w:r>
    </w:p>
    <w:p w:rsidR="005F78FC" w:rsidRDefault="00B42EF3">
      <w:pPr>
        <w:pStyle w:val="Definition-Field"/>
      </w:pPr>
      <w:r>
        <w:t xml:space="preserve">b.   </w:t>
      </w:r>
      <w:r>
        <w:rPr>
          <w:i/>
        </w:rPr>
        <w:t>The standard states that the imgW attribute specifies the width of the embedded control.</w:t>
      </w:r>
    </w:p>
    <w:p w:rsidR="005F78FC" w:rsidRDefault="00B42EF3">
      <w:pPr>
        <w:pStyle w:val="Definition-Field2"/>
      </w:pPr>
      <w:r>
        <w:t>PowerPoint uses the imgW attribute to specify</w:t>
      </w:r>
      <w:r>
        <w:t xml:space="preserve"> the width of the thumbnail image.</w:t>
      </w:r>
    </w:p>
    <w:p w:rsidR="005F78FC" w:rsidRDefault="00B42EF3">
      <w:pPr>
        <w:pStyle w:val="Definition-Field"/>
      </w:pPr>
      <w:r>
        <w:t xml:space="preserve">c.   </w:t>
      </w:r>
      <w:r>
        <w:rPr>
          <w:i/>
        </w:rPr>
        <w:t>The standard states that the imgH attribute specifies the height of the embedded control.</w:t>
      </w:r>
    </w:p>
    <w:p w:rsidR="005F78FC" w:rsidRDefault="00B42EF3">
      <w:pPr>
        <w:pStyle w:val="Definition-Field2"/>
      </w:pPr>
      <w:r>
        <w:t>PowerPoint uses the imgH attribute to specify the height of the thumbnail image.</w:t>
      </w:r>
    </w:p>
    <w:p w:rsidR="005F78FC" w:rsidRDefault="00B42EF3">
      <w:pPr>
        <w:pStyle w:val="Definition-Field"/>
      </w:pPr>
      <w:r>
        <w:lastRenderedPageBreak/>
        <w:t xml:space="preserve">d.   </w:t>
      </w:r>
      <w:r>
        <w:rPr>
          <w:i/>
        </w:rPr>
        <w:t xml:space="preserve">The standard states that the showAsIcon </w:t>
      </w:r>
      <w:r>
        <w:rPr>
          <w:i/>
        </w:rPr>
        <w:t>attribute specifies whether the Embedded object will be shown as an icon or using its native representation.</w:t>
      </w:r>
    </w:p>
    <w:p w:rsidR="005F78FC" w:rsidRDefault="00B42EF3">
      <w:pPr>
        <w:pStyle w:val="Definition-Field2"/>
      </w:pPr>
      <w:r>
        <w:t>PowerPoint uses the showAsIcon attribute to specify the user preference to show the Embedded object as an icon rather than using its native represe</w:t>
      </w:r>
      <w:r>
        <w:t>ntation.</w:t>
      </w:r>
    </w:p>
    <w:p w:rsidR="005F78FC" w:rsidRDefault="00B42EF3">
      <w:pPr>
        <w:pStyle w:val="Heading3"/>
      </w:pPr>
      <w:bookmarkStart w:id="2288" w:name="section_b46caa4c8bed427cb3fe54b98941ab76"/>
      <w:bookmarkStart w:id="2289" w:name="_Toc69878917"/>
      <w:r>
        <w:t>Part 1 Section 19.3.3.1, tag (Programmable Extensibility Tag)</w:t>
      </w:r>
      <w:bookmarkEnd w:id="2288"/>
      <w:bookmarkEnd w:id="2289"/>
      <w:r>
        <w:fldChar w:fldCharType="begin"/>
      </w:r>
      <w:r>
        <w:instrText xml:space="preserve"> XE "tag (Programmable Extensibility Tag)" </w:instrText>
      </w:r>
      <w:r>
        <w:fldChar w:fldCharType="end"/>
      </w:r>
    </w:p>
    <w:p w:rsidR="005F78FC" w:rsidRDefault="00B42EF3">
      <w:pPr>
        <w:pStyle w:val="Definition-Field"/>
      </w:pPr>
      <w:r>
        <w:t xml:space="preserve">a.   </w:t>
      </w:r>
      <w:r>
        <w:rPr>
          <w:i/>
        </w:rPr>
        <w:t>The standard implies that the name attribute is optional.</w:t>
      </w:r>
    </w:p>
    <w:p w:rsidR="005F78FC" w:rsidRDefault="00B42EF3">
      <w:pPr>
        <w:pStyle w:val="Definition-Field2"/>
      </w:pPr>
      <w:r>
        <w:t>PowerPoint requires the name attribute.</w:t>
      </w:r>
    </w:p>
    <w:p w:rsidR="005F78FC" w:rsidRDefault="00B42EF3">
      <w:pPr>
        <w:pStyle w:val="Definition-Field"/>
      </w:pPr>
      <w:r>
        <w:t xml:space="preserve">b.   </w:t>
      </w:r>
      <w:r>
        <w:rPr>
          <w:i/>
        </w:rPr>
        <w:t xml:space="preserve">The standard implies that the </w:t>
      </w:r>
      <w:r>
        <w:rPr>
          <w:i/>
        </w:rPr>
        <w:t>val attribute is optional.</w:t>
      </w:r>
    </w:p>
    <w:p w:rsidR="005F78FC" w:rsidRDefault="00B42EF3">
      <w:pPr>
        <w:pStyle w:val="Definition-Field2"/>
      </w:pPr>
      <w:r>
        <w:t>PowerPoint requires the val attribute.</w:t>
      </w:r>
    </w:p>
    <w:p w:rsidR="005F78FC" w:rsidRDefault="00B42EF3">
      <w:pPr>
        <w:pStyle w:val="Definition-Field"/>
      </w:pPr>
      <w:r>
        <w:t xml:space="preserve">c.   </w:t>
      </w:r>
      <w:r>
        <w:rPr>
          <w:i/>
        </w:rPr>
        <w:t>The standard places no restrictions on the string value of the name attribute.</w:t>
      </w:r>
    </w:p>
    <w:p w:rsidR="005F78FC" w:rsidRDefault="00B42EF3">
      <w:pPr>
        <w:pStyle w:val="Definition-Field2"/>
      </w:pPr>
      <w:r>
        <w:t xml:space="preserve">PowerPoint requires that, within the scope of the tagLst parent element, the value for the name attribute </w:t>
      </w:r>
      <w:r>
        <w:t>must be case-insensitively unique.</w:t>
      </w:r>
    </w:p>
    <w:p w:rsidR="005F78FC" w:rsidRDefault="00B42EF3">
      <w:pPr>
        <w:pStyle w:val="Definition-Field"/>
      </w:pPr>
      <w:r>
        <w:t xml:space="preserve">d.   </w:t>
      </w:r>
      <w:r>
        <w:rPr>
          <w:i/>
        </w:rPr>
        <w:t>The standard does not specify where recorded slide animation timings are stored.</w:t>
      </w:r>
    </w:p>
    <w:p w:rsidR="005F78FC" w:rsidRDefault="00B42EF3">
      <w:r>
        <w:t>PowerPoint uses a special tag to store slide auto advance timings for the presentation slide that contains this tag. The name attribute</w:t>
      </w:r>
      <w:r>
        <w:t xml:space="preserve"> has a value of "TIMING", and the value attribute has a value that is a valid Time_string, as specified in the following grammar:</w:t>
      </w:r>
    </w:p>
    <w:p w:rsidR="005F78FC" w:rsidRDefault="00B42EF3">
      <w:r>
        <w:t>Time_string  =  *Time_element          ; time string can have zero or more elements</w:t>
      </w:r>
    </w:p>
    <w:p w:rsidR="005F78FC" w:rsidRDefault="00B42EF3">
      <w:r>
        <w:t>Time_element = "|" Time_value          ; e</w:t>
      </w:r>
      <w:r>
        <w:t>ach element is preceded by character "|"</w:t>
      </w:r>
    </w:p>
    <w:p w:rsidR="005F78FC" w:rsidRDefault="00B42EF3">
      <w:r>
        <w:t>Time_value   = 1*DIGIT "." 1*1 DIGIT   ; seconds with rounding to 1/10th of a second</w:t>
      </w:r>
    </w:p>
    <w:p w:rsidR="005F78FC" w:rsidRDefault="00B42EF3">
      <w:r>
        <w:t>Each time value specifies the animation build advance time of the slide. Time zero is the time that this slide displays during a s</w:t>
      </w:r>
      <w:r>
        <w:t xml:space="preserve">lide show. The time unit is in seconds, rounded to 1/10th of a second. If there is no animation on a presentation slide, the value attribute contains an empty string. </w:t>
      </w:r>
    </w:p>
    <w:p w:rsidR="005F78FC" w:rsidRDefault="00B42EF3">
      <w:r>
        <w:t xml:space="preserve"> [</w:t>
      </w:r>
      <w:r>
        <w:rPr>
          <w:i/>
        </w:rPr>
        <w:t>Example:</w:t>
      </w:r>
    </w:p>
    <w:p w:rsidR="005F78FC" w:rsidRDefault="00B42EF3">
      <w:r>
        <w:t>&lt;p:tag name="TIMING" val="|2.9|3.5|4.6"/&gt;</w:t>
      </w:r>
    </w:p>
    <w:p w:rsidR="005F78FC" w:rsidRDefault="00B42EF3">
      <w:r>
        <w:rPr>
          <w:i/>
        </w:rPr>
        <w:t>end example</w:t>
      </w:r>
      <w:r>
        <w:t>]</w:t>
      </w:r>
    </w:p>
    <w:p w:rsidR="005F78FC" w:rsidRDefault="00B42EF3">
      <w:pPr>
        <w:pStyle w:val="Heading3"/>
      </w:pPr>
      <w:bookmarkStart w:id="2290" w:name="section_c171db8d5e194fbbb38d379bca4fa451"/>
      <w:bookmarkStart w:id="2291" w:name="_Toc69878918"/>
      <w:r>
        <w:t>Part 1 Section 19.4.1,</w:t>
      </w:r>
      <w:r>
        <w:t xml:space="preserve"> cm (Comment)</w:t>
      </w:r>
      <w:bookmarkEnd w:id="2290"/>
      <w:bookmarkEnd w:id="2291"/>
      <w:r>
        <w:fldChar w:fldCharType="begin"/>
      </w:r>
      <w:r>
        <w:instrText xml:space="preserve"> XE "cm (Comment)" </w:instrText>
      </w:r>
      <w:r>
        <w:fldChar w:fldCharType="end"/>
      </w:r>
    </w:p>
    <w:p w:rsidR="005F78FC" w:rsidRDefault="00B42EF3">
      <w:pPr>
        <w:pStyle w:val="Definition-Field"/>
      </w:pPr>
      <w:r>
        <w:t xml:space="preserve">a.   </w:t>
      </w:r>
      <w:r>
        <w:rPr>
          <w:i/>
        </w:rPr>
        <w:t>The standard does not state how to interpret the position information of the pos child element.</w:t>
      </w:r>
    </w:p>
    <w:p w:rsidR="005F78FC" w:rsidRDefault="00B42EF3">
      <w:pPr>
        <w:pStyle w:val="Definition-Field2"/>
      </w:pPr>
      <w:r>
        <w:t>PowerPoint interprets the position information to be relative to the top, left corner of the slide.</w:t>
      </w:r>
    </w:p>
    <w:p w:rsidR="005F78FC" w:rsidRDefault="00B42EF3">
      <w:pPr>
        <w:pStyle w:val="Heading3"/>
      </w:pPr>
      <w:bookmarkStart w:id="2292" w:name="section_34ada90e9cb84efbb20e027eed8c75e3"/>
      <w:bookmarkStart w:id="2293" w:name="_Toc69878919"/>
      <w:r>
        <w:t>Part 1 Section 19.4.</w:t>
      </w:r>
      <w:r>
        <w:t>5, pos (Comment Position)</w:t>
      </w:r>
      <w:bookmarkEnd w:id="2292"/>
      <w:bookmarkEnd w:id="2293"/>
      <w:r>
        <w:fldChar w:fldCharType="begin"/>
      </w:r>
      <w:r>
        <w:instrText xml:space="preserve"> XE "pos (Comment Position)"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5F78FC" w:rsidRDefault="00B42EF3">
      <w:pPr>
        <w:pStyle w:val="Definition-Field"/>
      </w:pPr>
      <w:r>
        <w:t xml:space="preserve">a.   </w:t>
      </w:r>
      <w:r>
        <w:rPr>
          <w:i/>
        </w:rPr>
        <w:t xml:space="preserve">The standard states </w:t>
      </w:r>
      <w:r>
        <w:rPr>
          <w:i/>
        </w:rPr>
        <w:t>that the y attribute specifies a coordinate on the x-axis.</w:t>
      </w:r>
    </w:p>
    <w:p w:rsidR="005F78FC" w:rsidRDefault="00B42EF3">
      <w:pPr>
        <w:pStyle w:val="Definition-Field2"/>
      </w:pPr>
      <w:r>
        <w:t>PowerPoint uses this attribute to specify a coordinate on the y-axis.</w:t>
      </w:r>
    </w:p>
    <w:p w:rsidR="005F78FC" w:rsidRDefault="00B42EF3">
      <w:pPr>
        <w:pStyle w:val="Definition-Field"/>
      </w:pPr>
      <w:r>
        <w:t xml:space="preserve">b.   </w:t>
      </w:r>
      <w:r>
        <w:rPr>
          <w:i/>
        </w:rPr>
        <w:t>The standard states that the possible values of the x and y attributes are defined by the ST_Coordinate simple type ("</w:t>
      </w:r>
      <w:hyperlink r:id="rId156">
        <w:r>
          <w:rPr>
            <w:rStyle w:val="Hyperlink"/>
          </w:rPr>
          <w:t>[ISO/IEC-29500-1]</w:t>
        </w:r>
      </w:hyperlink>
      <w:r>
        <w:rPr>
          <w:i/>
        </w:rPr>
        <w:t xml:space="preserve"> §20.1.10.16; ST_Coordinate (Coordinate)").</w:t>
      </w:r>
    </w:p>
    <w:p w:rsidR="005F78FC" w:rsidRDefault="00B42EF3">
      <w:pPr>
        <w:pStyle w:val="Definition-Field2"/>
      </w:pPr>
      <w:r>
        <w:lastRenderedPageBreak/>
        <w:t>PowerPoint treats the possible values of the x and y attributes as they were defined by the ST_ EighthPointMeasure simple type ("[ISO</w:t>
      </w:r>
      <w:r>
        <w:t>/IEC-29500-1] §17.18.23; ST_EighthPointMeasure").</w:t>
      </w:r>
    </w:p>
    <w:p w:rsidR="005F78FC" w:rsidRDefault="00B42EF3">
      <w:pPr>
        <w:pStyle w:val="Heading3"/>
      </w:pPr>
      <w:bookmarkStart w:id="2294" w:name="section_e9355b9351844ffe842863a08858da2f"/>
      <w:bookmarkStart w:id="2295" w:name="_Toc69878920"/>
      <w:r>
        <w:t>Part 1 Section 19.5.1, anim (Animate)</w:t>
      </w:r>
      <w:bookmarkEnd w:id="2294"/>
      <w:bookmarkEnd w:id="2295"/>
      <w:r>
        <w:fldChar w:fldCharType="begin"/>
      </w:r>
      <w:r>
        <w:instrText xml:space="preserve"> XE "anim (Animate)"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5F78FC" w:rsidRDefault="00B42EF3">
      <w:pPr>
        <w:pStyle w:val="Definition-Field"/>
      </w:pPr>
      <w:r>
        <w:t xml:space="preserve">a.   </w:t>
      </w:r>
      <w:r>
        <w:rPr>
          <w:i/>
        </w:rPr>
        <w:t>The standard states that the to attribute specifies the ending value for the animation as a percentage.</w:t>
      </w:r>
    </w:p>
    <w:p w:rsidR="005F78FC" w:rsidRDefault="00B42EF3">
      <w:pPr>
        <w:pStyle w:val="Definition-Field2"/>
      </w:pPr>
      <w:r>
        <w:t>PowerPoint does not specify the ending value as a percentage.</w:t>
      </w:r>
    </w:p>
    <w:p w:rsidR="005F78FC" w:rsidRDefault="00B42EF3">
      <w:pPr>
        <w:pStyle w:val="Definition-Field"/>
      </w:pPr>
      <w:r>
        <w:t xml:space="preserve">b.   </w:t>
      </w:r>
      <w:r>
        <w:rPr>
          <w:i/>
        </w:rPr>
        <w:t xml:space="preserve">The standard does not state a default value for the </w:t>
      </w:r>
      <w:r>
        <w:rPr>
          <w:i/>
        </w:rPr>
        <w:t>calcmode attribute.</w:t>
      </w:r>
    </w:p>
    <w:p w:rsidR="005F78FC" w:rsidRDefault="00B42EF3">
      <w:pPr>
        <w:pStyle w:val="Definition-Field2"/>
      </w:pPr>
      <w:r>
        <w:t>PowerPoint uses a default value of lin for the calcmode attribute.</w:t>
      </w:r>
    </w:p>
    <w:p w:rsidR="005F78FC" w:rsidRDefault="00B42EF3">
      <w:pPr>
        <w:pStyle w:val="Definition-Field"/>
      </w:pPr>
      <w:r>
        <w:t xml:space="preserve">c.   </w:t>
      </w:r>
      <w:r>
        <w:rPr>
          <w:i/>
        </w:rPr>
        <w:t>The standard does not state a default value for the valueType attribute.</w:t>
      </w:r>
    </w:p>
    <w:p w:rsidR="005F78FC" w:rsidRDefault="00B42EF3">
      <w:pPr>
        <w:pStyle w:val="Definition-Field2"/>
      </w:pPr>
      <w:r>
        <w:t>PowerPoint uses a default value of num for the valueType attribute.</w:t>
      </w:r>
    </w:p>
    <w:p w:rsidR="005F78FC" w:rsidRDefault="00B42EF3">
      <w:pPr>
        <w:pStyle w:val="Definition-Field"/>
      </w:pPr>
      <w:r>
        <w:t xml:space="preserve">d.   </w:t>
      </w:r>
      <w:r>
        <w:rPr>
          <w:i/>
        </w:rPr>
        <w:t xml:space="preserve">The standard </w:t>
      </w:r>
      <w:r>
        <w:rPr>
          <w:i/>
        </w:rPr>
        <w:t>states that the values of the from attribute are defined by the XML Schema string datatype.</w:t>
      </w:r>
    </w:p>
    <w:p w:rsidR="005F78FC" w:rsidRDefault="00B42EF3">
      <w:pPr>
        <w:pStyle w:val="Definition-Field2"/>
      </w:pPr>
      <w:r>
        <w:t xml:space="preserve">PowerPoint requires that the value of the from attribute be specified as a preset string value, as specified in the to element; as a string that represents a color </w:t>
      </w:r>
      <w:r>
        <w:t>value and a real number, as specified in the to element; or as an arbitrary string.</w:t>
      </w:r>
    </w:p>
    <w:p w:rsidR="005F78FC" w:rsidRDefault="00B42EF3">
      <w:pPr>
        <w:pStyle w:val="Definition-Field"/>
      </w:pPr>
      <w:r>
        <w:t xml:space="preserve">e.   </w:t>
      </w:r>
      <w:r>
        <w:rPr>
          <w:i/>
        </w:rPr>
        <w:t>The standard states that the values of the by attribute are defined by the XML Schema string datatype.</w:t>
      </w:r>
    </w:p>
    <w:p w:rsidR="005F78FC" w:rsidRDefault="00B42EF3">
      <w:pPr>
        <w:pStyle w:val="Definition-Field2"/>
      </w:pPr>
      <w:r>
        <w:t>PowerPoint requires that the value of the by attribute be specif</w:t>
      </w:r>
      <w:r>
        <w:t>ied as a preset string value, as specified in the to element; as a string that represents a color value and a real number, as specified in the to element; or as an arbitrary string.</w:t>
      </w:r>
    </w:p>
    <w:p w:rsidR="005F78FC" w:rsidRDefault="00B42EF3">
      <w:pPr>
        <w:pStyle w:val="Definition-Field"/>
      </w:pPr>
      <w:r>
        <w:t xml:space="preserve">f.   </w:t>
      </w:r>
      <w:r>
        <w:rPr>
          <w:i/>
        </w:rPr>
        <w:t>The standard states that the values of the to attribute are defined b</w:t>
      </w:r>
      <w:r>
        <w:rPr>
          <w:i/>
        </w:rPr>
        <w:t>y the XML Schema string datatype.</w:t>
      </w:r>
    </w:p>
    <w:p w:rsidR="005F78FC" w:rsidRDefault="00B42EF3">
      <w:pPr>
        <w:pStyle w:val="Definition-Field2"/>
      </w:pPr>
      <w:r>
        <w:t xml:space="preserve">PowerPoint requires that the value of the to attribute be specified as a preset string value, as specified in the to element; as a string that represents a color value and a real number, as specified in the to element; or </w:t>
      </w:r>
      <w:r>
        <w:t>as an arbitrary string.</w:t>
      </w:r>
    </w:p>
    <w:p w:rsidR="005F78FC" w:rsidRDefault="00B42EF3">
      <w:pPr>
        <w:pStyle w:val="Definition-Field"/>
      </w:pPr>
      <w:r>
        <w:t xml:space="preserve">g.   </w:t>
      </w:r>
      <w:r>
        <w:rPr>
          <w:i/>
        </w:rPr>
        <w:t>The standard places no restrictions on the number of attrName child elements parented by the attrNameLst element when inside the anim element.</w:t>
      </w:r>
    </w:p>
    <w:p w:rsidR="005F78FC" w:rsidRDefault="00B42EF3">
      <w:pPr>
        <w:pStyle w:val="Definition-Field2"/>
      </w:pPr>
      <w:r>
        <w:t>PowerPoint requires that there be at least one attrName child element of the attrNam</w:t>
      </w:r>
      <w:r>
        <w:t>eLst element when inside an anim element; if more than one attrName child element exists, only the first will be used.</w:t>
      </w:r>
    </w:p>
    <w:p w:rsidR="005F78FC" w:rsidRDefault="00B42EF3">
      <w:pPr>
        <w:pStyle w:val="Definition-Field"/>
      </w:pPr>
      <w:r>
        <w:t xml:space="preserve">h.   </w:t>
      </w:r>
      <w:r>
        <w:rPr>
          <w:i/>
        </w:rPr>
        <w:t>The standard places no restrictions on the relationship between the by, from, and to attributes.</w:t>
      </w:r>
    </w:p>
    <w:p w:rsidR="005F78FC" w:rsidRDefault="00B42EF3">
      <w:r>
        <w:t>The attributes from, to, and by mus</w:t>
      </w:r>
      <w:r>
        <w:t>t be used in one of the following combinations:</w:t>
      </w:r>
    </w:p>
    <w:p w:rsidR="005F78FC" w:rsidRDefault="00B42EF3">
      <w:pPr>
        <w:pStyle w:val="ListParagraph"/>
        <w:numPr>
          <w:ilvl w:val="0"/>
          <w:numId w:val="125"/>
        </w:numPr>
        <w:contextualSpacing/>
      </w:pPr>
      <w:r>
        <w:t>from_to: when the from and to attributes have values of the same type;</w:t>
      </w:r>
    </w:p>
    <w:p w:rsidR="005F78FC" w:rsidRDefault="00B42EF3">
      <w:pPr>
        <w:pStyle w:val="ListParagraph"/>
        <w:numPr>
          <w:ilvl w:val="0"/>
          <w:numId w:val="125"/>
        </w:numPr>
        <w:contextualSpacing/>
      </w:pPr>
      <w:r>
        <w:t>from_by: when the from and by attributes have values of the same type but the to attribute is undefined;</w:t>
      </w:r>
    </w:p>
    <w:p w:rsidR="005F78FC" w:rsidRDefault="00B42EF3">
      <w:pPr>
        <w:pStyle w:val="ListParagraph"/>
        <w:numPr>
          <w:ilvl w:val="0"/>
          <w:numId w:val="125"/>
        </w:numPr>
        <w:contextualSpacing/>
      </w:pPr>
      <w:r>
        <w:t>to_only: when the to attribute i</w:t>
      </w:r>
      <w:r>
        <w:t>s defined but the from attribute is undefined;</w:t>
      </w:r>
    </w:p>
    <w:p w:rsidR="005F78FC" w:rsidRDefault="00B42EF3">
      <w:pPr>
        <w:pStyle w:val="ListParagraph"/>
        <w:numPr>
          <w:ilvl w:val="0"/>
          <w:numId w:val="125"/>
        </w:numPr>
      </w:pPr>
      <w:r>
        <w:t>by_only: when the by attribute is defined but the from and to attributes are undefined.</w:t>
      </w:r>
    </w:p>
    <w:p w:rsidR="005F78FC" w:rsidRDefault="00B42EF3">
      <w:r>
        <w:t>All other combinations are invalid.</w:t>
      </w:r>
    </w:p>
    <w:p w:rsidR="005F78FC" w:rsidRDefault="00B42EF3">
      <w:r>
        <w:lastRenderedPageBreak/>
        <w:t>When the attributes are used with a to_only combination or a by-only combination, the</w:t>
      </w:r>
      <w:r>
        <w:t xml:space="preserve"> following criteria determine the starting value of the animation:</w:t>
      </w:r>
    </w:p>
    <w:p w:rsidR="005F78FC" w:rsidRDefault="00B42EF3">
      <w:pPr>
        <w:pStyle w:val="ListParagraph"/>
        <w:numPr>
          <w:ilvl w:val="0"/>
          <w:numId w:val="126"/>
        </w:numPr>
        <w:contextualSpacing/>
      </w:pPr>
      <w:r>
        <w:t>when the attribute valueType is num, the starting value is 0.0;</w:t>
      </w:r>
    </w:p>
    <w:p w:rsidR="005F78FC" w:rsidRDefault="00B42EF3">
      <w:pPr>
        <w:pStyle w:val="ListParagraph"/>
        <w:numPr>
          <w:ilvl w:val="0"/>
          <w:numId w:val="126"/>
        </w:numPr>
        <w:contextualSpacing/>
      </w:pPr>
      <w:r>
        <w:t>when the attribute valueType is clr, the starting value is an HSL color in which all spectrum is 0;</w:t>
      </w:r>
    </w:p>
    <w:p w:rsidR="005F78FC" w:rsidRDefault="00B42EF3">
      <w:pPr>
        <w:pStyle w:val="ListParagraph"/>
        <w:numPr>
          <w:ilvl w:val="0"/>
          <w:numId w:val="126"/>
        </w:numPr>
      </w:pPr>
      <w:r>
        <w:t>when the attribute valueT</w:t>
      </w:r>
      <w:r>
        <w:t xml:space="preserve">ype is str, the starting value is an empty string. </w:t>
      </w:r>
    </w:p>
    <w:p w:rsidR="005F78FC" w:rsidRDefault="00B42EF3">
      <w:r>
        <w:t>The attribute by is not used in from_to and to_only combinations.</w:t>
      </w:r>
    </w:p>
    <w:p w:rsidR="005F78FC" w:rsidRDefault="00B42EF3">
      <w:pPr>
        <w:pStyle w:val="Definition-Field"/>
      </w:pPr>
      <w:r>
        <w:t xml:space="preserve">i.   </w:t>
      </w:r>
      <w:r>
        <w:rPr>
          <w:i/>
        </w:rPr>
        <w:t>The standard places no restrictions on what the grpId attribute refers to.</w:t>
      </w:r>
    </w:p>
    <w:p w:rsidR="005F78FC" w:rsidRDefault="00B42EF3">
      <w:pPr>
        <w:pStyle w:val="Definition-Field2"/>
      </w:pPr>
      <w:r>
        <w:t>PowerPoint requires that the grpId attribute reference a g</w:t>
      </w:r>
      <w:r>
        <w:t>roup that is present in the timing tree.</w:t>
      </w:r>
    </w:p>
    <w:p w:rsidR="005F78FC" w:rsidRDefault="00B42EF3">
      <w:pPr>
        <w:pStyle w:val="Heading3"/>
      </w:pPr>
      <w:bookmarkStart w:id="2296" w:name="section_9636f7f358e3408d9880d0799fb26b0f"/>
      <w:bookmarkStart w:id="2297" w:name="_Toc69878921"/>
      <w:r>
        <w:t>Part 1 Section 19.5.2, animClr (Animate Color Behavior)</w:t>
      </w:r>
      <w:bookmarkEnd w:id="2296"/>
      <w:bookmarkEnd w:id="2297"/>
      <w:r>
        <w:fldChar w:fldCharType="begin"/>
      </w:r>
      <w:r>
        <w:instrText xml:space="preserve"> XE "animClr (Animate Color Behavior)"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5F78FC" w:rsidRDefault="00B42EF3">
      <w:pPr>
        <w:pStyle w:val="Definition-Field"/>
      </w:pPr>
      <w:r>
        <w:t xml:space="preserve">a.   </w:t>
      </w:r>
      <w:r>
        <w:rPr>
          <w:i/>
        </w:rPr>
        <w:t>The standard does not state a default value for the clrSpc attribute.</w:t>
      </w:r>
    </w:p>
    <w:p w:rsidR="005F78FC" w:rsidRDefault="00B42EF3">
      <w:pPr>
        <w:pStyle w:val="Definition-Field2"/>
      </w:pPr>
      <w:r>
        <w:t>PowerPoint uses a default value of rgb for the clrSpc attribute.</w:t>
      </w:r>
    </w:p>
    <w:p w:rsidR="005F78FC" w:rsidRDefault="00B42EF3">
      <w:pPr>
        <w:pStyle w:val="Definition-Field"/>
      </w:pPr>
      <w:r>
        <w:t xml:space="preserve">b.   </w:t>
      </w:r>
      <w:r>
        <w:rPr>
          <w:i/>
        </w:rPr>
        <w:t xml:space="preserve">The standard places no restrictions on the value of the </w:t>
      </w:r>
      <w:r>
        <w:rPr>
          <w:i/>
        </w:rPr>
        <w:t>attrNameLst element when inside the animClr element.</w:t>
      </w:r>
    </w:p>
    <w:p w:rsidR="005F78FC" w:rsidRDefault="00B42EF3">
      <w:pPr>
        <w:pStyle w:val="Definition-Field2"/>
      </w:pPr>
      <w:r>
        <w:t>PowerPoint requires that the valid values of the attrNameLst element are: style.color, fillcolor, and stroke.color. The attrNameLst element must have at least one of these values and only the first one i</w:t>
      </w:r>
      <w:r>
        <w:t>s effective (additional are ignored).</w:t>
      </w:r>
    </w:p>
    <w:p w:rsidR="005F78FC" w:rsidRDefault="00B42EF3">
      <w:pPr>
        <w:pStyle w:val="Definition-Field"/>
      </w:pPr>
      <w:r>
        <w:t xml:space="preserve">c.   </w:t>
      </w:r>
      <w:r>
        <w:rPr>
          <w:i/>
        </w:rPr>
        <w:t>The standard does not specify how to interpret the from child element, the to child element, or the by child element of the animClr element.</w:t>
      </w:r>
    </w:p>
    <w:p w:rsidR="005F78FC" w:rsidRDefault="00B42EF3">
      <w:r>
        <w:t xml:space="preserve">In Office, the child element from defines the animation starting color, </w:t>
      </w:r>
      <w:r>
        <w:t>child element to defines the animation ending color, and child element by defines a color value that shall be added to the starting color to reach the ending color.</w:t>
      </w:r>
    </w:p>
    <w:p w:rsidR="005F78FC" w:rsidRDefault="00B42EF3">
      <w:r>
        <w:t>If the child element from is not specified, color black is used as the starting color. Eith</w:t>
      </w:r>
      <w:r>
        <w:t>er the child element by or the child element to shall be specified. If both the by and the to elements are specified, the by element is ignored.</w:t>
      </w:r>
    </w:p>
    <w:p w:rsidR="005F78FC" w:rsidRDefault="00B42EF3">
      <w:pPr>
        <w:pStyle w:val="Heading3"/>
      </w:pPr>
      <w:bookmarkStart w:id="2298" w:name="section_33e6ed593ef1404fb137ad2c503f16ac"/>
      <w:bookmarkStart w:id="2299" w:name="_Toc69878922"/>
      <w:r>
        <w:t>Part 1 Section 19.5.3, animEffect (Animate Effect)</w:t>
      </w:r>
      <w:bookmarkEnd w:id="2298"/>
      <w:bookmarkEnd w:id="2299"/>
      <w:r>
        <w:fldChar w:fldCharType="begin"/>
      </w:r>
      <w:r>
        <w:instrText xml:space="preserve"> XE "animEffect (Animate Effect)" </w:instrText>
      </w:r>
      <w:r>
        <w:fldChar w:fldCharType="end"/>
      </w:r>
    </w:p>
    <w:p w:rsidR="005F78FC" w:rsidRDefault="00B42EF3">
      <w:pPr>
        <w:pStyle w:val="Definition-Field2"/>
      </w:pPr>
      <w:r>
        <w:rPr>
          <w:i/>
        </w:rPr>
        <w:t>For additional notes tha</w:t>
      </w:r>
      <w:r>
        <w:rPr>
          <w:i/>
        </w:rPr>
        <w:t xml:space="preserve">t apply to this portion of the standard, please see the notes for </w:t>
      </w:r>
      <w:hyperlink w:anchor="Section_5516734500ff4d39b4a86ca61d86227a">
        <w:r>
          <w:rPr>
            <w:rStyle w:val="Hyperlink"/>
          </w:rPr>
          <w:t>tnLst, §19.5.87(b)</w:t>
        </w:r>
      </w:hyperlink>
      <w:r>
        <w:rPr>
          <w:i/>
        </w:rPr>
        <w:t>.</w:t>
      </w:r>
    </w:p>
    <w:p w:rsidR="005F78FC" w:rsidRDefault="00B42EF3">
      <w:pPr>
        <w:pStyle w:val="Heading3"/>
      </w:pPr>
      <w:bookmarkStart w:id="2300" w:name="section_498c3cfa652c49b3a82c33fd94468af8"/>
      <w:bookmarkStart w:id="2301" w:name="_Toc69878923"/>
      <w:r>
        <w:t>Part 1 Section 19.5.4, animMotion (Animate Motion)</w:t>
      </w:r>
      <w:bookmarkEnd w:id="2300"/>
      <w:bookmarkEnd w:id="2301"/>
      <w:r>
        <w:fldChar w:fldCharType="begin"/>
      </w:r>
      <w:r>
        <w:instrText xml:space="preserve"> XE "animMotion (Animate Motion)"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5F78FC" w:rsidRDefault="00B42EF3">
      <w:pPr>
        <w:pStyle w:val="Definition-Field"/>
      </w:pPr>
      <w:r>
        <w:t xml:space="preserve">a.   </w:t>
      </w:r>
      <w:r>
        <w:rPr>
          <w:i/>
        </w:rPr>
        <w:t>The standard does not state a default value for the origin attribute.</w:t>
      </w:r>
    </w:p>
    <w:p w:rsidR="005F78FC" w:rsidRDefault="00B42EF3">
      <w:pPr>
        <w:pStyle w:val="Definition-Field2"/>
      </w:pPr>
      <w:r>
        <w:t>PowerPoi</w:t>
      </w:r>
      <w:r>
        <w:t>nt uses a default value of parent for the origin attribute.</w:t>
      </w:r>
    </w:p>
    <w:p w:rsidR="005F78FC" w:rsidRDefault="00B42EF3">
      <w:pPr>
        <w:pStyle w:val="Definition-Field"/>
      </w:pPr>
      <w:r>
        <w:t xml:space="preserve">b.   </w:t>
      </w:r>
      <w:r>
        <w:rPr>
          <w:i/>
        </w:rPr>
        <w:t>The standard states that the path attribute of the animMotion element specifies a path primitive for the animation motion.</w:t>
      </w:r>
    </w:p>
    <w:p w:rsidR="005F78FC" w:rsidRDefault="00B42EF3">
      <w:r>
        <w:t>In Office, the path is specified by defining an action, and typicall</w:t>
      </w:r>
      <w:r>
        <w:t>y some coordinates that go along with the action.</w:t>
      </w:r>
    </w:p>
    <w:p w:rsidR="005F78FC" w:rsidRDefault="00B42EF3">
      <w:r>
        <w:lastRenderedPageBreak/>
        <w:t>The allowed action types that are understood within a path are listed in the following table. If the action is expressed in UPPERCASE, the following point(s) are to be interpreted as absolute coordinates, o</w:t>
      </w:r>
      <w:r>
        <w:t xml:space="preserve">r a point on the slide. If in lowercase, the point(s) are to be interpreted as relative coordinates, or an offset from the current position. </w:t>
      </w:r>
    </w:p>
    <w:tbl>
      <w:tblPr>
        <w:tblStyle w:val="Table-ShadedHeader"/>
        <w:tblW w:w="0" w:type="auto"/>
        <w:tblLook w:val="04A0" w:firstRow="1" w:lastRow="0" w:firstColumn="1" w:lastColumn="0" w:noHBand="0" w:noVBand="1"/>
      </w:tblPr>
      <w:tblGrid>
        <w:gridCol w:w="1032"/>
        <w:gridCol w:w="8443"/>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5F78FC" w:rsidRDefault="00B42EF3">
            <w:pPr>
              <w:pStyle w:val="TableHeaderText"/>
            </w:pPr>
            <w:r>
              <w:t>Action Types</w:t>
            </w:r>
          </w:p>
        </w:tc>
      </w:tr>
      <w:tr w:rsidR="005F78FC" w:rsidTr="005F78FC">
        <w:tc>
          <w:tcPr>
            <w:tcW w:w="0" w:type="auto"/>
            <w:vAlign w:val="center"/>
          </w:tcPr>
          <w:p w:rsidR="005F78FC" w:rsidRDefault="00B42EF3">
            <w:pPr>
              <w:pStyle w:val="TableBodyText"/>
            </w:pPr>
            <w:r>
              <w:rPr>
                <w:b/>
              </w:rPr>
              <w:t>M</w:t>
            </w:r>
            <w:r>
              <w:t xml:space="preserve"> = move to </w:t>
            </w:r>
          </w:p>
        </w:tc>
        <w:tc>
          <w:tcPr>
            <w:tcW w:w="0" w:type="auto"/>
            <w:vAlign w:val="center"/>
          </w:tcPr>
          <w:p w:rsidR="005F78FC" w:rsidRDefault="00B42EF3">
            <w:pPr>
              <w:pStyle w:val="TableBodyText"/>
            </w:pPr>
            <w:r>
              <w:t>This action requires a point (two coordinates).</w:t>
            </w:r>
          </w:p>
          <w:p w:rsidR="005F78FC" w:rsidRDefault="00B42EF3">
            <w:pPr>
              <w:pStyle w:val="TableBodyText"/>
            </w:pPr>
            <w:r>
              <w:t>Move to will move the object to the spe</w:t>
            </w:r>
            <w:r>
              <w:t>cified point. It does not animate the object to that point; rather, the object will snap to the given point.</w:t>
            </w:r>
          </w:p>
        </w:tc>
      </w:tr>
      <w:tr w:rsidR="005F78FC" w:rsidTr="005F78FC">
        <w:tc>
          <w:tcPr>
            <w:tcW w:w="0" w:type="auto"/>
            <w:vAlign w:val="center"/>
          </w:tcPr>
          <w:p w:rsidR="005F78FC" w:rsidRDefault="00B42EF3">
            <w:pPr>
              <w:pStyle w:val="TableBodyText"/>
            </w:pPr>
            <w:r>
              <w:rPr>
                <w:b/>
              </w:rPr>
              <w:t>L</w:t>
            </w:r>
            <w:r>
              <w:t xml:space="preserve"> = line to</w:t>
            </w:r>
          </w:p>
        </w:tc>
        <w:tc>
          <w:tcPr>
            <w:tcW w:w="0" w:type="auto"/>
            <w:vAlign w:val="center"/>
          </w:tcPr>
          <w:p w:rsidR="005F78FC" w:rsidRDefault="00B42EF3">
            <w:pPr>
              <w:pStyle w:val="TableBodyText"/>
            </w:pPr>
            <w:r>
              <w:t>This action requires a point (two coordinates).</w:t>
            </w:r>
          </w:p>
          <w:p w:rsidR="005F78FC" w:rsidRDefault="00B42EF3">
            <w:pPr>
              <w:pStyle w:val="TableBodyText"/>
            </w:pPr>
            <w:r>
              <w:t xml:space="preserve">Line to will move the object to the specified point along the shortest line between </w:t>
            </w:r>
            <w:r>
              <w:t>the current point and the specified point.</w:t>
            </w:r>
          </w:p>
        </w:tc>
      </w:tr>
      <w:tr w:rsidR="005F78FC" w:rsidTr="005F78FC">
        <w:tc>
          <w:tcPr>
            <w:tcW w:w="0" w:type="auto"/>
            <w:vAlign w:val="center"/>
          </w:tcPr>
          <w:p w:rsidR="005F78FC" w:rsidRDefault="00B42EF3">
            <w:pPr>
              <w:pStyle w:val="TableBodyText"/>
            </w:pPr>
            <w:r>
              <w:rPr>
                <w:b/>
              </w:rPr>
              <w:t>C</w:t>
            </w:r>
            <w:r>
              <w:t xml:space="preserve"> = curve to</w:t>
            </w:r>
          </w:p>
        </w:tc>
        <w:tc>
          <w:tcPr>
            <w:tcW w:w="0" w:type="auto"/>
            <w:vAlign w:val="center"/>
          </w:tcPr>
          <w:p w:rsidR="005F78FC" w:rsidRDefault="00B42EF3">
            <w:pPr>
              <w:pStyle w:val="TableBodyText"/>
            </w:pPr>
            <w:r>
              <w:t>This action requires three points (six coordinates).</w:t>
            </w:r>
          </w:p>
          <w:p w:rsidR="005F78FC" w:rsidRDefault="00B42EF3">
            <w:pPr>
              <w:pStyle w:val="TableBodyText"/>
            </w:pPr>
            <w:r>
              <w:t>Curve to will move the object along a cubic Bezier curve specified by the current point and the three provided points.</w:t>
            </w:r>
          </w:p>
        </w:tc>
      </w:tr>
      <w:tr w:rsidR="005F78FC" w:rsidTr="005F78FC">
        <w:tc>
          <w:tcPr>
            <w:tcW w:w="0" w:type="auto"/>
            <w:vAlign w:val="center"/>
          </w:tcPr>
          <w:p w:rsidR="005F78FC" w:rsidRDefault="00B42EF3">
            <w:pPr>
              <w:pStyle w:val="TableBodyText"/>
            </w:pPr>
            <w:r>
              <w:rPr>
                <w:b/>
              </w:rPr>
              <w:t>Z</w:t>
            </w:r>
            <w:r>
              <w:t>=close loop</w:t>
            </w:r>
          </w:p>
        </w:tc>
        <w:tc>
          <w:tcPr>
            <w:tcW w:w="0" w:type="auto"/>
            <w:vAlign w:val="center"/>
          </w:tcPr>
          <w:p w:rsidR="005F78FC" w:rsidRDefault="00B42EF3">
            <w:pPr>
              <w:pStyle w:val="TableBodyText"/>
            </w:pPr>
            <w:r>
              <w:t>This action r</w:t>
            </w:r>
            <w:r>
              <w:t>equires no points.</w:t>
            </w:r>
          </w:p>
          <w:p w:rsidR="005F78FC" w:rsidRDefault="00B42EF3">
            <w:pPr>
              <w:pStyle w:val="TableBodyText"/>
            </w:pPr>
            <w:r>
              <w:t>Close loop will move the object back to where it was before the path began along the shortest line between the current point and the starting point.</w:t>
            </w:r>
          </w:p>
          <w:p w:rsidR="005F78FC" w:rsidRDefault="00B42EF3">
            <w:pPr>
              <w:pStyle w:val="TableBodyText"/>
            </w:pPr>
            <w:r>
              <w:t>The relative (lowercase) and absolute (uppercase) versions of this action are identical.</w:t>
            </w:r>
          </w:p>
        </w:tc>
      </w:tr>
      <w:tr w:rsidR="005F78FC" w:rsidTr="005F78FC">
        <w:tc>
          <w:tcPr>
            <w:tcW w:w="0" w:type="auto"/>
            <w:vAlign w:val="center"/>
          </w:tcPr>
          <w:p w:rsidR="005F78FC" w:rsidRDefault="00B42EF3">
            <w:pPr>
              <w:pStyle w:val="TableBodyText"/>
            </w:pPr>
            <w:r>
              <w:rPr>
                <w:b/>
              </w:rPr>
              <w:t>E</w:t>
            </w:r>
            <w:r>
              <w:t>=end</w:t>
            </w:r>
          </w:p>
        </w:tc>
        <w:tc>
          <w:tcPr>
            <w:tcW w:w="0" w:type="auto"/>
            <w:vAlign w:val="center"/>
          </w:tcPr>
          <w:p w:rsidR="005F78FC" w:rsidRDefault="00B42EF3">
            <w:pPr>
              <w:pStyle w:val="TableBodyText"/>
            </w:pPr>
            <w:r>
              <w:t>This action requires no points.</w:t>
            </w:r>
          </w:p>
          <w:p w:rsidR="005F78FC" w:rsidRDefault="00B42EF3">
            <w:pPr>
              <w:pStyle w:val="TableBodyText"/>
            </w:pPr>
            <w:r>
              <w:t>End will terminate the motion path. Any action specified in the string after the End action is ignored. The specification of this action is not required. If this action is not present at the end of a string and the s</w:t>
            </w:r>
            <w:r>
              <w:t>tring ends, this action will be implied.</w:t>
            </w:r>
          </w:p>
          <w:p w:rsidR="005F78FC" w:rsidRDefault="00B42EF3">
            <w:pPr>
              <w:pStyle w:val="TableBodyText"/>
            </w:pPr>
            <w:r>
              <w:t>The relative and absolute versions of this action are identical.</w:t>
            </w:r>
          </w:p>
        </w:tc>
      </w:tr>
    </w:tbl>
    <w:p w:rsidR="005F78FC" w:rsidRDefault="005F78FC"/>
    <w:p w:rsidR="005F78FC" w:rsidRDefault="00B42EF3">
      <w:r>
        <w:t>Points are expressed as percentages of the slide size; 1,1 means the lower-right corner of the slide in absolute coordinates, or the slide width &amp; h</w:t>
      </w:r>
      <w:r>
        <w:t>eight in relative coordinates. Expressing a coordinate less than 1 but greater than 0 must be prefixed with 0 before the decimal point. If the leading zero is left off, the decimal is thrown away and the coordinate is read without it.</w:t>
      </w:r>
    </w:p>
    <w:p w:rsidR="005F78FC" w:rsidRDefault="00B42EF3">
      <w:r>
        <w:t xml:space="preserve">Formulas can also be </w:t>
      </w:r>
      <w:r>
        <w:t>used here. To use a formula, the entire formula must be inside parentheses. Parentheses can be used inside the formula, but no greater than a depth of 255. Formula syntax is further detailed in the entry for tav (Time Animate Value) ("</w:t>
      </w:r>
      <w:hyperlink r:id="rId157">
        <w:r>
          <w:rPr>
            <w:rStyle w:val="Hyperlink"/>
          </w:rPr>
          <w:t>[ISO/IEC-29500-1]</w:t>
        </w:r>
      </w:hyperlink>
      <w:r>
        <w:t xml:space="preserve"> §19.5.79; tav").</w:t>
      </w:r>
    </w:p>
    <w:p w:rsidR="005F78FC" w:rsidRDefault="00B42EF3">
      <w:r>
        <w:t>If the requirements for an action are not met (that is, too many or too few points are specified,) the entire path shall be thrown away.</w:t>
      </w:r>
    </w:p>
    <w:p w:rsidR="005F78FC" w:rsidRDefault="00B42EF3">
      <w:r>
        <w:t>If the path string is left empty or not</w:t>
      </w:r>
      <w:r>
        <w:t xml:space="preserve"> specified, the animation will do nothing, but shall take up the required amount of time as specified by the behavior.</w:t>
      </w:r>
    </w:p>
    <w:p w:rsidR="005F78FC" w:rsidRDefault="00B42EF3">
      <w:pPr>
        <w:pStyle w:val="Definition-Field"/>
      </w:pPr>
      <w:r>
        <w:t xml:space="preserve">c.   </w:t>
      </w:r>
      <w:r>
        <w:rPr>
          <w:i/>
        </w:rPr>
        <w:t>The standard does not state a default value for the pathEditMode attribute.</w:t>
      </w:r>
    </w:p>
    <w:p w:rsidR="005F78FC" w:rsidRDefault="00B42EF3">
      <w:pPr>
        <w:pStyle w:val="Definition-Field2"/>
      </w:pPr>
      <w:r>
        <w:t xml:space="preserve">PowerPoint uses a default value of relative for the </w:t>
      </w:r>
      <w:r>
        <w:t>pathEditMode attribute.</w:t>
      </w:r>
    </w:p>
    <w:p w:rsidR="005F78FC" w:rsidRDefault="00B42EF3">
      <w:pPr>
        <w:pStyle w:val="Definition-Field"/>
      </w:pPr>
      <w:r>
        <w:t xml:space="preserve">d.   </w:t>
      </w:r>
      <w:r>
        <w:rPr>
          <w:i/>
        </w:rPr>
        <w:t>The standard states that the ptsTypes attribute specifies the types of points in the path attribute.</w:t>
      </w:r>
    </w:p>
    <w:p w:rsidR="005F78FC" w:rsidRDefault="00B42EF3">
      <w:r>
        <w:t xml:space="preserve">In Office, the ptsTypes attribute additionally describes what the motion path should look like around the current point. This </w:t>
      </w:r>
      <w:r>
        <w:t>attribute has no effect on the playing of the animation. It is only used when the motion path is edited in Office.</w:t>
      </w:r>
    </w:p>
    <w:p w:rsidR="005F78FC" w:rsidRDefault="00B42EF3">
      <w:r>
        <w:t>Each character in this string sequentially maps to a point defined in the path string.  If there are more entries than points, the extra entr</w:t>
      </w:r>
      <w:r>
        <w:t xml:space="preserve">ies are ignored.  If there are fewer entries than points, the extra </w:t>
      </w:r>
      <w:r>
        <w:lastRenderedPageBreak/>
        <w:t xml:space="preserve">points are to be treated as follows: If the action </w:t>
      </w:r>
      <w:r>
        <w:rPr>
          <w:i/>
        </w:rPr>
        <w:t>after</w:t>
      </w:r>
      <w:r>
        <w:t xml:space="preserve"> the point is a Line To, then the point is treated as an ‘F’ (corner line). Otherwise, the point will be treated as an ‘f’ (corner c</w:t>
      </w:r>
      <w:r>
        <w:t>urve).</w:t>
      </w:r>
    </w:p>
    <w:p w:rsidR="005F78FC" w:rsidRDefault="00B42EF3">
      <w:pPr>
        <w:pStyle w:val="Definition-Field"/>
      </w:pPr>
      <w:r>
        <w:t xml:space="preserve">e.   </w:t>
      </w:r>
      <w:r>
        <w:rPr>
          <w:i/>
        </w:rPr>
        <w:t>The standard does not state a default value for the rAng attribute.</w:t>
      </w:r>
    </w:p>
    <w:p w:rsidR="005F78FC" w:rsidRDefault="00B42EF3">
      <w:pPr>
        <w:pStyle w:val="Definition-Field2"/>
      </w:pPr>
      <w:r>
        <w:t>PowerPoint uses a default value of 0 for the rAng attribute.</w:t>
      </w:r>
    </w:p>
    <w:p w:rsidR="005F78FC" w:rsidRDefault="00B42EF3">
      <w:pPr>
        <w:pStyle w:val="Definition-Field"/>
      </w:pPr>
      <w:r>
        <w:t xml:space="preserve">f.   </w:t>
      </w:r>
      <w:r>
        <w:rPr>
          <w:i/>
        </w:rPr>
        <w:t>The standard states that the animMotion element provides an abstract way to move positioned elements via a set</w:t>
      </w:r>
      <w:r>
        <w:rPr>
          <w:i/>
        </w:rPr>
        <w:t xml:space="preserve"> of attributes and child elements.</w:t>
      </w:r>
    </w:p>
    <w:p w:rsidR="005F78FC" w:rsidRDefault="00B42EF3">
      <w:r>
        <w:t xml:space="preserve">The attrNameLst element in the cBhvr child is permitted to contain up to two attributes to be animated. If the first attribute is not specified, the ppt_x attribute will be used. If the second attribute is not specified, </w:t>
      </w:r>
      <w:r>
        <w:t>the ppt_y attribute will be used. If more than two attributes are specified, only the first two shall be used.  The attributes used must be one of the following: ppt_x, ppt_y, ppt_w, ppt_h, ppt_r, style.fontSize, xskew, yskew, xshear, yshear, scaleX, or sc</w:t>
      </w:r>
      <w:r>
        <w:t>aleY.</w:t>
      </w:r>
    </w:p>
    <w:p w:rsidR="005F78FC" w:rsidRDefault="00B42EF3">
      <w:pPr>
        <w:pStyle w:val="Heading3"/>
      </w:pPr>
      <w:bookmarkStart w:id="2302" w:name="section_39903f1afcb44aee81e266f4fc7493fd"/>
      <w:bookmarkStart w:id="2303" w:name="_Toc69878924"/>
      <w:r>
        <w:t>Part 1 Section 19.5.5, animRot (Animate Rotation)</w:t>
      </w:r>
      <w:bookmarkEnd w:id="2302"/>
      <w:bookmarkEnd w:id="2303"/>
      <w:r>
        <w:fldChar w:fldCharType="begin"/>
      </w:r>
      <w:r>
        <w:instrText xml:space="preserve"> XE "animRot (Animate Rotation)"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5516734500ff4d39b4a86ca61d86227a">
        <w:r>
          <w:rPr>
            <w:rStyle w:val="Hyperlink"/>
          </w:rPr>
          <w:t>tnLst, §19.5</w:t>
        </w:r>
        <w:r>
          <w:rPr>
            <w:rStyle w:val="Hyperlink"/>
          </w:rPr>
          <w:t>.87(b)</w:t>
        </w:r>
      </w:hyperlink>
      <w:r>
        <w:rPr>
          <w:i/>
        </w:rPr>
        <w:t>.</w:t>
      </w:r>
    </w:p>
    <w:p w:rsidR="005F78FC" w:rsidRDefault="00B42EF3">
      <w:pPr>
        <w:pStyle w:val="Definition-Field"/>
      </w:pPr>
      <w:r>
        <w:t xml:space="preserve">a.   </w:t>
      </w:r>
      <w:r>
        <w:rPr>
          <w:i/>
        </w:rPr>
        <w:t>The standard places no restrictions on the value of the attrName element when inside the animRot element.</w:t>
      </w:r>
    </w:p>
    <w:p w:rsidR="005F78FC" w:rsidRDefault="00B42EF3">
      <w:pPr>
        <w:pStyle w:val="Definition-Field2"/>
      </w:pPr>
      <w:r>
        <w:t>PowerPoint requires that the value of the attrName element be ppt_r, r, or style.rotation when inside an animRot element.</w:t>
      </w:r>
    </w:p>
    <w:p w:rsidR="005F78FC" w:rsidRDefault="00B42EF3">
      <w:pPr>
        <w:pStyle w:val="Definition-Field"/>
      </w:pPr>
      <w:r>
        <w:t xml:space="preserve">b.   </w:t>
      </w:r>
      <w:r>
        <w:rPr>
          <w:i/>
        </w:rPr>
        <w:t>The standa</w:t>
      </w:r>
      <w:r>
        <w:rPr>
          <w:i/>
        </w:rPr>
        <w:t>rd states that the animRot element specifies the rotation animation on an element with a combination of from, to and by attributes.</w:t>
      </w:r>
    </w:p>
    <w:p w:rsidR="005F78FC" w:rsidRDefault="00B42EF3">
      <w:r>
        <w:t>In Office, the three attributes, from(From), to(To), and by(By), shall be used in one of the following combinations:</w:t>
      </w:r>
    </w:p>
    <w:p w:rsidR="005F78FC" w:rsidRDefault="00B42EF3">
      <w:r>
        <w:t>from_to</w:t>
      </w:r>
      <w:r>
        <w:t>: when from(From) and to(To) are defined;</w:t>
      </w:r>
    </w:p>
    <w:p w:rsidR="005F78FC" w:rsidRDefault="00B42EF3">
      <w:r>
        <w:t>from_by: when from(From) and by(By) are defined but to(To) is undefined;</w:t>
      </w:r>
    </w:p>
    <w:p w:rsidR="005F78FC" w:rsidRDefault="00B42EF3">
      <w:r>
        <w:t>to_only: when to(To) is defined but from(From) is undefined;</w:t>
      </w:r>
    </w:p>
    <w:p w:rsidR="005F78FC" w:rsidRDefault="00B42EF3">
      <w:r>
        <w:t>by_only: when by(By) is defined but from(From) and to(To) are undefined.</w:t>
      </w:r>
    </w:p>
    <w:p w:rsidR="005F78FC" w:rsidRDefault="00B42EF3">
      <w:r>
        <w:t>All oth</w:t>
      </w:r>
      <w:r>
        <w:t>er combinations are invalid.</w:t>
      </w:r>
    </w:p>
    <w:p w:rsidR="005F78FC" w:rsidRDefault="00B42EF3">
      <w:r>
        <w:t>For to_only and by_only combinations, the starting value of the animation shall be 0. The attribute by(By) is not used in from_to and to_only combinations.</w:t>
      </w:r>
    </w:p>
    <w:p w:rsidR="005F78FC" w:rsidRDefault="00B42EF3">
      <w:pPr>
        <w:pStyle w:val="Definition-Field"/>
      </w:pPr>
      <w:r>
        <w:t xml:space="preserve">c.   </w:t>
      </w:r>
      <w:r>
        <w:rPr>
          <w:i/>
        </w:rPr>
        <w:t>The standard places no restrictions on the number of attrName chil</w:t>
      </w:r>
      <w:r>
        <w:rPr>
          <w:i/>
        </w:rPr>
        <w:t>d elements parented by the attrNameLst element when inside the animRot element.</w:t>
      </w:r>
    </w:p>
    <w:p w:rsidR="005F78FC" w:rsidRDefault="00B42EF3">
      <w:pPr>
        <w:pStyle w:val="Definition-Field2"/>
      </w:pPr>
      <w:r>
        <w:t>PowerPoint requires that there be at least one attrName child element of the attrNameLst element when inside an animRot element; if more than one attrName child element exists,</w:t>
      </w:r>
      <w:r>
        <w:t xml:space="preserve"> only the first will be used.</w:t>
      </w:r>
    </w:p>
    <w:p w:rsidR="005F78FC" w:rsidRDefault="00B42EF3">
      <w:pPr>
        <w:pStyle w:val="Heading3"/>
      </w:pPr>
      <w:bookmarkStart w:id="2304" w:name="section_358c6de32cd7459b8eb9b90f3721fd12"/>
      <w:bookmarkStart w:id="2305" w:name="_Toc69878925"/>
      <w:r>
        <w:t>Part 1 Section 19.5.6, animScale (Animate Scale)</w:t>
      </w:r>
      <w:bookmarkEnd w:id="2304"/>
      <w:bookmarkEnd w:id="2305"/>
      <w:r>
        <w:fldChar w:fldCharType="begin"/>
      </w:r>
      <w:r>
        <w:instrText xml:space="preserve"> XE "animScale (Animate Scale)"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5F78FC" w:rsidRDefault="00B42EF3">
      <w:pPr>
        <w:pStyle w:val="Definition-Field"/>
      </w:pPr>
      <w:r>
        <w:lastRenderedPageBreak/>
        <w:t xml:space="preserve">a.   </w:t>
      </w:r>
      <w:r>
        <w:rPr>
          <w:i/>
        </w:rPr>
        <w:t>The standard places no restrictions on the number of attrName child elements parented by the attrNameLst element when inside the animScale element, nor what the values of those attrName elements should be.</w:t>
      </w:r>
    </w:p>
    <w:p w:rsidR="005F78FC" w:rsidRDefault="00B42EF3">
      <w:pPr>
        <w:pStyle w:val="Definition-Field2"/>
      </w:pPr>
      <w:r>
        <w:t>PowerPoint requ</w:t>
      </w:r>
      <w:r>
        <w:t>ires that there be at least two attrName child elements of the attrNameLst element when inside an animScale element; their values should be ScaleX and ScaleY.</w:t>
      </w:r>
    </w:p>
    <w:p w:rsidR="005F78FC" w:rsidRDefault="00B42EF3">
      <w:pPr>
        <w:pStyle w:val="Definition-Field"/>
      </w:pPr>
      <w:r>
        <w:t xml:space="preserve">b.   </w:t>
      </w:r>
      <w:r>
        <w:rPr>
          <w:i/>
        </w:rPr>
        <w:t>The standard states that the zoomContents attribute specifies whether to zoom the contents o</w:t>
      </w:r>
      <w:r>
        <w:rPr>
          <w:i/>
        </w:rPr>
        <w:t>f an object when doing a scaling animation.</w:t>
      </w:r>
    </w:p>
    <w:p w:rsidR="005F78FC" w:rsidRDefault="00B42EF3">
      <w:pPr>
        <w:pStyle w:val="Definition-Field2"/>
      </w:pPr>
      <w:r>
        <w:t>PowerPoint does not support the zoomContents attribute.</w:t>
      </w:r>
    </w:p>
    <w:p w:rsidR="005F78FC" w:rsidRDefault="00B42EF3">
      <w:pPr>
        <w:pStyle w:val="Definition-Field"/>
      </w:pPr>
      <w:r>
        <w:t xml:space="preserve">c.   </w:t>
      </w:r>
      <w:r>
        <w:rPr>
          <w:i/>
        </w:rPr>
        <w:t>The standard states that the animScale element specifies the scale animation of an object.</w:t>
      </w:r>
    </w:p>
    <w:p w:rsidR="005F78FC" w:rsidRDefault="00B42EF3">
      <w:r>
        <w:t xml:space="preserve">In Office, the three attributes from(From), to(To), and </w:t>
      </w:r>
      <w:r>
        <w:t>by(By) must be used in one of the following combinations:</w:t>
      </w:r>
    </w:p>
    <w:p w:rsidR="005F78FC" w:rsidRDefault="00B42EF3">
      <w:r>
        <w:t>from_to: when from(From) and to(To) are defined;</w:t>
      </w:r>
    </w:p>
    <w:p w:rsidR="005F78FC" w:rsidRDefault="00B42EF3">
      <w:r>
        <w:t>from_by: when from(From) and by(By) are defined but to(To) is undefined;</w:t>
      </w:r>
    </w:p>
    <w:p w:rsidR="005F78FC" w:rsidRDefault="00B42EF3">
      <w:r>
        <w:t>to_only: when to(To) is defined but from(From) is undefined;</w:t>
      </w:r>
    </w:p>
    <w:p w:rsidR="005F78FC" w:rsidRDefault="00B42EF3">
      <w:r>
        <w:t>by_only: when b</w:t>
      </w:r>
      <w:r>
        <w:t>y(By) is defined but from(From) and to(To) are undefined.</w:t>
      </w:r>
    </w:p>
    <w:p w:rsidR="005F78FC" w:rsidRDefault="00B42EF3">
      <w:r>
        <w:t>All other combinations are invalid.</w:t>
      </w:r>
    </w:p>
    <w:p w:rsidR="005F78FC" w:rsidRDefault="00B42EF3">
      <w:r>
        <w:t>For to_only, the starting value of animation is (0, 0) for “ScaleX” and “ScaleY”. For by_only, the starting value of animation is (1, 1) for “ScaleX” and “ScaleY”</w:t>
      </w:r>
      <w:r>
        <w:t>. The attribute by(By) is ignored in from_to and to_only combinations.</w:t>
      </w:r>
    </w:p>
    <w:p w:rsidR="005F78FC" w:rsidRDefault="00B42EF3">
      <w:pPr>
        <w:pStyle w:val="Heading3"/>
      </w:pPr>
      <w:bookmarkStart w:id="2306" w:name="section_05a36e72bcdd46a6874e2eb1fa7573b4"/>
      <w:bookmarkStart w:id="2307" w:name="_Toc69878926"/>
      <w:r>
        <w:t>Part 1 Section 19.5.7, attrName (Attribute Name)</w:t>
      </w:r>
      <w:bookmarkEnd w:id="2306"/>
      <w:bookmarkEnd w:id="2307"/>
      <w:r>
        <w:fldChar w:fldCharType="begin"/>
      </w:r>
      <w:r>
        <w:instrText xml:space="preserve"> XE "attrName (Attribute Name)" </w:instrText>
      </w:r>
      <w:r>
        <w:fldChar w:fldCharType="end"/>
      </w:r>
    </w:p>
    <w:p w:rsidR="005F78FC" w:rsidRDefault="00B42EF3">
      <w:pPr>
        <w:pStyle w:val="Definition-Field"/>
      </w:pPr>
      <w:r>
        <w:t xml:space="preserve">a.   </w:t>
      </w:r>
      <w:r>
        <w:rPr>
          <w:i/>
        </w:rPr>
        <w:t>The standard specifies a list of allowed property values for the attrName element.</w:t>
      </w:r>
    </w:p>
    <w:p w:rsidR="005F78FC" w:rsidRDefault="00B42EF3">
      <w:pPr>
        <w:pStyle w:val="Definition-Field2"/>
      </w:pPr>
      <w:r>
        <w:t>PowerPoint als</w:t>
      </w:r>
      <w:r>
        <w:t>o allows the following values for this element.</w:t>
      </w:r>
    </w:p>
    <w:p w:rsidR="005F78FC" w:rsidRDefault="00B42EF3">
      <w:pPr>
        <w:pStyle w:val="Definition-Field2"/>
        <w:numPr>
          <w:ilvl w:val="0"/>
          <w:numId w:val="127"/>
        </w:numPr>
      </w:pPr>
      <w:r>
        <w:t>ppt_x</w:t>
      </w:r>
    </w:p>
    <w:p w:rsidR="005F78FC" w:rsidRDefault="00B42EF3">
      <w:pPr>
        <w:pStyle w:val="Definition-Field2"/>
        <w:numPr>
          <w:ilvl w:val="0"/>
          <w:numId w:val="127"/>
        </w:numPr>
      </w:pPr>
      <w:r>
        <w:t>ppt_y</w:t>
      </w:r>
    </w:p>
    <w:p w:rsidR="005F78FC" w:rsidRDefault="00B42EF3">
      <w:pPr>
        <w:pStyle w:val="Definition-Field2"/>
        <w:numPr>
          <w:ilvl w:val="0"/>
          <w:numId w:val="127"/>
        </w:numPr>
      </w:pPr>
      <w:r>
        <w:t>ppt_w</w:t>
      </w:r>
    </w:p>
    <w:p w:rsidR="005F78FC" w:rsidRDefault="00B42EF3">
      <w:pPr>
        <w:pStyle w:val="Definition-Field2"/>
        <w:numPr>
          <w:ilvl w:val="0"/>
          <w:numId w:val="127"/>
        </w:numPr>
      </w:pPr>
      <w:r>
        <w:t>ppt_h</w:t>
      </w:r>
    </w:p>
    <w:p w:rsidR="005F78FC" w:rsidRDefault="00B42EF3">
      <w:pPr>
        <w:pStyle w:val="Definition-Field2"/>
        <w:numPr>
          <w:ilvl w:val="0"/>
          <w:numId w:val="127"/>
        </w:numPr>
      </w:pPr>
      <w:r>
        <w:t xml:space="preserve">ppt_c </w:t>
      </w:r>
    </w:p>
    <w:p w:rsidR="005F78FC" w:rsidRDefault="00B42EF3">
      <w:pPr>
        <w:pStyle w:val="Definition-Field2"/>
        <w:numPr>
          <w:ilvl w:val="0"/>
          <w:numId w:val="127"/>
        </w:numPr>
      </w:pPr>
      <w:r>
        <w:t>ppt_r</w:t>
      </w:r>
    </w:p>
    <w:p w:rsidR="005F78FC" w:rsidRDefault="00B42EF3">
      <w:pPr>
        <w:pStyle w:val="Definition-Field2"/>
        <w:numPr>
          <w:ilvl w:val="0"/>
          <w:numId w:val="127"/>
        </w:numPr>
      </w:pPr>
      <w:r>
        <w:t>xshear</w:t>
      </w:r>
    </w:p>
    <w:p w:rsidR="005F78FC" w:rsidRDefault="00B42EF3">
      <w:pPr>
        <w:pStyle w:val="Definition-Field2"/>
        <w:numPr>
          <w:ilvl w:val="0"/>
          <w:numId w:val="127"/>
        </w:numPr>
      </w:pPr>
      <w:r>
        <w:t>yshear</w:t>
      </w:r>
    </w:p>
    <w:p w:rsidR="005F78FC" w:rsidRDefault="00B42EF3">
      <w:pPr>
        <w:pStyle w:val="Definition-Field2"/>
        <w:numPr>
          <w:ilvl w:val="0"/>
          <w:numId w:val="127"/>
        </w:numPr>
      </w:pPr>
      <w:r>
        <w:t>image</w:t>
      </w:r>
    </w:p>
    <w:p w:rsidR="005F78FC" w:rsidRDefault="00B42EF3">
      <w:pPr>
        <w:pStyle w:val="Definition-Field2"/>
        <w:numPr>
          <w:ilvl w:val="0"/>
          <w:numId w:val="127"/>
        </w:numPr>
      </w:pPr>
      <w:r>
        <w:t>ScaleX</w:t>
      </w:r>
    </w:p>
    <w:p w:rsidR="005F78FC" w:rsidRDefault="00B42EF3">
      <w:pPr>
        <w:pStyle w:val="Definition-Field2"/>
        <w:numPr>
          <w:ilvl w:val="0"/>
          <w:numId w:val="127"/>
        </w:numPr>
      </w:pPr>
      <w:r>
        <w:t>ScaleY</w:t>
      </w:r>
    </w:p>
    <w:p w:rsidR="005F78FC" w:rsidRDefault="00B42EF3">
      <w:pPr>
        <w:pStyle w:val="Definition-Field2"/>
        <w:numPr>
          <w:ilvl w:val="0"/>
          <w:numId w:val="127"/>
        </w:numPr>
      </w:pPr>
      <w:r>
        <w:t>r</w:t>
      </w:r>
    </w:p>
    <w:p w:rsidR="005F78FC" w:rsidRDefault="00B42EF3">
      <w:pPr>
        <w:pStyle w:val="Definition-Field2"/>
        <w:numPr>
          <w:ilvl w:val="0"/>
          <w:numId w:val="127"/>
        </w:numPr>
      </w:pPr>
      <w:r>
        <w:t>fillcolor</w:t>
      </w:r>
    </w:p>
    <w:p w:rsidR="005F78FC" w:rsidRDefault="00B42EF3">
      <w:pPr>
        <w:pStyle w:val="Definition-Field2"/>
        <w:numPr>
          <w:ilvl w:val="0"/>
          <w:numId w:val="127"/>
        </w:numPr>
      </w:pPr>
      <w:r>
        <w:lastRenderedPageBreak/>
        <w:t>3d.object.rotation.x</w:t>
      </w:r>
    </w:p>
    <w:p w:rsidR="005F78FC" w:rsidRDefault="00B42EF3">
      <w:pPr>
        <w:pStyle w:val="Definition-Field2"/>
        <w:numPr>
          <w:ilvl w:val="0"/>
          <w:numId w:val="127"/>
        </w:numPr>
      </w:pPr>
      <w:r>
        <w:t>3d.object.rotation.y</w:t>
      </w:r>
    </w:p>
    <w:p w:rsidR="005F78FC" w:rsidRDefault="00B42EF3">
      <w:pPr>
        <w:pStyle w:val="Definition-Field2"/>
        <w:numPr>
          <w:ilvl w:val="0"/>
          <w:numId w:val="127"/>
        </w:numPr>
      </w:pPr>
      <w:r>
        <w:t>3d.object.rotation.z</w:t>
      </w:r>
    </w:p>
    <w:p w:rsidR="005F78FC" w:rsidRDefault="00B42EF3">
      <w:pPr>
        <w:pStyle w:val="Definition-Field2"/>
        <w:numPr>
          <w:ilvl w:val="0"/>
          <w:numId w:val="127"/>
        </w:numPr>
      </w:pPr>
      <w:r>
        <w:t>3d.view.rotation.x</w:t>
      </w:r>
    </w:p>
    <w:p w:rsidR="005F78FC" w:rsidRDefault="00B42EF3">
      <w:pPr>
        <w:pStyle w:val="Definition-Field2"/>
        <w:numPr>
          <w:ilvl w:val="0"/>
          <w:numId w:val="127"/>
        </w:numPr>
      </w:pPr>
      <w:r>
        <w:t>3d.view.rotation.y</w:t>
      </w:r>
    </w:p>
    <w:p w:rsidR="005F78FC" w:rsidRDefault="00B42EF3">
      <w:pPr>
        <w:pStyle w:val="Definition-Field2"/>
        <w:numPr>
          <w:ilvl w:val="0"/>
          <w:numId w:val="127"/>
        </w:numPr>
      </w:pPr>
      <w:r>
        <w:t>3d.view.rotation.z</w:t>
      </w:r>
    </w:p>
    <w:p w:rsidR="005F78FC" w:rsidRDefault="00B42EF3">
      <w:pPr>
        <w:pStyle w:val="Definition-Field2"/>
        <w:numPr>
          <w:ilvl w:val="0"/>
          <w:numId w:val="127"/>
        </w:numPr>
      </w:pPr>
      <w:r>
        <w:t>3d.object.scale.x</w:t>
      </w:r>
    </w:p>
    <w:p w:rsidR="005F78FC" w:rsidRDefault="00B42EF3">
      <w:pPr>
        <w:pStyle w:val="Definition-Field2"/>
        <w:numPr>
          <w:ilvl w:val="0"/>
          <w:numId w:val="127"/>
        </w:numPr>
      </w:pPr>
      <w:r>
        <w:t>3d.object.scale.y</w:t>
      </w:r>
    </w:p>
    <w:p w:rsidR="005F78FC" w:rsidRDefault="00B42EF3">
      <w:pPr>
        <w:pStyle w:val="Definition-Field2"/>
        <w:numPr>
          <w:ilvl w:val="0"/>
          <w:numId w:val="127"/>
        </w:numPr>
      </w:pPr>
      <w:r>
        <w:t>3d.object.scale.z</w:t>
      </w:r>
    </w:p>
    <w:p w:rsidR="005F78FC" w:rsidRDefault="00B42EF3">
      <w:pPr>
        <w:pStyle w:val="Definition-Field2"/>
        <w:numPr>
          <w:ilvl w:val="0"/>
          <w:numId w:val="127"/>
        </w:numPr>
      </w:pPr>
      <w:r>
        <w:t>3d.view.scale.x</w:t>
      </w:r>
    </w:p>
    <w:p w:rsidR="005F78FC" w:rsidRDefault="00B42EF3">
      <w:pPr>
        <w:pStyle w:val="Definition-Field2"/>
        <w:numPr>
          <w:ilvl w:val="0"/>
          <w:numId w:val="127"/>
        </w:numPr>
      </w:pPr>
      <w:r>
        <w:t>3d.view.scale.y</w:t>
      </w:r>
    </w:p>
    <w:p w:rsidR="005F78FC" w:rsidRDefault="00B42EF3">
      <w:pPr>
        <w:pStyle w:val="Definition-Field2"/>
        <w:numPr>
          <w:ilvl w:val="0"/>
          <w:numId w:val="127"/>
        </w:numPr>
      </w:pPr>
      <w:r>
        <w:t>3d.view.scale.z</w:t>
      </w:r>
    </w:p>
    <w:p w:rsidR="005F78FC" w:rsidRDefault="00B42EF3">
      <w:pPr>
        <w:pStyle w:val="Definition-Field2"/>
        <w:numPr>
          <w:ilvl w:val="0"/>
          <w:numId w:val="127"/>
        </w:numPr>
      </w:pPr>
      <w:r>
        <w:t>3d.object.translation.x</w:t>
      </w:r>
    </w:p>
    <w:p w:rsidR="005F78FC" w:rsidRDefault="00B42EF3">
      <w:pPr>
        <w:pStyle w:val="Definition-Field2"/>
        <w:numPr>
          <w:ilvl w:val="0"/>
          <w:numId w:val="127"/>
        </w:numPr>
      </w:pPr>
      <w:r>
        <w:t>3d.object.translation.y</w:t>
      </w:r>
    </w:p>
    <w:p w:rsidR="005F78FC" w:rsidRDefault="00B42EF3">
      <w:pPr>
        <w:pStyle w:val="Definition-Field2"/>
        <w:numPr>
          <w:ilvl w:val="0"/>
          <w:numId w:val="127"/>
        </w:numPr>
      </w:pPr>
      <w:r>
        <w:t>3d.object.translation.z</w:t>
      </w:r>
    </w:p>
    <w:p w:rsidR="005F78FC" w:rsidRDefault="00B42EF3">
      <w:pPr>
        <w:pStyle w:val="Definition-Field2"/>
        <w:numPr>
          <w:ilvl w:val="0"/>
          <w:numId w:val="127"/>
        </w:numPr>
      </w:pPr>
      <w:r>
        <w:t>3d.view.translation.x</w:t>
      </w:r>
    </w:p>
    <w:p w:rsidR="005F78FC" w:rsidRDefault="00B42EF3">
      <w:pPr>
        <w:pStyle w:val="Definition-Field2"/>
        <w:numPr>
          <w:ilvl w:val="0"/>
          <w:numId w:val="127"/>
        </w:numPr>
      </w:pPr>
      <w:r>
        <w:t>3d.view.translation.y</w:t>
      </w:r>
    </w:p>
    <w:p w:rsidR="005F78FC" w:rsidRDefault="00B42EF3">
      <w:pPr>
        <w:pStyle w:val="Definition-Field2"/>
        <w:numPr>
          <w:ilvl w:val="0"/>
          <w:numId w:val="127"/>
        </w:numPr>
      </w:pPr>
      <w:r>
        <w:t>3d.view.translation.z</w:t>
      </w:r>
    </w:p>
    <w:p w:rsidR="005F78FC" w:rsidRDefault="00B42EF3">
      <w:pPr>
        <w:pStyle w:val="Definition-Field2"/>
        <w:numPr>
          <w:ilvl w:val="0"/>
          <w:numId w:val="127"/>
        </w:numPr>
      </w:pPr>
      <w:r>
        <w:t>drawProgress</w:t>
      </w:r>
    </w:p>
    <w:p w:rsidR="005F78FC" w:rsidRDefault="00B42EF3">
      <w:pPr>
        <w:pStyle w:val="Definition-Field2"/>
        <w:numPr>
          <w:ilvl w:val="0"/>
          <w:numId w:val="127"/>
        </w:numPr>
      </w:pPr>
      <w:r>
        <w:t>dra</w:t>
      </w:r>
      <w:r>
        <w:t>wProgressAllAtOnce</w:t>
      </w:r>
    </w:p>
    <w:p w:rsidR="005F78FC" w:rsidRDefault="00B42EF3">
      <w:pPr>
        <w:pStyle w:val="Definition-Field"/>
      </w:pPr>
      <w:r>
        <w:t xml:space="preserve">b.   </w:t>
      </w:r>
      <w:r>
        <w:rPr>
          <w:i/>
        </w:rPr>
        <w:t>The standard does not specify whether the attrName values are case-sensitive.</w:t>
      </w:r>
    </w:p>
    <w:p w:rsidR="005F78FC" w:rsidRDefault="00B42EF3">
      <w:pPr>
        <w:pStyle w:val="Definition-Field2"/>
      </w:pPr>
      <w:r>
        <w:t>PowerPoint treats these values as case-insensitive.</w:t>
      </w:r>
    </w:p>
    <w:p w:rsidR="005F78FC" w:rsidRDefault="00B42EF3">
      <w:pPr>
        <w:pStyle w:val="Heading3"/>
      </w:pPr>
      <w:bookmarkStart w:id="2308" w:name="section_4a1209e295d54d5ba857218466d24576"/>
      <w:bookmarkStart w:id="2309" w:name="_Toc69878927"/>
      <w:r>
        <w:t>Part 1 Section 19.5.9, audio (Audio)</w:t>
      </w:r>
      <w:bookmarkEnd w:id="2308"/>
      <w:bookmarkEnd w:id="2309"/>
      <w:r>
        <w:fldChar w:fldCharType="begin"/>
      </w:r>
      <w:r>
        <w:instrText xml:space="preserve"> XE "audio (Audio)" </w:instrText>
      </w:r>
      <w:r>
        <w:fldChar w:fldCharType="end"/>
      </w:r>
    </w:p>
    <w:p w:rsidR="005F78FC" w:rsidRDefault="00B42EF3">
      <w:pPr>
        <w:pStyle w:val="Definition-Field2"/>
      </w:pPr>
      <w:r>
        <w:rPr>
          <w:i/>
        </w:rPr>
        <w:t>For additional notes that apply to this por</w:t>
      </w:r>
      <w:r>
        <w:rPr>
          <w:i/>
        </w:rPr>
        <w:t xml:space="preserve">tion of the standard, please see the notes for </w:t>
      </w:r>
      <w:hyperlink w:anchor="Section_5516734500ff4d39b4a86ca61d86227a">
        <w:r>
          <w:rPr>
            <w:rStyle w:val="Hyperlink"/>
          </w:rPr>
          <w:t>tnLst, §19.5.87(b)</w:t>
        </w:r>
      </w:hyperlink>
      <w:r>
        <w:rPr>
          <w:i/>
        </w:rPr>
        <w:t>.</w:t>
      </w:r>
    </w:p>
    <w:p w:rsidR="005F78FC" w:rsidRDefault="00B42EF3">
      <w:pPr>
        <w:pStyle w:val="Definition-Field"/>
      </w:pPr>
      <w:r>
        <w:t xml:space="preserve">a.   </w:t>
      </w:r>
      <w:r>
        <w:rPr>
          <w:i/>
        </w:rPr>
        <w:t>The standard allows the isNarration attribute to be set to true on any audio element.</w:t>
      </w:r>
    </w:p>
    <w:p w:rsidR="005F78FC" w:rsidRDefault="00B42EF3">
      <w:r>
        <w:t xml:space="preserve">The isNarration attribute can only </w:t>
      </w:r>
      <w:r>
        <w:t xml:space="preserve">be true if the </w:t>
      </w:r>
      <w:r>
        <w:rPr>
          <w:b/>
        </w:rPr>
        <w:t>&lt;audio&gt;</w:t>
      </w:r>
      <w:r>
        <w:t xml:space="preserve"> element contains a child </w:t>
      </w:r>
      <w:r>
        <w:rPr>
          <w:b/>
        </w:rPr>
        <w:t>&lt;cMediaNode&gt;</w:t>
      </w:r>
      <w:r>
        <w:t xml:space="preserve"> ("</w:t>
      </w:r>
      <w:hyperlink r:id="rId158">
        <w:r>
          <w:rPr>
            <w:rStyle w:val="Hyperlink"/>
          </w:rPr>
          <w:t>[ISO/IEC-29500-1]</w:t>
        </w:r>
      </w:hyperlink>
      <w:r>
        <w:t xml:space="preserve"> §19.5.29; cMediaNode") with a child </w:t>
      </w:r>
      <w:r>
        <w:rPr>
          <w:b/>
        </w:rPr>
        <w:t>&lt;tgtEl&gt;</w:t>
      </w:r>
      <w:r>
        <w:t xml:space="preserve"> ("[ISO/IEC-29500-1] §19.5.81; tgtEl") that contains a </w:t>
      </w:r>
      <w:r>
        <w:rPr>
          <w:b/>
        </w:rPr>
        <w:t>&lt;spTgt&gt;</w:t>
      </w:r>
      <w:r>
        <w:t xml:space="preserve"> ele</w:t>
      </w:r>
      <w:r>
        <w:t xml:space="preserve">ment ("[ISO/IEC-29500-1] §19.5.72; spTgt") that points to a valid sound shape. A valid sound shape is a shape that includes as a child of the </w:t>
      </w:r>
      <w:r>
        <w:rPr>
          <w:b/>
        </w:rPr>
        <w:t>&lt;nvPr&gt;</w:t>
      </w:r>
      <w:r>
        <w:t xml:space="preserve"> element ("[ISO/IEC-29500-1] §19.3.1.33; nvPr") one of the following elements: </w:t>
      </w:r>
      <w:r>
        <w:rPr>
          <w:b/>
        </w:rPr>
        <w:t>&lt;wavAudioFile&gt;</w:t>
      </w:r>
      <w:r>
        <w:t xml:space="preserve"> ("[ISO/IEC-295</w:t>
      </w:r>
      <w:r>
        <w:t xml:space="preserve">00-1] §20.1.3.7; wavAudioFile") or </w:t>
      </w:r>
      <w:r>
        <w:rPr>
          <w:b/>
        </w:rPr>
        <w:t xml:space="preserve">&lt;audioFile&gt; </w:t>
      </w:r>
      <w:r>
        <w:t>("[ISO/IEC-29500-1] §20.1.3.2; audioFile").</w:t>
      </w:r>
    </w:p>
    <w:p w:rsidR="005F78FC" w:rsidRDefault="00B42EF3">
      <w:pPr>
        <w:pStyle w:val="Heading3"/>
      </w:pPr>
      <w:bookmarkStart w:id="2310" w:name="section_da3302a59997444fbb688ed15c696eba"/>
      <w:bookmarkStart w:id="2311" w:name="_Toc69878928"/>
      <w:r>
        <w:lastRenderedPageBreak/>
        <w:t>Part 1 Section 19.5.12, bldDgm (Build Diagram)</w:t>
      </w:r>
      <w:bookmarkEnd w:id="2310"/>
      <w:bookmarkEnd w:id="2311"/>
      <w:r>
        <w:fldChar w:fldCharType="begin"/>
      </w:r>
      <w:r>
        <w:instrText xml:space="preserve"> XE "bldDgm (Build Diagram)" </w:instrText>
      </w:r>
      <w:r>
        <w:fldChar w:fldCharType="end"/>
      </w:r>
    </w:p>
    <w:p w:rsidR="005F78FC" w:rsidRDefault="00B42EF3">
      <w:pPr>
        <w:pStyle w:val="Definition-Field"/>
      </w:pPr>
      <w:r>
        <w:t xml:space="preserve">a.   </w:t>
      </w:r>
      <w:r>
        <w:rPr>
          <w:i/>
        </w:rPr>
        <w:t xml:space="preserve">The standard implies that the bldDgm element specifies how to build animation for </w:t>
      </w:r>
      <w:r>
        <w:rPr>
          <w:i/>
        </w:rPr>
        <w:t>any diagram.</w:t>
      </w:r>
    </w:p>
    <w:p w:rsidR="005F78FC" w:rsidRDefault="00B42EF3">
      <w:pPr>
        <w:pStyle w:val="Definition-Field2"/>
      </w:pPr>
      <w:r>
        <w:t>PowerPoint only uses this element for OLE diagrams.</w:t>
      </w:r>
    </w:p>
    <w:p w:rsidR="005F78FC" w:rsidRDefault="00B42EF3">
      <w:pPr>
        <w:pStyle w:val="Definition-Field"/>
      </w:pPr>
      <w:r>
        <w:t xml:space="preserve">b.   </w:t>
      </w:r>
      <w:r>
        <w:rPr>
          <w:i/>
        </w:rPr>
        <w:t>The standard places no restrictions on what the spid attribute refers to.</w:t>
      </w:r>
    </w:p>
    <w:p w:rsidR="005F78FC" w:rsidRDefault="00B42EF3">
      <w:pPr>
        <w:pStyle w:val="Definition-Field2"/>
      </w:pPr>
      <w:r>
        <w:t>PowerPoint requires that the spid attribute reference a valid OLE diagram that is present on the slide.</w:t>
      </w:r>
    </w:p>
    <w:p w:rsidR="005F78FC" w:rsidRDefault="00B42EF3">
      <w:pPr>
        <w:pStyle w:val="Definition-Field"/>
      </w:pPr>
      <w:r>
        <w:t xml:space="preserve">c.   </w:t>
      </w:r>
      <w:r>
        <w:rPr>
          <w:i/>
        </w:rPr>
        <w:t>The</w:t>
      </w:r>
      <w:r>
        <w:rPr>
          <w:i/>
        </w:rPr>
        <w:t xml:space="preserve"> standard places no restrictions on the relationship between the spid attribute, the grpId attribute, and the parent bldLst element.</w:t>
      </w:r>
    </w:p>
    <w:p w:rsidR="005F78FC" w:rsidRDefault="00B42EF3">
      <w:pPr>
        <w:pStyle w:val="Definition-Field2"/>
      </w:pPr>
      <w:r>
        <w:t>PowerPoint requires that the combination of the spid attribute and the grpId attribute on a given bldDgm element form a uni</w:t>
      </w:r>
      <w:r>
        <w:t>que pair within the parent bldLst element.</w:t>
      </w:r>
    </w:p>
    <w:p w:rsidR="005F78FC" w:rsidRDefault="00B42EF3">
      <w:pPr>
        <w:pStyle w:val="Definition-Field"/>
      </w:pPr>
      <w:r>
        <w:t xml:space="preserve">d.   </w:t>
      </w:r>
      <w:r>
        <w:rPr>
          <w:i/>
        </w:rPr>
        <w:t>The standard places no restrictions on what the grpId attribute refers to.</w:t>
      </w:r>
    </w:p>
    <w:p w:rsidR="005F78FC" w:rsidRDefault="00B42EF3">
      <w:pPr>
        <w:pStyle w:val="Definition-Field2"/>
      </w:pPr>
      <w:r>
        <w:t>PowerPoint requires that the grpId attribute reference a group that is present in the timing tree.</w:t>
      </w:r>
    </w:p>
    <w:p w:rsidR="005F78FC" w:rsidRDefault="00B42EF3">
      <w:pPr>
        <w:pStyle w:val="Heading3"/>
      </w:pPr>
      <w:bookmarkStart w:id="2312" w:name="section_ec82ed17db494761afc3d8e7d2930646"/>
      <w:bookmarkStart w:id="2313" w:name="_Toc69878929"/>
      <w:r>
        <w:t>Part 1 Section 19.5.13, bldGraphic</w:t>
      </w:r>
      <w:r>
        <w:t xml:space="preserve"> (Build Graphics)</w:t>
      </w:r>
      <w:bookmarkEnd w:id="2312"/>
      <w:bookmarkEnd w:id="2313"/>
      <w:r>
        <w:fldChar w:fldCharType="begin"/>
      </w:r>
      <w:r>
        <w:instrText xml:space="preserve"> XE "bldGraphic (Build Graphics)" </w:instrText>
      </w:r>
      <w:r>
        <w:fldChar w:fldCharType="end"/>
      </w:r>
    </w:p>
    <w:p w:rsidR="005F78FC" w:rsidRDefault="00B42EF3">
      <w:pPr>
        <w:pStyle w:val="Definition-Field"/>
      </w:pPr>
      <w:r>
        <w:t xml:space="preserve">a.   </w:t>
      </w:r>
      <w:r>
        <w:rPr>
          <w:i/>
        </w:rPr>
        <w:t>The standard places no restrictions on what the spid attribute refers to.</w:t>
      </w:r>
    </w:p>
    <w:p w:rsidR="005F78FC" w:rsidRDefault="00B42EF3">
      <w:pPr>
        <w:pStyle w:val="Definition-Field2"/>
      </w:pPr>
      <w:r>
        <w:t>PowerPoint requires that the spid attribute reference a chart or diagram that is present on the slide.</w:t>
      </w:r>
    </w:p>
    <w:p w:rsidR="005F78FC" w:rsidRDefault="00B42EF3">
      <w:pPr>
        <w:pStyle w:val="Definition-Field"/>
      </w:pPr>
      <w:r>
        <w:t xml:space="preserve">b.   </w:t>
      </w:r>
      <w:r>
        <w:rPr>
          <w:i/>
        </w:rPr>
        <w:t>The standard pl</w:t>
      </w:r>
      <w:r>
        <w:rPr>
          <w:i/>
        </w:rPr>
        <w:t>aces no restrictions on what the grpId attribute refers to.</w:t>
      </w:r>
    </w:p>
    <w:p w:rsidR="005F78FC" w:rsidRDefault="00B42EF3">
      <w:pPr>
        <w:pStyle w:val="Definition-Field2"/>
      </w:pPr>
      <w:r>
        <w:t>PowerPoint requires that the grpID attribute reference a group that is present in the timing tree.</w:t>
      </w:r>
    </w:p>
    <w:p w:rsidR="005F78FC" w:rsidRDefault="00B42EF3">
      <w:pPr>
        <w:pStyle w:val="Definition-Field"/>
      </w:pPr>
      <w:r>
        <w:t xml:space="preserve">c.   </w:t>
      </w:r>
      <w:r>
        <w:rPr>
          <w:i/>
        </w:rPr>
        <w:t>The standard places no restrictions on the relationship between the spid attribute, the grpI</w:t>
      </w:r>
      <w:r>
        <w:rPr>
          <w:i/>
        </w:rPr>
        <w:t>d attribute, and the parent bldLst element.</w:t>
      </w:r>
    </w:p>
    <w:p w:rsidR="005F78FC" w:rsidRDefault="00B42EF3">
      <w:pPr>
        <w:pStyle w:val="Definition-Field2"/>
      </w:pPr>
      <w:r>
        <w:t>PowerPoint requires that the combination of the spid attribute and the grpId attribute on a given bldGraphic element form a unique pair within the parent bldLst element.</w:t>
      </w:r>
    </w:p>
    <w:p w:rsidR="005F78FC" w:rsidRDefault="00B42EF3">
      <w:pPr>
        <w:pStyle w:val="Heading3"/>
      </w:pPr>
      <w:bookmarkStart w:id="2314" w:name="section_5c0177b6c316482abf5923cb56a51534"/>
      <w:bookmarkStart w:id="2315" w:name="_Toc69878930"/>
      <w:r>
        <w:t>Part 1 Section 19.5.15, bldOleChart (Build</w:t>
      </w:r>
      <w:r>
        <w:t xml:space="preserve"> Embedded Chart)</w:t>
      </w:r>
      <w:bookmarkEnd w:id="2314"/>
      <w:bookmarkEnd w:id="2315"/>
      <w:r>
        <w:fldChar w:fldCharType="begin"/>
      </w:r>
      <w:r>
        <w:instrText xml:space="preserve"> XE "bldOleChart (Build Embedded Chart)" </w:instrText>
      </w:r>
      <w:r>
        <w:fldChar w:fldCharType="end"/>
      </w:r>
    </w:p>
    <w:p w:rsidR="005F78FC" w:rsidRDefault="00B42EF3">
      <w:pPr>
        <w:pStyle w:val="Definition-Field"/>
      </w:pPr>
      <w:r>
        <w:t xml:space="preserve">a.   </w:t>
      </w:r>
      <w:r>
        <w:rPr>
          <w:i/>
        </w:rPr>
        <w:t>The standard places no restrictions on what the spid attribute refers to.</w:t>
      </w:r>
    </w:p>
    <w:p w:rsidR="005F78FC" w:rsidRDefault="00B42EF3">
      <w:pPr>
        <w:pStyle w:val="Definition-Field2"/>
      </w:pPr>
      <w:r>
        <w:t>PowerPoint requires that the spid attribute reference a shape that is present on the slide.</w:t>
      </w:r>
    </w:p>
    <w:p w:rsidR="005F78FC" w:rsidRDefault="00B42EF3">
      <w:pPr>
        <w:pStyle w:val="Definition-Field"/>
      </w:pPr>
      <w:r>
        <w:t xml:space="preserve">b.   </w:t>
      </w:r>
      <w:r>
        <w:rPr>
          <w:i/>
        </w:rPr>
        <w:t xml:space="preserve">The standard places </w:t>
      </w:r>
      <w:r>
        <w:rPr>
          <w:i/>
        </w:rPr>
        <w:t>no restrictions on the relationship between the spid attribute, the grpId attribute, and the parent bldLst element.</w:t>
      </w:r>
    </w:p>
    <w:p w:rsidR="005F78FC" w:rsidRDefault="00B42EF3">
      <w:pPr>
        <w:pStyle w:val="Definition-Field2"/>
      </w:pPr>
      <w:r>
        <w:t>PowerPoint requires that the combination of the spid attribute and the grpId attribute on a given bldOleChart element form a unique pair wit</w:t>
      </w:r>
      <w:r>
        <w:t>hin the parent bldLst element.</w:t>
      </w:r>
    </w:p>
    <w:p w:rsidR="005F78FC" w:rsidRDefault="00B42EF3">
      <w:pPr>
        <w:pStyle w:val="Definition-Field"/>
      </w:pPr>
      <w:r>
        <w:t xml:space="preserve">c.   </w:t>
      </w:r>
      <w:r>
        <w:rPr>
          <w:i/>
        </w:rPr>
        <w:t>The standard places no restrictions on what the grpId attribute refers to.</w:t>
      </w:r>
    </w:p>
    <w:p w:rsidR="005F78FC" w:rsidRDefault="00B42EF3">
      <w:pPr>
        <w:pStyle w:val="Definition-Field2"/>
      </w:pPr>
      <w:r>
        <w:t>PowerPoint requires that the grpId attribute reference a group that is present in the timing tree.</w:t>
      </w:r>
    </w:p>
    <w:p w:rsidR="005F78FC" w:rsidRDefault="00B42EF3">
      <w:pPr>
        <w:pStyle w:val="Heading3"/>
      </w:pPr>
      <w:bookmarkStart w:id="2316" w:name="section_2936b07f699e42a7a89870122183e0a2"/>
      <w:bookmarkStart w:id="2317" w:name="_Toc69878931"/>
      <w:r>
        <w:t>Part 1 Section 19.5.16, bldP (Build Paragraph)</w:t>
      </w:r>
      <w:bookmarkEnd w:id="2316"/>
      <w:bookmarkEnd w:id="2317"/>
      <w:r>
        <w:fldChar w:fldCharType="begin"/>
      </w:r>
      <w:r>
        <w:instrText xml:space="preserve"> XE "bldP (Build Paragraph)" </w:instrText>
      </w:r>
      <w:r>
        <w:fldChar w:fldCharType="end"/>
      </w:r>
    </w:p>
    <w:p w:rsidR="005F78FC" w:rsidRDefault="00B42EF3">
      <w:pPr>
        <w:pStyle w:val="Definition-Field"/>
      </w:pPr>
      <w:r>
        <w:t xml:space="preserve">a.   </w:t>
      </w:r>
      <w:r>
        <w:rPr>
          <w:i/>
        </w:rPr>
        <w:t>The standard places no restrictions on what the spid attribute refers to.</w:t>
      </w:r>
    </w:p>
    <w:p w:rsidR="005F78FC" w:rsidRDefault="00B42EF3">
      <w:pPr>
        <w:pStyle w:val="Definition-Field2"/>
      </w:pPr>
      <w:r>
        <w:t>PowerPoint requires that the spid attribute reference a shape that is present on the slide.</w:t>
      </w:r>
    </w:p>
    <w:p w:rsidR="005F78FC" w:rsidRDefault="00B42EF3">
      <w:pPr>
        <w:pStyle w:val="Definition-Field"/>
      </w:pPr>
      <w:r>
        <w:lastRenderedPageBreak/>
        <w:t xml:space="preserve">b.   </w:t>
      </w:r>
      <w:r>
        <w:rPr>
          <w:i/>
        </w:rPr>
        <w:t>The standard places no restrictions on the relat</w:t>
      </w:r>
      <w:r>
        <w:rPr>
          <w:i/>
        </w:rPr>
        <w:t>ionship between the spid attribute, the grpId attribute, and the parent bldLst element.</w:t>
      </w:r>
    </w:p>
    <w:p w:rsidR="005F78FC" w:rsidRDefault="00B42EF3">
      <w:pPr>
        <w:pStyle w:val="Definition-Field2"/>
      </w:pPr>
      <w:r>
        <w:t>PowerPoint requires that the combination of the spid attribute and the grpId attribute on a given bldP element form a unique pair within the parent bldLst element.</w:t>
      </w:r>
    </w:p>
    <w:p w:rsidR="005F78FC" w:rsidRDefault="00B42EF3">
      <w:pPr>
        <w:pStyle w:val="Definition-Field"/>
      </w:pPr>
      <w:r>
        <w:t xml:space="preserve">c.  </w:t>
      </w:r>
      <w:r>
        <w:t xml:space="preserve"> </w:t>
      </w:r>
      <w:r>
        <w:rPr>
          <w:i/>
        </w:rPr>
        <w:t>The standard places no restrictions on the shape to which the spid attribute refers.</w:t>
      </w:r>
    </w:p>
    <w:p w:rsidR="005F78FC" w:rsidRDefault="00B42EF3">
      <w:pPr>
        <w:pStyle w:val="Definition-Field2"/>
      </w:pPr>
      <w:r>
        <w:t>PowerPoint requires that the spid attribute refer to an sp element that contains a t element with valid textual data.</w:t>
      </w:r>
    </w:p>
    <w:p w:rsidR="005F78FC" w:rsidRDefault="00B42EF3">
      <w:pPr>
        <w:pStyle w:val="Definition-Field"/>
      </w:pPr>
      <w:r>
        <w:t xml:space="preserve">d.   </w:t>
      </w:r>
      <w:r>
        <w:rPr>
          <w:i/>
        </w:rPr>
        <w:t xml:space="preserve">The standard does not specify how to interpret </w:t>
      </w:r>
      <w:r>
        <w:rPr>
          <w:i/>
        </w:rPr>
        <w:t>an advAuto attribute value of indefinite.</w:t>
      </w:r>
    </w:p>
    <w:p w:rsidR="005F78FC" w:rsidRDefault="00B42EF3">
      <w:pPr>
        <w:pStyle w:val="Definition-Field2"/>
      </w:pPr>
      <w:r>
        <w:t>PowerPoint interprets a value of indefinite on the advAuto attribute as being equal to 0.</w:t>
      </w:r>
    </w:p>
    <w:p w:rsidR="005F78FC" w:rsidRDefault="00B42EF3">
      <w:pPr>
        <w:pStyle w:val="Definition-Field"/>
      </w:pPr>
      <w:r>
        <w:t xml:space="preserve">e.   </w:t>
      </w:r>
      <w:r>
        <w:rPr>
          <w:i/>
        </w:rPr>
        <w:t>The standard states that the autoUpdateAnimBg attribute indicates whether to automatically update the animateBg setting</w:t>
      </w:r>
      <w:r>
        <w:rPr>
          <w:i/>
        </w:rPr>
        <w:t xml:space="preserve"> to true when the shape associated with the text has a fill or line.</w:t>
      </w:r>
    </w:p>
    <w:p w:rsidR="005F78FC" w:rsidRDefault="00B42EF3">
      <w:pPr>
        <w:pStyle w:val="Definition-Field2"/>
      </w:pPr>
      <w:r>
        <w:t>PowerPoint does not support the autoUpdateAnimBg attribute.</w:t>
      </w:r>
    </w:p>
    <w:p w:rsidR="005F78FC" w:rsidRDefault="00B42EF3">
      <w:pPr>
        <w:pStyle w:val="Definition-Field"/>
      </w:pPr>
      <w:r>
        <w:t xml:space="preserve">f.   </w:t>
      </w:r>
      <w:r>
        <w:rPr>
          <w:i/>
        </w:rPr>
        <w:t>The standard places no restrictions on the tgtEl target element when the value of the animBg attribute is false.</w:t>
      </w:r>
    </w:p>
    <w:p w:rsidR="005F78FC" w:rsidRDefault="00B42EF3">
      <w:pPr>
        <w:pStyle w:val="Definition-Field2"/>
      </w:pPr>
      <w:r>
        <w:t>PowerPoint requires that the charRg child element inside the tgtEl target element be zero-length if the animBg attribute is set to false.</w:t>
      </w:r>
    </w:p>
    <w:p w:rsidR="005F78FC" w:rsidRDefault="00B42EF3">
      <w:pPr>
        <w:pStyle w:val="Definition-Field"/>
      </w:pPr>
      <w:r>
        <w:t xml:space="preserve">g.   </w:t>
      </w:r>
      <w:r>
        <w:rPr>
          <w:i/>
        </w:rPr>
        <w:t>The standard states that the bldLvl attribute is only supported when the build attribute is set to byParagraph.</w:t>
      </w:r>
    </w:p>
    <w:p w:rsidR="005F78FC" w:rsidRDefault="00B42EF3">
      <w:pPr>
        <w:pStyle w:val="Definition-Field2"/>
      </w:pPr>
      <w:r>
        <w:t>PowerPoint only supports the bldLvl attribute when the build attribute is set to p.</w:t>
      </w:r>
    </w:p>
    <w:p w:rsidR="005F78FC" w:rsidRDefault="00B42EF3">
      <w:pPr>
        <w:pStyle w:val="Heading3"/>
      </w:pPr>
      <w:bookmarkStart w:id="2318" w:name="section_cfa661aede3a4d16b06d06e35e721b89"/>
      <w:bookmarkStart w:id="2319" w:name="_Toc69878932"/>
      <w:r>
        <w:t>Part 1 Section 19.5.17, bldSub (Build Sub Elements)</w:t>
      </w:r>
      <w:bookmarkEnd w:id="2318"/>
      <w:bookmarkEnd w:id="2319"/>
      <w:r>
        <w:fldChar w:fldCharType="begin"/>
      </w:r>
      <w:r>
        <w:instrText xml:space="preserve"> XE "bldSub (Build Sub Elements)" </w:instrText>
      </w:r>
      <w:r>
        <w:fldChar w:fldCharType="end"/>
      </w:r>
    </w:p>
    <w:p w:rsidR="005F78FC" w:rsidRDefault="00B42EF3">
      <w:pPr>
        <w:pStyle w:val="Definition-Field"/>
      </w:pPr>
      <w:r>
        <w:t xml:space="preserve">a.   </w:t>
      </w:r>
      <w:r>
        <w:rPr>
          <w:i/>
        </w:rPr>
        <w:t>The standard places no restrictions on the relationship between the bldSub's pa</w:t>
      </w:r>
      <w:r>
        <w:rPr>
          <w:i/>
        </w:rPr>
        <w:t>rent and child elements.</w:t>
      </w:r>
    </w:p>
    <w:p w:rsidR="005F78FC" w:rsidRDefault="00B42EF3">
      <w:pPr>
        <w:pStyle w:val="Definition-Field2"/>
      </w:pPr>
      <w:r>
        <w:t>PowerPoint requires that the spid attribute of the bldGraphic parent element must match the type of the bldSub child element.</w:t>
      </w:r>
    </w:p>
    <w:p w:rsidR="005F78FC" w:rsidRDefault="00B42EF3">
      <w:pPr>
        <w:pStyle w:val="Heading3"/>
      </w:pPr>
      <w:bookmarkStart w:id="2320" w:name="section_f8515cce689b42c6aaa1816d25c1fd7b"/>
      <w:bookmarkStart w:id="2321" w:name="_Toc69878933"/>
      <w:r>
        <w:t>Part 1 Section 19.5.21, by (By)</w:t>
      </w:r>
      <w:bookmarkEnd w:id="2320"/>
      <w:bookmarkEnd w:id="2321"/>
      <w:r>
        <w:fldChar w:fldCharType="begin"/>
      </w:r>
      <w:r>
        <w:instrText xml:space="preserve"> XE "by (By)" </w:instrText>
      </w:r>
      <w:r>
        <w:fldChar w:fldCharType="end"/>
      </w:r>
    </w:p>
    <w:p w:rsidR="005F78FC" w:rsidRDefault="00B42EF3">
      <w:pPr>
        <w:pStyle w:val="Definition-Field2"/>
      </w:pPr>
      <w:r>
        <w:rPr>
          <w:i/>
        </w:rPr>
        <w:t>For additional notes that apply to this portion of the st</w:t>
      </w:r>
      <w:r>
        <w:rPr>
          <w:i/>
        </w:rPr>
        <w:t xml:space="preserve">andard, please see the notes for </w:t>
      </w:r>
      <w:hyperlink w:anchor="Section_376276c2d99a446084d99a1a45b2bd14">
        <w:r>
          <w:rPr>
            <w:rStyle w:val="Hyperlink"/>
          </w:rPr>
          <w:t>rCtr, §19.5.62(a)</w:t>
        </w:r>
      </w:hyperlink>
      <w:r>
        <w:rPr>
          <w:i/>
        </w:rPr>
        <w:t>.</w:t>
      </w:r>
    </w:p>
    <w:p w:rsidR="005F78FC" w:rsidRDefault="00B42EF3">
      <w:pPr>
        <w:pStyle w:val="Definition-Field"/>
      </w:pPr>
      <w:r>
        <w:t xml:space="preserve">a.   </w:t>
      </w:r>
      <w:r>
        <w:rPr>
          <w:i/>
        </w:rPr>
        <w:t>The standard states that the x attribute describes the X coordinate.</w:t>
      </w:r>
    </w:p>
    <w:p w:rsidR="005F78FC" w:rsidRDefault="00B42EF3">
      <w:pPr>
        <w:pStyle w:val="Definition-Field2"/>
      </w:pPr>
      <w:r>
        <w:t>PowerPoint uses the x attribute to specify the slide width percenta</w:t>
      </w:r>
      <w:r>
        <w:t>ge change when the by element is parented by the animMotion element, and the animated object width percentage change when the by element is parented by the animScale element.</w:t>
      </w:r>
    </w:p>
    <w:p w:rsidR="005F78FC" w:rsidRDefault="00B42EF3">
      <w:pPr>
        <w:pStyle w:val="Definition-Field"/>
      </w:pPr>
      <w:r>
        <w:t xml:space="preserve">b.   </w:t>
      </w:r>
      <w:r>
        <w:rPr>
          <w:i/>
        </w:rPr>
        <w:t>The standard states that the y attribute describes the Y coordinate.</w:t>
      </w:r>
    </w:p>
    <w:p w:rsidR="005F78FC" w:rsidRDefault="00B42EF3">
      <w:pPr>
        <w:pStyle w:val="Definition-Field2"/>
      </w:pPr>
      <w:r>
        <w:t>PowerPo</w:t>
      </w:r>
      <w:r>
        <w:t>int uses the y attribute to specify the slide height percentage change when the by element is parented by the animMotion element, and the animated object height percentage change when the by element is parented by the animScale element.</w:t>
      </w:r>
    </w:p>
    <w:p w:rsidR="005F78FC" w:rsidRDefault="00B42EF3">
      <w:pPr>
        <w:pStyle w:val="Heading3"/>
      </w:pPr>
      <w:bookmarkStart w:id="2322" w:name="section_b9a20a7864014a8b8ca9b31ead409132"/>
      <w:bookmarkStart w:id="2323" w:name="_Toc69878934"/>
      <w:r>
        <w:t>Part 1 Section 19.5</w:t>
      </w:r>
      <w:r>
        <w:t>.22, cBhvr (Common Behavior)</w:t>
      </w:r>
      <w:bookmarkEnd w:id="2322"/>
      <w:bookmarkEnd w:id="2323"/>
      <w:r>
        <w:fldChar w:fldCharType="begin"/>
      </w:r>
      <w:r>
        <w:instrText xml:space="preserve"> XE "cBhvr (Common Behavior)" </w:instrText>
      </w:r>
      <w:r>
        <w:fldChar w:fldCharType="end"/>
      </w:r>
    </w:p>
    <w:p w:rsidR="005F78FC" w:rsidRDefault="00B42EF3">
      <w:pPr>
        <w:pStyle w:val="Definition-Field"/>
      </w:pPr>
      <w:r>
        <w:t xml:space="preserve">a.   </w:t>
      </w:r>
      <w:r>
        <w:rPr>
          <w:i/>
        </w:rPr>
        <w:t>The standard states that the by attribute specifies a relative offset value for the animation.</w:t>
      </w:r>
    </w:p>
    <w:p w:rsidR="005F78FC" w:rsidRDefault="00B42EF3">
      <w:r>
        <w:lastRenderedPageBreak/>
        <w:t>The string value represents a 2D point, for example "0.5 0.5" or "(#ppt_x-0.1, #ppt_w)". The tw</w:t>
      </w:r>
      <w:r>
        <w:t>o elements can be real numbers, or formula. They are separated either by space or by comma. When using a formula, it must be enclosed in parentheses. The format is specified as follows:</w:t>
      </w:r>
    </w:p>
    <w:p w:rsidR="005F78FC" w:rsidRDefault="00B42EF3">
      <w:r>
        <w:t>2d_point = 2d_point_number | 2d_point_formula ;</w:t>
      </w:r>
    </w:p>
    <w:p w:rsidR="005F78FC" w:rsidRDefault="00B42EF3">
      <w:r>
        <w:t>2d_point_number = real</w:t>
      </w:r>
      <w:r>
        <w:t>_number , ( ‘ ‘ | ’,’ ) , real_number ;</w:t>
      </w:r>
    </w:p>
    <w:p w:rsidR="005F78FC" w:rsidRDefault="00B42EF3">
      <w:r>
        <w:t>2d_point_formula = ‘(‘ , formula , ( ‘ ‘ | ‘,‘ ) , formula , ‘)’ ;</w:t>
      </w:r>
    </w:p>
    <w:p w:rsidR="005F78FC" w:rsidRDefault="00B42EF3">
      <w:r>
        <w:t>real_number is further specified in "</w:t>
      </w:r>
      <w:hyperlink r:id="rId159">
        <w:r>
          <w:rPr>
            <w:rStyle w:val="Hyperlink"/>
          </w:rPr>
          <w:t>[ISO/IEC-29500-1]</w:t>
        </w:r>
      </w:hyperlink>
      <w:r>
        <w:t xml:space="preserve"> §19.5.89; to"</w:t>
      </w:r>
    </w:p>
    <w:p w:rsidR="005F78FC" w:rsidRDefault="00B42EF3">
      <w:r>
        <w:t>formula is fur</w:t>
      </w:r>
      <w:r>
        <w:t>ther specified in "[ISO/IEC-29500-1] §19.5.79; tav"</w:t>
      </w:r>
    </w:p>
    <w:p w:rsidR="005F78FC" w:rsidRDefault="00B42EF3">
      <w:pPr>
        <w:pStyle w:val="Definition-Field"/>
      </w:pPr>
      <w:r>
        <w:t xml:space="preserve">b.   </w:t>
      </w:r>
      <w:r>
        <w:rPr>
          <w:i/>
        </w:rPr>
        <w:t>The standard states that the from attribute specifies a relative offset value for the animation.</w:t>
      </w:r>
    </w:p>
    <w:p w:rsidR="005F78FC" w:rsidRDefault="00B42EF3">
      <w:r>
        <w:t>The string value represents a 2D point, for example "0.5 0.5" or "(#ppt_x-0.1, #ppt_w)". The two eleme</w:t>
      </w:r>
      <w:r>
        <w:t>nts can be real numbers, or formula. They are separated either by space or by comma. When using a formula, it must be enclosed within parentheses. The format is specified as follows:</w:t>
      </w:r>
    </w:p>
    <w:p w:rsidR="005F78FC" w:rsidRDefault="00B42EF3">
      <w:r>
        <w:t>2d_point = 2d_point_number | 2d_point_formula ;</w:t>
      </w:r>
    </w:p>
    <w:p w:rsidR="005F78FC" w:rsidRDefault="00B42EF3">
      <w:r>
        <w:t>2d_point_number = real_nu</w:t>
      </w:r>
      <w:r>
        <w:t>mber , ( ‘ ‘ | ’,’ ) , real_number ;</w:t>
      </w:r>
    </w:p>
    <w:p w:rsidR="005F78FC" w:rsidRDefault="00B42EF3">
      <w:r>
        <w:t>2d_point_formula = ‘(‘ , formula , ( ‘ ‘ | ‘,‘ ) , formula , ‘)’ ;</w:t>
      </w:r>
    </w:p>
    <w:p w:rsidR="005F78FC" w:rsidRDefault="00B42EF3">
      <w:r>
        <w:t>real_number is further specified in "[ISO/IEC-29500-1] §19.5.89; to"</w:t>
      </w:r>
    </w:p>
    <w:p w:rsidR="005F78FC" w:rsidRDefault="00B42EF3">
      <w:r>
        <w:t>formula is further specified in "[ISO/IEC-29500-1] §19.5.79; tav"</w:t>
      </w:r>
    </w:p>
    <w:p w:rsidR="005F78FC" w:rsidRDefault="00B42EF3">
      <w:pPr>
        <w:pStyle w:val="Definition-Field"/>
      </w:pPr>
      <w:r>
        <w:t xml:space="preserve">c.   </w:t>
      </w:r>
      <w:r>
        <w:rPr>
          <w:i/>
        </w:rPr>
        <w:t>The standard</w:t>
      </w:r>
      <w:r>
        <w:rPr>
          <w:i/>
        </w:rPr>
        <w:t xml:space="preserve"> states that the to attribute specifies a relative offset value for the animation.</w:t>
      </w:r>
    </w:p>
    <w:p w:rsidR="005F78FC" w:rsidRDefault="00B42EF3">
      <w:r>
        <w:t>The string value represents a 2D point, for example "0.5 0.5" or "(#ppt_x-0.1, #ppt_w)". The two elements can be real numbers, or formula. They are separated either by space</w:t>
      </w:r>
      <w:r>
        <w:t xml:space="preserve"> or by comma. When a using formula, it must be enclosed within parentheses. The format is specified as follows:</w:t>
      </w:r>
    </w:p>
    <w:p w:rsidR="005F78FC" w:rsidRDefault="00B42EF3">
      <w:r>
        <w:t>2d_point = 2d_point_number | 2d_point_formula ;</w:t>
      </w:r>
    </w:p>
    <w:p w:rsidR="005F78FC" w:rsidRDefault="00B42EF3">
      <w:r>
        <w:t>2d_point_number = real_number , ( ‘ ‘ | ’,’ ) , real_number ;</w:t>
      </w:r>
    </w:p>
    <w:p w:rsidR="005F78FC" w:rsidRDefault="00B42EF3">
      <w:r>
        <w:t>2d_point_formula = ‘(‘ , formula ,</w:t>
      </w:r>
      <w:r>
        <w:t xml:space="preserve"> ( ‘ ‘ | ‘,‘ ) , formula , ‘)’ ;</w:t>
      </w:r>
    </w:p>
    <w:p w:rsidR="005F78FC" w:rsidRDefault="00B42EF3">
      <w:r>
        <w:t>real_number is further specified in "[ISO/IEC-29500-1] §19.5.89; to"</w:t>
      </w:r>
    </w:p>
    <w:p w:rsidR="005F78FC" w:rsidRDefault="00B42EF3">
      <w:r>
        <w:t>formula is further specified in "[ISO/IEC-29500-1] §19.5.79; tav"</w:t>
      </w:r>
    </w:p>
    <w:p w:rsidR="005F78FC" w:rsidRDefault="00B42EF3">
      <w:pPr>
        <w:pStyle w:val="Definition-Field"/>
      </w:pPr>
      <w:r>
        <w:t xml:space="preserve">d.   </w:t>
      </w:r>
      <w:r>
        <w:rPr>
          <w:i/>
        </w:rPr>
        <w:t>The standard does not state a default value for the additive attribute.</w:t>
      </w:r>
    </w:p>
    <w:p w:rsidR="005F78FC" w:rsidRDefault="00B42EF3">
      <w:pPr>
        <w:pStyle w:val="Definition-Field2"/>
      </w:pPr>
      <w:r>
        <w:t xml:space="preserve">PowerPoint </w:t>
      </w:r>
      <w:r>
        <w:t>uses a default value of base for the additive attribute.</w:t>
      </w:r>
    </w:p>
    <w:p w:rsidR="005F78FC" w:rsidRDefault="00B42EF3">
      <w:pPr>
        <w:pStyle w:val="Definition-Field"/>
      </w:pPr>
      <w:r>
        <w:t xml:space="preserve">e.   </w:t>
      </w:r>
      <w:r>
        <w:rPr>
          <w:i/>
        </w:rPr>
        <w:t>The standard does not state a default value for the accumulate attribute.</w:t>
      </w:r>
    </w:p>
    <w:p w:rsidR="005F78FC" w:rsidRDefault="00B42EF3">
      <w:pPr>
        <w:pStyle w:val="Definition-Field2"/>
      </w:pPr>
      <w:r>
        <w:t>PowerPoint uses a default value of none for the accumulate attribute.</w:t>
      </w:r>
    </w:p>
    <w:p w:rsidR="005F78FC" w:rsidRDefault="00B42EF3">
      <w:pPr>
        <w:pStyle w:val="Definition-Field"/>
      </w:pPr>
      <w:r>
        <w:t xml:space="preserve">f.   </w:t>
      </w:r>
      <w:r>
        <w:rPr>
          <w:i/>
        </w:rPr>
        <w:t xml:space="preserve">The standard does not state a default value </w:t>
      </w:r>
      <w:r>
        <w:rPr>
          <w:i/>
        </w:rPr>
        <w:t>for the xfrmType attribute.</w:t>
      </w:r>
    </w:p>
    <w:p w:rsidR="005F78FC" w:rsidRDefault="00B42EF3">
      <w:pPr>
        <w:pStyle w:val="Definition-Field2"/>
      </w:pPr>
      <w:r>
        <w:t>PowerPoint uses a default value of pt for the xfrmType attribute.</w:t>
      </w:r>
    </w:p>
    <w:p w:rsidR="005F78FC" w:rsidRDefault="00B42EF3">
      <w:pPr>
        <w:pStyle w:val="Definition-Field"/>
      </w:pPr>
      <w:r>
        <w:t xml:space="preserve">g.   </w:t>
      </w:r>
      <w:r>
        <w:rPr>
          <w:i/>
        </w:rPr>
        <w:t>The standard states that the rctx attribute describes the runtime context of the animation and that the understood values are PPT and IE.</w:t>
      </w:r>
    </w:p>
    <w:p w:rsidR="005F78FC" w:rsidRDefault="00B42EF3">
      <w:r>
        <w:t>Office places addit</w:t>
      </w:r>
      <w:r>
        <w:t>ional restrictions on the format for the value of the rctx attribute as follows:</w:t>
      </w:r>
    </w:p>
    <w:p w:rsidR="005F78FC" w:rsidRDefault="00B42EF3">
      <w:r>
        <w:lastRenderedPageBreak/>
        <w:t>runtime_context = context_atom, { ‘;’, context_atom } [ ‘;’ ];</w:t>
      </w:r>
    </w:p>
    <w:p w:rsidR="005F78FC" w:rsidRDefault="00B42EF3">
      <w:r>
        <w:t>context_atom = [ relation_operator, Space ],  app_abbrev, [ Space , version ];</w:t>
      </w:r>
    </w:p>
    <w:p w:rsidR="005F78FC" w:rsidRDefault="00B42EF3">
      <w:r>
        <w:t>relation_operator = gte | gt | lt</w:t>
      </w:r>
      <w:r>
        <w:t>e | lt | not;</w:t>
      </w:r>
    </w:p>
    <w:p w:rsidR="005F78FC" w:rsidRDefault="00B42EF3">
      <w:r>
        <w:t>app_abbrev = PPT_abbrev | IE_abbrev;</w:t>
      </w:r>
    </w:p>
    <w:p w:rsidR="005F78FC" w:rsidRDefault="00B42EF3">
      <w:r>
        <w:t>PPT_abbrev =  ( ‘p’ | ‘P’ ), ( ‘p’ | ‘P’ ), ( ‘t’ | ‘T’ );</w:t>
      </w:r>
    </w:p>
    <w:p w:rsidR="005F78FC" w:rsidRDefault="00B42EF3">
      <w:r>
        <w:t>IE_abbrev = ( ‘i’ | ‘I’ ), ( ‘e’ | ‘E’ );</w:t>
      </w:r>
    </w:p>
    <w:p w:rsidR="005F78FC" w:rsidRDefault="00B42EF3">
      <w:r>
        <w:t>version = dec_number, [ ‘.’ ], [ dec_number ];</w:t>
      </w:r>
    </w:p>
    <w:p w:rsidR="005F78FC" w:rsidRDefault="00B42EF3">
      <w:r>
        <w:t>dec_number = Digit, { Digit };</w:t>
      </w:r>
    </w:p>
    <w:p w:rsidR="005F78FC" w:rsidRDefault="00B42EF3">
      <w:r>
        <w:t>gte = ‘g’, ‘t’, ‘e’;</w:t>
      </w:r>
    </w:p>
    <w:p w:rsidR="005F78FC" w:rsidRDefault="00B42EF3">
      <w:r>
        <w:t xml:space="preserve">gt = </w:t>
      </w:r>
      <w:r>
        <w:t>‘g’, ‘t’;</w:t>
      </w:r>
    </w:p>
    <w:p w:rsidR="005F78FC" w:rsidRDefault="00B42EF3">
      <w:r>
        <w:t>lte = ‘l’, ‘t’, ‘e’;</w:t>
      </w:r>
    </w:p>
    <w:p w:rsidR="005F78FC" w:rsidRDefault="00B42EF3">
      <w:r>
        <w:t>lt = ‘l’, ‘t’;</w:t>
      </w:r>
    </w:p>
    <w:p w:rsidR="005F78FC" w:rsidRDefault="00B42EF3">
      <w:r>
        <w:t>not = ‘!’;</w:t>
      </w:r>
    </w:p>
    <w:p w:rsidR="005F78FC" w:rsidRDefault="00B42EF3">
      <w:r>
        <w:t>Space = ‘ ‘, { ‘ ‘ };</w:t>
      </w:r>
    </w:p>
    <w:p w:rsidR="005F78FC" w:rsidRDefault="00B42EF3">
      <w:r>
        <w:t>Digit = ‘0’ | ‘1’ | ‘2’ | ‘3’ | ‘4’ | ‘5’ | ‘6’ | ‘7’ | ‘8’ | ‘9’;</w:t>
      </w:r>
    </w:p>
    <w:p w:rsidR="005F78FC" w:rsidRDefault="00B42EF3">
      <w:pPr>
        <w:pStyle w:val="Heading3"/>
      </w:pPr>
      <w:bookmarkStart w:id="2324" w:name="section_d0b4598cf4e147ff91b08fb5abb708f3"/>
      <w:bookmarkStart w:id="2325" w:name="_Toc69878935"/>
      <w:r>
        <w:t>Part 1 Section 19.5.23, charRg (Character Range)</w:t>
      </w:r>
      <w:bookmarkEnd w:id="2324"/>
      <w:bookmarkEnd w:id="2325"/>
      <w:r>
        <w:fldChar w:fldCharType="begin"/>
      </w:r>
      <w:r>
        <w:instrText xml:space="preserve"> XE "charRg (Character Range)"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05f6a62df7db400e9ae497a6d422ac5b">
        <w:r>
          <w:rPr>
            <w:rStyle w:val="Hyperlink"/>
          </w:rPr>
          <w:t>pRg, §19.5.56(b)</w:t>
        </w:r>
      </w:hyperlink>
      <w:r>
        <w:rPr>
          <w:i/>
        </w:rPr>
        <w:t>.</w:t>
      </w:r>
    </w:p>
    <w:p w:rsidR="005F78FC" w:rsidRDefault="00B42EF3">
      <w:pPr>
        <w:pStyle w:val="Definition-Field"/>
      </w:pPr>
      <w:r>
        <w:t xml:space="preserve">a.   </w:t>
      </w:r>
      <w:r>
        <w:rPr>
          <w:i/>
        </w:rPr>
        <w:t>The standard places no restrictions on the values of the st and end attributes.</w:t>
      </w:r>
    </w:p>
    <w:p w:rsidR="005F78FC" w:rsidRDefault="00B42EF3">
      <w:pPr>
        <w:pStyle w:val="Definition-Field2"/>
      </w:pPr>
      <w:r>
        <w:t>PowerPoint requires the end attribute to be greater than the value of the st attribute and less than or equal to the length of the animated text.</w:t>
      </w:r>
    </w:p>
    <w:p w:rsidR="005F78FC" w:rsidRDefault="00B42EF3">
      <w:pPr>
        <w:pStyle w:val="Heading3"/>
      </w:pPr>
      <w:bookmarkStart w:id="2326" w:name="section_df47e7534a9149aab3417f3c92cb9878"/>
      <w:bookmarkStart w:id="2327" w:name="_Toc69878936"/>
      <w:r>
        <w:t>Part 1 Section 19.5.28, cmd (Command)</w:t>
      </w:r>
      <w:bookmarkEnd w:id="2326"/>
      <w:bookmarkEnd w:id="2327"/>
      <w:r>
        <w:fldChar w:fldCharType="begin"/>
      </w:r>
      <w:r>
        <w:instrText xml:space="preserve"> XE "cmd (Command)" </w:instrText>
      </w:r>
      <w:r>
        <w:fldChar w:fldCharType="end"/>
      </w:r>
    </w:p>
    <w:p w:rsidR="005F78FC" w:rsidRDefault="00B42EF3">
      <w:pPr>
        <w:pStyle w:val="Definition-Field2"/>
      </w:pPr>
      <w:r>
        <w:rPr>
          <w:i/>
        </w:rPr>
        <w:t>For additional notes that apply to this portion of</w:t>
      </w:r>
      <w:r>
        <w:rPr>
          <w:i/>
        </w:rPr>
        <w:t xml:space="preserve"> the standard, please see the notes for </w:t>
      </w:r>
      <w:hyperlink w:anchor="Section_5516734500ff4d39b4a86ca61d86227a">
        <w:r>
          <w:rPr>
            <w:rStyle w:val="Hyperlink"/>
          </w:rPr>
          <w:t>tnLst, §19.5.87(b)</w:t>
        </w:r>
      </w:hyperlink>
      <w:r>
        <w:rPr>
          <w:i/>
        </w:rPr>
        <w:t>.</w:t>
      </w:r>
    </w:p>
    <w:p w:rsidR="005F78FC" w:rsidRDefault="00B42EF3">
      <w:pPr>
        <w:pStyle w:val="Definition-Field"/>
      </w:pPr>
      <w:r>
        <w:t xml:space="preserve">a.   </w:t>
      </w:r>
      <w:r>
        <w:rPr>
          <w:i/>
        </w:rPr>
        <w:t>The standard does not state a default value for the type attribute.</w:t>
      </w:r>
    </w:p>
    <w:p w:rsidR="005F78FC" w:rsidRDefault="00B42EF3">
      <w:pPr>
        <w:pStyle w:val="Definition-Field2"/>
      </w:pPr>
      <w:r>
        <w:t>PowerPoint uses a default value of call for the type attribu</w:t>
      </w:r>
      <w:r>
        <w:t>te.</w:t>
      </w:r>
    </w:p>
    <w:p w:rsidR="005F78FC" w:rsidRDefault="00B42EF3">
      <w:pPr>
        <w:pStyle w:val="Heading3"/>
      </w:pPr>
      <w:bookmarkStart w:id="2328" w:name="section_9fb1b81dd5a14aae911fd0be67f559f3"/>
      <w:bookmarkStart w:id="2329" w:name="_Toc69878937"/>
      <w:r>
        <w:t>Part 1 Section 19.5.29, cMediaNode (Common Media Node Properties)</w:t>
      </w:r>
      <w:bookmarkEnd w:id="2328"/>
      <w:bookmarkEnd w:id="2329"/>
      <w:r>
        <w:fldChar w:fldCharType="begin"/>
      </w:r>
      <w:r>
        <w:instrText xml:space="preserve"> XE "cMediaNode (Common Media Node Properties)" </w:instrText>
      </w:r>
      <w:r>
        <w:fldChar w:fldCharType="end"/>
      </w:r>
    </w:p>
    <w:p w:rsidR="005F78FC" w:rsidRDefault="00B42EF3">
      <w:pPr>
        <w:pStyle w:val="Definition-Field"/>
      </w:pPr>
      <w:r>
        <w:t xml:space="preserve">a.   </w:t>
      </w:r>
      <w:r>
        <w:rPr>
          <w:i/>
        </w:rPr>
        <w:t>The standard states that the cMediaNode describes the behavior of media elements within an animation.</w:t>
      </w:r>
    </w:p>
    <w:p w:rsidR="005F78FC" w:rsidRDefault="00B42EF3">
      <w:r>
        <w:t xml:space="preserve">The child </w:t>
      </w:r>
      <w:r>
        <w:rPr>
          <w:b/>
        </w:rPr>
        <w:t>tgtEl</w:t>
      </w:r>
      <w:r>
        <w:t xml:space="preserve"> element ("</w:t>
      </w:r>
      <w:hyperlink r:id="rId160">
        <w:r>
          <w:rPr>
            <w:rStyle w:val="Hyperlink"/>
          </w:rPr>
          <w:t>[ISO/IEC-29500-1]</w:t>
        </w:r>
      </w:hyperlink>
      <w:r>
        <w:t xml:space="preserve"> §19.5.81; tgtEl") shall contain either a </w:t>
      </w:r>
      <w:r>
        <w:rPr>
          <w:b/>
        </w:rPr>
        <w:t>spTgt</w:t>
      </w:r>
      <w:r>
        <w:t xml:space="preserve"> element ("[ISO/IEC-29500-1] §19.5.72; spTgt") that points to a valid media shape or a </w:t>
      </w:r>
      <w:r>
        <w:rPr>
          <w:b/>
        </w:rPr>
        <w:t xml:space="preserve">sndTgt element </w:t>
      </w:r>
      <w:r>
        <w:t>("[ISO/IEC-29500-1] §19.5.7</w:t>
      </w:r>
      <w:r>
        <w:t xml:space="preserve">0; sndTgt").  A valid media shape is a shape that includes as a child of the </w:t>
      </w:r>
      <w:r>
        <w:rPr>
          <w:b/>
        </w:rPr>
        <w:t>nvPr</w:t>
      </w:r>
      <w:r>
        <w:t xml:space="preserve"> element ("[ISO/IEC-29500-1] §19.3.1.33; nvPr") one of the following elements:</w:t>
      </w:r>
    </w:p>
    <w:p w:rsidR="005F78FC" w:rsidRDefault="00B42EF3">
      <w:pPr>
        <w:pStyle w:val="ListParagraph"/>
        <w:numPr>
          <w:ilvl w:val="0"/>
          <w:numId w:val="128"/>
        </w:numPr>
        <w:contextualSpacing/>
      </w:pPr>
      <w:r>
        <w:rPr>
          <w:b/>
        </w:rPr>
        <w:t>videoFile</w:t>
      </w:r>
      <w:r>
        <w:t xml:space="preserve"> ("[ISO/IEC-29500-1] §20.1.3.6; videoFile")</w:t>
      </w:r>
    </w:p>
    <w:p w:rsidR="005F78FC" w:rsidRDefault="00B42EF3">
      <w:pPr>
        <w:pStyle w:val="ListParagraph"/>
        <w:numPr>
          <w:ilvl w:val="0"/>
          <w:numId w:val="128"/>
        </w:numPr>
        <w:contextualSpacing/>
      </w:pPr>
      <w:r>
        <w:rPr>
          <w:b/>
        </w:rPr>
        <w:lastRenderedPageBreak/>
        <w:t xml:space="preserve">wavAudioFile </w:t>
      </w:r>
      <w:r>
        <w:t>("[ISO/IEC-29500-1]</w:t>
      </w:r>
      <w:r>
        <w:t xml:space="preserve"> §20.1.3.7; wavAudioFile") </w:t>
      </w:r>
    </w:p>
    <w:p w:rsidR="005F78FC" w:rsidRDefault="00B42EF3">
      <w:pPr>
        <w:pStyle w:val="ListParagraph"/>
        <w:numPr>
          <w:ilvl w:val="0"/>
          <w:numId w:val="128"/>
        </w:numPr>
        <w:contextualSpacing/>
      </w:pPr>
      <w:r>
        <w:rPr>
          <w:b/>
        </w:rPr>
        <w:t xml:space="preserve">audioFile </w:t>
      </w:r>
      <w:r>
        <w:t xml:space="preserve">("[ISO/IEC-29500-1] §20.1.3.2; audioFile") </w:t>
      </w:r>
    </w:p>
    <w:p w:rsidR="005F78FC" w:rsidRDefault="00B42EF3">
      <w:pPr>
        <w:pStyle w:val="ListParagraph"/>
        <w:numPr>
          <w:ilvl w:val="0"/>
          <w:numId w:val="128"/>
        </w:numPr>
        <w:contextualSpacing/>
      </w:pPr>
      <w:r>
        <w:rPr>
          <w:b/>
        </w:rPr>
        <w:t xml:space="preserve">audioCd </w:t>
      </w:r>
      <w:r>
        <w:t>("[ISO/IEC-29500-1] §20.1.3.1; audioCd")</w:t>
      </w:r>
    </w:p>
    <w:p w:rsidR="005F78FC" w:rsidRDefault="00B42EF3">
      <w:pPr>
        <w:pStyle w:val="ListParagraph"/>
        <w:numPr>
          <w:ilvl w:val="0"/>
          <w:numId w:val="128"/>
        </w:numPr>
      </w:pPr>
      <w:r>
        <w:rPr>
          <w:b/>
        </w:rPr>
        <w:t xml:space="preserve">quickTimeFile </w:t>
      </w:r>
      <w:r>
        <w:t xml:space="preserve">("[ISO/IEC-29500-1] §20.1.3.4; quickTimeFile") </w:t>
      </w:r>
    </w:p>
    <w:p w:rsidR="005F78FC" w:rsidRDefault="00B42EF3">
      <w:pPr>
        <w:pStyle w:val="Heading3"/>
      </w:pPr>
      <w:bookmarkStart w:id="2330" w:name="section_4e694ff4c1d6437e9c0f99bdd419c427"/>
      <w:bookmarkStart w:id="2331" w:name="_Toc69878938"/>
      <w:r>
        <w:t>Part 1 Section 19.5.31, cond (Condition)</w:t>
      </w:r>
      <w:bookmarkEnd w:id="2330"/>
      <w:bookmarkEnd w:id="2331"/>
      <w:r>
        <w:fldChar w:fldCharType="begin"/>
      </w:r>
      <w:r>
        <w:instrText xml:space="preserve"> XE "cond (Condition)" </w:instrText>
      </w:r>
      <w:r>
        <w:fldChar w:fldCharType="end"/>
      </w:r>
    </w:p>
    <w:p w:rsidR="005F78FC" w:rsidRDefault="00B42EF3">
      <w:pPr>
        <w:pStyle w:val="Definition-Field"/>
      </w:pPr>
      <w:r>
        <w:t xml:space="preserve">a.   </w:t>
      </w:r>
      <w:r>
        <w:rPr>
          <w:i/>
        </w:rPr>
        <w:t>The standard does not state a default value for the delay attribute.</w:t>
      </w:r>
    </w:p>
    <w:p w:rsidR="005F78FC" w:rsidRDefault="00B42EF3">
      <w:pPr>
        <w:pStyle w:val="Definition-Field2"/>
      </w:pPr>
      <w:r>
        <w:t>PowerPoint uses a default value of 0 for the delay attribute.</w:t>
      </w:r>
    </w:p>
    <w:p w:rsidR="005F78FC" w:rsidRDefault="00B42EF3">
      <w:pPr>
        <w:pStyle w:val="Definition-Field"/>
      </w:pPr>
      <w:r>
        <w:t xml:space="preserve">b.   </w:t>
      </w:r>
      <w:r>
        <w:rPr>
          <w:i/>
        </w:rPr>
        <w:t>The standard places no restrictions on the relationship between the value of the evt attribute and the child ele</w:t>
      </w:r>
      <w:r>
        <w:rPr>
          <w:i/>
        </w:rPr>
        <w:t>ments of the cond element.</w:t>
      </w:r>
    </w:p>
    <w:p w:rsidR="005F78FC" w:rsidRDefault="00B42EF3">
      <w:pPr>
        <w:pStyle w:val="Definition-Field2"/>
      </w:pPr>
      <w:r>
        <w:t>PowerPoint does not support the rtn, tgtEl, or tn child elements when the value of the evt attribute is none; if the evt attribute has any other value, the child element specifies the target of the event.</w:t>
      </w:r>
    </w:p>
    <w:p w:rsidR="005F78FC" w:rsidRDefault="00B42EF3">
      <w:pPr>
        <w:pStyle w:val="Heading3"/>
      </w:pPr>
      <w:bookmarkStart w:id="2332" w:name="section_02b2312e970042e08a19b2af1ba83a20"/>
      <w:bookmarkStart w:id="2333" w:name="_Toc69878939"/>
      <w:r>
        <w:t xml:space="preserve">Part 1 Section 19.5.33, </w:t>
      </w:r>
      <w:r>
        <w:t>cTn (Common Time Node Properties)</w:t>
      </w:r>
      <w:bookmarkEnd w:id="2332"/>
      <w:bookmarkEnd w:id="2333"/>
      <w:r>
        <w:fldChar w:fldCharType="begin"/>
      </w:r>
      <w:r>
        <w:instrText xml:space="preserve"> XE "cTn (Common Time Node Properties)" </w:instrText>
      </w:r>
      <w:r>
        <w:fldChar w:fldCharType="end"/>
      </w:r>
    </w:p>
    <w:p w:rsidR="005F78FC" w:rsidRDefault="00B42EF3">
      <w:pPr>
        <w:pStyle w:val="Definition-Field"/>
      </w:pPr>
      <w:r>
        <w:t xml:space="preserve">a.   </w:t>
      </w:r>
      <w:r>
        <w:rPr>
          <w:i/>
        </w:rPr>
        <w:t>The standard does not specify how to interpret a presetID attribute value of 0.</w:t>
      </w:r>
    </w:p>
    <w:p w:rsidR="005F78FC" w:rsidRDefault="00B42EF3">
      <w:pPr>
        <w:pStyle w:val="Definition-Field2"/>
      </w:pPr>
      <w:r>
        <w:t>PowerPoint interprets the value of 0 on the presetID attribute as being equivalent to the custo</w:t>
      </w:r>
      <w:r>
        <w:t>m setting.</w:t>
      </w:r>
    </w:p>
    <w:p w:rsidR="005F78FC" w:rsidRDefault="00B42EF3">
      <w:pPr>
        <w:pStyle w:val="Definition-Field"/>
      </w:pPr>
      <w:r>
        <w:t xml:space="preserve">b.   </w:t>
      </w:r>
      <w:r>
        <w:rPr>
          <w:i/>
        </w:rPr>
        <w:t>The standard does not state a default value for the dur attribute.</w:t>
      </w:r>
    </w:p>
    <w:p w:rsidR="005F78FC" w:rsidRDefault="00B42EF3">
      <w:pPr>
        <w:pStyle w:val="Definition-Field2"/>
      </w:pPr>
      <w:r>
        <w:t>PowerPoint uses a default value of 0 for the dur attribute.</w:t>
      </w:r>
    </w:p>
    <w:p w:rsidR="005F78FC" w:rsidRDefault="00B42EF3">
      <w:pPr>
        <w:pStyle w:val="Definition-Field"/>
      </w:pPr>
      <w:r>
        <w:t xml:space="preserve">c.   </w:t>
      </w:r>
      <w:r>
        <w:rPr>
          <w:i/>
        </w:rPr>
        <w:t>The standard states that the values of the repeatCount attribute are defined by the ST_TLTime simple type.</w:t>
      </w:r>
    </w:p>
    <w:p w:rsidR="005F78FC" w:rsidRDefault="00B42EF3">
      <w:pPr>
        <w:pStyle w:val="Definition-Field2"/>
      </w:pPr>
      <w:r>
        <w:t>PowerPoint will not run the time node to completion if the value of the repeatCount attribute is less than 1000.</w:t>
      </w:r>
    </w:p>
    <w:p w:rsidR="005F78FC" w:rsidRDefault="00B42EF3">
      <w:pPr>
        <w:pStyle w:val="Definition-Field"/>
      </w:pPr>
      <w:r>
        <w:t xml:space="preserve">d.   </w:t>
      </w:r>
      <w:r>
        <w:rPr>
          <w:i/>
        </w:rPr>
        <w:t>The standard does not state a default value for the restart attribute.</w:t>
      </w:r>
    </w:p>
    <w:p w:rsidR="005F78FC" w:rsidRDefault="00B42EF3">
      <w:pPr>
        <w:pStyle w:val="Definition-Field2"/>
      </w:pPr>
      <w:r>
        <w:t>PowerPoint uses a default value of always for the restart attribute</w:t>
      </w:r>
      <w:r>
        <w:t>.</w:t>
      </w:r>
    </w:p>
    <w:p w:rsidR="005F78FC" w:rsidRDefault="00B42EF3">
      <w:pPr>
        <w:pStyle w:val="Definition-Field"/>
      </w:pPr>
      <w:r>
        <w:t xml:space="preserve">e.   </w:t>
      </w:r>
      <w:r>
        <w:rPr>
          <w:i/>
        </w:rPr>
        <w:t>The standard states that the restart attribute specifies if a node is to restart when it completes its action.</w:t>
      </w:r>
    </w:p>
    <w:p w:rsidR="005F78FC" w:rsidRDefault="00B42EF3">
      <w:pPr>
        <w:pStyle w:val="Definition-Field2"/>
      </w:pPr>
      <w:r>
        <w:t>PowerPoint uses the restart attribute to specify whether a node is able to restart when it completes its action.</w:t>
      </w:r>
    </w:p>
    <w:p w:rsidR="005F78FC" w:rsidRDefault="00B42EF3">
      <w:pPr>
        <w:pStyle w:val="Definition-Field"/>
      </w:pPr>
      <w:r>
        <w:t xml:space="preserve">f.   </w:t>
      </w:r>
      <w:r>
        <w:rPr>
          <w:i/>
        </w:rPr>
        <w:t>The standard does no</w:t>
      </w:r>
      <w:r>
        <w:rPr>
          <w:i/>
        </w:rPr>
        <w:t>t state a default value for the display attribute.</w:t>
      </w:r>
    </w:p>
    <w:p w:rsidR="005F78FC" w:rsidRDefault="00B42EF3">
      <w:pPr>
        <w:pStyle w:val="Definition-Field2"/>
      </w:pPr>
      <w:r>
        <w:t>PowerPoint uses a default value of true for the display attribute.</w:t>
      </w:r>
    </w:p>
    <w:p w:rsidR="005F78FC" w:rsidRDefault="00B42EF3">
      <w:pPr>
        <w:pStyle w:val="Definition-Field"/>
      </w:pPr>
      <w:r>
        <w:t xml:space="preserve">g.   </w:t>
      </w:r>
      <w:r>
        <w:rPr>
          <w:i/>
        </w:rPr>
        <w:t>The standard states that the display attribute describes whether the state of the time node is visible or hidden.</w:t>
      </w:r>
    </w:p>
    <w:p w:rsidR="005F78FC" w:rsidRDefault="00B42EF3">
      <w:pPr>
        <w:pStyle w:val="Definition-Field2"/>
      </w:pPr>
      <w:r>
        <w:t>PowerPoint uses the</w:t>
      </w:r>
      <w:r>
        <w:t xml:space="preserve"> display attribute to specify whether the time node is visible in the user interface.</w:t>
      </w:r>
    </w:p>
    <w:p w:rsidR="005F78FC" w:rsidRDefault="00B42EF3">
      <w:pPr>
        <w:pStyle w:val="Definition-Field"/>
      </w:pPr>
      <w:r>
        <w:t xml:space="preserve">h.   </w:t>
      </w:r>
      <w:r>
        <w:rPr>
          <w:i/>
        </w:rPr>
        <w:t>The standard places no restrictions on the value of the grpId attribute.</w:t>
      </w:r>
    </w:p>
    <w:p w:rsidR="005F78FC" w:rsidRDefault="00B42EF3">
      <w:pPr>
        <w:pStyle w:val="Definition-Field2"/>
      </w:pPr>
      <w:r>
        <w:t>PowerPoint requires that value of the grpId attribute match the grpId attribute of a child e</w:t>
      </w:r>
      <w:r>
        <w:t>lement contained within the bldLst element.</w:t>
      </w:r>
    </w:p>
    <w:p w:rsidR="005F78FC" w:rsidRDefault="00B42EF3">
      <w:pPr>
        <w:pStyle w:val="Definition-Field"/>
      </w:pPr>
      <w:r>
        <w:lastRenderedPageBreak/>
        <w:t xml:space="preserve">i.   </w:t>
      </w:r>
      <w:r>
        <w:rPr>
          <w:i/>
        </w:rPr>
        <w:t>The standard does not state a default value for the afterEffect attribute.</w:t>
      </w:r>
    </w:p>
    <w:p w:rsidR="005F78FC" w:rsidRDefault="00B42EF3">
      <w:pPr>
        <w:pStyle w:val="Definition-Field2"/>
      </w:pPr>
      <w:r>
        <w:t>PowerPoint uses a default value of false for the afterEffect attribute.</w:t>
      </w:r>
    </w:p>
    <w:p w:rsidR="005F78FC" w:rsidRDefault="00B42EF3">
      <w:pPr>
        <w:pStyle w:val="Definition-Field"/>
      </w:pPr>
      <w:r>
        <w:t xml:space="preserve">j.   </w:t>
      </w:r>
      <w:r>
        <w:rPr>
          <w:i/>
        </w:rPr>
        <w:t>The standard states that the afterEffect attribute spec</w:t>
      </w:r>
      <w:r>
        <w:rPr>
          <w:i/>
        </w:rPr>
        <w:t>ifies whether there is an after effect applied to the time node.</w:t>
      </w:r>
    </w:p>
    <w:p w:rsidR="005F78FC" w:rsidRDefault="00B42EF3">
      <w:pPr>
        <w:pStyle w:val="Definition-Field2"/>
      </w:pPr>
      <w:r>
        <w:t>PowerPoint uses the afterEffect attribute to specify whether this time node is an after-effect.</w:t>
      </w:r>
    </w:p>
    <w:p w:rsidR="005F78FC" w:rsidRDefault="00B42EF3">
      <w:pPr>
        <w:pStyle w:val="Definition-Field"/>
      </w:pPr>
      <w:r>
        <w:t xml:space="preserve">k.   </w:t>
      </w:r>
      <w:r>
        <w:rPr>
          <w:i/>
        </w:rPr>
        <w:t>The standard does not state a default value for the nodePh attribute.</w:t>
      </w:r>
    </w:p>
    <w:p w:rsidR="005F78FC" w:rsidRDefault="00B42EF3">
      <w:pPr>
        <w:pStyle w:val="Definition-Field2"/>
      </w:pPr>
      <w:r>
        <w:t>PowerPoint uses a de</w:t>
      </w:r>
      <w:r>
        <w:t>fault value of false for the nodePh attribute.</w:t>
      </w:r>
    </w:p>
    <w:p w:rsidR="005F78FC" w:rsidRDefault="00B42EF3">
      <w:pPr>
        <w:pStyle w:val="Definition-Field"/>
      </w:pPr>
      <w:r>
        <w:t xml:space="preserve">l.   </w:t>
      </w:r>
      <w:r>
        <w:rPr>
          <w:i/>
        </w:rPr>
        <w:t>The standard states that the tmFilter attribute can be of type string.</w:t>
      </w:r>
    </w:p>
    <w:p w:rsidR="005F78FC" w:rsidRDefault="00B42EF3">
      <w:r>
        <w:t>In PowerPoint, the string value is expected to be a list of semicolon separated time value pairs, such as “t1, t1’;t2,t2’;…”.  In thi</w:t>
      </w:r>
      <w:r>
        <w:t>s example, each t is the normalized local time for the element (values range from 0.0 – 1.0), and t’ is the warped time to be used for the element’s local time.</w:t>
      </w:r>
    </w:p>
    <w:p w:rsidR="005F78FC" w:rsidRDefault="00B42EF3">
      <w:pPr>
        <w:pStyle w:val="Definition-Field"/>
      </w:pPr>
      <w:r>
        <w:t xml:space="preserve">m.   </w:t>
      </w:r>
      <w:r>
        <w:rPr>
          <w:i/>
        </w:rPr>
        <w:t>The standard places no restrictions on the value of the evtFilter attribute.</w:t>
      </w:r>
    </w:p>
    <w:p w:rsidR="005F78FC" w:rsidRDefault="00B42EF3">
      <w:pPr>
        <w:pStyle w:val="Definition-Field2"/>
      </w:pPr>
      <w:r>
        <w:t>PowerPoint re</w:t>
      </w:r>
      <w:r>
        <w:t>quires that the value of the evtFilter attribute be cancelBubble for triggered sequences.</w:t>
      </w:r>
    </w:p>
    <w:p w:rsidR="005F78FC" w:rsidRDefault="00B42EF3">
      <w:pPr>
        <w:pStyle w:val="Definition-Field"/>
      </w:pPr>
      <w:r>
        <w:t xml:space="preserve">n.   </w:t>
      </w:r>
      <w:r>
        <w:rPr>
          <w:i/>
        </w:rPr>
        <w:t>The standard states that the syncBehavior attribute specifies how the time node synchronizes to its group.</w:t>
      </w:r>
    </w:p>
    <w:p w:rsidR="005F78FC" w:rsidRDefault="00B42EF3">
      <w:pPr>
        <w:pStyle w:val="Definition-Field2"/>
      </w:pPr>
      <w:r>
        <w:t>PowerPoint does not support the syncBehavior attribute</w:t>
      </w:r>
      <w:r>
        <w:t>.</w:t>
      </w:r>
    </w:p>
    <w:p w:rsidR="005F78FC" w:rsidRDefault="00B42EF3">
      <w:pPr>
        <w:pStyle w:val="Heading3"/>
      </w:pPr>
      <w:bookmarkStart w:id="2334" w:name="section_7f6da715ef45439db125c955433cf354"/>
      <w:bookmarkStart w:id="2335" w:name="_Toc69878940"/>
      <w:r>
        <w:t>Part 1 Section 19.5.39, endSync (EndSync)</w:t>
      </w:r>
      <w:bookmarkEnd w:id="2334"/>
      <w:bookmarkEnd w:id="2335"/>
      <w:r>
        <w:fldChar w:fldCharType="begin"/>
      </w:r>
      <w:r>
        <w:instrText xml:space="preserve"> XE "endSync (EndSync)"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4e694ff4c1d6437e9c0f99bdd419c427">
        <w:r>
          <w:rPr>
            <w:rStyle w:val="Hyperlink"/>
          </w:rPr>
          <w:t>cond, §19.5.31(a, b)</w:t>
        </w:r>
      </w:hyperlink>
      <w:r>
        <w:rPr>
          <w:i/>
        </w:rPr>
        <w:t>.</w:t>
      </w:r>
    </w:p>
    <w:p w:rsidR="005F78FC" w:rsidRDefault="00B42EF3">
      <w:pPr>
        <w:pStyle w:val="Heading3"/>
      </w:pPr>
      <w:bookmarkStart w:id="2336" w:name="section_f9503e589cfb47889dccc494550faea9"/>
      <w:bookmarkStart w:id="2337" w:name="_Toc69878941"/>
      <w:r>
        <w:t>Part 1 Section 19.5.40, excl (Exclusive)</w:t>
      </w:r>
      <w:bookmarkEnd w:id="2336"/>
      <w:bookmarkEnd w:id="2337"/>
      <w:r>
        <w:fldChar w:fldCharType="begin"/>
      </w:r>
      <w:r>
        <w:instrText xml:space="preserve"> XE "excl (Exclusive)"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5F78FC" w:rsidRDefault="00B42EF3">
      <w:pPr>
        <w:pStyle w:val="Heading3"/>
      </w:pPr>
      <w:bookmarkStart w:id="2338" w:name="section_9223eaea7e2540e7ba8af68d1796d48e"/>
      <w:bookmarkStart w:id="2339" w:name="_Toc69878942"/>
      <w:r>
        <w:t>Part 1 Section 19.5.43, from (From)</w:t>
      </w:r>
      <w:bookmarkEnd w:id="2338"/>
      <w:bookmarkEnd w:id="2339"/>
      <w:r>
        <w:fldChar w:fldCharType="begin"/>
      </w:r>
      <w:r>
        <w:instrText xml:space="preserve"> XE "from (From)" </w:instrText>
      </w:r>
      <w:r>
        <w:fldChar w:fldCharType="end"/>
      </w:r>
    </w:p>
    <w:p w:rsidR="005F78FC" w:rsidRDefault="00B42EF3">
      <w:pPr>
        <w:pStyle w:val="Definition-Field"/>
      </w:pPr>
      <w:r>
        <w:t xml:space="preserve">a.   </w:t>
      </w:r>
      <w:r>
        <w:rPr>
          <w:i/>
        </w:rPr>
        <w:t>The standard does not place any restrictions on the color values used when the schemeClr element is a child of the from element.</w:t>
      </w:r>
    </w:p>
    <w:p w:rsidR="005F78FC" w:rsidRDefault="00B42EF3">
      <w:pPr>
        <w:pStyle w:val="Definition-Field2"/>
      </w:pPr>
      <w:r>
        <w:t>PowerPoint requires that the color values dk1, lt1, dk2, lt2, acce</w:t>
      </w:r>
      <w:r>
        <w:t>nt3, accent4, accent5, accent6 and phClr not be used when the schemeClr element is a child of the from element.</w:t>
      </w:r>
    </w:p>
    <w:p w:rsidR="005F78FC" w:rsidRDefault="00B42EF3">
      <w:pPr>
        <w:pStyle w:val="Heading3"/>
      </w:pPr>
      <w:bookmarkStart w:id="2340" w:name="section_0ce2da92a86343f5be088a600f8ba222"/>
      <w:bookmarkStart w:id="2341" w:name="_Toc69878943"/>
      <w:r>
        <w:t>Part 1 Section 19.5.44, from (From)</w:t>
      </w:r>
      <w:bookmarkEnd w:id="2340"/>
      <w:bookmarkEnd w:id="2341"/>
      <w:r>
        <w:fldChar w:fldCharType="begin"/>
      </w:r>
      <w:r>
        <w:instrText xml:space="preserve"> XE "from (From)" </w:instrText>
      </w:r>
      <w:r>
        <w:fldChar w:fldCharType="end"/>
      </w:r>
    </w:p>
    <w:p w:rsidR="005F78FC" w:rsidRDefault="00B42EF3">
      <w:pPr>
        <w:pStyle w:val="Definition-Field2"/>
      </w:pPr>
      <w:r>
        <w:rPr>
          <w:i/>
        </w:rPr>
        <w:t>For additional notes that apply to this portion of the standard, please see the notes fo</w:t>
      </w:r>
      <w:r>
        <w:rPr>
          <w:i/>
        </w:rPr>
        <w:t xml:space="preserve">r </w:t>
      </w:r>
      <w:hyperlink w:anchor="Section_376276c2d99a446084d99a1a45b2bd14">
        <w:r>
          <w:rPr>
            <w:rStyle w:val="Hyperlink"/>
          </w:rPr>
          <w:t>rCtr, §19.5.62(a)</w:t>
        </w:r>
      </w:hyperlink>
      <w:r>
        <w:rPr>
          <w:i/>
        </w:rPr>
        <w:t>.</w:t>
      </w:r>
    </w:p>
    <w:p w:rsidR="005F78FC" w:rsidRDefault="00B42EF3">
      <w:pPr>
        <w:pStyle w:val="Definition-Field"/>
      </w:pPr>
      <w:r>
        <w:t xml:space="preserve">a.   </w:t>
      </w:r>
      <w:r>
        <w:rPr>
          <w:i/>
        </w:rPr>
        <w:t>The standard states that the x attribute describes the X coordinate.</w:t>
      </w:r>
    </w:p>
    <w:p w:rsidR="005F78FC" w:rsidRDefault="00B42EF3">
      <w:pPr>
        <w:pStyle w:val="Definition-Field2"/>
      </w:pPr>
      <w:r>
        <w:t>PowerPoint uses the x attribute to specify the slide width percentage change when the from element</w:t>
      </w:r>
      <w:r>
        <w:t xml:space="preserve"> is parented by the animMotion element, and the animated object width percentage change when the from element is parented by the animScale element.</w:t>
      </w:r>
    </w:p>
    <w:p w:rsidR="005F78FC" w:rsidRDefault="00B42EF3">
      <w:pPr>
        <w:pStyle w:val="Definition-Field"/>
      </w:pPr>
      <w:r>
        <w:t xml:space="preserve">b.   </w:t>
      </w:r>
      <w:r>
        <w:rPr>
          <w:i/>
        </w:rPr>
        <w:t>The standard states that the y attribute describes the Y coordinate.</w:t>
      </w:r>
    </w:p>
    <w:p w:rsidR="005F78FC" w:rsidRDefault="00B42EF3">
      <w:pPr>
        <w:pStyle w:val="Definition-Field2"/>
      </w:pPr>
      <w:r>
        <w:lastRenderedPageBreak/>
        <w:t>PowerPoint uses the y attribute to</w:t>
      </w:r>
      <w:r>
        <w:t xml:space="preserve"> specify the slide height percentage change when the from element is parented by the animMotion element, and the animated object height percentage change when the from element is parented by the animScale element.</w:t>
      </w:r>
    </w:p>
    <w:p w:rsidR="005F78FC" w:rsidRDefault="00B42EF3">
      <w:pPr>
        <w:pStyle w:val="Definition-Field"/>
      </w:pPr>
      <w:r>
        <w:t xml:space="preserve">c.   </w:t>
      </w:r>
      <w:r>
        <w:rPr>
          <w:i/>
        </w:rPr>
        <w:t>The standard states that the from ele</w:t>
      </w:r>
      <w:r>
        <w:rPr>
          <w:i/>
        </w:rPr>
        <w:t>ment specifies an x/y co-ordinate to start the animation from.</w:t>
      </w:r>
    </w:p>
    <w:p w:rsidR="005F78FC" w:rsidRDefault="00B42EF3">
      <w:r>
        <w:t>When this element is contained within animMotion ("</w:t>
      </w:r>
      <w:hyperlink r:id="rId161">
        <w:r>
          <w:rPr>
            <w:rStyle w:val="Hyperlink"/>
          </w:rPr>
          <w:t>[ISO/IEC-29500-1]</w:t>
        </w:r>
      </w:hyperlink>
      <w:r>
        <w:t xml:space="preserve"> §19.5.4; animMotion"), the attributes x and y are interpre</w:t>
      </w:r>
      <w:r>
        <w:t>ted as slide percentage and shall be greater than or equal to -2147483625 and less than or equal to 2147483625. When this element is contained within animScale ("[ISO/IEC-29500-1] §19.5.6; animScale"), the attributes x and y are interpreted as size percent</w:t>
      </w:r>
      <w:r>
        <w:t>age and shall be greater than or equal to 0 and less than or equal to 2147483625.</w:t>
      </w:r>
    </w:p>
    <w:p w:rsidR="005F78FC" w:rsidRDefault="00B42EF3">
      <w:r>
        <w:t>If the value of either the x or y attribute is greater than 16384000 or less than -16384000 there will be loss of precision due to internal calculations.</w:t>
      </w:r>
    </w:p>
    <w:p w:rsidR="005F78FC" w:rsidRDefault="00B42EF3">
      <w:pPr>
        <w:pStyle w:val="Heading3"/>
      </w:pPr>
      <w:bookmarkStart w:id="2342" w:name="section_34777b76de124a3381f75a9e2605d34f"/>
      <w:bookmarkStart w:id="2343" w:name="_Toc69878944"/>
      <w:r>
        <w:t>Part 1 Section 19.5.</w:t>
      </w:r>
      <w:r>
        <w:t>45, graphicEl (Graphic Element)</w:t>
      </w:r>
      <w:bookmarkEnd w:id="2342"/>
      <w:bookmarkEnd w:id="2343"/>
      <w:r>
        <w:fldChar w:fldCharType="begin"/>
      </w:r>
      <w:r>
        <w:instrText xml:space="preserve"> XE "graphicEl (Graphic Element)" </w:instrText>
      </w:r>
      <w:r>
        <w:fldChar w:fldCharType="end"/>
      </w:r>
    </w:p>
    <w:p w:rsidR="005F78FC" w:rsidRDefault="00B42EF3">
      <w:pPr>
        <w:pStyle w:val="Definition-Field"/>
      </w:pPr>
      <w:r>
        <w:t xml:space="preserve">a.   </w:t>
      </w:r>
      <w:r>
        <w:rPr>
          <w:i/>
        </w:rPr>
        <w:t>The standard places no restrictions on the element referred to by the graphicEl element.</w:t>
      </w:r>
    </w:p>
    <w:p w:rsidR="005F78FC" w:rsidRDefault="00B42EF3">
      <w:pPr>
        <w:pStyle w:val="Definition-Field2"/>
      </w:pPr>
      <w:r>
        <w:t>PowerPoint requires that the referred element be on the same slide and of the same type (chart</w:t>
      </w:r>
      <w:r>
        <w:t xml:space="preserve"> vs. dgm) as the graphicEl's child element.</w:t>
      </w:r>
    </w:p>
    <w:p w:rsidR="005F78FC" w:rsidRDefault="00B42EF3">
      <w:pPr>
        <w:pStyle w:val="Heading3"/>
      </w:pPr>
      <w:bookmarkStart w:id="2344" w:name="section_83fd63d248604f1dbaa1a56f47841220"/>
      <w:bookmarkStart w:id="2345" w:name="_Toc69878945"/>
      <w:r>
        <w:t>Part 1 Section 19.5.46, hsl (HSL)</w:t>
      </w:r>
      <w:bookmarkEnd w:id="2344"/>
      <w:bookmarkEnd w:id="2345"/>
      <w:r>
        <w:fldChar w:fldCharType="begin"/>
      </w:r>
      <w:r>
        <w:instrText xml:space="preserve"> XE "hsl (HSL)" </w:instrText>
      </w:r>
      <w:r>
        <w:fldChar w:fldCharType="end"/>
      </w:r>
    </w:p>
    <w:p w:rsidR="005F78FC" w:rsidRDefault="00B42EF3">
      <w:pPr>
        <w:pStyle w:val="Definition-Field"/>
      </w:pPr>
      <w:r>
        <w:t xml:space="preserve">a.   </w:t>
      </w:r>
      <w:r>
        <w:rPr>
          <w:i/>
        </w:rPr>
        <w:t>The standard does not state how to interpret a negative s attribute value.</w:t>
      </w:r>
    </w:p>
    <w:p w:rsidR="005F78FC" w:rsidRDefault="00B42EF3">
      <w:pPr>
        <w:pStyle w:val="Definition-Field2"/>
      </w:pPr>
      <w:r>
        <w:t>PowerPoint reverses the direction of the color interpolation when the s attribut</w:t>
      </w:r>
      <w:r>
        <w:t>e's value is negative.</w:t>
      </w:r>
    </w:p>
    <w:p w:rsidR="005F78FC" w:rsidRDefault="00B42EF3">
      <w:pPr>
        <w:pStyle w:val="Definition-Field"/>
      </w:pPr>
      <w:r>
        <w:t xml:space="preserve">b.   </w:t>
      </w:r>
      <w:r>
        <w:rPr>
          <w:i/>
        </w:rPr>
        <w:t>The standard does not state how to interpret a negative l attribute value.</w:t>
      </w:r>
    </w:p>
    <w:p w:rsidR="005F78FC" w:rsidRDefault="00B42EF3">
      <w:pPr>
        <w:pStyle w:val="Definition-Field2"/>
      </w:pPr>
      <w:r>
        <w:t>PowerPoint reverses the direction of the color interpolation when the l attribute's value is negative.</w:t>
      </w:r>
    </w:p>
    <w:p w:rsidR="005F78FC" w:rsidRDefault="00B42EF3">
      <w:pPr>
        <w:pStyle w:val="Heading3"/>
      </w:pPr>
      <w:bookmarkStart w:id="2346" w:name="section_06a5cea1078b41cd8c26ef1db3ed3733"/>
      <w:bookmarkStart w:id="2347" w:name="_Toc69878946"/>
      <w:r>
        <w:t>Part 1 Section 19.5.47, inkTgt (Ink Target)</w:t>
      </w:r>
      <w:bookmarkEnd w:id="2346"/>
      <w:bookmarkEnd w:id="2347"/>
      <w:r>
        <w:fldChar w:fldCharType="begin"/>
      </w:r>
      <w:r>
        <w:instrText xml:space="preserve"> XE "in</w:instrText>
      </w:r>
      <w:r>
        <w:instrText xml:space="preserve">kTgt (Ink Target)" </w:instrText>
      </w:r>
      <w:r>
        <w:fldChar w:fldCharType="end"/>
      </w:r>
    </w:p>
    <w:p w:rsidR="005F78FC" w:rsidRDefault="00B42EF3">
      <w:pPr>
        <w:pStyle w:val="Definition-Field"/>
      </w:pPr>
      <w:r>
        <w:t xml:space="preserve">a.   </w:t>
      </w:r>
      <w:r>
        <w:rPr>
          <w:i/>
        </w:rPr>
        <w:t>The standard places no restrictions on what type of shape the spid attribute references.</w:t>
      </w:r>
    </w:p>
    <w:p w:rsidR="005F78FC" w:rsidRDefault="00B42EF3">
      <w:pPr>
        <w:pStyle w:val="Definition-Field2"/>
      </w:pPr>
      <w:r>
        <w:t>PowerPoint requires the spid attribute to reference a valid ink shape.  PowerPoint will read inkTgt elements, but on read the ink shape will</w:t>
      </w:r>
      <w:r>
        <w:t xml:space="preserve"> be converted to a contentPart and its corresponding inkTgt will be written out as a spTgt.</w:t>
      </w:r>
    </w:p>
    <w:p w:rsidR="005F78FC" w:rsidRDefault="00B42EF3">
      <w:pPr>
        <w:pStyle w:val="Heading3"/>
      </w:pPr>
      <w:bookmarkStart w:id="2348" w:name="section_b0d3dac175dd42128c7daf9f432b5c24"/>
      <w:bookmarkStart w:id="2349" w:name="_Toc69878947"/>
      <w:r>
        <w:t>Part 1 Section 19.5.49, iterate (Iterate)</w:t>
      </w:r>
      <w:bookmarkEnd w:id="2348"/>
      <w:bookmarkEnd w:id="2349"/>
      <w:r>
        <w:fldChar w:fldCharType="begin"/>
      </w:r>
      <w:r>
        <w:instrText xml:space="preserve"> XE "iterate (Iterate)" </w:instrText>
      </w:r>
      <w:r>
        <w:fldChar w:fldCharType="end"/>
      </w:r>
    </w:p>
    <w:p w:rsidR="005F78FC" w:rsidRDefault="00B42EF3">
      <w:pPr>
        <w:pStyle w:val="Definition-Field"/>
      </w:pPr>
      <w:r>
        <w:t xml:space="preserve">a.   </w:t>
      </w:r>
      <w:r>
        <w:rPr>
          <w:i/>
        </w:rPr>
        <w:t>The standard states that the backwards attribute specifies whether to go backwards in the t</w:t>
      </w:r>
      <w:r>
        <w:rPr>
          <w:i/>
        </w:rPr>
        <w:t>imeline to the previous node.</w:t>
      </w:r>
    </w:p>
    <w:p w:rsidR="005F78FC" w:rsidRDefault="00B42EF3">
      <w:pPr>
        <w:pStyle w:val="Definition-Field2"/>
      </w:pPr>
      <w:r>
        <w:t>PowerPoint uses the backwards attribute to specify whether to iterate from the beginning or the end of the target element.</w:t>
      </w:r>
    </w:p>
    <w:p w:rsidR="005F78FC" w:rsidRDefault="00B42EF3">
      <w:pPr>
        <w:pStyle w:val="Heading3"/>
      </w:pPr>
      <w:bookmarkStart w:id="2350" w:name="section_a5b47f269eb64d45acd6e7183453307a"/>
      <w:bookmarkStart w:id="2351" w:name="_Toc69878948"/>
      <w:r>
        <w:t>Part 1 Section 19.5.51, nextCondLst (Next Conditions List)</w:t>
      </w:r>
      <w:bookmarkEnd w:id="2350"/>
      <w:bookmarkEnd w:id="2351"/>
      <w:r>
        <w:fldChar w:fldCharType="begin"/>
      </w:r>
      <w:r>
        <w:instrText xml:space="preserve"> XE "nextCondLst (Next Conditions List)" </w:instrText>
      </w:r>
      <w:r>
        <w:fldChar w:fldCharType="end"/>
      </w:r>
    </w:p>
    <w:p w:rsidR="005F78FC" w:rsidRDefault="00B42EF3">
      <w:pPr>
        <w:pStyle w:val="Definition-Field"/>
      </w:pPr>
      <w:r>
        <w:t xml:space="preserve">a.   </w:t>
      </w:r>
      <w:r>
        <w:rPr>
          <w:i/>
        </w:rPr>
        <w:t>The standard states that the nextCondLst element describes a list of conditions that must be met to advance to the next animation sequence.</w:t>
      </w:r>
    </w:p>
    <w:p w:rsidR="005F78FC" w:rsidRDefault="00B42EF3">
      <w:pPr>
        <w:pStyle w:val="Definition-Field2"/>
      </w:pPr>
      <w:r>
        <w:t>PowerPoint will advance to the next animation sequence if any of the conditions in the list are met.</w:t>
      </w:r>
    </w:p>
    <w:p w:rsidR="005F78FC" w:rsidRDefault="00B42EF3">
      <w:pPr>
        <w:pStyle w:val="Heading3"/>
      </w:pPr>
      <w:bookmarkStart w:id="2352" w:name="section_7bb53b9eb4f54c85b5aed814279ecbc3"/>
      <w:bookmarkStart w:id="2353" w:name="_Toc69878949"/>
      <w:r>
        <w:lastRenderedPageBreak/>
        <w:t>Part 1 Section 19.5.52, oleChartEl (Embedded Chart Element)</w:t>
      </w:r>
      <w:bookmarkEnd w:id="2352"/>
      <w:bookmarkEnd w:id="2353"/>
      <w:r>
        <w:fldChar w:fldCharType="begin"/>
      </w:r>
      <w:r>
        <w:instrText xml:space="preserve"> XE "oleChartEl (Embedded Chart Element)" </w:instrText>
      </w:r>
      <w:r>
        <w:fldChar w:fldCharType="end"/>
      </w:r>
    </w:p>
    <w:p w:rsidR="005F78FC" w:rsidRDefault="00B42EF3">
      <w:pPr>
        <w:pStyle w:val="Definition-Field"/>
      </w:pPr>
      <w:r>
        <w:t xml:space="preserve">a.   </w:t>
      </w:r>
      <w:r>
        <w:rPr>
          <w:i/>
        </w:rPr>
        <w:t>The standard places no restrictions on the relationship between the lvl attribute and the type attribute.</w:t>
      </w:r>
    </w:p>
    <w:p w:rsidR="005F78FC" w:rsidRDefault="00B42EF3">
      <w:pPr>
        <w:pStyle w:val="Definition-Field2"/>
      </w:pPr>
      <w:r>
        <w:t xml:space="preserve">PowerPoint requires the lvl attribute be </w:t>
      </w:r>
      <w:r>
        <w:t>0 if the type attribute is gridLegend.</w:t>
      </w:r>
    </w:p>
    <w:p w:rsidR="005F78FC" w:rsidRDefault="00B42EF3">
      <w:pPr>
        <w:pStyle w:val="Definition-Field"/>
      </w:pPr>
      <w:r>
        <w:t xml:space="preserve">b.   </w:t>
      </w:r>
      <w:r>
        <w:rPr>
          <w:i/>
        </w:rPr>
        <w:t>The standard places no restrictions on the ordering and relationship of oleChartEl elements with respect to one another.</w:t>
      </w:r>
    </w:p>
    <w:p w:rsidR="005F78FC" w:rsidRDefault="00B42EF3">
      <w:pPr>
        <w:pStyle w:val="Definition-Field2"/>
      </w:pPr>
      <w:r>
        <w:t>PowerPoint requires that all oleChartEl elements be stored in incremental ascending order (</w:t>
      </w:r>
      <w:r>
        <w:t>with no omissions) under one common par element for the animation to play properly.</w:t>
      </w:r>
    </w:p>
    <w:p w:rsidR="005F78FC" w:rsidRDefault="00B42EF3">
      <w:pPr>
        <w:pStyle w:val="Heading3"/>
      </w:pPr>
      <w:bookmarkStart w:id="2354" w:name="section_31d28bcdcca242ea95afeb32b797e869"/>
      <w:bookmarkStart w:id="2355" w:name="_Toc69878950"/>
      <w:r>
        <w:t>Part 1 Section 19.5.55, prevCondLst (Previous Conditions List)</w:t>
      </w:r>
      <w:bookmarkEnd w:id="2354"/>
      <w:bookmarkEnd w:id="2355"/>
      <w:r>
        <w:fldChar w:fldCharType="begin"/>
      </w:r>
      <w:r>
        <w:instrText xml:space="preserve"> XE "prevCondLst (Previous Conditions List)" </w:instrText>
      </w:r>
      <w:r>
        <w:fldChar w:fldCharType="end"/>
      </w:r>
    </w:p>
    <w:p w:rsidR="005F78FC" w:rsidRDefault="00B42EF3">
      <w:pPr>
        <w:pStyle w:val="Definition-Field"/>
      </w:pPr>
      <w:r>
        <w:t xml:space="preserve">a.   </w:t>
      </w:r>
      <w:r>
        <w:rPr>
          <w:i/>
        </w:rPr>
        <w:t>The standard states that the prevCondLst element describe</w:t>
      </w:r>
      <w:r>
        <w:rPr>
          <w:i/>
        </w:rPr>
        <w:t>s a list of conditions that must be met in order to go backwards in an animation sequence.</w:t>
      </w:r>
    </w:p>
    <w:p w:rsidR="005F78FC" w:rsidRDefault="00B42EF3">
      <w:pPr>
        <w:pStyle w:val="Definition-Field2"/>
      </w:pPr>
      <w:r>
        <w:t>PowerPoint will advance to the previous animation sequence if any of the conditions in the list are met.</w:t>
      </w:r>
    </w:p>
    <w:p w:rsidR="005F78FC" w:rsidRDefault="00B42EF3">
      <w:pPr>
        <w:pStyle w:val="Heading3"/>
      </w:pPr>
      <w:bookmarkStart w:id="2356" w:name="section_05f6a62df7db400e9ae497a6d422ac5b"/>
      <w:bookmarkStart w:id="2357" w:name="_Toc69878951"/>
      <w:r>
        <w:t>Part 1 Section 19.5.56, pRg (Paragraph Text Range)</w:t>
      </w:r>
      <w:bookmarkEnd w:id="2356"/>
      <w:bookmarkEnd w:id="2357"/>
      <w:r>
        <w:fldChar w:fldCharType="begin"/>
      </w:r>
      <w:r>
        <w:instrText xml:space="preserve"> XE "pRg (</w:instrText>
      </w:r>
      <w:r>
        <w:instrText xml:space="preserve">Paragraph Text Range)" </w:instrText>
      </w:r>
      <w:r>
        <w:fldChar w:fldCharType="end"/>
      </w:r>
    </w:p>
    <w:p w:rsidR="005F78FC" w:rsidRDefault="00B42EF3">
      <w:pPr>
        <w:pStyle w:val="Definition-Field"/>
      </w:pPr>
      <w:r>
        <w:t xml:space="preserve">a.   </w:t>
      </w:r>
      <w:r>
        <w:rPr>
          <w:i/>
        </w:rPr>
        <w:t>The standard places no restrictions on the values of the st attribute and the end attribute with relation to one another.</w:t>
      </w:r>
    </w:p>
    <w:p w:rsidR="005F78FC" w:rsidRDefault="00B42EF3">
      <w:pPr>
        <w:pStyle w:val="Definition-Field2"/>
      </w:pPr>
      <w:r>
        <w:t>PowerPoint requires the values of the st attribute and the end attribute be equal to each other.</w:t>
      </w:r>
    </w:p>
    <w:p w:rsidR="005F78FC" w:rsidRDefault="00B42EF3">
      <w:pPr>
        <w:pStyle w:val="Definition-Field"/>
      </w:pPr>
      <w:r>
        <w:t xml:space="preserve">b.   </w:t>
      </w:r>
      <w:r>
        <w:rPr>
          <w:i/>
        </w:rPr>
        <w:t>T</w:t>
      </w:r>
      <w:r>
        <w:rPr>
          <w:i/>
        </w:rPr>
        <w:t>he standard places no restrictions on the values of the st attribute and the end attribute with relation to the paragraphs.</w:t>
      </w:r>
    </w:p>
    <w:p w:rsidR="005F78FC" w:rsidRDefault="00B42EF3">
      <w:pPr>
        <w:pStyle w:val="Definition-Field2"/>
      </w:pPr>
      <w:r>
        <w:t>PowerPoint requires that the st attribute and the end attribute be less than the number of paragraphs.</w:t>
      </w:r>
    </w:p>
    <w:p w:rsidR="005F78FC" w:rsidRDefault="00B42EF3">
      <w:pPr>
        <w:pStyle w:val="Heading3"/>
      </w:pPr>
      <w:bookmarkStart w:id="2358" w:name="section_c6c5c46f909640e595f4cf70e7265ad9"/>
      <w:bookmarkStart w:id="2359" w:name="_Toc69878952"/>
      <w:r>
        <w:t>Part 1 Section 19.5.57, progr</w:t>
      </w:r>
      <w:r>
        <w:t>ess (Progress)</w:t>
      </w:r>
      <w:bookmarkEnd w:id="2358"/>
      <w:bookmarkEnd w:id="2359"/>
      <w:r>
        <w:fldChar w:fldCharType="begin"/>
      </w:r>
      <w:r>
        <w:instrText xml:space="preserve"> XE "progress (Progress)" </w:instrText>
      </w:r>
      <w:r>
        <w:fldChar w:fldCharType="end"/>
      </w:r>
    </w:p>
    <w:p w:rsidR="005F78FC" w:rsidRDefault="00B42EF3">
      <w:pPr>
        <w:pStyle w:val="Definition-Field"/>
      </w:pPr>
      <w:r>
        <w:t xml:space="preserve">a.   </w:t>
      </w:r>
      <w:r>
        <w:rPr>
          <w:i/>
        </w:rPr>
        <w:t>The standard states that the boolVal, clrVal, intVal, and strVal elements are all valid child elements of the progress element.</w:t>
      </w:r>
    </w:p>
    <w:p w:rsidR="005F78FC" w:rsidRDefault="00B42EF3">
      <w:pPr>
        <w:pStyle w:val="Definition-Field2"/>
      </w:pPr>
      <w:r>
        <w:t>PowerPoint does not allow these elements as child elements of the progress eleme</w:t>
      </w:r>
      <w:r>
        <w:t>nt.</w:t>
      </w:r>
    </w:p>
    <w:p w:rsidR="005F78FC" w:rsidRDefault="00B42EF3">
      <w:pPr>
        <w:pStyle w:val="Definition-Field"/>
      </w:pPr>
      <w:r>
        <w:t xml:space="preserve">b.   </w:t>
      </w:r>
      <w:r>
        <w:rPr>
          <w:i/>
        </w:rPr>
        <w:t>The standard places no restrictions on the val attribute of the fltVal element when parented by the progress element.</w:t>
      </w:r>
    </w:p>
    <w:p w:rsidR="005F78FC" w:rsidRDefault="00B42EF3">
      <w:pPr>
        <w:pStyle w:val="Definition-Field2"/>
      </w:pPr>
      <w:r>
        <w:t>PowerPoint requires that the val attribute of the fltVal element be greater than or equal to 0 and less than or equal to 1 when p</w:t>
      </w:r>
      <w:r>
        <w:t>arented by the progress element.</w:t>
      </w:r>
    </w:p>
    <w:p w:rsidR="005F78FC" w:rsidRDefault="00B42EF3">
      <w:pPr>
        <w:pStyle w:val="Heading3"/>
      </w:pPr>
      <w:bookmarkStart w:id="2360" w:name="section_376276c2d99a446084d99a1a45b2bd14"/>
      <w:bookmarkStart w:id="2361" w:name="_Toc69878953"/>
      <w:r>
        <w:t>Part 1 Section 19.5.62, rCtr (Rotation Center)</w:t>
      </w:r>
      <w:bookmarkEnd w:id="2360"/>
      <w:bookmarkEnd w:id="2361"/>
      <w:r>
        <w:fldChar w:fldCharType="begin"/>
      </w:r>
      <w:r>
        <w:instrText xml:space="preserve"> XE "rCtr (Rotation Center)" </w:instrText>
      </w:r>
      <w:r>
        <w:fldChar w:fldCharType="end"/>
      </w:r>
    </w:p>
    <w:p w:rsidR="005F78FC" w:rsidRDefault="00B42EF3">
      <w:pPr>
        <w:pStyle w:val="Definition-Field"/>
      </w:pPr>
      <w:r>
        <w:t xml:space="preserve">a.   </w:t>
      </w:r>
      <w:r>
        <w:rPr>
          <w:i/>
        </w:rPr>
        <w:t>The standard states that the x attribute and the y attribute describe coordinates.</w:t>
      </w:r>
    </w:p>
    <w:p w:rsidR="005F78FC" w:rsidRDefault="00B42EF3">
      <w:pPr>
        <w:pStyle w:val="Definition-Field2"/>
      </w:pPr>
      <w:r>
        <w:t>PowerPoint uses these attributes to specify slide percent</w:t>
      </w:r>
      <w:r>
        <w:t>ages.</w:t>
      </w:r>
    </w:p>
    <w:p w:rsidR="005F78FC" w:rsidRDefault="00B42EF3">
      <w:pPr>
        <w:pStyle w:val="Heading3"/>
      </w:pPr>
      <w:bookmarkStart w:id="2362" w:name="section_1ab29481720e44548836b5dc27669415"/>
      <w:bookmarkStart w:id="2363" w:name="_Toc69878954"/>
      <w:r>
        <w:t>Part 1 Section 19.5.63, rgb (RGB)</w:t>
      </w:r>
      <w:bookmarkEnd w:id="2362"/>
      <w:bookmarkEnd w:id="2363"/>
      <w:r>
        <w:fldChar w:fldCharType="begin"/>
      </w:r>
      <w:r>
        <w:instrText xml:space="preserve"> XE "rgb (RGB)" </w:instrText>
      </w:r>
      <w:r>
        <w:fldChar w:fldCharType="end"/>
      </w:r>
    </w:p>
    <w:p w:rsidR="005F78FC" w:rsidRDefault="00B42EF3">
      <w:pPr>
        <w:pStyle w:val="Definition-Field"/>
      </w:pPr>
      <w:r>
        <w:t xml:space="preserve">a.   </w:t>
      </w:r>
      <w:r>
        <w:rPr>
          <w:i/>
        </w:rPr>
        <w:t>The standard does not state how to interpret a negative r attribute value.</w:t>
      </w:r>
    </w:p>
    <w:p w:rsidR="005F78FC" w:rsidRDefault="00B42EF3">
      <w:pPr>
        <w:pStyle w:val="Definition-Field2"/>
      </w:pPr>
      <w:r>
        <w:t>PowerPoint decreases the red color value when the r attribute's value is negative.</w:t>
      </w:r>
    </w:p>
    <w:p w:rsidR="005F78FC" w:rsidRDefault="00B42EF3">
      <w:pPr>
        <w:pStyle w:val="Definition-Field"/>
      </w:pPr>
      <w:r>
        <w:lastRenderedPageBreak/>
        <w:t xml:space="preserve">b.   </w:t>
      </w:r>
      <w:r>
        <w:rPr>
          <w:i/>
        </w:rPr>
        <w:t>The standard does not state ho</w:t>
      </w:r>
      <w:r>
        <w:rPr>
          <w:i/>
        </w:rPr>
        <w:t>w to interpret a negative g attribute value.</w:t>
      </w:r>
    </w:p>
    <w:p w:rsidR="005F78FC" w:rsidRDefault="00B42EF3">
      <w:pPr>
        <w:pStyle w:val="Definition-Field2"/>
      </w:pPr>
      <w:r>
        <w:t>PowerPoint decreases the green color value when the g attribute's value is negative.</w:t>
      </w:r>
    </w:p>
    <w:p w:rsidR="005F78FC" w:rsidRDefault="00B42EF3">
      <w:pPr>
        <w:pStyle w:val="Definition-Field"/>
      </w:pPr>
      <w:r>
        <w:t xml:space="preserve">c.   </w:t>
      </w:r>
      <w:r>
        <w:rPr>
          <w:i/>
        </w:rPr>
        <w:t>The standard does not state how to interpret a negative b attribute value.</w:t>
      </w:r>
    </w:p>
    <w:p w:rsidR="005F78FC" w:rsidRDefault="00B42EF3">
      <w:pPr>
        <w:pStyle w:val="Definition-Field2"/>
      </w:pPr>
      <w:r>
        <w:t>PowerPoint decreases the blue color value when</w:t>
      </w:r>
      <w:r>
        <w:t xml:space="preserve"> the b attribute's value is negative.</w:t>
      </w:r>
    </w:p>
    <w:p w:rsidR="005F78FC" w:rsidRDefault="00B42EF3">
      <w:pPr>
        <w:pStyle w:val="Heading3"/>
      </w:pPr>
      <w:bookmarkStart w:id="2364" w:name="section_3247e7a595254e6b9ec29b598a8b2f4a"/>
      <w:bookmarkStart w:id="2365" w:name="_Toc69878955"/>
      <w:r>
        <w:t>Part 1 Section 19.5.65, seq (Sequence Time Node)</w:t>
      </w:r>
      <w:bookmarkEnd w:id="2364"/>
      <w:bookmarkEnd w:id="2365"/>
      <w:r>
        <w:fldChar w:fldCharType="begin"/>
      </w:r>
      <w:r>
        <w:instrText xml:space="preserve"> XE "seq (Sequence Time Node)"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5F78FC" w:rsidRDefault="00B42EF3">
      <w:pPr>
        <w:pStyle w:val="Heading3"/>
      </w:pPr>
      <w:bookmarkStart w:id="2366" w:name="section_10aa6fad89594041bd8c5e4fd918008f"/>
      <w:bookmarkStart w:id="2367" w:name="_Toc69878956"/>
      <w:r>
        <w:t>Part 1 Section 19.5.66, set (Set Time Node Behavior)</w:t>
      </w:r>
      <w:bookmarkEnd w:id="2366"/>
      <w:bookmarkEnd w:id="2367"/>
      <w:r>
        <w:fldChar w:fldCharType="begin"/>
      </w:r>
      <w:r>
        <w:instrText xml:space="preserve"> XE "set (Set Time Node Behavior)"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5F78FC" w:rsidRDefault="00B42EF3">
      <w:pPr>
        <w:pStyle w:val="Definition-Field"/>
      </w:pPr>
      <w:r>
        <w:t xml:space="preserve">a.   </w:t>
      </w:r>
      <w:r>
        <w:rPr>
          <w:i/>
        </w:rPr>
        <w:t>The standard places no restrictions on the number of attrName child elements p</w:t>
      </w:r>
      <w:r>
        <w:rPr>
          <w:i/>
        </w:rPr>
        <w:t>arented by the attrNameLst element when inside the set element.</w:t>
      </w:r>
    </w:p>
    <w:p w:rsidR="005F78FC" w:rsidRDefault="00B42EF3">
      <w:pPr>
        <w:pStyle w:val="Definition-Field2"/>
      </w:pPr>
      <w:r>
        <w:t xml:space="preserve">PowerPoint requires that there be at least one attrName child element of the attrNameLst element when inside a set element; if more than one attrName child element exists, only the first will </w:t>
      </w:r>
      <w:r>
        <w:t>be used.</w:t>
      </w:r>
    </w:p>
    <w:p w:rsidR="005F78FC" w:rsidRDefault="00B42EF3">
      <w:pPr>
        <w:pStyle w:val="Heading3"/>
      </w:pPr>
      <w:bookmarkStart w:id="2368" w:name="section_97031c34d08441cabd6bd861582b1ba4"/>
      <w:bookmarkStart w:id="2369" w:name="_Toc69878957"/>
      <w:r>
        <w:t>Part 1 Section 19.5.67, sldTgt (Slide Target)</w:t>
      </w:r>
      <w:bookmarkEnd w:id="2368"/>
      <w:bookmarkEnd w:id="2369"/>
      <w:r>
        <w:fldChar w:fldCharType="begin"/>
      </w:r>
      <w:r>
        <w:instrText xml:space="preserve"> XE "sldTgt (Slide Target)" </w:instrText>
      </w:r>
      <w:r>
        <w:fldChar w:fldCharType="end"/>
      </w:r>
    </w:p>
    <w:p w:rsidR="005F78FC" w:rsidRDefault="00B42EF3">
      <w:pPr>
        <w:pStyle w:val="Definition-Field"/>
      </w:pPr>
      <w:r>
        <w:t xml:space="preserve">a.   </w:t>
      </w:r>
      <w:r>
        <w:rPr>
          <w:i/>
        </w:rPr>
        <w:t>The standard places no restrictions on when the sldTgt element is to be used.</w:t>
      </w:r>
    </w:p>
    <w:p w:rsidR="005F78FC" w:rsidRDefault="00B42EF3">
      <w:pPr>
        <w:pStyle w:val="Definition-Field2"/>
      </w:pPr>
      <w:r>
        <w:t>PowerPoint will only use this element when it is grandparented by a cond element with it</w:t>
      </w:r>
      <w:r>
        <w:t>s evt attribute set to onPrev, onNext, or onStopAudio.</w:t>
      </w:r>
    </w:p>
    <w:p w:rsidR="005F78FC" w:rsidRDefault="00B42EF3">
      <w:pPr>
        <w:pStyle w:val="Heading3"/>
      </w:pPr>
      <w:bookmarkStart w:id="2370" w:name="section_894705b6965549e3a6c654600f99f7f4"/>
      <w:bookmarkStart w:id="2371" w:name="_Toc69878958"/>
      <w:r>
        <w:t>Part 1 Section 19.5.72, spTgt (Shape Target)</w:t>
      </w:r>
      <w:bookmarkEnd w:id="2370"/>
      <w:bookmarkEnd w:id="2371"/>
      <w:r>
        <w:fldChar w:fldCharType="begin"/>
      </w:r>
      <w:r>
        <w:instrText xml:space="preserve"> XE "spTgt (Shape Target)" </w:instrText>
      </w:r>
      <w:r>
        <w:fldChar w:fldCharType="end"/>
      </w:r>
    </w:p>
    <w:p w:rsidR="005F78FC" w:rsidRDefault="00B42EF3">
      <w:pPr>
        <w:pStyle w:val="Definition-Field"/>
      </w:pPr>
      <w:r>
        <w:t xml:space="preserve">a.   </w:t>
      </w:r>
      <w:r>
        <w:rPr>
          <w:i/>
        </w:rPr>
        <w:t>The standard places no restrictions on what the spid attribute refers to.</w:t>
      </w:r>
    </w:p>
    <w:p w:rsidR="005F78FC" w:rsidRDefault="00B42EF3">
      <w:pPr>
        <w:pStyle w:val="Definition-Field2"/>
      </w:pPr>
      <w:r>
        <w:t>PowerPoint requires that the spid attribute refe</w:t>
      </w:r>
      <w:r>
        <w:t>r to a cxnSp element, a graphicFrame element, a grpSp element, a pic element, or an sp element on the current slide.</w:t>
      </w:r>
    </w:p>
    <w:p w:rsidR="005F78FC" w:rsidRDefault="00B42EF3">
      <w:pPr>
        <w:pStyle w:val="Definition-Field"/>
      </w:pPr>
      <w:r>
        <w:t xml:space="preserve">b.   </w:t>
      </w:r>
      <w:r>
        <w:rPr>
          <w:i/>
        </w:rPr>
        <w:t>The standard does not specify how the graphicEl, oleChartEl, subSp, and txtEl child elements are to be used.</w:t>
      </w:r>
    </w:p>
    <w:p w:rsidR="005F78FC" w:rsidRDefault="00B42EF3">
      <w:pPr>
        <w:pStyle w:val="Definition-Field2"/>
      </w:pPr>
      <w:r>
        <w:t>PowerPoint uses the graph</w:t>
      </w:r>
      <w:r>
        <w:t>icEl, oleChartEl, and subSp child elements to specify graphical elements to animate within a graphicFrame element; it uses the txtEl child element to specify the text elements to animate within an sp element.</w:t>
      </w:r>
    </w:p>
    <w:p w:rsidR="005F78FC" w:rsidRDefault="00B42EF3">
      <w:pPr>
        <w:pStyle w:val="Heading3"/>
      </w:pPr>
      <w:bookmarkStart w:id="2372" w:name="section_d83ab468be034be6a1063de1614ea5df"/>
      <w:bookmarkStart w:id="2373" w:name="_Toc69878959"/>
      <w:r>
        <w:t>Part 1 Section 19.5.77, subSp (Subshape)</w:t>
      </w:r>
      <w:bookmarkEnd w:id="2372"/>
      <w:bookmarkEnd w:id="2373"/>
      <w:r>
        <w:fldChar w:fldCharType="begin"/>
      </w:r>
      <w:r>
        <w:instrText xml:space="preserve"> XE "su</w:instrText>
      </w:r>
      <w:r>
        <w:instrText xml:space="preserve">bSp (Subshape)"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06a5cea1078b41cd8c26ef1db3ed3733">
        <w:r>
          <w:rPr>
            <w:rStyle w:val="Hyperlink"/>
          </w:rPr>
          <w:t>inkTgt, §19.5.47(a)</w:t>
        </w:r>
      </w:hyperlink>
      <w:r>
        <w:rPr>
          <w:i/>
        </w:rPr>
        <w:t>.</w:t>
      </w:r>
    </w:p>
    <w:p w:rsidR="005F78FC" w:rsidRDefault="00B42EF3">
      <w:pPr>
        <w:pStyle w:val="Definition-Field"/>
      </w:pPr>
      <w:r>
        <w:t xml:space="preserve">a.   </w:t>
      </w:r>
      <w:r>
        <w:rPr>
          <w:i/>
        </w:rPr>
        <w:t>The standard places no restrictions on what the spid attri</w:t>
      </w:r>
      <w:r>
        <w:rPr>
          <w:i/>
        </w:rPr>
        <w:t>bute refers to.</w:t>
      </w:r>
    </w:p>
    <w:p w:rsidR="005F78FC" w:rsidRDefault="00B42EF3">
      <w:pPr>
        <w:pStyle w:val="Definition-Field2"/>
      </w:pPr>
      <w:r>
        <w:t>PowerPoint requires that the spid attribute reference a valid shape that is present both on the current slide and on the diagram referred to by the spid attribute of the parent spTgt element.</w:t>
      </w:r>
    </w:p>
    <w:p w:rsidR="005F78FC" w:rsidRDefault="00B42EF3">
      <w:pPr>
        <w:pStyle w:val="Definition-Field"/>
      </w:pPr>
      <w:r>
        <w:t xml:space="preserve">b.   </w:t>
      </w:r>
      <w:r>
        <w:rPr>
          <w:i/>
        </w:rPr>
        <w:t xml:space="preserve">The standard places no restrictions on the </w:t>
      </w:r>
      <w:r>
        <w:rPr>
          <w:i/>
        </w:rPr>
        <w:t>parent spTgt element of the subSp element.</w:t>
      </w:r>
    </w:p>
    <w:p w:rsidR="005F78FC" w:rsidRDefault="00B42EF3">
      <w:pPr>
        <w:pStyle w:val="Definition-Field2"/>
      </w:pPr>
      <w:r>
        <w:lastRenderedPageBreak/>
        <w:t>PowerPoint requires that the parent element target a legacy diagram.</w:t>
      </w:r>
    </w:p>
    <w:p w:rsidR="005F78FC" w:rsidRDefault="00B42EF3">
      <w:pPr>
        <w:pStyle w:val="Heading3"/>
      </w:pPr>
      <w:bookmarkStart w:id="2374" w:name="section_f11e90f5055843bd895071da5f115bb5"/>
      <w:bookmarkStart w:id="2375" w:name="_Toc69878960"/>
      <w:r>
        <w:t>Part 1 Section 19.5.78, subTnLst (Sub-TimeNodes List)</w:t>
      </w:r>
      <w:bookmarkEnd w:id="2374"/>
      <w:bookmarkEnd w:id="2375"/>
      <w:r>
        <w:fldChar w:fldCharType="begin"/>
      </w:r>
      <w:r>
        <w:instrText xml:space="preserve"> XE "subTnLst (Sub-TimeNodes List)" </w:instrText>
      </w:r>
      <w:r>
        <w:fldChar w:fldCharType="end"/>
      </w:r>
    </w:p>
    <w:p w:rsidR="005F78FC" w:rsidRDefault="00B42EF3">
      <w:pPr>
        <w:pStyle w:val="Definition-Field"/>
      </w:pPr>
      <w:r>
        <w:t xml:space="preserve">a.   </w:t>
      </w:r>
      <w:r>
        <w:rPr>
          <w:i/>
        </w:rPr>
        <w:t>The standard states that the subTnLst element d</w:t>
      </w:r>
      <w:r>
        <w:rPr>
          <w:i/>
        </w:rPr>
        <w:t>escribes time nodes that have a start time which is not based on the containing timenode.</w:t>
      </w:r>
    </w:p>
    <w:p w:rsidR="005F78FC" w:rsidRDefault="00B42EF3">
      <w:r>
        <w:t>In PowerPoint, this element is only used when applied to nodes of depth 5 within the Slide Timing tree ("</w:t>
      </w:r>
      <w:hyperlink r:id="rId162">
        <w:r>
          <w:rPr>
            <w:rStyle w:val="Hyperlink"/>
          </w:rPr>
          <w:t>[ISO/IEC-29500-1]</w:t>
        </w:r>
      </w:hyperlink>
      <w:r>
        <w:t xml:space="preserve"> §19.3.1.48; timing").  The root element within the Time Node List ("[ISO/IEC-29500-1] §19.5.87; tnLst") shall be a par element and this subTnLst element shall only be used when contained within seq child element of this root element.</w:t>
      </w:r>
      <w:r>
        <w:t xml:space="preserve">  </w:t>
      </w:r>
    </w:p>
    <w:p w:rsidR="005F78FC" w:rsidRDefault="00B42EF3">
      <w:r>
        <w:t xml:space="preserve">The Target Element ("[ISO/IEC-29500-1] §19.5.81; tgtEl") contained within any anim, animClr, animEffect, animMotion, animRot, animScale, or set child element of subTnLst shall have either a Sound Target ("[ISO/IEC-29500-1] §19.5.70; sndTgt") or a Shape </w:t>
      </w:r>
      <w:r>
        <w:t>Target ("[ISO/IEC-29500-1] §19.5.72; spTgt") child element.</w:t>
      </w:r>
    </w:p>
    <w:p w:rsidR="005F78FC" w:rsidRDefault="00B42EF3">
      <w:r>
        <w:t xml:space="preserve">The Target Element ("[ISO/IEC-29500-1] §19.5.81; tgtEl") contained within an audio or video child element shall have either a Shape Target ("[ISO/IEC-29500-1] §19.5.72; spTgt") child element that </w:t>
      </w:r>
      <w:r>
        <w:t>references a valid media shape or a Sound Target ("[ISO/IEC-29500-1] §19.5.70; sndTgt") that references a valid sound target.</w:t>
      </w:r>
    </w:p>
    <w:p w:rsidR="005F78FC" w:rsidRDefault="00B42EF3">
      <w:r>
        <w:t>Any excl, par or seq child element shall have at least one cmd, anim, animClr, animEffect, animMotion, animRot, animScale, set, au</w:t>
      </w:r>
      <w:r>
        <w:t>dio, or video child element. The first of these child elements shall have either a Sound Target ("[ISO/IEC-29500-1] §19.5.70; sndTgt") or a Shape Target ("[ISO/IEC-29500-1] §19.5.72; spTgt") child element.</w:t>
      </w:r>
    </w:p>
    <w:p w:rsidR="005F78FC" w:rsidRDefault="00B42EF3">
      <w:pPr>
        <w:pStyle w:val="Heading3"/>
      </w:pPr>
      <w:bookmarkStart w:id="2376" w:name="section_255410110cf2436b8e417dfd8fba6faf"/>
      <w:bookmarkStart w:id="2377" w:name="_Toc69878961"/>
      <w:r>
        <w:t>Part 1 Section 19.5.84, tmpl (Template Effects)</w:t>
      </w:r>
      <w:bookmarkEnd w:id="2376"/>
      <w:bookmarkEnd w:id="2377"/>
      <w:r>
        <w:fldChar w:fldCharType="begin"/>
      </w:r>
      <w:r>
        <w:instrText xml:space="preserve"> XE</w:instrText>
      </w:r>
      <w:r>
        <w:instrText xml:space="preserve"> "tmpl (Template Effects)" </w:instrText>
      </w:r>
      <w:r>
        <w:fldChar w:fldCharType="end"/>
      </w:r>
    </w:p>
    <w:p w:rsidR="005F78FC" w:rsidRDefault="00B42EF3">
      <w:pPr>
        <w:pStyle w:val="Definition-Field"/>
      </w:pPr>
      <w:r>
        <w:t xml:space="preserve">a.   </w:t>
      </w:r>
      <w:r>
        <w:rPr>
          <w:i/>
        </w:rPr>
        <w:t>The standard places no restrictions on the relationship between tmpl elements parented by the same tmplLst element.</w:t>
      </w:r>
    </w:p>
    <w:p w:rsidR="005F78FC" w:rsidRDefault="00B42EF3">
      <w:pPr>
        <w:pStyle w:val="Definition-Field2"/>
      </w:pPr>
      <w:r>
        <w:t xml:space="preserve">PowerPoint requires that each tmpl element within the same parent tmplLst element have a unique lvl </w:t>
      </w:r>
      <w:r>
        <w:t>attribute value.</w:t>
      </w:r>
    </w:p>
    <w:p w:rsidR="005F78FC" w:rsidRDefault="00B42EF3">
      <w:pPr>
        <w:pStyle w:val="Heading3"/>
      </w:pPr>
      <w:bookmarkStart w:id="2378" w:name="section_3da02aff9dc64878be81118938641c43"/>
      <w:bookmarkStart w:id="2379" w:name="_Toc69878962"/>
      <w:r>
        <w:t>Part 1 Section 19.5.85, tmplLst (Template effects)</w:t>
      </w:r>
      <w:bookmarkEnd w:id="2378"/>
      <w:bookmarkEnd w:id="2379"/>
      <w:r>
        <w:fldChar w:fldCharType="begin"/>
      </w:r>
      <w:r>
        <w:instrText xml:space="preserve"> XE "tmplLst (Template effects)" </w:instrText>
      </w:r>
      <w:r>
        <w:fldChar w:fldCharType="end"/>
      </w:r>
    </w:p>
    <w:p w:rsidR="005F78FC" w:rsidRDefault="00B42EF3">
      <w:pPr>
        <w:pStyle w:val="Definition-Field"/>
      </w:pPr>
      <w:r>
        <w:t xml:space="preserve">a.   </w:t>
      </w:r>
      <w:r>
        <w:rPr>
          <w:i/>
        </w:rPr>
        <w:t>The standard places no restrictions on when the tmpLst element is to be used.</w:t>
      </w:r>
    </w:p>
    <w:p w:rsidR="005F78FC" w:rsidRDefault="00B42EF3">
      <w:pPr>
        <w:pStyle w:val="Definition-Field2"/>
      </w:pPr>
      <w:r>
        <w:t>PowerPoint will only use this element when it refers to a ph element i</w:t>
      </w:r>
      <w:r>
        <w:t>nside a sldLayout element or a sldMaster element.</w:t>
      </w:r>
    </w:p>
    <w:p w:rsidR="005F78FC" w:rsidRDefault="00B42EF3">
      <w:pPr>
        <w:pStyle w:val="Heading3"/>
      </w:pPr>
      <w:bookmarkStart w:id="2380" w:name="section_5516734500ff4d39b4a86ca61d86227a"/>
      <w:bookmarkStart w:id="2381" w:name="_Toc69878963"/>
      <w:r>
        <w:t>Part 1 Section 19.5.87, tnLst (Time Node List)</w:t>
      </w:r>
      <w:bookmarkEnd w:id="2380"/>
      <w:bookmarkEnd w:id="2381"/>
      <w:r>
        <w:fldChar w:fldCharType="begin"/>
      </w:r>
      <w:r>
        <w:instrText xml:space="preserve"> XE "tnLst (Time Node List)" </w:instrText>
      </w:r>
      <w:r>
        <w:fldChar w:fldCharType="end"/>
      </w:r>
    </w:p>
    <w:p w:rsidR="005F78FC" w:rsidRDefault="00B42EF3">
      <w:pPr>
        <w:pStyle w:val="Definition-Field"/>
      </w:pPr>
      <w:r>
        <w:t xml:space="preserve">a.   </w:t>
      </w:r>
      <w:r>
        <w:rPr>
          <w:i/>
        </w:rPr>
        <w:t>The standard states that the child list of the tnLst element is unbounded.</w:t>
      </w:r>
    </w:p>
    <w:p w:rsidR="005F78FC" w:rsidRDefault="00B42EF3">
      <w:pPr>
        <w:pStyle w:val="Definition-Field2"/>
      </w:pPr>
      <w:r>
        <w:t xml:space="preserve">PowerPoint does not support more than one child </w:t>
      </w:r>
      <w:r>
        <w:t>element in the tnLst.</w:t>
      </w:r>
    </w:p>
    <w:p w:rsidR="005F78FC" w:rsidRDefault="00B42EF3">
      <w:pPr>
        <w:pStyle w:val="Definition-Field"/>
      </w:pPr>
      <w:r>
        <w:t xml:space="preserve">b.   </w:t>
      </w:r>
      <w:r>
        <w:rPr>
          <w:i/>
        </w:rPr>
        <w:t>The standard states that the anim, animClr, animEffect, animMotion, animRot, animScale, audio, cmd, excl, seq, set, and video elements are valid child elements of the tnLst element.</w:t>
      </w:r>
    </w:p>
    <w:p w:rsidR="005F78FC" w:rsidRDefault="00B42EF3">
      <w:pPr>
        <w:pStyle w:val="Definition-Field2"/>
      </w:pPr>
      <w:r>
        <w:t xml:space="preserve">PowerPoint does not allow these elements to be </w:t>
      </w:r>
      <w:r>
        <w:t>child elements of the tnLst element.</w:t>
      </w:r>
    </w:p>
    <w:p w:rsidR="005F78FC" w:rsidRDefault="00B42EF3">
      <w:pPr>
        <w:pStyle w:val="Definition-Field"/>
      </w:pPr>
      <w:r>
        <w:t xml:space="preserve">c.   </w:t>
      </w:r>
      <w:r>
        <w:rPr>
          <w:i/>
        </w:rPr>
        <w:t>The standard places no restrictions on the time nodes at a depth of five in the timing tree defined by the child element of the tnLst element.</w:t>
      </w:r>
    </w:p>
    <w:p w:rsidR="005F78FC" w:rsidRDefault="00B42EF3">
      <w:r>
        <w:t xml:space="preserve">The child of this element is the root time node in the timing tree.  A </w:t>
      </w:r>
      <w:r>
        <w:t>node at depth 5 in the timing tree shall meet at least one of the following criteria:</w:t>
      </w:r>
    </w:p>
    <w:p w:rsidR="005F78FC" w:rsidRDefault="00B42EF3">
      <w:pPr>
        <w:pStyle w:val="ListParagraph"/>
        <w:numPr>
          <w:ilvl w:val="0"/>
          <w:numId w:val="129"/>
        </w:numPr>
        <w:contextualSpacing/>
      </w:pPr>
      <w:r>
        <w:lastRenderedPageBreak/>
        <w:t>Be a behavior node (a node with cBhvr ("</w:t>
      </w:r>
      <w:hyperlink r:id="rId163">
        <w:r>
          <w:rPr>
            <w:rStyle w:val="Hyperlink"/>
          </w:rPr>
          <w:t>[ISO/IEC-29500-1]</w:t>
        </w:r>
      </w:hyperlink>
      <w:r>
        <w:t xml:space="preserve"> §19.5.22; cBhvr")  as a child element) and con</w:t>
      </w:r>
      <w:r>
        <w:t>tain a valid reference to a &lt;tgtEl&gt;.</w:t>
      </w:r>
    </w:p>
    <w:p w:rsidR="005F78FC" w:rsidRDefault="00B42EF3">
      <w:pPr>
        <w:pStyle w:val="ListParagraph"/>
        <w:numPr>
          <w:ilvl w:val="0"/>
          <w:numId w:val="129"/>
        </w:numPr>
      </w:pPr>
      <w:r>
        <w:t>Have at least one child element that is a behavior node, the first of which shall contain a valid reference to a &lt;tgtEl&gt;.</w:t>
      </w:r>
    </w:p>
    <w:p w:rsidR="005F78FC" w:rsidRDefault="00B42EF3">
      <w:pPr>
        <w:pStyle w:val="Heading3"/>
      </w:pPr>
      <w:bookmarkStart w:id="2382" w:name="section_9d0fa0e7b3734de0be8e85b0922d7204"/>
      <w:bookmarkStart w:id="2383" w:name="_Toc69878964"/>
      <w:r>
        <w:t>Part 1 Section 19.5.88, to (To)</w:t>
      </w:r>
      <w:bookmarkEnd w:id="2382"/>
      <w:bookmarkEnd w:id="2383"/>
      <w:r>
        <w:fldChar w:fldCharType="begin"/>
      </w:r>
      <w:r>
        <w:instrText xml:space="preserve"> XE "to (To)" </w:instrText>
      </w:r>
      <w:r>
        <w:fldChar w:fldCharType="end"/>
      </w:r>
    </w:p>
    <w:p w:rsidR="005F78FC" w:rsidRDefault="00B42EF3">
      <w:pPr>
        <w:pStyle w:val="Definition-Field2"/>
      </w:pPr>
      <w:r>
        <w:rPr>
          <w:i/>
        </w:rPr>
        <w:t>For additional notes that apply to this portion o</w:t>
      </w:r>
      <w:r>
        <w:rPr>
          <w:i/>
        </w:rPr>
        <w:t xml:space="preserve">f the standard, please see the notes for </w:t>
      </w:r>
      <w:hyperlink w:anchor="Section_376276c2d99a446084d99a1a45b2bd14">
        <w:r>
          <w:rPr>
            <w:rStyle w:val="Hyperlink"/>
          </w:rPr>
          <w:t>rCtr, §19.5.62(a)</w:t>
        </w:r>
      </w:hyperlink>
      <w:r>
        <w:rPr>
          <w:i/>
        </w:rPr>
        <w:t>.</w:t>
      </w:r>
    </w:p>
    <w:p w:rsidR="005F78FC" w:rsidRDefault="00B42EF3">
      <w:pPr>
        <w:pStyle w:val="Definition-Field"/>
      </w:pPr>
      <w:r>
        <w:t xml:space="preserve">a.   </w:t>
      </w:r>
      <w:r>
        <w:rPr>
          <w:i/>
        </w:rPr>
        <w:t>The standard states that the x attribute and the y attribute describe coordinates.</w:t>
      </w:r>
    </w:p>
    <w:p w:rsidR="005F78FC" w:rsidRDefault="00B42EF3">
      <w:pPr>
        <w:pStyle w:val="Definition-Field2"/>
      </w:pPr>
      <w:r>
        <w:t>PowerPoint uses these attributes to specify t</w:t>
      </w:r>
      <w:r>
        <w:t>he slide size percentage change when the to element is parented by the animMotion element, and the animated object size percentage change when the to element is parented by the animScale element.</w:t>
      </w:r>
    </w:p>
    <w:p w:rsidR="005F78FC" w:rsidRDefault="00B42EF3">
      <w:pPr>
        <w:pStyle w:val="Definition-Field"/>
      </w:pPr>
      <w:r>
        <w:t xml:space="preserve">b.   </w:t>
      </w:r>
      <w:r>
        <w:rPr>
          <w:i/>
        </w:rPr>
        <w:t>The standard states that the x and y attribute values a</w:t>
      </w:r>
      <w:r>
        <w:rPr>
          <w:i/>
        </w:rPr>
        <w:t>re defined as simple type ST_Percentage.</w:t>
      </w:r>
    </w:p>
    <w:p w:rsidR="005F78FC" w:rsidRDefault="00B42EF3">
      <w:r>
        <w:t>When used in animMotion, the attributes, x and y, are values of slide percentage and the valid range is between -2147483625 and 2147483625. When used in animScale, the attributes, x and y, are values of size percent</w:t>
      </w:r>
      <w:r>
        <w:t>age and the valid range is between 0 and 2147483625.</w:t>
      </w:r>
    </w:p>
    <w:p w:rsidR="005F78FC" w:rsidRDefault="00B42EF3">
      <w:r>
        <w:t>If the x or y values are less than -16384000 or greater than 16384000 there will be some loss of precision due to internal calculations.</w:t>
      </w:r>
    </w:p>
    <w:p w:rsidR="005F78FC" w:rsidRDefault="00B42EF3">
      <w:pPr>
        <w:pStyle w:val="Heading3"/>
      </w:pPr>
      <w:bookmarkStart w:id="2384" w:name="section_0b35ab0b202941808a768d784dac1d2b"/>
      <w:bookmarkStart w:id="2385" w:name="_Toc69878965"/>
      <w:r>
        <w:t>Part 1 Section 19.5.89, to (To)</w:t>
      </w:r>
      <w:bookmarkEnd w:id="2384"/>
      <w:bookmarkEnd w:id="2385"/>
      <w:r>
        <w:fldChar w:fldCharType="begin"/>
      </w:r>
      <w:r>
        <w:instrText xml:space="preserve"> XE "to (To)" </w:instrText>
      </w:r>
      <w:r>
        <w:fldChar w:fldCharType="end"/>
      </w:r>
    </w:p>
    <w:p w:rsidR="005F78FC" w:rsidRDefault="00B42EF3">
      <w:pPr>
        <w:pStyle w:val="Definition-Field"/>
      </w:pPr>
      <w:r>
        <w:t xml:space="preserve">a.   </w:t>
      </w:r>
      <w:r>
        <w:rPr>
          <w:i/>
        </w:rPr>
        <w:t xml:space="preserve">The standard </w:t>
      </w:r>
      <w:r>
        <w:rPr>
          <w:i/>
        </w:rPr>
        <w:t>states that the to element specifies the attribute of the time node after the animation.</w:t>
      </w:r>
    </w:p>
    <w:p w:rsidR="005F78FC" w:rsidRDefault="00B42EF3">
      <w:r>
        <w:t>For PowerPoint, the following table specifies the strVal value presets that must be used when the corresponding attribute names are used. The supported attribute names</w:t>
      </w:r>
      <w:r>
        <w:t xml:space="preserve"> are listed in the attrName element ("</w:t>
      </w:r>
      <w:hyperlink r:id="rId164">
        <w:r>
          <w:rPr>
            <w:rStyle w:val="Hyperlink"/>
          </w:rPr>
          <w:t>[ISO/IEC-29500-1]</w:t>
        </w:r>
      </w:hyperlink>
      <w:r>
        <w:t xml:space="preserve"> §19.5.7; attrName").</w:t>
      </w:r>
    </w:p>
    <w:tbl>
      <w:tblPr>
        <w:tblStyle w:val="Table-ShadedHeader"/>
        <w:tblW w:w="0" w:type="auto"/>
        <w:tblLook w:val="04A0" w:firstRow="1" w:lastRow="0" w:firstColumn="1" w:lastColumn="0" w:noHBand="0" w:noVBand="1"/>
      </w:tblPr>
      <w:tblGrid>
        <w:gridCol w:w="2851"/>
        <w:gridCol w:w="6624"/>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attrName(Attribute Name)</w:t>
            </w:r>
          </w:p>
        </w:tc>
        <w:tc>
          <w:tcPr>
            <w:tcW w:w="0" w:type="auto"/>
            <w:vAlign w:val="center"/>
          </w:tcPr>
          <w:p w:rsidR="005F78FC" w:rsidRDefault="00B42EF3">
            <w:pPr>
              <w:pStyle w:val="TableHeaderText"/>
            </w:pPr>
            <w:r>
              <w:t>strVal Value Preset</w:t>
            </w:r>
          </w:p>
        </w:tc>
      </w:tr>
      <w:tr w:rsidR="005F78FC" w:rsidTr="005F78FC">
        <w:tc>
          <w:tcPr>
            <w:tcW w:w="0" w:type="auto"/>
            <w:vAlign w:val="center"/>
          </w:tcPr>
          <w:p w:rsidR="005F78FC" w:rsidRDefault="00B42EF3">
            <w:pPr>
              <w:pStyle w:val="TableBodyText"/>
            </w:pPr>
            <w:r>
              <w:t>style.visibility</w:t>
            </w:r>
          </w:p>
        </w:tc>
        <w:tc>
          <w:tcPr>
            <w:tcW w:w="0" w:type="auto"/>
            <w:vAlign w:val="center"/>
          </w:tcPr>
          <w:p w:rsidR="005F78FC" w:rsidRDefault="00B42EF3">
            <w:pPr>
              <w:pStyle w:val="TableBodyText"/>
            </w:pPr>
            <w:r>
              <w:t>“hidden”, “visible”</w:t>
            </w:r>
          </w:p>
        </w:tc>
      </w:tr>
      <w:tr w:rsidR="005F78FC" w:rsidTr="005F78FC">
        <w:tc>
          <w:tcPr>
            <w:tcW w:w="0" w:type="auto"/>
            <w:vAlign w:val="center"/>
          </w:tcPr>
          <w:p w:rsidR="005F78FC" w:rsidRDefault="00B42EF3">
            <w:pPr>
              <w:pStyle w:val="TableBodyText"/>
            </w:pPr>
            <w:r>
              <w:t>style.fontWeight</w:t>
            </w:r>
          </w:p>
        </w:tc>
        <w:tc>
          <w:tcPr>
            <w:tcW w:w="0" w:type="auto"/>
            <w:vAlign w:val="center"/>
          </w:tcPr>
          <w:p w:rsidR="005F78FC" w:rsidRDefault="00B42EF3">
            <w:pPr>
              <w:pStyle w:val="TableBodyText"/>
            </w:pPr>
            <w:r>
              <w:t xml:space="preserve">“none”, </w:t>
            </w:r>
            <w:r>
              <w:t>“normal”, “bold”</w:t>
            </w:r>
          </w:p>
        </w:tc>
      </w:tr>
      <w:tr w:rsidR="005F78FC" w:rsidTr="005F78FC">
        <w:tc>
          <w:tcPr>
            <w:tcW w:w="0" w:type="auto"/>
            <w:vAlign w:val="center"/>
          </w:tcPr>
          <w:p w:rsidR="005F78FC" w:rsidRDefault="00B42EF3">
            <w:pPr>
              <w:pStyle w:val="TableBodyText"/>
            </w:pPr>
            <w:r>
              <w:t>style.fontStyle</w:t>
            </w:r>
          </w:p>
        </w:tc>
        <w:tc>
          <w:tcPr>
            <w:tcW w:w="0" w:type="auto"/>
            <w:vAlign w:val="center"/>
          </w:tcPr>
          <w:p w:rsidR="005F78FC" w:rsidRDefault="00B42EF3">
            <w:pPr>
              <w:pStyle w:val="TableBodyText"/>
            </w:pPr>
            <w:r>
              <w:t>“none”, “normal”, “italic”</w:t>
            </w:r>
          </w:p>
        </w:tc>
      </w:tr>
      <w:tr w:rsidR="005F78FC" w:rsidTr="005F78FC">
        <w:tc>
          <w:tcPr>
            <w:tcW w:w="0" w:type="auto"/>
            <w:vAlign w:val="center"/>
          </w:tcPr>
          <w:p w:rsidR="005F78FC" w:rsidRDefault="00B42EF3">
            <w:pPr>
              <w:pStyle w:val="TableBodyText"/>
            </w:pPr>
            <w:r>
              <w:t>style.textEffectEmboss</w:t>
            </w:r>
          </w:p>
        </w:tc>
        <w:tc>
          <w:tcPr>
            <w:tcW w:w="0" w:type="auto"/>
            <w:vAlign w:val="center"/>
          </w:tcPr>
          <w:p w:rsidR="005F78FC" w:rsidRDefault="00B42EF3">
            <w:pPr>
              <w:pStyle w:val="TableBodyText"/>
            </w:pPr>
            <w:r>
              <w:t>“none”, “normal”, “emboss”</w:t>
            </w:r>
          </w:p>
        </w:tc>
      </w:tr>
      <w:tr w:rsidR="005F78FC" w:rsidTr="005F78FC">
        <w:tc>
          <w:tcPr>
            <w:tcW w:w="0" w:type="auto"/>
            <w:vAlign w:val="center"/>
          </w:tcPr>
          <w:p w:rsidR="005F78FC" w:rsidRDefault="00B42EF3">
            <w:pPr>
              <w:pStyle w:val="TableBodyText"/>
            </w:pPr>
            <w:r>
              <w:t>style.textShadow</w:t>
            </w:r>
          </w:p>
        </w:tc>
        <w:tc>
          <w:tcPr>
            <w:tcW w:w="0" w:type="auto"/>
            <w:vAlign w:val="center"/>
          </w:tcPr>
          <w:p w:rsidR="005F78FC" w:rsidRDefault="00B42EF3">
            <w:pPr>
              <w:pStyle w:val="TableBodyText"/>
            </w:pPr>
            <w:r>
              <w:t>“none”, “normal”, “auto”</w:t>
            </w:r>
          </w:p>
        </w:tc>
      </w:tr>
      <w:tr w:rsidR="005F78FC" w:rsidTr="005F78FC">
        <w:tc>
          <w:tcPr>
            <w:tcW w:w="0" w:type="auto"/>
            <w:vAlign w:val="center"/>
          </w:tcPr>
          <w:p w:rsidR="005F78FC" w:rsidRDefault="00B42EF3">
            <w:pPr>
              <w:pStyle w:val="TableBodyText"/>
            </w:pPr>
            <w:r>
              <w:t>style.textTransform</w:t>
            </w:r>
          </w:p>
        </w:tc>
        <w:tc>
          <w:tcPr>
            <w:tcW w:w="0" w:type="auto"/>
            <w:vAlign w:val="center"/>
          </w:tcPr>
          <w:p w:rsidR="005F78FC" w:rsidRDefault="00B42EF3">
            <w:pPr>
              <w:pStyle w:val="TableBodyText"/>
            </w:pPr>
            <w:r>
              <w:t>“none”, “normal”, “sub”, “super”</w:t>
            </w:r>
          </w:p>
        </w:tc>
      </w:tr>
      <w:tr w:rsidR="005F78FC" w:rsidTr="005F78FC">
        <w:tc>
          <w:tcPr>
            <w:tcW w:w="0" w:type="auto"/>
            <w:vAlign w:val="center"/>
          </w:tcPr>
          <w:p w:rsidR="005F78FC" w:rsidRDefault="00B42EF3">
            <w:pPr>
              <w:pStyle w:val="TableBodyText"/>
            </w:pPr>
            <w:r>
              <w:t>style.textDecorationUnderline</w:t>
            </w:r>
          </w:p>
        </w:tc>
        <w:tc>
          <w:tcPr>
            <w:tcW w:w="0" w:type="auto"/>
            <w:vAlign w:val="center"/>
          </w:tcPr>
          <w:p w:rsidR="005F78FC" w:rsidRDefault="00B42EF3">
            <w:pPr>
              <w:pStyle w:val="TableBodyText"/>
            </w:pPr>
            <w:r>
              <w:t>“false”, “true”</w:t>
            </w:r>
          </w:p>
        </w:tc>
      </w:tr>
      <w:tr w:rsidR="005F78FC" w:rsidTr="005F78FC">
        <w:tc>
          <w:tcPr>
            <w:tcW w:w="0" w:type="auto"/>
            <w:vAlign w:val="center"/>
          </w:tcPr>
          <w:p w:rsidR="005F78FC" w:rsidRDefault="00B42EF3">
            <w:pPr>
              <w:pStyle w:val="TableBodyText"/>
            </w:pPr>
            <w:r>
              <w:t>style.textEffectOutline</w:t>
            </w:r>
          </w:p>
        </w:tc>
        <w:tc>
          <w:tcPr>
            <w:tcW w:w="0" w:type="auto"/>
            <w:vAlign w:val="center"/>
          </w:tcPr>
          <w:p w:rsidR="005F78FC" w:rsidRDefault="00B42EF3">
            <w:pPr>
              <w:pStyle w:val="TableBodyText"/>
            </w:pPr>
            <w:r>
              <w:t>“false”, “true”</w:t>
            </w:r>
          </w:p>
        </w:tc>
      </w:tr>
      <w:tr w:rsidR="005F78FC" w:rsidTr="005F78FC">
        <w:tc>
          <w:tcPr>
            <w:tcW w:w="0" w:type="auto"/>
            <w:vAlign w:val="center"/>
          </w:tcPr>
          <w:p w:rsidR="005F78FC" w:rsidRDefault="00B42EF3">
            <w:pPr>
              <w:pStyle w:val="TableBodyText"/>
            </w:pPr>
            <w:r>
              <w:t>style.textDecorationLineThrough</w:t>
            </w:r>
          </w:p>
        </w:tc>
        <w:tc>
          <w:tcPr>
            <w:tcW w:w="0" w:type="auto"/>
            <w:vAlign w:val="center"/>
          </w:tcPr>
          <w:p w:rsidR="005F78FC" w:rsidRDefault="00B42EF3">
            <w:pPr>
              <w:pStyle w:val="TableBodyText"/>
            </w:pPr>
            <w:r>
              <w:t>“false”, “true”</w:t>
            </w:r>
          </w:p>
        </w:tc>
      </w:tr>
      <w:tr w:rsidR="005F78FC" w:rsidTr="005F78FC">
        <w:tc>
          <w:tcPr>
            <w:tcW w:w="0" w:type="auto"/>
            <w:vAlign w:val="center"/>
          </w:tcPr>
          <w:p w:rsidR="005F78FC" w:rsidRDefault="00B42EF3">
            <w:pPr>
              <w:pStyle w:val="TableBodyText"/>
            </w:pPr>
            <w:r>
              <w:t>imageData.grayscale</w:t>
            </w:r>
          </w:p>
        </w:tc>
        <w:tc>
          <w:tcPr>
            <w:tcW w:w="0" w:type="auto"/>
            <w:vAlign w:val="center"/>
          </w:tcPr>
          <w:p w:rsidR="005F78FC" w:rsidRDefault="00B42EF3">
            <w:pPr>
              <w:pStyle w:val="TableBodyText"/>
            </w:pPr>
            <w:r>
              <w:t>“false”, “true”</w:t>
            </w:r>
          </w:p>
        </w:tc>
      </w:tr>
      <w:tr w:rsidR="005F78FC" w:rsidTr="005F78FC">
        <w:tc>
          <w:tcPr>
            <w:tcW w:w="0" w:type="auto"/>
            <w:vAlign w:val="center"/>
          </w:tcPr>
          <w:p w:rsidR="005F78FC" w:rsidRDefault="00B42EF3">
            <w:pPr>
              <w:pStyle w:val="TableBodyText"/>
            </w:pPr>
            <w:r>
              <w:t>fill.on</w:t>
            </w:r>
          </w:p>
        </w:tc>
        <w:tc>
          <w:tcPr>
            <w:tcW w:w="0" w:type="auto"/>
            <w:vAlign w:val="center"/>
          </w:tcPr>
          <w:p w:rsidR="005F78FC" w:rsidRDefault="00B42EF3">
            <w:pPr>
              <w:pStyle w:val="TableBodyText"/>
            </w:pPr>
            <w:r>
              <w:t>“false”, “f”, “t”, “true”</w:t>
            </w:r>
          </w:p>
        </w:tc>
      </w:tr>
      <w:tr w:rsidR="005F78FC" w:rsidTr="005F78FC">
        <w:tc>
          <w:tcPr>
            <w:tcW w:w="0" w:type="auto"/>
            <w:vAlign w:val="center"/>
          </w:tcPr>
          <w:p w:rsidR="005F78FC" w:rsidRDefault="00B42EF3">
            <w:pPr>
              <w:pStyle w:val="TableBodyText"/>
            </w:pPr>
            <w:r>
              <w:t>fill.type</w:t>
            </w:r>
          </w:p>
        </w:tc>
        <w:tc>
          <w:tcPr>
            <w:tcW w:w="0" w:type="auto"/>
            <w:vAlign w:val="center"/>
          </w:tcPr>
          <w:p w:rsidR="005F78FC" w:rsidRDefault="00B42EF3">
            <w:pPr>
              <w:pStyle w:val="TableBodyText"/>
            </w:pPr>
            <w:r>
              <w:t xml:space="preserve">“solid”, “pattern”, “tile”, “frame”, “gradientUnscaled”, “gradient”, </w:t>
            </w:r>
            <w:r>
              <w:t>“gradientCenter”, “gradientRadial”, “gradientTile”, “background”</w:t>
            </w:r>
          </w:p>
        </w:tc>
      </w:tr>
      <w:tr w:rsidR="005F78FC" w:rsidTr="005F78FC">
        <w:tc>
          <w:tcPr>
            <w:tcW w:w="0" w:type="auto"/>
            <w:vAlign w:val="center"/>
          </w:tcPr>
          <w:p w:rsidR="005F78FC" w:rsidRDefault="00B42EF3">
            <w:pPr>
              <w:pStyle w:val="TableBodyText"/>
            </w:pPr>
            <w:r>
              <w:lastRenderedPageBreak/>
              <w:t>fill.method</w:t>
            </w:r>
          </w:p>
        </w:tc>
        <w:tc>
          <w:tcPr>
            <w:tcW w:w="0" w:type="auto"/>
            <w:vAlign w:val="center"/>
          </w:tcPr>
          <w:p w:rsidR="005F78FC" w:rsidRDefault="00B42EF3">
            <w:pPr>
              <w:pStyle w:val="TableBodyText"/>
            </w:pPr>
            <w:r>
              <w:t>“none”, “linear”, “sigma”, “any”</w:t>
            </w:r>
          </w:p>
        </w:tc>
      </w:tr>
      <w:tr w:rsidR="005F78FC" w:rsidTr="005F78FC">
        <w:tc>
          <w:tcPr>
            <w:tcW w:w="0" w:type="auto"/>
            <w:vAlign w:val="center"/>
          </w:tcPr>
          <w:p w:rsidR="005F78FC" w:rsidRDefault="00B42EF3">
            <w:pPr>
              <w:pStyle w:val="TableBodyText"/>
            </w:pPr>
            <w:r>
              <w:t>stroke.on</w:t>
            </w:r>
          </w:p>
        </w:tc>
        <w:tc>
          <w:tcPr>
            <w:tcW w:w="0" w:type="auto"/>
            <w:vAlign w:val="center"/>
          </w:tcPr>
          <w:p w:rsidR="005F78FC" w:rsidRDefault="00B42EF3">
            <w:pPr>
              <w:pStyle w:val="TableBodyText"/>
            </w:pPr>
            <w:r>
              <w:t>“false”, “f”, “t”, “true”</w:t>
            </w:r>
          </w:p>
        </w:tc>
      </w:tr>
      <w:tr w:rsidR="005F78FC" w:rsidTr="005F78FC">
        <w:tc>
          <w:tcPr>
            <w:tcW w:w="0" w:type="auto"/>
            <w:vAlign w:val="center"/>
          </w:tcPr>
          <w:p w:rsidR="005F78FC" w:rsidRDefault="00B42EF3">
            <w:pPr>
              <w:pStyle w:val="TableBodyText"/>
            </w:pPr>
            <w:r>
              <w:t>stroke.linestyle</w:t>
            </w:r>
          </w:p>
        </w:tc>
        <w:tc>
          <w:tcPr>
            <w:tcW w:w="0" w:type="auto"/>
            <w:vAlign w:val="center"/>
          </w:tcPr>
          <w:p w:rsidR="005F78FC" w:rsidRDefault="00B42EF3">
            <w:pPr>
              <w:pStyle w:val="TableBodyText"/>
            </w:pPr>
            <w:r>
              <w:t>“single”, “thinThin”, “thinThick”, “thickThin”, “thickBetweenThin”</w:t>
            </w:r>
          </w:p>
        </w:tc>
      </w:tr>
      <w:tr w:rsidR="005F78FC" w:rsidTr="005F78FC">
        <w:tc>
          <w:tcPr>
            <w:tcW w:w="0" w:type="auto"/>
            <w:vAlign w:val="center"/>
          </w:tcPr>
          <w:p w:rsidR="005F78FC" w:rsidRDefault="00B42EF3">
            <w:pPr>
              <w:pStyle w:val="TableBodyText"/>
            </w:pPr>
            <w:r>
              <w:t>stroke.dashstyle</w:t>
            </w:r>
          </w:p>
        </w:tc>
        <w:tc>
          <w:tcPr>
            <w:tcW w:w="0" w:type="auto"/>
            <w:vAlign w:val="center"/>
          </w:tcPr>
          <w:p w:rsidR="005F78FC" w:rsidRDefault="00B42EF3">
            <w:pPr>
              <w:pStyle w:val="TableBodyText"/>
            </w:pPr>
            <w:r>
              <w:t>“solid”, “dot”, “dash”, “dashDot”, “longDash”, “longDashDot”, “longDashDotDot”</w:t>
            </w:r>
          </w:p>
        </w:tc>
      </w:tr>
      <w:tr w:rsidR="005F78FC" w:rsidTr="005F78FC">
        <w:tc>
          <w:tcPr>
            <w:tcW w:w="0" w:type="auto"/>
            <w:vAlign w:val="center"/>
          </w:tcPr>
          <w:p w:rsidR="005F78FC" w:rsidRDefault="00B42EF3">
            <w:pPr>
              <w:pStyle w:val="TableBodyText"/>
            </w:pPr>
            <w:r>
              <w:t>stroke.filltype</w:t>
            </w:r>
          </w:p>
        </w:tc>
        <w:tc>
          <w:tcPr>
            <w:tcW w:w="0" w:type="auto"/>
            <w:vAlign w:val="center"/>
          </w:tcPr>
          <w:p w:rsidR="005F78FC" w:rsidRDefault="00B42EF3">
            <w:pPr>
              <w:pStyle w:val="TableBodyText"/>
            </w:pPr>
            <w:r>
              <w:t>“solid”, “tile”, “pattern”, “frame”</w:t>
            </w:r>
          </w:p>
        </w:tc>
      </w:tr>
      <w:tr w:rsidR="005F78FC" w:rsidTr="005F78FC">
        <w:tc>
          <w:tcPr>
            <w:tcW w:w="0" w:type="auto"/>
            <w:vAlign w:val="center"/>
          </w:tcPr>
          <w:p w:rsidR="005F78FC" w:rsidRDefault="00B42EF3">
            <w:pPr>
              <w:pStyle w:val="TableBodyText"/>
            </w:pPr>
            <w:r>
              <w:t>stroke.startArrow</w:t>
            </w:r>
          </w:p>
        </w:tc>
        <w:tc>
          <w:tcPr>
            <w:tcW w:w="0" w:type="auto"/>
            <w:vAlign w:val="center"/>
          </w:tcPr>
          <w:p w:rsidR="005F78FC" w:rsidRDefault="00B42EF3">
            <w:pPr>
              <w:pStyle w:val="TableBodyText"/>
            </w:pPr>
            <w:r>
              <w:t>“none”, “block”, “classic”, “diamond”, “oval”, “open”, “chevron”, “doublechevron”</w:t>
            </w:r>
          </w:p>
        </w:tc>
      </w:tr>
      <w:tr w:rsidR="005F78FC" w:rsidTr="005F78FC">
        <w:tc>
          <w:tcPr>
            <w:tcW w:w="0" w:type="auto"/>
            <w:vAlign w:val="center"/>
          </w:tcPr>
          <w:p w:rsidR="005F78FC" w:rsidRDefault="00B42EF3">
            <w:pPr>
              <w:pStyle w:val="TableBodyText"/>
            </w:pPr>
            <w:r>
              <w:t>stroke.endArrow</w:t>
            </w:r>
          </w:p>
        </w:tc>
        <w:tc>
          <w:tcPr>
            <w:tcW w:w="0" w:type="auto"/>
            <w:vAlign w:val="center"/>
          </w:tcPr>
          <w:p w:rsidR="005F78FC" w:rsidRDefault="00B42EF3">
            <w:pPr>
              <w:pStyle w:val="TableBodyText"/>
            </w:pPr>
            <w:r>
              <w:t>“none”</w:t>
            </w:r>
            <w:r>
              <w:t>, “block”, “classic”, “diamond”, “oval”, “open”, “chevron”, “doublechevron”</w:t>
            </w:r>
          </w:p>
        </w:tc>
      </w:tr>
      <w:tr w:rsidR="005F78FC" w:rsidTr="005F78FC">
        <w:tc>
          <w:tcPr>
            <w:tcW w:w="0" w:type="auto"/>
            <w:vAlign w:val="center"/>
          </w:tcPr>
          <w:p w:rsidR="005F78FC" w:rsidRDefault="00B42EF3">
            <w:pPr>
              <w:pStyle w:val="TableBodyText"/>
            </w:pPr>
            <w:r>
              <w:t>stroke.startArrowWidth</w:t>
            </w:r>
          </w:p>
        </w:tc>
        <w:tc>
          <w:tcPr>
            <w:tcW w:w="0" w:type="auto"/>
            <w:vAlign w:val="center"/>
          </w:tcPr>
          <w:p w:rsidR="005F78FC" w:rsidRDefault="00B42EF3">
            <w:pPr>
              <w:pStyle w:val="TableBodyText"/>
            </w:pPr>
            <w:r>
              <w:t>“narrow”, “medium”, “wide”</w:t>
            </w:r>
          </w:p>
        </w:tc>
      </w:tr>
      <w:tr w:rsidR="005F78FC" w:rsidTr="005F78FC">
        <w:tc>
          <w:tcPr>
            <w:tcW w:w="0" w:type="auto"/>
            <w:vAlign w:val="center"/>
          </w:tcPr>
          <w:p w:rsidR="005F78FC" w:rsidRDefault="00B42EF3">
            <w:pPr>
              <w:pStyle w:val="TableBodyText"/>
            </w:pPr>
            <w:r>
              <w:t>stroke.startArrowLength</w:t>
            </w:r>
          </w:p>
        </w:tc>
        <w:tc>
          <w:tcPr>
            <w:tcW w:w="0" w:type="auto"/>
            <w:vAlign w:val="center"/>
          </w:tcPr>
          <w:p w:rsidR="005F78FC" w:rsidRDefault="00B42EF3">
            <w:pPr>
              <w:pStyle w:val="TableBodyText"/>
            </w:pPr>
            <w:r>
              <w:t>“short”, “medium”, “long”</w:t>
            </w:r>
          </w:p>
        </w:tc>
      </w:tr>
      <w:tr w:rsidR="005F78FC" w:rsidTr="005F78FC">
        <w:tc>
          <w:tcPr>
            <w:tcW w:w="0" w:type="auto"/>
            <w:vAlign w:val="center"/>
          </w:tcPr>
          <w:p w:rsidR="005F78FC" w:rsidRDefault="00B42EF3">
            <w:pPr>
              <w:pStyle w:val="TableBodyText"/>
            </w:pPr>
            <w:r>
              <w:t>stroke.endArrowWidth</w:t>
            </w:r>
          </w:p>
        </w:tc>
        <w:tc>
          <w:tcPr>
            <w:tcW w:w="0" w:type="auto"/>
            <w:vAlign w:val="center"/>
          </w:tcPr>
          <w:p w:rsidR="005F78FC" w:rsidRDefault="00B42EF3">
            <w:pPr>
              <w:pStyle w:val="TableBodyText"/>
            </w:pPr>
            <w:r>
              <w:t>“narrow”, “medium”, “wide”</w:t>
            </w:r>
          </w:p>
        </w:tc>
      </w:tr>
      <w:tr w:rsidR="005F78FC" w:rsidTr="005F78FC">
        <w:tc>
          <w:tcPr>
            <w:tcW w:w="0" w:type="auto"/>
            <w:vAlign w:val="center"/>
          </w:tcPr>
          <w:p w:rsidR="005F78FC" w:rsidRDefault="00B42EF3">
            <w:pPr>
              <w:pStyle w:val="TableBodyText"/>
            </w:pPr>
            <w:r>
              <w:t>stroke.endArrowLength</w:t>
            </w:r>
          </w:p>
        </w:tc>
        <w:tc>
          <w:tcPr>
            <w:tcW w:w="0" w:type="auto"/>
            <w:vAlign w:val="center"/>
          </w:tcPr>
          <w:p w:rsidR="005F78FC" w:rsidRDefault="00B42EF3">
            <w:pPr>
              <w:pStyle w:val="TableBodyText"/>
            </w:pPr>
            <w:r>
              <w:t>“short”, “medium”, “long”</w:t>
            </w:r>
          </w:p>
        </w:tc>
      </w:tr>
      <w:tr w:rsidR="005F78FC" w:rsidTr="005F78FC">
        <w:tc>
          <w:tcPr>
            <w:tcW w:w="0" w:type="auto"/>
            <w:vAlign w:val="center"/>
          </w:tcPr>
          <w:p w:rsidR="005F78FC" w:rsidRDefault="00B42EF3">
            <w:pPr>
              <w:pStyle w:val="TableBodyText"/>
            </w:pPr>
            <w:r>
              <w:t>shadow.on</w:t>
            </w:r>
          </w:p>
        </w:tc>
        <w:tc>
          <w:tcPr>
            <w:tcW w:w="0" w:type="auto"/>
            <w:vAlign w:val="center"/>
          </w:tcPr>
          <w:p w:rsidR="005F78FC" w:rsidRDefault="00B42EF3">
            <w:pPr>
              <w:pStyle w:val="TableBodyText"/>
            </w:pPr>
            <w:r>
              <w:t>“false”, “f”, “t”, “true”</w:t>
            </w:r>
          </w:p>
        </w:tc>
      </w:tr>
      <w:tr w:rsidR="005F78FC" w:rsidTr="005F78FC">
        <w:tc>
          <w:tcPr>
            <w:tcW w:w="0" w:type="auto"/>
            <w:vAlign w:val="center"/>
          </w:tcPr>
          <w:p w:rsidR="005F78FC" w:rsidRDefault="00B42EF3">
            <w:pPr>
              <w:pStyle w:val="TableBodyText"/>
            </w:pPr>
            <w:r>
              <w:t>shadow.type</w:t>
            </w:r>
          </w:p>
        </w:tc>
        <w:tc>
          <w:tcPr>
            <w:tcW w:w="0" w:type="auto"/>
            <w:vAlign w:val="center"/>
          </w:tcPr>
          <w:p w:rsidR="005F78FC" w:rsidRDefault="00B42EF3">
            <w:pPr>
              <w:pStyle w:val="TableBodyText"/>
            </w:pPr>
            <w:r>
              <w:t>“single”, “double”, “emboss”, “perspective”</w:t>
            </w:r>
          </w:p>
        </w:tc>
      </w:tr>
      <w:tr w:rsidR="005F78FC" w:rsidTr="005F78FC">
        <w:tc>
          <w:tcPr>
            <w:tcW w:w="0" w:type="auto"/>
            <w:vAlign w:val="center"/>
          </w:tcPr>
          <w:p w:rsidR="005F78FC" w:rsidRDefault="00B42EF3">
            <w:pPr>
              <w:pStyle w:val="TableBodyText"/>
            </w:pPr>
            <w:r>
              <w:t>skew.on</w:t>
            </w:r>
          </w:p>
        </w:tc>
        <w:tc>
          <w:tcPr>
            <w:tcW w:w="0" w:type="auto"/>
            <w:vAlign w:val="center"/>
          </w:tcPr>
          <w:p w:rsidR="005F78FC" w:rsidRDefault="00B42EF3">
            <w:pPr>
              <w:pStyle w:val="TableBodyText"/>
            </w:pPr>
            <w:r>
              <w:t>“false”, “f”, “t”, “true”</w:t>
            </w:r>
          </w:p>
        </w:tc>
      </w:tr>
      <w:tr w:rsidR="005F78FC" w:rsidTr="005F78FC">
        <w:tc>
          <w:tcPr>
            <w:tcW w:w="0" w:type="auto"/>
            <w:vAlign w:val="center"/>
          </w:tcPr>
          <w:p w:rsidR="005F78FC" w:rsidRDefault="00B42EF3">
            <w:pPr>
              <w:pStyle w:val="TableBodyText"/>
            </w:pPr>
            <w:r>
              <w:t>extrusion.on</w:t>
            </w:r>
          </w:p>
        </w:tc>
        <w:tc>
          <w:tcPr>
            <w:tcW w:w="0" w:type="auto"/>
            <w:vAlign w:val="center"/>
          </w:tcPr>
          <w:p w:rsidR="005F78FC" w:rsidRDefault="00B42EF3">
            <w:pPr>
              <w:pStyle w:val="TableBodyText"/>
            </w:pPr>
            <w:r>
              <w:t>“false”, “f”, “t”, “true”</w:t>
            </w:r>
          </w:p>
        </w:tc>
      </w:tr>
      <w:tr w:rsidR="005F78FC" w:rsidTr="005F78FC">
        <w:tc>
          <w:tcPr>
            <w:tcW w:w="0" w:type="auto"/>
            <w:vAlign w:val="center"/>
          </w:tcPr>
          <w:p w:rsidR="005F78FC" w:rsidRDefault="00B42EF3">
            <w:pPr>
              <w:pStyle w:val="TableBodyText"/>
            </w:pPr>
            <w:r>
              <w:t>extrusion.type</w:t>
            </w:r>
          </w:p>
        </w:tc>
        <w:tc>
          <w:tcPr>
            <w:tcW w:w="0" w:type="auto"/>
            <w:vAlign w:val="center"/>
          </w:tcPr>
          <w:p w:rsidR="005F78FC" w:rsidRDefault="00B42EF3">
            <w:pPr>
              <w:pStyle w:val="TableBodyText"/>
            </w:pPr>
            <w:r>
              <w:t>“parallel”, “perspective”</w:t>
            </w:r>
          </w:p>
        </w:tc>
      </w:tr>
      <w:tr w:rsidR="005F78FC" w:rsidTr="005F78FC">
        <w:tc>
          <w:tcPr>
            <w:tcW w:w="0" w:type="auto"/>
            <w:vAlign w:val="center"/>
          </w:tcPr>
          <w:p w:rsidR="005F78FC" w:rsidRDefault="00B42EF3">
            <w:pPr>
              <w:pStyle w:val="TableBodyText"/>
            </w:pPr>
            <w:r>
              <w:t>extrusion.render</w:t>
            </w:r>
          </w:p>
        </w:tc>
        <w:tc>
          <w:tcPr>
            <w:tcW w:w="0" w:type="auto"/>
            <w:vAlign w:val="center"/>
          </w:tcPr>
          <w:p w:rsidR="005F78FC" w:rsidRDefault="00B42EF3">
            <w:pPr>
              <w:pStyle w:val="TableBodyText"/>
            </w:pPr>
            <w:r>
              <w:t>“</w:t>
            </w:r>
            <w:r>
              <w:t>solid”, “wireframe”, “boundingcube”</w:t>
            </w:r>
          </w:p>
        </w:tc>
      </w:tr>
      <w:tr w:rsidR="005F78FC" w:rsidTr="005F78FC">
        <w:tc>
          <w:tcPr>
            <w:tcW w:w="0" w:type="auto"/>
            <w:vAlign w:val="center"/>
          </w:tcPr>
          <w:p w:rsidR="005F78FC" w:rsidRDefault="00B42EF3">
            <w:pPr>
              <w:pStyle w:val="TableBodyText"/>
            </w:pPr>
            <w:r>
              <w:t>extrusion.plane</w:t>
            </w:r>
          </w:p>
        </w:tc>
        <w:tc>
          <w:tcPr>
            <w:tcW w:w="0" w:type="auto"/>
            <w:vAlign w:val="center"/>
          </w:tcPr>
          <w:p w:rsidR="005F78FC" w:rsidRDefault="00B42EF3">
            <w:pPr>
              <w:pStyle w:val="TableBodyText"/>
            </w:pPr>
            <w:r>
              <w:t>“xy”, “zx”, “yz”</w:t>
            </w:r>
          </w:p>
        </w:tc>
      </w:tr>
      <w:tr w:rsidR="005F78FC" w:rsidTr="005F78FC">
        <w:tc>
          <w:tcPr>
            <w:tcW w:w="0" w:type="auto"/>
            <w:vAlign w:val="center"/>
          </w:tcPr>
          <w:p w:rsidR="005F78FC" w:rsidRDefault="00B42EF3">
            <w:pPr>
              <w:pStyle w:val="TableBodyText"/>
            </w:pPr>
            <w:r>
              <w:t>extrusion.lockrotationcenter</w:t>
            </w:r>
          </w:p>
        </w:tc>
        <w:tc>
          <w:tcPr>
            <w:tcW w:w="0" w:type="auto"/>
            <w:vAlign w:val="center"/>
          </w:tcPr>
          <w:p w:rsidR="005F78FC" w:rsidRDefault="00B42EF3">
            <w:pPr>
              <w:pStyle w:val="TableBodyText"/>
            </w:pPr>
            <w:r>
              <w:t>“false”, “true”</w:t>
            </w:r>
          </w:p>
        </w:tc>
      </w:tr>
      <w:tr w:rsidR="005F78FC" w:rsidTr="005F78FC">
        <w:tc>
          <w:tcPr>
            <w:tcW w:w="0" w:type="auto"/>
            <w:vAlign w:val="center"/>
          </w:tcPr>
          <w:p w:rsidR="005F78FC" w:rsidRDefault="00B42EF3">
            <w:pPr>
              <w:pStyle w:val="TableBodyText"/>
            </w:pPr>
            <w:r>
              <w:t>extrusion.autorotationcenter</w:t>
            </w:r>
          </w:p>
        </w:tc>
        <w:tc>
          <w:tcPr>
            <w:tcW w:w="0" w:type="auto"/>
            <w:vAlign w:val="center"/>
          </w:tcPr>
          <w:p w:rsidR="005F78FC" w:rsidRDefault="00B42EF3">
            <w:pPr>
              <w:pStyle w:val="TableBodyText"/>
            </w:pPr>
            <w:r>
              <w:t>“false”, “true”</w:t>
            </w:r>
          </w:p>
        </w:tc>
      </w:tr>
      <w:tr w:rsidR="005F78FC" w:rsidTr="005F78FC">
        <w:tc>
          <w:tcPr>
            <w:tcW w:w="0" w:type="auto"/>
            <w:vAlign w:val="center"/>
          </w:tcPr>
          <w:p w:rsidR="005F78FC" w:rsidRDefault="00B42EF3">
            <w:pPr>
              <w:pStyle w:val="TableBodyText"/>
            </w:pPr>
            <w:r>
              <w:t>extrusion.colormode</w:t>
            </w:r>
          </w:p>
        </w:tc>
        <w:tc>
          <w:tcPr>
            <w:tcW w:w="0" w:type="auto"/>
            <w:vAlign w:val="center"/>
          </w:tcPr>
          <w:p w:rsidR="005F78FC" w:rsidRDefault="00B42EF3">
            <w:pPr>
              <w:pStyle w:val="TableBodyText"/>
            </w:pPr>
            <w:r>
              <w:t>“false”, “true”</w:t>
            </w:r>
          </w:p>
        </w:tc>
      </w:tr>
    </w:tbl>
    <w:p w:rsidR="005F78FC" w:rsidRDefault="005F78FC"/>
    <w:p w:rsidR="005F78FC" w:rsidRDefault="00B42EF3">
      <w:pPr>
        <w:pStyle w:val="Definition-Field"/>
      </w:pPr>
      <w:r>
        <w:t xml:space="preserve">b.   </w:t>
      </w:r>
      <w:r>
        <w:rPr>
          <w:i/>
        </w:rPr>
        <w:t xml:space="preserve">The standard states that the to element specifies </w:t>
      </w:r>
      <w:r>
        <w:rPr>
          <w:i/>
        </w:rPr>
        <w:t>the attribute of the time node after the animation.</w:t>
      </w:r>
    </w:p>
    <w:p w:rsidR="005F78FC" w:rsidRDefault="00B42EF3">
      <w:r>
        <w:t>In PowerPoint, the child element strVal can be used as a string that represents a parenthesized formula whose format is described in the fmla attribute specified in the tav element ("[ISO/IEC-29500-1] §19</w:t>
      </w:r>
      <w:r>
        <w:t>.5.79; tav"). The format is specified as:</w:t>
      </w:r>
    </w:p>
    <w:p w:rsidR="005F78FC" w:rsidRDefault="00B42EF3">
      <w:r>
        <w:t>strFormula = '(' , formula , ')' ;</w:t>
      </w:r>
    </w:p>
    <w:p w:rsidR="005F78FC" w:rsidRDefault="00B42EF3">
      <w:r>
        <w:t>Where formula is a string formula specified as described within tav ("[ISO/IEC-29500-1] §19.5.79; tav").</w:t>
      </w:r>
    </w:p>
    <w:p w:rsidR="005F78FC" w:rsidRDefault="00B42EF3">
      <w:pPr>
        <w:pStyle w:val="Definition-Field"/>
      </w:pPr>
      <w:r>
        <w:t xml:space="preserve">c.   </w:t>
      </w:r>
      <w:r>
        <w:rPr>
          <w:i/>
        </w:rPr>
        <w:t xml:space="preserve">The standard states that the strVal child of the to element is used </w:t>
      </w:r>
      <w:r>
        <w:rPr>
          <w:i/>
        </w:rPr>
        <w:t>to specify an attribute that the animation applies to.</w:t>
      </w:r>
    </w:p>
    <w:p w:rsidR="005F78FC" w:rsidRDefault="00B42EF3">
      <w:r>
        <w:lastRenderedPageBreak/>
        <w:t>In PowerPoint, the child element strVal can be used to represent a real number. The number shall be either a decimal number (for example 2.0, -3.4e-5), a hexadecimal number (for example 0x4A.F, -0X5FE5</w:t>
      </w:r>
      <w:r>
        <w:t>), an octal number (for example 0o56.4e5, -0O.56), or a binary number (for example 10.01, -11.01e110). This real number format is also used to define color values, in which the percentage is a real number with a postfix ‘%’. The required format is specifie</w:t>
      </w:r>
      <w:r>
        <w:t>d as follows:</w:t>
      </w:r>
    </w:p>
    <w:p w:rsidR="005F78FC" w:rsidRDefault="00B42EF3">
      <w:r>
        <w:t>real_number = value;</w:t>
      </w:r>
    </w:p>
    <w:p w:rsidR="005F78FC" w:rsidRDefault="00B42EF3">
      <w:r>
        <w:t>percentage = value , ‘%’ ;</w:t>
      </w:r>
    </w:p>
    <w:p w:rsidR="005F78FC" w:rsidRDefault="00B42EF3">
      <w:r>
        <w:t>value = dec_value | oct_value | hex_value | bin_value ;</w:t>
      </w:r>
    </w:p>
    <w:p w:rsidR="005F78FC" w:rsidRDefault="00B42EF3">
      <w:r>
        <w:t>dec_value = dec_regular_value | dec_pure_floating ;</w:t>
      </w:r>
    </w:p>
    <w:p w:rsidR="005F78FC" w:rsidRDefault="00B42EF3">
      <w:r>
        <w:t xml:space="preserve">dec_regular_value = [ ‘-’ ] , dec_number , [  '.' ] , [ dec_number ] , [ dec_exponent </w:t>
      </w:r>
      <w:r>
        <w:t>] ;</w:t>
      </w:r>
    </w:p>
    <w:p w:rsidR="005F78FC" w:rsidRDefault="00B42EF3">
      <w:r>
        <w:t>dec_pure_float = [ ‘-‘ ] , ‘.’ , dec_number , [ dec_exponent ] ;</w:t>
      </w:r>
    </w:p>
    <w:p w:rsidR="005F78FC" w:rsidRDefault="00B42EF3">
      <w:r>
        <w:t>oct_value = oct_regular_value | oct_pure_floating ;</w:t>
      </w:r>
    </w:p>
    <w:p w:rsidR="005F78FC" w:rsidRDefault="00B42EF3">
      <w:r>
        <w:t>oct_regular_value = [ ‘-’ ] , oct_number , [ ‘.’ ] , [ oct_number ] , [ oct_exponent ] ;</w:t>
      </w:r>
    </w:p>
    <w:p w:rsidR="005F78FC" w:rsidRDefault="00B42EF3">
      <w:r>
        <w:t>oct_pure_floating = [ ‘-‘ ] , ‘.’ , oct_number</w:t>
      </w:r>
      <w:r>
        <w:t xml:space="preserve"> , [ oct_exponent ] ;</w:t>
      </w:r>
    </w:p>
    <w:p w:rsidR="005F78FC" w:rsidRDefault="00B42EF3">
      <w:r>
        <w:t>hex_value = hex_regular_value | hex_pure_floating ;</w:t>
      </w:r>
    </w:p>
    <w:p w:rsidR="005F78FC" w:rsidRDefault="00B42EF3">
      <w:r>
        <w:t xml:space="preserve">hex_regular_value = [ ‘-’ ] , hex_number , [ ‘.’ ] , [ hex_number ] </w:t>
      </w:r>
    </w:p>
    <w:p w:rsidR="005F78FC" w:rsidRDefault="00B42EF3">
      <w:r>
        <w:t>hex_pure_floating = [ ‘-‘ ] , ‘.’ , hex_number;</w:t>
      </w:r>
    </w:p>
    <w:p w:rsidR="005F78FC" w:rsidRDefault="00B42EF3">
      <w:r>
        <w:t>bin_value = bin_regular_value | bin_pure_floating ;</w:t>
      </w:r>
    </w:p>
    <w:p w:rsidR="005F78FC" w:rsidRDefault="00B42EF3">
      <w:r>
        <w:t>bin_regular_value = [ ‘-’ ] , bin_number , [ ‘.’ ] , [ bin_number ] , [ bin_exponent ] ;</w:t>
      </w:r>
    </w:p>
    <w:p w:rsidR="005F78FC" w:rsidRDefault="00B42EF3">
      <w:r>
        <w:t>bin_pure_floating = [ ‘-‘ ] , ‘.’ , bin_number , [ bin_exponent ] ;</w:t>
      </w:r>
    </w:p>
    <w:p w:rsidR="005F78FC" w:rsidRDefault="00B42EF3">
      <w:r>
        <w:t>DecDigit    = '0' | '1' | ‘2’ | ‘3’ | ‘4’ | ‘5’ | ‘6’ | ‘7’ | ‘8’ | '9' ;</w:t>
      </w:r>
    </w:p>
    <w:p w:rsidR="005F78FC" w:rsidRDefault="00B42EF3">
      <w:r>
        <w:t>OctDigit    = '0' | '1' |</w:t>
      </w:r>
      <w:r>
        <w:t xml:space="preserve"> ‘2’ | ‘3’ | ‘4’ | ‘5’ | ‘6’ | ‘7’;</w:t>
      </w:r>
    </w:p>
    <w:p w:rsidR="005F78FC" w:rsidRDefault="00B42EF3">
      <w:r>
        <w:t>HexDigit    = '0' | '1' | ‘2’ | ‘3’ | ‘4’ | ‘5’ | ‘6’ | ‘7’ | ‘8’ | '9' | ‘A’ | ‘a’ | ‘B’ | ‘b’ | ‘C’ | ‘c’ | ‘D’ | ‘d’ | ‘E’ | ‘e’ | ‘F’ | ‘f’ ;</w:t>
      </w:r>
    </w:p>
    <w:p w:rsidR="005F78FC" w:rsidRDefault="00B42EF3">
      <w:r>
        <w:t>BinDigit = ‘0’ | ‘1’ ;</w:t>
      </w:r>
    </w:p>
    <w:p w:rsidR="005F78FC" w:rsidRDefault="00B42EF3">
      <w:r>
        <w:t>dec_number   = Digit , { Digit } ;</w:t>
      </w:r>
    </w:p>
    <w:p w:rsidR="005F78FC" w:rsidRDefault="00B42EF3">
      <w:r>
        <w:t>oct_number = ‘0’</w:t>
      </w:r>
      <w:r>
        <w:t xml:space="preserve"> , ( ‘o’ | ‘O’ ) , OctDigit , { OctDigit } ;</w:t>
      </w:r>
    </w:p>
    <w:p w:rsidR="005F78FC" w:rsidRDefault="00B42EF3">
      <w:r>
        <w:t>hex_number = ‘0’ , (‘x’ | ‘X’ ), HexDigit , { HexDigit } ;</w:t>
      </w:r>
    </w:p>
    <w:p w:rsidR="005F78FC" w:rsidRDefault="00B42EF3">
      <w:r>
        <w:t>bin_number = ‘0’ , (‘b’ | ‘B’ ) , BinDigit , { BinDigit } ;</w:t>
      </w:r>
    </w:p>
    <w:p w:rsidR="005F78FC" w:rsidRDefault="00B42EF3">
      <w:r>
        <w:t>dec_exponent = [ '-' ] , ( 'e' | 'E' ) , dec_number ;</w:t>
      </w:r>
    </w:p>
    <w:p w:rsidR="005F78FC" w:rsidRDefault="00B42EF3">
      <w:r>
        <w:t>oct_exponent = [ '-' ] , ( 'e' | 'E' )</w:t>
      </w:r>
      <w:r>
        <w:t xml:space="preserve"> , oct_number ;</w:t>
      </w:r>
    </w:p>
    <w:p w:rsidR="005F78FC" w:rsidRDefault="00B42EF3">
      <w:r>
        <w:t>bin_exponent = [ '-' ] , ( 'e' | 'E' ) , bin_number ;</w:t>
      </w:r>
    </w:p>
    <w:p w:rsidR="005F78FC" w:rsidRDefault="00B42EF3">
      <w:pPr>
        <w:pStyle w:val="Definition-Field"/>
      </w:pPr>
      <w:r>
        <w:t xml:space="preserve">d.   </w:t>
      </w:r>
      <w:r>
        <w:rPr>
          <w:i/>
        </w:rPr>
        <w:t>The standard states that the strVal child of the to element is used to specify an attribute that the animation applies to.</w:t>
      </w:r>
    </w:p>
    <w:p w:rsidR="005F78FC" w:rsidRDefault="00B42EF3">
      <w:r>
        <w:t>In PowerPoint, the child element strVal can be used to rep</w:t>
      </w:r>
      <w:r>
        <w:t>resent a color as follows:</w:t>
      </w:r>
    </w:p>
    <w:p w:rsidR="005F78FC" w:rsidRDefault="00B42EF3">
      <w:pPr>
        <w:pStyle w:val="ListParagraph"/>
        <w:numPr>
          <w:ilvl w:val="0"/>
          <w:numId w:val="130"/>
        </w:numPr>
        <w:contextualSpacing/>
      </w:pPr>
      <w:r>
        <w:lastRenderedPageBreak/>
        <w:t>rgb(</w:t>
      </w:r>
      <w:r>
        <w:rPr>
          <w:i/>
        </w:rPr>
        <w:t>r_value</w:t>
      </w:r>
      <w:r>
        <w:t xml:space="preserve">, </w:t>
      </w:r>
      <w:r>
        <w:rPr>
          <w:i/>
        </w:rPr>
        <w:t>g_value</w:t>
      </w:r>
      <w:r>
        <w:t xml:space="preserve">, </w:t>
      </w:r>
      <w:r>
        <w:rPr>
          <w:i/>
        </w:rPr>
        <w:t>b_value</w:t>
      </w:r>
      <w:r>
        <w:t xml:space="preserve">). </w:t>
      </w:r>
      <w:r>
        <w:rPr>
          <w:i/>
        </w:rPr>
        <w:t>r_value</w:t>
      </w:r>
      <w:r>
        <w:t xml:space="preserve">, </w:t>
      </w:r>
      <w:r>
        <w:rPr>
          <w:i/>
        </w:rPr>
        <w:t>g_value</w:t>
      </w:r>
      <w:r>
        <w:t xml:space="preserve">, and </w:t>
      </w:r>
      <w:r>
        <w:rPr>
          <w:i/>
        </w:rPr>
        <w:t>b_value</w:t>
      </w:r>
      <w:r>
        <w:t xml:space="preserve"> are values for red, green, and blue spectrum, respectively. The values are either real numbers or percentages. For example, “rgb(255, 0, 0)” and “rgb(100%, 0, 0)” both</w:t>
      </w:r>
      <w:r>
        <w:t xml:space="preserve"> defines a red color.</w:t>
      </w:r>
    </w:p>
    <w:p w:rsidR="005F78FC" w:rsidRDefault="00B42EF3">
      <w:pPr>
        <w:pStyle w:val="ListParagraph"/>
        <w:numPr>
          <w:ilvl w:val="0"/>
          <w:numId w:val="130"/>
        </w:numPr>
        <w:contextualSpacing/>
      </w:pPr>
      <w:r>
        <w:t>rgb</w:t>
      </w:r>
      <w:r>
        <w:rPr>
          <w:i/>
        </w:rPr>
        <w:t>(r_value</w:t>
      </w:r>
      <w:r>
        <w:t>,</w:t>
      </w:r>
      <w:r>
        <w:rPr>
          <w:i/>
        </w:rPr>
        <w:t xml:space="preserve"> g_value</w:t>
      </w:r>
      <w:r>
        <w:t>,</w:t>
      </w:r>
      <w:r>
        <w:rPr>
          <w:i/>
        </w:rPr>
        <w:t xml:space="preserve"> b_value</w:t>
      </w:r>
      <w:r>
        <w:t>,</w:t>
      </w:r>
      <w:r>
        <w:rPr>
          <w:i/>
        </w:rPr>
        <w:t xml:space="preserve"> a_value</w:t>
      </w:r>
      <w:r>
        <w:t>).</w:t>
      </w:r>
      <w:r>
        <w:rPr>
          <w:i/>
        </w:rPr>
        <w:t xml:space="preserve"> r_value</w:t>
      </w:r>
      <w:r>
        <w:t>,</w:t>
      </w:r>
      <w:r>
        <w:rPr>
          <w:i/>
        </w:rPr>
        <w:t xml:space="preserve"> g_value</w:t>
      </w:r>
      <w:r>
        <w:t>,</w:t>
      </w:r>
      <w:r>
        <w:rPr>
          <w:i/>
        </w:rPr>
        <w:t xml:space="preserve"> b_value</w:t>
      </w:r>
      <w:r>
        <w:t>, and</w:t>
      </w:r>
      <w:r>
        <w:rPr>
          <w:i/>
        </w:rPr>
        <w:t xml:space="preserve"> a_value</w:t>
      </w:r>
      <w:r>
        <w:t xml:space="preserve"> are values for red, green, blue, and alpha spectrum, respectively. The values are either real numbers or percentages. For example, “rgb(255, 0, 0, 255)” a</w:t>
      </w:r>
      <w:r>
        <w:t>nd “rgb(100%, 0, 0, 100%)” are red with a full opacity.</w:t>
      </w:r>
    </w:p>
    <w:p w:rsidR="005F78FC" w:rsidRDefault="00B42EF3">
      <w:pPr>
        <w:pStyle w:val="ListParagraph"/>
        <w:numPr>
          <w:ilvl w:val="0"/>
          <w:numId w:val="130"/>
        </w:numPr>
        <w:contextualSpacing/>
      </w:pPr>
      <w:r>
        <w:t>hsl(</w:t>
      </w:r>
      <w:r>
        <w:rPr>
          <w:i/>
        </w:rPr>
        <w:t>h_value</w:t>
      </w:r>
      <w:r>
        <w:t xml:space="preserve">, </w:t>
      </w:r>
      <w:r>
        <w:rPr>
          <w:i/>
        </w:rPr>
        <w:t>s_value</w:t>
      </w:r>
      <w:r>
        <w:t xml:space="preserve">, </w:t>
      </w:r>
      <w:r>
        <w:rPr>
          <w:i/>
        </w:rPr>
        <w:t>l_value</w:t>
      </w:r>
      <w:r>
        <w:t xml:space="preserve">). </w:t>
      </w:r>
      <w:r>
        <w:rPr>
          <w:i/>
        </w:rPr>
        <w:t>h_value</w:t>
      </w:r>
      <w:r>
        <w:t xml:space="preserve">, </w:t>
      </w:r>
      <w:r>
        <w:rPr>
          <w:i/>
        </w:rPr>
        <w:t>s_value</w:t>
      </w:r>
      <w:r>
        <w:t xml:space="preserve">, and </w:t>
      </w:r>
      <w:r>
        <w:rPr>
          <w:i/>
        </w:rPr>
        <w:t>l_value</w:t>
      </w:r>
      <w:r>
        <w:t xml:space="preserve"> are values for hue, saturation, and lightness, respectively. The values are either real numbers or percentages. For example, “hsl(0, 255, 127.5)” and “hsl(0,100%, 50%)” are red, equivalent to “rgb(255, 0, 0)”. </w:t>
      </w:r>
    </w:p>
    <w:p w:rsidR="005F78FC" w:rsidRDefault="00B42EF3">
      <w:pPr>
        <w:pStyle w:val="ListParagraph"/>
        <w:numPr>
          <w:ilvl w:val="0"/>
          <w:numId w:val="130"/>
        </w:numPr>
        <w:contextualSpacing/>
      </w:pPr>
      <w:r>
        <w:t>hsl(</w:t>
      </w:r>
      <w:r>
        <w:rPr>
          <w:i/>
        </w:rPr>
        <w:t>h_value</w:t>
      </w:r>
      <w:r>
        <w:t xml:space="preserve">, </w:t>
      </w:r>
      <w:r>
        <w:rPr>
          <w:i/>
        </w:rPr>
        <w:t>s_value</w:t>
      </w:r>
      <w:r>
        <w:t xml:space="preserve">, </w:t>
      </w:r>
      <w:r>
        <w:rPr>
          <w:i/>
        </w:rPr>
        <w:t>l_value, a_value</w:t>
      </w:r>
      <w:r>
        <w:t xml:space="preserve">). </w:t>
      </w:r>
      <w:r>
        <w:rPr>
          <w:i/>
        </w:rPr>
        <w:t>h_v</w:t>
      </w:r>
      <w:r>
        <w:rPr>
          <w:i/>
        </w:rPr>
        <w:t>alue</w:t>
      </w:r>
      <w:r>
        <w:t xml:space="preserve">, </w:t>
      </w:r>
      <w:r>
        <w:rPr>
          <w:i/>
        </w:rPr>
        <w:t>s_value</w:t>
      </w:r>
      <w:r>
        <w:t xml:space="preserve">, </w:t>
      </w:r>
      <w:r>
        <w:rPr>
          <w:i/>
        </w:rPr>
        <w:t xml:space="preserve">l_value, and a_value </w:t>
      </w:r>
      <w:r>
        <w:t>are values for hue, saturation, lightness, and alpha, respectively. The values are either real numbers or percentages. For example, “hsl(0, 255, 127.5, 255)” and “hsl(0,100%, 50%, 100%)” are red with a full opacity, equi</w:t>
      </w:r>
      <w:r>
        <w:t>valent to “rgb(255, 0, 0, 255)”.</w:t>
      </w:r>
    </w:p>
    <w:p w:rsidR="005F78FC" w:rsidRDefault="00B42EF3">
      <w:pPr>
        <w:pStyle w:val="ListParagraph"/>
        <w:numPr>
          <w:ilvl w:val="0"/>
          <w:numId w:val="130"/>
        </w:numPr>
        <w:contextualSpacing/>
      </w:pPr>
      <w:r>
        <w:t>#</w:t>
      </w:r>
      <w:r>
        <w:rPr>
          <w:i/>
        </w:rPr>
        <w:t>rrggbb. rr</w:t>
      </w:r>
      <w:r>
        <w:t xml:space="preserve">, </w:t>
      </w:r>
      <w:r>
        <w:rPr>
          <w:i/>
        </w:rPr>
        <w:t>gg</w:t>
      </w:r>
      <w:r>
        <w:t xml:space="preserve">, and </w:t>
      </w:r>
      <w:r>
        <w:rPr>
          <w:i/>
        </w:rPr>
        <w:t xml:space="preserve">bb </w:t>
      </w:r>
      <w:r>
        <w:t>are hexadecimal values for red, green, and blue spectrum, respectively. For example, “#FF0000” is red, equivalent to “rgb(255, 0, 0)”.</w:t>
      </w:r>
    </w:p>
    <w:p w:rsidR="005F78FC" w:rsidRDefault="00B42EF3">
      <w:pPr>
        <w:pStyle w:val="ListParagraph"/>
        <w:numPr>
          <w:ilvl w:val="0"/>
          <w:numId w:val="130"/>
        </w:numPr>
        <w:contextualSpacing/>
      </w:pPr>
      <w:r>
        <w:t>#</w:t>
      </w:r>
      <w:r>
        <w:rPr>
          <w:i/>
        </w:rPr>
        <w:t>aarrggbb.aa, rr</w:t>
      </w:r>
      <w:r>
        <w:t xml:space="preserve">, </w:t>
      </w:r>
      <w:r>
        <w:rPr>
          <w:i/>
        </w:rPr>
        <w:t>gg</w:t>
      </w:r>
      <w:r>
        <w:t xml:space="preserve">, and </w:t>
      </w:r>
      <w:r>
        <w:rPr>
          <w:i/>
        </w:rPr>
        <w:t xml:space="preserve">bb </w:t>
      </w:r>
      <w:r>
        <w:t>are hexadecimal values for alpha, r</w:t>
      </w:r>
      <w:r>
        <w:t>ed, green, and blue spectrum, respectively. For example, “#FFFF0000” is red with a full opacity, equivalent to “rgb(255, 0, 0, 255)”.</w:t>
      </w:r>
    </w:p>
    <w:p w:rsidR="005F78FC" w:rsidRDefault="00B42EF3">
      <w:pPr>
        <w:pStyle w:val="ListParagraph"/>
        <w:numPr>
          <w:ilvl w:val="0"/>
          <w:numId w:val="130"/>
        </w:numPr>
        <w:contextualSpacing/>
      </w:pPr>
      <w:r>
        <w:t>#</w:t>
      </w:r>
      <w:r>
        <w:rPr>
          <w:i/>
        </w:rPr>
        <w:t>rgb. r</w:t>
      </w:r>
      <w:r>
        <w:t xml:space="preserve">, </w:t>
      </w:r>
      <w:r>
        <w:rPr>
          <w:i/>
        </w:rPr>
        <w:t>g</w:t>
      </w:r>
      <w:r>
        <w:t xml:space="preserve">, and </w:t>
      </w:r>
      <w:r>
        <w:rPr>
          <w:i/>
        </w:rPr>
        <w:t xml:space="preserve">b </w:t>
      </w:r>
      <w:r>
        <w:t>are hexadecimal values for red, green, and blue spectrum, respectively. It is equivalent to #</w:t>
      </w:r>
      <w:r>
        <w:rPr>
          <w:i/>
        </w:rPr>
        <w:t>r</w:t>
      </w:r>
      <w:r>
        <w:t>0</w:t>
      </w:r>
      <w:r>
        <w:rPr>
          <w:i/>
        </w:rPr>
        <w:t>g</w:t>
      </w:r>
      <w:r>
        <w:t>0</w:t>
      </w:r>
      <w:r>
        <w:rPr>
          <w:i/>
        </w:rPr>
        <w:t>b</w:t>
      </w:r>
      <w:r>
        <w:t>0. For</w:t>
      </w:r>
      <w:r>
        <w:t xml:space="preserve"> example, “#F00” is equal to “#F00000”.</w:t>
      </w:r>
    </w:p>
    <w:p w:rsidR="005F78FC" w:rsidRDefault="00B42EF3">
      <w:pPr>
        <w:pStyle w:val="ListParagraph"/>
        <w:numPr>
          <w:ilvl w:val="0"/>
          <w:numId w:val="130"/>
        </w:numPr>
      </w:pPr>
      <w:r>
        <w:t>#</w:t>
      </w:r>
      <w:r>
        <w:rPr>
          <w:i/>
        </w:rPr>
        <w:t>argb.a, r</w:t>
      </w:r>
      <w:r>
        <w:t xml:space="preserve">, </w:t>
      </w:r>
      <w:r>
        <w:rPr>
          <w:i/>
        </w:rPr>
        <w:t>g</w:t>
      </w:r>
      <w:r>
        <w:t xml:space="preserve">, and </w:t>
      </w:r>
      <w:r>
        <w:rPr>
          <w:i/>
        </w:rPr>
        <w:t xml:space="preserve">b </w:t>
      </w:r>
      <w:r>
        <w:t>are hexadecimal values for alpha, red, green, and blue spectrum, respectively. It is equivalent to #</w:t>
      </w:r>
      <w:r>
        <w:rPr>
          <w:i/>
        </w:rPr>
        <w:t xml:space="preserve"> a</w:t>
      </w:r>
      <w:r>
        <w:t>0</w:t>
      </w:r>
      <w:r>
        <w:rPr>
          <w:i/>
        </w:rPr>
        <w:t>r</w:t>
      </w:r>
      <w:r>
        <w:t>0</w:t>
      </w:r>
      <w:r>
        <w:rPr>
          <w:i/>
        </w:rPr>
        <w:t>g</w:t>
      </w:r>
      <w:r>
        <w:t>0</w:t>
      </w:r>
      <w:r>
        <w:rPr>
          <w:i/>
        </w:rPr>
        <w:t>b</w:t>
      </w:r>
      <w:r>
        <w:t>0</w:t>
      </w:r>
      <w:r>
        <w:rPr>
          <w:i/>
        </w:rPr>
        <w:t>.</w:t>
      </w:r>
      <w:r>
        <w:t xml:space="preserve"> For example, “#F00F” is equal to “#F00000F0”.</w:t>
      </w:r>
    </w:p>
    <w:p w:rsidR="005F78FC" w:rsidRDefault="00B42EF3">
      <w:pPr>
        <w:pStyle w:val="Heading3"/>
      </w:pPr>
      <w:bookmarkStart w:id="2386" w:name="section_337d872bb42b499797c5d4dc16ad8be1"/>
      <w:bookmarkStart w:id="2387" w:name="_Toc69878966"/>
      <w:r>
        <w:t>Part 1 Section 19.5.90, to (To)</w:t>
      </w:r>
      <w:bookmarkEnd w:id="2386"/>
      <w:bookmarkEnd w:id="2387"/>
      <w:r>
        <w:fldChar w:fldCharType="begin"/>
      </w:r>
      <w:r>
        <w:instrText xml:space="preserve"> XE "to (To)" </w:instrText>
      </w:r>
      <w:r>
        <w:fldChar w:fldCharType="end"/>
      </w:r>
    </w:p>
    <w:p w:rsidR="005F78FC" w:rsidRDefault="00B42EF3">
      <w:pPr>
        <w:pStyle w:val="Definition-Field"/>
      </w:pPr>
      <w:r>
        <w:t xml:space="preserve">a.   </w:t>
      </w:r>
      <w:r>
        <w:rPr>
          <w:i/>
        </w:rPr>
        <w:t>The standard does not place any restrictions on the color values used when the schemeClr element is a child of the to element.</w:t>
      </w:r>
    </w:p>
    <w:p w:rsidR="005F78FC" w:rsidRDefault="00B42EF3">
      <w:pPr>
        <w:pStyle w:val="Definition-Field2"/>
      </w:pPr>
      <w:r>
        <w:t xml:space="preserve">PowerPoint requires that the color values dk1, lt1, dk2, lt2, accent3, accent4, accent5, accent6 and phClr </w:t>
      </w:r>
      <w:r>
        <w:t>not be used when the schemeClr element is a child of the to element.</w:t>
      </w:r>
    </w:p>
    <w:p w:rsidR="005F78FC" w:rsidRDefault="00B42EF3">
      <w:pPr>
        <w:pStyle w:val="Heading3"/>
      </w:pPr>
      <w:bookmarkStart w:id="2388" w:name="section_110dbdf46d964994b9fa225ee0508cc3"/>
      <w:bookmarkStart w:id="2389" w:name="_Toc69878967"/>
      <w:r>
        <w:t>Part 1 Section 19.5.93, video (Video)</w:t>
      </w:r>
      <w:bookmarkEnd w:id="2388"/>
      <w:bookmarkEnd w:id="2389"/>
      <w:r>
        <w:fldChar w:fldCharType="begin"/>
      </w:r>
      <w:r>
        <w:instrText xml:space="preserve"> XE "video (Video)"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5F78FC" w:rsidRDefault="00B42EF3">
      <w:pPr>
        <w:pStyle w:val="Heading3"/>
      </w:pPr>
      <w:bookmarkStart w:id="2390" w:name="section_dba18dddef3f4ab38018e39a39c92f45"/>
      <w:bookmarkStart w:id="2391" w:name="_Toc69878968"/>
      <w:r>
        <w:t>Part 1 Section 19.5.95, wheel (Wheel Slide Transition)</w:t>
      </w:r>
      <w:bookmarkEnd w:id="2390"/>
      <w:bookmarkEnd w:id="2391"/>
      <w:r>
        <w:fldChar w:fldCharType="begin"/>
      </w:r>
      <w:r>
        <w:instrText xml:space="preserve"> XE "wheel (Wheel Slide Transition)" </w:instrText>
      </w:r>
      <w:r>
        <w:fldChar w:fldCharType="end"/>
      </w:r>
    </w:p>
    <w:p w:rsidR="005F78FC" w:rsidRDefault="00B42EF3">
      <w:pPr>
        <w:pStyle w:val="Definition-Field"/>
      </w:pPr>
      <w:r>
        <w:t xml:space="preserve">a.   </w:t>
      </w:r>
      <w:r>
        <w:rPr>
          <w:i/>
        </w:rPr>
        <w:t>The standard states that the values of the spokes attribute are defined by the XML Schema unsignedInt datatype.</w:t>
      </w:r>
    </w:p>
    <w:p w:rsidR="005F78FC" w:rsidRDefault="00B42EF3">
      <w:pPr>
        <w:pStyle w:val="Definition-Field2"/>
      </w:pPr>
      <w:r>
        <w:t>PowerPoint maps values other than 1, 2, 3, 4, and 8 to the nearest supported value.</w:t>
      </w:r>
    </w:p>
    <w:p w:rsidR="005F78FC" w:rsidRDefault="00B42EF3">
      <w:pPr>
        <w:pStyle w:val="Heading3"/>
      </w:pPr>
      <w:bookmarkStart w:id="2392" w:name="section_a6e7bb555213462cbced2b1225810888"/>
      <w:bookmarkStart w:id="2393" w:name="_Toc69878969"/>
      <w:r>
        <w:t>Part 1 Section 19.7.7, ST_PhotoAlbumFrameShape (Photo Album Shape for Photo Mask)</w:t>
      </w:r>
      <w:bookmarkEnd w:id="2392"/>
      <w:bookmarkEnd w:id="2393"/>
      <w:r>
        <w:fldChar w:fldCharType="begin"/>
      </w:r>
      <w:r>
        <w:instrText xml:space="preserve"> XE "ST_PhotoAlbumFrameShape (Photo Album Shape for Photo Mask)" </w:instrText>
      </w:r>
      <w:r>
        <w:fldChar w:fldCharType="end"/>
      </w:r>
    </w:p>
    <w:p w:rsidR="005F78FC" w:rsidRDefault="00B42EF3">
      <w:pPr>
        <w:pStyle w:val="Definition-Field"/>
      </w:pPr>
      <w:r>
        <w:t xml:space="preserve">a.   </w:t>
      </w:r>
      <w:r>
        <w:rPr>
          <w:i/>
        </w:rPr>
        <w:t>The standard only</w:t>
      </w:r>
      <w:r>
        <w:rPr>
          <w:i/>
        </w:rPr>
        <w:t xml:space="preserve"> documents one description per enumeration value.</w:t>
      </w:r>
    </w:p>
    <w:p w:rsidR="005F78FC" w:rsidRDefault="00B42EF3">
      <w:r>
        <w:t>Each enumeration value has two possible meanings which will be referred to as “Legacy” and “Standard” in the description section.</w:t>
      </w:r>
    </w:p>
    <w:p w:rsidR="005F78FC" w:rsidRDefault="00B42EF3">
      <w:r>
        <w:t>Legacy: If the application detects one or more shapes with a blipfill and is</w:t>
      </w:r>
      <w:r>
        <w:t>Photo set to true within the non-visual properties for that shape, then the legacy meanings of each enumeration shall be implied.</w:t>
      </w:r>
    </w:p>
    <w:p w:rsidR="005F78FC" w:rsidRDefault="00B42EF3">
      <w:r>
        <w:t>Standard: For all other cases, the standard meaning shall be implied.</w:t>
      </w:r>
    </w:p>
    <w:p w:rsidR="005F78FC" w:rsidRDefault="00B42EF3">
      <w:r>
        <w:lastRenderedPageBreak/>
        <w:t>[</w:t>
      </w:r>
      <w:r>
        <w:rPr>
          <w:i/>
        </w:rPr>
        <w:t>Example:</w:t>
      </w:r>
      <w:r>
        <w:t xml:space="preserve"> Consider the shape that has a blip fill applie</w:t>
      </w:r>
      <w:r>
        <w:t>d to it and isPhoto set to true.</w:t>
      </w:r>
    </w:p>
    <w:p w:rsidR="005F78FC" w:rsidRDefault="00B42EF3">
      <w:pPr>
        <w:pStyle w:val="Code"/>
      </w:pPr>
      <w:r>
        <w:t>&lt;p:sp&gt;</w:t>
      </w:r>
    </w:p>
    <w:p w:rsidR="005F78FC" w:rsidRDefault="00B42EF3">
      <w:pPr>
        <w:pStyle w:val="Code"/>
      </w:pPr>
      <w:r>
        <w:t>&lt;p:nvSpPr&gt;</w:t>
      </w:r>
    </w:p>
    <w:p w:rsidR="005F78FC" w:rsidRDefault="00B42EF3">
      <w:pPr>
        <w:pStyle w:val="Code"/>
      </w:pPr>
      <w:r>
        <w:t>..</w:t>
      </w:r>
    </w:p>
    <w:p w:rsidR="005F78FC" w:rsidRDefault="00B42EF3">
      <w:pPr>
        <w:pStyle w:val="Code"/>
      </w:pPr>
      <w:r>
        <w:t>&lt;p:nvPr isPhoto="1"/&gt;</w:t>
      </w:r>
    </w:p>
    <w:p w:rsidR="005F78FC" w:rsidRDefault="00B42EF3">
      <w:pPr>
        <w:pStyle w:val="Code"/>
      </w:pPr>
      <w:r>
        <w:t>&lt;/p:nvSpPr&gt;</w:t>
      </w:r>
    </w:p>
    <w:p w:rsidR="005F78FC" w:rsidRDefault="00B42EF3">
      <w:pPr>
        <w:pStyle w:val="Code"/>
      </w:pPr>
      <w:r>
        <w:t>&lt;p:spPr bwMode="auto"&gt;</w:t>
      </w:r>
    </w:p>
    <w:p w:rsidR="005F78FC" w:rsidRDefault="00B42EF3">
      <w:pPr>
        <w:pStyle w:val="Code"/>
      </w:pPr>
      <w:r>
        <w:t>&lt;a:blipFill dpi="0" rotWithShape="1"&gt;</w:t>
      </w:r>
    </w:p>
    <w:p w:rsidR="005F78FC" w:rsidRDefault="00B42EF3">
      <w:pPr>
        <w:pStyle w:val="Code"/>
      </w:pPr>
      <w:r>
        <w:t xml:space="preserve">      ..</w:t>
      </w:r>
    </w:p>
    <w:p w:rsidR="005F78FC" w:rsidRDefault="00B42EF3">
      <w:pPr>
        <w:pStyle w:val="Code"/>
      </w:pPr>
      <w:r>
        <w:t>&lt;/a:blipFill&gt;</w:t>
      </w:r>
    </w:p>
    <w:p w:rsidR="005F78FC" w:rsidRDefault="00B42EF3">
      <w:pPr>
        <w:pStyle w:val="Code"/>
      </w:pPr>
      <w:r>
        <w:t>&lt;/p:spPr&gt;</w:t>
      </w:r>
    </w:p>
    <w:p w:rsidR="005F78FC" w:rsidRDefault="00B42EF3">
      <w:pPr>
        <w:pStyle w:val="Code"/>
      </w:pPr>
      <w:r>
        <w:t>&lt;/p:sp&gt;</w:t>
      </w:r>
    </w:p>
    <w:p w:rsidR="005F78FC" w:rsidRDefault="00B42EF3">
      <w:r>
        <w:rPr>
          <w:i/>
        </w:rPr>
        <w:t>end example</w:t>
      </w:r>
      <w:r>
        <w:t>]</w:t>
      </w:r>
    </w:p>
    <w:p w:rsidR="005F78FC" w:rsidRDefault="00B42EF3">
      <w:r>
        <w:t>The following are possible enumeration values for thi</w:t>
      </w:r>
      <w:r>
        <w:t>s type:</w:t>
      </w:r>
    </w:p>
    <w:tbl>
      <w:tblPr>
        <w:tblStyle w:val="Table-ShadedHeader"/>
        <w:tblW w:w="0" w:type="auto"/>
        <w:tblLook w:val="04A0" w:firstRow="1" w:lastRow="0" w:firstColumn="1" w:lastColumn="0" w:noHBand="0" w:noVBand="1"/>
      </w:tblPr>
      <w:tblGrid>
        <w:gridCol w:w="4153"/>
        <w:gridCol w:w="2343"/>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Enumeration Value</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rPr>
                <w:b/>
              </w:rPr>
              <w:t>frameStyle1</w:t>
            </w:r>
            <w:r>
              <w:t xml:space="preserve"> (Rectangle Photo Frame)</w:t>
            </w:r>
          </w:p>
        </w:tc>
        <w:tc>
          <w:tcPr>
            <w:tcW w:w="0" w:type="auto"/>
            <w:vAlign w:val="center"/>
          </w:tcPr>
          <w:p w:rsidR="005F78FC" w:rsidRDefault="00B42EF3">
            <w:pPr>
              <w:pStyle w:val="TableBodyText"/>
            </w:pPr>
            <w:r>
              <w:t xml:space="preserve">Standard: </w:t>
            </w:r>
            <w:r>
              <w:rPr>
                <w:noProof/>
              </w:rPr>
              <w:drawing>
                <wp:inline distT="0" distB="0" distL="0" distR="0">
                  <wp:extent cx="781050" cy="628650"/>
                  <wp:effectExtent l="0" t="0" r="0" b="0"/>
                  <wp:docPr id="24" name="Picture 1" descr="Rectangular photo" title="Rectangula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7-0000-0000-0000-000000000000" descr="Rectangular photo" title="Rectangular photo"/>
                          <pic:cNvPicPr>
                            <a:picLocks noChangeAspect="1" noChangeArrowheads="1"/>
                          </pic:cNvPicPr>
                        </pic:nvPicPr>
                        <pic:blipFill>
                          <a:blip r:embed="rId165"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5F78FC" w:rsidRDefault="00B42EF3">
            <w:pPr>
              <w:pStyle w:val="TableBodyText"/>
            </w:pPr>
            <w:r>
              <w:t xml:space="preserve">Legacy:     </w:t>
            </w:r>
            <w:r>
              <w:rPr>
                <w:noProof/>
              </w:rPr>
              <w:drawing>
                <wp:inline distT="0" distB="0" distL="0" distR="0">
                  <wp:extent cx="762000" cy="609600"/>
                  <wp:effectExtent l="0" t="0" r="0" b="0"/>
                  <wp:docPr id="25" name="Picture 1" descr="Rectangular photo with drop shadow on bottom right" title="Rectangular photo with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8-0000-0000-0000-000000000000" descr="Rectangular photo with drop shadow on bottom right" title="Rectangular photo with drop shadow on bottom right"/>
                          <pic:cNvPicPr>
                            <a:picLocks noChangeAspect="1" noChangeArrowheads="1"/>
                          </pic:cNvPicPr>
                        </pic:nvPicPr>
                        <pic:blipFill>
                          <a:blip r:embed="rId166"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5F78FC" w:rsidTr="005F78FC">
        <w:tc>
          <w:tcPr>
            <w:tcW w:w="0" w:type="auto"/>
            <w:vAlign w:val="center"/>
          </w:tcPr>
          <w:p w:rsidR="005F78FC" w:rsidRDefault="00B42EF3">
            <w:pPr>
              <w:pStyle w:val="TableBodyText"/>
            </w:pPr>
            <w:r>
              <w:rPr>
                <w:b/>
              </w:rPr>
              <w:t>frameStyle2</w:t>
            </w:r>
            <w:r>
              <w:t xml:space="preserve"> (Rounded Rectangle Photo Frame)</w:t>
            </w:r>
          </w:p>
        </w:tc>
        <w:tc>
          <w:tcPr>
            <w:tcW w:w="0" w:type="auto"/>
            <w:vAlign w:val="center"/>
          </w:tcPr>
          <w:p w:rsidR="005F78FC" w:rsidRDefault="00B42EF3">
            <w:pPr>
              <w:pStyle w:val="TableBodyText"/>
            </w:pPr>
            <w:r>
              <w:t xml:space="preserve">Standard: </w:t>
            </w:r>
            <w:r>
              <w:rPr>
                <w:noProof/>
              </w:rPr>
              <w:drawing>
                <wp:inline distT="0" distB="0" distL="0" distR="0">
                  <wp:extent cx="781050" cy="628650"/>
                  <wp:effectExtent l="0" t="0" r="0" b="0"/>
                  <wp:docPr id="26" name="Picture 1" descr="Rectangular photo with rounded edges" title="Rectangular photo with rounded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9-0000-0000-0000-000000000000" descr="Rectangular photo with rounded edges" title="Rectangular photo with rounded edge"/>
                          <pic:cNvPicPr>
                            <a:picLocks noChangeAspect="1" noChangeArrowheads="1"/>
                          </pic:cNvPicPr>
                        </pic:nvPicPr>
                        <pic:blipFill>
                          <a:blip r:embed="rId167"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5F78FC" w:rsidRDefault="00B42EF3">
            <w:pPr>
              <w:pStyle w:val="TableBodyText"/>
            </w:pPr>
            <w:r>
              <w:t xml:space="preserve">Legacy:     </w:t>
            </w:r>
            <w:r>
              <w:rPr>
                <w:noProof/>
              </w:rPr>
              <w:drawing>
                <wp:inline distT="0" distB="0" distL="0" distR="0">
                  <wp:extent cx="762000" cy="609600"/>
                  <wp:effectExtent l="0" t="0" r="0" b="0"/>
                  <wp:docPr id="27" name="Picture 1" descr="White rectangle with rounded edges and drop shadow on bottom right" title="White rectangle with rounded edges and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2-0000-0000-0000-000000000000" descr="White rectangle with rounded edges and drop shadow on bottom right" title="White rectangle with rounded edges and drop shadow on bottom right"/>
                          <pic:cNvPicPr>
                            <a:picLocks noChangeAspect="1" noChangeArrowheads="1"/>
                          </pic:cNvPicPr>
                        </pic:nvPicPr>
                        <pic:blipFill>
                          <a:blip r:embed="rId168"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5F78FC" w:rsidTr="005F78FC">
        <w:tc>
          <w:tcPr>
            <w:tcW w:w="0" w:type="auto"/>
            <w:vAlign w:val="center"/>
          </w:tcPr>
          <w:p w:rsidR="005F78FC" w:rsidRDefault="00B42EF3">
            <w:pPr>
              <w:pStyle w:val="TableBodyText"/>
            </w:pPr>
            <w:r>
              <w:rPr>
                <w:b/>
              </w:rPr>
              <w:t>frameStyle3</w:t>
            </w:r>
            <w:r>
              <w:t xml:space="preserve"> (Simple White Photo Frame)</w:t>
            </w:r>
          </w:p>
        </w:tc>
        <w:tc>
          <w:tcPr>
            <w:tcW w:w="0" w:type="auto"/>
            <w:vAlign w:val="center"/>
          </w:tcPr>
          <w:p w:rsidR="005F78FC" w:rsidRDefault="00B42EF3">
            <w:pPr>
              <w:pStyle w:val="TableBodyText"/>
            </w:pPr>
            <w:r>
              <w:t xml:space="preserve">Standard: </w:t>
            </w:r>
            <w:r>
              <w:rPr>
                <w:noProof/>
              </w:rPr>
              <w:drawing>
                <wp:inline distT="0" distB="0" distL="0" distR="0">
                  <wp:extent cx="781050" cy="628650"/>
                  <wp:effectExtent l="0" t="0" r="0" b="0"/>
                  <wp:docPr id="28" name="Picture 1" descr="Rectangular photo with white border and light shadow around all edges" title="Rectangular photo with white border and light shadow around all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3-0000-0000-0000-000000000000" descr="Rectangular photo with white border and light shadow around all edges" title="Rectangular photo with white border and light shadow around all edges"/>
                          <pic:cNvPicPr>
                            <a:picLocks noChangeAspect="1" noChangeArrowheads="1"/>
                          </pic:cNvPicPr>
                        </pic:nvPicPr>
                        <pic:blipFill>
                          <a:blip r:embed="rId169"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5F78FC" w:rsidRDefault="00B42EF3">
            <w:pPr>
              <w:pStyle w:val="TableBodyText"/>
            </w:pPr>
            <w:r>
              <w:t xml:space="preserve">Legacy:     </w:t>
            </w:r>
            <w:r>
              <w:rPr>
                <w:noProof/>
              </w:rPr>
              <w:drawing>
                <wp:inline distT="0" distB="0" distL="0" distR="0">
                  <wp:extent cx="762000" cy="609600"/>
                  <wp:effectExtent l="0" t="0" r="0" b="0"/>
                  <wp:docPr id="29" name="Picture 1" descr="White rectangle with drop shadow on top left" title="White rectangle with drop shadow on top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4-0000-0000-0000-000000000000" descr="White rectangle with drop shadow on top left" title="White rectangle with drop shadow on top left"/>
                          <pic:cNvPicPr>
                            <a:picLocks noChangeAspect="1" noChangeArrowheads="1"/>
                          </pic:cNvPicPr>
                        </pic:nvPicPr>
                        <pic:blipFill>
                          <a:blip r:embed="rId170"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5F78FC" w:rsidTr="005F78FC">
        <w:tc>
          <w:tcPr>
            <w:tcW w:w="0" w:type="auto"/>
            <w:vAlign w:val="center"/>
          </w:tcPr>
          <w:p w:rsidR="005F78FC" w:rsidRDefault="00B42EF3">
            <w:pPr>
              <w:pStyle w:val="TableBodyText"/>
            </w:pPr>
            <w:r>
              <w:rPr>
                <w:b/>
              </w:rPr>
              <w:t>frameStyle4</w:t>
            </w:r>
            <w:r>
              <w:t xml:space="preserve"> (Simple Black Photo Frame)</w:t>
            </w:r>
          </w:p>
        </w:tc>
        <w:tc>
          <w:tcPr>
            <w:tcW w:w="0" w:type="auto"/>
            <w:vAlign w:val="center"/>
          </w:tcPr>
          <w:p w:rsidR="005F78FC" w:rsidRDefault="00B42EF3">
            <w:pPr>
              <w:pStyle w:val="TableBodyText"/>
            </w:pPr>
            <w:r>
              <w:t xml:space="preserve">Standard: </w:t>
            </w:r>
            <w:r>
              <w:rPr>
                <w:noProof/>
              </w:rPr>
              <w:drawing>
                <wp:inline distT="0" distB="0" distL="0" distR="0">
                  <wp:extent cx="781050" cy="628650"/>
                  <wp:effectExtent l="0" t="0" r="0" b="0"/>
                  <wp:docPr id="30" name="Picture 1" descr="Rectangular photo with black border" title="Rectangular photo with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5-0000-0000-0000-000000000000" descr="Rectangular photo with black border" title="Rectangular photo with black border"/>
                          <pic:cNvPicPr>
                            <a:picLocks noChangeAspect="1" noChangeArrowheads="1"/>
                          </pic:cNvPicPr>
                        </pic:nvPicPr>
                        <pic:blipFill>
                          <a:blip r:embed="rId171"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5F78FC" w:rsidRDefault="00B42EF3">
            <w:pPr>
              <w:pStyle w:val="TableBodyText"/>
            </w:pPr>
            <w:r>
              <w:lastRenderedPageBreak/>
              <w:t xml:space="preserve">Legacy:     </w:t>
            </w:r>
            <w:r>
              <w:rPr>
                <w:noProof/>
              </w:rPr>
              <w:drawing>
                <wp:inline distT="0" distB="0" distL="0" distR="0">
                  <wp:extent cx="762000" cy="609600"/>
                  <wp:effectExtent l="0" t="0" r="0" b="0"/>
                  <wp:docPr id="31" name="Picture 1" descr="White egg shaped elipse with black border" title="White egg shaped elipse with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e-0000-0000-0000-000000000000" descr="White egg shaped elipse with black border" title="White egg shaped elipse with black border"/>
                          <pic:cNvPicPr>
                            <a:picLocks noChangeAspect="1" noChangeArrowheads="1"/>
                          </pic:cNvPicPr>
                        </pic:nvPicPr>
                        <pic:blipFill>
                          <a:blip r:embed="rId172"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5F78FC" w:rsidTr="005F78FC">
        <w:tc>
          <w:tcPr>
            <w:tcW w:w="0" w:type="auto"/>
            <w:vAlign w:val="center"/>
          </w:tcPr>
          <w:p w:rsidR="005F78FC" w:rsidRDefault="00B42EF3">
            <w:pPr>
              <w:pStyle w:val="TableBodyText"/>
            </w:pPr>
            <w:r>
              <w:rPr>
                <w:b/>
              </w:rPr>
              <w:lastRenderedPageBreak/>
              <w:t>frameStyle5</w:t>
            </w:r>
            <w:r>
              <w:t xml:space="preserve"> (Compound Black Photo Frame)</w:t>
            </w:r>
          </w:p>
        </w:tc>
        <w:tc>
          <w:tcPr>
            <w:tcW w:w="0" w:type="auto"/>
            <w:vAlign w:val="center"/>
          </w:tcPr>
          <w:p w:rsidR="005F78FC" w:rsidRDefault="00B42EF3">
            <w:pPr>
              <w:pStyle w:val="TableBodyText"/>
            </w:pPr>
            <w:r>
              <w:t xml:space="preserve">Standard: </w:t>
            </w:r>
            <w:r>
              <w:rPr>
                <w:noProof/>
              </w:rPr>
              <w:drawing>
                <wp:inline distT="0" distB="0" distL="0" distR="0">
                  <wp:extent cx="781050" cy="628650"/>
                  <wp:effectExtent l="0" t="0" r="0" b="0"/>
                  <wp:docPr id="342015680" name="Picture 1" descr="Rectangular photo with white border inside a black border" title="Rectangular photo with white border inside a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f-0000-0000-0000-000000000000" descr="Rectangular photo with white border inside a black border" title="Rectangular photo with white border inside a black border"/>
                          <pic:cNvPicPr>
                            <a:picLocks noChangeAspect="1" noChangeArrowheads="1"/>
                          </pic:cNvPicPr>
                        </pic:nvPicPr>
                        <pic:blipFill>
                          <a:blip r:embed="rId173"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5F78FC" w:rsidRDefault="00B42EF3">
            <w:pPr>
              <w:pStyle w:val="TableBodyText"/>
            </w:pPr>
            <w:r>
              <w:t xml:space="preserve">Legacy:     </w:t>
            </w:r>
            <w:r>
              <w:rPr>
                <w:noProof/>
              </w:rPr>
              <w:drawing>
                <wp:inline distT="0" distB="0" distL="0" distR="0">
                  <wp:extent cx="762000" cy="609600"/>
                  <wp:effectExtent l="0" t="0" r="0" b="0"/>
                  <wp:docPr id="342015681" name="Picture 1" descr="White rectangle with black frame corners" title="White rectangle with black frame co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65d27-0000-0000-0000-000000000000" descr="White rectangle with black frame corners" title="White rectangle with black frame corners"/>
                          <pic:cNvPicPr>
                            <a:picLocks noChangeAspect="1" noChangeArrowheads="1"/>
                          </pic:cNvPicPr>
                        </pic:nvPicPr>
                        <pic:blipFill>
                          <a:blip r:embed="rId174"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5F78FC" w:rsidTr="005F78FC">
        <w:tc>
          <w:tcPr>
            <w:tcW w:w="0" w:type="auto"/>
            <w:vAlign w:val="center"/>
          </w:tcPr>
          <w:p w:rsidR="005F78FC" w:rsidRDefault="00B42EF3">
            <w:pPr>
              <w:pStyle w:val="TableBodyText"/>
            </w:pPr>
            <w:r>
              <w:rPr>
                <w:b/>
              </w:rPr>
              <w:t>frameStyle6</w:t>
            </w:r>
            <w:r>
              <w:t xml:space="preserve"> (Center Shadow Photo Frame)</w:t>
            </w:r>
          </w:p>
        </w:tc>
        <w:tc>
          <w:tcPr>
            <w:tcW w:w="0" w:type="auto"/>
            <w:vAlign w:val="center"/>
          </w:tcPr>
          <w:p w:rsidR="005F78FC" w:rsidRDefault="00B42EF3">
            <w:pPr>
              <w:pStyle w:val="TableBodyText"/>
            </w:pPr>
            <w:r>
              <w:t xml:space="preserve">Standard: </w:t>
            </w:r>
            <w:r>
              <w:rPr>
                <w:noProof/>
              </w:rPr>
              <w:drawing>
                <wp:inline distT="0" distB="0" distL="0" distR="0">
                  <wp:extent cx="781050" cy="628650"/>
                  <wp:effectExtent l="0" t="0" r="0" b="0"/>
                  <wp:docPr id="342015682" name="Picture 1" descr="Rectangular photo with light shadow around edges" title="Rectangular photo with light shadow around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75d27-0000-0000-0000-000000000000" descr="Rectangular photo with light shadow around edges" title="Rectangular photo with light shadow around edges"/>
                          <pic:cNvPicPr>
                            <a:picLocks noChangeAspect="1" noChangeArrowheads="1"/>
                          </pic:cNvPicPr>
                        </pic:nvPicPr>
                        <pic:blipFill>
                          <a:blip r:embed="rId175"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5F78FC" w:rsidRDefault="00B42EF3">
            <w:pPr>
              <w:pStyle w:val="TableBodyText"/>
            </w:pPr>
            <w:r>
              <w:t xml:space="preserve">Legacy:     </w:t>
            </w:r>
            <w:r>
              <w:rPr>
                <w:noProof/>
              </w:rPr>
              <w:drawing>
                <wp:inline distT="0" distB="0" distL="0" distR="0">
                  <wp:extent cx="762000" cy="609600"/>
                  <wp:effectExtent l="0" t="0" r="0" b="0"/>
                  <wp:docPr id="342015683" name="Picture 1" descr="White rectangle with dark corners and drop shadow on bottom right" title="White rectangle with dark corners and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45d27-0000-0000-0000-000000000000" descr="White rectangle with dark corners and drop shadow on bottom right" title="White rectangle with dark corners and drop shadow on bottom right"/>
                          <pic:cNvPicPr>
                            <a:picLocks noChangeAspect="1" noChangeArrowheads="1"/>
                          </pic:cNvPicPr>
                        </pic:nvPicPr>
                        <pic:blipFill>
                          <a:blip r:embed="rId176"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5F78FC" w:rsidTr="005F78FC">
        <w:tc>
          <w:tcPr>
            <w:tcW w:w="0" w:type="auto"/>
            <w:vAlign w:val="center"/>
          </w:tcPr>
          <w:p w:rsidR="005F78FC" w:rsidRDefault="00B42EF3">
            <w:pPr>
              <w:pStyle w:val="TableBodyText"/>
            </w:pPr>
            <w:r>
              <w:rPr>
                <w:b/>
              </w:rPr>
              <w:t>frameStyle7</w:t>
            </w:r>
            <w:r>
              <w:t xml:space="preserve"> (Soft Edge Photo Frame)</w:t>
            </w:r>
          </w:p>
        </w:tc>
        <w:tc>
          <w:tcPr>
            <w:tcW w:w="0" w:type="auto"/>
            <w:vAlign w:val="center"/>
          </w:tcPr>
          <w:p w:rsidR="005F78FC" w:rsidRDefault="00B42EF3">
            <w:pPr>
              <w:pStyle w:val="TableBodyText"/>
            </w:pPr>
            <w:r>
              <w:t xml:space="preserve">Standard: </w:t>
            </w:r>
            <w:r>
              <w:rPr>
                <w:noProof/>
              </w:rPr>
              <w:drawing>
                <wp:inline distT="0" distB="0" distL="0" distR="0">
                  <wp:extent cx="781050" cy="628650"/>
                  <wp:effectExtent l="0" t="0" r="0" b="0"/>
                  <wp:docPr id="342015684" name="Picture 1" descr="Rectangular photo with soft edges all around" title="Rectangular photo with soft edges all a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55d27-0000-0000-0000-000000000000" descr="Rectangular photo with soft edges all around" title="Rectangular photo with soft edges all around"/>
                          <pic:cNvPicPr>
                            <a:picLocks noChangeAspect="1" noChangeArrowheads="1"/>
                          </pic:cNvPicPr>
                        </pic:nvPicPr>
                        <pic:blipFill>
                          <a:blip r:embed="rId177"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5F78FC" w:rsidRDefault="00B42EF3">
            <w:pPr>
              <w:pStyle w:val="TableBodyText"/>
            </w:pPr>
            <w:r>
              <w:t xml:space="preserve">Legacy:     </w:t>
            </w:r>
            <w:r>
              <w:rPr>
                <w:noProof/>
              </w:rPr>
              <w:drawing>
                <wp:inline distT="0" distB="0" distL="0" distR="0">
                  <wp:extent cx="762000" cy="609600"/>
                  <wp:effectExtent l="0" t="0" r="0" b="0"/>
                  <wp:docPr id="342015685" name="Picture 1" descr="White rectangle with dark edges and drop shadow on bottom right" title="White rectangle with dark edges and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25d27-0000-0000-0000-000000000000" descr="White rectangle with dark edges and drop shadow on bottom right" title="White rectangle with dark edges and drop shadow on bottom right"/>
                          <pic:cNvPicPr>
                            <a:picLocks noChangeAspect="1" noChangeArrowheads="1"/>
                          </pic:cNvPicPr>
                        </pic:nvPicPr>
                        <pic:blipFill>
                          <a:blip r:embed="rId178"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bl>
    <w:p w:rsidR="005F78FC" w:rsidRDefault="005F78FC"/>
    <w:p w:rsidR="005F78FC" w:rsidRDefault="00B42EF3">
      <w:pPr>
        <w:pStyle w:val="Heading3"/>
      </w:pPr>
      <w:bookmarkStart w:id="2394" w:name="section_4f007c9d15164dd0848087f21fc54ee3"/>
      <w:bookmarkStart w:id="2395" w:name="_Toc69878970"/>
      <w:r>
        <w:t>Part 1 Section 19.7.24, ST_TLAnimateEffectTransition (Time List Animate Effect Transition)</w:t>
      </w:r>
      <w:bookmarkEnd w:id="2394"/>
      <w:bookmarkEnd w:id="2395"/>
      <w:r>
        <w:fldChar w:fldCharType="begin"/>
      </w:r>
      <w:r>
        <w:instrText xml:space="preserve"> XE "ST_TLAnimateEffectTransition (Time List Animate Effect Transition)" </w:instrText>
      </w:r>
      <w:r>
        <w:fldChar w:fldCharType="end"/>
      </w:r>
    </w:p>
    <w:p w:rsidR="005F78FC" w:rsidRDefault="00B42EF3">
      <w:pPr>
        <w:pStyle w:val="Definition-Field"/>
      </w:pPr>
      <w:r>
        <w:t xml:space="preserve">a.   </w:t>
      </w:r>
      <w:r>
        <w:rPr>
          <w:i/>
        </w:rPr>
        <w:t>The standard does not specify how to interpret a transition value of none.</w:t>
      </w:r>
    </w:p>
    <w:p w:rsidR="005F78FC" w:rsidRDefault="00B42EF3">
      <w:pPr>
        <w:pStyle w:val="Definition-Field2"/>
      </w:pPr>
      <w:r>
        <w:t>PowerPoint</w:t>
      </w:r>
      <w:r>
        <w:t xml:space="preserve"> interprets a value of none as being equal to in.</w:t>
      </w:r>
    </w:p>
    <w:p w:rsidR="005F78FC" w:rsidRDefault="00B42EF3">
      <w:pPr>
        <w:pStyle w:val="Heading3"/>
      </w:pPr>
      <w:bookmarkStart w:id="2396" w:name="section_e1478454837249af8963620f9f11ceb7"/>
      <w:bookmarkStart w:id="2397" w:name="_Toc69878971"/>
      <w:r>
        <w:t>Part 1 Section 19.7.25, ST_TLAnimateMotionBehaviorOrigin (Time List Animate Motion Behavior Origin)</w:t>
      </w:r>
      <w:bookmarkEnd w:id="2396"/>
      <w:bookmarkEnd w:id="2397"/>
      <w:r>
        <w:fldChar w:fldCharType="begin"/>
      </w:r>
      <w:r>
        <w:instrText xml:space="preserve"> XE "ST_TLAnimateMotionBehaviorOrigin (Time List Animate Motion Behavior Origin)" </w:instrText>
      </w:r>
      <w:r>
        <w:fldChar w:fldCharType="end"/>
      </w:r>
    </w:p>
    <w:p w:rsidR="005F78FC" w:rsidRDefault="00B42EF3">
      <w:pPr>
        <w:pStyle w:val="Definition-Field"/>
      </w:pPr>
      <w:r>
        <w:t xml:space="preserve">a.   </w:t>
      </w:r>
      <w:r>
        <w:rPr>
          <w:i/>
        </w:rPr>
        <w:t>The standard does</w:t>
      </w:r>
      <w:r>
        <w:rPr>
          <w:i/>
        </w:rPr>
        <w:t xml:space="preserve"> not specify how to interpret the origin values.</w:t>
      </w:r>
    </w:p>
    <w:p w:rsidR="005F78FC" w:rsidRDefault="00B42EF3">
      <w:pPr>
        <w:pStyle w:val="Definition-Field2"/>
      </w:pPr>
      <w:r>
        <w:t>PowerPoint interprets the layout origin as being the center of the object and the parent origin as being the upper left corner of the slide.</w:t>
      </w:r>
    </w:p>
    <w:p w:rsidR="005F78FC" w:rsidRDefault="00B42EF3">
      <w:pPr>
        <w:pStyle w:val="Heading3"/>
      </w:pPr>
      <w:bookmarkStart w:id="2398" w:name="section_16c12ef48608468c8ff133b4ba0ac056"/>
      <w:bookmarkStart w:id="2399" w:name="_Toc69878972"/>
      <w:r>
        <w:lastRenderedPageBreak/>
        <w:t>Part 1 Section 19.7.28, ST_TLBehaviorAdditiveType (Behavior Additi</w:t>
      </w:r>
      <w:r>
        <w:t>ve Type)</w:t>
      </w:r>
      <w:bookmarkEnd w:id="2398"/>
      <w:bookmarkEnd w:id="2399"/>
      <w:r>
        <w:fldChar w:fldCharType="begin"/>
      </w:r>
      <w:r>
        <w:instrText xml:space="preserve"> XE "ST_TLBehaviorAdditiveType (Behavior Additive Type)" </w:instrText>
      </w:r>
      <w:r>
        <w:fldChar w:fldCharType="end"/>
      </w:r>
    </w:p>
    <w:p w:rsidR="005F78FC" w:rsidRDefault="00B42EF3">
      <w:pPr>
        <w:pStyle w:val="Definition-Field"/>
      </w:pPr>
      <w:r>
        <w:t xml:space="preserve">a.   </w:t>
      </w:r>
      <w:r>
        <w:rPr>
          <w:i/>
        </w:rPr>
        <w:t>The standard states that base, mult, and none are valid behavior additive type values.</w:t>
      </w:r>
    </w:p>
    <w:p w:rsidR="005F78FC" w:rsidRDefault="00B42EF3">
      <w:pPr>
        <w:pStyle w:val="Definition-Field2"/>
      </w:pPr>
      <w:r>
        <w:t>PowerPoint does not support these values.</w:t>
      </w:r>
    </w:p>
    <w:p w:rsidR="005F78FC" w:rsidRDefault="00B42EF3">
      <w:pPr>
        <w:pStyle w:val="Heading3"/>
      </w:pPr>
      <w:bookmarkStart w:id="2400" w:name="section_7128b0c014ef4b5f8d9f257dd209846d"/>
      <w:bookmarkStart w:id="2401" w:name="_Toc69878973"/>
      <w:r>
        <w:t>Part 1 Section 19.7.30, ST_TLBehaviorTransformType (Behavior Transform Type)</w:t>
      </w:r>
      <w:bookmarkEnd w:id="2400"/>
      <w:bookmarkEnd w:id="2401"/>
      <w:r>
        <w:fldChar w:fldCharType="begin"/>
      </w:r>
      <w:r>
        <w:instrText xml:space="preserve"> XE "ST_TLBehaviorTransformType (Behavior Transform Type)" </w:instrText>
      </w:r>
      <w:r>
        <w:fldChar w:fldCharType="end"/>
      </w:r>
    </w:p>
    <w:p w:rsidR="005F78FC" w:rsidRDefault="00B42EF3">
      <w:pPr>
        <w:pStyle w:val="Definition-Field"/>
      </w:pPr>
      <w:r>
        <w:t xml:space="preserve">a.   </w:t>
      </w:r>
      <w:r>
        <w:rPr>
          <w:i/>
        </w:rPr>
        <w:t>The standard states that a behavior transform type with a value of pt specifies a point transform.</w:t>
      </w:r>
    </w:p>
    <w:p w:rsidR="005F78FC" w:rsidRDefault="00B42EF3">
      <w:pPr>
        <w:pStyle w:val="Definition-Field2"/>
      </w:pPr>
      <w:r>
        <w:t>PowerPoint use</w:t>
      </w:r>
      <w:r>
        <w:t>s this value to specify a property transform.</w:t>
      </w:r>
    </w:p>
    <w:p w:rsidR="005F78FC" w:rsidRDefault="00B42EF3">
      <w:pPr>
        <w:pStyle w:val="Heading3"/>
      </w:pPr>
      <w:bookmarkStart w:id="2402" w:name="section_a9dc8c5b9ef849729200113eddc54e18"/>
      <w:bookmarkStart w:id="2403" w:name="_Toc69878974"/>
      <w:r>
        <w:t>Part 1 Section 19.7.38, ST_TLTime (Time)</w:t>
      </w:r>
      <w:bookmarkEnd w:id="2402"/>
      <w:bookmarkEnd w:id="2403"/>
      <w:r>
        <w:fldChar w:fldCharType="begin"/>
      </w:r>
      <w:r>
        <w:instrText xml:space="preserve"> XE "ST_TLTime (Time)" </w:instrText>
      </w:r>
      <w:r>
        <w:fldChar w:fldCharType="end"/>
      </w:r>
    </w:p>
    <w:p w:rsidR="005F78FC" w:rsidRDefault="00B42EF3">
      <w:pPr>
        <w:pStyle w:val="Definition-Field"/>
      </w:pPr>
      <w:r>
        <w:t xml:space="preserve">a.   </w:t>
      </w:r>
      <w:r>
        <w:rPr>
          <w:i/>
        </w:rPr>
        <w:t>The standard states that the ST_TLTime simple type specifies the time after which to automatically advance the build to the next step.</w:t>
      </w:r>
    </w:p>
    <w:p w:rsidR="005F78FC" w:rsidRDefault="00B42EF3">
      <w:pPr>
        <w:pStyle w:val="Definition-Field2"/>
      </w:pPr>
      <w:r>
        <w:t>Powe</w:t>
      </w:r>
      <w:r>
        <w:t>rPoint lets the parent define how to use this simple type.</w:t>
      </w:r>
    </w:p>
    <w:p w:rsidR="005F78FC" w:rsidRDefault="00B42EF3">
      <w:pPr>
        <w:pStyle w:val="Heading3"/>
      </w:pPr>
      <w:bookmarkStart w:id="2404" w:name="section_95561e91e1c047d59ec4006d89646dea"/>
      <w:bookmarkStart w:id="2405" w:name="_Toc69878975"/>
      <w:r>
        <w:t>Part 1 Section 19.7.41, ST_TLTimeNodeFillType (Time Node Fill Type)</w:t>
      </w:r>
      <w:bookmarkEnd w:id="2404"/>
      <w:bookmarkEnd w:id="2405"/>
      <w:r>
        <w:fldChar w:fldCharType="begin"/>
      </w:r>
      <w:r>
        <w:instrText xml:space="preserve"> XE "ST_TLTimeNodeFillType (Time Node Fill Type)" </w:instrText>
      </w:r>
      <w:r>
        <w:fldChar w:fldCharType="end"/>
      </w:r>
    </w:p>
    <w:p w:rsidR="005F78FC" w:rsidRDefault="00B42EF3">
      <w:pPr>
        <w:pStyle w:val="Definition-Field"/>
      </w:pPr>
      <w:r>
        <w:t xml:space="preserve">a.   </w:t>
      </w:r>
      <w:r>
        <w:rPr>
          <w:i/>
        </w:rPr>
        <w:t>The standard does not specify how to interpret the transition fill type.</w:t>
      </w:r>
    </w:p>
    <w:p w:rsidR="005F78FC" w:rsidRDefault="00B42EF3">
      <w:pPr>
        <w:pStyle w:val="Definition-Field2"/>
      </w:pPr>
      <w:r>
        <w:t>PowerPoint uses this value to signify that an element's properties reset to their original values after the element becomes inactive.</w:t>
      </w:r>
    </w:p>
    <w:p w:rsidR="005F78FC" w:rsidRDefault="00B42EF3">
      <w:pPr>
        <w:pStyle w:val="Definition-Field"/>
      </w:pPr>
      <w:r>
        <w:t xml:space="preserve">b.   </w:t>
      </w:r>
      <w:r>
        <w:rPr>
          <w:i/>
        </w:rPr>
        <w:t>The standard does not specify how to interpret the freeze fill type.</w:t>
      </w:r>
    </w:p>
    <w:p w:rsidR="005F78FC" w:rsidRDefault="00B42EF3">
      <w:pPr>
        <w:pStyle w:val="Definition-Field2"/>
      </w:pPr>
      <w:r>
        <w:t>PowerPoint uses this value to signify that an e</w:t>
      </w:r>
      <w:r>
        <w:t>lement's properties should remain at their ending values while their parent is still running or holding, or until another sibling element is started under a seq element or an excl element.</w:t>
      </w:r>
    </w:p>
    <w:p w:rsidR="005F78FC" w:rsidRDefault="00B42EF3">
      <w:pPr>
        <w:pStyle w:val="Definition-Field"/>
      </w:pPr>
      <w:r>
        <w:t xml:space="preserve">c.   </w:t>
      </w:r>
      <w:r>
        <w:rPr>
          <w:i/>
        </w:rPr>
        <w:t>The standard does not specify how to interpret the hold fill t</w:t>
      </w:r>
      <w:r>
        <w:rPr>
          <w:i/>
        </w:rPr>
        <w:t>ype.</w:t>
      </w:r>
    </w:p>
    <w:p w:rsidR="005F78FC" w:rsidRDefault="00B42EF3">
      <w:pPr>
        <w:pStyle w:val="Definition-Field2"/>
      </w:pPr>
      <w:r>
        <w:t>PowerPoint uses this value to signify that an element's properties remain at their ending values while their parent is still running or holding.</w:t>
      </w:r>
    </w:p>
    <w:p w:rsidR="005F78FC" w:rsidRDefault="00B42EF3">
      <w:pPr>
        <w:pStyle w:val="Definition-Field"/>
      </w:pPr>
      <w:r>
        <w:t xml:space="preserve">d.   </w:t>
      </w:r>
      <w:r>
        <w:rPr>
          <w:i/>
        </w:rPr>
        <w:t>The standard does not specify how to interpret the remove fill type.</w:t>
      </w:r>
    </w:p>
    <w:p w:rsidR="005F78FC" w:rsidRDefault="00B42EF3">
      <w:pPr>
        <w:pStyle w:val="Definition-Field2"/>
      </w:pPr>
      <w:r>
        <w:t>PowerPoint uses this value to si</w:t>
      </w:r>
      <w:r>
        <w:t>gnify that an element's properties reset to their original values after the element becomes inactive.</w:t>
      </w:r>
    </w:p>
    <w:p w:rsidR="005F78FC" w:rsidRDefault="00B42EF3">
      <w:pPr>
        <w:pStyle w:val="Heading3"/>
      </w:pPr>
      <w:bookmarkStart w:id="2406" w:name="section_751571dcbd2f411eb38c7575bc939071"/>
      <w:bookmarkStart w:id="2407" w:name="_Toc69878976"/>
      <w:r>
        <w:t>Part 1 Section 19.7.43, ST_TLTimeNodeMasterRelation (Time Node Master Relation)</w:t>
      </w:r>
      <w:bookmarkEnd w:id="2406"/>
      <w:bookmarkEnd w:id="2407"/>
      <w:r>
        <w:fldChar w:fldCharType="begin"/>
      </w:r>
      <w:r>
        <w:instrText xml:space="preserve"> XE "ST_TLTimeNodeMasterRelation (Time Node Master Relation)" </w:instrText>
      </w:r>
      <w:r>
        <w:fldChar w:fldCharType="end"/>
      </w:r>
    </w:p>
    <w:p w:rsidR="005F78FC" w:rsidRDefault="00B42EF3">
      <w:pPr>
        <w:pStyle w:val="Definition-Field"/>
      </w:pPr>
      <w:r>
        <w:t xml:space="preserve">a.   </w:t>
      </w:r>
      <w:r>
        <w:rPr>
          <w:i/>
        </w:rPr>
        <w:t xml:space="preserve">The </w:t>
      </w:r>
      <w:r>
        <w:rPr>
          <w:i/>
        </w:rPr>
        <w:t>standard states that lastClick is a valid master relation value.</w:t>
      </w:r>
    </w:p>
    <w:p w:rsidR="005F78FC" w:rsidRDefault="00B42EF3">
      <w:pPr>
        <w:pStyle w:val="Definition-Field2"/>
      </w:pPr>
      <w:r>
        <w:t>PowerPoint does not support this value.</w:t>
      </w:r>
    </w:p>
    <w:p w:rsidR="005F78FC" w:rsidRDefault="00B42EF3">
      <w:pPr>
        <w:pStyle w:val="Definition-Field"/>
      </w:pPr>
      <w:r>
        <w:t xml:space="preserve">b.   </w:t>
      </w:r>
      <w:r>
        <w:rPr>
          <w:i/>
        </w:rPr>
        <w:t>The standard places no restrictions on when the playback behavior applies.</w:t>
      </w:r>
    </w:p>
    <w:p w:rsidR="005F78FC" w:rsidRDefault="00B42EF3">
      <w:pPr>
        <w:pStyle w:val="Definition-Field2"/>
      </w:pPr>
      <w:r>
        <w:t>PowerPoint only applies the playback behavior when the time node is con</w:t>
      </w:r>
      <w:r>
        <w:t>tained within a subTnLst element.</w:t>
      </w:r>
    </w:p>
    <w:p w:rsidR="005F78FC" w:rsidRDefault="00B42EF3">
      <w:pPr>
        <w:pStyle w:val="Definition-Field"/>
      </w:pPr>
      <w:r>
        <w:t xml:space="preserve">c.   </w:t>
      </w:r>
      <w:r>
        <w:rPr>
          <w:i/>
        </w:rPr>
        <w:t>The standard does not specify how to interpret the sameClick master relation.</w:t>
      </w:r>
    </w:p>
    <w:p w:rsidR="005F78FC" w:rsidRDefault="00B42EF3">
      <w:pPr>
        <w:pStyle w:val="Definition-Field2"/>
      </w:pPr>
      <w:r>
        <w:lastRenderedPageBreak/>
        <w:t>PowerPoint uses this value to signify that the time node will start at the same time as its master time node.</w:t>
      </w:r>
    </w:p>
    <w:p w:rsidR="005F78FC" w:rsidRDefault="00B42EF3">
      <w:pPr>
        <w:pStyle w:val="Definition-Field"/>
      </w:pPr>
      <w:r>
        <w:t xml:space="preserve">d.   </w:t>
      </w:r>
      <w:r>
        <w:rPr>
          <w:i/>
        </w:rPr>
        <w:t>The standard does not sp</w:t>
      </w:r>
      <w:r>
        <w:rPr>
          <w:i/>
        </w:rPr>
        <w:t>ecify how to interpret the nextClick master relation.</w:t>
      </w:r>
    </w:p>
    <w:p w:rsidR="005F78FC" w:rsidRDefault="00B42EF3">
      <w:pPr>
        <w:pStyle w:val="Definition-Field2"/>
      </w:pPr>
      <w:r>
        <w:t>PowerPoint uses this value to signify that the time node will start when the next time node group starts.</w:t>
      </w:r>
    </w:p>
    <w:p w:rsidR="005F78FC" w:rsidRDefault="00B42EF3">
      <w:pPr>
        <w:pStyle w:val="Heading3"/>
      </w:pPr>
      <w:bookmarkStart w:id="2408" w:name="section_278466dec56a4eaaa0b1723c7aef9b99"/>
      <w:bookmarkStart w:id="2409" w:name="_Toc69878977"/>
      <w:r>
        <w:t>Part 1 Section 19.7.45, ST_TLTimeNodeRestartType (Time Node Restart Type)</w:t>
      </w:r>
      <w:bookmarkEnd w:id="2408"/>
      <w:bookmarkEnd w:id="2409"/>
      <w:r>
        <w:fldChar w:fldCharType="begin"/>
      </w:r>
      <w:r>
        <w:instrText xml:space="preserve"> XE "ST_TLTimeNodeResta</w:instrText>
      </w:r>
      <w:r>
        <w:instrText xml:space="preserve">rtType (Time Node Restart Type)" </w:instrText>
      </w:r>
      <w:r>
        <w:fldChar w:fldCharType="end"/>
      </w:r>
    </w:p>
    <w:p w:rsidR="005F78FC" w:rsidRDefault="00B42EF3">
      <w:pPr>
        <w:pStyle w:val="Definition-Field"/>
      </w:pPr>
      <w:r>
        <w:t xml:space="preserve">a.   </w:t>
      </w:r>
      <w:r>
        <w:rPr>
          <w:i/>
        </w:rPr>
        <w:t>The standard states that the ST_TLTimeNodeRestartType simple type determines whether an effect can play more than once.</w:t>
      </w:r>
    </w:p>
    <w:p w:rsidR="005F78FC" w:rsidRDefault="00B42EF3">
      <w:pPr>
        <w:pStyle w:val="Definition-Field2"/>
      </w:pPr>
      <w:r>
        <w:t>PowerPoint uses this simple type to signify when a time node can restart.</w:t>
      </w:r>
    </w:p>
    <w:p w:rsidR="005F78FC" w:rsidRDefault="00B42EF3">
      <w:pPr>
        <w:pStyle w:val="Heading3"/>
      </w:pPr>
      <w:bookmarkStart w:id="2410" w:name="section_6acf6d2c64234f5e8a166533a20fbd41"/>
      <w:bookmarkStart w:id="2411" w:name="_Toc69878978"/>
      <w:r>
        <w:t>Part 1 Section 19.7.4</w:t>
      </w:r>
      <w:r>
        <w:t>8, ST_TLTriggerEvent (Trigger Event)</w:t>
      </w:r>
      <w:bookmarkEnd w:id="2410"/>
      <w:bookmarkEnd w:id="2411"/>
      <w:r>
        <w:fldChar w:fldCharType="begin"/>
      </w:r>
      <w:r>
        <w:instrText xml:space="preserve"> XE "ST_TLTriggerEvent (Trigger Event)" </w:instrText>
      </w:r>
      <w:r>
        <w:fldChar w:fldCharType="end"/>
      </w:r>
    </w:p>
    <w:p w:rsidR="005F78FC" w:rsidRDefault="00B42EF3">
      <w:pPr>
        <w:pStyle w:val="Definition-Field"/>
      </w:pPr>
      <w:r>
        <w:t xml:space="preserve">a.   </w:t>
      </w:r>
      <w:r>
        <w:rPr>
          <w:i/>
        </w:rPr>
        <w:t>The standard implies that the begin value and the onBegin value are equivalent.</w:t>
      </w:r>
    </w:p>
    <w:p w:rsidR="005F78FC" w:rsidRDefault="00B42EF3">
      <w:pPr>
        <w:pStyle w:val="Definition-Field2"/>
      </w:pPr>
      <w:r>
        <w:t xml:space="preserve">PowerPoint interprets the begin value to specify that a trigger should be fired when the </w:t>
      </w:r>
      <w:r>
        <w:t>specified time node begins, and the onBegin value to specify that a trigger should be fired when the onBegin event occurs on the specified target.</w:t>
      </w:r>
    </w:p>
    <w:p w:rsidR="005F78FC" w:rsidRDefault="00B42EF3">
      <w:pPr>
        <w:pStyle w:val="Definition-Field"/>
      </w:pPr>
      <w:r>
        <w:t xml:space="preserve">b.   </w:t>
      </w:r>
      <w:r>
        <w:rPr>
          <w:i/>
        </w:rPr>
        <w:t>The standard implies that the end value and the onEnd value are equivalent.</w:t>
      </w:r>
    </w:p>
    <w:p w:rsidR="005F78FC" w:rsidRDefault="00B42EF3">
      <w:pPr>
        <w:pStyle w:val="Definition-Field2"/>
      </w:pPr>
      <w:r>
        <w:t>PowerPoint interprets the en</w:t>
      </w:r>
      <w:r>
        <w:t>d value to specify that a trigger should be fired when the specified time node ends, and the onEnd value to specify that a trigger should be fired when the onEnd event occurs on the specified target.</w:t>
      </w:r>
    </w:p>
    <w:p w:rsidR="005F78FC" w:rsidRDefault="00B42EF3">
      <w:pPr>
        <w:pStyle w:val="Definition-Field"/>
      </w:pPr>
      <w:r>
        <w:t xml:space="preserve">c.   </w:t>
      </w:r>
      <w:r>
        <w:rPr>
          <w:i/>
        </w:rPr>
        <w:t>The standard states that the onNext value specifies</w:t>
      </w:r>
      <w:r>
        <w:rPr>
          <w:i/>
        </w:rPr>
        <w:t xml:space="preserve"> that a trigger should be fired on the next node.</w:t>
      </w:r>
    </w:p>
    <w:p w:rsidR="005F78FC" w:rsidRDefault="00B42EF3">
      <w:pPr>
        <w:pStyle w:val="Definition-Field2"/>
      </w:pPr>
      <w:r>
        <w:t>PowerPoint uses this value to specify that a trigger should be fired when the onNext event occurs on the specified target.</w:t>
      </w:r>
    </w:p>
    <w:p w:rsidR="005F78FC" w:rsidRDefault="00B42EF3">
      <w:pPr>
        <w:pStyle w:val="Definition-Field"/>
      </w:pPr>
      <w:r>
        <w:t xml:space="preserve">d.   </w:t>
      </w:r>
      <w:r>
        <w:rPr>
          <w:i/>
        </w:rPr>
        <w:t>The standard states that the onPrev value specifies that a trigger should be f</w:t>
      </w:r>
      <w:r>
        <w:rPr>
          <w:i/>
        </w:rPr>
        <w:t>ired on the previous node.</w:t>
      </w:r>
    </w:p>
    <w:p w:rsidR="005F78FC" w:rsidRDefault="00B42EF3">
      <w:pPr>
        <w:pStyle w:val="Definition-Field2"/>
      </w:pPr>
      <w:r>
        <w:t>PowerPoint uses this value to specify that a trigger should be fired when the onPrevious event occurs on the specified target.</w:t>
      </w:r>
    </w:p>
    <w:p w:rsidR="005F78FC" w:rsidRDefault="00B42EF3">
      <w:pPr>
        <w:pStyle w:val="Definition-Field"/>
      </w:pPr>
      <w:r>
        <w:t xml:space="preserve">e.   </w:t>
      </w:r>
      <w:r>
        <w:rPr>
          <w:i/>
        </w:rPr>
        <w:t>The standard states that the onStopAudio value specifies that a trigger should be fired on stop a</w:t>
      </w:r>
      <w:r>
        <w:rPr>
          <w:i/>
        </w:rPr>
        <w:t>udio.</w:t>
      </w:r>
    </w:p>
    <w:p w:rsidR="005F78FC" w:rsidRDefault="00B42EF3">
      <w:pPr>
        <w:pStyle w:val="Definition-Field2"/>
      </w:pPr>
      <w:r>
        <w:t>PowerPoint uses this value to specify that a trigger should be fired when the onstopaudio command is fired from a cmd time node.</w:t>
      </w:r>
    </w:p>
    <w:p w:rsidR="005F78FC" w:rsidRDefault="00B42EF3">
      <w:pPr>
        <w:pStyle w:val="Heading3"/>
      </w:pPr>
      <w:bookmarkStart w:id="2412" w:name="section_3f5152a76417405bbadc827205e1f4f0"/>
      <w:bookmarkStart w:id="2413" w:name="_Toc69878979"/>
      <w:r>
        <w:t>Part 1 Section 19.7.55, ST_ViewType (List of View Types)</w:t>
      </w:r>
      <w:bookmarkEnd w:id="2412"/>
      <w:bookmarkEnd w:id="2413"/>
      <w:r>
        <w:fldChar w:fldCharType="begin"/>
      </w:r>
      <w:r>
        <w:instrText xml:space="preserve"> XE "ST_ViewType (List of View Types)" </w:instrText>
      </w:r>
      <w:r>
        <w:fldChar w:fldCharType="end"/>
      </w:r>
    </w:p>
    <w:p w:rsidR="005F78FC" w:rsidRDefault="00B42EF3">
      <w:pPr>
        <w:pStyle w:val="Definition-Field"/>
      </w:pPr>
      <w:r>
        <w:t xml:space="preserve">a.   </w:t>
      </w:r>
      <w:r>
        <w:rPr>
          <w:i/>
        </w:rPr>
        <w:t>The standard state</w:t>
      </w:r>
      <w:r>
        <w:rPr>
          <w:i/>
        </w:rPr>
        <w:t>s that the outlineView value specifies that outline view mode should be used.</w:t>
      </w:r>
    </w:p>
    <w:p w:rsidR="005F78FC" w:rsidRDefault="00B42EF3">
      <w:pPr>
        <w:pStyle w:val="Definition-Field2"/>
      </w:pPr>
      <w:r>
        <w:t>PowerPoint uses this value to specify that normal slide view mode should be used.</w:t>
      </w:r>
    </w:p>
    <w:p w:rsidR="005F78FC" w:rsidRDefault="00B42EF3">
      <w:pPr>
        <w:pStyle w:val="Heading3"/>
      </w:pPr>
      <w:bookmarkStart w:id="2414" w:name="section_24e1116b01e942b49a606ec7c266790d"/>
      <w:bookmarkStart w:id="2415" w:name="_Toc69878980"/>
      <w:r>
        <w:t>Part 1 Section 20.1.2.2.1, bldChart (Build Chart)</w:t>
      </w:r>
      <w:bookmarkEnd w:id="2414"/>
      <w:bookmarkEnd w:id="2415"/>
      <w:r>
        <w:fldChar w:fldCharType="begin"/>
      </w:r>
      <w:r>
        <w:instrText xml:space="preserve"> XE "bldChart (Build Chart)" </w:instrText>
      </w:r>
      <w:r>
        <w:fldChar w:fldCharType="end"/>
      </w:r>
    </w:p>
    <w:p w:rsidR="005F78FC" w:rsidRDefault="00B42EF3">
      <w:pPr>
        <w:pStyle w:val="Definition-Field"/>
      </w:pPr>
      <w:r>
        <w:t xml:space="preserve">a.   </w:t>
      </w:r>
      <w:r>
        <w:rPr>
          <w:i/>
        </w:rPr>
        <w:t>The standa</w:t>
      </w:r>
      <w:r>
        <w:rPr>
          <w:i/>
        </w:rPr>
        <w:t>rd does not clearly describe whether the bld attribute is a controller or an indicator of behavior.</w:t>
      </w:r>
    </w:p>
    <w:p w:rsidR="005F78FC" w:rsidRDefault="00B42EF3">
      <w:pPr>
        <w:pStyle w:val="Definition-Field2"/>
      </w:pPr>
      <w:r>
        <w:lastRenderedPageBreak/>
        <w:t>In Office, the bld attribute is an indicator rather than a controller of behavior.</w:t>
      </w:r>
    </w:p>
    <w:p w:rsidR="005F78FC" w:rsidRDefault="00B42EF3">
      <w:pPr>
        <w:pStyle w:val="Heading3"/>
      </w:pPr>
      <w:bookmarkStart w:id="2416" w:name="section_b2f238f84a034f4bb63bfe1f3eac7f47"/>
      <w:bookmarkStart w:id="2417" w:name="_Toc69878981"/>
      <w:r>
        <w:t>Part 1 Section 20.1.2.2.2, bldDgm (Build Diagram)</w:t>
      </w:r>
      <w:bookmarkEnd w:id="2416"/>
      <w:bookmarkEnd w:id="2417"/>
      <w:r>
        <w:fldChar w:fldCharType="begin"/>
      </w:r>
      <w:r>
        <w:instrText xml:space="preserve"> XE "bldDgm (Build Diagr</w:instrText>
      </w:r>
      <w:r>
        <w:instrText xml:space="preserve">am)" </w:instrText>
      </w:r>
      <w:r>
        <w:fldChar w:fldCharType="end"/>
      </w:r>
    </w:p>
    <w:p w:rsidR="005F78FC" w:rsidRDefault="00B42EF3">
      <w:pPr>
        <w:pStyle w:val="Definition-Field"/>
      </w:pPr>
      <w:r>
        <w:t xml:space="preserve">a.   </w:t>
      </w:r>
      <w:r>
        <w:rPr>
          <w:i/>
        </w:rPr>
        <w:t>The standard does not clearly describe whether attributes are controllers or indicators of a behavior.</w:t>
      </w:r>
    </w:p>
    <w:p w:rsidR="005F78FC" w:rsidRDefault="00B42EF3">
      <w:pPr>
        <w:pStyle w:val="Definition-Field2"/>
      </w:pPr>
      <w:r>
        <w:t>In Office, attributes are indicators rather than controllers of a behavior.</w:t>
      </w:r>
    </w:p>
    <w:p w:rsidR="005F78FC" w:rsidRDefault="00B42EF3">
      <w:pPr>
        <w:pStyle w:val="Heading3"/>
      </w:pPr>
      <w:bookmarkStart w:id="2418" w:name="section_b27c7603f2c646ed85f31ca87fc85510"/>
      <w:bookmarkStart w:id="2419" w:name="_Toc69878982"/>
      <w:r>
        <w:t>Part 1 Section 20.1.2.2.4, cNvCxnSpPr (Non-Visual Connector Shap</w:t>
      </w:r>
      <w:r>
        <w:t>e Drawing Properties)</w:t>
      </w:r>
      <w:bookmarkEnd w:id="2418"/>
      <w:bookmarkEnd w:id="2419"/>
      <w:r>
        <w:fldChar w:fldCharType="begin"/>
      </w:r>
      <w:r>
        <w:instrText xml:space="preserve"> XE "cNvCxnSpPr (Non-Visual Connector Shape Drawing Properties)" </w:instrText>
      </w:r>
      <w:r>
        <w:fldChar w:fldCharType="end"/>
      </w:r>
    </w:p>
    <w:p w:rsidR="005F78FC" w:rsidRDefault="00B42EF3">
      <w:pPr>
        <w:pStyle w:val="Definition-Field"/>
      </w:pPr>
      <w:r>
        <w:t xml:space="preserve">a.   </w:t>
      </w:r>
      <w:r>
        <w:rPr>
          <w:i/>
        </w:rPr>
        <w:t>The standard implies that the cNvCxnSpPr element can only be used when rendering a slide.</w:t>
      </w:r>
    </w:p>
    <w:p w:rsidR="005F78FC" w:rsidRDefault="00B42EF3">
      <w:pPr>
        <w:pStyle w:val="Definition-Field2"/>
      </w:pPr>
      <w:r>
        <w:t>In Office, the cNvCxnSpPr element is used in rendering presentations, sp</w:t>
      </w:r>
      <w:r>
        <w:t>readsheets and documents.</w:t>
      </w:r>
    </w:p>
    <w:p w:rsidR="005F78FC" w:rsidRDefault="00B42EF3">
      <w:pPr>
        <w:pStyle w:val="Heading3"/>
      </w:pPr>
      <w:bookmarkStart w:id="2420" w:name="section_bc12d6f013324416aecd30dfeb62091b"/>
      <w:bookmarkStart w:id="2421" w:name="_Toc69878983"/>
      <w:r>
        <w:t>Part 1 Section 20.1.2.2.5, cNvGraphicFramePr (Non-Visual Graphic Frame Drawing Properties)</w:t>
      </w:r>
      <w:bookmarkEnd w:id="2420"/>
      <w:bookmarkEnd w:id="2421"/>
      <w:r>
        <w:fldChar w:fldCharType="begin"/>
      </w:r>
      <w:r>
        <w:instrText xml:space="preserve"> XE "cNvGraphicFramePr (Non-Visual Graphic Frame Drawing Properties)" </w:instrText>
      </w:r>
      <w:r>
        <w:fldChar w:fldCharType="end"/>
      </w:r>
    </w:p>
    <w:p w:rsidR="005F78FC" w:rsidRDefault="00B42EF3">
      <w:pPr>
        <w:pStyle w:val="Definition-Field"/>
      </w:pPr>
      <w:r>
        <w:t xml:space="preserve">a.   </w:t>
      </w:r>
      <w:r>
        <w:rPr>
          <w:i/>
        </w:rPr>
        <w:t>The standard implies that the cNvGraphicsFramePr element can o</w:t>
      </w:r>
      <w:r>
        <w:rPr>
          <w:i/>
        </w:rPr>
        <w:t>nly be used when rendering a slide.</w:t>
      </w:r>
    </w:p>
    <w:p w:rsidR="005F78FC" w:rsidRDefault="00B42EF3">
      <w:pPr>
        <w:pStyle w:val="Definition-Field2"/>
      </w:pPr>
      <w:r>
        <w:t>In Office, the cNvGraphicsFramePr element is used in rendering presentations, spreadsheets and documents.</w:t>
      </w:r>
    </w:p>
    <w:p w:rsidR="005F78FC" w:rsidRDefault="00B42EF3">
      <w:pPr>
        <w:pStyle w:val="Heading3"/>
      </w:pPr>
      <w:bookmarkStart w:id="2422" w:name="section_58cd5b4217c74759959b4c5a2f6bf763"/>
      <w:bookmarkStart w:id="2423" w:name="_Toc69878984"/>
      <w:r>
        <w:t>Part 1 Section 20.1.2.2.6, cNvGrpSpPr (Non-Visual Group Shape Drawing Properties)</w:t>
      </w:r>
      <w:bookmarkEnd w:id="2422"/>
      <w:bookmarkEnd w:id="2423"/>
      <w:r>
        <w:fldChar w:fldCharType="begin"/>
      </w:r>
      <w:r>
        <w:instrText xml:space="preserve"> XE "cNvGrpSpPr (Non-Visual Group</w:instrText>
      </w:r>
      <w:r>
        <w:instrText xml:space="preserve"> Shape Drawing Properties)" </w:instrText>
      </w:r>
      <w:r>
        <w:fldChar w:fldCharType="end"/>
      </w:r>
    </w:p>
    <w:p w:rsidR="005F78FC" w:rsidRDefault="00B42EF3">
      <w:pPr>
        <w:pStyle w:val="Definition-Field"/>
      </w:pPr>
      <w:r>
        <w:t xml:space="preserve">a.   </w:t>
      </w:r>
      <w:r>
        <w:rPr>
          <w:i/>
        </w:rPr>
        <w:t>The standard implies that the cNvGrpSpPr element can only be used when rendering a slide.</w:t>
      </w:r>
    </w:p>
    <w:p w:rsidR="005F78FC" w:rsidRDefault="00B42EF3">
      <w:pPr>
        <w:pStyle w:val="Definition-Field2"/>
      </w:pPr>
      <w:r>
        <w:t>In Office, the cNvGrpSpPr element is used in rendering presentations, spreadsheets and documents.</w:t>
      </w:r>
    </w:p>
    <w:p w:rsidR="005F78FC" w:rsidRDefault="00B42EF3">
      <w:pPr>
        <w:pStyle w:val="Heading3"/>
      </w:pPr>
      <w:bookmarkStart w:id="2424" w:name="section_f34157f3cc864c16b62cc636d8a9e361"/>
      <w:bookmarkStart w:id="2425" w:name="_Toc69878985"/>
      <w:r>
        <w:t>Part 1 Section 20.1.2.2.11, cxnSpLocks (Connection Shape Locks)</w:t>
      </w:r>
      <w:bookmarkEnd w:id="2424"/>
      <w:bookmarkEnd w:id="2425"/>
      <w:r>
        <w:fldChar w:fldCharType="begin"/>
      </w:r>
      <w:r>
        <w:instrText xml:space="preserve"> XE "cxnSpLocks (Connection Shape Locks)"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57e0125f979847efbc6e53ffae4f6c28">
        <w:r>
          <w:rPr>
            <w:rStyle w:val="Hyperlink"/>
          </w:rPr>
          <w:t>picLocks, §20.1.2.2.31(a)</w:t>
        </w:r>
      </w:hyperlink>
      <w:r>
        <w:rPr>
          <w:i/>
        </w:rPr>
        <w:t>.</w:t>
      </w:r>
    </w:p>
    <w:p w:rsidR="005F78FC" w:rsidRDefault="00B42EF3">
      <w:pPr>
        <w:pStyle w:val="Definition-Field"/>
      </w:pPr>
      <w:r>
        <w:t xml:space="preserve">a.   </w:t>
      </w:r>
      <w:r>
        <w:rPr>
          <w:i/>
        </w:rPr>
        <w:t>The standard uses a shared attribute group for the locking attributes of shapes, pictures and other graphic objects.</w:t>
      </w:r>
    </w:p>
    <w:p w:rsidR="005F78FC" w:rsidRDefault="00B42EF3">
      <w:pPr>
        <w:pStyle w:val="Definition-Field2"/>
      </w:pPr>
      <w:r>
        <w:t xml:space="preserve">Office ignores attributes noChangeShapeType, noEditPoints and noRot when applied to a connection </w:t>
      </w:r>
      <w:r>
        <w:t>shape.</w:t>
      </w:r>
    </w:p>
    <w:p w:rsidR="005F78FC" w:rsidRDefault="00B42EF3">
      <w:pPr>
        <w:pStyle w:val="Heading3"/>
      </w:pPr>
      <w:bookmarkStart w:id="2426" w:name="section_c3622cf30c724b1bbaa875630639082d"/>
      <w:bookmarkStart w:id="2427" w:name="_Toc69878986"/>
      <w:r>
        <w:t>Part 1 Section 20.1.2.2.12, dgm (Diagram to Animate)</w:t>
      </w:r>
      <w:bookmarkEnd w:id="2426"/>
      <w:bookmarkEnd w:id="2427"/>
      <w:r>
        <w:fldChar w:fldCharType="begin"/>
      </w:r>
      <w:r>
        <w:instrText xml:space="preserve"> XE "dgm (Diagram to Animate)" </w:instrText>
      </w:r>
      <w:r>
        <w:fldChar w:fldCharType="end"/>
      </w:r>
    </w:p>
    <w:p w:rsidR="005F78FC" w:rsidRDefault="00B42EF3">
      <w:pPr>
        <w:pStyle w:val="Definition-Field"/>
      </w:pPr>
      <w:r>
        <w:t xml:space="preserve">a.   </w:t>
      </w:r>
      <w:r>
        <w:rPr>
          <w:i/>
        </w:rPr>
        <w:t>The standard states that attribute bldStep allows the entire diagram to be animated as one object.</w:t>
      </w:r>
    </w:p>
    <w:p w:rsidR="005F78FC" w:rsidRDefault="00B42EF3">
      <w:pPr>
        <w:pStyle w:val="Definition-Field2"/>
      </w:pPr>
      <w:r>
        <w:t>PowerPoint supports only build steps that animate diagram s</w:t>
      </w:r>
      <w:r>
        <w:t>hapes.</w:t>
      </w:r>
    </w:p>
    <w:p w:rsidR="005F78FC" w:rsidRDefault="00B42EF3">
      <w:pPr>
        <w:pStyle w:val="Heading3"/>
      </w:pPr>
      <w:bookmarkStart w:id="2428" w:name="section_5e8ab39f0beb40b1bfb11aea60ce7e2b"/>
      <w:bookmarkStart w:id="2429" w:name="_Toc69878987"/>
      <w:r>
        <w:t>Part 1 Section 20.1.2.2.13, endCxn (Connection End)</w:t>
      </w:r>
      <w:bookmarkEnd w:id="2428"/>
      <w:bookmarkEnd w:id="2429"/>
      <w:r>
        <w:fldChar w:fldCharType="begin"/>
      </w:r>
      <w:r>
        <w:instrText xml:space="preserve"> XE "endCxn (Connection End)" </w:instrText>
      </w:r>
      <w:r>
        <w:fldChar w:fldCharType="end"/>
      </w:r>
    </w:p>
    <w:p w:rsidR="005F78FC" w:rsidRDefault="00B42EF3">
      <w:pPr>
        <w:pStyle w:val="Definition-Field"/>
      </w:pPr>
      <w:r>
        <w:t xml:space="preserve">a.   </w:t>
      </w:r>
      <w:r>
        <w:rPr>
          <w:i/>
        </w:rPr>
        <w:t>The standard states that attributes id and idx only apply to the final connection.</w:t>
      </w:r>
    </w:p>
    <w:p w:rsidR="005F78FC" w:rsidRDefault="00B42EF3">
      <w:pPr>
        <w:pStyle w:val="Definition-Field2"/>
      </w:pPr>
      <w:r>
        <w:t>In Office, the id and idx attributes apply to all connections, not just the f</w:t>
      </w:r>
      <w:r>
        <w:t>inal connections.</w:t>
      </w:r>
    </w:p>
    <w:p w:rsidR="005F78FC" w:rsidRDefault="00B42EF3">
      <w:pPr>
        <w:pStyle w:val="Heading3"/>
      </w:pPr>
      <w:bookmarkStart w:id="2430" w:name="section_eb76ce70bb7c4714b266be157ebbf2a3"/>
      <w:bookmarkStart w:id="2431" w:name="_Toc69878988"/>
      <w:r>
        <w:lastRenderedPageBreak/>
        <w:t>Part 1 Section 20.1.2.2.14, ext (Extension)</w:t>
      </w:r>
      <w:bookmarkEnd w:id="2430"/>
      <w:bookmarkEnd w:id="2431"/>
      <w:r>
        <w:fldChar w:fldCharType="begin"/>
      </w:r>
      <w:r>
        <w:instrText xml:space="preserve"> XE "ext (Extension)" </w:instrText>
      </w:r>
      <w:r>
        <w:fldChar w:fldCharType="end"/>
      </w:r>
    </w:p>
    <w:p w:rsidR="005F78FC" w:rsidRDefault="00B42EF3">
      <w:pPr>
        <w:pStyle w:val="Definition-Field"/>
      </w:pPr>
      <w:r>
        <w:t xml:space="preserve">a.   </w:t>
      </w:r>
      <w:r>
        <w:rPr>
          <w:i/>
        </w:rPr>
        <w:t>The standard implies that the uri attribute is optional.</w:t>
      </w:r>
    </w:p>
    <w:p w:rsidR="005F78FC" w:rsidRDefault="00B42EF3">
      <w:pPr>
        <w:pStyle w:val="Definition-Field2"/>
      </w:pPr>
      <w:r>
        <w:t>Office requires the uri attribute.</w:t>
      </w:r>
    </w:p>
    <w:p w:rsidR="005F78FC" w:rsidRDefault="00B42EF3">
      <w:pPr>
        <w:pStyle w:val="Heading3"/>
      </w:pPr>
      <w:bookmarkStart w:id="2432" w:name="section_05d4382cb474457198bc227f8c917033"/>
      <w:bookmarkStart w:id="2433" w:name="_Toc69878989"/>
      <w:r>
        <w:t>Part 1 Section 20.1.2.2.17, graphicData (Graphic Object Data)</w:t>
      </w:r>
      <w:bookmarkEnd w:id="2432"/>
      <w:bookmarkEnd w:id="2433"/>
      <w:r>
        <w:fldChar w:fldCharType="begin"/>
      </w:r>
      <w:r>
        <w:instrText xml:space="preserve"> XE "graphic</w:instrText>
      </w:r>
      <w:r>
        <w:instrText xml:space="preserve">Data (Graphic Object Data)" </w:instrText>
      </w:r>
      <w:r>
        <w:fldChar w:fldCharType="end"/>
      </w:r>
    </w:p>
    <w:p w:rsidR="005F78FC" w:rsidRDefault="00B42EF3">
      <w:pPr>
        <w:pStyle w:val="Definition-Field"/>
      </w:pPr>
      <w:r>
        <w:t xml:space="preserve">a.   </w:t>
      </w:r>
      <w:r>
        <w:rPr>
          <w:i/>
        </w:rPr>
        <w:t>The standard implies that the uri attribute is optional.</w:t>
      </w:r>
    </w:p>
    <w:p w:rsidR="005F78FC" w:rsidRDefault="00B42EF3">
      <w:pPr>
        <w:pStyle w:val="Definition-Field2"/>
      </w:pPr>
      <w:r>
        <w:t>Office requires the uri attribute.</w:t>
      </w:r>
    </w:p>
    <w:p w:rsidR="005F78FC" w:rsidRDefault="00B42EF3">
      <w:pPr>
        <w:pStyle w:val="Definition-Field"/>
      </w:pPr>
      <w:r>
        <w:t xml:space="preserve">b.   </w:t>
      </w:r>
      <w:r>
        <w:rPr>
          <w:i/>
        </w:rPr>
        <w:t>The standard does not enumerate any known servers for processing the contents of the graphicData element.</w:t>
      </w:r>
    </w:p>
    <w:p w:rsidR="005F78FC" w:rsidRDefault="00B42EF3">
      <w:r>
        <w:t>Office implements</w:t>
      </w:r>
      <w:r>
        <w:t xml:space="preserve"> a finite set of servers for processing the contents of the graphicData element. Office uses the uri attribute to determine the contents of the graphicData element, as described in the following table:</w:t>
      </w:r>
    </w:p>
    <w:tbl>
      <w:tblPr>
        <w:tblStyle w:val="Table-ShadedHeader"/>
        <w:tblW w:w="0" w:type="auto"/>
        <w:tblLook w:val="04A0" w:firstRow="1" w:lastRow="0" w:firstColumn="1" w:lastColumn="0" w:noHBand="0" w:noVBand="1"/>
      </w:tblPr>
      <w:tblGrid>
        <w:gridCol w:w="5724"/>
        <w:gridCol w:w="1413"/>
        <w:gridCol w:w="2338"/>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URI</w:t>
            </w:r>
          </w:p>
        </w:tc>
        <w:tc>
          <w:tcPr>
            <w:tcW w:w="0" w:type="auto"/>
            <w:vAlign w:val="center"/>
          </w:tcPr>
          <w:p w:rsidR="005F78FC" w:rsidRDefault="00B42EF3">
            <w:pPr>
              <w:pStyle w:val="TableHeaderText"/>
            </w:pPr>
            <w:r>
              <w:t>Root Element</w:t>
            </w:r>
          </w:p>
        </w:tc>
        <w:tc>
          <w:tcPr>
            <w:tcW w:w="0" w:type="auto"/>
            <w:vAlign w:val="center"/>
          </w:tcPr>
          <w:p w:rsidR="005F78FC" w:rsidRDefault="00B42EF3">
            <w:pPr>
              <w:pStyle w:val="TableHeaderText"/>
            </w:pPr>
            <w:r>
              <w:t>Ref</w:t>
            </w:r>
          </w:p>
        </w:tc>
      </w:tr>
      <w:tr w:rsidR="005F78FC" w:rsidTr="005F78FC">
        <w:tc>
          <w:tcPr>
            <w:tcW w:w="0" w:type="auto"/>
            <w:vAlign w:val="center"/>
          </w:tcPr>
          <w:p w:rsidR="005F78FC" w:rsidRDefault="00B42EF3">
            <w:pPr>
              <w:pStyle w:val="TableBodyText"/>
            </w:pPr>
            <w:r>
              <w:t>http://schemas.openxmlformats.or</w:t>
            </w:r>
            <w:r>
              <w:t>g/drawingml/2006/table</w:t>
            </w:r>
          </w:p>
        </w:tc>
        <w:tc>
          <w:tcPr>
            <w:tcW w:w="0" w:type="auto"/>
            <w:vAlign w:val="center"/>
          </w:tcPr>
          <w:p w:rsidR="005F78FC" w:rsidRDefault="00B42EF3">
            <w:pPr>
              <w:pStyle w:val="TableBodyText"/>
            </w:pPr>
            <w:r>
              <w:t>tbl</w:t>
            </w:r>
          </w:p>
        </w:tc>
        <w:tc>
          <w:tcPr>
            <w:tcW w:w="0" w:type="auto"/>
            <w:vAlign w:val="center"/>
          </w:tcPr>
          <w:p w:rsidR="005F78FC" w:rsidRDefault="00B42EF3">
            <w:pPr>
              <w:pStyle w:val="TableBodyText"/>
            </w:pPr>
            <w:r>
              <w:t>"</w:t>
            </w:r>
            <w:hyperlink r:id="rId179">
              <w:r>
                <w:rPr>
                  <w:rStyle w:val="Hyperlink"/>
                </w:rPr>
                <w:t>[ISO/IEC-29500-1]</w:t>
              </w:r>
            </w:hyperlink>
            <w:r>
              <w:t xml:space="preserve"> §21.1.3.13; tbl"</w:t>
            </w:r>
          </w:p>
        </w:tc>
      </w:tr>
      <w:tr w:rsidR="005F78FC" w:rsidTr="005F78FC">
        <w:tc>
          <w:tcPr>
            <w:tcW w:w="0" w:type="auto"/>
            <w:vAlign w:val="center"/>
          </w:tcPr>
          <w:p w:rsidR="005F78FC" w:rsidRDefault="00B42EF3">
            <w:pPr>
              <w:pStyle w:val="TableBodyText"/>
            </w:pPr>
            <w:r>
              <w:t>http://schemas.openxmlformats.org/drawingml/2006/diagram</w:t>
            </w:r>
          </w:p>
        </w:tc>
        <w:tc>
          <w:tcPr>
            <w:tcW w:w="0" w:type="auto"/>
            <w:vAlign w:val="center"/>
          </w:tcPr>
          <w:p w:rsidR="005F78FC" w:rsidRDefault="00B42EF3">
            <w:pPr>
              <w:pStyle w:val="TableBodyText"/>
            </w:pPr>
            <w:r>
              <w:t>relIds</w:t>
            </w:r>
          </w:p>
        </w:tc>
        <w:tc>
          <w:tcPr>
            <w:tcW w:w="0" w:type="auto"/>
            <w:vAlign w:val="center"/>
          </w:tcPr>
          <w:p w:rsidR="005F78FC" w:rsidRDefault="00B42EF3">
            <w:pPr>
              <w:pStyle w:val="TableBodyText"/>
            </w:pPr>
            <w:r>
              <w:t>"[ISO/IEC-29500-1] §21.4.2.22; relIds"</w:t>
            </w:r>
          </w:p>
        </w:tc>
      </w:tr>
      <w:tr w:rsidR="005F78FC" w:rsidTr="005F78FC">
        <w:tc>
          <w:tcPr>
            <w:tcW w:w="0" w:type="auto"/>
            <w:vAlign w:val="center"/>
          </w:tcPr>
          <w:p w:rsidR="005F78FC" w:rsidRDefault="00B42EF3">
            <w:pPr>
              <w:pStyle w:val="TableBodyText"/>
            </w:pPr>
            <w:r>
              <w:t>http://schemas.openxmlformats.org/drawingml/2006/chart</w:t>
            </w:r>
          </w:p>
        </w:tc>
        <w:tc>
          <w:tcPr>
            <w:tcW w:w="0" w:type="auto"/>
            <w:vAlign w:val="center"/>
          </w:tcPr>
          <w:p w:rsidR="005F78FC" w:rsidRDefault="00B42EF3">
            <w:pPr>
              <w:pStyle w:val="TableBodyText"/>
            </w:pPr>
            <w:r>
              <w:t>chart</w:t>
            </w:r>
          </w:p>
        </w:tc>
        <w:tc>
          <w:tcPr>
            <w:tcW w:w="0" w:type="auto"/>
            <w:vAlign w:val="center"/>
          </w:tcPr>
          <w:p w:rsidR="005F78FC" w:rsidRDefault="00B42EF3">
            <w:pPr>
              <w:pStyle w:val="TableBodyText"/>
            </w:pPr>
            <w:r>
              <w:t>"[ISO/IEC-29500-1] §21.2.2.26; chart"</w:t>
            </w:r>
          </w:p>
        </w:tc>
      </w:tr>
      <w:tr w:rsidR="005F78FC" w:rsidTr="005F78FC">
        <w:tc>
          <w:tcPr>
            <w:tcW w:w="0" w:type="auto"/>
            <w:vAlign w:val="center"/>
          </w:tcPr>
          <w:p w:rsidR="005F78FC" w:rsidRDefault="00B42EF3">
            <w:pPr>
              <w:pStyle w:val="TableBodyText"/>
            </w:pPr>
            <w:r>
              <w:t>http://schemas.openxmlformats.org/drawingml/2006/picture</w:t>
            </w:r>
          </w:p>
        </w:tc>
        <w:tc>
          <w:tcPr>
            <w:tcW w:w="0" w:type="auto"/>
            <w:vAlign w:val="center"/>
          </w:tcPr>
          <w:p w:rsidR="005F78FC" w:rsidRDefault="00B42EF3">
            <w:pPr>
              <w:pStyle w:val="TableBodyText"/>
            </w:pPr>
            <w:r>
              <w:t>pic</w:t>
            </w:r>
          </w:p>
        </w:tc>
        <w:tc>
          <w:tcPr>
            <w:tcW w:w="0" w:type="auto"/>
            <w:vAlign w:val="center"/>
          </w:tcPr>
          <w:p w:rsidR="005F78FC" w:rsidRDefault="00B42EF3">
            <w:pPr>
              <w:pStyle w:val="TableBodyText"/>
            </w:pPr>
            <w:r>
              <w:t>"[ISO/IEC-29500-1] §20.2.2.5; pic"</w:t>
            </w:r>
          </w:p>
        </w:tc>
      </w:tr>
      <w:tr w:rsidR="005F78FC" w:rsidTr="005F78FC">
        <w:tc>
          <w:tcPr>
            <w:tcW w:w="0" w:type="auto"/>
            <w:vAlign w:val="center"/>
          </w:tcPr>
          <w:p w:rsidR="005F78FC" w:rsidRDefault="00B42EF3">
            <w:pPr>
              <w:pStyle w:val="TableBodyText"/>
            </w:pPr>
            <w:r>
              <w:t>http://schemas.openxmlformats.org/drawingml/2006/compatibil</w:t>
            </w:r>
            <w:r>
              <w:t>ity</w:t>
            </w:r>
          </w:p>
        </w:tc>
        <w:tc>
          <w:tcPr>
            <w:tcW w:w="0" w:type="auto"/>
            <w:vAlign w:val="center"/>
          </w:tcPr>
          <w:p w:rsidR="005F78FC" w:rsidRDefault="00B42EF3">
            <w:pPr>
              <w:pStyle w:val="TableBodyText"/>
            </w:pPr>
            <w:r>
              <w:t>legacyDrawing</w:t>
            </w:r>
          </w:p>
        </w:tc>
        <w:tc>
          <w:tcPr>
            <w:tcW w:w="0" w:type="auto"/>
            <w:vAlign w:val="center"/>
          </w:tcPr>
          <w:p w:rsidR="005F78FC" w:rsidRDefault="00B42EF3">
            <w:pPr>
              <w:pStyle w:val="TableBodyText"/>
            </w:pPr>
            <w:r>
              <w:t>"</w:t>
            </w:r>
            <w:hyperlink r:id="rId180">
              <w:r>
                <w:rPr>
                  <w:rStyle w:val="Hyperlink"/>
                </w:rPr>
                <w:t>[ISO/IEC-29500-4]</w:t>
              </w:r>
            </w:hyperlink>
            <w:r>
              <w:t xml:space="preserve"> §17.2.2.1; legacyDrawing (Legacy Drawing Object)"</w:t>
            </w:r>
          </w:p>
        </w:tc>
      </w:tr>
      <w:tr w:rsidR="005F78FC" w:rsidTr="005F78FC">
        <w:tc>
          <w:tcPr>
            <w:tcW w:w="0" w:type="auto"/>
            <w:vAlign w:val="center"/>
          </w:tcPr>
          <w:p w:rsidR="005F78FC" w:rsidRDefault="00B42EF3">
            <w:pPr>
              <w:pStyle w:val="TableBodyText"/>
            </w:pPr>
            <w:r>
              <w:t>http://schemas.openxmlformats.org/drawingml/2006/lockedCanvas</w:t>
            </w:r>
          </w:p>
        </w:tc>
        <w:tc>
          <w:tcPr>
            <w:tcW w:w="0" w:type="auto"/>
            <w:vAlign w:val="center"/>
          </w:tcPr>
          <w:p w:rsidR="005F78FC" w:rsidRDefault="00B42EF3">
            <w:pPr>
              <w:pStyle w:val="TableBodyText"/>
            </w:pPr>
            <w:r>
              <w:t>lockedCanvas</w:t>
            </w:r>
          </w:p>
        </w:tc>
        <w:tc>
          <w:tcPr>
            <w:tcW w:w="0" w:type="auto"/>
            <w:vAlign w:val="center"/>
          </w:tcPr>
          <w:p w:rsidR="005F78FC" w:rsidRDefault="00B42EF3">
            <w:pPr>
              <w:pStyle w:val="TableBodyText"/>
            </w:pPr>
            <w:r>
              <w:t>"[ISO/IEC-29500-1]</w:t>
            </w:r>
            <w:r>
              <w:t xml:space="preserve"> §20.3.2.1; lockedCanvas"</w:t>
            </w:r>
          </w:p>
        </w:tc>
      </w:tr>
      <w:tr w:rsidR="005F78FC" w:rsidTr="005F78FC">
        <w:tc>
          <w:tcPr>
            <w:tcW w:w="0" w:type="auto"/>
            <w:vAlign w:val="center"/>
          </w:tcPr>
          <w:p w:rsidR="005F78FC" w:rsidRDefault="00B42EF3">
            <w:pPr>
              <w:pStyle w:val="TableBodyText"/>
            </w:pPr>
            <w:r>
              <w:t>http://schemas.openxmlformats.org/presentationml/2006/ole</w:t>
            </w:r>
          </w:p>
        </w:tc>
        <w:tc>
          <w:tcPr>
            <w:tcW w:w="0" w:type="auto"/>
            <w:vAlign w:val="center"/>
          </w:tcPr>
          <w:p w:rsidR="005F78FC" w:rsidRDefault="00B42EF3">
            <w:pPr>
              <w:pStyle w:val="TableBodyText"/>
            </w:pPr>
            <w:r>
              <w:t>oleObj</w:t>
            </w:r>
          </w:p>
        </w:tc>
        <w:tc>
          <w:tcPr>
            <w:tcW w:w="0" w:type="auto"/>
            <w:vAlign w:val="center"/>
          </w:tcPr>
          <w:p w:rsidR="005F78FC" w:rsidRDefault="00B42EF3">
            <w:pPr>
              <w:pStyle w:val="TableBodyText"/>
            </w:pPr>
            <w:r>
              <w:t>"[ISO/IEC-29500-1] §19.3.2.4; oleObj"</w:t>
            </w:r>
          </w:p>
        </w:tc>
      </w:tr>
    </w:tbl>
    <w:p w:rsidR="005F78FC" w:rsidRDefault="005F78FC"/>
    <w:p w:rsidR="005F78FC" w:rsidRDefault="00B42EF3">
      <w:pPr>
        <w:pStyle w:val="Heading3"/>
      </w:pPr>
      <w:bookmarkStart w:id="2434" w:name="section_68cd339693e94244b7286ac467d7f626"/>
      <w:bookmarkStart w:id="2435" w:name="_Toc69878990"/>
      <w:r>
        <w:t>Part 1 Section 20.1.2.2.19, graphicFrameLocks (Graphic Frame Locks)</w:t>
      </w:r>
      <w:bookmarkEnd w:id="2434"/>
      <w:bookmarkEnd w:id="2435"/>
      <w:r>
        <w:fldChar w:fldCharType="begin"/>
      </w:r>
      <w:r>
        <w:instrText xml:space="preserve"> XE "graphicFrameLocks (Graphic Frame Locks)" </w:instrText>
      </w:r>
      <w:r>
        <w:fldChar w:fldCharType="end"/>
      </w:r>
    </w:p>
    <w:p w:rsidR="005F78FC" w:rsidRDefault="00B42EF3">
      <w:pPr>
        <w:pStyle w:val="Definition-Field"/>
      </w:pPr>
      <w:r>
        <w:t xml:space="preserve">a.   </w:t>
      </w:r>
      <w:r>
        <w:rPr>
          <w:i/>
        </w:rPr>
        <w:t>The</w:t>
      </w:r>
      <w:r>
        <w:rPr>
          <w:i/>
        </w:rPr>
        <w:t xml:space="preserve"> standard specifies that an implementing application should lock the aspect ratio of the graphic frame if the value of the noChangeAspect attribute is true.</w:t>
      </w:r>
    </w:p>
    <w:p w:rsidR="005F78FC" w:rsidRDefault="00B42EF3">
      <w:pPr>
        <w:pStyle w:val="Definition-Field2"/>
      </w:pPr>
      <w:r>
        <w:t>When a user resizes a graphicFrame by direct manipulation (by dragging with the mouse, for example)</w:t>
      </w:r>
      <w:r>
        <w:t>, Office ignores the noChangeAspect attribute. When a user resizes the frame by entering the desired dimensions, this attribute is taken into account.</w:t>
      </w:r>
    </w:p>
    <w:p w:rsidR="005F78FC" w:rsidRDefault="00B42EF3">
      <w:pPr>
        <w:pStyle w:val="Definition-Field"/>
      </w:pPr>
      <w:r>
        <w:t xml:space="preserve">b.   </w:t>
      </w:r>
      <w:r>
        <w:rPr>
          <w:i/>
        </w:rPr>
        <w:t>The standard includes noMove and noResize as attributes of the element graphicFrame.</w:t>
      </w:r>
    </w:p>
    <w:p w:rsidR="005F78FC" w:rsidRDefault="00B42EF3">
      <w:pPr>
        <w:pStyle w:val="Definition-Field2"/>
      </w:pPr>
      <w:r>
        <w:t>Office does not</w:t>
      </w:r>
      <w:r>
        <w:t xml:space="preserve"> implement and will ignore the attributes noMove and noResize for graphicFrame elements.</w:t>
      </w:r>
    </w:p>
    <w:p w:rsidR="005F78FC" w:rsidRDefault="00B42EF3">
      <w:pPr>
        <w:pStyle w:val="Definition-Field"/>
      </w:pPr>
      <w:r>
        <w:lastRenderedPageBreak/>
        <w:t xml:space="preserve">c.   </w:t>
      </w:r>
      <w:r>
        <w:rPr>
          <w:i/>
        </w:rPr>
        <w:t>The standard states that the noSelect attribute of element graphicFrameLocks disallows the selection of the corresponding picture.</w:t>
      </w:r>
    </w:p>
    <w:p w:rsidR="005F78FC" w:rsidRDefault="00B42EF3">
      <w:pPr>
        <w:pStyle w:val="Definition-Field2"/>
      </w:pPr>
      <w:r>
        <w:t>In Office, the noSelect attribu</w:t>
      </w:r>
      <w:r>
        <w:t>te of element graphicFrameLocks disallows the selection of the corresponding graphic frame.</w:t>
      </w:r>
    </w:p>
    <w:p w:rsidR="005F78FC" w:rsidRDefault="00B42EF3">
      <w:pPr>
        <w:pStyle w:val="Heading3"/>
      </w:pPr>
      <w:bookmarkStart w:id="2436" w:name="section_aeb0946131ca4e03b47b279d8705c69c"/>
      <w:bookmarkStart w:id="2437" w:name="_Toc69878991"/>
      <w:r>
        <w:t>Part 1 Section 20.1.2.2.21, grpSpLocks (Group Shape Locks)</w:t>
      </w:r>
      <w:bookmarkEnd w:id="2436"/>
      <w:bookmarkEnd w:id="2437"/>
      <w:r>
        <w:fldChar w:fldCharType="begin"/>
      </w:r>
      <w:r>
        <w:instrText xml:space="preserve"> XE "grpSpLocks (Group Shape Locks)" </w:instrText>
      </w:r>
      <w:r>
        <w:fldChar w:fldCharType="end"/>
      </w:r>
    </w:p>
    <w:p w:rsidR="005F78FC" w:rsidRDefault="00B42EF3">
      <w:pPr>
        <w:pStyle w:val="Definition-Field"/>
      </w:pPr>
      <w:r>
        <w:t xml:space="preserve">a.   </w:t>
      </w:r>
      <w:r>
        <w:rPr>
          <w:i/>
        </w:rPr>
        <w:t>The standard states that grpSpLocks specifies the locking pro</w:t>
      </w:r>
      <w:r>
        <w:rPr>
          <w:i/>
        </w:rPr>
        <w:t>perties for a connection shape.</w:t>
      </w:r>
    </w:p>
    <w:p w:rsidR="005F78FC" w:rsidRDefault="00B42EF3">
      <w:pPr>
        <w:pStyle w:val="Definition-Field2"/>
      </w:pPr>
      <w:r>
        <w:t>In Office, grpSpLocks specifies the locking properties for a group shape.</w:t>
      </w:r>
    </w:p>
    <w:p w:rsidR="005F78FC" w:rsidRDefault="00B42EF3">
      <w:pPr>
        <w:pStyle w:val="Heading3"/>
      </w:pPr>
      <w:bookmarkStart w:id="2438" w:name="section_414983b3f7b64cd7aec65edc6328026e"/>
      <w:bookmarkStart w:id="2439" w:name="_Toc69878992"/>
      <w:r>
        <w:t>Part 1 Section 20.1.2.2.22, grpSpPr (Visual Group Shape Properties)</w:t>
      </w:r>
      <w:bookmarkEnd w:id="2438"/>
      <w:bookmarkEnd w:id="2439"/>
      <w:r>
        <w:fldChar w:fldCharType="begin"/>
      </w:r>
      <w:r>
        <w:instrText xml:space="preserve"> XE "grpSpPr (Visual Group Shape Properties)" </w:instrText>
      </w:r>
      <w:r>
        <w:fldChar w:fldCharType="end"/>
      </w:r>
    </w:p>
    <w:p w:rsidR="005F78FC" w:rsidRDefault="00B42EF3">
      <w:pPr>
        <w:pStyle w:val="Definition-Field2"/>
      </w:pPr>
      <w:r>
        <w:rPr>
          <w:i/>
        </w:rPr>
        <w:t>For additional notes that apply to</w:t>
      </w:r>
      <w:r>
        <w:rPr>
          <w:i/>
        </w:rPr>
        <w:t xml:space="preserve"> this portion of the standard, please see the notes for </w:t>
      </w:r>
      <w:hyperlink w:anchor="Section_0b7e3dab028b4c2285e631bc3dc52e04">
        <w:r>
          <w:rPr>
            <w:rStyle w:val="Hyperlink"/>
          </w:rPr>
          <w:t>grpSpPr, §20.5.2.18(a-c)</w:t>
        </w:r>
      </w:hyperlink>
      <w:r>
        <w:rPr>
          <w:i/>
        </w:rPr>
        <w:t>.</w:t>
      </w:r>
    </w:p>
    <w:p w:rsidR="005F78FC" w:rsidRDefault="00B42EF3">
      <w:pPr>
        <w:pStyle w:val="Heading3"/>
      </w:pPr>
      <w:bookmarkStart w:id="2440" w:name="section_9ed01f1809cb47df94f37968e6f48bbf"/>
      <w:bookmarkStart w:id="2441" w:name="_Toc69878993"/>
      <w:r>
        <w:t>Part 1 Section 20.1.2.2.23, hlinkHover (Hyperlink for Hover)</w:t>
      </w:r>
      <w:bookmarkEnd w:id="2440"/>
      <w:bookmarkEnd w:id="2441"/>
      <w:r>
        <w:fldChar w:fldCharType="begin"/>
      </w:r>
      <w:r>
        <w:instrText xml:space="preserve"> XE "hlinkHover (Hyperlink for Hover)" </w:instrText>
      </w:r>
      <w:r>
        <w:fldChar w:fldCharType="end"/>
      </w:r>
    </w:p>
    <w:p w:rsidR="005F78FC" w:rsidRDefault="00B42EF3">
      <w:pPr>
        <w:pStyle w:val="Definition-Field2"/>
      </w:pPr>
      <w:r>
        <w:rPr>
          <w:i/>
        </w:rPr>
        <w:t>For addit</w:t>
      </w:r>
      <w:r>
        <w:rPr>
          <w:i/>
        </w:rPr>
        <w:t xml:space="preserve">ional notes that apply to this portion of the standard, please see the notes for </w:t>
      </w:r>
      <w:hyperlink w:anchor="Section_a65b76db6abc49898cd1baa9a3500f6f">
        <w:r>
          <w:rPr>
            <w:rStyle w:val="Hyperlink"/>
          </w:rPr>
          <w:t>hlinkClick, §21.1.2.3.5(a)</w:t>
        </w:r>
      </w:hyperlink>
      <w:r>
        <w:rPr>
          <w:i/>
        </w:rPr>
        <w:t>.</w:t>
      </w:r>
    </w:p>
    <w:p w:rsidR="005F78FC" w:rsidRDefault="00B42EF3">
      <w:pPr>
        <w:pStyle w:val="Heading3"/>
      </w:pPr>
      <w:bookmarkStart w:id="2442" w:name="section_5564035f88ff4ab8bbfbd2998a83324d"/>
      <w:bookmarkStart w:id="2443" w:name="_Toc69878994"/>
      <w:r>
        <w:t>Part 1 Section 20.1.2.2.24, ln (Outline)</w:t>
      </w:r>
      <w:bookmarkEnd w:id="2442"/>
      <w:bookmarkEnd w:id="2443"/>
      <w:r>
        <w:fldChar w:fldCharType="begin"/>
      </w:r>
      <w:r>
        <w:instrText xml:space="preserve"> XE "ln (Outline)" </w:instrText>
      </w:r>
      <w:r>
        <w:fldChar w:fldCharType="end"/>
      </w:r>
    </w:p>
    <w:p w:rsidR="005F78FC" w:rsidRDefault="00B42EF3">
      <w:pPr>
        <w:pStyle w:val="Definition-Field"/>
      </w:pPr>
      <w:r>
        <w:t xml:space="preserve">a.   </w:t>
      </w:r>
      <w:r>
        <w:rPr>
          <w:i/>
        </w:rPr>
        <w:t>The standard does</w:t>
      </w:r>
      <w:r>
        <w:rPr>
          <w:i/>
        </w:rPr>
        <w:t xml:space="preserve"> not specify a default value for the algn attribute.</w:t>
      </w:r>
    </w:p>
    <w:p w:rsidR="005F78FC" w:rsidRDefault="00B42EF3">
      <w:pPr>
        <w:pStyle w:val="Definition-Field2"/>
      </w:pPr>
      <w:r>
        <w:t>Office uses a default value of ctr for the algn attribute.</w:t>
      </w:r>
    </w:p>
    <w:p w:rsidR="005F78FC" w:rsidRDefault="00B42EF3">
      <w:pPr>
        <w:pStyle w:val="Definition-Field"/>
      </w:pPr>
      <w:r>
        <w:t xml:space="preserve">b.   </w:t>
      </w:r>
      <w:r>
        <w:rPr>
          <w:i/>
        </w:rPr>
        <w:t>The standard states that sq is the default value for the cap attribute.</w:t>
      </w:r>
    </w:p>
    <w:p w:rsidR="005F78FC" w:rsidRDefault="00B42EF3">
      <w:pPr>
        <w:pStyle w:val="Definition-Field2"/>
      </w:pPr>
      <w:r>
        <w:t>Office uses flat as the default value for cap.</w:t>
      </w:r>
    </w:p>
    <w:p w:rsidR="005F78FC" w:rsidRDefault="00B42EF3">
      <w:pPr>
        <w:pStyle w:val="Definition-Field"/>
      </w:pPr>
      <w:r>
        <w:t xml:space="preserve">c.   </w:t>
      </w:r>
      <w:r>
        <w:rPr>
          <w:i/>
        </w:rPr>
        <w:t>The standard al</w:t>
      </w:r>
      <w:r>
        <w:rPr>
          <w:i/>
        </w:rPr>
        <w:t>lows for the specifying of the tailEnd child element, headEnd child element and cap attribute within the ln element.</w:t>
      </w:r>
    </w:p>
    <w:p w:rsidR="005F78FC" w:rsidRDefault="00B42EF3">
      <w:pPr>
        <w:pStyle w:val="Definition-Field2"/>
      </w:pPr>
      <w:r>
        <w:t>Office does not use the tailEnd child element, headEnd child element and cap attribute when the parent element is the rPr element.</w:t>
      </w:r>
    </w:p>
    <w:p w:rsidR="005F78FC" w:rsidRDefault="00B42EF3">
      <w:pPr>
        <w:pStyle w:val="Definition-Field"/>
      </w:pPr>
      <w:r>
        <w:t xml:space="preserve">d.   </w:t>
      </w:r>
      <w:r>
        <w:rPr>
          <w:i/>
        </w:rPr>
        <w:t>The</w:t>
      </w:r>
      <w:r>
        <w:rPr>
          <w:i/>
        </w:rPr>
        <w:t xml:space="preserve"> standard does not specify conditions under which this element might be superseded.</w:t>
      </w:r>
    </w:p>
    <w:p w:rsidR="005F78FC" w:rsidRDefault="00B42EF3">
      <w:pPr>
        <w:pStyle w:val="Definition-Field"/>
        <w:ind w:firstLine="0"/>
      </w:pPr>
      <w:r>
        <w:t>In Microsoft Office 2016, when this element is omitted from the spPr element nested inside a dataPoint element in a CT_ChartStyle (</w:t>
      </w:r>
      <w:hyperlink r:id="rId181" w:anchor="Section_06cff208c6e14db7bb68665135e5f0de">
        <w:r>
          <w:rPr>
            <w:rStyle w:val="Hyperlink"/>
          </w:rPr>
          <w:t>[MS-ODRAWXML]</w:t>
        </w:r>
      </w:hyperlink>
      <w:r>
        <w:t xml:space="preserve"> Section 2.8.3.1), and when the dataPoint CT_StyleEntry is formatting a CT_Series ([MS-ODRAWXML] Section 2.24.3.75) with at least one complex formatting property (such as pattern fill, gradient fill, g</w:t>
      </w:r>
      <w:r>
        <w:t>low, shadow, 3D effect, or line dashing), and when the CT_ChartStyle is used to style a chart in a part using the relationship type of “</w:t>
      </w:r>
      <w:hyperlink r:id="rId182" w:history="1">
        <w:r>
          <w:rPr>
            <w:rStyle w:val="Hyperlink"/>
          </w:rPr>
          <w:t>http://schemas.microsoft.com/office/drawing/2014/c</w:t>
        </w:r>
        <w:r>
          <w:rPr>
            <w:rStyle w:val="Hyperlink"/>
          </w:rPr>
          <w:t>hartex</w:t>
        </w:r>
      </w:hyperlink>
      <w:r>
        <w:t>” ([MS-ODRAWXML] Section 2.24), the ln element under the spPr element in dataPointLine is used in place of this element.</w:t>
      </w:r>
    </w:p>
    <w:p w:rsidR="005F78FC" w:rsidRDefault="00B42EF3">
      <w:pPr>
        <w:pStyle w:val="Heading3"/>
      </w:pPr>
      <w:bookmarkStart w:id="2444" w:name="section_57e0125f979847efbc6e53ffae4f6c28"/>
      <w:bookmarkStart w:id="2445" w:name="_Toc69878995"/>
      <w:r>
        <w:t>Part 1 Section 20.1.2.2.31, picLocks (Picture Locks)</w:t>
      </w:r>
      <w:bookmarkEnd w:id="2444"/>
      <w:bookmarkEnd w:id="2445"/>
      <w:r>
        <w:fldChar w:fldCharType="begin"/>
      </w:r>
      <w:r>
        <w:instrText xml:space="preserve"> XE "picLocks (Picture Locks)" </w:instrText>
      </w:r>
      <w:r>
        <w:fldChar w:fldCharType="end"/>
      </w:r>
    </w:p>
    <w:p w:rsidR="005F78FC" w:rsidRDefault="00B42EF3">
      <w:pPr>
        <w:pStyle w:val="Definition-Field"/>
      </w:pPr>
      <w:r>
        <w:t xml:space="preserve">a.   </w:t>
      </w:r>
      <w:r>
        <w:rPr>
          <w:i/>
        </w:rPr>
        <w:t xml:space="preserve">The standard references only </w:t>
      </w:r>
      <w:r>
        <w:rPr>
          <w:i/>
        </w:rPr>
        <w:t>connection shapes as a part of the picLocks element attribute descriptions for the AG_Locking attribute group.</w:t>
      </w:r>
    </w:p>
    <w:p w:rsidR="005F78FC" w:rsidRDefault="00B42EF3">
      <w:pPr>
        <w:pStyle w:val="Definition-Field2"/>
      </w:pPr>
      <w:r>
        <w:t>In Office, AG_Locking attribute group attributes also applies to shapes and pictures.</w:t>
      </w:r>
    </w:p>
    <w:p w:rsidR="005F78FC" w:rsidRDefault="00B42EF3">
      <w:pPr>
        <w:pStyle w:val="Definition-Field"/>
      </w:pPr>
      <w:r>
        <w:t xml:space="preserve">b.   </w:t>
      </w:r>
      <w:r>
        <w:rPr>
          <w:i/>
        </w:rPr>
        <w:t>The standard uses a shared attribute group for the loc</w:t>
      </w:r>
      <w:r>
        <w:rPr>
          <w:i/>
        </w:rPr>
        <w:t>king attributes of shapes, pictures and other graphic objects.</w:t>
      </w:r>
    </w:p>
    <w:p w:rsidR="005F78FC" w:rsidRDefault="00B42EF3">
      <w:pPr>
        <w:pStyle w:val="Definition-Field2"/>
      </w:pPr>
      <w:r>
        <w:lastRenderedPageBreak/>
        <w:t>Office ignores attributes noChangeArrowheads, noChageShapeType, noEditPoints and noRot when applied to a picture object. Additionally, PowerPoint ignores noAdjustHandles and Word ignores noMove</w:t>
      </w:r>
      <w:r>
        <w:t xml:space="preserve"> and noResize when applied to a picture object.</w:t>
      </w:r>
    </w:p>
    <w:p w:rsidR="005F78FC" w:rsidRDefault="00B42EF3">
      <w:pPr>
        <w:pStyle w:val="Heading3"/>
      </w:pPr>
      <w:bookmarkStart w:id="2446" w:name="section_26a003a89aa34f9794059a41ececf014"/>
      <w:bookmarkStart w:id="2447" w:name="_Toc69878996"/>
      <w:r>
        <w:t>Part 1 Section 20.1.2.2.34, spLocks (Shape Locks)</w:t>
      </w:r>
      <w:bookmarkEnd w:id="2446"/>
      <w:bookmarkEnd w:id="2447"/>
      <w:r>
        <w:fldChar w:fldCharType="begin"/>
      </w:r>
      <w:r>
        <w:instrText xml:space="preserve"> XE "spLocks (Shape Locks)"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57e0125f979847efbc6e53ffae4f6c28">
        <w:r>
          <w:rPr>
            <w:rStyle w:val="Hyperlink"/>
          </w:rPr>
          <w:t>picLocks, §20.1.2.2.31(a)</w:t>
        </w:r>
      </w:hyperlink>
      <w:r>
        <w:rPr>
          <w:i/>
        </w:rPr>
        <w:t>.</w:t>
      </w:r>
    </w:p>
    <w:p w:rsidR="005F78FC" w:rsidRDefault="00B42EF3">
      <w:pPr>
        <w:pStyle w:val="Definition-Field"/>
      </w:pPr>
      <w:r>
        <w:t xml:space="preserve">a.   </w:t>
      </w:r>
      <w:r>
        <w:rPr>
          <w:i/>
        </w:rPr>
        <w:t>The standard uses a shared attribute group for the locking attributes of shapes, pictures and other graphic objects.</w:t>
      </w:r>
    </w:p>
    <w:p w:rsidR="005F78FC" w:rsidRDefault="00B42EF3">
      <w:pPr>
        <w:pStyle w:val="Definition-Field2"/>
      </w:pPr>
      <w:r>
        <w:t>Office ignores attributes noChangeArrowheads and noRot when applied to a shape. Po</w:t>
      </w:r>
      <w:r>
        <w:t>werPoint additionally ignores the attribute noAdjustHandles when applied to a shape and noChangeShapeType when the converting the shape to a freeform.</w:t>
      </w:r>
    </w:p>
    <w:p w:rsidR="005F78FC" w:rsidRDefault="00B42EF3">
      <w:pPr>
        <w:pStyle w:val="Heading3"/>
      </w:pPr>
      <w:bookmarkStart w:id="2448" w:name="section_d91dc0a3157d4a179945f4226b94b9e8"/>
      <w:bookmarkStart w:id="2449" w:name="_Toc69878997"/>
      <w:r>
        <w:t>Part 1 Section 20.1.2.2.35, spPr (Shape Properties)</w:t>
      </w:r>
      <w:bookmarkEnd w:id="2448"/>
      <w:bookmarkEnd w:id="2449"/>
      <w:r>
        <w:fldChar w:fldCharType="begin"/>
      </w:r>
      <w:r>
        <w:instrText xml:space="preserve"> XE "spPr (Shape Properties)" </w:instrText>
      </w:r>
      <w:r>
        <w:fldChar w:fldCharType="end"/>
      </w:r>
    </w:p>
    <w:p w:rsidR="005F78FC" w:rsidRDefault="00B42EF3">
      <w:pPr>
        <w:pStyle w:val="Definition-Field2"/>
      </w:pPr>
      <w:r>
        <w:rPr>
          <w:i/>
        </w:rPr>
        <w:t xml:space="preserve">For additional notes </w:t>
      </w:r>
      <w:r>
        <w:rPr>
          <w:i/>
        </w:rPr>
        <w:t xml:space="preserve">that apply to this portion of the standard, please see the notes for </w:t>
      </w:r>
      <w:hyperlink w:anchor="Section_a10c455e7a6e44c5bf8cfb7c2b3e2eac">
        <w:r>
          <w:rPr>
            <w:rStyle w:val="Hyperlink"/>
          </w:rPr>
          <w:t>spPr, §20.5.2.30(a-c)</w:t>
        </w:r>
      </w:hyperlink>
      <w:r>
        <w:rPr>
          <w:i/>
        </w:rPr>
        <w:t>.</w:t>
      </w:r>
    </w:p>
    <w:p w:rsidR="005F78FC" w:rsidRDefault="00B42EF3">
      <w:pPr>
        <w:pStyle w:val="Heading3"/>
      </w:pPr>
      <w:bookmarkStart w:id="2450" w:name="section_52010234952f45889bdb6d2e5e6e7868"/>
      <w:bookmarkStart w:id="2451" w:name="_Toc69878998"/>
      <w:r>
        <w:t>Part 1 Section 20.1.2.2.36, stCxn (Connection Start)</w:t>
      </w:r>
      <w:bookmarkEnd w:id="2450"/>
      <w:bookmarkEnd w:id="2451"/>
      <w:r>
        <w:fldChar w:fldCharType="begin"/>
      </w:r>
      <w:r>
        <w:instrText xml:space="preserve"> XE "stCxn (Connection Start)" </w:instrText>
      </w:r>
      <w:r>
        <w:fldChar w:fldCharType="end"/>
      </w:r>
    </w:p>
    <w:p w:rsidR="005F78FC" w:rsidRDefault="00B42EF3">
      <w:pPr>
        <w:pStyle w:val="Definition-Field2"/>
      </w:pPr>
      <w:r>
        <w:rPr>
          <w:i/>
        </w:rPr>
        <w:t xml:space="preserve">For additional </w:t>
      </w:r>
      <w:r>
        <w:rPr>
          <w:i/>
        </w:rPr>
        <w:t xml:space="preserve">notes that apply to this portion of the standard, please see the notes for </w:t>
      </w:r>
      <w:hyperlink w:anchor="Section_5e8ab39f0beb40b1bfb11aea60ce7e2b">
        <w:r>
          <w:rPr>
            <w:rStyle w:val="Hyperlink"/>
          </w:rPr>
          <w:t>endCxn, §20.1.2.2.13(a)</w:t>
        </w:r>
      </w:hyperlink>
      <w:r>
        <w:rPr>
          <w:i/>
        </w:rPr>
        <w:t>.</w:t>
      </w:r>
    </w:p>
    <w:p w:rsidR="005F78FC" w:rsidRDefault="00B42EF3">
      <w:pPr>
        <w:pStyle w:val="Heading3"/>
      </w:pPr>
      <w:bookmarkStart w:id="2452" w:name="section_71e8a4dd1654485ca87d0bf4bcdf01c0"/>
      <w:bookmarkStart w:id="2453" w:name="_Toc69878999"/>
      <w:r>
        <w:t>Part 1 Section 20.1.2.2.37, style (Shape Style)</w:t>
      </w:r>
      <w:bookmarkEnd w:id="2452"/>
      <w:bookmarkEnd w:id="2453"/>
      <w:r>
        <w:fldChar w:fldCharType="begin"/>
      </w:r>
      <w:r>
        <w:instrText xml:space="preserve"> XE "style (Shape Style)" </w:instrText>
      </w:r>
      <w:r>
        <w:fldChar w:fldCharType="end"/>
      </w:r>
    </w:p>
    <w:p w:rsidR="005F78FC" w:rsidRDefault="00B42EF3">
      <w:pPr>
        <w:pStyle w:val="Definition-Field"/>
      </w:pPr>
      <w:r>
        <w:t xml:space="preserve">a.   </w:t>
      </w:r>
      <w:r>
        <w:rPr>
          <w:i/>
        </w:rPr>
        <w:t>The standard</w:t>
      </w:r>
      <w:r>
        <w:rPr>
          <w:i/>
        </w:rPr>
        <w:t xml:space="preserve"> states that the fontRef attribute applies to parent elements pic, cxnSp and sp.</w:t>
      </w:r>
    </w:p>
    <w:p w:rsidR="005F78FC" w:rsidRDefault="00B42EF3">
      <w:pPr>
        <w:pStyle w:val="Definition-Field2"/>
      </w:pPr>
      <w:r>
        <w:t>In Office, the fontRef attribute is not used for parent elements pic and cxnSp.</w:t>
      </w:r>
    </w:p>
    <w:p w:rsidR="005F78FC" w:rsidRDefault="00B42EF3">
      <w:pPr>
        <w:pStyle w:val="Definition-Field"/>
      </w:pPr>
      <w:r>
        <w:t xml:space="preserve">b.   </w:t>
      </w:r>
      <w:r>
        <w:rPr>
          <w:i/>
        </w:rPr>
        <w:t xml:space="preserve">The standard allows a sp, pic or cxnSp element to have similar formatting options defined </w:t>
      </w:r>
      <w:r>
        <w:rPr>
          <w:i/>
        </w:rPr>
        <w:t>in both the style and spPr elements.</w:t>
      </w:r>
    </w:p>
    <w:p w:rsidR="005F78FC" w:rsidRDefault="00B42EF3">
      <w:pPr>
        <w:pStyle w:val="Definition-Field2"/>
      </w:pPr>
      <w:r>
        <w:t>In Office, shape properties (spPr) defined on the parent element will override similar style components (lnRef, effectRef, fillRef, fontRef) defined for this element.</w:t>
      </w:r>
    </w:p>
    <w:p w:rsidR="005F78FC" w:rsidRDefault="00B42EF3">
      <w:pPr>
        <w:pStyle w:val="Definition-Field"/>
      </w:pPr>
      <w:r>
        <w:t xml:space="preserve">c.   </w:t>
      </w:r>
      <w:r>
        <w:rPr>
          <w:i/>
        </w:rPr>
        <w:t>The standard allows similar text formatting pro</w:t>
      </w:r>
      <w:r>
        <w:rPr>
          <w:i/>
        </w:rPr>
        <w:t>perties to be defined for parent element sp by style or txBody.</w:t>
      </w:r>
    </w:p>
    <w:p w:rsidR="005F78FC" w:rsidRDefault="00B42EF3">
      <w:pPr>
        <w:pStyle w:val="Definition-Field2"/>
      </w:pPr>
      <w:r>
        <w:t>In Office, child elements from txBody for parent element sp will override similar style properties defined in the fontRef child element in this element.</w:t>
      </w:r>
    </w:p>
    <w:p w:rsidR="005F78FC" w:rsidRDefault="00B42EF3">
      <w:pPr>
        <w:pStyle w:val="Heading3"/>
      </w:pPr>
      <w:bookmarkStart w:id="2454" w:name="section_8d11d27322a648b8a2122b60910659bd"/>
      <w:bookmarkStart w:id="2455" w:name="_Toc69879000"/>
      <w:r>
        <w:t>Part 1 Section 20.1.2.3.1, alpha (Alpha</w:t>
      </w:r>
      <w:r>
        <w:t>)</w:t>
      </w:r>
      <w:bookmarkEnd w:id="2454"/>
      <w:bookmarkEnd w:id="2455"/>
      <w:r>
        <w:fldChar w:fldCharType="begin"/>
      </w:r>
      <w:r>
        <w:instrText xml:space="preserve"> XE "alpha (Alpha)" </w:instrText>
      </w:r>
      <w:r>
        <w:fldChar w:fldCharType="end"/>
      </w:r>
    </w:p>
    <w:p w:rsidR="005F78FC" w:rsidRDefault="00B42EF3">
      <w:pPr>
        <w:pStyle w:val="Definition-Field"/>
      </w:pPr>
      <w:r>
        <w:t xml:space="preserve">a.   </w:t>
      </w:r>
      <w:r>
        <w:rPr>
          <w:i/>
        </w:rPr>
        <w:t>The standard states that the val attribute specifies the opacity as expressed by a percentage value.</w:t>
      </w:r>
    </w:p>
    <w:p w:rsidR="005F78FC" w:rsidRDefault="00B42EF3">
      <w:pPr>
        <w:pStyle w:val="Definition-Field2"/>
      </w:pPr>
      <w:r>
        <w:t>Office uses the val attribute to specify a percentage value for several elements.</w:t>
      </w:r>
    </w:p>
    <w:p w:rsidR="005F78FC" w:rsidRDefault="00B42EF3">
      <w:pPr>
        <w:pStyle w:val="Definition-Field"/>
      </w:pPr>
      <w:r>
        <w:t xml:space="preserve">b.   </w:t>
      </w:r>
      <w:r>
        <w:rPr>
          <w:i/>
        </w:rPr>
        <w:t>The standard states that ST_PositiveFix</w:t>
      </w:r>
      <w:r>
        <w:rPr>
          <w:i/>
        </w:rPr>
        <w:t>edPercentage is read and written as a floating point value with a trailing percent sign.</w:t>
      </w:r>
    </w:p>
    <w:p w:rsidR="005F78FC" w:rsidRDefault="00B42EF3">
      <w:pPr>
        <w:pStyle w:val="Definition-Field2"/>
      </w:pPr>
      <w:r>
        <w:t xml:space="preserve">Office will read in percentages formatted as floating point value with a trailing percent sign or as an integer 1000th of a percent without trailing percent sign, but </w:t>
      </w:r>
      <w:r>
        <w:t>only write out percentages as the latter.</w:t>
      </w:r>
    </w:p>
    <w:p w:rsidR="005F78FC" w:rsidRDefault="00B42EF3">
      <w:pPr>
        <w:pStyle w:val="Heading3"/>
      </w:pPr>
      <w:bookmarkStart w:id="2456" w:name="section_82fa840c591d48d5b9300146192f4142"/>
      <w:bookmarkStart w:id="2457" w:name="_Toc69879001"/>
      <w:r>
        <w:lastRenderedPageBreak/>
        <w:t>Part 1 Section 20.1.2.3.2, alphaMod (Alpha Modulation)</w:t>
      </w:r>
      <w:bookmarkEnd w:id="2456"/>
      <w:bookmarkEnd w:id="2457"/>
      <w:r>
        <w:fldChar w:fldCharType="begin"/>
      </w:r>
      <w:r>
        <w:instrText xml:space="preserve"> XE "alphaMod (Alpha Modulation)" </w:instrText>
      </w:r>
      <w:r>
        <w:fldChar w:fldCharType="end"/>
      </w:r>
    </w:p>
    <w:p w:rsidR="005F78FC" w:rsidRDefault="00B42EF3">
      <w:pPr>
        <w:pStyle w:val="Definition-Field"/>
      </w:pPr>
      <w:r>
        <w:t xml:space="preserve">a.   </w:t>
      </w:r>
      <w:r>
        <w:rPr>
          <w:i/>
        </w:rPr>
        <w:t>The standard states that ST_PositiveFixedPercentage is read and written as a percent with a trailing percent sign.</w:t>
      </w:r>
    </w:p>
    <w:p w:rsidR="005F78FC" w:rsidRDefault="00B42EF3">
      <w:pPr>
        <w:pStyle w:val="Definition-Field2"/>
      </w:pPr>
      <w:r>
        <w:t>Office will read in percentages formatted with a trailing percent sign or as 1000th of a percent without trailing percent sign, but only write out percentages as 1000th's of a percent without trailing percent sign.</w:t>
      </w:r>
    </w:p>
    <w:p w:rsidR="005F78FC" w:rsidRDefault="00B42EF3">
      <w:pPr>
        <w:pStyle w:val="Heading3"/>
      </w:pPr>
      <w:bookmarkStart w:id="2458" w:name="section_7ed8e6ffd6914d92ad9b73ec0a519eef"/>
      <w:bookmarkStart w:id="2459" w:name="_Toc69879002"/>
      <w:r>
        <w:t>Part 1 Section 20.1.2.3.3, alphaOff (Alph</w:t>
      </w:r>
      <w:r>
        <w:t>a Offset)</w:t>
      </w:r>
      <w:bookmarkEnd w:id="2458"/>
      <w:bookmarkEnd w:id="2459"/>
      <w:r>
        <w:fldChar w:fldCharType="begin"/>
      </w:r>
      <w:r>
        <w:instrText xml:space="preserve"> XE "alphaOff (Alpha Offset)" </w:instrText>
      </w:r>
      <w:r>
        <w:fldChar w:fldCharType="end"/>
      </w:r>
    </w:p>
    <w:p w:rsidR="005F78FC" w:rsidRDefault="00B42EF3">
      <w:pPr>
        <w:pStyle w:val="Definition-Field"/>
      </w:pPr>
      <w:r>
        <w:t xml:space="preserve">a.   </w:t>
      </w:r>
      <w:r>
        <w:rPr>
          <w:i/>
        </w:rPr>
        <w:t>The standard states that ST_PositiveFixedPercentage is read and written as a percent with a trailing percent sign.</w:t>
      </w:r>
    </w:p>
    <w:p w:rsidR="005F78FC" w:rsidRDefault="00B42EF3">
      <w:pPr>
        <w:pStyle w:val="Definition-Field2"/>
      </w:pPr>
      <w:r>
        <w:t xml:space="preserve">Office will read in percentages formatted with a trailing percent sign or as 1000th of a </w:t>
      </w:r>
      <w:r>
        <w:t>percent without trailing percent sign, but only write out percentages as 1000th's of a percent without trailing percent sign.</w:t>
      </w:r>
    </w:p>
    <w:p w:rsidR="005F78FC" w:rsidRDefault="00B42EF3">
      <w:pPr>
        <w:pStyle w:val="Heading3"/>
      </w:pPr>
      <w:bookmarkStart w:id="2460" w:name="section_609636d541304679b9b8eebaa8424ae7"/>
      <w:bookmarkStart w:id="2461" w:name="_Toc69879003"/>
      <w:r>
        <w:t>Part 1 Section 20.1.2.3.4, blue (Blue)</w:t>
      </w:r>
      <w:bookmarkEnd w:id="2460"/>
      <w:bookmarkEnd w:id="2461"/>
      <w:r>
        <w:fldChar w:fldCharType="begin"/>
      </w:r>
      <w:r>
        <w:instrText xml:space="preserve"> XE "blue (Blue)" </w:instrText>
      </w:r>
      <w:r>
        <w:fldChar w:fldCharType="end"/>
      </w:r>
    </w:p>
    <w:p w:rsidR="005F78FC" w:rsidRDefault="00B42EF3">
      <w:pPr>
        <w:pStyle w:val="Definition-Field"/>
      </w:pPr>
      <w:r>
        <w:t xml:space="preserve">a.   </w:t>
      </w:r>
      <w:r>
        <w:rPr>
          <w:i/>
        </w:rPr>
        <w:t>The standard states that the val attribute specifies the blue comp</w:t>
      </w:r>
      <w:r>
        <w:rPr>
          <w:i/>
        </w:rPr>
        <w:t>onent as expressed by a percentage value.</w:t>
      </w:r>
    </w:p>
    <w:p w:rsidR="005F78FC" w:rsidRDefault="00B42EF3">
      <w:pPr>
        <w:pStyle w:val="Definition-Field2"/>
      </w:pPr>
      <w:r>
        <w:t>Office uses the val attribute to specify a percentage value for several elements.</w:t>
      </w:r>
    </w:p>
    <w:p w:rsidR="005F78FC" w:rsidRDefault="00B42EF3">
      <w:pPr>
        <w:pStyle w:val="Definition-Field"/>
      </w:pPr>
      <w:r>
        <w:t xml:space="preserve">b.   </w:t>
      </w:r>
      <w:r>
        <w:rPr>
          <w:i/>
        </w:rPr>
        <w:t>The standard states that ST_PositiveFixedPercentage is read and written as a percent with a trailing percent sign.</w:t>
      </w:r>
    </w:p>
    <w:p w:rsidR="005F78FC" w:rsidRDefault="00B42EF3">
      <w:pPr>
        <w:pStyle w:val="Definition-Field2"/>
      </w:pPr>
      <w:r>
        <w:t xml:space="preserve">Office will </w:t>
      </w:r>
      <w:r>
        <w:t>read in percentages formatted with a trailing percent sign or as 1000th of a percent without trailing percent sign, but only write out percentages as 1000th's of a percent without trailing percent sign.</w:t>
      </w:r>
    </w:p>
    <w:p w:rsidR="005F78FC" w:rsidRDefault="00B42EF3">
      <w:pPr>
        <w:pStyle w:val="Heading3"/>
      </w:pPr>
      <w:bookmarkStart w:id="2462" w:name="section_fd5b54b2e28a4e6091986cffa60a0e77"/>
      <w:bookmarkStart w:id="2463" w:name="_Toc69879004"/>
      <w:r>
        <w:t>Part 1 Section 20.1.2.3.5, blueMod (Blue Modification</w:t>
      </w:r>
      <w:r>
        <w:t>)</w:t>
      </w:r>
      <w:bookmarkEnd w:id="2462"/>
      <w:bookmarkEnd w:id="2463"/>
      <w:r>
        <w:fldChar w:fldCharType="begin"/>
      </w:r>
      <w:r>
        <w:instrText xml:space="preserve"> XE "blueMod (Blue Modification)"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5F78FC" w:rsidRDefault="00B42EF3">
      <w:pPr>
        <w:pStyle w:val="Definition-Field"/>
      </w:pPr>
      <w:r>
        <w:t xml:space="preserve">a.   </w:t>
      </w:r>
      <w:r>
        <w:rPr>
          <w:i/>
        </w:rPr>
        <w:t>The standard states that ST_PositiveFi</w:t>
      </w:r>
      <w:r>
        <w:rPr>
          <w:i/>
        </w:rPr>
        <w:t>xedPercentage is read and written as a percent with a trailing percent sign.</w:t>
      </w:r>
    </w:p>
    <w:p w:rsidR="005F78FC" w:rsidRDefault="00B42EF3">
      <w:pPr>
        <w:pStyle w:val="Definition-Field2"/>
      </w:pPr>
      <w:r>
        <w:t>Office will read in percentages formatted with a trailing percent sign or as 1000th of a percent without trailing percent sign, but only write out percentages as 1000th's of a per</w:t>
      </w:r>
      <w:r>
        <w:t>cent without trailing percent sign.</w:t>
      </w:r>
    </w:p>
    <w:p w:rsidR="005F78FC" w:rsidRDefault="00B42EF3">
      <w:pPr>
        <w:pStyle w:val="Heading3"/>
      </w:pPr>
      <w:bookmarkStart w:id="2464" w:name="section_c5764e71705243ca8d5cd69caac0e480"/>
      <w:bookmarkStart w:id="2465" w:name="_Toc69879005"/>
      <w:r>
        <w:t>Part 1 Section 20.1.2.3.6, blueOff (Blue Offset)</w:t>
      </w:r>
      <w:bookmarkEnd w:id="2464"/>
      <w:bookmarkEnd w:id="2465"/>
      <w:r>
        <w:fldChar w:fldCharType="begin"/>
      </w:r>
      <w:r>
        <w:instrText xml:space="preserve"> XE "blueOff (Blue Offset)"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5F78FC" w:rsidRDefault="00B42EF3">
      <w:pPr>
        <w:pStyle w:val="Definition-Field"/>
      </w:pPr>
      <w:r>
        <w:t xml:space="preserve">a.   </w:t>
      </w:r>
      <w:r>
        <w:rPr>
          <w:i/>
        </w:rPr>
        <w:t>The standard states that ST_PositiveFixedPercentage is read and written as a percent with a trailing percent sign.</w:t>
      </w:r>
    </w:p>
    <w:p w:rsidR="005F78FC" w:rsidRDefault="00B42EF3">
      <w:pPr>
        <w:pStyle w:val="Definition-Field2"/>
      </w:pPr>
      <w:r>
        <w:t>Office will read in percentages formatted with a trailing percent sign or as 1000th of a percent witho</w:t>
      </w:r>
      <w:r>
        <w:t>ut trailing percent sign, but only write out percentages as 1000th's of a percent without trailing percent sign.</w:t>
      </w:r>
    </w:p>
    <w:p w:rsidR="005F78FC" w:rsidRDefault="00B42EF3">
      <w:pPr>
        <w:pStyle w:val="Heading3"/>
      </w:pPr>
      <w:bookmarkStart w:id="2466" w:name="section_918cbe28c0504ca2ab4a9fdf9e656a6f"/>
      <w:bookmarkStart w:id="2467" w:name="_Toc69879006"/>
      <w:r>
        <w:lastRenderedPageBreak/>
        <w:t>Part 1 Section 20.1.2.3.10, green (Green)</w:t>
      </w:r>
      <w:bookmarkEnd w:id="2466"/>
      <w:bookmarkEnd w:id="2467"/>
      <w:r>
        <w:fldChar w:fldCharType="begin"/>
      </w:r>
      <w:r>
        <w:instrText xml:space="preserve"> XE "green (Green)" </w:instrText>
      </w:r>
      <w:r>
        <w:fldChar w:fldCharType="end"/>
      </w:r>
    </w:p>
    <w:p w:rsidR="005F78FC" w:rsidRDefault="00B42EF3">
      <w:pPr>
        <w:pStyle w:val="Definition-Field2"/>
      </w:pPr>
      <w:r>
        <w:rPr>
          <w:i/>
        </w:rPr>
        <w:t>For additional notes that apply to this portion of the standard, please see the</w:t>
      </w:r>
      <w:r>
        <w:rPr>
          <w:i/>
        </w:rPr>
        <w:t xml:space="preserve"> notes for </w:t>
      </w:r>
      <w:hyperlink w:anchor="Section_609636d541304679b9b8eebaa8424ae7">
        <w:r>
          <w:rPr>
            <w:rStyle w:val="Hyperlink"/>
          </w:rPr>
          <w:t>blue, §20.1.2.3.4(a)</w:t>
        </w:r>
      </w:hyperlink>
      <w:r>
        <w:rPr>
          <w:i/>
        </w:rPr>
        <w:t>.</w:t>
      </w:r>
    </w:p>
    <w:p w:rsidR="005F78FC" w:rsidRDefault="00B42EF3">
      <w:pPr>
        <w:pStyle w:val="Definition-Field"/>
      </w:pPr>
      <w:r>
        <w:t xml:space="preserve">a.   </w:t>
      </w:r>
      <w:r>
        <w:rPr>
          <w:i/>
        </w:rPr>
        <w:t>The standard states that the ST_PositiveFixedPercentage is read and written as a percent with a trailing percent sign.</w:t>
      </w:r>
    </w:p>
    <w:p w:rsidR="005F78FC" w:rsidRDefault="00B42EF3">
      <w:pPr>
        <w:pStyle w:val="Definition-Field2"/>
      </w:pPr>
      <w:r>
        <w:t>Office will read in percentages form</w:t>
      </w:r>
      <w:r>
        <w:t>atted with a trailing percent sign or as 1000th of a percent without trailing percent sign, but only write out percentages as 1000th's of a percent without trailing percent sign.</w:t>
      </w:r>
    </w:p>
    <w:p w:rsidR="005F78FC" w:rsidRDefault="00B42EF3">
      <w:pPr>
        <w:pStyle w:val="Heading3"/>
      </w:pPr>
      <w:bookmarkStart w:id="2468" w:name="section_e372eb222ed34f6bbdc455f4c3379d83"/>
      <w:bookmarkStart w:id="2469" w:name="_Toc69879007"/>
      <w:r>
        <w:t>Part 1 Section 20.1.2.3.11, greenMod (Green Modification)</w:t>
      </w:r>
      <w:bookmarkEnd w:id="2468"/>
      <w:bookmarkEnd w:id="2469"/>
      <w:r>
        <w:fldChar w:fldCharType="begin"/>
      </w:r>
      <w:r>
        <w:instrText xml:space="preserve"> XE "greenMod (Green</w:instrText>
      </w:r>
      <w:r>
        <w:instrText xml:space="preserve"> Modification)"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5F78FC" w:rsidRDefault="00B42EF3">
      <w:pPr>
        <w:pStyle w:val="Definition-Field"/>
      </w:pPr>
      <w:r>
        <w:t xml:space="preserve">a.   </w:t>
      </w:r>
      <w:r>
        <w:rPr>
          <w:i/>
        </w:rPr>
        <w:t>The standard states that ST_PositiveFixedPercentage is re</w:t>
      </w:r>
      <w:r>
        <w:rPr>
          <w:i/>
        </w:rPr>
        <w:t>ad and written as a percent with a trailing percent sign.</w:t>
      </w:r>
    </w:p>
    <w:p w:rsidR="005F78FC" w:rsidRDefault="00B42EF3">
      <w:pPr>
        <w:pStyle w:val="Definition-Field2"/>
      </w:pPr>
      <w:r>
        <w:t>Office will read in percentages formatted with a trailing percent sign or as 1000th of a percent without trailing percent sign, but only write out percentages as 1000th's of a percent without traili</w:t>
      </w:r>
      <w:r>
        <w:t>ng percent sign.</w:t>
      </w:r>
    </w:p>
    <w:p w:rsidR="005F78FC" w:rsidRDefault="00B42EF3">
      <w:pPr>
        <w:pStyle w:val="Heading3"/>
      </w:pPr>
      <w:bookmarkStart w:id="2470" w:name="section_6608a2d4e5c74de28aa64977e614c1c5"/>
      <w:bookmarkStart w:id="2471" w:name="_Toc69879008"/>
      <w:r>
        <w:t>Part 1 Section 20.1.2.3.12, greenOff (Green Offset)</w:t>
      </w:r>
      <w:bookmarkEnd w:id="2470"/>
      <w:bookmarkEnd w:id="2471"/>
      <w:r>
        <w:fldChar w:fldCharType="begin"/>
      </w:r>
      <w:r>
        <w:instrText xml:space="preserve"> XE "greenOff (Green Offset)"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609636d541304679b9b8eebaa8424ae7">
        <w:r>
          <w:rPr>
            <w:rStyle w:val="Hyperlink"/>
          </w:rPr>
          <w:t>bl</w:t>
        </w:r>
        <w:r>
          <w:rPr>
            <w:rStyle w:val="Hyperlink"/>
          </w:rPr>
          <w:t>ue, §20.1.2.3.4(a)</w:t>
        </w:r>
      </w:hyperlink>
      <w:r>
        <w:rPr>
          <w:i/>
        </w:rPr>
        <w:t>.</w:t>
      </w:r>
    </w:p>
    <w:p w:rsidR="005F78FC" w:rsidRDefault="00B42EF3">
      <w:pPr>
        <w:pStyle w:val="Definition-Field"/>
      </w:pPr>
      <w:r>
        <w:t xml:space="preserve">a.   </w:t>
      </w:r>
      <w:r>
        <w:rPr>
          <w:i/>
        </w:rPr>
        <w:t>The standard states that ST_PositiveFixedPercentage is read and written as a percent with a trailing percent sign.</w:t>
      </w:r>
    </w:p>
    <w:p w:rsidR="005F78FC" w:rsidRDefault="00B42EF3">
      <w:pPr>
        <w:pStyle w:val="Definition-Field2"/>
      </w:pPr>
      <w:r>
        <w:t xml:space="preserve">Office will read in percentages formatted with a trailing percent sign or as 1000th of a percent without trailing </w:t>
      </w:r>
      <w:r>
        <w:t>percent sign, but only write out percentages as 1000th's of a percent without trailing percent sign.</w:t>
      </w:r>
    </w:p>
    <w:p w:rsidR="005F78FC" w:rsidRDefault="00B42EF3">
      <w:pPr>
        <w:pStyle w:val="Heading3"/>
      </w:pPr>
      <w:bookmarkStart w:id="2472" w:name="section_3b541eefc2ea41349e73932962cedf9f"/>
      <w:bookmarkStart w:id="2473" w:name="_Toc69879009"/>
      <w:r>
        <w:t>Part 1 Section 20.1.2.3.13, hslClr (Hue, Saturation, Luminance Color Model)</w:t>
      </w:r>
      <w:bookmarkEnd w:id="2472"/>
      <w:bookmarkEnd w:id="2473"/>
      <w:r>
        <w:fldChar w:fldCharType="begin"/>
      </w:r>
      <w:r>
        <w:instrText xml:space="preserve"> XE "hslClr (Hue - Saturation - Luminance Color Model)" </w:instrText>
      </w:r>
      <w:r>
        <w:fldChar w:fldCharType="end"/>
      </w:r>
    </w:p>
    <w:p w:rsidR="005F78FC" w:rsidRDefault="00B42EF3">
      <w:pPr>
        <w:pStyle w:val="Definition-Field"/>
      </w:pPr>
      <w:r>
        <w:t xml:space="preserve">a.   </w:t>
      </w:r>
      <w:r>
        <w:rPr>
          <w:i/>
        </w:rPr>
        <w:t>The standard sta</w:t>
      </w:r>
      <w:r>
        <w:rPr>
          <w:i/>
        </w:rPr>
        <w:t>tes that ST_PositiveFixedPercentage is read and written as a percent with a trailing percent sign.</w:t>
      </w:r>
    </w:p>
    <w:p w:rsidR="005F78FC" w:rsidRDefault="00B42EF3">
      <w:pPr>
        <w:pStyle w:val="Definition-Field2"/>
      </w:pPr>
      <w:r>
        <w:t xml:space="preserve">Office will read in percentages formatted with a trailing percent sign or as 1000th of a percent without trailing percent sign, but only write out </w:t>
      </w:r>
      <w:r>
        <w:t>percentages as 1000th's of a percent without trailing percent sign.</w:t>
      </w:r>
    </w:p>
    <w:p w:rsidR="005F78FC" w:rsidRDefault="00B42EF3">
      <w:pPr>
        <w:pStyle w:val="Heading3"/>
      </w:pPr>
      <w:bookmarkStart w:id="2474" w:name="section_6b2abb5b132d435c88e84f9c0294885f"/>
      <w:bookmarkStart w:id="2475" w:name="_Toc69879010"/>
      <w:r>
        <w:t>Part 1 Section 20.1.2.3.14, hue (Hue)</w:t>
      </w:r>
      <w:bookmarkEnd w:id="2474"/>
      <w:bookmarkEnd w:id="2475"/>
      <w:r>
        <w:fldChar w:fldCharType="begin"/>
      </w:r>
      <w:r>
        <w:instrText xml:space="preserve"> XE "hue (Hue)" </w:instrText>
      </w:r>
      <w:r>
        <w:fldChar w:fldCharType="end"/>
      </w:r>
    </w:p>
    <w:p w:rsidR="005F78FC" w:rsidRDefault="00B42EF3">
      <w:pPr>
        <w:pStyle w:val="Definition-Field"/>
      </w:pPr>
      <w:r>
        <w:t xml:space="preserve">a.   </w:t>
      </w:r>
      <w:r>
        <w:rPr>
          <w:i/>
        </w:rPr>
        <w:t>The standard states that ST_PositiveFixedPercentage is read and written as a percent with a trailing percent sign.</w:t>
      </w:r>
    </w:p>
    <w:p w:rsidR="005F78FC" w:rsidRDefault="00B42EF3">
      <w:pPr>
        <w:pStyle w:val="Definition-Field2"/>
      </w:pPr>
      <w:r>
        <w:t xml:space="preserve">Office will </w:t>
      </w:r>
      <w:r>
        <w:t>read in percentages formatted with a trailing percent sign or as 1000th of a percent without trailing percent sign, but only write out percentages as 1000th's of a percent without trailing percent sign.</w:t>
      </w:r>
    </w:p>
    <w:p w:rsidR="005F78FC" w:rsidRDefault="00B42EF3">
      <w:pPr>
        <w:pStyle w:val="Heading3"/>
      </w:pPr>
      <w:bookmarkStart w:id="2476" w:name="section_bb6242e7b6c5458c97a46e01f8544fbc"/>
      <w:bookmarkStart w:id="2477" w:name="_Toc69879011"/>
      <w:r>
        <w:lastRenderedPageBreak/>
        <w:t>Part 1 Section 20.1.2.3.15, hueMod (Hue Modulate)</w:t>
      </w:r>
      <w:bookmarkEnd w:id="2476"/>
      <w:bookmarkEnd w:id="2477"/>
      <w:r>
        <w:fldChar w:fldCharType="begin"/>
      </w:r>
      <w:r>
        <w:instrText xml:space="preserve"> XE </w:instrText>
      </w:r>
      <w:r>
        <w:instrText xml:space="preserve">"hueMod (Hue Modulate)" </w:instrText>
      </w:r>
      <w:r>
        <w:fldChar w:fldCharType="end"/>
      </w:r>
    </w:p>
    <w:p w:rsidR="005F78FC" w:rsidRDefault="00B42EF3">
      <w:pPr>
        <w:pStyle w:val="Definition-Field"/>
      </w:pPr>
      <w:r>
        <w:t xml:space="preserve">a.   </w:t>
      </w:r>
      <w:r>
        <w:rPr>
          <w:i/>
        </w:rPr>
        <w:t>The standard states that ST_PositiveFixedPercentage is read and written as a percent with a trailing percent sign.</w:t>
      </w:r>
    </w:p>
    <w:p w:rsidR="005F78FC" w:rsidRDefault="00B42EF3">
      <w:pPr>
        <w:pStyle w:val="Definition-Field2"/>
      </w:pPr>
      <w:r>
        <w:t>Office will read in percentages formatted with a trailing percent sign or as 1000th of a percent without trai</w:t>
      </w:r>
      <w:r>
        <w:t>ling percent sign, but only write out percentages as 1000th's of a percent without trailing percent sign.</w:t>
      </w:r>
    </w:p>
    <w:p w:rsidR="005F78FC" w:rsidRDefault="00B42EF3">
      <w:pPr>
        <w:pStyle w:val="Heading3"/>
      </w:pPr>
      <w:bookmarkStart w:id="2478" w:name="section_2c21486a21e446728ef2c1a741771549"/>
      <w:bookmarkStart w:id="2479" w:name="_Toc69879012"/>
      <w:r>
        <w:t>Part 1 Section 20.1.2.3.16, hueOff (Hue Offset)</w:t>
      </w:r>
      <w:bookmarkEnd w:id="2478"/>
      <w:bookmarkEnd w:id="2479"/>
      <w:r>
        <w:fldChar w:fldCharType="begin"/>
      </w:r>
      <w:r>
        <w:instrText xml:space="preserve"> XE "hueOff (Hue Offset)" </w:instrText>
      </w:r>
      <w:r>
        <w:fldChar w:fldCharType="end"/>
      </w:r>
    </w:p>
    <w:p w:rsidR="005F78FC" w:rsidRDefault="00B42EF3">
      <w:pPr>
        <w:pStyle w:val="Definition-Field"/>
      </w:pPr>
      <w:r>
        <w:t xml:space="preserve">a.   </w:t>
      </w:r>
      <w:r>
        <w:rPr>
          <w:i/>
        </w:rPr>
        <w:t>The standard states that ST_PositiveFixedPercentage is read and writt</w:t>
      </w:r>
      <w:r>
        <w:rPr>
          <w:i/>
        </w:rPr>
        <w:t>en as a percent with a trailing percent sign.</w:t>
      </w:r>
    </w:p>
    <w:p w:rsidR="005F78FC" w:rsidRDefault="00B42EF3">
      <w:pPr>
        <w:pStyle w:val="Definition-Field2"/>
      </w:pPr>
      <w:r>
        <w:t>Office will read in percentages formatted with a trailing percent sign or as 1000th of a percent without trailing percent sign, but only write out percentages as 1000th's of a percent without trailing percent s</w:t>
      </w:r>
      <w:r>
        <w:t>ign.</w:t>
      </w:r>
    </w:p>
    <w:p w:rsidR="005F78FC" w:rsidRDefault="00B42EF3">
      <w:pPr>
        <w:pStyle w:val="Heading3"/>
      </w:pPr>
      <w:bookmarkStart w:id="2480" w:name="section_a71c29ec88db4dcc8e5ac4d216d68ea3"/>
      <w:bookmarkStart w:id="2481" w:name="_Toc69879013"/>
      <w:r>
        <w:t>Part 1 Section 20.1.2.3.19, lum (Luminance)</w:t>
      </w:r>
      <w:bookmarkEnd w:id="2480"/>
      <w:bookmarkEnd w:id="2481"/>
      <w:r>
        <w:fldChar w:fldCharType="begin"/>
      </w:r>
      <w:r>
        <w:instrText xml:space="preserve"> XE "lum (Luminance)"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5F78FC" w:rsidRDefault="00B42EF3">
      <w:pPr>
        <w:pStyle w:val="Definition-Field"/>
      </w:pPr>
      <w:r>
        <w:t xml:space="preserve">a.   </w:t>
      </w:r>
      <w:r>
        <w:rPr>
          <w:i/>
        </w:rPr>
        <w:t>The</w:t>
      </w:r>
      <w:r>
        <w:rPr>
          <w:i/>
        </w:rPr>
        <w:t xml:space="preserve"> standard allows luminance to be specified either as an attribute of a parent element or as a child element.</w:t>
      </w:r>
    </w:p>
    <w:p w:rsidR="005F78FC" w:rsidRDefault="00B42EF3">
      <w:pPr>
        <w:pStyle w:val="Definition-Field2"/>
      </w:pPr>
      <w:r>
        <w:t>In Office, using child element lum will override the corresponding value specified in a parent element and may produce unexpected color.</w:t>
      </w:r>
    </w:p>
    <w:p w:rsidR="005F78FC" w:rsidRDefault="00B42EF3">
      <w:pPr>
        <w:pStyle w:val="Definition-Field"/>
      </w:pPr>
      <w:r>
        <w:t xml:space="preserve">b.   </w:t>
      </w:r>
      <w:r>
        <w:rPr>
          <w:i/>
        </w:rPr>
        <w:t>The s</w:t>
      </w:r>
      <w:r>
        <w:rPr>
          <w:i/>
        </w:rPr>
        <w:t>tandard states that ST_PositiveFixedPercentage is read and written as a percent with a trailing percent sign.</w:t>
      </w:r>
    </w:p>
    <w:p w:rsidR="005F78FC" w:rsidRDefault="00B42EF3">
      <w:pPr>
        <w:pStyle w:val="Definition-Field2"/>
      </w:pPr>
      <w:r>
        <w:t>Office will read in percentages formatted with a trailing percent sign or as 1000th of a percent without trailing percent sign, but only write out</w:t>
      </w:r>
      <w:r>
        <w:t xml:space="preserve"> percentages as 1000th's of a percent without trailing percent sign.</w:t>
      </w:r>
    </w:p>
    <w:p w:rsidR="005F78FC" w:rsidRDefault="00B42EF3">
      <w:pPr>
        <w:pStyle w:val="Heading3"/>
      </w:pPr>
      <w:bookmarkStart w:id="2482" w:name="section_bbae891601d748acae07ff5d30130967"/>
      <w:bookmarkStart w:id="2483" w:name="_Toc69879014"/>
      <w:r>
        <w:t>Part 1 Section 20.1.2.3.20, lumMod (Luminance Modulation)</w:t>
      </w:r>
      <w:bookmarkEnd w:id="2482"/>
      <w:bookmarkEnd w:id="2483"/>
      <w:r>
        <w:fldChar w:fldCharType="begin"/>
      </w:r>
      <w:r>
        <w:instrText xml:space="preserve"> XE "lumMod (Luminance Modulation)"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5F78FC" w:rsidRDefault="00B42EF3">
      <w:pPr>
        <w:pStyle w:val="Definition-Field"/>
      </w:pPr>
      <w:r>
        <w:t xml:space="preserve">a.   </w:t>
      </w:r>
      <w:r>
        <w:rPr>
          <w:i/>
        </w:rPr>
        <w:t>The standard states that ST_PositiveFixedPercentage is read and written as a percent with a trailing percent sign.</w:t>
      </w:r>
    </w:p>
    <w:p w:rsidR="005F78FC" w:rsidRDefault="00B42EF3">
      <w:pPr>
        <w:pStyle w:val="Definition-Field2"/>
      </w:pPr>
      <w:r>
        <w:t>Office will read in percentages formatted with a tra</w:t>
      </w:r>
      <w:r>
        <w:t>iling percent sign or as 1000th of a percent without trailing percent sign, but only write out percentages as 1000th's of a percent without trailing percent sign.</w:t>
      </w:r>
    </w:p>
    <w:p w:rsidR="005F78FC" w:rsidRDefault="00B42EF3">
      <w:pPr>
        <w:pStyle w:val="Heading3"/>
      </w:pPr>
      <w:bookmarkStart w:id="2484" w:name="section_fa8c6409ddd046bdb9950b00342d9aeb"/>
      <w:bookmarkStart w:id="2485" w:name="_Toc69879015"/>
      <w:r>
        <w:t>Part 1 Section 20.1.2.3.21, lumOff (Luminance Offset)</w:t>
      </w:r>
      <w:bookmarkEnd w:id="2484"/>
      <w:bookmarkEnd w:id="2485"/>
      <w:r>
        <w:fldChar w:fldCharType="begin"/>
      </w:r>
      <w:r>
        <w:instrText xml:space="preserve"> XE "lumOff (Luminance Offset)" </w:instrText>
      </w:r>
      <w:r>
        <w:fldChar w:fldCharType="end"/>
      </w:r>
    </w:p>
    <w:p w:rsidR="005F78FC" w:rsidRDefault="00B42EF3">
      <w:pPr>
        <w:pStyle w:val="Definition-Field2"/>
      </w:pPr>
      <w:r>
        <w:rPr>
          <w:i/>
        </w:rPr>
        <w:t>For a</w:t>
      </w:r>
      <w:r>
        <w:rPr>
          <w:i/>
        </w:rPr>
        <w:t xml:space="preserve">dditional notes that apply to this portion of the standard, please see the notes for </w:t>
      </w:r>
      <w:hyperlink w:anchor="Section_609636d541304679b9b8eebaa8424ae7">
        <w:r>
          <w:rPr>
            <w:rStyle w:val="Hyperlink"/>
          </w:rPr>
          <w:t>blue, §20.1.2.3.4(a)</w:t>
        </w:r>
      </w:hyperlink>
      <w:r>
        <w:rPr>
          <w:i/>
        </w:rPr>
        <w:t>.</w:t>
      </w:r>
    </w:p>
    <w:p w:rsidR="005F78FC" w:rsidRDefault="00B42EF3">
      <w:pPr>
        <w:pStyle w:val="Definition-Field"/>
      </w:pPr>
      <w:r>
        <w:t xml:space="preserve">a.   </w:t>
      </w:r>
      <w:r>
        <w:rPr>
          <w:i/>
        </w:rPr>
        <w:t xml:space="preserve">The standard states that element lumOff shifts the input color's luminance while </w:t>
      </w:r>
      <w:r>
        <w:rPr>
          <w:i/>
        </w:rPr>
        <w:t>leaving hue and saturation unchanged.</w:t>
      </w:r>
    </w:p>
    <w:p w:rsidR="005F78FC" w:rsidRDefault="00B42EF3">
      <w:pPr>
        <w:pStyle w:val="Definition-Field2"/>
      </w:pPr>
      <w:r>
        <w:t>This element is not supported by Office and may produce unexpected color.</w:t>
      </w:r>
    </w:p>
    <w:p w:rsidR="005F78FC" w:rsidRDefault="00B42EF3">
      <w:pPr>
        <w:pStyle w:val="Definition-Field"/>
      </w:pPr>
      <w:r>
        <w:lastRenderedPageBreak/>
        <w:t xml:space="preserve">b.   </w:t>
      </w:r>
      <w:r>
        <w:rPr>
          <w:i/>
        </w:rPr>
        <w:t>The standard states that ST_PositiveFixedPercentage is read and written as a percent with a trailing percent sign.</w:t>
      </w:r>
    </w:p>
    <w:p w:rsidR="005F78FC" w:rsidRDefault="00B42EF3">
      <w:pPr>
        <w:pStyle w:val="Definition-Field2"/>
      </w:pPr>
      <w:r>
        <w:t xml:space="preserve">Office will read in </w:t>
      </w:r>
      <w:r>
        <w:t>percentages formatted with a trailing percent sign or as 1000th of a percent without trailing percent sign, but only write out percentages as 1000th's of a percent without trailing percent sign.</w:t>
      </w:r>
    </w:p>
    <w:p w:rsidR="005F78FC" w:rsidRDefault="00B42EF3">
      <w:pPr>
        <w:pStyle w:val="Heading3"/>
      </w:pPr>
      <w:bookmarkStart w:id="2486" w:name="section_848c9693a3484120b597e50b34988b5a"/>
      <w:bookmarkStart w:id="2487" w:name="_Toc69879016"/>
      <w:r>
        <w:t>Part 1 Section 20.1.2.3.22, prstClr (Preset Color)</w:t>
      </w:r>
      <w:bookmarkEnd w:id="2486"/>
      <w:bookmarkEnd w:id="2487"/>
      <w:r>
        <w:fldChar w:fldCharType="begin"/>
      </w:r>
      <w:r>
        <w:instrText xml:space="preserve"> XE "prstCl</w:instrText>
      </w:r>
      <w:r>
        <w:instrText xml:space="preserve">r (Preset Color)" </w:instrText>
      </w:r>
      <w:r>
        <w:fldChar w:fldCharType="end"/>
      </w:r>
    </w:p>
    <w:p w:rsidR="005F78FC" w:rsidRDefault="00B42EF3">
      <w:pPr>
        <w:pStyle w:val="Definition-Field"/>
      </w:pPr>
      <w:r>
        <w:t xml:space="preserve">a.   </w:t>
      </w:r>
      <w:r>
        <w:rPr>
          <w:i/>
        </w:rPr>
        <w:t>The standard implies that the val attribute is optional.</w:t>
      </w:r>
    </w:p>
    <w:p w:rsidR="005F78FC" w:rsidRDefault="00B42EF3">
      <w:pPr>
        <w:pStyle w:val="Definition-Field2"/>
      </w:pPr>
      <w:r>
        <w:t>Office requires the val attribute.</w:t>
      </w:r>
    </w:p>
    <w:p w:rsidR="005F78FC" w:rsidRDefault="00B42EF3">
      <w:pPr>
        <w:pStyle w:val="Heading3"/>
      </w:pPr>
      <w:bookmarkStart w:id="2488" w:name="section_b7378f270ccb4534905a6b72f3629e84"/>
      <w:bookmarkStart w:id="2489" w:name="_Toc69879017"/>
      <w:r>
        <w:t>Part 1 Section 20.1.2.3.23, red (Red)</w:t>
      </w:r>
      <w:bookmarkEnd w:id="2488"/>
      <w:bookmarkEnd w:id="2489"/>
      <w:r>
        <w:fldChar w:fldCharType="begin"/>
      </w:r>
      <w:r>
        <w:instrText xml:space="preserve"> XE "red (Red)" </w:instrText>
      </w:r>
      <w:r>
        <w:fldChar w:fldCharType="end"/>
      </w:r>
    </w:p>
    <w:p w:rsidR="005F78FC" w:rsidRDefault="00B42EF3">
      <w:pPr>
        <w:pStyle w:val="Definition-Field2"/>
      </w:pPr>
      <w:r>
        <w:rPr>
          <w:i/>
        </w:rPr>
        <w:t>For additional notes that apply to this portion of the standard, please see the no</w:t>
      </w:r>
      <w:r>
        <w:rPr>
          <w:i/>
        </w:rPr>
        <w:t xml:space="preserve">tes for </w:t>
      </w:r>
      <w:hyperlink w:anchor="Section_609636d541304679b9b8eebaa8424ae7">
        <w:r>
          <w:rPr>
            <w:rStyle w:val="Hyperlink"/>
          </w:rPr>
          <w:t>blue, §20.1.2.3.4(a)</w:t>
        </w:r>
      </w:hyperlink>
      <w:r>
        <w:rPr>
          <w:i/>
        </w:rPr>
        <w:t>.</w:t>
      </w:r>
    </w:p>
    <w:p w:rsidR="005F78FC" w:rsidRDefault="00B42EF3">
      <w:pPr>
        <w:pStyle w:val="Definition-Field"/>
      </w:pPr>
      <w:r>
        <w:t xml:space="preserve">a.   </w:t>
      </w:r>
      <w:r>
        <w:rPr>
          <w:i/>
        </w:rPr>
        <w:t>The standard states that ST_PositiveFixedPercentage is read and written as a percent with a trailing percent sign.</w:t>
      </w:r>
    </w:p>
    <w:p w:rsidR="005F78FC" w:rsidRDefault="00B42EF3">
      <w:pPr>
        <w:pStyle w:val="Definition-Field2"/>
      </w:pPr>
      <w:r>
        <w:t xml:space="preserve">Office will read in percentages formatted </w:t>
      </w:r>
      <w:r>
        <w:t>with a trailing percent sign or as 1000th of a percent without trailing percent sign, but only write out percentages as 1000th's of a percent without trailing percent sign.</w:t>
      </w:r>
    </w:p>
    <w:p w:rsidR="005F78FC" w:rsidRDefault="00B42EF3">
      <w:pPr>
        <w:pStyle w:val="Heading3"/>
      </w:pPr>
      <w:bookmarkStart w:id="2490" w:name="section_3bbe53b4cdef4500a740b6d7db05ff8d"/>
      <w:bookmarkStart w:id="2491" w:name="_Toc69879018"/>
      <w:r>
        <w:t>Part 1 Section 20.1.2.3.24, redMod (Red Modulation)</w:t>
      </w:r>
      <w:bookmarkEnd w:id="2490"/>
      <w:bookmarkEnd w:id="2491"/>
      <w:r>
        <w:fldChar w:fldCharType="begin"/>
      </w:r>
      <w:r>
        <w:instrText xml:space="preserve"> XE "redMod (Red Modulation)"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5F78FC" w:rsidRDefault="00B42EF3">
      <w:pPr>
        <w:pStyle w:val="Definition-Field"/>
      </w:pPr>
      <w:r>
        <w:t xml:space="preserve">a.   </w:t>
      </w:r>
      <w:r>
        <w:rPr>
          <w:i/>
        </w:rPr>
        <w:t xml:space="preserve">The standard states that ST_PositiveFixedPercentage is read and written as </w:t>
      </w:r>
      <w:r>
        <w:rPr>
          <w:i/>
        </w:rPr>
        <w:t>a percent with a trailing percent sign.</w:t>
      </w:r>
    </w:p>
    <w:p w:rsidR="005F78FC" w:rsidRDefault="00B42EF3">
      <w:pPr>
        <w:pStyle w:val="Definition-Field2"/>
      </w:pPr>
      <w:r>
        <w:t>Office will read in percentages formatted with a trailing percent sign or as 1000th of a percent without trailing percent sign, but only write out percentages as 1000th's of a percent without trailing percent sign.</w:t>
      </w:r>
    </w:p>
    <w:p w:rsidR="005F78FC" w:rsidRDefault="00B42EF3">
      <w:pPr>
        <w:pStyle w:val="Heading3"/>
      </w:pPr>
      <w:bookmarkStart w:id="2492" w:name="section_7324b5d8d9cb4b22b0a1bb247e1b9244"/>
      <w:bookmarkStart w:id="2493" w:name="_Toc69879019"/>
      <w:r>
        <w:t>P</w:t>
      </w:r>
      <w:r>
        <w:t>art 1 Section 20.1.2.3.25, redOff (Red Offset)</w:t>
      </w:r>
      <w:bookmarkEnd w:id="2492"/>
      <w:bookmarkEnd w:id="2493"/>
      <w:r>
        <w:fldChar w:fldCharType="begin"/>
      </w:r>
      <w:r>
        <w:instrText xml:space="preserve"> XE "redOff (Red Offset)"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5F78FC" w:rsidRDefault="00B42EF3">
      <w:pPr>
        <w:pStyle w:val="Definition-Field"/>
      </w:pPr>
      <w:r>
        <w:t xml:space="preserve">a.   </w:t>
      </w:r>
      <w:r>
        <w:rPr>
          <w:i/>
        </w:rPr>
        <w:t>T</w:t>
      </w:r>
      <w:r>
        <w:rPr>
          <w:i/>
        </w:rPr>
        <w:t>he standard states that ST_PositiveFixedPercentage is read and written as a percent with a trailing percent sign.</w:t>
      </w:r>
    </w:p>
    <w:p w:rsidR="005F78FC" w:rsidRDefault="00B42EF3">
      <w:pPr>
        <w:pStyle w:val="Definition-Field2"/>
      </w:pPr>
      <w:r>
        <w:t>Office will read in percentages formatted with a trailing percent sign or as 1000th of a percent without trailing percent sign, but only write</w:t>
      </w:r>
      <w:r>
        <w:t xml:space="preserve"> out percentages as 1000th's of a percent without trailing percent sign.</w:t>
      </w:r>
    </w:p>
    <w:p w:rsidR="005F78FC" w:rsidRDefault="00B42EF3">
      <w:pPr>
        <w:pStyle w:val="Heading3"/>
      </w:pPr>
      <w:bookmarkStart w:id="2494" w:name="section_6e285ca361b94a4093beaf70277dcd71"/>
      <w:bookmarkStart w:id="2495" w:name="_Toc69879020"/>
      <w:r>
        <w:t>Part 1 Section 20.1.2.3.26, sat (Saturation)</w:t>
      </w:r>
      <w:bookmarkEnd w:id="2494"/>
      <w:bookmarkEnd w:id="2495"/>
      <w:r>
        <w:fldChar w:fldCharType="begin"/>
      </w:r>
      <w:r>
        <w:instrText xml:space="preserve"> XE "sat (Saturation)"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5F78FC" w:rsidRDefault="00B42EF3">
      <w:pPr>
        <w:pStyle w:val="Definition-Field"/>
      </w:pPr>
      <w:r>
        <w:t xml:space="preserve">a.   </w:t>
      </w:r>
      <w:r>
        <w:rPr>
          <w:i/>
        </w:rPr>
        <w:t>The standard allows saturation to be specified either as an attribute of a parent element or as a child element.</w:t>
      </w:r>
    </w:p>
    <w:p w:rsidR="005F78FC" w:rsidRDefault="00B42EF3">
      <w:pPr>
        <w:pStyle w:val="Definition-Field2"/>
      </w:pPr>
      <w:r>
        <w:lastRenderedPageBreak/>
        <w:t>In Office, using child element sat will override the corresponding value spe</w:t>
      </w:r>
      <w:r>
        <w:t>cified in a parent element and may produce unexpected color.</w:t>
      </w:r>
    </w:p>
    <w:p w:rsidR="005F78FC" w:rsidRDefault="00B42EF3">
      <w:pPr>
        <w:pStyle w:val="Definition-Field"/>
      </w:pPr>
      <w:r>
        <w:t xml:space="preserve">b.   </w:t>
      </w:r>
      <w:r>
        <w:rPr>
          <w:i/>
        </w:rPr>
        <w:t>The standard states that ST_Percentage is read and written as a percent with a trailing percent sign.</w:t>
      </w:r>
    </w:p>
    <w:p w:rsidR="005F78FC" w:rsidRDefault="00B42EF3">
      <w:pPr>
        <w:pStyle w:val="Definition-Field2"/>
      </w:pPr>
      <w:r>
        <w:t>Office will read in percentages formatted with a trailing percent sign or as 1000th of a</w:t>
      </w:r>
      <w:r>
        <w:t xml:space="preserve"> percent without trailing percent sign, but only write out percentages as 1000th's of a percent without trailing percent sign.</w:t>
      </w:r>
    </w:p>
    <w:p w:rsidR="005F78FC" w:rsidRDefault="00B42EF3">
      <w:pPr>
        <w:pStyle w:val="Heading3"/>
      </w:pPr>
      <w:bookmarkStart w:id="2496" w:name="section_157e57919c514251ae907dd58ae69778"/>
      <w:bookmarkStart w:id="2497" w:name="_Toc69879021"/>
      <w:r>
        <w:t>Part 1 Section 20.1.2.3.27, satMod (Saturation Modulation)</w:t>
      </w:r>
      <w:bookmarkEnd w:id="2496"/>
      <w:bookmarkEnd w:id="2497"/>
      <w:r>
        <w:fldChar w:fldCharType="begin"/>
      </w:r>
      <w:r>
        <w:instrText xml:space="preserve"> XE "satMod (Saturation Modulation)" </w:instrText>
      </w:r>
      <w:r>
        <w:fldChar w:fldCharType="end"/>
      </w:r>
    </w:p>
    <w:p w:rsidR="005F78FC" w:rsidRDefault="00B42EF3">
      <w:pPr>
        <w:pStyle w:val="Definition-Field2"/>
      </w:pPr>
      <w:r>
        <w:rPr>
          <w:i/>
        </w:rPr>
        <w:t>For additional notes that apply</w:t>
      </w:r>
      <w:r>
        <w:rPr>
          <w:i/>
        </w:rPr>
        <w:t xml:space="preserve"> to this portion of the standard, please see the notes for </w:t>
      </w:r>
      <w:hyperlink w:anchor="Section_609636d541304679b9b8eebaa8424ae7">
        <w:r>
          <w:rPr>
            <w:rStyle w:val="Hyperlink"/>
          </w:rPr>
          <w:t>blue, §20.1.2.3.4(a)</w:t>
        </w:r>
      </w:hyperlink>
      <w:r>
        <w:rPr>
          <w:i/>
        </w:rPr>
        <w:t>.</w:t>
      </w:r>
    </w:p>
    <w:p w:rsidR="005F78FC" w:rsidRDefault="00B42EF3">
      <w:pPr>
        <w:pStyle w:val="Definition-Field"/>
      </w:pPr>
      <w:r>
        <w:t xml:space="preserve">a.   </w:t>
      </w:r>
      <w:r>
        <w:rPr>
          <w:i/>
        </w:rPr>
        <w:t>The standard states that ST_Percentage is read and written as a percent with a trailing percent sign.</w:t>
      </w:r>
    </w:p>
    <w:p w:rsidR="005F78FC" w:rsidRDefault="00B42EF3">
      <w:pPr>
        <w:pStyle w:val="Definition-Field2"/>
      </w:pPr>
      <w:r>
        <w:t>Offic</w:t>
      </w:r>
      <w:r>
        <w:t>e will read in percentages formatted with a trailing percent sign or as 1000th of a percent without trailing percent sign, but only write out percentages as 1000th's of a percent without trailing percent sign.</w:t>
      </w:r>
    </w:p>
    <w:p w:rsidR="005F78FC" w:rsidRDefault="00B42EF3">
      <w:pPr>
        <w:pStyle w:val="Heading3"/>
      </w:pPr>
      <w:bookmarkStart w:id="2498" w:name="section_4739545ec381406d9f092fcbe7d8e3af"/>
      <w:bookmarkStart w:id="2499" w:name="_Toc69879022"/>
      <w:r>
        <w:t>Part 1 Section 20.1.2.3.28, satOff (Saturation</w:t>
      </w:r>
      <w:r>
        <w:t xml:space="preserve"> Offset)</w:t>
      </w:r>
      <w:bookmarkEnd w:id="2498"/>
      <w:bookmarkEnd w:id="2499"/>
      <w:r>
        <w:fldChar w:fldCharType="begin"/>
      </w:r>
      <w:r>
        <w:instrText xml:space="preserve"> XE "satOff (Saturation Offset)"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5F78FC" w:rsidRDefault="00B42EF3">
      <w:pPr>
        <w:pStyle w:val="Definition-Field"/>
      </w:pPr>
      <w:r>
        <w:t xml:space="preserve">a.   </w:t>
      </w:r>
      <w:r>
        <w:rPr>
          <w:i/>
        </w:rPr>
        <w:t>The standard states that element</w:t>
      </w:r>
      <w:r>
        <w:rPr>
          <w:i/>
        </w:rPr>
        <w:t xml:space="preserve"> satOff shifts the input color's saturation while leaving hue and luminance unchanged.</w:t>
      </w:r>
    </w:p>
    <w:p w:rsidR="005F78FC" w:rsidRDefault="00B42EF3">
      <w:pPr>
        <w:pStyle w:val="Definition-Field2"/>
      </w:pPr>
      <w:r>
        <w:t>This element is not supported by Office and may produce unexpected color.</w:t>
      </w:r>
    </w:p>
    <w:p w:rsidR="005F78FC" w:rsidRDefault="00B42EF3">
      <w:pPr>
        <w:pStyle w:val="Definition-Field"/>
      </w:pPr>
      <w:r>
        <w:t xml:space="preserve">b.   </w:t>
      </w:r>
      <w:r>
        <w:rPr>
          <w:i/>
        </w:rPr>
        <w:t xml:space="preserve">The standard states that ST_Percentage is read and written as a percent with a trailing </w:t>
      </w:r>
      <w:r>
        <w:rPr>
          <w:i/>
        </w:rPr>
        <w:t>percent sign.</w:t>
      </w:r>
    </w:p>
    <w:p w:rsidR="005F78FC" w:rsidRDefault="00B42EF3">
      <w:pPr>
        <w:pStyle w:val="Definition-Field2"/>
      </w:pPr>
      <w:r>
        <w:t>Office will read in percentages formatted with a trailing percent sign or as 1000th of a percent without trailing percent sign, but only write out percentages as 1000th's of a percent without trailing percent sign.</w:t>
      </w:r>
    </w:p>
    <w:p w:rsidR="005F78FC" w:rsidRDefault="00B42EF3">
      <w:pPr>
        <w:pStyle w:val="Heading3"/>
      </w:pPr>
      <w:bookmarkStart w:id="2500" w:name="section_948409b090f74b6a85ee2e3eefa3d0fd"/>
      <w:bookmarkStart w:id="2501" w:name="_Toc69879023"/>
      <w:r>
        <w:t>Part 1 Section 20.1.2.3.31,</w:t>
      </w:r>
      <w:r>
        <w:t xml:space="preserve"> shade (Shade)</w:t>
      </w:r>
      <w:bookmarkEnd w:id="2500"/>
      <w:bookmarkEnd w:id="2501"/>
      <w:r>
        <w:fldChar w:fldCharType="begin"/>
      </w:r>
      <w:r>
        <w:instrText xml:space="preserve"> XE "shade (Shade)"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8d11d27322a648b8a2122b60910659bd">
        <w:r>
          <w:rPr>
            <w:rStyle w:val="Hyperlink"/>
          </w:rPr>
          <w:t>alpha, §20.1.2.3.1(a)</w:t>
        </w:r>
      </w:hyperlink>
      <w:r>
        <w:rPr>
          <w:i/>
        </w:rPr>
        <w:t>.</w:t>
      </w:r>
    </w:p>
    <w:p w:rsidR="005F78FC" w:rsidRDefault="00B42EF3">
      <w:pPr>
        <w:pStyle w:val="Definition-Field"/>
      </w:pPr>
      <w:r>
        <w:t xml:space="preserve">a.   </w:t>
      </w:r>
      <w:r>
        <w:rPr>
          <w:i/>
        </w:rPr>
        <w:t xml:space="preserve">The standard states that </w:t>
      </w:r>
      <w:r>
        <w:rPr>
          <w:i/>
        </w:rPr>
        <w:t>ST_PositiveFixedPercentage is read and written as a percent with a trailing percent sign.</w:t>
      </w:r>
    </w:p>
    <w:p w:rsidR="005F78FC" w:rsidRDefault="00B42EF3">
      <w:pPr>
        <w:pStyle w:val="Definition-Field2"/>
      </w:pPr>
      <w:r>
        <w:t>Office will read in percentages formatted with a trailing percent sign or as 1000th of a percent without trailing percent sign, but only write out percentages as 1000</w:t>
      </w:r>
      <w:r>
        <w:t>th's of a percent without trailing percent sign.</w:t>
      </w:r>
    </w:p>
    <w:p w:rsidR="005F78FC" w:rsidRDefault="00B42EF3">
      <w:pPr>
        <w:pStyle w:val="Heading3"/>
      </w:pPr>
      <w:bookmarkStart w:id="2502" w:name="section_cfb7a112dc1944ab9defbe5e19198aca"/>
      <w:bookmarkStart w:id="2503" w:name="_Toc69879024"/>
      <w:r>
        <w:t>Part 1 Section 20.1.2.3.33, sysClr (System Color)</w:t>
      </w:r>
      <w:bookmarkEnd w:id="2502"/>
      <w:bookmarkEnd w:id="2503"/>
      <w:r>
        <w:fldChar w:fldCharType="begin"/>
      </w:r>
      <w:r>
        <w:instrText xml:space="preserve"> XE "sysClr (System Color)" </w:instrText>
      </w:r>
      <w:r>
        <w:fldChar w:fldCharType="end"/>
      </w:r>
    </w:p>
    <w:p w:rsidR="005F78FC" w:rsidRDefault="00B42EF3">
      <w:pPr>
        <w:pStyle w:val="Definition-Field"/>
      </w:pPr>
      <w:r>
        <w:t xml:space="preserve">a.   </w:t>
      </w:r>
      <w:r>
        <w:rPr>
          <w:i/>
        </w:rPr>
        <w:t>The standard does not fully describe the lastClr attribute.</w:t>
      </w:r>
    </w:p>
    <w:p w:rsidR="005F78FC" w:rsidRDefault="00B42EF3">
      <w:pPr>
        <w:pStyle w:val="Definition-Field2"/>
      </w:pPr>
      <w:r>
        <w:t>In Office, lastClr is an optional attribute that stores the RG</w:t>
      </w:r>
      <w:r>
        <w:t>B value of the last sysClr used.</w:t>
      </w:r>
    </w:p>
    <w:p w:rsidR="005F78FC" w:rsidRDefault="00B42EF3">
      <w:pPr>
        <w:pStyle w:val="Heading3"/>
      </w:pPr>
      <w:bookmarkStart w:id="2504" w:name="section_376a958553ee4ab69a86b58cafd200ba"/>
      <w:bookmarkStart w:id="2505" w:name="_Toc69879025"/>
      <w:r>
        <w:lastRenderedPageBreak/>
        <w:t>Part 1 Section 20.1.2.3.34, tint (Tint)</w:t>
      </w:r>
      <w:bookmarkEnd w:id="2504"/>
      <w:bookmarkEnd w:id="2505"/>
      <w:r>
        <w:fldChar w:fldCharType="begin"/>
      </w:r>
      <w:r>
        <w:instrText xml:space="preserve"> XE "tint (Tint)"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8d11d27322a648b8a2122b60910659bd">
        <w:r>
          <w:rPr>
            <w:rStyle w:val="Hyperlink"/>
          </w:rPr>
          <w:t>alpha, §20</w:t>
        </w:r>
        <w:r>
          <w:rPr>
            <w:rStyle w:val="Hyperlink"/>
          </w:rPr>
          <w:t>.1.2.3.1(a)</w:t>
        </w:r>
      </w:hyperlink>
      <w:r>
        <w:rPr>
          <w:i/>
        </w:rPr>
        <w:t>.</w:t>
      </w:r>
    </w:p>
    <w:p w:rsidR="005F78FC" w:rsidRDefault="00B42EF3">
      <w:pPr>
        <w:pStyle w:val="Definition-Field"/>
      </w:pPr>
      <w:r>
        <w:t xml:space="preserve">a.   </w:t>
      </w:r>
      <w:r>
        <w:rPr>
          <w:i/>
        </w:rPr>
        <w:t>The standard states that ST_PositiveFixedPercentage is read and written as a percent with a trailing percent sign.</w:t>
      </w:r>
    </w:p>
    <w:p w:rsidR="005F78FC" w:rsidRDefault="00B42EF3">
      <w:pPr>
        <w:pStyle w:val="Definition-Field2"/>
      </w:pPr>
      <w:r>
        <w:t>Office will read in percentages formatted with a trailing percent sign or as 1000th of a percent without trailing percent s</w:t>
      </w:r>
      <w:r>
        <w:t>ign, but only write out percentages as 1000th's of a percent without trailing percent sign.</w:t>
      </w:r>
    </w:p>
    <w:p w:rsidR="005F78FC" w:rsidRDefault="00B42EF3">
      <w:pPr>
        <w:pStyle w:val="Heading3"/>
      </w:pPr>
      <w:bookmarkStart w:id="2506" w:name="section_04a1b8020388451d8a1adc77e7b6e7fb"/>
      <w:bookmarkStart w:id="2507" w:name="_Toc69879026"/>
      <w:r>
        <w:t>Part 1 Section 20.1.3.2, audioFile (Audio from File)</w:t>
      </w:r>
      <w:bookmarkEnd w:id="2506"/>
      <w:bookmarkEnd w:id="2507"/>
      <w:r>
        <w:fldChar w:fldCharType="begin"/>
      </w:r>
      <w:r>
        <w:instrText xml:space="preserve"> XE "audioFile (Audio from File)" </w:instrText>
      </w:r>
      <w:r>
        <w:fldChar w:fldCharType="end"/>
      </w:r>
    </w:p>
    <w:p w:rsidR="005F78FC" w:rsidRDefault="00B42EF3">
      <w:pPr>
        <w:pStyle w:val="Definition-Field"/>
      </w:pPr>
      <w:r>
        <w:t xml:space="preserve">a.   </w:t>
      </w:r>
      <w:r>
        <w:rPr>
          <w:i/>
        </w:rPr>
        <w:t>The standard specifies the optional contentType attribute for videoFil</w:t>
      </w:r>
      <w:r>
        <w:rPr>
          <w:i/>
        </w:rPr>
        <w:t>e element.</w:t>
      </w:r>
    </w:p>
    <w:p w:rsidR="005F78FC" w:rsidRDefault="00B42EF3">
      <w:pPr>
        <w:pStyle w:val="Definition-Field2"/>
      </w:pPr>
      <w:r>
        <w:t>Office ignores the optional contentType attribute and does not round trip the attribute on saving a file that contains the attribute at load time.</w:t>
      </w:r>
    </w:p>
    <w:p w:rsidR="005F78FC" w:rsidRDefault="00B42EF3">
      <w:pPr>
        <w:pStyle w:val="Heading3"/>
      </w:pPr>
      <w:bookmarkStart w:id="2508" w:name="section_2c068059663f4dd795aa2cbc325caff6"/>
      <w:bookmarkStart w:id="2509" w:name="_Toc69879027"/>
      <w:r>
        <w:t>Part 1 Section 20.1.3.3, end (Audio End Time)</w:t>
      </w:r>
      <w:bookmarkEnd w:id="2508"/>
      <w:bookmarkEnd w:id="2509"/>
      <w:r>
        <w:fldChar w:fldCharType="begin"/>
      </w:r>
      <w:r>
        <w:instrText xml:space="preserve"> XE "end (Audio End Time)" </w:instrText>
      </w:r>
      <w:r>
        <w:fldChar w:fldCharType="end"/>
      </w:r>
    </w:p>
    <w:p w:rsidR="005F78FC" w:rsidRDefault="00B42EF3">
      <w:pPr>
        <w:pStyle w:val="Definition-Field"/>
      </w:pPr>
      <w:r>
        <w:t xml:space="preserve">a.   </w:t>
      </w:r>
      <w:r>
        <w:rPr>
          <w:i/>
        </w:rPr>
        <w:t xml:space="preserve">The standard uses </w:t>
      </w:r>
      <w:r>
        <w:rPr>
          <w:i/>
        </w:rPr>
        <w:t>common attribute descriptions for 'time' and 'track' that are shared by both 'st' and 'end' elements.</w:t>
      </w:r>
    </w:p>
    <w:p w:rsidR="005F78FC" w:rsidRDefault="00B42EF3">
      <w:pPr>
        <w:pStyle w:val="Definition-Field2"/>
      </w:pPr>
      <w:r>
        <w:t>In Office, the time attribute specifies the time in seconds that the CD audio should be started on at or stopped at while the track attribute specifies th</w:t>
      </w:r>
      <w:r>
        <w:t>e track of the CD the audio will begin on or stop at.</w:t>
      </w:r>
    </w:p>
    <w:p w:rsidR="005F78FC" w:rsidRDefault="00B42EF3">
      <w:pPr>
        <w:pStyle w:val="Heading3"/>
      </w:pPr>
      <w:bookmarkStart w:id="2510" w:name="section_05bb8be40b9c4be78eab1335e1d2d61c"/>
      <w:bookmarkStart w:id="2511" w:name="_Toc69879028"/>
      <w:r>
        <w:t>Part 1 Section 20.1.3.5, st (Audio Start Time)</w:t>
      </w:r>
      <w:bookmarkEnd w:id="2510"/>
      <w:bookmarkEnd w:id="2511"/>
      <w:r>
        <w:fldChar w:fldCharType="begin"/>
      </w:r>
      <w:r>
        <w:instrText xml:space="preserve"> XE "st (Audio Start Time)"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2c068059663f4dd795aa2cbc325caff6">
        <w:r>
          <w:rPr>
            <w:rStyle w:val="Hyperlink"/>
          </w:rPr>
          <w:t>end, §20.1.3.3(a)</w:t>
        </w:r>
      </w:hyperlink>
      <w:r>
        <w:rPr>
          <w:i/>
        </w:rPr>
        <w:t>.</w:t>
      </w:r>
    </w:p>
    <w:p w:rsidR="005F78FC" w:rsidRDefault="00B42EF3">
      <w:pPr>
        <w:pStyle w:val="Heading3"/>
      </w:pPr>
      <w:bookmarkStart w:id="2512" w:name="section_1d9021fb7aa149c48f2d691a1c6684ad"/>
      <w:bookmarkStart w:id="2513" w:name="_Toc69879029"/>
      <w:r>
        <w:t>Part 1 Section 20.1.3.6, videoFile (Video from File)</w:t>
      </w:r>
      <w:bookmarkEnd w:id="2512"/>
      <w:bookmarkEnd w:id="2513"/>
      <w:r>
        <w:fldChar w:fldCharType="begin"/>
      </w:r>
      <w:r>
        <w:instrText xml:space="preserve"> XE "videoFile (Video from File)" </w:instrText>
      </w:r>
      <w:r>
        <w:fldChar w:fldCharType="end"/>
      </w:r>
    </w:p>
    <w:p w:rsidR="005F78FC" w:rsidRDefault="00B42EF3">
      <w:pPr>
        <w:pStyle w:val="Definition-Field"/>
      </w:pPr>
      <w:r>
        <w:t xml:space="preserve">a.   </w:t>
      </w:r>
      <w:r>
        <w:rPr>
          <w:i/>
        </w:rPr>
        <w:t>The standard specifies the optional contentType attribute for videoFile element.</w:t>
      </w:r>
    </w:p>
    <w:p w:rsidR="005F78FC" w:rsidRDefault="00B42EF3">
      <w:pPr>
        <w:pStyle w:val="Definition-Field2"/>
      </w:pPr>
      <w:r>
        <w:t>Office ignores the optional conten</w:t>
      </w:r>
      <w:r>
        <w:t>tType attribute and does not round trip the attribute on saving a file that contains the attribute at load time.</w:t>
      </w:r>
    </w:p>
    <w:p w:rsidR="005F78FC" w:rsidRDefault="00B42EF3">
      <w:pPr>
        <w:pStyle w:val="Heading3"/>
      </w:pPr>
      <w:bookmarkStart w:id="2514" w:name="section_200a8e888d524d2a82f76383fea2caea"/>
      <w:bookmarkStart w:id="2515" w:name="_Toc69879030"/>
      <w:r>
        <w:t>Part 1 Section 20.1.4.1.1, accent1 (Accent 1)</w:t>
      </w:r>
      <w:bookmarkEnd w:id="2514"/>
      <w:bookmarkEnd w:id="2515"/>
      <w:r>
        <w:fldChar w:fldCharType="begin"/>
      </w:r>
      <w:r>
        <w:instrText xml:space="preserve"> XE "accent1 (Accent 1)" </w:instrText>
      </w:r>
      <w:r>
        <w:fldChar w:fldCharType="end"/>
      </w:r>
    </w:p>
    <w:p w:rsidR="005F78FC" w:rsidRDefault="00B42EF3">
      <w:pPr>
        <w:pStyle w:val="Definition-Field"/>
      </w:pPr>
      <w:r>
        <w:t xml:space="preserve">a.   </w:t>
      </w:r>
      <w:r>
        <w:rPr>
          <w:i/>
        </w:rPr>
        <w:t>The standard allows the element schemeClr as a child of the paren</w:t>
      </w:r>
      <w:r>
        <w:rPr>
          <w:i/>
        </w:rPr>
        <w:t>t element clrScheme.</w:t>
      </w:r>
    </w:p>
    <w:p w:rsidR="005F78FC" w:rsidRDefault="00B42EF3">
      <w:pPr>
        <w:pStyle w:val="Definition-Field2"/>
      </w:pPr>
      <w:r>
        <w:t>Office does not allow schemeClr as a child of the parent element clrScheme.</w:t>
      </w:r>
    </w:p>
    <w:p w:rsidR="005F78FC" w:rsidRDefault="00B42EF3">
      <w:pPr>
        <w:pStyle w:val="Heading3"/>
      </w:pPr>
      <w:bookmarkStart w:id="2516" w:name="section_ec6649f3feb54cbe86ad01f9e1778091"/>
      <w:bookmarkStart w:id="2517" w:name="_Toc69879031"/>
      <w:r>
        <w:t>Part 1 Section 20.1.4.1.2, accent2 (Accent 2)</w:t>
      </w:r>
      <w:bookmarkEnd w:id="2516"/>
      <w:bookmarkEnd w:id="2517"/>
      <w:r>
        <w:fldChar w:fldCharType="begin"/>
      </w:r>
      <w:r>
        <w:instrText xml:space="preserve"> XE "accent2 (Accent 2)" </w:instrText>
      </w:r>
      <w:r>
        <w:fldChar w:fldCharType="end"/>
      </w:r>
    </w:p>
    <w:p w:rsidR="005F78FC" w:rsidRDefault="00B42EF3">
      <w:pPr>
        <w:pStyle w:val="Definition-Field"/>
      </w:pPr>
      <w:r>
        <w:t xml:space="preserve">a.   </w:t>
      </w:r>
      <w:r>
        <w:rPr>
          <w:i/>
        </w:rPr>
        <w:t xml:space="preserve">The standard allows the element schemeClr as a child of the parent element </w:t>
      </w:r>
      <w:r>
        <w:rPr>
          <w:i/>
        </w:rPr>
        <w:t>clrScheme.</w:t>
      </w:r>
    </w:p>
    <w:p w:rsidR="005F78FC" w:rsidRDefault="00B42EF3">
      <w:pPr>
        <w:pStyle w:val="Definition-Field2"/>
      </w:pPr>
      <w:r>
        <w:t>Office does not allow schemeClr as a child of the parent element clrScheme.</w:t>
      </w:r>
    </w:p>
    <w:p w:rsidR="005F78FC" w:rsidRDefault="00B42EF3">
      <w:pPr>
        <w:pStyle w:val="Heading3"/>
      </w:pPr>
      <w:bookmarkStart w:id="2518" w:name="section_10b90b6cd8764335961999f0786d0eab"/>
      <w:bookmarkStart w:id="2519" w:name="_Toc69879032"/>
      <w:r>
        <w:t>Part 1 Section 20.1.4.1.3, accent3 (Accent 3)</w:t>
      </w:r>
      <w:bookmarkEnd w:id="2518"/>
      <w:bookmarkEnd w:id="2519"/>
      <w:r>
        <w:fldChar w:fldCharType="begin"/>
      </w:r>
      <w:r>
        <w:instrText xml:space="preserve"> XE "accent3 (Accent 3)" </w:instrText>
      </w:r>
      <w:r>
        <w:fldChar w:fldCharType="end"/>
      </w:r>
    </w:p>
    <w:p w:rsidR="005F78FC" w:rsidRDefault="00B42EF3">
      <w:pPr>
        <w:pStyle w:val="Definition-Field"/>
      </w:pPr>
      <w:r>
        <w:t xml:space="preserve">a.   </w:t>
      </w:r>
      <w:r>
        <w:rPr>
          <w:i/>
        </w:rPr>
        <w:t>The standard allows the element schemeClr as a child of the parent element clrScheme.</w:t>
      </w:r>
    </w:p>
    <w:p w:rsidR="005F78FC" w:rsidRDefault="00B42EF3">
      <w:pPr>
        <w:pStyle w:val="Definition-Field2"/>
      </w:pPr>
      <w:r>
        <w:lastRenderedPageBreak/>
        <w:t>Offic</w:t>
      </w:r>
      <w:r>
        <w:t>e does not allow schemeClr as a child of the parent element clrScheme.</w:t>
      </w:r>
    </w:p>
    <w:p w:rsidR="005F78FC" w:rsidRDefault="00B42EF3">
      <w:pPr>
        <w:pStyle w:val="Heading3"/>
      </w:pPr>
      <w:bookmarkStart w:id="2520" w:name="section_637470bc3bf64eb087c9f25e1a35cef4"/>
      <w:bookmarkStart w:id="2521" w:name="_Toc69879033"/>
      <w:r>
        <w:t>Part 1 Section 20.1.4.1.4, accent4 (Accent 4)</w:t>
      </w:r>
      <w:bookmarkEnd w:id="2520"/>
      <w:bookmarkEnd w:id="2521"/>
      <w:r>
        <w:fldChar w:fldCharType="begin"/>
      </w:r>
      <w:r>
        <w:instrText xml:space="preserve"> XE "accent4 (Accent 4)" </w:instrText>
      </w:r>
      <w:r>
        <w:fldChar w:fldCharType="end"/>
      </w:r>
    </w:p>
    <w:p w:rsidR="005F78FC" w:rsidRDefault="00B42EF3">
      <w:pPr>
        <w:pStyle w:val="Definition-Field"/>
      </w:pPr>
      <w:r>
        <w:t xml:space="preserve">a.   </w:t>
      </w:r>
      <w:r>
        <w:rPr>
          <w:i/>
        </w:rPr>
        <w:t>The standard allows the element schemeClr as a child of the parent element clrScheme.</w:t>
      </w:r>
    </w:p>
    <w:p w:rsidR="005F78FC" w:rsidRDefault="00B42EF3">
      <w:pPr>
        <w:pStyle w:val="Definition-Field2"/>
      </w:pPr>
      <w:r>
        <w:t>Office does not allow</w:t>
      </w:r>
      <w:r>
        <w:t xml:space="preserve"> schemeClr as a child of the parent element clrScheme.</w:t>
      </w:r>
    </w:p>
    <w:p w:rsidR="005F78FC" w:rsidRDefault="00B42EF3">
      <w:pPr>
        <w:pStyle w:val="Heading3"/>
      </w:pPr>
      <w:bookmarkStart w:id="2522" w:name="section_1687400204664c2ba60db62f9d42590a"/>
      <w:bookmarkStart w:id="2523" w:name="_Toc69879034"/>
      <w:r>
        <w:t>Part 1 Section 20.1.4.1.5, accent5 (Accent 5)</w:t>
      </w:r>
      <w:bookmarkEnd w:id="2522"/>
      <w:bookmarkEnd w:id="2523"/>
      <w:r>
        <w:fldChar w:fldCharType="begin"/>
      </w:r>
      <w:r>
        <w:instrText xml:space="preserve"> XE "accent5 (Accent 5)" </w:instrText>
      </w:r>
      <w:r>
        <w:fldChar w:fldCharType="end"/>
      </w:r>
    </w:p>
    <w:p w:rsidR="005F78FC" w:rsidRDefault="00B42EF3">
      <w:pPr>
        <w:pStyle w:val="Definition-Field"/>
      </w:pPr>
      <w:r>
        <w:t xml:space="preserve">a.   </w:t>
      </w:r>
      <w:r>
        <w:rPr>
          <w:i/>
        </w:rPr>
        <w:t>The standard allows the element schemeClr as a child of the parent element clrScheme.</w:t>
      </w:r>
    </w:p>
    <w:p w:rsidR="005F78FC" w:rsidRDefault="00B42EF3">
      <w:pPr>
        <w:pStyle w:val="Definition-Field2"/>
      </w:pPr>
      <w:r>
        <w:t xml:space="preserve">Office does not allow schemeClr as a </w:t>
      </w:r>
      <w:r>
        <w:t>child of the parent element clrScheme.</w:t>
      </w:r>
    </w:p>
    <w:p w:rsidR="005F78FC" w:rsidRDefault="00B42EF3">
      <w:pPr>
        <w:pStyle w:val="Heading3"/>
      </w:pPr>
      <w:bookmarkStart w:id="2524" w:name="section_c92f3b2e902f44ef9760d39d261e1d5b"/>
      <w:bookmarkStart w:id="2525" w:name="_Toc69879035"/>
      <w:r>
        <w:t>Part 1 Section 20.1.4.1.6, accent6 (Accent 6)</w:t>
      </w:r>
      <w:bookmarkEnd w:id="2524"/>
      <w:bookmarkEnd w:id="2525"/>
      <w:r>
        <w:fldChar w:fldCharType="begin"/>
      </w:r>
      <w:r>
        <w:instrText xml:space="preserve"> XE "accent6 (Accent 6)" </w:instrText>
      </w:r>
      <w:r>
        <w:fldChar w:fldCharType="end"/>
      </w:r>
    </w:p>
    <w:p w:rsidR="005F78FC" w:rsidRDefault="00B42EF3">
      <w:pPr>
        <w:pStyle w:val="Definition-Field"/>
      </w:pPr>
      <w:r>
        <w:t xml:space="preserve">a.   </w:t>
      </w:r>
      <w:r>
        <w:rPr>
          <w:i/>
        </w:rPr>
        <w:t>The standard allows the element schemeClr as a child of the parent element clrScheme.</w:t>
      </w:r>
    </w:p>
    <w:p w:rsidR="005F78FC" w:rsidRDefault="00B42EF3">
      <w:pPr>
        <w:pStyle w:val="Definition-Field2"/>
      </w:pPr>
      <w:r>
        <w:t>Office does not allow schemeClr as a child of the par</w:t>
      </w:r>
      <w:r>
        <w:t>ent element clrScheme.</w:t>
      </w:r>
    </w:p>
    <w:p w:rsidR="005F78FC" w:rsidRDefault="00B42EF3">
      <w:pPr>
        <w:pStyle w:val="Heading3"/>
      </w:pPr>
      <w:bookmarkStart w:id="2526" w:name="section_0efe93f6a9914b0285c5bba4619e7d25"/>
      <w:bookmarkStart w:id="2527" w:name="_Toc69879036"/>
      <w:r>
        <w:t>Part 1 Section 20.1.4.1.9, dk1 (Dark 1)</w:t>
      </w:r>
      <w:bookmarkEnd w:id="2526"/>
      <w:bookmarkEnd w:id="2527"/>
      <w:r>
        <w:fldChar w:fldCharType="begin"/>
      </w:r>
      <w:r>
        <w:instrText xml:space="preserve"> XE "dk1 (Dark 1)" </w:instrText>
      </w:r>
      <w:r>
        <w:fldChar w:fldCharType="end"/>
      </w:r>
    </w:p>
    <w:p w:rsidR="005F78FC" w:rsidRDefault="00B42EF3">
      <w:pPr>
        <w:pStyle w:val="Definition-Field"/>
      </w:pPr>
      <w:r>
        <w:t xml:space="preserve">a.   </w:t>
      </w:r>
      <w:r>
        <w:rPr>
          <w:i/>
        </w:rPr>
        <w:t>The standard allows the element schemeClr as a child of the parent element clrScheme.</w:t>
      </w:r>
    </w:p>
    <w:p w:rsidR="005F78FC" w:rsidRDefault="00B42EF3">
      <w:pPr>
        <w:pStyle w:val="Definition-Field2"/>
      </w:pPr>
      <w:r>
        <w:t>Office does not allow schemeClr as a child of the parent element clrScheme.</w:t>
      </w:r>
    </w:p>
    <w:p w:rsidR="005F78FC" w:rsidRDefault="00B42EF3">
      <w:pPr>
        <w:pStyle w:val="Heading3"/>
      </w:pPr>
      <w:bookmarkStart w:id="2528" w:name="section_46c7a3ca42274b368bef211aa750ef6e"/>
      <w:bookmarkStart w:id="2529" w:name="_Toc69879037"/>
      <w:r>
        <w:t xml:space="preserve">Part </w:t>
      </w:r>
      <w:r>
        <w:t>1 Section 20.1.4.1.10, dk2 (Dark 2)</w:t>
      </w:r>
      <w:bookmarkEnd w:id="2528"/>
      <w:bookmarkEnd w:id="2529"/>
      <w:r>
        <w:fldChar w:fldCharType="begin"/>
      </w:r>
      <w:r>
        <w:instrText xml:space="preserve"> XE "dk2 (Dark 2)" </w:instrText>
      </w:r>
      <w:r>
        <w:fldChar w:fldCharType="end"/>
      </w:r>
    </w:p>
    <w:p w:rsidR="005F78FC" w:rsidRDefault="00B42EF3">
      <w:pPr>
        <w:pStyle w:val="Definition-Field"/>
      </w:pPr>
      <w:r>
        <w:t xml:space="preserve">a.   </w:t>
      </w:r>
      <w:r>
        <w:rPr>
          <w:i/>
        </w:rPr>
        <w:t>The standard allows the element schemeClr as a child of the parent element clrScheme.</w:t>
      </w:r>
    </w:p>
    <w:p w:rsidR="005F78FC" w:rsidRDefault="00B42EF3">
      <w:pPr>
        <w:pStyle w:val="Definition-Field2"/>
      </w:pPr>
      <w:r>
        <w:t>Office does not allow schemeClr as a child of the parent element clrScheme.</w:t>
      </w:r>
    </w:p>
    <w:p w:rsidR="005F78FC" w:rsidRDefault="00B42EF3">
      <w:pPr>
        <w:pStyle w:val="Heading3"/>
      </w:pPr>
      <w:bookmarkStart w:id="2530" w:name="section_af9c792be9254afcbef47f031163f0f7"/>
      <w:bookmarkStart w:id="2531" w:name="_Toc69879038"/>
      <w:r>
        <w:t>Part 1 Section 20.1.4.1.15, folH</w:t>
      </w:r>
      <w:r>
        <w:t>link (Followed Hyperlink)</w:t>
      </w:r>
      <w:bookmarkEnd w:id="2530"/>
      <w:bookmarkEnd w:id="2531"/>
      <w:r>
        <w:fldChar w:fldCharType="begin"/>
      </w:r>
      <w:r>
        <w:instrText xml:space="preserve"> XE "folHlink (Followed Hyperlink)" </w:instrText>
      </w:r>
      <w:r>
        <w:fldChar w:fldCharType="end"/>
      </w:r>
    </w:p>
    <w:p w:rsidR="005F78FC" w:rsidRDefault="00B42EF3">
      <w:pPr>
        <w:pStyle w:val="Definition-Field"/>
      </w:pPr>
      <w:r>
        <w:t xml:space="preserve">a.   </w:t>
      </w:r>
      <w:r>
        <w:rPr>
          <w:i/>
        </w:rPr>
        <w:t>The standard allows the element schemeClr as a child of the parent element clrScheme.</w:t>
      </w:r>
    </w:p>
    <w:p w:rsidR="005F78FC" w:rsidRDefault="00B42EF3">
      <w:pPr>
        <w:pStyle w:val="Definition-Field2"/>
      </w:pPr>
      <w:r>
        <w:t>Office does not allow schemeClr as a child of the parent element clrScheme.</w:t>
      </w:r>
    </w:p>
    <w:p w:rsidR="005F78FC" w:rsidRDefault="00B42EF3">
      <w:pPr>
        <w:pStyle w:val="Heading3"/>
      </w:pPr>
      <w:bookmarkStart w:id="2532" w:name="section_dda195888971454cb18f0282065f95a3"/>
      <w:bookmarkStart w:id="2533" w:name="_Toc69879039"/>
      <w:r>
        <w:t>Part 1 Section 20.1.4.1.1</w:t>
      </w:r>
      <w:r>
        <w:t>7, fontRef (Font Reference)</w:t>
      </w:r>
      <w:bookmarkEnd w:id="2532"/>
      <w:bookmarkEnd w:id="2533"/>
      <w:r>
        <w:fldChar w:fldCharType="begin"/>
      </w:r>
      <w:r>
        <w:instrText xml:space="preserve"> XE "fontRef (Font Reference)" </w:instrText>
      </w:r>
      <w:r>
        <w:fldChar w:fldCharType="end"/>
      </w:r>
    </w:p>
    <w:p w:rsidR="005F78FC" w:rsidRDefault="00B42EF3">
      <w:pPr>
        <w:pStyle w:val="Definition-Field"/>
      </w:pPr>
      <w:r>
        <w:t xml:space="preserve">a.   </w:t>
      </w:r>
      <w:r>
        <w:rPr>
          <w:i/>
        </w:rPr>
        <w:t>The standard does not state how to handle an undefined theme.</w:t>
      </w:r>
    </w:p>
    <w:p w:rsidR="005F78FC" w:rsidRDefault="00B42EF3">
      <w:pPr>
        <w:pStyle w:val="Definition-Field2"/>
      </w:pPr>
      <w:r>
        <w:t>Excel uses a default value of minor for the idx attribute on this element and a default value of tx1 for the val attribute on th</w:t>
      </w:r>
      <w:r>
        <w:t>e schemeClr element when a theme is not provided.</w:t>
      </w:r>
    </w:p>
    <w:p w:rsidR="005F78FC" w:rsidRDefault="00B42EF3">
      <w:pPr>
        <w:pStyle w:val="Heading3"/>
      </w:pPr>
      <w:bookmarkStart w:id="2534" w:name="section_b3ef6d7b692d497c8c88e6cff3558e47"/>
      <w:bookmarkStart w:id="2535" w:name="_Toc69879040"/>
      <w:r>
        <w:t>Part 1 Section 20.1.4.1.19, hlink (Hyperlink)</w:t>
      </w:r>
      <w:bookmarkEnd w:id="2534"/>
      <w:bookmarkEnd w:id="2535"/>
      <w:r>
        <w:fldChar w:fldCharType="begin"/>
      </w:r>
      <w:r>
        <w:instrText xml:space="preserve"> XE "hlink (Hyperlink)" </w:instrText>
      </w:r>
      <w:r>
        <w:fldChar w:fldCharType="end"/>
      </w:r>
    </w:p>
    <w:p w:rsidR="005F78FC" w:rsidRDefault="00B42EF3">
      <w:pPr>
        <w:pStyle w:val="Definition-Field"/>
      </w:pPr>
      <w:r>
        <w:t xml:space="preserve">a.   </w:t>
      </w:r>
      <w:r>
        <w:rPr>
          <w:i/>
        </w:rPr>
        <w:t>The standard allows the element schemeClr as a child of the parent element clrScheme.</w:t>
      </w:r>
    </w:p>
    <w:p w:rsidR="005F78FC" w:rsidRDefault="00B42EF3">
      <w:pPr>
        <w:pStyle w:val="Definition-Field2"/>
      </w:pPr>
      <w:r>
        <w:t xml:space="preserve">Office does not allow schemeClr as a child </w:t>
      </w:r>
      <w:r>
        <w:t>of the parent element clrScheme.</w:t>
      </w:r>
    </w:p>
    <w:p w:rsidR="005F78FC" w:rsidRDefault="00B42EF3">
      <w:pPr>
        <w:pStyle w:val="Heading3"/>
      </w:pPr>
      <w:bookmarkStart w:id="2536" w:name="section_95b65bea5318441eb941f8b8b47c6ff8"/>
      <w:bookmarkStart w:id="2537" w:name="_Toc69879041"/>
      <w:r>
        <w:t>Part 1 Section 20.1.4.1.22, lt1 (Light 1)</w:t>
      </w:r>
      <w:bookmarkEnd w:id="2536"/>
      <w:bookmarkEnd w:id="2537"/>
      <w:r>
        <w:fldChar w:fldCharType="begin"/>
      </w:r>
      <w:r>
        <w:instrText xml:space="preserve"> XE "lt1 (Light 1)" </w:instrText>
      </w:r>
      <w:r>
        <w:fldChar w:fldCharType="end"/>
      </w:r>
    </w:p>
    <w:p w:rsidR="005F78FC" w:rsidRDefault="00B42EF3">
      <w:pPr>
        <w:pStyle w:val="Definition-Field"/>
      </w:pPr>
      <w:r>
        <w:t xml:space="preserve">a.   </w:t>
      </w:r>
      <w:r>
        <w:rPr>
          <w:i/>
        </w:rPr>
        <w:t>The standard allows the element schemeClr as a child of the parent element clrScheme.</w:t>
      </w:r>
    </w:p>
    <w:p w:rsidR="005F78FC" w:rsidRDefault="00B42EF3">
      <w:pPr>
        <w:pStyle w:val="Definition-Field2"/>
      </w:pPr>
      <w:r>
        <w:t xml:space="preserve">Office does not allow schemeClr as a child of the parent element </w:t>
      </w:r>
      <w:r>
        <w:t>clrScheme.</w:t>
      </w:r>
    </w:p>
    <w:p w:rsidR="005F78FC" w:rsidRDefault="00B42EF3">
      <w:pPr>
        <w:pStyle w:val="Heading3"/>
      </w:pPr>
      <w:bookmarkStart w:id="2538" w:name="section_06a16974a53649de992d0576550cfa06"/>
      <w:bookmarkStart w:id="2539" w:name="_Toc69879042"/>
      <w:r>
        <w:lastRenderedPageBreak/>
        <w:t>Part 1 Section 20.1.4.1.23, lt2 (Light 2)</w:t>
      </w:r>
      <w:bookmarkEnd w:id="2538"/>
      <w:bookmarkEnd w:id="2539"/>
      <w:r>
        <w:fldChar w:fldCharType="begin"/>
      </w:r>
      <w:r>
        <w:instrText xml:space="preserve"> XE "lt2 (Light 2)" </w:instrText>
      </w:r>
      <w:r>
        <w:fldChar w:fldCharType="end"/>
      </w:r>
    </w:p>
    <w:p w:rsidR="005F78FC" w:rsidRDefault="00B42EF3">
      <w:pPr>
        <w:pStyle w:val="Definition-Field"/>
      </w:pPr>
      <w:r>
        <w:t xml:space="preserve">a.   </w:t>
      </w:r>
      <w:r>
        <w:rPr>
          <w:i/>
        </w:rPr>
        <w:t>The standard allows the element schemeClr as a child of the parent element clrScheme.</w:t>
      </w:r>
    </w:p>
    <w:p w:rsidR="005F78FC" w:rsidRDefault="00B42EF3">
      <w:pPr>
        <w:pStyle w:val="Definition-Field2"/>
      </w:pPr>
      <w:r>
        <w:t>Office does not allow schemeClr as a child of the parent element clrScheme.</w:t>
      </w:r>
    </w:p>
    <w:p w:rsidR="005F78FC" w:rsidRDefault="00B42EF3">
      <w:pPr>
        <w:pStyle w:val="Heading3"/>
      </w:pPr>
      <w:bookmarkStart w:id="2540" w:name="section_0d2ec861539b4f569674d3fe690db170"/>
      <w:bookmarkStart w:id="2541" w:name="_Toc69879043"/>
      <w:r>
        <w:t>Part 1 Section</w:t>
      </w:r>
      <w:r>
        <w:t xml:space="preserve"> 20.1.4.2.2, band1V (Band 1 Vertical)</w:t>
      </w:r>
      <w:bookmarkEnd w:id="2540"/>
      <w:bookmarkEnd w:id="2541"/>
      <w:r>
        <w:fldChar w:fldCharType="begin"/>
      </w:r>
      <w:r>
        <w:instrText xml:space="preserve"> XE "band1V (Band 1 Vertical)" </w:instrText>
      </w:r>
      <w:r>
        <w:fldChar w:fldCharType="end"/>
      </w:r>
    </w:p>
    <w:p w:rsidR="005F78FC" w:rsidRDefault="00B42EF3">
      <w:pPr>
        <w:pStyle w:val="Definition-Field"/>
      </w:pPr>
      <w:r>
        <w:t xml:space="preserve">a.   </w:t>
      </w:r>
      <w:r>
        <w:rPr>
          <w:i/>
        </w:rPr>
        <w:t>The standard states that the band1V element applies to rows.</w:t>
      </w:r>
    </w:p>
    <w:p w:rsidR="005F78FC" w:rsidRDefault="00B42EF3">
      <w:pPr>
        <w:pStyle w:val="Definition-Field2"/>
      </w:pPr>
      <w:r>
        <w:t>Office applies this element to columns.</w:t>
      </w:r>
    </w:p>
    <w:p w:rsidR="005F78FC" w:rsidRDefault="00B42EF3">
      <w:pPr>
        <w:pStyle w:val="Heading3"/>
      </w:pPr>
      <w:bookmarkStart w:id="2542" w:name="section_4e29decef19447f18182fe86ecd01c53"/>
      <w:bookmarkStart w:id="2543" w:name="_Toc69879044"/>
      <w:r>
        <w:t>Part 1 Section 20.1.4.2.4, band2V (Band 2 Vertical)</w:t>
      </w:r>
      <w:bookmarkEnd w:id="2542"/>
      <w:bookmarkEnd w:id="2543"/>
      <w:r>
        <w:fldChar w:fldCharType="begin"/>
      </w:r>
      <w:r>
        <w:instrText xml:space="preserve"> XE "band2V (Band 2 Vertical</w:instrText>
      </w:r>
      <w:r>
        <w:instrText xml:space="preserve">)" </w:instrText>
      </w:r>
      <w:r>
        <w:fldChar w:fldCharType="end"/>
      </w:r>
    </w:p>
    <w:p w:rsidR="005F78FC" w:rsidRDefault="00B42EF3">
      <w:pPr>
        <w:pStyle w:val="Definition-Field"/>
      </w:pPr>
      <w:r>
        <w:t xml:space="preserve">a.   </w:t>
      </w:r>
      <w:r>
        <w:rPr>
          <w:i/>
        </w:rPr>
        <w:t>The standard states that the band2V element applies to rows.</w:t>
      </w:r>
    </w:p>
    <w:p w:rsidR="005F78FC" w:rsidRDefault="00B42EF3">
      <w:pPr>
        <w:pStyle w:val="Definition-Field2"/>
      </w:pPr>
      <w:r>
        <w:t>Office applies this element to columns.</w:t>
      </w:r>
    </w:p>
    <w:p w:rsidR="005F78FC" w:rsidRDefault="00B42EF3">
      <w:pPr>
        <w:pStyle w:val="Heading3"/>
      </w:pPr>
      <w:bookmarkStart w:id="2544" w:name="section_ffba6058673243de986fea4e686a2f86"/>
      <w:bookmarkStart w:id="2545" w:name="_Toc69879045"/>
      <w:r>
        <w:t>Part 1 Section 20.1.4.2.9, fill (Fill)</w:t>
      </w:r>
      <w:bookmarkEnd w:id="2544"/>
      <w:bookmarkEnd w:id="2545"/>
      <w:r>
        <w:fldChar w:fldCharType="begin"/>
      </w:r>
      <w:r>
        <w:instrText xml:space="preserve"> XE "fill (Fill)" </w:instrText>
      </w:r>
      <w:r>
        <w:fldChar w:fldCharType="end"/>
      </w:r>
    </w:p>
    <w:p w:rsidR="005F78FC" w:rsidRDefault="00B42EF3">
      <w:pPr>
        <w:pStyle w:val="Definition-Field"/>
      </w:pPr>
      <w:r>
        <w:t xml:space="preserve">a.   </w:t>
      </w:r>
      <w:r>
        <w:rPr>
          <w:i/>
        </w:rPr>
        <w:t xml:space="preserve">The standard states that the fill element defines the fill that is applied to </w:t>
      </w:r>
      <w:r>
        <w:rPr>
          <w:i/>
        </w:rPr>
        <w:t>the table as a whole.</w:t>
      </w:r>
    </w:p>
    <w:p w:rsidR="005F78FC" w:rsidRDefault="00B42EF3">
      <w:pPr>
        <w:pStyle w:val="Definition-Field2"/>
      </w:pPr>
      <w:r>
        <w:t>Office uses this element to affect the table as a whole only if parented by tblBg.</w:t>
      </w:r>
    </w:p>
    <w:p w:rsidR="005F78FC" w:rsidRDefault="00B42EF3">
      <w:pPr>
        <w:pStyle w:val="Definition-Field"/>
      </w:pPr>
      <w:r>
        <w:t xml:space="preserve">b.   </w:t>
      </w:r>
      <w:r>
        <w:rPr>
          <w:i/>
        </w:rPr>
        <w:t>The standard allows group fills to be applied to a table.</w:t>
      </w:r>
    </w:p>
    <w:p w:rsidR="005F78FC" w:rsidRDefault="00B42EF3">
      <w:pPr>
        <w:pStyle w:val="Definition-Field2"/>
      </w:pPr>
      <w:r>
        <w:t>Office does not apply group fills to tables but instead uses a white background.</w:t>
      </w:r>
    </w:p>
    <w:p w:rsidR="005F78FC" w:rsidRDefault="00B42EF3">
      <w:pPr>
        <w:pStyle w:val="Heading3"/>
      </w:pPr>
      <w:bookmarkStart w:id="2546" w:name="section_8d5ec0aa8760486991f461466ba43e52"/>
      <w:bookmarkStart w:id="2547" w:name="_Toc69879046"/>
      <w:r>
        <w:t xml:space="preserve">Part 1 </w:t>
      </w:r>
      <w:r>
        <w:t>Section 20.1.4.2.19, lnRef (Line Reference)</w:t>
      </w:r>
      <w:bookmarkEnd w:id="2546"/>
      <w:bookmarkEnd w:id="2547"/>
      <w:r>
        <w:fldChar w:fldCharType="begin"/>
      </w:r>
      <w:r>
        <w:instrText xml:space="preserve"> XE "lnRef (Line Reference)" </w:instrText>
      </w:r>
      <w:r>
        <w:fldChar w:fldCharType="end"/>
      </w:r>
    </w:p>
    <w:p w:rsidR="005F78FC" w:rsidRDefault="00B42EF3">
      <w:pPr>
        <w:pStyle w:val="Definition-Field"/>
      </w:pPr>
      <w:r>
        <w:t xml:space="preserve">a.   </w:t>
      </w:r>
      <w:r>
        <w:rPr>
          <w:i/>
        </w:rPr>
        <w:t>The standard states that the idx attribute of the lnRef element references the index of a line style within the fillStyleLst element.</w:t>
      </w:r>
    </w:p>
    <w:p w:rsidR="005F78FC" w:rsidRDefault="00B42EF3">
      <w:pPr>
        <w:pStyle w:val="Definition-Field2"/>
      </w:pPr>
      <w:r>
        <w:t>In Office, the idx attribute of this eleme</w:t>
      </w:r>
      <w:r>
        <w:t>nt references the index of a line style within the lnStyleList element.</w:t>
      </w:r>
    </w:p>
    <w:p w:rsidR="005F78FC" w:rsidRDefault="00B42EF3">
      <w:pPr>
        <w:pStyle w:val="Heading3"/>
      </w:pPr>
      <w:bookmarkStart w:id="2548" w:name="section_90de40855fbf47a7bc37d59509481d0a"/>
      <w:bookmarkStart w:id="2549" w:name="_Toc69879047"/>
      <w:r>
        <w:t>Part 1 Section 20.1.4.2.26, tblStyle (Table Style)</w:t>
      </w:r>
      <w:bookmarkEnd w:id="2548"/>
      <w:bookmarkEnd w:id="2549"/>
      <w:r>
        <w:fldChar w:fldCharType="begin"/>
      </w:r>
      <w:r>
        <w:instrText xml:space="preserve"> XE "tblStyle (Table Style)" </w:instrText>
      </w:r>
      <w:r>
        <w:fldChar w:fldCharType="end"/>
      </w:r>
    </w:p>
    <w:p w:rsidR="005F78FC" w:rsidRDefault="00B42EF3">
      <w:pPr>
        <w:pStyle w:val="Definition-Field"/>
      </w:pPr>
      <w:r>
        <w:t xml:space="preserve">a.   </w:t>
      </w:r>
      <w:r>
        <w:rPr>
          <w:i/>
        </w:rPr>
        <w:t>The standard states that the tblStyle element specifies the formatting for the table.</w:t>
      </w:r>
    </w:p>
    <w:p w:rsidR="005F78FC" w:rsidRDefault="00B42EF3">
      <w:r>
        <w:t xml:space="preserve">There is a </w:t>
      </w:r>
      <w:r>
        <w:t xml:space="preserve">well defined order to the table part styles that are applied because a cell can belong to many cell part styles (for example, the top left cell is part of the first column as well as the first row). Table part styles are applied in the following order: </w:t>
      </w:r>
    </w:p>
    <w:p w:rsidR="005F78FC" w:rsidRDefault="00B42EF3">
      <w:pPr>
        <w:pStyle w:val="ListParagraph"/>
        <w:numPr>
          <w:ilvl w:val="0"/>
          <w:numId w:val="131"/>
        </w:numPr>
        <w:contextualSpacing/>
      </w:pPr>
      <w:r>
        <w:t>Ap</w:t>
      </w:r>
      <w:r>
        <w:t>ply whole table part</w:t>
      </w:r>
    </w:p>
    <w:p w:rsidR="005F78FC" w:rsidRDefault="00B42EF3">
      <w:pPr>
        <w:pStyle w:val="ListParagraph"/>
        <w:numPr>
          <w:ilvl w:val="0"/>
          <w:numId w:val="131"/>
        </w:numPr>
        <w:contextualSpacing/>
      </w:pPr>
      <w:r>
        <w:t>Apply odd banded row cells</w:t>
      </w:r>
    </w:p>
    <w:p w:rsidR="005F78FC" w:rsidRDefault="00B42EF3">
      <w:pPr>
        <w:pStyle w:val="ListParagraph"/>
        <w:numPr>
          <w:ilvl w:val="0"/>
          <w:numId w:val="131"/>
        </w:numPr>
        <w:contextualSpacing/>
      </w:pPr>
      <w:r>
        <w:t>Apply even banded row cells</w:t>
      </w:r>
    </w:p>
    <w:p w:rsidR="005F78FC" w:rsidRDefault="00B42EF3">
      <w:pPr>
        <w:pStyle w:val="ListParagraph"/>
        <w:numPr>
          <w:ilvl w:val="0"/>
          <w:numId w:val="131"/>
        </w:numPr>
        <w:contextualSpacing/>
      </w:pPr>
      <w:r>
        <w:t>Apply odd banded column cells</w:t>
      </w:r>
    </w:p>
    <w:p w:rsidR="005F78FC" w:rsidRDefault="00B42EF3">
      <w:pPr>
        <w:pStyle w:val="ListParagraph"/>
        <w:numPr>
          <w:ilvl w:val="0"/>
          <w:numId w:val="131"/>
        </w:numPr>
        <w:contextualSpacing/>
      </w:pPr>
      <w:r>
        <w:t>Apply even banded column cells</w:t>
      </w:r>
    </w:p>
    <w:p w:rsidR="005F78FC" w:rsidRDefault="00B42EF3">
      <w:pPr>
        <w:pStyle w:val="ListParagraph"/>
        <w:numPr>
          <w:ilvl w:val="0"/>
          <w:numId w:val="131"/>
        </w:numPr>
        <w:contextualSpacing/>
      </w:pPr>
      <w:r>
        <w:t>Apply right column cells</w:t>
      </w:r>
    </w:p>
    <w:p w:rsidR="005F78FC" w:rsidRDefault="00B42EF3">
      <w:pPr>
        <w:pStyle w:val="ListParagraph"/>
        <w:numPr>
          <w:ilvl w:val="0"/>
          <w:numId w:val="131"/>
        </w:numPr>
        <w:contextualSpacing/>
      </w:pPr>
      <w:r>
        <w:t>Apply left column cells</w:t>
      </w:r>
    </w:p>
    <w:p w:rsidR="005F78FC" w:rsidRDefault="00B42EF3">
      <w:pPr>
        <w:pStyle w:val="ListParagraph"/>
        <w:numPr>
          <w:ilvl w:val="0"/>
          <w:numId w:val="131"/>
        </w:numPr>
        <w:contextualSpacing/>
      </w:pPr>
      <w:r>
        <w:t>Apply bottom row cells</w:t>
      </w:r>
    </w:p>
    <w:p w:rsidR="005F78FC" w:rsidRDefault="00B42EF3">
      <w:pPr>
        <w:pStyle w:val="ListParagraph"/>
        <w:numPr>
          <w:ilvl w:val="0"/>
          <w:numId w:val="131"/>
        </w:numPr>
        <w:contextualSpacing/>
      </w:pPr>
      <w:r>
        <w:t>Apply bottom right cell</w:t>
      </w:r>
    </w:p>
    <w:p w:rsidR="005F78FC" w:rsidRDefault="00B42EF3">
      <w:pPr>
        <w:pStyle w:val="ListParagraph"/>
        <w:numPr>
          <w:ilvl w:val="0"/>
          <w:numId w:val="131"/>
        </w:numPr>
        <w:contextualSpacing/>
      </w:pPr>
      <w:r>
        <w:t>Apply bottom left cell</w:t>
      </w:r>
    </w:p>
    <w:p w:rsidR="005F78FC" w:rsidRDefault="00B42EF3">
      <w:pPr>
        <w:pStyle w:val="ListParagraph"/>
        <w:numPr>
          <w:ilvl w:val="0"/>
          <w:numId w:val="131"/>
        </w:numPr>
        <w:contextualSpacing/>
      </w:pPr>
      <w:r>
        <w:t>Apply top row cells</w:t>
      </w:r>
    </w:p>
    <w:p w:rsidR="005F78FC" w:rsidRDefault="00B42EF3">
      <w:pPr>
        <w:pStyle w:val="ListParagraph"/>
        <w:numPr>
          <w:ilvl w:val="0"/>
          <w:numId w:val="131"/>
        </w:numPr>
        <w:contextualSpacing/>
      </w:pPr>
      <w:r>
        <w:t>Apply top right cell</w:t>
      </w:r>
    </w:p>
    <w:p w:rsidR="005F78FC" w:rsidRDefault="00B42EF3">
      <w:pPr>
        <w:pStyle w:val="ListParagraph"/>
        <w:numPr>
          <w:ilvl w:val="0"/>
          <w:numId w:val="131"/>
        </w:numPr>
      </w:pPr>
      <w:r>
        <w:t>Apply top left cell</w:t>
      </w:r>
    </w:p>
    <w:p w:rsidR="005F78FC" w:rsidRDefault="00B42EF3">
      <w:pPr>
        <w:pStyle w:val="Heading3"/>
      </w:pPr>
      <w:bookmarkStart w:id="2550" w:name="section_c5e5dc5ad9924b18b4a2b4772bf3c102"/>
      <w:bookmarkStart w:id="2551" w:name="_Toc69879048"/>
      <w:r>
        <w:lastRenderedPageBreak/>
        <w:t>Part 1 Section 20.1.5.1, anchor (Anchor Point)</w:t>
      </w:r>
      <w:bookmarkEnd w:id="2550"/>
      <w:bookmarkEnd w:id="2551"/>
      <w:r>
        <w:fldChar w:fldCharType="begin"/>
      </w:r>
      <w:r>
        <w:instrText xml:space="preserve"> XE "anchor (Anchor Point)" </w:instrText>
      </w:r>
      <w:r>
        <w:fldChar w:fldCharType="end"/>
      </w:r>
    </w:p>
    <w:p w:rsidR="005F78FC" w:rsidRDefault="00B42EF3">
      <w:pPr>
        <w:pStyle w:val="Definition-Field"/>
      </w:pPr>
      <w:r>
        <w:t xml:space="preserve">a.   </w:t>
      </w:r>
      <w:r>
        <w:rPr>
          <w:i/>
        </w:rPr>
        <w:t>The standard implies that the anchor element anchors the backdrop plane.</w:t>
      </w:r>
    </w:p>
    <w:p w:rsidR="005F78FC" w:rsidRDefault="00B42EF3">
      <w:r>
        <w:t>This element specifies a point in 3D spa</w:t>
      </w:r>
      <w:r>
        <w:t>ce that is the offset to the origin of the backdrop plane.  By moving this anchor point, the image of shadows, glows, and reflections can be moved and can be rotated from its default position on a plane parallel to the x-y plane to any location and orienta</w:t>
      </w:r>
      <w:r>
        <w:t>tion in 3D space, providing it remains viewable in the viewing frustum of the scene camera.</w:t>
      </w:r>
    </w:p>
    <w:p w:rsidR="005F78FC" w:rsidRDefault="00B42EF3">
      <w:pPr>
        <w:pStyle w:val="Heading3"/>
      </w:pPr>
      <w:bookmarkStart w:id="2552" w:name="section_b46805cae0154353ae88e595d03e6249"/>
      <w:bookmarkStart w:id="2553" w:name="_Toc69879049"/>
      <w:r>
        <w:t>Part 1 Section 20.1.5.2, backdrop (Backdrop Plane)</w:t>
      </w:r>
      <w:bookmarkEnd w:id="2552"/>
      <w:bookmarkEnd w:id="2553"/>
      <w:r>
        <w:fldChar w:fldCharType="begin"/>
      </w:r>
      <w:r>
        <w:instrText xml:space="preserve"> XE "backdrop (Backdrop Plane)" </w:instrText>
      </w:r>
      <w:r>
        <w:fldChar w:fldCharType="end"/>
      </w:r>
    </w:p>
    <w:p w:rsidR="005F78FC" w:rsidRDefault="00B42EF3">
      <w:pPr>
        <w:pStyle w:val="Definition-Field"/>
      </w:pPr>
      <w:r>
        <w:t xml:space="preserve">a.   </w:t>
      </w:r>
      <w:r>
        <w:rPr>
          <w:i/>
        </w:rPr>
        <w:t>The standard allows the up and normal vectors to be collinear.</w:t>
      </w:r>
    </w:p>
    <w:p w:rsidR="005F78FC" w:rsidRDefault="00B42EF3">
      <w:pPr>
        <w:pStyle w:val="Definition-Field2"/>
      </w:pPr>
      <w:r>
        <w:t>Office requ</w:t>
      </w:r>
      <w:r>
        <w:t>ires that the up and normal vectors not be collinear.</w:t>
      </w:r>
    </w:p>
    <w:p w:rsidR="005F78FC" w:rsidRDefault="00B42EF3">
      <w:pPr>
        <w:pStyle w:val="Heading3"/>
      </w:pPr>
      <w:bookmarkStart w:id="2554" w:name="section_906e0084f87a40fbac4d2202269203a5"/>
      <w:bookmarkStart w:id="2555" w:name="_Toc69879050"/>
      <w:r>
        <w:t>Part 1 Section 20.1.5.3, bevelB (Bottom Bevel)</w:t>
      </w:r>
      <w:bookmarkEnd w:id="2554"/>
      <w:bookmarkEnd w:id="2555"/>
      <w:r>
        <w:fldChar w:fldCharType="begin"/>
      </w:r>
      <w:r>
        <w:instrText xml:space="preserve"> XE "bevelB (Bottom Bevel)" </w:instrText>
      </w:r>
      <w:r>
        <w:fldChar w:fldCharType="end"/>
      </w:r>
    </w:p>
    <w:p w:rsidR="005F78FC" w:rsidRDefault="00B42EF3">
      <w:pPr>
        <w:pStyle w:val="Definition-Field"/>
      </w:pPr>
      <w:r>
        <w:t xml:space="preserve">a.   </w:t>
      </w:r>
      <w:r>
        <w:rPr>
          <w:i/>
        </w:rPr>
        <w:t>The standard does not specify a reference plane for height measurement.</w:t>
      </w:r>
    </w:p>
    <w:p w:rsidR="005F78FC" w:rsidRDefault="00B42EF3">
      <w:pPr>
        <w:pStyle w:val="Definition-Field2"/>
      </w:pPr>
      <w:r>
        <w:t xml:space="preserve">Office measures the height from the bottom face </w:t>
      </w:r>
      <w:r>
        <w:t>of the shape; if the shape has an extrusion height, the bevel height is measured from the base of the extrusion.</w:t>
      </w:r>
    </w:p>
    <w:p w:rsidR="005F78FC" w:rsidRDefault="00B42EF3">
      <w:pPr>
        <w:pStyle w:val="Heading3"/>
      </w:pPr>
      <w:bookmarkStart w:id="2556" w:name="section_2dfb75cddd064bbe8baa2ac80ebd13b3"/>
      <w:bookmarkStart w:id="2557" w:name="_Toc69879051"/>
      <w:r>
        <w:t>Part 1 Section 20.1.5.4, bevelT (Top Bevel)</w:t>
      </w:r>
      <w:bookmarkEnd w:id="2556"/>
      <w:bookmarkEnd w:id="2557"/>
      <w:r>
        <w:fldChar w:fldCharType="begin"/>
      </w:r>
      <w:r>
        <w:instrText xml:space="preserve"> XE "bevelT (Top Bevel)" </w:instrText>
      </w:r>
      <w:r>
        <w:fldChar w:fldCharType="end"/>
      </w:r>
    </w:p>
    <w:p w:rsidR="005F78FC" w:rsidRDefault="00B42EF3">
      <w:pPr>
        <w:pStyle w:val="Definition-Field"/>
      </w:pPr>
      <w:r>
        <w:t xml:space="preserve">a.   </w:t>
      </w:r>
      <w:r>
        <w:rPr>
          <w:i/>
        </w:rPr>
        <w:t>The standard does not specify a reference plane for height measurem</w:t>
      </w:r>
      <w:r>
        <w:rPr>
          <w:i/>
        </w:rPr>
        <w:t>ent.</w:t>
      </w:r>
    </w:p>
    <w:p w:rsidR="005F78FC" w:rsidRDefault="00B42EF3">
      <w:pPr>
        <w:pStyle w:val="Definition-Field2"/>
      </w:pPr>
      <w:r>
        <w:t>Office measures the height from the top face of the shape; if the shape has an extrusion height, the bevel height is measured from the top of the extrusion.</w:t>
      </w:r>
    </w:p>
    <w:p w:rsidR="005F78FC" w:rsidRDefault="00B42EF3">
      <w:pPr>
        <w:pStyle w:val="Heading3"/>
      </w:pPr>
      <w:bookmarkStart w:id="2558" w:name="section_6c1de672ac3d4387a01d6788aa7f34fa"/>
      <w:bookmarkStart w:id="2559" w:name="_Toc69879052"/>
      <w:r>
        <w:t>Part 1 Section 20.1.5.5, camera (Camera)</w:t>
      </w:r>
      <w:bookmarkEnd w:id="2558"/>
      <w:bookmarkEnd w:id="2559"/>
      <w:r>
        <w:fldChar w:fldCharType="begin"/>
      </w:r>
      <w:r>
        <w:instrText xml:space="preserve"> XE "camera (Camera)" </w:instrText>
      </w:r>
      <w:r>
        <w:fldChar w:fldCharType="end"/>
      </w:r>
    </w:p>
    <w:p w:rsidR="005F78FC" w:rsidRDefault="00B42EF3">
      <w:pPr>
        <w:pStyle w:val="Definition-Field"/>
      </w:pPr>
      <w:r>
        <w:t xml:space="preserve">a.   </w:t>
      </w:r>
      <w:r>
        <w:rPr>
          <w:i/>
        </w:rPr>
        <w:t xml:space="preserve">The standard allows the </w:t>
      </w:r>
      <w:r>
        <w:rPr>
          <w:i/>
        </w:rPr>
        <w:t>fov attribute to be used with all camera types.</w:t>
      </w:r>
    </w:p>
    <w:p w:rsidR="005F78FC" w:rsidRDefault="00B42EF3">
      <w:pPr>
        <w:pStyle w:val="Definition-Field2"/>
      </w:pPr>
      <w:r>
        <w:t>In Office, the fov attribute is ignored for non-perspective camera types.</w:t>
      </w:r>
    </w:p>
    <w:p w:rsidR="005F78FC" w:rsidRDefault="00B42EF3">
      <w:pPr>
        <w:pStyle w:val="Heading3"/>
      </w:pPr>
      <w:bookmarkStart w:id="2560" w:name="section_b3abb6555c644f3aae3d26cf0dbc9081"/>
      <w:bookmarkStart w:id="2561" w:name="_Toc69879053"/>
      <w:r>
        <w:t>Part 1 Section 20.1.5.6, contourClr (Contour Color)</w:t>
      </w:r>
      <w:bookmarkEnd w:id="2560"/>
      <w:bookmarkEnd w:id="2561"/>
      <w:r>
        <w:fldChar w:fldCharType="begin"/>
      </w:r>
      <w:r>
        <w:instrText xml:space="preserve"> XE "contourClr (Contour Color)" </w:instrText>
      </w:r>
      <w:r>
        <w:fldChar w:fldCharType="end"/>
      </w:r>
    </w:p>
    <w:p w:rsidR="005F78FC" w:rsidRDefault="00B42EF3">
      <w:pPr>
        <w:pStyle w:val="Definition-Field"/>
      </w:pPr>
      <w:r>
        <w:t xml:space="preserve">a.   </w:t>
      </w:r>
      <w:r>
        <w:rPr>
          <w:i/>
        </w:rPr>
        <w:t xml:space="preserve">The standard allows contour width to be </w:t>
      </w:r>
      <w:r>
        <w:rPr>
          <w:i/>
        </w:rPr>
        <w:t>zero.</w:t>
      </w:r>
    </w:p>
    <w:p w:rsidR="005F78FC" w:rsidRDefault="00B42EF3">
      <w:pPr>
        <w:pStyle w:val="Definition-Field2"/>
      </w:pPr>
      <w:r>
        <w:t>In Office, if the contour width is zero, the color specified by this element is ignored.</w:t>
      </w:r>
    </w:p>
    <w:p w:rsidR="005F78FC" w:rsidRDefault="00B42EF3">
      <w:pPr>
        <w:pStyle w:val="Definition-Field"/>
      </w:pPr>
      <w:r>
        <w:t xml:space="preserve">b.   </w:t>
      </w:r>
      <w:r>
        <w:rPr>
          <w:i/>
        </w:rPr>
        <w:t>The standard does not describe the interaction between contours and extrusions.</w:t>
      </w:r>
    </w:p>
    <w:p w:rsidR="005F78FC" w:rsidRDefault="00B42EF3">
      <w:pPr>
        <w:pStyle w:val="Definition-Field2"/>
      </w:pPr>
      <w:r>
        <w:t>In Office, the contour of a shape is a solid filled line which surrounds the</w:t>
      </w:r>
      <w:r>
        <w:t xml:space="preserve"> outer edges of the shape, and the outline edges of the extrusion.</w:t>
      </w:r>
    </w:p>
    <w:p w:rsidR="005F78FC" w:rsidRDefault="00B42EF3">
      <w:pPr>
        <w:pStyle w:val="Heading3"/>
      </w:pPr>
      <w:bookmarkStart w:id="2562" w:name="section_eafb568b9dd04f2ea337b163dc1080df"/>
      <w:bookmarkStart w:id="2563" w:name="_Toc69879054"/>
      <w:r>
        <w:t>Part 1 Section 20.1.5.7, extrusionClr (Extrusion Color)</w:t>
      </w:r>
      <w:bookmarkEnd w:id="2562"/>
      <w:bookmarkEnd w:id="2563"/>
      <w:r>
        <w:fldChar w:fldCharType="begin"/>
      </w:r>
      <w:r>
        <w:instrText xml:space="preserve"> XE "extrusionClr (Extrusion Color)" </w:instrText>
      </w:r>
      <w:r>
        <w:fldChar w:fldCharType="end"/>
      </w:r>
    </w:p>
    <w:p w:rsidR="005F78FC" w:rsidRDefault="00B42EF3">
      <w:pPr>
        <w:pStyle w:val="Definition-Field"/>
      </w:pPr>
      <w:r>
        <w:t xml:space="preserve">a.   </w:t>
      </w:r>
      <w:r>
        <w:rPr>
          <w:i/>
        </w:rPr>
        <w:t>The standard does not clarify default behavior for the extrusionClr element.</w:t>
      </w:r>
    </w:p>
    <w:p w:rsidR="005F78FC" w:rsidRDefault="00B42EF3">
      <w:pPr>
        <w:pStyle w:val="Definition-Field2"/>
      </w:pPr>
      <w:r>
        <w:t>In Office, i</w:t>
      </w:r>
      <w:r>
        <w:t>f extrusion color is not specified, the front face color will be used as the extrusion color. If the extrusion height is zero, this element is ignored.</w:t>
      </w:r>
    </w:p>
    <w:p w:rsidR="005F78FC" w:rsidRDefault="00B42EF3">
      <w:pPr>
        <w:pStyle w:val="Heading3"/>
      </w:pPr>
      <w:bookmarkStart w:id="2564" w:name="section_4869d0aa50814fa19fb797cb9123eb45"/>
      <w:bookmarkStart w:id="2565" w:name="_Toc69879055"/>
      <w:r>
        <w:t>Part 1 Section 20.1.5.8, flatTx (No text in 3D scene)</w:t>
      </w:r>
      <w:bookmarkEnd w:id="2564"/>
      <w:bookmarkEnd w:id="2565"/>
      <w:r>
        <w:fldChar w:fldCharType="begin"/>
      </w:r>
      <w:r>
        <w:instrText xml:space="preserve"> XE "flatTx (No text in 3D scene)" </w:instrText>
      </w:r>
      <w:r>
        <w:fldChar w:fldCharType="end"/>
      </w:r>
    </w:p>
    <w:p w:rsidR="005F78FC" w:rsidRDefault="00B42EF3">
      <w:pPr>
        <w:pStyle w:val="Definition-Field"/>
      </w:pPr>
      <w:r>
        <w:t xml:space="preserve">a.   </w:t>
      </w:r>
      <w:r>
        <w:rPr>
          <w:i/>
        </w:rPr>
        <w:t>The stan</w:t>
      </w:r>
      <w:r>
        <w:rPr>
          <w:i/>
        </w:rPr>
        <w:t>dard states that the flatTx element specifies the Z coordinate to be used in positioning the flat text within the 3D scene.</w:t>
      </w:r>
    </w:p>
    <w:p w:rsidR="005F78FC" w:rsidRDefault="00B42EF3">
      <w:pPr>
        <w:pStyle w:val="Definition-Field2"/>
      </w:pPr>
      <w:r>
        <w:lastRenderedPageBreak/>
        <w:t>In Office, this element is used only when the text or shape is part of a 3D rotated group.</w:t>
      </w:r>
    </w:p>
    <w:p w:rsidR="005F78FC" w:rsidRDefault="00B42EF3">
      <w:pPr>
        <w:pStyle w:val="Definition-Field"/>
      </w:pPr>
      <w:r>
        <w:t xml:space="preserve">b.   </w:t>
      </w:r>
      <w:r>
        <w:rPr>
          <w:i/>
        </w:rPr>
        <w:t xml:space="preserve">The standard states that the flatTx </w:t>
      </w:r>
      <w:r>
        <w:rPr>
          <w:i/>
        </w:rPr>
        <w:t>element is used to keep text out of a 3D scene.</w:t>
      </w:r>
    </w:p>
    <w:p w:rsidR="005F78FC" w:rsidRDefault="00B42EF3">
      <w:pPr>
        <w:pStyle w:val="Definition-Field2"/>
      </w:pPr>
      <w:r>
        <w:t>In Office, the text will not be subjected to the 3D camera rotation, but will instead remain in a plane orthogonal to the viewing direction.</w:t>
      </w:r>
    </w:p>
    <w:p w:rsidR="005F78FC" w:rsidRDefault="00B42EF3">
      <w:pPr>
        <w:pStyle w:val="Heading3"/>
      </w:pPr>
      <w:bookmarkStart w:id="2566" w:name="section_592fc3bd3e7d4045b36b62910679ae09"/>
      <w:bookmarkStart w:id="2567" w:name="_Toc69879056"/>
      <w:r>
        <w:t>Part 1 Section 20.1.5.9, lightRig (Light Rig)</w:t>
      </w:r>
      <w:bookmarkEnd w:id="2566"/>
      <w:bookmarkEnd w:id="2567"/>
      <w:r>
        <w:fldChar w:fldCharType="begin"/>
      </w:r>
      <w:r>
        <w:instrText xml:space="preserve"> XE "lightRig (Light R</w:instrText>
      </w:r>
      <w:r>
        <w:instrText xml:space="preserve">ig)" </w:instrText>
      </w:r>
      <w:r>
        <w:fldChar w:fldCharType="end"/>
      </w:r>
    </w:p>
    <w:p w:rsidR="005F78FC" w:rsidRDefault="00B42EF3">
      <w:pPr>
        <w:pStyle w:val="Definition-Field"/>
      </w:pPr>
      <w:r>
        <w:t xml:space="preserve">a.   </w:t>
      </w:r>
      <w:r>
        <w:rPr>
          <w:i/>
        </w:rPr>
        <w:t>The standard states that the lightRig element defines the light rig associated with a table.</w:t>
      </w:r>
    </w:p>
    <w:p w:rsidR="005F78FC" w:rsidRDefault="00B42EF3">
      <w:pPr>
        <w:pStyle w:val="Definition-Field2"/>
      </w:pPr>
      <w:r>
        <w:t>In Office and the schema, the lightRig element is used to specify the lighting for any 3D scene.</w:t>
      </w:r>
    </w:p>
    <w:p w:rsidR="005F78FC" w:rsidRDefault="00B42EF3">
      <w:pPr>
        <w:pStyle w:val="Definition-Field"/>
      </w:pPr>
      <w:r>
        <w:t xml:space="preserve">b.   </w:t>
      </w:r>
      <w:r>
        <w:rPr>
          <w:i/>
        </w:rPr>
        <w:t>The standard does not describe any interplay bet</w:t>
      </w:r>
      <w:r>
        <w:rPr>
          <w:i/>
        </w:rPr>
        <w:t>ween attribute dir and child element rot.</w:t>
      </w:r>
    </w:p>
    <w:p w:rsidR="005F78FC" w:rsidRDefault="00B42EF3">
      <w:pPr>
        <w:pStyle w:val="Definition-Field2"/>
      </w:pPr>
      <w:r>
        <w:t>In Office, if the child element rot is specified, it will override the dir attribute of this element.</w:t>
      </w:r>
    </w:p>
    <w:p w:rsidR="005F78FC" w:rsidRDefault="00B42EF3">
      <w:pPr>
        <w:pStyle w:val="Heading3"/>
      </w:pPr>
      <w:bookmarkStart w:id="2568" w:name="section_32748302650a42e1ac582c72704f2a51"/>
      <w:bookmarkStart w:id="2569" w:name="_Toc69879057"/>
      <w:r>
        <w:t>Part 1 Section 20.1.5.10, norm (Normal)</w:t>
      </w:r>
      <w:bookmarkEnd w:id="2568"/>
      <w:bookmarkEnd w:id="2569"/>
      <w:r>
        <w:fldChar w:fldCharType="begin"/>
      </w:r>
      <w:r>
        <w:instrText xml:space="preserve"> XE "norm (Normal)" </w:instrText>
      </w:r>
      <w:r>
        <w:fldChar w:fldCharType="end"/>
      </w:r>
    </w:p>
    <w:p w:rsidR="005F78FC" w:rsidRDefault="00B42EF3">
      <w:pPr>
        <w:pStyle w:val="Definition-Field"/>
      </w:pPr>
      <w:r>
        <w:t xml:space="preserve">a.   </w:t>
      </w:r>
      <w:r>
        <w:rPr>
          <w:i/>
        </w:rPr>
        <w:t>The standard accepts any vector for the backd</w:t>
      </w:r>
      <w:r>
        <w:rPr>
          <w:i/>
        </w:rPr>
        <w:t>rop plane normal vector.</w:t>
      </w:r>
    </w:p>
    <w:p w:rsidR="005F78FC" w:rsidRDefault="00B42EF3">
      <w:pPr>
        <w:pStyle w:val="Definition-Field2"/>
      </w:pPr>
      <w:r>
        <w:t>Office requires that the normal vector be nonzero in length.</w:t>
      </w:r>
    </w:p>
    <w:p w:rsidR="005F78FC" w:rsidRDefault="00B42EF3">
      <w:pPr>
        <w:pStyle w:val="Heading3"/>
      </w:pPr>
      <w:bookmarkStart w:id="2570" w:name="section_d44e6f9209a94d8bb8c75220c6c85203"/>
      <w:bookmarkStart w:id="2571" w:name="_Toc69879058"/>
      <w:r>
        <w:t>Part 1 Section 20.1.5.12, sp3d (Apply 3D shape properties)</w:t>
      </w:r>
      <w:bookmarkEnd w:id="2570"/>
      <w:bookmarkEnd w:id="2571"/>
      <w:r>
        <w:fldChar w:fldCharType="begin"/>
      </w:r>
      <w:r>
        <w:instrText xml:space="preserve"> XE "sp3d (Apply 3D shape properties)" </w:instrText>
      </w:r>
      <w:r>
        <w:fldChar w:fldCharType="end"/>
      </w:r>
    </w:p>
    <w:p w:rsidR="005F78FC" w:rsidRDefault="00B42EF3">
      <w:pPr>
        <w:pStyle w:val="Definition-Field"/>
      </w:pPr>
      <w:r>
        <w:t xml:space="preserve">a.   </w:t>
      </w:r>
      <w:r>
        <w:rPr>
          <w:i/>
        </w:rPr>
        <w:t>The standard does not describe default behavior when contourClr a</w:t>
      </w:r>
      <w:r>
        <w:rPr>
          <w:i/>
        </w:rPr>
        <w:t>nd extrusionClr child elements are unspecified.</w:t>
      </w:r>
    </w:p>
    <w:p w:rsidR="005F78FC" w:rsidRDefault="00B42EF3">
      <w:pPr>
        <w:pStyle w:val="Definition-Field2"/>
      </w:pPr>
      <w:r>
        <w:t>In Office, child element contourClr defaults to black and child element extrusionClr defaults to the front face color.</w:t>
      </w:r>
    </w:p>
    <w:p w:rsidR="005F78FC" w:rsidRDefault="00B42EF3">
      <w:pPr>
        <w:pStyle w:val="Definition-Field"/>
      </w:pPr>
      <w:r>
        <w:t xml:space="preserve">b.   </w:t>
      </w:r>
      <w:r>
        <w:rPr>
          <w:i/>
        </w:rPr>
        <w:t>The standard does not describe default behavior when contour width is zero.</w:t>
      </w:r>
    </w:p>
    <w:p w:rsidR="005F78FC" w:rsidRDefault="00B42EF3">
      <w:pPr>
        <w:pStyle w:val="Definition-Field2"/>
      </w:pPr>
      <w:r>
        <w:t>In Offic</w:t>
      </w:r>
      <w:r>
        <w:t>e, if the contour width is zero, then no contour is presumed and contour color is ignored.</w:t>
      </w:r>
    </w:p>
    <w:p w:rsidR="005F78FC" w:rsidRDefault="00B42EF3">
      <w:pPr>
        <w:pStyle w:val="Heading3"/>
      </w:pPr>
      <w:bookmarkStart w:id="2572" w:name="section_586892cc568a469e9a6682293405b66e"/>
      <w:bookmarkStart w:id="2573" w:name="_Toc69879059"/>
      <w:r>
        <w:t>Part 1 Section 20.1.5.13, up (Up Vector)</w:t>
      </w:r>
      <w:bookmarkEnd w:id="2572"/>
      <w:bookmarkEnd w:id="2573"/>
      <w:r>
        <w:fldChar w:fldCharType="begin"/>
      </w:r>
      <w:r>
        <w:instrText xml:space="preserve"> XE "up (Up Vector)" </w:instrText>
      </w:r>
      <w:r>
        <w:fldChar w:fldCharType="end"/>
      </w:r>
    </w:p>
    <w:p w:rsidR="005F78FC" w:rsidRDefault="00B42EF3">
      <w:pPr>
        <w:pStyle w:val="Definition-Field"/>
      </w:pPr>
      <w:r>
        <w:t xml:space="preserve">a.   </w:t>
      </w:r>
      <w:r>
        <w:rPr>
          <w:i/>
        </w:rPr>
        <w:t>The standard accepts any vector for backdrop plane up vector.</w:t>
      </w:r>
    </w:p>
    <w:p w:rsidR="005F78FC" w:rsidRDefault="00B42EF3">
      <w:pPr>
        <w:pStyle w:val="Definition-Field2"/>
      </w:pPr>
      <w:r>
        <w:t>Office requires that the up vector</w:t>
      </w:r>
      <w:r>
        <w:t xml:space="preserve"> be nonzero in length.</w:t>
      </w:r>
    </w:p>
    <w:p w:rsidR="005F78FC" w:rsidRDefault="00B42EF3">
      <w:pPr>
        <w:pStyle w:val="Heading3"/>
      </w:pPr>
      <w:bookmarkStart w:id="2574" w:name="section_f8503f451cbd45bdb570375c5a029720"/>
      <w:bookmarkStart w:id="2575" w:name="_Toc69879060"/>
      <w:r>
        <w:t>Part 1 Section 20.1.7.1, chExt (Child Extents)</w:t>
      </w:r>
      <w:bookmarkEnd w:id="2574"/>
      <w:bookmarkEnd w:id="2575"/>
      <w:r>
        <w:fldChar w:fldCharType="begin"/>
      </w:r>
      <w:r>
        <w:instrText xml:space="preserve"> XE "chExt (Child Extents)"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0e03e978d5d44dc1b3ada77bbb361cfe">
        <w:r>
          <w:rPr>
            <w:rStyle w:val="Hyperlink"/>
          </w:rPr>
          <w:t>ext</w:t>
        </w:r>
        <w:r>
          <w:rPr>
            <w:rStyle w:val="Hyperlink"/>
          </w:rPr>
          <w:t>, §21.3.2.10(a)</w:t>
        </w:r>
      </w:hyperlink>
      <w:r>
        <w:rPr>
          <w:i/>
        </w:rPr>
        <w:t>.</w:t>
      </w:r>
    </w:p>
    <w:p w:rsidR="005F78FC" w:rsidRDefault="00B42EF3">
      <w:pPr>
        <w:pStyle w:val="Definition-Field"/>
      </w:pPr>
      <w:r>
        <w:t xml:space="preserve">a.   </w:t>
      </w:r>
      <w:r>
        <w:rPr>
          <w:i/>
        </w:rPr>
        <w:t>The standard states that the child extents defined by the chExt element are used for calculations of grouping, scaling and rotating.</w:t>
      </w:r>
    </w:p>
    <w:p w:rsidR="005F78FC" w:rsidRDefault="00B42EF3">
      <w:pPr>
        <w:pStyle w:val="Definition-Field2"/>
      </w:pPr>
      <w:r>
        <w:t>In Office, this element additionally defines the group scaling factor which is the ratio of the exten</w:t>
      </w:r>
      <w:r>
        <w:t>ts to child extents when the size of the child extents is nonzero. If the size of the child extents is zero or omitted, there is no group scaling.</w:t>
      </w:r>
    </w:p>
    <w:p w:rsidR="005F78FC" w:rsidRDefault="00B42EF3">
      <w:pPr>
        <w:pStyle w:val="Heading3"/>
      </w:pPr>
      <w:bookmarkStart w:id="2576" w:name="section_bb0ea49131314a6aadc803f173655076"/>
      <w:bookmarkStart w:id="2577" w:name="_Toc69879061"/>
      <w:r>
        <w:t>Part 1 Section 20.1.7.2, chOff (Child Offset)</w:t>
      </w:r>
      <w:bookmarkEnd w:id="2576"/>
      <w:bookmarkEnd w:id="2577"/>
      <w:r>
        <w:fldChar w:fldCharType="begin"/>
      </w:r>
      <w:r>
        <w:instrText xml:space="preserve"> XE "chOff (Child Offset)" </w:instrText>
      </w:r>
      <w:r>
        <w:fldChar w:fldCharType="end"/>
      </w:r>
    </w:p>
    <w:p w:rsidR="005F78FC" w:rsidRDefault="00B42EF3">
      <w:pPr>
        <w:pStyle w:val="Definition-Field"/>
      </w:pPr>
      <w:r>
        <w:t xml:space="preserve">a.   </w:t>
      </w:r>
      <w:r>
        <w:rPr>
          <w:i/>
        </w:rPr>
        <w:t xml:space="preserve">The standard states that the </w:t>
      </w:r>
      <w:r>
        <w:rPr>
          <w:i/>
        </w:rPr>
        <w:t>child offset defined by the chOff element specifies the location of the child extents rectangle, which is used for calculations of grouping, scaling and rotating.</w:t>
      </w:r>
    </w:p>
    <w:p w:rsidR="005F78FC" w:rsidRDefault="00B42EF3">
      <w:pPr>
        <w:pStyle w:val="Definition-Field2"/>
      </w:pPr>
      <w:r>
        <w:lastRenderedPageBreak/>
        <w:t xml:space="preserve">In Office, the child extents and offset are used to determine the center for scaling, </w:t>
      </w:r>
      <w:r>
        <w:t>rotation and flipping.</w:t>
      </w:r>
    </w:p>
    <w:p w:rsidR="005F78FC" w:rsidRDefault="00B42EF3">
      <w:pPr>
        <w:pStyle w:val="Definition-Field"/>
      </w:pPr>
      <w:r>
        <w:t xml:space="preserve">b.   </w:t>
      </w:r>
      <w:r>
        <w:rPr>
          <w:i/>
        </w:rPr>
        <w:t>The standard states that the y attribute specifies a coordinate on the x-axis.</w:t>
      </w:r>
    </w:p>
    <w:p w:rsidR="005F78FC" w:rsidRDefault="00B42EF3">
      <w:pPr>
        <w:pStyle w:val="Definition-Field2"/>
      </w:pPr>
      <w:r>
        <w:t>In Office, the y attribute specifies a coordinate on the y-axis.</w:t>
      </w:r>
    </w:p>
    <w:p w:rsidR="005F78FC" w:rsidRDefault="00B42EF3">
      <w:pPr>
        <w:pStyle w:val="Heading3"/>
      </w:pPr>
      <w:bookmarkStart w:id="2578" w:name="section_9e4a12191d6848e683413379366befad"/>
      <w:bookmarkStart w:id="2579" w:name="_Toc69879062"/>
      <w:r>
        <w:t>Part 1 Section 20.1.7.3, ext (Extents)</w:t>
      </w:r>
      <w:bookmarkEnd w:id="2578"/>
      <w:bookmarkEnd w:id="2579"/>
      <w:r>
        <w:fldChar w:fldCharType="begin"/>
      </w:r>
      <w:r>
        <w:instrText xml:space="preserve"> XE "ext (Extents)" </w:instrText>
      </w:r>
      <w:r>
        <w:fldChar w:fldCharType="end"/>
      </w:r>
    </w:p>
    <w:p w:rsidR="005F78FC" w:rsidRDefault="00B42EF3">
      <w:pPr>
        <w:pStyle w:val="Definition-Field2"/>
      </w:pPr>
      <w:r>
        <w:rPr>
          <w:i/>
        </w:rPr>
        <w:t>For additional notes th</w:t>
      </w:r>
      <w:r>
        <w:rPr>
          <w:i/>
        </w:rPr>
        <w:t xml:space="preserve">at apply to this portion of the standard, please see the notes for </w:t>
      </w:r>
      <w:hyperlink w:anchor="Section_0e03e978d5d44dc1b3ada77bbb361cfe">
        <w:r>
          <w:rPr>
            <w:rStyle w:val="Hyperlink"/>
          </w:rPr>
          <w:t>ext, §21.3.2.10(a)</w:t>
        </w:r>
      </w:hyperlink>
      <w:r>
        <w:rPr>
          <w:i/>
        </w:rPr>
        <w:t>.</w:t>
      </w:r>
    </w:p>
    <w:p w:rsidR="005F78FC" w:rsidRDefault="00B42EF3">
      <w:pPr>
        <w:pStyle w:val="Definition-Field"/>
      </w:pPr>
      <w:r>
        <w:t xml:space="preserve">a.   </w:t>
      </w:r>
      <w:r>
        <w:rPr>
          <w:i/>
        </w:rPr>
        <w:t>The standard states that the ext element specifies the size of the bounding box enclosing the referen</w:t>
      </w:r>
      <w:r>
        <w:rPr>
          <w:i/>
        </w:rPr>
        <w:t>ced object.</w:t>
      </w:r>
    </w:p>
    <w:p w:rsidR="005F78FC" w:rsidRDefault="00B42EF3">
      <w:pPr>
        <w:pStyle w:val="Definition-Field2"/>
      </w:pPr>
      <w:r>
        <w:t>In Office, the extents also determine the size and center of the object for most geometry definitions. If the geometry data is independent of these extents, they are only used to determine the center for rotation and flipping.</w:t>
      </w:r>
    </w:p>
    <w:p w:rsidR="005F78FC" w:rsidRDefault="00B42EF3">
      <w:pPr>
        <w:pStyle w:val="Heading3"/>
      </w:pPr>
      <w:bookmarkStart w:id="2580" w:name="section_55f6dcf88ab84a2999bfe36ee955647f"/>
      <w:bookmarkStart w:id="2581" w:name="_Toc69879063"/>
      <w:r>
        <w:t>Part 1 Section 20</w:t>
      </w:r>
      <w:r>
        <w:t>.1.7.4, off (Offset)</w:t>
      </w:r>
      <w:bookmarkEnd w:id="2580"/>
      <w:bookmarkEnd w:id="2581"/>
      <w:r>
        <w:fldChar w:fldCharType="begin"/>
      </w:r>
      <w:r>
        <w:instrText xml:space="preserve"> XE "off (Offset)"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5F78FC" w:rsidRDefault="00B42EF3">
      <w:pPr>
        <w:pStyle w:val="Definition-Field"/>
      </w:pPr>
      <w:r>
        <w:t xml:space="preserve">a.   </w:t>
      </w:r>
      <w:r>
        <w:rPr>
          <w:i/>
        </w:rPr>
        <w:t>The standard states that the offset</w:t>
      </w:r>
      <w:r>
        <w:rPr>
          <w:i/>
        </w:rPr>
        <w:t xml:space="preserve"> element specifies the location of the bounding box of an object.</w:t>
      </w:r>
    </w:p>
    <w:p w:rsidR="005F78FC" w:rsidRDefault="00B42EF3">
      <w:pPr>
        <w:pStyle w:val="Definition-Field2"/>
      </w:pPr>
      <w:r>
        <w:t>In Office, the offset element specifies the location of a bounding box of an object as defined by the ext element.</w:t>
      </w:r>
    </w:p>
    <w:p w:rsidR="005F78FC" w:rsidRDefault="00B42EF3">
      <w:pPr>
        <w:pStyle w:val="Heading3"/>
      </w:pPr>
      <w:bookmarkStart w:id="2582" w:name="section_98567b7e097a4450a82af83e25539aaf"/>
      <w:bookmarkStart w:id="2583" w:name="_Toc69879064"/>
      <w:r>
        <w:t>Part 1 Section 20.1.7.5, xfrm (2D Transform for Grouped Objects)</w:t>
      </w:r>
      <w:bookmarkEnd w:id="2582"/>
      <w:bookmarkEnd w:id="2583"/>
      <w:r>
        <w:fldChar w:fldCharType="begin"/>
      </w:r>
      <w:r>
        <w:instrText xml:space="preserve"> XE "xfrm (</w:instrText>
      </w:r>
      <w:r>
        <w:instrText xml:space="preserve">2D Transform for Grouped Objects)" </w:instrText>
      </w:r>
      <w:r>
        <w:fldChar w:fldCharType="end"/>
      </w:r>
    </w:p>
    <w:p w:rsidR="005F78FC" w:rsidRDefault="00B42EF3">
      <w:pPr>
        <w:pStyle w:val="Definition-Field"/>
      </w:pPr>
      <w:r>
        <w:t xml:space="preserve">a.   </w:t>
      </w:r>
      <w:r>
        <w:rPr>
          <w:i/>
        </w:rPr>
        <w:t>The standard states that the rot attribute specifies the clockwise rotation in 1/64000ths of a degree.</w:t>
      </w:r>
    </w:p>
    <w:p w:rsidR="005F78FC" w:rsidRDefault="00B42EF3">
      <w:pPr>
        <w:pStyle w:val="Definition-Field2"/>
      </w:pPr>
      <w:r>
        <w:t>In Office and the schema, the rot attribute specifies the clockwise rotation in 1/60000ths of a degree.</w:t>
      </w:r>
    </w:p>
    <w:p w:rsidR="005F78FC" w:rsidRDefault="00B42EF3">
      <w:pPr>
        <w:pStyle w:val="Definition-Field"/>
      </w:pPr>
      <w:r>
        <w:t xml:space="preserve">b.   </w:t>
      </w:r>
      <w:r>
        <w:rPr>
          <w:i/>
        </w:rPr>
        <w:t>T</w:t>
      </w:r>
      <w:r>
        <w:rPr>
          <w:i/>
        </w:rPr>
        <w:t>he standard does not describe role of the child bounding box as defined by elements chExt and chOff.</w:t>
      </w:r>
    </w:p>
    <w:p w:rsidR="005F78FC" w:rsidRDefault="00B42EF3">
      <w:pPr>
        <w:pStyle w:val="Definition-Field2"/>
      </w:pPr>
      <w:r>
        <w:t>In Office, the child bounding box is the center for scaling, rotating and flipping. Additionally, if the child extents are nonzero, then a group scaling is</w:t>
      </w:r>
      <w:r>
        <w:t xml:space="preserve"> applied equal to the ratio of the extents to the child extents.</w:t>
      </w:r>
    </w:p>
    <w:p w:rsidR="005F78FC" w:rsidRDefault="00B42EF3">
      <w:pPr>
        <w:pStyle w:val="Heading3"/>
      </w:pPr>
      <w:bookmarkStart w:id="2584" w:name="section_c7555d2c472a4d15b23041046bc41819"/>
      <w:bookmarkStart w:id="2585" w:name="_Toc69879065"/>
      <w:r>
        <w:t>Part 1 Section 20.1.7.6, xfrm (2D Transform for Individual Objects)</w:t>
      </w:r>
      <w:bookmarkEnd w:id="2584"/>
      <w:bookmarkEnd w:id="2585"/>
      <w:r>
        <w:fldChar w:fldCharType="begin"/>
      </w:r>
      <w:r>
        <w:instrText xml:space="preserve"> XE "xfrm (2D Transform for Individual Objects)" </w:instrText>
      </w:r>
      <w:r>
        <w:fldChar w:fldCharType="end"/>
      </w:r>
    </w:p>
    <w:p w:rsidR="005F78FC" w:rsidRDefault="00B42EF3">
      <w:pPr>
        <w:pStyle w:val="Definition-Field"/>
      </w:pPr>
      <w:r>
        <w:t xml:space="preserve">a.   </w:t>
      </w:r>
      <w:r>
        <w:rPr>
          <w:i/>
        </w:rPr>
        <w:t>The standard states that the rot attribute specifies the rotation o</w:t>
      </w:r>
      <w:r>
        <w:rPr>
          <w:i/>
        </w:rPr>
        <w:t>f a graphic frame.</w:t>
      </w:r>
    </w:p>
    <w:p w:rsidR="005F78FC" w:rsidRDefault="00B42EF3">
      <w:pPr>
        <w:pStyle w:val="Definition-Field2"/>
      </w:pPr>
      <w:r>
        <w:t>In Office, rot specifies the clockwise rotation of a shape.</w:t>
      </w:r>
    </w:p>
    <w:p w:rsidR="005F78FC" w:rsidRDefault="00B42EF3">
      <w:pPr>
        <w:pStyle w:val="Definition-Field"/>
      </w:pPr>
      <w:r>
        <w:t xml:space="preserve">b.   </w:t>
      </w:r>
      <w:r>
        <w:rPr>
          <w:i/>
        </w:rPr>
        <w:t>The standard allows attributes flipH, flipV and rot to be applied to a graphicFrame.</w:t>
      </w:r>
    </w:p>
    <w:p w:rsidR="005F78FC" w:rsidRDefault="00B42EF3">
      <w:pPr>
        <w:pStyle w:val="Definition-Field2"/>
      </w:pPr>
      <w:r>
        <w:t>In Office, attributes FlipH, flipV and rot are ignored when applied to a graphicFrame.</w:t>
      </w:r>
    </w:p>
    <w:p w:rsidR="005F78FC" w:rsidRDefault="00B42EF3">
      <w:pPr>
        <w:pStyle w:val="Heading3"/>
      </w:pPr>
      <w:bookmarkStart w:id="2586" w:name="section_c0c046eca61d405d88fe74d8487a37d7"/>
      <w:bookmarkStart w:id="2587" w:name="_Toc69879066"/>
      <w:r>
        <w:t>Part 1 Section 20.1.8, Shape, Fills, Effects and Line Properties</w:t>
      </w:r>
      <w:bookmarkEnd w:id="2586"/>
      <w:bookmarkEnd w:id="2587"/>
      <w:r>
        <w:fldChar w:fldCharType="begin"/>
      </w:r>
      <w:r>
        <w:instrText xml:space="preserve"> XE "Shape - Fills - Effects and Line Properties" </w:instrText>
      </w:r>
      <w:r>
        <w:fldChar w:fldCharType="end"/>
      </w:r>
    </w:p>
    <w:p w:rsidR="005F78FC" w:rsidRDefault="00B42EF3">
      <w:pPr>
        <w:pStyle w:val="Definition-Field"/>
      </w:pPr>
      <w:r>
        <w:t xml:space="preserve">a.   </w:t>
      </w:r>
      <w:r>
        <w:rPr>
          <w:i/>
        </w:rPr>
        <w:t>The standard supplies no default values for the optional attributes.</w:t>
      </w:r>
    </w:p>
    <w:p w:rsidR="005F78FC" w:rsidRDefault="00B42EF3">
      <w:r>
        <w:lastRenderedPageBreak/>
        <w:t>Within this portion of the DrawingML framework, you will note tha</w:t>
      </w:r>
      <w:r>
        <w:t xml:space="preserve">t most attributes are denoted as optional, yet have no default explicitly called out in the XML schema fragment. The reason no default is specified for these attributes is that the default can come from any of three sources. </w:t>
      </w:r>
    </w:p>
    <w:p w:rsidR="005F78FC" w:rsidRDefault="00B42EF3">
      <w:r>
        <w:t>In general, when an optional a</w:t>
      </w:r>
      <w:r>
        <w:t xml:space="preserve">ttribute is not specified, it will incorporate the corresponding attribute value from one of the following sources if available. Not all of these levels will be used in every scenario. </w:t>
      </w:r>
    </w:p>
    <w:p w:rsidR="005F78FC" w:rsidRDefault="00B42EF3">
      <w:r>
        <w:t>Style link</w:t>
      </w:r>
    </w:p>
    <w:p w:rsidR="005F78FC" w:rsidRDefault="00B42EF3">
      <w:r>
        <w:t>Master shape (PresentationML only)</w:t>
      </w:r>
    </w:p>
    <w:p w:rsidR="005F78FC" w:rsidRDefault="00B42EF3">
      <w:r>
        <w:t xml:space="preserve">DrawingML hard coded </w:t>
      </w:r>
      <w:r>
        <w:t>default</w:t>
      </w:r>
    </w:p>
    <w:p w:rsidR="005F78FC" w:rsidRDefault="00B42EF3">
      <w:r>
        <w:t xml:space="preserve">This inheritance is done in multiple passes. Each level will fill in gaps not specified by previous levels. </w:t>
      </w:r>
    </w:p>
    <w:p w:rsidR="005F78FC" w:rsidRDefault="00B42EF3">
      <w:r>
        <w:t>The following elements are subjected to resolution. Unless otherwise noted, at any level, the absence of an element type in the target indi</w:t>
      </w:r>
      <w:r>
        <w:t>cates the element is to come from the inheritance chain. For example, if the target property set has no fill element, it will inherit al l the fill properties in the next level of inheritance that has fill properties. When the elements are merged, all unsp</w:t>
      </w:r>
      <w:r>
        <w:t xml:space="preserve">ecified attributes and children of the element, will come from the first inheritance source with one specified. </w:t>
      </w:r>
    </w:p>
    <w:p w:rsidR="005F78FC" w:rsidRDefault="00B42EF3">
      <w:r>
        <w:t>Where attributes and elements are merged, the values in parentheses are used as the base defaults, with any applicable footnote number in angle</w:t>
      </w:r>
      <w:r>
        <w:t xml:space="preserve"> brackets:</w:t>
      </w:r>
    </w:p>
    <w:p w:rsidR="005F78FC" w:rsidRDefault="00B42EF3">
      <w:r>
        <w:t xml:space="preserve">Fill (noFill) &lt;1&gt; </w:t>
      </w:r>
    </w:p>
    <w:p w:rsidR="005F78FC" w:rsidRDefault="00B42EF3">
      <w:r>
        <w:t>noFill</w:t>
      </w:r>
    </w:p>
    <w:p w:rsidR="005F78FC" w:rsidRDefault="00B42EF3">
      <w:r>
        <w:t>solidFill (color = schemeColor (bg1))</w:t>
      </w:r>
    </w:p>
    <w:p w:rsidR="005F78FC" w:rsidRDefault="00B42EF3">
      <w:r>
        <w:t>gradFill (gsList(black, white), shade(lin), flip = none, rotWithShape = true )</w:t>
      </w:r>
    </w:p>
    <w:p w:rsidR="005F78FC" w:rsidRDefault="00B42EF3">
      <w:r>
        <w:t xml:space="preserve">gsList &lt;2&gt; </w:t>
      </w:r>
    </w:p>
    <w:p w:rsidR="005F78FC" w:rsidRDefault="00B42EF3">
      <w:r>
        <w:t>tileRect &lt;3&gt;</w:t>
      </w:r>
    </w:p>
    <w:p w:rsidR="005F78FC" w:rsidRDefault="00B42EF3">
      <w:r>
        <w:t>Shade (lin) &lt;1&gt;</w:t>
      </w:r>
    </w:p>
    <w:p w:rsidR="005F78FC" w:rsidRDefault="00B42EF3">
      <w:r>
        <w:t>lin (ang=0, scaled=false )</w:t>
      </w:r>
    </w:p>
    <w:p w:rsidR="005F78FC" w:rsidRDefault="00B42EF3">
      <w:r>
        <w:t>path (path=shape)</w:t>
      </w:r>
    </w:p>
    <w:p w:rsidR="005F78FC" w:rsidRDefault="00B42EF3">
      <w:r>
        <w:t xml:space="preserve">fillToRect </w:t>
      </w:r>
      <w:r>
        <w:t>(l,r,t,b=50% )</w:t>
      </w:r>
    </w:p>
    <w:p w:rsidR="005F78FC" w:rsidRDefault="00B42EF3">
      <w:r>
        <w:t>blipFill (dpi=0, rotWithShape=true)</w:t>
      </w:r>
    </w:p>
    <w:p w:rsidR="005F78FC" w:rsidRDefault="00B42EF3">
      <w:r>
        <w:t>blip (compression=none)</w:t>
      </w:r>
    </w:p>
    <w:p w:rsidR="005F78FC" w:rsidRDefault="00B42EF3">
      <w:r>
        <w:t>srcRect &lt;1&gt;</w:t>
      </w:r>
    </w:p>
    <w:p w:rsidR="005F78FC" w:rsidRDefault="00B42EF3">
      <w:r>
        <w:t>fillMode (tile) &lt;1&gt;</w:t>
      </w:r>
    </w:p>
    <w:p w:rsidR="005F78FC" w:rsidRDefault="00B42EF3">
      <w:r>
        <w:t>tile (algn=tl, flip=none, sx=100%, sy=100%, tx=0, ty=0)</w:t>
      </w:r>
    </w:p>
    <w:p w:rsidR="005F78FC" w:rsidRDefault="00B42EF3">
      <w:r>
        <w:t>stretch</w:t>
      </w:r>
    </w:p>
    <w:p w:rsidR="005F78FC" w:rsidRDefault="00B42EF3">
      <w:r>
        <w:t>fillRect &lt;3&gt;</w:t>
      </w:r>
    </w:p>
    <w:p w:rsidR="005F78FC" w:rsidRDefault="00B42EF3">
      <w:r>
        <w:t>pattFill (prst=pct5)</w:t>
      </w:r>
    </w:p>
    <w:p w:rsidR="005F78FC" w:rsidRDefault="00B42EF3">
      <w:r>
        <w:t>bgClr(white)</w:t>
      </w:r>
    </w:p>
    <w:p w:rsidR="005F78FC" w:rsidRDefault="00B42EF3">
      <w:r>
        <w:lastRenderedPageBreak/>
        <w:t>fgClr(black)</w:t>
      </w:r>
    </w:p>
    <w:p w:rsidR="005F78FC" w:rsidRDefault="00B42EF3">
      <w:r>
        <w:t>ln (w=.75pt, cap=flat, cm</w:t>
      </w:r>
      <w:r>
        <w:t>pd=sng, algn=ctr)</w:t>
      </w:r>
    </w:p>
    <w:p w:rsidR="005F78FC" w:rsidRDefault="00B42EF3">
      <w:r>
        <w:t>fill(same as 1 ) &lt;1&gt;</w:t>
      </w:r>
    </w:p>
    <w:p w:rsidR="005F78FC" w:rsidRDefault="00B42EF3">
      <w:r>
        <w:t>dash (prstDash(solid))</w:t>
      </w:r>
    </w:p>
    <w:p w:rsidR="005F78FC" w:rsidRDefault="00B42EF3">
      <w:r>
        <w:t>custDash &lt;2&gt;</w:t>
      </w:r>
    </w:p>
    <w:p w:rsidR="005F78FC" w:rsidRDefault="00B42EF3">
      <w:r>
        <w:t>join (round)</w:t>
      </w:r>
    </w:p>
    <w:p w:rsidR="005F78FC" w:rsidRDefault="00B42EF3">
      <w:r>
        <w:t>miter(lim=800%)</w:t>
      </w:r>
    </w:p>
    <w:p w:rsidR="005F78FC" w:rsidRDefault="00B42EF3">
      <w:r>
        <w:t>headEnd (type=none, w=med, len=med)</w:t>
      </w:r>
    </w:p>
    <w:p w:rsidR="005F78FC" w:rsidRDefault="00B42EF3">
      <w:r>
        <w:t>tailEnd (type=none, w=med, len=med)</w:t>
      </w:r>
    </w:p>
    <w:p w:rsidR="005F78FC" w:rsidRDefault="00B42EF3">
      <w:r>
        <w:t>effect &lt;2&gt;</w:t>
      </w:r>
    </w:p>
    <w:p w:rsidR="005F78FC" w:rsidRDefault="00B42EF3">
      <w:r>
        <w:t>shape3D &lt;2&gt;</w:t>
      </w:r>
    </w:p>
    <w:p w:rsidR="005F78FC" w:rsidRDefault="00B42EF3">
      <w:r>
        <w:t xml:space="preserve">scene3D &lt;2&gt; </w:t>
      </w:r>
    </w:p>
    <w:p w:rsidR="005F78FC" w:rsidRDefault="00B42EF3">
      <w:r>
        <w:t xml:space="preserve">&lt;1&gt; Merging only occurs if elements are of </w:t>
      </w:r>
      <w:r>
        <w:t>the same type, or if element does not exist in the target property set.</w:t>
      </w:r>
    </w:p>
    <w:p w:rsidR="005F78FC" w:rsidRDefault="00B42EF3">
      <w:r>
        <w:t>&lt;2&gt; Merging only occurs as a whole. If the element does not exist, the secondary default is used in its entirety. Even a valid empty element will block the inheritance. For example, an</w:t>
      </w:r>
      <w:r>
        <w:t xml:space="preserve"> empty effect list will not be merged with an inherited effect list.</w:t>
      </w:r>
    </w:p>
    <w:p w:rsidR="005F78FC" w:rsidRDefault="00B42EF3">
      <w:r>
        <w:t>&lt;3&gt; Simple type has schema defaults.</w:t>
      </w:r>
    </w:p>
    <w:p w:rsidR="005F78FC" w:rsidRDefault="00B42EF3">
      <w:pPr>
        <w:pStyle w:val="Heading3"/>
      </w:pPr>
      <w:bookmarkStart w:id="2588" w:name="section_88c6f94c01654e828f963694069f6361"/>
      <w:bookmarkStart w:id="2589" w:name="_Toc69879067"/>
      <w:r>
        <w:t>Part 1 Section 20.1.8.4, alphaInv (Alpha Inverse Effect)</w:t>
      </w:r>
      <w:bookmarkEnd w:id="2588"/>
      <w:bookmarkEnd w:id="2589"/>
      <w:r>
        <w:fldChar w:fldCharType="begin"/>
      </w:r>
      <w:r>
        <w:instrText xml:space="preserve"> XE "alphaInv (Alpha Inverse Effect)" </w:instrText>
      </w:r>
      <w:r>
        <w:fldChar w:fldCharType="end"/>
      </w:r>
    </w:p>
    <w:p w:rsidR="005F78FC" w:rsidRDefault="00B42EF3">
      <w:pPr>
        <w:pStyle w:val="Definition-Field"/>
      </w:pPr>
      <w:r>
        <w:t xml:space="preserve">a.   </w:t>
      </w:r>
      <w:r>
        <w:rPr>
          <w:i/>
        </w:rPr>
        <w:t>The standard does not include information on the</w:t>
      </w:r>
      <w:r>
        <w:rPr>
          <w:i/>
        </w:rPr>
        <w:t xml:space="preserve"> optional color element.</w:t>
      </w:r>
    </w:p>
    <w:p w:rsidR="005F78FC" w:rsidRDefault="00B42EF3">
      <w:r>
        <w:t>In Office, other color channels are modified only if a color is specified.  If a color is specified, all effect colors are replaced by the constant color value and the alpha values are inverted. If no color is specified, only the a</w:t>
      </w:r>
      <w:r>
        <w:t>lpha values are modified and the other color channels are unchanged.</w:t>
      </w:r>
    </w:p>
    <w:p w:rsidR="005F78FC" w:rsidRDefault="00B42EF3">
      <w:pPr>
        <w:pStyle w:val="Heading3"/>
      </w:pPr>
      <w:bookmarkStart w:id="2590" w:name="section_afb64210f4af4f608f94b2c51fd1bda7"/>
      <w:bookmarkStart w:id="2591" w:name="_Toc69879068"/>
      <w:r>
        <w:t>Part 1 Section 20.1.8.5, alphaMod (Alpha Modulate Effect)</w:t>
      </w:r>
      <w:bookmarkEnd w:id="2590"/>
      <w:bookmarkEnd w:id="2591"/>
      <w:r>
        <w:fldChar w:fldCharType="begin"/>
      </w:r>
      <w:r>
        <w:instrText xml:space="preserve"> XE "alphaMod (Alpha Modulate Effect)" </w:instrText>
      </w:r>
      <w:r>
        <w:fldChar w:fldCharType="end"/>
      </w:r>
    </w:p>
    <w:p w:rsidR="005F78FC" w:rsidRDefault="00B42EF3">
      <w:pPr>
        <w:pStyle w:val="Definition-Field"/>
      </w:pPr>
      <w:r>
        <w:t xml:space="preserve">a.   </w:t>
      </w:r>
      <w:r>
        <w:rPr>
          <w:i/>
        </w:rPr>
        <w:t>The standard states that alpha is multiplied by a fixed percent.</w:t>
      </w:r>
    </w:p>
    <w:p w:rsidR="005F78FC" w:rsidRDefault="00B42EF3">
      <w:pPr>
        <w:pStyle w:val="Definition-Field2"/>
      </w:pPr>
      <w:r>
        <w:t>In Office, alpha i</w:t>
      </w:r>
      <w:r>
        <w:t>s multiplied by the alpha of another effect.</w:t>
      </w:r>
    </w:p>
    <w:p w:rsidR="005F78FC" w:rsidRDefault="00B42EF3">
      <w:pPr>
        <w:pStyle w:val="Heading3"/>
      </w:pPr>
      <w:bookmarkStart w:id="2592" w:name="section_1c2204d50c7240caa3c489b803883e90"/>
      <w:bookmarkStart w:id="2593" w:name="_Toc69879069"/>
      <w:r>
        <w:t>Part 1 Section 20.1.8.6, alphaModFix (Alpha Modulate Fixed Effect)</w:t>
      </w:r>
      <w:bookmarkEnd w:id="2592"/>
      <w:bookmarkEnd w:id="2593"/>
      <w:r>
        <w:fldChar w:fldCharType="begin"/>
      </w:r>
      <w:r>
        <w:instrText xml:space="preserve"> XE "alphaModFix (Alpha Modulate Fixed Effect)" </w:instrText>
      </w:r>
      <w:r>
        <w:fldChar w:fldCharType="end"/>
      </w:r>
    </w:p>
    <w:p w:rsidR="005F78FC" w:rsidRDefault="00B42EF3">
      <w:pPr>
        <w:pStyle w:val="Definition-Field"/>
      </w:pPr>
      <w:r>
        <w:t xml:space="preserve">a.   </w:t>
      </w:r>
      <w:r>
        <w:rPr>
          <w:i/>
        </w:rPr>
        <w:t>The standard specifies that the alphaModFix value is clamped, so any value greater than 1</w:t>
      </w:r>
      <w:r>
        <w:rPr>
          <w:i/>
        </w:rPr>
        <w:t>00 percent is interpreted as 100 percent, and any value less than 0 percent is interpreted as 0 percent.</w:t>
      </w:r>
    </w:p>
    <w:p w:rsidR="005F78FC" w:rsidRDefault="00B42EF3">
      <w:pPr>
        <w:pStyle w:val="Definition-Field2"/>
      </w:pPr>
      <w:r>
        <w:t>Office modulates the alphaModFix value, so the value is interpreted as value modulo 100.</w:t>
      </w:r>
    </w:p>
    <w:p w:rsidR="005F78FC" w:rsidRDefault="00B42EF3">
      <w:pPr>
        <w:pStyle w:val="Heading3"/>
      </w:pPr>
      <w:bookmarkStart w:id="2594" w:name="section_1cc844f4520f48d58ceb74e15342ab24"/>
      <w:bookmarkStart w:id="2595" w:name="_Toc69879070"/>
      <w:r>
        <w:t>Part 1 Section 20.1.8.14, blipFill (Picture Fill)</w:t>
      </w:r>
      <w:bookmarkEnd w:id="2594"/>
      <w:bookmarkEnd w:id="2595"/>
      <w:r>
        <w:fldChar w:fldCharType="begin"/>
      </w:r>
      <w:r>
        <w:instrText xml:space="preserve"> XE "blipFill</w:instrText>
      </w:r>
      <w:r>
        <w:instrText xml:space="preserve"> (Picture Fill)"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0329492820b44cdd9ecdac4d63dc4674">
        <w:r>
          <w:rPr>
            <w:rStyle w:val="Hyperlink"/>
          </w:rPr>
          <w:t>blipFill, §21.3.2.2(a)</w:t>
        </w:r>
      </w:hyperlink>
      <w:r>
        <w:rPr>
          <w:i/>
        </w:rPr>
        <w:t>.</w:t>
      </w:r>
    </w:p>
    <w:p w:rsidR="005F78FC" w:rsidRDefault="00B42EF3">
      <w:pPr>
        <w:pStyle w:val="Definition-Field"/>
      </w:pPr>
      <w:r>
        <w:lastRenderedPageBreak/>
        <w:t xml:space="preserve">a.   </w:t>
      </w:r>
      <w:r>
        <w:rPr>
          <w:i/>
        </w:rPr>
        <w:t>The standard states that the attribute blipFill specif</w:t>
      </w:r>
      <w:r>
        <w:rPr>
          <w:i/>
        </w:rPr>
        <w:t>ies the picture fill for pic object.</w:t>
      </w:r>
    </w:p>
    <w:p w:rsidR="005F78FC" w:rsidRDefault="00B42EF3">
      <w:pPr>
        <w:pStyle w:val="Definition-Field2"/>
      </w:pPr>
      <w:r>
        <w:t>In Office, the attribute blipFill specifies the image fill for an object.</w:t>
      </w:r>
    </w:p>
    <w:p w:rsidR="005F78FC" w:rsidRDefault="00B42EF3">
      <w:pPr>
        <w:pStyle w:val="Heading3"/>
      </w:pPr>
      <w:bookmarkStart w:id="2596" w:name="section_9847db85c8ee40f08c7ecdca7563544b"/>
      <w:bookmarkStart w:id="2597" w:name="_Toc69879071"/>
      <w:r>
        <w:t>Part 1 Section 20.1.8.15, blur (Blur Effect)</w:t>
      </w:r>
      <w:bookmarkEnd w:id="2596"/>
      <w:bookmarkEnd w:id="2597"/>
      <w:r>
        <w:fldChar w:fldCharType="begin"/>
      </w:r>
      <w:r>
        <w:instrText xml:space="preserve"> XE "blur (Blur Effect)" </w:instrText>
      </w:r>
      <w:r>
        <w:fldChar w:fldCharType="end"/>
      </w:r>
    </w:p>
    <w:p w:rsidR="005F78FC" w:rsidRDefault="00B42EF3">
      <w:pPr>
        <w:pStyle w:val="Definition-Field"/>
      </w:pPr>
      <w:r>
        <w:t xml:space="preserve">a.   </w:t>
      </w:r>
      <w:r>
        <w:rPr>
          <w:i/>
        </w:rPr>
        <w:t xml:space="preserve">The standard states that if attribute grow is true, blur may extend </w:t>
      </w:r>
      <w:r>
        <w:rPr>
          <w:i/>
        </w:rPr>
        <w:t>beyond object bounds.</w:t>
      </w:r>
    </w:p>
    <w:p w:rsidR="005F78FC" w:rsidRDefault="00B42EF3">
      <w:pPr>
        <w:pStyle w:val="Definition-Field2"/>
      </w:pPr>
      <w:r>
        <w:t>In Office, if blur is applied to blip in a blipFill, fill constraints will keep the blur from extending beyond object bounds.</w:t>
      </w:r>
    </w:p>
    <w:p w:rsidR="005F78FC" w:rsidRDefault="00B42EF3">
      <w:pPr>
        <w:pStyle w:val="Definition-Field"/>
      </w:pPr>
      <w:r>
        <w:t xml:space="preserve">b.   </w:t>
      </w:r>
      <w:r>
        <w:rPr>
          <w:i/>
        </w:rPr>
        <w:t>The standard states that attribute rad will specify radius of blur.</w:t>
      </w:r>
    </w:p>
    <w:p w:rsidR="005F78FC" w:rsidRDefault="00B42EF3">
      <w:pPr>
        <w:pStyle w:val="Definition-Field2"/>
      </w:pPr>
      <w:r>
        <w:t>Office interprets the radius of blu</w:t>
      </w:r>
      <w:r>
        <w:t>r as destination pixels, rather than source pixels. For other effect contexts, it is device independent.</w:t>
      </w:r>
    </w:p>
    <w:p w:rsidR="005F78FC" w:rsidRDefault="00B42EF3">
      <w:pPr>
        <w:pStyle w:val="Heading3"/>
      </w:pPr>
      <w:bookmarkStart w:id="2598" w:name="section_5860f81613d34a839e63bcd1e0808404"/>
      <w:bookmarkStart w:id="2599" w:name="_Toc69879072"/>
      <w:r>
        <w:t>Part 1 Section 20.1.8.16, clrChange (Color Change Effect)</w:t>
      </w:r>
      <w:bookmarkEnd w:id="2598"/>
      <w:bookmarkEnd w:id="2599"/>
      <w:r>
        <w:fldChar w:fldCharType="begin"/>
      </w:r>
      <w:r>
        <w:instrText xml:space="preserve"> XE "clrChange (Color Change Effect)" </w:instrText>
      </w:r>
      <w:r>
        <w:fldChar w:fldCharType="end"/>
      </w:r>
    </w:p>
    <w:p w:rsidR="005F78FC" w:rsidRDefault="00B42EF3">
      <w:pPr>
        <w:pStyle w:val="Definition-Field"/>
      </w:pPr>
      <w:r>
        <w:t xml:space="preserve">a.   </w:t>
      </w:r>
      <w:r>
        <w:rPr>
          <w:i/>
        </w:rPr>
        <w:t xml:space="preserve">The standard states that attribute useA </w:t>
      </w:r>
      <w:r>
        <w:rPr>
          <w:i/>
        </w:rPr>
        <w:t>specifies whether alpha values are considered for the effect.</w:t>
      </w:r>
    </w:p>
    <w:p w:rsidR="005F78FC" w:rsidRDefault="00B42EF3">
      <w:pPr>
        <w:pStyle w:val="Definition-Field2"/>
      </w:pPr>
      <w:r>
        <w:t>In Office, if the value of useA is true, alpha is considered for finding a match for clrFrom, and the alpha is replaced with the alpha value in clrTo. If useA is false, no alpha values are chang</w:t>
      </w:r>
      <w:r>
        <w:t>ed.</w:t>
      </w:r>
    </w:p>
    <w:p w:rsidR="005F78FC" w:rsidRDefault="00B42EF3">
      <w:pPr>
        <w:pStyle w:val="Heading3"/>
      </w:pPr>
      <w:bookmarkStart w:id="2600" w:name="section_b319fbdd87f44a23833d175e9b2b6539"/>
      <w:bookmarkStart w:id="2601" w:name="_Toc69879073"/>
      <w:r>
        <w:t>Part 1 Section 20.1.8.20, cont (Effect Container)</w:t>
      </w:r>
      <w:bookmarkEnd w:id="2600"/>
      <w:bookmarkEnd w:id="2601"/>
      <w:r>
        <w:fldChar w:fldCharType="begin"/>
      </w:r>
      <w:r>
        <w:instrText xml:space="preserve"> XE "cont (Effect Container)" </w:instrText>
      </w:r>
      <w:r>
        <w:fldChar w:fldCharType="end"/>
      </w:r>
    </w:p>
    <w:p w:rsidR="005F78FC" w:rsidRDefault="00B42EF3">
      <w:pPr>
        <w:pStyle w:val="Definition-Field"/>
      </w:pPr>
      <w:r>
        <w:t xml:space="preserve">a.   </w:t>
      </w:r>
      <w:r>
        <w:rPr>
          <w:i/>
        </w:rPr>
        <w:t>The standard states that the name attribute specifies an optional name for this list of effects.</w:t>
      </w:r>
    </w:p>
    <w:p w:rsidR="005F78FC" w:rsidRDefault="00B42EF3">
      <w:pPr>
        <w:pStyle w:val="Definition-Field2"/>
      </w:pPr>
      <w:r>
        <w:t>In Office, the name attribute specifies an optional name for the con</w:t>
      </w:r>
      <w:r>
        <w:t>tainer. This name can be used by an effect ("</w:t>
      </w:r>
      <w:hyperlink r:id="rId183">
        <w:r>
          <w:rPr>
            <w:rStyle w:val="Hyperlink"/>
          </w:rPr>
          <w:t>[ISO/IEC-29500-1]</w:t>
        </w:r>
      </w:hyperlink>
      <w:r>
        <w:t xml:space="preserve"> §20.1.8.24; effect") within the same top level container. The name must be unique throughout the top level effect container.</w:t>
      </w:r>
    </w:p>
    <w:p w:rsidR="005F78FC" w:rsidRDefault="00B42EF3">
      <w:pPr>
        <w:pStyle w:val="Heading3"/>
      </w:pPr>
      <w:bookmarkStart w:id="2602" w:name="section_90e88cb8509b42fa9de0733a7fe14161"/>
      <w:bookmarkStart w:id="2603" w:name="_Toc69879074"/>
      <w:r>
        <w:t>Pa</w:t>
      </w:r>
      <w:r>
        <w:t>rt 1 Section 20.1.8.22, ds (Dash Stop)</w:t>
      </w:r>
      <w:bookmarkEnd w:id="2602"/>
      <w:bookmarkEnd w:id="2603"/>
      <w:r>
        <w:fldChar w:fldCharType="begin"/>
      </w:r>
      <w:r>
        <w:instrText xml:space="preserve"> XE "ds (Dash Stop)" </w:instrText>
      </w:r>
      <w:r>
        <w:fldChar w:fldCharType="end"/>
      </w:r>
    </w:p>
    <w:p w:rsidR="005F78FC" w:rsidRDefault="00B42EF3">
      <w:pPr>
        <w:pStyle w:val="Definition-Field"/>
      </w:pPr>
      <w:r>
        <w:t xml:space="preserve">a.   </w:t>
      </w:r>
      <w:r>
        <w:rPr>
          <w:i/>
        </w:rPr>
        <w:t>The standard makes no restriction regarding the value of the dash length percentage.</w:t>
      </w:r>
    </w:p>
    <w:p w:rsidR="005F78FC" w:rsidRDefault="00B42EF3">
      <w:pPr>
        <w:pStyle w:val="Definition-Field2"/>
      </w:pPr>
      <w:r>
        <w:t>In Office, the dash length must be greater than zero.</w:t>
      </w:r>
    </w:p>
    <w:p w:rsidR="005F78FC" w:rsidRDefault="00B42EF3">
      <w:pPr>
        <w:pStyle w:val="Definition-Field"/>
      </w:pPr>
      <w:r>
        <w:t xml:space="preserve">b.   </w:t>
      </w:r>
      <w:r>
        <w:rPr>
          <w:i/>
        </w:rPr>
        <w:t>The standard makes no restriction regarding t</w:t>
      </w:r>
      <w:r>
        <w:rPr>
          <w:i/>
        </w:rPr>
        <w:t>he value of the space length percentage.</w:t>
      </w:r>
    </w:p>
    <w:p w:rsidR="005F78FC" w:rsidRDefault="00B42EF3">
      <w:pPr>
        <w:pStyle w:val="Definition-Field2"/>
      </w:pPr>
      <w:r>
        <w:t>In Office, the space length percentage must be greater than zero.</w:t>
      </w:r>
    </w:p>
    <w:p w:rsidR="005F78FC" w:rsidRDefault="00B42EF3">
      <w:pPr>
        <w:pStyle w:val="Heading3"/>
      </w:pPr>
      <w:bookmarkStart w:id="2604" w:name="section_c4fb5e6e431f415291d23b48831d77af"/>
      <w:bookmarkStart w:id="2605" w:name="_Toc69879075"/>
      <w:r>
        <w:t>Part 1 Section 20.1.8.23, duotone (Duotone Effect)</w:t>
      </w:r>
      <w:bookmarkEnd w:id="2604"/>
      <w:bookmarkEnd w:id="2605"/>
      <w:r>
        <w:fldChar w:fldCharType="begin"/>
      </w:r>
      <w:r>
        <w:instrText xml:space="preserve"> XE "duotone (Duotone Effect)" </w:instrText>
      </w:r>
      <w:r>
        <w:fldChar w:fldCharType="end"/>
      </w:r>
    </w:p>
    <w:p w:rsidR="005F78FC" w:rsidRDefault="00B42EF3">
      <w:pPr>
        <w:pStyle w:val="Definition-Field"/>
      </w:pPr>
      <w:r>
        <w:t xml:space="preserve">a.   </w:t>
      </w:r>
      <w:r>
        <w:rPr>
          <w:i/>
        </w:rPr>
        <w:t xml:space="preserve">The standard states that colors are combined through linear </w:t>
      </w:r>
      <w:r>
        <w:rPr>
          <w:i/>
        </w:rPr>
        <w:t>interpolation.</w:t>
      </w:r>
    </w:p>
    <w:p w:rsidR="005F78FC" w:rsidRDefault="00B42EF3">
      <w:pPr>
        <w:pStyle w:val="Definition-Field2"/>
      </w:pPr>
      <w:r>
        <w:t>In Office, the interpolation is based on the luminance of the pixel.</w:t>
      </w:r>
    </w:p>
    <w:p w:rsidR="005F78FC" w:rsidRDefault="00B42EF3">
      <w:pPr>
        <w:pStyle w:val="Heading3"/>
      </w:pPr>
      <w:bookmarkStart w:id="2606" w:name="section_ebe8f712db08467bb271aa447682cb84"/>
      <w:bookmarkStart w:id="2607" w:name="_Toc69879076"/>
      <w:r>
        <w:t>Part 1 Section 20.1.8.24, effect (Effect)</w:t>
      </w:r>
      <w:bookmarkEnd w:id="2606"/>
      <w:bookmarkEnd w:id="2607"/>
      <w:r>
        <w:fldChar w:fldCharType="begin"/>
      </w:r>
      <w:r>
        <w:instrText xml:space="preserve"> XE "effect (Effect)" </w:instrText>
      </w:r>
      <w:r>
        <w:fldChar w:fldCharType="end"/>
      </w:r>
    </w:p>
    <w:p w:rsidR="005F78FC" w:rsidRDefault="00B42EF3">
      <w:pPr>
        <w:pStyle w:val="Definition-Field"/>
      </w:pPr>
      <w:r>
        <w:t xml:space="preserve">a.   </w:t>
      </w:r>
      <w:r>
        <w:rPr>
          <w:i/>
        </w:rPr>
        <w:t>The standard states that the value of the ref attribute may be the name of an effect container, or on</w:t>
      </w:r>
      <w:r>
        <w:rPr>
          <w:i/>
        </w:rPr>
        <w:t>e of four special references.</w:t>
      </w:r>
    </w:p>
    <w:p w:rsidR="005F78FC" w:rsidRDefault="00B42EF3">
      <w:pPr>
        <w:pStyle w:val="Definition-Field2"/>
      </w:pPr>
      <w:r>
        <w:t>Office requires this to be the case.</w:t>
      </w:r>
    </w:p>
    <w:p w:rsidR="005F78FC" w:rsidRDefault="00B42EF3">
      <w:pPr>
        <w:pStyle w:val="Heading3"/>
      </w:pPr>
      <w:bookmarkStart w:id="2608" w:name="section_3e0414ed4af14d09bdd7cf791c064cea"/>
      <w:bookmarkStart w:id="2609" w:name="_Toc69879077"/>
      <w:r>
        <w:lastRenderedPageBreak/>
        <w:t>Part 1 Section 20.1.8.25, effectDag (Effect Container)</w:t>
      </w:r>
      <w:bookmarkEnd w:id="2608"/>
      <w:bookmarkEnd w:id="2609"/>
      <w:r>
        <w:fldChar w:fldCharType="begin"/>
      </w:r>
      <w:r>
        <w:instrText xml:space="preserve"> XE "effectDag (Effect Container)"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b319fbdd87f44a23833d175e9b2b6539">
        <w:r>
          <w:rPr>
            <w:rStyle w:val="Hyperlink"/>
          </w:rPr>
          <w:t>cont, §20.1.8.20(a)</w:t>
        </w:r>
      </w:hyperlink>
      <w:r>
        <w:rPr>
          <w:i/>
        </w:rPr>
        <w:t>.</w:t>
      </w:r>
    </w:p>
    <w:p w:rsidR="005F78FC" w:rsidRDefault="00B42EF3">
      <w:pPr>
        <w:pStyle w:val="Definition-Field"/>
      </w:pPr>
      <w:r>
        <w:t xml:space="preserve">a.   </w:t>
      </w:r>
      <w:r>
        <w:rPr>
          <w:i/>
        </w:rPr>
        <w:t>The standard allows the user to create contradictory shape properties by using similar tags under effectDag and spPr at the same time.</w:t>
      </w:r>
    </w:p>
    <w:p w:rsidR="005F78FC" w:rsidRDefault="00B42EF3">
      <w:pPr>
        <w:pStyle w:val="Definition-Field2"/>
      </w:pPr>
      <w:r>
        <w:t xml:space="preserve">In Office, the behavior is unspecified </w:t>
      </w:r>
      <w:r>
        <w:t>if effectDag is used in conjunction with the following sibling elements: blipFill, gradFill, grpFill, noFill, pattFill, solidFill, effectLst.</w:t>
      </w:r>
    </w:p>
    <w:p w:rsidR="005F78FC" w:rsidRDefault="00B42EF3">
      <w:pPr>
        <w:pStyle w:val="Heading3"/>
      </w:pPr>
      <w:bookmarkStart w:id="2610" w:name="section_64e56679ddda4bd9a96ae5a17dd569e8"/>
      <w:bookmarkStart w:id="2611" w:name="_Toc69879078"/>
      <w:r>
        <w:t>Part 1 Section 20.1.8.31, fillToRect (Fill To Rectangle)</w:t>
      </w:r>
      <w:bookmarkEnd w:id="2610"/>
      <w:bookmarkEnd w:id="2611"/>
      <w:r>
        <w:fldChar w:fldCharType="begin"/>
      </w:r>
      <w:r>
        <w:instrText xml:space="preserve"> XE "fillToRect (Fill To Rectangle)" </w:instrText>
      </w:r>
      <w:r>
        <w:fldChar w:fldCharType="end"/>
      </w:r>
    </w:p>
    <w:p w:rsidR="005F78FC" w:rsidRDefault="00B42EF3">
      <w:pPr>
        <w:pStyle w:val="Definition-Field"/>
      </w:pPr>
      <w:r>
        <w:t xml:space="preserve">a.   </w:t>
      </w:r>
      <w:r>
        <w:rPr>
          <w:i/>
        </w:rPr>
        <w:t xml:space="preserve">The standard </w:t>
      </w:r>
      <w:r>
        <w:rPr>
          <w:i/>
        </w:rPr>
        <w:t>states that the center shade fills the entire tile except the margins specified by each attribute.</w:t>
      </w:r>
    </w:p>
    <w:p w:rsidR="005F78FC" w:rsidRDefault="00B42EF3">
      <w:pPr>
        <w:pStyle w:val="Definition-Field2"/>
      </w:pPr>
      <w:r>
        <w:t>In Office the center shade fills the entire gradient path inscribed in this rectangle.</w:t>
      </w:r>
    </w:p>
    <w:p w:rsidR="005F78FC" w:rsidRDefault="00B42EF3">
      <w:pPr>
        <w:pStyle w:val="Definition-Field"/>
      </w:pPr>
      <w:r>
        <w:t xml:space="preserve">b.   </w:t>
      </w:r>
      <w:r>
        <w:rPr>
          <w:i/>
        </w:rPr>
        <w:t>The standard states that the Rectangle is defined relative to the</w:t>
      </w:r>
      <w:r>
        <w:rPr>
          <w:i/>
        </w:rPr>
        <w:t xml:space="preserve"> tile rect.</w:t>
      </w:r>
    </w:p>
    <w:p w:rsidR="005F78FC" w:rsidRDefault="00B42EF3">
      <w:pPr>
        <w:pStyle w:val="Definition-Field2"/>
      </w:pPr>
      <w:r>
        <w:t>In Office the rectangle is defined relative to shape bounding box.</w:t>
      </w:r>
    </w:p>
    <w:p w:rsidR="005F78FC" w:rsidRDefault="00B42EF3">
      <w:pPr>
        <w:pStyle w:val="Heading3"/>
      </w:pPr>
      <w:bookmarkStart w:id="2612" w:name="section_f43f30dfc82941f3ba6f52e9ac3b4e20"/>
      <w:bookmarkStart w:id="2613" w:name="_Toc69879079"/>
      <w:r>
        <w:t>Part 1 Section 20.1.8.33, gradFill (Gradient Fill)</w:t>
      </w:r>
      <w:bookmarkEnd w:id="2612"/>
      <w:bookmarkEnd w:id="2613"/>
      <w:r>
        <w:fldChar w:fldCharType="begin"/>
      </w:r>
      <w:r>
        <w:instrText xml:space="preserve"> XE "gradFill (Gradient Fill)" </w:instrText>
      </w:r>
      <w:r>
        <w:fldChar w:fldCharType="end"/>
      </w:r>
    </w:p>
    <w:p w:rsidR="005F78FC" w:rsidRDefault="00B42EF3">
      <w:pPr>
        <w:pStyle w:val="Definition-Field"/>
      </w:pPr>
      <w:r>
        <w:t xml:space="preserve">a.   </w:t>
      </w:r>
      <w:r>
        <w:rPr>
          <w:i/>
        </w:rPr>
        <w:t>The standard states that the flip (Tile flip) attribute specifies the direction(s) in wh</w:t>
      </w:r>
      <w:r>
        <w:rPr>
          <w:i/>
        </w:rPr>
        <w:t>ich to flip the gradient while tiling.</w:t>
      </w:r>
    </w:p>
    <w:p w:rsidR="005F78FC" w:rsidRDefault="00B42EF3">
      <w:pPr>
        <w:pStyle w:val="Definition-Field2"/>
      </w:pPr>
      <w:r>
        <w:t>In Office the flip (Tile flip) attribute is ignored and flip mode xy is used.</w:t>
      </w:r>
    </w:p>
    <w:p w:rsidR="005F78FC" w:rsidRDefault="00B42EF3">
      <w:pPr>
        <w:pStyle w:val="Definition-Field"/>
      </w:pPr>
      <w:r>
        <w:t xml:space="preserve">b.   </w:t>
      </w:r>
      <w:r>
        <w:rPr>
          <w:i/>
        </w:rPr>
        <w:t>The standard states that a gradient fill encompasses the entire bounding box of the shape that contains the fill.</w:t>
      </w:r>
    </w:p>
    <w:p w:rsidR="005F78FC" w:rsidRDefault="00B42EF3">
      <w:pPr>
        <w:pStyle w:val="Definition-Field2"/>
      </w:pPr>
      <w:r>
        <w:t xml:space="preserve">In Office, a </w:t>
      </w:r>
      <w:r>
        <w:t>gradient fill encompasses a region larger than the bounding box of a shape when the shape contains arrowheads. The size of the region varies depending on the type of arrowhead.</w:t>
      </w:r>
    </w:p>
    <w:p w:rsidR="005F78FC" w:rsidRDefault="00B42EF3">
      <w:pPr>
        <w:pStyle w:val="Definition-Field2"/>
      </w:pPr>
      <w:r>
        <w:t>Office uses different values to calculate the size of the region depending on t</w:t>
      </w:r>
      <w:r>
        <w:t>he arrowhead. To calculate the size of the region, Office uses the radiusScale value from the table below for a given arrowhead. Office then updates the bounds of the connector to include a circle of the specified radius.</w:t>
      </w:r>
    </w:p>
    <w:p w:rsidR="005F78FC" w:rsidRDefault="00B42EF3">
      <w:pPr>
        <w:pStyle w:val="Definition-Field2"/>
      </w:pPr>
      <w:r>
        <w:t>radius = lineWidth / 2 * radiusSca</w:t>
      </w:r>
      <w:r>
        <w:t>le</w:t>
      </w:r>
    </w:p>
    <w:p w:rsidR="005F78FC" w:rsidRDefault="00B42EF3">
      <w:pPr>
        <w:pStyle w:val="Definition-Field2"/>
      </w:pPr>
      <w:r>
        <w:t>bounds |= Rect(endPoint.x - radius, endPoint.y - radius, endPoint.x + radius, endPoint.y + radius)</w:t>
      </w:r>
    </w:p>
    <w:p w:rsidR="005F78FC" w:rsidRDefault="005F78FC">
      <w:pPr>
        <w:spacing w:before="0" w:after="0"/>
      </w:pPr>
    </w:p>
    <w:tbl>
      <w:tblPr>
        <w:tblStyle w:val="Table-ShadedHeader"/>
        <w:tblW w:w="0" w:type="auto"/>
        <w:tblLook w:val="04A0" w:firstRow="1" w:lastRow="0" w:firstColumn="1" w:lastColumn="0" w:noHBand="0" w:noVBand="1"/>
      </w:tblPr>
      <w:tblGrid>
        <w:gridCol w:w="1586"/>
        <w:gridCol w:w="1522"/>
        <w:gridCol w:w="2864"/>
        <w:gridCol w:w="2938"/>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8910"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HeaderText"/>
              <w:spacing w:before="0" w:after="0"/>
            </w:pPr>
            <w:r>
              <w:t>none</w:t>
            </w:r>
          </w:p>
        </w:tc>
      </w:tr>
      <w:tr w:rsidR="005F78FC" w:rsidTr="005F78FC">
        <w:tc>
          <w:tcPr>
            <w:tcW w:w="15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 </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small</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medium</w:t>
            </w:r>
          </w:p>
        </w:tc>
        <w:tc>
          <w:tcPr>
            <w:tcW w:w="29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large</w:t>
            </w:r>
          </w:p>
        </w:tc>
      </w:tr>
      <w:tr w:rsidR="005F78FC" w:rsidTr="005F78FC">
        <w:tc>
          <w:tcPr>
            <w:tcW w:w="15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capWidth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 </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 </w:t>
            </w:r>
          </w:p>
        </w:tc>
        <w:tc>
          <w:tcPr>
            <w:tcW w:w="29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 </w:t>
            </w:r>
          </w:p>
        </w:tc>
      </w:tr>
      <w:tr w:rsidR="005F78FC" w:rsidTr="005F78FC">
        <w:tc>
          <w:tcPr>
            <w:tcW w:w="15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capLength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 </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 </w:t>
            </w:r>
          </w:p>
        </w:tc>
        <w:tc>
          <w:tcPr>
            <w:tcW w:w="29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 </w:t>
            </w:r>
          </w:p>
        </w:tc>
      </w:tr>
      <w:tr w:rsidR="005F78FC" w:rsidTr="005F78FC">
        <w:tc>
          <w:tcPr>
            <w:tcW w:w="15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radiusScale</w:t>
            </w:r>
          </w:p>
        </w:tc>
        <w:tc>
          <w:tcPr>
            <w:tcW w:w="7324"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1.0</w:t>
            </w:r>
          </w:p>
        </w:tc>
      </w:tr>
    </w:tbl>
    <w:p w:rsidR="005F78FC" w:rsidRDefault="00B42EF3">
      <w:pPr>
        <w:spacing w:before="0" w:after="160"/>
      </w:pPr>
      <w:r>
        <w:t> </w:t>
      </w:r>
    </w:p>
    <w:tbl>
      <w:tblPr>
        <w:tblStyle w:val="Table-ShadedHeader"/>
        <w:tblW w:w="0" w:type="auto"/>
        <w:tblLook w:val="04A0" w:firstRow="1" w:lastRow="0" w:firstColumn="1" w:lastColumn="0" w:noHBand="0" w:noVBand="1"/>
      </w:tblPr>
      <w:tblGrid>
        <w:gridCol w:w="1441"/>
        <w:gridCol w:w="1522"/>
        <w:gridCol w:w="2864"/>
        <w:gridCol w:w="3055"/>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8882"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HeaderText"/>
              <w:spacing w:before="0" w:after="0"/>
            </w:pPr>
            <w:r>
              <w:t>triangle</w:t>
            </w:r>
          </w:p>
        </w:tc>
      </w:tr>
      <w:tr w:rsidR="005F78FC" w:rsidTr="005F78FC">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 </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small</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medium</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large</w:t>
            </w:r>
          </w:p>
        </w:tc>
      </w:tr>
      <w:tr w:rsidR="005F78FC" w:rsidTr="005F78FC">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capWidth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2.0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3.0</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5.0</w:t>
            </w:r>
          </w:p>
        </w:tc>
      </w:tr>
      <w:tr w:rsidR="005F78FC" w:rsidTr="005F78FC">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capLength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2.0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3.0</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5.0</w:t>
            </w:r>
          </w:p>
        </w:tc>
      </w:tr>
      <w:tr w:rsidR="005F78FC" w:rsidTr="005F78FC">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radiusScale</w:t>
            </w:r>
          </w:p>
        </w:tc>
        <w:tc>
          <w:tcPr>
            <w:tcW w:w="744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sqrt( ( capWidth / 2.0 )^2 + capHeight^2 ) * 1.8</w:t>
            </w:r>
          </w:p>
        </w:tc>
      </w:tr>
    </w:tbl>
    <w:p w:rsidR="005F78FC" w:rsidRDefault="00B42EF3">
      <w:pPr>
        <w:spacing w:before="0" w:after="160"/>
      </w:pPr>
      <w:r>
        <w:t> </w:t>
      </w:r>
    </w:p>
    <w:tbl>
      <w:tblPr>
        <w:tblStyle w:val="Table-ShadedHeader"/>
        <w:tblW w:w="0" w:type="auto"/>
        <w:tblLook w:val="04A0" w:firstRow="1" w:lastRow="0" w:firstColumn="1" w:lastColumn="0" w:noHBand="0" w:noVBand="1"/>
      </w:tblPr>
      <w:tblGrid>
        <w:gridCol w:w="1441"/>
        <w:gridCol w:w="1522"/>
        <w:gridCol w:w="2864"/>
        <w:gridCol w:w="3055"/>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8882"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HeaderText"/>
              <w:spacing w:before="0" w:after="0"/>
            </w:pPr>
            <w:r>
              <w:lastRenderedPageBreak/>
              <w:t>stealth</w:t>
            </w:r>
          </w:p>
        </w:tc>
      </w:tr>
      <w:tr w:rsidR="005F78FC" w:rsidTr="005F78FC">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 </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small</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medium</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large</w:t>
            </w:r>
          </w:p>
        </w:tc>
      </w:tr>
      <w:tr w:rsidR="005F78FC" w:rsidTr="005F78FC">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capWidth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1.0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1.5</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2.5</w:t>
            </w:r>
          </w:p>
        </w:tc>
      </w:tr>
      <w:tr w:rsidR="005F78FC" w:rsidTr="005F78FC">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capLength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2.0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3.0</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5.0</w:t>
            </w:r>
          </w:p>
        </w:tc>
      </w:tr>
      <w:tr w:rsidR="005F78FC" w:rsidTr="005F78FC">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radiusScale</w:t>
            </w:r>
          </w:p>
        </w:tc>
        <w:tc>
          <w:tcPr>
            <w:tcW w:w="744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sqrt( capWidth^2 + capHeight^2 ) * 1.8</w:t>
            </w:r>
          </w:p>
        </w:tc>
      </w:tr>
    </w:tbl>
    <w:p w:rsidR="005F78FC" w:rsidRDefault="00B42EF3">
      <w:pPr>
        <w:spacing w:before="0" w:after="160"/>
      </w:pPr>
      <w:r>
        <w:t> </w:t>
      </w:r>
    </w:p>
    <w:tbl>
      <w:tblPr>
        <w:tblStyle w:val="Table-ShadedHeader"/>
        <w:tblW w:w="0" w:type="auto"/>
        <w:tblLook w:val="04A0" w:firstRow="1" w:lastRow="0" w:firstColumn="1" w:lastColumn="0" w:noHBand="0" w:noVBand="1"/>
      </w:tblPr>
      <w:tblGrid>
        <w:gridCol w:w="1441"/>
        <w:gridCol w:w="1522"/>
        <w:gridCol w:w="2864"/>
        <w:gridCol w:w="3055"/>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8882"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HeaderText"/>
              <w:spacing w:before="0" w:after="0"/>
            </w:pPr>
            <w:r>
              <w:t>diamond</w:t>
            </w:r>
          </w:p>
        </w:tc>
      </w:tr>
      <w:tr w:rsidR="005F78FC" w:rsidTr="005F78FC">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 </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small</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medium</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large</w:t>
            </w:r>
          </w:p>
        </w:tc>
      </w:tr>
      <w:tr w:rsidR="005F78FC" w:rsidTr="005F78FC">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capWidth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1.0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1.5</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2.5</w:t>
            </w:r>
          </w:p>
        </w:tc>
      </w:tr>
      <w:tr w:rsidR="005F78FC" w:rsidTr="005F78FC">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capLength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1.0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1.5</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2.5</w:t>
            </w:r>
          </w:p>
        </w:tc>
      </w:tr>
      <w:tr w:rsidR="005F78FC" w:rsidTr="005F78FC">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radiusScale</w:t>
            </w:r>
          </w:p>
        </w:tc>
        <w:tc>
          <w:tcPr>
            <w:tcW w:w="744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max( capWidth, capHeight ) * 2.0</w:t>
            </w:r>
          </w:p>
        </w:tc>
      </w:tr>
    </w:tbl>
    <w:p w:rsidR="005F78FC" w:rsidRDefault="00B42EF3">
      <w:pPr>
        <w:spacing w:before="0" w:after="160"/>
      </w:pPr>
      <w:r>
        <w:t> </w:t>
      </w:r>
    </w:p>
    <w:tbl>
      <w:tblPr>
        <w:tblStyle w:val="Table-ShadedHeader"/>
        <w:tblW w:w="0" w:type="auto"/>
        <w:tblLook w:val="04A0" w:firstRow="1" w:lastRow="0" w:firstColumn="1" w:lastColumn="0" w:noHBand="0" w:noVBand="1"/>
      </w:tblPr>
      <w:tblGrid>
        <w:gridCol w:w="1441"/>
        <w:gridCol w:w="1522"/>
        <w:gridCol w:w="2864"/>
        <w:gridCol w:w="3055"/>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8882"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HeaderText"/>
              <w:spacing w:before="0" w:after="0"/>
            </w:pPr>
            <w:r>
              <w:t>oval</w:t>
            </w:r>
          </w:p>
        </w:tc>
      </w:tr>
      <w:tr w:rsidR="005F78FC" w:rsidTr="005F78FC">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 </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small</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medium</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large</w:t>
            </w:r>
          </w:p>
        </w:tc>
      </w:tr>
      <w:tr w:rsidR="005F78FC" w:rsidTr="005F78FC">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capWidth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2.0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3.0</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5.0</w:t>
            </w:r>
          </w:p>
        </w:tc>
      </w:tr>
      <w:tr w:rsidR="005F78FC" w:rsidTr="005F78FC">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capLength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2.0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3.0</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5.0</w:t>
            </w:r>
          </w:p>
        </w:tc>
      </w:tr>
      <w:tr w:rsidR="005F78FC" w:rsidTr="005F78FC">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radiusScale</w:t>
            </w:r>
          </w:p>
        </w:tc>
        <w:tc>
          <w:tcPr>
            <w:tcW w:w="744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max( capWidth, capHeight )</w:t>
            </w:r>
          </w:p>
        </w:tc>
      </w:tr>
    </w:tbl>
    <w:p w:rsidR="005F78FC" w:rsidRDefault="00B42EF3">
      <w:pPr>
        <w:spacing w:before="0" w:after="160"/>
      </w:pPr>
      <w:r>
        <w:t> </w:t>
      </w:r>
    </w:p>
    <w:tbl>
      <w:tblPr>
        <w:tblStyle w:val="Table-ShadedHeader"/>
        <w:tblW w:w="0" w:type="auto"/>
        <w:tblLook w:val="04A0" w:firstRow="1" w:lastRow="0" w:firstColumn="1" w:lastColumn="0" w:noHBand="0" w:noVBand="1"/>
      </w:tblPr>
      <w:tblGrid>
        <w:gridCol w:w="1441"/>
        <w:gridCol w:w="2136"/>
        <w:gridCol w:w="2070"/>
        <w:gridCol w:w="3235"/>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8882"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HeaderText"/>
              <w:spacing w:before="0" w:after="0"/>
            </w:pPr>
            <w:r>
              <w:t>arrow</w:t>
            </w:r>
          </w:p>
        </w:tc>
      </w:tr>
      <w:tr w:rsidR="005F78FC" w:rsidTr="005F78FC">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 </w:t>
            </w:r>
          </w:p>
        </w:tc>
        <w:tc>
          <w:tcPr>
            <w:tcW w:w="2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small</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medium</w:t>
            </w:r>
          </w:p>
        </w:tc>
        <w:tc>
          <w:tcPr>
            <w:tcW w:w="32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large</w:t>
            </w:r>
          </w:p>
        </w:tc>
      </w:tr>
      <w:tr w:rsidR="005F78FC" w:rsidTr="005F78FC">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capWidth</w:t>
            </w:r>
          </w:p>
        </w:tc>
        <w:tc>
          <w:tcPr>
            <w:tcW w:w="2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2.5</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3.5</w:t>
            </w:r>
          </w:p>
        </w:tc>
        <w:tc>
          <w:tcPr>
            <w:tcW w:w="32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5.0</w:t>
            </w:r>
          </w:p>
        </w:tc>
      </w:tr>
      <w:tr w:rsidR="005F78FC" w:rsidTr="005F78FC">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capLength</w:t>
            </w:r>
          </w:p>
        </w:tc>
        <w:tc>
          <w:tcPr>
            <w:tcW w:w="2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2.0</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3.0</w:t>
            </w:r>
          </w:p>
        </w:tc>
        <w:tc>
          <w:tcPr>
            <w:tcW w:w="32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4.5</w:t>
            </w:r>
          </w:p>
        </w:tc>
      </w:tr>
      <w:tr w:rsidR="005F78FC" w:rsidTr="005F78FC">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capInset </w:t>
            </w:r>
            <w:r>
              <w:rPr>
                <w:b/>
              </w:rPr>
              <w:t>*</w:t>
            </w:r>
          </w:p>
        </w:tc>
        <w:tc>
          <w:tcPr>
            <w:tcW w:w="2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[ 0.94f, 1.30f, 1.87f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[ 0.76f, 0.99f, 1.38f ]</w:t>
            </w:r>
          </w:p>
        </w:tc>
        <w:tc>
          <w:tcPr>
            <w:tcW w:w="32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[ 0.64f, 0.78f, 1.03f ]</w:t>
            </w:r>
          </w:p>
        </w:tc>
      </w:tr>
      <w:tr w:rsidR="005F78FC" w:rsidTr="005F78FC">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radiusScale</w:t>
            </w:r>
          </w:p>
        </w:tc>
        <w:tc>
          <w:tcPr>
            <w:tcW w:w="744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sqrt( ( capWidth / 2 )^2 + ( capHeight + capInset )^2 ) + 4.6 * capInset</w:t>
            </w:r>
          </w:p>
        </w:tc>
      </w:tr>
    </w:tbl>
    <w:p w:rsidR="005F78FC" w:rsidRDefault="00B42EF3">
      <w:pPr>
        <w:spacing w:before="0" w:after="160"/>
      </w:pPr>
      <w:r>
        <w:t> </w:t>
      </w:r>
    </w:p>
    <w:tbl>
      <w:tblPr>
        <w:tblStyle w:val="Table-ShadedHeader"/>
        <w:tblW w:w="0" w:type="auto"/>
        <w:tblLook w:val="04A0" w:firstRow="1" w:lastRow="0" w:firstColumn="1" w:lastColumn="0" w:noHBand="0" w:noVBand="1"/>
      </w:tblPr>
      <w:tblGrid>
        <w:gridCol w:w="1402"/>
        <w:gridCol w:w="1870"/>
        <w:gridCol w:w="1870"/>
        <w:gridCol w:w="1870"/>
        <w:gridCol w:w="1870"/>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8882" w:type="dxa"/>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HeaderText"/>
              <w:spacing w:before="0" w:after="0"/>
            </w:pPr>
            <w:r>
              <w:t>*</w:t>
            </w:r>
          </w:p>
        </w:tc>
      </w:tr>
      <w:tr w:rsidR="005F78FC" w:rsidTr="005F78FC">
        <w:tc>
          <w:tcPr>
            <w:tcW w:w="14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 </w:t>
            </w:r>
          </w:p>
        </w:tc>
        <w:tc>
          <w:tcPr>
            <w:tcW w:w="7480"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jc w:val="center"/>
            </w:pPr>
            <w:r>
              <w:rPr>
                <w:b/>
              </w:rPr>
              <w:t>Width</w:t>
            </w:r>
          </w:p>
        </w:tc>
      </w:tr>
      <w:tr w:rsidR="005F78FC" w:rsidTr="005F78FC">
        <w:tc>
          <w:tcPr>
            <w:tcW w:w="140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rPr>
                <w:b/>
              </w:rPr>
              <w:t>Height</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 </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rPr>
                <w:b/>
              </w:rPr>
              <w:t>Small</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rPr>
                <w:b/>
              </w:rPr>
              <w:t>Medium</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rPr>
                <w:b/>
              </w:rPr>
              <w:t>Large</w:t>
            </w:r>
          </w:p>
        </w:tc>
      </w:tr>
      <w:tr w:rsidR="005F78FC" w:rsidTr="005F78FC">
        <w:tc>
          <w:tcPr>
            <w:tcW w:w="1402" w:type="dxa"/>
            <w:vMerge/>
            <w:tcBorders>
              <w:top w:val="nil"/>
              <w:left w:val="single" w:sz="8" w:space="0" w:color="auto"/>
              <w:bottom w:val="single" w:sz="8" w:space="0" w:color="auto"/>
              <w:right w:val="single" w:sz="8" w:space="0" w:color="auto"/>
            </w:tcBorders>
            <w:vAlign w:val="center"/>
            <w:hideMark/>
          </w:tcPr>
          <w:p w:rsidR="005F78FC" w:rsidRDefault="005F78FC">
            <w:pPr>
              <w:pStyle w:val="TableBodyText"/>
              <w:spacing w:before="0" w:after="0"/>
            </w:pP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rPr>
                <w:b/>
              </w:rPr>
              <w:t>Small</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0.94</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0.76</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0.64</w:t>
            </w:r>
          </w:p>
        </w:tc>
      </w:tr>
      <w:tr w:rsidR="005F78FC" w:rsidTr="005F78FC">
        <w:tc>
          <w:tcPr>
            <w:tcW w:w="1402" w:type="dxa"/>
            <w:vMerge/>
            <w:tcBorders>
              <w:top w:val="nil"/>
              <w:left w:val="single" w:sz="8" w:space="0" w:color="auto"/>
              <w:bottom w:val="single" w:sz="8" w:space="0" w:color="auto"/>
              <w:right w:val="single" w:sz="8" w:space="0" w:color="auto"/>
            </w:tcBorders>
            <w:vAlign w:val="center"/>
            <w:hideMark/>
          </w:tcPr>
          <w:p w:rsidR="005F78FC" w:rsidRDefault="005F78FC">
            <w:pPr>
              <w:pStyle w:val="TableBodyText"/>
              <w:spacing w:before="0" w:after="0"/>
            </w:pP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rPr>
                <w:b/>
              </w:rPr>
              <w:t>Medium</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1.30</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0.99</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0.78</w:t>
            </w:r>
          </w:p>
        </w:tc>
      </w:tr>
      <w:tr w:rsidR="005F78FC" w:rsidTr="005F78FC">
        <w:tc>
          <w:tcPr>
            <w:tcW w:w="1402" w:type="dxa"/>
            <w:vMerge/>
            <w:tcBorders>
              <w:top w:val="nil"/>
              <w:left w:val="single" w:sz="8" w:space="0" w:color="auto"/>
              <w:bottom w:val="single" w:sz="8" w:space="0" w:color="auto"/>
              <w:right w:val="single" w:sz="8" w:space="0" w:color="auto"/>
            </w:tcBorders>
            <w:vAlign w:val="center"/>
            <w:hideMark/>
          </w:tcPr>
          <w:p w:rsidR="005F78FC" w:rsidRDefault="005F78FC">
            <w:pPr>
              <w:pStyle w:val="TableBodyText"/>
              <w:spacing w:before="0" w:after="0"/>
            </w:pP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rPr>
                <w:b/>
              </w:rPr>
              <w:t>Large</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1.87</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1.38</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78FC" w:rsidRDefault="00B42EF3">
            <w:pPr>
              <w:pStyle w:val="TableBodyText"/>
              <w:spacing w:before="0" w:after="0"/>
            </w:pPr>
            <w:r>
              <w:t>1.03</w:t>
            </w:r>
          </w:p>
        </w:tc>
      </w:tr>
    </w:tbl>
    <w:p w:rsidR="005F78FC" w:rsidRDefault="00B42EF3">
      <w:pPr>
        <w:spacing w:before="0" w:after="160"/>
      </w:pPr>
      <w:r>
        <w:t> </w:t>
      </w:r>
    </w:p>
    <w:p w:rsidR="005F78FC" w:rsidRDefault="00B42EF3">
      <w:pPr>
        <w:pStyle w:val="Heading3"/>
      </w:pPr>
      <w:bookmarkStart w:id="2614" w:name="section_a3122f27c66143ce90b49d9ab7459565"/>
      <w:bookmarkStart w:id="2615" w:name="_Toc69879080"/>
      <w:r>
        <w:t>Part 1 Section 20.1.8.35, grpFill (Group Fill)</w:t>
      </w:r>
      <w:bookmarkEnd w:id="2614"/>
      <w:bookmarkEnd w:id="2615"/>
      <w:r>
        <w:fldChar w:fldCharType="begin"/>
      </w:r>
      <w:r>
        <w:instrText xml:space="preserve"> XE "grpFill (Group Fill)" </w:instrText>
      </w:r>
      <w:r>
        <w:fldChar w:fldCharType="end"/>
      </w:r>
    </w:p>
    <w:p w:rsidR="005F78FC" w:rsidRDefault="00B42EF3">
      <w:pPr>
        <w:pStyle w:val="Definition-Field"/>
      </w:pPr>
      <w:r>
        <w:t xml:space="preserve">a.   </w:t>
      </w:r>
      <w:r>
        <w:rPr>
          <w:i/>
        </w:rPr>
        <w:t>The standard states the grpFill works in all context.</w:t>
      </w:r>
    </w:p>
    <w:p w:rsidR="005F78FC" w:rsidRDefault="00B42EF3">
      <w:pPr>
        <w:pStyle w:val="Definition-Field2"/>
      </w:pPr>
      <w:r>
        <w:t>Office treats the grpFill element as noFill ("</w:t>
      </w:r>
      <w:hyperlink r:id="rId184">
        <w:r>
          <w:rPr>
            <w:rStyle w:val="Hyperlink"/>
          </w:rPr>
          <w:t>[ISO/IEC-29500-1]</w:t>
        </w:r>
      </w:hyperlink>
      <w:r>
        <w:t xml:space="preserve"> §20.1.8.44; noFill") when grpFill appears in a text context (that is as a descendant of defRPr ("[ISO/IEC-29500-1] §21.1.2.3.2; defRPr"), endParaRPr ("[ISO/IEC-29500-1] §21.1</w:t>
      </w:r>
      <w:r>
        <w:t>.2.2.3; endParaRPr"), or rPr ("[ISO/IEC-29500-1] §21.1.2.3.9; rPr").</w:t>
      </w:r>
    </w:p>
    <w:p w:rsidR="005F78FC" w:rsidRDefault="00B42EF3">
      <w:pPr>
        <w:pStyle w:val="Heading3"/>
      </w:pPr>
      <w:bookmarkStart w:id="2616" w:name="section_d5976d9d9727403c8c483560f8a6f016"/>
      <w:bookmarkStart w:id="2617" w:name="_Toc69879081"/>
      <w:r>
        <w:t>Part 1 Section 20.1.8.39, hsl (Hue Saturation Luminance Effect)</w:t>
      </w:r>
      <w:bookmarkEnd w:id="2616"/>
      <w:bookmarkEnd w:id="2617"/>
      <w:r>
        <w:fldChar w:fldCharType="begin"/>
      </w:r>
      <w:r>
        <w:instrText xml:space="preserve"> XE "hsl (Hue Saturation Luminance Effect)" </w:instrText>
      </w:r>
      <w:r>
        <w:fldChar w:fldCharType="end"/>
      </w:r>
    </w:p>
    <w:p w:rsidR="005F78FC" w:rsidRDefault="00B42EF3">
      <w:pPr>
        <w:pStyle w:val="Definition-Field"/>
      </w:pPr>
      <w:r>
        <w:t xml:space="preserve">a.   </w:t>
      </w:r>
      <w:r>
        <w:rPr>
          <w:i/>
        </w:rPr>
        <w:t>The standard states that the hue, saturation, and luminance may be adjus</w:t>
      </w:r>
      <w:r>
        <w:rPr>
          <w:i/>
        </w:rPr>
        <w:t>ted relative to its current value.</w:t>
      </w:r>
    </w:p>
    <w:p w:rsidR="005F78FC" w:rsidRDefault="00B42EF3">
      <w:pPr>
        <w:pStyle w:val="Definition-Field2"/>
      </w:pPr>
      <w:r>
        <w:t>In Office the hsl element adjusts the value of the hue, saturation, and luminance attributes by specified amounts.</w:t>
      </w:r>
    </w:p>
    <w:p w:rsidR="005F78FC" w:rsidRDefault="00B42EF3">
      <w:pPr>
        <w:pStyle w:val="Definition-Field"/>
      </w:pPr>
      <w:r>
        <w:t xml:space="preserve">b.   </w:t>
      </w:r>
      <w:r>
        <w:rPr>
          <w:i/>
        </w:rPr>
        <w:t>The standard states that hue, lum and sat are adjusted by the given percentage.</w:t>
      </w:r>
    </w:p>
    <w:p w:rsidR="005F78FC" w:rsidRDefault="00B42EF3">
      <w:pPr>
        <w:pStyle w:val="Definition-Field2"/>
      </w:pPr>
      <w:r>
        <w:t>Office modulates hue,</w:t>
      </w:r>
      <w:r>
        <w:t xml:space="preserve"> lum and sat by the given percentage.</w:t>
      </w:r>
    </w:p>
    <w:p w:rsidR="005F78FC" w:rsidRDefault="00B42EF3">
      <w:pPr>
        <w:pStyle w:val="Heading3"/>
      </w:pPr>
      <w:bookmarkStart w:id="2618" w:name="section_40e26c9bb6f64409b138d7f40b112d15"/>
      <w:bookmarkStart w:id="2619" w:name="_Toc69879082"/>
      <w:r>
        <w:lastRenderedPageBreak/>
        <w:t>Part 1 Section 20.1.8.40, innerShdw (Inner Shadow Effect)</w:t>
      </w:r>
      <w:bookmarkEnd w:id="2618"/>
      <w:bookmarkEnd w:id="2619"/>
      <w:r>
        <w:fldChar w:fldCharType="begin"/>
      </w:r>
      <w:r>
        <w:instrText xml:space="preserve"> XE "innerShdw (Inner Shadow Effect)" </w:instrText>
      </w:r>
      <w:r>
        <w:fldChar w:fldCharType="end"/>
      </w:r>
    </w:p>
    <w:p w:rsidR="005F78FC" w:rsidRDefault="00B42EF3">
      <w:pPr>
        <w:pStyle w:val="Definition-Field"/>
      </w:pPr>
      <w:r>
        <w:t xml:space="preserve">a.   </w:t>
      </w:r>
      <w:r>
        <w:rPr>
          <w:i/>
        </w:rPr>
        <w:t>The standard does not specify the frame of reference for the offset angle defined in the dir attribute.</w:t>
      </w:r>
    </w:p>
    <w:p w:rsidR="005F78FC" w:rsidRDefault="00B42EF3">
      <w:pPr>
        <w:pStyle w:val="Definition-Field2"/>
      </w:pPr>
      <w:r>
        <w:t xml:space="preserve">In Office, </w:t>
      </w:r>
      <w:r>
        <w:t>the angle defined in the dir attribute is measured clockwise from the left.</w:t>
      </w:r>
    </w:p>
    <w:p w:rsidR="005F78FC" w:rsidRDefault="00B42EF3">
      <w:pPr>
        <w:pStyle w:val="Heading3"/>
      </w:pPr>
      <w:bookmarkStart w:id="2620" w:name="section_52c3867f20ad47b1b0c988082bf94676"/>
      <w:bookmarkStart w:id="2621" w:name="_Toc69879083"/>
      <w:r>
        <w:t>Part 1 Section 20.1.8.42, lum (Luminance Effect)</w:t>
      </w:r>
      <w:bookmarkEnd w:id="2620"/>
      <w:bookmarkEnd w:id="2621"/>
      <w:r>
        <w:fldChar w:fldCharType="begin"/>
      </w:r>
      <w:r>
        <w:instrText xml:space="preserve"> XE "lum (Luminance Effect)" </w:instrText>
      </w:r>
      <w:r>
        <w:fldChar w:fldCharType="end"/>
      </w:r>
    </w:p>
    <w:p w:rsidR="005F78FC" w:rsidRDefault="00B42EF3">
      <w:pPr>
        <w:pStyle w:val="Definition-Field"/>
      </w:pPr>
      <w:r>
        <w:t xml:space="preserve">a.   </w:t>
      </w:r>
      <w:r>
        <w:rPr>
          <w:i/>
        </w:rPr>
        <w:t xml:space="preserve">The standard states that brightness linearly shifts all colors closer to white or black and </w:t>
      </w:r>
      <w:r>
        <w:rPr>
          <w:i/>
        </w:rPr>
        <w:t>contrast scales all colors to be either closer or further apart.</w:t>
      </w:r>
    </w:p>
    <w:p w:rsidR="005F78FC" w:rsidRDefault="00B42EF3">
      <w:pPr>
        <w:pStyle w:val="Definition-Field2"/>
      </w:pPr>
      <w:r>
        <w:t xml:space="preserve">In Office, brightness linearly shifts all colors closer to white (positive brightness), or black (negative brightness) and contrast scales all colors to be further apart (positive contrast), </w:t>
      </w:r>
      <w:r>
        <w:t>or closer together (negative contrast).</w:t>
      </w:r>
    </w:p>
    <w:p w:rsidR="005F78FC" w:rsidRDefault="00B42EF3">
      <w:pPr>
        <w:pStyle w:val="Heading3"/>
      </w:pPr>
      <w:bookmarkStart w:id="2622" w:name="section_7bd817fb79cf4789b7334a29f032f5b7"/>
      <w:bookmarkStart w:id="2623" w:name="_Toc69879084"/>
      <w:r>
        <w:t>Part 1 Section 20.1.8.43, miter (Miter Line Join)</w:t>
      </w:r>
      <w:bookmarkEnd w:id="2622"/>
      <w:bookmarkEnd w:id="2623"/>
      <w:r>
        <w:fldChar w:fldCharType="begin"/>
      </w:r>
      <w:r>
        <w:instrText xml:space="preserve"> XE "miter (Miter Line Join)" </w:instrText>
      </w:r>
      <w:r>
        <w:fldChar w:fldCharType="end"/>
      </w:r>
    </w:p>
    <w:p w:rsidR="005F78FC" w:rsidRDefault="00B42EF3">
      <w:pPr>
        <w:pStyle w:val="Definition-Field"/>
      </w:pPr>
      <w:r>
        <w:t xml:space="preserve">a.   </w:t>
      </w:r>
      <w:r>
        <w:rPr>
          <w:i/>
        </w:rPr>
        <w:t>The standard suggests that without the lim attribute, line join can extend infinitely.</w:t>
      </w:r>
    </w:p>
    <w:p w:rsidR="005F78FC" w:rsidRDefault="00B42EF3">
      <w:pPr>
        <w:pStyle w:val="Definition-Field2"/>
      </w:pPr>
      <w:r>
        <w:t>In Office, the limit that lines will exten</w:t>
      </w:r>
      <w:r>
        <w:t>d to form a miter join is the maximum distance between the inner and outer corners expressed as a percentage of line width.</w:t>
      </w:r>
    </w:p>
    <w:p w:rsidR="005F78FC" w:rsidRDefault="00B42EF3">
      <w:pPr>
        <w:pStyle w:val="Heading3"/>
      </w:pPr>
      <w:bookmarkStart w:id="2624" w:name="section_a3d8cb72c704433b8d5adefc6f0700be"/>
      <w:bookmarkStart w:id="2625" w:name="_Toc69879085"/>
      <w:r>
        <w:t>Part 1 Section 20.1.8.45, outerShdw (Outer Shadow Effect)</w:t>
      </w:r>
      <w:bookmarkEnd w:id="2624"/>
      <w:bookmarkEnd w:id="2625"/>
      <w:r>
        <w:fldChar w:fldCharType="begin"/>
      </w:r>
      <w:r>
        <w:instrText xml:space="preserve"> XE "outerShdw (Outer Shadow Effect)" </w:instrText>
      </w:r>
      <w:r>
        <w:fldChar w:fldCharType="end"/>
      </w:r>
    </w:p>
    <w:p w:rsidR="005F78FC" w:rsidRDefault="00B42EF3">
      <w:pPr>
        <w:pStyle w:val="Definition-Field"/>
      </w:pPr>
      <w:r>
        <w:t xml:space="preserve">a.   </w:t>
      </w:r>
      <w:r>
        <w:rPr>
          <w:i/>
        </w:rPr>
        <w:t>The standard does not state t</w:t>
      </w:r>
      <w:r>
        <w:rPr>
          <w:i/>
        </w:rPr>
        <w:t>hat the behavior of the sx and sy attributes depends on the parent container of the effectLst element that contains the outerShdw element.</w:t>
      </w:r>
    </w:p>
    <w:p w:rsidR="005F78FC" w:rsidRDefault="00B42EF3">
      <w:pPr>
        <w:pStyle w:val="Definition-Field2"/>
      </w:pPr>
      <w:r>
        <w:t>If the parent element of the effectLst element that contains the outerShdw is an spPr element, the shadow will only b</w:t>
      </w:r>
      <w:r>
        <w:t>e rendered if the sx and sy attribute values are 100%. To use any other value, the effectLst must be contained within a grpSpPr element.</w:t>
      </w:r>
    </w:p>
    <w:p w:rsidR="005F78FC" w:rsidRDefault="00B42EF3">
      <w:pPr>
        <w:pStyle w:val="Heading3"/>
      </w:pPr>
      <w:bookmarkStart w:id="2626" w:name="section_aa27ed208fbb4d95b9c53427cabd38e0"/>
      <w:bookmarkStart w:id="2627" w:name="_Toc69879086"/>
      <w:r>
        <w:t>Part 1 Section 20.1.8.50, reflection (Reflection Effect)</w:t>
      </w:r>
      <w:bookmarkEnd w:id="2626"/>
      <w:bookmarkEnd w:id="2627"/>
      <w:r>
        <w:fldChar w:fldCharType="begin"/>
      </w:r>
      <w:r>
        <w:instrText xml:space="preserve"> XE "reflection (Reflection Effect)" </w:instrText>
      </w:r>
      <w:r>
        <w:fldChar w:fldCharType="end"/>
      </w:r>
    </w:p>
    <w:p w:rsidR="005F78FC" w:rsidRDefault="00B42EF3">
      <w:pPr>
        <w:pStyle w:val="Definition-Field"/>
      </w:pPr>
      <w:r>
        <w:t xml:space="preserve">a.   </w:t>
      </w:r>
      <w:r>
        <w:rPr>
          <w:i/>
        </w:rPr>
        <w:t>The standard state</w:t>
      </w:r>
      <w:r>
        <w:rPr>
          <w:i/>
        </w:rPr>
        <w:t>s that the algn and dist attributes describe shadow properties.</w:t>
      </w:r>
    </w:p>
    <w:p w:rsidR="005F78FC" w:rsidRDefault="00B42EF3">
      <w:pPr>
        <w:pStyle w:val="Definition-Field2"/>
      </w:pPr>
      <w:r>
        <w:t>In Office, the algn and dist attributes describe reflection properties.</w:t>
      </w:r>
    </w:p>
    <w:p w:rsidR="005F78FC" w:rsidRDefault="00B42EF3">
      <w:pPr>
        <w:pStyle w:val="Definition-Field"/>
      </w:pPr>
      <w:r>
        <w:t xml:space="preserve">b.   </w:t>
      </w:r>
      <w:r>
        <w:rPr>
          <w:i/>
        </w:rPr>
        <w:t xml:space="preserve">In the standard the attribute dir specifies the direction of the alpha gradient ramp relative to the shape itself, </w:t>
      </w:r>
      <w:r>
        <w:rPr>
          <w:i/>
        </w:rPr>
        <w:t>and the attribute fadeDir specifies the direction to offset the reflection.</w:t>
      </w:r>
    </w:p>
    <w:p w:rsidR="005F78FC" w:rsidRDefault="00B42EF3">
      <w:pPr>
        <w:pStyle w:val="Definition-Field2"/>
      </w:pPr>
      <w:r>
        <w:t>In Office, the attribute fadeDir specifies the direction of the alpha gradient ramp relative to the shape itself, and attribute dir specifies the direction to offset the reflection</w:t>
      </w:r>
      <w:r>
        <w:t>.</w:t>
      </w:r>
    </w:p>
    <w:p w:rsidR="005F78FC" w:rsidRDefault="00B42EF3">
      <w:pPr>
        <w:pStyle w:val="Heading3"/>
      </w:pPr>
      <w:bookmarkStart w:id="2628" w:name="section_562a55eece0a42b9a8ef9df10db1a07e"/>
      <w:bookmarkStart w:id="2629" w:name="_Toc69879087"/>
      <w:r>
        <w:t>Part 1 Section 20.1.8.52, round (Round Line Join)</w:t>
      </w:r>
      <w:bookmarkEnd w:id="2628"/>
      <w:bookmarkEnd w:id="2629"/>
      <w:r>
        <w:fldChar w:fldCharType="begin"/>
      </w:r>
      <w:r>
        <w:instrText xml:space="preserve"> XE "round (Round Line Join)" </w:instrText>
      </w:r>
      <w:r>
        <w:fldChar w:fldCharType="end"/>
      </w:r>
    </w:p>
    <w:p w:rsidR="005F78FC" w:rsidRDefault="00B42EF3">
      <w:pPr>
        <w:pStyle w:val="Definition-Field"/>
      </w:pPr>
      <w:r>
        <w:t xml:space="preserve">a.   </w:t>
      </w:r>
      <w:r>
        <w:rPr>
          <w:i/>
        </w:rPr>
        <w:t>The standard states that line joins will be round.</w:t>
      </w:r>
    </w:p>
    <w:p w:rsidR="005F78FC" w:rsidRDefault="00B42EF3">
      <w:r>
        <w:t>In Office, the following preset shapes ("</w:t>
      </w:r>
      <w:hyperlink r:id="rId185">
        <w:r>
          <w:rPr>
            <w:rStyle w:val="Hyperlink"/>
          </w:rPr>
          <w:t>[ISO/IEC-</w:t>
        </w:r>
        <w:r>
          <w:rPr>
            <w:rStyle w:val="Hyperlink"/>
          </w:rPr>
          <w:t>29500-1]</w:t>
        </w:r>
      </w:hyperlink>
      <w:r>
        <w:t xml:space="preserve"> §20.1.10.55; ST_ShapeType (Preset Shape Types)") will use a mitered line join ("[ISO/IEC-29500-1] §20.1.8.43; miter (Miter Line Join)") even if round is specified: </w:t>
      </w:r>
    </w:p>
    <w:p w:rsidR="005F78FC" w:rsidRDefault="00B42EF3">
      <w:r>
        <w:rPr>
          <w:b/>
        </w:rPr>
        <w:t xml:space="preserve">cube, moon, chevron, ellipseRibbon, ellipseRibbon2, plus, rightArrow, </w:t>
      </w:r>
      <w:r>
        <w:rPr>
          <w:b/>
        </w:rPr>
        <w:t>stripedRightArrow, notchedRightArrow, leftArrowCallout, leftRightArrowCallout, upDownArrowCallout, quadArrowCallout, star4, star5, star8, star10, star12, star16, star24, star32, upArrow, downArrow, upDownArrow, leftUpArrow, bentUpArrow, mathPlus, mathMinus</w:t>
      </w:r>
      <w:r>
        <w:rPr>
          <w:b/>
        </w:rPr>
        <w:t>, mathMultiply, mathEqual, mathNotEqual</w:t>
      </w:r>
    </w:p>
    <w:p w:rsidR="005F78FC" w:rsidRDefault="00B42EF3">
      <w:pPr>
        <w:pStyle w:val="Heading3"/>
      </w:pPr>
      <w:bookmarkStart w:id="2630" w:name="section_354bd69568784b22a0779ca05a74e0f0"/>
      <w:bookmarkStart w:id="2631" w:name="_Toc69879088"/>
      <w:r>
        <w:lastRenderedPageBreak/>
        <w:t>Part 1 Section 20.1.8.53, softEdge (Soft Edge Effect)</w:t>
      </w:r>
      <w:bookmarkEnd w:id="2630"/>
      <w:bookmarkEnd w:id="2631"/>
      <w:r>
        <w:fldChar w:fldCharType="begin"/>
      </w:r>
      <w:r>
        <w:instrText xml:space="preserve"> XE "softEdge (Soft Edge Effect)" </w:instrText>
      </w:r>
      <w:r>
        <w:fldChar w:fldCharType="end"/>
      </w:r>
    </w:p>
    <w:p w:rsidR="005F78FC" w:rsidRDefault="00B42EF3">
      <w:pPr>
        <w:pStyle w:val="Definition-Field"/>
      </w:pPr>
      <w:r>
        <w:t xml:space="preserve">a.   </w:t>
      </w:r>
      <w:r>
        <w:rPr>
          <w:i/>
        </w:rPr>
        <w:t>The standard states that the softEdge element specifies a soft edge effect where the edges of the shape are blurred while</w:t>
      </w:r>
      <w:r>
        <w:rPr>
          <w:i/>
        </w:rPr>
        <w:t xml:space="preserve"> the fill is not affected.</w:t>
      </w:r>
    </w:p>
    <w:p w:rsidR="005F78FC" w:rsidRDefault="00B42EF3">
      <w:pPr>
        <w:pStyle w:val="Definition-Field2"/>
      </w:pPr>
      <w:r>
        <w:t>In Office, this element specifies an inset radius for blur.  Only the area between the shape boundary and the inset specified by the rad attribute is affected.</w:t>
      </w:r>
    </w:p>
    <w:p w:rsidR="005F78FC" w:rsidRDefault="00B42EF3">
      <w:pPr>
        <w:pStyle w:val="Heading3"/>
      </w:pPr>
      <w:bookmarkStart w:id="2632" w:name="section_842903c3c1f045718bcf1b28677dea13"/>
      <w:bookmarkStart w:id="2633" w:name="_Toc69879089"/>
      <w:r>
        <w:t>Part 1 Section 20.1.8.55, srcRect (Source Rectangle)</w:t>
      </w:r>
      <w:bookmarkEnd w:id="2632"/>
      <w:bookmarkEnd w:id="2633"/>
      <w:r>
        <w:fldChar w:fldCharType="begin"/>
      </w:r>
      <w:r>
        <w:instrText xml:space="preserve"> XE "srcRect (Sou</w:instrText>
      </w:r>
      <w:r>
        <w:instrText xml:space="preserve">rce Rectangle)" </w:instrText>
      </w:r>
      <w:r>
        <w:fldChar w:fldCharType="end"/>
      </w:r>
    </w:p>
    <w:p w:rsidR="005F78FC" w:rsidRDefault="00B42EF3">
      <w:pPr>
        <w:pStyle w:val="Definition-Field"/>
      </w:pPr>
      <w:r>
        <w:t xml:space="preserve">a.   </w:t>
      </w:r>
      <w:r>
        <w:rPr>
          <w:i/>
        </w:rPr>
        <w:t>The standard states that a negative percentage specifies an outset.</w:t>
      </w:r>
    </w:p>
    <w:p w:rsidR="005F78FC" w:rsidRDefault="00B42EF3">
      <w:pPr>
        <w:pStyle w:val="Definition-Field2"/>
      </w:pPr>
      <w:r>
        <w:t>In Office, a negative offset specifies an outset only if the blip is not tiled.</w:t>
      </w:r>
    </w:p>
    <w:p w:rsidR="005F78FC" w:rsidRDefault="00B42EF3">
      <w:pPr>
        <w:pStyle w:val="Heading3"/>
      </w:pPr>
      <w:bookmarkStart w:id="2634" w:name="section_3a5d54a8863b4beb9f0c9fc72fdd0d05"/>
      <w:bookmarkStart w:id="2635" w:name="_Toc69879090"/>
      <w:r>
        <w:t>Part 1 Section 20.1.8.59, tileRect (Tile Rectangle)</w:t>
      </w:r>
      <w:bookmarkEnd w:id="2634"/>
      <w:bookmarkEnd w:id="2635"/>
      <w:r>
        <w:fldChar w:fldCharType="begin"/>
      </w:r>
      <w:r>
        <w:instrText xml:space="preserve"> XE "tileRect (Tile Rectangle)" </w:instrText>
      </w:r>
      <w:r>
        <w:fldChar w:fldCharType="end"/>
      </w:r>
    </w:p>
    <w:p w:rsidR="005F78FC" w:rsidRDefault="00B42EF3">
      <w:pPr>
        <w:pStyle w:val="Definition-Field"/>
      </w:pPr>
      <w:r>
        <w:t xml:space="preserve">a.   </w:t>
      </w:r>
      <w:r>
        <w:rPr>
          <w:i/>
        </w:rPr>
        <w:t>The standard states that the tileRect element applies to all gradient fills.</w:t>
      </w:r>
    </w:p>
    <w:p w:rsidR="005F78FC" w:rsidRDefault="00B42EF3">
      <w:pPr>
        <w:pStyle w:val="Definition-Field2"/>
      </w:pPr>
      <w:r>
        <w:t>In Office, if the gradient is used as a group fill, the tiling rectangle specified by this element is ignored.</w:t>
      </w:r>
    </w:p>
    <w:p w:rsidR="005F78FC" w:rsidRDefault="00B42EF3">
      <w:pPr>
        <w:pStyle w:val="Heading3"/>
      </w:pPr>
      <w:bookmarkStart w:id="2636" w:name="section_851cc3e8ab224f5e86d123b0b06d5edd"/>
      <w:bookmarkStart w:id="2637" w:name="_Toc69879091"/>
      <w:r>
        <w:t>Part 1 Section 20.1.9.11, gd (Shape Guide)</w:t>
      </w:r>
      <w:bookmarkEnd w:id="2636"/>
      <w:bookmarkEnd w:id="2637"/>
      <w:r>
        <w:fldChar w:fldCharType="begin"/>
      </w:r>
      <w:r>
        <w:instrText xml:space="preserve"> XE "gd (Shape Guid</w:instrText>
      </w:r>
      <w:r>
        <w:instrText xml:space="preserve">e)" </w:instrText>
      </w:r>
      <w:r>
        <w:fldChar w:fldCharType="end"/>
      </w:r>
    </w:p>
    <w:p w:rsidR="005F78FC" w:rsidRDefault="00B42EF3">
      <w:pPr>
        <w:pStyle w:val="Definition-Field"/>
      </w:pPr>
      <w:r>
        <w:t xml:space="preserve">a.   </w:t>
      </w:r>
      <w:r>
        <w:rPr>
          <w:i/>
        </w:rPr>
        <w:t>The standard uses incorrect terms and symbols to describe shape guide formula mod in the fmla attribute.</w:t>
      </w:r>
    </w:p>
    <w:p w:rsidR="005F78FC" w:rsidRDefault="00B42EF3">
      <w:pPr>
        <w:pStyle w:val="Definition-Field2"/>
      </w:pPr>
      <w:r>
        <w:t>In Office, mod x y z equals sqrt(x^2 + y^2 + z^2).</w:t>
      </w:r>
    </w:p>
    <w:p w:rsidR="005F78FC" w:rsidRDefault="00B42EF3">
      <w:pPr>
        <w:pStyle w:val="Definition-Field"/>
      </w:pPr>
      <w:r>
        <w:t xml:space="preserve">b.   </w:t>
      </w:r>
      <w:r>
        <w:rPr>
          <w:i/>
        </w:rPr>
        <w:t>The standard defines sqrt x = sqrt(x) in the fmla attribute.</w:t>
      </w:r>
    </w:p>
    <w:p w:rsidR="005F78FC" w:rsidRDefault="00B42EF3">
      <w:pPr>
        <w:pStyle w:val="Definition-Field2"/>
      </w:pPr>
      <w:r>
        <w:t>In Office, sqrt x = sq</w:t>
      </w:r>
      <w:r>
        <w:t>rt(abs(x)).</w:t>
      </w:r>
    </w:p>
    <w:p w:rsidR="005F78FC" w:rsidRDefault="00B42EF3">
      <w:pPr>
        <w:pStyle w:val="Definition-Field"/>
      </w:pPr>
      <w:r>
        <w:t xml:space="preserve">c.   </w:t>
      </w:r>
      <w:r>
        <w:rPr>
          <w:i/>
        </w:rPr>
        <w:t>The standard does not specify the unit of measurement implied when a trigonometric formula is used in the fmla attribute.</w:t>
      </w:r>
    </w:p>
    <w:p w:rsidR="005F78FC" w:rsidRDefault="00B42EF3">
      <w:pPr>
        <w:pStyle w:val="Definition-Field2"/>
      </w:pPr>
      <w:r>
        <w:t>In PowerPoint when a trigonometric formula is specified in the fmla attribute, the angle is measured in 60000ths of a</w:t>
      </w:r>
      <w:r>
        <w:t xml:space="preserve"> degree.</w:t>
      </w:r>
    </w:p>
    <w:p w:rsidR="005F78FC" w:rsidRDefault="00B42EF3">
      <w:pPr>
        <w:pStyle w:val="Definition-Field"/>
      </w:pPr>
      <w:r>
        <w:t xml:space="preserve">d.   </w:t>
      </w:r>
      <w:r>
        <w:rPr>
          <w:i/>
        </w:rPr>
        <w:t>The standard defines at2 x y = arctan(y/x) in the fmla attribute.</w:t>
      </w:r>
    </w:p>
    <w:p w:rsidR="005F78FC" w:rsidRDefault="00B42EF3">
      <w:pPr>
        <w:pStyle w:val="Definition-Field2"/>
      </w:pPr>
      <w:r>
        <w:t>In PowerPoint at2 x y is treated as atan2(y,x) in the fmla attribute.  When y == 0 and x == 0, Powerpoint returns 0.</w:t>
      </w:r>
    </w:p>
    <w:p w:rsidR="005F78FC" w:rsidRDefault="00B42EF3">
      <w:pPr>
        <w:pStyle w:val="Heading3"/>
      </w:pPr>
      <w:bookmarkStart w:id="2638" w:name="section_767f312ee0f5471cbbd8dc5181a9bda4"/>
      <w:bookmarkStart w:id="2639" w:name="_Toc69879092"/>
      <w:r>
        <w:t>Part 1 Section 20.1.9.15, path (Shape Path)</w:t>
      </w:r>
      <w:bookmarkEnd w:id="2638"/>
      <w:bookmarkEnd w:id="2639"/>
      <w:r>
        <w:fldChar w:fldCharType="begin"/>
      </w:r>
      <w:r>
        <w:instrText xml:space="preserve"> XE "path (Shape Path)" </w:instrText>
      </w:r>
      <w:r>
        <w:fldChar w:fldCharType="end"/>
      </w:r>
    </w:p>
    <w:p w:rsidR="005F78FC" w:rsidRDefault="00B42EF3">
      <w:pPr>
        <w:pStyle w:val="Definition-Field"/>
      </w:pPr>
      <w:r>
        <w:t xml:space="preserve">a.   </w:t>
      </w:r>
      <w:r>
        <w:rPr>
          <w:i/>
        </w:rPr>
        <w:t>The standard states that if the extrusionOk attribute is omitted then a value of 0, or false, is assumed.</w:t>
      </w:r>
    </w:p>
    <w:p w:rsidR="005F78FC" w:rsidRDefault="00B42EF3">
      <w:pPr>
        <w:pStyle w:val="Definition-Field2"/>
      </w:pPr>
      <w:r>
        <w:t>In Office and the schema, if the extrusionOk attribute is omitted then a value of true is assumed.</w:t>
      </w:r>
    </w:p>
    <w:p w:rsidR="005F78FC" w:rsidRDefault="00B42EF3">
      <w:pPr>
        <w:pStyle w:val="Heading3"/>
      </w:pPr>
      <w:bookmarkStart w:id="2640" w:name="section_779d2a7535884516aa765d3aed61ed27"/>
      <w:bookmarkStart w:id="2641" w:name="_Toc69879093"/>
      <w:r>
        <w:t>Part 1 Section 20.1</w:t>
      </w:r>
      <w:r>
        <w:t>.9.17, pos (Shape Position Coordinate)</w:t>
      </w:r>
      <w:bookmarkEnd w:id="2640"/>
      <w:bookmarkEnd w:id="2641"/>
      <w:r>
        <w:fldChar w:fldCharType="begin"/>
      </w:r>
      <w:r>
        <w:instrText xml:space="preserve"> XE "pos (Shape Position Coordinate)" </w:instrText>
      </w:r>
      <w:r>
        <w:fldChar w:fldCharType="end"/>
      </w:r>
    </w:p>
    <w:p w:rsidR="005F78FC" w:rsidRDefault="00B42EF3">
      <w:pPr>
        <w:pStyle w:val="Definition-Field"/>
      </w:pPr>
      <w:r>
        <w:t xml:space="preserve">a.   </w:t>
      </w:r>
      <w:r>
        <w:rPr>
          <w:i/>
        </w:rPr>
        <w:t>The standard defines x and y coordinates as path relative coordinates.</w:t>
      </w:r>
    </w:p>
    <w:p w:rsidR="005F78FC" w:rsidRDefault="00B42EF3">
      <w:pPr>
        <w:pStyle w:val="Definition-Field2"/>
      </w:pPr>
      <w:r>
        <w:t>Office defines x and y coordinates as absolute EMU coordinates.</w:t>
      </w:r>
    </w:p>
    <w:p w:rsidR="005F78FC" w:rsidRDefault="00B42EF3">
      <w:pPr>
        <w:pStyle w:val="Heading3"/>
      </w:pPr>
      <w:bookmarkStart w:id="2642" w:name="section_10ef747bd3a848b8873e665640b6415c"/>
      <w:bookmarkStart w:id="2643" w:name="_Toc69879094"/>
      <w:r>
        <w:lastRenderedPageBreak/>
        <w:t>Part 1 Section 20.1.9.20, pt (Shape P</w:t>
      </w:r>
      <w:r>
        <w:t>ath Point)</w:t>
      </w:r>
      <w:bookmarkEnd w:id="2642"/>
      <w:bookmarkEnd w:id="2643"/>
      <w:r>
        <w:fldChar w:fldCharType="begin"/>
      </w:r>
      <w:r>
        <w:instrText xml:space="preserve"> XE "pt (Shape Path Point)"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779d2a7535884516aa765d3aed61ed27">
        <w:r>
          <w:rPr>
            <w:rStyle w:val="Hyperlink"/>
          </w:rPr>
          <w:t>pos, §20.1.9.17(a)</w:t>
        </w:r>
      </w:hyperlink>
      <w:r>
        <w:rPr>
          <w:i/>
        </w:rPr>
        <w:t>.</w:t>
      </w:r>
    </w:p>
    <w:p w:rsidR="005F78FC" w:rsidRDefault="00B42EF3">
      <w:pPr>
        <w:pStyle w:val="Heading3"/>
      </w:pPr>
      <w:bookmarkStart w:id="2644" w:name="section_f0051832d96a4fb7a4b7b721e72abfe5"/>
      <w:bookmarkStart w:id="2645" w:name="_Toc69879095"/>
      <w:r>
        <w:t>Part 1 Section 20.1.10.12, ST_BlipCompress</w:t>
      </w:r>
      <w:r>
        <w:t>ion (Blip Compression Type)</w:t>
      </w:r>
      <w:bookmarkEnd w:id="2644"/>
      <w:bookmarkEnd w:id="2645"/>
      <w:r>
        <w:fldChar w:fldCharType="begin"/>
      </w:r>
      <w:r>
        <w:instrText xml:space="preserve"> XE "ST_BlipCompression (Blip Compression Type)" </w:instrText>
      </w:r>
      <w:r>
        <w:fldChar w:fldCharType="end"/>
      </w:r>
    </w:p>
    <w:p w:rsidR="005F78FC" w:rsidRDefault="00B42EF3">
      <w:pPr>
        <w:pStyle w:val="Definition-Field"/>
      </w:pPr>
      <w:r>
        <w:t xml:space="preserve">a.   </w:t>
      </w:r>
      <w:r>
        <w:rPr>
          <w:i/>
        </w:rPr>
        <w:t>The standard states that ST_BlipCompression includes a high quality printing compression type (hqprint).</w:t>
      </w:r>
    </w:p>
    <w:p w:rsidR="005F78FC" w:rsidRDefault="00B42EF3">
      <w:pPr>
        <w:pStyle w:val="Definition-Field2"/>
      </w:pPr>
      <w:r>
        <w:t xml:space="preserve">Office does not implement High Quality Printing Compression mode </w:t>
      </w:r>
      <w:r>
        <w:t>(hqprint).</w:t>
      </w:r>
    </w:p>
    <w:p w:rsidR="005F78FC" w:rsidRDefault="00B42EF3">
      <w:pPr>
        <w:pStyle w:val="Heading3"/>
      </w:pPr>
      <w:bookmarkStart w:id="2646" w:name="section_c88ee44d80a447869e0cf0a57bfbe3b2"/>
      <w:bookmarkStart w:id="2647" w:name="_Toc69879096"/>
      <w:r>
        <w:t>Part 1 Section 20.1.10.15, ST_CompoundLine (Compound Line Type)</w:t>
      </w:r>
      <w:bookmarkEnd w:id="2646"/>
      <w:bookmarkEnd w:id="2647"/>
      <w:r>
        <w:fldChar w:fldCharType="begin"/>
      </w:r>
      <w:r>
        <w:instrText xml:space="preserve"> XE "ST_CompoundLine (Compound Line Type)" </w:instrText>
      </w:r>
      <w:r>
        <w:fldChar w:fldCharType="end"/>
      </w:r>
    </w:p>
    <w:p w:rsidR="005F78FC" w:rsidRDefault="00B42EF3">
      <w:pPr>
        <w:pStyle w:val="Definition-Field"/>
      </w:pPr>
      <w:r>
        <w:t xml:space="preserve">a.   </w:t>
      </w:r>
      <w:r>
        <w:rPr>
          <w:i/>
        </w:rPr>
        <w:t>The standard implies that the ST_CompoundLine simple type is only applicable to text with lines.</w:t>
      </w:r>
    </w:p>
    <w:p w:rsidR="005F78FC" w:rsidRDefault="00B42EF3">
      <w:pPr>
        <w:pStyle w:val="Definition-Field2"/>
      </w:pPr>
      <w:r>
        <w:t xml:space="preserve">Office also uses this simple type </w:t>
      </w:r>
      <w:r>
        <w:t>for text outlines, text underlines and shape outlines.</w:t>
      </w:r>
    </w:p>
    <w:p w:rsidR="005F78FC" w:rsidRDefault="00B42EF3">
      <w:pPr>
        <w:pStyle w:val="Heading3"/>
      </w:pPr>
      <w:bookmarkStart w:id="2648" w:name="section_c35b446126a24788a41b0c99a6c691d8"/>
      <w:bookmarkStart w:id="2649" w:name="_Toc69879097"/>
      <w:r>
        <w:t>Part 1 Section 20.1.10.16, ST_Coordinate (Coordinate)</w:t>
      </w:r>
      <w:bookmarkEnd w:id="2648"/>
      <w:bookmarkEnd w:id="2649"/>
      <w:r>
        <w:fldChar w:fldCharType="begin"/>
      </w:r>
      <w:r>
        <w:instrText xml:space="preserve"> XE "ST_Coordinate (Coordinate)" </w:instrText>
      </w:r>
      <w:r>
        <w:fldChar w:fldCharType="end"/>
      </w:r>
    </w:p>
    <w:p w:rsidR="005F78FC" w:rsidRDefault="00B42EF3">
      <w:pPr>
        <w:pStyle w:val="Definition-Field"/>
      </w:pPr>
      <w:r>
        <w:t xml:space="preserve">a.   </w:t>
      </w:r>
      <w:r>
        <w:rPr>
          <w:i/>
        </w:rPr>
        <w:t xml:space="preserve">The standard states that the contents of the ST_Coordinate simple type can be at least -27273042329600 and </w:t>
      </w:r>
      <w:r>
        <w:rPr>
          <w:i/>
        </w:rPr>
        <w:t>at most 27273042316900.</w:t>
      </w:r>
    </w:p>
    <w:p w:rsidR="005F78FC" w:rsidRDefault="00B42EF3">
      <w:pPr>
        <w:pStyle w:val="Definition-Field2"/>
      </w:pPr>
      <w:r>
        <w:t>Word and PowerPoint restrict the contents of this simple type to be at least -2147483648 and at most 2147483647.</w:t>
      </w:r>
    </w:p>
    <w:p w:rsidR="005F78FC" w:rsidRDefault="00B42EF3">
      <w:pPr>
        <w:pStyle w:val="Definition-Field"/>
      </w:pPr>
      <w:r>
        <w:t xml:space="preserve">b.   </w:t>
      </w:r>
      <w:r>
        <w:rPr>
          <w:i/>
        </w:rPr>
        <w:t xml:space="preserve">The standard states that ST_Coordinate is read and written as either a length followed by a unit, or EMUs with no </w:t>
      </w:r>
      <w:r>
        <w:rPr>
          <w:i/>
        </w:rPr>
        <w:t>unit present.</w:t>
      </w:r>
    </w:p>
    <w:p w:rsidR="005F78FC" w:rsidRDefault="00B42EF3">
      <w:pPr>
        <w:pStyle w:val="Definition-Field2"/>
      </w:pPr>
      <w:r>
        <w:t>Office will read either a length followed by a unit or EMUs with no unit present, but will write only EMUs when no units are present.</w:t>
      </w:r>
    </w:p>
    <w:p w:rsidR="005F78FC" w:rsidRDefault="00B42EF3">
      <w:pPr>
        <w:pStyle w:val="Heading3"/>
      </w:pPr>
      <w:bookmarkStart w:id="2650" w:name="section_d79b2e5047154cb09e8cbfe7d87d113d"/>
      <w:bookmarkStart w:id="2651" w:name="_Toc69879098"/>
      <w:r>
        <w:t>Part 1 Section 20.1.10.17, ST_Coordinate32 (Coordinate Point)</w:t>
      </w:r>
      <w:bookmarkEnd w:id="2650"/>
      <w:bookmarkEnd w:id="2651"/>
      <w:r>
        <w:fldChar w:fldCharType="begin"/>
      </w:r>
      <w:r>
        <w:instrText xml:space="preserve"> XE "ST_Coordinate32 (Coordinate Point)" </w:instrText>
      </w:r>
      <w:r>
        <w:fldChar w:fldCharType="end"/>
      </w:r>
    </w:p>
    <w:p w:rsidR="005F78FC" w:rsidRDefault="00B42EF3">
      <w:pPr>
        <w:pStyle w:val="Definition-Field"/>
      </w:pPr>
      <w:r>
        <w:t xml:space="preserve">a. </w:t>
      </w:r>
      <w:r>
        <w:t xml:space="preserve">  </w:t>
      </w:r>
      <w:r>
        <w:rPr>
          <w:i/>
        </w:rPr>
        <w:t>The standard states that ST_Coordinate32 is read and written as either a length followed by a unit, or EMUs with no unit present.</w:t>
      </w:r>
    </w:p>
    <w:p w:rsidR="005F78FC" w:rsidRDefault="00B42EF3">
      <w:pPr>
        <w:pStyle w:val="Definition-Field2"/>
      </w:pPr>
      <w:r>
        <w:t>Office will read either a length followed by a unit or EMUs with no unit present, but will write only EMUs when no units are</w:t>
      </w:r>
      <w:r>
        <w:t xml:space="preserve"> present.</w:t>
      </w:r>
    </w:p>
    <w:p w:rsidR="005F78FC" w:rsidRDefault="00B42EF3">
      <w:pPr>
        <w:pStyle w:val="Heading3"/>
      </w:pPr>
      <w:bookmarkStart w:id="2652" w:name="section_9746bb873dd04c7dae43e3547589def1"/>
      <w:bookmarkStart w:id="2653" w:name="_Toc69879099"/>
      <w:r>
        <w:t>Part 1 Section 20.1.10.21, ST_DrawingElementId (Drawing Element ID)</w:t>
      </w:r>
      <w:bookmarkEnd w:id="2652"/>
      <w:bookmarkEnd w:id="2653"/>
      <w:r>
        <w:fldChar w:fldCharType="begin"/>
      </w:r>
      <w:r>
        <w:instrText xml:space="preserve"> XE "ST_DrawingElementId (Drawing Element ID)" </w:instrText>
      </w:r>
      <w:r>
        <w:fldChar w:fldCharType="end"/>
      </w:r>
    </w:p>
    <w:p w:rsidR="005F78FC" w:rsidRDefault="00B42EF3">
      <w:pPr>
        <w:pStyle w:val="Definition-Field"/>
      </w:pPr>
      <w:r>
        <w:t xml:space="preserve">a.   </w:t>
      </w:r>
      <w:r>
        <w:rPr>
          <w:i/>
        </w:rPr>
        <w:t>The standard specifies that the ST_DrawingElementId type is an unsigned 32-bit integer.</w:t>
      </w:r>
    </w:p>
    <w:p w:rsidR="005F78FC" w:rsidRDefault="00B42EF3">
      <w:pPr>
        <w:pStyle w:val="Definition-Field2"/>
      </w:pPr>
      <w:r>
        <w:t>Office treats the ST_DrawingElementI</w:t>
      </w:r>
      <w:r>
        <w:t>d type as a signed 32-bit integer.</w:t>
      </w:r>
    </w:p>
    <w:p w:rsidR="005F78FC" w:rsidRDefault="00B42EF3">
      <w:pPr>
        <w:pStyle w:val="Heading3"/>
      </w:pPr>
      <w:bookmarkStart w:id="2654" w:name="section_caf86f6814a24da395878b7c9b671ba7"/>
      <w:bookmarkStart w:id="2655" w:name="_Toc69879100"/>
      <w:r>
        <w:t>Part 1 Section 20.1.10.24, ST_FixedPercentage (Fixed Percentage)</w:t>
      </w:r>
      <w:bookmarkEnd w:id="2654"/>
      <w:bookmarkEnd w:id="2655"/>
      <w:r>
        <w:fldChar w:fldCharType="begin"/>
      </w:r>
      <w:r>
        <w:instrText xml:space="preserve"> XE "ST_FixedPercentage (Fixed Percentage)" </w:instrText>
      </w:r>
      <w:r>
        <w:fldChar w:fldCharType="end"/>
      </w:r>
    </w:p>
    <w:p w:rsidR="005F78FC" w:rsidRDefault="00B42EF3">
      <w:pPr>
        <w:pStyle w:val="Definition-Field"/>
      </w:pPr>
      <w:r>
        <w:t xml:space="preserve">a.   </w:t>
      </w:r>
      <w:r>
        <w:rPr>
          <w:i/>
        </w:rPr>
        <w:t>The standard states that ST_FixedPercentage is read and written as a percent with a trailing percent sign</w:t>
      </w:r>
      <w:r>
        <w:rPr>
          <w:i/>
        </w:rPr>
        <w:t>.</w:t>
      </w:r>
    </w:p>
    <w:p w:rsidR="005F78FC" w:rsidRDefault="00B42EF3">
      <w:pPr>
        <w:pStyle w:val="Definition-Field2"/>
      </w:pPr>
      <w:r>
        <w:t>Office will read percentages formatted with a trailing percent sign or formatted as 1000th of a percent without a trailing percent sign, but only write percentages as 1000th's of a percent without a trailing percent sign.</w:t>
      </w:r>
    </w:p>
    <w:p w:rsidR="005F78FC" w:rsidRDefault="00B42EF3">
      <w:pPr>
        <w:pStyle w:val="Heading3"/>
      </w:pPr>
      <w:bookmarkStart w:id="2656" w:name="section_3184709832934157b36a7d48f3d9e56c"/>
      <w:bookmarkStart w:id="2657" w:name="_Toc69879101"/>
      <w:r>
        <w:lastRenderedPageBreak/>
        <w:t>Part 1 Section 20.1.10.29, ST_Li</w:t>
      </w:r>
      <w:r>
        <w:t>ghtRigDirection (Light Rig Direction)</w:t>
      </w:r>
      <w:bookmarkEnd w:id="2656"/>
      <w:bookmarkEnd w:id="2657"/>
      <w:r>
        <w:fldChar w:fldCharType="begin"/>
      </w:r>
      <w:r>
        <w:instrText xml:space="preserve"> XE "ST_LightRigDirection (Light Rig Direction)" </w:instrText>
      </w:r>
      <w:r>
        <w:fldChar w:fldCharType="end"/>
      </w:r>
    </w:p>
    <w:p w:rsidR="005F78FC" w:rsidRDefault="00B42EF3">
      <w:pPr>
        <w:pStyle w:val="Definition-Field"/>
      </w:pPr>
      <w:r>
        <w:t xml:space="preserve">a.   </w:t>
      </w:r>
      <w:r>
        <w:rPr>
          <w:i/>
        </w:rPr>
        <w:t>The standard states that the informative images in this enumeration use a Three Point light rig type with an orthographicFront camera preset.</w:t>
      </w:r>
    </w:p>
    <w:p w:rsidR="005F78FC" w:rsidRDefault="00B42EF3">
      <w:pPr>
        <w:pStyle w:val="Definition-Field2"/>
      </w:pPr>
      <w:r>
        <w:t>In Office, the infor</w:t>
      </w:r>
      <w:r>
        <w:t>mative images in this enumeration use a flood light rig type with a perspectiveContrastingRightFacing camera preset.</w:t>
      </w:r>
    </w:p>
    <w:p w:rsidR="005F78FC" w:rsidRDefault="00B42EF3">
      <w:pPr>
        <w:pStyle w:val="Heading3"/>
      </w:pPr>
      <w:bookmarkStart w:id="2658" w:name="section_d1735889ad9d47ffa697563a1668319f"/>
      <w:bookmarkStart w:id="2659" w:name="_Toc69879102"/>
      <w:r>
        <w:t>Part 1 Section 20.1.10.30, ST_LightRigType (Light Rig Type)</w:t>
      </w:r>
      <w:bookmarkEnd w:id="2658"/>
      <w:bookmarkEnd w:id="2659"/>
      <w:r>
        <w:fldChar w:fldCharType="begin"/>
      </w:r>
      <w:r>
        <w:instrText xml:space="preserve"> XE "ST_LightRigType (Light Rig Type)" </w:instrText>
      </w:r>
      <w:r>
        <w:fldChar w:fldCharType="end"/>
      </w:r>
    </w:p>
    <w:p w:rsidR="005F78FC" w:rsidRDefault="00B42EF3">
      <w:pPr>
        <w:pStyle w:val="Definition-Field"/>
      </w:pPr>
      <w:r>
        <w:t xml:space="preserve">a.   </w:t>
      </w:r>
      <w:r>
        <w:rPr>
          <w:i/>
        </w:rPr>
        <w:t xml:space="preserve">The standard does not contain an </w:t>
      </w:r>
      <w:r>
        <w:rPr>
          <w:i/>
        </w:rPr>
        <w:t>informative example for the balanced value.</w:t>
      </w:r>
    </w:p>
    <w:p w:rsidR="005F78FC" w:rsidRDefault="00B42EF3">
      <w:r>
        <w:t>In Office, the balanced enumeration value produces the following result:</w:t>
      </w:r>
    </w:p>
    <w:p w:rsidR="005F78FC" w:rsidRDefault="00B42EF3">
      <w:r>
        <w:t xml:space="preserve">[Example:  Consider the following example of the </w:t>
      </w:r>
      <w:r>
        <w:rPr>
          <w:rStyle w:val="InlineCode"/>
        </w:rPr>
        <w:t>balanced</w:t>
      </w:r>
      <w:r>
        <w:t xml:space="preserve"> light rig applied to a basic shape:</w:t>
      </w:r>
    </w:p>
    <w:p w:rsidR="005F78FC" w:rsidRDefault="00B42EF3">
      <w:r>
        <w:rPr>
          <w:noProof/>
        </w:rPr>
        <w:drawing>
          <wp:inline distT="0" distB="0" distL="0" distR="0">
            <wp:extent cx="1314450" cy="1609725"/>
            <wp:effectExtent l="0" t="0" r="0" b="0"/>
            <wp:docPr id="22" name="Picture 1" descr="3D rectangular object is lit evenly across its face, with highlights blending into dark shadow along the edges" title="Rectangular object lit by balanced light 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acd01bd-0000-0000-0000-000000000000" descr="3D rectangular object is lit evenly across its face, with highlights blending into dark shadow along the edges" title="Rectangular object lit by balanced light rig"/>
                    <pic:cNvPicPr>
                      <a:picLocks noChangeAspect="1" noChangeArrowheads="1"/>
                    </pic:cNvPicPr>
                  </pic:nvPicPr>
                  <pic:blipFill>
                    <a:blip r:embed="rId186" cstate="print"/>
                    <a:srcRect/>
                    <a:stretch>
                      <a:fillRect/>
                    </a:stretch>
                  </pic:blipFill>
                  <pic:spPr bwMode="auto">
                    <a:xfrm>
                      <a:off x="0" y="0"/>
                      <a:ext cx="1314450" cy="1609725"/>
                    </a:xfrm>
                    <a:prstGeom prst="rect">
                      <a:avLst/>
                    </a:prstGeom>
                    <a:noFill/>
                    <a:ln w="9525">
                      <a:noFill/>
                      <a:miter lim="800000"/>
                      <a:headEnd/>
                      <a:tailEnd/>
                    </a:ln>
                  </pic:spPr>
                </pic:pic>
              </a:graphicData>
            </a:graphic>
          </wp:inline>
        </w:drawing>
      </w:r>
    </w:p>
    <w:p w:rsidR="005F78FC" w:rsidRDefault="00B42EF3">
      <w:r>
        <w:t>end example]</w:t>
      </w:r>
    </w:p>
    <w:p w:rsidR="005F78FC" w:rsidRDefault="00B42EF3">
      <w:pPr>
        <w:pStyle w:val="Heading3"/>
      </w:pPr>
      <w:bookmarkStart w:id="2660" w:name="section_2c49c5bfec714f76a22b92291c03a33c"/>
      <w:bookmarkStart w:id="2661" w:name="_Toc69879103"/>
      <w:r>
        <w:t>Part 1 Section 20.1.10.32, ST_LineEndLength (Line End Length)</w:t>
      </w:r>
      <w:bookmarkEnd w:id="2660"/>
      <w:bookmarkEnd w:id="2661"/>
      <w:r>
        <w:fldChar w:fldCharType="begin"/>
      </w:r>
      <w:r>
        <w:instrText xml:space="preserve"> XE "ST_LineEndLength (Line End Length)" </w:instrText>
      </w:r>
      <w:r>
        <w:fldChar w:fldCharType="end"/>
      </w:r>
    </w:p>
    <w:p w:rsidR="005F78FC" w:rsidRDefault="00B42EF3">
      <w:pPr>
        <w:pStyle w:val="Definition-Field"/>
      </w:pPr>
      <w:r>
        <w:t xml:space="preserve">a.   </w:t>
      </w:r>
      <w:r>
        <w:rPr>
          <w:i/>
        </w:rPr>
        <w:t>The standard provides identical pictures for the images associated with the med and sm enumeration values.</w:t>
      </w:r>
    </w:p>
    <w:p w:rsidR="005F78FC" w:rsidRDefault="00B42EF3">
      <w:r>
        <w:t>In Office, the enumeration values produ</w:t>
      </w:r>
      <w:r>
        <w:t>ce the following results for the line end decoration:</w:t>
      </w:r>
    </w:p>
    <w:tbl>
      <w:tblPr>
        <w:tblStyle w:val="Table-ShadedHeader"/>
        <w:tblW w:w="0" w:type="auto"/>
        <w:tblLook w:val="04A0" w:firstRow="1" w:lastRow="0" w:firstColumn="1" w:lastColumn="0" w:noHBand="0" w:noVBand="1"/>
      </w:tblPr>
      <w:tblGrid>
        <w:gridCol w:w="1940"/>
        <w:gridCol w:w="1671"/>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Enumeration Value</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rPr>
                <w:b/>
              </w:rPr>
              <w:t>lg</w:t>
            </w:r>
            <w:r>
              <w:t xml:space="preserve"> (Large)</w:t>
            </w:r>
          </w:p>
        </w:tc>
        <w:tc>
          <w:tcPr>
            <w:tcW w:w="0" w:type="auto"/>
            <w:vAlign w:val="center"/>
          </w:tcPr>
          <w:p w:rsidR="005F78FC" w:rsidRDefault="00B42EF3">
            <w:pPr>
              <w:pStyle w:val="TableBodyText"/>
            </w:pPr>
            <w:r>
              <w:rPr>
                <w:noProof/>
              </w:rPr>
              <w:drawing>
                <wp:inline distT="0" distB="0" distL="0" distR="0">
                  <wp:extent cx="581025" cy="542925"/>
                  <wp:effectExtent l="0" t="0" r="0" b="0"/>
                  <wp:docPr id="342015687" name="Picture 1" descr="Large sized arrow head line end" title="Large arrow lin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abf461b-0000-0000-0000-000000000000" descr="Large sized arrow head line end" title="Large arrow line end"/>
                          <pic:cNvPicPr>
                            <a:picLocks noChangeAspect="1" noChangeArrowheads="1"/>
                          </pic:cNvPicPr>
                        </pic:nvPicPr>
                        <pic:blipFill>
                          <a:blip r:embed="rId187" cstate="print"/>
                          <a:srcRect/>
                          <a:stretch>
                            <a:fillRect/>
                          </a:stretch>
                        </pic:blipFill>
                        <pic:spPr bwMode="auto">
                          <a:xfrm>
                            <a:off x="0" y="0"/>
                            <a:ext cx="581025" cy="542925"/>
                          </a:xfrm>
                          <a:prstGeom prst="rect">
                            <a:avLst/>
                          </a:prstGeom>
                          <a:noFill/>
                          <a:ln w="9525">
                            <a:noFill/>
                            <a:miter lim="800000"/>
                            <a:headEnd/>
                            <a:tailEnd/>
                          </a:ln>
                        </pic:spPr>
                      </pic:pic>
                    </a:graphicData>
                  </a:graphic>
                </wp:inline>
              </w:drawing>
            </w:r>
            <w:r>
              <w:t>Large</w:t>
            </w:r>
          </w:p>
        </w:tc>
      </w:tr>
      <w:tr w:rsidR="005F78FC" w:rsidTr="005F78FC">
        <w:tc>
          <w:tcPr>
            <w:tcW w:w="0" w:type="auto"/>
            <w:vAlign w:val="center"/>
          </w:tcPr>
          <w:p w:rsidR="005F78FC" w:rsidRDefault="00B42EF3">
            <w:pPr>
              <w:pStyle w:val="TableBodyText"/>
            </w:pPr>
            <w:r>
              <w:rPr>
                <w:b/>
              </w:rPr>
              <w:t>med</w:t>
            </w:r>
            <w:r>
              <w:t xml:space="preserve"> (Medium)</w:t>
            </w:r>
          </w:p>
        </w:tc>
        <w:tc>
          <w:tcPr>
            <w:tcW w:w="0" w:type="auto"/>
            <w:vAlign w:val="center"/>
          </w:tcPr>
          <w:p w:rsidR="005F78FC" w:rsidRDefault="00B42EF3">
            <w:pPr>
              <w:pStyle w:val="TableBodyText"/>
            </w:pPr>
            <w:r>
              <w:rPr>
                <w:noProof/>
              </w:rPr>
              <w:drawing>
                <wp:inline distT="0" distB="0" distL="0" distR="0">
                  <wp:extent cx="514350" cy="390525"/>
                  <wp:effectExtent l="0" t="0" r="0" b="0"/>
                  <wp:docPr id="342015688" name="Picture 1" descr="Medium sized arrow head line end" title="Medium arrow lin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abf4618-0000-0000-0000-000000000000" descr="Medium sized arrow head line end" title="Medium arrow line end"/>
                          <pic:cNvPicPr>
                            <a:picLocks noChangeAspect="1" noChangeArrowheads="1"/>
                          </pic:cNvPicPr>
                        </pic:nvPicPr>
                        <pic:blipFill>
                          <a:blip r:embed="rId188" cstate="print"/>
                          <a:srcRect/>
                          <a:stretch>
                            <a:fillRect/>
                          </a:stretch>
                        </pic:blipFill>
                        <pic:spPr bwMode="auto">
                          <a:xfrm>
                            <a:off x="0" y="0"/>
                            <a:ext cx="514350" cy="390525"/>
                          </a:xfrm>
                          <a:prstGeom prst="rect">
                            <a:avLst/>
                          </a:prstGeom>
                          <a:noFill/>
                          <a:ln w="9525">
                            <a:noFill/>
                            <a:miter lim="800000"/>
                            <a:headEnd/>
                            <a:tailEnd/>
                          </a:ln>
                        </pic:spPr>
                      </pic:pic>
                    </a:graphicData>
                  </a:graphic>
                </wp:inline>
              </w:drawing>
            </w:r>
            <w:r>
              <w:t>Medium</w:t>
            </w:r>
          </w:p>
        </w:tc>
      </w:tr>
      <w:tr w:rsidR="005F78FC" w:rsidTr="005F78FC">
        <w:tc>
          <w:tcPr>
            <w:tcW w:w="0" w:type="auto"/>
            <w:vAlign w:val="center"/>
          </w:tcPr>
          <w:p w:rsidR="005F78FC" w:rsidRDefault="00B42EF3">
            <w:pPr>
              <w:pStyle w:val="TableBodyText"/>
            </w:pPr>
            <w:r>
              <w:rPr>
                <w:b/>
              </w:rPr>
              <w:t>sm</w:t>
            </w:r>
            <w:r>
              <w:t xml:space="preserve"> (Small)</w:t>
            </w:r>
          </w:p>
        </w:tc>
        <w:tc>
          <w:tcPr>
            <w:tcW w:w="0" w:type="auto"/>
            <w:vAlign w:val="center"/>
          </w:tcPr>
          <w:p w:rsidR="005F78FC" w:rsidRDefault="00B42EF3">
            <w:pPr>
              <w:pStyle w:val="TableBodyText"/>
            </w:pPr>
            <w:r>
              <w:rPr>
                <w:noProof/>
              </w:rPr>
              <w:drawing>
                <wp:inline distT="0" distB="0" distL="0" distR="0">
                  <wp:extent cx="466724" cy="295275"/>
                  <wp:effectExtent l="0" t="0" r="0" b="0"/>
                  <wp:docPr id="342015689" name="Picture 1" descr="Small sized arrow head line end" title="Small arrow lin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abf4619-0000-0000-0000-000000000000" descr="Small sized arrow head line end" title="Small arrow line end"/>
                          <pic:cNvPicPr>
                            <a:picLocks noChangeAspect="1" noChangeArrowheads="1"/>
                          </pic:cNvPicPr>
                        </pic:nvPicPr>
                        <pic:blipFill>
                          <a:blip r:embed="rId189" cstate="print"/>
                          <a:srcRect/>
                          <a:stretch>
                            <a:fillRect/>
                          </a:stretch>
                        </pic:blipFill>
                        <pic:spPr bwMode="auto">
                          <a:xfrm>
                            <a:off x="0" y="0"/>
                            <a:ext cx="466724" cy="295275"/>
                          </a:xfrm>
                          <a:prstGeom prst="rect">
                            <a:avLst/>
                          </a:prstGeom>
                          <a:noFill/>
                          <a:ln w="9525">
                            <a:noFill/>
                            <a:miter lim="800000"/>
                            <a:headEnd/>
                            <a:tailEnd/>
                          </a:ln>
                        </pic:spPr>
                      </pic:pic>
                    </a:graphicData>
                  </a:graphic>
                </wp:inline>
              </w:drawing>
            </w:r>
            <w:r>
              <w:t>Small</w:t>
            </w:r>
          </w:p>
        </w:tc>
      </w:tr>
    </w:tbl>
    <w:p w:rsidR="005F78FC" w:rsidRDefault="005F78FC"/>
    <w:p w:rsidR="005F78FC" w:rsidRDefault="00B42EF3">
      <w:pPr>
        <w:pStyle w:val="Heading3"/>
      </w:pPr>
      <w:bookmarkStart w:id="2662" w:name="section_5550378cb28d4a11ab1e6c6a64630186"/>
      <w:bookmarkStart w:id="2663" w:name="_Toc69879104"/>
      <w:r>
        <w:t>Part 1 Section 20.1.10.35, ST_LineWidth (Line Width)</w:t>
      </w:r>
      <w:bookmarkEnd w:id="2662"/>
      <w:bookmarkEnd w:id="2663"/>
      <w:r>
        <w:fldChar w:fldCharType="begin"/>
      </w:r>
      <w:r>
        <w:instrText xml:space="preserve"> XE "ST_LineWidth (Line Width)" </w:instrText>
      </w:r>
      <w:r>
        <w:fldChar w:fldCharType="end"/>
      </w:r>
    </w:p>
    <w:p w:rsidR="005F78FC" w:rsidRDefault="00B42EF3">
      <w:pPr>
        <w:pStyle w:val="Definition-Field"/>
      </w:pPr>
      <w:r>
        <w:t xml:space="preserve">a.   </w:t>
      </w:r>
      <w:r>
        <w:rPr>
          <w:i/>
        </w:rPr>
        <w:t xml:space="preserve">The standard does </w:t>
      </w:r>
      <w:r>
        <w:rPr>
          <w:i/>
        </w:rPr>
        <w:t>not explain how a zero-width line will be rendered.</w:t>
      </w:r>
    </w:p>
    <w:p w:rsidR="005F78FC" w:rsidRDefault="00B42EF3">
      <w:pPr>
        <w:pStyle w:val="Definition-Field2"/>
      </w:pPr>
      <w:r>
        <w:lastRenderedPageBreak/>
        <w:t>In Office, a zero width line is interpreted as the minimum width line that can be rendered on the target device.</w:t>
      </w:r>
    </w:p>
    <w:p w:rsidR="005F78FC" w:rsidRDefault="00B42EF3">
      <w:pPr>
        <w:pStyle w:val="Heading3"/>
      </w:pPr>
      <w:bookmarkStart w:id="2664" w:name="section_bada29963fd44b83988292e14d6f9c7d"/>
      <w:bookmarkStart w:id="2665" w:name="_Toc69879105"/>
      <w:r>
        <w:t>Part 1 Section 20.1.10.37, ST_PathFillMode (Path Fill Mode)</w:t>
      </w:r>
      <w:bookmarkEnd w:id="2664"/>
      <w:bookmarkEnd w:id="2665"/>
      <w:r>
        <w:fldChar w:fldCharType="begin"/>
      </w:r>
      <w:r>
        <w:instrText xml:space="preserve"> XE "ST_PathFillMode (Path Fill </w:instrText>
      </w:r>
      <w:r>
        <w:instrText xml:space="preserve">Mode)" </w:instrText>
      </w:r>
      <w:r>
        <w:fldChar w:fldCharType="end"/>
      </w:r>
    </w:p>
    <w:p w:rsidR="005F78FC" w:rsidRDefault="00B42EF3">
      <w:pPr>
        <w:pStyle w:val="Definition-Field"/>
      </w:pPr>
      <w:r>
        <w:t xml:space="preserve">a.   </w:t>
      </w:r>
      <w:r>
        <w:rPr>
          <w:i/>
        </w:rPr>
        <w:t>The standard does not describe how the darken, darkenLess, lighten and lightenLess enumerations are calculated.</w:t>
      </w:r>
    </w:p>
    <w:p w:rsidR="005F78FC" w:rsidRDefault="00B42EF3">
      <w:r>
        <w:t>Office implements a specific set of calculations for the darken, darkenLess, lighten and lightenLess enumeration values, as descr</w:t>
      </w:r>
      <w:r>
        <w:t>ibed in the following table:</w:t>
      </w:r>
    </w:p>
    <w:tbl>
      <w:tblPr>
        <w:tblStyle w:val="Table-ShadedHeader"/>
        <w:tblW w:w="0" w:type="auto"/>
        <w:tblLook w:val="04A0" w:firstRow="1" w:lastRow="0" w:firstColumn="1" w:lastColumn="0" w:noHBand="0" w:noVBand="1"/>
      </w:tblPr>
      <w:tblGrid>
        <w:gridCol w:w="2950"/>
        <w:gridCol w:w="6525"/>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Enumeration Value</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rPr>
                <w:b/>
              </w:rPr>
              <w:t>darken</w:t>
            </w:r>
            <w:r>
              <w:t xml:space="preserve"> (Darken Path Fill)</w:t>
            </w:r>
          </w:p>
        </w:tc>
        <w:tc>
          <w:tcPr>
            <w:tcW w:w="0" w:type="auto"/>
            <w:vAlign w:val="center"/>
          </w:tcPr>
          <w:p w:rsidR="005F78FC" w:rsidRDefault="00B42EF3">
            <w:pPr>
              <w:pStyle w:val="TableBodyText"/>
            </w:pPr>
            <w:r>
              <w:t>This specifies that the corresponding path should have its fill blended with 40% black.</w:t>
            </w:r>
          </w:p>
        </w:tc>
      </w:tr>
      <w:tr w:rsidR="005F78FC" w:rsidTr="005F78FC">
        <w:tc>
          <w:tcPr>
            <w:tcW w:w="0" w:type="auto"/>
            <w:vAlign w:val="center"/>
          </w:tcPr>
          <w:p w:rsidR="005F78FC" w:rsidRDefault="00B42EF3">
            <w:pPr>
              <w:pStyle w:val="TableBodyText"/>
            </w:pPr>
            <w:r>
              <w:rPr>
                <w:b/>
              </w:rPr>
              <w:t>darkenLess</w:t>
            </w:r>
            <w:r>
              <w:t xml:space="preserve"> (Darken Path Fill Less)</w:t>
            </w:r>
          </w:p>
        </w:tc>
        <w:tc>
          <w:tcPr>
            <w:tcW w:w="0" w:type="auto"/>
            <w:vAlign w:val="center"/>
          </w:tcPr>
          <w:p w:rsidR="005F78FC" w:rsidRDefault="00B42EF3">
            <w:pPr>
              <w:pStyle w:val="TableBodyText"/>
            </w:pPr>
            <w:r>
              <w:t>This specifies that the corresponding path sho</w:t>
            </w:r>
            <w:r>
              <w:t>uld have its fill blended with 20% black.</w:t>
            </w:r>
          </w:p>
        </w:tc>
      </w:tr>
      <w:tr w:rsidR="005F78FC" w:rsidTr="005F78FC">
        <w:tc>
          <w:tcPr>
            <w:tcW w:w="0" w:type="auto"/>
            <w:vAlign w:val="center"/>
          </w:tcPr>
          <w:p w:rsidR="005F78FC" w:rsidRDefault="00B42EF3">
            <w:pPr>
              <w:pStyle w:val="TableBodyText"/>
            </w:pPr>
            <w:r>
              <w:rPr>
                <w:b/>
              </w:rPr>
              <w:t>lighten</w:t>
            </w:r>
            <w:r>
              <w:t xml:space="preserve"> (Lighten Path Fill)</w:t>
            </w:r>
          </w:p>
        </w:tc>
        <w:tc>
          <w:tcPr>
            <w:tcW w:w="0" w:type="auto"/>
            <w:vAlign w:val="center"/>
          </w:tcPr>
          <w:p w:rsidR="005F78FC" w:rsidRDefault="00B42EF3">
            <w:pPr>
              <w:pStyle w:val="TableBodyText"/>
            </w:pPr>
            <w:r>
              <w:t>This specifies that the corresponding path should have its fill blended with 40% white.</w:t>
            </w:r>
          </w:p>
        </w:tc>
      </w:tr>
      <w:tr w:rsidR="005F78FC" w:rsidTr="005F78FC">
        <w:tc>
          <w:tcPr>
            <w:tcW w:w="0" w:type="auto"/>
            <w:vAlign w:val="center"/>
          </w:tcPr>
          <w:p w:rsidR="005F78FC" w:rsidRDefault="00B42EF3">
            <w:pPr>
              <w:pStyle w:val="TableBodyText"/>
            </w:pPr>
            <w:r>
              <w:rPr>
                <w:b/>
              </w:rPr>
              <w:t>lightenLess</w:t>
            </w:r>
            <w:r>
              <w:t xml:space="preserve"> (Lighten Path Fill Less)</w:t>
            </w:r>
          </w:p>
        </w:tc>
        <w:tc>
          <w:tcPr>
            <w:tcW w:w="0" w:type="auto"/>
            <w:vAlign w:val="center"/>
          </w:tcPr>
          <w:p w:rsidR="005F78FC" w:rsidRDefault="00B42EF3">
            <w:pPr>
              <w:pStyle w:val="TableBodyText"/>
            </w:pPr>
            <w:r>
              <w:t xml:space="preserve">This specifies that the corresponding path should have its </w:t>
            </w:r>
            <w:r>
              <w:t>fill blended with 20% white.</w:t>
            </w:r>
          </w:p>
        </w:tc>
      </w:tr>
    </w:tbl>
    <w:p w:rsidR="005F78FC" w:rsidRDefault="005F78FC"/>
    <w:p w:rsidR="005F78FC" w:rsidRDefault="00B42EF3">
      <w:pPr>
        <w:pStyle w:val="Heading3"/>
      </w:pPr>
      <w:bookmarkStart w:id="2666" w:name="section_b3bbaebcf2ca4a799efdec0d1d3c6d9c"/>
      <w:bookmarkStart w:id="2667" w:name="_Toc69879106"/>
      <w:r>
        <w:t>Part 1 Section 20.1.10.39, ST_PenAlignment (Alignment Type)</w:t>
      </w:r>
      <w:bookmarkEnd w:id="2666"/>
      <w:bookmarkEnd w:id="2667"/>
      <w:r>
        <w:fldChar w:fldCharType="begin"/>
      </w:r>
      <w:r>
        <w:instrText xml:space="preserve"> XE "ST_PenAlignment (Alignment Type)" </w:instrText>
      </w:r>
      <w:r>
        <w:fldChar w:fldCharType="end"/>
      </w:r>
    </w:p>
    <w:p w:rsidR="005F78FC" w:rsidRDefault="00B42EF3">
      <w:pPr>
        <w:pStyle w:val="Definition-Field"/>
      </w:pPr>
      <w:r>
        <w:t xml:space="preserve">a.   </w:t>
      </w:r>
      <w:r>
        <w:rPr>
          <w:i/>
        </w:rPr>
        <w:t>The standard implies that the ST_PenAlignment simple type is only used within a text body.</w:t>
      </w:r>
    </w:p>
    <w:p w:rsidR="005F78FC" w:rsidRDefault="00B42EF3">
      <w:pPr>
        <w:pStyle w:val="Definition-Field2"/>
      </w:pPr>
      <w:r>
        <w:t>Office uses this simple type</w:t>
      </w:r>
      <w:r>
        <w:t xml:space="preserve"> for lines on text, shapes, and other graphical objects.</w:t>
      </w:r>
    </w:p>
    <w:p w:rsidR="005F78FC" w:rsidRDefault="00B42EF3">
      <w:pPr>
        <w:pStyle w:val="Heading3"/>
      </w:pPr>
      <w:bookmarkStart w:id="2668" w:name="section_ff18a37e9bd743389c371e285b5a5dd2"/>
      <w:bookmarkStart w:id="2669" w:name="_Toc69879107"/>
      <w:r>
        <w:t>Part 1 Section 20.1.10.40, ST_Percentage (Percentage)</w:t>
      </w:r>
      <w:bookmarkEnd w:id="2668"/>
      <w:bookmarkEnd w:id="2669"/>
      <w:r>
        <w:fldChar w:fldCharType="begin"/>
      </w:r>
      <w:r>
        <w:instrText xml:space="preserve"> XE "ST_Percentage (Percentage)" </w:instrText>
      </w:r>
      <w:r>
        <w:fldChar w:fldCharType="end"/>
      </w:r>
    </w:p>
    <w:p w:rsidR="005F78FC" w:rsidRDefault="00B42EF3">
      <w:pPr>
        <w:pStyle w:val="Definition-Field"/>
      </w:pPr>
      <w:r>
        <w:t xml:space="preserve">a.   </w:t>
      </w:r>
      <w:r>
        <w:rPr>
          <w:i/>
        </w:rPr>
        <w:t>The standard states that ST_Percentage is read and written as a percent with a trailing percent sign.</w:t>
      </w:r>
    </w:p>
    <w:p w:rsidR="005F78FC" w:rsidRDefault="00B42EF3">
      <w:pPr>
        <w:pStyle w:val="Definition-Field2"/>
      </w:pPr>
      <w:r>
        <w:t>Office will read percentages formatted with a trailing percent sign or formatted as 1000th of a percent without a trailing percent sign, but only write percentages as 1000th's of a percent without a trailing percent sign.</w:t>
      </w:r>
    </w:p>
    <w:p w:rsidR="005F78FC" w:rsidRDefault="00B42EF3">
      <w:pPr>
        <w:pStyle w:val="Heading3"/>
      </w:pPr>
      <w:bookmarkStart w:id="2670" w:name="section_518012ebe873450781192c51bf1081ed"/>
      <w:bookmarkStart w:id="2671" w:name="_Toc69879108"/>
      <w:r>
        <w:t>Part 1 Section 20.1.10.41, ST_Posi</w:t>
      </w:r>
      <w:r>
        <w:t>tiveCoordinate (Positive Coordinate)</w:t>
      </w:r>
      <w:bookmarkEnd w:id="2670"/>
      <w:bookmarkEnd w:id="2671"/>
      <w:r>
        <w:fldChar w:fldCharType="begin"/>
      </w:r>
      <w:r>
        <w:instrText xml:space="preserve"> XE "ST_PositiveCoordinate (Positive Coordinate)" </w:instrText>
      </w:r>
      <w:r>
        <w:fldChar w:fldCharType="end"/>
      </w:r>
    </w:p>
    <w:p w:rsidR="005F78FC" w:rsidRDefault="00B42EF3">
      <w:pPr>
        <w:pStyle w:val="Definition-Field"/>
      </w:pPr>
      <w:r>
        <w:t xml:space="preserve">a.   </w:t>
      </w:r>
      <w:r>
        <w:rPr>
          <w:i/>
        </w:rPr>
        <w:t>The standard states that the contents of the ST_PositiveCoordinate simple type can be at most 27273042316900.</w:t>
      </w:r>
    </w:p>
    <w:p w:rsidR="005F78FC" w:rsidRDefault="00B42EF3">
      <w:pPr>
        <w:pStyle w:val="Definition-Field2"/>
      </w:pPr>
      <w:r>
        <w:t>Word and PowerPoint restrict the contents of this si</w:t>
      </w:r>
      <w:r>
        <w:t>mple type to be at most 2147483647.</w:t>
      </w:r>
    </w:p>
    <w:p w:rsidR="005F78FC" w:rsidRDefault="00B42EF3">
      <w:pPr>
        <w:pStyle w:val="Heading3"/>
      </w:pPr>
      <w:bookmarkStart w:id="2672" w:name="section_1c25f0efb87947f0af0cb1b0d40f7d05"/>
      <w:bookmarkStart w:id="2673" w:name="_Toc69879109"/>
      <w:r>
        <w:t>Part 1 Section 20.1.10.44, ST_PositiveFixedPercentage (Positive Fixed Percentage)</w:t>
      </w:r>
      <w:bookmarkEnd w:id="2672"/>
      <w:bookmarkEnd w:id="2673"/>
      <w:r>
        <w:fldChar w:fldCharType="begin"/>
      </w:r>
      <w:r>
        <w:instrText xml:space="preserve"> XE "ST_PositiveFixedPercentage (Positive Fixed Percentage)" </w:instrText>
      </w:r>
      <w:r>
        <w:fldChar w:fldCharType="end"/>
      </w:r>
    </w:p>
    <w:p w:rsidR="005F78FC" w:rsidRDefault="00B42EF3">
      <w:pPr>
        <w:pStyle w:val="Definition-Field"/>
      </w:pPr>
      <w:r>
        <w:t xml:space="preserve">a.   </w:t>
      </w:r>
      <w:r>
        <w:rPr>
          <w:i/>
        </w:rPr>
        <w:t>The standard states that ST_PositiveFixedPercentage is read and writte</w:t>
      </w:r>
      <w:r>
        <w:rPr>
          <w:i/>
        </w:rPr>
        <w:t>n as a percent with a trailing percent sign.</w:t>
      </w:r>
    </w:p>
    <w:p w:rsidR="005F78FC" w:rsidRDefault="00B42EF3">
      <w:pPr>
        <w:pStyle w:val="Definition-Field2"/>
      </w:pPr>
      <w:r>
        <w:t>Office will read percentages formatted with a trailing percent sign or formatted as 1000th of a percent without a trailing percent sign, but only write percentages as 1000th's of a percent without a trailing per</w:t>
      </w:r>
      <w:r>
        <w:t>cent sign.</w:t>
      </w:r>
    </w:p>
    <w:p w:rsidR="005F78FC" w:rsidRDefault="00B42EF3">
      <w:pPr>
        <w:pStyle w:val="Heading3"/>
      </w:pPr>
      <w:bookmarkStart w:id="2674" w:name="section_c1f1feace34c48d5b2e2f67bb67113e7"/>
      <w:bookmarkStart w:id="2675" w:name="_Toc69879110"/>
      <w:r>
        <w:lastRenderedPageBreak/>
        <w:t>Part 1 Section 20.1.10.45, ST_PositivePercentage (Positive Percentage)</w:t>
      </w:r>
      <w:bookmarkEnd w:id="2674"/>
      <w:bookmarkEnd w:id="2675"/>
      <w:r>
        <w:fldChar w:fldCharType="begin"/>
      </w:r>
      <w:r>
        <w:instrText xml:space="preserve"> XE "ST_PositivePercentage (Positive Percentage)" </w:instrText>
      </w:r>
      <w:r>
        <w:fldChar w:fldCharType="end"/>
      </w:r>
    </w:p>
    <w:p w:rsidR="005F78FC" w:rsidRDefault="00B42EF3">
      <w:pPr>
        <w:pStyle w:val="Definition-Field"/>
      </w:pPr>
      <w:r>
        <w:t xml:space="preserve">a.   </w:t>
      </w:r>
      <w:r>
        <w:rPr>
          <w:i/>
        </w:rPr>
        <w:t>The standard states that ST_PositivePercentage is read and written as a percent with a trailing percent sign.</w:t>
      </w:r>
    </w:p>
    <w:p w:rsidR="005F78FC" w:rsidRDefault="00B42EF3">
      <w:pPr>
        <w:pStyle w:val="Definition-Field2"/>
      </w:pPr>
      <w:r>
        <w:t xml:space="preserve">Office </w:t>
      </w:r>
      <w:r>
        <w:t>will read percentages formatted with a trailing percent sign or formatted as 1000th of a percent without a trailing percent sign, but only write percentages as 1000th's of a percent without a trailing percent sign.</w:t>
      </w:r>
    </w:p>
    <w:p w:rsidR="005F78FC" w:rsidRDefault="00B42EF3">
      <w:pPr>
        <w:pStyle w:val="Heading3"/>
      </w:pPr>
      <w:bookmarkStart w:id="2676" w:name="section_cc8be648028648f88f8e66b878d23432"/>
      <w:bookmarkStart w:id="2677" w:name="_Toc69879111"/>
      <w:r>
        <w:t>Part 1 Section 20.1.10.47, ST_PresetColor</w:t>
      </w:r>
      <w:r>
        <w:t>Val (Preset Color Value)</w:t>
      </w:r>
      <w:bookmarkEnd w:id="2676"/>
      <w:bookmarkEnd w:id="2677"/>
      <w:r>
        <w:fldChar w:fldCharType="begin"/>
      </w:r>
      <w:r>
        <w:instrText xml:space="preserve"> XE "ST_PresetColorVal (Preset Color Value)" </w:instrText>
      </w:r>
      <w:r>
        <w:fldChar w:fldCharType="end"/>
      </w:r>
    </w:p>
    <w:p w:rsidR="005F78FC" w:rsidRDefault="00B42EF3">
      <w:pPr>
        <w:pStyle w:val="Definition-Field"/>
      </w:pPr>
      <w:r>
        <w:t xml:space="preserve">a.   </w:t>
      </w:r>
      <w:r>
        <w:rPr>
          <w:i/>
        </w:rPr>
        <w:t>The standard specifies RGB values for each value in the enum.</w:t>
      </w:r>
    </w:p>
    <w:p w:rsidR="005F78FC" w:rsidRDefault="00B42EF3">
      <w:pPr>
        <w:pStyle w:val="Definition-Field2"/>
      </w:pPr>
      <w:r>
        <w:t>Office also supports a value of "transparent" interpreted as RGB value (255,255,255). The value "transparent" will be</w:t>
      </w:r>
      <w:r>
        <w:t xml:space="preserve"> persisted by Office if it appears in a file.</w:t>
      </w:r>
    </w:p>
    <w:p w:rsidR="005F78FC" w:rsidRDefault="00B42EF3">
      <w:pPr>
        <w:pStyle w:val="Heading3"/>
      </w:pPr>
      <w:bookmarkStart w:id="2678" w:name="section_8582a1426af4433fbcd977be5aacefaf"/>
      <w:bookmarkStart w:id="2679" w:name="_Toc69879112"/>
      <w:r>
        <w:t>Part 1 Section 20.1.10.49, ST_PresetMaterialType (Preset Material Type)</w:t>
      </w:r>
      <w:bookmarkEnd w:id="2678"/>
      <w:bookmarkEnd w:id="2679"/>
      <w:r>
        <w:fldChar w:fldCharType="begin"/>
      </w:r>
      <w:r>
        <w:instrText xml:space="preserve"> XE "ST_PresetMaterialType (Preset Material Type)" </w:instrText>
      </w:r>
      <w:r>
        <w:fldChar w:fldCharType="end"/>
      </w:r>
    </w:p>
    <w:p w:rsidR="005F78FC" w:rsidRDefault="00B42EF3">
      <w:pPr>
        <w:pStyle w:val="Definition-Field"/>
      </w:pPr>
      <w:r>
        <w:t xml:space="preserve">a.   </w:t>
      </w:r>
      <w:r>
        <w:rPr>
          <w:i/>
        </w:rPr>
        <w:t>The standard indicates the legacyMatte enumeration value has a Diffuse Fresnel v</w:t>
      </w:r>
      <w:r>
        <w:rPr>
          <w:i/>
        </w:rPr>
        <w:t>alue of -4.</w:t>
      </w:r>
    </w:p>
    <w:p w:rsidR="005F78FC" w:rsidRDefault="00B42EF3">
      <w:pPr>
        <w:pStyle w:val="Definition-Field2"/>
      </w:pPr>
      <w:r>
        <w:t>In Office, the legacyMatte enumeration value has a Diffuse Fresnel value of 0.</w:t>
      </w:r>
    </w:p>
    <w:p w:rsidR="005F78FC" w:rsidRDefault="00B42EF3">
      <w:pPr>
        <w:pStyle w:val="Heading3"/>
      </w:pPr>
      <w:bookmarkStart w:id="2680" w:name="section_38b259783d144fb390b7712215ed7ad1"/>
      <w:bookmarkStart w:id="2681" w:name="_Toc69879113"/>
      <w:r>
        <w:t>Part 1 Section 20.1.10.54, ST_ShapeID (Shape ID)</w:t>
      </w:r>
      <w:bookmarkEnd w:id="2680"/>
      <w:bookmarkEnd w:id="2681"/>
      <w:r>
        <w:fldChar w:fldCharType="begin"/>
      </w:r>
      <w:r>
        <w:instrText xml:space="preserve"> XE "ST_ShapeID (Shape ID)" </w:instrText>
      </w:r>
      <w:r>
        <w:fldChar w:fldCharType="end"/>
      </w:r>
    </w:p>
    <w:p w:rsidR="005F78FC" w:rsidRDefault="00B42EF3">
      <w:pPr>
        <w:pStyle w:val="Definition-Field"/>
      </w:pPr>
      <w:r>
        <w:t xml:space="preserve">a.   </w:t>
      </w:r>
      <w:r>
        <w:rPr>
          <w:i/>
        </w:rPr>
        <w:t xml:space="preserve">The standard does not limit the length of the value of the ST_ShapeID simple </w:t>
      </w:r>
      <w:r>
        <w:rPr>
          <w:i/>
        </w:rPr>
        <w:t>type.</w:t>
      </w:r>
    </w:p>
    <w:p w:rsidR="005F78FC" w:rsidRDefault="00B42EF3">
      <w:pPr>
        <w:pStyle w:val="Definition-Field2"/>
      </w:pPr>
      <w:r>
        <w:t>Office restricts the value of this simple type to be at most 255 characters.</w:t>
      </w:r>
    </w:p>
    <w:p w:rsidR="005F78FC" w:rsidRDefault="00B42EF3">
      <w:pPr>
        <w:pStyle w:val="Definition-Field"/>
      </w:pPr>
      <w:r>
        <w:t xml:space="preserve">b.   </w:t>
      </w:r>
      <w:r>
        <w:rPr>
          <w:i/>
        </w:rPr>
        <w:t>The standard states that the ST_ShapeID contents are a restriction of the XML Schema token datatype.</w:t>
      </w:r>
    </w:p>
    <w:p w:rsidR="005F78FC" w:rsidRDefault="00B42EF3">
      <w:r>
        <w:t>In Office, the ST_ShapeID simple type represents an object ID numbe</w:t>
      </w:r>
      <w:r>
        <w:t>r.  An ID number has the following format characteristics:</w:t>
      </w:r>
    </w:p>
    <w:p w:rsidR="005F78FC" w:rsidRDefault="00B42EF3">
      <w:r>
        <w:t>Each ID number has a preface of “</w:t>
      </w:r>
      <w:r>
        <w:rPr>
          <w:rStyle w:val="InlineCode"/>
        </w:rPr>
        <w:t>_x0000_</w:t>
      </w:r>
      <w:r>
        <w:t>” followed by 1 character and a number, in the general form _x0000_[c]&lt;num&gt;</w:t>
      </w:r>
    </w:p>
    <w:p w:rsidR="005F78FC" w:rsidRDefault="00B42EF3">
      <w:r>
        <w:t>The character [c] is:</w:t>
      </w:r>
    </w:p>
    <w:p w:rsidR="005F78FC" w:rsidRDefault="00B42EF3">
      <w:pPr>
        <w:pStyle w:val="ListParagraph"/>
        <w:numPr>
          <w:ilvl w:val="0"/>
          <w:numId w:val="132"/>
        </w:numPr>
        <w:contextualSpacing/>
      </w:pPr>
      <w:r>
        <w:t>‘</w:t>
      </w:r>
      <w:r>
        <w:rPr>
          <w:rStyle w:val="InlineCode"/>
        </w:rPr>
        <w:t>t</w:t>
      </w:r>
      <w:r>
        <w:t>’ or ‘</w:t>
      </w:r>
      <w:r>
        <w:rPr>
          <w:rStyle w:val="InlineCode"/>
        </w:rPr>
        <w:t>m</w:t>
      </w:r>
      <w:r>
        <w:t xml:space="preserve">’ when used for a </w:t>
      </w:r>
      <w:r>
        <w:rPr>
          <w:b/>
        </w:rPr>
        <w:t>shapetype</w:t>
      </w:r>
      <w:r>
        <w:t xml:space="preserve"> element ("</w:t>
      </w:r>
      <w:hyperlink r:id="rId190">
        <w:r>
          <w:rPr>
            <w:rStyle w:val="Hyperlink"/>
          </w:rPr>
          <w:t>[ISO/IEC-29500-4]</w:t>
        </w:r>
      </w:hyperlink>
      <w:r>
        <w:t xml:space="preserve"> §19.1.2.20; shapetype (Shape Template)").</w:t>
      </w:r>
    </w:p>
    <w:p w:rsidR="005F78FC" w:rsidRDefault="00B42EF3">
      <w:pPr>
        <w:pStyle w:val="ListParagraph"/>
        <w:numPr>
          <w:ilvl w:val="0"/>
          <w:numId w:val="132"/>
        </w:numPr>
        <w:contextualSpacing/>
      </w:pPr>
      <w:r>
        <w:t>‘</w:t>
      </w:r>
      <w:r>
        <w:rPr>
          <w:rStyle w:val="InlineCode"/>
        </w:rPr>
        <w:t>s</w:t>
      </w:r>
      <w:r>
        <w:t>’ when used for a shape.</w:t>
      </w:r>
    </w:p>
    <w:p w:rsidR="005F78FC" w:rsidRDefault="00B42EF3">
      <w:pPr>
        <w:pStyle w:val="ListParagraph"/>
        <w:numPr>
          <w:ilvl w:val="0"/>
          <w:numId w:val="132"/>
        </w:numPr>
        <w:contextualSpacing/>
      </w:pPr>
      <w:r>
        <w:t>Shape IDs always start at 1025.</w:t>
      </w:r>
    </w:p>
    <w:p w:rsidR="005F78FC" w:rsidRDefault="00B42EF3">
      <w:pPr>
        <w:pStyle w:val="ListParagraph"/>
        <w:numPr>
          <w:ilvl w:val="0"/>
          <w:numId w:val="132"/>
        </w:numPr>
        <w:contextualSpacing/>
      </w:pPr>
      <w:r>
        <w:t>Shape IDs are clustered together, and each cluster has 1024 values. The first clust</w:t>
      </w:r>
      <w:r>
        <w:t>er ranges from 1025 to 2048.</w:t>
      </w:r>
    </w:p>
    <w:p w:rsidR="005F78FC" w:rsidRDefault="00B42EF3">
      <w:pPr>
        <w:pStyle w:val="ListParagraph"/>
        <w:numPr>
          <w:ilvl w:val="0"/>
          <w:numId w:val="132"/>
        </w:numPr>
        <w:contextualSpacing/>
      </w:pPr>
      <w:r>
        <w:t>Shape IDs within the same cluster may only exist in:</w:t>
      </w:r>
    </w:p>
    <w:p w:rsidR="005F78FC" w:rsidRDefault="00B42EF3">
      <w:pPr>
        <w:pStyle w:val="ListParagraph"/>
        <w:numPr>
          <w:ilvl w:val="0"/>
          <w:numId w:val="132"/>
        </w:numPr>
        <w:contextualSpacing/>
      </w:pPr>
      <w:r>
        <w:t>one worksheet, for Excel.</w:t>
      </w:r>
    </w:p>
    <w:p w:rsidR="005F78FC" w:rsidRDefault="00B42EF3">
      <w:pPr>
        <w:pStyle w:val="ListParagraph"/>
        <w:numPr>
          <w:ilvl w:val="0"/>
          <w:numId w:val="132"/>
        </w:numPr>
        <w:contextualSpacing/>
      </w:pPr>
      <w:r>
        <w:t>one slide, for PowerPoint.</w:t>
      </w:r>
    </w:p>
    <w:p w:rsidR="005F78FC" w:rsidRDefault="00B42EF3">
      <w:pPr>
        <w:pStyle w:val="ListParagraph"/>
        <w:numPr>
          <w:ilvl w:val="0"/>
          <w:numId w:val="132"/>
        </w:numPr>
        <w:contextualSpacing/>
      </w:pPr>
      <w:r>
        <w:t>one document, for Word.</w:t>
      </w:r>
    </w:p>
    <w:p w:rsidR="005F78FC" w:rsidRDefault="00B42EF3">
      <w:pPr>
        <w:pStyle w:val="ListParagraph"/>
        <w:numPr>
          <w:ilvl w:val="0"/>
          <w:numId w:val="132"/>
        </w:numPr>
        <w:contextualSpacing/>
      </w:pPr>
      <w:r>
        <w:t>the header, for Word.</w:t>
      </w:r>
    </w:p>
    <w:p w:rsidR="005F78FC" w:rsidRDefault="00B42EF3">
      <w:pPr>
        <w:pStyle w:val="ListParagraph"/>
        <w:numPr>
          <w:ilvl w:val="0"/>
          <w:numId w:val="132"/>
        </w:numPr>
      </w:pPr>
      <w:r>
        <w:t>‘</w:t>
      </w:r>
      <w:r>
        <w:rPr>
          <w:rStyle w:val="InlineCode"/>
        </w:rPr>
        <w:t>s</w:t>
      </w:r>
      <w:r>
        <w:t>’ or ‘</w:t>
      </w:r>
      <w:r>
        <w:rPr>
          <w:rStyle w:val="InlineCode"/>
        </w:rPr>
        <w:t>i</w:t>
      </w:r>
      <w:r>
        <w:t>’ for shapes that are inline (not floating) in Word.</w:t>
      </w:r>
    </w:p>
    <w:p w:rsidR="005F78FC" w:rsidRDefault="00B42EF3">
      <w:r>
        <w:t>__&lt;num&gt;</w:t>
      </w:r>
      <w:r>
        <w:t xml:space="preserve"> must be between </w:t>
      </w:r>
      <w:r>
        <w:rPr>
          <w:rStyle w:val="InlineCode"/>
        </w:rPr>
        <w:t>1</w:t>
      </w:r>
      <w:r>
        <w:t xml:space="preserve"> and </w:t>
      </w:r>
      <w:r>
        <w:rPr>
          <w:rStyle w:val="InlineCode"/>
        </w:rPr>
        <w:t>268435456</w:t>
      </w:r>
      <w:r>
        <w:t>.</w:t>
      </w:r>
    </w:p>
    <w:p w:rsidR="005F78FC" w:rsidRDefault="00B42EF3">
      <w:r>
        <w:t>An ID number should not contain any Numeric Character Reference (NCR) markup characters.</w:t>
      </w:r>
    </w:p>
    <w:p w:rsidR="005F78FC" w:rsidRDefault="00B42EF3">
      <w:r>
        <w:t>Office does not guarantee that the same Object ID number that is loaded is round tripped on file save.</w:t>
      </w:r>
    </w:p>
    <w:p w:rsidR="005F78FC" w:rsidRDefault="00B42EF3">
      <w:pPr>
        <w:pStyle w:val="Heading3"/>
      </w:pPr>
      <w:bookmarkStart w:id="2682" w:name="section_cbffdb4854864e6ba7fde43fc3fd5f63"/>
      <w:bookmarkStart w:id="2683" w:name="_Toc69879114"/>
      <w:r>
        <w:lastRenderedPageBreak/>
        <w:t>Part 1 Section 20.1.10.55, ST_</w:t>
      </w:r>
      <w:r>
        <w:t>ShapeType (Preset Shape Types)</w:t>
      </w:r>
      <w:bookmarkEnd w:id="2682"/>
      <w:bookmarkEnd w:id="2683"/>
      <w:r>
        <w:fldChar w:fldCharType="begin"/>
      </w:r>
      <w:r>
        <w:instrText xml:space="preserve"> XE "ST_ShapeType (Preset Shape Types)" </w:instrText>
      </w:r>
      <w:r>
        <w:fldChar w:fldCharType="end"/>
      </w:r>
    </w:p>
    <w:p w:rsidR="005F78FC" w:rsidRDefault="00B42EF3">
      <w:pPr>
        <w:pStyle w:val="Definition-Field"/>
      </w:pPr>
      <w:r>
        <w:t xml:space="preserve">a.   </w:t>
      </w:r>
      <w:r>
        <w:rPr>
          <w:i/>
        </w:rPr>
        <w:t>The standard does not define the calculate values for the wd3 and hd3 preset guides.</w:t>
      </w:r>
    </w:p>
    <w:p w:rsidR="005F78FC" w:rsidRDefault="00B42EF3">
      <w:pPr>
        <w:pStyle w:val="Definition-Field2"/>
      </w:pPr>
      <w:r>
        <w:t>The wd3 preset guide represents 1/3 of the shape's width. The hd3 preset guide represents 1/3</w:t>
      </w:r>
      <w:r>
        <w:t xml:space="preserve"> of the shape's height.</w:t>
      </w:r>
    </w:p>
    <w:p w:rsidR="005F78FC" w:rsidRDefault="00B42EF3">
      <w:pPr>
        <w:pStyle w:val="Heading3"/>
      </w:pPr>
      <w:bookmarkStart w:id="2684" w:name="section_86ec6af2eea646a09d1eb2c640d0b129"/>
      <w:bookmarkStart w:id="2685" w:name="_Toc69879115"/>
      <w:r>
        <w:t>Part 1 Section 20.1.10.59, ST_TextAnchoringType (Text Anchoring Types)</w:t>
      </w:r>
      <w:bookmarkEnd w:id="2684"/>
      <w:bookmarkEnd w:id="2685"/>
      <w:r>
        <w:fldChar w:fldCharType="begin"/>
      </w:r>
      <w:r>
        <w:instrText xml:space="preserve"> XE "ST_TextAnchoringType (Text Anchoring Types)" </w:instrText>
      </w:r>
      <w:r>
        <w:fldChar w:fldCharType="end"/>
      </w:r>
    </w:p>
    <w:p w:rsidR="005F78FC" w:rsidRDefault="00B42EF3">
      <w:pPr>
        <w:pStyle w:val="Definition-Field"/>
      </w:pPr>
      <w:r>
        <w:t xml:space="preserve">a.   </w:t>
      </w:r>
      <w:r>
        <w:rPr>
          <w:i/>
        </w:rPr>
        <w:t>The standard states that dist is a valid value of the ST_TextAnchoringType simple type.</w:t>
      </w:r>
    </w:p>
    <w:p w:rsidR="005F78FC" w:rsidRDefault="00B42EF3">
      <w:pPr>
        <w:pStyle w:val="Definition-Field2"/>
      </w:pPr>
      <w:r>
        <w:t xml:space="preserve">Office does not </w:t>
      </w:r>
      <w:r>
        <w:t>allow this value on this simple type.</w:t>
      </w:r>
    </w:p>
    <w:p w:rsidR="005F78FC" w:rsidRDefault="00B42EF3">
      <w:pPr>
        <w:pStyle w:val="Definition-Field"/>
      </w:pPr>
      <w:r>
        <w:t xml:space="preserve">b.   </w:t>
      </w:r>
      <w:r>
        <w:rPr>
          <w:i/>
        </w:rPr>
        <w:t>The standard states that just is a valid value of the ST_TextAnchoringType simple type.</w:t>
      </w:r>
    </w:p>
    <w:p w:rsidR="005F78FC" w:rsidRDefault="00B42EF3">
      <w:pPr>
        <w:pStyle w:val="Definition-Field2"/>
      </w:pPr>
      <w:r>
        <w:t>Office does not allow this value on this simple type.</w:t>
      </w:r>
    </w:p>
    <w:p w:rsidR="005F78FC" w:rsidRDefault="00B42EF3">
      <w:pPr>
        <w:pStyle w:val="Heading3"/>
      </w:pPr>
      <w:bookmarkStart w:id="2686" w:name="section_4a566abf3bba434ebadc0ce4e9f21799"/>
      <w:bookmarkStart w:id="2687" w:name="_Toc69879116"/>
      <w:r>
        <w:t>Part 1 Section 20.1.10.61, ST_TextAutonumberScheme (Text Auto-number Schemes)</w:t>
      </w:r>
      <w:bookmarkEnd w:id="2686"/>
      <w:bookmarkEnd w:id="2687"/>
      <w:r>
        <w:fldChar w:fldCharType="begin"/>
      </w:r>
      <w:r>
        <w:instrText xml:space="preserve"> XE "ST_TextAutonumberScheme (Text Auto-number Schemes)" </w:instrText>
      </w:r>
      <w:r>
        <w:fldChar w:fldCharType="end"/>
      </w:r>
    </w:p>
    <w:p w:rsidR="005F78FC" w:rsidRDefault="00B42EF3">
      <w:pPr>
        <w:pStyle w:val="Definition-Field"/>
        <w:numPr>
          <w:ilvl w:val="0"/>
          <w:numId w:val="133"/>
        </w:numPr>
      </w:pPr>
      <w:r>
        <w:rPr>
          <w:i/>
        </w:rPr>
        <w:t>The standard does not clearly define TypeA and TypeC for the ea1ChsPlain and the ea1ChtPlain values of the ST_TextAuton</w:t>
      </w:r>
      <w:r>
        <w:rPr>
          <w:i/>
        </w:rPr>
        <w:t>umberScheme simple type.</w:t>
      </w:r>
    </w:p>
    <w:p w:rsidR="005F78FC" w:rsidRDefault="00B42EF3">
      <w:pPr>
        <w:pStyle w:val="Definition-Field2"/>
      </w:pPr>
      <w:r>
        <w:t xml:space="preserve">In Office, TypeA: The Chinese character “十” is used to represent 10. For example, 20 is represented as 二十 and 99 is represented as 九十九. </w:t>
      </w:r>
    </w:p>
    <w:p w:rsidR="005F78FC" w:rsidRDefault="00B42EF3">
      <w:pPr>
        <w:pStyle w:val="Definition-Field2"/>
      </w:pPr>
      <w:r>
        <w:t>TypeC: each digit is written out separately and zero is represented by the ideographic Chinese</w:t>
      </w:r>
      <w:r>
        <w:t xml:space="preserve"> character "〇". For example, 20 is represented as 二〇, 99 is represented as 九九 and 102 is represented as 一〇二.</w:t>
      </w:r>
    </w:p>
    <w:p w:rsidR="005F78FC" w:rsidRDefault="00B42EF3">
      <w:pPr>
        <w:pStyle w:val="Heading3"/>
      </w:pPr>
      <w:bookmarkStart w:id="2688" w:name="section_9f732f2ba5514c679f81139fca7f5633"/>
      <w:bookmarkStart w:id="2689" w:name="_Toc69879117"/>
      <w:r>
        <w:t>Part 1 Section 20.1.10.63, ST_TextCapsType (Text Cap Types)</w:t>
      </w:r>
      <w:bookmarkEnd w:id="2688"/>
      <w:bookmarkEnd w:id="2689"/>
      <w:r>
        <w:fldChar w:fldCharType="begin"/>
      </w:r>
      <w:r>
        <w:instrText xml:space="preserve"> XE "ST_TextCapsType (Text Cap Types)" </w:instrText>
      </w:r>
      <w:r>
        <w:fldChar w:fldCharType="end"/>
      </w:r>
    </w:p>
    <w:p w:rsidR="005F78FC" w:rsidRDefault="00B42EF3">
      <w:pPr>
        <w:pStyle w:val="Definition-Field"/>
      </w:pPr>
      <w:r>
        <w:t xml:space="preserve">a.   </w:t>
      </w:r>
      <w:r>
        <w:rPr>
          <w:i/>
        </w:rPr>
        <w:t xml:space="preserve">The standard states that the small value </w:t>
      </w:r>
      <w:r>
        <w:rPr>
          <w:i/>
        </w:rPr>
        <w:t>converts all letters to lower case.</w:t>
      </w:r>
    </w:p>
    <w:p w:rsidR="005F78FC" w:rsidRDefault="00B42EF3">
      <w:pPr>
        <w:pStyle w:val="Definition-Field2"/>
      </w:pPr>
      <w:r>
        <w:t>In Office, the small value converts all lower-case letters into upper-case letters of a smaller font size. The actual point size in the backing store is not affected.</w:t>
      </w:r>
    </w:p>
    <w:p w:rsidR="005F78FC" w:rsidRDefault="00B42EF3">
      <w:pPr>
        <w:pStyle w:val="Definition-Field"/>
      </w:pPr>
      <w:r>
        <w:t xml:space="preserve">b.   </w:t>
      </w:r>
      <w:r>
        <w:rPr>
          <w:i/>
        </w:rPr>
        <w:t>The standard does not clearly define the none va</w:t>
      </w:r>
      <w:r>
        <w:rPr>
          <w:i/>
        </w:rPr>
        <w:t>lue of the ST_TextCapsType simple type.</w:t>
      </w:r>
    </w:p>
    <w:p w:rsidR="005F78FC" w:rsidRDefault="00B42EF3">
      <w:pPr>
        <w:pStyle w:val="Definition-Field2"/>
      </w:pPr>
      <w:r>
        <w:t>Office uses this value to specify that no capitalization effects should be applied during text display and to override capitalization effects specified in styles.</w:t>
      </w:r>
    </w:p>
    <w:p w:rsidR="005F78FC" w:rsidRDefault="00B42EF3">
      <w:pPr>
        <w:pStyle w:val="Definition-Field"/>
      </w:pPr>
      <w:r>
        <w:t xml:space="preserve">c.   </w:t>
      </w:r>
      <w:r>
        <w:rPr>
          <w:i/>
        </w:rPr>
        <w:t xml:space="preserve">The standard states that the all value converts </w:t>
      </w:r>
      <w:r>
        <w:rPr>
          <w:i/>
        </w:rPr>
        <w:t>all letters to upper case.</w:t>
      </w:r>
    </w:p>
    <w:p w:rsidR="005F78FC" w:rsidRDefault="00B42EF3">
      <w:pPr>
        <w:pStyle w:val="Definition-Field2"/>
      </w:pPr>
      <w:r>
        <w:t>In Office, the all value causes text to be displayed as upper case and the original text remains unchanged in the file.</w:t>
      </w:r>
    </w:p>
    <w:p w:rsidR="005F78FC" w:rsidRDefault="00B42EF3">
      <w:pPr>
        <w:pStyle w:val="Heading3"/>
      </w:pPr>
      <w:bookmarkStart w:id="2690" w:name="section_aafaec4651ce4ded843c29edc8b74740"/>
      <w:bookmarkStart w:id="2691" w:name="_Toc69879118"/>
      <w:r>
        <w:t>Part 1 Section 20.1.10.66, ST_TextFontScalePercentOrPercentString (Text Font Scale Percentage)</w:t>
      </w:r>
      <w:bookmarkEnd w:id="2690"/>
      <w:bookmarkEnd w:id="2691"/>
      <w:r>
        <w:fldChar w:fldCharType="begin"/>
      </w:r>
      <w:r>
        <w:instrText xml:space="preserve"> XE "ST_TextFon</w:instrText>
      </w:r>
      <w:r>
        <w:instrText xml:space="preserve">tScalePercentOrPercentString (Text Font Scale Percentage)" </w:instrText>
      </w:r>
      <w:r>
        <w:fldChar w:fldCharType="end"/>
      </w:r>
    </w:p>
    <w:p w:rsidR="005F78FC" w:rsidRDefault="00B42EF3">
      <w:pPr>
        <w:pStyle w:val="Definition-Field"/>
      </w:pPr>
      <w:r>
        <w:t xml:space="preserve">a.   </w:t>
      </w:r>
      <w:r>
        <w:rPr>
          <w:i/>
        </w:rPr>
        <w:t>The standard states that ST_TextFontScalePercentOrPercentString is read and written as a percent with a trailing percent sign.</w:t>
      </w:r>
    </w:p>
    <w:p w:rsidR="005F78FC" w:rsidRDefault="00B42EF3">
      <w:pPr>
        <w:pStyle w:val="Definition-Field2"/>
      </w:pPr>
      <w:r>
        <w:t>Office will read percentages formatted with a trailing percent</w:t>
      </w:r>
      <w:r>
        <w:t xml:space="preserve"> sign or formatted as 1000th of a percent without a trailing percent sign, but only write percentages as 1000th's of a percent without a trailing percent sign.</w:t>
      </w:r>
    </w:p>
    <w:p w:rsidR="005F78FC" w:rsidRDefault="00B42EF3">
      <w:pPr>
        <w:pStyle w:val="Heading3"/>
      </w:pPr>
      <w:bookmarkStart w:id="2692" w:name="section_7669315451cf49229cff21cafdebf357"/>
      <w:bookmarkStart w:id="2693" w:name="_Toc69879119"/>
      <w:r>
        <w:lastRenderedPageBreak/>
        <w:t>Part 1 Section 20.1.10.72, ST_TextNonNegativePoint (Text Non-Negative Point)</w:t>
      </w:r>
      <w:bookmarkEnd w:id="2692"/>
      <w:bookmarkEnd w:id="2693"/>
      <w:r>
        <w:fldChar w:fldCharType="begin"/>
      </w:r>
      <w:r>
        <w:instrText xml:space="preserve"> XE "ST_TextNonNegat</w:instrText>
      </w:r>
      <w:r>
        <w:instrText xml:space="preserve">ivePoint (Text Non-Negative Point)" </w:instrText>
      </w:r>
      <w:r>
        <w:fldChar w:fldCharType="end"/>
      </w:r>
    </w:p>
    <w:p w:rsidR="005F78FC" w:rsidRDefault="00B42EF3">
      <w:pPr>
        <w:pStyle w:val="Definition-Field"/>
      </w:pPr>
      <w:r>
        <w:t xml:space="preserve">a.   </w:t>
      </w:r>
      <w:r>
        <w:rPr>
          <w:i/>
        </w:rPr>
        <w:t>The standard states that the ST_TextNonNegativePoint simple type specifies a non-negative font size in hundredths of a point.</w:t>
      </w:r>
    </w:p>
    <w:p w:rsidR="005F78FC" w:rsidRDefault="00B42EF3">
      <w:pPr>
        <w:pStyle w:val="Definition-Field2"/>
      </w:pPr>
      <w:r>
        <w:t>Office uses this type to store a non-negative size in hundredths of a point.</w:t>
      </w:r>
    </w:p>
    <w:p w:rsidR="005F78FC" w:rsidRDefault="00B42EF3">
      <w:pPr>
        <w:pStyle w:val="Heading3"/>
      </w:pPr>
      <w:bookmarkStart w:id="2694" w:name="section_0db6349e9b1d4218af884d44d4a78572"/>
      <w:bookmarkStart w:id="2695" w:name="_Toc69879120"/>
      <w:r>
        <w:t>Part 1 Se</w:t>
      </w:r>
      <w:r>
        <w:t>ction 20.1.10.73, ST_TextPoint (Text Point)</w:t>
      </w:r>
      <w:bookmarkEnd w:id="2694"/>
      <w:bookmarkEnd w:id="2695"/>
      <w:r>
        <w:fldChar w:fldCharType="begin"/>
      </w:r>
      <w:r>
        <w:instrText xml:space="preserve"> XE "ST_TextPoint (Text Point)" </w:instrText>
      </w:r>
      <w:r>
        <w:fldChar w:fldCharType="end"/>
      </w:r>
    </w:p>
    <w:p w:rsidR="005F78FC" w:rsidRDefault="00B42EF3">
      <w:pPr>
        <w:pStyle w:val="Definition-Field"/>
      </w:pPr>
      <w:r>
        <w:t xml:space="preserve">a.   </w:t>
      </w:r>
      <w:r>
        <w:rPr>
          <w:i/>
        </w:rPr>
        <w:t>The standard states that the ST_TextPoint simple type specifies a font size in hundredths of a point.</w:t>
      </w:r>
    </w:p>
    <w:p w:rsidR="005F78FC" w:rsidRDefault="00B42EF3">
      <w:pPr>
        <w:pStyle w:val="Definition-Field2"/>
      </w:pPr>
      <w:r>
        <w:t>Office uses this simple type to store a size in hundredths of a point.</w:t>
      </w:r>
    </w:p>
    <w:p w:rsidR="005F78FC" w:rsidRDefault="00B42EF3">
      <w:pPr>
        <w:pStyle w:val="Definition-Field"/>
      </w:pPr>
      <w:r>
        <w:t xml:space="preserve">b.   </w:t>
      </w:r>
      <w:r>
        <w:rPr>
          <w:i/>
        </w:rPr>
        <w:t>The standard states that ST_TextPoint is read and written as a length followed by a unit, or as hundredths of a point with no unit present.</w:t>
      </w:r>
    </w:p>
    <w:p w:rsidR="005F78FC" w:rsidRDefault="00B42EF3">
      <w:pPr>
        <w:pStyle w:val="Definition-Field2"/>
      </w:pPr>
      <w:r>
        <w:t>Office will read either a length followed by a unit or hundredths of a point with no unit present, but will wri</w:t>
      </w:r>
      <w:r>
        <w:t>te only as hundredths of a point when no units are present.</w:t>
      </w:r>
    </w:p>
    <w:p w:rsidR="005F78FC" w:rsidRDefault="00B42EF3">
      <w:pPr>
        <w:pStyle w:val="Heading3"/>
      </w:pPr>
      <w:bookmarkStart w:id="2696" w:name="section_1649147df3934898989d2ec846845f18"/>
      <w:bookmarkStart w:id="2697" w:name="_Toc69879121"/>
      <w:r>
        <w:t>Part 1 Section 20.1.10.75, ST_TextShapeType (Preset Text Shape Types)</w:t>
      </w:r>
      <w:bookmarkEnd w:id="2696"/>
      <w:bookmarkEnd w:id="2697"/>
      <w:r>
        <w:fldChar w:fldCharType="begin"/>
      </w:r>
      <w:r>
        <w:instrText xml:space="preserve"> XE "ST_TextShapeType (Preset Text Shape Types)" </w:instrText>
      </w:r>
      <w:r>
        <w:fldChar w:fldCharType="end"/>
      </w:r>
    </w:p>
    <w:p w:rsidR="005F78FC" w:rsidRDefault="00B42EF3">
      <w:pPr>
        <w:pStyle w:val="Definition-Field"/>
      </w:pPr>
      <w:r>
        <w:t xml:space="preserve">a.   </w:t>
      </w:r>
      <w:r>
        <w:rPr>
          <w:i/>
        </w:rPr>
        <w:t xml:space="preserve">The standard does not provide corresponding illustrations for preset </w:t>
      </w:r>
      <w:r>
        <w:rPr>
          <w:i/>
        </w:rPr>
        <w:t>text shape types textCircle and textDeflateTop.</w:t>
      </w:r>
    </w:p>
    <w:p w:rsidR="005F78FC" w:rsidRDefault="00B42EF3">
      <w:r>
        <w:t>In Office, the textCircle and textDeflateTop enumeration values use the following descriptions and illustrations:</w:t>
      </w:r>
    </w:p>
    <w:tbl>
      <w:tblPr>
        <w:tblStyle w:val="Table-ShadedHeader"/>
        <w:tblW w:w="0" w:type="auto"/>
        <w:tblLook w:val="04A0" w:firstRow="1" w:lastRow="0" w:firstColumn="1" w:lastColumn="0" w:noHBand="0" w:noVBand="1"/>
      </w:tblPr>
      <w:tblGrid>
        <w:gridCol w:w="3536"/>
        <w:gridCol w:w="5939"/>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Enumeration Value</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rPr>
                <w:b/>
              </w:rPr>
              <w:t>textCircle</w:t>
            </w:r>
            <w:r>
              <w:t xml:space="preserve"> (Circle Text Shape)</w:t>
            </w:r>
          </w:p>
        </w:tc>
        <w:tc>
          <w:tcPr>
            <w:tcW w:w="0" w:type="auto"/>
            <w:vAlign w:val="center"/>
          </w:tcPr>
          <w:p w:rsidR="005F78FC" w:rsidRDefault="00B42EF3">
            <w:pPr>
              <w:pStyle w:val="TableBodyText"/>
            </w:pPr>
            <w:r>
              <w:rPr>
                <w:noProof/>
              </w:rPr>
              <w:drawing>
                <wp:inline distT="0" distB="0" distL="0" distR="0">
                  <wp:extent cx="1333500" cy="1143000"/>
                  <wp:effectExtent l="0" t="0" r="0" b="0"/>
                  <wp:docPr id="342015690" name="Picture 1" descr="Text shaped in a circle" title="circle text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9001de-0000-0000-0000-000000000000" descr="Text shaped in a circle" title="circle text shape"/>
                          <pic:cNvPicPr>
                            <a:picLocks noChangeAspect="1" noChangeArrowheads="1"/>
                          </pic:cNvPicPr>
                        </pic:nvPicPr>
                        <pic:blipFill>
                          <a:blip r:embed="rId191" cstate="print"/>
                          <a:srcRect/>
                          <a:stretch>
                            <a:fillRect/>
                          </a:stretch>
                        </pic:blipFill>
                        <pic:spPr bwMode="auto">
                          <a:xfrm>
                            <a:off x="0" y="0"/>
                            <a:ext cx="1333500" cy="1143000"/>
                          </a:xfrm>
                          <a:prstGeom prst="rect">
                            <a:avLst/>
                          </a:prstGeom>
                          <a:noFill/>
                          <a:ln w="9525">
                            <a:noFill/>
                            <a:miter lim="800000"/>
                            <a:headEnd/>
                            <a:tailEnd/>
                          </a:ln>
                        </pic:spPr>
                      </pic:pic>
                    </a:graphicData>
                  </a:graphic>
                </wp:inline>
              </w:drawing>
            </w:r>
          </w:p>
          <w:p w:rsidR="005F78FC" w:rsidRDefault="00B42EF3">
            <w:pPr>
              <w:pStyle w:val="TableBodyText"/>
            </w:pPr>
            <w:r>
              <w:t xml:space="preserve">Specifies a text shape that </w:t>
            </w:r>
            <w:r>
              <w:t>shall match the normative shape shown here.</w:t>
            </w:r>
          </w:p>
        </w:tc>
      </w:tr>
      <w:tr w:rsidR="005F78FC" w:rsidTr="005F78FC">
        <w:tc>
          <w:tcPr>
            <w:tcW w:w="0" w:type="auto"/>
            <w:vAlign w:val="center"/>
          </w:tcPr>
          <w:p w:rsidR="005F78FC" w:rsidRDefault="00B42EF3">
            <w:pPr>
              <w:pStyle w:val="TableBodyText"/>
            </w:pPr>
            <w:r>
              <w:rPr>
                <w:b/>
              </w:rPr>
              <w:t>textDeflateTop</w:t>
            </w:r>
            <w:r>
              <w:t xml:space="preserve"> (Top Deflate Text Shape)</w:t>
            </w:r>
          </w:p>
        </w:tc>
        <w:tc>
          <w:tcPr>
            <w:tcW w:w="0" w:type="auto"/>
            <w:vAlign w:val="center"/>
          </w:tcPr>
          <w:p w:rsidR="005F78FC" w:rsidRDefault="00B42EF3">
            <w:pPr>
              <w:pStyle w:val="TableBodyText"/>
            </w:pPr>
            <w:r>
              <w:rPr>
                <w:noProof/>
              </w:rPr>
              <w:drawing>
                <wp:inline distT="0" distB="0" distL="0" distR="0">
                  <wp:extent cx="1781175" cy="533400"/>
                  <wp:effectExtent l="0" t="0" r="0" b="0"/>
                  <wp:docPr id="342015691" name="Picture 1" descr="Text that is smaller in the middle than it is on the ends" title="text deflat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9001e1-0000-0000-0000-000000000000" descr="Text that is smaller in the middle than it is on the ends" title="text deflate top"/>
                          <pic:cNvPicPr>
                            <a:picLocks noChangeAspect="1" noChangeArrowheads="1"/>
                          </pic:cNvPicPr>
                        </pic:nvPicPr>
                        <pic:blipFill>
                          <a:blip r:embed="rId192" cstate="print"/>
                          <a:srcRect/>
                          <a:stretch>
                            <a:fillRect/>
                          </a:stretch>
                        </pic:blipFill>
                        <pic:spPr bwMode="auto">
                          <a:xfrm>
                            <a:off x="0" y="0"/>
                            <a:ext cx="1781175" cy="533400"/>
                          </a:xfrm>
                          <a:prstGeom prst="rect">
                            <a:avLst/>
                          </a:prstGeom>
                          <a:noFill/>
                          <a:ln w="9525">
                            <a:noFill/>
                            <a:miter lim="800000"/>
                            <a:headEnd/>
                            <a:tailEnd/>
                          </a:ln>
                        </pic:spPr>
                      </pic:pic>
                    </a:graphicData>
                  </a:graphic>
                </wp:inline>
              </w:drawing>
            </w:r>
          </w:p>
          <w:p w:rsidR="005F78FC" w:rsidRDefault="00B42EF3">
            <w:pPr>
              <w:pStyle w:val="TableBodyText"/>
            </w:pPr>
            <w:r>
              <w:t>Specifies a text shape that shall match the normative shape shown here.</w:t>
            </w:r>
          </w:p>
        </w:tc>
      </w:tr>
    </w:tbl>
    <w:p w:rsidR="005F78FC" w:rsidRDefault="005F78FC"/>
    <w:p w:rsidR="005F78FC" w:rsidRDefault="00B42EF3">
      <w:pPr>
        <w:pStyle w:val="Definition-Field"/>
      </w:pPr>
      <w:r>
        <w:t xml:space="preserve">b.   </w:t>
      </w:r>
      <w:r>
        <w:rPr>
          <w:i/>
        </w:rPr>
        <w:t>The standard does not define the calculate values for the wd3 and hd3 preset guides.</w:t>
      </w:r>
    </w:p>
    <w:p w:rsidR="005F78FC" w:rsidRDefault="00B42EF3">
      <w:pPr>
        <w:pStyle w:val="Definition-Field2"/>
      </w:pPr>
      <w:r>
        <w:t>The w</w:t>
      </w:r>
      <w:r>
        <w:t>d3 preset guide represents 1/3 of the shape's width. The hd3 preset guide represents 1/3 of the shape's height.</w:t>
      </w:r>
    </w:p>
    <w:p w:rsidR="005F78FC" w:rsidRDefault="00B42EF3">
      <w:pPr>
        <w:pStyle w:val="Heading3"/>
      </w:pPr>
      <w:bookmarkStart w:id="2698" w:name="section_c4a93e8e6a084e53b18375282751b959"/>
      <w:bookmarkStart w:id="2699" w:name="_Toc69879122"/>
      <w:r>
        <w:lastRenderedPageBreak/>
        <w:t>Part 1 Section 20.1.10.76, ST_TextSpacingPercentOrPercentString (Text Spacing Percent)</w:t>
      </w:r>
      <w:bookmarkEnd w:id="2698"/>
      <w:bookmarkEnd w:id="2699"/>
      <w:r>
        <w:fldChar w:fldCharType="begin"/>
      </w:r>
      <w:r>
        <w:instrText xml:space="preserve"> XE "ST_TextSpacingPercentOrPercentString (Text Spacing Pe</w:instrText>
      </w:r>
      <w:r>
        <w:instrText xml:space="preserve">rcent)" </w:instrText>
      </w:r>
      <w:r>
        <w:fldChar w:fldCharType="end"/>
      </w:r>
    </w:p>
    <w:p w:rsidR="005F78FC" w:rsidRDefault="00B42EF3">
      <w:pPr>
        <w:pStyle w:val="Definition-Field"/>
      </w:pPr>
      <w:r>
        <w:t xml:space="preserve">a.   </w:t>
      </w:r>
      <w:r>
        <w:rPr>
          <w:i/>
        </w:rPr>
        <w:t>The standard states that ST_TextSpacingPercentOrPercentString is read and written as a percent with a trailing percent sign.</w:t>
      </w:r>
    </w:p>
    <w:p w:rsidR="005F78FC" w:rsidRDefault="00B42EF3">
      <w:pPr>
        <w:pStyle w:val="Definition-Field2"/>
      </w:pPr>
      <w:r>
        <w:t>Office will read percentages formatted with a trailing percent sign or formatted as 1000th of a percent without a t</w:t>
      </w:r>
      <w:r>
        <w:t>railing percent sign, but only write percentages as 1000th's of a percent without a trailing percent sign.</w:t>
      </w:r>
    </w:p>
    <w:p w:rsidR="005F78FC" w:rsidRDefault="00B42EF3">
      <w:pPr>
        <w:pStyle w:val="Heading3"/>
      </w:pPr>
      <w:bookmarkStart w:id="2700" w:name="section_b6aeb5af90ac41dc8964f7ba99ed5181"/>
      <w:bookmarkStart w:id="2701" w:name="_Toc69879123"/>
      <w:r>
        <w:t>Part 1 Section 20.1.10.77, ST_TextSpacingPoint (Text Spacing Point)</w:t>
      </w:r>
      <w:bookmarkEnd w:id="2700"/>
      <w:bookmarkEnd w:id="2701"/>
      <w:r>
        <w:fldChar w:fldCharType="begin"/>
      </w:r>
      <w:r>
        <w:instrText xml:space="preserve"> XE "ST_TextSpacingPoint (Text Spacing Point)" </w:instrText>
      </w:r>
      <w:r>
        <w:fldChar w:fldCharType="end"/>
      </w:r>
    </w:p>
    <w:p w:rsidR="005F78FC" w:rsidRDefault="00B42EF3">
      <w:pPr>
        <w:pStyle w:val="Definition-Field"/>
      </w:pPr>
      <w:r>
        <w:t xml:space="preserve">a.   </w:t>
      </w:r>
      <w:r>
        <w:rPr>
          <w:i/>
        </w:rPr>
        <w:t xml:space="preserve">The standard states that </w:t>
      </w:r>
      <w:r>
        <w:rPr>
          <w:i/>
        </w:rPr>
        <w:t>the ST_TextSpacingPoint simple type specifies the text spacing that will be used in terms of font point size.</w:t>
      </w:r>
    </w:p>
    <w:p w:rsidR="005F78FC" w:rsidRDefault="00B42EF3">
      <w:pPr>
        <w:pStyle w:val="Definition-Field2"/>
      </w:pPr>
      <w:r>
        <w:t>Office uses this simple type to specify the size, in hundredths of a point, to be used for text spacing.</w:t>
      </w:r>
    </w:p>
    <w:p w:rsidR="005F78FC" w:rsidRDefault="00B42EF3">
      <w:pPr>
        <w:pStyle w:val="Heading3"/>
      </w:pPr>
      <w:bookmarkStart w:id="2702" w:name="section_94ad7a5d0d0a4e7c926e3dca76cde068"/>
      <w:bookmarkStart w:id="2703" w:name="_Toc69879124"/>
      <w:r>
        <w:t>Part 1 Section 20.1.10.81, ST_TextUnderli</w:t>
      </w:r>
      <w:r>
        <w:t>neType (Text Underline Types)</w:t>
      </w:r>
      <w:bookmarkEnd w:id="2702"/>
      <w:bookmarkEnd w:id="2703"/>
      <w:r>
        <w:fldChar w:fldCharType="begin"/>
      </w:r>
      <w:r>
        <w:instrText xml:space="preserve"> XE "ST_TextUnderlineType (Text Underline Types)" </w:instrText>
      </w:r>
      <w:r>
        <w:fldChar w:fldCharType="end"/>
      </w:r>
    </w:p>
    <w:p w:rsidR="005F78FC" w:rsidRDefault="00B42EF3">
      <w:pPr>
        <w:pStyle w:val="Definition-Field"/>
      </w:pPr>
      <w:r>
        <w:t xml:space="preserve">a.   </w:t>
      </w:r>
      <w:r>
        <w:rPr>
          <w:i/>
        </w:rPr>
        <w:t>The standard states that the words underline type will underline only the words and not the spaces in a text run.</w:t>
      </w:r>
    </w:p>
    <w:p w:rsidR="005F78FC" w:rsidRDefault="00B42EF3">
      <w:pPr>
        <w:pStyle w:val="Definition-Field2"/>
      </w:pPr>
      <w:r>
        <w:t xml:space="preserve">Office does not support the words underline type. When </w:t>
      </w:r>
      <w:r>
        <w:t>loaded, Office displays this as a single underline.</w:t>
      </w:r>
    </w:p>
    <w:p w:rsidR="005F78FC" w:rsidRDefault="00B42EF3">
      <w:pPr>
        <w:pStyle w:val="Heading3"/>
      </w:pPr>
      <w:bookmarkStart w:id="2704" w:name="section_dcb46a27897049cb9106c3c689606092"/>
      <w:bookmarkStart w:id="2705" w:name="_Toc69879125"/>
      <w:r>
        <w:t>Part 1 Section 20.1.10.85, ST_TextWrappingType (Text Wrapping Types)</w:t>
      </w:r>
      <w:bookmarkEnd w:id="2704"/>
      <w:bookmarkEnd w:id="2705"/>
      <w:r>
        <w:fldChar w:fldCharType="begin"/>
      </w:r>
      <w:r>
        <w:instrText xml:space="preserve"> XE "ST_TextWrappingType (Text Wrapping Types)" </w:instrText>
      </w:r>
      <w:r>
        <w:fldChar w:fldCharType="end"/>
      </w:r>
    </w:p>
    <w:p w:rsidR="005F78FC" w:rsidRDefault="00B42EF3">
      <w:pPr>
        <w:pStyle w:val="Default"/>
        <w:numPr>
          <w:ilvl w:val="0"/>
          <w:numId w:val="134"/>
        </w:numPr>
        <w:rPr>
          <w:i/>
        </w:rPr>
      </w:pPr>
      <w:r>
        <w:rPr>
          <w:i/>
        </w:rPr>
        <w:t>The standard states that for text wrapping type enum value none, “words spill out wit</w:t>
      </w:r>
      <w:r>
        <w:rPr>
          <w:i/>
        </w:rPr>
        <w:t xml:space="preserve">hout paying attention to the bounding rectangle bodies.” </w:t>
      </w:r>
    </w:p>
    <w:p w:rsidR="005F78FC" w:rsidRDefault="00B42EF3">
      <w:pPr>
        <w:ind w:left="360"/>
      </w:pPr>
      <w:r>
        <w:t>Word allows the text to flow to the maximum width of the shape’s anchor’s parent container and then draws any bounding boxes around the text. For example, a parent container can be, but is not limit</w:t>
      </w:r>
      <w:r>
        <w:t xml:space="preserve">ed to, a page column or a page. </w:t>
      </w:r>
    </w:p>
    <w:p w:rsidR="005F78FC" w:rsidRDefault="00B42EF3">
      <w:pPr>
        <w:pStyle w:val="Heading3"/>
      </w:pPr>
      <w:bookmarkStart w:id="2706" w:name="section_7a3dbb2768c744d2bf351eb7a2490a01"/>
      <w:bookmarkStart w:id="2707" w:name="_Toc69879126"/>
      <w:r>
        <w:t>Part 1 Section 20.2.2.1, blipFill (Picture Fill)</w:t>
      </w:r>
      <w:bookmarkEnd w:id="2706"/>
      <w:bookmarkEnd w:id="2707"/>
      <w:r>
        <w:fldChar w:fldCharType="begin"/>
      </w:r>
      <w:r>
        <w:instrText xml:space="preserve"> XE "blipFill (Picture Fill)"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0329492820b44cdd9ecdac4d63dc4674">
        <w:r>
          <w:rPr>
            <w:rStyle w:val="Hyperlink"/>
          </w:rPr>
          <w:t>blipFill, §21.3.2.2(a)</w:t>
        </w:r>
      </w:hyperlink>
      <w:r>
        <w:rPr>
          <w:i/>
        </w:rPr>
        <w:t>.</w:t>
      </w:r>
    </w:p>
    <w:p w:rsidR="005F78FC" w:rsidRDefault="00B42EF3">
      <w:pPr>
        <w:pStyle w:val="Heading3"/>
      </w:pPr>
      <w:bookmarkStart w:id="2708" w:name="section_45cb497a7eb64efcb9e97b4aa967b7ea"/>
      <w:bookmarkStart w:id="2709" w:name="_Toc69879127"/>
      <w:r>
        <w:t>Part 1 Section 20.2.2.6, spPr (Shape Properties)</w:t>
      </w:r>
      <w:bookmarkEnd w:id="2708"/>
      <w:bookmarkEnd w:id="2709"/>
      <w:r>
        <w:fldChar w:fldCharType="begin"/>
      </w:r>
      <w:r>
        <w:instrText xml:space="preserve"> XE "spPr (Shape Properties)"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rsidR="005F78FC" w:rsidRDefault="00B42EF3">
      <w:pPr>
        <w:pStyle w:val="Heading3"/>
      </w:pPr>
      <w:bookmarkStart w:id="2710" w:name="section_21286105b705441b9cc5d423121ec06a"/>
      <w:bookmarkStart w:id="2711" w:name="_Toc69879128"/>
      <w:r>
        <w:t>Part 1 Section 20.4.2.3, anchor (Anchor for Floating DrawingML Object)</w:t>
      </w:r>
      <w:bookmarkEnd w:id="2710"/>
      <w:bookmarkEnd w:id="2711"/>
      <w:r>
        <w:fldChar w:fldCharType="begin"/>
      </w:r>
      <w:r>
        <w:instrText xml:space="preserve"> XE "anchor (Anchor for Floating DrawingML Object)" </w:instrText>
      </w:r>
      <w:r>
        <w:fldChar w:fldCharType="end"/>
      </w:r>
    </w:p>
    <w:p w:rsidR="005F78FC" w:rsidRDefault="00B42EF3">
      <w:pPr>
        <w:pStyle w:val="Definition-Field"/>
      </w:pPr>
      <w:r>
        <w:t xml:space="preserve">a.   </w:t>
      </w:r>
      <w:r>
        <w:rPr>
          <w:i/>
        </w:rPr>
        <w:t>The standard states that when the hidden attribute is true the object is not displayed.</w:t>
      </w:r>
    </w:p>
    <w:p w:rsidR="005F78FC" w:rsidRDefault="00B42EF3">
      <w:pPr>
        <w:pStyle w:val="Definition-Field2"/>
      </w:pPr>
      <w:r>
        <w:t>Word does not support this attribute and its value is not retained on save.</w:t>
      </w:r>
    </w:p>
    <w:p w:rsidR="005F78FC" w:rsidRDefault="00B42EF3">
      <w:pPr>
        <w:pStyle w:val="Heading3"/>
      </w:pPr>
      <w:bookmarkStart w:id="2712" w:name="section_e7d7aeab16eb4963933839953b8fee37"/>
      <w:bookmarkStart w:id="2713" w:name="_Toc69879129"/>
      <w:r>
        <w:t>Part 1 Section 20.4.2.5, docPr (Drawing Object Non-Visual Properties)</w:t>
      </w:r>
      <w:bookmarkEnd w:id="2712"/>
      <w:bookmarkEnd w:id="2713"/>
      <w:r>
        <w:fldChar w:fldCharType="begin"/>
      </w:r>
      <w:r>
        <w:instrText xml:space="preserve"> XE "docPr (Drawing Object Non-Visual Properties)" </w:instrText>
      </w:r>
      <w:r>
        <w:fldChar w:fldCharType="end"/>
      </w:r>
    </w:p>
    <w:p w:rsidR="005F78FC" w:rsidRDefault="00B42EF3">
      <w:pPr>
        <w:pStyle w:val="Definition-Field"/>
      </w:pPr>
      <w:r>
        <w:t xml:space="preserve">a.   </w:t>
      </w:r>
      <w:r>
        <w:rPr>
          <w:i/>
        </w:rPr>
        <w:t xml:space="preserve">The standard states that 0 is a valid value for the </w:t>
      </w:r>
      <w:r>
        <w:rPr>
          <w:i/>
        </w:rPr>
        <w:t>id attribute.</w:t>
      </w:r>
    </w:p>
    <w:p w:rsidR="005F78FC" w:rsidRDefault="00B42EF3">
      <w:pPr>
        <w:pStyle w:val="Definition-Field2"/>
      </w:pPr>
      <w:r>
        <w:t>Word will fail to load a file if the id attribute is a value of 0.</w:t>
      </w:r>
    </w:p>
    <w:p w:rsidR="005F78FC" w:rsidRDefault="00B42EF3">
      <w:pPr>
        <w:pStyle w:val="Definition-Field"/>
      </w:pPr>
      <w:r>
        <w:lastRenderedPageBreak/>
        <w:t xml:space="preserve">b.   </w:t>
      </w:r>
      <w:r>
        <w:rPr>
          <w:i/>
        </w:rPr>
        <w:t>The standard states that the id attribute is an unsigned integer.</w:t>
      </w:r>
    </w:p>
    <w:p w:rsidR="005F78FC" w:rsidRDefault="00B42EF3">
      <w:pPr>
        <w:pStyle w:val="Definition-Field2"/>
      </w:pPr>
      <w:r>
        <w:t>Word will fail to load a file if the id attribute is a value is greater than 2147483646 (the largest 32-</w:t>
      </w:r>
      <w:r>
        <w:t>bit signed integer minus one).</w:t>
      </w:r>
    </w:p>
    <w:p w:rsidR="005F78FC" w:rsidRDefault="00B42EF3">
      <w:pPr>
        <w:pStyle w:val="Heading3"/>
      </w:pPr>
      <w:bookmarkStart w:id="2714" w:name="section_f1c2e75590484bdb96b5a6bf36caafcf"/>
      <w:bookmarkStart w:id="2715" w:name="_Toc69879130"/>
      <w:r>
        <w:t>Part 1 Section 20.4.2.6, effectExtent (Object Extents Including Effects)</w:t>
      </w:r>
      <w:bookmarkEnd w:id="2714"/>
      <w:bookmarkEnd w:id="2715"/>
      <w:r>
        <w:fldChar w:fldCharType="begin"/>
      </w:r>
      <w:r>
        <w:instrText xml:space="preserve"> XE "effectExtent (Object Extents Including Effects)" </w:instrText>
      </w:r>
      <w:r>
        <w:fldChar w:fldCharType="end"/>
      </w:r>
    </w:p>
    <w:p w:rsidR="005F78FC" w:rsidRDefault="00B42EF3">
      <w:pPr>
        <w:pStyle w:val="Definition-Field"/>
      </w:pPr>
      <w:r>
        <w:t xml:space="preserve">a.   </w:t>
      </w:r>
      <w:r>
        <w:rPr>
          <w:i/>
        </w:rPr>
        <w:t>The standard states that the l, r, and t attributes specify the additional length that shal</w:t>
      </w:r>
      <w:r>
        <w:rPr>
          <w:i/>
        </w:rPr>
        <w:t>l be added to the bottom edge of the DrawingML object to determine its actual bottom edge.</w:t>
      </w:r>
    </w:p>
    <w:p w:rsidR="005F78FC" w:rsidRDefault="00B42EF3">
      <w:pPr>
        <w:pStyle w:val="Definition-Field2"/>
      </w:pPr>
      <w:r>
        <w:t>Office uses these attributes to specify the additional length that shall be added to the left, right, and top edges, respectively, of the DrawingML object to determi</w:t>
      </w:r>
      <w:r>
        <w:t>ne its actual left, right, and top edges, respectively.</w:t>
      </w:r>
    </w:p>
    <w:p w:rsidR="005F78FC" w:rsidRDefault="00B42EF3">
      <w:pPr>
        <w:pStyle w:val="Heading3"/>
      </w:pPr>
      <w:bookmarkStart w:id="2716" w:name="section_bb6c413fe6294c9c8fdc22b1138be12e"/>
      <w:bookmarkStart w:id="2717" w:name="_Toc69879131"/>
      <w:r>
        <w:t>Part 1 Section 20.4.2.7, extent (Drawing Object Size)</w:t>
      </w:r>
      <w:bookmarkEnd w:id="2716"/>
      <w:bookmarkEnd w:id="2717"/>
      <w:r>
        <w:fldChar w:fldCharType="begin"/>
      </w:r>
      <w:r>
        <w:instrText xml:space="preserve"> XE "extent (Drawing Object Size)"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0e03e978d5d44dc1b3ada77bbb361cfe">
        <w:r>
          <w:rPr>
            <w:rStyle w:val="Hyperlink"/>
          </w:rPr>
          <w:t>ext, §21.3.2.10(a)</w:t>
        </w:r>
      </w:hyperlink>
      <w:r>
        <w:rPr>
          <w:i/>
        </w:rPr>
        <w:t>.</w:t>
      </w:r>
    </w:p>
    <w:p w:rsidR="005F78FC" w:rsidRDefault="00B42EF3">
      <w:pPr>
        <w:pStyle w:val="Heading3"/>
      </w:pPr>
      <w:bookmarkStart w:id="2718" w:name="section_351591f1308643f6ae05df9d004e653c"/>
      <w:bookmarkStart w:id="2719" w:name="_Toc69879132"/>
      <w:r>
        <w:t>Part 1 Section 20.4.2.9, lineTo (Wrapping Polygon Line End Position)</w:t>
      </w:r>
      <w:bookmarkEnd w:id="2718"/>
      <w:bookmarkEnd w:id="2719"/>
      <w:r>
        <w:fldChar w:fldCharType="begin"/>
      </w:r>
      <w:r>
        <w:instrText xml:space="preserve"> XE "lineTo (Wrapping Polygon Line End Position)"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5F78FC" w:rsidRDefault="00B42EF3">
      <w:pPr>
        <w:pStyle w:val="Definition-Field"/>
      </w:pPr>
      <w:r>
        <w:t xml:space="preserve">a.   </w:t>
      </w:r>
      <w:r>
        <w:rPr>
          <w:i/>
        </w:rPr>
        <w:t>The standard states that the x and y attributes are represented in EMUs.</w:t>
      </w:r>
    </w:p>
    <w:p w:rsidR="005F78FC" w:rsidRDefault="00B42EF3">
      <w:pPr>
        <w:pStyle w:val="Definition-Field2"/>
      </w:pPr>
      <w:r>
        <w:t>Offi</w:t>
      </w:r>
      <w:r>
        <w:t>ce interprets the x and y attributes in a fixed coordinate space of 21600x21600.</w:t>
      </w:r>
    </w:p>
    <w:p w:rsidR="005F78FC" w:rsidRDefault="00B42EF3">
      <w:pPr>
        <w:pStyle w:val="Heading3"/>
      </w:pPr>
      <w:bookmarkStart w:id="2720" w:name="section_8aee936cdf55410c88707cb257d71f26"/>
      <w:bookmarkStart w:id="2721" w:name="_Toc69879133"/>
      <w:r>
        <w:t>Part 1 Section 20.4.2.11, positionV (Vertical Positioning)</w:t>
      </w:r>
      <w:bookmarkEnd w:id="2720"/>
      <w:bookmarkEnd w:id="2721"/>
      <w:r>
        <w:fldChar w:fldCharType="begin"/>
      </w:r>
      <w:r>
        <w:instrText xml:space="preserve"> XE "positionV (Vertical Positioning)" </w:instrText>
      </w:r>
      <w:r>
        <w:fldChar w:fldCharType="end"/>
      </w:r>
    </w:p>
    <w:p w:rsidR="005F78FC" w:rsidRDefault="00B42EF3">
      <w:pPr>
        <w:pStyle w:val="Definition-Field"/>
      </w:pPr>
      <w:r>
        <w:t xml:space="preserve">a.   </w:t>
      </w:r>
      <w:r>
        <w:rPr>
          <w:i/>
        </w:rPr>
        <w:t>The standard states that paragraph is a valid value of the relativeFro</w:t>
      </w:r>
      <w:r>
        <w:rPr>
          <w:i/>
        </w:rPr>
        <w:t>m attribute.</w:t>
      </w:r>
    </w:p>
    <w:p w:rsidR="005F78FC" w:rsidRDefault="00B42EF3">
      <w:pPr>
        <w:pStyle w:val="Definition-Field2"/>
      </w:pPr>
      <w:r>
        <w:t>Word does not allow this value on this attribute.</w:t>
      </w:r>
    </w:p>
    <w:p w:rsidR="005F78FC" w:rsidRDefault="00B42EF3">
      <w:pPr>
        <w:pStyle w:val="Heading3"/>
      </w:pPr>
      <w:bookmarkStart w:id="2722" w:name="section_2897355e41e04be5a27ea94fe8c6de66"/>
      <w:bookmarkStart w:id="2723" w:name="_Toc69879134"/>
      <w:r>
        <w:t>Part 1 Section 20.4.2.13, simplePos (Simple Positioning Coordinates)</w:t>
      </w:r>
      <w:bookmarkEnd w:id="2722"/>
      <w:bookmarkEnd w:id="2723"/>
      <w:r>
        <w:fldChar w:fldCharType="begin"/>
      </w:r>
      <w:r>
        <w:instrText xml:space="preserve"> XE "simplePos (Simple Positioning Coordinates)" </w:instrText>
      </w:r>
      <w:r>
        <w:fldChar w:fldCharType="end"/>
      </w:r>
    </w:p>
    <w:p w:rsidR="005F78FC" w:rsidRDefault="00B42EF3">
      <w:pPr>
        <w:pStyle w:val="Definition-Field2"/>
      </w:pPr>
      <w:r>
        <w:rPr>
          <w:i/>
        </w:rPr>
        <w:t>For additional notes that apply to this portion of the standard, please s</w:t>
      </w:r>
      <w:r>
        <w:rPr>
          <w:i/>
        </w:rPr>
        <w:t xml:space="preserve">ee the notes for </w:t>
      </w:r>
      <w:hyperlink w:anchor="Section_bb0ea49131314a6aadc803f173655076">
        <w:r>
          <w:rPr>
            <w:rStyle w:val="Hyperlink"/>
          </w:rPr>
          <w:t>chOff, §20.1.7.2(b)</w:t>
        </w:r>
      </w:hyperlink>
      <w:r>
        <w:rPr>
          <w:i/>
        </w:rPr>
        <w:t>.</w:t>
      </w:r>
    </w:p>
    <w:p w:rsidR="005F78FC" w:rsidRDefault="00B42EF3">
      <w:pPr>
        <w:pStyle w:val="Heading3"/>
      </w:pPr>
      <w:bookmarkStart w:id="2724" w:name="section_66c78b0f4a004202973efe6762037678"/>
      <w:bookmarkStart w:id="2725" w:name="_Toc69879135"/>
      <w:r>
        <w:t>Part 1 Section 20.4.2.14, start (Wrapping Polygon Start)</w:t>
      </w:r>
      <w:bookmarkEnd w:id="2724"/>
      <w:bookmarkEnd w:id="2725"/>
      <w:r>
        <w:fldChar w:fldCharType="begin"/>
      </w:r>
      <w:r>
        <w:instrText xml:space="preserve"> XE "start (Wrapping Polygon Start)" </w:instrText>
      </w:r>
      <w:r>
        <w:fldChar w:fldCharType="end"/>
      </w:r>
    </w:p>
    <w:p w:rsidR="005F78FC" w:rsidRDefault="00B42EF3">
      <w:pPr>
        <w:pStyle w:val="Definition-Field2"/>
      </w:pPr>
      <w:r>
        <w:rPr>
          <w:i/>
        </w:rPr>
        <w:t>For additional notes that apply to this portion of the stan</w:t>
      </w:r>
      <w:r>
        <w:rPr>
          <w:i/>
        </w:rPr>
        <w:t xml:space="preserve">dard, please see the notes for </w:t>
      </w:r>
      <w:hyperlink w:anchor="Section_bb0ea49131314a6aadc803f173655076">
        <w:r>
          <w:rPr>
            <w:rStyle w:val="Hyperlink"/>
          </w:rPr>
          <w:t>chOff, §20.1.7.2(b)</w:t>
        </w:r>
      </w:hyperlink>
      <w:r>
        <w:rPr>
          <w:i/>
        </w:rPr>
        <w:t>.</w:t>
      </w:r>
    </w:p>
    <w:p w:rsidR="005F78FC" w:rsidRDefault="00B42EF3">
      <w:pPr>
        <w:pStyle w:val="Definition-Field"/>
      </w:pPr>
      <w:r>
        <w:t xml:space="preserve">a.   </w:t>
      </w:r>
      <w:r>
        <w:rPr>
          <w:i/>
        </w:rPr>
        <w:t>The standard states that the x and y attributes are represented in EMUs.</w:t>
      </w:r>
    </w:p>
    <w:p w:rsidR="005F78FC" w:rsidRDefault="00B42EF3">
      <w:pPr>
        <w:pStyle w:val="Definition-Field2"/>
      </w:pPr>
      <w:r>
        <w:t xml:space="preserve">Office interprets the x and y attributes in a fixed coordinate </w:t>
      </w:r>
      <w:r>
        <w:t>space of 21600x21600.</w:t>
      </w:r>
    </w:p>
    <w:p w:rsidR="005F78FC" w:rsidRDefault="00B42EF3">
      <w:pPr>
        <w:pStyle w:val="Heading3"/>
      </w:pPr>
      <w:bookmarkStart w:id="2726" w:name="section_402ec9e26e424ba9a866742937152087"/>
      <w:bookmarkStart w:id="2727" w:name="_Toc69879136"/>
      <w:r>
        <w:t>Part 1 Section 20.5.2.2, blipFill (Picture Fill)</w:t>
      </w:r>
      <w:bookmarkEnd w:id="2726"/>
      <w:bookmarkEnd w:id="2727"/>
      <w:r>
        <w:fldChar w:fldCharType="begin"/>
      </w:r>
      <w:r>
        <w:instrText xml:space="preserve"> XE "blipFill (Picture Fill)"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0329492820b44cdd9ecdac4d63dc4674">
        <w:r>
          <w:rPr>
            <w:rStyle w:val="Hyperlink"/>
          </w:rPr>
          <w:t>blipFill, §21.3.2.2(a)</w:t>
        </w:r>
      </w:hyperlink>
      <w:r>
        <w:rPr>
          <w:i/>
        </w:rPr>
        <w:t>.</w:t>
      </w:r>
    </w:p>
    <w:p w:rsidR="005F78FC" w:rsidRDefault="00B42EF3">
      <w:pPr>
        <w:pStyle w:val="Heading3"/>
      </w:pPr>
      <w:bookmarkStart w:id="2728" w:name="section_3d4d8b5b07bd48f588194c8adae68ad3"/>
      <w:bookmarkStart w:id="2729" w:name="_Toc69879137"/>
      <w:r>
        <w:t>Part 1 Section 20.5.2.8, cNvPr (Non-Visual Drawing Properties)</w:t>
      </w:r>
      <w:bookmarkEnd w:id="2728"/>
      <w:bookmarkEnd w:id="2729"/>
      <w:r>
        <w:fldChar w:fldCharType="begin"/>
      </w:r>
      <w:r>
        <w:instrText xml:space="preserve"> XE "cNvPr (Non-Visual Drawing Properties)" </w:instrText>
      </w:r>
      <w:r>
        <w:fldChar w:fldCharType="end"/>
      </w:r>
    </w:p>
    <w:p w:rsidR="005F78FC" w:rsidRDefault="00B42EF3">
      <w:pPr>
        <w:pStyle w:val="Definition-Field"/>
      </w:pPr>
      <w:r>
        <w:t xml:space="preserve">a.   </w:t>
      </w:r>
      <w:r>
        <w:rPr>
          <w:i/>
        </w:rPr>
        <w:t>The standard includes hlinkHover as a child of cNvPr.</w:t>
      </w:r>
    </w:p>
    <w:p w:rsidR="005F78FC" w:rsidRDefault="00B42EF3">
      <w:pPr>
        <w:pStyle w:val="Definition-Field2"/>
      </w:pPr>
      <w:r>
        <w:lastRenderedPageBreak/>
        <w:t>Excel does not support child element hlinkHover.</w:t>
      </w:r>
    </w:p>
    <w:p w:rsidR="005F78FC" w:rsidRDefault="00B42EF3">
      <w:pPr>
        <w:pStyle w:val="Heading3"/>
      </w:pPr>
      <w:bookmarkStart w:id="2730" w:name="section_bbed63eb85914393833e85b7e01a40df"/>
      <w:bookmarkStart w:id="2731" w:name="_Toc69879138"/>
      <w:r>
        <w:t>Part 1 Section 20.5.2.9, cNvSpPr (Connection Non-Visual Shape Properties)</w:t>
      </w:r>
      <w:bookmarkEnd w:id="2730"/>
      <w:bookmarkEnd w:id="2731"/>
      <w:r>
        <w:fldChar w:fldCharType="begin"/>
      </w:r>
      <w:r>
        <w:instrText xml:space="preserve"> XE "cNvSpPr (Connection Non-Visual Shape Properties)" </w:instrText>
      </w:r>
      <w:r>
        <w:fldChar w:fldCharType="end"/>
      </w:r>
    </w:p>
    <w:p w:rsidR="005F78FC" w:rsidRDefault="00B42EF3">
      <w:pPr>
        <w:pStyle w:val="Definition-Field"/>
      </w:pPr>
      <w:r>
        <w:t xml:space="preserve">a.   </w:t>
      </w:r>
      <w:r>
        <w:rPr>
          <w:i/>
        </w:rPr>
        <w:t>The standard implies that the cNvSpPr element describes the non-visual properties for a connection shape.</w:t>
      </w:r>
    </w:p>
    <w:p w:rsidR="005F78FC" w:rsidRDefault="00B42EF3">
      <w:pPr>
        <w:pStyle w:val="Definition-Field2"/>
      </w:pPr>
      <w:r>
        <w:t xml:space="preserve">In Office and </w:t>
      </w:r>
      <w:r>
        <w:t>the schema, this element describes the non-visual properties for a shape.</w:t>
      </w:r>
    </w:p>
    <w:p w:rsidR="005F78FC" w:rsidRDefault="00B42EF3">
      <w:pPr>
        <w:pStyle w:val="Heading3"/>
      </w:pPr>
      <w:bookmarkStart w:id="2732" w:name="section_dd4af5b20e014bc08c6bce9ac6611646"/>
      <w:bookmarkStart w:id="2733" w:name="_Toc69879139"/>
      <w:r>
        <w:t>Part 1 Section 20.5.2.10, col (Column))</w:t>
      </w:r>
      <w:bookmarkEnd w:id="2732"/>
      <w:bookmarkEnd w:id="2733"/>
      <w:r>
        <w:fldChar w:fldCharType="begin"/>
      </w:r>
      <w:r>
        <w:instrText xml:space="preserve"> XE "col (Column))" </w:instrText>
      </w:r>
      <w:r>
        <w:fldChar w:fldCharType="end"/>
      </w:r>
    </w:p>
    <w:p w:rsidR="005F78FC" w:rsidRDefault="00B42EF3">
      <w:pPr>
        <w:pStyle w:val="Definition-Field"/>
      </w:pPr>
      <w:r>
        <w:t xml:space="preserve">a.   </w:t>
      </w:r>
      <w:r>
        <w:rPr>
          <w:i/>
        </w:rPr>
        <w:t>The standard specifies the maximum number of columns as unbounded.</w:t>
      </w:r>
    </w:p>
    <w:p w:rsidR="005F78FC" w:rsidRDefault="00B42EF3">
      <w:pPr>
        <w:pStyle w:val="Definition-Field2"/>
      </w:pPr>
      <w:r>
        <w:t>In Excel, the maximum number of columns is 16383</w:t>
      </w:r>
      <w:r>
        <w:t>.</w:t>
      </w:r>
    </w:p>
    <w:p w:rsidR="005F78FC" w:rsidRDefault="00B42EF3">
      <w:pPr>
        <w:pStyle w:val="Heading3"/>
      </w:pPr>
      <w:bookmarkStart w:id="2734" w:name="section_f7105a1c34964b13952237af2be9823d"/>
      <w:bookmarkStart w:id="2735" w:name="_Toc69879140"/>
      <w:r>
        <w:t>Part 1 Section 20.5.2.11, colOff (Column Offset)</w:t>
      </w:r>
      <w:bookmarkEnd w:id="2734"/>
      <w:bookmarkEnd w:id="2735"/>
      <w:r>
        <w:fldChar w:fldCharType="begin"/>
      </w:r>
      <w:r>
        <w:instrText xml:space="preserve"> XE "colOff (Column Offset)" </w:instrText>
      </w:r>
      <w:r>
        <w:fldChar w:fldCharType="end"/>
      </w:r>
    </w:p>
    <w:p w:rsidR="005F78FC" w:rsidRDefault="00B42EF3">
      <w:pPr>
        <w:pStyle w:val="Definition-Field"/>
      </w:pPr>
      <w:r>
        <w:t xml:space="preserve">a.   </w:t>
      </w:r>
      <w:r>
        <w:rPr>
          <w:i/>
        </w:rPr>
        <w:t>The standard states that the colOff element accepts any value up to 27273042316900.</w:t>
      </w:r>
    </w:p>
    <w:p w:rsidR="005F78FC" w:rsidRDefault="00B42EF3">
      <w:pPr>
        <w:pStyle w:val="Definition-Field2"/>
      </w:pPr>
      <w:r>
        <w:t>Office does not draw the shape if colOff has a value over 20454781742437.</w:t>
      </w:r>
    </w:p>
    <w:p w:rsidR="005F78FC" w:rsidRDefault="00B42EF3">
      <w:pPr>
        <w:pStyle w:val="Heading3"/>
      </w:pPr>
      <w:bookmarkStart w:id="2736" w:name="section_c39b2737700f49d68c31f480ac51f5c6"/>
      <w:bookmarkStart w:id="2737" w:name="_Toc69879141"/>
      <w:r>
        <w:t>Part 1 Sect</w:t>
      </w:r>
      <w:r>
        <w:t>ion 20.5.2.13, cxnSp (Connection Shape)</w:t>
      </w:r>
      <w:bookmarkEnd w:id="2736"/>
      <w:bookmarkEnd w:id="2737"/>
      <w:r>
        <w:fldChar w:fldCharType="begin"/>
      </w:r>
      <w:r>
        <w:instrText xml:space="preserve"> XE "cxnSp (Connection Shape)" </w:instrText>
      </w:r>
      <w:r>
        <w:fldChar w:fldCharType="end"/>
      </w:r>
    </w:p>
    <w:p w:rsidR="005F78FC" w:rsidRDefault="00B42EF3">
      <w:pPr>
        <w:pStyle w:val="Definition-Field"/>
      </w:pPr>
      <w:r>
        <w:t xml:space="preserve">a.   </w:t>
      </w:r>
      <w:r>
        <w:rPr>
          <w:i/>
        </w:rPr>
        <w:t>The standard states that the values of the macro attribute are defined by the XML Schema string datatype.</w:t>
      </w:r>
    </w:p>
    <w:p w:rsidR="005F78FC" w:rsidRDefault="00B42EF3">
      <w:pPr>
        <w:pStyle w:val="Definition-Field2"/>
      </w:pPr>
      <w:r>
        <w:t>Office requires that the macro attribute value follow the same grammar a</w:t>
      </w:r>
      <w:r>
        <w:t>s name-references ("</w:t>
      </w:r>
      <w:hyperlink r:id="rId193">
        <w:r>
          <w:rPr>
            <w:rStyle w:val="Hyperlink"/>
          </w:rPr>
          <w:t>[ISO/IEC-29500-1]</w:t>
        </w:r>
      </w:hyperlink>
      <w:r>
        <w:t xml:space="preserve"> §18.17.2.5") with a minimum length of 0 characters and a maximum length of 256 characters.</w:t>
      </w:r>
    </w:p>
    <w:p w:rsidR="005F78FC" w:rsidRDefault="00B42EF3">
      <w:pPr>
        <w:pStyle w:val="Heading3"/>
      </w:pPr>
      <w:bookmarkStart w:id="2738" w:name="section_d0cb27de1bb348c392d04ce443c8073a"/>
      <w:bookmarkStart w:id="2739" w:name="_Toc69879142"/>
      <w:r>
        <w:t>Part 1 Section 20.5.2.14, ext (Shape Extent)</w:t>
      </w:r>
      <w:bookmarkEnd w:id="2738"/>
      <w:bookmarkEnd w:id="2739"/>
      <w:r>
        <w:fldChar w:fldCharType="begin"/>
      </w:r>
      <w:r>
        <w:instrText xml:space="preserve"> XE "ext (Shape Extent)"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0e03e978d5d44dc1b3ada77bbb361cfe">
        <w:r>
          <w:rPr>
            <w:rStyle w:val="Hyperlink"/>
          </w:rPr>
          <w:t>ext, §21.3.2.10(a)</w:t>
        </w:r>
      </w:hyperlink>
      <w:r>
        <w:rPr>
          <w:i/>
        </w:rPr>
        <w:t>.</w:t>
      </w:r>
    </w:p>
    <w:p w:rsidR="005F78FC" w:rsidRDefault="00B42EF3">
      <w:pPr>
        <w:pStyle w:val="Heading3"/>
      </w:pPr>
      <w:bookmarkStart w:id="2740" w:name="section_e1dfdbace29c4c9e94769f52adaacd00"/>
      <w:bookmarkStart w:id="2741" w:name="_Toc69879143"/>
      <w:r>
        <w:t>Part 1 Section 20.5.2.15, from (Starting Anchor Point)</w:t>
      </w:r>
      <w:bookmarkEnd w:id="2740"/>
      <w:bookmarkEnd w:id="2741"/>
      <w:r>
        <w:fldChar w:fldCharType="begin"/>
      </w:r>
      <w:r>
        <w:instrText xml:space="preserve"> </w:instrText>
      </w:r>
      <w:r>
        <w:instrText xml:space="preserve">XE "from (Starting Anchor Point)" </w:instrText>
      </w:r>
      <w:r>
        <w:fldChar w:fldCharType="end"/>
      </w:r>
    </w:p>
    <w:p w:rsidR="005F78FC" w:rsidRDefault="00B42EF3">
      <w:pPr>
        <w:pStyle w:val="Definition-Field"/>
      </w:pPr>
      <w:r>
        <w:t xml:space="preserve">a.   </w:t>
      </w:r>
      <w:r>
        <w:rPr>
          <w:i/>
        </w:rPr>
        <w:t>The standard does not define any relationship between top/left and bottom/right, respectively.</w:t>
      </w:r>
    </w:p>
    <w:p w:rsidR="005F78FC" w:rsidRDefault="00B42EF3">
      <w:pPr>
        <w:pStyle w:val="Definition-Field2"/>
      </w:pPr>
      <w:r>
        <w:t>In Excel, top/left should be smaller than or equal to bottom/right. If these conditions are not met, the shape is not r</w:t>
      </w:r>
      <w:r>
        <w:t>endered.</w:t>
      </w:r>
    </w:p>
    <w:p w:rsidR="005F78FC" w:rsidRDefault="00B42EF3">
      <w:pPr>
        <w:pStyle w:val="Heading3"/>
      </w:pPr>
      <w:bookmarkStart w:id="2742" w:name="section_a64e434cd5194cec945b0cc428546308"/>
      <w:bookmarkStart w:id="2743" w:name="_Toc69879144"/>
      <w:r>
        <w:t>Part 1 Section 20.5.2.16, graphicFrame (Graphic Frame)</w:t>
      </w:r>
      <w:bookmarkEnd w:id="2742"/>
      <w:bookmarkEnd w:id="2743"/>
      <w:r>
        <w:fldChar w:fldCharType="begin"/>
      </w:r>
      <w:r>
        <w:instrText xml:space="preserve"> XE "graphicFrame (Graphic Frame)" </w:instrText>
      </w:r>
      <w:r>
        <w:fldChar w:fldCharType="end"/>
      </w:r>
    </w:p>
    <w:p w:rsidR="005F78FC" w:rsidRDefault="00B42EF3">
      <w:pPr>
        <w:pStyle w:val="Definition-Field"/>
      </w:pPr>
      <w:r>
        <w:t xml:space="preserve">a.   </w:t>
      </w:r>
      <w:r>
        <w:rPr>
          <w:i/>
        </w:rPr>
        <w:t>The standard states that the values of the macro attribute are defined by the XML Schema string datatype.</w:t>
      </w:r>
    </w:p>
    <w:p w:rsidR="005F78FC" w:rsidRDefault="00B42EF3">
      <w:pPr>
        <w:pStyle w:val="Definition-Field2"/>
      </w:pPr>
      <w:r>
        <w:t>Office requires that the macro attribute val</w:t>
      </w:r>
      <w:r>
        <w:t>ue follow the same grammar as name-references ("</w:t>
      </w:r>
      <w:hyperlink r:id="rId194">
        <w:r>
          <w:rPr>
            <w:rStyle w:val="Hyperlink"/>
          </w:rPr>
          <w:t>[ISO/IEC-29500-1]</w:t>
        </w:r>
      </w:hyperlink>
      <w:r>
        <w:t xml:space="preserve"> §18.17.2.5") with a minimum length of 0 characters and a maximum length of 256 characters.</w:t>
      </w:r>
    </w:p>
    <w:p w:rsidR="005F78FC" w:rsidRDefault="00B42EF3">
      <w:pPr>
        <w:pStyle w:val="Heading3"/>
      </w:pPr>
      <w:bookmarkStart w:id="2744" w:name="section_0b7e3dab028b4c2285e631bc3dc52e04"/>
      <w:bookmarkStart w:id="2745" w:name="_Toc69879145"/>
      <w:r>
        <w:t>Part 1 Section 20.5.2.18, grpSpPr</w:t>
      </w:r>
      <w:r>
        <w:t xml:space="preserve"> (Group Shape Properties)</w:t>
      </w:r>
      <w:bookmarkEnd w:id="2744"/>
      <w:bookmarkEnd w:id="2745"/>
      <w:r>
        <w:fldChar w:fldCharType="begin"/>
      </w:r>
      <w:r>
        <w:instrText xml:space="preserve"> XE "grpSpPr (Group Shape Properties)" </w:instrText>
      </w:r>
      <w:r>
        <w:fldChar w:fldCharType="end"/>
      </w:r>
    </w:p>
    <w:p w:rsidR="005F78FC" w:rsidRDefault="00B42EF3">
      <w:pPr>
        <w:pStyle w:val="Definition-Field"/>
      </w:pPr>
      <w:r>
        <w:t xml:space="preserve">a.   </w:t>
      </w:r>
      <w:r>
        <w:rPr>
          <w:i/>
        </w:rPr>
        <w:t>The standard states that bwMode is a valid attribute on the grpSpPr element.</w:t>
      </w:r>
    </w:p>
    <w:p w:rsidR="005F78FC" w:rsidRDefault="00B42EF3">
      <w:pPr>
        <w:pStyle w:val="Definition-Field2"/>
      </w:pPr>
      <w:r>
        <w:lastRenderedPageBreak/>
        <w:t>Excel and Word do not support the bwMode attribute on this element.</w:t>
      </w:r>
    </w:p>
    <w:p w:rsidR="005F78FC" w:rsidRDefault="00B42EF3">
      <w:pPr>
        <w:pStyle w:val="Definition-Field"/>
      </w:pPr>
      <w:r>
        <w:t xml:space="preserve">b.   </w:t>
      </w:r>
      <w:r>
        <w:rPr>
          <w:i/>
        </w:rPr>
        <w:t>The standard does not describe the</w:t>
      </w:r>
      <w:r>
        <w:rPr>
          <w:i/>
        </w:rPr>
        <w:t xml:space="preserve"> relationship between group shapes and their child shapes with respect to bwMode.</w:t>
      </w:r>
    </w:p>
    <w:p w:rsidR="005F78FC" w:rsidRDefault="00B42EF3">
      <w:pPr>
        <w:pStyle w:val="Definition-Field2"/>
      </w:pPr>
      <w:r>
        <w:t>In Office, bwMode set at the group level should set bwMode for child shapes.</w:t>
      </w:r>
    </w:p>
    <w:p w:rsidR="005F78FC" w:rsidRDefault="00B42EF3">
      <w:pPr>
        <w:pStyle w:val="Definition-Field"/>
      </w:pPr>
      <w:r>
        <w:t xml:space="preserve">c.   </w:t>
      </w:r>
      <w:r>
        <w:rPr>
          <w:i/>
        </w:rPr>
        <w:t>The standard states that the bwMode attribute specifies that the group shape should be rende</w:t>
      </w:r>
      <w:r>
        <w:rPr>
          <w:i/>
        </w:rPr>
        <w:t>red using only black and white coloring.</w:t>
      </w:r>
    </w:p>
    <w:p w:rsidR="005F78FC" w:rsidRDefault="00B42EF3">
      <w:pPr>
        <w:pStyle w:val="Definition-Field2"/>
      </w:pPr>
      <w:r>
        <w:t>Office uses this attribute to specify how the group shape should be rendered when in black and white mode.</w:t>
      </w:r>
    </w:p>
    <w:p w:rsidR="005F78FC" w:rsidRDefault="00B42EF3">
      <w:pPr>
        <w:pStyle w:val="Heading3"/>
      </w:pPr>
      <w:bookmarkStart w:id="2746" w:name="section_40e963da7d5241599f8632ae4a5576e4"/>
      <w:bookmarkStart w:id="2747" w:name="_Toc69879146"/>
      <w:r>
        <w:t>Part 1 Section 20.5.2.25, pic (Picture)</w:t>
      </w:r>
      <w:bookmarkEnd w:id="2746"/>
      <w:bookmarkEnd w:id="2747"/>
      <w:r>
        <w:fldChar w:fldCharType="begin"/>
      </w:r>
      <w:r>
        <w:instrText xml:space="preserve"> XE "pic (Picture)" </w:instrText>
      </w:r>
      <w:r>
        <w:fldChar w:fldCharType="end"/>
      </w:r>
    </w:p>
    <w:p w:rsidR="005F78FC" w:rsidRDefault="00B42EF3">
      <w:pPr>
        <w:pStyle w:val="Definition-Field"/>
      </w:pPr>
      <w:r>
        <w:t xml:space="preserve">a.   </w:t>
      </w:r>
      <w:r>
        <w:rPr>
          <w:i/>
        </w:rPr>
        <w:t>The standard states that the values of th</w:t>
      </w:r>
      <w:r>
        <w:rPr>
          <w:i/>
        </w:rPr>
        <w:t>e macro attribute are defined by the XML Schema string datatype.</w:t>
      </w:r>
    </w:p>
    <w:p w:rsidR="005F78FC" w:rsidRDefault="00B42EF3">
      <w:pPr>
        <w:pStyle w:val="Definition-Field2"/>
      </w:pPr>
      <w:r>
        <w:t>Office requires that the macro attribute value follow the same grammar as name-references ("</w:t>
      </w:r>
      <w:hyperlink r:id="rId195">
        <w:r>
          <w:rPr>
            <w:rStyle w:val="Hyperlink"/>
          </w:rPr>
          <w:t>[ISO/IEC-29500-1]</w:t>
        </w:r>
      </w:hyperlink>
      <w:r>
        <w:t xml:space="preserve"> §18.17.2.5") with a minimum length of 0 characters and a maximum length of 256 characters.</w:t>
      </w:r>
    </w:p>
    <w:p w:rsidR="005F78FC" w:rsidRDefault="00B42EF3">
      <w:pPr>
        <w:pStyle w:val="Heading3"/>
      </w:pPr>
      <w:bookmarkStart w:id="2748" w:name="section_44d97ef766e5453ea58681cf80c0c3a0"/>
      <w:bookmarkStart w:id="2749" w:name="_Toc69879147"/>
      <w:r>
        <w:t>Part 1 Section 20.5.2.26, pos (Position)</w:t>
      </w:r>
      <w:bookmarkEnd w:id="2748"/>
      <w:bookmarkEnd w:id="2749"/>
      <w:r>
        <w:fldChar w:fldCharType="begin"/>
      </w:r>
      <w:r>
        <w:instrText xml:space="preserve"> XE "pos (Position)"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5F78FC" w:rsidRDefault="00B42EF3">
      <w:pPr>
        <w:pStyle w:val="Heading3"/>
      </w:pPr>
      <w:bookmarkStart w:id="2750" w:name="section_049c8b2ba9994b97ace28d521d73d00c"/>
      <w:bookmarkStart w:id="2751" w:name="_Toc69879148"/>
      <w:r>
        <w:t>Part 1 Section 20.5.2.27, row (Row)</w:t>
      </w:r>
      <w:bookmarkEnd w:id="2750"/>
      <w:bookmarkEnd w:id="2751"/>
      <w:r>
        <w:fldChar w:fldCharType="begin"/>
      </w:r>
      <w:r>
        <w:instrText xml:space="preserve"> XE "row (Row)" </w:instrText>
      </w:r>
      <w:r>
        <w:fldChar w:fldCharType="end"/>
      </w:r>
    </w:p>
    <w:p w:rsidR="005F78FC" w:rsidRDefault="00B42EF3">
      <w:pPr>
        <w:pStyle w:val="Definition-Field"/>
      </w:pPr>
      <w:r>
        <w:t xml:space="preserve">a.   </w:t>
      </w:r>
      <w:r>
        <w:rPr>
          <w:i/>
        </w:rPr>
        <w:t>The standard allows the number of rows to be unbounded.</w:t>
      </w:r>
    </w:p>
    <w:p w:rsidR="005F78FC" w:rsidRDefault="00B42EF3">
      <w:pPr>
        <w:pStyle w:val="Definition-Field2"/>
      </w:pPr>
      <w:r>
        <w:t>The maximum number of rows allowed by Office is 1048575.</w:t>
      </w:r>
    </w:p>
    <w:p w:rsidR="005F78FC" w:rsidRDefault="00B42EF3">
      <w:pPr>
        <w:pStyle w:val="Heading3"/>
      </w:pPr>
      <w:bookmarkStart w:id="2752" w:name="section_2022337ea5034115b0da146bdcfa7a76"/>
      <w:bookmarkStart w:id="2753" w:name="_Toc69879149"/>
      <w:r>
        <w:t>Part 1 Sec</w:t>
      </w:r>
      <w:r>
        <w:t>tion 20.5.2.28, rowOff (Row Offset)</w:t>
      </w:r>
      <w:bookmarkEnd w:id="2752"/>
      <w:bookmarkEnd w:id="2753"/>
      <w:r>
        <w:fldChar w:fldCharType="begin"/>
      </w:r>
      <w:r>
        <w:instrText xml:space="preserve"> XE "rowOff (Row Offset)" </w:instrText>
      </w:r>
      <w:r>
        <w:fldChar w:fldCharType="end"/>
      </w:r>
    </w:p>
    <w:p w:rsidR="005F78FC" w:rsidRDefault="00B42EF3">
      <w:pPr>
        <w:pStyle w:val="Definition-Field"/>
      </w:pPr>
      <w:r>
        <w:t xml:space="preserve">a.   </w:t>
      </w:r>
      <w:r>
        <w:rPr>
          <w:i/>
        </w:rPr>
        <w:t>The standard states that the rowOff element accepts any value up to 27273042316900.</w:t>
      </w:r>
    </w:p>
    <w:p w:rsidR="005F78FC" w:rsidRDefault="00B42EF3">
      <w:pPr>
        <w:pStyle w:val="Definition-Field2"/>
      </w:pPr>
      <w:r>
        <w:t>Office does not draw the shape if rowOff has a value over 20454781742437.</w:t>
      </w:r>
    </w:p>
    <w:p w:rsidR="005F78FC" w:rsidRDefault="00B42EF3">
      <w:pPr>
        <w:pStyle w:val="Heading3"/>
      </w:pPr>
      <w:bookmarkStart w:id="2754" w:name="section_50d51c6ff4084539a65649f1968204a3"/>
      <w:bookmarkStart w:id="2755" w:name="_Toc69879150"/>
      <w:r>
        <w:t xml:space="preserve">Part 1 Section 20.5.2.29, sp </w:t>
      </w:r>
      <w:r>
        <w:t>(Shape)</w:t>
      </w:r>
      <w:bookmarkEnd w:id="2754"/>
      <w:bookmarkEnd w:id="2755"/>
      <w:r>
        <w:fldChar w:fldCharType="begin"/>
      </w:r>
      <w:r>
        <w:instrText xml:space="preserve"> XE "sp (Shape)" </w:instrText>
      </w:r>
      <w:r>
        <w:fldChar w:fldCharType="end"/>
      </w:r>
    </w:p>
    <w:p w:rsidR="005F78FC" w:rsidRDefault="00B42EF3">
      <w:pPr>
        <w:pStyle w:val="Definition-Field"/>
      </w:pPr>
      <w:r>
        <w:t xml:space="preserve">a.   </w:t>
      </w:r>
      <w:r>
        <w:rPr>
          <w:i/>
        </w:rPr>
        <w:t>The standard states that textlink is a formula linking to spreadsheet cell data.</w:t>
      </w:r>
    </w:p>
    <w:p w:rsidR="005F78FC" w:rsidRDefault="00B42EF3">
      <w:pPr>
        <w:pStyle w:val="Definition-Field2"/>
      </w:pPr>
      <w:r>
        <w:t>Excel requires that the value of the textlink attribute be a string referencing a cell or a cell range. It should reference a unique cell, as o</w:t>
      </w:r>
      <w:r>
        <w:t>nly the first cell in a cell range will be considered.</w:t>
      </w:r>
    </w:p>
    <w:p w:rsidR="005F78FC" w:rsidRDefault="00B42EF3">
      <w:pPr>
        <w:pStyle w:val="Definition-Field"/>
      </w:pPr>
      <w:r>
        <w:t xml:space="preserve">b.   </w:t>
      </w:r>
      <w:r>
        <w:rPr>
          <w:i/>
        </w:rPr>
        <w:t>In the standard, child element txBody has minOccurs equal to zero.</w:t>
      </w:r>
    </w:p>
    <w:p w:rsidR="005F78FC" w:rsidRDefault="00B42EF3">
      <w:pPr>
        <w:pStyle w:val="Definition-Field2"/>
      </w:pPr>
      <w:r>
        <w:t>In Excel, if optional attribute textlink is specified, child element txBody is required.</w:t>
      </w:r>
    </w:p>
    <w:p w:rsidR="005F78FC" w:rsidRDefault="00B42EF3">
      <w:pPr>
        <w:pStyle w:val="Definition-Field"/>
      </w:pPr>
      <w:r>
        <w:t xml:space="preserve">c.   </w:t>
      </w:r>
      <w:r>
        <w:rPr>
          <w:i/>
        </w:rPr>
        <w:t>The standard states that the values</w:t>
      </w:r>
      <w:r>
        <w:rPr>
          <w:i/>
        </w:rPr>
        <w:t xml:space="preserve"> of the macro attribute are defined by the XML Schema string datatype.</w:t>
      </w:r>
    </w:p>
    <w:p w:rsidR="005F78FC" w:rsidRDefault="00B42EF3">
      <w:pPr>
        <w:pStyle w:val="Definition-Field2"/>
      </w:pPr>
      <w:r>
        <w:t>Office requires that the macro attribute value follow the same grammar as name-references ("</w:t>
      </w:r>
      <w:hyperlink r:id="rId196">
        <w:r>
          <w:rPr>
            <w:rStyle w:val="Hyperlink"/>
          </w:rPr>
          <w:t>[ISO/IEC-29500-1]</w:t>
        </w:r>
      </w:hyperlink>
      <w:r>
        <w:t xml:space="preserve"> §18.17.2.</w:t>
      </w:r>
      <w:r>
        <w:t>5") with a minimum length of 0 characters and a maximum length of 256 characters.</w:t>
      </w:r>
    </w:p>
    <w:p w:rsidR="005F78FC" w:rsidRDefault="00B42EF3">
      <w:pPr>
        <w:pStyle w:val="Heading3"/>
      </w:pPr>
      <w:bookmarkStart w:id="2756" w:name="section_a10c455e7a6e44c5bf8cfb7c2b3e2eac"/>
      <w:bookmarkStart w:id="2757" w:name="_Toc69879151"/>
      <w:r>
        <w:lastRenderedPageBreak/>
        <w:t>Part 1 Section 20.5.2.30, spPr (Shape Properties)</w:t>
      </w:r>
      <w:bookmarkEnd w:id="2756"/>
      <w:bookmarkEnd w:id="2757"/>
      <w:r>
        <w:fldChar w:fldCharType="begin"/>
      </w:r>
      <w:r>
        <w:instrText xml:space="preserve"> XE "spPr (Shape Properties)" </w:instrText>
      </w:r>
      <w:r>
        <w:fldChar w:fldCharType="end"/>
      </w:r>
    </w:p>
    <w:p w:rsidR="005F78FC" w:rsidRDefault="00B42EF3">
      <w:pPr>
        <w:pStyle w:val="Definition-Field"/>
      </w:pPr>
      <w:r>
        <w:t xml:space="preserve">a.   </w:t>
      </w:r>
      <w:r>
        <w:rPr>
          <w:i/>
        </w:rPr>
        <w:t>The standard states that bwMode is a valid attribute on the spPr element.</w:t>
      </w:r>
    </w:p>
    <w:p w:rsidR="005F78FC" w:rsidRDefault="00B42EF3">
      <w:pPr>
        <w:pStyle w:val="Definition-Field2"/>
      </w:pPr>
      <w:r>
        <w:t>Excel and Wor</w:t>
      </w:r>
      <w:r>
        <w:t>d do not support this attribute on this element.</w:t>
      </w:r>
    </w:p>
    <w:p w:rsidR="005F78FC" w:rsidRDefault="00B42EF3">
      <w:pPr>
        <w:pStyle w:val="Definition-Field"/>
      </w:pPr>
      <w:r>
        <w:t xml:space="preserve">b.   </w:t>
      </w:r>
      <w:r>
        <w:rPr>
          <w:i/>
        </w:rPr>
        <w:t>The standard states that the spPr element specifies the visual shape properties that can be applied to a special shape such as a connector shape or picture.</w:t>
      </w:r>
    </w:p>
    <w:p w:rsidR="005F78FC" w:rsidRDefault="00B42EF3">
      <w:pPr>
        <w:pStyle w:val="Definition-Field2"/>
      </w:pPr>
      <w:r>
        <w:t>Office uses this element to specify the visua</w:t>
      </w:r>
      <w:r>
        <w:t>l shape properties that can be applied to shapes, connector shapes, or pictures.</w:t>
      </w:r>
    </w:p>
    <w:p w:rsidR="005F78FC" w:rsidRDefault="00B42EF3">
      <w:pPr>
        <w:pStyle w:val="Definition-Field"/>
      </w:pPr>
      <w:r>
        <w:t xml:space="preserve">c.   </w:t>
      </w:r>
      <w:r>
        <w:rPr>
          <w:i/>
        </w:rPr>
        <w:t>The standard states that the bwMode attribute specifies that the group shape should be rendered using only black and white coloring.</w:t>
      </w:r>
    </w:p>
    <w:p w:rsidR="005F78FC" w:rsidRDefault="00B42EF3">
      <w:pPr>
        <w:pStyle w:val="Definition-Field2"/>
      </w:pPr>
      <w:r>
        <w:t>Office uses this attribute to specify</w:t>
      </w:r>
      <w:r>
        <w:t xml:space="preserve"> how the group shape should be rendered when in black and white mode.</w:t>
      </w:r>
    </w:p>
    <w:p w:rsidR="005F78FC" w:rsidRDefault="00B42EF3">
      <w:pPr>
        <w:pStyle w:val="Heading3"/>
      </w:pPr>
      <w:bookmarkStart w:id="2758" w:name="section_b4ca93ee062340bc95b3e67d306216ba"/>
      <w:bookmarkStart w:id="2759" w:name="_Toc69879152"/>
      <w:r>
        <w:t>Part 1 Section 20.5.2.31, style (Shape Style)</w:t>
      </w:r>
      <w:bookmarkEnd w:id="2758"/>
      <w:bookmarkEnd w:id="2759"/>
      <w:r>
        <w:fldChar w:fldCharType="begin"/>
      </w:r>
      <w:r>
        <w:instrText xml:space="preserve"> XE "style (Shape Style)" </w:instrText>
      </w:r>
      <w:r>
        <w:fldChar w:fldCharType="end"/>
      </w:r>
    </w:p>
    <w:p w:rsidR="005F78FC" w:rsidRDefault="00B42EF3">
      <w:pPr>
        <w:pStyle w:val="Definition-Field"/>
      </w:pPr>
      <w:r>
        <w:t xml:space="preserve">a.   </w:t>
      </w:r>
      <w:r>
        <w:rPr>
          <w:i/>
        </w:rPr>
        <w:t>The standard allows a sp, pic or cxnSp to have similar formatting options defined in both the style and spP</w:t>
      </w:r>
      <w:r>
        <w:rPr>
          <w:i/>
        </w:rPr>
        <w:t>r elements.</w:t>
      </w:r>
    </w:p>
    <w:p w:rsidR="005F78FC" w:rsidRDefault="00B42EF3">
      <w:pPr>
        <w:pStyle w:val="Definition-Field2"/>
      </w:pPr>
      <w:r>
        <w:t>In Office, shape properties defined on the parent element will override similar style components (lnRef, effectRef, fillRef, fontRef) defined in this element.</w:t>
      </w:r>
    </w:p>
    <w:p w:rsidR="005F78FC" w:rsidRDefault="00B42EF3">
      <w:pPr>
        <w:pStyle w:val="Definition-Field"/>
      </w:pPr>
      <w:r>
        <w:t xml:space="preserve">b.   </w:t>
      </w:r>
      <w:r>
        <w:rPr>
          <w:i/>
        </w:rPr>
        <w:t xml:space="preserve">The standard allows similar text formatting properties to be defined for parent </w:t>
      </w:r>
      <w:r>
        <w:rPr>
          <w:i/>
        </w:rPr>
        <w:t>element sp by style or txBody.</w:t>
      </w:r>
    </w:p>
    <w:p w:rsidR="005F78FC" w:rsidRDefault="00B42EF3">
      <w:pPr>
        <w:pStyle w:val="Definition-Field2"/>
      </w:pPr>
      <w:r>
        <w:t>In Office, child elements in txBody will override similar style properties defined by attribute fontRef.</w:t>
      </w:r>
    </w:p>
    <w:p w:rsidR="005F78FC" w:rsidRDefault="00B42EF3">
      <w:pPr>
        <w:pStyle w:val="Definition-Field"/>
      </w:pPr>
      <w:r>
        <w:t xml:space="preserve">c.   </w:t>
      </w:r>
      <w:r>
        <w:rPr>
          <w:i/>
        </w:rPr>
        <w:t>The standard states that child element fontRef applies to parent elements pic, cxnSp and sp.</w:t>
      </w:r>
    </w:p>
    <w:p w:rsidR="005F78FC" w:rsidRDefault="00B42EF3">
      <w:pPr>
        <w:pStyle w:val="Definition-Field2"/>
      </w:pPr>
      <w:r>
        <w:t>In Office, child eleme</w:t>
      </w:r>
      <w:r>
        <w:t>nt fontRef is not used for parent elements pic and cxnSp.</w:t>
      </w:r>
    </w:p>
    <w:p w:rsidR="005F78FC" w:rsidRDefault="00B42EF3">
      <w:pPr>
        <w:pStyle w:val="Heading3"/>
      </w:pPr>
      <w:bookmarkStart w:id="2760" w:name="section_6ae4c17e8727447183c9a32482e72ffe"/>
      <w:bookmarkStart w:id="2761" w:name="_Toc69879153"/>
      <w:r>
        <w:t>Part 1 Section 20.5.2.32, to (Ending Anchor Point)</w:t>
      </w:r>
      <w:bookmarkEnd w:id="2760"/>
      <w:bookmarkEnd w:id="2761"/>
      <w:r>
        <w:fldChar w:fldCharType="begin"/>
      </w:r>
      <w:r>
        <w:instrText xml:space="preserve"> XE "to (Ending Anchor Point)" </w:instrText>
      </w:r>
      <w:r>
        <w:fldChar w:fldCharType="end"/>
      </w:r>
    </w:p>
    <w:p w:rsidR="005F78FC" w:rsidRDefault="00B42EF3">
      <w:pPr>
        <w:pStyle w:val="Definition-Field"/>
      </w:pPr>
      <w:r>
        <w:t xml:space="preserve">a.   </w:t>
      </w:r>
      <w:r>
        <w:rPr>
          <w:i/>
        </w:rPr>
        <w:t xml:space="preserve">The standard allows shapes to be defined where the right edge is to the left of the left edge or where the </w:t>
      </w:r>
      <w:r>
        <w:rPr>
          <w:i/>
        </w:rPr>
        <w:t>bottom edge is above the top edge.</w:t>
      </w:r>
    </w:p>
    <w:p w:rsidR="005F78FC" w:rsidRDefault="00B42EF3">
      <w:pPr>
        <w:pStyle w:val="Definition-Field2"/>
      </w:pPr>
      <w:r>
        <w:t>Excel does not support shapes where the right edge is to the left of the left edge or where the bottom edge is above the top edge.</w:t>
      </w:r>
    </w:p>
    <w:p w:rsidR="005F78FC" w:rsidRDefault="00B42EF3">
      <w:pPr>
        <w:pStyle w:val="Heading3"/>
      </w:pPr>
      <w:bookmarkStart w:id="2762" w:name="section_438b915f007e4b90839dd80034a94f66"/>
      <w:bookmarkStart w:id="2763" w:name="_Toc69879154"/>
      <w:r>
        <w:t>Part 1 Section 20.5.2.34, txBody (Shape Text Body)</w:t>
      </w:r>
      <w:bookmarkEnd w:id="2762"/>
      <w:bookmarkEnd w:id="2763"/>
      <w:r>
        <w:fldChar w:fldCharType="begin"/>
      </w:r>
      <w:r>
        <w:instrText xml:space="preserve"> XE "txBody (Shape Text Body)" </w:instrText>
      </w:r>
      <w:r>
        <w:fldChar w:fldCharType="end"/>
      </w:r>
    </w:p>
    <w:p w:rsidR="005F78FC" w:rsidRDefault="00B42EF3">
      <w:pPr>
        <w:pStyle w:val="Definition-Field"/>
      </w:pPr>
      <w:r>
        <w:t xml:space="preserve">a.   </w:t>
      </w:r>
      <w:r>
        <w:rPr>
          <w:i/>
        </w:rPr>
        <w:t>T</w:t>
      </w:r>
      <w:r>
        <w:rPr>
          <w:i/>
        </w:rPr>
        <w:t>he standard does not describe the relationship between similar properties in child elements p (text paragraphs) and lstStyle (text list styles).</w:t>
      </w:r>
    </w:p>
    <w:p w:rsidR="005F78FC" w:rsidRDefault="00B42EF3">
      <w:pPr>
        <w:pStyle w:val="Definition-Field2"/>
      </w:pPr>
      <w:r>
        <w:t xml:space="preserve">In Office, if no text list styles are defined in a paragraph, styles from lstStyle are used. If no list styles </w:t>
      </w:r>
      <w:r>
        <w:t>are defined and there is no lstStyle defined, the text in the list defaults to the current text style.</w:t>
      </w:r>
    </w:p>
    <w:p w:rsidR="005F78FC" w:rsidRDefault="00B42EF3">
      <w:pPr>
        <w:pStyle w:val="Heading3"/>
      </w:pPr>
      <w:bookmarkStart w:id="2764" w:name="section_2401c007314f4d8eba6b767f54e8c97f"/>
      <w:bookmarkStart w:id="2765" w:name="_Toc69879155"/>
      <w:r>
        <w:t>Part 1 Section 20.5.2.36, xfrm (2D Transform for Graphic Frames)</w:t>
      </w:r>
      <w:bookmarkEnd w:id="2764"/>
      <w:bookmarkEnd w:id="2765"/>
      <w:r>
        <w:fldChar w:fldCharType="begin"/>
      </w:r>
      <w:r>
        <w:instrText xml:space="preserve"> XE "xfrm (2D Transform for Graphic Frames)" </w:instrText>
      </w:r>
      <w:r>
        <w:fldChar w:fldCharType="end"/>
      </w:r>
    </w:p>
    <w:p w:rsidR="005F78FC" w:rsidRDefault="00B42EF3">
      <w:pPr>
        <w:pStyle w:val="Definition-Field2"/>
      </w:pPr>
      <w:r>
        <w:rPr>
          <w:i/>
        </w:rPr>
        <w:t>For additional notes that apply to this p</w:t>
      </w:r>
      <w:r>
        <w:rPr>
          <w:i/>
        </w:rPr>
        <w:t xml:space="preserve">ortion of the standard, please see the notes for </w:t>
      </w:r>
      <w:hyperlink w:anchor="Section_c7555d2c472a4d15b23041046bc41819">
        <w:r>
          <w:rPr>
            <w:rStyle w:val="Hyperlink"/>
          </w:rPr>
          <w:t>xfrm, §20.1.7.6(a)</w:t>
        </w:r>
      </w:hyperlink>
      <w:r>
        <w:rPr>
          <w:i/>
        </w:rPr>
        <w:t>.</w:t>
      </w:r>
    </w:p>
    <w:p w:rsidR="005F78FC" w:rsidRDefault="00B42EF3">
      <w:pPr>
        <w:pStyle w:val="Definition-Field"/>
      </w:pPr>
      <w:r>
        <w:t xml:space="preserve">a.   </w:t>
      </w:r>
      <w:r>
        <w:rPr>
          <w:i/>
        </w:rPr>
        <w:t>The standard includes attributes flipH, flipV and rot for the xfrm element.</w:t>
      </w:r>
    </w:p>
    <w:p w:rsidR="005F78FC" w:rsidRDefault="00B42EF3">
      <w:pPr>
        <w:pStyle w:val="Definition-Field2"/>
      </w:pPr>
      <w:r>
        <w:lastRenderedPageBreak/>
        <w:t>Excel does not support these attributes for</w:t>
      </w:r>
      <w:r>
        <w:t xml:space="preserve"> graphic frames. Any value loaded for these attributes will not be written to the file when saved.</w:t>
      </w:r>
    </w:p>
    <w:p w:rsidR="005F78FC" w:rsidRDefault="00B42EF3">
      <w:pPr>
        <w:pStyle w:val="Definition-Field"/>
      </w:pPr>
      <w:r>
        <w:t xml:space="preserve">b.   </w:t>
      </w:r>
      <w:r>
        <w:rPr>
          <w:i/>
        </w:rPr>
        <w:t>The standard includes ext and off as child elements of xfrm.</w:t>
      </w:r>
    </w:p>
    <w:p w:rsidR="005F78FC" w:rsidRDefault="00B42EF3">
      <w:pPr>
        <w:pStyle w:val="Definition-Field2"/>
      </w:pPr>
      <w:r>
        <w:t xml:space="preserve">The ext and off elements are used by Excel only if the graphic frame is inside of a group. </w:t>
      </w:r>
      <w:r>
        <w:t>If the graphic frame is not inside of a group, Excel will always output 0 for the attribute values of both elements.</w:t>
      </w:r>
    </w:p>
    <w:p w:rsidR="005F78FC" w:rsidRDefault="00B42EF3">
      <w:pPr>
        <w:pStyle w:val="Heading3"/>
      </w:pPr>
      <w:bookmarkStart w:id="2766" w:name="section_72855a96a6b84efb89ed82550c7768c7"/>
      <w:bookmarkStart w:id="2767" w:name="_Toc69879156"/>
      <w:r>
        <w:t>Part 1 Section 21.1.2.1, Body Formatting</w:t>
      </w:r>
      <w:bookmarkEnd w:id="2766"/>
      <w:bookmarkEnd w:id="2767"/>
      <w:r>
        <w:fldChar w:fldCharType="begin"/>
      </w:r>
      <w:r>
        <w:instrText xml:space="preserve"> XE "Body Formatting" </w:instrText>
      </w:r>
      <w:r>
        <w:fldChar w:fldCharType="end"/>
      </w:r>
    </w:p>
    <w:p w:rsidR="005F78FC" w:rsidRDefault="00B42EF3">
      <w:pPr>
        <w:pStyle w:val="Definition-Field"/>
      </w:pPr>
      <w:r>
        <w:t xml:space="preserve">a.   </w:t>
      </w:r>
      <w:r>
        <w:rPr>
          <w:i/>
        </w:rPr>
        <w:t xml:space="preserve">The standard states that ST_TextFontScalePercent is read and written </w:t>
      </w:r>
      <w:r>
        <w:rPr>
          <w:i/>
        </w:rPr>
        <w:t>as a percent with a trailing percent sign.</w:t>
      </w:r>
    </w:p>
    <w:p w:rsidR="005F78FC" w:rsidRDefault="00B42EF3">
      <w:pPr>
        <w:pStyle w:val="Definition-Field2"/>
      </w:pPr>
      <w:r>
        <w:t>Office will read in percentages formatted with a trailing percent sign or as 1000th of a percent without trailing percent sign, but only write out percentages as 1000th's of a percent without trailing percent sign</w:t>
      </w:r>
      <w:r>
        <w:t>.</w:t>
      </w:r>
    </w:p>
    <w:p w:rsidR="005F78FC" w:rsidRDefault="00B42EF3">
      <w:pPr>
        <w:pStyle w:val="Heading3"/>
      </w:pPr>
      <w:bookmarkStart w:id="2768" w:name="section_b3da041fd56f464ba9b32e3274de9caf"/>
      <w:bookmarkStart w:id="2769" w:name="_Toc69879157"/>
      <w:r>
        <w:t>Part 1 Section 21.1.2.1.1, bodyPr (Body Properties)</w:t>
      </w:r>
      <w:bookmarkEnd w:id="2768"/>
      <w:bookmarkEnd w:id="2769"/>
      <w:r>
        <w:fldChar w:fldCharType="begin"/>
      </w:r>
      <w:r>
        <w:instrText xml:space="preserve"> XE "bodyPr (Body Properties)" </w:instrText>
      </w:r>
      <w:r>
        <w:fldChar w:fldCharType="end"/>
      </w:r>
    </w:p>
    <w:p w:rsidR="005F78FC" w:rsidRDefault="00B42EF3">
      <w:pPr>
        <w:pStyle w:val="Definition-Field"/>
      </w:pPr>
      <w:r>
        <w:t xml:space="preserve">a.   </w:t>
      </w:r>
      <w:r>
        <w:rPr>
          <w:i/>
        </w:rPr>
        <w:t>The standard specifies that the attributes anchorCtr, forceAA, fromWordArt, and rtlCol have an implied value of off.</w:t>
      </w:r>
    </w:p>
    <w:p w:rsidR="005F78FC" w:rsidRDefault="00B42EF3">
      <w:pPr>
        <w:pStyle w:val="Definition-Field2"/>
      </w:pPr>
      <w:r>
        <w:t>Office interprets the attributes anchorCtr, for</w:t>
      </w:r>
      <w:r>
        <w:t>ceAA, fromWordArt, and rtlCol as having an implied value of false.</w:t>
      </w:r>
    </w:p>
    <w:p w:rsidR="005F78FC" w:rsidRDefault="00B42EF3">
      <w:pPr>
        <w:pStyle w:val="Definition-Field"/>
      </w:pPr>
      <w:r>
        <w:t xml:space="preserve">b.   </w:t>
      </w:r>
      <w:r>
        <w:rPr>
          <w:i/>
        </w:rPr>
        <w:t>The standard does not fully describe the process for resolving missing attribute values.</w:t>
      </w:r>
    </w:p>
    <w:p w:rsidR="005F78FC" w:rsidRDefault="00B42EF3">
      <w:r>
        <w:t>In Office, attributes not specified explicitly within the bodyPr element shall have their value</w:t>
      </w:r>
      <w:r>
        <w:t>s determined by inheritance. Attribute values will be resolved using an applicable ancestor element of the same type as the bodyPr element. The inheritance order in which applicable attribute value shall be applied is as follows:</w:t>
      </w:r>
    </w:p>
    <w:p w:rsidR="005F78FC" w:rsidRDefault="00B42EF3">
      <w:r>
        <w:t>A corresponding ancestor e</w:t>
      </w:r>
      <w:r>
        <w:t>lement which is a child element of the txDef element ("</w:t>
      </w:r>
      <w:hyperlink r:id="rId197">
        <w:r>
          <w:rPr>
            <w:rStyle w:val="Hyperlink"/>
          </w:rPr>
          <w:t>[ISO/IEC-29500-1]</w:t>
        </w:r>
      </w:hyperlink>
      <w:r>
        <w:t xml:space="preserve"> §20.1.4.1.28; txDef") of the theme part.</w:t>
      </w:r>
    </w:p>
    <w:p w:rsidR="005F78FC" w:rsidRDefault="00B42EF3">
      <w:r>
        <w:t>A corresponding ancestor element which is a child element of the lnDef eleme</w:t>
      </w:r>
      <w:r>
        <w:t>nt ("[ISO/IEC-29500-1] §20.1.4.1.20; lnDef") of the theme part.</w:t>
      </w:r>
    </w:p>
    <w:p w:rsidR="005F78FC" w:rsidRDefault="00B42EF3">
      <w:r>
        <w:t>A corresponding ancestor element which is a child element of the spDef element ("[ISO/IEC-29500-1] §20.1.4.1.27; spDef") of the theme part.</w:t>
      </w:r>
    </w:p>
    <w:p w:rsidR="005F78FC" w:rsidRDefault="00B42EF3">
      <w:r>
        <w:t>If the value of an attribute is not determined via t</w:t>
      </w:r>
      <w:r>
        <w:t>his process, the default value specified within the bodyPr element shall be used.</w:t>
      </w:r>
    </w:p>
    <w:p w:rsidR="005F78FC" w:rsidRDefault="00B42EF3">
      <w:r>
        <w:t>PowerPoint uses a corresponding child element which is contained within the corresponding sldMaster element ("[ISO/IEC-29500-1] §19.3.1.42; sldMaster") if the value of an att</w:t>
      </w:r>
      <w:r>
        <w:t>ribute is not determined by this inheritance order. If the corresponding sldMaster element ("[ISO/IEC-29500-1] §19.3.1.42; sldMaster") does not specify the value of the attribute and the value was not determined from the inheritance order, then the default</w:t>
      </w:r>
      <w:r>
        <w:t xml:space="preserve"> value specified within the bodyPr element shall be used.</w:t>
      </w:r>
    </w:p>
    <w:p w:rsidR="005F78FC" w:rsidRDefault="00B42EF3">
      <w:pPr>
        <w:pStyle w:val="Heading3"/>
      </w:pPr>
      <w:bookmarkStart w:id="2770" w:name="section_56ab6d152c9a4d77bc6b3d8a7d98ebf3"/>
      <w:bookmarkStart w:id="2771" w:name="_Toc69879158"/>
      <w:r>
        <w:t>Part 1 Section 21.1.2.1.2, noAutofit (No AutoFit)</w:t>
      </w:r>
      <w:bookmarkEnd w:id="2770"/>
      <w:bookmarkEnd w:id="2771"/>
      <w:r>
        <w:fldChar w:fldCharType="begin"/>
      </w:r>
      <w:r>
        <w:instrText xml:space="preserve"> XE "noAutofit (No AutoFit)" </w:instrText>
      </w:r>
      <w:r>
        <w:fldChar w:fldCharType="end"/>
      </w:r>
    </w:p>
    <w:p w:rsidR="005F78FC" w:rsidRDefault="00B42EF3">
      <w:pPr>
        <w:pStyle w:val="Definition-Field"/>
      </w:pPr>
      <w:r>
        <w:t xml:space="preserve">a.   </w:t>
      </w:r>
      <w:r>
        <w:rPr>
          <w:i/>
        </w:rPr>
        <w:t>The standard states if the noAutofit element is omitted, no autofit or autofit off is implied.</w:t>
      </w:r>
    </w:p>
    <w:p w:rsidR="005F78FC" w:rsidRDefault="00B42EF3">
      <w:pPr>
        <w:pStyle w:val="Definition-Field2"/>
      </w:pPr>
      <w:r>
        <w:t>Office uses a hie</w:t>
      </w:r>
      <w:r>
        <w:t>rarchy of text styles to determine if the text should be autofit or not.</w:t>
      </w:r>
    </w:p>
    <w:p w:rsidR="005F78FC" w:rsidRDefault="00B42EF3">
      <w:pPr>
        <w:pStyle w:val="Heading3"/>
      </w:pPr>
      <w:bookmarkStart w:id="2772" w:name="section_d39a452875c3454288aadb874e68085c"/>
      <w:bookmarkStart w:id="2773" w:name="_Toc69879159"/>
      <w:r>
        <w:lastRenderedPageBreak/>
        <w:t>Part 1 Section 21.1.2.1.3, normAutofit (Normal AutoFit)</w:t>
      </w:r>
      <w:bookmarkEnd w:id="2772"/>
      <w:bookmarkEnd w:id="2773"/>
      <w:r>
        <w:fldChar w:fldCharType="begin"/>
      </w:r>
      <w:r>
        <w:instrText xml:space="preserve"> XE "normAutofit (Normal AutoFit)" </w:instrText>
      </w:r>
      <w:r>
        <w:fldChar w:fldCharType="end"/>
      </w:r>
    </w:p>
    <w:p w:rsidR="005F78FC" w:rsidRDefault="00B42EF3">
      <w:pPr>
        <w:pStyle w:val="Definition-Field"/>
        <w:numPr>
          <w:ilvl w:val="0"/>
          <w:numId w:val="135"/>
        </w:numPr>
        <w:rPr>
          <w:i/>
        </w:rPr>
      </w:pPr>
      <w:r>
        <w:rPr>
          <w:i/>
        </w:rPr>
        <w:t xml:space="preserve">The standard states that if the normAutofit element is omitted then no autofit or autofit </w:t>
      </w:r>
      <w:r>
        <w:rPr>
          <w:i/>
        </w:rPr>
        <w:t>off is implied.</w:t>
      </w:r>
    </w:p>
    <w:p w:rsidR="005F78FC" w:rsidRDefault="00B42EF3">
      <w:pPr>
        <w:pStyle w:val="Definition-Field2"/>
      </w:pPr>
      <w:r>
        <w:t xml:space="preserve">PowerPoint follows </w:t>
      </w:r>
      <w:r>
        <w:rPr>
          <w:i/>
        </w:rPr>
        <w:t>normAutofit</w:t>
      </w:r>
      <w:r>
        <w:t xml:space="preserve"> as described above, however other Office apps like Word or Excel do not follow this and instead use a hierarchy of text styles to determine if the text should be autofit or not.</w:t>
      </w:r>
    </w:p>
    <w:p w:rsidR="005F78FC" w:rsidRDefault="00B42EF3">
      <w:pPr>
        <w:pStyle w:val="Heading3"/>
      </w:pPr>
      <w:bookmarkStart w:id="2774" w:name="section_ed53fa9e9351449da926f994efb77a57"/>
      <w:bookmarkStart w:id="2775" w:name="_Toc69879160"/>
      <w:r>
        <w:t>Part 1 Section 21.1.2.1.4, spAu</w:t>
      </w:r>
      <w:r>
        <w:t>toFit (Shape AutoFit)</w:t>
      </w:r>
      <w:bookmarkEnd w:id="2774"/>
      <w:bookmarkEnd w:id="2775"/>
      <w:r>
        <w:fldChar w:fldCharType="begin"/>
      </w:r>
      <w:r>
        <w:instrText xml:space="preserve"> XE "spAutoFit (Shape AutoFit)" </w:instrText>
      </w:r>
      <w:r>
        <w:fldChar w:fldCharType="end"/>
      </w:r>
    </w:p>
    <w:p w:rsidR="005F78FC" w:rsidRDefault="00B42EF3">
      <w:pPr>
        <w:pStyle w:val="Definition-Field"/>
      </w:pPr>
      <w:r>
        <w:t xml:space="preserve">a.   </w:t>
      </w:r>
      <w:r>
        <w:rPr>
          <w:i/>
        </w:rPr>
        <w:t>The standard states that if the spAutoFit element is omitted then noAutofit or auto-fit off is implied.</w:t>
      </w:r>
    </w:p>
    <w:p w:rsidR="005F78FC" w:rsidRDefault="00B42EF3">
      <w:pPr>
        <w:pStyle w:val="Definition-Field2"/>
      </w:pPr>
      <w:r>
        <w:t>Office does not follow this and instead uses a hierarchy of text styles to determine if the</w:t>
      </w:r>
      <w:r>
        <w:t xml:space="preserve"> text should be autofit or not.</w:t>
      </w:r>
    </w:p>
    <w:p w:rsidR="005F78FC" w:rsidRDefault="00B42EF3">
      <w:pPr>
        <w:pStyle w:val="Definition-Field"/>
      </w:pPr>
      <w:r>
        <w:t xml:space="preserve">b.   </w:t>
      </w:r>
      <w:r>
        <w:rPr>
          <w:i/>
        </w:rPr>
        <w:t>The standard states that the spAutofit element specifies that text within a shape is scaled in order to contain all the text inside the bounds of the shape.</w:t>
      </w:r>
    </w:p>
    <w:p w:rsidR="005F78FC" w:rsidRDefault="00B42EF3">
      <w:pPr>
        <w:pStyle w:val="Definition-Field2"/>
      </w:pPr>
      <w:r>
        <w:t>Office uses the spAutoFit element to specify that the containi</w:t>
      </w:r>
      <w:r>
        <w:t>ng shape should be resized to contain text.</w:t>
      </w:r>
    </w:p>
    <w:p w:rsidR="005F78FC" w:rsidRDefault="00B42EF3">
      <w:pPr>
        <w:pStyle w:val="Heading3"/>
      </w:pPr>
      <w:bookmarkStart w:id="2776" w:name="section_182923767677479284228024b97ec52f"/>
      <w:bookmarkStart w:id="2777" w:name="_Toc69879161"/>
      <w:r>
        <w:t>Part 1 Section 21.1.2.2.2, defPPr (Default Paragraph Style)</w:t>
      </w:r>
      <w:bookmarkEnd w:id="2776"/>
      <w:bookmarkEnd w:id="2777"/>
      <w:r>
        <w:fldChar w:fldCharType="begin"/>
      </w:r>
      <w:r>
        <w:instrText xml:space="preserve"> XE "defPPr (Default Paragraph Style)"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5F78FC" w:rsidRDefault="00B42EF3">
      <w:pPr>
        <w:pStyle w:val="Definition-Field"/>
      </w:pPr>
      <w:r>
        <w:t xml:space="preserve">a.   </w:t>
      </w:r>
      <w:r>
        <w:rPr>
          <w:i/>
        </w:rPr>
        <w:t>The standard describes the defPPr element as specifying paragraph properties.</w:t>
      </w:r>
    </w:p>
    <w:p w:rsidR="005F78FC" w:rsidRDefault="00B42EF3">
      <w:pPr>
        <w:pStyle w:val="Definition-Field2"/>
      </w:pPr>
      <w:r>
        <w:t>Office ignores this element and does not use it to determine paragraph properties.</w:t>
      </w:r>
    </w:p>
    <w:p w:rsidR="005F78FC" w:rsidRDefault="00B42EF3">
      <w:pPr>
        <w:pStyle w:val="Heading3"/>
      </w:pPr>
      <w:bookmarkStart w:id="2778" w:name="section_1df959fe2871407da864f6cb7dc4b748"/>
      <w:bookmarkStart w:id="2779" w:name="_Toc69879162"/>
      <w:r>
        <w:t>Part 1 Section 21.1.2.2.3, endParaRPr (End Paragraph Run Properties)</w:t>
      </w:r>
      <w:bookmarkEnd w:id="2778"/>
      <w:bookmarkEnd w:id="2779"/>
      <w:r>
        <w:fldChar w:fldCharType="begin"/>
      </w:r>
      <w:r>
        <w:instrText xml:space="preserve"> XE "endParaRPr (End Paragraph Run Properties)"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953e072cf2344373b0173f1f71eac93b">
        <w:r>
          <w:rPr>
            <w:rStyle w:val="Hyperlink"/>
          </w:rPr>
          <w:t>rPr, §21.1.2.3.9(a, b,d-g)</w:t>
        </w:r>
      </w:hyperlink>
      <w:r>
        <w:rPr>
          <w:i/>
        </w:rPr>
        <w:t>.</w:t>
      </w:r>
    </w:p>
    <w:p w:rsidR="005F78FC" w:rsidRDefault="00B42EF3">
      <w:pPr>
        <w:pStyle w:val="Heading3"/>
      </w:pPr>
      <w:bookmarkStart w:id="2780" w:name="section_209a8afb4ce64ad9ad6bf18da263502e"/>
      <w:bookmarkStart w:id="2781" w:name="_Toc69879163"/>
      <w:r>
        <w:t>Part 1 Section 21.1.2.2.4, fld (Text Field)</w:t>
      </w:r>
      <w:bookmarkEnd w:id="2780"/>
      <w:bookmarkEnd w:id="2781"/>
      <w:r>
        <w:fldChar w:fldCharType="begin"/>
      </w:r>
      <w:r>
        <w:instrText xml:space="preserve"> XE "fld (Text Field)" </w:instrText>
      </w:r>
      <w:r>
        <w:fldChar w:fldCharType="end"/>
      </w:r>
    </w:p>
    <w:p w:rsidR="005F78FC" w:rsidRDefault="00B42EF3">
      <w:pPr>
        <w:pStyle w:val="Definition-Field"/>
      </w:pPr>
      <w:r>
        <w:t xml:space="preserve">a.   </w:t>
      </w:r>
      <w:r>
        <w:rPr>
          <w:i/>
        </w:rPr>
        <w:t>The standard states that the type attribute of the fld element specifies the type of update text that should be used within the text field</w:t>
      </w:r>
      <w:r>
        <w:rPr>
          <w:i/>
        </w:rPr>
        <w:t>.</w:t>
      </w:r>
    </w:p>
    <w:p w:rsidR="005F78FC" w:rsidRDefault="00B42EF3">
      <w:r>
        <w:t>In Office, the type attribute specifies the type of text that should be used to update this text field. This is used to inform Office what text it should use to update this text field. There are no specific syntax restrictions placed on this attribute. T</w:t>
      </w:r>
      <w:r>
        <w:t>he generating application may use it to represent any text that should be updated before rendering the presentation.</w:t>
      </w:r>
    </w:p>
    <w:p w:rsidR="005F78FC" w:rsidRDefault="00B42EF3">
      <w:r>
        <w:t>Reserved Values:</w:t>
      </w:r>
    </w:p>
    <w:tbl>
      <w:tblPr>
        <w:tblStyle w:val="Table-ShadedHeader"/>
        <w:tblW w:w="0" w:type="auto"/>
        <w:tblLook w:val="04A0" w:firstRow="1" w:lastRow="0" w:firstColumn="1" w:lastColumn="0" w:noHBand="0" w:noVBand="1"/>
      </w:tblPr>
      <w:tblGrid>
        <w:gridCol w:w="1733"/>
        <w:gridCol w:w="7742"/>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Value</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rPr>
                <w:i/>
              </w:rPr>
              <w:t>slidenum</w:t>
            </w:r>
          </w:p>
        </w:tc>
        <w:tc>
          <w:tcPr>
            <w:tcW w:w="0" w:type="auto"/>
            <w:vAlign w:val="center"/>
          </w:tcPr>
          <w:p w:rsidR="005F78FC" w:rsidRDefault="00B42EF3">
            <w:pPr>
              <w:pStyle w:val="TableBodyText"/>
            </w:pPr>
            <w:r>
              <w:t>presentation slide number</w:t>
            </w:r>
          </w:p>
        </w:tc>
      </w:tr>
      <w:tr w:rsidR="005F78FC" w:rsidTr="005F78FC">
        <w:tc>
          <w:tcPr>
            <w:tcW w:w="0" w:type="auto"/>
            <w:vAlign w:val="center"/>
          </w:tcPr>
          <w:p w:rsidR="005F78FC" w:rsidRDefault="00B42EF3">
            <w:pPr>
              <w:pStyle w:val="TableBodyText"/>
            </w:pPr>
            <w:r>
              <w:rPr>
                <w:i/>
              </w:rPr>
              <w:t>datetime</w:t>
            </w:r>
          </w:p>
        </w:tc>
        <w:tc>
          <w:tcPr>
            <w:tcW w:w="0" w:type="auto"/>
            <w:vAlign w:val="center"/>
          </w:tcPr>
          <w:p w:rsidR="005F78FC" w:rsidRDefault="00B42EF3">
            <w:pPr>
              <w:pStyle w:val="TableBodyText"/>
            </w:pPr>
            <w:r>
              <w:t>default date time format for the rendering application</w:t>
            </w:r>
          </w:p>
        </w:tc>
      </w:tr>
      <w:tr w:rsidR="005F78FC" w:rsidTr="005F78FC">
        <w:tc>
          <w:tcPr>
            <w:tcW w:w="0" w:type="auto"/>
            <w:vAlign w:val="center"/>
          </w:tcPr>
          <w:p w:rsidR="005F78FC" w:rsidRDefault="00B42EF3">
            <w:pPr>
              <w:pStyle w:val="TableBodyText"/>
            </w:pPr>
            <w:r>
              <w:rPr>
                <w:i/>
              </w:rPr>
              <w:t>da</w:t>
            </w:r>
            <w:r>
              <w:rPr>
                <w:i/>
              </w:rPr>
              <w:t>tetimeFigureOut</w:t>
            </w:r>
          </w:p>
        </w:tc>
        <w:tc>
          <w:tcPr>
            <w:tcW w:w="0" w:type="auto"/>
            <w:vAlign w:val="center"/>
          </w:tcPr>
          <w:p w:rsidR="005F78FC" w:rsidRDefault="00B42EF3">
            <w:pPr>
              <w:pStyle w:val="TableBodyText"/>
            </w:pPr>
            <w:r>
              <w:t xml:space="preserve">equivalent to </w:t>
            </w:r>
            <w:r>
              <w:rPr>
                <w:i/>
              </w:rPr>
              <w:t>datetime1</w:t>
            </w:r>
          </w:p>
        </w:tc>
      </w:tr>
      <w:tr w:rsidR="005F78FC" w:rsidTr="005F78FC">
        <w:tc>
          <w:tcPr>
            <w:tcW w:w="0" w:type="auto"/>
            <w:vAlign w:val="center"/>
          </w:tcPr>
          <w:p w:rsidR="005F78FC" w:rsidRDefault="00B42EF3">
            <w:pPr>
              <w:pStyle w:val="TableBodyText"/>
            </w:pPr>
            <w:r>
              <w:rPr>
                <w:i/>
              </w:rPr>
              <w:t>datetime1</w:t>
            </w:r>
          </w:p>
        </w:tc>
        <w:tc>
          <w:tcPr>
            <w:tcW w:w="0" w:type="auto"/>
            <w:vAlign w:val="center"/>
          </w:tcPr>
          <w:p w:rsidR="005F78FC" w:rsidRDefault="00B42EF3">
            <w:pPr>
              <w:pStyle w:val="TableBodyText"/>
            </w:pPr>
            <w:r>
              <w:t>MM/DD/YYYY date time format [Example: 10/12/2007 end example]</w:t>
            </w:r>
          </w:p>
        </w:tc>
      </w:tr>
      <w:tr w:rsidR="005F78FC" w:rsidTr="005F78FC">
        <w:tc>
          <w:tcPr>
            <w:tcW w:w="0" w:type="auto"/>
            <w:vAlign w:val="center"/>
          </w:tcPr>
          <w:p w:rsidR="005F78FC" w:rsidRDefault="00B42EF3">
            <w:pPr>
              <w:pStyle w:val="TableBodyText"/>
            </w:pPr>
            <w:r>
              <w:rPr>
                <w:i/>
              </w:rPr>
              <w:lastRenderedPageBreak/>
              <w:t>datetime2</w:t>
            </w:r>
          </w:p>
        </w:tc>
        <w:tc>
          <w:tcPr>
            <w:tcW w:w="0" w:type="auto"/>
            <w:vAlign w:val="center"/>
          </w:tcPr>
          <w:p w:rsidR="005F78FC" w:rsidRDefault="00B42EF3">
            <w:pPr>
              <w:pStyle w:val="TableBodyText"/>
            </w:pPr>
            <w:r>
              <w:t>Day, Month DD, YYYY date time format [Example: Friday, October 12, 2007 end example]</w:t>
            </w:r>
          </w:p>
        </w:tc>
      </w:tr>
      <w:tr w:rsidR="005F78FC" w:rsidTr="005F78FC">
        <w:tc>
          <w:tcPr>
            <w:tcW w:w="0" w:type="auto"/>
            <w:vAlign w:val="center"/>
          </w:tcPr>
          <w:p w:rsidR="005F78FC" w:rsidRDefault="00B42EF3">
            <w:pPr>
              <w:pStyle w:val="TableBodyText"/>
            </w:pPr>
            <w:r>
              <w:rPr>
                <w:i/>
              </w:rPr>
              <w:t>datetime3</w:t>
            </w:r>
          </w:p>
        </w:tc>
        <w:tc>
          <w:tcPr>
            <w:tcW w:w="0" w:type="auto"/>
            <w:vAlign w:val="center"/>
          </w:tcPr>
          <w:p w:rsidR="005F78FC" w:rsidRDefault="00B42EF3">
            <w:pPr>
              <w:pStyle w:val="TableBodyText"/>
            </w:pPr>
            <w:r>
              <w:t xml:space="preserve">DD Month YYYY date time format </w:t>
            </w:r>
            <w:r>
              <w:t>[Example: 12 October 2007 end example]</w:t>
            </w:r>
          </w:p>
        </w:tc>
      </w:tr>
      <w:tr w:rsidR="005F78FC" w:rsidTr="005F78FC">
        <w:tc>
          <w:tcPr>
            <w:tcW w:w="0" w:type="auto"/>
            <w:vAlign w:val="center"/>
          </w:tcPr>
          <w:p w:rsidR="005F78FC" w:rsidRDefault="00B42EF3">
            <w:pPr>
              <w:pStyle w:val="TableBodyText"/>
            </w:pPr>
            <w:r>
              <w:rPr>
                <w:i/>
              </w:rPr>
              <w:t>datetime4</w:t>
            </w:r>
          </w:p>
        </w:tc>
        <w:tc>
          <w:tcPr>
            <w:tcW w:w="0" w:type="auto"/>
            <w:vAlign w:val="center"/>
          </w:tcPr>
          <w:p w:rsidR="005F78FC" w:rsidRDefault="00B42EF3">
            <w:pPr>
              <w:pStyle w:val="TableBodyText"/>
            </w:pPr>
            <w:r>
              <w:t>Month DD, YYYY date time format [Example: October 12, 2007 end example]</w:t>
            </w:r>
          </w:p>
        </w:tc>
      </w:tr>
      <w:tr w:rsidR="005F78FC" w:rsidTr="005F78FC">
        <w:tc>
          <w:tcPr>
            <w:tcW w:w="0" w:type="auto"/>
            <w:vAlign w:val="center"/>
          </w:tcPr>
          <w:p w:rsidR="005F78FC" w:rsidRDefault="00B42EF3">
            <w:pPr>
              <w:pStyle w:val="TableBodyText"/>
            </w:pPr>
            <w:r>
              <w:rPr>
                <w:i/>
              </w:rPr>
              <w:t>datetime5</w:t>
            </w:r>
          </w:p>
        </w:tc>
        <w:tc>
          <w:tcPr>
            <w:tcW w:w="0" w:type="auto"/>
            <w:vAlign w:val="center"/>
          </w:tcPr>
          <w:p w:rsidR="005F78FC" w:rsidRDefault="00B42EF3">
            <w:pPr>
              <w:pStyle w:val="TableBodyText"/>
            </w:pPr>
            <w:r>
              <w:t>DD-Mon-YY date time format [Example: 12-Oct-07 end example]</w:t>
            </w:r>
          </w:p>
        </w:tc>
      </w:tr>
      <w:tr w:rsidR="005F78FC" w:rsidTr="005F78FC">
        <w:tc>
          <w:tcPr>
            <w:tcW w:w="0" w:type="auto"/>
            <w:vAlign w:val="center"/>
          </w:tcPr>
          <w:p w:rsidR="005F78FC" w:rsidRDefault="00B42EF3">
            <w:pPr>
              <w:pStyle w:val="TableBodyText"/>
            </w:pPr>
            <w:r>
              <w:rPr>
                <w:i/>
              </w:rPr>
              <w:t>datetime6</w:t>
            </w:r>
          </w:p>
        </w:tc>
        <w:tc>
          <w:tcPr>
            <w:tcW w:w="0" w:type="auto"/>
            <w:vAlign w:val="center"/>
          </w:tcPr>
          <w:p w:rsidR="005F78FC" w:rsidRDefault="00B42EF3">
            <w:pPr>
              <w:pStyle w:val="TableBodyText"/>
            </w:pPr>
            <w:r>
              <w:t>Month YY date time format [Example: October 07 end e</w:t>
            </w:r>
            <w:r>
              <w:t>xample]</w:t>
            </w:r>
          </w:p>
        </w:tc>
      </w:tr>
      <w:tr w:rsidR="005F78FC" w:rsidTr="005F78FC">
        <w:tc>
          <w:tcPr>
            <w:tcW w:w="0" w:type="auto"/>
            <w:vAlign w:val="center"/>
          </w:tcPr>
          <w:p w:rsidR="005F78FC" w:rsidRDefault="00B42EF3">
            <w:pPr>
              <w:pStyle w:val="TableBodyText"/>
            </w:pPr>
            <w:r>
              <w:rPr>
                <w:i/>
              </w:rPr>
              <w:t>datetime7</w:t>
            </w:r>
          </w:p>
        </w:tc>
        <w:tc>
          <w:tcPr>
            <w:tcW w:w="0" w:type="auto"/>
            <w:vAlign w:val="center"/>
          </w:tcPr>
          <w:p w:rsidR="005F78FC" w:rsidRDefault="00B42EF3">
            <w:pPr>
              <w:pStyle w:val="TableBodyText"/>
            </w:pPr>
            <w:r>
              <w:t>Mon-YY date time format [Example: Oct-07 end example]</w:t>
            </w:r>
          </w:p>
        </w:tc>
      </w:tr>
      <w:tr w:rsidR="005F78FC" w:rsidTr="005F78FC">
        <w:tc>
          <w:tcPr>
            <w:tcW w:w="0" w:type="auto"/>
            <w:vAlign w:val="center"/>
          </w:tcPr>
          <w:p w:rsidR="005F78FC" w:rsidRDefault="00B42EF3">
            <w:pPr>
              <w:pStyle w:val="TableBodyText"/>
            </w:pPr>
            <w:r>
              <w:rPr>
                <w:i/>
              </w:rPr>
              <w:t>datetime8</w:t>
            </w:r>
          </w:p>
        </w:tc>
        <w:tc>
          <w:tcPr>
            <w:tcW w:w="0" w:type="auto"/>
            <w:vAlign w:val="center"/>
          </w:tcPr>
          <w:p w:rsidR="005F78FC" w:rsidRDefault="00B42EF3">
            <w:pPr>
              <w:pStyle w:val="TableBodyText"/>
            </w:pPr>
            <w:r>
              <w:t>MM/DD/YYYY hh:mm AM/PM date time format [Example: 10/12/2007 4:28 PM end example]</w:t>
            </w:r>
          </w:p>
        </w:tc>
      </w:tr>
      <w:tr w:rsidR="005F78FC" w:rsidTr="005F78FC">
        <w:tc>
          <w:tcPr>
            <w:tcW w:w="0" w:type="auto"/>
            <w:vAlign w:val="center"/>
          </w:tcPr>
          <w:p w:rsidR="005F78FC" w:rsidRDefault="00B42EF3">
            <w:pPr>
              <w:pStyle w:val="TableBodyText"/>
            </w:pPr>
            <w:r>
              <w:rPr>
                <w:i/>
              </w:rPr>
              <w:t>datetime9</w:t>
            </w:r>
          </w:p>
        </w:tc>
        <w:tc>
          <w:tcPr>
            <w:tcW w:w="0" w:type="auto"/>
            <w:vAlign w:val="center"/>
          </w:tcPr>
          <w:p w:rsidR="005F78FC" w:rsidRDefault="00B42EF3">
            <w:pPr>
              <w:pStyle w:val="TableBodyText"/>
            </w:pPr>
            <w:r>
              <w:t xml:space="preserve">MM/DD/YYYY hh:mm:ss AM/PM date time format [Example: 10/12/2007 4:28:34 PM end </w:t>
            </w:r>
            <w:r>
              <w:t>example]</w:t>
            </w:r>
          </w:p>
        </w:tc>
      </w:tr>
      <w:tr w:rsidR="005F78FC" w:rsidTr="005F78FC">
        <w:tc>
          <w:tcPr>
            <w:tcW w:w="0" w:type="auto"/>
            <w:vAlign w:val="center"/>
          </w:tcPr>
          <w:p w:rsidR="005F78FC" w:rsidRDefault="00B42EF3">
            <w:pPr>
              <w:pStyle w:val="TableBodyText"/>
            </w:pPr>
            <w:r>
              <w:rPr>
                <w:i/>
              </w:rPr>
              <w:t>datetime10</w:t>
            </w:r>
          </w:p>
        </w:tc>
        <w:tc>
          <w:tcPr>
            <w:tcW w:w="0" w:type="auto"/>
            <w:vAlign w:val="center"/>
          </w:tcPr>
          <w:p w:rsidR="005F78FC" w:rsidRDefault="00B42EF3">
            <w:pPr>
              <w:pStyle w:val="TableBodyText"/>
            </w:pPr>
            <w:r>
              <w:t>hh:mm date time format [Example: 16:28 end example]</w:t>
            </w:r>
          </w:p>
        </w:tc>
      </w:tr>
      <w:tr w:rsidR="005F78FC" w:rsidTr="005F78FC">
        <w:tc>
          <w:tcPr>
            <w:tcW w:w="0" w:type="auto"/>
            <w:vAlign w:val="center"/>
          </w:tcPr>
          <w:p w:rsidR="005F78FC" w:rsidRDefault="00B42EF3">
            <w:pPr>
              <w:pStyle w:val="TableBodyText"/>
            </w:pPr>
            <w:r>
              <w:rPr>
                <w:i/>
              </w:rPr>
              <w:t>datetime11</w:t>
            </w:r>
          </w:p>
        </w:tc>
        <w:tc>
          <w:tcPr>
            <w:tcW w:w="0" w:type="auto"/>
            <w:vAlign w:val="center"/>
          </w:tcPr>
          <w:p w:rsidR="005F78FC" w:rsidRDefault="00B42EF3">
            <w:pPr>
              <w:pStyle w:val="TableBodyText"/>
            </w:pPr>
            <w:r>
              <w:t>hh:mm:ss date time format [Example: 16:28:34 end example]</w:t>
            </w:r>
          </w:p>
        </w:tc>
      </w:tr>
      <w:tr w:rsidR="005F78FC" w:rsidTr="005F78FC">
        <w:tc>
          <w:tcPr>
            <w:tcW w:w="0" w:type="auto"/>
            <w:vAlign w:val="center"/>
          </w:tcPr>
          <w:p w:rsidR="005F78FC" w:rsidRDefault="00B42EF3">
            <w:pPr>
              <w:pStyle w:val="TableBodyText"/>
            </w:pPr>
            <w:r>
              <w:rPr>
                <w:i/>
              </w:rPr>
              <w:t>datetime12</w:t>
            </w:r>
          </w:p>
        </w:tc>
        <w:tc>
          <w:tcPr>
            <w:tcW w:w="0" w:type="auto"/>
            <w:vAlign w:val="center"/>
          </w:tcPr>
          <w:p w:rsidR="005F78FC" w:rsidRDefault="00B42EF3">
            <w:pPr>
              <w:pStyle w:val="TableBodyText"/>
            </w:pPr>
            <w:r>
              <w:t>hh:mm AM/PM date time format [Example: 4:28 PM end example]</w:t>
            </w:r>
          </w:p>
        </w:tc>
      </w:tr>
      <w:tr w:rsidR="005F78FC" w:rsidTr="005F78FC">
        <w:tc>
          <w:tcPr>
            <w:tcW w:w="0" w:type="auto"/>
            <w:vAlign w:val="center"/>
          </w:tcPr>
          <w:p w:rsidR="005F78FC" w:rsidRDefault="00B42EF3">
            <w:pPr>
              <w:pStyle w:val="TableBodyText"/>
            </w:pPr>
            <w:r>
              <w:rPr>
                <w:i/>
              </w:rPr>
              <w:t>datetime13</w:t>
            </w:r>
          </w:p>
        </w:tc>
        <w:tc>
          <w:tcPr>
            <w:tcW w:w="0" w:type="auto"/>
            <w:vAlign w:val="center"/>
          </w:tcPr>
          <w:p w:rsidR="005F78FC" w:rsidRDefault="00B42EF3">
            <w:pPr>
              <w:pStyle w:val="TableBodyText"/>
            </w:pPr>
            <w:r>
              <w:t xml:space="preserve">hh:mm:ss: AM/PM date time </w:t>
            </w:r>
            <w:r>
              <w:t>format [Example: 4:28:34 PM end example]</w:t>
            </w:r>
          </w:p>
        </w:tc>
      </w:tr>
    </w:tbl>
    <w:p w:rsidR="005F78FC" w:rsidRDefault="005F78FC"/>
    <w:p w:rsidR="005F78FC" w:rsidRDefault="00B42EF3">
      <w:pPr>
        <w:pStyle w:val="Definition-Field2"/>
      </w:pPr>
      <w:r>
        <w:t>This note applies to the following products: Office 2010, Office 2010 Server, Office 2010 SP1.</w:t>
      </w:r>
    </w:p>
    <w:p w:rsidR="005F78FC" w:rsidRDefault="00B42EF3">
      <w:pPr>
        <w:pStyle w:val="Definition-Field"/>
      </w:pPr>
      <w:r>
        <w:t xml:space="preserve">b.   </w:t>
      </w:r>
      <w:r>
        <w:rPr>
          <w:i/>
        </w:rPr>
        <w:t>The standard states that the type attribute of the fld element specifies the type of update text that should be u</w:t>
      </w:r>
      <w:r>
        <w:rPr>
          <w:i/>
        </w:rPr>
        <w:t>sed within the text field.</w:t>
      </w:r>
    </w:p>
    <w:p w:rsidR="005F78FC" w:rsidRDefault="00B42EF3">
      <w:r>
        <w:t>In Office, the type attribute specifies the type of text that should be used to update this text field. This is used to inform Office what text it should use to update this text field. There are no specific syntax restrictions pl</w:t>
      </w:r>
      <w:r>
        <w:t>aced on this attribute. The generating application may use it to represent any text that should be updated before rendering the presentation.</w:t>
      </w:r>
    </w:p>
    <w:p w:rsidR="005F78FC" w:rsidRDefault="00B42EF3">
      <w:r>
        <w:t>Reserved Values:</w:t>
      </w:r>
    </w:p>
    <w:tbl>
      <w:tblPr>
        <w:tblStyle w:val="Table-ShadedHeader"/>
        <w:tblW w:w="0" w:type="auto"/>
        <w:tblLook w:val="04A0" w:firstRow="1" w:lastRow="0" w:firstColumn="1" w:lastColumn="0" w:noHBand="0" w:noVBand="1"/>
      </w:tblPr>
      <w:tblGrid>
        <w:gridCol w:w="1341"/>
        <w:gridCol w:w="8134"/>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Value</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rPr>
                <w:i/>
              </w:rPr>
              <w:t>slidenum</w:t>
            </w:r>
          </w:p>
        </w:tc>
        <w:tc>
          <w:tcPr>
            <w:tcW w:w="0" w:type="auto"/>
            <w:vAlign w:val="center"/>
          </w:tcPr>
          <w:p w:rsidR="005F78FC" w:rsidRDefault="00B42EF3">
            <w:pPr>
              <w:pStyle w:val="TableBodyText"/>
            </w:pPr>
            <w:r>
              <w:t>presentation slide number</w:t>
            </w:r>
          </w:p>
        </w:tc>
      </w:tr>
      <w:tr w:rsidR="005F78FC" w:rsidTr="005F78FC">
        <w:tc>
          <w:tcPr>
            <w:tcW w:w="0" w:type="auto"/>
            <w:vAlign w:val="center"/>
          </w:tcPr>
          <w:p w:rsidR="005F78FC" w:rsidRDefault="00B42EF3">
            <w:pPr>
              <w:pStyle w:val="TableBodyText"/>
            </w:pPr>
            <w:r>
              <w:rPr>
                <w:i/>
              </w:rPr>
              <w:t>datetime</w:t>
            </w:r>
          </w:p>
        </w:tc>
        <w:tc>
          <w:tcPr>
            <w:tcW w:w="0" w:type="auto"/>
            <w:vAlign w:val="center"/>
          </w:tcPr>
          <w:p w:rsidR="005F78FC" w:rsidRDefault="00B42EF3">
            <w:pPr>
              <w:pStyle w:val="TableBodyText"/>
            </w:pPr>
            <w:r>
              <w:t xml:space="preserve">default date time format for the </w:t>
            </w:r>
            <w:r>
              <w:t>rendering application</w:t>
            </w:r>
          </w:p>
        </w:tc>
      </w:tr>
      <w:tr w:rsidR="005F78FC" w:rsidTr="005F78FC">
        <w:tc>
          <w:tcPr>
            <w:tcW w:w="0" w:type="auto"/>
            <w:vAlign w:val="center"/>
          </w:tcPr>
          <w:p w:rsidR="005F78FC" w:rsidRDefault="00B42EF3">
            <w:pPr>
              <w:pStyle w:val="TableBodyText"/>
            </w:pPr>
            <w:r>
              <w:rPr>
                <w:i/>
              </w:rPr>
              <w:t>datetime1</w:t>
            </w:r>
          </w:p>
        </w:tc>
        <w:tc>
          <w:tcPr>
            <w:tcW w:w="0" w:type="auto"/>
            <w:vAlign w:val="center"/>
          </w:tcPr>
          <w:p w:rsidR="005F78FC" w:rsidRDefault="00B42EF3">
            <w:pPr>
              <w:pStyle w:val="TableBodyText"/>
            </w:pPr>
            <w:r>
              <w:t>MM/DD/YYYY date time format [Example: 10/12/2007 end example]</w:t>
            </w:r>
          </w:p>
        </w:tc>
      </w:tr>
      <w:tr w:rsidR="005F78FC" w:rsidTr="005F78FC">
        <w:tc>
          <w:tcPr>
            <w:tcW w:w="0" w:type="auto"/>
            <w:vAlign w:val="center"/>
          </w:tcPr>
          <w:p w:rsidR="005F78FC" w:rsidRDefault="00B42EF3">
            <w:pPr>
              <w:pStyle w:val="TableBodyText"/>
            </w:pPr>
            <w:r>
              <w:rPr>
                <w:i/>
              </w:rPr>
              <w:t>datetime2</w:t>
            </w:r>
          </w:p>
        </w:tc>
        <w:tc>
          <w:tcPr>
            <w:tcW w:w="0" w:type="auto"/>
            <w:vAlign w:val="center"/>
          </w:tcPr>
          <w:p w:rsidR="005F78FC" w:rsidRDefault="00B42EF3">
            <w:pPr>
              <w:pStyle w:val="TableBodyText"/>
            </w:pPr>
            <w:r>
              <w:t>Day, Month DD, YYYY date time format [Example: Friday, October 12, 2007 end example]</w:t>
            </w:r>
          </w:p>
        </w:tc>
      </w:tr>
      <w:tr w:rsidR="005F78FC" w:rsidTr="005F78FC">
        <w:tc>
          <w:tcPr>
            <w:tcW w:w="0" w:type="auto"/>
            <w:vAlign w:val="center"/>
          </w:tcPr>
          <w:p w:rsidR="005F78FC" w:rsidRDefault="00B42EF3">
            <w:pPr>
              <w:pStyle w:val="TableBodyText"/>
            </w:pPr>
            <w:r>
              <w:rPr>
                <w:i/>
              </w:rPr>
              <w:t>datetime3</w:t>
            </w:r>
          </w:p>
        </w:tc>
        <w:tc>
          <w:tcPr>
            <w:tcW w:w="0" w:type="auto"/>
            <w:vAlign w:val="center"/>
          </w:tcPr>
          <w:p w:rsidR="005F78FC" w:rsidRDefault="00B42EF3">
            <w:pPr>
              <w:pStyle w:val="TableBodyText"/>
            </w:pPr>
            <w:r>
              <w:t>DD Month YYYY date time format [Example: 12 October 20</w:t>
            </w:r>
            <w:r>
              <w:t>07 end example]</w:t>
            </w:r>
          </w:p>
        </w:tc>
      </w:tr>
      <w:tr w:rsidR="005F78FC" w:rsidTr="005F78FC">
        <w:tc>
          <w:tcPr>
            <w:tcW w:w="0" w:type="auto"/>
            <w:vAlign w:val="center"/>
          </w:tcPr>
          <w:p w:rsidR="005F78FC" w:rsidRDefault="00B42EF3">
            <w:pPr>
              <w:pStyle w:val="TableBodyText"/>
            </w:pPr>
            <w:r>
              <w:rPr>
                <w:i/>
              </w:rPr>
              <w:t>datetime4</w:t>
            </w:r>
          </w:p>
        </w:tc>
        <w:tc>
          <w:tcPr>
            <w:tcW w:w="0" w:type="auto"/>
            <w:vAlign w:val="center"/>
          </w:tcPr>
          <w:p w:rsidR="005F78FC" w:rsidRDefault="00B42EF3">
            <w:pPr>
              <w:pStyle w:val="TableBodyText"/>
            </w:pPr>
            <w:r>
              <w:t>Month DD, YYYY date time format [Example: October 12, 2007 end example]</w:t>
            </w:r>
          </w:p>
        </w:tc>
      </w:tr>
      <w:tr w:rsidR="005F78FC" w:rsidTr="005F78FC">
        <w:tc>
          <w:tcPr>
            <w:tcW w:w="0" w:type="auto"/>
            <w:vAlign w:val="center"/>
          </w:tcPr>
          <w:p w:rsidR="005F78FC" w:rsidRDefault="00B42EF3">
            <w:pPr>
              <w:pStyle w:val="TableBodyText"/>
            </w:pPr>
            <w:r>
              <w:rPr>
                <w:i/>
              </w:rPr>
              <w:t>datetime5</w:t>
            </w:r>
          </w:p>
        </w:tc>
        <w:tc>
          <w:tcPr>
            <w:tcW w:w="0" w:type="auto"/>
            <w:vAlign w:val="center"/>
          </w:tcPr>
          <w:p w:rsidR="005F78FC" w:rsidRDefault="00B42EF3">
            <w:pPr>
              <w:pStyle w:val="TableBodyText"/>
            </w:pPr>
            <w:r>
              <w:t>DD-Mon-YY date time format [Example: 12-Oct-07 end example]</w:t>
            </w:r>
          </w:p>
        </w:tc>
      </w:tr>
      <w:tr w:rsidR="005F78FC" w:rsidTr="005F78FC">
        <w:tc>
          <w:tcPr>
            <w:tcW w:w="0" w:type="auto"/>
            <w:vAlign w:val="center"/>
          </w:tcPr>
          <w:p w:rsidR="005F78FC" w:rsidRDefault="00B42EF3">
            <w:pPr>
              <w:pStyle w:val="TableBodyText"/>
            </w:pPr>
            <w:r>
              <w:rPr>
                <w:i/>
              </w:rPr>
              <w:t>datetime6</w:t>
            </w:r>
          </w:p>
        </w:tc>
        <w:tc>
          <w:tcPr>
            <w:tcW w:w="0" w:type="auto"/>
            <w:vAlign w:val="center"/>
          </w:tcPr>
          <w:p w:rsidR="005F78FC" w:rsidRDefault="00B42EF3">
            <w:pPr>
              <w:pStyle w:val="TableBodyText"/>
            </w:pPr>
            <w:r>
              <w:t>Month YY date time format [Example: October 07 end example]</w:t>
            </w:r>
          </w:p>
        </w:tc>
      </w:tr>
      <w:tr w:rsidR="005F78FC" w:rsidTr="005F78FC">
        <w:tc>
          <w:tcPr>
            <w:tcW w:w="0" w:type="auto"/>
            <w:vAlign w:val="center"/>
          </w:tcPr>
          <w:p w:rsidR="005F78FC" w:rsidRDefault="00B42EF3">
            <w:pPr>
              <w:pStyle w:val="TableBodyText"/>
            </w:pPr>
            <w:r>
              <w:rPr>
                <w:i/>
              </w:rPr>
              <w:t>datetime7</w:t>
            </w:r>
          </w:p>
        </w:tc>
        <w:tc>
          <w:tcPr>
            <w:tcW w:w="0" w:type="auto"/>
            <w:vAlign w:val="center"/>
          </w:tcPr>
          <w:p w:rsidR="005F78FC" w:rsidRDefault="00B42EF3">
            <w:pPr>
              <w:pStyle w:val="TableBodyText"/>
            </w:pPr>
            <w:r>
              <w:t>Mon-YY date time format [Example: Oct-07 end example]</w:t>
            </w:r>
          </w:p>
        </w:tc>
      </w:tr>
      <w:tr w:rsidR="005F78FC" w:rsidTr="005F78FC">
        <w:tc>
          <w:tcPr>
            <w:tcW w:w="0" w:type="auto"/>
            <w:vAlign w:val="center"/>
          </w:tcPr>
          <w:p w:rsidR="005F78FC" w:rsidRDefault="00B42EF3">
            <w:pPr>
              <w:pStyle w:val="TableBodyText"/>
            </w:pPr>
            <w:r>
              <w:rPr>
                <w:i/>
              </w:rPr>
              <w:t>datetime8</w:t>
            </w:r>
          </w:p>
        </w:tc>
        <w:tc>
          <w:tcPr>
            <w:tcW w:w="0" w:type="auto"/>
            <w:vAlign w:val="center"/>
          </w:tcPr>
          <w:p w:rsidR="005F78FC" w:rsidRDefault="00B42EF3">
            <w:pPr>
              <w:pStyle w:val="TableBodyText"/>
            </w:pPr>
            <w:r>
              <w:t>MM/DD/YYYY hh:mm AM/PM date time format [Example: 10/12/2007 4:28 PM end example]</w:t>
            </w:r>
          </w:p>
        </w:tc>
      </w:tr>
      <w:tr w:rsidR="005F78FC" w:rsidTr="005F78FC">
        <w:tc>
          <w:tcPr>
            <w:tcW w:w="0" w:type="auto"/>
            <w:vAlign w:val="center"/>
          </w:tcPr>
          <w:p w:rsidR="005F78FC" w:rsidRDefault="00B42EF3">
            <w:pPr>
              <w:pStyle w:val="TableBodyText"/>
            </w:pPr>
            <w:r>
              <w:rPr>
                <w:i/>
              </w:rPr>
              <w:lastRenderedPageBreak/>
              <w:t>datetime9</w:t>
            </w:r>
          </w:p>
        </w:tc>
        <w:tc>
          <w:tcPr>
            <w:tcW w:w="0" w:type="auto"/>
            <w:vAlign w:val="center"/>
          </w:tcPr>
          <w:p w:rsidR="005F78FC" w:rsidRDefault="00B42EF3">
            <w:pPr>
              <w:pStyle w:val="TableBodyText"/>
            </w:pPr>
            <w:r>
              <w:t>MM/DD/YYYY hh:mm:ss AM/PM date time format [Example: 10/12/2007 4:28:34 PM end example]</w:t>
            </w:r>
          </w:p>
        </w:tc>
      </w:tr>
      <w:tr w:rsidR="005F78FC" w:rsidTr="005F78FC">
        <w:tc>
          <w:tcPr>
            <w:tcW w:w="0" w:type="auto"/>
            <w:vAlign w:val="center"/>
          </w:tcPr>
          <w:p w:rsidR="005F78FC" w:rsidRDefault="00B42EF3">
            <w:pPr>
              <w:pStyle w:val="TableBodyText"/>
            </w:pPr>
            <w:r>
              <w:rPr>
                <w:i/>
              </w:rPr>
              <w:t>datetime1</w:t>
            </w:r>
            <w:r>
              <w:rPr>
                <w:i/>
              </w:rPr>
              <w:t>0</w:t>
            </w:r>
          </w:p>
        </w:tc>
        <w:tc>
          <w:tcPr>
            <w:tcW w:w="0" w:type="auto"/>
            <w:vAlign w:val="center"/>
          </w:tcPr>
          <w:p w:rsidR="005F78FC" w:rsidRDefault="00B42EF3">
            <w:pPr>
              <w:pStyle w:val="TableBodyText"/>
            </w:pPr>
            <w:r>
              <w:t>hh:mm date time format [Example: 16:28 end example]</w:t>
            </w:r>
          </w:p>
        </w:tc>
      </w:tr>
      <w:tr w:rsidR="005F78FC" w:rsidTr="005F78FC">
        <w:tc>
          <w:tcPr>
            <w:tcW w:w="0" w:type="auto"/>
            <w:vAlign w:val="center"/>
          </w:tcPr>
          <w:p w:rsidR="005F78FC" w:rsidRDefault="00B42EF3">
            <w:pPr>
              <w:pStyle w:val="TableBodyText"/>
            </w:pPr>
            <w:r>
              <w:rPr>
                <w:i/>
              </w:rPr>
              <w:t>datetime11</w:t>
            </w:r>
          </w:p>
        </w:tc>
        <w:tc>
          <w:tcPr>
            <w:tcW w:w="0" w:type="auto"/>
            <w:vAlign w:val="center"/>
          </w:tcPr>
          <w:p w:rsidR="005F78FC" w:rsidRDefault="00B42EF3">
            <w:pPr>
              <w:pStyle w:val="TableBodyText"/>
            </w:pPr>
            <w:r>
              <w:t>hh:mm:ss date time format [Example: 16:28:34 end example]</w:t>
            </w:r>
          </w:p>
        </w:tc>
      </w:tr>
      <w:tr w:rsidR="005F78FC" w:rsidTr="005F78FC">
        <w:tc>
          <w:tcPr>
            <w:tcW w:w="0" w:type="auto"/>
            <w:vAlign w:val="center"/>
          </w:tcPr>
          <w:p w:rsidR="005F78FC" w:rsidRDefault="00B42EF3">
            <w:pPr>
              <w:pStyle w:val="TableBodyText"/>
            </w:pPr>
            <w:r>
              <w:rPr>
                <w:i/>
              </w:rPr>
              <w:t>datetime12</w:t>
            </w:r>
          </w:p>
        </w:tc>
        <w:tc>
          <w:tcPr>
            <w:tcW w:w="0" w:type="auto"/>
            <w:vAlign w:val="center"/>
          </w:tcPr>
          <w:p w:rsidR="005F78FC" w:rsidRDefault="00B42EF3">
            <w:pPr>
              <w:pStyle w:val="TableBodyText"/>
            </w:pPr>
            <w:r>
              <w:t>hh:mm AM/PM date time format [Example: 4:28 PM end example]</w:t>
            </w:r>
          </w:p>
        </w:tc>
      </w:tr>
      <w:tr w:rsidR="005F78FC" w:rsidTr="005F78FC">
        <w:tc>
          <w:tcPr>
            <w:tcW w:w="0" w:type="auto"/>
            <w:vAlign w:val="center"/>
          </w:tcPr>
          <w:p w:rsidR="005F78FC" w:rsidRDefault="00B42EF3">
            <w:pPr>
              <w:pStyle w:val="TableBodyText"/>
            </w:pPr>
            <w:r>
              <w:rPr>
                <w:i/>
              </w:rPr>
              <w:t>datetime13</w:t>
            </w:r>
          </w:p>
        </w:tc>
        <w:tc>
          <w:tcPr>
            <w:tcW w:w="0" w:type="auto"/>
            <w:vAlign w:val="center"/>
          </w:tcPr>
          <w:p w:rsidR="005F78FC" w:rsidRDefault="00B42EF3">
            <w:pPr>
              <w:pStyle w:val="TableBodyText"/>
            </w:pPr>
            <w:r>
              <w:t xml:space="preserve">hh:mm:ss: AM/PM date time format [Example: </w:t>
            </w:r>
            <w:r>
              <w:t>4:28:34 PM end example]</w:t>
            </w:r>
          </w:p>
        </w:tc>
      </w:tr>
      <w:tr w:rsidR="005F78FC" w:rsidTr="005F78FC">
        <w:tc>
          <w:tcPr>
            <w:tcW w:w="0" w:type="auto"/>
            <w:vAlign w:val="center"/>
          </w:tcPr>
          <w:p w:rsidR="005F78FC" w:rsidRDefault="00B42EF3">
            <w:pPr>
              <w:pStyle w:val="TableBodyText"/>
            </w:pPr>
            <w:r>
              <w:rPr>
                <w:i/>
              </w:rPr>
              <w:t>uaqdatetime1</w:t>
            </w:r>
          </w:p>
        </w:tc>
        <w:tc>
          <w:tcPr>
            <w:tcW w:w="0" w:type="auto"/>
            <w:vAlign w:val="center"/>
          </w:tcPr>
          <w:p w:rsidR="005F78FC" w:rsidRDefault="00B42EF3">
            <w:pPr>
              <w:pStyle w:val="TableBodyText"/>
            </w:pPr>
            <w:r>
              <w:t>DD/MM/YYYY date time format using the Umm al-Qura calendar [</w:t>
            </w:r>
            <w:r>
              <w:rPr>
                <w:i/>
              </w:rPr>
              <w:t>Example:</w:t>
            </w:r>
          </w:p>
          <w:p w:rsidR="005F78FC" w:rsidRDefault="00B42EF3">
            <w:pPr>
              <w:pStyle w:val="TableBodyText"/>
            </w:pPr>
            <w:r>
              <w:rPr>
                <w:noProof/>
              </w:rPr>
              <w:drawing>
                <wp:inline distT="0" distB="0" distL="0" distR="0">
                  <wp:extent cx="790575" cy="200025"/>
                  <wp:effectExtent l="0" t="0" r="0" b="0"/>
                  <wp:docPr id="342015686" name="Picture 1" descr="Date in left to right format. 10/12/1432" title="Date in left to righ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92f01-0000-0000-0000-000000000000" descr="Date in left to right format. 10/12/1432" title="Date in left to right format"/>
                          <pic:cNvPicPr>
                            <a:picLocks noChangeAspect="1" noChangeArrowheads="1"/>
                          </pic:cNvPicPr>
                        </pic:nvPicPr>
                        <pic:blipFill>
                          <a:blip r:embed="rId198" cstate="print"/>
                          <a:srcRect/>
                          <a:stretch>
                            <a:fillRect/>
                          </a:stretch>
                        </pic:blipFill>
                        <pic:spPr bwMode="auto">
                          <a:xfrm>
                            <a:off x="0" y="0"/>
                            <a:ext cx="790575" cy="200025"/>
                          </a:xfrm>
                          <a:prstGeom prst="rect">
                            <a:avLst/>
                          </a:prstGeom>
                          <a:noFill/>
                          <a:ln w="9525">
                            <a:noFill/>
                            <a:miter lim="800000"/>
                            <a:headEnd/>
                            <a:tailEnd/>
                          </a:ln>
                        </pic:spPr>
                      </pic:pic>
                    </a:graphicData>
                  </a:graphic>
                </wp:inline>
              </w:drawing>
            </w:r>
          </w:p>
          <w:p w:rsidR="005F78FC" w:rsidRDefault="00B42EF3">
            <w:pPr>
              <w:pStyle w:val="TableBodyText"/>
            </w:pPr>
            <w:r>
              <w:rPr>
                <w:i/>
              </w:rPr>
              <w:t>end example</w:t>
            </w:r>
            <w:r>
              <w:t>]</w:t>
            </w:r>
          </w:p>
        </w:tc>
      </w:tr>
      <w:tr w:rsidR="005F78FC" w:rsidTr="005F78FC">
        <w:tc>
          <w:tcPr>
            <w:tcW w:w="0" w:type="auto"/>
            <w:vAlign w:val="center"/>
          </w:tcPr>
          <w:p w:rsidR="005F78FC" w:rsidRDefault="00B42EF3">
            <w:pPr>
              <w:pStyle w:val="TableBodyText"/>
            </w:pPr>
            <w:r>
              <w:rPr>
                <w:i/>
              </w:rPr>
              <w:t>uaqdatetime2</w:t>
            </w:r>
          </w:p>
        </w:tc>
        <w:tc>
          <w:tcPr>
            <w:tcW w:w="0" w:type="auto"/>
            <w:vAlign w:val="center"/>
          </w:tcPr>
          <w:p w:rsidR="005F78FC" w:rsidRDefault="00B42EF3">
            <w:pPr>
              <w:pStyle w:val="TableBodyText"/>
            </w:pPr>
            <w:r>
              <w:t>Day, DD Month, YYYY date time format using the Umm al-Qura calendar [</w:t>
            </w:r>
            <w:r>
              <w:rPr>
                <w:i/>
              </w:rPr>
              <w:t>Example:</w:t>
            </w:r>
          </w:p>
          <w:p w:rsidR="005F78FC" w:rsidRDefault="00B42EF3">
            <w:pPr>
              <w:pStyle w:val="TableBodyText"/>
            </w:pPr>
            <w:r>
              <w:rPr>
                <w:noProof/>
              </w:rPr>
              <w:drawing>
                <wp:inline distT="0" distB="0" distL="0" distR="0">
                  <wp:extent cx="1485900" cy="238125"/>
                  <wp:effectExtent l="0" t="0" r="0" b="0"/>
                  <wp:docPr id="342015692"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a2f01-0000-0000-0000-000000000000" descr="Date in right to left format" title="Date in right to left format"/>
                          <pic:cNvPicPr>
                            <a:picLocks noChangeAspect="1" noChangeArrowheads="1"/>
                          </pic:cNvPicPr>
                        </pic:nvPicPr>
                        <pic:blipFill>
                          <a:blip r:embed="rId199" cstate="print"/>
                          <a:srcRect/>
                          <a:stretch>
                            <a:fillRect/>
                          </a:stretch>
                        </pic:blipFill>
                        <pic:spPr bwMode="auto">
                          <a:xfrm>
                            <a:off x="0" y="0"/>
                            <a:ext cx="1485900" cy="238125"/>
                          </a:xfrm>
                          <a:prstGeom prst="rect">
                            <a:avLst/>
                          </a:prstGeom>
                          <a:noFill/>
                          <a:ln w="9525">
                            <a:noFill/>
                            <a:miter lim="800000"/>
                            <a:headEnd/>
                            <a:tailEnd/>
                          </a:ln>
                        </pic:spPr>
                      </pic:pic>
                    </a:graphicData>
                  </a:graphic>
                </wp:inline>
              </w:drawing>
            </w:r>
          </w:p>
          <w:p w:rsidR="005F78FC" w:rsidRDefault="00B42EF3">
            <w:pPr>
              <w:pStyle w:val="TableBodyText"/>
            </w:pPr>
            <w:r>
              <w:rPr>
                <w:i/>
              </w:rPr>
              <w:t>end example</w:t>
            </w:r>
            <w:r>
              <w:t>]</w:t>
            </w:r>
          </w:p>
        </w:tc>
      </w:tr>
      <w:tr w:rsidR="005F78FC" w:rsidTr="005F78FC">
        <w:tc>
          <w:tcPr>
            <w:tcW w:w="0" w:type="auto"/>
            <w:vAlign w:val="center"/>
          </w:tcPr>
          <w:p w:rsidR="005F78FC" w:rsidRDefault="00B42EF3">
            <w:pPr>
              <w:pStyle w:val="TableBodyText"/>
            </w:pPr>
            <w:r>
              <w:rPr>
                <w:i/>
              </w:rPr>
              <w:t>uaqdatetime3</w:t>
            </w:r>
          </w:p>
        </w:tc>
        <w:tc>
          <w:tcPr>
            <w:tcW w:w="0" w:type="auto"/>
            <w:vAlign w:val="center"/>
          </w:tcPr>
          <w:p w:rsidR="005F78FC" w:rsidRDefault="00B42EF3">
            <w:pPr>
              <w:pStyle w:val="TableBodyText"/>
            </w:pPr>
            <w:r>
              <w:t xml:space="preserve">DD Month, </w:t>
            </w:r>
            <w:r>
              <w:t>YYYY date time format using the Umm al-Qura calendar [</w:t>
            </w:r>
            <w:r>
              <w:rPr>
                <w:i/>
              </w:rPr>
              <w:t>Example:</w:t>
            </w:r>
          </w:p>
          <w:p w:rsidR="005F78FC" w:rsidRDefault="00B42EF3">
            <w:pPr>
              <w:pStyle w:val="TableBodyText"/>
            </w:pPr>
            <w:r>
              <w:rPr>
                <w:noProof/>
              </w:rPr>
              <w:drawing>
                <wp:inline distT="0" distB="0" distL="0" distR="0">
                  <wp:extent cx="1114425" cy="219075"/>
                  <wp:effectExtent l="0" t="0" r="0" b="0"/>
                  <wp:docPr id="342015693"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b2f01-0000-0000-0000-000000000000" descr="Date in right to left format" title="Date in right to left format"/>
                          <pic:cNvPicPr>
                            <a:picLocks noChangeAspect="1" noChangeArrowheads="1"/>
                          </pic:cNvPicPr>
                        </pic:nvPicPr>
                        <pic:blipFill>
                          <a:blip r:embed="rId200" cstate="print"/>
                          <a:srcRect/>
                          <a:stretch>
                            <a:fillRect/>
                          </a:stretch>
                        </pic:blipFill>
                        <pic:spPr bwMode="auto">
                          <a:xfrm>
                            <a:off x="0" y="0"/>
                            <a:ext cx="1114425" cy="219075"/>
                          </a:xfrm>
                          <a:prstGeom prst="rect">
                            <a:avLst/>
                          </a:prstGeom>
                          <a:noFill/>
                          <a:ln w="9525">
                            <a:noFill/>
                            <a:miter lim="800000"/>
                            <a:headEnd/>
                            <a:tailEnd/>
                          </a:ln>
                        </pic:spPr>
                      </pic:pic>
                    </a:graphicData>
                  </a:graphic>
                </wp:inline>
              </w:drawing>
            </w:r>
          </w:p>
          <w:p w:rsidR="005F78FC" w:rsidRDefault="00B42EF3">
            <w:pPr>
              <w:pStyle w:val="TableBodyText"/>
            </w:pPr>
            <w:r>
              <w:rPr>
                <w:i/>
              </w:rPr>
              <w:t>end example</w:t>
            </w:r>
            <w:r>
              <w:t>]</w:t>
            </w:r>
          </w:p>
        </w:tc>
      </w:tr>
      <w:tr w:rsidR="005F78FC" w:rsidTr="005F78FC">
        <w:tc>
          <w:tcPr>
            <w:tcW w:w="0" w:type="auto"/>
            <w:vAlign w:val="center"/>
          </w:tcPr>
          <w:p w:rsidR="005F78FC" w:rsidRDefault="00B42EF3">
            <w:pPr>
              <w:pStyle w:val="TableBodyText"/>
            </w:pPr>
            <w:r>
              <w:rPr>
                <w:i/>
              </w:rPr>
              <w:t>uaqdatetime4</w:t>
            </w:r>
          </w:p>
        </w:tc>
        <w:tc>
          <w:tcPr>
            <w:tcW w:w="0" w:type="auto"/>
            <w:vAlign w:val="center"/>
          </w:tcPr>
          <w:p w:rsidR="005F78FC" w:rsidRDefault="00B42EF3">
            <w:pPr>
              <w:pStyle w:val="TableBodyText"/>
            </w:pPr>
            <w:r>
              <w:t>DD/MM/YY date time format using the Umm al-Qura calendar [</w:t>
            </w:r>
            <w:r>
              <w:rPr>
                <w:i/>
              </w:rPr>
              <w:t>Example:</w:t>
            </w:r>
          </w:p>
          <w:p w:rsidR="005F78FC" w:rsidRDefault="00B42EF3">
            <w:pPr>
              <w:pStyle w:val="TableBodyText"/>
            </w:pPr>
            <w:r>
              <w:rPr>
                <w:noProof/>
              </w:rPr>
              <w:drawing>
                <wp:inline distT="0" distB="0" distL="0" distR="0">
                  <wp:extent cx="609600" cy="219075"/>
                  <wp:effectExtent l="0" t="0" r="0" b="0"/>
                  <wp:docPr id="342015694" name="Picture 1" descr="Date in left to right format: 10/04/32" title="Date in left to righ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c2f01-0000-0000-0000-000000000000" descr="Date in left to right format: 10/04/32" title="Date in left to right format"/>
                          <pic:cNvPicPr>
                            <a:picLocks noChangeAspect="1" noChangeArrowheads="1"/>
                          </pic:cNvPicPr>
                        </pic:nvPicPr>
                        <pic:blipFill>
                          <a:blip r:embed="rId201" cstate="print"/>
                          <a:srcRect/>
                          <a:stretch>
                            <a:fillRect/>
                          </a:stretch>
                        </pic:blipFill>
                        <pic:spPr bwMode="auto">
                          <a:xfrm>
                            <a:off x="0" y="0"/>
                            <a:ext cx="609600" cy="219075"/>
                          </a:xfrm>
                          <a:prstGeom prst="rect">
                            <a:avLst/>
                          </a:prstGeom>
                          <a:noFill/>
                          <a:ln w="9525">
                            <a:noFill/>
                            <a:miter lim="800000"/>
                            <a:headEnd/>
                            <a:tailEnd/>
                          </a:ln>
                        </pic:spPr>
                      </pic:pic>
                    </a:graphicData>
                  </a:graphic>
                </wp:inline>
              </w:drawing>
            </w:r>
          </w:p>
          <w:p w:rsidR="005F78FC" w:rsidRDefault="00B42EF3">
            <w:pPr>
              <w:pStyle w:val="TableBodyText"/>
            </w:pPr>
            <w:r>
              <w:rPr>
                <w:i/>
              </w:rPr>
              <w:t>end example</w:t>
            </w:r>
            <w:r>
              <w:t>]</w:t>
            </w:r>
          </w:p>
        </w:tc>
      </w:tr>
      <w:tr w:rsidR="005F78FC" w:rsidTr="005F78FC">
        <w:tc>
          <w:tcPr>
            <w:tcW w:w="0" w:type="auto"/>
            <w:vAlign w:val="center"/>
          </w:tcPr>
          <w:p w:rsidR="005F78FC" w:rsidRDefault="00B42EF3">
            <w:pPr>
              <w:pStyle w:val="TableBodyText"/>
            </w:pPr>
            <w:r>
              <w:rPr>
                <w:i/>
              </w:rPr>
              <w:t>uaqdatetime5</w:t>
            </w:r>
          </w:p>
        </w:tc>
        <w:tc>
          <w:tcPr>
            <w:tcW w:w="0" w:type="auto"/>
            <w:vAlign w:val="center"/>
          </w:tcPr>
          <w:p w:rsidR="005F78FC" w:rsidRDefault="00B42EF3">
            <w:pPr>
              <w:pStyle w:val="TableBodyText"/>
            </w:pPr>
            <w:r>
              <w:t>YYYY-DD-MM date time format using the Umm al-Qura calendar [</w:t>
            </w:r>
            <w:r>
              <w:rPr>
                <w:i/>
              </w:rPr>
              <w:t>Example:</w:t>
            </w:r>
          </w:p>
          <w:p w:rsidR="005F78FC" w:rsidRDefault="00B42EF3">
            <w:pPr>
              <w:pStyle w:val="TableBodyText"/>
            </w:pPr>
            <w:r>
              <w:rPr>
                <w:noProof/>
              </w:rPr>
              <w:drawing>
                <wp:inline distT="0" distB="0" distL="0" distR="0">
                  <wp:extent cx="704850" cy="209550"/>
                  <wp:effectExtent l="0" t="0" r="0" b="0"/>
                  <wp:docPr id="342015695" name="Picture 1" descr="Date in left to right format: 1432  hyphen 04  hyphen 10" title="Date in left to righ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d2f01-0000-0000-0000-000000000000" descr="Date in left to right format: 1432  hyphen 04  hyphen 10" title="Date in left to right format"/>
                          <pic:cNvPicPr>
                            <a:picLocks noChangeAspect="1" noChangeArrowheads="1"/>
                          </pic:cNvPicPr>
                        </pic:nvPicPr>
                        <pic:blipFill>
                          <a:blip r:embed="rId202" cstate="print"/>
                          <a:srcRect/>
                          <a:stretch>
                            <a:fillRect/>
                          </a:stretch>
                        </pic:blipFill>
                        <pic:spPr bwMode="auto">
                          <a:xfrm>
                            <a:off x="0" y="0"/>
                            <a:ext cx="704850" cy="209550"/>
                          </a:xfrm>
                          <a:prstGeom prst="rect">
                            <a:avLst/>
                          </a:prstGeom>
                          <a:noFill/>
                          <a:ln w="9525">
                            <a:noFill/>
                            <a:miter lim="800000"/>
                            <a:headEnd/>
                            <a:tailEnd/>
                          </a:ln>
                        </pic:spPr>
                      </pic:pic>
                    </a:graphicData>
                  </a:graphic>
                </wp:inline>
              </w:drawing>
            </w:r>
          </w:p>
          <w:p w:rsidR="005F78FC" w:rsidRDefault="00B42EF3">
            <w:pPr>
              <w:pStyle w:val="TableBodyText"/>
            </w:pPr>
            <w:r>
              <w:rPr>
                <w:i/>
              </w:rPr>
              <w:t>end example</w:t>
            </w:r>
            <w:r>
              <w:t>]</w:t>
            </w:r>
          </w:p>
        </w:tc>
      </w:tr>
      <w:tr w:rsidR="005F78FC" w:rsidTr="005F78FC">
        <w:tc>
          <w:tcPr>
            <w:tcW w:w="0" w:type="auto"/>
            <w:vAlign w:val="center"/>
          </w:tcPr>
          <w:p w:rsidR="005F78FC" w:rsidRDefault="00B42EF3">
            <w:pPr>
              <w:pStyle w:val="TableBodyText"/>
            </w:pPr>
            <w:r>
              <w:rPr>
                <w:i/>
              </w:rPr>
              <w:t>uaqdatetime6</w:t>
            </w:r>
          </w:p>
        </w:tc>
        <w:tc>
          <w:tcPr>
            <w:tcW w:w="0" w:type="auto"/>
            <w:vAlign w:val="center"/>
          </w:tcPr>
          <w:p w:rsidR="005F78FC" w:rsidRDefault="00B42EF3">
            <w:pPr>
              <w:pStyle w:val="TableBodyText"/>
            </w:pPr>
            <w:r>
              <w:t>DD-Month-YY date time format using the Umm al-Qura calendar [</w:t>
            </w:r>
            <w:r>
              <w:rPr>
                <w:i/>
              </w:rPr>
              <w:t>Example:</w:t>
            </w:r>
          </w:p>
          <w:p w:rsidR="005F78FC" w:rsidRDefault="00B42EF3">
            <w:pPr>
              <w:pStyle w:val="TableBodyText"/>
            </w:pPr>
            <w:r>
              <w:rPr>
                <w:noProof/>
              </w:rPr>
              <w:drawing>
                <wp:inline distT="0" distB="0" distL="0" distR="0">
                  <wp:extent cx="981075" cy="219075"/>
                  <wp:effectExtent l="0" t="0" r="0" b="0"/>
                  <wp:docPr id="342015696"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e2f01-0000-0000-0000-000000000000" descr="Date in right to left format" title="Date in right to left format"/>
                          <pic:cNvPicPr>
                            <a:picLocks noChangeAspect="1" noChangeArrowheads="1"/>
                          </pic:cNvPicPr>
                        </pic:nvPicPr>
                        <pic:blipFill>
                          <a:blip r:embed="rId203" cstate="print"/>
                          <a:srcRect/>
                          <a:stretch>
                            <a:fillRect/>
                          </a:stretch>
                        </pic:blipFill>
                        <pic:spPr bwMode="auto">
                          <a:xfrm>
                            <a:off x="0" y="0"/>
                            <a:ext cx="981075" cy="219075"/>
                          </a:xfrm>
                          <a:prstGeom prst="rect">
                            <a:avLst/>
                          </a:prstGeom>
                          <a:noFill/>
                          <a:ln w="9525">
                            <a:noFill/>
                            <a:miter lim="800000"/>
                            <a:headEnd/>
                            <a:tailEnd/>
                          </a:ln>
                        </pic:spPr>
                      </pic:pic>
                    </a:graphicData>
                  </a:graphic>
                </wp:inline>
              </w:drawing>
            </w:r>
          </w:p>
          <w:p w:rsidR="005F78FC" w:rsidRDefault="00B42EF3">
            <w:pPr>
              <w:pStyle w:val="TableBodyText"/>
            </w:pPr>
            <w:r>
              <w:rPr>
                <w:i/>
              </w:rPr>
              <w:t>end example</w:t>
            </w:r>
            <w:r>
              <w:t>]</w:t>
            </w:r>
          </w:p>
        </w:tc>
      </w:tr>
      <w:tr w:rsidR="005F78FC" w:rsidTr="005F78FC">
        <w:tc>
          <w:tcPr>
            <w:tcW w:w="0" w:type="auto"/>
            <w:vAlign w:val="center"/>
          </w:tcPr>
          <w:p w:rsidR="005F78FC" w:rsidRDefault="00B42EF3">
            <w:pPr>
              <w:pStyle w:val="TableBodyText"/>
            </w:pPr>
            <w:r>
              <w:rPr>
                <w:i/>
              </w:rPr>
              <w:t>uaqdatetime7</w:t>
            </w:r>
          </w:p>
        </w:tc>
        <w:tc>
          <w:tcPr>
            <w:tcW w:w="0" w:type="auto"/>
            <w:vAlign w:val="center"/>
          </w:tcPr>
          <w:p w:rsidR="005F78FC" w:rsidRDefault="00B42EF3">
            <w:pPr>
              <w:pStyle w:val="TableBodyText"/>
            </w:pPr>
            <w:r>
              <w:t>DD Month YYYY date time format using the Umm al-Qura calendar [</w:t>
            </w:r>
            <w:r>
              <w:rPr>
                <w:i/>
              </w:rPr>
              <w:t>Example:</w:t>
            </w:r>
          </w:p>
          <w:p w:rsidR="005F78FC" w:rsidRDefault="00B42EF3">
            <w:pPr>
              <w:pStyle w:val="TableBodyText"/>
            </w:pPr>
            <w:r>
              <w:rPr>
                <w:noProof/>
              </w:rPr>
              <w:drawing>
                <wp:inline distT="0" distB="0" distL="0" distR="0">
                  <wp:extent cx="1047749" cy="228600"/>
                  <wp:effectExtent l="0" t="0" r="0" b="0"/>
                  <wp:docPr id="342015697"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f2f01-0000-0000-0000-000000000000" descr="Date in right to left format" title="Date in right to left format"/>
                          <pic:cNvPicPr>
                            <a:picLocks noChangeAspect="1" noChangeArrowheads="1"/>
                          </pic:cNvPicPr>
                        </pic:nvPicPr>
                        <pic:blipFill>
                          <a:blip r:embed="rId204" cstate="print"/>
                          <a:srcRect/>
                          <a:stretch>
                            <a:fillRect/>
                          </a:stretch>
                        </pic:blipFill>
                        <pic:spPr bwMode="auto">
                          <a:xfrm>
                            <a:off x="0" y="0"/>
                            <a:ext cx="1047749" cy="228600"/>
                          </a:xfrm>
                          <a:prstGeom prst="rect">
                            <a:avLst/>
                          </a:prstGeom>
                          <a:noFill/>
                          <a:ln w="9525">
                            <a:noFill/>
                            <a:miter lim="800000"/>
                            <a:headEnd/>
                            <a:tailEnd/>
                          </a:ln>
                        </pic:spPr>
                      </pic:pic>
                    </a:graphicData>
                  </a:graphic>
                </wp:inline>
              </w:drawing>
            </w:r>
          </w:p>
          <w:p w:rsidR="005F78FC" w:rsidRDefault="00B42EF3">
            <w:pPr>
              <w:pStyle w:val="TableBodyText"/>
            </w:pPr>
            <w:r>
              <w:rPr>
                <w:i/>
              </w:rPr>
              <w:t>end example</w:t>
            </w:r>
            <w:r>
              <w:t>]</w:t>
            </w:r>
          </w:p>
        </w:tc>
      </w:tr>
    </w:tbl>
    <w:p w:rsidR="005F78FC" w:rsidRDefault="005F78FC"/>
    <w:p w:rsidR="005F78FC" w:rsidRDefault="00B42EF3">
      <w:pPr>
        <w:pStyle w:val="Definition-Field2"/>
      </w:pPr>
      <w:r>
        <w:t>This note applies to the following pro</w:t>
      </w:r>
      <w:r>
        <w:t>ducts: Office 2013 Client (Strict), Office 2013 Server (Strict), Office 2013 Client (Transitional), Office 2013 Server (Transitional).</w:t>
      </w:r>
    </w:p>
    <w:p w:rsidR="005F78FC" w:rsidRDefault="00B42EF3">
      <w:pPr>
        <w:pStyle w:val="Heading3"/>
      </w:pPr>
      <w:bookmarkStart w:id="2782" w:name="section_4e0431052ae44b85baa84324ca7a6367"/>
      <w:bookmarkStart w:id="2783" w:name="_Toc69879164"/>
      <w:r>
        <w:t>Part 1 Section 21.1.2.2.5, lnSpc (Line Spacing)</w:t>
      </w:r>
      <w:bookmarkEnd w:id="2782"/>
      <w:bookmarkEnd w:id="2783"/>
      <w:r>
        <w:fldChar w:fldCharType="begin"/>
      </w:r>
      <w:r>
        <w:instrText xml:space="preserve"> XE "lnSpc (Line Spacing)" </w:instrText>
      </w:r>
      <w:r>
        <w:fldChar w:fldCharType="end"/>
      </w:r>
    </w:p>
    <w:p w:rsidR="005F78FC" w:rsidRDefault="00B42EF3">
      <w:pPr>
        <w:pStyle w:val="Definition-Field"/>
      </w:pPr>
      <w:r>
        <w:t xml:space="preserve">a.   </w:t>
      </w:r>
      <w:r>
        <w:rPr>
          <w:i/>
        </w:rPr>
        <w:t>The standard states that the lnSpc elem</w:t>
      </w:r>
      <w:r>
        <w:rPr>
          <w:i/>
        </w:rPr>
        <w:t>ent describes the vertical line spacing that is to be used within a paragraph.</w:t>
      </w:r>
    </w:p>
    <w:p w:rsidR="005F78FC" w:rsidRDefault="00B42EF3">
      <w:pPr>
        <w:pStyle w:val="Definition-Field2"/>
      </w:pPr>
      <w:r>
        <w:t>In Office, the lnSpc element describes the vertical line spacing for horizontal text and horizontal line spacing for vertical text that is to be used within a paragraph.</w:t>
      </w:r>
    </w:p>
    <w:p w:rsidR="005F78FC" w:rsidRDefault="00B42EF3">
      <w:pPr>
        <w:pStyle w:val="Definition-Field"/>
      </w:pPr>
      <w:r>
        <w:lastRenderedPageBreak/>
        <w:t xml:space="preserve">b.   </w:t>
      </w:r>
      <w:r>
        <w:rPr>
          <w:i/>
        </w:rPr>
        <w:t>Th</w:t>
      </w:r>
      <w:r>
        <w:rPr>
          <w:i/>
        </w:rPr>
        <w:t>e standard states that ST_TextSpacingPercent is read and written as a percent with a trailing percent sign.</w:t>
      </w:r>
    </w:p>
    <w:p w:rsidR="005F78FC" w:rsidRDefault="00B42EF3">
      <w:pPr>
        <w:pStyle w:val="Definition-Field2"/>
      </w:pPr>
      <w:r>
        <w:t xml:space="preserve">Office will read in percentages formatted with a trailing percent sign or as 1000th of a percent without trailing percent sign, but only write out </w:t>
      </w:r>
      <w:r>
        <w:t>percentages as 1000th's of a percent without trailing percent sign.</w:t>
      </w:r>
    </w:p>
    <w:p w:rsidR="005F78FC" w:rsidRDefault="00B42EF3">
      <w:pPr>
        <w:pStyle w:val="Heading3"/>
      </w:pPr>
      <w:bookmarkStart w:id="2784" w:name="section_de16a8a159de48a5b3c08d155229b609"/>
      <w:bookmarkStart w:id="2785" w:name="_Toc69879165"/>
      <w:r>
        <w:t>Part 1 Section 21.1.2.2.6, p (Text Paragraphs)</w:t>
      </w:r>
      <w:bookmarkEnd w:id="2784"/>
      <w:bookmarkEnd w:id="2785"/>
      <w:r>
        <w:fldChar w:fldCharType="begin"/>
      </w:r>
      <w:r>
        <w:instrText xml:space="preserve"> XE "p (Text Paragraphs)" </w:instrText>
      </w:r>
      <w:r>
        <w:fldChar w:fldCharType="end"/>
      </w:r>
    </w:p>
    <w:p w:rsidR="005F78FC" w:rsidRDefault="00B42EF3">
      <w:pPr>
        <w:pStyle w:val="Definition-Field"/>
      </w:pPr>
      <w:r>
        <w:t xml:space="preserve">a.   </w:t>
      </w:r>
      <w:r>
        <w:rPr>
          <w:i/>
        </w:rPr>
        <w:t>The standard states that if no text paragraph properties are listed, then the properties specified in the de</w:t>
      </w:r>
      <w:r>
        <w:rPr>
          <w:i/>
        </w:rPr>
        <w:t>fPPr element are used.</w:t>
      </w:r>
    </w:p>
    <w:p w:rsidR="005F78FC" w:rsidRDefault="00B42EF3">
      <w:pPr>
        <w:pStyle w:val="Definition-Field2"/>
      </w:pPr>
      <w:r>
        <w:t>Office ignores the defPPr element. If no paragraph properties are listed, then properties specified in the appropriate child element of the lstStyle element are used as described in child element pPr.</w:t>
      </w:r>
    </w:p>
    <w:p w:rsidR="005F78FC" w:rsidRDefault="00B42EF3">
      <w:pPr>
        <w:pStyle w:val="Heading3"/>
      </w:pPr>
      <w:bookmarkStart w:id="2786" w:name="section_3bf4b4b9d1cd4610be569427e22c5fb4"/>
      <w:bookmarkStart w:id="2787" w:name="_Toc69879166"/>
      <w:r>
        <w:t>Part 1 Section 21.1.2.2.7, pPr (</w:t>
      </w:r>
      <w:r>
        <w:t>Text Paragraph Properties)</w:t>
      </w:r>
      <w:bookmarkEnd w:id="2786"/>
      <w:bookmarkEnd w:id="2787"/>
      <w:r>
        <w:fldChar w:fldCharType="begin"/>
      </w:r>
      <w:r>
        <w:instrText xml:space="preserve"> XE "pPr (Text Paragraph Properties)"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5F78FC" w:rsidRDefault="00B42EF3">
      <w:pPr>
        <w:pStyle w:val="Definition-Field"/>
      </w:pPr>
      <w:r>
        <w:t xml:space="preserve">a.   </w:t>
      </w:r>
      <w:r>
        <w:rPr>
          <w:i/>
        </w:rPr>
        <w:t>The</w:t>
      </w:r>
      <w:r>
        <w:rPr>
          <w:i/>
        </w:rPr>
        <w:t xml:space="preserve"> standard does not fully describe the process for resolving missing attribute values.</w:t>
      </w:r>
    </w:p>
    <w:p w:rsidR="005F78FC" w:rsidRDefault="00B42EF3">
      <w:r>
        <w:t>In Office, attributes not specified explicitly within this element shall have their values determined by inheritance. Attribute values will be resolved using an applicabl</w:t>
      </w:r>
      <w:r>
        <w:t>e ancestor element of the same type as this element. The inheritance order in which applicable attribute value shall be applied is as follows:</w:t>
      </w:r>
    </w:p>
    <w:p w:rsidR="005F78FC" w:rsidRDefault="00B42EF3">
      <w:r>
        <w:t>A corresponding ancestor element which is a child element of the lstStyle element ("</w:t>
      </w:r>
      <w:hyperlink r:id="rId205">
        <w:r>
          <w:rPr>
            <w:rStyle w:val="Hyperlink"/>
          </w:rPr>
          <w:t>[ISO/IEC-29500-1]</w:t>
        </w:r>
      </w:hyperlink>
      <w:r>
        <w:t xml:space="preserve"> §21.1.2.4.12; lstStyle (Text List Styles)") and has a matching paragraph level and is contained within the same package part as the text to which the attribute values shall apply.</w:t>
      </w:r>
    </w:p>
    <w:p w:rsidR="005F78FC" w:rsidRDefault="00B42EF3">
      <w:r>
        <w:t>A corresponding child</w:t>
      </w:r>
      <w:r>
        <w:t xml:space="preserve"> element of the element ("[ISO/IEC-29500-1] §21.1.2.4.12; lstStyle (Text List Styles)") and contained within the theme element ("[ISO/IEC-29500-1] §20.1.6.9; theme (Theme)").</w:t>
      </w:r>
    </w:p>
    <w:p w:rsidR="005F78FC" w:rsidRDefault="00B42EF3">
      <w:r>
        <w:t>If the value of an attribute is not determined via this process, the default valu</w:t>
      </w:r>
      <w:r>
        <w:t>e specified within this element shall be used.</w:t>
      </w:r>
    </w:p>
    <w:p w:rsidR="005F78FC" w:rsidRDefault="00B42EF3">
      <w:r>
        <w:t>PowerPoint uses a corresponding child element which is contained within the corresponding sldMaster element ("[ISO/IEC-29500-1] §19.3.1.42; sldMaster (Slide Master)") if the value of an attribute is not determ</w:t>
      </w:r>
      <w:r>
        <w:t>ined by this inheritance order. If the corresponding sldMaster element ("[ISO/IEC-29500-1] §19.3.1.42; sldMaster (Slide Master)") does not specify the value of the attribute and the value was not determined from the inheritance order, then the default valu</w:t>
      </w:r>
      <w:r>
        <w:t>e specified within this element shall be used.</w:t>
      </w:r>
    </w:p>
    <w:p w:rsidR="005F78FC" w:rsidRDefault="00B42EF3">
      <w:pPr>
        <w:pStyle w:val="Heading3"/>
      </w:pPr>
      <w:bookmarkStart w:id="2788" w:name="section_3b7a30185a6447d6b61afac31f921cd5"/>
      <w:bookmarkStart w:id="2789" w:name="_Toc69879167"/>
      <w:r>
        <w:t>Part 1 Section 21.1.2.2.9, spcAft (Space After)</w:t>
      </w:r>
      <w:bookmarkEnd w:id="2788"/>
      <w:bookmarkEnd w:id="2789"/>
      <w:r>
        <w:fldChar w:fldCharType="begin"/>
      </w:r>
      <w:r>
        <w:instrText xml:space="preserve"> XE "spcAft (Space After)" </w:instrText>
      </w:r>
      <w:r>
        <w:fldChar w:fldCharType="end"/>
      </w:r>
    </w:p>
    <w:p w:rsidR="005F78FC" w:rsidRDefault="00B42EF3">
      <w:pPr>
        <w:pStyle w:val="Definition-Field"/>
      </w:pPr>
      <w:r>
        <w:t xml:space="preserve">a.   </w:t>
      </w:r>
      <w:r>
        <w:rPr>
          <w:i/>
        </w:rPr>
        <w:t>The standard states that the spcAft element specifies the amount of vertical white space that will be present after a paragraph</w:t>
      </w:r>
      <w:r>
        <w:rPr>
          <w:i/>
        </w:rPr>
        <w:t>.</w:t>
      </w:r>
    </w:p>
    <w:p w:rsidR="005F78FC" w:rsidRDefault="00B42EF3">
      <w:pPr>
        <w:pStyle w:val="Definition-Field2"/>
      </w:pPr>
      <w:r>
        <w:t>Office uses the spcAft element to determine the amount of white space that will be present after a paragraph.</w:t>
      </w:r>
    </w:p>
    <w:p w:rsidR="005F78FC" w:rsidRDefault="00B42EF3">
      <w:pPr>
        <w:pStyle w:val="Heading3"/>
      </w:pPr>
      <w:bookmarkStart w:id="2790" w:name="section_8f2f2352b15c4cea8df4df014e163284"/>
      <w:bookmarkStart w:id="2791" w:name="_Toc69879168"/>
      <w:r>
        <w:t>Part 1 Section 21.1.2.2.10, spcBef (Space Before)</w:t>
      </w:r>
      <w:bookmarkEnd w:id="2790"/>
      <w:bookmarkEnd w:id="2791"/>
      <w:r>
        <w:fldChar w:fldCharType="begin"/>
      </w:r>
      <w:r>
        <w:instrText xml:space="preserve"> XE "spcBef (Space Before)" </w:instrText>
      </w:r>
      <w:r>
        <w:fldChar w:fldCharType="end"/>
      </w:r>
    </w:p>
    <w:p w:rsidR="005F78FC" w:rsidRDefault="00B42EF3">
      <w:pPr>
        <w:pStyle w:val="Definition-Field"/>
      </w:pPr>
      <w:r>
        <w:t xml:space="preserve">a.   </w:t>
      </w:r>
      <w:r>
        <w:rPr>
          <w:i/>
        </w:rPr>
        <w:t>The standard states that the spcBef element specifies the a</w:t>
      </w:r>
      <w:r>
        <w:rPr>
          <w:i/>
        </w:rPr>
        <w:t>mount of vertical white space that will be present before a paragraph.</w:t>
      </w:r>
    </w:p>
    <w:p w:rsidR="005F78FC" w:rsidRDefault="00B42EF3">
      <w:pPr>
        <w:pStyle w:val="Definition-Field2"/>
      </w:pPr>
      <w:r>
        <w:t>Office uses the spcBef element to determine the amount of white space that will be present before a paragraph.</w:t>
      </w:r>
    </w:p>
    <w:p w:rsidR="005F78FC" w:rsidRDefault="00B42EF3">
      <w:pPr>
        <w:pStyle w:val="Heading3"/>
      </w:pPr>
      <w:bookmarkStart w:id="2792" w:name="section_615c948905fc4c5bb961b56461c8ce69"/>
      <w:bookmarkStart w:id="2793" w:name="_Toc69879169"/>
      <w:r>
        <w:lastRenderedPageBreak/>
        <w:t>Part 1 Section 21.1.2.2.11, spcPct (Spacing Percent)</w:t>
      </w:r>
      <w:bookmarkEnd w:id="2792"/>
      <w:bookmarkEnd w:id="2793"/>
      <w:r>
        <w:fldChar w:fldCharType="begin"/>
      </w:r>
      <w:r>
        <w:instrText xml:space="preserve"> XE "spcPct (Spacing P</w:instrText>
      </w:r>
      <w:r>
        <w:instrText xml:space="preserve">ercent)" </w:instrText>
      </w:r>
      <w:r>
        <w:fldChar w:fldCharType="end"/>
      </w:r>
    </w:p>
    <w:p w:rsidR="005F78FC" w:rsidRDefault="00B42EF3">
      <w:pPr>
        <w:pStyle w:val="Definition-Field"/>
      </w:pPr>
      <w:r>
        <w:t xml:space="preserve">a.   </w:t>
      </w:r>
      <w:r>
        <w:rPr>
          <w:i/>
        </w:rPr>
        <w:t>The standard states that ST_TextSpacingPercent is read and written as a percent with a trailing percent sign.</w:t>
      </w:r>
    </w:p>
    <w:p w:rsidR="005F78FC" w:rsidRDefault="00B42EF3">
      <w:pPr>
        <w:pStyle w:val="Definition-Field2"/>
      </w:pPr>
      <w:r>
        <w:t>Office will read in percentages formatted with a trailing percent sign or as 1000th of a percent without trailing percent sign, b</w:t>
      </w:r>
      <w:r>
        <w:t>ut only write out percentages as 1000th's of a percent without trailing percent sign.</w:t>
      </w:r>
    </w:p>
    <w:p w:rsidR="005F78FC" w:rsidRDefault="00B42EF3">
      <w:pPr>
        <w:pStyle w:val="Heading3"/>
      </w:pPr>
      <w:bookmarkStart w:id="2794" w:name="section_ea47d4567ab64103a0e600afc4917ce3"/>
      <w:bookmarkStart w:id="2795" w:name="_Toc69879170"/>
      <w:r>
        <w:t>Part 1 Section 21.1.2.3.1, cs (Complex Script Font)</w:t>
      </w:r>
      <w:bookmarkEnd w:id="2794"/>
      <w:bookmarkEnd w:id="2795"/>
      <w:r>
        <w:fldChar w:fldCharType="begin"/>
      </w:r>
      <w:r>
        <w:instrText xml:space="preserve"> XE "cs (Complex Script Font)" </w:instrText>
      </w:r>
      <w:r>
        <w:fldChar w:fldCharType="end"/>
      </w:r>
    </w:p>
    <w:p w:rsidR="005F78FC" w:rsidRDefault="00B42EF3">
      <w:pPr>
        <w:pStyle w:val="Definition-Field2"/>
      </w:pPr>
      <w:r>
        <w:rPr>
          <w:i/>
        </w:rPr>
        <w:t>For additional notes that apply to this portion of the standard, please see the notes</w:t>
      </w:r>
      <w:r>
        <w:rPr>
          <w:i/>
        </w:rPr>
        <w:t xml:space="preserve"> for </w:t>
      </w:r>
      <w:hyperlink w:anchor="Section_e6784cb715474ee5addc730cac8b4d00">
        <w:r>
          <w:rPr>
            <w:rStyle w:val="Hyperlink"/>
          </w:rPr>
          <w:t>latin, §21.1.2.3.7(a-d)</w:t>
        </w:r>
      </w:hyperlink>
      <w:r>
        <w:rPr>
          <w:i/>
        </w:rPr>
        <w:t>.</w:t>
      </w:r>
    </w:p>
    <w:p w:rsidR="005F78FC" w:rsidRDefault="00B42EF3">
      <w:pPr>
        <w:pStyle w:val="Heading3"/>
      </w:pPr>
      <w:bookmarkStart w:id="2796" w:name="section_0bce0eae61a547dfa1c3c10b2f446fb5"/>
      <w:bookmarkStart w:id="2797" w:name="_Toc69879171"/>
      <w:r>
        <w:t>Part 1 Section 21.1.2.3.2, defRPr (Default Text Run Properties)</w:t>
      </w:r>
      <w:bookmarkEnd w:id="2796"/>
      <w:bookmarkEnd w:id="2797"/>
      <w:r>
        <w:fldChar w:fldCharType="begin"/>
      </w:r>
      <w:r>
        <w:instrText xml:space="preserve"> XE "defRPr (Default Text Run Properties)" </w:instrText>
      </w:r>
      <w:r>
        <w:fldChar w:fldCharType="end"/>
      </w:r>
    </w:p>
    <w:p w:rsidR="005F78FC" w:rsidRDefault="00B42EF3">
      <w:pPr>
        <w:pStyle w:val="Definition-Field2"/>
      </w:pPr>
      <w:r>
        <w:rPr>
          <w:i/>
        </w:rPr>
        <w:t>For additional notes that apply to this portion of the</w:t>
      </w:r>
      <w:r>
        <w:rPr>
          <w:i/>
        </w:rPr>
        <w:t xml:space="preserve"> standard, please see the notes for </w:t>
      </w:r>
      <w:hyperlink w:anchor="Section_953e072cf2344373b0173f1f71eac93b">
        <w:r>
          <w:rPr>
            <w:rStyle w:val="Hyperlink"/>
          </w:rPr>
          <w:t>rPr, §21.1.2.3.9(a, b,d-g)</w:t>
        </w:r>
      </w:hyperlink>
      <w:r>
        <w:rPr>
          <w:i/>
        </w:rPr>
        <w:t>.</w:t>
      </w:r>
    </w:p>
    <w:p w:rsidR="005F78FC" w:rsidRDefault="00B42EF3">
      <w:pPr>
        <w:pStyle w:val="Heading3"/>
      </w:pPr>
      <w:bookmarkStart w:id="2798" w:name="section_0805d87ac1c945c0905e342f9b3a4473"/>
      <w:bookmarkStart w:id="2799" w:name="_Toc69879172"/>
      <w:r>
        <w:t>Part 1 Section 21.1.2.3.3, ea (East Asian Font)</w:t>
      </w:r>
      <w:bookmarkEnd w:id="2798"/>
      <w:bookmarkEnd w:id="2799"/>
      <w:r>
        <w:fldChar w:fldCharType="begin"/>
      </w:r>
      <w:r>
        <w:instrText xml:space="preserve"> XE "ea (East Asian Font)" </w:instrText>
      </w:r>
      <w:r>
        <w:fldChar w:fldCharType="end"/>
      </w:r>
    </w:p>
    <w:p w:rsidR="005F78FC" w:rsidRDefault="00B42EF3">
      <w:pPr>
        <w:pStyle w:val="Definition-Field2"/>
      </w:pPr>
      <w:r>
        <w:rPr>
          <w:i/>
        </w:rPr>
        <w:t>For additional notes that apply to this portion of t</w:t>
      </w:r>
      <w:r>
        <w:rPr>
          <w:i/>
        </w:rPr>
        <w:t xml:space="preserve">he standard, please see the notes for </w:t>
      </w:r>
      <w:hyperlink w:anchor="Section_e6784cb715474ee5addc730cac8b4d00">
        <w:r>
          <w:rPr>
            <w:rStyle w:val="Hyperlink"/>
          </w:rPr>
          <w:t>latin, §21.1.2.3.7(a-d)</w:t>
        </w:r>
      </w:hyperlink>
      <w:r>
        <w:rPr>
          <w:i/>
        </w:rPr>
        <w:t>.</w:t>
      </w:r>
    </w:p>
    <w:p w:rsidR="005F78FC" w:rsidRDefault="00B42EF3">
      <w:pPr>
        <w:pStyle w:val="Heading3"/>
      </w:pPr>
      <w:bookmarkStart w:id="2800" w:name="section_a65b76db6abc49898cd1baa9a3500f6f"/>
      <w:bookmarkStart w:id="2801" w:name="_Toc69879173"/>
      <w:r>
        <w:t>Part 1 Section 21.1.2.3.5, hlinkClick (Click Hyperlink)</w:t>
      </w:r>
      <w:bookmarkEnd w:id="2800"/>
      <w:bookmarkEnd w:id="2801"/>
      <w:r>
        <w:fldChar w:fldCharType="begin"/>
      </w:r>
      <w:r>
        <w:instrText xml:space="preserve"> XE "hlinkClick (Click Hyperlink)" </w:instrText>
      </w:r>
      <w:r>
        <w:fldChar w:fldCharType="end"/>
      </w:r>
    </w:p>
    <w:p w:rsidR="005F78FC" w:rsidRDefault="00B42EF3">
      <w:pPr>
        <w:pStyle w:val="Definition-Field"/>
      </w:pPr>
      <w:r>
        <w:t xml:space="preserve">a.   </w:t>
      </w:r>
      <w:r>
        <w:rPr>
          <w:i/>
        </w:rPr>
        <w:t xml:space="preserve">The standard states that the </w:t>
      </w:r>
      <w:r>
        <w:rPr>
          <w:i/>
        </w:rPr>
        <w:t>action attribute of the hlinkClick, hlinkHover and hlinkMouseOver elements may use an unrestricted string.</w:t>
      </w:r>
    </w:p>
    <w:p w:rsidR="005F78FC" w:rsidRDefault="00B42EF3">
      <w:r>
        <w:t>PowerPoint reserves the following values for the action attribute:</w:t>
      </w:r>
    </w:p>
    <w:tbl>
      <w:tblPr>
        <w:tblStyle w:val="Table-ShadedHeader"/>
        <w:tblW w:w="0" w:type="auto"/>
        <w:tblLook w:val="04A0" w:firstRow="1" w:lastRow="0" w:firstColumn="1" w:lastColumn="0" w:noHBand="0" w:noVBand="1"/>
      </w:tblPr>
      <w:tblGrid>
        <w:gridCol w:w="4369"/>
        <w:gridCol w:w="5106"/>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Value</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t>ppaction://customshow?id=SHOW_ID</w:t>
            </w:r>
          </w:p>
        </w:tc>
        <w:tc>
          <w:tcPr>
            <w:tcW w:w="0" w:type="auto"/>
            <w:vAlign w:val="center"/>
          </w:tcPr>
          <w:p w:rsidR="005F78FC" w:rsidRDefault="00B42EF3">
            <w:pPr>
              <w:pStyle w:val="TableBodyText"/>
            </w:pPr>
            <w:r>
              <w:t xml:space="preserve">Specifies that the link shall </w:t>
            </w:r>
            <w:r>
              <w:t>launch a custom show from the custShowLst element ("</w:t>
            </w:r>
            <w:hyperlink r:id="rId206">
              <w:r>
                <w:rPr>
                  <w:rStyle w:val="Hyperlink"/>
                </w:rPr>
                <w:t>[ISO/IEC-29500-1]</w:t>
              </w:r>
            </w:hyperlink>
            <w:r>
              <w:t xml:space="preserve"> §19.2.1.7; custShowLst (List of Custom Shows)"). The SHOW_ID variable shall be replaced with the custom show id as specified in the custShow element ("[ISO/IEC-29500-1] §19.2.1.6; custShow (Custom Show)").</w:t>
            </w:r>
          </w:p>
        </w:tc>
      </w:tr>
      <w:tr w:rsidR="005F78FC" w:rsidTr="005F78FC">
        <w:tc>
          <w:tcPr>
            <w:tcW w:w="0" w:type="auto"/>
            <w:vAlign w:val="center"/>
          </w:tcPr>
          <w:p w:rsidR="005F78FC" w:rsidRDefault="00B42EF3">
            <w:pPr>
              <w:pStyle w:val="TableBodyText"/>
            </w:pPr>
            <w:r>
              <w:t>ppaction://customshow?id=SHOW_ID&amp;return=true</w:t>
            </w:r>
          </w:p>
        </w:tc>
        <w:tc>
          <w:tcPr>
            <w:tcW w:w="0" w:type="auto"/>
            <w:vAlign w:val="center"/>
          </w:tcPr>
          <w:p w:rsidR="005F78FC" w:rsidRDefault="00B42EF3">
            <w:pPr>
              <w:pStyle w:val="TableBodyText"/>
            </w:pPr>
            <w:r>
              <w:t>Spe</w:t>
            </w:r>
            <w:r>
              <w:t>cifies that the link shall launch a custom show from the custShowLst element ("[ISO/IEC-29500-1] §19.2.1.7; custShowLst (List of Custom Shows)"). After the end of the custom show, viewing of this presentation package shall resume. The SHOW_ID variable shal</w:t>
            </w:r>
            <w:r>
              <w:t>l be replaced with the custom show id as specified in the custShow element ("[ISO/IEC-29500-1] §19.2.1.6; custShow (Custom Show)").</w:t>
            </w:r>
          </w:p>
        </w:tc>
      </w:tr>
      <w:tr w:rsidR="005F78FC" w:rsidTr="005F78FC">
        <w:tc>
          <w:tcPr>
            <w:tcW w:w="0" w:type="auto"/>
            <w:vAlign w:val="center"/>
          </w:tcPr>
          <w:p w:rsidR="005F78FC" w:rsidRDefault="00B42EF3">
            <w:pPr>
              <w:pStyle w:val="TableBodyText"/>
            </w:pPr>
            <w:r>
              <w:t>ppaction://hlinkfile</w:t>
            </w:r>
          </w:p>
        </w:tc>
        <w:tc>
          <w:tcPr>
            <w:tcW w:w="0" w:type="auto"/>
            <w:vAlign w:val="center"/>
          </w:tcPr>
          <w:p w:rsidR="005F78FC" w:rsidRDefault="00B42EF3">
            <w:pPr>
              <w:pStyle w:val="TableBodyText"/>
            </w:pPr>
            <w:r>
              <w:t>Specifies that the link shall open a file external to this presentation package. The r:id attribute fo</w:t>
            </w:r>
            <w:r>
              <w:t>r this element specifies the corresponding relationship containing the reference to the external file.</w:t>
            </w:r>
          </w:p>
        </w:tc>
      </w:tr>
      <w:tr w:rsidR="005F78FC" w:rsidTr="005F78FC">
        <w:tc>
          <w:tcPr>
            <w:tcW w:w="0" w:type="auto"/>
            <w:vAlign w:val="center"/>
          </w:tcPr>
          <w:p w:rsidR="005F78FC" w:rsidRDefault="00B42EF3">
            <w:pPr>
              <w:pStyle w:val="TableBodyText"/>
            </w:pPr>
            <w:r>
              <w:t>ppaction://hlinkpres?slideindex=SLIDE_NUM</w:t>
            </w:r>
          </w:p>
        </w:tc>
        <w:tc>
          <w:tcPr>
            <w:tcW w:w="0" w:type="auto"/>
            <w:vAlign w:val="center"/>
          </w:tcPr>
          <w:p w:rsidR="005F78FC" w:rsidRDefault="00B42EF3">
            <w:pPr>
              <w:pStyle w:val="TableBodyText"/>
            </w:pPr>
            <w:r>
              <w:t xml:space="preserve">Specifies that the link shall launch a presentation external to this presentation package. The r:id attribute </w:t>
            </w:r>
            <w:r>
              <w:t xml:space="preserve">for this element specifies the corresponding relationship containing the reference to the external file. The SLIDE_NUM variable shall be replaced with a slide number in the external </w:t>
            </w:r>
            <w:r>
              <w:lastRenderedPageBreak/>
              <w:t>presentation that the viewing shall be started on.</w:t>
            </w:r>
          </w:p>
        </w:tc>
      </w:tr>
      <w:tr w:rsidR="005F78FC" w:rsidTr="005F78FC">
        <w:tc>
          <w:tcPr>
            <w:tcW w:w="0" w:type="auto"/>
            <w:vAlign w:val="center"/>
          </w:tcPr>
          <w:p w:rsidR="005F78FC" w:rsidRDefault="00B42EF3">
            <w:pPr>
              <w:pStyle w:val="TableBodyText"/>
            </w:pPr>
            <w:r>
              <w:lastRenderedPageBreak/>
              <w:t>ppaction://hlinkshowju</w:t>
            </w:r>
            <w:r>
              <w:t>mp?jump=endshow</w:t>
            </w:r>
          </w:p>
        </w:tc>
        <w:tc>
          <w:tcPr>
            <w:tcW w:w="0" w:type="auto"/>
            <w:vAlign w:val="center"/>
          </w:tcPr>
          <w:p w:rsidR="005F78FC" w:rsidRDefault="00B42EF3">
            <w:pPr>
              <w:pStyle w:val="TableBodyText"/>
            </w:pPr>
            <w:r>
              <w:t>Specifies that the link shall end the presentation.</w:t>
            </w:r>
          </w:p>
        </w:tc>
      </w:tr>
      <w:tr w:rsidR="005F78FC" w:rsidTr="005F78FC">
        <w:tc>
          <w:tcPr>
            <w:tcW w:w="0" w:type="auto"/>
            <w:vAlign w:val="center"/>
          </w:tcPr>
          <w:p w:rsidR="005F78FC" w:rsidRDefault="00B42EF3">
            <w:pPr>
              <w:pStyle w:val="TableBodyText"/>
            </w:pPr>
            <w:r>
              <w:t>ppaction://hlinkshowjump?jump=firstslide</w:t>
            </w:r>
          </w:p>
        </w:tc>
        <w:tc>
          <w:tcPr>
            <w:tcW w:w="0" w:type="auto"/>
            <w:vAlign w:val="center"/>
          </w:tcPr>
          <w:p w:rsidR="005F78FC" w:rsidRDefault="00B42EF3">
            <w:pPr>
              <w:pStyle w:val="TableBodyText"/>
            </w:pPr>
            <w:r>
              <w:t>Specifies that the link shall target the viewing of the first slide within this presentation package.</w:t>
            </w:r>
          </w:p>
        </w:tc>
      </w:tr>
      <w:tr w:rsidR="005F78FC" w:rsidTr="005F78FC">
        <w:tc>
          <w:tcPr>
            <w:tcW w:w="0" w:type="auto"/>
            <w:vAlign w:val="center"/>
          </w:tcPr>
          <w:p w:rsidR="005F78FC" w:rsidRDefault="00B42EF3">
            <w:pPr>
              <w:pStyle w:val="TableBodyText"/>
            </w:pPr>
            <w:r>
              <w:t>ppaction://hlinkshowjump?jump=lastslide</w:t>
            </w:r>
          </w:p>
        </w:tc>
        <w:tc>
          <w:tcPr>
            <w:tcW w:w="0" w:type="auto"/>
            <w:vAlign w:val="center"/>
          </w:tcPr>
          <w:p w:rsidR="005F78FC" w:rsidRDefault="00B42EF3">
            <w:pPr>
              <w:pStyle w:val="TableBodyText"/>
            </w:pPr>
            <w:r>
              <w:t>Specifies that the link shall target the viewing of the last slide within this presentation package.</w:t>
            </w:r>
          </w:p>
        </w:tc>
      </w:tr>
      <w:tr w:rsidR="005F78FC" w:rsidTr="005F78FC">
        <w:tc>
          <w:tcPr>
            <w:tcW w:w="0" w:type="auto"/>
            <w:vAlign w:val="center"/>
          </w:tcPr>
          <w:p w:rsidR="005F78FC" w:rsidRDefault="00B42EF3">
            <w:pPr>
              <w:pStyle w:val="TableBodyText"/>
            </w:pPr>
            <w:r>
              <w:t>ppaction://hlinkshowjump?jump=lastslideviewed</w:t>
            </w:r>
          </w:p>
        </w:tc>
        <w:tc>
          <w:tcPr>
            <w:tcW w:w="0" w:type="auto"/>
            <w:vAlign w:val="center"/>
          </w:tcPr>
          <w:p w:rsidR="005F78FC" w:rsidRDefault="00B42EF3">
            <w:pPr>
              <w:pStyle w:val="TableBodyText"/>
            </w:pPr>
            <w:r>
              <w:t>Specifies that the link shall target the viewing of the slide previously visited within this presentation pa</w:t>
            </w:r>
            <w:r>
              <w:t>ckage.</w:t>
            </w:r>
          </w:p>
        </w:tc>
      </w:tr>
      <w:tr w:rsidR="005F78FC" w:rsidTr="005F78FC">
        <w:tc>
          <w:tcPr>
            <w:tcW w:w="0" w:type="auto"/>
            <w:vAlign w:val="center"/>
          </w:tcPr>
          <w:p w:rsidR="005F78FC" w:rsidRDefault="00B42EF3">
            <w:pPr>
              <w:pStyle w:val="TableBodyText"/>
            </w:pPr>
            <w:r>
              <w:t>ppaction://hlinkshowjump?jump=nextslide</w:t>
            </w:r>
          </w:p>
        </w:tc>
        <w:tc>
          <w:tcPr>
            <w:tcW w:w="0" w:type="auto"/>
            <w:vAlign w:val="center"/>
          </w:tcPr>
          <w:p w:rsidR="005F78FC" w:rsidRDefault="00B42EF3">
            <w:pPr>
              <w:pStyle w:val="TableBodyText"/>
            </w:pPr>
            <w:r>
              <w:t>Specifies that the link shall target the viewing of the next slide within this presentation package.</w:t>
            </w:r>
          </w:p>
        </w:tc>
      </w:tr>
      <w:tr w:rsidR="005F78FC" w:rsidTr="005F78FC">
        <w:tc>
          <w:tcPr>
            <w:tcW w:w="0" w:type="auto"/>
            <w:vAlign w:val="center"/>
          </w:tcPr>
          <w:p w:rsidR="005F78FC" w:rsidRDefault="00B42EF3">
            <w:pPr>
              <w:pStyle w:val="TableBodyText"/>
            </w:pPr>
            <w:r>
              <w:t>ppaction://hlinkshowjump?jump=previousslide</w:t>
            </w:r>
          </w:p>
        </w:tc>
        <w:tc>
          <w:tcPr>
            <w:tcW w:w="0" w:type="auto"/>
            <w:vAlign w:val="center"/>
          </w:tcPr>
          <w:p w:rsidR="005F78FC" w:rsidRDefault="00B42EF3">
            <w:pPr>
              <w:pStyle w:val="TableBodyText"/>
            </w:pPr>
            <w:r>
              <w:t>Specifies that the link shall target the viewing of the previo</w:t>
            </w:r>
            <w:r>
              <w:t>us slide within this presentation package.</w:t>
            </w:r>
          </w:p>
        </w:tc>
      </w:tr>
      <w:tr w:rsidR="005F78FC" w:rsidTr="005F78FC">
        <w:tc>
          <w:tcPr>
            <w:tcW w:w="0" w:type="auto"/>
            <w:vAlign w:val="center"/>
          </w:tcPr>
          <w:p w:rsidR="005F78FC" w:rsidRDefault="00B42EF3">
            <w:pPr>
              <w:pStyle w:val="TableBodyText"/>
            </w:pPr>
            <w:r>
              <w:t>ppaction://hlinkshowjump?jump=SLIDE_NUM</w:t>
            </w:r>
          </w:p>
        </w:tc>
        <w:tc>
          <w:tcPr>
            <w:tcW w:w="0" w:type="auto"/>
            <w:vAlign w:val="center"/>
          </w:tcPr>
          <w:p w:rsidR="005F78FC" w:rsidRDefault="00B42EF3">
            <w:pPr>
              <w:pStyle w:val="TableBodyText"/>
            </w:pPr>
            <w:r>
              <w:t>Specifies that the link shall target the viewing of the slide in within this presentation package specified by SLIDE_NUM. The SLIDE_NUM variable shall be replaced with a sl</w:t>
            </w:r>
            <w:r>
              <w:t>ide number in this presentation package that will be targeted.</w:t>
            </w:r>
          </w:p>
        </w:tc>
      </w:tr>
      <w:tr w:rsidR="005F78FC" w:rsidTr="005F78FC">
        <w:tc>
          <w:tcPr>
            <w:tcW w:w="0" w:type="auto"/>
            <w:vAlign w:val="center"/>
          </w:tcPr>
          <w:p w:rsidR="005F78FC" w:rsidRDefault="00B42EF3">
            <w:pPr>
              <w:pStyle w:val="TableBodyText"/>
            </w:pPr>
            <w:r>
              <w:t>ppaction://hlinksldjump</w:t>
            </w:r>
          </w:p>
        </w:tc>
        <w:tc>
          <w:tcPr>
            <w:tcW w:w="0" w:type="auto"/>
            <w:vAlign w:val="center"/>
          </w:tcPr>
          <w:p w:rsidR="005F78FC" w:rsidRDefault="00B42EF3">
            <w:pPr>
              <w:pStyle w:val="TableBodyText"/>
            </w:pPr>
            <w:r>
              <w:t>Specifies that the link shall target the viewing of a specific slide within this presentation package. The r:id attribute for this element specifies the corresponding r</w:t>
            </w:r>
            <w:r>
              <w:t>elationship containing the reference to the slide part which shall be viewed.</w:t>
            </w:r>
          </w:p>
        </w:tc>
      </w:tr>
      <w:tr w:rsidR="005F78FC" w:rsidTr="005F78FC">
        <w:tc>
          <w:tcPr>
            <w:tcW w:w="0" w:type="auto"/>
            <w:vAlign w:val="center"/>
          </w:tcPr>
          <w:p w:rsidR="005F78FC" w:rsidRDefault="00B42EF3">
            <w:pPr>
              <w:pStyle w:val="TableBodyText"/>
            </w:pPr>
            <w:r>
              <w:t>ppaction://macro?name=MACRO_NAME</w:t>
            </w:r>
          </w:p>
        </w:tc>
        <w:tc>
          <w:tcPr>
            <w:tcW w:w="0" w:type="auto"/>
            <w:vAlign w:val="center"/>
          </w:tcPr>
          <w:p w:rsidR="005F78FC" w:rsidRDefault="00B42EF3">
            <w:pPr>
              <w:pStyle w:val="TableBodyText"/>
            </w:pPr>
            <w:r>
              <w:t xml:space="preserve">Specifies that the link shall run a macro contained within this presentation. The MACRO_NAME variable shall be replaced with the name of the </w:t>
            </w:r>
            <w:r>
              <w:t>macro module.</w:t>
            </w:r>
          </w:p>
        </w:tc>
      </w:tr>
      <w:tr w:rsidR="005F78FC" w:rsidTr="005F78FC">
        <w:tc>
          <w:tcPr>
            <w:tcW w:w="0" w:type="auto"/>
            <w:vAlign w:val="center"/>
          </w:tcPr>
          <w:p w:rsidR="005F78FC" w:rsidRDefault="00B42EF3">
            <w:pPr>
              <w:pStyle w:val="TableBodyText"/>
            </w:pPr>
            <w:r>
              <w:t>ppaction://program</w:t>
            </w:r>
          </w:p>
        </w:tc>
        <w:tc>
          <w:tcPr>
            <w:tcW w:w="0" w:type="auto"/>
            <w:vAlign w:val="center"/>
          </w:tcPr>
          <w:p w:rsidR="005F78FC" w:rsidRDefault="00B42EF3">
            <w:pPr>
              <w:pStyle w:val="TableBodyText"/>
            </w:pPr>
            <w:r>
              <w:t>Specifies that the link shall run an application external to this presentation package. The r:id attribute for this element specifies the corresponding relationship containing the reference to the application.</w:t>
            </w:r>
          </w:p>
        </w:tc>
      </w:tr>
      <w:tr w:rsidR="005F78FC" w:rsidTr="005F78FC">
        <w:tc>
          <w:tcPr>
            <w:tcW w:w="0" w:type="auto"/>
            <w:vAlign w:val="center"/>
          </w:tcPr>
          <w:p w:rsidR="005F78FC" w:rsidRDefault="00B42EF3">
            <w:pPr>
              <w:pStyle w:val="TableBodyText"/>
            </w:pPr>
            <w:r>
              <w:t>ppaction://</w:t>
            </w:r>
            <w:r>
              <w:t>noaction</w:t>
            </w:r>
          </w:p>
        </w:tc>
        <w:tc>
          <w:tcPr>
            <w:tcW w:w="0" w:type="auto"/>
            <w:vAlign w:val="center"/>
          </w:tcPr>
          <w:p w:rsidR="005F78FC" w:rsidRDefault="00B42EF3">
            <w:pPr>
              <w:pStyle w:val="TableBodyText"/>
            </w:pPr>
            <w:r>
              <w:t>This value of the action attribute does not specify any action performed by the link. The link will continue to respect highlight attribute and snd element if present.</w:t>
            </w:r>
          </w:p>
        </w:tc>
      </w:tr>
      <w:tr w:rsidR="005F78FC" w:rsidTr="005F78FC">
        <w:tc>
          <w:tcPr>
            <w:tcW w:w="0" w:type="auto"/>
            <w:vAlign w:val="center"/>
          </w:tcPr>
          <w:p w:rsidR="005F78FC" w:rsidRDefault="00B42EF3">
            <w:pPr>
              <w:pStyle w:val="TableBodyText"/>
            </w:pPr>
            <w:r>
              <w:t>ppaction://media</w:t>
            </w:r>
          </w:p>
        </w:tc>
        <w:tc>
          <w:tcPr>
            <w:tcW w:w="0" w:type="auto"/>
            <w:vAlign w:val="center"/>
          </w:tcPr>
          <w:p w:rsidR="005F78FC" w:rsidRDefault="00B42EF3">
            <w:pPr>
              <w:pStyle w:val="TableBodyText"/>
            </w:pPr>
            <w:r>
              <w:t xml:space="preserve">Specifies that the link shall initiate playback of the media </w:t>
            </w:r>
            <w:r>
              <w:t xml:space="preserve">object specified by the parent element. </w:t>
            </w:r>
          </w:p>
        </w:tc>
      </w:tr>
      <w:tr w:rsidR="005F78FC" w:rsidTr="005F78FC">
        <w:tc>
          <w:tcPr>
            <w:tcW w:w="0" w:type="auto"/>
            <w:vAlign w:val="center"/>
          </w:tcPr>
          <w:p w:rsidR="005F78FC" w:rsidRDefault="00B42EF3">
            <w:pPr>
              <w:pStyle w:val="TableBodyText"/>
            </w:pPr>
            <w:r>
              <w:t>ppaction://ole?verb=OLE_VERB_INDEX</w:t>
            </w:r>
          </w:p>
        </w:tc>
        <w:tc>
          <w:tcPr>
            <w:tcW w:w="0" w:type="auto"/>
            <w:vAlign w:val="center"/>
          </w:tcPr>
          <w:p w:rsidR="005F78FC" w:rsidRDefault="00B42EF3">
            <w:pPr>
              <w:pStyle w:val="TableBodyText"/>
            </w:pPr>
            <w:r>
              <w:t>Specifies that the link shall execute the verb on an OLE object specified by OLE_VERB_INDEX. The OLE_VERB_INDEX variable shall be replaced with the verb number of the verb registe</w:t>
            </w:r>
            <w:r>
              <w:t>red by the OLE object that shall be executed.</w:t>
            </w:r>
          </w:p>
        </w:tc>
      </w:tr>
    </w:tbl>
    <w:p w:rsidR="005F78FC" w:rsidRDefault="005F78FC"/>
    <w:p w:rsidR="005F78FC" w:rsidRDefault="00B42EF3">
      <w:pPr>
        <w:pStyle w:val="Heading3"/>
      </w:pPr>
      <w:bookmarkStart w:id="2802" w:name="section_98300ab2307b45f49a00b98df349c87b"/>
      <w:bookmarkStart w:id="2803" w:name="_Toc69879174"/>
      <w:r>
        <w:t>Part 1 Section 21.1.2.3.6, hlinkMouseOver (Mouse-Over Hyperlink)</w:t>
      </w:r>
      <w:bookmarkEnd w:id="2802"/>
      <w:bookmarkEnd w:id="2803"/>
      <w:r>
        <w:fldChar w:fldCharType="begin"/>
      </w:r>
      <w:r>
        <w:instrText xml:space="preserve"> XE "hlinkMouseOver (Mouse-Over Hyperlink)"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a65b76db6abc49898cd1baa9a3500f6f">
        <w:r>
          <w:rPr>
            <w:rStyle w:val="Hyperlink"/>
          </w:rPr>
          <w:t>hlinkClick, §21.1.2.3.5(a)</w:t>
        </w:r>
      </w:hyperlink>
      <w:r>
        <w:rPr>
          <w:i/>
        </w:rPr>
        <w:t>.</w:t>
      </w:r>
    </w:p>
    <w:p w:rsidR="005F78FC" w:rsidRDefault="00B42EF3">
      <w:pPr>
        <w:pStyle w:val="Heading3"/>
      </w:pPr>
      <w:bookmarkStart w:id="2804" w:name="section_e6784cb715474ee5addc730cac8b4d00"/>
      <w:bookmarkStart w:id="2805" w:name="_Toc69879175"/>
      <w:r>
        <w:lastRenderedPageBreak/>
        <w:t>Part 1 Section 21.1.2.3.7, latin (Latin Font)</w:t>
      </w:r>
      <w:bookmarkEnd w:id="2804"/>
      <w:bookmarkEnd w:id="2805"/>
      <w:r>
        <w:fldChar w:fldCharType="begin"/>
      </w:r>
      <w:r>
        <w:instrText xml:space="preserve"> XE "latin (Latin Font)" </w:instrText>
      </w:r>
      <w:r>
        <w:fldChar w:fldCharType="end"/>
      </w:r>
    </w:p>
    <w:p w:rsidR="005F78FC" w:rsidRDefault="00B42EF3">
      <w:pPr>
        <w:pStyle w:val="Definition-Field"/>
      </w:pPr>
      <w:r>
        <w:t xml:space="preserve">a.   </w:t>
      </w:r>
      <w:r>
        <w:rPr>
          <w:i/>
        </w:rPr>
        <w:t>The standard includes panose as an optional attribute of this element.</w:t>
      </w:r>
    </w:p>
    <w:p w:rsidR="005F78FC" w:rsidRDefault="00B42EF3">
      <w:pPr>
        <w:pStyle w:val="Definition-Field2"/>
      </w:pPr>
      <w:r>
        <w:t>Office does not impleme</w:t>
      </w:r>
      <w:r>
        <w:t>nt the panose attribute.</w:t>
      </w:r>
    </w:p>
    <w:p w:rsidR="005F78FC" w:rsidRDefault="00B42EF3">
      <w:pPr>
        <w:pStyle w:val="Definition-Field"/>
      </w:pPr>
      <w:r>
        <w:t xml:space="preserve">b.   </w:t>
      </w:r>
      <w:r>
        <w:rPr>
          <w:i/>
        </w:rPr>
        <w:t>The standard states that the charset attribute of the buFont, cs, ea, font, latin and sym elements specifies the most similar character set.</w:t>
      </w:r>
    </w:p>
    <w:p w:rsidR="005F78FC" w:rsidRDefault="00B42EF3">
      <w:r>
        <w:t>Office uses this attribute to specify the character set that is supported by the pare</w:t>
      </w:r>
      <w:r>
        <w:t>nt font. This information may be used in font substitution logic to locate an appropriate substitute font when this font is not available. This information is determined by querying the font when present and shall not be modified when the font is not avail</w:t>
      </w:r>
      <w:r>
        <w:t>able.</w:t>
      </w:r>
    </w:p>
    <w:p w:rsidR="005F78FC" w:rsidRDefault="00B42EF3">
      <w:r>
        <w:t>The value of this attribute shall be interpreted as follows:</w:t>
      </w:r>
    </w:p>
    <w:tbl>
      <w:tblPr>
        <w:tblStyle w:val="Table-ShadedHeader"/>
        <w:tblW w:w="0" w:type="auto"/>
        <w:tblLook w:val="04A0" w:firstRow="1" w:lastRow="0" w:firstColumn="1" w:lastColumn="0" w:noHBand="0" w:noVBand="1"/>
      </w:tblPr>
      <w:tblGrid>
        <w:gridCol w:w="1078"/>
        <w:gridCol w:w="8397"/>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Value</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rPr>
                <w:rStyle w:val="InlineCode"/>
              </w:rPr>
              <w:t>0x00</w:t>
            </w:r>
          </w:p>
        </w:tc>
        <w:tc>
          <w:tcPr>
            <w:tcW w:w="0" w:type="auto"/>
            <w:vAlign w:val="center"/>
          </w:tcPr>
          <w:p w:rsidR="005F78FC" w:rsidRDefault="00B42EF3">
            <w:pPr>
              <w:pStyle w:val="TableBodyText"/>
            </w:pPr>
            <w:r>
              <w:t xml:space="preserve">Specifies the ANSI character set. (IANA name </w:t>
            </w:r>
            <w:r>
              <w:rPr>
                <w:rStyle w:val="InlineCode"/>
              </w:rPr>
              <w:t>iso-8859-1</w:t>
            </w:r>
            <w:r>
              <w:t>)</w:t>
            </w:r>
          </w:p>
        </w:tc>
      </w:tr>
      <w:tr w:rsidR="005F78FC" w:rsidTr="005F78FC">
        <w:tc>
          <w:tcPr>
            <w:tcW w:w="0" w:type="auto"/>
            <w:vAlign w:val="center"/>
          </w:tcPr>
          <w:p w:rsidR="005F78FC" w:rsidRDefault="00B42EF3">
            <w:pPr>
              <w:pStyle w:val="TableBodyText"/>
            </w:pPr>
            <w:r>
              <w:rPr>
                <w:rStyle w:val="InlineCode"/>
              </w:rPr>
              <w:t>0x01</w:t>
            </w:r>
          </w:p>
        </w:tc>
        <w:tc>
          <w:tcPr>
            <w:tcW w:w="0" w:type="auto"/>
            <w:vAlign w:val="center"/>
          </w:tcPr>
          <w:p w:rsidR="005F78FC" w:rsidRDefault="00B42EF3">
            <w:pPr>
              <w:pStyle w:val="TableBodyText"/>
            </w:pPr>
            <w:r>
              <w:t>Specifies the default character set.</w:t>
            </w:r>
          </w:p>
        </w:tc>
      </w:tr>
      <w:tr w:rsidR="005F78FC" w:rsidTr="005F78FC">
        <w:tc>
          <w:tcPr>
            <w:tcW w:w="0" w:type="auto"/>
            <w:vAlign w:val="center"/>
          </w:tcPr>
          <w:p w:rsidR="005F78FC" w:rsidRDefault="00B42EF3">
            <w:pPr>
              <w:pStyle w:val="TableBodyText"/>
            </w:pPr>
            <w:r>
              <w:rPr>
                <w:rStyle w:val="InlineCode"/>
              </w:rPr>
              <w:t>0x02</w:t>
            </w:r>
          </w:p>
        </w:tc>
        <w:tc>
          <w:tcPr>
            <w:tcW w:w="0" w:type="auto"/>
            <w:vAlign w:val="center"/>
          </w:tcPr>
          <w:p w:rsidR="005F78FC" w:rsidRDefault="00B42EF3">
            <w:pPr>
              <w:pStyle w:val="TableBodyText"/>
            </w:pPr>
            <w:r>
              <w:t xml:space="preserve">Specifies the Symbol character set. This value specifies </w:t>
            </w:r>
            <w:r>
              <w:t>that the characters in the Unicode private use area (U+FF00 to U+FFFF) of the font should be used to display characters in the range U+0000 to U+00FF.</w:t>
            </w:r>
          </w:p>
        </w:tc>
      </w:tr>
      <w:tr w:rsidR="005F78FC" w:rsidTr="005F78FC">
        <w:tc>
          <w:tcPr>
            <w:tcW w:w="0" w:type="auto"/>
            <w:vAlign w:val="center"/>
          </w:tcPr>
          <w:p w:rsidR="005F78FC" w:rsidRDefault="00B42EF3">
            <w:pPr>
              <w:pStyle w:val="TableBodyText"/>
            </w:pPr>
            <w:r>
              <w:rPr>
                <w:rStyle w:val="InlineCode"/>
              </w:rPr>
              <w:t>0x4D</w:t>
            </w:r>
          </w:p>
        </w:tc>
        <w:tc>
          <w:tcPr>
            <w:tcW w:w="0" w:type="auto"/>
            <w:vAlign w:val="center"/>
          </w:tcPr>
          <w:p w:rsidR="005F78FC" w:rsidRDefault="00B42EF3">
            <w:pPr>
              <w:pStyle w:val="TableBodyText"/>
            </w:pPr>
            <w:r>
              <w:t xml:space="preserve">Specifies a Macintosh (Standard Roman) character set. (IANA name </w:t>
            </w:r>
            <w:r>
              <w:rPr>
                <w:rStyle w:val="InlineCode"/>
              </w:rPr>
              <w:t>macintosh)</w:t>
            </w:r>
          </w:p>
        </w:tc>
      </w:tr>
      <w:tr w:rsidR="005F78FC" w:rsidTr="005F78FC">
        <w:tc>
          <w:tcPr>
            <w:tcW w:w="0" w:type="auto"/>
            <w:vAlign w:val="center"/>
          </w:tcPr>
          <w:p w:rsidR="005F78FC" w:rsidRDefault="00B42EF3">
            <w:pPr>
              <w:pStyle w:val="TableBodyText"/>
            </w:pPr>
            <w:r>
              <w:rPr>
                <w:rStyle w:val="InlineCode"/>
              </w:rPr>
              <w:t>0x80</w:t>
            </w:r>
          </w:p>
        </w:tc>
        <w:tc>
          <w:tcPr>
            <w:tcW w:w="0" w:type="auto"/>
            <w:vAlign w:val="center"/>
          </w:tcPr>
          <w:p w:rsidR="005F78FC" w:rsidRDefault="00B42EF3">
            <w:pPr>
              <w:pStyle w:val="TableBodyText"/>
            </w:pPr>
            <w:r>
              <w:t>Specifies the JIS</w:t>
            </w:r>
            <w:r>
              <w:t xml:space="preserve"> character set. (IANA name </w:t>
            </w:r>
            <w:r>
              <w:rPr>
                <w:rStyle w:val="InlineCode"/>
              </w:rPr>
              <w:t>shift_jis</w:t>
            </w:r>
            <w:r>
              <w:t>)</w:t>
            </w:r>
          </w:p>
        </w:tc>
      </w:tr>
      <w:tr w:rsidR="005F78FC" w:rsidTr="005F78FC">
        <w:tc>
          <w:tcPr>
            <w:tcW w:w="0" w:type="auto"/>
            <w:vAlign w:val="center"/>
          </w:tcPr>
          <w:p w:rsidR="005F78FC" w:rsidRDefault="00B42EF3">
            <w:pPr>
              <w:pStyle w:val="TableBodyText"/>
            </w:pPr>
            <w:r>
              <w:rPr>
                <w:rStyle w:val="InlineCode"/>
              </w:rPr>
              <w:t>0x81</w:t>
            </w:r>
          </w:p>
        </w:tc>
        <w:tc>
          <w:tcPr>
            <w:tcW w:w="0" w:type="auto"/>
            <w:vAlign w:val="center"/>
          </w:tcPr>
          <w:p w:rsidR="005F78FC" w:rsidRDefault="00B42EF3">
            <w:pPr>
              <w:pStyle w:val="TableBodyText"/>
            </w:pPr>
            <w:r>
              <w:t xml:space="preserve">Specifies the Hangul character set. (IANA name </w:t>
            </w:r>
            <w:r>
              <w:rPr>
                <w:rStyle w:val="InlineCode"/>
              </w:rPr>
              <w:t>ks_c_5601-1987</w:t>
            </w:r>
            <w:r>
              <w:t>)</w:t>
            </w:r>
          </w:p>
        </w:tc>
      </w:tr>
      <w:tr w:rsidR="005F78FC" w:rsidTr="005F78FC">
        <w:tc>
          <w:tcPr>
            <w:tcW w:w="0" w:type="auto"/>
            <w:vAlign w:val="center"/>
          </w:tcPr>
          <w:p w:rsidR="005F78FC" w:rsidRDefault="00B42EF3">
            <w:pPr>
              <w:pStyle w:val="TableBodyText"/>
            </w:pPr>
            <w:r>
              <w:rPr>
                <w:rStyle w:val="InlineCode"/>
              </w:rPr>
              <w:t>0x82</w:t>
            </w:r>
          </w:p>
        </w:tc>
        <w:tc>
          <w:tcPr>
            <w:tcW w:w="0" w:type="auto"/>
            <w:vAlign w:val="center"/>
          </w:tcPr>
          <w:p w:rsidR="005F78FC" w:rsidRDefault="00B42EF3">
            <w:pPr>
              <w:pStyle w:val="TableBodyText"/>
            </w:pPr>
            <w:r>
              <w:t xml:space="preserve">Specifies a Johab character set. (IANA name </w:t>
            </w:r>
            <w:r>
              <w:rPr>
                <w:rStyle w:val="InlineCode"/>
              </w:rPr>
              <w:t>KS C-5601-1992</w:t>
            </w:r>
            <w:r>
              <w:t>)</w:t>
            </w:r>
          </w:p>
        </w:tc>
      </w:tr>
      <w:tr w:rsidR="005F78FC" w:rsidTr="005F78FC">
        <w:tc>
          <w:tcPr>
            <w:tcW w:w="0" w:type="auto"/>
            <w:vAlign w:val="center"/>
          </w:tcPr>
          <w:p w:rsidR="005F78FC" w:rsidRDefault="00B42EF3">
            <w:pPr>
              <w:pStyle w:val="TableBodyText"/>
            </w:pPr>
            <w:r>
              <w:rPr>
                <w:rStyle w:val="InlineCode"/>
              </w:rPr>
              <w:t>0x86</w:t>
            </w:r>
          </w:p>
        </w:tc>
        <w:tc>
          <w:tcPr>
            <w:tcW w:w="0" w:type="auto"/>
            <w:vAlign w:val="center"/>
          </w:tcPr>
          <w:p w:rsidR="005F78FC" w:rsidRDefault="00B42EF3">
            <w:pPr>
              <w:pStyle w:val="TableBodyText"/>
            </w:pPr>
            <w:r>
              <w:t xml:space="preserve">Specifies the GB-2312 character set. (IANA name </w:t>
            </w:r>
            <w:r>
              <w:rPr>
                <w:rStyle w:val="InlineCode"/>
              </w:rPr>
              <w:t>GBK</w:t>
            </w:r>
            <w:r>
              <w:t>)</w:t>
            </w:r>
          </w:p>
        </w:tc>
      </w:tr>
      <w:tr w:rsidR="005F78FC" w:rsidTr="005F78FC">
        <w:tc>
          <w:tcPr>
            <w:tcW w:w="0" w:type="auto"/>
            <w:vAlign w:val="center"/>
          </w:tcPr>
          <w:p w:rsidR="005F78FC" w:rsidRDefault="00B42EF3">
            <w:pPr>
              <w:pStyle w:val="TableBodyText"/>
            </w:pPr>
            <w:r>
              <w:rPr>
                <w:rStyle w:val="InlineCode"/>
              </w:rPr>
              <w:t>0x88</w:t>
            </w:r>
          </w:p>
        </w:tc>
        <w:tc>
          <w:tcPr>
            <w:tcW w:w="0" w:type="auto"/>
            <w:vAlign w:val="center"/>
          </w:tcPr>
          <w:p w:rsidR="005F78FC" w:rsidRDefault="00B42EF3">
            <w:pPr>
              <w:pStyle w:val="TableBodyText"/>
            </w:pPr>
            <w:r>
              <w:t xml:space="preserve">Specifies the Chinese Big Five character set. (IANA name </w:t>
            </w:r>
            <w:r>
              <w:rPr>
                <w:rStyle w:val="InlineCode"/>
              </w:rPr>
              <w:t>Big5</w:t>
            </w:r>
            <w:r>
              <w:t>)</w:t>
            </w:r>
          </w:p>
        </w:tc>
      </w:tr>
      <w:tr w:rsidR="005F78FC" w:rsidTr="005F78FC">
        <w:tc>
          <w:tcPr>
            <w:tcW w:w="0" w:type="auto"/>
            <w:vAlign w:val="center"/>
          </w:tcPr>
          <w:p w:rsidR="005F78FC" w:rsidRDefault="00B42EF3">
            <w:pPr>
              <w:pStyle w:val="TableBodyText"/>
            </w:pPr>
            <w:r>
              <w:rPr>
                <w:rStyle w:val="InlineCode"/>
              </w:rPr>
              <w:t>0xA1</w:t>
            </w:r>
          </w:p>
        </w:tc>
        <w:tc>
          <w:tcPr>
            <w:tcW w:w="0" w:type="auto"/>
            <w:vAlign w:val="center"/>
          </w:tcPr>
          <w:p w:rsidR="005F78FC" w:rsidRDefault="00B42EF3">
            <w:pPr>
              <w:pStyle w:val="TableBodyText"/>
            </w:pPr>
            <w:r>
              <w:t xml:space="preserve">Specifies a Greek character set. (IANA name </w:t>
            </w:r>
            <w:r>
              <w:rPr>
                <w:rStyle w:val="InlineCode"/>
              </w:rPr>
              <w:t>windows-1253</w:t>
            </w:r>
            <w:r>
              <w:t>)</w:t>
            </w:r>
          </w:p>
        </w:tc>
      </w:tr>
      <w:tr w:rsidR="005F78FC" w:rsidTr="005F78FC">
        <w:tc>
          <w:tcPr>
            <w:tcW w:w="0" w:type="auto"/>
            <w:vAlign w:val="center"/>
          </w:tcPr>
          <w:p w:rsidR="005F78FC" w:rsidRDefault="00B42EF3">
            <w:pPr>
              <w:pStyle w:val="TableBodyText"/>
            </w:pPr>
            <w:r>
              <w:rPr>
                <w:rStyle w:val="InlineCode"/>
              </w:rPr>
              <w:t>0xA2</w:t>
            </w:r>
          </w:p>
        </w:tc>
        <w:tc>
          <w:tcPr>
            <w:tcW w:w="0" w:type="auto"/>
            <w:vAlign w:val="center"/>
          </w:tcPr>
          <w:p w:rsidR="005F78FC" w:rsidRDefault="00B42EF3">
            <w:pPr>
              <w:pStyle w:val="TableBodyText"/>
            </w:pPr>
            <w:r>
              <w:t xml:space="preserve">Specifies a Turkish character set. (IANA name </w:t>
            </w:r>
            <w:r>
              <w:rPr>
                <w:rStyle w:val="InlineCode"/>
              </w:rPr>
              <w:t>iso-8859-9</w:t>
            </w:r>
            <w:r>
              <w:t>)</w:t>
            </w:r>
          </w:p>
        </w:tc>
      </w:tr>
      <w:tr w:rsidR="005F78FC" w:rsidTr="005F78FC">
        <w:tc>
          <w:tcPr>
            <w:tcW w:w="0" w:type="auto"/>
            <w:vAlign w:val="center"/>
          </w:tcPr>
          <w:p w:rsidR="005F78FC" w:rsidRDefault="00B42EF3">
            <w:pPr>
              <w:pStyle w:val="TableBodyText"/>
            </w:pPr>
            <w:r>
              <w:rPr>
                <w:rStyle w:val="InlineCode"/>
              </w:rPr>
              <w:t>0xA3</w:t>
            </w:r>
          </w:p>
        </w:tc>
        <w:tc>
          <w:tcPr>
            <w:tcW w:w="0" w:type="auto"/>
            <w:vAlign w:val="center"/>
          </w:tcPr>
          <w:p w:rsidR="005F78FC" w:rsidRDefault="00B42EF3">
            <w:pPr>
              <w:pStyle w:val="TableBodyText"/>
            </w:pPr>
            <w:r>
              <w:t xml:space="preserve">Specifies a Vietnamese character set. (IANA name </w:t>
            </w:r>
            <w:r>
              <w:rPr>
                <w:rStyle w:val="InlineCode"/>
              </w:rPr>
              <w:t>windows-12</w:t>
            </w:r>
            <w:r>
              <w:rPr>
                <w:rStyle w:val="InlineCode"/>
              </w:rPr>
              <w:t>58</w:t>
            </w:r>
            <w:r>
              <w:t>)</w:t>
            </w:r>
          </w:p>
        </w:tc>
      </w:tr>
      <w:tr w:rsidR="005F78FC" w:rsidTr="005F78FC">
        <w:tc>
          <w:tcPr>
            <w:tcW w:w="0" w:type="auto"/>
            <w:vAlign w:val="center"/>
          </w:tcPr>
          <w:p w:rsidR="005F78FC" w:rsidRDefault="00B42EF3">
            <w:pPr>
              <w:pStyle w:val="TableBodyText"/>
            </w:pPr>
            <w:r>
              <w:rPr>
                <w:rStyle w:val="InlineCode"/>
              </w:rPr>
              <w:t>0xB1</w:t>
            </w:r>
          </w:p>
        </w:tc>
        <w:tc>
          <w:tcPr>
            <w:tcW w:w="0" w:type="auto"/>
            <w:vAlign w:val="center"/>
          </w:tcPr>
          <w:p w:rsidR="005F78FC" w:rsidRDefault="00B42EF3">
            <w:pPr>
              <w:pStyle w:val="TableBodyText"/>
            </w:pPr>
            <w:r>
              <w:t xml:space="preserve">Specifies a Hebrew character set. (IANA name </w:t>
            </w:r>
            <w:r>
              <w:rPr>
                <w:rStyle w:val="InlineCode"/>
              </w:rPr>
              <w:t>windows-1255</w:t>
            </w:r>
            <w:r>
              <w:t>)</w:t>
            </w:r>
          </w:p>
        </w:tc>
      </w:tr>
      <w:tr w:rsidR="005F78FC" w:rsidTr="005F78FC">
        <w:tc>
          <w:tcPr>
            <w:tcW w:w="0" w:type="auto"/>
            <w:vAlign w:val="center"/>
          </w:tcPr>
          <w:p w:rsidR="005F78FC" w:rsidRDefault="00B42EF3">
            <w:pPr>
              <w:pStyle w:val="TableBodyText"/>
            </w:pPr>
            <w:r>
              <w:rPr>
                <w:rStyle w:val="InlineCode"/>
              </w:rPr>
              <w:t>0xB2</w:t>
            </w:r>
          </w:p>
        </w:tc>
        <w:tc>
          <w:tcPr>
            <w:tcW w:w="0" w:type="auto"/>
            <w:vAlign w:val="center"/>
          </w:tcPr>
          <w:p w:rsidR="005F78FC" w:rsidRDefault="00B42EF3">
            <w:pPr>
              <w:pStyle w:val="TableBodyText"/>
            </w:pPr>
            <w:r>
              <w:t xml:space="preserve">Specifies an Arabic character set. (IANA name </w:t>
            </w:r>
            <w:r>
              <w:rPr>
                <w:rStyle w:val="InlineCode"/>
              </w:rPr>
              <w:t>windows-1256</w:t>
            </w:r>
            <w:r>
              <w:t>)</w:t>
            </w:r>
          </w:p>
        </w:tc>
      </w:tr>
      <w:tr w:rsidR="005F78FC" w:rsidTr="005F78FC">
        <w:tc>
          <w:tcPr>
            <w:tcW w:w="0" w:type="auto"/>
            <w:vAlign w:val="center"/>
          </w:tcPr>
          <w:p w:rsidR="005F78FC" w:rsidRDefault="00B42EF3">
            <w:pPr>
              <w:pStyle w:val="TableBodyText"/>
            </w:pPr>
            <w:r>
              <w:rPr>
                <w:rStyle w:val="InlineCode"/>
              </w:rPr>
              <w:t>0xBA</w:t>
            </w:r>
          </w:p>
        </w:tc>
        <w:tc>
          <w:tcPr>
            <w:tcW w:w="0" w:type="auto"/>
            <w:vAlign w:val="center"/>
          </w:tcPr>
          <w:p w:rsidR="005F78FC" w:rsidRDefault="00B42EF3">
            <w:pPr>
              <w:pStyle w:val="TableBodyText"/>
            </w:pPr>
            <w:r>
              <w:t xml:space="preserve">Specifies a Baltic character set. (IANA name </w:t>
            </w:r>
            <w:r>
              <w:rPr>
                <w:rStyle w:val="InlineCode"/>
              </w:rPr>
              <w:t>windows-1257</w:t>
            </w:r>
            <w:r>
              <w:t>)</w:t>
            </w:r>
          </w:p>
        </w:tc>
      </w:tr>
      <w:tr w:rsidR="005F78FC" w:rsidTr="005F78FC">
        <w:tc>
          <w:tcPr>
            <w:tcW w:w="0" w:type="auto"/>
            <w:vAlign w:val="center"/>
          </w:tcPr>
          <w:p w:rsidR="005F78FC" w:rsidRDefault="00B42EF3">
            <w:pPr>
              <w:pStyle w:val="TableBodyText"/>
            </w:pPr>
            <w:r>
              <w:rPr>
                <w:rStyle w:val="InlineCode"/>
              </w:rPr>
              <w:t>0xCC</w:t>
            </w:r>
          </w:p>
        </w:tc>
        <w:tc>
          <w:tcPr>
            <w:tcW w:w="0" w:type="auto"/>
            <w:vAlign w:val="center"/>
          </w:tcPr>
          <w:p w:rsidR="005F78FC" w:rsidRDefault="00B42EF3">
            <w:pPr>
              <w:pStyle w:val="TableBodyText"/>
            </w:pPr>
            <w:r>
              <w:t xml:space="preserve">Specifies a Russian character set. (IANA name </w:t>
            </w:r>
            <w:r>
              <w:rPr>
                <w:rStyle w:val="InlineCode"/>
              </w:rPr>
              <w:t>windows-1251</w:t>
            </w:r>
            <w:r>
              <w:t>)</w:t>
            </w:r>
          </w:p>
        </w:tc>
      </w:tr>
      <w:tr w:rsidR="005F78FC" w:rsidTr="005F78FC">
        <w:tc>
          <w:tcPr>
            <w:tcW w:w="0" w:type="auto"/>
            <w:vAlign w:val="center"/>
          </w:tcPr>
          <w:p w:rsidR="005F78FC" w:rsidRDefault="00B42EF3">
            <w:pPr>
              <w:pStyle w:val="TableBodyText"/>
            </w:pPr>
            <w:r>
              <w:rPr>
                <w:rStyle w:val="InlineCode"/>
              </w:rPr>
              <w:t>0xDE</w:t>
            </w:r>
          </w:p>
        </w:tc>
        <w:tc>
          <w:tcPr>
            <w:tcW w:w="0" w:type="auto"/>
            <w:vAlign w:val="center"/>
          </w:tcPr>
          <w:p w:rsidR="005F78FC" w:rsidRDefault="00B42EF3">
            <w:pPr>
              <w:pStyle w:val="TableBodyText"/>
            </w:pPr>
            <w:r>
              <w:t xml:space="preserve">Specifies a Thai character set. (IANA name </w:t>
            </w:r>
            <w:r>
              <w:rPr>
                <w:rStyle w:val="InlineCode"/>
              </w:rPr>
              <w:t>windows-874</w:t>
            </w:r>
            <w:r>
              <w:t>)</w:t>
            </w:r>
          </w:p>
        </w:tc>
      </w:tr>
      <w:tr w:rsidR="005F78FC" w:rsidTr="005F78FC">
        <w:tc>
          <w:tcPr>
            <w:tcW w:w="0" w:type="auto"/>
            <w:vAlign w:val="center"/>
          </w:tcPr>
          <w:p w:rsidR="005F78FC" w:rsidRDefault="00B42EF3">
            <w:pPr>
              <w:pStyle w:val="TableBodyText"/>
            </w:pPr>
            <w:r>
              <w:rPr>
                <w:rStyle w:val="InlineCode"/>
              </w:rPr>
              <w:t>0xEE</w:t>
            </w:r>
          </w:p>
        </w:tc>
        <w:tc>
          <w:tcPr>
            <w:tcW w:w="0" w:type="auto"/>
            <w:vAlign w:val="center"/>
          </w:tcPr>
          <w:p w:rsidR="005F78FC" w:rsidRDefault="00B42EF3">
            <w:pPr>
              <w:pStyle w:val="TableBodyText"/>
            </w:pPr>
            <w:r>
              <w:t xml:space="preserve">Specifies an Eastern European character set. (IANA name </w:t>
            </w:r>
            <w:r>
              <w:rPr>
                <w:rStyle w:val="InlineCode"/>
              </w:rPr>
              <w:t>windows-1250</w:t>
            </w:r>
            <w:r>
              <w:t>)</w:t>
            </w:r>
          </w:p>
        </w:tc>
      </w:tr>
      <w:tr w:rsidR="005F78FC" w:rsidTr="005F78FC">
        <w:tc>
          <w:tcPr>
            <w:tcW w:w="0" w:type="auto"/>
            <w:vAlign w:val="center"/>
          </w:tcPr>
          <w:p w:rsidR="005F78FC" w:rsidRDefault="00B42EF3">
            <w:pPr>
              <w:pStyle w:val="TableBodyText"/>
            </w:pPr>
            <w:r>
              <w:rPr>
                <w:rStyle w:val="InlineCode"/>
              </w:rPr>
              <w:t>0xFF</w:t>
            </w:r>
          </w:p>
        </w:tc>
        <w:tc>
          <w:tcPr>
            <w:tcW w:w="0" w:type="auto"/>
            <w:vAlign w:val="center"/>
          </w:tcPr>
          <w:p w:rsidR="005F78FC" w:rsidRDefault="00B42EF3">
            <w:pPr>
              <w:pStyle w:val="TableBodyText"/>
            </w:pPr>
            <w:r>
              <w:t>Specifies an OEM character set not defined by the standard.</w:t>
            </w:r>
          </w:p>
        </w:tc>
      </w:tr>
      <w:tr w:rsidR="005F78FC" w:rsidTr="005F78FC">
        <w:tc>
          <w:tcPr>
            <w:tcW w:w="0" w:type="auto"/>
            <w:vAlign w:val="center"/>
          </w:tcPr>
          <w:p w:rsidR="005F78FC" w:rsidRDefault="00B42EF3">
            <w:pPr>
              <w:pStyle w:val="TableBodyText"/>
            </w:pPr>
            <w:r>
              <w:t>Any other value</w:t>
            </w:r>
          </w:p>
        </w:tc>
        <w:tc>
          <w:tcPr>
            <w:tcW w:w="0" w:type="auto"/>
            <w:vAlign w:val="center"/>
          </w:tcPr>
          <w:p w:rsidR="005F78FC" w:rsidRDefault="00B42EF3">
            <w:pPr>
              <w:pStyle w:val="TableBodyText"/>
            </w:pPr>
            <w:r>
              <w:t xml:space="preserve">Application-defined, </w:t>
            </w:r>
            <w:r>
              <w:t>may be ignored.</w:t>
            </w:r>
          </w:p>
        </w:tc>
      </w:tr>
    </w:tbl>
    <w:p w:rsidR="005F78FC" w:rsidRDefault="005F78FC"/>
    <w:p w:rsidR="005F78FC" w:rsidRDefault="00B42EF3">
      <w:pPr>
        <w:pStyle w:val="Definition-Field"/>
      </w:pPr>
      <w:r>
        <w:lastRenderedPageBreak/>
        <w:t xml:space="preserve">c.   </w:t>
      </w:r>
      <w:r>
        <w:rPr>
          <w:i/>
        </w:rPr>
        <w:t>The standard states that the pitchFamily attribute of the buFont, cs, ea, font, latin and sym elements specifies the most similar font family.</w:t>
      </w:r>
    </w:p>
    <w:p w:rsidR="005F78FC" w:rsidRDefault="00B42EF3">
      <w:r>
        <w:t>In Office, the pitchFamily attribute specifies the font pitch as well as the font family f</w:t>
      </w:r>
      <w:r>
        <w:t>or the corresponding font. Because the value of this attribute is determined by a byte variable this value shall be interpreted as follows:</w:t>
      </w:r>
    </w:p>
    <w:tbl>
      <w:tblPr>
        <w:tblStyle w:val="Table-ShadedHeader"/>
        <w:tblW w:w="0" w:type="auto"/>
        <w:tblLook w:val="04A0" w:firstRow="1" w:lastRow="0" w:firstColumn="1" w:lastColumn="0" w:noHBand="0" w:noVBand="1"/>
      </w:tblPr>
      <w:tblGrid>
        <w:gridCol w:w="734"/>
        <w:gridCol w:w="4030"/>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Value</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t>0x00</w:t>
            </w:r>
          </w:p>
        </w:tc>
        <w:tc>
          <w:tcPr>
            <w:tcW w:w="0" w:type="auto"/>
            <w:vAlign w:val="center"/>
          </w:tcPr>
          <w:p w:rsidR="005F78FC" w:rsidRDefault="00B42EF3">
            <w:pPr>
              <w:pStyle w:val="TableBodyText"/>
            </w:pPr>
            <w:r>
              <w:t>DEFAULT PITCH + UNKNOWN FONT FAMILY</w:t>
            </w:r>
          </w:p>
        </w:tc>
      </w:tr>
      <w:tr w:rsidR="005F78FC" w:rsidTr="005F78FC">
        <w:tc>
          <w:tcPr>
            <w:tcW w:w="0" w:type="auto"/>
            <w:vAlign w:val="center"/>
          </w:tcPr>
          <w:p w:rsidR="005F78FC" w:rsidRDefault="00B42EF3">
            <w:pPr>
              <w:pStyle w:val="TableBodyText"/>
            </w:pPr>
            <w:r>
              <w:t>0x01</w:t>
            </w:r>
          </w:p>
        </w:tc>
        <w:tc>
          <w:tcPr>
            <w:tcW w:w="0" w:type="auto"/>
            <w:vAlign w:val="center"/>
          </w:tcPr>
          <w:p w:rsidR="005F78FC" w:rsidRDefault="00B42EF3">
            <w:pPr>
              <w:pStyle w:val="TableBodyText"/>
            </w:pPr>
            <w:r>
              <w:t>FIXED PITCH + UNKNOWN FONT FAMILY</w:t>
            </w:r>
          </w:p>
        </w:tc>
      </w:tr>
      <w:tr w:rsidR="005F78FC" w:rsidTr="005F78FC">
        <w:tc>
          <w:tcPr>
            <w:tcW w:w="0" w:type="auto"/>
            <w:vAlign w:val="center"/>
          </w:tcPr>
          <w:p w:rsidR="005F78FC" w:rsidRDefault="00B42EF3">
            <w:pPr>
              <w:pStyle w:val="TableBodyText"/>
            </w:pPr>
            <w:r>
              <w:t>0x02</w:t>
            </w:r>
          </w:p>
        </w:tc>
        <w:tc>
          <w:tcPr>
            <w:tcW w:w="0" w:type="auto"/>
            <w:vAlign w:val="center"/>
          </w:tcPr>
          <w:p w:rsidR="005F78FC" w:rsidRDefault="00B42EF3">
            <w:pPr>
              <w:pStyle w:val="TableBodyText"/>
            </w:pPr>
            <w:r>
              <w:t xml:space="preserve">VARIABLE </w:t>
            </w:r>
            <w:r>
              <w:t>PITCH + UNKNOWN FONT FAMILY</w:t>
            </w:r>
          </w:p>
        </w:tc>
      </w:tr>
      <w:tr w:rsidR="005F78FC" w:rsidTr="005F78FC">
        <w:tc>
          <w:tcPr>
            <w:tcW w:w="0" w:type="auto"/>
            <w:vAlign w:val="center"/>
          </w:tcPr>
          <w:p w:rsidR="005F78FC" w:rsidRDefault="00B42EF3">
            <w:pPr>
              <w:pStyle w:val="TableBodyText"/>
            </w:pPr>
            <w:r>
              <w:t>0x10</w:t>
            </w:r>
          </w:p>
        </w:tc>
        <w:tc>
          <w:tcPr>
            <w:tcW w:w="0" w:type="auto"/>
            <w:vAlign w:val="center"/>
          </w:tcPr>
          <w:p w:rsidR="005F78FC" w:rsidRDefault="00B42EF3">
            <w:pPr>
              <w:pStyle w:val="TableBodyText"/>
            </w:pPr>
            <w:r>
              <w:t>DEFAULT PITCH + ROMAN FONT FAMILY</w:t>
            </w:r>
          </w:p>
        </w:tc>
      </w:tr>
      <w:tr w:rsidR="005F78FC" w:rsidTr="005F78FC">
        <w:tc>
          <w:tcPr>
            <w:tcW w:w="0" w:type="auto"/>
            <w:vAlign w:val="center"/>
          </w:tcPr>
          <w:p w:rsidR="005F78FC" w:rsidRDefault="00B42EF3">
            <w:pPr>
              <w:pStyle w:val="TableBodyText"/>
            </w:pPr>
            <w:r>
              <w:t>0x11</w:t>
            </w:r>
          </w:p>
        </w:tc>
        <w:tc>
          <w:tcPr>
            <w:tcW w:w="0" w:type="auto"/>
            <w:vAlign w:val="center"/>
          </w:tcPr>
          <w:p w:rsidR="005F78FC" w:rsidRDefault="00B42EF3">
            <w:pPr>
              <w:pStyle w:val="TableBodyText"/>
            </w:pPr>
            <w:r>
              <w:t>FIXED PITCH + ROMAN FONT FAMILY</w:t>
            </w:r>
          </w:p>
        </w:tc>
      </w:tr>
      <w:tr w:rsidR="005F78FC" w:rsidTr="005F78FC">
        <w:tc>
          <w:tcPr>
            <w:tcW w:w="0" w:type="auto"/>
            <w:vAlign w:val="center"/>
          </w:tcPr>
          <w:p w:rsidR="005F78FC" w:rsidRDefault="00B42EF3">
            <w:pPr>
              <w:pStyle w:val="TableBodyText"/>
            </w:pPr>
            <w:r>
              <w:t>0x12</w:t>
            </w:r>
          </w:p>
        </w:tc>
        <w:tc>
          <w:tcPr>
            <w:tcW w:w="0" w:type="auto"/>
            <w:vAlign w:val="center"/>
          </w:tcPr>
          <w:p w:rsidR="005F78FC" w:rsidRDefault="00B42EF3">
            <w:pPr>
              <w:pStyle w:val="TableBodyText"/>
            </w:pPr>
            <w:r>
              <w:t>VARIABLE PITCH + ROMAN FONT FAMILY</w:t>
            </w:r>
          </w:p>
        </w:tc>
      </w:tr>
      <w:tr w:rsidR="005F78FC" w:rsidTr="005F78FC">
        <w:tc>
          <w:tcPr>
            <w:tcW w:w="0" w:type="auto"/>
            <w:vAlign w:val="center"/>
          </w:tcPr>
          <w:p w:rsidR="005F78FC" w:rsidRDefault="00B42EF3">
            <w:pPr>
              <w:pStyle w:val="TableBodyText"/>
            </w:pPr>
            <w:r>
              <w:t>0x20</w:t>
            </w:r>
          </w:p>
        </w:tc>
        <w:tc>
          <w:tcPr>
            <w:tcW w:w="0" w:type="auto"/>
            <w:vAlign w:val="center"/>
          </w:tcPr>
          <w:p w:rsidR="005F78FC" w:rsidRDefault="00B42EF3">
            <w:pPr>
              <w:pStyle w:val="TableBodyText"/>
            </w:pPr>
            <w:r>
              <w:t>DEFAULT PITCH + SWISS FONT FAMILY</w:t>
            </w:r>
          </w:p>
        </w:tc>
      </w:tr>
      <w:tr w:rsidR="005F78FC" w:rsidTr="005F78FC">
        <w:tc>
          <w:tcPr>
            <w:tcW w:w="0" w:type="auto"/>
            <w:vAlign w:val="center"/>
          </w:tcPr>
          <w:p w:rsidR="005F78FC" w:rsidRDefault="00B42EF3">
            <w:pPr>
              <w:pStyle w:val="TableBodyText"/>
            </w:pPr>
            <w:r>
              <w:t>0x21</w:t>
            </w:r>
          </w:p>
        </w:tc>
        <w:tc>
          <w:tcPr>
            <w:tcW w:w="0" w:type="auto"/>
            <w:vAlign w:val="center"/>
          </w:tcPr>
          <w:p w:rsidR="005F78FC" w:rsidRDefault="00B42EF3">
            <w:pPr>
              <w:pStyle w:val="TableBodyText"/>
            </w:pPr>
            <w:r>
              <w:t>FIXED PITCH + SWISS FONT FAMILY</w:t>
            </w:r>
          </w:p>
        </w:tc>
      </w:tr>
      <w:tr w:rsidR="005F78FC" w:rsidTr="005F78FC">
        <w:tc>
          <w:tcPr>
            <w:tcW w:w="0" w:type="auto"/>
            <w:vAlign w:val="center"/>
          </w:tcPr>
          <w:p w:rsidR="005F78FC" w:rsidRDefault="00B42EF3">
            <w:pPr>
              <w:pStyle w:val="TableBodyText"/>
            </w:pPr>
            <w:r>
              <w:t>0x22</w:t>
            </w:r>
          </w:p>
        </w:tc>
        <w:tc>
          <w:tcPr>
            <w:tcW w:w="0" w:type="auto"/>
            <w:vAlign w:val="center"/>
          </w:tcPr>
          <w:p w:rsidR="005F78FC" w:rsidRDefault="00B42EF3">
            <w:pPr>
              <w:pStyle w:val="TableBodyText"/>
            </w:pPr>
            <w:r>
              <w:t xml:space="preserve">VARIABLE PITCH + SWISS </w:t>
            </w:r>
            <w:r>
              <w:t>FONT FAMILY</w:t>
            </w:r>
          </w:p>
        </w:tc>
      </w:tr>
      <w:tr w:rsidR="005F78FC" w:rsidTr="005F78FC">
        <w:tc>
          <w:tcPr>
            <w:tcW w:w="0" w:type="auto"/>
            <w:vAlign w:val="center"/>
          </w:tcPr>
          <w:p w:rsidR="005F78FC" w:rsidRDefault="00B42EF3">
            <w:pPr>
              <w:pStyle w:val="TableBodyText"/>
            </w:pPr>
            <w:r>
              <w:t>0x30</w:t>
            </w:r>
          </w:p>
        </w:tc>
        <w:tc>
          <w:tcPr>
            <w:tcW w:w="0" w:type="auto"/>
            <w:vAlign w:val="center"/>
          </w:tcPr>
          <w:p w:rsidR="005F78FC" w:rsidRDefault="00B42EF3">
            <w:pPr>
              <w:pStyle w:val="TableBodyText"/>
            </w:pPr>
            <w:r>
              <w:t>DEFAULT PITCH + MODERN FONT FAMILY</w:t>
            </w:r>
          </w:p>
        </w:tc>
      </w:tr>
      <w:tr w:rsidR="005F78FC" w:rsidTr="005F78FC">
        <w:tc>
          <w:tcPr>
            <w:tcW w:w="0" w:type="auto"/>
            <w:vAlign w:val="center"/>
          </w:tcPr>
          <w:p w:rsidR="005F78FC" w:rsidRDefault="00B42EF3">
            <w:pPr>
              <w:pStyle w:val="TableBodyText"/>
            </w:pPr>
            <w:r>
              <w:t>0x31</w:t>
            </w:r>
          </w:p>
        </w:tc>
        <w:tc>
          <w:tcPr>
            <w:tcW w:w="0" w:type="auto"/>
            <w:vAlign w:val="center"/>
          </w:tcPr>
          <w:p w:rsidR="005F78FC" w:rsidRDefault="00B42EF3">
            <w:pPr>
              <w:pStyle w:val="TableBodyText"/>
            </w:pPr>
            <w:r>
              <w:t>FIXED PITCH + MODERN FONT FAMILY</w:t>
            </w:r>
          </w:p>
        </w:tc>
      </w:tr>
      <w:tr w:rsidR="005F78FC" w:rsidTr="005F78FC">
        <w:tc>
          <w:tcPr>
            <w:tcW w:w="0" w:type="auto"/>
            <w:vAlign w:val="center"/>
          </w:tcPr>
          <w:p w:rsidR="005F78FC" w:rsidRDefault="00B42EF3">
            <w:pPr>
              <w:pStyle w:val="TableBodyText"/>
            </w:pPr>
            <w:r>
              <w:t>0x32</w:t>
            </w:r>
          </w:p>
        </w:tc>
        <w:tc>
          <w:tcPr>
            <w:tcW w:w="0" w:type="auto"/>
            <w:vAlign w:val="center"/>
          </w:tcPr>
          <w:p w:rsidR="005F78FC" w:rsidRDefault="00B42EF3">
            <w:pPr>
              <w:pStyle w:val="TableBodyText"/>
            </w:pPr>
            <w:r>
              <w:t>VARIABLE PITCH + MODERN FONT FAMILY</w:t>
            </w:r>
          </w:p>
        </w:tc>
      </w:tr>
      <w:tr w:rsidR="005F78FC" w:rsidTr="005F78FC">
        <w:tc>
          <w:tcPr>
            <w:tcW w:w="0" w:type="auto"/>
            <w:vAlign w:val="center"/>
          </w:tcPr>
          <w:p w:rsidR="005F78FC" w:rsidRDefault="00B42EF3">
            <w:pPr>
              <w:pStyle w:val="TableBodyText"/>
            </w:pPr>
            <w:r>
              <w:t>0x40</w:t>
            </w:r>
          </w:p>
        </w:tc>
        <w:tc>
          <w:tcPr>
            <w:tcW w:w="0" w:type="auto"/>
            <w:vAlign w:val="center"/>
          </w:tcPr>
          <w:p w:rsidR="005F78FC" w:rsidRDefault="00B42EF3">
            <w:pPr>
              <w:pStyle w:val="TableBodyText"/>
            </w:pPr>
            <w:r>
              <w:t>DEFAULT PITCH + SCRIPT FONT FAMILY</w:t>
            </w:r>
          </w:p>
        </w:tc>
      </w:tr>
      <w:tr w:rsidR="005F78FC" w:rsidTr="005F78FC">
        <w:tc>
          <w:tcPr>
            <w:tcW w:w="0" w:type="auto"/>
            <w:vAlign w:val="center"/>
          </w:tcPr>
          <w:p w:rsidR="005F78FC" w:rsidRDefault="00B42EF3">
            <w:pPr>
              <w:pStyle w:val="TableBodyText"/>
            </w:pPr>
            <w:r>
              <w:t>0x41</w:t>
            </w:r>
          </w:p>
        </w:tc>
        <w:tc>
          <w:tcPr>
            <w:tcW w:w="0" w:type="auto"/>
            <w:vAlign w:val="center"/>
          </w:tcPr>
          <w:p w:rsidR="005F78FC" w:rsidRDefault="00B42EF3">
            <w:pPr>
              <w:pStyle w:val="TableBodyText"/>
            </w:pPr>
            <w:r>
              <w:t>FIXED PITCH + SCRIPT FONT FAMILY</w:t>
            </w:r>
          </w:p>
        </w:tc>
      </w:tr>
      <w:tr w:rsidR="005F78FC" w:rsidTr="005F78FC">
        <w:tc>
          <w:tcPr>
            <w:tcW w:w="0" w:type="auto"/>
            <w:vAlign w:val="center"/>
          </w:tcPr>
          <w:p w:rsidR="005F78FC" w:rsidRDefault="00B42EF3">
            <w:pPr>
              <w:pStyle w:val="TableBodyText"/>
            </w:pPr>
            <w:r>
              <w:t>0x42</w:t>
            </w:r>
          </w:p>
        </w:tc>
        <w:tc>
          <w:tcPr>
            <w:tcW w:w="0" w:type="auto"/>
            <w:vAlign w:val="center"/>
          </w:tcPr>
          <w:p w:rsidR="005F78FC" w:rsidRDefault="00B42EF3">
            <w:pPr>
              <w:pStyle w:val="TableBodyText"/>
            </w:pPr>
            <w:r>
              <w:t>VARIABLE PITCH + SCRIPT FONT FAMILY</w:t>
            </w:r>
          </w:p>
        </w:tc>
      </w:tr>
      <w:tr w:rsidR="005F78FC" w:rsidTr="005F78FC">
        <w:tc>
          <w:tcPr>
            <w:tcW w:w="0" w:type="auto"/>
            <w:vAlign w:val="center"/>
          </w:tcPr>
          <w:p w:rsidR="005F78FC" w:rsidRDefault="00B42EF3">
            <w:pPr>
              <w:pStyle w:val="TableBodyText"/>
            </w:pPr>
            <w:r>
              <w:t>0x50</w:t>
            </w:r>
          </w:p>
        </w:tc>
        <w:tc>
          <w:tcPr>
            <w:tcW w:w="0" w:type="auto"/>
            <w:vAlign w:val="center"/>
          </w:tcPr>
          <w:p w:rsidR="005F78FC" w:rsidRDefault="00B42EF3">
            <w:pPr>
              <w:pStyle w:val="TableBodyText"/>
            </w:pPr>
            <w:r>
              <w:t>DEFAULT PITCH + DECORATIVE FONT FAMILY</w:t>
            </w:r>
          </w:p>
        </w:tc>
      </w:tr>
      <w:tr w:rsidR="005F78FC" w:rsidTr="005F78FC">
        <w:tc>
          <w:tcPr>
            <w:tcW w:w="0" w:type="auto"/>
            <w:vAlign w:val="center"/>
          </w:tcPr>
          <w:p w:rsidR="005F78FC" w:rsidRDefault="00B42EF3">
            <w:pPr>
              <w:pStyle w:val="TableBodyText"/>
            </w:pPr>
            <w:r>
              <w:t>0x51</w:t>
            </w:r>
          </w:p>
        </w:tc>
        <w:tc>
          <w:tcPr>
            <w:tcW w:w="0" w:type="auto"/>
            <w:vAlign w:val="center"/>
          </w:tcPr>
          <w:p w:rsidR="005F78FC" w:rsidRDefault="00B42EF3">
            <w:pPr>
              <w:pStyle w:val="TableBodyText"/>
            </w:pPr>
            <w:r>
              <w:t>FIXED PITCH + DECORATIVE FONT FAMILY</w:t>
            </w:r>
          </w:p>
        </w:tc>
      </w:tr>
      <w:tr w:rsidR="005F78FC" w:rsidTr="005F78FC">
        <w:tc>
          <w:tcPr>
            <w:tcW w:w="0" w:type="auto"/>
            <w:vAlign w:val="center"/>
          </w:tcPr>
          <w:p w:rsidR="005F78FC" w:rsidRDefault="00B42EF3">
            <w:pPr>
              <w:pStyle w:val="TableBodyText"/>
            </w:pPr>
            <w:r>
              <w:t>0x52</w:t>
            </w:r>
          </w:p>
        </w:tc>
        <w:tc>
          <w:tcPr>
            <w:tcW w:w="0" w:type="auto"/>
            <w:vAlign w:val="center"/>
          </w:tcPr>
          <w:p w:rsidR="005F78FC" w:rsidRDefault="00B42EF3">
            <w:pPr>
              <w:pStyle w:val="TableBodyText"/>
            </w:pPr>
            <w:r>
              <w:t>VARIABLE PITCH + DECORATIVE FONT FAMILY</w:t>
            </w:r>
          </w:p>
        </w:tc>
      </w:tr>
    </w:tbl>
    <w:p w:rsidR="005F78FC" w:rsidRDefault="005F78FC"/>
    <w:p w:rsidR="005F78FC" w:rsidRDefault="00B42EF3">
      <w:r>
        <w:t>This information is determined by querying the font when present and shall not be modified when the font is not availabl</w:t>
      </w:r>
      <w:r>
        <w:t>e. This information may be used in font substitution logic to locate an appropriate substitute font when this font is not available.</w:t>
      </w:r>
    </w:p>
    <w:p w:rsidR="005F78FC" w:rsidRDefault="00B42EF3">
      <w:pPr>
        <w:pStyle w:val="Definition-Field"/>
      </w:pPr>
      <w:r>
        <w:t xml:space="preserve">d.   </w:t>
      </w:r>
      <w:r>
        <w:rPr>
          <w:i/>
        </w:rPr>
        <w:t xml:space="preserve">The standard states that the typeface attribute of the buFont, cs, ea, font, latin and sym elements specifies the </w:t>
      </w:r>
      <w:r>
        <w:rPr>
          <w:i/>
        </w:rPr>
        <w:t>typeface of the font to be used for a bullet.</w:t>
      </w:r>
    </w:p>
    <w:p w:rsidR="005F78FC" w:rsidRDefault="00B42EF3">
      <w:pPr>
        <w:pStyle w:val="Definition-Field2"/>
      </w:pPr>
      <w:r>
        <w:t>Office uses this typeface attribute for all text when a typeface is available, and uses font substitution logic when the typeface is not available.</w:t>
      </w:r>
    </w:p>
    <w:p w:rsidR="005F78FC" w:rsidRDefault="00B42EF3">
      <w:pPr>
        <w:pStyle w:val="Heading3"/>
      </w:pPr>
      <w:bookmarkStart w:id="2806" w:name="section_a58bef0cc9b542ca9bb3ebd6657a1a94"/>
      <w:bookmarkStart w:id="2807" w:name="_Toc69879176"/>
      <w:r>
        <w:t>Part 1 Section 21.1.2.3.8, r (Text Run)</w:t>
      </w:r>
      <w:bookmarkEnd w:id="2806"/>
      <w:bookmarkEnd w:id="2807"/>
      <w:r>
        <w:fldChar w:fldCharType="begin"/>
      </w:r>
      <w:r>
        <w:instrText xml:space="preserve"> XE "r (Text Run)" </w:instrText>
      </w:r>
      <w:r>
        <w:fldChar w:fldCharType="end"/>
      </w:r>
    </w:p>
    <w:p w:rsidR="005F78FC" w:rsidRDefault="00B42EF3">
      <w:pPr>
        <w:pStyle w:val="Definition-Field"/>
      </w:pPr>
      <w:r>
        <w:t>a</w:t>
      </w:r>
      <w:r>
        <w:t xml:space="preserve">.   </w:t>
      </w:r>
      <w:r>
        <w:rPr>
          <w:i/>
        </w:rPr>
        <w:t>The standard states that if no text run properties are specified, then properties in the defRPr element are used.</w:t>
      </w:r>
    </w:p>
    <w:p w:rsidR="005F78FC" w:rsidRDefault="00B42EF3">
      <w:pPr>
        <w:pStyle w:val="Definition-Field2"/>
      </w:pPr>
      <w:r>
        <w:lastRenderedPageBreak/>
        <w:t>In Office, if no text run properties are specified, then properties will be assigned values as described in child element rPr (Text Run Pr</w:t>
      </w:r>
      <w:r>
        <w:t>operties).</w:t>
      </w:r>
    </w:p>
    <w:p w:rsidR="005F78FC" w:rsidRDefault="00B42EF3">
      <w:pPr>
        <w:pStyle w:val="Heading3"/>
      </w:pPr>
      <w:bookmarkStart w:id="2808" w:name="section_953e072cf2344373b0173f1f71eac93b"/>
      <w:bookmarkStart w:id="2809" w:name="_Toc69879177"/>
      <w:r>
        <w:t>Part 1 Section 21.1.2.3.9, rPr (Text Run Properties)</w:t>
      </w:r>
      <w:bookmarkEnd w:id="2808"/>
      <w:bookmarkEnd w:id="2809"/>
      <w:r>
        <w:fldChar w:fldCharType="begin"/>
      </w:r>
      <w:r>
        <w:instrText xml:space="preserve"> XE "rPr (Text Run Properties)" </w:instrText>
      </w:r>
      <w:r>
        <w:fldChar w:fldCharType="end"/>
      </w:r>
    </w:p>
    <w:p w:rsidR="005F78FC" w:rsidRDefault="00B42EF3">
      <w:pPr>
        <w:pStyle w:val="Definition-Field"/>
      </w:pPr>
      <w:r>
        <w:t xml:space="preserve">a.   </w:t>
      </w:r>
      <w:r>
        <w:rPr>
          <w:i/>
        </w:rPr>
        <w:t>The standard specifies a default kerning for fonts down to a 0 point for the kern attribute of the rPr, defRpr and endParaRPr elements.</w:t>
      </w:r>
    </w:p>
    <w:p w:rsidR="005F78FC" w:rsidRDefault="00B42EF3">
      <w:pPr>
        <w:pStyle w:val="Definition-Field2"/>
      </w:pPr>
      <w:r>
        <w:t xml:space="preserve">Office uses a </w:t>
      </w:r>
      <w:r>
        <w:t>default value of no kerning if the kern attribute is not specified.</w:t>
      </w:r>
    </w:p>
    <w:p w:rsidR="005F78FC" w:rsidRDefault="00B42EF3">
      <w:pPr>
        <w:pStyle w:val="Definition-Field"/>
      </w:pPr>
      <w:r>
        <w:t xml:space="preserve">b.   </w:t>
      </w:r>
      <w:r>
        <w:rPr>
          <w:i/>
        </w:rPr>
        <w:t>The standard states that the smtClean attribute of the rPr, defRpr and endParaRPr elements has a default value of 0 or false.</w:t>
      </w:r>
    </w:p>
    <w:p w:rsidR="005F78FC" w:rsidRDefault="00B42EF3">
      <w:pPr>
        <w:pStyle w:val="Definition-Field2"/>
      </w:pPr>
      <w:r>
        <w:t xml:space="preserve">In Office, the smtClean attribute of the rPr, defRpr and </w:t>
      </w:r>
      <w:r>
        <w:t>endParaRPr elements has a default value of true.</w:t>
      </w:r>
    </w:p>
    <w:p w:rsidR="005F78FC" w:rsidRDefault="00B42EF3">
      <w:pPr>
        <w:pStyle w:val="Definition-Field"/>
      </w:pPr>
      <w:r>
        <w:t xml:space="preserve">c.   </w:t>
      </w:r>
      <w:r>
        <w:rPr>
          <w:i/>
        </w:rPr>
        <w:t>The standard does not fully describe the process for resolving missing attribute values.</w:t>
      </w:r>
    </w:p>
    <w:p w:rsidR="005F78FC" w:rsidRDefault="00B42EF3">
      <w:r>
        <w:t>In Office, attributes not specified explicitly within this element shall have their values determined by inherita</w:t>
      </w:r>
      <w:r>
        <w:t>nce. Attribute values will be resolved using an applicable ancestor element of the same type as this element. The inheritance order in which another applicable attribute value shall be applied is as follows:</w:t>
      </w:r>
    </w:p>
    <w:p w:rsidR="005F78FC" w:rsidRDefault="00B42EF3">
      <w:r>
        <w:t>A corresponding ancestor element which is a chil</w:t>
      </w:r>
      <w:r>
        <w:t>d element of the lstStyle element ("</w:t>
      </w:r>
      <w:hyperlink r:id="rId207">
        <w:r>
          <w:rPr>
            <w:rStyle w:val="Hyperlink"/>
          </w:rPr>
          <w:t>[ISO/IEC-29500-1]</w:t>
        </w:r>
      </w:hyperlink>
      <w:r>
        <w:t xml:space="preserve"> §21.1.2.4.12; lstStyle") contained within the same package part as the text to which it applies that also has a matching paragraph level</w:t>
      </w:r>
      <w:r>
        <w:t xml:space="preserve"> value.</w:t>
      </w:r>
    </w:p>
    <w:p w:rsidR="005F78FC" w:rsidRDefault="00B42EF3">
      <w:r>
        <w:t>A corresponding ancestor element which is a child element of the lstStyle element ("[ISO/IEC-29500-1] §21.1.2.4.12; lstStyle") contained within the theme element ("[ISO/IEC-29500-1] §20.1.6.9; theme").</w:t>
      </w:r>
    </w:p>
    <w:p w:rsidR="005F78FC" w:rsidRDefault="00B42EF3">
      <w:r>
        <w:t>If the value of an attribute is not determined</w:t>
      </w:r>
      <w:r>
        <w:t xml:space="preserve"> via this process, the default value specified within this element shall be used.</w:t>
      </w:r>
    </w:p>
    <w:p w:rsidR="005F78FC" w:rsidRDefault="00B42EF3">
      <w:r>
        <w:t>PowerPoint uses a corresponding child element which is contained within the corresponding sldMaster element ("[ISO/IEC-29500-1] §19.3.1.42; sldMaster") if the value of an att</w:t>
      </w:r>
      <w:r>
        <w:t>ribute is not determined by this inheritance order. If the corresponding sldMaster element ("[ISO/IEC-29500-1] §19.3.1.42; sldMaster") does not specify the value of the attribute and the value was not determined from the inheritance order, then the default</w:t>
      </w:r>
      <w:r>
        <w:t xml:space="preserve"> value specified within this element shall be used.</w:t>
      </w:r>
    </w:p>
    <w:p w:rsidR="005F78FC" w:rsidRDefault="00B42EF3">
      <w:pPr>
        <w:pStyle w:val="Definition-Field"/>
      </w:pPr>
      <w:r>
        <w:t xml:space="preserve">d.   </w:t>
      </w:r>
      <w:r>
        <w:rPr>
          <w:i/>
        </w:rPr>
        <w:t>The standard does not specify usage with negative versus positive values or a default value for the baseline attribute of the rPr, defRPr and endParaRpr elements.</w:t>
      </w:r>
    </w:p>
    <w:p w:rsidR="005F78FC" w:rsidRDefault="00B42EF3">
      <w:pPr>
        <w:pStyle w:val="Definition-Field2"/>
      </w:pPr>
      <w:r>
        <w:t>Office uses negative attribute value</w:t>
      </w:r>
      <w:r>
        <w:t>s for subscript text, positive values for superscript text and a default value of 0.</w:t>
      </w:r>
    </w:p>
    <w:p w:rsidR="005F78FC" w:rsidRDefault="00B42EF3">
      <w:pPr>
        <w:pStyle w:val="Definition-Field"/>
      </w:pPr>
      <w:r>
        <w:t xml:space="preserve">e.   </w:t>
      </w:r>
      <w:r>
        <w:rPr>
          <w:i/>
        </w:rPr>
        <w:t>The standard states that the sz attribute of the rPr, defRpr and endParaRPr elements retrieve its default value from the defRpr element.</w:t>
      </w:r>
    </w:p>
    <w:p w:rsidR="005F78FC" w:rsidRDefault="00B42EF3">
      <w:pPr>
        <w:pStyle w:val="Definition-Field2"/>
      </w:pPr>
      <w:r>
        <w:t>Office uses a default value o</w:t>
      </w:r>
      <w:r>
        <w:t>f 1800 for this attribute.</w:t>
      </w:r>
    </w:p>
    <w:p w:rsidR="005F78FC" w:rsidRDefault="00B42EF3">
      <w:pPr>
        <w:pStyle w:val="Definition-Field"/>
      </w:pPr>
      <w:r>
        <w:t xml:space="preserve">f.   </w:t>
      </w:r>
      <w:r>
        <w:rPr>
          <w:i/>
        </w:rPr>
        <w:t>The standard does not specify a default value for the noProof attribute of the rPr, defRpr and endParaRPr elements.</w:t>
      </w:r>
    </w:p>
    <w:p w:rsidR="005F78FC" w:rsidRDefault="00B42EF3">
      <w:pPr>
        <w:pStyle w:val="Definition-Field2"/>
      </w:pPr>
      <w:r>
        <w:t>Office uses a default value of 0, or false, for this attribute.</w:t>
      </w:r>
    </w:p>
    <w:p w:rsidR="005F78FC" w:rsidRDefault="00B42EF3">
      <w:pPr>
        <w:pStyle w:val="Definition-Field"/>
      </w:pPr>
      <w:r>
        <w:t xml:space="preserve">g.   </w:t>
      </w:r>
      <w:r>
        <w:rPr>
          <w:i/>
        </w:rPr>
        <w:t>The standard does not specify a default</w:t>
      </w:r>
      <w:r>
        <w:rPr>
          <w:i/>
        </w:rPr>
        <w:t xml:space="preserve"> value for the cap attribute of the rPr, defRpr and endParaRPr elements.</w:t>
      </w:r>
    </w:p>
    <w:p w:rsidR="005F78FC" w:rsidRDefault="00B42EF3">
      <w:pPr>
        <w:pStyle w:val="Definition-Field2"/>
      </w:pPr>
      <w:r>
        <w:t>Office uses a default value of none for this attribute.</w:t>
      </w:r>
    </w:p>
    <w:p w:rsidR="005F78FC" w:rsidRDefault="00B42EF3">
      <w:pPr>
        <w:pStyle w:val="Heading3"/>
      </w:pPr>
      <w:bookmarkStart w:id="2810" w:name="section_2fc70eb8232c4820944943baa12fe65f"/>
      <w:bookmarkStart w:id="2811" w:name="_Toc69879178"/>
      <w:r>
        <w:lastRenderedPageBreak/>
        <w:t>Part 1 Section 21.1.2.3.10, sym (Symbol Font)</w:t>
      </w:r>
      <w:bookmarkEnd w:id="2810"/>
      <w:bookmarkEnd w:id="2811"/>
      <w:r>
        <w:fldChar w:fldCharType="begin"/>
      </w:r>
      <w:r>
        <w:instrText xml:space="preserve"> XE "sym (Symbol Font)" </w:instrText>
      </w:r>
      <w:r>
        <w:fldChar w:fldCharType="end"/>
      </w:r>
    </w:p>
    <w:p w:rsidR="005F78FC" w:rsidRDefault="00B42EF3">
      <w:pPr>
        <w:pStyle w:val="Definition-Field2"/>
      </w:pPr>
      <w:r>
        <w:rPr>
          <w:i/>
        </w:rPr>
        <w:t xml:space="preserve">For additional notes that apply to this portion of the </w:t>
      </w:r>
      <w:r>
        <w:rPr>
          <w:i/>
        </w:rPr>
        <w:t xml:space="preserve">standard, please see the notes for </w:t>
      </w:r>
      <w:hyperlink w:anchor="Section_e6784cb715474ee5addc730cac8b4d00">
        <w:r>
          <w:rPr>
            <w:rStyle w:val="Hyperlink"/>
          </w:rPr>
          <w:t>latin, §21.1.2.3.7(a-d)</w:t>
        </w:r>
      </w:hyperlink>
      <w:r>
        <w:rPr>
          <w:i/>
        </w:rPr>
        <w:t>.</w:t>
      </w:r>
    </w:p>
    <w:p w:rsidR="005F78FC" w:rsidRDefault="00B42EF3">
      <w:pPr>
        <w:pStyle w:val="Heading3"/>
      </w:pPr>
      <w:bookmarkStart w:id="2812" w:name="section_57a29393712e406eaeaab5e186027a2d"/>
      <w:bookmarkStart w:id="2813" w:name="_Toc69879179"/>
      <w:r>
        <w:t>Part 1 Section 21.1.2.3.13, uFillTx (Underline Fill Properties Follow Text)</w:t>
      </w:r>
      <w:bookmarkEnd w:id="2812"/>
      <w:bookmarkEnd w:id="2813"/>
      <w:r>
        <w:fldChar w:fldCharType="begin"/>
      </w:r>
      <w:r>
        <w:instrText xml:space="preserve"> XE "uFillTx (Underline Fill Properties Follow Text)" </w:instrText>
      </w:r>
      <w:r>
        <w:fldChar w:fldCharType="end"/>
      </w:r>
    </w:p>
    <w:p w:rsidR="005F78FC" w:rsidRDefault="00B42EF3">
      <w:pPr>
        <w:pStyle w:val="Definition-Field"/>
      </w:pPr>
      <w:r>
        <w:t>a</w:t>
      </w:r>
      <w:r>
        <w:t xml:space="preserve">.   </w:t>
      </w:r>
      <w:r>
        <w:rPr>
          <w:i/>
        </w:rPr>
        <w:t>The standard states that the uFillTx element specifies the fill color of an underline and should be the same color as the run of text within which it is contained.</w:t>
      </w:r>
    </w:p>
    <w:p w:rsidR="005F78FC" w:rsidRDefault="00B42EF3">
      <w:pPr>
        <w:pStyle w:val="Definition-Field2"/>
      </w:pPr>
      <w:r>
        <w:t>In Office, the uFillTx element specifies that the fill color and all other fill properti</w:t>
      </w:r>
      <w:r>
        <w:t>es of an underline are the same as the run of text within which it is contained.</w:t>
      </w:r>
    </w:p>
    <w:p w:rsidR="005F78FC" w:rsidRDefault="00B42EF3">
      <w:pPr>
        <w:pStyle w:val="Heading3"/>
      </w:pPr>
      <w:bookmarkStart w:id="2814" w:name="section_595d4ae635b74782bb498ffce58e85cf"/>
      <w:bookmarkStart w:id="2815" w:name="_Toc69879180"/>
      <w:r>
        <w:t>Part 1 Section 21.1.2.3.14, uLn (Underline Stroke)</w:t>
      </w:r>
      <w:bookmarkEnd w:id="2814"/>
      <w:bookmarkEnd w:id="2815"/>
      <w:r>
        <w:fldChar w:fldCharType="begin"/>
      </w:r>
      <w:r>
        <w:instrText xml:space="preserve"> XE "uLn (Underline Stroke)"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5F78FC" w:rsidRDefault="00B42EF3">
      <w:pPr>
        <w:pStyle w:val="Definition-Field"/>
      </w:pPr>
      <w:r>
        <w:t xml:space="preserve">a.   </w:t>
      </w:r>
      <w:r>
        <w:rPr>
          <w:i/>
        </w:rPr>
        <w:t>The standard allows for the specifying of the tailEnd child element, headEnd child element and cap attribute within the uLn element.</w:t>
      </w:r>
    </w:p>
    <w:p w:rsidR="005F78FC" w:rsidRDefault="00B42EF3">
      <w:pPr>
        <w:pStyle w:val="Definition-Field2"/>
      </w:pPr>
      <w:r>
        <w:t>Office does not use the tailEnd ch</w:t>
      </w:r>
      <w:r>
        <w:t>ild element, headEnd child element and cap attribute when the parent element is the rPr element.</w:t>
      </w:r>
    </w:p>
    <w:p w:rsidR="005F78FC" w:rsidRDefault="00B42EF3">
      <w:pPr>
        <w:pStyle w:val="Heading3"/>
      </w:pPr>
      <w:bookmarkStart w:id="2816" w:name="section_123e703d328a48d08dfa6f364e02e166"/>
      <w:bookmarkStart w:id="2817" w:name="_Toc69879181"/>
      <w:r>
        <w:t>Part 1 Section 21.1.2.4.6, buFont (Specified)</w:t>
      </w:r>
      <w:bookmarkEnd w:id="2816"/>
      <w:bookmarkEnd w:id="2817"/>
      <w:r>
        <w:fldChar w:fldCharType="begin"/>
      </w:r>
      <w:r>
        <w:instrText xml:space="preserve"> XE "buFont (Specified)"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e6784cb715474ee5addc730cac8b4d00">
        <w:r>
          <w:rPr>
            <w:rStyle w:val="Hyperlink"/>
          </w:rPr>
          <w:t>latin, §21.1.2.3.7(a-d)</w:t>
        </w:r>
      </w:hyperlink>
      <w:r>
        <w:rPr>
          <w:i/>
        </w:rPr>
        <w:t>.</w:t>
      </w:r>
    </w:p>
    <w:p w:rsidR="005F78FC" w:rsidRDefault="00B42EF3">
      <w:pPr>
        <w:pStyle w:val="Heading3"/>
      </w:pPr>
      <w:bookmarkStart w:id="2818" w:name="section_7d31ebc1a52e4e29975b99e32babe803"/>
      <w:bookmarkStart w:id="2819" w:name="_Toc69879182"/>
      <w:r>
        <w:t>Part 1 Section 21.1.2.4.9, buSzPct (Bullet Size Percentage)</w:t>
      </w:r>
      <w:bookmarkEnd w:id="2818"/>
      <w:bookmarkEnd w:id="2819"/>
      <w:r>
        <w:fldChar w:fldCharType="begin"/>
      </w:r>
      <w:r>
        <w:instrText xml:space="preserve"> XE "buSzPct (Bullet Size Percentage)" </w:instrText>
      </w:r>
      <w:r>
        <w:fldChar w:fldCharType="end"/>
      </w:r>
    </w:p>
    <w:p w:rsidR="005F78FC" w:rsidRDefault="00B42EF3">
      <w:pPr>
        <w:pStyle w:val="Definition-Field"/>
      </w:pPr>
      <w:r>
        <w:t xml:space="preserve">a.   </w:t>
      </w:r>
      <w:r>
        <w:rPr>
          <w:i/>
        </w:rPr>
        <w:t>The standard implies that the val attribute is optional.</w:t>
      </w:r>
    </w:p>
    <w:p w:rsidR="005F78FC" w:rsidRDefault="00B42EF3">
      <w:pPr>
        <w:pStyle w:val="Definition-Field2"/>
      </w:pPr>
      <w:r>
        <w:t>Office requires this attribute.</w:t>
      </w:r>
    </w:p>
    <w:p w:rsidR="005F78FC" w:rsidRDefault="00B42EF3">
      <w:pPr>
        <w:pStyle w:val="Heading3"/>
      </w:pPr>
      <w:bookmarkStart w:id="2820" w:name="section_1da3efd797b349a096ea8377e149177f"/>
      <w:bookmarkStart w:id="2821" w:name="_Toc69879183"/>
      <w:r>
        <w:t>Part 1 Section 21.1.2.4.10, buSzPts (Bullet Size Points)</w:t>
      </w:r>
      <w:bookmarkEnd w:id="2820"/>
      <w:bookmarkEnd w:id="2821"/>
      <w:r>
        <w:fldChar w:fldCharType="begin"/>
      </w:r>
      <w:r>
        <w:instrText xml:space="preserve"> XE "buSzPts (Bullet Size Points)" </w:instrText>
      </w:r>
      <w:r>
        <w:fldChar w:fldCharType="end"/>
      </w:r>
    </w:p>
    <w:p w:rsidR="005F78FC" w:rsidRDefault="00B42EF3">
      <w:pPr>
        <w:pStyle w:val="Definition-Field"/>
      </w:pPr>
      <w:r>
        <w:t xml:space="preserve">a.   </w:t>
      </w:r>
      <w:r>
        <w:rPr>
          <w:i/>
        </w:rPr>
        <w:t xml:space="preserve">The standard implies </w:t>
      </w:r>
      <w:r>
        <w:rPr>
          <w:i/>
        </w:rPr>
        <w:t>that the val attribute is optional.</w:t>
      </w:r>
    </w:p>
    <w:p w:rsidR="005F78FC" w:rsidRDefault="00B42EF3">
      <w:pPr>
        <w:pStyle w:val="Definition-Field2"/>
      </w:pPr>
      <w:r>
        <w:t>Office requires this attribute.</w:t>
      </w:r>
    </w:p>
    <w:p w:rsidR="005F78FC" w:rsidRDefault="00B42EF3">
      <w:pPr>
        <w:pStyle w:val="Heading3"/>
      </w:pPr>
      <w:bookmarkStart w:id="2822" w:name="section_9b34280e538e48118af9761d34f88f20"/>
      <w:bookmarkStart w:id="2823" w:name="_Toc69879184"/>
      <w:r>
        <w:t>Part 1 Section 21.1.2.4.13, lvl1pPr (List Level 1 Text Style)</w:t>
      </w:r>
      <w:bookmarkEnd w:id="2822"/>
      <w:bookmarkEnd w:id="2823"/>
      <w:r>
        <w:fldChar w:fldCharType="begin"/>
      </w:r>
      <w:r>
        <w:instrText xml:space="preserve"> XE "lvl1pPr (List Level 1 Text Style)" </w:instrText>
      </w:r>
      <w:r>
        <w:fldChar w:fldCharType="end"/>
      </w:r>
    </w:p>
    <w:p w:rsidR="005F78FC" w:rsidRDefault="00B42EF3">
      <w:pPr>
        <w:pStyle w:val="Definition-Field"/>
      </w:pPr>
      <w:r>
        <w:t xml:space="preserve">a.   </w:t>
      </w:r>
      <w:r>
        <w:rPr>
          <w:i/>
        </w:rPr>
        <w:t>The standard implies a default value of 347663 for the marL attribute of the pP</w:t>
      </w:r>
      <w:r>
        <w:rPr>
          <w:i/>
        </w:rPr>
        <w:t>r, lvl1pPr, lvl2pPr, lvl3pPr, lvl4pPr, lvl5pPr, lvl6pPr, lvl7pPr, lvl8pPr, lvl9pPr and defpPr elements.</w:t>
      </w:r>
    </w:p>
    <w:p w:rsidR="005F78FC" w:rsidRDefault="00B42EF3">
      <w:pPr>
        <w:pStyle w:val="Definition-Field2"/>
      </w:pPr>
      <w:r>
        <w:t>Office uses a default value of 0 for the marL attribute.</w:t>
      </w:r>
    </w:p>
    <w:p w:rsidR="005F78FC" w:rsidRDefault="00B42EF3">
      <w:pPr>
        <w:pStyle w:val="Definition-Field"/>
      </w:pPr>
      <w:r>
        <w:t xml:space="preserve">b.   </w:t>
      </w:r>
      <w:r>
        <w:rPr>
          <w:i/>
        </w:rPr>
        <w:t>The standard states that the lvl attribute of the pPr, lvl1pPr, lvl2pPr, lvl3pPr, lvl4pPr,</w:t>
      </w:r>
      <w:r>
        <w:rPr>
          <w:i/>
        </w:rPr>
        <w:t xml:space="preserve"> lvl5pPr, lvl6pPr, lvl7pPr, lvl8pPr, lvl9pPr and defpPr elements specifies the text property level that the corresponding paragraph will follow.</w:t>
      </w:r>
    </w:p>
    <w:p w:rsidR="005F78FC" w:rsidRDefault="00B42EF3">
      <w:pPr>
        <w:pStyle w:val="Definition-Field2"/>
      </w:pPr>
      <w:r>
        <w:t>Office does not use the lvl attribute if it is specified within the lvl1pPr, lvl2pPr, lvl3pPr, lvl4pPr, lvl5pPr</w:t>
      </w:r>
      <w:r>
        <w:t>, lvl6pPr, lvl7pPr, lvl8pPr, or lvl9pPr elements.</w:t>
      </w:r>
    </w:p>
    <w:p w:rsidR="005F78FC" w:rsidRDefault="00B42EF3">
      <w:pPr>
        <w:pStyle w:val="Definition-Field"/>
      </w:pPr>
      <w:r>
        <w:lastRenderedPageBreak/>
        <w:t xml:space="preserve">c.   </w:t>
      </w:r>
      <w:r>
        <w:rPr>
          <w:i/>
        </w:rPr>
        <w:t>The standard describes the use of a hyphen when a word is broken across multiple lines for the eaLnBrk attribute of the pPr, lvl1pPr, lvl2pPr, lvl3pPr, lvl4pPr, lvl5pPr, lvl6pPr, lvl7pPr, lvl8pPr, lvl9</w:t>
      </w:r>
      <w:r>
        <w:rPr>
          <w:i/>
        </w:rPr>
        <w:t>pPr and defpPr elements.</w:t>
      </w:r>
    </w:p>
    <w:p w:rsidR="005F78FC" w:rsidRDefault="00B42EF3">
      <w:r>
        <w:t>In Office, the eaLnBrk attribute specifies whether East Asian typography and line-breaking rules shall be applied to text in a paragraph to determine which characters may begin and end each line when lines get too long.  To determi</w:t>
      </w:r>
      <w:r>
        <w:t xml:space="preserve">ne whether an East Asian word can be broken, the presentation application would use the kinsoku settings. If this attribute is omitted, then a value of </w:t>
      </w:r>
      <w:r>
        <w:rPr>
          <w:b/>
        </w:rPr>
        <w:t>1</w:t>
      </w:r>
      <w:r>
        <w:t>, or true, is implied.</w:t>
      </w:r>
    </w:p>
    <w:p w:rsidR="005F78FC" w:rsidRDefault="00B42EF3">
      <w:pPr>
        <w:pStyle w:val="Definition-Field"/>
      </w:pPr>
      <w:r>
        <w:t xml:space="preserve">d.   </w:t>
      </w:r>
      <w:r>
        <w:rPr>
          <w:i/>
        </w:rPr>
        <w:t>The standard implies a default value of 0 or false for the hangingPunct att</w:t>
      </w:r>
      <w:r>
        <w:rPr>
          <w:i/>
        </w:rPr>
        <w:t>ribute of the pPr, lvl1pPr, lvl2pPr, lvl3pPr, lvl4pPr, lvl5pPr, lvl6pPr, lvl7pPr, lvl8pPr, lvl9pPr and defpPr elements.</w:t>
      </w:r>
    </w:p>
    <w:p w:rsidR="005F78FC" w:rsidRDefault="00B42EF3">
      <w:pPr>
        <w:pStyle w:val="Definition-Field2"/>
      </w:pPr>
      <w:r>
        <w:t>Office uses a default value of 1, or true, for the hangingPunct attribute.</w:t>
      </w:r>
    </w:p>
    <w:p w:rsidR="005F78FC" w:rsidRDefault="00B42EF3">
      <w:pPr>
        <w:pStyle w:val="Definition-Field"/>
      </w:pPr>
      <w:r>
        <w:t xml:space="preserve">e.   </w:t>
      </w:r>
      <w:r>
        <w:rPr>
          <w:i/>
        </w:rPr>
        <w:t>The standard specifies no default value for the defTabSz</w:t>
      </w:r>
      <w:r>
        <w:rPr>
          <w:i/>
        </w:rPr>
        <w:t xml:space="preserve"> attribute of the pPr, lvl1pPr, lvl2pPr, lvl3pPr, lvl4pPr, lvl5pPr, lv61pPr, lvl7pPr, lvl8pPr, lvl9pPr and defpPr elements.</w:t>
      </w:r>
    </w:p>
    <w:p w:rsidR="005F78FC" w:rsidRDefault="00B42EF3">
      <w:pPr>
        <w:pStyle w:val="Definition-Field2"/>
      </w:pPr>
      <w:r>
        <w:t>Office uses a default value of 914400 EMUs.</w:t>
      </w:r>
    </w:p>
    <w:p w:rsidR="005F78FC" w:rsidRDefault="00B42EF3">
      <w:pPr>
        <w:pStyle w:val="Definition-Field"/>
      </w:pPr>
      <w:r>
        <w:t xml:space="preserve">f.   </w:t>
      </w:r>
      <w:r>
        <w:rPr>
          <w:i/>
        </w:rPr>
        <w:t>The standard implies a default value of -342900 for the indent attribute of the pPr</w:t>
      </w:r>
      <w:r>
        <w:rPr>
          <w:i/>
        </w:rPr>
        <w:t>, lvl1pPr, lvl2pPr, lvl3pPr, lvl4pPr, lvl5pPr, lvl6pPr, lvl7pPr, lvl8pPr, lvl9pPr and defpPr elements.</w:t>
      </w:r>
    </w:p>
    <w:p w:rsidR="005F78FC" w:rsidRDefault="00B42EF3">
      <w:pPr>
        <w:pStyle w:val="Definition-Field2"/>
      </w:pPr>
      <w:r>
        <w:t>Office uses a default value of 0 for the indent attribute.</w:t>
      </w:r>
    </w:p>
    <w:p w:rsidR="005F78FC" w:rsidRDefault="00B42EF3">
      <w:pPr>
        <w:pStyle w:val="Definition-Field"/>
      </w:pPr>
      <w:r>
        <w:t xml:space="preserve">g.   </w:t>
      </w:r>
      <w:r>
        <w:rPr>
          <w:i/>
        </w:rPr>
        <w:t>The standard implies a default value of 1 or true for the latinLnBrk attribute of the pPr</w:t>
      </w:r>
      <w:r>
        <w:rPr>
          <w:i/>
        </w:rPr>
        <w:t>, lvl1pPr, lvl2pPr, lvl3pPr, lvl4pPr, lvl5pPr, lvl6pPr, lvl7pPr, lvl8pPr, lvl9pPr and defpPr elements.</w:t>
      </w:r>
    </w:p>
    <w:p w:rsidR="005F78FC" w:rsidRDefault="00B42EF3">
      <w:pPr>
        <w:pStyle w:val="Definition-Field2"/>
      </w:pPr>
      <w:r>
        <w:t>Office uses a default value of 0, or false, for the latinLnBrk attribute.</w:t>
      </w:r>
    </w:p>
    <w:p w:rsidR="005F78FC" w:rsidRDefault="00B42EF3">
      <w:pPr>
        <w:pStyle w:val="Heading3"/>
      </w:pPr>
      <w:bookmarkStart w:id="2824" w:name="section_b38501622477401f850f1df6753a0f6a"/>
      <w:bookmarkStart w:id="2825" w:name="_Toc69879185"/>
      <w:r>
        <w:t>Part 1 Section 21.1.2.4.14, lvl2pPr (List Level 2 Text Style)</w:t>
      </w:r>
      <w:bookmarkEnd w:id="2824"/>
      <w:bookmarkEnd w:id="2825"/>
      <w:r>
        <w:fldChar w:fldCharType="begin"/>
      </w:r>
      <w:r>
        <w:instrText xml:space="preserve"> XE "lvl2pPr (List</w:instrText>
      </w:r>
      <w:r>
        <w:instrText xml:space="preserve"> Level 2 Text Style)"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5F78FC" w:rsidRDefault="00B42EF3">
      <w:pPr>
        <w:pStyle w:val="Heading3"/>
      </w:pPr>
      <w:bookmarkStart w:id="2826" w:name="section_d4a8333066814a558325a854e9678e28"/>
      <w:bookmarkStart w:id="2827" w:name="_Toc69879186"/>
      <w:r>
        <w:t xml:space="preserve">Part 1 Section 21.1.2.4.15, lvl3pPr (List Level 3 </w:t>
      </w:r>
      <w:r>
        <w:t>Text Style)</w:t>
      </w:r>
      <w:bookmarkEnd w:id="2826"/>
      <w:bookmarkEnd w:id="2827"/>
      <w:r>
        <w:fldChar w:fldCharType="begin"/>
      </w:r>
      <w:r>
        <w:instrText xml:space="preserve"> XE "lvl3pPr (List Level 3 Text Style)"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5F78FC" w:rsidRDefault="00B42EF3">
      <w:pPr>
        <w:pStyle w:val="Heading3"/>
      </w:pPr>
      <w:bookmarkStart w:id="2828" w:name="section_142246b5277945a4b8a49a03defc916a"/>
      <w:bookmarkStart w:id="2829" w:name="_Toc69879187"/>
      <w:r>
        <w:t>Part 1 Section 21.1.2</w:t>
      </w:r>
      <w:r>
        <w:t>.4.16, lvl4pPr (List Level 4 Text Style)</w:t>
      </w:r>
      <w:bookmarkEnd w:id="2828"/>
      <w:bookmarkEnd w:id="2829"/>
      <w:r>
        <w:fldChar w:fldCharType="begin"/>
      </w:r>
      <w:r>
        <w:instrText xml:space="preserve"> XE "lvl4pPr (List Level 4 Text Style)"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w:t>
        </w:r>
        <w:r>
          <w:rPr>
            <w:rStyle w:val="Hyperlink"/>
          </w:rPr>
          <w:t>3(a-g)</w:t>
        </w:r>
      </w:hyperlink>
      <w:r>
        <w:rPr>
          <w:i/>
        </w:rPr>
        <w:t>.</w:t>
      </w:r>
    </w:p>
    <w:p w:rsidR="005F78FC" w:rsidRDefault="00B42EF3">
      <w:pPr>
        <w:pStyle w:val="Heading3"/>
      </w:pPr>
      <w:bookmarkStart w:id="2830" w:name="section_e5ca15241c834a9689ad5c13442ac84e"/>
      <w:bookmarkStart w:id="2831" w:name="_Toc69879188"/>
      <w:r>
        <w:t>Part 1 Section 21.1.2.4.17, lvl5pPr (List Level 5 Text Style)</w:t>
      </w:r>
      <w:bookmarkEnd w:id="2830"/>
      <w:bookmarkEnd w:id="2831"/>
      <w:r>
        <w:fldChar w:fldCharType="begin"/>
      </w:r>
      <w:r>
        <w:instrText xml:space="preserve"> XE "lvl5pPr (List Level 5 Text Style)"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5F78FC" w:rsidRDefault="00B42EF3">
      <w:pPr>
        <w:pStyle w:val="Heading3"/>
      </w:pPr>
      <w:bookmarkStart w:id="2832" w:name="section_228bd71e50624343972ec687ef5c6c49"/>
      <w:bookmarkStart w:id="2833" w:name="_Toc69879189"/>
      <w:r>
        <w:t>Part 1 Section 21.1.2.4.18, lvl6pPr (List Level 6 Text Style)</w:t>
      </w:r>
      <w:bookmarkEnd w:id="2832"/>
      <w:bookmarkEnd w:id="2833"/>
      <w:r>
        <w:fldChar w:fldCharType="begin"/>
      </w:r>
      <w:r>
        <w:instrText xml:space="preserve"> XE "lvl6pPr (List Level 6 Text Style)" </w:instrText>
      </w:r>
      <w:r>
        <w:fldChar w:fldCharType="end"/>
      </w:r>
    </w:p>
    <w:p w:rsidR="005F78FC" w:rsidRDefault="00B42EF3">
      <w:pPr>
        <w:pStyle w:val="Definition-Field2"/>
      </w:pPr>
      <w:r>
        <w:rPr>
          <w:i/>
        </w:rPr>
        <w:t>For additional notes that apply to this portion of the standard</w:t>
      </w:r>
      <w:r>
        <w:rPr>
          <w:i/>
        </w:rPr>
        <w:t xml:space="preserve">, please see the notes for </w:t>
      </w:r>
      <w:hyperlink w:anchor="Section_9b34280e538e48118af9761d34f88f20">
        <w:r>
          <w:rPr>
            <w:rStyle w:val="Hyperlink"/>
          </w:rPr>
          <w:t>lvl1pPr, §21.1.2.4.13(a-g)</w:t>
        </w:r>
      </w:hyperlink>
      <w:r>
        <w:rPr>
          <w:i/>
        </w:rPr>
        <w:t>.</w:t>
      </w:r>
    </w:p>
    <w:p w:rsidR="005F78FC" w:rsidRDefault="00B42EF3">
      <w:pPr>
        <w:pStyle w:val="Heading3"/>
      </w:pPr>
      <w:bookmarkStart w:id="2834" w:name="section_c33ec6fdf6bf4c52bfcbf79c46f75940"/>
      <w:bookmarkStart w:id="2835" w:name="_Toc69879190"/>
      <w:r>
        <w:lastRenderedPageBreak/>
        <w:t>Part 1 Section 21.1.2.4.19, lvl7pPr (List Level 7 Text Style)</w:t>
      </w:r>
      <w:bookmarkEnd w:id="2834"/>
      <w:bookmarkEnd w:id="2835"/>
      <w:r>
        <w:fldChar w:fldCharType="begin"/>
      </w:r>
      <w:r>
        <w:instrText xml:space="preserve"> XE "lvl7pPr (List Level 7 Text Style)" </w:instrText>
      </w:r>
      <w:r>
        <w:fldChar w:fldCharType="end"/>
      </w:r>
    </w:p>
    <w:p w:rsidR="005F78FC" w:rsidRDefault="00B42EF3">
      <w:pPr>
        <w:pStyle w:val="Definition-Field2"/>
      </w:pPr>
      <w:r>
        <w:rPr>
          <w:i/>
        </w:rPr>
        <w:t>For additional notes that apply to</w:t>
      </w:r>
      <w:r>
        <w:rPr>
          <w:i/>
        </w:rPr>
        <w:t xml:space="preserve"> this portion of the standard, please see the notes for </w:t>
      </w:r>
      <w:hyperlink w:anchor="Section_9b34280e538e48118af9761d34f88f20">
        <w:r>
          <w:rPr>
            <w:rStyle w:val="Hyperlink"/>
          </w:rPr>
          <w:t>lvl1pPr, §21.1.2.4.13(a-g)</w:t>
        </w:r>
      </w:hyperlink>
      <w:r>
        <w:rPr>
          <w:i/>
        </w:rPr>
        <w:t>.</w:t>
      </w:r>
    </w:p>
    <w:p w:rsidR="005F78FC" w:rsidRDefault="00B42EF3">
      <w:pPr>
        <w:pStyle w:val="Heading3"/>
      </w:pPr>
      <w:bookmarkStart w:id="2836" w:name="section_fad8b55fc4384af283ae8d18980a3409"/>
      <w:bookmarkStart w:id="2837" w:name="_Toc69879191"/>
      <w:r>
        <w:t>Part 1 Section 21.1.2.4.20, lvl8pPr (List Level 8 Text Style)</w:t>
      </w:r>
      <w:bookmarkEnd w:id="2836"/>
      <w:bookmarkEnd w:id="2837"/>
      <w:r>
        <w:fldChar w:fldCharType="begin"/>
      </w:r>
      <w:r>
        <w:instrText xml:space="preserve"> XE "lvl8pPr (List Level 8 Text Style)" </w:instrText>
      </w:r>
      <w:r>
        <w:fldChar w:fldCharType="end"/>
      </w:r>
    </w:p>
    <w:p w:rsidR="005F78FC" w:rsidRDefault="00B42EF3">
      <w:pPr>
        <w:pStyle w:val="Definition-Field2"/>
      </w:pPr>
      <w:r>
        <w:rPr>
          <w:i/>
        </w:rPr>
        <w:t>For a</w:t>
      </w:r>
      <w:r>
        <w:rPr>
          <w:i/>
        </w:rPr>
        <w:t xml:space="preserve">dditional notes that apply to this portion of the standard, please see the notes for </w:t>
      </w:r>
      <w:hyperlink w:anchor="Section_9b34280e538e48118af9761d34f88f20">
        <w:r>
          <w:rPr>
            <w:rStyle w:val="Hyperlink"/>
          </w:rPr>
          <w:t>lvl1pPr, §21.1.2.4.13(a-g)</w:t>
        </w:r>
      </w:hyperlink>
      <w:r>
        <w:rPr>
          <w:i/>
        </w:rPr>
        <w:t>.</w:t>
      </w:r>
    </w:p>
    <w:p w:rsidR="005F78FC" w:rsidRDefault="00B42EF3">
      <w:pPr>
        <w:pStyle w:val="Heading3"/>
      </w:pPr>
      <w:bookmarkStart w:id="2838" w:name="section_07edd2dd19594af5b4464964a45d4168"/>
      <w:bookmarkStart w:id="2839" w:name="_Toc69879192"/>
      <w:r>
        <w:t>Part 1 Section 21.1.2.4.21, lvl9pPr (List Level 9 Text Style)</w:t>
      </w:r>
      <w:bookmarkEnd w:id="2838"/>
      <w:bookmarkEnd w:id="2839"/>
      <w:r>
        <w:fldChar w:fldCharType="begin"/>
      </w:r>
      <w:r>
        <w:instrText xml:space="preserve"> XE "lvl9pPr (List </w:instrText>
      </w:r>
      <w:r>
        <w:instrText xml:space="preserve">Level 9 Text Style)"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5F78FC" w:rsidRDefault="00B42EF3">
      <w:pPr>
        <w:pStyle w:val="Heading3"/>
      </w:pPr>
      <w:bookmarkStart w:id="2840" w:name="section_04b8093a565e4c3c93f6496fd8601311"/>
      <w:bookmarkStart w:id="2841" w:name="_Toc69879193"/>
      <w:r>
        <w:t>Part 1 Section 21.1.3.1, cell3D (Cell 3-D)</w:t>
      </w:r>
      <w:bookmarkEnd w:id="2840"/>
      <w:bookmarkEnd w:id="2841"/>
      <w:r>
        <w:fldChar w:fldCharType="begin"/>
      </w:r>
      <w:r>
        <w:instrText xml:space="preserve"> XE "cell</w:instrText>
      </w:r>
      <w:r>
        <w:instrText xml:space="preserve">3D (Cell 3-D)" </w:instrText>
      </w:r>
      <w:r>
        <w:fldChar w:fldCharType="end"/>
      </w:r>
    </w:p>
    <w:p w:rsidR="005F78FC" w:rsidRDefault="00B42EF3">
      <w:pPr>
        <w:pStyle w:val="Definition-Field"/>
      </w:pPr>
      <w:r>
        <w:t xml:space="preserve">a.   </w:t>
      </w:r>
      <w:r>
        <w:rPr>
          <w:i/>
        </w:rPr>
        <w:t>The standard states that the default value of the prstMaterial attribute is plastic.</w:t>
      </w:r>
    </w:p>
    <w:p w:rsidR="005F78FC" w:rsidRDefault="00B42EF3">
      <w:pPr>
        <w:pStyle w:val="Definition-Field2"/>
      </w:pPr>
      <w:r>
        <w:t>Office uses a default value of dkEdge for this attribute.</w:t>
      </w:r>
    </w:p>
    <w:p w:rsidR="005F78FC" w:rsidRDefault="00B42EF3">
      <w:pPr>
        <w:pStyle w:val="Definition-Field"/>
      </w:pPr>
      <w:r>
        <w:t xml:space="preserve">b.   </w:t>
      </w:r>
      <w:r>
        <w:rPr>
          <w:i/>
        </w:rPr>
        <w:t xml:space="preserve">The standard does not specify the default value for the rig attribute if no lightRig </w:t>
      </w:r>
      <w:r>
        <w:rPr>
          <w:i/>
        </w:rPr>
        <w:t>element is specified.</w:t>
      </w:r>
    </w:p>
    <w:p w:rsidR="005F78FC" w:rsidRDefault="00B42EF3">
      <w:pPr>
        <w:pStyle w:val="Definition-Field2"/>
      </w:pPr>
      <w:r>
        <w:t>Office uses "flood" for the rig attribute of lightRig in cell3D if no lightRig is specified.</w:t>
      </w:r>
    </w:p>
    <w:p w:rsidR="005F78FC" w:rsidRDefault="00B42EF3">
      <w:pPr>
        <w:pStyle w:val="Heading3"/>
      </w:pPr>
      <w:bookmarkStart w:id="2842" w:name="section_8de3b402ef354ebaac7fcae720425b2a"/>
      <w:bookmarkStart w:id="2843" w:name="_Toc69879194"/>
      <w:r>
        <w:t>Part 1 Section 21.1.3.2, gridCol (Table Grid Column)</w:t>
      </w:r>
      <w:bookmarkEnd w:id="2842"/>
      <w:bookmarkEnd w:id="2843"/>
      <w:r>
        <w:fldChar w:fldCharType="begin"/>
      </w:r>
      <w:r>
        <w:instrText xml:space="preserve"> XE "gridCol (Table Grid Column)" </w:instrText>
      </w:r>
      <w:r>
        <w:fldChar w:fldCharType="end"/>
      </w:r>
    </w:p>
    <w:p w:rsidR="005F78FC" w:rsidRDefault="00B42EF3">
      <w:pPr>
        <w:pStyle w:val="Definition-Field"/>
      </w:pPr>
      <w:r>
        <w:t xml:space="preserve">a.   </w:t>
      </w:r>
      <w:r>
        <w:rPr>
          <w:i/>
        </w:rPr>
        <w:t>The standard specifies that the w attribute def</w:t>
      </w:r>
      <w:r>
        <w:rPr>
          <w:i/>
        </w:rPr>
        <w:t>ines the width of the column in EMUs.</w:t>
      </w:r>
    </w:p>
    <w:p w:rsidR="005F78FC" w:rsidRDefault="00B42EF3">
      <w:pPr>
        <w:pStyle w:val="Definition-Field2"/>
      </w:pPr>
      <w:r>
        <w:t>In Office, the width of the column is equal to or greater than the sum of the marL and marR attributes of the tcPr element plus two points for each cell in the column. One point is equal to 12700 EMUs.</w:t>
      </w:r>
    </w:p>
    <w:p w:rsidR="005F78FC" w:rsidRDefault="00B42EF3">
      <w:pPr>
        <w:pStyle w:val="Heading3"/>
      </w:pPr>
      <w:bookmarkStart w:id="2844" w:name="section_083e148ba921420fa6d2d6d19f38e4bb"/>
      <w:bookmarkStart w:id="2845" w:name="_Toc69879195"/>
      <w:r>
        <w:t>Part 1 Section 2</w:t>
      </w:r>
      <w:r>
        <w:t>1.1.3.5, lnB (Bottom Border Line Properties)</w:t>
      </w:r>
      <w:bookmarkEnd w:id="2844"/>
      <w:bookmarkEnd w:id="2845"/>
      <w:r>
        <w:fldChar w:fldCharType="begin"/>
      </w:r>
      <w:r>
        <w:instrText xml:space="preserve"> XE "lnB (Bottom Border Line Properties)"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5564035f88ff4ab8bbfbd2998a83324d">
        <w:r>
          <w:rPr>
            <w:rStyle w:val="Hyperlink"/>
          </w:rPr>
          <w:t>ln, §20.1.2.2.</w:t>
        </w:r>
        <w:r>
          <w:rPr>
            <w:rStyle w:val="Hyperlink"/>
          </w:rPr>
          <w:t>24(a, b)</w:t>
        </w:r>
      </w:hyperlink>
      <w:r>
        <w:rPr>
          <w:i/>
        </w:rPr>
        <w:t>.</w:t>
      </w:r>
    </w:p>
    <w:p w:rsidR="005F78FC" w:rsidRDefault="00B42EF3">
      <w:pPr>
        <w:pStyle w:val="Heading3"/>
      </w:pPr>
      <w:bookmarkStart w:id="2846" w:name="section_82c8360cfceb4649bc5d06b6bd03628e"/>
      <w:bookmarkStart w:id="2847" w:name="_Toc69879196"/>
      <w:r>
        <w:t>Part 1 Section 21.1.3.6, lnBlToTr (Bottom-Left to Top-Right Border Line Properties)</w:t>
      </w:r>
      <w:bookmarkEnd w:id="2846"/>
      <w:bookmarkEnd w:id="2847"/>
      <w:r>
        <w:fldChar w:fldCharType="begin"/>
      </w:r>
      <w:r>
        <w:instrText xml:space="preserve"> XE "lnBlToTr (Bottom-Left to Top-Right Border Line Properties)"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5F78FC" w:rsidRDefault="00B42EF3">
      <w:pPr>
        <w:pStyle w:val="Heading3"/>
      </w:pPr>
      <w:bookmarkStart w:id="2848" w:name="section_80b6e2e172d245cbba1619312feb1a61"/>
      <w:bookmarkStart w:id="2849" w:name="_Toc69879197"/>
      <w:r>
        <w:t>Part 1 Section 21.1.3.7, lnL (Left Border Line Properties)</w:t>
      </w:r>
      <w:bookmarkEnd w:id="2848"/>
      <w:bookmarkEnd w:id="2849"/>
      <w:r>
        <w:fldChar w:fldCharType="begin"/>
      </w:r>
      <w:r>
        <w:instrText xml:space="preserve"> XE "lnL (Left Border Line Properties)"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5F78FC" w:rsidRDefault="00B42EF3">
      <w:pPr>
        <w:pStyle w:val="Heading3"/>
      </w:pPr>
      <w:bookmarkStart w:id="2850" w:name="section_fce0907fd2fe4f4caad2511fbf56d166"/>
      <w:bookmarkStart w:id="2851" w:name="_Toc69879198"/>
      <w:r>
        <w:t>Part 1 Section 21.1.3.8, lnR (Right Border Line Properties)</w:t>
      </w:r>
      <w:bookmarkEnd w:id="2850"/>
      <w:bookmarkEnd w:id="2851"/>
      <w:r>
        <w:fldChar w:fldCharType="begin"/>
      </w:r>
      <w:r>
        <w:instrText xml:space="preserve"> XE "lnR (Right Bord</w:instrText>
      </w:r>
      <w:r>
        <w:instrText xml:space="preserve">er Line Properties)"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5F78FC" w:rsidRDefault="00B42EF3">
      <w:pPr>
        <w:pStyle w:val="Heading3"/>
      </w:pPr>
      <w:bookmarkStart w:id="2852" w:name="section_90f6fa1482574c82ad53be75e8dcbb8f"/>
      <w:bookmarkStart w:id="2853" w:name="_Toc69879199"/>
      <w:r>
        <w:lastRenderedPageBreak/>
        <w:t>Part 1 Section 21.1.3.9, lnT (Top Border Line Propertie</w:t>
      </w:r>
      <w:r>
        <w:t>s)</w:t>
      </w:r>
      <w:bookmarkEnd w:id="2852"/>
      <w:bookmarkEnd w:id="2853"/>
      <w:r>
        <w:fldChar w:fldCharType="begin"/>
      </w:r>
      <w:r>
        <w:instrText xml:space="preserve"> XE "lnT (Top Border Line Properties)"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5F78FC" w:rsidRDefault="00B42EF3">
      <w:pPr>
        <w:pStyle w:val="Heading3"/>
      </w:pPr>
      <w:bookmarkStart w:id="2854" w:name="section_7dd0124fcd92478a95c79c2307151088"/>
      <w:bookmarkStart w:id="2855" w:name="_Toc69879200"/>
      <w:r>
        <w:t xml:space="preserve">Part 1 Section 21.1.3.10, lnTlToBr </w:t>
      </w:r>
      <w:r>
        <w:t>(Top-Left to Bottom-Right Border Line Properties)</w:t>
      </w:r>
      <w:bookmarkEnd w:id="2854"/>
      <w:bookmarkEnd w:id="2855"/>
      <w:r>
        <w:fldChar w:fldCharType="begin"/>
      </w:r>
      <w:r>
        <w:instrText xml:space="preserve"> XE "lnTlToBr (Top-Left to Bottom-Right Border Line Properties)"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5F78FC" w:rsidRDefault="00B42EF3">
      <w:pPr>
        <w:pStyle w:val="Heading3"/>
      </w:pPr>
      <w:bookmarkStart w:id="2856" w:name="section_e12a68d77ac847dead30f6ee7a5d1c8e"/>
      <w:bookmarkStart w:id="2857" w:name="_Toc69879201"/>
      <w:r>
        <w:t>Part 1 Section 21.1.3.12, tableStyleId (Table Style ID)</w:t>
      </w:r>
      <w:bookmarkEnd w:id="2856"/>
      <w:bookmarkEnd w:id="2857"/>
      <w:r>
        <w:fldChar w:fldCharType="begin"/>
      </w:r>
      <w:r>
        <w:instrText xml:space="preserve"> XE "tableStyleId (Table Style ID)" </w:instrText>
      </w:r>
      <w:r>
        <w:fldChar w:fldCharType="end"/>
      </w:r>
    </w:p>
    <w:p w:rsidR="005F78FC" w:rsidRDefault="00B42EF3">
      <w:pPr>
        <w:pStyle w:val="Definition-Field"/>
      </w:pPr>
      <w:r>
        <w:t xml:space="preserve">a.   </w:t>
      </w:r>
      <w:r>
        <w:rPr>
          <w:i/>
        </w:rPr>
        <w:t>The standard does not state how to interpret an invalid table style defined by the tableStyleId element.</w:t>
      </w:r>
    </w:p>
    <w:p w:rsidR="005F78FC" w:rsidRDefault="00B42EF3">
      <w:pPr>
        <w:pStyle w:val="Definition-Field2"/>
      </w:pPr>
      <w:r>
        <w:t xml:space="preserve">Office does </w:t>
      </w:r>
      <w:r>
        <w:t>not apply a style to the table if this element does not point to a valid built-in or user-specified table style.</w:t>
      </w:r>
    </w:p>
    <w:p w:rsidR="005F78FC" w:rsidRDefault="00B42EF3">
      <w:pPr>
        <w:pStyle w:val="Heading3"/>
      </w:pPr>
      <w:bookmarkStart w:id="2858" w:name="section_87e635df37bf42ef87b6fdd8abac88e1"/>
      <w:bookmarkStart w:id="2859" w:name="_Toc69879202"/>
      <w:r>
        <w:t>Part 1 Section 21.1.3.13, tbl (Table)</w:t>
      </w:r>
      <w:bookmarkEnd w:id="2858"/>
      <w:bookmarkEnd w:id="2859"/>
      <w:r>
        <w:fldChar w:fldCharType="begin"/>
      </w:r>
      <w:r>
        <w:instrText xml:space="preserve"> XE "tbl (Table)" </w:instrText>
      </w:r>
      <w:r>
        <w:fldChar w:fldCharType="end"/>
      </w:r>
    </w:p>
    <w:p w:rsidR="005F78FC" w:rsidRDefault="00B42EF3">
      <w:pPr>
        <w:pStyle w:val="Definition-Field"/>
      </w:pPr>
      <w:r>
        <w:t xml:space="preserve">a.   </w:t>
      </w:r>
      <w:r>
        <w:rPr>
          <w:i/>
        </w:rPr>
        <w:t>The standard specifies that the number of rows is between 0 and unbounded.</w:t>
      </w:r>
    </w:p>
    <w:p w:rsidR="005F78FC" w:rsidRDefault="00B42EF3">
      <w:pPr>
        <w:pStyle w:val="Definition-Field2"/>
      </w:pPr>
      <w:r>
        <w:t>In Of</w:t>
      </w:r>
      <w:r>
        <w:t>fice, the number of rows is greater than 0 and less than or equal to 1000.</w:t>
      </w:r>
    </w:p>
    <w:p w:rsidR="005F78FC" w:rsidRDefault="00B42EF3">
      <w:pPr>
        <w:pStyle w:val="Definition-Field"/>
      </w:pPr>
      <w:r>
        <w:t xml:space="preserve">b.   </w:t>
      </w:r>
      <w:r>
        <w:rPr>
          <w:i/>
        </w:rPr>
        <w:t>The standard specifies that the number of columns, as defined in child element tblGrid, is between 0 and unbounded.</w:t>
      </w:r>
    </w:p>
    <w:p w:rsidR="005F78FC" w:rsidRDefault="00B42EF3">
      <w:pPr>
        <w:pStyle w:val="Definition-Field2"/>
      </w:pPr>
      <w:r>
        <w:t xml:space="preserve">In Office, the number of columns is greater than 0 and less </w:t>
      </w:r>
      <w:r>
        <w:t>than or equal to 1000.</w:t>
      </w:r>
    </w:p>
    <w:p w:rsidR="005F78FC" w:rsidRDefault="00B42EF3">
      <w:pPr>
        <w:pStyle w:val="Definition-Field"/>
      </w:pPr>
      <w:r>
        <w:t xml:space="preserve">c.   </w:t>
      </w:r>
      <w:r>
        <w:rPr>
          <w:i/>
        </w:rPr>
        <w:t>The standard does not indicate that the number of cells in each row is dependent on the number of columns.</w:t>
      </w:r>
    </w:p>
    <w:p w:rsidR="005F78FC" w:rsidRDefault="00B42EF3">
      <w:pPr>
        <w:pStyle w:val="Definition-Field2"/>
      </w:pPr>
      <w:r>
        <w:t>In Office, the number of cells in each table row is equal to the number of columns defined in child element tblGrid.</w:t>
      </w:r>
    </w:p>
    <w:p w:rsidR="005F78FC" w:rsidRDefault="00B42EF3">
      <w:pPr>
        <w:pStyle w:val="Definition-Field"/>
      </w:pPr>
      <w:r>
        <w:t xml:space="preserve">d.  </w:t>
      </w:r>
      <w:r>
        <w:t xml:space="preserve"> </w:t>
      </w:r>
      <w:r>
        <w:rPr>
          <w:i/>
        </w:rPr>
        <w:t>The standard does not describe how the tbl element merges cells horizontally and vertically.</w:t>
      </w:r>
    </w:p>
    <w:p w:rsidR="005F78FC" w:rsidRDefault="00B42EF3">
      <w:r>
        <w:t>A Table merge describes the merging relationships between conjoint cells in a table. The gridSpan and rowSpan attributes of the tc elements ("</w:t>
      </w:r>
      <w:hyperlink r:id="rId208">
        <w:r>
          <w:rPr>
            <w:rStyle w:val="Hyperlink"/>
          </w:rPr>
          <w:t>[ISO/IEC-29500-1]</w:t>
        </w:r>
      </w:hyperlink>
      <w:r>
        <w:t xml:space="preserve"> §21.1.3.16; tc (Table Cell)") are used to define a table merge. The gridSpan and rowSpan of the top-left cell of a table merge decide the width and height of the table merge. For example, if t</w:t>
      </w:r>
      <w:r>
        <w:t>he following cell is the top-left cell of a table merge, its merge size is width = 3 columns, and height = 5 rows; or when written out, &lt;a:tc gridSpan="3" rowSpan="5"&gt;.</w:t>
      </w:r>
    </w:p>
    <w:p w:rsidR="005F78FC" w:rsidRDefault="00B42EF3">
      <w:r>
        <w:t>1). All cells in the first row in this table merge must have the same rowSpan as the fi</w:t>
      </w:r>
      <w:r>
        <w:t>rst one (5 in the preceding example). And their corresponding gridSpan, except the first one must be 1.</w:t>
      </w:r>
    </w:p>
    <w:p w:rsidR="005F78FC" w:rsidRDefault="00B42EF3">
      <w:r>
        <w:t>2). All cells in the first column in this table merge must have the same gridSpan as the first one (3 in the preceding example). And their corresponding</w:t>
      </w:r>
      <w:r>
        <w:t xml:space="preserve"> rowSpan, except the first one must be equal to 1.</w:t>
      </w:r>
    </w:p>
    <w:p w:rsidR="005F78FC" w:rsidRDefault="00B42EF3">
      <w:r>
        <w:t>3). All other cells in this table merge must have their rowSpan and gridSpan being equal to 1.</w:t>
      </w:r>
    </w:p>
    <w:p w:rsidR="005F78FC" w:rsidRDefault="00B42EF3">
      <w:r>
        <w:t>4). Two merges shall not overlap.</w:t>
      </w:r>
    </w:p>
    <w:p w:rsidR="005F78FC" w:rsidRDefault="00B42EF3">
      <w:pPr>
        <w:pStyle w:val="Definition-Field"/>
      </w:pPr>
      <w:r>
        <w:t xml:space="preserve">e.   </w:t>
      </w:r>
      <w:r>
        <w:rPr>
          <w:i/>
        </w:rPr>
        <w:t>The standard allows the neighboring interior borders of two neighboring</w:t>
      </w:r>
      <w:r>
        <w:rPr>
          <w:i/>
        </w:rPr>
        <w:t xml:space="preserve"> table merges to have different line properties.</w:t>
      </w:r>
    </w:p>
    <w:p w:rsidR="005F78FC" w:rsidRDefault="00B42EF3">
      <w:pPr>
        <w:pStyle w:val="Definition-Field2"/>
      </w:pPr>
      <w:r>
        <w:lastRenderedPageBreak/>
        <w:t>Office requires the neighboring interior borders of two neighboring table merges to have matching border line properties as defined by the lnL, lnR, lnT and lnB elements.</w:t>
      </w:r>
    </w:p>
    <w:p w:rsidR="005F78FC" w:rsidRDefault="00B42EF3">
      <w:pPr>
        <w:pStyle w:val="Definition-Field"/>
      </w:pPr>
      <w:r>
        <w:t xml:space="preserve">f.   </w:t>
      </w:r>
      <w:r>
        <w:rPr>
          <w:i/>
        </w:rPr>
        <w:t>The standard does not put any r</w:t>
      </w:r>
      <w:r>
        <w:rPr>
          <w:i/>
        </w:rPr>
        <w:t>estriction on the usage of the lnL, lnR, lnT and lnB elements.</w:t>
      </w:r>
    </w:p>
    <w:p w:rsidR="005F78FC" w:rsidRDefault="00B42EF3">
      <w:pPr>
        <w:pStyle w:val="Definition-Field2"/>
      </w:pPr>
      <w:r>
        <w:t>Office ignores the lnL and lnT elements for interior borders.</w:t>
      </w:r>
    </w:p>
    <w:p w:rsidR="005F78FC" w:rsidRDefault="00B42EF3">
      <w:pPr>
        <w:pStyle w:val="Heading3"/>
      </w:pPr>
      <w:bookmarkStart w:id="2860" w:name="section_460020a0e12d47ab834a20f6779387b5"/>
      <w:bookmarkStart w:id="2861" w:name="_Toc69879203"/>
      <w:r>
        <w:t>Part 1 Section 21.1.3.14, tblGrid (Table Grid)</w:t>
      </w:r>
      <w:bookmarkEnd w:id="2860"/>
      <w:bookmarkEnd w:id="2861"/>
      <w:r>
        <w:fldChar w:fldCharType="begin"/>
      </w:r>
      <w:r>
        <w:instrText xml:space="preserve"> XE "tblGrid (Table Grid)" </w:instrText>
      </w:r>
      <w:r>
        <w:fldChar w:fldCharType="end"/>
      </w:r>
    </w:p>
    <w:p w:rsidR="005F78FC" w:rsidRDefault="00B42EF3">
      <w:pPr>
        <w:pStyle w:val="Definition-Field"/>
      </w:pPr>
      <w:r>
        <w:t xml:space="preserve">a.   </w:t>
      </w:r>
      <w:r>
        <w:rPr>
          <w:i/>
        </w:rPr>
        <w:t>The standard states that the tblGrid element defin</w:t>
      </w:r>
      <w:r>
        <w:rPr>
          <w:i/>
        </w:rPr>
        <w:t>es the columns that are within the table.</w:t>
      </w:r>
    </w:p>
    <w:p w:rsidR="005F78FC" w:rsidRDefault="00B42EF3">
      <w:pPr>
        <w:pStyle w:val="Definition-Field2"/>
      </w:pPr>
      <w:r>
        <w:t>Office requires there be at least 1 and at most 1000 gridCol child elements to tblGrid.</w:t>
      </w:r>
    </w:p>
    <w:p w:rsidR="005F78FC" w:rsidRDefault="00B42EF3">
      <w:pPr>
        <w:pStyle w:val="Heading3"/>
      </w:pPr>
      <w:bookmarkStart w:id="2862" w:name="section_f9366bfc1f6c4e97a2f540f83aebb61c"/>
      <w:bookmarkStart w:id="2863" w:name="_Toc69879204"/>
      <w:r>
        <w:t>Part 1 Section 21.1.3.16, tc (Table Cell)</w:t>
      </w:r>
      <w:bookmarkEnd w:id="2862"/>
      <w:bookmarkEnd w:id="2863"/>
      <w:r>
        <w:fldChar w:fldCharType="begin"/>
      </w:r>
      <w:r>
        <w:instrText xml:space="preserve"> XE "tc (Table Cell)" </w:instrText>
      </w:r>
      <w:r>
        <w:fldChar w:fldCharType="end"/>
      </w:r>
    </w:p>
    <w:p w:rsidR="005F78FC" w:rsidRDefault="00B42EF3">
      <w:pPr>
        <w:pStyle w:val="Definition-Field"/>
      </w:pPr>
      <w:r>
        <w:t xml:space="preserve">a.   </w:t>
      </w:r>
      <w:r>
        <w:rPr>
          <w:i/>
        </w:rPr>
        <w:t xml:space="preserve">The standard allows the value of the rowSpan attribute </w:t>
      </w:r>
      <w:r>
        <w:rPr>
          <w:i/>
        </w:rPr>
        <w:t>to be any 32-bit integer.</w:t>
      </w:r>
    </w:p>
    <w:p w:rsidR="005F78FC" w:rsidRDefault="00B42EF3">
      <w:pPr>
        <w:pStyle w:val="Definition-Field2"/>
      </w:pPr>
      <w:r>
        <w:t xml:space="preserve">In Office, the value of rowSpan shall be equal to or greater than 1. For a table with R rows, the value of rowSpan for cells in the first row shall be at most R; the value of rowSpan for cells in the second row can be at most R – </w:t>
      </w:r>
      <w:r>
        <w:t>1; and so on.</w:t>
      </w:r>
    </w:p>
    <w:p w:rsidR="005F78FC" w:rsidRDefault="00B42EF3">
      <w:pPr>
        <w:pStyle w:val="Definition-Field"/>
      </w:pPr>
      <w:r>
        <w:t xml:space="preserve">b.   </w:t>
      </w:r>
      <w:r>
        <w:rPr>
          <w:i/>
        </w:rPr>
        <w:t>The standard states that the gridSpan attribute is allowed to be any 32-bit integer.</w:t>
      </w:r>
    </w:p>
    <w:p w:rsidR="005F78FC" w:rsidRDefault="00B42EF3">
      <w:r>
        <w:t>In Office, the value of gridSpan shall be equal to or greater than 1. For a table with C columns, the value of gridSpan for cells in the first column ca</w:t>
      </w:r>
      <w:r>
        <w:t>n be at most C; the value of gridSpan for cells in the second column can be at most C – 1; and so on.</w:t>
      </w:r>
    </w:p>
    <w:p w:rsidR="005F78FC" w:rsidRDefault="00B42EF3">
      <w:pPr>
        <w:pStyle w:val="Definition-Field"/>
      </w:pPr>
      <w:r>
        <w:t xml:space="preserve">c.   </w:t>
      </w:r>
      <w:r>
        <w:rPr>
          <w:i/>
        </w:rPr>
        <w:t>The standard does not describe how the hMerge or vMerge attributes work.</w:t>
      </w:r>
    </w:p>
    <w:p w:rsidR="005F78FC" w:rsidRDefault="00B42EF3">
      <w:r>
        <w:t>Information about Table Merge is contained within the tbl element ("</w:t>
      </w:r>
      <w:hyperlink r:id="rId209">
        <w:r>
          <w:rPr>
            <w:rStyle w:val="Hyperlink"/>
          </w:rPr>
          <w:t>[ISO/IEC-29500-1]</w:t>
        </w:r>
      </w:hyperlink>
      <w:r>
        <w:t xml:space="preserve"> §21.1.3.13; tbl").</w:t>
      </w:r>
    </w:p>
    <w:p w:rsidR="005F78FC" w:rsidRDefault="00B42EF3">
      <w:r>
        <w:t>All cells in the first column of a table merge shall have hMerge equal to 0 or false. All other cells of a table merge shall have hMerge equal to 1 or true</w:t>
      </w:r>
      <w:r>
        <w:t>.</w:t>
      </w:r>
    </w:p>
    <w:p w:rsidR="005F78FC" w:rsidRDefault="00B42EF3">
      <w:r>
        <w:t>All cells in the first row of a table merge shall have vMerge equal to 0 or false.  All other cells of a table merge shall have vMerge equal to 1 or true.</w:t>
      </w:r>
    </w:p>
    <w:p w:rsidR="005F78FC" w:rsidRDefault="00B42EF3">
      <w:pPr>
        <w:pStyle w:val="Heading3"/>
      </w:pPr>
      <w:bookmarkStart w:id="2864" w:name="section_312c4c2ed5b34407932a1122ed816de0"/>
      <w:bookmarkStart w:id="2865" w:name="_Toc69879205"/>
      <w:r>
        <w:t>Part 1 Section 21.1.3.18, tr (Table Row)</w:t>
      </w:r>
      <w:bookmarkEnd w:id="2864"/>
      <w:bookmarkEnd w:id="2865"/>
      <w:r>
        <w:fldChar w:fldCharType="begin"/>
      </w:r>
      <w:r>
        <w:instrText xml:space="preserve"> XE "tr (Table Row)" </w:instrText>
      </w:r>
      <w:r>
        <w:fldChar w:fldCharType="end"/>
      </w:r>
    </w:p>
    <w:p w:rsidR="005F78FC" w:rsidRDefault="00B42EF3">
      <w:pPr>
        <w:pStyle w:val="Definition-Field"/>
      </w:pPr>
      <w:r>
        <w:t xml:space="preserve">a.   </w:t>
      </w:r>
      <w:r>
        <w:rPr>
          <w:i/>
        </w:rPr>
        <w:t>The standard states that the h</w:t>
      </w:r>
      <w:r>
        <w:rPr>
          <w:i/>
        </w:rPr>
        <w:t>eight attribute specifies the row height.</w:t>
      </w:r>
    </w:p>
    <w:p w:rsidR="005F78FC" w:rsidRDefault="00B42EF3">
      <w:r>
        <w:t>In Office, the height of the row in the table is specified in EMUs.  Additionally:</w:t>
      </w:r>
    </w:p>
    <w:p w:rsidR="005F78FC" w:rsidRDefault="00B42EF3">
      <w:r>
        <w:t>The height shall not be negative.</w:t>
      </w:r>
    </w:p>
    <w:p w:rsidR="005F78FC" w:rsidRDefault="00B42EF3">
      <w:r>
        <w:t xml:space="preserve">The height shall be either 0, or greater than the minimal row height. </w:t>
      </w:r>
    </w:p>
    <w:p w:rsidR="005F78FC" w:rsidRDefault="00B42EF3">
      <w:r>
        <w:t xml:space="preserve">The height shall be equal </w:t>
      </w:r>
      <w:r>
        <w:t>to or less than 0x3FFFFFFF.</w:t>
      </w:r>
    </w:p>
    <w:p w:rsidR="005F78FC" w:rsidRDefault="00B42EF3">
      <w:r>
        <w:t>The minimal row height of a row is defined as: the sum of the minimal heights which can hold the top margin and the bottom margin plus 2 extra points for each cell in the row.</w:t>
      </w:r>
    </w:p>
    <w:p w:rsidR="005F78FC" w:rsidRDefault="00B42EF3">
      <w:pPr>
        <w:pStyle w:val="Definition-Field"/>
      </w:pPr>
      <w:r>
        <w:t xml:space="preserve">b.   </w:t>
      </w:r>
      <w:r>
        <w:rPr>
          <w:i/>
        </w:rPr>
        <w:t>The standard states that the tr element specifi</w:t>
      </w:r>
      <w:r>
        <w:rPr>
          <w:i/>
        </w:rPr>
        <w:t>es a row in a table.</w:t>
      </w:r>
    </w:p>
    <w:p w:rsidR="005F78FC" w:rsidRDefault="00B42EF3">
      <w:pPr>
        <w:pStyle w:val="Definition-Field2"/>
      </w:pPr>
      <w:r>
        <w:t>In Office, the number of table cells in a table row is greater than 1 and less than or equal to 1000. Additionally, the number of table cells in a table row is equal to the number of columns in the table.</w:t>
      </w:r>
    </w:p>
    <w:p w:rsidR="005F78FC" w:rsidRDefault="00B42EF3">
      <w:pPr>
        <w:pStyle w:val="Heading3"/>
      </w:pPr>
      <w:bookmarkStart w:id="2866" w:name="section_1b1344e7a00944f5aa3a4cbb4f752c80"/>
      <w:bookmarkStart w:id="2867" w:name="_Toc69879206"/>
      <w:r>
        <w:lastRenderedPageBreak/>
        <w:t>Part 1 Section 21.2.2.2, apply</w:t>
      </w:r>
      <w:r>
        <w:t>ToFront (Apply To Front)</w:t>
      </w:r>
      <w:bookmarkEnd w:id="2866"/>
      <w:bookmarkEnd w:id="2867"/>
      <w:r>
        <w:fldChar w:fldCharType="begin"/>
      </w:r>
      <w:r>
        <w:instrText xml:space="preserve"> XE "applyToFront (Apply To Front)" </w:instrText>
      </w:r>
      <w:r>
        <w:fldChar w:fldCharType="end"/>
      </w:r>
    </w:p>
    <w:p w:rsidR="005F78FC" w:rsidRDefault="00B42EF3">
      <w:pPr>
        <w:pStyle w:val="Definition-Field"/>
      </w:pPr>
      <w:r>
        <w:t xml:space="preserve">a.   </w:t>
      </w:r>
      <w:r>
        <w:rPr>
          <w:i/>
        </w:rPr>
        <w:t>The standard states that the applyToFront element specifies that the picture shall be applied to the front of the point or series.</w:t>
      </w:r>
    </w:p>
    <w:p w:rsidR="005F78FC" w:rsidRDefault="00B42EF3">
      <w:pPr>
        <w:pStyle w:val="Definition-Field2"/>
      </w:pPr>
      <w:r>
        <w:t>In Office, this element also specifies that the picture s</w:t>
      </w:r>
      <w:r>
        <w:t>hould be applied to the backWall and Office ignores this element on the floor and sideWall elements.</w:t>
      </w:r>
    </w:p>
    <w:p w:rsidR="005F78FC" w:rsidRDefault="00B42EF3">
      <w:pPr>
        <w:pStyle w:val="Heading3"/>
      </w:pPr>
      <w:bookmarkStart w:id="2868" w:name="section_82ee2e510df44d6a86c46529093bae80"/>
      <w:bookmarkStart w:id="2869" w:name="_Toc69879207"/>
      <w:r>
        <w:t>Part 1 Section 21.2.2.3, applyToSides (Apply To Sides)</w:t>
      </w:r>
      <w:bookmarkEnd w:id="2868"/>
      <w:bookmarkEnd w:id="2869"/>
      <w:r>
        <w:fldChar w:fldCharType="begin"/>
      </w:r>
      <w:r>
        <w:instrText xml:space="preserve"> XE "applyToSides (Apply To Sides)" </w:instrText>
      </w:r>
      <w:r>
        <w:fldChar w:fldCharType="end"/>
      </w:r>
    </w:p>
    <w:p w:rsidR="005F78FC" w:rsidRDefault="00B42EF3">
      <w:pPr>
        <w:pStyle w:val="Definition-Field"/>
      </w:pPr>
      <w:r>
        <w:t xml:space="preserve">a.   </w:t>
      </w:r>
      <w:r>
        <w:rPr>
          <w:i/>
        </w:rPr>
        <w:t>The standard states that the applyToSides element specifi</w:t>
      </w:r>
      <w:r>
        <w:rPr>
          <w:i/>
        </w:rPr>
        <w:t>es that the picture shall be applied to the sides of the point or series.</w:t>
      </w:r>
    </w:p>
    <w:p w:rsidR="005F78FC" w:rsidRDefault="00B42EF3">
      <w:pPr>
        <w:pStyle w:val="Definition-Field2"/>
      </w:pPr>
      <w:r>
        <w:t>In Office this element also specifies that the picture shall be applied to the floor or the side wall but is ignored on the back wall of a 3D chart.</w:t>
      </w:r>
    </w:p>
    <w:p w:rsidR="005F78FC" w:rsidRDefault="00B42EF3">
      <w:pPr>
        <w:pStyle w:val="Heading3"/>
      </w:pPr>
      <w:bookmarkStart w:id="2870" w:name="section_29ab25d35428484cb2a3ec691a0bf49f"/>
      <w:bookmarkStart w:id="2871" w:name="_Toc69879208"/>
      <w:r>
        <w:t>Part 1 Section 21.2.2.5, areaChar</w:t>
      </w:r>
      <w:r>
        <w:t>t (Area Charts)</w:t>
      </w:r>
      <w:bookmarkEnd w:id="2870"/>
      <w:bookmarkEnd w:id="2871"/>
      <w:r>
        <w:fldChar w:fldCharType="begin"/>
      </w:r>
      <w:r>
        <w:instrText xml:space="preserve"> XE "areaChart (Area Charts)" </w:instrText>
      </w:r>
      <w:r>
        <w:fldChar w:fldCharType="end"/>
      </w:r>
    </w:p>
    <w:p w:rsidR="005F78FC" w:rsidRDefault="00B42EF3">
      <w:pPr>
        <w:pStyle w:val="Definition-Field"/>
      </w:pPr>
      <w:r>
        <w:t xml:space="preserve">a.   </w:t>
      </w:r>
      <w:r>
        <w:rPr>
          <w:i/>
        </w:rPr>
        <w:t>The standard states that the maxOccurs value for the ser child element is unbounded.</w:t>
      </w:r>
    </w:p>
    <w:p w:rsidR="005F78FC" w:rsidRDefault="00B42EF3">
      <w:pPr>
        <w:pStyle w:val="Definition-Field2"/>
      </w:pPr>
      <w:r>
        <w:t>Office limits the occurrences of this element to 255.</w:t>
      </w:r>
    </w:p>
    <w:p w:rsidR="005F78FC" w:rsidRDefault="00B42EF3">
      <w:pPr>
        <w:pStyle w:val="Heading3"/>
      </w:pPr>
      <w:bookmarkStart w:id="2872" w:name="section_94796dcb15124541b4d09514d4070913"/>
      <w:bookmarkStart w:id="2873" w:name="_Toc69879209"/>
      <w:r>
        <w:t>Part 1 Section 21.2.2.7, autoTitleDeleted (Auto Title Is Deleted</w:t>
      </w:r>
      <w:r>
        <w:t>)</w:t>
      </w:r>
      <w:bookmarkEnd w:id="2872"/>
      <w:bookmarkEnd w:id="2873"/>
      <w:r>
        <w:fldChar w:fldCharType="begin"/>
      </w:r>
      <w:r>
        <w:instrText xml:space="preserve"> XE "autoTitleDeleted (Auto Title Is Deleted)" </w:instrText>
      </w:r>
      <w:r>
        <w:fldChar w:fldCharType="end"/>
      </w:r>
    </w:p>
    <w:p w:rsidR="005F78FC" w:rsidRDefault="00B42EF3">
      <w:pPr>
        <w:pStyle w:val="Definition-Field"/>
      </w:pPr>
      <w:r>
        <w:t xml:space="preserve">a.   </w:t>
      </w:r>
      <w:r>
        <w:rPr>
          <w:i/>
        </w:rPr>
        <w:t>The standard does not state any exceptions that cause the autoTitleDeleted element to be ignored.</w:t>
      </w:r>
    </w:p>
    <w:p w:rsidR="005F78FC" w:rsidRDefault="00B42EF3">
      <w:pPr>
        <w:pStyle w:val="Definition-Field2"/>
      </w:pPr>
      <w:r>
        <w:t>In Office, this element only applies if a title element ("</w:t>
      </w:r>
      <w:hyperlink r:id="rId210">
        <w:r>
          <w:rPr>
            <w:rStyle w:val="Hyperlink"/>
          </w:rPr>
          <w:t>[ISO/IEC-29500-1]</w:t>
        </w:r>
      </w:hyperlink>
      <w:r>
        <w:t xml:space="preserve"> §21.2.2.210; title") is not present on the parent chart element ("[ISO/IEC-29500-1] §21.2.2.27; chart").</w:t>
      </w:r>
    </w:p>
    <w:p w:rsidR="005F78FC" w:rsidRDefault="00B42EF3">
      <w:pPr>
        <w:pStyle w:val="Heading3"/>
      </w:pPr>
      <w:bookmarkStart w:id="2874" w:name="section_089f849ffcd64fa0a28135aa6a432a16"/>
      <w:bookmarkStart w:id="2875" w:name="_Toc69879210"/>
      <w:r>
        <w:t>Part 1 Section 21.2.2.9, axId (Axis ID)</w:t>
      </w:r>
      <w:bookmarkEnd w:id="2874"/>
      <w:bookmarkEnd w:id="2875"/>
      <w:r>
        <w:fldChar w:fldCharType="begin"/>
      </w:r>
      <w:r>
        <w:instrText xml:space="preserve"> XE "axId (Axis ID)" </w:instrText>
      </w:r>
      <w:r>
        <w:fldChar w:fldCharType="end"/>
      </w:r>
    </w:p>
    <w:p w:rsidR="005F78FC" w:rsidRDefault="00B42EF3">
      <w:pPr>
        <w:pStyle w:val="Definition-Field"/>
      </w:pPr>
      <w:r>
        <w:t xml:space="preserve">a.   </w:t>
      </w:r>
      <w:r>
        <w:rPr>
          <w:i/>
        </w:rPr>
        <w:t xml:space="preserve">The standard states that values of the val </w:t>
      </w:r>
      <w:r>
        <w:rPr>
          <w:i/>
        </w:rPr>
        <w:t>attribute are defined by the XML Schema unsignedInt datatype.</w:t>
      </w:r>
    </w:p>
    <w:p w:rsidR="005F78FC" w:rsidRDefault="00B42EF3">
      <w:pPr>
        <w:pStyle w:val="Definition-Field2"/>
      </w:pPr>
      <w:r>
        <w:t>Office restricts the value of this attribute to be at most 2147483647.</w:t>
      </w:r>
    </w:p>
    <w:p w:rsidR="005F78FC" w:rsidRDefault="00B42EF3">
      <w:pPr>
        <w:pStyle w:val="Definition-Field"/>
      </w:pPr>
      <w:r>
        <w:t xml:space="preserve">b.   </w:t>
      </w:r>
      <w:r>
        <w:rPr>
          <w:i/>
        </w:rPr>
        <w:t>The standard does not place any restrictions on the val attribute of the axId element.</w:t>
      </w:r>
    </w:p>
    <w:p w:rsidR="005F78FC" w:rsidRDefault="00B42EF3">
      <w:pPr>
        <w:pStyle w:val="Definition-Field2"/>
      </w:pPr>
      <w:r>
        <w:t xml:space="preserve">Office requires that the val </w:t>
      </w:r>
      <w:r>
        <w:t>attribute of this element matches the val attribute of an axId element on a catAx, dateAx, serAx, or valAx element on the chart.</w:t>
      </w:r>
    </w:p>
    <w:p w:rsidR="005F78FC" w:rsidRDefault="00B42EF3">
      <w:pPr>
        <w:pStyle w:val="Heading3"/>
      </w:pPr>
      <w:bookmarkStart w:id="2876" w:name="section_5989881ed2de44f387928dbded2e2b00"/>
      <w:bookmarkStart w:id="2877" w:name="_Toc69879211"/>
      <w:r>
        <w:t>Part 1 Section 21.2.2.10, axPos (Axis Position)</w:t>
      </w:r>
      <w:bookmarkEnd w:id="2876"/>
      <w:bookmarkEnd w:id="2877"/>
      <w:r>
        <w:fldChar w:fldCharType="begin"/>
      </w:r>
      <w:r>
        <w:instrText xml:space="preserve"> XE "axPos (Axis Position)" </w:instrText>
      </w:r>
      <w:r>
        <w:fldChar w:fldCharType="end"/>
      </w:r>
    </w:p>
    <w:p w:rsidR="005F78FC" w:rsidRDefault="00B42EF3">
      <w:pPr>
        <w:pStyle w:val="Definition-Field"/>
      </w:pPr>
      <w:r>
        <w:t xml:space="preserve">a.   </w:t>
      </w:r>
      <w:r>
        <w:rPr>
          <w:i/>
        </w:rPr>
        <w:t>The standard states that the axpos element s</w:t>
      </w:r>
      <w:r>
        <w:rPr>
          <w:i/>
        </w:rPr>
        <w:t>pecifies the position of the axis on the chart.</w:t>
      </w:r>
    </w:p>
    <w:p w:rsidR="005F78FC" w:rsidRDefault="00B42EF3">
      <w:pPr>
        <w:pStyle w:val="Definition-Field2"/>
      </w:pPr>
      <w:r>
        <w:t>Office ignores this element, always using the crosses element on a valAx, the crossesAt element on a catAx or dateAx, and the orientation element of the scaling element on the perpendicular axis to specify th</w:t>
      </w:r>
      <w:r>
        <w:t>e axis position.</w:t>
      </w:r>
    </w:p>
    <w:p w:rsidR="005F78FC" w:rsidRDefault="00B42EF3">
      <w:pPr>
        <w:pStyle w:val="Heading3"/>
      </w:pPr>
      <w:bookmarkStart w:id="2878" w:name="section_51f8d9b9d15b478a91c5e8b09907af84"/>
      <w:bookmarkStart w:id="2879" w:name="_Toc69879212"/>
      <w:r>
        <w:t>Part 1 Section 21.2.2.11, backWall (Back Wall)</w:t>
      </w:r>
      <w:bookmarkEnd w:id="2878"/>
      <w:bookmarkEnd w:id="2879"/>
      <w:r>
        <w:fldChar w:fldCharType="begin"/>
      </w:r>
      <w:r>
        <w:instrText xml:space="preserve"> XE "backWall (Back Wall)" </w:instrText>
      </w:r>
      <w:r>
        <w:fldChar w:fldCharType="end"/>
      </w:r>
    </w:p>
    <w:p w:rsidR="005F78FC" w:rsidRDefault="00B42EF3">
      <w:pPr>
        <w:pStyle w:val="Definition-Field"/>
      </w:pPr>
      <w:r>
        <w:t xml:space="preserve">a.   </w:t>
      </w:r>
      <w:r>
        <w:rPr>
          <w:i/>
        </w:rPr>
        <w:t>The standard states that the backWall element is valid for any chart type.</w:t>
      </w:r>
    </w:p>
    <w:p w:rsidR="005F78FC" w:rsidRDefault="00B42EF3">
      <w:pPr>
        <w:pStyle w:val="Definition-Field2"/>
      </w:pPr>
      <w:r>
        <w:t>Office only allows this element for 3D charts (bar3dChart, line3dChart, area3dChart</w:t>
      </w:r>
      <w:r>
        <w:t>, surface3dChart, pie3Dchart).</w:t>
      </w:r>
    </w:p>
    <w:p w:rsidR="005F78FC" w:rsidRDefault="00B42EF3">
      <w:pPr>
        <w:pStyle w:val="Heading3"/>
      </w:pPr>
      <w:bookmarkStart w:id="2880" w:name="section_69fafe694f3e42d888d53955a6e9be2e"/>
      <w:bookmarkStart w:id="2881" w:name="_Toc69879213"/>
      <w:r>
        <w:lastRenderedPageBreak/>
        <w:t>Part 1 Section 21.2.2.12, backward (Backward)</w:t>
      </w:r>
      <w:bookmarkEnd w:id="2880"/>
      <w:bookmarkEnd w:id="2881"/>
      <w:r>
        <w:fldChar w:fldCharType="begin"/>
      </w:r>
      <w:r>
        <w:instrText xml:space="preserve"> XE "backward (Backward)" </w:instrText>
      </w:r>
      <w:r>
        <w:fldChar w:fldCharType="end"/>
      </w:r>
    </w:p>
    <w:p w:rsidR="005F78FC" w:rsidRDefault="00B42EF3">
      <w:pPr>
        <w:pStyle w:val="Definition-Field"/>
      </w:pPr>
      <w:r>
        <w:t xml:space="preserve">a.   </w:t>
      </w:r>
      <w:r>
        <w:rPr>
          <w:i/>
        </w:rPr>
        <w:t>The standard states that the value of the val attribute on non-scatter charts must be 0 or 0.5.</w:t>
      </w:r>
    </w:p>
    <w:p w:rsidR="005F78FC" w:rsidRDefault="00B42EF3">
      <w:pPr>
        <w:pStyle w:val="Definition-Field2"/>
      </w:pPr>
      <w:r>
        <w:t>Office allows the data range to include any non-ne</w:t>
      </w:r>
      <w:r>
        <w:t>gative number.</w:t>
      </w:r>
    </w:p>
    <w:p w:rsidR="005F78FC" w:rsidRDefault="00B42EF3">
      <w:pPr>
        <w:pStyle w:val="Definition-Field"/>
      </w:pPr>
      <w:r>
        <w:t xml:space="preserve">b.   </w:t>
      </w:r>
      <w:r>
        <w:rPr>
          <w:i/>
        </w:rPr>
        <w:t>The standard states that the values of the val attribute are defined by the XML Schema double datatype.</w:t>
      </w:r>
    </w:p>
    <w:p w:rsidR="005F78FC" w:rsidRDefault="00B42EF3">
      <w:pPr>
        <w:pStyle w:val="Definition-Field2"/>
      </w:pPr>
      <w:r>
        <w:t>Office restricts the values of this attribute to be greater than 0 and not equal to INF, -INF, or Nan.</w:t>
      </w:r>
    </w:p>
    <w:p w:rsidR="005F78FC" w:rsidRDefault="00B42EF3">
      <w:pPr>
        <w:pStyle w:val="Heading3"/>
      </w:pPr>
      <w:bookmarkStart w:id="2882" w:name="section_7bcd4b6150c64a1a88cf5a29bdeb03cc"/>
      <w:bookmarkStart w:id="2883" w:name="_Toc69879214"/>
      <w:r>
        <w:t>Part 1 Section 21.2.2.14, ban</w:t>
      </w:r>
      <w:r>
        <w:t>dFmts (Band Formats)</w:t>
      </w:r>
      <w:bookmarkEnd w:id="2882"/>
      <w:bookmarkEnd w:id="2883"/>
      <w:r>
        <w:fldChar w:fldCharType="begin"/>
      </w:r>
      <w:r>
        <w:instrText xml:space="preserve"> XE "bandFmts (Band Formats)" </w:instrText>
      </w:r>
      <w:r>
        <w:fldChar w:fldCharType="end"/>
      </w:r>
    </w:p>
    <w:p w:rsidR="005F78FC" w:rsidRDefault="00B42EF3">
      <w:pPr>
        <w:pStyle w:val="Definition-Field"/>
      </w:pPr>
      <w:r>
        <w:t xml:space="preserve">a.   </w:t>
      </w:r>
      <w:r>
        <w:rPr>
          <w:i/>
        </w:rPr>
        <w:t>The standard states that bands are indexed from low to high.</w:t>
      </w:r>
    </w:p>
    <w:p w:rsidR="005F78FC" w:rsidRDefault="00B42EF3">
      <w:r>
        <w:t xml:space="preserve">The bands within this collection are indexed with increasing index values that correspond to increasing values in the chart.  The lowest </w:t>
      </w:r>
      <w:r>
        <w:t>index value for a band is 0, regardless of whether it is present in the collection of formatting bands. Bands with no explicit formatting may be omitted from the collection.</w:t>
      </w:r>
    </w:p>
    <w:p w:rsidR="005F78FC" w:rsidRDefault="00B42EF3">
      <w:pPr>
        <w:pStyle w:val="Heading3"/>
      </w:pPr>
      <w:bookmarkStart w:id="2884" w:name="section_46a9db165bfa4d0f86ad196bf11c9230"/>
      <w:bookmarkStart w:id="2885" w:name="_Toc69879215"/>
      <w:r>
        <w:t>Part 1 Section 21.2.2.15, bar3DChart (3D Bar Charts)</w:t>
      </w:r>
      <w:bookmarkEnd w:id="2884"/>
      <w:bookmarkEnd w:id="2885"/>
      <w:r>
        <w:fldChar w:fldCharType="begin"/>
      </w:r>
      <w:r>
        <w:instrText xml:space="preserve"> XE "bar3DChart (3D Bar Charts</w:instrText>
      </w:r>
      <w:r>
        <w:instrText xml:space="preserve">)" </w:instrText>
      </w:r>
      <w:r>
        <w:fldChar w:fldCharType="end"/>
      </w:r>
    </w:p>
    <w:p w:rsidR="005F78FC" w:rsidRDefault="00B42EF3">
      <w:pPr>
        <w:pStyle w:val="Definition-Field"/>
      </w:pPr>
      <w:r>
        <w:t xml:space="preserve">a.   </w:t>
      </w:r>
      <w:r>
        <w:rPr>
          <w:i/>
        </w:rPr>
        <w:t>The standard states that the maxOccurs value for the ser child element is unbounded.</w:t>
      </w:r>
    </w:p>
    <w:p w:rsidR="005F78FC" w:rsidRDefault="00B42EF3">
      <w:pPr>
        <w:pStyle w:val="Definition-Field2"/>
      </w:pPr>
      <w:r>
        <w:t>Office limits the occurrences of this element to 255.</w:t>
      </w:r>
    </w:p>
    <w:p w:rsidR="005F78FC" w:rsidRDefault="00B42EF3">
      <w:pPr>
        <w:pStyle w:val="Heading3"/>
      </w:pPr>
      <w:bookmarkStart w:id="2886" w:name="section_4f86580b39ca45558ef844b2f35f3648"/>
      <w:bookmarkStart w:id="2887" w:name="_Toc69879216"/>
      <w:r>
        <w:t>Part 1 Section 21.2.2.16, barChart (Bar Charts)</w:t>
      </w:r>
      <w:bookmarkEnd w:id="2886"/>
      <w:bookmarkEnd w:id="2887"/>
      <w:r>
        <w:fldChar w:fldCharType="begin"/>
      </w:r>
      <w:r>
        <w:instrText xml:space="preserve"> XE "barChart (Bar Charts)" </w:instrText>
      </w:r>
      <w:r>
        <w:fldChar w:fldCharType="end"/>
      </w:r>
    </w:p>
    <w:p w:rsidR="005F78FC" w:rsidRDefault="00B42EF3">
      <w:pPr>
        <w:pStyle w:val="Definition-Field2"/>
      </w:pPr>
      <w:r>
        <w:rPr>
          <w:i/>
        </w:rPr>
        <w:t>For additional notes that ap</w:t>
      </w:r>
      <w:r>
        <w:rPr>
          <w:i/>
        </w:rPr>
        <w:t xml:space="preserve">ply to this portion of the standard, please see the notes for </w:t>
      </w:r>
      <w:hyperlink w:anchor="Section_089f849ffcd64fa0a28135aa6a432a16">
        <w:r>
          <w:rPr>
            <w:rStyle w:val="Hyperlink"/>
          </w:rPr>
          <w:t>axId, §21.2.2.9(a)</w:t>
        </w:r>
      </w:hyperlink>
      <w:r>
        <w:rPr>
          <w:i/>
        </w:rPr>
        <w:t>.</w:t>
      </w:r>
    </w:p>
    <w:p w:rsidR="005F78FC" w:rsidRDefault="00B42EF3">
      <w:pPr>
        <w:pStyle w:val="Definition-Field"/>
      </w:pPr>
      <w:r>
        <w:t xml:space="preserve">a.   </w:t>
      </w:r>
      <w:r>
        <w:rPr>
          <w:i/>
        </w:rPr>
        <w:t>The standard states that the maxOccurs value for the serLines child element is unbounded.</w:t>
      </w:r>
    </w:p>
    <w:p w:rsidR="005F78FC" w:rsidRDefault="00B42EF3">
      <w:pPr>
        <w:pStyle w:val="Definition-Field2"/>
      </w:pPr>
      <w:r>
        <w:t>Office limits th</w:t>
      </w:r>
      <w:r>
        <w:t>e occurrences of this element to 1.</w:t>
      </w:r>
    </w:p>
    <w:p w:rsidR="005F78FC" w:rsidRDefault="00B42EF3">
      <w:pPr>
        <w:pStyle w:val="Heading3"/>
      </w:pPr>
      <w:bookmarkStart w:id="2888" w:name="section_e99b822aa75c4a268b420136b3acee5b"/>
      <w:bookmarkStart w:id="2889" w:name="_Toc69879217"/>
      <w:r>
        <w:t>Part 1 Section 21.2.2.17, barDir (Bar Direction)</w:t>
      </w:r>
      <w:bookmarkEnd w:id="2888"/>
      <w:bookmarkEnd w:id="2889"/>
      <w:r>
        <w:fldChar w:fldCharType="begin"/>
      </w:r>
      <w:r>
        <w:instrText xml:space="preserve"> XE "barDir (Bar Direction)" </w:instrText>
      </w:r>
      <w:r>
        <w:fldChar w:fldCharType="end"/>
      </w:r>
    </w:p>
    <w:p w:rsidR="005F78FC" w:rsidRDefault="00B42EF3">
      <w:pPr>
        <w:pStyle w:val="Definition-Field"/>
      </w:pPr>
      <w:r>
        <w:t xml:space="preserve">a.   </w:t>
      </w:r>
      <w:r>
        <w:rPr>
          <w:i/>
        </w:rPr>
        <w:t>The standard implies that the val attribute is optional.</w:t>
      </w:r>
    </w:p>
    <w:p w:rsidR="005F78FC" w:rsidRDefault="00B42EF3">
      <w:pPr>
        <w:pStyle w:val="Definition-Field2"/>
      </w:pPr>
      <w:r>
        <w:t>Office requires this attribute.</w:t>
      </w:r>
    </w:p>
    <w:p w:rsidR="005F78FC" w:rsidRDefault="00B42EF3">
      <w:pPr>
        <w:pStyle w:val="Heading3"/>
      </w:pPr>
      <w:bookmarkStart w:id="2890" w:name="section_b8441f8d1013434e8d86ba06b64e4d92"/>
      <w:bookmarkStart w:id="2891" w:name="_Toc69879218"/>
      <w:r>
        <w:t>Part 1 Section 21.2.2.19, bubble3D (3D Bubble)</w:t>
      </w:r>
      <w:bookmarkEnd w:id="2890"/>
      <w:bookmarkEnd w:id="2891"/>
      <w:r>
        <w:fldChar w:fldCharType="begin"/>
      </w:r>
      <w:r>
        <w:instrText xml:space="preserve"> XE "bubble3D (3D Bubble)"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c99aee60a26e465486070e0411ea81eb">
        <w:r>
          <w:rPr>
            <w:rStyle w:val="Hyperlink"/>
          </w:rPr>
          <w:t>bubbleChart, §21.2.2.20(b)</w:t>
        </w:r>
      </w:hyperlink>
      <w:r>
        <w:rPr>
          <w:i/>
        </w:rPr>
        <w:t>.</w:t>
      </w:r>
    </w:p>
    <w:p w:rsidR="005F78FC" w:rsidRDefault="00B42EF3">
      <w:pPr>
        <w:pStyle w:val="Heading3"/>
      </w:pPr>
      <w:bookmarkStart w:id="2892" w:name="section_c99aee60a26e465486070e0411ea81eb"/>
      <w:bookmarkStart w:id="2893" w:name="_Toc69879219"/>
      <w:r>
        <w:t>Part 1 Section 21.2.2.20, bubbleChart (Bubble Charts)</w:t>
      </w:r>
      <w:bookmarkEnd w:id="2892"/>
      <w:bookmarkEnd w:id="2893"/>
      <w:r>
        <w:fldChar w:fldCharType="begin"/>
      </w:r>
      <w:r>
        <w:instrText xml:space="preserve"> XE "bubbleChart (Bubble Charts)"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089f849ffcd64fa0a28135aa6a432a16">
        <w:r>
          <w:rPr>
            <w:rStyle w:val="Hyperlink"/>
          </w:rPr>
          <w:t>axId, §21.2.2</w:t>
        </w:r>
        <w:r>
          <w:rPr>
            <w:rStyle w:val="Hyperlink"/>
          </w:rPr>
          <w:t>.9(a)</w:t>
        </w:r>
      </w:hyperlink>
      <w:r>
        <w:rPr>
          <w:i/>
        </w:rPr>
        <w:t>.</w:t>
      </w:r>
    </w:p>
    <w:p w:rsidR="005F78FC" w:rsidRDefault="00B42EF3">
      <w:pPr>
        <w:pStyle w:val="Definition-Field"/>
      </w:pPr>
      <w:r>
        <w:t xml:space="preserve">a.   </w:t>
      </w:r>
      <w:r>
        <w:rPr>
          <w:i/>
        </w:rPr>
        <w:t>The standard states that the maxOccurs value for the ser child element is unbounded.</w:t>
      </w:r>
    </w:p>
    <w:p w:rsidR="005F78FC" w:rsidRDefault="00B42EF3">
      <w:pPr>
        <w:pStyle w:val="Definition-Field2"/>
      </w:pPr>
      <w:r>
        <w:t>Office limits the occurrences of this element to 255.</w:t>
      </w:r>
    </w:p>
    <w:p w:rsidR="005F78FC" w:rsidRDefault="00B42EF3">
      <w:pPr>
        <w:pStyle w:val="Definition-Field"/>
      </w:pPr>
      <w:r>
        <w:t xml:space="preserve">b.   </w:t>
      </w:r>
      <w:r>
        <w:rPr>
          <w:i/>
        </w:rPr>
        <w:t>The standard states that the bubble3D element is a valid child of the bubbleChart element.</w:t>
      </w:r>
    </w:p>
    <w:p w:rsidR="005F78FC" w:rsidRDefault="00B42EF3">
      <w:pPr>
        <w:pStyle w:val="Definition-Field2"/>
      </w:pPr>
      <w:r>
        <w:t xml:space="preserve">Office </w:t>
      </w:r>
      <w:r>
        <w:t>does not allow the bubble3D element to be a child of the bubbleChart element.</w:t>
      </w:r>
    </w:p>
    <w:p w:rsidR="005F78FC" w:rsidRDefault="00B42EF3">
      <w:pPr>
        <w:pStyle w:val="Heading3"/>
      </w:pPr>
      <w:bookmarkStart w:id="2894" w:name="section_cce3b3b3a43d4e95b9771428b377e670"/>
      <w:bookmarkStart w:id="2895" w:name="_Toc69879220"/>
      <w:r>
        <w:lastRenderedPageBreak/>
        <w:t>Part 1 Section 21.2.2.23, builtInUnit (Built in Display Unit Value)</w:t>
      </w:r>
      <w:bookmarkEnd w:id="2894"/>
      <w:bookmarkEnd w:id="2895"/>
      <w:r>
        <w:fldChar w:fldCharType="begin"/>
      </w:r>
      <w:r>
        <w:instrText xml:space="preserve"> XE "builtInUnit (Built in Display Unit Value)" </w:instrText>
      </w:r>
      <w:r>
        <w:fldChar w:fldCharType="end"/>
      </w:r>
    </w:p>
    <w:p w:rsidR="005F78FC" w:rsidRDefault="00B42EF3">
      <w:pPr>
        <w:pStyle w:val="Definition-Field"/>
      </w:pPr>
      <w:r>
        <w:t xml:space="preserve">a.   </w:t>
      </w:r>
      <w:r>
        <w:rPr>
          <w:i/>
        </w:rPr>
        <w:t>The standard states that the builtInUnit element specif</w:t>
      </w:r>
      <w:r>
        <w:rPr>
          <w:i/>
        </w:rPr>
        <w:t>ies that the display unit is one of the built in values.</w:t>
      </w:r>
    </w:p>
    <w:p w:rsidR="005F78FC" w:rsidRDefault="00B42EF3">
      <w:pPr>
        <w:pStyle w:val="Definition-Field2"/>
      </w:pPr>
      <w:r>
        <w:t>In Office, this element specifies the display unit for the axis and also the text shown by sibling element dispUnitsLbl when the dispUnitLbl does not contain a tx child element.</w:t>
      </w:r>
    </w:p>
    <w:p w:rsidR="005F78FC" w:rsidRDefault="00B42EF3">
      <w:pPr>
        <w:pStyle w:val="Heading3"/>
      </w:pPr>
      <w:bookmarkStart w:id="2896" w:name="section_ea16141cf0bc469ca1a0214e200eda61"/>
      <w:bookmarkStart w:id="2897" w:name="_Toc69879221"/>
      <w:r>
        <w:t>Part 1 Section 21.2.2</w:t>
      </w:r>
      <w:r>
        <w:t>.24, cat (Category Axis Data)</w:t>
      </w:r>
      <w:bookmarkEnd w:id="2896"/>
      <w:bookmarkEnd w:id="2897"/>
      <w:r>
        <w:fldChar w:fldCharType="begin"/>
      </w:r>
      <w:r>
        <w:instrText xml:space="preserve"> XE "cat (Category Axis Data)" </w:instrText>
      </w:r>
      <w:r>
        <w:fldChar w:fldCharType="end"/>
      </w:r>
    </w:p>
    <w:p w:rsidR="005F78FC" w:rsidRDefault="00B42EF3">
      <w:pPr>
        <w:pStyle w:val="Definition-Field"/>
      </w:pPr>
      <w:r>
        <w:t xml:space="preserve">a.   </w:t>
      </w:r>
      <w:r>
        <w:rPr>
          <w:i/>
        </w:rPr>
        <w:t>The standard does not define the behavior when the cat element is omitted.</w:t>
      </w:r>
    </w:p>
    <w:p w:rsidR="005F78FC" w:rsidRDefault="00B42EF3">
      <w:pPr>
        <w:pStyle w:val="Definition-Field2"/>
      </w:pPr>
      <w:r>
        <w:t>Office uses the one-based index value of the corresponding data point as the default category axis data when this</w:t>
      </w:r>
      <w:r>
        <w:t xml:space="preserve"> element is omitted on a series.</w:t>
      </w:r>
    </w:p>
    <w:p w:rsidR="005F78FC" w:rsidRDefault="00B42EF3">
      <w:pPr>
        <w:pStyle w:val="Heading3"/>
      </w:pPr>
      <w:bookmarkStart w:id="2898" w:name="section_c6aec8b1cbe34239ba00b837970abc14"/>
      <w:bookmarkStart w:id="2899" w:name="_Toc69879222"/>
      <w:r>
        <w:t>Part 1 Section 21.2.2.25, catAx (Category Axis Data)</w:t>
      </w:r>
      <w:bookmarkEnd w:id="2898"/>
      <w:bookmarkEnd w:id="2899"/>
      <w:r>
        <w:fldChar w:fldCharType="begin"/>
      </w:r>
      <w:r>
        <w:instrText xml:space="preserve"> XE "catAx (Category Axis Data)" </w:instrText>
      </w:r>
      <w:r>
        <w:fldChar w:fldCharType="end"/>
      </w:r>
    </w:p>
    <w:p w:rsidR="005F78FC" w:rsidRDefault="00B42EF3">
      <w:pPr>
        <w:pStyle w:val="Definition-Field"/>
      </w:pPr>
      <w:r>
        <w:t xml:space="preserve">a.   </w:t>
      </w:r>
      <w:r>
        <w:rPr>
          <w:i/>
        </w:rPr>
        <w:t>The standard does place any restrictions on the val attribute of the axId element.</w:t>
      </w:r>
    </w:p>
    <w:p w:rsidR="005F78FC" w:rsidRDefault="00B42EF3">
      <w:pPr>
        <w:pStyle w:val="Definition-Field2"/>
      </w:pPr>
      <w:r>
        <w:t>Office requires that the val attribute of the a</w:t>
      </w:r>
      <w:r>
        <w:t>xId element matches the val attribute of an axId element in the parent chart.</w:t>
      </w:r>
    </w:p>
    <w:p w:rsidR="005F78FC" w:rsidRDefault="00B42EF3">
      <w:pPr>
        <w:pStyle w:val="Definition-Field"/>
      </w:pPr>
      <w:r>
        <w:t xml:space="preserve">b.   </w:t>
      </w:r>
      <w:r>
        <w:rPr>
          <w:i/>
        </w:rPr>
        <w:t>The standard does place any restrictions on the val attribute of the crossAx element.</w:t>
      </w:r>
    </w:p>
    <w:p w:rsidR="005F78FC" w:rsidRDefault="00B42EF3">
      <w:pPr>
        <w:pStyle w:val="Definition-Field2"/>
      </w:pPr>
      <w:r>
        <w:t>Office requires that the val attribute of the crossAx element matches the val attribute</w:t>
      </w:r>
      <w:r>
        <w:t xml:space="preserve"> of an axId element in the parent chart.</w:t>
      </w:r>
    </w:p>
    <w:p w:rsidR="005F78FC" w:rsidRDefault="00B42EF3">
      <w:pPr>
        <w:pStyle w:val="Heading3"/>
      </w:pPr>
      <w:bookmarkStart w:id="2900" w:name="section_f0443747f6a14f2bb35a3b4159cf25f9"/>
      <w:bookmarkStart w:id="2901" w:name="_Toc69879223"/>
      <w:r>
        <w:t>Part 1 Section 21.2.2.28, chartObject (Chart Object)</w:t>
      </w:r>
      <w:bookmarkEnd w:id="2900"/>
      <w:bookmarkEnd w:id="2901"/>
      <w:r>
        <w:fldChar w:fldCharType="begin"/>
      </w:r>
      <w:r>
        <w:instrText xml:space="preserve"> XE "chartObject (Chart Object)" </w:instrText>
      </w:r>
      <w:r>
        <w:fldChar w:fldCharType="end"/>
      </w:r>
    </w:p>
    <w:p w:rsidR="005F78FC" w:rsidRDefault="00B42EF3">
      <w:pPr>
        <w:pStyle w:val="Definition-Field"/>
      </w:pPr>
      <w:r>
        <w:t xml:space="preserve">a.   </w:t>
      </w:r>
      <w:r>
        <w:rPr>
          <w:i/>
        </w:rPr>
        <w:t>The standard states that the chartObject element specifies that the chart cannot be edited by the user.</w:t>
      </w:r>
    </w:p>
    <w:p w:rsidR="005F78FC" w:rsidRDefault="00B42EF3">
      <w:pPr>
        <w:pStyle w:val="Definition-Field2"/>
      </w:pPr>
      <w:r>
        <w:t>Office does not re</w:t>
      </w:r>
      <w:r>
        <w:t>spect this element and allows editing regardless of the value.</w:t>
      </w:r>
    </w:p>
    <w:p w:rsidR="005F78FC" w:rsidRDefault="00B42EF3">
      <w:pPr>
        <w:pStyle w:val="Heading3"/>
      </w:pPr>
      <w:bookmarkStart w:id="2902" w:name="section_195a0d2d3977477a86ded88b14745e13"/>
      <w:bookmarkStart w:id="2903" w:name="_Toc69879224"/>
      <w:r>
        <w:t>Part 1 Section 21.2.2.31, crossAx (Crossing Axis ID)</w:t>
      </w:r>
      <w:bookmarkEnd w:id="2902"/>
      <w:bookmarkEnd w:id="2903"/>
      <w:r>
        <w:fldChar w:fldCharType="begin"/>
      </w:r>
      <w:r>
        <w:instrText xml:space="preserve"> XE "crossAx (Crossing Axis ID)" </w:instrText>
      </w:r>
      <w:r>
        <w:fldChar w:fldCharType="end"/>
      </w:r>
    </w:p>
    <w:p w:rsidR="005F78FC" w:rsidRDefault="00B42EF3">
      <w:pPr>
        <w:pStyle w:val="Definition-Field"/>
      </w:pPr>
      <w:r>
        <w:t xml:space="preserve">a.   </w:t>
      </w:r>
      <w:r>
        <w:rPr>
          <w:i/>
        </w:rPr>
        <w:t>The standard states that the values of the val attribute are defined by the XML Schema unsignedInt d</w:t>
      </w:r>
      <w:r>
        <w:rPr>
          <w:i/>
        </w:rPr>
        <w:t>atatype.</w:t>
      </w:r>
    </w:p>
    <w:p w:rsidR="005F78FC" w:rsidRDefault="00B42EF3">
      <w:pPr>
        <w:pStyle w:val="Definition-Field2"/>
      </w:pPr>
      <w:r>
        <w:t>Office restricts the value of this attribute to be at most 2147483647.</w:t>
      </w:r>
    </w:p>
    <w:p w:rsidR="005F78FC" w:rsidRDefault="00B42EF3">
      <w:pPr>
        <w:pStyle w:val="Definition-Field"/>
      </w:pPr>
      <w:r>
        <w:t xml:space="preserve">b.   </w:t>
      </w:r>
      <w:r>
        <w:rPr>
          <w:i/>
        </w:rPr>
        <w:t>The standard does not place any restrictions on the val attribute of the crossAx element.</w:t>
      </w:r>
    </w:p>
    <w:p w:rsidR="005F78FC" w:rsidRDefault="00B42EF3">
      <w:pPr>
        <w:pStyle w:val="Definition-Field2"/>
      </w:pPr>
      <w:r>
        <w:t>Office requires that the val attribute of the crossAx element matches the val att</w:t>
      </w:r>
      <w:r>
        <w:t>ribute of an axId element in the parent chart.</w:t>
      </w:r>
    </w:p>
    <w:p w:rsidR="005F78FC" w:rsidRDefault="00B42EF3">
      <w:pPr>
        <w:pStyle w:val="Heading3"/>
      </w:pPr>
      <w:bookmarkStart w:id="2904" w:name="section_c5ba9569da3445309743b040df140552"/>
      <w:bookmarkStart w:id="2905" w:name="_Toc69879225"/>
      <w:r>
        <w:t>Part 1 Section 21.2.2.34, crossesAt (Crossing Value)</w:t>
      </w:r>
      <w:bookmarkEnd w:id="2904"/>
      <w:bookmarkEnd w:id="2905"/>
      <w:r>
        <w:fldChar w:fldCharType="begin"/>
      </w:r>
      <w:r>
        <w:instrText xml:space="preserve"> XE "crossesAt (Crossing Value)"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5F78FC" w:rsidRDefault="00B42EF3">
      <w:pPr>
        <w:pStyle w:val="Definition-Field"/>
      </w:pPr>
      <w:r>
        <w:t xml:space="preserve">a.   </w:t>
      </w:r>
      <w:r>
        <w:rPr>
          <w:i/>
        </w:rPr>
        <w:t>The standard states the value's data type is determined by the parent element.</w:t>
      </w:r>
    </w:p>
    <w:p w:rsidR="005F78FC" w:rsidRDefault="00B42EF3">
      <w:r>
        <w:t xml:space="preserve">In Office, the value data </w:t>
      </w:r>
      <w:r>
        <w:t>type is inferred from the type of axis being crossed, as follows:</w:t>
      </w:r>
    </w:p>
    <w:p w:rsidR="005F78FC" w:rsidRDefault="00B42EF3">
      <w:r>
        <w:t xml:space="preserve">When the axis to cross is specified by a </w:t>
      </w:r>
      <w:r>
        <w:rPr>
          <w:b/>
        </w:rPr>
        <w:t>valAx</w:t>
      </w:r>
      <w:r>
        <w:t xml:space="preserve"> element, the value is a decimal number on the value axis. </w:t>
      </w:r>
    </w:p>
    <w:p w:rsidR="005F78FC" w:rsidRDefault="00B42EF3">
      <w:r>
        <w:lastRenderedPageBreak/>
        <w:t xml:space="preserve">When the axis to cross is specified by a </w:t>
      </w:r>
      <w:r>
        <w:rPr>
          <w:b/>
        </w:rPr>
        <w:t>dateAx element</w:t>
      </w:r>
      <w:r>
        <w:t>, the date is defined as an i</w:t>
      </w:r>
      <w:r>
        <w:t xml:space="preserve">nteger number on the date axis. </w:t>
      </w:r>
    </w:p>
    <w:p w:rsidR="005F78FC" w:rsidRDefault="00B42EF3">
      <w:r>
        <w:t xml:space="preserve">When the axis to cross is specified by a </w:t>
      </w:r>
      <w:r>
        <w:rPr>
          <w:b/>
        </w:rPr>
        <w:t>catAx</w:t>
      </w:r>
      <w:r>
        <w:t xml:space="preserve"> element, the value is an integer category number, starting with 1 as the first category.</w:t>
      </w:r>
    </w:p>
    <w:p w:rsidR="005F78FC" w:rsidRDefault="00B42EF3">
      <w:pPr>
        <w:pStyle w:val="Definition-Field"/>
      </w:pPr>
      <w:r>
        <w:t xml:space="preserve">b.   </w:t>
      </w:r>
      <w:r>
        <w:rPr>
          <w:i/>
        </w:rPr>
        <w:t xml:space="preserve">The standard states that the possible values for the val attribute are defined by </w:t>
      </w:r>
      <w:r>
        <w:rPr>
          <w:i/>
        </w:rPr>
        <w:t>the XML Schema double datatype.</w:t>
      </w:r>
    </w:p>
    <w:p w:rsidR="005F78FC" w:rsidRDefault="00B42EF3">
      <w:pPr>
        <w:pStyle w:val="Definition-Field2"/>
      </w:pPr>
      <w:r>
        <w:t>In Office, INF, -INF, and NaN are not supported values.</w:t>
      </w:r>
    </w:p>
    <w:p w:rsidR="005F78FC" w:rsidRDefault="00B42EF3">
      <w:pPr>
        <w:pStyle w:val="Heading3"/>
      </w:pPr>
      <w:bookmarkStart w:id="2906" w:name="section_c9de0cf2f9d5416aabe6f1b160b4e823"/>
      <w:bookmarkStart w:id="2907" w:name="_Toc69879226"/>
      <w:r>
        <w:t>Part 1 Section 21.2.2.36, custUnit (Custom Display Unit)</w:t>
      </w:r>
      <w:bookmarkEnd w:id="2906"/>
      <w:bookmarkEnd w:id="2907"/>
      <w:r>
        <w:fldChar w:fldCharType="begin"/>
      </w:r>
      <w:r>
        <w:instrText xml:space="preserve"> XE "custUnit (Custom Display Unit)"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002a323721c5425f83521a108d5bc7bb">
        <w:r>
          <w:rPr>
            <w:rStyle w:val="Hyperlink"/>
          </w:rPr>
          <w:t>splitPos, §21.</w:t>
        </w:r>
        <w:r>
          <w:rPr>
            <w:rStyle w:val="Hyperlink"/>
          </w:rPr>
          <w:t>2.2.195(c)</w:t>
        </w:r>
      </w:hyperlink>
      <w:r>
        <w:rPr>
          <w:i/>
        </w:rPr>
        <w:t>.</w:t>
      </w:r>
    </w:p>
    <w:p w:rsidR="005F78FC" w:rsidRDefault="00B42EF3">
      <w:pPr>
        <w:pStyle w:val="Definition-Field"/>
      </w:pPr>
      <w:r>
        <w:t xml:space="preserve">a.   </w:t>
      </w:r>
      <w:r>
        <w:rPr>
          <w:i/>
        </w:rPr>
        <w:t>The standard states that the possible values for the val attribute are defined by the XML Schema double datatype.</w:t>
      </w:r>
    </w:p>
    <w:p w:rsidR="005F78FC" w:rsidRDefault="00B42EF3">
      <w:pPr>
        <w:pStyle w:val="Definition-Field2"/>
      </w:pPr>
      <w:r>
        <w:t>In Office, INF, -INF, and NaN are not supported values.</w:t>
      </w:r>
    </w:p>
    <w:p w:rsidR="005F78FC" w:rsidRDefault="00B42EF3">
      <w:pPr>
        <w:pStyle w:val="Definition-Field"/>
      </w:pPr>
      <w:r>
        <w:t xml:space="preserve">b.   </w:t>
      </w:r>
      <w:r>
        <w:rPr>
          <w:i/>
        </w:rPr>
        <w:t>The standard states that the custUnit element specifies a custom</w:t>
      </w:r>
      <w:r>
        <w:rPr>
          <w:i/>
        </w:rPr>
        <w:t xml:space="preserve"> value for the display unit.</w:t>
      </w:r>
    </w:p>
    <w:p w:rsidR="005F78FC" w:rsidRDefault="00B42EF3">
      <w:pPr>
        <w:pStyle w:val="Definition-Field2"/>
      </w:pPr>
      <w:r>
        <w:t>In Office, this element specifies a custom value for the display unit for the axis. This element specifies the text shown by sibling element dispUnitsLbl when the dispUnitLbl does not contain a tx child element.</w:t>
      </w:r>
    </w:p>
    <w:p w:rsidR="005F78FC" w:rsidRDefault="00B42EF3">
      <w:pPr>
        <w:pStyle w:val="Heading3"/>
      </w:pPr>
      <w:bookmarkStart w:id="2908" w:name="section_1ddb29af9f9949ddb02407491c8d02ef"/>
      <w:bookmarkStart w:id="2909" w:name="_Toc69879227"/>
      <w:r>
        <w:t xml:space="preserve">Part 1 Section </w:t>
      </w:r>
      <w:r>
        <w:t>21.2.2.37, data (Data Cannot Be Changed)</w:t>
      </w:r>
      <w:bookmarkEnd w:id="2908"/>
      <w:bookmarkEnd w:id="2909"/>
      <w:r>
        <w:fldChar w:fldCharType="begin"/>
      </w:r>
      <w:r>
        <w:instrText xml:space="preserve"> XE "data (Data Cannot Be Changed)" </w:instrText>
      </w:r>
      <w:r>
        <w:fldChar w:fldCharType="end"/>
      </w:r>
    </w:p>
    <w:p w:rsidR="005F78FC" w:rsidRDefault="00B42EF3">
      <w:pPr>
        <w:pStyle w:val="Definition-Field"/>
      </w:pPr>
      <w:r>
        <w:t xml:space="preserve">a.   </w:t>
      </w:r>
      <w:r>
        <w:rPr>
          <w:i/>
        </w:rPr>
        <w:t>The standard states that the data element prevents the user from changing the choice of data used for the chart".</w:t>
      </w:r>
    </w:p>
    <w:p w:rsidR="005F78FC" w:rsidRDefault="00B42EF3">
      <w:pPr>
        <w:pStyle w:val="Definition-Field2"/>
      </w:pPr>
      <w:r>
        <w:t>Office does not respect this element and allows the user t</w:t>
      </w:r>
      <w:r>
        <w:t>o change the choice of data.</w:t>
      </w:r>
    </w:p>
    <w:p w:rsidR="005F78FC" w:rsidRDefault="00B42EF3">
      <w:pPr>
        <w:pStyle w:val="Heading3"/>
      </w:pPr>
      <w:bookmarkStart w:id="2910" w:name="section_6ef956354ff54794a80e60decf3acac7"/>
      <w:bookmarkStart w:id="2911" w:name="_Toc69879228"/>
      <w:r>
        <w:t>Part 1 Section 21.2.2.39, dateAx (Date Axis)</w:t>
      </w:r>
      <w:bookmarkEnd w:id="2910"/>
      <w:bookmarkEnd w:id="2911"/>
      <w:r>
        <w:fldChar w:fldCharType="begin"/>
      </w:r>
      <w:r>
        <w:instrText xml:space="preserve"> XE "dateAx (Date Axis)" </w:instrText>
      </w:r>
      <w:r>
        <w:fldChar w:fldCharType="end"/>
      </w:r>
    </w:p>
    <w:p w:rsidR="005F78FC" w:rsidRDefault="00B42EF3">
      <w:pPr>
        <w:pStyle w:val="Definition-Field"/>
      </w:pPr>
      <w:r>
        <w:t xml:space="preserve">a.   </w:t>
      </w:r>
      <w:r>
        <w:rPr>
          <w:i/>
        </w:rPr>
        <w:t>The standard does not place any restrictions on the val attribute of the axId element.</w:t>
      </w:r>
    </w:p>
    <w:p w:rsidR="005F78FC" w:rsidRDefault="00B42EF3">
      <w:pPr>
        <w:pStyle w:val="Definition-Field2"/>
      </w:pPr>
      <w:r>
        <w:t>Office requires that the val attribute of the axId element matc</w:t>
      </w:r>
      <w:r>
        <w:t>hes the val attribute of an axId element in the parent chart.</w:t>
      </w:r>
    </w:p>
    <w:p w:rsidR="005F78FC" w:rsidRDefault="00B42EF3">
      <w:pPr>
        <w:pStyle w:val="Definition-Field"/>
      </w:pPr>
      <w:r>
        <w:t xml:space="preserve">b.   </w:t>
      </w:r>
      <w:r>
        <w:rPr>
          <w:i/>
        </w:rPr>
        <w:t>The standard does not place any restrictions on the val attribute of the crossAx element.</w:t>
      </w:r>
    </w:p>
    <w:p w:rsidR="005F78FC" w:rsidRDefault="00B42EF3">
      <w:pPr>
        <w:pStyle w:val="Definition-Field2"/>
      </w:pPr>
      <w:r>
        <w:t xml:space="preserve">Office requires that the val attribute of the crossAx element matches the val attribute of an axId </w:t>
      </w:r>
      <w:r>
        <w:t>element in the parent chart.</w:t>
      </w:r>
    </w:p>
    <w:p w:rsidR="005F78FC" w:rsidRDefault="00B42EF3">
      <w:pPr>
        <w:pStyle w:val="Heading3"/>
      </w:pPr>
      <w:bookmarkStart w:id="2912" w:name="section_2643b6345b714371b8d9b25715fe3ebb"/>
      <w:bookmarkStart w:id="2913" w:name="_Toc69879229"/>
      <w:r>
        <w:t>Part 1 Section 21.2.2.41, depthPercent (Depth Percent)</w:t>
      </w:r>
      <w:bookmarkEnd w:id="2912"/>
      <w:bookmarkEnd w:id="2913"/>
      <w:r>
        <w:fldChar w:fldCharType="begin"/>
      </w:r>
      <w:r>
        <w:instrText xml:space="preserve"> XE "depthPercent (Depth Percent)" </w:instrText>
      </w:r>
      <w:r>
        <w:fldChar w:fldCharType="end"/>
      </w:r>
    </w:p>
    <w:p w:rsidR="005F78FC" w:rsidRDefault="00B42EF3">
      <w:pPr>
        <w:pStyle w:val="Definition-Field"/>
      </w:pPr>
      <w:r>
        <w:t xml:space="preserve">a.   </w:t>
      </w:r>
      <w:r>
        <w:rPr>
          <w:i/>
        </w:rPr>
        <w:t>The standard states that the depthpercent element specifies the depth of a 3-D chart as a percentage of the chart width.</w:t>
      </w:r>
    </w:p>
    <w:p w:rsidR="005F78FC" w:rsidRDefault="00B42EF3">
      <w:pPr>
        <w:pStyle w:val="Definition-Field2"/>
      </w:pPr>
      <w:r>
        <w:t>In Office</w:t>
      </w:r>
      <w:r>
        <w:t>, this element specifies the depth of a 3-D chart as a percentage of the 3-D plot area width.</w:t>
      </w:r>
    </w:p>
    <w:p w:rsidR="005F78FC" w:rsidRDefault="00B42EF3">
      <w:pPr>
        <w:pStyle w:val="Heading3"/>
      </w:pPr>
      <w:bookmarkStart w:id="2914" w:name="section_1942c0283c4e4dd9a379b12a9b7914df"/>
      <w:bookmarkStart w:id="2915" w:name="_Toc69879230"/>
      <w:r>
        <w:t>Part 1 Section 21.2.2.42, dispBlanksAs (Display Blanks As)</w:t>
      </w:r>
      <w:bookmarkEnd w:id="2914"/>
      <w:bookmarkEnd w:id="2915"/>
      <w:r>
        <w:fldChar w:fldCharType="begin"/>
      </w:r>
      <w:r>
        <w:instrText xml:space="preserve"> XE "dispBlanksAs (Display Blanks As)" </w:instrText>
      </w:r>
      <w:r>
        <w:fldChar w:fldCharType="end"/>
      </w:r>
    </w:p>
    <w:p w:rsidR="005F78FC" w:rsidRDefault="00B42EF3">
      <w:pPr>
        <w:pStyle w:val="Definition-Field"/>
      </w:pPr>
      <w:r>
        <w:t xml:space="preserve">a.   </w:t>
      </w:r>
      <w:r>
        <w:rPr>
          <w:i/>
        </w:rPr>
        <w:t>The standard places no restriction on @val beyond ST_Disp</w:t>
      </w:r>
      <w:r>
        <w:rPr>
          <w:i/>
        </w:rPr>
        <w:t>layBlanksAs.</w:t>
      </w:r>
    </w:p>
    <w:p w:rsidR="005F78FC" w:rsidRDefault="00B42EF3">
      <w:r>
        <w:lastRenderedPageBreak/>
        <w:t>The following table shows which chart types support which methods of displaying blank cells.  The supported methods often depend on the chart’s grouping ("</w:t>
      </w:r>
      <w:hyperlink r:id="rId211">
        <w:r>
          <w:rPr>
            <w:rStyle w:val="Hyperlink"/>
          </w:rPr>
          <w:t>[ISO/IEC-29500-1]</w:t>
        </w:r>
      </w:hyperlink>
      <w:r>
        <w:t xml:space="preserve"> §21.</w:t>
      </w:r>
      <w:r>
        <w:t>2.2.76; grouping")</w:t>
      </w:r>
      <w:r>
        <w:rPr>
          <w:b/>
        </w:rPr>
        <w:t xml:space="preserve"> type.</w:t>
      </w:r>
    </w:p>
    <w:tbl>
      <w:tblPr>
        <w:tblStyle w:val="Table-ShadedHeader"/>
        <w:tblW w:w="0" w:type="auto"/>
        <w:tblLook w:val="04A0" w:firstRow="1" w:lastRow="0" w:firstColumn="1" w:lastColumn="0" w:noHBand="0" w:noVBand="1"/>
      </w:tblPr>
      <w:tblGrid>
        <w:gridCol w:w="6555"/>
        <w:gridCol w:w="678"/>
        <w:gridCol w:w="678"/>
        <w:gridCol w:w="678"/>
        <w:gridCol w:w="886"/>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Chart Type</w:t>
            </w:r>
          </w:p>
        </w:tc>
        <w:tc>
          <w:tcPr>
            <w:tcW w:w="0" w:type="auto"/>
            <w:vAlign w:val="center"/>
          </w:tcPr>
          <w:p w:rsidR="005F78FC" w:rsidRDefault="00B42EF3">
            <w:pPr>
              <w:pStyle w:val="TableHeaderText"/>
            </w:pPr>
            <w:r>
              <w:t>Gap</w:t>
            </w:r>
          </w:p>
        </w:tc>
        <w:tc>
          <w:tcPr>
            <w:tcW w:w="0" w:type="auto"/>
            <w:vAlign w:val="center"/>
          </w:tcPr>
          <w:p w:rsidR="005F78FC" w:rsidRDefault="00B42EF3">
            <w:pPr>
              <w:pStyle w:val="TableHeaderText"/>
            </w:pPr>
            <w:r>
              <w:t>Span</w:t>
            </w:r>
          </w:p>
        </w:tc>
        <w:tc>
          <w:tcPr>
            <w:tcW w:w="0" w:type="auto"/>
            <w:vAlign w:val="center"/>
          </w:tcPr>
          <w:p w:rsidR="005F78FC" w:rsidRDefault="00B42EF3">
            <w:pPr>
              <w:pStyle w:val="TableHeaderText"/>
            </w:pPr>
            <w:r>
              <w:t>Zero</w:t>
            </w:r>
          </w:p>
        </w:tc>
        <w:tc>
          <w:tcPr>
            <w:tcW w:w="0" w:type="auto"/>
            <w:vAlign w:val="center"/>
          </w:tcPr>
          <w:p w:rsidR="005F78FC" w:rsidRDefault="00B42EF3">
            <w:pPr>
              <w:pStyle w:val="TableHeaderText"/>
            </w:pPr>
            <w:r>
              <w:t>Default</w:t>
            </w:r>
          </w:p>
        </w:tc>
      </w:tr>
      <w:tr w:rsidR="005F78FC" w:rsidTr="005F78FC">
        <w:tc>
          <w:tcPr>
            <w:tcW w:w="0" w:type="auto"/>
            <w:vAlign w:val="center"/>
          </w:tcPr>
          <w:p w:rsidR="005F78FC" w:rsidRDefault="00B42EF3">
            <w:pPr>
              <w:pStyle w:val="TableBodyText"/>
            </w:pPr>
            <w:r>
              <w:t>("[ISO/IEC-29500-1] §21.2.2.16; barChart (Bar Charts)")</w:t>
            </w:r>
            <w:r>
              <w:rPr>
                <w:b/>
              </w:rPr>
              <w:t xml:space="preserve"> </w:t>
            </w:r>
          </w:p>
        </w:tc>
        <w:tc>
          <w:tcPr>
            <w:tcW w:w="0" w:type="auto"/>
            <w:vAlign w:val="center"/>
          </w:tcPr>
          <w:p w:rsidR="005F78FC" w:rsidRDefault="00B42EF3">
            <w:pPr>
              <w:pStyle w:val="ListParagraph"/>
              <w:numPr>
                <w:ilvl w:val="0"/>
                <w:numId w:val="136"/>
              </w:numPr>
            </w:pPr>
            <w:r>
              <w:t>•</w:t>
            </w:r>
          </w:p>
        </w:tc>
        <w:tc>
          <w:tcPr>
            <w:tcW w:w="0" w:type="auto"/>
            <w:vAlign w:val="center"/>
          </w:tcPr>
          <w:p w:rsidR="005F78FC" w:rsidRDefault="005F78FC">
            <w:pPr>
              <w:pStyle w:val="TableBodyText"/>
            </w:pPr>
          </w:p>
        </w:tc>
        <w:tc>
          <w:tcPr>
            <w:tcW w:w="0" w:type="auto"/>
            <w:vAlign w:val="center"/>
          </w:tcPr>
          <w:p w:rsidR="005F78FC" w:rsidRDefault="00B42EF3">
            <w:pPr>
              <w:pStyle w:val="ListParagraph"/>
              <w:numPr>
                <w:ilvl w:val="0"/>
                <w:numId w:val="137"/>
              </w:numPr>
            </w:pPr>
            <w:r>
              <w:t>•</w:t>
            </w:r>
          </w:p>
        </w:tc>
        <w:tc>
          <w:tcPr>
            <w:tcW w:w="0" w:type="auto"/>
            <w:vAlign w:val="center"/>
          </w:tcPr>
          <w:p w:rsidR="005F78FC" w:rsidRDefault="00B42EF3">
            <w:pPr>
              <w:pStyle w:val="TableBodyText"/>
            </w:pPr>
            <w:r>
              <w:rPr>
                <w:i/>
              </w:rPr>
              <w:t>gap</w:t>
            </w:r>
          </w:p>
        </w:tc>
      </w:tr>
      <w:tr w:rsidR="005F78FC" w:rsidTr="005F78FC">
        <w:tc>
          <w:tcPr>
            <w:tcW w:w="0" w:type="auto"/>
            <w:vAlign w:val="center"/>
          </w:tcPr>
          <w:p w:rsidR="005F78FC" w:rsidRDefault="00B42EF3">
            <w:pPr>
              <w:pStyle w:val="TableBodyText"/>
            </w:pPr>
            <w:r>
              <w:t>("[ISO/IEC-29500-1] §21.2.2.15; bar3DChart (3D Bar Charts)")</w:t>
            </w:r>
            <w:r>
              <w:rPr>
                <w:b/>
              </w:rPr>
              <w:t xml:space="preserve"> </w:t>
            </w:r>
          </w:p>
        </w:tc>
        <w:tc>
          <w:tcPr>
            <w:tcW w:w="0" w:type="auto"/>
            <w:vAlign w:val="center"/>
          </w:tcPr>
          <w:p w:rsidR="005F78FC" w:rsidRDefault="00B42EF3">
            <w:pPr>
              <w:pStyle w:val="ListParagraph"/>
              <w:numPr>
                <w:ilvl w:val="0"/>
                <w:numId w:val="138"/>
              </w:numPr>
            </w:pPr>
            <w:r>
              <w:t>•</w:t>
            </w:r>
          </w:p>
        </w:tc>
        <w:tc>
          <w:tcPr>
            <w:tcW w:w="0" w:type="auto"/>
            <w:vAlign w:val="center"/>
          </w:tcPr>
          <w:p w:rsidR="005F78FC" w:rsidRDefault="005F78FC">
            <w:pPr>
              <w:pStyle w:val="TableBodyText"/>
            </w:pPr>
          </w:p>
        </w:tc>
        <w:tc>
          <w:tcPr>
            <w:tcW w:w="0" w:type="auto"/>
            <w:vAlign w:val="center"/>
          </w:tcPr>
          <w:p w:rsidR="005F78FC" w:rsidRDefault="00B42EF3">
            <w:pPr>
              <w:pStyle w:val="ListParagraph"/>
              <w:numPr>
                <w:ilvl w:val="0"/>
                <w:numId w:val="139"/>
              </w:numPr>
            </w:pPr>
            <w:r>
              <w:t>•</w:t>
            </w:r>
          </w:p>
        </w:tc>
        <w:tc>
          <w:tcPr>
            <w:tcW w:w="0" w:type="auto"/>
            <w:vAlign w:val="center"/>
          </w:tcPr>
          <w:p w:rsidR="005F78FC" w:rsidRDefault="00B42EF3">
            <w:pPr>
              <w:pStyle w:val="TableBodyText"/>
            </w:pPr>
            <w:r>
              <w:rPr>
                <w:i/>
              </w:rPr>
              <w:t>gap</w:t>
            </w:r>
          </w:p>
        </w:tc>
      </w:tr>
      <w:tr w:rsidR="005F78FC" w:rsidTr="005F78FC">
        <w:tc>
          <w:tcPr>
            <w:tcW w:w="0" w:type="auto"/>
            <w:vAlign w:val="center"/>
          </w:tcPr>
          <w:p w:rsidR="005F78FC" w:rsidRDefault="00B42EF3">
            <w:pPr>
              <w:pStyle w:val="TableBodyText"/>
            </w:pPr>
            <w:r>
              <w:t>("[ISO/IEC-29500-1] §21.2.2.5; areaChart (Area Charts)")</w:t>
            </w:r>
            <w:r>
              <w:rPr>
                <w:b/>
              </w:rPr>
              <w:t xml:space="preserve"> </w:t>
            </w:r>
            <w:r>
              <w:t xml:space="preserve">where </w:t>
            </w:r>
            <w:r>
              <w:rPr>
                <w:b/>
              </w:rPr>
              <w:t>grouping</w:t>
            </w:r>
            <w:r>
              <w:t xml:space="preserve"> is </w:t>
            </w:r>
            <w:r>
              <w:rPr>
                <w:i/>
              </w:rPr>
              <w:t>standard</w:t>
            </w:r>
          </w:p>
        </w:tc>
        <w:tc>
          <w:tcPr>
            <w:tcW w:w="0" w:type="auto"/>
            <w:vAlign w:val="center"/>
          </w:tcPr>
          <w:p w:rsidR="005F78FC" w:rsidRDefault="00B42EF3">
            <w:pPr>
              <w:pStyle w:val="ListParagraph"/>
              <w:numPr>
                <w:ilvl w:val="0"/>
                <w:numId w:val="140"/>
              </w:numPr>
            </w:pPr>
            <w:r>
              <w:t>•</w:t>
            </w:r>
          </w:p>
        </w:tc>
        <w:tc>
          <w:tcPr>
            <w:tcW w:w="0" w:type="auto"/>
            <w:vAlign w:val="center"/>
          </w:tcPr>
          <w:p w:rsidR="005F78FC" w:rsidRDefault="005F78FC">
            <w:pPr>
              <w:pStyle w:val="TableBodyText"/>
            </w:pPr>
          </w:p>
        </w:tc>
        <w:tc>
          <w:tcPr>
            <w:tcW w:w="0" w:type="auto"/>
            <w:vAlign w:val="center"/>
          </w:tcPr>
          <w:p w:rsidR="005F78FC" w:rsidRDefault="00B42EF3">
            <w:pPr>
              <w:pStyle w:val="ListParagraph"/>
              <w:numPr>
                <w:ilvl w:val="0"/>
                <w:numId w:val="141"/>
              </w:numPr>
            </w:pPr>
            <w:r>
              <w:t>•</w:t>
            </w:r>
          </w:p>
        </w:tc>
        <w:tc>
          <w:tcPr>
            <w:tcW w:w="0" w:type="auto"/>
            <w:vAlign w:val="center"/>
          </w:tcPr>
          <w:p w:rsidR="005F78FC" w:rsidRDefault="00B42EF3">
            <w:pPr>
              <w:pStyle w:val="TableBodyText"/>
            </w:pPr>
            <w:r>
              <w:rPr>
                <w:i/>
              </w:rPr>
              <w:t>gap</w:t>
            </w:r>
          </w:p>
        </w:tc>
      </w:tr>
      <w:tr w:rsidR="005F78FC" w:rsidTr="005F78FC">
        <w:tc>
          <w:tcPr>
            <w:tcW w:w="0" w:type="auto"/>
            <w:vAlign w:val="center"/>
          </w:tcPr>
          <w:p w:rsidR="005F78FC" w:rsidRDefault="00B42EF3">
            <w:pPr>
              <w:pStyle w:val="TableBodyText"/>
            </w:pPr>
            <w:r>
              <w:t>("[ISO/IEC-29500-1] §21.2.2.5; areaChart (Area Charts)")</w:t>
            </w:r>
            <w:r>
              <w:rPr>
                <w:b/>
              </w:rPr>
              <w:t xml:space="preserve"> </w:t>
            </w:r>
            <w:r>
              <w:t xml:space="preserve">where </w:t>
            </w:r>
            <w:r>
              <w:rPr>
                <w:b/>
              </w:rPr>
              <w:t>grouping</w:t>
            </w:r>
            <w:r>
              <w:t xml:space="preserve"> is not </w:t>
            </w:r>
            <w:r>
              <w:rPr>
                <w:i/>
              </w:rPr>
              <w:t>standard</w:t>
            </w:r>
          </w:p>
        </w:tc>
        <w:tc>
          <w:tcPr>
            <w:tcW w:w="0" w:type="auto"/>
            <w:vAlign w:val="center"/>
          </w:tcPr>
          <w:p w:rsidR="005F78FC" w:rsidRDefault="005F78FC">
            <w:pPr>
              <w:pStyle w:val="TableBodyText"/>
            </w:pPr>
          </w:p>
        </w:tc>
        <w:tc>
          <w:tcPr>
            <w:tcW w:w="0" w:type="auto"/>
            <w:vAlign w:val="center"/>
          </w:tcPr>
          <w:p w:rsidR="005F78FC" w:rsidRDefault="005F78FC">
            <w:pPr>
              <w:pStyle w:val="TableBodyText"/>
            </w:pPr>
          </w:p>
        </w:tc>
        <w:tc>
          <w:tcPr>
            <w:tcW w:w="0" w:type="auto"/>
            <w:vAlign w:val="center"/>
          </w:tcPr>
          <w:p w:rsidR="005F78FC" w:rsidRDefault="00B42EF3">
            <w:pPr>
              <w:pStyle w:val="ListParagraph"/>
              <w:numPr>
                <w:ilvl w:val="0"/>
                <w:numId w:val="142"/>
              </w:numPr>
            </w:pPr>
            <w:r>
              <w:t>•</w:t>
            </w:r>
          </w:p>
        </w:tc>
        <w:tc>
          <w:tcPr>
            <w:tcW w:w="0" w:type="auto"/>
            <w:vAlign w:val="center"/>
          </w:tcPr>
          <w:p w:rsidR="005F78FC" w:rsidRDefault="00B42EF3">
            <w:pPr>
              <w:pStyle w:val="TableBodyText"/>
            </w:pPr>
            <w:r>
              <w:rPr>
                <w:i/>
              </w:rPr>
              <w:t>zero</w:t>
            </w:r>
          </w:p>
        </w:tc>
      </w:tr>
      <w:tr w:rsidR="005F78FC" w:rsidTr="005F78FC">
        <w:tc>
          <w:tcPr>
            <w:tcW w:w="0" w:type="auto"/>
            <w:vAlign w:val="center"/>
          </w:tcPr>
          <w:p w:rsidR="005F78FC" w:rsidRDefault="00B42EF3">
            <w:pPr>
              <w:pStyle w:val="TableBodyText"/>
            </w:pPr>
            <w:r>
              <w:t>("[ISO/IEC-29500-1] §21.2.2.4; area3DChart (3D Area Charts)")</w:t>
            </w:r>
          </w:p>
        </w:tc>
        <w:tc>
          <w:tcPr>
            <w:tcW w:w="0" w:type="auto"/>
            <w:vAlign w:val="center"/>
          </w:tcPr>
          <w:p w:rsidR="005F78FC" w:rsidRDefault="005F78FC">
            <w:pPr>
              <w:pStyle w:val="TableBodyText"/>
            </w:pPr>
          </w:p>
        </w:tc>
        <w:tc>
          <w:tcPr>
            <w:tcW w:w="0" w:type="auto"/>
            <w:vAlign w:val="center"/>
          </w:tcPr>
          <w:p w:rsidR="005F78FC" w:rsidRDefault="005F78FC">
            <w:pPr>
              <w:pStyle w:val="TableBodyText"/>
            </w:pPr>
          </w:p>
        </w:tc>
        <w:tc>
          <w:tcPr>
            <w:tcW w:w="0" w:type="auto"/>
            <w:vAlign w:val="center"/>
          </w:tcPr>
          <w:p w:rsidR="005F78FC" w:rsidRDefault="00B42EF3">
            <w:pPr>
              <w:pStyle w:val="ListParagraph"/>
              <w:numPr>
                <w:ilvl w:val="0"/>
                <w:numId w:val="143"/>
              </w:numPr>
            </w:pPr>
            <w:r>
              <w:t>•</w:t>
            </w:r>
          </w:p>
        </w:tc>
        <w:tc>
          <w:tcPr>
            <w:tcW w:w="0" w:type="auto"/>
            <w:vAlign w:val="center"/>
          </w:tcPr>
          <w:p w:rsidR="005F78FC" w:rsidRDefault="00B42EF3">
            <w:pPr>
              <w:pStyle w:val="TableBodyText"/>
            </w:pPr>
            <w:r>
              <w:rPr>
                <w:i/>
              </w:rPr>
              <w:t>zero</w:t>
            </w:r>
          </w:p>
        </w:tc>
      </w:tr>
      <w:tr w:rsidR="005F78FC" w:rsidTr="005F78FC">
        <w:tc>
          <w:tcPr>
            <w:tcW w:w="0" w:type="auto"/>
            <w:vAlign w:val="center"/>
          </w:tcPr>
          <w:p w:rsidR="005F78FC" w:rsidRDefault="00B42EF3">
            <w:pPr>
              <w:pStyle w:val="TableBodyText"/>
            </w:pPr>
            <w:r>
              <w:t>("[ISO/IEC-29500-1]</w:t>
            </w:r>
            <w:r>
              <w:t xml:space="preserve"> §21.2.2.97; lineChart (Line Charts)")</w:t>
            </w:r>
            <w:r>
              <w:rPr>
                <w:b/>
              </w:rPr>
              <w:t xml:space="preserve"> </w:t>
            </w:r>
            <w:r>
              <w:t xml:space="preserve">where </w:t>
            </w:r>
            <w:r>
              <w:rPr>
                <w:b/>
              </w:rPr>
              <w:t>grouping</w:t>
            </w:r>
            <w:r>
              <w:t xml:space="preserve"> is </w:t>
            </w:r>
            <w:r>
              <w:rPr>
                <w:i/>
              </w:rPr>
              <w:t>standard</w:t>
            </w:r>
          </w:p>
        </w:tc>
        <w:tc>
          <w:tcPr>
            <w:tcW w:w="0" w:type="auto"/>
            <w:vAlign w:val="center"/>
          </w:tcPr>
          <w:p w:rsidR="005F78FC" w:rsidRDefault="00B42EF3">
            <w:pPr>
              <w:pStyle w:val="ListParagraph"/>
              <w:numPr>
                <w:ilvl w:val="0"/>
                <w:numId w:val="144"/>
              </w:numPr>
            </w:pPr>
            <w:r>
              <w:t>•</w:t>
            </w:r>
          </w:p>
        </w:tc>
        <w:tc>
          <w:tcPr>
            <w:tcW w:w="0" w:type="auto"/>
            <w:vAlign w:val="center"/>
          </w:tcPr>
          <w:p w:rsidR="005F78FC" w:rsidRDefault="00B42EF3">
            <w:pPr>
              <w:pStyle w:val="ListParagraph"/>
              <w:numPr>
                <w:ilvl w:val="0"/>
                <w:numId w:val="145"/>
              </w:numPr>
            </w:pPr>
            <w:r>
              <w:t>•</w:t>
            </w:r>
          </w:p>
        </w:tc>
        <w:tc>
          <w:tcPr>
            <w:tcW w:w="0" w:type="auto"/>
            <w:vAlign w:val="center"/>
          </w:tcPr>
          <w:p w:rsidR="005F78FC" w:rsidRDefault="00B42EF3">
            <w:pPr>
              <w:pStyle w:val="ListParagraph"/>
              <w:numPr>
                <w:ilvl w:val="0"/>
                <w:numId w:val="146"/>
              </w:numPr>
            </w:pPr>
            <w:r>
              <w:t>•</w:t>
            </w:r>
          </w:p>
        </w:tc>
        <w:tc>
          <w:tcPr>
            <w:tcW w:w="0" w:type="auto"/>
            <w:vAlign w:val="center"/>
          </w:tcPr>
          <w:p w:rsidR="005F78FC" w:rsidRDefault="00B42EF3">
            <w:pPr>
              <w:pStyle w:val="TableBodyText"/>
            </w:pPr>
            <w:r>
              <w:rPr>
                <w:i/>
              </w:rPr>
              <w:t>gap</w:t>
            </w:r>
          </w:p>
        </w:tc>
      </w:tr>
      <w:tr w:rsidR="005F78FC" w:rsidTr="005F78FC">
        <w:tc>
          <w:tcPr>
            <w:tcW w:w="0" w:type="auto"/>
            <w:vAlign w:val="center"/>
          </w:tcPr>
          <w:p w:rsidR="005F78FC" w:rsidRDefault="00B42EF3">
            <w:pPr>
              <w:pStyle w:val="TableBodyText"/>
            </w:pPr>
            <w:r>
              <w:t>("[ISO/IEC-29500-1] §21.2.2.97; lineChart (Line Charts)")</w:t>
            </w:r>
            <w:r>
              <w:rPr>
                <w:b/>
              </w:rPr>
              <w:t xml:space="preserve"> </w:t>
            </w:r>
            <w:r>
              <w:t xml:space="preserve">where </w:t>
            </w:r>
            <w:r>
              <w:rPr>
                <w:b/>
              </w:rPr>
              <w:t>grouping</w:t>
            </w:r>
            <w:r>
              <w:t xml:space="preserve"> is not </w:t>
            </w:r>
            <w:r>
              <w:rPr>
                <w:i/>
              </w:rPr>
              <w:t>standard</w:t>
            </w:r>
          </w:p>
        </w:tc>
        <w:tc>
          <w:tcPr>
            <w:tcW w:w="0" w:type="auto"/>
            <w:vAlign w:val="center"/>
          </w:tcPr>
          <w:p w:rsidR="005F78FC" w:rsidRDefault="005F78FC">
            <w:pPr>
              <w:pStyle w:val="TableBodyText"/>
            </w:pPr>
          </w:p>
        </w:tc>
        <w:tc>
          <w:tcPr>
            <w:tcW w:w="0" w:type="auto"/>
            <w:vAlign w:val="center"/>
          </w:tcPr>
          <w:p w:rsidR="005F78FC" w:rsidRDefault="005F78FC">
            <w:pPr>
              <w:pStyle w:val="TableBodyText"/>
            </w:pPr>
          </w:p>
        </w:tc>
        <w:tc>
          <w:tcPr>
            <w:tcW w:w="0" w:type="auto"/>
            <w:vAlign w:val="center"/>
          </w:tcPr>
          <w:p w:rsidR="005F78FC" w:rsidRDefault="00B42EF3">
            <w:pPr>
              <w:pStyle w:val="ListParagraph"/>
              <w:numPr>
                <w:ilvl w:val="0"/>
                <w:numId w:val="147"/>
              </w:numPr>
            </w:pPr>
            <w:r>
              <w:t>•</w:t>
            </w:r>
          </w:p>
        </w:tc>
        <w:tc>
          <w:tcPr>
            <w:tcW w:w="0" w:type="auto"/>
            <w:vAlign w:val="center"/>
          </w:tcPr>
          <w:p w:rsidR="005F78FC" w:rsidRDefault="00B42EF3">
            <w:pPr>
              <w:pStyle w:val="TableBodyText"/>
            </w:pPr>
            <w:r>
              <w:rPr>
                <w:i/>
              </w:rPr>
              <w:t>zero</w:t>
            </w:r>
          </w:p>
        </w:tc>
      </w:tr>
      <w:tr w:rsidR="005F78FC" w:rsidTr="005F78FC">
        <w:tc>
          <w:tcPr>
            <w:tcW w:w="0" w:type="auto"/>
            <w:vAlign w:val="center"/>
          </w:tcPr>
          <w:p w:rsidR="005F78FC" w:rsidRDefault="00B42EF3">
            <w:pPr>
              <w:pStyle w:val="TableBodyText"/>
            </w:pPr>
            <w:r>
              <w:t>("[ISO/IEC-29500-1] §21.2.2.96; line3DChart (3D Line Charts)")</w:t>
            </w:r>
          </w:p>
        </w:tc>
        <w:tc>
          <w:tcPr>
            <w:tcW w:w="0" w:type="auto"/>
            <w:vAlign w:val="center"/>
          </w:tcPr>
          <w:p w:rsidR="005F78FC" w:rsidRDefault="00B42EF3">
            <w:pPr>
              <w:pStyle w:val="ListParagraph"/>
              <w:numPr>
                <w:ilvl w:val="0"/>
                <w:numId w:val="148"/>
              </w:numPr>
            </w:pPr>
            <w:r>
              <w:t>•</w:t>
            </w:r>
          </w:p>
        </w:tc>
        <w:tc>
          <w:tcPr>
            <w:tcW w:w="0" w:type="auto"/>
            <w:vAlign w:val="center"/>
          </w:tcPr>
          <w:p w:rsidR="005F78FC" w:rsidRDefault="005F78FC">
            <w:pPr>
              <w:pStyle w:val="TableBodyText"/>
            </w:pPr>
          </w:p>
        </w:tc>
        <w:tc>
          <w:tcPr>
            <w:tcW w:w="0" w:type="auto"/>
            <w:vAlign w:val="center"/>
          </w:tcPr>
          <w:p w:rsidR="005F78FC" w:rsidRDefault="00B42EF3">
            <w:pPr>
              <w:pStyle w:val="ListParagraph"/>
              <w:numPr>
                <w:ilvl w:val="0"/>
                <w:numId w:val="149"/>
              </w:numPr>
            </w:pPr>
            <w:r>
              <w:t>•</w:t>
            </w:r>
          </w:p>
        </w:tc>
        <w:tc>
          <w:tcPr>
            <w:tcW w:w="0" w:type="auto"/>
            <w:vAlign w:val="center"/>
          </w:tcPr>
          <w:p w:rsidR="005F78FC" w:rsidRDefault="00B42EF3">
            <w:pPr>
              <w:pStyle w:val="TableBodyText"/>
            </w:pPr>
            <w:r>
              <w:rPr>
                <w:i/>
              </w:rPr>
              <w:t>gap</w:t>
            </w:r>
          </w:p>
        </w:tc>
      </w:tr>
      <w:tr w:rsidR="005F78FC" w:rsidTr="005F78FC">
        <w:tc>
          <w:tcPr>
            <w:tcW w:w="0" w:type="auto"/>
            <w:vAlign w:val="center"/>
          </w:tcPr>
          <w:p w:rsidR="005F78FC" w:rsidRDefault="00B42EF3">
            <w:pPr>
              <w:pStyle w:val="TableBodyText"/>
            </w:pPr>
            <w:r>
              <w:t>("</w:t>
            </w:r>
            <w:r>
              <w:t>[ISO/IEC-29500-1] §21.2.2.141; pieChart (Pie Charts)")</w:t>
            </w:r>
          </w:p>
        </w:tc>
        <w:tc>
          <w:tcPr>
            <w:tcW w:w="0" w:type="auto"/>
            <w:vAlign w:val="center"/>
          </w:tcPr>
          <w:p w:rsidR="005F78FC" w:rsidRDefault="00B42EF3">
            <w:pPr>
              <w:pStyle w:val="ListParagraph"/>
              <w:numPr>
                <w:ilvl w:val="0"/>
                <w:numId w:val="150"/>
              </w:numPr>
            </w:pPr>
            <w:r>
              <w:t>•</w:t>
            </w:r>
          </w:p>
        </w:tc>
        <w:tc>
          <w:tcPr>
            <w:tcW w:w="0" w:type="auto"/>
            <w:vAlign w:val="center"/>
          </w:tcPr>
          <w:p w:rsidR="005F78FC" w:rsidRDefault="005F78FC">
            <w:pPr>
              <w:pStyle w:val="TableBodyText"/>
            </w:pPr>
          </w:p>
        </w:tc>
        <w:tc>
          <w:tcPr>
            <w:tcW w:w="0" w:type="auto"/>
            <w:vAlign w:val="center"/>
          </w:tcPr>
          <w:p w:rsidR="005F78FC" w:rsidRDefault="00B42EF3">
            <w:pPr>
              <w:pStyle w:val="ListParagraph"/>
              <w:numPr>
                <w:ilvl w:val="0"/>
                <w:numId w:val="151"/>
              </w:numPr>
            </w:pPr>
            <w:r>
              <w:t>•</w:t>
            </w:r>
          </w:p>
        </w:tc>
        <w:tc>
          <w:tcPr>
            <w:tcW w:w="0" w:type="auto"/>
            <w:vAlign w:val="center"/>
          </w:tcPr>
          <w:p w:rsidR="005F78FC" w:rsidRDefault="00B42EF3">
            <w:pPr>
              <w:pStyle w:val="TableBodyText"/>
            </w:pPr>
            <w:r>
              <w:rPr>
                <w:i/>
              </w:rPr>
              <w:t>gap</w:t>
            </w:r>
          </w:p>
        </w:tc>
      </w:tr>
      <w:tr w:rsidR="005F78FC" w:rsidTr="005F78FC">
        <w:tc>
          <w:tcPr>
            <w:tcW w:w="0" w:type="auto"/>
            <w:vAlign w:val="center"/>
          </w:tcPr>
          <w:p w:rsidR="005F78FC" w:rsidRDefault="00B42EF3">
            <w:pPr>
              <w:pStyle w:val="TableBodyText"/>
            </w:pPr>
            <w:r>
              <w:t>("[ISO/IEC-29500-1] §21.2.2.140; pie3DChart (3D Pie Charts)")</w:t>
            </w:r>
          </w:p>
        </w:tc>
        <w:tc>
          <w:tcPr>
            <w:tcW w:w="0" w:type="auto"/>
            <w:vAlign w:val="center"/>
          </w:tcPr>
          <w:p w:rsidR="005F78FC" w:rsidRDefault="00B42EF3">
            <w:pPr>
              <w:pStyle w:val="ListParagraph"/>
              <w:numPr>
                <w:ilvl w:val="0"/>
                <w:numId w:val="152"/>
              </w:numPr>
            </w:pPr>
            <w:r>
              <w:t>•</w:t>
            </w:r>
          </w:p>
        </w:tc>
        <w:tc>
          <w:tcPr>
            <w:tcW w:w="0" w:type="auto"/>
            <w:vAlign w:val="center"/>
          </w:tcPr>
          <w:p w:rsidR="005F78FC" w:rsidRDefault="005F78FC">
            <w:pPr>
              <w:pStyle w:val="TableBodyText"/>
            </w:pPr>
          </w:p>
        </w:tc>
        <w:tc>
          <w:tcPr>
            <w:tcW w:w="0" w:type="auto"/>
            <w:vAlign w:val="center"/>
          </w:tcPr>
          <w:p w:rsidR="005F78FC" w:rsidRDefault="00B42EF3">
            <w:pPr>
              <w:pStyle w:val="ListParagraph"/>
              <w:numPr>
                <w:ilvl w:val="0"/>
                <w:numId w:val="153"/>
              </w:numPr>
            </w:pPr>
            <w:r>
              <w:t>•</w:t>
            </w:r>
          </w:p>
        </w:tc>
        <w:tc>
          <w:tcPr>
            <w:tcW w:w="0" w:type="auto"/>
            <w:vAlign w:val="center"/>
          </w:tcPr>
          <w:p w:rsidR="005F78FC" w:rsidRDefault="00B42EF3">
            <w:pPr>
              <w:pStyle w:val="TableBodyText"/>
            </w:pPr>
            <w:r>
              <w:rPr>
                <w:i/>
              </w:rPr>
              <w:t>gap</w:t>
            </w:r>
          </w:p>
        </w:tc>
      </w:tr>
      <w:tr w:rsidR="005F78FC" w:rsidTr="005F78FC">
        <w:tc>
          <w:tcPr>
            <w:tcW w:w="0" w:type="auto"/>
            <w:vAlign w:val="center"/>
          </w:tcPr>
          <w:p w:rsidR="005F78FC" w:rsidRDefault="00B42EF3">
            <w:pPr>
              <w:pStyle w:val="TableBodyText"/>
            </w:pPr>
            <w:r>
              <w:t>("[ISO/IEC-29500-1] §21.2.2.50; doughnutChart (Doughnut Charts)")</w:t>
            </w:r>
          </w:p>
        </w:tc>
        <w:tc>
          <w:tcPr>
            <w:tcW w:w="0" w:type="auto"/>
            <w:vAlign w:val="center"/>
          </w:tcPr>
          <w:p w:rsidR="005F78FC" w:rsidRDefault="00B42EF3">
            <w:pPr>
              <w:pStyle w:val="ListParagraph"/>
              <w:numPr>
                <w:ilvl w:val="0"/>
                <w:numId w:val="154"/>
              </w:numPr>
            </w:pPr>
            <w:r>
              <w:t>•</w:t>
            </w:r>
          </w:p>
        </w:tc>
        <w:tc>
          <w:tcPr>
            <w:tcW w:w="0" w:type="auto"/>
            <w:vAlign w:val="center"/>
          </w:tcPr>
          <w:p w:rsidR="005F78FC" w:rsidRDefault="005F78FC">
            <w:pPr>
              <w:pStyle w:val="TableBodyText"/>
            </w:pPr>
          </w:p>
        </w:tc>
        <w:tc>
          <w:tcPr>
            <w:tcW w:w="0" w:type="auto"/>
            <w:vAlign w:val="center"/>
          </w:tcPr>
          <w:p w:rsidR="005F78FC" w:rsidRDefault="00B42EF3">
            <w:pPr>
              <w:pStyle w:val="ListParagraph"/>
              <w:numPr>
                <w:ilvl w:val="0"/>
                <w:numId w:val="155"/>
              </w:numPr>
            </w:pPr>
            <w:r>
              <w:t>•</w:t>
            </w:r>
          </w:p>
        </w:tc>
        <w:tc>
          <w:tcPr>
            <w:tcW w:w="0" w:type="auto"/>
            <w:vAlign w:val="center"/>
          </w:tcPr>
          <w:p w:rsidR="005F78FC" w:rsidRDefault="00B42EF3">
            <w:pPr>
              <w:pStyle w:val="TableBodyText"/>
            </w:pPr>
            <w:r>
              <w:rPr>
                <w:i/>
              </w:rPr>
              <w:t>gap</w:t>
            </w:r>
          </w:p>
        </w:tc>
      </w:tr>
      <w:tr w:rsidR="005F78FC" w:rsidTr="005F78FC">
        <w:tc>
          <w:tcPr>
            <w:tcW w:w="0" w:type="auto"/>
            <w:vAlign w:val="center"/>
          </w:tcPr>
          <w:p w:rsidR="005F78FC" w:rsidRDefault="00B42EF3">
            <w:pPr>
              <w:pStyle w:val="TableBodyText"/>
            </w:pPr>
            <w:r>
              <w:t>("[ISO/IEC-29500-1]</w:t>
            </w:r>
            <w:r>
              <w:t xml:space="preserve"> §21.2.2.20; bubbleChart (Bubble Charts)")</w:t>
            </w:r>
          </w:p>
        </w:tc>
        <w:tc>
          <w:tcPr>
            <w:tcW w:w="0" w:type="auto"/>
            <w:vAlign w:val="center"/>
          </w:tcPr>
          <w:p w:rsidR="005F78FC" w:rsidRDefault="00B42EF3">
            <w:pPr>
              <w:pStyle w:val="ListParagraph"/>
              <w:numPr>
                <w:ilvl w:val="0"/>
                <w:numId w:val="156"/>
              </w:numPr>
            </w:pPr>
            <w:r>
              <w:t>•</w:t>
            </w:r>
          </w:p>
        </w:tc>
        <w:tc>
          <w:tcPr>
            <w:tcW w:w="0" w:type="auto"/>
            <w:vAlign w:val="center"/>
          </w:tcPr>
          <w:p w:rsidR="005F78FC" w:rsidRDefault="00B42EF3">
            <w:pPr>
              <w:pStyle w:val="ListParagraph"/>
              <w:numPr>
                <w:ilvl w:val="0"/>
                <w:numId w:val="157"/>
              </w:numPr>
            </w:pPr>
            <w:r>
              <w:t>•</w:t>
            </w:r>
          </w:p>
        </w:tc>
        <w:tc>
          <w:tcPr>
            <w:tcW w:w="0" w:type="auto"/>
            <w:vAlign w:val="center"/>
          </w:tcPr>
          <w:p w:rsidR="005F78FC" w:rsidRDefault="00B42EF3">
            <w:pPr>
              <w:pStyle w:val="ListParagraph"/>
              <w:numPr>
                <w:ilvl w:val="0"/>
                <w:numId w:val="158"/>
              </w:numPr>
            </w:pPr>
            <w:r>
              <w:t>•</w:t>
            </w:r>
          </w:p>
        </w:tc>
        <w:tc>
          <w:tcPr>
            <w:tcW w:w="0" w:type="auto"/>
            <w:vAlign w:val="center"/>
          </w:tcPr>
          <w:p w:rsidR="005F78FC" w:rsidRDefault="00B42EF3">
            <w:pPr>
              <w:pStyle w:val="TableBodyText"/>
            </w:pPr>
            <w:r>
              <w:rPr>
                <w:i/>
              </w:rPr>
              <w:t>gap</w:t>
            </w:r>
          </w:p>
        </w:tc>
      </w:tr>
      <w:tr w:rsidR="005F78FC" w:rsidTr="005F78FC">
        <w:tc>
          <w:tcPr>
            <w:tcW w:w="0" w:type="auto"/>
            <w:vAlign w:val="center"/>
          </w:tcPr>
          <w:p w:rsidR="005F78FC" w:rsidRDefault="00B42EF3">
            <w:pPr>
              <w:pStyle w:val="TableBodyText"/>
            </w:pPr>
            <w:r>
              <w:t>("[ISO/IEC-29500-1] §21.2.2.161; scatterChart (Scatter Charts)")</w:t>
            </w:r>
          </w:p>
        </w:tc>
        <w:tc>
          <w:tcPr>
            <w:tcW w:w="0" w:type="auto"/>
            <w:vAlign w:val="center"/>
          </w:tcPr>
          <w:p w:rsidR="005F78FC" w:rsidRDefault="00B42EF3">
            <w:pPr>
              <w:pStyle w:val="ListParagraph"/>
              <w:numPr>
                <w:ilvl w:val="0"/>
                <w:numId w:val="159"/>
              </w:numPr>
            </w:pPr>
            <w:r>
              <w:t>•</w:t>
            </w:r>
          </w:p>
        </w:tc>
        <w:tc>
          <w:tcPr>
            <w:tcW w:w="0" w:type="auto"/>
            <w:vAlign w:val="center"/>
          </w:tcPr>
          <w:p w:rsidR="005F78FC" w:rsidRDefault="00B42EF3">
            <w:pPr>
              <w:pStyle w:val="ListParagraph"/>
              <w:numPr>
                <w:ilvl w:val="0"/>
                <w:numId w:val="160"/>
              </w:numPr>
            </w:pPr>
            <w:r>
              <w:t>•</w:t>
            </w:r>
          </w:p>
        </w:tc>
        <w:tc>
          <w:tcPr>
            <w:tcW w:w="0" w:type="auto"/>
            <w:vAlign w:val="center"/>
          </w:tcPr>
          <w:p w:rsidR="005F78FC" w:rsidRDefault="00B42EF3">
            <w:pPr>
              <w:pStyle w:val="ListParagraph"/>
              <w:numPr>
                <w:ilvl w:val="0"/>
                <w:numId w:val="161"/>
              </w:numPr>
            </w:pPr>
            <w:r>
              <w:t>•</w:t>
            </w:r>
          </w:p>
        </w:tc>
        <w:tc>
          <w:tcPr>
            <w:tcW w:w="0" w:type="auto"/>
            <w:vAlign w:val="center"/>
          </w:tcPr>
          <w:p w:rsidR="005F78FC" w:rsidRDefault="00B42EF3">
            <w:pPr>
              <w:pStyle w:val="TableBodyText"/>
            </w:pPr>
            <w:r>
              <w:rPr>
                <w:i/>
              </w:rPr>
              <w:t>gap</w:t>
            </w:r>
          </w:p>
        </w:tc>
      </w:tr>
      <w:tr w:rsidR="005F78FC" w:rsidTr="005F78FC">
        <w:tc>
          <w:tcPr>
            <w:tcW w:w="0" w:type="auto"/>
            <w:vAlign w:val="center"/>
          </w:tcPr>
          <w:p w:rsidR="005F78FC" w:rsidRDefault="00B42EF3">
            <w:pPr>
              <w:pStyle w:val="TableBodyText"/>
            </w:pPr>
            <w:r>
              <w:t>("[ISO/IEC-29500-1] §21.2.2.153; radarChart (Radar Charts)")</w:t>
            </w:r>
          </w:p>
        </w:tc>
        <w:tc>
          <w:tcPr>
            <w:tcW w:w="0" w:type="auto"/>
            <w:vAlign w:val="center"/>
          </w:tcPr>
          <w:p w:rsidR="005F78FC" w:rsidRDefault="00B42EF3">
            <w:pPr>
              <w:pStyle w:val="ListParagraph"/>
              <w:numPr>
                <w:ilvl w:val="0"/>
                <w:numId w:val="162"/>
              </w:numPr>
            </w:pPr>
            <w:r>
              <w:t>•</w:t>
            </w:r>
          </w:p>
        </w:tc>
        <w:tc>
          <w:tcPr>
            <w:tcW w:w="0" w:type="auto"/>
            <w:vAlign w:val="center"/>
          </w:tcPr>
          <w:p w:rsidR="005F78FC" w:rsidRDefault="00B42EF3">
            <w:pPr>
              <w:pStyle w:val="ListParagraph"/>
              <w:numPr>
                <w:ilvl w:val="0"/>
                <w:numId w:val="163"/>
              </w:numPr>
            </w:pPr>
            <w:r>
              <w:t>•</w:t>
            </w:r>
          </w:p>
        </w:tc>
        <w:tc>
          <w:tcPr>
            <w:tcW w:w="0" w:type="auto"/>
            <w:vAlign w:val="center"/>
          </w:tcPr>
          <w:p w:rsidR="005F78FC" w:rsidRDefault="00B42EF3">
            <w:pPr>
              <w:pStyle w:val="ListParagraph"/>
              <w:numPr>
                <w:ilvl w:val="0"/>
                <w:numId w:val="164"/>
              </w:numPr>
            </w:pPr>
            <w:r>
              <w:t>•</w:t>
            </w:r>
          </w:p>
        </w:tc>
        <w:tc>
          <w:tcPr>
            <w:tcW w:w="0" w:type="auto"/>
            <w:vAlign w:val="center"/>
          </w:tcPr>
          <w:p w:rsidR="005F78FC" w:rsidRDefault="00B42EF3">
            <w:pPr>
              <w:pStyle w:val="TableBodyText"/>
            </w:pPr>
            <w:r>
              <w:rPr>
                <w:i/>
              </w:rPr>
              <w:t>gap</w:t>
            </w:r>
          </w:p>
        </w:tc>
      </w:tr>
    </w:tbl>
    <w:p w:rsidR="005F78FC" w:rsidRDefault="005F78FC"/>
    <w:p w:rsidR="005F78FC" w:rsidRDefault="00B42EF3">
      <w:r>
        <w:t xml:space="preserve">If a method of displaying blank cells not supported </w:t>
      </w:r>
      <w:r>
        <w:t>by the chart type is specified, the chart uses its default method of displaying blank cells.</w:t>
      </w:r>
    </w:p>
    <w:p w:rsidR="005F78FC" w:rsidRDefault="00B42EF3">
      <w:pPr>
        <w:pStyle w:val="Heading3"/>
      </w:pPr>
      <w:bookmarkStart w:id="2916" w:name="section_a025f35c26614dd18afdcc79c9784163"/>
      <w:bookmarkStart w:id="2917" w:name="_Toc69879231"/>
      <w:r>
        <w:t>Part 1 Section 21.2.2.43, dispEq (Display Equation)</w:t>
      </w:r>
      <w:bookmarkEnd w:id="2916"/>
      <w:bookmarkEnd w:id="2917"/>
      <w:r>
        <w:fldChar w:fldCharType="begin"/>
      </w:r>
      <w:r>
        <w:instrText xml:space="preserve"> XE "dispEq (Display Equation)" </w:instrText>
      </w:r>
      <w:r>
        <w:fldChar w:fldCharType="end"/>
      </w:r>
    </w:p>
    <w:p w:rsidR="005F78FC" w:rsidRDefault="00B42EF3">
      <w:pPr>
        <w:pStyle w:val="Definition-Field"/>
      </w:pPr>
      <w:r>
        <w:t xml:space="preserve">a.   </w:t>
      </w:r>
      <w:r>
        <w:rPr>
          <w:i/>
        </w:rPr>
        <w:t>The standard does not state any exceptions that cause the dispEq element</w:t>
      </w:r>
      <w:r>
        <w:rPr>
          <w:i/>
        </w:rPr>
        <w:t xml:space="preserve"> to be ignored.</w:t>
      </w:r>
    </w:p>
    <w:p w:rsidR="005F78FC" w:rsidRDefault="00B42EF3">
      <w:pPr>
        <w:pStyle w:val="Definition-Field2"/>
      </w:pPr>
      <w:r>
        <w:t>Office ignores this element if the trendlineLbl sibling element contains a tx element or if the value attribute of trendlineType sibling element is equal to movingAvg.</w:t>
      </w:r>
    </w:p>
    <w:p w:rsidR="005F78FC" w:rsidRDefault="00B42EF3">
      <w:pPr>
        <w:pStyle w:val="Heading3"/>
      </w:pPr>
      <w:bookmarkStart w:id="2918" w:name="section_e70f0d892989462194257749106adbe1"/>
      <w:bookmarkStart w:id="2919" w:name="_Toc69879232"/>
      <w:r>
        <w:lastRenderedPageBreak/>
        <w:t>Part 1 Section 21.2.2.44, dispRSqr (Display R Squared Value)</w:t>
      </w:r>
      <w:bookmarkEnd w:id="2918"/>
      <w:bookmarkEnd w:id="2919"/>
      <w:r>
        <w:fldChar w:fldCharType="begin"/>
      </w:r>
      <w:r>
        <w:instrText xml:space="preserve"> XE "dispRSq</w:instrText>
      </w:r>
      <w:r>
        <w:instrText xml:space="preserve">r (Display R Squared Value)" </w:instrText>
      </w:r>
      <w:r>
        <w:fldChar w:fldCharType="end"/>
      </w:r>
    </w:p>
    <w:p w:rsidR="005F78FC" w:rsidRDefault="00B42EF3">
      <w:pPr>
        <w:pStyle w:val="Definition-Field"/>
      </w:pPr>
      <w:r>
        <w:t xml:space="preserve">a.   </w:t>
      </w:r>
      <w:r>
        <w:rPr>
          <w:i/>
        </w:rPr>
        <w:t>The standard does not state any exceptions that cause the dispRSqr element to be ignored.</w:t>
      </w:r>
    </w:p>
    <w:p w:rsidR="005F78FC" w:rsidRDefault="00B42EF3">
      <w:pPr>
        <w:pStyle w:val="Definition-Field2"/>
      </w:pPr>
      <w:r>
        <w:t>Office ignores this element if the trendlineLbl sibling element contains a tx element or if the val attribute of trendlineType si</w:t>
      </w:r>
      <w:r>
        <w:t>bling element is equal to movingAvg.</w:t>
      </w:r>
    </w:p>
    <w:p w:rsidR="005F78FC" w:rsidRDefault="00B42EF3">
      <w:pPr>
        <w:pStyle w:val="Heading3"/>
      </w:pPr>
      <w:bookmarkStart w:id="2920" w:name="section_f4264e4b7a40405da32ce804b2fcaac3"/>
      <w:bookmarkStart w:id="2921" w:name="_Toc69879233"/>
      <w:r>
        <w:t>Part 1 Section 21.2.2.47, dLbl (Data Label)</w:t>
      </w:r>
      <w:bookmarkEnd w:id="2920"/>
      <w:bookmarkEnd w:id="2921"/>
      <w:r>
        <w:fldChar w:fldCharType="begin"/>
      </w:r>
      <w:r>
        <w:instrText xml:space="preserve"> XE "dLbl (Data Label)" </w:instrText>
      </w:r>
      <w:r>
        <w:fldChar w:fldCharType="end"/>
      </w:r>
    </w:p>
    <w:p w:rsidR="005F78FC" w:rsidRDefault="00B42EF3">
      <w:pPr>
        <w:pStyle w:val="Definition-Field"/>
      </w:pPr>
      <w:r>
        <w:t xml:space="preserve">a.   </w:t>
      </w:r>
      <w:r>
        <w:rPr>
          <w:i/>
        </w:rPr>
        <w:t>The standard states that the dLbl element can be a child of any pivotFmt or dLbls element.</w:t>
      </w:r>
    </w:p>
    <w:p w:rsidR="005F78FC" w:rsidRDefault="00B42EF3">
      <w:pPr>
        <w:pStyle w:val="Definition-Field2"/>
      </w:pPr>
      <w:r>
        <w:t>In Office, this element is only specified if the pare</w:t>
      </w:r>
      <w:r>
        <w:t>nt element is a pivotFmt or if the parent element is a dLbls with a series parent element.</w:t>
      </w:r>
    </w:p>
    <w:p w:rsidR="005F78FC" w:rsidRDefault="00B42EF3">
      <w:pPr>
        <w:pStyle w:val="Definition-Field"/>
      </w:pPr>
      <w:r>
        <w:t xml:space="preserve">b.   </w:t>
      </w:r>
      <w:r>
        <w:rPr>
          <w:i/>
        </w:rPr>
        <w:t>The standard does not state any exceptions that cause child elements of the dLbl element to be ignored.</w:t>
      </w:r>
    </w:p>
    <w:p w:rsidR="005F78FC" w:rsidRDefault="00B42EF3">
      <w:pPr>
        <w:pStyle w:val="Definition-Field2"/>
      </w:pPr>
      <w:r>
        <w:t>Office ignores the numFmt, separator, showBubbleSize, sh</w:t>
      </w:r>
      <w:r>
        <w:t>owCatName, showPercent, showSerName, and showVal child elements if this element contains a tx child element.</w:t>
      </w:r>
    </w:p>
    <w:p w:rsidR="005F78FC" w:rsidRDefault="00B42EF3">
      <w:pPr>
        <w:pStyle w:val="Heading3"/>
      </w:pPr>
      <w:bookmarkStart w:id="2922" w:name="section_e2b1697c7adc463d90813daef72f656f"/>
      <w:bookmarkStart w:id="2923" w:name="_Toc69879234"/>
      <w:r>
        <w:t>Part 1 Section 21.2.2.48, dLblPos (Data Label Position)</w:t>
      </w:r>
      <w:bookmarkEnd w:id="2922"/>
      <w:bookmarkEnd w:id="2923"/>
      <w:r>
        <w:fldChar w:fldCharType="begin"/>
      </w:r>
      <w:r>
        <w:instrText xml:space="preserve"> XE "dLblPos (Data Label Position)" </w:instrText>
      </w:r>
      <w:r>
        <w:fldChar w:fldCharType="end"/>
      </w:r>
    </w:p>
    <w:p w:rsidR="005F78FC" w:rsidRDefault="00B42EF3">
      <w:pPr>
        <w:pStyle w:val="Definition-Field"/>
      </w:pPr>
      <w:r>
        <w:t xml:space="preserve">a.   </w:t>
      </w:r>
      <w:r>
        <w:rPr>
          <w:i/>
        </w:rPr>
        <w:t>The standard places no restriction on @val beyon</w:t>
      </w:r>
      <w:r>
        <w:rPr>
          <w:i/>
        </w:rPr>
        <w:t>d ST_DLblPos.</w:t>
      </w:r>
    </w:p>
    <w:p w:rsidR="005F78FC" w:rsidRDefault="00B42EF3">
      <w:r>
        <w:t xml:space="preserve">In Office, if the ancestor does not include a </w:t>
      </w:r>
      <w:r>
        <w:rPr>
          <w:b/>
        </w:rPr>
        <w:t>ser</w:t>
      </w:r>
      <w:r>
        <w:t xml:space="preserve"> element any position value is allowed. However, if a </w:t>
      </w:r>
      <w:r>
        <w:rPr>
          <w:b/>
        </w:rPr>
        <w:t>ser</w:t>
      </w:r>
      <w:r>
        <w:t xml:space="preserve"> element is an ancestor the following rules apply based on the chart group ancestor:</w:t>
      </w:r>
    </w:p>
    <w:p w:rsidR="005F78FC" w:rsidRDefault="00B42EF3">
      <w:pPr>
        <w:pStyle w:val="ListParagraph"/>
        <w:numPr>
          <w:ilvl w:val="0"/>
          <w:numId w:val="165"/>
        </w:numPr>
        <w:contextualSpacing/>
      </w:pPr>
      <w:r>
        <w:t xml:space="preserve">For chart groups </w:t>
      </w:r>
      <w:r>
        <w:rPr>
          <w:b/>
        </w:rPr>
        <w:t xml:space="preserve">ofPieChart </w:t>
      </w:r>
      <w:r>
        <w:t>("</w:t>
      </w:r>
      <w:hyperlink r:id="rId212">
        <w:r>
          <w:rPr>
            <w:rStyle w:val="Hyperlink"/>
          </w:rPr>
          <w:t>[ISO/IEC-29500-1]</w:t>
        </w:r>
      </w:hyperlink>
      <w:r>
        <w:t xml:space="preserve"> §21.2.2.126; ofPieChart (Pie of Pie or Bar of Pie Charts)"), </w:t>
      </w:r>
      <w:r>
        <w:rPr>
          <w:b/>
        </w:rPr>
        <w:t xml:space="preserve">pie3DChart </w:t>
      </w:r>
      <w:r>
        <w:t xml:space="preserve">("[ISO/IEC-29500-1] §21.2.2.140; pie3DChart (3D Pie Charts)"), and </w:t>
      </w:r>
      <w:r>
        <w:rPr>
          <w:b/>
        </w:rPr>
        <w:t>pieChart</w:t>
      </w:r>
      <w:r>
        <w:t xml:space="preserve"> ("[ISO/IEC-29500-1] §21.2.</w:t>
      </w:r>
      <w:r>
        <w:t>2.141; pieChart (Pie Charts)")</w:t>
      </w:r>
      <w:r>
        <w:rPr>
          <w:b/>
        </w:rPr>
        <w:t xml:space="preserve"> </w:t>
      </w:r>
      <w:r>
        <w:t xml:space="preserve">the valid positions are </w:t>
      </w:r>
      <w:r>
        <w:rPr>
          <w:i/>
        </w:rPr>
        <w:t>BestFit</w:t>
      </w:r>
      <w:r>
        <w:t xml:space="preserve">, </w:t>
      </w:r>
      <w:r>
        <w:rPr>
          <w:i/>
        </w:rPr>
        <w:t>OutsideEnd</w:t>
      </w:r>
      <w:r>
        <w:t xml:space="preserve">, </w:t>
      </w:r>
      <w:r>
        <w:rPr>
          <w:i/>
        </w:rPr>
        <w:t>InsideEnd</w:t>
      </w:r>
      <w:r>
        <w:t xml:space="preserve">, </w:t>
      </w:r>
      <w:r>
        <w:rPr>
          <w:i/>
        </w:rPr>
        <w:t>Center</w:t>
      </w:r>
      <w:r>
        <w:t>.</w:t>
      </w:r>
    </w:p>
    <w:p w:rsidR="005F78FC" w:rsidRDefault="00B42EF3">
      <w:pPr>
        <w:pStyle w:val="ListParagraph"/>
        <w:numPr>
          <w:ilvl w:val="0"/>
          <w:numId w:val="165"/>
        </w:numPr>
        <w:contextualSpacing/>
      </w:pPr>
      <w:r>
        <w:t xml:space="preserve">For the chart groups </w:t>
      </w:r>
      <w:r>
        <w:rPr>
          <w:b/>
        </w:rPr>
        <w:t>barChart</w:t>
      </w:r>
      <w:r>
        <w:t xml:space="preserve"> ("[ISO/IEC-29500-1] §21.2.2.16; barChart (Bar Charts)")</w:t>
      </w:r>
      <w:r>
        <w:rPr>
          <w:b/>
        </w:rPr>
        <w:t xml:space="preserve"> </w:t>
      </w:r>
      <w:r>
        <w:t xml:space="preserve">where </w:t>
      </w:r>
      <w:r>
        <w:rPr>
          <w:b/>
        </w:rPr>
        <w:t>grouping</w:t>
      </w:r>
      <w:r>
        <w:t xml:space="preserve"> is </w:t>
      </w:r>
      <w:r>
        <w:rPr>
          <w:i/>
        </w:rPr>
        <w:t>clustered</w:t>
      </w:r>
      <w:r>
        <w:t xml:space="preserve"> the valid positions are </w:t>
      </w:r>
      <w:r>
        <w:rPr>
          <w:i/>
        </w:rPr>
        <w:t>InsideBase</w:t>
      </w:r>
      <w:r>
        <w:t xml:space="preserve">, </w:t>
      </w:r>
      <w:r>
        <w:rPr>
          <w:i/>
        </w:rPr>
        <w:t>InsideEnd</w:t>
      </w:r>
      <w:r>
        <w:t xml:space="preserve">, </w:t>
      </w:r>
      <w:r>
        <w:rPr>
          <w:i/>
        </w:rPr>
        <w:t>OutsideEnd</w:t>
      </w:r>
      <w:r>
        <w:t xml:space="preserve">, </w:t>
      </w:r>
      <w:r>
        <w:rPr>
          <w:i/>
        </w:rPr>
        <w:t>Center</w:t>
      </w:r>
      <w:r>
        <w:t>.</w:t>
      </w:r>
    </w:p>
    <w:p w:rsidR="005F78FC" w:rsidRDefault="00B42EF3">
      <w:pPr>
        <w:pStyle w:val="ListParagraph"/>
        <w:numPr>
          <w:ilvl w:val="0"/>
          <w:numId w:val="165"/>
        </w:numPr>
        <w:contextualSpacing/>
      </w:pPr>
      <w:r>
        <w:t xml:space="preserve">For the chart groups </w:t>
      </w:r>
      <w:r>
        <w:rPr>
          <w:b/>
        </w:rPr>
        <w:t>barChart</w:t>
      </w:r>
      <w:r>
        <w:t xml:space="preserve"> ("[ISO/IEC-29500-1] §21.2.2.16; barChart (Bar Charts)")</w:t>
      </w:r>
      <w:r>
        <w:rPr>
          <w:b/>
        </w:rPr>
        <w:t xml:space="preserve"> </w:t>
      </w:r>
      <w:r>
        <w:t xml:space="preserve">where </w:t>
      </w:r>
      <w:r>
        <w:rPr>
          <w:b/>
        </w:rPr>
        <w:t>grouping</w:t>
      </w:r>
      <w:r>
        <w:t xml:space="preserve"> is </w:t>
      </w:r>
      <w:r>
        <w:rPr>
          <w:i/>
        </w:rPr>
        <w:t>stacked</w:t>
      </w:r>
      <w:r>
        <w:t xml:space="preserve"> or </w:t>
      </w:r>
      <w:r>
        <w:rPr>
          <w:i/>
        </w:rPr>
        <w:t>percentStacked</w:t>
      </w:r>
      <w:r>
        <w:t xml:space="preserve"> the valid positions are </w:t>
      </w:r>
      <w:r>
        <w:rPr>
          <w:i/>
        </w:rPr>
        <w:t>InsideBase</w:t>
      </w:r>
      <w:r>
        <w:t xml:space="preserve">, </w:t>
      </w:r>
      <w:r>
        <w:rPr>
          <w:i/>
        </w:rPr>
        <w:t>InsideEnd</w:t>
      </w:r>
      <w:r>
        <w:t xml:space="preserve">, </w:t>
      </w:r>
      <w:r>
        <w:rPr>
          <w:i/>
        </w:rPr>
        <w:t>Center</w:t>
      </w:r>
      <w:r>
        <w:t>.</w:t>
      </w:r>
    </w:p>
    <w:p w:rsidR="005F78FC" w:rsidRDefault="00B42EF3">
      <w:pPr>
        <w:pStyle w:val="ListParagraph"/>
        <w:numPr>
          <w:ilvl w:val="0"/>
          <w:numId w:val="165"/>
        </w:numPr>
      </w:pPr>
      <w:r>
        <w:t xml:space="preserve">For chart groups </w:t>
      </w:r>
      <w:r>
        <w:rPr>
          <w:b/>
        </w:rPr>
        <w:t xml:space="preserve">bubbleChart </w:t>
      </w:r>
      <w:r>
        <w:t>("[ISO/IEC-29500-1] §2</w:t>
      </w:r>
      <w:r>
        <w:t xml:space="preserve">1.2.2.20; bubbleChart (Bubble Charts)"), </w:t>
      </w:r>
      <w:r>
        <w:rPr>
          <w:b/>
        </w:rPr>
        <w:t xml:space="preserve">lineChart </w:t>
      </w:r>
      <w:r>
        <w:t xml:space="preserve">("[ISO/IEC-29500-1] §21.2.2.97; lineChart (Line Charts)"), </w:t>
      </w:r>
      <w:r>
        <w:rPr>
          <w:b/>
        </w:rPr>
        <w:t xml:space="preserve">scatterChart </w:t>
      </w:r>
      <w:r>
        <w:t xml:space="preserve">("[ISO/IEC-29500-1] §21.2.2.161; scatterChart (Scatter Charts)"), and </w:t>
      </w:r>
      <w:r>
        <w:rPr>
          <w:b/>
        </w:rPr>
        <w:t xml:space="preserve">stockChart </w:t>
      </w:r>
      <w:r>
        <w:t>("[ISO/IEC-29500-1] §21.2.2.161; scatterChart (Scatt</w:t>
      </w:r>
      <w:r>
        <w:t xml:space="preserve">er Charts)") the valid positions are </w:t>
      </w:r>
      <w:r>
        <w:rPr>
          <w:i/>
        </w:rPr>
        <w:t>left</w:t>
      </w:r>
      <w:r>
        <w:t xml:space="preserve">, </w:t>
      </w:r>
      <w:r>
        <w:rPr>
          <w:i/>
        </w:rPr>
        <w:t>right</w:t>
      </w:r>
      <w:r>
        <w:t xml:space="preserve">, </w:t>
      </w:r>
      <w:r>
        <w:rPr>
          <w:i/>
        </w:rPr>
        <w:t>bottom</w:t>
      </w:r>
      <w:r>
        <w:t xml:space="preserve">, </w:t>
      </w:r>
      <w:r>
        <w:rPr>
          <w:i/>
        </w:rPr>
        <w:t>top</w:t>
      </w:r>
      <w:r>
        <w:t xml:space="preserve">, </w:t>
      </w:r>
      <w:r>
        <w:rPr>
          <w:i/>
        </w:rPr>
        <w:t>center</w:t>
      </w:r>
      <w:r>
        <w:t>.</w:t>
      </w:r>
    </w:p>
    <w:p w:rsidR="005F78FC" w:rsidRDefault="00B42EF3">
      <w:r>
        <w:t xml:space="preserve">For chart groups areaChart "[ISO/IEC-29500-1] §21.2.2.5; areaChart (Area Charts)"), </w:t>
      </w:r>
      <w:r>
        <w:rPr>
          <w:b/>
        </w:rPr>
        <w:t xml:space="preserve">area3DChart </w:t>
      </w:r>
      <w:r>
        <w:t xml:space="preserve">("[ISO/IEC-29500-1] §21.2.2.4; area3DChart (3D Area Charts)"), </w:t>
      </w:r>
      <w:r>
        <w:rPr>
          <w:b/>
        </w:rPr>
        <w:t xml:space="preserve">bar3DChart </w:t>
      </w:r>
      <w:r>
        <w:t>("[ISO/IEC-2950</w:t>
      </w:r>
      <w:r>
        <w:t xml:space="preserve">0-1] §21.2.2.15; bar3DChart (3D Bar Charts)"), </w:t>
      </w:r>
      <w:r>
        <w:rPr>
          <w:b/>
        </w:rPr>
        <w:t xml:space="preserve">doughnutChart </w:t>
      </w:r>
      <w:r>
        <w:t xml:space="preserve">("[ISO/IEC-29500-1] §21.2.2.50; doughnutChart (Doughnut Charts)"), </w:t>
      </w:r>
      <w:r>
        <w:rPr>
          <w:b/>
        </w:rPr>
        <w:t xml:space="preserve">line3DChart </w:t>
      </w:r>
      <w:r>
        <w:t xml:space="preserve">("[ISO/IEC-29500-1] §21.2.2.96; line3DChart (3D Line Charts)"), </w:t>
      </w:r>
      <w:r>
        <w:rPr>
          <w:b/>
        </w:rPr>
        <w:t>radarChart</w:t>
      </w:r>
      <w:r>
        <w:t xml:space="preserve"> ("[ISO/IEC-29500-1] §21.2.2.153; radarCha</w:t>
      </w:r>
      <w:r>
        <w:t>rt (Radar Charts)") this element shall not be specified.</w:t>
      </w:r>
    </w:p>
    <w:p w:rsidR="005F78FC" w:rsidRDefault="00B42EF3">
      <w:pPr>
        <w:pStyle w:val="Definition-Field"/>
      </w:pPr>
      <w:r>
        <w:t xml:space="preserve">b.   </w:t>
      </w:r>
      <w:r>
        <w:rPr>
          <w:i/>
        </w:rPr>
        <w:t>The standard does not define the behavior when the dLblPos element is omitted.</w:t>
      </w:r>
    </w:p>
    <w:p w:rsidR="005F78FC" w:rsidRDefault="00B42EF3">
      <w:r>
        <w:t>For Office, the following lists the chart types and their default position based on the chart group ancestor:</w:t>
      </w:r>
    </w:p>
    <w:p w:rsidR="005F78FC" w:rsidRDefault="00B42EF3">
      <w:pPr>
        <w:pStyle w:val="ListParagraph"/>
        <w:numPr>
          <w:ilvl w:val="0"/>
          <w:numId w:val="166"/>
        </w:numPr>
        <w:contextualSpacing/>
      </w:pPr>
      <w:r>
        <w:t>For c</w:t>
      </w:r>
      <w:r>
        <w:t xml:space="preserve">hart groups </w:t>
      </w:r>
      <w:r>
        <w:rPr>
          <w:b/>
        </w:rPr>
        <w:t xml:space="preserve">ofPieChart </w:t>
      </w:r>
      <w:r>
        <w:t xml:space="preserve">("[ISO/IEC-29500-1] §21.2.2.126; ofPieChart (Pie of Pie or Bar of Pie Charts)"), </w:t>
      </w:r>
      <w:r>
        <w:rPr>
          <w:b/>
        </w:rPr>
        <w:t xml:space="preserve">pie3DChart </w:t>
      </w:r>
      <w:r>
        <w:t xml:space="preserve">("[ISO/IEC-29500-1] §21.2.2.140; pie3DChart (3D Pie Charts)"), and </w:t>
      </w:r>
      <w:r>
        <w:rPr>
          <w:b/>
        </w:rPr>
        <w:t xml:space="preserve">pieChart </w:t>
      </w:r>
      <w:r>
        <w:t>("[ISO/IEC-29500-1] §21.2.2.141; pieChart (Pie Charts)")</w:t>
      </w:r>
      <w:r>
        <w:rPr>
          <w:b/>
        </w:rPr>
        <w:t xml:space="preserve"> </w:t>
      </w:r>
      <w:r>
        <w:t>the auto</w:t>
      </w:r>
      <w:r>
        <w:t xml:space="preserve">matic position is </w:t>
      </w:r>
      <w:r>
        <w:rPr>
          <w:i/>
        </w:rPr>
        <w:t>BestFit</w:t>
      </w:r>
      <w:r>
        <w:t>.</w:t>
      </w:r>
    </w:p>
    <w:p w:rsidR="005F78FC" w:rsidRDefault="00B42EF3">
      <w:pPr>
        <w:pStyle w:val="ListParagraph"/>
        <w:numPr>
          <w:ilvl w:val="0"/>
          <w:numId w:val="166"/>
        </w:numPr>
        <w:contextualSpacing/>
      </w:pPr>
      <w:r>
        <w:t xml:space="preserve">For chart groups </w:t>
      </w:r>
      <w:r>
        <w:rPr>
          <w:b/>
        </w:rPr>
        <w:t xml:space="preserve">areaChart </w:t>
      </w:r>
      <w:r>
        <w:t xml:space="preserve">"[ISO/IEC-29500-1] §21.2.2.5; areaChart (Area Charts)"), </w:t>
      </w:r>
      <w:r>
        <w:rPr>
          <w:b/>
        </w:rPr>
        <w:t xml:space="preserve">area3DChart </w:t>
      </w:r>
      <w:r>
        <w:t xml:space="preserve">("[ISO/IEC-29500-1] §21.2.2.4; area3DChart (3D Area Charts)"), and </w:t>
      </w:r>
      <w:r>
        <w:rPr>
          <w:b/>
        </w:rPr>
        <w:lastRenderedPageBreak/>
        <w:t xml:space="preserve">doughnutChart </w:t>
      </w:r>
      <w:r>
        <w:t>("[ISO/IEC-29500-1] §21.2.2.50; doughnutChart (Dough</w:t>
      </w:r>
      <w:r>
        <w:t>nut Charts)")</w:t>
      </w:r>
      <w:r>
        <w:rPr>
          <w:b/>
        </w:rPr>
        <w:t xml:space="preserve"> </w:t>
      </w:r>
      <w:r>
        <w:t xml:space="preserve">the automatic position is </w:t>
      </w:r>
      <w:r>
        <w:rPr>
          <w:i/>
        </w:rPr>
        <w:t>Center</w:t>
      </w:r>
      <w:r>
        <w:t>.</w:t>
      </w:r>
    </w:p>
    <w:p w:rsidR="005F78FC" w:rsidRDefault="00B42EF3">
      <w:pPr>
        <w:pStyle w:val="ListParagraph"/>
        <w:numPr>
          <w:ilvl w:val="0"/>
          <w:numId w:val="166"/>
        </w:numPr>
        <w:contextualSpacing/>
      </w:pPr>
      <w:r>
        <w:t xml:space="preserve">For chart groups </w:t>
      </w:r>
      <w:r>
        <w:rPr>
          <w:b/>
        </w:rPr>
        <w:t xml:space="preserve">barChart </w:t>
      </w:r>
      <w:r>
        <w:t>("[ISO/IEC-29500-1] §21.2.2.16; barChart (Bar Charts)")</w:t>
      </w:r>
      <w:r>
        <w:rPr>
          <w:b/>
        </w:rPr>
        <w:t xml:space="preserve"> </w:t>
      </w:r>
      <w:r>
        <w:t xml:space="preserve">and </w:t>
      </w:r>
      <w:r>
        <w:rPr>
          <w:b/>
        </w:rPr>
        <w:t xml:space="preserve">bar3DChart </w:t>
      </w:r>
      <w:r>
        <w:t>("[ISO/IEC-29500-1] §21.2.2.15; bar3DChart (3D Bar Charts)")</w:t>
      </w:r>
      <w:r>
        <w:rPr>
          <w:b/>
        </w:rPr>
        <w:t xml:space="preserve"> </w:t>
      </w:r>
      <w:r>
        <w:t xml:space="preserve">where </w:t>
      </w:r>
      <w:r>
        <w:rPr>
          <w:b/>
        </w:rPr>
        <w:t xml:space="preserve">grouping </w:t>
      </w:r>
      <w:r>
        <w:t>("[ISO/IEC-29500-1]</w:t>
      </w:r>
      <w:r>
        <w:t xml:space="preserve"> §21.2.2.77; grouping")</w:t>
      </w:r>
      <w:r>
        <w:rPr>
          <w:b/>
        </w:rPr>
        <w:t xml:space="preserve"> </w:t>
      </w:r>
      <w:r>
        <w:t xml:space="preserve">is </w:t>
      </w:r>
      <w:r>
        <w:rPr>
          <w:i/>
        </w:rPr>
        <w:t>stacked</w:t>
      </w:r>
      <w:r>
        <w:t xml:space="preserve"> or </w:t>
      </w:r>
      <w:r>
        <w:rPr>
          <w:i/>
        </w:rPr>
        <w:t>percentStacked</w:t>
      </w:r>
      <w:r>
        <w:t xml:space="preserve">; the automatic position is </w:t>
      </w:r>
      <w:r>
        <w:rPr>
          <w:i/>
        </w:rPr>
        <w:t>Center</w:t>
      </w:r>
      <w:r>
        <w:t>.</w:t>
      </w:r>
    </w:p>
    <w:p w:rsidR="005F78FC" w:rsidRDefault="00B42EF3">
      <w:pPr>
        <w:pStyle w:val="ListParagraph"/>
        <w:numPr>
          <w:ilvl w:val="0"/>
          <w:numId w:val="166"/>
        </w:numPr>
        <w:contextualSpacing/>
      </w:pPr>
      <w:r>
        <w:t xml:space="preserve">For chart groups </w:t>
      </w:r>
      <w:r>
        <w:rPr>
          <w:b/>
        </w:rPr>
        <w:t>barChart</w:t>
      </w:r>
      <w:r>
        <w:t xml:space="preserve">, and </w:t>
      </w:r>
      <w:r>
        <w:rPr>
          <w:b/>
        </w:rPr>
        <w:t>bar3Dchart</w:t>
      </w:r>
      <w:r>
        <w:t xml:space="preserve"> where </w:t>
      </w:r>
      <w:r>
        <w:rPr>
          <w:b/>
        </w:rPr>
        <w:t>grouping</w:t>
      </w:r>
      <w:r>
        <w:t xml:space="preserve"> is </w:t>
      </w:r>
      <w:r>
        <w:rPr>
          <w:i/>
        </w:rPr>
        <w:t>clustered</w:t>
      </w:r>
      <w:r>
        <w:t xml:space="preserve">, and </w:t>
      </w:r>
      <w:r>
        <w:rPr>
          <w:b/>
        </w:rPr>
        <w:t xml:space="preserve">radarChart </w:t>
      </w:r>
      <w:r>
        <w:t>("[ISO/IEC-29500-1] §21.2.2.153; radarChart (Radar Charts)") the automatic positio</w:t>
      </w:r>
      <w:r>
        <w:t xml:space="preserve">n is </w:t>
      </w:r>
      <w:r>
        <w:rPr>
          <w:i/>
        </w:rPr>
        <w:t>OutsideEnd</w:t>
      </w:r>
      <w:r>
        <w:t>.</w:t>
      </w:r>
    </w:p>
    <w:p w:rsidR="005F78FC" w:rsidRDefault="00B42EF3">
      <w:pPr>
        <w:pStyle w:val="ListParagraph"/>
        <w:numPr>
          <w:ilvl w:val="0"/>
          <w:numId w:val="166"/>
        </w:numPr>
      </w:pPr>
      <w:r>
        <w:t xml:space="preserve">For chart groups </w:t>
      </w:r>
      <w:r>
        <w:rPr>
          <w:b/>
        </w:rPr>
        <w:t xml:space="preserve">bubbleChart </w:t>
      </w:r>
      <w:r>
        <w:t xml:space="preserve">("[ISO/IEC-29500-1] §21.2.2.20; bubbleChart (Bubble Charts)"), </w:t>
      </w:r>
      <w:r>
        <w:rPr>
          <w:b/>
        </w:rPr>
        <w:t xml:space="preserve">scatterChart </w:t>
      </w:r>
      <w:r>
        <w:t xml:space="preserve">("[ISO/IEC-29500-1] §21.2.2.161; scatterChart (Scatter Charts)"), </w:t>
      </w:r>
      <w:r>
        <w:rPr>
          <w:b/>
        </w:rPr>
        <w:t xml:space="preserve">stockChart </w:t>
      </w:r>
      <w:r>
        <w:t>("[ISO/IEC-29500-1] §21.2.2.161; scatterChart (Scatter Ch</w:t>
      </w:r>
      <w:r>
        <w:t xml:space="preserve">arts)"), </w:t>
      </w:r>
      <w:r>
        <w:rPr>
          <w:b/>
        </w:rPr>
        <w:t xml:space="preserve">lineChart </w:t>
      </w:r>
      <w:r>
        <w:t xml:space="preserve">("[ISO/IEC-29500-1] §21.2.2.97; lineChart (Line Charts)"), and </w:t>
      </w:r>
      <w:r>
        <w:rPr>
          <w:b/>
        </w:rPr>
        <w:t xml:space="preserve">line3DChart </w:t>
      </w:r>
      <w:r>
        <w:t>("[ISO/IEC-29500-1] §21.2.2.96; line3DChart (3D Line Charts)")</w:t>
      </w:r>
      <w:r>
        <w:rPr>
          <w:b/>
        </w:rPr>
        <w:t xml:space="preserve"> </w:t>
      </w:r>
      <w:r>
        <w:t xml:space="preserve">the automatic position is </w:t>
      </w:r>
      <w:r>
        <w:rPr>
          <w:i/>
        </w:rPr>
        <w:t>Right</w:t>
      </w:r>
      <w:r>
        <w:t>.</w:t>
      </w:r>
    </w:p>
    <w:p w:rsidR="005F78FC" w:rsidRDefault="00B42EF3">
      <w:pPr>
        <w:pStyle w:val="Heading3"/>
      </w:pPr>
      <w:bookmarkStart w:id="2924" w:name="section_953e587980084d14a8bcfbe39d848e0a"/>
      <w:bookmarkStart w:id="2925" w:name="_Toc69879235"/>
      <w:r>
        <w:t>Part 1 Section 21.2.2.49, dLbls (Data Labels)</w:t>
      </w:r>
      <w:bookmarkEnd w:id="2924"/>
      <w:bookmarkEnd w:id="2925"/>
      <w:r>
        <w:fldChar w:fldCharType="begin"/>
      </w:r>
      <w:r>
        <w:instrText xml:space="preserve"> XE "dLbls (Data Labe</w:instrText>
      </w:r>
      <w:r>
        <w:instrText xml:space="preserve">ls)" </w:instrText>
      </w:r>
      <w:r>
        <w:fldChar w:fldCharType="end"/>
      </w:r>
    </w:p>
    <w:p w:rsidR="005F78FC" w:rsidRDefault="00B42EF3">
      <w:pPr>
        <w:pStyle w:val="Definition-Field"/>
      </w:pPr>
      <w:r>
        <w:t xml:space="preserve">a.   </w:t>
      </w:r>
      <w:r>
        <w:rPr>
          <w:i/>
        </w:rPr>
        <w:t>The standard does not place any restrictions on when the child elements of the dLbls element can be specified.</w:t>
      </w:r>
    </w:p>
    <w:p w:rsidR="005F78FC" w:rsidRDefault="00B42EF3">
      <w:pPr>
        <w:pStyle w:val="Definition-Field2"/>
      </w:pPr>
      <w:r>
        <w:t>Office does not allow delete, dLbl, leaderLines, numFmt, showLeaderLines, spPr or txPr child elements when the parent is not ser.</w:t>
      </w:r>
    </w:p>
    <w:p w:rsidR="005F78FC" w:rsidRDefault="00B42EF3">
      <w:pPr>
        <w:pStyle w:val="Definition-Field"/>
      </w:pPr>
      <w:r>
        <w:t>b.</w:t>
      </w:r>
      <w:r>
        <w:t xml:space="preserve">   </w:t>
      </w:r>
      <w:r>
        <w:rPr>
          <w:i/>
        </w:rPr>
        <w:t>The standard does not specify an override behavior for data labels.</w:t>
      </w:r>
    </w:p>
    <w:p w:rsidR="005F78FC" w:rsidRDefault="00B42EF3">
      <w:pPr>
        <w:pStyle w:val="Definition-Field2"/>
      </w:pPr>
      <w:r>
        <w:t>Office interprets data labels to have a hierarchical order of overrides.  A dLbls child element of a series overrides the dLbls element of the ancestor chart group.  A dLbl element over</w:t>
      </w:r>
      <w:r>
        <w:t>rides the dLbls element of the ancestor series or chart group.</w:t>
      </w:r>
    </w:p>
    <w:p w:rsidR="005F78FC" w:rsidRDefault="00B42EF3">
      <w:pPr>
        <w:pStyle w:val="Heading3"/>
      </w:pPr>
      <w:bookmarkStart w:id="2926" w:name="section_715e20be5789467db9ec5a39ae8a307b"/>
      <w:bookmarkStart w:id="2927" w:name="_Toc69879236"/>
      <w:r>
        <w:t>Part 1 Section 21.2.2.50, doughnutChart (Doughnut Charts)</w:t>
      </w:r>
      <w:bookmarkEnd w:id="2926"/>
      <w:bookmarkEnd w:id="2927"/>
      <w:r>
        <w:fldChar w:fldCharType="begin"/>
      </w:r>
      <w:r>
        <w:instrText xml:space="preserve"> XE "doughnutChart (Doughnut Charts)" </w:instrText>
      </w:r>
      <w:r>
        <w:fldChar w:fldCharType="end"/>
      </w:r>
    </w:p>
    <w:p w:rsidR="005F78FC" w:rsidRDefault="00B42EF3">
      <w:pPr>
        <w:pStyle w:val="Definition-Field"/>
      </w:pPr>
      <w:r>
        <w:t xml:space="preserve">a.   </w:t>
      </w:r>
      <w:r>
        <w:rPr>
          <w:i/>
        </w:rPr>
        <w:t>The standard states that the minOccurs value for the holeSize child element is 0.</w:t>
      </w:r>
    </w:p>
    <w:p w:rsidR="005F78FC" w:rsidRDefault="00B42EF3">
      <w:pPr>
        <w:pStyle w:val="Definition-Field2"/>
      </w:pPr>
      <w:r>
        <w:t>Office r</w:t>
      </w:r>
      <w:r>
        <w:t>equires an occurrence of this element.</w:t>
      </w:r>
    </w:p>
    <w:p w:rsidR="005F78FC" w:rsidRDefault="00B42EF3">
      <w:pPr>
        <w:pStyle w:val="Heading3"/>
      </w:pPr>
      <w:bookmarkStart w:id="2928" w:name="section_31439ccabd5c45fa9c75a12b55c1d15f"/>
      <w:bookmarkStart w:id="2929" w:name="_Toc69879237"/>
      <w:r>
        <w:t>Part 1 Section 21.2.2.55, errBars (Error Bars)</w:t>
      </w:r>
      <w:bookmarkEnd w:id="2928"/>
      <w:bookmarkEnd w:id="2929"/>
      <w:r>
        <w:fldChar w:fldCharType="begin"/>
      </w:r>
      <w:r>
        <w:instrText xml:space="preserve"> XE "errBars (Error Bars)" </w:instrText>
      </w:r>
      <w:r>
        <w:fldChar w:fldCharType="end"/>
      </w:r>
    </w:p>
    <w:p w:rsidR="005F78FC" w:rsidRDefault="00B42EF3">
      <w:pPr>
        <w:pStyle w:val="Definition-Field"/>
      </w:pPr>
      <w:r>
        <w:t xml:space="preserve">a.   </w:t>
      </w:r>
      <w:r>
        <w:rPr>
          <w:i/>
        </w:rPr>
        <w:t>The standard does not state any exceptions that cause the errBars element to be ignored.</w:t>
      </w:r>
    </w:p>
    <w:p w:rsidR="005F78FC" w:rsidRDefault="00B42EF3">
      <w:pPr>
        <w:pStyle w:val="Definition-Field2"/>
      </w:pPr>
      <w:r>
        <w:t>Office ignores this element if the chart is a 3</w:t>
      </w:r>
      <w:r>
        <w:t>D style chart.</w:t>
      </w:r>
    </w:p>
    <w:p w:rsidR="005F78FC" w:rsidRDefault="00B42EF3">
      <w:pPr>
        <w:pStyle w:val="Heading3"/>
      </w:pPr>
      <w:bookmarkStart w:id="2930" w:name="section_761c5fad51b2473984b9087b034ff117"/>
      <w:bookmarkStart w:id="2931" w:name="_Toc69879238"/>
      <w:r>
        <w:t>Part 1 Section 21.2.2.56, errBarType (Error Bar Type)</w:t>
      </w:r>
      <w:bookmarkEnd w:id="2930"/>
      <w:bookmarkEnd w:id="2931"/>
      <w:r>
        <w:fldChar w:fldCharType="begin"/>
      </w:r>
      <w:r>
        <w:instrText xml:space="preserve"> XE "errBarType (Error Bar Type)" </w:instrText>
      </w:r>
      <w:r>
        <w:fldChar w:fldCharType="end"/>
      </w:r>
    </w:p>
    <w:p w:rsidR="005F78FC" w:rsidRDefault="00B42EF3">
      <w:pPr>
        <w:pStyle w:val="Definition-Field"/>
      </w:pPr>
      <w:r>
        <w:t xml:space="preserve">a.   </w:t>
      </w:r>
      <w:r>
        <w:rPr>
          <w:i/>
        </w:rPr>
        <w:t>The standard implies that the val attribute is optional.</w:t>
      </w:r>
    </w:p>
    <w:p w:rsidR="005F78FC" w:rsidRDefault="00B42EF3">
      <w:pPr>
        <w:pStyle w:val="Definition-Field2"/>
      </w:pPr>
      <w:r>
        <w:t>Office requires this attribute.</w:t>
      </w:r>
    </w:p>
    <w:p w:rsidR="005F78FC" w:rsidRDefault="00B42EF3">
      <w:pPr>
        <w:pStyle w:val="Heading3"/>
      </w:pPr>
      <w:bookmarkStart w:id="2932" w:name="section_d68b40e07ab7477d986d84201e67a2d0"/>
      <w:bookmarkStart w:id="2933" w:name="_Toc69879239"/>
      <w:r>
        <w:t>Part 1 Section 21.2.2.57, errDir (Error Bar Direction)</w:t>
      </w:r>
      <w:bookmarkEnd w:id="2932"/>
      <w:bookmarkEnd w:id="2933"/>
      <w:r>
        <w:fldChar w:fldCharType="begin"/>
      </w:r>
      <w:r>
        <w:instrText xml:space="preserve"> XE "errDir (Error Bar Direction)" </w:instrText>
      </w:r>
      <w:r>
        <w:fldChar w:fldCharType="end"/>
      </w:r>
    </w:p>
    <w:p w:rsidR="005F78FC" w:rsidRDefault="00B42EF3">
      <w:pPr>
        <w:pStyle w:val="Definition-Field"/>
      </w:pPr>
      <w:r>
        <w:t xml:space="preserve">a.   </w:t>
      </w:r>
      <w:r>
        <w:rPr>
          <w:i/>
        </w:rPr>
        <w:t>The standard does not define the behavior when the errDir element is omitted.</w:t>
      </w:r>
    </w:p>
    <w:p w:rsidR="005F78FC" w:rsidRDefault="00B42EF3">
      <w:pPr>
        <w:pStyle w:val="Definition-Field2"/>
      </w:pPr>
      <w:r>
        <w:t>In Office, if this element is not defined the default behavior is x for horizontal bar charts. For all other chart types, the default b</w:t>
      </w:r>
      <w:r>
        <w:t>ehavior is y.</w:t>
      </w:r>
    </w:p>
    <w:p w:rsidR="005F78FC" w:rsidRDefault="00B42EF3">
      <w:pPr>
        <w:pStyle w:val="Definition-Field"/>
      </w:pPr>
      <w:r>
        <w:t xml:space="preserve">b.   </w:t>
      </w:r>
      <w:r>
        <w:rPr>
          <w:i/>
        </w:rPr>
        <w:t>The standard states errDir can be a child of any errBars element.</w:t>
      </w:r>
    </w:p>
    <w:p w:rsidR="005F78FC" w:rsidRDefault="00B42EF3">
      <w:pPr>
        <w:pStyle w:val="Definition-Field2"/>
      </w:pPr>
      <w:r>
        <w:lastRenderedPageBreak/>
        <w:t>Office loads and respects this element on any errBars parent element; however, this element is only saved back out on line or scatter series.</w:t>
      </w:r>
    </w:p>
    <w:p w:rsidR="005F78FC" w:rsidRDefault="00B42EF3">
      <w:pPr>
        <w:pStyle w:val="Heading3"/>
      </w:pPr>
      <w:bookmarkStart w:id="2934" w:name="section_a8d73708564d4e71ba083b7b1f405ea8"/>
      <w:bookmarkStart w:id="2935" w:name="_Toc69879240"/>
      <w:r>
        <w:t>Part 1 Section 21.2.2.58, err</w:t>
      </w:r>
      <w:r>
        <w:t>ValType (Error Bar Value Type)</w:t>
      </w:r>
      <w:bookmarkEnd w:id="2934"/>
      <w:bookmarkEnd w:id="2935"/>
      <w:r>
        <w:fldChar w:fldCharType="begin"/>
      </w:r>
      <w:r>
        <w:instrText xml:space="preserve"> XE "errValType (Error Bar Value Type)" </w:instrText>
      </w:r>
      <w:r>
        <w:fldChar w:fldCharType="end"/>
      </w:r>
    </w:p>
    <w:p w:rsidR="005F78FC" w:rsidRDefault="00B42EF3">
      <w:pPr>
        <w:pStyle w:val="Definition-Field"/>
      </w:pPr>
      <w:r>
        <w:t xml:space="preserve">a.   </w:t>
      </w:r>
      <w:r>
        <w:rPr>
          <w:i/>
        </w:rPr>
        <w:t>The standard implies that the val attribute is optional.</w:t>
      </w:r>
    </w:p>
    <w:p w:rsidR="005F78FC" w:rsidRDefault="00B42EF3">
      <w:pPr>
        <w:pStyle w:val="Definition-Field2"/>
      </w:pPr>
      <w:r>
        <w:t>Office requires this attribute.</w:t>
      </w:r>
    </w:p>
    <w:p w:rsidR="005F78FC" w:rsidRDefault="00B42EF3">
      <w:pPr>
        <w:pStyle w:val="Heading3"/>
      </w:pPr>
      <w:bookmarkStart w:id="2936" w:name="section_0564e12cacce44e9bbda4dd76edd2f07"/>
      <w:bookmarkStart w:id="2937" w:name="_Toc69879241"/>
      <w:r>
        <w:t>Part 1 Section 21.2.2.59, evenFooter (Even Footer)</w:t>
      </w:r>
      <w:bookmarkEnd w:id="2936"/>
      <w:bookmarkEnd w:id="2937"/>
      <w:r>
        <w:fldChar w:fldCharType="begin"/>
      </w:r>
      <w:r>
        <w:instrText xml:space="preserve"> XE "evenFooter (Even Footer)" </w:instrText>
      </w:r>
      <w:r>
        <w:fldChar w:fldCharType="end"/>
      </w:r>
    </w:p>
    <w:p w:rsidR="005F78FC" w:rsidRDefault="00B42EF3">
      <w:pPr>
        <w:pStyle w:val="Definition-Field"/>
      </w:pPr>
      <w:r>
        <w:t xml:space="preserve">a.   </w:t>
      </w:r>
      <w:r>
        <w:rPr>
          <w:i/>
        </w:rPr>
        <w:t>The standard does not state any exceptions that cause the evenFooter element to be ignored.</w:t>
      </w:r>
    </w:p>
    <w:p w:rsidR="005F78FC" w:rsidRDefault="00B42EF3">
      <w:pPr>
        <w:pStyle w:val="Definition-Field2"/>
      </w:pPr>
      <w:r>
        <w:t>Office ignores this element if the val attribute of the differentOddEven sibling element is not set to true.</w:t>
      </w:r>
    </w:p>
    <w:p w:rsidR="005F78FC" w:rsidRDefault="00B42EF3">
      <w:pPr>
        <w:pStyle w:val="Definition-Field"/>
      </w:pPr>
      <w:r>
        <w:t xml:space="preserve">b.   </w:t>
      </w:r>
      <w:r>
        <w:rPr>
          <w:i/>
        </w:rPr>
        <w:t>The standard states that the evenFooter element is</w:t>
      </w:r>
      <w:r>
        <w:rPr>
          <w:i/>
        </w:rPr>
        <w:t xml:space="preserve"> of type ST_XString.</w:t>
      </w:r>
    </w:p>
    <w:p w:rsidR="005F78FC" w:rsidRDefault="00B42EF3">
      <w:pPr>
        <w:pStyle w:val="Definition-Field2"/>
      </w:pPr>
      <w:r>
        <w:t>Office does not attempt to decode the character escape sequences defined in ST_XString.</w:t>
      </w:r>
    </w:p>
    <w:p w:rsidR="005F78FC" w:rsidRDefault="00B42EF3">
      <w:pPr>
        <w:pStyle w:val="Heading3"/>
      </w:pPr>
      <w:bookmarkStart w:id="2938" w:name="section_0b142db5aa0143b6b2282cd3f8ac3c1a"/>
      <w:bookmarkStart w:id="2939" w:name="_Toc69879242"/>
      <w:r>
        <w:t>Part 1 Section 21.2.2.60, evenHeader (Even Header)</w:t>
      </w:r>
      <w:bookmarkEnd w:id="2938"/>
      <w:bookmarkEnd w:id="2939"/>
      <w:r>
        <w:fldChar w:fldCharType="begin"/>
      </w:r>
      <w:r>
        <w:instrText xml:space="preserve"> XE "evenHeader (Even Header)" </w:instrText>
      </w:r>
      <w:r>
        <w:fldChar w:fldCharType="end"/>
      </w:r>
    </w:p>
    <w:p w:rsidR="005F78FC" w:rsidRDefault="00B42EF3">
      <w:pPr>
        <w:pStyle w:val="Definition-Field"/>
      </w:pPr>
      <w:r>
        <w:t xml:space="preserve">a.   </w:t>
      </w:r>
      <w:r>
        <w:rPr>
          <w:i/>
        </w:rPr>
        <w:t xml:space="preserve">The standard does not state any exceptions that cause the </w:t>
      </w:r>
      <w:r>
        <w:rPr>
          <w:i/>
        </w:rPr>
        <w:t>evenHeader element to be ignored.</w:t>
      </w:r>
    </w:p>
    <w:p w:rsidR="005F78FC" w:rsidRDefault="00B42EF3">
      <w:pPr>
        <w:pStyle w:val="Definition-Field2"/>
      </w:pPr>
      <w:r>
        <w:t>Office ignores this element if the val attribute of the differentOddEven sibling element is not set to true.</w:t>
      </w:r>
    </w:p>
    <w:p w:rsidR="005F78FC" w:rsidRDefault="00B42EF3">
      <w:pPr>
        <w:pStyle w:val="Definition-Field"/>
      </w:pPr>
      <w:r>
        <w:t xml:space="preserve">b.   </w:t>
      </w:r>
      <w:r>
        <w:rPr>
          <w:i/>
        </w:rPr>
        <w:t>The standard states that the evenHeader element is of type ST_XString.</w:t>
      </w:r>
    </w:p>
    <w:p w:rsidR="005F78FC" w:rsidRDefault="00B42EF3">
      <w:pPr>
        <w:pStyle w:val="Definition-Field2"/>
      </w:pPr>
      <w:r>
        <w:t>Office does not attempt to decode the</w:t>
      </w:r>
      <w:r>
        <w:t xml:space="preserve"> character escape sequences defined in ST_XString.</w:t>
      </w:r>
    </w:p>
    <w:p w:rsidR="005F78FC" w:rsidRDefault="00B42EF3">
      <w:pPr>
        <w:pStyle w:val="Heading3"/>
      </w:pPr>
      <w:bookmarkStart w:id="2940" w:name="section_cd1772e1ff694c5881e1793baa9fe54c"/>
      <w:bookmarkStart w:id="2941" w:name="_Toc69879243"/>
      <w:r>
        <w:t>Part 1 Section 21.2.2.61, explosion (Explosion)</w:t>
      </w:r>
      <w:bookmarkEnd w:id="2940"/>
      <w:bookmarkEnd w:id="2941"/>
      <w:r>
        <w:fldChar w:fldCharType="begin"/>
      </w:r>
      <w:r>
        <w:instrText xml:space="preserve"> XE "explosion (Explosion)" </w:instrText>
      </w:r>
      <w:r>
        <w:fldChar w:fldCharType="end"/>
      </w:r>
    </w:p>
    <w:p w:rsidR="005F78FC" w:rsidRDefault="00B42EF3">
      <w:pPr>
        <w:pStyle w:val="Definition-Field"/>
      </w:pPr>
      <w:r>
        <w:t xml:space="preserve">a.   </w:t>
      </w:r>
      <w:r>
        <w:rPr>
          <w:i/>
        </w:rPr>
        <w:t>The standard states that the values of the val attribute are defined by the XML Schema unsignedInt datatype.</w:t>
      </w:r>
    </w:p>
    <w:p w:rsidR="005F78FC" w:rsidRDefault="00B42EF3">
      <w:pPr>
        <w:pStyle w:val="Definition-Field2"/>
      </w:pPr>
      <w:r>
        <w:t>Office restri</w:t>
      </w:r>
      <w:r>
        <w:t>cts the value of this attribute to be at most 2147483647.</w:t>
      </w:r>
    </w:p>
    <w:p w:rsidR="005F78FC" w:rsidRDefault="00B42EF3">
      <w:pPr>
        <w:pStyle w:val="Heading3"/>
      </w:pPr>
      <w:bookmarkStart w:id="2942" w:name="section_3749a6907ce74cf0897acb98f767dd91"/>
      <w:bookmarkStart w:id="2943" w:name="_Toc69879244"/>
      <w:r>
        <w:t>Part 1 Section 21.2.2.63, externalData (External Data Relationship)</w:t>
      </w:r>
      <w:bookmarkEnd w:id="2942"/>
      <w:bookmarkEnd w:id="2943"/>
      <w:r>
        <w:fldChar w:fldCharType="begin"/>
      </w:r>
      <w:r>
        <w:instrText xml:space="preserve"> XE "externalData (External Data Relationship)" </w:instrText>
      </w:r>
      <w:r>
        <w:fldChar w:fldCharType="end"/>
      </w:r>
    </w:p>
    <w:p w:rsidR="005F78FC" w:rsidRDefault="00B42EF3">
      <w:pPr>
        <w:pStyle w:val="Definition-Field"/>
      </w:pPr>
      <w:r>
        <w:t xml:space="preserve">a.   </w:t>
      </w:r>
      <w:r>
        <w:rPr>
          <w:i/>
        </w:rPr>
        <w:t>The standard states the relationship explicitly targeted by the id attribut</w:t>
      </w:r>
      <w:r>
        <w:rPr>
          <w:i/>
        </w:rPr>
        <w:t>e shall be of type http://schemas.openxmlformats.org/officeDocument/2006/relationships/package.</w:t>
      </w:r>
    </w:p>
    <w:p w:rsidR="005F78FC" w:rsidRDefault="00B42EF3">
      <w:pPr>
        <w:pStyle w:val="Definition-Field2"/>
      </w:pPr>
      <w:r>
        <w:t>In Office, the relationship specified by the id attribute shall be present in the set of relationships associated with the chart’s part in the package.</w:t>
      </w:r>
    </w:p>
    <w:p w:rsidR="005F78FC" w:rsidRDefault="00B42EF3">
      <w:pPr>
        <w:pStyle w:val="Heading3"/>
      </w:pPr>
      <w:bookmarkStart w:id="2944" w:name="section_49f95e2f04914f4cb552091b1fb6d822"/>
      <w:bookmarkStart w:id="2945" w:name="_Toc69879245"/>
      <w:r>
        <w:t>Part 1 S</w:t>
      </w:r>
      <w:r>
        <w:t>ection 21.2.2.65, f (Formula)</w:t>
      </w:r>
      <w:bookmarkEnd w:id="2944"/>
      <w:bookmarkEnd w:id="2945"/>
      <w:r>
        <w:fldChar w:fldCharType="begin"/>
      </w:r>
      <w:r>
        <w:instrText xml:space="preserve"> XE "f (Formula)" </w:instrText>
      </w:r>
      <w:r>
        <w:fldChar w:fldCharType="end"/>
      </w:r>
    </w:p>
    <w:p w:rsidR="005F78FC" w:rsidRDefault="00B42EF3">
      <w:pPr>
        <w:pStyle w:val="Definition-Field"/>
      </w:pPr>
      <w:r>
        <w:t xml:space="preserve">a.   </w:t>
      </w:r>
      <w:r>
        <w:rPr>
          <w:i/>
        </w:rPr>
        <w:t>The standard states that the values of the f element are defined by the XML Schema string datatype.</w:t>
      </w:r>
    </w:p>
    <w:p w:rsidR="005F78FC" w:rsidRDefault="00B42EF3">
      <w:pPr>
        <w:pStyle w:val="Definition-Field2"/>
      </w:pPr>
      <w:r>
        <w:t>Office requires the f element be a formula as defined in Formulas ("</w:t>
      </w:r>
      <w:hyperlink r:id="rId213">
        <w:r>
          <w:rPr>
            <w:rStyle w:val="Hyperlink"/>
          </w:rPr>
          <w:t>[ISO/IEC-29500-1]</w:t>
        </w:r>
      </w:hyperlink>
      <w:r>
        <w:t xml:space="preserve"> §18.17"). The maximum length of the decoded string shall not exceed 8192 characters.</w:t>
      </w:r>
    </w:p>
    <w:p w:rsidR="005F78FC" w:rsidRDefault="00B42EF3">
      <w:pPr>
        <w:pStyle w:val="Heading3"/>
      </w:pPr>
      <w:bookmarkStart w:id="2946" w:name="section_ffa6e78afedd422e8521050dd540543f"/>
      <w:bookmarkStart w:id="2947" w:name="_Toc69879246"/>
      <w:r>
        <w:t>Part 1 Section 21.2.2.66, firstFooter (First Footer)</w:t>
      </w:r>
      <w:bookmarkEnd w:id="2946"/>
      <w:bookmarkEnd w:id="2947"/>
      <w:r>
        <w:fldChar w:fldCharType="begin"/>
      </w:r>
      <w:r>
        <w:instrText xml:space="preserve"> XE "firstFooter (First Footer)" </w:instrText>
      </w:r>
      <w:r>
        <w:fldChar w:fldCharType="end"/>
      </w:r>
    </w:p>
    <w:p w:rsidR="005F78FC" w:rsidRDefault="00B42EF3">
      <w:pPr>
        <w:pStyle w:val="Definition-Field"/>
      </w:pPr>
      <w:r>
        <w:t xml:space="preserve">a.   </w:t>
      </w:r>
      <w:r>
        <w:rPr>
          <w:i/>
        </w:rPr>
        <w:t>The standard does not state</w:t>
      </w:r>
      <w:r>
        <w:rPr>
          <w:i/>
        </w:rPr>
        <w:t xml:space="preserve"> any exceptions that cause the firstFooter element to be ignored.</w:t>
      </w:r>
    </w:p>
    <w:p w:rsidR="005F78FC" w:rsidRDefault="00B42EF3">
      <w:pPr>
        <w:pStyle w:val="Definition-Field2"/>
      </w:pPr>
      <w:r>
        <w:lastRenderedPageBreak/>
        <w:t>Office ignores this element if the differentOddEven attribute of the parent headerFooter element is not set to true.</w:t>
      </w:r>
    </w:p>
    <w:p w:rsidR="005F78FC" w:rsidRDefault="00B42EF3">
      <w:pPr>
        <w:pStyle w:val="Definition-Field"/>
      </w:pPr>
      <w:r>
        <w:t xml:space="preserve">b.   </w:t>
      </w:r>
      <w:r>
        <w:rPr>
          <w:i/>
        </w:rPr>
        <w:t xml:space="preserve">The standard states that the firstFooter element is of type </w:t>
      </w:r>
      <w:r>
        <w:rPr>
          <w:i/>
        </w:rPr>
        <w:t>ST_Xstring.</w:t>
      </w:r>
    </w:p>
    <w:p w:rsidR="005F78FC" w:rsidRDefault="00B42EF3">
      <w:pPr>
        <w:pStyle w:val="Definition-Field2"/>
      </w:pPr>
      <w:r>
        <w:t>Office does not attempt to decode the character escape sequences defined in ST_XString.</w:t>
      </w:r>
    </w:p>
    <w:p w:rsidR="005F78FC" w:rsidRDefault="00B42EF3">
      <w:pPr>
        <w:pStyle w:val="Heading3"/>
      </w:pPr>
      <w:bookmarkStart w:id="2948" w:name="section_040fa40f5c914e65be97a7b64d744fcf"/>
      <w:bookmarkStart w:id="2949" w:name="_Toc69879247"/>
      <w:r>
        <w:t>Part 1 Section 21.2.2.67, firstHeader (First Header)</w:t>
      </w:r>
      <w:bookmarkEnd w:id="2948"/>
      <w:bookmarkEnd w:id="2949"/>
      <w:r>
        <w:fldChar w:fldCharType="begin"/>
      </w:r>
      <w:r>
        <w:instrText xml:space="preserve"> XE "firstHeader (First Header)" </w:instrText>
      </w:r>
      <w:r>
        <w:fldChar w:fldCharType="end"/>
      </w:r>
    </w:p>
    <w:p w:rsidR="005F78FC" w:rsidRDefault="00B42EF3">
      <w:pPr>
        <w:pStyle w:val="Definition-Field"/>
      </w:pPr>
      <w:r>
        <w:t xml:space="preserve">a.   </w:t>
      </w:r>
      <w:r>
        <w:rPr>
          <w:i/>
        </w:rPr>
        <w:t>The standard does not state any exceptions that cause the first</w:t>
      </w:r>
      <w:r>
        <w:rPr>
          <w:i/>
        </w:rPr>
        <w:t>Header element to be ignored.</w:t>
      </w:r>
    </w:p>
    <w:p w:rsidR="005F78FC" w:rsidRDefault="00B42EF3">
      <w:pPr>
        <w:pStyle w:val="Definition-Field2"/>
      </w:pPr>
      <w:r>
        <w:t>Office ignores this element if the differentOddEven attribute of the parent headerFooter element is not set to true.</w:t>
      </w:r>
    </w:p>
    <w:p w:rsidR="005F78FC" w:rsidRDefault="00B42EF3">
      <w:pPr>
        <w:pStyle w:val="Definition-Field"/>
      </w:pPr>
      <w:r>
        <w:t xml:space="preserve">b.   </w:t>
      </w:r>
      <w:r>
        <w:rPr>
          <w:i/>
        </w:rPr>
        <w:t>The standard states that the firstHeader element is of type ST_Xstring.</w:t>
      </w:r>
    </w:p>
    <w:p w:rsidR="005F78FC" w:rsidRDefault="00B42EF3">
      <w:pPr>
        <w:pStyle w:val="Definition-Field2"/>
      </w:pPr>
      <w:r>
        <w:t>Office does not attempt to decod</w:t>
      </w:r>
      <w:r>
        <w:t>e the character escape sequences defined in ST_XString.</w:t>
      </w:r>
    </w:p>
    <w:p w:rsidR="005F78FC" w:rsidRDefault="00B42EF3">
      <w:pPr>
        <w:pStyle w:val="Heading3"/>
      </w:pPr>
      <w:bookmarkStart w:id="2950" w:name="section_14a18d6f56794a50bd05b4dfbc77d851"/>
      <w:bookmarkStart w:id="2951" w:name="_Toc69879248"/>
      <w:r>
        <w:t>Part 1 Section 21.2.2.69, floor (Floor)</w:t>
      </w:r>
      <w:bookmarkEnd w:id="2950"/>
      <w:bookmarkEnd w:id="2951"/>
      <w:r>
        <w:fldChar w:fldCharType="begin"/>
      </w:r>
      <w:r>
        <w:instrText xml:space="preserve"> XE "floor (Floor)" </w:instrText>
      </w:r>
      <w:r>
        <w:fldChar w:fldCharType="end"/>
      </w:r>
    </w:p>
    <w:p w:rsidR="005F78FC" w:rsidRDefault="00B42EF3">
      <w:pPr>
        <w:pStyle w:val="Definition-Field"/>
      </w:pPr>
      <w:r>
        <w:t xml:space="preserve">a.   </w:t>
      </w:r>
      <w:r>
        <w:rPr>
          <w:i/>
        </w:rPr>
        <w:t>The standard states that the floor element can be a child of any chart element.</w:t>
      </w:r>
    </w:p>
    <w:p w:rsidR="005F78FC" w:rsidRDefault="00B42EF3">
      <w:pPr>
        <w:pStyle w:val="Definition-Field2"/>
      </w:pPr>
      <w:r>
        <w:t>Office requires that the chart contain a 3D chart gro</w:t>
      </w:r>
      <w:r>
        <w:t>up (bar3DChart, line3DChart, area3DChart, surface3DChart, or pie3DChart) when this element is specified.</w:t>
      </w:r>
    </w:p>
    <w:p w:rsidR="005F78FC" w:rsidRDefault="00B42EF3">
      <w:pPr>
        <w:pStyle w:val="Heading3"/>
      </w:pPr>
      <w:bookmarkStart w:id="2952" w:name="section_b1f80d650055495797e699d84ef6398a"/>
      <w:bookmarkStart w:id="2953" w:name="_Toc69879249"/>
      <w:r>
        <w:t>Part 1 Section 21.2.2.70, fmtId (Format ID)</w:t>
      </w:r>
      <w:bookmarkEnd w:id="2952"/>
      <w:bookmarkEnd w:id="2953"/>
      <w:r>
        <w:fldChar w:fldCharType="begin"/>
      </w:r>
      <w:r>
        <w:instrText xml:space="preserve"> XE "fmtId (Format ID)" </w:instrText>
      </w:r>
      <w:r>
        <w:fldChar w:fldCharType="end"/>
      </w:r>
    </w:p>
    <w:p w:rsidR="005F78FC" w:rsidRDefault="00B42EF3">
      <w:pPr>
        <w:pStyle w:val="Definition-Field"/>
      </w:pPr>
      <w:r>
        <w:t xml:space="preserve">a.   </w:t>
      </w:r>
      <w:r>
        <w:rPr>
          <w:i/>
        </w:rPr>
        <w:t xml:space="preserve">The standard states that values of the val attribute are defined by the XML </w:t>
      </w:r>
      <w:r>
        <w:rPr>
          <w:i/>
        </w:rPr>
        <w:t>Schema unsignedInt datatype.</w:t>
      </w:r>
    </w:p>
    <w:p w:rsidR="005F78FC" w:rsidRDefault="00B42EF3">
      <w:pPr>
        <w:pStyle w:val="Definition-Field2"/>
      </w:pPr>
      <w:r>
        <w:t>Office restricts the value of this attribute to be at most 2147483647.</w:t>
      </w:r>
    </w:p>
    <w:p w:rsidR="005F78FC" w:rsidRDefault="00B42EF3">
      <w:pPr>
        <w:pStyle w:val="Heading3"/>
      </w:pPr>
      <w:bookmarkStart w:id="2954" w:name="section_1a0d07f9ff1b4373ae2afdc4610c6c36"/>
      <w:bookmarkStart w:id="2955" w:name="_Toc69879250"/>
      <w:r>
        <w:t>Part 1 Section 21.2.2.72, formatting (Formatting)</w:t>
      </w:r>
      <w:bookmarkEnd w:id="2954"/>
      <w:bookmarkEnd w:id="2955"/>
      <w:r>
        <w:fldChar w:fldCharType="begin"/>
      </w:r>
      <w:r>
        <w:instrText xml:space="preserve"> XE "formatting (Formatting)" </w:instrText>
      </w:r>
      <w:r>
        <w:fldChar w:fldCharType="end"/>
      </w:r>
    </w:p>
    <w:p w:rsidR="005F78FC" w:rsidRDefault="00B42EF3">
      <w:pPr>
        <w:pStyle w:val="Definition-Field"/>
      </w:pPr>
      <w:r>
        <w:t xml:space="preserve">a.   </w:t>
      </w:r>
      <w:r>
        <w:rPr>
          <w:i/>
        </w:rPr>
        <w:t xml:space="preserve">The standard states that the formatting element prevents a user from </w:t>
      </w:r>
      <w:r>
        <w:rPr>
          <w:i/>
        </w:rPr>
        <w:t>changing formatting on chart elements.</w:t>
      </w:r>
    </w:p>
    <w:p w:rsidR="005F78FC" w:rsidRDefault="00B42EF3">
      <w:pPr>
        <w:pStyle w:val="Definition-Field2"/>
      </w:pPr>
      <w:r>
        <w:t>Office does not fully respect this element and does not protect the chart from formatting changes in all scenarios.</w:t>
      </w:r>
    </w:p>
    <w:p w:rsidR="005F78FC" w:rsidRDefault="00B42EF3">
      <w:pPr>
        <w:pStyle w:val="Heading3"/>
      </w:pPr>
      <w:bookmarkStart w:id="2956" w:name="section_bd4e4652e4ee46e59d88b730b2233e20"/>
      <w:bookmarkStart w:id="2957" w:name="_Toc69879251"/>
      <w:r>
        <w:t>Part 1 Section 21.2.2.73, forward (Forward)</w:t>
      </w:r>
      <w:bookmarkEnd w:id="2956"/>
      <w:bookmarkEnd w:id="2957"/>
      <w:r>
        <w:fldChar w:fldCharType="begin"/>
      </w:r>
      <w:r>
        <w:instrText xml:space="preserve"> XE "forward (Forward)" </w:instrText>
      </w:r>
      <w:r>
        <w:fldChar w:fldCharType="end"/>
      </w:r>
    </w:p>
    <w:p w:rsidR="005F78FC" w:rsidRDefault="00B42EF3">
      <w:pPr>
        <w:pStyle w:val="Definition-Field"/>
      </w:pPr>
      <w:r>
        <w:t xml:space="preserve">a.   </w:t>
      </w:r>
      <w:r>
        <w:rPr>
          <w:i/>
        </w:rPr>
        <w:t>The standard states that t</w:t>
      </w:r>
      <w:r>
        <w:rPr>
          <w:i/>
        </w:rPr>
        <w:t>he value of the val attribute on non-scatter charts must be a multiple of 0.5.</w:t>
      </w:r>
    </w:p>
    <w:p w:rsidR="005F78FC" w:rsidRDefault="00B42EF3">
      <w:pPr>
        <w:pStyle w:val="Definition-Field2"/>
      </w:pPr>
      <w:r>
        <w:t>Office allows the data range to include any non-negative number.</w:t>
      </w:r>
    </w:p>
    <w:p w:rsidR="005F78FC" w:rsidRDefault="00B42EF3">
      <w:pPr>
        <w:pStyle w:val="Definition-Field"/>
      </w:pPr>
      <w:r>
        <w:t xml:space="preserve">b.   </w:t>
      </w:r>
      <w:r>
        <w:rPr>
          <w:i/>
        </w:rPr>
        <w:t>The standard states that attribute val is of type xsd:double.</w:t>
      </w:r>
    </w:p>
    <w:p w:rsidR="005F78FC" w:rsidRDefault="00B42EF3">
      <w:pPr>
        <w:pStyle w:val="Definition-Field2"/>
      </w:pPr>
      <w:r>
        <w:t>Office does not allow INF, -INF, and NaN as s</w:t>
      </w:r>
      <w:r>
        <w:t>upported values.  For scatterChart and bubbleChart, the value is in units, otherwise the value is in number of categories. The value of this attribute has a minimum value greater than 0.</w:t>
      </w:r>
    </w:p>
    <w:p w:rsidR="005F78FC" w:rsidRDefault="00B42EF3">
      <w:pPr>
        <w:pStyle w:val="Heading3"/>
      </w:pPr>
      <w:bookmarkStart w:id="2958" w:name="section_012f5622abbb48448368833b087789e4"/>
      <w:bookmarkStart w:id="2959" w:name="_Toc69879252"/>
      <w:r>
        <w:t>Part 1 Section 21.2.2.74, gapDepth (Gap Depth)</w:t>
      </w:r>
      <w:bookmarkEnd w:id="2958"/>
      <w:bookmarkEnd w:id="2959"/>
      <w:r>
        <w:fldChar w:fldCharType="begin"/>
      </w:r>
      <w:r>
        <w:instrText xml:space="preserve"> XE "gapDepth (Gap Dept</w:instrText>
      </w:r>
      <w:r>
        <w:instrText xml:space="preserve">h)" </w:instrText>
      </w:r>
      <w:r>
        <w:fldChar w:fldCharType="end"/>
      </w:r>
    </w:p>
    <w:p w:rsidR="005F78FC" w:rsidRDefault="00B42EF3">
      <w:pPr>
        <w:pStyle w:val="Definition-Field"/>
      </w:pPr>
      <w:r>
        <w:t xml:space="preserve">a.   </w:t>
      </w:r>
      <w:r>
        <w:rPr>
          <w:i/>
        </w:rPr>
        <w:t>The standard states that the gapDepth element specifies the space between bar or column clusters, as a percentage of the bar or column width.</w:t>
      </w:r>
    </w:p>
    <w:p w:rsidR="005F78FC" w:rsidRDefault="00B42EF3">
      <w:pPr>
        <w:pStyle w:val="Definition-Field2"/>
      </w:pPr>
      <w:r>
        <w:lastRenderedPageBreak/>
        <w:t>In Office, this element specifies the space between adjacent categories in the depth axis direction, a</w:t>
      </w:r>
      <w:r>
        <w:t>s a percentage of the bar, column, line, or base depth.</w:t>
      </w:r>
    </w:p>
    <w:p w:rsidR="005F78FC" w:rsidRDefault="00B42EF3">
      <w:pPr>
        <w:pStyle w:val="Heading3"/>
      </w:pPr>
      <w:bookmarkStart w:id="2960" w:name="section_2f482e396b114a3ba3c43c46edfb3fc9"/>
      <w:bookmarkStart w:id="2961" w:name="_Toc69879253"/>
      <w:r>
        <w:t>Part 1 Section 21.2.2.75, gapWidth (Gap Width)</w:t>
      </w:r>
      <w:bookmarkEnd w:id="2960"/>
      <w:bookmarkEnd w:id="2961"/>
      <w:r>
        <w:fldChar w:fldCharType="begin"/>
      </w:r>
      <w:r>
        <w:instrText xml:space="preserve"> XE "gapWidth (Gap Width)" </w:instrText>
      </w:r>
      <w:r>
        <w:fldChar w:fldCharType="end"/>
      </w:r>
    </w:p>
    <w:p w:rsidR="005F78FC" w:rsidRDefault="00B42EF3">
      <w:pPr>
        <w:pStyle w:val="Definition-Field"/>
      </w:pPr>
      <w:r>
        <w:t xml:space="preserve">a.   </w:t>
      </w:r>
      <w:r>
        <w:rPr>
          <w:i/>
        </w:rPr>
        <w:t>The standard does not state how to interpret a gapWidth element on an ofPieChart element.</w:t>
      </w:r>
    </w:p>
    <w:p w:rsidR="005F78FC" w:rsidRDefault="00B42EF3">
      <w:pPr>
        <w:pStyle w:val="Definition-Field2"/>
      </w:pPr>
      <w:r>
        <w:t>In Office, the gapWidth eleme</w:t>
      </w:r>
      <w:r>
        <w:t>nt on an ofPieChart element specifies the radius of the primary pie for an ofPieChart.</w:t>
      </w:r>
    </w:p>
    <w:p w:rsidR="005F78FC" w:rsidRDefault="00B42EF3">
      <w:pPr>
        <w:pStyle w:val="Definition-Field"/>
      </w:pPr>
      <w:r>
        <w:t xml:space="preserve">b.   </w:t>
      </w:r>
      <w:r>
        <w:rPr>
          <w:i/>
        </w:rPr>
        <w:t>The standard states that the gapWidth element specifies the space between bar or column clusters, as a percentage of the bar or column width.</w:t>
      </w:r>
    </w:p>
    <w:p w:rsidR="005F78FC" w:rsidRDefault="00B42EF3">
      <w:pPr>
        <w:pStyle w:val="Definition-Field2"/>
      </w:pPr>
      <w:r>
        <w:t xml:space="preserve">In Office, this </w:t>
      </w:r>
      <w:r>
        <w:t>element specifies the space between adjacent series clusters in the category axis direction, as a percentage of the bar or column width for bar3DChart, barChart, and upDownBars.</w:t>
      </w:r>
    </w:p>
    <w:p w:rsidR="005F78FC" w:rsidRDefault="00B42EF3">
      <w:pPr>
        <w:pStyle w:val="Heading3"/>
      </w:pPr>
      <w:bookmarkStart w:id="2962" w:name="section_8fd06fa97194482caa15286409552ac5"/>
      <w:bookmarkStart w:id="2963" w:name="_Toc69879254"/>
      <w:r>
        <w:t>Part 1 Section 21.2.2.76, grouping (Grouping)</w:t>
      </w:r>
      <w:bookmarkEnd w:id="2962"/>
      <w:bookmarkEnd w:id="2963"/>
      <w:r>
        <w:fldChar w:fldCharType="begin"/>
      </w:r>
      <w:r>
        <w:instrText xml:space="preserve"> XE "grouping (Grouping)" </w:instrText>
      </w:r>
      <w:r>
        <w:fldChar w:fldCharType="end"/>
      </w:r>
    </w:p>
    <w:p w:rsidR="005F78FC" w:rsidRDefault="00B42EF3">
      <w:pPr>
        <w:pStyle w:val="Definition-Field"/>
      </w:pPr>
      <w:r>
        <w:t xml:space="preserve">a.  </w:t>
      </w:r>
      <w:r>
        <w:t xml:space="preserve"> </w:t>
      </w:r>
      <w:r>
        <w:rPr>
          <w:i/>
        </w:rPr>
        <w:t>The standard states that the grouping element specifies the type of grouping for a column, line, or area chart.</w:t>
      </w:r>
    </w:p>
    <w:p w:rsidR="005F78FC" w:rsidRDefault="00B42EF3">
      <w:pPr>
        <w:pStyle w:val="Definition-Field2"/>
      </w:pPr>
      <w:r>
        <w:t>In Office, this element specifies the type of grouping for a line or area chart.</w:t>
      </w:r>
    </w:p>
    <w:p w:rsidR="005F78FC" w:rsidRDefault="00B42EF3">
      <w:pPr>
        <w:pStyle w:val="Heading3"/>
      </w:pPr>
      <w:bookmarkStart w:id="2964" w:name="section_2492a099586a4b7599a539bb273e5c0a"/>
      <w:bookmarkStart w:id="2965" w:name="_Toc69879255"/>
      <w:r>
        <w:t>Part 1 Section 21.2.2.78, h (Height)</w:t>
      </w:r>
      <w:bookmarkEnd w:id="2964"/>
      <w:bookmarkEnd w:id="2965"/>
      <w:r>
        <w:fldChar w:fldCharType="begin"/>
      </w:r>
      <w:r>
        <w:instrText xml:space="preserve"> XE "h (Height)" </w:instrText>
      </w:r>
      <w:r>
        <w:fldChar w:fldCharType="end"/>
      </w:r>
    </w:p>
    <w:p w:rsidR="005F78FC" w:rsidRDefault="00B42EF3">
      <w:pPr>
        <w:pStyle w:val="Definition-Field2"/>
      </w:pPr>
      <w:r>
        <w:rPr>
          <w:i/>
        </w:rPr>
        <w:t>For ad</w:t>
      </w:r>
      <w:r>
        <w:rPr>
          <w:i/>
        </w:rPr>
        <w:t xml:space="preserve">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w:t>
        </w:r>
        <w:r>
          <w:rPr>
            <w:rStyle w:val="Hyperlink"/>
          </w:rPr>
          <w:t>(a)</w:t>
        </w:r>
      </w:hyperlink>
      <w:r>
        <w:rPr>
          <w:i/>
        </w:rPr>
        <w:t xml:space="preserve">; </w:t>
      </w:r>
      <w:hyperlink w:anchor="Section_002a323721c5425f83521a108d5bc7bb">
        <w:r>
          <w:rPr>
            <w:rStyle w:val="Hyperlink"/>
          </w:rPr>
          <w:t>splitPos, §21.2.2.195(c)</w:t>
        </w:r>
      </w:hyperlink>
      <w:r>
        <w:rPr>
          <w:i/>
        </w:rPr>
        <w:t>.</w:t>
      </w:r>
    </w:p>
    <w:p w:rsidR="005F78FC" w:rsidRDefault="00B42EF3">
      <w:pPr>
        <w:pStyle w:val="Definition-Field"/>
      </w:pPr>
      <w:r>
        <w:t xml:space="preserve">a.   </w:t>
      </w:r>
      <w:r>
        <w:rPr>
          <w:i/>
        </w:rPr>
        <w:t>The standard does not state any exceptions that cause the h element to be ignored.</w:t>
      </w:r>
    </w:p>
    <w:p w:rsidR="005F78FC" w:rsidRDefault="00B42EF3">
      <w:pPr>
        <w:pStyle w:val="Definition-Field2"/>
      </w:pPr>
      <w:r>
        <w:t>Office ignores this element when a descendant of dispUnitsLbl, dLbl, title</w:t>
      </w:r>
      <w:r>
        <w:t>, or trendline and instead fits the element to the size of the text.</w:t>
      </w:r>
    </w:p>
    <w:p w:rsidR="005F78FC" w:rsidRDefault="00B42EF3">
      <w:pPr>
        <w:pStyle w:val="Definition-Field"/>
      </w:pPr>
      <w:r>
        <w:t xml:space="preserve">b.   </w:t>
      </w:r>
      <w:r>
        <w:rPr>
          <w:i/>
        </w:rPr>
        <w:t>The standard does not state any exceptions that cause the h element to be ignored or interpreted differently.</w:t>
      </w:r>
    </w:p>
    <w:p w:rsidR="005F78FC" w:rsidRDefault="00B42EF3">
      <w:pPr>
        <w:pStyle w:val="Definition-Field2"/>
      </w:pPr>
      <w:r>
        <w:t>In Office, if the value of the val attribute is greater than 1 or less t</w:t>
      </w:r>
      <w:r>
        <w:t>han 0, this element and the parent element manualLayout are ignored. Instead, the parent of manualLayout shall use its default size and position.</w:t>
      </w:r>
    </w:p>
    <w:p w:rsidR="005F78FC" w:rsidRDefault="00B42EF3">
      <w:pPr>
        <w:pStyle w:val="Heading3"/>
      </w:pPr>
      <w:bookmarkStart w:id="2966" w:name="section_0c9d02eca22c49aeb335f2a4f1d2dd8e"/>
      <w:bookmarkStart w:id="2967" w:name="_Toc69879256"/>
      <w:r>
        <w:t>Part 1 Section 21.2.2.79, headerFooter (Header and Footer)</w:t>
      </w:r>
      <w:bookmarkEnd w:id="2966"/>
      <w:bookmarkEnd w:id="2967"/>
      <w:r>
        <w:fldChar w:fldCharType="begin"/>
      </w:r>
      <w:r>
        <w:instrText xml:space="preserve"> XE "headerFooter (Header and Footer)" </w:instrText>
      </w:r>
      <w:r>
        <w:fldChar w:fldCharType="end"/>
      </w:r>
    </w:p>
    <w:p w:rsidR="005F78FC" w:rsidRDefault="00B42EF3">
      <w:pPr>
        <w:pStyle w:val="Definition-Field"/>
      </w:pPr>
      <w:r>
        <w:t xml:space="preserve">a.   </w:t>
      </w:r>
      <w:r>
        <w:rPr>
          <w:i/>
        </w:rPr>
        <w:t>The s</w:t>
      </w:r>
      <w:r>
        <w:rPr>
          <w:i/>
        </w:rPr>
        <w:t>tandard states that the alignWithMargins attribute specifies that the header and footer should align with the left and right margins of the chart.</w:t>
      </w:r>
    </w:p>
    <w:p w:rsidR="005F78FC" w:rsidRDefault="00B42EF3">
      <w:pPr>
        <w:pStyle w:val="Definition-Field2"/>
      </w:pPr>
      <w:r>
        <w:t>In Office, a value of true for this attribute specifies that the left and right edges of the header and foote</w:t>
      </w:r>
      <w:r>
        <w:t>r align with the left and right margins of chart. A value of false specifies the application will determine the alignment.</w:t>
      </w:r>
    </w:p>
    <w:p w:rsidR="005F78FC" w:rsidRDefault="00B42EF3">
      <w:pPr>
        <w:pStyle w:val="Heading3"/>
      </w:pPr>
      <w:bookmarkStart w:id="2968" w:name="section_4d59213a27af49019006ff11f30589b4"/>
      <w:bookmarkStart w:id="2969" w:name="_Toc69879257"/>
      <w:r>
        <w:t>Part 1 Section 21.2.2.81, hMode (Height Mode)</w:t>
      </w:r>
      <w:bookmarkEnd w:id="2968"/>
      <w:bookmarkEnd w:id="2969"/>
      <w:r>
        <w:fldChar w:fldCharType="begin"/>
      </w:r>
      <w:r>
        <w:instrText xml:space="preserve"> XE "hMode (Height Mode)"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67d2127f692243a29ffee4d67615136d">
        <w:r>
          <w:rPr>
            <w:rStyle w:val="Hyperlink"/>
          </w:rPr>
          <w:t>wMode, §21.2.2.231(a)</w:t>
        </w:r>
      </w:hyperlink>
      <w:r>
        <w:rPr>
          <w:i/>
        </w:rPr>
        <w:t>.</w:t>
      </w:r>
    </w:p>
    <w:p w:rsidR="005F78FC" w:rsidRDefault="00B42EF3">
      <w:pPr>
        <w:pStyle w:val="Definition-Field"/>
      </w:pPr>
      <w:r>
        <w:t xml:space="preserve">a.   </w:t>
      </w:r>
      <w:r>
        <w:rPr>
          <w:i/>
        </w:rPr>
        <w:t>The standard states that edge is a valid value for the val attribute of hMo</w:t>
      </w:r>
      <w:r>
        <w:rPr>
          <w:i/>
        </w:rPr>
        <w:t>de.</w:t>
      </w:r>
    </w:p>
    <w:p w:rsidR="005F78FC" w:rsidRDefault="00B42EF3">
      <w:pPr>
        <w:pStyle w:val="Definition-Field2"/>
      </w:pPr>
      <w:r>
        <w:lastRenderedPageBreak/>
        <w:t>Office only saves a value of factor for the val attribute.  Files opened with val equal to edge will be changed to factor on save and the val of sibling element h will be updated to reflect this mode change and correctly preserve the manual size.</w:t>
      </w:r>
    </w:p>
    <w:p w:rsidR="005F78FC" w:rsidRDefault="00B42EF3">
      <w:pPr>
        <w:pStyle w:val="Heading3"/>
      </w:pPr>
      <w:bookmarkStart w:id="2970" w:name="section_21355c07074d42ba8c5e37e6f33692ac"/>
      <w:bookmarkStart w:id="2971" w:name="_Toc69879258"/>
      <w:r>
        <w:t xml:space="preserve">Part </w:t>
      </w:r>
      <w:r>
        <w:t>1 Section 21.2.2.82, holeSize (Hole Size)</w:t>
      </w:r>
      <w:bookmarkEnd w:id="2970"/>
      <w:bookmarkEnd w:id="2971"/>
      <w:r>
        <w:fldChar w:fldCharType="begin"/>
      </w:r>
      <w:r>
        <w:instrText xml:space="preserve"> XE "holeSize (Hole Size)" </w:instrText>
      </w:r>
      <w:r>
        <w:fldChar w:fldCharType="end"/>
      </w:r>
    </w:p>
    <w:p w:rsidR="005F78FC" w:rsidRDefault="00B42EF3">
      <w:pPr>
        <w:pStyle w:val="Definition-Field"/>
      </w:pPr>
      <w:r>
        <w:t xml:space="preserve">a.   </w:t>
      </w:r>
      <w:r>
        <w:rPr>
          <w:i/>
        </w:rPr>
        <w:t>The standard states that the val attribute specifies that the contents of this attribute will contain a hole size between 10 and 90.</w:t>
      </w:r>
    </w:p>
    <w:p w:rsidR="005F78FC" w:rsidRDefault="00B42EF3">
      <w:pPr>
        <w:pStyle w:val="Definition-Field2"/>
      </w:pPr>
      <w:r>
        <w:t>In Office, the val attribute specifies that the</w:t>
      </w:r>
      <w:r>
        <w:t xml:space="preserve"> contents of this attribute will contain a hole size as defined by the ST_HoleSize simple type.</w:t>
      </w:r>
    </w:p>
    <w:p w:rsidR="005F78FC" w:rsidRDefault="00B42EF3">
      <w:pPr>
        <w:pStyle w:val="Definition-Field"/>
      </w:pPr>
      <w:r>
        <w:t xml:space="preserve">b.   </w:t>
      </w:r>
      <w:r>
        <w:rPr>
          <w:i/>
        </w:rPr>
        <w:t>The standard implies that the val attribute is optional.</w:t>
      </w:r>
    </w:p>
    <w:p w:rsidR="005F78FC" w:rsidRDefault="00B42EF3">
      <w:pPr>
        <w:pStyle w:val="Definition-Field2"/>
      </w:pPr>
      <w:r>
        <w:t>Office requires this attribute.</w:t>
      </w:r>
    </w:p>
    <w:p w:rsidR="005F78FC" w:rsidRDefault="00B42EF3">
      <w:pPr>
        <w:pStyle w:val="Heading3"/>
      </w:pPr>
      <w:bookmarkStart w:id="2972" w:name="section_efdfd9b1197c426ba356d35c55a14eae"/>
      <w:bookmarkStart w:id="2973" w:name="_Toc69879259"/>
      <w:r>
        <w:t>Part 1 Section 21.2.2.83, hPercent (Height Percent)</w:t>
      </w:r>
      <w:bookmarkEnd w:id="2972"/>
      <w:bookmarkEnd w:id="2973"/>
      <w:r>
        <w:fldChar w:fldCharType="begin"/>
      </w:r>
      <w:r>
        <w:instrText xml:space="preserve"> XE "hPercent (</w:instrText>
      </w:r>
      <w:r>
        <w:instrText xml:space="preserve">Height Percent)" </w:instrText>
      </w:r>
      <w:r>
        <w:fldChar w:fldCharType="end"/>
      </w:r>
    </w:p>
    <w:p w:rsidR="005F78FC" w:rsidRDefault="00B42EF3">
      <w:pPr>
        <w:pStyle w:val="Definition-Field"/>
      </w:pPr>
      <w:r>
        <w:t xml:space="preserve">a.   </w:t>
      </w:r>
      <w:r>
        <w:rPr>
          <w:i/>
        </w:rPr>
        <w:t>The standard does not define the behavior when the hPercent element is omitted.</w:t>
      </w:r>
    </w:p>
    <w:p w:rsidR="005F78FC" w:rsidRDefault="00B42EF3">
      <w:pPr>
        <w:pStyle w:val="Definition-Field2"/>
      </w:pPr>
      <w:r>
        <w:t>If this element is omitted, Office uses automatic scaling.  If automatic scaling is enabled, the height of the 3-D chart expressed as a percentage of t</w:t>
      </w:r>
      <w:r>
        <w:t>he chart width shall be the ratio of plot area height to plot area width.</w:t>
      </w:r>
    </w:p>
    <w:p w:rsidR="005F78FC" w:rsidRDefault="00B42EF3">
      <w:pPr>
        <w:pStyle w:val="Definition-Field"/>
      </w:pPr>
      <w:r>
        <w:t xml:space="preserve">b.   </w:t>
      </w:r>
      <w:r>
        <w:rPr>
          <w:i/>
        </w:rPr>
        <w:t>The standard does not specify how to interpret the hPercent element on a pie3Dchart.</w:t>
      </w:r>
    </w:p>
    <w:p w:rsidR="005F78FC" w:rsidRDefault="00B42EF3">
      <w:pPr>
        <w:pStyle w:val="Definition-Field2"/>
      </w:pPr>
      <w:r>
        <w:t>In Office, this element on a pie3DChart specifies that the thickness of the 3-D pie chart sh</w:t>
      </w:r>
      <w:r>
        <w:t>all be the default thickness (defined by the SpreadsheetML application) multiplied by the height percent.</w:t>
      </w:r>
    </w:p>
    <w:p w:rsidR="005F78FC" w:rsidRDefault="00B42EF3">
      <w:pPr>
        <w:pStyle w:val="Definition-Field"/>
      </w:pPr>
      <w:r>
        <w:t xml:space="preserve">c.   </w:t>
      </w:r>
      <w:r>
        <w:rPr>
          <w:i/>
        </w:rPr>
        <w:t>The standard states that the hPercent element specifies the height of a 3-D chart as a percentage of the chart width.</w:t>
      </w:r>
    </w:p>
    <w:p w:rsidR="005F78FC" w:rsidRDefault="00B42EF3">
      <w:pPr>
        <w:pStyle w:val="Definition-Field2"/>
      </w:pPr>
      <w:r>
        <w:t>In Office, this element spe</w:t>
      </w:r>
      <w:r>
        <w:t>cifies the height of a 3-D chart as a percentage of the 3-D plot area width, and disables automatic scaling for the chart height.</w:t>
      </w:r>
    </w:p>
    <w:p w:rsidR="005F78FC" w:rsidRDefault="00B42EF3">
      <w:pPr>
        <w:pStyle w:val="Heading3"/>
      </w:pPr>
      <w:bookmarkStart w:id="2974" w:name="section_6ceb7cd840d84c6695fa130240a4a22a"/>
      <w:bookmarkStart w:id="2975" w:name="_Toc69879260"/>
      <w:r>
        <w:t>Part 1 Section 21.2.2.84, idx (Index)</w:t>
      </w:r>
      <w:bookmarkEnd w:id="2974"/>
      <w:bookmarkEnd w:id="2975"/>
      <w:r>
        <w:fldChar w:fldCharType="begin"/>
      </w:r>
      <w:r>
        <w:instrText xml:space="preserve"> XE "idx (Index)" </w:instrText>
      </w:r>
      <w:r>
        <w:fldChar w:fldCharType="end"/>
      </w:r>
    </w:p>
    <w:p w:rsidR="005F78FC" w:rsidRDefault="00B42EF3">
      <w:pPr>
        <w:pStyle w:val="Definition-Field"/>
      </w:pPr>
      <w:r>
        <w:t xml:space="preserve">a.   </w:t>
      </w:r>
      <w:r>
        <w:rPr>
          <w:i/>
        </w:rPr>
        <w:t>The standard places no restrictions on the val attribute beyond</w:t>
      </w:r>
      <w:r>
        <w:rPr>
          <w:i/>
        </w:rPr>
        <w:t xml:space="preserve"> type information.</w:t>
      </w:r>
    </w:p>
    <w:p w:rsidR="005F78FC" w:rsidRDefault="00B42EF3">
      <w:pPr>
        <w:pStyle w:val="Definition-Field2"/>
      </w:pPr>
      <w:r>
        <w:t>Office requires that the value of the val attribute be unique amongst idx elements within the same collection.</w:t>
      </w:r>
    </w:p>
    <w:p w:rsidR="005F78FC" w:rsidRDefault="00B42EF3">
      <w:pPr>
        <w:pStyle w:val="Definition-Field"/>
      </w:pPr>
      <w:r>
        <w:t xml:space="preserve">b.   </w:t>
      </w:r>
      <w:r>
        <w:rPr>
          <w:i/>
        </w:rPr>
        <w:t>The standard states that the values of the val attribute are defined by the XML Schema unsignedInt datatype.</w:t>
      </w:r>
    </w:p>
    <w:p w:rsidR="005F78FC" w:rsidRDefault="00B42EF3">
      <w:pPr>
        <w:pStyle w:val="Definition-Field2"/>
      </w:pPr>
      <w:r>
        <w:t>Office restr</w:t>
      </w:r>
      <w:r>
        <w:t>icts the value of this attribute to be at most 2147483647.</w:t>
      </w:r>
    </w:p>
    <w:p w:rsidR="005F78FC" w:rsidRDefault="00B42EF3">
      <w:pPr>
        <w:pStyle w:val="Heading3"/>
      </w:pPr>
      <w:bookmarkStart w:id="2976" w:name="section_ecb7cd155c46458b9f7c016272458527"/>
      <w:bookmarkStart w:id="2977" w:name="_Toc69879261"/>
      <w:r>
        <w:t>Part 1 Section 21.2.2.85, intercept (Intercept)</w:t>
      </w:r>
      <w:bookmarkEnd w:id="2976"/>
      <w:bookmarkEnd w:id="2977"/>
      <w:r>
        <w:fldChar w:fldCharType="begin"/>
      </w:r>
      <w:r>
        <w:instrText xml:space="preserve"> XE "intercept (Intercept)"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5F78FC" w:rsidRDefault="00B42EF3">
      <w:pPr>
        <w:pStyle w:val="Heading3"/>
      </w:pPr>
      <w:bookmarkStart w:id="2978" w:name="section_c26d486fa3ba4b87bcc18e10062f4c2f"/>
      <w:bookmarkStart w:id="2979" w:name="_Toc69879262"/>
      <w:r>
        <w:t>Part 1 Section 21.2</w:t>
      </w:r>
      <w:r>
        <w:t>.2.86, invertIfNegative (Invert if Negative)</w:t>
      </w:r>
      <w:bookmarkEnd w:id="2978"/>
      <w:bookmarkEnd w:id="2979"/>
      <w:r>
        <w:fldChar w:fldCharType="begin"/>
      </w:r>
      <w:r>
        <w:instrText xml:space="preserve"> XE "invertIfNegative (Invert if Negative)" </w:instrText>
      </w:r>
      <w:r>
        <w:fldChar w:fldCharType="end"/>
      </w:r>
    </w:p>
    <w:p w:rsidR="005F78FC" w:rsidRDefault="00B42EF3">
      <w:pPr>
        <w:pStyle w:val="Definition-Field"/>
      </w:pPr>
      <w:r>
        <w:t xml:space="preserve">a.   </w:t>
      </w:r>
      <w:r>
        <w:rPr>
          <w:i/>
        </w:rPr>
        <w:t>The standard does not state any exceptions that cause this element to be ignored.</w:t>
      </w:r>
    </w:p>
    <w:p w:rsidR="005F78FC" w:rsidRDefault="00B42EF3">
      <w:pPr>
        <w:pStyle w:val="Definition-Field2"/>
      </w:pPr>
      <w:r>
        <w:t>Office ignores this element and always inverts the negative values if the ance</w:t>
      </w:r>
      <w:r>
        <w:t>stors include bubbleChart.</w:t>
      </w:r>
    </w:p>
    <w:p w:rsidR="005F78FC" w:rsidRDefault="00B42EF3">
      <w:pPr>
        <w:pStyle w:val="Heading3"/>
      </w:pPr>
      <w:bookmarkStart w:id="2980" w:name="section_103a45d564c44e46b972658f87b24c63"/>
      <w:bookmarkStart w:id="2981" w:name="_Toc69879263"/>
      <w:r>
        <w:lastRenderedPageBreak/>
        <w:t>Part 1 Section 21.2.2.88, layout (Layout)</w:t>
      </w:r>
      <w:bookmarkEnd w:id="2980"/>
      <w:bookmarkEnd w:id="2981"/>
      <w:r>
        <w:fldChar w:fldCharType="begin"/>
      </w:r>
      <w:r>
        <w:instrText xml:space="preserve"> XE "layout (Layout)" </w:instrText>
      </w:r>
      <w:r>
        <w:fldChar w:fldCharType="end"/>
      </w:r>
    </w:p>
    <w:p w:rsidR="005F78FC" w:rsidRDefault="00B42EF3">
      <w:pPr>
        <w:pStyle w:val="Definition-Field"/>
      </w:pPr>
      <w:r>
        <w:t xml:space="preserve">a.   </w:t>
      </w:r>
      <w:r>
        <w:rPr>
          <w:i/>
        </w:rPr>
        <w:t>The standard states that the manualLayout and extLst child elements both have a minOccurs=0.</w:t>
      </w:r>
    </w:p>
    <w:p w:rsidR="005F78FC" w:rsidRDefault="00B42EF3">
      <w:pPr>
        <w:pStyle w:val="Definition-Field2"/>
      </w:pPr>
      <w:r>
        <w:t>Office will not save this element if the manualLayout child eleme</w:t>
      </w:r>
      <w:r>
        <w:t>nt is not present when the parent element is dLbl or trendlineLbl, even if this element has an extLst child element.</w:t>
      </w:r>
    </w:p>
    <w:p w:rsidR="005F78FC" w:rsidRDefault="00B42EF3">
      <w:pPr>
        <w:pStyle w:val="Heading3"/>
      </w:pPr>
      <w:bookmarkStart w:id="2982" w:name="section_63d53b16d3cf4361b04875462a9a40e7"/>
      <w:bookmarkStart w:id="2983" w:name="_Toc69879264"/>
      <w:r>
        <w:t>Part 1 Section 21.2.2.89, layoutTarget (Layout Target)</w:t>
      </w:r>
      <w:bookmarkEnd w:id="2982"/>
      <w:bookmarkEnd w:id="2983"/>
      <w:r>
        <w:fldChar w:fldCharType="begin"/>
      </w:r>
      <w:r>
        <w:instrText xml:space="preserve"> XE "layoutTarget (Layout Target)" </w:instrText>
      </w:r>
      <w:r>
        <w:fldChar w:fldCharType="end"/>
      </w:r>
    </w:p>
    <w:p w:rsidR="005F78FC" w:rsidRDefault="00B42EF3">
      <w:pPr>
        <w:pStyle w:val="Definition-Field"/>
      </w:pPr>
      <w:r>
        <w:t xml:space="preserve">a.   </w:t>
      </w:r>
      <w:r>
        <w:rPr>
          <w:i/>
        </w:rPr>
        <w:t xml:space="preserve">The standard states that this element can </w:t>
      </w:r>
      <w:r>
        <w:rPr>
          <w:i/>
        </w:rPr>
        <w:t>be a child of any manualLayout element.</w:t>
      </w:r>
    </w:p>
    <w:p w:rsidR="005F78FC" w:rsidRDefault="00B42EF3">
      <w:pPr>
        <w:pStyle w:val="Definition-Field2"/>
      </w:pPr>
      <w:r>
        <w:t>Office requires that the ancestors not include dispUnitsLbl, dLbl, legend, title, and trendlineLbl when this element is specified.</w:t>
      </w:r>
    </w:p>
    <w:p w:rsidR="005F78FC" w:rsidRDefault="00B42EF3">
      <w:pPr>
        <w:pStyle w:val="Heading3"/>
      </w:pPr>
      <w:bookmarkStart w:id="2984" w:name="section_3536abf10a574a15a1976b56b3f4616f"/>
      <w:bookmarkStart w:id="2985" w:name="_Toc69879265"/>
      <w:r>
        <w:t>Part 1 Section 21.2.2.92, leaderLines (Leader Lines)</w:t>
      </w:r>
      <w:bookmarkEnd w:id="2984"/>
      <w:bookmarkEnd w:id="2985"/>
      <w:r>
        <w:fldChar w:fldCharType="begin"/>
      </w:r>
      <w:r>
        <w:instrText xml:space="preserve"> XE "leaderLines (Leader Lines)" </w:instrText>
      </w:r>
      <w:r>
        <w:fldChar w:fldCharType="end"/>
      </w:r>
    </w:p>
    <w:p w:rsidR="005F78FC" w:rsidRDefault="00B42EF3">
      <w:pPr>
        <w:pStyle w:val="Definition-Field"/>
      </w:pPr>
      <w:r>
        <w:t xml:space="preserve">a.   </w:t>
      </w:r>
      <w:r>
        <w:rPr>
          <w:i/>
        </w:rPr>
        <w:t>The standard states that this element can be a child of any dLbls element.</w:t>
      </w:r>
    </w:p>
    <w:p w:rsidR="005F78FC" w:rsidRDefault="00B42EF3">
      <w:pPr>
        <w:pStyle w:val="Definition-Field2"/>
      </w:pPr>
      <w:r>
        <w:t>Office requires that the value of the val attribute of sibling element showLeaderLines is true when this element is specified.</w:t>
      </w:r>
    </w:p>
    <w:p w:rsidR="005F78FC" w:rsidRDefault="00B42EF3">
      <w:pPr>
        <w:pStyle w:val="Definition-Field"/>
      </w:pPr>
      <w:r>
        <w:t xml:space="preserve">b.   </w:t>
      </w:r>
      <w:r>
        <w:rPr>
          <w:i/>
        </w:rPr>
        <w:t>The standard states that this element can</w:t>
      </w:r>
      <w:r>
        <w:rPr>
          <w:i/>
        </w:rPr>
        <w:t xml:space="preserve"> be a child of any dLbls element.</w:t>
      </w:r>
    </w:p>
    <w:p w:rsidR="005F78FC" w:rsidRDefault="00B42EF3">
      <w:pPr>
        <w:pStyle w:val="Definition-Field2"/>
      </w:pPr>
      <w:r>
        <w:t>Office requires that the ancestor include doughnutChart, ofPieChart, pie3DChart, or pieChart when this element is specified.</w:t>
      </w:r>
    </w:p>
    <w:p w:rsidR="005F78FC" w:rsidRDefault="00B42EF3">
      <w:pPr>
        <w:pStyle w:val="Heading3"/>
      </w:pPr>
      <w:bookmarkStart w:id="2986" w:name="section_8314e929129a4991a7f99f37010521e5"/>
      <w:bookmarkStart w:id="2987" w:name="_Toc69879266"/>
      <w:r>
        <w:t>Part 1 Section 21.2.2.95, legendPos (Legend Position)</w:t>
      </w:r>
      <w:bookmarkEnd w:id="2986"/>
      <w:bookmarkEnd w:id="2987"/>
      <w:r>
        <w:fldChar w:fldCharType="begin"/>
      </w:r>
      <w:r>
        <w:instrText xml:space="preserve"> XE "legendPos (Legend Position)" </w:instrText>
      </w:r>
      <w:r>
        <w:fldChar w:fldCharType="end"/>
      </w:r>
    </w:p>
    <w:p w:rsidR="005F78FC" w:rsidRDefault="00B42EF3">
      <w:pPr>
        <w:pStyle w:val="Definition-Field"/>
      </w:pPr>
      <w:r>
        <w:t xml:space="preserve">a.   </w:t>
      </w:r>
      <w:r>
        <w:rPr>
          <w:i/>
        </w:rPr>
        <w:t>Th</w:t>
      </w:r>
      <w:r>
        <w:rPr>
          <w:i/>
        </w:rPr>
        <w:t>e standard does not state any exceptions that cause this element to be ignored.</w:t>
      </w:r>
    </w:p>
    <w:p w:rsidR="005F78FC" w:rsidRDefault="00B42EF3">
      <w:pPr>
        <w:pStyle w:val="Definition-Field2"/>
      </w:pPr>
      <w:r>
        <w:t>In Office, when this element is specified along with the manualLayout child element of the layout sibling element the exact position of the legend is overridden by the manual l</w:t>
      </w:r>
      <w:r>
        <w:t>ayout.</w:t>
      </w:r>
    </w:p>
    <w:p w:rsidR="005F78FC" w:rsidRDefault="00B42EF3">
      <w:pPr>
        <w:pStyle w:val="Heading3"/>
      </w:pPr>
      <w:bookmarkStart w:id="2988" w:name="section_7bcdf1d23b754a548fb87af678555e39"/>
      <w:bookmarkStart w:id="2989" w:name="_Toc69879267"/>
      <w:r>
        <w:t>Part 1 Section 21.2.2.96, line3DChart (3D Line Charts)</w:t>
      </w:r>
      <w:bookmarkEnd w:id="2988"/>
      <w:bookmarkEnd w:id="2989"/>
      <w:r>
        <w:fldChar w:fldCharType="begin"/>
      </w:r>
      <w:r>
        <w:instrText xml:space="preserve"> XE "line3DChart (3D Line Charts)" </w:instrText>
      </w:r>
      <w:r>
        <w:fldChar w:fldCharType="end"/>
      </w:r>
    </w:p>
    <w:p w:rsidR="005F78FC" w:rsidRDefault="00B42EF3">
      <w:pPr>
        <w:pStyle w:val="Definition-Field"/>
      </w:pPr>
      <w:r>
        <w:t xml:space="preserve">a.   </w:t>
      </w:r>
      <w:r>
        <w:rPr>
          <w:i/>
        </w:rPr>
        <w:t>The standard states that the values of the child element axId are defined by the XML Schem unsignedInt datatype.</w:t>
      </w:r>
    </w:p>
    <w:p w:rsidR="005F78FC" w:rsidRDefault="00B42EF3">
      <w:pPr>
        <w:pStyle w:val="Definition-Field2"/>
      </w:pPr>
      <w:r>
        <w:t>In Office, child element axId has a max</w:t>
      </w:r>
      <w:r>
        <w:t>imum value of 2147483647.</w:t>
      </w:r>
    </w:p>
    <w:p w:rsidR="005F78FC" w:rsidRDefault="00B42EF3">
      <w:pPr>
        <w:pStyle w:val="Definition-Field"/>
      </w:pPr>
      <w:r>
        <w:t xml:space="preserve">b.   </w:t>
      </w:r>
      <w:r>
        <w:rPr>
          <w:i/>
        </w:rPr>
        <w:t>The standard states that the maxOccurs value for the ser child element is unbounded.</w:t>
      </w:r>
    </w:p>
    <w:p w:rsidR="005F78FC" w:rsidRDefault="00B42EF3">
      <w:pPr>
        <w:pStyle w:val="Definition-Field2"/>
      </w:pPr>
      <w:r>
        <w:t>Office limits the occurrences of this element to 255.</w:t>
      </w:r>
    </w:p>
    <w:p w:rsidR="005F78FC" w:rsidRDefault="00B42EF3">
      <w:pPr>
        <w:pStyle w:val="Heading3"/>
      </w:pPr>
      <w:bookmarkStart w:id="2990" w:name="section_28cc58e871c2454c9c4eef78fa758552"/>
      <w:bookmarkStart w:id="2991" w:name="_Toc69879268"/>
      <w:r>
        <w:t>Part 1 Section 21.2.2.97, lineChart (Line Charts)</w:t>
      </w:r>
      <w:bookmarkEnd w:id="2990"/>
      <w:bookmarkEnd w:id="2991"/>
      <w:r>
        <w:fldChar w:fldCharType="begin"/>
      </w:r>
      <w:r>
        <w:instrText xml:space="preserve"> XE "lineChart (Line Charts)"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7bcdf1d23b754a548fb87af678555e39">
        <w:r>
          <w:rPr>
            <w:rStyle w:val="Hyperlink"/>
          </w:rPr>
          <w:t>line3DChart, §21.2.2.96(b)</w:t>
        </w:r>
      </w:hyperlink>
      <w:r>
        <w:rPr>
          <w:i/>
        </w:rPr>
        <w:t>.</w:t>
      </w:r>
    </w:p>
    <w:p w:rsidR="005F78FC" w:rsidRDefault="00B42EF3">
      <w:pPr>
        <w:pStyle w:val="Heading3"/>
      </w:pPr>
      <w:bookmarkStart w:id="2992" w:name="section_f6d3a915d0354a95b1668a66c55ff8a4"/>
      <w:bookmarkStart w:id="2993" w:name="_Toc69879269"/>
      <w:r>
        <w:t>Part 1 Section 21.2.2.99, lvl (Level)</w:t>
      </w:r>
      <w:bookmarkEnd w:id="2992"/>
      <w:bookmarkEnd w:id="2993"/>
      <w:r>
        <w:fldChar w:fldCharType="begin"/>
      </w:r>
      <w:r>
        <w:instrText xml:space="preserve"> XE "lvl (Level)" </w:instrText>
      </w:r>
      <w:r>
        <w:fldChar w:fldCharType="end"/>
      </w:r>
    </w:p>
    <w:p w:rsidR="005F78FC" w:rsidRDefault="00B42EF3">
      <w:pPr>
        <w:pStyle w:val="Definition-Field"/>
      </w:pPr>
      <w:r>
        <w:t xml:space="preserve">a.   </w:t>
      </w:r>
      <w:r>
        <w:rPr>
          <w:i/>
        </w:rPr>
        <w:t>The standard</w:t>
      </w:r>
      <w:r>
        <w:rPr>
          <w:i/>
        </w:rPr>
        <w:t xml:space="preserve"> states that the maxOccurs value for the pt child element is unbounded.</w:t>
      </w:r>
    </w:p>
    <w:p w:rsidR="005F78FC" w:rsidRDefault="00B42EF3">
      <w:pPr>
        <w:pStyle w:val="Definition-Field2"/>
      </w:pPr>
      <w:r>
        <w:t>Office limits the occurrences of this element to 2147483647; occurrences greater than 1048576 will be ignored on load and discarded on save.</w:t>
      </w:r>
    </w:p>
    <w:p w:rsidR="005F78FC" w:rsidRDefault="00B42EF3">
      <w:pPr>
        <w:pStyle w:val="Heading3"/>
      </w:pPr>
      <w:bookmarkStart w:id="2994" w:name="section_c1126f5e88c844d3b6cd3bcfc7368bea"/>
      <w:bookmarkStart w:id="2995" w:name="_Toc69879270"/>
      <w:r>
        <w:lastRenderedPageBreak/>
        <w:t>Part 1 Section 21.2.2.101, majorTickMark (M</w:t>
      </w:r>
      <w:r>
        <w:t>ajor Tick Mark)</w:t>
      </w:r>
      <w:bookmarkEnd w:id="2994"/>
      <w:bookmarkEnd w:id="2995"/>
      <w:r>
        <w:fldChar w:fldCharType="begin"/>
      </w:r>
      <w:r>
        <w:instrText xml:space="preserve"> XE "majorTickMark (Major Tick Mark)" </w:instrText>
      </w:r>
      <w:r>
        <w:fldChar w:fldCharType="end"/>
      </w:r>
    </w:p>
    <w:p w:rsidR="005F78FC" w:rsidRDefault="00B42EF3">
      <w:pPr>
        <w:pStyle w:val="Definition-Field"/>
      </w:pPr>
      <w:r>
        <w:t xml:space="preserve">a.   </w:t>
      </w:r>
      <w:r>
        <w:rPr>
          <w:i/>
        </w:rPr>
        <w:t>The standard states that the val attribute of this element specifies the minor tick mark position.</w:t>
      </w:r>
    </w:p>
    <w:p w:rsidR="005F78FC" w:rsidRDefault="00B42EF3">
      <w:pPr>
        <w:pStyle w:val="Definition-Field2"/>
      </w:pPr>
      <w:r>
        <w:t>In Office, the val attribute of this element specifies the major tick mark position.</w:t>
      </w:r>
    </w:p>
    <w:p w:rsidR="005F78FC" w:rsidRDefault="00B42EF3">
      <w:pPr>
        <w:pStyle w:val="Heading3"/>
      </w:pPr>
      <w:bookmarkStart w:id="2996" w:name="section_8268861e15c944fa9982632c6f2d6987"/>
      <w:bookmarkStart w:id="2997" w:name="_Toc69879271"/>
      <w:r>
        <w:t>Part 1 Sect</w:t>
      </w:r>
      <w:r>
        <w:t>ion 21.2.2.103, majorUnit (Major Unit)</w:t>
      </w:r>
      <w:bookmarkEnd w:id="2996"/>
      <w:bookmarkEnd w:id="2997"/>
      <w:r>
        <w:fldChar w:fldCharType="begin"/>
      </w:r>
      <w:r>
        <w:instrText xml:space="preserve"> XE "majorUnit (Major Unit)" </w:instrText>
      </w:r>
      <w:r>
        <w:fldChar w:fldCharType="end"/>
      </w:r>
    </w:p>
    <w:p w:rsidR="005F78FC" w:rsidRDefault="00B42EF3">
      <w:pPr>
        <w:pStyle w:val="Definition-Field"/>
      </w:pPr>
      <w:r>
        <w:t xml:space="preserve">a.   </w:t>
      </w:r>
      <w:r>
        <w:rPr>
          <w:i/>
        </w:rPr>
        <w:t>The standard states that the minimum value of the val attribute is equal to 0.</w:t>
      </w:r>
    </w:p>
    <w:p w:rsidR="005F78FC" w:rsidRDefault="00B42EF3">
      <w:pPr>
        <w:pStyle w:val="Definition-Field2"/>
      </w:pPr>
      <w:r>
        <w:t>Office requires that the value of the val attribute be greater than or equal to 1 when the parent elem</w:t>
      </w:r>
      <w:r>
        <w:t>ent is dateAx.</w:t>
      </w:r>
    </w:p>
    <w:p w:rsidR="005F78FC" w:rsidRDefault="00B42EF3">
      <w:pPr>
        <w:pStyle w:val="Heading3"/>
      </w:pPr>
      <w:bookmarkStart w:id="2998" w:name="section_8ef048666150457e9997509ec5a80cf5"/>
      <w:bookmarkStart w:id="2999" w:name="_Toc69879272"/>
      <w:r>
        <w:t>Part 1 Section 21.2.2.104, manualLayout (Manual Layout)</w:t>
      </w:r>
      <w:bookmarkEnd w:id="2998"/>
      <w:bookmarkEnd w:id="2999"/>
      <w:r>
        <w:fldChar w:fldCharType="begin"/>
      </w:r>
      <w:r>
        <w:instrText xml:space="preserve"> XE "manualLayout (Manual Layout)" </w:instrText>
      </w:r>
      <w:r>
        <w:fldChar w:fldCharType="end"/>
      </w:r>
    </w:p>
    <w:p w:rsidR="005F78FC" w:rsidRDefault="00B42EF3">
      <w:pPr>
        <w:pStyle w:val="Definition-Field"/>
      </w:pPr>
      <w:r>
        <w:t xml:space="preserve">a.   </w:t>
      </w:r>
      <w:r>
        <w:rPr>
          <w:i/>
        </w:rPr>
        <w:t>The standard does not place any restrictions on when the attributes can be specified.</w:t>
      </w:r>
    </w:p>
    <w:p w:rsidR="005F78FC" w:rsidRDefault="00B42EF3">
      <w:pPr>
        <w:pStyle w:val="Definition-Field2"/>
      </w:pPr>
      <w:r>
        <w:t>Office requires that attributes h, w, x, and y all be spe</w:t>
      </w:r>
      <w:r>
        <w:t>cified if one is specified and the ancestors include legend or plotArea.  If x or y are specified and the ancestors include dispUnitsLbl, dLbl, title, or trendlineLbl, both shall be specified.</w:t>
      </w:r>
    </w:p>
    <w:p w:rsidR="005F78FC" w:rsidRDefault="00B42EF3">
      <w:pPr>
        <w:pStyle w:val="Heading3"/>
      </w:pPr>
      <w:bookmarkStart w:id="3000" w:name="section_72be69072aa4474da8e29b5fb073bd8a"/>
      <w:bookmarkStart w:id="3001" w:name="_Toc69879273"/>
      <w:r>
        <w:t>Part 1 Section 21.2.2.105, marker (Show Marker)</w:t>
      </w:r>
      <w:bookmarkEnd w:id="3000"/>
      <w:bookmarkEnd w:id="3001"/>
      <w:r>
        <w:fldChar w:fldCharType="begin"/>
      </w:r>
      <w:r>
        <w:instrText xml:space="preserve"> XE "marker (Sho</w:instrText>
      </w:r>
      <w:r>
        <w:instrText xml:space="preserve">w Marker)" </w:instrText>
      </w:r>
      <w:r>
        <w:fldChar w:fldCharType="end"/>
      </w:r>
    </w:p>
    <w:p w:rsidR="005F78FC" w:rsidRDefault="00B42EF3">
      <w:pPr>
        <w:pStyle w:val="Definition-Field"/>
      </w:pPr>
      <w:r>
        <w:t xml:space="preserve">a.   </w:t>
      </w:r>
      <w:r>
        <w:rPr>
          <w:i/>
        </w:rPr>
        <w:t>The standard states this element is a boolean that, when true, specifies that the marker shall be shown.</w:t>
      </w:r>
    </w:p>
    <w:p w:rsidR="005F78FC" w:rsidRDefault="00B42EF3">
      <w:pPr>
        <w:pStyle w:val="Definition-Field2"/>
      </w:pPr>
      <w:r>
        <w:t>Office always ignores and does not use this element to define if markers shall be shown.</w:t>
      </w:r>
    </w:p>
    <w:p w:rsidR="005F78FC" w:rsidRDefault="00B42EF3">
      <w:pPr>
        <w:pStyle w:val="Heading3"/>
      </w:pPr>
      <w:bookmarkStart w:id="3002" w:name="section_c42ddf7df72d4cb69f3513e6e30d7d25"/>
      <w:bookmarkStart w:id="3003" w:name="_Toc69879274"/>
      <w:r>
        <w:t>Part 1 Section 21.2.2.106, marker (Marker)</w:t>
      </w:r>
      <w:bookmarkEnd w:id="3002"/>
      <w:bookmarkEnd w:id="3003"/>
      <w:r>
        <w:fldChar w:fldCharType="begin"/>
      </w:r>
      <w:r>
        <w:instrText xml:space="preserve"> </w:instrText>
      </w:r>
      <w:r>
        <w:instrText xml:space="preserve">XE "marker (Marker)" </w:instrText>
      </w:r>
      <w:r>
        <w:fldChar w:fldCharType="end"/>
      </w:r>
    </w:p>
    <w:p w:rsidR="005F78FC" w:rsidRDefault="00B42EF3">
      <w:pPr>
        <w:pStyle w:val="Definition-Field"/>
      </w:pPr>
      <w:r>
        <w:t xml:space="preserve">a.   </w:t>
      </w:r>
      <w:r>
        <w:rPr>
          <w:i/>
        </w:rPr>
        <w:t>The standard states this element can be a child of any ser (Line Chart Series) element.</w:t>
      </w:r>
    </w:p>
    <w:p w:rsidR="005F78FC" w:rsidRDefault="00B42EF3">
      <w:pPr>
        <w:pStyle w:val="Definition-Field2"/>
      </w:pPr>
      <w:r>
        <w:t>Office requires that the ancestors not include line3DChart when this element is specified.</w:t>
      </w:r>
    </w:p>
    <w:p w:rsidR="005F78FC" w:rsidRDefault="00B42EF3">
      <w:pPr>
        <w:pStyle w:val="Heading3"/>
      </w:pPr>
      <w:bookmarkStart w:id="3004" w:name="section_652d488b12c641ba9cca59a8e954102b"/>
      <w:bookmarkStart w:id="3005" w:name="_Toc69879275"/>
      <w:r>
        <w:t>Part 1 Section 21.2.2.107, max (Maximum)</w:t>
      </w:r>
      <w:bookmarkEnd w:id="3004"/>
      <w:bookmarkEnd w:id="3005"/>
      <w:r>
        <w:fldChar w:fldCharType="begin"/>
      </w:r>
      <w:r>
        <w:instrText xml:space="preserve"> XE "max (Maximum)"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5F78FC" w:rsidRDefault="00B42EF3">
      <w:pPr>
        <w:pStyle w:val="Heading3"/>
      </w:pPr>
      <w:bookmarkStart w:id="3006" w:name="section_8066396fad5d4ee18d3fbc72fe7b589d"/>
      <w:bookmarkStart w:id="3007" w:name="_Toc69879276"/>
      <w:r>
        <w:t>Part 1 Section 21.2.2.108, min (Minimum)</w:t>
      </w:r>
      <w:bookmarkEnd w:id="3006"/>
      <w:bookmarkEnd w:id="3007"/>
      <w:r>
        <w:fldChar w:fldCharType="begin"/>
      </w:r>
      <w:r>
        <w:instrText xml:space="preserve"> XE "min (Minimum)" </w:instrText>
      </w:r>
      <w:r>
        <w:fldChar w:fldCharType="end"/>
      </w:r>
    </w:p>
    <w:p w:rsidR="005F78FC" w:rsidRDefault="00B42EF3">
      <w:pPr>
        <w:pStyle w:val="Definition-Field2"/>
      </w:pPr>
      <w:r>
        <w:rPr>
          <w:i/>
        </w:rPr>
        <w:t>For additional notes that apply to this portion of the standard, pleas</w:t>
      </w:r>
      <w:r>
        <w:rPr>
          <w:i/>
        </w:rPr>
        <w:t xml:space="preserve">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5F78FC" w:rsidRDefault="00B42EF3">
      <w:pPr>
        <w:pStyle w:val="Heading3"/>
      </w:pPr>
      <w:bookmarkStart w:id="3008" w:name="section_8c28df63f35244b9bdf634dcd4faaa84"/>
      <w:bookmarkStart w:id="3009" w:name="_Toc69879277"/>
      <w:r>
        <w:t>Part 1 Section 21.2.2.112, minorUnit (Minor Unit)</w:t>
      </w:r>
      <w:bookmarkEnd w:id="3008"/>
      <w:bookmarkEnd w:id="3009"/>
      <w:r>
        <w:fldChar w:fldCharType="begin"/>
      </w:r>
      <w:r>
        <w:instrText xml:space="preserve"> XE "minorUnit (Minor Unit)" </w:instrText>
      </w:r>
      <w:r>
        <w:fldChar w:fldCharType="end"/>
      </w:r>
    </w:p>
    <w:p w:rsidR="005F78FC" w:rsidRDefault="00B42EF3">
      <w:pPr>
        <w:pStyle w:val="Definition-Field"/>
      </w:pPr>
      <w:r>
        <w:t xml:space="preserve">a.   </w:t>
      </w:r>
      <w:r>
        <w:rPr>
          <w:i/>
        </w:rPr>
        <w:t>The standard states that the minimum value of the val attribute is equal to 0.</w:t>
      </w:r>
    </w:p>
    <w:p w:rsidR="005F78FC" w:rsidRDefault="00B42EF3">
      <w:pPr>
        <w:pStyle w:val="Definition-Field2"/>
      </w:pPr>
      <w:r>
        <w:t>Office requires that the value of the val attribute be greate</w:t>
      </w:r>
      <w:r>
        <w:t>r than or equal to 1 when the parent element is dateAx.</w:t>
      </w:r>
    </w:p>
    <w:p w:rsidR="005F78FC" w:rsidRDefault="00B42EF3">
      <w:pPr>
        <w:pStyle w:val="Heading3"/>
      </w:pPr>
      <w:bookmarkStart w:id="3010" w:name="section_f9019fcff51d4d9589c4e9267f846bdb"/>
      <w:bookmarkStart w:id="3011" w:name="_Toc69879278"/>
      <w:r>
        <w:t>Part 1 Section 21.2.2.113, minus (Minus)</w:t>
      </w:r>
      <w:bookmarkEnd w:id="3010"/>
      <w:bookmarkEnd w:id="3011"/>
      <w:r>
        <w:fldChar w:fldCharType="begin"/>
      </w:r>
      <w:r>
        <w:instrText xml:space="preserve"> XE "minus (Minus)" </w:instrText>
      </w:r>
      <w:r>
        <w:fldChar w:fldCharType="end"/>
      </w:r>
    </w:p>
    <w:p w:rsidR="005F78FC" w:rsidRDefault="00B42EF3">
      <w:pPr>
        <w:pStyle w:val="Definition-Field"/>
      </w:pPr>
      <w:r>
        <w:t xml:space="preserve">a.   </w:t>
      </w:r>
      <w:r>
        <w:rPr>
          <w:i/>
        </w:rPr>
        <w:t>The standard states that this element shall be used only when the errValType is cust.</w:t>
      </w:r>
    </w:p>
    <w:p w:rsidR="005F78FC" w:rsidRDefault="00B42EF3">
      <w:pPr>
        <w:pStyle w:val="Definition-Field2"/>
      </w:pPr>
      <w:r>
        <w:lastRenderedPageBreak/>
        <w:t xml:space="preserve">Office also saves out this element if the </w:t>
      </w:r>
      <w:r>
        <w:t>errValType is stdErr and the error bar value had been custom type during the current workbook session.</w:t>
      </w:r>
    </w:p>
    <w:p w:rsidR="005F78FC" w:rsidRDefault="00B42EF3">
      <w:pPr>
        <w:pStyle w:val="Heading3"/>
      </w:pPr>
      <w:bookmarkStart w:id="3012" w:name="section_c18a957f2c2c4f6cb25a6b7e733cc52e"/>
      <w:bookmarkStart w:id="3013" w:name="_Toc69879279"/>
      <w:r>
        <w:t>Part 1 Section 21.2.2.114, multiLvlStrCache (Multi Level String Cache)</w:t>
      </w:r>
      <w:bookmarkEnd w:id="3012"/>
      <w:bookmarkEnd w:id="3013"/>
      <w:r>
        <w:fldChar w:fldCharType="begin"/>
      </w:r>
      <w:r>
        <w:instrText xml:space="preserve"> XE "multiLvlStrCache (Multi Level String Cache)" </w:instrText>
      </w:r>
      <w:r>
        <w:fldChar w:fldCharType="end"/>
      </w:r>
    </w:p>
    <w:p w:rsidR="005F78FC" w:rsidRDefault="00B42EF3">
      <w:pPr>
        <w:pStyle w:val="Definition-Field"/>
      </w:pPr>
      <w:r>
        <w:t xml:space="preserve">a.   </w:t>
      </w:r>
      <w:r>
        <w:rPr>
          <w:i/>
        </w:rPr>
        <w:t xml:space="preserve">The standard states that </w:t>
      </w:r>
      <w:r>
        <w:rPr>
          <w:i/>
        </w:rPr>
        <w:t>this element specifies the last data shown on the chart for a category axis.</w:t>
      </w:r>
    </w:p>
    <w:p w:rsidR="005F78FC" w:rsidRDefault="00B42EF3">
      <w:pPr>
        <w:pStyle w:val="Definition-Field2"/>
      </w:pPr>
      <w:r>
        <w:t>In Office, this element specifies a cache of the labels on the category axis, or the x-values in a bubble or scatter chart.</w:t>
      </w:r>
    </w:p>
    <w:p w:rsidR="005F78FC" w:rsidRDefault="00B42EF3">
      <w:pPr>
        <w:pStyle w:val="Heading3"/>
      </w:pPr>
      <w:bookmarkStart w:id="3014" w:name="section_5a37b2e1a0914137b7fabf136bc9b3c5"/>
      <w:bookmarkStart w:id="3015" w:name="_Toc69879280"/>
      <w:r>
        <w:t xml:space="preserve">Part 1 Section 21.2.2.115, multiLvlStrRef (Multi Level </w:t>
      </w:r>
      <w:r>
        <w:t>String Reference)</w:t>
      </w:r>
      <w:bookmarkEnd w:id="3014"/>
      <w:bookmarkEnd w:id="3015"/>
      <w:r>
        <w:fldChar w:fldCharType="begin"/>
      </w:r>
      <w:r>
        <w:instrText xml:space="preserve"> XE "multiLvlStrRef (Multi Level String Reference)" </w:instrText>
      </w:r>
      <w:r>
        <w:fldChar w:fldCharType="end"/>
      </w:r>
    </w:p>
    <w:p w:rsidR="005F78FC" w:rsidRDefault="00B42EF3">
      <w:pPr>
        <w:pStyle w:val="Definition-Field"/>
      </w:pPr>
      <w:r>
        <w:t xml:space="preserve">a.   </w:t>
      </w:r>
      <w:r>
        <w:rPr>
          <w:i/>
        </w:rPr>
        <w:t>The standard states that this element specifies a reference to data for the category axis with a cache of the last values used.</w:t>
      </w:r>
    </w:p>
    <w:p w:rsidR="005F78FC" w:rsidRDefault="00B42EF3">
      <w:pPr>
        <w:pStyle w:val="Definition-Field2"/>
      </w:pPr>
      <w:r>
        <w:t>In Office, this element specifies a reference to da</w:t>
      </w:r>
      <w:r>
        <w:t>ta for the category axis (or for the x-values in a bubble or scatter chart), along with a cache of the last values used.</w:t>
      </w:r>
    </w:p>
    <w:p w:rsidR="005F78FC" w:rsidRDefault="00B42EF3">
      <w:pPr>
        <w:pStyle w:val="Heading3"/>
      </w:pPr>
      <w:bookmarkStart w:id="3016" w:name="section_3a82b89e726440c1a09fd569374fe6a9"/>
      <w:bookmarkStart w:id="3017" w:name="_Toc69879281"/>
      <w:r>
        <w:t>Part 1 Section 21.2.2.117, name (Pivot Name)</w:t>
      </w:r>
      <w:bookmarkEnd w:id="3016"/>
      <w:bookmarkEnd w:id="3017"/>
      <w:r>
        <w:fldChar w:fldCharType="begin"/>
      </w:r>
      <w:r>
        <w:instrText xml:space="preserve"> XE "name (Pivot Name)" </w:instrText>
      </w:r>
      <w:r>
        <w:fldChar w:fldCharType="end"/>
      </w:r>
    </w:p>
    <w:p w:rsidR="005F78FC" w:rsidRDefault="00B42EF3">
      <w:pPr>
        <w:pStyle w:val="Definition-Field"/>
      </w:pPr>
      <w:r>
        <w:t xml:space="preserve">a.   </w:t>
      </w:r>
      <w:r>
        <w:rPr>
          <w:i/>
        </w:rPr>
        <w:t>The standard states that this element specifies the name of</w:t>
      </w:r>
      <w:r>
        <w:rPr>
          <w:i/>
        </w:rPr>
        <w:t xml:space="preserve"> the PivotTable to get the data for the chart from.</w:t>
      </w:r>
    </w:p>
    <w:p w:rsidR="005F78FC" w:rsidRDefault="00B42EF3">
      <w:r>
        <w:t>In Office, the name of the PivotTable is defined using the following format:</w:t>
      </w:r>
    </w:p>
    <w:p w:rsidR="005F78FC" w:rsidRDefault="00B42EF3">
      <w:r>
        <w:t>[</w:t>
      </w:r>
      <w:r>
        <w:rPr>
          <w:i/>
        </w:rPr>
        <w:t>filename</w:t>
      </w:r>
      <w:r>
        <w:t>]</w:t>
      </w:r>
      <w:r>
        <w:rPr>
          <w:i/>
        </w:rPr>
        <w:t>sheet</w:t>
      </w:r>
      <w:r>
        <w:t>!</w:t>
      </w:r>
      <w:r>
        <w:rPr>
          <w:i/>
        </w:rPr>
        <w:t>pivottable</w:t>
      </w:r>
    </w:p>
    <w:p w:rsidR="005F78FC" w:rsidRDefault="00B42EF3">
      <w:r>
        <w:rPr>
          <w:i/>
        </w:rPr>
        <w:t xml:space="preserve">filename </w:t>
      </w:r>
      <w:r>
        <w:t xml:space="preserve">is the name of the SpreadsheetML file containing the PivotTable, </w:t>
      </w:r>
      <w:r>
        <w:rPr>
          <w:i/>
        </w:rPr>
        <w:t>sheet</w:t>
      </w:r>
      <w:r>
        <w:t xml:space="preserve"> is the name of the w</w:t>
      </w:r>
      <w:r>
        <w:t xml:space="preserve">orksheet containing the PivotTable, and </w:t>
      </w:r>
      <w:r>
        <w:rPr>
          <w:i/>
        </w:rPr>
        <w:t xml:space="preserve">pivottable </w:t>
      </w:r>
      <w:r>
        <w:t xml:space="preserve">is the name of the PivotTable itself.  The name of the PivotTable matches the </w:t>
      </w:r>
      <w:r>
        <w:rPr>
          <w:b/>
        </w:rPr>
        <w:t>name</w:t>
      </w:r>
      <w:r>
        <w:t xml:space="preserve"> attribute of the pivotTableDefinition element ("</w:t>
      </w:r>
      <w:hyperlink r:id="rId214">
        <w:r>
          <w:rPr>
            <w:rStyle w:val="Hyperlink"/>
          </w:rPr>
          <w:t>[ISO/IEC-29500-1]</w:t>
        </w:r>
      </w:hyperlink>
      <w:r>
        <w:t xml:space="preserve"> §18.10.1.73; pivotTableDefinition (PivotTable Definition)") of the associated PivotTable.</w:t>
      </w:r>
    </w:p>
    <w:p w:rsidR="005F78FC" w:rsidRDefault="00B42EF3">
      <w:r>
        <w:t>If the name is not specified in the correct format or refers to an object that does not exist, no association between the chart and the PivotTable i</w:t>
      </w:r>
      <w:r>
        <w:t>s made.</w:t>
      </w:r>
    </w:p>
    <w:p w:rsidR="005F78FC" w:rsidRDefault="00B42EF3">
      <w:pPr>
        <w:pStyle w:val="Heading3"/>
      </w:pPr>
      <w:bookmarkStart w:id="3018" w:name="section_0539ffcc9bd2430daea017400f7f532f"/>
      <w:bookmarkStart w:id="3019" w:name="_Toc69879282"/>
      <w:r>
        <w:t>Part 1 Section 21.2.2.121, numFmt (Number Format)</w:t>
      </w:r>
      <w:bookmarkEnd w:id="3018"/>
      <w:bookmarkEnd w:id="3019"/>
      <w:r>
        <w:fldChar w:fldCharType="begin"/>
      </w:r>
      <w:r>
        <w:instrText xml:space="preserve"> XE "numFmt (Number Format)" </w:instrText>
      </w:r>
      <w:r>
        <w:fldChar w:fldCharType="end"/>
      </w:r>
    </w:p>
    <w:p w:rsidR="005F78FC" w:rsidRDefault="00B42EF3">
      <w:pPr>
        <w:pStyle w:val="Definition-Field"/>
      </w:pPr>
      <w:r>
        <w:t xml:space="preserve">a.   </w:t>
      </w:r>
      <w:r>
        <w:rPr>
          <w:i/>
        </w:rPr>
        <w:t>The standard states that the sourceLinked attribute should be respected when the parent is TrendlineLbl.</w:t>
      </w:r>
    </w:p>
    <w:p w:rsidR="005F78FC" w:rsidRDefault="00B42EF3">
      <w:pPr>
        <w:pStyle w:val="Definition-Field2"/>
      </w:pPr>
      <w:r>
        <w:t xml:space="preserve">In Office, if this element is parented by a TrendlineLbl </w:t>
      </w:r>
      <w:r>
        <w:t>element, the sourceLinked attribute is not used.</w:t>
      </w:r>
    </w:p>
    <w:p w:rsidR="005F78FC" w:rsidRDefault="00B42EF3">
      <w:pPr>
        <w:pStyle w:val="Heading3"/>
      </w:pPr>
      <w:bookmarkStart w:id="3020" w:name="section_756b76a3434e4616b00ea5ee62ca85ba"/>
      <w:bookmarkStart w:id="3021" w:name="_Toc69879283"/>
      <w:r>
        <w:t>Part 1 Section 21.2.2.124, oddFooter (Odd Footer)</w:t>
      </w:r>
      <w:bookmarkEnd w:id="3020"/>
      <w:bookmarkEnd w:id="3021"/>
      <w:r>
        <w:fldChar w:fldCharType="begin"/>
      </w:r>
      <w:r>
        <w:instrText xml:space="preserve"> XE "oddFooter (Odd Footer)" </w:instrText>
      </w:r>
      <w:r>
        <w:fldChar w:fldCharType="end"/>
      </w:r>
    </w:p>
    <w:p w:rsidR="005F78FC" w:rsidRDefault="00B42EF3">
      <w:pPr>
        <w:pStyle w:val="Definition-Field"/>
      </w:pPr>
      <w:r>
        <w:t xml:space="preserve">a.   </w:t>
      </w:r>
      <w:r>
        <w:rPr>
          <w:i/>
        </w:rPr>
        <w:t>The standard states that this element defines the footer to use on odd numbered pages.</w:t>
      </w:r>
    </w:p>
    <w:p w:rsidR="005F78FC" w:rsidRDefault="00B42EF3">
      <w:pPr>
        <w:pStyle w:val="Definition-Field2"/>
      </w:pPr>
      <w:r>
        <w:t xml:space="preserve">Office applies this footer to all </w:t>
      </w:r>
      <w:r>
        <w:t>pages if the differentOddEven attribute of the parent element equals false.  Office does not apply this footer to the first page if the differentFirst attribute of the parent element equals true.</w:t>
      </w:r>
    </w:p>
    <w:p w:rsidR="005F78FC" w:rsidRDefault="00B42EF3">
      <w:pPr>
        <w:pStyle w:val="Definition-Field"/>
      </w:pPr>
      <w:r>
        <w:t xml:space="preserve">b.   </w:t>
      </w:r>
      <w:r>
        <w:rPr>
          <w:i/>
        </w:rPr>
        <w:t>The standard states that this element is of type ST_XSt</w:t>
      </w:r>
      <w:r>
        <w:rPr>
          <w:i/>
        </w:rPr>
        <w:t>ring.</w:t>
      </w:r>
    </w:p>
    <w:p w:rsidR="005F78FC" w:rsidRDefault="00B42EF3">
      <w:pPr>
        <w:pStyle w:val="Definition-Field2"/>
      </w:pPr>
      <w:r>
        <w:t>Office does not attempt to decode the character escape sequences defined in ST_XString.</w:t>
      </w:r>
    </w:p>
    <w:p w:rsidR="005F78FC" w:rsidRDefault="00B42EF3">
      <w:pPr>
        <w:pStyle w:val="Heading3"/>
      </w:pPr>
      <w:bookmarkStart w:id="3022" w:name="section_80313181681845dcacc66357c2366ddc"/>
      <w:bookmarkStart w:id="3023" w:name="_Toc69879284"/>
      <w:r>
        <w:lastRenderedPageBreak/>
        <w:t>Part 1 Section 21.2.2.125, oddHeader (Odd Header)</w:t>
      </w:r>
      <w:bookmarkEnd w:id="3022"/>
      <w:bookmarkEnd w:id="3023"/>
      <w:r>
        <w:fldChar w:fldCharType="begin"/>
      </w:r>
      <w:r>
        <w:instrText xml:space="preserve"> XE "oddHeader (Odd Header)" </w:instrText>
      </w:r>
      <w:r>
        <w:fldChar w:fldCharType="end"/>
      </w:r>
    </w:p>
    <w:p w:rsidR="005F78FC" w:rsidRDefault="00B42EF3">
      <w:pPr>
        <w:pStyle w:val="Definition-Field"/>
      </w:pPr>
      <w:r>
        <w:t xml:space="preserve">a.   </w:t>
      </w:r>
      <w:r>
        <w:rPr>
          <w:i/>
        </w:rPr>
        <w:t>The standard states that this element defines the header to use on odd numbe</w:t>
      </w:r>
      <w:r>
        <w:rPr>
          <w:i/>
        </w:rPr>
        <w:t>red pages.</w:t>
      </w:r>
    </w:p>
    <w:p w:rsidR="005F78FC" w:rsidRDefault="00B42EF3">
      <w:pPr>
        <w:pStyle w:val="Definition-Field2"/>
      </w:pPr>
      <w:r>
        <w:t>Office applies this header to all pages if the differentOddEven attribute of the parent element equals false.  Office does not apply this header to the first page if the differentFirst attribute of the parent element equals true.</w:t>
      </w:r>
    </w:p>
    <w:p w:rsidR="005F78FC" w:rsidRDefault="00B42EF3">
      <w:pPr>
        <w:pStyle w:val="Definition-Field"/>
      </w:pPr>
      <w:r>
        <w:t xml:space="preserve">b.   </w:t>
      </w:r>
      <w:r>
        <w:rPr>
          <w:i/>
        </w:rPr>
        <w:t>The standa</w:t>
      </w:r>
      <w:r>
        <w:rPr>
          <w:i/>
        </w:rPr>
        <w:t>rd states that this element is of type ST_XString.</w:t>
      </w:r>
    </w:p>
    <w:p w:rsidR="005F78FC" w:rsidRDefault="00B42EF3">
      <w:pPr>
        <w:pStyle w:val="Definition-Field2"/>
      </w:pPr>
      <w:r>
        <w:t>Office does not attempt to decode the character escape sequences defined in ST_XString.</w:t>
      </w:r>
    </w:p>
    <w:p w:rsidR="005F78FC" w:rsidRDefault="00B42EF3">
      <w:pPr>
        <w:pStyle w:val="Heading3"/>
      </w:pPr>
      <w:bookmarkStart w:id="3024" w:name="section_8bff8328f5ee483c84214df869d8f741"/>
      <w:bookmarkStart w:id="3025" w:name="_Toc69879285"/>
      <w:r>
        <w:t>Part 1 Section 21.2.2.126, ofPieChart (Pie of Pie or Bar of Pie Charts)</w:t>
      </w:r>
      <w:bookmarkEnd w:id="3024"/>
      <w:bookmarkEnd w:id="3025"/>
      <w:r>
        <w:fldChar w:fldCharType="begin"/>
      </w:r>
      <w:r>
        <w:instrText xml:space="preserve"> XE "ofPieChart (Pie of Pie or Bar of Pie Char</w:instrText>
      </w:r>
      <w:r>
        <w:instrText xml:space="preserve">ts)"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06c618921ab34e35a09dee70b3a3c704">
        <w:r>
          <w:rPr>
            <w:rStyle w:val="Hyperlink"/>
          </w:rPr>
          <w:t>pie3DChart, §21.2.2.140(b)</w:t>
        </w:r>
      </w:hyperlink>
      <w:r>
        <w:rPr>
          <w:i/>
        </w:rPr>
        <w:t>.</w:t>
      </w:r>
    </w:p>
    <w:p w:rsidR="005F78FC" w:rsidRDefault="00B42EF3">
      <w:pPr>
        <w:pStyle w:val="Definition-Field"/>
      </w:pPr>
      <w:r>
        <w:t xml:space="preserve">a.   </w:t>
      </w:r>
      <w:r>
        <w:rPr>
          <w:i/>
        </w:rPr>
        <w:t xml:space="preserve">The standard states that this element contains the pie of pie </w:t>
      </w:r>
      <w:r>
        <w:rPr>
          <w:i/>
        </w:rPr>
        <w:t>or bar of pie series on this chart.</w:t>
      </w:r>
    </w:p>
    <w:p w:rsidR="005F78FC" w:rsidRDefault="00B42EF3">
      <w:pPr>
        <w:pStyle w:val="Definition-Field2"/>
      </w:pPr>
      <w:r>
        <w:t xml:space="preserve">In Office, this element specifies an ofPieChart that has a primary pie chart and a secondary bar (Bar of Pie) or pie (Pie of Pie) chart. The data in the secondary chart are aggregated into an additional “Other” slice in </w:t>
      </w:r>
      <w:r>
        <w:t>the primary chart.</w:t>
      </w:r>
    </w:p>
    <w:p w:rsidR="005F78FC" w:rsidRDefault="00B42EF3">
      <w:pPr>
        <w:pStyle w:val="Heading3"/>
      </w:pPr>
      <w:bookmarkStart w:id="3026" w:name="section_c444df6ef827424b88b38411bcb3e799"/>
      <w:bookmarkStart w:id="3027" w:name="_Toc69879286"/>
      <w:r>
        <w:t>Part 1 Section 21.2.2.127, ofPieType (Pie of Pie or Bar of Pie Type)</w:t>
      </w:r>
      <w:bookmarkEnd w:id="3026"/>
      <w:bookmarkEnd w:id="3027"/>
      <w:r>
        <w:fldChar w:fldCharType="begin"/>
      </w:r>
      <w:r>
        <w:instrText xml:space="preserve"> XE "ofPieType (Pie of Pie or Bar of Pie Type)" </w:instrText>
      </w:r>
      <w:r>
        <w:fldChar w:fldCharType="end"/>
      </w:r>
    </w:p>
    <w:p w:rsidR="005F78FC" w:rsidRDefault="00B42EF3">
      <w:pPr>
        <w:pStyle w:val="Definition-Field"/>
      </w:pPr>
      <w:r>
        <w:t xml:space="preserve">a.   </w:t>
      </w:r>
      <w:r>
        <w:rPr>
          <w:i/>
        </w:rPr>
        <w:t>The standard implies that the val attribute is optional.</w:t>
      </w:r>
    </w:p>
    <w:p w:rsidR="005F78FC" w:rsidRDefault="00B42EF3">
      <w:pPr>
        <w:pStyle w:val="Definition-Field2"/>
      </w:pPr>
      <w:r>
        <w:t>Office requires this attribute.</w:t>
      </w:r>
    </w:p>
    <w:p w:rsidR="005F78FC" w:rsidRDefault="00B42EF3">
      <w:pPr>
        <w:pStyle w:val="Heading3"/>
      </w:pPr>
      <w:bookmarkStart w:id="3028" w:name="section_3bb9ee04625a48d98462c6b25dc8a319"/>
      <w:bookmarkStart w:id="3029" w:name="_Toc69879287"/>
      <w:r>
        <w:t>Part 1 Section 21.2.2.12</w:t>
      </w:r>
      <w:r>
        <w:t>8, order (Order)</w:t>
      </w:r>
      <w:bookmarkEnd w:id="3028"/>
      <w:bookmarkEnd w:id="3029"/>
      <w:r>
        <w:fldChar w:fldCharType="begin"/>
      </w:r>
      <w:r>
        <w:instrText xml:space="preserve"> XE "order (Order)" </w:instrText>
      </w:r>
      <w:r>
        <w:fldChar w:fldCharType="end"/>
      </w:r>
    </w:p>
    <w:p w:rsidR="005F78FC" w:rsidRDefault="00B42EF3">
      <w:pPr>
        <w:pStyle w:val="Definition-Field"/>
      </w:pPr>
      <w:r>
        <w:t xml:space="preserve">a.   </w:t>
      </w:r>
      <w:r>
        <w:rPr>
          <w:i/>
        </w:rPr>
        <w:t>The standard states that the values of the val attribute are defined by the XML Schema unsignedInt datatype.</w:t>
      </w:r>
    </w:p>
    <w:p w:rsidR="005F78FC" w:rsidRDefault="00B42EF3">
      <w:pPr>
        <w:pStyle w:val="Definition-Field2"/>
      </w:pPr>
      <w:r>
        <w:t>Office restricts the value of this attribute to be at most 2147483647.</w:t>
      </w:r>
    </w:p>
    <w:p w:rsidR="005F78FC" w:rsidRDefault="00B42EF3">
      <w:pPr>
        <w:pStyle w:val="Definition-Field"/>
      </w:pPr>
      <w:r>
        <w:t xml:space="preserve">b.   </w:t>
      </w:r>
      <w:r>
        <w:rPr>
          <w:i/>
        </w:rPr>
        <w:t xml:space="preserve">The standard does not have </w:t>
      </w:r>
      <w:r>
        <w:rPr>
          <w:i/>
        </w:rPr>
        <w:t>any uniqueness restrictions on the order element.</w:t>
      </w:r>
    </w:p>
    <w:p w:rsidR="005F78FC" w:rsidRDefault="00B42EF3">
      <w:pPr>
        <w:pStyle w:val="Definition-Field2"/>
      </w:pPr>
      <w:r>
        <w:t>Office requires the value of this element to be unique amongst any other order elements of the same collection containing the parent series element.</w:t>
      </w:r>
    </w:p>
    <w:p w:rsidR="005F78FC" w:rsidRDefault="00B42EF3">
      <w:pPr>
        <w:pStyle w:val="Heading3"/>
      </w:pPr>
      <w:bookmarkStart w:id="3030" w:name="section_4370285e4d97454ca63a23336f48f90c"/>
      <w:bookmarkStart w:id="3031" w:name="_Toc69879288"/>
      <w:r>
        <w:t>Part 1 Section 21.2.2.129, order (Polynomial Trendline Or</w:t>
      </w:r>
      <w:r>
        <w:t>der)</w:t>
      </w:r>
      <w:bookmarkEnd w:id="3030"/>
      <w:bookmarkEnd w:id="3031"/>
      <w:r>
        <w:fldChar w:fldCharType="begin"/>
      </w:r>
      <w:r>
        <w:instrText xml:space="preserve"> XE "order (Polynomial Trendline Order)" </w:instrText>
      </w:r>
      <w:r>
        <w:fldChar w:fldCharType="end"/>
      </w:r>
    </w:p>
    <w:p w:rsidR="005F78FC" w:rsidRDefault="00B42EF3">
      <w:pPr>
        <w:pStyle w:val="Definition-Field"/>
      </w:pPr>
      <w:r>
        <w:t xml:space="preserve">a.   </w:t>
      </w:r>
      <w:r>
        <w:rPr>
          <w:i/>
        </w:rPr>
        <w:t>The standard implies that the val attribute is optional.</w:t>
      </w:r>
    </w:p>
    <w:p w:rsidR="005F78FC" w:rsidRDefault="00B42EF3">
      <w:pPr>
        <w:pStyle w:val="Definition-Field2"/>
      </w:pPr>
      <w:r>
        <w:t>Office requires this attribute.</w:t>
      </w:r>
    </w:p>
    <w:p w:rsidR="005F78FC" w:rsidRDefault="00B42EF3">
      <w:pPr>
        <w:pStyle w:val="Definition-Field"/>
      </w:pPr>
      <w:r>
        <w:t xml:space="preserve">b.   </w:t>
      </w:r>
      <w:r>
        <w:rPr>
          <w:i/>
        </w:rPr>
        <w:t>The standard states that this element is ignored for non-polynomial trendlines.</w:t>
      </w:r>
    </w:p>
    <w:p w:rsidR="005F78FC" w:rsidRDefault="00B42EF3">
      <w:pPr>
        <w:pStyle w:val="Definition-Field2"/>
      </w:pPr>
      <w:r>
        <w:t xml:space="preserve">Office requires this element </w:t>
      </w:r>
      <w:r>
        <w:t>to be specified when the val attribute of trendlineType sibling element is equal to poly.</w:t>
      </w:r>
    </w:p>
    <w:p w:rsidR="005F78FC" w:rsidRDefault="00B42EF3">
      <w:pPr>
        <w:pStyle w:val="Heading3"/>
      </w:pPr>
      <w:bookmarkStart w:id="3032" w:name="section_85891d6c7ab54abb8e369a770c5ed9f7"/>
      <w:bookmarkStart w:id="3033" w:name="_Toc69879289"/>
      <w:r>
        <w:t>Part 1 Section 21.2.2.130, orientation (Axis Orientation)</w:t>
      </w:r>
      <w:bookmarkEnd w:id="3032"/>
      <w:bookmarkEnd w:id="3033"/>
      <w:r>
        <w:fldChar w:fldCharType="begin"/>
      </w:r>
      <w:r>
        <w:instrText xml:space="preserve"> XE "orientation (Axis Orientation)" </w:instrText>
      </w:r>
      <w:r>
        <w:fldChar w:fldCharType="end"/>
      </w:r>
    </w:p>
    <w:p w:rsidR="005F78FC" w:rsidRDefault="00B42EF3">
      <w:pPr>
        <w:pStyle w:val="Definition-Field"/>
      </w:pPr>
      <w:r>
        <w:t xml:space="preserve">a.   </w:t>
      </w:r>
      <w:r>
        <w:rPr>
          <w:i/>
        </w:rPr>
        <w:t xml:space="preserve">The standard states that this element specifies the stretching </w:t>
      </w:r>
      <w:r>
        <w:rPr>
          <w:i/>
        </w:rPr>
        <w:t>and stacking of the picture on the data point, series, wall, or floor.</w:t>
      </w:r>
    </w:p>
    <w:p w:rsidR="005F78FC" w:rsidRDefault="00B42EF3">
      <w:pPr>
        <w:pStyle w:val="Definition-Field2"/>
      </w:pPr>
      <w:r>
        <w:t>In Office, this element specifies whether the values on an axis are increasing or decreasing.</w:t>
      </w:r>
    </w:p>
    <w:p w:rsidR="005F78FC" w:rsidRDefault="00B42EF3">
      <w:pPr>
        <w:pStyle w:val="Heading3"/>
      </w:pPr>
      <w:bookmarkStart w:id="3034" w:name="section_4abcc4474ee3422cb12f0eb93ab89779"/>
      <w:bookmarkStart w:id="3035" w:name="_Toc69879290"/>
      <w:r>
        <w:lastRenderedPageBreak/>
        <w:t>Part 1 Section 21.2.2.131, overlap (Overlap)</w:t>
      </w:r>
      <w:bookmarkEnd w:id="3034"/>
      <w:bookmarkEnd w:id="3035"/>
      <w:r>
        <w:fldChar w:fldCharType="begin"/>
      </w:r>
      <w:r>
        <w:instrText xml:space="preserve"> XE "overlap (Overlap)" </w:instrText>
      </w:r>
      <w:r>
        <w:fldChar w:fldCharType="end"/>
      </w:r>
    </w:p>
    <w:p w:rsidR="005F78FC" w:rsidRDefault="00B42EF3">
      <w:pPr>
        <w:pStyle w:val="Definition-Field"/>
      </w:pPr>
      <w:r>
        <w:t xml:space="preserve">a.   </w:t>
      </w:r>
      <w:r>
        <w:rPr>
          <w:i/>
        </w:rPr>
        <w:t>The standard do</w:t>
      </w:r>
      <w:r>
        <w:rPr>
          <w:i/>
        </w:rPr>
        <w:t>es not specify how bars and columns overlap.</w:t>
      </w:r>
    </w:p>
    <w:p w:rsidR="005F78FC" w:rsidRDefault="00B42EF3">
      <w:pPr>
        <w:pStyle w:val="Definition-Field2"/>
      </w:pPr>
      <w:r>
        <w:t>In Office, this element specifies how much the bars and columns of adjacent series within the same category shall overlap each other.</w:t>
      </w:r>
    </w:p>
    <w:p w:rsidR="005F78FC" w:rsidRDefault="00B42EF3">
      <w:pPr>
        <w:pStyle w:val="Heading3"/>
      </w:pPr>
      <w:bookmarkStart w:id="3036" w:name="section_b030ac610cab41f3a9396a5c193f33f3"/>
      <w:bookmarkStart w:id="3037" w:name="_Toc69879291"/>
      <w:r>
        <w:t>Part 1 Section 21.2.2.133, pageMargins (Page Margins)</w:t>
      </w:r>
      <w:bookmarkEnd w:id="3036"/>
      <w:bookmarkEnd w:id="3037"/>
      <w:r>
        <w:fldChar w:fldCharType="begin"/>
      </w:r>
      <w:r>
        <w:instrText xml:space="preserve"> XE "pageMargins (Page M</w:instrText>
      </w:r>
      <w:r>
        <w:instrText xml:space="preserve">argins)" </w:instrText>
      </w:r>
      <w:r>
        <w:fldChar w:fldCharType="end"/>
      </w:r>
    </w:p>
    <w:p w:rsidR="005F78FC" w:rsidRDefault="00B42EF3">
      <w:pPr>
        <w:pStyle w:val="Definition-Field"/>
      </w:pPr>
      <w:r>
        <w:t xml:space="preserve">a.   </w:t>
      </w:r>
      <w:r>
        <w:rPr>
          <w:i/>
        </w:rPr>
        <w:t>The standard states that the possible values for the b attribute are defined by the XML Schema double datatype.</w:t>
      </w:r>
    </w:p>
    <w:p w:rsidR="005F78FC" w:rsidRDefault="00B42EF3">
      <w:pPr>
        <w:pStyle w:val="Definition-Field2"/>
      </w:pPr>
      <w:r>
        <w:t>Office requires the value of the b attribute to be greater than or equal to 0 and less than 49.</w:t>
      </w:r>
    </w:p>
    <w:p w:rsidR="005F78FC" w:rsidRDefault="00B42EF3">
      <w:pPr>
        <w:pStyle w:val="Definition-Field"/>
      </w:pPr>
      <w:r>
        <w:t xml:space="preserve">b.   </w:t>
      </w:r>
      <w:r>
        <w:rPr>
          <w:i/>
        </w:rPr>
        <w:t>The standard states that t</w:t>
      </w:r>
      <w:r>
        <w:rPr>
          <w:i/>
        </w:rPr>
        <w:t>he possible values for the t attribute are defined by the XML Schema double datatype.</w:t>
      </w:r>
    </w:p>
    <w:p w:rsidR="005F78FC" w:rsidRDefault="00B42EF3">
      <w:pPr>
        <w:pStyle w:val="Definition-Field2"/>
      </w:pPr>
      <w:r>
        <w:t>Office requires the value of the t attribute to be greater than or equal to 0 and less than 49.</w:t>
      </w:r>
    </w:p>
    <w:p w:rsidR="005F78FC" w:rsidRDefault="00B42EF3">
      <w:pPr>
        <w:pStyle w:val="Definition-Field"/>
      </w:pPr>
      <w:r>
        <w:t xml:space="preserve">c.   </w:t>
      </w:r>
      <w:r>
        <w:rPr>
          <w:i/>
        </w:rPr>
        <w:t xml:space="preserve">The standard states that the possible values for the l attribute are </w:t>
      </w:r>
      <w:r>
        <w:rPr>
          <w:i/>
        </w:rPr>
        <w:t>defined by the XML Schema double datatype.</w:t>
      </w:r>
    </w:p>
    <w:p w:rsidR="005F78FC" w:rsidRDefault="00B42EF3">
      <w:pPr>
        <w:pStyle w:val="Definition-Field2"/>
      </w:pPr>
      <w:r>
        <w:t>Office requires the value of the l attribute to be greater than or equal to 0 and less than 49.</w:t>
      </w:r>
    </w:p>
    <w:p w:rsidR="005F78FC" w:rsidRDefault="00B42EF3">
      <w:pPr>
        <w:pStyle w:val="Definition-Field"/>
      </w:pPr>
      <w:r>
        <w:t xml:space="preserve">d.   </w:t>
      </w:r>
      <w:r>
        <w:rPr>
          <w:i/>
        </w:rPr>
        <w:t>The standard states that the possible values for the r attribute are defined by the XML Schema double datatype.</w:t>
      </w:r>
    </w:p>
    <w:p w:rsidR="005F78FC" w:rsidRDefault="00B42EF3">
      <w:pPr>
        <w:pStyle w:val="Definition-Field2"/>
      </w:pPr>
      <w:r>
        <w:t>Office requires the value of the r attribute to be greater than or equal to 0 and less than 49.</w:t>
      </w:r>
    </w:p>
    <w:p w:rsidR="005F78FC" w:rsidRDefault="00B42EF3">
      <w:pPr>
        <w:pStyle w:val="Definition-Field"/>
      </w:pPr>
      <w:r>
        <w:t xml:space="preserve">e.   </w:t>
      </w:r>
      <w:r>
        <w:rPr>
          <w:i/>
        </w:rPr>
        <w:t>The standard states that the possible values for the header attribute are defined by the XML Schema double datatype.</w:t>
      </w:r>
    </w:p>
    <w:p w:rsidR="005F78FC" w:rsidRDefault="00B42EF3">
      <w:pPr>
        <w:pStyle w:val="Definition-Field2"/>
      </w:pPr>
      <w:r>
        <w:t>Office requires the value of the heade</w:t>
      </w:r>
      <w:r>
        <w:t>r attribute to be greater than or equal to 0 and less than 49.</w:t>
      </w:r>
    </w:p>
    <w:p w:rsidR="005F78FC" w:rsidRDefault="00B42EF3">
      <w:pPr>
        <w:pStyle w:val="Definition-Field"/>
      </w:pPr>
      <w:r>
        <w:t xml:space="preserve">f.   </w:t>
      </w:r>
      <w:r>
        <w:rPr>
          <w:i/>
        </w:rPr>
        <w:t>The standard states that the possible values for the footer attribute are defined by the XML Schema double datatype.</w:t>
      </w:r>
    </w:p>
    <w:p w:rsidR="005F78FC" w:rsidRDefault="00B42EF3">
      <w:pPr>
        <w:pStyle w:val="Definition-Field2"/>
      </w:pPr>
      <w:r>
        <w:t>Office requires the value of the footer attribute to be greater than or</w:t>
      </w:r>
      <w:r>
        <w:t xml:space="preserve"> equal to 0 and less than 49.</w:t>
      </w:r>
    </w:p>
    <w:p w:rsidR="005F78FC" w:rsidRDefault="00B42EF3">
      <w:pPr>
        <w:pStyle w:val="Definition-Field"/>
      </w:pPr>
      <w:r>
        <w:t xml:space="preserve">g.   </w:t>
      </w:r>
      <w:r>
        <w:rPr>
          <w:i/>
        </w:rPr>
        <w:t>The standard states that the header attribute specifies the header margin and the footer attribute specifies the footer margin.</w:t>
      </w:r>
    </w:p>
    <w:p w:rsidR="005F78FC" w:rsidRDefault="00B42EF3">
      <w:pPr>
        <w:pStyle w:val="Definition-Field2"/>
      </w:pPr>
      <w:r>
        <w:t>Office switches the header and footer attribute values on save, writing out the chart object'</w:t>
      </w:r>
      <w:r>
        <w:t>s header margin to the footer attribute and vice versa.</w:t>
      </w:r>
    </w:p>
    <w:p w:rsidR="005F78FC" w:rsidRDefault="00B42EF3">
      <w:pPr>
        <w:pStyle w:val="Heading3"/>
      </w:pPr>
      <w:bookmarkStart w:id="3038" w:name="section_8ffbeaeb0d294ab783603f7b61509929"/>
      <w:bookmarkStart w:id="3039" w:name="_Toc69879292"/>
      <w:r>
        <w:t>Part 1 Section 21.2.2.134, pageSetup (Page Setup)</w:t>
      </w:r>
      <w:bookmarkEnd w:id="3038"/>
      <w:bookmarkEnd w:id="3039"/>
      <w:r>
        <w:fldChar w:fldCharType="begin"/>
      </w:r>
      <w:r>
        <w:instrText xml:space="preserve"> XE "pageSetup (Page Setup)" </w:instrText>
      </w:r>
      <w:r>
        <w:fldChar w:fldCharType="end"/>
      </w:r>
    </w:p>
    <w:p w:rsidR="005F78FC" w:rsidRDefault="00B42EF3">
      <w:pPr>
        <w:pStyle w:val="Definition-Field"/>
      </w:pPr>
      <w:r>
        <w:t xml:space="preserve">a.   </w:t>
      </w:r>
      <w:r>
        <w:rPr>
          <w:i/>
        </w:rPr>
        <w:t>The standard states that the possible values for the firstPageNumber attribute are defined by the XML Schema unisg</w:t>
      </w:r>
      <w:r>
        <w:rPr>
          <w:i/>
        </w:rPr>
        <w:t>nedInt datatype.</w:t>
      </w:r>
    </w:p>
    <w:p w:rsidR="005F78FC" w:rsidRDefault="00B42EF3">
      <w:pPr>
        <w:pStyle w:val="Definition-Field2"/>
      </w:pPr>
      <w:r>
        <w:t>In Office, the possible values for the firstPageNumber attribute are defined by the XML Schema datatype int.</w:t>
      </w:r>
    </w:p>
    <w:p w:rsidR="005F78FC" w:rsidRDefault="00B42EF3">
      <w:pPr>
        <w:pStyle w:val="Definition-Field"/>
      </w:pPr>
      <w:r>
        <w:t xml:space="preserve">b.   </w:t>
      </w:r>
      <w:r>
        <w:rPr>
          <w:i/>
        </w:rPr>
        <w:t>The standard states that the values of the paperSize attribute are defined by the XML Schema unsignedInt datatype.</w:t>
      </w:r>
    </w:p>
    <w:p w:rsidR="005F78FC" w:rsidRDefault="00B42EF3">
      <w:pPr>
        <w:pStyle w:val="Definition-Field2"/>
      </w:pPr>
      <w:r>
        <w:t>Excel rest</w:t>
      </w:r>
      <w:r>
        <w:t>ricts the value of this attribute to be at most 2147483647.</w:t>
      </w:r>
    </w:p>
    <w:p w:rsidR="005F78FC" w:rsidRDefault="00B42EF3">
      <w:pPr>
        <w:pStyle w:val="Definition-Field"/>
      </w:pPr>
      <w:r>
        <w:t xml:space="preserve">c.   </w:t>
      </w:r>
      <w:r>
        <w:rPr>
          <w:i/>
        </w:rPr>
        <w:t>The standard states that the possible values for the copies attribute are defined by the XML Schema unisgnedInt datatype.</w:t>
      </w:r>
    </w:p>
    <w:p w:rsidR="005F78FC" w:rsidRDefault="00B42EF3">
      <w:pPr>
        <w:pStyle w:val="Definition-Field2"/>
      </w:pPr>
      <w:r>
        <w:lastRenderedPageBreak/>
        <w:t>In Office, the copies attribute has a maximum value of 2147483647.</w:t>
      </w:r>
    </w:p>
    <w:p w:rsidR="005F78FC" w:rsidRDefault="00B42EF3">
      <w:pPr>
        <w:pStyle w:val="Definition-Field"/>
      </w:pPr>
      <w:r>
        <w:t>d.</w:t>
      </w:r>
      <w:r>
        <w:t xml:space="preserve">   </w:t>
      </w:r>
      <w:r>
        <w:rPr>
          <w:i/>
        </w:rPr>
        <w:t>The standard states a table of values allowed for @paperSize.</w:t>
      </w:r>
    </w:p>
    <w:p w:rsidR="005F78FC" w:rsidRDefault="00B42EF3">
      <w:r>
        <w:t>Office specifies the paper size according to the following table.  Values larger than or equal to 256 specify custom printer paper sizes.</w:t>
      </w:r>
    </w:p>
    <w:tbl>
      <w:tblPr>
        <w:tblStyle w:val="Table-ShadedHeader"/>
        <w:tblW w:w="0" w:type="auto"/>
        <w:tblLook w:val="04A0" w:firstRow="1" w:lastRow="0" w:firstColumn="1" w:lastColumn="0" w:noHBand="0" w:noVBand="1"/>
      </w:tblPr>
      <w:tblGrid>
        <w:gridCol w:w="734"/>
        <w:gridCol w:w="4254"/>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Value</w:t>
            </w:r>
          </w:p>
        </w:tc>
        <w:tc>
          <w:tcPr>
            <w:tcW w:w="0" w:type="auto"/>
            <w:vAlign w:val="center"/>
          </w:tcPr>
          <w:p w:rsidR="005F78FC" w:rsidRDefault="00B42EF3">
            <w:pPr>
              <w:pStyle w:val="TableHeaderText"/>
            </w:pPr>
            <w:r>
              <w:t>Meaning</w:t>
            </w:r>
          </w:p>
        </w:tc>
      </w:tr>
      <w:tr w:rsidR="005F78FC" w:rsidTr="005F78FC">
        <w:tc>
          <w:tcPr>
            <w:tcW w:w="0" w:type="auto"/>
            <w:vAlign w:val="center"/>
          </w:tcPr>
          <w:p w:rsidR="005F78FC" w:rsidRDefault="00B42EF3">
            <w:pPr>
              <w:pStyle w:val="TableBodyText"/>
            </w:pPr>
            <w:r>
              <w:t>1</w:t>
            </w:r>
          </w:p>
        </w:tc>
        <w:tc>
          <w:tcPr>
            <w:tcW w:w="0" w:type="auto"/>
            <w:vAlign w:val="center"/>
          </w:tcPr>
          <w:p w:rsidR="005F78FC" w:rsidRDefault="00B42EF3">
            <w:pPr>
              <w:pStyle w:val="TableBodyText"/>
            </w:pPr>
            <w:r>
              <w:t>US Letter 8 1/2 x 11 in</w:t>
            </w:r>
          </w:p>
        </w:tc>
      </w:tr>
      <w:tr w:rsidR="005F78FC" w:rsidTr="005F78FC">
        <w:tc>
          <w:tcPr>
            <w:tcW w:w="0" w:type="auto"/>
            <w:vAlign w:val="center"/>
          </w:tcPr>
          <w:p w:rsidR="005F78FC" w:rsidRDefault="00B42EF3">
            <w:pPr>
              <w:pStyle w:val="TableBodyText"/>
            </w:pPr>
            <w:r>
              <w:t>2</w:t>
            </w:r>
          </w:p>
        </w:tc>
        <w:tc>
          <w:tcPr>
            <w:tcW w:w="0" w:type="auto"/>
            <w:vAlign w:val="center"/>
          </w:tcPr>
          <w:p w:rsidR="005F78FC" w:rsidRDefault="00B42EF3">
            <w:pPr>
              <w:pStyle w:val="TableBodyText"/>
            </w:pPr>
            <w:r>
              <w:t>US Letter</w:t>
            </w:r>
            <w:r>
              <w:t xml:space="preserve"> Small 8 1/2 x 11 in</w:t>
            </w:r>
          </w:p>
        </w:tc>
      </w:tr>
      <w:tr w:rsidR="005F78FC" w:rsidTr="005F78FC">
        <w:tc>
          <w:tcPr>
            <w:tcW w:w="0" w:type="auto"/>
            <w:vAlign w:val="center"/>
          </w:tcPr>
          <w:p w:rsidR="005F78FC" w:rsidRDefault="00B42EF3">
            <w:pPr>
              <w:pStyle w:val="TableBodyText"/>
            </w:pPr>
            <w:r>
              <w:t>3</w:t>
            </w:r>
          </w:p>
        </w:tc>
        <w:tc>
          <w:tcPr>
            <w:tcW w:w="0" w:type="auto"/>
            <w:vAlign w:val="center"/>
          </w:tcPr>
          <w:p w:rsidR="005F78FC" w:rsidRDefault="00B42EF3">
            <w:pPr>
              <w:pStyle w:val="TableBodyText"/>
            </w:pPr>
            <w:r>
              <w:t>US Tabloid 11 x 17 in</w:t>
            </w:r>
          </w:p>
        </w:tc>
      </w:tr>
      <w:tr w:rsidR="005F78FC" w:rsidTr="005F78FC">
        <w:tc>
          <w:tcPr>
            <w:tcW w:w="0" w:type="auto"/>
            <w:vAlign w:val="center"/>
          </w:tcPr>
          <w:p w:rsidR="005F78FC" w:rsidRDefault="00B42EF3">
            <w:pPr>
              <w:pStyle w:val="TableBodyText"/>
            </w:pPr>
            <w:r>
              <w:t>4</w:t>
            </w:r>
          </w:p>
        </w:tc>
        <w:tc>
          <w:tcPr>
            <w:tcW w:w="0" w:type="auto"/>
            <w:vAlign w:val="center"/>
          </w:tcPr>
          <w:p w:rsidR="005F78FC" w:rsidRDefault="00B42EF3">
            <w:pPr>
              <w:pStyle w:val="TableBodyText"/>
            </w:pPr>
            <w:r>
              <w:t xml:space="preserve">US Ledger 17 x 11 in </w:t>
            </w:r>
          </w:p>
        </w:tc>
      </w:tr>
      <w:tr w:rsidR="005F78FC" w:rsidTr="005F78FC">
        <w:tc>
          <w:tcPr>
            <w:tcW w:w="0" w:type="auto"/>
            <w:vAlign w:val="center"/>
          </w:tcPr>
          <w:p w:rsidR="005F78FC" w:rsidRDefault="00B42EF3">
            <w:pPr>
              <w:pStyle w:val="TableBodyText"/>
            </w:pPr>
            <w:r>
              <w:t>5</w:t>
            </w:r>
          </w:p>
        </w:tc>
        <w:tc>
          <w:tcPr>
            <w:tcW w:w="0" w:type="auto"/>
            <w:vAlign w:val="center"/>
          </w:tcPr>
          <w:p w:rsidR="005F78FC" w:rsidRDefault="00B42EF3">
            <w:pPr>
              <w:pStyle w:val="TableBodyText"/>
            </w:pPr>
            <w:r>
              <w:t>US Legal 8 1/2 x 14 in</w:t>
            </w:r>
          </w:p>
        </w:tc>
      </w:tr>
      <w:tr w:rsidR="005F78FC" w:rsidTr="005F78FC">
        <w:tc>
          <w:tcPr>
            <w:tcW w:w="0" w:type="auto"/>
            <w:vAlign w:val="center"/>
          </w:tcPr>
          <w:p w:rsidR="005F78FC" w:rsidRDefault="00B42EF3">
            <w:pPr>
              <w:pStyle w:val="TableBodyText"/>
            </w:pPr>
            <w:r>
              <w:t>6</w:t>
            </w:r>
          </w:p>
        </w:tc>
        <w:tc>
          <w:tcPr>
            <w:tcW w:w="0" w:type="auto"/>
            <w:vAlign w:val="center"/>
          </w:tcPr>
          <w:p w:rsidR="005F78FC" w:rsidRDefault="00B42EF3">
            <w:pPr>
              <w:pStyle w:val="TableBodyText"/>
            </w:pPr>
            <w:r>
              <w:t>US Statement 5 1/2 x 8 1/2 in</w:t>
            </w:r>
          </w:p>
        </w:tc>
      </w:tr>
      <w:tr w:rsidR="005F78FC" w:rsidTr="005F78FC">
        <w:tc>
          <w:tcPr>
            <w:tcW w:w="0" w:type="auto"/>
            <w:vAlign w:val="center"/>
          </w:tcPr>
          <w:p w:rsidR="005F78FC" w:rsidRDefault="00B42EF3">
            <w:pPr>
              <w:pStyle w:val="TableBodyText"/>
            </w:pPr>
            <w:r>
              <w:t>7</w:t>
            </w:r>
          </w:p>
        </w:tc>
        <w:tc>
          <w:tcPr>
            <w:tcW w:w="0" w:type="auto"/>
            <w:vAlign w:val="center"/>
          </w:tcPr>
          <w:p w:rsidR="005F78FC" w:rsidRDefault="00B42EF3">
            <w:pPr>
              <w:pStyle w:val="TableBodyText"/>
            </w:pPr>
            <w:r>
              <w:t>US Executive 7 1/4 x 10 1/2 in</w:t>
            </w:r>
          </w:p>
        </w:tc>
      </w:tr>
      <w:tr w:rsidR="005F78FC" w:rsidTr="005F78FC">
        <w:tc>
          <w:tcPr>
            <w:tcW w:w="0" w:type="auto"/>
            <w:vAlign w:val="center"/>
          </w:tcPr>
          <w:p w:rsidR="005F78FC" w:rsidRDefault="00B42EF3">
            <w:pPr>
              <w:pStyle w:val="TableBodyText"/>
            </w:pPr>
            <w:r>
              <w:t>8</w:t>
            </w:r>
          </w:p>
        </w:tc>
        <w:tc>
          <w:tcPr>
            <w:tcW w:w="0" w:type="auto"/>
            <w:vAlign w:val="center"/>
          </w:tcPr>
          <w:p w:rsidR="005F78FC" w:rsidRDefault="00B42EF3">
            <w:pPr>
              <w:pStyle w:val="TableBodyText"/>
            </w:pPr>
            <w:r>
              <w:t>A3 297 x 420 mm</w:t>
            </w:r>
          </w:p>
        </w:tc>
      </w:tr>
      <w:tr w:rsidR="005F78FC" w:rsidTr="005F78FC">
        <w:tc>
          <w:tcPr>
            <w:tcW w:w="0" w:type="auto"/>
            <w:vAlign w:val="center"/>
          </w:tcPr>
          <w:p w:rsidR="005F78FC" w:rsidRDefault="00B42EF3">
            <w:pPr>
              <w:pStyle w:val="TableBodyText"/>
            </w:pPr>
            <w:r>
              <w:t>9</w:t>
            </w:r>
          </w:p>
        </w:tc>
        <w:tc>
          <w:tcPr>
            <w:tcW w:w="0" w:type="auto"/>
            <w:vAlign w:val="center"/>
          </w:tcPr>
          <w:p w:rsidR="005F78FC" w:rsidRDefault="00B42EF3">
            <w:pPr>
              <w:pStyle w:val="TableBodyText"/>
            </w:pPr>
            <w:r>
              <w:t>A4 210 x 297 mm</w:t>
            </w:r>
          </w:p>
        </w:tc>
      </w:tr>
      <w:tr w:rsidR="005F78FC" w:rsidTr="005F78FC">
        <w:tc>
          <w:tcPr>
            <w:tcW w:w="0" w:type="auto"/>
            <w:vAlign w:val="center"/>
          </w:tcPr>
          <w:p w:rsidR="005F78FC" w:rsidRDefault="00B42EF3">
            <w:pPr>
              <w:pStyle w:val="TableBodyText"/>
            </w:pPr>
            <w:r>
              <w:t>10</w:t>
            </w:r>
          </w:p>
        </w:tc>
        <w:tc>
          <w:tcPr>
            <w:tcW w:w="0" w:type="auto"/>
            <w:vAlign w:val="center"/>
          </w:tcPr>
          <w:p w:rsidR="005F78FC" w:rsidRDefault="00B42EF3">
            <w:pPr>
              <w:pStyle w:val="TableBodyText"/>
            </w:pPr>
            <w:r>
              <w:t>A4 Small 210 x 297 mm</w:t>
            </w:r>
          </w:p>
        </w:tc>
      </w:tr>
      <w:tr w:rsidR="005F78FC" w:rsidTr="005F78FC">
        <w:tc>
          <w:tcPr>
            <w:tcW w:w="0" w:type="auto"/>
            <w:vAlign w:val="center"/>
          </w:tcPr>
          <w:p w:rsidR="005F78FC" w:rsidRDefault="00B42EF3">
            <w:pPr>
              <w:pStyle w:val="TableBodyText"/>
            </w:pPr>
            <w:r>
              <w:t>11</w:t>
            </w:r>
          </w:p>
        </w:tc>
        <w:tc>
          <w:tcPr>
            <w:tcW w:w="0" w:type="auto"/>
            <w:vAlign w:val="center"/>
          </w:tcPr>
          <w:p w:rsidR="005F78FC" w:rsidRDefault="00B42EF3">
            <w:pPr>
              <w:pStyle w:val="TableBodyText"/>
            </w:pPr>
            <w:r>
              <w:t>A5 148 x 210 mm</w:t>
            </w:r>
          </w:p>
        </w:tc>
      </w:tr>
      <w:tr w:rsidR="005F78FC" w:rsidTr="005F78FC">
        <w:tc>
          <w:tcPr>
            <w:tcW w:w="0" w:type="auto"/>
            <w:vAlign w:val="center"/>
          </w:tcPr>
          <w:p w:rsidR="005F78FC" w:rsidRDefault="00B42EF3">
            <w:pPr>
              <w:pStyle w:val="TableBodyText"/>
            </w:pPr>
            <w:r>
              <w:t>12</w:t>
            </w:r>
          </w:p>
        </w:tc>
        <w:tc>
          <w:tcPr>
            <w:tcW w:w="0" w:type="auto"/>
            <w:vAlign w:val="center"/>
          </w:tcPr>
          <w:p w:rsidR="005F78FC" w:rsidRDefault="00B42EF3">
            <w:pPr>
              <w:pStyle w:val="TableBodyText"/>
            </w:pPr>
            <w:r>
              <w:t xml:space="preserve">B4 </w:t>
            </w:r>
            <w:r>
              <w:t>(JIS) 250 x 354</w:t>
            </w:r>
          </w:p>
        </w:tc>
      </w:tr>
      <w:tr w:rsidR="005F78FC" w:rsidTr="005F78FC">
        <w:tc>
          <w:tcPr>
            <w:tcW w:w="0" w:type="auto"/>
            <w:vAlign w:val="center"/>
          </w:tcPr>
          <w:p w:rsidR="005F78FC" w:rsidRDefault="00B42EF3">
            <w:pPr>
              <w:pStyle w:val="TableBodyText"/>
            </w:pPr>
            <w:r>
              <w:t>13</w:t>
            </w:r>
          </w:p>
        </w:tc>
        <w:tc>
          <w:tcPr>
            <w:tcW w:w="0" w:type="auto"/>
            <w:vAlign w:val="center"/>
          </w:tcPr>
          <w:p w:rsidR="005F78FC" w:rsidRDefault="00B42EF3">
            <w:pPr>
              <w:pStyle w:val="TableBodyText"/>
            </w:pPr>
            <w:r>
              <w:t>B5 (JIS) 182 x 257 mm</w:t>
            </w:r>
          </w:p>
        </w:tc>
      </w:tr>
      <w:tr w:rsidR="005F78FC" w:rsidTr="005F78FC">
        <w:tc>
          <w:tcPr>
            <w:tcW w:w="0" w:type="auto"/>
            <w:vAlign w:val="center"/>
          </w:tcPr>
          <w:p w:rsidR="005F78FC" w:rsidRDefault="00B42EF3">
            <w:pPr>
              <w:pStyle w:val="TableBodyText"/>
            </w:pPr>
            <w:r>
              <w:t>14</w:t>
            </w:r>
          </w:p>
        </w:tc>
        <w:tc>
          <w:tcPr>
            <w:tcW w:w="0" w:type="auto"/>
            <w:vAlign w:val="center"/>
          </w:tcPr>
          <w:p w:rsidR="005F78FC" w:rsidRDefault="00B42EF3">
            <w:pPr>
              <w:pStyle w:val="TableBodyText"/>
            </w:pPr>
            <w:r>
              <w:t>Folio 8 1/2 x 13 in</w:t>
            </w:r>
          </w:p>
        </w:tc>
      </w:tr>
      <w:tr w:rsidR="005F78FC" w:rsidTr="005F78FC">
        <w:tc>
          <w:tcPr>
            <w:tcW w:w="0" w:type="auto"/>
            <w:vAlign w:val="center"/>
          </w:tcPr>
          <w:p w:rsidR="005F78FC" w:rsidRDefault="00B42EF3">
            <w:pPr>
              <w:pStyle w:val="TableBodyText"/>
            </w:pPr>
            <w:r>
              <w:t>15</w:t>
            </w:r>
          </w:p>
        </w:tc>
        <w:tc>
          <w:tcPr>
            <w:tcW w:w="0" w:type="auto"/>
            <w:vAlign w:val="center"/>
          </w:tcPr>
          <w:p w:rsidR="005F78FC" w:rsidRDefault="00B42EF3">
            <w:pPr>
              <w:pStyle w:val="TableBodyText"/>
            </w:pPr>
            <w:r>
              <w:t>Quarto 215 x 275 mm</w:t>
            </w:r>
          </w:p>
        </w:tc>
      </w:tr>
      <w:tr w:rsidR="005F78FC" w:rsidTr="005F78FC">
        <w:tc>
          <w:tcPr>
            <w:tcW w:w="0" w:type="auto"/>
            <w:vAlign w:val="center"/>
          </w:tcPr>
          <w:p w:rsidR="005F78FC" w:rsidRDefault="00B42EF3">
            <w:pPr>
              <w:pStyle w:val="TableBodyText"/>
            </w:pPr>
            <w:r>
              <w:t>16</w:t>
            </w:r>
          </w:p>
        </w:tc>
        <w:tc>
          <w:tcPr>
            <w:tcW w:w="0" w:type="auto"/>
            <w:vAlign w:val="center"/>
          </w:tcPr>
          <w:p w:rsidR="005F78FC" w:rsidRDefault="00B42EF3">
            <w:pPr>
              <w:pStyle w:val="TableBodyText"/>
            </w:pPr>
            <w:r>
              <w:t>10 x 14 in</w:t>
            </w:r>
          </w:p>
        </w:tc>
      </w:tr>
      <w:tr w:rsidR="005F78FC" w:rsidTr="005F78FC">
        <w:tc>
          <w:tcPr>
            <w:tcW w:w="0" w:type="auto"/>
            <w:vAlign w:val="center"/>
          </w:tcPr>
          <w:p w:rsidR="005F78FC" w:rsidRDefault="00B42EF3">
            <w:pPr>
              <w:pStyle w:val="TableBodyText"/>
            </w:pPr>
            <w:r>
              <w:t>17</w:t>
            </w:r>
          </w:p>
        </w:tc>
        <w:tc>
          <w:tcPr>
            <w:tcW w:w="0" w:type="auto"/>
            <w:vAlign w:val="center"/>
          </w:tcPr>
          <w:p w:rsidR="005F78FC" w:rsidRDefault="00B42EF3">
            <w:pPr>
              <w:pStyle w:val="TableBodyText"/>
            </w:pPr>
            <w:r>
              <w:t>11 x 17 in</w:t>
            </w:r>
          </w:p>
        </w:tc>
      </w:tr>
      <w:tr w:rsidR="005F78FC" w:rsidTr="005F78FC">
        <w:tc>
          <w:tcPr>
            <w:tcW w:w="0" w:type="auto"/>
            <w:vAlign w:val="center"/>
          </w:tcPr>
          <w:p w:rsidR="005F78FC" w:rsidRDefault="00B42EF3">
            <w:pPr>
              <w:pStyle w:val="TableBodyText"/>
            </w:pPr>
            <w:r>
              <w:t>18</w:t>
            </w:r>
          </w:p>
        </w:tc>
        <w:tc>
          <w:tcPr>
            <w:tcW w:w="0" w:type="auto"/>
            <w:vAlign w:val="center"/>
          </w:tcPr>
          <w:p w:rsidR="005F78FC" w:rsidRDefault="00B42EF3">
            <w:pPr>
              <w:pStyle w:val="TableBodyText"/>
            </w:pPr>
            <w:r>
              <w:t>US Note 8 1/2 x 11 in</w:t>
            </w:r>
          </w:p>
        </w:tc>
      </w:tr>
      <w:tr w:rsidR="005F78FC" w:rsidTr="005F78FC">
        <w:tc>
          <w:tcPr>
            <w:tcW w:w="0" w:type="auto"/>
            <w:vAlign w:val="center"/>
          </w:tcPr>
          <w:p w:rsidR="005F78FC" w:rsidRDefault="00B42EF3">
            <w:pPr>
              <w:pStyle w:val="TableBodyText"/>
            </w:pPr>
            <w:r>
              <w:t>19</w:t>
            </w:r>
          </w:p>
        </w:tc>
        <w:tc>
          <w:tcPr>
            <w:tcW w:w="0" w:type="auto"/>
            <w:vAlign w:val="center"/>
          </w:tcPr>
          <w:p w:rsidR="005F78FC" w:rsidRDefault="00B42EF3">
            <w:pPr>
              <w:pStyle w:val="TableBodyText"/>
            </w:pPr>
            <w:r>
              <w:t>US Envelope #9 3 7/8 x 8 7/8</w:t>
            </w:r>
          </w:p>
        </w:tc>
      </w:tr>
      <w:tr w:rsidR="005F78FC" w:rsidTr="005F78FC">
        <w:tc>
          <w:tcPr>
            <w:tcW w:w="0" w:type="auto"/>
            <w:vAlign w:val="center"/>
          </w:tcPr>
          <w:p w:rsidR="005F78FC" w:rsidRDefault="00B42EF3">
            <w:pPr>
              <w:pStyle w:val="TableBodyText"/>
            </w:pPr>
            <w:r>
              <w:t>20</w:t>
            </w:r>
          </w:p>
        </w:tc>
        <w:tc>
          <w:tcPr>
            <w:tcW w:w="0" w:type="auto"/>
            <w:vAlign w:val="center"/>
          </w:tcPr>
          <w:p w:rsidR="005F78FC" w:rsidRDefault="00B42EF3">
            <w:pPr>
              <w:pStyle w:val="TableBodyText"/>
            </w:pPr>
            <w:r>
              <w:t>US Envelope #10 4 1/8 x 9 1/2</w:t>
            </w:r>
          </w:p>
        </w:tc>
      </w:tr>
      <w:tr w:rsidR="005F78FC" w:rsidTr="005F78FC">
        <w:tc>
          <w:tcPr>
            <w:tcW w:w="0" w:type="auto"/>
            <w:vAlign w:val="center"/>
          </w:tcPr>
          <w:p w:rsidR="005F78FC" w:rsidRDefault="00B42EF3">
            <w:pPr>
              <w:pStyle w:val="TableBodyText"/>
            </w:pPr>
            <w:r>
              <w:t>21</w:t>
            </w:r>
          </w:p>
        </w:tc>
        <w:tc>
          <w:tcPr>
            <w:tcW w:w="0" w:type="auto"/>
            <w:vAlign w:val="center"/>
          </w:tcPr>
          <w:p w:rsidR="005F78FC" w:rsidRDefault="00B42EF3">
            <w:pPr>
              <w:pStyle w:val="TableBodyText"/>
            </w:pPr>
            <w:r>
              <w:t>US Envelope #11 4 1/2 x 10 3/8</w:t>
            </w:r>
          </w:p>
        </w:tc>
      </w:tr>
      <w:tr w:rsidR="005F78FC" w:rsidTr="005F78FC">
        <w:tc>
          <w:tcPr>
            <w:tcW w:w="0" w:type="auto"/>
            <w:vAlign w:val="center"/>
          </w:tcPr>
          <w:p w:rsidR="005F78FC" w:rsidRDefault="00B42EF3">
            <w:pPr>
              <w:pStyle w:val="TableBodyText"/>
            </w:pPr>
            <w:r>
              <w:t>22</w:t>
            </w:r>
          </w:p>
        </w:tc>
        <w:tc>
          <w:tcPr>
            <w:tcW w:w="0" w:type="auto"/>
            <w:vAlign w:val="center"/>
          </w:tcPr>
          <w:p w:rsidR="005F78FC" w:rsidRDefault="00B42EF3">
            <w:pPr>
              <w:pStyle w:val="TableBodyText"/>
            </w:pPr>
            <w:r>
              <w:t xml:space="preserve">US </w:t>
            </w:r>
            <w:r>
              <w:t>Envelope #12 4 \276 x 11</w:t>
            </w:r>
          </w:p>
        </w:tc>
      </w:tr>
      <w:tr w:rsidR="005F78FC" w:rsidTr="005F78FC">
        <w:tc>
          <w:tcPr>
            <w:tcW w:w="0" w:type="auto"/>
            <w:vAlign w:val="center"/>
          </w:tcPr>
          <w:p w:rsidR="005F78FC" w:rsidRDefault="00B42EF3">
            <w:pPr>
              <w:pStyle w:val="TableBodyText"/>
            </w:pPr>
            <w:r>
              <w:t>23</w:t>
            </w:r>
          </w:p>
        </w:tc>
        <w:tc>
          <w:tcPr>
            <w:tcW w:w="0" w:type="auto"/>
            <w:vAlign w:val="center"/>
          </w:tcPr>
          <w:p w:rsidR="005F78FC" w:rsidRDefault="00B42EF3">
            <w:pPr>
              <w:pStyle w:val="TableBodyText"/>
            </w:pPr>
            <w:r>
              <w:t>US Envelope #14 5 x 11 1/2</w:t>
            </w:r>
          </w:p>
        </w:tc>
      </w:tr>
      <w:tr w:rsidR="005F78FC" w:rsidTr="005F78FC">
        <w:tc>
          <w:tcPr>
            <w:tcW w:w="0" w:type="auto"/>
            <w:vAlign w:val="center"/>
          </w:tcPr>
          <w:p w:rsidR="005F78FC" w:rsidRDefault="00B42EF3">
            <w:pPr>
              <w:pStyle w:val="TableBodyText"/>
            </w:pPr>
            <w:r>
              <w:t>24</w:t>
            </w:r>
          </w:p>
        </w:tc>
        <w:tc>
          <w:tcPr>
            <w:tcW w:w="0" w:type="auto"/>
            <w:vAlign w:val="center"/>
          </w:tcPr>
          <w:p w:rsidR="005F78FC" w:rsidRDefault="00B42EF3">
            <w:pPr>
              <w:pStyle w:val="TableBodyText"/>
            </w:pPr>
            <w:r>
              <w:t>C size sheet</w:t>
            </w:r>
          </w:p>
        </w:tc>
      </w:tr>
      <w:tr w:rsidR="005F78FC" w:rsidTr="005F78FC">
        <w:tc>
          <w:tcPr>
            <w:tcW w:w="0" w:type="auto"/>
            <w:vAlign w:val="center"/>
          </w:tcPr>
          <w:p w:rsidR="005F78FC" w:rsidRDefault="00B42EF3">
            <w:pPr>
              <w:pStyle w:val="TableBodyText"/>
            </w:pPr>
            <w:r>
              <w:t>25</w:t>
            </w:r>
          </w:p>
        </w:tc>
        <w:tc>
          <w:tcPr>
            <w:tcW w:w="0" w:type="auto"/>
            <w:vAlign w:val="center"/>
          </w:tcPr>
          <w:p w:rsidR="005F78FC" w:rsidRDefault="00B42EF3">
            <w:pPr>
              <w:pStyle w:val="TableBodyText"/>
            </w:pPr>
            <w:r>
              <w:t>D size sheet</w:t>
            </w:r>
          </w:p>
        </w:tc>
      </w:tr>
      <w:tr w:rsidR="005F78FC" w:rsidTr="005F78FC">
        <w:tc>
          <w:tcPr>
            <w:tcW w:w="0" w:type="auto"/>
            <w:vAlign w:val="center"/>
          </w:tcPr>
          <w:p w:rsidR="005F78FC" w:rsidRDefault="00B42EF3">
            <w:pPr>
              <w:pStyle w:val="TableBodyText"/>
            </w:pPr>
            <w:r>
              <w:t>26</w:t>
            </w:r>
          </w:p>
        </w:tc>
        <w:tc>
          <w:tcPr>
            <w:tcW w:w="0" w:type="auto"/>
            <w:vAlign w:val="center"/>
          </w:tcPr>
          <w:p w:rsidR="005F78FC" w:rsidRDefault="00B42EF3">
            <w:pPr>
              <w:pStyle w:val="TableBodyText"/>
            </w:pPr>
            <w:r>
              <w:t>E size sheet</w:t>
            </w:r>
          </w:p>
        </w:tc>
      </w:tr>
      <w:tr w:rsidR="005F78FC" w:rsidTr="005F78FC">
        <w:tc>
          <w:tcPr>
            <w:tcW w:w="0" w:type="auto"/>
            <w:vAlign w:val="center"/>
          </w:tcPr>
          <w:p w:rsidR="005F78FC" w:rsidRDefault="00B42EF3">
            <w:pPr>
              <w:pStyle w:val="TableBodyText"/>
            </w:pPr>
            <w:r>
              <w:t>27</w:t>
            </w:r>
          </w:p>
        </w:tc>
        <w:tc>
          <w:tcPr>
            <w:tcW w:w="0" w:type="auto"/>
            <w:vAlign w:val="center"/>
          </w:tcPr>
          <w:p w:rsidR="005F78FC" w:rsidRDefault="00B42EF3">
            <w:pPr>
              <w:pStyle w:val="TableBodyText"/>
            </w:pPr>
            <w:r>
              <w:t>Envelope DL 110 x 220mm</w:t>
            </w:r>
          </w:p>
        </w:tc>
      </w:tr>
      <w:tr w:rsidR="005F78FC" w:rsidTr="005F78FC">
        <w:tc>
          <w:tcPr>
            <w:tcW w:w="0" w:type="auto"/>
            <w:vAlign w:val="center"/>
          </w:tcPr>
          <w:p w:rsidR="005F78FC" w:rsidRDefault="00B42EF3">
            <w:pPr>
              <w:pStyle w:val="TableBodyText"/>
            </w:pPr>
            <w:r>
              <w:t>28</w:t>
            </w:r>
          </w:p>
        </w:tc>
        <w:tc>
          <w:tcPr>
            <w:tcW w:w="0" w:type="auto"/>
            <w:vAlign w:val="center"/>
          </w:tcPr>
          <w:p w:rsidR="005F78FC" w:rsidRDefault="00B42EF3">
            <w:pPr>
              <w:pStyle w:val="TableBodyText"/>
            </w:pPr>
            <w:r>
              <w:t>Envelope C5 162 x 229 mm</w:t>
            </w:r>
          </w:p>
        </w:tc>
      </w:tr>
      <w:tr w:rsidR="005F78FC" w:rsidTr="005F78FC">
        <w:tc>
          <w:tcPr>
            <w:tcW w:w="0" w:type="auto"/>
            <w:vAlign w:val="center"/>
          </w:tcPr>
          <w:p w:rsidR="005F78FC" w:rsidRDefault="00B42EF3">
            <w:pPr>
              <w:pStyle w:val="TableBodyText"/>
            </w:pPr>
            <w:r>
              <w:lastRenderedPageBreak/>
              <w:t>29</w:t>
            </w:r>
          </w:p>
        </w:tc>
        <w:tc>
          <w:tcPr>
            <w:tcW w:w="0" w:type="auto"/>
            <w:vAlign w:val="center"/>
          </w:tcPr>
          <w:p w:rsidR="005F78FC" w:rsidRDefault="00B42EF3">
            <w:pPr>
              <w:pStyle w:val="TableBodyText"/>
            </w:pPr>
            <w:r>
              <w:t>Envelope C3 324 x 458 mm</w:t>
            </w:r>
          </w:p>
        </w:tc>
      </w:tr>
      <w:tr w:rsidR="005F78FC" w:rsidTr="005F78FC">
        <w:tc>
          <w:tcPr>
            <w:tcW w:w="0" w:type="auto"/>
            <w:vAlign w:val="center"/>
          </w:tcPr>
          <w:p w:rsidR="005F78FC" w:rsidRDefault="00B42EF3">
            <w:pPr>
              <w:pStyle w:val="TableBodyText"/>
            </w:pPr>
            <w:r>
              <w:t>30</w:t>
            </w:r>
          </w:p>
        </w:tc>
        <w:tc>
          <w:tcPr>
            <w:tcW w:w="0" w:type="auto"/>
            <w:vAlign w:val="center"/>
          </w:tcPr>
          <w:p w:rsidR="005F78FC" w:rsidRDefault="00B42EF3">
            <w:pPr>
              <w:pStyle w:val="TableBodyText"/>
            </w:pPr>
            <w:r>
              <w:t>Envelope C4 229 x 324 mm</w:t>
            </w:r>
          </w:p>
        </w:tc>
      </w:tr>
      <w:tr w:rsidR="005F78FC" w:rsidTr="005F78FC">
        <w:tc>
          <w:tcPr>
            <w:tcW w:w="0" w:type="auto"/>
            <w:vAlign w:val="center"/>
          </w:tcPr>
          <w:p w:rsidR="005F78FC" w:rsidRDefault="00B42EF3">
            <w:pPr>
              <w:pStyle w:val="TableBodyText"/>
            </w:pPr>
            <w:r>
              <w:t>31</w:t>
            </w:r>
          </w:p>
        </w:tc>
        <w:tc>
          <w:tcPr>
            <w:tcW w:w="0" w:type="auto"/>
            <w:vAlign w:val="center"/>
          </w:tcPr>
          <w:p w:rsidR="005F78FC" w:rsidRDefault="00B42EF3">
            <w:pPr>
              <w:pStyle w:val="TableBodyText"/>
            </w:pPr>
            <w:r>
              <w:t>Envelope C6 114 x 162 mm</w:t>
            </w:r>
          </w:p>
        </w:tc>
      </w:tr>
      <w:tr w:rsidR="005F78FC" w:rsidTr="005F78FC">
        <w:tc>
          <w:tcPr>
            <w:tcW w:w="0" w:type="auto"/>
            <w:vAlign w:val="center"/>
          </w:tcPr>
          <w:p w:rsidR="005F78FC" w:rsidRDefault="00B42EF3">
            <w:pPr>
              <w:pStyle w:val="TableBodyText"/>
            </w:pPr>
            <w:r>
              <w:t>32</w:t>
            </w:r>
          </w:p>
        </w:tc>
        <w:tc>
          <w:tcPr>
            <w:tcW w:w="0" w:type="auto"/>
            <w:vAlign w:val="center"/>
          </w:tcPr>
          <w:p w:rsidR="005F78FC" w:rsidRDefault="00B42EF3">
            <w:pPr>
              <w:pStyle w:val="TableBodyText"/>
            </w:pPr>
            <w:r>
              <w:t>Envelope C65 114 x 229 mm</w:t>
            </w:r>
          </w:p>
        </w:tc>
      </w:tr>
      <w:tr w:rsidR="005F78FC" w:rsidTr="005F78FC">
        <w:tc>
          <w:tcPr>
            <w:tcW w:w="0" w:type="auto"/>
            <w:vAlign w:val="center"/>
          </w:tcPr>
          <w:p w:rsidR="005F78FC" w:rsidRDefault="00B42EF3">
            <w:pPr>
              <w:pStyle w:val="TableBodyText"/>
            </w:pPr>
            <w:r>
              <w:t>33</w:t>
            </w:r>
          </w:p>
        </w:tc>
        <w:tc>
          <w:tcPr>
            <w:tcW w:w="0" w:type="auto"/>
            <w:vAlign w:val="center"/>
          </w:tcPr>
          <w:p w:rsidR="005F78FC" w:rsidRDefault="00B42EF3">
            <w:pPr>
              <w:pStyle w:val="TableBodyText"/>
            </w:pPr>
            <w:r>
              <w:t>Envelope B4 250 x 353 mm</w:t>
            </w:r>
          </w:p>
        </w:tc>
      </w:tr>
      <w:tr w:rsidR="005F78FC" w:rsidTr="005F78FC">
        <w:tc>
          <w:tcPr>
            <w:tcW w:w="0" w:type="auto"/>
            <w:vAlign w:val="center"/>
          </w:tcPr>
          <w:p w:rsidR="005F78FC" w:rsidRDefault="00B42EF3">
            <w:pPr>
              <w:pStyle w:val="TableBodyText"/>
            </w:pPr>
            <w:r>
              <w:t>34</w:t>
            </w:r>
          </w:p>
        </w:tc>
        <w:tc>
          <w:tcPr>
            <w:tcW w:w="0" w:type="auto"/>
            <w:vAlign w:val="center"/>
          </w:tcPr>
          <w:p w:rsidR="005F78FC" w:rsidRDefault="00B42EF3">
            <w:pPr>
              <w:pStyle w:val="TableBodyText"/>
            </w:pPr>
            <w:r>
              <w:t>Envelope B5 176 x 250 mm</w:t>
            </w:r>
          </w:p>
        </w:tc>
      </w:tr>
      <w:tr w:rsidR="005F78FC" w:rsidTr="005F78FC">
        <w:tc>
          <w:tcPr>
            <w:tcW w:w="0" w:type="auto"/>
            <w:vAlign w:val="center"/>
          </w:tcPr>
          <w:p w:rsidR="005F78FC" w:rsidRDefault="00B42EF3">
            <w:pPr>
              <w:pStyle w:val="TableBodyText"/>
            </w:pPr>
            <w:r>
              <w:t>35</w:t>
            </w:r>
          </w:p>
        </w:tc>
        <w:tc>
          <w:tcPr>
            <w:tcW w:w="0" w:type="auto"/>
            <w:vAlign w:val="center"/>
          </w:tcPr>
          <w:p w:rsidR="005F78FC" w:rsidRDefault="00B42EF3">
            <w:pPr>
              <w:pStyle w:val="TableBodyText"/>
            </w:pPr>
            <w:r>
              <w:t>Envelope B6 176 x 125 mm</w:t>
            </w:r>
          </w:p>
        </w:tc>
      </w:tr>
      <w:tr w:rsidR="005F78FC" w:rsidTr="005F78FC">
        <w:tc>
          <w:tcPr>
            <w:tcW w:w="0" w:type="auto"/>
            <w:vAlign w:val="center"/>
          </w:tcPr>
          <w:p w:rsidR="005F78FC" w:rsidRDefault="00B42EF3">
            <w:pPr>
              <w:pStyle w:val="TableBodyText"/>
            </w:pPr>
            <w:r>
              <w:t>36</w:t>
            </w:r>
          </w:p>
        </w:tc>
        <w:tc>
          <w:tcPr>
            <w:tcW w:w="0" w:type="auto"/>
            <w:vAlign w:val="center"/>
          </w:tcPr>
          <w:p w:rsidR="005F78FC" w:rsidRDefault="00B42EF3">
            <w:pPr>
              <w:pStyle w:val="TableBodyText"/>
            </w:pPr>
            <w:r>
              <w:t>Envelope 110 x 230 mm</w:t>
            </w:r>
          </w:p>
        </w:tc>
      </w:tr>
      <w:tr w:rsidR="005F78FC" w:rsidTr="005F78FC">
        <w:tc>
          <w:tcPr>
            <w:tcW w:w="0" w:type="auto"/>
            <w:vAlign w:val="center"/>
          </w:tcPr>
          <w:p w:rsidR="005F78FC" w:rsidRDefault="00B42EF3">
            <w:pPr>
              <w:pStyle w:val="TableBodyText"/>
            </w:pPr>
            <w:r>
              <w:t>37</w:t>
            </w:r>
          </w:p>
        </w:tc>
        <w:tc>
          <w:tcPr>
            <w:tcW w:w="0" w:type="auto"/>
            <w:vAlign w:val="center"/>
          </w:tcPr>
          <w:p w:rsidR="005F78FC" w:rsidRDefault="00B42EF3">
            <w:pPr>
              <w:pStyle w:val="TableBodyText"/>
            </w:pPr>
            <w:r>
              <w:t>US Envelope Monarch 3.875 x 7.5 in</w:t>
            </w:r>
          </w:p>
        </w:tc>
      </w:tr>
      <w:tr w:rsidR="005F78FC" w:rsidTr="005F78FC">
        <w:tc>
          <w:tcPr>
            <w:tcW w:w="0" w:type="auto"/>
            <w:vAlign w:val="center"/>
          </w:tcPr>
          <w:p w:rsidR="005F78FC" w:rsidRDefault="00B42EF3">
            <w:pPr>
              <w:pStyle w:val="TableBodyText"/>
            </w:pPr>
            <w:r>
              <w:t>38</w:t>
            </w:r>
          </w:p>
        </w:tc>
        <w:tc>
          <w:tcPr>
            <w:tcW w:w="0" w:type="auto"/>
            <w:vAlign w:val="center"/>
          </w:tcPr>
          <w:p w:rsidR="005F78FC" w:rsidRDefault="00B42EF3">
            <w:pPr>
              <w:pStyle w:val="TableBodyText"/>
            </w:pPr>
            <w:r>
              <w:t>6 3/4 US Envelope 3 5/8 x 6 1/2 in</w:t>
            </w:r>
          </w:p>
        </w:tc>
      </w:tr>
      <w:tr w:rsidR="005F78FC" w:rsidTr="005F78FC">
        <w:tc>
          <w:tcPr>
            <w:tcW w:w="0" w:type="auto"/>
            <w:vAlign w:val="center"/>
          </w:tcPr>
          <w:p w:rsidR="005F78FC" w:rsidRDefault="00B42EF3">
            <w:pPr>
              <w:pStyle w:val="TableBodyText"/>
            </w:pPr>
            <w:r>
              <w:t>39</w:t>
            </w:r>
          </w:p>
        </w:tc>
        <w:tc>
          <w:tcPr>
            <w:tcW w:w="0" w:type="auto"/>
            <w:vAlign w:val="center"/>
          </w:tcPr>
          <w:p w:rsidR="005F78FC" w:rsidRDefault="00B42EF3">
            <w:pPr>
              <w:pStyle w:val="TableBodyText"/>
            </w:pPr>
            <w:r>
              <w:t>US Std Fanfold 14 7/8 x 11 in</w:t>
            </w:r>
          </w:p>
        </w:tc>
      </w:tr>
      <w:tr w:rsidR="005F78FC" w:rsidTr="005F78FC">
        <w:tc>
          <w:tcPr>
            <w:tcW w:w="0" w:type="auto"/>
            <w:vAlign w:val="center"/>
          </w:tcPr>
          <w:p w:rsidR="005F78FC" w:rsidRDefault="00B42EF3">
            <w:pPr>
              <w:pStyle w:val="TableBodyText"/>
            </w:pPr>
            <w:r>
              <w:t>40</w:t>
            </w:r>
          </w:p>
        </w:tc>
        <w:tc>
          <w:tcPr>
            <w:tcW w:w="0" w:type="auto"/>
            <w:vAlign w:val="center"/>
          </w:tcPr>
          <w:p w:rsidR="005F78FC" w:rsidRDefault="00B42EF3">
            <w:pPr>
              <w:pStyle w:val="TableBodyText"/>
            </w:pPr>
            <w:r>
              <w:t>German Std Fanfold 8 1/2 x 12 in</w:t>
            </w:r>
          </w:p>
        </w:tc>
      </w:tr>
      <w:tr w:rsidR="005F78FC" w:rsidTr="005F78FC">
        <w:tc>
          <w:tcPr>
            <w:tcW w:w="0" w:type="auto"/>
            <w:vAlign w:val="center"/>
          </w:tcPr>
          <w:p w:rsidR="005F78FC" w:rsidRDefault="00B42EF3">
            <w:pPr>
              <w:pStyle w:val="TableBodyText"/>
            </w:pPr>
            <w:r>
              <w:t>41</w:t>
            </w:r>
          </w:p>
        </w:tc>
        <w:tc>
          <w:tcPr>
            <w:tcW w:w="0" w:type="auto"/>
            <w:vAlign w:val="center"/>
          </w:tcPr>
          <w:p w:rsidR="005F78FC" w:rsidRDefault="00B42EF3">
            <w:pPr>
              <w:pStyle w:val="TableBodyText"/>
            </w:pPr>
            <w:r>
              <w:t>German Legal Fanfold 8 1/2 x 13 in</w:t>
            </w:r>
          </w:p>
        </w:tc>
      </w:tr>
      <w:tr w:rsidR="005F78FC" w:rsidTr="005F78FC">
        <w:tc>
          <w:tcPr>
            <w:tcW w:w="0" w:type="auto"/>
            <w:vAlign w:val="center"/>
          </w:tcPr>
          <w:p w:rsidR="005F78FC" w:rsidRDefault="00B42EF3">
            <w:pPr>
              <w:pStyle w:val="TableBodyText"/>
            </w:pPr>
            <w:r>
              <w:t>42</w:t>
            </w:r>
          </w:p>
        </w:tc>
        <w:tc>
          <w:tcPr>
            <w:tcW w:w="0" w:type="auto"/>
            <w:vAlign w:val="center"/>
          </w:tcPr>
          <w:p w:rsidR="005F78FC" w:rsidRDefault="00B42EF3">
            <w:pPr>
              <w:pStyle w:val="TableBodyText"/>
            </w:pPr>
            <w:r>
              <w:t>B4 (ISO) 250 x 353 mm</w:t>
            </w:r>
          </w:p>
        </w:tc>
      </w:tr>
      <w:tr w:rsidR="005F78FC" w:rsidTr="005F78FC">
        <w:tc>
          <w:tcPr>
            <w:tcW w:w="0" w:type="auto"/>
            <w:vAlign w:val="center"/>
          </w:tcPr>
          <w:p w:rsidR="005F78FC" w:rsidRDefault="00B42EF3">
            <w:pPr>
              <w:pStyle w:val="TableBodyText"/>
            </w:pPr>
            <w:r>
              <w:t>43</w:t>
            </w:r>
          </w:p>
        </w:tc>
        <w:tc>
          <w:tcPr>
            <w:tcW w:w="0" w:type="auto"/>
            <w:vAlign w:val="center"/>
          </w:tcPr>
          <w:p w:rsidR="005F78FC" w:rsidRDefault="00B42EF3">
            <w:pPr>
              <w:pStyle w:val="TableBodyText"/>
            </w:pPr>
            <w:r>
              <w:t>Japanese Postcard 100 x 148 mm</w:t>
            </w:r>
          </w:p>
        </w:tc>
      </w:tr>
      <w:tr w:rsidR="005F78FC" w:rsidTr="005F78FC">
        <w:tc>
          <w:tcPr>
            <w:tcW w:w="0" w:type="auto"/>
            <w:vAlign w:val="center"/>
          </w:tcPr>
          <w:p w:rsidR="005F78FC" w:rsidRDefault="00B42EF3">
            <w:pPr>
              <w:pStyle w:val="TableBodyText"/>
            </w:pPr>
            <w:r>
              <w:t>44</w:t>
            </w:r>
          </w:p>
        </w:tc>
        <w:tc>
          <w:tcPr>
            <w:tcW w:w="0" w:type="auto"/>
            <w:vAlign w:val="center"/>
          </w:tcPr>
          <w:p w:rsidR="005F78FC" w:rsidRDefault="00B42EF3">
            <w:pPr>
              <w:pStyle w:val="TableBodyText"/>
            </w:pPr>
            <w:r>
              <w:t>9 x 11 in</w:t>
            </w:r>
          </w:p>
        </w:tc>
      </w:tr>
      <w:tr w:rsidR="005F78FC" w:rsidTr="005F78FC">
        <w:tc>
          <w:tcPr>
            <w:tcW w:w="0" w:type="auto"/>
            <w:vAlign w:val="center"/>
          </w:tcPr>
          <w:p w:rsidR="005F78FC" w:rsidRDefault="00B42EF3">
            <w:pPr>
              <w:pStyle w:val="TableBodyText"/>
            </w:pPr>
            <w:r>
              <w:t>45</w:t>
            </w:r>
          </w:p>
        </w:tc>
        <w:tc>
          <w:tcPr>
            <w:tcW w:w="0" w:type="auto"/>
            <w:vAlign w:val="center"/>
          </w:tcPr>
          <w:p w:rsidR="005F78FC" w:rsidRDefault="00B42EF3">
            <w:pPr>
              <w:pStyle w:val="TableBodyText"/>
            </w:pPr>
            <w:r>
              <w:t>10 x 11 in</w:t>
            </w:r>
          </w:p>
        </w:tc>
      </w:tr>
      <w:tr w:rsidR="005F78FC" w:rsidTr="005F78FC">
        <w:tc>
          <w:tcPr>
            <w:tcW w:w="0" w:type="auto"/>
            <w:vAlign w:val="center"/>
          </w:tcPr>
          <w:p w:rsidR="005F78FC" w:rsidRDefault="00B42EF3">
            <w:pPr>
              <w:pStyle w:val="TableBodyText"/>
            </w:pPr>
            <w:r>
              <w:t>46</w:t>
            </w:r>
          </w:p>
        </w:tc>
        <w:tc>
          <w:tcPr>
            <w:tcW w:w="0" w:type="auto"/>
            <w:vAlign w:val="center"/>
          </w:tcPr>
          <w:p w:rsidR="005F78FC" w:rsidRDefault="00B42EF3">
            <w:pPr>
              <w:pStyle w:val="TableBodyText"/>
            </w:pPr>
            <w:r>
              <w:t>15 x 11 in</w:t>
            </w:r>
          </w:p>
        </w:tc>
      </w:tr>
      <w:tr w:rsidR="005F78FC" w:rsidTr="005F78FC">
        <w:tc>
          <w:tcPr>
            <w:tcW w:w="0" w:type="auto"/>
            <w:vAlign w:val="center"/>
          </w:tcPr>
          <w:p w:rsidR="005F78FC" w:rsidRDefault="00B42EF3">
            <w:pPr>
              <w:pStyle w:val="TableBodyText"/>
            </w:pPr>
            <w:r>
              <w:t>47</w:t>
            </w:r>
          </w:p>
        </w:tc>
        <w:tc>
          <w:tcPr>
            <w:tcW w:w="0" w:type="auto"/>
            <w:vAlign w:val="center"/>
          </w:tcPr>
          <w:p w:rsidR="005F78FC" w:rsidRDefault="00B42EF3">
            <w:pPr>
              <w:pStyle w:val="TableBodyText"/>
            </w:pPr>
            <w:r>
              <w:t>Envelope Invite 220 x 220 mm</w:t>
            </w:r>
          </w:p>
        </w:tc>
      </w:tr>
      <w:tr w:rsidR="005F78FC" w:rsidTr="005F78FC">
        <w:tc>
          <w:tcPr>
            <w:tcW w:w="0" w:type="auto"/>
            <w:vAlign w:val="center"/>
          </w:tcPr>
          <w:p w:rsidR="005F78FC" w:rsidRDefault="00B42EF3">
            <w:pPr>
              <w:pStyle w:val="TableBodyText"/>
            </w:pPr>
            <w:r>
              <w:t>48</w:t>
            </w:r>
          </w:p>
        </w:tc>
        <w:tc>
          <w:tcPr>
            <w:tcW w:w="0" w:type="auto"/>
            <w:vAlign w:val="center"/>
          </w:tcPr>
          <w:p w:rsidR="005F78FC" w:rsidRDefault="00B42EF3">
            <w:pPr>
              <w:pStyle w:val="TableBodyText"/>
            </w:pPr>
            <w:r>
              <w:t>RESERVED--DO NOT USE</w:t>
            </w:r>
          </w:p>
        </w:tc>
      </w:tr>
      <w:tr w:rsidR="005F78FC" w:rsidTr="005F78FC">
        <w:tc>
          <w:tcPr>
            <w:tcW w:w="0" w:type="auto"/>
            <w:vAlign w:val="center"/>
          </w:tcPr>
          <w:p w:rsidR="005F78FC" w:rsidRDefault="00B42EF3">
            <w:pPr>
              <w:pStyle w:val="TableBodyText"/>
            </w:pPr>
            <w:r>
              <w:t>49</w:t>
            </w:r>
          </w:p>
        </w:tc>
        <w:tc>
          <w:tcPr>
            <w:tcW w:w="0" w:type="auto"/>
            <w:vAlign w:val="center"/>
          </w:tcPr>
          <w:p w:rsidR="005F78FC" w:rsidRDefault="00B42EF3">
            <w:pPr>
              <w:pStyle w:val="TableBodyText"/>
            </w:pPr>
            <w:r>
              <w:t xml:space="preserve">RESERVED--DO NOT </w:t>
            </w:r>
            <w:r>
              <w:t>USE</w:t>
            </w:r>
          </w:p>
        </w:tc>
      </w:tr>
      <w:tr w:rsidR="005F78FC" w:rsidTr="005F78FC">
        <w:tc>
          <w:tcPr>
            <w:tcW w:w="0" w:type="auto"/>
            <w:vAlign w:val="center"/>
          </w:tcPr>
          <w:p w:rsidR="005F78FC" w:rsidRDefault="00B42EF3">
            <w:pPr>
              <w:pStyle w:val="TableBodyText"/>
            </w:pPr>
            <w:r>
              <w:t>50</w:t>
            </w:r>
          </w:p>
        </w:tc>
        <w:tc>
          <w:tcPr>
            <w:tcW w:w="0" w:type="auto"/>
            <w:vAlign w:val="center"/>
          </w:tcPr>
          <w:p w:rsidR="005F78FC" w:rsidRDefault="00B42EF3">
            <w:pPr>
              <w:pStyle w:val="TableBodyText"/>
            </w:pPr>
            <w:r>
              <w:t>US Letter Extra 9 \275 x 12 in</w:t>
            </w:r>
          </w:p>
        </w:tc>
      </w:tr>
      <w:tr w:rsidR="005F78FC" w:rsidTr="005F78FC">
        <w:tc>
          <w:tcPr>
            <w:tcW w:w="0" w:type="auto"/>
            <w:vAlign w:val="center"/>
          </w:tcPr>
          <w:p w:rsidR="005F78FC" w:rsidRDefault="00B42EF3">
            <w:pPr>
              <w:pStyle w:val="TableBodyText"/>
            </w:pPr>
            <w:r>
              <w:t>51</w:t>
            </w:r>
          </w:p>
        </w:tc>
        <w:tc>
          <w:tcPr>
            <w:tcW w:w="0" w:type="auto"/>
            <w:vAlign w:val="center"/>
          </w:tcPr>
          <w:p w:rsidR="005F78FC" w:rsidRDefault="00B42EF3">
            <w:pPr>
              <w:pStyle w:val="TableBodyText"/>
            </w:pPr>
            <w:r>
              <w:t>US Legal Extra 9 \275 x 15 in</w:t>
            </w:r>
          </w:p>
        </w:tc>
      </w:tr>
      <w:tr w:rsidR="005F78FC" w:rsidTr="005F78FC">
        <w:tc>
          <w:tcPr>
            <w:tcW w:w="0" w:type="auto"/>
            <w:vAlign w:val="center"/>
          </w:tcPr>
          <w:p w:rsidR="005F78FC" w:rsidRDefault="00B42EF3">
            <w:pPr>
              <w:pStyle w:val="TableBodyText"/>
            </w:pPr>
            <w:r>
              <w:t>52</w:t>
            </w:r>
          </w:p>
        </w:tc>
        <w:tc>
          <w:tcPr>
            <w:tcW w:w="0" w:type="auto"/>
            <w:vAlign w:val="center"/>
          </w:tcPr>
          <w:p w:rsidR="005F78FC" w:rsidRDefault="00B42EF3">
            <w:pPr>
              <w:pStyle w:val="TableBodyText"/>
            </w:pPr>
            <w:r>
              <w:t>US Tabloid Extra 11.69 x 18 in</w:t>
            </w:r>
          </w:p>
        </w:tc>
      </w:tr>
      <w:tr w:rsidR="005F78FC" w:rsidTr="005F78FC">
        <w:tc>
          <w:tcPr>
            <w:tcW w:w="0" w:type="auto"/>
            <w:vAlign w:val="center"/>
          </w:tcPr>
          <w:p w:rsidR="005F78FC" w:rsidRDefault="00B42EF3">
            <w:pPr>
              <w:pStyle w:val="TableBodyText"/>
            </w:pPr>
            <w:r>
              <w:t>53</w:t>
            </w:r>
          </w:p>
        </w:tc>
        <w:tc>
          <w:tcPr>
            <w:tcW w:w="0" w:type="auto"/>
            <w:vAlign w:val="center"/>
          </w:tcPr>
          <w:p w:rsidR="005F78FC" w:rsidRDefault="00B42EF3">
            <w:pPr>
              <w:pStyle w:val="TableBodyText"/>
            </w:pPr>
            <w:r>
              <w:t>A4 Extra 9.27 x 12.69 in</w:t>
            </w:r>
          </w:p>
        </w:tc>
      </w:tr>
      <w:tr w:rsidR="005F78FC" w:rsidTr="005F78FC">
        <w:tc>
          <w:tcPr>
            <w:tcW w:w="0" w:type="auto"/>
            <w:vAlign w:val="center"/>
          </w:tcPr>
          <w:p w:rsidR="005F78FC" w:rsidRDefault="00B42EF3">
            <w:pPr>
              <w:pStyle w:val="TableBodyText"/>
            </w:pPr>
            <w:r>
              <w:t>54</w:t>
            </w:r>
          </w:p>
        </w:tc>
        <w:tc>
          <w:tcPr>
            <w:tcW w:w="0" w:type="auto"/>
            <w:vAlign w:val="center"/>
          </w:tcPr>
          <w:p w:rsidR="005F78FC" w:rsidRDefault="00B42EF3">
            <w:pPr>
              <w:pStyle w:val="TableBodyText"/>
            </w:pPr>
            <w:r>
              <w:t xml:space="preserve">Letter Transverse 8 \275 x 11 in </w:t>
            </w:r>
          </w:p>
        </w:tc>
      </w:tr>
      <w:tr w:rsidR="005F78FC" w:rsidTr="005F78FC">
        <w:tc>
          <w:tcPr>
            <w:tcW w:w="0" w:type="auto"/>
            <w:vAlign w:val="center"/>
          </w:tcPr>
          <w:p w:rsidR="005F78FC" w:rsidRDefault="00B42EF3">
            <w:pPr>
              <w:pStyle w:val="TableBodyText"/>
            </w:pPr>
            <w:r>
              <w:t>55</w:t>
            </w:r>
          </w:p>
        </w:tc>
        <w:tc>
          <w:tcPr>
            <w:tcW w:w="0" w:type="auto"/>
            <w:vAlign w:val="center"/>
          </w:tcPr>
          <w:p w:rsidR="005F78FC" w:rsidRDefault="00B42EF3">
            <w:pPr>
              <w:pStyle w:val="TableBodyText"/>
            </w:pPr>
            <w:r>
              <w:t>A4 Transverse 210 x 297 mm</w:t>
            </w:r>
          </w:p>
        </w:tc>
      </w:tr>
      <w:tr w:rsidR="005F78FC" w:rsidTr="005F78FC">
        <w:tc>
          <w:tcPr>
            <w:tcW w:w="0" w:type="auto"/>
            <w:vAlign w:val="center"/>
          </w:tcPr>
          <w:p w:rsidR="005F78FC" w:rsidRDefault="00B42EF3">
            <w:pPr>
              <w:pStyle w:val="TableBodyText"/>
            </w:pPr>
            <w:r>
              <w:t>56</w:t>
            </w:r>
          </w:p>
        </w:tc>
        <w:tc>
          <w:tcPr>
            <w:tcW w:w="0" w:type="auto"/>
            <w:vAlign w:val="center"/>
          </w:tcPr>
          <w:p w:rsidR="005F78FC" w:rsidRDefault="00B42EF3">
            <w:pPr>
              <w:pStyle w:val="TableBodyText"/>
            </w:pPr>
            <w:r>
              <w:t>Letter Extra Transverse 9\275 x 12 in</w:t>
            </w:r>
          </w:p>
        </w:tc>
      </w:tr>
      <w:tr w:rsidR="005F78FC" w:rsidTr="005F78FC">
        <w:tc>
          <w:tcPr>
            <w:tcW w:w="0" w:type="auto"/>
            <w:vAlign w:val="center"/>
          </w:tcPr>
          <w:p w:rsidR="005F78FC" w:rsidRDefault="00B42EF3">
            <w:pPr>
              <w:pStyle w:val="TableBodyText"/>
            </w:pPr>
            <w:r>
              <w:t>57</w:t>
            </w:r>
          </w:p>
        </w:tc>
        <w:tc>
          <w:tcPr>
            <w:tcW w:w="0" w:type="auto"/>
            <w:vAlign w:val="center"/>
          </w:tcPr>
          <w:p w:rsidR="005F78FC" w:rsidRDefault="00B42EF3">
            <w:pPr>
              <w:pStyle w:val="TableBodyText"/>
            </w:pPr>
            <w:r>
              <w:t>SuperA/SuperA/A4 227 x 356 mm</w:t>
            </w:r>
          </w:p>
        </w:tc>
      </w:tr>
      <w:tr w:rsidR="005F78FC" w:rsidTr="005F78FC">
        <w:tc>
          <w:tcPr>
            <w:tcW w:w="0" w:type="auto"/>
            <w:vAlign w:val="center"/>
          </w:tcPr>
          <w:p w:rsidR="005F78FC" w:rsidRDefault="00B42EF3">
            <w:pPr>
              <w:pStyle w:val="TableBodyText"/>
            </w:pPr>
            <w:r>
              <w:t>58</w:t>
            </w:r>
          </w:p>
        </w:tc>
        <w:tc>
          <w:tcPr>
            <w:tcW w:w="0" w:type="auto"/>
            <w:vAlign w:val="center"/>
          </w:tcPr>
          <w:p w:rsidR="005F78FC" w:rsidRDefault="00B42EF3">
            <w:pPr>
              <w:pStyle w:val="TableBodyText"/>
            </w:pPr>
            <w:r>
              <w:t>SuperB/SuperB/A3 305 x 487 mm</w:t>
            </w:r>
          </w:p>
        </w:tc>
      </w:tr>
      <w:tr w:rsidR="005F78FC" w:rsidTr="005F78FC">
        <w:tc>
          <w:tcPr>
            <w:tcW w:w="0" w:type="auto"/>
            <w:vAlign w:val="center"/>
          </w:tcPr>
          <w:p w:rsidR="005F78FC" w:rsidRDefault="00B42EF3">
            <w:pPr>
              <w:pStyle w:val="TableBodyText"/>
            </w:pPr>
            <w:r>
              <w:t>59</w:t>
            </w:r>
          </w:p>
        </w:tc>
        <w:tc>
          <w:tcPr>
            <w:tcW w:w="0" w:type="auto"/>
            <w:vAlign w:val="center"/>
          </w:tcPr>
          <w:p w:rsidR="005F78FC" w:rsidRDefault="00B42EF3">
            <w:pPr>
              <w:pStyle w:val="TableBodyText"/>
            </w:pPr>
            <w:r>
              <w:t>US Letter Plus 8.5 x 12.69 in</w:t>
            </w:r>
          </w:p>
        </w:tc>
      </w:tr>
      <w:tr w:rsidR="005F78FC" w:rsidTr="005F78FC">
        <w:tc>
          <w:tcPr>
            <w:tcW w:w="0" w:type="auto"/>
            <w:vAlign w:val="center"/>
          </w:tcPr>
          <w:p w:rsidR="005F78FC" w:rsidRDefault="00B42EF3">
            <w:pPr>
              <w:pStyle w:val="TableBodyText"/>
            </w:pPr>
            <w:r>
              <w:t>60</w:t>
            </w:r>
          </w:p>
        </w:tc>
        <w:tc>
          <w:tcPr>
            <w:tcW w:w="0" w:type="auto"/>
            <w:vAlign w:val="center"/>
          </w:tcPr>
          <w:p w:rsidR="005F78FC" w:rsidRDefault="00B42EF3">
            <w:pPr>
              <w:pStyle w:val="TableBodyText"/>
            </w:pPr>
            <w:r>
              <w:t>A4 Plus 210 x 330 mm</w:t>
            </w:r>
          </w:p>
        </w:tc>
      </w:tr>
      <w:tr w:rsidR="005F78FC" w:rsidTr="005F78FC">
        <w:tc>
          <w:tcPr>
            <w:tcW w:w="0" w:type="auto"/>
            <w:vAlign w:val="center"/>
          </w:tcPr>
          <w:p w:rsidR="005F78FC" w:rsidRDefault="00B42EF3">
            <w:pPr>
              <w:pStyle w:val="TableBodyText"/>
            </w:pPr>
            <w:r>
              <w:lastRenderedPageBreak/>
              <w:t>61</w:t>
            </w:r>
          </w:p>
        </w:tc>
        <w:tc>
          <w:tcPr>
            <w:tcW w:w="0" w:type="auto"/>
            <w:vAlign w:val="center"/>
          </w:tcPr>
          <w:p w:rsidR="005F78FC" w:rsidRDefault="00B42EF3">
            <w:pPr>
              <w:pStyle w:val="TableBodyText"/>
            </w:pPr>
            <w:r>
              <w:t>A5 Transverse 148 x 210 mm</w:t>
            </w:r>
          </w:p>
        </w:tc>
      </w:tr>
      <w:tr w:rsidR="005F78FC" w:rsidTr="005F78FC">
        <w:tc>
          <w:tcPr>
            <w:tcW w:w="0" w:type="auto"/>
            <w:vAlign w:val="center"/>
          </w:tcPr>
          <w:p w:rsidR="005F78FC" w:rsidRDefault="00B42EF3">
            <w:pPr>
              <w:pStyle w:val="TableBodyText"/>
            </w:pPr>
            <w:r>
              <w:t>62</w:t>
            </w:r>
          </w:p>
        </w:tc>
        <w:tc>
          <w:tcPr>
            <w:tcW w:w="0" w:type="auto"/>
            <w:vAlign w:val="center"/>
          </w:tcPr>
          <w:p w:rsidR="005F78FC" w:rsidRDefault="00B42EF3">
            <w:pPr>
              <w:pStyle w:val="TableBodyText"/>
            </w:pPr>
            <w:r>
              <w:t>B5 (JIS) Transverse 182 x 257 mm</w:t>
            </w:r>
          </w:p>
        </w:tc>
      </w:tr>
      <w:tr w:rsidR="005F78FC" w:rsidTr="005F78FC">
        <w:tc>
          <w:tcPr>
            <w:tcW w:w="0" w:type="auto"/>
            <w:vAlign w:val="center"/>
          </w:tcPr>
          <w:p w:rsidR="005F78FC" w:rsidRDefault="00B42EF3">
            <w:pPr>
              <w:pStyle w:val="TableBodyText"/>
            </w:pPr>
            <w:r>
              <w:t>63</w:t>
            </w:r>
          </w:p>
        </w:tc>
        <w:tc>
          <w:tcPr>
            <w:tcW w:w="0" w:type="auto"/>
            <w:vAlign w:val="center"/>
          </w:tcPr>
          <w:p w:rsidR="005F78FC" w:rsidRDefault="00B42EF3">
            <w:pPr>
              <w:pStyle w:val="TableBodyText"/>
            </w:pPr>
            <w:r>
              <w:t>A3 Extra 322 x 445 mm</w:t>
            </w:r>
          </w:p>
        </w:tc>
      </w:tr>
      <w:tr w:rsidR="005F78FC" w:rsidTr="005F78FC">
        <w:tc>
          <w:tcPr>
            <w:tcW w:w="0" w:type="auto"/>
            <w:vAlign w:val="center"/>
          </w:tcPr>
          <w:p w:rsidR="005F78FC" w:rsidRDefault="00B42EF3">
            <w:pPr>
              <w:pStyle w:val="TableBodyText"/>
            </w:pPr>
            <w:r>
              <w:t>64</w:t>
            </w:r>
          </w:p>
        </w:tc>
        <w:tc>
          <w:tcPr>
            <w:tcW w:w="0" w:type="auto"/>
            <w:vAlign w:val="center"/>
          </w:tcPr>
          <w:p w:rsidR="005F78FC" w:rsidRDefault="00B42EF3">
            <w:pPr>
              <w:pStyle w:val="TableBodyText"/>
            </w:pPr>
            <w:r>
              <w:t>A5 Extra 174 x 235 mm</w:t>
            </w:r>
          </w:p>
        </w:tc>
      </w:tr>
      <w:tr w:rsidR="005F78FC" w:rsidTr="005F78FC">
        <w:tc>
          <w:tcPr>
            <w:tcW w:w="0" w:type="auto"/>
            <w:vAlign w:val="center"/>
          </w:tcPr>
          <w:p w:rsidR="005F78FC" w:rsidRDefault="00B42EF3">
            <w:pPr>
              <w:pStyle w:val="TableBodyText"/>
            </w:pPr>
            <w:r>
              <w:t>65</w:t>
            </w:r>
          </w:p>
        </w:tc>
        <w:tc>
          <w:tcPr>
            <w:tcW w:w="0" w:type="auto"/>
            <w:vAlign w:val="center"/>
          </w:tcPr>
          <w:p w:rsidR="005F78FC" w:rsidRDefault="00B42EF3">
            <w:pPr>
              <w:pStyle w:val="TableBodyText"/>
            </w:pPr>
            <w:r>
              <w:t xml:space="preserve">B5 (ISO) </w:t>
            </w:r>
            <w:r>
              <w:t>Extra 201 x 276 mm</w:t>
            </w:r>
          </w:p>
        </w:tc>
      </w:tr>
      <w:tr w:rsidR="005F78FC" w:rsidTr="005F78FC">
        <w:tc>
          <w:tcPr>
            <w:tcW w:w="0" w:type="auto"/>
            <w:vAlign w:val="center"/>
          </w:tcPr>
          <w:p w:rsidR="005F78FC" w:rsidRDefault="00B42EF3">
            <w:pPr>
              <w:pStyle w:val="TableBodyText"/>
            </w:pPr>
            <w:r>
              <w:t>66</w:t>
            </w:r>
          </w:p>
        </w:tc>
        <w:tc>
          <w:tcPr>
            <w:tcW w:w="0" w:type="auto"/>
            <w:vAlign w:val="center"/>
          </w:tcPr>
          <w:p w:rsidR="005F78FC" w:rsidRDefault="00B42EF3">
            <w:pPr>
              <w:pStyle w:val="TableBodyText"/>
            </w:pPr>
            <w:r>
              <w:t>A2 420 x 594 mm</w:t>
            </w:r>
          </w:p>
        </w:tc>
      </w:tr>
      <w:tr w:rsidR="005F78FC" w:rsidTr="005F78FC">
        <w:tc>
          <w:tcPr>
            <w:tcW w:w="0" w:type="auto"/>
            <w:vAlign w:val="center"/>
          </w:tcPr>
          <w:p w:rsidR="005F78FC" w:rsidRDefault="00B42EF3">
            <w:pPr>
              <w:pStyle w:val="TableBodyText"/>
            </w:pPr>
            <w:r>
              <w:t>67</w:t>
            </w:r>
          </w:p>
        </w:tc>
        <w:tc>
          <w:tcPr>
            <w:tcW w:w="0" w:type="auto"/>
            <w:vAlign w:val="center"/>
          </w:tcPr>
          <w:p w:rsidR="005F78FC" w:rsidRDefault="00B42EF3">
            <w:pPr>
              <w:pStyle w:val="TableBodyText"/>
            </w:pPr>
            <w:r>
              <w:t>A3 Transverse 297 x 420 mm</w:t>
            </w:r>
          </w:p>
        </w:tc>
      </w:tr>
      <w:tr w:rsidR="005F78FC" w:rsidTr="005F78FC">
        <w:tc>
          <w:tcPr>
            <w:tcW w:w="0" w:type="auto"/>
            <w:vAlign w:val="center"/>
          </w:tcPr>
          <w:p w:rsidR="005F78FC" w:rsidRDefault="00B42EF3">
            <w:pPr>
              <w:pStyle w:val="TableBodyText"/>
            </w:pPr>
            <w:r>
              <w:t>68</w:t>
            </w:r>
          </w:p>
        </w:tc>
        <w:tc>
          <w:tcPr>
            <w:tcW w:w="0" w:type="auto"/>
            <w:vAlign w:val="center"/>
          </w:tcPr>
          <w:p w:rsidR="005F78FC" w:rsidRDefault="00B42EF3">
            <w:pPr>
              <w:pStyle w:val="TableBodyText"/>
            </w:pPr>
            <w:r>
              <w:t xml:space="preserve">A3 Extra Transverse 322 x 445 mm </w:t>
            </w:r>
          </w:p>
        </w:tc>
      </w:tr>
      <w:tr w:rsidR="005F78FC" w:rsidTr="005F78FC">
        <w:tc>
          <w:tcPr>
            <w:tcW w:w="0" w:type="auto"/>
            <w:vAlign w:val="center"/>
          </w:tcPr>
          <w:p w:rsidR="005F78FC" w:rsidRDefault="00B42EF3">
            <w:pPr>
              <w:pStyle w:val="TableBodyText"/>
            </w:pPr>
            <w:r>
              <w:t>69</w:t>
            </w:r>
          </w:p>
        </w:tc>
        <w:tc>
          <w:tcPr>
            <w:tcW w:w="0" w:type="auto"/>
            <w:vAlign w:val="center"/>
          </w:tcPr>
          <w:p w:rsidR="005F78FC" w:rsidRDefault="00B42EF3">
            <w:pPr>
              <w:pStyle w:val="TableBodyText"/>
            </w:pPr>
            <w:r>
              <w:t>Japanese Double Postcard 200 x 148 mm</w:t>
            </w:r>
          </w:p>
        </w:tc>
      </w:tr>
      <w:tr w:rsidR="005F78FC" w:rsidTr="005F78FC">
        <w:tc>
          <w:tcPr>
            <w:tcW w:w="0" w:type="auto"/>
            <w:vAlign w:val="center"/>
          </w:tcPr>
          <w:p w:rsidR="005F78FC" w:rsidRDefault="00B42EF3">
            <w:pPr>
              <w:pStyle w:val="TableBodyText"/>
            </w:pPr>
            <w:r>
              <w:t>70</w:t>
            </w:r>
          </w:p>
        </w:tc>
        <w:tc>
          <w:tcPr>
            <w:tcW w:w="0" w:type="auto"/>
            <w:vAlign w:val="center"/>
          </w:tcPr>
          <w:p w:rsidR="005F78FC" w:rsidRDefault="00B42EF3">
            <w:pPr>
              <w:pStyle w:val="TableBodyText"/>
            </w:pPr>
            <w:r>
              <w:t>A6 105 x 148 mm</w:t>
            </w:r>
          </w:p>
        </w:tc>
      </w:tr>
      <w:tr w:rsidR="005F78FC" w:rsidTr="005F78FC">
        <w:tc>
          <w:tcPr>
            <w:tcW w:w="0" w:type="auto"/>
            <w:vAlign w:val="center"/>
          </w:tcPr>
          <w:p w:rsidR="005F78FC" w:rsidRDefault="00B42EF3">
            <w:pPr>
              <w:pStyle w:val="TableBodyText"/>
            </w:pPr>
            <w:r>
              <w:t>71</w:t>
            </w:r>
          </w:p>
        </w:tc>
        <w:tc>
          <w:tcPr>
            <w:tcW w:w="0" w:type="auto"/>
            <w:vAlign w:val="center"/>
          </w:tcPr>
          <w:p w:rsidR="005F78FC" w:rsidRDefault="00B42EF3">
            <w:pPr>
              <w:pStyle w:val="TableBodyText"/>
            </w:pPr>
            <w:r>
              <w:t>Japanese Envelope Kaku #2</w:t>
            </w:r>
          </w:p>
        </w:tc>
      </w:tr>
      <w:tr w:rsidR="005F78FC" w:rsidTr="005F78FC">
        <w:tc>
          <w:tcPr>
            <w:tcW w:w="0" w:type="auto"/>
            <w:vAlign w:val="center"/>
          </w:tcPr>
          <w:p w:rsidR="005F78FC" w:rsidRDefault="00B42EF3">
            <w:pPr>
              <w:pStyle w:val="TableBodyText"/>
            </w:pPr>
            <w:r>
              <w:t xml:space="preserve">72 </w:t>
            </w:r>
          </w:p>
        </w:tc>
        <w:tc>
          <w:tcPr>
            <w:tcW w:w="0" w:type="auto"/>
            <w:vAlign w:val="center"/>
          </w:tcPr>
          <w:p w:rsidR="005F78FC" w:rsidRDefault="00B42EF3">
            <w:pPr>
              <w:pStyle w:val="TableBodyText"/>
            </w:pPr>
            <w:r>
              <w:t>Japanese Envelope Kaku #3</w:t>
            </w:r>
          </w:p>
        </w:tc>
      </w:tr>
      <w:tr w:rsidR="005F78FC" w:rsidTr="005F78FC">
        <w:tc>
          <w:tcPr>
            <w:tcW w:w="0" w:type="auto"/>
            <w:vAlign w:val="center"/>
          </w:tcPr>
          <w:p w:rsidR="005F78FC" w:rsidRDefault="00B42EF3">
            <w:pPr>
              <w:pStyle w:val="TableBodyText"/>
            </w:pPr>
            <w:r>
              <w:t>73</w:t>
            </w:r>
          </w:p>
        </w:tc>
        <w:tc>
          <w:tcPr>
            <w:tcW w:w="0" w:type="auto"/>
            <w:vAlign w:val="center"/>
          </w:tcPr>
          <w:p w:rsidR="005F78FC" w:rsidRDefault="00B42EF3">
            <w:pPr>
              <w:pStyle w:val="TableBodyText"/>
            </w:pPr>
            <w:r>
              <w:t xml:space="preserve">Japanese Envelope </w:t>
            </w:r>
            <w:r>
              <w:t>Chou #3</w:t>
            </w:r>
          </w:p>
        </w:tc>
      </w:tr>
      <w:tr w:rsidR="005F78FC" w:rsidTr="005F78FC">
        <w:tc>
          <w:tcPr>
            <w:tcW w:w="0" w:type="auto"/>
            <w:vAlign w:val="center"/>
          </w:tcPr>
          <w:p w:rsidR="005F78FC" w:rsidRDefault="00B42EF3">
            <w:pPr>
              <w:pStyle w:val="TableBodyText"/>
            </w:pPr>
            <w:r>
              <w:t>74</w:t>
            </w:r>
          </w:p>
        </w:tc>
        <w:tc>
          <w:tcPr>
            <w:tcW w:w="0" w:type="auto"/>
            <w:vAlign w:val="center"/>
          </w:tcPr>
          <w:p w:rsidR="005F78FC" w:rsidRDefault="00B42EF3">
            <w:pPr>
              <w:pStyle w:val="TableBodyText"/>
            </w:pPr>
            <w:r>
              <w:t>Japanese Envelope Chou #4</w:t>
            </w:r>
          </w:p>
        </w:tc>
      </w:tr>
      <w:tr w:rsidR="005F78FC" w:rsidTr="005F78FC">
        <w:tc>
          <w:tcPr>
            <w:tcW w:w="0" w:type="auto"/>
            <w:vAlign w:val="center"/>
          </w:tcPr>
          <w:p w:rsidR="005F78FC" w:rsidRDefault="00B42EF3">
            <w:pPr>
              <w:pStyle w:val="TableBodyText"/>
            </w:pPr>
            <w:r>
              <w:t>75</w:t>
            </w:r>
          </w:p>
        </w:tc>
        <w:tc>
          <w:tcPr>
            <w:tcW w:w="0" w:type="auto"/>
            <w:vAlign w:val="center"/>
          </w:tcPr>
          <w:p w:rsidR="005F78FC" w:rsidRDefault="00B42EF3">
            <w:pPr>
              <w:pStyle w:val="TableBodyText"/>
            </w:pPr>
            <w:r>
              <w:t>Letter Rotated 11 x 8 1/2 11 in</w:t>
            </w:r>
          </w:p>
        </w:tc>
      </w:tr>
      <w:tr w:rsidR="005F78FC" w:rsidTr="005F78FC">
        <w:tc>
          <w:tcPr>
            <w:tcW w:w="0" w:type="auto"/>
            <w:vAlign w:val="center"/>
          </w:tcPr>
          <w:p w:rsidR="005F78FC" w:rsidRDefault="00B42EF3">
            <w:pPr>
              <w:pStyle w:val="TableBodyText"/>
            </w:pPr>
            <w:r>
              <w:t>76</w:t>
            </w:r>
          </w:p>
        </w:tc>
        <w:tc>
          <w:tcPr>
            <w:tcW w:w="0" w:type="auto"/>
            <w:vAlign w:val="center"/>
          </w:tcPr>
          <w:p w:rsidR="005F78FC" w:rsidRDefault="00B42EF3">
            <w:pPr>
              <w:pStyle w:val="TableBodyText"/>
            </w:pPr>
            <w:r>
              <w:t>A3 Rotated 420 x 297 mm</w:t>
            </w:r>
          </w:p>
        </w:tc>
      </w:tr>
      <w:tr w:rsidR="005F78FC" w:rsidTr="005F78FC">
        <w:tc>
          <w:tcPr>
            <w:tcW w:w="0" w:type="auto"/>
            <w:vAlign w:val="center"/>
          </w:tcPr>
          <w:p w:rsidR="005F78FC" w:rsidRDefault="00B42EF3">
            <w:pPr>
              <w:pStyle w:val="TableBodyText"/>
            </w:pPr>
            <w:r>
              <w:t>77</w:t>
            </w:r>
          </w:p>
        </w:tc>
        <w:tc>
          <w:tcPr>
            <w:tcW w:w="0" w:type="auto"/>
            <w:vAlign w:val="center"/>
          </w:tcPr>
          <w:p w:rsidR="005F78FC" w:rsidRDefault="00B42EF3">
            <w:pPr>
              <w:pStyle w:val="TableBodyText"/>
            </w:pPr>
            <w:r>
              <w:t>A4 Rotated 297 x 210 mm</w:t>
            </w:r>
          </w:p>
        </w:tc>
      </w:tr>
      <w:tr w:rsidR="005F78FC" w:rsidTr="005F78FC">
        <w:tc>
          <w:tcPr>
            <w:tcW w:w="0" w:type="auto"/>
            <w:vAlign w:val="center"/>
          </w:tcPr>
          <w:p w:rsidR="005F78FC" w:rsidRDefault="00B42EF3">
            <w:pPr>
              <w:pStyle w:val="TableBodyText"/>
            </w:pPr>
            <w:r>
              <w:t>78</w:t>
            </w:r>
          </w:p>
        </w:tc>
        <w:tc>
          <w:tcPr>
            <w:tcW w:w="0" w:type="auto"/>
            <w:vAlign w:val="center"/>
          </w:tcPr>
          <w:p w:rsidR="005F78FC" w:rsidRDefault="00B42EF3">
            <w:pPr>
              <w:pStyle w:val="TableBodyText"/>
            </w:pPr>
            <w:r>
              <w:t>A5 Rotated 210 x 148 mm</w:t>
            </w:r>
          </w:p>
        </w:tc>
      </w:tr>
      <w:tr w:rsidR="005F78FC" w:rsidTr="005F78FC">
        <w:tc>
          <w:tcPr>
            <w:tcW w:w="0" w:type="auto"/>
            <w:vAlign w:val="center"/>
          </w:tcPr>
          <w:p w:rsidR="005F78FC" w:rsidRDefault="00B42EF3">
            <w:pPr>
              <w:pStyle w:val="TableBodyText"/>
            </w:pPr>
            <w:r>
              <w:t>79</w:t>
            </w:r>
          </w:p>
        </w:tc>
        <w:tc>
          <w:tcPr>
            <w:tcW w:w="0" w:type="auto"/>
            <w:vAlign w:val="center"/>
          </w:tcPr>
          <w:p w:rsidR="005F78FC" w:rsidRDefault="00B42EF3">
            <w:pPr>
              <w:pStyle w:val="TableBodyText"/>
            </w:pPr>
            <w:r>
              <w:t>B4 (JIS) Rotated 364 x 257 mm</w:t>
            </w:r>
          </w:p>
        </w:tc>
      </w:tr>
      <w:tr w:rsidR="005F78FC" w:rsidTr="005F78FC">
        <w:tc>
          <w:tcPr>
            <w:tcW w:w="0" w:type="auto"/>
            <w:vAlign w:val="center"/>
          </w:tcPr>
          <w:p w:rsidR="005F78FC" w:rsidRDefault="00B42EF3">
            <w:pPr>
              <w:pStyle w:val="TableBodyText"/>
            </w:pPr>
            <w:r>
              <w:t>80</w:t>
            </w:r>
          </w:p>
        </w:tc>
        <w:tc>
          <w:tcPr>
            <w:tcW w:w="0" w:type="auto"/>
            <w:vAlign w:val="center"/>
          </w:tcPr>
          <w:p w:rsidR="005F78FC" w:rsidRDefault="00B42EF3">
            <w:pPr>
              <w:pStyle w:val="TableBodyText"/>
            </w:pPr>
            <w:r>
              <w:t>B5 (JIS) Rotated 257 x 182 mm</w:t>
            </w:r>
          </w:p>
        </w:tc>
      </w:tr>
      <w:tr w:rsidR="005F78FC" w:rsidTr="005F78FC">
        <w:tc>
          <w:tcPr>
            <w:tcW w:w="0" w:type="auto"/>
            <w:vAlign w:val="center"/>
          </w:tcPr>
          <w:p w:rsidR="005F78FC" w:rsidRDefault="00B42EF3">
            <w:pPr>
              <w:pStyle w:val="TableBodyText"/>
            </w:pPr>
            <w:r>
              <w:t>81</w:t>
            </w:r>
          </w:p>
        </w:tc>
        <w:tc>
          <w:tcPr>
            <w:tcW w:w="0" w:type="auto"/>
            <w:vAlign w:val="center"/>
          </w:tcPr>
          <w:p w:rsidR="005F78FC" w:rsidRDefault="00B42EF3">
            <w:pPr>
              <w:pStyle w:val="TableBodyText"/>
            </w:pPr>
            <w:r>
              <w:t xml:space="preserve">Japanese Postcard Rotated </w:t>
            </w:r>
            <w:r>
              <w:t>148 x 100 mm</w:t>
            </w:r>
          </w:p>
        </w:tc>
      </w:tr>
      <w:tr w:rsidR="005F78FC" w:rsidTr="005F78FC">
        <w:tc>
          <w:tcPr>
            <w:tcW w:w="0" w:type="auto"/>
            <w:vAlign w:val="center"/>
          </w:tcPr>
          <w:p w:rsidR="005F78FC" w:rsidRDefault="00B42EF3">
            <w:pPr>
              <w:pStyle w:val="TableBodyText"/>
            </w:pPr>
            <w:r>
              <w:t>82</w:t>
            </w:r>
          </w:p>
        </w:tc>
        <w:tc>
          <w:tcPr>
            <w:tcW w:w="0" w:type="auto"/>
            <w:vAlign w:val="center"/>
          </w:tcPr>
          <w:p w:rsidR="005F78FC" w:rsidRDefault="00B42EF3">
            <w:pPr>
              <w:pStyle w:val="TableBodyText"/>
            </w:pPr>
            <w:r>
              <w:t>Double Japanese Postcard Rotated 148 x 200 mm</w:t>
            </w:r>
          </w:p>
        </w:tc>
      </w:tr>
      <w:tr w:rsidR="005F78FC" w:rsidTr="005F78FC">
        <w:tc>
          <w:tcPr>
            <w:tcW w:w="0" w:type="auto"/>
            <w:vAlign w:val="center"/>
          </w:tcPr>
          <w:p w:rsidR="005F78FC" w:rsidRDefault="00B42EF3">
            <w:pPr>
              <w:pStyle w:val="TableBodyText"/>
            </w:pPr>
            <w:r>
              <w:t>83</w:t>
            </w:r>
          </w:p>
        </w:tc>
        <w:tc>
          <w:tcPr>
            <w:tcW w:w="0" w:type="auto"/>
            <w:vAlign w:val="center"/>
          </w:tcPr>
          <w:p w:rsidR="005F78FC" w:rsidRDefault="00B42EF3">
            <w:pPr>
              <w:pStyle w:val="TableBodyText"/>
            </w:pPr>
            <w:r>
              <w:t>A6 Rotated 148 x 105 mm</w:t>
            </w:r>
          </w:p>
        </w:tc>
      </w:tr>
      <w:tr w:rsidR="005F78FC" w:rsidTr="005F78FC">
        <w:tc>
          <w:tcPr>
            <w:tcW w:w="0" w:type="auto"/>
            <w:vAlign w:val="center"/>
          </w:tcPr>
          <w:p w:rsidR="005F78FC" w:rsidRDefault="00B42EF3">
            <w:pPr>
              <w:pStyle w:val="TableBodyText"/>
            </w:pPr>
            <w:r>
              <w:t>84</w:t>
            </w:r>
          </w:p>
        </w:tc>
        <w:tc>
          <w:tcPr>
            <w:tcW w:w="0" w:type="auto"/>
            <w:vAlign w:val="center"/>
          </w:tcPr>
          <w:p w:rsidR="005F78FC" w:rsidRDefault="00B42EF3">
            <w:pPr>
              <w:pStyle w:val="TableBodyText"/>
            </w:pPr>
            <w:r>
              <w:t>Japanese Envelope Kaku #2 Rotated</w:t>
            </w:r>
          </w:p>
        </w:tc>
      </w:tr>
      <w:tr w:rsidR="005F78FC" w:rsidTr="005F78FC">
        <w:tc>
          <w:tcPr>
            <w:tcW w:w="0" w:type="auto"/>
            <w:vAlign w:val="center"/>
          </w:tcPr>
          <w:p w:rsidR="005F78FC" w:rsidRDefault="00B42EF3">
            <w:pPr>
              <w:pStyle w:val="TableBodyText"/>
            </w:pPr>
            <w:r>
              <w:t>85</w:t>
            </w:r>
          </w:p>
        </w:tc>
        <w:tc>
          <w:tcPr>
            <w:tcW w:w="0" w:type="auto"/>
            <w:vAlign w:val="center"/>
          </w:tcPr>
          <w:p w:rsidR="005F78FC" w:rsidRDefault="00B42EF3">
            <w:pPr>
              <w:pStyle w:val="TableBodyText"/>
            </w:pPr>
            <w:r>
              <w:t>Japanese Envelope Kaku #3 Rotated</w:t>
            </w:r>
          </w:p>
        </w:tc>
      </w:tr>
      <w:tr w:rsidR="005F78FC" w:rsidTr="005F78FC">
        <w:tc>
          <w:tcPr>
            <w:tcW w:w="0" w:type="auto"/>
            <w:vAlign w:val="center"/>
          </w:tcPr>
          <w:p w:rsidR="005F78FC" w:rsidRDefault="00B42EF3">
            <w:pPr>
              <w:pStyle w:val="TableBodyText"/>
            </w:pPr>
            <w:r>
              <w:t>86</w:t>
            </w:r>
          </w:p>
        </w:tc>
        <w:tc>
          <w:tcPr>
            <w:tcW w:w="0" w:type="auto"/>
            <w:vAlign w:val="center"/>
          </w:tcPr>
          <w:p w:rsidR="005F78FC" w:rsidRDefault="00B42EF3">
            <w:pPr>
              <w:pStyle w:val="TableBodyText"/>
            </w:pPr>
            <w:r>
              <w:t>Japanese Envelope Chou #3 Rotated</w:t>
            </w:r>
          </w:p>
        </w:tc>
      </w:tr>
      <w:tr w:rsidR="005F78FC" w:rsidTr="005F78FC">
        <w:tc>
          <w:tcPr>
            <w:tcW w:w="0" w:type="auto"/>
            <w:vAlign w:val="center"/>
          </w:tcPr>
          <w:p w:rsidR="005F78FC" w:rsidRDefault="00B42EF3">
            <w:pPr>
              <w:pStyle w:val="TableBodyText"/>
            </w:pPr>
            <w:r>
              <w:t>87</w:t>
            </w:r>
          </w:p>
        </w:tc>
        <w:tc>
          <w:tcPr>
            <w:tcW w:w="0" w:type="auto"/>
            <w:vAlign w:val="center"/>
          </w:tcPr>
          <w:p w:rsidR="005F78FC" w:rsidRDefault="00B42EF3">
            <w:pPr>
              <w:pStyle w:val="TableBodyText"/>
            </w:pPr>
            <w:r>
              <w:t>Japanese Envelope Chou #4 Rotated</w:t>
            </w:r>
          </w:p>
        </w:tc>
      </w:tr>
      <w:tr w:rsidR="005F78FC" w:rsidTr="005F78FC">
        <w:tc>
          <w:tcPr>
            <w:tcW w:w="0" w:type="auto"/>
            <w:vAlign w:val="center"/>
          </w:tcPr>
          <w:p w:rsidR="005F78FC" w:rsidRDefault="00B42EF3">
            <w:pPr>
              <w:pStyle w:val="TableBodyText"/>
            </w:pPr>
            <w:r>
              <w:t>88</w:t>
            </w:r>
          </w:p>
        </w:tc>
        <w:tc>
          <w:tcPr>
            <w:tcW w:w="0" w:type="auto"/>
            <w:vAlign w:val="center"/>
          </w:tcPr>
          <w:p w:rsidR="005F78FC" w:rsidRDefault="00B42EF3">
            <w:pPr>
              <w:pStyle w:val="TableBodyText"/>
            </w:pPr>
            <w:r>
              <w:t xml:space="preserve">B6 (JIS) </w:t>
            </w:r>
            <w:r>
              <w:t>128 x 182 mm</w:t>
            </w:r>
          </w:p>
        </w:tc>
      </w:tr>
      <w:tr w:rsidR="005F78FC" w:rsidTr="005F78FC">
        <w:tc>
          <w:tcPr>
            <w:tcW w:w="0" w:type="auto"/>
            <w:vAlign w:val="center"/>
          </w:tcPr>
          <w:p w:rsidR="005F78FC" w:rsidRDefault="00B42EF3">
            <w:pPr>
              <w:pStyle w:val="TableBodyText"/>
            </w:pPr>
            <w:r>
              <w:t>89</w:t>
            </w:r>
          </w:p>
        </w:tc>
        <w:tc>
          <w:tcPr>
            <w:tcW w:w="0" w:type="auto"/>
            <w:vAlign w:val="center"/>
          </w:tcPr>
          <w:p w:rsidR="005F78FC" w:rsidRDefault="00B42EF3">
            <w:pPr>
              <w:pStyle w:val="TableBodyText"/>
            </w:pPr>
            <w:r>
              <w:t>B6 (JIS) Rotated 182 x 128 mm</w:t>
            </w:r>
          </w:p>
        </w:tc>
      </w:tr>
      <w:tr w:rsidR="005F78FC" w:rsidTr="005F78FC">
        <w:tc>
          <w:tcPr>
            <w:tcW w:w="0" w:type="auto"/>
            <w:vAlign w:val="center"/>
          </w:tcPr>
          <w:p w:rsidR="005F78FC" w:rsidRDefault="00B42EF3">
            <w:pPr>
              <w:pStyle w:val="TableBodyText"/>
            </w:pPr>
            <w:r>
              <w:t>90</w:t>
            </w:r>
          </w:p>
        </w:tc>
        <w:tc>
          <w:tcPr>
            <w:tcW w:w="0" w:type="auto"/>
            <w:vAlign w:val="center"/>
          </w:tcPr>
          <w:p w:rsidR="005F78FC" w:rsidRDefault="00B42EF3">
            <w:pPr>
              <w:pStyle w:val="TableBodyText"/>
            </w:pPr>
            <w:r>
              <w:t>12 x 11 in</w:t>
            </w:r>
          </w:p>
        </w:tc>
      </w:tr>
      <w:tr w:rsidR="005F78FC" w:rsidTr="005F78FC">
        <w:tc>
          <w:tcPr>
            <w:tcW w:w="0" w:type="auto"/>
            <w:vAlign w:val="center"/>
          </w:tcPr>
          <w:p w:rsidR="005F78FC" w:rsidRDefault="00B42EF3">
            <w:pPr>
              <w:pStyle w:val="TableBodyText"/>
            </w:pPr>
            <w:r>
              <w:t>91</w:t>
            </w:r>
          </w:p>
        </w:tc>
        <w:tc>
          <w:tcPr>
            <w:tcW w:w="0" w:type="auto"/>
            <w:vAlign w:val="center"/>
          </w:tcPr>
          <w:p w:rsidR="005F78FC" w:rsidRDefault="00B42EF3">
            <w:pPr>
              <w:pStyle w:val="TableBodyText"/>
            </w:pPr>
            <w:r>
              <w:t>Japanese Envelope You #4</w:t>
            </w:r>
          </w:p>
        </w:tc>
      </w:tr>
      <w:tr w:rsidR="005F78FC" w:rsidTr="005F78FC">
        <w:tc>
          <w:tcPr>
            <w:tcW w:w="0" w:type="auto"/>
            <w:vAlign w:val="center"/>
          </w:tcPr>
          <w:p w:rsidR="005F78FC" w:rsidRDefault="00B42EF3">
            <w:pPr>
              <w:pStyle w:val="TableBodyText"/>
            </w:pPr>
            <w:r>
              <w:t>92</w:t>
            </w:r>
          </w:p>
        </w:tc>
        <w:tc>
          <w:tcPr>
            <w:tcW w:w="0" w:type="auto"/>
            <w:vAlign w:val="center"/>
          </w:tcPr>
          <w:p w:rsidR="005F78FC" w:rsidRDefault="00B42EF3">
            <w:pPr>
              <w:pStyle w:val="TableBodyText"/>
            </w:pPr>
            <w:r>
              <w:t>Japanese Envelope You #4 Rotated</w:t>
            </w:r>
          </w:p>
        </w:tc>
      </w:tr>
      <w:tr w:rsidR="005F78FC" w:rsidTr="005F78FC">
        <w:tc>
          <w:tcPr>
            <w:tcW w:w="0" w:type="auto"/>
            <w:vAlign w:val="center"/>
          </w:tcPr>
          <w:p w:rsidR="005F78FC" w:rsidRDefault="00B42EF3">
            <w:pPr>
              <w:pStyle w:val="TableBodyText"/>
            </w:pPr>
            <w:r>
              <w:lastRenderedPageBreak/>
              <w:t>93</w:t>
            </w:r>
          </w:p>
        </w:tc>
        <w:tc>
          <w:tcPr>
            <w:tcW w:w="0" w:type="auto"/>
            <w:vAlign w:val="center"/>
          </w:tcPr>
          <w:p w:rsidR="005F78FC" w:rsidRDefault="00B42EF3">
            <w:pPr>
              <w:pStyle w:val="TableBodyText"/>
            </w:pPr>
            <w:r>
              <w:t>PRC 16K 146 x 215 mm</w:t>
            </w:r>
          </w:p>
        </w:tc>
      </w:tr>
      <w:tr w:rsidR="005F78FC" w:rsidTr="005F78FC">
        <w:tc>
          <w:tcPr>
            <w:tcW w:w="0" w:type="auto"/>
            <w:vAlign w:val="center"/>
          </w:tcPr>
          <w:p w:rsidR="005F78FC" w:rsidRDefault="00B42EF3">
            <w:pPr>
              <w:pStyle w:val="TableBodyText"/>
            </w:pPr>
            <w:r>
              <w:t>94</w:t>
            </w:r>
          </w:p>
        </w:tc>
        <w:tc>
          <w:tcPr>
            <w:tcW w:w="0" w:type="auto"/>
            <w:vAlign w:val="center"/>
          </w:tcPr>
          <w:p w:rsidR="005F78FC" w:rsidRDefault="00B42EF3">
            <w:pPr>
              <w:pStyle w:val="TableBodyText"/>
            </w:pPr>
            <w:r>
              <w:t>PRC 32K 97 x 151 mm</w:t>
            </w:r>
          </w:p>
        </w:tc>
      </w:tr>
      <w:tr w:rsidR="005F78FC" w:rsidTr="005F78FC">
        <w:tc>
          <w:tcPr>
            <w:tcW w:w="0" w:type="auto"/>
            <w:vAlign w:val="center"/>
          </w:tcPr>
          <w:p w:rsidR="005F78FC" w:rsidRDefault="00B42EF3">
            <w:pPr>
              <w:pStyle w:val="TableBodyText"/>
            </w:pPr>
            <w:r>
              <w:t>95</w:t>
            </w:r>
          </w:p>
        </w:tc>
        <w:tc>
          <w:tcPr>
            <w:tcW w:w="0" w:type="auto"/>
            <w:vAlign w:val="center"/>
          </w:tcPr>
          <w:p w:rsidR="005F78FC" w:rsidRDefault="00B42EF3">
            <w:pPr>
              <w:pStyle w:val="TableBodyText"/>
            </w:pPr>
            <w:r>
              <w:t>PRC 32K(Big) 97 x 151 mm</w:t>
            </w:r>
          </w:p>
        </w:tc>
      </w:tr>
      <w:tr w:rsidR="005F78FC" w:rsidTr="005F78FC">
        <w:tc>
          <w:tcPr>
            <w:tcW w:w="0" w:type="auto"/>
            <w:vAlign w:val="center"/>
          </w:tcPr>
          <w:p w:rsidR="005F78FC" w:rsidRDefault="00B42EF3">
            <w:pPr>
              <w:pStyle w:val="TableBodyText"/>
            </w:pPr>
            <w:r>
              <w:t>96</w:t>
            </w:r>
          </w:p>
        </w:tc>
        <w:tc>
          <w:tcPr>
            <w:tcW w:w="0" w:type="auto"/>
            <w:vAlign w:val="center"/>
          </w:tcPr>
          <w:p w:rsidR="005F78FC" w:rsidRDefault="00B42EF3">
            <w:pPr>
              <w:pStyle w:val="TableBodyText"/>
            </w:pPr>
            <w:r>
              <w:t>PRC Envelope #1 102 x 165 mm</w:t>
            </w:r>
          </w:p>
        </w:tc>
      </w:tr>
      <w:tr w:rsidR="005F78FC" w:rsidTr="005F78FC">
        <w:tc>
          <w:tcPr>
            <w:tcW w:w="0" w:type="auto"/>
            <w:vAlign w:val="center"/>
          </w:tcPr>
          <w:p w:rsidR="005F78FC" w:rsidRDefault="00B42EF3">
            <w:pPr>
              <w:pStyle w:val="TableBodyText"/>
            </w:pPr>
            <w:r>
              <w:t>97</w:t>
            </w:r>
          </w:p>
        </w:tc>
        <w:tc>
          <w:tcPr>
            <w:tcW w:w="0" w:type="auto"/>
            <w:vAlign w:val="center"/>
          </w:tcPr>
          <w:p w:rsidR="005F78FC" w:rsidRDefault="00B42EF3">
            <w:pPr>
              <w:pStyle w:val="TableBodyText"/>
            </w:pPr>
            <w:r>
              <w:t xml:space="preserve">PRC Envelope </w:t>
            </w:r>
            <w:r>
              <w:t>#2 102 x 176 mm</w:t>
            </w:r>
          </w:p>
        </w:tc>
      </w:tr>
      <w:tr w:rsidR="005F78FC" w:rsidTr="005F78FC">
        <w:tc>
          <w:tcPr>
            <w:tcW w:w="0" w:type="auto"/>
            <w:vAlign w:val="center"/>
          </w:tcPr>
          <w:p w:rsidR="005F78FC" w:rsidRDefault="00B42EF3">
            <w:pPr>
              <w:pStyle w:val="TableBodyText"/>
            </w:pPr>
            <w:r>
              <w:t>98</w:t>
            </w:r>
          </w:p>
        </w:tc>
        <w:tc>
          <w:tcPr>
            <w:tcW w:w="0" w:type="auto"/>
            <w:vAlign w:val="center"/>
          </w:tcPr>
          <w:p w:rsidR="005F78FC" w:rsidRDefault="00B42EF3">
            <w:pPr>
              <w:pStyle w:val="TableBodyText"/>
            </w:pPr>
            <w:r>
              <w:t>PRC Envelope #3 125 x 176 mm</w:t>
            </w:r>
          </w:p>
        </w:tc>
      </w:tr>
      <w:tr w:rsidR="005F78FC" w:rsidTr="005F78FC">
        <w:tc>
          <w:tcPr>
            <w:tcW w:w="0" w:type="auto"/>
            <w:vAlign w:val="center"/>
          </w:tcPr>
          <w:p w:rsidR="005F78FC" w:rsidRDefault="00B42EF3">
            <w:pPr>
              <w:pStyle w:val="TableBodyText"/>
            </w:pPr>
            <w:r>
              <w:t>99</w:t>
            </w:r>
          </w:p>
        </w:tc>
        <w:tc>
          <w:tcPr>
            <w:tcW w:w="0" w:type="auto"/>
            <w:vAlign w:val="center"/>
          </w:tcPr>
          <w:p w:rsidR="005F78FC" w:rsidRDefault="00B42EF3">
            <w:pPr>
              <w:pStyle w:val="TableBodyText"/>
            </w:pPr>
            <w:r>
              <w:t>PRC Envelope #4 110 x 208 mm</w:t>
            </w:r>
          </w:p>
        </w:tc>
      </w:tr>
      <w:tr w:rsidR="005F78FC" w:rsidTr="005F78FC">
        <w:tc>
          <w:tcPr>
            <w:tcW w:w="0" w:type="auto"/>
            <w:vAlign w:val="center"/>
          </w:tcPr>
          <w:p w:rsidR="005F78FC" w:rsidRDefault="00B42EF3">
            <w:pPr>
              <w:pStyle w:val="TableBodyText"/>
            </w:pPr>
            <w:r>
              <w:t>100</w:t>
            </w:r>
          </w:p>
        </w:tc>
        <w:tc>
          <w:tcPr>
            <w:tcW w:w="0" w:type="auto"/>
            <w:vAlign w:val="center"/>
          </w:tcPr>
          <w:p w:rsidR="005F78FC" w:rsidRDefault="00B42EF3">
            <w:pPr>
              <w:pStyle w:val="TableBodyText"/>
            </w:pPr>
            <w:r>
              <w:t>PRC Envelope #5 110 x 220 mm</w:t>
            </w:r>
          </w:p>
        </w:tc>
      </w:tr>
      <w:tr w:rsidR="005F78FC" w:rsidTr="005F78FC">
        <w:tc>
          <w:tcPr>
            <w:tcW w:w="0" w:type="auto"/>
            <w:vAlign w:val="center"/>
          </w:tcPr>
          <w:p w:rsidR="005F78FC" w:rsidRDefault="00B42EF3">
            <w:pPr>
              <w:pStyle w:val="TableBodyText"/>
            </w:pPr>
            <w:r>
              <w:t>101</w:t>
            </w:r>
          </w:p>
        </w:tc>
        <w:tc>
          <w:tcPr>
            <w:tcW w:w="0" w:type="auto"/>
            <w:vAlign w:val="center"/>
          </w:tcPr>
          <w:p w:rsidR="005F78FC" w:rsidRDefault="00B42EF3">
            <w:pPr>
              <w:pStyle w:val="TableBodyText"/>
            </w:pPr>
            <w:r>
              <w:t>PRC Envelope #6 120 x 230 mm</w:t>
            </w:r>
          </w:p>
        </w:tc>
      </w:tr>
      <w:tr w:rsidR="005F78FC" w:rsidTr="005F78FC">
        <w:tc>
          <w:tcPr>
            <w:tcW w:w="0" w:type="auto"/>
            <w:vAlign w:val="center"/>
          </w:tcPr>
          <w:p w:rsidR="005F78FC" w:rsidRDefault="00B42EF3">
            <w:pPr>
              <w:pStyle w:val="TableBodyText"/>
            </w:pPr>
            <w:r>
              <w:t>102</w:t>
            </w:r>
          </w:p>
        </w:tc>
        <w:tc>
          <w:tcPr>
            <w:tcW w:w="0" w:type="auto"/>
            <w:vAlign w:val="center"/>
          </w:tcPr>
          <w:p w:rsidR="005F78FC" w:rsidRDefault="00B42EF3">
            <w:pPr>
              <w:pStyle w:val="TableBodyText"/>
            </w:pPr>
            <w:r>
              <w:t>PRC Envelope #7 160 x 230 mm</w:t>
            </w:r>
          </w:p>
        </w:tc>
      </w:tr>
      <w:tr w:rsidR="005F78FC" w:rsidTr="005F78FC">
        <w:tc>
          <w:tcPr>
            <w:tcW w:w="0" w:type="auto"/>
            <w:vAlign w:val="center"/>
          </w:tcPr>
          <w:p w:rsidR="005F78FC" w:rsidRDefault="00B42EF3">
            <w:pPr>
              <w:pStyle w:val="TableBodyText"/>
            </w:pPr>
            <w:r>
              <w:t>103</w:t>
            </w:r>
          </w:p>
        </w:tc>
        <w:tc>
          <w:tcPr>
            <w:tcW w:w="0" w:type="auto"/>
            <w:vAlign w:val="center"/>
          </w:tcPr>
          <w:p w:rsidR="005F78FC" w:rsidRDefault="00B42EF3">
            <w:pPr>
              <w:pStyle w:val="TableBodyText"/>
            </w:pPr>
            <w:r>
              <w:t>PRC Envelope #8 120 x 309 mm</w:t>
            </w:r>
          </w:p>
        </w:tc>
      </w:tr>
      <w:tr w:rsidR="005F78FC" w:rsidTr="005F78FC">
        <w:tc>
          <w:tcPr>
            <w:tcW w:w="0" w:type="auto"/>
            <w:vAlign w:val="center"/>
          </w:tcPr>
          <w:p w:rsidR="005F78FC" w:rsidRDefault="00B42EF3">
            <w:pPr>
              <w:pStyle w:val="TableBodyText"/>
            </w:pPr>
            <w:r>
              <w:t>104</w:t>
            </w:r>
          </w:p>
        </w:tc>
        <w:tc>
          <w:tcPr>
            <w:tcW w:w="0" w:type="auto"/>
            <w:vAlign w:val="center"/>
          </w:tcPr>
          <w:p w:rsidR="005F78FC" w:rsidRDefault="00B42EF3">
            <w:pPr>
              <w:pStyle w:val="TableBodyText"/>
            </w:pPr>
            <w:r>
              <w:t>PRC Envelope #9 229 x 324 mm</w:t>
            </w:r>
          </w:p>
        </w:tc>
      </w:tr>
      <w:tr w:rsidR="005F78FC" w:rsidTr="005F78FC">
        <w:tc>
          <w:tcPr>
            <w:tcW w:w="0" w:type="auto"/>
            <w:vAlign w:val="center"/>
          </w:tcPr>
          <w:p w:rsidR="005F78FC" w:rsidRDefault="00B42EF3">
            <w:pPr>
              <w:pStyle w:val="TableBodyText"/>
            </w:pPr>
            <w:r>
              <w:t>105</w:t>
            </w:r>
          </w:p>
        </w:tc>
        <w:tc>
          <w:tcPr>
            <w:tcW w:w="0" w:type="auto"/>
            <w:vAlign w:val="center"/>
          </w:tcPr>
          <w:p w:rsidR="005F78FC" w:rsidRDefault="00B42EF3">
            <w:pPr>
              <w:pStyle w:val="TableBodyText"/>
            </w:pPr>
            <w:r>
              <w:t>PRC Envelope #10 324 x 458 mm</w:t>
            </w:r>
          </w:p>
        </w:tc>
      </w:tr>
      <w:tr w:rsidR="005F78FC" w:rsidTr="005F78FC">
        <w:tc>
          <w:tcPr>
            <w:tcW w:w="0" w:type="auto"/>
            <w:vAlign w:val="center"/>
          </w:tcPr>
          <w:p w:rsidR="005F78FC" w:rsidRDefault="00B42EF3">
            <w:pPr>
              <w:pStyle w:val="TableBodyText"/>
            </w:pPr>
            <w:r>
              <w:t>106</w:t>
            </w:r>
          </w:p>
        </w:tc>
        <w:tc>
          <w:tcPr>
            <w:tcW w:w="0" w:type="auto"/>
            <w:vAlign w:val="center"/>
          </w:tcPr>
          <w:p w:rsidR="005F78FC" w:rsidRDefault="00B42EF3">
            <w:pPr>
              <w:pStyle w:val="TableBodyText"/>
            </w:pPr>
            <w:r>
              <w:t>PRC 16K Rotated</w:t>
            </w:r>
          </w:p>
        </w:tc>
      </w:tr>
      <w:tr w:rsidR="005F78FC" w:rsidTr="005F78FC">
        <w:tc>
          <w:tcPr>
            <w:tcW w:w="0" w:type="auto"/>
            <w:vAlign w:val="center"/>
          </w:tcPr>
          <w:p w:rsidR="005F78FC" w:rsidRDefault="00B42EF3">
            <w:pPr>
              <w:pStyle w:val="TableBodyText"/>
            </w:pPr>
            <w:r>
              <w:t>107</w:t>
            </w:r>
          </w:p>
        </w:tc>
        <w:tc>
          <w:tcPr>
            <w:tcW w:w="0" w:type="auto"/>
            <w:vAlign w:val="center"/>
          </w:tcPr>
          <w:p w:rsidR="005F78FC" w:rsidRDefault="00B42EF3">
            <w:pPr>
              <w:pStyle w:val="TableBodyText"/>
            </w:pPr>
            <w:r>
              <w:t>PRC 32K Rotated</w:t>
            </w:r>
          </w:p>
        </w:tc>
      </w:tr>
      <w:tr w:rsidR="005F78FC" w:rsidTr="005F78FC">
        <w:tc>
          <w:tcPr>
            <w:tcW w:w="0" w:type="auto"/>
            <w:vAlign w:val="center"/>
          </w:tcPr>
          <w:p w:rsidR="005F78FC" w:rsidRDefault="00B42EF3">
            <w:pPr>
              <w:pStyle w:val="TableBodyText"/>
            </w:pPr>
            <w:r>
              <w:t>108</w:t>
            </w:r>
          </w:p>
        </w:tc>
        <w:tc>
          <w:tcPr>
            <w:tcW w:w="0" w:type="auto"/>
            <w:vAlign w:val="center"/>
          </w:tcPr>
          <w:p w:rsidR="005F78FC" w:rsidRDefault="00B42EF3">
            <w:pPr>
              <w:pStyle w:val="TableBodyText"/>
            </w:pPr>
            <w:r>
              <w:t>PRC 32K(Big) Rotated</w:t>
            </w:r>
          </w:p>
        </w:tc>
      </w:tr>
      <w:tr w:rsidR="005F78FC" w:rsidTr="005F78FC">
        <w:tc>
          <w:tcPr>
            <w:tcW w:w="0" w:type="auto"/>
            <w:vAlign w:val="center"/>
          </w:tcPr>
          <w:p w:rsidR="005F78FC" w:rsidRDefault="00B42EF3">
            <w:pPr>
              <w:pStyle w:val="TableBodyText"/>
            </w:pPr>
            <w:r>
              <w:t>109</w:t>
            </w:r>
          </w:p>
        </w:tc>
        <w:tc>
          <w:tcPr>
            <w:tcW w:w="0" w:type="auto"/>
            <w:vAlign w:val="center"/>
          </w:tcPr>
          <w:p w:rsidR="005F78FC" w:rsidRDefault="00B42EF3">
            <w:pPr>
              <w:pStyle w:val="TableBodyText"/>
            </w:pPr>
            <w:r>
              <w:t>PRC Envelope #1 Rotated 165 x 102 mm</w:t>
            </w:r>
          </w:p>
        </w:tc>
      </w:tr>
      <w:tr w:rsidR="005F78FC" w:rsidTr="005F78FC">
        <w:tc>
          <w:tcPr>
            <w:tcW w:w="0" w:type="auto"/>
            <w:vAlign w:val="center"/>
          </w:tcPr>
          <w:p w:rsidR="005F78FC" w:rsidRDefault="00B42EF3">
            <w:pPr>
              <w:pStyle w:val="TableBodyText"/>
            </w:pPr>
            <w:r>
              <w:t>110</w:t>
            </w:r>
          </w:p>
        </w:tc>
        <w:tc>
          <w:tcPr>
            <w:tcW w:w="0" w:type="auto"/>
            <w:vAlign w:val="center"/>
          </w:tcPr>
          <w:p w:rsidR="005F78FC" w:rsidRDefault="00B42EF3">
            <w:pPr>
              <w:pStyle w:val="TableBodyText"/>
            </w:pPr>
            <w:r>
              <w:t>PRC Envelope #2 Rotated 176 x 102 mm</w:t>
            </w:r>
          </w:p>
        </w:tc>
      </w:tr>
      <w:tr w:rsidR="005F78FC" w:rsidTr="005F78FC">
        <w:tc>
          <w:tcPr>
            <w:tcW w:w="0" w:type="auto"/>
            <w:vAlign w:val="center"/>
          </w:tcPr>
          <w:p w:rsidR="005F78FC" w:rsidRDefault="00B42EF3">
            <w:pPr>
              <w:pStyle w:val="TableBodyText"/>
            </w:pPr>
            <w:r>
              <w:t>111</w:t>
            </w:r>
          </w:p>
        </w:tc>
        <w:tc>
          <w:tcPr>
            <w:tcW w:w="0" w:type="auto"/>
            <w:vAlign w:val="center"/>
          </w:tcPr>
          <w:p w:rsidR="005F78FC" w:rsidRDefault="00B42EF3">
            <w:pPr>
              <w:pStyle w:val="TableBodyText"/>
            </w:pPr>
            <w:r>
              <w:t>PRC Envelope #3 Rotated 176 x 125 mm</w:t>
            </w:r>
          </w:p>
        </w:tc>
      </w:tr>
      <w:tr w:rsidR="005F78FC" w:rsidTr="005F78FC">
        <w:tc>
          <w:tcPr>
            <w:tcW w:w="0" w:type="auto"/>
            <w:vAlign w:val="center"/>
          </w:tcPr>
          <w:p w:rsidR="005F78FC" w:rsidRDefault="00B42EF3">
            <w:pPr>
              <w:pStyle w:val="TableBodyText"/>
            </w:pPr>
            <w:r>
              <w:t>112</w:t>
            </w:r>
          </w:p>
        </w:tc>
        <w:tc>
          <w:tcPr>
            <w:tcW w:w="0" w:type="auto"/>
            <w:vAlign w:val="center"/>
          </w:tcPr>
          <w:p w:rsidR="005F78FC" w:rsidRDefault="00B42EF3">
            <w:pPr>
              <w:pStyle w:val="TableBodyText"/>
            </w:pPr>
            <w:r>
              <w:t xml:space="preserve">PRC Envelope #4 Rotated </w:t>
            </w:r>
            <w:r>
              <w:t>208 x 110 mm</w:t>
            </w:r>
          </w:p>
        </w:tc>
      </w:tr>
      <w:tr w:rsidR="005F78FC" w:rsidTr="005F78FC">
        <w:tc>
          <w:tcPr>
            <w:tcW w:w="0" w:type="auto"/>
            <w:vAlign w:val="center"/>
          </w:tcPr>
          <w:p w:rsidR="005F78FC" w:rsidRDefault="00B42EF3">
            <w:pPr>
              <w:pStyle w:val="TableBodyText"/>
            </w:pPr>
            <w:r>
              <w:t>113</w:t>
            </w:r>
          </w:p>
        </w:tc>
        <w:tc>
          <w:tcPr>
            <w:tcW w:w="0" w:type="auto"/>
            <w:vAlign w:val="center"/>
          </w:tcPr>
          <w:p w:rsidR="005F78FC" w:rsidRDefault="00B42EF3">
            <w:pPr>
              <w:pStyle w:val="TableBodyText"/>
            </w:pPr>
            <w:r>
              <w:t>PRC Envelope #5 Rotated 220 x 110 mm</w:t>
            </w:r>
          </w:p>
        </w:tc>
      </w:tr>
      <w:tr w:rsidR="005F78FC" w:rsidTr="005F78FC">
        <w:tc>
          <w:tcPr>
            <w:tcW w:w="0" w:type="auto"/>
            <w:vAlign w:val="center"/>
          </w:tcPr>
          <w:p w:rsidR="005F78FC" w:rsidRDefault="00B42EF3">
            <w:pPr>
              <w:pStyle w:val="TableBodyText"/>
            </w:pPr>
            <w:r>
              <w:t>114</w:t>
            </w:r>
          </w:p>
        </w:tc>
        <w:tc>
          <w:tcPr>
            <w:tcW w:w="0" w:type="auto"/>
            <w:vAlign w:val="center"/>
          </w:tcPr>
          <w:p w:rsidR="005F78FC" w:rsidRDefault="00B42EF3">
            <w:pPr>
              <w:pStyle w:val="TableBodyText"/>
            </w:pPr>
            <w:r>
              <w:t>PRC Envelope #6 Rotated 230 x 120 mm</w:t>
            </w:r>
          </w:p>
        </w:tc>
      </w:tr>
      <w:tr w:rsidR="005F78FC" w:rsidTr="005F78FC">
        <w:tc>
          <w:tcPr>
            <w:tcW w:w="0" w:type="auto"/>
            <w:vAlign w:val="center"/>
          </w:tcPr>
          <w:p w:rsidR="005F78FC" w:rsidRDefault="00B42EF3">
            <w:pPr>
              <w:pStyle w:val="TableBodyText"/>
            </w:pPr>
            <w:r>
              <w:t>115</w:t>
            </w:r>
          </w:p>
        </w:tc>
        <w:tc>
          <w:tcPr>
            <w:tcW w:w="0" w:type="auto"/>
            <w:vAlign w:val="center"/>
          </w:tcPr>
          <w:p w:rsidR="005F78FC" w:rsidRDefault="00B42EF3">
            <w:pPr>
              <w:pStyle w:val="TableBodyText"/>
            </w:pPr>
            <w:r>
              <w:t>PRC Envelope #7 Rotated 230 x 160 mm</w:t>
            </w:r>
          </w:p>
        </w:tc>
      </w:tr>
      <w:tr w:rsidR="005F78FC" w:rsidTr="005F78FC">
        <w:tc>
          <w:tcPr>
            <w:tcW w:w="0" w:type="auto"/>
            <w:vAlign w:val="center"/>
          </w:tcPr>
          <w:p w:rsidR="005F78FC" w:rsidRDefault="00B42EF3">
            <w:pPr>
              <w:pStyle w:val="TableBodyText"/>
            </w:pPr>
            <w:r>
              <w:t>116</w:t>
            </w:r>
          </w:p>
        </w:tc>
        <w:tc>
          <w:tcPr>
            <w:tcW w:w="0" w:type="auto"/>
            <w:vAlign w:val="center"/>
          </w:tcPr>
          <w:p w:rsidR="005F78FC" w:rsidRDefault="00B42EF3">
            <w:pPr>
              <w:pStyle w:val="TableBodyText"/>
            </w:pPr>
            <w:r>
              <w:t>PRC Envelope #8 Rotated 309 x 120 mm</w:t>
            </w:r>
          </w:p>
        </w:tc>
      </w:tr>
      <w:tr w:rsidR="005F78FC" w:rsidTr="005F78FC">
        <w:tc>
          <w:tcPr>
            <w:tcW w:w="0" w:type="auto"/>
            <w:vAlign w:val="center"/>
          </w:tcPr>
          <w:p w:rsidR="005F78FC" w:rsidRDefault="00B42EF3">
            <w:pPr>
              <w:pStyle w:val="TableBodyText"/>
            </w:pPr>
            <w:r>
              <w:t>117</w:t>
            </w:r>
          </w:p>
        </w:tc>
        <w:tc>
          <w:tcPr>
            <w:tcW w:w="0" w:type="auto"/>
            <w:vAlign w:val="center"/>
          </w:tcPr>
          <w:p w:rsidR="005F78FC" w:rsidRDefault="00B42EF3">
            <w:pPr>
              <w:pStyle w:val="TableBodyText"/>
            </w:pPr>
            <w:r>
              <w:t>PRC Envelope #9 Rotated 324 x 229 mm</w:t>
            </w:r>
          </w:p>
        </w:tc>
      </w:tr>
      <w:tr w:rsidR="005F78FC" w:rsidTr="005F78FC">
        <w:tc>
          <w:tcPr>
            <w:tcW w:w="0" w:type="auto"/>
            <w:vAlign w:val="center"/>
          </w:tcPr>
          <w:p w:rsidR="005F78FC" w:rsidRDefault="00B42EF3">
            <w:pPr>
              <w:pStyle w:val="TableBodyText"/>
            </w:pPr>
            <w:r>
              <w:t>118</w:t>
            </w:r>
          </w:p>
        </w:tc>
        <w:tc>
          <w:tcPr>
            <w:tcW w:w="0" w:type="auto"/>
            <w:vAlign w:val="center"/>
          </w:tcPr>
          <w:p w:rsidR="005F78FC" w:rsidRDefault="00B42EF3">
            <w:pPr>
              <w:pStyle w:val="TableBodyText"/>
            </w:pPr>
            <w:r>
              <w:t>PRC Envelope #10 Rotated 458</w:t>
            </w:r>
            <w:r>
              <w:t xml:space="preserve"> x 324 mm</w:t>
            </w:r>
          </w:p>
        </w:tc>
      </w:tr>
    </w:tbl>
    <w:p w:rsidR="005F78FC" w:rsidRDefault="005F78FC"/>
    <w:p w:rsidR="005F78FC" w:rsidRDefault="00B42EF3">
      <w:pPr>
        <w:pStyle w:val="Definition-Field"/>
      </w:pPr>
      <w:r>
        <w:t xml:space="preserve">e.   </w:t>
      </w:r>
      <w:r>
        <w:rPr>
          <w:i/>
        </w:rPr>
        <w:t>The standard states that the useFirstPageNumber attribute specifies to use the first page number instead of automatically generating a page number.</w:t>
      </w:r>
    </w:p>
    <w:p w:rsidR="005F78FC" w:rsidRDefault="00B42EF3">
      <w:pPr>
        <w:pStyle w:val="Definition-Field2"/>
      </w:pPr>
      <w:r>
        <w:t>Office ignores this attribute and does not use the value of the firstPageNumber attribute w</w:t>
      </w:r>
      <w:r>
        <w:t>hen useFirstPageNumber is true.</w:t>
      </w:r>
    </w:p>
    <w:p w:rsidR="005F78FC" w:rsidRDefault="00B42EF3">
      <w:pPr>
        <w:pStyle w:val="Heading3"/>
      </w:pPr>
      <w:bookmarkStart w:id="3040" w:name="section_1a9be881a8fa4b3f95461bef22ea3b41"/>
      <w:bookmarkStart w:id="3041" w:name="_Toc69879293"/>
      <w:r>
        <w:lastRenderedPageBreak/>
        <w:t>Part 1 Section 21.2.2.135, period (Period)</w:t>
      </w:r>
      <w:bookmarkEnd w:id="3040"/>
      <w:bookmarkEnd w:id="3041"/>
      <w:r>
        <w:fldChar w:fldCharType="begin"/>
      </w:r>
      <w:r>
        <w:instrText xml:space="preserve"> XE "period (Period)" </w:instrText>
      </w:r>
      <w:r>
        <w:fldChar w:fldCharType="end"/>
      </w:r>
    </w:p>
    <w:p w:rsidR="005F78FC" w:rsidRDefault="00B42EF3">
      <w:pPr>
        <w:pStyle w:val="Definition-Field"/>
      </w:pPr>
      <w:r>
        <w:t xml:space="preserve">a.   </w:t>
      </w:r>
      <w:r>
        <w:rPr>
          <w:i/>
        </w:rPr>
        <w:t>The standard implies that the val attribute is optional.</w:t>
      </w:r>
    </w:p>
    <w:p w:rsidR="005F78FC" w:rsidRDefault="00B42EF3">
      <w:pPr>
        <w:pStyle w:val="Definition-Field2"/>
      </w:pPr>
      <w:r>
        <w:t>Office requires this attribute.</w:t>
      </w:r>
    </w:p>
    <w:p w:rsidR="005F78FC" w:rsidRDefault="00B42EF3">
      <w:pPr>
        <w:pStyle w:val="Definition-Field"/>
      </w:pPr>
      <w:r>
        <w:t xml:space="preserve">b.   </w:t>
      </w:r>
      <w:r>
        <w:rPr>
          <w:i/>
        </w:rPr>
        <w:t>The standard states that this element is ignored for non-m</w:t>
      </w:r>
      <w:r>
        <w:rPr>
          <w:i/>
        </w:rPr>
        <w:t>oving average trendlines.</w:t>
      </w:r>
    </w:p>
    <w:p w:rsidR="005F78FC" w:rsidRDefault="00B42EF3">
      <w:pPr>
        <w:pStyle w:val="Definition-Field2"/>
      </w:pPr>
      <w:r>
        <w:t>Office requires this element to be included when the val attribute of trendlineType equals movingAvg and not otherwise.</w:t>
      </w:r>
    </w:p>
    <w:p w:rsidR="005F78FC" w:rsidRDefault="00B42EF3">
      <w:pPr>
        <w:pStyle w:val="Definition-Field"/>
      </w:pPr>
      <w:r>
        <w:t xml:space="preserve">c.   </w:t>
      </w:r>
      <w:r>
        <w:rPr>
          <w:i/>
        </w:rPr>
        <w:t>The standard states that the val attribute has a maximum value of less than or equal to 255.</w:t>
      </w:r>
    </w:p>
    <w:p w:rsidR="005F78FC" w:rsidRDefault="00B42EF3">
      <w:pPr>
        <w:pStyle w:val="Definition-Field2"/>
      </w:pPr>
      <w:r>
        <w:t xml:space="preserve">Office </w:t>
      </w:r>
      <w:r>
        <w:t>requires that the upper bound of @val is the number of categories on the series minus 1. If the @val is greater than the number of categories minus 1 but less than 256 the file loads and saves correctly but the trendline will not be displayed</w:t>
      </w:r>
    </w:p>
    <w:p w:rsidR="005F78FC" w:rsidRDefault="00B42EF3">
      <w:pPr>
        <w:pStyle w:val="Heading3"/>
      </w:pPr>
      <w:bookmarkStart w:id="3042" w:name="section_6aa1047e4bc04a228292385d1f45a437"/>
      <w:bookmarkStart w:id="3043" w:name="_Toc69879294"/>
      <w:r>
        <w:t>Part 1 Sectio</w:t>
      </w:r>
      <w:r>
        <w:t>n 21.2.2.136, perspective (Perspective)</w:t>
      </w:r>
      <w:bookmarkEnd w:id="3042"/>
      <w:bookmarkEnd w:id="3043"/>
      <w:r>
        <w:fldChar w:fldCharType="begin"/>
      </w:r>
      <w:r>
        <w:instrText xml:space="preserve"> XE "perspective (Perspective)" </w:instrText>
      </w:r>
      <w:r>
        <w:fldChar w:fldCharType="end"/>
      </w:r>
    </w:p>
    <w:p w:rsidR="005F78FC" w:rsidRDefault="00B42EF3">
      <w:pPr>
        <w:pStyle w:val="Definition-Field"/>
      </w:pPr>
      <w:r>
        <w:t xml:space="preserve">a.   </w:t>
      </w:r>
      <w:r>
        <w:rPr>
          <w:i/>
        </w:rPr>
        <w:t>The standard states that this element specifies the field of view angle for the 3-D chart.</w:t>
      </w:r>
    </w:p>
    <w:p w:rsidR="005F78FC" w:rsidRDefault="00B42EF3">
      <w:pPr>
        <w:pStyle w:val="Definition-Field2"/>
      </w:pPr>
      <w:r>
        <w:t xml:space="preserve">In Office, this element specifies the field of view angle multiplied by a factor of 2 </w:t>
      </w:r>
      <w:r>
        <w:t>for the 3-D chart. When the val attribute is zero, the field of view angle is 0.1 degrees.</w:t>
      </w:r>
    </w:p>
    <w:p w:rsidR="005F78FC" w:rsidRDefault="00B42EF3">
      <w:pPr>
        <w:pStyle w:val="Definition-Field"/>
      </w:pPr>
      <w:r>
        <w:t xml:space="preserve">b.   </w:t>
      </w:r>
      <w:r>
        <w:rPr>
          <w:i/>
        </w:rPr>
        <w:t>The standard states that this element is ignored if Right Angle Axes is true.</w:t>
      </w:r>
    </w:p>
    <w:p w:rsidR="005F78FC" w:rsidRDefault="00B42EF3">
      <w:pPr>
        <w:pStyle w:val="Definition-Field2"/>
      </w:pPr>
      <w:r>
        <w:t>Office gives sibling element rAngAx precedence over this element when the field of</w:t>
      </w:r>
      <w:r>
        <w:t xml:space="preserve"> view is rendered.</w:t>
      </w:r>
    </w:p>
    <w:p w:rsidR="005F78FC" w:rsidRDefault="00B42EF3">
      <w:pPr>
        <w:pStyle w:val="Heading3"/>
      </w:pPr>
      <w:bookmarkStart w:id="3044" w:name="section_49556f620f364dc08a71075a46b62142"/>
      <w:bookmarkStart w:id="3045" w:name="_Toc69879295"/>
      <w:r>
        <w:t>Part 1 Section 21.2.2.138, pictureOptions (Picture Options)</w:t>
      </w:r>
      <w:bookmarkEnd w:id="3044"/>
      <w:bookmarkEnd w:id="3045"/>
      <w:r>
        <w:fldChar w:fldCharType="begin"/>
      </w:r>
      <w:r>
        <w:instrText xml:space="preserve"> XE "pictureOptions (Picture Options)" </w:instrText>
      </w:r>
      <w:r>
        <w:fldChar w:fldCharType="end"/>
      </w:r>
    </w:p>
    <w:p w:rsidR="005F78FC" w:rsidRDefault="00B42EF3">
      <w:pPr>
        <w:pStyle w:val="Definition-Field"/>
      </w:pPr>
      <w:r>
        <w:t xml:space="preserve">a.   </w:t>
      </w:r>
      <w:r>
        <w:rPr>
          <w:i/>
        </w:rPr>
        <w:t>The standard does not specify a relationship between the pictureFormat and pictureStackUnit child elements.</w:t>
      </w:r>
    </w:p>
    <w:p w:rsidR="005F78FC" w:rsidRDefault="00B42EF3">
      <w:pPr>
        <w:pStyle w:val="Definition-Field2"/>
      </w:pPr>
      <w:r>
        <w:t xml:space="preserve">Office requires </w:t>
      </w:r>
      <w:r>
        <w:t>pictureStackUnit only be specified if pictureFormat is present with the val attribute equal to "stackScale", otherwise the chart will fail to load.</w:t>
      </w:r>
    </w:p>
    <w:p w:rsidR="005F78FC" w:rsidRDefault="00B42EF3">
      <w:pPr>
        <w:pStyle w:val="Definition-Field"/>
      </w:pPr>
      <w:r>
        <w:t xml:space="preserve">b.   </w:t>
      </w:r>
      <w:r>
        <w:rPr>
          <w:i/>
        </w:rPr>
        <w:t>The standard does not specify a relationship between this element and blipFill.</w:t>
      </w:r>
    </w:p>
    <w:p w:rsidR="005F78FC" w:rsidRDefault="00B42EF3">
      <w:pPr>
        <w:pStyle w:val="Definition-Field2"/>
      </w:pPr>
      <w:r>
        <w:t>Office ignores this ele</w:t>
      </w:r>
      <w:r>
        <w:t>ment when a blipFill child element is not specified on the sibling spPr element.</w:t>
      </w:r>
    </w:p>
    <w:p w:rsidR="005F78FC" w:rsidRDefault="00B42EF3">
      <w:pPr>
        <w:pStyle w:val="Definition-Field"/>
      </w:pPr>
      <w:r>
        <w:t xml:space="preserve">c.   </w:t>
      </w:r>
      <w:r>
        <w:rPr>
          <w:i/>
        </w:rPr>
        <w:t>The standard does not specify special behavior for individual parents.</w:t>
      </w:r>
    </w:p>
    <w:p w:rsidR="005F78FC" w:rsidRDefault="00B42EF3">
      <w:pPr>
        <w:pStyle w:val="Definition-Field2"/>
      </w:pPr>
      <w:r>
        <w:t>Office ignores the pictureStackUnit child element when the parent of pictureOptions is the floor el</w:t>
      </w:r>
      <w:r>
        <w:t>ement.</w:t>
      </w:r>
    </w:p>
    <w:p w:rsidR="005F78FC" w:rsidRDefault="00B42EF3">
      <w:pPr>
        <w:pStyle w:val="Heading3"/>
      </w:pPr>
      <w:bookmarkStart w:id="3046" w:name="section_06c618921ab34e35a09dee70b3a3c704"/>
      <w:bookmarkStart w:id="3047" w:name="_Toc69879296"/>
      <w:r>
        <w:t>Part 1 Section 21.2.2.140, pie3DChart (3D Pie Charts)</w:t>
      </w:r>
      <w:bookmarkEnd w:id="3046"/>
      <w:bookmarkEnd w:id="3047"/>
      <w:r>
        <w:fldChar w:fldCharType="begin"/>
      </w:r>
      <w:r>
        <w:instrText xml:space="preserve"> XE "pie3DChart (3D Pie Charts)" </w:instrText>
      </w:r>
      <w:r>
        <w:fldChar w:fldCharType="end"/>
      </w:r>
    </w:p>
    <w:p w:rsidR="005F78FC" w:rsidRDefault="00B42EF3">
      <w:pPr>
        <w:pStyle w:val="Definition-Field"/>
      </w:pPr>
      <w:r>
        <w:t xml:space="preserve">a.   </w:t>
      </w:r>
      <w:r>
        <w:rPr>
          <w:i/>
        </w:rPr>
        <w:t>The standard states that multiple ser elements may be specified on this element.</w:t>
      </w:r>
    </w:p>
    <w:p w:rsidR="005F78FC" w:rsidRDefault="00B42EF3">
      <w:pPr>
        <w:pStyle w:val="Definition-Field2"/>
      </w:pPr>
      <w:r>
        <w:t>Office only displays the first series if there are multiple ser child elem</w:t>
      </w:r>
      <w:r>
        <w:t>ents.</w:t>
      </w:r>
    </w:p>
    <w:p w:rsidR="005F78FC" w:rsidRDefault="00B42EF3">
      <w:pPr>
        <w:pStyle w:val="Definition-Field"/>
      </w:pPr>
      <w:r>
        <w:t xml:space="preserve">b.   </w:t>
      </w:r>
      <w:r>
        <w:rPr>
          <w:i/>
        </w:rPr>
        <w:t>The standard states that the maxOccurs value for the ser child element is unbounded.</w:t>
      </w:r>
    </w:p>
    <w:p w:rsidR="005F78FC" w:rsidRDefault="00B42EF3">
      <w:pPr>
        <w:pStyle w:val="Definition-Field2"/>
      </w:pPr>
      <w:r>
        <w:t>Office limits the occurrences of this element to 255.</w:t>
      </w:r>
    </w:p>
    <w:p w:rsidR="005F78FC" w:rsidRDefault="00B42EF3">
      <w:pPr>
        <w:pStyle w:val="Heading3"/>
      </w:pPr>
      <w:bookmarkStart w:id="3048" w:name="section_f2797eb13b5e4a40be3e344faa60f3dc"/>
      <w:bookmarkStart w:id="3049" w:name="_Toc69879297"/>
      <w:r>
        <w:lastRenderedPageBreak/>
        <w:t>Part 1 Section 21.2.2.141, pieChart (Pie Charts)</w:t>
      </w:r>
      <w:bookmarkEnd w:id="3048"/>
      <w:bookmarkEnd w:id="3049"/>
      <w:r>
        <w:fldChar w:fldCharType="begin"/>
      </w:r>
      <w:r>
        <w:instrText xml:space="preserve"> XE "pieChart (Pie Charts)" </w:instrText>
      </w:r>
      <w:r>
        <w:fldChar w:fldCharType="end"/>
      </w:r>
    </w:p>
    <w:p w:rsidR="005F78FC" w:rsidRDefault="00B42EF3">
      <w:pPr>
        <w:pStyle w:val="Definition-Field2"/>
      </w:pPr>
      <w:r>
        <w:rPr>
          <w:i/>
        </w:rPr>
        <w:t>For additional notes that a</w:t>
      </w:r>
      <w:r>
        <w:rPr>
          <w:i/>
        </w:rPr>
        <w:t xml:space="preserve">pply to this portion of the standard, please see the notes for </w:t>
      </w:r>
      <w:hyperlink w:anchor="Section_06c618921ab34e35a09dee70b3a3c704">
        <w:r>
          <w:rPr>
            <w:rStyle w:val="Hyperlink"/>
          </w:rPr>
          <w:t>pie3DChart, §21.2.2.140(b)</w:t>
        </w:r>
      </w:hyperlink>
      <w:r>
        <w:rPr>
          <w:i/>
        </w:rPr>
        <w:t>.</w:t>
      </w:r>
    </w:p>
    <w:p w:rsidR="005F78FC" w:rsidRDefault="00B42EF3">
      <w:pPr>
        <w:pStyle w:val="Definition-Field"/>
      </w:pPr>
      <w:r>
        <w:t xml:space="preserve">a.   </w:t>
      </w:r>
      <w:r>
        <w:rPr>
          <w:i/>
        </w:rPr>
        <w:t>The standard states that multiple ser elements may be specified on this element.</w:t>
      </w:r>
    </w:p>
    <w:p w:rsidR="005F78FC" w:rsidRDefault="00B42EF3">
      <w:pPr>
        <w:pStyle w:val="Definition-Field2"/>
      </w:pPr>
      <w:r>
        <w:t>Office only disp</w:t>
      </w:r>
      <w:r>
        <w:t>lays the first series if there are multiple ser child elements.</w:t>
      </w:r>
    </w:p>
    <w:p w:rsidR="005F78FC" w:rsidRDefault="00B42EF3">
      <w:pPr>
        <w:pStyle w:val="Heading3"/>
      </w:pPr>
      <w:bookmarkStart w:id="3050" w:name="section_c670152e08494bcf962e35ea83fc42de"/>
      <w:bookmarkStart w:id="3051" w:name="_Toc69879298"/>
      <w:r>
        <w:t>Part 1 Section 21.2.2.142, pivotFmt (Pivot Format)</w:t>
      </w:r>
      <w:bookmarkEnd w:id="3050"/>
      <w:bookmarkEnd w:id="3051"/>
      <w:r>
        <w:fldChar w:fldCharType="begin"/>
      </w:r>
      <w:r>
        <w:instrText xml:space="preserve"> XE "pivotFmt (Pivot Format)" </w:instrText>
      </w:r>
      <w:r>
        <w:fldChar w:fldCharType="end"/>
      </w:r>
    </w:p>
    <w:p w:rsidR="005F78FC" w:rsidRDefault="00B42EF3">
      <w:pPr>
        <w:pStyle w:val="Definition-Field"/>
      </w:pPr>
      <w:r>
        <w:t xml:space="preserve">a.   </w:t>
      </w:r>
      <w:r>
        <w:rPr>
          <w:i/>
        </w:rPr>
        <w:t>The standard states that the txPr element is a valid child of the pivotFmt element.</w:t>
      </w:r>
    </w:p>
    <w:p w:rsidR="005F78FC" w:rsidRDefault="00B42EF3">
      <w:pPr>
        <w:pStyle w:val="Definition-Field2"/>
      </w:pPr>
      <w:r>
        <w:t>Office does not allo</w:t>
      </w:r>
      <w:r>
        <w:t>w the txPr element to be a child of the pivotFmt element.</w:t>
      </w:r>
    </w:p>
    <w:p w:rsidR="005F78FC" w:rsidRDefault="00B42EF3">
      <w:pPr>
        <w:pStyle w:val="Heading3"/>
      </w:pPr>
      <w:bookmarkStart w:id="3052" w:name="section_07298e0eed82488f9575e43bc37b2fd3"/>
      <w:bookmarkStart w:id="3053" w:name="_Toc69879299"/>
      <w:r>
        <w:t>Part 1 Section 21.2.2.143, pivotFmts (Pivot Formats)</w:t>
      </w:r>
      <w:bookmarkEnd w:id="3052"/>
      <w:bookmarkEnd w:id="3053"/>
      <w:r>
        <w:fldChar w:fldCharType="begin"/>
      </w:r>
      <w:r>
        <w:instrText xml:space="preserve"> XE "pivotFmts (Pivot Formats)" </w:instrText>
      </w:r>
      <w:r>
        <w:fldChar w:fldCharType="end"/>
      </w:r>
    </w:p>
    <w:p w:rsidR="005F78FC" w:rsidRDefault="00B42EF3">
      <w:pPr>
        <w:pStyle w:val="Definition-Field"/>
      </w:pPr>
      <w:r>
        <w:t xml:space="preserve">a.   </w:t>
      </w:r>
      <w:r>
        <w:rPr>
          <w:i/>
        </w:rPr>
        <w:t>The standard states that this element contains a collection of formatting bands for a surface chart indexe</w:t>
      </w:r>
      <w:r>
        <w:rPr>
          <w:i/>
        </w:rPr>
        <w:t>d from low to high.</w:t>
      </w:r>
    </w:p>
    <w:p w:rsidR="005F78FC" w:rsidRDefault="00B42EF3">
      <w:pPr>
        <w:pStyle w:val="Definition-Field2"/>
      </w:pPr>
      <w:r>
        <w:t>In Office, this element is used to contain a collection of formats to be applied to a chart that is based on a PivotTable.</w:t>
      </w:r>
    </w:p>
    <w:p w:rsidR="005F78FC" w:rsidRDefault="00B42EF3">
      <w:pPr>
        <w:pStyle w:val="Heading3"/>
      </w:pPr>
      <w:bookmarkStart w:id="3054" w:name="section_e2f9906d924645d1817b796d5cc91dac"/>
      <w:bookmarkStart w:id="3055" w:name="_Toc69879300"/>
      <w:r>
        <w:t>Part 1 Section 21.2.2.144, pivotSource (Pivot Source)</w:t>
      </w:r>
      <w:bookmarkEnd w:id="3054"/>
      <w:bookmarkEnd w:id="3055"/>
      <w:r>
        <w:fldChar w:fldCharType="begin"/>
      </w:r>
      <w:r>
        <w:instrText xml:space="preserve"> XE "pivotSource (Pivot Source)" </w:instrText>
      </w:r>
      <w:r>
        <w:fldChar w:fldCharType="end"/>
      </w:r>
    </w:p>
    <w:p w:rsidR="005F78FC" w:rsidRDefault="00B42EF3">
      <w:pPr>
        <w:pStyle w:val="Definition-Field"/>
      </w:pPr>
      <w:r>
        <w:t xml:space="preserve">a.   </w:t>
      </w:r>
      <w:r>
        <w:rPr>
          <w:i/>
        </w:rPr>
        <w:t>The standard states</w:t>
      </w:r>
      <w:r>
        <w:rPr>
          <w:i/>
        </w:rPr>
        <w:t xml:space="preserve"> that the maxOccurs value for the extLst child element is unbounded.</w:t>
      </w:r>
    </w:p>
    <w:p w:rsidR="005F78FC" w:rsidRDefault="00B42EF3">
      <w:pPr>
        <w:pStyle w:val="Definition-Field2"/>
      </w:pPr>
      <w:r>
        <w:t>Office limits the occurrences of this element to 1.</w:t>
      </w:r>
    </w:p>
    <w:p w:rsidR="005F78FC" w:rsidRDefault="00B42EF3">
      <w:pPr>
        <w:pStyle w:val="Definition-Field"/>
      </w:pPr>
      <w:r>
        <w:t xml:space="preserve">b.   </w:t>
      </w:r>
      <w:r>
        <w:rPr>
          <w:i/>
        </w:rPr>
        <w:t>The standard states that possible values for child element fmtId are defined by type xsd:unsignedInt.</w:t>
      </w:r>
    </w:p>
    <w:p w:rsidR="005F78FC" w:rsidRDefault="00B42EF3">
      <w:pPr>
        <w:pStyle w:val="Definition-Field2"/>
      </w:pPr>
      <w:r>
        <w:t>In Office, child element fmt</w:t>
      </w:r>
      <w:r>
        <w:t>Id has a maximum value of 2147483647.</w:t>
      </w:r>
    </w:p>
    <w:p w:rsidR="005F78FC" w:rsidRDefault="00B42EF3">
      <w:pPr>
        <w:pStyle w:val="Heading3"/>
      </w:pPr>
      <w:bookmarkStart w:id="3056" w:name="section_83596c29eda74a40a24d721aa7b23b3f"/>
      <w:bookmarkStart w:id="3057" w:name="_Toc69879301"/>
      <w:r>
        <w:t>Part 1 Section 21.2.2.145, plotArea (Plot Area)</w:t>
      </w:r>
      <w:bookmarkEnd w:id="3056"/>
      <w:bookmarkEnd w:id="3057"/>
      <w:r>
        <w:fldChar w:fldCharType="begin"/>
      </w:r>
      <w:r>
        <w:instrText xml:space="preserve"> XE "plotArea (Plot Area)" </w:instrText>
      </w:r>
      <w:r>
        <w:fldChar w:fldCharType="end"/>
      </w:r>
    </w:p>
    <w:p w:rsidR="005F78FC" w:rsidRDefault="00B42EF3">
      <w:pPr>
        <w:pStyle w:val="Definition-Field"/>
      </w:pPr>
      <w:r>
        <w:t xml:space="preserve">a.   </w:t>
      </w:r>
      <w:r>
        <w:rPr>
          <w:i/>
        </w:rPr>
        <w:t>The standard states that the maxOccurs value for the choice statement including the valAx, catAx, dateAx, and serAx elements is unbounde</w:t>
      </w:r>
      <w:r>
        <w:rPr>
          <w:i/>
        </w:rPr>
        <w:t>d.</w:t>
      </w:r>
    </w:p>
    <w:p w:rsidR="005F78FC" w:rsidRDefault="00B42EF3">
      <w:pPr>
        <w:pStyle w:val="Definition-Field2"/>
      </w:pPr>
      <w:r>
        <w:t>Office limits the occurrences of this choice to 4.</w:t>
      </w:r>
    </w:p>
    <w:p w:rsidR="005F78FC" w:rsidRDefault="00B42EF3">
      <w:pPr>
        <w:pStyle w:val="Heading3"/>
      </w:pPr>
      <w:bookmarkStart w:id="3058" w:name="section_ddc60b4262be4617bf284372f3fa3422"/>
      <w:bookmarkStart w:id="3059" w:name="_Toc69879302"/>
      <w:r>
        <w:t>Part 1 Section 21.2.2.147, plus (Plus)</w:t>
      </w:r>
      <w:bookmarkEnd w:id="3058"/>
      <w:bookmarkEnd w:id="3059"/>
      <w:r>
        <w:fldChar w:fldCharType="begin"/>
      </w:r>
      <w:r>
        <w:instrText xml:space="preserve"> XE "plus (Plus)" </w:instrText>
      </w:r>
      <w:r>
        <w:fldChar w:fldCharType="end"/>
      </w:r>
    </w:p>
    <w:p w:rsidR="005F78FC" w:rsidRDefault="00B42EF3">
      <w:pPr>
        <w:pStyle w:val="Definition-Field"/>
      </w:pPr>
      <w:r>
        <w:t xml:space="preserve">a.   </w:t>
      </w:r>
      <w:r>
        <w:rPr>
          <w:i/>
        </w:rPr>
        <w:t>The standard states that this element shall be used only when the errValType is cust.</w:t>
      </w:r>
    </w:p>
    <w:p w:rsidR="005F78FC" w:rsidRDefault="00B42EF3">
      <w:pPr>
        <w:pStyle w:val="Definition-Field2"/>
      </w:pPr>
      <w:r>
        <w:t>Office also saves out this element if the errValType</w:t>
      </w:r>
      <w:r>
        <w:t xml:space="preserve"> is stdErr and the error bar value had been custom type during the current workbook session.</w:t>
      </w:r>
    </w:p>
    <w:p w:rsidR="005F78FC" w:rsidRDefault="00B42EF3">
      <w:pPr>
        <w:pStyle w:val="Heading3"/>
      </w:pPr>
      <w:bookmarkStart w:id="3060" w:name="section_ed56b005235b41308db9602e08a13b96"/>
      <w:bookmarkStart w:id="3061" w:name="_Toc69879303"/>
      <w:r>
        <w:t>Part 1 Section 21.2.2.148, printSettings (Print Settings)</w:t>
      </w:r>
      <w:bookmarkEnd w:id="3060"/>
      <w:bookmarkEnd w:id="3061"/>
      <w:r>
        <w:fldChar w:fldCharType="begin"/>
      </w:r>
      <w:r>
        <w:instrText xml:space="preserve"> XE "printSettings (Print Settings)" </w:instrText>
      </w:r>
      <w:r>
        <w:fldChar w:fldCharType="end"/>
      </w:r>
    </w:p>
    <w:p w:rsidR="005F78FC" w:rsidRDefault="00B42EF3">
      <w:pPr>
        <w:pStyle w:val="Definition-Field"/>
      </w:pPr>
      <w:r>
        <w:t xml:space="preserve">a.   </w:t>
      </w:r>
      <w:r>
        <w:rPr>
          <w:i/>
        </w:rPr>
        <w:t>The standard states that the pageMargins child element is opt</w:t>
      </w:r>
      <w:r>
        <w:rPr>
          <w:i/>
        </w:rPr>
        <w:t>ional.</w:t>
      </w:r>
    </w:p>
    <w:p w:rsidR="005F78FC" w:rsidRDefault="00B42EF3">
      <w:pPr>
        <w:pStyle w:val="Definition-Field2"/>
      </w:pPr>
      <w:r>
        <w:t>In Office, if no child pageMargins element is defined, a pageMargins element is created with application defined values.</w:t>
      </w:r>
    </w:p>
    <w:p w:rsidR="005F78FC" w:rsidRDefault="00B42EF3">
      <w:pPr>
        <w:pStyle w:val="Heading3"/>
      </w:pPr>
      <w:bookmarkStart w:id="3062" w:name="section_8c074063cd93473991fdec17d2bfa679"/>
      <w:bookmarkStart w:id="3063" w:name="_Toc69879304"/>
      <w:r>
        <w:lastRenderedPageBreak/>
        <w:t>Part 1 Section 21.2.2.149, protection (Protection)</w:t>
      </w:r>
      <w:bookmarkEnd w:id="3062"/>
      <w:bookmarkEnd w:id="3063"/>
      <w:r>
        <w:fldChar w:fldCharType="begin"/>
      </w:r>
      <w:r>
        <w:instrText xml:space="preserve"> XE "protection (Protection)" </w:instrText>
      </w:r>
      <w:r>
        <w:fldChar w:fldCharType="end"/>
      </w:r>
    </w:p>
    <w:p w:rsidR="005F78FC" w:rsidRDefault="00B42EF3">
      <w:pPr>
        <w:pStyle w:val="Definition-Field"/>
      </w:pPr>
      <w:r>
        <w:t xml:space="preserve">a.   </w:t>
      </w:r>
      <w:r>
        <w:rPr>
          <w:i/>
        </w:rPr>
        <w:t>The standard states that if the chart is</w:t>
      </w:r>
      <w:r>
        <w:rPr>
          <w:i/>
        </w:rPr>
        <w:t xml:space="preserve"> on a protected worksheet or chart sheet, then these settings shall control how a user is able to interact with the chart.</w:t>
      </w:r>
    </w:p>
    <w:p w:rsidR="005F78FC" w:rsidRDefault="00B42EF3">
      <w:pPr>
        <w:pStyle w:val="Definition-Field2"/>
      </w:pPr>
      <w:r>
        <w:t>In Office, this element to controls how a user is permitted to interact with the chart regardless of whether the chart is on a protec</w:t>
      </w:r>
      <w:r>
        <w:t>ted worksheet or chart sheet.</w:t>
      </w:r>
    </w:p>
    <w:p w:rsidR="005F78FC" w:rsidRDefault="00B42EF3">
      <w:pPr>
        <w:pStyle w:val="Definition-Field"/>
      </w:pPr>
      <w:r>
        <w:t xml:space="preserve">b.   </w:t>
      </w:r>
      <w:r>
        <w:rPr>
          <w:i/>
        </w:rPr>
        <w:t>The standard states the protection element supports the child elements specified.</w:t>
      </w:r>
    </w:p>
    <w:p w:rsidR="005F78FC" w:rsidRDefault="00B42EF3">
      <w:pPr>
        <w:pStyle w:val="Definition-Field2"/>
      </w:pPr>
      <w:r>
        <w:t>Office only successfully writes out the selection child element.  The other child elements have not been implemented.</w:t>
      </w:r>
    </w:p>
    <w:p w:rsidR="005F78FC" w:rsidRDefault="00B42EF3">
      <w:pPr>
        <w:pStyle w:val="Heading3"/>
      </w:pPr>
      <w:bookmarkStart w:id="3064" w:name="section_21771f8836944e2b9df27e0165525383"/>
      <w:bookmarkStart w:id="3065" w:name="_Toc69879305"/>
      <w:r>
        <w:t>Part 1 Section 21.2.2</w:t>
      </w:r>
      <w:r>
        <w:t>.150, pt (Numeric Point)</w:t>
      </w:r>
      <w:bookmarkEnd w:id="3064"/>
      <w:bookmarkEnd w:id="3065"/>
      <w:r>
        <w:fldChar w:fldCharType="begin"/>
      </w:r>
      <w:r>
        <w:instrText xml:space="preserve"> XE "pt (Numeric Point)" </w:instrText>
      </w:r>
      <w:r>
        <w:fldChar w:fldCharType="end"/>
      </w:r>
    </w:p>
    <w:p w:rsidR="005F78FC" w:rsidRDefault="00B42EF3">
      <w:pPr>
        <w:pStyle w:val="Definition-Field"/>
      </w:pPr>
      <w:r>
        <w:t xml:space="preserve">a.   </w:t>
      </w:r>
      <w:r>
        <w:rPr>
          <w:i/>
        </w:rPr>
        <w:t>The standard does not state uniqueness or maximum value restrictions for the idx attribute.</w:t>
      </w:r>
    </w:p>
    <w:p w:rsidR="005F78FC" w:rsidRDefault="00B42EF3">
      <w:pPr>
        <w:pStyle w:val="Definition-Field2"/>
      </w:pPr>
      <w:r>
        <w:t xml:space="preserve">Office requires that the idx attribute be unique amongst siblings and be between 0 and the total points in </w:t>
      </w:r>
      <w:r>
        <w:t>the parent element minus one.</w:t>
      </w:r>
    </w:p>
    <w:p w:rsidR="005F78FC" w:rsidRDefault="00B42EF3">
      <w:pPr>
        <w:pStyle w:val="Definition-Field"/>
      </w:pPr>
      <w:r>
        <w:t xml:space="preserve">b.   </w:t>
      </w:r>
      <w:r>
        <w:rPr>
          <w:i/>
        </w:rPr>
        <w:t>The standard states that the values of the idx attribute are defined by the XML Schema unsignedInt datatype.</w:t>
      </w:r>
    </w:p>
    <w:p w:rsidR="005F78FC" w:rsidRDefault="00B42EF3">
      <w:pPr>
        <w:pStyle w:val="Definition-Field2"/>
      </w:pPr>
      <w:r>
        <w:t>Office restricts the value of this attribute to be at most 2147483647.</w:t>
      </w:r>
    </w:p>
    <w:p w:rsidR="005F78FC" w:rsidRDefault="00B42EF3">
      <w:pPr>
        <w:pStyle w:val="Definition-Field"/>
      </w:pPr>
      <w:r>
        <w:t xml:space="preserve">c.   </w:t>
      </w:r>
      <w:r>
        <w:rPr>
          <w:i/>
        </w:rPr>
        <w:t>The standard states that the idx att</w:t>
      </w:r>
      <w:r>
        <w:rPr>
          <w:i/>
        </w:rPr>
        <w:t>ribute is the index of the series in the collection.</w:t>
      </w:r>
    </w:p>
    <w:p w:rsidR="005F78FC" w:rsidRDefault="00B42EF3">
      <w:pPr>
        <w:pStyle w:val="Definition-Field2"/>
      </w:pPr>
      <w:r>
        <w:t>In Office, the idx attribute is the index of the points in the collection.</w:t>
      </w:r>
    </w:p>
    <w:p w:rsidR="005F78FC" w:rsidRDefault="00B42EF3">
      <w:pPr>
        <w:pStyle w:val="Heading3"/>
      </w:pPr>
      <w:bookmarkStart w:id="3066" w:name="section_a73d668fe5e64f209740a419ea6e4ea3"/>
      <w:bookmarkStart w:id="3067" w:name="_Toc69879306"/>
      <w:r>
        <w:t>Part 1 Section 21.2.2.151, pt (String Point)</w:t>
      </w:r>
      <w:bookmarkEnd w:id="3066"/>
      <w:bookmarkEnd w:id="3067"/>
      <w:r>
        <w:fldChar w:fldCharType="begin"/>
      </w:r>
      <w:r>
        <w:instrText xml:space="preserve"> XE "pt (String Point)" </w:instrText>
      </w:r>
      <w:r>
        <w:fldChar w:fldCharType="end"/>
      </w:r>
    </w:p>
    <w:p w:rsidR="005F78FC" w:rsidRDefault="00B42EF3">
      <w:pPr>
        <w:pStyle w:val="Definition-Field"/>
      </w:pPr>
      <w:r>
        <w:t xml:space="preserve">a.   </w:t>
      </w:r>
      <w:r>
        <w:rPr>
          <w:i/>
        </w:rPr>
        <w:t>The standard states that the values of the idx attri</w:t>
      </w:r>
      <w:r>
        <w:rPr>
          <w:i/>
        </w:rPr>
        <w:t>bute are defined by the XML Schema unsignedInt datatype.</w:t>
      </w:r>
    </w:p>
    <w:p w:rsidR="005F78FC" w:rsidRDefault="00B42EF3">
      <w:pPr>
        <w:pStyle w:val="Definition-Field2"/>
      </w:pPr>
      <w:r>
        <w:t>Office restricts the value of this attribute to be at most 2147483647.</w:t>
      </w:r>
    </w:p>
    <w:p w:rsidR="005F78FC" w:rsidRDefault="00B42EF3">
      <w:pPr>
        <w:pStyle w:val="Definition-Field"/>
      </w:pPr>
      <w:r>
        <w:t xml:space="preserve">b.   </w:t>
      </w:r>
      <w:r>
        <w:rPr>
          <w:i/>
        </w:rPr>
        <w:t>The standard does not state uniqueness or maximum value restrictions for the idx attribute.</w:t>
      </w:r>
    </w:p>
    <w:p w:rsidR="005F78FC" w:rsidRDefault="00B42EF3">
      <w:pPr>
        <w:pStyle w:val="Definition-Field2"/>
      </w:pPr>
      <w:r>
        <w:t xml:space="preserve">Office requires that the idx </w:t>
      </w:r>
      <w:r>
        <w:t>attribute be unique amongst siblings and be between 0 and the total points in the parent element minus one.</w:t>
      </w:r>
    </w:p>
    <w:p w:rsidR="005F78FC" w:rsidRDefault="00B42EF3">
      <w:pPr>
        <w:pStyle w:val="Heading3"/>
      </w:pPr>
      <w:bookmarkStart w:id="3068" w:name="section_cc0514b40c864b5493dbb549ef487ce6"/>
      <w:bookmarkStart w:id="3069" w:name="_Toc69879307"/>
      <w:r>
        <w:t>Part 1 Section 21.2.2.152, ptCount (Point Count)</w:t>
      </w:r>
      <w:bookmarkEnd w:id="3068"/>
      <w:bookmarkEnd w:id="3069"/>
      <w:r>
        <w:fldChar w:fldCharType="begin"/>
      </w:r>
      <w:r>
        <w:instrText xml:space="preserve"> XE "ptCount (Point Count)" </w:instrText>
      </w:r>
      <w:r>
        <w:fldChar w:fldCharType="end"/>
      </w:r>
    </w:p>
    <w:p w:rsidR="005F78FC" w:rsidRDefault="00B42EF3">
      <w:pPr>
        <w:pStyle w:val="Definition-Field"/>
      </w:pPr>
      <w:r>
        <w:t xml:space="preserve">a.   </w:t>
      </w:r>
      <w:r>
        <w:rPr>
          <w:i/>
        </w:rPr>
        <w:t>The standard states that the values of the val attribute are def</w:t>
      </w:r>
      <w:r>
        <w:rPr>
          <w:i/>
        </w:rPr>
        <w:t>ined by the XML Schema unsignedInt datatype.</w:t>
      </w:r>
    </w:p>
    <w:p w:rsidR="005F78FC" w:rsidRDefault="00B42EF3">
      <w:pPr>
        <w:pStyle w:val="Definition-Field2"/>
      </w:pPr>
      <w:r>
        <w:t>Office restricts the value of this attribute to be at most 2147483647.</w:t>
      </w:r>
    </w:p>
    <w:p w:rsidR="005F78FC" w:rsidRDefault="00B42EF3">
      <w:pPr>
        <w:pStyle w:val="Heading3"/>
      </w:pPr>
      <w:bookmarkStart w:id="3070" w:name="section_0cd74246587c4969aa8c705f633ff3d9"/>
      <w:bookmarkStart w:id="3071" w:name="_Toc69879308"/>
      <w:r>
        <w:t>Part 1 Section 21.2.2.153, radarChart (Radar Charts)</w:t>
      </w:r>
      <w:bookmarkEnd w:id="3070"/>
      <w:bookmarkEnd w:id="3071"/>
      <w:r>
        <w:fldChar w:fldCharType="begin"/>
      </w:r>
      <w:r>
        <w:instrText xml:space="preserve"> XE "radarChart (Radar Charts)" </w:instrText>
      </w:r>
      <w:r>
        <w:fldChar w:fldCharType="end"/>
      </w:r>
    </w:p>
    <w:p w:rsidR="005F78FC" w:rsidRDefault="00B42EF3">
      <w:pPr>
        <w:pStyle w:val="Definition-Field"/>
      </w:pPr>
      <w:r>
        <w:t xml:space="preserve">a.   </w:t>
      </w:r>
      <w:r>
        <w:rPr>
          <w:i/>
        </w:rPr>
        <w:t>The standard states that the maxOccurs value for</w:t>
      </w:r>
      <w:r>
        <w:rPr>
          <w:i/>
        </w:rPr>
        <w:t xml:space="preserve"> the ser child element is unbounded.</w:t>
      </w:r>
    </w:p>
    <w:p w:rsidR="005F78FC" w:rsidRDefault="00B42EF3">
      <w:pPr>
        <w:pStyle w:val="Definition-Field2"/>
      </w:pPr>
      <w:r>
        <w:t>Office limits the occurrences of this element to 255.</w:t>
      </w:r>
    </w:p>
    <w:p w:rsidR="005F78FC" w:rsidRDefault="00B42EF3">
      <w:pPr>
        <w:pStyle w:val="Heading3"/>
      </w:pPr>
      <w:bookmarkStart w:id="3072" w:name="section_b303418c8a0746d5b1dee6905c3b589c"/>
      <w:bookmarkStart w:id="3073" w:name="_Toc69879309"/>
      <w:r>
        <w:t>Part 1 Section 21.2.2.154, radarStyle (Radar Style)</w:t>
      </w:r>
      <w:bookmarkEnd w:id="3072"/>
      <w:bookmarkEnd w:id="3073"/>
      <w:r>
        <w:fldChar w:fldCharType="begin"/>
      </w:r>
      <w:r>
        <w:instrText xml:space="preserve"> XE "radarStyle (Radar Style)" </w:instrText>
      </w:r>
      <w:r>
        <w:fldChar w:fldCharType="end"/>
      </w:r>
    </w:p>
    <w:p w:rsidR="005F78FC" w:rsidRDefault="00B42EF3">
      <w:pPr>
        <w:pStyle w:val="Definition-Field"/>
      </w:pPr>
      <w:r>
        <w:t xml:space="preserve">a.   </w:t>
      </w:r>
      <w:r>
        <w:rPr>
          <w:i/>
        </w:rPr>
        <w:t>The standard implies that the val attribute is optional.</w:t>
      </w:r>
    </w:p>
    <w:p w:rsidR="005F78FC" w:rsidRDefault="00B42EF3">
      <w:pPr>
        <w:pStyle w:val="Definition-Field2"/>
      </w:pPr>
      <w:r>
        <w:lastRenderedPageBreak/>
        <w:t>Office requires th</w:t>
      </w:r>
      <w:r>
        <w:t>is attribute.</w:t>
      </w:r>
    </w:p>
    <w:p w:rsidR="005F78FC" w:rsidRDefault="00B42EF3">
      <w:pPr>
        <w:pStyle w:val="Heading3"/>
      </w:pPr>
      <w:bookmarkStart w:id="3074" w:name="section_c7d20cb511c9401ab29a03574828cd25"/>
      <w:bookmarkStart w:id="3075" w:name="_Toc69879310"/>
      <w:r>
        <w:t>Part 1 Section 21.2.2.155, rAngAx (Right Angle Axes)</w:t>
      </w:r>
      <w:bookmarkEnd w:id="3074"/>
      <w:bookmarkEnd w:id="3075"/>
      <w:r>
        <w:fldChar w:fldCharType="begin"/>
      </w:r>
      <w:r>
        <w:instrText xml:space="preserve"> XE "rAngAx (Right Angle Axes)" </w:instrText>
      </w:r>
      <w:r>
        <w:fldChar w:fldCharType="end"/>
      </w:r>
    </w:p>
    <w:p w:rsidR="005F78FC" w:rsidRDefault="00B42EF3">
      <w:pPr>
        <w:pStyle w:val="Definition-Field"/>
      </w:pPr>
      <w:r>
        <w:t xml:space="preserve">a.   </w:t>
      </w:r>
      <w:r>
        <w:rPr>
          <w:i/>
        </w:rPr>
        <w:t>The standard does not describe any interplay between this element and the rotX, rotY elements.</w:t>
      </w:r>
    </w:p>
    <w:p w:rsidR="005F78FC" w:rsidRDefault="00B42EF3">
      <w:pPr>
        <w:pStyle w:val="Definition-Field2"/>
      </w:pPr>
      <w:r>
        <w:t xml:space="preserve">Office only calculates the default extrude angles with </w:t>
      </w:r>
      <w:r>
        <w:t>the rotX and rotY values when the rAngAx element is specified.</w:t>
      </w:r>
    </w:p>
    <w:p w:rsidR="005F78FC" w:rsidRDefault="00B42EF3">
      <w:pPr>
        <w:pStyle w:val="Heading3"/>
      </w:pPr>
      <w:bookmarkStart w:id="3076" w:name="section_6f6e05f38a224170a467b859506d76c7"/>
      <w:bookmarkStart w:id="3077" w:name="_Toc69879311"/>
      <w:r>
        <w:t>Part 1 Section 21.2.2.156, rich (Rich Text)</w:t>
      </w:r>
      <w:bookmarkEnd w:id="3076"/>
      <w:bookmarkEnd w:id="3077"/>
      <w:r>
        <w:fldChar w:fldCharType="begin"/>
      </w:r>
      <w:r>
        <w:instrText xml:space="preserve"> XE "rich (Rich Text)" </w:instrText>
      </w:r>
      <w:r>
        <w:fldChar w:fldCharType="end"/>
      </w:r>
    </w:p>
    <w:p w:rsidR="005F78FC" w:rsidRDefault="00B42EF3">
      <w:pPr>
        <w:pStyle w:val="Definition-Field"/>
      </w:pPr>
      <w:r>
        <w:t xml:space="preserve">a.   </w:t>
      </w:r>
      <w:r>
        <w:rPr>
          <w:i/>
        </w:rPr>
        <w:t>The standard states that the maxOccurs value for the child element p is unbounded.</w:t>
      </w:r>
    </w:p>
    <w:p w:rsidR="005F78FC" w:rsidRDefault="00B42EF3">
      <w:pPr>
        <w:pStyle w:val="Definition-Field2"/>
      </w:pPr>
      <w:r>
        <w:t xml:space="preserve">Office limits the number of p child </w:t>
      </w:r>
      <w:r>
        <w:t>elements to the total character count of all p elements under rich, which can be a maximum of 255.</w:t>
      </w:r>
    </w:p>
    <w:p w:rsidR="005F78FC" w:rsidRDefault="00B42EF3">
      <w:pPr>
        <w:pStyle w:val="Heading3"/>
      </w:pPr>
      <w:bookmarkStart w:id="3078" w:name="section_3a25f022e56d4b758361c2d5beab1060"/>
      <w:bookmarkStart w:id="3079" w:name="_Toc69879312"/>
      <w:r>
        <w:t>Part 1 Section 21.2.2.161, scatterChart (Scatter Charts)</w:t>
      </w:r>
      <w:bookmarkEnd w:id="3078"/>
      <w:bookmarkEnd w:id="3079"/>
      <w:r>
        <w:fldChar w:fldCharType="begin"/>
      </w:r>
      <w:r>
        <w:instrText xml:space="preserve"> XE "scatterChart (Scatter Charts)" </w:instrText>
      </w:r>
      <w:r>
        <w:fldChar w:fldCharType="end"/>
      </w:r>
    </w:p>
    <w:p w:rsidR="005F78FC" w:rsidRDefault="00B42EF3">
      <w:pPr>
        <w:pStyle w:val="Definition-Field"/>
      </w:pPr>
      <w:r>
        <w:t xml:space="preserve">a.   </w:t>
      </w:r>
      <w:r>
        <w:rPr>
          <w:i/>
        </w:rPr>
        <w:t xml:space="preserve">The standard states that the maxOccurs value for the ser </w:t>
      </w:r>
      <w:r>
        <w:rPr>
          <w:i/>
        </w:rPr>
        <w:t>child element is unbounded.</w:t>
      </w:r>
    </w:p>
    <w:p w:rsidR="005F78FC" w:rsidRDefault="00B42EF3">
      <w:pPr>
        <w:pStyle w:val="Definition-Field2"/>
      </w:pPr>
      <w:r>
        <w:t>Office limits the occurrences of this element to 255.</w:t>
      </w:r>
    </w:p>
    <w:p w:rsidR="005F78FC" w:rsidRDefault="00B42EF3">
      <w:pPr>
        <w:pStyle w:val="Heading3"/>
      </w:pPr>
      <w:bookmarkStart w:id="3080" w:name="section_ada73b7e3161426f89b3ecbcc68eace0"/>
      <w:bookmarkStart w:id="3081" w:name="_Toc69879313"/>
      <w:r>
        <w:t>Part 1 Section 21.2.2.163, secondPiePt (Second Pie Point)</w:t>
      </w:r>
      <w:bookmarkEnd w:id="3080"/>
      <w:bookmarkEnd w:id="3081"/>
      <w:r>
        <w:fldChar w:fldCharType="begin"/>
      </w:r>
      <w:r>
        <w:instrText xml:space="preserve"> XE "secondPiePt (Second Pie Point)" </w:instrText>
      </w:r>
      <w:r>
        <w:fldChar w:fldCharType="end"/>
      </w:r>
    </w:p>
    <w:p w:rsidR="005F78FC" w:rsidRDefault="00B42EF3">
      <w:pPr>
        <w:pStyle w:val="Definition-Field"/>
      </w:pPr>
      <w:r>
        <w:t xml:space="preserve">a.   </w:t>
      </w:r>
      <w:r>
        <w:rPr>
          <w:i/>
        </w:rPr>
        <w:t>The standard states that the contents of the val attribute are interpret</w:t>
      </w:r>
      <w:r>
        <w:rPr>
          <w:i/>
        </w:rPr>
        <w:t>ed based on the context of the parent element.</w:t>
      </w:r>
    </w:p>
    <w:p w:rsidR="005F78FC" w:rsidRDefault="00B42EF3">
      <w:pPr>
        <w:pStyle w:val="Definition-Field2"/>
      </w:pPr>
      <w:r>
        <w:t>In Office, the val attribute is a zero-based index into the chart's data series that must be unique amongst secondPiePt elements within the same collection.</w:t>
      </w:r>
    </w:p>
    <w:p w:rsidR="005F78FC" w:rsidRDefault="00B42EF3">
      <w:pPr>
        <w:pStyle w:val="Definition-Field"/>
      </w:pPr>
      <w:r>
        <w:t xml:space="preserve">b.   </w:t>
      </w:r>
      <w:r>
        <w:rPr>
          <w:i/>
        </w:rPr>
        <w:t xml:space="preserve">The standard states that the values of the val </w:t>
      </w:r>
      <w:r>
        <w:rPr>
          <w:i/>
        </w:rPr>
        <w:t>attribute are defined by the XML Schema unsignedInt datatype.</w:t>
      </w:r>
    </w:p>
    <w:p w:rsidR="005F78FC" w:rsidRDefault="00B42EF3">
      <w:pPr>
        <w:pStyle w:val="Definition-Field2"/>
      </w:pPr>
      <w:r>
        <w:t>Office restricts the value of this attribute to be at most 2147483647.</w:t>
      </w:r>
    </w:p>
    <w:p w:rsidR="005F78FC" w:rsidRDefault="00B42EF3">
      <w:pPr>
        <w:pStyle w:val="Heading3"/>
      </w:pPr>
      <w:bookmarkStart w:id="3082" w:name="section_172cb24b16a94bc48a94aa447afb2486"/>
      <w:bookmarkStart w:id="3083" w:name="_Toc69879314"/>
      <w:r>
        <w:t>Part 1 Section 21.2.2.166, separator (Separator)</w:t>
      </w:r>
      <w:bookmarkEnd w:id="3082"/>
      <w:bookmarkEnd w:id="3083"/>
      <w:r>
        <w:fldChar w:fldCharType="begin"/>
      </w:r>
      <w:r>
        <w:instrText xml:space="preserve"> XE "separator (Separator)" </w:instrText>
      </w:r>
      <w:r>
        <w:fldChar w:fldCharType="end"/>
      </w:r>
    </w:p>
    <w:p w:rsidR="005F78FC" w:rsidRDefault="00B42EF3">
      <w:pPr>
        <w:pStyle w:val="Definition-Field"/>
      </w:pPr>
      <w:r>
        <w:t xml:space="preserve">a.   </w:t>
      </w:r>
      <w:r>
        <w:rPr>
          <w:i/>
        </w:rPr>
        <w:t>The standard states that the default se</w:t>
      </w:r>
      <w:r>
        <w:rPr>
          <w:i/>
        </w:rPr>
        <w:t>parator is a comma.</w:t>
      </w:r>
    </w:p>
    <w:p w:rsidR="005F78FC" w:rsidRDefault="00B42EF3">
      <w:pPr>
        <w:pStyle w:val="Definition-Field2"/>
      </w:pPr>
      <w:r>
        <w:t>In Office, the default separator is region/language specific.</w:t>
      </w:r>
    </w:p>
    <w:p w:rsidR="005F78FC" w:rsidRDefault="00B42EF3">
      <w:pPr>
        <w:pStyle w:val="Heading3"/>
      </w:pPr>
      <w:bookmarkStart w:id="3084" w:name="section_8d3e50cd20d74a88b682fa2e521d61b3"/>
      <w:bookmarkStart w:id="3085" w:name="_Toc69879315"/>
      <w:r>
        <w:t>Part 1 Section 21.2.2.167, ser (Scatter Chart Series)</w:t>
      </w:r>
      <w:bookmarkEnd w:id="3084"/>
      <w:bookmarkEnd w:id="3085"/>
      <w:r>
        <w:fldChar w:fldCharType="begin"/>
      </w:r>
      <w:r>
        <w:instrText xml:space="preserve"> XE "ser (Scatter Chart Series)"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f1c2a0708b434ac8a91fc7fcfada5506">
        <w:r>
          <w:rPr>
            <w:rStyle w:val="Hyperlink"/>
          </w:rPr>
          <w:t>ser, §21.2.2.174(b)</w:t>
        </w:r>
      </w:hyperlink>
      <w:r>
        <w:rPr>
          <w:i/>
        </w:rPr>
        <w:t>.</w:t>
      </w:r>
    </w:p>
    <w:p w:rsidR="005F78FC" w:rsidRDefault="00B42EF3">
      <w:pPr>
        <w:pStyle w:val="Definition-Field"/>
      </w:pPr>
      <w:r>
        <w:t xml:space="preserve">a.   </w:t>
      </w:r>
      <w:r>
        <w:rPr>
          <w:i/>
        </w:rPr>
        <w:t xml:space="preserve">The standard states that the maxOccurs value for the trendline child element </w:t>
      </w:r>
      <w:r>
        <w:rPr>
          <w:i/>
        </w:rPr>
        <w:t>is unbounded.</w:t>
      </w:r>
    </w:p>
    <w:p w:rsidR="005F78FC" w:rsidRDefault="00B42EF3">
      <w:pPr>
        <w:pStyle w:val="Definition-Field2"/>
      </w:pPr>
      <w:r>
        <w:t>Office limits the occurrences of this element to 254.</w:t>
      </w:r>
    </w:p>
    <w:p w:rsidR="005F78FC" w:rsidRDefault="00B42EF3">
      <w:pPr>
        <w:pStyle w:val="Definition-Field"/>
      </w:pPr>
      <w:r>
        <w:t xml:space="preserve">b.   </w:t>
      </w:r>
      <w:r>
        <w:rPr>
          <w:i/>
        </w:rPr>
        <w:t>The standard states that the maxOccurs value for the dPt child element is unbounded.</w:t>
      </w:r>
    </w:p>
    <w:p w:rsidR="005F78FC" w:rsidRDefault="00B42EF3">
      <w:pPr>
        <w:pStyle w:val="Definition-Field2"/>
      </w:pPr>
      <w:r>
        <w:t>Office limits the occurrences of this element to 32000.</w:t>
      </w:r>
    </w:p>
    <w:p w:rsidR="005F78FC" w:rsidRDefault="00B42EF3">
      <w:pPr>
        <w:pStyle w:val="Heading3"/>
      </w:pPr>
      <w:bookmarkStart w:id="3086" w:name="section_3eecdd275cd04745bf738025f834a3bd"/>
      <w:bookmarkStart w:id="3087" w:name="_Toc69879316"/>
      <w:r>
        <w:t>Part 1 Section 21.2.2.168, ser (Area Chart</w:t>
      </w:r>
      <w:r>
        <w:t xml:space="preserve"> Series)</w:t>
      </w:r>
      <w:bookmarkEnd w:id="3086"/>
      <w:bookmarkEnd w:id="3087"/>
      <w:r>
        <w:fldChar w:fldCharType="begin"/>
      </w:r>
      <w:r>
        <w:instrText xml:space="preserve"> XE "ser (Area Chart Series)" </w:instrText>
      </w:r>
      <w:r>
        <w:fldChar w:fldCharType="end"/>
      </w:r>
    </w:p>
    <w:p w:rsidR="005F78FC" w:rsidRDefault="00B42EF3">
      <w:pPr>
        <w:pStyle w:val="Definition-Field"/>
      </w:pPr>
      <w:r>
        <w:t xml:space="preserve">a.   </w:t>
      </w:r>
      <w:r>
        <w:rPr>
          <w:i/>
        </w:rPr>
        <w:t>The standard states that the maxOccurs value for the trendline child element is unbounded.</w:t>
      </w:r>
    </w:p>
    <w:p w:rsidR="005F78FC" w:rsidRDefault="00B42EF3">
      <w:pPr>
        <w:pStyle w:val="Definition-Field2"/>
      </w:pPr>
      <w:r>
        <w:lastRenderedPageBreak/>
        <w:t>Office limits the occurrences of this element to 254.</w:t>
      </w:r>
    </w:p>
    <w:p w:rsidR="005F78FC" w:rsidRDefault="00B42EF3">
      <w:pPr>
        <w:pStyle w:val="Definition-Field"/>
      </w:pPr>
      <w:r>
        <w:t xml:space="preserve">b.   </w:t>
      </w:r>
      <w:r>
        <w:rPr>
          <w:i/>
        </w:rPr>
        <w:t>The standard states that the minOccurs value for the val chi</w:t>
      </w:r>
      <w:r>
        <w:rPr>
          <w:i/>
        </w:rPr>
        <w:t>ld element is 0.</w:t>
      </w:r>
    </w:p>
    <w:p w:rsidR="005F78FC" w:rsidRDefault="00B42EF3">
      <w:pPr>
        <w:pStyle w:val="Definition-Field2"/>
      </w:pPr>
      <w:r>
        <w:t>Office requires an occurrence of this element.</w:t>
      </w:r>
    </w:p>
    <w:p w:rsidR="005F78FC" w:rsidRDefault="00B42EF3">
      <w:pPr>
        <w:pStyle w:val="Definition-Field"/>
      </w:pPr>
      <w:r>
        <w:t xml:space="preserve">c.   </w:t>
      </w:r>
      <w:r>
        <w:rPr>
          <w:i/>
        </w:rPr>
        <w:t>The standard states that the maxOccurs value for the dPt child element is unbounded.</w:t>
      </w:r>
    </w:p>
    <w:p w:rsidR="005F78FC" w:rsidRDefault="00B42EF3">
      <w:pPr>
        <w:pStyle w:val="Definition-Field2"/>
      </w:pPr>
      <w:r>
        <w:t>Office limits the occurrences of this element to 4000 when inside an area3DChart and 32000 otherwise.</w:t>
      </w:r>
    </w:p>
    <w:p w:rsidR="005F78FC" w:rsidRDefault="00B42EF3">
      <w:pPr>
        <w:pStyle w:val="Heading3"/>
      </w:pPr>
      <w:bookmarkStart w:id="3088" w:name="section_5dd6d57728244f22939485f6c5e4ab13"/>
      <w:bookmarkStart w:id="3089" w:name="_Toc69879317"/>
      <w:r>
        <w:t>Part 1 Section 21.2.2.169, ser (Radar Chart Series)</w:t>
      </w:r>
      <w:bookmarkEnd w:id="3088"/>
      <w:bookmarkEnd w:id="3089"/>
      <w:r>
        <w:fldChar w:fldCharType="begin"/>
      </w:r>
      <w:r>
        <w:instrText xml:space="preserve"> XE "ser (Radar Chart Series)" </w:instrText>
      </w:r>
      <w:r>
        <w:fldChar w:fldCharType="end"/>
      </w:r>
    </w:p>
    <w:p w:rsidR="005F78FC" w:rsidRDefault="00B42EF3">
      <w:pPr>
        <w:pStyle w:val="Definition-Field"/>
      </w:pPr>
      <w:r>
        <w:t xml:space="preserve">a.   </w:t>
      </w:r>
      <w:r>
        <w:rPr>
          <w:i/>
        </w:rPr>
        <w:t>The standard states that the maxOccurs value for the dPt child element is unbounded.</w:t>
      </w:r>
    </w:p>
    <w:p w:rsidR="005F78FC" w:rsidRDefault="00B42EF3">
      <w:pPr>
        <w:pStyle w:val="Definition-Field2"/>
      </w:pPr>
      <w:r>
        <w:t>Office limits the occurrences of this element to 32000.</w:t>
      </w:r>
    </w:p>
    <w:p w:rsidR="005F78FC" w:rsidRDefault="00B42EF3">
      <w:pPr>
        <w:pStyle w:val="Heading3"/>
      </w:pPr>
      <w:bookmarkStart w:id="3090" w:name="section_22c33bf427ac4854bedac6bd361820d7"/>
      <w:bookmarkStart w:id="3091" w:name="_Toc69879318"/>
      <w:r>
        <w:t>Part 1 Section 21.2.2.170</w:t>
      </w:r>
      <w:r>
        <w:t>, ser (Bar Chart Series)</w:t>
      </w:r>
      <w:bookmarkEnd w:id="3090"/>
      <w:bookmarkEnd w:id="3091"/>
      <w:r>
        <w:fldChar w:fldCharType="begin"/>
      </w:r>
      <w:r>
        <w:instrText xml:space="preserve"> XE "ser (Bar Chart Series)" </w:instrText>
      </w:r>
      <w:r>
        <w:fldChar w:fldCharType="end"/>
      </w:r>
    </w:p>
    <w:p w:rsidR="005F78FC" w:rsidRDefault="00B42EF3">
      <w:pPr>
        <w:pStyle w:val="Definition-Field"/>
      </w:pPr>
      <w:r>
        <w:t xml:space="preserve">a.   </w:t>
      </w:r>
      <w:r>
        <w:rPr>
          <w:i/>
        </w:rPr>
        <w:t>The standard states that the maxOccurs value for the trendline child element is unbounded.</w:t>
      </w:r>
    </w:p>
    <w:p w:rsidR="005F78FC" w:rsidRDefault="00B42EF3">
      <w:pPr>
        <w:pStyle w:val="Definition-Field2"/>
      </w:pPr>
      <w:r>
        <w:t>Office limits the occurrences of this element to 254.</w:t>
      </w:r>
    </w:p>
    <w:p w:rsidR="005F78FC" w:rsidRDefault="00B42EF3">
      <w:pPr>
        <w:pStyle w:val="Definition-Field"/>
      </w:pPr>
      <w:r>
        <w:t xml:space="preserve">b.   </w:t>
      </w:r>
      <w:r>
        <w:rPr>
          <w:i/>
        </w:rPr>
        <w:t xml:space="preserve">The standard states that the maxOccurs value </w:t>
      </w:r>
      <w:r>
        <w:rPr>
          <w:i/>
        </w:rPr>
        <w:t>for the dPt child element is unbounded.</w:t>
      </w:r>
    </w:p>
    <w:p w:rsidR="005F78FC" w:rsidRDefault="00B42EF3">
      <w:pPr>
        <w:pStyle w:val="Definition-Field2"/>
      </w:pPr>
      <w:r>
        <w:t>Office limits the occurrences of this element to 4000 when inside a bar3DChart and 32000 otherwise.</w:t>
      </w:r>
    </w:p>
    <w:p w:rsidR="005F78FC" w:rsidRDefault="00B42EF3">
      <w:pPr>
        <w:pStyle w:val="Heading3"/>
      </w:pPr>
      <w:bookmarkStart w:id="3092" w:name="section_578d597b6a684e39a980bc2897aa728e"/>
      <w:bookmarkStart w:id="3093" w:name="_Toc69879319"/>
      <w:r>
        <w:t>Part 1 Section 21.2.2.171, ser (Line Chart Series)</w:t>
      </w:r>
      <w:bookmarkEnd w:id="3092"/>
      <w:bookmarkEnd w:id="3093"/>
      <w:r>
        <w:fldChar w:fldCharType="begin"/>
      </w:r>
      <w:r>
        <w:instrText xml:space="preserve"> XE "ser (Line Chart Series)" </w:instrText>
      </w:r>
      <w:r>
        <w:fldChar w:fldCharType="end"/>
      </w:r>
    </w:p>
    <w:p w:rsidR="005F78FC" w:rsidRDefault="00B42EF3">
      <w:pPr>
        <w:pStyle w:val="Definition-Field"/>
      </w:pPr>
      <w:r>
        <w:t xml:space="preserve">a.   </w:t>
      </w:r>
      <w:r>
        <w:rPr>
          <w:i/>
        </w:rPr>
        <w:t>The standard states that the</w:t>
      </w:r>
      <w:r>
        <w:rPr>
          <w:i/>
        </w:rPr>
        <w:t xml:space="preserve"> maxOccurs value for the trendline child element is unbounded.</w:t>
      </w:r>
    </w:p>
    <w:p w:rsidR="005F78FC" w:rsidRDefault="00B42EF3">
      <w:pPr>
        <w:pStyle w:val="Definition-Field2"/>
      </w:pPr>
      <w:r>
        <w:t>Office limits the occurrences of this element to 254.</w:t>
      </w:r>
    </w:p>
    <w:p w:rsidR="005F78FC" w:rsidRDefault="00B42EF3">
      <w:pPr>
        <w:pStyle w:val="Definition-Field"/>
      </w:pPr>
      <w:r>
        <w:t xml:space="preserve">b.   </w:t>
      </w:r>
      <w:r>
        <w:rPr>
          <w:i/>
        </w:rPr>
        <w:t>The standard states that the maxOccurs value for the dPt child element is unbounded.</w:t>
      </w:r>
    </w:p>
    <w:p w:rsidR="005F78FC" w:rsidRDefault="00B42EF3">
      <w:pPr>
        <w:pStyle w:val="Definition-Field2"/>
      </w:pPr>
      <w:r>
        <w:t xml:space="preserve">Office limits the occurrences of this element to </w:t>
      </w:r>
      <w:r>
        <w:t>4000 when inside a line3DChart and 32000 otherwise.</w:t>
      </w:r>
    </w:p>
    <w:p w:rsidR="005F78FC" w:rsidRDefault="00B42EF3">
      <w:pPr>
        <w:pStyle w:val="Heading3"/>
      </w:pPr>
      <w:bookmarkStart w:id="3094" w:name="section_b585b8c605e644d9998ff52943ad40ef"/>
      <w:bookmarkStart w:id="3095" w:name="_Toc69879320"/>
      <w:r>
        <w:t>Part 1 Section 21.2.2.172, ser (Pie Chart Series)</w:t>
      </w:r>
      <w:bookmarkEnd w:id="3094"/>
      <w:bookmarkEnd w:id="3095"/>
      <w:r>
        <w:fldChar w:fldCharType="begin"/>
      </w:r>
      <w:r>
        <w:instrText xml:space="preserve"> XE "ser (Pie Chart Series)" </w:instrText>
      </w:r>
      <w:r>
        <w:fldChar w:fldCharType="end"/>
      </w:r>
    </w:p>
    <w:p w:rsidR="005F78FC" w:rsidRDefault="00B42EF3">
      <w:pPr>
        <w:pStyle w:val="Definition-Field"/>
      </w:pPr>
      <w:r>
        <w:t xml:space="preserve">a.   </w:t>
      </w:r>
      <w:r>
        <w:rPr>
          <w:i/>
        </w:rPr>
        <w:t>The standard states that the maxOccurs value for the dPt child element is unbounded.</w:t>
      </w:r>
    </w:p>
    <w:p w:rsidR="005F78FC" w:rsidRDefault="00B42EF3">
      <w:pPr>
        <w:pStyle w:val="Definition-Field2"/>
      </w:pPr>
      <w:r>
        <w:t xml:space="preserve">Office limits the occurrences of </w:t>
      </w:r>
      <w:r>
        <w:t>this element to 4000 when inside a pie3DChart element and 32000 otherwise.</w:t>
      </w:r>
    </w:p>
    <w:p w:rsidR="005F78FC" w:rsidRDefault="00B42EF3">
      <w:pPr>
        <w:pStyle w:val="Heading3"/>
      </w:pPr>
      <w:bookmarkStart w:id="3096" w:name="section_f1c2a0708b434ac8a91fc7fcfada5506"/>
      <w:bookmarkStart w:id="3097" w:name="_Toc69879321"/>
      <w:r>
        <w:t>Part 1 Section 21.2.2.174, ser (Bubble Chart Series)</w:t>
      </w:r>
      <w:bookmarkEnd w:id="3096"/>
      <w:bookmarkEnd w:id="3097"/>
      <w:r>
        <w:fldChar w:fldCharType="begin"/>
      </w:r>
      <w:r>
        <w:instrText xml:space="preserve"> XE "ser (Bubble Chart Series)" </w:instrText>
      </w:r>
      <w:r>
        <w:fldChar w:fldCharType="end"/>
      </w:r>
    </w:p>
    <w:p w:rsidR="005F78FC" w:rsidRDefault="00B42EF3">
      <w:pPr>
        <w:pStyle w:val="Definition-Field"/>
      </w:pPr>
      <w:r>
        <w:t xml:space="preserve">a.   </w:t>
      </w:r>
      <w:r>
        <w:rPr>
          <w:i/>
        </w:rPr>
        <w:t xml:space="preserve">The standard states that the maxOccurs value for the trendline child element is </w:t>
      </w:r>
      <w:r>
        <w:rPr>
          <w:i/>
        </w:rPr>
        <w:t>unbounded.</w:t>
      </w:r>
    </w:p>
    <w:p w:rsidR="005F78FC" w:rsidRDefault="00B42EF3">
      <w:pPr>
        <w:pStyle w:val="Definition-Field2"/>
      </w:pPr>
      <w:r>
        <w:t>Office limits the occurrences of this element to 254.</w:t>
      </w:r>
    </w:p>
    <w:p w:rsidR="005F78FC" w:rsidRDefault="00B42EF3">
      <w:pPr>
        <w:pStyle w:val="Definition-Field"/>
      </w:pPr>
      <w:r>
        <w:t xml:space="preserve">b.   </w:t>
      </w:r>
      <w:r>
        <w:rPr>
          <w:i/>
        </w:rPr>
        <w:t>The standard states that the minOccurs value for the yVal child element is 0.</w:t>
      </w:r>
    </w:p>
    <w:p w:rsidR="005F78FC" w:rsidRDefault="00B42EF3">
      <w:pPr>
        <w:pStyle w:val="Definition-Field2"/>
      </w:pPr>
      <w:r>
        <w:t>Office requires an occurrence of this element.</w:t>
      </w:r>
    </w:p>
    <w:p w:rsidR="005F78FC" w:rsidRDefault="00B42EF3">
      <w:pPr>
        <w:pStyle w:val="Definition-Field"/>
      </w:pPr>
      <w:r>
        <w:t xml:space="preserve">c.   </w:t>
      </w:r>
      <w:r>
        <w:rPr>
          <w:i/>
        </w:rPr>
        <w:t>The standard states that the maxOccurs value for the dPt</w:t>
      </w:r>
      <w:r>
        <w:rPr>
          <w:i/>
        </w:rPr>
        <w:t xml:space="preserve"> child element is unbounded.</w:t>
      </w:r>
    </w:p>
    <w:p w:rsidR="005F78FC" w:rsidRDefault="00B42EF3">
      <w:pPr>
        <w:pStyle w:val="Definition-Field2"/>
      </w:pPr>
      <w:r>
        <w:t>Office limits the occurrences of this element to 32000.</w:t>
      </w:r>
    </w:p>
    <w:p w:rsidR="005F78FC" w:rsidRDefault="00B42EF3">
      <w:pPr>
        <w:pStyle w:val="Heading3"/>
      </w:pPr>
      <w:bookmarkStart w:id="3098" w:name="section_148a97b98f4e4289bbf9e01ca98276fd"/>
      <w:bookmarkStart w:id="3099" w:name="_Toc69879322"/>
      <w:r>
        <w:lastRenderedPageBreak/>
        <w:t>Part 1 Section 21.2.2.175, serAx (Series Axis)</w:t>
      </w:r>
      <w:bookmarkEnd w:id="3098"/>
      <w:bookmarkEnd w:id="3099"/>
      <w:r>
        <w:fldChar w:fldCharType="begin"/>
      </w:r>
      <w:r>
        <w:instrText xml:space="preserve"> XE "serAx (Series Axis)" </w:instrText>
      </w:r>
      <w:r>
        <w:fldChar w:fldCharType="end"/>
      </w:r>
    </w:p>
    <w:p w:rsidR="005F78FC" w:rsidRDefault="00B42EF3">
      <w:pPr>
        <w:pStyle w:val="Definition-Field"/>
      </w:pPr>
      <w:r>
        <w:t xml:space="preserve">a.   </w:t>
      </w:r>
      <w:r>
        <w:rPr>
          <w:i/>
        </w:rPr>
        <w:t>The standard does not place any restrictions on the val attribute of the axId element.</w:t>
      </w:r>
    </w:p>
    <w:p w:rsidR="005F78FC" w:rsidRDefault="00B42EF3">
      <w:pPr>
        <w:pStyle w:val="Definition-Field2"/>
      </w:pPr>
      <w:r>
        <w:t>Offi</w:t>
      </w:r>
      <w:r>
        <w:t>ce requires that the val attribute of the axId element match the val attribute of an axId element in the parent chart.</w:t>
      </w:r>
    </w:p>
    <w:p w:rsidR="005F78FC" w:rsidRDefault="00B42EF3">
      <w:pPr>
        <w:pStyle w:val="Definition-Field"/>
      </w:pPr>
      <w:r>
        <w:t xml:space="preserve">b.   </w:t>
      </w:r>
      <w:r>
        <w:rPr>
          <w:i/>
        </w:rPr>
        <w:t>The standard does not state any exceptions that cause the numFmt child element to be ignored.</w:t>
      </w:r>
    </w:p>
    <w:p w:rsidR="005F78FC" w:rsidRDefault="00B42EF3">
      <w:pPr>
        <w:pStyle w:val="Definition-Field2"/>
      </w:pPr>
      <w:r>
        <w:t>Office ignores the numFmt child elemen</w:t>
      </w:r>
      <w:r>
        <w:t>t but will load and save the element.</w:t>
      </w:r>
    </w:p>
    <w:p w:rsidR="005F78FC" w:rsidRDefault="00B42EF3">
      <w:pPr>
        <w:pStyle w:val="Heading3"/>
      </w:pPr>
      <w:bookmarkStart w:id="3100" w:name="section_446ec2e628874179aa9c4c4e8ff79873"/>
      <w:bookmarkStart w:id="3101" w:name="_Toc69879323"/>
      <w:r>
        <w:t>Part 1 Section 21.2.2.176, serLines (Series Lines)</w:t>
      </w:r>
      <w:bookmarkEnd w:id="3100"/>
      <w:bookmarkEnd w:id="3101"/>
      <w:r>
        <w:fldChar w:fldCharType="begin"/>
      </w:r>
      <w:r>
        <w:instrText xml:space="preserve"> XE "serLines (Series Lines)" </w:instrText>
      </w:r>
      <w:r>
        <w:fldChar w:fldCharType="end"/>
      </w:r>
    </w:p>
    <w:p w:rsidR="005F78FC" w:rsidRDefault="00B42EF3">
      <w:pPr>
        <w:pStyle w:val="Definition-Field"/>
      </w:pPr>
      <w:r>
        <w:t xml:space="preserve">a.   </w:t>
      </w:r>
      <w:r>
        <w:rPr>
          <w:i/>
        </w:rPr>
        <w:t>The standard states that this element specifies series lines for the chart.</w:t>
      </w:r>
    </w:p>
    <w:p w:rsidR="005F78FC" w:rsidRDefault="00B42EF3">
      <w:pPr>
        <w:pStyle w:val="Definition-Field2"/>
      </w:pPr>
      <w:r>
        <w:t>In Office, if the parent is barChart, the series lines</w:t>
      </w:r>
      <w:r>
        <w:t xml:space="preserve"> connect the top of adjacent data points within the same series; if the parent is ofPieChart, the series lines connect the secondary pie or column to the other slice.</w:t>
      </w:r>
    </w:p>
    <w:p w:rsidR="005F78FC" w:rsidRDefault="00B42EF3">
      <w:pPr>
        <w:pStyle w:val="Definition-Field"/>
      </w:pPr>
      <w:r>
        <w:t xml:space="preserve">b.   </w:t>
      </w:r>
      <w:r>
        <w:rPr>
          <w:i/>
        </w:rPr>
        <w:t>The standard states that this element can be a child of any barChart element.</w:t>
      </w:r>
    </w:p>
    <w:p w:rsidR="005F78FC" w:rsidRDefault="00B42EF3">
      <w:pPr>
        <w:pStyle w:val="Definition-Field2"/>
      </w:pPr>
      <w:r>
        <w:t>Office</w:t>
      </w:r>
      <w:r>
        <w:t xml:space="preserve"> requires that the val attribute of sibling element grouping equal percentStacked or stacked when this element is specified.</w:t>
      </w:r>
    </w:p>
    <w:p w:rsidR="005F78FC" w:rsidRDefault="00B42EF3">
      <w:pPr>
        <w:pStyle w:val="Heading3"/>
      </w:pPr>
      <w:bookmarkStart w:id="3102" w:name="section_064f48d37de64d57ac6b6deec7c01b6c"/>
      <w:bookmarkStart w:id="3103" w:name="_Toc69879324"/>
      <w:r>
        <w:t>Part 1 Section 21.2.2.177, shape (Shape)</w:t>
      </w:r>
      <w:bookmarkEnd w:id="3102"/>
      <w:bookmarkEnd w:id="3103"/>
      <w:r>
        <w:fldChar w:fldCharType="begin"/>
      </w:r>
      <w:r>
        <w:instrText xml:space="preserve"> XE "shape (Shape)" </w:instrText>
      </w:r>
      <w:r>
        <w:fldChar w:fldCharType="end"/>
      </w:r>
    </w:p>
    <w:p w:rsidR="005F78FC" w:rsidRDefault="00B42EF3">
      <w:pPr>
        <w:pStyle w:val="Definition-Field"/>
      </w:pPr>
      <w:r>
        <w:t xml:space="preserve">a.   </w:t>
      </w:r>
      <w:r>
        <w:rPr>
          <w:i/>
        </w:rPr>
        <w:t xml:space="preserve">The standard states that this element specifies the shape of a </w:t>
      </w:r>
      <w:r>
        <w:rPr>
          <w:i/>
        </w:rPr>
        <w:t>series or a 3-D bar chart.</w:t>
      </w:r>
    </w:p>
    <w:p w:rsidR="005F78FC" w:rsidRDefault="00B42EF3">
      <w:pPr>
        <w:pStyle w:val="Definition-Field2"/>
      </w:pPr>
      <w:r>
        <w:t>In Office, this element specifies the default series shape when this element is a child of bar3DChart.</w:t>
      </w:r>
    </w:p>
    <w:p w:rsidR="005F78FC" w:rsidRDefault="00B42EF3">
      <w:pPr>
        <w:pStyle w:val="Definition-Field"/>
      </w:pPr>
      <w:r>
        <w:t xml:space="preserve">b.   </w:t>
      </w:r>
      <w:r>
        <w:rPr>
          <w:i/>
        </w:rPr>
        <w:t>The standard does not place any restrictions on when this element can be a child of ser.</w:t>
      </w:r>
    </w:p>
    <w:p w:rsidR="005F78FC" w:rsidRDefault="00B42EF3">
      <w:pPr>
        <w:pStyle w:val="Definition-Field2"/>
      </w:pPr>
      <w:r>
        <w:t>Office requires that the ancesto</w:t>
      </w:r>
      <w:r>
        <w:t>r include bar3DChart when this element is a child of ser.</w:t>
      </w:r>
    </w:p>
    <w:p w:rsidR="005F78FC" w:rsidRDefault="00B42EF3">
      <w:pPr>
        <w:pStyle w:val="Heading3"/>
      </w:pPr>
      <w:bookmarkStart w:id="3104" w:name="section_8d4ce2eacc594f7691712ea85c07e463"/>
      <w:bookmarkStart w:id="3105" w:name="_Toc69879325"/>
      <w:r>
        <w:t>Part 1 Section 21.2.2.178, showBubbleSize (Show Bubble Size)</w:t>
      </w:r>
      <w:bookmarkEnd w:id="3104"/>
      <w:bookmarkEnd w:id="3105"/>
      <w:r>
        <w:fldChar w:fldCharType="begin"/>
      </w:r>
      <w:r>
        <w:instrText xml:space="preserve"> XE "showBubbleSize (Show Bubble Size)" </w:instrText>
      </w:r>
      <w:r>
        <w:fldChar w:fldCharType="end"/>
      </w:r>
    </w:p>
    <w:p w:rsidR="005F78FC" w:rsidRDefault="00B42EF3">
      <w:pPr>
        <w:pStyle w:val="Definition-Field"/>
      </w:pPr>
      <w:r>
        <w:t xml:space="preserve">a.   </w:t>
      </w:r>
      <w:r>
        <w:rPr>
          <w:i/>
        </w:rPr>
        <w:t>The standard states that this element can be a child of any dLbl or dLbls element.</w:t>
      </w:r>
    </w:p>
    <w:p w:rsidR="005F78FC" w:rsidRDefault="00B42EF3">
      <w:pPr>
        <w:pStyle w:val="Definition-Field2"/>
      </w:pPr>
      <w:r>
        <w:t xml:space="preserve">Office </w:t>
      </w:r>
      <w:r>
        <w:t>requires that the ancestor include bubbleChart when this element is specified.</w:t>
      </w:r>
    </w:p>
    <w:p w:rsidR="005F78FC" w:rsidRDefault="00B42EF3">
      <w:pPr>
        <w:pStyle w:val="Heading3"/>
      </w:pPr>
      <w:bookmarkStart w:id="3106" w:name="section_2285918b950e4befa710d7b9588c59c0"/>
      <w:bookmarkStart w:id="3107" w:name="_Toc69879326"/>
      <w:r>
        <w:t>Part 1 Section 21.2.2.180, showDLblsOverMax (Show Data Labels over Maximum)</w:t>
      </w:r>
      <w:bookmarkEnd w:id="3106"/>
      <w:bookmarkEnd w:id="3107"/>
      <w:r>
        <w:fldChar w:fldCharType="begin"/>
      </w:r>
      <w:r>
        <w:instrText xml:space="preserve"> XE "showDLblsOverMax (Show Data Labels over Maximum)" </w:instrText>
      </w:r>
      <w:r>
        <w:fldChar w:fldCharType="end"/>
      </w:r>
    </w:p>
    <w:p w:rsidR="005F78FC" w:rsidRDefault="00B42EF3">
      <w:pPr>
        <w:pStyle w:val="Definition-Field"/>
      </w:pPr>
      <w:r>
        <w:t xml:space="preserve">a.   </w:t>
      </w:r>
      <w:r>
        <w:rPr>
          <w:i/>
        </w:rPr>
        <w:t>The standard states that this element s</w:t>
      </w:r>
      <w:r>
        <w:rPr>
          <w:i/>
        </w:rPr>
        <w:t>pecifies that data labels over the maximum of the chart shall be shown.</w:t>
      </w:r>
    </w:p>
    <w:p w:rsidR="005F78FC" w:rsidRDefault="00B42EF3">
      <w:pPr>
        <w:pStyle w:val="Definition-Field2"/>
      </w:pPr>
      <w:r>
        <w:t>In Office, this element specifies that data labels with data whose value is over the axis maximum  or under the axis minimum shall be shown.</w:t>
      </w:r>
    </w:p>
    <w:p w:rsidR="005F78FC" w:rsidRDefault="00B42EF3">
      <w:pPr>
        <w:pStyle w:val="Heading3"/>
      </w:pPr>
      <w:bookmarkStart w:id="3108" w:name="section_52830fc380684e699e0e9fdb4d45e7ee"/>
      <w:bookmarkStart w:id="3109" w:name="_Toc69879327"/>
      <w:r>
        <w:t xml:space="preserve">Part 1 Section 21.2.2.183, showLeaderLines </w:t>
      </w:r>
      <w:r>
        <w:t>(Show Leader Lines)</w:t>
      </w:r>
      <w:bookmarkEnd w:id="3108"/>
      <w:bookmarkEnd w:id="3109"/>
      <w:r>
        <w:fldChar w:fldCharType="begin"/>
      </w:r>
      <w:r>
        <w:instrText xml:space="preserve"> XE "showLeaderLines (Show Leader Lines)" </w:instrText>
      </w:r>
      <w:r>
        <w:fldChar w:fldCharType="end"/>
      </w:r>
    </w:p>
    <w:p w:rsidR="005F78FC" w:rsidRDefault="00B42EF3">
      <w:pPr>
        <w:pStyle w:val="Definition-Field"/>
      </w:pPr>
      <w:r>
        <w:t xml:space="preserve">a.   </w:t>
      </w:r>
      <w:r>
        <w:rPr>
          <w:i/>
        </w:rPr>
        <w:t>The standard states that this element can be a child of any dLbls element.</w:t>
      </w:r>
    </w:p>
    <w:p w:rsidR="005F78FC" w:rsidRDefault="00B42EF3">
      <w:pPr>
        <w:pStyle w:val="Definition-Field2"/>
      </w:pPr>
      <w:r>
        <w:t xml:space="preserve">Office requires that the ancestor include doughnutChart, ofPieChart, pie3DChart, or pieChart when this element </w:t>
      </w:r>
      <w:r>
        <w:t>is specified.</w:t>
      </w:r>
    </w:p>
    <w:p w:rsidR="005F78FC" w:rsidRDefault="00B42EF3">
      <w:pPr>
        <w:pStyle w:val="Definition-Field"/>
      </w:pPr>
      <w:r>
        <w:t xml:space="preserve">b.   </w:t>
      </w:r>
      <w:r>
        <w:rPr>
          <w:i/>
        </w:rPr>
        <w:t>The standard states that this element can be a child of any dLbls element.</w:t>
      </w:r>
    </w:p>
    <w:p w:rsidR="005F78FC" w:rsidRDefault="00B42EF3">
      <w:pPr>
        <w:pStyle w:val="Definition-Field2"/>
      </w:pPr>
      <w:r>
        <w:lastRenderedPageBreak/>
        <w:t>Office requires that the val attribute equals true on one or more of the showCatName, showSerName, showVal, or showPercent sibling elements when this element is s</w:t>
      </w:r>
      <w:r>
        <w:t>pecified.</w:t>
      </w:r>
    </w:p>
    <w:p w:rsidR="005F78FC" w:rsidRDefault="00B42EF3">
      <w:pPr>
        <w:pStyle w:val="Heading3"/>
      </w:pPr>
      <w:bookmarkStart w:id="3110" w:name="section_b0d0713fac9844b4b4ee2a490237c3ac"/>
      <w:bookmarkStart w:id="3111" w:name="_Toc69879328"/>
      <w:r>
        <w:t>Part 1 Section 21.2.2.184, showLegendKey (Show Legend Key)</w:t>
      </w:r>
      <w:bookmarkEnd w:id="3110"/>
      <w:bookmarkEnd w:id="3111"/>
      <w:r>
        <w:fldChar w:fldCharType="begin"/>
      </w:r>
      <w:r>
        <w:instrText xml:space="preserve"> XE "showLegendKey (Show Legend Key)" </w:instrText>
      </w:r>
      <w:r>
        <w:fldChar w:fldCharType="end"/>
      </w:r>
    </w:p>
    <w:p w:rsidR="005F78FC" w:rsidRDefault="00B42EF3">
      <w:pPr>
        <w:pStyle w:val="Definition-Field"/>
      </w:pPr>
      <w:r>
        <w:t xml:space="preserve">a.   </w:t>
      </w:r>
      <w:r>
        <w:rPr>
          <w:i/>
        </w:rPr>
        <w:t>The standard does not specify what occurs when legend keys are shown in the data label.</w:t>
      </w:r>
    </w:p>
    <w:p w:rsidR="005F78FC" w:rsidRDefault="00B42EF3">
      <w:pPr>
        <w:pStyle w:val="Definition-Field2"/>
      </w:pPr>
      <w:r>
        <w:t>In Office, this element specifies if legend keys shall</w:t>
      </w:r>
      <w:r>
        <w:t xml:space="preserve"> be shown in the data label(s) indicated by the parent element. The data label legend key has the same formatting as that of the corresponding data's legend key in the chart legend.</w:t>
      </w:r>
    </w:p>
    <w:p w:rsidR="005F78FC" w:rsidRDefault="00B42EF3">
      <w:pPr>
        <w:pStyle w:val="Definition-Field"/>
      </w:pPr>
      <w:r>
        <w:t xml:space="preserve">b.   </w:t>
      </w:r>
      <w:r>
        <w:rPr>
          <w:i/>
        </w:rPr>
        <w:t>The standard does not specify a relationship between sibling elements</w:t>
      </w:r>
      <w:r>
        <w:rPr>
          <w:i/>
        </w:rPr>
        <w:t>.</w:t>
      </w:r>
    </w:p>
    <w:p w:rsidR="005F78FC" w:rsidRDefault="00B42EF3">
      <w:pPr>
        <w:pStyle w:val="Definition-Field2"/>
      </w:pPr>
      <w:r>
        <w:t>Office only displays the legend key when that val attribute equals true on one or more of the showBubbleSize, showCatName, showSerName, showVal, or showPercent sibling elements or dLbl contains a sibling tx element.</w:t>
      </w:r>
    </w:p>
    <w:p w:rsidR="005F78FC" w:rsidRDefault="00B42EF3">
      <w:pPr>
        <w:pStyle w:val="Heading3"/>
      </w:pPr>
      <w:bookmarkStart w:id="3112" w:name="section_5ab67be775d9474c8104d1167f77b169"/>
      <w:bookmarkStart w:id="3113" w:name="_Toc69879329"/>
      <w:r>
        <w:t>Part 1 Section 21.2.2.187, showPercent (Show Percent)</w:t>
      </w:r>
      <w:bookmarkEnd w:id="3112"/>
      <w:bookmarkEnd w:id="3113"/>
      <w:r>
        <w:fldChar w:fldCharType="begin"/>
      </w:r>
      <w:r>
        <w:instrText xml:space="preserve"> XE "showPercent (Show Percent)" </w:instrText>
      </w:r>
      <w:r>
        <w:fldChar w:fldCharType="end"/>
      </w:r>
    </w:p>
    <w:p w:rsidR="005F78FC" w:rsidRDefault="00B42EF3">
      <w:pPr>
        <w:pStyle w:val="Definition-Field"/>
      </w:pPr>
      <w:r>
        <w:t xml:space="preserve">a.   </w:t>
      </w:r>
      <w:r>
        <w:rPr>
          <w:i/>
        </w:rPr>
        <w:t>The standard states that this element can be a child of any dLbl or dLbls element.</w:t>
      </w:r>
    </w:p>
    <w:p w:rsidR="005F78FC" w:rsidRDefault="00B42EF3">
      <w:pPr>
        <w:pStyle w:val="Definition-Field2"/>
      </w:pPr>
      <w:r>
        <w:t>Office requires that the ancestor include doughnutChart, ofPieChart, pie3DChart</w:t>
      </w:r>
      <w:r>
        <w:t>, or pieChart when this element is specified.</w:t>
      </w:r>
    </w:p>
    <w:p w:rsidR="005F78FC" w:rsidRDefault="00B42EF3">
      <w:pPr>
        <w:pStyle w:val="Heading3"/>
      </w:pPr>
      <w:bookmarkStart w:id="3114" w:name="section_a0cfce2cbcc6459ab1af121b9b2453bf"/>
      <w:bookmarkStart w:id="3115" w:name="_Toc69879330"/>
      <w:r>
        <w:t>Part 1 Section 21.2.2.191, sideWall (Side Wall)</w:t>
      </w:r>
      <w:bookmarkEnd w:id="3114"/>
      <w:bookmarkEnd w:id="3115"/>
      <w:r>
        <w:fldChar w:fldCharType="begin"/>
      </w:r>
      <w:r>
        <w:instrText xml:space="preserve"> XE "sideWall (Side Wall)" </w:instrText>
      </w:r>
      <w:r>
        <w:fldChar w:fldCharType="end"/>
      </w:r>
    </w:p>
    <w:p w:rsidR="005F78FC" w:rsidRDefault="00B42EF3">
      <w:pPr>
        <w:pStyle w:val="Definition-Field"/>
      </w:pPr>
      <w:r>
        <w:t xml:space="preserve">a.   </w:t>
      </w:r>
      <w:r>
        <w:rPr>
          <w:i/>
        </w:rPr>
        <w:t>The standard states that this element can be a child of any chart element.</w:t>
      </w:r>
    </w:p>
    <w:p w:rsidR="005F78FC" w:rsidRDefault="00B42EF3">
      <w:pPr>
        <w:pStyle w:val="Definition-Field2"/>
      </w:pPr>
      <w:r>
        <w:t>Office requires that the chart contain a 3D chart gro</w:t>
      </w:r>
      <w:r>
        <w:t>up (bar3DChart, line3DChart, area3DChart, surface3DChart, or pie3DChart) when this element is specified.</w:t>
      </w:r>
    </w:p>
    <w:p w:rsidR="005F78FC" w:rsidRDefault="00B42EF3">
      <w:pPr>
        <w:pStyle w:val="Heading3"/>
      </w:pPr>
      <w:bookmarkStart w:id="3116" w:name="section_002a323721c5425f83521a108d5bc7bb"/>
      <w:bookmarkStart w:id="3117" w:name="_Toc69879331"/>
      <w:r>
        <w:t>Part 1 Section 21.2.2.195, splitPos (Split Position)</w:t>
      </w:r>
      <w:bookmarkEnd w:id="3116"/>
      <w:bookmarkEnd w:id="3117"/>
      <w:r>
        <w:fldChar w:fldCharType="begin"/>
      </w:r>
      <w:r>
        <w:instrText xml:space="preserve"> XE "splitPos (Split Position)" </w:instrText>
      </w:r>
      <w:r>
        <w:fldChar w:fldCharType="end"/>
      </w:r>
    </w:p>
    <w:p w:rsidR="005F78FC" w:rsidRDefault="00B42EF3">
      <w:pPr>
        <w:pStyle w:val="Definition-Field2"/>
      </w:pPr>
      <w:r>
        <w:rPr>
          <w:i/>
        </w:rPr>
        <w:t>For additional notes that apply to this portion of the standard,</w:t>
      </w:r>
      <w:r>
        <w:rPr>
          <w:i/>
        </w:rPr>
        <w:t xml:space="preserve">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w:t>
      </w:r>
    </w:p>
    <w:p w:rsidR="005F78FC" w:rsidRDefault="00B42EF3">
      <w:pPr>
        <w:pStyle w:val="Definition-Field"/>
      </w:pPr>
      <w:r>
        <w:t xml:space="preserve">a.   </w:t>
      </w:r>
      <w:r>
        <w:rPr>
          <w:i/>
        </w:rPr>
        <w:t>The standard does not state any interplay betwee</w:t>
      </w:r>
      <w:r>
        <w:rPr>
          <w:i/>
        </w:rPr>
        <w:t>n sibling element splitType and the val attribute.</w:t>
      </w:r>
    </w:p>
    <w:p w:rsidR="005F78FC" w:rsidRDefault="00B42EF3">
      <w:pPr>
        <w:pStyle w:val="Definition-Field2"/>
      </w:pPr>
      <w:r>
        <w:t>In Office, if splitType is equal to pos, the value of the val attribute shall be an integer in the range of 0 to 32000, inclusive. If splitType is equal to percent, the value shall be in the range of 0.0 t</w:t>
      </w:r>
      <w:r>
        <w:t>o 100.0, inclusive.</w:t>
      </w:r>
    </w:p>
    <w:p w:rsidR="005F78FC" w:rsidRDefault="00B42EF3">
      <w:pPr>
        <w:pStyle w:val="Definition-Field"/>
      </w:pPr>
      <w:r>
        <w:t xml:space="preserve">b.   </w:t>
      </w:r>
      <w:r>
        <w:rPr>
          <w:i/>
        </w:rPr>
        <w:t>The standard states that this element can be a child of any ofPieChart element.</w:t>
      </w:r>
    </w:p>
    <w:p w:rsidR="005F78FC" w:rsidRDefault="00B42EF3">
      <w:pPr>
        <w:pStyle w:val="Definition-Field2"/>
      </w:pPr>
      <w:r>
        <w:t>Office requires that the ofPieChart parent contain a splitType element with a val attribute equal to percent, pos, or val when this element is specifie</w:t>
      </w:r>
      <w:r>
        <w:t>d.</w:t>
      </w:r>
    </w:p>
    <w:p w:rsidR="005F78FC" w:rsidRDefault="00B42EF3">
      <w:pPr>
        <w:pStyle w:val="Definition-Field"/>
      </w:pPr>
      <w:r>
        <w:t xml:space="preserve">c.   </w:t>
      </w:r>
      <w:r>
        <w:rPr>
          <w:i/>
        </w:rPr>
        <w:t>The standard states that attribute val is of type xsd:double.</w:t>
      </w:r>
    </w:p>
    <w:p w:rsidR="005F78FC" w:rsidRDefault="00B42EF3">
      <w:pPr>
        <w:pStyle w:val="Definition-Field2"/>
      </w:pPr>
      <w:r>
        <w:t>Office does not allow INF, -INF, and NaN as supported values.</w:t>
      </w:r>
    </w:p>
    <w:p w:rsidR="005F78FC" w:rsidRDefault="00B42EF3">
      <w:pPr>
        <w:pStyle w:val="Heading3"/>
      </w:pPr>
      <w:bookmarkStart w:id="3118" w:name="section_48975c4658444ebf8217dcf06ae04755"/>
      <w:bookmarkStart w:id="3119" w:name="_Toc69879332"/>
      <w:r>
        <w:t>Part 1 Section 21.2.2.196, splitType (Split Type)</w:t>
      </w:r>
      <w:bookmarkEnd w:id="3118"/>
      <w:bookmarkEnd w:id="3119"/>
      <w:r>
        <w:fldChar w:fldCharType="begin"/>
      </w:r>
      <w:r>
        <w:instrText xml:space="preserve"> XE "splitType (Split Type)" </w:instrText>
      </w:r>
      <w:r>
        <w:fldChar w:fldCharType="end"/>
      </w:r>
    </w:p>
    <w:p w:rsidR="005F78FC" w:rsidRDefault="00B42EF3">
      <w:pPr>
        <w:pStyle w:val="Definition-Field"/>
      </w:pPr>
      <w:r>
        <w:t xml:space="preserve">a.   </w:t>
      </w:r>
      <w:r>
        <w:rPr>
          <w:i/>
        </w:rPr>
        <w:t>The standard implies that the val attr</w:t>
      </w:r>
      <w:r>
        <w:rPr>
          <w:i/>
        </w:rPr>
        <w:t>ibute is optional.</w:t>
      </w:r>
    </w:p>
    <w:p w:rsidR="005F78FC" w:rsidRDefault="00B42EF3">
      <w:pPr>
        <w:pStyle w:val="Definition-Field2"/>
      </w:pPr>
      <w:r>
        <w:t>Office requires this attribute.</w:t>
      </w:r>
    </w:p>
    <w:p w:rsidR="005F78FC" w:rsidRDefault="00B42EF3">
      <w:pPr>
        <w:pStyle w:val="Definition-Field"/>
      </w:pPr>
      <w:r>
        <w:t xml:space="preserve">b.   </w:t>
      </w:r>
      <w:r>
        <w:rPr>
          <w:i/>
        </w:rPr>
        <w:t>The standard does not define the behavior when this element is omitted.</w:t>
      </w:r>
    </w:p>
    <w:p w:rsidR="005F78FC" w:rsidRDefault="00B42EF3">
      <w:pPr>
        <w:pStyle w:val="Definition-Field2"/>
      </w:pPr>
      <w:r>
        <w:lastRenderedPageBreak/>
        <w:t>In Office, if this element is not specified the default behavior is to split by position with a split position value equal to th</w:t>
      </w:r>
      <w:r>
        <w:t>e number of data points in the series divided by 3, rounded up.</w:t>
      </w:r>
    </w:p>
    <w:p w:rsidR="005F78FC" w:rsidRDefault="00B42EF3">
      <w:pPr>
        <w:pStyle w:val="Heading3"/>
      </w:pPr>
      <w:bookmarkStart w:id="3120" w:name="section_efeb511d32754e5da51804bd555d9540"/>
      <w:bookmarkStart w:id="3121" w:name="_Toc69879333"/>
      <w:r>
        <w:t>Part 1 Section 21.2.2.197, spPr (Shape Properties)</w:t>
      </w:r>
      <w:bookmarkEnd w:id="3120"/>
      <w:bookmarkEnd w:id="3121"/>
      <w:r>
        <w:fldChar w:fldCharType="begin"/>
      </w:r>
      <w:r>
        <w:instrText xml:space="preserve"> XE "spPr (Shape Properties)"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rsidR="005F78FC" w:rsidRDefault="00B42EF3">
      <w:pPr>
        <w:pStyle w:val="Definition-Field"/>
      </w:pPr>
      <w:r>
        <w:t xml:space="preserve">a.   </w:t>
      </w:r>
      <w:r>
        <w:rPr>
          <w:i/>
        </w:rPr>
        <w:t>The standard states grpFill can be a child of the spPr element.</w:t>
      </w:r>
    </w:p>
    <w:p w:rsidR="005F78FC" w:rsidRDefault="00B42EF3">
      <w:pPr>
        <w:pStyle w:val="Definition-Field2"/>
      </w:pPr>
      <w:r>
        <w:t>Office does not allow grpFill to be a child of spPr.</w:t>
      </w:r>
    </w:p>
    <w:p w:rsidR="005F78FC" w:rsidRDefault="00B42EF3">
      <w:pPr>
        <w:pStyle w:val="Definition-Field"/>
      </w:pPr>
      <w:r>
        <w:t xml:space="preserve">b.   </w:t>
      </w:r>
      <w:r>
        <w:rPr>
          <w:i/>
        </w:rPr>
        <w:t>The standard states blipFill, gradFill, grpFi</w:t>
      </w:r>
      <w:r>
        <w:rPr>
          <w:i/>
        </w:rPr>
        <w:t>ll, noFill, patFill, and solidFill can be a child of any spPr element.</w:t>
      </w:r>
    </w:p>
    <w:p w:rsidR="005F78FC" w:rsidRDefault="00B42EF3">
      <w:pPr>
        <w:pStyle w:val="Definition-Field2"/>
      </w:pPr>
      <w:r>
        <w:t>Office does not persist the *Fill child elements if the parent element is dropLines, hiLowLines, leaderLines, majorGridlines, minorGridlines, ser (line, scatter, or radar with radarStyl</w:t>
      </w:r>
      <w:r>
        <w:t>e not equal to filled), or trendline.</w:t>
      </w:r>
    </w:p>
    <w:p w:rsidR="005F78FC" w:rsidRDefault="00B42EF3">
      <w:pPr>
        <w:pStyle w:val="Definition-Field"/>
      </w:pPr>
      <w:r>
        <w:t xml:space="preserve">c.   </w:t>
      </w:r>
      <w:r>
        <w:rPr>
          <w:i/>
        </w:rPr>
        <w:t>The standard states effectDag and effectLst can be a child of any spPr element.</w:t>
      </w:r>
    </w:p>
    <w:p w:rsidR="005F78FC" w:rsidRDefault="00B42EF3">
      <w:pPr>
        <w:pStyle w:val="Definition-Field2"/>
      </w:pPr>
      <w:r>
        <w:t>Office does not persist the effectDag and effectLst child elements if the parent element is leaderLines.</w:t>
      </w:r>
    </w:p>
    <w:p w:rsidR="005F78FC" w:rsidRDefault="00B42EF3">
      <w:pPr>
        <w:pStyle w:val="Definition-Field"/>
      </w:pPr>
      <w:r>
        <w:t xml:space="preserve">d.   </w:t>
      </w:r>
      <w:r>
        <w:rPr>
          <w:i/>
        </w:rPr>
        <w:t>The standard does not s</w:t>
      </w:r>
      <w:r>
        <w:rPr>
          <w:i/>
        </w:rPr>
        <w:t>pecify parent elements of spPr that do not persist the scene3d child element.</w:t>
      </w:r>
    </w:p>
    <w:p w:rsidR="005F78FC" w:rsidRDefault="00B42EF3">
      <w:pPr>
        <w:pStyle w:val="Definition-Field2"/>
      </w:pPr>
      <w:r>
        <w:t>Office does not persist the scene3d child element if the parent element is *Ax, dropLines, dTable, hiLowLines, leaderLines, majorGridLines, minorGridlines, ser (line, scatter, or</w:t>
      </w:r>
      <w:r>
        <w:t xml:space="preserve"> radar with radarStyle not equal to filled), seriesLines, or trendline.</w:t>
      </w:r>
    </w:p>
    <w:p w:rsidR="005F78FC" w:rsidRDefault="00B42EF3">
      <w:pPr>
        <w:pStyle w:val="Definition-Field"/>
      </w:pPr>
      <w:r>
        <w:t xml:space="preserve">e.   </w:t>
      </w:r>
      <w:r>
        <w:rPr>
          <w:i/>
        </w:rPr>
        <w:t>The standard states sp3d can be a child of any spPr element.</w:t>
      </w:r>
    </w:p>
    <w:p w:rsidR="005F78FC" w:rsidRDefault="00B42EF3">
      <w:pPr>
        <w:pStyle w:val="Definition-Field2"/>
      </w:pPr>
      <w:r>
        <w:t xml:space="preserve">Office does not persist the sp3d child element if the parent element is *Ax, dropLines, dTable, hiLowLines, </w:t>
      </w:r>
      <w:r>
        <w:t>leaderLines, majorGridLines, minorGridlines, ser (line, scatter, or radar with radarStyle not equal to filled), seriesLines, or trendline.</w:t>
      </w:r>
    </w:p>
    <w:p w:rsidR="005F78FC" w:rsidRDefault="00B42EF3">
      <w:pPr>
        <w:pStyle w:val="Heading3"/>
      </w:pPr>
      <w:bookmarkStart w:id="3122" w:name="section_9732db6e4647475fa4193f53903a7d46"/>
      <w:bookmarkStart w:id="3123" w:name="_Toc69879334"/>
      <w:r>
        <w:t>Part 1 Section 21.2.2.203, surface3DChart (3D Surface Charts)</w:t>
      </w:r>
      <w:bookmarkEnd w:id="3122"/>
      <w:bookmarkEnd w:id="3123"/>
      <w:r>
        <w:fldChar w:fldCharType="begin"/>
      </w:r>
      <w:r>
        <w:instrText xml:space="preserve"> XE "surface3DChart (3D Surface Charts)" </w:instrText>
      </w:r>
      <w:r>
        <w:fldChar w:fldCharType="end"/>
      </w:r>
    </w:p>
    <w:p w:rsidR="005F78FC" w:rsidRDefault="00B42EF3">
      <w:pPr>
        <w:pStyle w:val="Definition-Field"/>
      </w:pPr>
      <w:r>
        <w:t xml:space="preserve">a.   </w:t>
      </w:r>
      <w:r>
        <w:rPr>
          <w:i/>
        </w:rPr>
        <w:t>The sta</w:t>
      </w:r>
      <w:r>
        <w:rPr>
          <w:i/>
        </w:rPr>
        <w:t>ndard states that the maxOccurs value for the ser child element is unbounded.</w:t>
      </w:r>
    </w:p>
    <w:p w:rsidR="005F78FC" w:rsidRDefault="00B42EF3">
      <w:pPr>
        <w:pStyle w:val="Definition-Field2"/>
      </w:pPr>
      <w:r>
        <w:t>Office limits the occurrences of this element to 255.</w:t>
      </w:r>
    </w:p>
    <w:p w:rsidR="005F78FC" w:rsidRDefault="00B42EF3">
      <w:pPr>
        <w:pStyle w:val="Heading3"/>
      </w:pPr>
      <w:bookmarkStart w:id="3124" w:name="section_b275eedba86d48a3ae21c44ac20c7dcc"/>
      <w:bookmarkStart w:id="3125" w:name="_Toc69879335"/>
      <w:r>
        <w:t>Part 1 Section 21.2.2.204, surfaceChart (Surface Charts)</w:t>
      </w:r>
      <w:bookmarkEnd w:id="3124"/>
      <w:bookmarkEnd w:id="3125"/>
      <w:r>
        <w:fldChar w:fldCharType="begin"/>
      </w:r>
      <w:r>
        <w:instrText xml:space="preserve"> XE "surfaceChart (Surface Charts)" </w:instrText>
      </w:r>
      <w:r>
        <w:fldChar w:fldCharType="end"/>
      </w:r>
    </w:p>
    <w:p w:rsidR="005F78FC" w:rsidRDefault="00B42EF3">
      <w:pPr>
        <w:pStyle w:val="Definition-Field2"/>
      </w:pPr>
      <w:r>
        <w:rPr>
          <w:i/>
        </w:rPr>
        <w:t>For additional notes that app</w:t>
      </w:r>
      <w:r>
        <w:rPr>
          <w:i/>
        </w:rPr>
        <w:t xml:space="preserve">ly to this portion of the standard, please see the notes for </w:t>
      </w:r>
      <w:hyperlink w:anchor="Section_9732db6e4647475fa4193f53903a7d46">
        <w:r>
          <w:rPr>
            <w:rStyle w:val="Hyperlink"/>
          </w:rPr>
          <w:t>surface3DChart, §21.2.2.203(a)</w:t>
        </w:r>
      </w:hyperlink>
      <w:r>
        <w:rPr>
          <w:i/>
        </w:rPr>
        <w:t>.</w:t>
      </w:r>
    </w:p>
    <w:p w:rsidR="005F78FC" w:rsidRDefault="00B42EF3">
      <w:pPr>
        <w:pStyle w:val="Heading3"/>
      </w:pPr>
      <w:bookmarkStart w:id="3126" w:name="section_95f7cec9fd774e74a31328e846491e4e"/>
      <w:bookmarkStart w:id="3127" w:name="_Toc69879336"/>
      <w:r>
        <w:t>Part 1 Section 21.2.2.206, thickness (Thickness)</w:t>
      </w:r>
      <w:bookmarkEnd w:id="3126"/>
      <w:bookmarkEnd w:id="3127"/>
      <w:r>
        <w:fldChar w:fldCharType="begin"/>
      </w:r>
      <w:r>
        <w:instrText xml:space="preserve"> XE "thickness (Thickness)" </w:instrText>
      </w:r>
      <w:r>
        <w:fldChar w:fldCharType="end"/>
      </w:r>
    </w:p>
    <w:p w:rsidR="005F78FC" w:rsidRDefault="00B42EF3">
      <w:pPr>
        <w:pStyle w:val="Definition-Field"/>
      </w:pPr>
      <w:r>
        <w:t xml:space="preserve">a.   </w:t>
      </w:r>
      <w:r>
        <w:rPr>
          <w:i/>
        </w:rPr>
        <w:t>The standard sta</w:t>
      </w:r>
      <w:r>
        <w:rPr>
          <w:i/>
        </w:rPr>
        <w:t>tes that the values of the val attribute are defined by the XML Schema unsignedInt datatype.</w:t>
      </w:r>
    </w:p>
    <w:p w:rsidR="005F78FC" w:rsidRDefault="00B42EF3">
      <w:pPr>
        <w:pStyle w:val="Definition-Field2"/>
      </w:pPr>
      <w:r>
        <w:t>Office restricts the value of this attribute to be at most 100.</w:t>
      </w:r>
    </w:p>
    <w:p w:rsidR="005F78FC" w:rsidRDefault="00B42EF3">
      <w:pPr>
        <w:pStyle w:val="Definition-Field"/>
      </w:pPr>
      <w:r>
        <w:t xml:space="preserve">b.   </w:t>
      </w:r>
      <w:r>
        <w:rPr>
          <w:i/>
        </w:rPr>
        <w:t>The standard states that thickness is a percentage of the largest dimension of the plot volume</w:t>
      </w:r>
      <w:r>
        <w:rPr>
          <w:i/>
        </w:rPr>
        <w:t>.</w:t>
      </w:r>
    </w:p>
    <w:p w:rsidR="005F78FC" w:rsidRDefault="00B42EF3">
      <w:pPr>
        <w:pStyle w:val="Definition-Field2"/>
      </w:pPr>
      <w:r>
        <w:t>In Office, thickness is a percentage of the smaller of the height and width of the 3D chart. The height of the 3D chart relative to the width is specified by hPercent.</w:t>
      </w:r>
    </w:p>
    <w:p w:rsidR="005F78FC" w:rsidRDefault="00B42EF3">
      <w:pPr>
        <w:pStyle w:val="Heading3"/>
      </w:pPr>
      <w:bookmarkStart w:id="3128" w:name="section_bd2dcc2de1e24b3bba3a08817be49e05"/>
      <w:bookmarkStart w:id="3129" w:name="_Toc69879337"/>
      <w:r>
        <w:lastRenderedPageBreak/>
        <w:t>Part 1 Section 21.2.2.208, tickLblSkip (Tick Label Skip)</w:t>
      </w:r>
      <w:bookmarkEnd w:id="3128"/>
      <w:bookmarkEnd w:id="3129"/>
      <w:r>
        <w:fldChar w:fldCharType="begin"/>
      </w:r>
      <w:r>
        <w:instrText xml:space="preserve"> XE "tickLblSkip (Tick Label S</w:instrText>
      </w:r>
      <w:r>
        <w:instrText xml:space="preserve">kip)" </w:instrText>
      </w:r>
      <w:r>
        <w:fldChar w:fldCharType="end"/>
      </w:r>
    </w:p>
    <w:p w:rsidR="005F78FC" w:rsidRDefault="00B42EF3">
      <w:pPr>
        <w:pStyle w:val="Definition-Field"/>
      </w:pPr>
      <w:r>
        <w:t xml:space="preserve">a.   </w:t>
      </w:r>
      <w:r>
        <w:rPr>
          <w:i/>
        </w:rPr>
        <w:t>The standard states that this element specifies how many tick labels to skip between label that is drawn.</w:t>
      </w:r>
    </w:p>
    <w:p w:rsidR="005F78FC" w:rsidRDefault="00B42EF3">
      <w:pPr>
        <w:pStyle w:val="Definition-Field2"/>
      </w:pPr>
      <w:r>
        <w:t>In Office, this element specifies the interval at which tick labels are drawn.</w:t>
      </w:r>
    </w:p>
    <w:p w:rsidR="005F78FC" w:rsidRDefault="00B42EF3">
      <w:pPr>
        <w:pStyle w:val="Heading3"/>
      </w:pPr>
      <w:bookmarkStart w:id="3130" w:name="section_ee2e8e04bcc44e869167ea14e1bd91a9"/>
      <w:bookmarkStart w:id="3131" w:name="_Toc69879338"/>
      <w:r>
        <w:t>Part 1 Section 21.2.2.209, tickMarkSkip (Tick Mark Skip)</w:t>
      </w:r>
      <w:bookmarkEnd w:id="3130"/>
      <w:bookmarkEnd w:id="3131"/>
      <w:r>
        <w:fldChar w:fldCharType="begin"/>
      </w:r>
      <w:r>
        <w:instrText xml:space="preserve"> </w:instrText>
      </w:r>
      <w:r>
        <w:instrText xml:space="preserve">XE "tickMarkSkip (Tick Mark Skip)" </w:instrText>
      </w:r>
      <w:r>
        <w:fldChar w:fldCharType="end"/>
      </w:r>
    </w:p>
    <w:p w:rsidR="005F78FC" w:rsidRDefault="00B42EF3">
      <w:pPr>
        <w:pStyle w:val="Definition-Field"/>
      </w:pPr>
      <w:r>
        <w:t xml:space="preserve">a.   </w:t>
      </w:r>
      <w:r>
        <w:rPr>
          <w:i/>
        </w:rPr>
        <w:t>The standard states that this element specifies how many tick marks shall be skipped before the next one shall be drawn.</w:t>
      </w:r>
    </w:p>
    <w:p w:rsidR="005F78FC" w:rsidRDefault="00B42EF3">
      <w:pPr>
        <w:pStyle w:val="Definition-Field2"/>
      </w:pPr>
      <w:r>
        <w:t>In Office, this element specifies the interval at which tick marks are drawn.</w:t>
      </w:r>
    </w:p>
    <w:p w:rsidR="005F78FC" w:rsidRDefault="00B42EF3">
      <w:pPr>
        <w:pStyle w:val="Heading3"/>
      </w:pPr>
      <w:bookmarkStart w:id="3132" w:name="section_a87b8094484e49fdbdf7ae3ed95e9572"/>
      <w:bookmarkStart w:id="3133" w:name="_Toc69879339"/>
      <w:r>
        <w:t>Part 1 Section</w:t>
      </w:r>
      <w:r>
        <w:t xml:space="preserve"> 21.2.2.210, title (Title)</w:t>
      </w:r>
      <w:bookmarkEnd w:id="3132"/>
      <w:bookmarkEnd w:id="3133"/>
      <w:r>
        <w:fldChar w:fldCharType="begin"/>
      </w:r>
      <w:r>
        <w:instrText xml:space="preserve"> XE "title (Title)" </w:instrText>
      </w:r>
      <w:r>
        <w:fldChar w:fldCharType="end"/>
      </w:r>
    </w:p>
    <w:p w:rsidR="005F78FC" w:rsidRDefault="00B42EF3">
      <w:pPr>
        <w:pStyle w:val="Definition-Field"/>
      </w:pPr>
      <w:r>
        <w:t xml:space="preserve">a.   </w:t>
      </w:r>
      <w:r>
        <w:rPr>
          <w:i/>
        </w:rPr>
        <w:t>The standard describes the tx child element as optional but does not state default value.</w:t>
      </w:r>
    </w:p>
    <w:p w:rsidR="005F78FC" w:rsidRDefault="00B42EF3">
      <w:pPr>
        <w:pStyle w:val="Definition-Field2"/>
      </w:pPr>
      <w:r>
        <w:t xml:space="preserve">In Office, the default text in the title is a localized string specific to the parent element type, except when </w:t>
      </w:r>
      <w:r>
        <w:t>this element is the child of a chart that has a single series with a name, in which case the text shall be that series' name.</w:t>
      </w:r>
    </w:p>
    <w:p w:rsidR="005F78FC" w:rsidRDefault="00B42EF3">
      <w:pPr>
        <w:pStyle w:val="Definition-Field"/>
        <w:rPr>
          <w:i/>
        </w:rPr>
      </w:pPr>
      <w:r>
        <w:t xml:space="preserve">b.   </w:t>
      </w:r>
      <w:r>
        <w:rPr>
          <w:i/>
        </w:rPr>
        <w:t>The standard describes the tx child element but does not state a requirement for a default character property.</w:t>
      </w:r>
    </w:p>
    <w:p w:rsidR="005F78FC" w:rsidRDefault="00B42EF3">
      <w:pPr>
        <w:pStyle w:val="Definition-Field2"/>
      </w:pPr>
      <w:r>
        <w:t>In Office, the</w:t>
      </w:r>
      <w:r>
        <w:t xml:space="preserve"> title element requires default character properties or direct formatting character properties. See rPr ("</w:t>
      </w:r>
      <w:hyperlink r:id="rId215">
        <w:r>
          <w:rPr>
            <w:rStyle w:val="Hyperlink"/>
          </w:rPr>
          <w:t>[ISO/IEC-29500-1]</w:t>
        </w:r>
      </w:hyperlink>
      <w:r>
        <w:t xml:space="preserve"> §21.1.2.3.9; rPr") and defRPr ("[ISO/IEC-29500-1] §21.1.2.3.2; def</w:t>
      </w:r>
      <w:r>
        <w:t>RPr") elements.</w:t>
      </w:r>
    </w:p>
    <w:p w:rsidR="005F78FC" w:rsidRDefault="00B42EF3">
      <w:pPr>
        <w:pStyle w:val="Heading3"/>
      </w:pPr>
      <w:bookmarkStart w:id="3134" w:name="section_a627a81e2d014a7f8f7c40e2aec4f792"/>
      <w:bookmarkStart w:id="3135" w:name="_Toc69879340"/>
      <w:r>
        <w:t>Part 1 Section 21.2.2.211, trendline (Trendlines)</w:t>
      </w:r>
      <w:bookmarkEnd w:id="3134"/>
      <w:bookmarkEnd w:id="3135"/>
      <w:r>
        <w:fldChar w:fldCharType="begin"/>
      </w:r>
      <w:r>
        <w:instrText xml:space="preserve"> XE "trendline (Trendlines)" </w:instrText>
      </w:r>
      <w:r>
        <w:fldChar w:fldCharType="end"/>
      </w:r>
    </w:p>
    <w:p w:rsidR="005F78FC" w:rsidRDefault="00B42EF3">
      <w:pPr>
        <w:pStyle w:val="Definition-Field"/>
      </w:pPr>
      <w:r>
        <w:t xml:space="preserve">a.   </w:t>
      </w:r>
      <w:r>
        <w:rPr>
          <w:i/>
        </w:rPr>
        <w:t>The standard states that this element can be a child of ser elements.</w:t>
      </w:r>
    </w:p>
    <w:p w:rsidR="005F78FC" w:rsidRDefault="00B42EF3">
      <w:pPr>
        <w:pStyle w:val="Definition-Field2"/>
      </w:pPr>
      <w:r>
        <w:t>Office requires that when this element is specified, the ancestor include an areaCha</w:t>
      </w:r>
      <w:r>
        <w:t>rt or lineChart with the grouping element equal to standard, a barChart with grouping element equal to clustered, or a bubbleChart, scatterChart or stockChart.</w:t>
      </w:r>
    </w:p>
    <w:p w:rsidR="005F78FC" w:rsidRDefault="00B42EF3">
      <w:pPr>
        <w:pStyle w:val="Heading3"/>
      </w:pPr>
      <w:bookmarkStart w:id="3136" w:name="section_fe147abc7915492ea048c353ef9ebb28"/>
      <w:bookmarkStart w:id="3137" w:name="_Toc69879341"/>
      <w:r>
        <w:t>Part 1 Section 21.2.2.212, trendlineLbl (Trendline Label)</w:t>
      </w:r>
      <w:bookmarkEnd w:id="3136"/>
      <w:bookmarkEnd w:id="3137"/>
      <w:r>
        <w:fldChar w:fldCharType="begin"/>
      </w:r>
      <w:r>
        <w:instrText xml:space="preserve"> XE "trendlineLbl (Trendline Label)" </w:instrText>
      </w:r>
      <w:r>
        <w:fldChar w:fldCharType="end"/>
      </w:r>
    </w:p>
    <w:p w:rsidR="005F78FC" w:rsidRDefault="00B42EF3">
      <w:pPr>
        <w:pStyle w:val="Definition-Field"/>
      </w:pPr>
      <w:r>
        <w:t xml:space="preserve">a.   </w:t>
      </w:r>
      <w:r>
        <w:rPr>
          <w:i/>
        </w:rPr>
        <w:t>The standard does not fully specify the trendlineLbl element.</w:t>
      </w:r>
    </w:p>
    <w:p w:rsidR="005F78FC" w:rsidRDefault="00B42EF3">
      <w:pPr>
        <w:pStyle w:val="Definition-Field2"/>
      </w:pPr>
      <w:r>
        <w:t>Office interprets this element to specify the formatting of the trendline label which annotates the parent trendline. The default text is determined by the dispEq and dispRSqr sibling elem</w:t>
      </w:r>
      <w:r>
        <w:t>ents.</w:t>
      </w:r>
    </w:p>
    <w:p w:rsidR="005F78FC" w:rsidRDefault="00B42EF3">
      <w:pPr>
        <w:pStyle w:val="Definition-Field"/>
      </w:pPr>
      <w:r>
        <w:t xml:space="preserve">b.   </w:t>
      </w:r>
      <w:r>
        <w:rPr>
          <w:i/>
        </w:rPr>
        <w:t>The standard does not state additional restrictions on when a trendline label is displayed.</w:t>
      </w:r>
    </w:p>
    <w:p w:rsidR="005F78FC" w:rsidRDefault="00B42EF3">
      <w:pPr>
        <w:pStyle w:val="Definition-Field2"/>
      </w:pPr>
      <w:r>
        <w:t>Office does not display the trendline label if the val attribute of sibling element trendlineType is equal to movingAvg.</w:t>
      </w:r>
    </w:p>
    <w:p w:rsidR="005F78FC" w:rsidRDefault="00B42EF3">
      <w:pPr>
        <w:pStyle w:val="Definition-Field"/>
      </w:pPr>
      <w:r>
        <w:t xml:space="preserve">c.   </w:t>
      </w:r>
      <w:r>
        <w:rPr>
          <w:i/>
        </w:rPr>
        <w:t>The standard does not defin</w:t>
      </w:r>
      <w:r>
        <w:rPr>
          <w:i/>
        </w:rPr>
        <w:t>e the trendline label contents.</w:t>
      </w:r>
    </w:p>
    <w:p w:rsidR="005F78FC" w:rsidRDefault="00B42EF3">
      <w:pPr>
        <w:pStyle w:val="Definition-Field2"/>
      </w:pPr>
      <w:r>
        <w:t>Office displays the text specified by the tx child element when tx element exists on the trendlineLbl, replacing the text generated by the dispEq and dispRSqr sibling elements.</w:t>
      </w:r>
    </w:p>
    <w:p w:rsidR="005F78FC" w:rsidRDefault="00B42EF3">
      <w:pPr>
        <w:pStyle w:val="Definition-Field"/>
      </w:pPr>
      <w:r>
        <w:t xml:space="preserve">d.   </w:t>
      </w:r>
      <w:r>
        <w:rPr>
          <w:i/>
        </w:rPr>
        <w:t xml:space="preserve">The standard states that this element can </w:t>
      </w:r>
      <w:r>
        <w:rPr>
          <w:i/>
        </w:rPr>
        <w:t>be a child of any trendline element.</w:t>
      </w:r>
    </w:p>
    <w:p w:rsidR="005F78FC" w:rsidRDefault="00B42EF3">
      <w:pPr>
        <w:pStyle w:val="Definition-Field2"/>
      </w:pPr>
      <w:r>
        <w:t>In Office, this element shall only be specified if sibling element dispEq or dispRSqr is true.</w:t>
      </w:r>
    </w:p>
    <w:p w:rsidR="005F78FC" w:rsidRDefault="00B42EF3">
      <w:pPr>
        <w:pStyle w:val="Heading3"/>
      </w:pPr>
      <w:bookmarkStart w:id="3138" w:name="section_3a6020381d924913ad3e43556bf8b51f"/>
      <w:bookmarkStart w:id="3139" w:name="_Toc69879342"/>
      <w:r>
        <w:lastRenderedPageBreak/>
        <w:t>Part 1 Section 21.2.2.213, trendlineType (Trendline Type)</w:t>
      </w:r>
      <w:bookmarkEnd w:id="3138"/>
      <w:bookmarkEnd w:id="3139"/>
      <w:r>
        <w:fldChar w:fldCharType="begin"/>
      </w:r>
      <w:r>
        <w:instrText xml:space="preserve"> XE "trendlineType (Trendline Type)" </w:instrText>
      </w:r>
      <w:r>
        <w:fldChar w:fldCharType="end"/>
      </w:r>
    </w:p>
    <w:p w:rsidR="005F78FC" w:rsidRDefault="00B42EF3">
      <w:pPr>
        <w:pStyle w:val="Definition-Field"/>
      </w:pPr>
      <w:r>
        <w:t xml:space="preserve">a.   </w:t>
      </w:r>
      <w:r>
        <w:rPr>
          <w:i/>
        </w:rPr>
        <w:t>The standard implies t</w:t>
      </w:r>
      <w:r>
        <w:rPr>
          <w:i/>
        </w:rPr>
        <w:t>hat the val attribute is optional.</w:t>
      </w:r>
    </w:p>
    <w:p w:rsidR="005F78FC" w:rsidRDefault="00B42EF3">
      <w:pPr>
        <w:pStyle w:val="Definition-Field2"/>
      </w:pPr>
      <w:r>
        <w:t>Office requires this attribute.</w:t>
      </w:r>
    </w:p>
    <w:p w:rsidR="005F78FC" w:rsidRDefault="00B42EF3">
      <w:pPr>
        <w:pStyle w:val="Heading3"/>
      </w:pPr>
      <w:bookmarkStart w:id="3140" w:name="section_663bc5a19c244a29a84da6f9c6e60acd"/>
      <w:bookmarkStart w:id="3141" w:name="_Toc69879343"/>
      <w:r>
        <w:t>Part 1 Section 21.2.2.215, tx (Series Text)</w:t>
      </w:r>
      <w:bookmarkEnd w:id="3140"/>
      <w:bookmarkEnd w:id="3141"/>
      <w:r>
        <w:fldChar w:fldCharType="begin"/>
      </w:r>
      <w:r>
        <w:instrText xml:space="preserve"> XE "tx (Series Text)" </w:instrText>
      </w:r>
      <w:r>
        <w:fldChar w:fldCharType="end"/>
      </w:r>
    </w:p>
    <w:p w:rsidR="005F78FC" w:rsidRDefault="00B42EF3">
      <w:pPr>
        <w:pStyle w:val="Definition-Field"/>
      </w:pPr>
      <w:r>
        <w:t xml:space="preserve">a.   </w:t>
      </w:r>
      <w:r>
        <w:rPr>
          <w:i/>
        </w:rPr>
        <w:t>The standard does not define the behavior when the tx element is omitted.</w:t>
      </w:r>
    </w:p>
    <w:p w:rsidR="005F78FC" w:rsidRDefault="00B42EF3">
      <w:pPr>
        <w:pStyle w:val="Definition-Field2"/>
      </w:pPr>
      <w:r>
        <w:t>If the tx element is omitted, Office uses</w:t>
      </w:r>
      <w:r>
        <w:t xml:space="preserve"> a default text of the localized version of string "Series#", where # is the value of the idx for the corresponding series + 1.</w:t>
      </w:r>
    </w:p>
    <w:p w:rsidR="005F78FC" w:rsidRDefault="00B42EF3">
      <w:pPr>
        <w:pStyle w:val="Heading3"/>
      </w:pPr>
      <w:bookmarkStart w:id="3142" w:name="section_7567be8d0d5e4265a80b52a3006799b3"/>
      <w:bookmarkStart w:id="3143" w:name="_Toc69879344"/>
      <w:r>
        <w:t>Part 1 Section 21.2.2.216, txPr (Text Properties)</w:t>
      </w:r>
      <w:bookmarkEnd w:id="3142"/>
      <w:bookmarkEnd w:id="3143"/>
      <w:r>
        <w:fldChar w:fldCharType="begin"/>
      </w:r>
      <w:r>
        <w:instrText xml:space="preserve"> XE "txPr (Text Properties)" </w:instrText>
      </w:r>
      <w:r>
        <w:fldChar w:fldCharType="end"/>
      </w:r>
    </w:p>
    <w:p w:rsidR="005F78FC" w:rsidRDefault="00B42EF3">
      <w:pPr>
        <w:pStyle w:val="Definition-Field2"/>
      </w:pPr>
      <w:r>
        <w:rPr>
          <w:i/>
        </w:rPr>
        <w:t>For additional notes that apply to this portion</w:t>
      </w:r>
      <w:r>
        <w:rPr>
          <w:i/>
        </w:rPr>
        <w:t xml:space="preserve"> of the standard, please see the notes for </w:t>
      </w:r>
      <w:hyperlink w:anchor="Section_c670152e08494bcf962e35ea83fc42de">
        <w:r>
          <w:rPr>
            <w:rStyle w:val="Hyperlink"/>
          </w:rPr>
          <w:t>pivotFmt, §21.2.2.142(a)</w:t>
        </w:r>
      </w:hyperlink>
      <w:r>
        <w:rPr>
          <w:i/>
        </w:rPr>
        <w:t>.</w:t>
      </w:r>
    </w:p>
    <w:p w:rsidR="005F78FC" w:rsidRDefault="00B42EF3">
      <w:pPr>
        <w:pStyle w:val="Definition-Field"/>
      </w:pPr>
      <w:r>
        <w:t xml:space="preserve">a.   </w:t>
      </w:r>
      <w:r>
        <w:rPr>
          <w:i/>
        </w:rPr>
        <w:t>The standard does not state any exceptions that cause this element to be ignored.</w:t>
      </w:r>
    </w:p>
    <w:p w:rsidR="005F78FC" w:rsidRDefault="00B42EF3">
      <w:pPr>
        <w:pStyle w:val="Definition-Field2"/>
      </w:pPr>
      <w:r>
        <w:t>Office ignores this element on load a</w:t>
      </w:r>
      <w:r>
        <w:t>nd removes this element on save if the tx sibling element contains a rich child element.</w:t>
      </w:r>
    </w:p>
    <w:p w:rsidR="005F78FC" w:rsidRDefault="00B42EF3">
      <w:pPr>
        <w:pStyle w:val="Definition-Field"/>
      </w:pPr>
      <w:r>
        <w:t xml:space="preserve">b.   </w:t>
      </w:r>
      <w:r>
        <w:rPr>
          <w:i/>
        </w:rPr>
        <w:t>The standard states that the maxOccurs for child element p is unbounded.</w:t>
      </w:r>
    </w:p>
    <w:p w:rsidR="005F78FC" w:rsidRDefault="00B42EF3">
      <w:pPr>
        <w:pStyle w:val="Definition-Field2"/>
      </w:pPr>
      <w:r>
        <w:t>Office ignores all but the first p child elements on load and only saves the first p chil</w:t>
      </w:r>
      <w:r>
        <w:t>d element.</w:t>
      </w:r>
    </w:p>
    <w:p w:rsidR="005F78FC" w:rsidRDefault="00B42EF3">
      <w:pPr>
        <w:pStyle w:val="Heading3"/>
      </w:pPr>
      <w:bookmarkStart w:id="3144" w:name="section_2e9f2f68de8a476981ecc433df93c50c"/>
      <w:bookmarkStart w:id="3145" w:name="_Toc69879345"/>
      <w:r>
        <w:t>Part 1 Section 21.2.2.219, userInterface (User Interface)</w:t>
      </w:r>
      <w:bookmarkEnd w:id="3144"/>
      <w:bookmarkEnd w:id="3145"/>
      <w:r>
        <w:fldChar w:fldCharType="begin"/>
      </w:r>
      <w:r>
        <w:instrText xml:space="preserve"> XE "userInterface (User Interface)" </w:instrText>
      </w:r>
      <w:r>
        <w:fldChar w:fldCharType="end"/>
      </w:r>
    </w:p>
    <w:p w:rsidR="005F78FC" w:rsidRDefault="00B42EF3">
      <w:pPr>
        <w:pStyle w:val="Definition-Field"/>
      </w:pPr>
      <w:r>
        <w:t xml:space="preserve">a.   </w:t>
      </w:r>
      <w:r>
        <w:rPr>
          <w:i/>
        </w:rPr>
        <w:t>The standard states that when this element is true, protection applies to the user interface only.</w:t>
      </w:r>
    </w:p>
    <w:p w:rsidR="005F78FC" w:rsidRDefault="00B42EF3">
      <w:pPr>
        <w:pStyle w:val="Definition-Field2"/>
      </w:pPr>
      <w:r>
        <w:t>Office always applies protection to the user</w:t>
      </w:r>
      <w:r>
        <w:t xml:space="preserve"> interface when this element is present, regardless of the value the val attribute.</w:t>
      </w:r>
    </w:p>
    <w:p w:rsidR="005F78FC" w:rsidRDefault="00B42EF3">
      <w:pPr>
        <w:pStyle w:val="Definition-Field"/>
      </w:pPr>
      <w:r>
        <w:t xml:space="preserve">b.   </w:t>
      </w:r>
      <w:r>
        <w:rPr>
          <w:i/>
        </w:rPr>
        <w:t>The standard states that this element specifies that the protection applies to the user interface only, and not to changes made through the object model.</w:t>
      </w:r>
    </w:p>
    <w:p w:rsidR="005F78FC" w:rsidRDefault="00B42EF3">
      <w:pPr>
        <w:pStyle w:val="Definition-Field2"/>
      </w:pPr>
      <w:r>
        <w:t>Office does n</w:t>
      </w:r>
      <w:r>
        <w:t>ot provide a way to set this property or save a file with this element.  On load this element is treated as specifying standard protection.</w:t>
      </w:r>
    </w:p>
    <w:p w:rsidR="005F78FC" w:rsidRDefault="00B42EF3">
      <w:pPr>
        <w:pStyle w:val="Heading3"/>
      </w:pPr>
      <w:bookmarkStart w:id="3146" w:name="section_f1fef0f3755d403ba81f9730ffb5681c"/>
      <w:bookmarkStart w:id="3147" w:name="_Toc69879346"/>
      <w:r>
        <w:t>Part 1 Section 21.2.2.222, v (Numeric Value)</w:t>
      </w:r>
      <w:bookmarkEnd w:id="3146"/>
      <w:bookmarkEnd w:id="3147"/>
      <w:r>
        <w:fldChar w:fldCharType="begin"/>
      </w:r>
      <w:r>
        <w:instrText xml:space="preserve"> XE "v (Numeric Value)" </w:instrText>
      </w:r>
      <w:r>
        <w:fldChar w:fldCharType="end"/>
      </w:r>
    </w:p>
    <w:p w:rsidR="005F78FC" w:rsidRDefault="00B42EF3">
      <w:pPr>
        <w:pStyle w:val="Definition-Field"/>
      </w:pPr>
      <w:r>
        <w:t xml:space="preserve">a.   </w:t>
      </w:r>
      <w:r>
        <w:rPr>
          <w:i/>
        </w:rPr>
        <w:t>The standard states that the values of t</w:t>
      </w:r>
      <w:r>
        <w:rPr>
          <w:i/>
        </w:rPr>
        <w:t>he val attribute are defined by the ST_Xstring simple type.</w:t>
      </w:r>
    </w:p>
    <w:p w:rsidR="005F78FC" w:rsidRDefault="00B42EF3">
      <w:pPr>
        <w:pStyle w:val="Definition-Field2"/>
      </w:pPr>
      <w:r>
        <w:t>Office restricts the string values of this attribute to be a double, an integer, or the value #N/A.</w:t>
      </w:r>
    </w:p>
    <w:p w:rsidR="005F78FC" w:rsidRDefault="00B42EF3">
      <w:pPr>
        <w:pStyle w:val="Heading3"/>
      </w:pPr>
      <w:bookmarkStart w:id="3148" w:name="section_4536b8c015fd4156a3e1b4a93b280d6f"/>
      <w:bookmarkStart w:id="3149" w:name="_Toc69879347"/>
      <w:r>
        <w:t>Part 1 Section 21.2.2.225, val (Error Bar Value)</w:t>
      </w:r>
      <w:bookmarkEnd w:id="3148"/>
      <w:bookmarkEnd w:id="3149"/>
      <w:r>
        <w:fldChar w:fldCharType="begin"/>
      </w:r>
      <w:r>
        <w:instrText xml:space="preserve"> XE "val (Error Bar Value)" </w:instrText>
      </w:r>
      <w:r>
        <w:fldChar w:fldCharType="end"/>
      </w:r>
    </w:p>
    <w:p w:rsidR="005F78FC" w:rsidRDefault="00B42EF3">
      <w:pPr>
        <w:pStyle w:val="Definition-Field2"/>
      </w:pPr>
      <w:r>
        <w:rPr>
          <w:i/>
        </w:rPr>
        <w:t>For additional no</w:t>
      </w:r>
      <w:r>
        <w:rPr>
          <w:i/>
        </w:rPr>
        <w:t xml:space="preserve">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5F78FC" w:rsidRDefault="00B42EF3">
      <w:pPr>
        <w:pStyle w:val="Definition-Field"/>
      </w:pPr>
      <w:r>
        <w:t xml:space="preserve">a.   </w:t>
      </w:r>
      <w:r>
        <w:rPr>
          <w:i/>
        </w:rPr>
        <w:t>The standard does not state any exceptions that cause this element to be ignored.</w:t>
      </w:r>
    </w:p>
    <w:p w:rsidR="005F78FC" w:rsidRDefault="00B42EF3">
      <w:pPr>
        <w:pStyle w:val="Definition-Field2"/>
      </w:pPr>
      <w:r>
        <w:t>Office ignores this element if the val attribute of sibling element errBarType is equa</w:t>
      </w:r>
      <w:r>
        <w:t>l to stdErr.</w:t>
      </w:r>
    </w:p>
    <w:p w:rsidR="005F78FC" w:rsidRDefault="00B42EF3">
      <w:pPr>
        <w:pStyle w:val="Heading3"/>
      </w:pPr>
      <w:bookmarkStart w:id="3150" w:name="section_a00fdd024b9f424a9f7e6bc5239c298e"/>
      <w:bookmarkStart w:id="3151" w:name="_Toc69879348"/>
      <w:r>
        <w:t>Part 1 Section 21.2.2.226, valAx (Value Axis)</w:t>
      </w:r>
      <w:bookmarkEnd w:id="3150"/>
      <w:bookmarkEnd w:id="3151"/>
      <w:r>
        <w:fldChar w:fldCharType="begin"/>
      </w:r>
      <w:r>
        <w:instrText xml:space="preserve"> XE "valAx (Value Axis)" </w:instrText>
      </w:r>
      <w:r>
        <w:fldChar w:fldCharType="end"/>
      </w:r>
    </w:p>
    <w:p w:rsidR="005F78FC" w:rsidRDefault="00B42EF3">
      <w:pPr>
        <w:pStyle w:val="Definition-Field"/>
      </w:pPr>
      <w:r>
        <w:t xml:space="preserve">a.   </w:t>
      </w:r>
      <w:r>
        <w:rPr>
          <w:i/>
        </w:rPr>
        <w:t>The standard does place any restrictions on the val attribute of the axId child element.</w:t>
      </w:r>
    </w:p>
    <w:p w:rsidR="005F78FC" w:rsidRDefault="00B42EF3">
      <w:pPr>
        <w:pStyle w:val="Definition-Field2"/>
      </w:pPr>
      <w:r>
        <w:lastRenderedPageBreak/>
        <w:t>Office requires that the val attribute of the axId child element match the v</w:t>
      </w:r>
      <w:r>
        <w:t>al attribute of an axId element in the parent chart.</w:t>
      </w:r>
    </w:p>
    <w:p w:rsidR="005F78FC" w:rsidRDefault="00B42EF3">
      <w:pPr>
        <w:pStyle w:val="Definition-Field"/>
      </w:pPr>
      <w:r>
        <w:t xml:space="preserve">b.   </w:t>
      </w:r>
      <w:r>
        <w:rPr>
          <w:i/>
        </w:rPr>
        <w:t>The standard does place any restrictions on the val attribute of the crossAx child element.</w:t>
      </w:r>
    </w:p>
    <w:p w:rsidR="005F78FC" w:rsidRDefault="00B42EF3">
      <w:pPr>
        <w:pStyle w:val="Definition-Field2"/>
      </w:pPr>
      <w:r>
        <w:t xml:space="preserve">Office requires that the val attribute of the crossAx child element matches the val attribute of an axId </w:t>
      </w:r>
      <w:r>
        <w:t>element in the parent chart.</w:t>
      </w:r>
    </w:p>
    <w:p w:rsidR="005F78FC" w:rsidRDefault="00B42EF3">
      <w:pPr>
        <w:pStyle w:val="Heading3"/>
      </w:pPr>
      <w:bookmarkStart w:id="3152" w:name="section_c929a5beb7e4401ba9b5699079e2705c"/>
      <w:bookmarkStart w:id="3153" w:name="_Toc69879349"/>
      <w:r>
        <w:t>Part 1 Section 21.2.2.227, varyColors (Vary Colors by Point)</w:t>
      </w:r>
      <w:bookmarkEnd w:id="3152"/>
      <w:bookmarkEnd w:id="3153"/>
      <w:r>
        <w:fldChar w:fldCharType="begin"/>
      </w:r>
      <w:r>
        <w:instrText xml:space="preserve"> XE "varyColors (Vary Colors by Point)" </w:instrText>
      </w:r>
      <w:r>
        <w:fldChar w:fldCharType="end"/>
      </w:r>
    </w:p>
    <w:p w:rsidR="005F78FC" w:rsidRDefault="00B42EF3">
      <w:pPr>
        <w:pStyle w:val="Definition-Field"/>
      </w:pPr>
      <w:r>
        <w:t xml:space="preserve">a.   </w:t>
      </w:r>
      <w:r>
        <w:rPr>
          <w:i/>
        </w:rPr>
        <w:t>The standard states that each point shall have a different color.</w:t>
      </w:r>
    </w:p>
    <w:p w:rsidR="005F78FC" w:rsidRDefault="00B42EF3">
      <w:pPr>
        <w:pStyle w:val="Definition-Field2"/>
      </w:pPr>
      <w:r>
        <w:t>In Office, this element also specifies that marker ty</w:t>
      </w:r>
      <w:r>
        <w:t>pes shall vary by point.</w:t>
      </w:r>
    </w:p>
    <w:p w:rsidR="005F78FC" w:rsidRDefault="00B42EF3">
      <w:pPr>
        <w:pStyle w:val="Definition-Field"/>
      </w:pPr>
      <w:r>
        <w:t xml:space="preserve">b.   </w:t>
      </w:r>
      <w:r>
        <w:rPr>
          <w:i/>
        </w:rPr>
        <w:t>The standard states that each data marker in the series shall have a different color.</w:t>
      </w:r>
    </w:p>
    <w:p w:rsidR="005F78FC" w:rsidRDefault="00B42EF3">
      <w:pPr>
        <w:pStyle w:val="Definition-Field2"/>
      </w:pPr>
      <w:r>
        <w:t>In Office, this element specifies that each data point, marker, and slice in the series shall vary by color.</w:t>
      </w:r>
    </w:p>
    <w:p w:rsidR="005F78FC" w:rsidRDefault="00B42EF3">
      <w:pPr>
        <w:pStyle w:val="Definition-Field"/>
      </w:pPr>
      <w:r>
        <w:t xml:space="preserve">c.   </w:t>
      </w:r>
      <w:r>
        <w:rPr>
          <w:i/>
        </w:rPr>
        <w:t>The standard states that p</w:t>
      </w:r>
      <w:r>
        <w:rPr>
          <w:i/>
        </w:rPr>
        <w:t>arent elements include area3DChart, areaChart, stockChart, and radarChart.</w:t>
      </w:r>
    </w:p>
    <w:p w:rsidR="005F78FC" w:rsidRDefault="00B42EF3">
      <w:pPr>
        <w:pStyle w:val="Definition-Field2"/>
      </w:pPr>
      <w:r>
        <w:t>Office ignores this element and does not vary colors by point when the parent is area3DChart, areaChart, or stockChart or when the parent is radarChart with the val attribute of sib</w:t>
      </w:r>
      <w:r>
        <w:t>ling element radarStyle set to filled.</w:t>
      </w:r>
    </w:p>
    <w:p w:rsidR="005F78FC" w:rsidRDefault="00B42EF3">
      <w:pPr>
        <w:pStyle w:val="Definition-Field"/>
      </w:pPr>
      <w:r>
        <w:t xml:space="preserve">d.   </w:t>
      </w:r>
      <w:r>
        <w:rPr>
          <w:i/>
        </w:rPr>
        <w:t>The standard does not state any exceptions as to when the vary colors by point is applied.</w:t>
      </w:r>
    </w:p>
    <w:p w:rsidR="005F78FC" w:rsidRDefault="00B42EF3">
      <w:pPr>
        <w:pStyle w:val="Definition-Field2"/>
      </w:pPr>
      <w:r>
        <w:t>Office ignores this element and does not vary colors by point when multiple series are specified on the chart.</w:t>
      </w:r>
    </w:p>
    <w:p w:rsidR="005F78FC" w:rsidRDefault="00B42EF3">
      <w:pPr>
        <w:pStyle w:val="Heading3"/>
      </w:pPr>
      <w:bookmarkStart w:id="3154" w:name="section_4e6a14839d2e45e3bb39dfb21f5e7c92"/>
      <w:bookmarkStart w:id="3155" w:name="_Toc69879350"/>
      <w:r>
        <w:t>Part 1 Sec</w:t>
      </w:r>
      <w:r>
        <w:t>tion 21.2.2.228, view3D (View In 3D)</w:t>
      </w:r>
      <w:bookmarkEnd w:id="3154"/>
      <w:bookmarkEnd w:id="3155"/>
      <w:r>
        <w:fldChar w:fldCharType="begin"/>
      </w:r>
      <w:r>
        <w:instrText xml:space="preserve"> XE "view3D (View In 3D)" </w:instrText>
      </w:r>
      <w:r>
        <w:fldChar w:fldCharType="end"/>
      </w:r>
    </w:p>
    <w:p w:rsidR="005F78FC" w:rsidRDefault="00B42EF3">
      <w:pPr>
        <w:pStyle w:val="Definition-Field"/>
      </w:pPr>
      <w:r>
        <w:t xml:space="preserve">a.   </w:t>
      </w:r>
      <w:r>
        <w:rPr>
          <w:i/>
        </w:rPr>
        <w:t>The standard states view3D is a child of any chart element.</w:t>
      </w:r>
    </w:p>
    <w:p w:rsidR="005F78FC" w:rsidRDefault="00B42EF3">
      <w:pPr>
        <w:pStyle w:val="Definition-Field2"/>
      </w:pPr>
      <w:r>
        <w:t>In Office, view3D applies when the descendants of the parent chart include area3DChart, bar3DChart, line3DChart, pie3DChart, s</w:t>
      </w:r>
      <w:r>
        <w:t>urface3DChart, or surfaceChart.</w:t>
      </w:r>
    </w:p>
    <w:p w:rsidR="005F78FC" w:rsidRDefault="00B42EF3">
      <w:pPr>
        <w:pStyle w:val="Heading3"/>
      </w:pPr>
      <w:bookmarkStart w:id="3156" w:name="section_251f0661860c455ebc94a20c41df76c7"/>
      <w:bookmarkStart w:id="3157" w:name="_Toc69879351"/>
      <w:r>
        <w:t>Part 1 Section 21.2.2.229, w (Width)</w:t>
      </w:r>
      <w:bookmarkEnd w:id="3156"/>
      <w:bookmarkEnd w:id="3157"/>
      <w:r>
        <w:fldChar w:fldCharType="begin"/>
      </w:r>
      <w:r>
        <w:instrText xml:space="preserve"> XE "w (Width)"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c5ba9569da3445309743b040df140552">
        <w:r>
          <w:rPr>
            <w:rStyle w:val="Hyperlink"/>
          </w:rPr>
          <w:t>crossesAt, §21.2</w:t>
        </w:r>
        <w:r>
          <w:rPr>
            <w:rStyle w:val="Hyperlink"/>
          </w:rPr>
          <w:t>.2.34(b)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5F78FC" w:rsidRDefault="00B42EF3">
      <w:pPr>
        <w:pStyle w:val="Definition-Field"/>
      </w:pPr>
      <w:r>
        <w:t xml:space="preserve">a.   </w:t>
      </w:r>
      <w:r>
        <w:rPr>
          <w:i/>
        </w:rPr>
        <w:t xml:space="preserve">The standard does not state any exceptions that cause this </w:t>
      </w:r>
      <w:r>
        <w:rPr>
          <w:i/>
        </w:rPr>
        <w:t>element to be ignored.</w:t>
      </w:r>
    </w:p>
    <w:p w:rsidR="005F78FC" w:rsidRDefault="00B42EF3">
      <w:pPr>
        <w:pStyle w:val="Definition-Field2"/>
      </w:pPr>
      <w:r>
        <w:t>Office ignores this element when a descendant of dispUnitsLbl, dLbl, title, or trendline and instead fits the element to the size of the text.</w:t>
      </w:r>
    </w:p>
    <w:p w:rsidR="005F78FC" w:rsidRDefault="00B42EF3">
      <w:pPr>
        <w:pStyle w:val="Definition-Field"/>
      </w:pPr>
      <w:r>
        <w:t xml:space="preserve">b.   </w:t>
      </w:r>
      <w:r>
        <w:rPr>
          <w:i/>
        </w:rPr>
        <w:t>The standard does not state any exceptions that cause this element to be ignored or i</w:t>
      </w:r>
      <w:r>
        <w:rPr>
          <w:i/>
        </w:rPr>
        <w:t>nterpreted differently.</w:t>
      </w:r>
    </w:p>
    <w:p w:rsidR="005F78FC" w:rsidRDefault="00B42EF3">
      <w:pPr>
        <w:pStyle w:val="Definition-Field2"/>
      </w:pPr>
      <w:r>
        <w:t>Office ignores this element and the parent element manualLayout if the val attribute is greater than 1 or less than 0. Instead, the parent of manualLayout shall use its default size and position.</w:t>
      </w:r>
    </w:p>
    <w:p w:rsidR="005F78FC" w:rsidRDefault="00B42EF3">
      <w:pPr>
        <w:pStyle w:val="Heading3"/>
      </w:pPr>
      <w:bookmarkStart w:id="3158" w:name="section_67d2127f692243a29ffee4d67615136d"/>
      <w:bookmarkStart w:id="3159" w:name="_Toc69879352"/>
      <w:r>
        <w:t>Part 1 Section 21.2.2.231, wMode (Wi</w:t>
      </w:r>
      <w:r>
        <w:t>dth Mode)</w:t>
      </w:r>
      <w:bookmarkEnd w:id="3158"/>
      <w:bookmarkEnd w:id="3159"/>
      <w:r>
        <w:fldChar w:fldCharType="begin"/>
      </w:r>
      <w:r>
        <w:instrText xml:space="preserve"> XE "wMode (Width Mode)" </w:instrText>
      </w:r>
      <w:r>
        <w:fldChar w:fldCharType="end"/>
      </w:r>
    </w:p>
    <w:p w:rsidR="005F78FC" w:rsidRDefault="00B42EF3">
      <w:pPr>
        <w:pStyle w:val="Definition-Field"/>
      </w:pPr>
      <w:r>
        <w:t xml:space="preserve">a.   </w:t>
      </w:r>
      <w:r>
        <w:rPr>
          <w:i/>
        </w:rPr>
        <w:t>The standard states the val attribute specifies the layout mode for the width.</w:t>
      </w:r>
    </w:p>
    <w:p w:rsidR="005F78FC" w:rsidRDefault="00B42EF3">
      <w:pPr>
        <w:pStyle w:val="Definition-Field2"/>
      </w:pPr>
      <w:r>
        <w:t>In Office, the val attribute specifies the layout mode for the parent element.</w:t>
      </w:r>
    </w:p>
    <w:p w:rsidR="005F78FC" w:rsidRDefault="00B42EF3">
      <w:pPr>
        <w:pStyle w:val="Definition-Field"/>
      </w:pPr>
      <w:r>
        <w:lastRenderedPageBreak/>
        <w:t xml:space="preserve">b.   </w:t>
      </w:r>
      <w:r>
        <w:rPr>
          <w:i/>
        </w:rPr>
        <w:t>The standard states that edge is a valid value of t</w:t>
      </w:r>
      <w:r>
        <w:rPr>
          <w:i/>
        </w:rPr>
        <w:t>he val attribute for wMode.</w:t>
      </w:r>
    </w:p>
    <w:p w:rsidR="005F78FC" w:rsidRDefault="00B42EF3">
      <w:pPr>
        <w:pStyle w:val="Definition-Field2"/>
      </w:pPr>
      <w:r>
        <w:t>Office only saves a val of factor.  Files opened with val equal to edge will be changed to factor on save and the val of sibling element w will be updated to reflect this mode change and correctly preserve the manual size.</w:t>
      </w:r>
    </w:p>
    <w:p w:rsidR="005F78FC" w:rsidRDefault="00B42EF3">
      <w:pPr>
        <w:pStyle w:val="Heading3"/>
      </w:pPr>
      <w:bookmarkStart w:id="3160" w:name="section_39d7c73319c2444287d997c0efce4cda"/>
      <w:bookmarkStart w:id="3161" w:name="_Toc69879353"/>
      <w:r>
        <w:t xml:space="preserve">Part </w:t>
      </w:r>
      <w:r>
        <w:t>1 Section 21.2.2.232, x (Left)</w:t>
      </w:r>
      <w:bookmarkEnd w:id="3160"/>
      <w:bookmarkEnd w:id="3161"/>
      <w:r>
        <w:fldChar w:fldCharType="begin"/>
      </w:r>
      <w:r>
        <w:instrText xml:space="preserve"> XE "x (Left)"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5F78FC" w:rsidRDefault="00B42EF3">
      <w:pPr>
        <w:pStyle w:val="Definition-Field"/>
      </w:pPr>
      <w:r>
        <w:t xml:space="preserve">a.   </w:t>
      </w:r>
      <w:r>
        <w:rPr>
          <w:i/>
        </w:rPr>
        <w:t xml:space="preserve">The standard does not state any exceptions that cause this element to be ignored or interpreted </w:t>
      </w:r>
      <w:r>
        <w:rPr>
          <w:i/>
        </w:rPr>
        <w:t>differently.</w:t>
      </w:r>
    </w:p>
    <w:p w:rsidR="005F78FC" w:rsidRDefault="00B42EF3">
      <w:pPr>
        <w:pStyle w:val="Definition-Field2"/>
      </w:pPr>
      <w:r>
        <w:t>Office ignores this element and parent manualLayout if val is greater than 1, less than 0 when the val of sibling xMode equals edge, or less than -1 when the val of sibling xMode equals factor, Instead, default size and position are used.</w:t>
      </w:r>
    </w:p>
    <w:p w:rsidR="005F78FC" w:rsidRDefault="00B42EF3">
      <w:pPr>
        <w:pStyle w:val="Definition-Field"/>
      </w:pPr>
      <w:r>
        <w:t xml:space="preserve">b.  </w:t>
      </w:r>
      <w:r>
        <w:t xml:space="preserve"> </w:t>
      </w:r>
      <w:r>
        <w:rPr>
          <w:i/>
        </w:rPr>
        <w:t>The standard does not state any exceptions that cause this element to be ignored or interpreted differently.</w:t>
      </w:r>
    </w:p>
    <w:p w:rsidR="005F78FC" w:rsidRDefault="00B42EF3">
      <w:pPr>
        <w:pStyle w:val="Definition-Field2"/>
      </w:pPr>
      <w:r>
        <w:t>Office places the element inside the chart at the point closest to the location specified while still retaining the specified width if val is in t</w:t>
      </w:r>
      <w:r>
        <w:t>he allowed range but the specified width and location would place the element outside the chart.</w:t>
      </w:r>
    </w:p>
    <w:p w:rsidR="005F78FC" w:rsidRDefault="00B42EF3">
      <w:pPr>
        <w:pStyle w:val="Heading3"/>
      </w:pPr>
      <w:bookmarkStart w:id="3162" w:name="section_033c001fa29a4817a32a75394f971109"/>
      <w:bookmarkStart w:id="3163" w:name="_Toc69879354"/>
      <w:r>
        <w:t>Part 1 Section 21.2.2.233, xMode (Left Mode)</w:t>
      </w:r>
      <w:bookmarkEnd w:id="3162"/>
      <w:bookmarkEnd w:id="3163"/>
      <w:r>
        <w:fldChar w:fldCharType="begin"/>
      </w:r>
      <w:r>
        <w:instrText xml:space="preserve"> XE "xMode (Left Mode)" </w:instrText>
      </w:r>
      <w:r>
        <w:fldChar w:fldCharType="end"/>
      </w:r>
    </w:p>
    <w:p w:rsidR="005F78FC" w:rsidRDefault="00B42EF3">
      <w:pPr>
        <w:pStyle w:val="Definition-Field2"/>
      </w:pPr>
      <w:r>
        <w:rPr>
          <w:i/>
        </w:rPr>
        <w:t>For additional notes that apply to this portion of the standard, please see the notes fo</w:t>
      </w:r>
      <w:r>
        <w:rPr>
          <w:i/>
        </w:rPr>
        <w:t xml:space="preserve">r </w:t>
      </w:r>
      <w:hyperlink w:anchor="Section_67d2127f692243a29ffee4d67615136d">
        <w:r>
          <w:rPr>
            <w:rStyle w:val="Hyperlink"/>
          </w:rPr>
          <w:t>wMode, §21.2.2.231(a)</w:t>
        </w:r>
      </w:hyperlink>
      <w:r>
        <w:rPr>
          <w:i/>
        </w:rPr>
        <w:t>.</w:t>
      </w:r>
    </w:p>
    <w:p w:rsidR="005F78FC" w:rsidRDefault="00B42EF3">
      <w:pPr>
        <w:pStyle w:val="Definition-Field"/>
      </w:pPr>
      <w:r>
        <w:t xml:space="preserve">a.   </w:t>
      </w:r>
      <w:r>
        <w:rPr>
          <w:i/>
        </w:rPr>
        <w:t>The standard states that factor is a valid value of the val attribute for xMode.</w:t>
      </w:r>
    </w:p>
    <w:p w:rsidR="005F78FC" w:rsidRDefault="00B42EF3">
      <w:pPr>
        <w:pStyle w:val="Definition-Field2"/>
      </w:pPr>
      <w:r>
        <w:t>Office only saves a val of edge, changing files with factor on save and updating x</w:t>
      </w:r>
      <w:r>
        <w:t xml:space="preserve"> to reflect this change and preserve the position. This may result in the manualLayout being ignored on subsequent loads if val of x is &gt;1 or &lt;0 after conversion.</w:t>
      </w:r>
    </w:p>
    <w:p w:rsidR="005F78FC" w:rsidRDefault="00B42EF3">
      <w:pPr>
        <w:pStyle w:val="Heading3"/>
      </w:pPr>
      <w:bookmarkStart w:id="3164" w:name="section_8c46e53bc5254bb6892759d133a60a06"/>
      <w:bookmarkStart w:id="3165" w:name="_Toc69879355"/>
      <w:r>
        <w:t>Part 1 Section 21.2.2.235, y (Top)</w:t>
      </w:r>
      <w:bookmarkEnd w:id="3164"/>
      <w:bookmarkEnd w:id="3165"/>
      <w:r>
        <w:fldChar w:fldCharType="begin"/>
      </w:r>
      <w:r>
        <w:instrText xml:space="preserve"> XE "y (Top)" </w:instrText>
      </w:r>
      <w:r>
        <w:fldChar w:fldCharType="end"/>
      </w:r>
    </w:p>
    <w:p w:rsidR="005F78FC" w:rsidRDefault="00B42EF3">
      <w:pPr>
        <w:pStyle w:val="Definition-Field2"/>
      </w:pPr>
      <w:r>
        <w:rPr>
          <w:i/>
        </w:rPr>
        <w:t>For additional notes that apply to this po</w:t>
      </w:r>
      <w:r>
        <w:rPr>
          <w:i/>
        </w:rPr>
        <w:t xml:space="preserve">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5F78FC" w:rsidRDefault="00B42EF3">
      <w:pPr>
        <w:pStyle w:val="Definition-Field"/>
      </w:pPr>
      <w:r>
        <w:t xml:space="preserve">a.   </w:t>
      </w:r>
      <w:r>
        <w:rPr>
          <w:i/>
        </w:rPr>
        <w:t>The standard does not state any exceptions that cause this element to be ignored or interpreted differently.</w:t>
      </w:r>
    </w:p>
    <w:p w:rsidR="005F78FC" w:rsidRDefault="00B42EF3">
      <w:pPr>
        <w:pStyle w:val="Definition-Field2"/>
      </w:pPr>
      <w:r>
        <w:t>Office places the element inside the chart at the point closest to the location spec</w:t>
      </w:r>
      <w:r>
        <w:t>ified while still retaining the specified height if val is in the allowed range but the specified height and location would place the element outside the chart.</w:t>
      </w:r>
    </w:p>
    <w:p w:rsidR="005F78FC" w:rsidRDefault="00B42EF3">
      <w:pPr>
        <w:pStyle w:val="Definition-Field"/>
      </w:pPr>
      <w:r>
        <w:t xml:space="preserve">b.   </w:t>
      </w:r>
      <w:r>
        <w:rPr>
          <w:i/>
        </w:rPr>
        <w:t>The standard does not state any exceptions that cause this element to be ignored or interp</w:t>
      </w:r>
      <w:r>
        <w:rPr>
          <w:i/>
        </w:rPr>
        <w:t>reted differently.</w:t>
      </w:r>
    </w:p>
    <w:p w:rsidR="005F78FC" w:rsidRDefault="00B42EF3">
      <w:pPr>
        <w:pStyle w:val="Definition-Field2"/>
      </w:pPr>
      <w:r>
        <w:t>Office ignores this element and parent manualLayout if val is greater than 1, less than 0 when the val of sibling yMode equals edge, or less than -1 when the val of sibling yMode equals factor, Instead, default size and position are used</w:t>
      </w:r>
      <w:r>
        <w:t>.</w:t>
      </w:r>
    </w:p>
    <w:p w:rsidR="005F78FC" w:rsidRDefault="00B42EF3">
      <w:pPr>
        <w:pStyle w:val="Heading3"/>
      </w:pPr>
      <w:bookmarkStart w:id="3166" w:name="section_3e552fb6fb1740bdaa1c6628425e5b8a"/>
      <w:bookmarkStart w:id="3167" w:name="_Toc69879356"/>
      <w:r>
        <w:lastRenderedPageBreak/>
        <w:t>Part 1 Section 21.2.2.236, yMode (Top Mode)</w:t>
      </w:r>
      <w:bookmarkEnd w:id="3166"/>
      <w:bookmarkEnd w:id="3167"/>
      <w:r>
        <w:fldChar w:fldCharType="begin"/>
      </w:r>
      <w:r>
        <w:instrText xml:space="preserve"> XE "yMode (Top Mode)"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67d2127f692243a29ffee4d67615136d">
        <w:r>
          <w:rPr>
            <w:rStyle w:val="Hyperlink"/>
          </w:rPr>
          <w:t>wMode, §21.2.2.231(a)</w:t>
        </w:r>
      </w:hyperlink>
      <w:r>
        <w:rPr>
          <w:i/>
        </w:rPr>
        <w:t>.</w:t>
      </w:r>
    </w:p>
    <w:p w:rsidR="005F78FC" w:rsidRDefault="00B42EF3">
      <w:pPr>
        <w:pStyle w:val="Definition-Field"/>
      </w:pPr>
      <w:r>
        <w:t xml:space="preserve">a.   </w:t>
      </w:r>
      <w:r>
        <w:rPr>
          <w:i/>
        </w:rPr>
        <w:t xml:space="preserve">The </w:t>
      </w:r>
      <w:r>
        <w:rPr>
          <w:i/>
        </w:rPr>
        <w:t>standard states that factor is a valid value of the val attribute for yMode.</w:t>
      </w:r>
    </w:p>
    <w:p w:rsidR="005F78FC" w:rsidRDefault="00B42EF3">
      <w:pPr>
        <w:pStyle w:val="Definition-Field2"/>
      </w:pPr>
      <w:r>
        <w:t>Office only saves a val of edge, changing files with factor on save and updating y to reflect this change and preserve the position. This may result in the manualLayout being igno</w:t>
      </w:r>
      <w:r>
        <w:t>red on subsequent loads if val of y is &gt; 1 or &lt; 0 after conversion.</w:t>
      </w:r>
    </w:p>
    <w:p w:rsidR="005F78FC" w:rsidRDefault="00B42EF3">
      <w:pPr>
        <w:pStyle w:val="Heading3"/>
      </w:pPr>
      <w:bookmarkStart w:id="3168" w:name="section_b7da8e6662134305a1400604cf2886aa"/>
      <w:bookmarkStart w:id="3169" w:name="_Toc69879357"/>
      <w:r>
        <w:t>Part 1 Section 21.2.3.1, ST_AxisUnit (Axis Unit)</w:t>
      </w:r>
      <w:bookmarkEnd w:id="3168"/>
      <w:bookmarkEnd w:id="3169"/>
      <w:r>
        <w:fldChar w:fldCharType="begin"/>
      </w:r>
      <w:r>
        <w:instrText xml:space="preserve"> XE "ST_AxisUnit (Axis Unit)" </w:instrText>
      </w:r>
      <w:r>
        <w:fldChar w:fldCharType="end"/>
      </w:r>
    </w:p>
    <w:p w:rsidR="005F78FC" w:rsidRDefault="00B42EF3">
      <w:pPr>
        <w:pStyle w:val="Definition-Field"/>
      </w:pPr>
      <w:r>
        <w:t xml:space="preserve">a.   </w:t>
      </w:r>
      <w:r>
        <w:rPr>
          <w:i/>
        </w:rPr>
        <w:t xml:space="preserve">The standard states that the contents of the ST_AxisUnit simple type are a restriction on the XML </w:t>
      </w:r>
      <w:r>
        <w:rPr>
          <w:i/>
        </w:rPr>
        <w:t>Schema double datatype, with a minimum value of greater than 0.</w:t>
      </w:r>
    </w:p>
    <w:p w:rsidR="005F78FC" w:rsidRDefault="00B42EF3">
      <w:pPr>
        <w:pStyle w:val="Definition-Field2"/>
      </w:pPr>
      <w:r>
        <w:t>Office does not allow the values of INF, -INF, or NaN.</w:t>
      </w:r>
    </w:p>
    <w:p w:rsidR="005F78FC" w:rsidRDefault="00B42EF3">
      <w:pPr>
        <w:pStyle w:val="Heading3"/>
      </w:pPr>
      <w:bookmarkStart w:id="3170" w:name="section_2ebc850c2ebe4101aecc74500c1c8c1f"/>
      <w:bookmarkStart w:id="3171" w:name="_Toc69879358"/>
      <w:r>
        <w:t>Part 1 Section 21.2.3.3, ST_BarDir (Bar Direction)</w:t>
      </w:r>
      <w:bookmarkEnd w:id="3170"/>
      <w:bookmarkEnd w:id="3171"/>
      <w:r>
        <w:fldChar w:fldCharType="begin"/>
      </w:r>
      <w:r>
        <w:instrText xml:space="preserve"> XE "ST_BarDir (Bar Direction)" </w:instrText>
      </w:r>
      <w:r>
        <w:fldChar w:fldCharType="end"/>
      </w:r>
    </w:p>
    <w:p w:rsidR="005F78FC" w:rsidRDefault="00B42EF3">
      <w:pPr>
        <w:pStyle w:val="Definition-Field"/>
      </w:pPr>
      <w:r>
        <w:t xml:space="preserve">a.   </w:t>
      </w:r>
      <w:r>
        <w:rPr>
          <w:i/>
        </w:rPr>
        <w:t>The standard states that each enumeration speci</w:t>
      </w:r>
      <w:r>
        <w:rPr>
          <w:i/>
        </w:rPr>
        <w:t>fies that if the chart is a bar or column chart, the data markers are horizontal or vertical rectangles, respectively.</w:t>
      </w:r>
    </w:p>
    <w:p w:rsidR="005F78FC" w:rsidRDefault="00B42EF3">
      <w:pPr>
        <w:pStyle w:val="Definition-Field2"/>
      </w:pPr>
      <w:r>
        <w:t>Office interprets each enumeration to specify that if the chart is a bar or column chart, the data markers are horizontally or vertically</w:t>
      </w:r>
      <w:r>
        <w:t xml:space="preserve"> oriented.  For 2D charts these are rectangles.  For 3D charts, the shape is specified by the shape element.</w:t>
      </w:r>
    </w:p>
    <w:p w:rsidR="005F78FC" w:rsidRDefault="00B42EF3">
      <w:pPr>
        <w:pStyle w:val="Heading3"/>
      </w:pPr>
      <w:bookmarkStart w:id="3172" w:name="section_294bc3bcb346432694c394b19a9a985c"/>
      <w:bookmarkStart w:id="3173" w:name="_Toc69879359"/>
      <w:r>
        <w:t>Part 1 Section 21.2.3.4, ST_BarGrouping (Bar Grouping)</w:t>
      </w:r>
      <w:bookmarkEnd w:id="3172"/>
      <w:bookmarkEnd w:id="3173"/>
      <w:r>
        <w:fldChar w:fldCharType="begin"/>
      </w:r>
      <w:r>
        <w:instrText xml:space="preserve"> XE "ST_BarGrouping (Bar Grouping)" </w:instrText>
      </w:r>
      <w:r>
        <w:fldChar w:fldCharType="end"/>
      </w:r>
    </w:p>
    <w:p w:rsidR="005F78FC" w:rsidRDefault="00B42EF3">
      <w:pPr>
        <w:pStyle w:val="Definition-Field"/>
      </w:pPr>
      <w:r>
        <w:t xml:space="preserve">a.   </w:t>
      </w:r>
      <w:r>
        <w:rPr>
          <w:i/>
        </w:rPr>
        <w:t>The standard states that the enumeration value st</w:t>
      </w:r>
      <w:r>
        <w:rPr>
          <w:i/>
        </w:rPr>
        <w:t>andard specifies that the chart series are drawn next to each other on the depth axis.</w:t>
      </w:r>
    </w:p>
    <w:p w:rsidR="005F78FC" w:rsidRDefault="00B42EF3">
      <w:pPr>
        <w:pStyle w:val="Definition-Field2"/>
      </w:pPr>
      <w:r>
        <w:t>In Office, the data markers for each category are drawn in clusters containing one marker from each series. The markers in each cluster are lined up on the depth axis in</w:t>
      </w:r>
      <w:r>
        <w:t xml:space="preserve"> a 3D chart. On 2d charts, standard grouping behaves like clustered grouping.</w:t>
      </w:r>
    </w:p>
    <w:p w:rsidR="005F78FC" w:rsidRDefault="00B42EF3">
      <w:pPr>
        <w:pStyle w:val="Heading3"/>
      </w:pPr>
      <w:bookmarkStart w:id="3174" w:name="section_6f412fc993b949d684467b5e4b5e6f4d"/>
      <w:bookmarkStart w:id="3175" w:name="_Toc69879360"/>
      <w:r>
        <w:t>Part 1 Section 21.2.3.6, ST_BuiltInUnit (Built-In Unit)</w:t>
      </w:r>
      <w:bookmarkEnd w:id="3174"/>
      <w:bookmarkEnd w:id="3175"/>
      <w:r>
        <w:fldChar w:fldCharType="begin"/>
      </w:r>
      <w:r>
        <w:instrText xml:space="preserve"> XE "ST_BuiltInUnit (Built-In Unit)" </w:instrText>
      </w:r>
      <w:r>
        <w:fldChar w:fldCharType="end"/>
      </w:r>
    </w:p>
    <w:p w:rsidR="005F78FC" w:rsidRDefault="00B42EF3">
      <w:pPr>
        <w:pStyle w:val="Definition-Field"/>
      </w:pPr>
      <w:r>
        <w:t xml:space="preserve">a.   </w:t>
      </w:r>
      <w:r>
        <w:rPr>
          <w:i/>
        </w:rPr>
        <w:t>The standard states that the trillions enumeration value specifies that the va</w:t>
      </w:r>
      <w:r>
        <w:rPr>
          <w:i/>
        </w:rPr>
        <w:t>lues on the chart shall be divided by 1,000,000,000.</w:t>
      </w:r>
    </w:p>
    <w:p w:rsidR="005F78FC" w:rsidRDefault="00B42EF3">
      <w:pPr>
        <w:pStyle w:val="Definition-Field2"/>
      </w:pPr>
      <w:r>
        <w:t>In Office, the trillions enumeration value specifies that the values on the chart shall be divided by 1,000,000,000,000.</w:t>
      </w:r>
    </w:p>
    <w:p w:rsidR="005F78FC" w:rsidRDefault="00B42EF3">
      <w:pPr>
        <w:pStyle w:val="Heading3"/>
      </w:pPr>
      <w:bookmarkStart w:id="3176" w:name="section_e79c50d2400c490f9b7bf65492782142"/>
      <w:bookmarkStart w:id="3177" w:name="_Toc69879361"/>
      <w:r>
        <w:t>Part 1 Section 21.2.3.8, ST_Crosses (Crosses)</w:t>
      </w:r>
      <w:bookmarkEnd w:id="3176"/>
      <w:bookmarkEnd w:id="3177"/>
      <w:r>
        <w:fldChar w:fldCharType="begin"/>
      </w:r>
      <w:r>
        <w:instrText xml:space="preserve"> XE "ST_Crosses (Crosses)" </w:instrText>
      </w:r>
      <w:r>
        <w:fldChar w:fldCharType="end"/>
      </w:r>
    </w:p>
    <w:p w:rsidR="005F78FC" w:rsidRDefault="00B42EF3">
      <w:pPr>
        <w:pStyle w:val="Definition-Field"/>
      </w:pPr>
      <w:r>
        <w:t xml:space="preserve">a.   </w:t>
      </w:r>
      <w:r>
        <w:rPr>
          <w:i/>
        </w:rPr>
        <w:t>Th</w:t>
      </w:r>
      <w:r>
        <w:rPr>
          <w:i/>
        </w:rPr>
        <w:t>e standard states that the autoZero value specifies that the category axis crosses at the zero point of the value axis (if possible), or the minimum value (if the minimum is greater than zero) or the maximum (if the maximum is less than zero).</w:t>
      </w:r>
    </w:p>
    <w:p w:rsidR="005F78FC" w:rsidRDefault="00B42EF3">
      <w:pPr>
        <w:pStyle w:val="Definition-Field2"/>
      </w:pPr>
      <w:r>
        <w:t xml:space="preserve">Office uses </w:t>
      </w:r>
      <w:r>
        <w:t>this value to specify that one axis crosses the other at the zero point, if a zero point exists; at the minimum value, if the minimum is greater than 0 or the axis is not numerical; or at the maximum value, if the maximum is less than 0.</w:t>
      </w:r>
    </w:p>
    <w:p w:rsidR="005F78FC" w:rsidRDefault="00B42EF3">
      <w:pPr>
        <w:pStyle w:val="Heading3"/>
      </w:pPr>
      <w:bookmarkStart w:id="3178" w:name="section_ba45301ab7004913a05271e61c1b5023"/>
      <w:bookmarkStart w:id="3179" w:name="_Toc69879362"/>
      <w:r>
        <w:lastRenderedPageBreak/>
        <w:t>Part 1 Section 21.</w:t>
      </w:r>
      <w:r>
        <w:t>2.3.14, ST_ErrValType (Error Value Type)</w:t>
      </w:r>
      <w:bookmarkEnd w:id="3178"/>
      <w:bookmarkEnd w:id="3179"/>
      <w:r>
        <w:fldChar w:fldCharType="begin"/>
      </w:r>
      <w:r>
        <w:instrText xml:space="preserve"> XE "ST_ErrValType (Error Value Type)" </w:instrText>
      </w:r>
      <w:r>
        <w:fldChar w:fldCharType="end"/>
      </w:r>
    </w:p>
    <w:p w:rsidR="005F78FC" w:rsidRDefault="00B42EF3">
      <w:pPr>
        <w:pStyle w:val="Definition-Field"/>
      </w:pPr>
      <w:r>
        <w:t xml:space="preserve">a.   </w:t>
      </w:r>
      <w:r>
        <w:rPr>
          <w:i/>
        </w:rPr>
        <w:t>The standard states that the enumeration value stdDev specifies that the length of the error bars shall be Error Bar Value standard deviations of the data.</w:t>
      </w:r>
    </w:p>
    <w:p w:rsidR="005F78FC" w:rsidRDefault="00B42EF3">
      <w:pPr>
        <w:pStyle w:val="Definition-Field2"/>
      </w:pPr>
      <w:r>
        <w:t>In Office, th</w:t>
      </w:r>
      <w:r>
        <w:t>e enumeration valuestdDev specifies that the length of the error bars shall be the standard deviation for each data point and then multiplied by the val (Error Bar Value).</w:t>
      </w:r>
    </w:p>
    <w:p w:rsidR="005F78FC" w:rsidRDefault="00B42EF3">
      <w:pPr>
        <w:pStyle w:val="Heading3"/>
      </w:pPr>
      <w:bookmarkStart w:id="3180" w:name="section_9e882b63252440088fd885e34d6585c3"/>
      <w:bookmarkStart w:id="3181" w:name="_Toc69879363"/>
      <w:r>
        <w:t>Part 1 Section 21.2.3.17, ST_Grouping (Grouping)</w:t>
      </w:r>
      <w:bookmarkEnd w:id="3180"/>
      <w:bookmarkEnd w:id="3181"/>
      <w:r>
        <w:fldChar w:fldCharType="begin"/>
      </w:r>
      <w:r>
        <w:instrText xml:space="preserve"> XE "ST_Grouping (Grouping)" </w:instrText>
      </w:r>
      <w:r>
        <w:fldChar w:fldCharType="end"/>
      </w:r>
    </w:p>
    <w:p w:rsidR="005F78FC" w:rsidRDefault="00B42EF3">
      <w:pPr>
        <w:pStyle w:val="Definition-Field"/>
      </w:pPr>
      <w:r>
        <w:t xml:space="preserve">a.  </w:t>
      </w:r>
      <w:r>
        <w:t xml:space="preserve"> </w:t>
      </w:r>
      <w:r>
        <w:rPr>
          <w:i/>
        </w:rPr>
        <w:t>The standard states that the ST_Grouping simple type specifies the possible groupings for a bar chart.</w:t>
      </w:r>
    </w:p>
    <w:p w:rsidR="005F78FC" w:rsidRDefault="00B42EF3">
      <w:pPr>
        <w:pStyle w:val="Definition-Field2"/>
      </w:pPr>
      <w:r>
        <w:t>Office uses this simple type to specify the possible methods for grouping the data series on a chart.</w:t>
      </w:r>
    </w:p>
    <w:p w:rsidR="005F78FC" w:rsidRDefault="00B42EF3">
      <w:pPr>
        <w:pStyle w:val="Heading3"/>
      </w:pPr>
      <w:bookmarkStart w:id="3182" w:name="section_56d2baaf961d4e81bc6f09d90ef42a68"/>
      <w:bookmarkStart w:id="3183" w:name="_Toc69879364"/>
      <w:r>
        <w:t>Part 1 Section 21.2.3.18, ST_HoleSize (Hole Size)</w:t>
      </w:r>
      <w:bookmarkEnd w:id="3182"/>
      <w:bookmarkEnd w:id="3183"/>
      <w:r>
        <w:fldChar w:fldCharType="begin"/>
      </w:r>
      <w:r>
        <w:instrText xml:space="preserve"> </w:instrText>
      </w:r>
      <w:r>
        <w:instrText xml:space="preserve">XE "ST_HoleSize (Hole Size)" </w:instrText>
      </w:r>
      <w:r>
        <w:fldChar w:fldCharType="end"/>
      </w:r>
    </w:p>
    <w:p w:rsidR="005F78FC" w:rsidRDefault="00B42EF3">
      <w:pPr>
        <w:pStyle w:val="Definition-Field"/>
      </w:pPr>
      <w:r>
        <w:t xml:space="preserve">a.   </w:t>
      </w:r>
      <w:r>
        <w:rPr>
          <w:i/>
        </w:rPr>
        <w:t>The standard states that the ST_HoleSize simple type has a minimum value of greater than or equal to 10.</w:t>
      </w:r>
    </w:p>
    <w:p w:rsidR="005F78FC" w:rsidRDefault="00B42EF3">
      <w:pPr>
        <w:pStyle w:val="Definition-Field2"/>
      </w:pPr>
      <w:r>
        <w:t>Office defines this simple type to have a minimum value of greater than or equal to 1.</w:t>
      </w:r>
    </w:p>
    <w:p w:rsidR="005F78FC" w:rsidRDefault="00B42EF3">
      <w:pPr>
        <w:pStyle w:val="Heading3"/>
      </w:pPr>
      <w:bookmarkStart w:id="3184" w:name="section_bb8565e7dfea453f868bae680ab8a823"/>
      <w:bookmarkStart w:id="3185" w:name="_Toc69879365"/>
      <w:r>
        <w:t>Part 1 Section 21.2.3.20, S</w:t>
      </w:r>
      <w:r>
        <w:t>T_LayoutMode (Layout Mode)</w:t>
      </w:r>
      <w:bookmarkEnd w:id="3184"/>
      <w:bookmarkEnd w:id="3185"/>
      <w:r>
        <w:fldChar w:fldCharType="begin"/>
      </w:r>
      <w:r>
        <w:instrText xml:space="preserve"> XE "ST_LayoutMode (Layout Mode)" </w:instrText>
      </w:r>
      <w:r>
        <w:fldChar w:fldCharType="end"/>
      </w:r>
    </w:p>
    <w:p w:rsidR="005F78FC" w:rsidRDefault="00B42EF3">
      <w:pPr>
        <w:pStyle w:val="Definition-Field"/>
      </w:pPr>
      <w:r>
        <w:t xml:space="preserve">a.   </w:t>
      </w:r>
      <w:r>
        <w:rPr>
          <w:i/>
        </w:rPr>
        <w:t>The standard defines edge as "Specifies that the Width or Height shall be interpreted as the Right or Bottom of the chart element".</w:t>
      </w:r>
    </w:p>
    <w:p w:rsidR="005F78FC" w:rsidRDefault="00B42EF3">
      <w:r>
        <w:t>Office additionally specifies the following behaviors fo</w:t>
      </w:r>
      <w:r>
        <w:t>r the edge attribute:</w:t>
      </w:r>
    </w:p>
    <w:p w:rsidR="005F78FC" w:rsidRDefault="00B42EF3">
      <w:r>
        <w:t xml:space="preserve">For </w:t>
      </w:r>
      <w:r>
        <w:rPr>
          <w:b/>
        </w:rPr>
        <w:t>hMode</w:t>
      </w:r>
      <w:r>
        <w:t>/</w:t>
      </w:r>
      <w:r>
        <w:rPr>
          <w:b/>
        </w:rPr>
        <w:t xml:space="preserve">wMode </w:t>
      </w:r>
      <w:r>
        <w:t xml:space="preserve">element, the </w:t>
      </w:r>
      <w:r>
        <w:rPr>
          <w:b/>
        </w:rPr>
        <w:t>edge</w:t>
      </w:r>
      <w:r>
        <w:t xml:space="preserve"> attribute specifies that the value of sibling element </w:t>
      </w:r>
      <w:r>
        <w:rPr>
          <w:b/>
        </w:rPr>
        <w:t xml:space="preserve">h </w:t>
      </w:r>
      <w:r>
        <w:t>("</w:t>
      </w:r>
      <w:hyperlink r:id="rId216">
        <w:r>
          <w:rPr>
            <w:rStyle w:val="Hyperlink"/>
          </w:rPr>
          <w:t>[ISO/IEC-29500-1]</w:t>
        </w:r>
      </w:hyperlink>
      <w:r>
        <w:t xml:space="preserve"> §21.2.2.78; h (Height)") /</w:t>
      </w:r>
      <w:r>
        <w:rPr>
          <w:b/>
        </w:rPr>
        <w:t xml:space="preserve">w </w:t>
      </w:r>
      <w:r>
        <w:t>("[ISO/IEC-29500-1] §21.2.2.22</w:t>
      </w:r>
      <w:r>
        <w:t>9; w (Width)") is interpreted as the distance to the bottom/right edge of the chart element from the top/left edge of the chart as a percentage of the chart height/width.</w:t>
      </w:r>
    </w:p>
    <w:p w:rsidR="005F78FC" w:rsidRDefault="00B42EF3">
      <w:r>
        <w:t xml:space="preserve">For </w:t>
      </w:r>
      <w:r>
        <w:rPr>
          <w:b/>
        </w:rPr>
        <w:t>xMode</w:t>
      </w:r>
      <w:r>
        <w:t>/</w:t>
      </w:r>
      <w:r>
        <w:rPr>
          <w:b/>
        </w:rPr>
        <w:t xml:space="preserve">yMode </w:t>
      </w:r>
      <w:r>
        <w:t xml:space="preserve">element, the </w:t>
      </w:r>
      <w:r>
        <w:rPr>
          <w:b/>
        </w:rPr>
        <w:t>edge</w:t>
      </w:r>
      <w:r>
        <w:t xml:space="preserve"> attribute specifies that the value of sibling element </w:t>
      </w:r>
      <w:r>
        <w:rPr>
          <w:b/>
        </w:rPr>
        <w:t xml:space="preserve">x </w:t>
      </w:r>
      <w:r>
        <w:t xml:space="preserve">("[ISO/IEC-29500-1] §21.2.2.232; x (Left)") / </w:t>
      </w:r>
      <w:r>
        <w:rPr>
          <w:b/>
        </w:rPr>
        <w:t xml:space="preserve">y </w:t>
      </w:r>
      <w:r>
        <w:t>("[ISO/IEC-29500-1] §21.2.2.235; y (Top)") is interpreted as the distance to the left/top edge of the chart element from the left/top edge of the chart</w:t>
      </w:r>
      <w:r>
        <w:t xml:space="preserve"> as a percentage of the chart width/height.</w:t>
      </w:r>
    </w:p>
    <w:p w:rsidR="005F78FC" w:rsidRDefault="00B42EF3">
      <w:pPr>
        <w:pStyle w:val="Definition-Field"/>
      </w:pPr>
      <w:r>
        <w:t xml:space="preserve">b.   </w:t>
      </w:r>
      <w:r>
        <w:rPr>
          <w:i/>
        </w:rPr>
        <w:t>The standard defines factor as "Specifies that the Width or Height shall be interpreted as the Width or Height of the chart element".</w:t>
      </w:r>
    </w:p>
    <w:p w:rsidR="005F78FC" w:rsidRDefault="00B42EF3">
      <w:r>
        <w:t>Office additionally specifies the following behaviors for the factor attr</w:t>
      </w:r>
      <w:r>
        <w:t>ibute:</w:t>
      </w:r>
    </w:p>
    <w:p w:rsidR="005F78FC" w:rsidRDefault="00B42EF3">
      <w:r>
        <w:t xml:space="preserve">For </w:t>
      </w:r>
      <w:r>
        <w:rPr>
          <w:b/>
        </w:rPr>
        <w:t>hMode</w:t>
      </w:r>
      <w:r>
        <w:t>/</w:t>
      </w:r>
      <w:r>
        <w:rPr>
          <w:b/>
        </w:rPr>
        <w:t xml:space="preserve">wMode </w:t>
      </w:r>
      <w:r>
        <w:t xml:space="preserve">element, the </w:t>
      </w:r>
      <w:r>
        <w:rPr>
          <w:b/>
        </w:rPr>
        <w:t>factor</w:t>
      </w:r>
      <w:r>
        <w:t xml:space="preserve"> attribute specifies that the value of sibling element </w:t>
      </w:r>
      <w:r>
        <w:rPr>
          <w:b/>
        </w:rPr>
        <w:t xml:space="preserve">h </w:t>
      </w:r>
      <w:r>
        <w:t>("[ISO/IEC-29500-1] §21.2.2.78; h (Height)") /</w:t>
      </w:r>
      <w:r>
        <w:rPr>
          <w:b/>
        </w:rPr>
        <w:t xml:space="preserve">w </w:t>
      </w:r>
      <w:r>
        <w:t>("[ISO/IEC-29500-1] §21.2.2.229; w (Width)") is interpreted as the height/width of the chart element as a per</w:t>
      </w:r>
      <w:r>
        <w:t>centage of the chart height/width.</w:t>
      </w:r>
    </w:p>
    <w:p w:rsidR="005F78FC" w:rsidRDefault="00B42EF3">
      <w:r>
        <w:t xml:space="preserve">For </w:t>
      </w:r>
      <w:r>
        <w:rPr>
          <w:b/>
        </w:rPr>
        <w:t>xMode</w:t>
      </w:r>
      <w:r>
        <w:t>/</w:t>
      </w:r>
      <w:r>
        <w:rPr>
          <w:b/>
        </w:rPr>
        <w:t xml:space="preserve">yMode </w:t>
      </w:r>
      <w:r>
        <w:t xml:space="preserve">element, the </w:t>
      </w:r>
      <w:r>
        <w:rPr>
          <w:b/>
        </w:rPr>
        <w:t>factor</w:t>
      </w:r>
      <w:r>
        <w:t xml:space="preserve"> attribute specifies that the value of sibling element </w:t>
      </w:r>
      <w:r>
        <w:rPr>
          <w:b/>
        </w:rPr>
        <w:t>x</w:t>
      </w:r>
      <w:r>
        <w:t xml:space="preserve"> ("[ISO/IEC-29500-1] §21.2.2.232; x (Left)") / </w:t>
      </w:r>
      <w:r>
        <w:rPr>
          <w:b/>
        </w:rPr>
        <w:t xml:space="preserve">y </w:t>
      </w:r>
      <w:r>
        <w:t>("[ISO/IEC-29500-1]</w:t>
      </w:r>
      <w:r>
        <w:t xml:space="preserve"> §21.2.2.235; y (Top)") is interpreted as the distance to the left/top edge of the chart element from the left/top edge of default position of the chart element as a percentage of the chart width/height.</w:t>
      </w:r>
    </w:p>
    <w:p w:rsidR="005F78FC" w:rsidRDefault="00B42EF3">
      <w:pPr>
        <w:pStyle w:val="Heading3"/>
      </w:pPr>
      <w:bookmarkStart w:id="3186" w:name="section_54d012c4b9dc4e50b14e0b151096b96b"/>
      <w:bookmarkStart w:id="3187" w:name="_Toc69879366"/>
      <w:r>
        <w:t>Part 1 Section 21.2.3.27, ST_MarkerStyle (Marker Sty</w:t>
      </w:r>
      <w:r>
        <w:t>le)</w:t>
      </w:r>
      <w:bookmarkEnd w:id="3186"/>
      <w:bookmarkEnd w:id="3187"/>
      <w:r>
        <w:fldChar w:fldCharType="begin"/>
      </w:r>
      <w:r>
        <w:instrText xml:space="preserve"> XE "ST_MarkerStyle (Marker Style)" </w:instrText>
      </w:r>
      <w:r>
        <w:fldChar w:fldCharType="end"/>
      </w:r>
    </w:p>
    <w:p w:rsidR="005F78FC" w:rsidRDefault="00B42EF3">
      <w:pPr>
        <w:pStyle w:val="Definition-Field"/>
      </w:pPr>
      <w:r>
        <w:t xml:space="preserve">a.   </w:t>
      </w:r>
      <w:r>
        <w:rPr>
          <w:i/>
        </w:rPr>
        <w:t>The standard does not specify auto as a valid enumeration value.</w:t>
      </w:r>
    </w:p>
    <w:p w:rsidR="005F78FC" w:rsidRDefault="00B42EF3">
      <w:pPr>
        <w:pStyle w:val="Definition-Field2"/>
      </w:pPr>
      <w:r>
        <w:lastRenderedPageBreak/>
        <w:t>Office allows auto as an enumeration value that specifies that the marker style shall be determined by the application.</w:t>
      </w:r>
    </w:p>
    <w:p w:rsidR="005F78FC" w:rsidRDefault="00B42EF3">
      <w:pPr>
        <w:pStyle w:val="Heading3"/>
      </w:pPr>
      <w:bookmarkStart w:id="3188" w:name="section_89794847d1b741ce9e2ac789afe390d2"/>
      <w:bookmarkStart w:id="3189" w:name="_Toc69879367"/>
      <w:r>
        <w:t>Part 1 Section 21.2.3.30</w:t>
      </w:r>
      <w:r>
        <w:t>, ST_Orientation (Orientation)</w:t>
      </w:r>
      <w:bookmarkEnd w:id="3188"/>
      <w:bookmarkEnd w:id="3189"/>
      <w:r>
        <w:fldChar w:fldCharType="begin"/>
      </w:r>
      <w:r>
        <w:instrText xml:space="preserve"> XE "ST_Orientation (Orientation)" </w:instrText>
      </w:r>
      <w:r>
        <w:fldChar w:fldCharType="end"/>
      </w:r>
    </w:p>
    <w:p w:rsidR="005F78FC" w:rsidRDefault="00B42EF3">
      <w:pPr>
        <w:pStyle w:val="Definition-Field"/>
      </w:pPr>
      <w:r>
        <w:t xml:space="preserve">a.   </w:t>
      </w:r>
      <w:r>
        <w:rPr>
          <w:i/>
        </w:rPr>
        <w:t>The standard states that the ST_Orientation simple type specifies the possible ways to place a picture on a data point, series, wall, or floor.</w:t>
      </w:r>
    </w:p>
    <w:p w:rsidR="005F78FC" w:rsidRDefault="00B42EF3">
      <w:pPr>
        <w:pStyle w:val="Definition-Field2"/>
      </w:pPr>
      <w:r>
        <w:t>Office uses this simple type to specify</w:t>
      </w:r>
      <w:r>
        <w:t xml:space="preserve"> whether the values on an axis are increasing or decreasing.</w:t>
      </w:r>
    </w:p>
    <w:p w:rsidR="005F78FC" w:rsidRDefault="00B42EF3">
      <w:pPr>
        <w:pStyle w:val="Heading3"/>
      </w:pPr>
      <w:bookmarkStart w:id="3190" w:name="section_26be8f3ae9c24f589fa872bab178b598"/>
      <w:bookmarkStart w:id="3191" w:name="_Toc69879368"/>
      <w:r>
        <w:t>Part 1 Section 21.2.3.33, ST_Period (Period)</w:t>
      </w:r>
      <w:bookmarkEnd w:id="3190"/>
      <w:bookmarkEnd w:id="3191"/>
      <w:r>
        <w:fldChar w:fldCharType="begin"/>
      </w:r>
      <w:r>
        <w:instrText xml:space="preserve"> XE "ST_Period (Period)" </w:instrText>
      </w:r>
      <w:r>
        <w:fldChar w:fldCharType="end"/>
      </w:r>
    </w:p>
    <w:p w:rsidR="005F78FC" w:rsidRDefault="00B42EF3">
      <w:pPr>
        <w:pStyle w:val="Definition-Field"/>
      </w:pPr>
      <w:r>
        <w:t xml:space="preserve">a.   </w:t>
      </w:r>
      <w:r>
        <w:rPr>
          <w:i/>
        </w:rPr>
        <w:t>The standard states that the contents of the ST_Period simple type are a restriction on the XML Schema unsignedByte da</w:t>
      </w:r>
      <w:r>
        <w:rPr>
          <w:i/>
        </w:rPr>
        <w:t>tatype, ranging from 2 to 255.</w:t>
      </w:r>
    </w:p>
    <w:p w:rsidR="005F78FC" w:rsidRDefault="00B42EF3">
      <w:pPr>
        <w:pStyle w:val="Definition-Field2"/>
      </w:pPr>
      <w:r>
        <w:t>Excel defines this simple type as being a restriction on the XML Schema unsignedInt datatype, with a minimum value of 2 and an unbounded maximum value.</w:t>
      </w:r>
    </w:p>
    <w:p w:rsidR="005F78FC" w:rsidRDefault="00B42EF3">
      <w:pPr>
        <w:pStyle w:val="Heading3"/>
      </w:pPr>
      <w:bookmarkStart w:id="3192" w:name="section_0215ce81e51b4bf7a61b27f8f76121ea"/>
      <w:bookmarkStart w:id="3193" w:name="_Toc69879369"/>
      <w:r>
        <w:t>Part 1 Section 21.2.3.34, ST_Perspective (Perspective)</w:t>
      </w:r>
      <w:bookmarkEnd w:id="3192"/>
      <w:bookmarkEnd w:id="3193"/>
      <w:r>
        <w:fldChar w:fldCharType="begin"/>
      </w:r>
      <w:r>
        <w:instrText xml:space="preserve"> XE "ST_Perspective</w:instrText>
      </w:r>
      <w:r>
        <w:instrText xml:space="preserve"> (Perspective)" </w:instrText>
      </w:r>
      <w:r>
        <w:fldChar w:fldCharType="end"/>
      </w:r>
    </w:p>
    <w:p w:rsidR="005F78FC" w:rsidRDefault="00B42EF3">
      <w:pPr>
        <w:pStyle w:val="Definition-Field"/>
      </w:pPr>
      <w:r>
        <w:t xml:space="preserve">a.   </w:t>
      </w:r>
      <w:r>
        <w:rPr>
          <w:i/>
        </w:rPr>
        <w:t>The standard states that the ST_Perspective simple type specifies an integer between 0 and 100 whose contents are a percentage.</w:t>
      </w:r>
    </w:p>
    <w:p w:rsidR="005F78FC" w:rsidRDefault="00B42EF3">
      <w:pPr>
        <w:pStyle w:val="Definition-Field2"/>
      </w:pPr>
      <w:r>
        <w:t>Office uses this simple type to specify an integer between 0 and 240, inclusive, whose contents are a me</w:t>
      </w:r>
      <w:r>
        <w:t>asurement in degrees.</w:t>
      </w:r>
    </w:p>
    <w:p w:rsidR="005F78FC" w:rsidRDefault="00B42EF3">
      <w:pPr>
        <w:pStyle w:val="Heading3"/>
      </w:pPr>
      <w:bookmarkStart w:id="3194" w:name="section_559db49f5917417e894b34c17cd12e33"/>
      <w:bookmarkStart w:id="3195" w:name="_Toc69879370"/>
      <w:r>
        <w:t>Part 1 Section 21.2.3.35, ST_PictureFormat (Picture Format)</w:t>
      </w:r>
      <w:bookmarkEnd w:id="3194"/>
      <w:bookmarkEnd w:id="3195"/>
      <w:r>
        <w:fldChar w:fldCharType="begin"/>
      </w:r>
      <w:r>
        <w:instrText xml:space="preserve"> XE "ST_PictureFormat (Picture Format)" </w:instrText>
      </w:r>
      <w:r>
        <w:fldChar w:fldCharType="end"/>
      </w:r>
    </w:p>
    <w:p w:rsidR="005F78FC" w:rsidRDefault="00B42EF3">
      <w:pPr>
        <w:pStyle w:val="Definition-Field"/>
      </w:pPr>
      <w:r>
        <w:t xml:space="preserve">a.   </w:t>
      </w:r>
      <w:r>
        <w:rPr>
          <w:i/>
        </w:rPr>
        <w:t>The standard states that the stretch enumeration value specifies that the picture shall be anisotropic stretched to fill the da</w:t>
      </w:r>
      <w:r>
        <w:rPr>
          <w:i/>
        </w:rPr>
        <w:t>ta point, series, wall or floor.</w:t>
      </w:r>
    </w:p>
    <w:p w:rsidR="005F78FC" w:rsidRDefault="00B42EF3">
      <w:pPr>
        <w:pStyle w:val="Definition-Field2"/>
      </w:pPr>
      <w:r>
        <w:t>Office does not use anisotropic stretch when stretching the picture fill.</w:t>
      </w:r>
    </w:p>
    <w:p w:rsidR="005F78FC" w:rsidRDefault="00B42EF3">
      <w:pPr>
        <w:pStyle w:val="Heading3"/>
      </w:pPr>
      <w:bookmarkStart w:id="3196" w:name="section_d82e893585824ef59b33bb5fe1dd8fe0"/>
      <w:bookmarkStart w:id="3197" w:name="_Toc69879371"/>
      <w:r>
        <w:t>Part 1 Section 21.2.3.37, ST_RadarStyle (Radar Style)</w:t>
      </w:r>
      <w:bookmarkEnd w:id="3196"/>
      <w:bookmarkEnd w:id="3197"/>
      <w:r>
        <w:fldChar w:fldCharType="begin"/>
      </w:r>
      <w:r>
        <w:instrText xml:space="preserve"> XE "ST_RadarStyle (Radar Style)" </w:instrText>
      </w:r>
      <w:r>
        <w:fldChar w:fldCharType="end"/>
      </w:r>
    </w:p>
    <w:p w:rsidR="005F78FC" w:rsidRDefault="00B42EF3">
      <w:pPr>
        <w:pStyle w:val="Definition-Field"/>
      </w:pPr>
      <w:r>
        <w:t xml:space="preserve">a.   </w:t>
      </w:r>
      <w:r>
        <w:rPr>
          <w:i/>
        </w:rPr>
        <w:t xml:space="preserve">The standard does not state that the styles specified </w:t>
      </w:r>
      <w:r>
        <w:rPr>
          <w:i/>
        </w:rPr>
        <w:t>by the ST_RadarStyle simple type can be overridden.</w:t>
      </w:r>
    </w:p>
    <w:p w:rsidR="005F78FC" w:rsidRDefault="00B42EF3">
      <w:pPr>
        <w:pStyle w:val="Definition-Field2"/>
      </w:pPr>
      <w:r>
        <w:t>Office allows theses styles to be overridden by the line and marker settings on the individual data series in the chart.</w:t>
      </w:r>
    </w:p>
    <w:p w:rsidR="005F78FC" w:rsidRDefault="00B42EF3">
      <w:pPr>
        <w:pStyle w:val="Heading3"/>
      </w:pPr>
      <w:bookmarkStart w:id="3198" w:name="section_790a49d0682946268e0f4f6681a9586b"/>
      <w:bookmarkStart w:id="3199" w:name="_Toc69879372"/>
      <w:r>
        <w:t>Part 1 Section 21.2.3.40, ST_ScatterStyle (Scatter Style)</w:t>
      </w:r>
      <w:bookmarkEnd w:id="3198"/>
      <w:bookmarkEnd w:id="3199"/>
      <w:r>
        <w:fldChar w:fldCharType="begin"/>
      </w:r>
      <w:r>
        <w:instrText xml:space="preserve"> XE "ST_ScatterStyle (Scat</w:instrText>
      </w:r>
      <w:r>
        <w:instrText xml:space="preserve">ter Style)" </w:instrText>
      </w:r>
      <w:r>
        <w:fldChar w:fldCharType="end"/>
      </w:r>
    </w:p>
    <w:p w:rsidR="005F78FC" w:rsidRDefault="00B42EF3">
      <w:pPr>
        <w:pStyle w:val="Definition-Field"/>
      </w:pPr>
      <w:r>
        <w:t xml:space="preserve">a.   </w:t>
      </w:r>
      <w:r>
        <w:rPr>
          <w:i/>
        </w:rPr>
        <w:t>The standard states that none is a valid enumeration value.</w:t>
      </w:r>
    </w:p>
    <w:p w:rsidR="005F78FC" w:rsidRDefault="00B42EF3">
      <w:pPr>
        <w:pStyle w:val="Definition-Field2"/>
      </w:pPr>
      <w:r>
        <w:t>Office does not allow this enumeration value. If this enumeration value is present the file will fail to load.</w:t>
      </w:r>
    </w:p>
    <w:p w:rsidR="005F78FC" w:rsidRDefault="00B42EF3">
      <w:pPr>
        <w:pStyle w:val="Definition-Field"/>
      </w:pPr>
      <w:r>
        <w:t xml:space="preserve">b.   </w:t>
      </w:r>
      <w:r>
        <w:rPr>
          <w:i/>
        </w:rPr>
        <w:t>The standard states that the smooth enumeration value specif</w:t>
      </w:r>
      <w:r>
        <w:rPr>
          <w:i/>
        </w:rPr>
        <w:t>ies that the points on the scatter chart shall be connected with smoothed lines and markers shall not be drawn.</w:t>
      </w:r>
    </w:p>
    <w:p w:rsidR="005F78FC" w:rsidRDefault="00B42EF3">
      <w:pPr>
        <w:pStyle w:val="Definition-Field2"/>
      </w:pPr>
      <w:r>
        <w:t xml:space="preserve">Office treats this enumeration as if it were smoothMarker on load.  Office will never save out this enumeration, instead using smoothMarker and </w:t>
      </w:r>
      <w:r>
        <w:t>specifying that no markers are to be drawn.</w:t>
      </w:r>
    </w:p>
    <w:p w:rsidR="005F78FC" w:rsidRDefault="00B42EF3">
      <w:pPr>
        <w:pStyle w:val="Definition-Field"/>
      </w:pPr>
      <w:r>
        <w:t xml:space="preserve">c.   </w:t>
      </w:r>
      <w:r>
        <w:rPr>
          <w:i/>
        </w:rPr>
        <w:t>The standard states that the line enumeration value specifies the points on the scatter chart shall be connected with straight lines but markers shall not be drawn.</w:t>
      </w:r>
    </w:p>
    <w:p w:rsidR="005F78FC" w:rsidRDefault="00B42EF3">
      <w:pPr>
        <w:pStyle w:val="Definition-Field2"/>
      </w:pPr>
      <w:r>
        <w:lastRenderedPageBreak/>
        <w:t xml:space="preserve">Office treats this enumeration as if it </w:t>
      </w:r>
      <w:r>
        <w:t>were lineMarker on load.  Office will never save out this enumeration, instead using lineMarker and specifying that no markers are to be drawn.</w:t>
      </w:r>
    </w:p>
    <w:p w:rsidR="005F78FC" w:rsidRDefault="00B42EF3">
      <w:pPr>
        <w:pStyle w:val="Definition-Field"/>
      </w:pPr>
      <w:r>
        <w:t xml:space="preserve">d.   </w:t>
      </w:r>
      <w:r>
        <w:rPr>
          <w:i/>
        </w:rPr>
        <w:t>The standard states that the marker enumeration value specifies the points on the scatter chart shall not b</w:t>
      </w:r>
      <w:r>
        <w:rPr>
          <w:i/>
        </w:rPr>
        <w:t>e connected with lines and markers shall be drawn.</w:t>
      </w:r>
    </w:p>
    <w:p w:rsidR="005F78FC" w:rsidRDefault="00B42EF3">
      <w:pPr>
        <w:pStyle w:val="Definition-Field2"/>
      </w:pPr>
      <w:r>
        <w:t>Office treats this enumeration as if it were lineMarker on load.  Office will never save out this enumeration, instead using lineMarker and specifying that no lines are to be drawn.</w:t>
      </w:r>
    </w:p>
    <w:p w:rsidR="005F78FC" w:rsidRDefault="00B42EF3">
      <w:pPr>
        <w:pStyle w:val="Definition-Field"/>
      </w:pPr>
      <w:r>
        <w:t xml:space="preserve">e.   </w:t>
      </w:r>
      <w:r>
        <w:rPr>
          <w:i/>
        </w:rPr>
        <w:t xml:space="preserve">The standard does </w:t>
      </w:r>
      <w:r>
        <w:rPr>
          <w:i/>
        </w:rPr>
        <w:t>not state any exceptions that cause the ST_ScatterStyle to be overridden.</w:t>
      </w:r>
    </w:p>
    <w:p w:rsidR="005F78FC" w:rsidRDefault="00B42EF3">
      <w:pPr>
        <w:pStyle w:val="Definition-Field2"/>
      </w:pPr>
      <w:r>
        <w:t>In Office, scatter chart styles can be overridden by line and marker settings on the individual data series in the chart.</w:t>
      </w:r>
    </w:p>
    <w:p w:rsidR="005F78FC" w:rsidRDefault="00B42EF3">
      <w:pPr>
        <w:pStyle w:val="Heading3"/>
      </w:pPr>
      <w:bookmarkStart w:id="3200" w:name="section_0680b9ba68334f3194a8add5e312db29"/>
      <w:bookmarkStart w:id="3201" w:name="_Toc69879373"/>
      <w:r>
        <w:t>Part 1 Section 21.2.3.42, ST_Shape (Shape)</w:t>
      </w:r>
      <w:bookmarkEnd w:id="3200"/>
      <w:bookmarkEnd w:id="3201"/>
      <w:r>
        <w:fldChar w:fldCharType="begin"/>
      </w:r>
      <w:r>
        <w:instrText xml:space="preserve"> XE "ST_Shape (Sha</w:instrText>
      </w:r>
      <w:r>
        <w:instrText xml:space="preserve">pe)" </w:instrText>
      </w:r>
      <w:r>
        <w:fldChar w:fldCharType="end"/>
      </w:r>
    </w:p>
    <w:p w:rsidR="005F78FC" w:rsidRDefault="00B42EF3">
      <w:pPr>
        <w:pStyle w:val="Definition-Field"/>
      </w:pPr>
      <w:r>
        <w:t xml:space="preserve">a.   </w:t>
      </w:r>
      <w:r>
        <w:rPr>
          <w:i/>
        </w:rPr>
        <w:t>The standard states that the pyramidToMax enumeration value specifies the chart shall be drawn with truncated cones such that the point of the cone would be the maximum data value.</w:t>
      </w:r>
    </w:p>
    <w:p w:rsidR="005F78FC" w:rsidRDefault="00B42EF3">
      <w:pPr>
        <w:pStyle w:val="Definition-Field2"/>
      </w:pPr>
      <w:r>
        <w:t>In Office, pyramidToMax specifies that the chart shall be draw</w:t>
      </w:r>
      <w:r>
        <w:t>n as truncated rectangular pyramids such that the point of the pyramid would be at the highest value in the chart. The pyramid is truncated at the data marker’s value.</w:t>
      </w:r>
    </w:p>
    <w:p w:rsidR="005F78FC" w:rsidRDefault="00B42EF3">
      <w:pPr>
        <w:pStyle w:val="Definition-Field"/>
      </w:pPr>
      <w:r>
        <w:t xml:space="preserve">b.   </w:t>
      </w:r>
      <w:r>
        <w:rPr>
          <w:i/>
        </w:rPr>
        <w:t>The standard states that coneToMax enumeration value specifies that the chart shall</w:t>
      </w:r>
      <w:r>
        <w:rPr>
          <w:i/>
        </w:rPr>
        <w:t xml:space="preserve"> be drawn with truncated cones such that the point of the cone would be the maximum data value.</w:t>
      </w:r>
    </w:p>
    <w:p w:rsidR="005F78FC" w:rsidRDefault="00B42EF3">
      <w:pPr>
        <w:pStyle w:val="Definition-Field2"/>
      </w:pPr>
      <w:r>
        <w:t xml:space="preserve">In Office, coneToMax to specifies that the chart shall be drawn as truncated cones, such that the point of the cone would be at the highest value in the chart. </w:t>
      </w:r>
      <w:r>
        <w:t>The cone is truncated at the data marker’s value.</w:t>
      </w:r>
    </w:p>
    <w:p w:rsidR="005F78FC" w:rsidRDefault="00B42EF3">
      <w:pPr>
        <w:pStyle w:val="Heading3"/>
      </w:pPr>
      <w:bookmarkStart w:id="3202" w:name="section_be0b8235f8534143a208dd2e3e11d0f1"/>
      <w:bookmarkStart w:id="3203" w:name="_Toc69879374"/>
      <w:r>
        <w:t>Part 1 Section 21.2.3.44, ST_Skip (Skip)</w:t>
      </w:r>
      <w:bookmarkEnd w:id="3202"/>
      <w:bookmarkEnd w:id="3203"/>
      <w:r>
        <w:fldChar w:fldCharType="begin"/>
      </w:r>
      <w:r>
        <w:instrText xml:space="preserve"> XE "ST_Skip (Skip)" </w:instrText>
      </w:r>
      <w:r>
        <w:fldChar w:fldCharType="end"/>
      </w:r>
    </w:p>
    <w:p w:rsidR="005F78FC" w:rsidRDefault="00B42EF3">
      <w:pPr>
        <w:pStyle w:val="Definition-Field"/>
      </w:pPr>
      <w:r>
        <w:t xml:space="preserve">a.   </w:t>
      </w:r>
      <w:r>
        <w:rPr>
          <w:i/>
        </w:rPr>
        <w:t>The standard states that the contents of the ST_Skip simple type are a restriction of the XML Schema unsignedShort datatype.</w:t>
      </w:r>
    </w:p>
    <w:p w:rsidR="005F78FC" w:rsidRDefault="00B42EF3">
      <w:pPr>
        <w:pStyle w:val="Definition-Field2"/>
      </w:pPr>
      <w:r>
        <w:t>Office defin</w:t>
      </w:r>
      <w:r>
        <w:t>es this simple type as being a restriction on the XML Schema int datatype.</w:t>
      </w:r>
    </w:p>
    <w:p w:rsidR="005F78FC" w:rsidRDefault="00B42EF3">
      <w:pPr>
        <w:pStyle w:val="Heading3"/>
      </w:pPr>
      <w:bookmarkStart w:id="3204" w:name="section_53d3723d2ebe4ff8b8bacfc8338c5edb"/>
      <w:bookmarkStart w:id="3205" w:name="_Toc69879375"/>
      <w:r>
        <w:t>Part 1 Section 21.2.3.45, ST_SplitType (Split Type)</w:t>
      </w:r>
      <w:bookmarkEnd w:id="3204"/>
      <w:bookmarkEnd w:id="3205"/>
      <w:r>
        <w:fldChar w:fldCharType="begin"/>
      </w:r>
      <w:r>
        <w:instrText xml:space="preserve"> XE "ST_SplitType (Split Type)" </w:instrText>
      </w:r>
      <w:r>
        <w:fldChar w:fldCharType="end"/>
      </w:r>
    </w:p>
    <w:p w:rsidR="005F78FC" w:rsidRDefault="00B42EF3">
      <w:pPr>
        <w:pStyle w:val="Definition-Field"/>
      </w:pPr>
      <w:r>
        <w:t xml:space="preserve">a.   </w:t>
      </w:r>
      <w:r>
        <w:rPr>
          <w:i/>
        </w:rPr>
        <w:t>The standard states that auto is a valid enumeration value.</w:t>
      </w:r>
    </w:p>
    <w:p w:rsidR="005F78FC" w:rsidRDefault="00B42EF3">
      <w:pPr>
        <w:pStyle w:val="Definition-Field2"/>
      </w:pPr>
      <w:r>
        <w:t>Office does not allow the auto</w:t>
      </w:r>
      <w:r>
        <w:t xml:space="preserve"> enumeration value.</w:t>
      </w:r>
    </w:p>
    <w:p w:rsidR="005F78FC" w:rsidRDefault="00B42EF3">
      <w:pPr>
        <w:pStyle w:val="Heading3"/>
      </w:pPr>
      <w:bookmarkStart w:id="3206" w:name="section_48c6336adac043d4b9a0e29a1b3aa23c"/>
      <w:bookmarkStart w:id="3207" w:name="_Toc69879376"/>
      <w:r>
        <w:t>Part 1 Section 21.2.3.46, ST_Style (Style)</w:t>
      </w:r>
      <w:bookmarkEnd w:id="3206"/>
      <w:bookmarkEnd w:id="3207"/>
      <w:r>
        <w:fldChar w:fldCharType="begin"/>
      </w:r>
      <w:r>
        <w:instrText xml:space="preserve"> XE "ST_Style (Style)" </w:instrText>
      </w:r>
      <w:r>
        <w:fldChar w:fldCharType="end"/>
      </w:r>
    </w:p>
    <w:p w:rsidR="005F78FC" w:rsidRDefault="00B42EF3">
      <w:pPr>
        <w:pStyle w:val="Definition-Field"/>
      </w:pPr>
      <w:r>
        <w:t xml:space="preserve">a.   </w:t>
      </w:r>
      <w:r>
        <w:rPr>
          <w:i/>
        </w:rPr>
        <w:t>The standard makes an unclear reference to accent1-6 in Table 3.</w:t>
      </w:r>
    </w:p>
    <w:p w:rsidR="005F78FC" w:rsidRDefault="00B42EF3">
      <w:pPr>
        <w:pStyle w:val="Definition-Field2"/>
      </w:pPr>
      <w:r>
        <w:t>In Office, the color listed as accent1-6 means that the first style uses accent1, the next uses ac</w:t>
      </w:r>
      <w:r>
        <w:t>cent2, up to the sixth, which uses accent6.</w:t>
      </w:r>
    </w:p>
    <w:p w:rsidR="005F78FC" w:rsidRDefault="00B42EF3">
      <w:pPr>
        <w:pStyle w:val="Definition-Field"/>
      </w:pPr>
      <w:r>
        <w:t xml:space="preserve">b.   </w:t>
      </w:r>
      <w:r>
        <w:rPr>
          <w:i/>
        </w:rPr>
        <w:t>The standard does not specify the color of the effect in Tables 4 and 5.</w:t>
      </w:r>
    </w:p>
    <w:p w:rsidR="005F78FC" w:rsidRDefault="00B42EF3">
      <w:pPr>
        <w:pStyle w:val="Definition-Field2"/>
      </w:pPr>
      <w:r>
        <w:t>In Office, if the style has an effect applied, the color of the effect is dk1.</w:t>
      </w:r>
    </w:p>
    <w:p w:rsidR="005F78FC" w:rsidRDefault="00B42EF3">
      <w:pPr>
        <w:pStyle w:val="Heading3"/>
      </w:pPr>
      <w:bookmarkStart w:id="3208" w:name="section_b4f2d82cf8ae4592847f4360fbd8fdad"/>
      <w:bookmarkStart w:id="3209" w:name="_Toc69879377"/>
      <w:r>
        <w:t>Part 1 Section 21.2.3.50, ST_TrendlineType (Trendline T</w:t>
      </w:r>
      <w:r>
        <w:t>ype)</w:t>
      </w:r>
      <w:bookmarkEnd w:id="3208"/>
      <w:bookmarkEnd w:id="3209"/>
      <w:r>
        <w:fldChar w:fldCharType="begin"/>
      </w:r>
      <w:r>
        <w:instrText xml:space="preserve"> XE "ST_TrendlineType (Trendline Type)" </w:instrText>
      </w:r>
      <w:r>
        <w:fldChar w:fldCharType="end"/>
      </w:r>
    </w:p>
    <w:p w:rsidR="005F78FC" w:rsidRDefault="00B42EF3">
      <w:pPr>
        <w:pStyle w:val="Definition-Field"/>
      </w:pPr>
      <w:r>
        <w:t xml:space="preserve">a.   </w:t>
      </w:r>
      <w:r>
        <w:rPr>
          <w:i/>
        </w:rPr>
        <w:t>The standard states that the exp enumeration value specifies the trendline shall be an exponential curve in the form y=ab^x.</w:t>
      </w:r>
    </w:p>
    <w:p w:rsidR="005F78FC" w:rsidRDefault="00B42EF3">
      <w:pPr>
        <w:pStyle w:val="Definition-Field2"/>
      </w:pPr>
      <w:r>
        <w:lastRenderedPageBreak/>
        <w:t>In Office, this enumeration value specifies that the trendline shall be an expo</w:t>
      </w:r>
      <w:r>
        <w:t>nential curve in the form y=ae^(bx).</w:t>
      </w:r>
    </w:p>
    <w:p w:rsidR="005F78FC" w:rsidRDefault="00B42EF3">
      <w:pPr>
        <w:pStyle w:val="Heading3"/>
      </w:pPr>
      <w:bookmarkStart w:id="3210" w:name="section_903cbc0e390846ebb260471913fcab40"/>
      <w:bookmarkStart w:id="3211" w:name="_Toc69879378"/>
      <w:r>
        <w:t>Part 1 Section 21.3.2.1, absSizeAnchor (Absolute Anchor Shape Size)</w:t>
      </w:r>
      <w:bookmarkEnd w:id="3210"/>
      <w:bookmarkEnd w:id="3211"/>
      <w:r>
        <w:fldChar w:fldCharType="begin"/>
      </w:r>
      <w:r>
        <w:instrText xml:space="preserve"> XE "absSizeAnchor (Absolute Anchor Shape Size)" </w:instrText>
      </w:r>
      <w:r>
        <w:fldChar w:fldCharType="end"/>
      </w:r>
    </w:p>
    <w:p w:rsidR="005F78FC" w:rsidRDefault="00B42EF3">
      <w:pPr>
        <w:pStyle w:val="Definition-Field"/>
      </w:pPr>
      <w:r>
        <w:t xml:space="preserve">a.   </w:t>
      </w:r>
      <w:r>
        <w:rPr>
          <w:i/>
        </w:rPr>
        <w:t>The standard states that the from element specifies the top left corner of the shape bounding b</w:t>
      </w:r>
      <w:r>
        <w:rPr>
          <w:i/>
        </w:rPr>
        <w:t>ox in a RTL (right to left) implementation. The ext element specifies the bottom right corner of the shape bounding box in a RTL implementation.</w:t>
      </w:r>
    </w:p>
    <w:p w:rsidR="005F78FC" w:rsidRDefault="00B42EF3">
      <w:pPr>
        <w:pStyle w:val="Definition-Field2"/>
      </w:pPr>
      <w:r>
        <w:t>In Office, the from element specifies the top left corner relative to the chart and the ext element specifies t</w:t>
      </w:r>
      <w:r>
        <w:t>he size of the shape in EMUs.</w:t>
      </w:r>
    </w:p>
    <w:p w:rsidR="005F78FC" w:rsidRDefault="00B42EF3">
      <w:pPr>
        <w:pStyle w:val="Heading3"/>
      </w:pPr>
      <w:bookmarkStart w:id="3212" w:name="section_0329492820b44cdd9ecdac4d63dc4674"/>
      <w:bookmarkStart w:id="3213" w:name="_Toc69879379"/>
      <w:r>
        <w:t>Part 1 Section 21.3.2.2, blipFill (Picture Fill)</w:t>
      </w:r>
      <w:bookmarkEnd w:id="3212"/>
      <w:bookmarkEnd w:id="3213"/>
      <w:r>
        <w:fldChar w:fldCharType="begin"/>
      </w:r>
      <w:r>
        <w:instrText xml:space="preserve"> XE "blipFill (Picture Fill)" </w:instrText>
      </w:r>
      <w:r>
        <w:fldChar w:fldCharType="end"/>
      </w:r>
    </w:p>
    <w:p w:rsidR="005F78FC" w:rsidRDefault="00B42EF3">
      <w:pPr>
        <w:pStyle w:val="Definition-Field"/>
      </w:pPr>
      <w:r>
        <w:t xml:space="preserve">a.   </w:t>
      </w:r>
      <w:r>
        <w:rPr>
          <w:i/>
        </w:rPr>
        <w:t>The standard allows the dpi attribute to be used with this element.</w:t>
      </w:r>
    </w:p>
    <w:p w:rsidR="005F78FC" w:rsidRDefault="00B42EF3">
      <w:pPr>
        <w:pStyle w:val="Definition-Field2"/>
      </w:pPr>
      <w:r>
        <w:t>The dpi attribute is not supported by Office.</w:t>
      </w:r>
    </w:p>
    <w:p w:rsidR="005F78FC" w:rsidRDefault="00B42EF3">
      <w:pPr>
        <w:pStyle w:val="Heading3"/>
      </w:pPr>
      <w:bookmarkStart w:id="3214" w:name="section_dd2a08189ba74ba58a8c85431cac913f"/>
      <w:bookmarkStart w:id="3215" w:name="_Toc69879380"/>
      <w:r>
        <w:t>Part 1 Section 21.3.2.7, cNvPr (Non-Visual Drawing Properties)</w:t>
      </w:r>
      <w:bookmarkEnd w:id="3214"/>
      <w:bookmarkEnd w:id="3215"/>
      <w:r>
        <w:fldChar w:fldCharType="begin"/>
      </w:r>
      <w:r>
        <w:instrText xml:space="preserve"> XE "cNvPr (Non-Visual Drawing Properties)" </w:instrText>
      </w:r>
      <w:r>
        <w:fldChar w:fldCharType="end"/>
      </w:r>
    </w:p>
    <w:p w:rsidR="005F78FC" w:rsidRDefault="00B42EF3">
      <w:pPr>
        <w:pStyle w:val="Definition-Field"/>
      </w:pPr>
      <w:r>
        <w:t xml:space="preserve">a.   </w:t>
      </w:r>
      <w:r>
        <w:rPr>
          <w:i/>
        </w:rPr>
        <w:t>The standard implies that hyperlinks can be used on objects inside of charts.</w:t>
      </w:r>
    </w:p>
    <w:p w:rsidR="005F78FC" w:rsidRDefault="00B42EF3">
      <w:pPr>
        <w:pStyle w:val="Definition-Field2"/>
      </w:pPr>
      <w:r>
        <w:t>PowerPoint does not support hyperlinks in objects inside charts.</w:t>
      </w:r>
    </w:p>
    <w:p w:rsidR="005F78FC" w:rsidRDefault="00B42EF3">
      <w:pPr>
        <w:pStyle w:val="Heading3"/>
      </w:pPr>
      <w:bookmarkStart w:id="3216" w:name="section_1bfa7d2ded0848e8a2f023c93755d1da"/>
      <w:bookmarkStart w:id="3217" w:name="_Toc69879381"/>
      <w:r>
        <w:t>Part 1 Section 21.3.2.9, cxnSp (Connection Shape)</w:t>
      </w:r>
      <w:bookmarkEnd w:id="3216"/>
      <w:bookmarkEnd w:id="3217"/>
      <w:r>
        <w:fldChar w:fldCharType="begin"/>
      </w:r>
      <w:r>
        <w:instrText xml:space="preserve"> XE "cxnSp (Connection Shape)" </w:instrText>
      </w:r>
      <w:r>
        <w:fldChar w:fldCharType="end"/>
      </w:r>
    </w:p>
    <w:p w:rsidR="005F78FC" w:rsidRDefault="00B42EF3">
      <w:pPr>
        <w:pStyle w:val="Definition-Field"/>
      </w:pPr>
      <w:r>
        <w:t xml:space="preserve">a.   </w:t>
      </w:r>
      <w:r>
        <w:rPr>
          <w:i/>
        </w:rPr>
        <w:t>The standard states that cxnSp connects two sp elements.</w:t>
      </w:r>
    </w:p>
    <w:p w:rsidR="005F78FC" w:rsidRDefault="00B42EF3">
      <w:pPr>
        <w:pStyle w:val="Definition-Field2"/>
      </w:pPr>
      <w:r>
        <w:t>In Office, cxnSp connects two sp or pic elements.</w:t>
      </w:r>
    </w:p>
    <w:p w:rsidR="005F78FC" w:rsidRDefault="00B42EF3">
      <w:pPr>
        <w:pStyle w:val="Definition-Field"/>
      </w:pPr>
      <w:r>
        <w:t xml:space="preserve">b.   </w:t>
      </w:r>
      <w:r>
        <w:rPr>
          <w:i/>
        </w:rPr>
        <w:t>The standard states that the values of the macro attrib</w:t>
      </w:r>
      <w:r>
        <w:rPr>
          <w:i/>
        </w:rPr>
        <w:t>ute are defined by the XML Schema string datatype.</w:t>
      </w:r>
    </w:p>
    <w:p w:rsidR="005F78FC" w:rsidRDefault="00B42EF3">
      <w:pPr>
        <w:pStyle w:val="Definition-Field2"/>
      </w:pPr>
      <w:r>
        <w:t>Office requires that the macro attribute value follow the same grammar as name-references ("</w:t>
      </w:r>
      <w:hyperlink r:id="rId217">
        <w:r>
          <w:rPr>
            <w:rStyle w:val="Hyperlink"/>
          </w:rPr>
          <w:t>[ISO/IEC-29500-1]</w:t>
        </w:r>
      </w:hyperlink>
      <w:r>
        <w:t xml:space="preserve"> §18.17.2.5") with a minimum l</w:t>
      </w:r>
      <w:r>
        <w:t>ength of 0 characters and a maximum length of 256 characters.</w:t>
      </w:r>
    </w:p>
    <w:p w:rsidR="005F78FC" w:rsidRDefault="00B42EF3">
      <w:pPr>
        <w:pStyle w:val="Definition-Field"/>
      </w:pPr>
      <w:r>
        <w:t xml:space="preserve">c.   </w:t>
      </w:r>
      <w:r>
        <w:rPr>
          <w:i/>
        </w:rPr>
        <w:t>The standard states that cxnSp can be any geometry element.</w:t>
      </w:r>
    </w:p>
    <w:p w:rsidR="005F78FC" w:rsidRDefault="00B42EF3">
      <w:pPr>
        <w:pStyle w:val="Definition-Field2"/>
      </w:pPr>
      <w:r>
        <w:t>In Office, a connection shape can only be a preset geometry element; a custom geometry element is not allowed.</w:t>
      </w:r>
    </w:p>
    <w:p w:rsidR="005F78FC" w:rsidRDefault="00B42EF3">
      <w:pPr>
        <w:pStyle w:val="Heading3"/>
      </w:pPr>
      <w:bookmarkStart w:id="3218" w:name="section_0e03e978d5d44dc1b3ada77bbb361cfe"/>
      <w:bookmarkStart w:id="3219" w:name="_Toc69879382"/>
      <w:r>
        <w:t>Part 1 Section 21.</w:t>
      </w:r>
      <w:r>
        <w:t>3.2.10, ext (Shape Extent)</w:t>
      </w:r>
      <w:bookmarkEnd w:id="3218"/>
      <w:bookmarkEnd w:id="3219"/>
      <w:r>
        <w:fldChar w:fldCharType="begin"/>
      </w:r>
      <w:r>
        <w:instrText xml:space="preserve"> XE "ext (Shape Extent)" </w:instrText>
      </w:r>
      <w:r>
        <w:fldChar w:fldCharType="end"/>
      </w:r>
    </w:p>
    <w:p w:rsidR="005F78FC" w:rsidRDefault="00B42EF3">
      <w:pPr>
        <w:pStyle w:val="Definition-Field"/>
      </w:pPr>
      <w:r>
        <w:t xml:space="preserve">a.   </w:t>
      </w:r>
      <w:r>
        <w:rPr>
          <w:i/>
        </w:rPr>
        <w:t>The standard inverts the terms width and height when describing attributes cx and cy.</w:t>
      </w:r>
    </w:p>
    <w:p w:rsidR="005F78FC" w:rsidRDefault="00B42EF3">
      <w:pPr>
        <w:pStyle w:val="Definition-Field2"/>
      </w:pPr>
      <w:r>
        <w:t xml:space="preserve">In Office, the cx attribute represents the extent width (horizontal size) and the cy attribute represents the </w:t>
      </w:r>
      <w:r>
        <w:t>extents height (vertical size).</w:t>
      </w:r>
    </w:p>
    <w:p w:rsidR="005F78FC" w:rsidRDefault="00B42EF3">
      <w:pPr>
        <w:pStyle w:val="Definition-Field"/>
      </w:pPr>
      <w:r>
        <w:t xml:space="preserve">b.   </w:t>
      </w:r>
      <w:r>
        <w:rPr>
          <w:i/>
        </w:rPr>
        <w:t>The standard allows the value of attributes cx and cy to be zero.</w:t>
      </w:r>
    </w:p>
    <w:p w:rsidR="005F78FC" w:rsidRDefault="00B42EF3">
      <w:pPr>
        <w:pStyle w:val="Definition-Field2"/>
      </w:pPr>
      <w:r>
        <w:t>If the value of either the cx or cy attribute is zero, Office will ignore it and use the object transform (xfrm). If the object transform is also invalid</w:t>
      </w:r>
      <w:r>
        <w:t>, the object will not be shown</w:t>
      </w:r>
    </w:p>
    <w:p w:rsidR="005F78FC" w:rsidRDefault="00B42EF3">
      <w:pPr>
        <w:pStyle w:val="Heading3"/>
      </w:pPr>
      <w:bookmarkStart w:id="3220" w:name="section_0cebfe7e9b5a4b468ee5cbaa422259da"/>
      <w:bookmarkStart w:id="3221" w:name="_Toc69879383"/>
      <w:r>
        <w:t>Part 1 Section 21.3.2.12, graphicFrame (Graphic Frame)</w:t>
      </w:r>
      <w:bookmarkEnd w:id="3220"/>
      <w:bookmarkEnd w:id="3221"/>
      <w:r>
        <w:fldChar w:fldCharType="begin"/>
      </w:r>
      <w:r>
        <w:instrText xml:space="preserve"> XE "graphicFrame (Graphic Frame)" </w:instrText>
      </w:r>
      <w:r>
        <w:fldChar w:fldCharType="end"/>
      </w:r>
    </w:p>
    <w:p w:rsidR="005F78FC" w:rsidRDefault="00B42EF3">
      <w:pPr>
        <w:pStyle w:val="Definition-Field"/>
      </w:pPr>
      <w:r>
        <w:t xml:space="preserve">a.   </w:t>
      </w:r>
      <w:r>
        <w:rPr>
          <w:i/>
        </w:rPr>
        <w:t>The standard allows a graphicFrame to be specified within a Chart Drawing.</w:t>
      </w:r>
    </w:p>
    <w:p w:rsidR="005F78FC" w:rsidRDefault="00B42EF3">
      <w:pPr>
        <w:pStyle w:val="Definition-Field2"/>
      </w:pPr>
      <w:r>
        <w:lastRenderedPageBreak/>
        <w:t>Office does not support the display of graphic frames</w:t>
      </w:r>
      <w:r>
        <w:t xml:space="preserve"> inside charts.</w:t>
      </w:r>
    </w:p>
    <w:p w:rsidR="005F78FC" w:rsidRDefault="00B42EF3">
      <w:pPr>
        <w:pStyle w:val="Definition-Field"/>
      </w:pPr>
      <w:r>
        <w:t xml:space="preserve">b.   </w:t>
      </w:r>
      <w:r>
        <w:rPr>
          <w:i/>
        </w:rPr>
        <w:t>The standard states that the values of the macro attribute are defined by the XML Schema string datatype.</w:t>
      </w:r>
    </w:p>
    <w:p w:rsidR="005F78FC" w:rsidRDefault="00B42EF3">
      <w:pPr>
        <w:pStyle w:val="Definition-Field2"/>
      </w:pPr>
      <w:r>
        <w:t>Office requires that the macro attribute value follow the same grammar as name-references ("</w:t>
      </w:r>
      <w:hyperlink r:id="rId218">
        <w:r>
          <w:rPr>
            <w:rStyle w:val="Hyperlink"/>
          </w:rPr>
          <w:t>[ISO/IEC-29500-1]</w:t>
        </w:r>
      </w:hyperlink>
      <w:r>
        <w:t xml:space="preserve"> §18.17.2.5") with a minimum length of 0 characters and a maximum length of 256 characters.</w:t>
      </w:r>
    </w:p>
    <w:p w:rsidR="005F78FC" w:rsidRDefault="00B42EF3">
      <w:pPr>
        <w:pStyle w:val="Heading3"/>
      </w:pPr>
      <w:bookmarkStart w:id="3222" w:name="section_1c32c2fb9e614f02ad31b56fcf112462"/>
      <w:bookmarkStart w:id="3223" w:name="_Toc69879384"/>
      <w:r>
        <w:t>Part 1 Section 21.3.2.14, grpSpPr (Group Shape Properties)</w:t>
      </w:r>
      <w:bookmarkEnd w:id="3222"/>
      <w:bookmarkEnd w:id="3223"/>
      <w:r>
        <w:fldChar w:fldCharType="begin"/>
      </w:r>
      <w:r>
        <w:instrText xml:space="preserve"> XE "grpSpPr (Group Shape Properties)" </w:instrText>
      </w:r>
      <w:r>
        <w:fldChar w:fldCharType="end"/>
      </w:r>
    </w:p>
    <w:p w:rsidR="005F78FC" w:rsidRDefault="00B42EF3">
      <w:pPr>
        <w:pStyle w:val="Definition-Field2"/>
      </w:pPr>
      <w:r>
        <w:rPr>
          <w:i/>
        </w:rPr>
        <w:t>For additional not</w:t>
      </w:r>
      <w:r>
        <w:rPr>
          <w:i/>
        </w:rPr>
        <w:t xml:space="preserve">es that apply to this portion of the standard, please see the notes for </w:t>
      </w:r>
      <w:hyperlink w:anchor="Section_0b7e3dab028b4c2285e631bc3dc52e04">
        <w:r>
          <w:rPr>
            <w:rStyle w:val="Hyperlink"/>
          </w:rPr>
          <w:t>grpSpPr, §20.5.2.18(a-c)</w:t>
        </w:r>
      </w:hyperlink>
      <w:r>
        <w:rPr>
          <w:i/>
        </w:rPr>
        <w:t>.</w:t>
      </w:r>
    </w:p>
    <w:p w:rsidR="005F78FC" w:rsidRDefault="00B42EF3">
      <w:pPr>
        <w:pStyle w:val="Heading3"/>
      </w:pPr>
      <w:bookmarkStart w:id="3224" w:name="section_7b4add6c9a8b4db2ad3c60b251768118"/>
      <w:bookmarkStart w:id="3225" w:name="_Toc69879385"/>
      <w:r>
        <w:t>Part 1 Section 21.3.2.20, pic (Picture)</w:t>
      </w:r>
      <w:bookmarkEnd w:id="3224"/>
      <w:bookmarkEnd w:id="3225"/>
      <w:r>
        <w:fldChar w:fldCharType="begin"/>
      </w:r>
      <w:r>
        <w:instrText xml:space="preserve"> XE "pic (Picture)" </w:instrText>
      </w:r>
      <w:r>
        <w:fldChar w:fldCharType="end"/>
      </w:r>
    </w:p>
    <w:p w:rsidR="005F78FC" w:rsidRDefault="00B42EF3">
      <w:pPr>
        <w:pStyle w:val="Definition-Field"/>
      </w:pPr>
      <w:r>
        <w:t xml:space="preserve">a.   </w:t>
      </w:r>
      <w:r>
        <w:rPr>
          <w:i/>
        </w:rPr>
        <w:t>The standard states that the</w:t>
      </w:r>
      <w:r>
        <w:rPr>
          <w:i/>
        </w:rPr>
        <w:t xml:space="preserve"> values of the macro attribute are defined by the XML Schema string datatype.</w:t>
      </w:r>
    </w:p>
    <w:p w:rsidR="005F78FC" w:rsidRDefault="00B42EF3">
      <w:pPr>
        <w:pStyle w:val="Definition-Field2"/>
      </w:pPr>
      <w:r>
        <w:t>Office requires that the macro attribute value follow the same grammar as name-references ("</w:t>
      </w:r>
      <w:hyperlink r:id="rId219">
        <w:r>
          <w:rPr>
            <w:rStyle w:val="Hyperlink"/>
          </w:rPr>
          <w:t>[ISO/IEC-29500-1]</w:t>
        </w:r>
      </w:hyperlink>
      <w:r>
        <w:t xml:space="preserve"> §1</w:t>
      </w:r>
      <w:r>
        <w:t>8.17.2.5") with a minimum length of 0 characters and a maximum length of 256 characters.</w:t>
      </w:r>
    </w:p>
    <w:p w:rsidR="005F78FC" w:rsidRDefault="00B42EF3">
      <w:pPr>
        <w:pStyle w:val="Heading3"/>
      </w:pPr>
      <w:bookmarkStart w:id="3226" w:name="section_d5b937831c53410d860c57119b5ebcad"/>
      <w:bookmarkStart w:id="3227" w:name="_Toc69879386"/>
      <w:r>
        <w:t>Part 1 Section 21.3.2.21, relSizeAnchor (Relative Anchor Shape Size)</w:t>
      </w:r>
      <w:bookmarkEnd w:id="3226"/>
      <w:bookmarkEnd w:id="3227"/>
      <w:r>
        <w:fldChar w:fldCharType="begin"/>
      </w:r>
      <w:r>
        <w:instrText xml:space="preserve"> XE "relSizeAnchor (Relative Anchor Shape Size)" </w:instrText>
      </w:r>
      <w:r>
        <w:fldChar w:fldCharType="end"/>
      </w:r>
    </w:p>
    <w:p w:rsidR="005F78FC" w:rsidRDefault="00B42EF3">
      <w:pPr>
        <w:pStyle w:val="Definition-Field"/>
      </w:pPr>
      <w:r>
        <w:t xml:space="preserve">a.   </w:t>
      </w:r>
      <w:r>
        <w:rPr>
          <w:i/>
        </w:rPr>
        <w:t>The standard allows shapes to be defined w</w:t>
      </w:r>
      <w:r>
        <w:rPr>
          <w:i/>
        </w:rPr>
        <w:t>here the right edge is to the left of the left edge or where the bottom edge is above the top edge.</w:t>
      </w:r>
    </w:p>
    <w:p w:rsidR="005F78FC" w:rsidRDefault="00B42EF3">
      <w:r>
        <w:t>Office places additional restrictions on the relative size of 'from x' and 'from y’ as follows:</w:t>
      </w:r>
    </w:p>
    <w:p w:rsidR="005F78FC" w:rsidRDefault="00B42EF3">
      <w:r>
        <w:t>The left side (</w:t>
      </w:r>
      <w:r>
        <w:rPr>
          <w:b/>
        </w:rPr>
        <w:t>from</w:t>
      </w:r>
      <w:r>
        <w:t xml:space="preserve"> x) should be less than or equal to the right side (</w:t>
      </w:r>
      <w:r>
        <w:rPr>
          <w:b/>
        </w:rPr>
        <w:t>to</w:t>
      </w:r>
      <w:r>
        <w:t xml:space="preserve"> x).</w:t>
      </w:r>
    </w:p>
    <w:p w:rsidR="005F78FC" w:rsidRDefault="00B42EF3">
      <w:r>
        <w:t>The top side (</w:t>
      </w:r>
      <w:r>
        <w:rPr>
          <w:b/>
        </w:rPr>
        <w:t>from</w:t>
      </w:r>
      <w:r>
        <w:t xml:space="preserve"> y) should be less than or equal to the bottom side (</w:t>
      </w:r>
      <w:r>
        <w:rPr>
          <w:b/>
        </w:rPr>
        <w:t>to</w:t>
      </w:r>
      <w:r>
        <w:t xml:space="preserve"> y).</w:t>
      </w:r>
    </w:p>
    <w:p w:rsidR="005F78FC" w:rsidRDefault="00B42EF3">
      <w:r>
        <w:t>If these restrictions are not met, Office uses the values described in the 2D transform (</w:t>
      </w:r>
      <w:r>
        <w:rPr>
          <w:b/>
        </w:rPr>
        <w:t>xfrm</w:t>
      </w:r>
      <w:r>
        <w:t>), if they are valid. If t</w:t>
      </w:r>
      <w:r>
        <w:t>hese values are not valid, Office does not render the shape.</w:t>
      </w:r>
    </w:p>
    <w:p w:rsidR="005F78FC" w:rsidRDefault="00B42EF3">
      <w:pPr>
        <w:pStyle w:val="Definition-Field"/>
      </w:pPr>
      <w:r>
        <w:t xml:space="preserve">b.   </w:t>
      </w:r>
      <w:r>
        <w:rPr>
          <w:i/>
        </w:rPr>
        <w:t>The standard states that the from element specifies the top left corner of the shape bounding box in a RTL (right to left) implementation and the to element specifies the bottom right corner</w:t>
      </w:r>
      <w:r>
        <w:rPr>
          <w:i/>
        </w:rPr>
        <w:t xml:space="preserve"> of the shape bounding box in a RTL implementation.</w:t>
      </w:r>
    </w:p>
    <w:p w:rsidR="005F78FC" w:rsidRDefault="00B42EF3">
      <w:pPr>
        <w:pStyle w:val="Definition-Field2"/>
      </w:pPr>
      <w:r>
        <w:t>In Office, the from element specifies the top left corner of the shape bounding box relative to the chart and the to element specifies the bottom right corner of the shape bounding box relative to the cha</w:t>
      </w:r>
      <w:r>
        <w:t>rt.</w:t>
      </w:r>
    </w:p>
    <w:p w:rsidR="005F78FC" w:rsidRDefault="00B42EF3">
      <w:pPr>
        <w:pStyle w:val="Heading3"/>
      </w:pPr>
      <w:bookmarkStart w:id="3228" w:name="section_4ec82f3297324a2abad00c477260a627"/>
      <w:bookmarkStart w:id="3229" w:name="_Toc69879387"/>
      <w:r>
        <w:t>Part 1 Section 21.3.2.22, sp (Shape)</w:t>
      </w:r>
      <w:bookmarkEnd w:id="3228"/>
      <w:bookmarkEnd w:id="3229"/>
      <w:r>
        <w:fldChar w:fldCharType="begin"/>
      </w:r>
      <w:r>
        <w:instrText xml:space="preserve"> XE "sp (Shape)" </w:instrText>
      </w:r>
      <w:r>
        <w:fldChar w:fldCharType="end"/>
      </w:r>
    </w:p>
    <w:p w:rsidR="005F78FC" w:rsidRDefault="00B42EF3">
      <w:pPr>
        <w:pStyle w:val="Definition-Field"/>
      </w:pPr>
      <w:r>
        <w:t xml:space="preserve">a.   </w:t>
      </w:r>
      <w:r>
        <w:rPr>
          <w:i/>
        </w:rPr>
        <w:t>The standard states that textlink is a formula linking to spreadsheet cell data.</w:t>
      </w:r>
    </w:p>
    <w:p w:rsidR="005F78FC" w:rsidRDefault="00B42EF3">
      <w:pPr>
        <w:pStyle w:val="Definition-Field2"/>
      </w:pPr>
      <w:r>
        <w:t>Excel requires that the value of the textlink attribute be a string referencing a cell or a cell range. This r</w:t>
      </w:r>
      <w:r>
        <w:t>eference should be to a unique cell. Excel accepts a cell range but only considers the first cell in the range.</w:t>
      </w:r>
    </w:p>
    <w:p w:rsidR="005F78FC" w:rsidRDefault="00B42EF3">
      <w:pPr>
        <w:pStyle w:val="Definition-Field"/>
      </w:pPr>
      <w:r>
        <w:t xml:space="preserve">b.   </w:t>
      </w:r>
      <w:r>
        <w:rPr>
          <w:i/>
        </w:rPr>
        <w:t>The standard states that that the minOccurs of child element txBody is 0.</w:t>
      </w:r>
    </w:p>
    <w:p w:rsidR="005F78FC" w:rsidRDefault="00B42EF3">
      <w:pPr>
        <w:pStyle w:val="Definition-Field2"/>
      </w:pPr>
      <w:r>
        <w:t>Office requires txBody if textlink is specified. Chart drawing co</w:t>
      </w:r>
      <w:r>
        <w:t>ntent will not load if txBody is not provided and textlink is valid.</w:t>
      </w:r>
    </w:p>
    <w:p w:rsidR="005F78FC" w:rsidRDefault="00B42EF3">
      <w:pPr>
        <w:pStyle w:val="Definition-Field"/>
      </w:pPr>
      <w:r>
        <w:lastRenderedPageBreak/>
        <w:t xml:space="preserve">c.   </w:t>
      </w:r>
      <w:r>
        <w:rPr>
          <w:i/>
        </w:rPr>
        <w:t>The standard allows attribute fLocksText on a shape in a chart drawing.</w:t>
      </w:r>
    </w:p>
    <w:p w:rsidR="005F78FC" w:rsidRDefault="00B42EF3">
      <w:pPr>
        <w:pStyle w:val="Definition-Field2"/>
      </w:pPr>
      <w:r>
        <w:t>Office does not support attribute fLocksText on a shape within a chart drawing.</w:t>
      </w:r>
    </w:p>
    <w:p w:rsidR="005F78FC" w:rsidRDefault="00B42EF3">
      <w:pPr>
        <w:pStyle w:val="Definition-Field"/>
      </w:pPr>
      <w:r>
        <w:t xml:space="preserve">d.   </w:t>
      </w:r>
      <w:r>
        <w:rPr>
          <w:i/>
        </w:rPr>
        <w:t xml:space="preserve">The standard states that </w:t>
      </w:r>
      <w:r>
        <w:rPr>
          <w:i/>
        </w:rPr>
        <w:t>the values of the macro attribute are defined by the XML Schema string datatype.</w:t>
      </w:r>
    </w:p>
    <w:p w:rsidR="005F78FC" w:rsidRDefault="00B42EF3">
      <w:pPr>
        <w:pStyle w:val="Definition-Field2"/>
      </w:pPr>
      <w:r>
        <w:t>Office requires that the macro attribute value follow the same grammar as name-references ("</w:t>
      </w:r>
      <w:hyperlink r:id="rId220">
        <w:r>
          <w:rPr>
            <w:rStyle w:val="Hyperlink"/>
          </w:rPr>
          <w:t>[ISO/IEC-29500-1]</w:t>
        </w:r>
      </w:hyperlink>
      <w:r>
        <w:t xml:space="preserve"> §18.17.2.5") with a minimum length of 0 characters and a maximum length of 256 characters.</w:t>
      </w:r>
    </w:p>
    <w:p w:rsidR="005F78FC" w:rsidRDefault="00B42EF3">
      <w:pPr>
        <w:pStyle w:val="Heading3"/>
      </w:pPr>
      <w:bookmarkStart w:id="3230" w:name="section_c14c0a475e6f425d83789cf35dda1e2c"/>
      <w:bookmarkStart w:id="3231" w:name="_Toc69879388"/>
      <w:r>
        <w:t>Part 1 Section 21.3.2.23, spPr (Shape Properties)</w:t>
      </w:r>
      <w:bookmarkEnd w:id="3230"/>
      <w:bookmarkEnd w:id="3231"/>
      <w:r>
        <w:fldChar w:fldCharType="begin"/>
      </w:r>
      <w:r>
        <w:instrText xml:space="preserve"> XE "spPr (Shape Properties)" </w:instrText>
      </w:r>
      <w:r>
        <w:fldChar w:fldCharType="end"/>
      </w:r>
    </w:p>
    <w:p w:rsidR="005F78FC" w:rsidRDefault="00B42EF3">
      <w:pPr>
        <w:pStyle w:val="Definition-Field2"/>
      </w:pPr>
      <w:r>
        <w:rPr>
          <w:i/>
        </w:rPr>
        <w:t>For additional notes that apply to this portion of the standard, please see the no</w:t>
      </w:r>
      <w:r>
        <w:rPr>
          <w:i/>
        </w:rPr>
        <w:t xml:space="preserve">tes for </w:t>
      </w:r>
      <w:hyperlink w:anchor="Section_a10c455e7a6e44c5bf8cfb7c2b3e2eac">
        <w:r>
          <w:rPr>
            <w:rStyle w:val="Hyperlink"/>
          </w:rPr>
          <w:t>spPr, §20.5.2.30(a-c)</w:t>
        </w:r>
      </w:hyperlink>
      <w:r>
        <w:rPr>
          <w:i/>
        </w:rPr>
        <w:t>.</w:t>
      </w:r>
    </w:p>
    <w:p w:rsidR="005F78FC" w:rsidRDefault="00B42EF3">
      <w:pPr>
        <w:pStyle w:val="Heading3"/>
      </w:pPr>
      <w:bookmarkStart w:id="3232" w:name="section_fc0a85cab9764ffd9cd1c80bc90dcf34"/>
      <w:bookmarkStart w:id="3233" w:name="_Toc69879389"/>
      <w:r>
        <w:t>Part 1 Section 21.3.2.24, style (Shape Style)</w:t>
      </w:r>
      <w:bookmarkEnd w:id="3232"/>
      <w:bookmarkEnd w:id="3233"/>
      <w:r>
        <w:fldChar w:fldCharType="begin"/>
      </w:r>
      <w:r>
        <w:instrText xml:space="preserve"> XE "style (Shape Style)" </w:instrText>
      </w:r>
      <w:r>
        <w:fldChar w:fldCharType="end"/>
      </w:r>
    </w:p>
    <w:p w:rsidR="005F78FC" w:rsidRDefault="00B42EF3">
      <w:pPr>
        <w:pStyle w:val="Definition-Field"/>
      </w:pPr>
      <w:r>
        <w:t xml:space="preserve">a.   </w:t>
      </w:r>
      <w:r>
        <w:rPr>
          <w:i/>
        </w:rPr>
        <w:t>The standard states that child element fontRef applies to parent elements pic, cxnS</w:t>
      </w:r>
      <w:r>
        <w:rPr>
          <w:i/>
        </w:rPr>
        <w:t>p and sp.</w:t>
      </w:r>
    </w:p>
    <w:p w:rsidR="005F78FC" w:rsidRDefault="00B42EF3">
      <w:pPr>
        <w:pStyle w:val="Definition-Field2"/>
      </w:pPr>
      <w:r>
        <w:t>In Office, the fontRef child element is not used for parent elements pic and cxnSp.</w:t>
      </w:r>
    </w:p>
    <w:p w:rsidR="005F78FC" w:rsidRDefault="00B42EF3">
      <w:pPr>
        <w:pStyle w:val="Definition-Field"/>
      </w:pPr>
      <w:r>
        <w:t xml:space="preserve">b.   </w:t>
      </w:r>
      <w:r>
        <w:rPr>
          <w:i/>
        </w:rPr>
        <w:t>The standard allows a sp, pic or cxnSp element to have similar formatting options defined in both the style and spPr elements.</w:t>
      </w:r>
    </w:p>
    <w:p w:rsidR="005F78FC" w:rsidRDefault="00B42EF3">
      <w:pPr>
        <w:pStyle w:val="Definition-Field2"/>
      </w:pPr>
      <w:r>
        <w:t>In Office, shape properties de</w:t>
      </w:r>
      <w:r>
        <w:t>fined on the parent element will override similar style components (lnRef, effectRef, fillRef, fontRef) defined in this element.</w:t>
      </w:r>
    </w:p>
    <w:p w:rsidR="005F78FC" w:rsidRDefault="00B42EF3">
      <w:pPr>
        <w:pStyle w:val="Definition-Field"/>
      </w:pPr>
      <w:r>
        <w:t xml:space="preserve">c.   </w:t>
      </w:r>
      <w:r>
        <w:rPr>
          <w:i/>
        </w:rPr>
        <w:t>The standard allows similar text formatting properties to be defined for parent element sp by the style or txBody element.</w:t>
      </w:r>
    </w:p>
    <w:p w:rsidR="005F78FC" w:rsidRDefault="00B42EF3">
      <w:pPr>
        <w:pStyle w:val="Definition-Field2"/>
      </w:pPr>
      <w:r>
        <w:t>In Office, child elements in the txBody element will override similar style properties defined by child element fontRef.</w:t>
      </w:r>
    </w:p>
    <w:p w:rsidR="005F78FC" w:rsidRDefault="00B42EF3">
      <w:pPr>
        <w:pStyle w:val="Heading3"/>
      </w:pPr>
      <w:bookmarkStart w:id="3234" w:name="section_2cfcb2b25a5b4d8caf20267762478810"/>
      <w:bookmarkStart w:id="3235" w:name="_Toc69879390"/>
      <w:r>
        <w:t>Part 1 Section 21.3.2.25, to (Ending Anchor Point)</w:t>
      </w:r>
      <w:bookmarkEnd w:id="3234"/>
      <w:bookmarkEnd w:id="3235"/>
      <w:r>
        <w:fldChar w:fldCharType="begin"/>
      </w:r>
      <w:r>
        <w:instrText xml:space="preserve"> XE "to (Ending Anchor Point)" </w:instrText>
      </w:r>
      <w:r>
        <w:fldChar w:fldCharType="end"/>
      </w:r>
    </w:p>
    <w:p w:rsidR="005F78FC" w:rsidRDefault="00B42EF3">
      <w:pPr>
        <w:pStyle w:val="Definition-Field"/>
      </w:pPr>
      <w:r>
        <w:t xml:space="preserve">a.   </w:t>
      </w:r>
      <w:r>
        <w:rPr>
          <w:i/>
        </w:rPr>
        <w:t>The standard does not include restrictions re</w:t>
      </w:r>
      <w:r>
        <w:rPr>
          <w:i/>
        </w:rPr>
        <w:t>garding the relative size of 'from x' and 'from y' with respect to 'to x' and 'to y'.</w:t>
      </w:r>
    </w:p>
    <w:p w:rsidR="005F78FC" w:rsidRDefault="00B42EF3">
      <w:r>
        <w:t>Office places additional restrictions on the relative size of 'from x' and 'from y’ as follows:</w:t>
      </w:r>
    </w:p>
    <w:p w:rsidR="005F78FC" w:rsidRDefault="00B42EF3">
      <w:r>
        <w:t xml:space="preserve">The left side (from x) should be less than or equal to the right side (to </w:t>
      </w:r>
      <w:r>
        <w:t>x).</w:t>
      </w:r>
    </w:p>
    <w:p w:rsidR="005F78FC" w:rsidRDefault="00B42EF3">
      <w:r>
        <w:t>The top side (from y) should be less than or equal to the bottom side (to y).</w:t>
      </w:r>
    </w:p>
    <w:p w:rsidR="005F78FC" w:rsidRDefault="00B42EF3">
      <w:r>
        <w:t xml:space="preserve">If these restrictions are not met, Office uses the values described in the 2D transform (xfrm), if they are valid. If these values are not valid, Office does not render the </w:t>
      </w:r>
      <w:r>
        <w:t>shape.</w:t>
      </w:r>
    </w:p>
    <w:p w:rsidR="005F78FC" w:rsidRDefault="00B42EF3">
      <w:pPr>
        <w:pStyle w:val="Heading3"/>
      </w:pPr>
      <w:bookmarkStart w:id="3236" w:name="section_b4fc71bd2d784480b089944ce35dc6b2"/>
      <w:bookmarkStart w:id="3237" w:name="_Toc69879391"/>
      <w:r>
        <w:t>Part 1 Section 21.3.2.26, txBody (Shape Text Body)</w:t>
      </w:r>
      <w:bookmarkEnd w:id="3236"/>
      <w:bookmarkEnd w:id="3237"/>
      <w:r>
        <w:fldChar w:fldCharType="begin"/>
      </w:r>
      <w:r>
        <w:instrText xml:space="preserve"> XE "txBody (Shape Text Body)" </w:instrText>
      </w:r>
      <w:r>
        <w:fldChar w:fldCharType="end"/>
      </w:r>
    </w:p>
    <w:p w:rsidR="005F78FC" w:rsidRDefault="00B42EF3">
      <w:pPr>
        <w:pStyle w:val="Definition-Field"/>
      </w:pPr>
      <w:r>
        <w:t xml:space="preserve">a.   </w:t>
      </w:r>
      <w:r>
        <w:rPr>
          <w:i/>
        </w:rPr>
        <w:t>The standard does not describe the relationship between similar properties in child elements p (text paragraphs) and lstStyle (text list styles).</w:t>
      </w:r>
    </w:p>
    <w:p w:rsidR="005F78FC" w:rsidRDefault="00B42EF3">
      <w:pPr>
        <w:pStyle w:val="Definition-Field2"/>
      </w:pPr>
      <w:r>
        <w:t xml:space="preserve">In Office, if </w:t>
      </w:r>
      <w:r>
        <w:t>no text list styles are defined in a paragraph, styles from lstStyle are used. If no list styles are defined in a paragraph, and there is no lstStyle defined, the text in the list defaults to the current text style.</w:t>
      </w:r>
    </w:p>
    <w:p w:rsidR="005F78FC" w:rsidRDefault="00B42EF3">
      <w:pPr>
        <w:pStyle w:val="Heading3"/>
      </w:pPr>
      <w:bookmarkStart w:id="3238" w:name="section_6f9a9b19ddc94304bacdb4245a8b9b3d"/>
      <w:bookmarkStart w:id="3239" w:name="_Toc69879392"/>
      <w:r>
        <w:lastRenderedPageBreak/>
        <w:t xml:space="preserve">Part 1 Section 21.3.2.28, xfrm (Graphic </w:t>
      </w:r>
      <w:r>
        <w:t>Frame Transform)</w:t>
      </w:r>
      <w:bookmarkEnd w:id="3238"/>
      <w:bookmarkEnd w:id="3239"/>
      <w:r>
        <w:fldChar w:fldCharType="begin"/>
      </w:r>
      <w:r>
        <w:instrText xml:space="preserve"> XE "xfrm (Graphic Frame Transform)"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c7555d2c472a4d15b23041046bc41819">
        <w:r>
          <w:rPr>
            <w:rStyle w:val="Hyperlink"/>
          </w:rPr>
          <w:t>xfrm, §20.1.7.6(a)</w:t>
        </w:r>
      </w:hyperlink>
      <w:r>
        <w:rPr>
          <w:i/>
        </w:rPr>
        <w:t>.</w:t>
      </w:r>
    </w:p>
    <w:p w:rsidR="005F78FC" w:rsidRDefault="00B42EF3">
      <w:pPr>
        <w:pStyle w:val="Definition-Field"/>
      </w:pPr>
      <w:r>
        <w:t xml:space="preserve">a.   </w:t>
      </w:r>
      <w:r>
        <w:rPr>
          <w:i/>
        </w:rPr>
        <w:t xml:space="preserve">The standard includes </w:t>
      </w:r>
      <w:r>
        <w:rPr>
          <w:i/>
        </w:rPr>
        <w:t>attributes flipH, flipV and rot for the xfrm element.</w:t>
      </w:r>
    </w:p>
    <w:p w:rsidR="005F78FC" w:rsidRDefault="00B42EF3">
      <w:pPr>
        <w:pStyle w:val="Definition-Field2"/>
      </w:pPr>
      <w:r>
        <w:t>Office does not support the flipH, flipV and rot attributes for graphic frames in chart drawings. Any value loaded will not be written back to the file on save.</w:t>
      </w:r>
    </w:p>
    <w:p w:rsidR="005F78FC" w:rsidRDefault="00B42EF3">
      <w:pPr>
        <w:pStyle w:val="Definition-Field"/>
      </w:pPr>
      <w:r>
        <w:t xml:space="preserve">b.   </w:t>
      </w:r>
      <w:r>
        <w:rPr>
          <w:i/>
        </w:rPr>
        <w:t>The standard includes ext and off as</w:t>
      </w:r>
      <w:r>
        <w:rPr>
          <w:i/>
        </w:rPr>
        <w:t xml:space="preserve"> child elements of xfrm.</w:t>
      </w:r>
    </w:p>
    <w:p w:rsidR="005F78FC" w:rsidRDefault="00B42EF3">
      <w:pPr>
        <w:pStyle w:val="Definition-Field2"/>
      </w:pPr>
      <w:r>
        <w:t>Elements ext (Extents) and off (Offset) are used by Excel only if the graphic frame is inside of a group. If the graphic frame is not inside a group, the application will always write 0 for the attribute values of both elements.</w:t>
      </w:r>
    </w:p>
    <w:p w:rsidR="005F78FC" w:rsidRDefault="00B42EF3">
      <w:pPr>
        <w:pStyle w:val="Heading3"/>
      </w:pPr>
      <w:bookmarkStart w:id="3240" w:name="section_a9b2a24bc8f94d7c90adfd2fda3d0aa1"/>
      <w:bookmarkStart w:id="3241" w:name="_Toc69879393"/>
      <w:r>
        <w:t>Pa</w:t>
      </w:r>
      <w:r>
        <w:t>rt 1 Section 21.4.2.1, adj (Shape Adjust)</w:t>
      </w:r>
      <w:bookmarkEnd w:id="3240"/>
      <w:bookmarkEnd w:id="3241"/>
      <w:r>
        <w:fldChar w:fldCharType="begin"/>
      </w:r>
      <w:r>
        <w:instrText xml:space="preserve"> XE "adj (Shape Adjust)" </w:instrText>
      </w:r>
      <w:r>
        <w:fldChar w:fldCharType="end"/>
      </w:r>
    </w:p>
    <w:p w:rsidR="005F78FC" w:rsidRDefault="00B42EF3">
      <w:pPr>
        <w:pStyle w:val="Definition-Field"/>
      </w:pPr>
      <w:r>
        <w:t xml:space="preserve">a.   </w:t>
      </w:r>
      <w:r>
        <w:rPr>
          <w:i/>
        </w:rPr>
        <w:t>The standard is unclear on what the @idx attribute is a reference to.</w:t>
      </w:r>
    </w:p>
    <w:p w:rsidR="005F78FC" w:rsidRDefault="00B42EF3">
      <w:pPr>
        <w:pStyle w:val="Definition-Field2"/>
      </w:pPr>
      <w:r>
        <w:t>The @idx is an index to the list of shape adjust guides defined for the parent shape. These guides are listed un</w:t>
      </w:r>
      <w:r>
        <w:t>der the avLst element in the shape definitions, defined in the preset shape geometries electronic addenda of Annex D.</w:t>
      </w:r>
    </w:p>
    <w:p w:rsidR="005F78FC" w:rsidRDefault="00B42EF3">
      <w:pPr>
        <w:pStyle w:val="Definition-Field"/>
      </w:pPr>
      <w:r>
        <w:t xml:space="preserve">b.   </w:t>
      </w:r>
      <w:r>
        <w:rPr>
          <w:i/>
        </w:rPr>
        <w:t>The standard is unclear on the types of values acceptable in the @val attribute.</w:t>
      </w:r>
    </w:p>
    <w:p w:rsidR="005F78FC" w:rsidRDefault="00B42EF3">
      <w:pPr>
        <w:pStyle w:val="Definition-Field2"/>
      </w:pPr>
      <w:r>
        <w:t>If the adj element refers to a shape adjust handle b</w:t>
      </w:r>
      <w:r>
        <w:t>ased on rotation, the @val attribute accepts values in degrees.</w:t>
      </w:r>
    </w:p>
    <w:p w:rsidR="005F78FC" w:rsidRDefault="00B42EF3">
      <w:pPr>
        <w:pStyle w:val="Heading3"/>
      </w:pPr>
      <w:bookmarkStart w:id="3242" w:name="section_c5fa41c376e24122a014ef3257b4e280"/>
      <w:bookmarkStart w:id="3243" w:name="_Toc69879394"/>
      <w:r>
        <w:t>Part 1 Section 21.4.2.7, clrData (Color Transform Sample Data)</w:t>
      </w:r>
      <w:bookmarkEnd w:id="3242"/>
      <w:bookmarkEnd w:id="3243"/>
      <w:r>
        <w:fldChar w:fldCharType="begin"/>
      </w:r>
      <w:r>
        <w:instrText xml:space="preserve"> XE "clrData (Color Transform Sample Data)"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03602c0c4e48496a96881c9f8d446fd0">
        <w:r>
          <w:rPr>
            <w:rStyle w:val="Hyperlink"/>
          </w:rPr>
          <w:t>sampData, §21.4.2.26(a)</w:t>
        </w:r>
      </w:hyperlink>
      <w:r>
        <w:rPr>
          <w:i/>
        </w:rPr>
        <w:t>.</w:t>
      </w:r>
    </w:p>
    <w:p w:rsidR="005F78FC" w:rsidRDefault="00B42EF3">
      <w:pPr>
        <w:pStyle w:val="Heading3"/>
      </w:pPr>
      <w:bookmarkStart w:id="3244" w:name="section_0523e379c86b46ecb61f82d5b35c518d"/>
      <w:bookmarkStart w:id="3245" w:name="_Toc69879395"/>
      <w:r>
        <w:t>Part 1 Section 21.4.2.13, extLst (Extension List)</w:t>
      </w:r>
      <w:bookmarkEnd w:id="3244"/>
      <w:bookmarkEnd w:id="3245"/>
      <w:r>
        <w:fldChar w:fldCharType="begin"/>
      </w:r>
      <w:r>
        <w:instrText xml:space="preserve"> XE "extLst (Extension List)"</w:instrText>
      </w:r>
      <w:r>
        <w:instrText xml:space="preserve"> </w:instrText>
      </w:r>
      <w:r>
        <w:fldChar w:fldCharType="end"/>
      </w:r>
    </w:p>
    <w:p w:rsidR="005F78FC" w:rsidRDefault="00B42EF3">
      <w:pPr>
        <w:pStyle w:val="Definition-Field"/>
      </w:pPr>
      <w:r>
        <w:t xml:space="preserve">a.   </w:t>
      </w:r>
      <w:r>
        <w:rPr>
          <w:i/>
        </w:rPr>
        <w:t>The standard implies that the extLst element cannot have any child elements.</w:t>
      </w:r>
    </w:p>
    <w:p w:rsidR="005F78FC" w:rsidRDefault="00B42EF3">
      <w:pPr>
        <w:pStyle w:val="Definition-Field2"/>
      </w:pPr>
      <w:r>
        <w:t>Office requires this element to have at least one child element.</w:t>
      </w:r>
    </w:p>
    <w:p w:rsidR="005F78FC" w:rsidRDefault="00B42EF3">
      <w:pPr>
        <w:pStyle w:val="Heading3"/>
      </w:pPr>
      <w:bookmarkStart w:id="3246" w:name="section_9089ac8522124002b759a9b6bcbdfdc3"/>
      <w:bookmarkStart w:id="3247" w:name="_Toc69879396"/>
      <w:r>
        <w:t>Part 1 Section 21.4.2.14, forEach (For Each)</w:t>
      </w:r>
      <w:bookmarkEnd w:id="3246"/>
      <w:bookmarkEnd w:id="3247"/>
      <w:r>
        <w:fldChar w:fldCharType="begin"/>
      </w:r>
      <w:r>
        <w:instrText xml:space="preserve"> XE "forEach (For Each)" </w:instrText>
      </w:r>
      <w:r>
        <w:fldChar w:fldCharType="end"/>
      </w:r>
    </w:p>
    <w:p w:rsidR="005F78FC" w:rsidRDefault="00B42EF3">
      <w:pPr>
        <w:pStyle w:val="Definition-Field"/>
      </w:pPr>
      <w:r>
        <w:t xml:space="preserve">a.   </w:t>
      </w:r>
      <w:r>
        <w:rPr>
          <w:i/>
        </w:rPr>
        <w:t>The standard states that the</w:t>
      </w:r>
      <w:r>
        <w:rPr>
          <w:i/>
        </w:rPr>
        <w:t xml:space="preserve"> name attribute specifies a unique identifier for the layout node.</w:t>
      </w:r>
    </w:p>
    <w:p w:rsidR="005F78FC" w:rsidRDefault="00B42EF3">
      <w:pPr>
        <w:pStyle w:val="Definition-Field2"/>
      </w:pPr>
      <w:r>
        <w:t>Office uses this attribute to specify a unique identifier for the iteration.</w:t>
      </w:r>
    </w:p>
    <w:p w:rsidR="005F78FC" w:rsidRDefault="00B42EF3">
      <w:pPr>
        <w:pStyle w:val="Definition-Field"/>
      </w:pPr>
      <w:r>
        <w:t xml:space="preserve">b.   </w:t>
      </w:r>
      <w:r>
        <w:rPr>
          <w:i/>
        </w:rPr>
        <w:t>The standard describes the forEach element as a simple iteration.</w:t>
      </w:r>
    </w:p>
    <w:p w:rsidR="005F78FC" w:rsidRDefault="00B42EF3">
      <w:r>
        <w:t>For Office, it is assumed that forEach de</w:t>
      </w:r>
      <w:r>
        <w:t>scribes a pattern for iterating through elements in the data model. The way the data model tree is walked is specified by a forEach expression. The attributes axis, cnt, hideLastTrans, ptType, st and step can each be a single value or list of values. Use a</w:t>
      </w:r>
      <w:r>
        <w:t>n array of values to perform multiple iterations in the same forEach that will iterate elements in the data model like nested forEach elements.</w:t>
      </w:r>
    </w:p>
    <w:p w:rsidR="005F78FC" w:rsidRDefault="00B42EF3">
      <w:pPr>
        <w:pStyle w:val="Heading3"/>
      </w:pPr>
      <w:bookmarkStart w:id="3248" w:name="section_d2c9fd05dde64a48b4b7ef75f301b630"/>
      <w:bookmarkStart w:id="3249" w:name="_Toc69879397"/>
      <w:r>
        <w:t>Part 1 Section 21.4.2.20, param (Parameter)</w:t>
      </w:r>
      <w:bookmarkEnd w:id="3248"/>
      <w:bookmarkEnd w:id="3249"/>
      <w:r>
        <w:fldChar w:fldCharType="begin"/>
      </w:r>
      <w:r>
        <w:instrText xml:space="preserve"> XE "param (Parameter)" </w:instrText>
      </w:r>
      <w:r>
        <w:fldChar w:fldCharType="end"/>
      </w:r>
    </w:p>
    <w:p w:rsidR="005F78FC" w:rsidRDefault="00B42EF3">
      <w:pPr>
        <w:pStyle w:val="Definition-Field"/>
      </w:pPr>
      <w:r>
        <w:t xml:space="preserve">a.   </w:t>
      </w:r>
      <w:r>
        <w:rPr>
          <w:i/>
        </w:rPr>
        <w:t>The standard states that the val attr</w:t>
      </w:r>
      <w:r>
        <w:rPr>
          <w:i/>
        </w:rPr>
        <w:t>ibute is required.</w:t>
      </w:r>
    </w:p>
    <w:p w:rsidR="005F78FC" w:rsidRDefault="00B42EF3">
      <w:pPr>
        <w:pStyle w:val="Definition-Field2"/>
      </w:pPr>
      <w:r>
        <w:lastRenderedPageBreak/>
        <w:t>Office does not require this attribute; default values are assigned to it based on the value of the type attribute.</w:t>
      </w:r>
    </w:p>
    <w:p w:rsidR="005F78FC" w:rsidRDefault="00B42EF3">
      <w:pPr>
        <w:pStyle w:val="Heading3"/>
      </w:pPr>
      <w:bookmarkStart w:id="3250" w:name="section_03602c0c4e48496a96881c9f8d446fd0"/>
      <w:bookmarkStart w:id="3251" w:name="_Toc69879398"/>
      <w:r>
        <w:t>Part 1 Section 21.4.2.26, sampData (Sample Data)</w:t>
      </w:r>
      <w:bookmarkEnd w:id="3250"/>
      <w:bookmarkEnd w:id="3251"/>
      <w:r>
        <w:fldChar w:fldCharType="begin"/>
      </w:r>
      <w:r>
        <w:instrText xml:space="preserve"> XE "sampData (Sample Data)" </w:instrText>
      </w:r>
      <w:r>
        <w:fldChar w:fldCharType="end"/>
      </w:r>
    </w:p>
    <w:p w:rsidR="005F78FC" w:rsidRDefault="00B42EF3">
      <w:pPr>
        <w:pStyle w:val="Definition-Field"/>
      </w:pPr>
      <w:r>
        <w:t xml:space="preserve">a.   </w:t>
      </w:r>
      <w:r>
        <w:rPr>
          <w:i/>
        </w:rPr>
        <w:t xml:space="preserve">The standard states that the useDef </w:t>
      </w:r>
      <w:r>
        <w:rPr>
          <w:i/>
        </w:rPr>
        <w:t>attribute specifies whether or not the data model defined in the clrData element should be used.</w:t>
      </w:r>
    </w:p>
    <w:p w:rsidR="005F78FC" w:rsidRDefault="00B42EF3">
      <w:pPr>
        <w:pStyle w:val="Definition-Field2"/>
      </w:pPr>
      <w:r>
        <w:t>Office uses the useDef attribute to specify whether or not the data model defined in the styleData element should be used.</w:t>
      </w:r>
    </w:p>
    <w:p w:rsidR="005F78FC" w:rsidRDefault="00B42EF3">
      <w:pPr>
        <w:pStyle w:val="Heading3"/>
      </w:pPr>
      <w:bookmarkStart w:id="3252" w:name="section_448f4ba77be242509af1a1e80d2cfc02"/>
      <w:bookmarkStart w:id="3253" w:name="_Toc69879399"/>
      <w:r>
        <w:t>Part 1 Section 21.4.2.27, shape (Sha</w:t>
      </w:r>
      <w:r>
        <w:t>pe)</w:t>
      </w:r>
      <w:bookmarkEnd w:id="3252"/>
      <w:bookmarkEnd w:id="3253"/>
      <w:r>
        <w:fldChar w:fldCharType="begin"/>
      </w:r>
      <w:r>
        <w:instrText xml:space="preserve"> XE "shape (Shape)" </w:instrText>
      </w:r>
      <w:r>
        <w:fldChar w:fldCharType="end"/>
      </w:r>
    </w:p>
    <w:p w:rsidR="005F78FC" w:rsidRDefault="00B42EF3">
      <w:pPr>
        <w:pStyle w:val="Definition-Field"/>
      </w:pPr>
      <w:r>
        <w:t xml:space="preserve">a.   </w:t>
      </w:r>
      <w:r>
        <w:rPr>
          <w:i/>
        </w:rPr>
        <w:t>The standard states that the lkTxEntry attribute prevents text editing on a shape.</w:t>
      </w:r>
    </w:p>
    <w:p w:rsidR="005F78FC" w:rsidRDefault="00B42EF3">
      <w:pPr>
        <w:pStyle w:val="Definition-Field2"/>
      </w:pPr>
      <w:r>
        <w:t>Office ignores this attribute.</w:t>
      </w:r>
    </w:p>
    <w:p w:rsidR="005F78FC" w:rsidRDefault="00B42EF3">
      <w:pPr>
        <w:pStyle w:val="Heading3"/>
      </w:pPr>
      <w:bookmarkStart w:id="3254" w:name="section_4bf644d5b93347c58bbc110dc7e55741"/>
      <w:bookmarkStart w:id="3255" w:name="_Toc69879400"/>
      <w:r>
        <w:t>Part 1 Section 21.4.2.29, styleData (Style Data)</w:t>
      </w:r>
      <w:bookmarkEnd w:id="3254"/>
      <w:bookmarkEnd w:id="3255"/>
      <w:r>
        <w:fldChar w:fldCharType="begin"/>
      </w:r>
      <w:r>
        <w:instrText xml:space="preserve"> XE "styleData (Style Data)" </w:instrText>
      </w:r>
      <w:r>
        <w:fldChar w:fldCharType="end"/>
      </w:r>
    </w:p>
    <w:p w:rsidR="005F78FC" w:rsidRDefault="00B42EF3">
      <w:pPr>
        <w:pStyle w:val="Definition-Field2"/>
      </w:pPr>
      <w:r>
        <w:rPr>
          <w:i/>
        </w:rPr>
        <w:t>For additional notes that apply</w:t>
      </w:r>
      <w:r>
        <w:rPr>
          <w:i/>
        </w:rPr>
        <w:t xml:space="preserve"> to this portion of the standard, please see the notes for </w:t>
      </w:r>
      <w:hyperlink w:anchor="Section_03602c0c4e48496a96881c9f8d446fd0">
        <w:r>
          <w:rPr>
            <w:rStyle w:val="Hyperlink"/>
          </w:rPr>
          <w:t>sampData, §21.4.2.26(a)</w:t>
        </w:r>
      </w:hyperlink>
      <w:r>
        <w:rPr>
          <w:i/>
        </w:rPr>
        <w:t>.</w:t>
      </w:r>
    </w:p>
    <w:p w:rsidR="005F78FC" w:rsidRDefault="00B42EF3">
      <w:pPr>
        <w:pStyle w:val="Heading3"/>
      </w:pPr>
      <w:bookmarkStart w:id="3256" w:name="section_f1f030c79c8a418db6e52ae4c675d0e9"/>
      <w:bookmarkStart w:id="3257" w:name="_Toc69879401"/>
      <w:r>
        <w:t>Part 1 Section 21.4.3.2, cxn (Connection)</w:t>
      </w:r>
      <w:bookmarkEnd w:id="3256"/>
      <w:bookmarkEnd w:id="3257"/>
      <w:r>
        <w:fldChar w:fldCharType="begin"/>
      </w:r>
      <w:r>
        <w:instrText xml:space="preserve"> XE "cxn (Connection)" </w:instrText>
      </w:r>
      <w:r>
        <w:fldChar w:fldCharType="end"/>
      </w:r>
    </w:p>
    <w:p w:rsidR="005F78FC" w:rsidRDefault="00B42EF3">
      <w:pPr>
        <w:pStyle w:val="Definition-Field"/>
      </w:pPr>
      <w:r>
        <w:t xml:space="preserve">a.   </w:t>
      </w:r>
      <w:r>
        <w:rPr>
          <w:i/>
        </w:rPr>
        <w:t>The standard places no restrictions o</w:t>
      </w:r>
      <w:r>
        <w:rPr>
          <w:i/>
        </w:rPr>
        <w:t>n the number of parents associated with a node.</w:t>
      </w:r>
    </w:p>
    <w:p w:rsidR="005F78FC" w:rsidRDefault="00B42EF3">
      <w:pPr>
        <w:pStyle w:val="Definition-Field2"/>
      </w:pPr>
      <w:r>
        <w:t>Office requires that there be no more than one parent for any given node; for example, no more than one connection of type parOf or presParOf for any given destId.  As a result, destOrd is ignored.</w:t>
      </w:r>
    </w:p>
    <w:p w:rsidR="005F78FC" w:rsidRDefault="00B42EF3">
      <w:pPr>
        <w:pStyle w:val="Definition-Field"/>
      </w:pPr>
      <w:r>
        <w:t xml:space="preserve">b.   </w:t>
      </w:r>
      <w:r>
        <w:rPr>
          <w:i/>
        </w:rPr>
        <w:t>The s</w:t>
      </w:r>
      <w:r>
        <w:rPr>
          <w:i/>
        </w:rPr>
        <w:t>tandard states that the parTransId attribute is optional.</w:t>
      </w:r>
    </w:p>
    <w:p w:rsidR="005F78FC" w:rsidRDefault="00B42EF3">
      <w:pPr>
        <w:pStyle w:val="Definition-Field2"/>
      </w:pPr>
      <w:r>
        <w:t>Office requires this attribute when the type attribute is set to parOf and ignores this attribute otherwise.</w:t>
      </w:r>
    </w:p>
    <w:p w:rsidR="005F78FC" w:rsidRDefault="00B42EF3">
      <w:pPr>
        <w:pStyle w:val="Definition-Field"/>
      </w:pPr>
      <w:r>
        <w:t xml:space="preserve">c.   </w:t>
      </w:r>
      <w:r>
        <w:rPr>
          <w:i/>
        </w:rPr>
        <w:t>The standard states that the presId attribute is optional.</w:t>
      </w:r>
    </w:p>
    <w:p w:rsidR="005F78FC" w:rsidRDefault="00B42EF3">
      <w:pPr>
        <w:pStyle w:val="Definition-Field2"/>
      </w:pPr>
      <w:r>
        <w:t>Office requires this attr</w:t>
      </w:r>
      <w:r>
        <w:t>ibute when the type attribute is set to presOf and ignores this attribute otherwise.</w:t>
      </w:r>
    </w:p>
    <w:p w:rsidR="005F78FC" w:rsidRDefault="00B42EF3">
      <w:pPr>
        <w:pStyle w:val="Definition-Field"/>
      </w:pPr>
      <w:r>
        <w:t xml:space="preserve">d.   </w:t>
      </w:r>
      <w:r>
        <w:rPr>
          <w:i/>
        </w:rPr>
        <w:t>The standard states that the sibTransId attribute is optional.</w:t>
      </w:r>
    </w:p>
    <w:p w:rsidR="005F78FC" w:rsidRDefault="00B42EF3">
      <w:pPr>
        <w:pStyle w:val="Definition-Field2"/>
      </w:pPr>
      <w:r>
        <w:t>Office requires this attribute when the type attribute is set to parOf and ignores this attribute other</w:t>
      </w:r>
      <w:r>
        <w:t>wise.</w:t>
      </w:r>
    </w:p>
    <w:p w:rsidR="005F78FC" w:rsidRDefault="00B42EF3">
      <w:pPr>
        <w:pStyle w:val="Heading3"/>
      </w:pPr>
      <w:bookmarkStart w:id="3258" w:name="section_5a38b917dcd14a5d8788ae1f29d60b07"/>
      <w:bookmarkStart w:id="3259" w:name="_Toc69879402"/>
      <w:r>
        <w:t>Part 1 Section 21.4.3.4, prSet (Property Set)</w:t>
      </w:r>
      <w:bookmarkEnd w:id="3258"/>
      <w:bookmarkEnd w:id="3259"/>
      <w:r>
        <w:fldChar w:fldCharType="begin"/>
      </w:r>
      <w:r>
        <w:instrText xml:space="preserve"> XE "prSet (Property Set)" </w:instrText>
      </w:r>
      <w:r>
        <w:fldChar w:fldCharType="end"/>
      </w:r>
    </w:p>
    <w:p w:rsidR="005F78FC" w:rsidRDefault="00B42EF3">
      <w:pPr>
        <w:pStyle w:val="Definition-Field"/>
      </w:pPr>
      <w:r>
        <w:t xml:space="preserve">a.   </w:t>
      </w:r>
      <w:r>
        <w:rPr>
          <w:i/>
        </w:rPr>
        <w:t>The standard states that the presAssocID attribute is optional.</w:t>
      </w:r>
    </w:p>
    <w:p w:rsidR="005F78FC" w:rsidRDefault="00B42EF3">
      <w:pPr>
        <w:pStyle w:val="Definition-Field2"/>
      </w:pPr>
      <w:r>
        <w:t>Office requires this attribute.</w:t>
      </w:r>
    </w:p>
    <w:p w:rsidR="005F78FC" w:rsidRDefault="00B42EF3">
      <w:pPr>
        <w:pStyle w:val="Definition-Field"/>
      </w:pPr>
      <w:r>
        <w:t xml:space="preserve">b.   </w:t>
      </w:r>
      <w:r>
        <w:rPr>
          <w:i/>
        </w:rPr>
        <w:t>The standard states that the presName attribute is optional.</w:t>
      </w:r>
    </w:p>
    <w:p w:rsidR="005F78FC" w:rsidRDefault="00B42EF3">
      <w:pPr>
        <w:pStyle w:val="Definition-Field2"/>
      </w:pPr>
      <w:r>
        <w:t xml:space="preserve">Office </w:t>
      </w:r>
      <w:r>
        <w:t>requires this attribute on the root presentation element.</w:t>
      </w:r>
    </w:p>
    <w:p w:rsidR="005F78FC" w:rsidRDefault="00B42EF3">
      <w:pPr>
        <w:pStyle w:val="Heading3"/>
      </w:pPr>
      <w:bookmarkStart w:id="3260" w:name="section_bb6cb160531d4452a00d2870294901c8"/>
      <w:bookmarkStart w:id="3261" w:name="_Toc69879403"/>
      <w:r>
        <w:t>Part 1 Section 21.4.3.5, pt (Point)</w:t>
      </w:r>
      <w:bookmarkEnd w:id="3260"/>
      <w:bookmarkEnd w:id="3261"/>
      <w:r>
        <w:fldChar w:fldCharType="begin"/>
      </w:r>
      <w:r>
        <w:instrText xml:space="preserve"> XE "pt (Point)" </w:instrText>
      </w:r>
      <w:r>
        <w:fldChar w:fldCharType="end"/>
      </w:r>
    </w:p>
    <w:p w:rsidR="005F78FC" w:rsidRDefault="00B42EF3">
      <w:pPr>
        <w:pStyle w:val="Definition-Field"/>
      </w:pPr>
      <w:r>
        <w:t xml:space="preserve">a.   </w:t>
      </w:r>
      <w:r>
        <w:rPr>
          <w:i/>
        </w:rPr>
        <w:t>The standard states that the cxnId attribute is optional.</w:t>
      </w:r>
    </w:p>
    <w:p w:rsidR="005F78FC" w:rsidRDefault="00B42EF3">
      <w:pPr>
        <w:pStyle w:val="Definition-Field2"/>
      </w:pPr>
      <w:r>
        <w:lastRenderedPageBreak/>
        <w:t>Office requires this attribute when the type attribute is set to parTrans or sib</w:t>
      </w:r>
      <w:r>
        <w:t>Trans and ignores this attribute otherwise.</w:t>
      </w:r>
    </w:p>
    <w:p w:rsidR="005F78FC" w:rsidRDefault="00B42EF3">
      <w:pPr>
        <w:pStyle w:val="Heading3"/>
      </w:pPr>
      <w:bookmarkStart w:id="3262" w:name="section_18c455a3df65485ab55a1602f38c668d"/>
      <w:bookmarkStart w:id="3263" w:name="_Toc69879404"/>
      <w:r>
        <w:t>Part 1 Section 21.4.3.7, spPr (Shape Properties)</w:t>
      </w:r>
      <w:bookmarkEnd w:id="3262"/>
      <w:bookmarkEnd w:id="3263"/>
      <w:r>
        <w:fldChar w:fldCharType="begin"/>
      </w:r>
      <w:r>
        <w:instrText xml:space="preserve"> XE "spPr (Shape Properties)"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rsidR="005F78FC" w:rsidRDefault="00B42EF3">
      <w:pPr>
        <w:pStyle w:val="Definition-Field"/>
      </w:pPr>
      <w:r>
        <w:t xml:space="preserve">a.   </w:t>
      </w:r>
      <w:r>
        <w:rPr>
          <w:i/>
        </w:rPr>
        <w:t>The standard states that the grpFill element is a valid child of the spPr element.</w:t>
      </w:r>
    </w:p>
    <w:p w:rsidR="005F78FC" w:rsidRDefault="00B42EF3">
      <w:pPr>
        <w:pStyle w:val="Definition-Field2"/>
      </w:pPr>
      <w:r>
        <w:t xml:space="preserve">Office will display an empty (invisible) shape fill for any diagram shape with a group fill, regardless of the fill of the </w:t>
      </w:r>
      <w:r>
        <w:t>parent group.</w:t>
      </w:r>
    </w:p>
    <w:p w:rsidR="005F78FC" w:rsidRDefault="00B42EF3">
      <w:pPr>
        <w:pStyle w:val="Heading3"/>
      </w:pPr>
      <w:bookmarkStart w:id="3264" w:name="section_5c7d720478424485979866c87ab0258a"/>
      <w:bookmarkStart w:id="3265" w:name="_Toc69879405"/>
      <w:r>
        <w:t>Part 1 Section 21.4.3.8, t (Text Body)</w:t>
      </w:r>
      <w:bookmarkEnd w:id="3264"/>
      <w:bookmarkEnd w:id="3265"/>
      <w:r>
        <w:fldChar w:fldCharType="begin"/>
      </w:r>
      <w:r>
        <w:instrText xml:space="preserve"> XE "t (Text Body)" </w:instrText>
      </w:r>
      <w:r>
        <w:fldChar w:fldCharType="end"/>
      </w:r>
    </w:p>
    <w:p w:rsidR="005F78FC" w:rsidRDefault="00B42EF3">
      <w:pPr>
        <w:pStyle w:val="Definition-Field"/>
      </w:pPr>
      <w:r>
        <w:t xml:space="preserve">a.   </w:t>
      </w:r>
      <w:r>
        <w:rPr>
          <w:i/>
        </w:rPr>
        <w:t>The standard restricts a text body to single paragraph and no text runs.</w:t>
      </w:r>
    </w:p>
    <w:p w:rsidR="005F78FC" w:rsidRDefault="00B42EF3">
      <w:pPr>
        <w:pStyle w:val="Definition-Field2"/>
      </w:pPr>
      <w:r>
        <w:t>Office does not enforce this restriction.</w:t>
      </w:r>
    </w:p>
    <w:p w:rsidR="005F78FC" w:rsidRDefault="00B42EF3">
      <w:pPr>
        <w:pStyle w:val="Heading3"/>
      </w:pPr>
      <w:bookmarkStart w:id="3266" w:name="section_159e85d0568f49d2b6e9a0b97ff50a0d"/>
      <w:bookmarkStart w:id="3267" w:name="_Toc69879406"/>
      <w:r>
        <w:t>Part 1 Section 21.4.4.3, colorsDef (Color Transform Definitio</w:t>
      </w:r>
      <w:r>
        <w:t>ns)</w:t>
      </w:r>
      <w:bookmarkEnd w:id="3266"/>
      <w:bookmarkEnd w:id="3267"/>
      <w:r>
        <w:fldChar w:fldCharType="begin"/>
      </w:r>
      <w:r>
        <w:instrText xml:space="preserve"> XE "colorsDef (Color Transform Definitions)" </w:instrText>
      </w:r>
      <w:r>
        <w:fldChar w:fldCharType="end"/>
      </w:r>
    </w:p>
    <w:p w:rsidR="005F78FC" w:rsidRDefault="00B42EF3">
      <w:pPr>
        <w:pStyle w:val="Definition-Field"/>
      </w:pPr>
      <w:r>
        <w:t xml:space="preserve">a.   </w:t>
      </w:r>
      <w:r>
        <w:rPr>
          <w:i/>
        </w:rPr>
        <w:t>The standard states that the values of the minVer attribute are defined by the XML Schema string datatype.</w:t>
      </w:r>
    </w:p>
    <w:p w:rsidR="005F78FC" w:rsidRDefault="00B42EF3">
      <w:pPr>
        <w:pStyle w:val="Definition-Field2"/>
      </w:pPr>
      <w:r>
        <w:t>Office requires the value of this attribute to be 12.0.</w:t>
      </w:r>
    </w:p>
    <w:p w:rsidR="005F78FC" w:rsidRDefault="00B42EF3">
      <w:pPr>
        <w:pStyle w:val="Heading3"/>
      </w:pPr>
      <w:bookmarkStart w:id="3268" w:name="section_4012c5a0ae0041ed9248616ef4442075"/>
      <w:bookmarkStart w:id="3269" w:name="_Toc69879407"/>
      <w:r>
        <w:t>Part 1 Section 21.4.4.7, effectClrLs</w:t>
      </w:r>
      <w:r>
        <w:t>t (Effect Color List)</w:t>
      </w:r>
      <w:bookmarkEnd w:id="3268"/>
      <w:bookmarkEnd w:id="3269"/>
      <w:r>
        <w:fldChar w:fldCharType="begin"/>
      </w:r>
      <w:r>
        <w:instrText xml:space="preserve"> XE "effectClrLst (Effect Color List)"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3e717d5315f14e0883322aa16e60798c">
        <w:r>
          <w:rPr>
            <w:rStyle w:val="Hyperlink"/>
          </w:rPr>
          <w:t>fillClrLst, §21.4.4.8(b)</w:t>
        </w:r>
      </w:hyperlink>
      <w:r>
        <w:rPr>
          <w:i/>
        </w:rPr>
        <w:t>.</w:t>
      </w:r>
    </w:p>
    <w:p w:rsidR="005F78FC" w:rsidRDefault="00B42EF3">
      <w:pPr>
        <w:pStyle w:val="Heading3"/>
      </w:pPr>
      <w:bookmarkStart w:id="3270" w:name="section_3e717d5315f14e0883322aa16e60798c"/>
      <w:bookmarkStart w:id="3271" w:name="_Toc69879408"/>
      <w:r>
        <w:t>Part 1 Section</w:t>
      </w:r>
      <w:r>
        <w:t xml:space="preserve"> 21.4.4.8, fillClrLst (Fill Color List)</w:t>
      </w:r>
      <w:bookmarkEnd w:id="3270"/>
      <w:bookmarkEnd w:id="3271"/>
      <w:r>
        <w:fldChar w:fldCharType="begin"/>
      </w:r>
      <w:r>
        <w:instrText xml:space="preserve"> XE "fillClrLst (Fill Color List)" </w:instrText>
      </w:r>
      <w:r>
        <w:fldChar w:fldCharType="end"/>
      </w:r>
    </w:p>
    <w:p w:rsidR="005F78FC" w:rsidRDefault="00B42EF3">
      <w:pPr>
        <w:pStyle w:val="Definition-Field"/>
      </w:pPr>
      <w:r>
        <w:t xml:space="preserve">a.   </w:t>
      </w:r>
      <w:r>
        <w:rPr>
          <w:i/>
        </w:rPr>
        <w:t>The standard states that the fillClrLst element defines a list of colors which are used as fill colors in the color transform, and that those fill colors define the colors of</w:t>
      </w:r>
      <w:r>
        <w:rPr>
          <w:i/>
        </w:rPr>
        <w:t xml:space="preserve"> the nodes in a diagram.</w:t>
      </w:r>
    </w:p>
    <w:p w:rsidR="005F78FC" w:rsidRDefault="00B42EF3">
      <w:pPr>
        <w:pStyle w:val="Definition-Field2"/>
      </w:pPr>
      <w:r>
        <w:t>Office uses this element to specify a color sequence to be applied to the fill of the associated presentation elements of a diagram.</w:t>
      </w:r>
    </w:p>
    <w:p w:rsidR="005F78FC" w:rsidRDefault="00B42EF3">
      <w:pPr>
        <w:pStyle w:val="Definition-Field"/>
      </w:pPr>
      <w:r>
        <w:t xml:space="preserve">b.   </w:t>
      </w:r>
      <w:r>
        <w:rPr>
          <w:i/>
        </w:rPr>
        <w:t>The standard places no restrictions on the relationship between the meth attribute and the hu</w:t>
      </w:r>
      <w:r>
        <w:rPr>
          <w:i/>
        </w:rPr>
        <w:t>eDir attribute.</w:t>
      </w:r>
    </w:p>
    <w:p w:rsidR="005F78FC" w:rsidRDefault="00B42EF3">
      <w:pPr>
        <w:pStyle w:val="Definition-Field2"/>
      </w:pPr>
      <w:r>
        <w:t>Office ignores the hueDir attribute if the value of the meth attribute is repeat.</w:t>
      </w:r>
    </w:p>
    <w:p w:rsidR="005F78FC" w:rsidRDefault="00B42EF3">
      <w:pPr>
        <w:pStyle w:val="Heading3"/>
      </w:pPr>
      <w:bookmarkStart w:id="3272" w:name="section_c5f7cef6299c497aade49242eec0032b"/>
      <w:bookmarkStart w:id="3273" w:name="_Toc69879409"/>
      <w:r>
        <w:t>Part 1 Section 21.4.4.9, linClrLst (Line Color List)</w:t>
      </w:r>
      <w:bookmarkEnd w:id="3272"/>
      <w:bookmarkEnd w:id="3273"/>
      <w:r>
        <w:fldChar w:fldCharType="begin"/>
      </w:r>
      <w:r>
        <w:instrText xml:space="preserve"> XE "linClrLst (Line Color List)" </w:instrText>
      </w:r>
      <w:r>
        <w:fldChar w:fldCharType="end"/>
      </w:r>
    </w:p>
    <w:p w:rsidR="005F78FC" w:rsidRDefault="00B42EF3">
      <w:pPr>
        <w:pStyle w:val="Definition-Field2"/>
      </w:pPr>
      <w:r>
        <w:rPr>
          <w:i/>
        </w:rPr>
        <w:t>For additional notes that apply to this portion of the standard, plea</w:t>
      </w:r>
      <w:r>
        <w:rPr>
          <w:i/>
        </w:rPr>
        <w:t xml:space="preserve">se see the notes for </w:t>
      </w:r>
      <w:hyperlink w:anchor="Section_3e717d5315f14e0883322aa16e60798c">
        <w:r>
          <w:rPr>
            <w:rStyle w:val="Hyperlink"/>
          </w:rPr>
          <w:t>fillClrLst, §21.4.4.8(b)</w:t>
        </w:r>
      </w:hyperlink>
      <w:r>
        <w:rPr>
          <w:i/>
        </w:rPr>
        <w:t>.</w:t>
      </w:r>
    </w:p>
    <w:p w:rsidR="005F78FC" w:rsidRDefault="00B42EF3">
      <w:pPr>
        <w:pStyle w:val="Definition-Field"/>
      </w:pPr>
      <w:r>
        <w:t xml:space="preserve">a.   </w:t>
      </w:r>
      <w:r>
        <w:rPr>
          <w:i/>
        </w:rPr>
        <w:t>The standard states that the linClrLst element defines a list of colors which are used as line colors in the color transform, and that the li</w:t>
      </w:r>
      <w:r>
        <w:rPr>
          <w:i/>
        </w:rPr>
        <w:t>ne colors define the color of the lines used on a given node in a diagram.</w:t>
      </w:r>
    </w:p>
    <w:p w:rsidR="005F78FC" w:rsidRDefault="00B42EF3">
      <w:pPr>
        <w:pStyle w:val="Definition-Field2"/>
      </w:pPr>
      <w:r>
        <w:t>Office uses this element to specify a color sequence to be applied to the lines of the associated presentation elements of a diagram.</w:t>
      </w:r>
    </w:p>
    <w:p w:rsidR="005F78FC" w:rsidRDefault="00B42EF3">
      <w:pPr>
        <w:pStyle w:val="Heading3"/>
      </w:pPr>
      <w:bookmarkStart w:id="3274" w:name="section_ea27f7e7175b40d6b10d96f9eb8ae27d"/>
      <w:bookmarkStart w:id="3275" w:name="_Toc69879410"/>
      <w:r>
        <w:lastRenderedPageBreak/>
        <w:t xml:space="preserve">Part 1 Section 21.4.4.12, txEffectClrLst (Text </w:t>
      </w:r>
      <w:r>
        <w:t>Effect Color List)</w:t>
      </w:r>
      <w:bookmarkEnd w:id="3274"/>
      <w:bookmarkEnd w:id="3275"/>
      <w:r>
        <w:fldChar w:fldCharType="begin"/>
      </w:r>
      <w:r>
        <w:instrText xml:space="preserve"> XE "txEffectClrLst (Text Effect Color List)"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3e717d5315f14e0883322aa16e60798c">
        <w:r>
          <w:rPr>
            <w:rStyle w:val="Hyperlink"/>
          </w:rPr>
          <w:t>fillClrLst, §21.4.4.8(b)</w:t>
        </w:r>
      </w:hyperlink>
      <w:r>
        <w:rPr>
          <w:i/>
        </w:rPr>
        <w:t>.</w:t>
      </w:r>
    </w:p>
    <w:p w:rsidR="005F78FC" w:rsidRDefault="00B42EF3">
      <w:pPr>
        <w:pStyle w:val="Heading3"/>
      </w:pPr>
      <w:bookmarkStart w:id="3276" w:name="section_80e28031fe3448deabb40d562836d2a0"/>
      <w:bookmarkStart w:id="3277" w:name="_Toc69879411"/>
      <w:r>
        <w:t>Part 1 Sec</w:t>
      </w:r>
      <w:r>
        <w:t>tion 21.4.4.13, txFillClrLst (Text Fill Color List)</w:t>
      </w:r>
      <w:bookmarkEnd w:id="3276"/>
      <w:bookmarkEnd w:id="3277"/>
      <w:r>
        <w:fldChar w:fldCharType="begin"/>
      </w:r>
      <w:r>
        <w:instrText xml:space="preserve"> XE "txFillClrLst (Text Fill Color List)"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3e717d5315f14e0883322aa16e60798c">
        <w:r>
          <w:rPr>
            <w:rStyle w:val="Hyperlink"/>
          </w:rPr>
          <w:t>fillClrLst, §21.4.4.8(b)</w:t>
        </w:r>
      </w:hyperlink>
      <w:r>
        <w:rPr>
          <w:i/>
        </w:rPr>
        <w:t>.</w:t>
      </w:r>
    </w:p>
    <w:p w:rsidR="005F78FC" w:rsidRDefault="00B42EF3">
      <w:pPr>
        <w:pStyle w:val="Heading3"/>
      </w:pPr>
      <w:bookmarkStart w:id="3278" w:name="section_53ab4a0a7214451bad800daf95b4c4ef"/>
      <w:bookmarkStart w:id="3279" w:name="_Toc69879412"/>
      <w:r>
        <w:t>Part 1 Section 21.4.4.14, txLinClrLst (Text Line Color List)</w:t>
      </w:r>
      <w:bookmarkEnd w:id="3278"/>
      <w:bookmarkEnd w:id="3279"/>
      <w:r>
        <w:fldChar w:fldCharType="begin"/>
      </w:r>
      <w:r>
        <w:instrText xml:space="preserve"> XE "txLinClrLst (Text Line Color List)"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3e717d5315f14e0883322aa16e60798c">
        <w:r>
          <w:rPr>
            <w:rStyle w:val="Hyperlink"/>
          </w:rPr>
          <w:t>fillClrLst, §21.4.4.8(b)</w:t>
        </w:r>
      </w:hyperlink>
      <w:r>
        <w:rPr>
          <w:i/>
        </w:rPr>
        <w:t>.</w:t>
      </w:r>
    </w:p>
    <w:p w:rsidR="005F78FC" w:rsidRDefault="00B42EF3">
      <w:pPr>
        <w:pStyle w:val="Heading3"/>
      </w:pPr>
      <w:bookmarkStart w:id="3280" w:name="section_b22cec63a18c4f6e95c808b1831a0a7c"/>
      <w:bookmarkStart w:id="3281" w:name="_Toc69879413"/>
      <w:r>
        <w:t>Part 1 Section 21.4.5.6, sp3d (3-D Shape Properties)</w:t>
      </w:r>
      <w:bookmarkEnd w:id="3280"/>
      <w:bookmarkEnd w:id="3281"/>
      <w:r>
        <w:fldChar w:fldCharType="begin"/>
      </w:r>
      <w:r>
        <w:instrText xml:space="preserve"> XE "sp3d (3-D Shape Properties)"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d44e6f9209a94d8bb8c75220c6c85203">
        <w:r>
          <w:rPr>
            <w:rStyle w:val="Hyperlink"/>
          </w:rPr>
          <w:t>sp3d, §20.1.5.12(b)</w:t>
        </w:r>
      </w:hyperlink>
      <w:r>
        <w:rPr>
          <w:i/>
        </w:rPr>
        <w:t>.</w:t>
      </w:r>
    </w:p>
    <w:p w:rsidR="005F78FC" w:rsidRDefault="00B42EF3">
      <w:pPr>
        <w:pStyle w:val="Definition-Field"/>
      </w:pPr>
      <w:r>
        <w:t xml:space="preserve">a.   </w:t>
      </w:r>
      <w:r>
        <w:rPr>
          <w:i/>
        </w:rPr>
        <w:t>The standard places no restrictions on the relationship between the properties of the sp3d element and the parent styleLbl element.</w:t>
      </w:r>
    </w:p>
    <w:p w:rsidR="005F78FC" w:rsidRDefault="00B42EF3">
      <w:pPr>
        <w:pStyle w:val="Definition-Field2"/>
      </w:pPr>
      <w:r>
        <w:t>Office ignores the properties of the sp3d element if the pa</w:t>
      </w:r>
      <w:r>
        <w:t>rent styleLbl element is identical to a preset style in all other respects.</w:t>
      </w:r>
    </w:p>
    <w:p w:rsidR="005F78FC" w:rsidRDefault="00B42EF3">
      <w:pPr>
        <w:pStyle w:val="Heading3"/>
      </w:pPr>
      <w:bookmarkStart w:id="3282" w:name="section_f99f2a8f3da54c338c11cd0678e0af0d"/>
      <w:bookmarkStart w:id="3283" w:name="_Toc69879414"/>
      <w:r>
        <w:t>Part 1 Section 21.4.5.10, styleLbl (Style Label)</w:t>
      </w:r>
      <w:bookmarkEnd w:id="3282"/>
      <w:bookmarkEnd w:id="3283"/>
      <w:r>
        <w:fldChar w:fldCharType="begin"/>
      </w:r>
      <w:r>
        <w:instrText xml:space="preserve"> XE "styleLbl (Style Label)" </w:instrText>
      </w:r>
      <w:r>
        <w:fldChar w:fldCharType="end"/>
      </w:r>
    </w:p>
    <w:p w:rsidR="005F78FC" w:rsidRDefault="00B42EF3">
      <w:pPr>
        <w:pStyle w:val="Definition-Field"/>
      </w:pPr>
      <w:r>
        <w:t xml:space="preserve">a.   </w:t>
      </w:r>
      <w:r>
        <w:rPr>
          <w:i/>
        </w:rPr>
        <w:t>The standard states that the name attribute is used for tooltips in the user interface.</w:t>
      </w:r>
    </w:p>
    <w:p w:rsidR="005F78FC" w:rsidRDefault="00B42EF3">
      <w:pPr>
        <w:pStyle w:val="Definition-Field2"/>
      </w:pPr>
      <w:r>
        <w:t xml:space="preserve">Office </w:t>
      </w:r>
      <w:r>
        <w:t>uses the name attribute to map to nodes in the layout.</w:t>
      </w:r>
    </w:p>
    <w:p w:rsidR="005F78FC" w:rsidRDefault="00B42EF3">
      <w:pPr>
        <w:pStyle w:val="Heading3"/>
      </w:pPr>
      <w:bookmarkStart w:id="3284" w:name="section_1cf7b62c1b304ad98b696b046e25c615"/>
      <w:bookmarkStart w:id="3285" w:name="_Toc69879415"/>
      <w:r>
        <w:t>Part 1 Section 21.4.7.3, ST_AnimOneStr (One by One Animation Value Definition)</w:t>
      </w:r>
      <w:bookmarkEnd w:id="3284"/>
      <w:bookmarkEnd w:id="3285"/>
      <w:r>
        <w:fldChar w:fldCharType="begin"/>
      </w:r>
      <w:r>
        <w:instrText xml:space="preserve"> XE "ST_AnimOneStr (One by One Animation Value Definition)" </w:instrText>
      </w:r>
      <w:r>
        <w:fldChar w:fldCharType="end"/>
      </w:r>
    </w:p>
    <w:p w:rsidR="005F78FC" w:rsidRDefault="00B42EF3">
      <w:pPr>
        <w:pStyle w:val="Definition-Field"/>
      </w:pPr>
      <w:r>
        <w:t xml:space="preserve">a.   </w:t>
      </w:r>
      <w:r>
        <w:rPr>
          <w:i/>
        </w:rPr>
        <w:t>The standard states that the default value of the ST_An</w:t>
      </w:r>
      <w:r>
        <w:rPr>
          <w:i/>
        </w:rPr>
        <w:t>imOneStr simple type is one.</w:t>
      </w:r>
    </w:p>
    <w:p w:rsidR="005F78FC" w:rsidRDefault="00B42EF3">
      <w:pPr>
        <w:pStyle w:val="Definition-Field2"/>
      </w:pPr>
      <w:r>
        <w:t>Office does not provide a default value for this simple type.</w:t>
      </w:r>
    </w:p>
    <w:p w:rsidR="005F78FC" w:rsidRDefault="00B42EF3">
      <w:pPr>
        <w:pStyle w:val="Heading3"/>
      </w:pPr>
      <w:bookmarkStart w:id="3286" w:name="section_9407009231ed4640937779c48f537d30"/>
      <w:bookmarkStart w:id="3287" w:name="_Toc69879416"/>
      <w:r>
        <w:t>Part 1 Section 21.4.7.6, ST_AxisType (Axis Type)</w:t>
      </w:r>
      <w:bookmarkEnd w:id="3286"/>
      <w:bookmarkEnd w:id="3287"/>
      <w:r>
        <w:fldChar w:fldCharType="begin"/>
      </w:r>
      <w:r>
        <w:instrText xml:space="preserve"> XE "ST_AxisType (Axis Type)" </w:instrText>
      </w:r>
      <w:r>
        <w:fldChar w:fldCharType="end"/>
      </w:r>
    </w:p>
    <w:p w:rsidR="005F78FC" w:rsidRDefault="00B42EF3">
      <w:pPr>
        <w:pStyle w:val="Definition-Field"/>
      </w:pPr>
      <w:r>
        <w:t xml:space="preserve">a.   </w:t>
      </w:r>
      <w:r>
        <w:rPr>
          <w:i/>
        </w:rPr>
        <w:t>The standard states that the ST_AxisType simple type is referenced by itself.</w:t>
      </w:r>
    </w:p>
    <w:p w:rsidR="005F78FC" w:rsidRDefault="00B42EF3">
      <w:pPr>
        <w:pStyle w:val="Definition-Field2"/>
      </w:pPr>
      <w:r>
        <w:t>O</w:t>
      </w:r>
      <w:r>
        <w:t>ffice defines the ST_AxisType simple type to be referenced by ST_AxisTypes, not itself.</w:t>
      </w:r>
    </w:p>
    <w:p w:rsidR="005F78FC" w:rsidRDefault="00B42EF3">
      <w:pPr>
        <w:pStyle w:val="Heading3"/>
      </w:pPr>
      <w:bookmarkStart w:id="3288" w:name="section_3c6745b98475496091baa9a16ec7df86"/>
      <w:bookmarkStart w:id="3289" w:name="_Toc69879417"/>
      <w:r>
        <w:t>Part 1 Section 21.4.7.49, ST_ParameterId (Parameter Identifier)</w:t>
      </w:r>
      <w:bookmarkEnd w:id="3288"/>
      <w:bookmarkEnd w:id="3289"/>
      <w:r>
        <w:fldChar w:fldCharType="begin"/>
      </w:r>
      <w:r>
        <w:instrText xml:space="preserve"> XE "ST_ParameterId (Parameter Identifier)" </w:instrText>
      </w:r>
      <w:r>
        <w:fldChar w:fldCharType="end"/>
      </w:r>
    </w:p>
    <w:p w:rsidR="005F78FC" w:rsidRDefault="00B42EF3">
      <w:pPr>
        <w:pStyle w:val="Definition-Field"/>
      </w:pPr>
      <w:r>
        <w:t xml:space="preserve">a.   </w:t>
      </w:r>
      <w:r>
        <w:rPr>
          <w:i/>
        </w:rPr>
        <w:t>The standard does not specify default values or the r</w:t>
      </w:r>
      <w:r>
        <w:rPr>
          <w:i/>
        </w:rPr>
        <w:t>ange of values for parameters.</w:t>
      </w:r>
    </w:p>
    <w:p w:rsidR="005F78FC" w:rsidRDefault="00B42EF3">
      <w:r>
        <w:t>Office defines the following default values and ranges for each parameter:</w:t>
      </w:r>
    </w:p>
    <w:tbl>
      <w:tblPr>
        <w:tblStyle w:val="Table-ShadedHeader"/>
        <w:tblW w:w="0" w:type="auto"/>
        <w:tblLook w:val="04A0" w:firstRow="1" w:lastRow="0" w:firstColumn="1" w:lastColumn="0" w:noHBand="0" w:noVBand="1"/>
      </w:tblPr>
      <w:tblGrid>
        <w:gridCol w:w="3153"/>
        <w:gridCol w:w="6322"/>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Enumeration Value</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rPr>
                <w:b/>
              </w:rPr>
              <w:t>alignTx</w:t>
            </w:r>
            <w:r>
              <w:t xml:space="preserve"> (Text Alignment)</w:t>
            </w:r>
          </w:p>
        </w:tc>
        <w:tc>
          <w:tcPr>
            <w:tcW w:w="0" w:type="auto"/>
            <w:vAlign w:val="center"/>
          </w:tcPr>
          <w:p w:rsidR="005F78FC" w:rsidRDefault="00B42EF3">
            <w:pPr>
              <w:pStyle w:val="TableBodyText"/>
            </w:pPr>
            <w:r>
              <w:t>Office uses true as a default value to correspond to this parameter identifier.</w:t>
            </w:r>
          </w:p>
          <w:p w:rsidR="005F78FC" w:rsidRDefault="005F78FC">
            <w:pPr>
              <w:pStyle w:val="TableBodyText"/>
            </w:pPr>
          </w:p>
          <w:p w:rsidR="005F78FC" w:rsidRDefault="00B42EF3">
            <w:pPr>
              <w:pStyle w:val="TableBodyText"/>
            </w:pPr>
            <w:r>
              <w:lastRenderedPageBreak/>
              <w:t>Office expect</w:t>
            </w:r>
            <w:r>
              <w:t>s the value corresponding to this parameter identifier to be in the range defined by the XML schema boolean data type.</w:t>
            </w:r>
          </w:p>
          <w:p w:rsidR="005F78FC" w:rsidRDefault="005F78FC">
            <w:pPr>
              <w:pStyle w:val="TableBodyText"/>
            </w:pPr>
          </w:p>
        </w:tc>
      </w:tr>
      <w:tr w:rsidR="005F78FC" w:rsidTr="005F78FC">
        <w:tc>
          <w:tcPr>
            <w:tcW w:w="0" w:type="auto"/>
            <w:vAlign w:val="center"/>
          </w:tcPr>
          <w:p w:rsidR="005F78FC" w:rsidRDefault="00B42EF3">
            <w:pPr>
              <w:pStyle w:val="TableBodyText"/>
            </w:pPr>
            <w:r>
              <w:rPr>
                <w:b/>
              </w:rPr>
              <w:lastRenderedPageBreak/>
              <w:t>ar</w:t>
            </w:r>
            <w:r>
              <w:t xml:space="preserve"> (Aspect Ratio)</w:t>
            </w:r>
          </w:p>
        </w:tc>
        <w:tc>
          <w:tcPr>
            <w:tcW w:w="0" w:type="auto"/>
            <w:vAlign w:val="center"/>
          </w:tcPr>
          <w:p w:rsidR="005F78FC" w:rsidRDefault="00B42EF3">
            <w:pPr>
              <w:pStyle w:val="TableBodyText"/>
            </w:pPr>
            <w:r>
              <w:t>Office uses 0 as a default value to correspond to this parameter identifier.</w:t>
            </w:r>
          </w:p>
          <w:p w:rsidR="005F78FC" w:rsidRDefault="005F78FC">
            <w:pPr>
              <w:pStyle w:val="TableBodyText"/>
            </w:pPr>
          </w:p>
          <w:p w:rsidR="005F78FC" w:rsidRDefault="00B42EF3">
            <w:pPr>
              <w:pStyle w:val="TableBodyText"/>
            </w:pPr>
            <w:r>
              <w:t xml:space="preserve">Office expects the value corresponding </w:t>
            </w:r>
            <w:r>
              <w:t>to this parameter identifier to be in the range defined by the XML schema double data type.</w:t>
            </w:r>
          </w:p>
          <w:p w:rsidR="005F78FC" w:rsidRDefault="005F78FC">
            <w:pPr>
              <w:pStyle w:val="TableBodyText"/>
            </w:pPr>
          </w:p>
        </w:tc>
      </w:tr>
      <w:tr w:rsidR="005F78FC" w:rsidTr="005F78FC">
        <w:tc>
          <w:tcPr>
            <w:tcW w:w="0" w:type="auto"/>
            <w:vAlign w:val="center"/>
          </w:tcPr>
          <w:p w:rsidR="005F78FC" w:rsidRDefault="00B42EF3">
            <w:pPr>
              <w:pStyle w:val="TableBodyText"/>
            </w:pPr>
            <w:r>
              <w:rPr>
                <w:b/>
              </w:rPr>
              <w:t>autoTxRot</w:t>
            </w:r>
            <w:r>
              <w:t xml:space="preserve"> (Auto Text Rotation)</w:t>
            </w:r>
          </w:p>
        </w:tc>
        <w:tc>
          <w:tcPr>
            <w:tcW w:w="0" w:type="auto"/>
            <w:vAlign w:val="center"/>
          </w:tcPr>
          <w:p w:rsidR="005F78FC" w:rsidRDefault="00B42EF3">
            <w:pPr>
              <w:pStyle w:val="TableBodyText"/>
            </w:pPr>
            <w:r>
              <w:t>Office uses upr as a default value to correspond to this parameter identifier.</w:t>
            </w:r>
          </w:p>
          <w:p w:rsidR="005F78FC" w:rsidRDefault="005F78FC">
            <w:pPr>
              <w:pStyle w:val="TableBodyText"/>
            </w:pPr>
          </w:p>
          <w:p w:rsidR="005F78FC" w:rsidRDefault="00B42EF3">
            <w:pPr>
              <w:pStyle w:val="TableBodyText"/>
            </w:pPr>
            <w:r>
              <w:t>Office expects the value corresponding to this para</w:t>
            </w:r>
            <w:r>
              <w:t>meter identifier to be in the range defined by simple type ST_AutoTextRotation.</w:t>
            </w:r>
          </w:p>
          <w:p w:rsidR="005F78FC" w:rsidRDefault="005F78FC">
            <w:pPr>
              <w:pStyle w:val="TableBodyText"/>
            </w:pPr>
          </w:p>
        </w:tc>
      </w:tr>
      <w:tr w:rsidR="005F78FC" w:rsidTr="005F78FC">
        <w:tc>
          <w:tcPr>
            <w:tcW w:w="0" w:type="auto"/>
            <w:vAlign w:val="center"/>
          </w:tcPr>
          <w:p w:rsidR="005F78FC" w:rsidRDefault="00B42EF3">
            <w:pPr>
              <w:pStyle w:val="TableBodyText"/>
            </w:pPr>
            <w:r>
              <w:rPr>
                <w:b/>
              </w:rPr>
              <w:t>begPts</w:t>
            </w:r>
            <w:r>
              <w:t xml:space="preserve"> (Beginning Points)</w:t>
            </w:r>
          </w:p>
        </w:tc>
        <w:tc>
          <w:tcPr>
            <w:tcW w:w="0" w:type="auto"/>
            <w:vAlign w:val="center"/>
          </w:tcPr>
          <w:p w:rsidR="005F78FC" w:rsidRDefault="00B42EF3">
            <w:pPr>
              <w:pStyle w:val="TableBodyText"/>
            </w:pPr>
            <w:r>
              <w:t>Office expects the value corresponding to this parameter identifier to be in the range defined by the XML schema string data type.</w:t>
            </w:r>
          </w:p>
          <w:p w:rsidR="005F78FC" w:rsidRDefault="005F78FC">
            <w:pPr>
              <w:pStyle w:val="TableBodyText"/>
            </w:pPr>
          </w:p>
        </w:tc>
      </w:tr>
      <w:tr w:rsidR="005F78FC" w:rsidTr="005F78FC">
        <w:tc>
          <w:tcPr>
            <w:tcW w:w="0" w:type="auto"/>
            <w:vAlign w:val="center"/>
          </w:tcPr>
          <w:p w:rsidR="005F78FC" w:rsidRDefault="00B42EF3">
            <w:pPr>
              <w:pStyle w:val="TableBodyText"/>
            </w:pPr>
            <w:r>
              <w:rPr>
                <w:b/>
              </w:rPr>
              <w:t>begSty</w:t>
            </w:r>
            <w:r>
              <w:t xml:space="preserve"> (Beginni</w:t>
            </w:r>
            <w:r>
              <w:t>ng Arrowhead Style)</w:t>
            </w:r>
          </w:p>
        </w:tc>
        <w:tc>
          <w:tcPr>
            <w:tcW w:w="0" w:type="auto"/>
            <w:vAlign w:val="center"/>
          </w:tcPr>
          <w:p w:rsidR="005F78FC" w:rsidRDefault="00B42EF3">
            <w:pPr>
              <w:pStyle w:val="TableBodyText"/>
            </w:pPr>
            <w:r>
              <w:t>Office uses noArr as a default value to correspond to this parameter identifier.</w:t>
            </w:r>
          </w:p>
          <w:p w:rsidR="005F78FC" w:rsidRDefault="005F78FC">
            <w:pPr>
              <w:pStyle w:val="TableBodyText"/>
            </w:pPr>
          </w:p>
          <w:p w:rsidR="005F78FC" w:rsidRDefault="00B42EF3">
            <w:pPr>
              <w:pStyle w:val="TableBodyText"/>
            </w:pPr>
            <w:r>
              <w:t>Office expects the value corresponding to this parameter identifier to be in the range defined by simple type ST_ArrowheadStyle.</w:t>
            </w:r>
          </w:p>
          <w:p w:rsidR="005F78FC" w:rsidRDefault="005F78FC">
            <w:pPr>
              <w:pStyle w:val="TableBodyText"/>
            </w:pPr>
          </w:p>
        </w:tc>
      </w:tr>
      <w:tr w:rsidR="005F78FC" w:rsidTr="005F78FC">
        <w:tc>
          <w:tcPr>
            <w:tcW w:w="0" w:type="auto"/>
            <w:vAlign w:val="center"/>
          </w:tcPr>
          <w:p w:rsidR="005F78FC" w:rsidRDefault="00B42EF3">
            <w:pPr>
              <w:pStyle w:val="TableBodyText"/>
            </w:pPr>
            <w:r>
              <w:rPr>
                <w:b/>
              </w:rPr>
              <w:t>bendPt</w:t>
            </w:r>
            <w:r>
              <w:t xml:space="preserve"> (Bend Point)</w:t>
            </w:r>
          </w:p>
        </w:tc>
        <w:tc>
          <w:tcPr>
            <w:tcW w:w="0" w:type="auto"/>
            <w:vAlign w:val="center"/>
          </w:tcPr>
          <w:p w:rsidR="005F78FC" w:rsidRDefault="00B42EF3">
            <w:pPr>
              <w:pStyle w:val="TableBodyText"/>
            </w:pPr>
            <w:r>
              <w:t>Office uses def as a default value to correspond to this parameter identifier.</w:t>
            </w:r>
          </w:p>
          <w:p w:rsidR="005F78FC" w:rsidRDefault="005F78FC">
            <w:pPr>
              <w:pStyle w:val="TableBodyText"/>
            </w:pPr>
          </w:p>
          <w:p w:rsidR="005F78FC" w:rsidRDefault="00B42EF3">
            <w:pPr>
              <w:pStyle w:val="TableBodyText"/>
            </w:pPr>
            <w:r>
              <w:t>Office expects the value corresponding to this parameter identifier to be in the range defined by simple type ST_BendPoint.</w:t>
            </w:r>
          </w:p>
          <w:p w:rsidR="005F78FC" w:rsidRDefault="005F78FC">
            <w:pPr>
              <w:pStyle w:val="TableBodyText"/>
            </w:pPr>
          </w:p>
        </w:tc>
      </w:tr>
      <w:tr w:rsidR="005F78FC" w:rsidTr="005F78FC">
        <w:tc>
          <w:tcPr>
            <w:tcW w:w="0" w:type="auto"/>
            <w:vAlign w:val="center"/>
          </w:tcPr>
          <w:p w:rsidR="005F78FC" w:rsidRDefault="00B42EF3">
            <w:pPr>
              <w:pStyle w:val="TableBodyText"/>
            </w:pPr>
            <w:r>
              <w:rPr>
                <w:b/>
              </w:rPr>
              <w:t>bkPtFixedVal</w:t>
            </w:r>
            <w:r>
              <w:t xml:space="preserve"> (Breakpoint Fixed Value)</w:t>
            </w:r>
          </w:p>
        </w:tc>
        <w:tc>
          <w:tcPr>
            <w:tcW w:w="0" w:type="auto"/>
            <w:vAlign w:val="center"/>
          </w:tcPr>
          <w:p w:rsidR="005F78FC" w:rsidRDefault="00B42EF3">
            <w:pPr>
              <w:pStyle w:val="TableBodyText"/>
            </w:pPr>
            <w:r>
              <w:t xml:space="preserve">Office uses </w:t>
            </w:r>
            <w:r>
              <w:t>2 as a default value to correspond to this parameter identifier.</w:t>
            </w:r>
          </w:p>
          <w:p w:rsidR="005F78FC" w:rsidRDefault="005F78FC">
            <w:pPr>
              <w:pStyle w:val="TableBodyText"/>
            </w:pPr>
          </w:p>
          <w:p w:rsidR="005F78FC" w:rsidRDefault="00B42EF3">
            <w:pPr>
              <w:pStyle w:val="TableBodyText"/>
            </w:pPr>
            <w:r>
              <w:t>Office expects the value corresponding to this parameter identifier to be of type integer in the range [1, 32766].</w:t>
            </w:r>
          </w:p>
          <w:p w:rsidR="005F78FC" w:rsidRDefault="005F78FC">
            <w:pPr>
              <w:pStyle w:val="TableBodyText"/>
            </w:pPr>
          </w:p>
        </w:tc>
      </w:tr>
      <w:tr w:rsidR="005F78FC" w:rsidTr="005F78FC">
        <w:tc>
          <w:tcPr>
            <w:tcW w:w="0" w:type="auto"/>
            <w:vAlign w:val="center"/>
          </w:tcPr>
          <w:p w:rsidR="005F78FC" w:rsidRDefault="00B42EF3">
            <w:pPr>
              <w:pStyle w:val="TableBodyText"/>
            </w:pPr>
            <w:r>
              <w:rPr>
                <w:b/>
              </w:rPr>
              <w:t>bkpt</w:t>
            </w:r>
            <w:r>
              <w:t xml:space="preserve"> (Breakpoint)</w:t>
            </w:r>
          </w:p>
        </w:tc>
        <w:tc>
          <w:tcPr>
            <w:tcW w:w="0" w:type="auto"/>
            <w:vAlign w:val="center"/>
          </w:tcPr>
          <w:p w:rsidR="005F78FC" w:rsidRDefault="00B42EF3">
            <w:pPr>
              <w:pStyle w:val="TableBodyText"/>
            </w:pPr>
            <w:r>
              <w:t xml:space="preserve">Office uses endCnv as a default value to correspond to </w:t>
            </w:r>
            <w:r>
              <w:t>this parameter identifier.</w:t>
            </w:r>
          </w:p>
          <w:p w:rsidR="005F78FC" w:rsidRDefault="005F78FC">
            <w:pPr>
              <w:pStyle w:val="TableBodyText"/>
            </w:pPr>
          </w:p>
          <w:p w:rsidR="005F78FC" w:rsidRDefault="00B42EF3">
            <w:pPr>
              <w:pStyle w:val="TableBodyText"/>
            </w:pPr>
            <w:r>
              <w:t>Office expects the value corresponding to this parameter identifier to be in the range defined by simple type ST_Breakpoint.</w:t>
            </w:r>
          </w:p>
          <w:p w:rsidR="005F78FC" w:rsidRDefault="005F78FC">
            <w:pPr>
              <w:pStyle w:val="TableBodyText"/>
            </w:pPr>
          </w:p>
        </w:tc>
      </w:tr>
      <w:tr w:rsidR="005F78FC" w:rsidTr="005F78FC">
        <w:tc>
          <w:tcPr>
            <w:tcW w:w="0" w:type="auto"/>
            <w:vAlign w:val="center"/>
          </w:tcPr>
          <w:p w:rsidR="005F78FC" w:rsidRDefault="00B42EF3">
            <w:pPr>
              <w:pStyle w:val="TableBodyText"/>
            </w:pPr>
            <w:r>
              <w:rPr>
                <w:b/>
              </w:rPr>
              <w:t>chAlign</w:t>
            </w:r>
            <w:r>
              <w:t xml:space="preserve"> (Child Alignment)</w:t>
            </w:r>
          </w:p>
        </w:tc>
        <w:tc>
          <w:tcPr>
            <w:tcW w:w="0" w:type="auto"/>
            <w:vAlign w:val="center"/>
          </w:tcPr>
          <w:p w:rsidR="005F78FC" w:rsidRDefault="00B42EF3">
            <w:pPr>
              <w:pStyle w:val="TableBodyText"/>
            </w:pPr>
            <w:r>
              <w:t>Office uses l as a default value to correspond to this parameter identifier</w:t>
            </w:r>
            <w:r>
              <w:t>.</w:t>
            </w:r>
          </w:p>
          <w:p w:rsidR="005F78FC" w:rsidRDefault="005F78FC">
            <w:pPr>
              <w:pStyle w:val="TableBodyText"/>
            </w:pPr>
          </w:p>
          <w:p w:rsidR="005F78FC" w:rsidRDefault="00B42EF3">
            <w:pPr>
              <w:pStyle w:val="TableBodyText"/>
            </w:pPr>
            <w:r>
              <w:t>Office expects the value corresponding to this parameter identifier to be in the range defined by simple type ST_ChildAlignment.</w:t>
            </w:r>
          </w:p>
          <w:p w:rsidR="005F78FC" w:rsidRDefault="005F78FC">
            <w:pPr>
              <w:pStyle w:val="TableBodyText"/>
            </w:pPr>
          </w:p>
        </w:tc>
      </w:tr>
      <w:tr w:rsidR="005F78FC" w:rsidTr="005F78FC">
        <w:tc>
          <w:tcPr>
            <w:tcW w:w="0" w:type="auto"/>
            <w:vAlign w:val="center"/>
          </w:tcPr>
          <w:p w:rsidR="005F78FC" w:rsidRDefault="00B42EF3">
            <w:pPr>
              <w:pStyle w:val="TableBodyText"/>
            </w:pPr>
            <w:r>
              <w:rPr>
                <w:b/>
              </w:rPr>
              <w:t>chDir</w:t>
            </w:r>
            <w:r>
              <w:t xml:space="preserve"> (Child Direction)</w:t>
            </w:r>
          </w:p>
        </w:tc>
        <w:tc>
          <w:tcPr>
            <w:tcW w:w="0" w:type="auto"/>
            <w:vAlign w:val="center"/>
          </w:tcPr>
          <w:p w:rsidR="005F78FC" w:rsidRDefault="00B42EF3">
            <w:pPr>
              <w:pStyle w:val="TableBodyText"/>
            </w:pPr>
            <w:r>
              <w:t>Office uses horz as a default value to correspond to this parameter identifier.</w:t>
            </w:r>
          </w:p>
          <w:p w:rsidR="005F78FC" w:rsidRDefault="005F78FC">
            <w:pPr>
              <w:pStyle w:val="TableBodyText"/>
            </w:pPr>
          </w:p>
          <w:p w:rsidR="005F78FC" w:rsidRDefault="00B42EF3">
            <w:pPr>
              <w:pStyle w:val="TableBodyText"/>
            </w:pPr>
            <w:r>
              <w:t xml:space="preserve">Office expects </w:t>
            </w:r>
            <w:r>
              <w:t>the value corresponding to this parameter identifier to be in the range defined by simple type ST_ChildDirection.</w:t>
            </w:r>
          </w:p>
          <w:p w:rsidR="005F78FC" w:rsidRDefault="005F78FC">
            <w:pPr>
              <w:pStyle w:val="TableBodyText"/>
            </w:pPr>
          </w:p>
        </w:tc>
      </w:tr>
      <w:tr w:rsidR="005F78FC" w:rsidTr="005F78FC">
        <w:tc>
          <w:tcPr>
            <w:tcW w:w="0" w:type="auto"/>
            <w:vAlign w:val="center"/>
          </w:tcPr>
          <w:p w:rsidR="005F78FC" w:rsidRDefault="00B42EF3">
            <w:pPr>
              <w:pStyle w:val="TableBodyText"/>
            </w:pPr>
            <w:r>
              <w:rPr>
                <w:b/>
              </w:rPr>
              <w:lastRenderedPageBreak/>
              <w:t>connRout</w:t>
            </w:r>
            <w:r>
              <w:t xml:space="preserve"> (Connection Route)</w:t>
            </w:r>
          </w:p>
        </w:tc>
        <w:tc>
          <w:tcPr>
            <w:tcW w:w="0" w:type="auto"/>
            <w:vAlign w:val="center"/>
          </w:tcPr>
          <w:p w:rsidR="005F78FC" w:rsidRDefault="00B42EF3">
            <w:pPr>
              <w:pStyle w:val="TableBodyText"/>
            </w:pPr>
            <w:r>
              <w:t>Office uses stra as a default value to correspond to this parameter identifier.</w:t>
            </w:r>
          </w:p>
          <w:p w:rsidR="005F78FC" w:rsidRDefault="005F78FC">
            <w:pPr>
              <w:pStyle w:val="TableBodyText"/>
            </w:pPr>
          </w:p>
          <w:p w:rsidR="005F78FC" w:rsidRDefault="00B42EF3">
            <w:pPr>
              <w:pStyle w:val="TableBodyText"/>
            </w:pPr>
            <w:r>
              <w:t>Office expects the value corres</w:t>
            </w:r>
            <w:r>
              <w:t>ponding to this parameter identifier to be in the range defined by simple type ST_ConnectorRouting.</w:t>
            </w:r>
          </w:p>
          <w:p w:rsidR="005F78FC" w:rsidRDefault="005F78FC">
            <w:pPr>
              <w:pStyle w:val="TableBodyText"/>
            </w:pPr>
          </w:p>
        </w:tc>
      </w:tr>
      <w:tr w:rsidR="005F78FC" w:rsidTr="005F78FC">
        <w:tc>
          <w:tcPr>
            <w:tcW w:w="0" w:type="auto"/>
            <w:vAlign w:val="center"/>
          </w:tcPr>
          <w:p w:rsidR="005F78FC" w:rsidRDefault="00B42EF3">
            <w:pPr>
              <w:pStyle w:val="TableBodyText"/>
            </w:pPr>
            <w:r>
              <w:rPr>
                <w:b/>
              </w:rPr>
              <w:t>contDir</w:t>
            </w:r>
            <w:r>
              <w:t xml:space="preserve"> (Continue Direction)</w:t>
            </w:r>
          </w:p>
        </w:tc>
        <w:tc>
          <w:tcPr>
            <w:tcW w:w="0" w:type="auto"/>
            <w:vAlign w:val="center"/>
          </w:tcPr>
          <w:p w:rsidR="005F78FC" w:rsidRDefault="00B42EF3">
            <w:pPr>
              <w:pStyle w:val="TableBodyText"/>
            </w:pPr>
            <w:r>
              <w:t>Office uses sameDir as a default value to correspond to this parameter identifier.</w:t>
            </w:r>
          </w:p>
          <w:p w:rsidR="005F78FC" w:rsidRDefault="005F78FC">
            <w:pPr>
              <w:pStyle w:val="TableBodyText"/>
            </w:pPr>
          </w:p>
          <w:p w:rsidR="005F78FC" w:rsidRDefault="00B42EF3">
            <w:pPr>
              <w:pStyle w:val="TableBodyText"/>
            </w:pPr>
            <w:r>
              <w:t>Office expects the value corresponding to</w:t>
            </w:r>
            <w:r>
              <w:t xml:space="preserve"> this parameter identifier to be in the range defined by simple type ST_ContinueDirection.</w:t>
            </w:r>
          </w:p>
          <w:p w:rsidR="005F78FC" w:rsidRDefault="005F78FC">
            <w:pPr>
              <w:pStyle w:val="TableBodyText"/>
            </w:pPr>
          </w:p>
        </w:tc>
      </w:tr>
      <w:tr w:rsidR="005F78FC" w:rsidTr="005F78FC">
        <w:tc>
          <w:tcPr>
            <w:tcW w:w="0" w:type="auto"/>
            <w:vAlign w:val="center"/>
          </w:tcPr>
          <w:p w:rsidR="005F78FC" w:rsidRDefault="00B42EF3">
            <w:pPr>
              <w:pStyle w:val="TableBodyText"/>
            </w:pPr>
            <w:r>
              <w:rPr>
                <w:b/>
              </w:rPr>
              <w:t>ctrShpMap</w:t>
            </w:r>
            <w:r>
              <w:t xml:space="preserve"> (Center Shape Mapping)</w:t>
            </w:r>
          </w:p>
        </w:tc>
        <w:tc>
          <w:tcPr>
            <w:tcW w:w="0" w:type="auto"/>
            <w:vAlign w:val="center"/>
          </w:tcPr>
          <w:p w:rsidR="005F78FC" w:rsidRDefault="00B42EF3">
            <w:pPr>
              <w:pStyle w:val="TableBodyText"/>
            </w:pPr>
            <w:r>
              <w:t>Office uses none as a default value to correspond to this parameter identifier.</w:t>
            </w:r>
          </w:p>
          <w:p w:rsidR="005F78FC" w:rsidRDefault="005F78FC">
            <w:pPr>
              <w:pStyle w:val="TableBodyText"/>
            </w:pPr>
          </w:p>
          <w:p w:rsidR="005F78FC" w:rsidRDefault="00B42EF3">
            <w:pPr>
              <w:pStyle w:val="TableBodyText"/>
            </w:pPr>
            <w:r>
              <w:t>Office expects the value corresponding to this pa</w:t>
            </w:r>
            <w:r>
              <w:t>rameter identifier to be in the range defined by simple type ST_CenterShapeMapping.</w:t>
            </w:r>
          </w:p>
          <w:p w:rsidR="005F78FC" w:rsidRDefault="005F78FC">
            <w:pPr>
              <w:pStyle w:val="TableBodyText"/>
            </w:pPr>
          </w:p>
        </w:tc>
      </w:tr>
      <w:tr w:rsidR="005F78FC" w:rsidTr="005F78FC">
        <w:tc>
          <w:tcPr>
            <w:tcW w:w="0" w:type="auto"/>
            <w:vAlign w:val="center"/>
          </w:tcPr>
          <w:p w:rsidR="005F78FC" w:rsidRDefault="00B42EF3">
            <w:pPr>
              <w:pStyle w:val="TableBodyText"/>
            </w:pPr>
            <w:r>
              <w:rPr>
                <w:b/>
              </w:rPr>
              <w:t>dim</w:t>
            </w:r>
            <w:r>
              <w:t xml:space="preserve"> (Connector Dimension)</w:t>
            </w:r>
          </w:p>
        </w:tc>
        <w:tc>
          <w:tcPr>
            <w:tcW w:w="0" w:type="auto"/>
            <w:vAlign w:val="center"/>
          </w:tcPr>
          <w:p w:rsidR="005F78FC" w:rsidRDefault="00B42EF3">
            <w:pPr>
              <w:pStyle w:val="TableBodyText"/>
            </w:pPr>
            <w:r>
              <w:t>Office uses 2D as a default value to correspond to this parameter identifier.</w:t>
            </w:r>
          </w:p>
          <w:p w:rsidR="005F78FC" w:rsidRDefault="005F78FC">
            <w:pPr>
              <w:pStyle w:val="TableBodyText"/>
            </w:pPr>
          </w:p>
          <w:p w:rsidR="005F78FC" w:rsidRDefault="00B42EF3">
            <w:pPr>
              <w:pStyle w:val="TableBodyText"/>
            </w:pPr>
            <w:r>
              <w:t xml:space="preserve">Office expects the value corresponding to this parameter </w:t>
            </w:r>
            <w:r>
              <w:t>identifier to be in the range defined by simple type ST_ConnectorDimension.</w:t>
            </w:r>
          </w:p>
          <w:p w:rsidR="005F78FC" w:rsidRDefault="005F78FC">
            <w:pPr>
              <w:pStyle w:val="TableBodyText"/>
            </w:pPr>
          </w:p>
        </w:tc>
      </w:tr>
      <w:tr w:rsidR="005F78FC" w:rsidTr="005F78FC">
        <w:tc>
          <w:tcPr>
            <w:tcW w:w="0" w:type="auto"/>
            <w:vAlign w:val="center"/>
          </w:tcPr>
          <w:p w:rsidR="005F78FC" w:rsidRDefault="00B42EF3">
            <w:pPr>
              <w:pStyle w:val="TableBodyText"/>
            </w:pPr>
            <w:r>
              <w:rPr>
                <w:b/>
              </w:rPr>
              <w:t>dstNode</w:t>
            </w:r>
            <w:r>
              <w:t xml:space="preserve"> (Destination Node)</w:t>
            </w:r>
          </w:p>
        </w:tc>
        <w:tc>
          <w:tcPr>
            <w:tcW w:w="0" w:type="auto"/>
            <w:vAlign w:val="center"/>
          </w:tcPr>
          <w:p w:rsidR="005F78FC" w:rsidRDefault="00B42EF3">
            <w:pPr>
              <w:pStyle w:val="TableBodyText"/>
            </w:pPr>
            <w:r>
              <w:t>Office expects the value corresponding to this parameter identifier to be in the range defined by the XML schema string data type.</w:t>
            </w:r>
          </w:p>
          <w:p w:rsidR="005F78FC" w:rsidRDefault="005F78FC">
            <w:pPr>
              <w:pStyle w:val="TableBodyText"/>
            </w:pPr>
          </w:p>
        </w:tc>
      </w:tr>
      <w:tr w:rsidR="005F78FC" w:rsidTr="005F78FC">
        <w:tc>
          <w:tcPr>
            <w:tcW w:w="0" w:type="auto"/>
            <w:vAlign w:val="center"/>
          </w:tcPr>
          <w:p w:rsidR="005F78FC" w:rsidRDefault="00B42EF3">
            <w:pPr>
              <w:pStyle w:val="TableBodyText"/>
            </w:pPr>
            <w:r>
              <w:rPr>
                <w:b/>
              </w:rPr>
              <w:t>endPts</w:t>
            </w:r>
            <w:r>
              <w:t xml:space="preserve"> (End Points</w:t>
            </w:r>
            <w:r>
              <w:t>)</w:t>
            </w:r>
          </w:p>
        </w:tc>
        <w:tc>
          <w:tcPr>
            <w:tcW w:w="0" w:type="auto"/>
            <w:vAlign w:val="center"/>
          </w:tcPr>
          <w:p w:rsidR="005F78FC" w:rsidRDefault="00B42EF3">
            <w:pPr>
              <w:pStyle w:val="TableBodyText"/>
            </w:pPr>
            <w:r>
              <w:t>Office expects the value corresponding to this parameter identifier to be in the range defined by the XML schema string data type.</w:t>
            </w:r>
          </w:p>
          <w:p w:rsidR="005F78FC" w:rsidRDefault="005F78FC">
            <w:pPr>
              <w:pStyle w:val="TableBodyText"/>
            </w:pPr>
          </w:p>
        </w:tc>
      </w:tr>
      <w:tr w:rsidR="005F78FC" w:rsidTr="005F78FC">
        <w:tc>
          <w:tcPr>
            <w:tcW w:w="0" w:type="auto"/>
            <w:vAlign w:val="center"/>
          </w:tcPr>
          <w:p w:rsidR="005F78FC" w:rsidRDefault="00B42EF3">
            <w:pPr>
              <w:pStyle w:val="TableBodyText"/>
            </w:pPr>
            <w:r>
              <w:rPr>
                <w:b/>
              </w:rPr>
              <w:t>endSty</w:t>
            </w:r>
            <w:r>
              <w:t xml:space="preserve"> (End Style)</w:t>
            </w:r>
          </w:p>
        </w:tc>
        <w:tc>
          <w:tcPr>
            <w:tcW w:w="0" w:type="auto"/>
            <w:vAlign w:val="center"/>
          </w:tcPr>
          <w:p w:rsidR="005F78FC" w:rsidRDefault="00B42EF3">
            <w:pPr>
              <w:pStyle w:val="TableBodyText"/>
            </w:pPr>
            <w:r>
              <w:t>Office uses arr as a default value to correspond to this parameter identifier.</w:t>
            </w:r>
          </w:p>
          <w:p w:rsidR="005F78FC" w:rsidRDefault="005F78FC">
            <w:pPr>
              <w:pStyle w:val="TableBodyText"/>
            </w:pPr>
          </w:p>
          <w:p w:rsidR="005F78FC" w:rsidRDefault="00B42EF3">
            <w:pPr>
              <w:pStyle w:val="TableBodyText"/>
            </w:pPr>
            <w:r>
              <w:t>Office expects the val</w:t>
            </w:r>
            <w:r>
              <w:t>ue corresponding to this parameter identifier to be in the range defined by simple type ST_ArrowheadStyle.</w:t>
            </w:r>
          </w:p>
          <w:p w:rsidR="005F78FC" w:rsidRDefault="005F78FC">
            <w:pPr>
              <w:pStyle w:val="TableBodyText"/>
            </w:pPr>
          </w:p>
        </w:tc>
      </w:tr>
      <w:tr w:rsidR="005F78FC" w:rsidTr="005F78FC">
        <w:tc>
          <w:tcPr>
            <w:tcW w:w="0" w:type="auto"/>
            <w:vAlign w:val="center"/>
          </w:tcPr>
          <w:p w:rsidR="005F78FC" w:rsidRDefault="00B42EF3">
            <w:pPr>
              <w:pStyle w:val="TableBodyText"/>
            </w:pPr>
            <w:r>
              <w:rPr>
                <w:b/>
              </w:rPr>
              <w:t>fallback</w:t>
            </w:r>
            <w:r>
              <w:t xml:space="preserve"> (Fallback Scale)</w:t>
            </w:r>
          </w:p>
        </w:tc>
        <w:tc>
          <w:tcPr>
            <w:tcW w:w="0" w:type="auto"/>
            <w:vAlign w:val="center"/>
          </w:tcPr>
          <w:p w:rsidR="005F78FC" w:rsidRDefault="00B42EF3">
            <w:pPr>
              <w:pStyle w:val="TableBodyText"/>
            </w:pPr>
            <w:r>
              <w:t>Office uses 1D as a default value to correspond to this parameter identifier.</w:t>
            </w:r>
          </w:p>
          <w:p w:rsidR="005F78FC" w:rsidRDefault="005F78FC">
            <w:pPr>
              <w:pStyle w:val="TableBodyText"/>
            </w:pPr>
          </w:p>
          <w:p w:rsidR="005F78FC" w:rsidRDefault="00B42EF3">
            <w:pPr>
              <w:pStyle w:val="TableBodyText"/>
            </w:pPr>
            <w:r>
              <w:t xml:space="preserve">Office expects the value corresponding to </w:t>
            </w:r>
            <w:r>
              <w:t>this parameter identifier to be in the range defined by simple type ST_FallbackDimension.</w:t>
            </w:r>
          </w:p>
          <w:p w:rsidR="005F78FC" w:rsidRDefault="005F78FC">
            <w:pPr>
              <w:pStyle w:val="TableBodyText"/>
            </w:pPr>
          </w:p>
        </w:tc>
      </w:tr>
      <w:tr w:rsidR="005F78FC" w:rsidTr="005F78FC">
        <w:tc>
          <w:tcPr>
            <w:tcW w:w="0" w:type="auto"/>
            <w:vAlign w:val="center"/>
          </w:tcPr>
          <w:p w:rsidR="005F78FC" w:rsidRDefault="00B42EF3">
            <w:pPr>
              <w:pStyle w:val="TableBodyText"/>
            </w:pPr>
            <w:r>
              <w:rPr>
                <w:b/>
              </w:rPr>
              <w:t>flowDir</w:t>
            </w:r>
            <w:r>
              <w:t xml:space="preserve"> (Flow Direction)</w:t>
            </w:r>
          </w:p>
        </w:tc>
        <w:tc>
          <w:tcPr>
            <w:tcW w:w="0" w:type="auto"/>
            <w:vAlign w:val="center"/>
          </w:tcPr>
          <w:p w:rsidR="005F78FC" w:rsidRDefault="00B42EF3">
            <w:pPr>
              <w:pStyle w:val="TableBodyText"/>
            </w:pPr>
            <w:r>
              <w:t xml:space="preserve">Office uses row as a default value to correspond to this parameter </w:t>
            </w:r>
            <w:r>
              <w:lastRenderedPageBreak/>
              <w:t>identifier.</w:t>
            </w:r>
          </w:p>
          <w:p w:rsidR="005F78FC" w:rsidRDefault="005F78FC">
            <w:pPr>
              <w:pStyle w:val="TableBodyText"/>
            </w:pPr>
          </w:p>
          <w:p w:rsidR="005F78FC" w:rsidRDefault="00B42EF3">
            <w:pPr>
              <w:pStyle w:val="TableBodyText"/>
            </w:pPr>
            <w:r>
              <w:t xml:space="preserve">Office expects the value corresponding to this parameter </w:t>
            </w:r>
            <w:r>
              <w:t>identifier to be in the range defined by simple type ST_FlowDirection.</w:t>
            </w:r>
          </w:p>
          <w:p w:rsidR="005F78FC" w:rsidRDefault="005F78FC">
            <w:pPr>
              <w:pStyle w:val="TableBodyText"/>
            </w:pPr>
          </w:p>
        </w:tc>
      </w:tr>
      <w:tr w:rsidR="005F78FC" w:rsidTr="005F78FC">
        <w:tc>
          <w:tcPr>
            <w:tcW w:w="0" w:type="auto"/>
            <w:vAlign w:val="center"/>
          </w:tcPr>
          <w:p w:rsidR="005F78FC" w:rsidRDefault="00B42EF3">
            <w:pPr>
              <w:pStyle w:val="TableBodyText"/>
            </w:pPr>
            <w:r>
              <w:rPr>
                <w:b/>
              </w:rPr>
              <w:lastRenderedPageBreak/>
              <w:t>grDir</w:t>
            </w:r>
            <w:r>
              <w:t xml:space="preserve"> (Grow Direction)</w:t>
            </w:r>
          </w:p>
        </w:tc>
        <w:tc>
          <w:tcPr>
            <w:tcW w:w="0" w:type="auto"/>
            <w:vAlign w:val="center"/>
          </w:tcPr>
          <w:p w:rsidR="005F78FC" w:rsidRDefault="00B42EF3">
            <w:pPr>
              <w:pStyle w:val="TableBodyText"/>
            </w:pPr>
            <w:r>
              <w:t>Office uses tL as a default value to correspond to this parameter identifier.</w:t>
            </w:r>
          </w:p>
          <w:p w:rsidR="005F78FC" w:rsidRDefault="005F78FC">
            <w:pPr>
              <w:pStyle w:val="TableBodyText"/>
            </w:pPr>
          </w:p>
          <w:p w:rsidR="005F78FC" w:rsidRDefault="00B42EF3">
            <w:pPr>
              <w:pStyle w:val="TableBodyText"/>
            </w:pPr>
            <w:r>
              <w:t xml:space="preserve">Office expects the value corresponding to this parameter identifier to be in the </w:t>
            </w:r>
            <w:r>
              <w:t>range defined by simple type ST_GrowDirection.</w:t>
            </w:r>
          </w:p>
          <w:p w:rsidR="005F78FC" w:rsidRDefault="005F78FC">
            <w:pPr>
              <w:pStyle w:val="TableBodyText"/>
            </w:pPr>
          </w:p>
        </w:tc>
      </w:tr>
      <w:tr w:rsidR="005F78FC" w:rsidTr="005F78FC">
        <w:tc>
          <w:tcPr>
            <w:tcW w:w="0" w:type="auto"/>
            <w:vAlign w:val="center"/>
          </w:tcPr>
          <w:p w:rsidR="005F78FC" w:rsidRDefault="00B42EF3">
            <w:pPr>
              <w:pStyle w:val="TableBodyText"/>
            </w:pPr>
            <w:r>
              <w:rPr>
                <w:b/>
              </w:rPr>
              <w:t>hierAlign</w:t>
            </w:r>
            <w:r>
              <w:t xml:space="preserve"> (Hierarchy Alignment)</w:t>
            </w:r>
          </w:p>
        </w:tc>
        <w:tc>
          <w:tcPr>
            <w:tcW w:w="0" w:type="auto"/>
            <w:vAlign w:val="center"/>
          </w:tcPr>
          <w:p w:rsidR="005F78FC" w:rsidRDefault="00B42EF3">
            <w:pPr>
              <w:pStyle w:val="TableBodyText"/>
            </w:pPr>
            <w:r>
              <w:t>Office uses tCtrCh as a default value to correspond to this parameter identifier.</w:t>
            </w:r>
          </w:p>
          <w:p w:rsidR="005F78FC" w:rsidRDefault="005F78FC">
            <w:pPr>
              <w:pStyle w:val="TableBodyText"/>
            </w:pPr>
          </w:p>
          <w:p w:rsidR="005F78FC" w:rsidRDefault="00B42EF3">
            <w:pPr>
              <w:pStyle w:val="TableBodyText"/>
            </w:pPr>
            <w:r>
              <w:t>Office expects the value corresponding to this parameter identifier to be in the range defin</w:t>
            </w:r>
            <w:r>
              <w:t>ed by simple type ST_HierarchyAlignment.</w:t>
            </w:r>
          </w:p>
          <w:p w:rsidR="005F78FC" w:rsidRDefault="005F78FC">
            <w:pPr>
              <w:pStyle w:val="TableBodyText"/>
            </w:pPr>
          </w:p>
        </w:tc>
      </w:tr>
      <w:tr w:rsidR="005F78FC" w:rsidTr="005F78FC">
        <w:tc>
          <w:tcPr>
            <w:tcW w:w="0" w:type="auto"/>
            <w:vAlign w:val="center"/>
          </w:tcPr>
          <w:p w:rsidR="005F78FC" w:rsidRDefault="00B42EF3">
            <w:pPr>
              <w:pStyle w:val="TableBodyText"/>
            </w:pPr>
            <w:r>
              <w:rPr>
                <w:b/>
              </w:rPr>
              <w:t>horzAlign</w:t>
            </w:r>
            <w:r>
              <w:t xml:space="preserve"> (Horizontal Alignment)</w:t>
            </w:r>
          </w:p>
        </w:tc>
        <w:tc>
          <w:tcPr>
            <w:tcW w:w="0" w:type="auto"/>
            <w:vAlign w:val="center"/>
          </w:tcPr>
          <w:p w:rsidR="005F78FC" w:rsidRDefault="00B42EF3">
            <w:pPr>
              <w:pStyle w:val="TableBodyText"/>
            </w:pPr>
            <w:r>
              <w:t>Office uses ctr as a default value to correspond to this parameter identifier.</w:t>
            </w:r>
          </w:p>
          <w:p w:rsidR="005F78FC" w:rsidRDefault="005F78FC">
            <w:pPr>
              <w:pStyle w:val="TableBodyText"/>
            </w:pPr>
          </w:p>
          <w:p w:rsidR="005F78FC" w:rsidRDefault="00B42EF3">
            <w:pPr>
              <w:pStyle w:val="TableBodyText"/>
            </w:pPr>
            <w:r>
              <w:t>Office expects the value corresponding to this parameter identifier to be in the range defined by si</w:t>
            </w:r>
            <w:r>
              <w:t>mple type ST_HorizontalAlignment.</w:t>
            </w:r>
          </w:p>
          <w:p w:rsidR="005F78FC" w:rsidRDefault="005F78FC">
            <w:pPr>
              <w:pStyle w:val="TableBodyText"/>
            </w:pPr>
          </w:p>
        </w:tc>
      </w:tr>
      <w:tr w:rsidR="005F78FC" w:rsidTr="005F78FC">
        <w:tc>
          <w:tcPr>
            <w:tcW w:w="0" w:type="auto"/>
            <w:vAlign w:val="center"/>
          </w:tcPr>
          <w:p w:rsidR="005F78FC" w:rsidRDefault="00B42EF3">
            <w:pPr>
              <w:pStyle w:val="TableBodyText"/>
            </w:pPr>
            <w:r>
              <w:rPr>
                <w:b/>
              </w:rPr>
              <w:t>linDir</w:t>
            </w:r>
            <w:r>
              <w:t xml:space="preserve"> (Linear Direction)</w:t>
            </w:r>
          </w:p>
        </w:tc>
        <w:tc>
          <w:tcPr>
            <w:tcW w:w="0" w:type="auto"/>
            <w:vAlign w:val="center"/>
          </w:tcPr>
          <w:p w:rsidR="005F78FC" w:rsidRDefault="00B42EF3">
            <w:pPr>
              <w:pStyle w:val="TableBodyText"/>
            </w:pPr>
            <w:r>
              <w:t>Office uses fromL as a default value to correspond to this parameter identifier.</w:t>
            </w:r>
          </w:p>
          <w:p w:rsidR="005F78FC" w:rsidRDefault="005F78FC">
            <w:pPr>
              <w:pStyle w:val="TableBodyText"/>
            </w:pPr>
          </w:p>
          <w:p w:rsidR="005F78FC" w:rsidRDefault="00B42EF3">
            <w:pPr>
              <w:pStyle w:val="TableBodyText"/>
            </w:pPr>
            <w:r>
              <w:t xml:space="preserve">Office expects the value corresponding to this parameter identifier to be in the range defined by simple type </w:t>
            </w:r>
            <w:r>
              <w:t>ST_LinearDirection.</w:t>
            </w:r>
          </w:p>
          <w:p w:rsidR="005F78FC" w:rsidRDefault="005F78FC">
            <w:pPr>
              <w:pStyle w:val="TableBodyText"/>
            </w:pPr>
          </w:p>
        </w:tc>
      </w:tr>
      <w:tr w:rsidR="005F78FC" w:rsidTr="005F78FC">
        <w:tc>
          <w:tcPr>
            <w:tcW w:w="0" w:type="auto"/>
            <w:vAlign w:val="center"/>
          </w:tcPr>
          <w:p w:rsidR="005F78FC" w:rsidRDefault="00B42EF3">
            <w:pPr>
              <w:pStyle w:val="TableBodyText"/>
            </w:pPr>
            <w:r>
              <w:rPr>
                <w:b/>
              </w:rPr>
              <w:t>lnSpAfChP</w:t>
            </w:r>
            <w:r>
              <w:t xml:space="preserve"> (Line Spacing After Children Paragraph)</w:t>
            </w:r>
          </w:p>
        </w:tc>
        <w:tc>
          <w:tcPr>
            <w:tcW w:w="0" w:type="auto"/>
            <w:vAlign w:val="center"/>
          </w:tcPr>
          <w:p w:rsidR="005F78FC" w:rsidRDefault="00B42EF3">
            <w:pPr>
              <w:pStyle w:val="TableBodyText"/>
            </w:pPr>
            <w:r>
              <w:t>Office uses 15 as a default value to correspond to this parameter identifier.</w:t>
            </w:r>
          </w:p>
          <w:p w:rsidR="005F78FC" w:rsidRDefault="005F78FC">
            <w:pPr>
              <w:pStyle w:val="TableBodyText"/>
            </w:pPr>
          </w:p>
          <w:p w:rsidR="005F78FC" w:rsidRDefault="00B42EF3">
            <w:pPr>
              <w:pStyle w:val="TableBodyText"/>
            </w:pPr>
            <w:r>
              <w:t>Office expects the value corresponding to this parameter identifier to be of type XML schema double in th</w:t>
            </w:r>
            <w:r>
              <w:t>e range [0, 1000].</w:t>
            </w:r>
          </w:p>
          <w:p w:rsidR="005F78FC" w:rsidRDefault="005F78FC">
            <w:pPr>
              <w:pStyle w:val="TableBodyText"/>
            </w:pPr>
          </w:p>
        </w:tc>
      </w:tr>
      <w:tr w:rsidR="005F78FC" w:rsidTr="005F78FC">
        <w:tc>
          <w:tcPr>
            <w:tcW w:w="0" w:type="auto"/>
            <w:vAlign w:val="center"/>
          </w:tcPr>
          <w:p w:rsidR="005F78FC" w:rsidRDefault="00B42EF3">
            <w:pPr>
              <w:pStyle w:val="TableBodyText"/>
            </w:pPr>
            <w:r>
              <w:rPr>
                <w:b/>
              </w:rPr>
              <w:t>lnSpAfParP</w:t>
            </w:r>
            <w:r>
              <w:t xml:space="preserve"> (Line Spacing After Parent Paragraph)</w:t>
            </w:r>
          </w:p>
        </w:tc>
        <w:tc>
          <w:tcPr>
            <w:tcW w:w="0" w:type="auto"/>
            <w:vAlign w:val="center"/>
          </w:tcPr>
          <w:p w:rsidR="005F78FC" w:rsidRDefault="00B42EF3">
            <w:pPr>
              <w:pStyle w:val="TableBodyText"/>
            </w:pPr>
            <w:r>
              <w:t>Office uses 35 as a default value to correspond to this parameter identifier.</w:t>
            </w:r>
          </w:p>
          <w:p w:rsidR="005F78FC" w:rsidRDefault="005F78FC">
            <w:pPr>
              <w:pStyle w:val="TableBodyText"/>
            </w:pPr>
          </w:p>
          <w:p w:rsidR="005F78FC" w:rsidRDefault="00B42EF3">
            <w:pPr>
              <w:pStyle w:val="TableBodyText"/>
            </w:pPr>
            <w:r>
              <w:t xml:space="preserve">Office expects the value corresponding to this parameter identifier to be of type XML schema double in the </w:t>
            </w:r>
            <w:r>
              <w:t>range [0, 1000].</w:t>
            </w:r>
          </w:p>
          <w:p w:rsidR="005F78FC" w:rsidRDefault="005F78FC">
            <w:pPr>
              <w:pStyle w:val="TableBodyText"/>
            </w:pPr>
          </w:p>
        </w:tc>
      </w:tr>
      <w:tr w:rsidR="005F78FC" w:rsidTr="005F78FC">
        <w:tc>
          <w:tcPr>
            <w:tcW w:w="0" w:type="auto"/>
            <w:vAlign w:val="center"/>
          </w:tcPr>
          <w:p w:rsidR="005F78FC" w:rsidRDefault="00B42EF3">
            <w:pPr>
              <w:pStyle w:val="TableBodyText"/>
            </w:pPr>
            <w:r>
              <w:rPr>
                <w:b/>
              </w:rPr>
              <w:t>lnSpCh</w:t>
            </w:r>
            <w:r>
              <w:t xml:space="preserve"> (Line Spacing Children)</w:t>
            </w:r>
          </w:p>
        </w:tc>
        <w:tc>
          <w:tcPr>
            <w:tcW w:w="0" w:type="auto"/>
            <w:vAlign w:val="center"/>
          </w:tcPr>
          <w:p w:rsidR="005F78FC" w:rsidRDefault="00B42EF3">
            <w:pPr>
              <w:pStyle w:val="TableBodyText"/>
            </w:pPr>
            <w:r>
              <w:t>Office uses 90 as a default value to correspond to this parameter identifier.</w:t>
            </w:r>
          </w:p>
          <w:p w:rsidR="005F78FC" w:rsidRDefault="005F78FC">
            <w:pPr>
              <w:pStyle w:val="TableBodyText"/>
            </w:pPr>
          </w:p>
          <w:p w:rsidR="005F78FC" w:rsidRDefault="00B42EF3">
            <w:pPr>
              <w:pStyle w:val="TableBodyText"/>
            </w:pPr>
            <w:r>
              <w:t>Office expects the value corresponding to this parameter identifier to be of type XML schema double in the range [0, 1000].</w:t>
            </w:r>
          </w:p>
          <w:p w:rsidR="005F78FC" w:rsidRDefault="005F78FC">
            <w:pPr>
              <w:pStyle w:val="TableBodyText"/>
            </w:pPr>
          </w:p>
        </w:tc>
      </w:tr>
      <w:tr w:rsidR="005F78FC" w:rsidTr="005F78FC">
        <w:tc>
          <w:tcPr>
            <w:tcW w:w="0" w:type="auto"/>
            <w:vAlign w:val="center"/>
          </w:tcPr>
          <w:p w:rsidR="005F78FC" w:rsidRDefault="00B42EF3">
            <w:pPr>
              <w:pStyle w:val="TableBodyText"/>
            </w:pPr>
            <w:r>
              <w:rPr>
                <w:b/>
              </w:rPr>
              <w:t>lnSpPar</w:t>
            </w:r>
            <w:r>
              <w:t xml:space="preserve"> (Line Spacing Parent)</w:t>
            </w:r>
          </w:p>
        </w:tc>
        <w:tc>
          <w:tcPr>
            <w:tcW w:w="0" w:type="auto"/>
            <w:vAlign w:val="center"/>
          </w:tcPr>
          <w:p w:rsidR="005F78FC" w:rsidRDefault="00B42EF3">
            <w:pPr>
              <w:pStyle w:val="TableBodyText"/>
            </w:pPr>
            <w:r>
              <w:t>Office uses 90 as a default value to correspond to this parameter identifier.</w:t>
            </w:r>
          </w:p>
          <w:p w:rsidR="005F78FC" w:rsidRDefault="005F78FC">
            <w:pPr>
              <w:pStyle w:val="TableBodyText"/>
            </w:pPr>
          </w:p>
          <w:p w:rsidR="005F78FC" w:rsidRDefault="00B42EF3">
            <w:pPr>
              <w:pStyle w:val="TableBodyText"/>
            </w:pPr>
            <w:r>
              <w:t>Office expects the value corresponding to this parameter identifier to be of type XML schema double in the range [0, 1000].</w:t>
            </w:r>
          </w:p>
          <w:p w:rsidR="005F78FC" w:rsidRDefault="005F78FC">
            <w:pPr>
              <w:pStyle w:val="TableBodyText"/>
            </w:pPr>
          </w:p>
        </w:tc>
      </w:tr>
      <w:tr w:rsidR="005F78FC" w:rsidTr="005F78FC">
        <w:tc>
          <w:tcPr>
            <w:tcW w:w="0" w:type="auto"/>
            <w:vAlign w:val="center"/>
          </w:tcPr>
          <w:p w:rsidR="005F78FC" w:rsidRDefault="00B42EF3">
            <w:pPr>
              <w:pStyle w:val="TableBodyText"/>
            </w:pPr>
            <w:r>
              <w:rPr>
                <w:b/>
              </w:rPr>
              <w:lastRenderedPageBreak/>
              <w:t>nodeHorzAlign</w:t>
            </w:r>
            <w:r>
              <w:t xml:space="preserve"> (Node H</w:t>
            </w:r>
            <w:r>
              <w:t>orizontal Alignment)</w:t>
            </w:r>
          </w:p>
        </w:tc>
        <w:tc>
          <w:tcPr>
            <w:tcW w:w="0" w:type="auto"/>
            <w:vAlign w:val="center"/>
          </w:tcPr>
          <w:p w:rsidR="005F78FC" w:rsidRDefault="00B42EF3">
            <w:pPr>
              <w:pStyle w:val="TableBodyText"/>
            </w:pPr>
            <w:r>
              <w:t>Office uses ctr as a default value to correspond to this parameter identifier.</w:t>
            </w:r>
          </w:p>
          <w:p w:rsidR="005F78FC" w:rsidRDefault="005F78FC">
            <w:pPr>
              <w:pStyle w:val="TableBodyText"/>
            </w:pPr>
          </w:p>
          <w:p w:rsidR="005F78FC" w:rsidRDefault="00B42EF3">
            <w:pPr>
              <w:pStyle w:val="TableBodyText"/>
            </w:pPr>
            <w:r>
              <w:t>Office expects the value corresponding to this parameter identifier to be in the range defined by simple type ST_NodeHorizontalAlignment.</w:t>
            </w:r>
          </w:p>
          <w:p w:rsidR="005F78FC" w:rsidRDefault="005F78FC">
            <w:pPr>
              <w:pStyle w:val="TableBodyText"/>
            </w:pPr>
          </w:p>
        </w:tc>
      </w:tr>
      <w:tr w:rsidR="005F78FC" w:rsidTr="005F78FC">
        <w:tc>
          <w:tcPr>
            <w:tcW w:w="0" w:type="auto"/>
            <w:vAlign w:val="center"/>
          </w:tcPr>
          <w:p w:rsidR="005F78FC" w:rsidRDefault="00B42EF3">
            <w:pPr>
              <w:pStyle w:val="TableBodyText"/>
            </w:pPr>
            <w:r>
              <w:rPr>
                <w:b/>
              </w:rPr>
              <w:t>nodeVertAlign</w:t>
            </w:r>
            <w:r>
              <w:t xml:space="preserve"> (</w:t>
            </w:r>
            <w:r>
              <w:t>Node Vertical Alignment)</w:t>
            </w:r>
          </w:p>
        </w:tc>
        <w:tc>
          <w:tcPr>
            <w:tcW w:w="0" w:type="auto"/>
            <w:vAlign w:val="center"/>
          </w:tcPr>
          <w:p w:rsidR="005F78FC" w:rsidRDefault="00B42EF3">
            <w:pPr>
              <w:pStyle w:val="TableBodyText"/>
            </w:pPr>
            <w:r>
              <w:t>Office uses mid as a default value to correspond to this parameter identifier.</w:t>
            </w:r>
          </w:p>
          <w:p w:rsidR="005F78FC" w:rsidRDefault="005F78FC">
            <w:pPr>
              <w:pStyle w:val="TableBodyText"/>
            </w:pPr>
          </w:p>
          <w:p w:rsidR="005F78FC" w:rsidRDefault="00B42EF3">
            <w:pPr>
              <w:pStyle w:val="TableBodyText"/>
            </w:pPr>
            <w:r>
              <w:t>Office expects the value corresponding to this parameter identifier to be in the range defined by simple type ST_NodeVerticalAlignment.</w:t>
            </w:r>
          </w:p>
          <w:p w:rsidR="005F78FC" w:rsidRDefault="005F78FC">
            <w:pPr>
              <w:pStyle w:val="TableBodyText"/>
            </w:pPr>
          </w:p>
        </w:tc>
      </w:tr>
      <w:tr w:rsidR="005F78FC" w:rsidTr="005F78FC">
        <w:tc>
          <w:tcPr>
            <w:tcW w:w="0" w:type="auto"/>
            <w:vAlign w:val="center"/>
          </w:tcPr>
          <w:p w:rsidR="005F78FC" w:rsidRDefault="00B42EF3">
            <w:pPr>
              <w:pStyle w:val="TableBodyText"/>
            </w:pPr>
            <w:r>
              <w:rPr>
                <w:b/>
              </w:rPr>
              <w:t>off</w:t>
            </w:r>
            <w:r>
              <w:t xml:space="preserve"> (Offset)</w:t>
            </w:r>
          </w:p>
        </w:tc>
        <w:tc>
          <w:tcPr>
            <w:tcW w:w="0" w:type="auto"/>
            <w:vAlign w:val="center"/>
          </w:tcPr>
          <w:p w:rsidR="005F78FC" w:rsidRDefault="00B42EF3">
            <w:pPr>
              <w:pStyle w:val="TableBodyText"/>
            </w:pPr>
            <w:r>
              <w:t>Office uses off as a default value to correspond to this parameter identifier.</w:t>
            </w:r>
          </w:p>
          <w:p w:rsidR="005F78FC" w:rsidRDefault="005F78FC">
            <w:pPr>
              <w:pStyle w:val="TableBodyText"/>
            </w:pPr>
          </w:p>
          <w:p w:rsidR="005F78FC" w:rsidRDefault="00B42EF3">
            <w:pPr>
              <w:pStyle w:val="TableBodyText"/>
            </w:pPr>
            <w:r>
              <w:t>Office expects the value corresponding to this parameter identifier to be in the range defined by simple type ST_Offset.</w:t>
            </w:r>
          </w:p>
          <w:p w:rsidR="005F78FC" w:rsidRDefault="005F78FC">
            <w:pPr>
              <w:pStyle w:val="TableBodyText"/>
            </w:pPr>
          </w:p>
        </w:tc>
      </w:tr>
      <w:tr w:rsidR="005F78FC" w:rsidTr="005F78FC">
        <w:tc>
          <w:tcPr>
            <w:tcW w:w="0" w:type="auto"/>
            <w:vAlign w:val="center"/>
          </w:tcPr>
          <w:p w:rsidR="005F78FC" w:rsidRDefault="00B42EF3">
            <w:pPr>
              <w:pStyle w:val="TableBodyText"/>
            </w:pPr>
            <w:r>
              <w:rPr>
                <w:b/>
              </w:rPr>
              <w:t>parTxLTRAlign</w:t>
            </w:r>
            <w:r>
              <w:t xml:space="preserve"> (Parent Text Left-to-Right Alignment)</w:t>
            </w:r>
          </w:p>
        </w:tc>
        <w:tc>
          <w:tcPr>
            <w:tcW w:w="0" w:type="auto"/>
            <w:vAlign w:val="center"/>
          </w:tcPr>
          <w:p w:rsidR="005F78FC" w:rsidRDefault="00B42EF3">
            <w:pPr>
              <w:pStyle w:val="TableBodyText"/>
            </w:pPr>
            <w:r>
              <w:t>Office uses ctr as a default value to correspond to this parameter identifier.</w:t>
            </w:r>
          </w:p>
          <w:p w:rsidR="005F78FC" w:rsidRDefault="005F78FC">
            <w:pPr>
              <w:pStyle w:val="TableBodyText"/>
            </w:pPr>
          </w:p>
          <w:p w:rsidR="005F78FC" w:rsidRDefault="00B42EF3">
            <w:pPr>
              <w:pStyle w:val="TableBodyText"/>
            </w:pPr>
            <w:r>
              <w:t>Office expects the value corresponding to this parameter identifier to be in the range defined by simple type ST_TextAlignment.</w:t>
            </w:r>
          </w:p>
          <w:p w:rsidR="005F78FC" w:rsidRDefault="005F78FC">
            <w:pPr>
              <w:pStyle w:val="TableBodyText"/>
            </w:pPr>
          </w:p>
        </w:tc>
      </w:tr>
      <w:tr w:rsidR="005F78FC" w:rsidTr="005F78FC">
        <w:tc>
          <w:tcPr>
            <w:tcW w:w="0" w:type="auto"/>
            <w:vAlign w:val="center"/>
          </w:tcPr>
          <w:p w:rsidR="005F78FC" w:rsidRDefault="00B42EF3">
            <w:pPr>
              <w:pStyle w:val="TableBodyText"/>
            </w:pPr>
            <w:r>
              <w:rPr>
                <w:b/>
              </w:rPr>
              <w:t>parTxRTLAlign</w:t>
            </w:r>
            <w:r>
              <w:t xml:space="preserve"> (Parent Text Right-to-Left Align</w:t>
            </w:r>
            <w:r>
              <w:t>ment)</w:t>
            </w:r>
          </w:p>
        </w:tc>
        <w:tc>
          <w:tcPr>
            <w:tcW w:w="0" w:type="auto"/>
            <w:vAlign w:val="center"/>
          </w:tcPr>
          <w:p w:rsidR="005F78FC" w:rsidRDefault="00B42EF3">
            <w:pPr>
              <w:pStyle w:val="TableBodyText"/>
            </w:pPr>
            <w:r>
              <w:t>Office uses ctr as a default value to correspond to this parameter identifier.</w:t>
            </w:r>
          </w:p>
          <w:p w:rsidR="005F78FC" w:rsidRDefault="005F78FC">
            <w:pPr>
              <w:pStyle w:val="TableBodyText"/>
            </w:pPr>
          </w:p>
          <w:p w:rsidR="005F78FC" w:rsidRDefault="00B42EF3">
            <w:pPr>
              <w:pStyle w:val="TableBodyText"/>
            </w:pPr>
            <w:r>
              <w:t>Office expects the value corresponding to this parameter identifier to be in the range defined by simple type ST_TextAlignment.</w:t>
            </w:r>
          </w:p>
          <w:p w:rsidR="005F78FC" w:rsidRDefault="005F78FC">
            <w:pPr>
              <w:pStyle w:val="TableBodyText"/>
            </w:pPr>
          </w:p>
        </w:tc>
      </w:tr>
      <w:tr w:rsidR="005F78FC" w:rsidTr="005F78FC">
        <w:tc>
          <w:tcPr>
            <w:tcW w:w="0" w:type="auto"/>
            <w:vAlign w:val="center"/>
          </w:tcPr>
          <w:p w:rsidR="005F78FC" w:rsidRDefault="00B42EF3">
            <w:pPr>
              <w:pStyle w:val="TableBodyText"/>
            </w:pPr>
            <w:r>
              <w:rPr>
                <w:b/>
              </w:rPr>
              <w:t>pyraAcctBkgdNode</w:t>
            </w:r>
            <w:r>
              <w:t xml:space="preserve"> (Pyramid Accent Backgro</w:t>
            </w:r>
            <w:r>
              <w:t>und Node)</w:t>
            </w:r>
          </w:p>
        </w:tc>
        <w:tc>
          <w:tcPr>
            <w:tcW w:w="0" w:type="auto"/>
            <w:vAlign w:val="center"/>
          </w:tcPr>
          <w:p w:rsidR="005F78FC" w:rsidRDefault="00B42EF3">
            <w:pPr>
              <w:pStyle w:val="TableBodyText"/>
            </w:pPr>
            <w:r>
              <w:t>Office expects the value corresponding to this parameter identifier to be in the range defined by the XML schema string data type.</w:t>
            </w:r>
          </w:p>
          <w:p w:rsidR="005F78FC" w:rsidRDefault="005F78FC">
            <w:pPr>
              <w:pStyle w:val="TableBodyText"/>
            </w:pPr>
          </w:p>
        </w:tc>
      </w:tr>
      <w:tr w:rsidR="005F78FC" w:rsidTr="005F78FC">
        <w:tc>
          <w:tcPr>
            <w:tcW w:w="0" w:type="auto"/>
            <w:vAlign w:val="center"/>
          </w:tcPr>
          <w:p w:rsidR="005F78FC" w:rsidRDefault="00B42EF3">
            <w:pPr>
              <w:pStyle w:val="TableBodyText"/>
            </w:pPr>
            <w:r>
              <w:rPr>
                <w:b/>
              </w:rPr>
              <w:t>pyraAcctPos</w:t>
            </w:r>
            <w:r>
              <w:t xml:space="preserve"> (Pyramid Accent Position)</w:t>
            </w:r>
          </w:p>
        </w:tc>
        <w:tc>
          <w:tcPr>
            <w:tcW w:w="0" w:type="auto"/>
            <w:vAlign w:val="center"/>
          </w:tcPr>
          <w:p w:rsidR="005F78FC" w:rsidRDefault="00B42EF3">
            <w:pPr>
              <w:pStyle w:val="TableBodyText"/>
            </w:pPr>
            <w:r>
              <w:t>Office uses bef as a default value to correspond to this parameter identifi</w:t>
            </w:r>
            <w:r>
              <w:t>er.</w:t>
            </w:r>
          </w:p>
          <w:p w:rsidR="005F78FC" w:rsidRDefault="005F78FC">
            <w:pPr>
              <w:pStyle w:val="TableBodyText"/>
            </w:pPr>
          </w:p>
          <w:p w:rsidR="005F78FC" w:rsidRDefault="00B42EF3">
            <w:pPr>
              <w:pStyle w:val="TableBodyText"/>
            </w:pPr>
            <w:r>
              <w:t>Office expects the value corresponding to this parameter identifier to be in the range defined by simple type ST_PyramidAccentPosition.</w:t>
            </w:r>
          </w:p>
          <w:p w:rsidR="005F78FC" w:rsidRDefault="005F78FC">
            <w:pPr>
              <w:pStyle w:val="TableBodyText"/>
            </w:pPr>
          </w:p>
        </w:tc>
      </w:tr>
      <w:tr w:rsidR="005F78FC" w:rsidTr="005F78FC">
        <w:tc>
          <w:tcPr>
            <w:tcW w:w="0" w:type="auto"/>
            <w:vAlign w:val="center"/>
          </w:tcPr>
          <w:p w:rsidR="005F78FC" w:rsidRDefault="00B42EF3">
            <w:pPr>
              <w:pStyle w:val="TableBodyText"/>
            </w:pPr>
            <w:r>
              <w:rPr>
                <w:b/>
              </w:rPr>
              <w:t>pyraAcctTxMar</w:t>
            </w:r>
            <w:r>
              <w:t xml:space="preserve"> (Pyramid Accent Text Margin)</w:t>
            </w:r>
          </w:p>
        </w:tc>
        <w:tc>
          <w:tcPr>
            <w:tcW w:w="0" w:type="auto"/>
            <w:vAlign w:val="center"/>
          </w:tcPr>
          <w:p w:rsidR="005F78FC" w:rsidRDefault="00B42EF3">
            <w:pPr>
              <w:pStyle w:val="TableBodyText"/>
            </w:pPr>
            <w:r>
              <w:t xml:space="preserve">Office uses step as a default value to correspond to this parameter </w:t>
            </w:r>
            <w:r>
              <w:t>identifier.</w:t>
            </w:r>
          </w:p>
          <w:p w:rsidR="005F78FC" w:rsidRDefault="005F78FC">
            <w:pPr>
              <w:pStyle w:val="TableBodyText"/>
            </w:pPr>
          </w:p>
          <w:p w:rsidR="005F78FC" w:rsidRDefault="00B42EF3">
            <w:pPr>
              <w:pStyle w:val="TableBodyText"/>
            </w:pPr>
            <w:r>
              <w:t>Office expects the value corresponding to this parameter identifier to be in the range defined by simple type ST_PyramidAccentTextMargin.</w:t>
            </w:r>
          </w:p>
          <w:p w:rsidR="005F78FC" w:rsidRDefault="005F78FC">
            <w:pPr>
              <w:pStyle w:val="TableBodyText"/>
            </w:pPr>
          </w:p>
        </w:tc>
      </w:tr>
      <w:tr w:rsidR="005F78FC" w:rsidTr="005F78FC">
        <w:tc>
          <w:tcPr>
            <w:tcW w:w="0" w:type="auto"/>
            <w:vAlign w:val="center"/>
          </w:tcPr>
          <w:p w:rsidR="005F78FC" w:rsidRDefault="00B42EF3">
            <w:pPr>
              <w:pStyle w:val="TableBodyText"/>
            </w:pPr>
            <w:r>
              <w:rPr>
                <w:b/>
              </w:rPr>
              <w:t>pyraAcctTxNode</w:t>
            </w:r>
            <w:r>
              <w:t xml:space="preserve"> (Pyramid Accent Text Node)</w:t>
            </w:r>
          </w:p>
        </w:tc>
        <w:tc>
          <w:tcPr>
            <w:tcW w:w="0" w:type="auto"/>
            <w:vAlign w:val="center"/>
          </w:tcPr>
          <w:p w:rsidR="005F78FC" w:rsidRDefault="00B42EF3">
            <w:pPr>
              <w:pStyle w:val="TableBodyText"/>
            </w:pPr>
            <w:r>
              <w:t>Office expects the value corresponding to this parameter iden</w:t>
            </w:r>
            <w:r>
              <w:t>tifier to be in the range defined by the XML schema string data type.</w:t>
            </w:r>
          </w:p>
          <w:p w:rsidR="005F78FC" w:rsidRDefault="005F78FC">
            <w:pPr>
              <w:pStyle w:val="TableBodyText"/>
            </w:pPr>
          </w:p>
        </w:tc>
      </w:tr>
      <w:tr w:rsidR="005F78FC" w:rsidTr="005F78FC">
        <w:tc>
          <w:tcPr>
            <w:tcW w:w="0" w:type="auto"/>
            <w:vAlign w:val="center"/>
          </w:tcPr>
          <w:p w:rsidR="005F78FC" w:rsidRDefault="00B42EF3">
            <w:pPr>
              <w:pStyle w:val="TableBodyText"/>
            </w:pPr>
            <w:r>
              <w:rPr>
                <w:b/>
              </w:rPr>
              <w:t>pyraLvlNode</w:t>
            </w:r>
            <w:r>
              <w:t xml:space="preserve"> (Pyramid Level </w:t>
            </w:r>
            <w:r>
              <w:lastRenderedPageBreak/>
              <w:t>Node)</w:t>
            </w:r>
          </w:p>
        </w:tc>
        <w:tc>
          <w:tcPr>
            <w:tcW w:w="0" w:type="auto"/>
            <w:vAlign w:val="center"/>
          </w:tcPr>
          <w:p w:rsidR="005F78FC" w:rsidRDefault="00B42EF3">
            <w:pPr>
              <w:pStyle w:val="TableBodyText"/>
            </w:pPr>
            <w:r>
              <w:lastRenderedPageBreak/>
              <w:t xml:space="preserve">Office expects the value corresponding to this parameter identifier to be in </w:t>
            </w:r>
            <w:r>
              <w:lastRenderedPageBreak/>
              <w:t>the range defined by the XML schema string data type.</w:t>
            </w:r>
          </w:p>
          <w:p w:rsidR="005F78FC" w:rsidRDefault="005F78FC">
            <w:pPr>
              <w:pStyle w:val="TableBodyText"/>
            </w:pPr>
          </w:p>
        </w:tc>
      </w:tr>
      <w:tr w:rsidR="005F78FC" w:rsidTr="005F78FC">
        <w:tc>
          <w:tcPr>
            <w:tcW w:w="0" w:type="auto"/>
            <w:vAlign w:val="center"/>
          </w:tcPr>
          <w:p w:rsidR="005F78FC" w:rsidRDefault="00B42EF3">
            <w:pPr>
              <w:pStyle w:val="TableBodyText"/>
            </w:pPr>
            <w:r>
              <w:rPr>
                <w:b/>
              </w:rPr>
              <w:lastRenderedPageBreak/>
              <w:t>rotPath</w:t>
            </w:r>
            <w:r>
              <w:t xml:space="preserve"> (Rotation </w:t>
            </w:r>
            <w:r>
              <w:t>Path)</w:t>
            </w:r>
          </w:p>
        </w:tc>
        <w:tc>
          <w:tcPr>
            <w:tcW w:w="0" w:type="auto"/>
            <w:vAlign w:val="center"/>
          </w:tcPr>
          <w:p w:rsidR="005F78FC" w:rsidRDefault="00B42EF3">
            <w:pPr>
              <w:pStyle w:val="TableBodyText"/>
            </w:pPr>
            <w:r>
              <w:t>Office uses none as a default value to correspond to this parameter identifier.</w:t>
            </w:r>
          </w:p>
          <w:p w:rsidR="005F78FC" w:rsidRDefault="005F78FC">
            <w:pPr>
              <w:pStyle w:val="TableBodyText"/>
            </w:pPr>
          </w:p>
          <w:p w:rsidR="005F78FC" w:rsidRDefault="00B42EF3">
            <w:pPr>
              <w:pStyle w:val="TableBodyText"/>
            </w:pPr>
            <w:r>
              <w:t>Office expects the value corresponding to this parameter identifier to be in the range defined by simple type ST_RotationPath.</w:t>
            </w:r>
          </w:p>
          <w:p w:rsidR="005F78FC" w:rsidRDefault="005F78FC">
            <w:pPr>
              <w:pStyle w:val="TableBodyText"/>
            </w:pPr>
          </w:p>
        </w:tc>
      </w:tr>
      <w:tr w:rsidR="005F78FC" w:rsidTr="005F78FC">
        <w:tc>
          <w:tcPr>
            <w:tcW w:w="0" w:type="auto"/>
            <w:vAlign w:val="center"/>
          </w:tcPr>
          <w:p w:rsidR="005F78FC" w:rsidRDefault="00B42EF3">
            <w:pPr>
              <w:pStyle w:val="TableBodyText"/>
            </w:pPr>
            <w:r>
              <w:rPr>
                <w:b/>
              </w:rPr>
              <w:t>rtShortDist</w:t>
            </w:r>
            <w:r>
              <w:t xml:space="preserve"> (Route Shortest Distance)</w:t>
            </w:r>
          </w:p>
        </w:tc>
        <w:tc>
          <w:tcPr>
            <w:tcW w:w="0" w:type="auto"/>
            <w:vAlign w:val="center"/>
          </w:tcPr>
          <w:p w:rsidR="005F78FC" w:rsidRDefault="00B42EF3">
            <w:pPr>
              <w:pStyle w:val="TableBodyText"/>
            </w:pPr>
            <w:r>
              <w:t>Of</w:t>
            </w:r>
            <w:r>
              <w:t>fice uses true as a default value to correspond to this parameter identifier.</w:t>
            </w:r>
          </w:p>
          <w:p w:rsidR="005F78FC" w:rsidRDefault="005F78FC">
            <w:pPr>
              <w:pStyle w:val="TableBodyText"/>
            </w:pPr>
          </w:p>
          <w:p w:rsidR="005F78FC" w:rsidRDefault="00B42EF3">
            <w:pPr>
              <w:pStyle w:val="TableBodyText"/>
            </w:pPr>
            <w:r>
              <w:t>Office expects the value corresponding to this parameter identifier to be in the range defined by the XML schema boolean data type.</w:t>
            </w:r>
          </w:p>
          <w:p w:rsidR="005F78FC" w:rsidRDefault="005F78FC">
            <w:pPr>
              <w:pStyle w:val="TableBodyText"/>
            </w:pPr>
          </w:p>
        </w:tc>
      </w:tr>
      <w:tr w:rsidR="005F78FC" w:rsidTr="005F78FC">
        <w:tc>
          <w:tcPr>
            <w:tcW w:w="0" w:type="auto"/>
            <w:vAlign w:val="center"/>
          </w:tcPr>
          <w:p w:rsidR="005F78FC" w:rsidRDefault="00B42EF3">
            <w:pPr>
              <w:pStyle w:val="TableBodyText"/>
            </w:pPr>
            <w:r>
              <w:rPr>
                <w:b/>
              </w:rPr>
              <w:t>secChAlign</w:t>
            </w:r>
            <w:r>
              <w:t xml:space="preserve"> (Secondary Child Alignment)</w:t>
            </w:r>
          </w:p>
        </w:tc>
        <w:tc>
          <w:tcPr>
            <w:tcW w:w="0" w:type="auto"/>
            <w:vAlign w:val="center"/>
          </w:tcPr>
          <w:p w:rsidR="005F78FC" w:rsidRDefault="00B42EF3">
            <w:pPr>
              <w:pStyle w:val="TableBodyText"/>
            </w:pPr>
            <w:r>
              <w:t>Office uses none as a default value to correspond to this parameter identifier.</w:t>
            </w:r>
          </w:p>
          <w:p w:rsidR="005F78FC" w:rsidRDefault="005F78FC">
            <w:pPr>
              <w:pStyle w:val="TableBodyText"/>
            </w:pPr>
          </w:p>
          <w:p w:rsidR="005F78FC" w:rsidRDefault="00B42EF3">
            <w:pPr>
              <w:pStyle w:val="TableBodyText"/>
            </w:pPr>
            <w:r>
              <w:t>Office expects the value corresponding to this parameter identifier to be in the range defined by simple type ST_SecondaryChildAlignment.</w:t>
            </w:r>
          </w:p>
          <w:p w:rsidR="005F78FC" w:rsidRDefault="005F78FC">
            <w:pPr>
              <w:pStyle w:val="TableBodyText"/>
            </w:pPr>
          </w:p>
        </w:tc>
      </w:tr>
      <w:tr w:rsidR="005F78FC" w:rsidTr="005F78FC">
        <w:tc>
          <w:tcPr>
            <w:tcW w:w="0" w:type="auto"/>
            <w:vAlign w:val="center"/>
          </w:tcPr>
          <w:p w:rsidR="005F78FC" w:rsidRDefault="00B42EF3">
            <w:pPr>
              <w:pStyle w:val="TableBodyText"/>
            </w:pPr>
            <w:r>
              <w:rPr>
                <w:b/>
              </w:rPr>
              <w:t>secLinDir</w:t>
            </w:r>
            <w:r>
              <w:t xml:space="preserve"> (Secondary Linear Directi</w:t>
            </w:r>
            <w:r>
              <w:t>on)</w:t>
            </w:r>
          </w:p>
        </w:tc>
        <w:tc>
          <w:tcPr>
            <w:tcW w:w="0" w:type="auto"/>
            <w:vAlign w:val="center"/>
          </w:tcPr>
          <w:p w:rsidR="005F78FC" w:rsidRDefault="00B42EF3">
            <w:pPr>
              <w:pStyle w:val="TableBodyText"/>
            </w:pPr>
            <w:r>
              <w:t>Office uses none as a default value to correspond to this parameter identifier.</w:t>
            </w:r>
          </w:p>
          <w:p w:rsidR="005F78FC" w:rsidRDefault="005F78FC">
            <w:pPr>
              <w:pStyle w:val="TableBodyText"/>
            </w:pPr>
          </w:p>
          <w:p w:rsidR="005F78FC" w:rsidRDefault="00B42EF3">
            <w:pPr>
              <w:pStyle w:val="TableBodyText"/>
            </w:pPr>
            <w:r>
              <w:t>Office expects the value corresponding to this parameter identifier to be in the range defined by simple type ST_SecondaryChildAlignment.</w:t>
            </w:r>
          </w:p>
          <w:p w:rsidR="005F78FC" w:rsidRDefault="005F78FC">
            <w:pPr>
              <w:pStyle w:val="TableBodyText"/>
            </w:pPr>
          </w:p>
        </w:tc>
      </w:tr>
      <w:tr w:rsidR="005F78FC" w:rsidTr="005F78FC">
        <w:tc>
          <w:tcPr>
            <w:tcW w:w="0" w:type="auto"/>
            <w:vAlign w:val="center"/>
          </w:tcPr>
          <w:p w:rsidR="005F78FC" w:rsidRDefault="00B42EF3">
            <w:pPr>
              <w:pStyle w:val="TableBodyText"/>
            </w:pPr>
            <w:r>
              <w:rPr>
                <w:b/>
              </w:rPr>
              <w:t>shpTxLTRAlignCh</w:t>
            </w:r>
            <w:r>
              <w:t xml:space="preserve"> (Shape Text Lef</w:t>
            </w:r>
            <w:r>
              <w:t>t-to-Right Alignment)</w:t>
            </w:r>
          </w:p>
        </w:tc>
        <w:tc>
          <w:tcPr>
            <w:tcW w:w="0" w:type="auto"/>
            <w:vAlign w:val="center"/>
          </w:tcPr>
          <w:p w:rsidR="005F78FC" w:rsidRDefault="00B42EF3">
            <w:pPr>
              <w:pStyle w:val="TableBodyText"/>
            </w:pPr>
            <w:r>
              <w:t>Office uses l as a default value to correspond to this parameter identifier.</w:t>
            </w:r>
          </w:p>
          <w:p w:rsidR="005F78FC" w:rsidRDefault="005F78FC">
            <w:pPr>
              <w:pStyle w:val="TableBodyText"/>
            </w:pPr>
          </w:p>
          <w:p w:rsidR="005F78FC" w:rsidRDefault="00B42EF3">
            <w:pPr>
              <w:pStyle w:val="TableBodyText"/>
            </w:pPr>
            <w:r>
              <w:t>Office expects the value corresponding to this parameter identifier to be in the range defined by simple type ST_TextAlignment.</w:t>
            </w:r>
          </w:p>
          <w:p w:rsidR="005F78FC" w:rsidRDefault="005F78FC">
            <w:pPr>
              <w:pStyle w:val="TableBodyText"/>
            </w:pPr>
          </w:p>
        </w:tc>
      </w:tr>
      <w:tr w:rsidR="005F78FC" w:rsidTr="005F78FC">
        <w:tc>
          <w:tcPr>
            <w:tcW w:w="0" w:type="auto"/>
            <w:vAlign w:val="center"/>
          </w:tcPr>
          <w:p w:rsidR="005F78FC" w:rsidRDefault="00B42EF3">
            <w:pPr>
              <w:pStyle w:val="TableBodyText"/>
            </w:pPr>
            <w:r>
              <w:rPr>
                <w:b/>
              </w:rPr>
              <w:t>shpTxRTLAlignCh</w:t>
            </w:r>
            <w:r>
              <w:t xml:space="preserve"> (Shape Tex</w:t>
            </w:r>
            <w:r>
              <w:t>t Right-to-Left Alignment)</w:t>
            </w:r>
          </w:p>
        </w:tc>
        <w:tc>
          <w:tcPr>
            <w:tcW w:w="0" w:type="auto"/>
            <w:vAlign w:val="center"/>
          </w:tcPr>
          <w:p w:rsidR="005F78FC" w:rsidRDefault="00B42EF3">
            <w:pPr>
              <w:pStyle w:val="TableBodyText"/>
            </w:pPr>
            <w:r>
              <w:t>Office uses r as a default value to correspond to this parameter identifier.</w:t>
            </w:r>
          </w:p>
          <w:p w:rsidR="005F78FC" w:rsidRDefault="005F78FC">
            <w:pPr>
              <w:pStyle w:val="TableBodyText"/>
            </w:pPr>
          </w:p>
          <w:p w:rsidR="005F78FC" w:rsidRDefault="00B42EF3">
            <w:pPr>
              <w:pStyle w:val="TableBodyText"/>
            </w:pPr>
            <w:r>
              <w:t>Office expects the value corresponding to this parameter identifier to be in the range defined by simple type ST_TextAlignment.</w:t>
            </w:r>
          </w:p>
          <w:p w:rsidR="005F78FC" w:rsidRDefault="005F78FC">
            <w:pPr>
              <w:pStyle w:val="TableBodyText"/>
            </w:pPr>
          </w:p>
        </w:tc>
      </w:tr>
      <w:tr w:rsidR="005F78FC" w:rsidTr="005F78FC">
        <w:tc>
          <w:tcPr>
            <w:tcW w:w="0" w:type="auto"/>
            <w:vAlign w:val="center"/>
          </w:tcPr>
          <w:p w:rsidR="005F78FC" w:rsidRDefault="00B42EF3">
            <w:pPr>
              <w:pStyle w:val="TableBodyText"/>
            </w:pPr>
            <w:r>
              <w:rPr>
                <w:b/>
              </w:rPr>
              <w:t>spanAng</w:t>
            </w:r>
            <w:r>
              <w:t xml:space="preserve"> (Span Angle)</w:t>
            </w:r>
          </w:p>
        </w:tc>
        <w:tc>
          <w:tcPr>
            <w:tcW w:w="0" w:type="auto"/>
            <w:vAlign w:val="center"/>
          </w:tcPr>
          <w:p w:rsidR="005F78FC" w:rsidRDefault="00B42EF3">
            <w:pPr>
              <w:pStyle w:val="TableBodyText"/>
            </w:pPr>
            <w:r>
              <w:t>Office uses 360 as a default value to correspond to this parameter identifier.</w:t>
            </w:r>
          </w:p>
          <w:p w:rsidR="005F78FC" w:rsidRDefault="005F78FC">
            <w:pPr>
              <w:pStyle w:val="TableBodyText"/>
            </w:pPr>
          </w:p>
          <w:p w:rsidR="005F78FC" w:rsidRDefault="00B42EF3">
            <w:pPr>
              <w:pStyle w:val="TableBodyText"/>
            </w:pPr>
            <w:r>
              <w:t>Office expects the value corresponding to this parameter identifier to be of type XML schema double in the range [-360, 360].</w:t>
            </w:r>
          </w:p>
          <w:p w:rsidR="005F78FC" w:rsidRDefault="005F78FC">
            <w:pPr>
              <w:pStyle w:val="TableBodyText"/>
            </w:pPr>
          </w:p>
        </w:tc>
      </w:tr>
      <w:tr w:rsidR="005F78FC" w:rsidTr="005F78FC">
        <w:tc>
          <w:tcPr>
            <w:tcW w:w="0" w:type="auto"/>
            <w:vAlign w:val="center"/>
          </w:tcPr>
          <w:p w:rsidR="005F78FC" w:rsidRDefault="00B42EF3">
            <w:pPr>
              <w:pStyle w:val="TableBodyText"/>
            </w:pPr>
            <w:r>
              <w:rPr>
                <w:b/>
              </w:rPr>
              <w:t>srcNode</w:t>
            </w:r>
            <w:r>
              <w:t xml:space="preserve"> (Source Node)</w:t>
            </w:r>
          </w:p>
        </w:tc>
        <w:tc>
          <w:tcPr>
            <w:tcW w:w="0" w:type="auto"/>
            <w:vAlign w:val="center"/>
          </w:tcPr>
          <w:p w:rsidR="005F78FC" w:rsidRDefault="00B42EF3">
            <w:pPr>
              <w:pStyle w:val="TableBodyText"/>
            </w:pPr>
            <w:r>
              <w:t>Office expects the value c</w:t>
            </w:r>
            <w:r>
              <w:t>orresponding to this parameter identifier to be in the range defined by the XML schema string data type.</w:t>
            </w:r>
          </w:p>
          <w:p w:rsidR="005F78FC" w:rsidRDefault="005F78FC">
            <w:pPr>
              <w:pStyle w:val="TableBodyText"/>
            </w:pPr>
          </w:p>
        </w:tc>
      </w:tr>
      <w:tr w:rsidR="005F78FC" w:rsidTr="005F78FC">
        <w:tc>
          <w:tcPr>
            <w:tcW w:w="0" w:type="auto"/>
            <w:vAlign w:val="center"/>
          </w:tcPr>
          <w:p w:rsidR="005F78FC" w:rsidRDefault="00B42EF3">
            <w:pPr>
              <w:pStyle w:val="TableBodyText"/>
            </w:pPr>
            <w:r>
              <w:rPr>
                <w:b/>
              </w:rPr>
              <w:t>stAng</w:t>
            </w:r>
            <w:r>
              <w:t xml:space="preserve"> (Start Angle)</w:t>
            </w:r>
          </w:p>
        </w:tc>
        <w:tc>
          <w:tcPr>
            <w:tcW w:w="0" w:type="auto"/>
            <w:vAlign w:val="center"/>
          </w:tcPr>
          <w:p w:rsidR="005F78FC" w:rsidRDefault="00B42EF3">
            <w:pPr>
              <w:pStyle w:val="TableBodyText"/>
            </w:pPr>
            <w:r>
              <w:t>Office uses 0 as a default value to correspond to this parameter identifier.</w:t>
            </w:r>
          </w:p>
          <w:p w:rsidR="005F78FC" w:rsidRDefault="005F78FC">
            <w:pPr>
              <w:pStyle w:val="TableBodyText"/>
            </w:pPr>
          </w:p>
          <w:p w:rsidR="005F78FC" w:rsidRDefault="00B42EF3">
            <w:pPr>
              <w:pStyle w:val="TableBodyText"/>
            </w:pPr>
            <w:r>
              <w:t>Office expects the value corresponding to this para</w:t>
            </w:r>
            <w:r>
              <w:t>meter identifier to be in the range defined by the XML schema double data type.</w:t>
            </w:r>
          </w:p>
          <w:p w:rsidR="005F78FC" w:rsidRDefault="005F78FC">
            <w:pPr>
              <w:pStyle w:val="TableBodyText"/>
            </w:pPr>
          </w:p>
        </w:tc>
      </w:tr>
      <w:tr w:rsidR="005F78FC" w:rsidTr="005F78FC">
        <w:tc>
          <w:tcPr>
            <w:tcW w:w="0" w:type="auto"/>
            <w:vAlign w:val="center"/>
          </w:tcPr>
          <w:p w:rsidR="005F78FC" w:rsidRDefault="00B42EF3">
            <w:pPr>
              <w:pStyle w:val="TableBodyText"/>
            </w:pPr>
            <w:r>
              <w:rPr>
                <w:b/>
              </w:rPr>
              <w:lastRenderedPageBreak/>
              <w:t>stBulletLvl</w:t>
            </w:r>
            <w:r>
              <w:t xml:space="preserve"> (Start Bullets At Level)</w:t>
            </w:r>
          </w:p>
        </w:tc>
        <w:tc>
          <w:tcPr>
            <w:tcW w:w="0" w:type="auto"/>
            <w:vAlign w:val="center"/>
          </w:tcPr>
          <w:p w:rsidR="005F78FC" w:rsidRDefault="00B42EF3">
            <w:pPr>
              <w:pStyle w:val="TableBodyText"/>
            </w:pPr>
            <w:r>
              <w:t>Office uses 2 as a default value to correspond to this parameter identifier.</w:t>
            </w:r>
          </w:p>
          <w:p w:rsidR="005F78FC" w:rsidRDefault="005F78FC">
            <w:pPr>
              <w:pStyle w:val="TableBodyText"/>
            </w:pPr>
          </w:p>
          <w:p w:rsidR="005F78FC" w:rsidRDefault="00B42EF3">
            <w:pPr>
              <w:pStyle w:val="TableBodyText"/>
            </w:pPr>
            <w:r>
              <w:t>Office expects the value corresponding to this parameter id</w:t>
            </w:r>
            <w:r>
              <w:t>entifier to be of type integer in the range [1, 2].</w:t>
            </w:r>
          </w:p>
          <w:p w:rsidR="005F78FC" w:rsidRDefault="005F78FC">
            <w:pPr>
              <w:pStyle w:val="TableBodyText"/>
            </w:pPr>
          </w:p>
        </w:tc>
      </w:tr>
      <w:tr w:rsidR="005F78FC" w:rsidTr="005F78FC">
        <w:tc>
          <w:tcPr>
            <w:tcW w:w="0" w:type="auto"/>
            <w:vAlign w:val="center"/>
          </w:tcPr>
          <w:p w:rsidR="005F78FC" w:rsidRDefault="00B42EF3">
            <w:pPr>
              <w:pStyle w:val="TableBodyText"/>
            </w:pPr>
            <w:r>
              <w:rPr>
                <w:b/>
              </w:rPr>
              <w:t>stElem</w:t>
            </w:r>
            <w:r>
              <w:t xml:space="preserve"> (Start Element)</w:t>
            </w:r>
          </w:p>
        </w:tc>
        <w:tc>
          <w:tcPr>
            <w:tcW w:w="0" w:type="auto"/>
            <w:vAlign w:val="center"/>
          </w:tcPr>
          <w:p w:rsidR="005F78FC" w:rsidRDefault="00B42EF3">
            <w:pPr>
              <w:pStyle w:val="TableBodyText"/>
            </w:pPr>
            <w:r>
              <w:t>Office uses node as a default value to correspond to this parameter identifier.</w:t>
            </w:r>
          </w:p>
          <w:p w:rsidR="005F78FC" w:rsidRDefault="005F78FC">
            <w:pPr>
              <w:pStyle w:val="TableBodyText"/>
            </w:pPr>
          </w:p>
          <w:p w:rsidR="005F78FC" w:rsidRDefault="00B42EF3">
            <w:pPr>
              <w:pStyle w:val="TableBodyText"/>
            </w:pPr>
            <w:r>
              <w:t xml:space="preserve">Office expects the value corresponding to this parameter identifier to be in the range defined by </w:t>
            </w:r>
            <w:r>
              <w:t>simple type ST_StartingElement.</w:t>
            </w:r>
          </w:p>
          <w:p w:rsidR="005F78FC" w:rsidRDefault="005F78FC">
            <w:pPr>
              <w:pStyle w:val="TableBodyText"/>
            </w:pPr>
          </w:p>
        </w:tc>
      </w:tr>
      <w:tr w:rsidR="005F78FC" w:rsidTr="005F78FC">
        <w:tc>
          <w:tcPr>
            <w:tcW w:w="0" w:type="auto"/>
            <w:vAlign w:val="center"/>
          </w:tcPr>
          <w:p w:rsidR="005F78FC" w:rsidRDefault="00B42EF3">
            <w:pPr>
              <w:pStyle w:val="TableBodyText"/>
            </w:pPr>
            <w:r>
              <w:rPr>
                <w:b/>
              </w:rPr>
              <w:t>txAnchorHorz</w:t>
            </w:r>
            <w:r>
              <w:t xml:space="preserve"> (Text Anchor Horizontal)</w:t>
            </w:r>
          </w:p>
        </w:tc>
        <w:tc>
          <w:tcPr>
            <w:tcW w:w="0" w:type="auto"/>
            <w:vAlign w:val="center"/>
          </w:tcPr>
          <w:p w:rsidR="005F78FC" w:rsidRDefault="00B42EF3">
            <w:pPr>
              <w:pStyle w:val="TableBodyText"/>
            </w:pPr>
            <w:r>
              <w:t>Office uses none as a default value to correspond to this parameter identifier.</w:t>
            </w:r>
          </w:p>
          <w:p w:rsidR="005F78FC" w:rsidRDefault="005F78FC">
            <w:pPr>
              <w:pStyle w:val="TableBodyText"/>
            </w:pPr>
          </w:p>
          <w:p w:rsidR="005F78FC" w:rsidRDefault="00B42EF3">
            <w:pPr>
              <w:pStyle w:val="TableBodyText"/>
            </w:pPr>
            <w:r>
              <w:t xml:space="preserve">Office expects the value corresponding to this parameter identifier to be in the range defined by </w:t>
            </w:r>
            <w:r>
              <w:t>simple type ST_TextAnchorHorizontal.</w:t>
            </w:r>
          </w:p>
          <w:p w:rsidR="005F78FC" w:rsidRDefault="005F78FC">
            <w:pPr>
              <w:pStyle w:val="TableBodyText"/>
            </w:pPr>
          </w:p>
        </w:tc>
      </w:tr>
      <w:tr w:rsidR="005F78FC" w:rsidTr="005F78FC">
        <w:tc>
          <w:tcPr>
            <w:tcW w:w="0" w:type="auto"/>
            <w:vAlign w:val="center"/>
          </w:tcPr>
          <w:p w:rsidR="005F78FC" w:rsidRDefault="00B42EF3">
            <w:pPr>
              <w:pStyle w:val="TableBodyText"/>
            </w:pPr>
            <w:r>
              <w:rPr>
                <w:b/>
              </w:rPr>
              <w:t>txAnchorHorzCh</w:t>
            </w:r>
            <w:r>
              <w:t xml:space="preserve"> (Text Anchor Horizontal With Children)</w:t>
            </w:r>
          </w:p>
        </w:tc>
        <w:tc>
          <w:tcPr>
            <w:tcW w:w="0" w:type="auto"/>
            <w:vAlign w:val="center"/>
          </w:tcPr>
          <w:p w:rsidR="005F78FC" w:rsidRDefault="00B42EF3">
            <w:pPr>
              <w:pStyle w:val="TableBodyText"/>
            </w:pPr>
            <w:r>
              <w:t>Office uses none as a default value to correspond to this parameter identifier.</w:t>
            </w:r>
          </w:p>
          <w:p w:rsidR="005F78FC" w:rsidRDefault="005F78FC">
            <w:pPr>
              <w:pStyle w:val="TableBodyText"/>
            </w:pPr>
          </w:p>
          <w:p w:rsidR="005F78FC" w:rsidRDefault="00B42EF3">
            <w:pPr>
              <w:pStyle w:val="TableBodyText"/>
            </w:pPr>
            <w:r>
              <w:t>Office expects the value corresponding to this parameter identifier to be in the r</w:t>
            </w:r>
            <w:r>
              <w:t>ange defined by simple type ST_TextAnchorHorizontal.</w:t>
            </w:r>
          </w:p>
          <w:p w:rsidR="005F78FC" w:rsidRDefault="005F78FC">
            <w:pPr>
              <w:pStyle w:val="TableBodyText"/>
            </w:pPr>
          </w:p>
        </w:tc>
      </w:tr>
      <w:tr w:rsidR="005F78FC" w:rsidTr="005F78FC">
        <w:tc>
          <w:tcPr>
            <w:tcW w:w="0" w:type="auto"/>
            <w:vAlign w:val="center"/>
          </w:tcPr>
          <w:p w:rsidR="005F78FC" w:rsidRDefault="00B42EF3">
            <w:pPr>
              <w:pStyle w:val="TableBodyText"/>
            </w:pPr>
            <w:r>
              <w:rPr>
                <w:b/>
              </w:rPr>
              <w:t>txAnchorVert</w:t>
            </w:r>
            <w:r>
              <w:t xml:space="preserve"> (Text Anchor Vertical)</w:t>
            </w:r>
          </w:p>
        </w:tc>
        <w:tc>
          <w:tcPr>
            <w:tcW w:w="0" w:type="auto"/>
            <w:vAlign w:val="center"/>
          </w:tcPr>
          <w:p w:rsidR="005F78FC" w:rsidRDefault="00B42EF3">
            <w:pPr>
              <w:pStyle w:val="TableBodyText"/>
            </w:pPr>
            <w:r>
              <w:t>Office uses mid as a default value to correspond to this parameter identifier.</w:t>
            </w:r>
          </w:p>
          <w:p w:rsidR="005F78FC" w:rsidRDefault="005F78FC">
            <w:pPr>
              <w:pStyle w:val="TableBodyText"/>
            </w:pPr>
          </w:p>
          <w:p w:rsidR="005F78FC" w:rsidRDefault="00B42EF3">
            <w:pPr>
              <w:pStyle w:val="TableBodyText"/>
            </w:pPr>
            <w:r>
              <w:t>Office expects the value corresponding to this parameter identifier to be in the rang</w:t>
            </w:r>
            <w:r>
              <w:t>e defined by simple type ST_TextAnchorVertical.</w:t>
            </w:r>
          </w:p>
          <w:p w:rsidR="005F78FC" w:rsidRDefault="005F78FC">
            <w:pPr>
              <w:pStyle w:val="TableBodyText"/>
            </w:pPr>
          </w:p>
        </w:tc>
      </w:tr>
      <w:tr w:rsidR="005F78FC" w:rsidTr="005F78FC">
        <w:tc>
          <w:tcPr>
            <w:tcW w:w="0" w:type="auto"/>
            <w:vAlign w:val="center"/>
          </w:tcPr>
          <w:p w:rsidR="005F78FC" w:rsidRDefault="00B42EF3">
            <w:pPr>
              <w:pStyle w:val="TableBodyText"/>
            </w:pPr>
            <w:r>
              <w:rPr>
                <w:b/>
              </w:rPr>
              <w:t>txAnchorVertCh</w:t>
            </w:r>
            <w:r>
              <w:t xml:space="preserve"> (Text Anchor Vertical With Children)</w:t>
            </w:r>
          </w:p>
        </w:tc>
        <w:tc>
          <w:tcPr>
            <w:tcW w:w="0" w:type="auto"/>
            <w:vAlign w:val="center"/>
          </w:tcPr>
          <w:p w:rsidR="005F78FC" w:rsidRDefault="00B42EF3">
            <w:pPr>
              <w:pStyle w:val="TableBodyText"/>
            </w:pPr>
            <w:r>
              <w:t>Office uses t as a default value to correspond to this parameter identifier.</w:t>
            </w:r>
          </w:p>
          <w:p w:rsidR="005F78FC" w:rsidRDefault="005F78FC">
            <w:pPr>
              <w:pStyle w:val="TableBodyText"/>
            </w:pPr>
          </w:p>
          <w:p w:rsidR="005F78FC" w:rsidRDefault="00B42EF3">
            <w:pPr>
              <w:pStyle w:val="TableBodyText"/>
            </w:pPr>
            <w:r>
              <w:t>Office expects the value corresponding to this parameter identifier to be in</w:t>
            </w:r>
            <w:r>
              <w:t xml:space="preserve"> the range defined by simple type ST_TextAnchorVertical.</w:t>
            </w:r>
          </w:p>
          <w:p w:rsidR="005F78FC" w:rsidRDefault="005F78FC">
            <w:pPr>
              <w:pStyle w:val="TableBodyText"/>
            </w:pPr>
          </w:p>
        </w:tc>
      </w:tr>
      <w:tr w:rsidR="005F78FC" w:rsidTr="005F78FC">
        <w:tc>
          <w:tcPr>
            <w:tcW w:w="0" w:type="auto"/>
            <w:vAlign w:val="center"/>
          </w:tcPr>
          <w:p w:rsidR="005F78FC" w:rsidRDefault="00B42EF3">
            <w:pPr>
              <w:pStyle w:val="TableBodyText"/>
            </w:pPr>
            <w:r>
              <w:rPr>
                <w:b/>
              </w:rPr>
              <w:t>txBlDir</w:t>
            </w:r>
            <w:r>
              <w:t xml:space="preserve"> (Text Block Direction)</w:t>
            </w:r>
          </w:p>
        </w:tc>
        <w:tc>
          <w:tcPr>
            <w:tcW w:w="0" w:type="auto"/>
            <w:vAlign w:val="center"/>
          </w:tcPr>
          <w:p w:rsidR="005F78FC" w:rsidRDefault="00B42EF3">
            <w:pPr>
              <w:pStyle w:val="TableBodyText"/>
            </w:pPr>
            <w:r>
              <w:t>Office uses horz as a default value to correspond to this parameter identifier.</w:t>
            </w:r>
          </w:p>
          <w:p w:rsidR="005F78FC" w:rsidRDefault="005F78FC">
            <w:pPr>
              <w:pStyle w:val="TableBodyText"/>
            </w:pPr>
          </w:p>
          <w:p w:rsidR="005F78FC" w:rsidRDefault="00B42EF3">
            <w:pPr>
              <w:pStyle w:val="TableBodyText"/>
            </w:pPr>
            <w:r>
              <w:t>Office expects the value corresponding to this parameter identifier to be in the rang</w:t>
            </w:r>
            <w:r>
              <w:t>e defined by simple type ST_TextBlockDirection.</w:t>
            </w:r>
          </w:p>
          <w:p w:rsidR="005F78FC" w:rsidRDefault="005F78FC">
            <w:pPr>
              <w:pStyle w:val="TableBodyText"/>
            </w:pPr>
          </w:p>
        </w:tc>
      </w:tr>
      <w:tr w:rsidR="005F78FC" w:rsidTr="005F78FC">
        <w:tc>
          <w:tcPr>
            <w:tcW w:w="0" w:type="auto"/>
            <w:vAlign w:val="center"/>
          </w:tcPr>
          <w:p w:rsidR="005F78FC" w:rsidRDefault="00B42EF3">
            <w:pPr>
              <w:pStyle w:val="TableBodyText"/>
            </w:pPr>
            <w:r>
              <w:rPr>
                <w:b/>
              </w:rPr>
              <w:t>txDir</w:t>
            </w:r>
            <w:r>
              <w:t xml:space="preserve"> (Text Direction)</w:t>
            </w:r>
          </w:p>
        </w:tc>
        <w:tc>
          <w:tcPr>
            <w:tcW w:w="0" w:type="auto"/>
            <w:vAlign w:val="center"/>
          </w:tcPr>
          <w:p w:rsidR="005F78FC" w:rsidRDefault="00B42EF3">
            <w:pPr>
              <w:pStyle w:val="TableBodyText"/>
            </w:pPr>
            <w:r>
              <w:t>Office uses fromT as a default value to correspond to this parameter identifier.</w:t>
            </w:r>
          </w:p>
          <w:p w:rsidR="005F78FC" w:rsidRDefault="005F78FC">
            <w:pPr>
              <w:pStyle w:val="TableBodyText"/>
            </w:pPr>
          </w:p>
          <w:p w:rsidR="005F78FC" w:rsidRDefault="00B42EF3">
            <w:pPr>
              <w:pStyle w:val="TableBodyText"/>
            </w:pPr>
            <w:r>
              <w:lastRenderedPageBreak/>
              <w:t>Office expects the value corresponding to this parameter identifier to be in the range defined by sim</w:t>
            </w:r>
            <w:r>
              <w:t>ple type ST_TextDirection.</w:t>
            </w:r>
          </w:p>
          <w:p w:rsidR="005F78FC" w:rsidRDefault="005F78FC">
            <w:pPr>
              <w:pStyle w:val="TableBodyText"/>
            </w:pPr>
          </w:p>
        </w:tc>
      </w:tr>
      <w:tr w:rsidR="005F78FC" w:rsidTr="005F78FC">
        <w:tc>
          <w:tcPr>
            <w:tcW w:w="0" w:type="auto"/>
            <w:vAlign w:val="center"/>
          </w:tcPr>
          <w:p w:rsidR="005F78FC" w:rsidRDefault="00B42EF3">
            <w:pPr>
              <w:pStyle w:val="TableBodyText"/>
            </w:pPr>
            <w:r>
              <w:rPr>
                <w:b/>
              </w:rPr>
              <w:lastRenderedPageBreak/>
              <w:t>vertAlign</w:t>
            </w:r>
            <w:r>
              <w:t xml:space="preserve"> (Vertical Alignment)</w:t>
            </w:r>
          </w:p>
        </w:tc>
        <w:tc>
          <w:tcPr>
            <w:tcW w:w="0" w:type="auto"/>
            <w:vAlign w:val="center"/>
          </w:tcPr>
          <w:p w:rsidR="005F78FC" w:rsidRDefault="00B42EF3">
            <w:pPr>
              <w:pStyle w:val="TableBodyText"/>
            </w:pPr>
            <w:r>
              <w:t>Office uses mid as a default value to correspond to this parameter identifier.</w:t>
            </w:r>
          </w:p>
          <w:p w:rsidR="005F78FC" w:rsidRDefault="005F78FC">
            <w:pPr>
              <w:pStyle w:val="TableBodyText"/>
            </w:pPr>
          </w:p>
          <w:p w:rsidR="005F78FC" w:rsidRDefault="00B42EF3">
            <w:pPr>
              <w:pStyle w:val="TableBodyText"/>
            </w:pPr>
            <w:r>
              <w:t>Office expects the value corresponding to this parameter identifier to be in the range defined by simple type ST_Ver</w:t>
            </w:r>
            <w:r>
              <w:t>ticalAlignment.</w:t>
            </w:r>
          </w:p>
          <w:p w:rsidR="005F78FC" w:rsidRDefault="005F78FC">
            <w:pPr>
              <w:pStyle w:val="TableBodyText"/>
            </w:pPr>
          </w:p>
        </w:tc>
      </w:tr>
    </w:tbl>
    <w:p w:rsidR="005F78FC" w:rsidRDefault="005F78FC"/>
    <w:p w:rsidR="005F78FC" w:rsidRDefault="00B42EF3">
      <w:pPr>
        <w:pStyle w:val="Heading3"/>
      </w:pPr>
      <w:bookmarkStart w:id="3290" w:name="section_f3ca1d613ed0477c868017ac5f2accec"/>
      <w:bookmarkStart w:id="3291" w:name="_Toc69879418"/>
      <w:r>
        <w:t>Part 1 Section 21.4.7.56, ST_SecondaryChildAlignment (Secondary Child Alignment)</w:t>
      </w:r>
      <w:bookmarkEnd w:id="3290"/>
      <w:bookmarkEnd w:id="3291"/>
      <w:r>
        <w:fldChar w:fldCharType="begin"/>
      </w:r>
      <w:r>
        <w:instrText xml:space="preserve"> XE "ST_SecondaryChildAlignment (Secondary Child Alignment)" </w:instrText>
      </w:r>
      <w:r>
        <w:fldChar w:fldCharType="end"/>
      </w:r>
    </w:p>
    <w:p w:rsidR="005F78FC" w:rsidRDefault="00B42EF3">
      <w:pPr>
        <w:pStyle w:val="Definition-Field"/>
      </w:pPr>
      <w:r>
        <w:t xml:space="preserve">a.   </w:t>
      </w:r>
      <w:r>
        <w:rPr>
          <w:i/>
        </w:rPr>
        <w:t xml:space="preserve">The standard states that the ST_SecondaryChildAlignment simple type defines different </w:t>
      </w:r>
      <w:r>
        <w:rPr>
          <w:i/>
        </w:rPr>
        <w:t>alignment properties of the both hanging layout type of the hierarchy algorithm.</w:t>
      </w:r>
    </w:p>
    <w:p w:rsidR="005F78FC" w:rsidRDefault="00B42EF3">
      <w:pPr>
        <w:pStyle w:val="Definition-Field2"/>
      </w:pPr>
      <w:r>
        <w:t>Office uses this simple type to define secondary alignment preferences to be used in a layout algorithm.</w:t>
      </w:r>
    </w:p>
    <w:p w:rsidR="005F78FC" w:rsidRDefault="00B42EF3">
      <w:pPr>
        <w:pStyle w:val="Heading3"/>
      </w:pPr>
      <w:bookmarkStart w:id="3292" w:name="section_9aca776fecc4466e837ede0dff2e505e"/>
      <w:bookmarkStart w:id="3293" w:name="_Toc69879419"/>
      <w:r>
        <w:t>Part 1 Section 21.4.7.57, ST_SecondaryLinearDirection (Secondary Linea</w:t>
      </w:r>
      <w:r>
        <w:t>r Direction)</w:t>
      </w:r>
      <w:bookmarkEnd w:id="3292"/>
      <w:bookmarkEnd w:id="3293"/>
      <w:r>
        <w:fldChar w:fldCharType="begin"/>
      </w:r>
      <w:r>
        <w:instrText xml:space="preserve"> XE "ST_SecondaryLinearDirection (Secondary Linear Direction)" </w:instrText>
      </w:r>
      <w:r>
        <w:fldChar w:fldCharType="end"/>
      </w:r>
    </w:p>
    <w:p w:rsidR="005F78FC" w:rsidRDefault="00B42EF3">
      <w:pPr>
        <w:pStyle w:val="Definition-Field"/>
      </w:pPr>
      <w:r>
        <w:t xml:space="preserve">a.   </w:t>
      </w:r>
      <w:r>
        <w:rPr>
          <w:i/>
        </w:rPr>
        <w:t>The standard states that the ST_SecondaryLinearDirection simple type defines different directions for the nodes in a both hanging layout in the hierarchy algorithm.</w:t>
      </w:r>
    </w:p>
    <w:p w:rsidR="005F78FC" w:rsidRDefault="00B42EF3">
      <w:pPr>
        <w:pStyle w:val="Definition-Field2"/>
      </w:pPr>
      <w:r>
        <w:t>Office u</w:t>
      </w:r>
      <w:r>
        <w:t>ses this simple type to define different directions for the nodes in a layout algorithm.</w:t>
      </w:r>
    </w:p>
    <w:p w:rsidR="005F78FC" w:rsidRDefault="00B42EF3">
      <w:pPr>
        <w:pStyle w:val="Heading3"/>
      </w:pPr>
      <w:bookmarkStart w:id="3294" w:name="section_9c37e55bcb804086b754a2822a74fe98"/>
      <w:bookmarkStart w:id="3295" w:name="_Toc69879420"/>
      <w:r>
        <w:t>Part 1 Section 22.1, Math</w:t>
      </w:r>
      <w:bookmarkEnd w:id="3294"/>
      <w:bookmarkEnd w:id="3295"/>
      <w:r>
        <w:fldChar w:fldCharType="begin"/>
      </w:r>
      <w:r>
        <w:instrText xml:space="preserve"> XE "Math" </w:instrText>
      </w:r>
      <w:r>
        <w:fldChar w:fldCharType="end"/>
      </w:r>
    </w:p>
    <w:p w:rsidR="005F78FC" w:rsidRDefault="00B42EF3">
      <w:pPr>
        <w:pStyle w:val="Definition-Field"/>
      </w:pPr>
      <w:r>
        <w:t xml:space="preserve">a.   </w:t>
      </w:r>
      <w:r>
        <w:rPr>
          <w:i/>
        </w:rPr>
        <w:t>The standard specifies that the ruby element is allowed inside math.</w:t>
      </w:r>
    </w:p>
    <w:p w:rsidR="005F78FC" w:rsidRDefault="00B42EF3">
      <w:pPr>
        <w:pStyle w:val="Definition-Field2"/>
      </w:pPr>
      <w:r>
        <w:t>Word exhibits unpredictable behavior if the ruby eleme</w:t>
      </w:r>
      <w:r>
        <w:t>nt is included inside math, including failing to open the document.</w:t>
      </w:r>
    </w:p>
    <w:p w:rsidR="005F78FC" w:rsidRDefault="00B42EF3">
      <w:pPr>
        <w:pStyle w:val="Definition-Field"/>
      </w:pPr>
      <w:r>
        <w:t xml:space="preserve">b.   </w:t>
      </w:r>
      <w:r>
        <w:rPr>
          <w:i/>
        </w:rPr>
        <w:t>The standard specifies that comments are allowed inside math.</w:t>
      </w:r>
    </w:p>
    <w:p w:rsidR="005F78FC" w:rsidRDefault="00B42EF3">
      <w:pPr>
        <w:pStyle w:val="Definition-Field2"/>
      </w:pPr>
      <w:r>
        <w:t>In Office, unpredictable behavior occurs when comments are included inside math.</w:t>
      </w:r>
    </w:p>
    <w:p w:rsidR="005F78FC" w:rsidRDefault="00B42EF3">
      <w:pPr>
        <w:pStyle w:val="Definition-Field"/>
      </w:pPr>
      <w:r>
        <w:t xml:space="preserve">c.   </w:t>
      </w:r>
      <w:r>
        <w:rPr>
          <w:i/>
        </w:rPr>
        <w:t>The standard specifies that the pic</w:t>
      </w:r>
      <w:r>
        <w:rPr>
          <w:i/>
        </w:rPr>
        <w:t>t element is allowed inside math.</w:t>
      </w:r>
    </w:p>
    <w:p w:rsidR="005F78FC" w:rsidRDefault="00B42EF3">
      <w:pPr>
        <w:pStyle w:val="Definition-Field2"/>
      </w:pPr>
      <w:r>
        <w:t>Word exhibits unpredictable behavior when the pict element is included inside math, including failing to open the document.</w:t>
      </w:r>
    </w:p>
    <w:p w:rsidR="005F78FC" w:rsidRDefault="00B42EF3">
      <w:pPr>
        <w:pStyle w:val="Heading3"/>
      </w:pPr>
      <w:bookmarkStart w:id="3296" w:name="section_292bbf0129d446e3953eacb4ebd8d097"/>
      <w:bookmarkStart w:id="3297" w:name="_Toc69879421"/>
      <w:r>
        <w:t>Part 1 Section 22.1.2.1, acc (Accent)</w:t>
      </w:r>
      <w:bookmarkEnd w:id="3296"/>
      <w:bookmarkEnd w:id="3297"/>
      <w:r>
        <w:fldChar w:fldCharType="begin"/>
      </w:r>
      <w:r>
        <w:instrText xml:space="preserve"> XE "acc (Accent)" </w:instrText>
      </w:r>
      <w:r>
        <w:fldChar w:fldCharType="end"/>
      </w:r>
    </w:p>
    <w:p w:rsidR="005F78FC" w:rsidRDefault="00B42EF3">
      <w:pPr>
        <w:pStyle w:val="Definition-Field2"/>
      </w:pPr>
      <w:r>
        <w:rPr>
          <w:i/>
        </w:rPr>
        <w:t>For additional notes that apply to this</w:t>
      </w:r>
      <w:r>
        <w:rPr>
          <w:i/>
        </w:rPr>
        <w:t xml:space="preserve"> portion of the standard, please see the notes for </w:t>
      </w:r>
      <w:hyperlink w:anchor="Section_ab7a0345712e4eef9bcc80c37e68d9bb">
        <w:r>
          <w:rPr>
            <w:rStyle w:val="Hyperlink"/>
          </w:rPr>
          <w:t>oMath, §22.1.2.77(c)</w:t>
        </w:r>
      </w:hyperlink>
      <w:r>
        <w:rPr>
          <w:i/>
        </w:rPr>
        <w:t>.</w:t>
      </w:r>
    </w:p>
    <w:p w:rsidR="005F78FC" w:rsidRDefault="00B42EF3">
      <w:pPr>
        <w:pStyle w:val="Heading3"/>
      </w:pPr>
      <w:bookmarkStart w:id="3298" w:name="section_2325459a45fc4ed481f209cf0696c03f"/>
      <w:bookmarkStart w:id="3299" w:name="_Toc69879422"/>
      <w:r>
        <w:t>Part 1 Section 22.1.2.3, aln (Alignment)</w:t>
      </w:r>
      <w:bookmarkEnd w:id="3298"/>
      <w:bookmarkEnd w:id="3299"/>
      <w:r>
        <w:fldChar w:fldCharType="begin"/>
      </w:r>
      <w:r>
        <w:instrText xml:space="preserve"> XE "aln (Alignment)" </w:instrText>
      </w:r>
      <w:r>
        <w:fldChar w:fldCharType="end"/>
      </w:r>
    </w:p>
    <w:p w:rsidR="005F78FC" w:rsidRDefault="00B42EF3">
      <w:pPr>
        <w:pStyle w:val="Definition-Field"/>
      </w:pPr>
      <w:r>
        <w:t xml:space="preserve">a.   </w:t>
      </w:r>
      <w:r>
        <w:rPr>
          <w:i/>
        </w:rPr>
        <w:t>The standard states that aln is not used when appl</w:t>
      </w:r>
      <w:r>
        <w:rPr>
          <w:i/>
        </w:rPr>
        <w:t>ied to a box which is not an operator emulator.</w:t>
      </w:r>
    </w:p>
    <w:p w:rsidR="005F78FC" w:rsidRDefault="00B42EF3">
      <w:pPr>
        <w:pStyle w:val="Definition-Field2"/>
      </w:pPr>
      <w:r>
        <w:lastRenderedPageBreak/>
        <w:t>Office does not allow aln to be applied to a box which is not an operator emulator.</w:t>
      </w:r>
    </w:p>
    <w:p w:rsidR="005F78FC" w:rsidRDefault="00B42EF3">
      <w:pPr>
        <w:pStyle w:val="Definition-Field"/>
      </w:pPr>
      <w:r>
        <w:t xml:space="preserve">b.   </w:t>
      </w:r>
      <w:r>
        <w:rPr>
          <w:i/>
        </w:rPr>
        <w:t>The standard says aln applies only to the box function even though the schema allows it as a child of math runs.</w:t>
      </w:r>
    </w:p>
    <w:p w:rsidR="005F78FC" w:rsidRDefault="00B42EF3">
      <w:pPr>
        <w:pStyle w:val="Definition-Field2"/>
      </w:pPr>
      <w:r>
        <w:t xml:space="preserve">In </w:t>
      </w:r>
      <w:r>
        <w:t>Word, the aln element applies to the box function and to math runs.</w:t>
      </w:r>
    </w:p>
    <w:p w:rsidR="005F78FC" w:rsidRDefault="00B42EF3">
      <w:pPr>
        <w:pStyle w:val="Heading3"/>
      </w:pPr>
      <w:bookmarkStart w:id="3300" w:name="section_2d093a56814f4f548b5d6551356e7636"/>
      <w:bookmarkStart w:id="3301" w:name="_Toc69879423"/>
      <w:r>
        <w:t>Part 1 Section 22.1.2.7, bar (Bar)</w:t>
      </w:r>
      <w:bookmarkEnd w:id="3300"/>
      <w:bookmarkEnd w:id="3301"/>
      <w:r>
        <w:fldChar w:fldCharType="begin"/>
      </w:r>
      <w:r>
        <w:instrText xml:space="preserve"> XE "bar (Bar)"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5F78FC" w:rsidRDefault="00B42EF3">
      <w:pPr>
        <w:pStyle w:val="Heading3"/>
      </w:pPr>
      <w:bookmarkStart w:id="3302" w:name="section_fdb9a8e819b248e78ba1f39f9f5e7e0f"/>
      <w:bookmarkStart w:id="3303" w:name="_Toc69879424"/>
      <w:r>
        <w:t>Part 1 Section 22.1.2.8, barPr (Bar Properties)</w:t>
      </w:r>
      <w:bookmarkEnd w:id="3302"/>
      <w:bookmarkEnd w:id="3303"/>
      <w:r>
        <w:fldChar w:fldCharType="begin"/>
      </w:r>
      <w:r>
        <w:instrText xml:space="preserve"> XE "barPr (Bar Properties)" </w:instrText>
      </w:r>
      <w:r>
        <w:fldChar w:fldCharType="end"/>
      </w:r>
    </w:p>
    <w:p w:rsidR="005F78FC" w:rsidRDefault="00B42EF3">
      <w:pPr>
        <w:pStyle w:val="Definition-Field"/>
      </w:pPr>
      <w:r>
        <w:t xml:space="preserve">a.   </w:t>
      </w:r>
      <w:r>
        <w:rPr>
          <w:i/>
        </w:rPr>
        <w:t>The standard states that the bar assumes its default location of top (the mathematical overbar) when this element is omitted.</w:t>
      </w:r>
    </w:p>
    <w:p w:rsidR="005F78FC" w:rsidRDefault="00B42EF3">
      <w:pPr>
        <w:pStyle w:val="Definition-Field2"/>
      </w:pPr>
      <w:r>
        <w:t>Word u</w:t>
      </w:r>
      <w:r>
        <w:t>ses a default location of bottom (the mathematical underbar) when this element is omitted.</w:t>
      </w:r>
    </w:p>
    <w:p w:rsidR="005F78FC" w:rsidRDefault="00B42EF3">
      <w:pPr>
        <w:pStyle w:val="Heading3"/>
      </w:pPr>
      <w:bookmarkStart w:id="3304" w:name="section_db8d16282e6c46e4962ed25e9bab147f"/>
      <w:bookmarkStart w:id="3305" w:name="_Toc69879425"/>
      <w:r>
        <w:t>Part 1 Section 22.1.2.9, baseJc (Matrix Base Justification)</w:t>
      </w:r>
      <w:bookmarkEnd w:id="3304"/>
      <w:bookmarkEnd w:id="3305"/>
      <w:r>
        <w:fldChar w:fldCharType="begin"/>
      </w:r>
      <w:r>
        <w:instrText xml:space="preserve"> XE "baseJc (Matrix Base Justification)" </w:instrText>
      </w:r>
      <w:r>
        <w:fldChar w:fldCharType="end"/>
      </w:r>
    </w:p>
    <w:p w:rsidR="005F78FC" w:rsidRDefault="00B42EF3">
      <w:pPr>
        <w:pStyle w:val="Definition-Field"/>
      </w:pPr>
      <w:r>
        <w:t xml:space="preserve">a.   </w:t>
      </w:r>
      <w:r>
        <w:rPr>
          <w:i/>
        </w:rPr>
        <w:t>The standard says that baseJc applies only to matrices ev</w:t>
      </w:r>
      <w:r>
        <w:rPr>
          <w:i/>
        </w:rPr>
        <w:t>en though the schema allows it as a child of equation arrays.</w:t>
      </w:r>
    </w:p>
    <w:p w:rsidR="005F78FC" w:rsidRDefault="00B42EF3">
      <w:pPr>
        <w:pStyle w:val="Definition-Field2"/>
      </w:pPr>
      <w:r>
        <w:t>In Word, baseJc applies to matrices and equation arrays.</w:t>
      </w:r>
    </w:p>
    <w:p w:rsidR="005F78FC" w:rsidRDefault="00B42EF3">
      <w:pPr>
        <w:pStyle w:val="Definition-Field"/>
      </w:pPr>
      <w:r>
        <w:t xml:space="preserve">b.   </w:t>
      </w:r>
      <w:r>
        <w:rPr>
          <w:i/>
        </w:rPr>
        <w:t>The standard does not specify in detail how to align the matrix with the surrounding content.</w:t>
      </w:r>
    </w:p>
    <w:p w:rsidR="005F78FC" w:rsidRDefault="00B42EF3">
      <w:pPr>
        <w:pStyle w:val="Definition-Field2"/>
      </w:pPr>
      <w:r>
        <w:t xml:space="preserve">Word uses baseline alignment to align </w:t>
      </w:r>
      <w:r>
        <w:t>the matrix with the surrounding content.</w:t>
      </w:r>
    </w:p>
    <w:p w:rsidR="005F78FC" w:rsidRDefault="00B42EF3">
      <w:pPr>
        <w:pStyle w:val="Heading3"/>
      </w:pPr>
      <w:bookmarkStart w:id="3306" w:name="section_04b9c6a86b734659894e9b43618ee281"/>
      <w:bookmarkStart w:id="3307" w:name="_Toc69879426"/>
      <w:r>
        <w:t>Part 1 Section 22.1.2.11, borderBox (Border-Box Object)</w:t>
      </w:r>
      <w:bookmarkEnd w:id="3306"/>
      <w:bookmarkEnd w:id="3307"/>
      <w:r>
        <w:fldChar w:fldCharType="begin"/>
      </w:r>
      <w:r>
        <w:instrText xml:space="preserve"> XE "borderBox (Border-Box Object)"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5F78FC" w:rsidRDefault="00B42EF3">
      <w:pPr>
        <w:pStyle w:val="Heading3"/>
      </w:pPr>
      <w:bookmarkStart w:id="3308" w:name="section_63c8849f1c244a1b94b3e987f4a20e54"/>
      <w:bookmarkStart w:id="3309" w:name="_Toc69879427"/>
      <w:r>
        <w:t>Part 1 Section 22.1.2.13, box (Box Object)</w:t>
      </w:r>
      <w:bookmarkEnd w:id="3308"/>
      <w:bookmarkEnd w:id="3309"/>
      <w:r>
        <w:fldChar w:fldCharType="begin"/>
      </w:r>
      <w:r>
        <w:instrText xml:space="preserve"> XE "box (Box Object)"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5F78FC" w:rsidRDefault="00B42EF3">
      <w:pPr>
        <w:pStyle w:val="Heading3"/>
      </w:pPr>
      <w:bookmarkStart w:id="3310" w:name="section_9742c999b0654a7091b509d6a6cf99f7"/>
      <w:bookmarkStart w:id="3311" w:name="_Toc69879428"/>
      <w:r>
        <w:t>Part 1 Section 22.1.2.15, brk (Break)</w:t>
      </w:r>
      <w:bookmarkEnd w:id="3310"/>
      <w:bookmarkEnd w:id="3311"/>
      <w:r>
        <w:fldChar w:fldCharType="begin"/>
      </w:r>
      <w:r>
        <w:instrText xml:space="preserve"> XE "brk (Break)" </w:instrText>
      </w:r>
      <w:r>
        <w:fldChar w:fldCharType="end"/>
      </w:r>
    </w:p>
    <w:p w:rsidR="005F78FC" w:rsidRDefault="00B42EF3">
      <w:pPr>
        <w:pStyle w:val="Definition-Field"/>
      </w:pPr>
      <w:r>
        <w:t xml:space="preserve">a.   </w:t>
      </w:r>
      <w:r>
        <w:rPr>
          <w:i/>
        </w:rPr>
        <w:t>The standard allows any value for alnAt between 1 and 255.</w:t>
      </w:r>
    </w:p>
    <w:p w:rsidR="005F78FC" w:rsidRDefault="00B42EF3">
      <w:pPr>
        <w:pStyle w:val="Definition-Field2"/>
      </w:pPr>
      <w:r>
        <w:t>Word requires the value of alnAt to be less than the index of the first operator in the equat</w:t>
      </w:r>
      <w:r>
        <w:t>ion with a manual break.</w:t>
      </w:r>
    </w:p>
    <w:p w:rsidR="005F78FC" w:rsidRDefault="00B42EF3">
      <w:pPr>
        <w:pStyle w:val="Definition-Field"/>
      </w:pPr>
      <w:r>
        <w:t xml:space="preserve">b.   </w:t>
      </w:r>
      <w:r>
        <w:rPr>
          <w:i/>
        </w:rPr>
        <w:t>The standard allows brk element to be specified for any math run.</w:t>
      </w:r>
    </w:p>
    <w:p w:rsidR="005F78FC" w:rsidRDefault="00B42EF3">
      <w:pPr>
        <w:pStyle w:val="Definition-Field2"/>
      </w:pPr>
      <w:r>
        <w:t>Word ignores brk if it is specified for a math run which does not begin with an operator.</w:t>
      </w:r>
    </w:p>
    <w:p w:rsidR="005F78FC" w:rsidRDefault="00B42EF3">
      <w:pPr>
        <w:pStyle w:val="Definition-Field"/>
      </w:pPr>
      <w:r>
        <w:t xml:space="preserve">c.   </w:t>
      </w:r>
      <w:r>
        <w:rPr>
          <w:i/>
        </w:rPr>
        <w:t>The standard says the alignAt attribute specifies how to align th</w:t>
      </w:r>
      <w:r>
        <w:rPr>
          <w:i/>
        </w:rPr>
        <w:t>e current line of the equation with the previous line of the equation.</w:t>
      </w:r>
    </w:p>
    <w:p w:rsidR="005F78FC" w:rsidRDefault="00B42EF3">
      <w:pPr>
        <w:pStyle w:val="Definition-Field2"/>
      </w:pPr>
      <w:r>
        <w:t>In Word, the alignAt attribute specifies how to align the current line of the equation with the first line of the equation.</w:t>
      </w:r>
    </w:p>
    <w:p w:rsidR="005F78FC" w:rsidRDefault="00B42EF3">
      <w:pPr>
        <w:pStyle w:val="Heading3"/>
      </w:pPr>
      <w:bookmarkStart w:id="3312" w:name="section_3c0b4f327702471e8ffe325a915481b3"/>
      <w:bookmarkStart w:id="3313" w:name="_Toc69879429"/>
      <w:r>
        <w:lastRenderedPageBreak/>
        <w:t>Part 1 Section 22.1.2.18, cGp (Matrix Column Gap)</w:t>
      </w:r>
      <w:bookmarkEnd w:id="3312"/>
      <w:bookmarkEnd w:id="3313"/>
      <w:r>
        <w:fldChar w:fldCharType="begin"/>
      </w:r>
      <w:r>
        <w:instrText xml:space="preserve"> XE "cGp (Ma</w:instrText>
      </w:r>
      <w:r>
        <w:instrText xml:space="preserve">trix Column Gap)"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71424b866d3c4173a2027fc4efad6377">
        <w:r>
          <w:rPr>
            <w:rStyle w:val="Hyperlink"/>
          </w:rPr>
          <w:t>ST_UnSignedInteger, §22.1.3.14(a)</w:t>
        </w:r>
      </w:hyperlink>
      <w:r>
        <w:rPr>
          <w:i/>
        </w:rPr>
        <w:t>.</w:t>
      </w:r>
    </w:p>
    <w:p w:rsidR="005F78FC" w:rsidRDefault="00B42EF3">
      <w:pPr>
        <w:pStyle w:val="Heading3"/>
      </w:pPr>
      <w:bookmarkStart w:id="3314" w:name="section_371c0b7677f1445f8546de0c5b1ada0d"/>
      <w:bookmarkStart w:id="3315" w:name="_Toc69879430"/>
      <w:r>
        <w:t>Part 1 Section 22.1.2.19, cGpRule (Matrix Colum</w:t>
      </w:r>
      <w:r>
        <w:t>n Gap Rule)</w:t>
      </w:r>
      <w:bookmarkEnd w:id="3314"/>
      <w:bookmarkEnd w:id="3315"/>
      <w:r>
        <w:fldChar w:fldCharType="begin"/>
      </w:r>
      <w:r>
        <w:instrText xml:space="preserve"> XE "cGpRule (Matrix Column Gap Rule)"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bc0219213f1f402abccba4d59be53942">
        <w:r>
          <w:rPr>
            <w:rStyle w:val="Hyperlink"/>
          </w:rPr>
          <w:t>rSpRule, §22.1.2.93(a)</w:t>
        </w:r>
      </w:hyperlink>
      <w:r>
        <w:rPr>
          <w:i/>
        </w:rPr>
        <w:t>.</w:t>
      </w:r>
    </w:p>
    <w:p w:rsidR="005F78FC" w:rsidRDefault="00B42EF3">
      <w:pPr>
        <w:pStyle w:val="Heading3"/>
      </w:pPr>
      <w:bookmarkStart w:id="3316" w:name="section_905f41bbce9847e0ad41446ce9012042"/>
      <w:bookmarkStart w:id="3317" w:name="_Toc69879431"/>
      <w:r>
        <w:t xml:space="preserve">Part 1 Section 22.1.2.21, </w:t>
      </w:r>
      <w:r>
        <w:t>count (Matrix Column Count)</w:t>
      </w:r>
      <w:bookmarkEnd w:id="3316"/>
      <w:bookmarkEnd w:id="3317"/>
      <w:r>
        <w:fldChar w:fldCharType="begin"/>
      </w:r>
      <w:r>
        <w:instrText xml:space="preserve"> XE "count (Matrix Column Count)"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8888801c0ecc48cb8ca4b1b34a8970a3">
        <w:r>
          <w:rPr>
            <w:rStyle w:val="Hyperlink"/>
          </w:rPr>
          <w:t>mr, §22.1.2.69(a)</w:t>
        </w:r>
      </w:hyperlink>
      <w:r>
        <w:rPr>
          <w:i/>
        </w:rPr>
        <w:t>.</w:t>
      </w:r>
    </w:p>
    <w:p w:rsidR="005F78FC" w:rsidRDefault="00B42EF3">
      <w:pPr>
        <w:pStyle w:val="Definition-Field"/>
      </w:pPr>
      <w:r>
        <w:t xml:space="preserve">a.   </w:t>
      </w:r>
      <w:r>
        <w:rPr>
          <w:i/>
        </w:rPr>
        <w:t xml:space="preserve">The standard </w:t>
      </w:r>
      <w:r>
        <w:rPr>
          <w:i/>
        </w:rPr>
        <w:t>does not specify how to interpret the matrix column count when the count element is omitted.</w:t>
      </w:r>
    </w:p>
    <w:p w:rsidR="005F78FC" w:rsidRDefault="00B42EF3">
      <w:pPr>
        <w:pStyle w:val="Definition-Field2"/>
      </w:pPr>
      <w:r>
        <w:t>Office assumes the matrix column count is 1 when this element is omitted.</w:t>
      </w:r>
    </w:p>
    <w:p w:rsidR="005F78FC" w:rsidRDefault="00B42EF3">
      <w:pPr>
        <w:pStyle w:val="Definition-Field"/>
      </w:pPr>
      <w:r>
        <w:t xml:space="preserve">b.   </w:t>
      </w:r>
      <w:r>
        <w:rPr>
          <w:i/>
        </w:rPr>
        <w:t>The standard states that the values of the val attribute are defined by ST_Integer25</w:t>
      </w:r>
      <w:r>
        <w:rPr>
          <w:i/>
        </w:rPr>
        <w:t>5 simple type.</w:t>
      </w:r>
    </w:p>
    <w:p w:rsidR="005F78FC" w:rsidRDefault="00B42EF3">
      <w:pPr>
        <w:pStyle w:val="Definition-Field2"/>
      </w:pPr>
      <w:r>
        <w:t>Office restricts the value of this attribute to be at least 1 and at most 64.</w:t>
      </w:r>
    </w:p>
    <w:p w:rsidR="005F78FC" w:rsidRDefault="00B42EF3">
      <w:pPr>
        <w:pStyle w:val="Heading3"/>
      </w:pPr>
      <w:bookmarkStart w:id="3318" w:name="section_8c4a5c5e7e6349dd99fdfa57af3ab910"/>
      <w:bookmarkStart w:id="3319" w:name="_Toc69879432"/>
      <w:r>
        <w:t>Part 1 Section 22.1.2.22, cSp (Minimum Matrix Column Width)</w:t>
      </w:r>
      <w:bookmarkEnd w:id="3318"/>
      <w:bookmarkEnd w:id="3319"/>
      <w:r>
        <w:fldChar w:fldCharType="begin"/>
      </w:r>
      <w:r>
        <w:instrText xml:space="preserve"> XE "cSp (Minimum Matrix Column Width)" </w:instrText>
      </w:r>
      <w:r>
        <w:fldChar w:fldCharType="end"/>
      </w:r>
    </w:p>
    <w:p w:rsidR="005F78FC" w:rsidRDefault="00B42EF3">
      <w:pPr>
        <w:pStyle w:val="Definition-Field"/>
      </w:pPr>
      <w:r>
        <w:t xml:space="preserve">a.   </w:t>
      </w:r>
      <w:r>
        <w:rPr>
          <w:i/>
        </w:rPr>
        <w:t>The standard states that the values of the val attribute</w:t>
      </w:r>
      <w:r>
        <w:rPr>
          <w:i/>
        </w:rPr>
        <w:t xml:space="preserve"> are defined by the XML unsignedInt datatype.</w:t>
      </w:r>
    </w:p>
    <w:p w:rsidR="005F78FC" w:rsidRDefault="00B42EF3">
      <w:pPr>
        <w:pStyle w:val="Definition-Field2"/>
      </w:pPr>
      <w:r>
        <w:t>Office restricts the value of this attribute to be at most 31680 (22").</w:t>
      </w:r>
    </w:p>
    <w:p w:rsidR="005F78FC" w:rsidRDefault="00B42EF3">
      <w:pPr>
        <w:pStyle w:val="Heading3"/>
      </w:pPr>
      <w:bookmarkStart w:id="3320" w:name="section_93f2186763064c8b8aa9390d0adc4e3f"/>
      <w:bookmarkStart w:id="3321" w:name="_Toc69879433"/>
      <w:r>
        <w:t>Part 1 Section 22.1.2.23, ctrlPr (Control Properties)</w:t>
      </w:r>
      <w:bookmarkEnd w:id="3320"/>
      <w:bookmarkEnd w:id="3321"/>
      <w:r>
        <w:fldChar w:fldCharType="begin"/>
      </w:r>
      <w:r>
        <w:instrText xml:space="preserve"> XE "ctrlPr (Control Properties)" </w:instrText>
      </w:r>
      <w:r>
        <w:fldChar w:fldCharType="end"/>
      </w:r>
    </w:p>
    <w:p w:rsidR="005F78FC" w:rsidRDefault="00B42EF3">
      <w:pPr>
        <w:pStyle w:val="Definition-Field"/>
      </w:pPr>
      <w:r>
        <w:t xml:space="preserve">a.   </w:t>
      </w:r>
      <w:r>
        <w:rPr>
          <w:i/>
        </w:rPr>
        <w:t>The standard does not specify where charact</w:t>
      </w:r>
      <w:r>
        <w:rPr>
          <w:i/>
        </w:rPr>
        <w:t>er properties of each control character of a math object are saved.</w:t>
      </w:r>
    </w:p>
    <w:p w:rsidR="005F78FC" w:rsidRDefault="00B42EF3">
      <w:pPr>
        <w:pStyle w:val="Definition-Field2"/>
      </w:pPr>
      <w:r>
        <w:t>Word saves the character properties of the first control character inside the math object properties tag, while the character properties of the rest of the control characters are saved ins</w:t>
      </w:r>
      <w:r>
        <w:t>ide the tags of the arguments of the math object.</w:t>
      </w:r>
    </w:p>
    <w:p w:rsidR="005F78FC" w:rsidRDefault="00B42EF3">
      <w:pPr>
        <w:pStyle w:val="Heading3"/>
      </w:pPr>
      <w:bookmarkStart w:id="3322" w:name="section_191498ba6db5457c8a5b9fd82726c180"/>
      <w:bookmarkStart w:id="3323" w:name="_Toc69879434"/>
      <w:r>
        <w:t>Part 1 Section 22.1.2.24, d (Delimiter Object)</w:t>
      </w:r>
      <w:bookmarkEnd w:id="3322"/>
      <w:bookmarkEnd w:id="3323"/>
      <w:r>
        <w:fldChar w:fldCharType="begin"/>
      </w:r>
      <w:r>
        <w:instrText xml:space="preserve"> XE "d (Delimiter Object)"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5F78FC" w:rsidRDefault="00B42EF3">
      <w:pPr>
        <w:pStyle w:val="Definition-Field"/>
      </w:pPr>
      <w:r>
        <w:t xml:space="preserve">a.   </w:t>
      </w:r>
      <w:r>
        <w:rPr>
          <w:i/>
        </w:rPr>
        <w:t>The standard states that the maxOccurs value for the e child element is unbounded.</w:t>
      </w:r>
    </w:p>
    <w:p w:rsidR="005F78FC" w:rsidRDefault="00B42EF3">
      <w:pPr>
        <w:pStyle w:val="Definition-Field2"/>
      </w:pPr>
      <w:r>
        <w:t>Word limits the occurrences of this element to 1651564.</w:t>
      </w:r>
    </w:p>
    <w:p w:rsidR="005F78FC" w:rsidRDefault="00B42EF3">
      <w:pPr>
        <w:pStyle w:val="Heading3"/>
      </w:pPr>
      <w:bookmarkStart w:id="3324" w:name="section_947f769620974abcb24160d3b70c0911"/>
      <w:bookmarkStart w:id="3325" w:name="_Toc69879435"/>
      <w:r>
        <w:t>Part 1 Section 22.1.2.25, def</w:t>
      </w:r>
      <w:r>
        <w:t>Jc (Default Justification)</w:t>
      </w:r>
      <w:bookmarkEnd w:id="3324"/>
      <w:bookmarkEnd w:id="3325"/>
      <w:r>
        <w:fldChar w:fldCharType="begin"/>
      </w:r>
      <w:r>
        <w:instrText xml:space="preserve"> XE "defJc (Default Justification)" </w:instrText>
      </w:r>
      <w:r>
        <w:fldChar w:fldCharType="end"/>
      </w:r>
    </w:p>
    <w:p w:rsidR="005F78FC" w:rsidRDefault="00B42EF3">
      <w:pPr>
        <w:pStyle w:val="Definition-Field"/>
      </w:pPr>
      <w:r>
        <w:t xml:space="preserve">a.   </w:t>
      </w:r>
      <w:r>
        <w:rPr>
          <w:i/>
        </w:rPr>
        <w:t>The standard implies that the val attribute is optional.</w:t>
      </w:r>
    </w:p>
    <w:p w:rsidR="005F78FC" w:rsidRDefault="00B42EF3">
      <w:pPr>
        <w:pStyle w:val="Definition-Field2"/>
      </w:pPr>
      <w:r>
        <w:t>Word requires this attribute.</w:t>
      </w:r>
    </w:p>
    <w:p w:rsidR="005F78FC" w:rsidRDefault="00B42EF3">
      <w:pPr>
        <w:pStyle w:val="Heading3"/>
      </w:pPr>
      <w:bookmarkStart w:id="3326" w:name="section_a71a37c5c6a148fb9a65ae541c4f878d"/>
      <w:bookmarkStart w:id="3327" w:name="_Toc69879436"/>
      <w:r>
        <w:lastRenderedPageBreak/>
        <w:t>Part 1 Section 22.1.2.26, deg (Degree)</w:t>
      </w:r>
      <w:bookmarkEnd w:id="3326"/>
      <w:bookmarkEnd w:id="3327"/>
      <w:r>
        <w:fldChar w:fldCharType="begin"/>
      </w:r>
      <w:r>
        <w:instrText xml:space="preserve"> XE "deg (Degree)" </w:instrText>
      </w:r>
      <w:r>
        <w:fldChar w:fldCharType="end"/>
      </w:r>
    </w:p>
    <w:p w:rsidR="005F78FC" w:rsidRDefault="00B42EF3">
      <w:pPr>
        <w:pStyle w:val="Definition-Field2"/>
      </w:pPr>
      <w:r>
        <w:rPr>
          <w:i/>
        </w:rPr>
        <w:t>For additional notes that apply to this</w:t>
      </w:r>
      <w:r>
        <w:rPr>
          <w:i/>
        </w:rPr>
        <w:t xml:space="preserve"> portion of the standard, please see the notes for </w:t>
      </w:r>
      <w:hyperlink w:anchor="Section_ab7a0345712e4eef9bcc80c37e68d9bb">
        <w:r>
          <w:rPr>
            <w:rStyle w:val="Hyperlink"/>
          </w:rPr>
          <w:t>oMath, §22.1.2.77(c)</w:t>
        </w:r>
      </w:hyperlink>
      <w:r>
        <w:rPr>
          <w:i/>
        </w:rPr>
        <w:t>.</w:t>
      </w:r>
    </w:p>
    <w:p w:rsidR="005F78FC" w:rsidRDefault="00B42EF3">
      <w:pPr>
        <w:pStyle w:val="Heading3"/>
      </w:pPr>
      <w:bookmarkStart w:id="3328" w:name="section_d60fa15bb1d24088bfffc1a7ea5740cd"/>
      <w:bookmarkStart w:id="3329" w:name="_Toc69879437"/>
      <w:r>
        <w:t>Part 1 Section 22.1.2.27, degHide (Hide Degree)</w:t>
      </w:r>
      <w:bookmarkEnd w:id="3328"/>
      <w:bookmarkEnd w:id="3329"/>
      <w:r>
        <w:fldChar w:fldCharType="begin"/>
      </w:r>
      <w:r>
        <w:instrText xml:space="preserve"> XE "degHide (Hide Degree)" </w:instrText>
      </w:r>
      <w:r>
        <w:fldChar w:fldCharType="end"/>
      </w:r>
    </w:p>
    <w:p w:rsidR="005F78FC" w:rsidRDefault="00B42EF3">
      <w:pPr>
        <w:pStyle w:val="Definition-Field"/>
      </w:pPr>
      <w:r>
        <w:t xml:space="preserve">a.   </w:t>
      </w:r>
      <w:r>
        <w:rPr>
          <w:i/>
        </w:rPr>
        <w:t xml:space="preserve">The standard allows degHide to be on </w:t>
      </w:r>
      <w:r>
        <w:rPr>
          <w:i/>
        </w:rPr>
        <w:t>when the degree is not empty.</w:t>
      </w:r>
    </w:p>
    <w:p w:rsidR="005F78FC" w:rsidRDefault="00B42EF3">
      <w:pPr>
        <w:pStyle w:val="Definition-Field2"/>
      </w:pPr>
      <w:r>
        <w:t>If degHide is on and the degree is not empty, Word displays the contents of the degree in an unexpected place.</w:t>
      </w:r>
    </w:p>
    <w:p w:rsidR="005F78FC" w:rsidRDefault="00B42EF3">
      <w:pPr>
        <w:pStyle w:val="Heading3"/>
      </w:pPr>
      <w:bookmarkStart w:id="3330" w:name="section_e36aa76793f24537bb6a04ec27a2603d"/>
      <w:bookmarkStart w:id="3331" w:name="_Toc69879438"/>
      <w:r>
        <w:t>Part 1 Section 22.1.2.28, den (Denominator)</w:t>
      </w:r>
      <w:bookmarkEnd w:id="3330"/>
      <w:bookmarkEnd w:id="3331"/>
      <w:r>
        <w:fldChar w:fldCharType="begin"/>
      </w:r>
      <w:r>
        <w:instrText xml:space="preserve"> XE "den (Denominator)" </w:instrText>
      </w:r>
      <w:r>
        <w:fldChar w:fldCharType="end"/>
      </w:r>
    </w:p>
    <w:p w:rsidR="005F78FC" w:rsidRDefault="00B42EF3">
      <w:pPr>
        <w:pStyle w:val="Definition-Field2"/>
      </w:pPr>
      <w:r>
        <w:rPr>
          <w:i/>
        </w:rPr>
        <w:t>For additional notes that apply to this porti</w:t>
      </w:r>
      <w:r>
        <w:rPr>
          <w:i/>
        </w:rPr>
        <w:t xml:space="preserve">on of the standard, please see the notes for </w:t>
      </w:r>
      <w:hyperlink w:anchor="Section_ab7a0345712e4eef9bcc80c37e68d9bb">
        <w:r>
          <w:rPr>
            <w:rStyle w:val="Hyperlink"/>
          </w:rPr>
          <w:t>oMath, §22.1.2.77(c)</w:t>
        </w:r>
      </w:hyperlink>
      <w:r>
        <w:rPr>
          <w:i/>
        </w:rPr>
        <w:t>.</w:t>
      </w:r>
    </w:p>
    <w:p w:rsidR="005F78FC" w:rsidRDefault="00B42EF3">
      <w:pPr>
        <w:pStyle w:val="Heading3"/>
      </w:pPr>
      <w:bookmarkStart w:id="3332" w:name="section_3fdde0be3b4d443db3821e648d7219c4"/>
      <w:bookmarkStart w:id="3333" w:name="_Toc69879439"/>
      <w:r>
        <w:t>Part 1 Section 22.1.2.30, dispDef (Use Display Math Defaults)</w:t>
      </w:r>
      <w:bookmarkEnd w:id="3332"/>
      <w:bookmarkEnd w:id="3333"/>
      <w:r>
        <w:fldChar w:fldCharType="begin"/>
      </w:r>
      <w:r>
        <w:instrText xml:space="preserve"> XE "dispDef (Use Display Math Defaults)" </w:instrText>
      </w:r>
      <w:r>
        <w:fldChar w:fldCharType="end"/>
      </w:r>
    </w:p>
    <w:p w:rsidR="005F78FC" w:rsidRDefault="00B42EF3">
      <w:pPr>
        <w:pStyle w:val="Definition-Field"/>
      </w:pPr>
      <w:r>
        <w:t xml:space="preserve">a.   </w:t>
      </w:r>
      <w:r>
        <w:rPr>
          <w:i/>
        </w:rPr>
        <w:t>The standard do</w:t>
      </w:r>
      <w:r>
        <w:rPr>
          <w:i/>
        </w:rPr>
        <w:t>es not specify any effect of the dispDef element.</w:t>
      </w:r>
    </w:p>
    <w:p w:rsidR="005F78FC" w:rsidRDefault="00B42EF3">
      <w:pPr>
        <w:pStyle w:val="Definition-Field2"/>
      </w:pPr>
      <w:r>
        <w:t>If dispDef is off, Word ignores the following math elements:  defJc, lMargin, rMargin, wrapRight, and wrapIndent.  When these elements are ignored, Word will use the properties that are specified by the par</w:t>
      </w:r>
      <w:r>
        <w:t>agraph settings.</w:t>
      </w:r>
    </w:p>
    <w:p w:rsidR="005F78FC" w:rsidRDefault="00B42EF3">
      <w:pPr>
        <w:pStyle w:val="Heading3"/>
      </w:pPr>
      <w:bookmarkStart w:id="3334" w:name="section_c48a2b6342e34d6ab754b47422049f56"/>
      <w:bookmarkStart w:id="3335" w:name="_Toc69879440"/>
      <w:r>
        <w:t>Part 1 Section 22.1.2.32, e (Element (Argument))</w:t>
      </w:r>
      <w:bookmarkEnd w:id="3334"/>
      <w:bookmarkEnd w:id="3335"/>
      <w:r>
        <w:fldChar w:fldCharType="begin"/>
      </w:r>
      <w:r>
        <w:instrText xml:space="preserve"> XE "e (Element (Argument))"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ab7a0345712e4eef9bcc80c37e68d9bb">
        <w:r>
          <w:rPr>
            <w:rStyle w:val="Hyperlink"/>
          </w:rPr>
          <w:t>oMath,</w:t>
        </w:r>
        <w:r>
          <w:rPr>
            <w:rStyle w:val="Hyperlink"/>
          </w:rPr>
          <w:t xml:space="preserve"> §22.1.2.77(c)</w:t>
        </w:r>
      </w:hyperlink>
      <w:r>
        <w:rPr>
          <w:i/>
        </w:rPr>
        <w:t>.</w:t>
      </w:r>
    </w:p>
    <w:p w:rsidR="005F78FC" w:rsidRDefault="00B42EF3">
      <w:pPr>
        <w:pStyle w:val="Heading3"/>
      </w:pPr>
      <w:bookmarkStart w:id="3336" w:name="section_8f2b9c9aaf81400db9d2d86813102b3d"/>
      <w:bookmarkStart w:id="3337" w:name="_Toc69879441"/>
      <w:r>
        <w:t>Part 1 Section 22.1.2.34, eqArr (Array Object)</w:t>
      </w:r>
      <w:bookmarkEnd w:id="3336"/>
      <w:bookmarkEnd w:id="3337"/>
      <w:r>
        <w:fldChar w:fldCharType="begin"/>
      </w:r>
      <w:r>
        <w:instrText xml:space="preserve"> XE "eqArr (Array Object)"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ab7a0345712e4eef9bcc80c37e68d9bb">
        <w:r>
          <w:rPr>
            <w:rStyle w:val="Hyperlink"/>
          </w:rPr>
          <w:t>oMath, §22.</w:t>
        </w:r>
        <w:r>
          <w:rPr>
            <w:rStyle w:val="Hyperlink"/>
          </w:rPr>
          <w:t>1.2.77(c)</w:t>
        </w:r>
      </w:hyperlink>
      <w:r>
        <w:rPr>
          <w:i/>
        </w:rPr>
        <w:t>.</w:t>
      </w:r>
    </w:p>
    <w:p w:rsidR="005F78FC" w:rsidRDefault="00B42EF3">
      <w:pPr>
        <w:pStyle w:val="Definition-Field"/>
      </w:pPr>
      <w:r>
        <w:t xml:space="preserve">a.   </w:t>
      </w:r>
      <w:r>
        <w:rPr>
          <w:i/>
        </w:rPr>
        <w:t>The standard states that the maxOccurs value for the e child element is unbounded.</w:t>
      </w:r>
    </w:p>
    <w:p w:rsidR="005F78FC" w:rsidRDefault="00B42EF3">
      <w:pPr>
        <w:pStyle w:val="Definition-Field2"/>
      </w:pPr>
      <w:r>
        <w:t>Word limits the occurrences of this element to 64.</w:t>
      </w:r>
    </w:p>
    <w:p w:rsidR="005F78FC" w:rsidRDefault="00B42EF3">
      <w:pPr>
        <w:pStyle w:val="Heading3"/>
      </w:pPr>
      <w:bookmarkStart w:id="3338" w:name="section_7c29cbd83f0c4281ae04fc97a81be129"/>
      <w:bookmarkStart w:id="3339" w:name="_Toc69879442"/>
      <w:r>
        <w:t>Part 1 Section 22.1.2.36, f (Fraction Object)</w:t>
      </w:r>
      <w:bookmarkEnd w:id="3338"/>
      <w:bookmarkEnd w:id="3339"/>
      <w:r>
        <w:fldChar w:fldCharType="begin"/>
      </w:r>
      <w:r>
        <w:instrText xml:space="preserve"> XE "f (Fraction Object)" </w:instrText>
      </w:r>
      <w:r>
        <w:fldChar w:fldCharType="end"/>
      </w:r>
    </w:p>
    <w:p w:rsidR="005F78FC" w:rsidRDefault="00B42EF3">
      <w:pPr>
        <w:pStyle w:val="Definition-Field2"/>
      </w:pPr>
      <w:r>
        <w:rPr>
          <w:i/>
        </w:rPr>
        <w:t xml:space="preserve">For additional notes that apply </w:t>
      </w:r>
      <w:r>
        <w:rPr>
          <w:i/>
        </w:rPr>
        <w:t xml:space="preserve">to this portion of the standard, please see the notes for </w:t>
      </w:r>
      <w:hyperlink w:anchor="Section_ab7a0345712e4eef9bcc80c37e68d9bb">
        <w:r>
          <w:rPr>
            <w:rStyle w:val="Hyperlink"/>
          </w:rPr>
          <w:t>oMath, §22.1.2.77(c)</w:t>
        </w:r>
      </w:hyperlink>
      <w:r>
        <w:rPr>
          <w:i/>
        </w:rPr>
        <w:t>.</w:t>
      </w:r>
    </w:p>
    <w:p w:rsidR="005F78FC" w:rsidRDefault="00B42EF3">
      <w:pPr>
        <w:pStyle w:val="Heading3"/>
      </w:pPr>
      <w:bookmarkStart w:id="3340" w:name="section_a9e1349479034e899e2592bccc61e724"/>
      <w:bookmarkStart w:id="3341" w:name="_Toc69879443"/>
      <w:r>
        <w:t>Part 1 Section 22.1.2.37, fName (Function Name)</w:t>
      </w:r>
      <w:bookmarkEnd w:id="3340"/>
      <w:bookmarkEnd w:id="3341"/>
      <w:r>
        <w:fldChar w:fldCharType="begin"/>
      </w:r>
      <w:r>
        <w:instrText xml:space="preserve"> XE "fName (Function Name)" </w:instrText>
      </w:r>
      <w:r>
        <w:fldChar w:fldCharType="end"/>
      </w:r>
    </w:p>
    <w:p w:rsidR="005F78FC" w:rsidRDefault="00B42EF3">
      <w:pPr>
        <w:pStyle w:val="Definition-Field2"/>
      </w:pPr>
      <w:r>
        <w:rPr>
          <w:i/>
        </w:rPr>
        <w:t xml:space="preserve">For additional notes that apply to </w:t>
      </w:r>
      <w:r>
        <w:rPr>
          <w:i/>
        </w:rPr>
        <w:t xml:space="preserve">this portion of the standard, please see the notes for </w:t>
      </w:r>
      <w:hyperlink w:anchor="Section_ab7a0345712e4eef9bcc80c37e68d9bb">
        <w:r>
          <w:rPr>
            <w:rStyle w:val="Hyperlink"/>
          </w:rPr>
          <w:t>oMath, §22.1.2.77(c)</w:t>
        </w:r>
      </w:hyperlink>
      <w:r>
        <w:rPr>
          <w:i/>
        </w:rPr>
        <w:t>.</w:t>
      </w:r>
    </w:p>
    <w:p w:rsidR="005F78FC" w:rsidRDefault="00B42EF3">
      <w:pPr>
        <w:pStyle w:val="Heading3"/>
      </w:pPr>
      <w:bookmarkStart w:id="3342" w:name="section_762ae7b5f1cd472aa836ebd7158c79ce"/>
      <w:bookmarkStart w:id="3343" w:name="_Toc69879444"/>
      <w:r>
        <w:t>Part 1 Section 22.1.2.39, func (Function Apply Object)</w:t>
      </w:r>
      <w:bookmarkEnd w:id="3342"/>
      <w:bookmarkEnd w:id="3343"/>
      <w:r>
        <w:fldChar w:fldCharType="begin"/>
      </w:r>
      <w:r>
        <w:instrText xml:space="preserve"> XE "func (Function Apply Object)" </w:instrText>
      </w:r>
      <w:r>
        <w:fldChar w:fldCharType="end"/>
      </w:r>
    </w:p>
    <w:p w:rsidR="005F78FC" w:rsidRDefault="00B42EF3">
      <w:pPr>
        <w:pStyle w:val="Definition-Field2"/>
      </w:pPr>
      <w:r>
        <w:rPr>
          <w:i/>
        </w:rPr>
        <w:t>For additional notes tha</w:t>
      </w:r>
      <w:r>
        <w:rPr>
          <w:i/>
        </w:rPr>
        <w:t xml:space="preserve">t apply to this portion of the standard, please see the notes for </w:t>
      </w:r>
      <w:hyperlink w:anchor="Section_ab7a0345712e4eef9bcc80c37e68d9bb">
        <w:r>
          <w:rPr>
            <w:rStyle w:val="Hyperlink"/>
          </w:rPr>
          <w:t>oMath, §22.1.2.77(c)</w:t>
        </w:r>
      </w:hyperlink>
      <w:r>
        <w:rPr>
          <w:i/>
        </w:rPr>
        <w:t>.</w:t>
      </w:r>
    </w:p>
    <w:p w:rsidR="005F78FC" w:rsidRDefault="00B42EF3">
      <w:pPr>
        <w:pStyle w:val="Heading3"/>
      </w:pPr>
      <w:bookmarkStart w:id="3344" w:name="section_db588d6af7ca414ab301cefba8fd3e79"/>
      <w:bookmarkStart w:id="3345" w:name="_Toc69879445"/>
      <w:r>
        <w:lastRenderedPageBreak/>
        <w:t>Part 1 Section 22.1.2.41, groupChr (Group-Character Object)</w:t>
      </w:r>
      <w:bookmarkEnd w:id="3344"/>
      <w:bookmarkEnd w:id="3345"/>
      <w:r>
        <w:fldChar w:fldCharType="begin"/>
      </w:r>
      <w:r>
        <w:instrText xml:space="preserve"> XE "groupChr (Group-Character Object)"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5F78FC" w:rsidRDefault="00B42EF3">
      <w:pPr>
        <w:pStyle w:val="Heading3"/>
      </w:pPr>
      <w:bookmarkStart w:id="3346" w:name="section_9700c97afe254445b04a4d3604e64334"/>
      <w:bookmarkStart w:id="3347" w:name="_Toc69879446"/>
      <w:r>
        <w:t>Part 1 Section 22.1.2.43, grow (n-ary Grow)</w:t>
      </w:r>
      <w:bookmarkEnd w:id="3346"/>
      <w:bookmarkEnd w:id="3347"/>
      <w:r>
        <w:fldChar w:fldCharType="begin"/>
      </w:r>
      <w:r>
        <w:instrText xml:space="preserve"> XE "grow (n-ary Grow)" </w:instrText>
      </w:r>
      <w:r>
        <w:fldChar w:fldCharType="end"/>
      </w:r>
    </w:p>
    <w:p w:rsidR="005F78FC" w:rsidRDefault="00B42EF3">
      <w:pPr>
        <w:pStyle w:val="Definition-Field"/>
      </w:pPr>
      <w:r>
        <w:t xml:space="preserve">a.   </w:t>
      </w:r>
      <w:r>
        <w:rPr>
          <w:i/>
        </w:rPr>
        <w:t>The st</w:t>
      </w:r>
      <w:r>
        <w:rPr>
          <w:i/>
        </w:rPr>
        <w:t>andard states that the grow element applies only to n-ary objects.</w:t>
      </w:r>
    </w:p>
    <w:p w:rsidR="005F78FC" w:rsidRDefault="00B42EF3">
      <w:pPr>
        <w:pStyle w:val="Definition-Field2"/>
      </w:pPr>
      <w:r>
        <w:t>Office applies the grow element to n-ary objects and delimiter objects.</w:t>
      </w:r>
    </w:p>
    <w:p w:rsidR="005F78FC" w:rsidRDefault="00B42EF3">
      <w:pPr>
        <w:pStyle w:val="Definition-Field"/>
      </w:pPr>
      <w:r>
        <w:t xml:space="preserve">b.   </w:t>
      </w:r>
      <w:r>
        <w:rPr>
          <w:i/>
        </w:rPr>
        <w:t>The standard states that the grow element operates at the document level.</w:t>
      </w:r>
    </w:p>
    <w:p w:rsidR="005F78FC" w:rsidRDefault="00B42EF3">
      <w:pPr>
        <w:pStyle w:val="Definition-Field2"/>
      </w:pPr>
      <w:r>
        <w:t>In Office, the grow element operates a</w:t>
      </w:r>
      <w:r>
        <w:t>t the object level.</w:t>
      </w:r>
    </w:p>
    <w:p w:rsidR="005F78FC" w:rsidRDefault="00B42EF3">
      <w:pPr>
        <w:pStyle w:val="Heading3"/>
      </w:pPr>
      <w:bookmarkStart w:id="3348" w:name="section_ac1def597ec641b0b012430cbf3d235b"/>
      <w:bookmarkStart w:id="3349" w:name="_Toc69879447"/>
      <w:r>
        <w:t>Part 1 Section 22.1.2.48, interSp (Inter-Equation Spacing)</w:t>
      </w:r>
      <w:bookmarkEnd w:id="3348"/>
      <w:bookmarkEnd w:id="3349"/>
      <w:r>
        <w:fldChar w:fldCharType="begin"/>
      </w:r>
      <w:r>
        <w:instrText xml:space="preserve"> XE "interSp (Inter-Equation Spacing)" </w:instrText>
      </w:r>
      <w:r>
        <w:fldChar w:fldCharType="end"/>
      </w:r>
    </w:p>
    <w:p w:rsidR="005F78FC" w:rsidRDefault="00B42EF3">
      <w:pPr>
        <w:pStyle w:val="Definition-Field"/>
      </w:pPr>
      <w:r>
        <w:t xml:space="preserve">a.   </w:t>
      </w:r>
      <w:r>
        <w:rPr>
          <w:i/>
        </w:rPr>
        <w:t>The standard specifies the presence of the interSp attribute.</w:t>
      </w:r>
    </w:p>
    <w:p w:rsidR="005F78FC" w:rsidRDefault="00B42EF3">
      <w:pPr>
        <w:pStyle w:val="Definition-Field2"/>
      </w:pPr>
      <w:r>
        <w:t>Word ignores the interSp attribute and fails to write it back out.</w:t>
      </w:r>
    </w:p>
    <w:p w:rsidR="005F78FC" w:rsidRDefault="00B42EF3">
      <w:pPr>
        <w:pStyle w:val="Heading3"/>
      </w:pPr>
      <w:bookmarkStart w:id="3350" w:name="section_e300be7298e0421cb1c6a8d380e511a4"/>
      <w:bookmarkStart w:id="3351" w:name="_Toc69879448"/>
      <w:r>
        <w:t>Pa</w:t>
      </w:r>
      <w:r>
        <w:t>rt 1 Section 22.1.2.49, intLim (Integral Limit Locations)</w:t>
      </w:r>
      <w:bookmarkEnd w:id="3350"/>
      <w:bookmarkEnd w:id="3351"/>
      <w:r>
        <w:fldChar w:fldCharType="begin"/>
      </w:r>
      <w:r>
        <w:instrText xml:space="preserve"> XE "intLim (Integral Limit Locations)" </w:instrText>
      </w:r>
      <w:r>
        <w:fldChar w:fldCharType="end"/>
      </w:r>
    </w:p>
    <w:p w:rsidR="005F78FC" w:rsidRDefault="00B42EF3">
      <w:pPr>
        <w:pStyle w:val="Definition-Field"/>
      </w:pPr>
      <w:r>
        <w:t xml:space="preserve">a.   </w:t>
      </w:r>
      <w:r>
        <w:rPr>
          <w:i/>
        </w:rPr>
        <w:t>The standard says intLim specifies limit placement when converting from linear format.</w:t>
      </w:r>
    </w:p>
    <w:p w:rsidR="005F78FC" w:rsidRDefault="00B42EF3">
      <w:pPr>
        <w:pStyle w:val="Definition-Field2"/>
      </w:pPr>
      <w:r>
        <w:t>In Word, naryLim specifies limit placement when limLoc is omitte</w:t>
      </w:r>
      <w:r>
        <w:t>d as well as limit placement when converting from linear format.</w:t>
      </w:r>
    </w:p>
    <w:p w:rsidR="005F78FC" w:rsidRDefault="00B42EF3">
      <w:pPr>
        <w:pStyle w:val="Heading3"/>
      </w:pPr>
      <w:bookmarkStart w:id="3352" w:name="section_0a68ce910df044e48b4807dc432a7dee"/>
      <w:bookmarkStart w:id="3353" w:name="_Toc69879449"/>
      <w:r>
        <w:t>Part 1 Section 22.1.2.50, intraSp (Intra-Equation Spacing)</w:t>
      </w:r>
      <w:bookmarkEnd w:id="3352"/>
      <w:bookmarkEnd w:id="3353"/>
      <w:r>
        <w:fldChar w:fldCharType="begin"/>
      </w:r>
      <w:r>
        <w:instrText xml:space="preserve"> XE "intraSp (Intra-Equation Spacing)" </w:instrText>
      </w:r>
      <w:r>
        <w:fldChar w:fldCharType="end"/>
      </w:r>
    </w:p>
    <w:p w:rsidR="005F78FC" w:rsidRDefault="00B42EF3">
      <w:pPr>
        <w:pStyle w:val="Definition-Field"/>
      </w:pPr>
      <w:r>
        <w:t xml:space="preserve">a.   </w:t>
      </w:r>
      <w:r>
        <w:rPr>
          <w:i/>
        </w:rPr>
        <w:t xml:space="preserve">The standard states that the intraSp element specifies the spacing between adjacent </w:t>
      </w:r>
      <w:r>
        <w:rPr>
          <w:i/>
        </w:rPr>
        <w:t>display math paragraphs, in twips.</w:t>
      </w:r>
    </w:p>
    <w:p w:rsidR="005F78FC" w:rsidRDefault="00B42EF3">
      <w:pPr>
        <w:pStyle w:val="Definition-Field2"/>
      </w:pPr>
      <w:r>
        <w:t>Word does not implement this feature and does not write the intraSp element.</w:t>
      </w:r>
    </w:p>
    <w:p w:rsidR="005F78FC" w:rsidRDefault="00B42EF3">
      <w:pPr>
        <w:pStyle w:val="Heading3"/>
      </w:pPr>
      <w:bookmarkStart w:id="3354" w:name="section_6d78a918a0224b93b9a3e4f85ff43e00"/>
      <w:bookmarkStart w:id="3355" w:name="_Toc69879450"/>
      <w:r>
        <w:t>Part 1 Section 22.1.2.51, jc (Justification)</w:t>
      </w:r>
      <w:bookmarkEnd w:id="3354"/>
      <w:bookmarkEnd w:id="3355"/>
      <w:r>
        <w:fldChar w:fldCharType="begin"/>
      </w:r>
      <w:r>
        <w:instrText xml:space="preserve"> XE "jc (Justification)" </w:instrText>
      </w:r>
      <w:r>
        <w:fldChar w:fldCharType="end"/>
      </w:r>
    </w:p>
    <w:p w:rsidR="005F78FC" w:rsidRDefault="00B42EF3">
      <w:pPr>
        <w:pStyle w:val="Definition-Field2"/>
      </w:pPr>
      <w:r>
        <w:rPr>
          <w:i/>
        </w:rPr>
        <w:t xml:space="preserve">For additional notes that apply to this portion of the standard, please </w:t>
      </w:r>
      <w:r>
        <w:rPr>
          <w:i/>
        </w:rPr>
        <w:t xml:space="preserve">see the notes for </w:t>
      </w:r>
      <w:hyperlink w:anchor="Section_947f769620974abcb24160d3b70c0911">
        <w:r>
          <w:rPr>
            <w:rStyle w:val="Hyperlink"/>
          </w:rPr>
          <w:t>defJc, §22.1.2.25(a)</w:t>
        </w:r>
      </w:hyperlink>
      <w:r>
        <w:rPr>
          <w:i/>
        </w:rPr>
        <w:t>.</w:t>
      </w:r>
    </w:p>
    <w:p w:rsidR="005F78FC" w:rsidRDefault="00B42EF3">
      <w:pPr>
        <w:pStyle w:val="Definition-Field"/>
      </w:pPr>
      <w:r>
        <w:t xml:space="preserve">a.   </w:t>
      </w:r>
      <w:r>
        <w:rPr>
          <w:i/>
        </w:rPr>
        <w:t>The standard says that if jc is omitted, the math paragraph is Centered as Group.</w:t>
      </w:r>
    </w:p>
    <w:p w:rsidR="005F78FC" w:rsidRDefault="00B42EF3">
      <w:pPr>
        <w:pStyle w:val="Definition-Field2"/>
      </w:pPr>
      <w:r>
        <w:t>In Word, if jc is omitted, the value is taken from the document de</w:t>
      </w:r>
      <w:r>
        <w:t>fault defJc.</w:t>
      </w:r>
    </w:p>
    <w:p w:rsidR="005F78FC" w:rsidRDefault="00B42EF3">
      <w:pPr>
        <w:pStyle w:val="Heading3"/>
      </w:pPr>
      <w:bookmarkStart w:id="3356" w:name="section_76f92d20f41e48d9a6fc0de5733f477a"/>
      <w:bookmarkStart w:id="3357" w:name="_Toc69879451"/>
      <w:r>
        <w:t>Part 1 Section 22.1.2.52, lim (Limit)</w:t>
      </w:r>
      <w:bookmarkEnd w:id="3356"/>
      <w:bookmarkEnd w:id="3357"/>
      <w:r>
        <w:fldChar w:fldCharType="begin"/>
      </w:r>
      <w:r>
        <w:instrText xml:space="preserve"> XE "lim (Limit)"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5F78FC" w:rsidRDefault="00B42EF3">
      <w:pPr>
        <w:pStyle w:val="Definition-Field"/>
      </w:pPr>
      <w:r>
        <w:t xml:space="preserve">a.   </w:t>
      </w:r>
      <w:r>
        <w:rPr>
          <w:i/>
        </w:rPr>
        <w:t>The s</w:t>
      </w:r>
      <w:r>
        <w:rPr>
          <w:i/>
        </w:rPr>
        <w:t>tandard states that lim specifies the lower limit even though the schema also includes it as a child of the upper limit.</w:t>
      </w:r>
    </w:p>
    <w:p w:rsidR="005F78FC" w:rsidRDefault="00B42EF3">
      <w:pPr>
        <w:pStyle w:val="Definition-Field2"/>
      </w:pPr>
      <w:r>
        <w:t>In Word, lim specifies the lower limit or upper limit.</w:t>
      </w:r>
    </w:p>
    <w:p w:rsidR="005F78FC" w:rsidRDefault="00B42EF3">
      <w:pPr>
        <w:pStyle w:val="Heading3"/>
      </w:pPr>
      <w:bookmarkStart w:id="3358" w:name="section_d4e1a069839f40fa8010281af148c209"/>
      <w:bookmarkStart w:id="3359" w:name="_Toc69879452"/>
      <w:r>
        <w:lastRenderedPageBreak/>
        <w:t>Part 1 Section 22.1.2.54, limLow (Lower-Limit Object)</w:t>
      </w:r>
      <w:bookmarkEnd w:id="3358"/>
      <w:bookmarkEnd w:id="3359"/>
      <w:r>
        <w:fldChar w:fldCharType="begin"/>
      </w:r>
      <w:r>
        <w:instrText xml:space="preserve"> XE "limLow (Lower-Limit Ob</w:instrText>
      </w:r>
      <w:r>
        <w:instrText xml:space="preserve">ject)"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5F78FC" w:rsidRDefault="00B42EF3">
      <w:pPr>
        <w:pStyle w:val="Heading3"/>
      </w:pPr>
      <w:bookmarkStart w:id="3360" w:name="section_ea84aac10fc148abbcb96b67689d0a1a"/>
      <w:bookmarkStart w:id="3361" w:name="_Toc69879453"/>
      <w:r>
        <w:t>Part 1 Section 22.1.2.56, limUpp (Upper-Limit Object)</w:t>
      </w:r>
      <w:bookmarkEnd w:id="3360"/>
      <w:bookmarkEnd w:id="3361"/>
      <w:r>
        <w:fldChar w:fldCharType="begin"/>
      </w:r>
      <w:r>
        <w:instrText xml:space="preserve"> XE "limUpp (Upper</w:instrText>
      </w:r>
      <w:r>
        <w:instrText xml:space="preserve">-Limit Object)"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5F78FC" w:rsidRDefault="00B42EF3">
      <w:pPr>
        <w:pStyle w:val="Heading3"/>
      </w:pPr>
      <w:bookmarkStart w:id="3362" w:name="section_5ebe64dcdfd043959169450bd428ae63"/>
      <w:bookmarkStart w:id="3363" w:name="_Toc69879454"/>
      <w:r>
        <w:t>Part 1 Section 22.1.2.60, m (Matrix Object)</w:t>
      </w:r>
      <w:bookmarkEnd w:id="3362"/>
      <w:bookmarkEnd w:id="3363"/>
      <w:r>
        <w:fldChar w:fldCharType="begin"/>
      </w:r>
      <w:r>
        <w:instrText xml:space="preserve"> XE "m (Matrix Obje</w:instrText>
      </w:r>
      <w:r>
        <w:instrText xml:space="preserve">ct)"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5F78FC" w:rsidRDefault="00B42EF3">
      <w:pPr>
        <w:pStyle w:val="Definition-Field"/>
      </w:pPr>
      <w:r>
        <w:t xml:space="preserve">a.   </w:t>
      </w:r>
      <w:r>
        <w:rPr>
          <w:i/>
        </w:rPr>
        <w:t xml:space="preserve">The standard states that the maxOccurs value for the mr child </w:t>
      </w:r>
      <w:r>
        <w:rPr>
          <w:i/>
        </w:rPr>
        <w:t>element is unbounded.</w:t>
      </w:r>
    </w:p>
    <w:p w:rsidR="005F78FC" w:rsidRDefault="00B42EF3">
      <w:pPr>
        <w:pStyle w:val="Definition-Field2"/>
      </w:pPr>
      <w:r>
        <w:t>Word limits the occurrences of this element to 256.</w:t>
      </w:r>
    </w:p>
    <w:p w:rsidR="005F78FC" w:rsidRDefault="00B42EF3">
      <w:pPr>
        <w:pStyle w:val="Heading3"/>
      </w:pPr>
      <w:bookmarkStart w:id="3364" w:name="section_859a8ba5a34c4eacbfbed0f7049d52d7"/>
      <w:bookmarkStart w:id="3365" w:name="_Toc69879455"/>
      <w:r>
        <w:t>Part 1 Section 22.1.2.61, mathFont (Math Font)</w:t>
      </w:r>
      <w:bookmarkEnd w:id="3364"/>
      <w:bookmarkEnd w:id="3365"/>
      <w:r>
        <w:fldChar w:fldCharType="begin"/>
      </w:r>
      <w:r>
        <w:instrText xml:space="preserve"> XE "mathFont (Math Font)" </w:instrText>
      </w:r>
      <w:r>
        <w:fldChar w:fldCharType="end"/>
      </w:r>
    </w:p>
    <w:p w:rsidR="005F78FC" w:rsidRDefault="00B42EF3">
      <w:pPr>
        <w:pStyle w:val="Definition-Field"/>
      </w:pPr>
      <w:r>
        <w:t xml:space="preserve">a.   </w:t>
      </w:r>
      <w:r>
        <w:rPr>
          <w:i/>
        </w:rPr>
        <w:t>The standard does not limit the length of the value of the val attribute.</w:t>
      </w:r>
    </w:p>
    <w:p w:rsidR="005F78FC" w:rsidRDefault="00B42EF3">
      <w:pPr>
        <w:pStyle w:val="Definition-Field2"/>
      </w:pPr>
      <w:r>
        <w:t>Word restricts the value of</w:t>
      </w:r>
      <w:r>
        <w:t xml:space="preserve"> this attribute to be at most 31 characters.</w:t>
      </w:r>
    </w:p>
    <w:p w:rsidR="005F78FC" w:rsidRDefault="00B42EF3">
      <w:pPr>
        <w:pStyle w:val="Definition-Field"/>
      </w:pPr>
      <w:r>
        <w:t xml:space="preserve">b.   </w:t>
      </w:r>
      <w:r>
        <w:rPr>
          <w:i/>
        </w:rPr>
        <w:t>The standard says that the mathFont property is the default math font.</w:t>
      </w:r>
    </w:p>
    <w:p w:rsidR="005F78FC" w:rsidRDefault="00B42EF3">
      <w:pPr>
        <w:pStyle w:val="Definition-Field2"/>
      </w:pPr>
      <w:r>
        <w:t>Word uses this setting when math is created while editing within the application, but not when loading math from a file.</w:t>
      </w:r>
    </w:p>
    <w:p w:rsidR="005F78FC" w:rsidRDefault="00B42EF3">
      <w:pPr>
        <w:pStyle w:val="Definition-Field"/>
      </w:pPr>
      <w:r>
        <w:t xml:space="preserve">c.   </w:t>
      </w:r>
      <w:r>
        <w:rPr>
          <w:i/>
        </w:rPr>
        <w:t>The stand</w:t>
      </w:r>
      <w:r>
        <w:rPr>
          <w:i/>
        </w:rPr>
        <w:t>ard does not specify conditions under which the default math font should be ignored.</w:t>
      </w:r>
    </w:p>
    <w:p w:rsidR="005F78FC" w:rsidRDefault="00B42EF3">
      <w:pPr>
        <w:pStyle w:val="Definition-Field2"/>
      </w:pPr>
      <w:r>
        <w:t>Word ignores the default math font if it is set to an empty string or font which is not appropriate for displaying math.</w:t>
      </w:r>
    </w:p>
    <w:p w:rsidR="005F78FC" w:rsidRDefault="00B42EF3">
      <w:pPr>
        <w:pStyle w:val="Definition-Field"/>
      </w:pPr>
      <w:r>
        <w:t xml:space="preserve">d.   </w:t>
      </w:r>
      <w:r>
        <w:rPr>
          <w:i/>
        </w:rPr>
        <w:t>The standard implies that the val attribute i</w:t>
      </w:r>
      <w:r>
        <w:rPr>
          <w:i/>
        </w:rPr>
        <w:t>s optional.</w:t>
      </w:r>
    </w:p>
    <w:p w:rsidR="005F78FC" w:rsidRDefault="00B42EF3">
      <w:pPr>
        <w:pStyle w:val="Definition-Field2"/>
      </w:pPr>
      <w:r>
        <w:t>Word requires this attribute.</w:t>
      </w:r>
    </w:p>
    <w:p w:rsidR="005F78FC" w:rsidRDefault="00B42EF3">
      <w:pPr>
        <w:pStyle w:val="Heading3"/>
      </w:pPr>
      <w:bookmarkStart w:id="3366" w:name="section_4a8c035cc9304e87aabf32715949ba48"/>
      <w:bookmarkStart w:id="3367" w:name="_Toc69879456"/>
      <w:r>
        <w:t>Part 1 Section 22.1.2.63, maxDist (Maximum Distribution)</w:t>
      </w:r>
      <w:bookmarkEnd w:id="3366"/>
      <w:bookmarkEnd w:id="3367"/>
      <w:r>
        <w:fldChar w:fldCharType="begin"/>
      </w:r>
      <w:r>
        <w:instrText xml:space="preserve"> XE "maxDist (Maximum Distribution)" </w:instrText>
      </w:r>
      <w:r>
        <w:fldChar w:fldCharType="end"/>
      </w:r>
    </w:p>
    <w:p w:rsidR="005F78FC" w:rsidRDefault="00B42EF3">
      <w:pPr>
        <w:pStyle w:val="Definition-Field"/>
      </w:pPr>
      <w:r>
        <w:t xml:space="preserve">a.   </w:t>
      </w:r>
      <w:r>
        <w:rPr>
          <w:i/>
        </w:rPr>
        <w:t xml:space="preserve">The standard allows maxDist to be used in an equation array without alignment points, but does not specify where </w:t>
      </w:r>
      <w:r>
        <w:rPr>
          <w:i/>
        </w:rPr>
        <w:t>that space should be added.</w:t>
      </w:r>
    </w:p>
    <w:p w:rsidR="005F78FC" w:rsidRDefault="00B42EF3">
      <w:pPr>
        <w:pStyle w:val="Definition-Field2"/>
      </w:pPr>
      <w:r>
        <w:t>In Word, maxDist only affects eqArr contents if alignment points are used to specify where space should be added.</w:t>
      </w:r>
    </w:p>
    <w:p w:rsidR="005F78FC" w:rsidRDefault="00B42EF3">
      <w:pPr>
        <w:pStyle w:val="Heading3"/>
      </w:pPr>
      <w:bookmarkStart w:id="3368" w:name="section_764aed492a6b41daa4db13eebd3baac1"/>
      <w:bookmarkStart w:id="3369" w:name="_Toc69879457"/>
      <w:r>
        <w:t>Part 1 Section 22.1.2.64, mc (Matrix Column)</w:t>
      </w:r>
      <w:bookmarkEnd w:id="3368"/>
      <w:bookmarkEnd w:id="3369"/>
      <w:r>
        <w:fldChar w:fldCharType="begin"/>
      </w:r>
      <w:r>
        <w:instrText xml:space="preserve"> XE "mc (Matrix Column)" </w:instrText>
      </w:r>
      <w:r>
        <w:fldChar w:fldCharType="end"/>
      </w:r>
    </w:p>
    <w:p w:rsidR="005F78FC" w:rsidRDefault="00B42EF3">
      <w:pPr>
        <w:pStyle w:val="Definition-Field"/>
      </w:pPr>
      <w:r>
        <w:t xml:space="preserve">a.   </w:t>
      </w:r>
      <w:r>
        <w:rPr>
          <w:i/>
        </w:rPr>
        <w:t>The standard says the mc element spec</w:t>
      </w:r>
      <w:r>
        <w:rPr>
          <w:i/>
        </w:rPr>
        <w:t>ifies the properties of a single column in a matrix.</w:t>
      </w:r>
    </w:p>
    <w:p w:rsidR="005F78FC" w:rsidRDefault="00B42EF3">
      <w:pPr>
        <w:pStyle w:val="Definition-Field2"/>
      </w:pPr>
      <w:r>
        <w:t>Word uses mc to specify the properties of a set of adjacent columns in a matrix.</w:t>
      </w:r>
    </w:p>
    <w:p w:rsidR="005F78FC" w:rsidRDefault="00B42EF3">
      <w:pPr>
        <w:pStyle w:val="Heading3"/>
      </w:pPr>
      <w:bookmarkStart w:id="3370" w:name="section_57fe4ac077a449f09ade51e4ce4cd6f5"/>
      <w:bookmarkStart w:id="3371" w:name="_Toc69879458"/>
      <w:r>
        <w:t>Part 1 Section 22.1.2.67, mcs (Matrix Columns)</w:t>
      </w:r>
      <w:bookmarkEnd w:id="3370"/>
      <w:bookmarkEnd w:id="3371"/>
      <w:r>
        <w:fldChar w:fldCharType="begin"/>
      </w:r>
      <w:r>
        <w:instrText xml:space="preserve"> XE "mcs (Matrix Columns)" </w:instrText>
      </w:r>
      <w:r>
        <w:fldChar w:fldCharType="end"/>
      </w:r>
    </w:p>
    <w:p w:rsidR="005F78FC" w:rsidRDefault="00B42EF3">
      <w:pPr>
        <w:pStyle w:val="Definition-Field"/>
      </w:pPr>
      <w:r>
        <w:t xml:space="preserve">a.   </w:t>
      </w:r>
      <w:r>
        <w:rPr>
          <w:i/>
        </w:rPr>
        <w:t>The standard allows an unbounded number o</w:t>
      </w:r>
      <w:r>
        <w:rPr>
          <w:i/>
        </w:rPr>
        <w:t>f columns in a matrix.</w:t>
      </w:r>
    </w:p>
    <w:p w:rsidR="005F78FC" w:rsidRDefault="00B42EF3">
      <w:pPr>
        <w:pStyle w:val="Definition-Field2"/>
      </w:pPr>
      <w:r>
        <w:t>Word allows at most 64 columns in a matrix.</w:t>
      </w:r>
    </w:p>
    <w:p w:rsidR="005F78FC" w:rsidRDefault="00B42EF3">
      <w:pPr>
        <w:pStyle w:val="Heading3"/>
      </w:pPr>
      <w:bookmarkStart w:id="3372" w:name="section_8888801c0ecc48cb8ca4b1b34a8970a3"/>
      <w:bookmarkStart w:id="3373" w:name="_Toc69879459"/>
      <w:r>
        <w:lastRenderedPageBreak/>
        <w:t>Part 1 Section 22.1.2.69, mr (Matrix Row)</w:t>
      </w:r>
      <w:bookmarkEnd w:id="3372"/>
      <w:bookmarkEnd w:id="3373"/>
      <w:r>
        <w:fldChar w:fldCharType="begin"/>
      </w:r>
      <w:r>
        <w:instrText xml:space="preserve"> XE "mr (Matrix Row)" </w:instrText>
      </w:r>
      <w:r>
        <w:fldChar w:fldCharType="end"/>
      </w:r>
    </w:p>
    <w:p w:rsidR="005F78FC" w:rsidRDefault="00B42EF3">
      <w:pPr>
        <w:pStyle w:val="Definition-Field"/>
      </w:pPr>
      <w:r>
        <w:t xml:space="preserve">a.   </w:t>
      </w:r>
      <w:r>
        <w:rPr>
          <w:i/>
        </w:rPr>
        <w:t>The standard states that the maxOccurs value for the mc child element is unbounded.</w:t>
      </w:r>
    </w:p>
    <w:p w:rsidR="005F78FC" w:rsidRDefault="00B42EF3">
      <w:pPr>
        <w:pStyle w:val="Definition-Field2"/>
      </w:pPr>
      <w:r>
        <w:t>Word limits the occurrences of thi</w:t>
      </w:r>
      <w:r>
        <w:t>s element to 64.</w:t>
      </w:r>
    </w:p>
    <w:p w:rsidR="005F78FC" w:rsidRDefault="00B42EF3">
      <w:pPr>
        <w:pStyle w:val="Heading3"/>
      </w:pPr>
      <w:bookmarkStart w:id="3374" w:name="section_4eec8366f20a41f9b8fa79d5b669c971"/>
      <w:bookmarkStart w:id="3375" w:name="_Toc69879460"/>
      <w:r>
        <w:t>Part 1 Section 22.1.2.70, nary (n-ary Operator Object)</w:t>
      </w:r>
      <w:bookmarkEnd w:id="3374"/>
      <w:bookmarkEnd w:id="3375"/>
      <w:r>
        <w:fldChar w:fldCharType="begin"/>
      </w:r>
      <w:r>
        <w:instrText xml:space="preserve"> XE "nary (n-ary Operator Object)"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5F78FC" w:rsidRDefault="00B42EF3">
      <w:pPr>
        <w:pStyle w:val="Heading3"/>
      </w:pPr>
      <w:bookmarkStart w:id="3376" w:name="section_49f4978c47a149b3916e5f5dd126a221"/>
      <w:bookmarkStart w:id="3377" w:name="_Toc69879461"/>
      <w:r>
        <w:t>Part 1 Section 22.1.2.71, naryLim (n-ary Limit Location)</w:t>
      </w:r>
      <w:bookmarkEnd w:id="3376"/>
      <w:bookmarkEnd w:id="3377"/>
      <w:r>
        <w:fldChar w:fldCharType="begin"/>
      </w:r>
      <w:r>
        <w:instrText xml:space="preserve"> XE "naryLim (n-ary Limit Location)" </w:instrText>
      </w:r>
      <w:r>
        <w:fldChar w:fldCharType="end"/>
      </w:r>
    </w:p>
    <w:p w:rsidR="005F78FC" w:rsidRDefault="00B42EF3">
      <w:pPr>
        <w:pStyle w:val="Definition-Field"/>
      </w:pPr>
      <w:r>
        <w:t xml:space="preserve">a.   </w:t>
      </w:r>
      <w:r>
        <w:rPr>
          <w:i/>
        </w:rPr>
        <w:t>The standard says naryLim specifies limit placement when converting from linear format.</w:t>
      </w:r>
    </w:p>
    <w:p w:rsidR="005F78FC" w:rsidRDefault="00B42EF3">
      <w:pPr>
        <w:pStyle w:val="Definition-Field2"/>
      </w:pPr>
      <w:r>
        <w:t>In Word, naryLim specifies limit placem</w:t>
      </w:r>
      <w:r>
        <w:t>ent when limLoc is omitted as well as limit placement when converting from linear format.</w:t>
      </w:r>
    </w:p>
    <w:p w:rsidR="005F78FC" w:rsidRDefault="00B42EF3">
      <w:pPr>
        <w:pStyle w:val="Heading3"/>
      </w:pPr>
      <w:bookmarkStart w:id="3378" w:name="section_34d6d2894a044b19ac438b261bf034e1"/>
      <w:bookmarkStart w:id="3379" w:name="_Toc69879462"/>
      <w:r>
        <w:t>Part 1 Section 22.1.2.73, noBreak (No Break)</w:t>
      </w:r>
      <w:bookmarkEnd w:id="3378"/>
      <w:bookmarkEnd w:id="3379"/>
      <w:r>
        <w:fldChar w:fldCharType="begin"/>
      </w:r>
      <w:r>
        <w:instrText xml:space="preserve"> XE "noBreak (No Break)" </w:instrText>
      </w:r>
      <w:r>
        <w:fldChar w:fldCharType="end"/>
      </w:r>
    </w:p>
    <w:p w:rsidR="005F78FC" w:rsidRDefault="00B42EF3">
      <w:pPr>
        <w:pStyle w:val="Definition-Field"/>
      </w:pPr>
      <w:r>
        <w:t xml:space="preserve">a.   </w:t>
      </w:r>
      <w:r>
        <w:rPr>
          <w:i/>
        </w:rPr>
        <w:t>The standard does not specify conditions under which noBreak is ignored.</w:t>
      </w:r>
    </w:p>
    <w:p w:rsidR="005F78FC" w:rsidRDefault="00B42EF3">
      <w:pPr>
        <w:pStyle w:val="Definition-Field2"/>
      </w:pPr>
      <w:r>
        <w:t>If opEmu is set,</w:t>
      </w:r>
      <w:r>
        <w:t xml:space="preserve"> Word ignores noBreak and never breaks.</w:t>
      </w:r>
    </w:p>
    <w:p w:rsidR="005F78FC" w:rsidRDefault="00B42EF3">
      <w:pPr>
        <w:pStyle w:val="Definition-Field"/>
      </w:pPr>
      <w:r>
        <w:t xml:space="preserve">b.   </w:t>
      </w:r>
      <w:r>
        <w:rPr>
          <w:i/>
        </w:rPr>
        <w:t>The standard says the default is off.</w:t>
      </w:r>
    </w:p>
    <w:p w:rsidR="005F78FC" w:rsidRDefault="00B42EF3">
      <w:pPr>
        <w:pStyle w:val="Definition-Field2"/>
      </w:pPr>
      <w:r>
        <w:t>In Word the default is on.</w:t>
      </w:r>
    </w:p>
    <w:p w:rsidR="005F78FC" w:rsidRDefault="00B42EF3">
      <w:pPr>
        <w:pStyle w:val="Heading3"/>
      </w:pPr>
      <w:bookmarkStart w:id="3380" w:name="section_8408084a607344fda563d45afe2b0430"/>
      <w:bookmarkStart w:id="3381" w:name="_Toc69879463"/>
      <w:r>
        <w:t>Part 1 Section 22.1.2.75, num (Numerator)</w:t>
      </w:r>
      <w:bookmarkEnd w:id="3380"/>
      <w:bookmarkEnd w:id="3381"/>
      <w:r>
        <w:fldChar w:fldCharType="begin"/>
      </w:r>
      <w:r>
        <w:instrText xml:space="preserve"> XE "num (Numerator)" </w:instrText>
      </w:r>
      <w:r>
        <w:fldChar w:fldCharType="end"/>
      </w:r>
    </w:p>
    <w:p w:rsidR="005F78FC" w:rsidRDefault="00B42EF3">
      <w:pPr>
        <w:pStyle w:val="Definition-Field2"/>
      </w:pPr>
      <w:r>
        <w:rPr>
          <w:i/>
        </w:rPr>
        <w:t xml:space="preserve">For additional notes that apply to this portion of the standard, please see the </w:t>
      </w:r>
      <w:r>
        <w:rPr>
          <w:i/>
        </w:rPr>
        <w:t xml:space="preserve">notes for </w:t>
      </w:r>
      <w:hyperlink w:anchor="Section_ab7a0345712e4eef9bcc80c37e68d9bb">
        <w:r>
          <w:rPr>
            <w:rStyle w:val="Hyperlink"/>
          </w:rPr>
          <w:t>oMath, §22.1.2.77(c)</w:t>
        </w:r>
      </w:hyperlink>
      <w:r>
        <w:rPr>
          <w:i/>
        </w:rPr>
        <w:t>.</w:t>
      </w:r>
    </w:p>
    <w:p w:rsidR="005F78FC" w:rsidRDefault="00B42EF3">
      <w:pPr>
        <w:pStyle w:val="Heading3"/>
      </w:pPr>
      <w:bookmarkStart w:id="3382" w:name="section_cc2cef5ce8074c91bfe6f6004a01e935"/>
      <w:bookmarkStart w:id="3383" w:name="_Toc69879464"/>
      <w:r>
        <w:t>Part 1 Section 22.1.2.76, objDist (Object Distribution)</w:t>
      </w:r>
      <w:bookmarkEnd w:id="3382"/>
      <w:bookmarkEnd w:id="3383"/>
      <w:r>
        <w:fldChar w:fldCharType="begin"/>
      </w:r>
      <w:r>
        <w:instrText xml:space="preserve"> XE "objDist (Object Distribution)" </w:instrText>
      </w:r>
      <w:r>
        <w:fldChar w:fldCharType="end"/>
      </w:r>
    </w:p>
    <w:p w:rsidR="005F78FC" w:rsidRDefault="00B42EF3">
      <w:pPr>
        <w:pStyle w:val="Definition-Field"/>
      </w:pPr>
      <w:r>
        <w:t xml:space="preserve">a.   </w:t>
      </w:r>
      <w:r>
        <w:rPr>
          <w:i/>
        </w:rPr>
        <w:t>The standard does not specify how to expand an equation to obj</w:t>
      </w:r>
      <w:r>
        <w:rPr>
          <w:i/>
        </w:rPr>
        <w:t>ect width in absence of the maxObj element.</w:t>
      </w:r>
    </w:p>
    <w:p w:rsidR="005F78FC" w:rsidRDefault="00B42EF3">
      <w:pPr>
        <w:pStyle w:val="Definition-Field2"/>
      </w:pPr>
      <w:r>
        <w:t>Word ignores objDist unless maxObj is present and on.</w:t>
      </w:r>
    </w:p>
    <w:p w:rsidR="005F78FC" w:rsidRDefault="00B42EF3">
      <w:pPr>
        <w:pStyle w:val="Heading3"/>
      </w:pPr>
      <w:bookmarkStart w:id="3384" w:name="section_ab7a0345712e4eef9bcc80c37e68d9bb"/>
      <w:bookmarkStart w:id="3385" w:name="_Toc69879465"/>
      <w:r>
        <w:t>Part 1 Section 22.1.2.77, oMath (Office Math)</w:t>
      </w:r>
      <w:bookmarkEnd w:id="3384"/>
      <w:bookmarkEnd w:id="3385"/>
      <w:r>
        <w:fldChar w:fldCharType="begin"/>
      </w:r>
      <w:r>
        <w:instrText xml:space="preserve"> XE "oMath (Office Math)" </w:instrText>
      </w:r>
      <w:r>
        <w:fldChar w:fldCharType="end"/>
      </w:r>
    </w:p>
    <w:p w:rsidR="005F78FC" w:rsidRDefault="00B42EF3">
      <w:pPr>
        <w:pStyle w:val="Definition-Field"/>
      </w:pPr>
      <w:r>
        <w:t xml:space="preserve">a.   </w:t>
      </w:r>
      <w:r>
        <w:rPr>
          <w:i/>
        </w:rPr>
        <w:t>The standard allows adjacent oMath elements without any separation between them</w:t>
      </w:r>
      <w:r>
        <w:rPr>
          <w:i/>
        </w:rPr>
        <w:t>.</w:t>
      </w:r>
    </w:p>
    <w:p w:rsidR="005F78FC" w:rsidRDefault="00B42EF3">
      <w:pPr>
        <w:pStyle w:val="Definition-Field2"/>
      </w:pPr>
      <w:r>
        <w:t>Word merges together adjacent oMath elements if they are not separated by a WordprocessingML br element.</w:t>
      </w:r>
    </w:p>
    <w:p w:rsidR="005F78FC" w:rsidRDefault="00B42EF3">
      <w:pPr>
        <w:pStyle w:val="Definition-Field"/>
      </w:pPr>
      <w:r>
        <w:t xml:space="preserve">b.   </w:t>
      </w:r>
      <w:r>
        <w:rPr>
          <w:i/>
        </w:rPr>
        <w:t>The standard allows nesting of oMath elements inside a math object argument or inside another oMath element.</w:t>
      </w:r>
    </w:p>
    <w:p w:rsidR="005F78FC" w:rsidRDefault="00B42EF3">
      <w:pPr>
        <w:pStyle w:val="Definition-Field2"/>
      </w:pPr>
      <w:r>
        <w:t>Word fails to open a file with an o</w:t>
      </w:r>
      <w:r>
        <w:t>Math element inside a math object argument or inside another oMath element.</w:t>
      </w:r>
    </w:p>
    <w:p w:rsidR="005F78FC" w:rsidRDefault="00B42EF3">
      <w:pPr>
        <w:pStyle w:val="Definition-Field"/>
      </w:pPr>
      <w:r>
        <w:t xml:space="preserve">c.   </w:t>
      </w:r>
      <w:r>
        <w:rPr>
          <w:i/>
        </w:rPr>
        <w:t>The standard does not state that the hyperlink and smartTag elements are valid child elements of the oMath element.</w:t>
      </w:r>
    </w:p>
    <w:p w:rsidR="005F78FC" w:rsidRDefault="00B42EF3">
      <w:pPr>
        <w:pStyle w:val="Definition-Field2"/>
      </w:pPr>
      <w:r>
        <w:t xml:space="preserve">Word allows these elements to be child elements of the </w:t>
      </w:r>
      <w:r>
        <w:t>oMath element.</w:t>
      </w:r>
    </w:p>
    <w:p w:rsidR="005F78FC" w:rsidRDefault="00B42EF3">
      <w:pPr>
        <w:pStyle w:val="Definition-Field"/>
      </w:pPr>
      <w:r>
        <w:lastRenderedPageBreak/>
        <w:t xml:space="preserve">d.   </w:t>
      </w:r>
      <w:r>
        <w:rPr>
          <w:i/>
        </w:rPr>
        <w:t>The standard allows math content to exist outside of any oMath element.</w:t>
      </w:r>
    </w:p>
    <w:p w:rsidR="005F78FC" w:rsidRDefault="00B42EF3">
      <w:pPr>
        <w:pStyle w:val="Definition-Field2"/>
      </w:pPr>
      <w:r>
        <w:t>Word will not open a file which contains math content outside of any oMath element.</w:t>
      </w:r>
    </w:p>
    <w:p w:rsidR="005F78FC" w:rsidRDefault="00B42EF3">
      <w:pPr>
        <w:pStyle w:val="Definition-Field"/>
      </w:pPr>
      <w:r>
        <w:t xml:space="preserve">e.   </w:t>
      </w:r>
      <w:r>
        <w:rPr>
          <w:i/>
        </w:rPr>
        <w:t>The standard allows oMath to occur outside of any p element.</w:t>
      </w:r>
    </w:p>
    <w:p w:rsidR="005F78FC" w:rsidRDefault="00B42EF3">
      <w:pPr>
        <w:pStyle w:val="Definition-Field2"/>
      </w:pPr>
      <w:r>
        <w:t xml:space="preserve">Word will not </w:t>
      </w:r>
      <w:r>
        <w:t>open a file where oMath occurs outside of any p element.</w:t>
      </w:r>
    </w:p>
    <w:p w:rsidR="005F78FC" w:rsidRDefault="00B42EF3">
      <w:pPr>
        <w:pStyle w:val="Definition-Field"/>
      </w:pPr>
      <w:r>
        <w:t xml:space="preserve">f.   </w:t>
      </w:r>
      <w:r>
        <w:rPr>
          <w:i/>
        </w:rPr>
        <w:t>The standard states that the oMath element is allowed where block level content is required.</w:t>
      </w:r>
    </w:p>
    <w:p w:rsidR="005F78FC" w:rsidRDefault="00B42EF3">
      <w:r>
        <w:t>Word does not allow the oMath element to be a child of the body, comment, customXml (Block-Level Cust</w:t>
      </w:r>
      <w:r>
        <w:t>om XML Element), customXml (Cell-Level Custom XML Element), customXml (Row-Level Custom XML Element), docPartBody, endnote, footnote, ftr, hdr, sdtContent (Block-Level Structured Document Tag Content), sdtContent (Cell-Level Structured Document Tag Content</w:t>
      </w:r>
      <w:r>
        <w:t>), sdtContent (Row-Level Structured Document Tag Content), tbl, tc, tr, or txbxContent elements.</w:t>
      </w:r>
    </w:p>
    <w:p w:rsidR="005F78FC" w:rsidRDefault="00B42EF3">
      <w:pPr>
        <w:pStyle w:val="Heading3"/>
      </w:pPr>
      <w:bookmarkStart w:id="3386" w:name="section_23e0c1c94abb4c75acc27583040e774d"/>
      <w:bookmarkStart w:id="3387" w:name="_Toc69879466"/>
      <w:r>
        <w:t>Part 1 Section 22.1.2.78, oMathPara (Office Math Paragraph)</w:t>
      </w:r>
      <w:bookmarkEnd w:id="3386"/>
      <w:bookmarkEnd w:id="3387"/>
      <w:r>
        <w:fldChar w:fldCharType="begin"/>
      </w:r>
      <w:r>
        <w:instrText xml:space="preserve"> XE "oMathPara (Office Math Paragraph)" </w:instrText>
      </w:r>
      <w:r>
        <w:fldChar w:fldCharType="end"/>
      </w:r>
    </w:p>
    <w:p w:rsidR="005F78FC" w:rsidRDefault="00B42EF3">
      <w:pPr>
        <w:pStyle w:val="Definition-Field"/>
      </w:pPr>
      <w:r>
        <w:t xml:space="preserve">a.   </w:t>
      </w:r>
      <w:r>
        <w:rPr>
          <w:i/>
        </w:rPr>
        <w:t>The standard allows adjacent oMathPara elements with</w:t>
      </w:r>
      <w:r>
        <w:rPr>
          <w:i/>
        </w:rPr>
        <w:t>in the same paragraph.</w:t>
      </w:r>
    </w:p>
    <w:p w:rsidR="005F78FC" w:rsidRDefault="00B42EF3">
      <w:pPr>
        <w:pStyle w:val="Definition-Field2"/>
      </w:pPr>
      <w:r>
        <w:t>Word merges adjacent oMathPara elements within the same paragraph into a single oMathPara element.</w:t>
      </w:r>
    </w:p>
    <w:p w:rsidR="005F78FC" w:rsidRDefault="00B42EF3">
      <w:pPr>
        <w:pStyle w:val="Definition-Field"/>
      </w:pPr>
      <w:r>
        <w:t xml:space="preserve">b.   </w:t>
      </w:r>
      <w:r>
        <w:rPr>
          <w:i/>
        </w:rPr>
        <w:t>The standard allows oMathPara as a descendant of math elements.</w:t>
      </w:r>
    </w:p>
    <w:p w:rsidR="005F78FC" w:rsidRDefault="00B42EF3">
      <w:pPr>
        <w:pStyle w:val="Definition-Field2"/>
      </w:pPr>
      <w:r>
        <w:t>Word fails to open a file with oMathPara as a descendant of any m</w:t>
      </w:r>
      <w:r>
        <w:t>ath element.</w:t>
      </w:r>
    </w:p>
    <w:p w:rsidR="005F78FC" w:rsidRDefault="00B42EF3">
      <w:pPr>
        <w:pStyle w:val="Definition-Field"/>
      </w:pPr>
      <w:r>
        <w:t xml:space="preserve">c.   </w:t>
      </w:r>
      <w:r>
        <w:rPr>
          <w:i/>
        </w:rPr>
        <w:t>The standard states that the oMathPara element is allowed where block level content is required.</w:t>
      </w:r>
    </w:p>
    <w:p w:rsidR="005F78FC" w:rsidRDefault="00B42EF3">
      <w:r>
        <w:t xml:space="preserve">Word does not allow the oMathPara element to be a child of the body, comment, customXml (Block-Level Custom XML Element), customXml </w:t>
      </w:r>
      <w:r>
        <w:t>(Cell-Level Custom XML Element), customXml (Row-Level Custom XML Element), docPartBody, endnote, footnote, ftr, hdr, sdtContent (Block-Level Structured Document Tag Content), sdtContent (Cell-Level Structured Document Tag Content), sdtContent (Row-Level St</w:t>
      </w:r>
      <w:r>
        <w:t>ructured Document Tag Content), tbl, tc, tr, or txbxContent elements.</w:t>
      </w:r>
    </w:p>
    <w:p w:rsidR="005F78FC" w:rsidRDefault="00B42EF3">
      <w:pPr>
        <w:pStyle w:val="Definition-Field"/>
      </w:pPr>
      <w:r>
        <w:t xml:space="preserve">d.   </w:t>
      </w:r>
      <w:r>
        <w:rPr>
          <w:i/>
        </w:rPr>
        <w:t>The standard allows oMathPara to occur outside of any p element.</w:t>
      </w:r>
    </w:p>
    <w:p w:rsidR="005F78FC" w:rsidRDefault="00B42EF3">
      <w:pPr>
        <w:pStyle w:val="Definition-Field2"/>
      </w:pPr>
      <w:r>
        <w:t>Word will not open a file where oMathPara occurs outside of any p element.</w:t>
      </w:r>
    </w:p>
    <w:p w:rsidR="005F78FC" w:rsidRDefault="00B42EF3">
      <w:pPr>
        <w:pStyle w:val="Heading3"/>
      </w:pPr>
      <w:bookmarkStart w:id="3388" w:name="section_b810c563f4594ca799f047e871e1ab73"/>
      <w:bookmarkStart w:id="3389" w:name="_Toc69879467"/>
      <w:r>
        <w:t>Part 1 Section 22.1.2.80, opEmu (Operator</w:t>
      </w:r>
      <w:r>
        <w:t xml:space="preserve"> Emulator)</w:t>
      </w:r>
      <w:bookmarkEnd w:id="3388"/>
      <w:bookmarkEnd w:id="3389"/>
      <w:r>
        <w:fldChar w:fldCharType="begin"/>
      </w:r>
      <w:r>
        <w:instrText xml:space="preserve"> XE "opEmu (Operator Emulator)" </w:instrText>
      </w:r>
      <w:r>
        <w:fldChar w:fldCharType="end"/>
      </w:r>
    </w:p>
    <w:p w:rsidR="005F78FC" w:rsidRDefault="00B42EF3">
      <w:pPr>
        <w:pStyle w:val="Definition-Field"/>
      </w:pPr>
      <w:r>
        <w:t xml:space="preserve">a.   </w:t>
      </w:r>
      <w:r>
        <w:rPr>
          <w:i/>
        </w:rPr>
        <w:t>The standard says when opEmu is on, the box behaves as an operator, but does not specify what kind of operator.</w:t>
      </w:r>
    </w:p>
    <w:p w:rsidR="005F78FC" w:rsidRDefault="00B42EF3">
      <w:pPr>
        <w:pStyle w:val="Definition-Field2"/>
      </w:pPr>
      <w:r>
        <w:t>In Word when opEmu is on, the box behaves as a binary operator.</w:t>
      </w:r>
    </w:p>
    <w:p w:rsidR="005F78FC" w:rsidRDefault="00B42EF3">
      <w:pPr>
        <w:pStyle w:val="Heading3"/>
      </w:pPr>
      <w:bookmarkStart w:id="3390" w:name="section_74064828dc594db8a64240356809ec71"/>
      <w:bookmarkStart w:id="3391" w:name="_Toc69879468"/>
      <w:r>
        <w:t>Part 1 Section 22.1.2.81, phan</w:t>
      </w:r>
      <w:r>
        <w:t>t (Phantom Object)</w:t>
      </w:r>
      <w:bookmarkEnd w:id="3390"/>
      <w:bookmarkEnd w:id="3391"/>
      <w:r>
        <w:fldChar w:fldCharType="begin"/>
      </w:r>
      <w:r>
        <w:instrText xml:space="preserve"> XE "phant (Phantom Object)"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5F78FC" w:rsidRDefault="00B42EF3">
      <w:pPr>
        <w:pStyle w:val="Heading3"/>
      </w:pPr>
      <w:bookmarkStart w:id="3392" w:name="section_36d53a31567044a1b0d76b9e8a79b3f0"/>
      <w:bookmarkStart w:id="3393" w:name="_Toc69879469"/>
      <w:r>
        <w:t>Part 1 Section 22.1.2.84, pos (</w:t>
      </w:r>
      <w:r>
        <w:t>Position)</w:t>
      </w:r>
      <w:bookmarkEnd w:id="3392"/>
      <w:bookmarkEnd w:id="3393"/>
      <w:r>
        <w:fldChar w:fldCharType="begin"/>
      </w:r>
      <w:r>
        <w:instrText xml:space="preserve"> XE "pos (Position)" </w:instrText>
      </w:r>
      <w:r>
        <w:fldChar w:fldCharType="end"/>
      </w:r>
    </w:p>
    <w:p w:rsidR="005F78FC" w:rsidRDefault="00B42EF3">
      <w:pPr>
        <w:pStyle w:val="Definition-Field"/>
      </w:pPr>
      <w:r>
        <w:t xml:space="preserve">a.   </w:t>
      </w:r>
      <w:r>
        <w:rPr>
          <w:i/>
        </w:rPr>
        <w:t>The standard states that the pos element specifies the position of the bar in the bar object.</w:t>
      </w:r>
    </w:p>
    <w:p w:rsidR="005F78FC" w:rsidRDefault="00B42EF3">
      <w:pPr>
        <w:pStyle w:val="Definition-Field2"/>
      </w:pPr>
      <w:r>
        <w:t>Word uses the pos element to specify the position of the bar in the bar object or the position of the character in the group</w:t>
      </w:r>
      <w:r>
        <w:t>Chr object.</w:t>
      </w:r>
    </w:p>
    <w:p w:rsidR="005F78FC" w:rsidRDefault="00B42EF3">
      <w:pPr>
        <w:pStyle w:val="Definition-Field"/>
      </w:pPr>
      <w:r>
        <w:t xml:space="preserve">b.   </w:t>
      </w:r>
      <w:r>
        <w:rPr>
          <w:i/>
        </w:rPr>
        <w:t>The standard states that the default value for position of the bar in the bar object is top.</w:t>
      </w:r>
    </w:p>
    <w:p w:rsidR="005F78FC" w:rsidRDefault="00B42EF3">
      <w:pPr>
        <w:pStyle w:val="Definition-Field2"/>
      </w:pPr>
      <w:r>
        <w:lastRenderedPageBreak/>
        <w:t>Office implements the default value for the position of the bar in the bar object as bot.</w:t>
      </w:r>
    </w:p>
    <w:p w:rsidR="005F78FC" w:rsidRDefault="00B42EF3">
      <w:pPr>
        <w:pStyle w:val="Heading3"/>
      </w:pPr>
      <w:bookmarkStart w:id="3394" w:name="section_a1bbb51243c1422a892bc9da46b1f4bf"/>
      <w:bookmarkStart w:id="3395" w:name="_Toc69879470"/>
      <w:r>
        <w:t>Part 1 Section 22.1.2.85, postSp (Post-Paragraph Spacing</w:t>
      </w:r>
      <w:r>
        <w:t>)</w:t>
      </w:r>
      <w:bookmarkEnd w:id="3394"/>
      <w:bookmarkEnd w:id="3395"/>
      <w:r>
        <w:fldChar w:fldCharType="begin"/>
      </w:r>
      <w:r>
        <w:instrText xml:space="preserve"> XE "postSp (Post-Paragraph Spacing)" </w:instrText>
      </w:r>
      <w:r>
        <w:fldChar w:fldCharType="end"/>
      </w:r>
    </w:p>
    <w:p w:rsidR="005F78FC" w:rsidRDefault="00B42EF3">
      <w:pPr>
        <w:pStyle w:val="Definition-Field"/>
      </w:pPr>
      <w:r>
        <w:t xml:space="preserve">a.   </w:t>
      </w:r>
      <w:r>
        <w:rPr>
          <w:i/>
        </w:rPr>
        <w:t>The standard specifies postSp to set post-equation spacing.</w:t>
      </w:r>
    </w:p>
    <w:p w:rsidR="005F78FC" w:rsidRDefault="00B42EF3">
      <w:pPr>
        <w:pStyle w:val="Definition-Field2"/>
      </w:pPr>
      <w:r>
        <w:t>Word ignores and discards postSp.</w:t>
      </w:r>
    </w:p>
    <w:p w:rsidR="005F78FC" w:rsidRDefault="00B42EF3">
      <w:pPr>
        <w:pStyle w:val="Heading3"/>
      </w:pPr>
      <w:bookmarkStart w:id="3396" w:name="section_381cf08152f546318f61be16f4b7f9f0"/>
      <w:bookmarkStart w:id="3397" w:name="_Toc69879471"/>
      <w:r>
        <w:t>Part 1 Section 22.1.2.86, preSp (Pre-Paragraph Spacing)</w:t>
      </w:r>
      <w:bookmarkEnd w:id="3396"/>
      <w:bookmarkEnd w:id="3397"/>
      <w:r>
        <w:fldChar w:fldCharType="begin"/>
      </w:r>
      <w:r>
        <w:instrText xml:space="preserve"> XE "preSp (Pre-Paragraph Spacing)" </w:instrText>
      </w:r>
      <w:r>
        <w:fldChar w:fldCharType="end"/>
      </w:r>
    </w:p>
    <w:p w:rsidR="005F78FC" w:rsidRDefault="00B42EF3">
      <w:pPr>
        <w:pStyle w:val="Definition-Field"/>
      </w:pPr>
      <w:r>
        <w:t xml:space="preserve">a.   </w:t>
      </w:r>
      <w:r>
        <w:rPr>
          <w:i/>
        </w:rPr>
        <w:t>The standard spe</w:t>
      </w:r>
      <w:r>
        <w:rPr>
          <w:i/>
        </w:rPr>
        <w:t>cifies preSp to set pre-equation spacing.</w:t>
      </w:r>
    </w:p>
    <w:p w:rsidR="005F78FC" w:rsidRDefault="00B42EF3">
      <w:pPr>
        <w:pStyle w:val="Definition-Field2"/>
      </w:pPr>
      <w:r>
        <w:t>Word ignores preSp and fails to write it back out.</w:t>
      </w:r>
    </w:p>
    <w:p w:rsidR="005F78FC" w:rsidRDefault="00B42EF3">
      <w:pPr>
        <w:pStyle w:val="Heading3"/>
      </w:pPr>
      <w:bookmarkStart w:id="3398" w:name="section_a3a6444b11de4ac581bafe03b07f8a45"/>
      <w:bookmarkStart w:id="3399" w:name="_Toc69879472"/>
      <w:r>
        <w:t>Part 1 Section 22.1.2.87, r (Run)</w:t>
      </w:r>
      <w:bookmarkEnd w:id="3398"/>
      <w:bookmarkEnd w:id="3399"/>
      <w:r>
        <w:fldChar w:fldCharType="begin"/>
      </w:r>
      <w:r>
        <w:instrText xml:space="preserve"> XE "r (Run)"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5F78FC" w:rsidRDefault="00B42EF3">
      <w:pPr>
        <w:pStyle w:val="Definition-Field"/>
      </w:pPr>
      <w:r>
        <w:t xml:space="preserve">a.   </w:t>
      </w:r>
      <w:r>
        <w:rPr>
          <w:i/>
        </w:rPr>
        <w:t>The standard allows bold and italic to be set in a math run in the rPr of both Math and WordprocessingML.</w:t>
      </w:r>
    </w:p>
    <w:p w:rsidR="005F78FC" w:rsidRDefault="00B42EF3">
      <w:pPr>
        <w:pStyle w:val="Definition-Field2"/>
      </w:pPr>
      <w:r>
        <w:t xml:space="preserve">If Word reads a math run where bold or italic properties are set in the rPr of </w:t>
      </w:r>
      <w:r>
        <w:t>WordprocessingML, it ignores those properties during display but then moves them into the Math rPr on save.</w:t>
      </w:r>
    </w:p>
    <w:p w:rsidR="005F78FC" w:rsidRDefault="00B42EF3">
      <w:pPr>
        <w:pStyle w:val="Definition-Field"/>
      </w:pPr>
      <w:r>
        <w:t xml:space="preserve">b.   </w:t>
      </w:r>
      <w:r>
        <w:rPr>
          <w:i/>
        </w:rPr>
        <w:t>The standard allows br elements inside a math object.</w:t>
      </w:r>
    </w:p>
    <w:p w:rsidR="005F78FC" w:rsidRDefault="00B42EF3">
      <w:pPr>
        <w:pStyle w:val="Definition-Field2"/>
      </w:pPr>
      <w:r>
        <w:t>Word does not allow br elements inside a math object.</w:t>
      </w:r>
    </w:p>
    <w:p w:rsidR="005F78FC" w:rsidRDefault="00B42EF3">
      <w:pPr>
        <w:pStyle w:val="Definition-Field"/>
      </w:pPr>
      <w:r>
        <w:t xml:space="preserve">c.   </w:t>
      </w:r>
      <w:r>
        <w:rPr>
          <w:i/>
        </w:rPr>
        <w:t>The standard allows cr element</w:t>
      </w:r>
      <w:r>
        <w:rPr>
          <w:i/>
        </w:rPr>
        <w:t>s as a child of a math run.</w:t>
      </w:r>
    </w:p>
    <w:p w:rsidR="005F78FC" w:rsidRDefault="00B42EF3">
      <w:pPr>
        <w:pStyle w:val="Definition-Field2"/>
      </w:pPr>
      <w:r>
        <w:t>Word does not allow the cr element inside a math run.</w:t>
      </w:r>
    </w:p>
    <w:p w:rsidR="005F78FC" w:rsidRDefault="00B42EF3">
      <w:pPr>
        <w:pStyle w:val="Definition-Field"/>
      </w:pPr>
      <w:r>
        <w:t xml:space="preserve">d.   </w:t>
      </w:r>
      <w:r>
        <w:rPr>
          <w:i/>
        </w:rPr>
        <w:t>The standard allows tab elements as a child of a math run.</w:t>
      </w:r>
    </w:p>
    <w:p w:rsidR="005F78FC" w:rsidRDefault="00B42EF3">
      <w:pPr>
        <w:pStyle w:val="Definition-Field2"/>
      </w:pPr>
      <w:r>
        <w:t>Word ignores a tab element if it occurs inside a math run.</w:t>
      </w:r>
    </w:p>
    <w:p w:rsidR="005F78FC" w:rsidRDefault="00B42EF3">
      <w:pPr>
        <w:pStyle w:val="Definition-Field"/>
      </w:pPr>
      <w:r>
        <w:t xml:space="preserve">e.   </w:t>
      </w:r>
      <w:r>
        <w:rPr>
          <w:i/>
        </w:rPr>
        <w:t xml:space="preserve">The standard does not allow w:ins or w:del </w:t>
      </w:r>
      <w:r>
        <w:rPr>
          <w:i/>
        </w:rPr>
        <w:t>elements as a child of a math run.</w:t>
      </w:r>
    </w:p>
    <w:p w:rsidR="005F78FC" w:rsidRDefault="00B42EF3">
      <w:pPr>
        <w:pStyle w:val="Definition-Field2"/>
      </w:pPr>
      <w:r>
        <w:t>Word supports the w:ins and w:del elements inside a math run.</w:t>
      </w:r>
    </w:p>
    <w:p w:rsidR="005F78FC" w:rsidRDefault="00B42EF3">
      <w:pPr>
        <w:pStyle w:val="Heading3"/>
      </w:pPr>
      <w:bookmarkStart w:id="3400" w:name="section_2fa23caf92704a7691eafb97223fb074"/>
      <w:bookmarkStart w:id="3401" w:name="_Toc69879473"/>
      <w:r>
        <w:t>Part 1 Section 22.1.2.88, rad (Radical Object)</w:t>
      </w:r>
      <w:bookmarkEnd w:id="3400"/>
      <w:bookmarkEnd w:id="3401"/>
      <w:r>
        <w:fldChar w:fldCharType="begin"/>
      </w:r>
      <w:r>
        <w:instrText xml:space="preserve"> XE "rad (Radical Object)" </w:instrText>
      </w:r>
      <w:r>
        <w:fldChar w:fldCharType="end"/>
      </w:r>
    </w:p>
    <w:p w:rsidR="005F78FC" w:rsidRDefault="00B42EF3">
      <w:pPr>
        <w:pStyle w:val="Definition-Field2"/>
      </w:pPr>
      <w:r>
        <w:rPr>
          <w:i/>
        </w:rPr>
        <w:t>For additional notes that apply to this portion of the standard, please see the not</w:t>
      </w:r>
      <w:r>
        <w:rPr>
          <w:i/>
        </w:rPr>
        <w:t xml:space="preserve">es for </w:t>
      </w:r>
      <w:hyperlink w:anchor="Section_ab7a0345712e4eef9bcc80c37e68d9bb">
        <w:r>
          <w:rPr>
            <w:rStyle w:val="Hyperlink"/>
          </w:rPr>
          <w:t>oMath, §22.1.2.77(c)</w:t>
        </w:r>
      </w:hyperlink>
      <w:r>
        <w:rPr>
          <w:i/>
        </w:rPr>
        <w:t>.</w:t>
      </w:r>
    </w:p>
    <w:p w:rsidR="005F78FC" w:rsidRDefault="00B42EF3">
      <w:pPr>
        <w:pStyle w:val="Heading3"/>
      </w:pPr>
      <w:bookmarkStart w:id="3402" w:name="section_6895cb10962648be96906579da8c41a4"/>
      <w:bookmarkStart w:id="3403" w:name="_Toc69879474"/>
      <w:r>
        <w:t>Part 1 Section 22.1.2.92, rSp (Row Spacing (Array))</w:t>
      </w:r>
      <w:bookmarkEnd w:id="3402"/>
      <w:bookmarkEnd w:id="3403"/>
      <w:r>
        <w:fldChar w:fldCharType="begin"/>
      </w:r>
      <w:r>
        <w:instrText xml:space="preserve"> XE "rSp (Row Spacing (Array))" </w:instrText>
      </w:r>
      <w:r>
        <w:fldChar w:fldCharType="end"/>
      </w:r>
    </w:p>
    <w:p w:rsidR="005F78FC" w:rsidRDefault="00B42EF3">
      <w:pPr>
        <w:pStyle w:val="Definition-Field2"/>
      </w:pPr>
      <w:r>
        <w:rPr>
          <w:i/>
        </w:rPr>
        <w:t>For additional notes that apply to this portion of the standard, please see th</w:t>
      </w:r>
      <w:r>
        <w:rPr>
          <w:i/>
        </w:rPr>
        <w:t xml:space="preserve">e notes for </w:t>
      </w:r>
      <w:hyperlink w:anchor="Section_71424b866d3c4173a2027fc4efad6377">
        <w:r>
          <w:rPr>
            <w:rStyle w:val="Hyperlink"/>
          </w:rPr>
          <w:t>ST_UnSignedInteger, §22.1.3.14(a)</w:t>
        </w:r>
      </w:hyperlink>
      <w:r>
        <w:rPr>
          <w:i/>
        </w:rPr>
        <w:t>.</w:t>
      </w:r>
    </w:p>
    <w:p w:rsidR="005F78FC" w:rsidRDefault="00B42EF3">
      <w:pPr>
        <w:pStyle w:val="Definition-Field"/>
      </w:pPr>
      <w:r>
        <w:t xml:space="preserve">a.   </w:t>
      </w:r>
      <w:r>
        <w:rPr>
          <w:i/>
        </w:rPr>
        <w:t>The standard says rSp is used only to set row spacing in equation arrays even though it is also allowed as a child of the matrix element.</w:t>
      </w:r>
    </w:p>
    <w:p w:rsidR="005F78FC" w:rsidRDefault="00B42EF3">
      <w:pPr>
        <w:pStyle w:val="Definition-Field2"/>
      </w:pPr>
      <w:r>
        <w:t xml:space="preserve">In </w:t>
      </w:r>
      <w:r>
        <w:t>Word, rSp is used to set row spacing in both equations arrays and matrices.</w:t>
      </w:r>
    </w:p>
    <w:p w:rsidR="005F78FC" w:rsidRDefault="00B42EF3">
      <w:pPr>
        <w:pStyle w:val="Definition-Field"/>
      </w:pPr>
      <w:r>
        <w:lastRenderedPageBreak/>
        <w:t xml:space="preserve">b.   </w:t>
      </w:r>
      <w:r>
        <w:rPr>
          <w:i/>
        </w:rPr>
        <w:t xml:space="preserve">The standard states that rSp "specifies spacing between rows of an array eqArr; it is used only when rSpRule is set to 3 or 4. If this element is omitted, single line spacing </w:t>
      </w:r>
      <w:r>
        <w:rPr>
          <w:i/>
        </w:rPr>
        <w:t>is used in the array ..."</w:t>
      </w:r>
    </w:p>
    <w:p w:rsidR="005F78FC" w:rsidRDefault="00B42EF3">
      <w:pPr>
        <w:pStyle w:val="Definition-Field2"/>
      </w:pPr>
      <w:r>
        <w:t>Word interprets the phrase "this element" in the statement to refer to "rSpRule", as in "if rSpRule is omitted, single line spacing is used in the array ..."</w:t>
      </w:r>
    </w:p>
    <w:p w:rsidR="005F78FC" w:rsidRDefault="00B42EF3">
      <w:pPr>
        <w:pStyle w:val="Heading3"/>
      </w:pPr>
      <w:bookmarkStart w:id="3404" w:name="section_bc0219213f1f402abccba4d59be53942"/>
      <w:bookmarkStart w:id="3405" w:name="_Toc69879475"/>
      <w:r>
        <w:t>Part 1 Section 22.1.2.93, rSpRule (Row Spacing Rule)</w:t>
      </w:r>
      <w:bookmarkEnd w:id="3404"/>
      <w:bookmarkEnd w:id="3405"/>
      <w:r>
        <w:fldChar w:fldCharType="begin"/>
      </w:r>
      <w:r>
        <w:instrText xml:space="preserve"> XE "rSpRule (Row Sp</w:instrText>
      </w:r>
      <w:r>
        <w:instrText xml:space="preserve">acing Rule)" </w:instrText>
      </w:r>
      <w:r>
        <w:fldChar w:fldCharType="end"/>
      </w:r>
    </w:p>
    <w:p w:rsidR="005F78FC" w:rsidRDefault="00B42EF3">
      <w:pPr>
        <w:pStyle w:val="Definition-Field"/>
      </w:pPr>
      <w:r>
        <w:t xml:space="preserve">a.   </w:t>
      </w:r>
      <w:r>
        <w:rPr>
          <w:i/>
        </w:rPr>
        <w:t>The standard says the column gaps and row spacing are measured in points or lines.</w:t>
      </w:r>
    </w:p>
    <w:p w:rsidR="005F78FC" w:rsidRDefault="00B42EF3">
      <w:pPr>
        <w:pStyle w:val="Definition-Field2"/>
      </w:pPr>
      <w:r>
        <w:t>In Word, column gaps and row spacing are measured in twips, 0.5 em increments, or 0.5 line increments.</w:t>
      </w:r>
    </w:p>
    <w:p w:rsidR="005F78FC" w:rsidRDefault="00B42EF3">
      <w:pPr>
        <w:pStyle w:val="Definition-Field"/>
      </w:pPr>
      <w:r>
        <w:t xml:space="preserve">b.   </w:t>
      </w:r>
      <w:r>
        <w:rPr>
          <w:i/>
        </w:rPr>
        <w:t>The standard does not state the default valu</w:t>
      </w:r>
      <w:r>
        <w:rPr>
          <w:i/>
        </w:rPr>
        <w:t>e for rSpRule.</w:t>
      </w:r>
    </w:p>
    <w:p w:rsidR="005F78FC" w:rsidRDefault="00B42EF3">
      <w:pPr>
        <w:pStyle w:val="Definition-Field2"/>
      </w:pPr>
      <w:r>
        <w:t>In Word, the default value for rSpRule is 0.</w:t>
      </w:r>
    </w:p>
    <w:p w:rsidR="005F78FC" w:rsidRDefault="00B42EF3">
      <w:pPr>
        <w:pStyle w:val="Definition-Field"/>
      </w:pPr>
      <w:r>
        <w:t xml:space="preserve">c.   </w:t>
      </w:r>
      <w:r>
        <w:rPr>
          <w:i/>
        </w:rPr>
        <w:t>The standard states that rSpRule specifies the vertical spacing between columns.</w:t>
      </w:r>
    </w:p>
    <w:p w:rsidR="005F78FC" w:rsidRDefault="00B42EF3">
      <w:pPr>
        <w:pStyle w:val="Definition-Field2"/>
      </w:pPr>
      <w:r>
        <w:t>In Word, the rSpRule specifies the vertical spacing between rows.</w:t>
      </w:r>
    </w:p>
    <w:p w:rsidR="005F78FC" w:rsidRDefault="00B42EF3">
      <w:pPr>
        <w:pStyle w:val="Definition-Field"/>
      </w:pPr>
      <w:r>
        <w:t xml:space="preserve">d.   </w:t>
      </w:r>
      <w:r>
        <w:rPr>
          <w:i/>
        </w:rPr>
        <w:t>The standard says that rSpRule only spe</w:t>
      </w:r>
      <w:r>
        <w:rPr>
          <w:i/>
        </w:rPr>
        <w:t>cifies the vertical spacing in mPr even though the schema also allows it as a child of eqArrPr.</w:t>
      </w:r>
    </w:p>
    <w:p w:rsidR="005F78FC" w:rsidRDefault="00B42EF3">
      <w:pPr>
        <w:pStyle w:val="Definition-Field2"/>
      </w:pPr>
      <w:r>
        <w:t>In Word, rSpRule specifies the vertical spacing in mPr and eqArrPr.</w:t>
      </w:r>
    </w:p>
    <w:p w:rsidR="005F78FC" w:rsidRDefault="00B42EF3">
      <w:pPr>
        <w:pStyle w:val="Heading3"/>
      </w:pPr>
      <w:bookmarkStart w:id="3406" w:name="section_8ddc42b073c6455bb83b9e612b5ab0a6"/>
      <w:bookmarkStart w:id="3407" w:name="_Toc69879476"/>
      <w:r>
        <w:t>Part 1 Section 22.1.2.94, scr (Script)</w:t>
      </w:r>
      <w:bookmarkEnd w:id="3406"/>
      <w:bookmarkEnd w:id="3407"/>
      <w:r>
        <w:fldChar w:fldCharType="begin"/>
      </w:r>
      <w:r>
        <w:instrText xml:space="preserve"> XE "scr (Script)" </w:instrText>
      </w:r>
      <w:r>
        <w:fldChar w:fldCharType="end"/>
      </w:r>
    </w:p>
    <w:p w:rsidR="005F78FC" w:rsidRDefault="00B42EF3">
      <w:pPr>
        <w:pStyle w:val="Definition-Field"/>
      </w:pPr>
      <w:r>
        <w:t xml:space="preserve">a.   </w:t>
      </w:r>
      <w:r>
        <w:rPr>
          <w:i/>
        </w:rPr>
        <w:t xml:space="preserve">The standard says that the </w:t>
      </w:r>
      <w:r>
        <w:rPr>
          <w:i/>
        </w:rPr>
        <w:t>script element is used to map ASCII values to the appropriate Unicode range.</w:t>
      </w:r>
    </w:p>
    <w:p w:rsidR="005F78FC" w:rsidRDefault="00B42EF3">
      <w:pPr>
        <w:pStyle w:val="Definition-Field2"/>
      </w:pPr>
      <w:r>
        <w:t>Word uses the script element and the style element to map Unicode values to Math Alphanumeric Unicode values.</w:t>
      </w:r>
    </w:p>
    <w:p w:rsidR="005F78FC" w:rsidRDefault="00B42EF3">
      <w:pPr>
        <w:pStyle w:val="Definition-Field"/>
      </w:pPr>
      <w:r>
        <w:t xml:space="preserve">b.   </w:t>
      </w:r>
      <w:r>
        <w:rPr>
          <w:i/>
        </w:rPr>
        <w:t>The standard implies that the val attribute is optional.</w:t>
      </w:r>
    </w:p>
    <w:p w:rsidR="005F78FC" w:rsidRDefault="00B42EF3">
      <w:pPr>
        <w:pStyle w:val="Definition-Field2"/>
      </w:pPr>
      <w:r>
        <w:t>Word re</w:t>
      </w:r>
      <w:r>
        <w:t>quires this attribute.</w:t>
      </w:r>
    </w:p>
    <w:p w:rsidR="005F78FC" w:rsidRDefault="00B42EF3">
      <w:pPr>
        <w:pStyle w:val="Definition-Field"/>
      </w:pPr>
      <w:r>
        <w:t xml:space="preserve">c.   </w:t>
      </w:r>
      <w:r>
        <w:rPr>
          <w:i/>
        </w:rPr>
        <w:t>The standard does not specify a default value for scr.</w:t>
      </w:r>
    </w:p>
    <w:p w:rsidR="005F78FC" w:rsidRDefault="00B42EF3">
      <w:pPr>
        <w:pStyle w:val="Definition-Field2"/>
      </w:pPr>
      <w:r>
        <w:t>In Word, the default value for scr is roman.</w:t>
      </w:r>
    </w:p>
    <w:p w:rsidR="005F78FC" w:rsidRDefault="00B42EF3">
      <w:pPr>
        <w:pStyle w:val="Heading3"/>
      </w:pPr>
      <w:bookmarkStart w:id="3408" w:name="section_122e796dc2c746eaa308121affc847f9"/>
      <w:bookmarkStart w:id="3409" w:name="_Toc69879477"/>
      <w:r>
        <w:t>Part 1 Section 22.1.2.97, shp (Shape (Delimiters))</w:t>
      </w:r>
      <w:bookmarkEnd w:id="3408"/>
      <w:bookmarkEnd w:id="3409"/>
      <w:r>
        <w:fldChar w:fldCharType="begin"/>
      </w:r>
      <w:r>
        <w:instrText xml:space="preserve"> XE "shp (Shape (Delimiters))" </w:instrText>
      </w:r>
      <w:r>
        <w:fldChar w:fldCharType="end"/>
      </w:r>
    </w:p>
    <w:p w:rsidR="005F78FC" w:rsidRDefault="00B42EF3">
      <w:pPr>
        <w:pStyle w:val="Definition-Field"/>
      </w:pPr>
      <w:r>
        <w:t xml:space="preserve">a.   </w:t>
      </w:r>
      <w:r>
        <w:rPr>
          <w:i/>
        </w:rPr>
        <w:t xml:space="preserve">The standard places no restrictions on </w:t>
      </w:r>
      <w:r>
        <w:rPr>
          <w:i/>
        </w:rPr>
        <w:t>when this element is applicable.</w:t>
      </w:r>
    </w:p>
    <w:p w:rsidR="005F78FC" w:rsidRDefault="00B42EF3">
      <w:pPr>
        <w:pStyle w:val="Definition-Field2"/>
      </w:pPr>
      <w:r>
        <w:t>Office will ignore this element if the parent dPr element contains a child grow element whose val attribute has a value of off.</w:t>
      </w:r>
    </w:p>
    <w:p w:rsidR="005F78FC" w:rsidRDefault="00B42EF3">
      <w:pPr>
        <w:pStyle w:val="Heading3"/>
      </w:pPr>
      <w:bookmarkStart w:id="3410" w:name="section_59065a5881844e19a1ab713b4ddaf6d3"/>
      <w:bookmarkStart w:id="3411" w:name="_Toc69879478"/>
      <w:r>
        <w:t>Part 1 Section 22.1.2.98, smallFrac (Small Fraction)</w:t>
      </w:r>
      <w:bookmarkEnd w:id="3410"/>
      <w:bookmarkEnd w:id="3411"/>
      <w:r>
        <w:fldChar w:fldCharType="begin"/>
      </w:r>
      <w:r>
        <w:instrText xml:space="preserve"> XE "smallFrac (Small Fraction)" </w:instrText>
      </w:r>
      <w:r>
        <w:fldChar w:fldCharType="end"/>
      </w:r>
    </w:p>
    <w:p w:rsidR="005F78FC" w:rsidRDefault="00B42EF3">
      <w:pPr>
        <w:pStyle w:val="Definition-Field"/>
      </w:pPr>
      <w:r>
        <w:t xml:space="preserve">a.   </w:t>
      </w:r>
      <w:r>
        <w:rPr>
          <w:i/>
        </w:rPr>
        <w:t>The standard states that the smallFrac element specifies a reduced fraction size display math, such that the numerator and denominator are written in script size instead of at the size of regular text.</w:t>
      </w:r>
    </w:p>
    <w:p w:rsidR="005F78FC" w:rsidRDefault="00B42EF3">
      <w:r>
        <w:t>Word uses this element to specify a reduced size for f</w:t>
      </w:r>
      <w:r>
        <w:t xml:space="preserve">ractions of type bar or noBar that are nested within other fractions that are of type bar, noBar, or skw.  This option only applies in display math, </w:t>
      </w:r>
      <w:r>
        <w:lastRenderedPageBreak/>
        <w:t>such that the numerator and denominator are written in script size instead of at the size of regular text.</w:t>
      </w:r>
    </w:p>
    <w:p w:rsidR="005F78FC" w:rsidRDefault="00B42EF3">
      <w:pPr>
        <w:pStyle w:val="Heading3"/>
      </w:pPr>
      <w:bookmarkStart w:id="3412" w:name="section_5d08490d1634418e91bc0d199b9f9214"/>
      <w:bookmarkStart w:id="3413" w:name="_Toc69879479"/>
      <w:r>
        <w:t>Part 1 Section 22.1.2.99, sPre (Pre-Sub-Superscript Object)</w:t>
      </w:r>
      <w:bookmarkEnd w:id="3412"/>
      <w:bookmarkEnd w:id="3413"/>
      <w:r>
        <w:fldChar w:fldCharType="begin"/>
      </w:r>
      <w:r>
        <w:instrText xml:space="preserve"> XE "sPre (Pre-Sub-Superscript Object)"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ab7a0345712e4eef9bcc80c37e68d9bb">
        <w:r>
          <w:rPr>
            <w:rStyle w:val="Hyperlink"/>
          </w:rPr>
          <w:t>o</w:t>
        </w:r>
        <w:r>
          <w:rPr>
            <w:rStyle w:val="Hyperlink"/>
          </w:rPr>
          <w:t>Math, §22.1.2.77(c)</w:t>
        </w:r>
      </w:hyperlink>
      <w:r>
        <w:rPr>
          <w:i/>
        </w:rPr>
        <w:t>.</w:t>
      </w:r>
    </w:p>
    <w:p w:rsidR="005F78FC" w:rsidRDefault="00B42EF3">
      <w:pPr>
        <w:pStyle w:val="Heading3"/>
      </w:pPr>
      <w:bookmarkStart w:id="3414" w:name="section_e4d7226e1e594d938584a0cf82efcda7"/>
      <w:bookmarkStart w:id="3415" w:name="_Toc69879480"/>
      <w:r>
        <w:t>Part 1 Section 22.1.2.101, sSub (Subscript Object)</w:t>
      </w:r>
      <w:bookmarkEnd w:id="3414"/>
      <w:bookmarkEnd w:id="3415"/>
      <w:r>
        <w:fldChar w:fldCharType="begin"/>
      </w:r>
      <w:r>
        <w:instrText xml:space="preserve"> XE "sSub (Subscript Object)"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5F78FC" w:rsidRDefault="00B42EF3">
      <w:pPr>
        <w:pStyle w:val="Heading3"/>
      </w:pPr>
      <w:bookmarkStart w:id="3416" w:name="section_892ccdb9e60547a68bde8fbaf14405f8"/>
      <w:bookmarkStart w:id="3417" w:name="_Toc69879481"/>
      <w:r>
        <w:t>Part 1 Section 22.1.2.103, sSubSup (Sub-Superscript Object)</w:t>
      </w:r>
      <w:bookmarkEnd w:id="3416"/>
      <w:bookmarkEnd w:id="3417"/>
      <w:r>
        <w:fldChar w:fldCharType="begin"/>
      </w:r>
      <w:r>
        <w:instrText xml:space="preserve"> XE "sSubSup (Sub-Superscript Object)"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5F78FC" w:rsidRDefault="00B42EF3">
      <w:pPr>
        <w:pStyle w:val="Heading3"/>
      </w:pPr>
      <w:bookmarkStart w:id="3418" w:name="section_6557a17b3c784aa78ec1397591c9bcb3"/>
      <w:bookmarkStart w:id="3419" w:name="_Toc69879482"/>
      <w:r>
        <w:t>Part 1 Section 22.1.2.105, sSup (Superscript Object)</w:t>
      </w:r>
      <w:bookmarkEnd w:id="3418"/>
      <w:bookmarkEnd w:id="3419"/>
      <w:r>
        <w:fldChar w:fldCharType="begin"/>
      </w:r>
      <w:r>
        <w:instrText xml:space="preserve"> XE "sSup (Superscript Object)"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5F78FC" w:rsidRDefault="00B42EF3">
      <w:pPr>
        <w:pStyle w:val="Definition-Field"/>
      </w:pPr>
      <w:r>
        <w:t xml:space="preserve">a.   </w:t>
      </w:r>
      <w:r>
        <w:rPr>
          <w:i/>
        </w:rPr>
        <w:t>The standard states that the sSup element specifies the subscript function sSub, which consists of a base e and a reduced-size scr placed below and to the right.</w:t>
      </w:r>
    </w:p>
    <w:p w:rsidR="005F78FC" w:rsidRDefault="00B42EF3">
      <w:pPr>
        <w:pStyle w:val="Definition-Field2"/>
      </w:pPr>
      <w:r>
        <w:t>Word uses the sSup element to specify th</w:t>
      </w:r>
      <w:r>
        <w:t>e superscript function sSup, which consists of a base e and a reduced-size scr placed above and to the right.</w:t>
      </w:r>
    </w:p>
    <w:p w:rsidR="005F78FC" w:rsidRDefault="00B42EF3">
      <w:pPr>
        <w:pStyle w:val="Heading3"/>
      </w:pPr>
      <w:bookmarkStart w:id="3420" w:name="section_071c5a7c0c6d406f91a432e9e4e1ea06"/>
      <w:bookmarkStart w:id="3421" w:name="_Toc69879483"/>
      <w:r>
        <w:t>Part 1 Section 22.1.2.111, sty (style)</w:t>
      </w:r>
      <w:bookmarkEnd w:id="3420"/>
      <w:bookmarkEnd w:id="3421"/>
      <w:r>
        <w:fldChar w:fldCharType="begin"/>
      </w:r>
      <w:r>
        <w:instrText xml:space="preserve"> XE "sty (style)" </w:instrText>
      </w:r>
      <w:r>
        <w:fldChar w:fldCharType="end"/>
      </w:r>
    </w:p>
    <w:p w:rsidR="005F78FC" w:rsidRDefault="00B42EF3">
      <w:pPr>
        <w:pStyle w:val="Definition-Field"/>
      </w:pPr>
      <w:r>
        <w:t xml:space="preserve">a.   </w:t>
      </w:r>
      <w:r>
        <w:rPr>
          <w:i/>
        </w:rPr>
        <w:t>The standard says that style is used to map ASCII values to the appropriate Unicod</w:t>
      </w:r>
      <w:r>
        <w:rPr>
          <w:i/>
        </w:rPr>
        <w:t>e range.</w:t>
      </w:r>
    </w:p>
    <w:p w:rsidR="005F78FC" w:rsidRDefault="00B42EF3">
      <w:pPr>
        <w:pStyle w:val="Definition-Field2"/>
      </w:pPr>
      <w:r>
        <w:t>Word uses the style and script to map Unicode values to Math Alphanumeric Unicode values.</w:t>
      </w:r>
    </w:p>
    <w:p w:rsidR="005F78FC" w:rsidRDefault="00B42EF3">
      <w:pPr>
        <w:pStyle w:val="Definition-Field"/>
      </w:pPr>
      <w:r>
        <w:t xml:space="preserve">b.   </w:t>
      </w:r>
      <w:r>
        <w:rPr>
          <w:i/>
        </w:rPr>
        <w:t>The standard implies that the val attribute is optional.</w:t>
      </w:r>
    </w:p>
    <w:p w:rsidR="005F78FC" w:rsidRDefault="00B42EF3">
      <w:pPr>
        <w:pStyle w:val="Definition-Field2"/>
      </w:pPr>
      <w:r>
        <w:t>Word requires this attribute.</w:t>
      </w:r>
    </w:p>
    <w:p w:rsidR="005F78FC" w:rsidRDefault="00B42EF3">
      <w:pPr>
        <w:pStyle w:val="Definition-Field"/>
      </w:pPr>
      <w:r>
        <w:t xml:space="preserve">c.   </w:t>
      </w:r>
      <w:r>
        <w:rPr>
          <w:i/>
        </w:rPr>
        <w:t>The standard does not specify a default value for sty.</w:t>
      </w:r>
    </w:p>
    <w:p w:rsidR="005F78FC" w:rsidRDefault="00B42EF3">
      <w:pPr>
        <w:pStyle w:val="Definition-Field2"/>
      </w:pPr>
      <w:r>
        <w:t>In Wo</w:t>
      </w:r>
      <w:r>
        <w:t>rd, the default value for sty is italic.</w:t>
      </w:r>
    </w:p>
    <w:p w:rsidR="005F78FC" w:rsidRDefault="00B42EF3">
      <w:pPr>
        <w:pStyle w:val="Heading3"/>
      </w:pPr>
      <w:bookmarkStart w:id="3422" w:name="section_ac87e4edda764356b9c98d7f88e43ec4"/>
      <w:bookmarkStart w:id="3423" w:name="_Toc69879484"/>
      <w:r>
        <w:t>Part 1 Section 22.1.2.112, sub (Subscript (Pre-Sub-Superscript))</w:t>
      </w:r>
      <w:bookmarkEnd w:id="3422"/>
      <w:bookmarkEnd w:id="3423"/>
      <w:r>
        <w:fldChar w:fldCharType="begin"/>
      </w:r>
      <w:r>
        <w:instrText xml:space="preserve"> XE "sub (Subscript (Pre-Sub-Superscript))"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5F78FC" w:rsidRDefault="00B42EF3">
      <w:pPr>
        <w:pStyle w:val="Definition-Field"/>
      </w:pPr>
      <w:r>
        <w:t xml:space="preserve">a.   </w:t>
      </w:r>
      <w:r>
        <w:rPr>
          <w:i/>
        </w:rPr>
        <w:t>The standard says sub only specifies the subscript of sPre even though the schema also allows it as a child of sSub, sSubSup, and nary.</w:t>
      </w:r>
    </w:p>
    <w:p w:rsidR="005F78FC" w:rsidRDefault="00B42EF3">
      <w:pPr>
        <w:pStyle w:val="Definition-Field2"/>
      </w:pPr>
      <w:r>
        <w:t xml:space="preserve">In Word, sub specifies the subscript of </w:t>
      </w:r>
      <w:r>
        <w:t>sPre, sSub, and sSubSup and specifies the lower limit of nary.</w:t>
      </w:r>
    </w:p>
    <w:p w:rsidR="005F78FC" w:rsidRDefault="00B42EF3">
      <w:pPr>
        <w:pStyle w:val="Heading3"/>
      </w:pPr>
      <w:bookmarkStart w:id="3424" w:name="section_1b3c2414040a45a2a024173e22ebf533"/>
      <w:bookmarkStart w:id="3425" w:name="_Toc69879485"/>
      <w:r>
        <w:t>Part 1 Section 22.1.2.113, subHide (Hide Subscript (n-ary))</w:t>
      </w:r>
      <w:bookmarkEnd w:id="3424"/>
      <w:bookmarkEnd w:id="3425"/>
      <w:r>
        <w:fldChar w:fldCharType="begin"/>
      </w:r>
      <w:r>
        <w:instrText xml:space="preserve"> XE "subHide (Hide Subscript (n-ary))" </w:instrText>
      </w:r>
      <w:r>
        <w:fldChar w:fldCharType="end"/>
      </w:r>
    </w:p>
    <w:p w:rsidR="005F78FC" w:rsidRDefault="00B42EF3">
      <w:pPr>
        <w:pStyle w:val="Definition-Field"/>
      </w:pPr>
      <w:r>
        <w:t xml:space="preserve">a.   </w:t>
      </w:r>
      <w:r>
        <w:rPr>
          <w:i/>
        </w:rPr>
        <w:t>The standard allows subHide to be on while the lower limit is not empty.</w:t>
      </w:r>
    </w:p>
    <w:p w:rsidR="005F78FC" w:rsidRDefault="00B42EF3">
      <w:pPr>
        <w:pStyle w:val="Definition-Field2"/>
      </w:pPr>
      <w:r>
        <w:lastRenderedPageBreak/>
        <w:t xml:space="preserve">If subHide is </w:t>
      </w:r>
      <w:r>
        <w:t>on while the lower limit is not empty, Word displays the contents of the lower limit in an unexpected place.</w:t>
      </w:r>
    </w:p>
    <w:p w:rsidR="005F78FC" w:rsidRDefault="00B42EF3">
      <w:pPr>
        <w:pStyle w:val="Heading3"/>
      </w:pPr>
      <w:bookmarkStart w:id="3426" w:name="section_77f82ab9b91043f881b1e5bd352a2ed8"/>
      <w:bookmarkStart w:id="3427" w:name="_Toc69879486"/>
      <w:r>
        <w:t>Part 1 Section 22.1.2.114, sup (Superscript (Superscript object))</w:t>
      </w:r>
      <w:bookmarkEnd w:id="3426"/>
      <w:bookmarkEnd w:id="3427"/>
      <w:r>
        <w:fldChar w:fldCharType="begin"/>
      </w:r>
      <w:r>
        <w:instrText xml:space="preserve"> XE "sup (Superscript (Superscript object))"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5F78FC" w:rsidRDefault="00B42EF3">
      <w:pPr>
        <w:pStyle w:val="Definition-Field"/>
      </w:pPr>
      <w:r>
        <w:t xml:space="preserve">a.   </w:t>
      </w:r>
      <w:r>
        <w:rPr>
          <w:i/>
        </w:rPr>
        <w:t>The standard says sup only specifies the superscript of sSup even though the</w:t>
      </w:r>
      <w:r>
        <w:rPr>
          <w:i/>
        </w:rPr>
        <w:t xml:space="preserve"> schema also allows it as a child of sPre, sSubSup, and nary.</w:t>
      </w:r>
    </w:p>
    <w:p w:rsidR="005F78FC" w:rsidRDefault="00B42EF3">
      <w:pPr>
        <w:pStyle w:val="Definition-Field2"/>
      </w:pPr>
      <w:r>
        <w:t>In Word, sup specifies the superscript of sSup, sPre, and sSubSup, and specifies the upper limit of nary.</w:t>
      </w:r>
    </w:p>
    <w:p w:rsidR="005F78FC" w:rsidRDefault="00B42EF3">
      <w:pPr>
        <w:pStyle w:val="Heading3"/>
      </w:pPr>
      <w:bookmarkStart w:id="3428" w:name="section_507a42d32be5409c917c824b3fa31ebb"/>
      <w:bookmarkStart w:id="3429" w:name="_Toc69879487"/>
      <w:r>
        <w:t>Part 1 Section 22.1.2.115, supHide (Hide Superscript (n-ary))</w:t>
      </w:r>
      <w:bookmarkEnd w:id="3428"/>
      <w:bookmarkEnd w:id="3429"/>
      <w:r>
        <w:fldChar w:fldCharType="begin"/>
      </w:r>
      <w:r>
        <w:instrText xml:space="preserve"> XE "supHide (Hide Superscr</w:instrText>
      </w:r>
      <w:r>
        <w:instrText xml:space="preserve">ipt (n-ary))" </w:instrText>
      </w:r>
      <w:r>
        <w:fldChar w:fldCharType="end"/>
      </w:r>
    </w:p>
    <w:p w:rsidR="005F78FC" w:rsidRDefault="00B42EF3">
      <w:pPr>
        <w:pStyle w:val="Definition-Field"/>
      </w:pPr>
      <w:r>
        <w:t xml:space="preserve">a.   </w:t>
      </w:r>
      <w:r>
        <w:rPr>
          <w:i/>
        </w:rPr>
        <w:t>The standard says that if supHide is omitted the lower limit will appear.</w:t>
      </w:r>
    </w:p>
    <w:p w:rsidR="005F78FC" w:rsidRDefault="00B42EF3">
      <w:pPr>
        <w:pStyle w:val="Definition-Field2"/>
      </w:pPr>
      <w:r>
        <w:t>In Word, if supHide is omitted, the upper limit will appear.</w:t>
      </w:r>
    </w:p>
    <w:p w:rsidR="005F78FC" w:rsidRDefault="00B42EF3">
      <w:pPr>
        <w:pStyle w:val="Definition-Field"/>
      </w:pPr>
      <w:r>
        <w:t xml:space="preserve">b.   </w:t>
      </w:r>
      <w:r>
        <w:rPr>
          <w:i/>
        </w:rPr>
        <w:t>The standard allows supHide to be set when the upper limit is not empty.</w:t>
      </w:r>
    </w:p>
    <w:p w:rsidR="005F78FC" w:rsidRDefault="00B42EF3">
      <w:pPr>
        <w:pStyle w:val="Definition-Field2"/>
      </w:pPr>
      <w:r>
        <w:t>In Word, if the supHi</w:t>
      </w:r>
      <w:r>
        <w:t>de attribute is on while the upper limit of the n-ary function is not empty, the application will display this argument next to the base argument of the n-ary function.</w:t>
      </w:r>
    </w:p>
    <w:p w:rsidR="005F78FC" w:rsidRDefault="00B42EF3">
      <w:pPr>
        <w:pStyle w:val="Heading3"/>
      </w:pPr>
      <w:bookmarkStart w:id="3430" w:name="section_715e9ffc7f3f49c5a42e7db548f1df3d"/>
      <w:bookmarkStart w:id="3431" w:name="_Toc69879488"/>
      <w:r>
        <w:t>Part 1 Section 22.1.2.116, t (Text)</w:t>
      </w:r>
      <w:bookmarkEnd w:id="3430"/>
      <w:bookmarkEnd w:id="3431"/>
      <w:r>
        <w:fldChar w:fldCharType="begin"/>
      </w:r>
      <w:r>
        <w:instrText xml:space="preserve"> XE "t (Text)" </w:instrText>
      </w:r>
      <w:r>
        <w:fldChar w:fldCharType="end"/>
      </w:r>
    </w:p>
    <w:p w:rsidR="005F78FC" w:rsidRDefault="00B42EF3">
      <w:pPr>
        <w:pStyle w:val="Definition-Field"/>
      </w:pPr>
      <w:r>
        <w:t xml:space="preserve">a.   </w:t>
      </w:r>
      <w:r>
        <w:rPr>
          <w:i/>
        </w:rPr>
        <w:t>The standard says the xml:spa</w:t>
      </w:r>
      <w:r>
        <w:rPr>
          <w:i/>
        </w:rPr>
        <w:t>ce attribute specifies whether to preserve spaces while reading text inside math text.</w:t>
      </w:r>
    </w:p>
    <w:p w:rsidR="005F78FC" w:rsidRDefault="00B42EF3">
      <w:pPr>
        <w:pStyle w:val="Definition-Field2"/>
      </w:pPr>
      <w:r>
        <w:t>Word ignores this attribute and always preserves spaces inside math text.</w:t>
      </w:r>
    </w:p>
    <w:p w:rsidR="005F78FC" w:rsidRDefault="00B42EF3">
      <w:pPr>
        <w:pStyle w:val="Heading3"/>
      </w:pPr>
      <w:bookmarkStart w:id="3432" w:name="section_2ba8081c91f3403c9a7a258d000a5a32"/>
      <w:bookmarkStart w:id="3433" w:name="_Toc69879489"/>
      <w:r>
        <w:t>Part 1 Section 22.1.2.117, transp (Transparent (Phantom))</w:t>
      </w:r>
      <w:bookmarkEnd w:id="3432"/>
      <w:bookmarkEnd w:id="3433"/>
      <w:r>
        <w:fldChar w:fldCharType="begin"/>
      </w:r>
      <w:r>
        <w:instrText xml:space="preserve"> XE "transp (Transparent (Phantom))" </w:instrText>
      </w:r>
      <w:r>
        <w:fldChar w:fldCharType="end"/>
      </w:r>
    </w:p>
    <w:p w:rsidR="005F78FC" w:rsidRDefault="00B42EF3">
      <w:pPr>
        <w:pStyle w:val="Definition-Field"/>
      </w:pPr>
      <w:r>
        <w:t xml:space="preserve">a.   </w:t>
      </w:r>
      <w:r>
        <w:rPr>
          <w:i/>
        </w:rPr>
        <w:t>The standard says if transparency is off, then the contents of the phantom are ignored during layout.</w:t>
      </w:r>
    </w:p>
    <w:p w:rsidR="005F78FC" w:rsidRDefault="00B42EF3">
      <w:pPr>
        <w:pStyle w:val="Definition-Field2"/>
      </w:pPr>
      <w:r>
        <w:t>In Word, if transparency is off, special spacing is not added before and after the phantom, but the contents are not ignored during layout.</w:t>
      </w:r>
    </w:p>
    <w:p w:rsidR="005F78FC" w:rsidRDefault="00B42EF3">
      <w:pPr>
        <w:pStyle w:val="Definition-Field"/>
      </w:pPr>
      <w:r>
        <w:t xml:space="preserve">b.   </w:t>
      </w:r>
      <w:r>
        <w:rPr>
          <w:i/>
        </w:rPr>
        <w:t>Th</w:t>
      </w:r>
      <w:r>
        <w:rPr>
          <w:i/>
        </w:rPr>
        <w:t>e standard allows transparency to be set on a phantom with any contents.</w:t>
      </w:r>
    </w:p>
    <w:p w:rsidR="005F78FC" w:rsidRDefault="00B42EF3">
      <w:pPr>
        <w:pStyle w:val="Definition-Field2"/>
      </w:pPr>
      <w:r>
        <w:t>In Word, transparency does not work as specified unless the phantom contains another math function and does not start or end with a math operator.</w:t>
      </w:r>
    </w:p>
    <w:p w:rsidR="005F78FC" w:rsidRDefault="00B42EF3">
      <w:pPr>
        <w:pStyle w:val="Heading3"/>
      </w:pPr>
      <w:bookmarkStart w:id="3434" w:name="section_2a82044e2cc54f95b7b77c0b976bc7db"/>
      <w:bookmarkStart w:id="3435" w:name="_Toc69879490"/>
      <w:r>
        <w:t>Part 1 Section 22.1.3.1, ST_BreakBin</w:t>
      </w:r>
      <w:r>
        <w:t xml:space="preserve"> (Break Binary Operators)</w:t>
      </w:r>
      <w:bookmarkEnd w:id="3434"/>
      <w:bookmarkEnd w:id="3435"/>
      <w:r>
        <w:fldChar w:fldCharType="begin"/>
      </w:r>
      <w:r>
        <w:instrText xml:space="preserve"> XE "ST_BreakBin (Break Binary Operators)" </w:instrText>
      </w:r>
      <w:r>
        <w:fldChar w:fldCharType="end"/>
      </w:r>
    </w:p>
    <w:p w:rsidR="005F78FC" w:rsidRDefault="00B42EF3">
      <w:pPr>
        <w:pStyle w:val="Definition-Field"/>
      </w:pPr>
      <w:r>
        <w:t xml:space="preserve">a.   </w:t>
      </w:r>
      <w:r>
        <w:rPr>
          <w:i/>
        </w:rPr>
        <w:t>The standard says that after means the operator appears after the break and before means the operator appears before the break.</w:t>
      </w:r>
    </w:p>
    <w:p w:rsidR="005F78FC" w:rsidRDefault="00B42EF3">
      <w:pPr>
        <w:pStyle w:val="Definition-Field2"/>
      </w:pPr>
      <w:r>
        <w:t>In Word, after means the break occurs after the oper</w:t>
      </w:r>
      <w:r>
        <w:t>ator (the binary operator appears before the break) and before means the break occurs before the operator (the binary operator appears after the break).</w:t>
      </w:r>
    </w:p>
    <w:p w:rsidR="005F78FC" w:rsidRDefault="00B42EF3">
      <w:pPr>
        <w:pStyle w:val="Heading3"/>
      </w:pPr>
      <w:bookmarkStart w:id="3436" w:name="section_ad3c1e3e6b9641e28f45c78a8e025284"/>
      <w:bookmarkStart w:id="3437" w:name="_Toc69879491"/>
      <w:r>
        <w:lastRenderedPageBreak/>
        <w:t>Part 1 Section 22.1.3.7, ST_Jc (Justification)</w:t>
      </w:r>
      <w:bookmarkEnd w:id="3436"/>
      <w:bookmarkEnd w:id="3437"/>
      <w:r>
        <w:fldChar w:fldCharType="begin"/>
      </w:r>
      <w:r>
        <w:instrText xml:space="preserve"> XE "ST_Jc (Justification)" </w:instrText>
      </w:r>
      <w:r>
        <w:fldChar w:fldCharType="end"/>
      </w:r>
    </w:p>
    <w:p w:rsidR="005F78FC" w:rsidRDefault="00B42EF3">
      <w:pPr>
        <w:pStyle w:val="Definition-Field"/>
      </w:pPr>
      <w:r>
        <w:t xml:space="preserve">a.   </w:t>
      </w:r>
      <w:r>
        <w:rPr>
          <w:i/>
        </w:rPr>
        <w:t>The standard says cen</w:t>
      </w:r>
      <w:r>
        <w:rPr>
          <w:i/>
        </w:rPr>
        <w:t>terGroup alignment takes place relative to the page even though the equation might be inside an object like a table cell.</w:t>
      </w:r>
    </w:p>
    <w:p w:rsidR="005F78FC" w:rsidRDefault="00B42EF3">
      <w:pPr>
        <w:pStyle w:val="Definition-Field2"/>
      </w:pPr>
      <w:r>
        <w:t>In Word, centerGroup alignment takes place relative to the equation margins just like center alignment.</w:t>
      </w:r>
    </w:p>
    <w:p w:rsidR="005F78FC" w:rsidRDefault="00B42EF3">
      <w:pPr>
        <w:pStyle w:val="Definition-Field"/>
      </w:pPr>
      <w:r>
        <w:t xml:space="preserve">b.   </w:t>
      </w:r>
      <w:r>
        <w:rPr>
          <w:i/>
        </w:rPr>
        <w:t>The standard says centerG</w:t>
      </w:r>
      <w:r>
        <w:rPr>
          <w:i/>
        </w:rPr>
        <w:t>roup means that equations are justified with respect to each other and then the group is centered, but it does not specify how to justify the equations respect to each other.</w:t>
      </w:r>
    </w:p>
    <w:p w:rsidR="005F78FC" w:rsidRDefault="00B42EF3">
      <w:pPr>
        <w:pStyle w:val="Definition-Field2"/>
      </w:pPr>
      <w:r>
        <w:t>In Word, centerGroup means that equations are left justified with respect to each</w:t>
      </w:r>
      <w:r>
        <w:t xml:space="preserve"> other, and then group is centered.</w:t>
      </w:r>
    </w:p>
    <w:p w:rsidR="005F78FC" w:rsidRDefault="00B42EF3">
      <w:pPr>
        <w:pStyle w:val="Heading3"/>
      </w:pPr>
      <w:bookmarkStart w:id="3438" w:name="section_5991a2b500444c47aae0177c93bcfd2b"/>
      <w:bookmarkStart w:id="3439" w:name="_Toc69879492"/>
      <w:r>
        <w:t>Part 1 Section 22.1.3.10, ST_Shp (Shape (Delimiters))</w:t>
      </w:r>
      <w:bookmarkEnd w:id="3438"/>
      <w:bookmarkEnd w:id="3439"/>
      <w:r>
        <w:fldChar w:fldCharType="begin"/>
      </w:r>
      <w:r>
        <w:instrText xml:space="preserve"> XE "ST_Shp (Shape (Delimiters))" </w:instrText>
      </w:r>
      <w:r>
        <w:fldChar w:fldCharType="end"/>
      </w:r>
    </w:p>
    <w:p w:rsidR="005F78FC" w:rsidRDefault="00B42EF3">
      <w:pPr>
        <w:pStyle w:val="Definition-Field"/>
      </w:pPr>
      <w:r>
        <w:t xml:space="preserve">a.   </w:t>
      </w:r>
      <w:r>
        <w:rPr>
          <w:i/>
        </w:rPr>
        <w:t>The standard says the match value means the delimiters match the shape of the argument.</w:t>
      </w:r>
    </w:p>
    <w:p w:rsidR="005F78FC" w:rsidRDefault="00B42EF3">
      <w:pPr>
        <w:pStyle w:val="Definition-Field2"/>
      </w:pPr>
      <w:r>
        <w:t>In Word, the match value means the de</w:t>
      </w:r>
      <w:r>
        <w:t>limiters match the height of the argument.</w:t>
      </w:r>
    </w:p>
    <w:p w:rsidR="005F78FC" w:rsidRDefault="00B42EF3">
      <w:pPr>
        <w:pStyle w:val="Heading3"/>
      </w:pPr>
      <w:bookmarkStart w:id="3440" w:name="section_b020773c92774a4181691f29c9b3f0de"/>
      <w:bookmarkStart w:id="3441" w:name="_Toc69879493"/>
      <w:r>
        <w:t>Part 1 Section 22.1.3.13, ST_TopBot (Top-Bottom)</w:t>
      </w:r>
      <w:bookmarkEnd w:id="3440"/>
      <w:bookmarkEnd w:id="3441"/>
      <w:r>
        <w:fldChar w:fldCharType="begin"/>
      </w:r>
      <w:r>
        <w:instrText xml:space="preserve"> XE "ST_TopBot (Top-Bottom)" </w:instrText>
      </w:r>
      <w:r>
        <w:fldChar w:fldCharType="end"/>
      </w:r>
    </w:p>
    <w:p w:rsidR="005F78FC" w:rsidRDefault="00B42EF3">
      <w:pPr>
        <w:pStyle w:val="Definition-Field"/>
      </w:pPr>
      <w:r>
        <w:t xml:space="preserve">a.   </w:t>
      </w:r>
      <w:r>
        <w:rPr>
          <w:i/>
        </w:rPr>
        <w:t>The standard describes the values of the ST_TopBot simple type in terms of the vertJc element.</w:t>
      </w:r>
    </w:p>
    <w:p w:rsidR="005F78FC" w:rsidRDefault="00B42EF3">
      <w:pPr>
        <w:pStyle w:val="Definition-Field2"/>
      </w:pPr>
      <w:r>
        <w:t xml:space="preserve">Word defines the values of this </w:t>
      </w:r>
      <w:r>
        <w:t>simple type to take on the meanings appropriate to the parent element.</w:t>
      </w:r>
    </w:p>
    <w:p w:rsidR="005F78FC" w:rsidRDefault="00B42EF3">
      <w:pPr>
        <w:pStyle w:val="Heading3"/>
      </w:pPr>
      <w:bookmarkStart w:id="3442" w:name="section_71424b866d3c4173a2027fc4efad6377"/>
      <w:bookmarkStart w:id="3443" w:name="_Toc69879494"/>
      <w:r>
        <w:t>Part 1 Section 22.1.3.14, ST_UnSignedInteger (Unsigned integer.)</w:t>
      </w:r>
      <w:bookmarkEnd w:id="3442"/>
      <w:bookmarkEnd w:id="3443"/>
      <w:r>
        <w:fldChar w:fldCharType="begin"/>
      </w:r>
      <w:r>
        <w:instrText xml:space="preserve"> XE "ST_UnSignedInteger (Unsigned integer.)" </w:instrText>
      </w:r>
      <w:r>
        <w:fldChar w:fldCharType="end"/>
      </w:r>
    </w:p>
    <w:p w:rsidR="005F78FC" w:rsidRDefault="00B42EF3">
      <w:pPr>
        <w:pStyle w:val="Definition-Field"/>
      </w:pPr>
      <w:r>
        <w:t xml:space="preserve">a.   </w:t>
      </w:r>
      <w:r>
        <w:rPr>
          <w:i/>
        </w:rPr>
        <w:t>The standard states that the values of the val attribute are defined</w:t>
      </w:r>
      <w:r>
        <w:rPr>
          <w:i/>
        </w:rPr>
        <w:t xml:space="preserve"> by the XML unsignedInt datatype.</w:t>
      </w:r>
    </w:p>
    <w:p w:rsidR="005F78FC" w:rsidRDefault="00B42EF3">
      <w:pPr>
        <w:pStyle w:val="Definition-Field2"/>
      </w:pPr>
      <w:r>
        <w:t>Word defines the values of this attribute with the XML unsignedShort datatype.</w:t>
      </w:r>
    </w:p>
    <w:p w:rsidR="005F78FC" w:rsidRDefault="00B42EF3">
      <w:pPr>
        <w:pStyle w:val="Heading3"/>
      </w:pPr>
      <w:bookmarkStart w:id="3444" w:name="section_6575023bde01441fa9da8cc9d3b73e99"/>
      <w:bookmarkStart w:id="3445" w:name="_Toc69879495"/>
      <w:r>
        <w:t>Part 1 Section 22.2.2.2, AppVersion (Application Version)</w:t>
      </w:r>
      <w:bookmarkEnd w:id="3444"/>
      <w:bookmarkEnd w:id="3445"/>
      <w:r>
        <w:fldChar w:fldCharType="begin"/>
      </w:r>
      <w:r>
        <w:instrText xml:space="preserve"> XE "AppVersion (Application Version)" </w:instrText>
      </w:r>
      <w:r>
        <w:fldChar w:fldCharType="end"/>
      </w:r>
    </w:p>
    <w:p w:rsidR="005F78FC" w:rsidRDefault="00B42EF3">
      <w:pPr>
        <w:pStyle w:val="Definition-Field"/>
      </w:pPr>
      <w:r>
        <w:t xml:space="preserve">a.   </w:t>
      </w:r>
      <w:r>
        <w:rPr>
          <w:i/>
        </w:rPr>
        <w:t>The standard does not constrain the app</w:t>
      </w:r>
      <w:r>
        <w:rPr>
          <w:i/>
        </w:rPr>
        <w:t xml:space="preserve"> version.</w:t>
      </w:r>
    </w:p>
    <w:p w:rsidR="005F78FC" w:rsidRDefault="00B42EF3">
      <w:pPr>
        <w:pStyle w:val="Definition-Field2"/>
      </w:pPr>
      <w:r>
        <w:t>Office constrains the app version to strings matching the XSD pattern value "[0-9]{1,2}\.[0-9]{1,4}".</w:t>
      </w:r>
    </w:p>
    <w:p w:rsidR="005F78FC" w:rsidRDefault="00B42EF3">
      <w:pPr>
        <w:pStyle w:val="Heading3"/>
      </w:pPr>
      <w:bookmarkStart w:id="3446" w:name="section_360e6b06a67f44faa5bf8ade7fbe7212"/>
      <w:bookmarkStart w:id="3447" w:name="_Toc69879496"/>
      <w:r>
        <w:t>Part 1 Section 22.2.2.6, DigSig (Digital Signature)</w:t>
      </w:r>
      <w:bookmarkEnd w:id="3446"/>
      <w:bookmarkEnd w:id="3447"/>
      <w:r>
        <w:fldChar w:fldCharType="begin"/>
      </w:r>
      <w:r>
        <w:instrText xml:space="preserve"> XE "DigSig (Digital Signature)" </w:instrText>
      </w:r>
      <w:r>
        <w:fldChar w:fldCharType="end"/>
      </w:r>
    </w:p>
    <w:p w:rsidR="005F78FC" w:rsidRDefault="00B42EF3">
      <w:pPr>
        <w:pStyle w:val="Definition-Field"/>
      </w:pPr>
      <w:r>
        <w:t xml:space="preserve">a.   </w:t>
      </w:r>
      <w:r>
        <w:rPr>
          <w:i/>
        </w:rPr>
        <w:t>The standard does not specify the format of the digi</w:t>
      </w:r>
      <w:r>
        <w:rPr>
          <w:i/>
        </w:rPr>
        <w:t>tal signature blob.</w:t>
      </w:r>
    </w:p>
    <w:p w:rsidR="005F78FC" w:rsidRDefault="00B42EF3">
      <w:r>
        <w:t xml:space="preserve">Office expects that the structure of the decoded binary blob is specified as follows: </w:t>
      </w:r>
    </w:p>
    <w:tbl>
      <w:tblPr>
        <w:tblStyle w:val="Table-ShadedHeader"/>
        <w:tblW w:w="0" w:type="auto"/>
        <w:tblLook w:val="04A0" w:firstRow="1" w:lastRow="0" w:firstColumn="1" w:lastColumn="0" w:noHBand="0" w:noVBand="1"/>
      </w:tblPr>
      <w:tblGrid>
        <w:gridCol w:w="1544"/>
        <w:gridCol w:w="7605"/>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Offset in bytes</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t>0</w:t>
            </w:r>
          </w:p>
        </w:tc>
        <w:tc>
          <w:tcPr>
            <w:tcW w:w="0" w:type="auto"/>
            <w:vAlign w:val="center"/>
          </w:tcPr>
          <w:p w:rsidR="005F78FC" w:rsidRDefault="00B42EF3">
            <w:pPr>
              <w:pStyle w:val="TableBodyText"/>
            </w:pPr>
            <w:r>
              <w:t>Specifies the byte size of the digital signature data blob that starts at offset 8</w:t>
            </w:r>
          </w:p>
        </w:tc>
      </w:tr>
      <w:tr w:rsidR="005F78FC" w:rsidTr="005F78FC">
        <w:tc>
          <w:tcPr>
            <w:tcW w:w="0" w:type="auto"/>
            <w:vAlign w:val="center"/>
          </w:tcPr>
          <w:p w:rsidR="005F78FC" w:rsidRDefault="00B42EF3">
            <w:pPr>
              <w:pStyle w:val="TableBodyText"/>
            </w:pPr>
            <w:r>
              <w:t>4</w:t>
            </w:r>
          </w:p>
        </w:tc>
        <w:tc>
          <w:tcPr>
            <w:tcW w:w="0" w:type="auto"/>
            <w:vAlign w:val="center"/>
          </w:tcPr>
          <w:p w:rsidR="005F78FC" w:rsidRDefault="00B42EF3">
            <w:pPr>
              <w:pStyle w:val="TableBodyText"/>
            </w:pPr>
            <w:r>
              <w:t>Specifies digital signature data</w:t>
            </w:r>
            <w:r>
              <w:t xml:space="preserve"> offset from the beginning of the blob. This shall always be 8</w:t>
            </w:r>
          </w:p>
        </w:tc>
      </w:tr>
      <w:tr w:rsidR="005F78FC" w:rsidTr="005F78FC">
        <w:tc>
          <w:tcPr>
            <w:tcW w:w="0" w:type="auto"/>
            <w:vAlign w:val="center"/>
          </w:tcPr>
          <w:p w:rsidR="005F78FC" w:rsidRDefault="00B42EF3">
            <w:pPr>
              <w:pStyle w:val="TableBodyText"/>
            </w:pPr>
            <w:r>
              <w:t>8</w:t>
            </w:r>
          </w:p>
        </w:tc>
        <w:tc>
          <w:tcPr>
            <w:tcW w:w="0" w:type="auto"/>
            <w:vAlign w:val="center"/>
          </w:tcPr>
          <w:p w:rsidR="005F78FC" w:rsidRDefault="00B42EF3">
            <w:pPr>
              <w:pStyle w:val="TableBodyText"/>
            </w:pPr>
            <w:r>
              <w:t>Digital signature data</w:t>
            </w:r>
          </w:p>
        </w:tc>
      </w:tr>
    </w:tbl>
    <w:p w:rsidR="005F78FC" w:rsidRDefault="005F78FC"/>
    <w:p w:rsidR="005F78FC" w:rsidRDefault="00B42EF3">
      <w:pPr>
        <w:pStyle w:val="Heading3"/>
      </w:pPr>
      <w:bookmarkStart w:id="3448" w:name="section_f0f1a882555d4c3db7514fe6cd1011af"/>
      <w:bookmarkStart w:id="3449" w:name="_Toc69879497"/>
      <w:r>
        <w:lastRenderedPageBreak/>
        <w:t>Part 1 Section 22.2.2.7, DocSecurity (Document Security)</w:t>
      </w:r>
      <w:bookmarkEnd w:id="3448"/>
      <w:bookmarkEnd w:id="3449"/>
      <w:r>
        <w:fldChar w:fldCharType="begin"/>
      </w:r>
      <w:r>
        <w:instrText xml:space="preserve"> XE "DocSecurity (Document Security)" </w:instrText>
      </w:r>
      <w:r>
        <w:fldChar w:fldCharType="end"/>
      </w:r>
    </w:p>
    <w:p w:rsidR="005F78FC" w:rsidRDefault="00B42EF3">
      <w:pPr>
        <w:pStyle w:val="Definition-Field"/>
      </w:pPr>
      <w:r>
        <w:t xml:space="preserve">a.   </w:t>
      </w:r>
      <w:r>
        <w:rPr>
          <w:i/>
        </w:rPr>
        <w:t>The standard states that the valid values of the DocSecurity el</w:t>
      </w:r>
      <w:r>
        <w:rPr>
          <w:i/>
        </w:rPr>
        <w:t>ement are 1, 2, 4, and 8.</w:t>
      </w:r>
    </w:p>
    <w:p w:rsidR="005F78FC" w:rsidRDefault="00B42EF3">
      <w:pPr>
        <w:pStyle w:val="Definition-Field2"/>
      </w:pPr>
      <w:r>
        <w:t>Office also supports a value of 0, signifying that no security level is defined.</w:t>
      </w:r>
    </w:p>
    <w:p w:rsidR="005F78FC" w:rsidRDefault="00B42EF3">
      <w:pPr>
        <w:pStyle w:val="Definition-Field"/>
      </w:pPr>
      <w:r>
        <w:t xml:space="preserve">b.   </w:t>
      </w:r>
      <w:r>
        <w:rPr>
          <w:i/>
        </w:rPr>
        <w:t>The standard states that the valid values of the DocSecurity element are 1, 2, 4, and 8.</w:t>
      </w:r>
    </w:p>
    <w:p w:rsidR="005F78FC" w:rsidRDefault="00B42EF3">
      <w:pPr>
        <w:pStyle w:val="Definition-Field2"/>
      </w:pPr>
      <w:r>
        <w:t>Excel does not support the values 4 or 8.</w:t>
      </w:r>
    </w:p>
    <w:p w:rsidR="005F78FC" w:rsidRDefault="00B42EF3">
      <w:pPr>
        <w:pStyle w:val="Definition-Field"/>
      </w:pPr>
      <w:r>
        <w:t xml:space="preserve">c.   </w:t>
      </w:r>
      <w:r>
        <w:rPr>
          <w:i/>
        </w:rPr>
        <w:t>The stan</w:t>
      </w:r>
      <w:r>
        <w:rPr>
          <w:i/>
        </w:rPr>
        <w:t>dard does not state that the values of this element can be combined.</w:t>
      </w:r>
    </w:p>
    <w:p w:rsidR="005F78FC" w:rsidRDefault="00B42EF3">
      <w:pPr>
        <w:pStyle w:val="Definition-Field2"/>
      </w:pPr>
      <w:r>
        <w:t>Office allows the values of this element to be combined.</w:t>
      </w:r>
    </w:p>
    <w:p w:rsidR="005F78FC" w:rsidRDefault="00B42EF3">
      <w:pPr>
        <w:pStyle w:val="Heading3"/>
      </w:pPr>
      <w:bookmarkStart w:id="3450" w:name="section_7bbab4664477424b9c52cc9800547d7b"/>
      <w:bookmarkStart w:id="3451" w:name="_Toc69879498"/>
      <w:r>
        <w:t>Part 1 Section 22.2.2.8, HeadingPairs (Heading Pairs)</w:t>
      </w:r>
      <w:bookmarkEnd w:id="3450"/>
      <w:bookmarkEnd w:id="3451"/>
      <w:r>
        <w:fldChar w:fldCharType="begin"/>
      </w:r>
      <w:r>
        <w:instrText xml:space="preserve"> XE "HeadingPairs (Heading Pairs)" </w:instrText>
      </w:r>
      <w:r>
        <w:fldChar w:fldCharType="end"/>
      </w:r>
    </w:p>
    <w:p w:rsidR="005F78FC" w:rsidRDefault="00B42EF3">
      <w:pPr>
        <w:pStyle w:val="Definition-Field"/>
      </w:pPr>
      <w:r>
        <w:t xml:space="preserve">a.   </w:t>
      </w:r>
      <w:r>
        <w:rPr>
          <w:i/>
        </w:rPr>
        <w:t>The standard does not document res</w:t>
      </w:r>
      <w:r>
        <w:rPr>
          <w:i/>
        </w:rPr>
        <w:t>trictions.</w:t>
      </w:r>
    </w:p>
    <w:p w:rsidR="005F78FC" w:rsidRDefault="00B42EF3">
      <w:r>
        <w:t>In Office, a specific order and variant type is required for each heading pair.  The baseType of the vector should be “variant”. The following table specifies the order and the variant type of each heading pair:</w:t>
      </w:r>
    </w:p>
    <w:tbl>
      <w:tblPr>
        <w:tblStyle w:val="Table-ShadedHeader"/>
        <w:tblW w:w="0" w:type="auto"/>
        <w:tblLook w:val="04A0" w:firstRow="1" w:lastRow="0" w:firstColumn="1" w:lastColumn="0" w:noHBand="0" w:noVBand="1"/>
      </w:tblPr>
      <w:tblGrid>
        <w:gridCol w:w="1356"/>
        <w:gridCol w:w="6924"/>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Variant type</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t xml:space="preserve">lpstr </w:t>
            </w:r>
            <w:r>
              <w:t>or lpwstr</w:t>
            </w:r>
          </w:p>
        </w:tc>
        <w:tc>
          <w:tcPr>
            <w:tcW w:w="0" w:type="auto"/>
            <w:vAlign w:val="center"/>
          </w:tcPr>
          <w:p w:rsidR="005F78FC" w:rsidRDefault="00B42EF3">
            <w:pPr>
              <w:pStyle w:val="TableBodyText"/>
            </w:pPr>
            <w:r>
              <w:t>Specifies the heading for the group</w:t>
            </w:r>
          </w:p>
        </w:tc>
      </w:tr>
      <w:tr w:rsidR="005F78FC" w:rsidTr="005F78FC">
        <w:tc>
          <w:tcPr>
            <w:tcW w:w="0" w:type="auto"/>
            <w:vAlign w:val="center"/>
          </w:tcPr>
          <w:p w:rsidR="005F78FC" w:rsidRDefault="00B42EF3">
            <w:pPr>
              <w:pStyle w:val="TableBodyText"/>
            </w:pPr>
            <w:r>
              <w:t>i4</w:t>
            </w:r>
          </w:p>
        </w:tc>
        <w:tc>
          <w:tcPr>
            <w:tcW w:w="0" w:type="auto"/>
            <w:vAlign w:val="center"/>
          </w:tcPr>
          <w:p w:rsidR="005F78FC" w:rsidRDefault="00B42EF3">
            <w:pPr>
              <w:pStyle w:val="TableBodyText"/>
            </w:pPr>
            <w:r>
              <w:t>Specifies the number of parts in the group. This value should be a positive integer.</w:t>
            </w:r>
          </w:p>
        </w:tc>
      </w:tr>
    </w:tbl>
    <w:p w:rsidR="005F78FC" w:rsidRDefault="005F78FC"/>
    <w:p w:rsidR="005F78FC" w:rsidRDefault="00B42EF3">
      <w:pPr>
        <w:pStyle w:val="Definition-Field"/>
      </w:pPr>
      <w:r>
        <w:t xml:space="preserve">b.   </w:t>
      </w:r>
      <w:r>
        <w:rPr>
          <w:i/>
        </w:rPr>
        <w:t>The standard does not include HeadingPairs for SpreadsheetML.</w:t>
      </w:r>
    </w:p>
    <w:p w:rsidR="005F78FC" w:rsidRDefault="00B42EF3">
      <w:r>
        <w:t>In Excel, the following heading pair values are spec</w:t>
      </w:r>
      <w:r>
        <w:t>ified:</w:t>
      </w:r>
    </w:p>
    <w:tbl>
      <w:tblPr>
        <w:tblStyle w:val="Table-ShadedHeader"/>
        <w:tblW w:w="0" w:type="auto"/>
        <w:tblLook w:val="04A0" w:firstRow="1" w:lastRow="0" w:firstColumn="1" w:lastColumn="0" w:noHBand="0" w:noVBand="1"/>
      </w:tblPr>
      <w:tblGrid>
        <w:gridCol w:w="1514"/>
        <w:gridCol w:w="7961"/>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Value Pair</w:t>
            </w:r>
          </w:p>
        </w:tc>
        <w:tc>
          <w:tcPr>
            <w:tcW w:w="0" w:type="auto"/>
            <w:vAlign w:val="center"/>
          </w:tcPr>
          <w:p w:rsidR="005F78FC" w:rsidRDefault="00B42EF3">
            <w:pPr>
              <w:pStyle w:val="TableHeaderText"/>
            </w:pPr>
            <w:r>
              <w:t>Meaning</w:t>
            </w:r>
          </w:p>
        </w:tc>
      </w:tr>
      <w:tr w:rsidR="005F78FC" w:rsidTr="005F78FC">
        <w:tc>
          <w:tcPr>
            <w:tcW w:w="0" w:type="auto"/>
            <w:vAlign w:val="center"/>
          </w:tcPr>
          <w:p w:rsidR="005F78FC" w:rsidRDefault="00B42EF3">
            <w:pPr>
              <w:pStyle w:val="TableBodyText"/>
            </w:pPr>
            <w:r>
              <w:t>SheetType, n</w:t>
            </w:r>
          </w:p>
        </w:tc>
        <w:tc>
          <w:tcPr>
            <w:tcW w:w="0" w:type="auto"/>
            <w:vAlign w:val="center"/>
          </w:tcPr>
          <w:p w:rsidR="005F78FC" w:rsidRDefault="00B42EF3">
            <w:pPr>
              <w:pStyle w:val="TableBodyText"/>
            </w:pPr>
            <w:r>
              <w:t xml:space="preserve">There are </w:t>
            </w:r>
            <w:r>
              <w:rPr>
                <w:b/>
              </w:rPr>
              <w:t xml:space="preserve">n </w:t>
            </w:r>
            <w:r>
              <w:t>of these types of sheets in the workbook.  SheetType can be one of the following:  Worksheet, Charts, and Dialogs.</w:t>
            </w:r>
          </w:p>
        </w:tc>
      </w:tr>
      <w:tr w:rsidR="005F78FC" w:rsidTr="005F78FC">
        <w:tc>
          <w:tcPr>
            <w:tcW w:w="0" w:type="auto"/>
            <w:vAlign w:val="center"/>
          </w:tcPr>
          <w:p w:rsidR="005F78FC" w:rsidRDefault="00B42EF3">
            <w:pPr>
              <w:pStyle w:val="TableBodyText"/>
            </w:pPr>
            <w:r>
              <w:t>Named Ranges, n</w:t>
            </w:r>
          </w:p>
        </w:tc>
        <w:tc>
          <w:tcPr>
            <w:tcW w:w="0" w:type="auto"/>
            <w:vAlign w:val="center"/>
          </w:tcPr>
          <w:p w:rsidR="005F78FC" w:rsidRDefault="00B42EF3">
            <w:pPr>
              <w:pStyle w:val="TableBodyText"/>
            </w:pPr>
            <w:r>
              <w:t xml:space="preserve">There are </w:t>
            </w:r>
            <w:r>
              <w:rPr>
                <w:b/>
              </w:rPr>
              <w:t>n</w:t>
            </w:r>
            <w:r>
              <w:t xml:space="preserve"> named ranges in the workbook.</w:t>
            </w:r>
          </w:p>
        </w:tc>
      </w:tr>
    </w:tbl>
    <w:p w:rsidR="005F78FC" w:rsidRDefault="005F78FC"/>
    <w:p w:rsidR="005F78FC" w:rsidRDefault="00B42EF3">
      <w:pPr>
        <w:pStyle w:val="Heading3"/>
      </w:pPr>
      <w:bookmarkStart w:id="3452" w:name="section_17baf0f7f34b45789bf7ad584c5474c8"/>
      <w:bookmarkStart w:id="3453" w:name="_Toc69879499"/>
      <w:r>
        <w:t>Part 1 Section 22.2.2.10, HLinks (Hyperlink List)</w:t>
      </w:r>
      <w:bookmarkEnd w:id="3452"/>
      <w:bookmarkEnd w:id="3453"/>
      <w:r>
        <w:fldChar w:fldCharType="begin"/>
      </w:r>
      <w:r>
        <w:instrText xml:space="preserve"> XE "HLinks (Hyperlink List)" </w:instrText>
      </w:r>
      <w:r>
        <w:fldChar w:fldCharType="end"/>
      </w:r>
    </w:p>
    <w:p w:rsidR="005F78FC" w:rsidRDefault="00B42EF3">
      <w:pPr>
        <w:pStyle w:val="Definition-Field"/>
      </w:pPr>
      <w:r>
        <w:t xml:space="preserve">a.   </w:t>
      </w:r>
      <w:r>
        <w:rPr>
          <w:i/>
        </w:rPr>
        <w:t>The standard does not specify the constraints on the HLinks type.</w:t>
      </w:r>
    </w:p>
    <w:p w:rsidR="005F78FC" w:rsidRDefault="00B42EF3">
      <w:r>
        <w:t>Each hyperlink in the document is represented by a set of 6 variants and hence the size of the vector s</w:t>
      </w:r>
      <w:r>
        <w:t>hould be multiples of 6. The following table specifies the order and the type of variants for a hyperlink:</w:t>
      </w:r>
    </w:p>
    <w:tbl>
      <w:tblPr>
        <w:tblStyle w:val="Table-ShadedHeader"/>
        <w:tblW w:w="0" w:type="auto"/>
        <w:tblLook w:val="04A0" w:firstRow="1" w:lastRow="0" w:firstColumn="1" w:lastColumn="0" w:noHBand="0" w:noVBand="1"/>
      </w:tblPr>
      <w:tblGrid>
        <w:gridCol w:w="1337"/>
        <w:gridCol w:w="6061"/>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Variant type</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t>i4</w:t>
            </w:r>
          </w:p>
        </w:tc>
        <w:tc>
          <w:tcPr>
            <w:tcW w:w="0" w:type="auto"/>
            <w:vAlign w:val="center"/>
          </w:tcPr>
          <w:p w:rsidR="005F78FC" w:rsidRDefault="00B42EF3">
            <w:pPr>
              <w:pStyle w:val="TableBodyText"/>
            </w:pPr>
            <w:r>
              <w:t>Application specific data associated with the hyperlink</w:t>
            </w:r>
          </w:p>
        </w:tc>
      </w:tr>
      <w:tr w:rsidR="005F78FC" w:rsidTr="005F78FC">
        <w:tc>
          <w:tcPr>
            <w:tcW w:w="0" w:type="auto"/>
            <w:vAlign w:val="center"/>
          </w:tcPr>
          <w:p w:rsidR="005F78FC" w:rsidRDefault="00B42EF3">
            <w:pPr>
              <w:pStyle w:val="TableBodyText"/>
            </w:pPr>
            <w:r>
              <w:t>i4</w:t>
            </w:r>
          </w:p>
        </w:tc>
        <w:tc>
          <w:tcPr>
            <w:tcW w:w="0" w:type="auto"/>
            <w:vAlign w:val="center"/>
          </w:tcPr>
          <w:p w:rsidR="005F78FC" w:rsidRDefault="00B42EF3">
            <w:pPr>
              <w:pStyle w:val="TableBodyText"/>
            </w:pPr>
            <w:r>
              <w:t>Application specific data associated with the hyperlink</w:t>
            </w:r>
          </w:p>
        </w:tc>
      </w:tr>
      <w:tr w:rsidR="005F78FC" w:rsidTr="005F78FC">
        <w:tc>
          <w:tcPr>
            <w:tcW w:w="0" w:type="auto"/>
            <w:vAlign w:val="center"/>
          </w:tcPr>
          <w:p w:rsidR="005F78FC" w:rsidRDefault="00B42EF3">
            <w:pPr>
              <w:pStyle w:val="TableBodyText"/>
            </w:pPr>
            <w:r>
              <w:t>i4</w:t>
            </w:r>
          </w:p>
        </w:tc>
        <w:tc>
          <w:tcPr>
            <w:tcW w:w="0" w:type="auto"/>
            <w:vAlign w:val="center"/>
          </w:tcPr>
          <w:p w:rsidR="005F78FC" w:rsidRDefault="00B42EF3">
            <w:pPr>
              <w:pStyle w:val="TableBodyText"/>
            </w:pPr>
            <w:r>
              <w:t>Application specific data associated with the hyperlink</w:t>
            </w:r>
          </w:p>
        </w:tc>
      </w:tr>
      <w:tr w:rsidR="005F78FC" w:rsidTr="005F78FC">
        <w:tc>
          <w:tcPr>
            <w:tcW w:w="0" w:type="auto"/>
            <w:vAlign w:val="center"/>
          </w:tcPr>
          <w:p w:rsidR="005F78FC" w:rsidRDefault="00B42EF3">
            <w:pPr>
              <w:pStyle w:val="TableBodyText"/>
            </w:pPr>
            <w:r>
              <w:lastRenderedPageBreak/>
              <w:t>i4</w:t>
            </w:r>
          </w:p>
        </w:tc>
        <w:tc>
          <w:tcPr>
            <w:tcW w:w="0" w:type="auto"/>
            <w:vAlign w:val="center"/>
          </w:tcPr>
          <w:p w:rsidR="005F78FC" w:rsidRDefault="00B42EF3">
            <w:pPr>
              <w:pStyle w:val="TableBodyText"/>
            </w:pPr>
            <w:r>
              <w:t>This specifies information about the hyperlink.</w:t>
            </w:r>
          </w:p>
          <w:p w:rsidR="005F78FC" w:rsidRDefault="005F78FC">
            <w:pPr>
              <w:pStyle w:val="TableBodyText"/>
            </w:pPr>
          </w:p>
          <w:p w:rsidR="005F78FC" w:rsidRDefault="00B42EF3">
            <w:pPr>
              <w:pStyle w:val="TableBodyText"/>
            </w:pPr>
            <w:r>
              <w:t>The lower 16 bits specify hyperlink type with one of the possible values:</w:t>
            </w:r>
          </w:p>
          <w:p w:rsidR="005F78FC" w:rsidRDefault="005F78FC">
            <w:pPr>
              <w:pStyle w:val="TableBodyText"/>
            </w:pPr>
          </w:p>
          <w:p w:rsidR="005F78FC" w:rsidRDefault="00B42EF3">
            <w:pPr>
              <w:pStyle w:val="TableBodyText"/>
            </w:pPr>
            <w:r>
              <w:t>0 - Graphic shown as background of document</w:t>
            </w:r>
          </w:p>
          <w:p w:rsidR="005F78FC" w:rsidRDefault="00B42EF3">
            <w:pPr>
              <w:pStyle w:val="TableBodyText"/>
            </w:pPr>
            <w:r>
              <w:t xml:space="preserve">1 - Graphic shown in </w:t>
            </w:r>
            <w:r>
              <w:t>document</w:t>
            </w:r>
          </w:p>
          <w:p w:rsidR="005F78FC" w:rsidRDefault="00B42EF3">
            <w:pPr>
              <w:pStyle w:val="TableBodyText"/>
            </w:pPr>
            <w:r>
              <w:t>2 - Graphic used to fill a shape</w:t>
            </w:r>
          </w:p>
          <w:p w:rsidR="005F78FC" w:rsidRDefault="00B42EF3">
            <w:pPr>
              <w:pStyle w:val="TableBodyText"/>
            </w:pPr>
            <w:r>
              <w:t>3 - Graphic used for shape outline</w:t>
            </w:r>
          </w:p>
          <w:p w:rsidR="005F78FC" w:rsidRDefault="00B42EF3">
            <w:pPr>
              <w:pStyle w:val="TableBodyText"/>
            </w:pPr>
            <w:r>
              <w:t>4 - Hyperlink attached to a shape</w:t>
            </w:r>
          </w:p>
          <w:p w:rsidR="005F78FC" w:rsidRDefault="00B42EF3">
            <w:pPr>
              <w:pStyle w:val="TableBodyText"/>
            </w:pPr>
            <w:r>
              <w:t>5 - Hyperlink attached to a WordprocessingML  field</w:t>
            </w:r>
          </w:p>
          <w:p w:rsidR="005F78FC" w:rsidRDefault="00B42EF3">
            <w:pPr>
              <w:pStyle w:val="TableBodyText"/>
            </w:pPr>
            <w:r>
              <w:t>6 - Hyperlink attached to a SpreadsheetML  range</w:t>
            </w:r>
          </w:p>
          <w:p w:rsidR="005F78FC" w:rsidRDefault="005F78FC">
            <w:pPr>
              <w:pStyle w:val="TableBodyText"/>
            </w:pPr>
          </w:p>
          <w:p w:rsidR="005F78FC" w:rsidRDefault="00B42EF3">
            <w:pPr>
              <w:pStyle w:val="TableBodyText"/>
            </w:pPr>
            <w:r>
              <w:t>The high 16 bits store hyperlink action wit</w:t>
            </w:r>
            <w:r>
              <w:t>h one of the possible values:</w:t>
            </w:r>
          </w:p>
          <w:p w:rsidR="005F78FC" w:rsidRDefault="005F78FC">
            <w:pPr>
              <w:pStyle w:val="TableBodyText"/>
            </w:pPr>
          </w:p>
          <w:p w:rsidR="005F78FC" w:rsidRDefault="00B42EF3">
            <w:pPr>
              <w:pStyle w:val="TableBodyText"/>
            </w:pPr>
            <w:r>
              <w:t>0 - None</w:t>
            </w:r>
          </w:p>
          <w:p w:rsidR="005F78FC" w:rsidRDefault="00B42EF3">
            <w:pPr>
              <w:pStyle w:val="TableBodyText"/>
            </w:pPr>
            <w:r>
              <w:t>1 - Change the link to new hyperlink value</w:t>
            </w:r>
          </w:p>
          <w:p w:rsidR="005F78FC" w:rsidRDefault="00B42EF3">
            <w:pPr>
              <w:pStyle w:val="TableBodyText"/>
            </w:pPr>
            <w:r>
              <w:t>2 - Remove hyperlink from object</w:t>
            </w:r>
          </w:p>
          <w:p w:rsidR="005F78FC" w:rsidRDefault="005F78FC">
            <w:pPr>
              <w:pStyle w:val="TableBodyText"/>
            </w:pPr>
          </w:p>
        </w:tc>
      </w:tr>
      <w:tr w:rsidR="005F78FC" w:rsidTr="005F78FC">
        <w:tc>
          <w:tcPr>
            <w:tcW w:w="0" w:type="auto"/>
            <w:vAlign w:val="center"/>
          </w:tcPr>
          <w:p w:rsidR="005F78FC" w:rsidRDefault="00B42EF3">
            <w:pPr>
              <w:pStyle w:val="TableBodyText"/>
            </w:pPr>
            <w:r>
              <w:t>lpwstr</w:t>
            </w:r>
          </w:p>
        </w:tc>
        <w:tc>
          <w:tcPr>
            <w:tcW w:w="0" w:type="auto"/>
            <w:vAlign w:val="center"/>
          </w:tcPr>
          <w:p w:rsidR="005F78FC" w:rsidRDefault="00B42EF3">
            <w:pPr>
              <w:pStyle w:val="TableBodyText"/>
            </w:pPr>
            <w:r>
              <w:t>This specifies the hyperlink target</w:t>
            </w:r>
          </w:p>
        </w:tc>
      </w:tr>
      <w:tr w:rsidR="005F78FC" w:rsidTr="005F78FC">
        <w:tc>
          <w:tcPr>
            <w:tcW w:w="0" w:type="auto"/>
            <w:vAlign w:val="center"/>
          </w:tcPr>
          <w:p w:rsidR="005F78FC" w:rsidRDefault="00B42EF3">
            <w:pPr>
              <w:pStyle w:val="TableBodyText"/>
            </w:pPr>
            <w:r>
              <w:t>lpwstr</w:t>
            </w:r>
          </w:p>
        </w:tc>
        <w:tc>
          <w:tcPr>
            <w:tcW w:w="0" w:type="auto"/>
            <w:vAlign w:val="center"/>
          </w:tcPr>
          <w:p w:rsidR="005F78FC" w:rsidRDefault="00B42EF3">
            <w:pPr>
              <w:pStyle w:val="TableBodyText"/>
            </w:pPr>
            <w:r>
              <w:t>This specifies the location of the hyperlink</w:t>
            </w:r>
          </w:p>
        </w:tc>
      </w:tr>
    </w:tbl>
    <w:p w:rsidR="005F78FC" w:rsidRDefault="005F78FC"/>
    <w:p w:rsidR="005F78FC" w:rsidRDefault="00B42EF3">
      <w:pPr>
        <w:pStyle w:val="Heading3"/>
      </w:pPr>
      <w:bookmarkStart w:id="3454" w:name="section_de32de14957346f39f3819659e3a8d9a"/>
      <w:bookmarkStart w:id="3455" w:name="_Toc69879500"/>
      <w:r>
        <w:t>Part 1 Section 22.2.2.26, TitlesOfParts (Part Titles)</w:t>
      </w:r>
      <w:bookmarkEnd w:id="3454"/>
      <w:bookmarkEnd w:id="3455"/>
      <w:r>
        <w:fldChar w:fldCharType="begin"/>
      </w:r>
      <w:r>
        <w:instrText xml:space="preserve"> XE "TitlesOfParts (Part Titles)" </w:instrText>
      </w:r>
      <w:r>
        <w:fldChar w:fldCharType="end"/>
      </w:r>
    </w:p>
    <w:p w:rsidR="005F78FC" w:rsidRDefault="00B42EF3">
      <w:pPr>
        <w:pStyle w:val="Definition-Field"/>
      </w:pPr>
      <w:r>
        <w:t xml:space="preserve">a.   </w:t>
      </w:r>
      <w:r>
        <w:rPr>
          <w:i/>
        </w:rPr>
        <w:t>The standard specifies the TitlesOfParts element but provides no direction on application specific part titles.</w:t>
      </w:r>
    </w:p>
    <w:p w:rsidR="005F78FC" w:rsidRDefault="00B42EF3">
      <w:pPr>
        <w:pStyle w:val="Definition-Field2"/>
      </w:pPr>
      <w:r>
        <w:t>In Excel, the TitlesOfParts element can contain W</w:t>
      </w:r>
      <w:r>
        <w:t>orksheet names, Dialogsheet names, Chart names and Named ranges.</w:t>
      </w:r>
    </w:p>
    <w:p w:rsidR="005F78FC" w:rsidRDefault="00B42EF3">
      <w:pPr>
        <w:pStyle w:val="Definition-Field"/>
      </w:pPr>
      <w:r>
        <w:t xml:space="preserve">b.   </w:t>
      </w:r>
      <w:r>
        <w:rPr>
          <w:i/>
        </w:rPr>
        <w:t>The standard does not state the relationship with the HeadingPairs property.</w:t>
      </w:r>
    </w:p>
    <w:p w:rsidR="005F78FC" w:rsidRDefault="00B42EF3">
      <w:r>
        <w:t>In Office, the part titles specified in the HeadingPairs property are linked to HeadingPairs ("</w:t>
      </w:r>
      <w:hyperlink r:id="rId221">
        <w:r>
          <w:rPr>
            <w:rStyle w:val="Hyperlink"/>
          </w:rPr>
          <w:t>[ISO/IEC-29500-1]</w:t>
        </w:r>
      </w:hyperlink>
      <w:r>
        <w:t xml:space="preserve"> §22.2.2.8; HeadingPairs") entries. Hence there shall not be more document part titles listed here than the sum of all parts listed in HeadingPairs property.</w:t>
      </w:r>
    </w:p>
    <w:p w:rsidR="005F78FC" w:rsidRDefault="00B42EF3">
      <w:r>
        <w:t xml:space="preserve"> [Example: A presentation com</w:t>
      </w:r>
      <w:r>
        <w:t xml:space="preserve">posed of three slides with an applied theme "Currency" may have the following TitlesofParts and HeadingPairs representation: </w:t>
      </w:r>
    </w:p>
    <w:p w:rsidR="005F78FC" w:rsidRDefault="00B42EF3">
      <w:pPr>
        <w:pStyle w:val="Code"/>
      </w:pPr>
      <w:r>
        <w:t>&lt;TitlesofParts&gt;</w:t>
      </w:r>
    </w:p>
    <w:p w:rsidR="005F78FC" w:rsidRDefault="00B42EF3">
      <w:pPr>
        <w:pStyle w:val="Code"/>
      </w:pPr>
      <w:r>
        <w:t xml:space="preserve">  &lt;vt:vector size="4" baseType="lpstr"&gt;</w:t>
      </w:r>
    </w:p>
    <w:p w:rsidR="005F78FC" w:rsidRDefault="00B42EF3">
      <w:pPr>
        <w:pStyle w:val="Code"/>
      </w:pPr>
      <w:r>
        <w:t xml:space="preserve">    &lt;vt:lpstr&gt;Currency&lt;/vt:lpstr&gt;</w:t>
      </w:r>
    </w:p>
    <w:p w:rsidR="005F78FC" w:rsidRDefault="00B42EF3">
      <w:pPr>
        <w:pStyle w:val="Code"/>
      </w:pPr>
      <w:r>
        <w:t xml:space="preserve">    &lt;vt:lpstr&gt;Slide 1&lt;/vt:lpstr&gt;</w:t>
      </w:r>
    </w:p>
    <w:p w:rsidR="005F78FC" w:rsidRDefault="00B42EF3">
      <w:pPr>
        <w:pStyle w:val="Code"/>
      </w:pPr>
      <w:r>
        <w:t xml:space="preserve">    &lt;vt</w:t>
      </w:r>
      <w:r>
        <w:t>:lpstr&gt;Slide 2&lt;/vt:lpstr&gt;</w:t>
      </w:r>
    </w:p>
    <w:p w:rsidR="005F78FC" w:rsidRDefault="00B42EF3">
      <w:pPr>
        <w:pStyle w:val="Code"/>
      </w:pPr>
      <w:r>
        <w:t xml:space="preserve">    &lt;vt:lpstr&gt;Slide 3&lt;/vt:lpstr&gt;</w:t>
      </w:r>
    </w:p>
    <w:p w:rsidR="005F78FC" w:rsidRDefault="00B42EF3">
      <w:pPr>
        <w:pStyle w:val="Code"/>
      </w:pPr>
      <w:r>
        <w:t xml:space="preserve">  &lt;/vt:vector&gt;</w:t>
      </w:r>
    </w:p>
    <w:p w:rsidR="005F78FC" w:rsidRDefault="00B42EF3">
      <w:pPr>
        <w:pStyle w:val="Code"/>
      </w:pPr>
      <w:r>
        <w:t>&lt;/TitlesofParts&gt;</w:t>
      </w:r>
    </w:p>
    <w:p w:rsidR="005F78FC" w:rsidRDefault="00B42EF3">
      <w:pPr>
        <w:pStyle w:val="Code"/>
      </w:pPr>
      <w:r>
        <w:t>&lt;HeadingPairs&gt;</w:t>
      </w:r>
    </w:p>
    <w:p w:rsidR="005F78FC" w:rsidRDefault="00B42EF3">
      <w:pPr>
        <w:pStyle w:val="Code"/>
      </w:pPr>
      <w:r>
        <w:t xml:space="preserve">  &lt;vt:vector size="4" baseType="variant"&gt;</w:t>
      </w:r>
    </w:p>
    <w:p w:rsidR="005F78FC" w:rsidRDefault="00B42EF3">
      <w:pPr>
        <w:pStyle w:val="Code"/>
      </w:pPr>
      <w:r>
        <w:t xml:space="preserve">    &lt;vt:variant&gt;</w:t>
      </w:r>
    </w:p>
    <w:p w:rsidR="005F78FC" w:rsidRDefault="00B42EF3">
      <w:pPr>
        <w:pStyle w:val="Code"/>
      </w:pPr>
      <w:r>
        <w:t xml:space="preserve">      &lt;vt:lpstr&gt;Theme&lt;/vt:lpstr&gt;</w:t>
      </w:r>
    </w:p>
    <w:p w:rsidR="005F78FC" w:rsidRDefault="00B42EF3">
      <w:pPr>
        <w:pStyle w:val="Code"/>
      </w:pPr>
      <w:r>
        <w:t xml:space="preserve">    &lt;/vt:variant&gt;</w:t>
      </w:r>
    </w:p>
    <w:p w:rsidR="005F78FC" w:rsidRDefault="00B42EF3">
      <w:pPr>
        <w:pStyle w:val="Code"/>
      </w:pPr>
      <w:r>
        <w:lastRenderedPageBreak/>
        <w:t xml:space="preserve">    &lt;vt:variant&gt;</w:t>
      </w:r>
    </w:p>
    <w:p w:rsidR="005F78FC" w:rsidRDefault="00B42EF3">
      <w:pPr>
        <w:pStyle w:val="Code"/>
      </w:pPr>
      <w:r>
        <w:t xml:space="preserve">      &lt;vt:i4&gt;1&lt;/vt:i4&gt;</w:t>
      </w:r>
    </w:p>
    <w:p w:rsidR="005F78FC" w:rsidRDefault="00B42EF3">
      <w:pPr>
        <w:pStyle w:val="Code"/>
      </w:pPr>
      <w:r>
        <w:t xml:space="preserve">    &lt;/vt:variant&gt;</w:t>
      </w:r>
    </w:p>
    <w:p w:rsidR="005F78FC" w:rsidRDefault="00B42EF3">
      <w:pPr>
        <w:pStyle w:val="Code"/>
      </w:pPr>
      <w:r>
        <w:t xml:space="preserve">    &lt;vt:variant&gt;</w:t>
      </w:r>
    </w:p>
    <w:p w:rsidR="005F78FC" w:rsidRDefault="00B42EF3">
      <w:pPr>
        <w:pStyle w:val="Code"/>
      </w:pPr>
      <w:r>
        <w:t xml:space="preserve">      &lt;vt:lpstr&gt;Slide Titles&lt;/vt:lpstr&gt;</w:t>
      </w:r>
    </w:p>
    <w:p w:rsidR="005F78FC" w:rsidRDefault="00B42EF3">
      <w:pPr>
        <w:pStyle w:val="Code"/>
      </w:pPr>
      <w:r>
        <w:t xml:space="preserve">    &lt;/vt:variant&gt;</w:t>
      </w:r>
    </w:p>
    <w:p w:rsidR="005F78FC" w:rsidRDefault="00B42EF3">
      <w:r>
        <w:t xml:space="preserve">      &lt;vt:variant&gt;</w:t>
      </w:r>
    </w:p>
    <w:p w:rsidR="005F78FC" w:rsidRDefault="00B42EF3">
      <w:r>
        <w:t xml:space="preserve">        &lt;vt:i4&gt;3&lt;/vt:i4&gt;</w:t>
      </w:r>
    </w:p>
    <w:p w:rsidR="005F78FC" w:rsidRDefault="00B42EF3">
      <w:r>
        <w:t xml:space="preserve">      &lt;/vt:variant&gt;</w:t>
      </w:r>
    </w:p>
    <w:p w:rsidR="005F78FC" w:rsidRDefault="00B42EF3">
      <w:r>
        <w:t xml:space="preserve">    &lt;/vt:vector&gt;</w:t>
      </w:r>
    </w:p>
    <w:p w:rsidR="005F78FC" w:rsidRDefault="00B42EF3">
      <w:r>
        <w:t xml:space="preserve">  &lt;/HeadingPairs&gt;</w:t>
      </w:r>
    </w:p>
    <w:p w:rsidR="005F78FC" w:rsidRDefault="00B42EF3">
      <w:r>
        <w:t>end example]</w:t>
      </w:r>
    </w:p>
    <w:p w:rsidR="005F78FC" w:rsidRDefault="00B42EF3">
      <w:pPr>
        <w:pStyle w:val="Heading3"/>
      </w:pPr>
      <w:bookmarkStart w:id="3456" w:name="section_4b59044c878542a7bccb0da2aee6e9e6"/>
      <w:bookmarkStart w:id="3457" w:name="_Toc69879501"/>
      <w:r>
        <w:t>Part 1 Section 22.2.2.27, TotalTime (Total Edit Time Metadata Element)</w:t>
      </w:r>
      <w:bookmarkEnd w:id="3456"/>
      <w:bookmarkEnd w:id="3457"/>
      <w:r>
        <w:fldChar w:fldCharType="begin"/>
      </w:r>
      <w:r>
        <w:instrText xml:space="preserve"> XE "TotalTime (Total Edit Time Metadata Element)" </w:instrText>
      </w:r>
      <w:r>
        <w:fldChar w:fldCharType="end"/>
      </w:r>
    </w:p>
    <w:p w:rsidR="005F78FC" w:rsidRDefault="00B42EF3">
      <w:pPr>
        <w:pStyle w:val="Definition-Field"/>
      </w:pPr>
      <w:r>
        <w:t xml:space="preserve">a.   </w:t>
      </w:r>
      <w:r>
        <w:rPr>
          <w:i/>
        </w:rPr>
        <w:t>The standard states that the value of this element can be any integer.</w:t>
      </w:r>
    </w:p>
    <w:p w:rsidR="005F78FC" w:rsidRDefault="00B42EF3">
      <w:pPr>
        <w:pStyle w:val="Definition-Field2"/>
      </w:pPr>
      <w:r>
        <w:t>Office disallows any negative value on this element.</w:t>
      </w:r>
    </w:p>
    <w:p w:rsidR="005F78FC" w:rsidRDefault="00B42EF3">
      <w:pPr>
        <w:pStyle w:val="Heading3"/>
      </w:pPr>
      <w:bookmarkStart w:id="3458" w:name="section_dd236d155c664553b1bbcdbf1680bf1b"/>
      <w:bookmarkStart w:id="3459" w:name="_Toc69879502"/>
      <w:r>
        <w:t>Par</w:t>
      </w:r>
      <w:r>
        <w:t>t 1 Section 22.3.2.2, property (Custom File Property)</w:t>
      </w:r>
      <w:bookmarkEnd w:id="3458"/>
      <w:bookmarkEnd w:id="3459"/>
      <w:r>
        <w:fldChar w:fldCharType="begin"/>
      </w:r>
      <w:r>
        <w:instrText xml:space="preserve"> XE "property (Custom File Property)" </w:instrText>
      </w:r>
      <w:r>
        <w:fldChar w:fldCharType="end"/>
      </w:r>
    </w:p>
    <w:p w:rsidR="005F78FC" w:rsidRDefault="00B42EF3">
      <w:pPr>
        <w:pStyle w:val="Definition-Field"/>
      </w:pPr>
      <w:r>
        <w:t xml:space="preserve">a.   </w:t>
      </w:r>
      <w:r>
        <w:rPr>
          <w:i/>
        </w:rPr>
        <w:t>The standard does not reserve a unique property name for the property editor’s content type ID.</w:t>
      </w:r>
    </w:p>
    <w:p w:rsidR="005F78FC" w:rsidRDefault="00B42EF3">
      <w:r>
        <w:t>Office reserves the following unique property names for the f</w:t>
      </w:r>
      <w:r>
        <w:t>ollowing purposes:</w:t>
      </w:r>
    </w:p>
    <w:tbl>
      <w:tblPr>
        <w:tblStyle w:val="Table-ShadedHeader"/>
        <w:tblW w:w="0" w:type="auto"/>
        <w:tblLook w:val="04A0" w:firstRow="1" w:lastRow="0" w:firstColumn="1" w:lastColumn="0" w:noHBand="0" w:noVBand="1"/>
      </w:tblPr>
      <w:tblGrid>
        <w:gridCol w:w="1418"/>
        <w:gridCol w:w="8057"/>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 xml:space="preserve">    Name    </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rPr>
                <w:i/>
              </w:rPr>
              <w:t>ContentTypeId</w:t>
            </w:r>
          </w:p>
        </w:tc>
        <w:tc>
          <w:tcPr>
            <w:tcW w:w="0" w:type="auto"/>
            <w:vAlign w:val="center"/>
          </w:tcPr>
          <w:p w:rsidR="005F78FC" w:rsidRDefault="00B42EF3">
            <w:pPr>
              <w:pStyle w:val="TableBodyText"/>
            </w:pPr>
            <w:r>
              <w:t xml:space="preserve">A custom property with this name contains the id of the content type associated with the Windows SharePoint Services document library where this document belongs. Its value is the same as the </w:t>
            </w:r>
            <w:r>
              <w:rPr>
                <w:b/>
              </w:rPr>
              <w:t>ma:co</w:t>
            </w:r>
            <w:r>
              <w:rPr>
                <w:b/>
              </w:rPr>
              <w:t>ntentTypeID</w:t>
            </w:r>
            <w:r>
              <w:t xml:space="preserve"> attribute on the Schema for Content Type element (</w:t>
            </w:r>
            <w:hyperlink w:anchor="Section_0365ee65da5b44769eaa73f1dda94db8">
              <w:r>
                <w:rPr>
                  <w:rStyle w:val="Hyperlink"/>
                </w:rPr>
                <w:t>§3.5.2.1.1.1, contentTypeSchema</w:t>
              </w:r>
            </w:hyperlink>
            <w:r>
              <w:t>).</w:t>
            </w:r>
          </w:p>
        </w:tc>
      </w:tr>
    </w:tbl>
    <w:p w:rsidR="005F78FC" w:rsidRDefault="005F78FC"/>
    <w:p w:rsidR="005F78FC" w:rsidRDefault="00B42EF3">
      <w:pPr>
        <w:pStyle w:val="Definition-Field"/>
      </w:pPr>
      <w:r>
        <w:t xml:space="preserve">b.   </w:t>
      </w:r>
      <w:r>
        <w:rPr>
          <w:i/>
        </w:rPr>
        <w:t>The standard does not reserve unique property names for document workspaces.</w:t>
      </w:r>
    </w:p>
    <w:p w:rsidR="005F78FC" w:rsidRDefault="00B42EF3">
      <w:r>
        <w:t xml:space="preserve">Office </w:t>
      </w:r>
      <w:r>
        <w:t>reserves the following unique property names for the following purposes:</w:t>
      </w:r>
    </w:p>
    <w:tbl>
      <w:tblPr>
        <w:tblStyle w:val="Table-ShadedHeader"/>
        <w:tblW w:w="0" w:type="auto"/>
        <w:tblLook w:val="04A0" w:firstRow="1" w:lastRow="0" w:firstColumn="1" w:lastColumn="0" w:noHBand="0" w:noVBand="1"/>
      </w:tblPr>
      <w:tblGrid>
        <w:gridCol w:w="1636"/>
        <w:gridCol w:w="7839"/>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Name</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rPr>
                <w:i/>
              </w:rPr>
              <w:t>_CheckOutSrcUrl</w:t>
            </w:r>
          </w:p>
        </w:tc>
        <w:tc>
          <w:tcPr>
            <w:tcW w:w="0" w:type="auto"/>
            <w:vAlign w:val="center"/>
          </w:tcPr>
          <w:p w:rsidR="005F78FC" w:rsidRDefault="00B42EF3">
            <w:pPr>
              <w:pStyle w:val="TableBodyText"/>
            </w:pPr>
            <w:r>
              <w:t>A custom property with this name specifies the document workspace from which the document was checked out.</w:t>
            </w:r>
          </w:p>
          <w:p w:rsidR="005F78FC" w:rsidRDefault="005F78FC">
            <w:pPr>
              <w:pStyle w:val="TableBodyText"/>
            </w:pPr>
          </w:p>
          <w:p w:rsidR="005F78FC" w:rsidRDefault="00B42EF3">
            <w:pPr>
              <w:pStyle w:val="TableBodyText"/>
            </w:pPr>
            <w:r>
              <w:t xml:space="preserve">The child element of this property shall </w:t>
            </w:r>
            <w:r>
              <w:t xml:space="preserve">be a </w:t>
            </w:r>
            <w:r>
              <w:rPr>
                <w:b/>
              </w:rPr>
              <w:t>lpwstr</w:t>
            </w:r>
            <w:r>
              <w:t xml:space="preserve"> specifying the URL of the document workspace where this document belongs.  This URL shall not exceed 256 characters.</w:t>
            </w:r>
          </w:p>
        </w:tc>
      </w:tr>
      <w:tr w:rsidR="005F78FC" w:rsidTr="005F78FC">
        <w:tc>
          <w:tcPr>
            <w:tcW w:w="0" w:type="auto"/>
            <w:vAlign w:val="center"/>
          </w:tcPr>
          <w:p w:rsidR="005F78FC" w:rsidRDefault="00B42EF3">
            <w:pPr>
              <w:pStyle w:val="TableBodyText"/>
            </w:pPr>
            <w:r>
              <w:rPr>
                <w:i/>
              </w:rPr>
              <w:t>_LiveCopyIndex</w:t>
            </w:r>
          </w:p>
        </w:tc>
        <w:tc>
          <w:tcPr>
            <w:tcW w:w="0" w:type="auto"/>
            <w:vAlign w:val="center"/>
          </w:tcPr>
          <w:p w:rsidR="005F78FC" w:rsidRDefault="00B42EF3">
            <w:pPr>
              <w:pStyle w:val="TableBodyText"/>
            </w:pPr>
            <w:r>
              <w:t xml:space="preserve">A custom property with this name provides a time stamp for comparing the current state of a server document to </w:t>
            </w:r>
            <w:r>
              <w:t>a local copy of that document.</w:t>
            </w:r>
          </w:p>
          <w:p w:rsidR="005F78FC" w:rsidRDefault="005F78FC">
            <w:pPr>
              <w:pStyle w:val="TableBodyText"/>
            </w:pPr>
          </w:p>
          <w:p w:rsidR="005F78FC" w:rsidRDefault="00B42EF3">
            <w:pPr>
              <w:pStyle w:val="TableBodyText"/>
            </w:pPr>
            <w:r>
              <w:t xml:space="preserve">The child element of this property shall be an </w:t>
            </w:r>
            <w:r>
              <w:rPr>
                <w:b/>
              </w:rPr>
              <w:t>i4</w:t>
            </w:r>
            <w:r>
              <w:t xml:space="preserve"> containing a hashed value of the </w:t>
            </w:r>
            <w:r>
              <w:rPr>
                <w:b/>
              </w:rPr>
              <w:t>modified</w:t>
            </w:r>
            <w:r>
              <w:t xml:space="preserve"> property when the original document was first added to the document workspace. This value is computed by multiplying the high-order part of the </w:t>
            </w:r>
            <w:r>
              <w:rPr>
                <w:b/>
              </w:rPr>
              <w:t>modified</w:t>
            </w:r>
            <w:r>
              <w:t xml:space="preserve"> </w:t>
            </w:r>
            <w:r>
              <w:rPr>
                <w:b/>
              </w:rPr>
              <w:t>filetime</w:t>
            </w:r>
            <w:r>
              <w:t xml:space="preserve"> property by three </w:t>
            </w:r>
            <w:r>
              <w:lastRenderedPageBreak/>
              <w:t xml:space="preserve">and adding that to the low-order part of the </w:t>
            </w:r>
            <w:r>
              <w:rPr>
                <w:b/>
              </w:rPr>
              <w:t>filetime</w:t>
            </w:r>
            <w:r>
              <w:t xml:space="preserve">. </w:t>
            </w:r>
          </w:p>
          <w:p w:rsidR="005F78FC" w:rsidRDefault="005F78FC">
            <w:pPr>
              <w:pStyle w:val="TableBodyText"/>
            </w:pPr>
          </w:p>
          <w:p w:rsidR="005F78FC" w:rsidRDefault="00B42EF3">
            <w:pPr>
              <w:pStyle w:val="TableBodyText"/>
            </w:pPr>
            <w:r>
              <w:t>This information c</w:t>
            </w:r>
            <w:r>
              <w:t xml:space="preserve">an be used to resolve potential conflicts between two different copies of a document stored in a document workspace. If the </w:t>
            </w:r>
            <w:r>
              <w:rPr>
                <w:i/>
              </w:rPr>
              <w:t>_LiveCopyIndex</w:t>
            </w:r>
            <w:r>
              <w:t xml:space="preserve"> value of a particular document matches the </w:t>
            </w:r>
            <w:r>
              <w:rPr>
                <w:b/>
              </w:rPr>
              <w:t>modified</w:t>
            </w:r>
            <w:r>
              <w:t xml:space="preserve"> property value, then that document is considered to be equivalent</w:t>
            </w:r>
            <w:r>
              <w:t xml:space="preserve"> to the original shared version of the file on the server. If one of the two copies of a document is the original shared version and the two copies of the document differ, then the other document shall be newer.</w:t>
            </w:r>
          </w:p>
        </w:tc>
      </w:tr>
      <w:tr w:rsidR="005F78FC" w:rsidTr="005F78FC">
        <w:tc>
          <w:tcPr>
            <w:tcW w:w="0" w:type="auto"/>
            <w:vAlign w:val="center"/>
          </w:tcPr>
          <w:p w:rsidR="005F78FC" w:rsidRDefault="00B42EF3">
            <w:pPr>
              <w:pStyle w:val="TableBodyText"/>
            </w:pPr>
            <w:r>
              <w:rPr>
                <w:i/>
              </w:rPr>
              <w:lastRenderedPageBreak/>
              <w:t>_SharedFileIndex</w:t>
            </w:r>
          </w:p>
        </w:tc>
        <w:tc>
          <w:tcPr>
            <w:tcW w:w="0" w:type="auto"/>
            <w:vAlign w:val="center"/>
          </w:tcPr>
          <w:p w:rsidR="005F78FC" w:rsidRDefault="00B42EF3">
            <w:pPr>
              <w:pStyle w:val="TableBodyText"/>
            </w:pPr>
            <w:r>
              <w:t xml:space="preserve">A custom property with </w:t>
            </w:r>
            <w:r>
              <w:t>this name identifies the workspace that the document belongs to.</w:t>
            </w:r>
          </w:p>
          <w:p w:rsidR="005F78FC" w:rsidRDefault="005F78FC">
            <w:pPr>
              <w:pStyle w:val="TableBodyText"/>
            </w:pPr>
          </w:p>
          <w:p w:rsidR="005F78FC" w:rsidRDefault="00B42EF3">
            <w:pPr>
              <w:pStyle w:val="TableBodyText"/>
            </w:pPr>
            <w:r>
              <w:t xml:space="preserve">The child element of this property shall be an </w:t>
            </w:r>
            <w:r>
              <w:rPr>
                <w:b/>
              </w:rPr>
              <w:t>lpwstr</w:t>
            </w:r>
            <w:r>
              <w:t xml:space="preserve"> comprised of three parts: a version number, followed by a GUID, followed by the URL of the workspace.</w:t>
            </w:r>
          </w:p>
          <w:p w:rsidR="005F78FC" w:rsidRDefault="005F78FC">
            <w:pPr>
              <w:pStyle w:val="TableBodyText"/>
            </w:pPr>
          </w:p>
          <w:p w:rsidR="005F78FC" w:rsidRDefault="00B42EF3">
            <w:pPr>
              <w:pStyle w:val="TableBodyText"/>
            </w:pPr>
            <w:r>
              <w:t xml:space="preserve">The version number shall be </w:t>
            </w:r>
            <w:r>
              <w:rPr>
                <w:i/>
              </w:rPr>
              <w:t>00000</w:t>
            </w:r>
            <w:r>
              <w:rPr>
                <w:i/>
              </w:rPr>
              <w:t>20000000000</w:t>
            </w:r>
            <w:r>
              <w:t>.</w:t>
            </w:r>
          </w:p>
          <w:p w:rsidR="005F78FC" w:rsidRDefault="005F78FC">
            <w:pPr>
              <w:pStyle w:val="TableBodyText"/>
            </w:pPr>
          </w:p>
          <w:p w:rsidR="005F78FC" w:rsidRDefault="00B42EF3">
            <w:pPr>
              <w:pStyle w:val="TableBodyText"/>
            </w:pPr>
            <w:r>
              <w:t>The GUID shall uniquely identify the document.</w:t>
            </w:r>
          </w:p>
          <w:p w:rsidR="005F78FC" w:rsidRDefault="005F78FC">
            <w:pPr>
              <w:pStyle w:val="TableBodyText"/>
            </w:pPr>
          </w:p>
          <w:p w:rsidR="005F78FC" w:rsidRDefault="00B42EF3">
            <w:pPr>
              <w:pStyle w:val="TableBodyText"/>
            </w:pPr>
            <w:r>
              <w:t>The URL shall define the requested location of the file on the server. If the location is already occupied by a document with a different GUID, then the document might be relocated.</w:t>
            </w:r>
          </w:p>
          <w:p w:rsidR="005F78FC" w:rsidRDefault="005F78FC">
            <w:pPr>
              <w:pStyle w:val="TableBodyText"/>
            </w:pPr>
          </w:p>
          <w:p w:rsidR="005F78FC" w:rsidRDefault="00B42EF3">
            <w:pPr>
              <w:pStyle w:val="TableBodyText"/>
            </w:pPr>
            <w:r>
              <w:t>If the valu</w:t>
            </w:r>
            <w:r>
              <w:t xml:space="preserve">e of this property extends beyond 256 characters, it shall be segmented across multiple properties with the root name of </w:t>
            </w:r>
            <w:r>
              <w:rPr>
                <w:i/>
              </w:rPr>
              <w:t>_SharedFileIndex</w:t>
            </w:r>
            <w:r>
              <w:t xml:space="preserve">. The subsequent properties will be named </w:t>
            </w:r>
            <w:r>
              <w:rPr>
                <w:i/>
              </w:rPr>
              <w:t>_SharedFileIndex1</w:t>
            </w:r>
            <w:r>
              <w:t xml:space="preserve">, </w:t>
            </w:r>
            <w:r>
              <w:rPr>
                <w:i/>
              </w:rPr>
              <w:t>_SharedFileIndex2</w:t>
            </w:r>
            <w:r>
              <w:t xml:space="preserve">, </w:t>
            </w:r>
            <w:r>
              <w:rPr>
                <w:i/>
              </w:rPr>
              <w:t>_SharedFileIndex3</w:t>
            </w:r>
            <w:r>
              <w:t>, and so on. The value</w:t>
            </w:r>
            <w:r>
              <w:t xml:space="preserve"> of each property shall be at most 256 characters; only when those 256 characters have been exceeded shall the next </w:t>
            </w:r>
            <w:r>
              <w:rPr>
                <w:i/>
              </w:rPr>
              <w:t>_SharedFileIndex</w:t>
            </w:r>
            <w:r>
              <w:t xml:space="preserve"> property be created.</w:t>
            </w:r>
          </w:p>
          <w:p w:rsidR="005F78FC" w:rsidRDefault="005F78FC">
            <w:pPr>
              <w:pStyle w:val="TableBodyText"/>
            </w:pPr>
          </w:p>
          <w:p w:rsidR="005F78FC" w:rsidRDefault="00B42EF3">
            <w:pPr>
              <w:pStyle w:val="TableBodyText"/>
            </w:pPr>
            <w:r>
              <w:t>[Example: The shared file index of a document with a workspace location of http://www.contoso.com/doc</w:t>
            </w:r>
            <w:r>
              <w:t>umentschemas/schemaexamples/</w:t>
            </w:r>
          </w:p>
          <w:p w:rsidR="005F78FC" w:rsidRDefault="00B42EF3">
            <w:pPr>
              <w:pStyle w:val="TableBodyText"/>
            </w:pPr>
            <w:r>
              <w:t>documentworkspaces/documents/shareddocuments/collaboration/</w:t>
            </w:r>
          </w:p>
          <w:p w:rsidR="005F78FC" w:rsidRDefault="00B42EF3">
            <w:pPr>
              <w:pStyle w:val="TableBodyText"/>
            </w:pPr>
            <w:r>
              <w:t>customfileproperties/serverproperties/</w:t>
            </w:r>
          </w:p>
          <w:p w:rsidR="005F78FC" w:rsidRDefault="00B42EF3">
            <w:pPr>
              <w:pStyle w:val="TableBodyText"/>
            </w:pPr>
            <w:r>
              <w:t>DocumentWithAReallyReallyLongNameAndAReallyReally</w:t>
            </w:r>
          </w:p>
          <w:p w:rsidR="005F78FC" w:rsidRDefault="00B42EF3">
            <w:pPr>
              <w:pStyle w:val="TableBodyText"/>
            </w:pPr>
            <w:r>
              <w:t>LongServerLocationWhichRequiresSegmentationOfTheShared</w:t>
            </w:r>
          </w:p>
          <w:p w:rsidR="005F78FC" w:rsidRDefault="00B42EF3">
            <w:pPr>
              <w:pStyle w:val="TableBodyText"/>
            </w:pPr>
            <w:r>
              <w:t xml:space="preserve">FileIndexProperty.docx </w:t>
            </w:r>
            <w:r>
              <w:t>can be defined as follows:</w:t>
            </w:r>
          </w:p>
          <w:p w:rsidR="005F78FC" w:rsidRDefault="005F78FC">
            <w:pPr>
              <w:pStyle w:val="TableBodyText"/>
            </w:pPr>
          </w:p>
          <w:p w:rsidR="005F78FC" w:rsidRDefault="00B42EF3">
            <w:pPr>
              <w:pStyle w:val="Code"/>
            </w:pPr>
            <w:r>
              <w:t>&lt;property fmtid="{D5CDD505-2E9C-101B-9397-08002B2CF9AE}" pid="2" name="_SharedFileIndex"&gt;</w:t>
            </w:r>
          </w:p>
          <w:p w:rsidR="005F78FC" w:rsidRDefault="00B42EF3">
            <w:pPr>
              <w:pStyle w:val="Code"/>
            </w:pPr>
            <w:r>
              <w:t xml:space="preserve">  &lt;vt:lpwstr&gt;0000020000000000{E9AB9F47-8925-4F17-A0B3-A8E86720E301}</w:t>
            </w:r>
          </w:p>
          <w:p w:rsidR="005F78FC" w:rsidRDefault="00B42EF3">
            <w:pPr>
              <w:pStyle w:val="Code"/>
            </w:pPr>
            <w:r>
              <w:t>http://www.contoso.com/documentschemas/schemaexamples/</w:t>
            </w:r>
          </w:p>
          <w:p w:rsidR="005F78FC" w:rsidRDefault="00B42EF3">
            <w:pPr>
              <w:pStyle w:val="Code"/>
            </w:pPr>
            <w:r>
              <w:t>documentworkspaces/documents/shareddocuments/</w:t>
            </w:r>
          </w:p>
          <w:p w:rsidR="005F78FC" w:rsidRDefault="00B42EF3">
            <w:pPr>
              <w:pStyle w:val="Code"/>
            </w:pPr>
            <w:r>
              <w:t>collaboration/customfileproperties/serverproperties/</w:t>
            </w:r>
          </w:p>
          <w:p w:rsidR="005F78FC" w:rsidRDefault="00B42EF3">
            <w:pPr>
              <w:pStyle w:val="Code"/>
            </w:pPr>
            <w:r>
              <w:t>DocumentWithAReallyReallyLongName</w:t>
            </w:r>
          </w:p>
          <w:p w:rsidR="005F78FC" w:rsidRDefault="00B42EF3">
            <w:pPr>
              <w:pStyle w:val="Code"/>
            </w:pPr>
            <w:r>
              <w:t>AndAReallyReallyL&lt;/vt:lpwstr&gt;</w:t>
            </w:r>
          </w:p>
          <w:p w:rsidR="005F78FC" w:rsidRDefault="00B42EF3">
            <w:pPr>
              <w:pStyle w:val="Code"/>
            </w:pPr>
            <w:r>
              <w:t>&lt;/property&gt;</w:t>
            </w:r>
          </w:p>
          <w:p w:rsidR="005F78FC" w:rsidRDefault="00B42EF3">
            <w:pPr>
              <w:pStyle w:val="Code"/>
            </w:pPr>
            <w:r>
              <w:t>&lt;property fmtid="{D5CDD505-2E9C-101B-9397-08002B2CF9AE}"</w:t>
            </w:r>
          </w:p>
          <w:p w:rsidR="005F78FC" w:rsidRDefault="00B42EF3">
            <w:pPr>
              <w:pStyle w:val="Code"/>
            </w:pPr>
            <w:r>
              <w:t xml:space="preserve"> pid="3" name="_SharedFi</w:t>
            </w:r>
            <w:r>
              <w:t>leIndex1"&gt;</w:t>
            </w:r>
          </w:p>
          <w:p w:rsidR="005F78FC" w:rsidRDefault="00B42EF3">
            <w:pPr>
              <w:pStyle w:val="Code"/>
            </w:pPr>
            <w:r>
              <w:t xml:space="preserve">  &lt;vt:lpwstr&gt;</w:t>
            </w:r>
          </w:p>
          <w:p w:rsidR="005F78FC" w:rsidRDefault="00B42EF3">
            <w:pPr>
              <w:pStyle w:val="Code"/>
            </w:pPr>
            <w:r>
              <w:t>ongServerLocationWhichRequiresSegmentationOfTheShared</w:t>
            </w:r>
          </w:p>
          <w:p w:rsidR="005F78FC" w:rsidRDefault="00B42EF3">
            <w:pPr>
              <w:pStyle w:val="Code"/>
            </w:pPr>
            <w:r>
              <w:t>FileIndexProperty.docx&lt;/vt:lpwstr&gt;</w:t>
            </w:r>
          </w:p>
          <w:p w:rsidR="005F78FC" w:rsidRDefault="00B42EF3">
            <w:pPr>
              <w:pStyle w:val="Code"/>
            </w:pPr>
            <w:r>
              <w:t>&lt;/property&gt;</w:t>
            </w:r>
          </w:p>
          <w:p w:rsidR="005F78FC" w:rsidRDefault="005F78FC">
            <w:pPr>
              <w:pStyle w:val="TableBodyText"/>
            </w:pPr>
          </w:p>
          <w:p w:rsidR="005F78FC" w:rsidRDefault="00B42EF3">
            <w:pPr>
              <w:pStyle w:val="TableBodyText"/>
            </w:pPr>
            <w:r>
              <w:t>end example]</w:t>
            </w:r>
          </w:p>
        </w:tc>
      </w:tr>
    </w:tbl>
    <w:p w:rsidR="005F78FC" w:rsidRDefault="005F78FC"/>
    <w:p w:rsidR="005F78FC" w:rsidRDefault="00B42EF3">
      <w:pPr>
        <w:pStyle w:val="Definition-Field"/>
      </w:pPr>
      <w:r>
        <w:lastRenderedPageBreak/>
        <w:t xml:space="preserve">c.   </w:t>
      </w:r>
      <w:r>
        <w:rPr>
          <w:i/>
        </w:rPr>
        <w:t>The standard does not define any custom document properties used to convey input parameters for a Spreadsheet</w:t>
      </w:r>
      <w:r>
        <w:rPr>
          <w:i/>
        </w:rPr>
        <w:t>ML document.</w:t>
      </w:r>
    </w:p>
    <w:p w:rsidR="005F78FC" w:rsidRDefault="00B42EF3">
      <w:r>
        <w:t>Office reserves the following unique property names for the following purposes:</w:t>
      </w:r>
    </w:p>
    <w:tbl>
      <w:tblPr>
        <w:tblStyle w:val="Table-ShadedHeader"/>
        <w:tblW w:w="0" w:type="auto"/>
        <w:tblLook w:val="04A0" w:firstRow="1" w:lastRow="0" w:firstColumn="1" w:lastColumn="0" w:noHBand="0" w:noVBand="1"/>
      </w:tblPr>
      <w:tblGrid>
        <w:gridCol w:w="2913"/>
        <w:gridCol w:w="6562"/>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Name</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rPr>
                <w:i/>
              </w:rPr>
              <w:t>PROP_MULTVAL_ParameterName</w:t>
            </w:r>
          </w:p>
        </w:tc>
        <w:tc>
          <w:tcPr>
            <w:tcW w:w="0" w:type="auto"/>
            <w:vAlign w:val="center"/>
          </w:tcPr>
          <w:p w:rsidR="005F78FC" w:rsidRDefault="00B42EF3">
            <w:pPr>
              <w:pStyle w:val="TableBodyText"/>
            </w:pPr>
            <w:r>
              <w:t>A custom property with this name specifies a filter parameter, where ParameterName is a name given by the user.</w:t>
            </w:r>
          </w:p>
        </w:tc>
      </w:tr>
      <w:tr w:rsidR="005F78FC" w:rsidTr="005F78FC">
        <w:tc>
          <w:tcPr>
            <w:tcW w:w="0" w:type="auto"/>
            <w:vAlign w:val="center"/>
          </w:tcPr>
          <w:p w:rsidR="005F78FC" w:rsidRDefault="00B42EF3">
            <w:pPr>
              <w:pStyle w:val="TableBodyText"/>
            </w:pPr>
            <w:r>
              <w:rPr>
                <w:i/>
              </w:rPr>
              <w:t>PROP_ParameterName</w:t>
            </w:r>
          </w:p>
        </w:tc>
        <w:tc>
          <w:tcPr>
            <w:tcW w:w="0" w:type="auto"/>
            <w:vAlign w:val="center"/>
          </w:tcPr>
          <w:p w:rsidR="005F78FC" w:rsidRDefault="00B42EF3">
            <w:pPr>
              <w:pStyle w:val="TableBodyText"/>
            </w:pPr>
            <w:r>
              <w:t>A custom property with this name specifies a parameter, where ParameterName is a name given by the user.</w:t>
            </w:r>
          </w:p>
        </w:tc>
      </w:tr>
    </w:tbl>
    <w:p w:rsidR="005F78FC" w:rsidRDefault="005F78FC"/>
    <w:p w:rsidR="005F78FC" w:rsidRDefault="00B42EF3">
      <w:pPr>
        <w:pStyle w:val="Definition-Field"/>
      </w:pPr>
      <w:r>
        <w:t xml:space="preserve">d.   </w:t>
      </w:r>
      <w:r>
        <w:rPr>
          <w:i/>
        </w:rPr>
        <w:t>The standard lists 21 variant types as possible child elements.</w:t>
      </w:r>
    </w:p>
    <w:p w:rsidR="005F78FC" w:rsidRDefault="00B42EF3">
      <w:r>
        <w:t xml:space="preserve">Office only allows </w:t>
      </w:r>
      <w:r>
        <w:rPr>
          <w:b/>
        </w:rPr>
        <w:t>bool</w:t>
      </w:r>
      <w:r>
        <w:t xml:space="preserve">, </w:t>
      </w:r>
      <w:r>
        <w:rPr>
          <w:b/>
        </w:rPr>
        <w:t>filetime</w:t>
      </w:r>
      <w:r>
        <w:t xml:space="preserve">, </w:t>
      </w:r>
      <w:r>
        <w:rPr>
          <w:b/>
        </w:rPr>
        <w:t>empty</w:t>
      </w:r>
      <w:r>
        <w:t xml:space="preserve">, </w:t>
      </w:r>
      <w:r>
        <w:rPr>
          <w:b/>
        </w:rPr>
        <w:t>i4</w:t>
      </w:r>
      <w:r>
        <w:t xml:space="preserve">, </w:t>
      </w:r>
      <w:r>
        <w:rPr>
          <w:b/>
        </w:rPr>
        <w:t>lpstr</w:t>
      </w:r>
      <w:r>
        <w:t xml:space="preserve">, </w:t>
      </w:r>
      <w:r>
        <w:rPr>
          <w:b/>
        </w:rPr>
        <w:t>lpwstr</w:t>
      </w:r>
      <w:r>
        <w:t xml:space="preserve"> a</w:t>
      </w:r>
      <w:r>
        <w:t xml:space="preserve">nd </w:t>
      </w:r>
      <w:r>
        <w:rPr>
          <w:b/>
        </w:rPr>
        <w:t>r8</w:t>
      </w:r>
      <w:r>
        <w:t xml:space="preserve"> as valid child elements for custom properties where </w:t>
      </w:r>
      <w:r>
        <w:rPr>
          <w:b/>
        </w:rPr>
        <w:t>fmtid</w:t>
      </w:r>
      <w:r>
        <w:t xml:space="preserve"> has a value of </w:t>
      </w:r>
      <w:r>
        <w:rPr>
          <w:i/>
        </w:rPr>
        <w:t>{D5CDD505-2E9C-101B-9397-08002B2CF9AE}.</w:t>
      </w:r>
    </w:p>
    <w:p w:rsidR="005F78FC" w:rsidRDefault="00B42EF3">
      <w:pPr>
        <w:pStyle w:val="Definition-Field"/>
      </w:pPr>
      <w:r>
        <w:t xml:space="preserve">e.   </w:t>
      </w:r>
      <w:r>
        <w:rPr>
          <w:i/>
        </w:rPr>
        <w:t>The standard states that the values of the pid attribute are defined by the XML Schema int datatype.</w:t>
      </w:r>
    </w:p>
    <w:p w:rsidR="005F78FC" w:rsidRDefault="00B42EF3">
      <w:pPr>
        <w:pStyle w:val="Definition-Field2"/>
      </w:pPr>
      <w:r>
        <w:t>Office restricts the value of t</w:t>
      </w:r>
      <w:r>
        <w:t>his attribute to be at least 2.</w:t>
      </w:r>
    </w:p>
    <w:p w:rsidR="005F78FC" w:rsidRDefault="00B42EF3">
      <w:pPr>
        <w:pStyle w:val="Definition-Field"/>
      </w:pPr>
      <w:r>
        <w:t xml:space="preserve">f.   </w:t>
      </w:r>
      <w:r>
        <w:rPr>
          <w:i/>
        </w:rPr>
        <w:t>The standard does not document any restrictions on the FmtId attribute.</w:t>
      </w:r>
    </w:p>
    <w:p w:rsidR="005F78FC" w:rsidRDefault="00B42EF3">
      <w:r>
        <w:t>The following GUIDs shall not be used in a custom property.</w:t>
      </w:r>
    </w:p>
    <w:p w:rsidR="005F78FC" w:rsidRDefault="00B42EF3">
      <w:r>
        <w:rPr>
          <w:b/>
          <w:i/>
        </w:rPr>
        <w:t>Summary Information</w:t>
      </w:r>
    </w:p>
    <w:p w:rsidR="005F78FC" w:rsidRDefault="00B42EF3">
      <w:r>
        <w:rPr>
          <w:i/>
        </w:rPr>
        <w:t>{f29f85e0-4ff9-1068-ab91-08002b27b3d9}</w:t>
      </w:r>
    </w:p>
    <w:p w:rsidR="005F78FC" w:rsidRDefault="00B42EF3">
      <w:r>
        <w:rPr>
          <w:b/>
          <w:i/>
        </w:rPr>
        <w:t>Document Summary Information</w:t>
      </w:r>
    </w:p>
    <w:p w:rsidR="005F78FC" w:rsidRDefault="00B42EF3">
      <w:r>
        <w:rPr>
          <w:i/>
        </w:rPr>
        <w:t>{d5cdd502-2e9c-101b-9397-08002b2cf9ae}</w:t>
      </w:r>
    </w:p>
    <w:p w:rsidR="005F78FC" w:rsidRDefault="00B42EF3">
      <w:pPr>
        <w:pStyle w:val="Definition-Field"/>
      </w:pPr>
      <w:r>
        <w:t xml:space="preserve">g.   </w:t>
      </w:r>
      <w:r>
        <w:rPr>
          <w:i/>
        </w:rPr>
        <w:t>The standard specifies that the name attribute is defined by the XML Schema string datatype.</w:t>
      </w:r>
    </w:p>
    <w:p w:rsidR="005F78FC" w:rsidRDefault="00B42EF3">
      <w:pPr>
        <w:pStyle w:val="Definition-Field2"/>
      </w:pPr>
      <w:r>
        <w:t>Office requires that the name attribute be a case-insensitive unique name.</w:t>
      </w:r>
    </w:p>
    <w:p w:rsidR="005F78FC" w:rsidRDefault="00B42EF3">
      <w:pPr>
        <w:pStyle w:val="Heading3"/>
      </w:pPr>
      <w:bookmarkStart w:id="3460" w:name="section_9fcc6242217f4882b52a7907a0ba0aaa"/>
      <w:bookmarkStart w:id="3461" w:name="_Toc69879503"/>
      <w:r>
        <w:t>Part 1 Section 22.4.2.1, array (Array)</w:t>
      </w:r>
      <w:bookmarkEnd w:id="3460"/>
      <w:bookmarkEnd w:id="3461"/>
      <w:r>
        <w:fldChar w:fldCharType="begin"/>
      </w:r>
      <w:r>
        <w:instrText xml:space="preserve"> XE "array (Array)" </w:instrText>
      </w:r>
      <w:r>
        <w:fldChar w:fldCharType="end"/>
      </w:r>
    </w:p>
    <w:p w:rsidR="005F78FC" w:rsidRDefault="00B42EF3">
      <w:pPr>
        <w:pStyle w:val="Definition-Field"/>
      </w:pPr>
      <w:r>
        <w:t xml:space="preserve">a.   </w:t>
      </w:r>
      <w:r>
        <w:rPr>
          <w:i/>
        </w:rPr>
        <w:t>The standard states that the values of the lbound attribute are defined by the XML Schema int datatype.</w:t>
      </w:r>
    </w:p>
    <w:p w:rsidR="005F78FC" w:rsidRDefault="00B42EF3">
      <w:pPr>
        <w:pStyle w:val="Definition-Field2"/>
      </w:pPr>
      <w:r>
        <w:t>Office defines the values of this attribute to be a collection in the format #, #, # ... #, where each # represents an integ</w:t>
      </w:r>
      <w:r>
        <w:t>er and the attribute’s value matches the regular expression pattern \s*[\+\-]?[0-9]+\s*(\,\s*[\+\-]?[0-9]+\s*)*.</w:t>
      </w:r>
    </w:p>
    <w:p w:rsidR="005F78FC" w:rsidRDefault="00B42EF3">
      <w:pPr>
        <w:pStyle w:val="Definition-Field"/>
      </w:pPr>
      <w:r>
        <w:t xml:space="preserve">b.   </w:t>
      </w:r>
      <w:r>
        <w:rPr>
          <w:i/>
        </w:rPr>
        <w:t>The standard states that the values of the ubound attribute are defined by the XML Schema int datatype.</w:t>
      </w:r>
    </w:p>
    <w:p w:rsidR="005F78FC" w:rsidRDefault="00B42EF3">
      <w:pPr>
        <w:pStyle w:val="Definition-Field2"/>
      </w:pPr>
      <w:r>
        <w:t xml:space="preserve">Office defines the values of this </w:t>
      </w:r>
      <w:r>
        <w:t>attribute to be a collection in the format #, #, # ... #, where each # represents an integer and the attribute’s value matches the regular expression pattern \s*[\+\-]?[0-9]+\s*(\,\s*[\+\-]?[0-9]+\s*)*.</w:t>
      </w:r>
    </w:p>
    <w:p w:rsidR="005F78FC" w:rsidRDefault="00B42EF3">
      <w:pPr>
        <w:pStyle w:val="Heading3"/>
      </w:pPr>
      <w:bookmarkStart w:id="3462" w:name="section_b8e078b34b5c4f0db94ffb4bb16bf5a8"/>
      <w:bookmarkStart w:id="3463" w:name="_Toc69879504"/>
      <w:r>
        <w:t>Part 1 Section 22.4.2.5, clsid (Class ID)</w:t>
      </w:r>
      <w:bookmarkEnd w:id="3462"/>
      <w:bookmarkEnd w:id="3463"/>
      <w:r>
        <w:fldChar w:fldCharType="begin"/>
      </w:r>
      <w:r>
        <w:instrText xml:space="preserve"> XE "clsid (</w:instrText>
      </w:r>
      <w:r>
        <w:instrText xml:space="preserve">Class ID)" </w:instrText>
      </w:r>
      <w:r>
        <w:fldChar w:fldCharType="end"/>
      </w:r>
    </w:p>
    <w:p w:rsidR="005F78FC" w:rsidRDefault="00B42EF3">
      <w:pPr>
        <w:pStyle w:val="Definition-Field"/>
      </w:pPr>
      <w:r>
        <w:t xml:space="preserve">a.   </w:t>
      </w:r>
      <w:r>
        <w:rPr>
          <w:i/>
        </w:rPr>
        <w:t>The standard permits leading or trailing white spaces in the pattern of the simple type.</w:t>
      </w:r>
    </w:p>
    <w:p w:rsidR="005F78FC" w:rsidRDefault="00B42EF3">
      <w:pPr>
        <w:pStyle w:val="Definition-Field2"/>
      </w:pPr>
      <w:r>
        <w:lastRenderedPageBreak/>
        <w:t>Office does not permit leading or trailing white spaces.</w:t>
      </w:r>
    </w:p>
    <w:p w:rsidR="005F78FC" w:rsidRDefault="00B42EF3">
      <w:pPr>
        <w:pStyle w:val="Heading3"/>
      </w:pPr>
      <w:bookmarkStart w:id="3464" w:name="section_8e9fc0381cf24482b0cc8d2158d56d9e"/>
      <w:bookmarkStart w:id="3465" w:name="_Toc69879505"/>
      <w:r>
        <w:t>Part 1 Section 22.4.2.7, date (Date and Time)</w:t>
      </w:r>
      <w:bookmarkEnd w:id="3464"/>
      <w:bookmarkEnd w:id="3465"/>
      <w:r>
        <w:fldChar w:fldCharType="begin"/>
      </w:r>
      <w:r>
        <w:instrText xml:space="preserve"> XE "date (Date and Time)" </w:instrText>
      </w:r>
      <w:r>
        <w:fldChar w:fldCharType="end"/>
      </w:r>
    </w:p>
    <w:p w:rsidR="005F78FC" w:rsidRDefault="00B42EF3">
      <w:pPr>
        <w:pStyle w:val="Definition-Field"/>
      </w:pPr>
      <w:r>
        <w:t xml:space="preserve">a.   </w:t>
      </w:r>
      <w:r>
        <w:rPr>
          <w:i/>
        </w:rPr>
        <w:t>The standar</w:t>
      </w:r>
      <w:r>
        <w:rPr>
          <w:i/>
        </w:rPr>
        <w:t>d states that the date element is compliant with RFC 3339.</w:t>
      </w:r>
    </w:p>
    <w:p w:rsidR="005F78FC" w:rsidRDefault="00B42EF3">
      <w:pPr>
        <w:pStyle w:val="Definition-Field2"/>
      </w:pPr>
      <w:r>
        <w:t xml:space="preserve">Office is compliant with </w:t>
      </w:r>
      <w:hyperlink r:id="rId222">
        <w:r>
          <w:rPr>
            <w:rStyle w:val="Hyperlink"/>
          </w:rPr>
          <w:t>[ISO-8601]</w:t>
        </w:r>
      </w:hyperlink>
      <w:r>
        <w:t xml:space="preserve"> for the XML schema date-time.</w:t>
      </w:r>
    </w:p>
    <w:p w:rsidR="005F78FC" w:rsidRDefault="00B42EF3">
      <w:pPr>
        <w:pStyle w:val="Heading3"/>
      </w:pPr>
      <w:bookmarkStart w:id="3466" w:name="section_50a9e454253c4156b3699b29fe34570d"/>
      <w:bookmarkStart w:id="3467" w:name="_Toc69879506"/>
      <w:r>
        <w:t>Part 1 Section 22.4.2.11, filetime (File Time)</w:t>
      </w:r>
      <w:bookmarkEnd w:id="3466"/>
      <w:bookmarkEnd w:id="3467"/>
      <w:r>
        <w:fldChar w:fldCharType="begin"/>
      </w:r>
      <w:r>
        <w:instrText xml:space="preserve"> XE "filetime (File </w:instrText>
      </w:r>
      <w:r>
        <w:instrText xml:space="preserve">Time)" </w:instrText>
      </w:r>
      <w:r>
        <w:fldChar w:fldCharType="end"/>
      </w:r>
    </w:p>
    <w:p w:rsidR="005F78FC" w:rsidRDefault="00B42EF3">
      <w:pPr>
        <w:pStyle w:val="Definition-Field"/>
      </w:pPr>
      <w:r>
        <w:t xml:space="preserve">a.   </w:t>
      </w:r>
      <w:r>
        <w:rPr>
          <w:i/>
        </w:rPr>
        <w:t>The standard refers to the filetime format as RFC3339.</w:t>
      </w:r>
    </w:p>
    <w:p w:rsidR="005F78FC" w:rsidRDefault="00B42EF3">
      <w:pPr>
        <w:pStyle w:val="Definition-Field2"/>
      </w:pPr>
      <w:r>
        <w:t xml:space="preserve">Office is compliant with </w:t>
      </w:r>
      <w:hyperlink r:id="rId223">
        <w:r>
          <w:rPr>
            <w:rStyle w:val="Hyperlink"/>
          </w:rPr>
          <w:t>[ISO-8601]</w:t>
        </w:r>
      </w:hyperlink>
      <w:r>
        <w:t xml:space="preserve"> for the XML schema date-time.</w:t>
      </w:r>
    </w:p>
    <w:p w:rsidR="005F78FC" w:rsidRDefault="00B42EF3">
      <w:pPr>
        <w:pStyle w:val="Heading3"/>
      </w:pPr>
      <w:bookmarkStart w:id="3468" w:name="section_f9791871899f4d5e8b7004333779d5a6"/>
      <w:bookmarkStart w:id="3469" w:name="_Toc69879507"/>
      <w:r>
        <w:t>Part 1 Section 22.4.2.19, null (Null)</w:t>
      </w:r>
      <w:bookmarkEnd w:id="3468"/>
      <w:bookmarkEnd w:id="3469"/>
      <w:r>
        <w:fldChar w:fldCharType="begin"/>
      </w:r>
      <w:r>
        <w:instrText xml:space="preserve"> XE "null (Null)" </w:instrText>
      </w:r>
      <w:r>
        <w:fldChar w:fldCharType="end"/>
      </w:r>
    </w:p>
    <w:p w:rsidR="005F78FC" w:rsidRDefault="00B42EF3">
      <w:pPr>
        <w:pStyle w:val="Definition-Field"/>
      </w:pPr>
      <w:r>
        <w:t xml:space="preserve">a.   </w:t>
      </w:r>
      <w:r>
        <w:rPr>
          <w:i/>
        </w:rPr>
        <w:t>The standard requires an empty-element tag.</w:t>
      </w:r>
    </w:p>
    <w:p w:rsidR="005F78FC" w:rsidRDefault="00B42EF3">
      <w:pPr>
        <w:pStyle w:val="Definition-Field2"/>
      </w:pPr>
      <w:r>
        <w:t>Office writes a start-element and end-element with white space content.</w:t>
      </w:r>
    </w:p>
    <w:p w:rsidR="005F78FC" w:rsidRDefault="00B42EF3">
      <w:pPr>
        <w:pStyle w:val="Heading3"/>
      </w:pPr>
      <w:bookmarkStart w:id="3470" w:name="section_c82f70414e024b7e9df60a29258a6a7e"/>
      <w:bookmarkStart w:id="3471" w:name="_Toc69879508"/>
      <w:r>
        <w:t>Part 1 Section 22.4.2.21, ostorage (Binary Storage Object)</w:t>
      </w:r>
      <w:bookmarkEnd w:id="3470"/>
      <w:bookmarkEnd w:id="3471"/>
      <w:r>
        <w:fldChar w:fldCharType="begin"/>
      </w:r>
      <w:r>
        <w:instrText xml:space="preserve"> XE "ostorage (Binary Storage Object)" </w:instrText>
      </w:r>
      <w:r>
        <w:fldChar w:fldCharType="end"/>
      </w:r>
    </w:p>
    <w:p w:rsidR="005F78FC" w:rsidRDefault="00B42EF3">
      <w:pPr>
        <w:pStyle w:val="Definition-Field"/>
      </w:pPr>
      <w:r>
        <w:t xml:space="preserve">a.   </w:t>
      </w:r>
      <w:r>
        <w:rPr>
          <w:i/>
        </w:rPr>
        <w:t>The standard specifies that</w:t>
      </w:r>
      <w:r>
        <w:rPr>
          <w:i/>
        </w:rPr>
        <w:t xml:space="preserve"> files are permitted to contain an ostorage tag.</w:t>
      </w:r>
    </w:p>
    <w:p w:rsidR="005F78FC" w:rsidRDefault="00B42EF3">
      <w:pPr>
        <w:pStyle w:val="Definition-Field2"/>
      </w:pPr>
      <w:r>
        <w:t xml:space="preserve">In Office, the base64binary data contained in the ostorage element must be a compound doc as specified in the Compound File Binary File Format Specification </w:t>
      </w:r>
      <w:hyperlink r:id="rId224" w:anchor="Section_53989ce47b054f8d829bd08d6148375b">
        <w:r>
          <w:rPr>
            <w:rStyle w:val="Hyperlink"/>
          </w:rPr>
          <w:t>[MS-CFB]</w:t>
        </w:r>
      </w:hyperlink>
      <w:r>
        <w:t>.</w:t>
      </w:r>
    </w:p>
    <w:p w:rsidR="005F78FC" w:rsidRDefault="00B42EF3">
      <w:pPr>
        <w:pStyle w:val="Heading3"/>
      </w:pPr>
      <w:bookmarkStart w:id="3472" w:name="section_8b3cd82f24e0482d9cdf4cd8224ce6d4"/>
      <w:bookmarkStart w:id="3473" w:name="_Toc69879509"/>
      <w:r>
        <w:t>Part 1 Section 22.4.2.25, storage (Binary Storage)</w:t>
      </w:r>
      <w:bookmarkEnd w:id="3472"/>
      <w:bookmarkEnd w:id="3473"/>
      <w:r>
        <w:fldChar w:fldCharType="begin"/>
      </w:r>
      <w:r>
        <w:instrText xml:space="preserve"> XE "storage (Binary Storage)" </w:instrText>
      </w:r>
      <w:r>
        <w:fldChar w:fldCharType="end"/>
      </w:r>
    </w:p>
    <w:p w:rsidR="005F78FC" w:rsidRDefault="00B42EF3">
      <w:pPr>
        <w:pStyle w:val="Definition-Field"/>
      </w:pPr>
      <w:r>
        <w:t xml:space="preserve">a.   </w:t>
      </w:r>
      <w:r>
        <w:rPr>
          <w:i/>
        </w:rPr>
        <w:t>The standard specifies that files are permitted to contain storage tags.</w:t>
      </w:r>
    </w:p>
    <w:p w:rsidR="005F78FC" w:rsidRDefault="00B42EF3">
      <w:pPr>
        <w:pStyle w:val="Definition-Field2"/>
      </w:pPr>
      <w:r>
        <w:t>In Office, the base64binary data contained in the storag</w:t>
      </w:r>
      <w:r>
        <w:t xml:space="preserve">e element must be a compound doc as specified in the Compound File Binary File Format Specification </w:t>
      </w:r>
      <w:hyperlink r:id="rId225" w:anchor="Section_53989ce47b054f8d829bd08d6148375b">
        <w:r>
          <w:rPr>
            <w:rStyle w:val="Hyperlink"/>
          </w:rPr>
          <w:t>[MS-CFB]</w:t>
        </w:r>
      </w:hyperlink>
      <w:r>
        <w:t>.</w:t>
      </w:r>
    </w:p>
    <w:p w:rsidR="005F78FC" w:rsidRDefault="00B42EF3">
      <w:pPr>
        <w:pStyle w:val="Heading3"/>
      </w:pPr>
      <w:bookmarkStart w:id="3474" w:name="section_8e4340b124c84f1c8e03b3eaeaafb07e"/>
      <w:bookmarkStart w:id="3475" w:name="_Toc69879510"/>
      <w:r>
        <w:t>Part 1 Section 22.4.2.34, vstream (Binary Versioned Stream)</w:t>
      </w:r>
      <w:bookmarkEnd w:id="3474"/>
      <w:bookmarkEnd w:id="3475"/>
      <w:r>
        <w:fldChar w:fldCharType="begin"/>
      </w:r>
      <w:r>
        <w:instrText xml:space="preserve"> XE "vstr</w:instrText>
      </w:r>
      <w:r>
        <w:instrText xml:space="preserve">eam (Binary Versioned Stream)" </w:instrText>
      </w:r>
      <w:r>
        <w:fldChar w:fldCharType="end"/>
      </w:r>
    </w:p>
    <w:p w:rsidR="005F78FC" w:rsidRDefault="00B42EF3">
      <w:pPr>
        <w:pStyle w:val="Definition-Field"/>
      </w:pPr>
      <w:r>
        <w:t xml:space="preserve">a.   </w:t>
      </w:r>
      <w:r>
        <w:rPr>
          <w:i/>
        </w:rPr>
        <w:t>The standard implies that the version attribute is optional.</w:t>
      </w:r>
    </w:p>
    <w:p w:rsidR="005F78FC" w:rsidRDefault="00B42EF3">
      <w:pPr>
        <w:pStyle w:val="Definition-Field2"/>
      </w:pPr>
      <w:r>
        <w:t>Office requires this attribute.</w:t>
      </w:r>
    </w:p>
    <w:p w:rsidR="005F78FC" w:rsidRDefault="00B42EF3">
      <w:pPr>
        <w:pStyle w:val="Heading3"/>
      </w:pPr>
      <w:bookmarkStart w:id="3476" w:name="section_25a50330009d494596a27947fce8e286"/>
      <w:bookmarkStart w:id="3477" w:name="_Toc69879511"/>
      <w:r>
        <w:t>Part 1 Section 22.4.3.3, ST_Error (Error Status Code Simple Type)</w:t>
      </w:r>
      <w:bookmarkEnd w:id="3476"/>
      <w:bookmarkEnd w:id="3477"/>
      <w:r>
        <w:fldChar w:fldCharType="begin"/>
      </w:r>
      <w:r>
        <w:instrText xml:space="preserve"> XE "ST_Error (Error Status Code Simple Type)" </w:instrText>
      </w:r>
      <w:r>
        <w:fldChar w:fldCharType="end"/>
      </w:r>
    </w:p>
    <w:p w:rsidR="005F78FC" w:rsidRDefault="00B42EF3">
      <w:pPr>
        <w:pStyle w:val="Definition-Field"/>
      </w:pPr>
      <w:r>
        <w:t xml:space="preserve">a.   </w:t>
      </w:r>
      <w:r>
        <w:rPr>
          <w:i/>
        </w:rPr>
        <w:t xml:space="preserve">The </w:t>
      </w:r>
      <w:r>
        <w:rPr>
          <w:i/>
        </w:rPr>
        <w:t>standard allows letters A-Z as hexadecimal digits.</w:t>
      </w:r>
    </w:p>
    <w:p w:rsidR="005F78FC" w:rsidRDefault="00B42EF3">
      <w:pPr>
        <w:pStyle w:val="Definition-Field2"/>
      </w:pPr>
      <w:r>
        <w:t>Office only permits the letters A-F as hexadecimal digits.</w:t>
      </w:r>
    </w:p>
    <w:p w:rsidR="005F78FC" w:rsidRDefault="00B42EF3">
      <w:pPr>
        <w:pStyle w:val="Definition-Field"/>
      </w:pPr>
      <w:r>
        <w:t xml:space="preserve">b.   </w:t>
      </w:r>
      <w:r>
        <w:rPr>
          <w:i/>
        </w:rPr>
        <w:t>The standard permits white space characters.</w:t>
      </w:r>
    </w:p>
    <w:p w:rsidR="005F78FC" w:rsidRDefault="00B42EF3">
      <w:pPr>
        <w:pStyle w:val="Definition-Field2"/>
      </w:pPr>
      <w:r>
        <w:t>Office does not allow white space characters.</w:t>
      </w:r>
    </w:p>
    <w:p w:rsidR="005F78FC" w:rsidRDefault="00B42EF3">
      <w:pPr>
        <w:pStyle w:val="Heading3"/>
      </w:pPr>
      <w:bookmarkStart w:id="3478" w:name="section_d28cd33776744dc087ae1050611b4c38"/>
      <w:bookmarkStart w:id="3479" w:name="_Toc69879512"/>
      <w:r>
        <w:t>Part 1 Section 22.6.2.4, Author (Contributors List)</w:t>
      </w:r>
      <w:bookmarkEnd w:id="3478"/>
      <w:bookmarkEnd w:id="3479"/>
      <w:r>
        <w:fldChar w:fldCharType="begin"/>
      </w:r>
      <w:r>
        <w:instrText xml:space="preserve"> XE "Author (Contributors List)" </w:instrText>
      </w:r>
      <w:r>
        <w:fldChar w:fldCharType="end"/>
      </w:r>
    </w:p>
    <w:p w:rsidR="005F78FC" w:rsidRDefault="00B42EF3">
      <w:pPr>
        <w:pStyle w:val="Definition-Field"/>
      </w:pPr>
      <w:r>
        <w:t xml:space="preserve">a.   </w:t>
      </w:r>
      <w:r>
        <w:rPr>
          <w:i/>
        </w:rPr>
        <w:t>The standard states that this element can contain any number of child elements in any order.</w:t>
      </w:r>
    </w:p>
    <w:p w:rsidR="005F78FC" w:rsidRDefault="00B42EF3">
      <w:pPr>
        <w:pStyle w:val="Definition-Field2"/>
      </w:pPr>
      <w:r>
        <w:t>Word only allows a single instance, the first instance in document orde</w:t>
      </w:r>
      <w:r>
        <w:t>r, of each child element; the elements, when present, must be in the order specified in the schema.</w:t>
      </w:r>
    </w:p>
    <w:p w:rsidR="005F78FC" w:rsidRDefault="00B42EF3">
      <w:pPr>
        <w:pStyle w:val="Heading3"/>
      </w:pPr>
      <w:bookmarkStart w:id="3480" w:name="section_309a71616dc747118a12d15a81e9214b"/>
      <w:bookmarkStart w:id="3481" w:name="_Toc69879513"/>
      <w:r>
        <w:lastRenderedPageBreak/>
        <w:t>Part 1 Section 22.6.2.30, Guid (GUID)</w:t>
      </w:r>
      <w:bookmarkEnd w:id="3480"/>
      <w:bookmarkEnd w:id="3481"/>
      <w:r>
        <w:fldChar w:fldCharType="begin"/>
      </w:r>
      <w:r>
        <w:instrText xml:space="preserve"> XE "Guid (GUID)" </w:instrText>
      </w:r>
      <w:r>
        <w:fldChar w:fldCharType="end"/>
      </w:r>
    </w:p>
    <w:p w:rsidR="005F78FC" w:rsidRDefault="00B42EF3">
      <w:pPr>
        <w:pStyle w:val="Definition-Field"/>
      </w:pPr>
      <w:r>
        <w:t xml:space="preserve">a.   </w:t>
      </w:r>
      <w:r>
        <w:rPr>
          <w:i/>
        </w:rPr>
        <w:t>The standard states that this element is a unique identifier for the source.</w:t>
      </w:r>
    </w:p>
    <w:p w:rsidR="005F78FC" w:rsidRDefault="00B42EF3">
      <w:r>
        <w:t>When copying a s</w:t>
      </w:r>
      <w:r>
        <w:t>ource entry from a source document to a destination document, Word checks to see if the destination document has an entry with the same tag ("</w:t>
      </w:r>
      <w:hyperlink r:id="rId226">
        <w:r>
          <w:rPr>
            <w:rStyle w:val="Hyperlink"/>
          </w:rPr>
          <w:t>[ISO/IEC-29500-1]</w:t>
        </w:r>
      </w:hyperlink>
      <w:r>
        <w:t xml:space="preserve"> §22.6.2.65; Tag") as the entry</w:t>
      </w:r>
      <w:r>
        <w:t xml:space="preserve"> being copied. If a match is found, Word then compares the GUID of the matching entry in the destination document with that of the entry being copied. If the GUIDs are identical, or if the destination document has an entry with the same GUID as the entry b</w:t>
      </w:r>
      <w:r>
        <w:t>eing copied, Word assumes the source entry to be already present in the destination document and no new entry is created.</w:t>
      </w:r>
    </w:p>
    <w:p w:rsidR="005F78FC" w:rsidRDefault="00B42EF3">
      <w:pPr>
        <w:pStyle w:val="Heading3"/>
      </w:pPr>
      <w:bookmarkStart w:id="3482" w:name="section_63ae8c94327f45afaafd773999103ec5"/>
      <w:bookmarkStart w:id="3483" w:name="_Toc69879514"/>
      <w:r>
        <w:t>Part 1 Section 22.6.2.39, LCID (Locale ID)</w:t>
      </w:r>
      <w:bookmarkEnd w:id="3482"/>
      <w:bookmarkEnd w:id="3483"/>
      <w:r>
        <w:fldChar w:fldCharType="begin"/>
      </w:r>
      <w:r>
        <w:instrText xml:space="preserve"> XE "LCID (Locale ID)" </w:instrText>
      </w:r>
      <w:r>
        <w:fldChar w:fldCharType="end"/>
      </w:r>
    </w:p>
    <w:p w:rsidR="005F78FC" w:rsidRDefault="00B42EF3">
      <w:pPr>
        <w:pStyle w:val="Definition-Field"/>
      </w:pPr>
      <w:r>
        <w:t xml:space="preserve">a.   </w:t>
      </w:r>
      <w:r>
        <w:rPr>
          <w:i/>
        </w:rPr>
        <w:t>The standard says LCID represents the source's language.</w:t>
      </w:r>
    </w:p>
    <w:p w:rsidR="005F78FC" w:rsidRDefault="00B42EF3">
      <w:pPr>
        <w:pStyle w:val="Definition-Field2"/>
      </w:pPr>
      <w:r>
        <w:t>Word</w:t>
      </w:r>
      <w:r>
        <w:t xml:space="preserve"> uses LCID as the language to format the source when the documentation style in use has language-dependent variability.</w:t>
      </w:r>
    </w:p>
    <w:p w:rsidR="005F78FC" w:rsidRDefault="00B42EF3">
      <w:pPr>
        <w:pStyle w:val="Heading3"/>
      </w:pPr>
      <w:bookmarkStart w:id="3484" w:name="section_c631f4afc4c64edd9bc0608602943ea2"/>
      <w:bookmarkStart w:id="3485" w:name="_Toc69879515"/>
      <w:r>
        <w:t>Part 1 Section 22.6.2.50, Person (Person)</w:t>
      </w:r>
      <w:bookmarkEnd w:id="3484"/>
      <w:bookmarkEnd w:id="3485"/>
      <w:r>
        <w:fldChar w:fldCharType="begin"/>
      </w:r>
      <w:r>
        <w:instrText xml:space="preserve"> XE "Person (Person)" </w:instrText>
      </w:r>
      <w:r>
        <w:fldChar w:fldCharType="end"/>
      </w:r>
    </w:p>
    <w:p w:rsidR="005F78FC" w:rsidRDefault="00B42EF3">
      <w:pPr>
        <w:pStyle w:val="Definition-Field"/>
      </w:pPr>
      <w:r>
        <w:t xml:space="preserve">a.   </w:t>
      </w:r>
      <w:r>
        <w:rPr>
          <w:i/>
        </w:rPr>
        <w:t>The standard states that the person element can contain any numbe</w:t>
      </w:r>
      <w:r>
        <w:rPr>
          <w:i/>
        </w:rPr>
        <w:t>r of each of its child elements.</w:t>
      </w:r>
    </w:p>
    <w:p w:rsidR="005F78FC" w:rsidRDefault="00B42EF3">
      <w:pPr>
        <w:pStyle w:val="Definition-Field2"/>
      </w:pPr>
      <w:r>
        <w:t>Word only reads the first instance of each child element.</w:t>
      </w:r>
    </w:p>
    <w:p w:rsidR="005F78FC" w:rsidRDefault="00B42EF3">
      <w:pPr>
        <w:pStyle w:val="Heading3"/>
      </w:pPr>
      <w:bookmarkStart w:id="3486" w:name="section_a7912fd83e8349008cef9ea6d8cc6856"/>
      <w:bookmarkStart w:id="3487" w:name="_Toc69879516"/>
      <w:r>
        <w:t>Part 1 Section 22.6.2.59, Source (Source)</w:t>
      </w:r>
      <w:bookmarkEnd w:id="3486"/>
      <w:bookmarkEnd w:id="3487"/>
      <w:r>
        <w:fldChar w:fldCharType="begin"/>
      </w:r>
      <w:r>
        <w:instrText xml:space="preserve"> XE "Source (Source)" </w:instrText>
      </w:r>
      <w:r>
        <w:fldChar w:fldCharType="end"/>
      </w:r>
    </w:p>
    <w:p w:rsidR="005F78FC" w:rsidRDefault="00B42EF3">
      <w:pPr>
        <w:pStyle w:val="Definition-Field"/>
      </w:pPr>
      <w:r>
        <w:t xml:space="preserve">a.   </w:t>
      </w:r>
      <w:r>
        <w:rPr>
          <w:i/>
        </w:rPr>
        <w:t>The standard states that this element can contain any number of child elements in any order.</w:t>
      </w:r>
    </w:p>
    <w:p w:rsidR="005F78FC" w:rsidRDefault="00B42EF3">
      <w:pPr>
        <w:pStyle w:val="Definition-Field2"/>
      </w:pPr>
      <w:r>
        <w:t>Word only allows a single instance, the first instance in document order, of each child element.</w:t>
      </w:r>
    </w:p>
    <w:p w:rsidR="005F78FC" w:rsidRDefault="00B42EF3">
      <w:pPr>
        <w:pStyle w:val="Heading3"/>
      </w:pPr>
      <w:bookmarkStart w:id="3488" w:name="section_3a8facc7b7e74bb4b34cb38d0d4c1c6d"/>
      <w:bookmarkStart w:id="3489" w:name="_Toc69879517"/>
      <w:r>
        <w:t>Part 1 Section 22.6.2.65, Tag (Tag)</w:t>
      </w:r>
      <w:bookmarkEnd w:id="3488"/>
      <w:bookmarkEnd w:id="3489"/>
      <w:r>
        <w:fldChar w:fldCharType="begin"/>
      </w:r>
      <w:r>
        <w:instrText xml:space="preserve"> XE "Tag (Tag)" </w:instrText>
      </w:r>
      <w:r>
        <w:fldChar w:fldCharType="end"/>
      </w:r>
    </w:p>
    <w:p w:rsidR="005F78FC" w:rsidRDefault="00B42EF3">
      <w:pPr>
        <w:pStyle w:val="Definition-Field"/>
      </w:pPr>
      <w:r>
        <w:t xml:space="preserve">a.   </w:t>
      </w:r>
      <w:r>
        <w:rPr>
          <w:i/>
        </w:rPr>
        <w:t>The standard states that the value of this element has a minimum of 0 and a maximum of 255 character</w:t>
      </w:r>
      <w:r>
        <w:rPr>
          <w:i/>
        </w:rPr>
        <w:t>s.</w:t>
      </w:r>
    </w:p>
    <w:p w:rsidR="005F78FC" w:rsidRDefault="00B42EF3">
      <w:pPr>
        <w:pStyle w:val="Definition-Field2"/>
      </w:pPr>
      <w:r>
        <w:t>Word restricts the value of this element to have a minimum of 1 and a maximum of 32 characters.</w:t>
      </w:r>
    </w:p>
    <w:p w:rsidR="005F78FC" w:rsidRDefault="00B42EF3">
      <w:pPr>
        <w:pStyle w:val="Heading3"/>
      </w:pPr>
      <w:bookmarkStart w:id="3490" w:name="section_86e4ebd6c6d543a7b3678e508b712256"/>
      <w:bookmarkStart w:id="3491" w:name="_Toc69879518"/>
      <w:r>
        <w:t>Part 1 Section 22.6.2.76, YearAccessed (Year Accessed)</w:t>
      </w:r>
      <w:bookmarkEnd w:id="3490"/>
      <w:bookmarkEnd w:id="3491"/>
      <w:r>
        <w:fldChar w:fldCharType="begin"/>
      </w:r>
      <w:r>
        <w:instrText xml:space="preserve"> XE "YearAccessed (Year Accessed)" </w:instrText>
      </w:r>
      <w:r>
        <w:fldChar w:fldCharType="end"/>
      </w:r>
    </w:p>
    <w:p w:rsidR="005F78FC" w:rsidRDefault="00B42EF3">
      <w:pPr>
        <w:pStyle w:val="Definition-Field"/>
      </w:pPr>
      <w:r>
        <w:t xml:space="preserve">a.   </w:t>
      </w:r>
      <w:r>
        <w:rPr>
          <w:i/>
        </w:rPr>
        <w:t>The standard states that the YearAccessed element stores the</w:t>
      </w:r>
      <w:r>
        <w:rPr>
          <w:i/>
        </w:rPr>
        <w:t xml:space="preserve"> month in which a source was accessed.</w:t>
      </w:r>
    </w:p>
    <w:p w:rsidR="005F78FC" w:rsidRDefault="00B42EF3">
      <w:pPr>
        <w:pStyle w:val="Definition-Field2"/>
      </w:pPr>
      <w:r>
        <w:t>Office interprets this element as the year in which the source was accessed.</w:t>
      </w:r>
    </w:p>
    <w:p w:rsidR="005F78FC" w:rsidRDefault="00B42EF3">
      <w:pPr>
        <w:pStyle w:val="Heading3"/>
      </w:pPr>
      <w:bookmarkStart w:id="3492" w:name="section_1f66e1f2ad2a4cee8efce563dca56a03"/>
      <w:bookmarkStart w:id="3493" w:name="_Toc69879519"/>
      <w:r>
        <w:t>Part 1 Section 22.8.2.1, ST_RelationshipId (Explicit Relationship ID)</w:t>
      </w:r>
      <w:bookmarkEnd w:id="3492"/>
      <w:bookmarkEnd w:id="3493"/>
      <w:r>
        <w:fldChar w:fldCharType="begin"/>
      </w:r>
      <w:r>
        <w:instrText xml:space="preserve"> XE "ST_RelationshipId (Explicit Relationship ID)" </w:instrText>
      </w:r>
      <w:r>
        <w:fldChar w:fldCharType="end"/>
      </w:r>
    </w:p>
    <w:p w:rsidR="005F78FC" w:rsidRDefault="00B42EF3">
      <w:pPr>
        <w:pStyle w:val="Definition-Field"/>
      </w:pPr>
      <w:r>
        <w:t xml:space="preserve">a.   </w:t>
      </w:r>
      <w:r>
        <w:rPr>
          <w:i/>
        </w:rPr>
        <w:t>The standard</w:t>
      </w:r>
      <w:r>
        <w:rPr>
          <w:i/>
        </w:rPr>
        <w:t xml:space="preserve"> does not limit the length of the contents of the ST_RelationshipId simple type.</w:t>
      </w:r>
    </w:p>
    <w:p w:rsidR="005F78FC" w:rsidRDefault="00B42EF3">
      <w:pPr>
        <w:pStyle w:val="Definition-Field2"/>
      </w:pPr>
      <w:r>
        <w:t>Office restricts the contents of this simple type to be at most 255 characters.</w:t>
      </w:r>
    </w:p>
    <w:p w:rsidR="005F78FC" w:rsidRDefault="00B42EF3">
      <w:pPr>
        <w:pStyle w:val="Definition-Field"/>
      </w:pPr>
      <w:r>
        <w:t xml:space="preserve">b.   </w:t>
      </w:r>
      <w:r>
        <w:rPr>
          <w:i/>
        </w:rPr>
        <w:t>The standard states that the values of the ST_RelationshipId simple type are a restriction</w:t>
      </w:r>
      <w:r>
        <w:rPr>
          <w:i/>
        </w:rPr>
        <w:t xml:space="preserve"> on the XML Schema string datatype.</w:t>
      </w:r>
    </w:p>
    <w:p w:rsidR="005F78FC" w:rsidRDefault="00B42EF3">
      <w:pPr>
        <w:pStyle w:val="Definition-Field2"/>
      </w:pPr>
      <w:r>
        <w:t>Office defines this simple type as being a restriction on the XML Schema id datatype.</w:t>
      </w:r>
    </w:p>
    <w:p w:rsidR="005F78FC" w:rsidRDefault="00B42EF3">
      <w:pPr>
        <w:pStyle w:val="Heading3"/>
      </w:pPr>
      <w:bookmarkStart w:id="3494" w:name="section_139928f9f5084ef29a6b4034409e9564"/>
      <w:bookmarkStart w:id="3495" w:name="_Toc69879520"/>
      <w:r>
        <w:lastRenderedPageBreak/>
        <w:t>Part 1 Section 22.9.2.1, ST_CalendarType (Calendar Types)</w:t>
      </w:r>
      <w:bookmarkEnd w:id="3494"/>
      <w:bookmarkEnd w:id="3495"/>
      <w:r>
        <w:fldChar w:fldCharType="begin"/>
      </w:r>
      <w:r>
        <w:instrText xml:space="preserve"> XE "ST_CalendarType (Calendar Types)" </w:instrText>
      </w:r>
      <w:r>
        <w:fldChar w:fldCharType="end"/>
      </w:r>
    </w:p>
    <w:p w:rsidR="005F78FC" w:rsidRDefault="00B42EF3">
      <w:pPr>
        <w:pStyle w:val="Definition-Field"/>
      </w:pPr>
      <w:r>
        <w:t xml:space="preserve">a.   </w:t>
      </w:r>
      <w:r>
        <w:rPr>
          <w:i/>
        </w:rPr>
        <w:t xml:space="preserve">The standard includes </w:t>
      </w:r>
      <w:r>
        <w:rPr>
          <w:i/>
        </w:rPr>
        <w:t>gregorianUs, gregorianMeFrench, and gregorianArabic as enumeration values for the calendar types.</w:t>
      </w:r>
    </w:p>
    <w:p w:rsidR="005F78FC" w:rsidRDefault="00B42EF3">
      <w:pPr>
        <w:pStyle w:val="Definition-Field2"/>
      </w:pPr>
      <w:r>
        <w:t>Word treats gregorianUs, gregorianMeFrench, and gregorianArabic as gregorian.</w:t>
      </w:r>
    </w:p>
    <w:p w:rsidR="005F78FC" w:rsidRDefault="00B42EF3">
      <w:pPr>
        <w:pStyle w:val="Definition-Field"/>
      </w:pPr>
      <w:r>
        <w:t xml:space="preserve">b.   </w:t>
      </w:r>
      <w:r>
        <w:rPr>
          <w:i/>
        </w:rPr>
        <w:t>The standard states that saka is a valid enumeration value.</w:t>
      </w:r>
    </w:p>
    <w:p w:rsidR="005F78FC" w:rsidRDefault="00B42EF3">
      <w:pPr>
        <w:pStyle w:val="Definition-Field2"/>
      </w:pPr>
      <w:r>
        <w:t>Excel interpret</w:t>
      </w:r>
      <w:r>
        <w:t>s an enumeration value of saka as a value of none.</w:t>
      </w:r>
    </w:p>
    <w:p w:rsidR="005F78FC" w:rsidRDefault="00B42EF3">
      <w:pPr>
        <w:pStyle w:val="Heading3"/>
      </w:pPr>
      <w:bookmarkStart w:id="3496" w:name="section_ed06cf15306c43be9053ca81ca51e656"/>
      <w:bookmarkStart w:id="3497" w:name="_Toc69879521"/>
      <w:r>
        <w:t>Part 1 Section 22.9.2.6, ST_Lang (Language Reference)</w:t>
      </w:r>
      <w:bookmarkEnd w:id="3496"/>
      <w:bookmarkEnd w:id="3497"/>
      <w:r>
        <w:fldChar w:fldCharType="begin"/>
      </w:r>
      <w:r>
        <w:instrText xml:space="preserve"> XE "ST_Lang (Language Reference)" </w:instrText>
      </w:r>
      <w:r>
        <w:fldChar w:fldCharType="end"/>
      </w:r>
    </w:p>
    <w:p w:rsidR="005F78FC" w:rsidRDefault="00B42EF3">
      <w:pPr>
        <w:pStyle w:val="Definition-Field"/>
      </w:pPr>
      <w:r>
        <w:t xml:space="preserve">a.   </w:t>
      </w:r>
      <w:r>
        <w:rPr>
          <w:i/>
        </w:rPr>
        <w:t>The standard allows an unbounded string for ST_Lang.</w:t>
      </w:r>
    </w:p>
    <w:p w:rsidR="005F78FC" w:rsidRDefault="00B42EF3">
      <w:pPr>
        <w:pStyle w:val="Definition-Field2"/>
      </w:pPr>
      <w:r>
        <w:t>Word allows strings of length at most 84.</w:t>
      </w:r>
    </w:p>
    <w:p w:rsidR="005F78FC" w:rsidRDefault="00B42EF3">
      <w:pPr>
        <w:pStyle w:val="Definition-Field"/>
      </w:pPr>
      <w:r>
        <w:t xml:space="preserve">b.   </w:t>
      </w:r>
      <w:r>
        <w:rPr>
          <w:i/>
        </w:rPr>
        <w:t>The stand</w:t>
      </w:r>
      <w:r>
        <w:rPr>
          <w:i/>
        </w:rPr>
        <w:t>ard states that the ST_TextLanguageID specifies an ID representing a particular language.</w:t>
      </w:r>
    </w:p>
    <w:p w:rsidR="005F78FC" w:rsidRDefault="00B42EF3">
      <w:pPr>
        <w:pStyle w:val="Definition-Field2"/>
      </w:pPr>
      <w:r>
        <w:t xml:space="preserve">In Office, the language ID consists of an ISO 639-1 letter code followed by a dash and then an ISO 3166-1 alpha-2 letter code. The contents of this language shall be </w:t>
      </w:r>
      <w:r>
        <w:t>interpreted based on the context of the parent element.</w:t>
      </w:r>
    </w:p>
    <w:p w:rsidR="005F78FC" w:rsidRDefault="00B42EF3">
      <w:pPr>
        <w:pStyle w:val="Definition-Field"/>
      </w:pPr>
      <w:r>
        <w:t xml:space="preserve">c.   </w:t>
      </w:r>
      <w:r>
        <w:rPr>
          <w:i/>
        </w:rPr>
        <w:t>The standard states that language identifiers can be specified with strings or hexadecimal values.</w:t>
      </w:r>
    </w:p>
    <w:p w:rsidR="005F78FC" w:rsidRDefault="00B42EF3">
      <w:pPr>
        <w:pStyle w:val="Definition-Field2"/>
      </w:pPr>
      <w:r>
        <w:t>Word does not allow a hexadecimal language code.</w:t>
      </w:r>
    </w:p>
    <w:p w:rsidR="005F78FC" w:rsidRDefault="00B42EF3">
      <w:pPr>
        <w:pStyle w:val="Definition-Field"/>
      </w:pPr>
      <w:r>
        <w:t xml:space="preserve">d.   </w:t>
      </w:r>
      <w:r>
        <w:rPr>
          <w:i/>
        </w:rPr>
        <w:t>The standard states that any valid BCP47 v</w:t>
      </w:r>
      <w:r>
        <w:rPr>
          <w:i/>
        </w:rPr>
        <w:t>alue is a valid value for elements and attributes of this type.</w:t>
      </w:r>
    </w:p>
    <w:p w:rsidR="005F78FC" w:rsidRDefault="00B42EF3">
      <w:r>
        <w:t>Word will ignore any value that is not listed in the following table:</w:t>
      </w:r>
    </w:p>
    <w:tbl>
      <w:tblPr>
        <w:tblStyle w:val="Table-ShadedHeader"/>
        <w:tblW w:w="0" w:type="auto"/>
        <w:tblLook w:val="04A0" w:firstRow="1" w:lastRow="0" w:firstColumn="1" w:lastColumn="0" w:noHBand="0" w:noVBand="1"/>
      </w:tblPr>
      <w:tblGrid>
        <w:gridCol w:w="3690"/>
        <w:gridCol w:w="1513"/>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Description (informative)</w:t>
            </w:r>
          </w:p>
        </w:tc>
        <w:tc>
          <w:tcPr>
            <w:tcW w:w="0" w:type="auto"/>
            <w:vAlign w:val="center"/>
          </w:tcPr>
          <w:p w:rsidR="005F78FC" w:rsidRDefault="00B42EF3">
            <w:pPr>
              <w:pStyle w:val="TableHeaderText"/>
            </w:pPr>
            <w:r>
              <w:t>BCP 47 Code</w:t>
            </w:r>
          </w:p>
        </w:tc>
      </w:tr>
      <w:tr w:rsidR="005F78FC" w:rsidTr="005F78FC">
        <w:tc>
          <w:tcPr>
            <w:tcW w:w="0" w:type="auto"/>
            <w:vAlign w:val="center"/>
          </w:tcPr>
          <w:p w:rsidR="005F78FC" w:rsidRDefault="00B42EF3">
            <w:pPr>
              <w:pStyle w:val="TableBodyText"/>
            </w:pPr>
            <w:r>
              <w:t xml:space="preserve">Afrikaans - South Africa </w:t>
            </w:r>
          </w:p>
        </w:tc>
        <w:tc>
          <w:tcPr>
            <w:tcW w:w="0" w:type="auto"/>
            <w:vAlign w:val="center"/>
          </w:tcPr>
          <w:p w:rsidR="005F78FC" w:rsidRDefault="00B42EF3">
            <w:pPr>
              <w:pStyle w:val="TableBodyText"/>
            </w:pPr>
            <w:r>
              <w:t>af-ZA</w:t>
            </w:r>
          </w:p>
        </w:tc>
      </w:tr>
      <w:tr w:rsidR="005F78FC" w:rsidTr="005F78FC">
        <w:tc>
          <w:tcPr>
            <w:tcW w:w="0" w:type="auto"/>
            <w:vAlign w:val="center"/>
          </w:tcPr>
          <w:p w:rsidR="005F78FC" w:rsidRDefault="00B42EF3">
            <w:pPr>
              <w:pStyle w:val="TableBodyText"/>
            </w:pPr>
            <w:r>
              <w:t xml:space="preserve">Amharic - Ethiopia </w:t>
            </w:r>
          </w:p>
        </w:tc>
        <w:tc>
          <w:tcPr>
            <w:tcW w:w="0" w:type="auto"/>
            <w:vAlign w:val="center"/>
          </w:tcPr>
          <w:p w:rsidR="005F78FC" w:rsidRDefault="00B42EF3">
            <w:pPr>
              <w:pStyle w:val="TableBodyText"/>
            </w:pPr>
            <w:r>
              <w:t>am-ET</w:t>
            </w:r>
          </w:p>
        </w:tc>
      </w:tr>
      <w:tr w:rsidR="005F78FC" w:rsidTr="005F78FC">
        <w:tc>
          <w:tcPr>
            <w:tcW w:w="0" w:type="auto"/>
            <w:vAlign w:val="center"/>
          </w:tcPr>
          <w:p w:rsidR="005F78FC" w:rsidRDefault="00B42EF3">
            <w:pPr>
              <w:pStyle w:val="TableBodyText"/>
            </w:pPr>
            <w:r>
              <w:t xml:space="preserve">Arabic - U.A.E. </w:t>
            </w:r>
          </w:p>
        </w:tc>
        <w:tc>
          <w:tcPr>
            <w:tcW w:w="0" w:type="auto"/>
            <w:vAlign w:val="center"/>
          </w:tcPr>
          <w:p w:rsidR="005F78FC" w:rsidRDefault="00B42EF3">
            <w:pPr>
              <w:pStyle w:val="TableBodyText"/>
            </w:pPr>
            <w:r>
              <w:t>ar-AE</w:t>
            </w:r>
          </w:p>
        </w:tc>
      </w:tr>
      <w:tr w:rsidR="005F78FC" w:rsidTr="005F78FC">
        <w:tc>
          <w:tcPr>
            <w:tcW w:w="0" w:type="auto"/>
            <w:vAlign w:val="center"/>
          </w:tcPr>
          <w:p w:rsidR="005F78FC" w:rsidRDefault="00B42EF3">
            <w:pPr>
              <w:pStyle w:val="TableBodyText"/>
            </w:pPr>
            <w:r>
              <w:t xml:space="preserve">Arabic - Bahrain </w:t>
            </w:r>
          </w:p>
        </w:tc>
        <w:tc>
          <w:tcPr>
            <w:tcW w:w="0" w:type="auto"/>
            <w:vAlign w:val="center"/>
          </w:tcPr>
          <w:p w:rsidR="005F78FC" w:rsidRDefault="00B42EF3">
            <w:pPr>
              <w:pStyle w:val="TableBodyText"/>
            </w:pPr>
            <w:r>
              <w:t>ar-BH</w:t>
            </w:r>
          </w:p>
        </w:tc>
      </w:tr>
      <w:tr w:rsidR="005F78FC" w:rsidTr="005F78FC">
        <w:tc>
          <w:tcPr>
            <w:tcW w:w="0" w:type="auto"/>
            <w:vAlign w:val="center"/>
          </w:tcPr>
          <w:p w:rsidR="005F78FC" w:rsidRDefault="00B42EF3">
            <w:pPr>
              <w:pStyle w:val="TableBodyText"/>
            </w:pPr>
            <w:r>
              <w:t xml:space="preserve">Arabic - Algeria </w:t>
            </w:r>
          </w:p>
        </w:tc>
        <w:tc>
          <w:tcPr>
            <w:tcW w:w="0" w:type="auto"/>
            <w:vAlign w:val="center"/>
          </w:tcPr>
          <w:p w:rsidR="005F78FC" w:rsidRDefault="00B42EF3">
            <w:pPr>
              <w:pStyle w:val="TableBodyText"/>
            </w:pPr>
            <w:r>
              <w:t>ar-DZ</w:t>
            </w:r>
          </w:p>
        </w:tc>
      </w:tr>
      <w:tr w:rsidR="005F78FC" w:rsidTr="005F78FC">
        <w:tc>
          <w:tcPr>
            <w:tcW w:w="0" w:type="auto"/>
            <w:vAlign w:val="center"/>
          </w:tcPr>
          <w:p w:rsidR="005F78FC" w:rsidRDefault="00B42EF3">
            <w:pPr>
              <w:pStyle w:val="TableBodyText"/>
            </w:pPr>
            <w:r>
              <w:t xml:space="preserve">Arabic - Egypt </w:t>
            </w:r>
          </w:p>
        </w:tc>
        <w:tc>
          <w:tcPr>
            <w:tcW w:w="0" w:type="auto"/>
            <w:vAlign w:val="center"/>
          </w:tcPr>
          <w:p w:rsidR="005F78FC" w:rsidRDefault="00B42EF3">
            <w:pPr>
              <w:pStyle w:val="TableBodyText"/>
            </w:pPr>
            <w:r>
              <w:t>ar-EG</w:t>
            </w:r>
          </w:p>
        </w:tc>
      </w:tr>
      <w:tr w:rsidR="005F78FC" w:rsidTr="005F78FC">
        <w:tc>
          <w:tcPr>
            <w:tcW w:w="0" w:type="auto"/>
            <w:vAlign w:val="center"/>
          </w:tcPr>
          <w:p w:rsidR="005F78FC" w:rsidRDefault="00B42EF3">
            <w:pPr>
              <w:pStyle w:val="TableBodyText"/>
            </w:pPr>
            <w:r>
              <w:t xml:space="preserve">Arabic - Iraq </w:t>
            </w:r>
          </w:p>
        </w:tc>
        <w:tc>
          <w:tcPr>
            <w:tcW w:w="0" w:type="auto"/>
            <w:vAlign w:val="center"/>
          </w:tcPr>
          <w:p w:rsidR="005F78FC" w:rsidRDefault="00B42EF3">
            <w:pPr>
              <w:pStyle w:val="TableBodyText"/>
            </w:pPr>
            <w:r>
              <w:t>ar-IQ</w:t>
            </w:r>
          </w:p>
        </w:tc>
      </w:tr>
      <w:tr w:rsidR="005F78FC" w:rsidTr="005F78FC">
        <w:tc>
          <w:tcPr>
            <w:tcW w:w="0" w:type="auto"/>
            <w:vAlign w:val="center"/>
          </w:tcPr>
          <w:p w:rsidR="005F78FC" w:rsidRDefault="00B42EF3">
            <w:pPr>
              <w:pStyle w:val="TableBodyText"/>
            </w:pPr>
            <w:r>
              <w:t xml:space="preserve">Arabic - Jordan </w:t>
            </w:r>
          </w:p>
        </w:tc>
        <w:tc>
          <w:tcPr>
            <w:tcW w:w="0" w:type="auto"/>
            <w:vAlign w:val="center"/>
          </w:tcPr>
          <w:p w:rsidR="005F78FC" w:rsidRDefault="00B42EF3">
            <w:pPr>
              <w:pStyle w:val="TableBodyText"/>
            </w:pPr>
            <w:r>
              <w:t>ar-JO</w:t>
            </w:r>
          </w:p>
        </w:tc>
      </w:tr>
      <w:tr w:rsidR="005F78FC" w:rsidTr="005F78FC">
        <w:tc>
          <w:tcPr>
            <w:tcW w:w="0" w:type="auto"/>
            <w:vAlign w:val="center"/>
          </w:tcPr>
          <w:p w:rsidR="005F78FC" w:rsidRDefault="00B42EF3">
            <w:pPr>
              <w:pStyle w:val="TableBodyText"/>
            </w:pPr>
            <w:r>
              <w:t xml:space="preserve">Arabic - Kuwait </w:t>
            </w:r>
          </w:p>
        </w:tc>
        <w:tc>
          <w:tcPr>
            <w:tcW w:w="0" w:type="auto"/>
            <w:vAlign w:val="center"/>
          </w:tcPr>
          <w:p w:rsidR="005F78FC" w:rsidRDefault="00B42EF3">
            <w:pPr>
              <w:pStyle w:val="TableBodyText"/>
            </w:pPr>
            <w:r>
              <w:t>ar-KW</w:t>
            </w:r>
          </w:p>
        </w:tc>
      </w:tr>
      <w:tr w:rsidR="005F78FC" w:rsidTr="005F78FC">
        <w:tc>
          <w:tcPr>
            <w:tcW w:w="0" w:type="auto"/>
            <w:vAlign w:val="center"/>
          </w:tcPr>
          <w:p w:rsidR="005F78FC" w:rsidRDefault="00B42EF3">
            <w:pPr>
              <w:pStyle w:val="TableBodyText"/>
            </w:pPr>
            <w:r>
              <w:t xml:space="preserve">Arabic - Lebanon </w:t>
            </w:r>
          </w:p>
        </w:tc>
        <w:tc>
          <w:tcPr>
            <w:tcW w:w="0" w:type="auto"/>
            <w:vAlign w:val="center"/>
          </w:tcPr>
          <w:p w:rsidR="005F78FC" w:rsidRDefault="00B42EF3">
            <w:pPr>
              <w:pStyle w:val="TableBodyText"/>
            </w:pPr>
            <w:r>
              <w:t>ar-LB</w:t>
            </w:r>
          </w:p>
        </w:tc>
      </w:tr>
      <w:tr w:rsidR="005F78FC" w:rsidTr="005F78FC">
        <w:tc>
          <w:tcPr>
            <w:tcW w:w="0" w:type="auto"/>
            <w:vAlign w:val="center"/>
          </w:tcPr>
          <w:p w:rsidR="005F78FC" w:rsidRDefault="00B42EF3">
            <w:pPr>
              <w:pStyle w:val="TableBodyText"/>
            </w:pPr>
            <w:r>
              <w:t xml:space="preserve">Arabic - Libya </w:t>
            </w:r>
          </w:p>
        </w:tc>
        <w:tc>
          <w:tcPr>
            <w:tcW w:w="0" w:type="auto"/>
            <w:vAlign w:val="center"/>
          </w:tcPr>
          <w:p w:rsidR="005F78FC" w:rsidRDefault="00B42EF3">
            <w:pPr>
              <w:pStyle w:val="TableBodyText"/>
            </w:pPr>
            <w:r>
              <w:t>ar-LY</w:t>
            </w:r>
          </w:p>
        </w:tc>
      </w:tr>
      <w:tr w:rsidR="005F78FC" w:rsidTr="005F78FC">
        <w:tc>
          <w:tcPr>
            <w:tcW w:w="0" w:type="auto"/>
            <w:vAlign w:val="center"/>
          </w:tcPr>
          <w:p w:rsidR="005F78FC" w:rsidRDefault="00B42EF3">
            <w:pPr>
              <w:pStyle w:val="TableBodyText"/>
            </w:pPr>
            <w:r>
              <w:t xml:space="preserve">Arabic - Morocco </w:t>
            </w:r>
          </w:p>
        </w:tc>
        <w:tc>
          <w:tcPr>
            <w:tcW w:w="0" w:type="auto"/>
            <w:vAlign w:val="center"/>
          </w:tcPr>
          <w:p w:rsidR="005F78FC" w:rsidRDefault="00B42EF3">
            <w:pPr>
              <w:pStyle w:val="TableBodyText"/>
            </w:pPr>
            <w:r>
              <w:t>ar-MO</w:t>
            </w:r>
          </w:p>
        </w:tc>
      </w:tr>
      <w:tr w:rsidR="005F78FC" w:rsidTr="005F78FC">
        <w:tc>
          <w:tcPr>
            <w:tcW w:w="0" w:type="auto"/>
            <w:vAlign w:val="center"/>
          </w:tcPr>
          <w:p w:rsidR="005F78FC" w:rsidRDefault="00B42EF3">
            <w:pPr>
              <w:pStyle w:val="TableBodyText"/>
            </w:pPr>
            <w:r>
              <w:t xml:space="preserve">Arabic - Oman </w:t>
            </w:r>
          </w:p>
        </w:tc>
        <w:tc>
          <w:tcPr>
            <w:tcW w:w="0" w:type="auto"/>
            <w:vAlign w:val="center"/>
          </w:tcPr>
          <w:p w:rsidR="005F78FC" w:rsidRDefault="00B42EF3">
            <w:pPr>
              <w:pStyle w:val="TableBodyText"/>
            </w:pPr>
            <w:r>
              <w:t>ar-OM</w:t>
            </w:r>
          </w:p>
        </w:tc>
      </w:tr>
      <w:tr w:rsidR="005F78FC" w:rsidTr="005F78FC">
        <w:tc>
          <w:tcPr>
            <w:tcW w:w="0" w:type="auto"/>
            <w:vAlign w:val="center"/>
          </w:tcPr>
          <w:p w:rsidR="005F78FC" w:rsidRDefault="00B42EF3">
            <w:pPr>
              <w:pStyle w:val="TableBodyText"/>
            </w:pPr>
            <w:r>
              <w:t xml:space="preserve">Arabic - Qatar </w:t>
            </w:r>
          </w:p>
        </w:tc>
        <w:tc>
          <w:tcPr>
            <w:tcW w:w="0" w:type="auto"/>
            <w:vAlign w:val="center"/>
          </w:tcPr>
          <w:p w:rsidR="005F78FC" w:rsidRDefault="00B42EF3">
            <w:pPr>
              <w:pStyle w:val="TableBodyText"/>
            </w:pPr>
            <w:r>
              <w:t>ar-QA</w:t>
            </w:r>
          </w:p>
        </w:tc>
      </w:tr>
      <w:tr w:rsidR="005F78FC" w:rsidTr="005F78FC">
        <w:tc>
          <w:tcPr>
            <w:tcW w:w="0" w:type="auto"/>
            <w:vAlign w:val="center"/>
          </w:tcPr>
          <w:p w:rsidR="005F78FC" w:rsidRDefault="00B42EF3">
            <w:pPr>
              <w:pStyle w:val="TableBodyText"/>
            </w:pPr>
            <w:r>
              <w:lastRenderedPageBreak/>
              <w:t xml:space="preserve">Arabic - Saudi Arabia </w:t>
            </w:r>
          </w:p>
        </w:tc>
        <w:tc>
          <w:tcPr>
            <w:tcW w:w="0" w:type="auto"/>
            <w:vAlign w:val="center"/>
          </w:tcPr>
          <w:p w:rsidR="005F78FC" w:rsidRDefault="00B42EF3">
            <w:pPr>
              <w:pStyle w:val="TableBodyText"/>
            </w:pPr>
            <w:r>
              <w:t>ar-SA</w:t>
            </w:r>
          </w:p>
        </w:tc>
      </w:tr>
      <w:tr w:rsidR="005F78FC" w:rsidTr="005F78FC">
        <w:tc>
          <w:tcPr>
            <w:tcW w:w="0" w:type="auto"/>
            <w:vAlign w:val="center"/>
          </w:tcPr>
          <w:p w:rsidR="005F78FC" w:rsidRDefault="00B42EF3">
            <w:pPr>
              <w:pStyle w:val="TableBodyText"/>
            </w:pPr>
            <w:r>
              <w:t xml:space="preserve">Arabic - Syria </w:t>
            </w:r>
          </w:p>
        </w:tc>
        <w:tc>
          <w:tcPr>
            <w:tcW w:w="0" w:type="auto"/>
            <w:vAlign w:val="center"/>
          </w:tcPr>
          <w:p w:rsidR="005F78FC" w:rsidRDefault="00B42EF3">
            <w:pPr>
              <w:pStyle w:val="TableBodyText"/>
            </w:pPr>
            <w:r>
              <w:t>ar-SY</w:t>
            </w:r>
          </w:p>
        </w:tc>
      </w:tr>
      <w:tr w:rsidR="005F78FC" w:rsidTr="005F78FC">
        <w:tc>
          <w:tcPr>
            <w:tcW w:w="0" w:type="auto"/>
            <w:vAlign w:val="center"/>
          </w:tcPr>
          <w:p w:rsidR="005F78FC" w:rsidRDefault="00B42EF3">
            <w:pPr>
              <w:pStyle w:val="TableBodyText"/>
            </w:pPr>
            <w:r>
              <w:t xml:space="preserve">Arabic - Tunisia </w:t>
            </w:r>
          </w:p>
        </w:tc>
        <w:tc>
          <w:tcPr>
            <w:tcW w:w="0" w:type="auto"/>
            <w:vAlign w:val="center"/>
          </w:tcPr>
          <w:p w:rsidR="005F78FC" w:rsidRDefault="00B42EF3">
            <w:pPr>
              <w:pStyle w:val="TableBodyText"/>
            </w:pPr>
            <w:r>
              <w:t>ar-TN</w:t>
            </w:r>
          </w:p>
        </w:tc>
      </w:tr>
      <w:tr w:rsidR="005F78FC" w:rsidTr="005F78FC">
        <w:tc>
          <w:tcPr>
            <w:tcW w:w="0" w:type="auto"/>
            <w:vAlign w:val="center"/>
          </w:tcPr>
          <w:p w:rsidR="005F78FC" w:rsidRDefault="00B42EF3">
            <w:pPr>
              <w:pStyle w:val="TableBodyText"/>
            </w:pPr>
            <w:r>
              <w:t xml:space="preserve">Arabic - Yemen </w:t>
            </w:r>
          </w:p>
        </w:tc>
        <w:tc>
          <w:tcPr>
            <w:tcW w:w="0" w:type="auto"/>
            <w:vAlign w:val="center"/>
          </w:tcPr>
          <w:p w:rsidR="005F78FC" w:rsidRDefault="00B42EF3">
            <w:pPr>
              <w:pStyle w:val="TableBodyText"/>
            </w:pPr>
            <w:r>
              <w:t>ar-YE</w:t>
            </w:r>
          </w:p>
        </w:tc>
      </w:tr>
      <w:tr w:rsidR="005F78FC" w:rsidTr="005F78FC">
        <w:tc>
          <w:tcPr>
            <w:tcW w:w="0" w:type="auto"/>
            <w:vAlign w:val="center"/>
          </w:tcPr>
          <w:p w:rsidR="005F78FC" w:rsidRDefault="00B42EF3">
            <w:pPr>
              <w:pStyle w:val="TableBodyText"/>
            </w:pPr>
            <w:r>
              <w:t xml:space="preserve">Assamese </w:t>
            </w:r>
          </w:p>
        </w:tc>
        <w:tc>
          <w:tcPr>
            <w:tcW w:w="0" w:type="auto"/>
            <w:vAlign w:val="center"/>
          </w:tcPr>
          <w:p w:rsidR="005F78FC" w:rsidRDefault="00B42EF3">
            <w:pPr>
              <w:pStyle w:val="TableBodyText"/>
            </w:pPr>
            <w:r>
              <w:t>as-IN</w:t>
            </w:r>
          </w:p>
        </w:tc>
      </w:tr>
      <w:tr w:rsidR="005F78FC" w:rsidTr="005F78FC">
        <w:tc>
          <w:tcPr>
            <w:tcW w:w="0" w:type="auto"/>
            <w:vAlign w:val="center"/>
          </w:tcPr>
          <w:p w:rsidR="005F78FC" w:rsidRDefault="00B42EF3">
            <w:pPr>
              <w:pStyle w:val="TableBodyText"/>
            </w:pPr>
            <w:r>
              <w:t xml:space="preserve">Azerbaijani (Cyrillic) </w:t>
            </w:r>
          </w:p>
        </w:tc>
        <w:tc>
          <w:tcPr>
            <w:tcW w:w="0" w:type="auto"/>
            <w:vAlign w:val="center"/>
          </w:tcPr>
          <w:p w:rsidR="005F78FC" w:rsidRDefault="00B42EF3">
            <w:pPr>
              <w:pStyle w:val="TableBodyText"/>
            </w:pPr>
            <w:r>
              <w:t>az-Cyrl-AZ</w:t>
            </w:r>
          </w:p>
        </w:tc>
      </w:tr>
      <w:tr w:rsidR="005F78FC" w:rsidTr="005F78FC">
        <w:tc>
          <w:tcPr>
            <w:tcW w:w="0" w:type="auto"/>
            <w:vAlign w:val="center"/>
          </w:tcPr>
          <w:p w:rsidR="005F78FC" w:rsidRDefault="00B42EF3">
            <w:pPr>
              <w:pStyle w:val="TableBodyText"/>
            </w:pPr>
            <w:r>
              <w:t xml:space="preserve">Azerbaijani (Latin) </w:t>
            </w:r>
          </w:p>
        </w:tc>
        <w:tc>
          <w:tcPr>
            <w:tcW w:w="0" w:type="auto"/>
            <w:vAlign w:val="center"/>
          </w:tcPr>
          <w:p w:rsidR="005F78FC" w:rsidRDefault="00B42EF3">
            <w:pPr>
              <w:pStyle w:val="TableBodyText"/>
            </w:pPr>
            <w:r>
              <w:t>az-Latn-AZ</w:t>
            </w:r>
          </w:p>
        </w:tc>
      </w:tr>
      <w:tr w:rsidR="005F78FC" w:rsidTr="005F78FC">
        <w:tc>
          <w:tcPr>
            <w:tcW w:w="0" w:type="auto"/>
            <w:vAlign w:val="center"/>
          </w:tcPr>
          <w:p w:rsidR="005F78FC" w:rsidRDefault="00B42EF3">
            <w:pPr>
              <w:pStyle w:val="TableBodyText"/>
            </w:pPr>
            <w:r>
              <w:t xml:space="preserve">Belarusian </w:t>
            </w:r>
          </w:p>
        </w:tc>
        <w:tc>
          <w:tcPr>
            <w:tcW w:w="0" w:type="auto"/>
            <w:vAlign w:val="center"/>
          </w:tcPr>
          <w:p w:rsidR="005F78FC" w:rsidRDefault="00B42EF3">
            <w:pPr>
              <w:pStyle w:val="TableBodyText"/>
            </w:pPr>
            <w:r>
              <w:t>be-BY</w:t>
            </w:r>
          </w:p>
        </w:tc>
      </w:tr>
      <w:tr w:rsidR="005F78FC" w:rsidTr="005F78FC">
        <w:tc>
          <w:tcPr>
            <w:tcW w:w="0" w:type="auto"/>
            <w:vAlign w:val="center"/>
          </w:tcPr>
          <w:p w:rsidR="005F78FC" w:rsidRDefault="00B42EF3">
            <w:pPr>
              <w:pStyle w:val="TableBodyText"/>
            </w:pPr>
            <w:r>
              <w:t xml:space="preserve">Bulgarian </w:t>
            </w:r>
          </w:p>
        </w:tc>
        <w:tc>
          <w:tcPr>
            <w:tcW w:w="0" w:type="auto"/>
            <w:vAlign w:val="center"/>
          </w:tcPr>
          <w:p w:rsidR="005F78FC" w:rsidRDefault="00B42EF3">
            <w:pPr>
              <w:pStyle w:val="TableBodyText"/>
            </w:pPr>
            <w:r>
              <w:t>bg-BG</w:t>
            </w:r>
          </w:p>
        </w:tc>
      </w:tr>
      <w:tr w:rsidR="005F78FC" w:rsidTr="005F78FC">
        <w:tc>
          <w:tcPr>
            <w:tcW w:w="0" w:type="auto"/>
            <w:vAlign w:val="center"/>
          </w:tcPr>
          <w:p w:rsidR="005F78FC" w:rsidRDefault="00B42EF3">
            <w:pPr>
              <w:pStyle w:val="TableBodyText"/>
            </w:pPr>
            <w:r>
              <w:t xml:space="preserve">Edo </w:t>
            </w:r>
          </w:p>
        </w:tc>
        <w:tc>
          <w:tcPr>
            <w:tcW w:w="0" w:type="auto"/>
            <w:vAlign w:val="center"/>
          </w:tcPr>
          <w:p w:rsidR="005F78FC" w:rsidRDefault="00B42EF3">
            <w:pPr>
              <w:pStyle w:val="TableBodyText"/>
            </w:pPr>
            <w:r>
              <w:t>bin-NG</w:t>
            </w:r>
          </w:p>
        </w:tc>
      </w:tr>
      <w:tr w:rsidR="005F78FC" w:rsidTr="005F78FC">
        <w:tc>
          <w:tcPr>
            <w:tcW w:w="0" w:type="auto"/>
            <w:vAlign w:val="center"/>
          </w:tcPr>
          <w:p w:rsidR="005F78FC" w:rsidRDefault="00B42EF3">
            <w:pPr>
              <w:pStyle w:val="TableBodyText"/>
            </w:pPr>
            <w:r>
              <w:t xml:space="preserve">Bangla (Bangladesh) </w:t>
            </w:r>
          </w:p>
        </w:tc>
        <w:tc>
          <w:tcPr>
            <w:tcW w:w="0" w:type="auto"/>
            <w:vAlign w:val="center"/>
          </w:tcPr>
          <w:p w:rsidR="005F78FC" w:rsidRDefault="00B42EF3">
            <w:pPr>
              <w:pStyle w:val="TableBodyText"/>
            </w:pPr>
            <w:r>
              <w:t>bn-BD</w:t>
            </w:r>
          </w:p>
        </w:tc>
      </w:tr>
      <w:tr w:rsidR="005F78FC" w:rsidTr="005F78FC">
        <w:tc>
          <w:tcPr>
            <w:tcW w:w="0" w:type="auto"/>
            <w:vAlign w:val="center"/>
          </w:tcPr>
          <w:p w:rsidR="005F78FC" w:rsidRDefault="00B42EF3">
            <w:pPr>
              <w:pStyle w:val="TableBodyText"/>
            </w:pPr>
            <w:r>
              <w:t xml:space="preserve">Bangla (India) </w:t>
            </w:r>
          </w:p>
        </w:tc>
        <w:tc>
          <w:tcPr>
            <w:tcW w:w="0" w:type="auto"/>
            <w:vAlign w:val="center"/>
          </w:tcPr>
          <w:p w:rsidR="005F78FC" w:rsidRDefault="00B42EF3">
            <w:pPr>
              <w:pStyle w:val="TableBodyText"/>
            </w:pPr>
            <w:r>
              <w:t>bn-IN</w:t>
            </w:r>
          </w:p>
        </w:tc>
      </w:tr>
      <w:tr w:rsidR="005F78FC" w:rsidTr="005F78FC">
        <w:tc>
          <w:tcPr>
            <w:tcW w:w="0" w:type="auto"/>
            <w:vAlign w:val="center"/>
          </w:tcPr>
          <w:p w:rsidR="005F78FC" w:rsidRDefault="00B42EF3">
            <w:pPr>
              <w:pStyle w:val="TableBodyText"/>
            </w:pPr>
            <w:r>
              <w:t xml:space="preserve">Tibetan - Bhutan </w:t>
            </w:r>
          </w:p>
        </w:tc>
        <w:tc>
          <w:tcPr>
            <w:tcW w:w="0" w:type="auto"/>
            <w:vAlign w:val="center"/>
          </w:tcPr>
          <w:p w:rsidR="005F78FC" w:rsidRDefault="00B42EF3">
            <w:pPr>
              <w:pStyle w:val="TableBodyText"/>
            </w:pPr>
            <w:r>
              <w:t>bo-BT</w:t>
            </w:r>
          </w:p>
        </w:tc>
      </w:tr>
      <w:tr w:rsidR="005F78FC" w:rsidTr="005F78FC">
        <w:tc>
          <w:tcPr>
            <w:tcW w:w="0" w:type="auto"/>
            <w:vAlign w:val="center"/>
          </w:tcPr>
          <w:p w:rsidR="005F78FC" w:rsidRDefault="00B42EF3">
            <w:pPr>
              <w:pStyle w:val="TableBodyText"/>
            </w:pPr>
            <w:r>
              <w:t xml:space="preserve">Tibetan - People's Republic of China </w:t>
            </w:r>
          </w:p>
        </w:tc>
        <w:tc>
          <w:tcPr>
            <w:tcW w:w="0" w:type="auto"/>
            <w:vAlign w:val="center"/>
          </w:tcPr>
          <w:p w:rsidR="005F78FC" w:rsidRDefault="00B42EF3">
            <w:pPr>
              <w:pStyle w:val="TableBodyText"/>
            </w:pPr>
            <w:r>
              <w:t>bo-CN</w:t>
            </w:r>
          </w:p>
        </w:tc>
      </w:tr>
      <w:tr w:rsidR="005F78FC" w:rsidTr="005F78FC">
        <w:tc>
          <w:tcPr>
            <w:tcW w:w="0" w:type="auto"/>
            <w:vAlign w:val="center"/>
          </w:tcPr>
          <w:p w:rsidR="005F78FC" w:rsidRDefault="00B42EF3">
            <w:pPr>
              <w:pStyle w:val="TableBodyText"/>
            </w:pPr>
            <w:r>
              <w:t xml:space="preserve">Bosnian (Bosnia and Herzegovina) </w:t>
            </w:r>
          </w:p>
        </w:tc>
        <w:tc>
          <w:tcPr>
            <w:tcW w:w="0" w:type="auto"/>
            <w:vAlign w:val="center"/>
          </w:tcPr>
          <w:p w:rsidR="005F78FC" w:rsidRDefault="00B42EF3">
            <w:pPr>
              <w:pStyle w:val="TableBodyText"/>
            </w:pPr>
            <w:r>
              <w:t>bs-Latn-BA</w:t>
            </w:r>
          </w:p>
        </w:tc>
      </w:tr>
      <w:tr w:rsidR="005F78FC" w:rsidTr="005F78FC">
        <w:tc>
          <w:tcPr>
            <w:tcW w:w="0" w:type="auto"/>
            <w:vAlign w:val="center"/>
          </w:tcPr>
          <w:p w:rsidR="005F78FC" w:rsidRDefault="00B42EF3">
            <w:pPr>
              <w:pStyle w:val="TableBodyText"/>
            </w:pPr>
            <w:r>
              <w:t xml:space="preserve">Catalan </w:t>
            </w:r>
          </w:p>
        </w:tc>
        <w:tc>
          <w:tcPr>
            <w:tcW w:w="0" w:type="auto"/>
            <w:vAlign w:val="center"/>
          </w:tcPr>
          <w:p w:rsidR="005F78FC" w:rsidRDefault="00B42EF3">
            <w:pPr>
              <w:pStyle w:val="TableBodyText"/>
            </w:pPr>
            <w:r>
              <w:t>ca-ES</w:t>
            </w:r>
          </w:p>
        </w:tc>
      </w:tr>
      <w:tr w:rsidR="005F78FC" w:rsidTr="005F78FC">
        <w:tc>
          <w:tcPr>
            <w:tcW w:w="0" w:type="auto"/>
            <w:vAlign w:val="center"/>
          </w:tcPr>
          <w:p w:rsidR="005F78FC" w:rsidRDefault="00B42EF3">
            <w:pPr>
              <w:pStyle w:val="TableBodyText"/>
            </w:pPr>
            <w:r>
              <w:t xml:space="preserve">Cherokee - United States </w:t>
            </w:r>
          </w:p>
        </w:tc>
        <w:tc>
          <w:tcPr>
            <w:tcW w:w="0" w:type="auto"/>
            <w:vAlign w:val="center"/>
          </w:tcPr>
          <w:p w:rsidR="005F78FC" w:rsidRDefault="00B42EF3">
            <w:pPr>
              <w:pStyle w:val="TableBodyText"/>
            </w:pPr>
            <w:r>
              <w:t>chr-US</w:t>
            </w:r>
          </w:p>
        </w:tc>
      </w:tr>
      <w:tr w:rsidR="005F78FC" w:rsidTr="005F78FC">
        <w:tc>
          <w:tcPr>
            <w:tcW w:w="0" w:type="auto"/>
            <w:vAlign w:val="center"/>
          </w:tcPr>
          <w:p w:rsidR="005F78FC" w:rsidRDefault="00B42EF3">
            <w:pPr>
              <w:pStyle w:val="TableBodyText"/>
            </w:pPr>
            <w:r>
              <w:t xml:space="preserve">Czech </w:t>
            </w:r>
          </w:p>
        </w:tc>
        <w:tc>
          <w:tcPr>
            <w:tcW w:w="0" w:type="auto"/>
            <w:vAlign w:val="center"/>
          </w:tcPr>
          <w:p w:rsidR="005F78FC" w:rsidRDefault="00B42EF3">
            <w:pPr>
              <w:pStyle w:val="TableBodyText"/>
            </w:pPr>
            <w:r>
              <w:t>cs-CZ</w:t>
            </w:r>
          </w:p>
        </w:tc>
      </w:tr>
      <w:tr w:rsidR="005F78FC" w:rsidTr="005F78FC">
        <w:tc>
          <w:tcPr>
            <w:tcW w:w="0" w:type="auto"/>
            <w:vAlign w:val="center"/>
          </w:tcPr>
          <w:p w:rsidR="005F78FC" w:rsidRDefault="00B42EF3">
            <w:pPr>
              <w:pStyle w:val="TableBodyText"/>
            </w:pPr>
            <w:r>
              <w:t xml:space="preserve">Welsh </w:t>
            </w:r>
          </w:p>
        </w:tc>
        <w:tc>
          <w:tcPr>
            <w:tcW w:w="0" w:type="auto"/>
            <w:vAlign w:val="center"/>
          </w:tcPr>
          <w:p w:rsidR="005F78FC" w:rsidRDefault="00B42EF3">
            <w:pPr>
              <w:pStyle w:val="TableBodyText"/>
            </w:pPr>
            <w:r>
              <w:t>cy-GB</w:t>
            </w:r>
          </w:p>
        </w:tc>
      </w:tr>
      <w:tr w:rsidR="005F78FC" w:rsidTr="005F78FC">
        <w:tc>
          <w:tcPr>
            <w:tcW w:w="0" w:type="auto"/>
            <w:vAlign w:val="center"/>
          </w:tcPr>
          <w:p w:rsidR="005F78FC" w:rsidRDefault="00B42EF3">
            <w:pPr>
              <w:pStyle w:val="TableBodyText"/>
            </w:pPr>
            <w:r>
              <w:t xml:space="preserve">Danish </w:t>
            </w:r>
          </w:p>
        </w:tc>
        <w:tc>
          <w:tcPr>
            <w:tcW w:w="0" w:type="auto"/>
            <w:vAlign w:val="center"/>
          </w:tcPr>
          <w:p w:rsidR="005F78FC" w:rsidRDefault="00B42EF3">
            <w:pPr>
              <w:pStyle w:val="TableBodyText"/>
            </w:pPr>
            <w:r>
              <w:t>da-DK</w:t>
            </w:r>
          </w:p>
        </w:tc>
      </w:tr>
      <w:tr w:rsidR="005F78FC" w:rsidTr="005F78FC">
        <w:tc>
          <w:tcPr>
            <w:tcW w:w="0" w:type="auto"/>
            <w:vAlign w:val="center"/>
          </w:tcPr>
          <w:p w:rsidR="005F78FC" w:rsidRDefault="00B42EF3">
            <w:pPr>
              <w:pStyle w:val="TableBodyText"/>
            </w:pPr>
            <w:r>
              <w:t xml:space="preserve">German - Austria </w:t>
            </w:r>
          </w:p>
        </w:tc>
        <w:tc>
          <w:tcPr>
            <w:tcW w:w="0" w:type="auto"/>
            <w:vAlign w:val="center"/>
          </w:tcPr>
          <w:p w:rsidR="005F78FC" w:rsidRDefault="00B42EF3">
            <w:pPr>
              <w:pStyle w:val="TableBodyText"/>
            </w:pPr>
            <w:r>
              <w:t>de-AT</w:t>
            </w:r>
          </w:p>
        </w:tc>
      </w:tr>
      <w:tr w:rsidR="005F78FC" w:rsidTr="005F78FC">
        <w:tc>
          <w:tcPr>
            <w:tcW w:w="0" w:type="auto"/>
            <w:vAlign w:val="center"/>
          </w:tcPr>
          <w:p w:rsidR="005F78FC" w:rsidRDefault="00B42EF3">
            <w:pPr>
              <w:pStyle w:val="TableBodyText"/>
            </w:pPr>
            <w:r>
              <w:t xml:space="preserve">German - Switzerland </w:t>
            </w:r>
          </w:p>
        </w:tc>
        <w:tc>
          <w:tcPr>
            <w:tcW w:w="0" w:type="auto"/>
            <w:vAlign w:val="center"/>
          </w:tcPr>
          <w:p w:rsidR="005F78FC" w:rsidRDefault="00B42EF3">
            <w:pPr>
              <w:pStyle w:val="TableBodyText"/>
            </w:pPr>
            <w:r>
              <w:t>de-CH</w:t>
            </w:r>
          </w:p>
        </w:tc>
      </w:tr>
      <w:tr w:rsidR="005F78FC" w:rsidTr="005F78FC">
        <w:tc>
          <w:tcPr>
            <w:tcW w:w="0" w:type="auto"/>
            <w:vAlign w:val="center"/>
          </w:tcPr>
          <w:p w:rsidR="005F78FC" w:rsidRDefault="00B42EF3">
            <w:pPr>
              <w:pStyle w:val="TableBodyText"/>
            </w:pPr>
            <w:r>
              <w:t xml:space="preserve">German - Germany </w:t>
            </w:r>
          </w:p>
        </w:tc>
        <w:tc>
          <w:tcPr>
            <w:tcW w:w="0" w:type="auto"/>
            <w:vAlign w:val="center"/>
          </w:tcPr>
          <w:p w:rsidR="005F78FC" w:rsidRDefault="00B42EF3">
            <w:pPr>
              <w:pStyle w:val="TableBodyText"/>
            </w:pPr>
            <w:r>
              <w:t>de-DE</w:t>
            </w:r>
          </w:p>
        </w:tc>
      </w:tr>
      <w:tr w:rsidR="005F78FC" w:rsidTr="005F78FC">
        <w:tc>
          <w:tcPr>
            <w:tcW w:w="0" w:type="auto"/>
            <w:vAlign w:val="center"/>
          </w:tcPr>
          <w:p w:rsidR="005F78FC" w:rsidRDefault="00B42EF3">
            <w:pPr>
              <w:pStyle w:val="TableBodyText"/>
            </w:pPr>
            <w:r>
              <w:t xml:space="preserve">German - Liechtenstein </w:t>
            </w:r>
          </w:p>
        </w:tc>
        <w:tc>
          <w:tcPr>
            <w:tcW w:w="0" w:type="auto"/>
            <w:vAlign w:val="center"/>
          </w:tcPr>
          <w:p w:rsidR="005F78FC" w:rsidRDefault="00B42EF3">
            <w:pPr>
              <w:pStyle w:val="TableBodyText"/>
            </w:pPr>
            <w:r>
              <w:t>de-LI</w:t>
            </w:r>
          </w:p>
        </w:tc>
      </w:tr>
      <w:tr w:rsidR="005F78FC" w:rsidTr="005F78FC">
        <w:tc>
          <w:tcPr>
            <w:tcW w:w="0" w:type="auto"/>
            <w:vAlign w:val="center"/>
          </w:tcPr>
          <w:p w:rsidR="005F78FC" w:rsidRDefault="00B42EF3">
            <w:pPr>
              <w:pStyle w:val="TableBodyText"/>
            </w:pPr>
            <w:r>
              <w:t xml:space="preserve">German - Luxembourg </w:t>
            </w:r>
          </w:p>
        </w:tc>
        <w:tc>
          <w:tcPr>
            <w:tcW w:w="0" w:type="auto"/>
            <w:vAlign w:val="center"/>
          </w:tcPr>
          <w:p w:rsidR="005F78FC" w:rsidRDefault="00B42EF3">
            <w:pPr>
              <w:pStyle w:val="TableBodyText"/>
            </w:pPr>
            <w:r>
              <w:t>de-LU</w:t>
            </w:r>
          </w:p>
        </w:tc>
      </w:tr>
      <w:tr w:rsidR="005F78FC" w:rsidTr="005F78FC">
        <w:tc>
          <w:tcPr>
            <w:tcW w:w="0" w:type="auto"/>
            <w:vAlign w:val="center"/>
          </w:tcPr>
          <w:p w:rsidR="005F78FC" w:rsidRDefault="00B42EF3">
            <w:pPr>
              <w:pStyle w:val="TableBodyText"/>
            </w:pPr>
            <w:r>
              <w:t xml:space="preserve">Divehi </w:t>
            </w:r>
          </w:p>
        </w:tc>
        <w:tc>
          <w:tcPr>
            <w:tcW w:w="0" w:type="auto"/>
            <w:vAlign w:val="center"/>
          </w:tcPr>
          <w:p w:rsidR="005F78FC" w:rsidRDefault="00B42EF3">
            <w:pPr>
              <w:pStyle w:val="TableBodyText"/>
            </w:pPr>
            <w:r>
              <w:t>dv-MV</w:t>
            </w:r>
          </w:p>
        </w:tc>
      </w:tr>
      <w:tr w:rsidR="005F78FC" w:rsidTr="005F78FC">
        <w:tc>
          <w:tcPr>
            <w:tcW w:w="0" w:type="auto"/>
            <w:vAlign w:val="center"/>
          </w:tcPr>
          <w:p w:rsidR="005F78FC" w:rsidRDefault="00B42EF3">
            <w:pPr>
              <w:pStyle w:val="TableBodyText"/>
            </w:pPr>
            <w:r>
              <w:t xml:space="preserve">Greek </w:t>
            </w:r>
          </w:p>
        </w:tc>
        <w:tc>
          <w:tcPr>
            <w:tcW w:w="0" w:type="auto"/>
            <w:vAlign w:val="center"/>
          </w:tcPr>
          <w:p w:rsidR="005F78FC" w:rsidRDefault="00B42EF3">
            <w:pPr>
              <w:pStyle w:val="TableBodyText"/>
            </w:pPr>
            <w:r>
              <w:t>el-GR</w:t>
            </w:r>
          </w:p>
        </w:tc>
      </w:tr>
      <w:tr w:rsidR="005F78FC" w:rsidTr="005F78FC">
        <w:tc>
          <w:tcPr>
            <w:tcW w:w="0" w:type="auto"/>
            <w:vAlign w:val="center"/>
          </w:tcPr>
          <w:p w:rsidR="005F78FC" w:rsidRDefault="00B42EF3">
            <w:pPr>
              <w:pStyle w:val="TableBodyText"/>
            </w:pPr>
            <w:r>
              <w:t xml:space="preserve">English - Caribbean </w:t>
            </w:r>
          </w:p>
        </w:tc>
        <w:tc>
          <w:tcPr>
            <w:tcW w:w="0" w:type="auto"/>
            <w:vAlign w:val="center"/>
          </w:tcPr>
          <w:p w:rsidR="005F78FC" w:rsidRDefault="00B42EF3">
            <w:pPr>
              <w:pStyle w:val="TableBodyText"/>
            </w:pPr>
            <w:r>
              <w:t>en-029</w:t>
            </w:r>
          </w:p>
        </w:tc>
      </w:tr>
      <w:tr w:rsidR="005F78FC" w:rsidTr="005F78FC">
        <w:tc>
          <w:tcPr>
            <w:tcW w:w="0" w:type="auto"/>
            <w:vAlign w:val="center"/>
          </w:tcPr>
          <w:p w:rsidR="005F78FC" w:rsidRDefault="00B42EF3">
            <w:pPr>
              <w:pStyle w:val="TableBodyText"/>
            </w:pPr>
            <w:r>
              <w:t xml:space="preserve">English - Australia </w:t>
            </w:r>
          </w:p>
        </w:tc>
        <w:tc>
          <w:tcPr>
            <w:tcW w:w="0" w:type="auto"/>
            <w:vAlign w:val="center"/>
          </w:tcPr>
          <w:p w:rsidR="005F78FC" w:rsidRDefault="00B42EF3">
            <w:pPr>
              <w:pStyle w:val="TableBodyText"/>
            </w:pPr>
            <w:r>
              <w:t>en-AU</w:t>
            </w:r>
          </w:p>
        </w:tc>
      </w:tr>
      <w:tr w:rsidR="005F78FC" w:rsidTr="005F78FC">
        <w:tc>
          <w:tcPr>
            <w:tcW w:w="0" w:type="auto"/>
            <w:vAlign w:val="center"/>
          </w:tcPr>
          <w:p w:rsidR="005F78FC" w:rsidRDefault="00B42EF3">
            <w:pPr>
              <w:pStyle w:val="TableBodyText"/>
            </w:pPr>
            <w:r>
              <w:t xml:space="preserve">English - Belize </w:t>
            </w:r>
          </w:p>
        </w:tc>
        <w:tc>
          <w:tcPr>
            <w:tcW w:w="0" w:type="auto"/>
            <w:vAlign w:val="center"/>
          </w:tcPr>
          <w:p w:rsidR="005F78FC" w:rsidRDefault="00B42EF3">
            <w:pPr>
              <w:pStyle w:val="TableBodyText"/>
            </w:pPr>
            <w:r>
              <w:t>en-BZ</w:t>
            </w:r>
          </w:p>
        </w:tc>
      </w:tr>
      <w:tr w:rsidR="005F78FC" w:rsidTr="005F78FC">
        <w:tc>
          <w:tcPr>
            <w:tcW w:w="0" w:type="auto"/>
            <w:vAlign w:val="center"/>
          </w:tcPr>
          <w:p w:rsidR="005F78FC" w:rsidRDefault="00B42EF3">
            <w:pPr>
              <w:pStyle w:val="TableBodyText"/>
            </w:pPr>
            <w:r>
              <w:t xml:space="preserve">English - Canada </w:t>
            </w:r>
          </w:p>
        </w:tc>
        <w:tc>
          <w:tcPr>
            <w:tcW w:w="0" w:type="auto"/>
            <w:vAlign w:val="center"/>
          </w:tcPr>
          <w:p w:rsidR="005F78FC" w:rsidRDefault="00B42EF3">
            <w:pPr>
              <w:pStyle w:val="TableBodyText"/>
            </w:pPr>
            <w:r>
              <w:t>en-CA</w:t>
            </w:r>
          </w:p>
        </w:tc>
      </w:tr>
      <w:tr w:rsidR="005F78FC" w:rsidTr="005F78FC">
        <w:tc>
          <w:tcPr>
            <w:tcW w:w="0" w:type="auto"/>
            <w:vAlign w:val="center"/>
          </w:tcPr>
          <w:p w:rsidR="005F78FC" w:rsidRDefault="00B42EF3">
            <w:pPr>
              <w:pStyle w:val="TableBodyText"/>
            </w:pPr>
            <w:r>
              <w:t xml:space="preserve">English - United Kingdom </w:t>
            </w:r>
          </w:p>
        </w:tc>
        <w:tc>
          <w:tcPr>
            <w:tcW w:w="0" w:type="auto"/>
            <w:vAlign w:val="center"/>
          </w:tcPr>
          <w:p w:rsidR="005F78FC" w:rsidRDefault="00B42EF3">
            <w:pPr>
              <w:pStyle w:val="TableBodyText"/>
            </w:pPr>
            <w:r>
              <w:t>en-GB</w:t>
            </w:r>
          </w:p>
        </w:tc>
      </w:tr>
      <w:tr w:rsidR="005F78FC" w:rsidTr="005F78FC">
        <w:tc>
          <w:tcPr>
            <w:tcW w:w="0" w:type="auto"/>
            <w:vAlign w:val="center"/>
          </w:tcPr>
          <w:p w:rsidR="005F78FC" w:rsidRDefault="00B42EF3">
            <w:pPr>
              <w:pStyle w:val="TableBodyText"/>
            </w:pPr>
            <w:r>
              <w:lastRenderedPageBreak/>
              <w:t xml:space="preserve">English - Hong Kong SAR </w:t>
            </w:r>
          </w:p>
        </w:tc>
        <w:tc>
          <w:tcPr>
            <w:tcW w:w="0" w:type="auto"/>
            <w:vAlign w:val="center"/>
          </w:tcPr>
          <w:p w:rsidR="005F78FC" w:rsidRDefault="00B42EF3">
            <w:pPr>
              <w:pStyle w:val="TableBodyText"/>
            </w:pPr>
            <w:r>
              <w:t>en-HK</w:t>
            </w:r>
          </w:p>
        </w:tc>
      </w:tr>
      <w:tr w:rsidR="005F78FC" w:rsidTr="005F78FC">
        <w:tc>
          <w:tcPr>
            <w:tcW w:w="0" w:type="auto"/>
            <w:vAlign w:val="center"/>
          </w:tcPr>
          <w:p w:rsidR="005F78FC" w:rsidRDefault="00B42EF3">
            <w:pPr>
              <w:pStyle w:val="TableBodyText"/>
            </w:pPr>
            <w:r>
              <w:t xml:space="preserve">English - Indonesia </w:t>
            </w:r>
          </w:p>
        </w:tc>
        <w:tc>
          <w:tcPr>
            <w:tcW w:w="0" w:type="auto"/>
            <w:vAlign w:val="center"/>
          </w:tcPr>
          <w:p w:rsidR="005F78FC" w:rsidRDefault="00B42EF3">
            <w:pPr>
              <w:pStyle w:val="TableBodyText"/>
            </w:pPr>
            <w:r>
              <w:t>en-ID</w:t>
            </w:r>
          </w:p>
        </w:tc>
      </w:tr>
      <w:tr w:rsidR="005F78FC" w:rsidTr="005F78FC">
        <w:tc>
          <w:tcPr>
            <w:tcW w:w="0" w:type="auto"/>
            <w:vAlign w:val="center"/>
          </w:tcPr>
          <w:p w:rsidR="005F78FC" w:rsidRDefault="00B42EF3">
            <w:pPr>
              <w:pStyle w:val="TableBodyText"/>
            </w:pPr>
            <w:r>
              <w:t xml:space="preserve">English - Ireland </w:t>
            </w:r>
          </w:p>
        </w:tc>
        <w:tc>
          <w:tcPr>
            <w:tcW w:w="0" w:type="auto"/>
            <w:vAlign w:val="center"/>
          </w:tcPr>
          <w:p w:rsidR="005F78FC" w:rsidRDefault="00B42EF3">
            <w:pPr>
              <w:pStyle w:val="TableBodyText"/>
            </w:pPr>
            <w:r>
              <w:t>en-IE</w:t>
            </w:r>
          </w:p>
        </w:tc>
      </w:tr>
      <w:tr w:rsidR="005F78FC" w:rsidTr="005F78FC">
        <w:tc>
          <w:tcPr>
            <w:tcW w:w="0" w:type="auto"/>
            <w:vAlign w:val="center"/>
          </w:tcPr>
          <w:p w:rsidR="005F78FC" w:rsidRDefault="00B42EF3">
            <w:pPr>
              <w:pStyle w:val="TableBodyText"/>
            </w:pPr>
            <w:r>
              <w:t xml:space="preserve">English - India </w:t>
            </w:r>
          </w:p>
        </w:tc>
        <w:tc>
          <w:tcPr>
            <w:tcW w:w="0" w:type="auto"/>
            <w:vAlign w:val="center"/>
          </w:tcPr>
          <w:p w:rsidR="005F78FC" w:rsidRDefault="00B42EF3">
            <w:pPr>
              <w:pStyle w:val="TableBodyText"/>
            </w:pPr>
            <w:r>
              <w:t>en-IN</w:t>
            </w:r>
          </w:p>
        </w:tc>
      </w:tr>
      <w:tr w:rsidR="005F78FC" w:rsidTr="005F78FC">
        <w:tc>
          <w:tcPr>
            <w:tcW w:w="0" w:type="auto"/>
            <w:vAlign w:val="center"/>
          </w:tcPr>
          <w:p w:rsidR="005F78FC" w:rsidRDefault="00B42EF3">
            <w:pPr>
              <w:pStyle w:val="TableBodyText"/>
            </w:pPr>
            <w:r>
              <w:t xml:space="preserve">English - Jamaica </w:t>
            </w:r>
          </w:p>
        </w:tc>
        <w:tc>
          <w:tcPr>
            <w:tcW w:w="0" w:type="auto"/>
            <w:vAlign w:val="center"/>
          </w:tcPr>
          <w:p w:rsidR="005F78FC" w:rsidRDefault="00B42EF3">
            <w:pPr>
              <w:pStyle w:val="TableBodyText"/>
            </w:pPr>
            <w:r>
              <w:t>en-JM</w:t>
            </w:r>
          </w:p>
        </w:tc>
      </w:tr>
      <w:tr w:rsidR="005F78FC" w:rsidTr="005F78FC">
        <w:tc>
          <w:tcPr>
            <w:tcW w:w="0" w:type="auto"/>
            <w:vAlign w:val="center"/>
          </w:tcPr>
          <w:p w:rsidR="005F78FC" w:rsidRDefault="00B42EF3">
            <w:pPr>
              <w:pStyle w:val="TableBodyText"/>
            </w:pPr>
            <w:r>
              <w:t xml:space="preserve">English - Malaysia </w:t>
            </w:r>
          </w:p>
        </w:tc>
        <w:tc>
          <w:tcPr>
            <w:tcW w:w="0" w:type="auto"/>
            <w:vAlign w:val="center"/>
          </w:tcPr>
          <w:p w:rsidR="005F78FC" w:rsidRDefault="00B42EF3">
            <w:pPr>
              <w:pStyle w:val="TableBodyText"/>
            </w:pPr>
            <w:r>
              <w:t>en-MY</w:t>
            </w:r>
          </w:p>
        </w:tc>
      </w:tr>
      <w:tr w:rsidR="005F78FC" w:rsidTr="005F78FC">
        <w:tc>
          <w:tcPr>
            <w:tcW w:w="0" w:type="auto"/>
            <w:vAlign w:val="center"/>
          </w:tcPr>
          <w:p w:rsidR="005F78FC" w:rsidRDefault="00B42EF3">
            <w:pPr>
              <w:pStyle w:val="TableBodyText"/>
            </w:pPr>
            <w:r>
              <w:t xml:space="preserve">English - New Zealand </w:t>
            </w:r>
          </w:p>
        </w:tc>
        <w:tc>
          <w:tcPr>
            <w:tcW w:w="0" w:type="auto"/>
            <w:vAlign w:val="center"/>
          </w:tcPr>
          <w:p w:rsidR="005F78FC" w:rsidRDefault="00B42EF3">
            <w:pPr>
              <w:pStyle w:val="TableBodyText"/>
            </w:pPr>
            <w:r>
              <w:t>en-NZ</w:t>
            </w:r>
          </w:p>
        </w:tc>
      </w:tr>
      <w:tr w:rsidR="005F78FC" w:rsidTr="005F78FC">
        <w:tc>
          <w:tcPr>
            <w:tcW w:w="0" w:type="auto"/>
            <w:vAlign w:val="center"/>
          </w:tcPr>
          <w:p w:rsidR="005F78FC" w:rsidRDefault="00B42EF3">
            <w:pPr>
              <w:pStyle w:val="TableBodyText"/>
            </w:pPr>
            <w:r>
              <w:t xml:space="preserve">English - Philippines </w:t>
            </w:r>
          </w:p>
        </w:tc>
        <w:tc>
          <w:tcPr>
            <w:tcW w:w="0" w:type="auto"/>
            <w:vAlign w:val="center"/>
          </w:tcPr>
          <w:p w:rsidR="005F78FC" w:rsidRDefault="00B42EF3">
            <w:pPr>
              <w:pStyle w:val="TableBodyText"/>
            </w:pPr>
            <w:r>
              <w:t>en-PH</w:t>
            </w:r>
          </w:p>
        </w:tc>
      </w:tr>
      <w:tr w:rsidR="005F78FC" w:rsidTr="005F78FC">
        <w:tc>
          <w:tcPr>
            <w:tcW w:w="0" w:type="auto"/>
            <w:vAlign w:val="center"/>
          </w:tcPr>
          <w:p w:rsidR="005F78FC" w:rsidRDefault="00B42EF3">
            <w:pPr>
              <w:pStyle w:val="TableBodyText"/>
            </w:pPr>
            <w:r>
              <w:t xml:space="preserve">English - Singapore </w:t>
            </w:r>
          </w:p>
        </w:tc>
        <w:tc>
          <w:tcPr>
            <w:tcW w:w="0" w:type="auto"/>
            <w:vAlign w:val="center"/>
          </w:tcPr>
          <w:p w:rsidR="005F78FC" w:rsidRDefault="00B42EF3">
            <w:pPr>
              <w:pStyle w:val="TableBodyText"/>
            </w:pPr>
            <w:r>
              <w:t>en-SG</w:t>
            </w:r>
          </w:p>
        </w:tc>
      </w:tr>
      <w:tr w:rsidR="005F78FC" w:rsidTr="005F78FC">
        <w:tc>
          <w:tcPr>
            <w:tcW w:w="0" w:type="auto"/>
            <w:vAlign w:val="center"/>
          </w:tcPr>
          <w:p w:rsidR="005F78FC" w:rsidRDefault="00B42EF3">
            <w:pPr>
              <w:pStyle w:val="TableBodyText"/>
            </w:pPr>
            <w:r>
              <w:t xml:space="preserve">English - Trinidad </w:t>
            </w:r>
          </w:p>
        </w:tc>
        <w:tc>
          <w:tcPr>
            <w:tcW w:w="0" w:type="auto"/>
            <w:vAlign w:val="center"/>
          </w:tcPr>
          <w:p w:rsidR="005F78FC" w:rsidRDefault="00B42EF3">
            <w:pPr>
              <w:pStyle w:val="TableBodyText"/>
            </w:pPr>
            <w:r>
              <w:t>en-TT</w:t>
            </w:r>
          </w:p>
        </w:tc>
      </w:tr>
      <w:tr w:rsidR="005F78FC" w:rsidTr="005F78FC">
        <w:tc>
          <w:tcPr>
            <w:tcW w:w="0" w:type="auto"/>
            <w:vAlign w:val="center"/>
          </w:tcPr>
          <w:p w:rsidR="005F78FC" w:rsidRDefault="00B42EF3">
            <w:pPr>
              <w:pStyle w:val="TableBodyText"/>
            </w:pPr>
            <w:r>
              <w:t xml:space="preserve">English - United States </w:t>
            </w:r>
          </w:p>
        </w:tc>
        <w:tc>
          <w:tcPr>
            <w:tcW w:w="0" w:type="auto"/>
            <w:vAlign w:val="center"/>
          </w:tcPr>
          <w:p w:rsidR="005F78FC" w:rsidRDefault="00B42EF3">
            <w:pPr>
              <w:pStyle w:val="TableBodyText"/>
            </w:pPr>
            <w:r>
              <w:t>en-US</w:t>
            </w:r>
          </w:p>
        </w:tc>
      </w:tr>
      <w:tr w:rsidR="005F78FC" w:rsidTr="005F78FC">
        <w:tc>
          <w:tcPr>
            <w:tcW w:w="0" w:type="auto"/>
            <w:vAlign w:val="center"/>
          </w:tcPr>
          <w:p w:rsidR="005F78FC" w:rsidRDefault="00B42EF3">
            <w:pPr>
              <w:pStyle w:val="TableBodyText"/>
            </w:pPr>
            <w:r>
              <w:t xml:space="preserve">English - South Africa </w:t>
            </w:r>
          </w:p>
        </w:tc>
        <w:tc>
          <w:tcPr>
            <w:tcW w:w="0" w:type="auto"/>
            <w:vAlign w:val="center"/>
          </w:tcPr>
          <w:p w:rsidR="005F78FC" w:rsidRDefault="00B42EF3">
            <w:pPr>
              <w:pStyle w:val="TableBodyText"/>
            </w:pPr>
            <w:r>
              <w:t>en-ZA</w:t>
            </w:r>
          </w:p>
        </w:tc>
      </w:tr>
      <w:tr w:rsidR="005F78FC" w:rsidTr="005F78FC">
        <w:tc>
          <w:tcPr>
            <w:tcW w:w="0" w:type="auto"/>
            <w:vAlign w:val="center"/>
          </w:tcPr>
          <w:p w:rsidR="005F78FC" w:rsidRDefault="00B42EF3">
            <w:pPr>
              <w:pStyle w:val="TableBodyText"/>
            </w:pPr>
            <w:r>
              <w:t xml:space="preserve">English - Zimbabwe </w:t>
            </w:r>
          </w:p>
        </w:tc>
        <w:tc>
          <w:tcPr>
            <w:tcW w:w="0" w:type="auto"/>
            <w:vAlign w:val="center"/>
          </w:tcPr>
          <w:p w:rsidR="005F78FC" w:rsidRDefault="00B42EF3">
            <w:pPr>
              <w:pStyle w:val="TableBodyText"/>
            </w:pPr>
            <w:r>
              <w:t>en-ZW</w:t>
            </w:r>
          </w:p>
        </w:tc>
      </w:tr>
      <w:tr w:rsidR="005F78FC" w:rsidTr="005F78FC">
        <w:tc>
          <w:tcPr>
            <w:tcW w:w="0" w:type="auto"/>
            <w:vAlign w:val="center"/>
          </w:tcPr>
          <w:p w:rsidR="005F78FC" w:rsidRDefault="00B42EF3">
            <w:pPr>
              <w:pStyle w:val="TableBodyText"/>
            </w:pPr>
            <w:r>
              <w:t xml:space="preserve">Spanish - Latin America </w:t>
            </w:r>
          </w:p>
        </w:tc>
        <w:tc>
          <w:tcPr>
            <w:tcW w:w="0" w:type="auto"/>
            <w:vAlign w:val="center"/>
          </w:tcPr>
          <w:p w:rsidR="005F78FC" w:rsidRDefault="00B42EF3">
            <w:pPr>
              <w:pStyle w:val="TableBodyText"/>
            </w:pPr>
            <w:r>
              <w:t>es-419</w:t>
            </w:r>
          </w:p>
        </w:tc>
      </w:tr>
      <w:tr w:rsidR="005F78FC" w:rsidTr="005F78FC">
        <w:tc>
          <w:tcPr>
            <w:tcW w:w="0" w:type="auto"/>
            <w:vAlign w:val="center"/>
          </w:tcPr>
          <w:p w:rsidR="005F78FC" w:rsidRDefault="00B42EF3">
            <w:pPr>
              <w:pStyle w:val="TableBodyText"/>
            </w:pPr>
            <w:r>
              <w:t xml:space="preserve">Spanish - Argentina </w:t>
            </w:r>
          </w:p>
        </w:tc>
        <w:tc>
          <w:tcPr>
            <w:tcW w:w="0" w:type="auto"/>
            <w:vAlign w:val="center"/>
          </w:tcPr>
          <w:p w:rsidR="005F78FC" w:rsidRDefault="00B42EF3">
            <w:pPr>
              <w:pStyle w:val="TableBodyText"/>
            </w:pPr>
            <w:r>
              <w:t>es-AR</w:t>
            </w:r>
          </w:p>
        </w:tc>
      </w:tr>
      <w:tr w:rsidR="005F78FC" w:rsidTr="005F78FC">
        <w:tc>
          <w:tcPr>
            <w:tcW w:w="0" w:type="auto"/>
            <w:vAlign w:val="center"/>
          </w:tcPr>
          <w:p w:rsidR="005F78FC" w:rsidRDefault="00B42EF3">
            <w:pPr>
              <w:pStyle w:val="TableBodyText"/>
            </w:pPr>
            <w:r>
              <w:t xml:space="preserve">Spanish - Bolivia </w:t>
            </w:r>
          </w:p>
        </w:tc>
        <w:tc>
          <w:tcPr>
            <w:tcW w:w="0" w:type="auto"/>
            <w:vAlign w:val="center"/>
          </w:tcPr>
          <w:p w:rsidR="005F78FC" w:rsidRDefault="00B42EF3">
            <w:pPr>
              <w:pStyle w:val="TableBodyText"/>
            </w:pPr>
            <w:r>
              <w:t>es-BO</w:t>
            </w:r>
          </w:p>
        </w:tc>
      </w:tr>
      <w:tr w:rsidR="005F78FC" w:rsidTr="005F78FC">
        <w:tc>
          <w:tcPr>
            <w:tcW w:w="0" w:type="auto"/>
            <w:vAlign w:val="center"/>
          </w:tcPr>
          <w:p w:rsidR="005F78FC" w:rsidRDefault="00B42EF3">
            <w:pPr>
              <w:pStyle w:val="TableBodyText"/>
            </w:pPr>
            <w:r>
              <w:t xml:space="preserve">Spanish - Chile </w:t>
            </w:r>
          </w:p>
        </w:tc>
        <w:tc>
          <w:tcPr>
            <w:tcW w:w="0" w:type="auto"/>
            <w:vAlign w:val="center"/>
          </w:tcPr>
          <w:p w:rsidR="005F78FC" w:rsidRDefault="00B42EF3">
            <w:pPr>
              <w:pStyle w:val="TableBodyText"/>
            </w:pPr>
            <w:r>
              <w:t>es-CL</w:t>
            </w:r>
          </w:p>
        </w:tc>
      </w:tr>
      <w:tr w:rsidR="005F78FC" w:rsidTr="005F78FC">
        <w:tc>
          <w:tcPr>
            <w:tcW w:w="0" w:type="auto"/>
            <w:vAlign w:val="center"/>
          </w:tcPr>
          <w:p w:rsidR="005F78FC" w:rsidRDefault="00B42EF3">
            <w:pPr>
              <w:pStyle w:val="TableBodyText"/>
            </w:pPr>
            <w:r>
              <w:t xml:space="preserve">Spanish - Colombia </w:t>
            </w:r>
          </w:p>
        </w:tc>
        <w:tc>
          <w:tcPr>
            <w:tcW w:w="0" w:type="auto"/>
            <w:vAlign w:val="center"/>
          </w:tcPr>
          <w:p w:rsidR="005F78FC" w:rsidRDefault="00B42EF3">
            <w:pPr>
              <w:pStyle w:val="TableBodyText"/>
            </w:pPr>
            <w:r>
              <w:t>es-CO</w:t>
            </w:r>
          </w:p>
        </w:tc>
      </w:tr>
      <w:tr w:rsidR="005F78FC" w:rsidTr="005F78FC">
        <w:tc>
          <w:tcPr>
            <w:tcW w:w="0" w:type="auto"/>
            <w:vAlign w:val="center"/>
          </w:tcPr>
          <w:p w:rsidR="005F78FC" w:rsidRDefault="00B42EF3">
            <w:pPr>
              <w:pStyle w:val="TableBodyText"/>
            </w:pPr>
            <w:r>
              <w:t xml:space="preserve">Spanish - Costa Rica </w:t>
            </w:r>
          </w:p>
        </w:tc>
        <w:tc>
          <w:tcPr>
            <w:tcW w:w="0" w:type="auto"/>
            <w:vAlign w:val="center"/>
          </w:tcPr>
          <w:p w:rsidR="005F78FC" w:rsidRDefault="00B42EF3">
            <w:pPr>
              <w:pStyle w:val="TableBodyText"/>
            </w:pPr>
            <w:r>
              <w:t>es-CR</w:t>
            </w:r>
          </w:p>
        </w:tc>
      </w:tr>
      <w:tr w:rsidR="005F78FC" w:rsidTr="005F78FC">
        <w:tc>
          <w:tcPr>
            <w:tcW w:w="0" w:type="auto"/>
            <w:vAlign w:val="center"/>
          </w:tcPr>
          <w:p w:rsidR="005F78FC" w:rsidRDefault="00B42EF3">
            <w:pPr>
              <w:pStyle w:val="TableBodyText"/>
            </w:pPr>
            <w:r>
              <w:t xml:space="preserve">Spanish - Dominican Republic </w:t>
            </w:r>
          </w:p>
        </w:tc>
        <w:tc>
          <w:tcPr>
            <w:tcW w:w="0" w:type="auto"/>
            <w:vAlign w:val="center"/>
          </w:tcPr>
          <w:p w:rsidR="005F78FC" w:rsidRDefault="00B42EF3">
            <w:pPr>
              <w:pStyle w:val="TableBodyText"/>
            </w:pPr>
            <w:r>
              <w:t>es-DO</w:t>
            </w:r>
          </w:p>
        </w:tc>
      </w:tr>
      <w:tr w:rsidR="005F78FC" w:rsidTr="005F78FC">
        <w:tc>
          <w:tcPr>
            <w:tcW w:w="0" w:type="auto"/>
            <w:vAlign w:val="center"/>
          </w:tcPr>
          <w:p w:rsidR="005F78FC" w:rsidRDefault="00B42EF3">
            <w:pPr>
              <w:pStyle w:val="TableBodyText"/>
            </w:pPr>
            <w:r>
              <w:t xml:space="preserve">Spanish - Ecuador </w:t>
            </w:r>
          </w:p>
        </w:tc>
        <w:tc>
          <w:tcPr>
            <w:tcW w:w="0" w:type="auto"/>
            <w:vAlign w:val="center"/>
          </w:tcPr>
          <w:p w:rsidR="005F78FC" w:rsidRDefault="00B42EF3">
            <w:pPr>
              <w:pStyle w:val="TableBodyText"/>
            </w:pPr>
            <w:r>
              <w:t>es-EC</w:t>
            </w:r>
          </w:p>
        </w:tc>
      </w:tr>
      <w:tr w:rsidR="005F78FC" w:rsidTr="005F78FC">
        <w:tc>
          <w:tcPr>
            <w:tcW w:w="0" w:type="auto"/>
            <w:vAlign w:val="center"/>
          </w:tcPr>
          <w:p w:rsidR="005F78FC" w:rsidRDefault="00B42EF3">
            <w:pPr>
              <w:pStyle w:val="TableBodyText"/>
            </w:pPr>
            <w:r>
              <w:t xml:space="preserve">Spanish - Spain (Traditional Sort) </w:t>
            </w:r>
          </w:p>
        </w:tc>
        <w:tc>
          <w:tcPr>
            <w:tcW w:w="0" w:type="auto"/>
            <w:vAlign w:val="center"/>
          </w:tcPr>
          <w:p w:rsidR="005F78FC" w:rsidRDefault="00B42EF3">
            <w:pPr>
              <w:pStyle w:val="TableBodyText"/>
            </w:pPr>
            <w:r>
              <w:t>es-ES</w:t>
            </w:r>
          </w:p>
        </w:tc>
      </w:tr>
      <w:tr w:rsidR="005F78FC" w:rsidTr="005F78FC">
        <w:tc>
          <w:tcPr>
            <w:tcW w:w="0" w:type="auto"/>
            <w:vAlign w:val="center"/>
          </w:tcPr>
          <w:p w:rsidR="005F78FC" w:rsidRDefault="00B42EF3">
            <w:pPr>
              <w:pStyle w:val="TableBodyText"/>
            </w:pPr>
            <w:r>
              <w:t xml:space="preserve">Spanish - Spain (Modern Sort) </w:t>
            </w:r>
          </w:p>
        </w:tc>
        <w:tc>
          <w:tcPr>
            <w:tcW w:w="0" w:type="auto"/>
            <w:vAlign w:val="center"/>
          </w:tcPr>
          <w:p w:rsidR="005F78FC" w:rsidRDefault="00B42EF3">
            <w:pPr>
              <w:pStyle w:val="TableBodyText"/>
            </w:pPr>
            <w:r>
              <w:t>es-ES</w:t>
            </w:r>
          </w:p>
        </w:tc>
      </w:tr>
      <w:tr w:rsidR="005F78FC" w:rsidTr="005F78FC">
        <w:tc>
          <w:tcPr>
            <w:tcW w:w="0" w:type="auto"/>
            <w:vAlign w:val="center"/>
          </w:tcPr>
          <w:p w:rsidR="005F78FC" w:rsidRDefault="00B42EF3">
            <w:pPr>
              <w:pStyle w:val="TableBodyText"/>
            </w:pPr>
            <w:r>
              <w:t xml:space="preserve">Spanish - Guatemala </w:t>
            </w:r>
          </w:p>
        </w:tc>
        <w:tc>
          <w:tcPr>
            <w:tcW w:w="0" w:type="auto"/>
            <w:vAlign w:val="center"/>
          </w:tcPr>
          <w:p w:rsidR="005F78FC" w:rsidRDefault="00B42EF3">
            <w:pPr>
              <w:pStyle w:val="TableBodyText"/>
            </w:pPr>
            <w:r>
              <w:t>es-GT</w:t>
            </w:r>
          </w:p>
        </w:tc>
      </w:tr>
      <w:tr w:rsidR="005F78FC" w:rsidTr="005F78FC">
        <w:tc>
          <w:tcPr>
            <w:tcW w:w="0" w:type="auto"/>
            <w:vAlign w:val="center"/>
          </w:tcPr>
          <w:p w:rsidR="005F78FC" w:rsidRDefault="00B42EF3">
            <w:pPr>
              <w:pStyle w:val="TableBodyText"/>
            </w:pPr>
            <w:r>
              <w:t xml:space="preserve">Spanish - Honduras </w:t>
            </w:r>
          </w:p>
        </w:tc>
        <w:tc>
          <w:tcPr>
            <w:tcW w:w="0" w:type="auto"/>
            <w:vAlign w:val="center"/>
          </w:tcPr>
          <w:p w:rsidR="005F78FC" w:rsidRDefault="00B42EF3">
            <w:pPr>
              <w:pStyle w:val="TableBodyText"/>
            </w:pPr>
            <w:r>
              <w:t>es-HN</w:t>
            </w:r>
          </w:p>
        </w:tc>
      </w:tr>
      <w:tr w:rsidR="005F78FC" w:rsidTr="005F78FC">
        <w:tc>
          <w:tcPr>
            <w:tcW w:w="0" w:type="auto"/>
            <w:vAlign w:val="center"/>
          </w:tcPr>
          <w:p w:rsidR="005F78FC" w:rsidRDefault="00B42EF3">
            <w:pPr>
              <w:pStyle w:val="TableBodyText"/>
            </w:pPr>
            <w:r>
              <w:t xml:space="preserve">Spanish - Mexico </w:t>
            </w:r>
          </w:p>
        </w:tc>
        <w:tc>
          <w:tcPr>
            <w:tcW w:w="0" w:type="auto"/>
            <w:vAlign w:val="center"/>
          </w:tcPr>
          <w:p w:rsidR="005F78FC" w:rsidRDefault="00B42EF3">
            <w:pPr>
              <w:pStyle w:val="TableBodyText"/>
            </w:pPr>
            <w:r>
              <w:t>es-MX</w:t>
            </w:r>
          </w:p>
        </w:tc>
      </w:tr>
      <w:tr w:rsidR="005F78FC" w:rsidTr="005F78FC">
        <w:tc>
          <w:tcPr>
            <w:tcW w:w="0" w:type="auto"/>
            <w:vAlign w:val="center"/>
          </w:tcPr>
          <w:p w:rsidR="005F78FC" w:rsidRDefault="00B42EF3">
            <w:pPr>
              <w:pStyle w:val="TableBodyText"/>
            </w:pPr>
            <w:r>
              <w:t xml:space="preserve">Spanish - Nicaragua </w:t>
            </w:r>
          </w:p>
        </w:tc>
        <w:tc>
          <w:tcPr>
            <w:tcW w:w="0" w:type="auto"/>
            <w:vAlign w:val="center"/>
          </w:tcPr>
          <w:p w:rsidR="005F78FC" w:rsidRDefault="00B42EF3">
            <w:pPr>
              <w:pStyle w:val="TableBodyText"/>
            </w:pPr>
            <w:r>
              <w:t>es-NI</w:t>
            </w:r>
          </w:p>
        </w:tc>
      </w:tr>
      <w:tr w:rsidR="005F78FC" w:rsidTr="005F78FC">
        <w:tc>
          <w:tcPr>
            <w:tcW w:w="0" w:type="auto"/>
            <w:vAlign w:val="center"/>
          </w:tcPr>
          <w:p w:rsidR="005F78FC" w:rsidRDefault="00B42EF3">
            <w:pPr>
              <w:pStyle w:val="TableBodyText"/>
            </w:pPr>
            <w:r>
              <w:t xml:space="preserve">Spanish - Panama </w:t>
            </w:r>
          </w:p>
        </w:tc>
        <w:tc>
          <w:tcPr>
            <w:tcW w:w="0" w:type="auto"/>
            <w:vAlign w:val="center"/>
          </w:tcPr>
          <w:p w:rsidR="005F78FC" w:rsidRDefault="00B42EF3">
            <w:pPr>
              <w:pStyle w:val="TableBodyText"/>
            </w:pPr>
            <w:r>
              <w:t>es-PA</w:t>
            </w:r>
          </w:p>
        </w:tc>
      </w:tr>
      <w:tr w:rsidR="005F78FC" w:rsidTr="005F78FC">
        <w:tc>
          <w:tcPr>
            <w:tcW w:w="0" w:type="auto"/>
            <w:vAlign w:val="center"/>
          </w:tcPr>
          <w:p w:rsidR="005F78FC" w:rsidRDefault="00B42EF3">
            <w:pPr>
              <w:pStyle w:val="TableBodyText"/>
            </w:pPr>
            <w:r>
              <w:t xml:space="preserve">Spanish - Peru </w:t>
            </w:r>
          </w:p>
        </w:tc>
        <w:tc>
          <w:tcPr>
            <w:tcW w:w="0" w:type="auto"/>
            <w:vAlign w:val="center"/>
          </w:tcPr>
          <w:p w:rsidR="005F78FC" w:rsidRDefault="00B42EF3">
            <w:pPr>
              <w:pStyle w:val="TableBodyText"/>
            </w:pPr>
            <w:r>
              <w:t>es-PE</w:t>
            </w:r>
          </w:p>
        </w:tc>
      </w:tr>
      <w:tr w:rsidR="005F78FC" w:rsidTr="005F78FC">
        <w:tc>
          <w:tcPr>
            <w:tcW w:w="0" w:type="auto"/>
            <w:vAlign w:val="center"/>
          </w:tcPr>
          <w:p w:rsidR="005F78FC" w:rsidRDefault="00B42EF3">
            <w:pPr>
              <w:pStyle w:val="TableBodyText"/>
            </w:pPr>
            <w:r>
              <w:t xml:space="preserve">Spanish - Puerto Rico </w:t>
            </w:r>
          </w:p>
        </w:tc>
        <w:tc>
          <w:tcPr>
            <w:tcW w:w="0" w:type="auto"/>
            <w:vAlign w:val="center"/>
          </w:tcPr>
          <w:p w:rsidR="005F78FC" w:rsidRDefault="00B42EF3">
            <w:pPr>
              <w:pStyle w:val="TableBodyText"/>
            </w:pPr>
            <w:r>
              <w:t>es-PR</w:t>
            </w:r>
          </w:p>
        </w:tc>
      </w:tr>
      <w:tr w:rsidR="005F78FC" w:rsidTr="005F78FC">
        <w:tc>
          <w:tcPr>
            <w:tcW w:w="0" w:type="auto"/>
            <w:vAlign w:val="center"/>
          </w:tcPr>
          <w:p w:rsidR="005F78FC" w:rsidRDefault="00B42EF3">
            <w:pPr>
              <w:pStyle w:val="TableBodyText"/>
            </w:pPr>
            <w:r>
              <w:t xml:space="preserve">Spanish - Paraguay </w:t>
            </w:r>
          </w:p>
        </w:tc>
        <w:tc>
          <w:tcPr>
            <w:tcW w:w="0" w:type="auto"/>
            <w:vAlign w:val="center"/>
          </w:tcPr>
          <w:p w:rsidR="005F78FC" w:rsidRDefault="00B42EF3">
            <w:pPr>
              <w:pStyle w:val="TableBodyText"/>
            </w:pPr>
            <w:r>
              <w:t>es-PY</w:t>
            </w:r>
          </w:p>
        </w:tc>
      </w:tr>
      <w:tr w:rsidR="005F78FC" w:rsidTr="005F78FC">
        <w:tc>
          <w:tcPr>
            <w:tcW w:w="0" w:type="auto"/>
            <w:vAlign w:val="center"/>
          </w:tcPr>
          <w:p w:rsidR="005F78FC" w:rsidRDefault="00B42EF3">
            <w:pPr>
              <w:pStyle w:val="TableBodyText"/>
            </w:pPr>
            <w:r>
              <w:t xml:space="preserve">Spanish - El Salvador </w:t>
            </w:r>
          </w:p>
        </w:tc>
        <w:tc>
          <w:tcPr>
            <w:tcW w:w="0" w:type="auto"/>
            <w:vAlign w:val="center"/>
          </w:tcPr>
          <w:p w:rsidR="005F78FC" w:rsidRDefault="00B42EF3">
            <w:pPr>
              <w:pStyle w:val="TableBodyText"/>
            </w:pPr>
            <w:r>
              <w:t>es-SV</w:t>
            </w:r>
          </w:p>
        </w:tc>
      </w:tr>
      <w:tr w:rsidR="005F78FC" w:rsidTr="005F78FC">
        <w:tc>
          <w:tcPr>
            <w:tcW w:w="0" w:type="auto"/>
            <w:vAlign w:val="center"/>
          </w:tcPr>
          <w:p w:rsidR="005F78FC" w:rsidRDefault="00B42EF3">
            <w:pPr>
              <w:pStyle w:val="TableBodyText"/>
            </w:pPr>
            <w:r>
              <w:lastRenderedPageBreak/>
              <w:t xml:space="preserve">Spanish - United States </w:t>
            </w:r>
          </w:p>
        </w:tc>
        <w:tc>
          <w:tcPr>
            <w:tcW w:w="0" w:type="auto"/>
            <w:vAlign w:val="center"/>
          </w:tcPr>
          <w:p w:rsidR="005F78FC" w:rsidRDefault="00B42EF3">
            <w:pPr>
              <w:pStyle w:val="TableBodyText"/>
            </w:pPr>
            <w:r>
              <w:t>es-US</w:t>
            </w:r>
          </w:p>
        </w:tc>
      </w:tr>
      <w:tr w:rsidR="005F78FC" w:rsidTr="005F78FC">
        <w:tc>
          <w:tcPr>
            <w:tcW w:w="0" w:type="auto"/>
            <w:vAlign w:val="center"/>
          </w:tcPr>
          <w:p w:rsidR="005F78FC" w:rsidRDefault="00B42EF3">
            <w:pPr>
              <w:pStyle w:val="TableBodyText"/>
            </w:pPr>
            <w:r>
              <w:t xml:space="preserve">Spanish - Uruguay </w:t>
            </w:r>
          </w:p>
        </w:tc>
        <w:tc>
          <w:tcPr>
            <w:tcW w:w="0" w:type="auto"/>
            <w:vAlign w:val="center"/>
          </w:tcPr>
          <w:p w:rsidR="005F78FC" w:rsidRDefault="00B42EF3">
            <w:pPr>
              <w:pStyle w:val="TableBodyText"/>
            </w:pPr>
            <w:r>
              <w:t>es-UY</w:t>
            </w:r>
          </w:p>
        </w:tc>
      </w:tr>
      <w:tr w:rsidR="005F78FC" w:rsidTr="005F78FC">
        <w:tc>
          <w:tcPr>
            <w:tcW w:w="0" w:type="auto"/>
            <w:vAlign w:val="center"/>
          </w:tcPr>
          <w:p w:rsidR="005F78FC" w:rsidRDefault="00B42EF3">
            <w:pPr>
              <w:pStyle w:val="TableBodyText"/>
            </w:pPr>
            <w:r>
              <w:t xml:space="preserve">Spanish - Venezuela </w:t>
            </w:r>
          </w:p>
        </w:tc>
        <w:tc>
          <w:tcPr>
            <w:tcW w:w="0" w:type="auto"/>
            <w:vAlign w:val="center"/>
          </w:tcPr>
          <w:p w:rsidR="005F78FC" w:rsidRDefault="00B42EF3">
            <w:pPr>
              <w:pStyle w:val="TableBodyText"/>
            </w:pPr>
            <w:r>
              <w:t>es-VE</w:t>
            </w:r>
          </w:p>
        </w:tc>
      </w:tr>
      <w:tr w:rsidR="005F78FC" w:rsidTr="005F78FC">
        <w:tc>
          <w:tcPr>
            <w:tcW w:w="0" w:type="auto"/>
            <w:vAlign w:val="center"/>
          </w:tcPr>
          <w:p w:rsidR="005F78FC" w:rsidRDefault="00B42EF3">
            <w:pPr>
              <w:pStyle w:val="TableBodyText"/>
            </w:pPr>
            <w:r>
              <w:t xml:space="preserve">Estonian </w:t>
            </w:r>
          </w:p>
        </w:tc>
        <w:tc>
          <w:tcPr>
            <w:tcW w:w="0" w:type="auto"/>
            <w:vAlign w:val="center"/>
          </w:tcPr>
          <w:p w:rsidR="005F78FC" w:rsidRDefault="00B42EF3">
            <w:pPr>
              <w:pStyle w:val="TableBodyText"/>
            </w:pPr>
            <w:r>
              <w:t>et-EE</w:t>
            </w:r>
          </w:p>
        </w:tc>
      </w:tr>
      <w:tr w:rsidR="005F78FC" w:rsidTr="005F78FC">
        <w:tc>
          <w:tcPr>
            <w:tcW w:w="0" w:type="auto"/>
            <w:vAlign w:val="center"/>
          </w:tcPr>
          <w:p w:rsidR="005F78FC" w:rsidRDefault="00B42EF3">
            <w:pPr>
              <w:pStyle w:val="TableBodyText"/>
            </w:pPr>
            <w:r>
              <w:t xml:space="preserve">Basque </w:t>
            </w:r>
          </w:p>
        </w:tc>
        <w:tc>
          <w:tcPr>
            <w:tcW w:w="0" w:type="auto"/>
            <w:vAlign w:val="center"/>
          </w:tcPr>
          <w:p w:rsidR="005F78FC" w:rsidRDefault="00B42EF3">
            <w:pPr>
              <w:pStyle w:val="TableBodyText"/>
            </w:pPr>
            <w:r>
              <w:t>eu-ES</w:t>
            </w:r>
          </w:p>
        </w:tc>
      </w:tr>
      <w:tr w:rsidR="005F78FC" w:rsidTr="005F78FC">
        <w:tc>
          <w:tcPr>
            <w:tcW w:w="0" w:type="auto"/>
            <w:vAlign w:val="center"/>
          </w:tcPr>
          <w:p w:rsidR="005F78FC" w:rsidRDefault="00B42EF3">
            <w:pPr>
              <w:pStyle w:val="TableBodyText"/>
            </w:pPr>
            <w:r>
              <w:t xml:space="preserve">Persian </w:t>
            </w:r>
          </w:p>
        </w:tc>
        <w:tc>
          <w:tcPr>
            <w:tcW w:w="0" w:type="auto"/>
            <w:vAlign w:val="center"/>
          </w:tcPr>
          <w:p w:rsidR="005F78FC" w:rsidRDefault="00B42EF3">
            <w:pPr>
              <w:pStyle w:val="TableBodyText"/>
            </w:pPr>
            <w:r>
              <w:t>fa-IR</w:t>
            </w:r>
          </w:p>
        </w:tc>
      </w:tr>
      <w:tr w:rsidR="005F78FC" w:rsidTr="005F78FC">
        <w:tc>
          <w:tcPr>
            <w:tcW w:w="0" w:type="auto"/>
            <w:vAlign w:val="center"/>
          </w:tcPr>
          <w:p w:rsidR="005F78FC" w:rsidRDefault="00B42EF3">
            <w:pPr>
              <w:pStyle w:val="TableBodyText"/>
            </w:pPr>
            <w:r>
              <w:t xml:space="preserve">Finnish </w:t>
            </w:r>
          </w:p>
        </w:tc>
        <w:tc>
          <w:tcPr>
            <w:tcW w:w="0" w:type="auto"/>
            <w:vAlign w:val="center"/>
          </w:tcPr>
          <w:p w:rsidR="005F78FC" w:rsidRDefault="00B42EF3">
            <w:pPr>
              <w:pStyle w:val="TableBodyText"/>
            </w:pPr>
            <w:r>
              <w:t>fi-FI</w:t>
            </w:r>
          </w:p>
        </w:tc>
      </w:tr>
      <w:tr w:rsidR="005F78FC" w:rsidTr="005F78FC">
        <w:tc>
          <w:tcPr>
            <w:tcW w:w="0" w:type="auto"/>
            <w:vAlign w:val="center"/>
          </w:tcPr>
          <w:p w:rsidR="005F78FC" w:rsidRDefault="00B42EF3">
            <w:pPr>
              <w:pStyle w:val="TableBodyText"/>
            </w:pPr>
            <w:r>
              <w:t xml:space="preserve">Filipino </w:t>
            </w:r>
          </w:p>
        </w:tc>
        <w:tc>
          <w:tcPr>
            <w:tcW w:w="0" w:type="auto"/>
            <w:vAlign w:val="center"/>
          </w:tcPr>
          <w:p w:rsidR="005F78FC" w:rsidRDefault="00B42EF3">
            <w:pPr>
              <w:pStyle w:val="TableBodyText"/>
            </w:pPr>
            <w:r>
              <w:t>fil-PH</w:t>
            </w:r>
          </w:p>
        </w:tc>
      </w:tr>
      <w:tr w:rsidR="005F78FC" w:rsidTr="005F78FC">
        <w:tc>
          <w:tcPr>
            <w:tcW w:w="0" w:type="auto"/>
            <w:vAlign w:val="center"/>
          </w:tcPr>
          <w:p w:rsidR="005F78FC" w:rsidRDefault="00B42EF3">
            <w:pPr>
              <w:pStyle w:val="TableBodyText"/>
            </w:pPr>
            <w:r>
              <w:t xml:space="preserve">Faroese </w:t>
            </w:r>
          </w:p>
        </w:tc>
        <w:tc>
          <w:tcPr>
            <w:tcW w:w="0" w:type="auto"/>
            <w:vAlign w:val="center"/>
          </w:tcPr>
          <w:p w:rsidR="005F78FC" w:rsidRDefault="00B42EF3">
            <w:pPr>
              <w:pStyle w:val="TableBodyText"/>
            </w:pPr>
            <w:r>
              <w:t>fo-FO</w:t>
            </w:r>
          </w:p>
        </w:tc>
      </w:tr>
      <w:tr w:rsidR="005F78FC" w:rsidTr="005F78FC">
        <w:tc>
          <w:tcPr>
            <w:tcW w:w="0" w:type="auto"/>
            <w:vAlign w:val="center"/>
          </w:tcPr>
          <w:p w:rsidR="005F78FC" w:rsidRDefault="00B42EF3">
            <w:pPr>
              <w:pStyle w:val="TableBodyText"/>
            </w:pPr>
            <w:r>
              <w:t xml:space="preserve">French - North Africa </w:t>
            </w:r>
          </w:p>
        </w:tc>
        <w:tc>
          <w:tcPr>
            <w:tcW w:w="0" w:type="auto"/>
            <w:vAlign w:val="center"/>
          </w:tcPr>
          <w:p w:rsidR="005F78FC" w:rsidRDefault="00B42EF3">
            <w:pPr>
              <w:pStyle w:val="TableBodyText"/>
            </w:pPr>
            <w:r>
              <w:t>fr-015</w:t>
            </w:r>
          </w:p>
        </w:tc>
      </w:tr>
      <w:tr w:rsidR="005F78FC" w:rsidTr="005F78FC">
        <w:tc>
          <w:tcPr>
            <w:tcW w:w="0" w:type="auto"/>
            <w:vAlign w:val="center"/>
          </w:tcPr>
          <w:p w:rsidR="005F78FC" w:rsidRDefault="00B42EF3">
            <w:pPr>
              <w:pStyle w:val="TableBodyText"/>
            </w:pPr>
            <w:r>
              <w:t xml:space="preserve">French - West Indies </w:t>
            </w:r>
          </w:p>
        </w:tc>
        <w:tc>
          <w:tcPr>
            <w:tcW w:w="0" w:type="auto"/>
            <w:vAlign w:val="center"/>
          </w:tcPr>
          <w:p w:rsidR="005F78FC" w:rsidRDefault="00B42EF3">
            <w:pPr>
              <w:pStyle w:val="TableBodyText"/>
            </w:pPr>
            <w:r>
              <w:t>fr-029</w:t>
            </w:r>
          </w:p>
        </w:tc>
      </w:tr>
      <w:tr w:rsidR="005F78FC" w:rsidTr="005F78FC">
        <w:tc>
          <w:tcPr>
            <w:tcW w:w="0" w:type="auto"/>
            <w:vAlign w:val="center"/>
          </w:tcPr>
          <w:p w:rsidR="005F78FC" w:rsidRDefault="00B42EF3">
            <w:pPr>
              <w:pStyle w:val="TableBodyText"/>
            </w:pPr>
            <w:r>
              <w:t xml:space="preserve">French - Belgium </w:t>
            </w:r>
          </w:p>
        </w:tc>
        <w:tc>
          <w:tcPr>
            <w:tcW w:w="0" w:type="auto"/>
            <w:vAlign w:val="center"/>
          </w:tcPr>
          <w:p w:rsidR="005F78FC" w:rsidRDefault="00B42EF3">
            <w:pPr>
              <w:pStyle w:val="TableBodyText"/>
            </w:pPr>
            <w:r>
              <w:t>fr-BE</w:t>
            </w:r>
          </w:p>
        </w:tc>
      </w:tr>
      <w:tr w:rsidR="005F78FC" w:rsidTr="005F78FC">
        <w:tc>
          <w:tcPr>
            <w:tcW w:w="0" w:type="auto"/>
            <w:vAlign w:val="center"/>
          </w:tcPr>
          <w:p w:rsidR="005F78FC" w:rsidRDefault="00B42EF3">
            <w:pPr>
              <w:pStyle w:val="TableBodyText"/>
            </w:pPr>
            <w:r>
              <w:t xml:space="preserve">French - Canada </w:t>
            </w:r>
          </w:p>
        </w:tc>
        <w:tc>
          <w:tcPr>
            <w:tcW w:w="0" w:type="auto"/>
            <w:vAlign w:val="center"/>
          </w:tcPr>
          <w:p w:rsidR="005F78FC" w:rsidRDefault="00B42EF3">
            <w:pPr>
              <w:pStyle w:val="TableBodyText"/>
            </w:pPr>
            <w:r>
              <w:t>fr-CA</w:t>
            </w:r>
          </w:p>
        </w:tc>
      </w:tr>
      <w:tr w:rsidR="005F78FC" w:rsidTr="005F78FC">
        <w:tc>
          <w:tcPr>
            <w:tcW w:w="0" w:type="auto"/>
            <w:vAlign w:val="center"/>
          </w:tcPr>
          <w:p w:rsidR="005F78FC" w:rsidRDefault="00B42EF3">
            <w:pPr>
              <w:pStyle w:val="TableBodyText"/>
            </w:pPr>
            <w:r>
              <w:t xml:space="preserve">French - Democratic Republic of the Congo  </w:t>
            </w:r>
          </w:p>
        </w:tc>
        <w:tc>
          <w:tcPr>
            <w:tcW w:w="0" w:type="auto"/>
            <w:vAlign w:val="center"/>
          </w:tcPr>
          <w:p w:rsidR="005F78FC" w:rsidRDefault="00B42EF3">
            <w:pPr>
              <w:pStyle w:val="TableBodyText"/>
            </w:pPr>
            <w:r>
              <w:t>fr-CG</w:t>
            </w:r>
          </w:p>
        </w:tc>
      </w:tr>
      <w:tr w:rsidR="005F78FC" w:rsidTr="005F78FC">
        <w:tc>
          <w:tcPr>
            <w:tcW w:w="0" w:type="auto"/>
            <w:vAlign w:val="center"/>
          </w:tcPr>
          <w:p w:rsidR="005F78FC" w:rsidRDefault="00B42EF3">
            <w:pPr>
              <w:pStyle w:val="TableBodyText"/>
            </w:pPr>
            <w:r>
              <w:t xml:space="preserve">French - Switzerland </w:t>
            </w:r>
          </w:p>
        </w:tc>
        <w:tc>
          <w:tcPr>
            <w:tcW w:w="0" w:type="auto"/>
            <w:vAlign w:val="center"/>
          </w:tcPr>
          <w:p w:rsidR="005F78FC" w:rsidRDefault="00B42EF3">
            <w:pPr>
              <w:pStyle w:val="TableBodyText"/>
            </w:pPr>
            <w:r>
              <w:t>fr-CH</w:t>
            </w:r>
          </w:p>
        </w:tc>
      </w:tr>
      <w:tr w:rsidR="005F78FC" w:rsidTr="005F78FC">
        <w:tc>
          <w:tcPr>
            <w:tcW w:w="0" w:type="auto"/>
            <w:vAlign w:val="center"/>
          </w:tcPr>
          <w:p w:rsidR="005F78FC" w:rsidRDefault="00B42EF3">
            <w:pPr>
              <w:pStyle w:val="TableBodyText"/>
            </w:pPr>
            <w:r>
              <w:t xml:space="preserve">French - Cote d'Ivoire </w:t>
            </w:r>
          </w:p>
        </w:tc>
        <w:tc>
          <w:tcPr>
            <w:tcW w:w="0" w:type="auto"/>
            <w:vAlign w:val="center"/>
          </w:tcPr>
          <w:p w:rsidR="005F78FC" w:rsidRDefault="00B42EF3">
            <w:pPr>
              <w:pStyle w:val="TableBodyText"/>
            </w:pPr>
            <w:r>
              <w:t>fr-CI</w:t>
            </w:r>
          </w:p>
        </w:tc>
      </w:tr>
      <w:tr w:rsidR="005F78FC" w:rsidTr="005F78FC">
        <w:tc>
          <w:tcPr>
            <w:tcW w:w="0" w:type="auto"/>
            <w:vAlign w:val="center"/>
          </w:tcPr>
          <w:p w:rsidR="005F78FC" w:rsidRDefault="00B42EF3">
            <w:pPr>
              <w:pStyle w:val="TableBodyText"/>
            </w:pPr>
            <w:r>
              <w:t xml:space="preserve">French - Cameroon </w:t>
            </w:r>
          </w:p>
        </w:tc>
        <w:tc>
          <w:tcPr>
            <w:tcW w:w="0" w:type="auto"/>
            <w:vAlign w:val="center"/>
          </w:tcPr>
          <w:p w:rsidR="005F78FC" w:rsidRDefault="00B42EF3">
            <w:pPr>
              <w:pStyle w:val="TableBodyText"/>
            </w:pPr>
            <w:r>
              <w:t>fr-CM</w:t>
            </w:r>
          </w:p>
        </w:tc>
      </w:tr>
      <w:tr w:rsidR="005F78FC" w:rsidTr="005F78FC">
        <w:tc>
          <w:tcPr>
            <w:tcW w:w="0" w:type="auto"/>
            <w:vAlign w:val="center"/>
          </w:tcPr>
          <w:p w:rsidR="005F78FC" w:rsidRDefault="00B42EF3">
            <w:pPr>
              <w:pStyle w:val="TableBodyText"/>
            </w:pPr>
            <w:r>
              <w:t xml:space="preserve">French - France </w:t>
            </w:r>
          </w:p>
        </w:tc>
        <w:tc>
          <w:tcPr>
            <w:tcW w:w="0" w:type="auto"/>
            <w:vAlign w:val="center"/>
          </w:tcPr>
          <w:p w:rsidR="005F78FC" w:rsidRDefault="00B42EF3">
            <w:pPr>
              <w:pStyle w:val="TableBodyText"/>
            </w:pPr>
            <w:r>
              <w:t>fr-FR</w:t>
            </w:r>
          </w:p>
        </w:tc>
      </w:tr>
      <w:tr w:rsidR="005F78FC" w:rsidTr="005F78FC">
        <w:tc>
          <w:tcPr>
            <w:tcW w:w="0" w:type="auto"/>
            <w:vAlign w:val="center"/>
          </w:tcPr>
          <w:p w:rsidR="005F78FC" w:rsidRDefault="00B42EF3">
            <w:pPr>
              <w:pStyle w:val="TableBodyText"/>
            </w:pPr>
            <w:r>
              <w:t xml:space="preserve">French - Haiti </w:t>
            </w:r>
          </w:p>
        </w:tc>
        <w:tc>
          <w:tcPr>
            <w:tcW w:w="0" w:type="auto"/>
            <w:vAlign w:val="center"/>
          </w:tcPr>
          <w:p w:rsidR="005F78FC" w:rsidRDefault="00B42EF3">
            <w:pPr>
              <w:pStyle w:val="TableBodyText"/>
            </w:pPr>
            <w:r>
              <w:t>fr-HT</w:t>
            </w:r>
          </w:p>
        </w:tc>
      </w:tr>
      <w:tr w:rsidR="005F78FC" w:rsidTr="005F78FC">
        <w:tc>
          <w:tcPr>
            <w:tcW w:w="0" w:type="auto"/>
            <w:vAlign w:val="center"/>
          </w:tcPr>
          <w:p w:rsidR="005F78FC" w:rsidRDefault="00B42EF3">
            <w:pPr>
              <w:pStyle w:val="TableBodyText"/>
            </w:pPr>
            <w:r>
              <w:t xml:space="preserve">French - Luxembourg </w:t>
            </w:r>
          </w:p>
        </w:tc>
        <w:tc>
          <w:tcPr>
            <w:tcW w:w="0" w:type="auto"/>
            <w:vAlign w:val="center"/>
          </w:tcPr>
          <w:p w:rsidR="005F78FC" w:rsidRDefault="00B42EF3">
            <w:pPr>
              <w:pStyle w:val="TableBodyText"/>
            </w:pPr>
            <w:r>
              <w:t>fr-LU</w:t>
            </w:r>
          </w:p>
        </w:tc>
      </w:tr>
      <w:tr w:rsidR="005F78FC" w:rsidTr="005F78FC">
        <w:tc>
          <w:tcPr>
            <w:tcW w:w="0" w:type="auto"/>
            <w:vAlign w:val="center"/>
          </w:tcPr>
          <w:p w:rsidR="005F78FC" w:rsidRDefault="00B42EF3">
            <w:pPr>
              <w:pStyle w:val="TableBodyText"/>
            </w:pPr>
            <w:r>
              <w:t xml:space="preserve">French - Morocco </w:t>
            </w:r>
          </w:p>
        </w:tc>
        <w:tc>
          <w:tcPr>
            <w:tcW w:w="0" w:type="auto"/>
            <w:vAlign w:val="center"/>
          </w:tcPr>
          <w:p w:rsidR="005F78FC" w:rsidRDefault="00B42EF3">
            <w:pPr>
              <w:pStyle w:val="TableBodyText"/>
            </w:pPr>
            <w:r>
              <w:t>fr-MA</w:t>
            </w:r>
          </w:p>
        </w:tc>
      </w:tr>
      <w:tr w:rsidR="005F78FC" w:rsidTr="005F78FC">
        <w:tc>
          <w:tcPr>
            <w:tcW w:w="0" w:type="auto"/>
            <w:vAlign w:val="center"/>
          </w:tcPr>
          <w:p w:rsidR="005F78FC" w:rsidRDefault="00B42EF3">
            <w:pPr>
              <w:pStyle w:val="TableBodyText"/>
            </w:pPr>
            <w:r>
              <w:t xml:space="preserve">French - Monaco </w:t>
            </w:r>
          </w:p>
        </w:tc>
        <w:tc>
          <w:tcPr>
            <w:tcW w:w="0" w:type="auto"/>
            <w:vAlign w:val="center"/>
          </w:tcPr>
          <w:p w:rsidR="005F78FC" w:rsidRDefault="00B42EF3">
            <w:pPr>
              <w:pStyle w:val="TableBodyText"/>
            </w:pPr>
            <w:r>
              <w:t>fr-MC</w:t>
            </w:r>
          </w:p>
        </w:tc>
      </w:tr>
      <w:tr w:rsidR="005F78FC" w:rsidTr="005F78FC">
        <w:tc>
          <w:tcPr>
            <w:tcW w:w="0" w:type="auto"/>
            <w:vAlign w:val="center"/>
          </w:tcPr>
          <w:p w:rsidR="005F78FC" w:rsidRDefault="00B42EF3">
            <w:pPr>
              <w:pStyle w:val="TableBodyText"/>
            </w:pPr>
            <w:r>
              <w:t xml:space="preserve">French - Mali </w:t>
            </w:r>
          </w:p>
        </w:tc>
        <w:tc>
          <w:tcPr>
            <w:tcW w:w="0" w:type="auto"/>
            <w:vAlign w:val="center"/>
          </w:tcPr>
          <w:p w:rsidR="005F78FC" w:rsidRDefault="00B42EF3">
            <w:pPr>
              <w:pStyle w:val="TableBodyText"/>
            </w:pPr>
            <w:r>
              <w:t>fr-ML</w:t>
            </w:r>
          </w:p>
        </w:tc>
      </w:tr>
      <w:tr w:rsidR="005F78FC" w:rsidTr="005F78FC">
        <w:tc>
          <w:tcPr>
            <w:tcW w:w="0" w:type="auto"/>
            <w:vAlign w:val="center"/>
          </w:tcPr>
          <w:p w:rsidR="005F78FC" w:rsidRDefault="00B42EF3">
            <w:pPr>
              <w:pStyle w:val="TableBodyText"/>
            </w:pPr>
            <w:r>
              <w:t xml:space="preserve">French - Réunion </w:t>
            </w:r>
          </w:p>
        </w:tc>
        <w:tc>
          <w:tcPr>
            <w:tcW w:w="0" w:type="auto"/>
            <w:vAlign w:val="center"/>
          </w:tcPr>
          <w:p w:rsidR="005F78FC" w:rsidRDefault="00B42EF3">
            <w:pPr>
              <w:pStyle w:val="TableBodyText"/>
            </w:pPr>
            <w:r>
              <w:t>fr-RE</w:t>
            </w:r>
          </w:p>
        </w:tc>
      </w:tr>
      <w:tr w:rsidR="005F78FC" w:rsidTr="005F78FC">
        <w:tc>
          <w:tcPr>
            <w:tcW w:w="0" w:type="auto"/>
            <w:vAlign w:val="center"/>
          </w:tcPr>
          <w:p w:rsidR="005F78FC" w:rsidRDefault="00B42EF3">
            <w:pPr>
              <w:pStyle w:val="TableBodyText"/>
            </w:pPr>
            <w:r>
              <w:t xml:space="preserve">French - Senegal </w:t>
            </w:r>
          </w:p>
        </w:tc>
        <w:tc>
          <w:tcPr>
            <w:tcW w:w="0" w:type="auto"/>
            <w:vAlign w:val="center"/>
          </w:tcPr>
          <w:p w:rsidR="005F78FC" w:rsidRDefault="00B42EF3">
            <w:pPr>
              <w:pStyle w:val="TableBodyText"/>
            </w:pPr>
            <w:r>
              <w:t>fr-SN</w:t>
            </w:r>
          </w:p>
        </w:tc>
      </w:tr>
      <w:tr w:rsidR="005F78FC" w:rsidTr="005F78FC">
        <w:tc>
          <w:tcPr>
            <w:tcW w:w="0" w:type="auto"/>
            <w:vAlign w:val="center"/>
          </w:tcPr>
          <w:p w:rsidR="005F78FC" w:rsidRDefault="00B42EF3">
            <w:pPr>
              <w:pStyle w:val="TableBodyText"/>
            </w:pPr>
            <w:r>
              <w:t xml:space="preserve">Fulfulde - Nigeria </w:t>
            </w:r>
          </w:p>
        </w:tc>
        <w:tc>
          <w:tcPr>
            <w:tcW w:w="0" w:type="auto"/>
            <w:vAlign w:val="center"/>
          </w:tcPr>
          <w:p w:rsidR="005F78FC" w:rsidRDefault="00B42EF3">
            <w:pPr>
              <w:pStyle w:val="TableBodyText"/>
            </w:pPr>
            <w:r>
              <w:t>fuv-NG</w:t>
            </w:r>
          </w:p>
        </w:tc>
      </w:tr>
      <w:tr w:rsidR="005F78FC" w:rsidTr="005F78FC">
        <w:tc>
          <w:tcPr>
            <w:tcW w:w="0" w:type="auto"/>
            <w:vAlign w:val="center"/>
          </w:tcPr>
          <w:p w:rsidR="005F78FC" w:rsidRDefault="00B42EF3">
            <w:pPr>
              <w:pStyle w:val="TableBodyText"/>
            </w:pPr>
            <w:r>
              <w:t xml:space="preserve">Frisian - Netherlands </w:t>
            </w:r>
          </w:p>
        </w:tc>
        <w:tc>
          <w:tcPr>
            <w:tcW w:w="0" w:type="auto"/>
            <w:vAlign w:val="center"/>
          </w:tcPr>
          <w:p w:rsidR="005F78FC" w:rsidRDefault="00B42EF3">
            <w:pPr>
              <w:pStyle w:val="TableBodyText"/>
            </w:pPr>
            <w:r>
              <w:t>fy-NL</w:t>
            </w:r>
          </w:p>
        </w:tc>
      </w:tr>
      <w:tr w:rsidR="005F78FC" w:rsidTr="005F78FC">
        <w:tc>
          <w:tcPr>
            <w:tcW w:w="0" w:type="auto"/>
            <w:vAlign w:val="center"/>
          </w:tcPr>
          <w:p w:rsidR="005F78FC" w:rsidRDefault="00B42EF3">
            <w:pPr>
              <w:pStyle w:val="TableBodyText"/>
            </w:pPr>
            <w:r>
              <w:t xml:space="preserve">Irish (Ireland) </w:t>
            </w:r>
          </w:p>
        </w:tc>
        <w:tc>
          <w:tcPr>
            <w:tcW w:w="0" w:type="auto"/>
            <w:vAlign w:val="center"/>
          </w:tcPr>
          <w:p w:rsidR="005F78FC" w:rsidRDefault="00B42EF3">
            <w:pPr>
              <w:pStyle w:val="TableBodyText"/>
            </w:pPr>
            <w:r>
              <w:t>ga-IE</w:t>
            </w:r>
          </w:p>
        </w:tc>
      </w:tr>
      <w:tr w:rsidR="005F78FC" w:rsidTr="005F78FC">
        <w:tc>
          <w:tcPr>
            <w:tcW w:w="0" w:type="auto"/>
            <w:vAlign w:val="center"/>
          </w:tcPr>
          <w:p w:rsidR="005F78FC" w:rsidRDefault="00B42EF3">
            <w:pPr>
              <w:pStyle w:val="TableBodyText"/>
            </w:pPr>
            <w:r>
              <w:t xml:space="preserve">Oromo </w:t>
            </w:r>
          </w:p>
        </w:tc>
        <w:tc>
          <w:tcPr>
            <w:tcW w:w="0" w:type="auto"/>
            <w:vAlign w:val="center"/>
          </w:tcPr>
          <w:p w:rsidR="005F78FC" w:rsidRDefault="00B42EF3">
            <w:pPr>
              <w:pStyle w:val="TableBodyText"/>
            </w:pPr>
            <w:r>
              <w:t>gaz-ET</w:t>
            </w:r>
          </w:p>
        </w:tc>
      </w:tr>
      <w:tr w:rsidR="005F78FC" w:rsidTr="005F78FC">
        <w:tc>
          <w:tcPr>
            <w:tcW w:w="0" w:type="auto"/>
            <w:vAlign w:val="center"/>
          </w:tcPr>
          <w:p w:rsidR="005F78FC" w:rsidRDefault="00B42EF3">
            <w:pPr>
              <w:pStyle w:val="TableBodyText"/>
            </w:pPr>
            <w:r>
              <w:t xml:space="preserve">Scottish Gaelic (United Kingdom) </w:t>
            </w:r>
          </w:p>
        </w:tc>
        <w:tc>
          <w:tcPr>
            <w:tcW w:w="0" w:type="auto"/>
            <w:vAlign w:val="center"/>
          </w:tcPr>
          <w:p w:rsidR="005F78FC" w:rsidRDefault="00B42EF3">
            <w:pPr>
              <w:pStyle w:val="TableBodyText"/>
            </w:pPr>
            <w:r>
              <w:t>gd-GB</w:t>
            </w:r>
          </w:p>
        </w:tc>
      </w:tr>
      <w:tr w:rsidR="005F78FC" w:rsidTr="005F78FC">
        <w:tc>
          <w:tcPr>
            <w:tcW w:w="0" w:type="auto"/>
            <w:vAlign w:val="center"/>
          </w:tcPr>
          <w:p w:rsidR="005F78FC" w:rsidRDefault="00B42EF3">
            <w:pPr>
              <w:pStyle w:val="TableBodyText"/>
            </w:pPr>
            <w:r>
              <w:t xml:space="preserve">Galician </w:t>
            </w:r>
          </w:p>
        </w:tc>
        <w:tc>
          <w:tcPr>
            <w:tcW w:w="0" w:type="auto"/>
            <w:vAlign w:val="center"/>
          </w:tcPr>
          <w:p w:rsidR="005F78FC" w:rsidRDefault="00B42EF3">
            <w:pPr>
              <w:pStyle w:val="TableBodyText"/>
            </w:pPr>
            <w:r>
              <w:t>gl-ES</w:t>
            </w:r>
          </w:p>
        </w:tc>
      </w:tr>
      <w:tr w:rsidR="005F78FC" w:rsidTr="005F78FC">
        <w:tc>
          <w:tcPr>
            <w:tcW w:w="0" w:type="auto"/>
            <w:vAlign w:val="center"/>
          </w:tcPr>
          <w:p w:rsidR="005F78FC" w:rsidRDefault="00B42EF3">
            <w:pPr>
              <w:pStyle w:val="TableBodyText"/>
            </w:pPr>
            <w:r>
              <w:t xml:space="preserve">Guarani - Paraguay </w:t>
            </w:r>
          </w:p>
        </w:tc>
        <w:tc>
          <w:tcPr>
            <w:tcW w:w="0" w:type="auto"/>
            <w:vAlign w:val="center"/>
          </w:tcPr>
          <w:p w:rsidR="005F78FC" w:rsidRDefault="00B42EF3">
            <w:pPr>
              <w:pStyle w:val="TableBodyText"/>
            </w:pPr>
            <w:r>
              <w:t>gn-PY</w:t>
            </w:r>
          </w:p>
        </w:tc>
      </w:tr>
      <w:tr w:rsidR="005F78FC" w:rsidTr="005F78FC">
        <w:tc>
          <w:tcPr>
            <w:tcW w:w="0" w:type="auto"/>
            <w:vAlign w:val="center"/>
          </w:tcPr>
          <w:p w:rsidR="005F78FC" w:rsidRDefault="00B42EF3">
            <w:pPr>
              <w:pStyle w:val="TableBodyText"/>
            </w:pPr>
            <w:r>
              <w:lastRenderedPageBreak/>
              <w:t xml:space="preserve">Gujarati </w:t>
            </w:r>
          </w:p>
        </w:tc>
        <w:tc>
          <w:tcPr>
            <w:tcW w:w="0" w:type="auto"/>
            <w:vAlign w:val="center"/>
          </w:tcPr>
          <w:p w:rsidR="005F78FC" w:rsidRDefault="00B42EF3">
            <w:pPr>
              <w:pStyle w:val="TableBodyText"/>
            </w:pPr>
            <w:r>
              <w:t>gu-IN</w:t>
            </w:r>
          </w:p>
        </w:tc>
      </w:tr>
      <w:tr w:rsidR="005F78FC" w:rsidTr="005F78FC">
        <w:tc>
          <w:tcPr>
            <w:tcW w:w="0" w:type="auto"/>
            <w:vAlign w:val="center"/>
          </w:tcPr>
          <w:p w:rsidR="005F78FC" w:rsidRDefault="00B42EF3">
            <w:pPr>
              <w:pStyle w:val="TableBodyText"/>
            </w:pPr>
            <w:r>
              <w:t xml:space="preserve">Hausa - Nigeria </w:t>
            </w:r>
          </w:p>
        </w:tc>
        <w:tc>
          <w:tcPr>
            <w:tcW w:w="0" w:type="auto"/>
            <w:vAlign w:val="center"/>
          </w:tcPr>
          <w:p w:rsidR="005F78FC" w:rsidRDefault="00B42EF3">
            <w:pPr>
              <w:pStyle w:val="TableBodyText"/>
            </w:pPr>
            <w:r>
              <w:t>ha-Latn-NG</w:t>
            </w:r>
          </w:p>
        </w:tc>
      </w:tr>
      <w:tr w:rsidR="005F78FC" w:rsidTr="005F78FC">
        <w:tc>
          <w:tcPr>
            <w:tcW w:w="0" w:type="auto"/>
            <w:vAlign w:val="center"/>
          </w:tcPr>
          <w:p w:rsidR="005F78FC" w:rsidRDefault="00B42EF3">
            <w:pPr>
              <w:pStyle w:val="TableBodyText"/>
            </w:pPr>
            <w:r>
              <w:t xml:space="preserve">Hawaiian - United States </w:t>
            </w:r>
          </w:p>
        </w:tc>
        <w:tc>
          <w:tcPr>
            <w:tcW w:w="0" w:type="auto"/>
            <w:vAlign w:val="center"/>
          </w:tcPr>
          <w:p w:rsidR="005F78FC" w:rsidRDefault="00B42EF3">
            <w:pPr>
              <w:pStyle w:val="TableBodyText"/>
            </w:pPr>
            <w:r>
              <w:t>haw-US</w:t>
            </w:r>
          </w:p>
        </w:tc>
      </w:tr>
      <w:tr w:rsidR="005F78FC" w:rsidTr="005F78FC">
        <w:tc>
          <w:tcPr>
            <w:tcW w:w="0" w:type="auto"/>
            <w:vAlign w:val="center"/>
          </w:tcPr>
          <w:p w:rsidR="005F78FC" w:rsidRDefault="00B42EF3">
            <w:pPr>
              <w:pStyle w:val="TableBodyText"/>
            </w:pPr>
            <w:r>
              <w:t xml:space="preserve">Hebrew </w:t>
            </w:r>
          </w:p>
        </w:tc>
        <w:tc>
          <w:tcPr>
            <w:tcW w:w="0" w:type="auto"/>
            <w:vAlign w:val="center"/>
          </w:tcPr>
          <w:p w:rsidR="005F78FC" w:rsidRDefault="00B42EF3">
            <w:pPr>
              <w:pStyle w:val="TableBodyText"/>
            </w:pPr>
            <w:r>
              <w:t>he-IL</w:t>
            </w:r>
          </w:p>
        </w:tc>
      </w:tr>
      <w:tr w:rsidR="005F78FC" w:rsidTr="005F78FC">
        <w:tc>
          <w:tcPr>
            <w:tcW w:w="0" w:type="auto"/>
            <w:vAlign w:val="center"/>
          </w:tcPr>
          <w:p w:rsidR="005F78FC" w:rsidRDefault="00B42EF3">
            <w:pPr>
              <w:pStyle w:val="TableBodyText"/>
            </w:pPr>
            <w:r>
              <w:t xml:space="preserve">Hindi </w:t>
            </w:r>
          </w:p>
        </w:tc>
        <w:tc>
          <w:tcPr>
            <w:tcW w:w="0" w:type="auto"/>
            <w:vAlign w:val="center"/>
          </w:tcPr>
          <w:p w:rsidR="005F78FC" w:rsidRDefault="00B42EF3">
            <w:pPr>
              <w:pStyle w:val="TableBodyText"/>
            </w:pPr>
            <w:r>
              <w:t>hi-IN</w:t>
            </w:r>
          </w:p>
        </w:tc>
      </w:tr>
      <w:tr w:rsidR="005F78FC" w:rsidTr="005F78FC">
        <w:tc>
          <w:tcPr>
            <w:tcW w:w="0" w:type="auto"/>
            <w:vAlign w:val="center"/>
          </w:tcPr>
          <w:p w:rsidR="005F78FC" w:rsidRDefault="00B42EF3">
            <w:pPr>
              <w:pStyle w:val="TableBodyText"/>
            </w:pPr>
            <w:r>
              <w:t xml:space="preserve">Croatian (Bosnia and Herzegovina) </w:t>
            </w:r>
          </w:p>
        </w:tc>
        <w:tc>
          <w:tcPr>
            <w:tcW w:w="0" w:type="auto"/>
            <w:vAlign w:val="center"/>
          </w:tcPr>
          <w:p w:rsidR="005F78FC" w:rsidRDefault="00B42EF3">
            <w:pPr>
              <w:pStyle w:val="TableBodyText"/>
            </w:pPr>
            <w:r>
              <w:t>hr-BA</w:t>
            </w:r>
          </w:p>
        </w:tc>
      </w:tr>
      <w:tr w:rsidR="005F78FC" w:rsidTr="005F78FC">
        <w:tc>
          <w:tcPr>
            <w:tcW w:w="0" w:type="auto"/>
            <w:vAlign w:val="center"/>
          </w:tcPr>
          <w:p w:rsidR="005F78FC" w:rsidRDefault="00B42EF3">
            <w:pPr>
              <w:pStyle w:val="TableBodyText"/>
            </w:pPr>
            <w:r>
              <w:t xml:space="preserve">Croatian </w:t>
            </w:r>
          </w:p>
        </w:tc>
        <w:tc>
          <w:tcPr>
            <w:tcW w:w="0" w:type="auto"/>
            <w:vAlign w:val="center"/>
          </w:tcPr>
          <w:p w:rsidR="005F78FC" w:rsidRDefault="00B42EF3">
            <w:pPr>
              <w:pStyle w:val="TableBodyText"/>
            </w:pPr>
            <w:r>
              <w:t>hr-HR</w:t>
            </w:r>
          </w:p>
        </w:tc>
      </w:tr>
      <w:tr w:rsidR="005F78FC" w:rsidTr="005F78FC">
        <w:tc>
          <w:tcPr>
            <w:tcW w:w="0" w:type="auto"/>
            <w:vAlign w:val="center"/>
          </w:tcPr>
          <w:p w:rsidR="005F78FC" w:rsidRDefault="00B42EF3">
            <w:pPr>
              <w:pStyle w:val="TableBodyText"/>
            </w:pPr>
            <w:r>
              <w:t xml:space="preserve">Hungarian </w:t>
            </w:r>
          </w:p>
        </w:tc>
        <w:tc>
          <w:tcPr>
            <w:tcW w:w="0" w:type="auto"/>
            <w:vAlign w:val="center"/>
          </w:tcPr>
          <w:p w:rsidR="005F78FC" w:rsidRDefault="00B42EF3">
            <w:pPr>
              <w:pStyle w:val="TableBodyText"/>
            </w:pPr>
            <w:r>
              <w:t>hu-HU</w:t>
            </w:r>
          </w:p>
        </w:tc>
      </w:tr>
      <w:tr w:rsidR="005F78FC" w:rsidTr="005F78FC">
        <w:tc>
          <w:tcPr>
            <w:tcW w:w="0" w:type="auto"/>
            <w:vAlign w:val="center"/>
          </w:tcPr>
          <w:p w:rsidR="005F78FC" w:rsidRDefault="00B42EF3">
            <w:pPr>
              <w:pStyle w:val="TableBodyText"/>
            </w:pPr>
            <w:r>
              <w:t xml:space="preserve">Armenian - Armenia </w:t>
            </w:r>
          </w:p>
        </w:tc>
        <w:tc>
          <w:tcPr>
            <w:tcW w:w="0" w:type="auto"/>
            <w:vAlign w:val="center"/>
          </w:tcPr>
          <w:p w:rsidR="005F78FC" w:rsidRDefault="00B42EF3">
            <w:pPr>
              <w:pStyle w:val="TableBodyText"/>
            </w:pPr>
            <w:r>
              <w:t>hy-AM</w:t>
            </w:r>
          </w:p>
        </w:tc>
      </w:tr>
      <w:tr w:rsidR="005F78FC" w:rsidTr="005F78FC">
        <w:tc>
          <w:tcPr>
            <w:tcW w:w="0" w:type="auto"/>
            <w:vAlign w:val="center"/>
          </w:tcPr>
          <w:p w:rsidR="005F78FC" w:rsidRDefault="00B42EF3">
            <w:pPr>
              <w:pStyle w:val="TableBodyText"/>
            </w:pPr>
            <w:r>
              <w:t xml:space="preserve">Ibibio - Nigeria </w:t>
            </w:r>
          </w:p>
        </w:tc>
        <w:tc>
          <w:tcPr>
            <w:tcW w:w="0" w:type="auto"/>
            <w:vAlign w:val="center"/>
          </w:tcPr>
          <w:p w:rsidR="005F78FC" w:rsidRDefault="00B42EF3">
            <w:pPr>
              <w:pStyle w:val="TableBodyText"/>
            </w:pPr>
            <w:r>
              <w:t>ibb-NG</w:t>
            </w:r>
          </w:p>
        </w:tc>
      </w:tr>
      <w:tr w:rsidR="005F78FC" w:rsidTr="005F78FC">
        <w:tc>
          <w:tcPr>
            <w:tcW w:w="0" w:type="auto"/>
            <w:vAlign w:val="center"/>
          </w:tcPr>
          <w:p w:rsidR="005F78FC" w:rsidRDefault="00B42EF3">
            <w:pPr>
              <w:pStyle w:val="TableBodyText"/>
            </w:pPr>
            <w:r>
              <w:t xml:space="preserve">Indonesian </w:t>
            </w:r>
          </w:p>
        </w:tc>
        <w:tc>
          <w:tcPr>
            <w:tcW w:w="0" w:type="auto"/>
            <w:vAlign w:val="center"/>
          </w:tcPr>
          <w:p w:rsidR="005F78FC" w:rsidRDefault="00B42EF3">
            <w:pPr>
              <w:pStyle w:val="TableBodyText"/>
            </w:pPr>
            <w:r>
              <w:t>id-ID</w:t>
            </w:r>
          </w:p>
        </w:tc>
      </w:tr>
      <w:tr w:rsidR="005F78FC" w:rsidTr="005F78FC">
        <w:tc>
          <w:tcPr>
            <w:tcW w:w="0" w:type="auto"/>
            <w:vAlign w:val="center"/>
          </w:tcPr>
          <w:p w:rsidR="005F78FC" w:rsidRDefault="00B42EF3">
            <w:pPr>
              <w:pStyle w:val="TableBodyText"/>
            </w:pPr>
            <w:r>
              <w:t xml:space="preserve">Igbo - Nigeria </w:t>
            </w:r>
          </w:p>
        </w:tc>
        <w:tc>
          <w:tcPr>
            <w:tcW w:w="0" w:type="auto"/>
            <w:vAlign w:val="center"/>
          </w:tcPr>
          <w:p w:rsidR="005F78FC" w:rsidRDefault="00B42EF3">
            <w:pPr>
              <w:pStyle w:val="TableBodyText"/>
            </w:pPr>
            <w:r>
              <w:t>ig-NG</w:t>
            </w:r>
          </w:p>
        </w:tc>
      </w:tr>
      <w:tr w:rsidR="005F78FC" w:rsidTr="005F78FC">
        <w:tc>
          <w:tcPr>
            <w:tcW w:w="0" w:type="auto"/>
            <w:vAlign w:val="center"/>
          </w:tcPr>
          <w:p w:rsidR="005F78FC" w:rsidRDefault="00B42EF3">
            <w:pPr>
              <w:pStyle w:val="TableBodyText"/>
            </w:pPr>
            <w:r>
              <w:t xml:space="preserve">Yi </w:t>
            </w:r>
          </w:p>
        </w:tc>
        <w:tc>
          <w:tcPr>
            <w:tcW w:w="0" w:type="auto"/>
            <w:vAlign w:val="center"/>
          </w:tcPr>
          <w:p w:rsidR="005F78FC" w:rsidRDefault="00B42EF3">
            <w:pPr>
              <w:pStyle w:val="TableBodyText"/>
            </w:pPr>
            <w:r>
              <w:t>ii-CN</w:t>
            </w:r>
          </w:p>
        </w:tc>
      </w:tr>
      <w:tr w:rsidR="005F78FC" w:rsidTr="005F78FC">
        <w:tc>
          <w:tcPr>
            <w:tcW w:w="0" w:type="auto"/>
            <w:vAlign w:val="center"/>
          </w:tcPr>
          <w:p w:rsidR="005F78FC" w:rsidRDefault="00B42EF3">
            <w:pPr>
              <w:pStyle w:val="TableBodyText"/>
            </w:pPr>
            <w:r>
              <w:t xml:space="preserve">Icelandic </w:t>
            </w:r>
          </w:p>
        </w:tc>
        <w:tc>
          <w:tcPr>
            <w:tcW w:w="0" w:type="auto"/>
            <w:vAlign w:val="center"/>
          </w:tcPr>
          <w:p w:rsidR="005F78FC" w:rsidRDefault="00B42EF3">
            <w:pPr>
              <w:pStyle w:val="TableBodyText"/>
            </w:pPr>
            <w:r>
              <w:t>is-IS</w:t>
            </w:r>
          </w:p>
        </w:tc>
      </w:tr>
      <w:tr w:rsidR="005F78FC" w:rsidTr="005F78FC">
        <w:tc>
          <w:tcPr>
            <w:tcW w:w="0" w:type="auto"/>
            <w:vAlign w:val="center"/>
          </w:tcPr>
          <w:p w:rsidR="005F78FC" w:rsidRDefault="00B42EF3">
            <w:pPr>
              <w:pStyle w:val="TableBodyText"/>
            </w:pPr>
            <w:r>
              <w:t xml:space="preserve">Italian - Switzerland </w:t>
            </w:r>
          </w:p>
        </w:tc>
        <w:tc>
          <w:tcPr>
            <w:tcW w:w="0" w:type="auto"/>
            <w:vAlign w:val="center"/>
          </w:tcPr>
          <w:p w:rsidR="005F78FC" w:rsidRDefault="00B42EF3">
            <w:pPr>
              <w:pStyle w:val="TableBodyText"/>
            </w:pPr>
            <w:r>
              <w:t>it-CH</w:t>
            </w:r>
          </w:p>
        </w:tc>
      </w:tr>
      <w:tr w:rsidR="005F78FC" w:rsidTr="005F78FC">
        <w:tc>
          <w:tcPr>
            <w:tcW w:w="0" w:type="auto"/>
            <w:vAlign w:val="center"/>
          </w:tcPr>
          <w:p w:rsidR="005F78FC" w:rsidRDefault="00B42EF3">
            <w:pPr>
              <w:pStyle w:val="TableBodyText"/>
            </w:pPr>
            <w:r>
              <w:t xml:space="preserve">Italian - Italy </w:t>
            </w:r>
          </w:p>
        </w:tc>
        <w:tc>
          <w:tcPr>
            <w:tcW w:w="0" w:type="auto"/>
            <w:vAlign w:val="center"/>
          </w:tcPr>
          <w:p w:rsidR="005F78FC" w:rsidRDefault="00B42EF3">
            <w:pPr>
              <w:pStyle w:val="TableBodyText"/>
            </w:pPr>
            <w:r>
              <w:t>it-IT</w:t>
            </w:r>
          </w:p>
        </w:tc>
      </w:tr>
      <w:tr w:rsidR="005F78FC" w:rsidTr="005F78FC">
        <w:tc>
          <w:tcPr>
            <w:tcW w:w="0" w:type="auto"/>
            <w:vAlign w:val="center"/>
          </w:tcPr>
          <w:p w:rsidR="005F78FC" w:rsidRDefault="00B42EF3">
            <w:pPr>
              <w:pStyle w:val="TableBodyText"/>
            </w:pPr>
            <w:r>
              <w:t xml:space="preserve">Inuktitut </w:t>
            </w:r>
          </w:p>
        </w:tc>
        <w:tc>
          <w:tcPr>
            <w:tcW w:w="0" w:type="auto"/>
            <w:vAlign w:val="center"/>
          </w:tcPr>
          <w:p w:rsidR="005F78FC" w:rsidRDefault="00B42EF3">
            <w:pPr>
              <w:pStyle w:val="TableBodyText"/>
            </w:pPr>
            <w:r>
              <w:t>iu-Cans-CA</w:t>
            </w:r>
          </w:p>
        </w:tc>
      </w:tr>
      <w:tr w:rsidR="005F78FC" w:rsidTr="005F78FC">
        <w:tc>
          <w:tcPr>
            <w:tcW w:w="0" w:type="auto"/>
            <w:vAlign w:val="center"/>
          </w:tcPr>
          <w:p w:rsidR="005F78FC" w:rsidRDefault="00B42EF3">
            <w:pPr>
              <w:pStyle w:val="TableBodyText"/>
            </w:pPr>
            <w:r>
              <w:t xml:space="preserve">Japanese </w:t>
            </w:r>
          </w:p>
        </w:tc>
        <w:tc>
          <w:tcPr>
            <w:tcW w:w="0" w:type="auto"/>
            <w:vAlign w:val="center"/>
          </w:tcPr>
          <w:p w:rsidR="005F78FC" w:rsidRDefault="00B42EF3">
            <w:pPr>
              <w:pStyle w:val="TableBodyText"/>
            </w:pPr>
            <w:r>
              <w:t>ja-JP</w:t>
            </w:r>
          </w:p>
        </w:tc>
      </w:tr>
      <w:tr w:rsidR="005F78FC" w:rsidTr="005F78FC">
        <w:tc>
          <w:tcPr>
            <w:tcW w:w="0" w:type="auto"/>
            <w:vAlign w:val="center"/>
          </w:tcPr>
          <w:p w:rsidR="005F78FC" w:rsidRDefault="00B42EF3">
            <w:pPr>
              <w:pStyle w:val="TableBodyText"/>
            </w:pPr>
            <w:r>
              <w:t xml:space="preserve">Georgian </w:t>
            </w:r>
          </w:p>
        </w:tc>
        <w:tc>
          <w:tcPr>
            <w:tcW w:w="0" w:type="auto"/>
            <w:vAlign w:val="center"/>
          </w:tcPr>
          <w:p w:rsidR="005F78FC" w:rsidRDefault="00B42EF3">
            <w:pPr>
              <w:pStyle w:val="TableBodyText"/>
            </w:pPr>
            <w:r>
              <w:t>ka-GE</w:t>
            </w:r>
          </w:p>
        </w:tc>
      </w:tr>
      <w:tr w:rsidR="005F78FC" w:rsidTr="005F78FC">
        <w:tc>
          <w:tcPr>
            <w:tcW w:w="0" w:type="auto"/>
            <w:vAlign w:val="center"/>
          </w:tcPr>
          <w:p w:rsidR="005F78FC" w:rsidRDefault="00B42EF3">
            <w:pPr>
              <w:pStyle w:val="TableBodyText"/>
            </w:pPr>
            <w:r>
              <w:t xml:space="preserve">Kazakh </w:t>
            </w:r>
          </w:p>
        </w:tc>
        <w:tc>
          <w:tcPr>
            <w:tcW w:w="0" w:type="auto"/>
            <w:vAlign w:val="center"/>
          </w:tcPr>
          <w:p w:rsidR="005F78FC" w:rsidRDefault="00B42EF3">
            <w:pPr>
              <w:pStyle w:val="TableBodyText"/>
            </w:pPr>
            <w:r>
              <w:t>kk-KZ</w:t>
            </w:r>
          </w:p>
        </w:tc>
      </w:tr>
      <w:tr w:rsidR="005F78FC" w:rsidTr="005F78FC">
        <w:tc>
          <w:tcPr>
            <w:tcW w:w="0" w:type="auto"/>
            <w:vAlign w:val="center"/>
          </w:tcPr>
          <w:p w:rsidR="005F78FC" w:rsidRDefault="00B42EF3">
            <w:pPr>
              <w:pStyle w:val="TableBodyText"/>
            </w:pPr>
            <w:r>
              <w:t xml:space="preserve">Khmer </w:t>
            </w:r>
          </w:p>
        </w:tc>
        <w:tc>
          <w:tcPr>
            <w:tcW w:w="0" w:type="auto"/>
            <w:vAlign w:val="center"/>
          </w:tcPr>
          <w:p w:rsidR="005F78FC" w:rsidRDefault="00B42EF3">
            <w:pPr>
              <w:pStyle w:val="TableBodyText"/>
            </w:pPr>
            <w:r>
              <w:t>km-KH</w:t>
            </w:r>
          </w:p>
        </w:tc>
      </w:tr>
      <w:tr w:rsidR="005F78FC" w:rsidTr="005F78FC">
        <w:tc>
          <w:tcPr>
            <w:tcW w:w="0" w:type="auto"/>
            <w:vAlign w:val="center"/>
          </w:tcPr>
          <w:p w:rsidR="005F78FC" w:rsidRDefault="00B42EF3">
            <w:pPr>
              <w:pStyle w:val="TableBodyText"/>
            </w:pPr>
            <w:r>
              <w:t xml:space="preserve">Kannada </w:t>
            </w:r>
          </w:p>
        </w:tc>
        <w:tc>
          <w:tcPr>
            <w:tcW w:w="0" w:type="auto"/>
            <w:vAlign w:val="center"/>
          </w:tcPr>
          <w:p w:rsidR="005F78FC" w:rsidRDefault="00B42EF3">
            <w:pPr>
              <w:pStyle w:val="TableBodyText"/>
            </w:pPr>
            <w:r>
              <w:t>kn-IN</w:t>
            </w:r>
          </w:p>
        </w:tc>
      </w:tr>
      <w:tr w:rsidR="005F78FC" w:rsidTr="005F78FC">
        <w:tc>
          <w:tcPr>
            <w:tcW w:w="0" w:type="auto"/>
            <w:vAlign w:val="center"/>
          </w:tcPr>
          <w:p w:rsidR="005F78FC" w:rsidRDefault="00B42EF3">
            <w:pPr>
              <w:pStyle w:val="TableBodyText"/>
            </w:pPr>
            <w:r>
              <w:t xml:space="preserve">Konkani </w:t>
            </w:r>
          </w:p>
        </w:tc>
        <w:tc>
          <w:tcPr>
            <w:tcW w:w="0" w:type="auto"/>
            <w:vAlign w:val="center"/>
          </w:tcPr>
          <w:p w:rsidR="005F78FC" w:rsidRDefault="00B42EF3">
            <w:pPr>
              <w:pStyle w:val="TableBodyText"/>
            </w:pPr>
            <w:r>
              <w:t>kok-IN</w:t>
            </w:r>
          </w:p>
        </w:tc>
      </w:tr>
      <w:tr w:rsidR="005F78FC" w:rsidTr="005F78FC">
        <w:tc>
          <w:tcPr>
            <w:tcW w:w="0" w:type="auto"/>
            <w:vAlign w:val="center"/>
          </w:tcPr>
          <w:p w:rsidR="005F78FC" w:rsidRDefault="00B42EF3">
            <w:pPr>
              <w:pStyle w:val="TableBodyText"/>
            </w:pPr>
            <w:r>
              <w:t xml:space="preserve">Korean </w:t>
            </w:r>
          </w:p>
        </w:tc>
        <w:tc>
          <w:tcPr>
            <w:tcW w:w="0" w:type="auto"/>
            <w:vAlign w:val="center"/>
          </w:tcPr>
          <w:p w:rsidR="005F78FC" w:rsidRDefault="00B42EF3">
            <w:pPr>
              <w:pStyle w:val="TableBodyText"/>
            </w:pPr>
            <w:r>
              <w:t>ko-KR</w:t>
            </w:r>
          </w:p>
        </w:tc>
      </w:tr>
      <w:tr w:rsidR="005F78FC" w:rsidTr="005F78FC">
        <w:tc>
          <w:tcPr>
            <w:tcW w:w="0" w:type="auto"/>
            <w:vAlign w:val="center"/>
          </w:tcPr>
          <w:p w:rsidR="005F78FC" w:rsidRDefault="00B42EF3">
            <w:pPr>
              <w:pStyle w:val="TableBodyText"/>
            </w:pPr>
            <w:r>
              <w:t xml:space="preserve">Kanuri - Nigeria </w:t>
            </w:r>
          </w:p>
        </w:tc>
        <w:tc>
          <w:tcPr>
            <w:tcW w:w="0" w:type="auto"/>
            <w:vAlign w:val="center"/>
          </w:tcPr>
          <w:p w:rsidR="005F78FC" w:rsidRDefault="00B42EF3">
            <w:pPr>
              <w:pStyle w:val="TableBodyText"/>
            </w:pPr>
            <w:r>
              <w:t>kr-NG</w:t>
            </w:r>
          </w:p>
        </w:tc>
      </w:tr>
      <w:tr w:rsidR="005F78FC" w:rsidTr="005F78FC">
        <w:tc>
          <w:tcPr>
            <w:tcW w:w="0" w:type="auto"/>
            <w:vAlign w:val="center"/>
          </w:tcPr>
          <w:p w:rsidR="005F78FC" w:rsidRDefault="00B42EF3">
            <w:pPr>
              <w:pStyle w:val="TableBodyText"/>
            </w:pPr>
            <w:r>
              <w:t xml:space="preserve">Kashmiri (Arabic) </w:t>
            </w:r>
          </w:p>
        </w:tc>
        <w:tc>
          <w:tcPr>
            <w:tcW w:w="0" w:type="auto"/>
            <w:vAlign w:val="center"/>
          </w:tcPr>
          <w:p w:rsidR="005F78FC" w:rsidRDefault="00B42EF3">
            <w:pPr>
              <w:pStyle w:val="TableBodyText"/>
            </w:pPr>
            <w:r>
              <w:t>ks-Arab-IN</w:t>
            </w:r>
          </w:p>
        </w:tc>
      </w:tr>
      <w:tr w:rsidR="005F78FC" w:rsidTr="005F78FC">
        <w:tc>
          <w:tcPr>
            <w:tcW w:w="0" w:type="auto"/>
            <w:vAlign w:val="center"/>
          </w:tcPr>
          <w:p w:rsidR="005F78FC" w:rsidRDefault="00B42EF3">
            <w:pPr>
              <w:pStyle w:val="TableBodyText"/>
            </w:pPr>
            <w:r>
              <w:t xml:space="preserve">Kashmiri (Devanagari) </w:t>
            </w:r>
          </w:p>
        </w:tc>
        <w:tc>
          <w:tcPr>
            <w:tcW w:w="0" w:type="auto"/>
            <w:vAlign w:val="center"/>
          </w:tcPr>
          <w:p w:rsidR="005F78FC" w:rsidRDefault="00B42EF3">
            <w:pPr>
              <w:pStyle w:val="TableBodyText"/>
            </w:pPr>
            <w:r>
              <w:t>ks-Deva-IN</w:t>
            </w:r>
          </w:p>
        </w:tc>
      </w:tr>
      <w:tr w:rsidR="005F78FC" w:rsidTr="005F78FC">
        <w:tc>
          <w:tcPr>
            <w:tcW w:w="0" w:type="auto"/>
            <w:vAlign w:val="center"/>
          </w:tcPr>
          <w:p w:rsidR="005F78FC" w:rsidRDefault="00B42EF3">
            <w:pPr>
              <w:pStyle w:val="TableBodyText"/>
            </w:pPr>
            <w:r>
              <w:t xml:space="preserve">Kyrgyz (Cyrillic) </w:t>
            </w:r>
          </w:p>
        </w:tc>
        <w:tc>
          <w:tcPr>
            <w:tcW w:w="0" w:type="auto"/>
            <w:vAlign w:val="center"/>
          </w:tcPr>
          <w:p w:rsidR="005F78FC" w:rsidRDefault="00B42EF3">
            <w:pPr>
              <w:pStyle w:val="TableBodyText"/>
            </w:pPr>
            <w:r>
              <w:t>ky-KG</w:t>
            </w:r>
          </w:p>
        </w:tc>
      </w:tr>
      <w:tr w:rsidR="005F78FC" w:rsidTr="005F78FC">
        <w:tc>
          <w:tcPr>
            <w:tcW w:w="0" w:type="auto"/>
            <w:vAlign w:val="center"/>
          </w:tcPr>
          <w:p w:rsidR="005F78FC" w:rsidRDefault="00B42EF3">
            <w:pPr>
              <w:pStyle w:val="TableBodyText"/>
            </w:pPr>
            <w:r>
              <w:t xml:space="preserve">Latin </w:t>
            </w:r>
          </w:p>
        </w:tc>
        <w:tc>
          <w:tcPr>
            <w:tcW w:w="0" w:type="auto"/>
            <w:vAlign w:val="center"/>
          </w:tcPr>
          <w:p w:rsidR="005F78FC" w:rsidRDefault="00B42EF3">
            <w:pPr>
              <w:pStyle w:val="TableBodyText"/>
            </w:pPr>
            <w:r>
              <w:t>la</w:t>
            </w:r>
          </w:p>
        </w:tc>
      </w:tr>
      <w:tr w:rsidR="005F78FC" w:rsidTr="005F78FC">
        <w:tc>
          <w:tcPr>
            <w:tcW w:w="0" w:type="auto"/>
            <w:vAlign w:val="center"/>
          </w:tcPr>
          <w:p w:rsidR="005F78FC" w:rsidRDefault="00B42EF3">
            <w:pPr>
              <w:pStyle w:val="TableBodyText"/>
            </w:pPr>
            <w:r>
              <w:t>Luxembourgish (Luxembourg)</w:t>
            </w:r>
          </w:p>
        </w:tc>
        <w:tc>
          <w:tcPr>
            <w:tcW w:w="0" w:type="auto"/>
            <w:vAlign w:val="center"/>
          </w:tcPr>
          <w:p w:rsidR="005F78FC" w:rsidRDefault="00B42EF3">
            <w:pPr>
              <w:pStyle w:val="TableBodyText"/>
            </w:pPr>
            <w:r>
              <w:t>lb-LU</w:t>
            </w:r>
          </w:p>
        </w:tc>
      </w:tr>
      <w:tr w:rsidR="005F78FC" w:rsidTr="005F78FC">
        <w:tc>
          <w:tcPr>
            <w:tcW w:w="0" w:type="auto"/>
            <w:vAlign w:val="center"/>
          </w:tcPr>
          <w:p w:rsidR="005F78FC" w:rsidRDefault="00B42EF3">
            <w:pPr>
              <w:pStyle w:val="TableBodyText"/>
            </w:pPr>
            <w:r>
              <w:t xml:space="preserve">Lao </w:t>
            </w:r>
          </w:p>
        </w:tc>
        <w:tc>
          <w:tcPr>
            <w:tcW w:w="0" w:type="auto"/>
            <w:vAlign w:val="center"/>
          </w:tcPr>
          <w:p w:rsidR="005F78FC" w:rsidRDefault="00B42EF3">
            <w:pPr>
              <w:pStyle w:val="TableBodyText"/>
            </w:pPr>
            <w:r>
              <w:t>lo-LA</w:t>
            </w:r>
          </w:p>
        </w:tc>
      </w:tr>
      <w:tr w:rsidR="005F78FC" w:rsidTr="005F78FC">
        <w:tc>
          <w:tcPr>
            <w:tcW w:w="0" w:type="auto"/>
            <w:vAlign w:val="center"/>
          </w:tcPr>
          <w:p w:rsidR="005F78FC" w:rsidRDefault="00B42EF3">
            <w:pPr>
              <w:pStyle w:val="TableBodyText"/>
            </w:pPr>
            <w:r>
              <w:t xml:space="preserve">Lithuanian </w:t>
            </w:r>
          </w:p>
        </w:tc>
        <w:tc>
          <w:tcPr>
            <w:tcW w:w="0" w:type="auto"/>
            <w:vAlign w:val="center"/>
          </w:tcPr>
          <w:p w:rsidR="005F78FC" w:rsidRDefault="00B42EF3">
            <w:pPr>
              <w:pStyle w:val="TableBodyText"/>
            </w:pPr>
            <w:r>
              <w:t>lt-LT</w:t>
            </w:r>
          </w:p>
        </w:tc>
      </w:tr>
      <w:tr w:rsidR="005F78FC" w:rsidTr="005F78FC">
        <w:tc>
          <w:tcPr>
            <w:tcW w:w="0" w:type="auto"/>
            <w:vAlign w:val="center"/>
          </w:tcPr>
          <w:p w:rsidR="005F78FC" w:rsidRDefault="00B42EF3">
            <w:pPr>
              <w:pStyle w:val="TableBodyText"/>
            </w:pPr>
            <w:r>
              <w:lastRenderedPageBreak/>
              <w:t xml:space="preserve">Latvian </w:t>
            </w:r>
          </w:p>
        </w:tc>
        <w:tc>
          <w:tcPr>
            <w:tcW w:w="0" w:type="auto"/>
            <w:vAlign w:val="center"/>
          </w:tcPr>
          <w:p w:rsidR="005F78FC" w:rsidRDefault="00B42EF3">
            <w:pPr>
              <w:pStyle w:val="TableBodyText"/>
            </w:pPr>
            <w:r>
              <w:t>lv-LV</w:t>
            </w:r>
          </w:p>
        </w:tc>
      </w:tr>
      <w:tr w:rsidR="005F78FC" w:rsidTr="005F78FC">
        <w:tc>
          <w:tcPr>
            <w:tcW w:w="0" w:type="auto"/>
            <w:vAlign w:val="center"/>
          </w:tcPr>
          <w:p w:rsidR="005F78FC" w:rsidRDefault="00B42EF3">
            <w:pPr>
              <w:pStyle w:val="TableBodyText"/>
            </w:pPr>
            <w:r>
              <w:t xml:space="preserve">Maori - New Zealand </w:t>
            </w:r>
          </w:p>
        </w:tc>
        <w:tc>
          <w:tcPr>
            <w:tcW w:w="0" w:type="auto"/>
            <w:vAlign w:val="center"/>
          </w:tcPr>
          <w:p w:rsidR="005F78FC" w:rsidRDefault="00B42EF3">
            <w:pPr>
              <w:pStyle w:val="TableBodyText"/>
            </w:pPr>
            <w:r>
              <w:t>mi-NZ</w:t>
            </w:r>
          </w:p>
        </w:tc>
      </w:tr>
      <w:tr w:rsidR="005F78FC" w:rsidTr="005F78FC">
        <w:tc>
          <w:tcPr>
            <w:tcW w:w="0" w:type="auto"/>
            <w:vAlign w:val="center"/>
          </w:tcPr>
          <w:p w:rsidR="005F78FC" w:rsidRDefault="00B42EF3">
            <w:pPr>
              <w:pStyle w:val="TableBodyText"/>
            </w:pPr>
            <w:r>
              <w:t xml:space="preserve">FYRO Macedonian </w:t>
            </w:r>
          </w:p>
        </w:tc>
        <w:tc>
          <w:tcPr>
            <w:tcW w:w="0" w:type="auto"/>
            <w:vAlign w:val="center"/>
          </w:tcPr>
          <w:p w:rsidR="005F78FC" w:rsidRDefault="00B42EF3">
            <w:pPr>
              <w:pStyle w:val="TableBodyText"/>
            </w:pPr>
            <w:r>
              <w:t>mk-MK</w:t>
            </w:r>
          </w:p>
        </w:tc>
      </w:tr>
      <w:tr w:rsidR="005F78FC" w:rsidTr="005F78FC">
        <w:tc>
          <w:tcPr>
            <w:tcW w:w="0" w:type="auto"/>
            <w:vAlign w:val="center"/>
          </w:tcPr>
          <w:p w:rsidR="005F78FC" w:rsidRDefault="00B42EF3">
            <w:pPr>
              <w:pStyle w:val="TableBodyText"/>
            </w:pPr>
            <w:r>
              <w:t xml:space="preserve">Malayalam </w:t>
            </w:r>
          </w:p>
        </w:tc>
        <w:tc>
          <w:tcPr>
            <w:tcW w:w="0" w:type="auto"/>
            <w:vAlign w:val="center"/>
          </w:tcPr>
          <w:p w:rsidR="005F78FC" w:rsidRDefault="00B42EF3">
            <w:pPr>
              <w:pStyle w:val="TableBodyText"/>
            </w:pPr>
            <w:r>
              <w:t>ml-IN</w:t>
            </w:r>
          </w:p>
        </w:tc>
      </w:tr>
      <w:tr w:rsidR="005F78FC" w:rsidTr="005F78FC">
        <w:tc>
          <w:tcPr>
            <w:tcW w:w="0" w:type="auto"/>
            <w:vAlign w:val="center"/>
          </w:tcPr>
          <w:p w:rsidR="005F78FC" w:rsidRDefault="00B42EF3">
            <w:pPr>
              <w:pStyle w:val="TableBodyText"/>
            </w:pPr>
            <w:r>
              <w:t xml:space="preserve">Manipuri </w:t>
            </w:r>
          </w:p>
        </w:tc>
        <w:tc>
          <w:tcPr>
            <w:tcW w:w="0" w:type="auto"/>
            <w:vAlign w:val="center"/>
          </w:tcPr>
          <w:p w:rsidR="005F78FC" w:rsidRDefault="00B42EF3">
            <w:pPr>
              <w:pStyle w:val="TableBodyText"/>
            </w:pPr>
            <w:r>
              <w:t>mni</w:t>
            </w:r>
          </w:p>
        </w:tc>
      </w:tr>
      <w:tr w:rsidR="005F78FC" w:rsidTr="005F78FC">
        <w:tc>
          <w:tcPr>
            <w:tcW w:w="0" w:type="auto"/>
            <w:vAlign w:val="center"/>
          </w:tcPr>
          <w:p w:rsidR="005F78FC" w:rsidRDefault="00B42EF3">
            <w:pPr>
              <w:pStyle w:val="TableBodyText"/>
            </w:pPr>
            <w:r>
              <w:t xml:space="preserve">Mongolian (Cyrillic) </w:t>
            </w:r>
          </w:p>
        </w:tc>
        <w:tc>
          <w:tcPr>
            <w:tcW w:w="0" w:type="auto"/>
            <w:vAlign w:val="center"/>
          </w:tcPr>
          <w:p w:rsidR="005F78FC" w:rsidRDefault="00B42EF3">
            <w:pPr>
              <w:pStyle w:val="TableBodyText"/>
            </w:pPr>
            <w:r>
              <w:t>mn-MN</w:t>
            </w:r>
          </w:p>
        </w:tc>
      </w:tr>
      <w:tr w:rsidR="005F78FC" w:rsidTr="005F78FC">
        <w:tc>
          <w:tcPr>
            <w:tcW w:w="0" w:type="auto"/>
            <w:vAlign w:val="center"/>
          </w:tcPr>
          <w:p w:rsidR="005F78FC" w:rsidRDefault="00B42EF3">
            <w:pPr>
              <w:pStyle w:val="TableBodyText"/>
            </w:pPr>
            <w:r>
              <w:t xml:space="preserve">Mongolian (Mongolian) </w:t>
            </w:r>
          </w:p>
        </w:tc>
        <w:tc>
          <w:tcPr>
            <w:tcW w:w="0" w:type="auto"/>
            <w:vAlign w:val="center"/>
          </w:tcPr>
          <w:p w:rsidR="005F78FC" w:rsidRDefault="00B42EF3">
            <w:pPr>
              <w:pStyle w:val="TableBodyText"/>
            </w:pPr>
            <w:r>
              <w:t>mn-Mong-CN</w:t>
            </w:r>
          </w:p>
        </w:tc>
      </w:tr>
      <w:tr w:rsidR="005F78FC" w:rsidTr="005F78FC">
        <w:tc>
          <w:tcPr>
            <w:tcW w:w="0" w:type="auto"/>
            <w:vAlign w:val="center"/>
          </w:tcPr>
          <w:p w:rsidR="005F78FC" w:rsidRDefault="00B42EF3">
            <w:pPr>
              <w:pStyle w:val="TableBodyText"/>
            </w:pPr>
            <w:r>
              <w:t xml:space="preserve">Marathi </w:t>
            </w:r>
          </w:p>
        </w:tc>
        <w:tc>
          <w:tcPr>
            <w:tcW w:w="0" w:type="auto"/>
            <w:vAlign w:val="center"/>
          </w:tcPr>
          <w:p w:rsidR="005F78FC" w:rsidRDefault="00B42EF3">
            <w:pPr>
              <w:pStyle w:val="TableBodyText"/>
            </w:pPr>
            <w:r>
              <w:t>mr-IN</w:t>
            </w:r>
          </w:p>
        </w:tc>
      </w:tr>
      <w:tr w:rsidR="005F78FC" w:rsidTr="005F78FC">
        <w:tc>
          <w:tcPr>
            <w:tcW w:w="0" w:type="auto"/>
            <w:vAlign w:val="center"/>
          </w:tcPr>
          <w:p w:rsidR="005F78FC" w:rsidRDefault="00B42EF3">
            <w:pPr>
              <w:pStyle w:val="TableBodyText"/>
            </w:pPr>
            <w:r>
              <w:t xml:space="preserve">Malay - Brunei Darussalam </w:t>
            </w:r>
          </w:p>
        </w:tc>
        <w:tc>
          <w:tcPr>
            <w:tcW w:w="0" w:type="auto"/>
            <w:vAlign w:val="center"/>
          </w:tcPr>
          <w:p w:rsidR="005F78FC" w:rsidRDefault="00B42EF3">
            <w:pPr>
              <w:pStyle w:val="TableBodyText"/>
            </w:pPr>
            <w:r>
              <w:t>ms-BN</w:t>
            </w:r>
          </w:p>
        </w:tc>
      </w:tr>
      <w:tr w:rsidR="005F78FC" w:rsidTr="005F78FC">
        <w:tc>
          <w:tcPr>
            <w:tcW w:w="0" w:type="auto"/>
            <w:vAlign w:val="center"/>
          </w:tcPr>
          <w:p w:rsidR="005F78FC" w:rsidRDefault="00B42EF3">
            <w:pPr>
              <w:pStyle w:val="TableBodyText"/>
            </w:pPr>
            <w:r>
              <w:t xml:space="preserve">Malay - Malaysia </w:t>
            </w:r>
          </w:p>
        </w:tc>
        <w:tc>
          <w:tcPr>
            <w:tcW w:w="0" w:type="auto"/>
            <w:vAlign w:val="center"/>
          </w:tcPr>
          <w:p w:rsidR="005F78FC" w:rsidRDefault="00B42EF3">
            <w:pPr>
              <w:pStyle w:val="TableBodyText"/>
            </w:pPr>
            <w:r>
              <w:t>ms-MY</w:t>
            </w:r>
          </w:p>
        </w:tc>
      </w:tr>
      <w:tr w:rsidR="005F78FC" w:rsidTr="005F78FC">
        <w:tc>
          <w:tcPr>
            <w:tcW w:w="0" w:type="auto"/>
            <w:vAlign w:val="center"/>
          </w:tcPr>
          <w:p w:rsidR="005F78FC" w:rsidRDefault="00B42EF3">
            <w:pPr>
              <w:pStyle w:val="TableBodyText"/>
            </w:pPr>
            <w:r>
              <w:t xml:space="preserve">Maltese </w:t>
            </w:r>
          </w:p>
        </w:tc>
        <w:tc>
          <w:tcPr>
            <w:tcW w:w="0" w:type="auto"/>
            <w:vAlign w:val="center"/>
          </w:tcPr>
          <w:p w:rsidR="005F78FC" w:rsidRDefault="00B42EF3">
            <w:pPr>
              <w:pStyle w:val="TableBodyText"/>
            </w:pPr>
            <w:r>
              <w:t>mt-MT</w:t>
            </w:r>
          </w:p>
        </w:tc>
      </w:tr>
      <w:tr w:rsidR="005F78FC" w:rsidTr="005F78FC">
        <w:tc>
          <w:tcPr>
            <w:tcW w:w="0" w:type="auto"/>
            <w:vAlign w:val="center"/>
          </w:tcPr>
          <w:p w:rsidR="005F78FC" w:rsidRDefault="00B42EF3">
            <w:pPr>
              <w:pStyle w:val="TableBodyText"/>
            </w:pPr>
            <w:r>
              <w:t xml:space="preserve">Burmese </w:t>
            </w:r>
          </w:p>
        </w:tc>
        <w:tc>
          <w:tcPr>
            <w:tcW w:w="0" w:type="auto"/>
            <w:vAlign w:val="center"/>
          </w:tcPr>
          <w:p w:rsidR="005F78FC" w:rsidRDefault="00B42EF3">
            <w:pPr>
              <w:pStyle w:val="TableBodyText"/>
            </w:pPr>
            <w:r>
              <w:t>my-MM</w:t>
            </w:r>
          </w:p>
        </w:tc>
      </w:tr>
      <w:tr w:rsidR="005F78FC" w:rsidTr="005F78FC">
        <w:tc>
          <w:tcPr>
            <w:tcW w:w="0" w:type="auto"/>
            <w:vAlign w:val="center"/>
          </w:tcPr>
          <w:p w:rsidR="005F78FC" w:rsidRDefault="00B42EF3">
            <w:pPr>
              <w:pStyle w:val="TableBodyText"/>
            </w:pPr>
            <w:r>
              <w:t xml:space="preserve">Norwegian (Bokmål) </w:t>
            </w:r>
          </w:p>
        </w:tc>
        <w:tc>
          <w:tcPr>
            <w:tcW w:w="0" w:type="auto"/>
            <w:vAlign w:val="center"/>
          </w:tcPr>
          <w:p w:rsidR="005F78FC" w:rsidRDefault="00B42EF3">
            <w:pPr>
              <w:pStyle w:val="TableBodyText"/>
            </w:pPr>
            <w:r>
              <w:t>nb-NO</w:t>
            </w:r>
          </w:p>
        </w:tc>
      </w:tr>
      <w:tr w:rsidR="005F78FC" w:rsidTr="005F78FC">
        <w:tc>
          <w:tcPr>
            <w:tcW w:w="0" w:type="auto"/>
            <w:vAlign w:val="center"/>
          </w:tcPr>
          <w:p w:rsidR="005F78FC" w:rsidRDefault="00B42EF3">
            <w:pPr>
              <w:pStyle w:val="TableBodyText"/>
            </w:pPr>
            <w:r>
              <w:t xml:space="preserve">Nepali - India </w:t>
            </w:r>
          </w:p>
        </w:tc>
        <w:tc>
          <w:tcPr>
            <w:tcW w:w="0" w:type="auto"/>
            <w:vAlign w:val="center"/>
          </w:tcPr>
          <w:p w:rsidR="005F78FC" w:rsidRDefault="00B42EF3">
            <w:pPr>
              <w:pStyle w:val="TableBodyText"/>
            </w:pPr>
            <w:r>
              <w:t>ne-IN</w:t>
            </w:r>
          </w:p>
        </w:tc>
      </w:tr>
      <w:tr w:rsidR="005F78FC" w:rsidTr="005F78FC">
        <w:tc>
          <w:tcPr>
            <w:tcW w:w="0" w:type="auto"/>
            <w:vAlign w:val="center"/>
          </w:tcPr>
          <w:p w:rsidR="005F78FC" w:rsidRDefault="00B42EF3">
            <w:pPr>
              <w:pStyle w:val="TableBodyText"/>
            </w:pPr>
            <w:r>
              <w:t xml:space="preserve">Nepali </w:t>
            </w:r>
          </w:p>
        </w:tc>
        <w:tc>
          <w:tcPr>
            <w:tcW w:w="0" w:type="auto"/>
            <w:vAlign w:val="center"/>
          </w:tcPr>
          <w:p w:rsidR="005F78FC" w:rsidRDefault="00B42EF3">
            <w:pPr>
              <w:pStyle w:val="TableBodyText"/>
            </w:pPr>
            <w:r>
              <w:t>ne-NP</w:t>
            </w:r>
          </w:p>
        </w:tc>
      </w:tr>
      <w:tr w:rsidR="005F78FC" w:rsidTr="005F78FC">
        <w:tc>
          <w:tcPr>
            <w:tcW w:w="0" w:type="auto"/>
            <w:vAlign w:val="center"/>
          </w:tcPr>
          <w:p w:rsidR="005F78FC" w:rsidRDefault="00B42EF3">
            <w:pPr>
              <w:pStyle w:val="TableBodyText"/>
            </w:pPr>
            <w:r>
              <w:t xml:space="preserve">Dutch - Belgium </w:t>
            </w:r>
          </w:p>
        </w:tc>
        <w:tc>
          <w:tcPr>
            <w:tcW w:w="0" w:type="auto"/>
            <w:vAlign w:val="center"/>
          </w:tcPr>
          <w:p w:rsidR="005F78FC" w:rsidRDefault="00B42EF3">
            <w:pPr>
              <w:pStyle w:val="TableBodyText"/>
            </w:pPr>
            <w:r>
              <w:t>nl-BE</w:t>
            </w:r>
          </w:p>
        </w:tc>
      </w:tr>
      <w:tr w:rsidR="005F78FC" w:rsidTr="005F78FC">
        <w:tc>
          <w:tcPr>
            <w:tcW w:w="0" w:type="auto"/>
            <w:vAlign w:val="center"/>
          </w:tcPr>
          <w:p w:rsidR="005F78FC" w:rsidRDefault="00B42EF3">
            <w:pPr>
              <w:pStyle w:val="TableBodyText"/>
            </w:pPr>
            <w:r>
              <w:t xml:space="preserve">Dutch - Netherlands </w:t>
            </w:r>
          </w:p>
        </w:tc>
        <w:tc>
          <w:tcPr>
            <w:tcW w:w="0" w:type="auto"/>
            <w:vAlign w:val="center"/>
          </w:tcPr>
          <w:p w:rsidR="005F78FC" w:rsidRDefault="00B42EF3">
            <w:pPr>
              <w:pStyle w:val="TableBodyText"/>
            </w:pPr>
            <w:r>
              <w:t>nl-NL</w:t>
            </w:r>
          </w:p>
        </w:tc>
      </w:tr>
      <w:tr w:rsidR="005F78FC" w:rsidTr="005F78FC">
        <w:tc>
          <w:tcPr>
            <w:tcW w:w="0" w:type="auto"/>
            <w:vAlign w:val="center"/>
          </w:tcPr>
          <w:p w:rsidR="005F78FC" w:rsidRDefault="00B42EF3">
            <w:pPr>
              <w:pStyle w:val="TableBodyText"/>
            </w:pPr>
            <w:r>
              <w:t xml:space="preserve">Norwegian (Nynorsk) </w:t>
            </w:r>
          </w:p>
        </w:tc>
        <w:tc>
          <w:tcPr>
            <w:tcW w:w="0" w:type="auto"/>
            <w:vAlign w:val="center"/>
          </w:tcPr>
          <w:p w:rsidR="005F78FC" w:rsidRDefault="00B42EF3">
            <w:pPr>
              <w:pStyle w:val="TableBodyText"/>
            </w:pPr>
            <w:r>
              <w:t>nn-NO</w:t>
            </w:r>
          </w:p>
        </w:tc>
      </w:tr>
      <w:tr w:rsidR="005F78FC" w:rsidTr="005F78FC">
        <w:tc>
          <w:tcPr>
            <w:tcW w:w="0" w:type="auto"/>
            <w:vAlign w:val="center"/>
          </w:tcPr>
          <w:p w:rsidR="005F78FC" w:rsidRDefault="00B42EF3">
            <w:pPr>
              <w:pStyle w:val="TableBodyText"/>
            </w:pPr>
            <w:r>
              <w:t xml:space="preserve">Sepedi </w:t>
            </w:r>
          </w:p>
        </w:tc>
        <w:tc>
          <w:tcPr>
            <w:tcW w:w="0" w:type="auto"/>
            <w:vAlign w:val="center"/>
          </w:tcPr>
          <w:p w:rsidR="005F78FC" w:rsidRDefault="00B42EF3">
            <w:pPr>
              <w:pStyle w:val="TableBodyText"/>
            </w:pPr>
            <w:r>
              <w:t>nso-ZA</w:t>
            </w:r>
          </w:p>
        </w:tc>
      </w:tr>
      <w:tr w:rsidR="005F78FC" w:rsidTr="005F78FC">
        <w:tc>
          <w:tcPr>
            <w:tcW w:w="0" w:type="auto"/>
            <w:vAlign w:val="center"/>
          </w:tcPr>
          <w:p w:rsidR="005F78FC" w:rsidRDefault="00B42EF3">
            <w:pPr>
              <w:pStyle w:val="TableBodyText"/>
            </w:pPr>
            <w:r>
              <w:t xml:space="preserve">Odia </w:t>
            </w:r>
          </w:p>
        </w:tc>
        <w:tc>
          <w:tcPr>
            <w:tcW w:w="0" w:type="auto"/>
            <w:vAlign w:val="center"/>
          </w:tcPr>
          <w:p w:rsidR="005F78FC" w:rsidRDefault="00B42EF3">
            <w:pPr>
              <w:pStyle w:val="TableBodyText"/>
            </w:pPr>
            <w:r>
              <w:t>or-IN</w:t>
            </w:r>
          </w:p>
        </w:tc>
      </w:tr>
      <w:tr w:rsidR="005F78FC" w:rsidTr="005F78FC">
        <w:tc>
          <w:tcPr>
            <w:tcW w:w="0" w:type="auto"/>
            <w:vAlign w:val="center"/>
          </w:tcPr>
          <w:p w:rsidR="005F78FC" w:rsidRDefault="00B42EF3">
            <w:pPr>
              <w:pStyle w:val="TableBodyText"/>
            </w:pPr>
            <w:r>
              <w:t xml:space="preserve">Punjabi </w:t>
            </w:r>
          </w:p>
        </w:tc>
        <w:tc>
          <w:tcPr>
            <w:tcW w:w="0" w:type="auto"/>
            <w:vAlign w:val="center"/>
          </w:tcPr>
          <w:p w:rsidR="005F78FC" w:rsidRDefault="00B42EF3">
            <w:pPr>
              <w:pStyle w:val="TableBodyText"/>
            </w:pPr>
            <w:r>
              <w:t>pa-IN</w:t>
            </w:r>
          </w:p>
        </w:tc>
      </w:tr>
      <w:tr w:rsidR="005F78FC" w:rsidTr="005F78FC">
        <w:tc>
          <w:tcPr>
            <w:tcW w:w="0" w:type="auto"/>
            <w:vAlign w:val="center"/>
          </w:tcPr>
          <w:p w:rsidR="005F78FC" w:rsidRDefault="00B42EF3">
            <w:pPr>
              <w:pStyle w:val="TableBodyText"/>
            </w:pPr>
            <w:r>
              <w:t xml:space="preserve">Papiamentu </w:t>
            </w:r>
          </w:p>
        </w:tc>
        <w:tc>
          <w:tcPr>
            <w:tcW w:w="0" w:type="auto"/>
            <w:vAlign w:val="center"/>
          </w:tcPr>
          <w:p w:rsidR="005F78FC" w:rsidRDefault="00B42EF3">
            <w:pPr>
              <w:pStyle w:val="TableBodyText"/>
            </w:pPr>
            <w:r>
              <w:t>pap-AN</w:t>
            </w:r>
          </w:p>
        </w:tc>
      </w:tr>
      <w:tr w:rsidR="005F78FC" w:rsidTr="005F78FC">
        <w:tc>
          <w:tcPr>
            <w:tcW w:w="0" w:type="auto"/>
            <w:vAlign w:val="center"/>
          </w:tcPr>
          <w:p w:rsidR="005F78FC" w:rsidRDefault="00B42EF3">
            <w:pPr>
              <w:pStyle w:val="TableBodyText"/>
            </w:pPr>
            <w:r>
              <w:t xml:space="preserve">Punjabi (Pakistan) </w:t>
            </w:r>
          </w:p>
        </w:tc>
        <w:tc>
          <w:tcPr>
            <w:tcW w:w="0" w:type="auto"/>
            <w:vAlign w:val="center"/>
          </w:tcPr>
          <w:p w:rsidR="005F78FC" w:rsidRDefault="00B42EF3">
            <w:pPr>
              <w:pStyle w:val="TableBodyText"/>
            </w:pPr>
            <w:r>
              <w:t>pa-PK</w:t>
            </w:r>
          </w:p>
        </w:tc>
      </w:tr>
      <w:tr w:rsidR="005F78FC" w:rsidTr="005F78FC">
        <w:tc>
          <w:tcPr>
            <w:tcW w:w="0" w:type="auto"/>
            <w:vAlign w:val="center"/>
          </w:tcPr>
          <w:p w:rsidR="005F78FC" w:rsidRDefault="00B42EF3">
            <w:pPr>
              <w:pStyle w:val="TableBodyText"/>
            </w:pPr>
            <w:r>
              <w:t xml:space="preserve">Polish </w:t>
            </w:r>
          </w:p>
        </w:tc>
        <w:tc>
          <w:tcPr>
            <w:tcW w:w="0" w:type="auto"/>
            <w:vAlign w:val="center"/>
          </w:tcPr>
          <w:p w:rsidR="005F78FC" w:rsidRDefault="00B42EF3">
            <w:pPr>
              <w:pStyle w:val="TableBodyText"/>
            </w:pPr>
            <w:r>
              <w:t>pl-PL</w:t>
            </w:r>
          </w:p>
        </w:tc>
      </w:tr>
      <w:tr w:rsidR="005F78FC" w:rsidTr="005F78FC">
        <w:tc>
          <w:tcPr>
            <w:tcW w:w="0" w:type="auto"/>
            <w:vAlign w:val="center"/>
          </w:tcPr>
          <w:p w:rsidR="005F78FC" w:rsidRDefault="00B42EF3">
            <w:pPr>
              <w:pStyle w:val="TableBodyText"/>
            </w:pPr>
            <w:r>
              <w:t xml:space="preserve">Pashto </w:t>
            </w:r>
          </w:p>
        </w:tc>
        <w:tc>
          <w:tcPr>
            <w:tcW w:w="0" w:type="auto"/>
            <w:vAlign w:val="center"/>
          </w:tcPr>
          <w:p w:rsidR="005F78FC" w:rsidRDefault="00B42EF3">
            <w:pPr>
              <w:pStyle w:val="TableBodyText"/>
            </w:pPr>
            <w:r>
              <w:t>ps-AF</w:t>
            </w:r>
          </w:p>
        </w:tc>
      </w:tr>
      <w:tr w:rsidR="005F78FC" w:rsidTr="005F78FC">
        <w:tc>
          <w:tcPr>
            <w:tcW w:w="0" w:type="auto"/>
            <w:vAlign w:val="center"/>
          </w:tcPr>
          <w:p w:rsidR="005F78FC" w:rsidRDefault="00B42EF3">
            <w:pPr>
              <w:pStyle w:val="TableBodyText"/>
            </w:pPr>
            <w:r>
              <w:t xml:space="preserve">Portuguese - Brazil </w:t>
            </w:r>
          </w:p>
        </w:tc>
        <w:tc>
          <w:tcPr>
            <w:tcW w:w="0" w:type="auto"/>
            <w:vAlign w:val="center"/>
          </w:tcPr>
          <w:p w:rsidR="005F78FC" w:rsidRDefault="00B42EF3">
            <w:pPr>
              <w:pStyle w:val="TableBodyText"/>
            </w:pPr>
            <w:r>
              <w:t>pt-BR</w:t>
            </w:r>
          </w:p>
        </w:tc>
      </w:tr>
      <w:tr w:rsidR="005F78FC" w:rsidTr="005F78FC">
        <w:tc>
          <w:tcPr>
            <w:tcW w:w="0" w:type="auto"/>
            <w:vAlign w:val="center"/>
          </w:tcPr>
          <w:p w:rsidR="005F78FC" w:rsidRDefault="00B42EF3">
            <w:pPr>
              <w:pStyle w:val="TableBodyText"/>
            </w:pPr>
            <w:r>
              <w:t xml:space="preserve">Portuguese - Portugal </w:t>
            </w:r>
          </w:p>
        </w:tc>
        <w:tc>
          <w:tcPr>
            <w:tcW w:w="0" w:type="auto"/>
            <w:vAlign w:val="center"/>
          </w:tcPr>
          <w:p w:rsidR="005F78FC" w:rsidRDefault="00B42EF3">
            <w:pPr>
              <w:pStyle w:val="TableBodyText"/>
            </w:pPr>
            <w:r>
              <w:t>pt-PT</w:t>
            </w:r>
          </w:p>
        </w:tc>
      </w:tr>
      <w:tr w:rsidR="005F78FC" w:rsidTr="005F78FC">
        <w:tc>
          <w:tcPr>
            <w:tcW w:w="0" w:type="auto"/>
            <w:vAlign w:val="center"/>
          </w:tcPr>
          <w:p w:rsidR="005F78FC" w:rsidRDefault="00B42EF3">
            <w:pPr>
              <w:pStyle w:val="TableBodyText"/>
            </w:pPr>
            <w:r>
              <w:t xml:space="preserve">Quecha - Bolivia </w:t>
            </w:r>
          </w:p>
        </w:tc>
        <w:tc>
          <w:tcPr>
            <w:tcW w:w="0" w:type="auto"/>
            <w:vAlign w:val="center"/>
          </w:tcPr>
          <w:p w:rsidR="005F78FC" w:rsidRDefault="00B42EF3">
            <w:pPr>
              <w:pStyle w:val="TableBodyText"/>
            </w:pPr>
            <w:r>
              <w:t>quz-BO</w:t>
            </w:r>
          </w:p>
        </w:tc>
      </w:tr>
      <w:tr w:rsidR="005F78FC" w:rsidTr="005F78FC">
        <w:tc>
          <w:tcPr>
            <w:tcW w:w="0" w:type="auto"/>
            <w:vAlign w:val="center"/>
          </w:tcPr>
          <w:p w:rsidR="005F78FC" w:rsidRDefault="00B42EF3">
            <w:pPr>
              <w:pStyle w:val="TableBodyText"/>
            </w:pPr>
            <w:r>
              <w:t xml:space="preserve">Quecha - Ecuador </w:t>
            </w:r>
          </w:p>
        </w:tc>
        <w:tc>
          <w:tcPr>
            <w:tcW w:w="0" w:type="auto"/>
            <w:vAlign w:val="center"/>
          </w:tcPr>
          <w:p w:rsidR="005F78FC" w:rsidRDefault="00B42EF3">
            <w:pPr>
              <w:pStyle w:val="TableBodyText"/>
            </w:pPr>
            <w:r>
              <w:t>quz-EC</w:t>
            </w:r>
          </w:p>
        </w:tc>
      </w:tr>
      <w:tr w:rsidR="005F78FC" w:rsidTr="005F78FC">
        <w:tc>
          <w:tcPr>
            <w:tcW w:w="0" w:type="auto"/>
            <w:vAlign w:val="center"/>
          </w:tcPr>
          <w:p w:rsidR="005F78FC" w:rsidRDefault="00B42EF3">
            <w:pPr>
              <w:pStyle w:val="TableBodyText"/>
            </w:pPr>
            <w:r>
              <w:t xml:space="preserve">Quecha - Peru </w:t>
            </w:r>
          </w:p>
        </w:tc>
        <w:tc>
          <w:tcPr>
            <w:tcW w:w="0" w:type="auto"/>
            <w:vAlign w:val="center"/>
          </w:tcPr>
          <w:p w:rsidR="005F78FC" w:rsidRDefault="00B42EF3">
            <w:pPr>
              <w:pStyle w:val="TableBodyText"/>
            </w:pPr>
            <w:r>
              <w:t>quz-PE</w:t>
            </w:r>
          </w:p>
        </w:tc>
      </w:tr>
      <w:tr w:rsidR="005F78FC" w:rsidTr="005F78FC">
        <w:tc>
          <w:tcPr>
            <w:tcW w:w="0" w:type="auto"/>
            <w:vAlign w:val="center"/>
          </w:tcPr>
          <w:p w:rsidR="005F78FC" w:rsidRDefault="00B42EF3">
            <w:pPr>
              <w:pStyle w:val="TableBodyText"/>
            </w:pPr>
            <w:r>
              <w:t xml:space="preserve">Rhaeto-Romanic </w:t>
            </w:r>
          </w:p>
        </w:tc>
        <w:tc>
          <w:tcPr>
            <w:tcW w:w="0" w:type="auto"/>
            <w:vAlign w:val="center"/>
          </w:tcPr>
          <w:p w:rsidR="005F78FC" w:rsidRDefault="00B42EF3">
            <w:pPr>
              <w:pStyle w:val="TableBodyText"/>
            </w:pPr>
            <w:r>
              <w:t>rm-CH</w:t>
            </w:r>
          </w:p>
        </w:tc>
      </w:tr>
      <w:tr w:rsidR="005F78FC" w:rsidTr="005F78FC">
        <w:tc>
          <w:tcPr>
            <w:tcW w:w="0" w:type="auto"/>
            <w:vAlign w:val="center"/>
          </w:tcPr>
          <w:p w:rsidR="005F78FC" w:rsidRDefault="00B42EF3">
            <w:pPr>
              <w:pStyle w:val="TableBodyText"/>
            </w:pPr>
            <w:r>
              <w:t xml:space="preserve">Romanian - Moldova </w:t>
            </w:r>
          </w:p>
        </w:tc>
        <w:tc>
          <w:tcPr>
            <w:tcW w:w="0" w:type="auto"/>
            <w:vAlign w:val="center"/>
          </w:tcPr>
          <w:p w:rsidR="005F78FC" w:rsidRDefault="00B42EF3">
            <w:pPr>
              <w:pStyle w:val="TableBodyText"/>
            </w:pPr>
            <w:r>
              <w:t>ro-MD</w:t>
            </w:r>
          </w:p>
        </w:tc>
      </w:tr>
      <w:tr w:rsidR="005F78FC" w:rsidTr="005F78FC">
        <w:tc>
          <w:tcPr>
            <w:tcW w:w="0" w:type="auto"/>
            <w:vAlign w:val="center"/>
          </w:tcPr>
          <w:p w:rsidR="005F78FC" w:rsidRDefault="00B42EF3">
            <w:pPr>
              <w:pStyle w:val="TableBodyText"/>
            </w:pPr>
            <w:r>
              <w:lastRenderedPageBreak/>
              <w:t xml:space="preserve">Romanian </w:t>
            </w:r>
          </w:p>
        </w:tc>
        <w:tc>
          <w:tcPr>
            <w:tcW w:w="0" w:type="auto"/>
            <w:vAlign w:val="center"/>
          </w:tcPr>
          <w:p w:rsidR="005F78FC" w:rsidRDefault="00B42EF3">
            <w:pPr>
              <w:pStyle w:val="TableBodyText"/>
            </w:pPr>
            <w:r>
              <w:t>ro-RO</w:t>
            </w:r>
          </w:p>
        </w:tc>
      </w:tr>
      <w:tr w:rsidR="005F78FC" w:rsidTr="005F78FC">
        <w:tc>
          <w:tcPr>
            <w:tcW w:w="0" w:type="auto"/>
            <w:vAlign w:val="center"/>
          </w:tcPr>
          <w:p w:rsidR="005F78FC" w:rsidRDefault="00B42EF3">
            <w:pPr>
              <w:pStyle w:val="TableBodyText"/>
            </w:pPr>
            <w:r>
              <w:t xml:space="preserve">Russian - Moldova </w:t>
            </w:r>
          </w:p>
        </w:tc>
        <w:tc>
          <w:tcPr>
            <w:tcW w:w="0" w:type="auto"/>
            <w:vAlign w:val="center"/>
          </w:tcPr>
          <w:p w:rsidR="005F78FC" w:rsidRDefault="00B42EF3">
            <w:pPr>
              <w:pStyle w:val="TableBodyText"/>
            </w:pPr>
            <w:r>
              <w:t>ru-MD</w:t>
            </w:r>
          </w:p>
        </w:tc>
      </w:tr>
      <w:tr w:rsidR="005F78FC" w:rsidTr="005F78FC">
        <w:tc>
          <w:tcPr>
            <w:tcW w:w="0" w:type="auto"/>
            <w:vAlign w:val="center"/>
          </w:tcPr>
          <w:p w:rsidR="005F78FC" w:rsidRDefault="00B42EF3">
            <w:pPr>
              <w:pStyle w:val="TableBodyText"/>
            </w:pPr>
            <w:r>
              <w:t xml:space="preserve">Russian </w:t>
            </w:r>
          </w:p>
        </w:tc>
        <w:tc>
          <w:tcPr>
            <w:tcW w:w="0" w:type="auto"/>
            <w:vAlign w:val="center"/>
          </w:tcPr>
          <w:p w:rsidR="005F78FC" w:rsidRDefault="00B42EF3">
            <w:pPr>
              <w:pStyle w:val="TableBodyText"/>
            </w:pPr>
            <w:r>
              <w:t>ru-RU</w:t>
            </w:r>
          </w:p>
        </w:tc>
      </w:tr>
      <w:tr w:rsidR="005F78FC" w:rsidTr="005F78FC">
        <w:tc>
          <w:tcPr>
            <w:tcW w:w="0" w:type="auto"/>
            <w:vAlign w:val="center"/>
          </w:tcPr>
          <w:p w:rsidR="005F78FC" w:rsidRDefault="00B42EF3">
            <w:pPr>
              <w:pStyle w:val="TableBodyText"/>
            </w:pPr>
            <w:r>
              <w:t xml:space="preserve">Sanskrit </w:t>
            </w:r>
          </w:p>
        </w:tc>
        <w:tc>
          <w:tcPr>
            <w:tcW w:w="0" w:type="auto"/>
            <w:vAlign w:val="center"/>
          </w:tcPr>
          <w:p w:rsidR="005F78FC" w:rsidRDefault="00B42EF3">
            <w:pPr>
              <w:pStyle w:val="TableBodyText"/>
            </w:pPr>
            <w:r>
              <w:t>sa-IN</w:t>
            </w:r>
          </w:p>
        </w:tc>
      </w:tr>
      <w:tr w:rsidR="005F78FC" w:rsidTr="005F78FC">
        <w:tc>
          <w:tcPr>
            <w:tcW w:w="0" w:type="auto"/>
            <w:vAlign w:val="center"/>
          </w:tcPr>
          <w:p w:rsidR="005F78FC" w:rsidRDefault="00B42EF3">
            <w:pPr>
              <w:pStyle w:val="TableBodyText"/>
            </w:pPr>
            <w:r>
              <w:t xml:space="preserve">Sindhi - India </w:t>
            </w:r>
          </w:p>
        </w:tc>
        <w:tc>
          <w:tcPr>
            <w:tcW w:w="0" w:type="auto"/>
            <w:vAlign w:val="center"/>
          </w:tcPr>
          <w:p w:rsidR="005F78FC" w:rsidRDefault="00B42EF3">
            <w:pPr>
              <w:pStyle w:val="TableBodyText"/>
            </w:pPr>
            <w:r>
              <w:t>sd-IN</w:t>
            </w:r>
          </w:p>
        </w:tc>
      </w:tr>
      <w:tr w:rsidR="005F78FC" w:rsidTr="005F78FC">
        <w:tc>
          <w:tcPr>
            <w:tcW w:w="0" w:type="auto"/>
            <w:vAlign w:val="center"/>
          </w:tcPr>
          <w:p w:rsidR="005F78FC" w:rsidRDefault="00B42EF3">
            <w:pPr>
              <w:pStyle w:val="TableBodyText"/>
            </w:pPr>
            <w:r>
              <w:t xml:space="preserve">Sindhi - Pakistan </w:t>
            </w:r>
          </w:p>
        </w:tc>
        <w:tc>
          <w:tcPr>
            <w:tcW w:w="0" w:type="auto"/>
            <w:vAlign w:val="center"/>
          </w:tcPr>
          <w:p w:rsidR="005F78FC" w:rsidRDefault="00B42EF3">
            <w:pPr>
              <w:pStyle w:val="TableBodyText"/>
            </w:pPr>
            <w:r>
              <w:t>sd-PK</w:t>
            </w:r>
          </w:p>
        </w:tc>
      </w:tr>
      <w:tr w:rsidR="005F78FC" w:rsidTr="005F78FC">
        <w:tc>
          <w:tcPr>
            <w:tcW w:w="0" w:type="auto"/>
            <w:vAlign w:val="center"/>
          </w:tcPr>
          <w:p w:rsidR="005F78FC" w:rsidRDefault="00B42EF3">
            <w:pPr>
              <w:pStyle w:val="TableBodyText"/>
            </w:pPr>
            <w:r>
              <w:t xml:space="preserve">Sami </w:t>
            </w:r>
          </w:p>
        </w:tc>
        <w:tc>
          <w:tcPr>
            <w:tcW w:w="0" w:type="auto"/>
            <w:vAlign w:val="center"/>
          </w:tcPr>
          <w:p w:rsidR="005F78FC" w:rsidRDefault="00B42EF3">
            <w:pPr>
              <w:pStyle w:val="TableBodyText"/>
            </w:pPr>
            <w:r>
              <w:t>se-NO</w:t>
            </w:r>
          </w:p>
        </w:tc>
      </w:tr>
      <w:tr w:rsidR="005F78FC" w:rsidTr="005F78FC">
        <w:tc>
          <w:tcPr>
            <w:tcW w:w="0" w:type="auto"/>
            <w:vAlign w:val="center"/>
          </w:tcPr>
          <w:p w:rsidR="005F78FC" w:rsidRDefault="00B42EF3">
            <w:pPr>
              <w:pStyle w:val="TableBodyText"/>
            </w:pPr>
            <w:r>
              <w:t xml:space="preserve">Sinhalese - Sri Lanka </w:t>
            </w:r>
          </w:p>
        </w:tc>
        <w:tc>
          <w:tcPr>
            <w:tcW w:w="0" w:type="auto"/>
            <w:vAlign w:val="center"/>
          </w:tcPr>
          <w:p w:rsidR="005F78FC" w:rsidRDefault="00B42EF3">
            <w:pPr>
              <w:pStyle w:val="TableBodyText"/>
            </w:pPr>
            <w:r>
              <w:t>si-LK</w:t>
            </w:r>
          </w:p>
        </w:tc>
      </w:tr>
      <w:tr w:rsidR="005F78FC" w:rsidTr="005F78FC">
        <w:tc>
          <w:tcPr>
            <w:tcW w:w="0" w:type="auto"/>
            <w:vAlign w:val="center"/>
          </w:tcPr>
          <w:p w:rsidR="005F78FC" w:rsidRDefault="00B42EF3">
            <w:pPr>
              <w:pStyle w:val="TableBodyText"/>
            </w:pPr>
            <w:r>
              <w:t xml:space="preserve">Slovak </w:t>
            </w:r>
          </w:p>
        </w:tc>
        <w:tc>
          <w:tcPr>
            <w:tcW w:w="0" w:type="auto"/>
            <w:vAlign w:val="center"/>
          </w:tcPr>
          <w:p w:rsidR="005F78FC" w:rsidRDefault="00B42EF3">
            <w:pPr>
              <w:pStyle w:val="TableBodyText"/>
            </w:pPr>
            <w:r>
              <w:t>sk-SK</w:t>
            </w:r>
          </w:p>
        </w:tc>
      </w:tr>
      <w:tr w:rsidR="005F78FC" w:rsidTr="005F78FC">
        <w:tc>
          <w:tcPr>
            <w:tcW w:w="0" w:type="auto"/>
            <w:vAlign w:val="center"/>
          </w:tcPr>
          <w:p w:rsidR="005F78FC" w:rsidRDefault="00B42EF3">
            <w:pPr>
              <w:pStyle w:val="TableBodyText"/>
            </w:pPr>
            <w:r>
              <w:t xml:space="preserve">Slovenian </w:t>
            </w:r>
          </w:p>
        </w:tc>
        <w:tc>
          <w:tcPr>
            <w:tcW w:w="0" w:type="auto"/>
            <w:vAlign w:val="center"/>
          </w:tcPr>
          <w:p w:rsidR="005F78FC" w:rsidRDefault="00B42EF3">
            <w:pPr>
              <w:pStyle w:val="TableBodyText"/>
            </w:pPr>
            <w:r>
              <w:t>sl-SI</w:t>
            </w:r>
          </w:p>
        </w:tc>
      </w:tr>
      <w:tr w:rsidR="005F78FC" w:rsidTr="005F78FC">
        <w:tc>
          <w:tcPr>
            <w:tcW w:w="0" w:type="auto"/>
            <w:vAlign w:val="center"/>
          </w:tcPr>
          <w:p w:rsidR="005F78FC" w:rsidRDefault="00B42EF3">
            <w:pPr>
              <w:pStyle w:val="TableBodyText"/>
            </w:pPr>
            <w:r>
              <w:t xml:space="preserve">Somali </w:t>
            </w:r>
          </w:p>
        </w:tc>
        <w:tc>
          <w:tcPr>
            <w:tcW w:w="0" w:type="auto"/>
            <w:vAlign w:val="center"/>
          </w:tcPr>
          <w:p w:rsidR="005F78FC" w:rsidRDefault="00B42EF3">
            <w:pPr>
              <w:pStyle w:val="TableBodyText"/>
            </w:pPr>
            <w:r>
              <w:t>so-SO</w:t>
            </w:r>
          </w:p>
        </w:tc>
      </w:tr>
      <w:tr w:rsidR="005F78FC" w:rsidTr="005F78FC">
        <w:tc>
          <w:tcPr>
            <w:tcW w:w="0" w:type="auto"/>
            <w:vAlign w:val="center"/>
          </w:tcPr>
          <w:p w:rsidR="005F78FC" w:rsidRDefault="00B42EF3">
            <w:pPr>
              <w:pStyle w:val="TableBodyText"/>
            </w:pPr>
            <w:r>
              <w:t xml:space="preserve">Albanian - Albania </w:t>
            </w:r>
          </w:p>
        </w:tc>
        <w:tc>
          <w:tcPr>
            <w:tcW w:w="0" w:type="auto"/>
            <w:vAlign w:val="center"/>
          </w:tcPr>
          <w:p w:rsidR="005F78FC" w:rsidRDefault="00B42EF3">
            <w:pPr>
              <w:pStyle w:val="TableBodyText"/>
            </w:pPr>
            <w:r>
              <w:t>sq-AL</w:t>
            </w:r>
          </w:p>
        </w:tc>
      </w:tr>
      <w:tr w:rsidR="005F78FC" w:rsidTr="005F78FC">
        <w:tc>
          <w:tcPr>
            <w:tcW w:w="0" w:type="auto"/>
            <w:vAlign w:val="center"/>
          </w:tcPr>
          <w:p w:rsidR="005F78FC" w:rsidRDefault="00B42EF3">
            <w:pPr>
              <w:pStyle w:val="TableBodyText"/>
            </w:pPr>
            <w:r>
              <w:t xml:space="preserve">Serbian (Cyrillic) </w:t>
            </w:r>
          </w:p>
        </w:tc>
        <w:tc>
          <w:tcPr>
            <w:tcW w:w="0" w:type="auto"/>
            <w:vAlign w:val="center"/>
          </w:tcPr>
          <w:p w:rsidR="005F78FC" w:rsidRDefault="00B42EF3">
            <w:pPr>
              <w:pStyle w:val="TableBodyText"/>
            </w:pPr>
            <w:r>
              <w:t>sr-Cyrl-CS+C44</w:t>
            </w:r>
          </w:p>
        </w:tc>
      </w:tr>
      <w:tr w:rsidR="005F78FC" w:rsidTr="005F78FC">
        <w:tc>
          <w:tcPr>
            <w:tcW w:w="0" w:type="auto"/>
            <w:vAlign w:val="center"/>
          </w:tcPr>
          <w:p w:rsidR="005F78FC" w:rsidRDefault="00B42EF3">
            <w:pPr>
              <w:pStyle w:val="TableBodyText"/>
            </w:pPr>
            <w:r>
              <w:t xml:space="preserve">Serbian (Latin) </w:t>
            </w:r>
          </w:p>
        </w:tc>
        <w:tc>
          <w:tcPr>
            <w:tcW w:w="0" w:type="auto"/>
            <w:vAlign w:val="center"/>
          </w:tcPr>
          <w:p w:rsidR="005F78FC" w:rsidRDefault="00B42EF3">
            <w:pPr>
              <w:pStyle w:val="TableBodyText"/>
            </w:pPr>
            <w:r>
              <w:t>sr-Latn-CS</w:t>
            </w:r>
          </w:p>
        </w:tc>
      </w:tr>
      <w:tr w:rsidR="005F78FC" w:rsidTr="005F78FC">
        <w:tc>
          <w:tcPr>
            <w:tcW w:w="0" w:type="auto"/>
            <w:vAlign w:val="center"/>
          </w:tcPr>
          <w:p w:rsidR="005F78FC" w:rsidRDefault="00B42EF3">
            <w:pPr>
              <w:pStyle w:val="TableBodyText"/>
            </w:pPr>
            <w:r>
              <w:t xml:space="preserve">Sutu </w:t>
            </w:r>
          </w:p>
        </w:tc>
        <w:tc>
          <w:tcPr>
            <w:tcW w:w="0" w:type="auto"/>
            <w:vAlign w:val="center"/>
          </w:tcPr>
          <w:p w:rsidR="005F78FC" w:rsidRDefault="00B42EF3">
            <w:pPr>
              <w:pStyle w:val="TableBodyText"/>
            </w:pPr>
            <w:r>
              <w:t>st-ZA</w:t>
            </w:r>
          </w:p>
        </w:tc>
      </w:tr>
      <w:tr w:rsidR="005F78FC" w:rsidTr="005F78FC">
        <w:tc>
          <w:tcPr>
            <w:tcW w:w="0" w:type="auto"/>
            <w:vAlign w:val="center"/>
          </w:tcPr>
          <w:p w:rsidR="005F78FC" w:rsidRDefault="00B42EF3">
            <w:pPr>
              <w:pStyle w:val="TableBodyText"/>
            </w:pPr>
            <w:r>
              <w:t xml:space="preserve">Swedish - Finland </w:t>
            </w:r>
          </w:p>
        </w:tc>
        <w:tc>
          <w:tcPr>
            <w:tcW w:w="0" w:type="auto"/>
            <w:vAlign w:val="center"/>
          </w:tcPr>
          <w:p w:rsidR="005F78FC" w:rsidRDefault="00B42EF3">
            <w:pPr>
              <w:pStyle w:val="TableBodyText"/>
            </w:pPr>
            <w:r>
              <w:t>sv-FI</w:t>
            </w:r>
          </w:p>
        </w:tc>
      </w:tr>
      <w:tr w:rsidR="005F78FC" w:rsidTr="005F78FC">
        <w:tc>
          <w:tcPr>
            <w:tcW w:w="0" w:type="auto"/>
            <w:vAlign w:val="center"/>
          </w:tcPr>
          <w:p w:rsidR="005F78FC" w:rsidRDefault="00B42EF3">
            <w:pPr>
              <w:pStyle w:val="TableBodyText"/>
            </w:pPr>
            <w:r>
              <w:t xml:space="preserve">Swedish </w:t>
            </w:r>
          </w:p>
        </w:tc>
        <w:tc>
          <w:tcPr>
            <w:tcW w:w="0" w:type="auto"/>
            <w:vAlign w:val="center"/>
          </w:tcPr>
          <w:p w:rsidR="005F78FC" w:rsidRDefault="00B42EF3">
            <w:pPr>
              <w:pStyle w:val="TableBodyText"/>
            </w:pPr>
            <w:r>
              <w:t>sv-SE</w:t>
            </w:r>
          </w:p>
        </w:tc>
      </w:tr>
      <w:tr w:rsidR="005F78FC" w:rsidTr="005F78FC">
        <w:tc>
          <w:tcPr>
            <w:tcW w:w="0" w:type="auto"/>
            <w:vAlign w:val="center"/>
          </w:tcPr>
          <w:p w:rsidR="005F78FC" w:rsidRDefault="00B42EF3">
            <w:pPr>
              <w:pStyle w:val="TableBodyText"/>
            </w:pPr>
            <w:r>
              <w:t xml:space="preserve">Swahili </w:t>
            </w:r>
          </w:p>
        </w:tc>
        <w:tc>
          <w:tcPr>
            <w:tcW w:w="0" w:type="auto"/>
            <w:vAlign w:val="center"/>
          </w:tcPr>
          <w:p w:rsidR="005F78FC" w:rsidRDefault="00B42EF3">
            <w:pPr>
              <w:pStyle w:val="TableBodyText"/>
            </w:pPr>
            <w:r>
              <w:t>sw-KE</w:t>
            </w:r>
          </w:p>
        </w:tc>
      </w:tr>
      <w:tr w:rsidR="005F78FC" w:rsidTr="005F78FC">
        <w:tc>
          <w:tcPr>
            <w:tcW w:w="0" w:type="auto"/>
            <w:vAlign w:val="center"/>
          </w:tcPr>
          <w:p w:rsidR="005F78FC" w:rsidRDefault="00B42EF3">
            <w:pPr>
              <w:pStyle w:val="TableBodyText"/>
            </w:pPr>
            <w:r>
              <w:t xml:space="preserve">Syriac </w:t>
            </w:r>
          </w:p>
        </w:tc>
        <w:tc>
          <w:tcPr>
            <w:tcW w:w="0" w:type="auto"/>
            <w:vAlign w:val="center"/>
          </w:tcPr>
          <w:p w:rsidR="005F78FC" w:rsidRDefault="00B42EF3">
            <w:pPr>
              <w:pStyle w:val="TableBodyText"/>
            </w:pPr>
            <w:r>
              <w:t>syr-SY</w:t>
            </w:r>
          </w:p>
        </w:tc>
      </w:tr>
      <w:tr w:rsidR="005F78FC" w:rsidTr="005F78FC">
        <w:tc>
          <w:tcPr>
            <w:tcW w:w="0" w:type="auto"/>
            <w:vAlign w:val="center"/>
          </w:tcPr>
          <w:p w:rsidR="005F78FC" w:rsidRDefault="00B42EF3">
            <w:pPr>
              <w:pStyle w:val="TableBodyText"/>
            </w:pPr>
            <w:r>
              <w:t xml:space="preserve">Tamil </w:t>
            </w:r>
          </w:p>
        </w:tc>
        <w:tc>
          <w:tcPr>
            <w:tcW w:w="0" w:type="auto"/>
            <w:vAlign w:val="center"/>
          </w:tcPr>
          <w:p w:rsidR="005F78FC" w:rsidRDefault="00B42EF3">
            <w:pPr>
              <w:pStyle w:val="TableBodyText"/>
            </w:pPr>
            <w:r>
              <w:t>ta-IN</w:t>
            </w:r>
          </w:p>
        </w:tc>
      </w:tr>
      <w:tr w:rsidR="005F78FC" w:rsidTr="005F78FC">
        <w:tc>
          <w:tcPr>
            <w:tcW w:w="0" w:type="auto"/>
            <w:vAlign w:val="center"/>
          </w:tcPr>
          <w:p w:rsidR="005F78FC" w:rsidRDefault="00B42EF3">
            <w:pPr>
              <w:pStyle w:val="TableBodyText"/>
            </w:pPr>
            <w:r>
              <w:t xml:space="preserve">Telugu </w:t>
            </w:r>
          </w:p>
        </w:tc>
        <w:tc>
          <w:tcPr>
            <w:tcW w:w="0" w:type="auto"/>
            <w:vAlign w:val="center"/>
          </w:tcPr>
          <w:p w:rsidR="005F78FC" w:rsidRDefault="00B42EF3">
            <w:pPr>
              <w:pStyle w:val="TableBodyText"/>
            </w:pPr>
            <w:r>
              <w:t>te-IN</w:t>
            </w:r>
          </w:p>
        </w:tc>
      </w:tr>
      <w:tr w:rsidR="005F78FC" w:rsidTr="005F78FC">
        <w:tc>
          <w:tcPr>
            <w:tcW w:w="0" w:type="auto"/>
            <w:vAlign w:val="center"/>
          </w:tcPr>
          <w:p w:rsidR="005F78FC" w:rsidRDefault="00B42EF3">
            <w:pPr>
              <w:pStyle w:val="TableBodyText"/>
            </w:pPr>
            <w:r>
              <w:t xml:space="preserve">Tajik </w:t>
            </w:r>
          </w:p>
        </w:tc>
        <w:tc>
          <w:tcPr>
            <w:tcW w:w="0" w:type="auto"/>
            <w:vAlign w:val="center"/>
          </w:tcPr>
          <w:p w:rsidR="005F78FC" w:rsidRDefault="00B42EF3">
            <w:pPr>
              <w:pStyle w:val="TableBodyText"/>
            </w:pPr>
            <w:r>
              <w:t>tg-Cyrl-TJ</w:t>
            </w:r>
          </w:p>
        </w:tc>
      </w:tr>
      <w:tr w:rsidR="005F78FC" w:rsidTr="005F78FC">
        <w:tc>
          <w:tcPr>
            <w:tcW w:w="0" w:type="auto"/>
            <w:vAlign w:val="center"/>
          </w:tcPr>
          <w:p w:rsidR="005F78FC" w:rsidRDefault="00B42EF3">
            <w:pPr>
              <w:pStyle w:val="TableBodyText"/>
            </w:pPr>
            <w:r>
              <w:t xml:space="preserve">Thai </w:t>
            </w:r>
          </w:p>
        </w:tc>
        <w:tc>
          <w:tcPr>
            <w:tcW w:w="0" w:type="auto"/>
            <w:vAlign w:val="center"/>
          </w:tcPr>
          <w:p w:rsidR="005F78FC" w:rsidRDefault="00B42EF3">
            <w:pPr>
              <w:pStyle w:val="TableBodyText"/>
            </w:pPr>
            <w:r>
              <w:t>th-TH</w:t>
            </w:r>
          </w:p>
        </w:tc>
      </w:tr>
      <w:tr w:rsidR="005F78FC" w:rsidTr="005F78FC">
        <w:tc>
          <w:tcPr>
            <w:tcW w:w="0" w:type="auto"/>
            <w:vAlign w:val="center"/>
          </w:tcPr>
          <w:p w:rsidR="005F78FC" w:rsidRDefault="00B42EF3">
            <w:pPr>
              <w:pStyle w:val="TableBodyText"/>
            </w:pPr>
            <w:r>
              <w:t xml:space="preserve">Tigrigna - Ethiopia </w:t>
            </w:r>
          </w:p>
        </w:tc>
        <w:tc>
          <w:tcPr>
            <w:tcW w:w="0" w:type="auto"/>
            <w:vAlign w:val="center"/>
          </w:tcPr>
          <w:p w:rsidR="005F78FC" w:rsidRDefault="00B42EF3">
            <w:pPr>
              <w:pStyle w:val="TableBodyText"/>
            </w:pPr>
            <w:r>
              <w:t>ti-ER</w:t>
            </w:r>
          </w:p>
        </w:tc>
      </w:tr>
      <w:tr w:rsidR="005F78FC" w:rsidTr="005F78FC">
        <w:tc>
          <w:tcPr>
            <w:tcW w:w="0" w:type="auto"/>
            <w:vAlign w:val="center"/>
          </w:tcPr>
          <w:p w:rsidR="005F78FC" w:rsidRDefault="00B42EF3">
            <w:pPr>
              <w:pStyle w:val="TableBodyText"/>
            </w:pPr>
            <w:r>
              <w:t xml:space="preserve">Tigrigna - Eritrea </w:t>
            </w:r>
          </w:p>
        </w:tc>
        <w:tc>
          <w:tcPr>
            <w:tcW w:w="0" w:type="auto"/>
            <w:vAlign w:val="center"/>
          </w:tcPr>
          <w:p w:rsidR="005F78FC" w:rsidRDefault="00B42EF3">
            <w:pPr>
              <w:pStyle w:val="TableBodyText"/>
            </w:pPr>
            <w:r>
              <w:t>ti-ET</w:t>
            </w:r>
          </w:p>
        </w:tc>
      </w:tr>
      <w:tr w:rsidR="005F78FC" w:rsidTr="005F78FC">
        <w:tc>
          <w:tcPr>
            <w:tcW w:w="0" w:type="auto"/>
            <w:vAlign w:val="center"/>
          </w:tcPr>
          <w:p w:rsidR="005F78FC" w:rsidRDefault="00B42EF3">
            <w:pPr>
              <w:pStyle w:val="TableBodyText"/>
            </w:pPr>
            <w:r>
              <w:t xml:space="preserve">Turkmen </w:t>
            </w:r>
          </w:p>
        </w:tc>
        <w:tc>
          <w:tcPr>
            <w:tcW w:w="0" w:type="auto"/>
            <w:vAlign w:val="center"/>
          </w:tcPr>
          <w:p w:rsidR="005F78FC" w:rsidRDefault="00B42EF3">
            <w:pPr>
              <w:pStyle w:val="TableBodyText"/>
            </w:pPr>
            <w:r>
              <w:t>tk-TM</w:t>
            </w:r>
          </w:p>
        </w:tc>
      </w:tr>
      <w:tr w:rsidR="005F78FC" w:rsidTr="005F78FC">
        <w:tc>
          <w:tcPr>
            <w:tcW w:w="0" w:type="auto"/>
            <w:vAlign w:val="center"/>
          </w:tcPr>
          <w:p w:rsidR="005F78FC" w:rsidRDefault="00B42EF3">
            <w:pPr>
              <w:pStyle w:val="TableBodyText"/>
            </w:pPr>
            <w:r>
              <w:t xml:space="preserve">Tamazight (Arabic) </w:t>
            </w:r>
          </w:p>
        </w:tc>
        <w:tc>
          <w:tcPr>
            <w:tcW w:w="0" w:type="auto"/>
            <w:vAlign w:val="center"/>
          </w:tcPr>
          <w:p w:rsidR="005F78FC" w:rsidRDefault="00B42EF3">
            <w:pPr>
              <w:pStyle w:val="TableBodyText"/>
            </w:pPr>
            <w:r>
              <w:t>tmz</w:t>
            </w:r>
          </w:p>
        </w:tc>
      </w:tr>
      <w:tr w:rsidR="005F78FC" w:rsidTr="005F78FC">
        <w:tc>
          <w:tcPr>
            <w:tcW w:w="0" w:type="auto"/>
            <w:vAlign w:val="center"/>
          </w:tcPr>
          <w:p w:rsidR="005F78FC" w:rsidRDefault="00B42EF3">
            <w:pPr>
              <w:pStyle w:val="TableBodyText"/>
            </w:pPr>
            <w:r>
              <w:t xml:space="preserve">Tswana </w:t>
            </w:r>
          </w:p>
        </w:tc>
        <w:tc>
          <w:tcPr>
            <w:tcW w:w="0" w:type="auto"/>
            <w:vAlign w:val="center"/>
          </w:tcPr>
          <w:p w:rsidR="005F78FC" w:rsidRDefault="00B42EF3">
            <w:pPr>
              <w:pStyle w:val="TableBodyText"/>
            </w:pPr>
            <w:r>
              <w:t>tn-ZA</w:t>
            </w:r>
          </w:p>
        </w:tc>
      </w:tr>
      <w:tr w:rsidR="005F78FC" w:rsidTr="005F78FC">
        <w:tc>
          <w:tcPr>
            <w:tcW w:w="0" w:type="auto"/>
            <w:vAlign w:val="center"/>
          </w:tcPr>
          <w:p w:rsidR="005F78FC" w:rsidRDefault="00B42EF3">
            <w:pPr>
              <w:pStyle w:val="TableBodyText"/>
            </w:pPr>
            <w:r>
              <w:t xml:space="preserve">Turkish </w:t>
            </w:r>
          </w:p>
        </w:tc>
        <w:tc>
          <w:tcPr>
            <w:tcW w:w="0" w:type="auto"/>
            <w:vAlign w:val="center"/>
          </w:tcPr>
          <w:p w:rsidR="005F78FC" w:rsidRDefault="00B42EF3">
            <w:pPr>
              <w:pStyle w:val="TableBodyText"/>
            </w:pPr>
            <w:r>
              <w:t>tr-TR</w:t>
            </w:r>
          </w:p>
        </w:tc>
      </w:tr>
      <w:tr w:rsidR="005F78FC" w:rsidTr="005F78FC">
        <w:tc>
          <w:tcPr>
            <w:tcW w:w="0" w:type="auto"/>
            <w:vAlign w:val="center"/>
          </w:tcPr>
          <w:p w:rsidR="005F78FC" w:rsidRDefault="00B42EF3">
            <w:pPr>
              <w:pStyle w:val="TableBodyText"/>
            </w:pPr>
            <w:r>
              <w:t xml:space="preserve">Tsonga </w:t>
            </w:r>
          </w:p>
        </w:tc>
        <w:tc>
          <w:tcPr>
            <w:tcW w:w="0" w:type="auto"/>
            <w:vAlign w:val="center"/>
          </w:tcPr>
          <w:p w:rsidR="005F78FC" w:rsidRDefault="00B42EF3">
            <w:pPr>
              <w:pStyle w:val="TableBodyText"/>
            </w:pPr>
            <w:r>
              <w:t>ts-ZA</w:t>
            </w:r>
          </w:p>
        </w:tc>
      </w:tr>
      <w:tr w:rsidR="005F78FC" w:rsidTr="005F78FC">
        <w:tc>
          <w:tcPr>
            <w:tcW w:w="0" w:type="auto"/>
            <w:vAlign w:val="center"/>
          </w:tcPr>
          <w:p w:rsidR="005F78FC" w:rsidRDefault="00B42EF3">
            <w:pPr>
              <w:pStyle w:val="TableBodyText"/>
            </w:pPr>
            <w:r>
              <w:t xml:space="preserve">Tatar </w:t>
            </w:r>
          </w:p>
        </w:tc>
        <w:tc>
          <w:tcPr>
            <w:tcW w:w="0" w:type="auto"/>
            <w:vAlign w:val="center"/>
          </w:tcPr>
          <w:p w:rsidR="005F78FC" w:rsidRDefault="00B42EF3">
            <w:pPr>
              <w:pStyle w:val="TableBodyText"/>
            </w:pPr>
            <w:r>
              <w:t>tt-RU</w:t>
            </w:r>
          </w:p>
        </w:tc>
      </w:tr>
      <w:tr w:rsidR="005F78FC" w:rsidTr="005F78FC">
        <w:tc>
          <w:tcPr>
            <w:tcW w:w="0" w:type="auto"/>
            <w:vAlign w:val="center"/>
          </w:tcPr>
          <w:p w:rsidR="005F78FC" w:rsidRDefault="00B42EF3">
            <w:pPr>
              <w:pStyle w:val="TableBodyText"/>
            </w:pPr>
            <w:r>
              <w:t xml:space="preserve">Tamazight (Latin) </w:t>
            </w:r>
          </w:p>
        </w:tc>
        <w:tc>
          <w:tcPr>
            <w:tcW w:w="0" w:type="auto"/>
            <w:vAlign w:val="center"/>
          </w:tcPr>
          <w:p w:rsidR="005F78FC" w:rsidRDefault="00B42EF3">
            <w:pPr>
              <w:pStyle w:val="TableBodyText"/>
            </w:pPr>
            <w:r>
              <w:t>tzm-Latn-DZ</w:t>
            </w:r>
          </w:p>
        </w:tc>
      </w:tr>
      <w:tr w:rsidR="005F78FC" w:rsidTr="005F78FC">
        <w:tc>
          <w:tcPr>
            <w:tcW w:w="0" w:type="auto"/>
            <w:vAlign w:val="center"/>
          </w:tcPr>
          <w:p w:rsidR="005F78FC" w:rsidRDefault="00B42EF3">
            <w:pPr>
              <w:pStyle w:val="TableBodyText"/>
            </w:pPr>
            <w:r>
              <w:lastRenderedPageBreak/>
              <w:t xml:space="preserve">Uighur - China </w:t>
            </w:r>
          </w:p>
        </w:tc>
        <w:tc>
          <w:tcPr>
            <w:tcW w:w="0" w:type="auto"/>
            <w:vAlign w:val="center"/>
          </w:tcPr>
          <w:p w:rsidR="005F78FC" w:rsidRDefault="00B42EF3">
            <w:pPr>
              <w:pStyle w:val="TableBodyText"/>
            </w:pPr>
            <w:r>
              <w:t>ug-Arab-CN</w:t>
            </w:r>
          </w:p>
        </w:tc>
      </w:tr>
      <w:tr w:rsidR="005F78FC" w:rsidTr="005F78FC">
        <w:tc>
          <w:tcPr>
            <w:tcW w:w="0" w:type="auto"/>
            <w:vAlign w:val="center"/>
          </w:tcPr>
          <w:p w:rsidR="005F78FC" w:rsidRDefault="00B42EF3">
            <w:pPr>
              <w:pStyle w:val="TableBodyText"/>
            </w:pPr>
            <w:r>
              <w:t xml:space="preserve">Ukrainian </w:t>
            </w:r>
          </w:p>
        </w:tc>
        <w:tc>
          <w:tcPr>
            <w:tcW w:w="0" w:type="auto"/>
            <w:vAlign w:val="center"/>
          </w:tcPr>
          <w:p w:rsidR="005F78FC" w:rsidRDefault="00B42EF3">
            <w:pPr>
              <w:pStyle w:val="TableBodyText"/>
            </w:pPr>
            <w:r>
              <w:t>uk-UA</w:t>
            </w:r>
          </w:p>
        </w:tc>
      </w:tr>
      <w:tr w:rsidR="005F78FC" w:rsidTr="005F78FC">
        <w:tc>
          <w:tcPr>
            <w:tcW w:w="0" w:type="auto"/>
            <w:vAlign w:val="center"/>
          </w:tcPr>
          <w:p w:rsidR="005F78FC" w:rsidRDefault="00B42EF3">
            <w:pPr>
              <w:pStyle w:val="TableBodyText"/>
            </w:pPr>
            <w:r>
              <w:t xml:space="preserve">Urdu - India </w:t>
            </w:r>
          </w:p>
        </w:tc>
        <w:tc>
          <w:tcPr>
            <w:tcW w:w="0" w:type="auto"/>
            <w:vAlign w:val="center"/>
          </w:tcPr>
          <w:p w:rsidR="005F78FC" w:rsidRDefault="00B42EF3">
            <w:pPr>
              <w:pStyle w:val="TableBodyText"/>
            </w:pPr>
            <w:r>
              <w:t>ur-IN</w:t>
            </w:r>
          </w:p>
        </w:tc>
      </w:tr>
      <w:tr w:rsidR="005F78FC" w:rsidTr="005F78FC">
        <w:tc>
          <w:tcPr>
            <w:tcW w:w="0" w:type="auto"/>
            <w:vAlign w:val="center"/>
          </w:tcPr>
          <w:p w:rsidR="005F78FC" w:rsidRDefault="00B42EF3">
            <w:pPr>
              <w:pStyle w:val="TableBodyText"/>
            </w:pPr>
            <w:r>
              <w:t xml:space="preserve">Urdu - Pakistan </w:t>
            </w:r>
          </w:p>
        </w:tc>
        <w:tc>
          <w:tcPr>
            <w:tcW w:w="0" w:type="auto"/>
            <w:vAlign w:val="center"/>
          </w:tcPr>
          <w:p w:rsidR="005F78FC" w:rsidRDefault="00B42EF3">
            <w:pPr>
              <w:pStyle w:val="TableBodyText"/>
            </w:pPr>
            <w:r>
              <w:t>ur-PK</w:t>
            </w:r>
          </w:p>
        </w:tc>
      </w:tr>
      <w:tr w:rsidR="005F78FC" w:rsidTr="005F78FC">
        <w:tc>
          <w:tcPr>
            <w:tcW w:w="0" w:type="auto"/>
            <w:vAlign w:val="center"/>
          </w:tcPr>
          <w:p w:rsidR="005F78FC" w:rsidRDefault="00B42EF3">
            <w:pPr>
              <w:pStyle w:val="TableBodyText"/>
            </w:pPr>
            <w:r>
              <w:t xml:space="preserve">Uzbek (Cyrillic) </w:t>
            </w:r>
          </w:p>
        </w:tc>
        <w:tc>
          <w:tcPr>
            <w:tcW w:w="0" w:type="auto"/>
            <w:vAlign w:val="center"/>
          </w:tcPr>
          <w:p w:rsidR="005F78FC" w:rsidRDefault="00B42EF3">
            <w:pPr>
              <w:pStyle w:val="TableBodyText"/>
            </w:pPr>
            <w:r>
              <w:t>uz-Cyrl-UZ</w:t>
            </w:r>
          </w:p>
        </w:tc>
      </w:tr>
      <w:tr w:rsidR="005F78FC" w:rsidTr="005F78FC">
        <w:tc>
          <w:tcPr>
            <w:tcW w:w="0" w:type="auto"/>
            <w:vAlign w:val="center"/>
          </w:tcPr>
          <w:p w:rsidR="005F78FC" w:rsidRDefault="00B42EF3">
            <w:pPr>
              <w:pStyle w:val="TableBodyText"/>
            </w:pPr>
            <w:r>
              <w:t xml:space="preserve">Uzbek (Latin) </w:t>
            </w:r>
          </w:p>
        </w:tc>
        <w:tc>
          <w:tcPr>
            <w:tcW w:w="0" w:type="auto"/>
            <w:vAlign w:val="center"/>
          </w:tcPr>
          <w:p w:rsidR="005F78FC" w:rsidRDefault="00B42EF3">
            <w:pPr>
              <w:pStyle w:val="TableBodyText"/>
            </w:pPr>
            <w:r>
              <w:t>uz-Latn-UZ</w:t>
            </w:r>
          </w:p>
        </w:tc>
      </w:tr>
      <w:tr w:rsidR="005F78FC" w:rsidTr="005F78FC">
        <w:tc>
          <w:tcPr>
            <w:tcW w:w="0" w:type="auto"/>
            <w:vAlign w:val="center"/>
          </w:tcPr>
          <w:p w:rsidR="005F78FC" w:rsidRDefault="00B42EF3">
            <w:pPr>
              <w:pStyle w:val="TableBodyText"/>
            </w:pPr>
            <w:r>
              <w:t xml:space="preserve">Venda </w:t>
            </w:r>
          </w:p>
        </w:tc>
        <w:tc>
          <w:tcPr>
            <w:tcW w:w="0" w:type="auto"/>
            <w:vAlign w:val="center"/>
          </w:tcPr>
          <w:p w:rsidR="005F78FC" w:rsidRDefault="00B42EF3">
            <w:pPr>
              <w:pStyle w:val="TableBodyText"/>
            </w:pPr>
            <w:r>
              <w:t>ven-ZA</w:t>
            </w:r>
          </w:p>
        </w:tc>
      </w:tr>
      <w:tr w:rsidR="005F78FC" w:rsidTr="005F78FC">
        <w:tc>
          <w:tcPr>
            <w:tcW w:w="0" w:type="auto"/>
            <w:vAlign w:val="center"/>
          </w:tcPr>
          <w:p w:rsidR="005F78FC" w:rsidRDefault="00B42EF3">
            <w:pPr>
              <w:pStyle w:val="TableBodyText"/>
            </w:pPr>
            <w:r>
              <w:t xml:space="preserve">Vietnamese </w:t>
            </w:r>
          </w:p>
        </w:tc>
        <w:tc>
          <w:tcPr>
            <w:tcW w:w="0" w:type="auto"/>
            <w:vAlign w:val="center"/>
          </w:tcPr>
          <w:p w:rsidR="005F78FC" w:rsidRDefault="00B42EF3">
            <w:pPr>
              <w:pStyle w:val="TableBodyText"/>
            </w:pPr>
            <w:r>
              <w:t>vi-VN</w:t>
            </w:r>
          </w:p>
        </w:tc>
      </w:tr>
      <w:tr w:rsidR="005F78FC" w:rsidTr="005F78FC">
        <w:tc>
          <w:tcPr>
            <w:tcW w:w="0" w:type="auto"/>
            <w:vAlign w:val="center"/>
          </w:tcPr>
          <w:p w:rsidR="005F78FC" w:rsidRDefault="00B42EF3">
            <w:pPr>
              <w:pStyle w:val="TableBodyText"/>
            </w:pPr>
            <w:r>
              <w:t xml:space="preserve">Sorbian </w:t>
            </w:r>
          </w:p>
        </w:tc>
        <w:tc>
          <w:tcPr>
            <w:tcW w:w="0" w:type="auto"/>
            <w:vAlign w:val="center"/>
          </w:tcPr>
          <w:p w:rsidR="005F78FC" w:rsidRDefault="00B42EF3">
            <w:pPr>
              <w:pStyle w:val="TableBodyText"/>
            </w:pPr>
            <w:r>
              <w:t>wen-DE</w:t>
            </w:r>
          </w:p>
        </w:tc>
      </w:tr>
      <w:tr w:rsidR="005F78FC" w:rsidTr="005F78FC">
        <w:tc>
          <w:tcPr>
            <w:tcW w:w="0" w:type="auto"/>
            <w:vAlign w:val="center"/>
          </w:tcPr>
          <w:p w:rsidR="005F78FC" w:rsidRDefault="00B42EF3">
            <w:pPr>
              <w:pStyle w:val="TableBodyText"/>
            </w:pPr>
            <w:r>
              <w:t xml:space="preserve">Xhosa </w:t>
            </w:r>
          </w:p>
        </w:tc>
        <w:tc>
          <w:tcPr>
            <w:tcW w:w="0" w:type="auto"/>
            <w:vAlign w:val="center"/>
          </w:tcPr>
          <w:p w:rsidR="005F78FC" w:rsidRDefault="00B42EF3">
            <w:pPr>
              <w:pStyle w:val="TableBodyText"/>
            </w:pPr>
            <w:r>
              <w:t>xh-ZA</w:t>
            </w:r>
          </w:p>
        </w:tc>
      </w:tr>
      <w:tr w:rsidR="005F78FC" w:rsidTr="005F78FC">
        <w:tc>
          <w:tcPr>
            <w:tcW w:w="0" w:type="auto"/>
            <w:vAlign w:val="center"/>
          </w:tcPr>
          <w:p w:rsidR="005F78FC" w:rsidRDefault="00B42EF3">
            <w:pPr>
              <w:pStyle w:val="TableBodyText"/>
            </w:pPr>
            <w:r>
              <w:t xml:space="preserve">Yiddish </w:t>
            </w:r>
          </w:p>
        </w:tc>
        <w:tc>
          <w:tcPr>
            <w:tcW w:w="0" w:type="auto"/>
            <w:vAlign w:val="center"/>
          </w:tcPr>
          <w:p w:rsidR="005F78FC" w:rsidRDefault="00B42EF3">
            <w:pPr>
              <w:pStyle w:val="TableBodyText"/>
            </w:pPr>
            <w:r>
              <w:t>yi</w:t>
            </w:r>
          </w:p>
        </w:tc>
      </w:tr>
      <w:tr w:rsidR="005F78FC" w:rsidTr="005F78FC">
        <w:tc>
          <w:tcPr>
            <w:tcW w:w="0" w:type="auto"/>
            <w:vAlign w:val="center"/>
          </w:tcPr>
          <w:p w:rsidR="005F78FC" w:rsidRDefault="00B42EF3">
            <w:pPr>
              <w:pStyle w:val="TableBodyText"/>
            </w:pPr>
            <w:r>
              <w:t xml:space="preserve">Yoruba </w:t>
            </w:r>
          </w:p>
        </w:tc>
        <w:tc>
          <w:tcPr>
            <w:tcW w:w="0" w:type="auto"/>
            <w:vAlign w:val="center"/>
          </w:tcPr>
          <w:p w:rsidR="005F78FC" w:rsidRDefault="00B42EF3">
            <w:pPr>
              <w:pStyle w:val="TableBodyText"/>
            </w:pPr>
            <w:r>
              <w:t>yo-NG</w:t>
            </w:r>
          </w:p>
        </w:tc>
      </w:tr>
      <w:tr w:rsidR="005F78FC" w:rsidTr="005F78FC">
        <w:tc>
          <w:tcPr>
            <w:tcW w:w="0" w:type="auto"/>
            <w:vAlign w:val="center"/>
          </w:tcPr>
          <w:p w:rsidR="005F78FC" w:rsidRDefault="00B42EF3">
            <w:pPr>
              <w:pStyle w:val="TableBodyText"/>
            </w:pPr>
            <w:r>
              <w:t xml:space="preserve">Chinese - People's Republic of China </w:t>
            </w:r>
          </w:p>
        </w:tc>
        <w:tc>
          <w:tcPr>
            <w:tcW w:w="0" w:type="auto"/>
            <w:vAlign w:val="center"/>
          </w:tcPr>
          <w:p w:rsidR="005F78FC" w:rsidRDefault="00B42EF3">
            <w:pPr>
              <w:pStyle w:val="TableBodyText"/>
            </w:pPr>
            <w:r>
              <w:t>zh-CN</w:t>
            </w:r>
          </w:p>
        </w:tc>
      </w:tr>
      <w:tr w:rsidR="005F78FC" w:rsidTr="005F78FC">
        <w:tc>
          <w:tcPr>
            <w:tcW w:w="0" w:type="auto"/>
            <w:vAlign w:val="center"/>
          </w:tcPr>
          <w:p w:rsidR="005F78FC" w:rsidRDefault="00B42EF3">
            <w:pPr>
              <w:pStyle w:val="TableBodyText"/>
            </w:pPr>
            <w:r>
              <w:t xml:space="preserve">Chinese - Hong Kong SAR </w:t>
            </w:r>
          </w:p>
        </w:tc>
        <w:tc>
          <w:tcPr>
            <w:tcW w:w="0" w:type="auto"/>
            <w:vAlign w:val="center"/>
          </w:tcPr>
          <w:p w:rsidR="005F78FC" w:rsidRDefault="00B42EF3">
            <w:pPr>
              <w:pStyle w:val="TableBodyText"/>
            </w:pPr>
            <w:r>
              <w:t>zh-HK</w:t>
            </w:r>
          </w:p>
        </w:tc>
      </w:tr>
      <w:tr w:rsidR="005F78FC" w:rsidTr="005F78FC">
        <w:tc>
          <w:tcPr>
            <w:tcW w:w="0" w:type="auto"/>
            <w:vAlign w:val="center"/>
          </w:tcPr>
          <w:p w:rsidR="005F78FC" w:rsidRDefault="00B42EF3">
            <w:pPr>
              <w:pStyle w:val="TableBodyText"/>
            </w:pPr>
            <w:r>
              <w:t xml:space="preserve">Chinese - Macao SAR </w:t>
            </w:r>
          </w:p>
        </w:tc>
        <w:tc>
          <w:tcPr>
            <w:tcW w:w="0" w:type="auto"/>
            <w:vAlign w:val="center"/>
          </w:tcPr>
          <w:p w:rsidR="005F78FC" w:rsidRDefault="00B42EF3">
            <w:pPr>
              <w:pStyle w:val="TableBodyText"/>
            </w:pPr>
            <w:r>
              <w:t>zh-MO</w:t>
            </w:r>
          </w:p>
        </w:tc>
      </w:tr>
      <w:tr w:rsidR="005F78FC" w:rsidTr="005F78FC">
        <w:tc>
          <w:tcPr>
            <w:tcW w:w="0" w:type="auto"/>
            <w:vAlign w:val="center"/>
          </w:tcPr>
          <w:p w:rsidR="005F78FC" w:rsidRDefault="00B42EF3">
            <w:pPr>
              <w:pStyle w:val="TableBodyText"/>
            </w:pPr>
            <w:r>
              <w:t xml:space="preserve">Chinese - Singapore </w:t>
            </w:r>
          </w:p>
        </w:tc>
        <w:tc>
          <w:tcPr>
            <w:tcW w:w="0" w:type="auto"/>
            <w:vAlign w:val="center"/>
          </w:tcPr>
          <w:p w:rsidR="005F78FC" w:rsidRDefault="00B42EF3">
            <w:pPr>
              <w:pStyle w:val="TableBodyText"/>
            </w:pPr>
            <w:r>
              <w:t>zh-SG</w:t>
            </w:r>
          </w:p>
        </w:tc>
      </w:tr>
      <w:tr w:rsidR="005F78FC" w:rsidTr="005F78FC">
        <w:tc>
          <w:tcPr>
            <w:tcW w:w="0" w:type="auto"/>
            <w:vAlign w:val="center"/>
          </w:tcPr>
          <w:p w:rsidR="005F78FC" w:rsidRDefault="00B42EF3">
            <w:pPr>
              <w:pStyle w:val="TableBodyText"/>
            </w:pPr>
            <w:r>
              <w:t xml:space="preserve">Chinese - Taiwan </w:t>
            </w:r>
          </w:p>
        </w:tc>
        <w:tc>
          <w:tcPr>
            <w:tcW w:w="0" w:type="auto"/>
            <w:vAlign w:val="center"/>
          </w:tcPr>
          <w:p w:rsidR="005F78FC" w:rsidRDefault="00B42EF3">
            <w:pPr>
              <w:pStyle w:val="TableBodyText"/>
            </w:pPr>
            <w:r>
              <w:t>zh-TW</w:t>
            </w:r>
          </w:p>
        </w:tc>
      </w:tr>
      <w:tr w:rsidR="005F78FC" w:rsidTr="005F78FC">
        <w:tc>
          <w:tcPr>
            <w:tcW w:w="0" w:type="auto"/>
            <w:vAlign w:val="center"/>
          </w:tcPr>
          <w:p w:rsidR="005F78FC" w:rsidRDefault="00B42EF3">
            <w:pPr>
              <w:pStyle w:val="TableBodyText"/>
            </w:pPr>
            <w:r>
              <w:t xml:space="preserve">Zulu </w:t>
            </w:r>
          </w:p>
        </w:tc>
        <w:tc>
          <w:tcPr>
            <w:tcW w:w="0" w:type="auto"/>
            <w:vAlign w:val="center"/>
          </w:tcPr>
          <w:p w:rsidR="005F78FC" w:rsidRDefault="00B42EF3">
            <w:pPr>
              <w:pStyle w:val="TableBodyText"/>
            </w:pPr>
            <w:r>
              <w:t>zu-ZA</w:t>
            </w:r>
          </w:p>
        </w:tc>
      </w:tr>
    </w:tbl>
    <w:p w:rsidR="005F78FC" w:rsidRDefault="005F78FC"/>
    <w:p w:rsidR="005F78FC" w:rsidRDefault="00B42EF3">
      <w:pPr>
        <w:pStyle w:val="Heading3"/>
      </w:pPr>
      <w:bookmarkStart w:id="3498" w:name="section_aacf0e0fe33940ed8532ff57a2e6f8a6"/>
      <w:bookmarkStart w:id="3499" w:name="_Toc69879522"/>
      <w:r>
        <w:t>Part 1 Section 22.9.2.7, ST_OnOff (On/Off Value)</w:t>
      </w:r>
      <w:bookmarkEnd w:id="3498"/>
      <w:bookmarkEnd w:id="3499"/>
      <w:r>
        <w:fldChar w:fldCharType="begin"/>
      </w:r>
      <w:r>
        <w:instrText xml:space="preserve"> XE "ST_OnOff (On/Off Value)" </w:instrText>
      </w:r>
      <w:r>
        <w:fldChar w:fldCharType="end"/>
      </w:r>
    </w:p>
    <w:p w:rsidR="005F78FC" w:rsidRDefault="00B42EF3">
      <w:pPr>
        <w:pStyle w:val="Definition-Field"/>
      </w:pPr>
      <w:r>
        <w:t xml:space="preserve">a.   </w:t>
      </w:r>
      <w:r>
        <w:rPr>
          <w:i/>
        </w:rPr>
        <w:t>The standard states that the default value for the ST_OnOff simple type is 1 or true.</w:t>
      </w:r>
    </w:p>
    <w:p w:rsidR="005F78FC" w:rsidRDefault="00B42EF3">
      <w:pPr>
        <w:pStyle w:val="Definition-Field2"/>
      </w:pPr>
      <w:r>
        <w:t>Word uses the default value specified by the element, if the element specifies a def</w:t>
      </w:r>
      <w:r>
        <w:t>ault value.</w:t>
      </w:r>
    </w:p>
    <w:p w:rsidR="005F78FC" w:rsidRDefault="00B42EF3">
      <w:pPr>
        <w:pStyle w:val="Heading3"/>
      </w:pPr>
      <w:bookmarkStart w:id="3500" w:name="section_36a8c9a33650482fb5602ec6ab9fadab"/>
      <w:bookmarkStart w:id="3501" w:name="_Toc69879523"/>
      <w:r>
        <w:t>Part 1 Section 22.9.2.14, ST_TwipsMeasure (Measurement in Twentieths of a Point)</w:t>
      </w:r>
      <w:bookmarkEnd w:id="3500"/>
      <w:bookmarkEnd w:id="3501"/>
      <w:r>
        <w:fldChar w:fldCharType="begin"/>
      </w:r>
      <w:r>
        <w:instrText xml:space="preserve"> XE "ST_TwipsMeasure (Measurement in Twentieths of a Point)" </w:instrText>
      </w:r>
      <w:r>
        <w:fldChar w:fldCharType="end"/>
      </w:r>
    </w:p>
    <w:p w:rsidR="005F78FC" w:rsidRDefault="00B42EF3">
      <w:pPr>
        <w:pStyle w:val="Definition-Field"/>
      </w:pPr>
      <w:r>
        <w:t xml:space="preserve">a.   </w:t>
      </w:r>
      <w:r>
        <w:rPr>
          <w:i/>
        </w:rPr>
        <w:t>The standard states that any unsigned 32-bit integer is allowed.</w:t>
      </w:r>
    </w:p>
    <w:p w:rsidR="005F78FC" w:rsidRDefault="00B42EF3">
      <w:pPr>
        <w:pStyle w:val="Definition-Field2"/>
      </w:pPr>
      <w:r>
        <w:t xml:space="preserve">Word allows only values up to </w:t>
      </w:r>
      <w:r>
        <w:t>31,680 when this simple type is used in Math elements ("</w:t>
      </w:r>
      <w:hyperlink r:id="rId227">
        <w:r>
          <w:rPr>
            <w:rStyle w:val="Hyperlink"/>
          </w:rPr>
          <w:t>[ISO/IEC-29500-1]</w:t>
        </w:r>
      </w:hyperlink>
      <w:r>
        <w:t xml:space="preserve"> §22").</w:t>
      </w:r>
    </w:p>
    <w:p w:rsidR="005F78FC" w:rsidRDefault="00B42EF3">
      <w:pPr>
        <w:pStyle w:val="Heading3"/>
      </w:pPr>
      <w:bookmarkStart w:id="3502" w:name="section_5e4c54421b28482ea1ae61157400fc89"/>
      <w:bookmarkStart w:id="3503" w:name="_Toc69879524"/>
      <w:r>
        <w:t>Part 1 Section 22.9.2.16, ST_UnsignedDecimalNumber (Unsigned Decimal Number Value)</w:t>
      </w:r>
      <w:bookmarkEnd w:id="3502"/>
      <w:bookmarkEnd w:id="3503"/>
      <w:r>
        <w:fldChar w:fldCharType="begin"/>
      </w:r>
      <w:r>
        <w:instrText xml:space="preserve"> XE "ST_UnsignedDecimalNumber (Unsigned Decimal Number Value)" </w:instrText>
      </w:r>
      <w:r>
        <w:fldChar w:fldCharType="end"/>
      </w:r>
    </w:p>
    <w:p w:rsidR="005F78FC" w:rsidRDefault="00B42EF3">
      <w:pPr>
        <w:pStyle w:val="Definition-Field"/>
      </w:pPr>
      <w:r>
        <w:t xml:space="preserve">a.   </w:t>
      </w:r>
      <w:r>
        <w:rPr>
          <w:i/>
        </w:rPr>
        <w:t>The standard states that the contents of the ST_UnsignedDecimalNumber simple type are a restriction on the XML Schema unsignedLong datatype.</w:t>
      </w:r>
    </w:p>
    <w:p w:rsidR="005F78FC" w:rsidRDefault="00B42EF3">
      <w:pPr>
        <w:pStyle w:val="Definition-Field2"/>
      </w:pPr>
      <w:r>
        <w:lastRenderedPageBreak/>
        <w:t>Word defines the contents of this simple typ</w:t>
      </w:r>
      <w:r>
        <w:t>e as being a restriction on the XML Schema unsignedInt datatype.</w:t>
      </w:r>
    </w:p>
    <w:p w:rsidR="005F78FC" w:rsidRDefault="00B42EF3">
      <w:pPr>
        <w:pStyle w:val="Heading3"/>
      </w:pPr>
      <w:bookmarkStart w:id="3504" w:name="section_d34ae755c53f4a44a363c6dd3ee018a4"/>
      <w:bookmarkStart w:id="3505" w:name="_Toc69879525"/>
      <w:r>
        <w:t>Part 1 Section 22.9.2.19, ST_Xstring (Escaped String)</w:t>
      </w:r>
      <w:bookmarkEnd w:id="3504"/>
      <w:bookmarkEnd w:id="3505"/>
      <w:r>
        <w:fldChar w:fldCharType="begin"/>
      </w:r>
      <w:r>
        <w:instrText xml:space="preserve"> XE "ST_Xstring (Escaped String)" </w:instrText>
      </w:r>
      <w:r>
        <w:fldChar w:fldCharType="end"/>
      </w:r>
    </w:p>
    <w:p w:rsidR="005F78FC" w:rsidRDefault="00B42EF3">
      <w:pPr>
        <w:pStyle w:val="Definition-Field"/>
      </w:pPr>
      <w:r>
        <w:t xml:space="preserve">a.   </w:t>
      </w:r>
      <w:r>
        <w:rPr>
          <w:i/>
        </w:rPr>
        <w:t>The standard places no restrictions on the characters that can be escaped in the contents of the</w:t>
      </w:r>
      <w:r>
        <w:rPr>
          <w:i/>
        </w:rPr>
        <w:t xml:space="preserve"> ST_Xstring simple type.</w:t>
      </w:r>
    </w:p>
    <w:p w:rsidR="005F78FC" w:rsidRDefault="00B42EF3">
      <w:pPr>
        <w:pStyle w:val="Definition-Field2"/>
      </w:pPr>
      <w:r>
        <w:t>Office does not allow the newline (0x000A) or tab (0x0009) characters to be escaped in this simple type's contents.</w:t>
      </w:r>
    </w:p>
    <w:p w:rsidR="005F78FC" w:rsidRDefault="00B42EF3">
      <w:pPr>
        <w:pStyle w:val="Definition-Field"/>
      </w:pPr>
      <w:r>
        <w:t xml:space="preserve">b.   </w:t>
      </w:r>
      <w:r>
        <w:rPr>
          <w:i/>
        </w:rPr>
        <w:t>The standard implies that the only characters that can be Xstring encoded are invalid XML characters.</w:t>
      </w:r>
    </w:p>
    <w:p w:rsidR="005F78FC" w:rsidRDefault="00B42EF3">
      <w:r>
        <w:t>The foll</w:t>
      </w:r>
      <w:r>
        <w:t>owing four cases represent valid XML characters that should be escaped:</w:t>
      </w:r>
    </w:p>
    <w:p w:rsidR="005F78FC" w:rsidRDefault="00B42EF3">
      <w:pPr>
        <w:pStyle w:val="ListParagraph"/>
        <w:numPr>
          <w:ilvl w:val="0"/>
          <w:numId w:val="167"/>
        </w:numPr>
        <w:contextualSpacing/>
      </w:pPr>
      <w:r>
        <w:t>Carriage Return (0x000D): This character shall be escaped.</w:t>
      </w:r>
    </w:p>
    <w:p w:rsidR="005F78FC" w:rsidRDefault="00B42EF3">
      <w:pPr>
        <w:pStyle w:val="ListParagraph"/>
        <w:numPr>
          <w:ilvl w:val="0"/>
          <w:numId w:val="167"/>
        </w:numPr>
        <w:contextualSpacing/>
      </w:pPr>
      <w:r>
        <w:t>Line Feed (0x000A): This character shall be escaped only when used in an attribute.</w:t>
      </w:r>
    </w:p>
    <w:p w:rsidR="005F78FC" w:rsidRDefault="00B42EF3">
      <w:pPr>
        <w:pStyle w:val="ListParagraph"/>
        <w:numPr>
          <w:ilvl w:val="0"/>
          <w:numId w:val="167"/>
        </w:numPr>
        <w:contextualSpacing/>
      </w:pPr>
      <w:r>
        <w:t>Tab (0x0009): This character shall be esc</w:t>
      </w:r>
      <w:r>
        <w:t>aped only when used in an attribute.</w:t>
      </w:r>
    </w:p>
    <w:p w:rsidR="005F78FC" w:rsidRDefault="00B42EF3">
      <w:pPr>
        <w:pStyle w:val="ListParagraph"/>
        <w:numPr>
          <w:ilvl w:val="0"/>
          <w:numId w:val="167"/>
        </w:numPr>
      </w:pPr>
      <w:r>
        <w:t>Underscore (0x005f): This character shall be escaped only when used to escape the first underscore character in the format _xHHHH_.</w:t>
      </w:r>
    </w:p>
    <w:p w:rsidR="005F78FC" w:rsidRDefault="00B42EF3">
      <w:pPr>
        <w:pStyle w:val="Definition-Field"/>
      </w:pPr>
      <w:r>
        <w:t xml:space="preserve">c.   </w:t>
      </w:r>
      <w:r>
        <w:rPr>
          <w:i/>
        </w:rPr>
        <w:t>The standard allows Xstring to encode underscores using _x005f_.</w:t>
      </w:r>
    </w:p>
    <w:p w:rsidR="005F78FC" w:rsidRDefault="00B42EF3">
      <w:pPr>
        <w:pStyle w:val="Definition-Field2"/>
      </w:pPr>
      <w:r>
        <w:t>In Excel, Xstring</w:t>
      </w:r>
      <w:r>
        <w:t>s may only contain the escape sequence _x005f_ when escaping the lead underscore from a string in the form _xHHHH_.</w:t>
      </w:r>
    </w:p>
    <w:p w:rsidR="005F78FC" w:rsidRDefault="00B42EF3">
      <w:pPr>
        <w:pStyle w:val="Heading3"/>
      </w:pPr>
      <w:bookmarkStart w:id="3506" w:name="section_11175c3547a14d24a5f6b100ac0a1742"/>
      <w:bookmarkStart w:id="3507" w:name="_Toc69879526"/>
      <w:r>
        <w:t>Part 1 Section 23.2.1, schema (Custom XML Schema Reference)</w:t>
      </w:r>
      <w:bookmarkEnd w:id="3506"/>
      <w:bookmarkEnd w:id="3507"/>
      <w:r>
        <w:fldChar w:fldCharType="begin"/>
      </w:r>
      <w:r>
        <w:instrText xml:space="preserve"> XE "schema (Custom XML Schema Reference)" </w:instrText>
      </w:r>
      <w:r>
        <w:fldChar w:fldCharType="end"/>
      </w:r>
    </w:p>
    <w:p w:rsidR="005F78FC" w:rsidRDefault="00B42EF3">
      <w:pPr>
        <w:pStyle w:val="Definition-Field"/>
      </w:pPr>
      <w:r>
        <w:t xml:space="preserve">a.   </w:t>
      </w:r>
      <w:r>
        <w:rPr>
          <w:i/>
        </w:rPr>
        <w:t>The standard places no restric</w:t>
      </w:r>
      <w:r>
        <w:rPr>
          <w:i/>
        </w:rPr>
        <w:t>tions on the length of the uri attribute.</w:t>
      </w:r>
    </w:p>
    <w:p w:rsidR="005F78FC" w:rsidRDefault="00B42EF3">
      <w:pPr>
        <w:pStyle w:val="Definition-Field2"/>
      </w:pPr>
      <w:r>
        <w:t>Word restricts the length of this attribute to 255 characters.</w:t>
      </w:r>
    </w:p>
    <w:p w:rsidR="005F78FC" w:rsidRDefault="00B42EF3">
      <w:pPr>
        <w:pStyle w:val="Definition-Field"/>
      </w:pPr>
      <w:r>
        <w:t xml:space="preserve">b.   </w:t>
      </w:r>
      <w:r>
        <w:rPr>
          <w:i/>
        </w:rPr>
        <w:t>The standard places no restrictions on the length of the manifestLocation or the schemaLocation attribute.</w:t>
      </w:r>
    </w:p>
    <w:p w:rsidR="005F78FC" w:rsidRDefault="00B42EF3">
      <w:pPr>
        <w:pStyle w:val="Definition-Field2"/>
      </w:pPr>
      <w:r>
        <w:t>Word restricts the length of these attr</w:t>
      </w:r>
      <w:r>
        <w:t>ibutes to 2083 characters.</w:t>
      </w:r>
    </w:p>
    <w:p w:rsidR="005F78FC" w:rsidRDefault="00B42EF3">
      <w:pPr>
        <w:pStyle w:val="Definition-Field"/>
      </w:pPr>
      <w:r>
        <w:t xml:space="preserve">c.   </w:t>
      </w:r>
      <w:r>
        <w:rPr>
          <w:i/>
        </w:rPr>
        <w:t>The standard does not state that the schema and schemaLibrary information might not be round-tripped.</w:t>
      </w:r>
    </w:p>
    <w:p w:rsidR="005F78FC" w:rsidRDefault="00B42EF3">
      <w:pPr>
        <w:pStyle w:val="Definition-Field2"/>
      </w:pPr>
      <w:r>
        <w:t>Word does not guarantee that the schema or schemaLibrary elements will be round-tripped; validation or security verificati</w:t>
      </w:r>
      <w:r>
        <w:t>on might result in this data being removed.</w:t>
      </w:r>
    </w:p>
    <w:p w:rsidR="005F78FC" w:rsidRDefault="00B42EF3">
      <w:pPr>
        <w:pStyle w:val="Definition-Field"/>
      </w:pPr>
      <w:r>
        <w:t xml:space="preserve">d.   </w:t>
      </w:r>
      <w:r>
        <w:rPr>
          <w:i/>
        </w:rPr>
        <w:t>The standard specifies the schemaLanguage attribute as a valid attribute of the schema element.</w:t>
      </w:r>
    </w:p>
    <w:p w:rsidR="005F78FC" w:rsidRDefault="00B42EF3">
      <w:pPr>
        <w:pStyle w:val="Definition-Field2"/>
      </w:pPr>
      <w:r>
        <w:t>Word ignores this attribute.</w:t>
      </w:r>
    </w:p>
    <w:p w:rsidR="005F78FC" w:rsidRDefault="00B42EF3">
      <w:pPr>
        <w:pStyle w:val="Heading3"/>
      </w:pPr>
      <w:bookmarkStart w:id="3508" w:name="section_50fbe8538b614690ae6ccea5bbec5015"/>
      <w:bookmarkStart w:id="3509" w:name="_Toc69879527"/>
      <w:r>
        <w:t>Part 2 Section 9.1.1.1, Part Name Syntax</w:t>
      </w:r>
      <w:bookmarkEnd w:id="3508"/>
      <w:bookmarkEnd w:id="3509"/>
      <w:r>
        <w:fldChar w:fldCharType="begin"/>
      </w:r>
      <w:r>
        <w:instrText xml:space="preserve"> XE "Part Name Syntax" </w:instrText>
      </w:r>
      <w:r>
        <w:fldChar w:fldCharType="end"/>
      </w:r>
    </w:p>
    <w:p w:rsidR="005F78FC" w:rsidRDefault="00B42EF3">
      <w:pPr>
        <w:pStyle w:val="Definition-Field"/>
      </w:pPr>
      <w:r>
        <w:t xml:space="preserve">a.   </w:t>
      </w:r>
      <w:r>
        <w:rPr>
          <w:i/>
        </w:rPr>
        <w:t xml:space="preserve">The </w:t>
      </w:r>
      <w:r>
        <w:rPr>
          <w:i/>
        </w:rPr>
        <w:t>standard describes a mechanism for including non-ASCII characters in part names.</w:t>
      </w:r>
    </w:p>
    <w:p w:rsidR="005F78FC" w:rsidRDefault="00B42EF3">
      <w:pPr>
        <w:pStyle w:val="Definition-Field2"/>
      </w:pPr>
      <w:r>
        <w:t>Office will not load a package containing parts with non-ASCII characters in their names.</w:t>
      </w:r>
    </w:p>
    <w:p w:rsidR="005F78FC" w:rsidRDefault="00B42EF3">
      <w:pPr>
        <w:pStyle w:val="Heading3"/>
      </w:pPr>
      <w:bookmarkStart w:id="3510" w:name="section_6a50f8dea9d14092a0d4671c9fa1e079"/>
      <w:bookmarkStart w:id="3511" w:name="_Toc69879528"/>
      <w:r>
        <w:t>Part 2 Section 10.2.5, ZIP Package Limitations</w:t>
      </w:r>
      <w:bookmarkEnd w:id="3510"/>
      <w:bookmarkEnd w:id="3511"/>
      <w:r>
        <w:fldChar w:fldCharType="begin"/>
      </w:r>
      <w:r>
        <w:instrText xml:space="preserve"> XE "ZIP Package Limitations" </w:instrText>
      </w:r>
      <w:r>
        <w:fldChar w:fldCharType="end"/>
      </w:r>
    </w:p>
    <w:p w:rsidR="005F78FC" w:rsidRDefault="00B42EF3">
      <w:pPr>
        <w:pStyle w:val="Definition-Field"/>
      </w:pPr>
      <w:r>
        <w:t xml:space="preserve">a.   </w:t>
      </w:r>
      <w:r>
        <w:rPr>
          <w:i/>
        </w:rPr>
        <w:t>T</w:t>
      </w:r>
      <w:r>
        <w:rPr>
          <w:i/>
        </w:rPr>
        <w:t>he standard states that keyword element can have an xml:lang attribute.</w:t>
      </w:r>
    </w:p>
    <w:p w:rsidR="005F78FC" w:rsidRDefault="00B42EF3">
      <w:pPr>
        <w:pStyle w:val="Definition-Field2"/>
      </w:pPr>
      <w:r>
        <w:t>Office ignores this attribute on load, and discards it on save.</w:t>
      </w:r>
    </w:p>
    <w:p w:rsidR="005F78FC" w:rsidRDefault="00B42EF3">
      <w:pPr>
        <w:pStyle w:val="Definition-Field"/>
      </w:pPr>
      <w:r>
        <w:lastRenderedPageBreak/>
        <w:t xml:space="preserve">b.   </w:t>
      </w:r>
      <w:r>
        <w:rPr>
          <w:i/>
        </w:rPr>
        <w:t>The standard states that keyword element can have a value subelement.</w:t>
      </w:r>
    </w:p>
    <w:p w:rsidR="005F78FC" w:rsidRDefault="00B42EF3">
      <w:pPr>
        <w:pStyle w:val="Definition-Field2"/>
      </w:pPr>
      <w:r>
        <w:t>Office ignores this element on load, and conc</w:t>
      </w:r>
      <w:r>
        <w:t>atenates its content with the content of the parent element on save.</w:t>
      </w:r>
    </w:p>
    <w:p w:rsidR="005F78FC" w:rsidRDefault="00B42EF3">
      <w:pPr>
        <w:pStyle w:val="Heading3"/>
      </w:pPr>
      <w:bookmarkStart w:id="3512" w:name="section_291e6d2a9ff949229a763771528eda9d"/>
      <w:bookmarkStart w:id="3513" w:name="_Toc69879529"/>
      <w:r>
        <w:t>Part 2 Section 11, Core Properties</w:t>
      </w:r>
      <w:bookmarkEnd w:id="3512"/>
      <w:bookmarkEnd w:id="3513"/>
      <w:r>
        <w:fldChar w:fldCharType="begin"/>
      </w:r>
      <w:r>
        <w:instrText xml:space="preserve"> XE "Core Properties" </w:instrText>
      </w:r>
      <w:r>
        <w:fldChar w:fldCharType="end"/>
      </w:r>
    </w:p>
    <w:p w:rsidR="005F78FC" w:rsidRDefault="00B42EF3">
      <w:pPr>
        <w:pStyle w:val="Definition-Field"/>
      </w:pPr>
      <w:r>
        <w:t xml:space="preserve">a.   </w:t>
      </w:r>
      <w:r>
        <w:rPr>
          <w:i/>
        </w:rPr>
        <w:t>The standard states that package implementer shall not use any compression algorithm other than DEFLATE.</w:t>
      </w:r>
    </w:p>
    <w:p w:rsidR="005F78FC" w:rsidRDefault="00B42EF3">
      <w:pPr>
        <w:pStyle w:val="Definition-Field2"/>
      </w:pPr>
      <w:r>
        <w:t>Office uses the ST</w:t>
      </w:r>
      <w:r>
        <w:t>ORE algorithm, in addition to DEFLATE.</w:t>
      </w:r>
    </w:p>
    <w:p w:rsidR="005F78FC" w:rsidRDefault="00B42EF3">
      <w:pPr>
        <w:pStyle w:val="Heading3"/>
      </w:pPr>
      <w:bookmarkStart w:id="3514" w:name="section_a185de173253409bbf9395b1f78516ef"/>
      <w:bookmarkStart w:id="3515" w:name="_Toc69879530"/>
      <w:r>
        <w:t>Part 2 Section 13.2.4.24, Relationships Transform Algorithm</w:t>
      </w:r>
      <w:bookmarkEnd w:id="3514"/>
      <w:bookmarkEnd w:id="3515"/>
      <w:r>
        <w:fldChar w:fldCharType="begin"/>
      </w:r>
      <w:r>
        <w:instrText xml:space="preserve"> XE "Relationships Transform Algorithm" </w:instrText>
      </w:r>
      <w:r>
        <w:fldChar w:fldCharType="end"/>
      </w:r>
    </w:p>
    <w:p w:rsidR="005F78FC" w:rsidRDefault="00B42EF3">
      <w:pPr>
        <w:pStyle w:val="Definition-Field"/>
      </w:pPr>
      <w:r>
        <w:t xml:space="preserve">a.   </w:t>
      </w:r>
      <w:r>
        <w:rPr>
          <w:i/>
        </w:rPr>
        <w:t>The standard specifies that a Relationship element shall be used for signing if the Id value matches any Sourc</w:t>
      </w:r>
      <w:r>
        <w:rPr>
          <w:i/>
        </w:rPr>
        <w:t>eId value or if the Type value matches any SourceType value.</w:t>
      </w:r>
    </w:p>
    <w:p w:rsidR="005F78FC" w:rsidRDefault="00B42EF3">
      <w:pPr>
        <w:pStyle w:val="Definition-Field2"/>
      </w:pPr>
      <w:r>
        <w:t>Office will only use Relationship elements for signing if the Id value matches any SourceId value.</w:t>
      </w:r>
    </w:p>
    <w:p w:rsidR="005F78FC" w:rsidRDefault="00B42EF3">
      <w:pPr>
        <w:pStyle w:val="Definition-Field2"/>
      </w:pPr>
      <w:r>
        <w:t xml:space="preserve">The relationship transform should set </w:t>
      </w:r>
      <w:r>
        <w:rPr>
          <w:b/>
        </w:rPr>
        <w:t>TargetMode</w:t>
      </w:r>
      <w:r>
        <w:t>="Internal" before doing a c14n transform.</w:t>
      </w:r>
    </w:p>
    <w:p w:rsidR="005F78FC" w:rsidRDefault="00B42EF3">
      <w:pPr>
        <w:pStyle w:val="Heading3"/>
      </w:pPr>
      <w:bookmarkStart w:id="3516" w:name="section_786223f8442d48c9917706e8cd54c027"/>
      <w:bookmarkStart w:id="3517" w:name="_Toc69879531"/>
      <w:r>
        <w:t>Part 3 Section 10, Markup Compatibility Attributes and Elements</w:t>
      </w:r>
      <w:bookmarkEnd w:id="3516"/>
      <w:bookmarkEnd w:id="3517"/>
      <w:r>
        <w:fldChar w:fldCharType="begin"/>
      </w:r>
      <w:r>
        <w:instrText xml:space="preserve"> XE "Markup Compatibility Attributes and Elements" </w:instrText>
      </w:r>
      <w:r>
        <w:fldChar w:fldCharType="end"/>
      </w:r>
    </w:p>
    <w:p w:rsidR="005F78FC" w:rsidRDefault="00B42EF3">
      <w:pPr>
        <w:pStyle w:val="Definition-Field"/>
      </w:pPr>
      <w:r>
        <w:t xml:space="preserve">a.   </w:t>
      </w:r>
      <w:r>
        <w:rPr>
          <w:i/>
        </w:rPr>
        <w:t>The standard does not state that extensibility is optional per part.</w:t>
      </w:r>
    </w:p>
    <w:p w:rsidR="005F78FC" w:rsidRDefault="00B42EF3">
      <w:pPr>
        <w:pStyle w:val="Definition-Field2"/>
      </w:pPr>
      <w:r>
        <w:t>Office does not permit markup compatibility attributes or element</w:t>
      </w:r>
      <w:r>
        <w:t>s in document property parts.</w:t>
      </w:r>
    </w:p>
    <w:p w:rsidR="005F78FC" w:rsidRDefault="00B42EF3">
      <w:pPr>
        <w:pStyle w:val="Heading3"/>
      </w:pPr>
      <w:bookmarkStart w:id="3518" w:name="section_6bbe01acc7cd4fada1e6870f1a045022"/>
      <w:bookmarkStart w:id="3519" w:name="_Toc69879532"/>
      <w:r>
        <w:t>Part 4 Section 8.1, VML Drawing Part</w:t>
      </w:r>
      <w:bookmarkEnd w:id="3518"/>
      <w:bookmarkEnd w:id="3519"/>
      <w:r>
        <w:fldChar w:fldCharType="begin"/>
      </w:r>
      <w:r>
        <w:instrText xml:space="preserve"> XE "VML Drawing Part" </w:instrText>
      </w:r>
      <w:r>
        <w:fldChar w:fldCharType="end"/>
      </w:r>
    </w:p>
    <w:p w:rsidR="005F78FC" w:rsidRDefault="00B42EF3">
      <w:pPr>
        <w:pStyle w:val="Definition-Field"/>
      </w:pPr>
      <w:r>
        <w:t xml:space="preserve">a.   </w:t>
      </w:r>
      <w:r>
        <w:rPr>
          <w:i/>
        </w:rPr>
        <w:t>The standard implies that the VML Drawing part is not an XML part but contains XML-style markup.</w:t>
      </w:r>
    </w:p>
    <w:p w:rsidR="005F78FC" w:rsidRDefault="00B42EF3">
      <w:pPr>
        <w:pStyle w:val="Definition-Field2"/>
      </w:pPr>
      <w:r>
        <w:t xml:space="preserve">In Office, the VML Drawing part closely resembles XML. An XML </w:t>
      </w:r>
      <w:r>
        <w:t>parser designed to read and write VML ("</w:t>
      </w:r>
      <w:hyperlink r:id="rId228">
        <w:r>
          <w:rPr>
            <w:rStyle w:val="Hyperlink"/>
          </w:rPr>
          <w:t>[ISO/IEC-29500-4]</w:t>
        </w:r>
      </w:hyperlink>
      <w:r>
        <w:t xml:space="preserve"> §19.1; VML") markup can parse the contents of a VML Drawing part by consuming the XML root element and then handling the contained V</w:t>
      </w:r>
      <w:r>
        <w:t>ML markup normally.</w:t>
      </w:r>
    </w:p>
    <w:p w:rsidR="005F78FC" w:rsidRDefault="00B42EF3">
      <w:pPr>
        <w:pStyle w:val="Heading3"/>
      </w:pPr>
      <w:bookmarkStart w:id="3520" w:name="section_2dbabd7b5bac4dea9f5477f6dc6e6707"/>
      <w:bookmarkStart w:id="3521" w:name="_Toc69879533"/>
      <w:r>
        <w:t>Part 4 Section 14.2.1.1, Additional attribute for cnfStyle element (Part 1, 17.3.1.8)</w:t>
      </w:r>
      <w:bookmarkEnd w:id="3520"/>
      <w:bookmarkEnd w:id="3521"/>
      <w:r>
        <w:fldChar w:fldCharType="begin"/>
      </w:r>
      <w:r>
        <w:instrText xml:space="preserve"> XE "Additional attribute for cnfStyle element (Part 1 - 17.3.1.8)" </w:instrText>
      </w:r>
      <w:r>
        <w:fldChar w:fldCharType="end"/>
      </w:r>
    </w:p>
    <w:p w:rsidR="005F78FC" w:rsidRDefault="00B42EF3">
      <w:pPr>
        <w:pStyle w:val="Definition-Field"/>
      </w:pPr>
      <w:r>
        <w:t xml:space="preserve">a.   </w:t>
      </w:r>
      <w:r>
        <w:rPr>
          <w:i/>
        </w:rPr>
        <w:t>The standard specifies the val attribute.</w:t>
      </w:r>
    </w:p>
    <w:p w:rsidR="005F78FC" w:rsidRDefault="00B42EF3">
      <w:pPr>
        <w:pStyle w:val="Definition-Field2"/>
      </w:pPr>
      <w:r>
        <w:t>Word ignores this attribute if an</w:t>
      </w:r>
      <w:r>
        <w:t>y of the attributes specified in "</w:t>
      </w:r>
      <w:hyperlink r:id="rId229">
        <w:r>
          <w:rPr>
            <w:rStyle w:val="Hyperlink"/>
          </w:rPr>
          <w:t>[ISO/IEC-29500-1]</w:t>
        </w:r>
      </w:hyperlink>
      <w:r>
        <w:t xml:space="preserve"> §17.3.1.8; cnfStyle" are present.</w:t>
      </w:r>
    </w:p>
    <w:p w:rsidR="005F78FC" w:rsidRDefault="00B42EF3">
      <w:pPr>
        <w:pStyle w:val="Heading3"/>
      </w:pPr>
      <w:bookmarkStart w:id="3522" w:name="section_6fb2a0fdd9af44a4a0ed5dd4ad286134"/>
      <w:bookmarkStart w:id="3523" w:name="_Toc69879534"/>
      <w:r>
        <w:t>Part 4 Section 14.2.2.1, control (Floating Embedded Control)</w:t>
      </w:r>
      <w:bookmarkEnd w:id="3522"/>
      <w:bookmarkEnd w:id="3523"/>
      <w:r>
        <w:fldChar w:fldCharType="begin"/>
      </w:r>
      <w:r>
        <w:instrText xml:space="preserve"> XE "control (Floating Embedded Control)"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w:t>
      </w:r>
    </w:p>
    <w:p w:rsidR="005F78FC" w:rsidRDefault="00B42EF3">
      <w:pPr>
        <w:pStyle w:val="Definition-Field"/>
      </w:pPr>
      <w:r>
        <w:t xml:space="preserve">a.   </w:t>
      </w:r>
      <w:r>
        <w:rPr>
          <w:i/>
        </w:rPr>
        <w:t>The standard allows strings of unbounded length for the value of the shapeid at</w:t>
      </w:r>
      <w:r>
        <w:rPr>
          <w:i/>
        </w:rPr>
        <w:t>tribute.</w:t>
      </w:r>
    </w:p>
    <w:p w:rsidR="005F78FC" w:rsidRDefault="00B42EF3">
      <w:pPr>
        <w:pStyle w:val="Definition-Field2"/>
      </w:pPr>
      <w:r>
        <w:t>Word restricts the value of the shapeid attribute to at most 254 characters.</w:t>
      </w:r>
    </w:p>
    <w:p w:rsidR="005F78FC" w:rsidRDefault="00B42EF3">
      <w:pPr>
        <w:pStyle w:val="Definition-Field"/>
      </w:pPr>
      <w:r>
        <w:t xml:space="preserve">b.   </w:t>
      </w:r>
      <w:r>
        <w:rPr>
          <w:i/>
        </w:rPr>
        <w:t>The standard specifies that this element is resolved by looking for a DrawingML object whose id attribute matches the value specified by the shapeid attribute.</w:t>
      </w:r>
    </w:p>
    <w:p w:rsidR="005F78FC" w:rsidRDefault="00B42EF3">
      <w:pPr>
        <w:pStyle w:val="Definition-Field2"/>
      </w:pPr>
      <w:r>
        <w:lastRenderedPageBreak/>
        <w:t xml:space="preserve">Word </w:t>
      </w:r>
      <w:r>
        <w:t>looks for a VML shape element ("</w:t>
      </w:r>
      <w:hyperlink r:id="rId230">
        <w:r>
          <w:rPr>
            <w:rStyle w:val="Hyperlink"/>
          </w:rPr>
          <w:t>[ISO/IEC-29500-4]</w:t>
        </w:r>
      </w:hyperlink>
      <w:r>
        <w:t xml:space="preserve"> §19.1.2.19; shape (Shape Definition)"), whose id attribute matches the value specified by the shapeid attribute.</w:t>
      </w:r>
    </w:p>
    <w:p w:rsidR="005F78FC" w:rsidRDefault="00B42EF3">
      <w:pPr>
        <w:pStyle w:val="Heading3"/>
      </w:pPr>
      <w:bookmarkStart w:id="3524" w:name="section_fe001c421c534ef1ba7fddc9fa651a5d"/>
      <w:bookmarkStart w:id="3525" w:name="_Toc69879535"/>
      <w:r>
        <w:t>Part 4 Section 14.2.2.2, pi</w:t>
      </w:r>
      <w:r>
        <w:t>ct (VML Object)</w:t>
      </w:r>
      <w:bookmarkEnd w:id="3524"/>
      <w:bookmarkEnd w:id="3525"/>
      <w:r>
        <w:fldChar w:fldCharType="begin"/>
      </w:r>
      <w:r>
        <w:instrText xml:space="preserve"> XE "pict (VML Object)" </w:instrText>
      </w:r>
      <w:r>
        <w:fldChar w:fldCharType="end"/>
      </w:r>
    </w:p>
    <w:p w:rsidR="005F78FC" w:rsidRDefault="00B42EF3">
      <w:pPr>
        <w:pStyle w:val="Definition-Field"/>
      </w:pPr>
      <w:r>
        <w:t xml:space="preserve">a.   </w:t>
      </w:r>
      <w:r>
        <w:rPr>
          <w:i/>
        </w:rPr>
        <w:t>The standard states that any element from the VML namespace or the Office VML Drawing namespace is allowed as a child element.</w:t>
      </w:r>
    </w:p>
    <w:p w:rsidR="005F78FC" w:rsidRDefault="00B42EF3">
      <w:pPr>
        <w:pStyle w:val="Definition-Field2"/>
      </w:pPr>
      <w:r>
        <w:t>Word only allows the following child elements: arc, curve, group, image, line, OLE</w:t>
      </w:r>
      <w:r>
        <w:t>Object, oval, polyline, rect, roundrect, shape, and shapetype.</w:t>
      </w:r>
    </w:p>
    <w:p w:rsidR="005F78FC" w:rsidRDefault="00B42EF3">
      <w:pPr>
        <w:pStyle w:val="Heading3"/>
      </w:pPr>
      <w:bookmarkStart w:id="3526" w:name="section_95b4a3c3bcd641ad976129b98779e979"/>
      <w:bookmarkStart w:id="3527" w:name="_Toc69879536"/>
      <w:r>
        <w:t>Part 4 Section 14.3.1, left (Table Cell Leading Edge Border)</w:t>
      </w:r>
      <w:bookmarkEnd w:id="3526"/>
      <w:bookmarkEnd w:id="3527"/>
      <w:r>
        <w:fldChar w:fldCharType="begin"/>
      </w:r>
      <w:r>
        <w:instrText xml:space="preserve"> XE "left (Table Cell Leading Edge Border)" </w:instrText>
      </w:r>
      <w:r>
        <w:fldChar w:fldCharType="end"/>
      </w:r>
    </w:p>
    <w:p w:rsidR="005F78FC" w:rsidRDefault="00B42EF3">
      <w:pPr>
        <w:pStyle w:val="Definition-Field"/>
      </w:pPr>
      <w:r>
        <w:t xml:space="preserve">a.   </w:t>
      </w:r>
      <w:r>
        <w:rPr>
          <w:i/>
        </w:rPr>
        <w:t>The standard specifies "left" as an additional element, semantically equivalent t</w:t>
      </w:r>
      <w:r>
        <w:rPr>
          <w:i/>
        </w:rPr>
        <w:t>o the start element ("</w:t>
      </w:r>
      <w:hyperlink r:id="rId231">
        <w:r>
          <w:rPr>
            <w:rStyle w:val="Hyperlink"/>
          </w:rPr>
          <w:t>[ISO/IEC-29500-1]</w:t>
        </w:r>
      </w:hyperlink>
      <w:r>
        <w:rPr>
          <w:i/>
        </w:rPr>
        <w:t xml:space="preserve"> §17.4.33; start").</w:t>
      </w:r>
    </w:p>
    <w:p w:rsidR="005F78FC" w:rsidRDefault="00B42EF3">
      <w:pPr>
        <w:pStyle w:val="Definition-Field2"/>
      </w:pPr>
      <w:r>
        <w:t>Word ignores this element if the start element ("[ISO/IEC-29500-1] §17.4.33; start") is present as a sibling.</w:t>
      </w:r>
    </w:p>
    <w:p w:rsidR="005F78FC" w:rsidRDefault="00B42EF3">
      <w:pPr>
        <w:pStyle w:val="Heading3"/>
      </w:pPr>
      <w:bookmarkStart w:id="3528" w:name="section_6333f5cc79f94100b4c0709626bbb551"/>
      <w:bookmarkStart w:id="3529" w:name="_Toc69879537"/>
      <w:r>
        <w:t>Part 4 Section 14.3.2</w:t>
      </w:r>
      <w:r>
        <w:t>, left (Table Leading Edge Border)</w:t>
      </w:r>
      <w:bookmarkEnd w:id="3528"/>
      <w:bookmarkEnd w:id="3529"/>
      <w:r>
        <w:fldChar w:fldCharType="begin"/>
      </w:r>
      <w:r>
        <w:instrText xml:space="preserve"> XE "left (Table Leading Edge Border)" </w:instrText>
      </w:r>
      <w:r>
        <w:fldChar w:fldCharType="end"/>
      </w:r>
    </w:p>
    <w:p w:rsidR="005F78FC" w:rsidRDefault="00B42EF3">
      <w:pPr>
        <w:pStyle w:val="Definition-Field"/>
      </w:pPr>
      <w:r>
        <w:t xml:space="preserve">a.   </w:t>
      </w:r>
      <w:r>
        <w:rPr>
          <w:i/>
        </w:rPr>
        <w:t>The standard specifies this additional element, semantically equivalent to the start element ("</w:t>
      </w:r>
      <w:hyperlink r:id="rId232">
        <w:r>
          <w:rPr>
            <w:rStyle w:val="Hyperlink"/>
          </w:rPr>
          <w:t>[ISO/IEC-29500</w:t>
        </w:r>
        <w:r>
          <w:rPr>
            <w:rStyle w:val="Hyperlink"/>
          </w:rPr>
          <w:t>-1]</w:t>
        </w:r>
      </w:hyperlink>
      <w:r>
        <w:rPr>
          <w:i/>
        </w:rPr>
        <w:t xml:space="preserve"> §17.4.36; start").</w:t>
      </w:r>
    </w:p>
    <w:p w:rsidR="005F78FC" w:rsidRDefault="00B42EF3">
      <w:pPr>
        <w:pStyle w:val="Definition-Field2"/>
      </w:pPr>
      <w:r>
        <w:t>Word ignores this element if the start element ("[ISO/IEC-29500-1] §17.4.36; start") is present as a sibling.</w:t>
      </w:r>
    </w:p>
    <w:p w:rsidR="005F78FC" w:rsidRDefault="00B42EF3">
      <w:pPr>
        <w:pStyle w:val="Heading3"/>
      </w:pPr>
      <w:bookmarkStart w:id="3530" w:name="section_13455a85a26f4dc4978af315b8d9afa7"/>
      <w:bookmarkStart w:id="3531" w:name="_Toc69879538"/>
      <w:r>
        <w:t>Part 4 Section 14.3.3, left (Table Cell Leading Margin Exception)</w:t>
      </w:r>
      <w:bookmarkEnd w:id="3530"/>
      <w:bookmarkEnd w:id="3531"/>
      <w:r>
        <w:fldChar w:fldCharType="begin"/>
      </w:r>
      <w:r>
        <w:instrText xml:space="preserve"> XE "left (Table Cell Leading Margin Exception)" </w:instrText>
      </w:r>
      <w:r>
        <w:fldChar w:fldCharType="end"/>
      </w:r>
    </w:p>
    <w:p w:rsidR="005F78FC" w:rsidRDefault="00B42EF3">
      <w:pPr>
        <w:pStyle w:val="Definition-Field"/>
      </w:pPr>
      <w:r>
        <w:t xml:space="preserve">a.   </w:t>
      </w:r>
      <w:r>
        <w:rPr>
          <w:i/>
        </w:rPr>
        <w:t>The standard specifies this additional element, semantically equivalent to the start element ("</w:t>
      </w:r>
      <w:hyperlink r:id="rId233">
        <w:r>
          <w:rPr>
            <w:rStyle w:val="Hyperlink"/>
          </w:rPr>
          <w:t>[ISO/IEC-29500-1]</w:t>
        </w:r>
      </w:hyperlink>
      <w:r>
        <w:rPr>
          <w:i/>
        </w:rPr>
        <w:t xml:space="preserve"> §17.4.35; start").</w:t>
      </w:r>
    </w:p>
    <w:p w:rsidR="005F78FC" w:rsidRDefault="00B42EF3">
      <w:pPr>
        <w:pStyle w:val="Definition-Field2"/>
      </w:pPr>
      <w:r>
        <w:t>Word ignores this element if the start element ("[ISO/IEC-</w:t>
      </w:r>
      <w:r>
        <w:t>29500-1] §17.4.35; start") is present as a sibling.</w:t>
      </w:r>
    </w:p>
    <w:p w:rsidR="005F78FC" w:rsidRDefault="00B42EF3">
      <w:pPr>
        <w:pStyle w:val="Heading3"/>
      </w:pPr>
      <w:bookmarkStart w:id="3532" w:name="section_94be0b2982844099b9c60df1e3988a08"/>
      <w:bookmarkStart w:id="3533" w:name="_Toc69879539"/>
      <w:r>
        <w:t>Part 4 Section 14.3.4, left (Table Cell Leading Margin Default)</w:t>
      </w:r>
      <w:bookmarkEnd w:id="3532"/>
      <w:bookmarkEnd w:id="3533"/>
      <w:r>
        <w:fldChar w:fldCharType="begin"/>
      </w:r>
      <w:r>
        <w:instrText xml:space="preserve"> XE "left (Table Cell Leading Margin Default)" </w:instrText>
      </w:r>
      <w:r>
        <w:fldChar w:fldCharType="end"/>
      </w:r>
    </w:p>
    <w:p w:rsidR="005F78FC" w:rsidRDefault="00B42EF3">
      <w:pPr>
        <w:pStyle w:val="Definition-Field"/>
      </w:pPr>
      <w:r>
        <w:t xml:space="preserve">a.   </w:t>
      </w:r>
      <w:r>
        <w:rPr>
          <w:i/>
        </w:rPr>
        <w:t>The standard specifies this additional element, semantically equivalent to the start e</w:t>
      </w:r>
      <w:r>
        <w:rPr>
          <w:i/>
        </w:rPr>
        <w:t>lement (("</w:t>
      </w:r>
      <w:hyperlink r:id="rId234">
        <w:r>
          <w:rPr>
            <w:rStyle w:val="Hyperlink"/>
          </w:rPr>
          <w:t>[ISO/IEC-29500-1]</w:t>
        </w:r>
      </w:hyperlink>
      <w:r>
        <w:rPr>
          <w:i/>
        </w:rPr>
        <w:t xml:space="preserve"> §17.4.34; start")).</w:t>
      </w:r>
    </w:p>
    <w:p w:rsidR="005F78FC" w:rsidRDefault="00B42EF3">
      <w:pPr>
        <w:pStyle w:val="Definition-Field2"/>
      </w:pPr>
      <w:r>
        <w:t>Word ignores this element if the start element ("[ISO/IEC-29500-1] §17.4.34; start") is present as a sibling.</w:t>
      </w:r>
    </w:p>
    <w:p w:rsidR="005F78FC" w:rsidRDefault="00B42EF3">
      <w:pPr>
        <w:pStyle w:val="Heading3"/>
      </w:pPr>
      <w:bookmarkStart w:id="3534" w:name="section_3b5300f256af4d0d8d26821c7ef0c47c"/>
      <w:bookmarkStart w:id="3535" w:name="_Toc69879540"/>
      <w:r>
        <w:t>Part 4 Section 14.3.5, right (Ta</w:t>
      </w:r>
      <w:r>
        <w:t>ble Cell Trailing Edge Border)</w:t>
      </w:r>
      <w:bookmarkEnd w:id="3534"/>
      <w:bookmarkEnd w:id="3535"/>
      <w:r>
        <w:fldChar w:fldCharType="begin"/>
      </w:r>
      <w:r>
        <w:instrText xml:space="preserve"> XE "right (Table Cell Trailing Edge Border)" </w:instrText>
      </w:r>
      <w:r>
        <w:fldChar w:fldCharType="end"/>
      </w:r>
    </w:p>
    <w:p w:rsidR="005F78FC" w:rsidRDefault="00B42EF3">
      <w:pPr>
        <w:pStyle w:val="Definition-Field"/>
      </w:pPr>
      <w:r>
        <w:t xml:space="preserve">a.   </w:t>
      </w:r>
      <w:r>
        <w:rPr>
          <w:i/>
        </w:rPr>
        <w:t>The standard specifies this additional element, semantically equivalent to the end element ("</w:t>
      </w:r>
      <w:hyperlink r:id="rId235">
        <w:r>
          <w:rPr>
            <w:rStyle w:val="Hyperlink"/>
          </w:rPr>
          <w:t>[ISO/IEC-2950</w:t>
        </w:r>
        <w:r>
          <w:rPr>
            <w:rStyle w:val="Hyperlink"/>
          </w:rPr>
          <w:t>0-1]</w:t>
        </w:r>
      </w:hyperlink>
      <w:r>
        <w:rPr>
          <w:i/>
        </w:rPr>
        <w:t xml:space="preserve"> §17.4.12; end").</w:t>
      </w:r>
    </w:p>
    <w:p w:rsidR="005F78FC" w:rsidRDefault="00B42EF3">
      <w:pPr>
        <w:pStyle w:val="Definition-Field2"/>
      </w:pPr>
      <w:r>
        <w:t>Word ignores this element if the end element ("[ISO/IEC-29500-1] §17.4.12; end") is present as a sibling.</w:t>
      </w:r>
    </w:p>
    <w:p w:rsidR="005F78FC" w:rsidRDefault="00B42EF3">
      <w:pPr>
        <w:pStyle w:val="Heading3"/>
      </w:pPr>
      <w:bookmarkStart w:id="3536" w:name="section_0b241c18839a41a3919405f7c1f0876a"/>
      <w:bookmarkStart w:id="3537" w:name="_Toc69879541"/>
      <w:r>
        <w:t>Part 4 Section 14.3.6, right (Table Trailing Edge Border)</w:t>
      </w:r>
      <w:bookmarkEnd w:id="3536"/>
      <w:bookmarkEnd w:id="3537"/>
      <w:r>
        <w:fldChar w:fldCharType="begin"/>
      </w:r>
      <w:r>
        <w:instrText xml:space="preserve"> XE "right (Table Trailing Edge Border)" </w:instrText>
      </w:r>
      <w:r>
        <w:fldChar w:fldCharType="end"/>
      </w:r>
    </w:p>
    <w:p w:rsidR="005F78FC" w:rsidRDefault="00B42EF3">
      <w:pPr>
        <w:pStyle w:val="Definition-Field"/>
      </w:pPr>
      <w:r>
        <w:t xml:space="preserve">a.   </w:t>
      </w:r>
      <w:r>
        <w:rPr>
          <w:i/>
        </w:rPr>
        <w:t>The standard specifies</w:t>
      </w:r>
      <w:r>
        <w:rPr>
          <w:i/>
        </w:rPr>
        <w:t xml:space="preserve"> this additional element, semantically equivalent to the end element("</w:t>
      </w:r>
      <w:hyperlink r:id="rId236">
        <w:r>
          <w:rPr>
            <w:rStyle w:val="Hyperlink"/>
          </w:rPr>
          <w:t>[ISO/IEC-29500-1]</w:t>
        </w:r>
      </w:hyperlink>
      <w:r>
        <w:rPr>
          <w:i/>
        </w:rPr>
        <w:t xml:space="preserve"> §17.4.13; end").</w:t>
      </w:r>
    </w:p>
    <w:p w:rsidR="005F78FC" w:rsidRDefault="00B42EF3">
      <w:pPr>
        <w:pStyle w:val="Definition-Field2"/>
      </w:pPr>
      <w:r>
        <w:lastRenderedPageBreak/>
        <w:t>Word ignores this element if the end element ("[ISO/IEC-29500-1] §17.4.13; end") is p</w:t>
      </w:r>
      <w:r>
        <w:t>resent as a sibling.</w:t>
      </w:r>
    </w:p>
    <w:p w:rsidR="005F78FC" w:rsidRDefault="00B42EF3">
      <w:pPr>
        <w:pStyle w:val="Heading3"/>
      </w:pPr>
      <w:bookmarkStart w:id="3538" w:name="section_58fd425e362646b383ba92c961d26c88"/>
      <w:bookmarkStart w:id="3539" w:name="_Toc69879542"/>
      <w:r>
        <w:t>Part 4 Section 14.3.7, right (Table Cell Trailing Margin Default)</w:t>
      </w:r>
      <w:bookmarkEnd w:id="3538"/>
      <w:bookmarkEnd w:id="3539"/>
      <w:r>
        <w:fldChar w:fldCharType="begin"/>
      </w:r>
      <w:r>
        <w:instrText xml:space="preserve"> XE "right (Table Cell Trailing Margin Default)" </w:instrText>
      </w:r>
      <w:r>
        <w:fldChar w:fldCharType="end"/>
      </w:r>
    </w:p>
    <w:p w:rsidR="005F78FC" w:rsidRDefault="00B42EF3">
      <w:pPr>
        <w:pStyle w:val="Definition-Field"/>
      </w:pPr>
      <w:r>
        <w:t xml:space="preserve">a.   </w:t>
      </w:r>
      <w:r>
        <w:rPr>
          <w:i/>
        </w:rPr>
        <w:t>The standard specifies this additional element semantically equivalent to the end element ("</w:t>
      </w:r>
      <w:hyperlink r:id="rId237">
        <w:r>
          <w:rPr>
            <w:rStyle w:val="Hyperlink"/>
          </w:rPr>
          <w:t>[ISO/IEC-29500-1]</w:t>
        </w:r>
      </w:hyperlink>
      <w:r>
        <w:rPr>
          <w:i/>
        </w:rPr>
        <w:t xml:space="preserve"> §17.4.11; end").</w:t>
      </w:r>
    </w:p>
    <w:p w:rsidR="005F78FC" w:rsidRDefault="00B42EF3">
      <w:pPr>
        <w:pStyle w:val="Definition-Field2"/>
      </w:pPr>
      <w:r>
        <w:t>Word ignores this element if the end element ("[ISO/IEC-29500-1] §17.4.11; end") is present as a sibling.</w:t>
      </w:r>
    </w:p>
    <w:p w:rsidR="005F78FC" w:rsidRDefault="00B42EF3">
      <w:pPr>
        <w:pStyle w:val="Heading3"/>
      </w:pPr>
      <w:bookmarkStart w:id="3540" w:name="section_8e23887d29304089a2ff62be9c11a23b"/>
      <w:bookmarkStart w:id="3541" w:name="_Toc69879543"/>
      <w:r>
        <w:t>Part 4 Section 14.3.8, right (Table Cell Trailing Margin Exception)</w:t>
      </w:r>
      <w:bookmarkEnd w:id="3540"/>
      <w:bookmarkEnd w:id="3541"/>
      <w:r>
        <w:fldChar w:fldCharType="begin"/>
      </w:r>
      <w:r>
        <w:instrText xml:space="preserve"> XE</w:instrText>
      </w:r>
      <w:r>
        <w:instrText xml:space="preserve"> "right (Table Cell Trailing Margin Exception)" </w:instrText>
      </w:r>
      <w:r>
        <w:fldChar w:fldCharType="end"/>
      </w:r>
    </w:p>
    <w:p w:rsidR="005F78FC" w:rsidRDefault="00B42EF3">
      <w:pPr>
        <w:pStyle w:val="Definition-Field"/>
      </w:pPr>
      <w:r>
        <w:t xml:space="preserve">a.   </w:t>
      </w:r>
      <w:r>
        <w:rPr>
          <w:i/>
        </w:rPr>
        <w:t>The standard specifies this additional element semantically equivalent to the end element ("</w:t>
      </w:r>
      <w:hyperlink r:id="rId238">
        <w:r>
          <w:rPr>
            <w:rStyle w:val="Hyperlink"/>
          </w:rPr>
          <w:t>[ISO/IEC-29500-1]</w:t>
        </w:r>
      </w:hyperlink>
      <w:r>
        <w:rPr>
          <w:i/>
        </w:rPr>
        <w:t xml:space="preserve"> §17.4.10; end").</w:t>
      </w:r>
    </w:p>
    <w:p w:rsidR="005F78FC" w:rsidRDefault="00B42EF3">
      <w:pPr>
        <w:pStyle w:val="Definition-Field2"/>
      </w:pPr>
      <w:r>
        <w:t xml:space="preserve">Word </w:t>
      </w:r>
      <w:r>
        <w:t>ignores this element if the end element ("[ISO/IEC-29500-1] §17.4.10; end") is present as a sibling.</w:t>
      </w:r>
    </w:p>
    <w:p w:rsidR="005F78FC" w:rsidRDefault="00B42EF3">
      <w:pPr>
        <w:pStyle w:val="Heading3"/>
      </w:pPr>
      <w:bookmarkStart w:id="3542" w:name="section_7da8cf6a641d47a7994a16b593ddabef"/>
      <w:bookmarkStart w:id="3543" w:name="_Toc69879544"/>
      <w:r>
        <w:t>Part 4 Section 14.3.9, Additional attribute for cnfStyle element (Part 1, 17.4.7)</w:t>
      </w:r>
      <w:bookmarkEnd w:id="3542"/>
      <w:bookmarkEnd w:id="3543"/>
      <w:r>
        <w:fldChar w:fldCharType="begin"/>
      </w:r>
      <w:r>
        <w:instrText xml:space="preserve"> XE "Additional attribute for cnfStyle element (Part 1 - 17.4.7)" </w:instrText>
      </w:r>
      <w:r>
        <w:fldChar w:fldCharType="end"/>
      </w:r>
    </w:p>
    <w:p w:rsidR="005F78FC" w:rsidRDefault="00B42EF3">
      <w:pPr>
        <w:pStyle w:val="Definition-Field"/>
      </w:pPr>
      <w:r>
        <w:t xml:space="preserve">a.   </w:t>
      </w:r>
      <w:r>
        <w:rPr>
          <w:i/>
        </w:rPr>
        <w:t>The standard specifies the val attribute.</w:t>
      </w:r>
    </w:p>
    <w:p w:rsidR="005F78FC" w:rsidRDefault="00B42EF3">
      <w:pPr>
        <w:pStyle w:val="Definition-Field2"/>
      </w:pPr>
      <w:r>
        <w:t>Word ignores the val attribute specified here if any of the attributes, specified in "</w:t>
      </w:r>
      <w:hyperlink r:id="rId239">
        <w:r>
          <w:rPr>
            <w:rStyle w:val="Hyperlink"/>
          </w:rPr>
          <w:t>[ISO/IEC-29500-1]</w:t>
        </w:r>
      </w:hyperlink>
      <w:r>
        <w:t xml:space="preserve"> §17.4.7; cnfStyle", are present.</w:t>
      </w:r>
    </w:p>
    <w:p w:rsidR="005F78FC" w:rsidRDefault="00B42EF3">
      <w:pPr>
        <w:pStyle w:val="Heading3"/>
      </w:pPr>
      <w:bookmarkStart w:id="3544" w:name="section_ae9b02e2eea54af1825aaaae9e79496c"/>
      <w:bookmarkStart w:id="3545" w:name="_Toc69879545"/>
      <w:r>
        <w:t>Part 4 Sect</w:t>
      </w:r>
      <w:r>
        <w:t>ion 14.3.10, Additional attribute for cnfStyle element (Part 1, 17.4.8)</w:t>
      </w:r>
      <w:bookmarkEnd w:id="3544"/>
      <w:bookmarkEnd w:id="3545"/>
      <w:r>
        <w:fldChar w:fldCharType="begin"/>
      </w:r>
      <w:r>
        <w:instrText xml:space="preserve"> XE "Additional attribute for cnfStyle element (Part 1 - 17.4.8)" </w:instrText>
      </w:r>
      <w:r>
        <w:fldChar w:fldCharType="end"/>
      </w:r>
    </w:p>
    <w:p w:rsidR="005F78FC" w:rsidRDefault="00B42EF3">
      <w:pPr>
        <w:pStyle w:val="Definition-Field"/>
      </w:pPr>
      <w:r>
        <w:t xml:space="preserve">a.   </w:t>
      </w:r>
      <w:r>
        <w:rPr>
          <w:i/>
        </w:rPr>
        <w:t>The standard specifies the val attribute.</w:t>
      </w:r>
    </w:p>
    <w:p w:rsidR="005F78FC" w:rsidRDefault="00B42EF3">
      <w:pPr>
        <w:pStyle w:val="Definition-Field2"/>
      </w:pPr>
      <w:r>
        <w:t xml:space="preserve">Word ignores the val attribute specified here if any of the </w:t>
      </w:r>
      <w:r>
        <w:t>attributes, specified in "</w:t>
      </w:r>
      <w:hyperlink r:id="rId240">
        <w:r>
          <w:rPr>
            <w:rStyle w:val="Hyperlink"/>
          </w:rPr>
          <w:t>[ISO/IEC-29500-1]</w:t>
        </w:r>
      </w:hyperlink>
      <w:r>
        <w:t xml:space="preserve"> §17.4.8; cnfStyle", are present.</w:t>
      </w:r>
    </w:p>
    <w:p w:rsidR="005F78FC" w:rsidRDefault="00B42EF3">
      <w:pPr>
        <w:pStyle w:val="Heading3"/>
      </w:pPr>
      <w:bookmarkStart w:id="3546" w:name="section_49f64ef9632440b794adff5fe6d444a7"/>
      <w:bookmarkStart w:id="3547" w:name="_Toc69879546"/>
      <w:r>
        <w:t>Part 4 Section 14.3.13, hMerge (Horizontally Merged Cell)</w:t>
      </w:r>
      <w:bookmarkEnd w:id="3546"/>
      <w:bookmarkEnd w:id="3547"/>
      <w:r>
        <w:fldChar w:fldCharType="begin"/>
      </w:r>
      <w:r>
        <w:instrText xml:space="preserve"> XE "hMerge (Horizontally Merged Cell)" </w:instrText>
      </w:r>
      <w:r>
        <w:fldChar w:fldCharType="end"/>
      </w:r>
    </w:p>
    <w:p w:rsidR="005F78FC" w:rsidRDefault="00B42EF3">
      <w:pPr>
        <w:pStyle w:val="Definition-Field2"/>
      </w:pPr>
      <w:r>
        <w:rPr>
          <w:i/>
        </w:rPr>
        <w:t>For additiona</w:t>
      </w:r>
      <w:r>
        <w:rPr>
          <w:i/>
        </w:rPr>
        <w:t xml:space="preserve">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5F78FC" w:rsidRDefault="00B42EF3">
      <w:pPr>
        <w:pStyle w:val="Heading3"/>
      </w:pPr>
      <w:bookmarkStart w:id="3548" w:name="section_48d0ff08ee0344979165e3416d733d48"/>
      <w:bookmarkStart w:id="3549" w:name="_Toc69879547"/>
      <w:r>
        <w:t>Part 4 Sectio</w:t>
      </w:r>
      <w:r>
        <w:t>n 14.5.1, pict (Picture Numbering Symbol Properties)</w:t>
      </w:r>
      <w:bookmarkEnd w:id="3548"/>
      <w:bookmarkEnd w:id="3549"/>
      <w:r>
        <w:fldChar w:fldCharType="begin"/>
      </w:r>
      <w:r>
        <w:instrText xml:space="preserve"> XE "pict (Picture Numbering Symbol Properties)" </w:instrText>
      </w:r>
      <w:r>
        <w:fldChar w:fldCharType="end"/>
      </w:r>
    </w:p>
    <w:p w:rsidR="005F78FC" w:rsidRDefault="00B42EF3">
      <w:pPr>
        <w:pStyle w:val="Definition-Field"/>
      </w:pPr>
      <w:r>
        <w:t xml:space="preserve">a.   </w:t>
      </w:r>
      <w:r>
        <w:rPr>
          <w:i/>
        </w:rPr>
        <w:t>The standard states that any element from the VML namespace or the Office VML Drawing namespace is a valid child of the pict element.</w:t>
      </w:r>
    </w:p>
    <w:p w:rsidR="005F78FC" w:rsidRDefault="00B42EF3">
      <w:pPr>
        <w:pStyle w:val="Definition-Field2"/>
      </w:pPr>
      <w:r>
        <w:t>Word only all</w:t>
      </w:r>
      <w:r>
        <w:t>ows the group, image, line, oval, polyline, rect, roundrect, shape, and shapetype elements from these namespaces to be child elements of the pict element.</w:t>
      </w:r>
    </w:p>
    <w:p w:rsidR="005F78FC" w:rsidRDefault="00B42EF3">
      <w:pPr>
        <w:pStyle w:val="Definition-Field"/>
      </w:pPr>
      <w:r>
        <w:t xml:space="preserve">b.   </w:t>
      </w:r>
      <w:r>
        <w:rPr>
          <w:i/>
        </w:rPr>
        <w:t>The standard states that the control and movie elements are valid child elements of the pict ele</w:t>
      </w:r>
      <w:r>
        <w:rPr>
          <w:i/>
        </w:rPr>
        <w:t>ment.</w:t>
      </w:r>
    </w:p>
    <w:p w:rsidR="005F78FC" w:rsidRDefault="00B42EF3">
      <w:pPr>
        <w:pStyle w:val="Definition-Field2"/>
      </w:pPr>
      <w:r>
        <w:t>Word does not allow the control and movie elements to be child elements of the pict element.</w:t>
      </w:r>
    </w:p>
    <w:p w:rsidR="005F78FC" w:rsidRDefault="00B42EF3">
      <w:pPr>
        <w:pStyle w:val="Heading3"/>
      </w:pPr>
      <w:bookmarkStart w:id="3550" w:name="section_2bbc626e33b649f69ce6a5b08386e37c"/>
      <w:bookmarkStart w:id="3551" w:name="_Toc69879548"/>
      <w:r>
        <w:t>Part 4 Section 14.5.2, legacy (Legacy Numbering Level Properties)</w:t>
      </w:r>
      <w:bookmarkEnd w:id="3550"/>
      <w:bookmarkEnd w:id="3551"/>
      <w:r>
        <w:fldChar w:fldCharType="begin"/>
      </w:r>
      <w:r>
        <w:instrText xml:space="preserve"> XE "legacy (Legacy Numbering Level Properties)" </w:instrText>
      </w:r>
      <w:r>
        <w:fldChar w:fldCharType="end"/>
      </w:r>
    </w:p>
    <w:p w:rsidR="005F78FC" w:rsidRDefault="00B42EF3">
      <w:pPr>
        <w:pStyle w:val="Definition-Field"/>
      </w:pPr>
      <w:r>
        <w:t xml:space="preserve">a.   </w:t>
      </w:r>
      <w:r>
        <w:rPr>
          <w:i/>
        </w:rPr>
        <w:t>The standard allows negative values</w:t>
      </w:r>
      <w:r>
        <w:rPr>
          <w:i/>
        </w:rPr>
        <w:t xml:space="preserve"> for legacyIndent.</w:t>
      </w:r>
    </w:p>
    <w:p w:rsidR="005F78FC" w:rsidRDefault="00B42EF3">
      <w:pPr>
        <w:pStyle w:val="Definition-Field2"/>
      </w:pPr>
      <w:r>
        <w:lastRenderedPageBreak/>
        <w:t>Word will ignore the level definition if the value of legacyIndent is negative.</w:t>
      </w:r>
    </w:p>
    <w:p w:rsidR="005F78FC" w:rsidRDefault="00B42EF3">
      <w:pPr>
        <w:pStyle w:val="Definition-Field"/>
      </w:pPr>
      <w:r>
        <w:t xml:space="preserve">b.   </w:t>
      </w:r>
      <w:r>
        <w:rPr>
          <w:i/>
        </w:rPr>
        <w:t>The standard says the default value for the legacy attribute is on.</w:t>
      </w:r>
    </w:p>
    <w:p w:rsidR="005F78FC" w:rsidRDefault="00B42EF3">
      <w:pPr>
        <w:pStyle w:val="Definition-Field2"/>
      </w:pPr>
      <w:r>
        <w:t>In Word, the default value for the legacy attribute is off.</w:t>
      </w:r>
    </w:p>
    <w:p w:rsidR="005F78FC" w:rsidRDefault="00B42EF3">
      <w:pPr>
        <w:pStyle w:val="Heading3"/>
      </w:pPr>
      <w:bookmarkStart w:id="3552" w:name="section_15555914707f4b1f9d0c38c05eb20139"/>
      <w:bookmarkStart w:id="3553" w:name="_Toc69879549"/>
      <w:r>
        <w:t>Part 4 Section 14.6.1.1,</w:t>
      </w:r>
      <w:r>
        <w:t xml:space="preserve"> numberingChange (Previous Numbering Field Properties)</w:t>
      </w:r>
      <w:bookmarkEnd w:id="3552"/>
      <w:bookmarkEnd w:id="3553"/>
      <w:r>
        <w:fldChar w:fldCharType="begin"/>
      </w:r>
      <w:r>
        <w:instrText xml:space="preserve"> XE "numberingChange (Previous Numbering Field Properties)"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5F78FC" w:rsidRDefault="00B42EF3">
      <w:pPr>
        <w:pStyle w:val="Definition-Field"/>
      </w:pPr>
      <w:r>
        <w:t xml:space="preserve">a.   </w:t>
      </w:r>
      <w:r>
        <w:rPr>
          <w:i/>
        </w:rPr>
        <w:t xml:space="preserve">The standard allows any length string for </w:t>
      </w:r>
      <w:r>
        <w:rPr>
          <w:i/>
        </w:rPr>
        <w:t>the original attribute.</w:t>
      </w:r>
    </w:p>
    <w:p w:rsidR="005F78FC" w:rsidRDefault="00B42EF3">
      <w:pPr>
        <w:pStyle w:val="Definition-Field2"/>
      </w:pPr>
      <w:r>
        <w:t>Word only allows strings of length 15 at most for the original attribute.</w:t>
      </w:r>
    </w:p>
    <w:p w:rsidR="005F78FC" w:rsidRDefault="00B42EF3">
      <w:pPr>
        <w:pStyle w:val="Heading3"/>
      </w:pPr>
      <w:bookmarkStart w:id="3554" w:name="section_c87674b0833c4019a21d9f99dac53178"/>
      <w:bookmarkStart w:id="3555" w:name="_Toc69879550"/>
      <w:r>
        <w:t>Part 4 Section 14.6.1.2, numberingChange (Previous Paragraph Numbering Properties)</w:t>
      </w:r>
      <w:bookmarkEnd w:id="3554"/>
      <w:bookmarkEnd w:id="3555"/>
      <w:r>
        <w:fldChar w:fldCharType="begin"/>
      </w:r>
      <w:r>
        <w:instrText xml:space="preserve"> XE "numberingChange (Previous Paragraph Numbering Properties)" </w:instrText>
      </w:r>
      <w:r>
        <w:fldChar w:fldCharType="end"/>
      </w:r>
    </w:p>
    <w:p w:rsidR="005F78FC" w:rsidRDefault="00B42EF3">
      <w:pPr>
        <w:pStyle w:val="Definition-Field2"/>
      </w:pPr>
      <w:r>
        <w:rPr>
          <w:i/>
        </w:rPr>
        <w:t>For addit</w:t>
      </w:r>
      <w:r>
        <w:rPr>
          <w:i/>
        </w:rPr>
        <w:t xml:space="preserve">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5F78FC" w:rsidRDefault="00B42EF3">
      <w:pPr>
        <w:pStyle w:val="Definition-Field"/>
      </w:pPr>
      <w:r>
        <w:t xml:space="preserve">a.   </w:t>
      </w:r>
      <w:r>
        <w:rPr>
          <w:i/>
        </w:rPr>
        <w:t>The standard states that the numbering level in the original attribute starts with %.</w:t>
      </w:r>
    </w:p>
    <w:p w:rsidR="005F78FC" w:rsidRDefault="00B42EF3">
      <w:r>
        <w:t xml:space="preserve">In Word, the value of </w:t>
      </w:r>
      <w:r>
        <w:rPr>
          <w:b/>
        </w:rPr>
        <w:t>original</w:t>
      </w:r>
      <w:r>
        <w:t xml:space="preserve"> is represented as separate numbering level definitions defined as follows:</w:t>
      </w:r>
    </w:p>
    <w:p w:rsidR="005F78FC" w:rsidRDefault="00B42EF3">
      <w:pPr>
        <w:pStyle w:val="Code"/>
      </w:pPr>
      <w:r>
        <w:t>&lt;[numbering prefix]%[numbering level]:[nfc value]:[numbering format]:[separator]&gt;[repeat if more than one level]</w:t>
      </w:r>
    </w:p>
    <w:p w:rsidR="005F78FC" w:rsidRDefault="00B42EF3">
      <w:r>
        <w:t xml:space="preserve">where: </w:t>
      </w:r>
    </w:p>
    <w:p w:rsidR="005F78FC" w:rsidRDefault="00B42EF3">
      <w:pPr>
        <w:pStyle w:val="ListParagraph"/>
        <w:numPr>
          <w:ilvl w:val="0"/>
          <w:numId w:val="168"/>
        </w:numPr>
        <w:contextualSpacing/>
      </w:pPr>
      <w:r>
        <w:rPr>
          <w:rStyle w:val="InlineCode"/>
        </w:rPr>
        <w:t>numbering prefix</w:t>
      </w:r>
      <w:r>
        <w:t xml:space="preserve"> – Optional text which should precede the number.</w:t>
      </w:r>
    </w:p>
    <w:p w:rsidR="005F78FC" w:rsidRDefault="00B42EF3">
      <w:pPr>
        <w:pStyle w:val="ListParagraph"/>
        <w:numPr>
          <w:ilvl w:val="0"/>
          <w:numId w:val="168"/>
        </w:numPr>
        <w:contextualSpacing/>
      </w:pPr>
      <w:r>
        <w:rPr>
          <w:rStyle w:val="InlineCode"/>
        </w:rPr>
        <w:t>numbering level</w:t>
      </w:r>
      <w:r>
        <w:t xml:space="preserve"> – The level for which the numbering definition is defined.</w:t>
      </w:r>
    </w:p>
    <w:p w:rsidR="005F78FC" w:rsidRDefault="00B42EF3">
      <w:pPr>
        <w:pStyle w:val="ListParagraph"/>
        <w:numPr>
          <w:ilvl w:val="0"/>
          <w:numId w:val="168"/>
        </w:numPr>
        <w:contextualSpacing/>
      </w:pPr>
      <w:r>
        <w:rPr>
          <w:rStyle w:val="InlineCode"/>
        </w:rPr>
        <w:t>nfc value</w:t>
      </w:r>
      <w:r>
        <w:t xml:space="preserve"> – The value of the numbering style at the specific numbering level.</w:t>
      </w:r>
    </w:p>
    <w:p w:rsidR="005F78FC" w:rsidRDefault="00B42EF3">
      <w:pPr>
        <w:pStyle w:val="ListParagraph"/>
        <w:numPr>
          <w:ilvl w:val="0"/>
          <w:numId w:val="168"/>
        </w:numPr>
        <w:contextualSpacing/>
      </w:pPr>
      <w:r>
        <w:rPr>
          <w:rStyle w:val="InlineCode"/>
        </w:rPr>
        <w:t>numbering format</w:t>
      </w:r>
      <w:r>
        <w:t xml:space="preserve"> – The nfc value of the numbering for</w:t>
      </w:r>
      <w:r>
        <w:t>mat, as referenced in the following table.</w:t>
      </w:r>
    </w:p>
    <w:p w:rsidR="005F78FC" w:rsidRDefault="00B42EF3">
      <w:pPr>
        <w:pStyle w:val="ListParagraph"/>
        <w:numPr>
          <w:ilvl w:val="0"/>
          <w:numId w:val="168"/>
        </w:numPr>
        <w:contextualSpacing/>
      </w:pPr>
      <w:r>
        <w:rPr>
          <w:rStyle w:val="InlineCode"/>
        </w:rPr>
        <w:t>separator</w:t>
      </w:r>
      <w:r>
        <w:t xml:space="preserve"> – The separator used to separate the numbering level definitions.</w:t>
      </w:r>
    </w:p>
    <w:p w:rsidR="005F78FC" w:rsidRDefault="00B42EF3">
      <w:pPr>
        <w:pStyle w:val="ListParagraph"/>
        <w:numPr>
          <w:ilvl w:val="0"/>
          <w:numId w:val="168"/>
        </w:numPr>
        <w:contextualSpacing/>
      </w:pPr>
      <w:r>
        <w:t xml:space="preserve">If the </w:t>
      </w:r>
      <w:r>
        <w:rPr>
          <w:b/>
        </w:rPr>
        <w:t>numbering</w:t>
      </w:r>
      <w:r>
        <w:t xml:space="preserve"> prefix or </w:t>
      </w:r>
      <w:r>
        <w:rPr>
          <w:rStyle w:val="InlineCode"/>
        </w:rPr>
        <w:t>separator</w:t>
      </w:r>
      <w:r>
        <w:t xml:space="preserve"> includes a pair of consecutive % characters, then that pair of characters shall be treated as a sing</w:t>
      </w:r>
      <w:r>
        <w:t xml:space="preserve">le % character rather than the start of a new </w:t>
      </w:r>
      <w:r>
        <w:rPr>
          <w:rStyle w:val="InlineCode"/>
        </w:rPr>
        <w:t>numbering</w:t>
      </w:r>
      <w:r>
        <w:t xml:space="preserve"> level.</w:t>
      </w:r>
    </w:p>
    <w:p w:rsidR="005F78FC" w:rsidRDefault="00B42EF3">
      <w:pPr>
        <w:pStyle w:val="ListParagraph"/>
        <w:numPr>
          <w:ilvl w:val="0"/>
          <w:numId w:val="168"/>
        </w:numPr>
      </w:pPr>
      <w:r>
        <w:t xml:space="preserve">The total length of </w:t>
      </w:r>
      <w:r>
        <w:rPr>
          <w:b/>
        </w:rPr>
        <w:t>original</w:t>
      </w:r>
      <w:r>
        <w:t xml:space="preserve">, omitting all instances of </w:t>
      </w:r>
      <w:r>
        <w:rPr>
          <w:rStyle w:val="InlineCode"/>
        </w:rPr>
        <w:t>nfc value</w:t>
      </w:r>
      <w:r>
        <w:t xml:space="preserve"> and </w:t>
      </w:r>
      <w:r>
        <w:rPr>
          <w:rStyle w:val="InlineCode"/>
        </w:rPr>
        <w:t>numbering format</w:t>
      </w:r>
      <w:r>
        <w:t xml:space="preserve"> and all ‘:’ characters used to separate the pieces of the number level definitions, shall be at most 31.</w:t>
      </w:r>
    </w:p>
    <w:p w:rsidR="005F78FC" w:rsidRDefault="00B42EF3">
      <w:r>
        <w:t>T</w:t>
      </w:r>
      <w:r>
        <w:t>he numbering format values are mapped as follows:</w:t>
      </w:r>
    </w:p>
    <w:tbl>
      <w:tblPr>
        <w:tblStyle w:val="Table-ShadedHeader"/>
        <w:tblW w:w="0" w:type="auto"/>
        <w:tblLook w:val="04A0" w:firstRow="1" w:lastRow="0" w:firstColumn="1" w:lastColumn="0" w:noHBand="0" w:noVBand="1"/>
      </w:tblPr>
      <w:tblGrid>
        <w:gridCol w:w="1222"/>
        <w:gridCol w:w="4128"/>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nfc Value</w:t>
            </w:r>
          </w:p>
        </w:tc>
        <w:tc>
          <w:tcPr>
            <w:tcW w:w="0" w:type="auto"/>
            <w:vAlign w:val="center"/>
          </w:tcPr>
          <w:p w:rsidR="005F78FC" w:rsidRDefault="00B42EF3">
            <w:pPr>
              <w:pStyle w:val="TableHeaderText"/>
            </w:pPr>
            <w:r>
              <w:t>ST_NumberFormat enumeration equivalent</w:t>
            </w:r>
          </w:p>
        </w:tc>
      </w:tr>
      <w:tr w:rsidR="005F78FC" w:rsidTr="005F78FC">
        <w:tc>
          <w:tcPr>
            <w:tcW w:w="0" w:type="auto"/>
            <w:vAlign w:val="center"/>
          </w:tcPr>
          <w:p w:rsidR="005F78FC" w:rsidRDefault="00B42EF3">
            <w:pPr>
              <w:pStyle w:val="TableBodyText"/>
            </w:pPr>
            <w:r>
              <w:rPr>
                <w:i/>
              </w:rPr>
              <w:t>0</w:t>
            </w:r>
          </w:p>
        </w:tc>
        <w:tc>
          <w:tcPr>
            <w:tcW w:w="0" w:type="auto"/>
            <w:vAlign w:val="center"/>
          </w:tcPr>
          <w:p w:rsidR="005F78FC" w:rsidRDefault="00B42EF3">
            <w:pPr>
              <w:pStyle w:val="TableBodyText"/>
            </w:pPr>
            <w:r>
              <w:rPr>
                <w:i/>
              </w:rPr>
              <w:t>decimal</w:t>
            </w:r>
          </w:p>
        </w:tc>
      </w:tr>
      <w:tr w:rsidR="005F78FC" w:rsidTr="005F78FC">
        <w:tc>
          <w:tcPr>
            <w:tcW w:w="0" w:type="auto"/>
            <w:vAlign w:val="center"/>
          </w:tcPr>
          <w:p w:rsidR="005F78FC" w:rsidRDefault="00B42EF3">
            <w:pPr>
              <w:pStyle w:val="TableBodyText"/>
            </w:pPr>
            <w:r>
              <w:rPr>
                <w:i/>
              </w:rPr>
              <w:t>1</w:t>
            </w:r>
          </w:p>
        </w:tc>
        <w:tc>
          <w:tcPr>
            <w:tcW w:w="0" w:type="auto"/>
            <w:vAlign w:val="center"/>
          </w:tcPr>
          <w:p w:rsidR="005F78FC" w:rsidRDefault="00B42EF3">
            <w:pPr>
              <w:pStyle w:val="TableBodyText"/>
            </w:pPr>
            <w:r>
              <w:rPr>
                <w:i/>
              </w:rPr>
              <w:t>upperRoman</w:t>
            </w:r>
          </w:p>
        </w:tc>
      </w:tr>
      <w:tr w:rsidR="005F78FC" w:rsidTr="005F78FC">
        <w:tc>
          <w:tcPr>
            <w:tcW w:w="0" w:type="auto"/>
            <w:vAlign w:val="center"/>
          </w:tcPr>
          <w:p w:rsidR="005F78FC" w:rsidRDefault="00B42EF3">
            <w:pPr>
              <w:pStyle w:val="TableBodyText"/>
            </w:pPr>
            <w:r>
              <w:rPr>
                <w:i/>
              </w:rPr>
              <w:t>2</w:t>
            </w:r>
          </w:p>
        </w:tc>
        <w:tc>
          <w:tcPr>
            <w:tcW w:w="0" w:type="auto"/>
            <w:vAlign w:val="center"/>
          </w:tcPr>
          <w:p w:rsidR="005F78FC" w:rsidRDefault="00B42EF3">
            <w:pPr>
              <w:pStyle w:val="TableBodyText"/>
            </w:pPr>
            <w:r>
              <w:rPr>
                <w:i/>
              </w:rPr>
              <w:t>lowerRoman</w:t>
            </w:r>
          </w:p>
        </w:tc>
      </w:tr>
      <w:tr w:rsidR="005F78FC" w:rsidTr="005F78FC">
        <w:tc>
          <w:tcPr>
            <w:tcW w:w="0" w:type="auto"/>
            <w:vAlign w:val="center"/>
          </w:tcPr>
          <w:p w:rsidR="005F78FC" w:rsidRDefault="00B42EF3">
            <w:pPr>
              <w:pStyle w:val="TableBodyText"/>
            </w:pPr>
            <w:r>
              <w:rPr>
                <w:i/>
              </w:rPr>
              <w:t>3</w:t>
            </w:r>
          </w:p>
        </w:tc>
        <w:tc>
          <w:tcPr>
            <w:tcW w:w="0" w:type="auto"/>
            <w:vAlign w:val="center"/>
          </w:tcPr>
          <w:p w:rsidR="005F78FC" w:rsidRDefault="00B42EF3">
            <w:pPr>
              <w:pStyle w:val="TableBodyText"/>
            </w:pPr>
            <w:r>
              <w:rPr>
                <w:i/>
              </w:rPr>
              <w:t>upperLetter</w:t>
            </w:r>
          </w:p>
        </w:tc>
      </w:tr>
      <w:tr w:rsidR="005F78FC" w:rsidTr="005F78FC">
        <w:tc>
          <w:tcPr>
            <w:tcW w:w="0" w:type="auto"/>
            <w:vAlign w:val="center"/>
          </w:tcPr>
          <w:p w:rsidR="005F78FC" w:rsidRDefault="00B42EF3">
            <w:pPr>
              <w:pStyle w:val="TableBodyText"/>
            </w:pPr>
            <w:r>
              <w:rPr>
                <w:i/>
              </w:rPr>
              <w:t>4</w:t>
            </w:r>
          </w:p>
        </w:tc>
        <w:tc>
          <w:tcPr>
            <w:tcW w:w="0" w:type="auto"/>
            <w:vAlign w:val="center"/>
          </w:tcPr>
          <w:p w:rsidR="005F78FC" w:rsidRDefault="00B42EF3">
            <w:pPr>
              <w:pStyle w:val="TableBodyText"/>
            </w:pPr>
            <w:r>
              <w:rPr>
                <w:i/>
              </w:rPr>
              <w:t>lowerLetter</w:t>
            </w:r>
          </w:p>
        </w:tc>
      </w:tr>
      <w:tr w:rsidR="005F78FC" w:rsidTr="005F78FC">
        <w:tc>
          <w:tcPr>
            <w:tcW w:w="0" w:type="auto"/>
            <w:vAlign w:val="center"/>
          </w:tcPr>
          <w:p w:rsidR="005F78FC" w:rsidRDefault="00B42EF3">
            <w:pPr>
              <w:pStyle w:val="TableBodyText"/>
            </w:pPr>
            <w:r>
              <w:rPr>
                <w:i/>
              </w:rPr>
              <w:t>5</w:t>
            </w:r>
          </w:p>
        </w:tc>
        <w:tc>
          <w:tcPr>
            <w:tcW w:w="0" w:type="auto"/>
            <w:vAlign w:val="center"/>
          </w:tcPr>
          <w:p w:rsidR="005F78FC" w:rsidRDefault="00B42EF3">
            <w:pPr>
              <w:pStyle w:val="TableBodyText"/>
            </w:pPr>
            <w:r>
              <w:rPr>
                <w:i/>
              </w:rPr>
              <w:t>ordinal</w:t>
            </w:r>
          </w:p>
        </w:tc>
      </w:tr>
      <w:tr w:rsidR="005F78FC" w:rsidTr="005F78FC">
        <w:tc>
          <w:tcPr>
            <w:tcW w:w="0" w:type="auto"/>
            <w:vAlign w:val="center"/>
          </w:tcPr>
          <w:p w:rsidR="005F78FC" w:rsidRDefault="00B42EF3">
            <w:pPr>
              <w:pStyle w:val="TableBodyText"/>
            </w:pPr>
            <w:r>
              <w:rPr>
                <w:i/>
              </w:rPr>
              <w:lastRenderedPageBreak/>
              <w:t>6</w:t>
            </w:r>
          </w:p>
        </w:tc>
        <w:tc>
          <w:tcPr>
            <w:tcW w:w="0" w:type="auto"/>
            <w:vAlign w:val="center"/>
          </w:tcPr>
          <w:p w:rsidR="005F78FC" w:rsidRDefault="00B42EF3">
            <w:pPr>
              <w:pStyle w:val="TableBodyText"/>
            </w:pPr>
            <w:r>
              <w:rPr>
                <w:i/>
              </w:rPr>
              <w:t>cardinalText</w:t>
            </w:r>
          </w:p>
        </w:tc>
      </w:tr>
      <w:tr w:rsidR="005F78FC" w:rsidTr="005F78FC">
        <w:tc>
          <w:tcPr>
            <w:tcW w:w="0" w:type="auto"/>
            <w:vAlign w:val="center"/>
          </w:tcPr>
          <w:p w:rsidR="005F78FC" w:rsidRDefault="00B42EF3">
            <w:pPr>
              <w:pStyle w:val="TableBodyText"/>
            </w:pPr>
            <w:r>
              <w:rPr>
                <w:i/>
              </w:rPr>
              <w:t>7</w:t>
            </w:r>
          </w:p>
        </w:tc>
        <w:tc>
          <w:tcPr>
            <w:tcW w:w="0" w:type="auto"/>
            <w:vAlign w:val="center"/>
          </w:tcPr>
          <w:p w:rsidR="005F78FC" w:rsidRDefault="00B42EF3">
            <w:pPr>
              <w:pStyle w:val="TableBodyText"/>
            </w:pPr>
            <w:r>
              <w:rPr>
                <w:i/>
              </w:rPr>
              <w:t>ordinalText</w:t>
            </w:r>
          </w:p>
        </w:tc>
      </w:tr>
      <w:tr w:rsidR="005F78FC" w:rsidTr="005F78FC">
        <w:tc>
          <w:tcPr>
            <w:tcW w:w="0" w:type="auto"/>
            <w:vAlign w:val="center"/>
          </w:tcPr>
          <w:p w:rsidR="005F78FC" w:rsidRDefault="00B42EF3">
            <w:pPr>
              <w:pStyle w:val="TableBodyText"/>
            </w:pPr>
            <w:r>
              <w:rPr>
                <w:i/>
              </w:rPr>
              <w:t>8</w:t>
            </w:r>
          </w:p>
        </w:tc>
        <w:tc>
          <w:tcPr>
            <w:tcW w:w="0" w:type="auto"/>
            <w:vAlign w:val="center"/>
          </w:tcPr>
          <w:p w:rsidR="005F78FC" w:rsidRDefault="00B42EF3">
            <w:pPr>
              <w:pStyle w:val="TableBodyText"/>
            </w:pPr>
            <w:r>
              <w:rPr>
                <w:i/>
              </w:rPr>
              <w:t>hex</w:t>
            </w:r>
          </w:p>
        </w:tc>
      </w:tr>
      <w:tr w:rsidR="005F78FC" w:rsidTr="005F78FC">
        <w:tc>
          <w:tcPr>
            <w:tcW w:w="0" w:type="auto"/>
            <w:vAlign w:val="center"/>
          </w:tcPr>
          <w:p w:rsidR="005F78FC" w:rsidRDefault="00B42EF3">
            <w:pPr>
              <w:pStyle w:val="TableBodyText"/>
            </w:pPr>
            <w:r>
              <w:rPr>
                <w:i/>
              </w:rPr>
              <w:t>9</w:t>
            </w:r>
          </w:p>
        </w:tc>
        <w:tc>
          <w:tcPr>
            <w:tcW w:w="0" w:type="auto"/>
            <w:vAlign w:val="center"/>
          </w:tcPr>
          <w:p w:rsidR="005F78FC" w:rsidRDefault="00B42EF3">
            <w:pPr>
              <w:pStyle w:val="TableBodyText"/>
            </w:pPr>
            <w:r>
              <w:rPr>
                <w:i/>
              </w:rPr>
              <w:t>chicago</w:t>
            </w:r>
          </w:p>
        </w:tc>
      </w:tr>
      <w:tr w:rsidR="005F78FC" w:rsidTr="005F78FC">
        <w:tc>
          <w:tcPr>
            <w:tcW w:w="0" w:type="auto"/>
            <w:vAlign w:val="center"/>
          </w:tcPr>
          <w:p w:rsidR="005F78FC" w:rsidRDefault="00B42EF3">
            <w:pPr>
              <w:pStyle w:val="TableBodyText"/>
            </w:pPr>
            <w:r>
              <w:rPr>
                <w:i/>
              </w:rPr>
              <w:t>10</w:t>
            </w:r>
          </w:p>
        </w:tc>
        <w:tc>
          <w:tcPr>
            <w:tcW w:w="0" w:type="auto"/>
            <w:vAlign w:val="center"/>
          </w:tcPr>
          <w:p w:rsidR="005F78FC" w:rsidRDefault="00B42EF3">
            <w:pPr>
              <w:pStyle w:val="TableBodyText"/>
            </w:pPr>
            <w:r>
              <w:rPr>
                <w:i/>
              </w:rPr>
              <w:t>ideographDigital</w:t>
            </w:r>
          </w:p>
        </w:tc>
      </w:tr>
      <w:tr w:rsidR="005F78FC" w:rsidTr="005F78FC">
        <w:tc>
          <w:tcPr>
            <w:tcW w:w="0" w:type="auto"/>
            <w:vAlign w:val="center"/>
          </w:tcPr>
          <w:p w:rsidR="005F78FC" w:rsidRDefault="00B42EF3">
            <w:pPr>
              <w:pStyle w:val="TableBodyText"/>
            </w:pPr>
            <w:r>
              <w:rPr>
                <w:i/>
              </w:rPr>
              <w:t>11</w:t>
            </w:r>
          </w:p>
        </w:tc>
        <w:tc>
          <w:tcPr>
            <w:tcW w:w="0" w:type="auto"/>
            <w:vAlign w:val="center"/>
          </w:tcPr>
          <w:p w:rsidR="005F78FC" w:rsidRDefault="00B42EF3">
            <w:pPr>
              <w:pStyle w:val="TableBodyText"/>
            </w:pPr>
            <w:r>
              <w:rPr>
                <w:i/>
              </w:rPr>
              <w:t>japaneseCounting</w:t>
            </w:r>
          </w:p>
        </w:tc>
      </w:tr>
      <w:tr w:rsidR="005F78FC" w:rsidTr="005F78FC">
        <w:tc>
          <w:tcPr>
            <w:tcW w:w="0" w:type="auto"/>
            <w:vAlign w:val="center"/>
          </w:tcPr>
          <w:p w:rsidR="005F78FC" w:rsidRDefault="00B42EF3">
            <w:pPr>
              <w:pStyle w:val="TableBodyText"/>
            </w:pPr>
            <w:r>
              <w:rPr>
                <w:i/>
              </w:rPr>
              <w:t>12</w:t>
            </w:r>
          </w:p>
        </w:tc>
        <w:tc>
          <w:tcPr>
            <w:tcW w:w="0" w:type="auto"/>
            <w:vAlign w:val="center"/>
          </w:tcPr>
          <w:p w:rsidR="005F78FC" w:rsidRDefault="00B42EF3">
            <w:pPr>
              <w:pStyle w:val="TableBodyText"/>
            </w:pPr>
            <w:r>
              <w:rPr>
                <w:i/>
              </w:rPr>
              <w:t>Aiueo</w:t>
            </w:r>
          </w:p>
        </w:tc>
      </w:tr>
      <w:tr w:rsidR="005F78FC" w:rsidTr="005F78FC">
        <w:tc>
          <w:tcPr>
            <w:tcW w:w="0" w:type="auto"/>
            <w:vAlign w:val="center"/>
          </w:tcPr>
          <w:p w:rsidR="005F78FC" w:rsidRDefault="00B42EF3">
            <w:pPr>
              <w:pStyle w:val="TableBodyText"/>
            </w:pPr>
            <w:r>
              <w:rPr>
                <w:i/>
              </w:rPr>
              <w:t>13</w:t>
            </w:r>
          </w:p>
        </w:tc>
        <w:tc>
          <w:tcPr>
            <w:tcW w:w="0" w:type="auto"/>
            <w:vAlign w:val="center"/>
          </w:tcPr>
          <w:p w:rsidR="005F78FC" w:rsidRDefault="00B42EF3">
            <w:pPr>
              <w:pStyle w:val="TableBodyText"/>
            </w:pPr>
            <w:r>
              <w:rPr>
                <w:i/>
              </w:rPr>
              <w:t>Iroha</w:t>
            </w:r>
          </w:p>
        </w:tc>
      </w:tr>
      <w:tr w:rsidR="005F78FC" w:rsidTr="005F78FC">
        <w:tc>
          <w:tcPr>
            <w:tcW w:w="0" w:type="auto"/>
            <w:vAlign w:val="center"/>
          </w:tcPr>
          <w:p w:rsidR="005F78FC" w:rsidRDefault="00B42EF3">
            <w:pPr>
              <w:pStyle w:val="TableBodyText"/>
            </w:pPr>
            <w:r>
              <w:rPr>
                <w:i/>
              </w:rPr>
              <w:t>14</w:t>
            </w:r>
          </w:p>
        </w:tc>
        <w:tc>
          <w:tcPr>
            <w:tcW w:w="0" w:type="auto"/>
            <w:vAlign w:val="center"/>
          </w:tcPr>
          <w:p w:rsidR="005F78FC" w:rsidRDefault="00B42EF3">
            <w:pPr>
              <w:pStyle w:val="TableBodyText"/>
            </w:pPr>
            <w:r>
              <w:rPr>
                <w:i/>
              </w:rPr>
              <w:t>decimalFullWidth</w:t>
            </w:r>
          </w:p>
        </w:tc>
      </w:tr>
      <w:tr w:rsidR="005F78FC" w:rsidTr="005F78FC">
        <w:tc>
          <w:tcPr>
            <w:tcW w:w="0" w:type="auto"/>
            <w:vAlign w:val="center"/>
          </w:tcPr>
          <w:p w:rsidR="005F78FC" w:rsidRDefault="00B42EF3">
            <w:pPr>
              <w:pStyle w:val="TableBodyText"/>
            </w:pPr>
            <w:r>
              <w:rPr>
                <w:i/>
              </w:rPr>
              <w:t>15</w:t>
            </w:r>
          </w:p>
        </w:tc>
        <w:tc>
          <w:tcPr>
            <w:tcW w:w="0" w:type="auto"/>
            <w:vAlign w:val="center"/>
          </w:tcPr>
          <w:p w:rsidR="005F78FC" w:rsidRDefault="00B42EF3">
            <w:pPr>
              <w:pStyle w:val="TableBodyText"/>
            </w:pPr>
            <w:r>
              <w:rPr>
                <w:i/>
              </w:rPr>
              <w:t>decimalHalfWidth</w:t>
            </w:r>
          </w:p>
        </w:tc>
      </w:tr>
      <w:tr w:rsidR="005F78FC" w:rsidTr="005F78FC">
        <w:tc>
          <w:tcPr>
            <w:tcW w:w="0" w:type="auto"/>
            <w:vAlign w:val="center"/>
          </w:tcPr>
          <w:p w:rsidR="005F78FC" w:rsidRDefault="00B42EF3">
            <w:pPr>
              <w:pStyle w:val="TableBodyText"/>
            </w:pPr>
            <w:r>
              <w:rPr>
                <w:i/>
              </w:rPr>
              <w:t>16</w:t>
            </w:r>
          </w:p>
        </w:tc>
        <w:tc>
          <w:tcPr>
            <w:tcW w:w="0" w:type="auto"/>
            <w:vAlign w:val="center"/>
          </w:tcPr>
          <w:p w:rsidR="005F78FC" w:rsidRDefault="00B42EF3">
            <w:pPr>
              <w:pStyle w:val="TableBodyText"/>
            </w:pPr>
            <w:r>
              <w:rPr>
                <w:i/>
              </w:rPr>
              <w:t>japaneseLegal</w:t>
            </w:r>
          </w:p>
        </w:tc>
      </w:tr>
      <w:tr w:rsidR="005F78FC" w:rsidTr="005F78FC">
        <w:tc>
          <w:tcPr>
            <w:tcW w:w="0" w:type="auto"/>
            <w:vAlign w:val="center"/>
          </w:tcPr>
          <w:p w:rsidR="005F78FC" w:rsidRDefault="00B42EF3">
            <w:pPr>
              <w:pStyle w:val="TableBodyText"/>
            </w:pPr>
            <w:r>
              <w:rPr>
                <w:i/>
              </w:rPr>
              <w:t>17</w:t>
            </w:r>
          </w:p>
        </w:tc>
        <w:tc>
          <w:tcPr>
            <w:tcW w:w="0" w:type="auto"/>
            <w:vAlign w:val="center"/>
          </w:tcPr>
          <w:p w:rsidR="005F78FC" w:rsidRDefault="00B42EF3">
            <w:pPr>
              <w:pStyle w:val="TableBodyText"/>
            </w:pPr>
            <w:r>
              <w:rPr>
                <w:i/>
              </w:rPr>
              <w:t>japaneseDigitalTenThousand</w:t>
            </w:r>
          </w:p>
        </w:tc>
      </w:tr>
      <w:tr w:rsidR="005F78FC" w:rsidTr="005F78FC">
        <w:tc>
          <w:tcPr>
            <w:tcW w:w="0" w:type="auto"/>
            <w:vAlign w:val="center"/>
          </w:tcPr>
          <w:p w:rsidR="005F78FC" w:rsidRDefault="00B42EF3">
            <w:pPr>
              <w:pStyle w:val="TableBodyText"/>
            </w:pPr>
            <w:r>
              <w:rPr>
                <w:i/>
              </w:rPr>
              <w:t>18</w:t>
            </w:r>
          </w:p>
        </w:tc>
        <w:tc>
          <w:tcPr>
            <w:tcW w:w="0" w:type="auto"/>
            <w:vAlign w:val="center"/>
          </w:tcPr>
          <w:p w:rsidR="005F78FC" w:rsidRDefault="00B42EF3">
            <w:pPr>
              <w:pStyle w:val="TableBodyText"/>
            </w:pPr>
            <w:r>
              <w:rPr>
                <w:i/>
              </w:rPr>
              <w:t>decimalEnclosedCircle</w:t>
            </w:r>
          </w:p>
        </w:tc>
      </w:tr>
      <w:tr w:rsidR="005F78FC" w:rsidTr="005F78FC">
        <w:tc>
          <w:tcPr>
            <w:tcW w:w="0" w:type="auto"/>
            <w:vAlign w:val="center"/>
          </w:tcPr>
          <w:p w:rsidR="005F78FC" w:rsidRDefault="00B42EF3">
            <w:pPr>
              <w:pStyle w:val="TableBodyText"/>
            </w:pPr>
            <w:r>
              <w:rPr>
                <w:i/>
              </w:rPr>
              <w:t>19</w:t>
            </w:r>
          </w:p>
        </w:tc>
        <w:tc>
          <w:tcPr>
            <w:tcW w:w="0" w:type="auto"/>
            <w:vAlign w:val="center"/>
          </w:tcPr>
          <w:p w:rsidR="005F78FC" w:rsidRDefault="00B42EF3">
            <w:pPr>
              <w:pStyle w:val="TableBodyText"/>
            </w:pPr>
            <w:r>
              <w:rPr>
                <w:i/>
              </w:rPr>
              <w:t>decimalFullWidth2</w:t>
            </w:r>
          </w:p>
        </w:tc>
      </w:tr>
      <w:tr w:rsidR="005F78FC" w:rsidTr="005F78FC">
        <w:tc>
          <w:tcPr>
            <w:tcW w:w="0" w:type="auto"/>
            <w:vAlign w:val="center"/>
          </w:tcPr>
          <w:p w:rsidR="005F78FC" w:rsidRDefault="00B42EF3">
            <w:pPr>
              <w:pStyle w:val="TableBodyText"/>
            </w:pPr>
            <w:r>
              <w:rPr>
                <w:i/>
              </w:rPr>
              <w:t>20</w:t>
            </w:r>
          </w:p>
        </w:tc>
        <w:tc>
          <w:tcPr>
            <w:tcW w:w="0" w:type="auto"/>
            <w:vAlign w:val="center"/>
          </w:tcPr>
          <w:p w:rsidR="005F78FC" w:rsidRDefault="00B42EF3">
            <w:pPr>
              <w:pStyle w:val="TableBodyText"/>
            </w:pPr>
            <w:r>
              <w:rPr>
                <w:i/>
              </w:rPr>
              <w:t>aiueoFullWidth</w:t>
            </w:r>
          </w:p>
        </w:tc>
      </w:tr>
      <w:tr w:rsidR="005F78FC" w:rsidTr="005F78FC">
        <w:tc>
          <w:tcPr>
            <w:tcW w:w="0" w:type="auto"/>
            <w:vAlign w:val="center"/>
          </w:tcPr>
          <w:p w:rsidR="005F78FC" w:rsidRDefault="00B42EF3">
            <w:pPr>
              <w:pStyle w:val="TableBodyText"/>
            </w:pPr>
            <w:r>
              <w:rPr>
                <w:i/>
              </w:rPr>
              <w:t>21</w:t>
            </w:r>
          </w:p>
        </w:tc>
        <w:tc>
          <w:tcPr>
            <w:tcW w:w="0" w:type="auto"/>
            <w:vAlign w:val="center"/>
          </w:tcPr>
          <w:p w:rsidR="005F78FC" w:rsidRDefault="00B42EF3">
            <w:pPr>
              <w:pStyle w:val="TableBodyText"/>
            </w:pPr>
            <w:r>
              <w:rPr>
                <w:i/>
              </w:rPr>
              <w:t>irohaFullWidth</w:t>
            </w:r>
          </w:p>
        </w:tc>
      </w:tr>
      <w:tr w:rsidR="005F78FC" w:rsidTr="005F78FC">
        <w:tc>
          <w:tcPr>
            <w:tcW w:w="0" w:type="auto"/>
            <w:vAlign w:val="center"/>
          </w:tcPr>
          <w:p w:rsidR="005F78FC" w:rsidRDefault="00B42EF3">
            <w:pPr>
              <w:pStyle w:val="TableBodyText"/>
            </w:pPr>
            <w:r>
              <w:rPr>
                <w:i/>
              </w:rPr>
              <w:t>22</w:t>
            </w:r>
          </w:p>
        </w:tc>
        <w:tc>
          <w:tcPr>
            <w:tcW w:w="0" w:type="auto"/>
            <w:vAlign w:val="center"/>
          </w:tcPr>
          <w:p w:rsidR="005F78FC" w:rsidRDefault="00B42EF3">
            <w:pPr>
              <w:pStyle w:val="TableBodyText"/>
            </w:pPr>
            <w:r>
              <w:rPr>
                <w:i/>
              </w:rPr>
              <w:t>decimalZero</w:t>
            </w:r>
          </w:p>
        </w:tc>
      </w:tr>
      <w:tr w:rsidR="005F78FC" w:rsidTr="005F78FC">
        <w:tc>
          <w:tcPr>
            <w:tcW w:w="0" w:type="auto"/>
            <w:vAlign w:val="center"/>
          </w:tcPr>
          <w:p w:rsidR="005F78FC" w:rsidRDefault="00B42EF3">
            <w:pPr>
              <w:pStyle w:val="TableBodyText"/>
            </w:pPr>
            <w:r>
              <w:rPr>
                <w:i/>
              </w:rPr>
              <w:t>23</w:t>
            </w:r>
          </w:p>
        </w:tc>
        <w:tc>
          <w:tcPr>
            <w:tcW w:w="0" w:type="auto"/>
            <w:vAlign w:val="center"/>
          </w:tcPr>
          <w:p w:rsidR="005F78FC" w:rsidRDefault="00B42EF3">
            <w:pPr>
              <w:pStyle w:val="TableBodyText"/>
            </w:pPr>
            <w:r>
              <w:rPr>
                <w:i/>
              </w:rPr>
              <w:t>bullet</w:t>
            </w:r>
          </w:p>
        </w:tc>
      </w:tr>
      <w:tr w:rsidR="005F78FC" w:rsidTr="005F78FC">
        <w:tc>
          <w:tcPr>
            <w:tcW w:w="0" w:type="auto"/>
            <w:vAlign w:val="center"/>
          </w:tcPr>
          <w:p w:rsidR="005F78FC" w:rsidRDefault="00B42EF3">
            <w:pPr>
              <w:pStyle w:val="TableBodyText"/>
            </w:pPr>
            <w:r>
              <w:rPr>
                <w:i/>
              </w:rPr>
              <w:t>24</w:t>
            </w:r>
          </w:p>
        </w:tc>
        <w:tc>
          <w:tcPr>
            <w:tcW w:w="0" w:type="auto"/>
            <w:vAlign w:val="center"/>
          </w:tcPr>
          <w:p w:rsidR="005F78FC" w:rsidRDefault="00B42EF3">
            <w:pPr>
              <w:pStyle w:val="TableBodyText"/>
            </w:pPr>
            <w:r>
              <w:rPr>
                <w:i/>
              </w:rPr>
              <w:t>ganada</w:t>
            </w:r>
          </w:p>
        </w:tc>
      </w:tr>
      <w:tr w:rsidR="005F78FC" w:rsidTr="005F78FC">
        <w:tc>
          <w:tcPr>
            <w:tcW w:w="0" w:type="auto"/>
            <w:vAlign w:val="center"/>
          </w:tcPr>
          <w:p w:rsidR="005F78FC" w:rsidRDefault="00B42EF3">
            <w:pPr>
              <w:pStyle w:val="TableBodyText"/>
            </w:pPr>
            <w:r>
              <w:rPr>
                <w:i/>
              </w:rPr>
              <w:t>25</w:t>
            </w:r>
          </w:p>
        </w:tc>
        <w:tc>
          <w:tcPr>
            <w:tcW w:w="0" w:type="auto"/>
            <w:vAlign w:val="center"/>
          </w:tcPr>
          <w:p w:rsidR="005F78FC" w:rsidRDefault="00B42EF3">
            <w:pPr>
              <w:pStyle w:val="TableBodyText"/>
            </w:pPr>
            <w:r>
              <w:rPr>
                <w:i/>
              </w:rPr>
              <w:t>chosung</w:t>
            </w:r>
          </w:p>
        </w:tc>
      </w:tr>
      <w:tr w:rsidR="005F78FC" w:rsidTr="005F78FC">
        <w:tc>
          <w:tcPr>
            <w:tcW w:w="0" w:type="auto"/>
            <w:vAlign w:val="center"/>
          </w:tcPr>
          <w:p w:rsidR="005F78FC" w:rsidRDefault="00B42EF3">
            <w:pPr>
              <w:pStyle w:val="TableBodyText"/>
            </w:pPr>
            <w:r>
              <w:rPr>
                <w:i/>
              </w:rPr>
              <w:t>26</w:t>
            </w:r>
          </w:p>
        </w:tc>
        <w:tc>
          <w:tcPr>
            <w:tcW w:w="0" w:type="auto"/>
            <w:vAlign w:val="center"/>
          </w:tcPr>
          <w:p w:rsidR="005F78FC" w:rsidRDefault="00B42EF3">
            <w:pPr>
              <w:pStyle w:val="TableBodyText"/>
            </w:pPr>
            <w:r>
              <w:rPr>
                <w:i/>
              </w:rPr>
              <w:t>decimalEnclosedFullstop</w:t>
            </w:r>
          </w:p>
        </w:tc>
      </w:tr>
      <w:tr w:rsidR="005F78FC" w:rsidTr="005F78FC">
        <w:tc>
          <w:tcPr>
            <w:tcW w:w="0" w:type="auto"/>
            <w:vAlign w:val="center"/>
          </w:tcPr>
          <w:p w:rsidR="005F78FC" w:rsidRDefault="00B42EF3">
            <w:pPr>
              <w:pStyle w:val="TableBodyText"/>
            </w:pPr>
            <w:r>
              <w:rPr>
                <w:i/>
              </w:rPr>
              <w:t>27</w:t>
            </w:r>
          </w:p>
        </w:tc>
        <w:tc>
          <w:tcPr>
            <w:tcW w:w="0" w:type="auto"/>
            <w:vAlign w:val="center"/>
          </w:tcPr>
          <w:p w:rsidR="005F78FC" w:rsidRDefault="00B42EF3">
            <w:pPr>
              <w:pStyle w:val="TableBodyText"/>
            </w:pPr>
            <w:r>
              <w:rPr>
                <w:i/>
              </w:rPr>
              <w:t>decimalEnclosedParen</w:t>
            </w:r>
          </w:p>
        </w:tc>
      </w:tr>
      <w:tr w:rsidR="005F78FC" w:rsidTr="005F78FC">
        <w:tc>
          <w:tcPr>
            <w:tcW w:w="0" w:type="auto"/>
            <w:vAlign w:val="center"/>
          </w:tcPr>
          <w:p w:rsidR="005F78FC" w:rsidRDefault="00B42EF3">
            <w:pPr>
              <w:pStyle w:val="TableBodyText"/>
            </w:pPr>
            <w:r>
              <w:rPr>
                <w:i/>
              </w:rPr>
              <w:t>28</w:t>
            </w:r>
          </w:p>
        </w:tc>
        <w:tc>
          <w:tcPr>
            <w:tcW w:w="0" w:type="auto"/>
            <w:vAlign w:val="center"/>
          </w:tcPr>
          <w:p w:rsidR="005F78FC" w:rsidRDefault="00B42EF3">
            <w:pPr>
              <w:pStyle w:val="TableBodyText"/>
            </w:pPr>
            <w:r>
              <w:rPr>
                <w:i/>
              </w:rPr>
              <w:t>decimalEnclosedCircleChinese</w:t>
            </w:r>
          </w:p>
        </w:tc>
      </w:tr>
      <w:tr w:rsidR="005F78FC" w:rsidTr="005F78FC">
        <w:tc>
          <w:tcPr>
            <w:tcW w:w="0" w:type="auto"/>
            <w:vAlign w:val="center"/>
          </w:tcPr>
          <w:p w:rsidR="005F78FC" w:rsidRDefault="00B42EF3">
            <w:pPr>
              <w:pStyle w:val="TableBodyText"/>
            </w:pPr>
            <w:r>
              <w:rPr>
                <w:i/>
              </w:rPr>
              <w:t>29</w:t>
            </w:r>
          </w:p>
        </w:tc>
        <w:tc>
          <w:tcPr>
            <w:tcW w:w="0" w:type="auto"/>
            <w:vAlign w:val="center"/>
          </w:tcPr>
          <w:p w:rsidR="005F78FC" w:rsidRDefault="00B42EF3">
            <w:pPr>
              <w:pStyle w:val="TableBodyText"/>
            </w:pPr>
            <w:r>
              <w:rPr>
                <w:i/>
              </w:rPr>
              <w:t>ideographEnclosedCircle</w:t>
            </w:r>
          </w:p>
        </w:tc>
      </w:tr>
      <w:tr w:rsidR="005F78FC" w:rsidTr="005F78FC">
        <w:tc>
          <w:tcPr>
            <w:tcW w:w="0" w:type="auto"/>
            <w:vAlign w:val="center"/>
          </w:tcPr>
          <w:p w:rsidR="005F78FC" w:rsidRDefault="00B42EF3">
            <w:pPr>
              <w:pStyle w:val="TableBodyText"/>
            </w:pPr>
            <w:r>
              <w:rPr>
                <w:i/>
              </w:rPr>
              <w:t>30</w:t>
            </w:r>
          </w:p>
        </w:tc>
        <w:tc>
          <w:tcPr>
            <w:tcW w:w="0" w:type="auto"/>
            <w:vAlign w:val="center"/>
          </w:tcPr>
          <w:p w:rsidR="005F78FC" w:rsidRDefault="00B42EF3">
            <w:pPr>
              <w:pStyle w:val="TableBodyText"/>
            </w:pPr>
            <w:r>
              <w:rPr>
                <w:i/>
              </w:rPr>
              <w:t>ideographTraditional</w:t>
            </w:r>
          </w:p>
        </w:tc>
      </w:tr>
      <w:tr w:rsidR="005F78FC" w:rsidTr="005F78FC">
        <w:tc>
          <w:tcPr>
            <w:tcW w:w="0" w:type="auto"/>
            <w:vAlign w:val="center"/>
          </w:tcPr>
          <w:p w:rsidR="005F78FC" w:rsidRDefault="00B42EF3">
            <w:pPr>
              <w:pStyle w:val="TableBodyText"/>
            </w:pPr>
            <w:r>
              <w:rPr>
                <w:i/>
              </w:rPr>
              <w:t>31</w:t>
            </w:r>
          </w:p>
        </w:tc>
        <w:tc>
          <w:tcPr>
            <w:tcW w:w="0" w:type="auto"/>
            <w:vAlign w:val="center"/>
          </w:tcPr>
          <w:p w:rsidR="005F78FC" w:rsidRDefault="00B42EF3">
            <w:pPr>
              <w:pStyle w:val="TableBodyText"/>
            </w:pPr>
            <w:r>
              <w:rPr>
                <w:i/>
              </w:rPr>
              <w:t>ideographZodiac</w:t>
            </w:r>
          </w:p>
        </w:tc>
      </w:tr>
      <w:tr w:rsidR="005F78FC" w:rsidTr="005F78FC">
        <w:tc>
          <w:tcPr>
            <w:tcW w:w="0" w:type="auto"/>
            <w:vAlign w:val="center"/>
          </w:tcPr>
          <w:p w:rsidR="005F78FC" w:rsidRDefault="00B42EF3">
            <w:pPr>
              <w:pStyle w:val="TableBodyText"/>
            </w:pPr>
            <w:r>
              <w:rPr>
                <w:i/>
              </w:rPr>
              <w:t>32</w:t>
            </w:r>
          </w:p>
        </w:tc>
        <w:tc>
          <w:tcPr>
            <w:tcW w:w="0" w:type="auto"/>
            <w:vAlign w:val="center"/>
          </w:tcPr>
          <w:p w:rsidR="005F78FC" w:rsidRDefault="00B42EF3">
            <w:pPr>
              <w:pStyle w:val="TableBodyText"/>
            </w:pPr>
            <w:r>
              <w:rPr>
                <w:i/>
              </w:rPr>
              <w:t>ideographZodiacTraditional</w:t>
            </w:r>
          </w:p>
        </w:tc>
      </w:tr>
      <w:tr w:rsidR="005F78FC" w:rsidTr="005F78FC">
        <w:tc>
          <w:tcPr>
            <w:tcW w:w="0" w:type="auto"/>
            <w:vAlign w:val="center"/>
          </w:tcPr>
          <w:p w:rsidR="005F78FC" w:rsidRDefault="00B42EF3">
            <w:pPr>
              <w:pStyle w:val="TableBodyText"/>
            </w:pPr>
            <w:r>
              <w:rPr>
                <w:i/>
              </w:rPr>
              <w:t>33</w:t>
            </w:r>
          </w:p>
        </w:tc>
        <w:tc>
          <w:tcPr>
            <w:tcW w:w="0" w:type="auto"/>
            <w:vAlign w:val="center"/>
          </w:tcPr>
          <w:p w:rsidR="005F78FC" w:rsidRDefault="00B42EF3">
            <w:pPr>
              <w:pStyle w:val="TableBodyText"/>
            </w:pPr>
            <w:r>
              <w:rPr>
                <w:i/>
              </w:rPr>
              <w:t>taiwaneseCounting</w:t>
            </w:r>
          </w:p>
        </w:tc>
      </w:tr>
      <w:tr w:rsidR="005F78FC" w:rsidTr="005F78FC">
        <w:tc>
          <w:tcPr>
            <w:tcW w:w="0" w:type="auto"/>
            <w:vAlign w:val="center"/>
          </w:tcPr>
          <w:p w:rsidR="005F78FC" w:rsidRDefault="00B42EF3">
            <w:pPr>
              <w:pStyle w:val="TableBodyText"/>
            </w:pPr>
            <w:r>
              <w:rPr>
                <w:i/>
              </w:rPr>
              <w:t>34</w:t>
            </w:r>
          </w:p>
        </w:tc>
        <w:tc>
          <w:tcPr>
            <w:tcW w:w="0" w:type="auto"/>
            <w:vAlign w:val="center"/>
          </w:tcPr>
          <w:p w:rsidR="005F78FC" w:rsidRDefault="00B42EF3">
            <w:pPr>
              <w:pStyle w:val="TableBodyText"/>
            </w:pPr>
            <w:r>
              <w:rPr>
                <w:i/>
              </w:rPr>
              <w:t>ideographLegalTraditional</w:t>
            </w:r>
          </w:p>
        </w:tc>
      </w:tr>
      <w:tr w:rsidR="005F78FC" w:rsidTr="005F78FC">
        <w:tc>
          <w:tcPr>
            <w:tcW w:w="0" w:type="auto"/>
            <w:vAlign w:val="center"/>
          </w:tcPr>
          <w:p w:rsidR="005F78FC" w:rsidRDefault="00B42EF3">
            <w:pPr>
              <w:pStyle w:val="TableBodyText"/>
            </w:pPr>
            <w:r>
              <w:rPr>
                <w:i/>
              </w:rPr>
              <w:t>35</w:t>
            </w:r>
          </w:p>
        </w:tc>
        <w:tc>
          <w:tcPr>
            <w:tcW w:w="0" w:type="auto"/>
            <w:vAlign w:val="center"/>
          </w:tcPr>
          <w:p w:rsidR="005F78FC" w:rsidRDefault="00B42EF3">
            <w:pPr>
              <w:pStyle w:val="TableBodyText"/>
            </w:pPr>
            <w:r>
              <w:rPr>
                <w:i/>
              </w:rPr>
              <w:t>taiwaneseCountingThousand</w:t>
            </w:r>
          </w:p>
        </w:tc>
      </w:tr>
      <w:tr w:rsidR="005F78FC" w:rsidTr="005F78FC">
        <w:tc>
          <w:tcPr>
            <w:tcW w:w="0" w:type="auto"/>
            <w:vAlign w:val="center"/>
          </w:tcPr>
          <w:p w:rsidR="005F78FC" w:rsidRDefault="00B42EF3">
            <w:pPr>
              <w:pStyle w:val="TableBodyText"/>
            </w:pPr>
            <w:r>
              <w:rPr>
                <w:i/>
              </w:rPr>
              <w:t>36</w:t>
            </w:r>
          </w:p>
        </w:tc>
        <w:tc>
          <w:tcPr>
            <w:tcW w:w="0" w:type="auto"/>
            <w:vAlign w:val="center"/>
          </w:tcPr>
          <w:p w:rsidR="005F78FC" w:rsidRDefault="00B42EF3">
            <w:pPr>
              <w:pStyle w:val="TableBodyText"/>
            </w:pPr>
            <w:r>
              <w:rPr>
                <w:i/>
              </w:rPr>
              <w:t>taiwaneseDigital</w:t>
            </w:r>
          </w:p>
        </w:tc>
      </w:tr>
      <w:tr w:rsidR="005F78FC" w:rsidTr="005F78FC">
        <w:tc>
          <w:tcPr>
            <w:tcW w:w="0" w:type="auto"/>
            <w:vAlign w:val="center"/>
          </w:tcPr>
          <w:p w:rsidR="005F78FC" w:rsidRDefault="00B42EF3">
            <w:pPr>
              <w:pStyle w:val="TableBodyText"/>
            </w:pPr>
            <w:r>
              <w:rPr>
                <w:i/>
              </w:rPr>
              <w:t>37</w:t>
            </w:r>
          </w:p>
        </w:tc>
        <w:tc>
          <w:tcPr>
            <w:tcW w:w="0" w:type="auto"/>
            <w:vAlign w:val="center"/>
          </w:tcPr>
          <w:p w:rsidR="005F78FC" w:rsidRDefault="00B42EF3">
            <w:pPr>
              <w:pStyle w:val="TableBodyText"/>
            </w:pPr>
            <w:r>
              <w:rPr>
                <w:i/>
              </w:rPr>
              <w:t>chineseCounting</w:t>
            </w:r>
          </w:p>
        </w:tc>
      </w:tr>
      <w:tr w:rsidR="005F78FC" w:rsidTr="005F78FC">
        <w:tc>
          <w:tcPr>
            <w:tcW w:w="0" w:type="auto"/>
            <w:vAlign w:val="center"/>
          </w:tcPr>
          <w:p w:rsidR="005F78FC" w:rsidRDefault="00B42EF3">
            <w:pPr>
              <w:pStyle w:val="TableBodyText"/>
            </w:pPr>
            <w:r>
              <w:rPr>
                <w:i/>
              </w:rPr>
              <w:lastRenderedPageBreak/>
              <w:t>38</w:t>
            </w:r>
          </w:p>
        </w:tc>
        <w:tc>
          <w:tcPr>
            <w:tcW w:w="0" w:type="auto"/>
            <w:vAlign w:val="center"/>
          </w:tcPr>
          <w:p w:rsidR="005F78FC" w:rsidRDefault="00B42EF3">
            <w:pPr>
              <w:pStyle w:val="TableBodyText"/>
            </w:pPr>
            <w:r>
              <w:rPr>
                <w:i/>
              </w:rPr>
              <w:t>chineseLegalSimplified</w:t>
            </w:r>
          </w:p>
        </w:tc>
      </w:tr>
      <w:tr w:rsidR="005F78FC" w:rsidTr="005F78FC">
        <w:tc>
          <w:tcPr>
            <w:tcW w:w="0" w:type="auto"/>
            <w:vAlign w:val="center"/>
          </w:tcPr>
          <w:p w:rsidR="005F78FC" w:rsidRDefault="00B42EF3">
            <w:pPr>
              <w:pStyle w:val="TableBodyText"/>
            </w:pPr>
            <w:r>
              <w:rPr>
                <w:i/>
              </w:rPr>
              <w:t>39</w:t>
            </w:r>
          </w:p>
        </w:tc>
        <w:tc>
          <w:tcPr>
            <w:tcW w:w="0" w:type="auto"/>
            <w:vAlign w:val="center"/>
          </w:tcPr>
          <w:p w:rsidR="005F78FC" w:rsidRDefault="00B42EF3">
            <w:pPr>
              <w:pStyle w:val="TableBodyText"/>
            </w:pPr>
            <w:r>
              <w:rPr>
                <w:i/>
              </w:rPr>
              <w:t>chineseCountingThousand</w:t>
            </w:r>
          </w:p>
        </w:tc>
      </w:tr>
      <w:tr w:rsidR="005F78FC" w:rsidTr="005F78FC">
        <w:tc>
          <w:tcPr>
            <w:tcW w:w="0" w:type="auto"/>
            <w:vAlign w:val="center"/>
          </w:tcPr>
          <w:p w:rsidR="005F78FC" w:rsidRDefault="00B42EF3">
            <w:pPr>
              <w:pStyle w:val="TableBodyText"/>
            </w:pPr>
            <w:r>
              <w:rPr>
                <w:i/>
              </w:rPr>
              <w:t>40</w:t>
            </w:r>
          </w:p>
        </w:tc>
        <w:tc>
          <w:tcPr>
            <w:tcW w:w="0" w:type="auto"/>
            <w:vAlign w:val="center"/>
          </w:tcPr>
          <w:p w:rsidR="005F78FC" w:rsidRDefault="00B42EF3">
            <w:pPr>
              <w:pStyle w:val="TableBodyText"/>
            </w:pPr>
            <w:r>
              <w:t>Application-defined. May be ignored.</w:t>
            </w:r>
          </w:p>
        </w:tc>
      </w:tr>
      <w:tr w:rsidR="005F78FC" w:rsidTr="005F78FC">
        <w:tc>
          <w:tcPr>
            <w:tcW w:w="0" w:type="auto"/>
            <w:vAlign w:val="center"/>
          </w:tcPr>
          <w:p w:rsidR="005F78FC" w:rsidRDefault="00B42EF3">
            <w:pPr>
              <w:pStyle w:val="TableBodyText"/>
            </w:pPr>
            <w:r>
              <w:rPr>
                <w:i/>
              </w:rPr>
              <w:t>41</w:t>
            </w:r>
          </w:p>
        </w:tc>
        <w:tc>
          <w:tcPr>
            <w:tcW w:w="0" w:type="auto"/>
            <w:vAlign w:val="center"/>
          </w:tcPr>
          <w:p w:rsidR="005F78FC" w:rsidRDefault="00B42EF3">
            <w:pPr>
              <w:pStyle w:val="TableBodyText"/>
            </w:pPr>
            <w:r>
              <w:rPr>
                <w:i/>
              </w:rPr>
              <w:t>koreanDigital</w:t>
            </w:r>
          </w:p>
        </w:tc>
      </w:tr>
      <w:tr w:rsidR="005F78FC" w:rsidTr="005F78FC">
        <w:tc>
          <w:tcPr>
            <w:tcW w:w="0" w:type="auto"/>
            <w:vAlign w:val="center"/>
          </w:tcPr>
          <w:p w:rsidR="005F78FC" w:rsidRDefault="00B42EF3">
            <w:pPr>
              <w:pStyle w:val="TableBodyText"/>
            </w:pPr>
            <w:r>
              <w:rPr>
                <w:i/>
              </w:rPr>
              <w:t>42</w:t>
            </w:r>
          </w:p>
        </w:tc>
        <w:tc>
          <w:tcPr>
            <w:tcW w:w="0" w:type="auto"/>
            <w:vAlign w:val="center"/>
          </w:tcPr>
          <w:p w:rsidR="005F78FC" w:rsidRDefault="00B42EF3">
            <w:pPr>
              <w:pStyle w:val="TableBodyText"/>
            </w:pPr>
            <w:r>
              <w:rPr>
                <w:i/>
              </w:rPr>
              <w:t>koreanCounting</w:t>
            </w:r>
          </w:p>
        </w:tc>
      </w:tr>
      <w:tr w:rsidR="005F78FC" w:rsidTr="005F78FC">
        <w:tc>
          <w:tcPr>
            <w:tcW w:w="0" w:type="auto"/>
            <w:vAlign w:val="center"/>
          </w:tcPr>
          <w:p w:rsidR="005F78FC" w:rsidRDefault="00B42EF3">
            <w:pPr>
              <w:pStyle w:val="TableBodyText"/>
            </w:pPr>
            <w:r>
              <w:rPr>
                <w:i/>
              </w:rPr>
              <w:t>43</w:t>
            </w:r>
          </w:p>
        </w:tc>
        <w:tc>
          <w:tcPr>
            <w:tcW w:w="0" w:type="auto"/>
            <w:vAlign w:val="center"/>
          </w:tcPr>
          <w:p w:rsidR="005F78FC" w:rsidRDefault="00B42EF3">
            <w:pPr>
              <w:pStyle w:val="TableBodyText"/>
            </w:pPr>
            <w:r>
              <w:rPr>
                <w:i/>
              </w:rPr>
              <w:t>koreanLegal</w:t>
            </w:r>
          </w:p>
        </w:tc>
      </w:tr>
      <w:tr w:rsidR="005F78FC" w:rsidTr="005F78FC">
        <w:tc>
          <w:tcPr>
            <w:tcW w:w="0" w:type="auto"/>
            <w:vAlign w:val="center"/>
          </w:tcPr>
          <w:p w:rsidR="005F78FC" w:rsidRDefault="00B42EF3">
            <w:pPr>
              <w:pStyle w:val="TableBodyText"/>
            </w:pPr>
            <w:r>
              <w:rPr>
                <w:i/>
              </w:rPr>
              <w:t>44</w:t>
            </w:r>
          </w:p>
        </w:tc>
        <w:tc>
          <w:tcPr>
            <w:tcW w:w="0" w:type="auto"/>
            <w:vAlign w:val="center"/>
          </w:tcPr>
          <w:p w:rsidR="005F78FC" w:rsidRDefault="00B42EF3">
            <w:pPr>
              <w:pStyle w:val="TableBodyText"/>
            </w:pPr>
            <w:r>
              <w:rPr>
                <w:i/>
              </w:rPr>
              <w:t>koreanDigital2</w:t>
            </w:r>
          </w:p>
        </w:tc>
      </w:tr>
      <w:tr w:rsidR="005F78FC" w:rsidTr="005F78FC">
        <w:tc>
          <w:tcPr>
            <w:tcW w:w="0" w:type="auto"/>
            <w:vAlign w:val="center"/>
          </w:tcPr>
          <w:p w:rsidR="005F78FC" w:rsidRDefault="00B42EF3">
            <w:pPr>
              <w:pStyle w:val="TableBodyText"/>
            </w:pPr>
            <w:r>
              <w:rPr>
                <w:i/>
              </w:rPr>
              <w:t>45</w:t>
            </w:r>
          </w:p>
        </w:tc>
        <w:tc>
          <w:tcPr>
            <w:tcW w:w="0" w:type="auto"/>
            <w:vAlign w:val="center"/>
          </w:tcPr>
          <w:p w:rsidR="005F78FC" w:rsidRDefault="00B42EF3">
            <w:pPr>
              <w:pStyle w:val="TableBodyText"/>
            </w:pPr>
            <w:r>
              <w:rPr>
                <w:i/>
              </w:rPr>
              <w:t>hebrew1</w:t>
            </w:r>
          </w:p>
        </w:tc>
      </w:tr>
      <w:tr w:rsidR="005F78FC" w:rsidTr="005F78FC">
        <w:tc>
          <w:tcPr>
            <w:tcW w:w="0" w:type="auto"/>
            <w:vAlign w:val="center"/>
          </w:tcPr>
          <w:p w:rsidR="005F78FC" w:rsidRDefault="00B42EF3">
            <w:pPr>
              <w:pStyle w:val="TableBodyText"/>
            </w:pPr>
            <w:r>
              <w:rPr>
                <w:i/>
              </w:rPr>
              <w:t>46</w:t>
            </w:r>
          </w:p>
        </w:tc>
        <w:tc>
          <w:tcPr>
            <w:tcW w:w="0" w:type="auto"/>
            <w:vAlign w:val="center"/>
          </w:tcPr>
          <w:p w:rsidR="005F78FC" w:rsidRDefault="00B42EF3">
            <w:pPr>
              <w:pStyle w:val="TableBodyText"/>
            </w:pPr>
            <w:r>
              <w:rPr>
                <w:i/>
              </w:rPr>
              <w:t>arabicAlpha</w:t>
            </w:r>
          </w:p>
        </w:tc>
      </w:tr>
      <w:tr w:rsidR="005F78FC" w:rsidTr="005F78FC">
        <w:tc>
          <w:tcPr>
            <w:tcW w:w="0" w:type="auto"/>
            <w:vAlign w:val="center"/>
          </w:tcPr>
          <w:p w:rsidR="005F78FC" w:rsidRDefault="00B42EF3">
            <w:pPr>
              <w:pStyle w:val="TableBodyText"/>
            </w:pPr>
            <w:r>
              <w:rPr>
                <w:i/>
              </w:rPr>
              <w:t>47</w:t>
            </w:r>
          </w:p>
        </w:tc>
        <w:tc>
          <w:tcPr>
            <w:tcW w:w="0" w:type="auto"/>
            <w:vAlign w:val="center"/>
          </w:tcPr>
          <w:p w:rsidR="005F78FC" w:rsidRDefault="00B42EF3">
            <w:pPr>
              <w:pStyle w:val="TableBodyText"/>
            </w:pPr>
            <w:r>
              <w:rPr>
                <w:i/>
              </w:rPr>
              <w:t>hebrew2</w:t>
            </w:r>
          </w:p>
        </w:tc>
      </w:tr>
      <w:tr w:rsidR="005F78FC" w:rsidTr="005F78FC">
        <w:tc>
          <w:tcPr>
            <w:tcW w:w="0" w:type="auto"/>
            <w:vAlign w:val="center"/>
          </w:tcPr>
          <w:p w:rsidR="005F78FC" w:rsidRDefault="00B42EF3">
            <w:pPr>
              <w:pStyle w:val="TableBodyText"/>
            </w:pPr>
            <w:r>
              <w:rPr>
                <w:i/>
              </w:rPr>
              <w:t>48</w:t>
            </w:r>
          </w:p>
        </w:tc>
        <w:tc>
          <w:tcPr>
            <w:tcW w:w="0" w:type="auto"/>
            <w:vAlign w:val="center"/>
          </w:tcPr>
          <w:p w:rsidR="005F78FC" w:rsidRDefault="00B42EF3">
            <w:pPr>
              <w:pStyle w:val="TableBodyText"/>
            </w:pPr>
            <w:r>
              <w:rPr>
                <w:i/>
              </w:rPr>
              <w:t>arabicAbjad</w:t>
            </w:r>
          </w:p>
        </w:tc>
      </w:tr>
      <w:tr w:rsidR="005F78FC" w:rsidTr="005F78FC">
        <w:tc>
          <w:tcPr>
            <w:tcW w:w="0" w:type="auto"/>
            <w:vAlign w:val="center"/>
          </w:tcPr>
          <w:p w:rsidR="005F78FC" w:rsidRDefault="00B42EF3">
            <w:pPr>
              <w:pStyle w:val="TableBodyText"/>
            </w:pPr>
            <w:r>
              <w:rPr>
                <w:i/>
              </w:rPr>
              <w:t>49</w:t>
            </w:r>
          </w:p>
        </w:tc>
        <w:tc>
          <w:tcPr>
            <w:tcW w:w="0" w:type="auto"/>
            <w:vAlign w:val="center"/>
          </w:tcPr>
          <w:p w:rsidR="005F78FC" w:rsidRDefault="00B42EF3">
            <w:pPr>
              <w:pStyle w:val="TableBodyText"/>
            </w:pPr>
            <w:r>
              <w:rPr>
                <w:i/>
              </w:rPr>
              <w:t>hindiVowels</w:t>
            </w:r>
          </w:p>
        </w:tc>
      </w:tr>
      <w:tr w:rsidR="005F78FC" w:rsidTr="005F78FC">
        <w:tc>
          <w:tcPr>
            <w:tcW w:w="0" w:type="auto"/>
            <w:vAlign w:val="center"/>
          </w:tcPr>
          <w:p w:rsidR="005F78FC" w:rsidRDefault="00B42EF3">
            <w:pPr>
              <w:pStyle w:val="TableBodyText"/>
            </w:pPr>
            <w:r>
              <w:rPr>
                <w:i/>
              </w:rPr>
              <w:t>50</w:t>
            </w:r>
          </w:p>
        </w:tc>
        <w:tc>
          <w:tcPr>
            <w:tcW w:w="0" w:type="auto"/>
            <w:vAlign w:val="center"/>
          </w:tcPr>
          <w:p w:rsidR="005F78FC" w:rsidRDefault="00B42EF3">
            <w:pPr>
              <w:pStyle w:val="TableBodyText"/>
            </w:pPr>
            <w:r>
              <w:rPr>
                <w:i/>
              </w:rPr>
              <w:t>hindiConsonants</w:t>
            </w:r>
          </w:p>
        </w:tc>
      </w:tr>
      <w:tr w:rsidR="005F78FC" w:rsidTr="005F78FC">
        <w:tc>
          <w:tcPr>
            <w:tcW w:w="0" w:type="auto"/>
            <w:vAlign w:val="center"/>
          </w:tcPr>
          <w:p w:rsidR="005F78FC" w:rsidRDefault="00B42EF3">
            <w:pPr>
              <w:pStyle w:val="TableBodyText"/>
            </w:pPr>
            <w:r>
              <w:rPr>
                <w:i/>
              </w:rPr>
              <w:t>51</w:t>
            </w:r>
          </w:p>
        </w:tc>
        <w:tc>
          <w:tcPr>
            <w:tcW w:w="0" w:type="auto"/>
            <w:vAlign w:val="center"/>
          </w:tcPr>
          <w:p w:rsidR="005F78FC" w:rsidRDefault="00B42EF3">
            <w:pPr>
              <w:pStyle w:val="TableBodyText"/>
            </w:pPr>
            <w:r>
              <w:rPr>
                <w:i/>
              </w:rPr>
              <w:t>hindiNumbers</w:t>
            </w:r>
          </w:p>
        </w:tc>
      </w:tr>
      <w:tr w:rsidR="005F78FC" w:rsidTr="005F78FC">
        <w:tc>
          <w:tcPr>
            <w:tcW w:w="0" w:type="auto"/>
            <w:vAlign w:val="center"/>
          </w:tcPr>
          <w:p w:rsidR="005F78FC" w:rsidRDefault="00B42EF3">
            <w:pPr>
              <w:pStyle w:val="TableBodyText"/>
            </w:pPr>
            <w:r>
              <w:rPr>
                <w:i/>
              </w:rPr>
              <w:t>52</w:t>
            </w:r>
          </w:p>
        </w:tc>
        <w:tc>
          <w:tcPr>
            <w:tcW w:w="0" w:type="auto"/>
            <w:vAlign w:val="center"/>
          </w:tcPr>
          <w:p w:rsidR="005F78FC" w:rsidRDefault="00B42EF3">
            <w:pPr>
              <w:pStyle w:val="TableBodyText"/>
            </w:pPr>
            <w:r>
              <w:rPr>
                <w:i/>
              </w:rPr>
              <w:t>hindiCounting</w:t>
            </w:r>
          </w:p>
        </w:tc>
      </w:tr>
      <w:tr w:rsidR="005F78FC" w:rsidTr="005F78FC">
        <w:tc>
          <w:tcPr>
            <w:tcW w:w="0" w:type="auto"/>
            <w:vAlign w:val="center"/>
          </w:tcPr>
          <w:p w:rsidR="005F78FC" w:rsidRDefault="00B42EF3">
            <w:pPr>
              <w:pStyle w:val="TableBodyText"/>
            </w:pPr>
            <w:r>
              <w:rPr>
                <w:i/>
              </w:rPr>
              <w:t>53</w:t>
            </w:r>
          </w:p>
        </w:tc>
        <w:tc>
          <w:tcPr>
            <w:tcW w:w="0" w:type="auto"/>
            <w:vAlign w:val="center"/>
          </w:tcPr>
          <w:p w:rsidR="005F78FC" w:rsidRDefault="00B42EF3">
            <w:pPr>
              <w:pStyle w:val="TableBodyText"/>
            </w:pPr>
            <w:r>
              <w:rPr>
                <w:i/>
              </w:rPr>
              <w:t>thaiLetters</w:t>
            </w:r>
          </w:p>
        </w:tc>
      </w:tr>
      <w:tr w:rsidR="005F78FC" w:rsidTr="005F78FC">
        <w:tc>
          <w:tcPr>
            <w:tcW w:w="0" w:type="auto"/>
            <w:vAlign w:val="center"/>
          </w:tcPr>
          <w:p w:rsidR="005F78FC" w:rsidRDefault="00B42EF3">
            <w:pPr>
              <w:pStyle w:val="TableBodyText"/>
            </w:pPr>
            <w:r>
              <w:rPr>
                <w:i/>
              </w:rPr>
              <w:t>54</w:t>
            </w:r>
          </w:p>
        </w:tc>
        <w:tc>
          <w:tcPr>
            <w:tcW w:w="0" w:type="auto"/>
            <w:vAlign w:val="center"/>
          </w:tcPr>
          <w:p w:rsidR="005F78FC" w:rsidRDefault="00B42EF3">
            <w:pPr>
              <w:pStyle w:val="TableBodyText"/>
            </w:pPr>
            <w:r>
              <w:rPr>
                <w:i/>
              </w:rPr>
              <w:t>thaiNumbers</w:t>
            </w:r>
          </w:p>
        </w:tc>
      </w:tr>
      <w:tr w:rsidR="005F78FC" w:rsidTr="005F78FC">
        <w:tc>
          <w:tcPr>
            <w:tcW w:w="0" w:type="auto"/>
            <w:vAlign w:val="center"/>
          </w:tcPr>
          <w:p w:rsidR="005F78FC" w:rsidRDefault="00B42EF3">
            <w:pPr>
              <w:pStyle w:val="TableBodyText"/>
            </w:pPr>
            <w:r>
              <w:rPr>
                <w:i/>
              </w:rPr>
              <w:t>55</w:t>
            </w:r>
          </w:p>
        </w:tc>
        <w:tc>
          <w:tcPr>
            <w:tcW w:w="0" w:type="auto"/>
            <w:vAlign w:val="center"/>
          </w:tcPr>
          <w:p w:rsidR="005F78FC" w:rsidRDefault="00B42EF3">
            <w:pPr>
              <w:pStyle w:val="TableBodyText"/>
            </w:pPr>
            <w:r>
              <w:rPr>
                <w:i/>
              </w:rPr>
              <w:t>thaiCounting</w:t>
            </w:r>
          </w:p>
        </w:tc>
      </w:tr>
      <w:tr w:rsidR="005F78FC" w:rsidTr="005F78FC">
        <w:tc>
          <w:tcPr>
            <w:tcW w:w="0" w:type="auto"/>
            <w:vAlign w:val="center"/>
          </w:tcPr>
          <w:p w:rsidR="005F78FC" w:rsidRDefault="00B42EF3">
            <w:pPr>
              <w:pStyle w:val="TableBodyText"/>
            </w:pPr>
            <w:r>
              <w:rPr>
                <w:i/>
              </w:rPr>
              <w:t>56</w:t>
            </w:r>
          </w:p>
        </w:tc>
        <w:tc>
          <w:tcPr>
            <w:tcW w:w="0" w:type="auto"/>
            <w:vAlign w:val="center"/>
          </w:tcPr>
          <w:p w:rsidR="005F78FC" w:rsidRDefault="00B42EF3">
            <w:pPr>
              <w:pStyle w:val="TableBodyText"/>
            </w:pPr>
            <w:r>
              <w:rPr>
                <w:i/>
              </w:rPr>
              <w:t>vietnameseCounting</w:t>
            </w:r>
          </w:p>
        </w:tc>
      </w:tr>
      <w:tr w:rsidR="005F78FC" w:rsidTr="005F78FC">
        <w:tc>
          <w:tcPr>
            <w:tcW w:w="0" w:type="auto"/>
            <w:vAlign w:val="center"/>
          </w:tcPr>
          <w:p w:rsidR="005F78FC" w:rsidRDefault="00B42EF3">
            <w:pPr>
              <w:pStyle w:val="TableBodyText"/>
            </w:pPr>
            <w:r>
              <w:rPr>
                <w:i/>
              </w:rPr>
              <w:t>57</w:t>
            </w:r>
          </w:p>
        </w:tc>
        <w:tc>
          <w:tcPr>
            <w:tcW w:w="0" w:type="auto"/>
            <w:vAlign w:val="center"/>
          </w:tcPr>
          <w:p w:rsidR="005F78FC" w:rsidRDefault="00B42EF3">
            <w:pPr>
              <w:pStyle w:val="TableBodyText"/>
            </w:pPr>
            <w:r>
              <w:rPr>
                <w:i/>
              </w:rPr>
              <w:t>numberInDash</w:t>
            </w:r>
          </w:p>
        </w:tc>
      </w:tr>
      <w:tr w:rsidR="005F78FC" w:rsidTr="005F78FC">
        <w:tc>
          <w:tcPr>
            <w:tcW w:w="0" w:type="auto"/>
            <w:vAlign w:val="center"/>
          </w:tcPr>
          <w:p w:rsidR="005F78FC" w:rsidRDefault="00B42EF3">
            <w:pPr>
              <w:pStyle w:val="TableBodyText"/>
            </w:pPr>
            <w:r>
              <w:rPr>
                <w:i/>
              </w:rPr>
              <w:t>58</w:t>
            </w:r>
          </w:p>
        </w:tc>
        <w:tc>
          <w:tcPr>
            <w:tcW w:w="0" w:type="auto"/>
            <w:vAlign w:val="center"/>
          </w:tcPr>
          <w:p w:rsidR="005F78FC" w:rsidRDefault="00B42EF3">
            <w:pPr>
              <w:pStyle w:val="TableBodyText"/>
            </w:pPr>
            <w:r>
              <w:rPr>
                <w:i/>
              </w:rPr>
              <w:t>russianLower</w:t>
            </w:r>
          </w:p>
        </w:tc>
      </w:tr>
      <w:tr w:rsidR="005F78FC" w:rsidTr="005F78FC">
        <w:tc>
          <w:tcPr>
            <w:tcW w:w="0" w:type="auto"/>
            <w:vAlign w:val="center"/>
          </w:tcPr>
          <w:p w:rsidR="005F78FC" w:rsidRDefault="00B42EF3">
            <w:pPr>
              <w:pStyle w:val="TableBodyText"/>
            </w:pPr>
            <w:r>
              <w:rPr>
                <w:i/>
              </w:rPr>
              <w:t>59</w:t>
            </w:r>
          </w:p>
        </w:tc>
        <w:tc>
          <w:tcPr>
            <w:tcW w:w="0" w:type="auto"/>
            <w:vAlign w:val="center"/>
          </w:tcPr>
          <w:p w:rsidR="005F78FC" w:rsidRDefault="00B42EF3">
            <w:pPr>
              <w:pStyle w:val="TableBodyText"/>
            </w:pPr>
            <w:r>
              <w:rPr>
                <w:i/>
              </w:rPr>
              <w:t>russianUpper</w:t>
            </w:r>
          </w:p>
        </w:tc>
      </w:tr>
      <w:tr w:rsidR="005F78FC" w:rsidTr="005F78FC">
        <w:tc>
          <w:tcPr>
            <w:tcW w:w="0" w:type="auto"/>
            <w:vAlign w:val="center"/>
          </w:tcPr>
          <w:p w:rsidR="005F78FC" w:rsidRDefault="00B42EF3">
            <w:pPr>
              <w:pStyle w:val="TableBodyText"/>
            </w:pPr>
            <w:r>
              <w:rPr>
                <w:i/>
              </w:rPr>
              <w:t>60</w:t>
            </w:r>
            <w:r>
              <w:t xml:space="preserve"> or higher</w:t>
            </w:r>
          </w:p>
        </w:tc>
        <w:tc>
          <w:tcPr>
            <w:tcW w:w="0" w:type="auto"/>
            <w:vAlign w:val="center"/>
          </w:tcPr>
          <w:p w:rsidR="005F78FC" w:rsidRDefault="00B42EF3">
            <w:pPr>
              <w:pStyle w:val="TableBodyText"/>
            </w:pPr>
            <w:r>
              <w:t>Application-defined. May be ignored.</w:t>
            </w:r>
          </w:p>
        </w:tc>
      </w:tr>
    </w:tbl>
    <w:p w:rsidR="005F78FC" w:rsidRDefault="005F78FC"/>
    <w:p w:rsidR="005F78FC" w:rsidRDefault="00B42EF3">
      <w:pPr>
        <w:pStyle w:val="Definition-Field"/>
      </w:pPr>
      <w:r>
        <w:t xml:space="preserve">b.   </w:t>
      </w:r>
      <w:r>
        <w:rPr>
          <w:i/>
        </w:rPr>
        <w:t>The standard does not state how to interpret a pair of consecutive percent characters in the value of the original attribute.</w:t>
      </w:r>
    </w:p>
    <w:p w:rsidR="005F78FC" w:rsidRDefault="00B42EF3">
      <w:pPr>
        <w:pStyle w:val="Definition-Field2"/>
      </w:pPr>
      <w:r>
        <w:t xml:space="preserve">Word treats a pair of consecutive percent characters in this attribute as a single </w:t>
      </w:r>
      <w:r>
        <w:t>percent character.</w:t>
      </w:r>
    </w:p>
    <w:p w:rsidR="005F78FC" w:rsidRDefault="00B42EF3">
      <w:pPr>
        <w:pStyle w:val="Definition-Field"/>
      </w:pPr>
      <w:r>
        <w:t xml:space="preserve">c.   </w:t>
      </w:r>
      <w:r>
        <w:rPr>
          <w:i/>
        </w:rPr>
        <w:t>The standard does not restrict the length of the original attribute.</w:t>
      </w:r>
    </w:p>
    <w:p w:rsidR="005F78FC" w:rsidRDefault="00B42EF3">
      <w:pPr>
        <w:pStyle w:val="Definition-Field2"/>
      </w:pPr>
      <w:r>
        <w:t>Word requires that the total length of original, omitting all instances of nfc_value and numbering_format and all ':' characters used to separate the pieces of the</w:t>
      </w:r>
      <w:r>
        <w:t xml:space="preserve"> number level definitions, shall be at most 31 characters.</w:t>
      </w:r>
    </w:p>
    <w:p w:rsidR="005F78FC" w:rsidRDefault="00B42EF3">
      <w:pPr>
        <w:pStyle w:val="Heading3"/>
      </w:pPr>
      <w:bookmarkStart w:id="3556" w:name="section_b1d3a78aad5a41ed917f29cbeaa2c9bc"/>
      <w:bookmarkStart w:id="3557" w:name="_Toc69879551"/>
      <w:r>
        <w:lastRenderedPageBreak/>
        <w:t>Part 4 Section 14.7.2.1, hdrShapeDefaults (Default Properties for VML Objects in Header and Footer)</w:t>
      </w:r>
      <w:bookmarkEnd w:id="3556"/>
      <w:bookmarkEnd w:id="3557"/>
      <w:r>
        <w:fldChar w:fldCharType="begin"/>
      </w:r>
      <w:r>
        <w:instrText xml:space="preserve"> XE "hdrShapeDefaults (Default Properties for VML Objects in Header and Footer)" </w:instrText>
      </w:r>
      <w:r>
        <w:fldChar w:fldCharType="end"/>
      </w:r>
    </w:p>
    <w:p w:rsidR="005F78FC" w:rsidRDefault="00B42EF3">
      <w:pPr>
        <w:pStyle w:val="Definition-Field"/>
      </w:pPr>
      <w:r>
        <w:t xml:space="preserve">a.   </w:t>
      </w:r>
      <w:r>
        <w:rPr>
          <w:i/>
        </w:rPr>
        <w:t>The stand</w:t>
      </w:r>
      <w:r>
        <w:rPr>
          <w:i/>
        </w:rPr>
        <w:t>ard states that any element from the VML namespace is a valid child element of the hdrShapeDefaults element.</w:t>
      </w:r>
    </w:p>
    <w:p w:rsidR="005F78FC" w:rsidRDefault="00B42EF3">
      <w:pPr>
        <w:pStyle w:val="Definition-Field2"/>
      </w:pPr>
      <w:r>
        <w:t>Word only allows the shapedefaults and shapelayout elements from the VML namespace to be child elements of the hdrShapeDefaults element.</w:t>
      </w:r>
    </w:p>
    <w:p w:rsidR="005F78FC" w:rsidRDefault="00B42EF3">
      <w:pPr>
        <w:pStyle w:val="Heading3"/>
      </w:pPr>
      <w:bookmarkStart w:id="3558" w:name="section_8721f65882524c32965b4c04fdc5a2eb"/>
      <w:bookmarkStart w:id="3559" w:name="_Toc69879552"/>
      <w:r>
        <w:t>Part 4 Sec</w:t>
      </w:r>
      <w:r>
        <w:t>tion 14.7.2.2, shapeDefaults (Default Properties for VML Objects in Main Document)</w:t>
      </w:r>
      <w:bookmarkEnd w:id="3558"/>
      <w:bookmarkEnd w:id="3559"/>
      <w:r>
        <w:fldChar w:fldCharType="begin"/>
      </w:r>
      <w:r>
        <w:instrText xml:space="preserve"> XE "shapeDefaults (Default Properties for VML Objects in Main Document)" </w:instrText>
      </w:r>
      <w:r>
        <w:fldChar w:fldCharType="end"/>
      </w:r>
    </w:p>
    <w:p w:rsidR="005F78FC" w:rsidRDefault="00B42EF3">
      <w:pPr>
        <w:pStyle w:val="Definition-Field"/>
      </w:pPr>
      <w:r>
        <w:t xml:space="preserve">a.   </w:t>
      </w:r>
      <w:r>
        <w:rPr>
          <w:i/>
        </w:rPr>
        <w:t>The standard states that any element from the VML namespace is a valid child of the shapeDef</w:t>
      </w:r>
      <w:r>
        <w:rPr>
          <w:i/>
        </w:rPr>
        <w:t>aults element.</w:t>
      </w:r>
    </w:p>
    <w:p w:rsidR="005F78FC" w:rsidRDefault="00B42EF3">
      <w:pPr>
        <w:pStyle w:val="Definition-Field2"/>
      </w:pPr>
      <w:r>
        <w:t>Word only allows the shapedefaults and shapelayout elements from the VML namespace to be child elements of the shapeDefaults element.</w:t>
      </w:r>
    </w:p>
    <w:p w:rsidR="005F78FC" w:rsidRDefault="00B42EF3">
      <w:pPr>
        <w:pStyle w:val="Heading3"/>
      </w:pPr>
      <w:bookmarkStart w:id="3560" w:name="section_effb5b24826144ae9742ccf290c462ac"/>
      <w:bookmarkStart w:id="3561" w:name="_Toc69879553"/>
      <w:r>
        <w:t>Part 4 Section 14.7.2.5, Additional attributes for writeProtection element (Part 1, 17.15.1.93)</w:t>
      </w:r>
      <w:bookmarkEnd w:id="3560"/>
      <w:bookmarkEnd w:id="3561"/>
      <w:r>
        <w:fldChar w:fldCharType="begin"/>
      </w:r>
      <w:r>
        <w:instrText xml:space="preserve"> XE "Additio</w:instrText>
      </w:r>
      <w:r>
        <w:instrText xml:space="preserve">nal attributes for writeProtection element (Part 1 - 17.15.1.93)" </w:instrText>
      </w:r>
      <w:r>
        <w:fldChar w:fldCharType="end"/>
      </w:r>
    </w:p>
    <w:p w:rsidR="005F78FC" w:rsidRDefault="00B42EF3">
      <w:pPr>
        <w:pStyle w:val="Definition-Field"/>
      </w:pPr>
      <w:r>
        <w:t xml:space="preserve">a.   </w:t>
      </w:r>
      <w:r>
        <w:rPr>
          <w:i/>
        </w:rPr>
        <w:t>The standard specifies additional attributes for the writeProtection element.</w:t>
      </w:r>
    </w:p>
    <w:p w:rsidR="005F78FC" w:rsidRDefault="00B42EF3">
      <w:pPr>
        <w:pStyle w:val="Definition-Field2"/>
      </w:pPr>
      <w:r>
        <w:t xml:space="preserve">Word ignores the additional attributes (algorithmName, hasValue, saltValue, and spinCount) when </w:t>
      </w:r>
      <w:r>
        <w:t>attributes from "</w:t>
      </w:r>
      <w:hyperlink r:id="rId241">
        <w:r>
          <w:rPr>
            <w:rStyle w:val="Hyperlink"/>
          </w:rPr>
          <w:t>[ISO/IEC-29500-1]</w:t>
        </w:r>
      </w:hyperlink>
      <w:r>
        <w:t xml:space="preserve"> §17.15.1.93; writeProtection" are present.</w:t>
      </w:r>
    </w:p>
    <w:p w:rsidR="005F78FC" w:rsidRDefault="00B42EF3">
      <w:pPr>
        <w:pStyle w:val="Heading3"/>
      </w:pPr>
      <w:bookmarkStart w:id="3562" w:name="section_69facb4b222641c0a77ad9fcabebd0ea"/>
      <w:bookmarkStart w:id="3563" w:name="_Toc69879554"/>
      <w:r>
        <w:t>Part 4 Section 14.7.3.6, convMailMergeEsc (Treat Backslash Quotation Delimiter as Two Quotation Marks)</w:t>
      </w:r>
      <w:bookmarkEnd w:id="3562"/>
      <w:bookmarkEnd w:id="3563"/>
      <w:r>
        <w:fldChar w:fldCharType="begin"/>
      </w:r>
      <w:r>
        <w:instrText xml:space="preserve"> XE "convM</w:instrText>
      </w:r>
      <w:r>
        <w:instrText xml:space="preserve">ailMergeEsc (Treat Backslash Quotation Delimiter as Two Quotation Marks)" </w:instrText>
      </w:r>
      <w:r>
        <w:fldChar w:fldCharType="end"/>
      </w:r>
    </w:p>
    <w:p w:rsidR="005F78FC" w:rsidRDefault="00B42EF3">
      <w:pPr>
        <w:pStyle w:val="Definition-Field"/>
      </w:pPr>
      <w:r>
        <w:t xml:space="preserve">a.   </w:t>
      </w:r>
      <w:r>
        <w:rPr>
          <w:i/>
        </w:rPr>
        <w:t>The standard states that applications shall interpret delimiters composed of a backslash and quotation mark (\") as two quotation marks ("").</w:t>
      </w:r>
    </w:p>
    <w:p w:rsidR="005F78FC" w:rsidRDefault="00B42EF3">
      <w:pPr>
        <w:pStyle w:val="Definition-Field2"/>
      </w:pPr>
      <w:r>
        <w:t>Word interprets delimiters compo</w:t>
      </w:r>
      <w:r>
        <w:t>sed of a backslash and quotation mark (\") as a single quotation mark (").</w:t>
      </w:r>
    </w:p>
    <w:p w:rsidR="005F78FC" w:rsidRDefault="00B42EF3">
      <w:pPr>
        <w:pStyle w:val="Definition-Field"/>
      </w:pPr>
      <w:r>
        <w:t xml:space="preserve">b.   </w:t>
      </w:r>
      <w:r>
        <w:rPr>
          <w:i/>
        </w:rPr>
        <w:t>The standard does not state any constraints for the usage of this property.</w:t>
      </w:r>
    </w:p>
    <w:p w:rsidR="005F78FC" w:rsidRDefault="00B42EF3">
      <w:pPr>
        <w:pStyle w:val="Definition-Field2"/>
      </w:pPr>
      <w:r>
        <w:t>Word only uses this property in the document that serves as the external data source to be a Wordpro</w:t>
      </w:r>
      <w:r>
        <w:t>cessingML document through an ODSO connection.</w:t>
      </w:r>
    </w:p>
    <w:p w:rsidR="005F78FC" w:rsidRDefault="00B42EF3">
      <w:pPr>
        <w:pStyle w:val="Heading3"/>
      </w:pPr>
      <w:bookmarkStart w:id="3564" w:name="section_491140ac216d46eda8797b430b295e95"/>
      <w:bookmarkStart w:id="3565" w:name="_Toc69879555"/>
      <w:r>
        <w:t>Part 4 Section 14.7.3.8, doNotAutofitConstrainedTables (Do Not AutoFit Tables To Fit Next To Wrapped Objects)</w:t>
      </w:r>
      <w:bookmarkEnd w:id="3564"/>
      <w:bookmarkEnd w:id="3565"/>
      <w:r>
        <w:fldChar w:fldCharType="begin"/>
      </w:r>
      <w:r>
        <w:instrText xml:space="preserve"> XE "doNotAutofitConstrainedTables (Do Not AutoFit Tables To Fit Next To Wrapped Objects)" </w:instrText>
      </w:r>
      <w:r>
        <w:fldChar w:fldCharType="end"/>
      </w:r>
    </w:p>
    <w:p w:rsidR="005F78FC" w:rsidRDefault="00B42EF3">
      <w:pPr>
        <w:pStyle w:val="Definition-Field"/>
      </w:pPr>
      <w:r>
        <w:t xml:space="preserve">a.   </w:t>
      </w:r>
      <w:r>
        <w:rPr>
          <w:i/>
        </w:rPr>
        <w:t>T</w:t>
      </w:r>
      <w:r>
        <w:rPr>
          <w:i/>
        </w:rPr>
        <w:t>he standard states that a table that is AutoFit and has a preferred width typically has its width reduced in order to allow a floating shape to wrap.</w:t>
      </w:r>
    </w:p>
    <w:p w:rsidR="005F78FC" w:rsidRDefault="00B42EF3">
      <w:pPr>
        <w:pStyle w:val="Definition-Field2"/>
      </w:pPr>
      <w:r>
        <w:t>Word only reduces the width of tables that have no preferred width in order to allow a floating shape to w</w:t>
      </w:r>
      <w:r>
        <w:t>rap.</w:t>
      </w:r>
    </w:p>
    <w:p w:rsidR="005F78FC" w:rsidRDefault="00B42EF3">
      <w:pPr>
        <w:pStyle w:val="Definition-Field"/>
      </w:pPr>
      <w:r>
        <w:t xml:space="preserve">b.   </w:t>
      </w:r>
      <w:r>
        <w:rPr>
          <w:i/>
        </w:rPr>
        <w:t>The standard states that when this element is present with a val attribute value of true, tables shall never have any preferred width overridden to allow them to wrap.</w:t>
      </w:r>
    </w:p>
    <w:p w:rsidR="005F78FC" w:rsidRDefault="00B42EF3">
      <w:pPr>
        <w:pStyle w:val="Definition-Field2"/>
      </w:pPr>
      <w:r>
        <w:t>Word never allows tables to have their width reduced to allow them to wrap, ev</w:t>
      </w:r>
      <w:r>
        <w:t>en if they have no preferred width.</w:t>
      </w:r>
    </w:p>
    <w:p w:rsidR="005F78FC" w:rsidRDefault="00B42EF3">
      <w:pPr>
        <w:pStyle w:val="Heading3"/>
      </w:pPr>
      <w:bookmarkStart w:id="3566" w:name="section_22d6975fb6c24b2f95a821369e8deaa7"/>
      <w:bookmarkStart w:id="3567" w:name="_Toc69879556"/>
      <w:r>
        <w:lastRenderedPageBreak/>
        <w:t>Part 4 Section 14.7.3.13, doNotSuppressParagraphBorders (Do Not Suppress Paragraph Borders Next To Frames)</w:t>
      </w:r>
      <w:bookmarkEnd w:id="3566"/>
      <w:bookmarkEnd w:id="3567"/>
      <w:r>
        <w:fldChar w:fldCharType="begin"/>
      </w:r>
      <w:r>
        <w:instrText xml:space="preserve"> XE "doNotSuppressParagraphBorders (Do Not Suppress Paragraph Borders Next To Frames)" </w:instrText>
      </w:r>
      <w:r>
        <w:fldChar w:fldCharType="end"/>
      </w:r>
    </w:p>
    <w:p w:rsidR="005F78FC" w:rsidRDefault="00B42EF3">
      <w:pPr>
        <w:pStyle w:val="Definition-Field"/>
      </w:pPr>
      <w:r>
        <w:t xml:space="preserve">a.   </w:t>
      </w:r>
      <w:r>
        <w:rPr>
          <w:i/>
        </w:rPr>
        <w:t>The standard states</w:t>
      </w:r>
      <w:r>
        <w:rPr>
          <w:i/>
        </w:rPr>
        <w:t xml:space="preserve"> that specific paragraph borders should not be suppressed if this setting is on.</w:t>
      </w:r>
    </w:p>
    <w:p w:rsidR="005F78FC" w:rsidRDefault="00B42EF3">
      <w:pPr>
        <w:pStyle w:val="Definition-Field2"/>
      </w:pPr>
      <w:r>
        <w:t>Word suppresses those paragraph borders when this setting is on unless the doNotSuppressIndentation setting is also on.</w:t>
      </w:r>
    </w:p>
    <w:p w:rsidR="005F78FC" w:rsidRDefault="00B42EF3">
      <w:pPr>
        <w:pStyle w:val="Heading3"/>
      </w:pPr>
      <w:bookmarkStart w:id="3568" w:name="section_dc83bfa3db214eb4b3c063b11f2575d3"/>
      <w:bookmarkStart w:id="3569" w:name="_Toc69879557"/>
      <w:r>
        <w:t>Part 4 Section 14.8.1.1, txbxContent (Rich Text Box Con</w:t>
      </w:r>
      <w:r>
        <w:t>tent Container)</w:t>
      </w:r>
      <w:bookmarkEnd w:id="3568"/>
      <w:bookmarkEnd w:id="3569"/>
      <w:r>
        <w:fldChar w:fldCharType="begin"/>
      </w:r>
      <w:r>
        <w:instrText xml:space="preserve"> XE "txbxContent (Rich Text Box Content Container)"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5F78FC" w:rsidRDefault="00B42EF3">
      <w:pPr>
        <w:pStyle w:val="Definition-Field"/>
      </w:pPr>
      <w:r>
        <w:t xml:space="preserve">a.   </w:t>
      </w:r>
      <w:r>
        <w:rPr>
          <w:i/>
        </w:rPr>
        <w:t>The standard states that text box content can be placed inside endnotes, footnotes, comments, or other textboxes.</w:t>
      </w:r>
    </w:p>
    <w:p w:rsidR="005F78FC" w:rsidRDefault="00B42EF3">
      <w:pPr>
        <w:pStyle w:val="Definition-Field2"/>
      </w:pPr>
      <w:r>
        <w:t>Word does not allow textbox content inside endnotes, footno</w:t>
      </w:r>
      <w:r>
        <w:t>tes, comments, or other textboxes.</w:t>
      </w:r>
    </w:p>
    <w:p w:rsidR="005F78FC" w:rsidRDefault="00B42EF3">
      <w:pPr>
        <w:pStyle w:val="Definition-Field"/>
      </w:pPr>
      <w:r>
        <w:t xml:space="preserve">b.   </w:t>
      </w:r>
      <w:r>
        <w:rPr>
          <w:i/>
        </w:rPr>
        <w:t>The standard specifies this element as part of the WordprocessingML namespace.</w:t>
      </w:r>
    </w:p>
    <w:p w:rsidR="005F78FC" w:rsidRDefault="00B42EF3">
      <w:pPr>
        <w:pStyle w:val="Definition-Field2"/>
      </w:pPr>
      <w:r>
        <w:t xml:space="preserve">Word will save an mce choice for VML content.  txbxContent elements written in that choice will be written in with a namespace value of </w:t>
      </w:r>
      <w:r>
        <w:t>http://schemas.microsoft.com/office/word/2006/wordml.</w:t>
      </w:r>
    </w:p>
    <w:p w:rsidR="005F78FC" w:rsidRDefault="00B42EF3">
      <w:pPr>
        <w:pStyle w:val="Definition-Field2"/>
      </w:pPr>
      <w:r>
        <w:t>This note applies to the following products: Office 2013 Client (Strict), Office 2013 Server (Strict).</w:t>
      </w:r>
    </w:p>
    <w:p w:rsidR="005F78FC" w:rsidRDefault="00B42EF3">
      <w:pPr>
        <w:pStyle w:val="Heading3"/>
      </w:pPr>
      <w:bookmarkStart w:id="3570" w:name="section_ab0c2ca5b61542639ea03377b5329517"/>
      <w:bookmarkStart w:id="3571" w:name="_Toc69879558"/>
      <w:r>
        <w:t>Part 4 Section 14.9.4.1, AUTONUM</w:t>
      </w:r>
      <w:bookmarkEnd w:id="3570"/>
      <w:bookmarkEnd w:id="3571"/>
      <w:r>
        <w:fldChar w:fldCharType="begin"/>
      </w:r>
      <w:r>
        <w:instrText xml:space="preserve"> XE "AUTONUM" </w:instrText>
      </w:r>
      <w:r>
        <w:fldChar w:fldCharType="end"/>
      </w:r>
    </w:p>
    <w:p w:rsidR="005F78FC" w:rsidRDefault="00B42EF3">
      <w:pPr>
        <w:pStyle w:val="Definition-Field"/>
      </w:pPr>
      <w:r>
        <w:t xml:space="preserve">a.   </w:t>
      </w:r>
      <w:r>
        <w:rPr>
          <w:i/>
        </w:rPr>
        <w:t>The standard says the \s switch specifies the</w:t>
      </w:r>
      <w:r>
        <w:rPr>
          <w:i/>
        </w:rPr>
        <w:t xml:space="preserve"> separator character to use in the field result.</w:t>
      </w:r>
    </w:p>
    <w:p w:rsidR="005F78FC" w:rsidRDefault="00B42EF3">
      <w:pPr>
        <w:pStyle w:val="Definition-Field2"/>
      </w:pPr>
      <w:r>
        <w:t>In Word, if the primary editing language is East Asian, then no separator character is used, even if the \s switch is used.</w:t>
      </w:r>
    </w:p>
    <w:p w:rsidR="005F78FC" w:rsidRDefault="00B42EF3">
      <w:pPr>
        <w:pStyle w:val="Definition-Field"/>
      </w:pPr>
      <w:r>
        <w:t xml:space="preserve">b.   </w:t>
      </w:r>
      <w:r>
        <w:rPr>
          <w:i/>
        </w:rPr>
        <w:t>The standard allows the AUTONUM field to be nested inside other fields.</w:t>
      </w:r>
    </w:p>
    <w:p w:rsidR="005F78FC" w:rsidRDefault="00B42EF3">
      <w:pPr>
        <w:pStyle w:val="Definition-Field2"/>
      </w:pPr>
      <w:r>
        <w:t>In Wor</w:t>
      </w:r>
      <w:r>
        <w:t>d, if the AUTONUM field is nested inside another field no result is displayed.</w:t>
      </w:r>
    </w:p>
    <w:p w:rsidR="005F78FC" w:rsidRDefault="00B42EF3">
      <w:pPr>
        <w:pStyle w:val="Heading3"/>
      </w:pPr>
      <w:bookmarkStart w:id="3572" w:name="section_35f9f6146f2f473e8f68b51ac0246a53"/>
      <w:bookmarkStart w:id="3573" w:name="_Toc69879559"/>
      <w:r>
        <w:t>Part 4 Section 14.9.4.2, AUTONUMLGL</w:t>
      </w:r>
      <w:bookmarkEnd w:id="3572"/>
      <w:bookmarkEnd w:id="3573"/>
      <w:r>
        <w:fldChar w:fldCharType="begin"/>
      </w:r>
      <w:r>
        <w:instrText xml:space="preserve"> XE "AUTONUMLGL" </w:instrText>
      </w:r>
      <w:r>
        <w:fldChar w:fldCharType="end"/>
      </w:r>
    </w:p>
    <w:p w:rsidR="005F78FC" w:rsidRDefault="00B42EF3">
      <w:pPr>
        <w:pStyle w:val="Definition-Field"/>
      </w:pPr>
      <w:r>
        <w:t xml:space="preserve">a.   </w:t>
      </w:r>
      <w:r>
        <w:rPr>
          <w:i/>
        </w:rPr>
        <w:t>The standard says the \s switch specifies the trailing separator to use.</w:t>
      </w:r>
    </w:p>
    <w:p w:rsidR="005F78FC" w:rsidRDefault="00B42EF3">
      <w:pPr>
        <w:pStyle w:val="Definition-Field2"/>
      </w:pPr>
      <w:r>
        <w:t xml:space="preserve">In Word, if the primary editing language is </w:t>
      </w:r>
      <w:r>
        <w:t>East Asian, then no trailing separator character is used even if the \s switch is specified.</w:t>
      </w:r>
    </w:p>
    <w:p w:rsidR="005F78FC" w:rsidRDefault="00B42EF3">
      <w:pPr>
        <w:pStyle w:val="Definition-Field"/>
      </w:pPr>
      <w:r>
        <w:t xml:space="preserve">b.   </w:t>
      </w:r>
      <w:r>
        <w:rPr>
          <w:i/>
        </w:rPr>
        <w:t>The standard allows the AUTONUMLGL field to be nested inside another field.</w:t>
      </w:r>
    </w:p>
    <w:p w:rsidR="005F78FC" w:rsidRDefault="00B42EF3">
      <w:pPr>
        <w:pStyle w:val="Definition-Field2"/>
      </w:pPr>
      <w:r>
        <w:t xml:space="preserve">In Word, if the AUTONUMLGL field is nested inside another field, no result is </w:t>
      </w:r>
      <w:r>
        <w:t>displayed.</w:t>
      </w:r>
    </w:p>
    <w:p w:rsidR="005F78FC" w:rsidRDefault="00B42EF3">
      <w:pPr>
        <w:pStyle w:val="Heading3"/>
      </w:pPr>
      <w:bookmarkStart w:id="3574" w:name="section_092c97b32d3444398583365f6a1bd7bf"/>
      <w:bookmarkStart w:id="3575" w:name="_Toc69879560"/>
      <w:r>
        <w:t>Part 4 Section 14.9.4.3, AUTONUMOUT</w:t>
      </w:r>
      <w:bookmarkEnd w:id="3574"/>
      <w:bookmarkEnd w:id="3575"/>
      <w:r>
        <w:fldChar w:fldCharType="begin"/>
      </w:r>
      <w:r>
        <w:instrText xml:space="preserve"> XE "AUTONUMOUT" </w:instrText>
      </w:r>
      <w:r>
        <w:fldChar w:fldCharType="end"/>
      </w:r>
    </w:p>
    <w:p w:rsidR="005F78FC" w:rsidRDefault="00B42EF3">
      <w:pPr>
        <w:pStyle w:val="Definition-Field"/>
      </w:pPr>
      <w:r>
        <w:t xml:space="preserve">a.   </w:t>
      </w:r>
      <w:r>
        <w:rPr>
          <w:i/>
        </w:rPr>
        <w:t>The standard allows the AUTONUMOUT field to be nested inside another field.</w:t>
      </w:r>
    </w:p>
    <w:p w:rsidR="005F78FC" w:rsidRDefault="00B42EF3">
      <w:pPr>
        <w:pStyle w:val="Definition-Field2"/>
      </w:pPr>
      <w:r>
        <w:t>In Word, if the AUTONUMOUT field is nested inside another field, no result is displayed.</w:t>
      </w:r>
    </w:p>
    <w:p w:rsidR="005F78FC" w:rsidRDefault="00B42EF3">
      <w:pPr>
        <w:pStyle w:val="Heading3"/>
      </w:pPr>
      <w:bookmarkStart w:id="3576" w:name="section_76e151b8985a4d058301dbf681ba84d1"/>
      <w:bookmarkStart w:id="3577" w:name="_Toc69879561"/>
      <w:r>
        <w:t>Part 4 Section 14.9.</w:t>
      </w:r>
      <w:r>
        <w:t>4.4, BARCODE</w:t>
      </w:r>
      <w:bookmarkEnd w:id="3576"/>
      <w:bookmarkEnd w:id="3577"/>
      <w:r>
        <w:fldChar w:fldCharType="begin"/>
      </w:r>
      <w:r>
        <w:instrText xml:space="preserve"> XE "BARCODE" </w:instrText>
      </w:r>
      <w:r>
        <w:fldChar w:fldCharType="end"/>
      </w:r>
    </w:p>
    <w:p w:rsidR="005F78FC" w:rsidRDefault="00B42EF3">
      <w:pPr>
        <w:pStyle w:val="Definition-Field"/>
      </w:pPr>
      <w:r>
        <w:t xml:space="preserve">a.   </w:t>
      </w:r>
      <w:r>
        <w:rPr>
          <w:i/>
        </w:rPr>
        <w:t>The standard allows the BARCODE field to be nested inside another field.</w:t>
      </w:r>
    </w:p>
    <w:p w:rsidR="005F78FC" w:rsidRDefault="00B42EF3">
      <w:pPr>
        <w:pStyle w:val="Definition-Field2"/>
      </w:pPr>
      <w:r>
        <w:t>In Word, if the BARCODE field is nested inside another field, no result is displayed.</w:t>
      </w:r>
    </w:p>
    <w:p w:rsidR="005F78FC" w:rsidRDefault="00B42EF3">
      <w:pPr>
        <w:pStyle w:val="Heading3"/>
      </w:pPr>
      <w:bookmarkStart w:id="3578" w:name="section_0180f12be6a54c2e8b69af24f35f9cb0"/>
      <w:bookmarkStart w:id="3579" w:name="_Toc69879562"/>
      <w:r>
        <w:lastRenderedPageBreak/>
        <w:t>Part 4 Section 14.9.4.5, BIDIOUTLINE</w:t>
      </w:r>
      <w:bookmarkEnd w:id="3578"/>
      <w:bookmarkEnd w:id="3579"/>
      <w:r>
        <w:fldChar w:fldCharType="begin"/>
      </w:r>
      <w:r>
        <w:instrText xml:space="preserve"> XE "BIDIOUTLINE" </w:instrText>
      </w:r>
      <w:r>
        <w:fldChar w:fldCharType="end"/>
      </w:r>
    </w:p>
    <w:p w:rsidR="005F78FC" w:rsidRDefault="00B42EF3">
      <w:pPr>
        <w:pStyle w:val="Definition-Field"/>
      </w:pPr>
      <w:r>
        <w:t xml:space="preserve">a.   </w:t>
      </w:r>
      <w:r>
        <w:rPr>
          <w:i/>
        </w:rPr>
        <w:t>T</w:t>
      </w:r>
      <w:r>
        <w:rPr>
          <w:i/>
        </w:rPr>
        <w:t>he standard does not specify when to use Arabic numbering or Hebrew numbering for the BIDIOUTLINE field.</w:t>
      </w:r>
    </w:p>
    <w:p w:rsidR="005F78FC" w:rsidRDefault="00B42EF3">
      <w:pPr>
        <w:pStyle w:val="Definition-Field2"/>
      </w:pPr>
      <w:r>
        <w:t>In Word, if no right-to-left editing language is enabled, no result is displayed. If Hebrew is enabled, then Hebrew numbering is used, otherwise Arabic</w:t>
      </w:r>
      <w:r>
        <w:t xml:space="preserve"> numbering is used.</w:t>
      </w:r>
    </w:p>
    <w:p w:rsidR="005F78FC" w:rsidRDefault="00B42EF3">
      <w:pPr>
        <w:pStyle w:val="Definition-Field"/>
      </w:pPr>
      <w:r>
        <w:t xml:space="preserve">b.   </w:t>
      </w:r>
      <w:r>
        <w:rPr>
          <w:i/>
        </w:rPr>
        <w:t>The standard allows the BIDIOUTLINE field to be nested inside another field.</w:t>
      </w:r>
    </w:p>
    <w:p w:rsidR="005F78FC" w:rsidRDefault="00B42EF3">
      <w:pPr>
        <w:pStyle w:val="Definition-Field2"/>
      </w:pPr>
      <w:r>
        <w:t>In Word, if the BIDIOUTLINE field is nested inside another field, no result is displayed.</w:t>
      </w:r>
    </w:p>
    <w:p w:rsidR="005F78FC" w:rsidRDefault="00B42EF3">
      <w:pPr>
        <w:pStyle w:val="Heading3"/>
      </w:pPr>
      <w:bookmarkStart w:id="3580" w:name="section_1116487233dd4c56b88f1fefc6858094"/>
      <w:bookmarkStart w:id="3581" w:name="_Toc69879563"/>
      <w:r>
        <w:t>Part 4 Section 14.9.4.6, EQ</w:t>
      </w:r>
      <w:bookmarkEnd w:id="3580"/>
      <w:bookmarkEnd w:id="3581"/>
      <w:r>
        <w:fldChar w:fldCharType="begin"/>
      </w:r>
      <w:r>
        <w:instrText xml:space="preserve"> XE "EQ" </w:instrText>
      </w:r>
      <w:r>
        <w:fldChar w:fldCharType="end"/>
      </w:r>
    </w:p>
    <w:p w:rsidR="005F78FC" w:rsidRDefault="00B42EF3">
      <w:pPr>
        <w:pStyle w:val="Definition-Field"/>
      </w:pPr>
      <w:r>
        <w:t xml:space="preserve">a.   </w:t>
      </w:r>
      <w:r>
        <w:rPr>
          <w:i/>
        </w:rPr>
        <w:t>The standard does no</w:t>
      </w:r>
      <w:r>
        <w:rPr>
          <w:i/>
        </w:rPr>
        <w:t>t specify what the default alignment is for the \a switch.</w:t>
      </w:r>
    </w:p>
    <w:p w:rsidR="005F78FC" w:rsidRDefault="00B42EF3">
      <w:pPr>
        <w:pStyle w:val="Definition-Field2"/>
      </w:pPr>
      <w:r>
        <w:t>In Word, the default alignment for the \a switch is center alignment.</w:t>
      </w:r>
    </w:p>
    <w:p w:rsidR="005F78FC" w:rsidRDefault="00B42EF3">
      <w:pPr>
        <w:pStyle w:val="Definition-Field"/>
      </w:pPr>
      <w:r>
        <w:t xml:space="preserve">b.   </w:t>
      </w:r>
      <w:r>
        <w:rPr>
          <w:i/>
        </w:rPr>
        <w:t>The standard says that the \o switch allows switches \ac, \al, and \ar.</w:t>
      </w:r>
    </w:p>
    <w:p w:rsidR="005F78FC" w:rsidRDefault="00B42EF3">
      <w:pPr>
        <w:pStyle w:val="Definition-Field2"/>
      </w:pPr>
      <w:r>
        <w:t>In Word, the \o switch allows switches \ac, \al, \</w:t>
      </w:r>
      <w:r>
        <w:t>ar, and \ad, where the \ad switch specifies justified alignment of the character boxes.</w:t>
      </w:r>
    </w:p>
    <w:p w:rsidR="005F78FC" w:rsidRDefault="00B42EF3">
      <w:pPr>
        <w:pStyle w:val="Definition-Field"/>
      </w:pPr>
      <w:r>
        <w:t xml:space="preserve">c.   </w:t>
      </w:r>
      <w:r>
        <w:rPr>
          <w:i/>
        </w:rPr>
        <w:t>The standard says that for the \s switch, default for \ai switch is 2 points and no default is listed for \up switch.</w:t>
      </w:r>
    </w:p>
    <w:p w:rsidR="005F78FC" w:rsidRDefault="00B42EF3">
      <w:pPr>
        <w:pStyle w:val="Definition-Field2"/>
      </w:pPr>
      <w:r>
        <w:t>In Word, for the \s switch, there is no defau</w:t>
      </w:r>
      <w:r>
        <w:t>lt value for \ai switch and the default value for \up switch is 2 points.</w:t>
      </w:r>
    </w:p>
    <w:p w:rsidR="005F78FC" w:rsidRDefault="00B42EF3">
      <w:pPr>
        <w:pStyle w:val="Definition-Field"/>
      </w:pPr>
      <w:r>
        <w:t xml:space="preserve">d.   </w:t>
      </w:r>
      <w:r>
        <w:rPr>
          <w:i/>
        </w:rPr>
        <w:t>The standard says that switch \lf creates a list from an arbitrary number of arguments.</w:t>
      </w:r>
    </w:p>
    <w:p w:rsidR="005F78FC" w:rsidRDefault="00B42EF3">
      <w:pPr>
        <w:pStyle w:val="Definition-Field2"/>
      </w:pPr>
      <w:r>
        <w:t>In Word, switch \l creates a list from an arbitrary number of arguments.</w:t>
      </w:r>
    </w:p>
    <w:p w:rsidR="005F78FC" w:rsidRDefault="00B42EF3">
      <w:pPr>
        <w:pStyle w:val="Definition-Field"/>
      </w:pPr>
      <w:r>
        <w:t xml:space="preserve">e.   </w:t>
      </w:r>
      <w:r>
        <w:rPr>
          <w:i/>
        </w:rPr>
        <w:t>The standar</w:t>
      </w:r>
      <w:r>
        <w:rPr>
          <w:i/>
        </w:rPr>
        <w:t>d says that description says that the EQ field computes a mathematical equation.</w:t>
      </w:r>
    </w:p>
    <w:p w:rsidR="005F78FC" w:rsidRDefault="00B42EF3">
      <w:pPr>
        <w:pStyle w:val="Definition-Field2"/>
      </w:pPr>
      <w:r>
        <w:t>In Word, the EQ field is used to display a mathematical equation.</w:t>
      </w:r>
    </w:p>
    <w:p w:rsidR="005F78FC" w:rsidRDefault="00B42EF3">
      <w:pPr>
        <w:pStyle w:val="Definition-Field"/>
      </w:pPr>
      <w:r>
        <w:t xml:space="preserve">f.   </w:t>
      </w:r>
      <w:r>
        <w:rPr>
          <w:i/>
        </w:rPr>
        <w:t>The standard does not restrict the integer argument of spacing switches \hs and \vs used with \a and spa</w:t>
      </w:r>
      <w:r>
        <w:rPr>
          <w:i/>
        </w:rPr>
        <w:t>cing switches \ai and \di used with \s.</w:t>
      </w:r>
    </w:p>
    <w:p w:rsidR="005F78FC" w:rsidRDefault="00B42EF3">
      <w:pPr>
        <w:pStyle w:val="Definition-Field2"/>
      </w:pPr>
      <w:r>
        <w:t>Word allows integer arguments between 0 and 127 inclusive for the spacing switches \hs and \vs used with \a and spacing switches \ai and \di used with \s.</w:t>
      </w:r>
    </w:p>
    <w:p w:rsidR="005F78FC" w:rsidRDefault="00B42EF3">
      <w:pPr>
        <w:pStyle w:val="Definition-Field"/>
      </w:pPr>
      <w:r>
        <w:t xml:space="preserve">g.   </w:t>
      </w:r>
      <w:r>
        <w:rPr>
          <w:i/>
        </w:rPr>
        <w:t>The standard says that the \x switch draws a border segm</w:t>
      </w:r>
      <w:r>
        <w:rPr>
          <w:i/>
        </w:rPr>
        <w:t>ent around a single argument, but then says no arguments are allowed.</w:t>
      </w:r>
    </w:p>
    <w:p w:rsidR="005F78FC" w:rsidRDefault="00B42EF3">
      <w:pPr>
        <w:pStyle w:val="Definition-Field2"/>
      </w:pPr>
      <w:r>
        <w:t>In Word, the \x switch draws a border segment around a single argument and at most one argument is allowed.</w:t>
      </w:r>
    </w:p>
    <w:p w:rsidR="005F78FC" w:rsidRDefault="00B42EF3">
      <w:pPr>
        <w:pStyle w:val="Definition-Field"/>
      </w:pPr>
      <w:r>
        <w:t xml:space="preserve">h.   </w:t>
      </w:r>
      <w:r>
        <w:rPr>
          <w:i/>
        </w:rPr>
        <w:t>The standard allows the EQ field to be nested inside other fields.</w:t>
      </w:r>
    </w:p>
    <w:p w:rsidR="005F78FC" w:rsidRDefault="00B42EF3">
      <w:pPr>
        <w:pStyle w:val="Definition-Field2"/>
      </w:pPr>
      <w:r>
        <w:t xml:space="preserve">In </w:t>
      </w:r>
      <w:r>
        <w:t>Word, if the EQ field is nested inside a field which is not an EQ field, no value is displayed.</w:t>
      </w:r>
    </w:p>
    <w:p w:rsidR="005F78FC" w:rsidRDefault="00B42EF3">
      <w:pPr>
        <w:pStyle w:val="Heading3"/>
      </w:pPr>
      <w:bookmarkStart w:id="3582" w:name="section_97a71be93d2143dbb1e3fe122b650d3b"/>
      <w:bookmarkStart w:id="3583" w:name="_Toc69879564"/>
      <w:r>
        <w:t>Part 4 Section 14.10.5, Additional enumeration values for ST_StyleSort (Part 1, 17.18.82)</w:t>
      </w:r>
      <w:bookmarkEnd w:id="3582"/>
      <w:bookmarkEnd w:id="3583"/>
      <w:r>
        <w:fldChar w:fldCharType="begin"/>
      </w:r>
      <w:r>
        <w:instrText xml:space="preserve"> XE "Additional enumeration values for ST_StyleSort (Part 1 - 17.18.82)</w:instrText>
      </w:r>
      <w:r>
        <w:instrText xml:space="preserve">" </w:instrText>
      </w:r>
      <w:r>
        <w:fldChar w:fldCharType="end"/>
      </w:r>
    </w:p>
    <w:p w:rsidR="005F78FC" w:rsidRDefault="00B42EF3">
      <w:pPr>
        <w:pStyle w:val="Definition-Field"/>
      </w:pPr>
      <w:r>
        <w:t xml:space="preserve">a.   </w:t>
      </w:r>
      <w:r>
        <w:rPr>
          <w:i/>
        </w:rPr>
        <w:t>The standard states that there are additional values for this simple type.</w:t>
      </w:r>
    </w:p>
    <w:p w:rsidR="005F78FC" w:rsidRDefault="00B42EF3">
      <w:pPr>
        <w:pStyle w:val="Definition-Field2"/>
      </w:pPr>
      <w:r>
        <w:t>Word treats value '0002' as equivalent to 'font' ("</w:t>
      </w:r>
      <w:hyperlink r:id="rId242">
        <w:r>
          <w:rPr>
            <w:rStyle w:val="Hyperlink"/>
          </w:rPr>
          <w:t>[ISO/IEC-29500-1]</w:t>
        </w:r>
      </w:hyperlink>
      <w:r>
        <w:t xml:space="preserve"> §17.18.82; ST_StyleSort (Style Sort </w:t>
      </w:r>
      <w:r>
        <w:t xml:space="preserve">Settings)"), '0003' as equivalent to 'basedOn' ("[ISO/IEC-29500-1] §17.18.82; </w:t>
      </w:r>
      <w:r>
        <w:lastRenderedPageBreak/>
        <w:t>ST_StyleSort (Style Sort Settings)"), '0004' as equivalent to 'type' ("[ISO/IEC-29500-1] §17.18.82; ST_StyleSort (Style Sort Settings)"), and '0005' as equivalent to 'default' ("</w:t>
      </w:r>
      <w:r>
        <w:t>[ISO/IEC-29500-1] §17.18.82; ST_StyleSort (Style Sort Settings)").</w:t>
      </w:r>
    </w:p>
    <w:p w:rsidR="005F78FC" w:rsidRDefault="00B42EF3">
      <w:pPr>
        <w:pStyle w:val="Heading3"/>
      </w:pPr>
      <w:bookmarkStart w:id="3584" w:name="section_9b207b134ab84a8781ec4f95aba3b248"/>
      <w:bookmarkStart w:id="3585" w:name="_Toc69879565"/>
      <w:r>
        <w:t>Part 4 Section 17.1.2.10, ST_TextFontScalePercent (Text Font Scale Percentage)</w:t>
      </w:r>
      <w:bookmarkEnd w:id="3584"/>
      <w:bookmarkEnd w:id="3585"/>
      <w:r>
        <w:fldChar w:fldCharType="begin"/>
      </w:r>
      <w:r>
        <w:instrText xml:space="preserve"> XE "ST_TextFontScalePercent (Text Font Scale Percentage)" </w:instrText>
      </w:r>
      <w:r>
        <w:fldChar w:fldCharType="end"/>
      </w:r>
    </w:p>
    <w:p w:rsidR="005F78FC" w:rsidRDefault="00B42EF3">
      <w:pPr>
        <w:pStyle w:val="Definition-Field"/>
      </w:pPr>
      <w:r>
        <w:t xml:space="preserve">a.   </w:t>
      </w:r>
      <w:r>
        <w:rPr>
          <w:i/>
        </w:rPr>
        <w:t>The standard states that ST_TextFontScalePer</w:t>
      </w:r>
      <w:r>
        <w:rPr>
          <w:i/>
        </w:rPr>
        <w:t>cent is read and written as a percent with a trailing percent sign.</w:t>
      </w:r>
    </w:p>
    <w:p w:rsidR="005F78FC" w:rsidRDefault="00B42EF3">
      <w:pPr>
        <w:pStyle w:val="Definition-Field2"/>
      </w:pPr>
      <w:r>
        <w:t>Office will read in percentages formatted with a trailing percent sign or as 1000th of a percent without trailing percent sign, but only write out percentages as 1000th's of a percent with</w:t>
      </w:r>
      <w:r>
        <w:t>out trailing percent sign.</w:t>
      </w:r>
    </w:p>
    <w:p w:rsidR="005F78FC" w:rsidRDefault="00B42EF3">
      <w:pPr>
        <w:pStyle w:val="Heading3"/>
      </w:pPr>
      <w:bookmarkStart w:id="3586" w:name="section_8af868fdec9d4b77b7de0aff196de406"/>
      <w:bookmarkStart w:id="3587" w:name="_Toc69879566"/>
      <w:r>
        <w:t>Part 4 Section 17.1.2.11, ST_TextSpacingPercent (Text Spacing Percent)</w:t>
      </w:r>
      <w:bookmarkEnd w:id="3586"/>
      <w:bookmarkEnd w:id="3587"/>
      <w:r>
        <w:fldChar w:fldCharType="begin"/>
      </w:r>
      <w:r>
        <w:instrText xml:space="preserve"> XE "ST_TextSpacingPercent (Text Spacing Percent)" </w:instrText>
      </w:r>
      <w:r>
        <w:fldChar w:fldCharType="end"/>
      </w:r>
    </w:p>
    <w:p w:rsidR="005F78FC" w:rsidRDefault="00B42EF3">
      <w:pPr>
        <w:pStyle w:val="Definition-Field"/>
      </w:pPr>
      <w:r>
        <w:t xml:space="preserve">a.   </w:t>
      </w:r>
      <w:r>
        <w:rPr>
          <w:i/>
        </w:rPr>
        <w:t xml:space="preserve">The standard states that the ST_TextSpacingPercent simple type specifies the range that the spacing </w:t>
      </w:r>
      <w:r>
        <w:rPr>
          <w:i/>
        </w:rPr>
        <w:t>percent in terms of line in hundredths.</w:t>
      </w:r>
    </w:p>
    <w:p w:rsidR="005F78FC" w:rsidRDefault="00B42EF3">
      <w:pPr>
        <w:pStyle w:val="Definition-Field2"/>
      </w:pPr>
      <w:r>
        <w:t>Office uses this type to specify the percent of a line height in thousands of a percent.</w:t>
      </w:r>
    </w:p>
    <w:p w:rsidR="005F78FC" w:rsidRDefault="00B42EF3">
      <w:pPr>
        <w:pStyle w:val="Definition-Field"/>
      </w:pPr>
      <w:r>
        <w:t xml:space="preserve">b.   </w:t>
      </w:r>
      <w:r>
        <w:rPr>
          <w:i/>
        </w:rPr>
        <w:t>The standard states that ST_TextSpacingPercent is read and written as a percent with a trailing percent sign.</w:t>
      </w:r>
    </w:p>
    <w:p w:rsidR="005F78FC" w:rsidRDefault="00B42EF3">
      <w:pPr>
        <w:pStyle w:val="Definition-Field2"/>
      </w:pPr>
      <w:r>
        <w:t xml:space="preserve">Office will </w:t>
      </w:r>
      <w:r>
        <w:t>read in percentages formatted with a trailing percent sign or as 1000th of a percent without trailing percent sign, but only write out percentages as 1000th's of a percent without trailing percent sign.</w:t>
      </w:r>
    </w:p>
    <w:p w:rsidR="005F78FC" w:rsidRDefault="00B42EF3">
      <w:pPr>
        <w:pStyle w:val="Heading3"/>
      </w:pPr>
      <w:bookmarkStart w:id="3588" w:name="section_71366ecc35c3472fa82a9f507a1ee044"/>
      <w:bookmarkStart w:id="3589" w:name="_Toc69879567"/>
      <w:r>
        <w:t>Part 4 Section 19.1, VML</w:t>
      </w:r>
      <w:bookmarkEnd w:id="3588"/>
      <w:bookmarkEnd w:id="3589"/>
      <w:r>
        <w:fldChar w:fldCharType="begin"/>
      </w:r>
      <w:r>
        <w:instrText xml:space="preserve"> XE "VML" </w:instrText>
      </w:r>
      <w:r>
        <w:fldChar w:fldCharType="end"/>
      </w:r>
    </w:p>
    <w:p w:rsidR="005F78FC" w:rsidRDefault="00B42EF3">
      <w:pPr>
        <w:pStyle w:val="Definition-Field"/>
      </w:pPr>
      <w:r>
        <w:t xml:space="preserve">a.   </w:t>
      </w:r>
      <w:r>
        <w:rPr>
          <w:i/>
        </w:rPr>
        <w:t>The standar</w:t>
      </w:r>
      <w:r>
        <w:rPr>
          <w:i/>
        </w:rPr>
        <w:t>d indicates the unit systems used throughout VML, but does not specify their bounds.</w:t>
      </w:r>
    </w:p>
    <w:p w:rsidR="005F78FC" w:rsidRDefault="00B42EF3">
      <w:r>
        <w:t xml:space="preserve">Office has restrictions for each of the units used in the standard.  </w:t>
      </w:r>
    </w:p>
    <w:p w:rsidR="005F78FC" w:rsidRDefault="00B42EF3">
      <w:r>
        <w:t>The following table documents Office limits for each unit.  Office also uses EMUs throughout VML as a</w:t>
      </w:r>
      <w:r>
        <w:t xml:space="preserve"> valid unit system.  Individual elements and attributes may impose further limits on any particular quantity based on its context.</w:t>
      </w:r>
    </w:p>
    <w:tbl>
      <w:tblPr>
        <w:tblStyle w:val="Table-ShadedHeader"/>
        <w:tblW w:w="0" w:type="auto"/>
        <w:tblLook w:val="04A0" w:firstRow="1" w:lastRow="0" w:firstColumn="1" w:lastColumn="0" w:noHBand="0" w:noVBand="1"/>
      </w:tblPr>
      <w:tblGrid>
        <w:gridCol w:w="1207"/>
        <w:gridCol w:w="1320"/>
        <w:gridCol w:w="1248"/>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Unit</w:t>
            </w:r>
          </w:p>
        </w:tc>
        <w:tc>
          <w:tcPr>
            <w:tcW w:w="0" w:type="auto"/>
            <w:vAlign w:val="center"/>
          </w:tcPr>
          <w:p w:rsidR="005F78FC" w:rsidRDefault="00B42EF3">
            <w:pPr>
              <w:pStyle w:val="TableHeaderText"/>
            </w:pPr>
            <w:r>
              <w:t>Min</w:t>
            </w:r>
          </w:p>
        </w:tc>
        <w:tc>
          <w:tcPr>
            <w:tcW w:w="0" w:type="auto"/>
            <w:vAlign w:val="center"/>
          </w:tcPr>
          <w:p w:rsidR="005F78FC" w:rsidRDefault="00B42EF3">
            <w:pPr>
              <w:pStyle w:val="TableHeaderText"/>
            </w:pPr>
            <w:r>
              <w:t>Max</w:t>
            </w:r>
          </w:p>
        </w:tc>
      </w:tr>
      <w:tr w:rsidR="005F78FC" w:rsidTr="005F78FC">
        <w:tc>
          <w:tcPr>
            <w:tcW w:w="0" w:type="auto"/>
            <w:vAlign w:val="center"/>
          </w:tcPr>
          <w:p w:rsidR="005F78FC" w:rsidRDefault="00B42EF3">
            <w:pPr>
              <w:pStyle w:val="TableBodyText"/>
            </w:pPr>
            <w:r>
              <w:t>EMU</w:t>
            </w:r>
          </w:p>
        </w:tc>
        <w:tc>
          <w:tcPr>
            <w:tcW w:w="0" w:type="auto"/>
            <w:vAlign w:val="center"/>
          </w:tcPr>
          <w:p w:rsidR="005F78FC" w:rsidRDefault="00B42EF3">
            <w:pPr>
              <w:pStyle w:val="TableBodyText"/>
            </w:pPr>
            <w:r>
              <w:t>-2147483644</w:t>
            </w:r>
          </w:p>
        </w:tc>
        <w:tc>
          <w:tcPr>
            <w:tcW w:w="0" w:type="auto"/>
            <w:vAlign w:val="center"/>
          </w:tcPr>
          <w:p w:rsidR="005F78FC" w:rsidRDefault="00B42EF3">
            <w:pPr>
              <w:pStyle w:val="TableBodyText"/>
            </w:pPr>
            <w:r>
              <w:t>2147483647</w:t>
            </w:r>
          </w:p>
        </w:tc>
      </w:tr>
      <w:tr w:rsidR="005F78FC" w:rsidTr="005F78FC">
        <w:tc>
          <w:tcPr>
            <w:tcW w:w="0" w:type="auto"/>
            <w:vAlign w:val="center"/>
          </w:tcPr>
          <w:p w:rsidR="005F78FC" w:rsidRDefault="00B42EF3">
            <w:pPr>
              <w:pStyle w:val="TableBodyText"/>
            </w:pPr>
            <w:r>
              <w:t>Pixels</w:t>
            </w:r>
          </w:p>
        </w:tc>
        <w:tc>
          <w:tcPr>
            <w:tcW w:w="0" w:type="auto"/>
            <w:vAlign w:val="center"/>
          </w:tcPr>
          <w:p w:rsidR="005F78FC" w:rsidRDefault="00B42EF3">
            <w:pPr>
              <w:pStyle w:val="TableBodyText"/>
            </w:pPr>
            <w:r>
              <w:t>-2147483648</w:t>
            </w:r>
          </w:p>
        </w:tc>
        <w:tc>
          <w:tcPr>
            <w:tcW w:w="0" w:type="auto"/>
            <w:vAlign w:val="center"/>
          </w:tcPr>
          <w:p w:rsidR="005F78FC" w:rsidRDefault="00B42EF3">
            <w:pPr>
              <w:pStyle w:val="TableBodyText"/>
            </w:pPr>
            <w:r>
              <w:t>2147483647</w:t>
            </w:r>
          </w:p>
        </w:tc>
      </w:tr>
      <w:tr w:rsidR="005F78FC" w:rsidTr="005F78FC">
        <w:tc>
          <w:tcPr>
            <w:tcW w:w="0" w:type="auto"/>
            <w:vAlign w:val="center"/>
          </w:tcPr>
          <w:p w:rsidR="005F78FC" w:rsidRDefault="00B42EF3">
            <w:pPr>
              <w:pStyle w:val="TableBodyText"/>
            </w:pPr>
            <w:r>
              <w:t>Inches</w:t>
            </w:r>
          </w:p>
        </w:tc>
        <w:tc>
          <w:tcPr>
            <w:tcW w:w="0" w:type="auto"/>
            <w:vAlign w:val="center"/>
          </w:tcPr>
          <w:p w:rsidR="005F78FC" w:rsidRDefault="00B42EF3">
            <w:pPr>
              <w:pStyle w:val="TableBodyText"/>
            </w:pPr>
            <w:r>
              <w:t>-2348</w:t>
            </w:r>
          </w:p>
        </w:tc>
        <w:tc>
          <w:tcPr>
            <w:tcW w:w="0" w:type="auto"/>
            <w:vAlign w:val="center"/>
          </w:tcPr>
          <w:p w:rsidR="005F78FC" w:rsidRDefault="00B42EF3">
            <w:pPr>
              <w:pStyle w:val="TableBodyText"/>
            </w:pPr>
            <w:r>
              <w:t>2348</w:t>
            </w:r>
          </w:p>
        </w:tc>
      </w:tr>
      <w:tr w:rsidR="005F78FC" w:rsidTr="005F78FC">
        <w:tc>
          <w:tcPr>
            <w:tcW w:w="0" w:type="auto"/>
            <w:vAlign w:val="center"/>
          </w:tcPr>
          <w:p w:rsidR="005F78FC" w:rsidRDefault="00B42EF3">
            <w:pPr>
              <w:pStyle w:val="TableBodyText"/>
            </w:pPr>
            <w:r>
              <w:t>Centimeters</w:t>
            </w:r>
          </w:p>
        </w:tc>
        <w:tc>
          <w:tcPr>
            <w:tcW w:w="0" w:type="auto"/>
            <w:vAlign w:val="center"/>
          </w:tcPr>
          <w:p w:rsidR="005F78FC" w:rsidRDefault="00B42EF3">
            <w:pPr>
              <w:pStyle w:val="TableBodyText"/>
            </w:pPr>
            <w:r>
              <w:t>-5965</w:t>
            </w:r>
          </w:p>
        </w:tc>
        <w:tc>
          <w:tcPr>
            <w:tcW w:w="0" w:type="auto"/>
            <w:vAlign w:val="center"/>
          </w:tcPr>
          <w:p w:rsidR="005F78FC" w:rsidRDefault="00B42EF3">
            <w:pPr>
              <w:pStyle w:val="TableBodyText"/>
            </w:pPr>
            <w:r>
              <w:t>5965</w:t>
            </w:r>
          </w:p>
        </w:tc>
      </w:tr>
      <w:tr w:rsidR="005F78FC" w:rsidTr="005F78FC">
        <w:tc>
          <w:tcPr>
            <w:tcW w:w="0" w:type="auto"/>
            <w:vAlign w:val="center"/>
          </w:tcPr>
          <w:p w:rsidR="005F78FC" w:rsidRDefault="00B42EF3">
            <w:pPr>
              <w:pStyle w:val="TableBodyText"/>
            </w:pPr>
            <w:r>
              <w:t>Millimeters</w:t>
            </w:r>
          </w:p>
        </w:tc>
        <w:tc>
          <w:tcPr>
            <w:tcW w:w="0" w:type="auto"/>
            <w:vAlign w:val="center"/>
          </w:tcPr>
          <w:p w:rsidR="005F78FC" w:rsidRDefault="00B42EF3">
            <w:pPr>
              <w:pStyle w:val="TableBodyText"/>
            </w:pPr>
            <w:r>
              <w:t>-59652</w:t>
            </w:r>
          </w:p>
        </w:tc>
        <w:tc>
          <w:tcPr>
            <w:tcW w:w="0" w:type="auto"/>
            <w:vAlign w:val="center"/>
          </w:tcPr>
          <w:p w:rsidR="005F78FC" w:rsidRDefault="00B42EF3">
            <w:pPr>
              <w:pStyle w:val="TableBodyText"/>
            </w:pPr>
            <w:r>
              <w:t>59652</w:t>
            </w:r>
          </w:p>
        </w:tc>
      </w:tr>
      <w:tr w:rsidR="005F78FC" w:rsidTr="005F78FC">
        <w:tc>
          <w:tcPr>
            <w:tcW w:w="0" w:type="auto"/>
            <w:vAlign w:val="center"/>
          </w:tcPr>
          <w:p w:rsidR="005F78FC" w:rsidRDefault="00B42EF3">
            <w:pPr>
              <w:pStyle w:val="TableBodyText"/>
            </w:pPr>
            <w:r>
              <w:t>Points</w:t>
            </w:r>
          </w:p>
        </w:tc>
        <w:tc>
          <w:tcPr>
            <w:tcW w:w="0" w:type="auto"/>
            <w:vAlign w:val="center"/>
          </w:tcPr>
          <w:p w:rsidR="005F78FC" w:rsidRDefault="00B42EF3">
            <w:pPr>
              <w:pStyle w:val="TableBodyText"/>
            </w:pPr>
            <w:r>
              <w:t>-169093</w:t>
            </w:r>
          </w:p>
        </w:tc>
        <w:tc>
          <w:tcPr>
            <w:tcW w:w="0" w:type="auto"/>
            <w:vAlign w:val="center"/>
          </w:tcPr>
          <w:p w:rsidR="005F78FC" w:rsidRDefault="00B42EF3">
            <w:pPr>
              <w:pStyle w:val="TableBodyText"/>
            </w:pPr>
            <w:r>
              <w:t>169093</w:t>
            </w:r>
          </w:p>
        </w:tc>
      </w:tr>
      <w:tr w:rsidR="005F78FC" w:rsidTr="005F78FC">
        <w:tc>
          <w:tcPr>
            <w:tcW w:w="0" w:type="auto"/>
            <w:vAlign w:val="center"/>
          </w:tcPr>
          <w:p w:rsidR="005F78FC" w:rsidRDefault="00B42EF3">
            <w:pPr>
              <w:pStyle w:val="TableBodyText"/>
            </w:pPr>
            <w:r>
              <w:t>Picas</w:t>
            </w:r>
          </w:p>
        </w:tc>
        <w:tc>
          <w:tcPr>
            <w:tcW w:w="0" w:type="auto"/>
            <w:vAlign w:val="center"/>
          </w:tcPr>
          <w:p w:rsidR="005F78FC" w:rsidRDefault="00B42EF3">
            <w:pPr>
              <w:pStyle w:val="TableBodyText"/>
            </w:pPr>
            <w:r>
              <w:t>-14091</w:t>
            </w:r>
          </w:p>
        </w:tc>
        <w:tc>
          <w:tcPr>
            <w:tcW w:w="0" w:type="auto"/>
            <w:vAlign w:val="center"/>
          </w:tcPr>
          <w:p w:rsidR="005F78FC" w:rsidRDefault="00B42EF3">
            <w:pPr>
              <w:pStyle w:val="TableBodyText"/>
            </w:pPr>
            <w:r>
              <w:t>14091</w:t>
            </w:r>
          </w:p>
        </w:tc>
      </w:tr>
    </w:tbl>
    <w:p w:rsidR="005F78FC" w:rsidRDefault="005F78FC"/>
    <w:p w:rsidR="005F78FC" w:rsidRDefault="00B42EF3">
      <w:pPr>
        <w:pStyle w:val="Heading3"/>
      </w:pPr>
      <w:bookmarkStart w:id="3590" w:name="section_d019f23f597743d8b46399ba8f6784eb"/>
      <w:bookmarkStart w:id="3591" w:name="_Toc69879568"/>
      <w:r>
        <w:lastRenderedPageBreak/>
        <w:t>Part 4 Section 19.1.2.1, arc (Arc Segment)</w:t>
      </w:r>
      <w:bookmarkEnd w:id="3590"/>
      <w:bookmarkEnd w:id="3591"/>
      <w:r>
        <w:fldChar w:fldCharType="begin"/>
      </w:r>
      <w:r>
        <w:instrText xml:space="preserve"> XE "arc (Arc Segment)"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5F78FC" w:rsidRDefault="00B42EF3">
      <w:pPr>
        <w:pStyle w:val="Definition-Field"/>
      </w:pPr>
      <w:r>
        <w:t xml:space="preserve">a.   </w:t>
      </w:r>
      <w:r>
        <w:rPr>
          <w:i/>
        </w:rPr>
        <w:t>T</w:t>
      </w:r>
      <w:r>
        <w:rPr>
          <w:i/>
        </w:rPr>
        <w:t>he standard defines the attribute endAngle in camel case.</w:t>
      </w:r>
    </w:p>
    <w:p w:rsidR="005F78FC" w:rsidRDefault="00B42EF3">
      <w:pPr>
        <w:pStyle w:val="Definition-Field2"/>
      </w:pPr>
      <w:r>
        <w:t>Office writes out the attribute endangle in lowercase.</w:t>
      </w:r>
    </w:p>
    <w:p w:rsidR="005F78FC" w:rsidRDefault="00B42EF3">
      <w:pPr>
        <w:pStyle w:val="Definition-Field"/>
      </w:pPr>
      <w:r>
        <w:t xml:space="preserve">b.   </w:t>
      </w:r>
      <w:r>
        <w:rPr>
          <w:i/>
        </w:rPr>
        <w:t>The standard defines the attribute startAngle in camel case.</w:t>
      </w:r>
    </w:p>
    <w:p w:rsidR="005F78FC" w:rsidRDefault="00B42EF3">
      <w:pPr>
        <w:pStyle w:val="Definition-Field2"/>
      </w:pPr>
      <w:r>
        <w:t>Office writes out the attribute startangle in lowercase.</w:t>
      </w:r>
    </w:p>
    <w:p w:rsidR="005F78FC" w:rsidRDefault="00B42EF3">
      <w:pPr>
        <w:pStyle w:val="Definition-Field"/>
      </w:pPr>
      <w:r>
        <w:t xml:space="preserve">c.   </w:t>
      </w:r>
      <w:r>
        <w:rPr>
          <w:i/>
        </w:rPr>
        <w:t>The standard st</w:t>
      </w:r>
      <w:r>
        <w:rPr>
          <w:i/>
        </w:rPr>
        <w:t>ates that xy and yx are valid values of the flip property on the style attribute.</w:t>
      </w:r>
    </w:p>
    <w:p w:rsidR="005F78FC" w:rsidRDefault="00B42EF3">
      <w:pPr>
        <w:pStyle w:val="Definition-Field2"/>
      </w:pPr>
      <w:r>
        <w:t>Office does not allow these values; instead, it allows values of "x y" and "y x" (minus the quotes, but including the spaces) for the same purpose.</w:t>
      </w:r>
    </w:p>
    <w:p w:rsidR="005F78FC" w:rsidRDefault="00B42EF3">
      <w:pPr>
        <w:pStyle w:val="Definition-Field"/>
      </w:pPr>
      <w:r>
        <w:t xml:space="preserve">d.   </w:t>
      </w:r>
      <w:r>
        <w:rPr>
          <w:i/>
        </w:rPr>
        <w:t xml:space="preserve">The standard implies </w:t>
      </w:r>
      <w:r>
        <w:rPr>
          <w:i/>
        </w:rPr>
        <w:t>that the height and mso-height-percent properties on the style attribute are optional.</w:t>
      </w:r>
    </w:p>
    <w:p w:rsidR="005F78FC" w:rsidRDefault="00B42EF3">
      <w:pPr>
        <w:pStyle w:val="Definition-Field2"/>
      </w:pPr>
      <w:r>
        <w:t>Office requires that at least one of these properties be set when an anchor element is not present; the height property is ignored when either the mso-height-percent pro</w:t>
      </w:r>
      <w:r>
        <w:t>perty or an anchor element is specified.</w:t>
      </w:r>
    </w:p>
    <w:p w:rsidR="005F78FC" w:rsidRDefault="00B42EF3">
      <w:pPr>
        <w:pStyle w:val="Definition-Field"/>
      </w:pPr>
      <w:r>
        <w:t xml:space="preserve">e.   </w:t>
      </w:r>
      <w:r>
        <w:rPr>
          <w:i/>
        </w:rPr>
        <w:t>The standard implies that the left, margin-left, mso-position-horizontal, and mso-left-percent properties on the style attribute are optional.</w:t>
      </w:r>
    </w:p>
    <w:p w:rsidR="005F78FC" w:rsidRDefault="00B42EF3">
      <w:pPr>
        <w:pStyle w:val="Definition-Field2"/>
      </w:pPr>
      <w:r>
        <w:t>Office requires that at least one of these properties be set when t</w:t>
      </w:r>
      <w:r>
        <w:t>he value of the position property is absolute and an anchor element is not present; all of these properties are ignored when the value of the position property is static.</w:t>
      </w:r>
    </w:p>
    <w:p w:rsidR="005F78FC" w:rsidRDefault="00B42EF3">
      <w:pPr>
        <w:pStyle w:val="Definition-Field"/>
      </w:pPr>
      <w:r>
        <w:t xml:space="preserve">f.   </w:t>
      </w:r>
      <w:r>
        <w:rPr>
          <w:i/>
        </w:rPr>
        <w:t>The standard states that the margin-bottom property on the style attribute speci</w:t>
      </w:r>
      <w:r>
        <w:rPr>
          <w:i/>
        </w:rPr>
        <w:t>fies the position of the bottom of the containing block of the shape relative to the shape anchor.</w:t>
      </w:r>
    </w:p>
    <w:p w:rsidR="005F78FC" w:rsidRDefault="00B42EF3">
      <w:pPr>
        <w:pStyle w:val="Definition-Field2"/>
      </w:pPr>
      <w:r>
        <w:t>Office does not support this property.</w:t>
      </w:r>
    </w:p>
    <w:p w:rsidR="005F78FC" w:rsidRDefault="00B42EF3">
      <w:pPr>
        <w:pStyle w:val="Definition-Field"/>
      </w:pPr>
      <w:r>
        <w:t xml:space="preserve">g.   </w:t>
      </w:r>
      <w:r>
        <w:rPr>
          <w:i/>
        </w:rPr>
        <w:t xml:space="preserve">The standard states that the margin-right property on the style attribute specifies the position of the right of </w:t>
      </w:r>
      <w:r>
        <w:rPr>
          <w:i/>
        </w:rPr>
        <w:t>the containing block of the shape relative to the shape anchor.</w:t>
      </w:r>
    </w:p>
    <w:p w:rsidR="005F78FC" w:rsidRDefault="00B42EF3">
      <w:pPr>
        <w:pStyle w:val="Definition-Field2"/>
      </w:pPr>
      <w:r>
        <w:t>Office does not support this property.</w:t>
      </w:r>
    </w:p>
    <w:p w:rsidR="005F78FC" w:rsidRDefault="00B42EF3">
      <w:pPr>
        <w:pStyle w:val="Definition-Field"/>
      </w:pPr>
      <w:r>
        <w:t xml:space="preserve">h.   </w:t>
      </w:r>
      <w:r>
        <w:rPr>
          <w:i/>
        </w:rPr>
        <w:t>The standard implies that the top, margin-top, mso-position-vertical, and mso-top-percent properties on the style attribute are optional.</w:t>
      </w:r>
    </w:p>
    <w:p w:rsidR="005F78FC" w:rsidRDefault="00B42EF3">
      <w:pPr>
        <w:pStyle w:val="Definition-Field2"/>
      </w:pPr>
      <w:r>
        <w:t>Office req</w:t>
      </w:r>
      <w:r>
        <w:t>uires that at least one of these properties be set when the value of the position property is absolute and an anchor element is not present; all of these properties are ignored when the value of the position property is static.</w:t>
      </w:r>
    </w:p>
    <w:p w:rsidR="005F78FC" w:rsidRDefault="00B42EF3">
      <w:pPr>
        <w:pStyle w:val="Definition-Field"/>
      </w:pPr>
      <w:r>
        <w:t xml:space="preserve">i.   </w:t>
      </w:r>
      <w:r>
        <w:rPr>
          <w:i/>
        </w:rPr>
        <w:t>The standard implies th</w:t>
      </w:r>
      <w:r>
        <w:rPr>
          <w:i/>
        </w:rPr>
        <w:t>at the mso-position-horizontal-relative property on the style attribute is optional.</w:t>
      </w:r>
    </w:p>
    <w:p w:rsidR="005F78FC" w:rsidRDefault="00B42EF3">
      <w:pPr>
        <w:pStyle w:val="Definition-Field2"/>
      </w:pPr>
      <w:r>
        <w:t>Office requires this property to be specified when the value of the mso-position-horizontal property on the style attribute is not absolute.</w:t>
      </w:r>
    </w:p>
    <w:p w:rsidR="005F78FC" w:rsidRDefault="00B42EF3">
      <w:pPr>
        <w:pStyle w:val="Definition-Field"/>
      </w:pPr>
      <w:r>
        <w:t xml:space="preserve">j.   </w:t>
      </w:r>
      <w:r>
        <w:rPr>
          <w:i/>
        </w:rPr>
        <w:t xml:space="preserve">The standard states that </w:t>
      </w:r>
      <w:r>
        <w:rPr>
          <w:i/>
        </w:rPr>
        <w:t>the only valid values for the mso-position-horizontal-relative property on the style attribute are margin, page, text, and char.</w:t>
      </w:r>
    </w:p>
    <w:p w:rsidR="005F78FC" w:rsidRDefault="00B42EF3">
      <w:pPr>
        <w:pStyle w:val="Definition-Field2"/>
      </w:pPr>
      <w:r>
        <w:t>Office also allows values of left-margin-area, right-margin-area, inner-margin-area, and outer-margin area when the value of th</w:t>
      </w:r>
      <w:r>
        <w:t>e mso-position-horizontal property on the style attribute is neither inside nor outside.</w:t>
      </w:r>
    </w:p>
    <w:p w:rsidR="005F78FC" w:rsidRDefault="00B42EF3">
      <w:pPr>
        <w:pStyle w:val="Definition-Field"/>
      </w:pPr>
      <w:r>
        <w:lastRenderedPageBreak/>
        <w:t xml:space="preserve">k.   </w:t>
      </w:r>
      <w:r>
        <w:rPr>
          <w:i/>
        </w:rPr>
        <w:t>The standard states that the default value of the mso-position-horizontal-relative property on the style attribute is text.</w:t>
      </w:r>
    </w:p>
    <w:p w:rsidR="005F78FC" w:rsidRDefault="00B42EF3">
      <w:pPr>
        <w:pStyle w:val="Definition-Field2"/>
      </w:pPr>
      <w:r>
        <w:t>Office requires this property to be se</w:t>
      </w:r>
      <w:r>
        <w:t>t.</w:t>
      </w:r>
    </w:p>
    <w:p w:rsidR="005F78FC" w:rsidRDefault="00B42EF3">
      <w:pPr>
        <w:pStyle w:val="Definition-Field"/>
      </w:pPr>
      <w:r>
        <w:t xml:space="preserve">l.   </w:t>
      </w:r>
      <w:r>
        <w:rPr>
          <w:i/>
        </w:rPr>
        <w:t>The standard states that the default value of the mso-position-vertical-relative property on the style attribute is text.</w:t>
      </w:r>
    </w:p>
    <w:p w:rsidR="005F78FC" w:rsidRDefault="00B42EF3">
      <w:pPr>
        <w:pStyle w:val="Definition-Field2"/>
      </w:pPr>
      <w:r>
        <w:t>Office requires this property to be set.</w:t>
      </w:r>
    </w:p>
    <w:p w:rsidR="005F78FC" w:rsidRDefault="00B42EF3">
      <w:pPr>
        <w:pStyle w:val="Definition-Field"/>
      </w:pPr>
      <w:r>
        <w:t xml:space="preserve">m.   </w:t>
      </w:r>
      <w:r>
        <w:rPr>
          <w:i/>
        </w:rPr>
        <w:t>The standard states that the only valid values for the mso-position-vertical-rel</w:t>
      </w:r>
      <w:r>
        <w:rPr>
          <w:i/>
        </w:rPr>
        <w:t>ative property on the style attribute are margin, page, text, and line.</w:t>
      </w:r>
    </w:p>
    <w:p w:rsidR="005F78FC" w:rsidRDefault="00B42EF3">
      <w:pPr>
        <w:pStyle w:val="Definition-Field2"/>
      </w:pPr>
      <w:r>
        <w:t>Office also allows values of top-margin-area, bottom-margin-area, inner-margin-area, and outer-margin area.</w:t>
      </w:r>
    </w:p>
    <w:p w:rsidR="005F78FC" w:rsidRDefault="00B42EF3">
      <w:pPr>
        <w:pStyle w:val="Definition-Field"/>
      </w:pPr>
      <w:r>
        <w:t xml:space="preserve">n.   </w:t>
      </w:r>
      <w:r>
        <w:rPr>
          <w:i/>
        </w:rPr>
        <w:t>The standard does not state how the mso-wrap-distance-bottom, mso-wrap-</w:t>
      </w:r>
      <w:r>
        <w:rPr>
          <w:i/>
        </w:rPr>
        <w:t>distance-left, mso-wrap-distance-right, and mso-wrap-distance-top properties on the style attribute are to be measured.</w:t>
      </w:r>
    </w:p>
    <w:p w:rsidR="005F78FC" w:rsidRDefault="00B42EF3">
      <w:pPr>
        <w:pStyle w:val="Definition-Field2"/>
      </w:pPr>
      <w:r>
        <w:t>Office allows these properties to be measured using the absolute units designator cm, mm, in, pt, or pc; or using the relative units des</w:t>
      </w:r>
      <w:r>
        <w:t>ignator px.</w:t>
      </w:r>
    </w:p>
    <w:p w:rsidR="005F78FC" w:rsidRDefault="00B42EF3">
      <w:pPr>
        <w:pStyle w:val="Definition-Field"/>
      </w:pPr>
      <w:r>
        <w:t xml:space="preserve">o.   </w:t>
      </w:r>
      <w:r>
        <w:rPr>
          <w:i/>
        </w:rPr>
        <w:t>The standard states that the default value of the mso-wrap-distance-left and mso-wrap-distance-right properties on the style attribute is 0 pt.</w:t>
      </w:r>
    </w:p>
    <w:p w:rsidR="005F78FC" w:rsidRDefault="00B42EF3">
      <w:pPr>
        <w:pStyle w:val="Definition-Field2"/>
      </w:pPr>
      <w:r>
        <w:t>Office uses a default value of 9 pt for these properties.</w:t>
      </w:r>
    </w:p>
    <w:p w:rsidR="005F78FC" w:rsidRDefault="00B42EF3">
      <w:pPr>
        <w:pStyle w:val="Definition-Field"/>
      </w:pPr>
      <w:r>
        <w:t xml:space="preserve">p.   </w:t>
      </w:r>
      <w:r>
        <w:rPr>
          <w:i/>
        </w:rPr>
        <w:t xml:space="preserve">The standard states that </w:t>
      </w:r>
      <w:r>
        <w:rPr>
          <w:i/>
        </w:rPr>
        <w:t>relative is a valid value for the position property on the style attribute.</w:t>
      </w:r>
    </w:p>
    <w:p w:rsidR="005F78FC" w:rsidRDefault="00B42EF3">
      <w:pPr>
        <w:pStyle w:val="Definition-Field2"/>
      </w:pPr>
      <w:r>
        <w:t>Office does not support this value on this property.</w:t>
      </w:r>
    </w:p>
    <w:p w:rsidR="005F78FC" w:rsidRDefault="00B42EF3">
      <w:pPr>
        <w:pStyle w:val="Definition-Field"/>
      </w:pPr>
      <w:r>
        <w:t xml:space="preserve">q.   </w:t>
      </w:r>
      <w:r>
        <w:rPr>
          <w:i/>
        </w:rPr>
        <w:t>The standard states that auto is a valid value for the margin-left, margin-top, left, top, width, height, and z-index prop</w:t>
      </w:r>
      <w:r>
        <w:rPr>
          <w:i/>
        </w:rPr>
        <w:t>erties on the style attribute.</w:t>
      </w:r>
    </w:p>
    <w:p w:rsidR="005F78FC" w:rsidRDefault="00B42EF3">
      <w:pPr>
        <w:pStyle w:val="Definition-Field2"/>
      </w:pPr>
      <w:r>
        <w:t>Office does not support this value on these properties.</w:t>
      </w:r>
    </w:p>
    <w:p w:rsidR="005F78FC" w:rsidRDefault="00B42EF3">
      <w:pPr>
        <w:pStyle w:val="Definition-Field"/>
      </w:pPr>
      <w:r>
        <w:t xml:space="preserve">r.   </w:t>
      </w:r>
      <w:r>
        <w:rPr>
          <w:i/>
        </w:rPr>
        <w:t>The standard states that the value of the margin-left, margin-top, left, top, width, and height properties on the style attribute may be specified as a percentage.</w:t>
      </w:r>
    </w:p>
    <w:p w:rsidR="005F78FC" w:rsidRDefault="00B42EF3">
      <w:pPr>
        <w:pStyle w:val="Definition-Field2"/>
      </w:pPr>
      <w:r>
        <w:t>Office does not allow the value of these properties to be specified as a percentage.</w:t>
      </w:r>
    </w:p>
    <w:p w:rsidR="005F78FC" w:rsidRDefault="00B42EF3">
      <w:pPr>
        <w:pStyle w:val="Definition-Field"/>
      </w:pPr>
      <w:r>
        <w:t xml:space="preserve">s.   </w:t>
      </w:r>
      <w:r>
        <w:rPr>
          <w:i/>
        </w:rPr>
        <w:t>The standard states that the value of the margin-left, margin-top, left, top, width, and height properties on the style attribute may be specified in em or ex units.</w:t>
      </w:r>
    </w:p>
    <w:p w:rsidR="005F78FC" w:rsidRDefault="00B42EF3">
      <w:pPr>
        <w:pStyle w:val="Definition-Field2"/>
      </w:pPr>
      <w:r>
        <w:t>Office does not allow the value of these properties to be specified in this way.</w:t>
      </w:r>
    </w:p>
    <w:p w:rsidR="005F78FC" w:rsidRDefault="00B42EF3">
      <w:pPr>
        <w:pStyle w:val="Definition-Field"/>
      </w:pPr>
      <w:r>
        <w:t xml:space="preserve">t.   </w:t>
      </w:r>
      <w:r>
        <w:rPr>
          <w:i/>
        </w:rPr>
        <w:t>The standard places no restrictions on the relationship between the top, margin-top, mso-position-vertical, or mso-top-percent properties on the style attribute.</w:t>
      </w:r>
    </w:p>
    <w:p w:rsidR="005F78FC" w:rsidRDefault="00B42EF3">
      <w:pPr>
        <w:pStyle w:val="Definition-Field2"/>
      </w:pPr>
      <w:r>
        <w:t>Office i</w:t>
      </w:r>
      <w:r>
        <w:t>gnores the top and margin-top properties when either the mso-position-vertical or mso-top-percent property on the style attribute is set, or when an anchor element is present.</w:t>
      </w:r>
    </w:p>
    <w:p w:rsidR="005F78FC" w:rsidRDefault="00B42EF3">
      <w:pPr>
        <w:pStyle w:val="Definition-Field"/>
      </w:pPr>
      <w:r>
        <w:t xml:space="preserve">u.   </w:t>
      </w:r>
      <w:r>
        <w:rPr>
          <w:i/>
        </w:rPr>
        <w:t>The standard implies that the width and mso-width-percent properties on the</w:t>
      </w:r>
      <w:r>
        <w:rPr>
          <w:i/>
        </w:rPr>
        <w:t xml:space="preserve"> style attribute are optional.</w:t>
      </w:r>
    </w:p>
    <w:p w:rsidR="005F78FC" w:rsidRDefault="00B42EF3">
      <w:pPr>
        <w:pStyle w:val="Definition-Field2"/>
      </w:pPr>
      <w:r>
        <w:t>Office requires that at least one of these properties be set when an anchor element is not present; the width property is ignored when either the mso-width-percent property or an anchor element is specified.</w:t>
      </w:r>
    </w:p>
    <w:p w:rsidR="005F78FC" w:rsidRDefault="00B42EF3">
      <w:pPr>
        <w:pStyle w:val="Definition-Field"/>
      </w:pPr>
      <w:r>
        <w:t xml:space="preserve">v.   </w:t>
      </w:r>
      <w:r>
        <w:rPr>
          <w:i/>
        </w:rPr>
        <w:t>The standard</w:t>
      </w:r>
      <w:r>
        <w:rPr>
          <w:i/>
        </w:rPr>
        <w:t xml:space="preserve"> makes no mention of an mso-width-percent property on the style attribute.</w:t>
      </w:r>
    </w:p>
    <w:p w:rsidR="005F78FC" w:rsidRDefault="00B42EF3">
      <w:pPr>
        <w:pStyle w:val="Definition-Field2"/>
      </w:pPr>
      <w:r>
        <w:lastRenderedPageBreak/>
        <w:t>Word uses this property to specify the width of the shape as a percentage of the layout object defined by the mso-width-relative property; its value is expressed as an integer betwe</w:t>
      </w:r>
      <w:r>
        <w:t>en 10 and 10,000, inclusive, where each unit is a tenth of a percent.</w:t>
      </w:r>
    </w:p>
    <w:p w:rsidR="005F78FC" w:rsidRDefault="00B42EF3">
      <w:pPr>
        <w:pStyle w:val="Definition-Field"/>
      </w:pPr>
      <w:r>
        <w:t xml:space="preserve">w.   </w:t>
      </w:r>
      <w:r>
        <w:rPr>
          <w:i/>
        </w:rPr>
        <w:t>The standard makes no mention of an mso-height-percent property on the style attribute.</w:t>
      </w:r>
    </w:p>
    <w:p w:rsidR="005F78FC" w:rsidRDefault="00B42EF3">
      <w:pPr>
        <w:pStyle w:val="Definition-Field2"/>
      </w:pPr>
      <w:r>
        <w:t>Word uses this property to specify the height of a shape as a percentage of the layout object</w:t>
      </w:r>
      <w:r>
        <w:t xml:space="preserve"> defined by the mso-height-relative property; its value is expressed as an integer between 10 and 10,000, inclusive, where each unit is a tenth of a percent.</w:t>
      </w:r>
    </w:p>
    <w:p w:rsidR="005F78FC" w:rsidRDefault="00B42EF3">
      <w:pPr>
        <w:pStyle w:val="Definition-Field"/>
      </w:pPr>
      <w:r>
        <w:t xml:space="preserve">x.   </w:t>
      </w:r>
      <w:r>
        <w:rPr>
          <w:i/>
        </w:rPr>
        <w:t>The standard makes no mention of an mso-width-relative property on the style attribute.</w:t>
      </w:r>
    </w:p>
    <w:p w:rsidR="005F78FC" w:rsidRDefault="00B42EF3">
      <w:pPr>
        <w:pStyle w:val="Definition-Field2"/>
      </w:pPr>
      <w:r>
        <w:t xml:space="preserve">Word </w:t>
      </w:r>
      <w:r>
        <w:t>uses this property to specify the layout object referred to by the mso-width-percent property; its allowed values are margin, page, left-margin-area, right-margin-area, inner-margin-area, and outer-margin-area, with page being the default.</w:t>
      </w:r>
    </w:p>
    <w:p w:rsidR="005F78FC" w:rsidRDefault="00B42EF3">
      <w:pPr>
        <w:pStyle w:val="Definition-Field"/>
      </w:pPr>
      <w:r>
        <w:t xml:space="preserve">y.   </w:t>
      </w:r>
      <w:r>
        <w:rPr>
          <w:i/>
        </w:rPr>
        <w:t>The standar</w:t>
      </w:r>
      <w:r>
        <w:rPr>
          <w:i/>
        </w:rPr>
        <w:t>d makes no mention of an mso-height-relative property on the style attribute.</w:t>
      </w:r>
    </w:p>
    <w:p w:rsidR="005F78FC" w:rsidRDefault="00B42EF3">
      <w:pPr>
        <w:pStyle w:val="Definition-Field2"/>
      </w:pPr>
      <w:r>
        <w:t>Word uses this property to specify the layout object referred to by the mso-height-percent property; its allowed values are margin, page, top-margin-area, bottom-margin-area, inn</w:t>
      </w:r>
      <w:r>
        <w:t>er-margin-area, and outer-margin-area.</w:t>
      </w:r>
    </w:p>
    <w:p w:rsidR="005F78FC" w:rsidRDefault="00B42EF3">
      <w:pPr>
        <w:pStyle w:val="Definition-Field"/>
      </w:pPr>
      <w:r>
        <w:t xml:space="preserve">z.   </w:t>
      </w:r>
      <w:r>
        <w:rPr>
          <w:i/>
        </w:rPr>
        <w:t>The standard makes no mention of an mso-left-percent property on the style attribute.</w:t>
      </w:r>
    </w:p>
    <w:p w:rsidR="005F78FC" w:rsidRDefault="00B42EF3">
      <w:r>
        <w:t>Word uses this property to specify the location of the left edge of the shape as a percentage of the width of the layout objec</w:t>
      </w:r>
      <w:r>
        <w:t>t defined by the mso-position-horizontal-relative property; its value is expressed as an integer between -10,000 and 10,000, inclusive, where each unit is a tenth of a percent. This property cannot be used in combination with the mso-position-horizontal at</w:t>
      </w:r>
      <w:r>
        <w:t>tribute on the style attribute.</w:t>
      </w:r>
    </w:p>
    <w:p w:rsidR="005F78FC" w:rsidRDefault="00B42EF3">
      <w:pPr>
        <w:pStyle w:val="Definition-Field"/>
      </w:pPr>
      <w:r>
        <w:t xml:space="preserve">aa.  </w:t>
      </w:r>
      <w:r>
        <w:rPr>
          <w:i/>
        </w:rPr>
        <w:t>The standard makes no mention of an mso-top-percent property on the style attribute.</w:t>
      </w:r>
    </w:p>
    <w:p w:rsidR="005F78FC" w:rsidRDefault="00B42EF3">
      <w:r>
        <w:t>Word uses this property to specify the location of the top edge of the shape as a percentage of the height of the layout object define</w:t>
      </w:r>
      <w:r>
        <w:t xml:space="preserve">d by the mso-position-vertical-relative property; its value is expressed as an integer between -10,000 and 10,000, inclusive, where each unit is a tenth of a percent.  This property cannot be used in combination with the mso-position-vertical attribute on </w:t>
      </w:r>
      <w:r>
        <w:t>the style attribute.</w:t>
      </w:r>
    </w:p>
    <w:p w:rsidR="005F78FC" w:rsidRDefault="00B42EF3">
      <w:pPr>
        <w:pStyle w:val="Definition-Field"/>
      </w:pPr>
      <w:r>
        <w:t xml:space="preserve">bb.  </w:t>
      </w:r>
      <w:r>
        <w:rPr>
          <w:i/>
        </w:rPr>
        <w:t>The standard states that the v-text-anchor property on the style attribute is only used by the textbox element, where it specifies the vertical anchoring of text within the textbox.</w:t>
      </w:r>
    </w:p>
    <w:p w:rsidR="005F78FC" w:rsidRDefault="00B42EF3">
      <w:pPr>
        <w:pStyle w:val="Definition-Field2"/>
      </w:pPr>
      <w:r>
        <w:t>Office instead applies this property to the shap</w:t>
      </w:r>
      <w:r>
        <w:t>e containing the textbox element, where it specifies the anchor point of the text contained within the shape.</w:t>
      </w:r>
    </w:p>
    <w:p w:rsidR="005F78FC" w:rsidRDefault="00B42EF3">
      <w:pPr>
        <w:pStyle w:val="Definition-Field"/>
      </w:pPr>
      <w:r>
        <w:t xml:space="preserve">cc.  </w:t>
      </w:r>
      <w:r>
        <w:rPr>
          <w:i/>
        </w:rPr>
        <w:t>The standard states that the default value of the allowincell attribute is false.</w:t>
      </w:r>
    </w:p>
    <w:p w:rsidR="005F78FC" w:rsidRDefault="00B42EF3">
      <w:pPr>
        <w:pStyle w:val="Definition-Field2"/>
      </w:pPr>
      <w:r>
        <w:t>Office uses a default value of true for this attribute.</w:t>
      </w:r>
    </w:p>
    <w:p w:rsidR="005F78FC" w:rsidRDefault="00B42EF3">
      <w:pPr>
        <w:pStyle w:val="Definition-Field"/>
      </w:pPr>
      <w:r>
        <w:t>dd.</w:t>
      </w:r>
      <w:r>
        <w:t xml:space="preserve">  </w:t>
      </w:r>
      <w:r>
        <w:rPr>
          <w:i/>
        </w:rPr>
        <w:t>The standard states that the allowincell attribute specifies whether a shape can be placed in a table.</w:t>
      </w:r>
    </w:p>
    <w:p w:rsidR="005F78FC" w:rsidRDefault="00B42EF3">
      <w:pPr>
        <w:pStyle w:val="Definition-Field2"/>
      </w:pPr>
      <w:r>
        <w:t>Office uses this attribute to specify whether a shape's anchor can be placed in a table.</w:t>
      </w:r>
    </w:p>
    <w:p w:rsidR="005F78FC" w:rsidRDefault="00B42EF3">
      <w:pPr>
        <w:pStyle w:val="Definition-Field"/>
      </w:pPr>
      <w:r>
        <w:t xml:space="preserve">ee.  </w:t>
      </w:r>
      <w:r>
        <w:rPr>
          <w:i/>
        </w:rPr>
        <w:t xml:space="preserve">The standard places no restrictions on how values of the </w:t>
      </w:r>
      <w:r>
        <w:rPr>
          <w:i/>
        </w:rPr>
        <w:t>z-index property on the style attribute be preserved.</w:t>
      </w:r>
    </w:p>
    <w:p w:rsidR="005F78FC" w:rsidRDefault="00B42EF3">
      <w:pPr>
        <w:pStyle w:val="Definition-Field2"/>
      </w:pPr>
      <w:r>
        <w:t>Office preserves relative ordering and sign but not absolute values of this property.</w:t>
      </w:r>
    </w:p>
    <w:p w:rsidR="005F78FC" w:rsidRDefault="00B42EF3">
      <w:pPr>
        <w:pStyle w:val="Definition-Field"/>
      </w:pPr>
      <w:r>
        <w:t xml:space="preserve">ff.  </w:t>
      </w:r>
      <w:r>
        <w:rPr>
          <w:i/>
        </w:rPr>
        <w:t>The standard states that the default value of the z-index property on the style attribute is 0.</w:t>
      </w:r>
    </w:p>
    <w:p w:rsidR="005F78FC" w:rsidRDefault="00B42EF3">
      <w:pPr>
        <w:pStyle w:val="Definition-Field2"/>
      </w:pPr>
      <w:r>
        <w:lastRenderedPageBreak/>
        <w:t>Office requires</w:t>
      </w:r>
      <w:r>
        <w:t xml:space="preserve"> this property to be specified unless the element is shapedefaults, shapetype, textbox, or textpath.</w:t>
      </w:r>
    </w:p>
    <w:p w:rsidR="005F78FC" w:rsidRDefault="00B42EF3">
      <w:pPr>
        <w:pStyle w:val="Definition-Field"/>
      </w:pPr>
      <w:r>
        <w:t xml:space="preserve">gg.  </w:t>
      </w:r>
      <w:r>
        <w:rPr>
          <w:i/>
        </w:rPr>
        <w:t>The standard places no restrictions on the relationship between the top and margin-top properties on the style attribute.</w:t>
      </w:r>
    </w:p>
    <w:p w:rsidR="005F78FC" w:rsidRDefault="00B42EF3">
      <w:pPr>
        <w:pStyle w:val="Definition-Field2"/>
      </w:pPr>
      <w:r>
        <w:t>Office combines the values f</w:t>
      </w:r>
      <w:r>
        <w:t>rom these two properties into the margin-top property.</w:t>
      </w:r>
    </w:p>
    <w:p w:rsidR="005F78FC" w:rsidRDefault="00B42EF3">
      <w:pPr>
        <w:pStyle w:val="Definition-Field"/>
      </w:pPr>
      <w:r>
        <w:t xml:space="preserve">hh.  </w:t>
      </w:r>
      <w:r>
        <w:rPr>
          <w:i/>
        </w:rPr>
        <w:t>The standard places no restrictions on the relationship between the left and margin-left properties on the style attribute.</w:t>
      </w:r>
    </w:p>
    <w:p w:rsidR="005F78FC" w:rsidRDefault="00B42EF3">
      <w:pPr>
        <w:pStyle w:val="Definition-Field2"/>
      </w:pPr>
      <w:r>
        <w:t>Office combines the values from these two properties into the margin-lef</w:t>
      </w:r>
      <w:r>
        <w:t>t property.</w:t>
      </w:r>
    </w:p>
    <w:p w:rsidR="005F78FC" w:rsidRDefault="00B42EF3">
      <w:pPr>
        <w:pStyle w:val="Definition-Field"/>
      </w:pPr>
      <w:r>
        <w:t xml:space="preserve">ii.  </w:t>
      </w:r>
      <w:r>
        <w:rPr>
          <w:i/>
        </w:rPr>
        <w:t>The standard states that the values of the borderbottomcolor attribute are defined by the XML Schema string datatype.</w:t>
      </w:r>
    </w:p>
    <w:p w:rsidR="005F78FC" w:rsidRDefault="00B42EF3">
      <w:pPr>
        <w:pStyle w:val="Definition-Field2"/>
      </w:pPr>
      <w:r>
        <w:t>Office defines the values of this attribute with the ST_ColorType simple type.</w:t>
      </w:r>
    </w:p>
    <w:p w:rsidR="005F78FC" w:rsidRDefault="00B42EF3">
      <w:pPr>
        <w:pStyle w:val="Definition-Field"/>
      </w:pPr>
      <w:r>
        <w:t xml:space="preserve">jj.  </w:t>
      </w:r>
      <w:r>
        <w:rPr>
          <w:i/>
        </w:rPr>
        <w:t xml:space="preserve">The standard states that the values </w:t>
      </w:r>
      <w:r>
        <w:rPr>
          <w:i/>
        </w:rPr>
        <w:t>of the bordertopcolor attribute are defined by the XML Schema string datatype.</w:t>
      </w:r>
    </w:p>
    <w:p w:rsidR="005F78FC" w:rsidRDefault="00B42EF3">
      <w:pPr>
        <w:pStyle w:val="Definition-Field2"/>
      </w:pPr>
      <w:r>
        <w:t>Office defines the values of this attribute with the ST_ColorType simple type.</w:t>
      </w:r>
    </w:p>
    <w:p w:rsidR="005F78FC" w:rsidRDefault="00B42EF3">
      <w:pPr>
        <w:pStyle w:val="Definition-Field"/>
      </w:pPr>
      <w:r>
        <w:t xml:space="preserve">kk.  </w:t>
      </w:r>
      <w:r>
        <w:rPr>
          <w:i/>
        </w:rPr>
        <w:t xml:space="preserve">The standard states that the values of the borderrightcolor attribute are defined by the XML </w:t>
      </w:r>
      <w:r>
        <w:rPr>
          <w:i/>
        </w:rPr>
        <w:t>Schema string datatype.</w:t>
      </w:r>
    </w:p>
    <w:p w:rsidR="005F78FC" w:rsidRDefault="00B42EF3">
      <w:pPr>
        <w:pStyle w:val="Definition-Field2"/>
      </w:pPr>
      <w:r>
        <w:t>Office defines the values of this attribute with the ST_ColorType simple type.</w:t>
      </w:r>
    </w:p>
    <w:p w:rsidR="005F78FC" w:rsidRDefault="00B42EF3">
      <w:pPr>
        <w:pStyle w:val="Definition-Field"/>
      </w:pPr>
      <w:r>
        <w:t xml:space="preserve">ll.  </w:t>
      </w:r>
      <w:r>
        <w:rPr>
          <w:i/>
        </w:rPr>
        <w:t>The standard states that the values of the borderleftcolor attribute are defined by the XML Schema string datatype.</w:t>
      </w:r>
    </w:p>
    <w:p w:rsidR="005F78FC" w:rsidRDefault="00B42EF3">
      <w:pPr>
        <w:pStyle w:val="Definition-Field2"/>
      </w:pPr>
      <w:r>
        <w:t>Office defines the values of thi</w:t>
      </w:r>
      <w:r>
        <w:t>s attribute with the ST_ColorType simple type.</w:t>
      </w:r>
    </w:p>
    <w:p w:rsidR="005F78FC" w:rsidRDefault="00B42EF3">
      <w:pPr>
        <w:pStyle w:val="Definition-Field"/>
      </w:pPr>
      <w:r>
        <w:t xml:space="preserve">mm.  </w:t>
      </w:r>
      <w:r>
        <w:rPr>
          <w:i/>
        </w:rPr>
        <w:t xml:space="preserve">The standard does not state a valid value range for the mso-wrap-distance-bottom, mso-wrap-distance-left, mso-wrap-distance-right, mso-wrap-distance-top, width, and height properties on the style </w:t>
      </w:r>
      <w:r>
        <w:rPr>
          <w:i/>
        </w:rPr>
        <w:t>attribute.</w:t>
      </w:r>
    </w:p>
    <w:p w:rsidR="005F78FC" w:rsidRDefault="00B42EF3">
      <w:pPr>
        <w:pStyle w:val="Definition-Field2"/>
      </w:pPr>
      <w:r>
        <w:t>Office requires the values of these properties to be non-negative.</w:t>
      </w:r>
    </w:p>
    <w:p w:rsidR="005F78FC" w:rsidRDefault="00B42EF3">
      <w:pPr>
        <w:pStyle w:val="Definition-Field"/>
      </w:pPr>
      <w:r>
        <w:t xml:space="preserve">nn.  </w:t>
      </w:r>
      <w:r>
        <w:rPr>
          <w:i/>
        </w:rPr>
        <w:t>The standard states that chromakey and opacity are valid attributes on the arc element.</w:t>
      </w:r>
    </w:p>
    <w:p w:rsidR="005F78FC" w:rsidRDefault="00B42EF3">
      <w:pPr>
        <w:pStyle w:val="Definition-Field2"/>
      </w:pPr>
      <w:r>
        <w:t>Office does not support these attributes on this element.</w:t>
      </w:r>
    </w:p>
    <w:p w:rsidR="005F78FC" w:rsidRDefault="00B42EF3">
      <w:pPr>
        <w:pStyle w:val="Definition-Field"/>
      </w:pPr>
      <w:r>
        <w:t xml:space="preserve">oo.  </w:t>
      </w:r>
      <w:r>
        <w:rPr>
          <w:i/>
        </w:rPr>
        <w:t>The standard states th</w:t>
      </w:r>
      <w:r>
        <w:rPr>
          <w:i/>
        </w:rPr>
        <w:t>at class is a valid attribute.</w:t>
      </w:r>
    </w:p>
    <w:p w:rsidR="005F78FC" w:rsidRDefault="00B42EF3">
      <w:pPr>
        <w:pStyle w:val="Definition-Field2"/>
      </w:pPr>
      <w:r>
        <w:t>Office does not support this attribute.</w:t>
      </w:r>
    </w:p>
    <w:p w:rsidR="005F78FC" w:rsidRDefault="00B42EF3">
      <w:pPr>
        <w:pStyle w:val="Definition-Field"/>
      </w:pPr>
      <w:r>
        <w:t xml:space="preserve">pp.  </w:t>
      </w:r>
      <w:r>
        <w:rPr>
          <w:i/>
        </w:rPr>
        <w:t>The standard states that the default value of the connectortype attribute is straight.</w:t>
      </w:r>
    </w:p>
    <w:p w:rsidR="005F78FC" w:rsidRDefault="00B42EF3">
      <w:pPr>
        <w:pStyle w:val="Definition-Field2"/>
      </w:pPr>
      <w:r>
        <w:t>Office uses a default value of none for this attribute.</w:t>
      </w:r>
    </w:p>
    <w:p w:rsidR="005F78FC" w:rsidRDefault="00B42EF3">
      <w:pPr>
        <w:pStyle w:val="Definition-Field"/>
      </w:pPr>
      <w:r>
        <w:t xml:space="preserve">qq.  </w:t>
      </w:r>
      <w:r>
        <w:rPr>
          <w:i/>
        </w:rPr>
        <w:t>The standard states that coordsi</w:t>
      </w:r>
      <w:r>
        <w:rPr>
          <w:i/>
        </w:rPr>
        <w:t>ze is a valid attribute on the image and roundrect elements.</w:t>
      </w:r>
    </w:p>
    <w:p w:rsidR="005F78FC" w:rsidRDefault="00B42EF3">
      <w:pPr>
        <w:pStyle w:val="Definition-Field2"/>
      </w:pPr>
      <w:r>
        <w:t>Office does not support this attribute on these elements.</w:t>
      </w:r>
    </w:p>
    <w:p w:rsidR="005F78FC" w:rsidRDefault="00B42EF3">
      <w:pPr>
        <w:pStyle w:val="Definition-Field"/>
      </w:pPr>
      <w:r>
        <w:t xml:space="preserve">rr.  </w:t>
      </w:r>
      <w:r>
        <w:rPr>
          <w:i/>
        </w:rPr>
        <w:t>The standard states that the dgmnodekind attribute specifies an optional, application-specific parameter that is intended to be used</w:t>
      </w:r>
      <w:r>
        <w:rPr>
          <w:i/>
        </w:rPr>
        <w:t xml:space="preserve"> by the application to tag different types of nodes in a diagram.</w:t>
      </w:r>
    </w:p>
    <w:p w:rsidR="005F78FC" w:rsidRDefault="00B42EF3">
      <w:pPr>
        <w:pStyle w:val="Definition-Field2"/>
      </w:pPr>
      <w:r>
        <w:t>Office uses this attribute to indicate which type of position in an organization chart the shape represents.</w:t>
      </w:r>
    </w:p>
    <w:p w:rsidR="005F78FC" w:rsidRDefault="00B42EF3">
      <w:pPr>
        <w:pStyle w:val="Definition-Field"/>
      </w:pPr>
      <w:r>
        <w:lastRenderedPageBreak/>
        <w:t xml:space="preserve">ss.  </w:t>
      </w:r>
      <w:r>
        <w:rPr>
          <w:i/>
        </w:rPr>
        <w:t>The standard does not state how to interpret the value of the hrpct attribut</w:t>
      </w:r>
      <w:r>
        <w:rPr>
          <w:i/>
        </w:rPr>
        <w:t>e.</w:t>
      </w:r>
    </w:p>
    <w:p w:rsidR="005F78FC" w:rsidRDefault="00B42EF3">
      <w:pPr>
        <w:pStyle w:val="Definition-Field2"/>
      </w:pPr>
      <w:r>
        <w:t>Office interprets this attribute as tenths of a percentage point of the page width, where the page width is the width of the page without the margins.</w:t>
      </w:r>
    </w:p>
    <w:p w:rsidR="005F78FC" w:rsidRDefault="00B42EF3">
      <w:pPr>
        <w:pStyle w:val="Definition-Field"/>
      </w:pPr>
      <w:r>
        <w:t xml:space="preserve">tt.  </w:t>
      </w:r>
      <w:r>
        <w:rPr>
          <w:i/>
        </w:rPr>
        <w:t>The standard states that the values of the hrpct attribute are defined by the XML Schema float da</w:t>
      </w:r>
      <w:r>
        <w:rPr>
          <w:i/>
        </w:rPr>
        <w:t>tatype.</w:t>
      </w:r>
    </w:p>
    <w:p w:rsidR="005F78FC" w:rsidRDefault="00B42EF3">
      <w:pPr>
        <w:pStyle w:val="Definition-Field2"/>
      </w:pPr>
      <w:r>
        <w:t>Office restricts the value of this attribute to be at least 0 and at most 1000.</w:t>
      </w:r>
    </w:p>
    <w:p w:rsidR="005F78FC" w:rsidRDefault="00B42EF3">
      <w:pPr>
        <w:pStyle w:val="Definition-Field"/>
      </w:pPr>
      <w:r>
        <w:t xml:space="preserve">uu.  </w:t>
      </w:r>
      <w:r>
        <w:rPr>
          <w:i/>
        </w:rPr>
        <w:t>The standard states that the default value of the hrpct attribute is 0.</w:t>
      </w:r>
    </w:p>
    <w:p w:rsidR="005F78FC" w:rsidRDefault="00B42EF3">
      <w:pPr>
        <w:pStyle w:val="Definition-Field2"/>
      </w:pPr>
      <w:r>
        <w:t>Office uses a default value of 1000 for this attribute.</w:t>
      </w:r>
    </w:p>
    <w:p w:rsidR="005F78FC" w:rsidRDefault="00B42EF3">
      <w:pPr>
        <w:pStyle w:val="Definition-Field"/>
      </w:pPr>
      <w:r>
        <w:t xml:space="preserve">vv.  </w:t>
      </w:r>
      <w:r>
        <w:rPr>
          <w:i/>
        </w:rPr>
        <w:t>The standard places no restric</w:t>
      </w:r>
      <w:r>
        <w:rPr>
          <w:i/>
        </w:rPr>
        <w:t>tions on when the ole attribute is preserved.</w:t>
      </w:r>
    </w:p>
    <w:p w:rsidR="005F78FC" w:rsidRDefault="00B42EF3">
      <w:pPr>
        <w:pStyle w:val="Definition-Field2"/>
      </w:pPr>
      <w:r>
        <w:t>Office only preserves this attribute when the value of the spt attribute is 75 and a related OLEObject element exists.</w:t>
      </w:r>
    </w:p>
    <w:p w:rsidR="005F78FC" w:rsidRDefault="00B42EF3">
      <w:pPr>
        <w:pStyle w:val="Definition-Field"/>
      </w:pPr>
      <w:r>
        <w:t xml:space="preserve">ww.  </w:t>
      </w:r>
      <w:r>
        <w:rPr>
          <w:i/>
        </w:rPr>
        <w:t>The standard does not state how to interpret the locations specified in the wrapcoords</w:t>
      </w:r>
      <w:r>
        <w:rPr>
          <w:i/>
        </w:rPr>
        <w:t xml:space="preserve"> attribute.</w:t>
      </w:r>
    </w:p>
    <w:p w:rsidR="005F78FC" w:rsidRDefault="00B42EF3">
      <w:pPr>
        <w:pStyle w:val="Definition-Field2"/>
      </w:pPr>
      <w:r>
        <w:t>Office interprets these locations to be in terms of a 21,600-coordinate unit square, scaled anisotropically to fit the shape's dimensions, that maps to the bounding rectangle of the shape, with an origin at the top, left corner.</w:t>
      </w:r>
    </w:p>
    <w:p w:rsidR="005F78FC" w:rsidRDefault="00B42EF3">
      <w:pPr>
        <w:pStyle w:val="Definition-Field"/>
      </w:pPr>
      <w:r>
        <w:t xml:space="preserve">xx.  </w:t>
      </w:r>
      <w:r>
        <w:rPr>
          <w:i/>
        </w:rPr>
        <w:t>The standa</w:t>
      </w:r>
      <w:r>
        <w:rPr>
          <w:i/>
        </w:rPr>
        <w:t>rd states that the wrapcoords attribute is specified using a comma-delimited list of x and y coordinates.</w:t>
      </w:r>
    </w:p>
    <w:p w:rsidR="005F78FC" w:rsidRDefault="00B42EF3">
      <w:pPr>
        <w:pStyle w:val="Definition-Field2"/>
      </w:pPr>
      <w:r>
        <w:t>Office uses a space-delimited list to specify this attribute, both when delimiting the x and y coordinates in a point and when delimiting points in th</w:t>
      </w:r>
      <w:r>
        <w:t>e list.</w:t>
      </w:r>
    </w:p>
    <w:p w:rsidR="005F78FC" w:rsidRDefault="00B42EF3">
      <w:pPr>
        <w:pStyle w:val="Definition-Field"/>
      </w:pPr>
      <w:r>
        <w:t xml:space="preserve">yy.  </w:t>
      </w:r>
      <w:r>
        <w:rPr>
          <w:i/>
        </w:rPr>
        <w:t>The standard places no restrictions on the relationship between the borderbottomcolor attribute and the borderbottom child element.</w:t>
      </w:r>
    </w:p>
    <w:p w:rsidR="005F78FC" w:rsidRDefault="00B42EF3">
      <w:pPr>
        <w:pStyle w:val="Definition-Field2"/>
      </w:pPr>
      <w:r>
        <w:t>Office ignores the borderbottomcolor attribute if there is no borderbottom child element.</w:t>
      </w:r>
    </w:p>
    <w:p w:rsidR="005F78FC" w:rsidRDefault="00B42EF3">
      <w:pPr>
        <w:pStyle w:val="Definition-Field"/>
      </w:pPr>
      <w:r>
        <w:t xml:space="preserve">zz.  </w:t>
      </w:r>
      <w:r>
        <w:rPr>
          <w:i/>
        </w:rPr>
        <w:t>The standard pla</w:t>
      </w:r>
      <w:r>
        <w:rPr>
          <w:i/>
        </w:rPr>
        <w:t>ces no restrictions on the relationship between the bordertopcolor attribute and the bordertop child element.</w:t>
      </w:r>
    </w:p>
    <w:p w:rsidR="005F78FC" w:rsidRDefault="00B42EF3">
      <w:pPr>
        <w:pStyle w:val="Definition-Field2"/>
      </w:pPr>
      <w:r>
        <w:t>Office ignores the bordertopcolor attribute if there is no bordertop child element.</w:t>
      </w:r>
    </w:p>
    <w:p w:rsidR="005F78FC" w:rsidRDefault="00B42EF3">
      <w:pPr>
        <w:pStyle w:val="Definition-Field"/>
      </w:pPr>
      <w:r>
        <w:t xml:space="preserve">aaa. </w:t>
      </w:r>
      <w:r>
        <w:rPr>
          <w:i/>
        </w:rPr>
        <w:t>The standard places no restrictions on the relationship b</w:t>
      </w:r>
      <w:r>
        <w:rPr>
          <w:i/>
        </w:rPr>
        <w:t>etween the borderrightcolor attribute and the borderright child element.</w:t>
      </w:r>
    </w:p>
    <w:p w:rsidR="005F78FC" w:rsidRDefault="00B42EF3">
      <w:pPr>
        <w:pStyle w:val="Definition-Field2"/>
      </w:pPr>
      <w:r>
        <w:t>Office ignores the borderrightcolor attribute if there is no borderright child element.</w:t>
      </w:r>
    </w:p>
    <w:p w:rsidR="005F78FC" w:rsidRDefault="00B42EF3">
      <w:pPr>
        <w:pStyle w:val="Definition-Field"/>
      </w:pPr>
      <w:r>
        <w:t xml:space="preserve">bbb. </w:t>
      </w:r>
      <w:r>
        <w:rPr>
          <w:i/>
        </w:rPr>
        <w:t xml:space="preserve">The standard places no restrictions on the relationship between the borderleftcolor </w:t>
      </w:r>
      <w:r>
        <w:rPr>
          <w:i/>
        </w:rPr>
        <w:t>attribute and the borderleft child element.</w:t>
      </w:r>
    </w:p>
    <w:p w:rsidR="005F78FC" w:rsidRDefault="00B42EF3">
      <w:pPr>
        <w:pStyle w:val="Definition-Field2"/>
      </w:pPr>
      <w:r>
        <w:t>Office ignores the borderleftcolor attribute if there is no borderleft child element.</w:t>
      </w:r>
    </w:p>
    <w:p w:rsidR="005F78FC" w:rsidRDefault="00B42EF3">
      <w:pPr>
        <w:pStyle w:val="Definition-Field"/>
      </w:pPr>
      <w:r>
        <w:t xml:space="preserve">ccc. </w:t>
      </w:r>
      <w:r>
        <w:rPr>
          <w:i/>
        </w:rPr>
        <w:t>The standard states that the default value of the strokeweight attribute is 1 point.</w:t>
      </w:r>
    </w:p>
    <w:p w:rsidR="005F78FC" w:rsidRDefault="00B42EF3">
      <w:pPr>
        <w:pStyle w:val="Definition-Field2"/>
      </w:pPr>
      <w:r>
        <w:t xml:space="preserve">Office uses a default value of 0.75 </w:t>
      </w:r>
      <w:r>
        <w:t>points for this attribute.</w:t>
      </w:r>
    </w:p>
    <w:p w:rsidR="005F78FC" w:rsidRDefault="00B42EF3">
      <w:pPr>
        <w:pStyle w:val="Definition-Field"/>
      </w:pPr>
      <w:r>
        <w:t xml:space="preserve">ddd. </w:t>
      </w:r>
      <w:r>
        <w:rPr>
          <w:i/>
        </w:rPr>
        <w:t>The standard states that pixels are an absolute unit designator in the description for the margin-left, margin-top, margin-right, margin-bottom, left, top, width, and height properties on the style attribute.</w:t>
      </w:r>
    </w:p>
    <w:p w:rsidR="005F78FC" w:rsidRDefault="00B42EF3">
      <w:pPr>
        <w:pStyle w:val="Definition-Field2"/>
      </w:pPr>
      <w:r>
        <w:t>Office treats p</w:t>
      </w:r>
      <w:r>
        <w:t>ixels as a relative unit designator.</w:t>
      </w:r>
    </w:p>
    <w:p w:rsidR="005F78FC" w:rsidRDefault="00B42EF3">
      <w:pPr>
        <w:pStyle w:val="Definition-Field"/>
      </w:pPr>
      <w:r>
        <w:lastRenderedPageBreak/>
        <w:t xml:space="preserve">eee. </w:t>
      </w:r>
      <w:r>
        <w:rPr>
          <w:i/>
        </w:rPr>
        <w:t>The standard implies that the mso-position-vertical-relative property on the style attribute is optional.</w:t>
      </w:r>
    </w:p>
    <w:p w:rsidR="005F78FC" w:rsidRDefault="00B42EF3">
      <w:pPr>
        <w:pStyle w:val="Definition-Field2"/>
      </w:pPr>
      <w:r>
        <w:t>Office requires this property to be specified when the value of the mso-position-vertical property on the st</w:t>
      </w:r>
      <w:r>
        <w:t>yle attribute is not absolute.</w:t>
      </w:r>
    </w:p>
    <w:p w:rsidR="005F78FC" w:rsidRDefault="00B42EF3">
      <w:pPr>
        <w:pStyle w:val="Definition-Field"/>
      </w:pPr>
      <w:r>
        <w:t xml:space="preserve">fff. </w:t>
      </w:r>
      <w:r>
        <w:rPr>
          <w:i/>
        </w:rPr>
        <w:t>The standard does not state how to interpret a value of 0 on the hrpct attribute.</w:t>
      </w:r>
    </w:p>
    <w:p w:rsidR="005F78FC" w:rsidRDefault="00B42EF3">
      <w:pPr>
        <w:pStyle w:val="Definition-Field2"/>
      </w:pPr>
      <w:r>
        <w:t>Office interprets a value of 0 on this attribute to indicate that the size of the object is not expressed in terms of percentage of the pa</w:t>
      </w:r>
      <w:r>
        <w:t>ge width.</w:t>
      </w:r>
    </w:p>
    <w:p w:rsidR="005F78FC" w:rsidRDefault="00B42EF3">
      <w:pPr>
        <w:pStyle w:val="Definition-Field"/>
      </w:pPr>
      <w:r>
        <w:t xml:space="preserve">ggg. </w:t>
      </w:r>
      <w:r>
        <w:rPr>
          <w:i/>
        </w:rPr>
        <w:t>The standard does not state how to interpret multiple occurrences of a given property on the style attribute.</w:t>
      </w:r>
    </w:p>
    <w:p w:rsidR="005F78FC" w:rsidRDefault="00B42EF3">
      <w:pPr>
        <w:pStyle w:val="Definition-Field2"/>
      </w:pPr>
      <w:r>
        <w:t>Office ignores all but the last occurrence of a property that is specified more than once.</w:t>
      </w:r>
    </w:p>
    <w:p w:rsidR="005F78FC" w:rsidRDefault="00B42EF3">
      <w:pPr>
        <w:pStyle w:val="Definition-Field"/>
      </w:pPr>
      <w:r>
        <w:t xml:space="preserve">hhh. </w:t>
      </w:r>
      <w:r>
        <w:rPr>
          <w:i/>
        </w:rPr>
        <w:t>The standard places no restrictions</w:t>
      </w:r>
      <w:r>
        <w:rPr>
          <w:i/>
        </w:rPr>
        <w:t xml:space="preserve"> on when the units specified in the margin-left, margin-top, left, top, width, and height properties on the style attribute will be used.</w:t>
      </w:r>
    </w:p>
    <w:p w:rsidR="005F78FC" w:rsidRDefault="00B42EF3">
      <w:pPr>
        <w:pStyle w:val="Definition-Field2"/>
      </w:pPr>
      <w:r>
        <w:t>Office ignores the units specified on these properties when the element is a child in a group; the values are consider</w:t>
      </w:r>
      <w:r>
        <w:t>ed to be specified in the coordinate space of the parent, defined by the coordsize and coordorigin attributes.</w:t>
      </w:r>
    </w:p>
    <w:p w:rsidR="005F78FC" w:rsidRDefault="00B42EF3">
      <w:pPr>
        <w:pStyle w:val="Definition-Field"/>
      </w:pPr>
      <w:r>
        <w:t xml:space="preserve">iii. </w:t>
      </w:r>
      <w:r>
        <w:rPr>
          <w:i/>
        </w:rPr>
        <w:t>The standard states that the left property on the style attribute specifies the position of the left of the containing block of the shape re</w:t>
      </w:r>
      <w:r>
        <w:rPr>
          <w:i/>
        </w:rPr>
        <w:t>lative to the element left of it in the flow of the page.</w:t>
      </w:r>
    </w:p>
    <w:p w:rsidR="005F78FC" w:rsidRDefault="00B42EF3">
      <w:pPr>
        <w:pStyle w:val="Definition-Field2"/>
      </w:pPr>
      <w:r>
        <w:t>Office uses this property to specify the position of the left edge of the content block from the left margin or, if the left margin is not set, from the anchor.</w:t>
      </w:r>
    </w:p>
    <w:p w:rsidR="005F78FC" w:rsidRDefault="00B42EF3">
      <w:pPr>
        <w:pStyle w:val="Definition-Field"/>
      </w:pPr>
      <w:r>
        <w:t xml:space="preserve">jjj. </w:t>
      </w:r>
      <w:r>
        <w:rPr>
          <w:i/>
        </w:rPr>
        <w:t>The standard states that the mar</w:t>
      </w:r>
      <w:r>
        <w:rPr>
          <w:i/>
        </w:rPr>
        <w:t>gin-left property on the style attribute specifies the position of the left of the containing block of the shape relative to the shape anchor.</w:t>
      </w:r>
    </w:p>
    <w:p w:rsidR="005F78FC" w:rsidRDefault="00B42EF3">
      <w:pPr>
        <w:pStyle w:val="Definition-Field2"/>
      </w:pPr>
      <w:r>
        <w:t>Office uses this property to specify the position of the left margin of the content block from the anchor.</w:t>
      </w:r>
    </w:p>
    <w:p w:rsidR="005F78FC" w:rsidRDefault="00B42EF3">
      <w:pPr>
        <w:pStyle w:val="Definition-Field"/>
      </w:pPr>
      <w:r>
        <w:t xml:space="preserve">kkk. </w:t>
      </w:r>
      <w:r>
        <w:rPr>
          <w:i/>
        </w:rPr>
        <w:t>T</w:t>
      </w:r>
      <w:r>
        <w:rPr>
          <w:i/>
        </w:rPr>
        <w:t>he standard states that the mso-position-horizontal-relative property on the style attribute allows values of text and char, without restriction.</w:t>
      </w:r>
    </w:p>
    <w:p w:rsidR="005F78FC" w:rsidRDefault="00B42EF3">
      <w:pPr>
        <w:pStyle w:val="Definition-Field2"/>
      </w:pPr>
      <w:r>
        <w:t xml:space="preserve">Office does not allow these values when this property is modifying the mso-left-percent property on the style </w:t>
      </w:r>
      <w:r>
        <w:t>attribute, or when the value of the mso-position-horizontal property on the style attribute is inside or outside.</w:t>
      </w:r>
    </w:p>
    <w:p w:rsidR="005F78FC" w:rsidRDefault="00B42EF3">
      <w:pPr>
        <w:pStyle w:val="Definition-Field"/>
      </w:pPr>
      <w:r>
        <w:t xml:space="preserve">lll. </w:t>
      </w:r>
      <w:r>
        <w:rPr>
          <w:i/>
        </w:rPr>
        <w:t>The standard states that the mso-position-vertical-relative property on the style attribute allows a value of text, without restriction.</w:t>
      </w:r>
    </w:p>
    <w:p w:rsidR="005F78FC" w:rsidRDefault="00B42EF3">
      <w:pPr>
        <w:pStyle w:val="Definition-Field2"/>
      </w:pPr>
      <w:r>
        <w:t>Office only allows this value when this property is modifying the mso-position-vertical property on the style attribute and the value of that property is absolute.</w:t>
      </w:r>
    </w:p>
    <w:p w:rsidR="005F78FC" w:rsidRDefault="00B42EF3">
      <w:pPr>
        <w:pStyle w:val="Definition-Field"/>
      </w:pPr>
      <w:r>
        <w:t xml:space="preserve">mmm. </w:t>
      </w:r>
      <w:r>
        <w:rPr>
          <w:i/>
        </w:rPr>
        <w:t>The standard states that the default value of the spt attribute is 0.</w:t>
      </w:r>
    </w:p>
    <w:p w:rsidR="005F78FC" w:rsidRDefault="00B42EF3">
      <w:pPr>
        <w:pStyle w:val="Definition-Field2"/>
      </w:pPr>
      <w:r>
        <w:t>Office uses a def</w:t>
      </w:r>
      <w:r>
        <w:t>ault value of 19 for the arc element.</w:t>
      </w:r>
    </w:p>
    <w:p w:rsidR="005F78FC" w:rsidRDefault="00B42EF3">
      <w:pPr>
        <w:pStyle w:val="Definition-Field"/>
      </w:pPr>
      <w:r>
        <w:t xml:space="preserve">nnn. </w:t>
      </w:r>
      <w:r>
        <w:rPr>
          <w:i/>
        </w:rPr>
        <w:t>The standard places no restrictions on the relationship between the connectortype and spt attributes.</w:t>
      </w:r>
    </w:p>
    <w:p w:rsidR="005F78FC" w:rsidRDefault="00B42EF3">
      <w:pPr>
        <w:pStyle w:val="Definition-Field2"/>
      </w:pPr>
      <w:r>
        <w:t>Office ignores the connectortype attribute if the spt attribute does not indicate that the element is a connect</w:t>
      </w:r>
      <w:r>
        <w:t>or.</w:t>
      </w:r>
    </w:p>
    <w:p w:rsidR="005F78FC" w:rsidRDefault="00B42EF3">
      <w:pPr>
        <w:pStyle w:val="Definition-Field"/>
      </w:pPr>
      <w:r>
        <w:t xml:space="preserve">ooo. </w:t>
      </w:r>
      <w:r>
        <w:rPr>
          <w:i/>
        </w:rPr>
        <w:t>The standard implies that text can be added to the arc element via the textbox child element.</w:t>
      </w:r>
    </w:p>
    <w:p w:rsidR="005F78FC" w:rsidRDefault="00B42EF3">
      <w:pPr>
        <w:pStyle w:val="Definition-Field2"/>
      </w:pPr>
      <w:r>
        <w:lastRenderedPageBreak/>
        <w:t>Office may generate such content but subsequent open/save operations will not preserve that content on this element.</w:t>
      </w:r>
    </w:p>
    <w:p w:rsidR="005F78FC" w:rsidRDefault="00B42EF3">
      <w:pPr>
        <w:pStyle w:val="Definition-Field"/>
      </w:pPr>
      <w:r>
        <w:t xml:space="preserve">ppp. </w:t>
      </w:r>
      <w:r>
        <w:rPr>
          <w:i/>
        </w:rPr>
        <w:t xml:space="preserve">The standard implies that the </w:t>
      </w:r>
      <w:r>
        <w:rPr>
          <w:i/>
        </w:rPr>
        <w:t>arc element will preserve text wrapping information on the wrap child element.</w:t>
      </w:r>
    </w:p>
    <w:p w:rsidR="005F78FC" w:rsidRDefault="00B42EF3">
      <w:pPr>
        <w:pStyle w:val="Definition-Field2"/>
      </w:pPr>
      <w:r>
        <w:t>Office will not preserve this information on this child element.</w:t>
      </w:r>
    </w:p>
    <w:p w:rsidR="005F78FC" w:rsidRDefault="00B42EF3">
      <w:pPr>
        <w:pStyle w:val="Definition-Field"/>
      </w:pPr>
      <w:r>
        <w:t xml:space="preserve">qqq. </w:t>
      </w:r>
      <w:r>
        <w:rPr>
          <w:i/>
        </w:rPr>
        <w:t>The standard states that the possible values for the ole attribute are defined by the ST_TrueFalseBlank sim</w:t>
      </w:r>
      <w:r>
        <w:rPr>
          <w:i/>
        </w:rPr>
        <w:t>ple type.</w:t>
      </w:r>
    </w:p>
    <w:p w:rsidR="005F78FC" w:rsidRDefault="00B42EF3">
      <w:pPr>
        <w:pStyle w:val="Definition-Field2"/>
      </w:pPr>
      <w:r>
        <w:t>Office considers the existence of the ole attribute, regardless of its value, to indicate a value of true.</w:t>
      </w:r>
    </w:p>
    <w:p w:rsidR="005F78FC" w:rsidRDefault="00B42EF3">
      <w:pPr>
        <w:pStyle w:val="Definition-Field"/>
      </w:pPr>
      <w:r>
        <w:t xml:space="preserve">rrr. </w:t>
      </w:r>
      <w:r>
        <w:rPr>
          <w:i/>
        </w:rPr>
        <w:t>The standard does not state a default value for the insetpen attribute.</w:t>
      </w:r>
    </w:p>
    <w:p w:rsidR="005F78FC" w:rsidRDefault="00B42EF3">
      <w:pPr>
        <w:pStyle w:val="Definition-Field2"/>
      </w:pPr>
      <w:r>
        <w:t>Office uses default value of false for this attribute.</w:t>
      </w:r>
    </w:p>
    <w:p w:rsidR="005F78FC" w:rsidRDefault="00B42EF3">
      <w:pPr>
        <w:pStyle w:val="Definition-Field"/>
      </w:pPr>
      <w:r>
        <w:t xml:space="preserve">sss. </w:t>
      </w:r>
      <w:r>
        <w:rPr>
          <w:i/>
        </w:rPr>
        <w:t>Th</w:t>
      </w:r>
      <w:r>
        <w:rPr>
          <w:i/>
        </w:rPr>
        <w:t>e standard states that the background element is a valid parent for the arc element.</w:t>
      </w:r>
    </w:p>
    <w:p w:rsidR="005F78FC" w:rsidRDefault="00B42EF3">
      <w:pPr>
        <w:pStyle w:val="Definition-Field2"/>
      </w:pPr>
      <w:r>
        <w:t>Office does not support the background element as a parent of the arc element.</w:t>
      </w:r>
    </w:p>
    <w:p w:rsidR="005F78FC" w:rsidRDefault="00B42EF3">
      <w:pPr>
        <w:pStyle w:val="Definition-Field"/>
      </w:pPr>
      <w:r>
        <w:t xml:space="preserve">ttt. </w:t>
      </w:r>
      <w:r>
        <w:rPr>
          <w:i/>
        </w:rPr>
        <w:t>The standard states that the mso-position-horizontal-relative property on the style att</w:t>
      </w:r>
      <w:r>
        <w:rPr>
          <w:i/>
        </w:rPr>
        <w:t>ribute modifies the mso-position-horizontal property on the style attribute.</w:t>
      </w:r>
    </w:p>
    <w:p w:rsidR="005F78FC" w:rsidRDefault="00B42EF3">
      <w:pPr>
        <w:pStyle w:val="Definition-Field2"/>
      </w:pPr>
      <w:r>
        <w:t>Office uses the mso-position-horizontal-relative property to modify either the mso-position-horizontal property or the mso-left-percent property on the style attribute.</w:t>
      </w:r>
    </w:p>
    <w:p w:rsidR="005F78FC" w:rsidRDefault="00B42EF3">
      <w:pPr>
        <w:pStyle w:val="Definition-Field"/>
      </w:pPr>
      <w:r>
        <w:t xml:space="preserve">uuu. </w:t>
      </w:r>
      <w:r>
        <w:rPr>
          <w:i/>
        </w:rPr>
        <w:t>The s</w:t>
      </w:r>
      <w:r>
        <w:rPr>
          <w:i/>
        </w:rPr>
        <w:t>tandard states that the mso-position-vertical-relative property on the style attribute allows a value of line, without restriction.</w:t>
      </w:r>
    </w:p>
    <w:p w:rsidR="005F78FC" w:rsidRDefault="00B42EF3">
      <w:pPr>
        <w:pStyle w:val="Definition-Field2"/>
      </w:pPr>
      <w:r>
        <w:t>Office does not allow this value when this property is modifying the mso-top-percent property on the style attribute.</w:t>
      </w:r>
    </w:p>
    <w:p w:rsidR="005F78FC" w:rsidRDefault="00B42EF3">
      <w:pPr>
        <w:pStyle w:val="Definition-Field"/>
      </w:pPr>
      <w:r>
        <w:t xml:space="preserve">vvv. </w:t>
      </w:r>
      <w:r>
        <w:rPr>
          <w:i/>
        </w:rPr>
        <w:t>T</w:t>
      </w:r>
      <w:r>
        <w:rPr>
          <w:i/>
        </w:rPr>
        <w:t>he standard states that the mso-position-vertical-relative property on the style attribute modifies the mso-position-vertical property on the style attribute.</w:t>
      </w:r>
    </w:p>
    <w:p w:rsidR="005F78FC" w:rsidRDefault="00B42EF3">
      <w:pPr>
        <w:pStyle w:val="Definition-Field2"/>
      </w:pPr>
      <w:r>
        <w:t>Office uses the mso-position-vertical-relative property to modify either the mso-position-vertica</w:t>
      </w:r>
      <w:r>
        <w:t>l property or the mso-top-percent property on the style attribute.</w:t>
      </w:r>
    </w:p>
    <w:p w:rsidR="005F78FC" w:rsidRDefault="00B42EF3">
      <w:pPr>
        <w:pStyle w:val="Definition-Field"/>
      </w:pPr>
      <w:r>
        <w:t xml:space="preserve">www. </w:t>
      </w:r>
      <w:r>
        <w:rPr>
          <w:i/>
        </w:rPr>
        <w:t>The standard states that top-center, middle-center, bottom-center, top-baseline, bottom-baseline, top-center-baseline, and bottom-center-baseline are valid values for the v-text-anchor</w:t>
      </w:r>
      <w:r>
        <w:rPr>
          <w:i/>
        </w:rPr>
        <w:t xml:space="preserve"> property on the style attribute.</w:t>
      </w:r>
    </w:p>
    <w:p w:rsidR="005F78FC" w:rsidRDefault="00B42EF3">
      <w:pPr>
        <w:pStyle w:val="Definition-Field2"/>
      </w:pPr>
      <w:r>
        <w:t>Office does not support these values on this property.</w:t>
      </w:r>
    </w:p>
    <w:p w:rsidR="005F78FC" w:rsidRDefault="00B42EF3">
      <w:pPr>
        <w:pStyle w:val="Definition-Field"/>
      </w:pPr>
      <w:r>
        <w:t xml:space="preserve">xxx. </w:t>
      </w:r>
      <w:r>
        <w:rPr>
          <w:i/>
        </w:rPr>
        <w:t>The standard places no restrictions on when the allowincell attribute is applicable.</w:t>
      </w:r>
    </w:p>
    <w:p w:rsidR="005F78FC" w:rsidRDefault="00B42EF3">
      <w:pPr>
        <w:pStyle w:val="Definition-Field2"/>
      </w:pPr>
      <w:r>
        <w:t xml:space="preserve">Excel and PowerPoint do not support this attribute; Word does not support </w:t>
      </w:r>
      <w:r>
        <w:t>this attribute on inline shapes.</w:t>
      </w:r>
    </w:p>
    <w:p w:rsidR="005F78FC" w:rsidRDefault="00B42EF3">
      <w:pPr>
        <w:pStyle w:val="Definition-Field"/>
      </w:pPr>
      <w:r>
        <w:t xml:space="preserve">yyy. </w:t>
      </w:r>
      <w:r>
        <w:rPr>
          <w:i/>
        </w:rPr>
        <w:t>The standard places no restrictions on when the coordorigin attribute is preserved.</w:t>
      </w:r>
    </w:p>
    <w:p w:rsidR="005F78FC" w:rsidRDefault="00B42EF3">
      <w:pPr>
        <w:pStyle w:val="Definition-Field2"/>
      </w:pPr>
      <w:r>
        <w:t>Office does not preserve this attribute on a shape that references, via the type attribute, a shapetype element with the same coordori</w:t>
      </w:r>
      <w:r>
        <w:t>gin value.</w:t>
      </w:r>
    </w:p>
    <w:p w:rsidR="005F78FC" w:rsidRDefault="00B42EF3">
      <w:pPr>
        <w:pStyle w:val="Definition-Field"/>
      </w:pPr>
      <w:r>
        <w:t xml:space="preserve">zzz. </w:t>
      </w:r>
      <w:r>
        <w:rPr>
          <w:i/>
        </w:rPr>
        <w:t>The standard places no restrictions on when the coordorigin and coordsize attributes are preserved on the arc element.</w:t>
      </w:r>
    </w:p>
    <w:p w:rsidR="005F78FC" w:rsidRDefault="00B42EF3">
      <w:pPr>
        <w:pStyle w:val="Definition-Field2"/>
      </w:pPr>
      <w:r>
        <w:t>Office preserves these attributes only when this element has at least one of the following child elements:  a path with c</w:t>
      </w:r>
      <w:r>
        <w:t>onnection points specified in its connectlocs attribute; a path with a textbox specified in its textboxrect attribute; or handles.</w:t>
      </w:r>
    </w:p>
    <w:p w:rsidR="005F78FC" w:rsidRDefault="00B42EF3">
      <w:pPr>
        <w:pStyle w:val="Definition-Field"/>
      </w:pPr>
      <w:r>
        <w:lastRenderedPageBreak/>
        <w:t xml:space="preserve">aaaa. </w:t>
      </w:r>
      <w:r>
        <w:rPr>
          <w:i/>
        </w:rPr>
        <w:t>The standard states that values of the dgmnodekind attribute are defined by the XML Schema integer datatype.</w:t>
      </w:r>
    </w:p>
    <w:p w:rsidR="005F78FC" w:rsidRDefault="00B42EF3">
      <w:pPr>
        <w:pStyle w:val="Definition-Field2"/>
      </w:pPr>
      <w:r>
        <w:t>Office res</w:t>
      </w:r>
      <w:r>
        <w:t>tricts the values of this attribute to be at least 0 and at most 6, where the values represent regular, root, assistant, co-worker, subordinate, auxiliary, and default, respectively.</w:t>
      </w:r>
    </w:p>
    <w:p w:rsidR="005F78FC" w:rsidRDefault="00B42EF3">
      <w:pPr>
        <w:pStyle w:val="Definition-Field"/>
      </w:pPr>
      <w:r>
        <w:t xml:space="preserve">bbbb. </w:t>
      </w:r>
      <w:r>
        <w:rPr>
          <w:i/>
        </w:rPr>
        <w:t>The standard places no restrictions on when the coordsize attribute</w:t>
      </w:r>
      <w:r>
        <w:rPr>
          <w:i/>
        </w:rPr>
        <w:t xml:space="preserve"> is preserved.</w:t>
      </w:r>
    </w:p>
    <w:p w:rsidR="005F78FC" w:rsidRDefault="00B42EF3">
      <w:pPr>
        <w:pStyle w:val="Definition-Field2"/>
      </w:pPr>
      <w:r>
        <w:t>Office does not preserve this attribute on a shape that references, via the type attribute, a shapetype element with the same coordorigin value.</w:t>
      </w:r>
    </w:p>
    <w:p w:rsidR="005F78FC" w:rsidRDefault="00B42EF3">
      <w:pPr>
        <w:pStyle w:val="Definition-Field"/>
      </w:pPr>
      <w:r>
        <w:t xml:space="preserve">cccc. </w:t>
      </w:r>
      <w:r>
        <w:rPr>
          <w:i/>
        </w:rPr>
        <w:t>The standard places no restrictions on the value of the spt attribute.</w:t>
      </w:r>
    </w:p>
    <w:p w:rsidR="005F78FC" w:rsidRDefault="00B42EF3">
      <w:pPr>
        <w:pStyle w:val="Definition-Field2"/>
      </w:pPr>
      <w:r>
        <w:t>Office requires tha</w:t>
      </w:r>
      <w:r>
        <w:t>t the spt attribute on an arc element have a value of 19.</w:t>
      </w:r>
    </w:p>
    <w:p w:rsidR="005F78FC" w:rsidRDefault="00B42EF3">
      <w:pPr>
        <w:pStyle w:val="Definition-Field"/>
      </w:pPr>
      <w:r>
        <w:t xml:space="preserve">dddd. </w:t>
      </w:r>
      <w:r>
        <w:rPr>
          <w:i/>
        </w:rPr>
        <w:t>The standard places no restrictions on the relationship between the left, margin-left, mso-position-horizontal, and mso-left-percent properties on the style attribute.</w:t>
      </w:r>
    </w:p>
    <w:p w:rsidR="005F78FC" w:rsidRDefault="00B42EF3">
      <w:pPr>
        <w:pStyle w:val="Definition-Field2"/>
      </w:pPr>
      <w:r>
        <w:t xml:space="preserve">Office ignores the left </w:t>
      </w:r>
      <w:r>
        <w:t>and margin-left properties when either the mso-position-horizontal or mso-left-percent property on the style attribute is set, or when an anchor element is present.</w:t>
      </w:r>
    </w:p>
    <w:p w:rsidR="005F78FC" w:rsidRDefault="00B42EF3">
      <w:pPr>
        <w:pStyle w:val="Definition-Field"/>
      </w:pPr>
      <w:r>
        <w:t xml:space="preserve">eeee. </w:t>
      </w:r>
      <w:r>
        <w:rPr>
          <w:i/>
        </w:rPr>
        <w:t>The standard states that the top property on the style attribute specifies the positi</w:t>
      </w:r>
      <w:r>
        <w:rPr>
          <w:i/>
        </w:rPr>
        <w:t>on of the top of the containing block of the shape relative to the element above it in the flow of the page.</w:t>
      </w:r>
    </w:p>
    <w:p w:rsidR="005F78FC" w:rsidRDefault="00B42EF3">
      <w:pPr>
        <w:pStyle w:val="Definition-Field2"/>
      </w:pPr>
      <w:r>
        <w:t>Office uses this property to specify the position of the top edge of the content block from the top margin or, if the top margin is not set, from t</w:t>
      </w:r>
      <w:r>
        <w:t>he anchor.</w:t>
      </w:r>
    </w:p>
    <w:p w:rsidR="005F78FC" w:rsidRDefault="00B42EF3">
      <w:pPr>
        <w:pStyle w:val="Definition-Field"/>
      </w:pPr>
      <w:r>
        <w:t xml:space="preserve">ffff. </w:t>
      </w:r>
      <w:r>
        <w:rPr>
          <w:i/>
        </w:rPr>
        <w:t>The standard states that the margin-top property on the style attribute specifies the position of the left of the containing block of the shape relative to the shape anchor.</w:t>
      </w:r>
    </w:p>
    <w:p w:rsidR="005F78FC" w:rsidRDefault="00B42EF3">
      <w:pPr>
        <w:pStyle w:val="Definition-Field2"/>
      </w:pPr>
      <w:r>
        <w:t>Office uses this property to specify the position of the top marg</w:t>
      </w:r>
      <w:r>
        <w:t>in of the content block from the anchor.</w:t>
      </w:r>
    </w:p>
    <w:p w:rsidR="005F78FC" w:rsidRDefault="00B42EF3">
      <w:pPr>
        <w:pStyle w:val="Definition-Field"/>
      </w:pPr>
      <w:r>
        <w:t xml:space="preserve">gggg. </w:t>
      </w:r>
      <w:r>
        <w:rPr>
          <w:i/>
        </w:rPr>
        <w:t>The standard states that the values of the id attribute are defined by the XML Schema string datatype.</w:t>
      </w:r>
    </w:p>
    <w:p w:rsidR="005F78FC" w:rsidRDefault="00B42EF3">
      <w:pPr>
        <w:pStyle w:val="Definition-Field2"/>
      </w:pPr>
      <w:r>
        <w:t>Office defines the values of this attribute with the ST_ObjID (</w:t>
      </w:r>
      <w:hyperlink w:anchor="Section_bf23da8a2e1d4d268eb40ba002bd78f6">
        <w:r>
          <w:rPr>
            <w:rStyle w:val="Hyperlink"/>
          </w:rPr>
          <w:t>§3.9.3, ST_ObjID</w:t>
        </w:r>
      </w:hyperlink>
      <w:r>
        <w:t>) simple type.</w:t>
      </w:r>
    </w:p>
    <w:p w:rsidR="005F78FC" w:rsidRDefault="00B42EF3">
      <w:pPr>
        <w:pStyle w:val="Definition-Field"/>
      </w:pPr>
      <w:r>
        <w:t xml:space="preserve">hhhh. </w:t>
      </w:r>
      <w:r>
        <w:rPr>
          <w:i/>
        </w:rPr>
        <w:t>The standard states that the values of the spid attribute are defined by the XML Schema string datatype.</w:t>
      </w:r>
    </w:p>
    <w:p w:rsidR="005F78FC" w:rsidRDefault="00B42EF3">
      <w:pPr>
        <w:pStyle w:val="Definition-Field2"/>
      </w:pPr>
      <w:r>
        <w:t>Office defines the values of this attribute with the ST_SpId (</w:t>
      </w:r>
      <w:hyperlink w:anchor="Section_97429d90d53344dfb1334f7a0171cae4">
        <w:r>
          <w:rPr>
            <w:rStyle w:val="Hyperlink"/>
          </w:rPr>
          <w:t>§3.9.6, ST_SpId</w:t>
        </w:r>
      </w:hyperlink>
      <w:r>
        <w:t>) simple type.</w:t>
      </w:r>
    </w:p>
    <w:p w:rsidR="005F78FC" w:rsidRDefault="00B42EF3">
      <w:pPr>
        <w:pStyle w:val="Definition-Field"/>
      </w:pPr>
      <w:r>
        <w:t xml:space="preserve">iiii. </w:t>
      </w:r>
      <w:r>
        <w:rPr>
          <w:i/>
        </w:rPr>
        <w:t>The standard states that the height property on the style attribute specifies the height of the containing block of the shape.</w:t>
      </w:r>
    </w:p>
    <w:p w:rsidR="005F78FC" w:rsidRDefault="00B42EF3">
      <w:pPr>
        <w:pStyle w:val="Definition-Field2"/>
      </w:pPr>
      <w:r>
        <w:t>Office uses this property to specify the height of the content</w:t>
      </w:r>
      <w:r>
        <w:t xml:space="preserve"> block.</w:t>
      </w:r>
    </w:p>
    <w:p w:rsidR="005F78FC" w:rsidRDefault="00B42EF3">
      <w:pPr>
        <w:pStyle w:val="Definition-Field"/>
      </w:pPr>
      <w:r>
        <w:t xml:space="preserve">jjjj. </w:t>
      </w:r>
      <w:r>
        <w:rPr>
          <w:i/>
        </w:rPr>
        <w:t>The standard states that the width property on the style attribute specifies the width of the containing block of the shape.</w:t>
      </w:r>
    </w:p>
    <w:p w:rsidR="005F78FC" w:rsidRDefault="00B42EF3">
      <w:pPr>
        <w:pStyle w:val="Definition-Field2"/>
      </w:pPr>
      <w:r>
        <w:t>Office uses this property to specify the width of the content block.</w:t>
      </w:r>
    </w:p>
    <w:p w:rsidR="005F78FC" w:rsidRDefault="00B42EF3">
      <w:pPr>
        <w:pStyle w:val="Definition-Field"/>
      </w:pPr>
      <w:r>
        <w:t xml:space="preserve">kkkk. </w:t>
      </w:r>
      <w:r>
        <w:rPr>
          <w:i/>
        </w:rPr>
        <w:t xml:space="preserve">The standard does not mention the gfxdata </w:t>
      </w:r>
      <w:r>
        <w:rPr>
          <w:i/>
        </w:rPr>
        <w:t>attribute.</w:t>
      </w:r>
    </w:p>
    <w:p w:rsidR="005F78FC" w:rsidRDefault="00B42EF3">
      <w:pPr>
        <w:pStyle w:val="Definition-Field2"/>
      </w:pPr>
      <w:r>
        <w:t>Office uses an gfxdata attribute. The definition is the same as the gfxdata attribute defined in Section 14.1.2.19.</w:t>
      </w:r>
    </w:p>
    <w:p w:rsidR="005F78FC" w:rsidRDefault="00B42EF3">
      <w:pPr>
        <w:pStyle w:val="Heading3"/>
      </w:pPr>
      <w:bookmarkStart w:id="3592" w:name="section_96eb7103c6714831928122e64798c2e5"/>
      <w:bookmarkStart w:id="3593" w:name="_Toc69879569"/>
      <w:r>
        <w:lastRenderedPageBreak/>
        <w:t>Part 4 Section 19.1.2.2, background (Document Background)</w:t>
      </w:r>
      <w:bookmarkEnd w:id="3592"/>
      <w:bookmarkEnd w:id="3593"/>
      <w:r>
        <w:fldChar w:fldCharType="begin"/>
      </w:r>
      <w:r>
        <w:instrText xml:space="preserve"> XE "background (Document Background)" </w:instrText>
      </w:r>
      <w:r>
        <w:fldChar w:fldCharType="end"/>
      </w:r>
    </w:p>
    <w:p w:rsidR="005F78FC" w:rsidRDefault="00B42EF3">
      <w:pPr>
        <w:pStyle w:val="Definition-Field2"/>
      </w:pPr>
      <w:r>
        <w:rPr>
          <w:i/>
        </w:rPr>
        <w:t>For additional notes that appl</w:t>
      </w:r>
      <w:r>
        <w:rPr>
          <w:i/>
        </w:rPr>
        <w:t xml:space="preserve">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d019f23f597743d8b46399ba8f6784eb">
        <w:r>
          <w:rPr>
            <w:rStyle w:val="Hyperlink"/>
          </w:rPr>
          <w:t>arc, §19.1.2.1(gggg)</w:t>
        </w:r>
      </w:hyperlink>
      <w:r>
        <w:rPr>
          <w:i/>
        </w:rPr>
        <w:t>.</w:t>
      </w:r>
    </w:p>
    <w:p w:rsidR="005F78FC" w:rsidRDefault="00B42EF3">
      <w:pPr>
        <w:pStyle w:val="Definition-Field"/>
      </w:pPr>
      <w:r>
        <w:t xml:space="preserve">a.   </w:t>
      </w:r>
      <w:r>
        <w:rPr>
          <w:i/>
        </w:rPr>
        <w:t>The standard indicates how the targetscreensize attribute is used.</w:t>
      </w:r>
    </w:p>
    <w:p w:rsidR="005F78FC" w:rsidRDefault="00B42EF3">
      <w:pPr>
        <w:pStyle w:val="Definition-Field2"/>
      </w:pPr>
      <w:r>
        <w:t>Office does not preserve the current value of the targetscreensize attribute and always writes 800,60</w:t>
      </w:r>
      <w:r>
        <w:t>0 on file save.</w:t>
      </w:r>
    </w:p>
    <w:p w:rsidR="005F78FC" w:rsidRDefault="00B42EF3">
      <w:pPr>
        <w:pStyle w:val="Definition-Field"/>
      </w:pPr>
      <w:r>
        <w:t xml:space="preserve">b.   </w:t>
      </w:r>
      <w:r>
        <w:rPr>
          <w:i/>
        </w:rPr>
        <w:t>The standard states that the name of the attribute that specifies whether the closed path will be filled is filled.</w:t>
      </w:r>
    </w:p>
    <w:p w:rsidR="005F78FC" w:rsidRDefault="00B42EF3">
      <w:pPr>
        <w:pStyle w:val="Definition-Field2"/>
      </w:pPr>
      <w:r>
        <w:t>Office uses the name fill for this attribute.</w:t>
      </w:r>
    </w:p>
    <w:p w:rsidR="005F78FC" w:rsidRDefault="00B42EF3">
      <w:pPr>
        <w:pStyle w:val="Definition-Field"/>
      </w:pPr>
      <w:r>
        <w:t xml:space="preserve">c.   </w:t>
      </w:r>
      <w:r>
        <w:rPr>
          <w:i/>
        </w:rPr>
        <w:t xml:space="preserve">The standard states that the values of the id attribute are defined </w:t>
      </w:r>
      <w:r>
        <w:rPr>
          <w:i/>
        </w:rPr>
        <w:t>by the XML Schema string datatype.</w:t>
      </w:r>
    </w:p>
    <w:p w:rsidR="005F78FC" w:rsidRDefault="00B42EF3">
      <w:pPr>
        <w:pStyle w:val="Definition-Field2"/>
      </w:pPr>
      <w:r>
        <w:t>Office defines the values of this attribute with the ST_ObjID (</w:t>
      </w:r>
      <w:hyperlink w:anchor="Section_bf23da8a2e1d4d268eb40ba002bd78f6">
        <w:r>
          <w:rPr>
            <w:rStyle w:val="Hyperlink"/>
          </w:rPr>
          <w:t>§3.9.3, ST_ObjID</w:t>
        </w:r>
      </w:hyperlink>
      <w:r>
        <w:t>) simple type.</w:t>
      </w:r>
    </w:p>
    <w:p w:rsidR="005F78FC" w:rsidRDefault="00B42EF3">
      <w:pPr>
        <w:pStyle w:val="Heading3"/>
      </w:pPr>
      <w:bookmarkStart w:id="3594" w:name="section_f5d19ada9960486786e99c187b7c8744"/>
      <w:bookmarkStart w:id="3595" w:name="_Toc69879570"/>
      <w:r>
        <w:t>Part 4 Section 19.1.2.3, curve (Bezier Curve)</w:t>
      </w:r>
      <w:bookmarkEnd w:id="3594"/>
      <w:bookmarkEnd w:id="3595"/>
      <w:r>
        <w:fldChar w:fldCharType="begin"/>
      </w:r>
      <w:r>
        <w:instrText xml:space="preserve"> XE "curve (Bezier </w:instrText>
      </w:r>
      <w:r>
        <w:instrText xml:space="preserve">Curve)"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 xml:space="preserve">; </w:t>
      </w:r>
      <w:hyperlink w:anchor="Section_d019f23f597743d8b46399ba8f6784eb">
        <w:r>
          <w:rPr>
            <w:rStyle w:val="Hyperlink"/>
          </w:rPr>
          <w:t>arc, §19.1.</w:t>
        </w:r>
        <w:r>
          <w:rPr>
            <w:rStyle w:val="Hyperlink"/>
          </w:rPr>
          <w:t>2.1(c-mm,oo-xx,ccc-lll,nnn,qqq, rrr,ttt-yyy,aaaa, bbbb,dddd-jjjj)</w:t>
        </w:r>
      </w:hyperlink>
      <w:r>
        <w:rPr>
          <w:i/>
        </w:rPr>
        <w:t xml:space="preserve">; </w:t>
      </w:r>
      <w:hyperlink w:anchor="Section_65100e2931e94e27972d9bf589fea5be">
        <w:r>
          <w:rPr>
            <w:rStyle w:val="Hyperlink"/>
          </w:rPr>
          <w:t>image, §19.1.2.10(b-f)</w:t>
        </w:r>
      </w:hyperlink>
      <w:r>
        <w:rPr>
          <w:i/>
        </w:rPr>
        <w:t>.</w:t>
      </w:r>
    </w:p>
    <w:p w:rsidR="005F78FC" w:rsidRDefault="00B42EF3">
      <w:pPr>
        <w:pStyle w:val="Definition-Field"/>
      </w:pPr>
      <w:r>
        <w:t xml:space="preserve">a.   </w:t>
      </w:r>
      <w:r>
        <w:rPr>
          <w:i/>
        </w:rPr>
        <w:t>The standard indicates the default value of the control1 attribute is "10,10".</w:t>
      </w:r>
    </w:p>
    <w:p w:rsidR="005F78FC" w:rsidRDefault="00B42EF3">
      <w:pPr>
        <w:pStyle w:val="Definition-Field2"/>
      </w:pPr>
      <w:r>
        <w:t>Office uses a defa</w:t>
      </w:r>
      <w:r>
        <w:t>ult value of "0,0" for the control1 attribute.</w:t>
      </w:r>
    </w:p>
    <w:p w:rsidR="005F78FC" w:rsidRDefault="00B42EF3">
      <w:pPr>
        <w:pStyle w:val="Definition-Field"/>
      </w:pPr>
      <w:r>
        <w:t xml:space="preserve">b.   </w:t>
      </w:r>
      <w:r>
        <w:rPr>
          <w:i/>
        </w:rPr>
        <w:t>The standard indicates the default value of the control2 attribute is "20,20".</w:t>
      </w:r>
    </w:p>
    <w:p w:rsidR="005F78FC" w:rsidRDefault="00B42EF3">
      <w:pPr>
        <w:pStyle w:val="Definition-Field2"/>
      </w:pPr>
      <w:r>
        <w:t>Office uses a default value of "0,0" for the control2 attribute.</w:t>
      </w:r>
    </w:p>
    <w:p w:rsidR="005F78FC" w:rsidRDefault="00B42EF3">
      <w:pPr>
        <w:pStyle w:val="Definition-Field"/>
      </w:pPr>
      <w:r>
        <w:t xml:space="preserve">c.   </w:t>
      </w:r>
      <w:r>
        <w:rPr>
          <w:i/>
        </w:rPr>
        <w:t xml:space="preserve">The standard indicates the default value of the to </w:t>
      </w:r>
      <w:r>
        <w:rPr>
          <w:i/>
        </w:rPr>
        <w:t>attribute is "30,20".</w:t>
      </w:r>
    </w:p>
    <w:p w:rsidR="005F78FC" w:rsidRDefault="00B42EF3">
      <w:pPr>
        <w:pStyle w:val="Definition-Field2"/>
      </w:pPr>
      <w:r>
        <w:t>Office uses a default value of "0,0" for the to attribute.</w:t>
      </w:r>
    </w:p>
    <w:p w:rsidR="005F78FC" w:rsidRDefault="00B42EF3">
      <w:pPr>
        <w:pStyle w:val="Definition-Field"/>
      </w:pPr>
      <w:r>
        <w:t xml:space="preserve">d.   </w:t>
      </w:r>
      <w:r>
        <w:rPr>
          <w:i/>
        </w:rPr>
        <w:t>The standard states that the line, polyline, and curve elements only ignore the top, left, width, and height properties on the style attribute.</w:t>
      </w:r>
    </w:p>
    <w:p w:rsidR="005F78FC" w:rsidRDefault="00B42EF3">
      <w:pPr>
        <w:pStyle w:val="Definition-Field2"/>
      </w:pPr>
      <w:r>
        <w:t>Office also ignores the ma</w:t>
      </w:r>
      <w:r>
        <w:t>rgin-top, margin-left, mso-left-percent, mso-position-horizontal, mso-position-horizontal-relative, mso-top-percent, mso-position-vertical and mso-position-vertical-relative properties when applied to these elements.</w:t>
      </w:r>
    </w:p>
    <w:p w:rsidR="005F78FC" w:rsidRDefault="00B42EF3">
      <w:pPr>
        <w:pStyle w:val="Definition-Field"/>
      </w:pPr>
      <w:r>
        <w:t xml:space="preserve">e.   </w:t>
      </w:r>
      <w:r>
        <w:rPr>
          <w:i/>
        </w:rPr>
        <w:t>The standard indicates that backgr</w:t>
      </w:r>
      <w:r>
        <w:rPr>
          <w:i/>
        </w:rPr>
        <w:t>ound is a parent element for the element curve.</w:t>
      </w:r>
    </w:p>
    <w:p w:rsidR="005F78FC" w:rsidRDefault="00B42EF3">
      <w:pPr>
        <w:pStyle w:val="Definition-Field2"/>
      </w:pPr>
      <w:r>
        <w:t>In Office the background element is not supported as a parent for the element curve.</w:t>
      </w:r>
    </w:p>
    <w:p w:rsidR="005F78FC" w:rsidRDefault="00B42EF3">
      <w:pPr>
        <w:pStyle w:val="Definition-Field"/>
      </w:pPr>
      <w:r>
        <w:t xml:space="preserve">f.   </w:t>
      </w:r>
      <w:r>
        <w:rPr>
          <w:i/>
        </w:rPr>
        <w:t>The standard places no restrictions on the value of the spt attribute.</w:t>
      </w:r>
    </w:p>
    <w:p w:rsidR="005F78FC" w:rsidRDefault="00B42EF3">
      <w:pPr>
        <w:pStyle w:val="Definition-Field2"/>
      </w:pPr>
      <w:r>
        <w:t>Office requires that the spt attribute on a cur</w:t>
      </w:r>
      <w:r>
        <w:t>ve element have a value of 0. It is an error to specify this attribute as anything other than the default value, except for the shape and shapetype elements which can handle any valid spt value.</w:t>
      </w:r>
    </w:p>
    <w:p w:rsidR="005F78FC" w:rsidRDefault="00B42EF3">
      <w:pPr>
        <w:pStyle w:val="Definition-Field"/>
      </w:pPr>
      <w:r>
        <w:t xml:space="preserve">g.   </w:t>
      </w:r>
      <w:r>
        <w:rPr>
          <w:i/>
        </w:rPr>
        <w:t>The standard states that chromakey and opacity are valid</w:t>
      </w:r>
      <w:r>
        <w:rPr>
          <w:i/>
        </w:rPr>
        <w:t xml:space="preserve"> attributes on the curve element.</w:t>
      </w:r>
    </w:p>
    <w:p w:rsidR="005F78FC" w:rsidRDefault="00B42EF3">
      <w:pPr>
        <w:pStyle w:val="Definition-Field2"/>
      </w:pPr>
      <w:r>
        <w:t>Office does not support these attributes on this element.</w:t>
      </w:r>
    </w:p>
    <w:p w:rsidR="005F78FC" w:rsidRDefault="00B42EF3">
      <w:pPr>
        <w:pStyle w:val="Definition-Field"/>
      </w:pPr>
      <w:r>
        <w:t xml:space="preserve">h.   </w:t>
      </w:r>
      <w:r>
        <w:rPr>
          <w:i/>
        </w:rPr>
        <w:t>The standard does not mention the gfxdata attribute.</w:t>
      </w:r>
    </w:p>
    <w:p w:rsidR="005F78FC" w:rsidRDefault="00B42EF3">
      <w:pPr>
        <w:pStyle w:val="Definition-Field2"/>
      </w:pPr>
      <w:r>
        <w:lastRenderedPageBreak/>
        <w:t>Office uses an gfxdata attribute. The definition is the same as the gfxdata attribute defined in Section 1</w:t>
      </w:r>
      <w:r>
        <w:t>4.1.2.19.</w:t>
      </w:r>
    </w:p>
    <w:p w:rsidR="005F78FC" w:rsidRDefault="00B42EF3">
      <w:pPr>
        <w:pStyle w:val="Heading3"/>
      </w:pPr>
      <w:bookmarkStart w:id="3596" w:name="section_d0bb89e5efb44aeab0185307847172e1"/>
      <w:bookmarkStart w:id="3597" w:name="_Toc69879571"/>
      <w:r>
        <w:t>Part 4 Section 19.1.2.4, f (Single Formula)</w:t>
      </w:r>
      <w:bookmarkEnd w:id="3596"/>
      <w:bookmarkEnd w:id="3597"/>
      <w:r>
        <w:fldChar w:fldCharType="begin"/>
      </w:r>
      <w:r>
        <w:instrText xml:space="preserve"> XE "f (Single Formula)" </w:instrText>
      </w:r>
      <w:r>
        <w:fldChar w:fldCharType="end"/>
      </w:r>
    </w:p>
    <w:p w:rsidR="005F78FC" w:rsidRDefault="00B42EF3">
      <w:pPr>
        <w:pStyle w:val="Definition-Field"/>
      </w:pPr>
      <w:r>
        <w:t xml:space="preserve">a.   </w:t>
      </w:r>
      <w:r>
        <w:rPr>
          <w:i/>
        </w:rPr>
        <w:t>The standard indicates the formula for the mod operation of the eqn attribute is the square root of (v^2 + P1^2 + P1^2).</w:t>
      </w:r>
    </w:p>
    <w:p w:rsidR="005F78FC" w:rsidRDefault="00B42EF3">
      <w:pPr>
        <w:pStyle w:val="Definition-Field2"/>
      </w:pPr>
      <w:r>
        <w:t>Office implements the mod operation of the eqn at</w:t>
      </w:r>
      <w:r>
        <w:t>tribute as the square root of (v^2 + P1^2 + P2^2).</w:t>
      </w:r>
    </w:p>
    <w:p w:rsidR="005F78FC" w:rsidRDefault="00B42EF3">
      <w:pPr>
        <w:pStyle w:val="Definition-Field"/>
      </w:pPr>
      <w:r>
        <w:t xml:space="preserve">b.   </w:t>
      </w:r>
      <w:r>
        <w:rPr>
          <w:i/>
        </w:rPr>
        <w:t>The standard indicates the set of valid arguments for the operations in the eqn attribute.</w:t>
      </w:r>
    </w:p>
    <w:p w:rsidR="005F78FC" w:rsidRDefault="00B42EF3">
      <w:r>
        <w:t>Office supports an additional value lineDrawn as an argument for formula evaluation:</w:t>
      </w:r>
    </w:p>
    <w:tbl>
      <w:tblPr>
        <w:tblStyle w:val="Table-ShadedHeader"/>
        <w:tblW w:w="0" w:type="auto"/>
        <w:tblLook w:val="04A0" w:firstRow="1" w:lastRow="0" w:firstColumn="1" w:lastColumn="0" w:noHBand="0" w:noVBand="1"/>
      </w:tblPr>
      <w:tblGrid>
        <w:gridCol w:w="1034"/>
        <w:gridCol w:w="8441"/>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rPr>
                <w:i/>
              </w:rPr>
              <w:t>Value</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rPr>
                <w:i/>
              </w:rPr>
              <w:t>lineDrawn</w:t>
            </w:r>
          </w:p>
        </w:tc>
        <w:tc>
          <w:tcPr>
            <w:tcW w:w="0" w:type="auto"/>
            <w:vAlign w:val="center"/>
          </w:tcPr>
          <w:p w:rsidR="005F78FC" w:rsidRDefault="00B42EF3">
            <w:pPr>
              <w:pStyle w:val="TableBodyText"/>
            </w:pPr>
            <w:r>
              <w:t>1 if the shape is stroked, 0 if it is not.  A shape is not stroked if one of the following conditions is true:</w:t>
            </w:r>
          </w:p>
          <w:p w:rsidR="005F78FC" w:rsidRDefault="005F78FC">
            <w:pPr>
              <w:pStyle w:val="TableBodyText"/>
            </w:pPr>
          </w:p>
          <w:p w:rsidR="005F78FC" w:rsidRDefault="00B42EF3">
            <w:pPr>
              <w:pStyle w:val="ListParagraph"/>
              <w:numPr>
                <w:ilvl w:val="0"/>
                <w:numId w:val="169"/>
              </w:numPr>
            </w:pPr>
            <w:r>
              <w:t xml:space="preserve">The value of the </w:t>
            </w:r>
            <w:r>
              <w:rPr>
                <w:b/>
              </w:rPr>
              <w:t>on</w:t>
            </w:r>
            <w:r>
              <w:t xml:space="preserve"> attribute of the </w:t>
            </w:r>
            <w:r>
              <w:rPr>
                <w:b/>
              </w:rPr>
              <w:t>stroke</w:t>
            </w:r>
            <w:r>
              <w:t xml:space="preserve"> element ("</w:t>
            </w:r>
            <w:hyperlink r:id="rId243">
              <w:r>
                <w:rPr>
                  <w:rStyle w:val="Hyperlink"/>
                </w:rPr>
                <w:t>[ISO/IEC-29500-4]</w:t>
              </w:r>
            </w:hyperlink>
            <w:r>
              <w:t xml:space="preserve"> §19.1.2.21; stroke (Line Stroke Settings)") is </w:t>
            </w:r>
            <w:r>
              <w:rPr>
                <w:i/>
              </w:rPr>
              <w:t>false</w:t>
            </w:r>
            <w:r>
              <w:t>.</w:t>
            </w:r>
          </w:p>
          <w:p w:rsidR="005F78FC" w:rsidRDefault="00B42EF3">
            <w:pPr>
              <w:pStyle w:val="ListParagraph"/>
              <w:numPr>
                <w:ilvl w:val="0"/>
                <w:numId w:val="170"/>
              </w:numPr>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5F78FC" w:rsidRDefault="00B42EF3">
            <w:pPr>
              <w:pStyle w:val="ListParagraph"/>
              <w:numPr>
                <w:ilvl w:val="0"/>
                <w:numId w:val="171"/>
              </w:numPr>
            </w:pPr>
            <w:r>
              <w:t xml:space="preserve">The </w:t>
            </w:r>
            <w:r>
              <w:rPr>
                <w:b/>
              </w:rPr>
              <w:t>on</w:t>
            </w:r>
            <w:r>
              <w:t xml:space="preserve"> attribute of the </w:t>
            </w:r>
            <w:r>
              <w:rPr>
                <w:b/>
              </w:rPr>
              <w:t>stroke</w:t>
            </w:r>
            <w:r>
              <w:t xml:space="preserve"> element is absent, the shape’s </w:t>
            </w:r>
            <w:r>
              <w:rPr>
                <w:b/>
              </w:rPr>
              <w:t>stroked</w:t>
            </w:r>
            <w:r>
              <w:t xml:space="preserve"> attribut</w:t>
            </w:r>
            <w:r>
              <w:t xml:space="preserve">e is absent and the value of the </w:t>
            </w:r>
            <w:r>
              <w:rPr>
                <w:b/>
              </w:rPr>
              <w:t>stroked</w:t>
            </w:r>
            <w:r>
              <w:t xml:space="preserve"> attribute of the </w:t>
            </w:r>
            <w:r>
              <w:rPr>
                <w:b/>
              </w:rPr>
              <w:t>shapetype</w:t>
            </w:r>
            <w:r>
              <w:t xml:space="preserve"> element ("[ISO/IEC-29500-4] §19.1.2.20; shapetype (Shape Template)") is </w:t>
            </w:r>
            <w:r>
              <w:rPr>
                <w:i/>
              </w:rPr>
              <w:t>false</w:t>
            </w:r>
            <w:r>
              <w:t>.</w:t>
            </w:r>
          </w:p>
          <w:p w:rsidR="005F78FC" w:rsidRDefault="005F78FC">
            <w:pPr>
              <w:pStyle w:val="TableBodyText"/>
            </w:pPr>
          </w:p>
        </w:tc>
      </w:tr>
    </w:tbl>
    <w:p w:rsidR="005F78FC" w:rsidRDefault="005F78FC"/>
    <w:p w:rsidR="005F78FC" w:rsidRDefault="00B42EF3">
      <w:pPr>
        <w:pStyle w:val="Definition-Field"/>
      </w:pPr>
      <w:r>
        <w:t xml:space="preserve">c.   </w:t>
      </w:r>
      <w:r>
        <w:rPr>
          <w:i/>
        </w:rPr>
        <w:t>The standard indicates that hasfill is a valid argument for the operations in the eqn attribute.</w:t>
      </w:r>
    </w:p>
    <w:p w:rsidR="005F78FC" w:rsidRDefault="00B42EF3">
      <w:pPr>
        <w:pStyle w:val="Definition-Field2"/>
      </w:pPr>
      <w:r>
        <w:t>Offi</w:t>
      </w:r>
      <w:r>
        <w:t>ce does not support the hasfill argument for the operations in the eqn attribute.</w:t>
      </w:r>
    </w:p>
    <w:p w:rsidR="005F78FC" w:rsidRDefault="00B42EF3">
      <w:pPr>
        <w:pStyle w:val="Definition-Field"/>
      </w:pPr>
      <w:r>
        <w:t xml:space="preserve">d.   </w:t>
      </w:r>
      <w:r>
        <w:rPr>
          <w:i/>
        </w:rPr>
        <w:t>The standard indicates that hasstroke is a valid argument for the operations in the eqn attribute.</w:t>
      </w:r>
    </w:p>
    <w:p w:rsidR="005F78FC" w:rsidRDefault="00B42EF3">
      <w:pPr>
        <w:pStyle w:val="Definition-Field2"/>
      </w:pPr>
      <w:r>
        <w:t>Office does not support the hasstroke argument for the operations in t</w:t>
      </w:r>
      <w:r>
        <w:t>he eqn attribute.</w:t>
      </w:r>
    </w:p>
    <w:p w:rsidR="005F78FC" w:rsidRDefault="00B42EF3">
      <w:pPr>
        <w:pStyle w:val="Heading3"/>
      </w:pPr>
      <w:bookmarkStart w:id="3598" w:name="section_98273a75a1e646669936485b682353ca"/>
      <w:bookmarkStart w:id="3599" w:name="_Toc69879572"/>
      <w:r>
        <w:t>Part 4 Section 19.1.2.5, fill (Shape Fill Properties)</w:t>
      </w:r>
      <w:bookmarkEnd w:id="3598"/>
      <w:bookmarkEnd w:id="3599"/>
      <w:r>
        <w:fldChar w:fldCharType="begin"/>
      </w:r>
      <w:r>
        <w:instrText xml:space="preserve"> XE "fill (Shape Fill Properties)"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background, §19.1.2.2(c)</w:t>
        </w:r>
      </w:hyperlink>
      <w:r>
        <w:rPr>
          <w:i/>
        </w:rPr>
        <w:t xml:space="preserve">; </w:t>
      </w:r>
      <w:hyperlink w:anchor="Section_5dab8b917bfb495a9ed59068ef74998d">
        <w:r>
          <w:rPr>
            <w:rStyle w:val="Hyperlink"/>
          </w:rPr>
          <w:t>group, §19.1.2.7(a)</w:t>
        </w:r>
      </w:hyperlink>
      <w:r>
        <w:rPr>
          <w:i/>
        </w:rPr>
        <w:t>.</w:t>
      </w:r>
    </w:p>
    <w:p w:rsidR="005F78FC" w:rsidRDefault="00B42EF3">
      <w:pPr>
        <w:pStyle w:val="Definition-Field"/>
      </w:pPr>
      <w:r>
        <w:t xml:space="preserve">a.   </w:t>
      </w:r>
      <w:r>
        <w:rPr>
          <w:i/>
        </w:rPr>
        <w:t xml:space="preserve">The standard does not define a default value for the </w:t>
      </w:r>
      <w:r>
        <w:rPr>
          <w:i/>
        </w:rPr>
        <w:t>detectmouseclick attribute.</w:t>
      </w:r>
    </w:p>
    <w:p w:rsidR="005F78FC" w:rsidRDefault="00B42EF3">
      <w:pPr>
        <w:pStyle w:val="Definition-Field2"/>
      </w:pPr>
      <w:r>
        <w:t>Office uses a default value of false for the detectmouseclick attribute.</w:t>
      </w:r>
    </w:p>
    <w:p w:rsidR="005F78FC" w:rsidRDefault="00B42EF3">
      <w:pPr>
        <w:pStyle w:val="Definition-Field"/>
      </w:pPr>
      <w:r>
        <w:t xml:space="preserve">b.   </w:t>
      </w:r>
      <w:r>
        <w:rPr>
          <w:i/>
        </w:rPr>
        <w:t>The standard indicates how the alignshape attribute is used.</w:t>
      </w:r>
    </w:p>
    <w:p w:rsidR="005F78FC" w:rsidRDefault="00B42EF3">
      <w:pPr>
        <w:pStyle w:val="Definition-Field2"/>
      </w:pPr>
      <w:r>
        <w:t>Office also requires that the value of the type attribute is tile if the alignshape attri</w:t>
      </w:r>
      <w:r>
        <w:t>bute is used.</w:t>
      </w:r>
    </w:p>
    <w:p w:rsidR="005F78FC" w:rsidRDefault="00B42EF3">
      <w:pPr>
        <w:pStyle w:val="Definition-Field"/>
      </w:pPr>
      <w:r>
        <w:t xml:space="preserve">c.   </w:t>
      </w:r>
      <w:r>
        <w:rPr>
          <w:i/>
        </w:rPr>
        <w:t>The standard does not specify bounds for the angle attribute.</w:t>
      </w:r>
    </w:p>
    <w:p w:rsidR="005F78FC" w:rsidRDefault="00B42EF3">
      <w:pPr>
        <w:pStyle w:val="Definition-Field2"/>
      </w:pPr>
      <w:r>
        <w:t>Office specifies the bounds for the angle attribute of -32767 and 32767.</w:t>
      </w:r>
    </w:p>
    <w:p w:rsidR="005F78FC" w:rsidRDefault="00B42EF3">
      <w:pPr>
        <w:pStyle w:val="Definition-Field"/>
      </w:pPr>
      <w:r>
        <w:lastRenderedPageBreak/>
        <w:t xml:space="preserve">d.   </w:t>
      </w:r>
      <w:r>
        <w:rPr>
          <w:i/>
        </w:rPr>
        <w:t>The standard states that o:relid is a valid attribute.</w:t>
      </w:r>
    </w:p>
    <w:p w:rsidR="005F78FC" w:rsidRDefault="00B42EF3">
      <w:pPr>
        <w:pStyle w:val="Definition-Field2"/>
      </w:pPr>
      <w:r>
        <w:t>Office does not support this attribute.</w:t>
      </w:r>
    </w:p>
    <w:p w:rsidR="005F78FC" w:rsidRDefault="00B42EF3">
      <w:pPr>
        <w:pStyle w:val="Definition-Field"/>
      </w:pPr>
      <w:r>
        <w:t xml:space="preserve">e.   </w:t>
      </w:r>
      <w:r>
        <w:rPr>
          <w:i/>
        </w:rPr>
        <w:t>The standard does not specify bounds for the origin attribute.</w:t>
      </w:r>
    </w:p>
    <w:p w:rsidR="005F78FC" w:rsidRDefault="00B42EF3">
      <w:pPr>
        <w:pStyle w:val="Definition-Field2"/>
      </w:pPr>
      <w:r>
        <w:t>Office uses bounds of -32767 and 32767 for the origin attribute.</w:t>
      </w:r>
    </w:p>
    <w:p w:rsidR="005F78FC" w:rsidRDefault="00B42EF3">
      <w:pPr>
        <w:pStyle w:val="Definition-Field"/>
      </w:pPr>
      <w:r>
        <w:t xml:space="preserve">f.   </w:t>
      </w:r>
      <w:r>
        <w:rPr>
          <w:i/>
        </w:rPr>
        <w:t>The standard indicates that the default value for the origin attribute is the center of the image.</w:t>
      </w:r>
    </w:p>
    <w:p w:rsidR="005F78FC" w:rsidRDefault="00B42EF3">
      <w:pPr>
        <w:pStyle w:val="Definition-Field2"/>
      </w:pPr>
      <w:r>
        <w:t>Office uses a defau</w:t>
      </w:r>
      <w:r>
        <w:t>lt value of 0,0 for the origin attribute.</w:t>
      </w:r>
    </w:p>
    <w:p w:rsidR="005F78FC" w:rsidRDefault="00B42EF3">
      <w:pPr>
        <w:pStyle w:val="Definition-Field"/>
      </w:pPr>
      <w:r>
        <w:t xml:space="preserve">g.   </w:t>
      </w:r>
      <w:r>
        <w:rPr>
          <w:i/>
        </w:rPr>
        <w:t>The standard implies that positive values are to the right and down for the origin attribute.</w:t>
      </w:r>
    </w:p>
    <w:p w:rsidR="005F78FC" w:rsidRDefault="00B42EF3">
      <w:pPr>
        <w:pStyle w:val="Definition-Field2"/>
      </w:pPr>
      <w:r>
        <w:t>In Office, negative values for the origin attribute are to the right and down, so the bottom right corner is -1,-1.</w:t>
      </w:r>
    </w:p>
    <w:p w:rsidR="005F78FC" w:rsidRDefault="00B42EF3">
      <w:pPr>
        <w:pStyle w:val="Definition-Field"/>
      </w:pPr>
      <w:r>
        <w:t xml:space="preserve">h.   </w:t>
      </w:r>
      <w:r>
        <w:rPr>
          <w:i/>
        </w:rPr>
        <w:t>The standard implies that only absolute numbers may be used for the size attribute.</w:t>
      </w:r>
    </w:p>
    <w:p w:rsidR="005F78FC" w:rsidRDefault="00B42EF3">
      <w:r>
        <w:t>In Office, values are specified as either an absolute measurement or a fractional value of the shape dimensions.  A fractional value may be specified in 1/65536-ths i</w:t>
      </w:r>
      <w:r>
        <w:t>f a trailing "f" is supplied. [Example: A value of "52429f" represents 52429/65536, or 0.8. end example] The minimum and maximum values are 0f to 2147483647f.</w:t>
      </w:r>
    </w:p>
    <w:p w:rsidR="005F78FC" w:rsidRDefault="00B42EF3">
      <w:pPr>
        <w:pStyle w:val="Definition-Field"/>
      </w:pPr>
      <w:r>
        <w:t xml:space="preserve">i.   </w:t>
      </w:r>
      <w:r>
        <w:rPr>
          <w:i/>
        </w:rPr>
        <w:t>The standard indicates how the type attribute is used.</w:t>
      </w:r>
    </w:p>
    <w:p w:rsidR="005F78FC" w:rsidRDefault="00B42EF3">
      <w:r>
        <w:t xml:space="preserve">If this attribute value is </w:t>
      </w:r>
      <w:r>
        <w:rPr>
          <w:i/>
        </w:rPr>
        <w:t>tile</w:t>
      </w:r>
      <w:r>
        <w:t xml:space="preserve">, </w:t>
      </w:r>
      <w:r>
        <w:rPr>
          <w:i/>
        </w:rPr>
        <w:t>patt</w:t>
      </w:r>
      <w:r>
        <w:rPr>
          <w:i/>
        </w:rPr>
        <w:t>ern</w:t>
      </w:r>
      <w:r>
        <w:t xml:space="preserve"> or </w:t>
      </w:r>
      <w:r>
        <w:rPr>
          <w:i/>
        </w:rPr>
        <w:t>frame</w:t>
      </w:r>
      <w:r>
        <w:t xml:space="preserve">, Office requires that the image attributes be specified. If this attribute value is </w:t>
      </w:r>
      <w:r>
        <w:rPr>
          <w:i/>
        </w:rPr>
        <w:t>gradient</w:t>
      </w:r>
      <w:r>
        <w:t xml:space="preserve"> or </w:t>
      </w:r>
      <w:r>
        <w:rPr>
          <w:i/>
        </w:rPr>
        <w:t>gradientradial</w:t>
      </w:r>
      <w:r>
        <w:t>, Office requires that the gradient attributes be specified.</w:t>
      </w:r>
    </w:p>
    <w:p w:rsidR="005F78FC" w:rsidRDefault="00B42EF3">
      <w:pPr>
        <w:pStyle w:val="Definition-Field"/>
      </w:pPr>
      <w:r>
        <w:t xml:space="preserve">j.   </w:t>
      </w:r>
      <w:r>
        <w:rPr>
          <w:i/>
        </w:rPr>
        <w:t>The standard allows any string to be used for title attribute.</w:t>
      </w:r>
    </w:p>
    <w:p w:rsidR="005F78FC" w:rsidRDefault="00B42EF3">
      <w:pPr>
        <w:pStyle w:val="Definition-Field2"/>
      </w:pPr>
      <w:r>
        <w:t>Offi</w:t>
      </w:r>
      <w:r>
        <w:t>ce does not allow slashes or colons in the title attribute string.</w:t>
      </w:r>
    </w:p>
    <w:p w:rsidR="005F78FC" w:rsidRDefault="00B42EF3">
      <w:pPr>
        <w:pStyle w:val="Definition-Field"/>
      </w:pPr>
      <w:r>
        <w:t xml:space="preserve">k.   </w:t>
      </w:r>
      <w:r>
        <w:rPr>
          <w:i/>
        </w:rPr>
        <w:t>The standard indicates how the title attribute is used.</w:t>
      </w:r>
    </w:p>
    <w:p w:rsidR="005F78FC" w:rsidRDefault="00B42EF3">
      <w:pPr>
        <w:pStyle w:val="Definition-Field2"/>
      </w:pPr>
      <w:r>
        <w:t>Office only supports the type attribute if the value of the type attribute is tile, pattern or frame.</w:t>
      </w:r>
    </w:p>
    <w:p w:rsidR="005F78FC" w:rsidRDefault="00B42EF3">
      <w:pPr>
        <w:pStyle w:val="Definition-Field"/>
      </w:pPr>
      <w:r>
        <w:t xml:space="preserve">l.   </w:t>
      </w:r>
      <w:r>
        <w:rPr>
          <w:i/>
        </w:rPr>
        <w:t>The standard indicate</w:t>
      </w:r>
      <w:r>
        <w:rPr>
          <w:i/>
        </w:rPr>
        <w:t>s how the althref attribute is used.</w:t>
      </w:r>
    </w:p>
    <w:p w:rsidR="005F78FC" w:rsidRDefault="00B42EF3">
      <w:pPr>
        <w:pStyle w:val="Definition-Field2"/>
      </w:pPr>
      <w:r>
        <w:t>Office does not support the althref attribute.</w:t>
      </w:r>
    </w:p>
    <w:p w:rsidR="005F78FC" w:rsidRDefault="00B42EF3">
      <w:pPr>
        <w:pStyle w:val="Definition-Field"/>
      </w:pPr>
      <w:r>
        <w:t xml:space="preserve">m.   </w:t>
      </w:r>
      <w:r>
        <w:rPr>
          <w:i/>
        </w:rPr>
        <w:t>The standard indicates how the href attribute is used.</w:t>
      </w:r>
    </w:p>
    <w:p w:rsidR="005F78FC" w:rsidRDefault="00B42EF3">
      <w:pPr>
        <w:pStyle w:val="Definition-Field2"/>
      </w:pPr>
      <w:r>
        <w:t>Office does not support the href attribute.</w:t>
      </w:r>
    </w:p>
    <w:p w:rsidR="005F78FC" w:rsidRDefault="00B42EF3">
      <w:pPr>
        <w:pStyle w:val="Definition-Field"/>
      </w:pPr>
      <w:r>
        <w:t xml:space="preserve">n.   </w:t>
      </w:r>
      <w:r>
        <w:rPr>
          <w:i/>
        </w:rPr>
        <w:t>The standard indicates how the src attribute is used.</w:t>
      </w:r>
    </w:p>
    <w:p w:rsidR="005F78FC" w:rsidRDefault="00B42EF3">
      <w:pPr>
        <w:pStyle w:val="Definition-Field2"/>
      </w:pPr>
      <w:r>
        <w:t>Office do</w:t>
      </w:r>
      <w:r>
        <w:t>es not support the src attribute.</w:t>
      </w:r>
    </w:p>
    <w:p w:rsidR="005F78FC" w:rsidRDefault="00B42EF3">
      <w:pPr>
        <w:pStyle w:val="Definition-Field"/>
      </w:pPr>
      <w:r>
        <w:t xml:space="preserve">o.   </w:t>
      </w:r>
      <w:r>
        <w:rPr>
          <w:i/>
        </w:rPr>
        <w:t>The standard does not restrict the number of instances of the fill element.</w:t>
      </w:r>
    </w:p>
    <w:p w:rsidR="005F78FC" w:rsidRDefault="00B42EF3">
      <w:pPr>
        <w:pStyle w:val="Definition-Field2"/>
      </w:pPr>
      <w:r>
        <w:t>Office allows at most only one instance of the fill element in each place where it can be used.</w:t>
      </w:r>
    </w:p>
    <w:p w:rsidR="005F78FC" w:rsidRDefault="00B42EF3">
      <w:pPr>
        <w:pStyle w:val="Definition-Field"/>
      </w:pPr>
      <w:r>
        <w:t xml:space="preserve">p.   </w:t>
      </w:r>
      <w:r>
        <w:rPr>
          <w:i/>
        </w:rPr>
        <w:t>The standard states that values of the o</w:t>
      </w:r>
      <w:r>
        <w:rPr>
          <w:i/>
        </w:rPr>
        <w:t>pacity attribute are defined by the XML Schema string datatype.</w:t>
      </w:r>
    </w:p>
    <w:p w:rsidR="005F78FC" w:rsidRDefault="00B42EF3">
      <w:pPr>
        <w:pStyle w:val="Definition-Field2"/>
      </w:pPr>
      <w:r>
        <w:t>Office defines the values of this attribute with the ST_Fraction (</w:t>
      </w:r>
      <w:hyperlink w:anchor="Section_c96929a126d44fe4819f37727a9492e8">
        <w:r>
          <w:rPr>
            <w:rStyle w:val="Hyperlink"/>
          </w:rPr>
          <w:t>§3.9.1, ST_Fraction</w:t>
        </w:r>
      </w:hyperlink>
      <w:r>
        <w:t>) simple type.</w:t>
      </w:r>
    </w:p>
    <w:p w:rsidR="005F78FC" w:rsidRDefault="00B42EF3">
      <w:pPr>
        <w:pStyle w:val="Definition-Field"/>
      </w:pPr>
      <w:r>
        <w:t xml:space="preserve">q.   </w:t>
      </w:r>
      <w:r>
        <w:rPr>
          <w:i/>
        </w:rPr>
        <w:t>The standard states that</w:t>
      </w:r>
      <w:r>
        <w:rPr>
          <w:i/>
        </w:rPr>
        <w:t xml:space="preserve"> values of the opacity2 attribute are defined by the XML Schema string datatype.</w:t>
      </w:r>
    </w:p>
    <w:p w:rsidR="005F78FC" w:rsidRDefault="00B42EF3">
      <w:pPr>
        <w:pStyle w:val="Definition-Field2"/>
      </w:pPr>
      <w:r>
        <w:lastRenderedPageBreak/>
        <w:t>Office defines the values of the opacity2 attribute with the ST_Fraction (§3.9.1, ST_Fraction) simple type.</w:t>
      </w:r>
    </w:p>
    <w:p w:rsidR="005F78FC" w:rsidRDefault="00B42EF3">
      <w:pPr>
        <w:pStyle w:val="Heading3"/>
      </w:pPr>
      <w:bookmarkStart w:id="3600" w:name="section_b017fac7da0b4cdf821cff5f03d17238"/>
      <w:bookmarkStart w:id="3601" w:name="_Toc69879573"/>
      <w:r>
        <w:t>Part 4 Section 19.1.2.6, formulas (Set of Formulas)</w:t>
      </w:r>
      <w:bookmarkEnd w:id="3600"/>
      <w:bookmarkEnd w:id="3601"/>
      <w:r>
        <w:fldChar w:fldCharType="begin"/>
      </w:r>
      <w:r>
        <w:instrText xml:space="preserve"> XE "formulas (Set of Formulas)"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5F78FC" w:rsidRDefault="00B42EF3">
      <w:pPr>
        <w:pStyle w:val="Definition-Field"/>
      </w:pPr>
      <w:r>
        <w:t xml:space="preserve">a.   </w:t>
      </w:r>
      <w:r>
        <w:rPr>
          <w:i/>
        </w:rPr>
        <w:t>The standard states that the maxOccurs value f</w:t>
      </w:r>
      <w:r>
        <w:rPr>
          <w:i/>
        </w:rPr>
        <w:t>or the f child element is unbounded.</w:t>
      </w:r>
    </w:p>
    <w:p w:rsidR="005F78FC" w:rsidRDefault="00B42EF3">
      <w:pPr>
        <w:pStyle w:val="Definition-Field2"/>
      </w:pPr>
      <w:r>
        <w:t>Office limits the occurrences of this element to 128.</w:t>
      </w:r>
    </w:p>
    <w:p w:rsidR="005F78FC" w:rsidRDefault="00B42EF3">
      <w:pPr>
        <w:pStyle w:val="Definition-Field"/>
      </w:pPr>
      <w:r>
        <w:t xml:space="preserve">b.   </w:t>
      </w:r>
      <w:r>
        <w:rPr>
          <w:i/>
        </w:rPr>
        <w:t>The standard does not restrict the number of instances of the formulas element.</w:t>
      </w:r>
    </w:p>
    <w:p w:rsidR="005F78FC" w:rsidRDefault="00B42EF3">
      <w:pPr>
        <w:pStyle w:val="Definition-Field2"/>
      </w:pPr>
      <w:r>
        <w:t>Office allows at most one instance of this element in each place where it can be</w:t>
      </w:r>
      <w:r>
        <w:t xml:space="preserve"> used.</w:t>
      </w:r>
    </w:p>
    <w:p w:rsidR="005F78FC" w:rsidRDefault="00B42EF3">
      <w:pPr>
        <w:pStyle w:val="Heading3"/>
      </w:pPr>
      <w:bookmarkStart w:id="3602" w:name="section_5dab8b917bfb495a9ed59068ef74998d"/>
      <w:bookmarkStart w:id="3603" w:name="_Toc69879574"/>
      <w:r>
        <w:t>Part 4 Section 19.1.2.7, group (Shape Group)</w:t>
      </w:r>
      <w:bookmarkEnd w:id="3602"/>
      <w:bookmarkEnd w:id="3603"/>
      <w:r>
        <w:fldChar w:fldCharType="begin"/>
      </w:r>
      <w:r>
        <w:instrText xml:space="preserve"> XE "group (Shape Group)"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w:t>
      </w:r>
      <w:r>
        <w:rPr>
          <w:i/>
        </w:rPr>
        <w:t xml:space="preserve"> </w:t>
      </w:r>
      <w:hyperlink w:anchor="Section_d019f23f597743d8b46399ba8f6784eb">
        <w:r>
          <w:rPr>
            <w:rStyle w:val="Hyperlink"/>
          </w:rPr>
          <w:t>arc, §19.1.2.1(c-hh,mm,oo,qq-uu,ww, xx,ddd-lll,ttt-yyy,aaaa, bbbb,dddd-jjjj)</w:t>
        </w:r>
      </w:hyperlink>
      <w:r>
        <w:rPr>
          <w:i/>
        </w:rPr>
        <w:t xml:space="preserve">; </w:t>
      </w:r>
      <w:hyperlink w:anchor="Section_96eb7103c6714831928122e64798c2e5">
        <w:r>
          <w:rPr>
            <w:rStyle w:val="Hyperlink"/>
          </w:rPr>
          <w:t>background, §19.1.2.2(c)</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§19.1.2.10(b,e)</w:t>
        </w:r>
      </w:hyperlink>
      <w:r>
        <w:rPr>
          <w:i/>
        </w:rPr>
        <w:t>.</w:t>
      </w:r>
    </w:p>
    <w:p w:rsidR="005F78FC" w:rsidRDefault="00B42EF3">
      <w:pPr>
        <w:pStyle w:val="Definition-Field"/>
      </w:pPr>
      <w:r>
        <w:t xml:space="preserve">a.   </w:t>
      </w:r>
      <w:r>
        <w:rPr>
          <w:i/>
        </w:rPr>
        <w:t>The standard states that borderbottom, borderleft, borderright, bordertop, callout, extrusion, fill, form</w:t>
      </w:r>
      <w:r>
        <w:rPr>
          <w:i/>
        </w:rPr>
        <w:t>ulas, handles, imagedata, path, shadow, signatureline, skew, stroke, textbox, textpath, and textdata are valid child elements of the group element.</w:t>
      </w:r>
    </w:p>
    <w:p w:rsidR="005F78FC" w:rsidRDefault="00B42EF3">
      <w:pPr>
        <w:pStyle w:val="Definition-Field2"/>
      </w:pPr>
      <w:r>
        <w:t>Office does not allow these elements to be child elements of the group element.</w:t>
      </w:r>
    </w:p>
    <w:p w:rsidR="005F78FC" w:rsidRDefault="00B42EF3">
      <w:pPr>
        <w:pStyle w:val="Definition-Field"/>
      </w:pPr>
      <w:r>
        <w:t xml:space="preserve">b.   </w:t>
      </w:r>
      <w:r>
        <w:rPr>
          <w:i/>
        </w:rPr>
        <w:t>The standard states tha</w:t>
      </w:r>
      <w:r>
        <w:rPr>
          <w:i/>
        </w:rPr>
        <w:t>t the borderbottomcolor, borderleftcolor, borderrightcolor, bordertopcolor, fillcolor, and filled attributes are valid attributes on the group element.</w:t>
      </w:r>
    </w:p>
    <w:p w:rsidR="005F78FC" w:rsidRDefault="00B42EF3">
      <w:pPr>
        <w:pStyle w:val="Definition-Field2"/>
      </w:pPr>
      <w:r>
        <w:t>Office does not support these attributes on this element.</w:t>
      </w:r>
    </w:p>
    <w:p w:rsidR="005F78FC" w:rsidRDefault="00B42EF3">
      <w:pPr>
        <w:pStyle w:val="Definition-Field"/>
      </w:pPr>
      <w:r>
        <w:t xml:space="preserve">c.   </w:t>
      </w:r>
      <w:r>
        <w:rPr>
          <w:i/>
        </w:rPr>
        <w:t>The standard does not mention the gfxdata</w:t>
      </w:r>
      <w:r>
        <w:rPr>
          <w:i/>
        </w:rPr>
        <w:t xml:space="preserve"> attribute.</w:t>
      </w:r>
    </w:p>
    <w:p w:rsidR="005F78FC" w:rsidRDefault="00B42EF3">
      <w:pPr>
        <w:pStyle w:val="Definition-Field2"/>
      </w:pPr>
      <w:r>
        <w:t>Office uses an gfxdata attribute. The definition is the same as the gfxdata attribute defined in Section 14.1.2.19.</w:t>
      </w:r>
    </w:p>
    <w:p w:rsidR="005F78FC" w:rsidRDefault="00B42EF3">
      <w:pPr>
        <w:pStyle w:val="Heading3"/>
      </w:pPr>
      <w:bookmarkStart w:id="3604" w:name="section_ffc30069fa76457da36a9aeb0c1747c6"/>
      <w:bookmarkStart w:id="3605" w:name="_Toc69879575"/>
      <w:r>
        <w:t>Part 4 Section 19.1.2.8, h (Shape Handle)</w:t>
      </w:r>
      <w:bookmarkEnd w:id="3604"/>
      <w:bookmarkEnd w:id="3605"/>
      <w:r>
        <w:fldChar w:fldCharType="begin"/>
      </w:r>
      <w:r>
        <w:instrText xml:space="preserve"> XE "h (Shape Handle)" </w:instrText>
      </w:r>
      <w:r>
        <w:fldChar w:fldCharType="end"/>
      </w:r>
    </w:p>
    <w:p w:rsidR="005F78FC" w:rsidRDefault="00B42EF3">
      <w:pPr>
        <w:pStyle w:val="Definition-Field"/>
      </w:pPr>
      <w:r>
        <w:t xml:space="preserve">a.   </w:t>
      </w:r>
      <w:r>
        <w:rPr>
          <w:i/>
        </w:rPr>
        <w:t>The standard indicates how the switch attribute is used.</w:t>
      </w:r>
    </w:p>
    <w:p w:rsidR="005F78FC" w:rsidRDefault="00B42EF3">
      <w:pPr>
        <w:pStyle w:val="Definition-Field2"/>
      </w:pPr>
      <w:r>
        <w:t>Office ignores the switch attribute and writes false or a blank string value on file save.</w:t>
      </w:r>
    </w:p>
    <w:p w:rsidR="005F78FC" w:rsidRDefault="00B42EF3">
      <w:pPr>
        <w:pStyle w:val="Definition-Field"/>
      </w:pPr>
      <w:r>
        <w:t xml:space="preserve">b.   </w:t>
      </w:r>
      <w:r>
        <w:rPr>
          <w:i/>
        </w:rPr>
        <w:t>The standard indicates that a true or false value is saved to the file for the invx attribute.</w:t>
      </w:r>
    </w:p>
    <w:p w:rsidR="005F78FC" w:rsidRDefault="00B42EF3">
      <w:pPr>
        <w:pStyle w:val="Definition-Field2"/>
      </w:pPr>
      <w:r>
        <w:t xml:space="preserve">Office ignores the value of the invx attribute and writes an </w:t>
      </w:r>
      <w:r>
        <w:t>empty string whenever the attribute is written to the file.</w:t>
      </w:r>
    </w:p>
    <w:p w:rsidR="005F78FC" w:rsidRDefault="00B42EF3">
      <w:pPr>
        <w:pStyle w:val="Definition-Field"/>
      </w:pPr>
      <w:r>
        <w:t xml:space="preserve">c.   </w:t>
      </w:r>
      <w:r>
        <w:rPr>
          <w:i/>
        </w:rPr>
        <w:t>The standard indicates that a true or false value is saved to the file for the invy attribute.</w:t>
      </w:r>
    </w:p>
    <w:p w:rsidR="005F78FC" w:rsidRDefault="00B42EF3">
      <w:pPr>
        <w:pStyle w:val="Definition-Field2"/>
      </w:pPr>
      <w:r>
        <w:t>Office ignores the value of the invy attribute and writes an empty string whenever the attribute</w:t>
      </w:r>
      <w:r>
        <w:t xml:space="preserve"> is written to the file.</w:t>
      </w:r>
    </w:p>
    <w:p w:rsidR="005F78FC" w:rsidRDefault="00B42EF3">
      <w:pPr>
        <w:pStyle w:val="Definition-Field"/>
      </w:pPr>
      <w:r>
        <w:t xml:space="preserve">d.   </w:t>
      </w:r>
      <w:r>
        <w:rPr>
          <w:i/>
        </w:rPr>
        <w:t>The standard indicates how the map attribute is used.</w:t>
      </w:r>
    </w:p>
    <w:p w:rsidR="005F78FC" w:rsidRDefault="00B42EF3">
      <w:pPr>
        <w:pStyle w:val="Definition-Field2"/>
      </w:pPr>
      <w:r>
        <w:t>Office does not support the map attribute and using it may result in unpredictable runtime behavior.</w:t>
      </w:r>
    </w:p>
    <w:p w:rsidR="005F78FC" w:rsidRDefault="00B42EF3">
      <w:pPr>
        <w:pStyle w:val="Heading3"/>
      </w:pPr>
      <w:bookmarkStart w:id="3606" w:name="section_2ab456f168374f4fabf9ba30693c31a1"/>
      <w:bookmarkStart w:id="3607" w:name="_Toc69879576"/>
      <w:r>
        <w:lastRenderedPageBreak/>
        <w:t>Part 4 Section 19.1.2.9, handles (Set of Handles)</w:t>
      </w:r>
      <w:bookmarkEnd w:id="3606"/>
      <w:bookmarkEnd w:id="3607"/>
      <w:r>
        <w:fldChar w:fldCharType="begin"/>
      </w:r>
      <w:r>
        <w:instrText xml:space="preserve"> XE "handles (Set of H</w:instrText>
      </w:r>
      <w:r>
        <w:instrText xml:space="preserve">andles)"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w:t>
        </w:r>
        <w:r>
          <w:rPr>
            <w:rStyle w:val="Hyperlink"/>
          </w:rPr>
          <w:t>4.5.1(a)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5F78FC" w:rsidRDefault="00B42EF3">
      <w:pPr>
        <w:pStyle w:val="Definition-Field"/>
      </w:pPr>
      <w:r>
        <w:t xml:space="preserve">a.   </w:t>
      </w:r>
      <w:r>
        <w:rPr>
          <w:i/>
        </w:rPr>
        <w:t>The standard states that the maxOccurs value for the h child element i</w:t>
      </w:r>
      <w:r>
        <w:rPr>
          <w:i/>
        </w:rPr>
        <w:t>s unbounded.</w:t>
      </w:r>
    </w:p>
    <w:p w:rsidR="005F78FC" w:rsidRDefault="00B42EF3">
      <w:pPr>
        <w:pStyle w:val="Definition-Field2"/>
      </w:pPr>
      <w:r>
        <w:t>Office limits the occurrences of this element to 4.</w:t>
      </w:r>
    </w:p>
    <w:p w:rsidR="005F78FC" w:rsidRDefault="00B42EF3">
      <w:pPr>
        <w:pStyle w:val="Definition-Field"/>
      </w:pPr>
      <w:r>
        <w:t xml:space="preserve">b.   </w:t>
      </w:r>
      <w:r>
        <w:rPr>
          <w:i/>
        </w:rPr>
        <w:t>The standard does not restrict the number of instances of the handles element.</w:t>
      </w:r>
    </w:p>
    <w:p w:rsidR="005F78FC" w:rsidRDefault="00B42EF3">
      <w:pPr>
        <w:pStyle w:val="Definition-Field2"/>
      </w:pPr>
      <w:r>
        <w:t>Office allows at most one instance of this element in each place where it can be used.</w:t>
      </w:r>
    </w:p>
    <w:p w:rsidR="005F78FC" w:rsidRDefault="00B42EF3">
      <w:pPr>
        <w:pStyle w:val="Heading3"/>
      </w:pPr>
      <w:bookmarkStart w:id="3608" w:name="section_65100e2931e94e27972d9bf589fea5be"/>
      <w:bookmarkStart w:id="3609" w:name="_Toc69879577"/>
      <w:r>
        <w:t>Part 4 Section 19.1.2.10, image (Image File)</w:t>
      </w:r>
      <w:bookmarkEnd w:id="3608"/>
      <w:bookmarkEnd w:id="3609"/>
      <w:r>
        <w:fldChar w:fldCharType="begin"/>
      </w:r>
      <w:r>
        <w:instrText xml:space="preserve"> XE "image (Image File)"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eba6e7671fa143e3b8ae7ea30c1f4972">
        <w:r>
          <w:rPr>
            <w:rStyle w:val="Hyperlink"/>
          </w:rPr>
          <w:t>imagedata, §19.1.2.11(d,h-o)</w:t>
        </w:r>
      </w:hyperlink>
      <w:r>
        <w:rPr>
          <w:i/>
        </w:rPr>
        <w:t>.</w:t>
      </w:r>
    </w:p>
    <w:p w:rsidR="005F78FC" w:rsidRDefault="00B42EF3">
      <w:pPr>
        <w:pStyle w:val="Definition-Field"/>
      </w:pPr>
      <w:r>
        <w:t xml:space="preserve">a.   </w:t>
      </w:r>
      <w:r>
        <w:rPr>
          <w:i/>
        </w:rPr>
        <w:t>The standard indicates that color images should be reduced to 8 colors if the bilevel attribute is true.</w:t>
      </w:r>
    </w:p>
    <w:p w:rsidR="005F78FC" w:rsidRDefault="00B42EF3">
      <w:pPr>
        <w:pStyle w:val="Definition-Field2"/>
      </w:pPr>
      <w:r>
        <w:t>Office interprets the bilevel attribute as a toggle between color and black and white and c</w:t>
      </w:r>
      <w:r>
        <w:t>onverts all images, color or greyscale, to pure black and white if the value of the bilevel attribute is true.</w:t>
      </w:r>
    </w:p>
    <w:p w:rsidR="005F78FC" w:rsidRDefault="00B42EF3">
      <w:pPr>
        <w:pStyle w:val="Definition-Field"/>
      </w:pPr>
      <w:r>
        <w:t xml:space="preserve">b.   </w:t>
      </w:r>
      <w:r>
        <w:rPr>
          <w:i/>
        </w:rPr>
        <w:t>The standard implies that the bullet attribute may be used to specify that the element is a bullet.</w:t>
      </w:r>
    </w:p>
    <w:p w:rsidR="005F78FC" w:rsidRDefault="00B42EF3">
      <w:pPr>
        <w:pStyle w:val="Definition-Field2"/>
      </w:pPr>
      <w:r>
        <w:t>Office sets this attribute when the elem</w:t>
      </w:r>
      <w:r>
        <w:t>ent is being used as a bullet, but ignores it on file load; this attribute does not make the element a bullet.</w:t>
      </w:r>
    </w:p>
    <w:p w:rsidR="005F78FC" w:rsidRDefault="00B42EF3">
      <w:pPr>
        <w:pStyle w:val="Definition-Field"/>
      </w:pPr>
      <w:r>
        <w:t xml:space="preserve">c.   </w:t>
      </w:r>
      <w:r>
        <w:rPr>
          <w:i/>
        </w:rPr>
        <w:t>The standard states that the bwnormal attribute specifies the black-and-white mode for normal black-and-white output devices.</w:t>
      </w:r>
    </w:p>
    <w:p w:rsidR="005F78FC" w:rsidRDefault="00B42EF3">
      <w:pPr>
        <w:pStyle w:val="Definition-Field2"/>
      </w:pPr>
      <w:r>
        <w:t>Word and Excel</w:t>
      </w:r>
      <w:r>
        <w:t xml:space="preserve"> do not support this attribute.</w:t>
      </w:r>
    </w:p>
    <w:p w:rsidR="005F78FC" w:rsidRDefault="00B42EF3">
      <w:pPr>
        <w:pStyle w:val="Definition-Field"/>
      </w:pPr>
      <w:r>
        <w:t xml:space="preserve">d.   </w:t>
      </w:r>
      <w:r>
        <w:rPr>
          <w:i/>
        </w:rPr>
        <w:t>The standard states that the bwpure attribute specifies the black-and-white mode for pure black-and-white output devices.</w:t>
      </w:r>
    </w:p>
    <w:p w:rsidR="005F78FC" w:rsidRDefault="00B42EF3">
      <w:pPr>
        <w:pStyle w:val="Definition-Field2"/>
      </w:pPr>
      <w:r>
        <w:t>Word and Excel do not support this attribute.</w:t>
      </w:r>
    </w:p>
    <w:p w:rsidR="005F78FC" w:rsidRDefault="00B42EF3">
      <w:pPr>
        <w:pStyle w:val="Definition-Field"/>
      </w:pPr>
      <w:r>
        <w:t xml:space="preserve">e.   </w:t>
      </w:r>
      <w:r>
        <w:rPr>
          <w:i/>
        </w:rPr>
        <w:t>The standard places no restrictions on when th</w:t>
      </w:r>
      <w:r>
        <w:rPr>
          <w:i/>
        </w:rPr>
        <w:t>e target attribute is preserved.</w:t>
      </w:r>
    </w:p>
    <w:p w:rsidR="005F78FC" w:rsidRDefault="00B42EF3">
      <w:pPr>
        <w:pStyle w:val="Definition-Field2"/>
      </w:pPr>
      <w:r>
        <w:t>Office does not preserve this attribute when the href attribute is not set.</w:t>
      </w:r>
    </w:p>
    <w:p w:rsidR="005F78FC" w:rsidRDefault="00B42EF3">
      <w:pPr>
        <w:pStyle w:val="Definition-Field"/>
      </w:pPr>
      <w:r>
        <w:t xml:space="preserve">f.   </w:t>
      </w:r>
      <w:r>
        <w:rPr>
          <w:i/>
        </w:rPr>
        <w:t>The standard states that the bwmode attribute specifies how a shape will render for black-and-white output devices.</w:t>
      </w:r>
    </w:p>
    <w:p w:rsidR="005F78FC" w:rsidRDefault="00B42EF3">
      <w:pPr>
        <w:pStyle w:val="Definition-Field2"/>
      </w:pPr>
      <w:r>
        <w:t xml:space="preserve">Word and Excel do not </w:t>
      </w:r>
      <w:r>
        <w:t>support this attribute.</w:t>
      </w:r>
    </w:p>
    <w:p w:rsidR="005F78FC" w:rsidRDefault="00B42EF3">
      <w:pPr>
        <w:pStyle w:val="Definition-Field"/>
      </w:pPr>
      <w:r>
        <w:t xml:space="preserve">g.   </w:t>
      </w:r>
      <w:r>
        <w:rPr>
          <w:i/>
        </w:rPr>
        <w:t>The standard places no restrictions on the value of the spt attribute.</w:t>
      </w:r>
    </w:p>
    <w:p w:rsidR="005F78FC" w:rsidRDefault="00B42EF3">
      <w:pPr>
        <w:pStyle w:val="Definition-Field2"/>
      </w:pPr>
      <w:r>
        <w:t>Office requires the spt attribute on an image element have a value of 75. It is an error to specify this attribute as anything other than the default value,</w:t>
      </w:r>
      <w:r>
        <w:t xml:space="preserve"> except for the shape and shapetype elements, which can handle any valid spt value.</w:t>
      </w:r>
    </w:p>
    <w:p w:rsidR="005F78FC" w:rsidRDefault="00B42EF3">
      <w:pPr>
        <w:pStyle w:val="Definition-Field"/>
      </w:pPr>
      <w:r>
        <w:t xml:space="preserve">h.   </w:t>
      </w:r>
      <w:r>
        <w:rPr>
          <w:i/>
        </w:rPr>
        <w:t>The standard states that chromakey, coordorigin, and opacity are valid attributes on the image element.</w:t>
      </w:r>
    </w:p>
    <w:p w:rsidR="005F78FC" w:rsidRDefault="00B42EF3">
      <w:pPr>
        <w:pStyle w:val="Definition-Field2"/>
      </w:pPr>
      <w:r>
        <w:t>Office does not support these attributes on this element.</w:t>
      </w:r>
    </w:p>
    <w:p w:rsidR="005F78FC" w:rsidRDefault="00B42EF3">
      <w:pPr>
        <w:pStyle w:val="Definition-Field"/>
      </w:pPr>
      <w:r>
        <w:t xml:space="preserve">i.   </w:t>
      </w:r>
      <w:r>
        <w:rPr>
          <w:i/>
        </w:rPr>
        <w:t>The standard states that the default value of the spt attribute is 0.</w:t>
      </w:r>
    </w:p>
    <w:p w:rsidR="005F78FC" w:rsidRDefault="00B42EF3">
      <w:pPr>
        <w:pStyle w:val="Definition-Field2"/>
      </w:pPr>
      <w:r>
        <w:lastRenderedPageBreak/>
        <w:t>Office uses a default value of 75 for the image element.</w:t>
      </w:r>
    </w:p>
    <w:p w:rsidR="005F78FC" w:rsidRDefault="00B42EF3">
      <w:pPr>
        <w:pStyle w:val="Definition-Field"/>
      </w:pPr>
      <w:r>
        <w:t xml:space="preserve">j.   </w:t>
      </w:r>
      <w:r>
        <w:rPr>
          <w:i/>
        </w:rPr>
        <w:t>The standard does not mention the gfxdata attribute.</w:t>
      </w:r>
    </w:p>
    <w:p w:rsidR="005F78FC" w:rsidRDefault="00B42EF3">
      <w:pPr>
        <w:pStyle w:val="Definition-Field2"/>
      </w:pPr>
      <w:r>
        <w:t>Office uses an gfxdata attribute. The definition is the same as the gfx</w:t>
      </w:r>
      <w:r>
        <w:t>data attribute defined in Section 14.1.2.19.</w:t>
      </w:r>
    </w:p>
    <w:p w:rsidR="005F78FC" w:rsidRDefault="00B42EF3">
      <w:pPr>
        <w:pStyle w:val="Heading3"/>
      </w:pPr>
      <w:bookmarkStart w:id="3610" w:name="section_eba6e7671fa143e3b8ae7ea30c1f4972"/>
      <w:bookmarkStart w:id="3611" w:name="_Toc69879578"/>
      <w:r>
        <w:t>Part 4 Section 19.1.2.11, imagedata (Image Data)</w:t>
      </w:r>
      <w:bookmarkEnd w:id="3610"/>
      <w:bookmarkEnd w:id="3611"/>
      <w:r>
        <w:fldChar w:fldCharType="begin"/>
      </w:r>
      <w:r>
        <w:instrText xml:space="preserve"> XE "imagedata (Image Data)"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background, §19.1.2.2(c)</w:t>
        </w:r>
      </w:hyperlink>
      <w:r>
        <w:rPr>
          <w:i/>
        </w:rPr>
        <w:t xml:space="preserve">; </w:t>
      </w:r>
      <w:hyperlink w:anchor="Section_5dab8b917bfb495a9ed59068ef74998d">
        <w:r>
          <w:rPr>
            <w:rStyle w:val="Hyperlink"/>
          </w:rPr>
          <w:t>group, §19.1.2.7(a)</w:t>
        </w:r>
      </w:hyperlink>
      <w:r>
        <w:rPr>
          <w:i/>
        </w:rPr>
        <w:t xml:space="preserve">; </w:t>
      </w:r>
      <w:hyperlink w:anchor="Section_65100e2931e94e27972d9bf589fea5be">
        <w:r>
          <w:rPr>
            <w:rStyle w:val="Hyperlink"/>
          </w:rPr>
          <w:t>image, §19.1.2.10(a)</w:t>
        </w:r>
      </w:hyperlink>
      <w:r>
        <w:rPr>
          <w:i/>
        </w:rPr>
        <w:t>.</w:t>
      </w:r>
    </w:p>
    <w:p w:rsidR="005F78FC" w:rsidRDefault="00B42EF3">
      <w:pPr>
        <w:pStyle w:val="Definition-Field"/>
      </w:pPr>
      <w:r>
        <w:t xml:space="preserve">a.   </w:t>
      </w:r>
      <w:r>
        <w:rPr>
          <w:i/>
        </w:rPr>
        <w:t>The standard does not restrict the number of instances of the imagedata element.</w:t>
      </w:r>
    </w:p>
    <w:p w:rsidR="005F78FC" w:rsidRDefault="00B42EF3">
      <w:pPr>
        <w:pStyle w:val="Definition-Field2"/>
      </w:pPr>
      <w:r>
        <w:t>Office allows at most only one instance of the imagedata element in each place where it can be used.</w:t>
      </w:r>
    </w:p>
    <w:p w:rsidR="005F78FC" w:rsidRDefault="00B42EF3">
      <w:pPr>
        <w:pStyle w:val="Definition-Field"/>
      </w:pPr>
      <w:r>
        <w:t xml:space="preserve">b.   </w:t>
      </w:r>
      <w:r>
        <w:rPr>
          <w:i/>
        </w:rPr>
        <w:t>The standard states tha</w:t>
      </w:r>
      <w:r>
        <w:rPr>
          <w:i/>
        </w:rPr>
        <w:t>t althref is a valid attribute.</w:t>
      </w:r>
    </w:p>
    <w:p w:rsidR="005F78FC" w:rsidRDefault="00B42EF3">
      <w:pPr>
        <w:pStyle w:val="Definition-Field2"/>
      </w:pPr>
      <w:r>
        <w:t>Office does not support this attribute.</w:t>
      </w:r>
    </w:p>
    <w:p w:rsidR="005F78FC" w:rsidRDefault="00B42EF3">
      <w:pPr>
        <w:pStyle w:val="Definition-Field"/>
      </w:pPr>
      <w:r>
        <w:t xml:space="preserve">c.   </w:t>
      </w:r>
      <w:r>
        <w:rPr>
          <w:i/>
        </w:rPr>
        <w:t>The standard states that movie is a valid attribute.</w:t>
      </w:r>
    </w:p>
    <w:p w:rsidR="005F78FC" w:rsidRDefault="00B42EF3">
      <w:pPr>
        <w:pStyle w:val="Definition-Field2"/>
      </w:pPr>
      <w:r>
        <w:t>Office does not support this attribute.</w:t>
      </w:r>
    </w:p>
    <w:p w:rsidR="005F78FC" w:rsidRDefault="00B42EF3">
      <w:pPr>
        <w:pStyle w:val="Definition-Field"/>
      </w:pPr>
      <w:r>
        <w:t xml:space="preserve">d.   </w:t>
      </w:r>
      <w:r>
        <w:rPr>
          <w:i/>
        </w:rPr>
        <w:t>The standard states that src is a valid attribute.</w:t>
      </w:r>
    </w:p>
    <w:p w:rsidR="005F78FC" w:rsidRDefault="00B42EF3">
      <w:pPr>
        <w:pStyle w:val="Definition-Field2"/>
      </w:pPr>
      <w:r>
        <w:t xml:space="preserve">Office does not support this </w:t>
      </w:r>
      <w:r>
        <w:t>attribute.</w:t>
      </w:r>
    </w:p>
    <w:p w:rsidR="005F78FC" w:rsidRDefault="00B42EF3">
      <w:pPr>
        <w:pStyle w:val="Definition-Field"/>
      </w:pPr>
      <w:r>
        <w:t xml:space="preserve">e.   </w:t>
      </w:r>
      <w:r>
        <w:rPr>
          <w:i/>
        </w:rPr>
        <w:t>The standard indicates that the pict attribute is used to specify the relationship with alternate image data.</w:t>
      </w:r>
    </w:p>
    <w:p w:rsidR="005F78FC" w:rsidRDefault="00B42EF3">
      <w:pPr>
        <w:pStyle w:val="Definition-Field2"/>
      </w:pPr>
      <w:r>
        <w:t>Office does not preserve the pict attribute for imagedata elements.</w:t>
      </w:r>
    </w:p>
    <w:p w:rsidR="005F78FC" w:rsidRDefault="00B42EF3">
      <w:pPr>
        <w:pStyle w:val="Definition-Field"/>
      </w:pPr>
      <w:r>
        <w:t xml:space="preserve">f.   </w:t>
      </w:r>
      <w:r>
        <w:rPr>
          <w:i/>
        </w:rPr>
        <w:t>The standard states that oleid is valid attribute.</w:t>
      </w:r>
    </w:p>
    <w:p w:rsidR="005F78FC" w:rsidRDefault="00B42EF3">
      <w:pPr>
        <w:pStyle w:val="Definition-Field2"/>
      </w:pPr>
      <w:r>
        <w:t>Office</w:t>
      </w:r>
      <w:r>
        <w:t xml:space="preserve"> does not support this attribute.</w:t>
      </w:r>
    </w:p>
    <w:p w:rsidR="005F78FC" w:rsidRDefault="00B42EF3">
      <w:pPr>
        <w:pStyle w:val="Definition-Field"/>
      </w:pPr>
      <w:r>
        <w:t xml:space="preserve">g.   </w:t>
      </w:r>
      <w:r>
        <w:rPr>
          <w:i/>
        </w:rPr>
        <w:t>The standard does not specify a default value for the detectmouseclick attribute.</w:t>
      </w:r>
    </w:p>
    <w:p w:rsidR="005F78FC" w:rsidRDefault="00B42EF3">
      <w:pPr>
        <w:pStyle w:val="Definition-Field2"/>
      </w:pPr>
      <w:r>
        <w:t>In Office, the default value of the detectmouseclick attribute is true for imagedata elements.</w:t>
      </w:r>
    </w:p>
    <w:p w:rsidR="005F78FC" w:rsidRDefault="00B42EF3">
      <w:pPr>
        <w:pStyle w:val="Definition-Field"/>
      </w:pPr>
      <w:r>
        <w:t xml:space="preserve">h.   </w:t>
      </w:r>
      <w:r>
        <w:rPr>
          <w:i/>
        </w:rPr>
        <w:t>The standard states that the values</w:t>
      </w:r>
      <w:r>
        <w:rPr>
          <w:i/>
        </w:rPr>
        <w:t xml:space="preserve"> of the cropleft attribute are defined by the XML Schema string datatype.</w:t>
      </w:r>
    </w:p>
    <w:p w:rsidR="005F78FC" w:rsidRDefault="00B42EF3">
      <w:pPr>
        <w:pStyle w:val="Definition-Field2"/>
      </w:pPr>
      <w:r>
        <w:t>Office defines the values of this attribute with the ST_Fraction (</w:t>
      </w:r>
      <w:hyperlink w:anchor="Section_c96929a126d44fe4819f37727a9492e8">
        <w:r>
          <w:rPr>
            <w:rStyle w:val="Hyperlink"/>
          </w:rPr>
          <w:t>§3.9.1, ST_Fraction</w:t>
        </w:r>
      </w:hyperlink>
      <w:r>
        <w:t>) simple type.</w:t>
      </w:r>
    </w:p>
    <w:p w:rsidR="005F78FC" w:rsidRDefault="00B42EF3">
      <w:pPr>
        <w:pStyle w:val="Definition-Field"/>
      </w:pPr>
      <w:r>
        <w:t xml:space="preserve">i.   </w:t>
      </w:r>
      <w:r>
        <w:rPr>
          <w:i/>
        </w:rPr>
        <w:t>The standard s</w:t>
      </w:r>
      <w:r>
        <w:rPr>
          <w:i/>
        </w:rPr>
        <w:t>tates that the values of the cropright attribute are defined by the XML Schema string datatype.</w:t>
      </w:r>
    </w:p>
    <w:p w:rsidR="005F78FC" w:rsidRDefault="00B42EF3">
      <w:pPr>
        <w:pStyle w:val="Definition-Field2"/>
      </w:pPr>
      <w:r>
        <w:t>Office defines the values of this attribute with the ST_Fraction (§3.9.1, ST_Fraction) simple type.</w:t>
      </w:r>
    </w:p>
    <w:p w:rsidR="005F78FC" w:rsidRDefault="00B42EF3">
      <w:pPr>
        <w:pStyle w:val="Definition-Field"/>
      </w:pPr>
      <w:r>
        <w:t xml:space="preserve">j.   </w:t>
      </w:r>
      <w:r>
        <w:rPr>
          <w:i/>
        </w:rPr>
        <w:t>The standard states that the values of the blacklevel a</w:t>
      </w:r>
      <w:r>
        <w:rPr>
          <w:i/>
        </w:rPr>
        <w:t>ttribute are defined by the XML Schema string datatype.</w:t>
      </w:r>
    </w:p>
    <w:p w:rsidR="005F78FC" w:rsidRDefault="00B42EF3">
      <w:pPr>
        <w:pStyle w:val="Definition-Field2"/>
      </w:pPr>
      <w:r>
        <w:t>Office defines the values of this attribute with the ST_Fraction (§3.9.1, ST_Fraction) simple type.</w:t>
      </w:r>
    </w:p>
    <w:p w:rsidR="005F78FC" w:rsidRDefault="00B42EF3">
      <w:pPr>
        <w:pStyle w:val="Definition-Field"/>
      </w:pPr>
      <w:r>
        <w:t xml:space="preserve">k.   </w:t>
      </w:r>
      <w:r>
        <w:rPr>
          <w:i/>
        </w:rPr>
        <w:t xml:space="preserve">The standard states that the values of the gain attribute are defined by the XML Schema string </w:t>
      </w:r>
      <w:r>
        <w:rPr>
          <w:i/>
        </w:rPr>
        <w:t>datatype.</w:t>
      </w:r>
    </w:p>
    <w:p w:rsidR="005F78FC" w:rsidRDefault="00B42EF3">
      <w:pPr>
        <w:pStyle w:val="Definition-Field2"/>
      </w:pPr>
      <w:r>
        <w:t>Office defines the values of this attribute with the ST_Fraction (§3.9.1, ST_Fraction) simple type.</w:t>
      </w:r>
    </w:p>
    <w:p w:rsidR="005F78FC" w:rsidRDefault="00B42EF3">
      <w:pPr>
        <w:pStyle w:val="Definition-Field"/>
      </w:pPr>
      <w:r>
        <w:lastRenderedPageBreak/>
        <w:t xml:space="preserve">l.   </w:t>
      </w:r>
      <w:r>
        <w:rPr>
          <w:i/>
        </w:rPr>
        <w:t>The standard states that the values of the gamma attribute are defined by the XML Schema string datatype.</w:t>
      </w:r>
    </w:p>
    <w:p w:rsidR="005F78FC" w:rsidRDefault="00B42EF3">
      <w:pPr>
        <w:pStyle w:val="Definition-Field2"/>
      </w:pPr>
      <w:r>
        <w:t>Office defines the values of this a</w:t>
      </w:r>
      <w:r>
        <w:t>ttribute with the ST_Fraction (§3.9.1, ST_Fraction) simple type.</w:t>
      </w:r>
    </w:p>
    <w:p w:rsidR="005F78FC" w:rsidRDefault="00B42EF3">
      <w:pPr>
        <w:pStyle w:val="Definition-Field"/>
      </w:pPr>
      <w:r>
        <w:t xml:space="preserve">m.   </w:t>
      </w:r>
      <w:r>
        <w:rPr>
          <w:i/>
        </w:rPr>
        <w:t>The standard states that the values of the croptop attribute are defined by the XML Schema string datatype.</w:t>
      </w:r>
    </w:p>
    <w:p w:rsidR="005F78FC" w:rsidRDefault="00B42EF3">
      <w:pPr>
        <w:pStyle w:val="Definition-Field2"/>
      </w:pPr>
      <w:r>
        <w:t>Office defines the values of this attribute with the ST_Fraction (§3.9.1, ST_F</w:t>
      </w:r>
      <w:r>
        <w:t>raction) simple type.</w:t>
      </w:r>
    </w:p>
    <w:p w:rsidR="005F78FC" w:rsidRDefault="00B42EF3">
      <w:pPr>
        <w:pStyle w:val="Definition-Field"/>
      </w:pPr>
      <w:r>
        <w:t xml:space="preserve">n.   </w:t>
      </w:r>
      <w:r>
        <w:rPr>
          <w:i/>
        </w:rPr>
        <w:t>The standard states that the values of the cropbottom attribute are defined by the XML Schema string datatype.</w:t>
      </w:r>
    </w:p>
    <w:p w:rsidR="005F78FC" w:rsidRDefault="00B42EF3">
      <w:pPr>
        <w:pStyle w:val="Definition-Field2"/>
      </w:pPr>
      <w:r>
        <w:t>Office defines the values of this attribute with the ST_Fraction (§3.9.1, ST_Fraction) simple type.</w:t>
      </w:r>
    </w:p>
    <w:p w:rsidR="005F78FC" w:rsidRDefault="00B42EF3">
      <w:pPr>
        <w:pStyle w:val="Definition-Field"/>
      </w:pPr>
      <w:r>
        <w:t xml:space="preserve">o.   </w:t>
      </w:r>
      <w:r>
        <w:rPr>
          <w:i/>
        </w:rPr>
        <w:t xml:space="preserve">The standard </w:t>
      </w:r>
      <w:r>
        <w:rPr>
          <w:i/>
        </w:rPr>
        <w:t>does not specify bounds for the blacklevel attribute.</w:t>
      </w:r>
    </w:p>
    <w:p w:rsidR="005F78FC" w:rsidRDefault="00B42EF3">
      <w:pPr>
        <w:pStyle w:val="Definition-Field2"/>
      </w:pPr>
      <w:r>
        <w:t>Office uses a range of [-0.5, 0.5] for the blacklevel attribute for the imagedata element.</w:t>
      </w:r>
    </w:p>
    <w:p w:rsidR="005F78FC" w:rsidRDefault="00B42EF3">
      <w:pPr>
        <w:pStyle w:val="Definition-Field"/>
      </w:pPr>
      <w:r>
        <w:t xml:space="preserve">p.   </w:t>
      </w:r>
      <w:r>
        <w:rPr>
          <w:i/>
        </w:rPr>
        <w:t>The standard supports the relid attribute in all contexts.</w:t>
      </w:r>
    </w:p>
    <w:p w:rsidR="005F78FC" w:rsidRDefault="00B42EF3">
      <w:pPr>
        <w:pStyle w:val="Definition-Field2"/>
      </w:pPr>
      <w:r>
        <w:t>Office only supports the relid attribute in the</w:t>
      </w:r>
      <w:r>
        <w:t xml:space="preserve"> SpreadsheetML context.</w:t>
      </w:r>
    </w:p>
    <w:p w:rsidR="005F78FC" w:rsidRDefault="00B42EF3">
      <w:pPr>
        <w:pStyle w:val="Definition-Field"/>
      </w:pPr>
      <w:r>
        <w:t xml:space="preserve">q.   </w:t>
      </w:r>
      <w:r>
        <w:rPr>
          <w:i/>
        </w:rPr>
        <w:t>The standard supports the attribute Id in all contexts.</w:t>
      </w:r>
    </w:p>
    <w:p w:rsidR="005F78FC" w:rsidRDefault="00B42EF3">
      <w:pPr>
        <w:pStyle w:val="Definition-Field2"/>
      </w:pPr>
      <w:r>
        <w:t>Office only supports the Id attribute in the WordprocessingML context.</w:t>
      </w:r>
    </w:p>
    <w:p w:rsidR="005F78FC" w:rsidRDefault="00B42EF3">
      <w:pPr>
        <w:pStyle w:val="Definition-Field"/>
      </w:pPr>
      <w:r>
        <w:t xml:space="preserve">r.   </w:t>
      </w:r>
      <w:r>
        <w:rPr>
          <w:i/>
        </w:rPr>
        <w:t>The standard does not explicitly define the interaction between the detectmouseclick attributes</w:t>
      </w:r>
      <w:r>
        <w:rPr>
          <w:i/>
        </w:rPr>
        <w:t xml:space="preserve"> and the fill and imagedata child elements.</w:t>
      </w:r>
    </w:p>
    <w:p w:rsidR="005F78FC" w:rsidRDefault="00B42EF3">
      <w:pPr>
        <w:pStyle w:val="Definition-Field2"/>
      </w:pPr>
      <w:r>
        <w:t>Office treats detectmouseclick as false only if the detectmouseclick attributes of both the fill and imagedata child elements are set to false.</w:t>
      </w:r>
    </w:p>
    <w:p w:rsidR="005F78FC" w:rsidRDefault="00B42EF3">
      <w:pPr>
        <w:pStyle w:val="Definition-Field"/>
      </w:pPr>
      <w:r>
        <w:t xml:space="preserve">s.   </w:t>
      </w:r>
      <w:r>
        <w:rPr>
          <w:i/>
        </w:rPr>
        <w:t>The standard states that o:href is a valid attribute.</w:t>
      </w:r>
    </w:p>
    <w:p w:rsidR="005F78FC" w:rsidRDefault="00B42EF3">
      <w:pPr>
        <w:pStyle w:val="Definition-Field2"/>
      </w:pPr>
      <w:r>
        <w:t>Office do</w:t>
      </w:r>
      <w:r>
        <w:t>es not support this attribute.</w:t>
      </w:r>
    </w:p>
    <w:p w:rsidR="005F78FC" w:rsidRDefault="00B42EF3">
      <w:pPr>
        <w:pStyle w:val="Heading3"/>
      </w:pPr>
      <w:bookmarkStart w:id="3612" w:name="section_2b6707526d64462a824f275717267aa9"/>
      <w:bookmarkStart w:id="3613" w:name="_Toc69879579"/>
      <w:r>
        <w:t>Part 4 Section 19.1.2.12, line (Line)</w:t>
      </w:r>
      <w:bookmarkEnd w:id="3612"/>
      <w:bookmarkEnd w:id="3613"/>
      <w:r>
        <w:fldChar w:fldCharType="begin"/>
      </w:r>
      <w:r>
        <w:instrText xml:space="preserve"> XE "line (Line)"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1e504bbc5f604aa1a4c0f8f3a925e6f7">
        <w:r>
          <w:rPr>
            <w:rStyle w:val="Hyperlink"/>
          </w:rPr>
          <w:t>background, §1</w:t>
        </w:r>
        <w:r>
          <w:rPr>
            <w:rStyle w:val="Hyperlink"/>
          </w:rPr>
          <w:t>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5F78FC" w:rsidRDefault="00B42EF3">
      <w:pPr>
        <w:pStyle w:val="Definition-Field"/>
      </w:pPr>
      <w:r>
        <w:t xml:space="preserve">a.   </w:t>
      </w:r>
      <w:r>
        <w:rPr>
          <w:i/>
        </w:rPr>
        <w:t>The standard indicates that the default value for the to attribute is "10,10".</w:t>
      </w:r>
    </w:p>
    <w:p w:rsidR="005F78FC" w:rsidRDefault="00B42EF3">
      <w:pPr>
        <w:pStyle w:val="Definition-Field2"/>
      </w:pPr>
      <w:r>
        <w:t>Office uses a default value of "50pt,50pt" for the to attribute.</w:t>
      </w:r>
    </w:p>
    <w:p w:rsidR="005F78FC" w:rsidRDefault="00B42EF3">
      <w:pPr>
        <w:pStyle w:val="Definition-Field"/>
      </w:pPr>
      <w:r>
        <w:t xml:space="preserve">b.   </w:t>
      </w:r>
      <w:r>
        <w:rPr>
          <w:i/>
        </w:rPr>
        <w:t xml:space="preserve">The standard places no restrictions </w:t>
      </w:r>
      <w:r>
        <w:rPr>
          <w:i/>
        </w:rPr>
        <w:t>on the value of the spt attribute.</w:t>
      </w:r>
    </w:p>
    <w:p w:rsidR="005F78FC" w:rsidRDefault="00B42EF3">
      <w:pPr>
        <w:pStyle w:val="Definition-Field2"/>
      </w:pPr>
      <w:r>
        <w:t>Office requires that the spt attribute on a line element have a value of 20. It is an error to specify this attribute as anything other than the default value, except for the shape and shapetype elements, which can handle</w:t>
      </w:r>
      <w:r>
        <w:t xml:space="preserve"> any valid spt value.</w:t>
      </w:r>
    </w:p>
    <w:p w:rsidR="005F78FC" w:rsidRDefault="00B42EF3">
      <w:pPr>
        <w:pStyle w:val="Definition-Field"/>
      </w:pPr>
      <w:r>
        <w:t xml:space="preserve">c.   </w:t>
      </w:r>
      <w:r>
        <w:rPr>
          <w:i/>
        </w:rPr>
        <w:t>The standard states that chromakey and opacity are valid attributes on the line element.</w:t>
      </w:r>
    </w:p>
    <w:p w:rsidR="005F78FC" w:rsidRDefault="00B42EF3">
      <w:pPr>
        <w:pStyle w:val="Definition-Field2"/>
      </w:pPr>
      <w:r>
        <w:t>Office does not support these attributes on this element.</w:t>
      </w:r>
    </w:p>
    <w:p w:rsidR="005F78FC" w:rsidRDefault="00B42EF3">
      <w:pPr>
        <w:pStyle w:val="Definition-Field"/>
      </w:pPr>
      <w:r>
        <w:t xml:space="preserve">d.   </w:t>
      </w:r>
      <w:r>
        <w:rPr>
          <w:i/>
        </w:rPr>
        <w:t>The standard states that the default value of the spt attribute is 0.</w:t>
      </w:r>
    </w:p>
    <w:p w:rsidR="005F78FC" w:rsidRDefault="00B42EF3">
      <w:pPr>
        <w:pStyle w:val="Definition-Field2"/>
      </w:pPr>
      <w:r>
        <w:lastRenderedPageBreak/>
        <w:t xml:space="preserve">Office </w:t>
      </w:r>
      <w:r>
        <w:t>uses a default value of 20 for the line element. It is an error to specify this attribute as anything other than the default value, except for the shape and shapetype elements which can handle any valid spt value.</w:t>
      </w:r>
    </w:p>
    <w:p w:rsidR="005F78FC" w:rsidRDefault="00B42EF3">
      <w:pPr>
        <w:pStyle w:val="Definition-Field"/>
      </w:pPr>
      <w:r>
        <w:t xml:space="preserve">e.   </w:t>
      </w:r>
      <w:r>
        <w:rPr>
          <w:i/>
        </w:rPr>
        <w:t>The standard places no restrictions o</w:t>
      </w:r>
      <w:r>
        <w:rPr>
          <w:i/>
        </w:rPr>
        <w:t>n when the coordorigin and coordsize attributes are preserved on the line element.</w:t>
      </w:r>
    </w:p>
    <w:p w:rsidR="005F78FC" w:rsidRDefault="00B42EF3">
      <w:pPr>
        <w:pStyle w:val="Definition-Field2"/>
      </w:pPr>
      <w:r>
        <w:t>Office only preserves these attributes when this element has at least one of the following child elements:  a path with connection points specified in its connectlocs attrib</w:t>
      </w:r>
      <w:r>
        <w:t>ute; a path with a textbox specified in its textboxrect attribute; or handles.</w:t>
      </w:r>
    </w:p>
    <w:p w:rsidR="005F78FC" w:rsidRDefault="00B42EF3">
      <w:pPr>
        <w:pStyle w:val="Definition-Field"/>
      </w:pPr>
      <w:r>
        <w:t xml:space="preserve">f.   </w:t>
      </w:r>
      <w:r>
        <w:rPr>
          <w:i/>
        </w:rPr>
        <w:t>The standard does not mention the gfxdata attribute.</w:t>
      </w:r>
    </w:p>
    <w:p w:rsidR="005F78FC" w:rsidRDefault="00B42EF3">
      <w:pPr>
        <w:pStyle w:val="Definition-Field2"/>
      </w:pPr>
      <w:r>
        <w:t>Office uses an gfxdata attribute. The definition is the same as the gfxdata attribute defined in Section 14.1.2.19.</w:t>
      </w:r>
    </w:p>
    <w:p w:rsidR="005F78FC" w:rsidRDefault="00B42EF3">
      <w:pPr>
        <w:pStyle w:val="Heading3"/>
      </w:pPr>
      <w:bookmarkStart w:id="3614" w:name="section_bd6bc36a9e8f489dafb305827fbf0b14"/>
      <w:bookmarkStart w:id="3615" w:name="_Toc69879580"/>
      <w:r>
        <w:t>Par</w:t>
      </w:r>
      <w:r>
        <w:t>t 4 Section 19.1.2.13, oval (Oval)</w:t>
      </w:r>
      <w:bookmarkEnd w:id="3614"/>
      <w:bookmarkEnd w:id="3615"/>
      <w:r>
        <w:fldChar w:fldCharType="begin"/>
      </w:r>
      <w:r>
        <w:instrText xml:space="preserve"> XE "oval (Oval)"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5F78FC" w:rsidRDefault="00B42EF3">
      <w:pPr>
        <w:pStyle w:val="Definition-Field"/>
      </w:pPr>
      <w:r>
        <w:t xml:space="preserve">a.   </w:t>
      </w:r>
      <w:r>
        <w:rPr>
          <w:i/>
        </w:rPr>
        <w:t>The standard places no restrictions on the value of the spt attribute.</w:t>
      </w:r>
    </w:p>
    <w:p w:rsidR="005F78FC" w:rsidRDefault="00B42EF3">
      <w:pPr>
        <w:pStyle w:val="Definition-Field2"/>
      </w:pPr>
      <w:r>
        <w:t>Office requires that the spt attribute on an oval element have a value of 3. It is an error to specify this attribute as anything other than the def</w:t>
      </w:r>
      <w:r>
        <w:t>ault value, except for the shape and shapetype elements, which can handle any valid spt value.</w:t>
      </w:r>
    </w:p>
    <w:p w:rsidR="005F78FC" w:rsidRDefault="00B42EF3">
      <w:pPr>
        <w:pStyle w:val="Definition-Field"/>
      </w:pPr>
      <w:r>
        <w:t xml:space="preserve">b.   </w:t>
      </w:r>
      <w:r>
        <w:rPr>
          <w:i/>
        </w:rPr>
        <w:t>The standard states that chromakey and opacity are valid attributes on the oval element.</w:t>
      </w:r>
    </w:p>
    <w:p w:rsidR="005F78FC" w:rsidRDefault="00B42EF3">
      <w:pPr>
        <w:pStyle w:val="Definition-Field2"/>
      </w:pPr>
      <w:r>
        <w:t>Office does not support these attributes on this element.</w:t>
      </w:r>
    </w:p>
    <w:p w:rsidR="005F78FC" w:rsidRDefault="00B42EF3">
      <w:pPr>
        <w:pStyle w:val="Definition-Field"/>
      </w:pPr>
      <w:r>
        <w:t xml:space="preserve">c.   </w:t>
      </w:r>
      <w:r>
        <w:rPr>
          <w:i/>
        </w:rPr>
        <w:t xml:space="preserve">The </w:t>
      </w:r>
      <w:r>
        <w:rPr>
          <w:i/>
        </w:rPr>
        <w:t>standard states that the default value of the spt attribute is 0.</w:t>
      </w:r>
    </w:p>
    <w:p w:rsidR="005F78FC" w:rsidRDefault="00B42EF3">
      <w:pPr>
        <w:pStyle w:val="Definition-Field2"/>
      </w:pPr>
      <w:r>
        <w:t>Office uses a default value of 3 for the oval element. It is an error to specify this attribute as anything other than the default value, except for the shape and shapetype elements, which c</w:t>
      </w:r>
      <w:r>
        <w:t>an handle any valid spt value.</w:t>
      </w:r>
    </w:p>
    <w:p w:rsidR="005F78FC" w:rsidRDefault="00B42EF3">
      <w:pPr>
        <w:pStyle w:val="Definition-Field"/>
      </w:pPr>
      <w:r>
        <w:t xml:space="preserve">d.   </w:t>
      </w:r>
      <w:r>
        <w:rPr>
          <w:i/>
        </w:rPr>
        <w:t>The standard places no restrictions on when the coordorigin and coordsize attributes are preserved on the oval element.</w:t>
      </w:r>
    </w:p>
    <w:p w:rsidR="005F78FC" w:rsidRDefault="00B42EF3">
      <w:pPr>
        <w:pStyle w:val="Definition-Field2"/>
      </w:pPr>
      <w:r>
        <w:t>Office only preserves these attributes when this element has at least one of the following child ele</w:t>
      </w:r>
      <w:r>
        <w:t>ments:  a path with connection points specified in its connectlocs attribute; a path with a textbox specified in its textboxrect attribute; or handles.</w:t>
      </w:r>
    </w:p>
    <w:p w:rsidR="005F78FC" w:rsidRDefault="00B42EF3">
      <w:pPr>
        <w:pStyle w:val="Definition-Field"/>
      </w:pPr>
      <w:r>
        <w:t xml:space="preserve">e.   </w:t>
      </w:r>
      <w:r>
        <w:rPr>
          <w:i/>
        </w:rPr>
        <w:t>The standard does not mention the gfxdata attribute.</w:t>
      </w:r>
    </w:p>
    <w:p w:rsidR="005F78FC" w:rsidRDefault="00B42EF3">
      <w:pPr>
        <w:pStyle w:val="Definition-Field2"/>
      </w:pPr>
      <w:r>
        <w:t xml:space="preserve">Office uses an gfxdata attribute. The </w:t>
      </w:r>
      <w:r>
        <w:t>definition is the same as the gfxdata attribute defined in Section 14.1.2.19.</w:t>
      </w:r>
    </w:p>
    <w:p w:rsidR="005F78FC" w:rsidRDefault="00B42EF3">
      <w:pPr>
        <w:pStyle w:val="Heading3"/>
      </w:pPr>
      <w:bookmarkStart w:id="3616" w:name="section_eaa61e5c76e94291aac648b1618eb395"/>
      <w:bookmarkStart w:id="3617" w:name="_Toc69879581"/>
      <w:r>
        <w:t>Part 4 Section 19.1.2.14, path (Shape Path)</w:t>
      </w:r>
      <w:bookmarkEnd w:id="3616"/>
      <w:bookmarkEnd w:id="3617"/>
      <w:r>
        <w:fldChar w:fldCharType="begin"/>
      </w:r>
      <w:r>
        <w:instrText xml:space="preserve"> XE "path (Shape Path)"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5dab8b917bfb495a9ed59068ef74998d">
        <w:r>
          <w:rPr>
            <w:rStyle w:val="Hyperlink"/>
          </w:rPr>
          <w:t>group, §19.1.2.7(a)</w:t>
        </w:r>
      </w:hyperlink>
      <w:r>
        <w:rPr>
          <w:i/>
        </w:rPr>
        <w:t>.</w:t>
      </w:r>
    </w:p>
    <w:p w:rsidR="005F78FC" w:rsidRDefault="00B42EF3">
      <w:pPr>
        <w:pStyle w:val="Definition-Field"/>
      </w:pPr>
      <w:r>
        <w:t xml:space="preserve">a.   </w:t>
      </w:r>
      <w:r>
        <w:rPr>
          <w:i/>
        </w:rPr>
        <w:t>The standard does not define the coordinate space for the pen positions.</w:t>
      </w:r>
    </w:p>
    <w:p w:rsidR="005F78FC" w:rsidRDefault="00B42EF3">
      <w:pPr>
        <w:pStyle w:val="Definition-Field2"/>
      </w:pPr>
      <w:r>
        <w:t xml:space="preserve">In Office, </w:t>
      </w:r>
      <w:r>
        <w:t>the coordinate space for pen movements is defined by the shape's coordinate space rectangle, as given by the coordsize and coordorigin attributes.</w:t>
      </w:r>
    </w:p>
    <w:p w:rsidR="005F78FC" w:rsidRDefault="00B42EF3">
      <w:pPr>
        <w:pStyle w:val="Definition-Field"/>
      </w:pPr>
      <w:r>
        <w:lastRenderedPageBreak/>
        <w:t xml:space="preserve">b.   </w:t>
      </w:r>
      <w:r>
        <w:rPr>
          <w:i/>
        </w:rPr>
        <w:t>The standard does not define units for the angle parameters for ellipses defined using the ae property o</w:t>
      </w:r>
      <w:r>
        <w:rPr>
          <w:i/>
        </w:rPr>
        <w:t>f the v attribute.</w:t>
      </w:r>
    </w:p>
    <w:p w:rsidR="005F78FC" w:rsidRDefault="00B42EF3">
      <w:pPr>
        <w:pStyle w:val="Definition-Field2"/>
      </w:pPr>
      <w:r>
        <w:t>Office uses units of 1/65536 of a degree for the angle parameters for ellipses defined using the ae property of the v attribute.</w:t>
      </w:r>
    </w:p>
    <w:p w:rsidR="005F78FC" w:rsidRDefault="00B42EF3">
      <w:pPr>
        <w:pStyle w:val="Definition-Field"/>
      </w:pPr>
      <w:r>
        <w:t xml:space="preserve">c.   </w:t>
      </w:r>
      <w:r>
        <w:rPr>
          <w:i/>
        </w:rPr>
        <w:t>The standard defines the properties for the v attribute.</w:t>
      </w:r>
    </w:p>
    <w:p w:rsidR="005F78FC" w:rsidRDefault="00B42EF3">
      <w:r>
        <w:t>Office uses additional commands to indicate de</w:t>
      </w:r>
      <w:r>
        <w:t>sired application behavior when the object is edited by the user.  An application that does not understand these commands may ignore, rewrite or remove them.</w:t>
      </w:r>
    </w:p>
    <w:p w:rsidR="005F78FC" w:rsidRDefault="00B42EF3">
      <w:r>
        <w:t>The following commands describe the desired application behavior for all points that follow the co</w:t>
      </w:r>
      <w:r>
        <w:t>mmand during operations that move the object’s points or associated line segments.  These behaviors apply to vertices in the path (end points, not associated control points) depending on whether the associated line segment is a line or a curve.</w:t>
      </w:r>
    </w:p>
    <w:tbl>
      <w:tblPr>
        <w:tblStyle w:val="Table-ShadedHeader"/>
        <w:tblW w:w="0" w:type="auto"/>
        <w:tblLook w:val="04A0" w:firstRow="1" w:lastRow="0" w:firstColumn="1" w:lastColumn="0" w:noHBand="0" w:noVBand="1"/>
      </w:tblPr>
      <w:tblGrid>
        <w:gridCol w:w="1127"/>
        <w:gridCol w:w="1571"/>
        <w:gridCol w:w="1270"/>
        <w:gridCol w:w="1666"/>
        <w:gridCol w:w="1887"/>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Command</w:t>
            </w:r>
          </w:p>
        </w:tc>
        <w:tc>
          <w:tcPr>
            <w:tcW w:w="0" w:type="auto"/>
            <w:vAlign w:val="center"/>
          </w:tcPr>
          <w:p w:rsidR="005F78FC" w:rsidRDefault="00B42EF3">
            <w:pPr>
              <w:pStyle w:val="TableHeaderText"/>
            </w:pPr>
            <w:r>
              <w:t>Nam</w:t>
            </w:r>
            <w:r>
              <w:t>e</w:t>
            </w:r>
          </w:p>
        </w:tc>
        <w:tc>
          <w:tcPr>
            <w:tcW w:w="0" w:type="auto"/>
            <w:vAlign w:val="center"/>
          </w:tcPr>
          <w:p w:rsidR="005F78FC" w:rsidRDefault="00B42EF3">
            <w:pPr>
              <w:pStyle w:val="TableHeaderText"/>
            </w:pPr>
            <w:r>
              <w:t>Parameters</w:t>
            </w:r>
          </w:p>
        </w:tc>
        <w:tc>
          <w:tcPr>
            <w:tcW w:w="0" w:type="auto"/>
            <w:gridSpan w:val="2"/>
            <w:vAlign w:val="center"/>
          </w:tcPr>
          <w:p w:rsidR="005F78FC" w:rsidRDefault="00B42EF3">
            <w:pPr>
              <w:pStyle w:val="TableHeaderText"/>
            </w:pPr>
            <w:r>
              <w:t>Description</w:t>
            </w:r>
          </w:p>
        </w:tc>
      </w:tr>
      <w:tr w:rsidR="005F78FC" w:rsidTr="005F78FC">
        <w:tc>
          <w:tcPr>
            <w:tcW w:w="0" w:type="auto"/>
            <w:vAlign w:val="center"/>
          </w:tcPr>
          <w:p w:rsidR="005F78FC" w:rsidRDefault="005F78FC">
            <w:pPr>
              <w:pStyle w:val="TableBodyText"/>
            </w:pPr>
          </w:p>
        </w:tc>
        <w:tc>
          <w:tcPr>
            <w:tcW w:w="0" w:type="auto"/>
            <w:vAlign w:val="center"/>
          </w:tcPr>
          <w:p w:rsidR="005F78FC" w:rsidRDefault="005F78FC">
            <w:pPr>
              <w:pStyle w:val="TableBodyText"/>
            </w:pPr>
          </w:p>
        </w:tc>
        <w:tc>
          <w:tcPr>
            <w:tcW w:w="0" w:type="auto"/>
            <w:vAlign w:val="center"/>
          </w:tcPr>
          <w:p w:rsidR="005F78FC" w:rsidRDefault="005F78FC">
            <w:pPr>
              <w:pStyle w:val="TableBodyText"/>
            </w:pPr>
          </w:p>
        </w:tc>
        <w:tc>
          <w:tcPr>
            <w:tcW w:w="0" w:type="auto"/>
            <w:vAlign w:val="center"/>
          </w:tcPr>
          <w:p w:rsidR="005F78FC" w:rsidRDefault="00B42EF3">
            <w:pPr>
              <w:pStyle w:val="TableBodyText"/>
            </w:pPr>
            <w:r>
              <w:rPr>
                <w:b/>
              </w:rPr>
              <w:t>Vertex behavior</w:t>
            </w:r>
          </w:p>
        </w:tc>
        <w:tc>
          <w:tcPr>
            <w:tcW w:w="0" w:type="auto"/>
            <w:vAlign w:val="center"/>
          </w:tcPr>
          <w:p w:rsidR="005F78FC" w:rsidRDefault="00B42EF3">
            <w:pPr>
              <w:pStyle w:val="TableBodyText"/>
            </w:pPr>
            <w:r>
              <w:rPr>
                <w:b/>
              </w:rPr>
              <w:t>Line segment type</w:t>
            </w:r>
          </w:p>
        </w:tc>
      </w:tr>
      <w:tr w:rsidR="005F78FC" w:rsidTr="005F78FC">
        <w:tc>
          <w:tcPr>
            <w:tcW w:w="0" w:type="auto"/>
            <w:vAlign w:val="center"/>
          </w:tcPr>
          <w:p w:rsidR="005F78FC" w:rsidRDefault="00B42EF3">
            <w:pPr>
              <w:pStyle w:val="TableBodyText"/>
            </w:pPr>
            <w:r>
              <w:rPr>
                <w:i/>
              </w:rPr>
              <w:t>Ha</w:t>
            </w:r>
          </w:p>
        </w:tc>
        <w:tc>
          <w:tcPr>
            <w:tcW w:w="0" w:type="auto"/>
            <w:vAlign w:val="center"/>
          </w:tcPr>
          <w:p w:rsidR="005F78FC" w:rsidRDefault="00B42EF3">
            <w:pPr>
              <w:pStyle w:val="TableBodyText"/>
            </w:pPr>
            <w:r>
              <w:t>AutoLine</w:t>
            </w:r>
          </w:p>
        </w:tc>
        <w:tc>
          <w:tcPr>
            <w:tcW w:w="0" w:type="auto"/>
            <w:vAlign w:val="center"/>
          </w:tcPr>
          <w:p w:rsidR="005F78FC" w:rsidRDefault="00B42EF3">
            <w:pPr>
              <w:pStyle w:val="TableBodyText"/>
            </w:pPr>
            <w:r>
              <w:t>0</w:t>
            </w:r>
          </w:p>
        </w:tc>
        <w:tc>
          <w:tcPr>
            <w:tcW w:w="0" w:type="auto"/>
            <w:vAlign w:val="center"/>
          </w:tcPr>
          <w:p w:rsidR="005F78FC" w:rsidRDefault="00B42EF3">
            <w:pPr>
              <w:pStyle w:val="TableBodyText"/>
            </w:pPr>
            <w:r>
              <w:t>auto</w:t>
            </w:r>
          </w:p>
        </w:tc>
        <w:tc>
          <w:tcPr>
            <w:tcW w:w="0" w:type="auto"/>
            <w:vAlign w:val="center"/>
          </w:tcPr>
          <w:p w:rsidR="005F78FC" w:rsidRDefault="00B42EF3">
            <w:pPr>
              <w:pStyle w:val="TableBodyText"/>
            </w:pPr>
            <w:r>
              <w:t>Line</w:t>
            </w:r>
          </w:p>
        </w:tc>
      </w:tr>
      <w:tr w:rsidR="005F78FC" w:rsidTr="005F78FC">
        <w:tc>
          <w:tcPr>
            <w:tcW w:w="0" w:type="auto"/>
            <w:vAlign w:val="center"/>
          </w:tcPr>
          <w:p w:rsidR="005F78FC" w:rsidRDefault="00B42EF3">
            <w:pPr>
              <w:pStyle w:val="TableBodyText"/>
            </w:pPr>
            <w:r>
              <w:rPr>
                <w:i/>
              </w:rPr>
              <w:t>Hb</w:t>
            </w:r>
          </w:p>
        </w:tc>
        <w:tc>
          <w:tcPr>
            <w:tcW w:w="0" w:type="auto"/>
            <w:vAlign w:val="center"/>
          </w:tcPr>
          <w:p w:rsidR="005F78FC" w:rsidRDefault="00B42EF3">
            <w:pPr>
              <w:pStyle w:val="TableBodyText"/>
            </w:pPr>
            <w:r>
              <w:t>AutoCurve</w:t>
            </w:r>
          </w:p>
        </w:tc>
        <w:tc>
          <w:tcPr>
            <w:tcW w:w="0" w:type="auto"/>
            <w:vAlign w:val="center"/>
          </w:tcPr>
          <w:p w:rsidR="005F78FC" w:rsidRDefault="00B42EF3">
            <w:pPr>
              <w:pStyle w:val="TableBodyText"/>
            </w:pPr>
            <w:r>
              <w:t>0</w:t>
            </w:r>
          </w:p>
        </w:tc>
        <w:tc>
          <w:tcPr>
            <w:tcW w:w="0" w:type="auto"/>
            <w:vAlign w:val="center"/>
          </w:tcPr>
          <w:p w:rsidR="005F78FC" w:rsidRDefault="00B42EF3">
            <w:pPr>
              <w:pStyle w:val="TableBodyText"/>
            </w:pPr>
            <w:r>
              <w:t>auto</w:t>
            </w:r>
          </w:p>
        </w:tc>
        <w:tc>
          <w:tcPr>
            <w:tcW w:w="0" w:type="auto"/>
            <w:vAlign w:val="center"/>
          </w:tcPr>
          <w:p w:rsidR="005F78FC" w:rsidRDefault="00B42EF3">
            <w:pPr>
              <w:pStyle w:val="TableBodyText"/>
            </w:pPr>
            <w:r>
              <w:t>curve</w:t>
            </w:r>
          </w:p>
        </w:tc>
      </w:tr>
      <w:tr w:rsidR="005F78FC" w:rsidTr="005F78FC">
        <w:tc>
          <w:tcPr>
            <w:tcW w:w="0" w:type="auto"/>
            <w:vAlign w:val="center"/>
          </w:tcPr>
          <w:p w:rsidR="005F78FC" w:rsidRDefault="00B42EF3">
            <w:pPr>
              <w:pStyle w:val="TableBodyText"/>
            </w:pPr>
            <w:r>
              <w:rPr>
                <w:i/>
              </w:rPr>
              <w:t>Hc</w:t>
            </w:r>
          </w:p>
        </w:tc>
        <w:tc>
          <w:tcPr>
            <w:tcW w:w="0" w:type="auto"/>
            <w:vAlign w:val="center"/>
          </w:tcPr>
          <w:p w:rsidR="005F78FC" w:rsidRDefault="00B42EF3">
            <w:pPr>
              <w:pStyle w:val="TableBodyText"/>
            </w:pPr>
            <w:r>
              <w:t>CornerLine</w:t>
            </w:r>
          </w:p>
        </w:tc>
        <w:tc>
          <w:tcPr>
            <w:tcW w:w="0" w:type="auto"/>
            <w:vAlign w:val="center"/>
          </w:tcPr>
          <w:p w:rsidR="005F78FC" w:rsidRDefault="00B42EF3">
            <w:pPr>
              <w:pStyle w:val="TableBodyText"/>
            </w:pPr>
            <w:r>
              <w:t>0</w:t>
            </w:r>
          </w:p>
        </w:tc>
        <w:tc>
          <w:tcPr>
            <w:tcW w:w="0" w:type="auto"/>
            <w:vAlign w:val="center"/>
          </w:tcPr>
          <w:p w:rsidR="005F78FC" w:rsidRDefault="00B42EF3">
            <w:pPr>
              <w:pStyle w:val="TableBodyText"/>
            </w:pPr>
            <w:r>
              <w:t>corner</w:t>
            </w:r>
          </w:p>
        </w:tc>
        <w:tc>
          <w:tcPr>
            <w:tcW w:w="0" w:type="auto"/>
            <w:vAlign w:val="center"/>
          </w:tcPr>
          <w:p w:rsidR="005F78FC" w:rsidRDefault="00B42EF3">
            <w:pPr>
              <w:pStyle w:val="TableBodyText"/>
            </w:pPr>
            <w:r>
              <w:t>line</w:t>
            </w:r>
          </w:p>
        </w:tc>
      </w:tr>
      <w:tr w:rsidR="005F78FC" w:rsidTr="005F78FC">
        <w:tc>
          <w:tcPr>
            <w:tcW w:w="0" w:type="auto"/>
            <w:vAlign w:val="center"/>
          </w:tcPr>
          <w:p w:rsidR="005F78FC" w:rsidRDefault="00B42EF3">
            <w:pPr>
              <w:pStyle w:val="TableBodyText"/>
            </w:pPr>
            <w:r>
              <w:rPr>
                <w:i/>
              </w:rPr>
              <w:t>Hd</w:t>
            </w:r>
          </w:p>
        </w:tc>
        <w:tc>
          <w:tcPr>
            <w:tcW w:w="0" w:type="auto"/>
            <w:vAlign w:val="center"/>
          </w:tcPr>
          <w:p w:rsidR="005F78FC" w:rsidRDefault="00B42EF3">
            <w:pPr>
              <w:pStyle w:val="TableBodyText"/>
            </w:pPr>
            <w:r>
              <w:t>CornerCurve</w:t>
            </w:r>
          </w:p>
        </w:tc>
        <w:tc>
          <w:tcPr>
            <w:tcW w:w="0" w:type="auto"/>
            <w:vAlign w:val="center"/>
          </w:tcPr>
          <w:p w:rsidR="005F78FC" w:rsidRDefault="00B42EF3">
            <w:pPr>
              <w:pStyle w:val="TableBodyText"/>
            </w:pPr>
            <w:r>
              <w:t>0</w:t>
            </w:r>
          </w:p>
        </w:tc>
        <w:tc>
          <w:tcPr>
            <w:tcW w:w="0" w:type="auto"/>
            <w:vAlign w:val="center"/>
          </w:tcPr>
          <w:p w:rsidR="005F78FC" w:rsidRDefault="00B42EF3">
            <w:pPr>
              <w:pStyle w:val="TableBodyText"/>
            </w:pPr>
            <w:r>
              <w:t>corner</w:t>
            </w:r>
          </w:p>
        </w:tc>
        <w:tc>
          <w:tcPr>
            <w:tcW w:w="0" w:type="auto"/>
            <w:vAlign w:val="center"/>
          </w:tcPr>
          <w:p w:rsidR="005F78FC" w:rsidRDefault="00B42EF3">
            <w:pPr>
              <w:pStyle w:val="TableBodyText"/>
            </w:pPr>
            <w:r>
              <w:t>curve</w:t>
            </w:r>
          </w:p>
        </w:tc>
      </w:tr>
      <w:tr w:rsidR="005F78FC" w:rsidTr="005F78FC">
        <w:tc>
          <w:tcPr>
            <w:tcW w:w="0" w:type="auto"/>
            <w:vAlign w:val="center"/>
          </w:tcPr>
          <w:p w:rsidR="005F78FC" w:rsidRDefault="00B42EF3">
            <w:pPr>
              <w:pStyle w:val="TableBodyText"/>
            </w:pPr>
            <w:r>
              <w:rPr>
                <w:i/>
              </w:rPr>
              <w:t>He</w:t>
            </w:r>
          </w:p>
        </w:tc>
        <w:tc>
          <w:tcPr>
            <w:tcW w:w="0" w:type="auto"/>
            <w:vAlign w:val="center"/>
          </w:tcPr>
          <w:p w:rsidR="005F78FC" w:rsidRDefault="00B42EF3">
            <w:pPr>
              <w:pStyle w:val="TableBodyText"/>
            </w:pPr>
            <w:r>
              <w:t>SmoothLine</w:t>
            </w:r>
          </w:p>
        </w:tc>
        <w:tc>
          <w:tcPr>
            <w:tcW w:w="0" w:type="auto"/>
            <w:vAlign w:val="center"/>
          </w:tcPr>
          <w:p w:rsidR="005F78FC" w:rsidRDefault="00B42EF3">
            <w:pPr>
              <w:pStyle w:val="TableBodyText"/>
            </w:pPr>
            <w:r>
              <w:t>0</w:t>
            </w:r>
          </w:p>
        </w:tc>
        <w:tc>
          <w:tcPr>
            <w:tcW w:w="0" w:type="auto"/>
            <w:vAlign w:val="center"/>
          </w:tcPr>
          <w:p w:rsidR="005F78FC" w:rsidRDefault="00B42EF3">
            <w:pPr>
              <w:pStyle w:val="TableBodyText"/>
            </w:pPr>
            <w:r>
              <w:t>smooth</w:t>
            </w:r>
          </w:p>
        </w:tc>
        <w:tc>
          <w:tcPr>
            <w:tcW w:w="0" w:type="auto"/>
            <w:vAlign w:val="center"/>
          </w:tcPr>
          <w:p w:rsidR="005F78FC" w:rsidRDefault="00B42EF3">
            <w:pPr>
              <w:pStyle w:val="TableBodyText"/>
            </w:pPr>
            <w:r>
              <w:t>line</w:t>
            </w:r>
          </w:p>
        </w:tc>
      </w:tr>
      <w:tr w:rsidR="005F78FC" w:rsidTr="005F78FC">
        <w:tc>
          <w:tcPr>
            <w:tcW w:w="0" w:type="auto"/>
            <w:vAlign w:val="center"/>
          </w:tcPr>
          <w:p w:rsidR="005F78FC" w:rsidRDefault="00B42EF3">
            <w:pPr>
              <w:pStyle w:val="TableBodyText"/>
            </w:pPr>
            <w:r>
              <w:rPr>
                <w:i/>
              </w:rPr>
              <w:t>Hf</w:t>
            </w:r>
          </w:p>
        </w:tc>
        <w:tc>
          <w:tcPr>
            <w:tcW w:w="0" w:type="auto"/>
            <w:vAlign w:val="center"/>
          </w:tcPr>
          <w:p w:rsidR="005F78FC" w:rsidRDefault="00B42EF3">
            <w:pPr>
              <w:pStyle w:val="TableBodyText"/>
            </w:pPr>
            <w:r>
              <w:t>SmoothCurve</w:t>
            </w:r>
          </w:p>
        </w:tc>
        <w:tc>
          <w:tcPr>
            <w:tcW w:w="0" w:type="auto"/>
            <w:vAlign w:val="center"/>
          </w:tcPr>
          <w:p w:rsidR="005F78FC" w:rsidRDefault="00B42EF3">
            <w:pPr>
              <w:pStyle w:val="TableBodyText"/>
            </w:pPr>
            <w:r>
              <w:t>0</w:t>
            </w:r>
          </w:p>
        </w:tc>
        <w:tc>
          <w:tcPr>
            <w:tcW w:w="0" w:type="auto"/>
            <w:vAlign w:val="center"/>
          </w:tcPr>
          <w:p w:rsidR="005F78FC" w:rsidRDefault="00B42EF3">
            <w:pPr>
              <w:pStyle w:val="TableBodyText"/>
            </w:pPr>
            <w:r>
              <w:t>smooth</w:t>
            </w:r>
          </w:p>
        </w:tc>
        <w:tc>
          <w:tcPr>
            <w:tcW w:w="0" w:type="auto"/>
            <w:vAlign w:val="center"/>
          </w:tcPr>
          <w:p w:rsidR="005F78FC" w:rsidRDefault="00B42EF3">
            <w:pPr>
              <w:pStyle w:val="TableBodyText"/>
            </w:pPr>
            <w:r>
              <w:t>curve</w:t>
            </w:r>
          </w:p>
        </w:tc>
      </w:tr>
      <w:tr w:rsidR="005F78FC" w:rsidTr="005F78FC">
        <w:tc>
          <w:tcPr>
            <w:tcW w:w="0" w:type="auto"/>
            <w:vAlign w:val="center"/>
          </w:tcPr>
          <w:p w:rsidR="005F78FC" w:rsidRDefault="00B42EF3">
            <w:pPr>
              <w:pStyle w:val="TableBodyText"/>
            </w:pPr>
            <w:r>
              <w:rPr>
                <w:i/>
              </w:rPr>
              <w:t>Hg</w:t>
            </w:r>
          </w:p>
        </w:tc>
        <w:tc>
          <w:tcPr>
            <w:tcW w:w="0" w:type="auto"/>
            <w:vAlign w:val="center"/>
          </w:tcPr>
          <w:p w:rsidR="005F78FC" w:rsidRDefault="00B42EF3">
            <w:pPr>
              <w:pStyle w:val="TableBodyText"/>
            </w:pPr>
            <w:r>
              <w:t>SymmetricLine</w:t>
            </w:r>
          </w:p>
        </w:tc>
        <w:tc>
          <w:tcPr>
            <w:tcW w:w="0" w:type="auto"/>
            <w:vAlign w:val="center"/>
          </w:tcPr>
          <w:p w:rsidR="005F78FC" w:rsidRDefault="00B42EF3">
            <w:pPr>
              <w:pStyle w:val="TableBodyText"/>
            </w:pPr>
            <w:r>
              <w:t>0</w:t>
            </w:r>
          </w:p>
        </w:tc>
        <w:tc>
          <w:tcPr>
            <w:tcW w:w="0" w:type="auto"/>
            <w:vAlign w:val="center"/>
          </w:tcPr>
          <w:p w:rsidR="005F78FC" w:rsidRDefault="00B42EF3">
            <w:pPr>
              <w:pStyle w:val="TableBodyText"/>
            </w:pPr>
            <w:r>
              <w:t>symmetric</w:t>
            </w:r>
          </w:p>
        </w:tc>
        <w:tc>
          <w:tcPr>
            <w:tcW w:w="0" w:type="auto"/>
            <w:vAlign w:val="center"/>
          </w:tcPr>
          <w:p w:rsidR="005F78FC" w:rsidRDefault="00B42EF3">
            <w:pPr>
              <w:pStyle w:val="TableBodyText"/>
            </w:pPr>
            <w:r>
              <w:t>line</w:t>
            </w:r>
          </w:p>
        </w:tc>
      </w:tr>
      <w:tr w:rsidR="005F78FC" w:rsidTr="005F78FC">
        <w:tc>
          <w:tcPr>
            <w:tcW w:w="0" w:type="auto"/>
            <w:vAlign w:val="center"/>
          </w:tcPr>
          <w:p w:rsidR="005F78FC" w:rsidRDefault="00B42EF3">
            <w:pPr>
              <w:pStyle w:val="TableBodyText"/>
            </w:pPr>
            <w:r>
              <w:rPr>
                <w:i/>
              </w:rPr>
              <w:t>Hh</w:t>
            </w:r>
          </w:p>
        </w:tc>
        <w:tc>
          <w:tcPr>
            <w:tcW w:w="0" w:type="auto"/>
            <w:vAlign w:val="center"/>
          </w:tcPr>
          <w:p w:rsidR="005F78FC" w:rsidRDefault="00B42EF3">
            <w:pPr>
              <w:pStyle w:val="TableBodyText"/>
            </w:pPr>
            <w:r>
              <w:t>SymmetricCurve</w:t>
            </w:r>
          </w:p>
        </w:tc>
        <w:tc>
          <w:tcPr>
            <w:tcW w:w="0" w:type="auto"/>
            <w:vAlign w:val="center"/>
          </w:tcPr>
          <w:p w:rsidR="005F78FC" w:rsidRDefault="00B42EF3">
            <w:pPr>
              <w:pStyle w:val="TableBodyText"/>
            </w:pPr>
            <w:r>
              <w:t>0</w:t>
            </w:r>
          </w:p>
        </w:tc>
        <w:tc>
          <w:tcPr>
            <w:tcW w:w="0" w:type="auto"/>
            <w:vAlign w:val="center"/>
          </w:tcPr>
          <w:p w:rsidR="005F78FC" w:rsidRDefault="00B42EF3">
            <w:pPr>
              <w:pStyle w:val="TableBodyText"/>
            </w:pPr>
            <w:r>
              <w:t>symmetric</w:t>
            </w:r>
          </w:p>
        </w:tc>
        <w:tc>
          <w:tcPr>
            <w:tcW w:w="0" w:type="auto"/>
            <w:vAlign w:val="center"/>
          </w:tcPr>
          <w:p w:rsidR="005F78FC" w:rsidRDefault="00B42EF3">
            <w:pPr>
              <w:pStyle w:val="TableBodyText"/>
            </w:pPr>
            <w:r>
              <w:t>curve</w:t>
            </w:r>
          </w:p>
        </w:tc>
      </w:tr>
      <w:tr w:rsidR="005F78FC" w:rsidTr="005F78FC">
        <w:tc>
          <w:tcPr>
            <w:tcW w:w="0" w:type="auto"/>
            <w:vAlign w:val="center"/>
          </w:tcPr>
          <w:p w:rsidR="005F78FC" w:rsidRDefault="00B42EF3">
            <w:pPr>
              <w:pStyle w:val="TableBodyText"/>
            </w:pPr>
            <w:r>
              <w:rPr>
                <w:i/>
              </w:rPr>
              <w:t>Hi</w:t>
            </w:r>
          </w:p>
        </w:tc>
        <w:tc>
          <w:tcPr>
            <w:tcW w:w="0" w:type="auto"/>
            <w:vAlign w:val="center"/>
          </w:tcPr>
          <w:p w:rsidR="005F78FC" w:rsidRDefault="00B42EF3">
            <w:pPr>
              <w:pStyle w:val="TableBodyText"/>
            </w:pPr>
            <w:r>
              <w:t>Freeform</w:t>
            </w:r>
          </w:p>
        </w:tc>
        <w:tc>
          <w:tcPr>
            <w:tcW w:w="0" w:type="auto"/>
            <w:vAlign w:val="center"/>
          </w:tcPr>
          <w:p w:rsidR="005F78FC" w:rsidRDefault="00B42EF3">
            <w:pPr>
              <w:pStyle w:val="TableBodyText"/>
            </w:pPr>
            <w:r>
              <w:t>0</w:t>
            </w:r>
          </w:p>
        </w:tc>
        <w:tc>
          <w:tcPr>
            <w:tcW w:w="0" w:type="auto"/>
            <w:vAlign w:val="center"/>
          </w:tcPr>
          <w:p w:rsidR="005F78FC" w:rsidRDefault="00B42EF3">
            <w:pPr>
              <w:pStyle w:val="TableBodyText"/>
            </w:pPr>
            <w:r>
              <w:t>freeform</w:t>
            </w:r>
          </w:p>
        </w:tc>
        <w:tc>
          <w:tcPr>
            <w:tcW w:w="0" w:type="auto"/>
            <w:vAlign w:val="center"/>
          </w:tcPr>
          <w:p w:rsidR="005F78FC" w:rsidRDefault="00B42EF3">
            <w:pPr>
              <w:pStyle w:val="TableBodyText"/>
            </w:pPr>
            <w:r>
              <w:t>any</w:t>
            </w:r>
          </w:p>
        </w:tc>
      </w:tr>
    </w:tbl>
    <w:p w:rsidR="005F78FC" w:rsidRDefault="005F78FC"/>
    <w:p w:rsidR="005F78FC" w:rsidRDefault="00B42EF3">
      <w:r>
        <w:t xml:space="preserve">The line segment type defines whether the command applies to points which are adjacent to lines or to points adjacent to curves.  The vertex behavior specifies how the two </w:t>
      </w:r>
      <w:r>
        <w:t>line segments on either side of a point should behave as the point is moved.</w:t>
      </w:r>
    </w:p>
    <w:tbl>
      <w:tblPr>
        <w:tblStyle w:val="Table-ShadedHeader"/>
        <w:tblW w:w="0" w:type="auto"/>
        <w:tblLook w:val="04A0" w:firstRow="1" w:lastRow="0" w:firstColumn="1" w:lastColumn="0" w:noHBand="0" w:noVBand="1"/>
      </w:tblPr>
      <w:tblGrid>
        <w:gridCol w:w="1254"/>
        <w:gridCol w:w="2476"/>
        <w:gridCol w:w="2157"/>
        <w:gridCol w:w="1830"/>
        <w:gridCol w:w="1758"/>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Vertex behavior</w:t>
            </w:r>
          </w:p>
        </w:tc>
        <w:tc>
          <w:tcPr>
            <w:tcW w:w="0" w:type="auto"/>
            <w:vAlign w:val="center"/>
          </w:tcPr>
          <w:p w:rsidR="005F78FC" w:rsidRDefault="00B42EF3">
            <w:pPr>
              <w:pStyle w:val="TableHeaderText"/>
            </w:pPr>
            <w:r>
              <w:t>Curve control points should be calculated automatically</w:t>
            </w:r>
          </w:p>
        </w:tc>
        <w:tc>
          <w:tcPr>
            <w:tcW w:w="0" w:type="auto"/>
            <w:vAlign w:val="center"/>
          </w:tcPr>
          <w:p w:rsidR="005F78FC" w:rsidRDefault="00B42EF3">
            <w:pPr>
              <w:pStyle w:val="TableHeaderText"/>
            </w:pPr>
            <w:r>
              <w:t>Control points should be equidistant from vertex</w:t>
            </w:r>
          </w:p>
        </w:tc>
        <w:tc>
          <w:tcPr>
            <w:tcW w:w="0" w:type="auto"/>
            <w:vAlign w:val="center"/>
          </w:tcPr>
          <w:p w:rsidR="005F78FC" w:rsidRDefault="00B42EF3">
            <w:pPr>
              <w:pStyle w:val="TableHeaderText"/>
            </w:pPr>
            <w:r>
              <w:t>Control points should be co-linear with vertex</w:t>
            </w:r>
          </w:p>
        </w:tc>
        <w:tc>
          <w:tcPr>
            <w:tcW w:w="0" w:type="auto"/>
            <w:vAlign w:val="center"/>
          </w:tcPr>
          <w:p w:rsidR="005F78FC" w:rsidRDefault="00B42EF3">
            <w:pPr>
              <w:pStyle w:val="TableHeaderText"/>
            </w:pPr>
            <w:r>
              <w:t>Control poi</w:t>
            </w:r>
            <w:r>
              <w:t>nts should be visible to the user</w:t>
            </w:r>
          </w:p>
        </w:tc>
      </w:tr>
      <w:tr w:rsidR="005F78FC" w:rsidTr="005F78FC">
        <w:tc>
          <w:tcPr>
            <w:tcW w:w="0" w:type="auto"/>
            <w:vAlign w:val="center"/>
          </w:tcPr>
          <w:p w:rsidR="005F78FC" w:rsidRDefault="00B42EF3">
            <w:pPr>
              <w:pStyle w:val="TableBodyText"/>
            </w:pPr>
            <w:r>
              <w:t>Auto</w:t>
            </w:r>
          </w:p>
        </w:tc>
        <w:tc>
          <w:tcPr>
            <w:tcW w:w="0" w:type="auto"/>
            <w:vAlign w:val="center"/>
          </w:tcPr>
          <w:p w:rsidR="005F78FC" w:rsidRDefault="00B42EF3">
            <w:pPr>
              <w:pStyle w:val="TableBodyText"/>
            </w:pPr>
            <w:r>
              <w:t>Yes</w:t>
            </w:r>
          </w:p>
        </w:tc>
        <w:tc>
          <w:tcPr>
            <w:tcW w:w="0" w:type="auto"/>
            <w:vAlign w:val="center"/>
          </w:tcPr>
          <w:p w:rsidR="005F78FC" w:rsidRDefault="00B42EF3">
            <w:pPr>
              <w:pStyle w:val="TableBodyText"/>
            </w:pPr>
            <w:r>
              <w:t>N/A</w:t>
            </w:r>
          </w:p>
        </w:tc>
        <w:tc>
          <w:tcPr>
            <w:tcW w:w="0" w:type="auto"/>
            <w:vAlign w:val="center"/>
          </w:tcPr>
          <w:p w:rsidR="005F78FC" w:rsidRDefault="00B42EF3">
            <w:pPr>
              <w:pStyle w:val="TableBodyText"/>
            </w:pPr>
            <w:r>
              <w:t>N/A</w:t>
            </w:r>
          </w:p>
        </w:tc>
        <w:tc>
          <w:tcPr>
            <w:tcW w:w="0" w:type="auto"/>
            <w:vAlign w:val="center"/>
          </w:tcPr>
          <w:p w:rsidR="005F78FC" w:rsidRDefault="00B42EF3">
            <w:pPr>
              <w:pStyle w:val="TableBodyText"/>
            </w:pPr>
            <w:r>
              <w:t>No</w:t>
            </w:r>
          </w:p>
        </w:tc>
      </w:tr>
      <w:tr w:rsidR="005F78FC" w:rsidTr="005F78FC">
        <w:tc>
          <w:tcPr>
            <w:tcW w:w="0" w:type="auto"/>
            <w:vAlign w:val="center"/>
          </w:tcPr>
          <w:p w:rsidR="005F78FC" w:rsidRDefault="00B42EF3">
            <w:pPr>
              <w:pStyle w:val="TableBodyText"/>
            </w:pPr>
            <w:r>
              <w:t>Symmetric</w:t>
            </w:r>
          </w:p>
        </w:tc>
        <w:tc>
          <w:tcPr>
            <w:tcW w:w="0" w:type="auto"/>
            <w:vAlign w:val="center"/>
          </w:tcPr>
          <w:p w:rsidR="005F78FC" w:rsidRDefault="00B42EF3">
            <w:pPr>
              <w:pStyle w:val="TableBodyText"/>
            </w:pPr>
            <w:r>
              <w:t>No</w:t>
            </w:r>
          </w:p>
        </w:tc>
        <w:tc>
          <w:tcPr>
            <w:tcW w:w="0" w:type="auto"/>
            <w:vAlign w:val="center"/>
          </w:tcPr>
          <w:p w:rsidR="005F78FC" w:rsidRDefault="00B42EF3">
            <w:pPr>
              <w:pStyle w:val="TableBodyText"/>
            </w:pPr>
            <w:r>
              <w:t>Yes</w:t>
            </w:r>
          </w:p>
        </w:tc>
        <w:tc>
          <w:tcPr>
            <w:tcW w:w="0" w:type="auto"/>
            <w:vAlign w:val="center"/>
          </w:tcPr>
          <w:p w:rsidR="005F78FC" w:rsidRDefault="00B42EF3">
            <w:pPr>
              <w:pStyle w:val="TableBodyText"/>
            </w:pPr>
            <w:r>
              <w:t>Yes</w:t>
            </w:r>
          </w:p>
        </w:tc>
        <w:tc>
          <w:tcPr>
            <w:tcW w:w="0" w:type="auto"/>
            <w:vAlign w:val="center"/>
          </w:tcPr>
          <w:p w:rsidR="005F78FC" w:rsidRDefault="00B42EF3">
            <w:pPr>
              <w:pStyle w:val="TableBodyText"/>
            </w:pPr>
            <w:r>
              <w:t>Yes</w:t>
            </w:r>
          </w:p>
        </w:tc>
      </w:tr>
      <w:tr w:rsidR="005F78FC" w:rsidTr="005F78FC">
        <w:tc>
          <w:tcPr>
            <w:tcW w:w="0" w:type="auto"/>
            <w:vAlign w:val="center"/>
          </w:tcPr>
          <w:p w:rsidR="005F78FC" w:rsidRDefault="00B42EF3">
            <w:pPr>
              <w:pStyle w:val="TableBodyText"/>
            </w:pPr>
            <w:r>
              <w:t>Smooth</w:t>
            </w:r>
          </w:p>
        </w:tc>
        <w:tc>
          <w:tcPr>
            <w:tcW w:w="0" w:type="auto"/>
            <w:vAlign w:val="center"/>
          </w:tcPr>
          <w:p w:rsidR="005F78FC" w:rsidRDefault="00B42EF3">
            <w:pPr>
              <w:pStyle w:val="TableBodyText"/>
            </w:pPr>
            <w:r>
              <w:t>No</w:t>
            </w:r>
          </w:p>
        </w:tc>
        <w:tc>
          <w:tcPr>
            <w:tcW w:w="0" w:type="auto"/>
            <w:vAlign w:val="center"/>
          </w:tcPr>
          <w:p w:rsidR="005F78FC" w:rsidRDefault="00B42EF3">
            <w:pPr>
              <w:pStyle w:val="TableBodyText"/>
            </w:pPr>
            <w:r>
              <w:t>No</w:t>
            </w:r>
          </w:p>
        </w:tc>
        <w:tc>
          <w:tcPr>
            <w:tcW w:w="0" w:type="auto"/>
            <w:vAlign w:val="center"/>
          </w:tcPr>
          <w:p w:rsidR="005F78FC" w:rsidRDefault="00B42EF3">
            <w:pPr>
              <w:pStyle w:val="TableBodyText"/>
            </w:pPr>
            <w:r>
              <w:t>Yes</w:t>
            </w:r>
          </w:p>
        </w:tc>
        <w:tc>
          <w:tcPr>
            <w:tcW w:w="0" w:type="auto"/>
            <w:vAlign w:val="center"/>
          </w:tcPr>
          <w:p w:rsidR="005F78FC" w:rsidRDefault="00B42EF3">
            <w:pPr>
              <w:pStyle w:val="TableBodyText"/>
            </w:pPr>
            <w:r>
              <w:t>Yes</w:t>
            </w:r>
          </w:p>
        </w:tc>
      </w:tr>
      <w:tr w:rsidR="005F78FC" w:rsidTr="005F78FC">
        <w:tc>
          <w:tcPr>
            <w:tcW w:w="0" w:type="auto"/>
            <w:vAlign w:val="center"/>
          </w:tcPr>
          <w:p w:rsidR="005F78FC" w:rsidRDefault="00B42EF3">
            <w:pPr>
              <w:pStyle w:val="TableBodyText"/>
            </w:pPr>
            <w:r>
              <w:t>Corner</w:t>
            </w:r>
          </w:p>
        </w:tc>
        <w:tc>
          <w:tcPr>
            <w:tcW w:w="0" w:type="auto"/>
            <w:vAlign w:val="center"/>
          </w:tcPr>
          <w:p w:rsidR="005F78FC" w:rsidRDefault="00B42EF3">
            <w:pPr>
              <w:pStyle w:val="TableBodyText"/>
            </w:pPr>
            <w:r>
              <w:t>No</w:t>
            </w:r>
          </w:p>
        </w:tc>
        <w:tc>
          <w:tcPr>
            <w:tcW w:w="0" w:type="auto"/>
            <w:vAlign w:val="center"/>
          </w:tcPr>
          <w:p w:rsidR="005F78FC" w:rsidRDefault="00B42EF3">
            <w:pPr>
              <w:pStyle w:val="TableBodyText"/>
            </w:pPr>
            <w:r>
              <w:t>No</w:t>
            </w:r>
          </w:p>
        </w:tc>
        <w:tc>
          <w:tcPr>
            <w:tcW w:w="0" w:type="auto"/>
            <w:vAlign w:val="center"/>
          </w:tcPr>
          <w:p w:rsidR="005F78FC" w:rsidRDefault="00B42EF3">
            <w:pPr>
              <w:pStyle w:val="TableBodyText"/>
            </w:pPr>
            <w:r>
              <w:t>No</w:t>
            </w:r>
          </w:p>
        </w:tc>
        <w:tc>
          <w:tcPr>
            <w:tcW w:w="0" w:type="auto"/>
            <w:vAlign w:val="center"/>
          </w:tcPr>
          <w:p w:rsidR="005F78FC" w:rsidRDefault="00B42EF3">
            <w:pPr>
              <w:pStyle w:val="TableBodyText"/>
            </w:pPr>
            <w:r>
              <w:t>Yes</w:t>
            </w:r>
          </w:p>
        </w:tc>
      </w:tr>
      <w:tr w:rsidR="005F78FC" w:rsidTr="005F78FC">
        <w:tc>
          <w:tcPr>
            <w:tcW w:w="0" w:type="auto"/>
            <w:vAlign w:val="center"/>
          </w:tcPr>
          <w:p w:rsidR="005F78FC" w:rsidRDefault="00B42EF3">
            <w:pPr>
              <w:pStyle w:val="TableBodyText"/>
            </w:pPr>
            <w:r>
              <w:t>Freeform</w:t>
            </w:r>
          </w:p>
        </w:tc>
        <w:tc>
          <w:tcPr>
            <w:tcW w:w="0" w:type="auto"/>
            <w:vAlign w:val="center"/>
          </w:tcPr>
          <w:p w:rsidR="005F78FC" w:rsidRDefault="00B42EF3">
            <w:pPr>
              <w:pStyle w:val="TableBodyText"/>
            </w:pPr>
            <w:r>
              <w:t>No</w:t>
            </w:r>
          </w:p>
        </w:tc>
        <w:tc>
          <w:tcPr>
            <w:tcW w:w="0" w:type="auto"/>
            <w:vAlign w:val="center"/>
          </w:tcPr>
          <w:p w:rsidR="005F78FC" w:rsidRDefault="00B42EF3">
            <w:pPr>
              <w:pStyle w:val="TableBodyText"/>
            </w:pPr>
            <w:r>
              <w:t>No</w:t>
            </w:r>
          </w:p>
        </w:tc>
        <w:tc>
          <w:tcPr>
            <w:tcW w:w="0" w:type="auto"/>
            <w:vAlign w:val="center"/>
          </w:tcPr>
          <w:p w:rsidR="005F78FC" w:rsidRDefault="00B42EF3">
            <w:pPr>
              <w:pStyle w:val="TableBodyText"/>
            </w:pPr>
            <w:r>
              <w:t>No</w:t>
            </w:r>
          </w:p>
        </w:tc>
        <w:tc>
          <w:tcPr>
            <w:tcW w:w="0" w:type="auto"/>
            <w:vAlign w:val="center"/>
          </w:tcPr>
          <w:p w:rsidR="005F78FC" w:rsidRDefault="00B42EF3">
            <w:pPr>
              <w:pStyle w:val="TableBodyText"/>
            </w:pPr>
            <w:r>
              <w:t>Yes</w:t>
            </w:r>
          </w:p>
        </w:tc>
      </w:tr>
    </w:tbl>
    <w:p w:rsidR="005F78FC" w:rsidRDefault="005F78FC"/>
    <w:p w:rsidR="005F78FC" w:rsidRDefault="00B42EF3">
      <w:r>
        <w:lastRenderedPageBreak/>
        <w:t xml:space="preserve">The auto vertex behavior is effectively the default behavior as it requires the application to provide the </w:t>
      </w:r>
      <w:r>
        <w:t>control points for the curve.  The freeform vertex behavior is effectively user-defined as the application does not calculate control points.</w:t>
      </w:r>
    </w:p>
    <w:p w:rsidR="005F78FC" w:rsidRDefault="00B42EF3">
      <w:pPr>
        <w:pStyle w:val="Definition-Field"/>
      </w:pPr>
      <w:r>
        <w:t xml:space="preserve">d.   </w:t>
      </w:r>
      <w:r>
        <w:rPr>
          <w:i/>
        </w:rPr>
        <w:t>The standard indicates that the last four values of the at property of the v attribute are radial vectors.</w:t>
      </w:r>
    </w:p>
    <w:p w:rsidR="005F78FC" w:rsidRDefault="00B42EF3">
      <w:pPr>
        <w:pStyle w:val="Definition-Field2"/>
      </w:pPr>
      <w:r>
        <w:t>In</w:t>
      </w:r>
      <w:r>
        <w:t xml:space="preserve"> Office, the last four values of the at property of the v attribute are points that define radial vectors with origins at the center of the bounding box.</w:t>
      </w:r>
    </w:p>
    <w:p w:rsidR="005F78FC" w:rsidRDefault="00B42EF3">
      <w:pPr>
        <w:pStyle w:val="Definition-Field"/>
      </w:pPr>
      <w:r>
        <w:t xml:space="preserve">e.   </w:t>
      </w:r>
      <w:r>
        <w:rPr>
          <w:i/>
        </w:rPr>
        <w:t>The standard does not fully explain how the qb property of the v attribute is used.</w:t>
      </w:r>
    </w:p>
    <w:p w:rsidR="005F78FC" w:rsidRDefault="00B42EF3">
      <w:pPr>
        <w:pStyle w:val="Definition-Field2"/>
      </w:pPr>
      <w:r>
        <w:t>Office requir</w:t>
      </w:r>
      <w:r>
        <w:t>es that the qb property of the v attribute have a closed path. If the path is not closed, a new subpath shall exist after qb.</w:t>
      </w:r>
    </w:p>
    <w:p w:rsidR="005F78FC" w:rsidRDefault="00B42EF3">
      <w:pPr>
        <w:pStyle w:val="Definition-Field"/>
      </w:pPr>
      <w:r>
        <w:t xml:space="preserve">f.   </w:t>
      </w:r>
      <w:r>
        <w:rPr>
          <w:i/>
        </w:rPr>
        <w:t>The standard indicates how the limo attribute is used.</w:t>
      </w:r>
    </w:p>
    <w:p w:rsidR="005F78FC" w:rsidRDefault="00B42EF3">
      <w:pPr>
        <w:pStyle w:val="Definition-Field2"/>
      </w:pPr>
      <w:r>
        <w:t>Office does not support the limo attribute.</w:t>
      </w:r>
    </w:p>
    <w:p w:rsidR="005F78FC" w:rsidRDefault="00B42EF3">
      <w:pPr>
        <w:pStyle w:val="Definition-Field"/>
      </w:pPr>
      <w:r>
        <w:t xml:space="preserve">g.   </w:t>
      </w:r>
      <w:r>
        <w:rPr>
          <w:i/>
        </w:rPr>
        <w:t>The standard indicate</w:t>
      </w:r>
      <w:r>
        <w:rPr>
          <w:i/>
        </w:rPr>
        <w:t>s how the textboxrect attribute is used.</w:t>
      </w:r>
    </w:p>
    <w:p w:rsidR="005F78FC" w:rsidRDefault="00B42EF3">
      <w:r>
        <w:t>The following describes the Office requirements for this attribute:</w:t>
      </w:r>
    </w:p>
    <w:p w:rsidR="005F78FC" w:rsidRDefault="00B42EF3">
      <w:r>
        <w:t>Only one textbox is created for each shape. The rectangles defined by this attribute are used with text layout options to define the position of th</w:t>
      </w:r>
      <w:r>
        <w:t>e textbox inside the shape.</w:t>
      </w:r>
    </w:p>
    <w:p w:rsidR="005F78FC" w:rsidRDefault="00B42EF3">
      <w:r>
        <w:t>If 4, 5 or more than 6 rectangles are defined, Office defaults to the shape’s bounding box.</w:t>
      </w:r>
    </w:p>
    <w:p w:rsidR="005F78FC" w:rsidRDefault="00B42EF3">
      <w:r>
        <w:t xml:space="preserve">If the shape has no adjust handles, the rectangle chosen depends on the layout defined by the </w:t>
      </w:r>
      <w:r>
        <w:rPr>
          <w:i/>
        </w:rPr>
        <w:t>layout-flow</w:t>
      </w:r>
      <w:r>
        <w:t xml:space="preserve"> property of the </w:t>
      </w:r>
      <w:r>
        <w:rPr>
          <w:b/>
        </w:rPr>
        <w:t>style</w:t>
      </w:r>
      <w:r>
        <w:t xml:space="preserve"> attribut</w:t>
      </w:r>
      <w:r>
        <w:t>e:</w:t>
      </w:r>
    </w:p>
    <w:tbl>
      <w:tblPr>
        <w:tblStyle w:val="Table-ShadedHeader"/>
        <w:tblW w:w="0" w:type="auto"/>
        <w:tblLook w:val="04A0" w:firstRow="1" w:lastRow="0" w:firstColumn="1" w:lastColumn="0" w:noHBand="0" w:noVBand="1"/>
      </w:tblPr>
      <w:tblGrid>
        <w:gridCol w:w="1927"/>
        <w:gridCol w:w="1218"/>
        <w:gridCol w:w="1832"/>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Layout-flow</w:t>
            </w:r>
          </w:p>
        </w:tc>
        <w:tc>
          <w:tcPr>
            <w:tcW w:w="0" w:type="auto"/>
            <w:vAlign w:val="center"/>
          </w:tcPr>
          <w:p w:rsidR="005F78FC" w:rsidRDefault="00B42EF3">
            <w:pPr>
              <w:pStyle w:val="TableHeaderText"/>
            </w:pPr>
            <w:r>
              <w:t xml:space="preserve">Number of </w:t>
            </w:r>
          </w:p>
          <w:p w:rsidR="005F78FC" w:rsidRDefault="00B42EF3">
            <w:pPr>
              <w:pStyle w:val="TableHeaderText"/>
            </w:pPr>
            <w:r>
              <w:t>Rectangles</w:t>
            </w:r>
          </w:p>
        </w:tc>
        <w:tc>
          <w:tcPr>
            <w:tcW w:w="0" w:type="auto"/>
            <w:vAlign w:val="center"/>
          </w:tcPr>
          <w:p w:rsidR="005F78FC" w:rsidRDefault="00B42EF3">
            <w:pPr>
              <w:pStyle w:val="TableHeaderText"/>
            </w:pPr>
            <w:r>
              <w:t>Chosen Rectangle</w:t>
            </w:r>
          </w:p>
        </w:tc>
      </w:tr>
      <w:tr w:rsidR="005F78FC" w:rsidTr="005F78FC">
        <w:tc>
          <w:tcPr>
            <w:tcW w:w="0" w:type="auto"/>
            <w:vAlign w:val="center"/>
          </w:tcPr>
          <w:p w:rsidR="005F78FC" w:rsidRDefault="00B42EF3">
            <w:pPr>
              <w:pStyle w:val="TableBodyText"/>
            </w:pPr>
            <w:r>
              <w:t>Horizontal or Vertical</w:t>
            </w:r>
          </w:p>
        </w:tc>
        <w:tc>
          <w:tcPr>
            <w:tcW w:w="0" w:type="auto"/>
            <w:vAlign w:val="center"/>
          </w:tcPr>
          <w:p w:rsidR="005F78FC" w:rsidRDefault="00B42EF3">
            <w:pPr>
              <w:pStyle w:val="TableBodyText"/>
            </w:pPr>
            <w:r>
              <w:t>1</w:t>
            </w:r>
          </w:p>
        </w:tc>
        <w:tc>
          <w:tcPr>
            <w:tcW w:w="0" w:type="auto"/>
            <w:vAlign w:val="center"/>
          </w:tcPr>
          <w:p w:rsidR="005F78FC" w:rsidRDefault="00B42EF3">
            <w:pPr>
              <w:pStyle w:val="TableBodyText"/>
            </w:pPr>
            <w:r>
              <w:t>#1</w:t>
            </w:r>
          </w:p>
        </w:tc>
      </w:tr>
      <w:tr w:rsidR="005F78FC" w:rsidTr="005F78FC">
        <w:tc>
          <w:tcPr>
            <w:tcW w:w="0" w:type="auto"/>
            <w:vAlign w:val="center"/>
          </w:tcPr>
          <w:p w:rsidR="005F78FC" w:rsidRDefault="00B42EF3">
            <w:pPr>
              <w:pStyle w:val="TableBodyText"/>
            </w:pPr>
            <w:r>
              <w:t>Horizontal</w:t>
            </w:r>
          </w:p>
        </w:tc>
        <w:tc>
          <w:tcPr>
            <w:tcW w:w="0" w:type="auto"/>
            <w:vAlign w:val="center"/>
          </w:tcPr>
          <w:p w:rsidR="005F78FC" w:rsidRDefault="00B42EF3">
            <w:pPr>
              <w:pStyle w:val="TableBodyText"/>
            </w:pPr>
            <w:r>
              <w:t>2</w:t>
            </w:r>
          </w:p>
        </w:tc>
        <w:tc>
          <w:tcPr>
            <w:tcW w:w="0" w:type="auto"/>
            <w:vAlign w:val="center"/>
          </w:tcPr>
          <w:p w:rsidR="005F78FC" w:rsidRDefault="00B42EF3">
            <w:pPr>
              <w:pStyle w:val="TableBodyText"/>
            </w:pPr>
            <w:r>
              <w:t>#1</w:t>
            </w:r>
          </w:p>
        </w:tc>
      </w:tr>
      <w:tr w:rsidR="005F78FC" w:rsidTr="005F78FC">
        <w:tc>
          <w:tcPr>
            <w:tcW w:w="0" w:type="auto"/>
            <w:vAlign w:val="center"/>
          </w:tcPr>
          <w:p w:rsidR="005F78FC" w:rsidRDefault="00B42EF3">
            <w:pPr>
              <w:pStyle w:val="TableBodyText"/>
            </w:pPr>
            <w:r>
              <w:t>Vertical</w:t>
            </w:r>
          </w:p>
        </w:tc>
        <w:tc>
          <w:tcPr>
            <w:tcW w:w="0" w:type="auto"/>
            <w:vAlign w:val="center"/>
          </w:tcPr>
          <w:p w:rsidR="005F78FC" w:rsidRDefault="00B42EF3">
            <w:pPr>
              <w:pStyle w:val="TableBodyText"/>
            </w:pPr>
            <w:r>
              <w:t>2</w:t>
            </w:r>
          </w:p>
        </w:tc>
        <w:tc>
          <w:tcPr>
            <w:tcW w:w="0" w:type="auto"/>
            <w:vAlign w:val="center"/>
          </w:tcPr>
          <w:p w:rsidR="005F78FC" w:rsidRDefault="00B42EF3">
            <w:pPr>
              <w:pStyle w:val="TableBodyText"/>
            </w:pPr>
            <w:r>
              <w:t>#2</w:t>
            </w:r>
          </w:p>
        </w:tc>
      </w:tr>
      <w:tr w:rsidR="005F78FC" w:rsidTr="005F78FC">
        <w:tc>
          <w:tcPr>
            <w:tcW w:w="0" w:type="auto"/>
            <w:vAlign w:val="center"/>
          </w:tcPr>
          <w:p w:rsidR="005F78FC" w:rsidRDefault="00B42EF3">
            <w:pPr>
              <w:pStyle w:val="TableBodyText"/>
            </w:pPr>
            <w:r>
              <w:t>Horizontal or Vertical</w:t>
            </w:r>
          </w:p>
        </w:tc>
        <w:tc>
          <w:tcPr>
            <w:tcW w:w="0" w:type="auto"/>
            <w:vAlign w:val="center"/>
          </w:tcPr>
          <w:p w:rsidR="005F78FC" w:rsidRDefault="00B42EF3">
            <w:pPr>
              <w:pStyle w:val="TableBodyText"/>
            </w:pPr>
            <w:r>
              <w:t>3</w:t>
            </w:r>
          </w:p>
        </w:tc>
        <w:tc>
          <w:tcPr>
            <w:tcW w:w="0" w:type="auto"/>
            <w:vAlign w:val="center"/>
          </w:tcPr>
          <w:p w:rsidR="005F78FC" w:rsidRDefault="00B42EF3">
            <w:pPr>
              <w:pStyle w:val="TableBodyText"/>
            </w:pPr>
            <w:r>
              <w:t>#1</w:t>
            </w:r>
          </w:p>
        </w:tc>
      </w:tr>
      <w:tr w:rsidR="005F78FC" w:rsidTr="005F78FC">
        <w:tc>
          <w:tcPr>
            <w:tcW w:w="0" w:type="auto"/>
            <w:vAlign w:val="center"/>
          </w:tcPr>
          <w:p w:rsidR="005F78FC" w:rsidRDefault="00B42EF3">
            <w:pPr>
              <w:pStyle w:val="TableBodyText"/>
            </w:pPr>
            <w:r>
              <w:t>Horizontal</w:t>
            </w:r>
          </w:p>
        </w:tc>
        <w:tc>
          <w:tcPr>
            <w:tcW w:w="0" w:type="auto"/>
            <w:vAlign w:val="center"/>
          </w:tcPr>
          <w:p w:rsidR="005F78FC" w:rsidRDefault="00B42EF3">
            <w:pPr>
              <w:pStyle w:val="TableBodyText"/>
            </w:pPr>
            <w:r>
              <w:t>6</w:t>
            </w:r>
          </w:p>
        </w:tc>
        <w:tc>
          <w:tcPr>
            <w:tcW w:w="0" w:type="auto"/>
            <w:vAlign w:val="center"/>
          </w:tcPr>
          <w:p w:rsidR="005F78FC" w:rsidRDefault="00B42EF3">
            <w:pPr>
              <w:pStyle w:val="TableBodyText"/>
            </w:pPr>
            <w:r>
              <w:t>#1</w:t>
            </w:r>
          </w:p>
        </w:tc>
      </w:tr>
      <w:tr w:rsidR="005F78FC" w:rsidTr="005F78FC">
        <w:tc>
          <w:tcPr>
            <w:tcW w:w="0" w:type="auto"/>
            <w:vAlign w:val="center"/>
          </w:tcPr>
          <w:p w:rsidR="005F78FC" w:rsidRDefault="00B42EF3">
            <w:pPr>
              <w:pStyle w:val="TableBodyText"/>
            </w:pPr>
            <w:r>
              <w:t>Vertical</w:t>
            </w:r>
          </w:p>
        </w:tc>
        <w:tc>
          <w:tcPr>
            <w:tcW w:w="0" w:type="auto"/>
            <w:vAlign w:val="center"/>
          </w:tcPr>
          <w:p w:rsidR="005F78FC" w:rsidRDefault="00B42EF3">
            <w:pPr>
              <w:pStyle w:val="TableBodyText"/>
            </w:pPr>
            <w:r>
              <w:t>6</w:t>
            </w:r>
          </w:p>
        </w:tc>
        <w:tc>
          <w:tcPr>
            <w:tcW w:w="0" w:type="auto"/>
            <w:vAlign w:val="center"/>
          </w:tcPr>
          <w:p w:rsidR="005F78FC" w:rsidRDefault="00B42EF3">
            <w:pPr>
              <w:pStyle w:val="TableBodyText"/>
            </w:pPr>
            <w:r>
              <w:t>#4</w:t>
            </w:r>
          </w:p>
        </w:tc>
      </w:tr>
    </w:tbl>
    <w:p w:rsidR="005F78FC" w:rsidRDefault="005F78FC"/>
    <w:p w:rsidR="005F78FC" w:rsidRDefault="00B42EF3">
      <w:r>
        <w:t xml:space="preserve">If the shape has adjust handles, the position of the textbox takes into </w:t>
      </w:r>
      <w:r>
        <w:t>account one or more rectangles defined here, the layout of the text and the position and range of the adjust handles. Office uses this data to choose a textbox position that conflicts least with the shape’s path.</w:t>
      </w:r>
    </w:p>
    <w:p w:rsidR="005F78FC" w:rsidRDefault="00B42EF3">
      <w:r>
        <w:t xml:space="preserve">If more than one adjust handle is defined, </w:t>
      </w:r>
      <w:r>
        <w:t xml:space="preserve">only the first one is used. However, Office requires that the first handle defined in the file for the shape reference the first two values of the </w:t>
      </w:r>
      <w:r>
        <w:rPr>
          <w:b/>
        </w:rPr>
        <w:t>adj</w:t>
      </w:r>
      <w:r>
        <w:t xml:space="preserve"> attribute of the shape.</w:t>
      </w:r>
    </w:p>
    <w:p w:rsidR="005F78FC" w:rsidRDefault="00B42EF3">
      <w:r>
        <w:t xml:space="preserve">[Note: For more information about adjust handles, see the </w:t>
      </w:r>
      <w:r>
        <w:rPr>
          <w:b/>
        </w:rPr>
        <w:t>handles</w:t>
      </w:r>
      <w:r>
        <w:t xml:space="preserve"> element ("</w:t>
      </w:r>
      <w:hyperlink r:id="rId244">
        <w:r>
          <w:rPr>
            <w:rStyle w:val="Hyperlink"/>
          </w:rPr>
          <w:t>[ISO/IEC-29500-4]</w:t>
        </w:r>
      </w:hyperlink>
      <w:r>
        <w:t xml:space="preserve"> §19.1.2.9; handles (Set of Handles)") and the </w:t>
      </w:r>
      <w:r>
        <w:rPr>
          <w:b/>
        </w:rPr>
        <w:t>adj</w:t>
      </w:r>
      <w:r>
        <w:t xml:space="preserve"> attribute, such as on the </w:t>
      </w:r>
      <w:r>
        <w:rPr>
          <w:b/>
        </w:rPr>
        <w:t>shape</w:t>
      </w:r>
      <w:r>
        <w:t xml:space="preserve"> element ("[ISO/IEC-29500-4]</w:t>
      </w:r>
      <w:r>
        <w:t xml:space="preserve"> §19.1.2.19; shape (Shape Definition)"). For more information about text layout, see the text layout properties in the </w:t>
      </w:r>
      <w:r>
        <w:rPr>
          <w:b/>
        </w:rPr>
        <w:t>style</w:t>
      </w:r>
      <w:r>
        <w:t xml:space="preserve"> attribute of the </w:t>
      </w:r>
      <w:r>
        <w:rPr>
          <w:b/>
        </w:rPr>
        <w:t>textbox</w:t>
      </w:r>
      <w:r>
        <w:t xml:space="preserve"> element ("[ISO/IEC-29500-4] §19.1.2.22; textbox (Text Box)"). end note]</w:t>
      </w:r>
    </w:p>
    <w:p w:rsidR="005F78FC" w:rsidRDefault="00B42EF3">
      <w:pPr>
        <w:pStyle w:val="Definition-Field"/>
      </w:pPr>
      <w:r>
        <w:lastRenderedPageBreak/>
        <w:t xml:space="preserve">h.   </w:t>
      </w:r>
      <w:r>
        <w:rPr>
          <w:i/>
        </w:rPr>
        <w:t>The standard does not restric</w:t>
      </w:r>
      <w:r>
        <w:rPr>
          <w:i/>
        </w:rPr>
        <w:t>t the number of instances of the path element.</w:t>
      </w:r>
    </w:p>
    <w:p w:rsidR="005F78FC" w:rsidRDefault="00B42EF3">
      <w:pPr>
        <w:pStyle w:val="Definition-Field2"/>
      </w:pPr>
      <w:r>
        <w:t>Office allows at most only one instance of the path element in each place where it can be used.</w:t>
      </w:r>
    </w:p>
    <w:p w:rsidR="005F78FC" w:rsidRDefault="00B42EF3">
      <w:pPr>
        <w:pStyle w:val="Heading3"/>
      </w:pPr>
      <w:bookmarkStart w:id="3618" w:name="section_02fe18eb74dc4eab9007ea8b2c3f8b48"/>
      <w:bookmarkStart w:id="3619" w:name="_Toc69879582"/>
      <w:r>
        <w:t>Part 4 Section 19.1.2.15, polyline (Multiple Path Line)</w:t>
      </w:r>
      <w:bookmarkEnd w:id="3618"/>
      <w:bookmarkEnd w:id="3619"/>
      <w:r>
        <w:fldChar w:fldCharType="begin"/>
      </w:r>
      <w:r>
        <w:instrText xml:space="preserve"> XE "polyline (Multiple Path Line)" </w:instrText>
      </w:r>
      <w:r>
        <w:fldChar w:fldCharType="end"/>
      </w:r>
    </w:p>
    <w:p w:rsidR="005F78FC" w:rsidRDefault="00B42EF3">
      <w:pPr>
        <w:pStyle w:val="Definition-Field2"/>
      </w:pPr>
      <w:r>
        <w:rPr>
          <w:i/>
        </w:rPr>
        <w:t>For additional note</w:t>
      </w:r>
      <w:r>
        <w:rPr>
          <w:i/>
        </w:rPr>
        <w:t xml:space="preserv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w:t>
        </w:r>
        <w:r>
          <w:rPr>
            <w:rStyle w:val="Hyperlink"/>
          </w:rPr>
          <w:t>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5F78FC" w:rsidRDefault="00B42EF3">
      <w:pPr>
        <w:pStyle w:val="Definition-Field"/>
      </w:pPr>
      <w:r>
        <w:t xml:space="preserve">a.   </w:t>
      </w:r>
      <w:r>
        <w:rPr>
          <w:i/>
        </w:rPr>
        <w:t>The standard places no restrictions o</w:t>
      </w:r>
      <w:r>
        <w:rPr>
          <w:i/>
        </w:rPr>
        <w:t>n the value of the spt attribute.</w:t>
      </w:r>
    </w:p>
    <w:p w:rsidR="005F78FC" w:rsidRDefault="00B42EF3">
      <w:pPr>
        <w:pStyle w:val="Definition-Field2"/>
      </w:pPr>
      <w:r>
        <w:t>Office requires that the spt attribute on a polyline element have a value of 0. It is an error to specify this attribute as anything other than the default value, except for the shape and shapetype elements which can handl</w:t>
      </w:r>
      <w:r>
        <w:t>e any valid spt value.</w:t>
      </w:r>
    </w:p>
    <w:p w:rsidR="005F78FC" w:rsidRDefault="00B42EF3">
      <w:pPr>
        <w:pStyle w:val="Definition-Field"/>
      </w:pPr>
      <w:r>
        <w:t xml:space="preserve">b.   </w:t>
      </w:r>
      <w:r>
        <w:rPr>
          <w:i/>
        </w:rPr>
        <w:t>The standard states that chromakey and opacity are valid attributes on the polyline element.</w:t>
      </w:r>
    </w:p>
    <w:p w:rsidR="005F78FC" w:rsidRDefault="00B42EF3">
      <w:pPr>
        <w:pStyle w:val="Definition-Field2"/>
      </w:pPr>
      <w:r>
        <w:t>Office does not support these attributes on this element.</w:t>
      </w:r>
    </w:p>
    <w:p w:rsidR="005F78FC" w:rsidRDefault="00B42EF3">
      <w:pPr>
        <w:pStyle w:val="Definition-Field"/>
      </w:pPr>
      <w:r>
        <w:t xml:space="preserve">c.   </w:t>
      </w:r>
      <w:r>
        <w:rPr>
          <w:i/>
        </w:rPr>
        <w:t>The standard does not mention the gfxdata attribute.</w:t>
      </w:r>
    </w:p>
    <w:p w:rsidR="005F78FC" w:rsidRDefault="00B42EF3">
      <w:pPr>
        <w:pStyle w:val="Definition-Field2"/>
      </w:pPr>
      <w:r>
        <w:t>Office uses an gfxd</w:t>
      </w:r>
      <w:r>
        <w:t>ata attribute. The definition is the same as the gfxdata attribute defined in Section 14.1.2.19.</w:t>
      </w:r>
    </w:p>
    <w:p w:rsidR="005F78FC" w:rsidRDefault="00B42EF3">
      <w:pPr>
        <w:pStyle w:val="Heading3"/>
      </w:pPr>
      <w:bookmarkStart w:id="3620" w:name="section_0049c89078764cd1bd6f449f22879f24"/>
      <w:bookmarkStart w:id="3621" w:name="_Toc69879583"/>
      <w:r>
        <w:t>Part 4 Section 19.1.2.16, rect (Rectangle)</w:t>
      </w:r>
      <w:bookmarkEnd w:id="3620"/>
      <w:bookmarkEnd w:id="3621"/>
      <w:r>
        <w:fldChar w:fldCharType="begin"/>
      </w:r>
      <w:r>
        <w:instrText xml:space="preserve"> XE "rect (Rectangle)"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5F78FC" w:rsidRDefault="00B42EF3">
      <w:pPr>
        <w:pStyle w:val="Definition-Field"/>
      </w:pPr>
      <w:r>
        <w:t xml:space="preserve">a.   </w:t>
      </w:r>
      <w:r>
        <w:rPr>
          <w:i/>
        </w:rPr>
        <w:t>The standard places no restrictions on the value of the spt attribute.</w:t>
      </w:r>
    </w:p>
    <w:p w:rsidR="005F78FC" w:rsidRDefault="00B42EF3">
      <w:pPr>
        <w:pStyle w:val="Definition-Field2"/>
      </w:pPr>
      <w:r>
        <w:t>Office requires that the spt attribute</w:t>
      </w:r>
      <w:r>
        <w:t xml:space="preserve"> on a rect element have a value of 1. It is an error to specify this attribute as anything other than the default value, except for the shape and shapetype elements which can handle any valid spt value.</w:t>
      </w:r>
    </w:p>
    <w:p w:rsidR="005F78FC" w:rsidRDefault="00B42EF3">
      <w:pPr>
        <w:pStyle w:val="Definition-Field"/>
      </w:pPr>
      <w:r>
        <w:t xml:space="preserve">b.   </w:t>
      </w:r>
      <w:r>
        <w:rPr>
          <w:i/>
        </w:rPr>
        <w:t xml:space="preserve">The standard states that chromakey and opacity </w:t>
      </w:r>
      <w:r>
        <w:rPr>
          <w:i/>
        </w:rPr>
        <w:t>are valid attributes on the rect element.</w:t>
      </w:r>
    </w:p>
    <w:p w:rsidR="005F78FC" w:rsidRDefault="00B42EF3">
      <w:pPr>
        <w:pStyle w:val="Definition-Field2"/>
      </w:pPr>
      <w:r>
        <w:t>Office does not support these attributes on this element.</w:t>
      </w:r>
    </w:p>
    <w:p w:rsidR="005F78FC" w:rsidRDefault="00B42EF3">
      <w:pPr>
        <w:pStyle w:val="Definition-Field"/>
      </w:pPr>
      <w:r>
        <w:t xml:space="preserve">c.   </w:t>
      </w:r>
      <w:r>
        <w:rPr>
          <w:i/>
        </w:rPr>
        <w:t>The standard states that the default value of the spt attribute is 0.</w:t>
      </w:r>
    </w:p>
    <w:p w:rsidR="005F78FC" w:rsidRDefault="00B42EF3">
      <w:pPr>
        <w:pStyle w:val="Definition-Field2"/>
      </w:pPr>
      <w:r>
        <w:t>Office uses a default value of 1 for the rect element.</w:t>
      </w:r>
    </w:p>
    <w:p w:rsidR="005F78FC" w:rsidRDefault="00B42EF3">
      <w:pPr>
        <w:pStyle w:val="Definition-Field"/>
      </w:pPr>
      <w:r>
        <w:t xml:space="preserve">d.   </w:t>
      </w:r>
      <w:r>
        <w:rPr>
          <w:i/>
        </w:rPr>
        <w:t xml:space="preserve">The standard places </w:t>
      </w:r>
      <w:r>
        <w:rPr>
          <w:i/>
        </w:rPr>
        <w:t>no restrictions on when the coordorigin and coordsize attributes are preserved on the rect element.</w:t>
      </w:r>
    </w:p>
    <w:p w:rsidR="005F78FC" w:rsidRDefault="00B42EF3">
      <w:pPr>
        <w:pStyle w:val="Definition-Field2"/>
      </w:pPr>
      <w:r>
        <w:t>Office only preserves these attributes when this element has at least one of the following child elements:  a path with connection points specified in its c</w:t>
      </w:r>
      <w:r>
        <w:t>onnectlocs attribute; a path with a textbox specified in its textboxrect attribute; or handles.</w:t>
      </w:r>
    </w:p>
    <w:p w:rsidR="005F78FC" w:rsidRDefault="00B42EF3">
      <w:pPr>
        <w:pStyle w:val="Definition-Field"/>
      </w:pPr>
      <w:r>
        <w:t xml:space="preserve">e.   </w:t>
      </w:r>
      <w:r>
        <w:rPr>
          <w:i/>
        </w:rPr>
        <w:t>The standard does not mention the gfxdata attribute.</w:t>
      </w:r>
    </w:p>
    <w:p w:rsidR="005F78FC" w:rsidRDefault="00B42EF3">
      <w:pPr>
        <w:pStyle w:val="Definition-Field2"/>
      </w:pPr>
      <w:r>
        <w:t>Office uses an gfxdata attribute. The definition is the same as the gfxdata attribute defined in Secti</w:t>
      </w:r>
      <w:r>
        <w:t>on 14.1.2.19.</w:t>
      </w:r>
    </w:p>
    <w:p w:rsidR="005F78FC" w:rsidRDefault="00B42EF3">
      <w:pPr>
        <w:pStyle w:val="Heading3"/>
      </w:pPr>
      <w:bookmarkStart w:id="3622" w:name="section_ad5503cd7f9344d6ae270940131156f6"/>
      <w:bookmarkStart w:id="3623" w:name="_Toc69879584"/>
      <w:r>
        <w:lastRenderedPageBreak/>
        <w:t>Part 4 Section 19.1.2.17, roundrect (Rounded Rectangle)</w:t>
      </w:r>
      <w:bookmarkEnd w:id="3622"/>
      <w:bookmarkEnd w:id="3623"/>
      <w:r>
        <w:fldChar w:fldCharType="begin"/>
      </w:r>
      <w:r>
        <w:instrText xml:space="preserve"> XE "roundrect (Rounded Rectangle)"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5F78FC" w:rsidRDefault="00B42EF3">
      <w:pPr>
        <w:pStyle w:val="Definition-Field"/>
      </w:pPr>
      <w:r>
        <w:t xml:space="preserve">a.   </w:t>
      </w:r>
      <w:r>
        <w:rPr>
          <w:i/>
        </w:rPr>
        <w:t>The standard places no restrictions on the value of the spt attribute.</w:t>
      </w:r>
    </w:p>
    <w:p w:rsidR="005F78FC" w:rsidRDefault="00B42EF3">
      <w:pPr>
        <w:pStyle w:val="Definition-Field2"/>
      </w:pPr>
      <w:r>
        <w:t>Office requires that the spt attribute on a roundrect element have a value of 2. It is an error</w:t>
      </w:r>
      <w:r>
        <w:t xml:space="preserve"> to specify this attribute as anything other than the default value, except for the shape and shapetype elements which can handle any valid spt value.</w:t>
      </w:r>
    </w:p>
    <w:p w:rsidR="005F78FC" w:rsidRDefault="00B42EF3">
      <w:pPr>
        <w:pStyle w:val="Definition-Field"/>
      </w:pPr>
      <w:r>
        <w:t xml:space="preserve">b.   </w:t>
      </w:r>
      <w:r>
        <w:rPr>
          <w:i/>
        </w:rPr>
        <w:t>The standard states that chromakey, coordorigin, and opacity are valid attributes on the roundrect e</w:t>
      </w:r>
      <w:r>
        <w:rPr>
          <w:i/>
        </w:rPr>
        <w:t>lement.</w:t>
      </w:r>
    </w:p>
    <w:p w:rsidR="005F78FC" w:rsidRDefault="00B42EF3">
      <w:pPr>
        <w:pStyle w:val="Definition-Field2"/>
      </w:pPr>
      <w:r>
        <w:t>Office does not support these attributes on this element.</w:t>
      </w:r>
    </w:p>
    <w:p w:rsidR="005F78FC" w:rsidRDefault="00B42EF3">
      <w:pPr>
        <w:pStyle w:val="Definition-Field"/>
      </w:pPr>
      <w:r>
        <w:t xml:space="preserve">c.   </w:t>
      </w:r>
      <w:r>
        <w:rPr>
          <w:i/>
        </w:rPr>
        <w:t>The standard states that the default value of the spt attribute is 0.</w:t>
      </w:r>
    </w:p>
    <w:p w:rsidR="005F78FC" w:rsidRDefault="00B42EF3">
      <w:pPr>
        <w:pStyle w:val="Definition-Field2"/>
      </w:pPr>
      <w:r>
        <w:t>Office uses a default value of 2 for the roundrect element.</w:t>
      </w:r>
    </w:p>
    <w:p w:rsidR="005F78FC" w:rsidRDefault="00B42EF3">
      <w:pPr>
        <w:pStyle w:val="Definition-Field"/>
      </w:pPr>
      <w:r>
        <w:t xml:space="preserve">d.   </w:t>
      </w:r>
      <w:r>
        <w:rPr>
          <w:i/>
        </w:rPr>
        <w:t>The standard does not mention the gfxdata attribut</w:t>
      </w:r>
      <w:r>
        <w:rPr>
          <w:i/>
        </w:rPr>
        <w:t>e.</w:t>
      </w:r>
    </w:p>
    <w:p w:rsidR="005F78FC" w:rsidRDefault="00B42EF3">
      <w:pPr>
        <w:pStyle w:val="Definition-Field2"/>
      </w:pPr>
      <w:r>
        <w:t>Office uses an gfxdata attribute. The definition is the same as the gfxdata attribute defined in Section 14.1.2.19.</w:t>
      </w:r>
    </w:p>
    <w:p w:rsidR="005F78FC" w:rsidRDefault="00B42EF3">
      <w:pPr>
        <w:pStyle w:val="Heading3"/>
      </w:pPr>
      <w:bookmarkStart w:id="3624" w:name="section_abf1cdb8e21044c2b758683db8ee1bbb"/>
      <w:bookmarkStart w:id="3625" w:name="_Toc69879585"/>
      <w:r>
        <w:t>Part 4 Section 19.1.2.18, shadow (Shadow Effect)</w:t>
      </w:r>
      <w:bookmarkEnd w:id="3624"/>
      <w:bookmarkEnd w:id="3625"/>
      <w:r>
        <w:fldChar w:fldCharType="begin"/>
      </w:r>
      <w:r>
        <w:instrText xml:space="preserve"> XE "shadow (Shadow Effect)" </w:instrText>
      </w:r>
      <w:r>
        <w:fldChar w:fldCharType="end"/>
      </w:r>
    </w:p>
    <w:p w:rsidR="005F78FC" w:rsidRDefault="00B42EF3">
      <w:pPr>
        <w:pStyle w:val="Definition-Field2"/>
      </w:pPr>
      <w:r>
        <w:rPr>
          <w:i/>
        </w:rPr>
        <w:t>For additional notes that apply to this portion of the st</w:t>
      </w:r>
      <w:r>
        <w:rPr>
          <w:i/>
        </w:rPr>
        <w:t xml:space="preserve">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5dab8b917bfb495a9ed59068ef74998d">
        <w:r>
          <w:rPr>
            <w:rStyle w:val="Hyperlink"/>
          </w:rPr>
          <w:t>group, §19.1.2.7(a)</w:t>
        </w:r>
      </w:hyperlink>
      <w:r>
        <w:rPr>
          <w:i/>
        </w:rPr>
        <w:t>.</w:t>
      </w:r>
    </w:p>
    <w:p w:rsidR="005F78FC" w:rsidRDefault="00B42EF3">
      <w:pPr>
        <w:pStyle w:val="Definition-Field"/>
      </w:pPr>
      <w:r>
        <w:t xml:space="preserve">a.   </w:t>
      </w:r>
      <w:r>
        <w:rPr>
          <w:i/>
        </w:rPr>
        <w:t>The standard states that the values of the type attrib</w:t>
      </w:r>
      <w:r>
        <w:rPr>
          <w:i/>
        </w:rPr>
        <w:t>ute are defined by the ST_ShadowType simple type and some additional values.</w:t>
      </w:r>
    </w:p>
    <w:p w:rsidR="005F78FC" w:rsidRDefault="00B42EF3">
      <w:pPr>
        <w:pStyle w:val="Definition-Field2"/>
      </w:pPr>
      <w:r>
        <w:t>Office only allows the values defined in the ST_ShadowType simple type for this attribute.</w:t>
      </w:r>
    </w:p>
    <w:p w:rsidR="005F78FC" w:rsidRDefault="00B42EF3">
      <w:pPr>
        <w:pStyle w:val="Definition-Field"/>
      </w:pPr>
      <w:r>
        <w:t xml:space="preserve">b.   </w:t>
      </w:r>
      <w:r>
        <w:rPr>
          <w:i/>
        </w:rPr>
        <w:t>The standard does not specify bounds for the matrix attribute.</w:t>
      </w:r>
    </w:p>
    <w:p w:rsidR="005F78FC" w:rsidRDefault="00B42EF3">
      <w:r>
        <w:t>In Office, these num</w:t>
      </w:r>
      <w:r>
        <w:t>eric values may be specified in 1/65536-ths if a trailing "f" is supplied. [</w:t>
      </w:r>
      <w:r>
        <w:rPr>
          <w:i/>
        </w:rPr>
        <w:t>Example:</w:t>
      </w:r>
      <w:r>
        <w:t xml:space="preserve"> A value of "52429f" represents 52429/65536, or 0.8. </w:t>
      </w:r>
      <w:r>
        <w:rPr>
          <w:i/>
        </w:rPr>
        <w:t>end example</w:t>
      </w:r>
      <w:r>
        <w:t xml:space="preserve">] The minimum and maximum values for </w:t>
      </w:r>
      <w:r>
        <w:rPr>
          <w:noProof/>
        </w:rPr>
        <w:drawing>
          <wp:inline distT="0" distB="0" distL="0" distR="0">
            <wp:extent cx="1181100" cy="190500"/>
            <wp:effectExtent l="0" t="0" r="0" b="0"/>
            <wp:docPr id="342015698" name="Picture 1" descr="S sub xx comma S sub xy comma S sub yx comma S sub yy comma P sub x comma P sub y" title="S sub xx comma S sub xy comma S sub yx comma S sub yy comma P sub x comma P sub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17d1c2-0000-0000-0000-000000000000" descr="S sub xx comma S sub xy comma S sub yx comma S sub yy comma P sub x comma P sub y" title="S sub xx comma S sub xy comma S sub yx comma S sub yy comma P sub x comma P sub y"/>
                    <pic:cNvPicPr>
                      <a:picLocks noChangeAspect="1" noChangeArrowheads="1"/>
                    </pic:cNvPicPr>
                  </pic:nvPicPr>
                  <pic:blipFill>
                    <a:blip r:embed="rId245" cstate="print"/>
                    <a:srcRect/>
                    <a:stretch>
                      <a:fillRect/>
                    </a:stretch>
                  </pic:blipFill>
                  <pic:spPr bwMode="auto">
                    <a:xfrm>
                      <a:off x="0" y="0"/>
                      <a:ext cx="1181100" cy="190500"/>
                    </a:xfrm>
                    <a:prstGeom prst="rect">
                      <a:avLst/>
                    </a:prstGeom>
                    <a:noFill/>
                    <a:ln w="9525">
                      <a:noFill/>
                      <a:miter lim="800000"/>
                      <a:headEnd/>
                      <a:tailEnd/>
                    </a:ln>
                  </pic:spPr>
                </pic:pic>
              </a:graphicData>
            </a:graphic>
          </wp:inline>
        </w:drawing>
      </w:r>
      <w:r>
        <w:t xml:space="preserve"> are -2147483644f to 2147483647f.</w:t>
      </w:r>
    </w:p>
    <w:p w:rsidR="005F78FC" w:rsidRDefault="00B42EF3">
      <w:pPr>
        <w:pStyle w:val="Definition-Field"/>
      </w:pPr>
      <w:r>
        <w:t xml:space="preserve">c.   </w:t>
      </w:r>
      <w:r>
        <w:rPr>
          <w:i/>
        </w:rPr>
        <w:t xml:space="preserve">The standard does not indicate </w:t>
      </w:r>
      <w:r>
        <w:rPr>
          <w:i/>
        </w:rPr>
        <w:t>how the matrix attribute is applied to the shadow.</w:t>
      </w:r>
    </w:p>
    <w:p w:rsidR="005F78FC" w:rsidRDefault="00B42EF3">
      <w:r>
        <w:t>Office applies this matrix to a point in the following way.</w:t>
      </w:r>
    </w:p>
    <w:p w:rsidR="005F78FC" w:rsidRDefault="00B42EF3">
      <w:r>
        <w:t xml:space="preserve">Let </w:t>
      </w:r>
      <w:r>
        <w:rPr>
          <w:noProof/>
        </w:rPr>
        <w:drawing>
          <wp:inline distT="0" distB="0" distL="0" distR="0">
            <wp:extent cx="85725" cy="171450"/>
            <wp:effectExtent l="0" t="0" r="0" b="0"/>
            <wp:docPr id="342015699" name="Picture 1" descr="Variable Q" title="Variable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d-0000-0000-0000-000000000000" descr="Variable Q" title="Variable Q"/>
                    <pic:cNvPicPr>
                      <a:picLocks noChangeAspect="1" noChangeArrowheads="1"/>
                    </pic:cNvPicPr>
                  </pic:nvPicPr>
                  <pic:blipFill>
                    <a:blip r:embed="rId246" cstate="print"/>
                    <a:srcRect/>
                    <a:stretch>
                      <a:fillRect/>
                    </a:stretch>
                  </pic:blipFill>
                  <pic:spPr bwMode="auto">
                    <a:xfrm>
                      <a:off x="0" y="0"/>
                      <a:ext cx="85725" cy="171450"/>
                    </a:xfrm>
                    <a:prstGeom prst="rect">
                      <a:avLst/>
                    </a:prstGeom>
                    <a:noFill/>
                    <a:ln w="9525">
                      <a:noFill/>
                      <a:miter lim="800000"/>
                      <a:headEnd/>
                      <a:tailEnd/>
                    </a:ln>
                  </pic:spPr>
                </pic:pic>
              </a:graphicData>
            </a:graphic>
          </wp:inline>
        </w:drawing>
      </w:r>
      <w:r>
        <w:t xml:space="preserve"> be a point in the object (after rotation, if the shape is rotated) described by </w:t>
      </w:r>
      <w:r>
        <w:rPr>
          <w:noProof/>
        </w:rPr>
        <w:drawing>
          <wp:inline distT="0" distB="0" distL="0" distR="0">
            <wp:extent cx="809625" cy="171450"/>
            <wp:effectExtent l="0" t="0" r="0" b="0"/>
            <wp:docPr id="342015700" name="Picture 1" descr="Equation: Q = a vector consisting of 3 elements. Column 1 contains x, column 2 contains  y, column 3 contains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e-0000-0000-0000-000000000000" descr="Equation: Q = a vector consisting of 3 elements. Column 1 contains x, column 2 contains  y, column 3 contains 1." title="Equation"/>
                    <pic:cNvPicPr>
                      <a:picLocks noChangeAspect="1" noChangeArrowheads="1"/>
                    </pic:cNvPicPr>
                  </pic:nvPicPr>
                  <pic:blipFill>
                    <a:blip r:embed="rId247" cstate="print"/>
                    <a:srcRect/>
                    <a:stretch>
                      <a:fillRect/>
                    </a:stretch>
                  </pic:blipFill>
                  <pic:spPr bwMode="auto">
                    <a:xfrm>
                      <a:off x="0" y="0"/>
                      <a:ext cx="809625" cy="171450"/>
                    </a:xfrm>
                    <a:prstGeom prst="rect">
                      <a:avLst/>
                    </a:prstGeom>
                    <a:noFill/>
                    <a:ln w="9525">
                      <a:noFill/>
                      <a:miter lim="800000"/>
                      <a:headEnd/>
                      <a:tailEnd/>
                    </a:ln>
                  </pic:spPr>
                </pic:pic>
              </a:graphicData>
            </a:graphic>
          </wp:inline>
        </w:drawing>
      </w:r>
      <w:r>
        <w:t>.</w:t>
      </w:r>
    </w:p>
    <w:p w:rsidR="005F78FC" w:rsidRDefault="00B42EF3">
      <w:r>
        <w:t xml:space="preserve">Let </w:t>
      </w:r>
      <w:r>
        <w:rPr>
          <w:noProof/>
        </w:rPr>
        <w:drawing>
          <wp:inline distT="0" distB="0" distL="0" distR="0">
            <wp:extent cx="790575" cy="466724"/>
            <wp:effectExtent l="0" t="0" r="0" b="0"/>
            <wp:docPr id="342015701" name="Picture 1" descr="Equation: F = Q times a vector consisting of 3 elements. 1 over P sub x 1 over P sub y,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f-0000-0000-0000-000000000000" descr="Equation: F = Q times a vector consisting of 3 elements. 1 over P sub x 1 over P sub y, and 1" title="Equation"/>
                    <pic:cNvPicPr>
                      <a:picLocks noChangeAspect="1" noChangeArrowheads="1"/>
                    </pic:cNvPicPr>
                  </pic:nvPicPr>
                  <pic:blipFill>
                    <a:blip r:embed="rId248" cstate="print"/>
                    <a:srcRect/>
                    <a:stretch>
                      <a:fillRect/>
                    </a:stretch>
                  </pic:blipFill>
                  <pic:spPr bwMode="auto">
                    <a:xfrm>
                      <a:off x="0" y="0"/>
                      <a:ext cx="790575" cy="466724"/>
                    </a:xfrm>
                    <a:prstGeom prst="rect">
                      <a:avLst/>
                    </a:prstGeom>
                    <a:noFill/>
                    <a:ln w="9525">
                      <a:noFill/>
                      <a:miter lim="800000"/>
                      <a:headEnd/>
                      <a:tailEnd/>
                    </a:ln>
                  </pic:spPr>
                </pic:pic>
              </a:graphicData>
            </a:graphic>
          </wp:inline>
        </w:drawing>
      </w:r>
      <w:r>
        <w:t xml:space="preserve"> and </w:t>
      </w:r>
      <w:r>
        <w:rPr>
          <w:noProof/>
        </w:rPr>
        <w:drawing>
          <wp:inline distT="0" distB="0" distL="0" distR="0">
            <wp:extent cx="1609725" cy="504825"/>
            <wp:effectExtent l="0" t="0" r="0" b="0"/>
            <wp:docPr id="342015702" name="Picture 1" descr="Equation: M is matrix consisting of e elements. Column one is S sub xx, and S sub xy, and x offset. Column 2 is S sub yx, and S sub yy, and y offset. Column 3 is 0,and 0,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8-0000-0000-0000-000000000000" descr="Equation: M is matrix consisting of e elements. Column one is S sub xx, and S sub xy, and x offset. Column 2 is S sub yx, and S sub yy, and y offset. Column 3 is 0,and 0, and 1" title="Equation"/>
                    <pic:cNvPicPr>
                      <a:picLocks noChangeAspect="1" noChangeArrowheads="1"/>
                    </pic:cNvPicPr>
                  </pic:nvPicPr>
                  <pic:blipFill>
                    <a:blip r:embed="rId249" cstate="print"/>
                    <a:srcRect/>
                    <a:stretch>
                      <a:fillRect/>
                    </a:stretch>
                  </pic:blipFill>
                  <pic:spPr bwMode="auto">
                    <a:xfrm>
                      <a:off x="0" y="0"/>
                      <a:ext cx="1609725" cy="504825"/>
                    </a:xfrm>
                    <a:prstGeom prst="rect">
                      <a:avLst/>
                    </a:prstGeom>
                    <a:noFill/>
                    <a:ln w="9525">
                      <a:noFill/>
                      <a:miter lim="800000"/>
                      <a:headEnd/>
                      <a:tailEnd/>
                    </a:ln>
                  </pic:spPr>
                </pic:pic>
              </a:graphicData>
            </a:graphic>
          </wp:inline>
        </w:drawing>
      </w:r>
      <w:r>
        <w:t>.</w:t>
      </w:r>
    </w:p>
    <w:p w:rsidR="005F78FC" w:rsidRDefault="00B42EF3">
      <w:r>
        <w:t xml:space="preserve">A new point </w:t>
      </w:r>
      <w:r>
        <w:rPr>
          <w:noProof/>
        </w:rPr>
        <w:drawing>
          <wp:inline distT="0" distB="0" distL="0" distR="0">
            <wp:extent cx="114300" cy="171450"/>
            <wp:effectExtent l="0" t="0" r="0" b="0"/>
            <wp:docPr id="342015703" name="Picture 1" descr="Q prime" title="Q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9-0000-0000-0000-000000000000" descr="Q prime" title="Q prime"/>
                    <pic:cNvPicPr>
                      <a:picLocks noChangeAspect="1" noChangeArrowheads="1"/>
                    </pic:cNvPicPr>
                  </pic:nvPicPr>
                  <pic:blipFill>
                    <a:blip r:embed="rId250"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r>
        <w:t xml:space="preserve"> is calculated as </w:t>
      </w:r>
      <w:r>
        <w:rPr>
          <w:noProof/>
        </w:rPr>
        <w:drawing>
          <wp:inline distT="0" distB="0" distL="0" distR="0">
            <wp:extent cx="838200" cy="171450"/>
            <wp:effectExtent l="0" t="0" r="0" b="0"/>
            <wp:docPr id="342015704" name="Picture 1" descr="Equation for new point: Q prime = f times open parentheses Q times M closed parentheses" title="Equation for new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a-0000-0000-0000-000000000000" descr="Equation for new point: Q prime = f times open parentheses Q times M closed parentheses" title="Equation for new point"/>
                    <pic:cNvPicPr>
                      <a:picLocks noChangeAspect="1" noChangeArrowheads="1"/>
                    </pic:cNvPicPr>
                  </pic:nvPicPr>
                  <pic:blipFill>
                    <a:blip r:embed="rId251" cstate="print"/>
                    <a:srcRect/>
                    <a:stretch>
                      <a:fillRect/>
                    </a:stretch>
                  </pic:blipFill>
                  <pic:spPr bwMode="auto">
                    <a:xfrm>
                      <a:off x="0" y="0"/>
                      <a:ext cx="838200" cy="171450"/>
                    </a:xfrm>
                    <a:prstGeom prst="rect">
                      <a:avLst/>
                    </a:prstGeom>
                    <a:noFill/>
                    <a:ln w="9525">
                      <a:noFill/>
                      <a:miter lim="800000"/>
                      <a:headEnd/>
                      <a:tailEnd/>
                    </a:ln>
                  </pic:spPr>
                </pic:pic>
              </a:graphicData>
            </a:graphic>
          </wp:inline>
        </w:drawing>
      </w:r>
      <w:r>
        <w:t>.</w:t>
      </w:r>
    </w:p>
    <w:p w:rsidR="005F78FC" w:rsidRDefault="00B42EF3">
      <w:r>
        <w:t xml:space="preserve">In Office, if </w:t>
      </w:r>
      <w:r>
        <w:rPr>
          <w:noProof/>
        </w:rPr>
        <w:drawing>
          <wp:inline distT="0" distB="0" distL="0" distR="0">
            <wp:extent cx="361950" cy="171450"/>
            <wp:effectExtent l="0" t="0" r="0" b="0"/>
            <wp:docPr id="342015705" name="Picture 1" descr="Equation: P sub x = 0"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b-0000-0000-0000-000000000000" descr="Equation: P sub x = 0" title="Equation"/>
                    <pic:cNvPicPr>
                      <a:picLocks noChangeAspect="1" noChangeArrowheads="1"/>
                    </pic:cNvPicPr>
                  </pic:nvPicPr>
                  <pic:blipFill>
                    <a:blip r:embed="rId252" cstate="print"/>
                    <a:srcRect/>
                    <a:stretch>
                      <a:fillRect/>
                    </a:stretch>
                  </pic:blipFill>
                  <pic:spPr bwMode="auto">
                    <a:xfrm>
                      <a:off x="0" y="0"/>
                      <a:ext cx="361950" cy="171450"/>
                    </a:xfrm>
                    <a:prstGeom prst="rect">
                      <a:avLst/>
                    </a:prstGeom>
                    <a:noFill/>
                    <a:ln w="9525">
                      <a:noFill/>
                      <a:miter lim="800000"/>
                      <a:headEnd/>
                      <a:tailEnd/>
                    </a:ln>
                  </pic:spPr>
                </pic:pic>
              </a:graphicData>
            </a:graphic>
          </wp:inline>
        </w:drawing>
      </w:r>
      <w:r>
        <w:t xml:space="preserve"> and </w:t>
      </w:r>
      <w:r>
        <w:rPr>
          <w:noProof/>
        </w:rPr>
        <w:drawing>
          <wp:inline distT="0" distB="0" distL="0" distR="0">
            <wp:extent cx="361950" cy="190500"/>
            <wp:effectExtent l="0" t="0" r="0" b="0"/>
            <wp:docPr id="342015706" name="Picture 1" descr="Equation: P sub y = 0"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64-0000-0000-0000-000000000000" descr="Equation: P sub y = 0" title="Equation"/>
                    <pic:cNvPicPr>
                      <a:picLocks noChangeAspect="1" noChangeArrowheads="1"/>
                    </pic:cNvPicPr>
                  </pic:nvPicPr>
                  <pic:blipFill>
                    <a:blip r:embed="rId253" cstate="print"/>
                    <a:srcRect/>
                    <a:stretch>
                      <a:fillRect/>
                    </a:stretch>
                  </pic:blipFill>
                  <pic:spPr bwMode="auto">
                    <a:xfrm>
                      <a:off x="0" y="0"/>
                      <a:ext cx="361950" cy="190500"/>
                    </a:xfrm>
                    <a:prstGeom prst="rect">
                      <a:avLst/>
                    </a:prstGeom>
                    <a:noFill/>
                    <a:ln w="9525">
                      <a:noFill/>
                      <a:miter lim="800000"/>
                      <a:headEnd/>
                      <a:tailEnd/>
                    </a:ln>
                  </pic:spPr>
                </pic:pic>
              </a:graphicData>
            </a:graphic>
          </wp:inline>
        </w:drawing>
      </w:r>
      <w:r>
        <w:t xml:space="preserve"> then </w:t>
      </w:r>
      <w:r>
        <w:rPr>
          <w:noProof/>
        </w:rPr>
        <w:drawing>
          <wp:inline distT="0" distB="0" distL="0" distR="0">
            <wp:extent cx="304800" cy="171450"/>
            <wp:effectExtent l="0" t="0" r="0" b="0"/>
            <wp:docPr id="342015708" name="Picture 1" descr="Equation: f =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65-0000-0000-0000-000000000000" descr="Equation: f = 1" title="Equation"/>
                    <pic:cNvPicPr>
                      <a:picLocks noChangeAspect="1" noChangeArrowheads="1"/>
                    </pic:cNvPicPr>
                  </pic:nvPicPr>
                  <pic:blipFill>
                    <a:blip r:embed="rId254" cstate="print"/>
                    <a:srcRect/>
                    <a:stretch>
                      <a:fillRect/>
                    </a:stretch>
                  </pic:blipFill>
                  <pic:spPr bwMode="auto">
                    <a:xfrm>
                      <a:off x="0" y="0"/>
                      <a:ext cx="304800" cy="171450"/>
                    </a:xfrm>
                    <a:prstGeom prst="rect">
                      <a:avLst/>
                    </a:prstGeom>
                    <a:noFill/>
                    <a:ln w="9525">
                      <a:noFill/>
                      <a:miter lim="800000"/>
                      <a:headEnd/>
                      <a:tailEnd/>
                    </a:ln>
                  </pic:spPr>
                </pic:pic>
              </a:graphicData>
            </a:graphic>
          </wp:inline>
        </w:drawing>
      </w:r>
      <w:r>
        <w:t>.</w:t>
      </w:r>
    </w:p>
    <w:p w:rsidR="005F78FC" w:rsidRDefault="00B42EF3">
      <w:r>
        <w:lastRenderedPageBreak/>
        <w:t xml:space="preserve">The origin for the coordinate system used here is defined by the </w:t>
      </w:r>
      <w:r>
        <w:rPr>
          <w:b/>
        </w:rPr>
        <w:t>origin</w:t>
      </w:r>
      <w:r>
        <w:t xml:space="preserve"> attribute, which is dependent on the height and width of the shape.</w:t>
      </w:r>
    </w:p>
    <w:p w:rsidR="005F78FC" w:rsidRDefault="00B42EF3">
      <w:pPr>
        <w:pStyle w:val="Definition-Field"/>
      </w:pPr>
      <w:r>
        <w:t xml:space="preserve">d.   </w:t>
      </w:r>
      <w:r>
        <w:rPr>
          <w:i/>
        </w:rPr>
        <w:t>The standard indicates that drawingRelative and shapeRelative are valid simple ty</w:t>
      </w:r>
      <w:r>
        <w:rPr>
          <w:i/>
        </w:rPr>
        <w:t>pe values for the type attribute.</w:t>
      </w:r>
    </w:p>
    <w:p w:rsidR="005F78FC" w:rsidRDefault="00B42EF3">
      <w:pPr>
        <w:pStyle w:val="Definition-Field2"/>
      </w:pPr>
      <w:r>
        <w:t>If the value of the type attribute is drawingRelative or shapeRelative, Office transforms the shadow to use a value of perspective on file save.</w:t>
      </w:r>
    </w:p>
    <w:p w:rsidR="005F78FC" w:rsidRDefault="00B42EF3">
      <w:pPr>
        <w:pStyle w:val="Definition-Field"/>
      </w:pPr>
      <w:r>
        <w:t xml:space="preserve">e.   </w:t>
      </w:r>
      <w:r>
        <w:rPr>
          <w:i/>
        </w:rPr>
        <w:t>The standard indicates that emboss is a valid simple type values for the</w:t>
      </w:r>
      <w:r>
        <w:rPr>
          <w:i/>
        </w:rPr>
        <w:t xml:space="preserve"> type attribute.</w:t>
      </w:r>
    </w:p>
    <w:p w:rsidR="005F78FC" w:rsidRDefault="00B42EF3">
      <w:pPr>
        <w:pStyle w:val="Definition-Field2"/>
      </w:pPr>
      <w:r>
        <w:t>If the value of the type attribute is emboss and the offset or offset2 attribute is defined using fractional values of the shape dimensions, Office transforms the shadow to use a value of perspective on file save.</w:t>
      </w:r>
    </w:p>
    <w:p w:rsidR="005F78FC" w:rsidRDefault="00B42EF3">
      <w:pPr>
        <w:pStyle w:val="Definition-Field"/>
      </w:pPr>
      <w:r>
        <w:t xml:space="preserve">f.   </w:t>
      </w:r>
      <w:r>
        <w:rPr>
          <w:i/>
        </w:rPr>
        <w:t>The standard indicat</w:t>
      </w:r>
      <w:r>
        <w:rPr>
          <w:i/>
        </w:rPr>
        <w:t>es how the obscured attribute is used.</w:t>
      </w:r>
    </w:p>
    <w:p w:rsidR="005F78FC" w:rsidRDefault="00B42EF3">
      <w:pPr>
        <w:pStyle w:val="Definition-Field2"/>
      </w:pPr>
      <w:r>
        <w:t>In Office, if the value of the obscured attribute is false, then the shadow is transparent if there is no fill on the shape.</w:t>
      </w:r>
    </w:p>
    <w:p w:rsidR="005F78FC" w:rsidRDefault="00B42EF3">
      <w:pPr>
        <w:pStyle w:val="Definition-Field"/>
      </w:pPr>
      <w:r>
        <w:t xml:space="preserve">g.   </w:t>
      </w:r>
      <w:r>
        <w:rPr>
          <w:i/>
        </w:rPr>
        <w:t>The standard indicates that the default value for the on attribute is true.</w:t>
      </w:r>
    </w:p>
    <w:p w:rsidR="005F78FC" w:rsidRDefault="00B42EF3">
      <w:pPr>
        <w:pStyle w:val="Definition-Field2"/>
      </w:pPr>
      <w:r>
        <w:t xml:space="preserve">In Office, </w:t>
      </w:r>
      <w:r>
        <w:t>if the on attribute value is blank, it is considered to be true. If it is absent, it defaults to false.</w:t>
      </w:r>
    </w:p>
    <w:p w:rsidR="005F78FC" w:rsidRDefault="00B42EF3">
      <w:pPr>
        <w:pStyle w:val="Definition-Field"/>
      </w:pPr>
      <w:r>
        <w:t xml:space="preserve">h.   </w:t>
      </w:r>
      <w:r>
        <w:rPr>
          <w:i/>
        </w:rPr>
        <w:t>The standard does not restrict the number of instances of this element.</w:t>
      </w:r>
    </w:p>
    <w:p w:rsidR="005F78FC" w:rsidRDefault="00B42EF3">
      <w:pPr>
        <w:pStyle w:val="Definition-Field2"/>
      </w:pPr>
      <w:r>
        <w:t>Office allows at most only one instance of the shadow element in each place</w:t>
      </w:r>
      <w:r>
        <w:t xml:space="preserve"> where it can be used.</w:t>
      </w:r>
    </w:p>
    <w:p w:rsidR="005F78FC" w:rsidRDefault="00B42EF3">
      <w:pPr>
        <w:pStyle w:val="Definition-Field"/>
      </w:pPr>
      <w:r>
        <w:t xml:space="preserve">i.   </w:t>
      </w:r>
      <w:r>
        <w:rPr>
          <w:i/>
        </w:rPr>
        <w:t>The standard states that values of the opacity attribute are defined by the XML Schema string datatype.</w:t>
      </w:r>
    </w:p>
    <w:p w:rsidR="005F78FC" w:rsidRDefault="00B42EF3">
      <w:pPr>
        <w:pStyle w:val="Definition-Field2"/>
      </w:pPr>
      <w:r>
        <w:t>Office defines the values of the opacity attribute with the ST_Fraction (</w:t>
      </w:r>
      <w:hyperlink w:anchor="Section_c96929a126d44fe4819f37727a9492e8">
        <w:r>
          <w:rPr>
            <w:rStyle w:val="Hyperlink"/>
          </w:rPr>
          <w:t>§3.9.1, ST_Fraction</w:t>
        </w:r>
      </w:hyperlink>
      <w:r>
        <w:t>) simple type.</w:t>
      </w:r>
    </w:p>
    <w:p w:rsidR="005F78FC" w:rsidRDefault="00B42EF3">
      <w:pPr>
        <w:pStyle w:val="Heading3"/>
      </w:pPr>
      <w:bookmarkStart w:id="3626" w:name="section_edfd844dbf1a410981cd4caa788f1449"/>
      <w:bookmarkStart w:id="3627" w:name="_Toc69879586"/>
      <w:r>
        <w:t>Part 4 Section 19.1.2.19, shape (Shape Definition)</w:t>
      </w:r>
      <w:bookmarkEnd w:id="3626"/>
      <w:bookmarkEnd w:id="3627"/>
      <w:r>
        <w:fldChar w:fldCharType="begin"/>
      </w:r>
      <w:r>
        <w:instrText xml:space="preserve"> XE "shape (Shape Definition)"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5F78FC" w:rsidRDefault="00B42EF3">
      <w:pPr>
        <w:pStyle w:val="Definition-Field"/>
      </w:pPr>
      <w:r>
        <w:t xml:space="preserve">a.   </w:t>
      </w:r>
      <w:r>
        <w:rPr>
          <w:i/>
        </w:rPr>
        <w:t>The standard does not document the format of the equationxml attribute.</w:t>
      </w:r>
    </w:p>
    <w:p w:rsidR="005F78FC" w:rsidRDefault="00B42EF3">
      <w:pPr>
        <w:pStyle w:val="Definition-Field2"/>
      </w:pPr>
      <w:r>
        <w:t>Word uses a specific format for the equationxml attribute as defined by</w:t>
      </w:r>
      <w:r>
        <w:t xml:space="preserve"> Equation XML (</w:t>
      </w:r>
      <w:hyperlink w:anchor="Section_f6bb45e674ca4e37a30b13a40d6ea3ff">
        <w:r>
          <w:rPr>
            <w:rStyle w:val="Hyperlink"/>
          </w:rPr>
          <w:t>§3.8, Equation XML</w:t>
        </w:r>
      </w:hyperlink>
      <w:r>
        <w:t>).</w:t>
      </w:r>
    </w:p>
    <w:p w:rsidR="005F78FC" w:rsidRDefault="00B42EF3">
      <w:pPr>
        <w:pStyle w:val="Definition-Field"/>
      </w:pPr>
      <w:r>
        <w:t xml:space="preserve">b.   </w:t>
      </w:r>
      <w:r>
        <w:rPr>
          <w:i/>
        </w:rPr>
        <w:t>The standard indicates that the format of the gfxdata attribute is application-defined.</w:t>
      </w:r>
    </w:p>
    <w:p w:rsidR="005F78FC" w:rsidRDefault="00B42EF3">
      <w:pPr>
        <w:pStyle w:val="Definition-Field2"/>
      </w:pPr>
      <w:r>
        <w:t>Office formats this attribute as specified in the DrawingML Pers</w:t>
      </w:r>
      <w:r>
        <w:t>istence Part (</w:t>
      </w:r>
      <w:hyperlink w:anchor="Section_5f22f80d39f24ed6a6eb2dd92581ef97">
        <w:r>
          <w:rPr>
            <w:rStyle w:val="Hyperlink"/>
          </w:rPr>
          <w:t>§3.1.4, DrawingML Persistence Part</w:t>
        </w:r>
      </w:hyperlink>
      <w:r>
        <w:t>).</w:t>
      </w:r>
    </w:p>
    <w:p w:rsidR="005F78FC" w:rsidRDefault="00B42EF3">
      <w:pPr>
        <w:pStyle w:val="Definition-Field"/>
      </w:pPr>
      <w:r>
        <w:t xml:space="preserve">c.   </w:t>
      </w:r>
      <w:r>
        <w:rPr>
          <w:i/>
        </w:rPr>
        <w:t>The standard states that chromakey and opacity are valid attributes on the shape element.</w:t>
      </w:r>
    </w:p>
    <w:p w:rsidR="005F78FC" w:rsidRDefault="00B42EF3">
      <w:pPr>
        <w:pStyle w:val="Definition-Field2"/>
      </w:pPr>
      <w:r>
        <w:t>Office does not support these attributes on thi</w:t>
      </w:r>
      <w:r>
        <w:t>s element.</w:t>
      </w:r>
    </w:p>
    <w:p w:rsidR="005F78FC" w:rsidRDefault="00B42EF3">
      <w:pPr>
        <w:pStyle w:val="Definition-Field"/>
      </w:pPr>
      <w:r>
        <w:t xml:space="preserve">d.   </w:t>
      </w:r>
      <w:r>
        <w:rPr>
          <w:i/>
        </w:rPr>
        <w:t>The standard states that the values of the spt attribute are defined by the XML Schema float datatype.</w:t>
      </w:r>
    </w:p>
    <w:p w:rsidR="005F78FC" w:rsidRDefault="00B42EF3">
      <w:pPr>
        <w:pStyle w:val="Definition-Field2"/>
      </w:pPr>
      <w:r>
        <w:t>Office defines the values of this attribute with the ST_ShapeType (</w:t>
      </w:r>
      <w:hyperlink w:anchor="Section_d7f650a3a70647a88556121f9c7d0205">
        <w:r>
          <w:rPr>
            <w:rStyle w:val="Hyperlink"/>
          </w:rPr>
          <w:t>§3.9.5,</w:t>
        </w:r>
        <w:r>
          <w:rPr>
            <w:rStyle w:val="Hyperlink"/>
          </w:rPr>
          <w:t xml:space="preserve"> ST_ShapeType</w:t>
        </w:r>
      </w:hyperlink>
      <w:r>
        <w:t>) simple type.</w:t>
      </w:r>
    </w:p>
    <w:p w:rsidR="005F78FC" w:rsidRDefault="00B42EF3">
      <w:pPr>
        <w:pStyle w:val="Definition-Field"/>
      </w:pPr>
      <w:r>
        <w:lastRenderedPageBreak/>
        <w:t xml:space="preserve">e.   </w:t>
      </w:r>
      <w:r>
        <w:rPr>
          <w:i/>
        </w:rPr>
        <w:t>The standard states that the style attribute has a number of name/value pairs, but doesn't fully define the WordprocessingML object positioning ones.</w:t>
      </w:r>
    </w:p>
    <w:p w:rsidR="005F78FC" w:rsidRDefault="00B42EF3">
      <w:r>
        <w:t>Word recognizes the following name/value pairs:</w:t>
      </w:r>
    </w:p>
    <w:p w:rsidR="005F78FC" w:rsidRDefault="00B42EF3">
      <w:r>
        <w:rPr>
          <w:b/>
        </w:rPr>
        <w:t>mso-position-horizontal</w:t>
      </w:r>
      <w:r>
        <w:t xml:space="preserve">: </w:t>
      </w:r>
      <w:r>
        <w:t>the relative horizontal position of the object</w:t>
      </w:r>
    </w:p>
    <w:p w:rsidR="005F78FC" w:rsidRDefault="00B42EF3">
      <w:pPr>
        <w:pStyle w:val="ListParagraph"/>
        <w:numPr>
          <w:ilvl w:val="0"/>
          <w:numId w:val="172"/>
        </w:numPr>
        <w:contextualSpacing/>
      </w:pPr>
      <w:r>
        <w:t>absolute = an absolute measurement defined by margin-left</w:t>
      </w:r>
    </w:p>
    <w:p w:rsidR="005F78FC" w:rsidRDefault="00B42EF3">
      <w:pPr>
        <w:pStyle w:val="ListParagraph"/>
        <w:numPr>
          <w:ilvl w:val="0"/>
          <w:numId w:val="172"/>
        </w:numPr>
        <w:contextualSpacing/>
      </w:pPr>
      <w:r>
        <w:t>left = on the left side of the object in mso-position-horizontal-relative</w:t>
      </w:r>
    </w:p>
    <w:p w:rsidR="005F78FC" w:rsidRDefault="00B42EF3">
      <w:pPr>
        <w:pStyle w:val="ListParagraph"/>
        <w:numPr>
          <w:ilvl w:val="0"/>
          <w:numId w:val="172"/>
        </w:numPr>
        <w:contextualSpacing/>
      </w:pPr>
      <w:r>
        <w:t>center = centered within the object in mso-position-horizontal-relative</w:t>
      </w:r>
    </w:p>
    <w:p w:rsidR="005F78FC" w:rsidRDefault="00B42EF3">
      <w:pPr>
        <w:pStyle w:val="ListParagraph"/>
        <w:numPr>
          <w:ilvl w:val="0"/>
          <w:numId w:val="172"/>
        </w:numPr>
        <w:contextualSpacing/>
      </w:pPr>
      <w:r>
        <w:t>right</w:t>
      </w:r>
      <w:r>
        <w:t xml:space="preserve"> = on the right side of the object in mso-position-horizontal-relative</w:t>
      </w:r>
    </w:p>
    <w:p w:rsidR="005F78FC" w:rsidRDefault="00B42EF3">
      <w:pPr>
        <w:pStyle w:val="ListParagraph"/>
        <w:numPr>
          <w:ilvl w:val="0"/>
          <w:numId w:val="172"/>
        </w:numPr>
        <w:contextualSpacing/>
      </w:pPr>
      <w:r>
        <w:t>inside = inside the object in mso-position-horizontal-relative; only valid for values of "margin" and "page"</w:t>
      </w:r>
    </w:p>
    <w:p w:rsidR="005F78FC" w:rsidRDefault="00B42EF3">
      <w:pPr>
        <w:pStyle w:val="ListParagraph"/>
        <w:numPr>
          <w:ilvl w:val="0"/>
          <w:numId w:val="172"/>
        </w:numPr>
      </w:pPr>
      <w:r>
        <w:t>outside = outside of the object in mso-position-horizontal-relative; only va</w:t>
      </w:r>
      <w:r>
        <w:t>lid for values of "margin" and "page"</w:t>
      </w:r>
    </w:p>
    <w:p w:rsidR="005F78FC" w:rsidRDefault="00B42EF3">
      <w:r>
        <w:rPr>
          <w:b/>
        </w:rPr>
        <w:t>mso-position-horizontal-relative</w:t>
      </w:r>
      <w:r>
        <w:t>: the basis of the relative horizontal position of the object</w:t>
      </w:r>
    </w:p>
    <w:p w:rsidR="005F78FC" w:rsidRDefault="00B42EF3">
      <w:pPr>
        <w:pStyle w:val="ListParagraph"/>
        <w:numPr>
          <w:ilvl w:val="0"/>
          <w:numId w:val="173"/>
        </w:numPr>
        <w:contextualSpacing/>
      </w:pPr>
      <w:r>
        <w:t>margin = relative to the leading margin</w:t>
      </w:r>
    </w:p>
    <w:p w:rsidR="005F78FC" w:rsidRDefault="00B42EF3">
      <w:pPr>
        <w:pStyle w:val="ListParagraph"/>
        <w:numPr>
          <w:ilvl w:val="0"/>
          <w:numId w:val="173"/>
        </w:numPr>
        <w:contextualSpacing/>
      </w:pPr>
      <w:r>
        <w:t>page = relative to page with the object's anchor</w:t>
      </w:r>
    </w:p>
    <w:p w:rsidR="005F78FC" w:rsidRDefault="00B42EF3">
      <w:pPr>
        <w:pStyle w:val="ListParagraph"/>
        <w:numPr>
          <w:ilvl w:val="0"/>
          <w:numId w:val="173"/>
        </w:numPr>
        <w:contextualSpacing/>
      </w:pPr>
      <w:r>
        <w:t>text = relative to the text column</w:t>
      </w:r>
    </w:p>
    <w:p w:rsidR="005F78FC" w:rsidRDefault="00B42EF3">
      <w:pPr>
        <w:pStyle w:val="ListParagraph"/>
        <w:numPr>
          <w:ilvl w:val="0"/>
          <w:numId w:val="173"/>
        </w:numPr>
        <w:contextualSpacing/>
      </w:pPr>
      <w:r>
        <w:t>char = relative to the location of the anchor for the object</w:t>
      </w:r>
    </w:p>
    <w:p w:rsidR="005F78FC" w:rsidRDefault="00B42EF3">
      <w:pPr>
        <w:pStyle w:val="ListParagraph"/>
        <w:numPr>
          <w:ilvl w:val="0"/>
          <w:numId w:val="173"/>
        </w:numPr>
        <w:contextualSpacing/>
      </w:pPr>
      <w:r>
        <w:t>left-margin = relative to the left margin</w:t>
      </w:r>
    </w:p>
    <w:p w:rsidR="005F78FC" w:rsidRDefault="00B42EF3">
      <w:pPr>
        <w:pStyle w:val="ListParagraph"/>
        <w:numPr>
          <w:ilvl w:val="0"/>
          <w:numId w:val="173"/>
        </w:numPr>
        <w:contextualSpacing/>
      </w:pPr>
      <w:r>
        <w:t>right-margin = relative to the right margin</w:t>
      </w:r>
    </w:p>
    <w:p w:rsidR="005F78FC" w:rsidRDefault="00B42EF3">
      <w:pPr>
        <w:pStyle w:val="ListParagraph"/>
        <w:numPr>
          <w:ilvl w:val="0"/>
          <w:numId w:val="173"/>
        </w:numPr>
        <w:contextualSpacing/>
      </w:pPr>
      <w:r>
        <w:t>inner-margin-area = relative to the inner margin (the right margin for odd-numbered pages, the left margin fo</w:t>
      </w:r>
      <w:r>
        <w:t>r even-numbered pages)</w:t>
      </w:r>
    </w:p>
    <w:p w:rsidR="005F78FC" w:rsidRDefault="00B42EF3">
      <w:pPr>
        <w:pStyle w:val="ListParagraph"/>
        <w:numPr>
          <w:ilvl w:val="0"/>
          <w:numId w:val="173"/>
        </w:numPr>
      </w:pPr>
      <w:r>
        <w:t>outer-margin-area = relative to the outer margin (the left margin for odd-numbered pages, the right margin for even-numbered pages)</w:t>
      </w:r>
    </w:p>
    <w:p w:rsidR="005F78FC" w:rsidRDefault="00B42EF3">
      <w:r>
        <w:rPr>
          <w:b/>
        </w:rPr>
        <w:t>mso-position-vertical</w:t>
      </w:r>
      <w:r>
        <w:t>: the relative vertical position of the object</w:t>
      </w:r>
    </w:p>
    <w:p w:rsidR="005F78FC" w:rsidRDefault="00B42EF3">
      <w:pPr>
        <w:pStyle w:val="ListParagraph"/>
        <w:numPr>
          <w:ilvl w:val="0"/>
          <w:numId w:val="174"/>
        </w:numPr>
        <w:contextualSpacing/>
      </w:pPr>
      <w:r>
        <w:t>absolute = an absolute measuremen</w:t>
      </w:r>
      <w:r>
        <w:t>t defined by margin-top</w:t>
      </w:r>
    </w:p>
    <w:p w:rsidR="005F78FC" w:rsidRDefault="00B42EF3">
      <w:pPr>
        <w:pStyle w:val="ListParagraph"/>
        <w:numPr>
          <w:ilvl w:val="0"/>
          <w:numId w:val="174"/>
        </w:numPr>
        <w:contextualSpacing/>
      </w:pPr>
      <w:r>
        <w:t>center = centered on the object in mso-position-vertical-relative; not valid for value of "text"</w:t>
      </w:r>
    </w:p>
    <w:p w:rsidR="005F78FC" w:rsidRDefault="00B42EF3">
      <w:pPr>
        <w:pStyle w:val="ListParagraph"/>
        <w:numPr>
          <w:ilvl w:val="0"/>
          <w:numId w:val="174"/>
        </w:numPr>
        <w:contextualSpacing/>
      </w:pPr>
      <w:r>
        <w:t>bottom = at the bottom of the object in mso-position-vertical-relative; not valid for value of "text"</w:t>
      </w:r>
    </w:p>
    <w:p w:rsidR="005F78FC" w:rsidRDefault="00B42EF3">
      <w:pPr>
        <w:pStyle w:val="ListParagraph"/>
        <w:numPr>
          <w:ilvl w:val="0"/>
          <w:numId w:val="174"/>
        </w:numPr>
        <w:contextualSpacing/>
      </w:pPr>
      <w:r>
        <w:t>top = at the top of the object in</w:t>
      </w:r>
      <w:r>
        <w:t xml:space="preserve"> mso-position-vertical-relative; not valid for value of "text"</w:t>
      </w:r>
    </w:p>
    <w:p w:rsidR="005F78FC" w:rsidRDefault="00B42EF3">
      <w:pPr>
        <w:pStyle w:val="ListParagraph"/>
        <w:numPr>
          <w:ilvl w:val="0"/>
          <w:numId w:val="174"/>
        </w:numPr>
        <w:contextualSpacing/>
      </w:pPr>
      <w:r>
        <w:t>inside = inside the object in mso-position-vertical-relative; not valid for value of "text"</w:t>
      </w:r>
    </w:p>
    <w:p w:rsidR="005F78FC" w:rsidRDefault="00B42EF3">
      <w:pPr>
        <w:pStyle w:val="ListParagraph"/>
        <w:numPr>
          <w:ilvl w:val="0"/>
          <w:numId w:val="174"/>
        </w:numPr>
      </w:pPr>
      <w:r>
        <w:t>outside = outside of the object in mso-position-vertical-relative; not valid for value of "text" </w:t>
      </w:r>
    </w:p>
    <w:p w:rsidR="005F78FC" w:rsidRDefault="00B42EF3">
      <w:r>
        <w:rPr>
          <w:b/>
        </w:rPr>
        <w:t>mso-position-vertical-relative</w:t>
      </w:r>
      <w:r>
        <w:t>: the basis of the relative vertical position of the object</w:t>
      </w:r>
    </w:p>
    <w:p w:rsidR="005F78FC" w:rsidRDefault="00B42EF3">
      <w:pPr>
        <w:pStyle w:val="ListParagraph"/>
        <w:numPr>
          <w:ilvl w:val="0"/>
          <w:numId w:val="175"/>
        </w:numPr>
        <w:contextualSpacing/>
      </w:pPr>
      <w:r>
        <w:t>margin = relative to the leading margin</w:t>
      </w:r>
    </w:p>
    <w:p w:rsidR="005F78FC" w:rsidRDefault="00B42EF3">
      <w:pPr>
        <w:pStyle w:val="ListParagraph"/>
        <w:numPr>
          <w:ilvl w:val="0"/>
          <w:numId w:val="175"/>
        </w:numPr>
        <w:contextualSpacing/>
      </w:pPr>
      <w:r>
        <w:t>page = relative to page with the object's anchor</w:t>
      </w:r>
    </w:p>
    <w:p w:rsidR="005F78FC" w:rsidRDefault="00B42EF3">
      <w:pPr>
        <w:pStyle w:val="ListParagraph"/>
        <w:numPr>
          <w:ilvl w:val="0"/>
          <w:numId w:val="175"/>
        </w:numPr>
        <w:contextualSpacing/>
      </w:pPr>
      <w:r>
        <w:t>text = relative to the paragraph with the object's anchor</w:t>
      </w:r>
    </w:p>
    <w:p w:rsidR="005F78FC" w:rsidRDefault="00B42EF3">
      <w:pPr>
        <w:pStyle w:val="ListParagraph"/>
        <w:numPr>
          <w:ilvl w:val="0"/>
          <w:numId w:val="175"/>
        </w:numPr>
        <w:contextualSpacing/>
      </w:pPr>
      <w:r>
        <w:t xml:space="preserve">line = relative to </w:t>
      </w:r>
      <w:r>
        <w:t>the line with the anchor</w:t>
      </w:r>
    </w:p>
    <w:p w:rsidR="005F78FC" w:rsidRDefault="00B42EF3">
      <w:pPr>
        <w:pStyle w:val="ListParagraph"/>
        <w:numPr>
          <w:ilvl w:val="0"/>
          <w:numId w:val="175"/>
        </w:numPr>
        <w:contextualSpacing/>
      </w:pPr>
      <w:r>
        <w:t>top-margin = relative to the top margin</w:t>
      </w:r>
    </w:p>
    <w:p w:rsidR="005F78FC" w:rsidRDefault="00B42EF3">
      <w:pPr>
        <w:pStyle w:val="ListParagraph"/>
        <w:numPr>
          <w:ilvl w:val="0"/>
          <w:numId w:val="175"/>
        </w:numPr>
        <w:contextualSpacing/>
      </w:pPr>
      <w:r>
        <w:t>bottom-margin = relative to the bottom margin</w:t>
      </w:r>
    </w:p>
    <w:p w:rsidR="005F78FC" w:rsidRDefault="00B42EF3">
      <w:pPr>
        <w:pStyle w:val="ListParagraph"/>
        <w:numPr>
          <w:ilvl w:val="0"/>
          <w:numId w:val="175"/>
        </w:numPr>
        <w:contextualSpacing/>
      </w:pPr>
      <w:r>
        <w:t>inner-margin-area = relative to the inner margin (the right margin for odd-numbered pages, the left margin for even-numbered pages)</w:t>
      </w:r>
    </w:p>
    <w:p w:rsidR="005F78FC" w:rsidRDefault="00B42EF3">
      <w:pPr>
        <w:pStyle w:val="ListParagraph"/>
        <w:numPr>
          <w:ilvl w:val="0"/>
          <w:numId w:val="175"/>
        </w:numPr>
      </w:pPr>
      <w:r>
        <w:t>outer-margin-</w:t>
      </w:r>
      <w:r>
        <w:t>area = relative to the outer margin (the left margin for odd-numbered pages, the right margin for even-numbered pages)</w:t>
      </w:r>
    </w:p>
    <w:p w:rsidR="005F78FC" w:rsidRDefault="00B42EF3">
      <w:r>
        <w:rPr>
          <w:b/>
        </w:rPr>
        <w:t>margin-left</w:t>
      </w:r>
      <w:r>
        <w:t>: the horizontal offset from the base position specified in mso-position-horizontal-relative. if 0, need to check mso-left-per</w:t>
      </w:r>
      <w:r>
        <w:t>cent for a percentage value.</w:t>
      </w:r>
    </w:p>
    <w:p w:rsidR="005F78FC" w:rsidRDefault="00B42EF3">
      <w:r>
        <w:rPr>
          <w:b/>
        </w:rPr>
        <w:t>margin-top</w:t>
      </w:r>
      <w:r>
        <w:t>: the vertical offset from the base position specified in mso-position-vertical-relative. if 0, need to check mso-top-percent for a percentage value.</w:t>
      </w:r>
    </w:p>
    <w:p w:rsidR="005F78FC" w:rsidRDefault="00B42EF3">
      <w:r>
        <w:rPr>
          <w:b/>
        </w:rPr>
        <w:t>mso-left-percent</w:t>
      </w:r>
      <w:r>
        <w:t>: a value in tenths of a percent (e.g. 250 = 25%) t</w:t>
      </w:r>
      <w:r>
        <w:t>hat specifies starting position relative to the axis specified in mso-position-horizontal-relative; not valid if that parameter has a value of "text" or "char"</w:t>
      </w:r>
    </w:p>
    <w:p w:rsidR="005F78FC" w:rsidRDefault="00B42EF3">
      <w:r>
        <w:rPr>
          <w:b/>
        </w:rPr>
        <w:lastRenderedPageBreak/>
        <w:t>mso-top-percent</w:t>
      </w:r>
      <w:r>
        <w:t>: a value in tenths of a percent (e.g. 250 = 25%) that specifies starting positio</w:t>
      </w:r>
      <w:r>
        <w:t>n relative to the axis specified in mso-position-vertical-relative; not valid if that parameter has a value of "text" or "line"</w:t>
      </w:r>
    </w:p>
    <w:p w:rsidR="005F78FC" w:rsidRDefault="00B42EF3">
      <w:pPr>
        <w:pStyle w:val="Heading3"/>
      </w:pPr>
      <w:bookmarkStart w:id="3628" w:name="section_caa8931e192d43fc8eefff9e2fe60991"/>
      <w:bookmarkStart w:id="3629" w:name="_Toc69879587"/>
      <w:r>
        <w:t>Part 4 Section 19.1.2.20, shapetype (Shape Template)</w:t>
      </w:r>
      <w:bookmarkEnd w:id="3628"/>
      <w:bookmarkEnd w:id="3629"/>
      <w:r>
        <w:fldChar w:fldCharType="begin"/>
      </w:r>
      <w:r>
        <w:instrText xml:space="preserve"> XE "shapetype (Shape Template)" </w:instrText>
      </w:r>
      <w:r>
        <w:fldChar w:fldCharType="end"/>
      </w:r>
    </w:p>
    <w:p w:rsidR="005F78FC" w:rsidRDefault="00B42EF3">
      <w:pPr>
        <w:pStyle w:val="Definition-Field2"/>
      </w:pPr>
      <w:r>
        <w:rPr>
          <w:i/>
        </w:rPr>
        <w:t xml:space="preserve">For additional notes that apply to this </w:t>
      </w:r>
      <w:r>
        <w:rPr>
          <w:i/>
        </w:rPr>
        <w:t xml:space="preserve">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w:t>
        </w:r>
        <w:r>
          <w:rPr>
            <w:rStyle w:val="Hyperlink"/>
          </w:rPr>
          <w:t>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5F78FC" w:rsidRDefault="00B42EF3">
      <w:pPr>
        <w:pStyle w:val="Definition-Field"/>
      </w:pPr>
      <w:r>
        <w:t xml:space="preserve">a.   </w:t>
      </w:r>
      <w:r>
        <w:rPr>
          <w:i/>
        </w:rPr>
        <w:t>The standard indicates how the master attribute is used.</w:t>
      </w:r>
    </w:p>
    <w:p w:rsidR="005F78FC" w:rsidRDefault="00B42EF3">
      <w:pPr>
        <w:pStyle w:val="Definition-Field2"/>
      </w:pPr>
      <w:r>
        <w:t>O</w:t>
      </w:r>
      <w:r>
        <w:t>ffice considers the presence and absence of this attribute to represent true and false values, respectively.  If this attribute exists and is set to any value, including an empty string, Office considers it to be true.</w:t>
      </w:r>
    </w:p>
    <w:p w:rsidR="005F78FC" w:rsidRDefault="00B42EF3">
      <w:pPr>
        <w:pStyle w:val="Definition-Field"/>
      </w:pPr>
      <w:r>
        <w:t xml:space="preserve">b.   </w:t>
      </w:r>
      <w:r>
        <w:rPr>
          <w:i/>
        </w:rPr>
        <w:t>The standard states that chromak</w:t>
      </w:r>
      <w:r>
        <w:rPr>
          <w:i/>
        </w:rPr>
        <w:t>ey and opacity are valid attributes on the shapetype element.</w:t>
      </w:r>
    </w:p>
    <w:p w:rsidR="005F78FC" w:rsidRDefault="00B42EF3">
      <w:pPr>
        <w:pStyle w:val="Definition-Field2"/>
      </w:pPr>
      <w:r>
        <w:t>Office does not support these attributes on this element.</w:t>
      </w:r>
    </w:p>
    <w:p w:rsidR="005F78FC" w:rsidRDefault="00B42EF3">
      <w:pPr>
        <w:pStyle w:val="Heading3"/>
      </w:pPr>
      <w:bookmarkStart w:id="3630" w:name="section_b4f59c097c74432eb3f2501322e80f0c"/>
      <w:bookmarkStart w:id="3631" w:name="_Toc69879588"/>
      <w:r>
        <w:t>Part 4 Section 19.1.2.21, stroke (Line Stroke Settings)</w:t>
      </w:r>
      <w:bookmarkEnd w:id="3630"/>
      <w:bookmarkEnd w:id="3631"/>
      <w:r>
        <w:fldChar w:fldCharType="begin"/>
      </w:r>
      <w:r>
        <w:instrText xml:space="preserve"> XE "stroke (Line Stroke Settings)" </w:instrText>
      </w:r>
      <w:r>
        <w:fldChar w:fldCharType="end"/>
      </w:r>
    </w:p>
    <w:p w:rsidR="005F78FC" w:rsidRDefault="00B42EF3">
      <w:pPr>
        <w:pStyle w:val="Definition-Field2"/>
      </w:pPr>
      <w:r>
        <w:rPr>
          <w:i/>
        </w:rPr>
        <w:t>For additional notes that apply to this po</w:t>
      </w:r>
      <w:r>
        <w:rPr>
          <w:i/>
        </w:rPr>
        <w:t xml:space="preserve">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5dab8b917bfb495a9ed59068ef74998d">
        <w:r>
          <w:rPr>
            <w:rStyle w:val="Hyperlink"/>
          </w:rPr>
          <w:t>group, §19.1.2.7(a)</w:t>
        </w:r>
      </w:hyperlink>
      <w:r>
        <w:rPr>
          <w:i/>
        </w:rPr>
        <w:t>.</w:t>
      </w:r>
    </w:p>
    <w:p w:rsidR="005F78FC" w:rsidRDefault="00B42EF3">
      <w:pPr>
        <w:pStyle w:val="Definition-Field"/>
      </w:pPr>
      <w:r>
        <w:t xml:space="preserve">a.   </w:t>
      </w:r>
      <w:r>
        <w:rPr>
          <w:i/>
        </w:rPr>
        <w:t xml:space="preserve">The standard indicates the endcap </w:t>
      </w:r>
      <w:r>
        <w:rPr>
          <w:i/>
        </w:rPr>
        <w:t>attribute is used for any path.</w:t>
      </w:r>
    </w:p>
    <w:p w:rsidR="005F78FC" w:rsidRDefault="00B42EF3">
      <w:pPr>
        <w:pStyle w:val="Definition-Field2"/>
      </w:pPr>
      <w:r>
        <w:t>Office requires that the shape's path is open for the endcap attribute to work.</w:t>
      </w:r>
    </w:p>
    <w:p w:rsidR="005F78FC" w:rsidRDefault="00B42EF3">
      <w:pPr>
        <w:pStyle w:val="Definition-Field"/>
      </w:pPr>
      <w:r>
        <w:t xml:space="preserve">b.   </w:t>
      </w:r>
      <w:r>
        <w:rPr>
          <w:i/>
        </w:rPr>
        <w:t>The standard indicates how the althref attribute is used.</w:t>
      </w:r>
    </w:p>
    <w:p w:rsidR="005F78FC" w:rsidRDefault="00B42EF3">
      <w:pPr>
        <w:pStyle w:val="Definition-Field2"/>
      </w:pPr>
      <w:r>
        <w:t>Office does not persist the althref value on file save. The value of althref repl</w:t>
      </w:r>
      <w:r>
        <w:t>aces the value of the src attribute on file save if the href attribute is not defined.</w:t>
      </w:r>
    </w:p>
    <w:p w:rsidR="005F78FC" w:rsidRDefault="00B42EF3">
      <w:pPr>
        <w:pStyle w:val="Definition-Field"/>
      </w:pPr>
      <w:r>
        <w:t xml:space="preserve">c.   </w:t>
      </w:r>
      <w:r>
        <w:rPr>
          <w:i/>
        </w:rPr>
        <w:t>The standard indicates how the href attribute is used.</w:t>
      </w:r>
    </w:p>
    <w:p w:rsidR="005F78FC" w:rsidRDefault="00B42EF3">
      <w:pPr>
        <w:pStyle w:val="Definition-Field2"/>
      </w:pPr>
      <w:r>
        <w:t>Office does not persist the href value on file save. The value of href replaces the value of the src attribut</w:t>
      </w:r>
      <w:r>
        <w:t>e on file save if the href attribute is not defined.</w:t>
      </w:r>
    </w:p>
    <w:p w:rsidR="005F78FC" w:rsidRDefault="00B42EF3">
      <w:pPr>
        <w:pStyle w:val="Definition-Field"/>
      </w:pPr>
      <w:r>
        <w:t xml:space="preserve">d.   </w:t>
      </w:r>
      <w:r>
        <w:rPr>
          <w:i/>
        </w:rPr>
        <w:t>The standard does not specify bounds for the miterlimit attribute.</w:t>
      </w:r>
    </w:p>
    <w:p w:rsidR="005F78FC" w:rsidRDefault="00B42EF3">
      <w:pPr>
        <w:pStyle w:val="Definition-Field2"/>
      </w:pPr>
      <w:r>
        <w:t>Office has a maximum allowed value of 32767 for the miterlimit attribute.</w:t>
      </w:r>
    </w:p>
    <w:p w:rsidR="005F78FC" w:rsidRDefault="00B42EF3">
      <w:pPr>
        <w:pStyle w:val="Definition-Field"/>
      </w:pPr>
      <w:r>
        <w:t xml:space="preserve">e.   </w:t>
      </w:r>
      <w:r>
        <w:rPr>
          <w:i/>
        </w:rPr>
        <w:t xml:space="preserve">The standard indicates how the src attribute is </w:t>
      </w:r>
      <w:r>
        <w:rPr>
          <w:i/>
        </w:rPr>
        <w:t>used.</w:t>
      </w:r>
    </w:p>
    <w:p w:rsidR="005F78FC" w:rsidRDefault="00B42EF3">
      <w:pPr>
        <w:pStyle w:val="Definition-Field2"/>
      </w:pPr>
      <w:r>
        <w:t>On file save, Office replaces the value of the src attribute with the value of the href attribute, if defined, or the althref attribute href is not defined.</w:t>
      </w:r>
    </w:p>
    <w:p w:rsidR="005F78FC" w:rsidRDefault="00B42EF3">
      <w:pPr>
        <w:pStyle w:val="Definition-Field"/>
      </w:pPr>
      <w:r>
        <w:t xml:space="preserve">f.   </w:t>
      </w:r>
      <w:r>
        <w:rPr>
          <w:i/>
        </w:rPr>
        <w:t>The standard does not specify bounds for the weight attribute.</w:t>
      </w:r>
    </w:p>
    <w:p w:rsidR="005F78FC" w:rsidRDefault="00B42EF3">
      <w:pPr>
        <w:pStyle w:val="Definition-Field2"/>
      </w:pPr>
      <w:r>
        <w:t>In Office, the minimum va</w:t>
      </w:r>
      <w:r>
        <w:t>lue is zero and the maximum value is 20116800 EMU for the weight attribute.</w:t>
      </w:r>
    </w:p>
    <w:p w:rsidR="005F78FC" w:rsidRDefault="00B42EF3">
      <w:pPr>
        <w:pStyle w:val="Definition-Field"/>
      </w:pPr>
      <w:r>
        <w:t xml:space="preserve">g.   </w:t>
      </w:r>
      <w:r>
        <w:rPr>
          <w:i/>
        </w:rPr>
        <w:t>The standard states that the values of the filltype attribute are defined by the ST_FillType simple type.</w:t>
      </w:r>
    </w:p>
    <w:p w:rsidR="005F78FC" w:rsidRDefault="00B42EF3">
      <w:pPr>
        <w:pStyle w:val="Definition-Field2"/>
      </w:pPr>
      <w:r>
        <w:t>Office does not support the values of gradient or gradientRadial.</w:t>
      </w:r>
    </w:p>
    <w:p w:rsidR="005F78FC" w:rsidRDefault="00B42EF3">
      <w:pPr>
        <w:pStyle w:val="Definition-Field"/>
      </w:pPr>
      <w:r>
        <w:t xml:space="preserve">h. </w:t>
      </w:r>
      <w:r>
        <w:t xml:space="preserve">  </w:t>
      </w:r>
      <w:r>
        <w:rPr>
          <w:i/>
        </w:rPr>
        <w:t>The standard indicates that the default value for the weight attribute is 1 pt.</w:t>
      </w:r>
    </w:p>
    <w:p w:rsidR="005F78FC" w:rsidRDefault="00B42EF3">
      <w:pPr>
        <w:pStyle w:val="Definition-Field2"/>
      </w:pPr>
      <w:r>
        <w:lastRenderedPageBreak/>
        <w:t>Office uses a default value of 0.75 pt for the weight attribute.</w:t>
      </w:r>
    </w:p>
    <w:p w:rsidR="005F78FC" w:rsidRDefault="00B42EF3">
      <w:pPr>
        <w:pStyle w:val="Definition-Field"/>
      </w:pPr>
      <w:r>
        <w:t xml:space="preserve">i.   </w:t>
      </w:r>
      <w:r>
        <w:rPr>
          <w:i/>
        </w:rPr>
        <w:t>The standard indicates that relid is a valid attribute.</w:t>
      </w:r>
    </w:p>
    <w:p w:rsidR="005F78FC" w:rsidRDefault="00B42EF3">
      <w:pPr>
        <w:pStyle w:val="Definition-Field2"/>
      </w:pPr>
      <w:r>
        <w:t>Office does not support the relid attribute.</w:t>
      </w:r>
    </w:p>
    <w:p w:rsidR="005F78FC" w:rsidRDefault="00B42EF3">
      <w:pPr>
        <w:pStyle w:val="Definition-Field"/>
      </w:pPr>
      <w:r>
        <w:t xml:space="preserve">j. </w:t>
      </w:r>
      <w:r>
        <w:t xml:space="preserve">  </w:t>
      </w:r>
      <w:r>
        <w:rPr>
          <w:i/>
        </w:rPr>
        <w:t>The standard does not restrict the number of instances of the stroke element.</w:t>
      </w:r>
    </w:p>
    <w:p w:rsidR="005F78FC" w:rsidRDefault="00B42EF3">
      <w:pPr>
        <w:pStyle w:val="Definition-Field2"/>
      </w:pPr>
      <w:r>
        <w:t>Office allows at most only one instance of the stroke element in each place where it can be used.</w:t>
      </w:r>
    </w:p>
    <w:p w:rsidR="005F78FC" w:rsidRDefault="00B42EF3">
      <w:pPr>
        <w:pStyle w:val="Definition-Field"/>
      </w:pPr>
      <w:r>
        <w:t xml:space="preserve">k.   </w:t>
      </w:r>
      <w:r>
        <w:rPr>
          <w:i/>
        </w:rPr>
        <w:t>The standard states that values of the opacity attribute are defined by t</w:t>
      </w:r>
      <w:r>
        <w:rPr>
          <w:i/>
        </w:rPr>
        <w:t>he XML Schema string datatype.</w:t>
      </w:r>
    </w:p>
    <w:p w:rsidR="005F78FC" w:rsidRDefault="00B42EF3">
      <w:pPr>
        <w:pStyle w:val="Definition-Field2"/>
      </w:pPr>
      <w:r>
        <w:t>Office defines the values of this attribute with the ST_Fraction (</w:t>
      </w:r>
      <w:hyperlink w:anchor="Section_c96929a126d44fe4819f37727a9492e8">
        <w:r>
          <w:rPr>
            <w:rStyle w:val="Hyperlink"/>
          </w:rPr>
          <w:t>§3.9.1, ST_Fraction</w:t>
        </w:r>
      </w:hyperlink>
      <w:r>
        <w:t>) simple type.</w:t>
      </w:r>
    </w:p>
    <w:p w:rsidR="005F78FC" w:rsidRDefault="00B42EF3">
      <w:pPr>
        <w:pStyle w:val="Definition-Field"/>
      </w:pPr>
      <w:r>
        <w:t xml:space="preserve">l.   </w:t>
      </w:r>
      <w:r>
        <w:rPr>
          <w:i/>
        </w:rPr>
        <w:t>The standard states that the values of the miterlimit att</w:t>
      </w:r>
      <w:r>
        <w:rPr>
          <w:i/>
        </w:rPr>
        <w:t>ribute are defined by the XML Schema decimal datatype.</w:t>
      </w:r>
    </w:p>
    <w:p w:rsidR="005F78FC" w:rsidRDefault="00B42EF3">
      <w:pPr>
        <w:pStyle w:val="Definition-Field2"/>
      </w:pPr>
      <w:r>
        <w:t>Office defines the values of this attribute with the ST_Fraction (§3.9.1, ST_Fraction) simple type.</w:t>
      </w:r>
    </w:p>
    <w:p w:rsidR="005F78FC" w:rsidRDefault="00B42EF3">
      <w:pPr>
        <w:pStyle w:val="Heading3"/>
      </w:pPr>
      <w:bookmarkStart w:id="3632" w:name="section_f88c8cefd1f442bfb2da6aa9f2dd128e"/>
      <w:bookmarkStart w:id="3633" w:name="_Toc69879589"/>
      <w:r>
        <w:t>Part 4 Section 19.1.2.22, textbox (Text Box)</w:t>
      </w:r>
      <w:bookmarkEnd w:id="3632"/>
      <w:bookmarkEnd w:id="3633"/>
      <w:r>
        <w:fldChar w:fldCharType="begin"/>
      </w:r>
      <w:r>
        <w:instrText xml:space="preserve"> XE "textbox (Text Box)" </w:instrText>
      </w:r>
      <w:r>
        <w:fldChar w:fldCharType="end"/>
      </w:r>
    </w:p>
    <w:p w:rsidR="005F78FC" w:rsidRDefault="00B42EF3">
      <w:pPr>
        <w:pStyle w:val="Definition-Field2"/>
      </w:pPr>
      <w:r>
        <w:rPr>
          <w:i/>
        </w:rPr>
        <w:t>For additional notes that app</w:t>
      </w:r>
      <w:r>
        <w:rPr>
          <w:i/>
        </w:rPr>
        <w:t xml:space="preserve">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background, §19.1.2.2(c)</w:t>
        </w:r>
      </w:hyperlink>
      <w:r>
        <w:rPr>
          <w:i/>
        </w:rPr>
        <w:t xml:space="preserve">; </w:t>
      </w:r>
      <w:hyperlink w:anchor="Section_5dab8b917bfb495a9ed59068ef74998d">
        <w:r>
          <w:rPr>
            <w:rStyle w:val="Hyperlink"/>
          </w:rPr>
          <w:t>group, §19.1.2.7(a)</w:t>
        </w:r>
      </w:hyperlink>
      <w:r>
        <w:rPr>
          <w:i/>
        </w:rPr>
        <w:t>.</w:t>
      </w:r>
    </w:p>
    <w:p w:rsidR="005F78FC" w:rsidRDefault="00B42EF3">
      <w:pPr>
        <w:pStyle w:val="Definition-Field"/>
      </w:pPr>
      <w:r>
        <w:t xml:space="preserve">a.   </w:t>
      </w:r>
      <w:r>
        <w:rPr>
          <w:i/>
        </w:rPr>
        <w:t>The standard indicates that the only allowed value for the mso-direction-alt property of the style attribute is context.</w:t>
      </w:r>
    </w:p>
    <w:p w:rsidR="005F78FC" w:rsidRDefault="00B42EF3">
      <w:pPr>
        <w:pStyle w:val="Definition-Field2"/>
      </w:pPr>
      <w:r>
        <w:t>Only Excel supports the mso-direction-alt proper</w:t>
      </w:r>
      <w:r>
        <w:t>ty and it only supports the value auto.</w:t>
      </w:r>
    </w:p>
    <w:p w:rsidR="005F78FC" w:rsidRDefault="00B42EF3">
      <w:pPr>
        <w:pStyle w:val="Definition-Field"/>
      </w:pPr>
      <w:r>
        <w:t xml:space="preserve">b.   </w:t>
      </w:r>
      <w:r>
        <w:rPr>
          <w:i/>
        </w:rPr>
        <w:t>The standard indicates how the mso-next-textbox property of the style attribute is used.</w:t>
      </w:r>
    </w:p>
    <w:p w:rsidR="005F78FC" w:rsidRDefault="00B42EF3">
      <w:pPr>
        <w:pStyle w:val="Definition-Field2"/>
      </w:pPr>
      <w:r>
        <w:t>Only Word supports the mso-next-textbox property.</w:t>
      </w:r>
    </w:p>
    <w:p w:rsidR="005F78FC" w:rsidRDefault="00B42EF3">
      <w:pPr>
        <w:pStyle w:val="Definition-Field"/>
      </w:pPr>
      <w:r>
        <w:t xml:space="preserve">c.   </w:t>
      </w:r>
      <w:r>
        <w:rPr>
          <w:i/>
        </w:rPr>
        <w:t>The standard indicates that the only valid value for the mso-layout</w:t>
      </w:r>
      <w:r>
        <w:rPr>
          <w:i/>
        </w:rPr>
        <w:t>-flow-alt property of the style attribute is bottom-to-top.</w:t>
      </w:r>
    </w:p>
    <w:p w:rsidR="005F78FC" w:rsidRDefault="00B42EF3">
      <w:r>
        <w:t>In Office, the mso-layout-flow-alt property of the style attribute supports the following additional property values:</w:t>
      </w:r>
    </w:p>
    <w:tbl>
      <w:tblPr>
        <w:tblStyle w:val="Table-ShadedHeader"/>
        <w:tblW w:w="0" w:type="auto"/>
        <w:tblLook w:val="04A0" w:firstRow="1" w:lastRow="0" w:firstColumn="1" w:lastColumn="0" w:noHBand="0" w:noVBand="1"/>
      </w:tblPr>
      <w:tblGrid>
        <w:gridCol w:w="1373"/>
        <w:gridCol w:w="8102"/>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Property</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rPr>
                <w:i/>
              </w:rPr>
              <w:t>mso-layout-flow-alt</w:t>
            </w:r>
          </w:p>
        </w:tc>
        <w:tc>
          <w:tcPr>
            <w:tcW w:w="0" w:type="auto"/>
            <w:vAlign w:val="center"/>
          </w:tcPr>
          <w:p w:rsidR="005F78FC" w:rsidRDefault="00B42EF3">
            <w:pPr>
              <w:pStyle w:val="TableBodyText"/>
            </w:pPr>
            <w:r>
              <w:t xml:space="preserve">This property is used for specifying vertical text direction instead of </w:t>
            </w:r>
            <w:r>
              <w:rPr>
                <w:i/>
              </w:rPr>
              <w:t xml:space="preserve">layout-flow </w:t>
            </w:r>
            <w:r>
              <w:t>when the layout flow is from bottom to top or from top to bottom for non-ideographic languages.  Allowed values are:</w:t>
            </w:r>
          </w:p>
          <w:p w:rsidR="005F78FC" w:rsidRDefault="005F78FC">
            <w:pPr>
              <w:pStyle w:val="TableBodyText"/>
            </w:pPr>
          </w:p>
          <w:p w:rsidR="005F78FC" w:rsidRDefault="00B42EF3">
            <w:pPr>
              <w:pStyle w:val="ListParagraph"/>
              <w:numPr>
                <w:ilvl w:val="0"/>
                <w:numId w:val="176"/>
              </w:numPr>
            </w:pPr>
            <w:r>
              <w:rPr>
                <w:i/>
              </w:rPr>
              <w:t>bottom-to-top</w:t>
            </w:r>
            <w:r>
              <w:t xml:space="preserve"> - Text is displayed</w:t>
            </w:r>
          </w:p>
          <w:p w:rsidR="005F78FC" w:rsidRDefault="00B42EF3">
            <w:pPr>
              <w:pStyle w:val="ListParagraph"/>
              <w:numPr>
                <w:ilvl w:val="0"/>
                <w:numId w:val="177"/>
              </w:numPr>
            </w:pPr>
            <w:r>
              <w:rPr>
                <w:i/>
              </w:rPr>
              <w:t>top-to-bottom</w:t>
            </w:r>
            <w:r>
              <w:t xml:space="preserve"> - Text</w:t>
            </w:r>
            <w:r>
              <w:t xml:space="preserve"> is displayed</w:t>
            </w:r>
          </w:p>
          <w:p w:rsidR="005F78FC" w:rsidRDefault="005F78FC">
            <w:pPr>
              <w:pStyle w:val="TableBodyText"/>
            </w:pPr>
          </w:p>
          <w:p w:rsidR="005F78FC" w:rsidRDefault="00B42EF3">
            <w:pPr>
              <w:pStyle w:val="TableBodyText"/>
            </w:pPr>
            <w:r>
              <w:t xml:space="preserve">Excel interprets </w:t>
            </w:r>
            <w:r>
              <w:rPr>
                <w:i/>
              </w:rPr>
              <w:t>top-to-bottom</w:t>
            </w:r>
            <w:r>
              <w:t xml:space="preserve"> to indicate stacked text; this is handled in a different manner than in Word.</w:t>
            </w:r>
          </w:p>
          <w:p w:rsidR="005F78FC" w:rsidRDefault="005F78FC">
            <w:pPr>
              <w:pStyle w:val="TableBodyText"/>
            </w:pPr>
          </w:p>
          <w:p w:rsidR="005F78FC" w:rsidRDefault="00B42EF3">
            <w:pPr>
              <w:pStyle w:val="TableBodyText"/>
            </w:pPr>
            <w:r>
              <w:t>[Example: Text flowing from bottom to top:</w:t>
            </w:r>
          </w:p>
          <w:p w:rsidR="005F78FC" w:rsidRDefault="005F78FC">
            <w:pPr>
              <w:pStyle w:val="TableBodyText"/>
            </w:pPr>
          </w:p>
          <w:p w:rsidR="005F78FC" w:rsidRDefault="00B42EF3">
            <w:pPr>
              <w:pStyle w:val="TableBodyText"/>
            </w:pPr>
            <w:r>
              <w:t>&lt;v:textbox style="layout-flow:vertical;</w:t>
            </w:r>
          </w:p>
          <w:p w:rsidR="005F78FC" w:rsidRDefault="00B42EF3">
            <w:pPr>
              <w:pStyle w:val="TableBodyText"/>
            </w:pPr>
            <w:r>
              <w:t xml:space="preserve">  mso-layout-flow-alt:bottom-to-top"&gt;</w:t>
            </w:r>
          </w:p>
          <w:p w:rsidR="005F78FC" w:rsidRDefault="005F78FC">
            <w:pPr>
              <w:pStyle w:val="Code"/>
            </w:pPr>
          </w:p>
          <w:p w:rsidR="005F78FC" w:rsidRDefault="00B42EF3">
            <w:pPr>
              <w:pStyle w:val="TableBodyText"/>
            </w:pPr>
            <w:r>
              <w:rPr>
                <w:noProof/>
              </w:rPr>
              <w:drawing>
                <wp:inline distT="0" distB="0" distL="0" distR="0">
                  <wp:extent cx="742950" cy="476250"/>
                  <wp:effectExtent l="0" t="0" r="0" b="0"/>
                  <wp:docPr id="342015710" name="Picture 1" descr="Text that is vertical on its side as if the horizontal text was rotated 90 degrees counter clockwise and read from bottom to top, " title="bottom to top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f-0000-0000-0000-000000000000" descr="Text that is vertical on its side as if the horizontal text was rotated 90 degrees counter clockwise and read from bottom to top, " title="bottom to top text"/>
                          <pic:cNvPicPr>
                            <a:picLocks noChangeAspect="1" noChangeArrowheads="1"/>
                          </pic:cNvPicPr>
                        </pic:nvPicPr>
                        <pic:blipFill>
                          <a:blip r:embed="rId255" cstate="print"/>
                          <a:srcRect/>
                          <a:stretch>
                            <a:fillRect/>
                          </a:stretch>
                        </pic:blipFill>
                        <pic:spPr bwMode="auto">
                          <a:xfrm>
                            <a:off x="0" y="0"/>
                            <a:ext cx="742950" cy="476250"/>
                          </a:xfrm>
                          <a:prstGeom prst="rect">
                            <a:avLst/>
                          </a:prstGeom>
                          <a:noFill/>
                          <a:ln w="9525">
                            <a:noFill/>
                            <a:miter lim="800000"/>
                            <a:headEnd/>
                            <a:tailEnd/>
                          </a:ln>
                        </pic:spPr>
                      </pic:pic>
                    </a:graphicData>
                  </a:graphic>
                </wp:inline>
              </w:drawing>
            </w:r>
          </w:p>
          <w:p w:rsidR="005F78FC" w:rsidRDefault="005F78FC">
            <w:pPr>
              <w:pStyle w:val="TableBodyText"/>
            </w:pPr>
          </w:p>
          <w:p w:rsidR="005F78FC" w:rsidRDefault="00B42EF3">
            <w:pPr>
              <w:pStyle w:val="TableBodyText"/>
            </w:pPr>
            <w:r>
              <w:t>end e</w:t>
            </w:r>
            <w:r>
              <w:t>xample]</w:t>
            </w:r>
          </w:p>
          <w:p w:rsidR="005F78FC" w:rsidRDefault="005F78FC">
            <w:pPr>
              <w:pStyle w:val="TableBodyText"/>
            </w:pPr>
          </w:p>
          <w:p w:rsidR="005F78FC" w:rsidRDefault="00B42EF3">
            <w:pPr>
              <w:pStyle w:val="TableBodyText"/>
            </w:pPr>
            <w:r>
              <w:t>[Example: Text flowing from top to bottom:</w:t>
            </w:r>
          </w:p>
          <w:p w:rsidR="005F78FC" w:rsidRDefault="005F78FC">
            <w:pPr>
              <w:pStyle w:val="TableBodyText"/>
            </w:pPr>
          </w:p>
          <w:p w:rsidR="005F78FC" w:rsidRDefault="00B42EF3">
            <w:pPr>
              <w:pStyle w:val="TableBodyText"/>
            </w:pPr>
            <w:r>
              <w:t>&lt;v:textbox style="layout-flow:vertical;</w:t>
            </w:r>
          </w:p>
          <w:p w:rsidR="005F78FC" w:rsidRDefault="00B42EF3">
            <w:pPr>
              <w:pStyle w:val="TableBodyText"/>
            </w:pPr>
            <w:r>
              <w:t xml:space="preserve">  mso-layout-flow-alt:top-to-bottom"&gt;</w:t>
            </w:r>
          </w:p>
          <w:p w:rsidR="005F78FC" w:rsidRDefault="005F78FC">
            <w:pPr>
              <w:pStyle w:val="Code"/>
            </w:pPr>
          </w:p>
          <w:p w:rsidR="005F78FC" w:rsidRDefault="00B42EF3">
            <w:pPr>
              <w:pStyle w:val="TableBodyText"/>
            </w:pPr>
            <w:r>
              <w:rPr>
                <w:noProof/>
              </w:rPr>
              <w:drawing>
                <wp:inline distT="0" distB="0" distL="0" distR="0">
                  <wp:extent cx="742950" cy="476250"/>
                  <wp:effectExtent l="0" t="0" r="0" b="0"/>
                  <wp:docPr id="342015711" name="Picture 1" descr="Text that is vertical on its side as if the horizontal text was rotated 90 degrees clockwise and read from top to bottom, " title="top to bottom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c-0000-0000-0000-000000000000" descr="Text that is vertical on its side as if the horizontal text was rotated 90 degrees clockwise and read from top to bottom, " title="top to bottom text"/>
                          <pic:cNvPicPr>
                            <a:picLocks noChangeAspect="1" noChangeArrowheads="1"/>
                          </pic:cNvPicPr>
                        </pic:nvPicPr>
                        <pic:blipFill>
                          <a:blip r:embed="rId256" cstate="print"/>
                          <a:srcRect/>
                          <a:stretch>
                            <a:fillRect/>
                          </a:stretch>
                        </pic:blipFill>
                        <pic:spPr bwMode="auto">
                          <a:xfrm>
                            <a:off x="0" y="0"/>
                            <a:ext cx="742950" cy="476250"/>
                          </a:xfrm>
                          <a:prstGeom prst="rect">
                            <a:avLst/>
                          </a:prstGeom>
                          <a:noFill/>
                          <a:ln w="9525">
                            <a:noFill/>
                            <a:miter lim="800000"/>
                            <a:headEnd/>
                            <a:tailEnd/>
                          </a:ln>
                        </pic:spPr>
                      </pic:pic>
                    </a:graphicData>
                  </a:graphic>
                </wp:inline>
              </w:drawing>
            </w:r>
          </w:p>
          <w:p w:rsidR="005F78FC" w:rsidRDefault="005F78FC">
            <w:pPr>
              <w:pStyle w:val="TableBodyText"/>
            </w:pPr>
          </w:p>
          <w:p w:rsidR="005F78FC" w:rsidRDefault="00B42EF3">
            <w:pPr>
              <w:pStyle w:val="TableBodyText"/>
            </w:pPr>
            <w:r>
              <w:t>end example]</w:t>
            </w:r>
          </w:p>
          <w:p w:rsidR="005F78FC" w:rsidRDefault="005F78FC">
            <w:pPr>
              <w:pStyle w:val="TableBodyText"/>
            </w:pPr>
          </w:p>
          <w:p w:rsidR="005F78FC" w:rsidRDefault="00B42EF3">
            <w:pPr>
              <w:pStyle w:val="TableBodyText"/>
            </w:pPr>
            <w:r>
              <w:t>[Example: Text flowing from top to bottom in Excel:</w:t>
            </w:r>
          </w:p>
          <w:p w:rsidR="005F78FC" w:rsidRDefault="005F78FC">
            <w:pPr>
              <w:pStyle w:val="TableBodyText"/>
            </w:pPr>
          </w:p>
          <w:p w:rsidR="005F78FC" w:rsidRDefault="00B42EF3">
            <w:pPr>
              <w:pStyle w:val="TableBodyText"/>
            </w:pPr>
            <w:r>
              <w:t>&lt;v:textbox style="layout-flow:vertical;</w:t>
            </w:r>
          </w:p>
          <w:p w:rsidR="005F78FC" w:rsidRDefault="00B42EF3">
            <w:pPr>
              <w:pStyle w:val="TableBodyText"/>
            </w:pPr>
            <w:r>
              <w:t xml:space="preserve">  mso-layout-flow-alt:top-to-bottom"&gt;</w:t>
            </w:r>
          </w:p>
          <w:p w:rsidR="005F78FC" w:rsidRDefault="005F78FC">
            <w:pPr>
              <w:pStyle w:val="TableBodyText"/>
            </w:pPr>
          </w:p>
          <w:p w:rsidR="005F78FC" w:rsidRDefault="00B42EF3">
            <w:pPr>
              <w:pStyle w:val="TableBodyText"/>
            </w:pPr>
            <w:r>
              <w:rPr>
                <w:noProof/>
              </w:rPr>
              <w:drawing>
                <wp:inline distT="0" distB="0" distL="0" distR="0">
                  <wp:extent cx="619125" cy="752475"/>
                  <wp:effectExtent l="0" t="0" r="0" b="0"/>
                  <wp:docPr id="342015712" name="Picture 1" descr="Text that is vertical read from top to bottom. The letters are oriented right side up stacked on top of each other" title="top to bottom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d-0000-0000-0000-000000000000" descr="Text that is vertical read from top to bottom. The letters are oriented right side up stacked on top of each other" title="top to bottom text"/>
                          <pic:cNvPicPr>
                            <a:picLocks noChangeAspect="1" noChangeArrowheads="1"/>
                          </pic:cNvPicPr>
                        </pic:nvPicPr>
                        <pic:blipFill>
                          <a:blip r:embed="rId257" cstate="print"/>
                          <a:srcRect/>
                          <a:stretch>
                            <a:fillRect/>
                          </a:stretch>
                        </pic:blipFill>
                        <pic:spPr bwMode="auto">
                          <a:xfrm>
                            <a:off x="0" y="0"/>
                            <a:ext cx="619125" cy="752475"/>
                          </a:xfrm>
                          <a:prstGeom prst="rect">
                            <a:avLst/>
                          </a:prstGeom>
                          <a:noFill/>
                          <a:ln w="9525">
                            <a:noFill/>
                            <a:miter lim="800000"/>
                            <a:headEnd/>
                            <a:tailEnd/>
                          </a:ln>
                        </pic:spPr>
                      </pic:pic>
                    </a:graphicData>
                  </a:graphic>
                </wp:inline>
              </w:drawing>
            </w:r>
          </w:p>
          <w:p w:rsidR="005F78FC" w:rsidRDefault="005F78FC">
            <w:pPr>
              <w:pStyle w:val="TableBodyText"/>
            </w:pPr>
          </w:p>
          <w:p w:rsidR="005F78FC" w:rsidRDefault="00B42EF3">
            <w:pPr>
              <w:pStyle w:val="TableBodyText"/>
            </w:pPr>
            <w:r>
              <w:t>end example]</w:t>
            </w:r>
          </w:p>
          <w:p w:rsidR="005F78FC" w:rsidRDefault="005F78FC">
            <w:pPr>
              <w:pStyle w:val="TableBodyText"/>
            </w:pPr>
          </w:p>
          <w:p w:rsidR="005F78FC" w:rsidRDefault="00B42EF3">
            <w:pPr>
              <w:pStyle w:val="TableBodyText"/>
            </w:pPr>
            <w:r>
              <w:t>[Example: Text flowing vertically in Excel:</w:t>
            </w:r>
          </w:p>
          <w:p w:rsidR="005F78FC" w:rsidRDefault="005F78FC">
            <w:pPr>
              <w:pStyle w:val="TableBodyText"/>
            </w:pPr>
          </w:p>
          <w:p w:rsidR="005F78FC" w:rsidRDefault="00B42EF3">
            <w:pPr>
              <w:pStyle w:val="TableBodyText"/>
            </w:pPr>
            <w:r>
              <w:t>&lt;v:textbox style="layout-flow:vertical"&gt;</w:t>
            </w:r>
          </w:p>
          <w:p w:rsidR="005F78FC" w:rsidRDefault="005F78FC">
            <w:pPr>
              <w:pStyle w:val="Code"/>
            </w:pPr>
          </w:p>
          <w:p w:rsidR="005F78FC" w:rsidRDefault="00B42EF3">
            <w:pPr>
              <w:pStyle w:val="TableBodyText"/>
            </w:pPr>
            <w:r>
              <w:rPr>
                <w:noProof/>
              </w:rPr>
              <w:drawing>
                <wp:inline distT="0" distB="0" distL="0" distR="0">
                  <wp:extent cx="742950" cy="476250"/>
                  <wp:effectExtent l="0" t="0" r="0" b="0"/>
                  <wp:docPr id="342015713" name="Picture 1" descr="Text that is vertical on its side as if horizontal text was rotated 90 degrees clockwise and read from top to bottom, " title="Vertical flow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a-0000-0000-0000-000000000000" descr="Text that is vertical on its side as if horizontal text was rotated 90 degrees clockwise and read from top to bottom, " title="Vertical flow text"/>
                          <pic:cNvPicPr>
                            <a:picLocks noChangeAspect="1" noChangeArrowheads="1"/>
                          </pic:cNvPicPr>
                        </pic:nvPicPr>
                        <pic:blipFill>
                          <a:blip r:embed="rId258" cstate="print"/>
                          <a:srcRect/>
                          <a:stretch>
                            <a:fillRect/>
                          </a:stretch>
                        </pic:blipFill>
                        <pic:spPr bwMode="auto">
                          <a:xfrm>
                            <a:off x="0" y="0"/>
                            <a:ext cx="742950" cy="476250"/>
                          </a:xfrm>
                          <a:prstGeom prst="rect">
                            <a:avLst/>
                          </a:prstGeom>
                          <a:noFill/>
                          <a:ln w="9525">
                            <a:noFill/>
                            <a:miter lim="800000"/>
                            <a:headEnd/>
                            <a:tailEnd/>
                          </a:ln>
                        </pic:spPr>
                      </pic:pic>
                    </a:graphicData>
                  </a:graphic>
                </wp:inline>
              </w:drawing>
            </w:r>
          </w:p>
          <w:p w:rsidR="005F78FC" w:rsidRDefault="005F78FC">
            <w:pPr>
              <w:pStyle w:val="TableBodyText"/>
            </w:pPr>
          </w:p>
          <w:p w:rsidR="005F78FC" w:rsidRDefault="00B42EF3">
            <w:pPr>
              <w:pStyle w:val="TableBodyText"/>
            </w:pPr>
            <w:r>
              <w:t>end example]</w:t>
            </w:r>
          </w:p>
        </w:tc>
      </w:tr>
    </w:tbl>
    <w:p w:rsidR="005F78FC" w:rsidRDefault="005F78FC"/>
    <w:p w:rsidR="005F78FC" w:rsidRDefault="00B42EF3">
      <w:pPr>
        <w:pStyle w:val="Definition-Field"/>
      </w:pPr>
      <w:r>
        <w:lastRenderedPageBreak/>
        <w:t xml:space="preserve">d.   </w:t>
      </w:r>
      <w:r>
        <w:rPr>
          <w:i/>
        </w:rPr>
        <w:t>The standard indicates the values for the mso-rotate property of the style attribute.</w:t>
      </w:r>
    </w:p>
    <w:p w:rsidR="005F78FC" w:rsidRDefault="00B42EF3">
      <w:pPr>
        <w:pStyle w:val="Definition-Field2"/>
      </w:pPr>
      <w:r>
        <w:t>Office does not support the mso-rotate property and does not preserve the value -90 on file save.</w:t>
      </w:r>
    </w:p>
    <w:p w:rsidR="005F78FC" w:rsidRDefault="00B42EF3">
      <w:pPr>
        <w:pStyle w:val="Definition-Field"/>
      </w:pPr>
      <w:r>
        <w:t xml:space="preserve">e.   </w:t>
      </w:r>
      <w:r>
        <w:rPr>
          <w:i/>
        </w:rPr>
        <w:t>The standard indicates states that any element in the ##local namespace is a valid child of the textbox element without explaining how this is used.</w:t>
      </w:r>
    </w:p>
    <w:p w:rsidR="005F78FC" w:rsidRDefault="00B42EF3">
      <w:pPr>
        <w:pStyle w:val="Definition-Field2"/>
      </w:pPr>
      <w:r>
        <w:t>Excel writes text and text formatting as HTML within the textbox element.</w:t>
      </w:r>
    </w:p>
    <w:p w:rsidR="005F78FC" w:rsidRDefault="00B42EF3">
      <w:pPr>
        <w:pStyle w:val="Definition-Field"/>
      </w:pPr>
      <w:r>
        <w:t xml:space="preserve">f.   </w:t>
      </w:r>
      <w:r>
        <w:rPr>
          <w:i/>
        </w:rPr>
        <w:t>The standard indicates that the inset attribute is used if the value of insetmode attribute is "custom".</w:t>
      </w:r>
    </w:p>
    <w:p w:rsidR="005F78FC" w:rsidRDefault="00B42EF3">
      <w:pPr>
        <w:pStyle w:val="Definition-Field2"/>
      </w:pPr>
      <w:r>
        <w:t>Excel uses the value of the insetmode attribute on the parent element to</w:t>
      </w:r>
      <w:r>
        <w:t xml:space="preserve"> determine if the inset attribute is used.  Word always uses the inset attribute regardless of the value of the insetmode attribute.</w:t>
      </w:r>
    </w:p>
    <w:p w:rsidR="005F78FC" w:rsidRDefault="00B42EF3">
      <w:pPr>
        <w:pStyle w:val="Definition-Field"/>
      </w:pPr>
      <w:r>
        <w:t xml:space="preserve">g.   </w:t>
      </w:r>
      <w:r>
        <w:rPr>
          <w:i/>
        </w:rPr>
        <w:t>The standard indicates how the singleclick attribute is used.</w:t>
      </w:r>
    </w:p>
    <w:p w:rsidR="005F78FC" w:rsidRDefault="00B42EF3">
      <w:pPr>
        <w:pStyle w:val="Definition-Field2"/>
      </w:pPr>
      <w:r>
        <w:t>Office does not support the singleclick attribute.</w:t>
      </w:r>
    </w:p>
    <w:p w:rsidR="005F78FC" w:rsidRDefault="00B42EF3">
      <w:pPr>
        <w:pStyle w:val="Definition-Field"/>
      </w:pPr>
      <w:r>
        <w:t xml:space="preserve">h.   </w:t>
      </w:r>
      <w:r>
        <w:rPr>
          <w:i/>
        </w:rPr>
        <w:t>The standard implies that all properties on the style attribute apply to the textbox element.</w:t>
      </w:r>
    </w:p>
    <w:p w:rsidR="005F78FC" w:rsidRDefault="00B42EF3">
      <w:pPr>
        <w:pStyle w:val="Definition-Field2"/>
      </w:pPr>
      <w:r>
        <w:t>Office only supports the following properties on the textbox element:  direction, layout-flow, mso-direction-alt, mso-fit-shape-to-text, mso-fit-text-to-shape, ms</w:t>
      </w:r>
      <w:r>
        <w:t>o-layout-flow-alt, mso-next-textbox, mso-rotate, mso-text-scale, and v-text-anchor.</w:t>
      </w:r>
    </w:p>
    <w:p w:rsidR="005F78FC" w:rsidRDefault="00B42EF3">
      <w:pPr>
        <w:pStyle w:val="Definition-Field"/>
      </w:pPr>
      <w:r>
        <w:t xml:space="preserve">i.   </w:t>
      </w:r>
      <w:r>
        <w:rPr>
          <w:i/>
        </w:rPr>
        <w:t>The standard states that insetmode is a valid attribute.</w:t>
      </w:r>
    </w:p>
    <w:p w:rsidR="005F78FC" w:rsidRDefault="00B42EF3">
      <w:pPr>
        <w:pStyle w:val="Definition-Field2"/>
      </w:pPr>
      <w:r>
        <w:t>Office does not support this attribute.</w:t>
      </w:r>
    </w:p>
    <w:p w:rsidR="005F78FC" w:rsidRDefault="00B42EF3">
      <w:pPr>
        <w:pStyle w:val="Definition-Field"/>
      </w:pPr>
      <w:r>
        <w:t xml:space="preserve">j.   </w:t>
      </w:r>
      <w:r>
        <w:rPr>
          <w:i/>
        </w:rPr>
        <w:t>The standard does not restrict the number of instances of the tex</w:t>
      </w:r>
      <w:r>
        <w:rPr>
          <w:i/>
        </w:rPr>
        <w:t>tbox element.</w:t>
      </w:r>
    </w:p>
    <w:p w:rsidR="005F78FC" w:rsidRDefault="00B42EF3">
      <w:pPr>
        <w:pStyle w:val="Definition-Field2"/>
      </w:pPr>
      <w:r>
        <w:t>Office allows at most only one instance of the textbox element in each place where it can be used.</w:t>
      </w:r>
    </w:p>
    <w:p w:rsidR="005F78FC" w:rsidRDefault="00B42EF3">
      <w:pPr>
        <w:pStyle w:val="Definition-Field"/>
      </w:pPr>
      <w:r>
        <w:t xml:space="preserve">k.   </w:t>
      </w:r>
      <w:r>
        <w:rPr>
          <w:i/>
        </w:rPr>
        <w:t>The standard indicates how the mso-fit-text-to-shape property of the style attribute is used.</w:t>
      </w:r>
    </w:p>
    <w:p w:rsidR="005F78FC" w:rsidRDefault="00B42EF3">
      <w:pPr>
        <w:pStyle w:val="Definition-Field2"/>
      </w:pPr>
      <w:r>
        <w:t>Office does not support the mso-fit-text-to-</w:t>
      </w:r>
      <w:r>
        <w:t>shape property.</w:t>
      </w:r>
    </w:p>
    <w:p w:rsidR="005F78FC" w:rsidRDefault="00B42EF3">
      <w:pPr>
        <w:pStyle w:val="Heading3"/>
      </w:pPr>
      <w:bookmarkStart w:id="3634" w:name="section_ed0509b6055043338266884ac10bb5ba"/>
      <w:bookmarkStart w:id="3635" w:name="_Toc69879590"/>
      <w:r>
        <w:t>Part 4 Section 19.1.2.23, textpath (Text Layout Path)</w:t>
      </w:r>
      <w:bookmarkEnd w:id="3634"/>
      <w:bookmarkEnd w:id="3635"/>
      <w:r>
        <w:fldChar w:fldCharType="begin"/>
      </w:r>
      <w:r>
        <w:instrText xml:space="preserve"> XE "textpath (Text Layout Path)"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w:t>
        </w:r>
        <w:r>
          <w:rPr>
            <w:rStyle w:val="Hyperlink"/>
          </w:rPr>
          <w:t>c, §19.1.2.1(gggg)</w:t>
        </w:r>
      </w:hyperlink>
      <w:r>
        <w:rPr>
          <w:i/>
        </w:rPr>
        <w:t xml:space="preserve">; </w:t>
      </w:r>
      <w:hyperlink w:anchor="Section_96eb7103c6714831928122e64798c2e5">
        <w:r>
          <w:rPr>
            <w:rStyle w:val="Hyperlink"/>
          </w:rPr>
          <w:t>background, §19.1.2.2(c)</w:t>
        </w:r>
      </w:hyperlink>
      <w:r>
        <w:rPr>
          <w:i/>
        </w:rPr>
        <w:t xml:space="preserve">; </w:t>
      </w:r>
      <w:hyperlink w:anchor="Section_5dab8b917bfb495a9ed59068ef74998d">
        <w:r>
          <w:rPr>
            <w:rStyle w:val="Hyperlink"/>
          </w:rPr>
          <w:t>group, §19.1.2.7(a)</w:t>
        </w:r>
      </w:hyperlink>
      <w:r>
        <w:rPr>
          <w:i/>
        </w:rPr>
        <w:t>.</w:t>
      </w:r>
    </w:p>
    <w:p w:rsidR="005F78FC" w:rsidRDefault="00B42EF3">
      <w:pPr>
        <w:pStyle w:val="Definition-Field"/>
      </w:pPr>
      <w:r>
        <w:t xml:space="preserve">a.   </w:t>
      </w:r>
      <w:r>
        <w:rPr>
          <w:i/>
        </w:rPr>
        <w:t>The standard indicates that the default value for the v-te</w:t>
      </w:r>
      <w:r>
        <w:rPr>
          <w:i/>
        </w:rPr>
        <w:t>xt-align property of the style attribute is left.</w:t>
      </w:r>
    </w:p>
    <w:p w:rsidR="005F78FC" w:rsidRDefault="00B42EF3">
      <w:pPr>
        <w:pStyle w:val="Definition-Field2"/>
      </w:pPr>
      <w:r>
        <w:t>Office uses a default value of center for the v-text-align property of the style attribute.</w:t>
      </w:r>
    </w:p>
    <w:p w:rsidR="005F78FC" w:rsidRDefault="00B42EF3">
      <w:pPr>
        <w:pStyle w:val="Definition-Field"/>
      </w:pPr>
      <w:r>
        <w:t xml:space="preserve">b.   </w:t>
      </w:r>
      <w:r>
        <w:rPr>
          <w:i/>
        </w:rPr>
        <w:t>The standard implies that all properties on the style attribute apply to the textpath element.</w:t>
      </w:r>
    </w:p>
    <w:p w:rsidR="005F78FC" w:rsidRDefault="00B42EF3">
      <w:r>
        <w:t>Office only su</w:t>
      </w:r>
      <w:r>
        <w:t>pports the following properties on the textbox element:  font, font-family, font-size, font-style, font-variant, font-weight, mso-text-shadow, text-direction, v-rotate-letters, v-same-letter-heights, v-text-align, v-text-kern, v-text-reverse, v-text-spacin</w:t>
      </w:r>
      <w:r>
        <w:t>g-mode, and v-text-spacing</w:t>
      </w:r>
      <w:r>
        <w:rPr>
          <w:i/>
        </w:rPr>
        <w:t>.</w:t>
      </w:r>
    </w:p>
    <w:p w:rsidR="005F78FC" w:rsidRDefault="00B42EF3">
      <w:pPr>
        <w:pStyle w:val="Definition-Field"/>
      </w:pPr>
      <w:r>
        <w:t xml:space="preserve">c.   </w:t>
      </w:r>
      <w:r>
        <w:rPr>
          <w:i/>
        </w:rPr>
        <w:t>The standard indicates that the default value for the mso-text-shadow property of the style attribute is false.</w:t>
      </w:r>
    </w:p>
    <w:p w:rsidR="005F78FC" w:rsidRDefault="00B42EF3">
      <w:pPr>
        <w:pStyle w:val="Definition-Field2"/>
      </w:pPr>
      <w:r>
        <w:t>Office uses a default value of none for the mso-text-shadow property of the style attribute.</w:t>
      </w:r>
    </w:p>
    <w:p w:rsidR="005F78FC" w:rsidRDefault="00B42EF3">
      <w:pPr>
        <w:pStyle w:val="Definition-Field"/>
      </w:pPr>
      <w:r>
        <w:lastRenderedPageBreak/>
        <w:t xml:space="preserve">d.   </w:t>
      </w:r>
      <w:r>
        <w:rPr>
          <w:i/>
        </w:rPr>
        <w:t xml:space="preserve">The standard </w:t>
      </w:r>
      <w:r>
        <w:rPr>
          <w:i/>
        </w:rPr>
        <w:t>implies that changing the value of the font-size property of the style attribute changes the size of the textpath.</w:t>
      </w:r>
    </w:p>
    <w:p w:rsidR="005F78FC" w:rsidRDefault="00B42EF3">
      <w:r>
        <w:t xml:space="preserve">Office uses the </w:t>
      </w:r>
      <w:r>
        <w:rPr>
          <w:i/>
        </w:rPr>
        <w:t>width</w:t>
      </w:r>
      <w:r>
        <w:t xml:space="preserve"> and </w:t>
      </w:r>
      <w:r>
        <w:rPr>
          <w:i/>
        </w:rPr>
        <w:t>height</w:t>
      </w:r>
      <w:r>
        <w:t xml:space="preserve"> properties of the parent shape’s </w:t>
      </w:r>
      <w:r>
        <w:rPr>
          <w:b/>
        </w:rPr>
        <w:t>style</w:t>
      </w:r>
      <w:r>
        <w:t xml:space="preserve"> attribute to determine the area into which the text path is rendered.</w:t>
      </w:r>
      <w:r>
        <w:t xml:space="preserve">  If the value of </w:t>
      </w:r>
      <w:r>
        <w:rPr>
          <w:i/>
        </w:rPr>
        <w:t>font</w:t>
      </w:r>
      <w:r>
        <w:t xml:space="preserve">-size is increased, then the </w:t>
      </w:r>
      <w:r>
        <w:rPr>
          <w:i/>
        </w:rPr>
        <w:t>width</w:t>
      </w:r>
      <w:r>
        <w:t xml:space="preserve"> and </w:t>
      </w:r>
      <w:r>
        <w:rPr>
          <w:i/>
        </w:rPr>
        <w:t>height</w:t>
      </w:r>
      <w:r>
        <w:t xml:space="preserve"> on the parent shape are also required to be increased to accommodate the larger </w:t>
      </w:r>
      <w:r>
        <w:rPr>
          <w:i/>
        </w:rPr>
        <w:t>font</w:t>
      </w:r>
      <w:r>
        <w:t>-size value.</w:t>
      </w:r>
    </w:p>
    <w:p w:rsidR="005F78FC" w:rsidRDefault="00B42EF3">
      <w:pPr>
        <w:pStyle w:val="Definition-Field"/>
      </w:pPr>
      <w:r>
        <w:t xml:space="preserve">e.   </w:t>
      </w:r>
      <w:r>
        <w:rPr>
          <w:i/>
        </w:rPr>
        <w:t xml:space="preserve">The standard indicates how the text-decoration property of the style attribute is </w:t>
      </w:r>
      <w:r>
        <w:rPr>
          <w:i/>
        </w:rPr>
        <w:t>used.</w:t>
      </w:r>
    </w:p>
    <w:p w:rsidR="005F78FC" w:rsidRDefault="00B42EF3">
      <w:pPr>
        <w:pStyle w:val="Definition-Field2"/>
      </w:pPr>
      <w:r>
        <w:t>Office does not support the text-decoration property, but does preserve its value on file save.</w:t>
      </w:r>
    </w:p>
    <w:p w:rsidR="005F78FC" w:rsidRDefault="00B42EF3">
      <w:pPr>
        <w:pStyle w:val="Definition-Field"/>
      </w:pPr>
      <w:r>
        <w:t xml:space="preserve">f.   </w:t>
      </w:r>
      <w:r>
        <w:rPr>
          <w:i/>
        </w:rPr>
        <w:t>The standard indicates how the font-variant property of the style attribute is used.</w:t>
      </w:r>
    </w:p>
    <w:p w:rsidR="005F78FC" w:rsidRDefault="00B42EF3">
      <w:pPr>
        <w:pStyle w:val="Definition-Field2"/>
      </w:pPr>
      <w:r>
        <w:t>Office does not support the font-variant property, but does pres</w:t>
      </w:r>
      <w:r>
        <w:t>erve its value on file save.</w:t>
      </w:r>
    </w:p>
    <w:p w:rsidR="005F78FC" w:rsidRDefault="00B42EF3">
      <w:pPr>
        <w:pStyle w:val="Definition-Field"/>
      </w:pPr>
      <w:r>
        <w:t xml:space="preserve">g.   </w:t>
      </w:r>
      <w:r>
        <w:rPr>
          <w:i/>
        </w:rPr>
        <w:t>The standard indicates that the default value for the v-text-spacing property of the style attribute is 100.</w:t>
      </w:r>
    </w:p>
    <w:p w:rsidR="005F78FC" w:rsidRDefault="00B42EF3">
      <w:pPr>
        <w:pStyle w:val="Definition-Field2"/>
      </w:pPr>
      <w:r>
        <w:t>Office uses a default value of 1 or the v-text-spacing property of the style attribute.</w:t>
      </w:r>
    </w:p>
    <w:p w:rsidR="005F78FC" w:rsidRDefault="00B42EF3">
      <w:pPr>
        <w:pStyle w:val="Definition-Field"/>
      </w:pPr>
      <w:r>
        <w:t xml:space="preserve">h.   </w:t>
      </w:r>
      <w:r>
        <w:rPr>
          <w:i/>
        </w:rPr>
        <w:t>The standard indicat</w:t>
      </w:r>
      <w:r>
        <w:rPr>
          <w:i/>
        </w:rPr>
        <w:t>es that the default value for the v-text-spacing-mode property of the style attribute is tightening.</w:t>
      </w:r>
    </w:p>
    <w:p w:rsidR="005F78FC" w:rsidRDefault="00B42EF3">
      <w:pPr>
        <w:pStyle w:val="Definition-Field2"/>
      </w:pPr>
      <w:r>
        <w:t>Office uses a default value of tracking for the v-text-spacing-mode property of the style attribute.</w:t>
      </w:r>
    </w:p>
    <w:p w:rsidR="005F78FC" w:rsidRDefault="00B42EF3">
      <w:pPr>
        <w:pStyle w:val="Definition-Field"/>
      </w:pPr>
      <w:r>
        <w:t xml:space="preserve">i.   </w:t>
      </w:r>
      <w:r>
        <w:rPr>
          <w:i/>
        </w:rPr>
        <w:t>The standard does not restrict the number of inst</w:t>
      </w:r>
      <w:r>
        <w:rPr>
          <w:i/>
        </w:rPr>
        <w:t>ances of the textpath element.</w:t>
      </w:r>
    </w:p>
    <w:p w:rsidR="005F78FC" w:rsidRDefault="00B42EF3">
      <w:pPr>
        <w:pStyle w:val="Definition-Field2"/>
      </w:pPr>
      <w:r>
        <w:t>Office allows at most only one instance of the textpath element in each place where it can be used.</w:t>
      </w:r>
    </w:p>
    <w:p w:rsidR="005F78FC" w:rsidRDefault="00B42EF3">
      <w:pPr>
        <w:pStyle w:val="Definition-Field"/>
      </w:pPr>
      <w:r>
        <w:t xml:space="preserve">j.   </w:t>
      </w:r>
      <w:r>
        <w:rPr>
          <w:i/>
        </w:rPr>
        <w:t>The standard implies the valid values for the mso-text-shadow property of the style attribute.</w:t>
      </w:r>
    </w:p>
    <w:p w:rsidR="005F78FC" w:rsidRDefault="00B42EF3">
      <w:pPr>
        <w:pStyle w:val="Definition-Field2"/>
      </w:pPr>
      <w:r>
        <w:t>Office supports the value</w:t>
      </w:r>
      <w:r>
        <w:t>s auto and none for the mso-text-shadow property of the style attribute.</w:t>
      </w:r>
    </w:p>
    <w:p w:rsidR="005F78FC" w:rsidRDefault="00B42EF3">
      <w:pPr>
        <w:pStyle w:val="Definition-Field"/>
      </w:pPr>
      <w:r>
        <w:t xml:space="preserve">k.   </w:t>
      </w:r>
      <w:r>
        <w:rPr>
          <w:i/>
        </w:rPr>
        <w:t>The standard does not specify bounds for the v-text-spacing property of the style attribute.</w:t>
      </w:r>
    </w:p>
    <w:p w:rsidR="005F78FC" w:rsidRDefault="00B42EF3">
      <w:pPr>
        <w:pStyle w:val="Definition-Field2"/>
      </w:pPr>
      <w:r>
        <w:t>Office supports a minimum value of 0 and a maximum value of 5.  A value larger than 1</w:t>
      </w:r>
      <w:r>
        <w:t>.0 means expanded spacing while a value less than 1.0 means condensed spacing.</w:t>
      </w:r>
    </w:p>
    <w:p w:rsidR="005F78FC" w:rsidRDefault="00B42EF3">
      <w:pPr>
        <w:pStyle w:val="Definition-Field"/>
      </w:pPr>
      <w:r>
        <w:t xml:space="preserve">l.   </w:t>
      </w:r>
      <w:r>
        <w:rPr>
          <w:i/>
        </w:rPr>
        <w:t>The standard implies that the v-text-spacing property of the style attribute is specified using unitless numbers.</w:t>
      </w:r>
    </w:p>
    <w:p w:rsidR="005F78FC" w:rsidRDefault="00B42EF3">
      <w:r>
        <w:t>Office also supports specifying this property as a percent</w:t>
      </w:r>
      <w:r>
        <w:t>age in the range 0% through 500%.  This numeric value may also be specified in 1/65536-ths if a trailing "f" is supplied.  For example, a value of "52429f" represents 52429/65536 or 0.8.  Using this notation, the range of acceptable values is from 0f throu</w:t>
      </w:r>
      <w:r>
        <w:t>gh 327680f.</w:t>
      </w:r>
    </w:p>
    <w:p w:rsidR="005F78FC" w:rsidRDefault="00B42EF3">
      <w:pPr>
        <w:pStyle w:val="Heading3"/>
      </w:pPr>
      <w:bookmarkStart w:id="3636" w:name="section_6b29c3deb279450da710a73c6dd0b1fa"/>
      <w:bookmarkStart w:id="3637" w:name="_Toc69879591"/>
      <w:r>
        <w:t>Part 4 Section 19.1.3.2, ST_Ext (VML Extension Handling Behaviors)</w:t>
      </w:r>
      <w:bookmarkEnd w:id="3636"/>
      <w:bookmarkEnd w:id="3637"/>
      <w:r>
        <w:fldChar w:fldCharType="begin"/>
      </w:r>
      <w:r>
        <w:instrText xml:space="preserve"> XE "ST_Ext (VML Extension Handling Behaviors)" </w:instrText>
      </w:r>
      <w:r>
        <w:fldChar w:fldCharType="end"/>
      </w:r>
    </w:p>
    <w:p w:rsidR="005F78FC" w:rsidRDefault="00B42EF3">
      <w:pPr>
        <w:pStyle w:val="Definition-Field"/>
      </w:pPr>
      <w:r>
        <w:t xml:space="preserve">a.   </w:t>
      </w:r>
      <w:r>
        <w:rPr>
          <w:i/>
        </w:rPr>
        <w:t>The standard indicates the valid values for the ST_Ext simple type.</w:t>
      </w:r>
    </w:p>
    <w:p w:rsidR="005F78FC" w:rsidRDefault="00B42EF3">
      <w:r>
        <w:t xml:space="preserve">In Office, the following elements support only the </w:t>
      </w:r>
      <w:r>
        <w:rPr>
          <w:i/>
        </w:rPr>
        <w:t>Vie</w:t>
      </w:r>
      <w:r>
        <w:rPr>
          <w:i/>
        </w:rPr>
        <w:t>w</w:t>
      </w:r>
      <w:r>
        <w:t xml:space="preserve"> value:</w:t>
      </w:r>
    </w:p>
    <w:p w:rsidR="005F78FC" w:rsidRDefault="00B42EF3">
      <w:pPr>
        <w:pStyle w:val="ListParagraph"/>
        <w:numPr>
          <w:ilvl w:val="0"/>
          <w:numId w:val="178"/>
        </w:numPr>
        <w:contextualSpacing/>
      </w:pPr>
      <w:r>
        <w:rPr>
          <w:b/>
        </w:rPr>
        <w:t>top</w:t>
      </w:r>
      <w:r>
        <w:t xml:space="preserve"> ("</w:t>
      </w:r>
      <w:hyperlink r:id="rId259">
        <w:r>
          <w:rPr>
            <w:rStyle w:val="Hyperlink"/>
          </w:rPr>
          <w:t>[ISO/IEC-29500-4]</w:t>
        </w:r>
      </w:hyperlink>
      <w:r>
        <w:t xml:space="preserve"> §19.2.2.32; top (Text Box Top Stroke)")</w:t>
      </w:r>
    </w:p>
    <w:p w:rsidR="005F78FC" w:rsidRDefault="00B42EF3">
      <w:pPr>
        <w:pStyle w:val="ListParagraph"/>
        <w:numPr>
          <w:ilvl w:val="0"/>
          <w:numId w:val="178"/>
        </w:numPr>
        <w:contextualSpacing/>
      </w:pPr>
      <w:r>
        <w:rPr>
          <w:b/>
        </w:rPr>
        <w:t>bottom</w:t>
      </w:r>
      <w:r>
        <w:t xml:space="preserve"> ("[ISO/IEC-29500-4] §19.2.2.1; bottom (Text Box Bottom Stroke)") </w:t>
      </w:r>
    </w:p>
    <w:p w:rsidR="005F78FC" w:rsidRDefault="00B42EF3">
      <w:pPr>
        <w:pStyle w:val="ListParagraph"/>
        <w:numPr>
          <w:ilvl w:val="0"/>
          <w:numId w:val="178"/>
        </w:numPr>
        <w:contextualSpacing/>
      </w:pPr>
      <w:r>
        <w:rPr>
          <w:b/>
        </w:rPr>
        <w:t>left</w:t>
      </w:r>
      <w:r>
        <w:t xml:space="preserve"> ("[ISO/IEC-29500-4] §19.2.2.16; left (T</w:t>
      </w:r>
      <w:r>
        <w:t>ext Box Left Stroke)")</w:t>
      </w:r>
    </w:p>
    <w:p w:rsidR="005F78FC" w:rsidRDefault="00B42EF3">
      <w:pPr>
        <w:pStyle w:val="ListParagraph"/>
        <w:numPr>
          <w:ilvl w:val="0"/>
          <w:numId w:val="178"/>
        </w:numPr>
        <w:contextualSpacing/>
      </w:pPr>
      <w:r>
        <w:rPr>
          <w:b/>
        </w:rPr>
        <w:t xml:space="preserve">right </w:t>
      </w:r>
      <w:r>
        <w:t xml:space="preserve">("[ISO/IEC-29500-4] §19.2.2.26; right (Text Box Right Stroke)")  </w:t>
      </w:r>
    </w:p>
    <w:p w:rsidR="005F78FC" w:rsidRDefault="00B42EF3">
      <w:pPr>
        <w:pStyle w:val="ListParagraph"/>
        <w:numPr>
          <w:ilvl w:val="0"/>
          <w:numId w:val="178"/>
        </w:numPr>
        <w:contextualSpacing/>
      </w:pPr>
      <w:r>
        <w:rPr>
          <w:b/>
        </w:rPr>
        <w:t>column</w:t>
      </w:r>
      <w:r>
        <w:t xml:space="preserve"> ("[ISO/IEC-29500-4] §19.2.2.6; column (Text Box Interior Stroke)")</w:t>
      </w:r>
    </w:p>
    <w:p w:rsidR="005F78FC" w:rsidRDefault="00B42EF3">
      <w:pPr>
        <w:pStyle w:val="ListParagraph"/>
        <w:numPr>
          <w:ilvl w:val="0"/>
          <w:numId w:val="178"/>
        </w:numPr>
        <w:contextualSpacing/>
      </w:pPr>
      <w:r>
        <w:rPr>
          <w:b/>
        </w:rPr>
        <w:t>complex</w:t>
      </w:r>
      <w:r>
        <w:t xml:space="preserve"> ("[ISO/IEC-29500-4] §19.2.2.7; complex (Complex)")</w:t>
      </w:r>
    </w:p>
    <w:p w:rsidR="005F78FC" w:rsidRDefault="00B42EF3">
      <w:pPr>
        <w:pStyle w:val="ListParagraph"/>
        <w:numPr>
          <w:ilvl w:val="0"/>
          <w:numId w:val="178"/>
        </w:numPr>
        <w:contextualSpacing/>
      </w:pPr>
      <w:r>
        <w:rPr>
          <w:b/>
        </w:rPr>
        <w:t>extrusion</w:t>
      </w:r>
      <w:r>
        <w:t xml:space="preserve"> ("</w:t>
      </w:r>
      <w:r>
        <w:t>[ISO/IEC-29500-4] §19.2.2.11; extrusion (3D Extrusion)")</w:t>
      </w:r>
    </w:p>
    <w:p w:rsidR="005F78FC" w:rsidRDefault="00B42EF3">
      <w:pPr>
        <w:pStyle w:val="ListParagraph"/>
        <w:numPr>
          <w:ilvl w:val="0"/>
          <w:numId w:val="178"/>
        </w:numPr>
        <w:contextualSpacing/>
      </w:pPr>
      <w:r>
        <w:rPr>
          <w:b/>
        </w:rPr>
        <w:t>fill</w:t>
      </w:r>
      <w:r>
        <w:t xml:space="preserve"> ("[ISO/IEC-29500-4] §19.2.2.13; fill (Shape Fill Extended Properties)")</w:t>
      </w:r>
    </w:p>
    <w:p w:rsidR="005F78FC" w:rsidRDefault="00B42EF3">
      <w:pPr>
        <w:pStyle w:val="ListParagraph"/>
        <w:numPr>
          <w:ilvl w:val="0"/>
          <w:numId w:val="178"/>
        </w:numPr>
      </w:pPr>
      <w:r>
        <w:rPr>
          <w:b/>
        </w:rPr>
        <w:lastRenderedPageBreak/>
        <w:t>skew</w:t>
      </w:r>
      <w:r>
        <w:t xml:space="preserve"> ("[ISO/IEC-29500-4] §19.2.2.31; skew (Skew Transform)")</w:t>
      </w:r>
    </w:p>
    <w:p w:rsidR="005F78FC" w:rsidRDefault="00B42EF3">
      <w:pPr>
        <w:pStyle w:val="Definition-Field"/>
      </w:pPr>
      <w:r>
        <w:t xml:space="preserve">b.   </w:t>
      </w:r>
      <w:r>
        <w:rPr>
          <w:i/>
        </w:rPr>
        <w:t>The standard indicates the valid values for the ST_Ext s</w:t>
      </w:r>
      <w:r>
        <w:rPr>
          <w:i/>
        </w:rPr>
        <w:t>imple type.</w:t>
      </w:r>
    </w:p>
    <w:p w:rsidR="005F78FC" w:rsidRDefault="00B42EF3">
      <w:r>
        <w:t xml:space="preserve">In Office, the following elements support only the </w:t>
      </w:r>
      <w:r>
        <w:rPr>
          <w:i/>
        </w:rPr>
        <w:t>Edit</w:t>
      </w:r>
      <w:r>
        <w:t xml:space="preserve"> value:</w:t>
      </w:r>
    </w:p>
    <w:p w:rsidR="005F78FC" w:rsidRDefault="00B42EF3">
      <w:pPr>
        <w:pStyle w:val="ListParagraph"/>
        <w:numPr>
          <w:ilvl w:val="0"/>
          <w:numId w:val="179"/>
        </w:numPr>
        <w:contextualSpacing/>
      </w:pPr>
      <w:r>
        <w:rPr>
          <w:b/>
        </w:rPr>
        <w:t>callout</w:t>
      </w:r>
      <w:r>
        <w:t xml:space="preserve"> ("[ISO/IEC-29500-4] §19.2.2.2; callout (Callout)")</w:t>
      </w:r>
    </w:p>
    <w:p w:rsidR="005F78FC" w:rsidRDefault="00B42EF3">
      <w:pPr>
        <w:pStyle w:val="ListParagraph"/>
        <w:numPr>
          <w:ilvl w:val="0"/>
          <w:numId w:val="179"/>
        </w:numPr>
        <w:contextualSpacing/>
      </w:pPr>
      <w:r>
        <w:rPr>
          <w:b/>
        </w:rPr>
        <w:t>colormenu</w:t>
      </w:r>
      <w:r>
        <w:t xml:space="preserve"> ("[ISO/IEC-29500-4] §19.2.2.4; colormenu (UI Default Colors)")</w:t>
      </w:r>
    </w:p>
    <w:p w:rsidR="005F78FC" w:rsidRDefault="00B42EF3">
      <w:pPr>
        <w:pStyle w:val="ListParagraph"/>
        <w:numPr>
          <w:ilvl w:val="0"/>
          <w:numId w:val="179"/>
        </w:numPr>
        <w:contextualSpacing/>
      </w:pPr>
      <w:r>
        <w:rPr>
          <w:b/>
        </w:rPr>
        <w:t>colormru</w:t>
      </w:r>
      <w:r>
        <w:t xml:space="preserve"> ("[ISO/IEC-29500-4]</w:t>
      </w:r>
      <w:r>
        <w:t xml:space="preserve"> §19.2.2.5; colormru (Most Recently Used Colors)")</w:t>
      </w:r>
    </w:p>
    <w:p w:rsidR="005F78FC" w:rsidRDefault="00B42EF3">
      <w:pPr>
        <w:pStyle w:val="ListParagraph"/>
        <w:numPr>
          <w:ilvl w:val="0"/>
          <w:numId w:val="179"/>
        </w:numPr>
        <w:contextualSpacing/>
      </w:pPr>
      <w:r>
        <w:rPr>
          <w:b/>
        </w:rPr>
        <w:t>diagram</w:t>
      </w:r>
      <w:r>
        <w:t xml:space="preserve"> ("[ISO/IEC-29500-4] §19.2.2.8; diagram (VML Diagram)")</w:t>
      </w:r>
    </w:p>
    <w:p w:rsidR="005F78FC" w:rsidRDefault="00B42EF3">
      <w:pPr>
        <w:pStyle w:val="ListParagraph"/>
        <w:numPr>
          <w:ilvl w:val="0"/>
          <w:numId w:val="179"/>
        </w:numPr>
        <w:contextualSpacing/>
      </w:pPr>
      <w:r>
        <w:rPr>
          <w:b/>
        </w:rPr>
        <w:t>idmap</w:t>
      </w:r>
      <w:r>
        <w:t xml:space="preserve"> ("[ISO/IEC-29500-4] §19.2.2.14; idmap (Shape ID Map)")</w:t>
      </w:r>
    </w:p>
    <w:p w:rsidR="005F78FC" w:rsidRDefault="00B42EF3">
      <w:pPr>
        <w:pStyle w:val="ListParagraph"/>
        <w:numPr>
          <w:ilvl w:val="0"/>
          <w:numId w:val="179"/>
        </w:numPr>
        <w:contextualSpacing/>
      </w:pPr>
      <w:r>
        <w:rPr>
          <w:b/>
        </w:rPr>
        <w:t>lock</w:t>
      </w:r>
      <w:r>
        <w:t xml:space="preserve"> ("[ISO/IEC-29500-4] §19.2.2.18; lock (Shape Protections)")</w:t>
      </w:r>
    </w:p>
    <w:p w:rsidR="005F78FC" w:rsidRDefault="00B42EF3">
      <w:pPr>
        <w:pStyle w:val="ListParagraph"/>
        <w:numPr>
          <w:ilvl w:val="0"/>
          <w:numId w:val="179"/>
        </w:numPr>
        <w:contextualSpacing/>
      </w:pPr>
      <w:r>
        <w:rPr>
          <w:b/>
        </w:rPr>
        <w:t>regrouptable</w:t>
      </w:r>
      <w:r>
        <w:t xml:space="preserve"> ("[I</w:t>
      </w:r>
      <w:r>
        <w:t>SO/IEC-29500-4] §19.2.2.23; regrouptable (Shape Grouping History)")</w:t>
      </w:r>
    </w:p>
    <w:p w:rsidR="005F78FC" w:rsidRDefault="00B42EF3">
      <w:pPr>
        <w:pStyle w:val="ListParagraph"/>
        <w:numPr>
          <w:ilvl w:val="0"/>
          <w:numId w:val="179"/>
        </w:numPr>
        <w:contextualSpacing/>
      </w:pPr>
      <w:r>
        <w:rPr>
          <w:b/>
        </w:rPr>
        <w:t>rel</w:t>
      </w:r>
      <w:r>
        <w:t xml:space="preserve"> ("[ISO/IEC-29500-4] §19.2.2.24; rel (Diagram Relationship)")</w:t>
      </w:r>
    </w:p>
    <w:p w:rsidR="005F78FC" w:rsidRDefault="00B42EF3">
      <w:pPr>
        <w:pStyle w:val="ListParagraph"/>
        <w:numPr>
          <w:ilvl w:val="0"/>
          <w:numId w:val="179"/>
        </w:numPr>
        <w:contextualSpacing/>
      </w:pPr>
      <w:r>
        <w:rPr>
          <w:b/>
        </w:rPr>
        <w:t>relationtable</w:t>
      </w:r>
      <w:r>
        <w:t xml:space="preserve"> ("[ISO/IEC-29500-4] §19.2.2.25; relationtable (Diagram Relationship Table)")</w:t>
      </w:r>
    </w:p>
    <w:p w:rsidR="005F78FC" w:rsidRDefault="00B42EF3">
      <w:pPr>
        <w:pStyle w:val="ListParagraph"/>
        <w:numPr>
          <w:ilvl w:val="0"/>
          <w:numId w:val="179"/>
        </w:numPr>
        <w:contextualSpacing/>
      </w:pPr>
      <w:r>
        <w:rPr>
          <w:b/>
        </w:rPr>
        <w:t>rules</w:t>
      </w:r>
      <w:r>
        <w:t xml:space="preserve"> ("[ISO/IEC-29500-4] §19.2.</w:t>
      </w:r>
      <w:r>
        <w:t>2.27; rules (Rule Set)")</w:t>
      </w:r>
    </w:p>
    <w:p w:rsidR="005F78FC" w:rsidRDefault="00B42EF3">
      <w:pPr>
        <w:pStyle w:val="ListParagraph"/>
        <w:numPr>
          <w:ilvl w:val="0"/>
          <w:numId w:val="179"/>
        </w:numPr>
        <w:contextualSpacing/>
      </w:pPr>
      <w:r>
        <w:rPr>
          <w:b/>
        </w:rPr>
        <w:t>shapedefaults</w:t>
      </w:r>
      <w:r>
        <w:t xml:space="preserve"> ("[ISO/IEC-29500-4] §19.2.2.28; shapedefaults (New Shape Defaults)")</w:t>
      </w:r>
    </w:p>
    <w:p w:rsidR="005F78FC" w:rsidRDefault="00B42EF3">
      <w:pPr>
        <w:pStyle w:val="ListParagraph"/>
        <w:numPr>
          <w:ilvl w:val="0"/>
          <w:numId w:val="179"/>
        </w:numPr>
        <w:contextualSpacing/>
      </w:pPr>
      <w:r>
        <w:rPr>
          <w:b/>
        </w:rPr>
        <w:t>shapelayout</w:t>
      </w:r>
      <w:r>
        <w:t xml:space="preserve"> ("[ISO/IEC-29500-4] §19.2.2.29; shapelayout (Shape Layout Properties)")</w:t>
      </w:r>
    </w:p>
    <w:p w:rsidR="005F78FC" w:rsidRDefault="00B42EF3">
      <w:pPr>
        <w:pStyle w:val="ListParagraph"/>
        <w:numPr>
          <w:ilvl w:val="0"/>
          <w:numId w:val="179"/>
        </w:numPr>
      </w:pPr>
      <w:r>
        <w:rPr>
          <w:b/>
        </w:rPr>
        <w:t>signatureline</w:t>
      </w:r>
      <w:r>
        <w:t xml:space="preserve"> ("[ISO/IEC-29500-4] §19.2.2.30; signatureline (Dig</w:t>
      </w:r>
      <w:r>
        <w:t>ital Signature Line)")</w:t>
      </w:r>
    </w:p>
    <w:p w:rsidR="005F78FC" w:rsidRDefault="00B42EF3">
      <w:pPr>
        <w:pStyle w:val="Heading3"/>
      </w:pPr>
      <w:bookmarkStart w:id="3638" w:name="section_008cd8fe3ce04c7e8cfa41e93a741ff6"/>
      <w:bookmarkStart w:id="3639" w:name="_Toc69879592"/>
      <w:r>
        <w:t>Part 4 Section 19.1.3.3, ST_FillMethod (Gradient Fill Computation Type)</w:t>
      </w:r>
      <w:bookmarkEnd w:id="3638"/>
      <w:bookmarkEnd w:id="3639"/>
      <w:r>
        <w:fldChar w:fldCharType="begin"/>
      </w:r>
      <w:r>
        <w:instrText xml:space="preserve"> XE "ST_FillMethod (Gradient Fill Computation Type)" </w:instrText>
      </w:r>
      <w:r>
        <w:fldChar w:fldCharType="end"/>
      </w:r>
    </w:p>
    <w:p w:rsidR="005F78FC" w:rsidRDefault="00B42EF3">
      <w:pPr>
        <w:pStyle w:val="Definition-Field"/>
      </w:pPr>
      <w:r>
        <w:t xml:space="preserve">a.   </w:t>
      </w:r>
      <w:r>
        <w:rPr>
          <w:i/>
        </w:rPr>
        <w:t>The standard indicates that the any value is an application default fill.</w:t>
      </w:r>
    </w:p>
    <w:p w:rsidR="005F78FC" w:rsidRDefault="00B42EF3">
      <w:pPr>
        <w:pStyle w:val="Definition-Field2"/>
      </w:pPr>
      <w:r>
        <w:t>Office uses linear sigma as</w:t>
      </w:r>
      <w:r>
        <w:t xml:space="preserve"> its application default fill.</w:t>
      </w:r>
    </w:p>
    <w:p w:rsidR="005F78FC" w:rsidRDefault="00B42EF3">
      <w:pPr>
        <w:pStyle w:val="Heading3"/>
      </w:pPr>
      <w:bookmarkStart w:id="3640" w:name="section_171b0dbff49c41e19b891784a823b0d0"/>
      <w:bookmarkStart w:id="3641" w:name="_Toc69879593"/>
      <w:r>
        <w:t>Part 4 Section 19.1.3.4, ST_FillType (Shape Fill Type)</w:t>
      </w:r>
      <w:bookmarkEnd w:id="3640"/>
      <w:bookmarkEnd w:id="3641"/>
      <w:r>
        <w:fldChar w:fldCharType="begin"/>
      </w:r>
      <w:r>
        <w:instrText xml:space="preserve"> XE "ST_FillType (Shape Fill Type)" </w:instrText>
      </w:r>
      <w:r>
        <w:fldChar w:fldCharType="end"/>
      </w:r>
    </w:p>
    <w:p w:rsidR="005F78FC" w:rsidRDefault="00B42EF3">
      <w:pPr>
        <w:pStyle w:val="Definition-Field"/>
      </w:pPr>
      <w:r>
        <w:t xml:space="preserve">a.   </w:t>
      </w:r>
      <w:r>
        <w:rPr>
          <w:i/>
        </w:rPr>
        <w:t>The standard indicates how the pattern enumeration value is used.</w:t>
      </w:r>
    </w:p>
    <w:p w:rsidR="005F78FC" w:rsidRDefault="00B42EF3">
      <w:pPr>
        <w:pStyle w:val="Definition-Field2"/>
      </w:pPr>
      <w:r>
        <w:t>Office uses the fill colors but also tiles the fill image.</w:t>
      </w:r>
    </w:p>
    <w:p w:rsidR="005F78FC" w:rsidRDefault="00B42EF3">
      <w:pPr>
        <w:pStyle w:val="Heading3"/>
      </w:pPr>
      <w:bookmarkStart w:id="3642" w:name="section_43069065d5f54e959543824ed01466d3"/>
      <w:bookmarkStart w:id="3643" w:name="_Toc69879594"/>
      <w:r>
        <w:t>Pa</w:t>
      </w:r>
      <w:r>
        <w:t>rt 4 Section 19.1.3.6, ST_ShadowType (Shadow Type)</w:t>
      </w:r>
      <w:bookmarkEnd w:id="3642"/>
      <w:bookmarkEnd w:id="3643"/>
      <w:r>
        <w:fldChar w:fldCharType="begin"/>
      </w:r>
      <w:r>
        <w:instrText xml:space="preserve"> XE "ST_ShadowType (Shadow Type)" </w:instrText>
      </w:r>
      <w:r>
        <w:fldChar w:fldCharType="end"/>
      </w:r>
    </w:p>
    <w:p w:rsidR="005F78FC" w:rsidRDefault="00B42EF3">
      <w:pPr>
        <w:pStyle w:val="Definition-Field"/>
      </w:pPr>
      <w:r>
        <w:t xml:space="preserve">a.   </w:t>
      </w:r>
      <w:r>
        <w:rPr>
          <w:i/>
        </w:rPr>
        <w:t>The standard lists four valid values for the ST_ShadowType simple type.</w:t>
      </w:r>
    </w:p>
    <w:p w:rsidR="005F78FC" w:rsidRDefault="00B42EF3">
      <w:r>
        <w:t xml:space="preserve">In addition to the two values specified by the standard, Office supports the following </w:t>
      </w:r>
      <w:r>
        <w:t>additional enumeration values for the ST_ShadowType simple type:</w:t>
      </w:r>
    </w:p>
    <w:tbl>
      <w:tblPr>
        <w:tblStyle w:val="Table-ShadedHeader"/>
        <w:tblW w:w="0" w:type="auto"/>
        <w:tblLook w:val="04A0" w:firstRow="1" w:lastRow="0" w:firstColumn="1" w:lastColumn="0" w:noHBand="0" w:noVBand="1"/>
      </w:tblPr>
      <w:tblGrid>
        <w:gridCol w:w="3253"/>
        <w:gridCol w:w="6063"/>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Enumeration Value</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rPr>
                <w:b/>
              </w:rPr>
              <w:t>drawingRelative</w:t>
            </w:r>
            <w:r>
              <w:t xml:space="preserve"> (Drawing Shadow)</w:t>
            </w:r>
          </w:p>
        </w:tc>
        <w:tc>
          <w:tcPr>
            <w:tcW w:w="0" w:type="auto"/>
            <w:vAlign w:val="center"/>
          </w:tcPr>
          <w:p w:rsidR="005F78FC" w:rsidRDefault="00B42EF3">
            <w:pPr>
              <w:pStyle w:val="TableBodyText"/>
            </w:pPr>
            <w:r>
              <w:t>A perspective shadow is cast relative to the drawing space of the shape.</w:t>
            </w:r>
          </w:p>
        </w:tc>
      </w:tr>
      <w:tr w:rsidR="005F78FC" w:rsidTr="005F78FC">
        <w:tc>
          <w:tcPr>
            <w:tcW w:w="0" w:type="auto"/>
            <w:vAlign w:val="center"/>
          </w:tcPr>
          <w:p w:rsidR="005F78FC" w:rsidRDefault="00B42EF3">
            <w:pPr>
              <w:pStyle w:val="TableBodyText"/>
            </w:pPr>
            <w:r>
              <w:rPr>
                <w:b/>
              </w:rPr>
              <w:t>shapeRelative</w:t>
            </w:r>
            <w:r>
              <w:t xml:space="preserve"> (Shape Shadow)</w:t>
            </w:r>
          </w:p>
        </w:tc>
        <w:tc>
          <w:tcPr>
            <w:tcW w:w="0" w:type="auto"/>
            <w:vAlign w:val="center"/>
          </w:tcPr>
          <w:p w:rsidR="005F78FC" w:rsidRDefault="00B42EF3">
            <w:pPr>
              <w:pStyle w:val="TableBodyText"/>
            </w:pPr>
            <w:r>
              <w:t xml:space="preserve">A perspective shadow is </w:t>
            </w:r>
            <w:r>
              <w:t xml:space="preserve">cast and scaled relative to the shape. </w:t>
            </w:r>
          </w:p>
        </w:tc>
      </w:tr>
    </w:tbl>
    <w:p w:rsidR="005F78FC" w:rsidRDefault="005F78FC"/>
    <w:p w:rsidR="005F78FC" w:rsidRDefault="00B42EF3">
      <w:pPr>
        <w:pStyle w:val="Heading3"/>
      </w:pPr>
      <w:bookmarkStart w:id="3644" w:name="section_584b988653c243efa8577c5d7041a8db"/>
      <w:bookmarkStart w:id="3645" w:name="_Toc69879595"/>
      <w:r>
        <w:t>Part 4 Section 19.2.2.1, bottom (Text Box Bottom Stroke)</w:t>
      </w:r>
      <w:bookmarkEnd w:id="3644"/>
      <w:bookmarkEnd w:id="3645"/>
      <w:r>
        <w:fldChar w:fldCharType="begin"/>
      </w:r>
      <w:r>
        <w:instrText xml:space="preserve"> XE "bottom (Text Box Bottom Stroke)"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7c2c12cffc6b476ca8bc3206fdc1ea78">
        <w:r>
          <w:rPr>
            <w:rStyle w:val="Hyperlink"/>
          </w:rPr>
          <w:t>column, §19.2.2.</w:t>
        </w:r>
        <w:r>
          <w:rPr>
            <w:rStyle w:val="Hyperlink"/>
          </w:rPr>
          <w:t>6(a)</w:t>
        </w:r>
      </w:hyperlink>
      <w:r>
        <w:rPr>
          <w:i/>
        </w:rPr>
        <w:t>.</w:t>
      </w:r>
    </w:p>
    <w:p w:rsidR="005F78FC" w:rsidRDefault="00B42EF3">
      <w:pPr>
        <w:pStyle w:val="Definition-Field"/>
      </w:pPr>
      <w:r>
        <w:t xml:space="preserve">a.   </w:t>
      </w:r>
      <w:r>
        <w:rPr>
          <w:i/>
        </w:rPr>
        <w:t>The standard indicates the conditions under which the bottom element is displayed.</w:t>
      </w:r>
    </w:p>
    <w:p w:rsidR="005F78FC" w:rsidRDefault="00B42EF3">
      <w:r>
        <w:t>In Office, the bottom element will only be displayed if all of the following conditions are met:</w:t>
      </w:r>
    </w:p>
    <w:p w:rsidR="005F78FC" w:rsidRDefault="00B42EF3">
      <w:pPr>
        <w:pStyle w:val="ListParagraph"/>
        <w:numPr>
          <w:ilvl w:val="0"/>
          <w:numId w:val="180"/>
        </w:numPr>
        <w:contextualSpacing/>
      </w:pPr>
      <w:r>
        <w:t xml:space="preserve">The </w:t>
      </w:r>
      <w:r>
        <w:rPr>
          <w:b/>
        </w:rPr>
        <w:t>on</w:t>
      </w:r>
      <w:r>
        <w:t xml:space="preserve"> attribute is </w:t>
      </w:r>
      <w:r>
        <w:rPr>
          <w:i/>
        </w:rPr>
        <w:t>true</w:t>
      </w:r>
      <w:r>
        <w:t>.</w:t>
      </w:r>
    </w:p>
    <w:p w:rsidR="005F78FC" w:rsidRDefault="00B42EF3">
      <w:pPr>
        <w:pStyle w:val="ListParagraph"/>
        <w:numPr>
          <w:ilvl w:val="0"/>
          <w:numId w:val="180"/>
        </w:numPr>
        <w:contextualSpacing/>
      </w:pPr>
      <w:r>
        <w:lastRenderedPageBreak/>
        <w:t xml:space="preserve">The shape’s path is closed with the </w:t>
      </w:r>
      <w:r>
        <w:rPr>
          <w:i/>
        </w:rPr>
        <w:t>x</w:t>
      </w:r>
      <w:r>
        <w:t xml:space="preserve"> command.  [Note: This implies that arrow heads should be defined on the stroke attribute. end note]</w:t>
      </w:r>
    </w:p>
    <w:p w:rsidR="005F78FC" w:rsidRDefault="00B42EF3">
      <w:pPr>
        <w:pStyle w:val="ListParagraph"/>
        <w:numPr>
          <w:ilvl w:val="0"/>
          <w:numId w:val="180"/>
        </w:numPr>
        <w:contextualSpacing/>
      </w:pPr>
      <w:r>
        <w:t>The shape’s path defines a rectangle with corner coordinates exactly equal to 0,0; 21600,0; 21600,21600; 0,21600.  [Example: For example, the following val</w:t>
      </w:r>
      <w:r>
        <w:t xml:space="preserve">ue on the </w:t>
      </w:r>
      <w:r>
        <w:rPr>
          <w:b/>
        </w:rPr>
        <w:t>path</w:t>
      </w:r>
      <w:r>
        <w:t xml:space="preserve"> attribute of the </w:t>
      </w:r>
      <w:r>
        <w:rPr>
          <w:b/>
        </w:rPr>
        <w:t>shape</w:t>
      </w:r>
      <w:r>
        <w:t xml:space="preserve"> element ("</w:t>
      </w:r>
      <w:hyperlink r:id="rId260">
        <w:r>
          <w:rPr>
            <w:rStyle w:val="Hyperlink"/>
          </w:rPr>
          <w:t>[ISO/IEC-29500-4]</w:t>
        </w:r>
      </w:hyperlink>
      <w:r>
        <w:t xml:space="preserve"> §19.1.2.19; shape (Shape Definition)") satisfies this condition: </w:t>
      </w:r>
      <w:r>
        <w:rPr>
          <w:rStyle w:val="InlineCode"/>
        </w:rPr>
        <w:t>path="m,l,21600r21600,l21600,xe"</w:t>
      </w:r>
      <w:r>
        <w:t xml:space="preserve"> end example]</w:t>
      </w:r>
    </w:p>
    <w:p w:rsidR="005F78FC" w:rsidRDefault="00B42EF3">
      <w:pPr>
        <w:pStyle w:val="ListParagraph"/>
        <w:numPr>
          <w:ilvl w:val="0"/>
          <w:numId w:val="180"/>
        </w:numPr>
        <w:contextualSpacing/>
      </w:pPr>
      <w:r>
        <w:t xml:space="preserve">The value of </w:t>
      </w:r>
      <w:r>
        <w:t xml:space="preserve">the shape’s </w:t>
      </w:r>
      <w:r>
        <w:rPr>
          <w:b/>
        </w:rPr>
        <w:t>spt</w:t>
      </w:r>
      <w:r>
        <w:t xml:space="preserve"> attribute is </w:t>
      </w:r>
      <w:r>
        <w:rPr>
          <w:i/>
        </w:rPr>
        <w:t>202</w:t>
      </w:r>
      <w:r>
        <w:t>.</w:t>
      </w:r>
    </w:p>
    <w:p w:rsidR="005F78FC" w:rsidRDefault="00B42EF3">
      <w:pPr>
        <w:pStyle w:val="ListParagraph"/>
        <w:numPr>
          <w:ilvl w:val="0"/>
          <w:numId w:val="180"/>
        </w:numPr>
      </w:pPr>
      <w:r>
        <w:t>The shape is not stroked.</w:t>
      </w:r>
    </w:p>
    <w:p w:rsidR="005F78FC" w:rsidRDefault="00B42EF3">
      <w:r>
        <w:t>[Note: The shape is not stroked if one of the following conditions is true:</w:t>
      </w:r>
    </w:p>
    <w:p w:rsidR="005F78FC" w:rsidRDefault="00B42EF3">
      <w:pPr>
        <w:pStyle w:val="ListParagraph"/>
        <w:numPr>
          <w:ilvl w:val="0"/>
          <w:numId w:val="181"/>
        </w:numPr>
        <w:contextualSpacing/>
      </w:pPr>
      <w:r>
        <w:t xml:space="preserve">The value of the </w:t>
      </w:r>
      <w:r>
        <w:rPr>
          <w:b/>
        </w:rPr>
        <w:t>on</w:t>
      </w:r>
      <w:r>
        <w:t xml:space="preserve"> attribute of the </w:t>
      </w:r>
      <w:r>
        <w:rPr>
          <w:b/>
        </w:rPr>
        <w:t>stroke</w:t>
      </w:r>
      <w:r>
        <w:t xml:space="preserve"> element ("[ISO/IEC-29500-4] §19.1.2.21; stroke (Line Stroke Settings)") is </w:t>
      </w:r>
      <w:r>
        <w:rPr>
          <w:i/>
        </w:rPr>
        <w:t>f</w:t>
      </w:r>
      <w:r>
        <w:rPr>
          <w:i/>
        </w:rPr>
        <w:t>alse</w:t>
      </w:r>
      <w:r>
        <w:t>.</w:t>
      </w:r>
    </w:p>
    <w:p w:rsidR="005F78FC" w:rsidRDefault="00B42EF3">
      <w:pPr>
        <w:pStyle w:val="ListParagraph"/>
        <w:numPr>
          <w:ilvl w:val="0"/>
          <w:numId w:val="181"/>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5F78FC" w:rsidRDefault="00B42EF3">
      <w:pPr>
        <w:pStyle w:val="ListParagraph"/>
        <w:numPr>
          <w:ilvl w:val="0"/>
          <w:numId w:val="181"/>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w:t>
      </w:r>
      <w:r>
        <w:rPr>
          <w:b/>
        </w:rPr>
        <w:t>e</w:t>
      </w:r>
      <w:r>
        <w:t xml:space="preserve"> element ("[ISO/IEC-29500-4] §19.1.2.20; shapetype (Shape Template)") is </w:t>
      </w:r>
      <w:r>
        <w:rPr>
          <w:i/>
        </w:rPr>
        <w:t>false</w:t>
      </w:r>
      <w:r>
        <w:t>.</w:t>
      </w:r>
    </w:p>
    <w:p w:rsidR="005F78FC" w:rsidRDefault="00B42EF3">
      <w:r>
        <w:t>end note]</w:t>
      </w:r>
    </w:p>
    <w:p w:rsidR="005F78FC" w:rsidRDefault="00B42EF3">
      <w:pPr>
        <w:pStyle w:val="Definition-Field"/>
      </w:pPr>
      <w:r>
        <w:t xml:space="preserve">b.   </w:t>
      </w:r>
      <w:r>
        <w:rPr>
          <w:i/>
        </w:rPr>
        <w:t>The standard indicates how the src attribute is used.</w:t>
      </w:r>
    </w:p>
    <w:p w:rsidR="005F78FC" w:rsidRDefault="00B42EF3">
      <w:pPr>
        <w:pStyle w:val="Definition-Field2"/>
      </w:pPr>
      <w:r>
        <w:t xml:space="preserve">Office replaces the value of the src attribute with the value of the href attribute, if defined, or the </w:t>
      </w:r>
      <w:r>
        <w:t>althref attribute if href is not defined.</w:t>
      </w:r>
    </w:p>
    <w:p w:rsidR="005F78FC" w:rsidRDefault="00B42EF3">
      <w:pPr>
        <w:pStyle w:val="Definition-Field"/>
      </w:pPr>
      <w:r>
        <w:t xml:space="preserve">c.   </w:t>
      </w:r>
      <w:r>
        <w:rPr>
          <w:i/>
        </w:rPr>
        <w:t>The standard indicates in the on attribute the conditions under which the bottom element is displayed.</w:t>
      </w:r>
    </w:p>
    <w:p w:rsidR="005F78FC" w:rsidRDefault="00B42EF3">
      <w:pPr>
        <w:pStyle w:val="Definition-Field2"/>
      </w:pPr>
      <w:r>
        <w:t xml:space="preserve">In Office the bottom element is only displayed if the on attribute is true, if the shape's path is closed </w:t>
      </w:r>
      <w:r>
        <w:t>with the x command, and the shape is not stroked.</w:t>
      </w:r>
    </w:p>
    <w:p w:rsidR="005F78FC" w:rsidRDefault="00B42EF3">
      <w:pPr>
        <w:pStyle w:val="Definition-Field"/>
      </w:pPr>
      <w:r>
        <w:t xml:space="preserve">d.   </w:t>
      </w:r>
      <w:r>
        <w:rPr>
          <w:i/>
        </w:rPr>
        <w:t>The standard indicates how the href attribute is used.</w:t>
      </w:r>
    </w:p>
    <w:p w:rsidR="005F78FC" w:rsidRDefault="00B42EF3">
      <w:pPr>
        <w:pStyle w:val="Definition-Field2"/>
      </w:pPr>
      <w:r>
        <w:t>Office does not persist this value on file save.  The href attribute value replaces the value of the src attribute on file save.</w:t>
      </w:r>
    </w:p>
    <w:p w:rsidR="005F78FC" w:rsidRDefault="00B42EF3">
      <w:pPr>
        <w:pStyle w:val="Definition-Field"/>
      </w:pPr>
      <w:r>
        <w:t xml:space="preserve">e.   </w:t>
      </w:r>
      <w:r>
        <w:rPr>
          <w:i/>
        </w:rPr>
        <w:t>The standard</w:t>
      </w:r>
      <w:r>
        <w:rPr>
          <w:i/>
        </w:rPr>
        <w:t xml:space="preserve"> indicates how the althref attribute is used.</w:t>
      </w:r>
    </w:p>
    <w:p w:rsidR="005F78FC" w:rsidRDefault="00B42EF3">
      <w:pPr>
        <w:pStyle w:val="Definition-Field2"/>
      </w:pPr>
      <w:r>
        <w:t>Office does not persist the althref value on file save.  The althref attribute value replaces the value of the src attribute on file save if the href attribute is not defined.</w:t>
      </w:r>
    </w:p>
    <w:p w:rsidR="005F78FC" w:rsidRDefault="00B42EF3">
      <w:pPr>
        <w:pStyle w:val="Definition-Field"/>
      </w:pPr>
      <w:r>
        <w:t xml:space="preserve">f.   </w:t>
      </w:r>
      <w:r>
        <w:rPr>
          <w:i/>
        </w:rPr>
        <w:t>The standard states that imag</w:t>
      </w:r>
      <w:r>
        <w:rPr>
          <w:i/>
        </w:rPr>
        <w:t>easpect is a valid attribute on this element.</w:t>
      </w:r>
    </w:p>
    <w:p w:rsidR="005F78FC" w:rsidRDefault="00B42EF3">
      <w:pPr>
        <w:pStyle w:val="Definition-Field2"/>
      </w:pPr>
      <w:r>
        <w:t>Office does not support this attribute on this element; if a value other than ignore is specified, a value of 0,0 will be applied to the imagesize attribute.</w:t>
      </w:r>
    </w:p>
    <w:p w:rsidR="005F78FC" w:rsidRDefault="00B42EF3">
      <w:pPr>
        <w:pStyle w:val="Definition-Field"/>
      </w:pPr>
      <w:r>
        <w:t xml:space="preserve">g.   </w:t>
      </w:r>
      <w:r>
        <w:rPr>
          <w:i/>
        </w:rPr>
        <w:t>The standard indicates how the imagesize attrib</w:t>
      </w:r>
      <w:r>
        <w:rPr>
          <w:i/>
        </w:rPr>
        <w:t>ute is used.</w:t>
      </w:r>
    </w:p>
    <w:p w:rsidR="005F78FC" w:rsidRDefault="00B42EF3">
      <w:r>
        <w:t>This attribute is specified as a string of two numbers separated by a space, colon, semicolon or comma.  The valid unit ranges for the numbers are defined in section 6.1.  If these limits are not respected, Office writes a value of “0,0” on fi</w:t>
      </w:r>
      <w:r>
        <w:t>le save.</w:t>
      </w:r>
    </w:p>
    <w:p w:rsidR="005F78FC" w:rsidRDefault="00B42EF3">
      <w:r>
        <w:t>If more than two values are defined, only the two first values are used and saved.</w:t>
      </w:r>
    </w:p>
    <w:p w:rsidR="005F78FC" w:rsidRDefault="00B42EF3">
      <w:pPr>
        <w:pStyle w:val="Definition-Field"/>
      </w:pPr>
      <w:r>
        <w:t xml:space="preserve">h.   </w:t>
      </w:r>
      <w:r>
        <w:rPr>
          <w:i/>
        </w:rPr>
        <w:t>The standard does not specify bounds for the weight attribute.</w:t>
      </w:r>
    </w:p>
    <w:p w:rsidR="005F78FC" w:rsidRDefault="00B42EF3">
      <w:pPr>
        <w:pStyle w:val="Definition-Field2"/>
      </w:pPr>
      <w:r>
        <w:t xml:space="preserve">In Office, the minimum value for the weight attribute is zero and the maximum value is 20116800 </w:t>
      </w:r>
      <w:r>
        <w:t>EMU.</w:t>
      </w:r>
    </w:p>
    <w:p w:rsidR="005F78FC" w:rsidRDefault="00B42EF3">
      <w:pPr>
        <w:pStyle w:val="Definition-Field"/>
      </w:pPr>
      <w:r>
        <w:t xml:space="preserve">i.   </w:t>
      </w:r>
      <w:r>
        <w:rPr>
          <w:i/>
        </w:rPr>
        <w:t>The standard does not specify bounds for the miterlimit attribute.</w:t>
      </w:r>
    </w:p>
    <w:p w:rsidR="005F78FC" w:rsidRDefault="00B42EF3">
      <w:pPr>
        <w:pStyle w:val="Definition-Field2"/>
      </w:pPr>
      <w:r>
        <w:lastRenderedPageBreak/>
        <w:t>Office uses a maximum value of 32767 for the miterlimit attribute.</w:t>
      </w:r>
    </w:p>
    <w:p w:rsidR="005F78FC" w:rsidRDefault="00B42EF3">
      <w:pPr>
        <w:pStyle w:val="Definition-Field"/>
      </w:pPr>
      <w:r>
        <w:t xml:space="preserve">j.   </w:t>
      </w:r>
      <w:r>
        <w:rPr>
          <w:i/>
        </w:rPr>
        <w:t>The standard indicates that the default value for the weight attribute is 1 pt.</w:t>
      </w:r>
    </w:p>
    <w:p w:rsidR="005F78FC" w:rsidRDefault="00B42EF3">
      <w:pPr>
        <w:pStyle w:val="Definition-Field2"/>
      </w:pPr>
      <w:r>
        <w:t xml:space="preserve">Office uses a default of </w:t>
      </w:r>
      <w:r>
        <w:t>0.75 pt for the weight attribute.</w:t>
      </w:r>
    </w:p>
    <w:p w:rsidR="005F78FC" w:rsidRDefault="00B42EF3">
      <w:pPr>
        <w:pStyle w:val="Definition-Field"/>
      </w:pPr>
      <w:r>
        <w:t xml:space="preserve">k.   </w:t>
      </w:r>
      <w:r>
        <w:rPr>
          <w:i/>
        </w:rPr>
        <w:t>The standard states that values of the opacity attribute are defined by the XML Schema string datatype.</w:t>
      </w:r>
    </w:p>
    <w:p w:rsidR="005F78FC" w:rsidRDefault="00B42EF3">
      <w:pPr>
        <w:pStyle w:val="Definition-Field2"/>
      </w:pPr>
      <w:r>
        <w:t xml:space="preserve">Office defines the values of the opacity attribute with the ST_Fraction </w:t>
      </w:r>
      <w:hyperlink w:anchor="Section_c96929a126d44fe4819f37727a9492e8">
        <w:r>
          <w:rPr>
            <w:rStyle w:val="Hyperlink"/>
          </w:rPr>
          <w:t>§3.9.1, ST_Fraction</w:t>
        </w:r>
      </w:hyperlink>
      <w:r>
        <w:t>) simple type.</w:t>
      </w:r>
    </w:p>
    <w:p w:rsidR="005F78FC" w:rsidRDefault="00B42EF3">
      <w:pPr>
        <w:pStyle w:val="Heading3"/>
      </w:pPr>
      <w:bookmarkStart w:id="3646" w:name="section_079e8828cbc545a482a8afb3558d35de"/>
      <w:bookmarkStart w:id="3647" w:name="_Toc69879596"/>
      <w:r>
        <w:t>Part 4 Section 19.2.2.2, callout (Callout)</w:t>
      </w:r>
      <w:bookmarkEnd w:id="3646"/>
      <w:bookmarkEnd w:id="3647"/>
      <w:r>
        <w:fldChar w:fldCharType="begin"/>
      </w:r>
      <w:r>
        <w:instrText xml:space="preserve"> XE "callout (Callout)"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5F78FC" w:rsidRDefault="00B42EF3">
      <w:pPr>
        <w:pStyle w:val="Definition-Field"/>
      </w:pPr>
      <w:r>
        <w:t xml:space="preserve">a.   </w:t>
      </w:r>
      <w:r>
        <w:rPr>
          <w:i/>
        </w:rPr>
        <w:t>The standard does not impl</w:t>
      </w:r>
      <w:r>
        <w:rPr>
          <w:i/>
        </w:rPr>
        <w:t>y a relationship between the callout element and the spt attribute.</w:t>
      </w:r>
    </w:p>
    <w:p w:rsidR="005F78FC" w:rsidRDefault="00B42EF3">
      <w:r>
        <w:t>In Office, this element specifies the automatic behavior and layout parameters of callout shapes. In Office, objects that have this attribute shall be made of one to three segments plus th</w:t>
      </w:r>
      <w:r>
        <w:t xml:space="preserve">e shape itself. The number of segments is defined by the </w:t>
      </w:r>
      <w:r>
        <w:rPr>
          <w:b/>
        </w:rPr>
        <w:t>type</w:t>
      </w:r>
      <w:r>
        <w:t xml:space="preserve"> attribute. See additional restrictions defined in the</w:t>
      </w:r>
      <w:r>
        <w:rPr>
          <w:b/>
        </w:rPr>
        <w:t xml:space="preserve"> type </w:t>
      </w:r>
      <w:r>
        <w:t xml:space="preserve">attribute description. Shapes with callouts shall define values for the </w:t>
      </w:r>
      <w:r>
        <w:rPr>
          <w:b/>
        </w:rPr>
        <w:t>spt</w:t>
      </w:r>
      <w:r>
        <w:t xml:space="preserve"> attribute of the </w:t>
      </w:r>
      <w:r>
        <w:rPr>
          <w:b/>
        </w:rPr>
        <w:t>shape</w:t>
      </w:r>
      <w:r>
        <w:t xml:space="preserve"> element ("</w:t>
      </w:r>
      <w:hyperlink r:id="rId261">
        <w:r>
          <w:rPr>
            <w:rStyle w:val="Hyperlink"/>
          </w:rPr>
          <w:t>[ISO/IEC-29500-4]</w:t>
        </w:r>
      </w:hyperlink>
      <w:r>
        <w:t xml:space="preserve"> §19.1.2.19; shape (Shape Definition)") or </w:t>
      </w:r>
      <w:r>
        <w:rPr>
          <w:b/>
        </w:rPr>
        <w:t>shapetype</w:t>
      </w:r>
      <w:r>
        <w:t xml:space="preserve"> element ("[ISO/IEC-29500-4] §19.1.2.20; shapetype (Shape Template)") as follows:</w:t>
      </w:r>
    </w:p>
    <w:tbl>
      <w:tblPr>
        <w:tblStyle w:val="Table-ShadedHeader"/>
        <w:tblW w:w="0" w:type="auto"/>
        <w:tblLook w:val="04A0" w:firstRow="1" w:lastRow="0" w:firstColumn="1" w:lastColumn="0" w:noHBand="0" w:noVBand="1"/>
      </w:tblPr>
      <w:tblGrid>
        <w:gridCol w:w="1117"/>
        <w:gridCol w:w="1188"/>
        <w:gridCol w:w="1244"/>
        <w:gridCol w:w="1241"/>
        <w:gridCol w:w="1373"/>
        <w:gridCol w:w="1060"/>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5F78FC" w:rsidRDefault="00B42EF3">
            <w:pPr>
              <w:pStyle w:val="TableHeaderText"/>
            </w:pPr>
            <w:r>
              <w:t>Attribute value</w:t>
            </w:r>
          </w:p>
        </w:tc>
        <w:tc>
          <w:tcPr>
            <w:tcW w:w="0" w:type="auto"/>
            <w:gridSpan w:val="4"/>
            <w:vAlign w:val="center"/>
          </w:tcPr>
          <w:p w:rsidR="005F78FC" w:rsidRDefault="00B42EF3">
            <w:pPr>
              <w:pStyle w:val="TableHeaderText"/>
            </w:pPr>
            <w:r>
              <w:t>Value of type attribute</w:t>
            </w:r>
          </w:p>
        </w:tc>
      </w:tr>
      <w:tr w:rsidR="005F78FC" w:rsidTr="005F78FC">
        <w:tc>
          <w:tcPr>
            <w:tcW w:w="0" w:type="auto"/>
            <w:vAlign w:val="center"/>
          </w:tcPr>
          <w:p w:rsidR="005F78FC" w:rsidRDefault="00B42EF3">
            <w:pPr>
              <w:pStyle w:val="TableBodyText"/>
            </w:pPr>
            <w:r>
              <w:rPr>
                <w:b/>
              </w:rPr>
              <w:t>accentbar</w:t>
            </w:r>
          </w:p>
        </w:tc>
        <w:tc>
          <w:tcPr>
            <w:tcW w:w="0" w:type="auto"/>
            <w:vAlign w:val="center"/>
          </w:tcPr>
          <w:p w:rsidR="005F78FC" w:rsidRDefault="00B42EF3">
            <w:pPr>
              <w:pStyle w:val="TableBodyText"/>
            </w:pPr>
            <w:r>
              <w:rPr>
                <w:b/>
              </w:rPr>
              <w:t>textborder</w:t>
            </w:r>
          </w:p>
        </w:tc>
        <w:tc>
          <w:tcPr>
            <w:tcW w:w="0" w:type="auto"/>
            <w:vAlign w:val="center"/>
          </w:tcPr>
          <w:p w:rsidR="005F78FC" w:rsidRDefault="00B42EF3">
            <w:pPr>
              <w:pStyle w:val="TableBodyText"/>
            </w:pPr>
            <w:r>
              <w:rPr>
                <w:i/>
              </w:rPr>
              <w:t>oneSegment</w:t>
            </w:r>
          </w:p>
        </w:tc>
        <w:tc>
          <w:tcPr>
            <w:tcW w:w="0" w:type="auto"/>
            <w:vAlign w:val="center"/>
          </w:tcPr>
          <w:p w:rsidR="005F78FC" w:rsidRDefault="00B42EF3">
            <w:pPr>
              <w:pStyle w:val="TableBodyText"/>
            </w:pPr>
            <w:r>
              <w:rPr>
                <w:i/>
              </w:rPr>
              <w:t>twoSegment</w:t>
            </w:r>
          </w:p>
        </w:tc>
        <w:tc>
          <w:tcPr>
            <w:tcW w:w="0" w:type="auto"/>
            <w:vAlign w:val="center"/>
          </w:tcPr>
          <w:p w:rsidR="005F78FC" w:rsidRDefault="00B42EF3">
            <w:pPr>
              <w:pStyle w:val="TableBodyText"/>
            </w:pPr>
            <w:r>
              <w:rPr>
                <w:i/>
              </w:rPr>
              <w:t>threeSegment</w:t>
            </w:r>
          </w:p>
        </w:tc>
        <w:tc>
          <w:tcPr>
            <w:tcW w:w="0" w:type="auto"/>
            <w:vAlign w:val="center"/>
          </w:tcPr>
          <w:p w:rsidR="005F78FC" w:rsidRDefault="00B42EF3">
            <w:pPr>
              <w:pStyle w:val="TableBodyText"/>
            </w:pPr>
            <w:r>
              <w:rPr>
                <w:i/>
              </w:rPr>
              <w:t>rightAngle</w:t>
            </w:r>
          </w:p>
        </w:tc>
      </w:tr>
      <w:tr w:rsidR="005F78FC" w:rsidTr="005F78FC">
        <w:tc>
          <w:tcPr>
            <w:tcW w:w="0" w:type="auto"/>
            <w:vAlign w:val="center"/>
          </w:tcPr>
          <w:p w:rsidR="005F78FC" w:rsidRDefault="00B42EF3">
            <w:pPr>
              <w:pStyle w:val="TableBodyText"/>
            </w:pPr>
            <w:r>
              <w:t>False</w:t>
            </w:r>
          </w:p>
        </w:tc>
        <w:tc>
          <w:tcPr>
            <w:tcW w:w="0" w:type="auto"/>
            <w:vAlign w:val="center"/>
          </w:tcPr>
          <w:p w:rsidR="005F78FC" w:rsidRDefault="00B42EF3">
            <w:pPr>
              <w:pStyle w:val="TableBodyText"/>
            </w:pPr>
            <w:r>
              <w:t>False</w:t>
            </w:r>
          </w:p>
        </w:tc>
        <w:tc>
          <w:tcPr>
            <w:tcW w:w="0" w:type="auto"/>
            <w:vAlign w:val="center"/>
          </w:tcPr>
          <w:p w:rsidR="005F78FC" w:rsidRDefault="00B42EF3">
            <w:pPr>
              <w:pStyle w:val="TableBodyText"/>
            </w:pPr>
            <w:r>
              <w:t>spt="41"</w:t>
            </w:r>
          </w:p>
        </w:tc>
        <w:tc>
          <w:tcPr>
            <w:tcW w:w="0" w:type="auto"/>
            <w:vAlign w:val="center"/>
          </w:tcPr>
          <w:p w:rsidR="005F78FC" w:rsidRDefault="00B42EF3">
            <w:pPr>
              <w:pStyle w:val="TableBodyText"/>
            </w:pPr>
            <w:r>
              <w:t>spt="42"</w:t>
            </w:r>
          </w:p>
        </w:tc>
        <w:tc>
          <w:tcPr>
            <w:tcW w:w="0" w:type="auto"/>
            <w:vAlign w:val="center"/>
          </w:tcPr>
          <w:p w:rsidR="005F78FC" w:rsidRDefault="00B42EF3">
            <w:pPr>
              <w:pStyle w:val="TableBodyText"/>
            </w:pPr>
            <w:r>
              <w:t>spt="43"</w:t>
            </w:r>
          </w:p>
        </w:tc>
        <w:tc>
          <w:tcPr>
            <w:tcW w:w="0" w:type="auto"/>
            <w:vAlign w:val="center"/>
          </w:tcPr>
          <w:p w:rsidR="005F78FC" w:rsidRDefault="00B42EF3">
            <w:pPr>
              <w:pStyle w:val="TableBodyText"/>
            </w:pPr>
            <w:r>
              <w:t>spt="178"</w:t>
            </w:r>
          </w:p>
        </w:tc>
      </w:tr>
      <w:tr w:rsidR="005F78FC" w:rsidTr="005F78FC">
        <w:tc>
          <w:tcPr>
            <w:tcW w:w="0" w:type="auto"/>
            <w:vAlign w:val="center"/>
          </w:tcPr>
          <w:p w:rsidR="005F78FC" w:rsidRDefault="00B42EF3">
            <w:pPr>
              <w:pStyle w:val="TableBodyText"/>
            </w:pPr>
            <w:r>
              <w:t>True</w:t>
            </w:r>
          </w:p>
        </w:tc>
        <w:tc>
          <w:tcPr>
            <w:tcW w:w="0" w:type="auto"/>
            <w:vAlign w:val="center"/>
          </w:tcPr>
          <w:p w:rsidR="005F78FC" w:rsidRDefault="00B42EF3">
            <w:pPr>
              <w:pStyle w:val="TableBodyText"/>
            </w:pPr>
            <w:r>
              <w:t>False</w:t>
            </w:r>
          </w:p>
        </w:tc>
        <w:tc>
          <w:tcPr>
            <w:tcW w:w="0" w:type="auto"/>
            <w:vAlign w:val="center"/>
          </w:tcPr>
          <w:p w:rsidR="005F78FC" w:rsidRDefault="00B42EF3">
            <w:pPr>
              <w:pStyle w:val="TableBodyText"/>
            </w:pPr>
            <w:r>
              <w:t>spt="44"</w:t>
            </w:r>
          </w:p>
        </w:tc>
        <w:tc>
          <w:tcPr>
            <w:tcW w:w="0" w:type="auto"/>
            <w:vAlign w:val="center"/>
          </w:tcPr>
          <w:p w:rsidR="005F78FC" w:rsidRDefault="00B42EF3">
            <w:pPr>
              <w:pStyle w:val="TableBodyText"/>
            </w:pPr>
            <w:r>
              <w:t>spt="45"</w:t>
            </w:r>
          </w:p>
        </w:tc>
        <w:tc>
          <w:tcPr>
            <w:tcW w:w="0" w:type="auto"/>
            <w:vAlign w:val="center"/>
          </w:tcPr>
          <w:p w:rsidR="005F78FC" w:rsidRDefault="00B42EF3">
            <w:pPr>
              <w:pStyle w:val="TableBodyText"/>
            </w:pPr>
            <w:r>
              <w:t>spt="46"</w:t>
            </w:r>
          </w:p>
        </w:tc>
        <w:tc>
          <w:tcPr>
            <w:tcW w:w="0" w:type="auto"/>
            <w:vAlign w:val="center"/>
          </w:tcPr>
          <w:p w:rsidR="005F78FC" w:rsidRDefault="00B42EF3">
            <w:pPr>
              <w:pStyle w:val="TableBodyText"/>
            </w:pPr>
            <w:r>
              <w:t>spt="179"</w:t>
            </w:r>
          </w:p>
        </w:tc>
      </w:tr>
      <w:tr w:rsidR="005F78FC" w:rsidTr="005F78FC">
        <w:tc>
          <w:tcPr>
            <w:tcW w:w="0" w:type="auto"/>
            <w:vAlign w:val="center"/>
          </w:tcPr>
          <w:p w:rsidR="005F78FC" w:rsidRDefault="00B42EF3">
            <w:pPr>
              <w:pStyle w:val="TableBodyText"/>
            </w:pPr>
            <w:r>
              <w:t>False</w:t>
            </w:r>
          </w:p>
        </w:tc>
        <w:tc>
          <w:tcPr>
            <w:tcW w:w="0" w:type="auto"/>
            <w:vAlign w:val="center"/>
          </w:tcPr>
          <w:p w:rsidR="005F78FC" w:rsidRDefault="00B42EF3">
            <w:pPr>
              <w:pStyle w:val="TableBodyText"/>
            </w:pPr>
            <w:r>
              <w:t>True</w:t>
            </w:r>
          </w:p>
        </w:tc>
        <w:tc>
          <w:tcPr>
            <w:tcW w:w="0" w:type="auto"/>
            <w:vAlign w:val="center"/>
          </w:tcPr>
          <w:p w:rsidR="005F78FC" w:rsidRDefault="00B42EF3">
            <w:pPr>
              <w:pStyle w:val="TableBodyText"/>
            </w:pPr>
            <w:r>
              <w:t>spt="47"</w:t>
            </w:r>
          </w:p>
        </w:tc>
        <w:tc>
          <w:tcPr>
            <w:tcW w:w="0" w:type="auto"/>
            <w:vAlign w:val="center"/>
          </w:tcPr>
          <w:p w:rsidR="005F78FC" w:rsidRDefault="00B42EF3">
            <w:pPr>
              <w:pStyle w:val="TableBodyText"/>
            </w:pPr>
            <w:r>
              <w:t>spt="48"</w:t>
            </w:r>
          </w:p>
        </w:tc>
        <w:tc>
          <w:tcPr>
            <w:tcW w:w="0" w:type="auto"/>
            <w:vAlign w:val="center"/>
          </w:tcPr>
          <w:p w:rsidR="005F78FC" w:rsidRDefault="00B42EF3">
            <w:pPr>
              <w:pStyle w:val="TableBodyText"/>
            </w:pPr>
            <w:r>
              <w:t>spt="49"</w:t>
            </w:r>
          </w:p>
        </w:tc>
        <w:tc>
          <w:tcPr>
            <w:tcW w:w="0" w:type="auto"/>
            <w:vAlign w:val="center"/>
          </w:tcPr>
          <w:p w:rsidR="005F78FC" w:rsidRDefault="00B42EF3">
            <w:pPr>
              <w:pStyle w:val="TableBodyText"/>
            </w:pPr>
            <w:r>
              <w:t>spt="180"</w:t>
            </w:r>
          </w:p>
        </w:tc>
      </w:tr>
      <w:tr w:rsidR="005F78FC" w:rsidTr="005F78FC">
        <w:tc>
          <w:tcPr>
            <w:tcW w:w="0" w:type="auto"/>
            <w:vAlign w:val="center"/>
          </w:tcPr>
          <w:p w:rsidR="005F78FC" w:rsidRDefault="00B42EF3">
            <w:pPr>
              <w:pStyle w:val="TableBodyText"/>
            </w:pPr>
            <w:r>
              <w:t>True</w:t>
            </w:r>
          </w:p>
        </w:tc>
        <w:tc>
          <w:tcPr>
            <w:tcW w:w="0" w:type="auto"/>
            <w:vAlign w:val="center"/>
          </w:tcPr>
          <w:p w:rsidR="005F78FC" w:rsidRDefault="00B42EF3">
            <w:pPr>
              <w:pStyle w:val="TableBodyText"/>
            </w:pPr>
            <w:r>
              <w:t>True</w:t>
            </w:r>
          </w:p>
        </w:tc>
        <w:tc>
          <w:tcPr>
            <w:tcW w:w="0" w:type="auto"/>
            <w:vAlign w:val="center"/>
          </w:tcPr>
          <w:p w:rsidR="005F78FC" w:rsidRDefault="00B42EF3">
            <w:pPr>
              <w:pStyle w:val="TableBodyText"/>
            </w:pPr>
            <w:r>
              <w:t>spt="50"</w:t>
            </w:r>
          </w:p>
        </w:tc>
        <w:tc>
          <w:tcPr>
            <w:tcW w:w="0" w:type="auto"/>
            <w:vAlign w:val="center"/>
          </w:tcPr>
          <w:p w:rsidR="005F78FC" w:rsidRDefault="00B42EF3">
            <w:pPr>
              <w:pStyle w:val="TableBodyText"/>
            </w:pPr>
            <w:r>
              <w:t>spt="51"</w:t>
            </w:r>
          </w:p>
        </w:tc>
        <w:tc>
          <w:tcPr>
            <w:tcW w:w="0" w:type="auto"/>
            <w:vAlign w:val="center"/>
          </w:tcPr>
          <w:p w:rsidR="005F78FC" w:rsidRDefault="00B42EF3">
            <w:pPr>
              <w:pStyle w:val="TableBodyText"/>
            </w:pPr>
            <w:r>
              <w:t>spt="52"</w:t>
            </w:r>
          </w:p>
        </w:tc>
        <w:tc>
          <w:tcPr>
            <w:tcW w:w="0" w:type="auto"/>
            <w:vAlign w:val="center"/>
          </w:tcPr>
          <w:p w:rsidR="005F78FC" w:rsidRDefault="00B42EF3">
            <w:pPr>
              <w:pStyle w:val="TableBodyText"/>
            </w:pPr>
            <w:r>
              <w:t>spt="181"</w:t>
            </w:r>
          </w:p>
        </w:tc>
      </w:tr>
    </w:tbl>
    <w:p w:rsidR="005F78FC" w:rsidRDefault="005F78FC"/>
    <w:p w:rsidR="005F78FC" w:rsidRDefault="00B42EF3">
      <w:pPr>
        <w:pStyle w:val="Definition-Field"/>
      </w:pPr>
      <w:r>
        <w:t xml:space="preserve">b.   </w:t>
      </w:r>
      <w:r>
        <w:rPr>
          <w:i/>
        </w:rPr>
        <w:t>The standard indicates how the type attribute is used.</w:t>
      </w:r>
    </w:p>
    <w:p w:rsidR="005F78FC" w:rsidRDefault="00B42EF3">
      <w:r>
        <w:t>For Office, the type attribute specifies the design of the callout extension.  The allowed values are:</w:t>
      </w:r>
    </w:p>
    <w:p w:rsidR="005F78FC" w:rsidRDefault="00B42EF3">
      <w:pPr>
        <w:pStyle w:val="ListParagraph"/>
        <w:numPr>
          <w:ilvl w:val="0"/>
          <w:numId w:val="182"/>
        </w:numPr>
        <w:contextualSpacing/>
      </w:pPr>
      <w:r>
        <w:rPr>
          <w:i/>
        </w:rPr>
        <w:t>rightAngle</w:t>
      </w:r>
    </w:p>
    <w:p w:rsidR="005F78FC" w:rsidRDefault="00B42EF3">
      <w:pPr>
        <w:pStyle w:val="ListParagraph"/>
        <w:numPr>
          <w:ilvl w:val="0"/>
          <w:numId w:val="182"/>
        </w:numPr>
        <w:contextualSpacing/>
      </w:pPr>
      <w:r>
        <w:rPr>
          <w:i/>
        </w:rPr>
        <w:t>oneSegment</w:t>
      </w:r>
    </w:p>
    <w:p w:rsidR="005F78FC" w:rsidRDefault="00B42EF3">
      <w:pPr>
        <w:pStyle w:val="ListParagraph"/>
        <w:numPr>
          <w:ilvl w:val="0"/>
          <w:numId w:val="182"/>
        </w:numPr>
        <w:contextualSpacing/>
      </w:pPr>
      <w:r>
        <w:rPr>
          <w:i/>
        </w:rPr>
        <w:t xml:space="preserve">twoSegment </w:t>
      </w:r>
      <w:r>
        <w:t>(default value)</w:t>
      </w:r>
    </w:p>
    <w:p w:rsidR="005F78FC" w:rsidRDefault="00B42EF3">
      <w:pPr>
        <w:pStyle w:val="ListParagraph"/>
        <w:numPr>
          <w:ilvl w:val="0"/>
          <w:numId w:val="182"/>
        </w:numPr>
      </w:pPr>
      <w:r>
        <w:rPr>
          <w:i/>
        </w:rPr>
        <w:t>threeSegment</w:t>
      </w:r>
    </w:p>
    <w:p w:rsidR="005F78FC" w:rsidRDefault="00B42EF3">
      <w:r>
        <w:rPr>
          <w:i/>
        </w:rPr>
        <w:t xml:space="preserve">Callout shapes that contain the </w:t>
      </w:r>
      <w:r>
        <w:rPr>
          <w:b/>
        </w:rPr>
        <w:t>callout</w:t>
      </w:r>
      <w:r>
        <w:rPr>
          <w:i/>
        </w:rPr>
        <w:t xml:space="preserve"> element work only if the first sub-path in the shape’s path is used to model the callout extension. This sub-path shall contain references to N formulas that reference N adjust values, where N = 2M + 2, and M is the </w:t>
      </w:r>
      <w:r>
        <w:rPr>
          <w:i/>
        </w:rPr>
        <w:t>number of segments in the callout.</w:t>
      </w:r>
    </w:p>
    <w:p w:rsidR="005F78FC" w:rsidRDefault="00B42EF3">
      <w:r>
        <w:t xml:space="preserve">[Example: </w:t>
      </w:r>
      <w:r>
        <w:rPr>
          <w:i/>
        </w:rPr>
        <w:t xml:space="preserve">The callout has two values for every vertex in the extension’s segments – one for the x coordinate and one for the y coordinate. If the value of the </w:t>
      </w:r>
      <w:r>
        <w:rPr>
          <w:b/>
        </w:rPr>
        <w:t>type</w:t>
      </w:r>
      <w:r>
        <w:rPr>
          <w:i/>
        </w:rPr>
        <w:t xml:space="preserve"> attribute is rightAngle, there are two segments.</w:t>
      </w:r>
      <w:r>
        <w:t xml:space="preserve"> end exam</w:t>
      </w:r>
      <w:r>
        <w:t>ple]</w:t>
      </w:r>
    </w:p>
    <w:p w:rsidR="005F78FC" w:rsidRDefault="00B42EF3">
      <w:r>
        <w:rPr>
          <w:i/>
        </w:rPr>
        <w:t>Office also requires one handle for every segment vertex. The number of handles should be at least N/2.</w:t>
      </w:r>
    </w:p>
    <w:p w:rsidR="005F78FC" w:rsidRDefault="00B42EF3">
      <w:r>
        <w:rPr>
          <w:i/>
        </w:rPr>
        <w:lastRenderedPageBreak/>
        <w:t xml:space="preserve">See also the </w:t>
      </w:r>
      <w:r>
        <w:rPr>
          <w:b/>
        </w:rPr>
        <w:t>path</w:t>
      </w:r>
      <w:r>
        <w:rPr>
          <w:i/>
        </w:rPr>
        <w:t xml:space="preserve"> element </w:t>
      </w:r>
      <w:r>
        <w:t>("[ISO/IEC-29500-4] §19.1.2.14; path (Shape Path)")</w:t>
      </w:r>
      <w:r>
        <w:rPr>
          <w:i/>
        </w:rPr>
        <w:t xml:space="preserve"> and the </w:t>
      </w:r>
      <w:r>
        <w:rPr>
          <w:b/>
        </w:rPr>
        <w:t>handles</w:t>
      </w:r>
      <w:r>
        <w:rPr>
          <w:i/>
        </w:rPr>
        <w:t xml:space="preserve"> element </w:t>
      </w:r>
      <w:r>
        <w:t>("[ISO/IEC-29500-4] §19.1.2.9; handles (Set o</w:t>
      </w:r>
      <w:r>
        <w:t>f Handles)")</w:t>
      </w:r>
      <w:r>
        <w:rPr>
          <w:i/>
        </w:rPr>
        <w:t>.</w:t>
      </w:r>
    </w:p>
    <w:p w:rsidR="005F78FC" w:rsidRDefault="00B42EF3">
      <w:pPr>
        <w:pStyle w:val="Definition-Field"/>
      </w:pPr>
      <w:r>
        <w:t xml:space="preserve">c.   </w:t>
      </w:r>
      <w:r>
        <w:rPr>
          <w:i/>
        </w:rPr>
        <w:t>The standard indicates how the accentbar attribute is used.</w:t>
      </w:r>
    </w:p>
    <w:p w:rsidR="005F78FC" w:rsidRDefault="00B42EF3">
      <w:r>
        <w:t xml:space="preserve">Office requires that the accent bar be a line sub-path, added after the first callout segment (see the </w:t>
      </w:r>
      <w:r>
        <w:rPr>
          <w:b/>
        </w:rPr>
        <w:t>type</w:t>
      </w:r>
      <w:r>
        <w:t xml:space="preserve"> attribute). The segment is defined in the shape’s path.</w:t>
      </w:r>
    </w:p>
    <w:p w:rsidR="005F78FC" w:rsidRDefault="00B42EF3">
      <w:r>
        <w:t xml:space="preserve">[Example: </w:t>
      </w:r>
      <w:r>
        <w:t>Consider the following shape that consists of a single segment callout and a vertical accent bar.</w:t>
      </w:r>
    </w:p>
    <w:p w:rsidR="005F78FC" w:rsidRDefault="00B42EF3">
      <w:r>
        <w:rPr>
          <w:noProof/>
        </w:rPr>
        <w:drawing>
          <wp:inline distT="0" distB="0" distL="0" distR="0">
            <wp:extent cx="1066800" cy="476250"/>
            <wp:effectExtent l="0" t="0" r="0" b="0"/>
            <wp:docPr id="342015709" name="Picture 1" descr="A callout on the left with a vertical accent bar to the right" title="Callout and accent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5dc73d0-0000-0000-0000-000000000000" descr="A callout on the left with a vertical accent bar to the right" title="Callout and accent bar"/>
                    <pic:cNvPicPr>
                      <a:picLocks noChangeAspect="1" noChangeArrowheads="1"/>
                    </pic:cNvPicPr>
                  </pic:nvPicPr>
                  <pic:blipFill>
                    <a:blip r:embed="rId262" cstate="print"/>
                    <a:srcRect/>
                    <a:stretch>
                      <a:fillRect/>
                    </a:stretch>
                  </pic:blipFill>
                  <pic:spPr bwMode="auto">
                    <a:xfrm>
                      <a:off x="0" y="0"/>
                      <a:ext cx="1066800" cy="476250"/>
                    </a:xfrm>
                    <a:prstGeom prst="rect">
                      <a:avLst/>
                    </a:prstGeom>
                    <a:noFill/>
                    <a:ln w="9525">
                      <a:noFill/>
                      <a:miter lim="800000"/>
                      <a:headEnd/>
                      <a:tailEnd/>
                    </a:ln>
                  </pic:spPr>
                </pic:pic>
              </a:graphicData>
            </a:graphic>
          </wp:inline>
        </w:drawing>
      </w:r>
    </w:p>
    <w:p w:rsidR="005F78FC" w:rsidRDefault="00B42EF3">
      <w:r>
        <w:t>The following snippet is one possible way to describe the shape’s path:</w:t>
      </w:r>
    </w:p>
    <w:p w:rsidR="005F78FC" w:rsidRDefault="00B42EF3">
      <w:pPr>
        <w:pStyle w:val="Code"/>
      </w:pPr>
      <w:r>
        <w:t>&lt;v:shape ... coordsize="21600,21600" o:spt="44" adj="-8280,24300,-1800,4050" path="m</w:t>
      </w:r>
      <w:r>
        <w:t>@0@1l@2@3nfem@2,l@2,21600nfem,l21600,r,21600l,21600nsxe" ... &gt;</w:t>
      </w:r>
    </w:p>
    <w:p w:rsidR="005F78FC" w:rsidRDefault="00B42EF3">
      <w:pPr>
        <w:pStyle w:val="Code"/>
      </w:pPr>
      <w:r>
        <w:t>&lt;/v:shape&gt;</w:t>
      </w:r>
    </w:p>
    <w:p w:rsidR="005F78FC" w:rsidRDefault="00B42EF3">
      <w:r>
        <w:t xml:space="preserve">The first subpath, </w:t>
      </w:r>
      <w:r>
        <w:rPr>
          <w:rStyle w:val="InlineCode"/>
        </w:rPr>
        <w:t>m@0@1l@2@3nfe</w:t>
      </w:r>
      <w:r>
        <w:t xml:space="preserve">, describes the callout segment and the second, </w:t>
      </w:r>
      <w:r>
        <w:rPr>
          <w:rStyle w:val="InlineCode"/>
        </w:rPr>
        <w:t>m@2,l@2,21600nfe</w:t>
      </w:r>
      <w:r>
        <w:t>, describes the accent bar. The third subpath describes the rectangle. end example]</w:t>
      </w:r>
    </w:p>
    <w:p w:rsidR="005F78FC" w:rsidRDefault="00B42EF3">
      <w:r>
        <w:rPr>
          <w:i/>
        </w:rPr>
        <w:t>Se</w:t>
      </w:r>
      <w:r>
        <w:rPr>
          <w:i/>
        </w:rPr>
        <w:t xml:space="preserve">e also the </w:t>
      </w:r>
      <w:r>
        <w:rPr>
          <w:b/>
        </w:rPr>
        <w:t>path</w:t>
      </w:r>
      <w:r>
        <w:rPr>
          <w:i/>
        </w:rPr>
        <w:t xml:space="preserve"> element ("</w:t>
      </w:r>
      <w:r>
        <w:t>[ISO/IEC-29500-4]</w:t>
      </w:r>
      <w:r>
        <w:rPr>
          <w:i/>
        </w:rPr>
        <w:t xml:space="preserve"> §19.1.2.14; path (Shape Path)").</w:t>
      </w:r>
    </w:p>
    <w:p w:rsidR="005F78FC" w:rsidRDefault="00B42EF3">
      <w:pPr>
        <w:pStyle w:val="Definition-Field"/>
      </w:pPr>
      <w:r>
        <w:t xml:space="preserve">d.   </w:t>
      </w:r>
      <w:r>
        <w:rPr>
          <w:i/>
        </w:rPr>
        <w:t>The standard indicates how the angle attribute is used.</w:t>
      </w:r>
    </w:p>
    <w:p w:rsidR="005F78FC" w:rsidRDefault="00B42EF3">
      <w:pPr>
        <w:pStyle w:val="Definition-Field2"/>
      </w:pPr>
      <w:r>
        <w:t>Office applies the angle attribute value only to the first segment of the callout extension and enforces this only dur</w:t>
      </w:r>
      <w:r>
        <w:t>ing user interaction at runtime when the user interacts with the application UI.</w:t>
      </w:r>
    </w:p>
    <w:p w:rsidR="005F78FC" w:rsidRDefault="00B42EF3">
      <w:pPr>
        <w:pStyle w:val="Definition-Field"/>
      </w:pPr>
      <w:r>
        <w:t xml:space="preserve">e.   </w:t>
      </w:r>
      <w:r>
        <w:rPr>
          <w:i/>
        </w:rPr>
        <w:t>The standard indicates how the drop attribute is used.</w:t>
      </w:r>
    </w:p>
    <w:p w:rsidR="005F78FC" w:rsidRDefault="00B42EF3">
      <w:pPr>
        <w:pStyle w:val="Definition-Field2"/>
      </w:pPr>
      <w:r>
        <w:t>Office only enforces the drop attribute during user interaction at runtime.</w:t>
      </w:r>
    </w:p>
    <w:p w:rsidR="005F78FC" w:rsidRDefault="00B42EF3">
      <w:pPr>
        <w:pStyle w:val="Definition-Field"/>
      </w:pPr>
      <w:r>
        <w:t xml:space="preserve">f.   </w:t>
      </w:r>
      <w:r>
        <w:rPr>
          <w:i/>
        </w:rPr>
        <w:t>The standard indicates how the dro</w:t>
      </w:r>
      <w:r>
        <w:rPr>
          <w:i/>
        </w:rPr>
        <w:t>pauto attribute is used.</w:t>
      </w:r>
    </w:p>
    <w:p w:rsidR="005F78FC" w:rsidRDefault="00B42EF3">
      <w:pPr>
        <w:pStyle w:val="Definition-Field2"/>
      </w:pPr>
      <w:r>
        <w:t>The dropauto attribute is only supported by Word and only when the value of the drop attribute is user and the value of the type attribute is not rightAngle.</w:t>
      </w:r>
    </w:p>
    <w:p w:rsidR="005F78FC" w:rsidRDefault="00B42EF3">
      <w:pPr>
        <w:pStyle w:val="Definition-Field"/>
      </w:pPr>
      <w:r>
        <w:t xml:space="preserve">g.   </w:t>
      </w:r>
      <w:r>
        <w:rPr>
          <w:i/>
        </w:rPr>
        <w:t>The standard does not define a default value for the drop attribute.</w:t>
      </w:r>
    </w:p>
    <w:p w:rsidR="005F78FC" w:rsidRDefault="00B42EF3">
      <w:pPr>
        <w:pStyle w:val="Definition-Field2"/>
      </w:pPr>
      <w:r>
        <w:t>Office uses a default value of user for the drop attribute.</w:t>
      </w:r>
    </w:p>
    <w:p w:rsidR="005F78FC" w:rsidRDefault="00B42EF3">
      <w:pPr>
        <w:pStyle w:val="Definition-Field"/>
      </w:pPr>
      <w:r>
        <w:t xml:space="preserve">h.   </w:t>
      </w:r>
      <w:r>
        <w:rPr>
          <w:i/>
        </w:rPr>
        <w:t>The standard indicates how the gap attribute is used.</w:t>
      </w:r>
    </w:p>
    <w:p w:rsidR="005F78FC" w:rsidRDefault="00B42EF3">
      <w:pPr>
        <w:pStyle w:val="Definition-Field2"/>
      </w:pPr>
      <w:r>
        <w:t>In Office, the gap attribute is only enforced at runtime when the user interacts with the application UI.</w:t>
      </w:r>
    </w:p>
    <w:p w:rsidR="005F78FC" w:rsidRDefault="00B42EF3">
      <w:pPr>
        <w:pStyle w:val="Definition-Field"/>
      </w:pPr>
      <w:r>
        <w:t xml:space="preserve">i.   </w:t>
      </w:r>
      <w:r>
        <w:rPr>
          <w:i/>
        </w:rPr>
        <w:t>The standard indicates ho</w:t>
      </w:r>
      <w:r>
        <w:rPr>
          <w:i/>
        </w:rPr>
        <w:t>w the textborder attribute is used.</w:t>
      </w:r>
    </w:p>
    <w:p w:rsidR="005F78FC" w:rsidRDefault="00B42EF3">
      <w:pPr>
        <w:pStyle w:val="Definition-Field2"/>
      </w:pPr>
      <w:r>
        <w:t>In Office, the textborder attribute reflects the type of stroke used for the textbox. If it is set to false, the shape’s path shall also contain ns (no stroke). For more information, see the v attribute of the path eleme</w:t>
      </w:r>
      <w:r>
        <w:t>nt.</w:t>
      </w:r>
    </w:p>
    <w:p w:rsidR="005F78FC" w:rsidRDefault="00B42EF3">
      <w:pPr>
        <w:pStyle w:val="Definition-Field"/>
      </w:pPr>
      <w:r>
        <w:t xml:space="preserve">j.   </w:t>
      </w:r>
      <w:r>
        <w:rPr>
          <w:i/>
        </w:rPr>
        <w:t>The standard indicates how the distance attribute is used.</w:t>
      </w:r>
    </w:p>
    <w:p w:rsidR="005F78FC" w:rsidRDefault="00B42EF3">
      <w:pPr>
        <w:pStyle w:val="Definition-Field2"/>
      </w:pPr>
      <w:r>
        <w:t>Office only enforces the distance attribute during user interaction at runtime.</w:t>
      </w:r>
    </w:p>
    <w:p w:rsidR="005F78FC" w:rsidRDefault="00B42EF3">
      <w:pPr>
        <w:pStyle w:val="Definition-Field"/>
      </w:pPr>
      <w:r>
        <w:lastRenderedPageBreak/>
        <w:t xml:space="preserve">k.   </w:t>
      </w:r>
      <w:r>
        <w:rPr>
          <w:i/>
        </w:rPr>
        <w:t>The standard indicates how the length attribute is used.</w:t>
      </w:r>
    </w:p>
    <w:p w:rsidR="005F78FC" w:rsidRDefault="00B42EF3">
      <w:pPr>
        <w:pStyle w:val="Definition-Field2"/>
      </w:pPr>
      <w:r>
        <w:t>Office only enforces the length attribute duri</w:t>
      </w:r>
      <w:r>
        <w:t>ng user interaction at runtime.</w:t>
      </w:r>
    </w:p>
    <w:p w:rsidR="005F78FC" w:rsidRDefault="00B42EF3">
      <w:pPr>
        <w:pStyle w:val="Definition-Field"/>
      </w:pPr>
      <w:r>
        <w:t xml:space="preserve">l.   </w:t>
      </w:r>
      <w:r>
        <w:rPr>
          <w:i/>
        </w:rPr>
        <w:t>The standard does not restrict the number of instances of this element.</w:t>
      </w:r>
    </w:p>
    <w:p w:rsidR="005F78FC" w:rsidRDefault="00B42EF3">
      <w:pPr>
        <w:pStyle w:val="Definition-Field2"/>
      </w:pPr>
      <w:r>
        <w:t>Office allows at most only one instance of the callout element in each place where it can be used.</w:t>
      </w:r>
    </w:p>
    <w:p w:rsidR="005F78FC" w:rsidRDefault="00B42EF3">
      <w:pPr>
        <w:pStyle w:val="Definition-Field"/>
      </w:pPr>
      <w:r>
        <w:t xml:space="preserve">m.   </w:t>
      </w:r>
      <w:r>
        <w:rPr>
          <w:i/>
        </w:rPr>
        <w:t xml:space="preserve">The standard does not define a default </w:t>
      </w:r>
      <w:r>
        <w:rPr>
          <w:i/>
        </w:rPr>
        <w:t>value for the dropauto attribute.</w:t>
      </w:r>
    </w:p>
    <w:p w:rsidR="005F78FC" w:rsidRDefault="00B42EF3">
      <w:pPr>
        <w:pStyle w:val="Definition-Field2"/>
      </w:pPr>
      <w:r>
        <w:t>Office uses a default value of false for the dropauto attribute.</w:t>
      </w:r>
    </w:p>
    <w:p w:rsidR="005F78FC" w:rsidRDefault="00B42EF3">
      <w:pPr>
        <w:pStyle w:val="Heading3"/>
      </w:pPr>
      <w:bookmarkStart w:id="3648" w:name="section_38d8fc638f7340688de735a4b20b55e3"/>
      <w:bookmarkStart w:id="3649" w:name="_Toc69879597"/>
      <w:r>
        <w:t>Part 4 Section 19.2.2.3, clippath (Shape Clipping Path)</w:t>
      </w:r>
      <w:bookmarkEnd w:id="3648"/>
      <w:bookmarkEnd w:id="3649"/>
      <w:r>
        <w:fldChar w:fldCharType="begin"/>
      </w:r>
      <w:r>
        <w:instrText xml:space="preserve"> XE "clippath (Shape Clipping Path)"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w:t>
        </w:r>
        <w:r>
          <w:rPr>
            <w:rStyle w:val="Hyperlink"/>
          </w:rPr>
          <w:t>nd, §17.2.1(a)</w:t>
        </w:r>
      </w:hyperlink>
      <w:r>
        <w:rPr>
          <w:i/>
        </w:rPr>
        <w:t>.</w:t>
      </w:r>
    </w:p>
    <w:p w:rsidR="005F78FC" w:rsidRDefault="00B42EF3">
      <w:pPr>
        <w:pStyle w:val="Definition-Field"/>
      </w:pPr>
      <w:r>
        <w:t xml:space="preserve">a.   </w:t>
      </w:r>
      <w:r>
        <w:rPr>
          <w:i/>
        </w:rPr>
        <w:t>The standard describes how the v attribute is used.</w:t>
      </w:r>
    </w:p>
    <w:p w:rsidR="005F78FC" w:rsidRDefault="00B42EF3">
      <w:pPr>
        <w:pStyle w:val="Definition-Field2"/>
      </w:pPr>
      <w:r>
        <w:t>Office treats this attribute the same as the v attribute in the path element.</w:t>
      </w:r>
    </w:p>
    <w:p w:rsidR="005F78FC" w:rsidRDefault="00B42EF3">
      <w:pPr>
        <w:pStyle w:val="Definition-Field"/>
      </w:pPr>
      <w:r>
        <w:t xml:space="preserve">b.   </w:t>
      </w:r>
      <w:r>
        <w:rPr>
          <w:i/>
        </w:rPr>
        <w:t>The standard does not restrict the number of instances of this element.</w:t>
      </w:r>
    </w:p>
    <w:p w:rsidR="005F78FC" w:rsidRDefault="00B42EF3">
      <w:pPr>
        <w:pStyle w:val="Definition-Field2"/>
      </w:pPr>
      <w:r>
        <w:t>Office allows at most only o</w:t>
      </w:r>
      <w:r>
        <w:t>ne instance of the clippath element in each place where it can be used.</w:t>
      </w:r>
    </w:p>
    <w:p w:rsidR="005F78FC" w:rsidRDefault="00B42EF3">
      <w:pPr>
        <w:pStyle w:val="Heading3"/>
      </w:pPr>
      <w:bookmarkStart w:id="3650" w:name="section_d1e014a8724a4aeab72dff663c3620c3"/>
      <w:bookmarkStart w:id="3651" w:name="_Toc69879598"/>
      <w:r>
        <w:t>Part 4 Section 19.2.2.4, colormenu (UI Default Colors)</w:t>
      </w:r>
      <w:bookmarkEnd w:id="3650"/>
      <w:bookmarkEnd w:id="3651"/>
      <w:r>
        <w:fldChar w:fldCharType="begin"/>
      </w:r>
      <w:r>
        <w:instrText xml:space="preserve"> XE "colormenu (UI Default Colors)" </w:instrText>
      </w:r>
      <w:r>
        <w:fldChar w:fldCharType="end"/>
      </w:r>
    </w:p>
    <w:p w:rsidR="005F78FC" w:rsidRDefault="00B42EF3">
      <w:pPr>
        <w:pStyle w:val="Definition-Field"/>
      </w:pPr>
      <w:r>
        <w:t xml:space="preserve">a.   </w:t>
      </w:r>
      <w:r>
        <w:rPr>
          <w:i/>
        </w:rPr>
        <w:t>The standard provides the default value for the extrusioncolor attribute.</w:t>
      </w:r>
    </w:p>
    <w:p w:rsidR="005F78FC" w:rsidRDefault="00B42EF3">
      <w:pPr>
        <w:pStyle w:val="Definition-Field2"/>
      </w:pPr>
      <w:r>
        <w:t xml:space="preserve">Office uses </w:t>
      </w:r>
      <w:r>
        <w:t>the default value of fillThenLine for the extrusioncolor attribute.</w:t>
      </w:r>
    </w:p>
    <w:p w:rsidR="005F78FC" w:rsidRDefault="00B42EF3">
      <w:pPr>
        <w:pStyle w:val="Definition-Field"/>
      </w:pPr>
      <w:r>
        <w:t xml:space="preserve">b.   </w:t>
      </w:r>
      <w:r>
        <w:rPr>
          <w:i/>
        </w:rPr>
        <w:t>The standard provides the default value for the fillcolor attribute.</w:t>
      </w:r>
    </w:p>
    <w:p w:rsidR="005F78FC" w:rsidRDefault="00B42EF3">
      <w:pPr>
        <w:pStyle w:val="Definition-Field2"/>
      </w:pPr>
      <w:r>
        <w:t>Office uses a default value of FFFF00 for the fillcolor attribute.</w:t>
      </w:r>
    </w:p>
    <w:p w:rsidR="005F78FC" w:rsidRDefault="00B42EF3">
      <w:pPr>
        <w:pStyle w:val="Definition-Field"/>
      </w:pPr>
      <w:r>
        <w:t xml:space="preserve">c.   </w:t>
      </w:r>
      <w:r>
        <w:rPr>
          <w:i/>
        </w:rPr>
        <w:t>The standard provides the default value fo</w:t>
      </w:r>
      <w:r>
        <w:rPr>
          <w:i/>
        </w:rPr>
        <w:t>r the shadowcolor attribute.</w:t>
      </w:r>
    </w:p>
    <w:p w:rsidR="005F78FC" w:rsidRDefault="00B42EF3">
      <w:pPr>
        <w:pStyle w:val="Definition-Field2"/>
      </w:pPr>
      <w:r>
        <w:t>Office uses a default value of 808080 for the shadowcolor attribute.</w:t>
      </w:r>
    </w:p>
    <w:p w:rsidR="005F78FC" w:rsidRDefault="00B42EF3">
      <w:pPr>
        <w:pStyle w:val="Definition-Field"/>
      </w:pPr>
      <w:r>
        <w:t xml:space="preserve">d.   </w:t>
      </w:r>
      <w:r>
        <w:rPr>
          <w:i/>
        </w:rPr>
        <w:t>The standard provides the default value for the strokecolor attribute.</w:t>
      </w:r>
    </w:p>
    <w:p w:rsidR="005F78FC" w:rsidRDefault="00B42EF3">
      <w:pPr>
        <w:pStyle w:val="Definition-Field2"/>
      </w:pPr>
      <w:r>
        <w:t>Office uses a default value of 0000FF for the strokecolor attribute.</w:t>
      </w:r>
    </w:p>
    <w:p w:rsidR="005F78FC" w:rsidRDefault="00B42EF3">
      <w:pPr>
        <w:pStyle w:val="Definition-Field"/>
      </w:pPr>
      <w:r>
        <w:t xml:space="preserve">e.   </w:t>
      </w:r>
      <w:r>
        <w:rPr>
          <w:i/>
        </w:rPr>
        <w:t>The stan</w:t>
      </w:r>
      <w:r>
        <w:rPr>
          <w:i/>
        </w:rPr>
        <w:t>dard does not restrict the number of instances of this element.</w:t>
      </w:r>
    </w:p>
    <w:p w:rsidR="005F78FC" w:rsidRDefault="00B42EF3">
      <w:pPr>
        <w:pStyle w:val="Definition-Field2"/>
      </w:pPr>
      <w:r>
        <w:t>Office allows at most only one instance of the colormenu element in each place where it can be used.</w:t>
      </w:r>
    </w:p>
    <w:p w:rsidR="005F78FC" w:rsidRDefault="00B42EF3">
      <w:pPr>
        <w:pStyle w:val="Heading3"/>
      </w:pPr>
      <w:bookmarkStart w:id="3652" w:name="section_62acf3ab86d0498faa7b266e0ef527dd"/>
      <w:bookmarkStart w:id="3653" w:name="_Toc69879599"/>
      <w:r>
        <w:t>Part 4 Section 19.2.2.5, colormru (Most Recently Used Colors)</w:t>
      </w:r>
      <w:bookmarkEnd w:id="3652"/>
      <w:bookmarkEnd w:id="3653"/>
      <w:r>
        <w:fldChar w:fldCharType="begin"/>
      </w:r>
      <w:r>
        <w:instrText xml:space="preserve"> XE "colormru (Most Recently U</w:instrText>
      </w:r>
      <w:r>
        <w:instrText xml:space="preserve">sed Colors)" </w:instrText>
      </w:r>
      <w:r>
        <w:fldChar w:fldCharType="end"/>
      </w:r>
    </w:p>
    <w:p w:rsidR="005F78FC" w:rsidRDefault="00B42EF3">
      <w:pPr>
        <w:pStyle w:val="Definition-Field"/>
      </w:pPr>
      <w:r>
        <w:t xml:space="preserve">a.   </w:t>
      </w:r>
      <w:r>
        <w:rPr>
          <w:i/>
        </w:rPr>
        <w:t>The standard does not restrict the number of instances of this element.</w:t>
      </w:r>
    </w:p>
    <w:p w:rsidR="005F78FC" w:rsidRDefault="00B42EF3">
      <w:pPr>
        <w:pStyle w:val="Definition-Field2"/>
      </w:pPr>
      <w:r>
        <w:t>Office allows at most only one instance of the colormru element in each place where it can be used.</w:t>
      </w:r>
    </w:p>
    <w:p w:rsidR="005F78FC" w:rsidRDefault="00B42EF3">
      <w:pPr>
        <w:pStyle w:val="Heading3"/>
      </w:pPr>
      <w:bookmarkStart w:id="3654" w:name="section_7c2c12cffc6b476ca8bc3206fdc1ea78"/>
      <w:bookmarkStart w:id="3655" w:name="_Toc69879600"/>
      <w:r>
        <w:lastRenderedPageBreak/>
        <w:t>Part 4 Section 19.2.2.6, column (Text Box Interior Stroke)</w:t>
      </w:r>
      <w:bookmarkEnd w:id="3654"/>
      <w:bookmarkEnd w:id="3655"/>
      <w:r>
        <w:fldChar w:fldCharType="begin"/>
      </w:r>
      <w:r>
        <w:instrText xml:space="preserve"> XE "</w:instrText>
      </w:r>
      <w:r>
        <w:instrText xml:space="preserve">column (Text Box Interior Stroke)"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w:t>
        </w:r>
        <w:r>
          <w:rPr>
            <w:rStyle w:val="Hyperlink"/>
          </w:rPr>
          <w:t>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§19.2.2.1(b,d-k)</w:t>
        </w:r>
      </w:hyperlink>
      <w:r>
        <w:rPr>
          <w:i/>
        </w:rPr>
        <w:t>.</w:t>
      </w:r>
    </w:p>
    <w:p w:rsidR="005F78FC" w:rsidRDefault="00B42EF3">
      <w:pPr>
        <w:pStyle w:val="Definition-Field"/>
      </w:pPr>
      <w:r>
        <w:t xml:space="preserve">a.   </w:t>
      </w:r>
      <w:r>
        <w:rPr>
          <w:i/>
        </w:rPr>
        <w:t>The standard indicates the conditions under which the column elem</w:t>
      </w:r>
      <w:r>
        <w:rPr>
          <w:i/>
        </w:rPr>
        <w:t>ent is displayed.</w:t>
      </w:r>
    </w:p>
    <w:p w:rsidR="005F78FC" w:rsidRDefault="00B42EF3">
      <w:r>
        <w:t>In Office, this element is only displayed if all of the following conditions are met:</w:t>
      </w:r>
    </w:p>
    <w:p w:rsidR="005F78FC" w:rsidRDefault="00B42EF3">
      <w:pPr>
        <w:pStyle w:val="ListParagraph"/>
        <w:numPr>
          <w:ilvl w:val="0"/>
          <w:numId w:val="183"/>
        </w:numPr>
        <w:contextualSpacing/>
      </w:pPr>
      <w:r>
        <w:t xml:space="preserve">The </w:t>
      </w:r>
      <w:r>
        <w:rPr>
          <w:b/>
        </w:rPr>
        <w:t>on</w:t>
      </w:r>
      <w:r>
        <w:t xml:space="preserve"> attribute is </w:t>
      </w:r>
      <w:r>
        <w:rPr>
          <w:i/>
        </w:rPr>
        <w:t>true</w:t>
      </w:r>
      <w:r>
        <w:t>.</w:t>
      </w:r>
    </w:p>
    <w:p w:rsidR="005F78FC" w:rsidRDefault="00B42EF3">
      <w:pPr>
        <w:pStyle w:val="ListParagraph"/>
        <w:numPr>
          <w:ilvl w:val="0"/>
          <w:numId w:val="183"/>
        </w:numPr>
        <w:contextualSpacing/>
      </w:pPr>
      <w:r>
        <w:t xml:space="preserve">The shape’s path is closed with the </w:t>
      </w:r>
      <w:r>
        <w:rPr>
          <w:i/>
        </w:rPr>
        <w:t>x</w:t>
      </w:r>
      <w:r>
        <w:t xml:space="preserve"> command.  [Note: This implies that arrow heads should be defined on the stroke attribute</w:t>
      </w:r>
      <w:r>
        <w:t>. end note]</w:t>
      </w:r>
    </w:p>
    <w:p w:rsidR="005F78FC" w:rsidRDefault="00B42EF3">
      <w:pPr>
        <w:pStyle w:val="ListParagraph"/>
        <w:numPr>
          <w:ilvl w:val="0"/>
          <w:numId w:val="183"/>
        </w:numPr>
        <w:contextualSpacing/>
      </w:pPr>
      <w:r>
        <w:t xml:space="preserve">The shape’s path defines a rectangle with corner coordinates exactly equal to 0,0; 21600,0; 21600,21600; 0,21600.  [Example: For example, the following value on the </w:t>
      </w:r>
      <w:r>
        <w:rPr>
          <w:b/>
        </w:rPr>
        <w:t>path</w:t>
      </w:r>
      <w:r>
        <w:t xml:space="preserve"> attribute of the </w:t>
      </w:r>
      <w:r>
        <w:rPr>
          <w:b/>
        </w:rPr>
        <w:t>shape</w:t>
      </w:r>
      <w:r>
        <w:t xml:space="preserve"> element ("</w:t>
      </w:r>
      <w:hyperlink r:id="rId263">
        <w:r>
          <w:rPr>
            <w:rStyle w:val="Hyperlink"/>
          </w:rPr>
          <w:t>[ISO/IEC-29500-4]</w:t>
        </w:r>
      </w:hyperlink>
      <w:r>
        <w:t xml:space="preserve"> §19.1.2.19; shape (Shape Definition)")  satisfies this condition: </w:t>
      </w:r>
      <w:r>
        <w:rPr>
          <w:rStyle w:val="InlineCode"/>
        </w:rPr>
        <w:t>path="m,l,21600r21600,l21600,xe"</w:t>
      </w:r>
      <w:r>
        <w:t xml:space="preserve"> end example]</w:t>
      </w:r>
    </w:p>
    <w:p w:rsidR="005F78FC" w:rsidRDefault="00B42EF3">
      <w:pPr>
        <w:pStyle w:val="ListParagraph"/>
        <w:numPr>
          <w:ilvl w:val="0"/>
          <w:numId w:val="183"/>
        </w:numPr>
        <w:contextualSpacing/>
      </w:pPr>
      <w:r>
        <w:t xml:space="preserve">The value of the shape’s </w:t>
      </w:r>
      <w:r>
        <w:rPr>
          <w:b/>
        </w:rPr>
        <w:t>spt</w:t>
      </w:r>
      <w:r>
        <w:t xml:space="preserve"> attribute is </w:t>
      </w:r>
      <w:r>
        <w:rPr>
          <w:i/>
        </w:rPr>
        <w:t>202</w:t>
      </w:r>
      <w:r>
        <w:t>.</w:t>
      </w:r>
    </w:p>
    <w:p w:rsidR="005F78FC" w:rsidRDefault="00B42EF3">
      <w:pPr>
        <w:pStyle w:val="ListParagraph"/>
        <w:numPr>
          <w:ilvl w:val="0"/>
          <w:numId w:val="183"/>
        </w:numPr>
      </w:pPr>
      <w:r>
        <w:t>The shape is not stroked.</w:t>
      </w:r>
    </w:p>
    <w:p w:rsidR="005F78FC" w:rsidRDefault="00B42EF3">
      <w:r>
        <w:t xml:space="preserve">If the </w:t>
      </w:r>
      <w:r>
        <w:rPr>
          <w:b/>
        </w:rPr>
        <w:t>on</w:t>
      </w:r>
      <w:r>
        <w:t xml:space="preserve"> attribute is </w:t>
      </w:r>
      <w:r>
        <w:rPr>
          <w:i/>
        </w:rPr>
        <w:t>false</w:t>
      </w:r>
      <w:r>
        <w:t xml:space="preserve"> or not specified, the border is not shown.</w:t>
      </w:r>
    </w:p>
    <w:p w:rsidR="005F78FC" w:rsidRDefault="00B42EF3">
      <w:r>
        <w:t>[</w:t>
      </w:r>
      <w:r>
        <w:rPr>
          <w:i/>
        </w:rPr>
        <w:t>Note:</w:t>
      </w:r>
      <w:r>
        <w:t xml:space="preserve"> The shape is not stroked if one of the following conditions is true:</w:t>
      </w:r>
    </w:p>
    <w:p w:rsidR="005F78FC" w:rsidRDefault="00B42EF3">
      <w:pPr>
        <w:pStyle w:val="ListParagraph"/>
        <w:numPr>
          <w:ilvl w:val="0"/>
          <w:numId w:val="184"/>
        </w:numPr>
        <w:contextualSpacing/>
      </w:pPr>
      <w:r>
        <w:t xml:space="preserve">The value of the </w:t>
      </w:r>
      <w:r>
        <w:rPr>
          <w:b/>
        </w:rPr>
        <w:t>on</w:t>
      </w:r>
      <w:r>
        <w:t xml:space="preserve"> attribute of the </w:t>
      </w:r>
      <w:r>
        <w:rPr>
          <w:b/>
        </w:rPr>
        <w:t>stroke</w:t>
      </w:r>
      <w:r>
        <w:t xml:space="preserve"> element ("[ISO/IEC-29500-4] §19.1.2.21; stroke (Line Stroke Settings)") is </w:t>
      </w:r>
      <w:r>
        <w:rPr>
          <w:i/>
        </w:rPr>
        <w:t>false</w:t>
      </w:r>
      <w:r>
        <w:t>.</w:t>
      </w:r>
    </w:p>
    <w:p w:rsidR="005F78FC" w:rsidRDefault="00B42EF3">
      <w:pPr>
        <w:pStyle w:val="ListParagraph"/>
        <w:numPr>
          <w:ilvl w:val="0"/>
          <w:numId w:val="184"/>
        </w:numPr>
        <w:contextualSpacing/>
      </w:pPr>
      <w:r>
        <w:t xml:space="preserve">The </w:t>
      </w:r>
      <w:r>
        <w:rPr>
          <w:b/>
        </w:rPr>
        <w:t>on</w:t>
      </w:r>
      <w:r>
        <w:t xml:space="preserve"> att</w:t>
      </w:r>
      <w:r>
        <w:t xml:space="preserve">ribute of the </w:t>
      </w:r>
      <w:r>
        <w:rPr>
          <w:b/>
        </w:rPr>
        <w:t>stroke</w:t>
      </w:r>
      <w:r>
        <w:t xml:space="preserve"> element is absent and the value of the shape’s </w:t>
      </w:r>
      <w:r>
        <w:rPr>
          <w:b/>
        </w:rPr>
        <w:t>stroked</w:t>
      </w:r>
      <w:r>
        <w:t xml:space="preserve"> attribute is </w:t>
      </w:r>
      <w:r>
        <w:rPr>
          <w:i/>
        </w:rPr>
        <w:t>false</w:t>
      </w:r>
      <w:r>
        <w:t>.</w:t>
      </w:r>
    </w:p>
    <w:p w:rsidR="005F78FC" w:rsidRDefault="00B42EF3">
      <w:pPr>
        <w:pStyle w:val="ListParagraph"/>
        <w:numPr>
          <w:ilvl w:val="0"/>
          <w:numId w:val="184"/>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w:t>
      </w:r>
      <w:r>
        <w:t xml:space="preserve">[ISO/IEC-29500-4] §19.1.2.20; shapetype (Shape Template)") is </w:t>
      </w:r>
      <w:r>
        <w:rPr>
          <w:i/>
        </w:rPr>
        <w:t>false</w:t>
      </w:r>
      <w:r>
        <w:t>.</w:t>
      </w:r>
    </w:p>
    <w:p w:rsidR="005F78FC" w:rsidRDefault="00B42EF3">
      <w:r>
        <w:t>end note]</w:t>
      </w:r>
    </w:p>
    <w:p w:rsidR="005F78FC" w:rsidRDefault="00B42EF3">
      <w:pPr>
        <w:pStyle w:val="Heading3"/>
      </w:pPr>
      <w:bookmarkStart w:id="3656" w:name="section_71df303d34714cf5bb582d71e8fecea4"/>
      <w:bookmarkStart w:id="3657" w:name="_Toc69879601"/>
      <w:r>
        <w:t>Part 4 Section 19.2.2.7, complex (Complex)</w:t>
      </w:r>
      <w:bookmarkEnd w:id="3656"/>
      <w:bookmarkEnd w:id="3657"/>
      <w:r>
        <w:fldChar w:fldCharType="begin"/>
      </w:r>
      <w:r>
        <w:instrText xml:space="preserve"> XE "complex (Complex)"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5F78FC" w:rsidRDefault="00B42EF3">
      <w:pPr>
        <w:pStyle w:val="Heading3"/>
      </w:pPr>
      <w:bookmarkStart w:id="3658" w:name="section_d7ad8107054040ab96a6b62610ad55ce"/>
      <w:bookmarkStart w:id="3659" w:name="_Toc69879602"/>
      <w:r>
        <w:t>Part 4 Section 19.2.2.8, diagram (VML Diagram)</w:t>
      </w:r>
      <w:bookmarkEnd w:id="3658"/>
      <w:bookmarkEnd w:id="3659"/>
      <w:r>
        <w:fldChar w:fldCharType="begin"/>
      </w:r>
      <w:r>
        <w:instrText xml:space="preserve"> XE "diagram (VML Diagram)" </w:instrText>
      </w:r>
      <w:r>
        <w:fldChar w:fldCharType="end"/>
      </w:r>
    </w:p>
    <w:p w:rsidR="005F78FC" w:rsidRDefault="00B42EF3">
      <w:pPr>
        <w:pStyle w:val="Definition-Field2"/>
      </w:pPr>
      <w:r>
        <w:rPr>
          <w:i/>
        </w:rPr>
        <w:t xml:space="preserve">For additional </w:t>
      </w:r>
      <w:r>
        <w:rPr>
          <w:i/>
        </w:rPr>
        <w:t xml:space="preserve">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5F78FC" w:rsidRDefault="00B42EF3">
      <w:pPr>
        <w:pStyle w:val="Definition-Field"/>
      </w:pPr>
      <w:r>
        <w:t xml:space="preserve">a.   </w:t>
      </w:r>
      <w:r>
        <w:rPr>
          <w:i/>
        </w:rPr>
        <w:t>The standard indicates that the dgmscalex attribute behavior is application-specific.</w:t>
      </w:r>
    </w:p>
    <w:p w:rsidR="005F78FC" w:rsidRDefault="00B42EF3">
      <w:pPr>
        <w:pStyle w:val="Definition-Field2"/>
      </w:pPr>
      <w:r>
        <w:t>In Office, dgmscalex informs the horizontal distance between shapes when the diagram is resized. Office considers this value in conjunction with the dgmscaley attri</w:t>
      </w:r>
      <w:r>
        <w:t>bute to determine the position of shapes during a resize action.</w:t>
      </w:r>
    </w:p>
    <w:p w:rsidR="005F78FC" w:rsidRDefault="00B42EF3">
      <w:pPr>
        <w:pStyle w:val="Definition-Field"/>
      </w:pPr>
      <w:r>
        <w:t xml:space="preserve">b.   </w:t>
      </w:r>
      <w:r>
        <w:rPr>
          <w:i/>
        </w:rPr>
        <w:t>The standard indicates that the dgmscalex attribute behavior is application-specific, and does not specify a default value.</w:t>
      </w:r>
    </w:p>
    <w:p w:rsidR="005F78FC" w:rsidRDefault="00B42EF3">
      <w:pPr>
        <w:pStyle w:val="Definition-Field2"/>
      </w:pPr>
      <w:r>
        <w:t>In Office the dgmscalex attribute uses a default of 65536, whi</w:t>
      </w:r>
      <w:r>
        <w:t>ch means a 1:1 scale in x. Larger values indicate a larger distance between shapes, and smaller values indicate a smaller distance.</w:t>
      </w:r>
    </w:p>
    <w:p w:rsidR="005F78FC" w:rsidRDefault="00B42EF3">
      <w:pPr>
        <w:pStyle w:val="Definition-Field"/>
      </w:pPr>
      <w:r>
        <w:t xml:space="preserve">c.   </w:t>
      </w:r>
      <w:r>
        <w:rPr>
          <w:i/>
        </w:rPr>
        <w:t>The standard indicates that the dgmscaley attribute behavior is application-specific.</w:t>
      </w:r>
    </w:p>
    <w:p w:rsidR="005F78FC" w:rsidRDefault="00B42EF3">
      <w:pPr>
        <w:pStyle w:val="Definition-Field2"/>
      </w:pPr>
      <w:r>
        <w:lastRenderedPageBreak/>
        <w:t xml:space="preserve">In Office, dgmscaley informs the </w:t>
      </w:r>
      <w:r>
        <w:t>vertical distance between shapes when the diagram is resized. Office considers this value in conjunction with the dgmscalex attribute to determine the position of shapes during a resize action.</w:t>
      </w:r>
    </w:p>
    <w:p w:rsidR="005F78FC" w:rsidRDefault="00B42EF3">
      <w:pPr>
        <w:pStyle w:val="Definition-Field"/>
      </w:pPr>
      <w:r>
        <w:t xml:space="preserve">d.   </w:t>
      </w:r>
      <w:r>
        <w:rPr>
          <w:i/>
        </w:rPr>
        <w:t>The standard indicates that the dgmscaley attribute behav</w:t>
      </w:r>
      <w:r>
        <w:rPr>
          <w:i/>
        </w:rPr>
        <w:t>ior is application-specific, and does not specify a default value.</w:t>
      </w:r>
    </w:p>
    <w:p w:rsidR="005F78FC" w:rsidRDefault="00B42EF3">
      <w:pPr>
        <w:pStyle w:val="Definition-Field2"/>
      </w:pPr>
      <w:r>
        <w:t>In Office the dgmscaley attribute uses a default of 65536, which means a 1:1 scale in y. Larger values indicate a larger distance between shapes, and smaller values indicate a smaller dista</w:t>
      </w:r>
      <w:r>
        <w:t>nce.</w:t>
      </w:r>
    </w:p>
    <w:p w:rsidR="005F78FC" w:rsidRDefault="00B42EF3">
      <w:pPr>
        <w:pStyle w:val="Definition-Field"/>
      </w:pPr>
      <w:r>
        <w:t xml:space="preserve">e.   </w:t>
      </w:r>
      <w:r>
        <w:rPr>
          <w:i/>
        </w:rPr>
        <w:t>The standard does not define a default value for the dgmbasetextscale attribute.</w:t>
      </w:r>
    </w:p>
    <w:p w:rsidR="005F78FC" w:rsidRDefault="00B42EF3">
      <w:pPr>
        <w:pStyle w:val="Definition-Field2"/>
      </w:pPr>
      <w:r>
        <w:t>In Office the dgmbasetextscale attribute uses a default value of 65536, which means a 1:1 scale.</w:t>
      </w:r>
    </w:p>
    <w:p w:rsidR="005F78FC" w:rsidRDefault="00B42EF3">
      <w:pPr>
        <w:pStyle w:val="Definition-Field"/>
      </w:pPr>
      <w:r>
        <w:t xml:space="preserve">f.   </w:t>
      </w:r>
      <w:r>
        <w:rPr>
          <w:i/>
        </w:rPr>
        <w:t xml:space="preserve">The standard indicates how the dgmbasetextscale attribute is </w:t>
      </w:r>
      <w:r>
        <w:rPr>
          <w:i/>
        </w:rPr>
        <w:t>used.</w:t>
      </w:r>
    </w:p>
    <w:p w:rsidR="005F78FC" w:rsidRDefault="00B42EF3">
      <w:pPr>
        <w:pStyle w:val="Definition-Field2"/>
      </w:pPr>
      <w:r>
        <w:t>Office uses the dgmbasetextscale attribute to specify the new font size relative to the default font size.</w:t>
      </w:r>
    </w:p>
    <w:p w:rsidR="005F78FC" w:rsidRDefault="00B42EF3">
      <w:pPr>
        <w:pStyle w:val="Definition-Field"/>
      </w:pPr>
      <w:r>
        <w:t xml:space="preserve">g.   </w:t>
      </w:r>
      <w:r>
        <w:rPr>
          <w:i/>
        </w:rPr>
        <w:t>The standard indicates that the constrainbounds attribute behavior is application-specific.</w:t>
      </w:r>
    </w:p>
    <w:p w:rsidR="005F78FC" w:rsidRDefault="00B42EF3">
      <w:pPr>
        <w:pStyle w:val="Definition-Field2"/>
      </w:pPr>
      <w:r>
        <w:t>Office uses the constrainbounds attribute to f</w:t>
      </w:r>
      <w:r>
        <w:t>it the diagram to its container bounds. The rectangle defined by this attribute shall be inside the current diagram bounds defined by the coordorigin and coordsize attributes.</w:t>
      </w:r>
    </w:p>
    <w:p w:rsidR="005F78FC" w:rsidRDefault="00B42EF3">
      <w:pPr>
        <w:pStyle w:val="Definition-Field"/>
      </w:pPr>
      <w:r>
        <w:t xml:space="preserve">h.   </w:t>
      </w:r>
      <w:r>
        <w:rPr>
          <w:i/>
        </w:rPr>
        <w:t>The standard indicates that the dgmstyle attribute behavior is application-</w:t>
      </w:r>
      <w:r>
        <w:rPr>
          <w:i/>
        </w:rPr>
        <w:t>specific.</w:t>
      </w:r>
    </w:p>
    <w:p w:rsidR="005F78FC" w:rsidRDefault="00B42EF3">
      <w:pPr>
        <w:pStyle w:val="Definition-Field2"/>
      </w:pPr>
      <w:r>
        <w:t>Office ignores the dgmstyle attribute on file load and does not guarantee preserving it on file save. Office relies on the regular formatting markup on the shape to determine if formatting properties exist on the shape.</w:t>
      </w:r>
    </w:p>
    <w:p w:rsidR="005F78FC" w:rsidRDefault="00B42EF3">
      <w:pPr>
        <w:pStyle w:val="Definition-Field"/>
      </w:pPr>
      <w:r>
        <w:t xml:space="preserve">i.   </w:t>
      </w:r>
      <w:r>
        <w:rPr>
          <w:i/>
        </w:rPr>
        <w:t>The standard does not</w:t>
      </w:r>
      <w:r>
        <w:rPr>
          <w:i/>
        </w:rPr>
        <w:t xml:space="preserve"> restrict the number of instances of this element.</w:t>
      </w:r>
    </w:p>
    <w:p w:rsidR="005F78FC" w:rsidRDefault="00B42EF3">
      <w:pPr>
        <w:pStyle w:val="Definition-Field2"/>
      </w:pPr>
      <w:r>
        <w:t>Office allows at most only one instance of the diagram element in each place where it can be used.</w:t>
      </w:r>
    </w:p>
    <w:p w:rsidR="005F78FC" w:rsidRDefault="00B42EF3">
      <w:pPr>
        <w:pStyle w:val="Heading3"/>
      </w:pPr>
      <w:bookmarkStart w:id="3660" w:name="section_7dd065e56a594b118acc376dad8fdfcb"/>
      <w:bookmarkStart w:id="3661" w:name="_Toc69879603"/>
      <w:r>
        <w:t>Part 4 Section 19.2.2.11, extrusion (3D Extrusion)</w:t>
      </w:r>
      <w:bookmarkEnd w:id="3660"/>
      <w:bookmarkEnd w:id="3661"/>
      <w:r>
        <w:fldChar w:fldCharType="begin"/>
      </w:r>
      <w:r>
        <w:instrText xml:space="preserve"> XE "extrusion (3D Extrusion)" </w:instrText>
      </w:r>
      <w:r>
        <w:fldChar w:fldCharType="end"/>
      </w:r>
    </w:p>
    <w:p w:rsidR="005F78FC" w:rsidRDefault="00B42EF3">
      <w:pPr>
        <w:pStyle w:val="Definition-Field2"/>
      </w:pPr>
      <w:r>
        <w:rPr>
          <w:i/>
        </w:rPr>
        <w:t>For additional notes t</w:t>
      </w:r>
      <w:r>
        <w:rPr>
          <w:i/>
        </w:rPr>
        <w:t xml:space="preserve">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5F78FC" w:rsidRDefault="00B42EF3">
      <w:pPr>
        <w:pStyle w:val="Definition-Field"/>
      </w:pPr>
      <w:r>
        <w:t xml:space="preserve">a.   </w:t>
      </w:r>
      <w:r>
        <w:rPr>
          <w:i/>
        </w:rPr>
        <w:t>The standard does not specify bounds for the backdepth attribute.</w:t>
      </w:r>
    </w:p>
    <w:p w:rsidR="005F78FC" w:rsidRDefault="00B42EF3">
      <w:pPr>
        <w:pStyle w:val="Definition-Field2"/>
      </w:pPr>
      <w:r>
        <w:t>In Office the minimum value for the backdepth attribute is 0 pt and the maximum value is 9600 pt.</w:t>
      </w:r>
    </w:p>
    <w:p w:rsidR="005F78FC" w:rsidRDefault="00B42EF3">
      <w:pPr>
        <w:pStyle w:val="Definition-Field"/>
      </w:pPr>
      <w:r>
        <w:t xml:space="preserve">b.   </w:t>
      </w:r>
      <w:r>
        <w:rPr>
          <w:i/>
        </w:rPr>
        <w:t xml:space="preserve">The </w:t>
      </w:r>
      <w:r>
        <w:rPr>
          <w:i/>
        </w:rPr>
        <w:t>standard does not specify bounds for the foredepth attribute.</w:t>
      </w:r>
    </w:p>
    <w:p w:rsidR="005F78FC" w:rsidRDefault="00B42EF3">
      <w:pPr>
        <w:pStyle w:val="Definition-Field2"/>
      </w:pPr>
      <w:r>
        <w:t>In Office the minimum value for the foredepth attribute is 0 pt and the maximum value is 600 pt.</w:t>
      </w:r>
    </w:p>
    <w:p w:rsidR="005F78FC" w:rsidRDefault="00B42EF3">
      <w:pPr>
        <w:pStyle w:val="Definition-Field"/>
      </w:pPr>
      <w:r>
        <w:t xml:space="preserve">c.   </w:t>
      </w:r>
      <w:r>
        <w:rPr>
          <w:i/>
        </w:rPr>
        <w:t>The standard indicates that the color attribute is only used when colormode is custom.</w:t>
      </w:r>
    </w:p>
    <w:p w:rsidR="005F78FC" w:rsidRDefault="00B42EF3">
      <w:pPr>
        <w:pStyle w:val="Definition-Field2"/>
      </w:pPr>
      <w:r>
        <w:t>Offic</w:t>
      </w:r>
      <w:r>
        <w:t>e uses the color attribute when colormode is custom or auto.</w:t>
      </w:r>
    </w:p>
    <w:p w:rsidR="005F78FC" w:rsidRDefault="00B42EF3">
      <w:pPr>
        <w:pStyle w:val="Definition-Field"/>
      </w:pPr>
      <w:r>
        <w:t xml:space="preserve">d.   </w:t>
      </w:r>
      <w:r>
        <w:rPr>
          <w:i/>
        </w:rPr>
        <w:t>The standard indicates that the colormode attribute determines where the extrusion color is defined.</w:t>
      </w:r>
    </w:p>
    <w:p w:rsidR="005F78FC" w:rsidRDefault="00B42EF3">
      <w:pPr>
        <w:pStyle w:val="Definition-Field2"/>
      </w:pPr>
      <w:r>
        <w:t>Office does not support the colormode attribute. The extrusion color is the color defined</w:t>
      </w:r>
      <w:r>
        <w:t xml:space="preserve"> by the color attribute. If the color attribute is not defined, the shape’s fill color is used.</w:t>
      </w:r>
    </w:p>
    <w:p w:rsidR="005F78FC" w:rsidRDefault="00B42EF3">
      <w:pPr>
        <w:pStyle w:val="Definition-Field"/>
      </w:pPr>
      <w:r>
        <w:t xml:space="preserve">e.   </w:t>
      </w:r>
      <w:r>
        <w:rPr>
          <w:i/>
        </w:rPr>
        <w:t>The standard does not specify bounds for the edge attribute.</w:t>
      </w:r>
    </w:p>
    <w:p w:rsidR="005F78FC" w:rsidRDefault="00B42EF3">
      <w:pPr>
        <w:pStyle w:val="Definition-Field2"/>
      </w:pPr>
      <w:r>
        <w:lastRenderedPageBreak/>
        <w:t>In Office the minimum value for the edge attribute is 0 pt and the maximum value is 169093 pt.</w:t>
      </w:r>
    </w:p>
    <w:p w:rsidR="005F78FC" w:rsidRDefault="00B42EF3">
      <w:pPr>
        <w:pStyle w:val="Definition-Field"/>
      </w:pPr>
      <w:r>
        <w:t xml:space="preserve">f.   </w:t>
      </w:r>
      <w:r>
        <w:rPr>
          <w:i/>
        </w:rPr>
        <w:t>The standard indicates the meaning of the range of values for the facet attribute.</w:t>
      </w:r>
    </w:p>
    <w:p w:rsidR="005F78FC" w:rsidRDefault="00B42EF3">
      <w:r>
        <w:t>In Office, a lower facet value produces shapes with smoother curves.  A higher value reduces smoothing, resulting in curves with sharper, jagged edges.  This value may</w:t>
      </w:r>
      <w:r>
        <w:t xml:space="preserve"> be specified in 1/65536-ths if a trailing "f" is supplied.  The default is 30000f.</w:t>
      </w:r>
    </w:p>
    <w:p w:rsidR="005F78FC" w:rsidRDefault="00B42EF3">
      <w:r>
        <w:t>Values should be from 1f to 32767f, where 1f implies extremely high quality curve approximation and 32767f implies extremely low quality.</w:t>
      </w:r>
    </w:p>
    <w:p w:rsidR="005F78FC" w:rsidRDefault="00B42EF3">
      <w:r>
        <w:t>[Example:</w:t>
      </w:r>
    </w:p>
    <w:p w:rsidR="005F78FC" w:rsidRDefault="00B42EF3">
      <w:pPr>
        <w:pStyle w:val="Code"/>
      </w:pPr>
      <w:r>
        <w:t>&lt;o:extrusion on="true" f</w:t>
      </w:r>
      <w:r>
        <w:t>acet="1f"&gt;</w:t>
      </w:r>
    </w:p>
    <w:p w:rsidR="005F78FC" w:rsidRDefault="00B42EF3">
      <w:pPr>
        <w:pStyle w:val="Code"/>
      </w:pPr>
      <w:r>
        <w:t>&lt;/o:extrusion&gt;</w:t>
      </w:r>
    </w:p>
    <w:p w:rsidR="005F78FC" w:rsidRDefault="00B42EF3">
      <w:r>
        <w:rPr>
          <w:noProof/>
        </w:rPr>
        <w:drawing>
          <wp:inline distT="0" distB="0" distL="0" distR="0">
            <wp:extent cx="1133475" cy="666750"/>
            <wp:effectExtent l="0" t="0" r="0" b="0"/>
            <wp:docPr id="342015714" name="Picture 1" descr="Eliptical 3d extruded shape" title="Eliptical 3d extruded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6a145b8-0000-0000-0000-000000000000" descr="Eliptical 3d extruded shape" title="Eliptical 3d extruded shape"/>
                    <pic:cNvPicPr>
                      <a:picLocks noChangeAspect="1" noChangeArrowheads="1"/>
                    </pic:cNvPicPr>
                  </pic:nvPicPr>
                  <pic:blipFill>
                    <a:blip r:embed="rId264" cstate="print"/>
                    <a:srcRect/>
                    <a:stretch>
                      <a:fillRect/>
                    </a:stretch>
                  </pic:blipFill>
                  <pic:spPr bwMode="auto">
                    <a:xfrm>
                      <a:off x="0" y="0"/>
                      <a:ext cx="1133475" cy="666750"/>
                    </a:xfrm>
                    <a:prstGeom prst="rect">
                      <a:avLst/>
                    </a:prstGeom>
                    <a:noFill/>
                    <a:ln w="9525">
                      <a:noFill/>
                      <a:miter lim="800000"/>
                      <a:headEnd/>
                      <a:tailEnd/>
                    </a:ln>
                  </pic:spPr>
                </pic:pic>
              </a:graphicData>
            </a:graphic>
          </wp:inline>
        </w:drawing>
      </w:r>
      <w:r>
        <w:t xml:space="preserve"> facet="1f"</w:t>
      </w:r>
    </w:p>
    <w:p w:rsidR="005F78FC" w:rsidRDefault="00B42EF3">
      <w:r>
        <w:rPr>
          <w:noProof/>
        </w:rPr>
        <w:drawing>
          <wp:inline distT="0" distB="0" distL="0" distR="0">
            <wp:extent cx="1133475" cy="666750"/>
            <wp:effectExtent l="0" t="0" r="0" b="0"/>
            <wp:docPr id="342015715" name="Picture 1" descr="Rectangular 3d extruded shape" title="Rectangular 3d extruded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6a145bb-0000-0000-0000-000000000000" descr="Rectangular 3d extruded shape" title="Rectangular 3d extruded shape"/>
                    <pic:cNvPicPr>
                      <a:picLocks noChangeAspect="1" noChangeArrowheads="1"/>
                    </pic:cNvPicPr>
                  </pic:nvPicPr>
                  <pic:blipFill>
                    <a:blip r:embed="rId265" cstate="print"/>
                    <a:srcRect/>
                    <a:stretch>
                      <a:fillRect/>
                    </a:stretch>
                  </pic:blipFill>
                  <pic:spPr bwMode="auto">
                    <a:xfrm>
                      <a:off x="0" y="0"/>
                      <a:ext cx="1133475" cy="666750"/>
                    </a:xfrm>
                    <a:prstGeom prst="rect">
                      <a:avLst/>
                    </a:prstGeom>
                    <a:noFill/>
                    <a:ln w="9525">
                      <a:noFill/>
                      <a:miter lim="800000"/>
                      <a:headEnd/>
                      <a:tailEnd/>
                    </a:ln>
                  </pic:spPr>
                </pic:pic>
              </a:graphicData>
            </a:graphic>
          </wp:inline>
        </w:drawing>
      </w:r>
      <w:r>
        <w:t xml:space="preserve"> facet="32767f"</w:t>
      </w:r>
    </w:p>
    <w:p w:rsidR="005F78FC" w:rsidRDefault="00B42EF3">
      <w:r>
        <w:t>end example]</w:t>
      </w:r>
    </w:p>
    <w:p w:rsidR="005F78FC" w:rsidRDefault="00B42EF3">
      <w:pPr>
        <w:pStyle w:val="Definition-Field"/>
      </w:pPr>
      <w:r>
        <w:t xml:space="preserve">g.   </w:t>
      </w:r>
      <w:r>
        <w:rPr>
          <w:i/>
        </w:rPr>
        <w:t>The standard does not specify bounds for the orientationangle attribute.</w:t>
      </w:r>
    </w:p>
    <w:p w:rsidR="005F78FC" w:rsidRDefault="00B42EF3">
      <w:pPr>
        <w:pStyle w:val="Definition-Field2"/>
      </w:pPr>
      <w:r>
        <w:t xml:space="preserve">In Office the value of the orientationangle attribute may be specified in 1/65536-ths if a trailing "f" is </w:t>
      </w:r>
      <w:r>
        <w:t>supplied.  The minimum value is -32767f and the maximum value is 32767f.</w:t>
      </w:r>
    </w:p>
    <w:p w:rsidR="005F78FC" w:rsidRDefault="00B42EF3">
      <w:pPr>
        <w:pStyle w:val="Definition-Field"/>
      </w:pPr>
      <w:r>
        <w:t xml:space="preserve">h.   </w:t>
      </w:r>
      <w:r>
        <w:rPr>
          <w:i/>
        </w:rPr>
        <w:t>The standard does not specify bounds for the rotationangle attribute.</w:t>
      </w:r>
    </w:p>
    <w:p w:rsidR="005F78FC" w:rsidRDefault="00B42EF3">
      <w:pPr>
        <w:pStyle w:val="Definition-Field2"/>
      </w:pPr>
      <w:r>
        <w:t>In Office the minimum value for the rotationangle attribute is -90 and the maximum value is 90.</w:t>
      </w:r>
    </w:p>
    <w:p w:rsidR="005F78FC" w:rsidRDefault="00B42EF3">
      <w:pPr>
        <w:pStyle w:val="Definition-Field"/>
      </w:pPr>
      <w:r>
        <w:t xml:space="preserve">i.   </w:t>
      </w:r>
      <w:r>
        <w:rPr>
          <w:i/>
        </w:rPr>
        <w:t xml:space="preserve">The </w:t>
      </w:r>
      <w:r>
        <w:rPr>
          <w:i/>
        </w:rPr>
        <w:t>standard indicates that the plane attribute determines the extrusion direction.</w:t>
      </w:r>
    </w:p>
    <w:p w:rsidR="005F78FC" w:rsidRDefault="00B42EF3">
      <w:pPr>
        <w:pStyle w:val="Definition-Field2"/>
      </w:pPr>
      <w:r>
        <w:t>Office does not support the plane attribute.</w:t>
      </w:r>
    </w:p>
    <w:p w:rsidR="005F78FC" w:rsidRDefault="00B42EF3">
      <w:pPr>
        <w:pStyle w:val="Definition-Field"/>
      </w:pPr>
      <w:r>
        <w:t xml:space="preserve">j.   </w:t>
      </w:r>
      <w:r>
        <w:rPr>
          <w:i/>
        </w:rPr>
        <w:t>The standard does not specify bounds for the axes specified in the rotationcenter attribute.</w:t>
      </w:r>
    </w:p>
    <w:p w:rsidR="005F78FC" w:rsidRDefault="00B42EF3">
      <w:pPr>
        <w:pStyle w:val="Definition-Field2"/>
      </w:pPr>
      <w:r>
        <w:t>In Office, the minimum and maximu</w:t>
      </w:r>
      <w:r>
        <w:t>m numeric values for the x- and y-axes are -32767 and 32767, regardless of which units are used.  The limits for the z-axis value are given by the table in ("</w:t>
      </w:r>
      <w:hyperlink r:id="rId266">
        <w:r>
          <w:rPr>
            <w:rStyle w:val="Hyperlink"/>
          </w:rPr>
          <w:t>[ISO/IEC-29500-4]</w:t>
        </w:r>
      </w:hyperlink>
      <w:r>
        <w:t xml:space="preserve"> §19.1; VML").</w:t>
      </w:r>
    </w:p>
    <w:p w:rsidR="005F78FC" w:rsidRDefault="00B42EF3">
      <w:pPr>
        <w:pStyle w:val="Definition-Field"/>
      </w:pPr>
      <w:r>
        <w:t xml:space="preserve">k.   </w:t>
      </w:r>
      <w:r>
        <w:rPr>
          <w:i/>
        </w:rPr>
        <w:t>The standard does not specify bounds for the skewangle attribute.</w:t>
      </w:r>
    </w:p>
    <w:p w:rsidR="005F78FC" w:rsidRDefault="00B42EF3">
      <w:pPr>
        <w:pStyle w:val="Definition-Field2"/>
      </w:pPr>
      <w:r>
        <w:t>In Office the minimum value for the skewangle attribute is -32767 and the maximum value is 32767.</w:t>
      </w:r>
    </w:p>
    <w:p w:rsidR="005F78FC" w:rsidRDefault="00B42EF3">
      <w:pPr>
        <w:pStyle w:val="Definition-Field"/>
      </w:pPr>
      <w:r>
        <w:t xml:space="preserve">l.   </w:t>
      </w:r>
      <w:r>
        <w:rPr>
          <w:i/>
        </w:rPr>
        <w:t>The standard does not restrict the number of instances of this element.</w:t>
      </w:r>
    </w:p>
    <w:p w:rsidR="005F78FC" w:rsidRDefault="00B42EF3">
      <w:pPr>
        <w:pStyle w:val="Definition-Field2"/>
      </w:pPr>
      <w:r>
        <w:t>Office all</w:t>
      </w:r>
      <w:r>
        <w:t>ows at most only one instance of the extrusion element in each place where it can be used.</w:t>
      </w:r>
    </w:p>
    <w:p w:rsidR="005F78FC" w:rsidRDefault="00B42EF3">
      <w:pPr>
        <w:pStyle w:val="Definition-Field"/>
      </w:pPr>
      <w:r>
        <w:lastRenderedPageBreak/>
        <w:t xml:space="preserve">m.   </w:t>
      </w:r>
      <w:r>
        <w:rPr>
          <w:i/>
        </w:rPr>
        <w:t>The standard states that values of the brightness attribute are defined by the XML Schema string datatype.</w:t>
      </w:r>
    </w:p>
    <w:p w:rsidR="005F78FC" w:rsidRDefault="00B42EF3">
      <w:pPr>
        <w:pStyle w:val="Definition-Field2"/>
      </w:pPr>
      <w:r>
        <w:t>Office defines the values of the brightness attribute</w:t>
      </w:r>
      <w:r>
        <w:t xml:space="preserve"> with the ST_Fraction (</w:t>
      </w:r>
      <w:hyperlink w:anchor="Section_c96929a126d44fe4819f37727a9492e8">
        <w:r>
          <w:rPr>
            <w:rStyle w:val="Hyperlink"/>
          </w:rPr>
          <w:t>§3.9.1, ST_Fraction</w:t>
        </w:r>
      </w:hyperlink>
      <w:r>
        <w:t>) simple type.</w:t>
      </w:r>
    </w:p>
    <w:p w:rsidR="005F78FC" w:rsidRDefault="00B42EF3">
      <w:pPr>
        <w:pStyle w:val="Definition-Field"/>
      </w:pPr>
      <w:r>
        <w:t xml:space="preserve">n.   </w:t>
      </w:r>
      <w:r>
        <w:rPr>
          <w:i/>
        </w:rPr>
        <w:t>The standard states that values of the diffusity attribute are defined by the XML Schema string datatype.</w:t>
      </w:r>
    </w:p>
    <w:p w:rsidR="005F78FC" w:rsidRDefault="00B42EF3">
      <w:pPr>
        <w:pStyle w:val="Definition-Field2"/>
      </w:pPr>
      <w:r>
        <w:t>Office defines the values</w:t>
      </w:r>
      <w:r>
        <w:t xml:space="preserve"> of the diffusity attribute with the ST_Fraction (§3.9.1, ST_Fraction) simple type.</w:t>
      </w:r>
    </w:p>
    <w:p w:rsidR="005F78FC" w:rsidRDefault="00B42EF3">
      <w:pPr>
        <w:pStyle w:val="Definition-Field"/>
      </w:pPr>
      <w:r>
        <w:t xml:space="preserve">o.   </w:t>
      </w:r>
      <w:r>
        <w:rPr>
          <w:i/>
        </w:rPr>
        <w:t>The standard states that values of the lightlevel attribute are defined by the XML Schema string datatype.</w:t>
      </w:r>
    </w:p>
    <w:p w:rsidR="005F78FC" w:rsidRDefault="00B42EF3">
      <w:pPr>
        <w:pStyle w:val="Definition-Field2"/>
      </w:pPr>
      <w:r>
        <w:t>Office defines the values of the lightlevel attribute with t</w:t>
      </w:r>
      <w:r>
        <w:t>he ST_Fraction (§3.9.1, ST_Fraction) simple type.</w:t>
      </w:r>
    </w:p>
    <w:p w:rsidR="005F78FC" w:rsidRDefault="00B42EF3">
      <w:pPr>
        <w:pStyle w:val="Definition-Field"/>
      </w:pPr>
      <w:r>
        <w:t xml:space="preserve">p.   </w:t>
      </w:r>
      <w:r>
        <w:rPr>
          <w:i/>
        </w:rPr>
        <w:t>The standard states that values of the lightlevel2 attribute are defined by the XML Schema string datatype.</w:t>
      </w:r>
    </w:p>
    <w:p w:rsidR="005F78FC" w:rsidRDefault="00B42EF3">
      <w:pPr>
        <w:pStyle w:val="Definition-Field2"/>
      </w:pPr>
      <w:r>
        <w:t>Office defines the values of the lightlevel2 attribute with the ST_Fraction (§3.9.1, ST_Fract</w:t>
      </w:r>
      <w:r>
        <w:t>ion) simple type.</w:t>
      </w:r>
    </w:p>
    <w:p w:rsidR="005F78FC" w:rsidRDefault="00B42EF3">
      <w:pPr>
        <w:pStyle w:val="Definition-Field"/>
      </w:pPr>
      <w:r>
        <w:t xml:space="preserve">q.   </w:t>
      </w:r>
      <w:r>
        <w:rPr>
          <w:i/>
        </w:rPr>
        <w:t>The standard states that values of the specularity attribute are defined by the XML Schema string datatype.</w:t>
      </w:r>
    </w:p>
    <w:p w:rsidR="005F78FC" w:rsidRDefault="00B42EF3">
      <w:pPr>
        <w:pStyle w:val="Definition-Field2"/>
      </w:pPr>
      <w:r>
        <w:t>Office defines the values of the specularity attribute with the ST_Fraction (§3.9.1, ST_Fraction) simple type.</w:t>
      </w:r>
    </w:p>
    <w:p w:rsidR="005F78FC" w:rsidRDefault="00B42EF3">
      <w:pPr>
        <w:pStyle w:val="Heading3"/>
      </w:pPr>
      <w:bookmarkStart w:id="3662" w:name="section_093a3ca886ad4a0d89216b37ba1d2ce1"/>
      <w:bookmarkStart w:id="3663" w:name="_Toc69879604"/>
      <w:r>
        <w:t>Part 4 Section</w:t>
      </w:r>
      <w:r>
        <w:t xml:space="preserve"> 19.2.2.12, FieldCodes (WordprocessingML Field Switches)</w:t>
      </w:r>
      <w:bookmarkEnd w:id="3662"/>
      <w:bookmarkEnd w:id="3663"/>
      <w:r>
        <w:fldChar w:fldCharType="begin"/>
      </w:r>
      <w:r>
        <w:instrText xml:space="preserve"> XE "FieldCodes (WordprocessingML Field Switches)" </w:instrText>
      </w:r>
      <w:r>
        <w:fldChar w:fldCharType="end"/>
      </w:r>
    </w:p>
    <w:p w:rsidR="005F78FC" w:rsidRDefault="00B42EF3">
      <w:pPr>
        <w:pStyle w:val="Definition-Field"/>
      </w:pPr>
      <w:r>
        <w:t xml:space="preserve">a.   </w:t>
      </w:r>
      <w:r>
        <w:rPr>
          <w:i/>
        </w:rPr>
        <w:t>The standard does not specify a default value for the FieldCodes element.</w:t>
      </w:r>
    </w:p>
    <w:p w:rsidR="005F78FC" w:rsidRDefault="00B42EF3">
      <w:pPr>
        <w:pStyle w:val="Definition-Field2"/>
      </w:pPr>
      <w:r>
        <w:t>Office uses a default of no value for the FieldCodes element.</w:t>
      </w:r>
    </w:p>
    <w:p w:rsidR="005F78FC" w:rsidRDefault="00B42EF3">
      <w:pPr>
        <w:pStyle w:val="Heading3"/>
      </w:pPr>
      <w:bookmarkStart w:id="3664" w:name="section_88fe143befc34d2394b1bf137c015388"/>
      <w:bookmarkStart w:id="3665" w:name="_Toc69879605"/>
      <w:r>
        <w:t xml:space="preserve">Part </w:t>
      </w:r>
      <w:r>
        <w:t>4 Section 19.2.2.13, fill (Shape Fill Extended Properties)</w:t>
      </w:r>
      <w:bookmarkEnd w:id="3664"/>
      <w:bookmarkEnd w:id="3665"/>
      <w:r>
        <w:fldChar w:fldCharType="begin"/>
      </w:r>
      <w:r>
        <w:instrText xml:space="preserve"> XE "fill (Shape Fill Extended Properties)"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5F78FC" w:rsidRDefault="00B42EF3">
      <w:pPr>
        <w:pStyle w:val="Definition-Field"/>
      </w:pPr>
      <w:r>
        <w:t xml:space="preserve">a.   </w:t>
      </w:r>
      <w:r>
        <w:rPr>
          <w:i/>
        </w:rPr>
        <w:t>The standard indicates how the type attribute is used.</w:t>
      </w:r>
    </w:p>
    <w:p w:rsidR="005F78FC" w:rsidRDefault="00B42EF3">
      <w:r>
        <w:t>Office has the foll</w:t>
      </w:r>
      <w:r>
        <w:t>owing behavior:</w:t>
      </w:r>
    </w:p>
    <w:p w:rsidR="005F78FC" w:rsidRDefault="00B42EF3">
      <w:pPr>
        <w:pStyle w:val="ListParagraph"/>
        <w:numPr>
          <w:ilvl w:val="0"/>
          <w:numId w:val="185"/>
        </w:numPr>
        <w:contextualSpacing/>
      </w:pPr>
      <w:r>
        <w:t xml:space="preserve">If the value of this attribute is </w:t>
      </w:r>
      <w:r>
        <w:rPr>
          <w:i/>
        </w:rPr>
        <w:t>background</w:t>
      </w:r>
      <w:r>
        <w:t xml:space="preserve">, then the value of the </w:t>
      </w:r>
      <w:r>
        <w:rPr>
          <w:b/>
        </w:rPr>
        <w:t>type</w:t>
      </w:r>
      <w:r>
        <w:t xml:space="preserve"> attribute on the parent </w:t>
      </w:r>
      <w:r>
        <w:rPr>
          <w:b/>
        </w:rPr>
        <w:t>fill</w:t>
      </w:r>
      <w:r>
        <w:t xml:space="preserve"> element ("</w:t>
      </w:r>
      <w:hyperlink r:id="rId267">
        <w:r>
          <w:rPr>
            <w:rStyle w:val="Hyperlink"/>
          </w:rPr>
          <w:t>[ISO/IEC-29500-4]</w:t>
        </w:r>
      </w:hyperlink>
      <w:r>
        <w:t xml:space="preserve"> §19.1.2.5; fill (Shape Fill Properties)") is</w:t>
      </w:r>
      <w:r>
        <w:t xml:space="preserve"> set to </w:t>
      </w:r>
      <w:r>
        <w:rPr>
          <w:i/>
        </w:rPr>
        <w:t>solid</w:t>
      </w:r>
      <w:r>
        <w:t xml:space="preserve"> on file save.</w:t>
      </w:r>
    </w:p>
    <w:p w:rsidR="005F78FC" w:rsidRDefault="00B42EF3">
      <w:pPr>
        <w:pStyle w:val="ListParagraph"/>
        <w:numPr>
          <w:ilvl w:val="0"/>
          <w:numId w:val="185"/>
        </w:numPr>
        <w:contextualSpacing/>
      </w:pPr>
      <w:r>
        <w:t xml:space="preserve">If the value of this attribute is </w:t>
      </w:r>
      <w:r>
        <w:rPr>
          <w:i/>
        </w:rPr>
        <w:t>gradientCenter</w:t>
      </w:r>
      <w:r>
        <w:t xml:space="preserve">, then the value of the </w:t>
      </w:r>
      <w:r>
        <w:rPr>
          <w:b/>
        </w:rPr>
        <w:t>type</w:t>
      </w:r>
      <w:r>
        <w:t xml:space="preserve"> attribute on the parent </w:t>
      </w:r>
      <w:r>
        <w:rPr>
          <w:b/>
        </w:rPr>
        <w:t>fill</w:t>
      </w:r>
      <w:r>
        <w:t xml:space="preserve"> element ("[ISO/IEC-29500-4] §19.1.2.5; fill (Shape Fill Properties)") is set to </w:t>
      </w:r>
      <w:r>
        <w:rPr>
          <w:i/>
        </w:rPr>
        <w:t>gradientRadial</w:t>
      </w:r>
      <w:r>
        <w:t xml:space="preserve"> on file save.</w:t>
      </w:r>
    </w:p>
    <w:p w:rsidR="005F78FC" w:rsidRDefault="00B42EF3">
      <w:pPr>
        <w:pStyle w:val="ListParagraph"/>
        <w:numPr>
          <w:ilvl w:val="0"/>
          <w:numId w:val="185"/>
        </w:numPr>
        <w:contextualSpacing/>
      </w:pPr>
      <w:r>
        <w:t xml:space="preserve">If the value </w:t>
      </w:r>
      <w:r>
        <w:t xml:space="preserve">of this attribute is </w:t>
      </w:r>
      <w:r>
        <w:rPr>
          <w:i/>
        </w:rPr>
        <w:t>gradientUnscaled</w:t>
      </w:r>
      <w:r>
        <w:t xml:space="preserve">, then the value of the </w:t>
      </w:r>
      <w:r>
        <w:rPr>
          <w:b/>
        </w:rPr>
        <w:t>type</w:t>
      </w:r>
      <w:r>
        <w:t xml:space="preserve"> attribute on the parent </w:t>
      </w:r>
      <w:r>
        <w:rPr>
          <w:b/>
        </w:rPr>
        <w:t>fill</w:t>
      </w:r>
      <w:r>
        <w:t xml:space="preserve"> element ("[ISO/IEC-29500-4] §19.1.2.5; fill (Shape Fill Properties)") is set to </w:t>
      </w:r>
      <w:r>
        <w:rPr>
          <w:i/>
        </w:rPr>
        <w:t>gradient</w:t>
      </w:r>
      <w:r>
        <w:t xml:space="preserve"> on file save.</w:t>
      </w:r>
    </w:p>
    <w:p w:rsidR="005F78FC" w:rsidRDefault="00B42EF3">
      <w:pPr>
        <w:pStyle w:val="ListParagraph"/>
        <w:numPr>
          <w:ilvl w:val="0"/>
          <w:numId w:val="185"/>
        </w:numPr>
      </w:pPr>
      <w:r>
        <w:t xml:space="preserve">If the value of this attribute is </w:t>
      </w:r>
      <w:r>
        <w:rPr>
          <w:i/>
        </w:rPr>
        <w:t>solid</w:t>
      </w:r>
      <w:r>
        <w:t xml:space="preserve">, then neither this </w:t>
      </w:r>
      <w:r>
        <w:rPr>
          <w:b/>
        </w:rPr>
        <w:t>fill</w:t>
      </w:r>
      <w:r>
        <w:t xml:space="preserve"> element nor the </w:t>
      </w:r>
      <w:r>
        <w:rPr>
          <w:b/>
        </w:rPr>
        <w:t>type</w:t>
      </w:r>
      <w:r>
        <w:t xml:space="preserve"> attribute on the parent </w:t>
      </w:r>
      <w:r>
        <w:rPr>
          <w:b/>
        </w:rPr>
        <w:t>fill</w:t>
      </w:r>
      <w:r>
        <w:t xml:space="preserve"> element ("[ISO/IEC-29500-4] §19.1.2.5; fill (Shape Fill Properties)") are preserved on file save.</w:t>
      </w:r>
    </w:p>
    <w:p w:rsidR="005F78FC" w:rsidRDefault="00B42EF3">
      <w:r>
        <w:lastRenderedPageBreak/>
        <w:t xml:space="preserve">If the value of this attribute is </w:t>
      </w:r>
      <w:r>
        <w:rPr>
          <w:i/>
        </w:rPr>
        <w:t>gradient</w:t>
      </w:r>
      <w:r>
        <w:t xml:space="preserve">, </w:t>
      </w:r>
      <w:r>
        <w:rPr>
          <w:i/>
        </w:rPr>
        <w:t>gradientRadial</w:t>
      </w:r>
      <w:r>
        <w:t xml:space="preserve">, </w:t>
      </w:r>
      <w:r>
        <w:rPr>
          <w:i/>
        </w:rPr>
        <w:t>tile</w:t>
      </w:r>
      <w:r>
        <w:t xml:space="preserve">, </w:t>
      </w:r>
      <w:r>
        <w:rPr>
          <w:i/>
        </w:rPr>
        <w:t>pattern</w:t>
      </w:r>
      <w:r>
        <w:t xml:space="preserve">, or </w:t>
      </w:r>
      <w:r>
        <w:rPr>
          <w:i/>
        </w:rPr>
        <w:t>frame</w:t>
      </w:r>
      <w:r>
        <w:t xml:space="preserve">, then this value is applied to the </w:t>
      </w:r>
      <w:r>
        <w:rPr>
          <w:b/>
        </w:rPr>
        <w:t>type</w:t>
      </w:r>
      <w:r>
        <w:t xml:space="preserve"> attribute on the parent </w:t>
      </w:r>
      <w:r>
        <w:rPr>
          <w:b/>
        </w:rPr>
        <w:t>fill</w:t>
      </w:r>
      <w:r>
        <w:t xml:space="preserve"> element ("[ISO/IEC-29500-4] §19.1.2.5; fill (Shape Fill Properties)") on file save.  Additionally, this </w:t>
      </w:r>
      <w:r>
        <w:rPr>
          <w:b/>
        </w:rPr>
        <w:t>fill</w:t>
      </w:r>
      <w:r>
        <w:t xml:space="preserve"> element is not preserved.</w:t>
      </w:r>
    </w:p>
    <w:p w:rsidR="005F78FC" w:rsidRDefault="00B42EF3">
      <w:pPr>
        <w:pStyle w:val="Heading3"/>
      </w:pPr>
      <w:bookmarkStart w:id="3666" w:name="section_d6a35fd178c64d449ee9d71317adf673"/>
      <w:bookmarkStart w:id="3667" w:name="_Toc69879606"/>
      <w:r>
        <w:t>Part 4 Section 19.2.2.14, idmap (Shape ID Map)</w:t>
      </w:r>
      <w:bookmarkEnd w:id="3666"/>
      <w:bookmarkEnd w:id="3667"/>
      <w:r>
        <w:fldChar w:fldCharType="begin"/>
      </w:r>
      <w:r>
        <w:instrText xml:space="preserve"> XE "</w:instrText>
      </w:r>
      <w:r>
        <w:instrText xml:space="preserve">idmap (Shape ID Map)" </w:instrText>
      </w:r>
      <w:r>
        <w:fldChar w:fldCharType="end"/>
      </w:r>
    </w:p>
    <w:p w:rsidR="005F78FC" w:rsidRDefault="00B42EF3">
      <w:pPr>
        <w:pStyle w:val="Definition-Field"/>
      </w:pPr>
      <w:r>
        <w:t xml:space="preserve">a.   </w:t>
      </w:r>
      <w:r>
        <w:rPr>
          <w:i/>
        </w:rPr>
        <w:t>The standard allows for application-dependent behavior.</w:t>
      </w:r>
    </w:p>
    <w:p w:rsidR="005F78FC" w:rsidRDefault="00B42EF3">
      <w:r>
        <w:t xml:space="preserve">Office ignores this value on file read. The value indicates ID blocks of 1024 values, where a value of 0 means IDs 0 to 1024, a value of 1 means IDs 1025 to 2048, and so </w:t>
      </w:r>
      <w:r>
        <w:t>on. If Office has at least one shape which has an ID contained in a specific block, it writes out the index for that block.</w:t>
      </w:r>
    </w:p>
    <w:p w:rsidR="005F78FC" w:rsidRDefault="00B42EF3">
      <w:pPr>
        <w:pStyle w:val="Heading3"/>
      </w:pPr>
      <w:bookmarkStart w:id="3668" w:name="section_05ab37aee14e424c808e6748b131c121"/>
      <w:bookmarkStart w:id="3669" w:name="_Toc69879607"/>
      <w:r>
        <w:t>Part 4 Section 19.2.2.15, ink (Ink)</w:t>
      </w:r>
      <w:bookmarkEnd w:id="3668"/>
      <w:bookmarkEnd w:id="3669"/>
      <w:r>
        <w:fldChar w:fldCharType="begin"/>
      </w:r>
      <w:r>
        <w:instrText xml:space="preserve"> XE "ink (Ink)" </w:instrText>
      </w:r>
      <w:r>
        <w:fldChar w:fldCharType="end"/>
      </w:r>
    </w:p>
    <w:p w:rsidR="005F78FC" w:rsidRDefault="00B42EF3">
      <w:pPr>
        <w:pStyle w:val="Definition-Field2"/>
      </w:pPr>
      <w:r>
        <w:rPr>
          <w:i/>
        </w:rPr>
        <w:t>For additional notes that apply to this portion of the standard, please see th</w:t>
      </w:r>
      <w:r>
        <w:rPr>
          <w:i/>
        </w:rPr>
        <w:t xml:space="preserve">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w:t>
        </w:r>
        <w:r>
          <w:rPr>
            <w:rStyle w:val="Hyperlink"/>
          </w:rPr>
          <w:t xml:space="preserve">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5F78FC" w:rsidRDefault="00B42EF3">
      <w:pPr>
        <w:pStyle w:val="Definition-Field"/>
      </w:pPr>
      <w:r>
        <w:t xml:space="preserve">a.   </w:t>
      </w:r>
      <w:r>
        <w:rPr>
          <w:i/>
        </w:rPr>
        <w:t>The standard indicates that the i attribute is of type XS</w:t>
      </w:r>
      <w:r>
        <w:rPr>
          <w:i/>
        </w:rPr>
        <w:t>D:base64Binary.</w:t>
      </w:r>
    </w:p>
    <w:p w:rsidR="005F78FC" w:rsidRDefault="00B42EF3">
      <w:pPr>
        <w:pStyle w:val="Definition-Field2"/>
      </w:pPr>
      <w:r>
        <w:t xml:space="preserve">In Office, the value of the i attribute is defined by the Ink Serialized Format specification </w:t>
      </w:r>
      <w:hyperlink r:id="rId268">
        <w:r>
          <w:rPr>
            <w:rStyle w:val="Hyperlink"/>
          </w:rPr>
          <w:t>[MC-ISF]</w:t>
        </w:r>
      </w:hyperlink>
      <w:r>
        <w:t>.</w:t>
      </w:r>
    </w:p>
    <w:p w:rsidR="005F78FC" w:rsidRDefault="00B42EF3">
      <w:pPr>
        <w:pStyle w:val="Definition-Field"/>
      </w:pPr>
      <w:r>
        <w:t xml:space="preserve">b.   </w:t>
      </w:r>
      <w:r>
        <w:rPr>
          <w:i/>
        </w:rPr>
        <w:t>The standard does not restrict the number of instances of this element.</w:t>
      </w:r>
    </w:p>
    <w:p w:rsidR="005F78FC" w:rsidRDefault="00B42EF3">
      <w:pPr>
        <w:pStyle w:val="Definition-Field2"/>
      </w:pPr>
      <w:r>
        <w:t xml:space="preserve">Office allows at most only </w:t>
      </w:r>
      <w:r>
        <w:t>one instance of the ink element in each place where it can be used.</w:t>
      </w:r>
    </w:p>
    <w:p w:rsidR="005F78FC" w:rsidRDefault="00B42EF3">
      <w:pPr>
        <w:pStyle w:val="Definition-Field"/>
      </w:pPr>
      <w:r>
        <w:t xml:space="preserve">c.   </w:t>
      </w:r>
      <w:r>
        <w:rPr>
          <w:i/>
        </w:rPr>
        <w:t>The standard indicates how the annotation attribute is used.</w:t>
      </w:r>
    </w:p>
    <w:p w:rsidR="005F78FC" w:rsidRDefault="00B42EF3">
      <w:pPr>
        <w:pStyle w:val="Definition-Field2"/>
      </w:pPr>
      <w:r>
        <w:t>Office only writes out the value t and does not preserve other values on file save.</w:t>
      </w:r>
    </w:p>
    <w:p w:rsidR="005F78FC" w:rsidRDefault="00B42EF3">
      <w:pPr>
        <w:pStyle w:val="Definition-Field"/>
      </w:pPr>
      <w:r>
        <w:t xml:space="preserve">d.   </w:t>
      </w:r>
      <w:r>
        <w:rPr>
          <w:i/>
        </w:rPr>
        <w:t>The standard specifies contentTyp</w:t>
      </w:r>
      <w:r>
        <w:rPr>
          <w:i/>
        </w:rPr>
        <w:t>e as an optional attribute of the ink element.</w:t>
      </w:r>
    </w:p>
    <w:p w:rsidR="005F78FC" w:rsidRDefault="00B42EF3">
      <w:pPr>
        <w:pStyle w:val="Definition-Field2"/>
      </w:pPr>
      <w:r>
        <w:t>Office ignores this attribute on load and does not round trip it.</w:t>
      </w:r>
    </w:p>
    <w:p w:rsidR="005F78FC" w:rsidRDefault="00B42EF3">
      <w:pPr>
        <w:pStyle w:val="Heading3"/>
      </w:pPr>
      <w:bookmarkStart w:id="3670" w:name="section_a3049fb58be6431ea81f2e81535c0f0c"/>
      <w:bookmarkStart w:id="3671" w:name="_Toc69879608"/>
      <w:r>
        <w:t>Part 4 Section 19.2.2.16, left (Text Box Left Stroke)</w:t>
      </w:r>
      <w:bookmarkEnd w:id="3670"/>
      <w:bookmarkEnd w:id="3671"/>
      <w:r>
        <w:fldChar w:fldCharType="begin"/>
      </w:r>
      <w:r>
        <w:instrText xml:space="preserve"> XE "left (Text Box Left Stroke)" </w:instrText>
      </w:r>
      <w:r>
        <w:fldChar w:fldCharType="end"/>
      </w:r>
    </w:p>
    <w:p w:rsidR="005F78FC" w:rsidRDefault="00B42EF3">
      <w:pPr>
        <w:pStyle w:val="Definition-Field2"/>
      </w:pPr>
      <w:r>
        <w:rPr>
          <w:i/>
        </w:rPr>
        <w:t>For additional notes that apply to this portion of th</w:t>
      </w:r>
      <w:r>
        <w:rPr>
          <w:i/>
        </w:rPr>
        <w:t xml:space="preserve">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§19.2.2.1(b,d-k)</w:t>
        </w:r>
      </w:hyperlink>
      <w:r>
        <w:rPr>
          <w:i/>
        </w:rPr>
        <w:t xml:space="preserve">; </w:t>
      </w:r>
      <w:hyperlink w:anchor="Section_7c2c12cffc6b476ca8bc3206fdc1ea78">
        <w:r>
          <w:rPr>
            <w:rStyle w:val="Hyperlink"/>
          </w:rPr>
          <w:t>column, §19.2.2.6(a)</w:t>
        </w:r>
      </w:hyperlink>
      <w:r>
        <w:rPr>
          <w:i/>
        </w:rPr>
        <w:t>.</w:t>
      </w:r>
    </w:p>
    <w:p w:rsidR="005F78FC" w:rsidRDefault="00B42EF3">
      <w:pPr>
        <w:pStyle w:val="Definition-Field"/>
      </w:pPr>
      <w:r>
        <w:t xml:space="preserve">a.   </w:t>
      </w:r>
      <w:r>
        <w:rPr>
          <w:i/>
        </w:rPr>
        <w:t>The standard indicates the conditions under which the left element is displayed.</w:t>
      </w:r>
    </w:p>
    <w:p w:rsidR="005F78FC" w:rsidRDefault="00B42EF3">
      <w:r>
        <w:t xml:space="preserve">In Office, this element is only </w:t>
      </w:r>
      <w:r>
        <w:t>displayed if all of the following conditions are met:</w:t>
      </w:r>
    </w:p>
    <w:p w:rsidR="005F78FC" w:rsidRDefault="00B42EF3">
      <w:pPr>
        <w:pStyle w:val="ListParagraph"/>
        <w:numPr>
          <w:ilvl w:val="0"/>
          <w:numId w:val="186"/>
        </w:numPr>
        <w:contextualSpacing/>
      </w:pPr>
      <w:r>
        <w:t xml:space="preserve">The </w:t>
      </w:r>
      <w:r>
        <w:rPr>
          <w:b/>
        </w:rPr>
        <w:t>on</w:t>
      </w:r>
      <w:r>
        <w:t xml:space="preserve"> attribute is </w:t>
      </w:r>
      <w:r>
        <w:rPr>
          <w:i/>
        </w:rPr>
        <w:t>true</w:t>
      </w:r>
      <w:r>
        <w:t>.</w:t>
      </w:r>
    </w:p>
    <w:p w:rsidR="005F78FC" w:rsidRDefault="00B42EF3">
      <w:pPr>
        <w:pStyle w:val="ListParagraph"/>
        <w:numPr>
          <w:ilvl w:val="0"/>
          <w:numId w:val="186"/>
        </w:numPr>
        <w:contextualSpacing/>
      </w:pPr>
      <w:r>
        <w:t xml:space="preserve">The shape’s path is closed with the </w:t>
      </w:r>
      <w:r>
        <w:rPr>
          <w:i/>
        </w:rPr>
        <w:t>x</w:t>
      </w:r>
      <w:r>
        <w:t xml:space="preserve"> command.  [Note: This implies that arrow heads should be defined on the stroke attribute. end note]</w:t>
      </w:r>
    </w:p>
    <w:p w:rsidR="005F78FC" w:rsidRDefault="00B42EF3">
      <w:pPr>
        <w:pStyle w:val="ListParagraph"/>
        <w:numPr>
          <w:ilvl w:val="0"/>
          <w:numId w:val="186"/>
        </w:numPr>
        <w:contextualSpacing/>
      </w:pPr>
      <w:r>
        <w:t>The shape’s path defines a rectangle w</w:t>
      </w:r>
      <w:r>
        <w:t xml:space="preserve">ith corner coordinates exactly equal to 0,0; 21600,0; 21600,21600; 0,21600.  [Example: For example, the following value on the </w:t>
      </w:r>
      <w:r>
        <w:rPr>
          <w:b/>
        </w:rPr>
        <w:t>path</w:t>
      </w:r>
      <w:r>
        <w:t xml:space="preserve"> attribute of the </w:t>
      </w:r>
      <w:r>
        <w:rPr>
          <w:b/>
        </w:rPr>
        <w:t>shape</w:t>
      </w:r>
      <w:r>
        <w:t xml:space="preserve"> element ("</w:t>
      </w:r>
      <w:hyperlink r:id="rId269">
        <w:r>
          <w:rPr>
            <w:rStyle w:val="Hyperlink"/>
          </w:rPr>
          <w:t>[ISO/IEC-29500-4]</w:t>
        </w:r>
      </w:hyperlink>
      <w:r>
        <w:t xml:space="preserve"> §19.1.2</w:t>
      </w:r>
      <w:r>
        <w:t xml:space="preserve">.19; shape (Shape Definition)") satisfies this condition: </w:t>
      </w:r>
      <w:r>
        <w:rPr>
          <w:rStyle w:val="InlineCode"/>
        </w:rPr>
        <w:t>path="m,l,21600r21600,l21600,xe"</w:t>
      </w:r>
      <w:r>
        <w:t xml:space="preserve"> end example]</w:t>
      </w:r>
    </w:p>
    <w:p w:rsidR="005F78FC" w:rsidRDefault="00B42EF3">
      <w:pPr>
        <w:pStyle w:val="ListParagraph"/>
        <w:numPr>
          <w:ilvl w:val="0"/>
          <w:numId w:val="186"/>
        </w:numPr>
        <w:contextualSpacing/>
      </w:pPr>
      <w:r>
        <w:t xml:space="preserve">The value of the shape’s </w:t>
      </w:r>
      <w:r>
        <w:rPr>
          <w:b/>
        </w:rPr>
        <w:t>spt</w:t>
      </w:r>
      <w:r>
        <w:t xml:space="preserve"> attribute is </w:t>
      </w:r>
      <w:r>
        <w:rPr>
          <w:i/>
        </w:rPr>
        <w:t>202</w:t>
      </w:r>
      <w:r>
        <w:t>.</w:t>
      </w:r>
    </w:p>
    <w:p w:rsidR="005F78FC" w:rsidRDefault="00B42EF3">
      <w:pPr>
        <w:pStyle w:val="ListParagraph"/>
        <w:numPr>
          <w:ilvl w:val="0"/>
          <w:numId w:val="186"/>
        </w:numPr>
      </w:pPr>
      <w:r>
        <w:t>The shape is not stroked.</w:t>
      </w:r>
    </w:p>
    <w:p w:rsidR="005F78FC" w:rsidRDefault="00B42EF3">
      <w:r>
        <w:t xml:space="preserve">If the </w:t>
      </w:r>
      <w:r>
        <w:rPr>
          <w:b/>
        </w:rPr>
        <w:t>on</w:t>
      </w:r>
      <w:r>
        <w:t xml:space="preserve"> attribute is </w:t>
      </w:r>
      <w:r>
        <w:rPr>
          <w:i/>
        </w:rPr>
        <w:t>false</w:t>
      </w:r>
      <w:r>
        <w:t xml:space="preserve"> or not specified, the border is not shown.</w:t>
      </w:r>
    </w:p>
    <w:p w:rsidR="005F78FC" w:rsidRDefault="00B42EF3">
      <w:r>
        <w:t xml:space="preserve">[Note: </w:t>
      </w:r>
      <w:r>
        <w:t>The shape is not stroked if one of the following conditions is true:</w:t>
      </w:r>
    </w:p>
    <w:p w:rsidR="005F78FC" w:rsidRDefault="00B42EF3">
      <w:pPr>
        <w:pStyle w:val="ListParagraph"/>
        <w:numPr>
          <w:ilvl w:val="0"/>
          <w:numId w:val="187"/>
        </w:numPr>
        <w:contextualSpacing/>
      </w:pPr>
      <w:r>
        <w:lastRenderedPageBreak/>
        <w:t xml:space="preserve">The value of the </w:t>
      </w:r>
      <w:r>
        <w:rPr>
          <w:b/>
        </w:rPr>
        <w:t>on</w:t>
      </w:r>
      <w:r>
        <w:t xml:space="preserve"> attribute of the </w:t>
      </w:r>
      <w:r>
        <w:rPr>
          <w:b/>
        </w:rPr>
        <w:t>stroke</w:t>
      </w:r>
      <w:r>
        <w:t xml:space="preserve"> element ("[ISO/IEC-29500-4] §19.1.2.21; stroke (Line Stroke Settings)") is </w:t>
      </w:r>
      <w:r>
        <w:rPr>
          <w:i/>
        </w:rPr>
        <w:t>false</w:t>
      </w:r>
      <w:r>
        <w:t>.</w:t>
      </w:r>
    </w:p>
    <w:p w:rsidR="005F78FC" w:rsidRDefault="00B42EF3">
      <w:pPr>
        <w:pStyle w:val="ListParagraph"/>
        <w:numPr>
          <w:ilvl w:val="0"/>
          <w:numId w:val="187"/>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5F78FC" w:rsidRDefault="00B42EF3">
      <w:pPr>
        <w:pStyle w:val="ListParagraph"/>
        <w:numPr>
          <w:ilvl w:val="0"/>
          <w:numId w:val="187"/>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 §19.1.</w:t>
      </w:r>
      <w:r>
        <w:t xml:space="preserve">2.20; shapetype (Shape Template)") is </w:t>
      </w:r>
      <w:r>
        <w:rPr>
          <w:i/>
        </w:rPr>
        <w:t>false</w:t>
      </w:r>
      <w:r>
        <w:t>.</w:t>
      </w:r>
    </w:p>
    <w:p w:rsidR="005F78FC" w:rsidRDefault="00B42EF3">
      <w:r>
        <w:t>end note]</w:t>
      </w:r>
    </w:p>
    <w:p w:rsidR="005F78FC" w:rsidRDefault="00B42EF3">
      <w:pPr>
        <w:pStyle w:val="Heading3"/>
      </w:pPr>
      <w:bookmarkStart w:id="3672" w:name="section_74bbd2fc5f9d4456940afe7b4aa5b4c2"/>
      <w:bookmarkStart w:id="3673" w:name="_Toc69879609"/>
      <w:r>
        <w:t>Part 4 Section 19.2.2.17, LinkType (Embedded Object Alternate Image Request)</w:t>
      </w:r>
      <w:bookmarkEnd w:id="3672"/>
      <w:bookmarkEnd w:id="3673"/>
      <w:r>
        <w:fldChar w:fldCharType="begin"/>
      </w:r>
      <w:r>
        <w:instrText xml:space="preserve"> XE "LinkType (Embedded Object Alternate Image Request)" </w:instrText>
      </w:r>
      <w:r>
        <w:fldChar w:fldCharType="end"/>
      </w:r>
    </w:p>
    <w:p w:rsidR="005F78FC" w:rsidRDefault="00B42EF3">
      <w:pPr>
        <w:pStyle w:val="Definition-Field"/>
      </w:pPr>
      <w:r>
        <w:t xml:space="preserve">a.   </w:t>
      </w:r>
      <w:r>
        <w:rPr>
          <w:i/>
        </w:rPr>
        <w:t>The standard does not specify a default value for the LinkTy</w:t>
      </w:r>
      <w:r>
        <w:rPr>
          <w:i/>
        </w:rPr>
        <w:t>pe element.</w:t>
      </w:r>
    </w:p>
    <w:p w:rsidR="005F78FC" w:rsidRDefault="00B42EF3">
      <w:pPr>
        <w:pStyle w:val="Definition-Field2"/>
      </w:pPr>
      <w:r>
        <w:t>Office uses a default value of Bitmap for the LinkType element.</w:t>
      </w:r>
    </w:p>
    <w:p w:rsidR="005F78FC" w:rsidRDefault="00B42EF3">
      <w:pPr>
        <w:pStyle w:val="Definition-Field"/>
      </w:pPr>
      <w:r>
        <w:t xml:space="preserve">b.   </w:t>
      </w:r>
      <w:r>
        <w:rPr>
          <w:i/>
        </w:rPr>
        <w:t>The standard indicates how the LinkType element is used.</w:t>
      </w:r>
    </w:p>
    <w:p w:rsidR="005F78FC" w:rsidRDefault="00B42EF3">
      <w:pPr>
        <w:pStyle w:val="Definition-Field2"/>
      </w:pPr>
      <w:r>
        <w:t>n Office, the LinkType element only works for linked objects, which are objects for which the value of the Type attrib</w:t>
      </w:r>
      <w:r>
        <w:t>ute on the OLEObject element is Link.</w:t>
      </w:r>
    </w:p>
    <w:p w:rsidR="005F78FC" w:rsidRDefault="00B42EF3">
      <w:pPr>
        <w:pStyle w:val="Heading3"/>
      </w:pPr>
      <w:bookmarkStart w:id="3674" w:name="section_33f39c87412e4b50991fc876c605b026"/>
      <w:bookmarkStart w:id="3675" w:name="_Toc69879610"/>
      <w:r>
        <w:t>Part 4 Section 19.2.2.18, lock (Shape Protections)</w:t>
      </w:r>
      <w:bookmarkEnd w:id="3674"/>
      <w:bookmarkEnd w:id="3675"/>
      <w:r>
        <w:fldChar w:fldCharType="begin"/>
      </w:r>
      <w:r>
        <w:instrText xml:space="preserve"> XE "lock (Shape Protections)"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w:t>
      </w:r>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5F78FC" w:rsidRDefault="00B42EF3">
      <w:pPr>
        <w:pStyle w:val="Definition-Field"/>
      </w:pPr>
      <w:r>
        <w:t xml:space="preserve">a.   </w:t>
      </w:r>
      <w:r>
        <w:rPr>
          <w:i/>
        </w:rPr>
        <w:t>The standard indicates that the aspectratio attribute specifies whether</w:t>
      </w:r>
      <w:r>
        <w:rPr>
          <w:i/>
        </w:rPr>
        <w:t xml:space="preserve"> the aspect ratio of a shape is locked from being edited in an application's UI.</w:t>
      </w:r>
    </w:p>
    <w:p w:rsidR="005F78FC" w:rsidRDefault="00B42EF3">
      <w:pPr>
        <w:pStyle w:val="Definition-Field2"/>
      </w:pPr>
      <w:r>
        <w:t>Office does not enforce the aspectratio attribute lock in all UI.</w:t>
      </w:r>
    </w:p>
    <w:p w:rsidR="005F78FC" w:rsidRDefault="00B42EF3">
      <w:pPr>
        <w:pStyle w:val="Definition-Field"/>
      </w:pPr>
      <w:r>
        <w:t xml:space="preserve">b.   </w:t>
      </w:r>
      <w:r>
        <w:rPr>
          <w:i/>
        </w:rPr>
        <w:t>The standard implies that the cropping attribute specifies whether a shape may be cropped in the applica</w:t>
      </w:r>
      <w:r>
        <w:rPr>
          <w:i/>
        </w:rPr>
        <w:t>tion's UI.</w:t>
      </w:r>
    </w:p>
    <w:p w:rsidR="005F78FC" w:rsidRDefault="00B42EF3">
      <w:pPr>
        <w:pStyle w:val="Definition-Field2"/>
      </w:pPr>
      <w:r>
        <w:t>Office only allows cropping for pictures.</w:t>
      </w:r>
    </w:p>
    <w:p w:rsidR="005F78FC" w:rsidRDefault="00B42EF3">
      <w:pPr>
        <w:pStyle w:val="Definition-Field"/>
      </w:pPr>
      <w:r>
        <w:t xml:space="preserve">c.   </w:t>
      </w:r>
      <w:r>
        <w:rPr>
          <w:i/>
        </w:rPr>
        <w:t>The standard does not restrict the number of instances of this element.</w:t>
      </w:r>
    </w:p>
    <w:p w:rsidR="005F78FC" w:rsidRDefault="00B42EF3">
      <w:pPr>
        <w:pStyle w:val="Definition-Field2"/>
      </w:pPr>
      <w:r>
        <w:t>Office allows at most only one instance of the lock element in each place where it can be used.</w:t>
      </w:r>
    </w:p>
    <w:p w:rsidR="005F78FC" w:rsidRDefault="00B42EF3">
      <w:pPr>
        <w:pStyle w:val="Heading3"/>
      </w:pPr>
      <w:bookmarkStart w:id="3676" w:name="section_4dc6867741fa4e15a3af9aecb84e03c9"/>
      <w:bookmarkStart w:id="3677" w:name="_Toc69879611"/>
      <w:r>
        <w:t>Part 4 Section 19.2.2.19, Lock</w:t>
      </w:r>
      <w:r>
        <w:t>edField (Embedded Object Cannot Be Refreshed)</w:t>
      </w:r>
      <w:bookmarkEnd w:id="3676"/>
      <w:bookmarkEnd w:id="3677"/>
      <w:r>
        <w:fldChar w:fldCharType="begin"/>
      </w:r>
      <w:r>
        <w:instrText xml:space="preserve"> XE "LockedField (Embedded Object Cannot Be Refreshed)" </w:instrText>
      </w:r>
      <w:r>
        <w:fldChar w:fldCharType="end"/>
      </w:r>
    </w:p>
    <w:p w:rsidR="005F78FC" w:rsidRDefault="00B42EF3">
      <w:pPr>
        <w:pStyle w:val="Definition-Field"/>
      </w:pPr>
      <w:r>
        <w:t xml:space="preserve">a.   </w:t>
      </w:r>
      <w:r>
        <w:rPr>
          <w:i/>
        </w:rPr>
        <w:t>The standard indicates that the LockedField element contains no content, but also has a type of ST_TrueFalseBlank.</w:t>
      </w:r>
    </w:p>
    <w:p w:rsidR="005F78FC" w:rsidRDefault="00B42EF3">
      <w:pPr>
        <w:pStyle w:val="Definition-Field2"/>
      </w:pPr>
      <w:r>
        <w:t>Office considers the values true</w:t>
      </w:r>
      <w:r>
        <w:t xml:space="preserve"> and blank ("") to mean true and all other values to mean false for the LockedField element.</w:t>
      </w:r>
    </w:p>
    <w:p w:rsidR="005F78FC" w:rsidRDefault="00B42EF3">
      <w:pPr>
        <w:pStyle w:val="Definition-Field"/>
      </w:pPr>
      <w:r>
        <w:t xml:space="preserve">b.   </w:t>
      </w:r>
      <w:r>
        <w:rPr>
          <w:i/>
        </w:rPr>
        <w:t>The standard does not specify a default value for the LockedField element.</w:t>
      </w:r>
    </w:p>
    <w:p w:rsidR="005F78FC" w:rsidRDefault="00B42EF3">
      <w:pPr>
        <w:pStyle w:val="Definition-Field2"/>
      </w:pPr>
      <w:r>
        <w:t>Office uses a default value of false for the LockedField element.</w:t>
      </w:r>
    </w:p>
    <w:p w:rsidR="005F78FC" w:rsidRDefault="00B42EF3">
      <w:pPr>
        <w:pStyle w:val="Definition-Field"/>
      </w:pPr>
      <w:r>
        <w:t xml:space="preserve">c.   </w:t>
      </w:r>
      <w:r>
        <w:rPr>
          <w:i/>
        </w:rPr>
        <w:t>The standard</w:t>
      </w:r>
      <w:r>
        <w:rPr>
          <w:i/>
        </w:rPr>
        <w:t xml:space="preserve"> indicates how the LockedField element is used.</w:t>
      </w:r>
    </w:p>
    <w:p w:rsidR="005F78FC" w:rsidRDefault="00B42EF3">
      <w:pPr>
        <w:pStyle w:val="Definition-Field2"/>
      </w:pPr>
      <w:r>
        <w:t>Office only supports the LockedField element if the embedded object is linked.</w:t>
      </w:r>
    </w:p>
    <w:p w:rsidR="005F78FC" w:rsidRDefault="00B42EF3">
      <w:pPr>
        <w:pStyle w:val="Definition-Field"/>
      </w:pPr>
      <w:r>
        <w:lastRenderedPageBreak/>
        <w:t xml:space="preserve">d.   </w:t>
      </w:r>
      <w:r>
        <w:rPr>
          <w:i/>
        </w:rPr>
        <w:t>The standard indicates that the value blank ("") for the LockedField element means false.</w:t>
      </w:r>
    </w:p>
    <w:p w:rsidR="005F78FC" w:rsidRDefault="00B42EF3">
      <w:pPr>
        <w:pStyle w:val="Definition-Field2"/>
      </w:pPr>
      <w:r>
        <w:t xml:space="preserve">Office considers blank to be true </w:t>
      </w:r>
      <w:r>
        <w:t>for the LockedField element.</w:t>
      </w:r>
    </w:p>
    <w:p w:rsidR="005F78FC" w:rsidRDefault="00B42EF3">
      <w:pPr>
        <w:pStyle w:val="Definition-Field"/>
      </w:pPr>
      <w:r>
        <w:t xml:space="preserve">e.   </w:t>
      </w:r>
      <w:r>
        <w:rPr>
          <w:i/>
        </w:rPr>
        <w:t>The standard indicates that the value t means true.</w:t>
      </w:r>
    </w:p>
    <w:p w:rsidR="005F78FC" w:rsidRDefault="00B42EF3">
      <w:pPr>
        <w:pStyle w:val="Definition-Field2"/>
      </w:pPr>
      <w:r>
        <w:t>Office considers the value t to mean false for the LockedField element.</w:t>
      </w:r>
    </w:p>
    <w:p w:rsidR="005F78FC" w:rsidRDefault="00B42EF3">
      <w:pPr>
        <w:pStyle w:val="Heading3"/>
      </w:pPr>
      <w:bookmarkStart w:id="3678" w:name="section_c9af80fa3ee44a79ace64fd46ff83957"/>
      <w:bookmarkStart w:id="3679" w:name="_Toc69879612"/>
      <w:r>
        <w:t>Part 4 Section 19.2.2.20, OLEObject (Embedded OLE Object)</w:t>
      </w:r>
      <w:bookmarkEnd w:id="3678"/>
      <w:bookmarkEnd w:id="3679"/>
      <w:r>
        <w:fldChar w:fldCharType="begin"/>
      </w:r>
      <w:r>
        <w:instrText xml:space="preserve"> XE "OLEObject (Embedded OLE Object)"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w:t>
        </w:r>
        <w:r>
          <w:rPr>
            <w:rStyle w:val="Hyperlink"/>
          </w:rPr>
          <w:t>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5F78FC" w:rsidRDefault="00B42EF3">
      <w:pPr>
        <w:pStyle w:val="Definition-Field"/>
      </w:pPr>
      <w:r>
        <w:t xml:space="preserve">a.   </w:t>
      </w:r>
      <w:r>
        <w:rPr>
          <w:i/>
        </w:rPr>
        <w:t xml:space="preserve">The standard implies that the ObjectID attribute is used for </w:t>
      </w:r>
      <w:r>
        <w:rPr>
          <w:i/>
        </w:rPr>
        <w:t>all embedded objects.</w:t>
      </w:r>
    </w:p>
    <w:p w:rsidR="005F78FC" w:rsidRDefault="00B42EF3">
      <w:pPr>
        <w:pStyle w:val="Definition-Field2"/>
      </w:pPr>
      <w:r>
        <w:t>Office does not support the ObjectID attribute for linked objects.</w:t>
      </w:r>
    </w:p>
    <w:p w:rsidR="005F78FC" w:rsidRDefault="00B42EF3">
      <w:pPr>
        <w:pStyle w:val="Definition-Field"/>
      </w:pPr>
      <w:r>
        <w:t xml:space="preserve">b.   </w:t>
      </w:r>
      <w:r>
        <w:rPr>
          <w:i/>
        </w:rPr>
        <w:t>The standard indicates that the value of the ObjectID attribute is a string, but does not specify a format.</w:t>
      </w:r>
    </w:p>
    <w:p w:rsidR="005F78FC" w:rsidRDefault="00B42EF3">
      <w:pPr>
        <w:pStyle w:val="Definition-Field2"/>
      </w:pPr>
      <w:r>
        <w:t>Office formats the string value for the ObjectID attri</w:t>
      </w:r>
      <w:r>
        <w:t>bute as starting with "_" followed by a number in the range 0-2147483647.</w:t>
      </w:r>
    </w:p>
    <w:p w:rsidR="005F78FC" w:rsidRDefault="00B42EF3">
      <w:pPr>
        <w:pStyle w:val="Definition-Field"/>
      </w:pPr>
      <w:r>
        <w:t xml:space="preserve">c.   </w:t>
      </w:r>
      <w:r>
        <w:rPr>
          <w:i/>
        </w:rPr>
        <w:t>The standard indicates how the ObjectID attribute is used.</w:t>
      </w:r>
    </w:p>
    <w:p w:rsidR="005F78FC" w:rsidRDefault="00B42EF3">
      <w:pPr>
        <w:pStyle w:val="Definition-Field2"/>
      </w:pPr>
      <w:r>
        <w:t>Office generates a new value for the ObjectID attribute on each file save.</w:t>
      </w:r>
    </w:p>
    <w:p w:rsidR="005F78FC" w:rsidRDefault="00B42EF3">
      <w:pPr>
        <w:pStyle w:val="Definition-Field"/>
      </w:pPr>
      <w:r>
        <w:t xml:space="preserve">d.   </w:t>
      </w:r>
      <w:r>
        <w:rPr>
          <w:i/>
        </w:rPr>
        <w:t>The standard indicates that the id, Ob</w:t>
      </w:r>
      <w:r>
        <w:rPr>
          <w:i/>
        </w:rPr>
        <w:t>jectID, ProgID and ShapeID attributes are optional.</w:t>
      </w:r>
    </w:p>
    <w:p w:rsidR="005F78FC" w:rsidRDefault="00B42EF3">
      <w:pPr>
        <w:pStyle w:val="Definition-Field2"/>
      </w:pPr>
      <w:r>
        <w:t>Office requires that the id, ObjectID, ProgID, and ShapeID attributes be specified for the OLEObject element, or else the embedded object is converted to a static image.</w:t>
      </w:r>
    </w:p>
    <w:p w:rsidR="005F78FC" w:rsidRDefault="00B42EF3">
      <w:pPr>
        <w:pStyle w:val="Heading3"/>
      </w:pPr>
      <w:bookmarkStart w:id="3680" w:name="section_5f6781486eee4abda61051e4240cbe7d"/>
      <w:bookmarkStart w:id="3681" w:name="_Toc69879613"/>
      <w:r>
        <w:t>Part 4 Section 19.2.2.21, proxy (S</w:t>
      </w:r>
      <w:r>
        <w:t>hape Reference)</w:t>
      </w:r>
      <w:bookmarkEnd w:id="3680"/>
      <w:bookmarkEnd w:id="3681"/>
      <w:r>
        <w:fldChar w:fldCharType="begin"/>
      </w:r>
      <w:r>
        <w:instrText xml:space="preserve"> XE "proxy (Shape Reference)" </w:instrText>
      </w:r>
      <w:r>
        <w:fldChar w:fldCharType="end"/>
      </w:r>
    </w:p>
    <w:p w:rsidR="005F78FC" w:rsidRDefault="00B42EF3">
      <w:pPr>
        <w:pStyle w:val="Definition-Field"/>
      </w:pPr>
      <w:r>
        <w:t xml:space="preserve">a.   </w:t>
      </w:r>
      <w:r>
        <w:rPr>
          <w:i/>
        </w:rPr>
        <w:t>The standard states that the values of the start and end attributes are defined by the ST_TrueFalseBlank simple type.</w:t>
      </w:r>
    </w:p>
    <w:p w:rsidR="005F78FC" w:rsidRDefault="00B42EF3">
      <w:pPr>
        <w:pStyle w:val="Definition-Field2"/>
      </w:pPr>
      <w:r>
        <w:t>Office restricts the value of these attributes type to be blank.</w:t>
      </w:r>
    </w:p>
    <w:p w:rsidR="005F78FC" w:rsidRDefault="00B42EF3">
      <w:pPr>
        <w:pStyle w:val="Definition-Field"/>
      </w:pPr>
      <w:r>
        <w:t xml:space="preserve">b.   </w:t>
      </w:r>
      <w:r>
        <w:rPr>
          <w:i/>
        </w:rPr>
        <w:t>The standard st</w:t>
      </w:r>
      <w:r>
        <w:rPr>
          <w:i/>
        </w:rPr>
        <w:t>ates that the default value of the start and end attributes is false.</w:t>
      </w:r>
    </w:p>
    <w:p w:rsidR="005F78FC" w:rsidRDefault="00B42EF3">
      <w:pPr>
        <w:pStyle w:val="Definition-Field2"/>
      </w:pPr>
      <w:r>
        <w:t>Office uses a default value of no value for these attributes.</w:t>
      </w:r>
    </w:p>
    <w:p w:rsidR="005F78FC" w:rsidRDefault="00B42EF3">
      <w:pPr>
        <w:pStyle w:val="Definition-Field"/>
      </w:pPr>
      <w:r>
        <w:t xml:space="preserve">c.   </w:t>
      </w:r>
      <w:r>
        <w:rPr>
          <w:i/>
        </w:rPr>
        <w:t>The standard states that the connectloc attribute is optional.</w:t>
      </w:r>
    </w:p>
    <w:p w:rsidR="005F78FC" w:rsidRDefault="00B42EF3">
      <w:pPr>
        <w:pStyle w:val="Definition-Field2"/>
      </w:pPr>
      <w:r>
        <w:t>Office requires this attribute.</w:t>
      </w:r>
    </w:p>
    <w:p w:rsidR="005F78FC" w:rsidRDefault="00B42EF3">
      <w:pPr>
        <w:pStyle w:val="Definition-Field"/>
      </w:pPr>
      <w:r>
        <w:t xml:space="preserve">d.   </w:t>
      </w:r>
      <w:r>
        <w:rPr>
          <w:i/>
        </w:rPr>
        <w:t>The standard states</w:t>
      </w:r>
      <w:r>
        <w:rPr>
          <w:i/>
        </w:rPr>
        <w:t xml:space="preserve"> that values of the idref attribute are defined by the XML Schema string datatype.</w:t>
      </w:r>
    </w:p>
    <w:p w:rsidR="005F78FC" w:rsidRDefault="00B42EF3">
      <w:pPr>
        <w:pStyle w:val="Definition-Field2"/>
      </w:pPr>
      <w:r>
        <w:t>Office defines the values of the idref attribute with the ST_ObjIDRef (</w:t>
      </w:r>
      <w:hyperlink w:anchor="Section_9fa89b60c362417d97158382b70c6275">
        <w:r>
          <w:rPr>
            <w:rStyle w:val="Hyperlink"/>
          </w:rPr>
          <w:t>§3.9.4, ST_ObjIDRef</w:t>
        </w:r>
      </w:hyperlink>
      <w:r>
        <w:t>) simple type.</w:t>
      </w:r>
    </w:p>
    <w:p w:rsidR="005F78FC" w:rsidRDefault="00B42EF3">
      <w:pPr>
        <w:pStyle w:val="Definition-Field"/>
      </w:pPr>
      <w:r>
        <w:t xml:space="preserve">e.   </w:t>
      </w:r>
      <w:r>
        <w:rPr>
          <w:i/>
        </w:rPr>
        <w:t>The standard states that the idref attribute is optional.</w:t>
      </w:r>
    </w:p>
    <w:p w:rsidR="005F78FC" w:rsidRDefault="00B42EF3">
      <w:pPr>
        <w:pStyle w:val="Definition-Field2"/>
      </w:pPr>
      <w:r>
        <w:t>Office requires this attribute.</w:t>
      </w:r>
    </w:p>
    <w:p w:rsidR="005F78FC" w:rsidRDefault="00B42EF3">
      <w:pPr>
        <w:pStyle w:val="Heading3"/>
      </w:pPr>
      <w:bookmarkStart w:id="3682" w:name="section_2f8d7b7c53824e9e9365120a88a1eb5f"/>
      <w:bookmarkStart w:id="3683" w:name="_Toc69879614"/>
      <w:r>
        <w:lastRenderedPageBreak/>
        <w:t>Part 4 Section 19.2.2.22, r (Rule)</w:t>
      </w:r>
      <w:bookmarkEnd w:id="3682"/>
      <w:bookmarkEnd w:id="3683"/>
      <w:r>
        <w:fldChar w:fldCharType="begin"/>
      </w:r>
      <w:r>
        <w:instrText xml:space="preserve"> XE "r (Rule)" </w:instrText>
      </w:r>
      <w:r>
        <w:fldChar w:fldCharType="end"/>
      </w:r>
    </w:p>
    <w:p w:rsidR="005F78FC" w:rsidRDefault="00B42EF3">
      <w:pPr>
        <w:pStyle w:val="Definition-Field"/>
      </w:pPr>
      <w:r>
        <w:t xml:space="preserve">a.   </w:t>
      </w:r>
      <w:r>
        <w:rPr>
          <w:i/>
        </w:rPr>
        <w:t>The standard indicates how the how attribute is used.</w:t>
      </w:r>
    </w:p>
    <w:p w:rsidR="005F78FC" w:rsidRDefault="00B42EF3">
      <w:pPr>
        <w:pStyle w:val="Definition-Field2"/>
      </w:pPr>
      <w:r>
        <w:t>Office does not support the how attribute.</w:t>
      </w:r>
    </w:p>
    <w:p w:rsidR="005F78FC" w:rsidRDefault="00B42EF3">
      <w:pPr>
        <w:pStyle w:val="Definition-Field"/>
      </w:pPr>
      <w:r>
        <w:t xml:space="preserve">b.   </w:t>
      </w:r>
      <w:r>
        <w:rPr>
          <w:i/>
        </w:rPr>
        <w:t>The sta</w:t>
      </w:r>
      <w:r>
        <w:rPr>
          <w:i/>
        </w:rPr>
        <w:t>ndard places no restrictions on how the type attribute is used.</w:t>
      </w:r>
    </w:p>
    <w:p w:rsidR="005F78FC" w:rsidRDefault="00B42EF3">
      <w:r>
        <w:t xml:space="preserve">Office requires that the shape referenced by the </w:t>
      </w:r>
      <w:r>
        <w:rPr>
          <w:b/>
        </w:rPr>
        <w:t>idref</w:t>
      </w:r>
      <w:r>
        <w:t xml:space="preserve"> attribute match the rule type specified by this attribute. If the value is </w:t>
      </w:r>
      <w:r>
        <w:rPr>
          <w:i/>
        </w:rPr>
        <w:t>arc</w:t>
      </w:r>
      <w:r>
        <w:t xml:space="preserve">, </w:t>
      </w:r>
      <w:r>
        <w:rPr>
          <w:b/>
        </w:rPr>
        <w:t>idref</w:t>
      </w:r>
      <w:r>
        <w:t xml:space="preserve"> shall reference a valid shape that is an arc (the v</w:t>
      </w:r>
      <w:r>
        <w:t xml:space="preserve">alue of the shape’s </w:t>
      </w:r>
      <w:r>
        <w:rPr>
          <w:b/>
        </w:rPr>
        <w:t>spt</w:t>
      </w:r>
      <w:r>
        <w:t xml:space="preserve"> attribute is 19).  If the value is </w:t>
      </w:r>
      <w:r>
        <w:rPr>
          <w:i/>
        </w:rPr>
        <w:t>callout</w:t>
      </w:r>
      <w:r>
        <w:t xml:space="preserve">, </w:t>
      </w:r>
      <w:r>
        <w:rPr>
          <w:b/>
        </w:rPr>
        <w:t>idref</w:t>
      </w:r>
      <w:r>
        <w:t xml:space="preserve"> shall reference a valid shape that is a callout.  If the value is </w:t>
      </w:r>
      <w:r>
        <w:rPr>
          <w:i/>
        </w:rPr>
        <w:t>connector</w:t>
      </w:r>
      <w:r>
        <w:t xml:space="preserve">, </w:t>
      </w:r>
      <w:r>
        <w:rPr>
          <w:b/>
        </w:rPr>
        <w:t>idref</w:t>
      </w:r>
      <w:r>
        <w:t xml:space="preserve"> shall reference a valid shape that is a connector.</w:t>
      </w:r>
    </w:p>
    <w:p w:rsidR="005F78FC" w:rsidRDefault="00B42EF3">
      <w:pPr>
        <w:pStyle w:val="Definition-Field"/>
      </w:pPr>
      <w:r>
        <w:t xml:space="preserve">c.   </w:t>
      </w:r>
      <w:r>
        <w:rPr>
          <w:i/>
        </w:rPr>
        <w:t xml:space="preserve">The standard indicates that align is valid </w:t>
      </w:r>
      <w:r>
        <w:rPr>
          <w:i/>
        </w:rPr>
        <w:t>value for the type attribute.</w:t>
      </w:r>
    </w:p>
    <w:p w:rsidR="005F78FC" w:rsidRDefault="00B42EF3">
      <w:pPr>
        <w:pStyle w:val="Definition-Field2"/>
      </w:pPr>
      <w:r>
        <w:t>Office does not support the align value for the type attribute.</w:t>
      </w:r>
    </w:p>
    <w:p w:rsidR="005F78FC" w:rsidRDefault="00B42EF3">
      <w:pPr>
        <w:pStyle w:val="Definition-Field"/>
      </w:pPr>
      <w:r>
        <w:t xml:space="preserve">d.   </w:t>
      </w:r>
      <w:r>
        <w:rPr>
          <w:i/>
        </w:rPr>
        <w:t>The standard states that values of the idref attribute are defined by the XML Schema string datatype.</w:t>
      </w:r>
    </w:p>
    <w:p w:rsidR="005F78FC" w:rsidRDefault="00B42EF3">
      <w:pPr>
        <w:pStyle w:val="Definition-Field2"/>
      </w:pPr>
      <w:r>
        <w:t xml:space="preserve">Office defines the values of the idref attribute with </w:t>
      </w:r>
      <w:r>
        <w:t>the ST_ObjIDRef (</w:t>
      </w:r>
      <w:hyperlink w:anchor="Section_9fa89b60c362417d97158382b70c6275">
        <w:r>
          <w:rPr>
            <w:rStyle w:val="Hyperlink"/>
          </w:rPr>
          <w:t>§3.9.4, ST_ObjIDRef</w:t>
        </w:r>
      </w:hyperlink>
      <w:r>
        <w:t>) simple type.</w:t>
      </w:r>
    </w:p>
    <w:p w:rsidR="005F78FC" w:rsidRDefault="00B42EF3">
      <w:pPr>
        <w:pStyle w:val="Heading3"/>
      </w:pPr>
      <w:bookmarkStart w:id="3684" w:name="section_ae0cc08c38484098b29166f68bb21916"/>
      <w:bookmarkStart w:id="3685" w:name="_Toc69879615"/>
      <w:r>
        <w:t>Part 4 Section 19.2.2.24, rel (Diagram Relationship)</w:t>
      </w:r>
      <w:bookmarkEnd w:id="3684"/>
      <w:bookmarkEnd w:id="3685"/>
      <w:r>
        <w:fldChar w:fldCharType="begin"/>
      </w:r>
      <w:r>
        <w:instrText xml:space="preserve"> XE "rel (Diagram Relationship)" </w:instrText>
      </w:r>
      <w:r>
        <w:fldChar w:fldCharType="end"/>
      </w:r>
    </w:p>
    <w:p w:rsidR="005F78FC" w:rsidRDefault="00B42EF3">
      <w:pPr>
        <w:pStyle w:val="Definition-Field"/>
      </w:pPr>
      <w:r>
        <w:t xml:space="preserve">a.   </w:t>
      </w:r>
      <w:r>
        <w:rPr>
          <w:i/>
        </w:rPr>
        <w:t xml:space="preserve">The standard places no restrictions on the kind </w:t>
      </w:r>
      <w:r>
        <w:rPr>
          <w:i/>
        </w:rPr>
        <w:t>of shape that is defined by the idcntr attribute.</w:t>
      </w:r>
    </w:p>
    <w:p w:rsidR="005F78FC" w:rsidRDefault="00B42EF3">
      <w:pPr>
        <w:pStyle w:val="Definition-Field2"/>
      </w:pPr>
      <w:r>
        <w:t>Office requires that this shape be a connector.</w:t>
      </w:r>
    </w:p>
    <w:p w:rsidR="005F78FC" w:rsidRDefault="00B42EF3">
      <w:pPr>
        <w:pStyle w:val="Definition-Field"/>
      </w:pPr>
      <w:r>
        <w:t xml:space="preserve">b.   </w:t>
      </w:r>
      <w:r>
        <w:rPr>
          <w:i/>
        </w:rPr>
        <w:t>The standard does not explicitly state that the shape identified by the idcntr attribute must exist.</w:t>
      </w:r>
    </w:p>
    <w:p w:rsidR="005F78FC" w:rsidRDefault="00B42EF3">
      <w:pPr>
        <w:pStyle w:val="Definition-Field2"/>
      </w:pPr>
      <w:r>
        <w:t>Office requires the shape identified by the idcntr a</w:t>
      </w:r>
      <w:r>
        <w:t>ttribute to exist.</w:t>
      </w:r>
    </w:p>
    <w:p w:rsidR="005F78FC" w:rsidRDefault="00B42EF3">
      <w:pPr>
        <w:pStyle w:val="Definition-Field"/>
      </w:pPr>
      <w:r>
        <w:t xml:space="preserve">c.   </w:t>
      </w:r>
      <w:r>
        <w:rPr>
          <w:i/>
        </w:rPr>
        <w:t>The standard does not explicitly state that the shape identified by the idsrc attribute must exist.</w:t>
      </w:r>
    </w:p>
    <w:p w:rsidR="005F78FC" w:rsidRDefault="00B42EF3">
      <w:pPr>
        <w:pStyle w:val="Definition-Field2"/>
      </w:pPr>
      <w:r>
        <w:t>Office requires the shape identified by the idsrc attribute to exist.</w:t>
      </w:r>
    </w:p>
    <w:p w:rsidR="005F78FC" w:rsidRDefault="00B42EF3">
      <w:pPr>
        <w:pStyle w:val="Definition-Field"/>
      </w:pPr>
      <w:r>
        <w:t xml:space="preserve">d.   </w:t>
      </w:r>
      <w:r>
        <w:rPr>
          <w:i/>
        </w:rPr>
        <w:t>The standard does not explicitly state that the shape ide</w:t>
      </w:r>
      <w:r>
        <w:rPr>
          <w:i/>
        </w:rPr>
        <w:t>ntified by the iddest attribute must exist.</w:t>
      </w:r>
    </w:p>
    <w:p w:rsidR="005F78FC" w:rsidRDefault="00B42EF3">
      <w:pPr>
        <w:pStyle w:val="Definition-Field2"/>
      </w:pPr>
      <w:r>
        <w:t>Office requires the shape identified by the iddest attribute must exist.</w:t>
      </w:r>
    </w:p>
    <w:p w:rsidR="005F78FC" w:rsidRDefault="00B42EF3">
      <w:pPr>
        <w:pStyle w:val="Definition-Field"/>
      </w:pPr>
      <w:r>
        <w:t xml:space="preserve">e.   </w:t>
      </w:r>
      <w:r>
        <w:rPr>
          <w:i/>
        </w:rPr>
        <w:t>The standard indicates that the idsrc, iddest and idcntr attributes are specified as a string.</w:t>
      </w:r>
    </w:p>
    <w:p w:rsidR="005F78FC" w:rsidRDefault="00B42EF3">
      <w:pPr>
        <w:pStyle w:val="Definition-Field2"/>
      </w:pPr>
      <w:r>
        <w:t xml:space="preserve">Office requires these attributes use a </w:t>
      </w:r>
      <w:r>
        <w:t>reference to an object ID in the form of an object name, as described in the ST_ObjIDRef (</w:t>
      </w:r>
      <w:hyperlink w:anchor="Section_9fa89b60c362417d97158382b70c6275">
        <w:r>
          <w:rPr>
            <w:rStyle w:val="Hyperlink"/>
          </w:rPr>
          <w:t>§3.9.4, ST_ObjIDRef</w:t>
        </w:r>
      </w:hyperlink>
      <w:r>
        <w:t>) simple type.</w:t>
      </w:r>
    </w:p>
    <w:p w:rsidR="005F78FC" w:rsidRDefault="00B42EF3">
      <w:pPr>
        <w:pStyle w:val="Heading3"/>
      </w:pPr>
      <w:bookmarkStart w:id="3686" w:name="section_713e0d91289e4e45bf52a792848206c3"/>
      <w:bookmarkStart w:id="3687" w:name="_Toc69879616"/>
      <w:r>
        <w:t>Part 4 Section 19.2.2.26, right (Text Box Right Stroke)</w:t>
      </w:r>
      <w:bookmarkEnd w:id="3686"/>
      <w:bookmarkEnd w:id="3687"/>
      <w:r>
        <w:fldChar w:fldCharType="begin"/>
      </w:r>
      <w:r>
        <w:instrText xml:space="preserve"> XE "right (Te</w:instrText>
      </w:r>
      <w:r>
        <w:instrText xml:space="preserve">xt Box Right Stroke)"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§19.2.2.1(b,d-k)</w:t>
        </w:r>
      </w:hyperlink>
      <w:r>
        <w:rPr>
          <w:i/>
        </w:rPr>
        <w:t xml:space="preserve">; </w:t>
      </w:r>
      <w:hyperlink w:anchor="Section_7c2c12cffc6b476ca8bc3206fdc1ea78">
        <w:r>
          <w:rPr>
            <w:rStyle w:val="Hyperlink"/>
          </w:rPr>
          <w:t>column, §19.2.2.6(a)</w:t>
        </w:r>
      </w:hyperlink>
      <w:r>
        <w:rPr>
          <w:i/>
        </w:rPr>
        <w:t>.</w:t>
      </w:r>
    </w:p>
    <w:p w:rsidR="005F78FC" w:rsidRDefault="00B42EF3">
      <w:pPr>
        <w:pStyle w:val="Definition-Field"/>
      </w:pPr>
      <w:r>
        <w:t xml:space="preserve">a.   </w:t>
      </w:r>
      <w:r>
        <w:rPr>
          <w:i/>
        </w:rPr>
        <w:t>The standard indicates the condition</w:t>
      </w:r>
      <w:r>
        <w:rPr>
          <w:i/>
        </w:rPr>
        <w:t>s under which the right element is displayed.</w:t>
      </w:r>
    </w:p>
    <w:p w:rsidR="005F78FC" w:rsidRDefault="00B42EF3">
      <w:r>
        <w:t>In Office, this element is only displayed if all of the following conditions are met:</w:t>
      </w:r>
    </w:p>
    <w:p w:rsidR="005F78FC" w:rsidRDefault="00B42EF3">
      <w:pPr>
        <w:pStyle w:val="ListParagraph"/>
        <w:numPr>
          <w:ilvl w:val="0"/>
          <w:numId w:val="188"/>
        </w:numPr>
        <w:contextualSpacing/>
      </w:pPr>
      <w:r>
        <w:t xml:space="preserve">The </w:t>
      </w:r>
      <w:r>
        <w:rPr>
          <w:b/>
        </w:rPr>
        <w:t>on</w:t>
      </w:r>
      <w:r>
        <w:t xml:space="preserve"> attribute is </w:t>
      </w:r>
      <w:r>
        <w:rPr>
          <w:i/>
        </w:rPr>
        <w:t>true</w:t>
      </w:r>
      <w:r>
        <w:t>.</w:t>
      </w:r>
    </w:p>
    <w:p w:rsidR="005F78FC" w:rsidRDefault="00B42EF3">
      <w:pPr>
        <w:pStyle w:val="ListParagraph"/>
        <w:numPr>
          <w:ilvl w:val="0"/>
          <w:numId w:val="188"/>
        </w:numPr>
        <w:contextualSpacing/>
      </w:pPr>
      <w:r>
        <w:t xml:space="preserve">The shape’s path is closed with the </w:t>
      </w:r>
      <w:r>
        <w:rPr>
          <w:i/>
        </w:rPr>
        <w:t>x</w:t>
      </w:r>
      <w:r>
        <w:t xml:space="preserve"> command.  [Note: This implies that arrow heads should be def</w:t>
      </w:r>
      <w:r>
        <w:t>ined on the stroke attribute. end note]</w:t>
      </w:r>
    </w:p>
    <w:p w:rsidR="005F78FC" w:rsidRDefault="00B42EF3">
      <w:pPr>
        <w:pStyle w:val="ListParagraph"/>
        <w:numPr>
          <w:ilvl w:val="0"/>
          <w:numId w:val="188"/>
        </w:numPr>
        <w:contextualSpacing/>
      </w:pPr>
      <w:r>
        <w:lastRenderedPageBreak/>
        <w:t xml:space="preserve">The shape’s path defines a rectangle with corner coordinates exactly equal to 0,0; 21600,0; 21600,21600; 0,21600.  [Example: For example, the following value on the </w:t>
      </w:r>
      <w:r>
        <w:rPr>
          <w:b/>
        </w:rPr>
        <w:t>path</w:t>
      </w:r>
      <w:r>
        <w:t xml:space="preserve"> attribute of the </w:t>
      </w:r>
      <w:r>
        <w:rPr>
          <w:b/>
        </w:rPr>
        <w:t>shape</w:t>
      </w:r>
      <w:r>
        <w:t xml:space="preserve"> element ("</w:t>
      </w:r>
      <w:hyperlink r:id="rId270">
        <w:r>
          <w:rPr>
            <w:rStyle w:val="Hyperlink"/>
          </w:rPr>
          <w:t>[ISO/IEC-29500-4]</w:t>
        </w:r>
      </w:hyperlink>
      <w:r>
        <w:t xml:space="preserve"> §19.1.2.19; shape (Shape Definition)") satisfies this condition: </w:t>
      </w:r>
      <w:r>
        <w:rPr>
          <w:rStyle w:val="InlineCode"/>
        </w:rPr>
        <w:t>path="m,l,21600r21600,l21600,xe"</w:t>
      </w:r>
      <w:r>
        <w:t xml:space="preserve"> end example]</w:t>
      </w:r>
    </w:p>
    <w:p w:rsidR="005F78FC" w:rsidRDefault="00B42EF3">
      <w:pPr>
        <w:pStyle w:val="ListParagraph"/>
        <w:numPr>
          <w:ilvl w:val="0"/>
          <w:numId w:val="188"/>
        </w:numPr>
        <w:contextualSpacing/>
      </w:pPr>
      <w:r>
        <w:t xml:space="preserve">The value of the shape’s </w:t>
      </w:r>
      <w:r>
        <w:rPr>
          <w:b/>
        </w:rPr>
        <w:t>spt</w:t>
      </w:r>
      <w:r>
        <w:t xml:space="preserve"> attribute is </w:t>
      </w:r>
      <w:r>
        <w:rPr>
          <w:i/>
        </w:rPr>
        <w:t>202</w:t>
      </w:r>
      <w:r>
        <w:t>.</w:t>
      </w:r>
    </w:p>
    <w:p w:rsidR="005F78FC" w:rsidRDefault="00B42EF3">
      <w:pPr>
        <w:pStyle w:val="ListParagraph"/>
        <w:numPr>
          <w:ilvl w:val="0"/>
          <w:numId w:val="188"/>
        </w:numPr>
      </w:pPr>
      <w:r>
        <w:t>The shape is not</w:t>
      </w:r>
      <w:r>
        <w:t xml:space="preserve"> stroked.</w:t>
      </w:r>
    </w:p>
    <w:p w:rsidR="005F78FC" w:rsidRDefault="00B42EF3">
      <w:r>
        <w:t xml:space="preserve">If the </w:t>
      </w:r>
      <w:r>
        <w:rPr>
          <w:b/>
        </w:rPr>
        <w:t>on</w:t>
      </w:r>
      <w:r>
        <w:t xml:space="preserve"> attribute is </w:t>
      </w:r>
      <w:r>
        <w:rPr>
          <w:i/>
        </w:rPr>
        <w:t>false</w:t>
      </w:r>
      <w:r>
        <w:t xml:space="preserve"> or not specified, the border is not shown.</w:t>
      </w:r>
    </w:p>
    <w:p w:rsidR="005F78FC" w:rsidRDefault="00B42EF3">
      <w:r>
        <w:t>[Note: The shape is not stroked if one of the following conditions is true:</w:t>
      </w:r>
    </w:p>
    <w:p w:rsidR="005F78FC" w:rsidRDefault="00B42EF3">
      <w:pPr>
        <w:pStyle w:val="ListParagraph"/>
        <w:numPr>
          <w:ilvl w:val="0"/>
          <w:numId w:val="189"/>
        </w:numPr>
        <w:contextualSpacing/>
      </w:pPr>
      <w:r>
        <w:t xml:space="preserve">The value of the </w:t>
      </w:r>
      <w:r>
        <w:rPr>
          <w:b/>
        </w:rPr>
        <w:t>on</w:t>
      </w:r>
      <w:r>
        <w:t xml:space="preserve"> attribute of the </w:t>
      </w:r>
      <w:r>
        <w:rPr>
          <w:b/>
        </w:rPr>
        <w:t>stroke</w:t>
      </w:r>
      <w:r>
        <w:t xml:space="preserve"> element ("[ISO/IEC-29500-4] §19.1.2.21; stroke (Line S</w:t>
      </w:r>
      <w:r>
        <w:t xml:space="preserve">troke Settings)") is </w:t>
      </w:r>
      <w:r>
        <w:rPr>
          <w:i/>
        </w:rPr>
        <w:t>false</w:t>
      </w:r>
      <w:r>
        <w:t>.</w:t>
      </w:r>
    </w:p>
    <w:p w:rsidR="005F78FC" w:rsidRDefault="00B42EF3">
      <w:pPr>
        <w:pStyle w:val="ListParagraph"/>
        <w:numPr>
          <w:ilvl w:val="0"/>
          <w:numId w:val="189"/>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5F78FC" w:rsidRDefault="00B42EF3">
      <w:pPr>
        <w:pStyle w:val="ListParagraph"/>
        <w:numPr>
          <w:ilvl w:val="0"/>
          <w:numId w:val="189"/>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 §19.1.2.20; shapetype (Shape Template)") is </w:t>
      </w:r>
      <w:r>
        <w:rPr>
          <w:i/>
        </w:rPr>
        <w:t>false</w:t>
      </w:r>
      <w:r>
        <w:t>.</w:t>
      </w:r>
    </w:p>
    <w:p w:rsidR="005F78FC" w:rsidRDefault="00B42EF3">
      <w:r>
        <w:t>end note]</w:t>
      </w:r>
    </w:p>
    <w:p w:rsidR="005F78FC" w:rsidRDefault="00B42EF3">
      <w:pPr>
        <w:pStyle w:val="Heading3"/>
      </w:pPr>
      <w:bookmarkStart w:id="3688" w:name="section_30394e5a5c7e41c08891b4d803b59bb5"/>
      <w:bookmarkStart w:id="3689" w:name="_Toc69879617"/>
      <w:r>
        <w:t>Part 4 Section 19.2.2.28, shapedefaults (New Shape Defaults)</w:t>
      </w:r>
      <w:bookmarkEnd w:id="3688"/>
      <w:bookmarkEnd w:id="3689"/>
      <w:r>
        <w:fldChar w:fldCharType="begin"/>
      </w:r>
      <w:r>
        <w:instrText xml:space="preserve"> XE "shapedefaults (New Shape Defaults)" </w:instrText>
      </w:r>
      <w:r>
        <w:fldChar w:fldCharType="end"/>
      </w:r>
    </w:p>
    <w:p w:rsidR="005F78FC" w:rsidRDefault="00B42EF3">
      <w:pPr>
        <w:pStyle w:val="Definition-Field2"/>
      </w:pPr>
      <w:r>
        <w:rPr>
          <w:i/>
        </w:rPr>
        <w:t xml:space="preserve">For additional notes that apply to </w:t>
      </w:r>
      <w:r>
        <w:rPr>
          <w:i/>
        </w:rPr>
        <w:t xml:space="preserve">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§19.1.2.1(c-bb,ee-hh,mm,ddd, eee,ggg-lll,ttt-www,dddd-ffff,iiii, jjjj)</w:t>
        </w:r>
      </w:hyperlink>
      <w:r>
        <w:rPr>
          <w:i/>
        </w:rPr>
        <w:t xml:space="preserve">; </w:t>
      </w:r>
      <w:hyperlink w:anchor="Section_f5d19ada9960486786e99c187b7c8744">
        <w:r>
          <w:rPr>
            <w:rStyle w:val="Hyperlink"/>
          </w:rPr>
          <w:t>cur</w:t>
        </w:r>
        <w:r>
          <w:rPr>
            <w:rStyle w:val="Hyperlink"/>
          </w:rPr>
          <w:t>ve, §19.1.2.3(d)</w:t>
        </w:r>
      </w:hyperlink>
      <w:r>
        <w:rPr>
          <w:i/>
        </w:rPr>
        <w:t>.</w:t>
      </w:r>
    </w:p>
    <w:p w:rsidR="005F78FC" w:rsidRDefault="00B42EF3">
      <w:pPr>
        <w:pStyle w:val="Definition-Field"/>
      </w:pPr>
      <w:r>
        <w:t xml:space="preserve">a.   </w:t>
      </w:r>
      <w:r>
        <w:rPr>
          <w:i/>
        </w:rPr>
        <w:t>The standard makes no mention of an insetmode attribute.</w:t>
      </w:r>
    </w:p>
    <w:p w:rsidR="005F78FC" w:rsidRDefault="00B42EF3">
      <w:pPr>
        <w:pStyle w:val="Definition-Field2"/>
      </w:pPr>
      <w:r>
        <w:t>Office uses this attribute to specify how inner text margins are obtained; its allowed values are defined by the ST_InsetMode simple type, with a default value of custom.</w:t>
      </w:r>
    </w:p>
    <w:p w:rsidR="005F78FC" w:rsidRDefault="00B42EF3">
      <w:pPr>
        <w:pStyle w:val="Definition-Field"/>
      </w:pPr>
      <w:r>
        <w:t xml:space="preserve">b.   </w:t>
      </w:r>
      <w:r>
        <w:rPr>
          <w:i/>
        </w:rPr>
        <w:t>The standard makes no mention of an allowoverlap attribute.</w:t>
      </w:r>
    </w:p>
    <w:p w:rsidR="005F78FC" w:rsidRDefault="00B42EF3">
      <w:pPr>
        <w:pStyle w:val="Definition-Field2"/>
      </w:pPr>
      <w:r>
        <w:t>Office uses this attribute to specify whether a shape can overlap another shape; its allowed values are true and false, where false will cause the shape to shift left or right to avoid an overlap.</w:t>
      </w:r>
    </w:p>
    <w:p w:rsidR="005F78FC" w:rsidRDefault="00B42EF3">
      <w:pPr>
        <w:pStyle w:val="Definition-Field"/>
      </w:pPr>
      <w:r>
        <w:t xml:space="preserve">c.   </w:t>
      </w:r>
      <w:r>
        <w:rPr>
          <w:i/>
        </w:rPr>
        <w:t>The standard does not state that the imagedata element is a valid child of the shapedefaults element.</w:t>
      </w:r>
    </w:p>
    <w:p w:rsidR="005F78FC" w:rsidRDefault="00B42EF3">
      <w:pPr>
        <w:pStyle w:val="Definition-Field2"/>
      </w:pPr>
      <w:r>
        <w:t>Office allows the imagedata element to be a child of the shapedefaults element.</w:t>
      </w:r>
    </w:p>
    <w:p w:rsidR="005F78FC" w:rsidRDefault="00B42EF3">
      <w:pPr>
        <w:pStyle w:val="Heading3"/>
      </w:pPr>
      <w:bookmarkStart w:id="3690" w:name="section_a836922427e94270a02db1c710aa8bcb"/>
      <w:bookmarkStart w:id="3691" w:name="_Toc69879618"/>
      <w:r>
        <w:t>Part 4 Section 19.2.2.29, shapelayout (Shape Layout Properties)</w:t>
      </w:r>
      <w:bookmarkEnd w:id="3690"/>
      <w:bookmarkEnd w:id="3691"/>
      <w:r>
        <w:fldChar w:fldCharType="begin"/>
      </w:r>
      <w:r>
        <w:instrText xml:space="preserve"> XE "</w:instrText>
      </w:r>
      <w:r>
        <w:instrText xml:space="preserve">shapelayout (Shape Layout Properties)"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w:t>
      </w:r>
    </w:p>
    <w:p w:rsidR="005F78FC" w:rsidRDefault="00B42EF3">
      <w:pPr>
        <w:pStyle w:val="Heading3"/>
      </w:pPr>
      <w:bookmarkStart w:id="3692" w:name="section_16a6934dddaf47e99b2ade1f45ded0f9"/>
      <w:bookmarkStart w:id="3693" w:name="_Toc69879619"/>
      <w:r>
        <w:t>Part 4 Section 19.2.2.30, signatureline (Digital Signature Line)</w:t>
      </w:r>
      <w:bookmarkEnd w:id="3692"/>
      <w:bookmarkEnd w:id="3693"/>
      <w:r>
        <w:fldChar w:fldCharType="begin"/>
      </w:r>
      <w:r>
        <w:instrText xml:space="preserve"> XE "signatureline (Digital Signature Line)" </w:instrText>
      </w:r>
      <w:r>
        <w:fldChar w:fldCharType="end"/>
      </w:r>
    </w:p>
    <w:p w:rsidR="005F78FC" w:rsidRDefault="00B42EF3">
      <w:pPr>
        <w:pStyle w:val="Definition-Field2"/>
      </w:pPr>
      <w:r>
        <w:rPr>
          <w:i/>
        </w:rPr>
        <w:t>For additional no</w:t>
      </w:r>
      <w:r>
        <w:rPr>
          <w:i/>
        </w:rPr>
        <w:t xml:space="preserve">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5F78FC" w:rsidRDefault="00B42EF3">
      <w:pPr>
        <w:pStyle w:val="Definition-Field"/>
      </w:pPr>
      <w:r>
        <w:t xml:space="preserve">a.   </w:t>
      </w:r>
      <w:r>
        <w:rPr>
          <w:i/>
        </w:rPr>
        <w:t>The standard indicates the default value for the issignatureline attribute is true.</w:t>
      </w:r>
    </w:p>
    <w:p w:rsidR="005F78FC" w:rsidRDefault="00B42EF3">
      <w:pPr>
        <w:pStyle w:val="Definition-Field2"/>
      </w:pPr>
      <w:r>
        <w:t>In Office, the default value or the issignatureline attribute is false.</w:t>
      </w:r>
    </w:p>
    <w:p w:rsidR="005F78FC" w:rsidRDefault="00B42EF3">
      <w:pPr>
        <w:pStyle w:val="Definition-Field"/>
      </w:pPr>
      <w:r>
        <w:t xml:space="preserve">b.   </w:t>
      </w:r>
      <w:r>
        <w:rPr>
          <w:i/>
        </w:rPr>
        <w:t>The sta</w:t>
      </w:r>
      <w:r>
        <w:rPr>
          <w:i/>
        </w:rPr>
        <w:t>ndard does not restrict the number of instances of this element.</w:t>
      </w:r>
    </w:p>
    <w:p w:rsidR="005F78FC" w:rsidRDefault="00B42EF3">
      <w:pPr>
        <w:pStyle w:val="Definition-Field2"/>
      </w:pPr>
      <w:r>
        <w:lastRenderedPageBreak/>
        <w:t>Office allows at most only one instance of the signatureline element in each place where it can be used.</w:t>
      </w:r>
    </w:p>
    <w:p w:rsidR="005F78FC" w:rsidRDefault="00B42EF3">
      <w:pPr>
        <w:pStyle w:val="Heading3"/>
      </w:pPr>
      <w:bookmarkStart w:id="3694" w:name="section_c35e498b1fca43f89b79e7646cb54ddf"/>
      <w:bookmarkStart w:id="3695" w:name="_Toc69879620"/>
      <w:r>
        <w:t>Part 4 Section 19.2.2.31, skew (Skew Transform)</w:t>
      </w:r>
      <w:bookmarkEnd w:id="3694"/>
      <w:bookmarkEnd w:id="3695"/>
      <w:r>
        <w:fldChar w:fldCharType="begin"/>
      </w:r>
      <w:r>
        <w:instrText xml:space="preserve"> XE "skew (Skew Transform)" </w:instrText>
      </w:r>
      <w:r>
        <w:fldChar w:fldCharType="end"/>
      </w:r>
    </w:p>
    <w:p w:rsidR="005F78FC" w:rsidRDefault="00B42EF3">
      <w:pPr>
        <w:pStyle w:val="Definition-Field2"/>
      </w:pPr>
      <w:r>
        <w:rPr>
          <w:i/>
        </w:rPr>
        <w:t>For addi</w:t>
      </w:r>
      <w:r>
        <w:rPr>
          <w:i/>
        </w:rPr>
        <w:t xml:space="preserve">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 xml:space="preserve">background, </w:t>
        </w:r>
        <w:r>
          <w:rPr>
            <w:rStyle w:val="Hyperlink"/>
          </w:rPr>
          <w:t>§17.2.1(a)</w:t>
        </w:r>
      </w:hyperlink>
      <w:r>
        <w:rPr>
          <w:i/>
        </w:rPr>
        <w:t xml:space="preserve">; </w:t>
      </w:r>
      <w:hyperlink w:anchor="Section_5dab8b917bfb495a9ed59068ef74998d">
        <w:r>
          <w:rPr>
            <w:rStyle w:val="Hyperlink"/>
          </w:rPr>
          <w:t>group, §19.1.2.7(a)</w:t>
        </w:r>
      </w:hyperlink>
      <w:r>
        <w:rPr>
          <w:i/>
        </w:rPr>
        <w:t>.</w:t>
      </w:r>
    </w:p>
    <w:p w:rsidR="005F78FC" w:rsidRDefault="00B42EF3">
      <w:pPr>
        <w:pStyle w:val="Definition-Field"/>
      </w:pPr>
      <w:r>
        <w:t xml:space="preserve">a.   </w:t>
      </w:r>
      <w:r>
        <w:rPr>
          <w:i/>
        </w:rPr>
        <w:t>The standard does not specify bounds for the matrix attribute.</w:t>
      </w:r>
    </w:p>
    <w:p w:rsidR="005F78FC" w:rsidRDefault="00B42EF3">
      <w:pPr>
        <w:pStyle w:val="Definition-Field2"/>
      </w:pPr>
      <w:r>
        <w:t>Office uses bounds of -2147483644f and 2147483647f  for the matrix attribute.</w:t>
      </w:r>
    </w:p>
    <w:p w:rsidR="005F78FC" w:rsidRDefault="00B42EF3">
      <w:pPr>
        <w:pStyle w:val="Definition-Field"/>
      </w:pPr>
      <w:r>
        <w:t xml:space="preserve">b.   </w:t>
      </w:r>
      <w:r>
        <w:rPr>
          <w:i/>
        </w:rPr>
        <w:t>The stand</w:t>
      </w:r>
      <w:r>
        <w:rPr>
          <w:i/>
        </w:rPr>
        <w:t>ard does not indicate how the matrix attribute is applied to the shape.</w:t>
      </w:r>
    </w:p>
    <w:p w:rsidR="005F78FC" w:rsidRDefault="00B42EF3">
      <w:r>
        <w:t>Office applies this matrix to a point in the following way.</w:t>
      </w:r>
    </w:p>
    <w:p w:rsidR="005F78FC" w:rsidRDefault="00B42EF3">
      <w:r>
        <w:t xml:space="preserve">Let </w:t>
      </w:r>
      <w:r>
        <w:rPr>
          <w:noProof/>
        </w:rPr>
        <w:drawing>
          <wp:inline distT="0" distB="0" distL="0" distR="0">
            <wp:extent cx="85725" cy="171450"/>
            <wp:effectExtent l="0" t="0" r="0" b="0"/>
            <wp:docPr id="17" name="Picture 1" descr=" Variable Q" title=" Variable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f-0000-0000-0000-000000000000" descr=" Variable Q" title=" Variable Q"/>
                    <pic:cNvPicPr>
                      <a:picLocks noChangeAspect="1" noChangeArrowheads="1"/>
                    </pic:cNvPicPr>
                  </pic:nvPicPr>
                  <pic:blipFill>
                    <a:blip r:embed="rId246" cstate="print"/>
                    <a:srcRect/>
                    <a:stretch>
                      <a:fillRect/>
                    </a:stretch>
                  </pic:blipFill>
                  <pic:spPr bwMode="auto">
                    <a:xfrm>
                      <a:off x="0" y="0"/>
                      <a:ext cx="85725" cy="171450"/>
                    </a:xfrm>
                    <a:prstGeom prst="rect">
                      <a:avLst/>
                    </a:prstGeom>
                    <a:noFill/>
                    <a:ln w="9525">
                      <a:noFill/>
                      <a:miter lim="800000"/>
                      <a:headEnd/>
                      <a:tailEnd/>
                    </a:ln>
                  </pic:spPr>
                </pic:pic>
              </a:graphicData>
            </a:graphic>
          </wp:inline>
        </w:drawing>
      </w:r>
      <w:r>
        <w:t xml:space="preserve"> be a point in the object (after rotation, if the shape is rotated) described by </w:t>
      </w:r>
      <w:r>
        <w:rPr>
          <w:noProof/>
        </w:rPr>
        <w:drawing>
          <wp:inline distT="0" distB="0" distL="0" distR="0">
            <wp:extent cx="809625" cy="171450"/>
            <wp:effectExtent l="0" t="0" r="0" b="0"/>
            <wp:docPr id="19" name="Picture 1" descr="Equation: Q = a vector consisting of 3 elements. Column 1 contains x, column 2 contains  y, column 3 contains 1" title="Equ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40-0000-0000-0000-000000000000" descr="Equation: Q = a vector consisting of 3 elements. Column 1 contains x, column 2 contains  y, column 3 contains 1" title="Equation "/>
                    <pic:cNvPicPr>
                      <a:picLocks noChangeAspect="1" noChangeArrowheads="1"/>
                    </pic:cNvPicPr>
                  </pic:nvPicPr>
                  <pic:blipFill>
                    <a:blip r:embed="rId247" cstate="print"/>
                    <a:srcRect/>
                    <a:stretch>
                      <a:fillRect/>
                    </a:stretch>
                  </pic:blipFill>
                  <pic:spPr bwMode="auto">
                    <a:xfrm>
                      <a:off x="0" y="0"/>
                      <a:ext cx="809625" cy="171450"/>
                    </a:xfrm>
                    <a:prstGeom prst="rect">
                      <a:avLst/>
                    </a:prstGeom>
                    <a:noFill/>
                    <a:ln w="9525">
                      <a:noFill/>
                      <a:miter lim="800000"/>
                      <a:headEnd/>
                      <a:tailEnd/>
                    </a:ln>
                  </pic:spPr>
                </pic:pic>
              </a:graphicData>
            </a:graphic>
          </wp:inline>
        </w:drawing>
      </w:r>
      <w:r>
        <w:t>.</w:t>
      </w:r>
    </w:p>
    <w:p w:rsidR="005F78FC" w:rsidRDefault="00B42EF3">
      <w:r>
        <w:t xml:space="preserve">Let </w:t>
      </w:r>
      <w:r>
        <w:rPr>
          <w:noProof/>
        </w:rPr>
        <w:drawing>
          <wp:inline distT="0" distB="0" distL="0" distR="0">
            <wp:extent cx="790575" cy="466724"/>
            <wp:effectExtent l="0" t="0" r="0" b="0"/>
            <wp:docPr id="20" name="Picture 1" descr=" Equation: F = Q times a vector consisting of 3 elements. 1 over P sub x 1 over P sub y,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41-0000-0000-0000-000000000000" descr=" Equation: F = Q times a vector consisting of 3 elements. 1 over P sub x 1 over P sub y, and 1" title="Equation"/>
                    <pic:cNvPicPr>
                      <a:picLocks noChangeAspect="1" noChangeArrowheads="1"/>
                    </pic:cNvPicPr>
                  </pic:nvPicPr>
                  <pic:blipFill>
                    <a:blip r:embed="rId248" cstate="print"/>
                    <a:srcRect/>
                    <a:stretch>
                      <a:fillRect/>
                    </a:stretch>
                  </pic:blipFill>
                  <pic:spPr bwMode="auto">
                    <a:xfrm>
                      <a:off x="0" y="0"/>
                      <a:ext cx="790575" cy="466724"/>
                    </a:xfrm>
                    <a:prstGeom prst="rect">
                      <a:avLst/>
                    </a:prstGeom>
                    <a:noFill/>
                    <a:ln w="9525">
                      <a:noFill/>
                      <a:miter lim="800000"/>
                      <a:headEnd/>
                      <a:tailEnd/>
                    </a:ln>
                  </pic:spPr>
                </pic:pic>
              </a:graphicData>
            </a:graphic>
          </wp:inline>
        </w:drawing>
      </w:r>
      <w:r>
        <w:t xml:space="preserve"> and </w:t>
      </w:r>
      <w:r>
        <w:rPr>
          <w:noProof/>
        </w:rPr>
        <w:drawing>
          <wp:inline distT="0" distB="0" distL="0" distR="0">
            <wp:extent cx="1609725" cy="504825"/>
            <wp:effectExtent l="0" t="0" r="0" b="0"/>
            <wp:docPr id="342015716" name="Picture 1" descr="Equation: M is matrix consisting of e elements. Column one is S sub xx, and S sub xy, and x offset. Column 2 is S sub yx, and S sub yy, and y offset. Column 3 is 0,and 0,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a-0000-0000-0000-000000000000" descr="Equation: M is matrix consisting of e elements. Column one is S sub xx, and S sub xy, and x offset. Column 2 is S sub yx, and S sub yy, and y offset. Column 3 is 0,and 0, and 1" title="Equation"/>
                    <pic:cNvPicPr>
                      <a:picLocks noChangeAspect="1" noChangeArrowheads="1"/>
                    </pic:cNvPicPr>
                  </pic:nvPicPr>
                  <pic:blipFill>
                    <a:blip r:embed="rId249" cstate="print"/>
                    <a:srcRect/>
                    <a:stretch>
                      <a:fillRect/>
                    </a:stretch>
                  </pic:blipFill>
                  <pic:spPr bwMode="auto">
                    <a:xfrm>
                      <a:off x="0" y="0"/>
                      <a:ext cx="1609725" cy="504825"/>
                    </a:xfrm>
                    <a:prstGeom prst="rect">
                      <a:avLst/>
                    </a:prstGeom>
                    <a:noFill/>
                    <a:ln w="9525">
                      <a:noFill/>
                      <a:miter lim="800000"/>
                      <a:headEnd/>
                      <a:tailEnd/>
                    </a:ln>
                  </pic:spPr>
                </pic:pic>
              </a:graphicData>
            </a:graphic>
          </wp:inline>
        </w:drawing>
      </w:r>
      <w:r>
        <w:t>.</w:t>
      </w:r>
    </w:p>
    <w:p w:rsidR="005F78FC" w:rsidRDefault="00B42EF3">
      <w:r>
        <w:t xml:space="preserve">A new point </w:t>
      </w:r>
      <w:r>
        <w:rPr>
          <w:noProof/>
        </w:rPr>
        <w:drawing>
          <wp:inline distT="0" distB="0" distL="0" distR="0">
            <wp:extent cx="114300" cy="171450"/>
            <wp:effectExtent l="0" t="0" r="0" b="0"/>
            <wp:docPr id="342015717" name="Picture 1" descr="Q prime" title="Q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b-0000-0000-0000-000000000000" descr="Q prime" title="Q prime"/>
                    <pic:cNvPicPr>
                      <a:picLocks noChangeAspect="1" noChangeArrowheads="1"/>
                    </pic:cNvPicPr>
                  </pic:nvPicPr>
                  <pic:blipFill>
                    <a:blip r:embed="rId250"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r>
        <w:t xml:space="preserve"> is calculated as </w:t>
      </w:r>
      <w:r>
        <w:rPr>
          <w:noProof/>
        </w:rPr>
        <w:drawing>
          <wp:inline distT="0" distB="0" distL="0" distR="0">
            <wp:extent cx="847725" cy="171450"/>
            <wp:effectExtent l="0" t="0" r="0" b="0"/>
            <wp:docPr id="342015718" name="Picture 1" descr="Equation for new point: Q prime = f times open parentheses Q times M closed parenthese" title="Equation for new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c-0000-0000-0000-000000000000" descr="Equation for new point: Q prime = f times open parentheses Q times M closed parenthese" title="Equation for new point"/>
                    <pic:cNvPicPr>
                      <a:picLocks noChangeAspect="1" noChangeArrowheads="1"/>
                    </pic:cNvPicPr>
                  </pic:nvPicPr>
                  <pic:blipFill>
                    <a:blip r:embed="rId271" cstate="print"/>
                    <a:srcRect/>
                    <a:stretch>
                      <a:fillRect/>
                    </a:stretch>
                  </pic:blipFill>
                  <pic:spPr bwMode="auto">
                    <a:xfrm>
                      <a:off x="0" y="0"/>
                      <a:ext cx="847725" cy="171450"/>
                    </a:xfrm>
                    <a:prstGeom prst="rect">
                      <a:avLst/>
                    </a:prstGeom>
                    <a:noFill/>
                    <a:ln w="9525">
                      <a:noFill/>
                      <a:miter lim="800000"/>
                      <a:headEnd/>
                      <a:tailEnd/>
                    </a:ln>
                  </pic:spPr>
                </pic:pic>
              </a:graphicData>
            </a:graphic>
          </wp:inline>
        </w:drawing>
      </w:r>
      <w:r>
        <w:t>.</w:t>
      </w:r>
    </w:p>
    <w:p w:rsidR="005F78FC" w:rsidRDefault="00B42EF3">
      <w:r>
        <w:t xml:space="preserve">The origin for the coordinate system used here is defined by the </w:t>
      </w:r>
      <w:r>
        <w:rPr>
          <w:b/>
        </w:rPr>
        <w:t>origin</w:t>
      </w:r>
      <w:r>
        <w:t xml:space="preserve"> attribute, which is dependent on the height and width of the shape.</w:t>
      </w:r>
    </w:p>
    <w:p w:rsidR="005F78FC" w:rsidRDefault="00B42EF3">
      <w:pPr>
        <w:pStyle w:val="Definition-Field"/>
      </w:pPr>
      <w:r>
        <w:t xml:space="preserve">c.   </w:t>
      </w:r>
      <w:r>
        <w:rPr>
          <w:i/>
        </w:rPr>
        <w:t>The standard does not restrict the number of instances of this element.</w:t>
      </w:r>
    </w:p>
    <w:p w:rsidR="005F78FC" w:rsidRDefault="00B42EF3">
      <w:pPr>
        <w:pStyle w:val="Definition-Field2"/>
      </w:pPr>
      <w:r>
        <w:t>Office allows at m</w:t>
      </w:r>
      <w:r>
        <w:t>ost only one instance of the skew element in each place where it can be used.</w:t>
      </w:r>
    </w:p>
    <w:p w:rsidR="005F78FC" w:rsidRDefault="00B42EF3">
      <w:pPr>
        <w:pStyle w:val="Definition-Field"/>
      </w:pPr>
      <w:r>
        <w:t xml:space="preserve">d.   </w:t>
      </w:r>
      <w:r>
        <w:rPr>
          <w:i/>
        </w:rPr>
        <w:t>The standard does not state how to handle the case where p_x and p_y are both 0.</w:t>
      </w:r>
    </w:p>
    <w:p w:rsidR="005F78FC" w:rsidRDefault="00B42EF3">
      <w:r>
        <w:t xml:space="preserve">Office sets </w:t>
      </w:r>
      <w:r>
        <w:rPr>
          <w:noProof/>
        </w:rPr>
        <w:drawing>
          <wp:inline distT="0" distB="0" distL="0" distR="0">
            <wp:extent cx="304800" cy="171450"/>
            <wp:effectExtent l="0" t="0" r="0" b="0"/>
            <wp:docPr id="342015719" name="Picture 1" descr="Equation: f = 1" title="Equation: f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458fed2-0000-0000-0000-000000000000" descr="Equation: f = 1" title="Equation: f = 1"/>
                    <pic:cNvPicPr>
                      <a:picLocks noChangeAspect="1" noChangeArrowheads="1"/>
                    </pic:cNvPicPr>
                  </pic:nvPicPr>
                  <pic:blipFill>
                    <a:blip r:embed="rId254" cstate="print"/>
                    <a:srcRect/>
                    <a:stretch>
                      <a:fillRect/>
                    </a:stretch>
                  </pic:blipFill>
                  <pic:spPr bwMode="auto">
                    <a:xfrm>
                      <a:off x="0" y="0"/>
                      <a:ext cx="304800" cy="171450"/>
                    </a:xfrm>
                    <a:prstGeom prst="rect">
                      <a:avLst/>
                    </a:prstGeom>
                    <a:noFill/>
                    <a:ln w="9525">
                      <a:noFill/>
                      <a:miter lim="800000"/>
                      <a:headEnd/>
                      <a:tailEnd/>
                    </a:ln>
                  </pic:spPr>
                </pic:pic>
              </a:graphicData>
            </a:graphic>
          </wp:inline>
        </w:drawing>
      </w:r>
      <w:r>
        <w:t xml:space="preserve"> when if </w:t>
      </w:r>
      <w:r>
        <w:rPr>
          <w:noProof/>
        </w:rPr>
        <w:drawing>
          <wp:inline distT="0" distB="0" distL="0" distR="0">
            <wp:extent cx="123824" cy="171450"/>
            <wp:effectExtent l="0" t="0" r="0" b="0"/>
            <wp:docPr id="342015720" name="Picture 1" descr="P sub X" title="P sub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458fed3-0000-0000-0000-000000000000" descr="P sub X" title="P sub X"/>
                    <pic:cNvPicPr>
                      <a:picLocks noChangeAspect="1" noChangeArrowheads="1"/>
                    </pic:cNvPicPr>
                  </pic:nvPicPr>
                  <pic:blipFill>
                    <a:blip r:embed="rId272" cstate="print"/>
                    <a:srcRect/>
                    <a:stretch>
                      <a:fillRect/>
                    </a:stretch>
                  </pic:blipFill>
                  <pic:spPr bwMode="auto">
                    <a:xfrm>
                      <a:off x="0" y="0"/>
                      <a:ext cx="123824" cy="171450"/>
                    </a:xfrm>
                    <a:prstGeom prst="rect">
                      <a:avLst/>
                    </a:prstGeom>
                    <a:noFill/>
                    <a:ln w="9525">
                      <a:noFill/>
                      <a:miter lim="800000"/>
                      <a:headEnd/>
                      <a:tailEnd/>
                    </a:ln>
                  </pic:spPr>
                </pic:pic>
              </a:graphicData>
            </a:graphic>
          </wp:inline>
        </w:drawing>
      </w:r>
      <w:r>
        <w:t xml:space="preserve"> and </w:t>
      </w:r>
      <w:r>
        <w:rPr>
          <w:noProof/>
        </w:rPr>
        <w:drawing>
          <wp:inline distT="0" distB="0" distL="0" distR="0">
            <wp:extent cx="123824" cy="190500"/>
            <wp:effectExtent l="0" t="0" r="0" b="0"/>
            <wp:docPr id="342015721" name="Picture 1" descr="P sub Y" title="P sub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458fed4-0000-0000-0000-000000000000" descr="P sub Y" title="P sub Y"/>
                    <pic:cNvPicPr>
                      <a:picLocks noChangeAspect="1" noChangeArrowheads="1"/>
                    </pic:cNvPicPr>
                  </pic:nvPicPr>
                  <pic:blipFill>
                    <a:blip r:embed="rId273" cstate="print"/>
                    <a:srcRect/>
                    <a:stretch>
                      <a:fillRect/>
                    </a:stretch>
                  </pic:blipFill>
                  <pic:spPr bwMode="auto">
                    <a:xfrm>
                      <a:off x="0" y="0"/>
                      <a:ext cx="123824" cy="190500"/>
                    </a:xfrm>
                    <a:prstGeom prst="rect">
                      <a:avLst/>
                    </a:prstGeom>
                    <a:noFill/>
                    <a:ln w="9525">
                      <a:noFill/>
                      <a:miter lim="800000"/>
                      <a:headEnd/>
                      <a:tailEnd/>
                    </a:ln>
                  </pic:spPr>
                </pic:pic>
              </a:graphicData>
            </a:graphic>
          </wp:inline>
        </w:drawing>
      </w:r>
      <w:r>
        <w:t>are 0.</w:t>
      </w:r>
    </w:p>
    <w:p w:rsidR="005F78FC" w:rsidRDefault="00B42EF3">
      <w:pPr>
        <w:pStyle w:val="Heading3"/>
      </w:pPr>
      <w:bookmarkStart w:id="3696" w:name="section_a252e0bc71cb40caaffba6f5e565083f"/>
      <w:bookmarkStart w:id="3697" w:name="_Toc69879621"/>
      <w:r>
        <w:t>Part 4 Section 19.2.2.32, top (Text Box Top Stroke)</w:t>
      </w:r>
      <w:bookmarkEnd w:id="3696"/>
      <w:bookmarkEnd w:id="3697"/>
      <w:r>
        <w:fldChar w:fldCharType="begin"/>
      </w:r>
      <w:r>
        <w:instrText xml:space="preserve"> XE "</w:instrText>
      </w:r>
      <w:r>
        <w:instrText xml:space="preserve">top (Text Box Top Stroke)"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§19.2.2.1(b,d-k)</w:t>
        </w:r>
      </w:hyperlink>
      <w:r>
        <w:rPr>
          <w:i/>
        </w:rPr>
        <w:t xml:space="preserve">; </w:t>
      </w:r>
      <w:hyperlink w:anchor="Section_7c2c12cffc6b476ca8bc3206fdc1ea78">
        <w:r>
          <w:rPr>
            <w:rStyle w:val="Hyperlink"/>
          </w:rPr>
          <w:t>column, §19.2.2.6(a</w:t>
        </w:r>
        <w:r>
          <w:rPr>
            <w:rStyle w:val="Hyperlink"/>
          </w:rPr>
          <w:t>)</w:t>
        </w:r>
      </w:hyperlink>
      <w:r>
        <w:rPr>
          <w:i/>
        </w:rPr>
        <w:t>.</w:t>
      </w:r>
    </w:p>
    <w:p w:rsidR="005F78FC" w:rsidRDefault="00B42EF3">
      <w:pPr>
        <w:pStyle w:val="Definition-Field"/>
      </w:pPr>
      <w:r>
        <w:t xml:space="preserve">a.   </w:t>
      </w:r>
      <w:r>
        <w:rPr>
          <w:i/>
        </w:rPr>
        <w:t>The standard indicates the conditions under which the top element is displayed.</w:t>
      </w:r>
    </w:p>
    <w:p w:rsidR="005F78FC" w:rsidRDefault="00B42EF3">
      <w:r>
        <w:t>In Office, this element is only displayed if all of the following conditions are met:</w:t>
      </w:r>
    </w:p>
    <w:p w:rsidR="005F78FC" w:rsidRDefault="00B42EF3">
      <w:pPr>
        <w:pStyle w:val="ListParagraph"/>
        <w:numPr>
          <w:ilvl w:val="0"/>
          <w:numId w:val="190"/>
        </w:numPr>
        <w:contextualSpacing/>
      </w:pPr>
      <w:r>
        <w:t xml:space="preserve">The </w:t>
      </w:r>
      <w:r>
        <w:rPr>
          <w:b/>
        </w:rPr>
        <w:t>on</w:t>
      </w:r>
      <w:r>
        <w:t xml:space="preserve"> attribute is </w:t>
      </w:r>
      <w:r>
        <w:rPr>
          <w:i/>
        </w:rPr>
        <w:t>true</w:t>
      </w:r>
      <w:r>
        <w:t>.</w:t>
      </w:r>
    </w:p>
    <w:p w:rsidR="005F78FC" w:rsidRDefault="00B42EF3">
      <w:pPr>
        <w:pStyle w:val="ListParagraph"/>
        <w:numPr>
          <w:ilvl w:val="0"/>
          <w:numId w:val="190"/>
        </w:numPr>
        <w:contextualSpacing/>
      </w:pPr>
      <w:r>
        <w:t xml:space="preserve">The shape’s path is closed with the </w:t>
      </w:r>
      <w:r>
        <w:rPr>
          <w:i/>
        </w:rPr>
        <w:t>x</w:t>
      </w:r>
      <w:r>
        <w:t xml:space="preserve"> command.  [Note: T</w:t>
      </w:r>
      <w:r>
        <w:t>his implies that arrow heads should be defined on the stroke attribute. end note]</w:t>
      </w:r>
    </w:p>
    <w:p w:rsidR="005F78FC" w:rsidRDefault="00B42EF3">
      <w:pPr>
        <w:pStyle w:val="ListParagraph"/>
        <w:numPr>
          <w:ilvl w:val="0"/>
          <w:numId w:val="190"/>
        </w:numPr>
        <w:contextualSpacing/>
      </w:pPr>
      <w:r>
        <w:t xml:space="preserve">The shape’s path defines a rectangle with corner coordinates exactly equal to 0,0; 21600,0; 21600,21600; 0,21600.  [Example: For example, the following value on the </w:t>
      </w:r>
      <w:r>
        <w:rPr>
          <w:b/>
        </w:rPr>
        <w:t>path</w:t>
      </w:r>
      <w:r>
        <w:t xml:space="preserve"> attr</w:t>
      </w:r>
      <w:r>
        <w:t xml:space="preserve">ibute of the </w:t>
      </w:r>
      <w:r>
        <w:rPr>
          <w:b/>
        </w:rPr>
        <w:t>shape</w:t>
      </w:r>
      <w:r>
        <w:t xml:space="preserve"> element ("</w:t>
      </w:r>
      <w:hyperlink r:id="rId274">
        <w:r>
          <w:rPr>
            <w:rStyle w:val="Hyperlink"/>
          </w:rPr>
          <w:t>[ISO/IEC-29500-4]</w:t>
        </w:r>
      </w:hyperlink>
      <w:r>
        <w:t xml:space="preserve"> §19.1.2.19; shape (Shape Definition)") satisfies this condition: </w:t>
      </w:r>
      <w:r>
        <w:rPr>
          <w:rStyle w:val="InlineCode"/>
        </w:rPr>
        <w:t>path="m,l,21600r21600,l21600,xe"</w:t>
      </w:r>
      <w:r>
        <w:t xml:space="preserve"> end example]</w:t>
      </w:r>
    </w:p>
    <w:p w:rsidR="005F78FC" w:rsidRDefault="00B42EF3">
      <w:pPr>
        <w:pStyle w:val="ListParagraph"/>
        <w:numPr>
          <w:ilvl w:val="0"/>
          <w:numId w:val="190"/>
        </w:numPr>
        <w:contextualSpacing/>
      </w:pPr>
      <w:r>
        <w:t xml:space="preserve">The value of the shape’s </w:t>
      </w:r>
      <w:r>
        <w:rPr>
          <w:b/>
        </w:rPr>
        <w:t>spt</w:t>
      </w:r>
      <w:r>
        <w:t xml:space="preserve"> att</w:t>
      </w:r>
      <w:r>
        <w:t xml:space="preserve">ribute is </w:t>
      </w:r>
      <w:r>
        <w:rPr>
          <w:i/>
        </w:rPr>
        <w:t>202</w:t>
      </w:r>
      <w:r>
        <w:t>.</w:t>
      </w:r>
    </w:p>
    <w:p w:rsidR="005F78FC" w:rsidRDefault="00B42EF3">
      <w:pPr>
        <w:pStyle w:val="ListParagraph"/>
        <w:numPr>
          <w:ilvl w:val="0"/>
          <w:numId w:val="190"/>
        </w:numPr>
      </w:pPr>
      <w:r>
        <w:t>The shape is not stroked.</w:t>
      </w:r>
    </w:p>
    <w:p w:rsidR="005F78FC" w:rsidRDefault="00B42EF3">
      <w:r>
        <w:t xml:space="preserve">If the </w:t>
      </w:r>
      <w:r>
        <w:rPr>
          <w:b/>
        </w:rPr>
        <w:t>on</w:t>
      </w:r>
      <w:r>
        <w:t xml:space="preserve"> attribute is </w:t>
      </w:r>
      <w:r>
        <w:rPr>
          <w:i/>
        </w:rPr>
        <w:t>false</w:t>
      </w:r>
      <w:r>
        <w:t xml:space="preserve"> or not specified, the border is not shown.</w:t>
      </w:r>
    </w:p>
    <w:p w:rsidR="005F78FC" w:rsidRDefault="00B42EF3">
      <w:r>
        <w:lastRenderedPageBreak/>
        <w:t>[Note: The shape is not stroked if one of the following conditions is true:</w:t>
      </w:r>
    </w:p>
    <w:p w:rsidR="005F78FC" w:rsidRDefault="00B42EF3">
      <w:pPr>
        <w:pStyle w:val="ListParagraph"/>
        <w:numPr>
          <w:ilvl w:val="0"/>
          <w:numId w:val="191"/>
        </w:numPr>
        <w:contextualSpacing/>
      </w:pPr>
      <w:r>
        <w:t xml:space="preserve">The value of the </w:t>
      </w:r>
      <w:r>
        <w:rPr>
          <w:b/>
        </w:rPr>
        <w:t>on</w:t>
      </w:r>
      <w:r>
        <w:t xml:space="preserve"> attribute of the </w:t>
      </w:r>
      <w:r>
        <w:rPr>
          <w:b/>
        </w:rPr>
        <w:t>stroke</w:t>
      </w:r>
      <w:r>
        <w:t xml:space="preserve"> element ("[ISO/IEC-2950</w:t>
      </w:r>
      <w:r>
        <w:t xml:space="preserve">0-4] §19.1.2.21; stroke (Line Stroke Settings)") is </w:t>
      </w:r>
      <w:r>
        <w:rPr>
          <w:i/>
        </w:rPr>
        <w:t>false</w:t>
      </w:r>
      <w:r>
        <w:t>.</w:t>
      </w:r>
    </w:p>
    <w:p w:rsidR="005F78FC" w:rsidRDefault="00B42EF3">
      <w:pPr>
        <w:pStyle w:val="ListParagraph"/>
        <w:numPr>
          <w:ilvl w:val="0"/>
          <w:numId w:val="191"/>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5F78FC" w:rsidRDefault="00B42EF3">
      <w:pPr>
        <w:pStyle w:val="ListParagraph"/>
        <w:numPr>
          <w:ilvl w:val="0"/>
          <w:numId w:val="191"/>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w:t>
      </w:r>
      <w:r>
        <w:t xml:space="preserve">nd the value of the </w:t>
      </w:r>
      <w:r>
        <w:rPr>
          <w:b/>
        </w:rPr>
        <w:t>stroked</w:t>
      </w:r>
      <w:r>
        <w:t xml:space="preserve"> attribute of the </w:t>
      </w:r>
      <w:r>
        <w:rPr>
          <w:b/>
        </w:rPr>
        <w:t>shapetype</w:t>
      </w:r>
      <w:r>
        <w:t xml:space="preserve"> element ("[ISO/IEC-29500-4] §19.1.2.20; shapetype (Shape Template)") is </w:t>
      </w:r>
      <w:r>
        <w:rPr>
          <w:i/>
        </w:rPr>
        <w:t>false</w:t>
      </w:r>
      <w:r>
        <w:t>.</w:t>
      </w:r>
    </w:p>
    <w:p w:rsidR="005F78FC" w:rsidRDefault="00B42EF3">
      <w:r>
        <w:t>end note]</w:t>
      </w:r>
    </w:p>
    <w:p w:rsidR="005F78FC" w:rsidRDefault="00B42EF3">
      <w:pPr>
        <w:pStyle w:val="Heading3"/>
      </w:pPr>
      <w:bookmarkStart w:id="3698" w:name="section_8c617ecf08e444be9651baeb502cdb90"/>
      <w:bookmarkStart w:id="3699" w:name="_Toc69879622"/>
      <w:r>
        <w:t>Part 4 Section 19.2.3.3, ST_BWMode (Black And White Modes)</w:t>
      </w:r>
      <w:bookmarkEnd w:id="3698"/>
      <w:bookmarkEnd w:id="3699"/>
      <w:r>
        <w:fldChar w:fldCharType="begin"/>
      </w:r>
      <w:r>
        <w:instrText xml:space="preserve"> XE "ST_BWMode (Black And White Modes)" </w:instrText>
      </w:r>
      <w:r>
        <w:fldChar w:fldCharType="end"/>
      </w:r>
    </w:p>
    <w:p w:rsidR="005F78FC" w:rsidRDefault="00B42EF3">
      <w:pPr>
        <w:pStyle w:val="Definition-Field"/>
      </w:pPr>
      <w:r>
        <w:t xml:space="preserve">a.   </w:t>
      </w:r>
      <w:r>
        <w:rPr>
          <w:i/>
        </w:rPr>
        <w:t xml:space="preserve">The </w:t>
      </w:r>
      <w:r>
        <w:rPr>
          <w:i/>
        </w:rPr>
        <w:t>standard lists hide as a valid value.</w:t>
      </w:r>
    </w:p>
    <w:p w:rsidR="005F78FC" w:rsidRDefault="00B42EF3">
      <w:pPr>
        <w:pStyle w:val="Definition-Field2"/>
      </w:pPr>
      <w:r>
        <w:t>Office does not support the hide enumeration value.</w:t>
      </w:r>
    </w:p>
    <w:p w:rsidR="005F78FC" w:rsidRDefault="00B42EF3">
      <w:pPr>
        <w:pStyle w:val="Definition-Field"/>
      </w:pPr>
      <w:r>
        <w:t xml:space="preserve">b.   </w:t>
      </w:r>
      <w:r>
        <w:rPr>
          <w:i/>
        </w:rPr>
        <w:t>The standard states the name of the value that specifies light shades of gray only is lightGrayscale.</w:t>
      </w:r>
    </w:p>
    <w:p w:rsidR="005F78FC" w:rsidRDefault="00B42EF3">
      <w:pPr>
        <w:pStyle w:val="Definition-Field2"/>
      </w:pPr>
      <w:r>
        <w:t>Office uses the name lightGrayScale for this value.</w:t>
      </w:r>
    </w:p>
    <w:p w:rsidR="005F78FC" w:rsidRDefault="00B42EF3">
      <w:pPr>
        <w:pStyle w:val="Heading3"/>
      </w:pPr>
      <w:bookmarkStart w:id="3700" w:name="section_da476231647b46419fb6be577549a762"/>
      <w:bookmarkStart w:id="3701" w:name="_Toc69879623"/>
      <w:r>
        <w:t>Part 4 Section 19.2.3.4, ST_CalloutDrop (Callout Drop Location)</w:t>
      </w:r>
      <w:bookmarkEnd w:id="3700"/>
      <w:bookmarkEnd w:id="3701"/>
      <w:r>
        <w:fldChar w:fldCharType="begin"/>
      </w:r>
      <w:r>
        <w:instrText xml:space="preserve"> XE "ST_CalloutDrop (Callout Drop Location)" </w:instrText>
      </w:r>
      <w:r>
        <w:fldChar w:fldCharType="end"/>
      </w:r>
    </w:p>
    <w:p w:rsidR="005F78FC" w:rsidRDefault="00B42EF3">
      <w:pPr>
        <w:pStyle w:val="Definition-Field"/>
      </w:pPr>
      <w:r>
        <w:t xml:space="preserve">a.   </w:t>
      </w:r>
      <w:r>
        <w:rPr>
          <w:i/>
        </w:rPr>
        <w:t>The standard does not specify enumeration values.</w:t>
      </w:r>
    </w:p>
    <w:p w:rsidR="005F78FC" w:rsidRDefault="00B42EF3">
      <w:r>
        <w:t>Office supports the following enumeration values:</w:t>
      </w:r>
    </w:p>
    <w:tbl>
      <w:tblPr>
        <w:tblStyle w:val="Table-ShadedHeader"/>
        <w:tblW w:w="0" w:type="auto"/>
        <w:tblLook w:val="04A0" w:firstRow="1" w:lastRow="0" w:firstColumn="1" w:lastColumn="0" w:noHBand="0" w:noVBand="1"/>
      </w:tblPr>
      <w:tblGrid>
        <w:gridCol w:w="2745"/>
        <w:gridCol w:w="5976"/>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Enumeration Value</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rPr>
                <w:b/>
              </w:rPr>
              <w:t>bottom</w:t>
            </w:r>
            <w:r>
              <w:t xml:space="preserve"> (B</w:t>
            </w:r>
            <w:r>
              <w:t>ottom placement)</w:t>
            </w:r>
          </w:p>
        </w:tc>
        <w:tc>
          <w:tcPr>
            <w:tcW w:w="0" w:type="auto"/>
            <w:vAlign w:val="center"/>
          </w:tcPr>
          <w:p w:rsidR="005F78FC" w:rsidRDefault="00B42EF3">
            <w:pPr>
              <w:pStyle w:val="TableBodyText"/>
            </w:pPr>
            <w:r>
              <w:t>Specifies that the drop is positioned at the bottom of the shape.</w:t>
            </w:r>
          </w:p>
        </w:tc>
      </w:tr>
      <w:tr w:rsidR="005F78FC" w:rsidTr="005F78FC">
        <w:tc>
          <w:tcPr>
            <w:tcW w:w="0" w:type="auto"/>
            <w:vAlign w:val="center"/>
          </w:tcPr>
          <w:p w:rsidR="005F78FC" w:rsidRDefault="00B42EF3">
            <w:pPr>
              <w:pStyle w:val="TableBodyText"/>
            </w:pPr>
            <w:r>
              <w:rPr>
                <w:b/>
              </w:rPr>
              <w:t>center</w:t>
            </w:r>
            <w:r>
              <w:t xml:space="preserve"> (Center placement)</w:t>
            </w:r>
          </w:p>
        </w:tc>
        <w:tc>
          <w:tcPr>
            <w:tcW w:w="0" w:type="auto"/>
            <w:vAlign w:val="center"/>
          </w:tcPr>
          <w:p w:rsidR="005F78FC" w:rsidRDefault="00B42EF3">
            <w:pPr>
              <w:pStyle w:val="TableBodyText"/>
            </w:pPr>
            <w:r>
              <w:t>Specifies that the drop is positioned at the vertical center of the shape.</w:t>
            </w:r>
          </w:p>
        </w:tc>
      </w:tr>
      <w:tr w:rsidR="005F78FC" w:rsidTr="005F78FC">
        <w:tc>
          <w:tcPr>
            <w:tcW w:w="0" w:type="auto"/>
            <w:vAlign w:val="center"/>
          </w:tcPr>
          <w:p w:rsidR="005F78FC" w:rsidRDefault="00B42EF3">
            <w:pPr>
              <w:pStyle w:val="TableBodyText"/>
            </w:pPr>
            <w:r>
              <w:rPr>
                <w:b/>
              </w:rPr>
              <w:t>top</w:t>
            </w:r>
            <w:r>
              <w:t xml:space="preserve"> (Top placement)</w:t>
            </w:r>
          </w:p>
        </w:tc>
        <w:tc>
          <w:tcPr>
            <w:tcW w:w="0" w:type="auto"/>
            <w:vAlign w:val="center"/>
          </w:tcPr>
          <w:p w:rsidR="005F78FC" w:rsidRDefault="00B42EF3">
            <w:pPr>
              <w:pStyle w:val="TableBodyText"/>
            </w:pPr>
            <w:r>
              <w:t>Specifies that the drop is positioned at the top o</w:t>
            </w:r>
            <w:r>
              <w:t>f the shape.</w:t>
            </w:r>
          </w:p>
        </w:tc>
      </w:tr>
      <w:tr w:rsidR="005F78FC" w:rsidTr="005F78FC">
        <w:tc>
          <w:tcPr>
            <w:tcW w:w="0" w:type="auto"/>
            <w:vAlign w:val="center"/>
          </w:tcPr>
          <w:p w:rsidR="005F78FC" w:rsidRDefault="00B42EF3">
            <w:pPr>
              <w:pStyle w:val="TableBodyText"/>
            </w:pPr>
            <w:r>
              <w:rPr>
                <w:b/>
              </w:rPr>
              <w:t>user</w:t>
            </w:r>
            <w:r>
              <w:t xml:space="preserve"> (User-defined placement)</w:t>
            </w:r>
          </w:p>
        </w:tc>
        <w:tc>
          <w:tcPr>
            <w:tcW w:w="0" w:type="auto"/>
            <w:vAlign w:val="center"/>
          </w:tcPr>
          <w:p w:rsidR="005F78FC" w:rsidRDefault="00B42EF3">
            <w:pPr>
              <w:pStyle w:val="TableBodyText"/>
            </w:pPr>
            <w:r>
              <w:t>Specifies that the drop position is determined by the user.</w:t>
            </w:r>
          </w:p>
        </w:tc>
      </w:tr>
    </w:tbl>
    <w:p w:rsidR="005F78FC" w:rsidRDefault="005F78FC"/>
    <w:p w:rsidR="005F78FC" w:rsidRDefault="00B42EF3">
      <w:pPr>
        <w:pStyle w:val="Heading3"/>
      </w:pPr>
      <w:bookmarkStart w:id="3702" w:name="section_1f135f48bcf84e1ea0c1b1c87f553189"/>
      <w:bookmarkStart w:id="3703" w:name="_Toc69879624"/>
      <w:r>
        <w:t>Part 4 Section 19.2.3.14, ST_FillType (Shape Fill Type)</w:t>
      </w:r>
      <w:bookmarkEnd w:id="3702"/>
      <w:bookmarkEnd w:id="3703"/>
      <w:r>
        <w:fldChar w:fldCharType="begin"/>
      </w:r>
      <w:r>
        <w:instrText xml:space="preserve"> XE "ST_FillType (Shape Fill Type)" </w:instrText>
      </w:r>
      <w:r>
        <w:fldChar w:fldCharType="end"/>
      </w:r>
    </w:p>
    <w:p w:rsidR="005F78FC" w:rsidRDefault="00B42EF3">
      <w:pPr>
        <w:pStyle w:val="Definition-Field"/>
      </w:pPr>
      <w:r>
        <w:t xml:space="preserve">a.   </w:t>
      </w:r>
      <w:r>
        <w:rPr>
          <w:i/>
        </w:rPr>
        <w:t xml:space="preserve">The standard indicates how the pattern enumeration </w:t>
      </w:r>
      <w:r>
        <w:rPr>
          <w:i/>
        </w:rPr>
        <w:t>value is used.</w:t>
      </w:r>
    </w:p>
    <w:p w:rsidR="005F78FC" w:rsidRDefault="00B42EF3">
      <w:pPr>
        <w:pStyle w:val="Definition-Field2"/>
      </w:pPr>
      <w:r>
        <w:t>Office uses the fill colors but also tiles the fill image.</w:t>
      </w:r>
    </w:p>
    <w:p w:rsidR="005F78FC" w:rsidRDefault="00B42EF3">
      <w:pPr>
        <w:pStyle w:val="Heading3"/>
      </w:pPr>
      <w:bookmarkStart w:id="3704" w:name="section_baf9ffb650d747c6944fdba3f307a332"/>
      <w:bookmarkStart w:id="3705" w:name="_Toc69879625"/>
      <w:r>
        <w:t>Part 4 Section 19.2.3.19, ST_OLELinkType (Embedded Object Alternate Image Request Types)</w:t>
      </w:r>
      <w:bookmarkEnd w:id="3704"/>
      <w:bookmarkEnd w:id="3705"/>
      <w:r>
        <w:fldChar w:fldCharType="begin"/>
      </w:r>
      <w:r>
        <w:instrText xml:space="preserve"> XE "ST_OLELinkType (Embedded Object Alternate Image Request Types)" </w:instrText>
      </w:r>
      <w:r>
        <w:fldChar w:fldCharType="end"/>
      </w:r>
    </w:p>
    <w:p w:rsidR="005F78FC" w:rsidRDefault="00B42EF3">
      <w:pPr>
        <w:pStyle w:val="Definition-Field"/>
      </w:pPr>
      <w:r>
        <w:t xml:space="preserve">a.   </w:t>
      </w:r>
      <w:r>
        <w:rPr>
          <w:i/>
        </w:rPr>
        <w:t>The standard spec</w:t>
      </w:r>
      <w:r>
        <w:rPr>
          <w:i/>
        </w:rPr>
        <w:t>ifies these supported enumeration values: Bitmap, EnhancedMetaFile, Picture,  Jpeg, Png</w:t>
      </w:r>
    </w:p>
    <w:p w:rsidR="005F78FC" w:rsidRDefault="00B42EF3">
      <w:pPr>
        <w:pStyle w:val="Definition-Field2"/>
      </w:pPr>
      <w:r>
        <w:t>Office supports only Bitmap, EnhancedMetaFile and Picture enumeration values, not Jpeg or Png.</w:t>
      </w:r>
    </w:p>
    <w:p w:rsidR="005F78FC" w:rsidRDefault="00B42EF3">
      <w:pPr>
        <w:pStyle w:val="Heading3"/>
      </w:pPr>
      <w:bookmarkStart w:id="3706" w:name="section_d0a2b96f99034c8289c27e34cc52d020"/>
      <w:bookmarkStart w:id="3707" w:name="_Toc69879626"/>
      <w:r>
        <w:lastRenderedPageBreak/>
        <w:t>Part 4 Section 19.3.2.2, borderbottom (Bottom Border)</w:t>
      </w:r>
      <w:bookmarkEnd w:id="3706"/>
      <w:bookmarkEnd w:id="3707"/>
      <w:r>
        <w:fldChar w:fldCharType="begin"/>
      </w:r>
      <w:r>
        <w:instrText xml:space="preserve"> XE "borderbottom (B</w:instrText>
      </w:r>
      <w:r>
        <w:instrText xml:space="preserve">ottom Border)"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5F78FC" w:rsidRDefault="00B42EF3">
      <w:pPr>
        <w:pStyle w:val="Heading3"/>
      </w:pPr>
      <w:bookmarkStart w:id="3708" w:name="section_50efd17939e4450bb66ae0dd74d98853"/>
      <w:bookmarkStart w:id="3709" w:name="_Toc69879627"/>
      <w:r>
        <w:t>Part 4 Section 19.3.2.3, borderleft (Left Border)</w:t>
      </w:r>
      <w:bookmarkEnd w:id="3708"/>
      <w:bookmarkEnd w:id="3709"/>
      <w:r>
        <w:fldChar w:fldCharType="begin"/>
      </w:r>
      <w:r>
        <w:instrText xml:space="preserve"> XE "borderleft</w:instrText>
      </w:r>
      <w:r>
        <w:instrText xml:space="preserve"> (Left Border)"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5F78FC" w:rsidRDefault="00B42EF3">
      <w:pPr>
        <w:pStyle w:val="Heading3"/>
      </w:pPr>
      <w:bookmarkStart w:id="3710" w:name="section_6e4d3dcfc0e3410a84fa7a1ea06c6256"/>
      <w:bookmarkStart w:id="3711" w:name="_Toc69879628"/>
      <w:r>
        <w:t>Part 4 Section 19.3.2.4, borderright (Right Border)</w:t>
      </w:r>
      <w:bookmarkEnd w:id="3710"/>
      <w:bookmarkEnd w:id="3711"/>
      <w:r>
        <w:fldChar w:fldCharType="begin"/>
      </w:r>
      <w:r>
        <w:instrText xml:space="preserve"> XE "borderr</w:instrText>
      </w:r>
      <w:r>
        <w:instrText xml:space="preserve">ight (Right Border)"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5F78FC" w:rsidRDefault="00B42EF3">
      <w:pPr>
        <w:pStyle w:val="Heading3"/>
      </w:pPr>
      <w:bookmarkStart w:id="3712" w:name="section_81843e90dc284502a2a4ec384c2f60b5"/>
      <w:bookmarkStart w:id="3713" w:name="_Toc69879629"/>
      <w:r>
        <w:t>Part 4 Section 19.3.2.5, bordertop (Top Border)</w:t>
      </w:r>
      <w:bookmarkEnd w:id="3712"/>
      <w:bookmarkEnd w:id="3713"/>
      <w:r>
        <w:fldChar w:fldCharType="begin"/>
      </w:r>
      <w:r>
        <w:instrText xml:space="preserve"> XE "border</w:instrText>
      </w:r>
      <w:r>
        <w:instrText xml:space="preserve">top (Top Border)"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5F78FC" w:rsidRDefault="00B42EF3">
      <w:pPr>
        <w:pStyle w:val="Heading3"/>
      </w:pPr>
      <w:bookmarkStart w:id="3714" w:name="section_8b6f1c0c02834e0abf36746e029bd1de"/>
      <w:bookmarkStart w:id="3715" w:name="_Toc69879630"/>
      <w:r>
        <w:t>Part 4 Section 19.3.2.6, wrap (Text Wrapping)</w:t>
      </w:r>
      <w:bookmarkEnd w:id="3714"/>
      <w:bookmarkEnd w:id="3715"/>
      <w:r>
        <w:fldChar w:fldCharType="begin"/>
      </w:r>
      <w:r>
        <w:instrText xml:space="preserve"> XE "wrap (Text Wrapping)" </w:instrText>
      </w:r>
      <w:r>
        <w:fldChar w:fldCharType="end"/>
      </w:r>
    </w:p>
    <w:p w:rsidR="005F78FC" w:rsidRDefault="00B42EF3">
      <w:pPr>
        <w:pStyle w:val="Definition-Field"/>
      </w:pPr>
      <w:r>
        <w:t xml:space="preserve">a.   </w:t>
      </w:r>
      <w:r>
        <w:rPr>
          <w:i/>
        </w:rPr>
        <w:t>The standard indicates that the default value for the anchorx and anchory attributes is page.</w:t>
      </w:r>
    </w:p>
    <w:p w:rsidR="005F78FC" w:rsidRDefault="00B42EF3">
      <w:pPr>
        <w:pStyle w:val="Definition-Field2"/>
      </w:pPr>
      <w:r>
        <w:t>Office uses text as the default value for the anchorx and anchory attributes.</w:t>
      </w:r>
    </w:p>
    <w:p w:rsidR="005F78FC" w:rsidRDefault="00B42EF3">
      <w:pPr>
        <w:pStyle w:val="Definition-Field"/>
      </w:pPr>
      <w:r>
        <w:t xml:space="preserve">b.   </w:t>
      </w:r>
      <w:r>
        <w:rPr>
          <w:i/>
        </w:rPr>
        <w:t>The standard does not specify a default valu</w:t>
      </w:r>
      <w:r>
        <w:rPr>
          <w:i/>
        </w:rPr>
        <w:t>e for the type attribute.</w:t>
      </w:r>
    </w:p>
    <w:p w:rsidR="005F78FC" w:rsidRDefault="00B42EF3">
      <w:pPr>
        <w:pStyle w:val="Definition-Field2"/>
      </w:pPr>
      <w:r>
        <w:t>Word will use a wrap type of none if one is not specified.</w:t>
      </w:r>
    </w:p>
    <w:p w:rsidR="005F78FC" w:rsidRDefault="00B42EF3">
      <w:pPr>
        <w:pStyle w:val="Heading3"/>
      </w:pPr>
      <w:bookmarkStart w:id="3716" w:name="section_2db502c99202424a89598502d8894678"/>
      <w:bookmarkStart w:id="3717" w:name="_Toc69879631"/>
      <w:r>
        <w:t>Part 4 Section 19.3.3.3, ST_HorizontalAnchor (Horizontal Anchor Type)</w:t>
      </w:r>
      <w:bookmarkEnd w:id="3716"/>
      <w:bookmarkEnd w:id="3717"/>
      <w:r>
        <w:fldChar w:fldCharType="begin"/>
      </w:r>
      <w:r>
        <w:instrText xml:space="preserve"> XE "ST_HorizontalAnchor (Horizontal Anchor Type)" </w:instrText>
      </w:r>
      <w:r>
        <w:fldChar w:fldCharType="end"/>
      </w:r>
    </w:p>
    <w:p w:rsidR="005F78FC" w:rsidRDefault="00B42EF3">
      <w:pPr>
        <w:pStyle w:val="Definition-Field"/>
      </w:pPr>
      <w:r>
        <w:t xml:space="preserve">a.   </w:t>
      </w:r>
      <w:r>
        <w:rPr>
          <w:i/>
        </w:rPr>
        <w:t>The standard states that char is a valid va</w:t>
      </w:r>
      <w:r>
        <w:rPr>
          <w:i/>
        </w:rPr>
        <w:t>lue for the ST_HorizontalAnchor simple type.</w:t>
      </w:r>
    </w:p>
    <w:p w:rsidR="005F78FC" w:rsidRDefault="00B42EF3">
      <w:pPr>
        <w:pStyle w:val="Definition-Field2"/>
      </w:pPr>
      <w:r>
        <w:t>Office does not support this value for this simple type.</w:t>
      </w:r>
    </w:p>
    <w:p w:rsidR="005F78FC" w:rsidRDefault="00B42EF3">
      <w:pPr>
        <w:pStyle w:val="Heading3"/>
      </w:pPr>
      <w:bookmarkStart w:id="3718" w:name="section_45d9c9bc082746b19de0553bf9a0fe56"/>
      <w:bookmarkStart w:id="3719" w:name="_Toc69879632"/>
      <w:r>
        <w:t>Part 4 Section 19.3.3.4, ST_VerticalAnchor (Vertical Anchor Type)</w:t>
      </w:r>
      <w:bookmarkEnd w:id="3718"/>
      <w:bookmarkEnd w:id="3719"/>
      <w:r>
        <w:fldChar w:fldCharType="begin"/>
      </w:r>
      <w:r>
        <w:instrText xml:space="preserve"> XE "ST_VerticalAnchor (Vertical Anchor Type)" </w:instrText>
      </w:r>
      <w:r>
        <w:fldChar w:fldCharType="end"/>
      </w:r>
    </w:p>
    <w:p w:rsidR="005F78FC" w:rsidRDefault="00B42EF3">
      <w:pPr>
        <w:pStyle w:val="Definition-Field"/>
      </w:pPr>
      <w:r>
        <w:t xml:space="preserve">a.   </w:t>
      </w:r>
      <w:r>
        <w:rPr>
          <w:i/>
        </w:rPr>
        <w:t>The standard states that line is a</w:t>
      </w:r>
      <w:r>
        <w:rPr>
          <w:i/>
        </w:rPr>
        <w:t xml:space="preserve"> valid value for the ST_VerticalAnchor simple type.</w:t>
      </w:r>
    </w:p>
    <w:p w:rsidR="005F78FC" w:rsidRDefault="00B42EF3">
      <w:pPr>
        <w:pStyle w:val="Definition-Field2"/>
      </w:pPr>
      <w:r>
        <w:t>Office does not support this value for this simple type.</w:t>
      </w:r>
    </w:p>
    <w:p w:rsidR="005F78FC" w:rsidRDefault="00B42EF3">
      <w:pPr>
        <w:pStyle w:val="Heading3"/>
      </w:pPr>
      <w:bookmarkStart w:id="3720" w:name="section_e5f8531be5344502a1ef1280e78edf19"/>
      <w:bookmarkStart w:id="3721" w:name="_Toc69879633"/>
      <w:r>
        <w:t>Part 4 Section 19.4.2.1, Accel (Primary Keyboard Accelerator)</w:t>
      </w:r>
      <w:bookmarkEnd w:id="3720"/>
      <w:bookmarkEnd w:id="3721"/>
      <w:r>
        <w:fldChar w:fldCharType="begin"/>
      </w:r>
      <w:r>
        <w:instrText xml:space="preserve"> XE "Accel (Primary Keyboard Accelerator)" </w:instrText>
      </w:r>
      <w:r>
        <w:fldChar w:fldCharType="end"/>
      </w:r>
    </w:p>
    <w:p w:rsidR="005F78FC" w:rsidRDefault="00B42EF3">
      <w:pPr>
        <w:pStyle w:val="Definition-Field"/>
      </w:pPr>
      <w:r>
        <w:t xml:space="preserve">a.   </w:t>
      </w:r>
      <w:r>
        <w:rPr>
          <w:i/>
        </w:rPr>
        <w:t>The standard states that the values</w:t>
      </w:r>
      <w:r>
        <w:rPr>
          <w:i/>
        </w:rPr>
        <w:t xml:space="preserve"> of this element are defined by the XML Schema integer datatype.</w:t>
      </w:r>
    </w:p>
    <w:p w:rsidR="005F78FC" w:rsidRDefault="00B42EF3">
      <w:pPr>
        <w:pStyle w:val="Definition-Field2"/>
      </w:pPr>
      <w:r>
        <w:t>Excel defines the values of this element with the XML Schema unsignedByte datatype.</w:t>
      </w:r>
    </w:p>
    <w:p w:rsidR="005F78FC" w:rsidRDefault="00B42EF3">
      <w:pPr>
        <w:pStyle w:val="Heading3"/>
      </w:pPr>
      <w:bookmarkStart w:id="3722" w:name="section_deb182c9a9c0495e80688c51887faf02"/>
      <w:bookmarkStart w:id="3723" w:name="_Toc69879634"/>
      <w:r>
        <w:t>Part 4 Section 19.4.2.2, Accel2 (Secondary Keyboard Accelerator)</w:t>
      </w:r>
      <w:bookmarkEnd w:id="3722"/>
      <w:bookmarkEnd w:id="3723"/>
      <w:r>
        <w:fldChar w:fldCharType="begin"/>
      </w:r>
      <w:r>
        <w:instrText xml:space="preserve"> XE "Accel2 (Secondary Keyboard Accelerator)" </w:instrText>
      </w:r>
      <w:r>
        <w:fldChar w:fldCharType="end"/>
      </w:r>
    </w:p>
    <w:p w:rsidR="005F78FC" w:rsidRDefault="00B42EF3">
      <w:pPr>
        <w:pStyle w:val="Definition-Field"/>
      </w:pPr>
      <w:r>
        <w:t xml:space="preserve">a.   </w:t>
      </w:r>
      <w:r>
        <w:rPr>
          <w:i/>
        </w:rPr>
        <w:t>The standard states that the values of this element are defined by the XML Schema integer datatype.</w:t>
      </w:r>
    </w:p>
    <w:p w:rsidR="005F78FC" w:rsidRDefault="00B42EF3">
      <w:pPr>
        <w:pStyle w:val="Definition-Field2"/>
      </w:pPr>
      <w:r>
        <w:t>Excel defines the values of this element with the XML Schema unsignedByte datatype.</w:t>
      </w:r>
    </w:p>
    <w:p w:rsidR="005F78FC" w:rsidRDefault="00B42EF3">
      <w:pPr>
        <w:pStyle w:val="Heading3"/>
      </w:pPr>
      <w:bookmarkStart w:id="3724" w:name="section_200aa15e618e45e491d6daba55597a7d"/>
      <w:bookmarkStart w:id="3725" w:name="_Toc69879635"/>
      <w:r>
        <w:lastRenderedPageBreak/>
        <w:t>Part 4 Section 19.</w:t>
      </w:r>
      <w:r>
        <w:t>4.2.3, Anchor (Anchor)</w:t>
      </w:r>
      <w:bookmarkEnd w:id="3724"/>
      <w:bookmarkEnd w:id="3725"/>
      <w:r>
        <w:fldChar w:fldCharType="begin"/>
      </w:r>
      <w:r>
        <w:instrText xml:space="preserve"> XE "Anchor (Anchor)" </w:instrText>
      </w:r>
      <w:r>
        <w:fldChar w:fldCharType="end"/>
      </w:r>
    </w:p>
    <w:p w:rsidR="005F78FC" w:rsidRDefault="00B42EF3">
      <w:pPr>
        <w:pStyle w:val="Definition-Field"/>
      </w:pPr>
      <w:r>
        <w:t xml:space="preserve">a.   </w:t>
      </w:r>
      <w:r>
        <w:rPr>
          <w:i/>
        </w:rPr>
        <w:t>The standard describes the TopRow and BottomRow values of the Anchor element in terms of a column.</w:t>
      </w:r>
    </w:p>
    <w:p w:rsidR="005F78FC" w:rsidRDefault="00B42EF3">
      <w:pPr>
        <w:pStyle w:val="Definition-Field2"/>
      </w:pPr>
      <w:r>
        <w:t>Office considers the TopRow and BottomRow values of the Anchor element in terms of the row, rather than c</w:t>
      </w:r>
      <w:r>
        <w:t>olumn, and considers the top-most row to be 0.</w:t>
      </w:r>
    </w:p>
    <w:p w:rsidR="005F78FC" w:rsidRDefault="00B42EF3">
      <w:pPr>
        <w:pStyle w:val="Definition-Field"/>
      </w:pPr>
      <w:r>
        <w:t xml:space="preserve">b.   </w:t>
      </w:r>
      <w:r>
        <w:rPr>
          <w:i/>
        </w:rPr>
        <w:t>The standard indicates that the BottomOffset value of the Anchor element is the offset of the object's bottom edge from the bottom edge of the bottom anchor row.</w:t>
      </w:r>
    </w:p>
    <w:p w:rsidR="005F78FC" w:rsidRDefault="00B42EF3">
      <w:pPr>
        <w:pStyle w:val="Definition-Field2"/>
      </w:pPr>
      <w:r>
        <w:t>Office considers that the BottomOffset val</w:t>
      </w:r>
      <w:r>
        <w:t>ue of the Anchor element is the offset of the object's bottom edge from the top edge of the bottom anchor row.</w:t>
      </w:r>
    </w:p>
    <w:p w:rsidR="005F78FC" w:rsidRDefault="00B42EF3">
      <w:pPr>
        <w:pStyle w:val="Definition-Field"/>
      </w:pPr>
      <w:r>
        <w:t xml:space="preserve">c.   </w:t>
      </w:r>
      <w:r>
        <w:rPr>
          <w:i/>
        </w:rPr>
        <w:t xml:space="preserve">The standard indicates that the Anchor element is specified using a comma-separated list of values, but does not require constraints on the </w:t>
      </w:r>
      <w:r>
        <w:rPr>
          <w:i/>
        </w:rPr>
        <w:t>list.</w:t>
      </w:r>
    </w:p>
    <w:p w:rsidR="005F78FC" w:rsidRDefault="00B42EF3">
      <w:pPr>
        <w:pStyle w:val="Definition-Field2"/>
      </w:pPr>
      <w:r>
        <w:t>Office requires the string value of the Anchor element to be a comma-delimited list of 8 non-negative integers.</w:t>
      </w:r>
    </w:p>
    <w:p w:rsidR="005F78FC" w:rsidRDefault="00B42EF3">
      <w:pPr>
        <w:pStyle w:val="Heading3"/>
      </w:pPr>
      <w:bookmarkStart w:id="3726" w:name="section_63d742473a6643a9a08a3e59be0fdb06"/>
      <w:bookmarkStart w:id="3727" w:name="_Toc69879636"/>
      <w:r>
        <w:t>Part 4 Section 19.4.2.4, AutoFill (AutoFill)</w:t>
      </w:r>
      <w:bookmarkEnd w:id="3726"/>
      <w:bookmarkEnd w:id="3727"/>
      <w:r>
        <w:fldChar w:fldCharType="begin"/>
      </w:r>
      <w:r>
        <w:instrText xml:space="preserve"> XE "AutoFill (AutoFill)" </w:instrText>
      </w:r>
      <w:r>
        <w:fldChar w:fldCharType="end"/>
      </w:r>
    </w:p>
    <w:p w:rsidR="005F78FC" w:rsidRDefault="00B42EF3">
      <w:pPr>
        <w:pStyle w:val="Definition-Field"/>
      </w:pPr>
      <w:r>
        <w:t xml:space="preserve">a.   </w:t>
      </w:r>
      <w:r>
        <w:rPr>
          <w:i/>
        </w:rPr>
        <w:t xml:space="preserve">The standard implies that the AutoFill element represents a </w:t>
      </w:r>
      <w:r>
        <w:rPr>
          <w:i/>
        </w:rPr>
        <w:t>type of object, but does not describe it.</w:t>
      </w:r>
    </w:p>
    <w:p w:rsidR="005F78FC" w:rsidRDefault="00B42EF3">
      <w:pPr>
        <w:pStyle w:val="Definition-Field2"/>
      </w:pPr>
      <w:r>
        <w:t>Office uses this element to indicate that the object's fill properties are automatically provided by the application and are not overridden with a specific fill color or style.</w:t>
      </w:r>
    </w:p>
    <w:p w:rsidR="005F78FC" w:rsidRDefault="00B42EF3">
      <w:pPr>
        <w:pStyle w:val="Heading3"/>
      </w:pPr>
      <w:bookmarkStart w:id="3728" w:name="section_fb34f55c3cd4489eab45e117e443347c"/>
      <w:bookmarkStart w:id="3729" w:name="_Toc69879637"/>
      <w:r>
        <w:t>Part 4 Section 19.4.2.5, AutoLine (Au</w:t>
      </w:r>
      <w:r>
        <w:t>toLine)</w:t>
      </w:r>
      <w:bookmarkEnd w:id="3728"/>
      <w:bookmarkEnd w:id="3729"/>
      <w:r>
        <w:fldChar w:fldCharType="begin"/>
      </w:r>
      <w:r>
        <w:instrText xml:space="preserve"> XE "AutoLine (AutoLine)" </w:instrText>
      </w:r>
      <w:r>
        <w:fldChar w:fldCharType="end"/>
      </w:r>
    </w:p>
    <w:p w:rsidR="005F78FC" w:rsidRDefault="00B42EF3">
      <w:pPr>
        <w:pStyle w:val="Definition-Field"/>
      </w:pPr>
      <w:r>
        <w:t xml:space="preserve">a.   </w:t>
      </w:r>
      <w:r>
        <w:rPr>
          <w:i/>
        </w:rPr>
        <w:t>The standard implies that the AutoLine element represents a type of object, but does not describe it.</w:t>
      </w:r>
    </w:p>
    <w:p w:rsidR="005F78FC" w:rsidRDefault="00B42EF3">
      <w:pPr>
        <w:pStyle w:val="Definition-Field2"/>
      </w:pPr>
      <w:r>
        <w:t>Office uses this element to indicate to that the object’s line properties are automatically provided by the appli</w:t>
      </w:r>
      <w:r>
        <w:t>cation and are not overridden with a specific line color, style, or width.</w:t>
      </w:r>
    </w:p>
    <w:p w:rsidR="005F78FC" w:rsidRDefault="00B42EF3">
      <w:pPr>
        <w:pStyle w:val="Heading3"/>
      </w:pPr>
      <w:bookmarkStart w:id="3730" w:name="section_cb3929d36f594f6198a7bdf1698a2001"/>
      <w:bookmarkStart w:id="3731" w:name="_Toc69879638"/>
      <w:r>
        <w:t>Part 4 Section 19.4.2.7, AutoScale (Font AutoScale)</w:t>
      </w:r>
      <w:bookmarkEnd w:id="3730"/>
      <w:bookmarkEnd w:id="3731"/>
      <w:r>
        <w:fldChar w:fldCharType="begin"/>
      </w:r>
      <w:r>
        <w:instrText xml:space="preserve"> XE "AutoScale (Font AutoScale)" </w:instrText>
      </w:r>
      <w:r>
        <w:fldChar w:fldCharType="end"/>
      </w:r>
    </w:p>
    <w:p w:rsidR="005F78FC" w:rsidRDefault="00B42EF3">
      <w:pPr>
        <w:pStyle w:val="Definition-Field"/>
      </w:pPr>
      <w:r>
        <w:t xml:space="preserve">a.   </w:t>
      </w:r>
      <w:r>
        <w:rPr>
          <w:i/>
        </w:rPr>
        <w:t>The standard indicates that the element is used for attached text.</w:t>
      </w:r>
    </w:p>
    <w:p w:rsidR="005F78FC" w:rsidRDefault="00B42EF3">
      <w:pPr>
        <w:pStyle w:val="Definition-Field2"/>
      </w:pPr>
      <w:r>
        <w:t>Excel ignores the valu</w:t>
      </w:r>
      <w:r>
        <w:t>e of the AutoScale element and does not preserve it on file save.</w:t>
      </w:r>
    </w:p>
    <w:p w:rsidR="005F78FC" w:rsidRDefault="00B42EF3">
      <w:pPr>
        <w:pStyle w:val="Heading3"/>
      </w:pPr>
      <w:bookmarkStart w:id="3732" w:name="section_7bd8939081b34e18b4c296d9f5c67c34"/>
      <w:bookmarkStart w:id="3733" w:name="_Toc69879639"/>
      <w:r>
        <w:t>Part 4 Section 19.4.2.8, Camera (Camera Tool)</w:t>
      </w:r>
      <w:bookmarkEnd w:id="3732"/>
      <w:bookmarkEnd w:id="3733"/>
      <w:r>
        <w:fldChar w:fldCharType="begin"/>
      </w:r>
      <w:r>
        <w:instrText xml:space="preserve"> XE "Camera (Camera Tool)" </w:instrText>
      </w:r>
      <w:r>
        <w:fldChar w:fldCharType="end"/>
      </w:r>
    </w:p>
    <w:p w:rsidR="005F78FC" w:rsidRDefault="00B42EF3">
      <w:pPr>
        <w:pStyle w:val="Definition-Field"/>
      </w:pPr>
      <w:r>
        <w:t xml:space="preserve">a.   </w:t>
      </w:r>
      <w:r>
        <w:rPr>
          <w:i/>
        </w:rPr>
        <w:t>The standard indicates that the Camera element is used for cameras, but does not define how a camera object is</w:t>
      </w:r>
      <w:r>
        <w:rPr>
          <w:i/>
        </w:rPr>
        <w:t xml:space="preserve"> represented.</w:t>
      </w:r>
    </w:p>
    <w:p w:rsidR="005F78FC" w:rsidRDefault="00B42EF3">
      <w:r>
        <w:t xml:space="preserve">In Office, a camera object is a shape that is filled with a live view of a cell range in the same spreadsheet, including all applied styles.  The cell range is defined by the </w:t>
      </w:r>
      <w:r>
        <w:rPr>
          <w:b/>
        </w:rPr>
        <w:t>fmlaPict</w:t>
      </w:r>
      <w:r>
        <w:t xml:space="preserve"> element ("</w:t>
      </w:r>
      <w:hyperlink r:id="rId275">
        <w:r>
          <w:rPr>
            <w:rStyle w:val="Hyperlink"/>
          </w:rPr>
          <w:t>[ISO/IEC-29500-4]</w:t>
        </w:r>
      </w:hyperlink>
      <w:r>
        <w:t xml:space="preserve"> §19.4.2.28; FmlaPict (Camera Source Range)"), which shall be present.  Shape properties such as the position and size of the camera object are defined by the shape.  The shape shall be a rectangle. The view of the cell r</w:t>
      </w:r>
      <w:r>
        <w:t>ange is scaled vertically and horizontally to fill the rectangle exactly.</w:t>
      </w:r>
    </w:p>
    <w:p w:rsidR="005F78FC" w:rsidRDefault="00B42EF3">
      <w:r>
        <w:t xml:space="preserve">If this element is specified without a value, it is assumed to be </w:t>
      </w:r>
      <w:r>
        <w:rPr>
          <w:i/>
        </w:rPr>
        <w:t>true</w:t>
      </w:r>
      <w:r>
        <w:t xml:space="preserve">.  This element is used only on objects for which the value of the </w:t>
      </w:r>
      <w:r>
        <w:rPr>
          <w:b/>
        </w:rPr>
        <w:t>ObjectType</w:t>
      </w:r>
      <w:r>
        <w:t xml:space="preserve"> attribute on the </w:t>
      </w:r>
      <w:r>
        <w:rPr>
          <w:b/>
        </w:rPr>
        <w:t>ClientData</w:t>
      </w:r>
      <w:r>
        <w:t xml:space="preserve"> elemen</w:t>
      </w:r>
      <w:r>
        <w:t xml:space="preserve">t ("[ISO/IEC-29500-4] §19.4.2.12; ClientData (Attached Object Data)") is </w:t>
      </w:r>
      <w:r>
        <w:rPr>
          <w:i/>
        </w:rPr>
        <w:t>Pict</w:t>
      </w:r>
      <w:r>
        <w:t>. Excel ignores this element on all other object types.</w:t>
      </w:r>
    </w:p>
    <w:p w:rsidR="005F78FC" w:rsidRDefault="00B42EF3">
      <w:pPr>
        <w:pStyle w:val="Heading3"/>
      </w:pPr>
      <w:bookmarkStart w:id="3734" w:name="section_4f8a3b1473d348f682a935925673f4d1"/>
      <w:bookmarkStart w:id="3735" w:name="_Toc69879640"/>
      <w:r>
        <w:lastRenderedPageBreak/>
        <w:t>Part 4 Section 19.4.2.10, CF (Clipboard Format)</w:t>
      </w:r>
      <w:bookmarkEnd w:id="3734"/>
      <w:bookmarkEnd w:id="3735"/>
      <w:r>
        <w:fldChar w:fldCharType="begin"/>
      </w:r>
      <w:r>
        <w:instrText xml:space="preserve"> XE "CF (Clipboard Format)" </w:instrText>
      </w:r>
      <w:r>
        <w:fldChar w:fldCharType="end"/>
      </w:r>
    </w:p>
    <w:p w:rsidR="005F78FC" w:rsidRDefault="00B42EF3">
      <w:pPr>
        <w:pStyle w:val="Definition-Field"/>
      </w:pPr>
      <w:r>
        <w:t xml:space="preserve">a.   </w:t>
      </w:r>
      <w:r>
        <w:rPr>
          <w:i/>
        </w:rPr>
        <w:t>The standard implies which objects the C</w:t>
      </w:r>
      <w:r>
        <w:rPr>
          <w:i/>
        </w:rPr>
        <w:t>F element applies to, but does not list a definitive set.</w:t>
      </w:r>
    </w:p>
    <w:p w:rsidR="005F78FC" w:rsidRDefault="00B42EF3">
      <w:pPr>
        <w:pStyle w:val="Definition-Field2"/>
      </w:pPr>
      <w:r>
        <w:t>Excel supports this element for objects for which the value of the ObjectType attribute on the ClientData element is Pict. Excel ignores the element if it is used with any other objects.</w:t>
      </w:r>
    </w:p>
    <w:p w:rsidR="005F78FC" w:rsidRDefault="00B42EF3">
      <w:pPr>
        <w:pStyle w:val="Heading3"/>
      </w:pPr>
      <w:bookmarkStart w:id="3736" w:name="section_4ed4ba3ad2844c2f954abeeb4c0b45cf"/>
      <w:bookmarkStart w:id="3737" w:name="_Toc69879641"/>
      <w:r>
        <w:t>Part 4 Sect</w:t>
      </w:r>
      <w:r>
        <w:t>ion 19.4.2.12, ClientData (Attached Object Data)</w:t>
      </w:r>
      <w:bookmarkEnd w:id="3736"/>
      <w:bookmarkEnd w:id="3737"/>
      <w:r>
        <w:fldChar w:fldCharType="begin"/>
      </w:r>
      <w:r>
        <w:instrText xml:space="preserve"> XE "ClientData (Attached Object Data)" </w:instrText>
      </w:r>
      <w:r>
        <w:fldChar w:fldCharType="end"/>
      </w:r>
    </w:p>
    <w:p w:rsidR="005F78FC" w:rsidRDefault="00B42EF3">
      <w:pPr>
        <w:pStyle w:val="Definition-Field"/>
      </w:pPr>
      <w:r>
        <w:t xml:space="preserve">a.   </w:t>
      </w:r>
      <w:r>
        <w:rPr>
          <w:i/>
        </w:rPr>
        <w:t>The standard implies that Movie is a valid value for the ObjectType attribute.</w:t>
      </w:r>
    </w:p>
    <w:p w:rsidR="005F78FC" w:rsidRDefault="00B42EF3">
      <w:pPr>
        <w:pStyle w:val="Definition-Field2"/>
      </w:pPr>
      <w:r>
        <w:t>Excel does not support the Movie value for the ObjectType attribute.</w:t>
      </w:r>
    </w:p>
    <w:p w:rsidR="005F78FC" w:rsidRDefault="00B42EF3">
      <w:pPr>
        <w:pStyle w:val="Definition-Field"/>
      </w:pPr>
      <w:r>
        <w:t xml:space="preserve">b.   </w:t>
      </w:r>
      <w:r>
        <w:rPr>
          <w:i/>
        </w:rPr>
        <w:t xml:space="preserve">The </w:t>
      </w:r>
      <w:r>
        <w:rPr>
          <w:i/>
        </w:rPr>
        <w:t>standard implies that LineA and RectA are valid values.</w:t>
      </w:r>
    </w:p>
    <w:p w:rsidR="005F78FC" w:rsidRDefault="00B42EF3">
      <w:pPr>
        <w:pStyle w:val="Definition-Field2"/>
      </w:pPr>
      <w:r>
        <w:t>Excel does not support the LineA and RectA values for the ObjectType attribute and does not save them to the file.</w:t>
      </w:r>
    </w:p>
    <w:p w:rsidR="005F78FC" w:rsidRDefault="00B42EF3">
      <w:pPr>
        <w:pStyle w:val="Heading3"/>
      </w:pPr>
      <w:bookmarkStart w:id="3738" w:name="section_c360ff36c63047a69a3c94164b365fba"/>
      <w:bookmarkStart w:id="3739" w:name="_Toc69879642"/>
      <w:r>
        <w:t>Part 4 Section 19.4.2.13, ColHidden (Comment's Column is Hidden)</w:t>
      </w:r>
      <w:bookmarkEnd w:id="3738"/>
      <w:bookmarkEnd w:id="3739"/>
      <w:r>
        <w:fldChar w:fldCharType="begin"/>
      </w:r>
      <w:r>
        <w:instrText xml:space="preserve"> XE "ColHidden (Comme</w:instrText>
      </w:r>
      <w:r>
        <w:instrText xml:space="preserve">nt's Column is Hidden)" </w:instrText>
      </w:r>
      <w:r>
        <w:fldChar w:fldCharType="end"/>
      </w:r>
    </w:p>
    <w:p w:rsidR="005F78FC" w:rsidRDefault="00B42EF3">
      <w:pPr>
        <w:pStyle w:val="Definition-Field"/>
      </w:pPr>
      <w:r>
        <w:t xml:space="preserve">a.   </w:t>
      </w:r>
      <w:r>
        <w:rPr>
          <w:i/>
        </w:rPr>
        <w:t>The standard could imply that the ColHidden element may be used to hide a column.</w:t>
      </w:r>
    </w:p>
    <w:p w:rsidR="005F78FC" w:rsidRDefault="00B42EF3">
      <w:pPr>
        <w:pStyle w:val="Definition-Field2"/>
      </w:pPr>
      <w:r>
        <w:t>Excel uses the hidden attribute of the col element as an whether the column of the cell to which this comment points is hidden and cannot be u</w:t>
      </w:r>
      <w:r>
        <w:t>sed for hiding a column.</w:t>
      </w:r>
    </w:p>
    <w:p w:rsidR="005F78FC" w:rsidRDefault="00B42EF3">
      <w:pPr>
        <w:pStyle w:val="Heading3"/>
      </w:pPr>
      <w:bookmarkStart w:id="3740" w:name="section_5bdf911798a04345a493b8b2d6ae2fbb"/>
      <w:bookmarkStart w:id="3741" w:name="_Toc69879643"/>
      <w:r>
        <w:t>Part 4 Section 19.4.2.14, Colored (Dropdown Color Toggle)</w:t>
      </w:r>
      <w:bookmarkEnd w:id="3740"/>
      <w:bookmarkEnd w:id="3741"/>
      <w:r>
        <w:fldChar w:fldCharType="begin"/>
      </w:r>
      <w:r>
        <w:instrText xml:space="preserve"> XE "Colored (Dropdown Color Toggle)" </w:instrText>
      </w:r>
      <w:r>
        <w:fldChar w:fldCharType="end"/>
      </w:r>
    </w:p>
    <w:p w:rsidR="005F78FC" w:rsidRDefault="00B42EF3">
      <w:pPr>
        <w:pStyle w:val="Definition-Field"/>
      </w:pPr>
      <w:r>
        <w:t xml:space="preserve">a.   </w:t>
      </w:r>
      <w:r>
        <w:rPr>
          <w:i/>
        </w:rPr>
        <w:t>The standard implies that the entire dropdown is colored.</w:t>
      </w:r>
    </w:p>
    <w:p w:rsidR="005F78FC" w:rsidRDefault="00B42EF3">
      <w:pPr>
        <w:pStyle w:val="Definition-Field2"/>
      </w:pPr>
      <w:r>
        <w:t>Excel only colors the downward pointing arrow on the dropdown, not the</w:t>
      </w:r>
      <w:r>
        <w:t xml:space="preserve"> entire control.</w:t>
      </w:r>
    </w:p>
    <w:p w:rsidR="005F78FC" w:rsidRDefault="00B42EF3">
      <w:pPr>
        <w:pStyle w:val="Heading3"/>
      </w:pPr>
      <w:bookmarkStart w:id="3742" w:name="section_073d7aaad7674a96b4b2761737225ec1"/>
      <w:bookmarkStart w:id="3743" w:name="_Toc69879644"/>
      <w:r>
        <w:t>Part 4 Section 19.4.2.16, DDE (Dynamic Data Exchange)</w:t>
      </w:r>
      <w:bookmarkEnd w:id="3742"/>
      <w:bookmarkEnd w:id="3743"/>
      <w:r>
        <w:fldChar w:fldCharType="begin"/>
      </w:r>
      <w:r>
        <w:instrText xml:space="preserve"> XE "DDE (Dynamic Data Exchange)" </w:instrText>
      </w:r>
      <w:r>
        <w:fldChar w:fldCharType="end"/>
      </w:r>
    </w:p>
    <w:p w:rsidR="005F78FC" w:rsidRDefault="00B42EF3">
      <w:pPr>
        <w:pStyle w:val="Definition-Field"/>
      </w:pPr>
      <w:r>
        <w:t xml:space="preserve">a.   </w:t>
      </w:r>
      <w:r>
        <w:rPr>
          <w:i/>
        </w:rPr>
        <w:t>The standard indicates that the DDE element applies to all object types.</w:t>
      </w:r>
    </w:p>
    <w:p w:rsidR="005F78FC" w:rsidRDefault="00B42EF3">
      <w:pPr>
        <w:pStyle w:val="Definition-Field2"/>
      </w:pPr>
      <w:r>
        <w:t>Excel only supports the DDE element for embedded objects.</w:t>
      </w:r>
    </w:p>
    <w:p w:rsidR="005F78FC" w:rsidRDefault="00B42EF3">
      <w:pPr>
        <w:pStyle w:val="Heading3"/>
      </w:pPr>
      <w:bookmarkStart w:id="3744" w:name="section_ce3122b7a1ad43e2a271f8e7fac1ae5f"/>
      <w:bookmarkStart w:id="3745" w:name="_Toc69879645"/>
      <w:r>
        <w:t>Part 4 Sectio</w:t>
      </w:r>
      <w:r>
        <w:t>n 19.4.2.18, DefaultSize (Default Size Toggle)</w:t>
      </w:r>
      <w:bookmarkEnd w:id="3744"/>
      <w:bookmarkEnd w:id="3745"/>
      <w:r>
        <w:fldChar w:fldCharType="begin"/>
      </w:r>
      <w:r>
        <w:instrText xml:space="preserve"> XE "DefaultSize (Default Size Toggle)" </w:instrText>
      </w:r>
      <w:r>
        <w:fldChar w:fldCharType="end"/>
      </w:r>
    </w:p>
    <w:p w:rsidR="005F78FC" w:rsidRDefault="00B42EF3">
      <w:pPr>
        <w:pStyle w:val="Definition-Field"/>
      </w:pPr>
      <w:r>
        <w:t xml:space="preserve">a.   </w:t>
      </w:r>
      <w:r>
        <w:rPr>
          <w:i/>
        </w:rPr>
        <w:t>The standard implies the DefaultSize element always indicates whether an object is at its default size.</w:t>
      </w:r>
    </w:p>
    <w:p w:rsidR="005F78FC" w:rsidRDefault="00B42EF3">
      <w:pPr>
        <w:pStyle w:val="Definition-Field2"/>
      </w:pPr>
      <w:r>
        <w:t xml:space="preserve">Excel writes the value of the DefaultSize element when an </w:t>
      </w:r>
      <w:r>
        <w:t>object is inserted at default size, but ignores it on file load.</w:t>
      </w:r>
    </w:p>
    <w:p w:rsidR="005F78FC" w:rsidRDefault="00B42EF3">
      <w:pPr>
        <w:pStyle w:val="Heading3"/>
      </w:pPr>
      <w:bookmarkStart w:id="3746" w:name="section_be4c7afa1a9848fdac817039f3bf3a19"/>
      <w:bookmarkStart w:id="3747" w:name="_Toc69879646"/>
      <w:r>
        <w:t>Part 4 Section 19.4.2.21, DropLines (Dropdown Maximum Lines)</w:t>
      </w:r>
      <w:bookmarkEnd w:id="3746"/>
      <w:bookmarkEnd w:id="3747"/>
      <w:r>
        <w:fldChar w:fldCharType="begin"/>
      </w:r>
      <w:r>
        <w:instrText xml:space="preserve"> XE "DropLines (Dropdown Maximum Lines)" </w:instrText>
      </w:r>
      <w:r>
        <w:fldChar w:fldCharType="end"/>
      </w:r>
    </w:p>
    <w:p w:rsidR="005F78FC" w:rsidRDefault="00B42EF3">
      <w:pPr>
        <w:pStyle w:val="Definition-Field"/>
      </w:pPr>
      <w:r>
        <w:t xml:space="preserve">a.   </w:t>
      </w:r>
      <w:r>
        <w:rPr>
          <w:i/>
        </w:rPr>
        <w:t xml:space="preserve">The standard states that the values of this element are defined by the XML Schema </w:t>
      </w:r>
      <w:r>
        <w:rPr>
          <w:i/>
        </w:rPr>
        <w:t>integer datatype.</w:t>
      </w:r>
    </w:p>
    <w:p w:rsidR="005F78FC" w:rsidRDefault="00B42EF3">
      <w:pPr>
        <w:pStyle w:val="Definition-Field2"/>
      </w:pPr>
      <w:r>
        <w:t>Excel restricts the value of this element to be at least 0 and at most 30000.</w:t>
      </w:r>
    </w:p>
    <w:p w:rsidR="005F78FC" w:rsidRDefault="00B42EF3">
      <w:pPr>
        <w:pStyle w:val="Heading3"/>
      </w:pPr>
      <w:bookmarkStart w:id="3748" w:name="section_d07238816fbc49ac99b0668c3f56ae05"/>
      <w:bookmarkStart w:id="3749" w:name="_Toc69879647"/>
      <w:r>
        <w:t>Part 4 Section 19.4.2.22, DropStyle (Dropdown Style)</w:t>
      </w:r>
      <w:bookmarkEnd w:id="3748"/>
      <w:bookmarkEnd w:id="3749"/>
      <w:r>
        <w:fldChar w:fldCharType="begin"/>
      </w:r>
      <w:r>
        <w:instrText xml:space="preserve"> XE "DropStyle (Dropdown Style)" </w:instrText>
      </w:r>
      <w:r>
        <w:fldChar w:fldCharType="end"/>
      </w:r>
    </w:p>
    <w:p w:rsidR="005F78FC" w:rsidRDefault="00B42EF3">
      <w:pPr>
        <w:pStyle w:val="Definition-Field"/>
      </w:pPr>
      <w:r>
        <w:t xml:space="preserve">a.   </w:t>
      </w:r>
      <w:r>
        <w:rPr>
          <w:i/>
        </w:rPr>
        <w:t>The standard indicates that the schema for the DropStyle element al</w:t>
      </w:r>
      <w:r>
        <w:rPr>
          <w:i/>
        </w:rPr>
        <w:t>lows any xsd:string, but the prose restricts this to a few values.</w:t>
      </w:r>
    </w:p>
    <w:p w:rsidR="005F78FC" w:rsidRDefault="00B42EF3">
      <w:pPr>
        <w:pStyle w:val="Definition-Field2"/>
      </w:pPr>
      <w:r>
        <w:lastRenderedPageBreak/>
        <w:t>Office enforces the restriction that the DropStyle element allows any xsd:string at the schema level.</w:t>
      </w:r>
    </w:p>
    <w:p w:rsidR="005F78FC" w:rsidRDefault="00B42EF3">
      <w:pPr>
        <w:pStyle w:val="Heading3"/>
      </w:pPr>
      <w:bookmarkStart w:id="3750" w:name="section_7d806fa038a14b96908dbd982340949a"/>
      <w:bookmarkStart w:id="3751" w:name="_Toc69879648"/>
      <w:r>
        <w:t>Part 4 Section 19.4.2.23, Dx (Scroll Bar Width)</w:t>
      </w:r>
      <w:bookmarkEnd w:id="3750"/>
      <w:bookmarkEnd w:id="3751"/>
      <w:r>
        <w:fldChar w:fldCharType="begin"/>
      </w:r>
      <w:r>
        <w:instrText xml:space="preserve"> XE "Dx (Scroll Bar Width)" </w:instrText>
      </w:r>
      <w:r>
        <w:fldChar w:fldCharType="end"/>
      </w:r>
    </w:p>
    <w:p w:rsidR="005F78FC" w:rsidRDefault="00B42EF3">
      <w:pPr>
        <w:pStyle w:val="Definition-Field"/>
      </w:pPr>
      <w:r>
        <w:t xml:space="preserve">a.   </w:t>
      </w:r>
      <w:r>
        <w:rPr>
          <w:i/>
        </w:rPr>
        <w:t xml:space="preserve">The </w:t>
      </w:r>
      <w:r>
        <w:rPr>
          <w:i/>
        </w:rPr>
        <w:t>standard indicates that the element is used for scroll bars and spinners.</w:t>
      </w:r>
    </w:p>
    <w:p w:rsidR="005F78FC" w:rsidRDefault="00B42EF3">
      <w:pPr>
        <w:pStyle w:val="Definition-Field2"/>
      </w:pPr>
      <w:r>
        <w:t>Excel also uses the Dx element to specify width for scroll bars on combo boxes and list boxes.</w:t>
      </w:r>
    </w:p>
    <w:p w:rsidR="005F78FC" w:rsidRDefault="00B42EF3">
      <w:pPr>
        <w:pStyle w:val="Heading3"/>
      </w:pPr>
      <w:bookmarkStart w:id="3752" w:name="section_b260750bc7564ba289a782ab03ca77df"/>
      <w:bookmarkStart w:id="3753" w:name="_Toc69879649"/>
      <w:r>
        <w:t>Part 4 Section 19.4.2.25, FmlaGroup (Linked Formula - Group Box)</w:t>
      </w:r>
      <w:bookmarkEnd w:id="3752"/>
      <w:bookmarkEnd w:id="3753"/>
      <w:r>
        <w:fldChar w:fldCharType="begin"/>
      </w:r>
      <w:r>
        <w:instrText xml:space="preserve"> XE "FmlaGroup (Linked </w:instrText>
      </w:r>
      <w:r>
        <w:instrText xml:space="preserve">Formula - Group Box)" </w:instrText>
      </w:r>
      <w:r>
        <w:fldChar w:fldCharType="end"/>
      </w:r>
    </w:p>
    <w:p w:rsidR="005F78FC" w:rsidRDefault="00B42EF3">
      <w:pPr>
        <w:pStyle w:val="Definition-Field"/>
      </w:pPr>
      <w:r>
        <w:t xml:space="preserve">a.   </w:t>
      </w:r>
      <w:r>
        <w:rPr>
          <w:i/>
        </w:rPr>
        <w:t>The standard implies that the cell reference specified by this element is saved into the file.</w:t>
      </w:r>
    </w:p>
    <w:p w:rsidR="005F78FC" w:rsidRDefault="00B42EF3">
      <w:pPr>
        <w:pStyle w:val="Definition-Field2"/>
      </w:pPr>
      <w:r>
        <w:t>Excel removes this element and saves the cell reference it specifies on the FmlaLink element of the first radio button in the group</w:t>
      </w:r>
      <w:r>
        <w:t>. If no radio buttons exist in the group, the value is not saved in the file.</w:t>
      </w:r>
    </w:p>
    <w:p w:rsidR="005F78FC" w:rsidRDefault="00B42EF3">
      <w:pPr>
        <w:pStyle w:val="Heading3"/>
      </w:pPr>
      <w:bookmarkStart w:id="3754" w:name="section_fdd835077a574bf1b84466f551ee55b9"/>
      <w:bookmarkStart w:id="3755" w:name="_Toc69879650"/>
      <w:r>
        <w:t>Part 4 Section 19.4.2.27, FmlaMacro (Reference to Custom Function)</w:t>
      </w:r>
      <w:bookmarkEnd w:id="3754"/>
      <w:bookmarkEnd w:id="3755"/>
      <w:r>
        <w:fldChar w:fldCharType="begin"/>
      </w:r>
      <w:r>
        <w:instrText xml:space="preserve"> XE "FmlaMacro (Reference to Custom Function)" </w:instrText>
      </w:r>
      <w:r>
        <w:fldChar w:fldCharType="end"/>
      </w:r>
    </w:p>
    <w:p w:rsidR="005F78FC" w:rsidRDefault="00B42EF3">
      <w:pPr>
        <w:pStyle w:val="Definition-Field"/>
      </w:pPr>
      <w:r>
        <w:t xml:space="preserve">a.   </w:t>
      </w:r>
      <w:r>
        <w:rPr>
          <w:i/>
        </w:rPr>
        <w:t>The standard indicates that the FmlaMacro element applies</w:t>
      </w:r>
      <w:r>
        <w:rPr>
          <w:i/>
        </w:rPr>
        <w:t xml:space="preserve"> to an object but does not explicitly define a set of valid objects.</w:t>
      </w:r>
    </w:p>
    <w:p w:rsidR="005F78FC" w:rsidRDefault="00B42EF3">
      <w:pPr>
        <w:pStyle w:val="Definition-Field2"/>
      </w:pPr>
      <w:r>
        <w:t>Excel supports FmlaMacro on objects defined by all values of the ST_ObjectType simple type except LineA, Note and RectA.</w:t>
      </w:r>
    </w:p>
    <w:p w:rsidR="005F78FC" w:rsidRDefault="00B42EF3">
      <w:pPr>
        <w:pStyle w:val="Definition-Field"/>
      </w:pPr>
      <w:r>
        <w:t xml:space="preserve">b.   </w:t>
      </w:r>
      <w:r>
        <w:rPr>
          <w:i/>
        </w:rPr>
        <w:t>The standard states that the values of this element are defin</w:t>
      </w:r>
      <w:r>
        <w:rPr>
          <w:i/>
        </w:rPr>
        <w:t>ed by the XML Schema string datatype.</w:t>
      </w:r>
    </w:p>
    <w:p w:rsidR="005F78FC" w:rsidRDefault="00B42EF3">
      <w:pPr>
        <w:pStyle w:val="Definition-Field2"/>
      </w:pPr>
      <w:r>
        <w:t>Office defines the values of this element with the ST_Macro (</w:t>
      </w:r>
      <w:hyperlink w:anchor="Section_3a025d97fe484df0a51d7ab3e024b866">
        <w:r>
          <w:rPr>
            <w:rStyle w:val="Hyperlink"/>
          </w:rPr>
          <w:t>§3.9.2, ST_Macro</w:t>
        </w:r>
      </w:hyperlink>
      <w:r>
        <w:t>) simple type.</w:t>
      </w:r>
    </w:p>
    <w:p w:rsidR="005F78FC" w:rsidRDefault="00B42EF3">
      <w:pPr>
        <w:pStyle w:val="Heading3"/>
      </w:pPr>
      <w:bookmarkStart w:id="3756" w:name="section_3d0c971688c54af3b63afeef60b8ebd8"/>
      <w:bookmarkStart w:id="3757" w:name="_Toc69879651"/>
      <w:r>
        <w:t>Part 4 Section 19.4.2.29, FmlaRange (List Items Source Range)</w:t>
      </w:r>
      <w:bookmarkEnd w:id="3756"/>
      <w:bookmarkEnd w:id="3757"/>
      <w:r>
        <w:fldChar w:fldCharType="begin"/>
      </w:r>
      <w:r>
        <w:instrText xml:space="preserve"> X</w:instrText>
      </w:r>
      <w:r>
        <w:instrText xml:space="preserve">E "FmlaRange (List Items Source Range)" </w:instrText>
      </w:r>
      <w:r>
        <w:fldChar w:fldCharType="end"/>
      </w:r>
    </w:p>
    <w:p w:rsidR="005F78FC" w:rsidRDefault="00B42EF3">
      <w:pPr>
        <w:pStyle w:val="Definition-Field"/>
      </w:pPr>
      <w:r>
        <w:t xml:space="preserve">a.   </w:t>
      </w:r>
      <w:r>
        <w:rPr>
          <w:i/>
        </w:rPr>
        <w:t>The standard indicates that the element is used for list boxes.</w:t>
      </w:r>
    </w:p>
    <w:p w:rsidR="005F78FC" w:rsidRDefault="00B42EF3">
      <w:pPr>
        <w:pStyle w:val="Definition-Field2"/>
      </w:pPr>
      <w:r>
        <w:t>Excel also uses the FmlaRange element for dropdowns.</w:t>
      </w:r>
    </w:p>
    <w:p w:rsidR="005F78FC" w:rsidRDefault="00B42EF3">
      <w:pPr>
        <w:pStyle w:val="Heading3"/>
      </w:pPr>
      <w:bookmarkStart w:id="3758" w:name="section_53586a4091834fb9a0dc2d0c48f92e2a"/>
      <w:bookmarkStart w:id="3759" w:name="_Toc69879652"/>
      <w:r>
        <w:t>Part 4 Section 19.4.2.30, FmlaTxbx (Text Formula)</w:t>
      </w:r>
      <w:bookmarkEnd w:id="3758"/>
      <w:bookmarkEnd w:id="3759"/>
      <w:r>
        <w:fldChar w:fldCharType="begin"/>
      </w:r>
      <w:r>
        <w:instrText xml:space="preserve"> XE "FmlaTxbx (Text Formula)" </w:instrText>
      </w:r>
      <w:r>
        <w:fldChar w:fldCharType="end"/>
      </w:r>
    </w:p>
    <w:p w:rsidR="005F78FC" w:rsidRDefault="00B42EF3">
      <w:pPr>
        <w:pStyle w:val="Definition-Field"/>
      </w:pPr>
      <w:r>
        <w:t xml:space="preserve">a.   </w:t>
      </w:r>
      <w:r>
        <w:rPr>
          <w:i/>
        </w:rPr>
        <w:t xml:space="preserve">The </w:t>
      </w:r>
      <w:r>
        <w:rPr>
          <w:i/>
        </w:rPr>
        <w:t>standard does not define the format for the value of the FmlaTxbx element.</w:t>
      </w:r>
    </w:p>
    <w:p w:rsidR="005F78FC" w:rsidRDefault="00B42EF3">
      <w:r>
        <w:t>In Office, the value of the FmlaTxbx element shall be a string identifying a cell or a cell range in a spreadsheet.  The cell reference syntax is described in Cell References ("</w:t>
      </w:r>
      <w:hyperlink r:id="rId276">
        <w:r>
          <w:rPr>
            <w:rStyle w:val="Hyperlink"/>
          </w:rPr>
          <w:t>[ISO/IEC-29500-1]</w:t>
        </w:r>
      </w:hyperlink>
      <w:r>
        <w:t xml:space="preserve"> §18.17.2.3").  Excel accepts a cell range but only considers the first cell in the range.</w:t>
      </w:r>
    </w:p>
    <w:p w:rsidR="005F78FC" w:rsidRDefault="00B42EF3">
      <w:pPr>
        <w:pStyle w:val="Heading3"/>
      </w:pPr>
      <w:bookmarkStart w:id="3760" w:name="section_a22736e370b841dfb203534630e5e253"/>
      <w:bookmarkStart w:id="3761" w:name="_Toc69879653"/>
      <w:r>
        <w:t>Part 4 Section 19.4.2.32, Horiz (Scroll Bar Orientation)</w:t>
      </w:r>
      <w:bookmarkEnd w:id="3760"/>
      <w:bookmarkEnd w:id="3761"/>
      <w:r>
        <w:fldChar w:fldCharType="begin"/>
      </w:r>
      <w:r>
        <w:instrText xml:space="preserve"> XE "Horiz (Scroll Bar Orienta</w:instrText>
      </w:r>
      <w:r>
        <w:instrText xml:space="preserve">tion)" </w:instrText>
      </w:r>
      <w:r>
        <w:fldChar w:fldCharType="end"/>
      </w:r>
    </w:p>
    <w:p w:rsidR="005F78FC" w:rsidRDefault="00B42EF3">
      <w:pPr>
        <w:pStyle w:val="Definition-Field"/>
      </w:pPr>
      <w:r>
        <w:t xml:space="preserve">a.   </w:t>
      </w:r>
      <w:r>
        <w:rPr>
          <w:i/>
        </w:rPr>
        <w:t>The standard indicates that the element is used for scroll bars and spinners.</w:t>
      </w:r>
    </w:p>
    <w:p w:rsidR="005F78FC" w:rsidRDefault="00B42EF3">
      <w:pPr>
        <w:pStyle w:val="Definition-Field2"/>
      </w:pPr>
      <w:r>
        <w:t>Excel uses the Horiz element for scroll bars only.</w:t>
      </w:r>
    </w:p>
    <w:p w:rsidR="005F78FC" w:rsidRDefault="00B42EF3">
      <w:pPr>
        <w:pStyle w:val="Heading3"/>
      </w:pPr>
      <w:bookmarkStart w:id="3762" w:name="section_ccda6c59abc6448f9609c5514582b169"/>
      <w:bookmarkStart w:id="3763" w:name="_Toc69879654"/>
      <w:r>
        <w:t>Part 4 Section 19.4.2.33, Inc (Scroll Bar Increment)</w:t>
      </w:r>
      <w:bookmarkEnd w:id="3762"/>
      <w:bookmarkEnd w:id="3763"/>
      <w:r>
        <w:fldChar w:fldCharType="begin"/>
      </w:r>
      <w:r>
        <w:instrText xml:space="preserve"> XE "Inc (Scroll Bar Increment)" </w:instrText>
      </w:r>
      <w:r>
        <w:fldChar w:fldCharType="end"/>
      </w:r>
    </w:p>
    <w:p w:rsidR="005F78FC" w:rsidRDefault="00B42EF3">
      <w:pPr>
        <w:pStyle w:val="Definition-Field"/>
      </w:pPr>
      <w:r>
        <w:t xml:space="preserve">a.   </w:t>
      </w:r>
      <w:r>
        <w:rPr>
          <w:i/>
        </w:rPr>
        <w:t>The standard states</w:t>
      </w:r>
      <w:r>
        <w:rPr>
          <w:i/>
        </w:rPr>
        <w:t xml:space="preserve"> that the values of this element are defined by the XML Schema integer datatype.</w:t>
      </w:r>
    </w:p>
    <w:p w:rsidR="005F78FC" w:rsidRDefault="00B42EF3">
      <w:pPr>
        <w:pStyle w:val="Definition-Field2"/>
      </w:pPr>
      <w:r>
        <w:t>Excel restricts the value of this element to be at least 0 and at most 30000.</w:t>
      </w:r>
    </w:p>
    <w:p w:rsidR="005F78FC" w:rsidRDefault="00B42EF3">
      <w:pPr>
        <w:pStyle w:val="Heading3"/>
      </w:pPr>
      <w:bookmarkStart w:id="3764" w:name="section_08b9c240a1da41ef867f74c008a367f9"/>
      <w:bookmarkStart w:id="3765" w:name="_Toc69879655"/>
      <w:r>
        <w:lastRenderedPageBreak/>
        <w:t>Part 4 Section 19.4.2.35, LCT (Callback Type)</w:t>
      </w:r>
      <w:bookmarkEnd w:id="3764"/>
      <w:bookmarkEnd w:id="3765"/>
      <w:r>
        <w:fldChar w:fldCharType="begin"/>
      </w:r>
      <w:r>
        <w:instrText xml:space="preserve"> XE "LCT (Callback Type)" </w:instrText>
      </w:r>
      <w:r>
        <w:fldChar w:fldCharType="end"/>
      </w:r>
    </w:p>
    <w:p w:rsidR="005F78FC" w:rsidRDefault="00B42EF3">
      <w:pPr>
        <w:pStyle w:val="Definition-Field"/>
      </w:pPr>
      <w:r>
        <w:t xml:space="preserve">a.   </w:t>
      </w:r>
      <w:r>
        <w:rPr>
          <w:i/>
        </w:rPr>
        <w:t>The standard indic</w:t>
      </w:r>
      <w:r>
        <w:rPr>
          <w:i/>
        </w:rPr>
        <w:t>ates that the element is used for list boxes.</w:t>
      </w:r>
    </w:p>
    <w:p w:rsidR="005F78FC" w:rsidRDefault="00B42EF3">
      <w:pPr>
        <w:pStyle w:val="Definition-Field2"/>
      </w:pPr>
      <w:r>
        <w:t>Excel also uses the LCT element for list boxes and dropdowns.</w:t>
      </w:r>
    </w:p>
    <w:p w:rsidR="005F78FC" w:rsidRDefault="00B42EF3">
      <w:pPr>
        <w:pStyle w:val="Heading3"/>
      </w:pPr>
      <w:bookmarkStart w:id="3766" w:name="section_41fab666731c4a82985af55d31ea2df4"/>
      <w:bookmarkStart w:id="3767" w:name="_Toc69879656"/>
      <w:r>
        <w:t>Part 4 Section 19.4.2.36, ListItem (Non-linked List Item)</w:t>
      </w:r>
      <w:bookmarkEnd w:id="3766"/>
      <w:bookmarkEnd w:id="3767"/>
      <w:r>
        <w:fldChar w:fldCharType="begin"/>
      </w:r>
      <w:r>
        <w:instrText xml:space="preserve"> XE "ListItem (Non-linked List Item)" </w:instrText>
      </w:r>
      <w:r>
        <w:fldChar w:fldCharType="end"/>
      </w:r>
    </w:p>
    <w:p w:rsidR="005F78FC" w:rsidRDefault="00B42EF3">
      <w:pPr>
        <w:pStyle w:val="Definition-Field"/>
      </w:pPr>
      <w:r>
        <w:t xml:space="preserve">a.   </w:t>
      </w:r>
      <w:r>
        <w:rPr>
          <w:i/>
        </w:rPr>
        <w:t xml:space="preserve">The standard implies the ListItem element is </w:t>
      </w:r>
      <w:r>
        <w:rPr>
          <w:i/>
        </w:rPr>
        <w:t>always used.</w:t>
      </w:r>
    </w:p>
    <w:p w:rsidR="005F78FC" w:rsidRDefault="00B42EF3">
      <w:pPr>
        <w:pStyle w:val="Definition-Field2"/>
      </w:pPr>
      <w:r>
        <w:t>Excel ignores the ListItem element when the FmlaRange element is present.</w:t>
      </w:r>
    </w:p>
    <w:p w:rsidR="005F78FC" w:rsidRDefault="00B42EF3">
      <w:pPr>
        <w:pStyle w:val="Heading3"/>
      </w:pPr>
      <w:bookmarkStart w:id="3768" w:name="section_d3fababa849446e59d8c22b7b113dc40"/>
      <w:bookmarkStart w:id="3769" w:name="_Toc69879657"/>
      <w:r>
        <w:t>Part 4 Section 19.4.2.40, Max (Scroll Bar Maximum)</w:t>
      </w:r>
      <w:bookmarkEnd w:id="3768"/>
      <w:bookmarkEnd w:id="3769"/>
      <w:r>
        <w:fldChar w:fldCharType="begin"/>
      </w:r>
      <w:r>
        <w:instrText xml:space="preserve"> XE "Max (Scroll Bar Maximum)" </w:instrText>
      </w:r>
      <w:r>
        <w:fldChar w:fldCharType="end"/>
      </w:r>
    </w:p>
    <w:p w:rsidR="005F78FC" w:rsidRDefault="00B42EF3">
      <w:pPr>
        <w:pStyle w:val="Definition-Field"/>
      </w:pPr>
      <w:r>
        <w:t xml:space="preserve">a.   </w:t>
      </w:r>
      <w:r>
        <w:rPr>
          <w:i/>
        </w:rPr>
        <w:t>The standard states that the values of this element are defined by the XML Schem</w:t>
      </w:r>
      <w:r>
        <w:rPr>
          <w:i/>
        </w:rPr>
        <w:t>a integer datatype.</w:t>
      </w:r>
    </w:p>
    <w:p w:rsidR="005F78FC" w:rsidRDefault="00B42EF3">
      <w:pPr>
        <w:pStyle w:val="Definition-Field2"/>
      </w:pPr>
      <w:r>
        <w:t>Excel restricts the value of this element to be at least 0 and at most 30000.</w:t>
      </w:r>
    </w:p>
    <w:p w:rsidR="005F78FC" w:rsidRDefault="00B42EF3">
      <w:pPr>
        <w:pStyle w:val="Heading3"/>
      </w:pPr>
      <w:bookmarkStart w:id="3770" w:name="section_d46c6a1b604842ff83d335bc1055b689"/>
      <w:bookmarkStart w:id="3771" w:name="_Toc69879658"/>
      <w:r>
        <w:t>Part 4 Section 19.4.2.41, Min (Scroll Bar Minimum)</w:t>
      </w:r>
      <w:bookmarkEnd w:id="3770"/>
      <w:bookmarkEnd w:id="3771"/>
      <w:r>
        <w:fldChar w:fldCharType="begin"/>
      </w:r>
      <w:r>
        <w:instrText xml:space="preserve"> XE "Min (Scroll Bar Minimum)" </w:instrText>
      </w:r>
      <w:r>
        <w:fldChar w:fldCharType="end"/>
      </w:r>
    </w:p>
    <w:p w:rsidR="005F78FC" w:rsidRDefault="00B42EF3">
      <w:pPr>
        <w:pStyle w:val="Definition-Field"/>
      </w:pPr>
      <w:r>
        <w:t xml:space="preserve">a.   </w:t>
      </w:r>
      <w:r>
        <w:rPr>
          <w:i/>
        </w:rPr>
        <w:t xml:space="preserve">The standard states that the values of this element are defined by </w:t>
      </w:r>
      <w:r>
        <w:rPr>
          <w:i/>
        </w:rPr>
        <w:t>the XML Schema integer datatype.</w:t>
      </w:r>
    </w:p>
    <w:p w:rsidR="005F78FC" w:rsidRDefault="00B42EF3">
      <w:pPr>
        <w:pStyle w:val="Definition-Field2"/>
      </w:pPr>
      <w:r>
        <w:t>Excel restricts the value of this element to be at least 0 and at most 30000.</w:t>
      </w:r>
    </w:p>
    <w:p w:rsidR="005F78FC" w:rsidRDefault="00B42EF3">
      <w:pPr>
        <w:pStyle w:val="Heading3"/>
      </w:pPr>
      <w:bookmarkStart w:id="3772" w:name="section_40158516bf2346b1b809063618265082"/>
      <w:bookmarkStart w:id="3773" w:name="_Toc69879659"/>
      <w:r>
        <w:t>Part 4 Section 19.4.2.42, MoveWithCells (Move with Cells)</w:t>
      </w:r>
      <w:bookmarkEnd w:id="3772"/>
      <w:bookmarkEnd w:id="3773"/>
      <w:r>
        <w:fldChar w:fldCharType="begin"/>
      </w:r>
      <w:r>
        <w:instrText xml:space="preserve"> XE "MoveWithCells (Move with Cells)" </w:instrText>
      </w:r>
      <w:r>
        <w:fldChar w:fldCharType="end"/>
      </w:r>
    </w:p>
    <w:p w:rsidR="005F78FC" w:rsidRDefault="00B42EF3">
      <w:pPr>
        <w:pStyle w:val="Definition-Field"/>
      </w:pPr>
      <w:r>
        <w:t xml:space="preserve">a.   </w:t>
      </w:r>
      <w:r>
        <w:rPr>
          <w:i/>
        </w:rPr>
        <w:t xml:space="preserve">The standard defines the meaning of the </w:t>
      </w:r>
      <w:r>
        <w:rPr>
          <w:i/>
        </w:rPr>
        <w:t>values true and false for the MoveWithCells element.</w:t>
      </w:r>
    </w:p>
    <w:p w:rsidR="005F78FC" w:rsidRDefault="00B42EF3">
      <w:pPr>
        <w:pStyle w:val="Definition-Field2"/>
      </w:pPr>
      <w:r>
        <w:t>Excel reverses the meaning of the values true and false for the MoveWithCells element.</w:t>
      </w:r>
    </w:p>
    <w:p w:rsidR="005F78FC" w:rsidRDefault="00B42EF3">
      <w:pPr>
        <w:pStyle w:val="Heading3"/>
      </w:pPr>
      <w:bookmarkStart w:id="3774" w:name="section_d4169e9a85cc4cb98354faf0f1551b0c"/>
      <w:bookmarkStart w:id="3775" w:name="_Toc69879660"/>
      <w:r>
        <w:t>Part 4 Section 19.4.2.45, NoThreeD (Disable 3D)</w:t>
      </w:r>
      <w:bookmarkEnd w:id="3774"/>
      <w:bookmarkEnd w:id="3775"/>
      <w:r>
        <w:fldChar w:fldCharType="begin"/>
      </w:r>
      <w:r>
        <w:instrText xml:space="preserve"> XE "NoThreeD (Disable 3D)" </w:instrText>
      </w:r>
      <w:r>
        <w:fldChar w:fldCharType="end"/>
      </w:r>
    </w:p>
    <w:p w:rsidR="005F78FC" w:rsidRDefault="00B42EF3">
      <w:pPr>
        <w:pStyle w:val="Definition-Field"/>
      </w:pPr>
      <w:r>
        <w:t xml:space="preserve">a.   </w:t>
      </w:r>
      <w:r>
        <w:rPr>
          <w:i/>
        </w:rPr>
        <w:t>The standard indicates that the e</w:t>
      </w:r>
      <w:r>
        <w:rPr>
          <w:i/>
        </w:rPr>
        <w:t>lement is used for checkboxes, radio buttons, group boxes and scroll bars.</w:t>
      </w:r>
    </w:p>
    <w:p w:rsidR="005F78FC" w:rsidRDefault="00B42EF3">
      <w:pPr>
        <w:pStyle w:val="Definition-Field2"/>
      </w:pPr>
      <w:r>
        <w:t>Excel also uses the NoThreeD element for spinners.</w:t>
      </w:r>
    </w:p>
    <w:p w:rsidR="005F78FC" w:rsidRDefault="00B42EF3">
      <w:pPr>
        <w:pStyle w:val="Heading3"/>
      </w:pPr>
      <w:bookmarkStart w:id="3776" w:name="section_9f43de269a174e698ce2d61e66016310"/>
      <w:bookmarkStart w:id="3777" w:name="_Toc69879661"/>
      <w:r>
        <w:t>Part 4 Section 19.4.2.47, Page (Scroll Bar Page Increment)</w:t>
      </w:r>
      <w:bookmarkEnd w:id="3776"/>
      <w:bookmarkEnd w:id="3777"/>
      <w:r>
        <w:fldChar w:fldCharType="begin"/>
      </w:r>
      <w:r>
        <w:instrText xml:space="preserve"> XE "Page (Scroll Bar Page Increment)" </w:instrText>
      </w:r>
      <w:r>
        <w:fldChar w:fldCharType="end"/>
      </w:r>
    </w:p>
    <w:p w:rsidR="005F78FC" w:rsidRDefault="00B42EF3">
      <w:pPr>
        <w:pStyle w:val="Definition-Field"/>
      </w:pPr>
      <w:r>
        <w:t xml:space="preserve">a.   </w:t>
      </w:r>
      <w:r>
        <w:rPr>
          <w:i/>
        </w:rPr>
        <w:t xml:space="preserve">The standard states that </w:t>
      </w:r>
      <w:r>
        <w:rPr>
          <w:i/>
        </w:rPr>
        <w:t>the values of this element are defined by the XML Schema integer datatype.</w:t>
      </w:r>
    </w:p>
    <w:p w:rsidR="005F78FC" w:rsidRDefault="00B42EF3">
      <w:pPr>
        <w:pStyle w:val="Definition-Field2"/>
      </w:pPr>
      <w:r>
        <w:t>Excel restricts the value of this element to be at least 0 and at most 30000.</w:t>
      </w:r>
    </w:p>
    <w:p w:rsidR="005F78FC" w:rsidRDefault="00B42EF3">
      <w:pPr>
        <w:pStyle w:val="Heading3"/>
      </w:pPr>
      <w:bookmarkStart w:id="3778" w:name="section_20689dc60d9142edabc07fb4976027dc"/>
      <w:bookmarkStart w:id="3779" w:name="_Toc69879662"/>
      <w:r>
        <w:t>Part 4 Section 19.4.2.49, RecalcAlways (Recalculation Toggle)</w:t>
      </w:r>
      <w:bookmarkEnd w:id="3778"/>
      <w:bookmarkEnd w:id="3779"/>
      <w:r>
        <w:fldChar w:fldCharType="begin"/>
      </w:r>
      <w:r>
        <w:instrText xml:space="preserve"> XE "RecalcAlways (Recalculation Toggle)" </w:instrText>
      </w:r>
      <w:r>
        <w:fldChar w:fldCharType="end"/>
      </w:r>
    </w:p>
    <w:p w:rsidR="005F78FC" w:rsidRDefault="00B42EF3">
      <w:pPr>
        <w:pStyle w:val="Definition-Field"/>
      </w:pPr>
      <w:r>
        <w:t xml:space="preserve">a.   </w:t>
      </w:r>
      <w:r>
        <w:rPr>
          <w:i/>
        </w:rPr>
        <w:t>The standard states that this element defines whether the object is always included in recalculation.</w:t>
      </w:r>
    </w:p>
    <w:p w:rsidR="005F78FC" w:rsidRDefault="00B42EF3">
      <w:pPr>
        <w:pStyle w:val="Definition-Field2"/>
      </w:pPr>
      <w:r>
        <w:t>Office does not implement the behavior associated with this element and removes the element on save.</w:t>
      </w:r>
    </w:p>
    <w:p w:rsidR="005F78FC" w:rsidRDefault="00B42EF3">
      <w:pPr>
        <w:pStyle w:val="Heading3"/>
      </w:pPr>
      <w:bookmarkStart w:id="3780" w:name="section_b74ed70b64c94ef4b19cb45e971224e3"/>
      <w:bookmarkStart w:id="3781" w:name="_Toc69879663"/>
      <w:r>
        <w:lastRenderedPageBreak/>
        <w:t>Part 4 Section 19.4.2.51, RowHidden (Comment'</w:t>
      </w:r>
      <w:r>
        <w:t>s Row is Hidden)</w:t>
      </w:r>
      <w:bookmarkEnd w:id="3780"/>
      <w:bookmarkEnd w:id="3781"/>
      <w:r>
        <w:fldChar w:fldCharType="begin"/>
      </w:r>
      <w:r>
        <w:instrText xml:space="preserve"> XE "RowHidden (Comment's Row is Hidden)" </w:instrText>
      </w:r>
      <w:r>
        <w:fldChar w:fldCharType="end"/>
      </w:r>
    </w:p>
    <w:p w:rsidR="005F78FC" w:rsidRDefault="00B42EF3">
      <w:pPr>
        <w:pStyle w:val="Definition-Field"/>
      </w:pPr>
      <w:r>
        <w:t xml:space="preserve">a.   </w:t>
      </w:r>
      <w:r>
        <w:rPr>
          <w:i/>
        </w:rPr>
        <w:t>The standard could imply that the RowHidden element may be used to hide a row.</w:t>
      </w:r>
    </w:p>
    <w:p w:rsidR="005F78FC" w:rsidRDefault="00B42EF3">
      <w:pPr>
        <w:pStyle w:val="Definition-Field2"/>
      </w:pPr>
      <w:r>
        <w:t>Office uses RowHidden as an indicator of whether the row of the cell to which this comment points is hidden and</w:t>
      </w:r>
      <w:r>
        <w:t xml:space="preserve"> cannot be used for hiding a row.  The hidden attribute of the row element ("</w:t>
      </w:r>
      <w:hyperlink r:id="rId277">
        <w:r>
          <w:rPr>
            <w:rStyle w:val="Hyperlink"/>
          </w:rPr>
          <w:t>[ISO/IEC-29500-1]</w:t>
        </w:r>
      </w:hyperlink>
      <w:r>
        <w:t xml:space="preserve"> §18.3.1.73; row") is used for hiding a row.</w:t>
      </w:r>
    </w:p>
    <w:p w:rsidR="005F78FC" w:rsidRDefault="00B42EF3">
      <w:pPr>
        <w:pStyle w:val="Heading3"/>
      </w:pPr>
      <w:bookmarkStart w:id="3782" w:name="section_f73499992b8b434ba3ca650b7c61f2b5"/>
      <w:bookmarkStart w:id="3783" w:name="_Toc69879664"/>
      <w:r>
        <w:t>Part 4 Section 19.4.2.59, SizeWithCells (Resize wit</w:t>
      </w:r>
      <w:r>
        <w:t>h Cells)</w:t>
      </w:r>
      <w:bookmarkEnd w:id="3782"/>
      <w:bookmarkEnd w:id="3783"/>
      <w:r>
        <w:fldChar w:fldCharType="begin"/>
      </w:r>
      <w:r>
        <w:instrText xml:space="preserve"> XE "SizeWithCells (Resize with Cells)" </w:instrText>
      </w:r>
      <w:r>
        <w:fldChar w:fldCharType="end"/>
      </w:r>
    </w:p>
    <w:p w:rsidR="005F78FC" w:rsidRDefault="00B42EF3">
      <w:pPr>
        <w:pStyle w:val="Definition-Field"/>
      </w:pPr>
      <w:r>
        <w:t xml:space="preserve">a.   </w:t>
      </w:r>
      <w:r>
        <w:rPr>
          <w:i/>
        </w:rPr>
        <w:t>The standard defines the meaning of the values true and false for the element.</w:t>
      </w:r>
    </w:p>
    <w:p w:rsidR="005F78FC" w:rsidRDefault="00B42EF3">
      <w:pPr>
        <w:pStyle w:val="Definition-Field2"/>
      </w:pPr>
      <w:r>
        <w:t>Excel reverses the meaning of the values true and false for the SizeWithCells element.</w:t>
      </w:r>
    </w:p>
    <w:p w:rsidR="005F78FC" w:rsidRDefault="00B42EF3">
      <w:pPr>
        <w:pStyle w:val="Heading3"/>
      </w:pPr>
      <w:bookmarkStart w:id="3784" w:name="section_7669e68deb7549b19058dfcaf5707fd5"/>
      <w:bookmarkStart w:id="3785" w:name="_Toc69879665"/>
      <w:r>
        <w:t>Part 4 Section 19.4.2.61, TextVAli</w:t>
      </w:r>
      <w:r>
        <w:t>gn (Vertical Text Alignment)</w:t>
      </w:r>
      <w:bookmarkEnd w:id="3784"/>
      <w:bookmarkEnd w:id="3785"/>
      <w:r>
        <w:fldChar w:fldCharType="begin"/>
      </w:r>
      <w:r>
        <w:instrText xml:space="preserve"> XE "TextVAlign (Vertical Text Alignment)" </w:instrText>
      </w:r>
      <w:r>
        <w:fldChar w:fldCharType="end"/>
      </w:r>
    </w:p>
    <w:p w:rsidR="005F78FC" w:rsidRDefault="00B42EF3">
      <w:pPr>
        <w:pStyle w:val="Definition-Field"/>
      </w:pPr>
      <w:r>
        <w:t xml:space="preserve">a.   </w:t>
      </w:r>
      <w:r>
        <w:rPr>
          <w:i/>
        </w:rPr>
        <w:t>The standard describes a vertical alignment property in terms of horizontal alignment.</w:t>
      </w:r>
    </w:p>
    <w:p w:rsidR="005F78FC" w:rsidRDefault="00B42EF3">
      <w:pPr>
        <w:pStyle w:val="Definition-Field2"/>
      </w:pPr>
      <w:r>
        <w:t>Excel considers the TextVAlign element to specify vertical alignment.</w:t>
      </w:r>
    </w:p>
    <w:p w:rsidR="005F78FC" w:rsidRDefault="00B42EF3">
      <w:pPr>
        <w:pStyle w:val="Heading3"/>
      </w:pPr>
      <w:bookmarkStart w:id="3786" w:name="section_349abc4ba8f340adb212fe737803b70b"/>
      <w:bookmarkStart w:id="3787" w:name="_Toc69879666"/>
      <w:r>
        <w:t>Part 4 Section 19.4.</w:t>
      </w:r>
      <w:r>
        <w:t>2.62, UIObj (UI Object Toggle)</w:t>
      </w:r>
      <w:bookmarkEnd w:id="3786"/>
      <w:bookmarkEnd w:id="3787"/>
      <w:r>
        <w:fldChar w:fldCharType="begin"/>
      </w:r>
      <w:r>
        <w:instrText xml:space="preserve"> XE "UIObj (UI Object Toggle)" </w:instrText>
      </w:r>
      <w:r>
        <w:fldChar w:fldCharType="end"/>
      </w:r>
    </w:p>
    <w:p w:rsidR="005F78FC" w:rsidRDefault="00B42EF3">
      <w:pPr>
        <w:pStyle w:val="Definition-Field"/>
      </w:pPr>
      <w:r>
        <w:t xml:space="preserve">a.   </w:t>
      </w:r>
      <w:r>
        <w:rPr>
          <w:i/>
        </w:rPr>
        <w:t>The standard doesn't define what a UI Object is.</w:t>
      </w:r>
    </w:p>
    <w:p w:rsidR="005F78FC" w:rsidRDefault="00B42EF3">
      <w:pPr>
        <w:pStyle w:val="Definition-Field2"/>
      </w:pPr>
      <w:r>
        <w:t>Excel considers a UI Object to be a graphical object that the user is not able to interact with.</w:t>
      </w:r>
    </w:p>
    <w:p w:rsidR="005F78FC" w:rsidRDefault="00B42EF3">
      <w:pPr>
        <w:pStyle w:val="Heading3"/>
      </w:pPr>
      <w:bookmarkStart w:id="3788" w:name="section_f453e8c0282a48efac209554adad68b7"/>
      <w:bookmarkStart w:id="3789" w:name="_Toc69879667"/>
      <w:r>
        <w:t>Part 4 Section 19.4.2.63, Val (Scroll bar</w:t>
      </w:r>
      <w:r>
        <w:t xml:space="preserve"> position)</w:t>
      </w:r>
      <w:bookmarkEnd w:id="3788"/>
      <w:bookmarkEnd w:id="3789"/>
      <w:r>
        <w:fldChar w:fldCharType="begin"/>
      </w:r>
      <w:r>
        <w:instrText xml:space="preserve"> XE "Val (Scroll bar position)" </w:instrText>
      </w:r>
      <w:r>
        <w:fldChar w:fldCharType="end"/>
      </w:r>
    </w:p>
    <w:p w:rsidR="005F78FC" w:rsidRDefault="00B42EF3">
      <w:pPr>
        <w:pStyle w:val="Definition-Field"/>
      </w:pPr>
      <w:r>
        <w:t xml:space="preserve">a.   </w:t>
      </w:r>
      <w:r>
        <w:rPr>
          <w:i/>
        </w:rPr>
        <w:t>The standard states that the values of this element are defined by the XML Schema integer datatype.</w:t>
      </w:r>
    </w:p>
    <w:p w:rsidR="005F78FC" w:rsidRDefault="00B42EF3">
      <w:pPr>
        <w:pStyle w:val="Definition-Field2"/>
      </w:pPr>
      <w:r>
        <w:t>Excel restricts the value of this element to be at least 0 and at most 30000.</w:t>
      </w:r>
    </w:p>
    <w:p w:rsidR="005F78FC" w:rsidRDefault="00B42EF3">
      <w:pPr>
        <w:pStyle w:val="Definition-Field"/>
      </w:pPr>
      <w:r>
        <w:t xml:space="preserve">b.   </w:t>
      </w:r>
      <w:r>
        <w:rPr>
          <w:i/>
        </w:rPr>
        <w:t xml:space="preserve">The standard indicates </w:t>
      </w:r>
      <w:r>
        <w:rPr>
          <w:i/>
        </w:rPr>
        <w:t>that the Val element is used for scroll bars and spinners.</w:t>
      </w:r>
    </w:p>
    <w:p w:rsidR="005F78FC" w:rsidRDefault="00B42EF3">
      <w:pPr>
        <w:pStyle w:val="Definition-Field2"/>
      </w:pPr>
      <w:r>
        <w:t>Excel also uses the Val element for scroll bars on combo boxes and list boxes.</w:t>
      </w:r>
    </w:p>
    <w:p w:rsidR="005F78FC" w:rsidRDefault="00B42EF3">
      <w:pPr>
        <w:pStyle w:val="Heading3"/>
      </w:pPr>
      <w:bookmarkStart w:id="3790" w:name="section_56636a18430443ddbad9302d7e7582fe"/>
      <w:bookmarkStart w:id="3791" w:name="_Toc69879668"/>
      <w:r>
        <w:t>Part 4 Section 19.4.2.64, ValidIds (Valid ID)</w:t>
      </w:r>
      <w:bookmarkEnd w:id="3790"/>
      <w:bookmarkEnd w:id="3791"/>
      <w:r>
        <w:fldChar w:fldCharType="begin"/>
      </w:r>
      <w:r>
        <w:instrText xml:space="preserve"> XE "ValidIds (Valid ID)" </w:instrText>
      </w:r>
      <w:r>
        <w:fldChar w:fldCharType="end"/>
      </w:r>
    </w:p>
    <w:p w:rsidR="005F78FC" w:rsidRDefault="00B42EF3">
      <w:pPr>
        <w:pStyle w:val="Definition-Field"/>
      </w:pPr>
      <w:r>
        <w:t xml:space="preserve">a.   </w:t>
      </w:r>
      <w:r>
        <w:rPr>
          <w:i/>
        </w:rPr>
        <w:t>The standard indicates how the ValidIds</w:t>
      </w:r>
      <w:r>
        <w:rPr>
          <w:i/>
        </w:rPr>
        <w:t xml:space="preserve"> element is used.</w:t>
      </w:r>
    </w:p>
    <w:p w:rsidR="005F78FC" w:rsidRDefault="00B42EF3">
      <w:pPr>
        <w:pStyle w:val="Definition-Field2"/>
      </w:pPr>
      <w:r>
        <w:t>Excel ignores the ValidIds element and does not preserve it on file save.</w:t>
      </w:r>
    </w:p>
    <w:p w:rsidR="005F78FC" w:rsidRDefault="00B42EF3">
      <w:pPr>
        <w:pStyle w:val="Heading3"/>
      </w:pPr>
      <w:bookmarkStart w:id="3792" w:name="section_86cba58518844f6aa098d59ea4ba636b"/>
      <w:bookmarkStart w:id="3793" w:name="_Toc69879669"/>
      <w:r>
        <w:t>Part 4 Section 19.4.2.68, WidthMin (Minimum Width)</w:t>
      </w:r>
      <w:bookmarkEnd w:id="3792"/>
      <w:bookmarkEnd w:id="3793"/>
      <w:r>
        <w:fldChar w:fldCharType="begin"/>
      </w:r>
      <w:r>
        <w:instrText xml:space="preserve"> XE "WidthMin (Minimum Width)" </w:instrText>
      </w:r>
      <w:r>
        <w:fldChar w:fldCharType="end"/>
      </w:r>
    </w:p>
    <w:p w:rsidR="005F78FC" w:rsidRDefault="00B42EF3">
      <w:pPr>
        <w:pStyle w:val="Definition-Field"/>
      </w:pPr>
      <w:r>
        <w:t xml:space="preserve">a.   </w:t>
      </w:r>
      <w:r>
        <w:rPr>
          <w:i/>
        </w:rPr>
        <w:t xml:space="preserve">The standard indicates the WidthMin element is used for list boxes and </w:t>
      </w:r>
      <w:r>
        <w:rPr>
          <w:i/>
        </w:rPr>
        <w:t>dropdowns.</w:t>
      </w:r>
    </w:p>
    <w:p w:rsidR="005F78FC" w:rsidRDefault="00B42EF3">
      <w:pPr>
        <w:pStyle w:val="Definition-Field2"/>
      </w:pPr>
      <w:r>
        <w:t>Excel uses the element WidthMin for dropdowns only.</w:t>
      </w:r>
    </w:p>
    <w:p w:rsidR="005F78FC" w:rsidRDefault="00B42EF3">
      <w:pPr>
        <w:pStyle w:val="Heading3"/>
      </w:pPr>
      <w:bookmarkStart w:id="3794" w:name="section_4cf33f25c60445a1bd239d283a508e15"/>
      <w:bookmarkStart w:id="3795" w:name="_Toc69879670"/>
      <w:r>
        <w:t>Part 4 Section 19.5.2.2, textdata (VML Diagram Text)</w:t>
      </w:r>
      <w:bookmarkEnd w:id="3794"/>
      <w:bookmarkEnd w:id="3795"/>
      <w:r>
        <w:fldChar w:fldCharType="begin"/>
      </w:r>
      <w:r>
        <w:instrText xml:space="preserve"> XE "textdata (VML Diagram Text)" </w:instrText>
      </w:r>
      <w:r>
        <w:fldChar w:fldCharType="end"/>
      </w:r>
    </w:p>
    <w:p w:rsidR="005F78FC" w:rsidRDefault="00B42EF3">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5F78FC" w:rsidRDefault="00B42EF3">
      <w:pPr>
        <w:pStyle w:val="Heading3"/>
      </w:pPr>
      <w:bookmarkStart w:id="3796" w:name="section_57afc6353ade4d41a7313702bf735c42"/>
      <w:bookmarkStart w:id="3797" w:name="_Toc69879671"/>
      <w:r>
        <w:lastRenderedPageBreak/>
        <w:t>Part 4 Section 20.1.2.3, ST_ColorType (Color Type)</w:t>
      </w:r>
      <w:bookmarkEnd w:id="3796"/>
      <w:bookmarkEnd w:id="3797"/>
      <w:r>
        <w:fldChar w:fldCharType="begin"/>
      </w:r>
      <w:r>
        <w:instrText xml:space="preserve"> XE "ST_ColorType (Color Type)" </w:instrText>
      </w:r>
      <w:r>
        <w:fldChar w:fldCharType="end"/>
      </w:r>
    </w:p>
    <w:p w:rsidR="005F78FC" w:rsidRDefault="00B42EF3">
      <w:pPr>
        <w:pStyle w:val="Definition-Field"/>
      </w:pPr>
      <w:r>
        <w:t xml:space="preserve">a.   </w:t>
      </w:r>
      <w:r>
        <w:rPr>
          <w:i/>
        </w:rPr>
        <w:t>The standard does not indicate the valid color palette entry names for the ST_ColorType simple t</w:t>
      </w:r>
      <w:r>
        <w:rPr>
          <w:i/>
        </w:rPr>
        <w:t>ype.</w:t>
      </w:r>
    </w:p>
    <w:p w:rsidR="005F78FC" w:rsidRDefault="00B42EF3">
      <w:r>
        <w:t>In Office, the following color palette entries are supported:</w:t>
      </w:r>
    </w:p>
    <w:p w:rsidR="005F78FC" w:rsidRDefault="00B42EF3">
      <w:r>
        <w:rPr>
          <w:i/>
        </w:rPr>
        <w:t>ButtonFace</w:t>
      </w:r>
    </w:p>
    <w:p w:rsidR="005F78FC" w:rsidRDefault="00B42EF3">
      <w:r>
        <w:rPr>
          <w:i/>
        </w:rPr>
        <w:t>WindowText</w:t>
      </w:r>
    </w:p>
    <w:p w:rsidR="005F78FC" w:rsidRDefault="00B42EF3">
      <w:r>
        <w:rPr>
          <w:i/>
        </w:rPr>
        <w:t>Menu</w:t>
      </w:r>
    </w:p>
    <w:p w:rsidR="005F78FC" w:rsidRDefault="00B42EF3">
      <w:r>
        <w:rPr>
          <w:i/>
        </w:rPr>
        <w:t>Highlight</w:t>
      </w:r>
    </w:p>
    <w:p w:rsidR="005F78FC" w:rsidRDefault="00B42EF3">
      <w:r>
        <w:rPr>
          <w:i/>
        </w:rPr>
        <w:t>HighlightText</w:t>
      </w:r>
    </w:p>
    <w:p w:rsidR="005F78FC" w:rsidRDefault="00B42EF3">
      <w:r>
        <w:rPr>
          <w:i/>
        </w:rPr>
        <w:t>CaptionText</w:t>
      </w:r>
    </w:p>
    <w:p w:rsidR="005F78FC" w:rsidRDefault="00B42EF3">
      <w:r>
        <w:rPr>
          <w:i/>
        </w:rPr>
        <w:t>ActiveCaption</w:t>
      </w:r>
    </w:p>
    <w:p w:rsidR="005F78FC" w:rsidRDefault="00B42EF3">
      <w:r>
        <w:rPr>
          <w:i/>
        </w:rPr>
        <w:t>ButtonHighlight</w:t>
      </w:r>
    </w:p>
    <w:p w:rsidR="005F78FC" w:rsidRDefault="00B42EF3">
      <w:r>
        <w:rPr>
          <w:i/>
        </w:rPr>
        <w:t>ButtonShadow</w:t>
      </w:r>
    </w:p>
    <w:p w:rsidR="005F78FC" w:rsidRDefault="00B42EF3">
      <w:r>
        <w:rPr>
          <w:i/>
        </w:rPr>
        <w:t>ButtonText</w:t>
      </w:r>
    </w:p>
    <w:p w:rsidR="005F78FC" w:rsidRDefault="00B42EF3">
      <w:r>
        <w:rPr>
          <w:i/>
        </w:rPr>
        <w:t>GrayText</w:t>
      </w:r>
    </w:p>
    <w:p w:rsidR="005F78FC" w:rsidRDefault="00B42EF3">
      <w:r>
        <w:rPr>
          <w:i/>
        </w:rPr>
        <w:t>InactiveCaption</w:t>
      </w:r>
    </w:p>
    <w:p w:rsidR="005F78FC" w:rsidRDefault="00B42EF3">
      <w:r>
        <w:rPr>
          <w:i/>
        </w:rPr>
        <w:t>InactiveCaptionText</w:t>
      </w:r>
    </w:p>
    <w:p w:rsidR="005F78FC" w:rsidRDefault="00B42EF3">
      <w:r>
        <w:rPr>
          <w:i/>
        </w:rPr>
        <w:t>InfoBackground</w:t>
      </w:r>
    </w:p>
    <w:p w:rsidR="005F78FC" w:rsidRDefault="00B42EF3">
      <w:r>
        <w:rPr>
          <w:i/>
        </w:rPr>
        <w:t>InfoText</w:t>
      </w:r>
    </w:p>
    <w:p w:rsidR="005F78FC" w:rsidRDefault="00B42EF3">
      <w:r>
        <w:rPr>
          <w:i/>
        </w:rPr>
        <w:t>Men</w:t>
      </w:r>
      <w:r>
        <w:rPr>
          <w:i/>
        </w:rPr>
        <w:t>uText</w:t>
      </w:r>
    </w:p>
    <w:p w:rsidR="005F78FC" w:rsidRDefault="00B42EF3">
      <w:r>
        <w:rPr>
          <w:i/>
        </w:rPr>
        <w:t>Scrollbar</w:t>
      </w:r>
    </w:p>
    <w:p w:rsidR="005F78FC" w:rsidRDefault="00B42EF3">
      <w:r>
        <w:rPr>
          <w:i/>
        </w:rPr>
        <w:t>Window</w:t>
      </w:r>
    </w:p>
    <w:p w:rsidR="005F78FC" w:rsidRDefault="00B42EF3">
      <w:r>
        <w:rPr>
          <w:i/>
        </w:rPr>
        <w:t>WindowFrame</w:t>
      </w:r>
    </w:p>
    <w:p w:rsidR="005F78FC" w:rsidRDefault="00B42EF3">
      <w:r>
        <w:rPr>
          <w:i/>
        </w:rPr>
        <w:t>ThreeDLightShadow</w:t>
      </w:r>
    </w:p>
    <w:p w:rsidR="005F78FC" w:rsidRDefault="00B42EF3">
      <w:r>
        <w:rPr>
          <w:i/>
        </w:rPr>
        <w:t>ThreeDDarkShadow</w:t>
      </w:r>
    </w:p>
    <w:p w:rsidR="005F78FC" w:rsidRDefault="00B42EF3">
      <w:r>
        <w:rPr>
          <w:i/>
        </w:rPr>
        <w:t>ActiveBorder</w:t>
      </w:r>
    </w:p>
    <w:p w:rsidR="005F78FC" w:rsidRDefault="00B42EF3">
      <w:r>
        <w:rPr>
          <w:i/>
        </w:rPr>
        <w:t>InactiveBorder</w:t>
      </w:r>
    </w:p>
    <w:p w:rsidR="005F78FC" w:rsidRDefault="00B42EF3">
      <w:r>
        <w:rPr>
          <w:i/>
        </w:rPr>
        <w:t>Background</w:t>
      </w:r>
    </w:p>
    <w:p w:rsidR="005F78FC" w:rsidRDefault="00B42EF3">
      <w:r>
        <w:rPr>
          <w:i/>
        </w:rPr>
        <w:t>AppWorkspace</w:t>
      </w:r>
    </w:p>
    <w:p w:rsidR="005F78FC" w:rsidRDefault="00B42EF3">
      <w:r>
        <w:rPr>
          <w:i/>
        </w:rPr>
        <w:t>ThreeDFace (</w:t>
      </w:r>
      <w:r>
        <w:t xml:space="preserve">represents the same color as </w:t>
      </w:r>
      <w:r>
        <w:rPr>
          <w:i/>
        </w:rPr>
        <w:t>ButtonFace)</w:t>
      </w:r>
    </w:p>
    <w:p w:rsidR="005F78FC" w:rsidRDefault="00B42EF3">
      <w:r>
        <w:rPr>
          <w:i/>
        </w:rPr>
        <w:t>ThreeDShadow (</w:t>
      </w:r>
      <w:r>
        <w:t xml:space="preserve">represents the same color as </w:t>
      </w:r>
      <w:r>
        <w:rPr>
          <w:i/>
        </w:rPr>
        <w:t>ButtonShadow)</w:t>
      </w:r>
    </w:p>
    <w:p w:rsidR="005F78FC" w:rsidRDefault="00B42EF3">
      <w:r>
        <w:rPr>
          <w:i/>
        </w:rPr>
        <w:t>ThreeDHighlight (</w:t>
      </w:r>
      <w:r>
        <w:t xml:space="preserve">represents the same color as </w:t>
      </w:r>
      <w:r>
        <w:rPr>
          <w:i/>
        </w:rPr>
        <w:t>ButtonHighlight)</w:t>
      </w:r>
    </w:p>
    <w:p w:rsidR="005F78FC" w:rsidRDefault="00B42EF3">
      <w:r>
        <w:lastRenderedPageBreak/>
        <w:t>[Example:</w:t>
      </w:r>
    </w:p>
    <w:p w:rsidR="005F78FC" w:rsidRDefault="00B42EF3">
      <w:pPr>
        <w:pStyle w:val="Code"/>
      </w:pPr>
      <w:r>
        <w:t>&lt;... color="InactiveCaption" ... &gt;</w:t>
      </w:r>
    </w:p>
    <w:p w:rsidR="005F78FC" w:rsidRDefault="00B42EF3">
      <w:r>
        <w:t>end example]</w:t>
      </w:r>
    </w:p>
    <w:p w:rsidR="005F78FC" w:rsidRDefault="00B42EF3">
      <w:pPr>
        <w:pStyle w:val="Definition-Field"/>
      </w:pPr>
      <w:r>
        <w:t xml:space="preserve">b.   </w:t>
      </w:r>
      <w:r>
        <w:rPr>
          <w:i/>
        </w:rPr>
        <w:t>The standard indicates the kinds of values that the ST_ColorType simple type uses.</w:t>
      </w:r>
    </w:p>
    <w:p w:rsidR="005F78FC" w:rsidRDefault="00B42EF3">
      <w:r>
        <w:t xml:space="preserve">In Office, decimal RGB is specified using “rgb” followed by </w:t>
      </w:r>
      <w:r>
        <w:t>three comma-separated values in parentheses.  These values are an ordered set in the range 0-255 and represent the red, green, and blue components of the color.</w:t>
      </w:r>
    </w:p>
    <w:p w:rsidR="005F78FC" w:rsidRDefault="00B42EF3">
      <w:r>
        <w:t>[Example:</w:t>
      </w:r>
    </w:p>
    <w:p w:rsidR="005F78FC" w:rsidRDefault="00B42EF3">
      <w:pPr>
        <w:pStyle w:val="Code"/>
      </w:pPr>
      <w:r>
        <w:t>&lt; ... color="rgb(95,39,38)" ... &gt;</w:t>
      </w:r>
    </w:p>
    <w:p w:rsidR="005F78FC" w:rsidRDefault="00B42EF3">
      <w:r>
        <w:t>end example]</w:t>
      </w:r>
    </w:p>
    <w:p w:rsidR="005F78FC" w:rsidRDefault="00B42EF3">
      <w:pPr>
        <w:pStyle w:val="Definition-Field"/>
      </w:pPr>
      <w:r>
        <w:t xml:space="preserve">c.   </w:t>
      </w:r>
      <w:r>
        <w:rPr>
          <w:i/>
        </w:rPr>
        <w:t xml:space="preserve">The standard describes the kinds </w:t>
      </w:r>
      <w:r>
        <w:rPr>
          <w:i/>
        </w:rPr>
        <w:t>of values that the ST_ColorType simple type uses.</w:t>
      </w:r>
    </w:p>
    <w:p w:rsidR="005F78FC" w:rsidRDefault="00B42EF3">
      <w:r>
        <w:t>In Office, decimal RGB is specified using rgb followed by three comma-separated values in parentheses.  These values are an ordered set in the range 0-255 and represent the red, green, and blue components o</w:t>
      </w:r>
      <w:r>
        <w:t>f the color.</w:t>
      </w:r>
    </w:p>
    <w:p w:rsidR="005F78FC" w:rsidRDefault="00B42EF3">
      <w:r>
        <w:t>[Example:</w:t>
      </w:r>
    </w:p>
    <w:p w:rsidR="005F78FC" w:rsidRDefault="00B42EF3">
      <w:pPr>
        <w:pStyle w:val="Code"/>
      </w:pPr>
      <w:r>
        <w:t>&lt; ... color="rgb(95,39,38)" ... &gt;</w:t>
      </w:r>
    </w:p>
    <w:p w:rsidR="005F78FC" w:rsidRDefault="00B42EF3">
      <w:r>
        <w:t>end example]</w:t>
      </w:r>
    </w:p>
    <w:p w:rsidR="005F78FC" w:rsidRDefault="00B42EF3">
      <w:pPr>
        <w:pStyle w:val="Definition-Field"/>
      </w:pPr>
      <w:r>
        <w:t xml:space="preserve">d.   </w:t>
      </w:r>
      <w:r>
        <w:rPr>
          <w:i/>
        </w:rPr>
        <w:t>The standard does not state that the value of the ST_ColorType simple type can be specified using three-character hexadecimal RGB notation.</w:t>
      </w:r>
    </w:p>
    <w:p w:rsidR="005F78FC" w:rsidRDefault="00B42EF3">
      <w:pPr>
        <w:pStyle w:val="Definition-Field2"/>
      </w:pPr>
      <w:r>
        <w:t xml:space="preserve">Office does allow this simple type to be </w:t>
      </w:r>
      <w:r>
        <w:t>specified in this way.</w:t>
      </w:r>
    </w:p>
    <w:p w:rsidR="005F78FC" w:rsidRDefault="00B42EF3">
      <w:pPr>
        <w:pStyle w:val="Definition-Field"/>
      </w:pPr>
      <w:r>
        <w:t xml:space="preserve">e.   </w:t>
      </w:r>
      <w:r>
        <w:rPr>
          <w:i/>
        </w:rPr>
        <w:t>The standard does not indicate the valid color palette entry names for the ST_ColorType simple type.</w:t>
      </w:r>
    </w:p>
    <w:p w:rsidR="005F78FC" w:rsidRDefault="00B42EF3">
      <w:r>
        <w:t>In Office, the following color palette entries are supported:</w:t>
      </w:r>
    </w:p>
    <w:p w:rsidR="005F78FC" w:rsidRDefault="00B42EF3">
      <w:r>
        <w:rPr>
          <w:i/>
        </w:rPr>
        <w:t>ButtonFace</w:t>
      </w:r>
    </w:p>
    <w:p w:rsidR="005F78FC" w:rsidRDefault="00B42EF3">
      <w:r>
        <w:rPr>
          <w:i/>
        </w:rPr>
        <w:t>WindowText</w:t>
      </w:r>
    </w:p>
    <w:p w:rsidR="005F78FC" w:rsidRDefault="00B42EF3">
      <w:r>
        <w:rPr>
          <w:i/>
        </w:rPr>
        <w:t>Menu</w:t>
      </w:r>
    </w:p>
    <w:p w:rsidR="005F78FC" w:rsidRDefault="00B42EF3">
      <w:r>
        <w:rPr>
          <w:i/>
        </w:rPr>
        <w:t>Highlight</w:t>
      </w:r>
    </w:p>
    <w:p w:rsidR="005F78FC" w:rsidRDefault="00B42EF3">
      <w:r>
        <w:rPr>
          <w:i/>
        </w:rPr>
        <w:t>HighlightText</w:t>
      </w:r>
    </w:p>
    <w:p w:rsidR="005F78FC" w:rsidRDefault="00B42EF3">
      <w:r>
        <w:rPr>
          <w:i/>
        </w:rPr>
        <w:t>CaptionText</w:t>
      </w:r>
    </w:p>
    <w:p w:rsidR="005F78FC" w:rsidRDefault="00B42EF3">
      <w:r>
        <w:rPr>
          <w:i/>
        </w:rPr>
        <w:t>ActiveCaption</w:t>
      </w:r>
    </w:p>
    <w:p w:rsidR="005F78FC" w:rsidRDefault="00B42EF3">
      <w:r>
        <w:rPr>
          <w:i/>
        </w:rPr>
        <w:t>ButtonHighlight</w:t>
      </w:r>
    </w:p>
    <w:p w:rsidR="005F78FC" w:rsidRDefault="00B42EF3">
      <w:r>
        <w:rPr>
          <w:i/>
        </w:rPr>
        <w:t>ButtonShadow</w:t>
      </w:r>
    </w:p>
    <w:p w:rsidR="005F78FC" w:rsidRDefault="00B42EF3">
      <w:r>
        <w:rPr>
          <w:i/>
        </w:rPr>
        <w:lastRenderedPageBreak/>
        <w:t>ButtonText</w:t>
      </w:r>
    </w:p>
    <w:p w:rsidR="005F78FC" w:rsidRDefault="00B42EF3">
      <w:r>
        <w:rPr>
          <w:i/>
        </w:rPr>
        <w:t>GrayText</w:t>
      </w:r>
    </w:p>
    <w:p w:rsidR="005F78FC" w:rsidRDefault="00B42EF3">
      <w:r>
        <w:rPr>
          <w:i/>
        </w:rPr>
        <w:t>InactiveCaption</w:t>
      </w:r>
    </w:p>
    <w:p w:rsidR="005F78FC" w:rsidRDefault="00B42EF3">
      <w:r>
        <w:rPr>
          <w:i/>
        </w:rPr>
        <w:t>InactiveCaptionText</w:t>
      </w:r>
    </w:p>
    <w:p w:rsidR="005F78FC" w:rsidRDefault="00B42EF3">
      <w:r>
        <w:rPr>
          <w:i/>
        </w:rPr>
        <w:t>InfoBackground</w:t>
      </w:r>
    </w:p>
    <w:p w:rsidR="005F78FC" w:rsidRDefault="00B42EF3">
      <w:r>
        <w:rPr>
          <w:i/>
        </w:rPr>
        <w:t>InfoText</w:t>
      </w:r>
    </w:p>
    <w:p w:rsidR="005F78FC" w:rsidRDefault="00B42EF3">
      <w:r>
        <w:rPr>
          <w:i/>
        </w:rPr>
        <w:t>MenuText</w:t>
      </w:r>
    </w:p>
    <w:p w:rsidR="005F78FC" w:rsidRDefault="00B42EF3">
      <w:r>
        <w:rPr>
          <w:i/>
        </w:rPr>
        <w:t>Scrollbar</w:t>
      </w:r>
    </w:p>
    <w:p w:rsidR="005F78FC" w:rsidRDefault="00B42EF3">
      <w:r>
        <w:rPr>
          <w:i/>
        </w:rPr>
        <w:t>Window</w:t>
      </w:r>
    </w:p>
    <w:p w:rsidR="005F78FC" w:rsidRDefault="00B42EF3">
      <w:r>
        <w:rPr>
          <w:i/>
        </w:rPr>
        <w:t>WindowFrame</w:t>
      </w:r>
    </w:p>
    <w:p w:rsidR="005F78FC" w:rsidRDefault="00B42EF3">
      <w:r>
        <w:rPr>
          <w:i/>
        </w:rPr>
        <w:t>ThreeDLightShadow</w:t>
      </w:r>
    </w:p>
    <w:p w:rsidR="005F78FC" w:rsidRDefault="00B42EF3">
      <w:r>
        <w:rPr>
          <w:i/>
        </w:rPr>
        <w:t>ThreeDDarkShadow</w:t>
      </w:r>
    </w:p>
    <w:p w:rsidR="005F78FC" w:rsidRDefault="00B42EF3">
      <w:r>
        <w:rPr>
          <w:i/>
        </w:rPr>
        <w:t>ActiveBorder</w:t>
      </w:r>
    </w:p>
    <w:p w:rsidR="005F78FC" w:rsidRDefault="00B42EF3">
      <w:r>
        <w:rPr>
          <w:i/>
        </w:rPr>
        <w:t>InactiveBorder</w:t>
      </w:r>
    </w:p>
    <w:p w:rsidR="005F78FC" w:rsidRDefault="00B42EF3">
      <w:r>
        <w:rPr>
          <w:i/>
        </w:rPr>
        <w:t>Background</w:t>
      </w:r>
    </w:p>
    <w:p w:rsidR="005F78FC" w:rsidRDefault="00B42EF3">
      <w:r>
        <w:rPr>
          <w:i/>
        </w:rPr>
        <w:t>AppWorkspace</w:t>
      </w:r>
    </w:p>
    <w:p w:rsidR="005F78FC" w:rsidRDefault="00B42EF3">
      <w:r>
        <w:rPr>
          <w:i/>
        </w:rPr>
        <w:t>ThreeDFa</w:t>
      </w:r>
      <w:r>
        <w:rPr>
          <w:i/>
        </w:rPr>
        <w:t>ce</w:t>
      </w:r>
      <w:r>
        <w:t xml:space="preserve"> (represents the same color as </w:t>
      </w:r>
      <w:r>
        <w:rPr>
          <w:i/>
        </w:rPr>
        <w:t>ButtonFace</w:t>
      </w:r>
      <w:r>
        <w:t>)</w:t>
      </w:r>
    </w:p>
    <w:p w:rsidR="005F78FC" w:rsidRDefault="00B42EF3">
      <w:r>
        <w:rPr>
          <w:i/>
        </w:rPr>
        <w:t>ThreeDShadow</w:t>
      </w:r>
      <w:r>
        <w:t xml:space="preserve"> (represents the same color as </w:t>
      </w:r>
      <w:r>
        <w:rPr>
          <w:i/>
        </w:rPr>
        <w:t>ButtonShadow</w:t>
      </w:r>
      <w:r>
        <w:t>)</w:t>
      </w:r>
    </w:p>
    <w:p w:rsidR="005F78FC" w:rsidRDefault="00B42EF3">
      <w:r>
        <w:rPr>
          <w:i/>
        </w:rPr>
        <w:t>ThreeDHighlight</w:t>
      </w:r>
      <w:r>
        <w:t xml:space="preserve"> (represents the same color as </w:t>
      </w:r>
      <w:r>
        <w:rPr>
          <w:i/>
        </w:rPr>
        <w:t>ButtonHighlight</w:t>
      </w:r>
      <w:r>
        <w:t>)</w:t>
      </w:r>
    </w:p>
    <w:p w:rsidR="005F78FC" w:rsidRDefault="00B42EF3">
      <w:r>
        <w:t>[Example:</w:t>
      </w:r>
    </w:p>
    <w:p w:rsidR="005F78FC" w:rsidRDefault="00B42EF3">
      <w:pPr>
        <w:pStyle w:val="Code"/>
      </w:pPr>
      <w:r>
        <w:t>&lt;... color="InactiveCaption" ... &gt;</w:t>
      </w:r>
    </w:p>
    <w:p w:rsidR="005F78FC" w:rsidRDefault="00B42EF3">
      <w:r>
        <w:t>end example]</w:t>
      </w:r>
    </w:p>
    <w:p w:rsidR="005F78FC" w:rsidRDefault="00B42EF3">
      <w:pPr>
        <w:pStyle w:val="Definition-Field"/>
      </w:pPr>
      <w:r>
        <w:t xml:space="preserve">f.   </w:t>
      </w:r>
      <w:r>
        <w:rPr>
          <w:i/>
        </w:rPr>
        <w:t xml:space="preserve">The standard indicates the </w:t>
      </w:r>
      <w:r>
        <w:rPr>
          <w:i/>
        </w:rPr>
        <w:t>kinds of values that the ST_ColorType simple type uses.</w:t>
      </w:r>
    </w:p>
    <w:p w:rsidR="005F78FC" w:rsidRDefault="00B42EF3">
      <w:r>
        <w:t>In Office, a color palette entry is specified using wincolor followed by a number in parentheses.  The number is the zero-based index of a color in the palette as described in the preceding section.</w:t>
      </w:r>
    </w:p>
    <w:p w:rsidR="005F78FC" w:rsidRDefault="00B42EF3">
      <w:r>
        <w:t>[</w:t>
      </w:r>
      <w:r>
        <w:t>Example:</w:t>
      </w:r>
    </w:p>
    <w:p w:rsidR="005F78FC" w:rsidRDefault="00B42EF3">
      <w:pPr>
        <w:pStyle w:val="Code"/>
      </w:pPr>
      <w:r>
        <w:t>&lt;... color="wincolor(11)" ... &gt;</w:t>
      </w:r>
    </w:p>
    <w:p w:rsidR="005F78FC" w:rsidRDefault="00B42EF3">
      <w:r>
        <w:t>end example]</w:t>
      </w:r>
    </w:p>
    <w:p w:rsidR="005F78FC" w:rsidRDefault="00B42EF3">
      <w:pPr>
        <w:pStyle w:val="Definition-Field"/>
      </w:pPr>
      <w:r>
        <w:t xml:space="preserve">g.   </w:t>
      </w:r>
      <w:r>
        <w:rPr>
          <w:i/>
        </w:rPr>
        <w:t>The standard does not state that the value of the ST_ColorType simple type can be specified using a named shape property notation.</w:t>
      </w:r>
    </w:p>
    <w:p w:rsidR="005F78FC" w:rsidRDefault="00B42EF3">
      <w:r>
        <w:t>Office supports a named shape property notation as a value for the</w:t>
      </w:r>
      <w:r>
        <w:t xml:space="preserve"> simple type. A property is specified using the name of the shape color property.  The following properties are supported:</w:t>
      </w:r>
    </w:p>
    <w:tbl>
      <w:tblPr>
        <w:tblStyle w:val="Table-ShadedHeader"/>
        <w:tblW w:w="0" w:type="auto"/>
        <w:tblLook w:val="04A0" w:firstRow="1" w:lastRow="0" w:firstColumn="1" w:lastColumn="0" w:noHBand="0" w:noVBand="1"/>
      </w:tblPr>
      <w:tblGrid>
        <w:gridCol w:w="1144"/>
        <w:gridCol w:w="3877"/>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lastRenderedPageBreak/>
              <w:t>Property</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rPr>
                <w:i/>
              </w:rPr>
              <w:t>fill</w:t>
            </w:r>
          </w:p>
        </w:tc>
        <w:tc>
          <w:tcPr>
            <w:tcW w:w="0" w:type="auto"/>
            <w:vAlign w:val="center"/>
          </w:tcPr>
          <w:p w:rsidR="005F78FC" w:rsidRDefault="00B42EF3">
            <w:pPr>
              <w:pStyle w:val="TableBodyText"/>
            </w:pPr>
            <w:r>
              <w:t>Fill color</w:t>
            </w:r>
          </w:p>
        </w:tc>
      </w:tr>
      <w:tr w:rsidR="005F78FC" w:rsidTr="005F78FC">
        <w:tc>
          <w:tcPr>
            <w:tcW w:w="0" w:type="auto"/>
            <w:vAlign w:val="center"/>
          </w:tcPr>
          <w:p w:rsidR="005F78FC" w:rsidRDefault="00B42EF3">
            <w:pPr>
              <w:pStyle w:val="TableBodyText"/>
            </w:pPr>
            <w:r>
              <w:rPr>
                <w:i/>
              </w:rPr>
              <w:t>line</w:t>
            </w:r>
          </w:p>
        </w:tc>
        <w:tc>
          <w:tcPr>
            <w:tcW w:w="0" w:type="auto"/>
            <w:vAlign w:val="center"/>
          </w:tcPr>
          <w:p w:rsidR="005F78FC" w:rsidRDefault="00B42EF3">
            <w:pPr>
              <w:pStyle w:val="TableBodyText"/>
            </w:pPr>
            <w:r>
              <w:t>Line color</w:t>
            </w:r>
          </w:p>
        </w:tc>
      </w:tr>
      <w:tr w:rsidR="005F78FC" w:rsidTr="005F78FC">
        <w:tc>
          <w:tcPr>
            <w:tcW w:w="0" w:type="auto"/>
            <w:vAlign w:val="center"/>
          </w:tcPr>
          <w:p w:rsidR="005F78FC" w:rsidRDefault="00B42EF3">
            <w:pPr>
              <w:pStyle w:val="TableBodyText"/>
            </w:pPr>
            <w:r>
              <w:rPr>
                <w:i/>
              </w:rPr>
              <w:t>lineOrFill</w:t>
            </w:r>
          </w:p>
        </w:tc>
        <w:tc>
          <w:tcPr>
            <w:tcW w:w="0" w:type="auto"/>
            <w:vAlign w:val="center"/>
          </w:tcPr>
          <w:p w:rsidR="005F78FC" w:rsidRDefault="00B42EF3">
            <w:pPr>
              <w:pStyle w:val="TableBodyText"/>
            </w:pPr>
            <w:r>
              <w:t>Line color if specified, otherwise, the fill color</w:t>
            </w:r>
          </w:p>
        </w:tc>
      </w:tr>
      <w:tr w:rsidR="005F78FC" w:rsidTr="005F78FC">
        <w:tc>
          <w:tcPr>
            <w:tcW w:w="0" w:type="auto"/>
            <w:vAlign w:val="center"/>
          </w:tcPr>
          <w:p w:rsidR="005F78FC" w:rsidRDefault="00B42EF3">
            <w:pPr>
              <w:pStyle w:val="TableBodyText"/>
            </w:pPr>
            <w:r>
              <w:rPr>
                <w:i/>
              </w:rPr>
              <w:t>fillThenLine</w:t>
            </w:r>
          </w:p>
        </w:tc>
        <w:tc>
          <w:tcPr>
            <w:tcW w:w="0" w:type="auto"/>
            <w:vAlign w:val="center"/>
          </w:tcPr>
          <w:p w:rsidR="005F78FC" w:rsidRDefault="00B42EF3">
            <w:pPr>
              <w:pStyle w:val="TableBodyText"/>
            </w:pPr>
            <w:r>
              <w:t>Fill color if specified, otherwise, the line color</w:t>
            </w:r>
          </w:p>
        </w:tc>
      </w:tr>
      <w:tr w:rsidR="005F78FC" w:rsidTr="005F78FC">
        <w:tc>
          <w:tcPr>
            <w:tcW w:w="0" w:type="auto"/>
            <w:vAlign w:val="center"/>
          </w:tcPr>
          <w:p w:rsidR="005F78FC" w:rsidRDefault="00B42EF3">
            <w:pPr>
              <w:pStyle w:val="TableBodyText"/>
            </w:pPr>
            <w:r>
              <w:rPr>
                <w:i/>
              </w:rPr>
              <w:t>fillBack</w:t>
            </w:r>
          </w:p>
        </w:tc>
        <w:tc>
          <w:tcPr>
            <w:tcW w:w="0" w:type="auto"/>
            <w:vAlign w:val="center"/>
          </w:tcPr>
          <w:p w:rsidR="005F78FC" w:rsidRDefault="00B42EF3">
            <w:pPr>
              <w:pStyle w:val="TableBodyText"/>
            </w:pPr>
            <w:r>
              <w:t>Fill background color</w:t>
            </w:r>
          </w:p>
        </w:tc>
      </w:tr>
      <w:tr w:rsidR="005F78FC" w:rsidTr="005F78FC">
        <w:tc>
          <w:tcPr>
            <w:tcW w:w="0" w:type="auto"/>
            <w:vAlign w:val="center"/>
          </w:tcPr>
          <w:p w:rsidR="005F78FC" w:rsidRDefault="00B42EF3">
            <w:pPr>
              <w:pStyle w:val="TableBodyText"/>
            </w:pPr>
            <w:r>
              <w:rPr>
                <w:i/>
              </w:rPr>
              <w:t>lineBack</w:t>
            </w:r>
          </w:p>
        </w:tc>
        <w:tc>
          <w:tcPr>
            <w:tcW w:w="0" w:type="auto"/>
            <w:vAlign w:val="center"/>
          </w:tcPr>
          <w:p w:rsidR="005F78FC" w:rsidRDefault="00B42EF3">
            <w:pPr>
              <w:pStyle w:val="TableBodyText"/>
            </w:pPr>
            <w:r>
              <w:t>Line background color</w:t>
            </w:r>
          </w:p>
        </w:tc>
      </w:tr>
      <w:tr w:rsidR="005F78FC" w:rsidTr="005F78FC">
        <w:tc>
          <w:tcPr>
            <w:tcW w:w="0" w:type="auto"/>
            <w:vAlign w:val="center"/>
          </w:tcPr>
          <w:p w:rsidR="005F78FC" w:rsidRDefault="00B42EF3">
            <w:pPr>
              <w:pStyle w:val="TableBodyText"/>
            </w:pPr>
            <w:r>
              <w:rPr>
                <w:i/>
              </w:rPr>
              <w:t>shadow</w:t>
            </w:r>
          </w:p>
        </w:tc>
        <w:tc>
          <w:tcPr>
            <w:tcW w:w="0" w:type="auto"/>
            <w:vAlign w:val="center"/>
          </w:tcPr>
          <w:p w:rsidR="005F78FC" w:rsidRDefault="00B42EF3">
            <w:pPr>
              <w:pStyle w:val="TableBodyText"/>
            </w:pPr>
            <w:r>
              <w:t>Shadow color</w:t>
            </w:r>
          </w:p>
        </w:tc>
      </w:tr>
      <w:tr w:rsidR="005F78FC" w:rsidTr="005F78FC">
        <w:tc>
          <w:tcPr>
            <w:tcW w:w="0" w:type="auto"/>
            <w:vAlign w:val="center"/>
          </w:tcPr>
          <w:p w:rsidR="005F78FC" w:rsidRDefault="00B42EF3">
            <w:pPr>
              <w:pStyle w:val="TableBodyText"/>
            </w:pPr>
            <w:r>
              <w:rPr>
                <w:i/>
              </w:rPr>
              <w:t>none</w:t>
            </w:r>
          </w:p>
        </w:tc>
        <w:tc>
          <w:tcPr>
            <w:tcW w:w="0" w:type="auto"/>
            <w:vAlign w:val="center"/>
          </w:tcPr>
          <w:p w:rsidR="005F78FC" w:rsidRDefault="00B42EF3">
            <w:pPr>
              <w:pStyle w:val="TableBodyText"/>
            </w:pPr>
            <w:r>
              <w:t>No color</w:t>
            </w:r>
          </w:p>
        </w:tc>
      </w:tr>
    </w:tbl>
    <w:p w:rsidR="005F78FC" w:rsidRDefault="005F78FC"/>
    <w:p w:rsidR="005F78FC" w:rsidRDefault="00B42EF3">
      <w:r>
        <w:t xml:space="preserve"> [Example:</w:t>
      </w:r>
    </w:p>
    <w:p w:rsidR="005F78FC" w:rsidRDefault="00B42EF3">
      <w:pPr>
        <w:pStyle w:val="Code"/>
      </w:pPr>
      <w:r>
        <w:t>&lt;... color="lineOrFill" ... &gt;</w:t>
      </w:r>
    </w:p>
    <w:p w:rsidR="005F78FC" w:rsidRDefault="00B42EF3">
      <w:r>
        <w:t>end example]</w:t>
      </w:r>
    </w:p>
    <w:p w:rsidR="005F78FC" w:rsidRDefault="00B42EF3">
      <w:pPr>
        <w:pStyle w:val="Definition-Field"/>
      </w:pPr>
      <w:r>
        <w:t xml:space="preserve">h.   </w:t>
      </w:r>
      <w:r>
        <w:rPr>
          <w:i/>
        </w:rPr>
        <w:t>The standard indicates that the recoloring i</w:t>
      </w:r>
      <w:r>
        <w:rPr>
          <w:i/>
        </w:rPr>
        <w:t>nstruction behavior is application-specific.</w:t>
      </w:r>
    </w:p>
    <w:p w:rsidR="005F78FC" w:rsidRDefault="00B42EF3">
      <w:r>
        <w:t>Office supports recoloring instructions in the following way.  Let A represent the amount argument to the recoloring instruction.</w:t>
      </w:r>
    </w:p>
    <w:tbl>
      <w:tblPr>
        <w:tblStyle w:val="Table-ShadedHeader"/>
        <w:tblW w:w="0" w:type="auto"/>
        <w:tblLook w:val="04A0" w:firstRow="1" w:lastRow="0" w:firstColumn="1" w:lastColumn="0" w:noHBand="0" w:noVBand="1"/>
      </w:tblPr>
      <w:tblGrid>
        <w:gridCol w:w="1515"/>
        <w:gridCol w:w="7232"/>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Instruction</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rPr>
                <w:i/>
              </w:rPr>
              <w:t>darken</w:t>
            </w:r>
          </w:p>
        </w:tc>
        <w:tc>
          <w:tcPr>
            <w:tcW w:w="0" w:type="auto"/>
            <w:vAlign w:val="center"/>
          </w:tcPr>
          <w:p w:rsidR="005F78FC" w:rsidRDefault="00B42EF3">
            <w:pPr>
              <w:pStyle w:val="TableBodyText"/>
            </w:pPr>
            <w:r>
              <w:t>Scale each color component by A/256.</w:t>
            </w:r>
          </w:p>
        </w:tc>
      </w:tr>
      <w:tr w:rsidR="005F78FC" w:rsidTr="005F78FC">
        <w:tc>
          <w:tcPr>
            <w:tcW w:w="0" w:type="auto"/>
            <w:vAlign w:val="center"/>
          </w:tcPr>
          <w:p w:rsidR="005F78FC" w:rsidRDefault="00B42EF3">
            <w:pPr>
              <w:pStyle w:val="TableBodyText"/>
            </w:pPr>
            <w:r>
              <w:rPr>
                <w:i/>
              </w:rPr>
              <w:t>lighten</w:t>
            </w:r>
          </w:p>
        </w:tc>
        <w:tc>
          <w:tcPr>
            <w:tcW w:w="0" w:type="auto"/>
            <w:vAlign w:val="center"/>
          </w:tcPr>
          <w:p w:rsidR="005F78FC" w:rsidRDefault="00B42EF3">
            <w:pPr>
              <w:pStyle w:val="TableBodyText"/>
            </w:pPr>
            <w:r>
              <w:t>Scale the inverse of each color component by A/256, then invert the result.</w:t>
            </w:r>
          </w:p>
        </w:tc>
      </w:tr>
      <w:tr w:rsidR="005F78FC" w:rsidTr="005F78FC">
        <w:tc>
          <w:tcPr>
            <w:tcW w:w="0" w:type="auto"/>
            <w:vAlign w:val="center"/>
          </w:tcPr>
          <w:p w:rsidR="005F78FC" w:rsidRDefault="00B42EF3">
            <w:pPr>
              <w:pStyle w:val="TableBodyText"/>
            </w:pPr>
            <w:r>
              <w:rPr>
                <w:i/>
              </w:rPr>
              <w:t>add</w:t>
            </w:r>
          </w:p>
        </w:tc>
        <w:tc>
          <w:tcPr>
            <w:tcW w:w="0" w:type="auto"/>
            <w:vAlign w:val="center"/>
          </w:tcPr>
          <w:p w:rsidR="005F78FC" w:rsidRDefault="00B42EF3">
            <w:pPr>
              <w:pStyle w:val="TableBodyText"/>
            </w:pPr>
            <w:r>
              <w:t>Add A to each color component, limited to a maximum value of 255.</w:t>
            </w:r>
          </w:p>
        </w:tc>
      </w:tr>
      <w:tr w:rsidR="005F78FC" w:rsidTr="005F78FC">
        <w:tc>
          <w:tcPr>
            <w:tcW w:w="0" w:type="auto"/>
            <w:vAlign w:val="center"/>
          </w:tcPr>
          <w:p w:rsidR="005F78FC" w:rsidRDefault="00B42EF3">
            <w:pPr>
              <w:pStyle w:val="TableBodyText"/>
            </w:pPr>
            <w:r>
              <w:rPr>
                <w:i/>
              </w:rPr>
              <w:t>subtract</w:t>
            </w:r>
          </w:p>
        </w:tc>
        <w:tc>
          <w:tcPr>
            <w:tcW w:w="0" w:type="auto"/>
            <w:vAlign w:val="center"/>
          </w:tcPr>
          <w:p w:rsidR="005F78FC" w:rsidRDefault="00B42EF3">
            <w:pPr>
              <w:pStyle w:val="TableBodyText"/>
            </w:pPr>
            <w:r>
              <w:t>Subtract A from each color component, limited to a minimum value of 0.</w:t>
            </w:r>
          </w:p>
        </w:tc>
      </w:tr>
      <w:tr w:rsidR="005F78FC" w:rsidTr="005F78FC">
        <w:tc>
          <w:tcPr>
            <w:tcW w:w="0" w:type="auto"/>
            <w:vAlign w:val="center"/>
          </w:tcPr>
          <w:p w:rsidR="005F78FC" w:rsidRDefault="00B42EF3">
            <w:pPr>
              <w:pStyle w:val="TableBodyText"/>
            </w:pPr>
            <w:r>
              <w:rPr>
                <w:i/>
              </w:rPr>
              <w:t>reverseSubtract</w:t>
            </w:r>
          </w:p>
        </w:tc>
        <w:tc>
          <w:tcPr>
            <w:tcW w:w="0" w:type="auto"/>
            <w:vAlign w:val="center"/>
          </w:tcPr>
          <w:p w:rsidR="005F78FC" w:rsidRDefault="00B42EF3">
            <w:pPr>
              <w:pStyle w:val="TableBodyText"/>
            </w:pPr>
            <w:r>
              <w:t>Subtract ea</w:t>
            </w:r>
            <w:r>
              <w:t xml:space="preserve">ch color component from A, limited to a minimum value of 0. </w:t>
            </w:r>
          </w:p>
        </w:tc>
      </w:tr>
      <w:tr w:rsidR="005F78FC" w:rsidTr="005F78FC">
        <w:tc>
          <w:tcPr>
            <w:tcW w:w="0" w:type="auto"/>
            <w:vAlign w:val="center"/>
          </w:tcPr>
          <w:p w:rsidR="005F78FC" w:rsidRDefault="00B42EF3">
            <w:pPr>
              <w:pStyle w:val="TableBodyText"/>
            </w:pPr>
            <w:r>
              <w:rPr>
                <w:i/>
              </w:rPr>
              <w:t>blackWhite</w:t>
            </w:r>
          </w:p>
        </w:tc>
        <w:tc>
          <w:tcPr>
            <w:tcW w:w="0" w:type="auto"/>
            <w:vAlign w:val="center"/>
          </w:tcPr>
          <w:p w:rsidR="005F78FC" w:rsidRDefault="00B42EF3">
            <w:pPr>
              <w:pStyle w:val="TableBodyText"/>
            </w:pPr>
            <w:r>
              <w:t>A color component is 0 if less than A, otherwise 255.</w:t>
            </w:r>
          </w:p>
        </w:tc>
      </w:tr>
      <w:tr w:rsidR="005F78FC" w:rsidTr="005F78FC">
        <w:tc>
          <w:tcPr>
            <w:tcW w:w="0" w:type="auto"/>
            <w:vAlign w:val="center"/>
          </w:tcPr>
          <w:p w:rsidR="005F78FC" w:rsidRDefault="00B42EF3">
            <w:pPr>
              <w:pStyle w:val="TableBodyText"/>
            </w:pPr>
            <w:r>
              <w:rPr>
                <w:i/>
              </w:rPr>
              <w:t>invert</w:t>
            </w:r>
          </w:p>
        </w:tc>
        <w:tc>
          <w:tcPr>
            <w:tcW w:w="0" w:type="auto"/>
            <w:vAlign w:val="center"/>
          </w:tcPr>
          <w:p w:rsidR="005F78FC" w:rsidRDefault="00B42EF3">
            <w:pPr>
              <w:pStyle w:val="TableBodyText"/>
            </w:pPr>
            <w:r>
              <w:t>Subtract each color component from 255.</w:t>
            </w:r>
          </w:p>
        </w:tc>
      </w:tr>
      <w:tr w:rsidR="005F78FC" w:rsidTr="005F78FC">
        <w:tc>
          <w:tcPr>
            <w:tcW w:w="0" w:type="auto"/>
            <w:vAlign w:val="center"/>
          </w:tcPr>
          <w:p w:rsidR="005F78FC" w:rsidRDefault="00B42EF3">
            <w:pPr>
              <w:pStyle w:val="TableBodyText"/>
            </w:pPr>
            <w:r>
              <w:rPr>
                <w:i/>
              </w:rPr>
              <w:t>invert128</w:t>
            </w:r>
          </w:p>
        </w:tc>
        <w:tc>
          <w:tcPr>
            <w:tcW w:w="0" w:type="auto"/>
            <w:vAlign w:val="center"/>
          </w:tcPr>
          <w:p w:rsidR="005F78FC" w:rsidRDefault="00B42EF3">
            <w:pPr>
              <w:pStyle w:val="TableBodyText"/>
            </w:pPr>
            <w:r>
              <w:t xml:space="preserve">For each color component less than 128, add 128 to it, otherwise </w:t>
            </w:r>
            <w:r>
              <w:t>subtract 128 from it.</w:t>
            </w:r>
          </w:p>
        </w:tc>
      </w:tr>
      <w:tr w:rsidR="005F78FC" w:rsidTr="005F78FC">
        <w:tc>
          <w:tcPr>
            <w:tcW w:w="0" w:type="auto"/>
            <w:vAlign w:val="center"/>
          </w:tcPr>
          <w:p w:rsidR="005F78FC" w:rsidRDefault="00B42EF3">
            <w:pPr>
              <w:pStyle w:val="TableBodyText"/>
            </w:pPr>
            <w:r>
              <w:rPr>
                <w:i/>
              </w:rPr>
              <w:t>grayScale</w:t>
            </w:r>
          </w:p>
        </w:tc>
        <w:tc>
          <w:tcPr>
            <w:tcW w:w="0" w:type="auto"/>
            <w:vAlign w:val="center"/>
          </w:tcPr>
          <w:p w:rsidR="005F78FC" w:rsidRDefault="00B42EF3">
            <w:pPr>
              <w:pStyle w:val="TableBodyText"/>
            </w:pPr>
            <w:r>
              <w:t>Convert the color to a grayscale equivalent.</w:t>
            </w:r>
          </w:p>
        </w:tc>
      </w:tr>
    </w:tbl>
    <w:p w:rsidR="005F78FC" w:rsidRDefault="005F78FC"/>
    <w:p w:rsidR="005F78FC" w:rsidRDefault="00B42EF3">
      <w:r>
        <w:t xml:space="preserve">Office does not save an amount argument for the </w:t>
      </w:r>
      <w:r>
        <w:rPr>
          <w:i/>
        </w:rPr>
        <w:t>invert</w:t>
      </w:r>
      <w:r>
        <w:t xml:space="preserve">, </w:t>
      </w:r>
      <w:r>
        <w:rPr>
          <w:i/>
        </w:rPr>
        <w:t>invert128</w:t>
      </w:r>
      <w:r>
        <w:t xml:space="preserve"> and </w:t>
      </w:r>
      <w:r>
        <w:rPr>
          <w:i/>
        </w:rPr>
        <w:t>grayScale</w:t>
      </w:r>
      <w:r>
        <w:t xml:space="preserve"> recoloring instructions.</w:t>
      </w:r>
    </w:p>
    <w:p w:rsidR="005F78FC" w:rsidRDefault="00B42EF3">
      <w:pPr>
        <w:pStyle w:val="Definition-Field"/>
      </w:pPr>
      <w:r>
        <w:t xml:space="preserve">i.   </w:t>
      </w:r>
      <w:r>
        <w:rPr>
          <w:i/>
        </w:rPr>
        <w:t>The standard indicates how a recoloring instruction is formatted.</w:t>
      </w:r>
    </w:p>
    <w:p w:rsidR="005F78FC" w:rsidRDefault="00B42EF3">
      <w:pPr>
        <w:pStyle w:val="Definition-Field2"/>
      </w:pPr>
      <w:r>
        <w:t>Office does not save a recoloring amount argument for the invert, invert128 and grayScale instructions.</w:t>
      </w:r>
    </w:p>
    <w:p w:rsidR="005F78FC" w:rsidRDefault="00B42EF3">
      <w:pPr>
        <w:pStyle w:val="Definition-Field"/>
      </w:pPr>
      <w:r>
        <w:lastRenderedPageBreak/>
        <w:t xml:space="preserve">j.   </w:t>
      </w:r>
      <w:r>
        <w:rPr>
          <w:i/>
        </w:rPr>
        <w:t>The standard indicates the kinds of values that the ST_ColorType simple type uses.</w:t>
      </w:r>
    </w:p>
    <w:p w:rsidR="005F78FC" w:rsidRDefault="00B42EF3">
      <w:r>
        <w:t>In Office, a color palette entry is specified using “wincolor” f</w:t>
      </w:r>
      <w:r>
        <w:t>ollowed by a number in parentheses.  The number is the zero-based index of a color in the supported color palette.</w:t>
      </w:r>
    </w:p>
    <w:p w:rsidR="005F78FC" w:rsidRDefault="00B42EF3">
      <w:r>
        <w:t>[Example:</w:t>
      </w:r>
    </w:p>
    <w:p w:rsidR="005F78FC" w:rsidRDefault="00B42EF3">
      <w:pPr>
        <w:pStyle w:val="Code"/>
      </w:pPr>
      <w:r>
        <w:t>&lt;... color="wincolor(11)" ... &gt;</w:t>
      </w:r>
    </w:p>
    <w:p w:rsidR="005F78FC" w:rsidRDefault="00B42EF3">
      <w:r>
        <w:t>end example]</w:t>
      </w:r>
    </w:p>
    <w:p w:rsidR="005F78FC" w:rsidRDefault="00B42EF3">
      <w:pPr>
        <w:pStyle w:val="Definition-Field"/>
      </w:pPr>
      <w:r>
        <w:t xml:space="preserve">k.   </w:t>
      </w:r>
      <w:r>
        <w:rPr>
          <w:i/>
        </w:rPr>
        <w:t>The standard indicates the kinds of values that the ST_ColorType simple type uses</w:t>
      </w:r>
      <w:r>
        <w:rPr>
          <w:i/>
        </w:rPr>
        <w:t>.</w:t>
      </w:r>
    </w:p>
    <w:p w:rsidR="005F78FC" w:rsidRDefault="00B42EF3">
      <w:r>
        <w:t>In Office, a shape property is specified using the name of the shape color property.  The following properties are supported:</w:t>
      </w:r>
    </w:p>
    <w:tbl>
      <w:tblPr>
        <w:tblStyle w:val="Table-ShadedHeader"/>
        <w:tblW w:w="0" w:type="auto"/>
        <w:tblLook w:val="04A0" w:firstRow="1" w:lastRow="0" w:firstColumn="1" w:lastColumn="0" w:noHBand="0" w:noVBand="1"/>
      </w:tblPr>
      <w:tblGrid>
        <w:gridCol w:w="1144"/>
        <w:gridCol w:w="3877"/>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Property</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rPr>
                <w:i/>
              </w:rPr>
              <w:t>fill</w:t>
            </w:r>
          </w:p>
        </w:tc>
        <w:tc>
          <w:tcPr>
            <w:tcW w:w="0" w:type="auto"/>
            <w:vAlign w:val="center"/>
          </w:tcPr>
          <w:p w:rsidR="005F78FC" w:rsidRDefault="00B42EF3">
            <w:pPr>
              <w:pStyle w:val="TableBodyText"/>
            </w:pPr>
            <w:r>
              <w:t>Fill color</w:t>
            </w:r>
          </w:p>
        </w:tc>
      </w:tr>
      <w:tr w:rsidR="005F78FC" w:rsidTr="005F78FC">
        <w:tc>
          <w:tcPr>
            <w:tcW w:w="0" w:type="auto"/>
            <w:vAlign w:val="center"/>
          </w:tcPr>
          <w:p w:rsidR="005F78FC" w:rsidRDefault="00B42EF3">
            <w:pPr>
              <w:pStyle w:val="TableBodyText"/>
            </w:pPr>
            <w:r>
              <w:rPr>
                <w:i/>
              </w:rPr>
              <w:t>line</w:t>
            </w:r>
          </w:p>
        </w:tc>
        <w:tc>
          <w:tcPr>
            <w:tcW w:w="0" w:type="auto"/>
            <w:vAlign w:val="center"/>
          </w:tcPr>
          <w:p w:rsidR="005F78FC" w:rsidRDefault="00B42EF3">
            <w:pPr>
              <w:pStyle w:val="TableBodyText"/>
            </w:pPr>
            <w:r>
              <w:t>Line color</w:t>
            </w:r>
          </w:p>
        </w:tc>
      </w:tr>
      <w:tr w:rsidR="005F78FC" w:rsidTr="005F78FC">
        <w:tc>
          <w:tcPr>
            <w:tcW w:w="0" w:type="auto"/>
            <w:vAlign w:val="center"/>
          </w:tcPr>
          <w:p w:rsidR="005F78FC" w:rsidRDefault="00B42EF3">
            <w:pPr>
              <w:pStyle w:val="TableBodyText"/>
            </w:pPr>
            <w:r>
              <w:rPr>
                <w:i/>
              </w:rPr>
              <w:t>lineOrFill</w:t>
            </w:r>
          </w:p>
        </w:tc>
        <w:tc>
          <w:tcPr>
            <w:tcW w:w="0" w:type="auto"/>
            <w:vAlign w:val="center"/>
          </w:tcPr>
          <w:p w:rsidR="005F78FC" w:rsidRDefault="00B42EF3">
            <w:pPr>
              <w:pStyle w:val="TableBodyText"/>
            </w:pPr>
            <w:r>
              <w:t>Line color if specified, otherwise, the fill color</w:t>
            </w:r>
          </w:p>
        </w:tc>
      </w:tr>
      <w:tr w:rsidR="005F78FC" w:rsidTr="005F78FC">
        <w:tc>
          <w:tcPr>
            <w:tcW w:w="0" w:type="auto"/>
            <w:vAlign w:val="center"/>
          </w:tcPr>
          <w:p w:rsidR="005F78FC" w:rsidRDefault="00B42EF3">
            <w:pPr>
              <w:pStyle w:val="TableBodyText"/>
            </w:pPr>
            <w:r>
              <w:rPr>
                <w:i/>
              </w:rPr>
              <w:t>fillThenLine</w:t>
            </w:r>
          </w:p>
        </w:tc>
        <w:tc>
          <w:tcPr>
            <w:tcW w:w="0" w:type="auto"/>
            <w:vAlign w:val="center"/>
          </w:tcPr>
          <w:p w:rsidR="005F78FC" w:rsidRDefault="00B42EF3">
            <w:pPr>
              <w:pStyle w:val="TableBodyText"/>
            </w:pPr>
            <w:r>
              <w:t>Fill color if specified, otherwise, the line color</w:t>
            </w:r>
          </w:p>
        </w:tc>
      </w:tr>
      <w:tr w:rsidR="005F78FC" w:rsidTr="005F78FC">
        <w:tc>
          <w:tcPr>
            <w:tcW w:w="0" w:type="auto"/>
            <w:vAlign w:val="center"/>
          </w:tcPr>
          <w:p w:rsidR="005F78FC" w:rsidRDefault="00B42EF3">
            <w:pPr>
              <w:pStyle w:val="TableBodyText"/>
            </w:pPr>
            <w:r>
              <w:rPr>
                <w:i/>
              </w:rPr>
              <w:t>fillBack</w:t>
            </w:r>
          </w:p>
        </w:tc>
        <w:tc>
          <w:tcPr>
            <w:tcW w:w="0" w:type="auto"/>
            <w:vAlign w:val="center"/>
          </w:tcPr>
          <w:p w:rsidR="005F78FC" w:rsidRDefault="00B42EF3">
            <w:pPr>
              <w:pStyle w:val="TableBodyText"/>
            </w:pPr>
            <w:r>
              <w:t>Fill background color</w:t>
            </w:r>
          </w:p>
        </w:tc>
      </w:tr>
      <w:tr w:rsidR="005F78FC" w:rsidTr="005F78FC">
        <w:tc>
          <w:tcPr>
            <w:tcW w:w="0" w:type="auto"/>
            <w:vAlign w:val="center"/>
          </w:tcPr>
          <w:p w:rsidR="005F78FC" w:rsidRDefault="00B42EF3">
            <w:pPr>
              <w:pStyle w:val="TableBodyText"/>
            </w:pPr>
            <w:r>
              <w:rPr>
                <w:i/>
              </w:rPr>
              <w:t>lineBack</w:t>
            </w:r>
          </w:p>
        </w:tc>
        <w:tc>
          <w:tcPr>
            <w:tcW w:w="0" w:type="auto"/>
            <w:vAlign w:val="center"/>
          </w:tcPr>
          <w:p w:rsidR="005F78FC" w:rsidRDefault="00B42EF3">
            <w:pPr>
              <w:pStyle w:val="TableBodyText"/>
            </w:pPr>
            <w:r>
              <w:t>Line background color</w:t>
            </w:r>
          </w:p>
        </w:tc>
      </w:tr>
      <w:tr w:rsidR="005F78FC" w:rsidTr="005F78FC">
        <w:tc>
          <w:tcPr>
            <w:tcW w:w="0" w:type="auto"/>
            <w:vAlign w:val="center"/>
          </w:tcPr>
          <w:p w:rsidR="005F78FC" w:rsidRDefault="00B42EF3">
            <w:pPr>
              <w:pStyle w:val="TableBodyText"/>
            </w:pPr>
            <w:r>
              <w:rPr>
                <w:i/>
              </w:rPr>
              <w:t>shadow</w:t>
            </w:r>
          </w:p>
        </w:tc>
        <w:tc>
          <w:tcPr>
            <w:tcW w:w="0" w:type="auto"/>
            <w:vAlign w:val="center"/>
          </w:tcPr>
          <w:p w:rsidR="005F78FC" w:rsidRDefault="00B42EF3">
            <w:pPr>
              <w:pStyle w:val="TableBodyText"/>
            </w:pPr>
            <w:r>
              <w:t>Shadow color</w:t>
            </w:r>
          </w:p>
        </w:tc>
      </w:tr>
      <w:tr w:rsidR="005F78FC" w:rsidTr="005F78FC">
        <w:tc>
          <w:tcPr>
            <w:tcW w:w="0" w:type="auto"/>
            <w:vAlign w:val="center"/>
          </w:tcPr>
          <w:p w:rsidR="005F78FC" w:rsidRDefault="00B42EF3">
            <w:pPr>
              <w:pStyle w:val="TableBodyText"/>
            </w:pPr>
            <w:r>
              <w:rPr>
                <w:i/>
              </w:rPr>
              <w:t>none</w:t>
            </w:r>
          </w:p>
        </w:tc>
        <w:tc>
          <w:tcPr>
            <w:tcW w:w="0" w:type="auto"/>
            <w:vAlign w:val="center"/>
          </w:tcPr>
          <w:p w:rsidR="005F78FC" w:rsidRDefault="00B42EF3">
            <w:pPr>
              <w:pStyle w:val="TableBodyText"/>
            </w:pPr>
            <w:r>
              <w:t>No color</w:t>
            </w:r>
          </w:p>
        </w:tc>
      </w:tr>
    </w:tbl>
    <w:p w:rsidR="005F78FC" w:rsidRDefault="005F78FC"/>
    <w:p w:rsidR="005F78FC" w:rsidRDefault="00B42EF3">
      <w:r>
        <w:t>[Example:</w:t>
      </w:r>
    </w:p>
    <w:p w:rsidR="005F78FC" w:rsidRDefault="00B42EF3">
      <w:pPr>
        <w:pStyle w:val="Code"/>
      </w:pPr>
      <w:r>
        <w:t>&lt;... color="lineOrFill" ... &gt;</w:t>
      </w:r>
    </w:p>
    <w:p w:rsidR="005F78FC" w:rsidRDefault="00B42EF3">
      <w:r>
        <w:t>end example]</w:t>
      </w:r>
    </w:p>
    <w:p w:rsidR="005F78FC" w:rsidRDefault="00B42EF3">
      <w:pPr>
        <w:pStyle w:val="Definition-Field"/>
      </w:pPr>
      <w:r>
        <w:t xml:space="preserve">l.   </w:t>
      </w:r>
      <w:r>
        <w:rPr>
          <w:i/>
        </w:rPr>
        <w:t>The standard indicates the kinds</w:t>
      </w:r>
      <w:r>
        <w:rPr>
          <w:i/>
        </w:rPr>
        <w:t xml:space="preserve"> of values that the ST_ColorType simple type uses.</w:t>
      </w:r>
    </w:p>
    <w:p w:rsidR="005F78FC" w:rsidRDefault="00B42EF3">
      <w:r>
        <w:t>In Office, recoloring instructions indicate that the given color is to be modified a particular amount.  The instruction consists of a named instruction followed by the amount, a number in the range 0-255,</w:t>
      </w:r>
      <w:r>
        <w:t xml:space="preserve"> in parenthesis.  The instructions are:</w:t>
      </w:r>
    </w:p>
    <w:p w:rsidR="005F78FC" w:rsidRDefault="00B42EF3">
      <w:pPr>
        <w:pStyle w:val="ListParagraph"/>
        <w:numPr>
          <w:ilvl w:val="0"/>
          <w:numId w:val="192"/>
        </w:numPr>
        <w:contextualSpacing/>
      </w:pPr>
      <w:r>
        <w:rPr>
          <w:i/>
        </w:rPr>
        <w:t>darken</w:t>
      </w:r>
    </w:p>
    <w:p w:rsidR="005F78FC" w:rsidRDefault="00B42EF3">
      <w:pPr>
        <w:pStyle w:val="ListParagraph"/>
        <w:numPr>
          <w:ilvl w:val="0"/>
          <w:numId w:val="192"/>
        </w:numPr>
        <w:contextualSpacing/>
      </w:pPr>
      <w:r>
        <w:rPr>
          <w:i/>
        </w:rPr>
        <w:t>lighten</w:t>
      </w:r>
    </w:p>
    <w:p w:rsidR="005F78FC" w:rsidRDefault="00B42EF3">
      <w:pPr>
        <w:pStyle w:val="ListParagraph"/>
        <w:numPr>
          <w:ilvl w:val="0"/>
          <w:numId w:val="192"/>
        </w:numPr>
        <w:contextualSpacing/>
      </w:pPr>
      <w:r>
        <w:rPr>
          <w:i/>
        </w:rPr>
        <w:t>add</w:t>
      </w:r>
    </w:p>
    <w:p w:rsidR="005F78FC" w:rsidRDefault="00B42EF3">
      <w:pPr>
        <w:pStyle w:val="ListParagraph"/>
        <w:numPr>
          <w:ilvl w:val="0"/>
          <w:numId w:val="192"/>
        </w:numPr>
        <w:contextualSpacing/>
      </w:pPr>
      <w:r>
        <w:rPr>
          <w:i/>
        </w:rPr>
        <w:t>subtract</w:t>
      </w:r>
    </w:p>
    <w:p w:rsidR="005F78FC" w:rsidRDefault="00B42EF3">
      <w:pPr>
        <w:pStyle w:val="ListParagraph"/>
        <w:numPr>
          <w:ilvl w:val="0"/>
          <w:numId w:val="192"/>
        </w:numPr>
        <w:contextualSpacing/>
      </w:pPr>
      <w:r>
        <w:rPr>
          <w:i/>
        </w:rPr>
        <w:t>reverseSubtract</w:t>
      </w:r>
    </w:p>
    <w:p w:rsidR="005F78FC" w:rsidRDefault="00B42EF3">
      <w:pPr>
        <w:pStyle w:val="ListParagraph"/>
        <w:numPr>
          <w:ilvl w:val="0"/>
          <w:numId w:val="192"/>
        </w:numPr>
        <w:contextualSpacing/>
      </w:pPr>
      <w:r>
        <w:rPr>
          <w:i/>
        </w:rPr>
        <w:t>blackWhite</w:t>
      </w:r>
    </w:p>
    <w:p w:rsidR="005F78FC" w:rsidRDefault="00B42EF3">
      <w:pPr>
        <w:pStyle w:val="ListParagraph"/>
        <w:numPr>
          <w:ilvl w:val="0"/>
          <w:numId w:val="192"/>
        </w:numPr>
        <w:contextualSpacing/>
      </w:pPr>
      <w:r>
        <w:rPr>
          <w:i/>
        </w:rPr>
        <w:t>invert</w:t>
      </w:r>
    </w:p>
    <w:p w:rsidR="005F78FC" w:rsidRDefault="00B42EF3">
      <w:pPr>
        <w:pStyle w:val="ListParagraph"/>
        <w:numPr>
          <w:ilvl w:val="0"/>
          <w:numId w:val="192"/>
        </w:numPr>
        <w:contextualSpacing/>
      </w:pPr>
      <w:r>
        <w:rPr>
          <w:i/>
        </w:rPr>
        <w:t>invert128</w:t>
      </w:r>
    </w:p>
    <w:p w:rsidR="005F78FC" w:rsidRDefault="00B42EF3">
      <w:pPr>
        <w:pStyle w:val="ListParagraph"/>
        <w:numPr>
          <w:ilvl w:val="0"/>
          <w:numId w:val="192"/>
        </w:numPr>
      </w:pPr>
      <w:r>
        <w:rPr>
          <w:i/>
        </w:rPr>
        <w:t>grayScale</w:t>
      </w:r>
    </w:p>
    <w:p w:rsidR="005F78FC" w:rsidRDefault="00B42EF3">
      <w:r>
        <w:lastRenderedPageBreak/>
        <w:t>Office supports recoloring instructions in the following way.  Let A represent the amount argument to the recoloring instruction.</w:t>
      </w:r>
    </w:p>
    <w:tbl>
      <w:tblPr>
        <w:tblStyle w:val="Table-ShadedHeader"/>
        <w:tblW w:w="0" w:type="auto"/>
        <w:tblLook w:val="04A0" w:firstRow="1" w:lastRow="0" w:firstColumn="1" w:lastColumn="0" w:noHBand="0" w:noVBand="1"/>
      </w:tblPr>
      <w:tblGrid>
        <w:gridCol w:w="1515"/>
        <w:gridCol w:w="7232"/>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Instruction</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rPr>
                <w:i/>
              </w:rPr>
              <w:t>darken</w:t>
            </w:r>
          </w:p>
        </w:tc>
        <w:tc>
          <w:tcPr>
            <w:tcW w:w="0" w:type="auto"/>
            <w:vAlign w:val="center"/>
          </w:tcPr>
          <w:p w:rsidR="005F78FC" w:rsidRDefault="00B42EF3">
            <w:pPr>
              <w:pStyle w:val="TableBodyText"/>
            </w:pPr>
            <w:r>
              <w:t>Scale each color component by A/256.</w:t>
            </w:r>
          </w:p>
        </w:tc>
      </w:tr>
      <w:tr w:rsidR="005F78FC" w:rsidTr="005F78FC">
        <w:tc>
          <w:tcPr>
            <w:tcW w:w="0" w:type="auto"/>
            <w:vAlign w:val="center"/>
          </w:tcPr>
          <w:p w:rsidR="005F78FC" w:rsidRDefault="00B42EF3">
            <w:pPr>
              <w:pStyle w:val="TableBodyText"/>
            </w:pPr>
            <w:r>
              <w:rPr>
                <w:i/>
              </w:rPr>
              <w:t>lighten</w:t>
            </w:r>
          </w:p>
        </w:tc>
        <w:tc>
          <w:tcPr>
            <w:tcW w:w="0" w:type="auto"/>
            <w:vAlign w:val="center"/>
          </w:tcPr>
          <w:p w:rsidR="005F78FC" w:rsidRDefault="00B42EF3">
            <w:pPr>
              <w:pStyle w:val="TableBodyText"/>
            </w:pPr>
            <w:r>
              <w:t>Scale the inverse of each color component by A/256, then invert the result.</w:t>
            </w:r>
          </w:p>
        </w:tc>
      </w:tr>
      <w:tr w:rsidR="005F78FC" w:rsidTr="005F78FC">
        <w:tc>
          <w:tcPr>
            <w:tcW w:w="0" w:type="auto"/>
            <w:vAlign w:val="center"/>
          </w:tcPr>
          <w:p w:rsidR="005F78FC" w:rsidRDefault="00B42EF3">
            <w:pPr>
              <w:pStyle w:val="TableBodyText"/>
            </w:pPr>
            <w:r>
              <w:rPr>
                <w:i/>
              </w:rPr>
              <w:t>add</w:t>
            </w:r>
          </w:p>
        </w:tc>
        <w:tc>
          <w:tcPr>
            <w:tcW w:w="0" w:type="auto"/>
            <w:vAlign w:val="center"/>
          </w:tcPr>
          <w:p w:rsidR="005F78FC" w:rsidRDefault="00B42EF3">
            <w:pPr>
              <w:pStyle w:val="TableBodyText"/>
            </w:pPr>
            <w:r>
              <w:t>Add A to each color component, limited to a maximum value of 255.</w:t>
            </w:r>
          </w:p>
        </w:tc>
      </w:tr>
      <w:tr w:rsidR="005F78FC" w:rsidTr="005F78FC">
        <w:tc>
          <w:tcPr>
            <w:tcW w:w="0" w:type="auto"/>
            <w:vAlign w:val="center"/>
          </w:tcPr>
          <w:p w:rsidR="005F78FC" w:rsidRDefault="00B42EF3">
            <w:pPr>
              <w:pStyle w:val="TableBodyText"/>
            </w:pPr>
            <w:r>
              <w:rPr>
                <w:i/>
              </w:rPr>
              <w:t>subtract</w:t>
            </w:r>
          </w:p>
        </w:tc>
        <w:tc>
          <w:tcPr>
            <w:tcW w:w="0" w:type="auto"/>
            <w:vAlign w:val="center"/>
          </w:tcPr>
          <w:p w:rsidR="005F78FC" w:rsidRDefault="00B42EF3">
            <w:pPr>
              <w:pStyle w:val="TableBodyText"/>
            </w:pPr>
            <w:r>
              <w:t xml:space="preserve">Subtract A from each </w:t>
            </w:r>
            <w:r>
              <w:t>color component, limited to a minimum value of 0.</w:t>
            </w:r>
          </w:p>
        </w:tc>
      </w:tr>
      <w:tr w:rsidR="005F78FC" w:rsidTr="005F78FC">
        <w:tc>
          <w:tcPr>
            <w:tcW w:w="0" w:type="auto"/>
            <w:vAlign w:val="center"/>
          </w:tcPr>
          <w:p w:rsidR="005F78FC" w:rsidRDefault="00B42EF3">
            <w:pPr>
              <w:pStyle w:val="TableBodyText"/>
            </w:pPr>
            <w:r>
              <w:rPr>
                <w:i/>
              </w:rPr>
              <w:t>reverseSubtract</w:t>
            </w:r>
          </w:p>
        </w:tc>
        <w:tc>
          <w:tcPr>
            <w:tcW w:w="0" w:type="auto"/>
            <w:vAlign w:val="center"/>
          </w:tcPr>
          <w:p w:rsidR="005F78FC" w:rsidRDefault="00B42EF3">
            <w:pPr>
              <w:pStyle w:val="TableBodyText"/>
            </w:pPr>
            <w:r>
              <w:t xml:space="preserve">Subtract each color component from A, limited to a minimum value of 0. </w:t>
            </w:r>
          </w:p>
        </w:tc>
      </w:tr>
      <w:tr w:rsidR="005F78FC" w:rsidTr="005F78FC">
        <w:tc>
          <w:tcPr>
            <w:tcW w:w="0" w:type="auto"/>
            <w:vAlign w:val="center"/>
          </w:tcPr>
          <w:p w:rsidR="005F78FC" w:rsidRDefault="00B42EF3">
            <w:pPr>
              <w:pStyle w:val="TableBodyText"/>
            </w:pPr>
            <w:r>
              <w:rPr>
                <w:i/>
              </w:rPr>
              <w:t>blackWhite</w:t>
            </w:r>
          </w:p>
        </w:tc>
        <w:tc>
          <w:tcPr>
            <w:tcW w:w="0" w:type="auto"/>
            <w:vAlign w:val="center"/>
          </w:tcPr>
          <w:p w:rsidR="005F78FC" w:rsidRDefault="00B42EF3">
            <w:pPr>
              <w:pStyle w:val="TableBodyText"/>
            </w:pPr>
            <w:r>
              <w:t>A color component is 0 if less than A, otherwise 255.</w:t>
            </w:r>
          </w:p>
        </w:tc>
      </w:tr>
      <w:tr w:rsidR="005F78FC" w:rsidTr="005F78FC">
        <w:tc>
          <w:tcPr>
            <w:tcW w:w="0" w:type="auto"/>
            <w:vAlign w:val="center"/>
          </w:tcPr>
          <w:p w:rsidR="005F78FC" w:rsidRDefault="00B42EF3">
            <w:pPr>
              <w:pStyle w:val="TableBodyText"/>
            </w:pPr>
            <w:r>
              <w:rPr>
                <w:i/>
              </w:rPr>
              <w:t>invert</w:t>
            </w:r>
          </w:p>
        </w:tc>
        <w:tc>
          <w:tcPr>
            <w:tcW w:w="0" w:type="auto"/>
            <w:vAlign w:val="center"/>
          </w:tcPr>
          <w:p w:rsidR="005F78FC" w:rsidRDefault="00B42EF3">
            <w:pPr>
              <w:pStyle w:val="TableBodyText"/>
            </w:pPr>
            <w:r>
              <w:t>Subtract each color component from 255.</w:t>
            </w:r>
          </w:p>
        </w:tc>
      </w:tr>
      <w:tr w:rsidR="005F78FC" w:rsidTr="005F78FC">
        <w:tc>
          <w:tcPr>
            <w:tcW w:w="0" w:type="auto"/>
            <w:vAlign w:val="center"/>
          </w:tcPr>
          <w:p w:rsidR="005F78FC" w:rsidRDefault="00B42EF3">
            <w:pPr>
              <w:pStyle w:val="TableBodyText"/>
            </w:pPr>
            <w:r>
              <w:rPr>
                <w:i/>
              </w:rPr>
              <w:t>in</w:t>
            </w:r>
            <w:r>
              <w:rPr>
                <w:i/>
              </w:rPr>
              <w:t>vert128</w:t>
            </w:r>
          </w:p>
        </w:tc>
        <w:tc>
          <w:tcPr>
            <w:tcW w:w="0" w:type="auto"/>
            <w:vAlign w:val="center"/>
          </w:tcPr>
          <w:p w:rsidR="005F78FC" w:rsidRDefault="00B42EF3">
            <w:pPr>
              <w:pStyle w:val="TableBodyText"/>
            </w:pPr>
            <w:r>
              <w:t>For each color component less than 128, subtract 128 from it, otherwise add 128 to it.</w:t>
            </w:r>
          </w:p>
        </w:tc>
      </w:tr>
      <w:tr w:rsidR="005F78FC" w:rsidTr="005F78FC">
        <w:tc>
          <w:tcPr>
            <w:tcW w:w="0" w:type="auto"/>
            <w:vAlign w:val="center"/>
          </w:tcPr>
          <w:p w:rsidR="005F78FC" w:rsidRDefault="00B42EF3">
            <w:pPr>
              <w:pStyle w:val="TableBodyText"/>
            </w:pPr>
            <w:r>
              <w:rPr>
                <w:i/>
              </w:rPr>
              <w:t>grayScale</w:t>
            </w:r>
          </w:p>
        </w:tc>
        <w:tc>
          <w:tcPr>
            <w:tcW w:w="0" w:type="auto"/>
            <w:vAlign w:val="center"/>
          </w:tcPr>
          <w:p w:rsidR="005F78FC" w:rsidRDefault="00B42EF3">
            <w:pPr>
              <w:pStyle w:val="TableBodyText"/>
            </w:pPr>
            <w:r>
              <w:t>Convert the color to a grayscale equivalent.</w:t>
            </w:r>
          </w:p>
        </w:tc>
      </w:tr>
    </w:tbl>
    <w:p w:rsidR="005F78FC" w:rsidRDefault="005F78FC"/>
    <w:p w:rsidR="005F78FC" w:rsidRDefault="00B42EF3">
      <w:r>
        <w:t xml:space="preserve">Office does not save the amount argument for the </w:t>
      </w:r>
      <w:r>
        <w:rPr>
          <w:i/>
        </w:rPr>
        <w:t>invert</w:t>
      </w:r>
      <w:r>
        <w:t xml:space="preserve">, </w:t>
      </w:r>
      <w:r>
        <w:rPr>
          <w:i/>
        </w:rPr>
        <w:t>invert128</w:t>
      </w:r>
      <w:r>
        <w:t xml:space="preserve"> and </w:t>
      </w:r>
      <w:r>
        <w:rPr>
          <w:i/>
        </w:rPr>
        <w:t>grayScale</w:t>
      </w:r>
      <w:r>
        <w:t xml:space="preserve"> recoloring instruction</w:t>
      </w:r>
      <w:r>
        <w:t>s.</w:t>
      </w:r>
    </w:p>
    <w:p w:rsidR="005F78FC" w:rsidRDefault="00B42EF3">
      <w:r>
        <w:t>[</w:t>
      </w:r>
      <w:r>
        <w:rPr>
          <w:i/>
        </w:rPr>
        <w:t>Example:</w:t>
      </w:r>
      <w:r>
        <w:t xml:space="preserve"> The color is darker than the fill color by 50 units:</w:t>
      </w:r>
    </w:p>
    <w:p w:rsidR="005F78FC" w:rsidRDefault="00B42EF3">
      <w:pPr>
        <w:pStyle w:val="Code"/>
      </w:pPr>
      <w:r>
        <w:t>&lt;... color="fill darken(50)"&gt;</w:t>
      </w:r>
    </w:p>
    <w:p w:rsidR="005F78FC" w:rsidRDefault="00B42EF3">
      <w:r>
        <w:rPr>
          <w:i/>
        </w:rPr>
        <w:t>end example</w:t>
      </w:r>
      <w:r>
        <w:t>]</w:t>
      </w:r>
    </w:p>
    <w:p w:rsidR="005F78FC" w:rsidRDefault="00B42EF3">
      <w:pPr>
        <w:pStyle w:val="Heading3"/>
      </w:pPr>
      <w:bookmarkStart w:id="3798" w:name="section_c3aaaaf541984b30a06a526413997642"/>
      <w:bookmarkStart w:id="3799" w:name="_Toc69879672"/>
      <w:r>
        <w:t>Part 4 Section 20.1.2.6, ST_TrueFalseBlank (Boolean Value with Blank [False] State)</w:t>
      </w:r>
      <w:bookmarkEnd w:id="3798"/>
      <w:bookmarkEnd w:id="3799"/>
      <w:r>
        <w:fldChar w:fldCharType="begin"/>
      </w:r>
      <w:r>
        <w:instrText xml:space="preserve"> XE "ST_TrueFalseBlank (Boolean Value with Blank [False] State)"</w:instrText>
      </w:r>
      <w:r>
        <w:instrText xml:space="preserve"> </w:instrText>
      </w:r>
      <w:r>
        <w:fldChar w:fldCharType="end"/>
      </w:r>
    </w:p>
    <w:p w:rsidR="005F78FC" w:rsidRDefault="00B42EF3">
      <w:pPr>
        <w:pStyle w:val="Definition-Field"/>
      </w:pPr>
      <w:r>
        <w:t xml:space="preserve">a.   </w:t>
      </w:r>
      <w:r>
        <w:rPr>
          <w:i/>
        </w:rPr>
        <w:t>The standard says that blank is to be treated as logical false.</w:t>
      </w:r>
    </w:p>
    <w:p w:rsidR="005F78FC" w:rsidRDefault="00B42EF3">
      <w:pPr>
        <w:pStyle w:val="Definition-Field2"/>
      </w:pPr>
      <w:r>
        <w:t>Office will use the default true or false value as defined by the element. If an element does not define a specific value for this state, it is assumed to be true.</w:t>
      </w:r>
    </w:p>
    <w:p w:rsidR="005F78FC" w:rsidRDefault="00B42EF3">
      <w:pPr>
        <w:pStyle w:val="Heading3"/>
      </w:pPr>
      <w:bookmarkStart w:id="3800" w:name="section_91ba9f43deb345f58a1a196afa07e776"/>
      <w:bookmarkStart w:id="3801" w:name="_Toc69879673"/>
      <w:r>
        <w:t>Part 4 Section 20.1.9.2, ahPolar (PolarAdjustHandle)</w:t>
      </w:r>
      <w:bookmarkEnd w:id="3800"/>
      <w:bookmarkEnd w:id="3801"/>
      <w:r>
        <w:fldChar w:fldCharType="begin"/>
      </w:r>
      <w:r>
        <w:instrText xml:space="preserve"> XE "ahPolar (PolarAdjustHandle)" </w:instrText>
      </w:r>
      <w:r>
        <w:fldChar w:fldCharType="end"/>
      </w:r>
    </w:p>
    <w:p w:rsidR="005F78FC" w:rsidRDefault="00B42EF3">
      <w:pPr>
        <w:pStyle w:val="Definition-Field"/>
        <w:rPr>
          <w:i/>
        </w:rPr>
      </w:pPr>
      <w:r>
        <w:t xml:space="preserve">a.   </w:t>
      </w:r>
      <w:r>
        <w:rPr>
          <w:i/>
        </w:rPr>
        <w:t>The standard does not specify how a consumer should interpret the element, when present, if both related pairs of attributes (e.g. both @maxAng and @minAng) are o</w:t>
      </w:r>
      <w:r>
        <w:rPr>
          <w:i/>
        </w:rPr>
        <w:t>mitted.</w:t>
      </w:r>
    </w:p>
    <w:p w:rsidR="005F78FC" w:rsidRDefault="00B42EF3">
      <w:pPr>
        <w:ind w:left="360"/>
      </w:pPr>
      <w:r>
        <w:t>Office will use a default value of zero if both attributes in a pair are omitted.</w:t>
      </w:r>
    </w:p>
    <w:p w:rsidR="005F78FC" w:rsidRDefault="00B42EF3">
      <w:pPr>
        <w:pStyle w:val="Heading3"/>
      </w:pPr>
      <w:bookmarkStart w:id="3802" w:name="section_2e54916a4038416dbe4f887efb6f72de"/>
      <w:bookmarkStart w:id="3803" w:name="_Toc69879674"/>
      <w:r>
        <w:t>Part 4 Section 20.1.9.3, ahXY (XYAdjustHandle)</w:t>
      </w:r>
      <w:bookmarkEnd w:id="3802"/>
      <w:bookmarkEnd w:id="3803"/>
      <w:r>
        <w:fldChar w:fldCharType="begin"/>
      </w:r>
      <w:r>
        <w:instrText xml:space="preserve"> XE "ahXY (XYAdjustHandle)" </w:instrText>
      </w:r>
      <w:r>
        <w:fldChar w:fldCharType="end"/>
      </w:r>
    </w:p>
    <w:p w:rsidR="005F78FC" w:rsidRDefault="00B42EF3">
      <w:pPr>
        <w:pStyle w:val="Definition-Field"/>
        <w:rPr>
          <w:i/>
        </w:rPr>
      </w:pPr>
      <w:r>
        <w:t xml:space="preserve">a.   </w:t>
      </w:r>
      <w:r>
        <w:rPr>
          <w:i/>
        </w:rPr>
        <w:t>The standard does not specify how a consumer should interpret the element, when pres</w:t>
      </w:r>
      <w:r>
        <w:rPr>
          <w:i/>
        </w:rPr>
        <w:t>ent, if both related pairs of attributes (e.g. both @maxX and @minX) are omitted.</w:t>
      </w:r>
    </w:p>
    <w:p w:rsidR="005F78FC" w:rsidRDefault="00B42EF3">
      <w:pPr>
        <w:ind w:left="360"/>
      </w:pPr>
      <w:r>
        <w:t>Office will use a default value of zero if both attributes in a pair are omitted.</w:t>
      </w:r>
    </w:p>
    <w:p w:rsidR="005F78FC" w:rsidRDefault="00B42EF3">
      <w:pPr>
        <w:pStyle w:val="Heading3"/>
      </w:pPr>
      <w:bookmarkStart w:id="3804" w:name="section_454329d47342475a945f2a7e23e740dd"/>
      <w:bookmarkStart w:id="3805" w:name="_Toc69879675"/>
      <w:r>
        <w:lastRenderedPageBreak/>
        <w:t>Part 4 Section 20.1.9.22, Rect (Shape Text Rectangle)</w:t>
      </w:r>
      <w:bookmarkEnd w:id="3804"/>
      <w:bookmarkEnd w:id="3805"/>
      <w:r>
        <w:fldChar w:fldCharType="begin"/>
      </w:r>
      <w:r>
        <w:instrText xml:space="preserve"> XE "Rect (Shape Text Rectangle)" </w:instrText>
      </w:r>
      <w:r>
        <w:fldChar w:fldCharType="end"/>
      </w:r>
    </w:p>
    <w:p w:rsidR="005F78FC" w:rsidRDefault="00B42EF3">
      <w:r>
        <w:t>Th</w:t>
      </w:r>
      <w:r>
        <w:t>e 2D Transform (“</w:t>
      </w:r>
      <w:hyperlink r:id="rId278">
        <w:r>
          <w:rPr>
            <w:rStyle w:val="Hyperlink"/>
          </w:rPr>
          <w:t>[ISO/IEC-29500-1]</w:t>
        </w:r>
      </w:hyperlink>
      <w:r>
        <w:t xml:space="preserve"> §20.4.2.43; xfrm”) modifies Shape Text Rectangle and is required in order to calculate the correct value. Office will ignore the value of Shape Text Rectangle if the 2D Transform is omitted.</w:t>
      </w:r>
    </w:p>
    <w:p w:rsidR="005F78FC" w:rsidRDefault="00B42EF3">
      <w:pPr>
        <w:pStyle w:val="Heading1"/>
      </w:pPr>
      <w:bookmarkStart w:id="3806" w:name="section_b6a41f5bf644411d827d292a4f827be4"/>
      <w:bookmarkStart w:id="3807" w:name="_Toc69879676"/>
      <w:r>
        <w:lastRenderedPageBreak/>
        <w:t>Appendix A: Additional Information</w:t>
      </w:r>
      <w:bookmarkEnd w:id="3806"/>
      <w:bookmarkEnd w:id="3807"/>
    </w:p>
    <w:p w:rsidR="005F78FC" w:rsidRDefault="00B42EF3">
      <w:pPr>
        <w:pStyle w:val="Heading2"/>
      </w:pPr>
      <w:bookmarkStart w:id="3808" w:name="section_7e6f9361139c47ebb40999f33fbe3b11"/>
      <w:bookmarkStart w:id="3809" w:name="_Toc69879677"/>
      <w:r>
        <w:t>Word</w:t>
      </w:r>
      <w:bookmarkEnd w:id="3808"/>
      <w:bookmarkEnd w:id="3809"/>
      <w:r>
        <w:fldChar w:fldCharType="begin"/>
      </w:r>
      <w:r>
        <w:instrText xml:space="preserve"> XE "Word (Additional Inf</w:instrText>
      </w:r>
      <w:r>
        <w:instrText xml:space="preserve">ormation)" </w:instrText>
      </w:r>
      <w:r>
        <w:fldChar w:fldCharType="end"/>
      </w:r>
    </w:p>
    <w:p w:rsidR="005F78FC" w:rsidRDefault="00B42EF3">
      <w:r>
        <w:t xml:space="preserve">This section contains additional information used to describe more fully how Word implements Office Open XML File Formats </w:t>
      </w:r>
      <w:hyperlink r:id="rId279">
        <w:r>
          <w:rPr>
            <w:rStyle w:val="Hyperlink"/>
          </w:rPr>
          <w:t>[ISO/IEC29500:2012]</w:t>
        </w:r>
      </w:hyperlink>
      <w:r>
        <w:t>.</w:t>
      </w:r>
    </w:p>
    <w:p w:rsidR="005F78FC" w:rsidRDefault="00B42EF3">
      <w:pPr>
        <w:pStyle w:val="Heading3"/>
      </w:pPr>
      <w:bookmarkStart w:id="3810" w:name="section_cc2c9f8989204c0f94e5bbb8e3b48b52"/>
      <w:bookmarkStart w:id="3811" w:name="_Toc69879678"/>
      <w:r>
        <w:t>Additional Parts</w:t>
      </w:r>
      <w:bookmarkEnd w:id="3810"/>
      <w:bookmarkEnd w:id="3811"/>
      <w:r>
        <w:fldChar w:fldCharType="begin"/>
      </w:r>
      <w:r>
        <w:instrText xml:space="preserve"> XE "Additional P</w:instrText>
      </w:r>
      <w:r>
        <w:instrText xml:space="preserve">arts" </w:instrText>
      </w:r>
      <w:r>
        <w:fldChar w:fldCharType="end"/>
      </w:r>
    </w:p>
    <w:p w:rsidR="005F78FC" w:rsidRDefault="00B42EF3">
      <w:r>
        <w:t>The subclauses subordinate to this one describe in detail each of the part types specific to Word, in addition to those listed as part of Office Open XML File Formats ("</w:t>
      </w:r>
      <w:hyperlink r:id="rId280">
        <w:r>
          <w:rPr>
            <w:rStyle w:val="Hyperlink"/>
          </w:rPr>
          <w:t>[ISO/IEC-295</w:t>
        </w:r>
        <w:r>
          <w:rPr>
            <w:rStyle w:val="Hyperlink"/>
          </w:rPr>
          <w:t>00-1]</w:t>
        </w:r>
      </w:hyperlink>
      <w:r>
        <w:t xml:space="preserve"> §11").</w:t>
      </w:r>
    </w:p>
    <w:p w:rsidR="005F78FC" w:rsidRDefault="00B42EF3">
      <w:pPr>
        <w:pStyle w:val="Heading4"/>
      </w:pPr>
      <w:bookmarkStart w:id="3812" w:name="section_618afd53b3d54eb4836da647299f9e39"/>
      <w:bookmarkStart w:id="3813" w:name="_Toc69879679"/>
      <w:r>
        <w:t>Word Attached Toolbars Part</w:t>
      </w:r>
      <w:bookmarkEnd w:id="3812"/>
      <w:bookmarkEnd w:id="3813"/>
      <w:r>
        <w:fldChar w:fldCharType="begin"/>
      </w:r>
      <w:r>
        <w:instrText xml:space="preserve"> XE "Word Attached Toolbars Part" </w:instrText>
      </w:r>
      <w:r>
        <w:fldChar w:fldCharType="end"/>
      </w:r>
    </w:p>
    <w:p w:rsidR="005F78FC" w:rsidRDefault="00B42EF3">
      <w:r>
        <w:rPr>
          <w:b/>
          <w:i/>
        </w:rPr>
        <w:t>Content Type</w:t>
      </w:r>
    </w:p>
    <w:p w:rsidR="005F78FC" w:rsidRDefault="00B42EF3">
      <w:r>
        <w:rPr>
          <w:i/>
        </w:rPr>
        <w:t>application/vnd.ms-word.attachedToolbars</w:t>
      </w:r>
    </w:p>
    <w:p w:rsidR="005F78FC" w:rsidRDefault="00B42EF3">
      <w:r>
        <w:rPr>
          <w:b/>
          <w:i/>
        </w:rPr>
        <w:t>Root Namespace</w:t>
      </w:r>
    </w:p>
    <w:p w:rsidR="005F78FC" w:rsidRDefault="00B42EF3">
      <w:r>
        <w:rPr>
          <w:i/>
        </w:rPr>
        <w:t>Not applicable</w:t>
      </w:r>
    </w:p>
    <w:p w:rsidR="005F78FC" w:rsidRDefault="00B42EF3">
      <w:r>
        <w:rPr>
          <w:b/>
          <w:i/>
        </w:rPr>
        <w:t>Source Relationship</w:t>
      </w:r>
    </w:p>
    <w:p w:rsidR="005F78FC" w:rsidRDefault="00B42EF3">
      <w:r>
        <w:rPr>
          <w:i/>
        </w:rPr>
        <w:t>http://schemas.microsoft.com/office/2006/relationships/attachedToolbars</w:t>
      </w:r>
    </w:p>
    <w:p w:rsidR="005F78FC" w:rsidRDefault="00B42EF3">
      <w:r>
        <w:t>Thi</w:t>
      </w:r>
      <w:r>
        <w:t>s binary part supports the storage of custom toolbars created by the user.</w:t>
      </w:r>
    </w:p>
    <w:p w:rsidR="005F78FC" w:rsidRDefault="00B42EF3">
      <w:r>
        <w:t>A package shall contain at most one Attached Toolbars part, and that part shall be the target of an implicit relationship from the Customizations part (</w:t>
      </w:r>
      <w:hyperlink w:anchor="Section_25472ee1074b4741b3bd5d72b5a55bdc">
        <w:r>
          <w:rPr>
            <w:rStyle w:val="Hyperlink"/>
          </w:rPr>
          <w:t>§3.1.1.2, Customizations Part</w:t>
        </w:r>
      </w:hyperlink>
      <w:r>
        <w:t>).</w:t>
      </w:r>
    </w:p>
    <w:p w:rsidR="005F78FC" w:rsidRDefault="00B42EF3">
      <w:r>
        <w:t>[Example: The following Customizations part-relationship item contains a relationship to the Attached Toolbars part, which is stored in the ZIP item attachedToolbars.bin:</w:t>
      </w:r>
    </w:p>
    <w:p w:rsidR="005F78FC" w:rsidRDefault="00B42EF3">
      <w:pPr>
        <w:pStyle w:val="Code"/>
      </w:pPr>
      <w:r>
        <w:t>&lt;Relationships xmln</w:t>
      </w:r>
      <w:r>
        <w:t>s="…"&gt;</w:t>
      </w:r>
    </w:p>
    <w:p w:rsidR="005F78FC" w:rsidRDefault="00B42EF3">
      <w:pPr>
        <w:pStyle w:val="Code"/>
      </w:pPr>
      <w:r>
        <w:t xml:space="preserve">  &lt;Relationship Id="rId1" </w:t>
      </w:r>
    </w:p>
    <w:p w:rsidR="005F78FC" w:rsidRDefault="00B42EF3">
      <w:pPr>
        <w:pStyle w:val="Code"/>
      </w:pPr>
      <w:r>
        <w:t xml:space="preserve">    Type="http://…/attachedToolbars" Target="attachedToolbars.bin"/&gt;</w:t>
      </w:r>
    </w:p>
    <w:p w:rsidR="005F78FC" w:rsidRDefault="00B42EF3">
      <w:pPr>
        <w:pStyle w:val="Code"/>
      </w:pPr>
      <w:r>
        <w:t>&lt;/Relationships&gt;</w:t>
      </w:r>
    </w:p>
    <w:p w:rsidR="005F78FC" w:rsidRDefault="00B42EF3">
      <w:r>
        <w:t>end example]</w:t>
      </w:r>
    </w:p>
    <w:p w:rsidR="005F78FC" w:rsidRDefault="00B42EF3">
      <w:r>
        <w:t xml:space="preserve">An Attached Toolbars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5F78FC" w:rsidRDefault="00B42EF3">
      <w:r>
        <w:t>An Attached Toolbars part shall not have implicit or explici</w:t>
      </w:r>
      <w:r>
        <w:t xml:space="preserve">t relationships to any part defined by Office Open XML File Formats </w:t>
      </w:r>
      <w:hyperlink r:id="rId281">
        <w:r>
          <w:rPr>
            <w:rStyle w:val="Hyperlink"/>
          </w:rPr>
          <w:t>[ISO/IEC29500:2012]</w:t>
        </w:r>
      </w:hyperlink>
      <w:r>
        <w:t>.</w:t>
      </w:r>
    </w:p>
    <w:p w:rsidR="005F78FC" w:rsidRDefault="00B42EF3">
      <w:r>
        <w:t xml:space="preserve">The ZIP item attachedToolbars.bin contains a single binary stream with a single CTBWRAPPER structure </w:t>
      </w:r>
      <w:r>
        <w:t>as specified in the Word 97-2003 Binary File Format (.doc) Structure Specification ("</w:t>
      </w:r>
      <w:hyperlink r:id="rId282" w:anchor="Section_ccd7b4867881484ca13751170af7cc22">
        <w:r>
          <w:rPr>
            <w:rStyle w:val="Hyperlink"/>
          </w:rPr>
          <w:t>[MS-DOC]</w:t>
        </w:r>
      </w:hyperlink>
      <w:r>
        <w:t xml:space="preserve"> section 2.9.49; CTBWRAPPER") book.</w:t>
      </w:r>
    </w:p>
    <w:p w:rsidR="005F78FC" w:rsidRDefault="00B42EF3">
      <w:pPr>
        <w:pStyle w:val="Heading4"/>
      </w:pPr>
      <w:bookmarkStart w:id="3814" w:name="section_25472ee1074b4741b3bd5d72b5a55bdc"/>
      <w:bookmarkStart w:id="3815" w:name="_Toc69879680"/>
      <w:r>
        <w:t>Customizations Part</w:t>
      </w:r>
      <w:bookmarkEnd w:id="3814"/>
      <w:bookmarkEnd w:id="3815"/>
      <w:r>
        <w:fldChar w:fldCharType="begin"/>
      </w:r>
      <w:r>
        <w:instrText xml:space="preserve"> XE "Customizations Part" </w:instrText>
      </w:r>
      <w:r>
        <w:fldChar w:fldCharType="end"/>
      </w:r>
    </w:p>
    <w:p w:rsidR="005F78FC" w:rsidRDefault="00B42EF3">
      <w:r>
        <w:rPr>
          <w:b/>
          <w:i/>
        </w:rPr>
        <w:t>C</w:t>
      </w:r>
      <w:r>
        <w:rPr>
          <w:b/>
          <w:i/>
        </w:rPr>
        <w:t>ontent Type</w:t>
      </w:r>
    </w:p>
    <w:p w:rsidR="005F78FC" w:rsidRDefault="00B42EF3">
      <w:r>
        <w:rPr>
          <w:i/>
        </w:rPr>
        <w:t>application/vnd.ms-word.keyMapCustomizations+xml</w:t>
      </w:r>
    </w:p>
    <w:p w:rsidR="005F78FC" w:rsidRDefault="00B42EF3">
      <w:r>
        <w:rPr>
          <w:b/>
          <w:i/>
        </w:rPr>
        <w:lastRenderedPageBreak/>
        <w:t>Root Namespace</w:t>
      </w:r>
    </w:p>
    <w:p w:rsidR="005F78FC" w:rsidRDefault="00B42EF3">
      <w:r>
        <w:rPr>
          <w:i/>
        </w:rPr>
        <w:t>http://schemas.openxmlformats.org/wordprocessingml/2006/main</w:t>
      </w:r>
    </w:p>
    <w:p w:rsidR="005F78FC" w:rsidRDefault="00B42EF3">
      <w:r>
        <w:rPr>
          <w:b/>
          <w:i/>
        </w:rPr>
        <w:t>Source Relationship</w:t>
      </w:r>
    </w:p>
    <w:p w:rsidR="005F78FC" w:rsidRDefault="00B42EF3">
      <w:r>
        <w:rPr>
          <w:i/>
        </w:rPr>
        <w:t>http://schemas.microsoft.com/office/2006/relationships/keyMapCustomizations</w:t>
      </w:r>
    </w:p>
    <w:p w:rsidR="005F78FC" w:rsidRDefault="00B42EF3">
      <w:r>
        <w:t xml:space="preserve">An instance of this </w:t>
      </w:r>
      <w:r>
        <w:t>part type contains the document's template command group (TCG), which consists of key mapping and toolbar customizations.</w:t>
      </w:r>
    </w:p>
    <w:p w:rsidR="005F78FC" w:rsidRDefault="00B42EF3">
      <w:r>
        <w:t>A package shall contain no more than two Customizations parts. If it exists, one instance of that part shall be the target of an impli</w:t>
      </w:r>
      <w:r>
        <w:t>cit relationship from the Main Document part ("</w:t>
      </w:r>
      <w:hyperlink r:id="rId283">
        <w:r>
          <w:rPr>
            <w:rStyle w:val="Hyperlink"/>
          </w:rPr>
          <w:t>[ISO/IEC-29500-1]</w:t>
        </w:r>
      </w:hyperlink>
      <w:r>
        <w:t xml:space="preserve"> §11.3.10"), and the other instance shall be the target of an implicit relationship from the Glossary Document part ("[ISO/IEC</w:t>
      </w:r>
      <w:r>
        <w:t>-29500-1] §11.3.8").</w:t>
      </w:r>
    </w:p>
    <w:p w:rsidR="005F78FC" w:rsidRDefault="00B42EF3">
      <w:r>
        <w:t>[Example: The following Main Document part-relationship item contains a relationship to a Customizations part, which is stored in the ZIP item customizations.xml:</w:t>
      </w:r>
    </w:p>
    <w:p w:rsidR="005F78FC" w:rsidRDefault="00B42EF3">
      <w:pPr>
        <w:pStyle w:val="Code"/>
      </w:pPr>
      <w:r>
        <w:t>&lt;Relationships xmlns="…"&gt;</w:t>
      </w:r>
    </w:p>
    <w:p w:rsidR="005F78FC" w:rsidRDefault="00B42EF3">
      <w:pPr>
        <w:pStyle w:val="Code"/>
      </w:pPr>
      <w:r>
        <w:t xml:space="preserve">  &lt;Relationship Id="rId4"</w:t>
      </w:r>
    </w:p>
    <w:p w:rsidR="005F78FC" w:rsidRDefault="00B42EF3">
      <w:pPr>
        <w:pStyle w:val="Code"/>
      </w:pPr>
      <w:r>
        <w:t xml:space="preserve">    Type="http://…/k</w:t>
      </w:r>
      <w:r>
        <w:t>eyMapCustomizations" Target="customizations.xml"/&gt;</w:t>
      </w:r>
    </w:p>
    <w:p w:rsidR="005F78FC" w:rsidRDefault="00B42EF3">
      <w:pPr>
        <w:pStyle w:val="Code"/>
      </w:pPr>
      <w:r>
        <w:t>&lt;/Relationships&gt;</w:t>
      </w:r>
    </w:p>
    <w:p w:rsidR="005F78FC" w:rsidRDefault="00B42EF3">
      <w:r>
        <w:t>end example]</w:t>
      </w:r>
    </w:p>
    <w:p w:rsidR="005F78FC" w:rsidRDefault="00B42EF3">
      <w:r>
        <w:t xml:space="preserve">The root element for a part of this content type shall be </w:t>
      </w:r>
      <w:r>
        <w:rPr>
          <w:b/>
        </w:rPr>
        <w:t>tcg</w:t>
      </w:r>
      <w:r>
        <w:t>.</w:t>
      </w:r>
    </w:p>
    <w:p w:rsidR="005F78FC" w:rsidRDefault="00B42EF3">
      <w:r>
        <w:t>[Example:</w:t>
      </w:r>
    </w:p>
    <w:p w:rsidR="005F78FC" w:rsidRDefault="00B42EF3">
      <w:pPr>
        <w:pStyle w:val="Code"/>
      </w:pPr>
      <w:r>
        <w:t>&lt;wne:tcg …&gt;</w:t>
      </w:r>
    </w:p>
    <w:p w:rsidR="005F78FC" w:rsidRDefault="00B42EF3">
      <w:pPr>
        <w:pStyle w:val="Code"/>
      </w:pPr>
      <w:r>
        <w:t xml:space="preserve">    &lt;wne:keymaps&gt;</w:t>
      </w:r>
    </w:p>
    <w:p w:rsidR="005F78FC" w:rsidRDefault="00B42EF3">
      <w:pPr>
        <w:pStyle w:val="Code"/>
      </w:pPr>
      <w:r>
        <w:t xml:space="preserve">        &lt;wne:keymap wne:kcmPrimary="0341"&gt;</w:t>
      </w:r>
    </w:p>
    <w:p w:rsidR="005F78FC" w:rsidRDefault="00B42EF3">
      <w:pPr>
        <w:pStyle w:val="Code"/>
      </w:pPr>
      <w:r>
        <w:t xml:space="preserve">            &lt;wne:fci wne:fciN</w:t>
      </w:r>
      <w:r>
        <w:t>ame="CssLinks" wne:swArg="0000"/&gt;</w:t>
      </w:r>
    </w:p>
    <w:p w:rsidR="005F78FC" w:rsidRDefault="00B42EF3">
      <w:pPr>
        <w:pStyle w:val="Code"/>
      </w:pPr>
      <w:r>
        <w:t xml:space="preserve">        &lt;/wne:keymap&gt;</w:t>
      </w:r>
    </w:p>
    <w:p w:rsidR="005F78FC" w:rsidRDefault="00B42EF3">
      <w:pPr>
        <w:pStyle w:val="Code"/>
      </w:pPr>
      <w:r>
        <w:t xml:space="preserve">    &lt;/wne:keymaps&gt;</w:t>
      </w:r>
    </w:p>
    <w:p w:rsidR="005F78FC" w:rsidRDefault="00B42EF3">
      <w:pPr>
        <w:pStyle w:val="Code"/>
      </w:pPr>
      <w:r>
        <w:t xml:space="preserve">    &lt;wne:toolbars&gt;</w:t>
      </w:r>
    </w:p>
    <w:p w:rsidR="005F78FC" w:rsidRDefault="00B42EF3">
      <w:pPr>
        <w:pStyle w:val="Code"/>
      </w:pPr>
      <w:r>
        <w:t xml:space="preserve">        &lt;wne:toolbarData r:id="rId1"/&gt;</w:t>
      </w:r>
    </w:p>
    <w:p w:rsidR="005F78FC" w:rsidRDefault="00B42EF3">
      <w:pPr>
        <w:pStyle w:val="Code"/>
      </w:pPr>
      <w:r>
        <w:t xml:space="preserve">    &lt;/wne:toolbars&gt;</w:t>
      </w:r>
    </w:p>
    <w:p w:rsidR="005F78FC" w:rsidRDefault="00B42EF3">
      <w:pPr>
        <w:pStyle w:val="Code"/>
      </w:pPr>
      <w:r>
        <w:t>&lt;/wne:tcg&gt;</w:t>
      </w:r>
    </w:p>
    <w:p w:rsidR="005F78FC" w:rsidRDefault="00B42EF3">
      <w:r>
        <w:t>end example]</w:t>
      </w:r>
    </w:p>
    <w:p w:rsidR="005F78FC" w:rsidRDefault="00B42EF3">
      <w:r>
        <w:t xml:space="preserve">A Customizations part is permitted to contain explicit relationships to the following parts defined by Office Open XML File Formats </w:t>
      </w:r>
      <w:hyperlink r:id="rId284">
        <w:r>
          <w:rPr>
            <w:rStyle w:val="Hyperlink"/>
          </w:rPr>
          <w:t>[ISO/IEC29500:2012]</w:t>
        </w:r>
      </w:hyperlink>
      <w:r>
        <w:t>:</w:t>
      </w:r>
    </w:p>
    <w:p w:rsidR="005F78FC" w:rsidRDefault="00B42EF3">
      <w:pPr>
        <w:pStyle w:val="ListParagraph"/>
        <w:numPr>
          <w:ilvl w:val="0"/>
          <w:numId w:val="193"/>
        </w:numPr>
      </w:pPr>
      <w:r>
        <w:t>Word Attached Toolbars Part (</w:t>
      </w:r>
      <w:hyperlink w:anchor="Section_618afd53b3d54eb4836da647299f9e39">
        <w:r>
          <w:rPr>
            <w:rStyle w:val="Hyperlink"/>
          </w:rPr>
          <w:t>§3.1.1.1, Word Attached Toolbars Part</w:t>
        </w:r>
      </w:hyperlink>
      <w:r>
        <w:t>)</w:t>
      </w:r>
    </w:p>
    <w:p w:rsidR="005F78FC" w:rsidRDefault="00B42EF3">
      <w:r>
        <w:t>A Customizations part shall not have any implicit or explicit relationships to any other part defined by Office Open XML File Formats [ISO/IEC29500:2012].</w:t>
      </w:r>
    </w:p>
    <w:p w:rsidR="005F78FC" w:rsidRDefault="00B42EF3">
      <w:pPr>
        <w:pStyle w:val="Heading4"/>
      </w:pPr>
      <w:bookmarkStart w:id="3816" w:name="section_af3dc9138c084843ab40495a92170b96"/>
      <w:bookmarkStart w:id="3817" w:name="_Toc69879681"/>
      <w:r>
        <w:t>Mail Me</w:t>
      </w:r>
      <w:r>
        <w:t>rge Recipient Data Part</w:t>
      </w:r>
      <w:bookmarkEnd w:id="3816"/>
      <w:bookmarkEnd w:id="3817"/>
      <w:r>
        <w:fldChar w:fldCharType="begin"/>
      </w:r>
      <w:r>
        <w:instrText xml:space="preserve"> XE "Mail Merge Recipient Data Part" </w:instrText>
      </w:r>
      <w:r>
        <w:fldChar w:fldCharType="end"/>
      </w:r>
    </w:p>
    <w:p w:rsidR="005F78FC" w:rsidRDefault="00B42EF3">
      <w:r>
        <w:rPr>
          <w:b/>
          <w:i/>
        </w:rPr>
        <w:t>Content Type</w:t>
      </w:r>
    </w:p>
    <w:p w:rsidR="005F78FC" w:rsidRDefault="00B42EF3">
      <w:r>
        <w:rPr>
          <w:i/>
        </w:rPr>
        <w:t>application/vnd.openxmlformats-officedocument.wordprocessingml.mailMergeRecipientData+xml</w:t>
      </w:r>
    </w:p>
    <w:p w:rsidR="005F78FC" w:rsidRDefault="00B42EF3">
      <w:r>
        <w:rPr>
          <w:i/>
        </w:rPr>
        <w:t>or</w:t>
      </w:r>
    </w:p>
    <w:p w:rsidR="005F78FC" w:rsidRDefault="00B42EF3">
      <w:r>
        <w:rPr>
          <w:i/>
        </w:rPr>
        <w:t>application/vnd.ms-word.mailMergeRecipientData+xml</w:t>
      </w:r>
    </w:p>
    <w:p w:rsidR="005F78FC" w:rsidRDefault="00B42EF3">
      <w:r>
        <w:rPr>
          <w:b/>
          <w:i/>
        </w:rPr>
        <w:lastRenderedPageBreak/>
        <w:t>Root Namespace</w:t>
      </w:r>
    </w:p>
    <w:p w:rsidR="005F78FC" w:rsidRDefault="00B42EF3">
      <w:r>
        <w:rPr>
          <w:i/>
        </w:rPr>
        <w:t>http://schemas.openxm</w:t>
      </w:r>
      <w:r>
        <w:rPr>
          <w:i/>
        </w:rPr>
        <w:t>lformats.org/wordprocessingml/2006/main</w:t>
      </w:r>
    </w:p>
    <w:p w:rsidR="005F78FC" w:rsidRDefault="00B42EF3">
      <w:r>
        <w:rPr>
          <w:i/>
        </w:rPr>
        <w:t>or</w:t>
      </w:r>
    </w:p>
    <w:p w:rsidR="005F78FC" w:rsidRDefault="00B42EF3">
      <w:r>
        <w:rPr>
          <w:i/>
        </w:rPr>
        <w:t>http://schemas.microsoft.com/office/word/2006/wordml</w:t>
      </w:r>
    </w:p>
    <w:p w:rsidR="005F78FC" w:rsidRDefault="00B42EF3">
      <w:r>
        <w:rPr>
          <w:b/>
          <w:i/>
        </w:rPr>
        <w:t>Source Relationship</w:t>
      </w:r>
    </w:p>
    <w:p w:rsidR="005F78FC" w:rsidRDefault="00B42EF3">
      <w:r>
        <w:rPr>
          <w:i/>
        </w:rPr>
        <w:t>http://schemas.openxmlformats.org/officeDocument/2006/relationships/recipientData</w:t>
      </w:r>
    </w:p>
    <w:p w:rsidR="005F78FC" w:rsidRDefault="00B42EF3">
      <w:r>
        <w:t>An instance of this part type contains the document’s Mail</w:t>
      </w:r>
      <w:r>
        <w:t xml:space="preserve"> Merge Recipient Data. </w:t>
      </w:r>
    </w:p>
    <w:p w:rsidR="005F78FC" w:rsidRDefault="00B42EF3">
      <w:r>
        <w:t>A package shall contain no more than one Mail Merge Recipient Data part. If it exists, the instance of that part shall be the target of an explicit relationship from the Document Settings part.</w:t>
      </w:r>
    </w:p>
    <w:p w:rsidR="005F78FC" w:rsidRDefault="00B42EF3">
      <w:r>
        <w:t>[Example:</w:t>
      </w:r>
    </w:p>
    <w:p w:rsidR="005F78FC" w:rsidRDefault="00B42EF3">
      <w:pPr>
        <w:pStyle w:val="Code"/>
      </w:pPr>
      <w:r>
        <w:t>&lt;Relationships xmlns="…"&gt;</w:t>
      </w:r>
    </w:p>
    <w:p w:rsidR="005F78FC" w:rsidRDefault="00B42EF3">
      <w:pPr>
        <w:pStyle w:val="Code"/>
      </w:pPr>
      <w:r>
        <w:t xml:space="preserve">  </w:t>
      </w:r>
      <w:r>
        <w:t>&lt;Relationship Id="rId2"</w:t>
      </w:r>
    </w:p>
    <w:p w:rsidR="005F78FC" w:rsidRDefault="00B42EF3">
      <w:pPr>
        <w:pStyle w:val="Code"/>
      </w:pPr>
      <w:r>
        <w:t xml:space="preserve">    Type="http://…/recipientData" Target="recipientData.xml"/&gt;</w:t>
      </w:r>
    </w:p>
    <w:p w:rsidR="005F78FC" w:rsidRDefault="00B42EF3">
      <w:pPr>
        <w:pStyle w:val="Code"/>
      </w:pPr>
      <w:r>
        <w:t>&lt;/Relationships&gt;</w:t>
      </w:r>
    </w:p>
    <w:p w:rsidR="005F78FC" w:rsidRDefault="00B42EF3">
      <w:r>
        <w:t>end example]</w:t>
      </w:r>
    </w:p>
    <w:p w:rsidR="005F78FC" w:rsidRDefault="00B42EF3">
      <w:r>
        <w:t xml:space="preserve">The root element for a Mail Merge Recipient Data part shall be </w:t>
      </w:r>
      <w:r>
        <w:rPr>
          <w:b/>
        </w:rPr>
        <w:t>recipients</w:t>
      </w:r>
      <w:r>
        <w:t>.</w:t>
      </w:r>
    </w:p>
    <w:p w:rsidR="005F78FC" w:rsidRDefault="00B42EF3">
      <w:r>
        <w:t>[Example:</w:t>
      </w:r>
    </w:p>
    <w:p w:rsidR="005F78FC" w:rsidRDefault="00B42EF3">
      <w:pPr>
        <w:pStyle w:val="Code"/>
      </w:pPr>
      <w:r>
        <w:t xml:space="preserve">&lt;w:recipients </w:t>
      </w:r>
      <w:r>
        <w:t>xmlns:w="http://schemas.openxmlformats.org/wordprocessingml/2006/main" …&gt;</w:t>
      </w:r>
    </w:p>
    <w:p w:rsidR="005F78FC" w:rsidRDefault="00B42EF3">
      <w:pPr>
        <w:pStyle w:val="Code"/>
      </w:pPr>
      <w:r>
        <w:t xml:space="preserve">  &lt;w:recipientData&gt;</w:t>
      </w:r>
    </w:p>
    <w:p w:rsidR="005F78FC" w:rsidRDefault="00B42EF3">
      <w:pPr>
        <w:pStyle w:val="Code"/>
      </w:pPr>
      <w:r>
        <w:t xml:space="preserve">    &lt;w:active w:val="0" /&gt;</w:t>
      </w:r>
    </w:p>
    <w:p w:rsidR="005F78FC" w:rsidRDefault="00B42EF3">
      <w:pPr>
        <w:pStyle w:val="Code"/>
      </w:pPr>
      <w:r>
        <w:t xml:space="preserve">    &lt;w:column w:val="62"&gt;</w:t>
      </w:r>
    </w:p>
    <w:p w:rsidR="005F78FC" w:rsidRDefault="00B42EF3">
      <w:pPr>
        <w:pStyle w:val="Code"/>
      </w:pPr>
      <w:r>
        <w:t xml:space="preserve">    &lt;w:uniqueTag w:val="KnmjIQAAAAAAAAAAAAAAAAAAAAAAAAAAAAAAAAAAAAAAAAAAAAAAAAAAAAAAAAAAAAAAAAAAAAAA&amp;#xA;</w:t>
      </w:r>
    </w:p>
    <w:p w:rsidR="005F78FC" w:rsidRDefault="00B42EF3">
      <w:pPr>
        <w:pStyle w:val="Code"/>
      </w:pPr>
      <w:r>
        <w:t>AAA</w:t>
      </w:r>
      <w:r>
        <w:t>AAAAAAAAAAAAAAAAAAAAAAAAAAAAAAAAAAAAAAAAAAAAAAAAAAAAAAAAAAAAAAAAAAAAAAAAA&amp;#xA;</w:t>
      </w:r>
    </w:p>
    <w:p w:rsidR="005F78FC" w:rsidRDefault="00B42EF3">
      <w:pPr>
        <w:pStyle w:val="Code"/>
      </w:pPr>
      <w:r>
        <w:t xml:space="preserve">AAAAAAAAAAAAAAAAAAA=" /&gt;   </w:t>
      </w:r>
    </w:p>
    <w:p w:rsidR="005F78FC" w:rsidRDefault="00B42EF3">
      <w:pPr>
        <w:pStyle w:val="Code"/>
      </w:pPr>
      <w:r>
        <w:t xml:space="preserve">  &lt;/wne:recipientData&gt;   </w:t>
      </w:r>
    </w:p>
    <w:p w:rsidR="005F78FC" w:rsidRDefault="00B42EF3">
      <w:pPr>
        <w:pStyle w:val="Code"/>
      </w:pPr>
      <w:r>
        <w:t xml:space="preserve">  …    </w:t>
      </w:r>
    </w:p>
    <w:p w:rsidR="005F78FC" w:rsidRDefault="00B42EF3">
      <w:pPr>
        <w:pStyle w:val="Code"/>
      </w:pPr>
      <w:r>
        <w:t>&lt;/wne:recipients&gt;</w:t>
      </w:r>
    </w:p>
    <w:p w:rsidR="005F78FC" w:rsidRDefault="00B42EF3">
      <w:r>
        <w:t>In this example, the content type is "application/vnd.openxmlformats-officedocument.wordprocessin</w:t>
      </w:r>
      <w:r>
        <w:t>gml.mailMergeRecipientData+xml".</w:t>
      </w:r>
    </w:p>
    <w:p w:rsidR="005F78FC" w:rsidRDefault="00B42EF3">
      <w:r>
        <w:t>end example]</w:t>
      </w:r>
    </w:p>
    <w:p w:rsidR="005F78FC" w:rsidRDefault="00B42EF3">
      <w:r>
        <w:t>[Example:</w:t>
      </w:r>
    </w:p>
    <w:p w:rsidR="005F78FC" w:rsidRDefault="00B42EF3">
      <w:pPr>
        <w:pStyle w:val="Code"/>
      </w:pPr>
      <w:r>
        <w:t>&lt;wne:recipients xmlns:wne="http://schemas.microsoft.com/office/word/2006/wordml …&gt;</w:t>
      </w:r>
    </w:p>
    <w:p w:rsidR="005F78FC" w:rsidRDefault="00B42EF3">
      <w:pPr>
        <w:pStyle w:val="Code"/>
      </w:pPr>
      <w:r>
        <w:t xml:space="preserve">  &lt;wne:recipientData&gt;</w:t>
      </w:r>
    </w:p>
    <w:p w:rsidR="005F78FC" w:rsidRDefault="00B42EF3">
      <w:pPr>
        <w:pStyle w:val="Code"/>
      </w:pPr>
      <w:r>
        <w:t xml:space="preserve">    &lt;wne:active wne:val="1" /&gt;</w:t>
      </w:r>
    </w:p>
    <w:p w:rsidR="005F78FC" w:rsidRDefault="00B42EF3">
      <w:pPr>
        <w:pStyle w:val="Code"/>
      </w:pPr>
      <w:r>
        <w:t xml:space="preserve">    &lt;wne:hash wne:val="2094012985"&gt;</w:t>
      </w:r>
    </w:p>
    <w:p w:rsidR="005F78FC" w:rsidRDefault="00B42EF3">
      <w:pPr>
        <w:pStyle w:val="Code"/>
      </w:pPr>
      <w:r>
        <w:t xml:space="preserve">  &lt;/wne:recipientData&gt;   </w:t>
      </w:r>
    </w:p>
    <w:p w:rsidR="005F78FC" w:rsidRDefault="00B42EF3">
      <w:pPr>
        <w:pStyle w:val="Code"/>
      </w:pPr>
      <w:r>
        <w:t xml:space="preserve">  </w:t>
      </w:r>
      <w:r>
        <w:t xml:space="preserve">…    </w:t>
      </w:r>
    </w:p>
    <w:p w:rsidR="005F78FC" w:rsidRDefault="00B42EF3">
      <w:pPr>
        <w:pStyle w:val="Code"/>
      </w:pPr>
      <w:r>
        <w:t>&lt;/wne:recipients&gt;</w:t>
      </w:r>
    </w:p>
    <w:p w:rsidR="005F78FC" w:rsidRDefault="00B42EF3">
      <w:r>
        <w:t>In this example, the content type is "application/vnd.ms-word.mailMergeRecipientData+xml".</w:t>
      </w:r>
    </w:p>
    <w:p w:rsidR="005F78FC" w:rsidRDefault="00B42EF3">
      <w:r>
        <w:t>end example]</w:t>
      </w:r>
    </w:p>
    <w:p w:rsidR="005F78FC" w:rsidRDefault="00B42EF3">
      <w:r>
        <w:lastRenderedPageBreak/>
        <w:t>A Mail Merge Recipient Data part shall be located within the package containing the source relationship (expressed syntactically</w:t>
      </w:r>
      <w:r>
        <w:t xml:space="preserve">, the </w:t>
      </w:r>
      <w:r>
        <w:rPr>
          <w:b/>
        </w:rPr>
        <w:t>TargetMode</w:t>
      </w:r>
      <w:r>
        <w:t xml:space="preserve"> attribute of the </w:t>
      </w:r>
      <w:r>
        <w:rPr>
          <w:b/>
        </w:rPr>
        <w:t>Relationship</w:t>
      </w:r>
      <w:r>
        <w:t xml:space="preserve"> element shall be </w:t>
      </w:r>
      <w:r>
        <w:rPr>
          <w:i/>
        </w:rPr>
        <w:t>Internal</w:t>
      </w:r>
      <w:r>
        <w:t>).</w:t>
      </w:r>
    </w:p>
    <w:p w:rsidR="005F78FC" w:rsidRDefault="00B42EF3">
      <w:r>
        <w:t xml:space="preserve">A Mail Merge Recipient Data part shall not contain implicit or explicit relationships to any other part defined by Office Open XML File Formats </w:t>
      </w:r>
      <w:hyperlink r:id="rId285">
        <w:r>
          <w:rPr>
            <w:rStyle w:val="Hyperlink"/>
          </w:rPr>
          <w:t>[ISO/IEC29500:2012]</w:t>
        </w:r>
      </w:hyperlink>
      <w:r>
        <w:t>.</w:t>
      </w:r>
    </w:p>
    <w:p w:rsidR="005F78FC" w:rsidRDefault="00B42EF3">
      <w:pPr>
        <w:pStyle w:val="Heading3"/>
      </w:pPr>
      <w:bookmarkStart w:id="3818" w:name="section_52855f50318e404192e10d0ddd08ed3d"/>
      <w:bookmarkStart w:id="3819" w:name="_Toc69879682"/>
      <w:r>
        <w:t>Word Schema</w:t>
      </w:r>
      <w:bookmarkEnd w:id="3818"/>
      <w:bookmarkEnd w:id="3819"/>
      <w:r>
        <w:fldChar w:fldCharType="begin"/>
      </w:r>
      <w:r>
        <w:instrText xml:space="preserve"> XE "Word Schema" </w:instrText>
      </w:r>
      <w:r>
        <w:fldChar w:fldCharType="end"/>
      </w:r>
    </w:p>
    <w:p w:rsidR="005F78FC" w:rsidRDefault="00B42EF3">
      <w:r>
        <w:t xml:space="preserve">The following clauses define additional information used by Word to help implement Office Open XML File Formats </w:t>
      </w:r>
      <w:hyperlink r:id="rId286">
        <w:r>
          <w:rPr>
            <w:rStyle w:val="Hyperlink"/>
          </w:rPr>
          <w:t>[ISO/IEC29500:2012]</w:t>
        </w:r>
      </w:hyperlink>
      <w:r>
        <w:t xml:space="preserve">.  </w:t>
      </w:r>
    </w:p>
    <w:p w:rsidR="005F78FC" w:rsidRDefault="00B42EF3">
      <w:pPr>
        <w:pStyle w:val="Heading4"/>
      </w:pPr>
      <w:bookmarkStart w:id="3820" w:name="section_c4ba3f99a9684ad8ad70e7c38fa2e504"/>
      <w:bookmarkStart w:id="3821" w:name="_Toc69879683"/>
      <w:r>
        <w:t>Keyboard and Toolbar Customizations</w:t>
      </w:r>
      <w:bookmarkEnd w:id="3820"/>
      <w:bookmarkEnd w:id="3821"/>
      <w:r>
        <w:fldChar w:fldCharType="begin"/>
      </w:r>
      <w:r>
        <w:instrText xml:space="preserve"> XE "Keyboard and Toolbar Customizations" </w:instrText>
      </w:r>
      <w:r>
        <w:fldChar w:fldCharType="end"/>
      </w:r>
    </w:p>
    <w:p w:rsidR="005F78FC" w:rsidRDefault="00B42EF3">
      <w:r>
        <w:t>The following clauses specify the semantics used by Word to customize keyboard and toolbar commands.</w:t>
      </w:r>
    </w:p>
    <w:p w:rsidR="005F78FC" w:rsidRDefault="00B42EF3">
      <w:pPr>
        <w:pStyle w:val="Heading5"/>
      </w:pPr>
      <w:bookmarkStart w:id="3822" w:name="section_cd54017577a44d06bcb8908533b89a6a"/>
      <w:bookmarkStart w:id="3823" w:name="_Toc69879684"/>
      <w:r>
        <w:t>Elements</w:t>
      </w:r>
      <w:bookmarkEnd w:id="3822"/>
      <w:bookmarkEnd w:id="3823"/>
    </w:p>
    <w:p w:rsidR="005F78FC" w:rsidRDefault="00B42EF3">
      <w:pPr>
        <w:pStyle w:val="Heading6"/>
      </w:pPr>
      <w:bookmarkStart w:id="3824" w:name="section_9bd9f7443f3a4ce88c48371c1bb6cd67"/>
      <w:bookmarkStart w:id="3825" w:name="_Toc69879685"/>
      <w:r>
        <w:t>acd (Allocated Command)</w:t>
      </w:r>
      <w:bookmarkEnd w:id="3824"/>
      <w:bookmarkEnd w:id="3825"/>
      <w:r>
        <w:fldChar w:fldCharType="begin"/>
      </w:r>
      <w:r>
        <w:instrText xml:space="preserve"> XE "acd (Allocated Command)" </w:instrText>
      </w:r>
      <w:r>
        <w:fldChar w:fldCharType="end"/>
      </w:r>
    </w:p>
    <w:p w:rsidR="005F78FC" w:rsidRDefault="00B42EF3">
      <w:r>
        <w:t>This element is used to declare an allocated command for use elsewhere in the Keyboard and Toolbar customization XML part. While ordinary fixed commands (§</w:t>
      </w:r>
      <w:hyperlink w:anchor="Section_e7fbfaec48a0443e91cc16c53cefbd44">
        <w:r>
          <w:rPr>
            <w:rStyle w:val="Hyperlink"/>
          </w:rPr>
          <w:t>3.1.2</w:t>
        </w:r>
        <w:r>
          <w:rPr>
            <w:rStyle w:val="Hyperlink"/>
          </w:rPr>
          <w:t>.1.1.7, fci</w:t>
        </w:r>
      </w:hyperlink>
      <w:r>
        <w:t>) can take an optional numeric argument, allocated commands are fixed commands that take a Base64 MIME transfer content encoded argument.</w:t>
      </w:r>
    </w:p>
    <w:p w:rsidR="005F78FC" w:rsidRDefault="00B42EF3">
      <w:r>
        <w:t xml:space="preserve"> [Example: Consider the following allocated command declaration:</w:t>
      </w:r>
    </w:p>
    <w:p w:rsidR="005F78FC" w:rsidRDefault="00B42EF3">
      <w:pPr>
        <w:pStyle w:val="Code"/>
      </w:pPr>
      <w:r>
        <w:t xml:space="preserve"> &lt;wne:acd wne:argValue="AAA=" wne:acdName=</w:t>
      </w:r>
      <w:r>
        <w:t xml:space="preserve">"acd0" wne:fciBasedOn="Color"/&gt; </w:t>
      </w:r>
    </w:p>
    <w:p w:rsidR="005F78FC" w:rsidRDefault="00B42EF3">
      <w:r>
        <w:t xml:space="preserve">In this example, the WordprocessingML declares that the allocated command identified as </w:t>
      </w:r>
      <w:r>
        <w:rPr>
          <w:rStyle w:val="InlineCode"/>
        </w:rPr>
        <w:t>acd0</w:t>
      </w:r>
      <w:r>
        <w:t xml:space="preserve"> is based on the </w:t>
      </w:r>
      <w:r>
        <w:rPr>
          <w:rStyle w:val="InlineCode"/>
        </w:rPr>
        <w:t>Color</w:t>
      </w:r>
      <w:r>
        <w:t xml:space="preserve"> fixed command and takes the Base64 encoded argument specified in the </w:t>
      </w:r>
      <w:r>
        <w:rPr>
          <w:i/>
        </w:rPr>
        <w:t>argValue</w:t>
      </w:r>
      <w:r>
        <w:t xml:space="preserve"> attribute that decodes to the </w:t>
      </w:r>
      <w:r>
        <w:t xml:space="preserve">integer value </w:t>
      </w:r>
      <w:r>
        <w:rPr>
          <w:rStyle w:val="InlineCode"/>
        </w:rPr>
        <w:t>0</w:t>
      </w:r>
      <w:r>
        <w:t>.  When this allocated command is executed, it has the effect of causing Word to color the currently selected text according to its default color. end example]</w:t>
      </w:r>
    </w:p>
    <w:tbl>
      <w:tblPr>
        <w:tblStyle w:val="Table-ShadedHeader"/>
        <w:tblW w:w="0" w:type="auto"/>
        <w:tblLook w:val="04A0" w:firstRow="1" w:lastRow="0" w:firstColumn="1" w:lastColumn="0" w:noHBand="0" w:noVBand="1"/>
      </w:tblPr>
      <w:tblGrid>
        <w:gridCol w:w="2320"/>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Parent Elements</w:t>
            </w:r>
          </w:p>
        </w:tc>
      </w:tr>
      <w:tr w:rsidR="005F78FC" w:rsidTr="005F78FC">
        <w:tc>
          <w:tcPr>
            <w:tcW w:w="0" w:type="auto"/>
            <w:vAlign w:val="center"/>
          </w:tcPr>
          <w:p w:rsidR="005F78FC" w:rsidRDefault="00B42EF3">
            <w:pPr>
              <w:pStyle w:val="TableBodyText"/>
            </w:pPr>
            <w:r>
              <w:rPr>
                <w:b/>
              </w:rPr>
              <w:t>acds</w:t>
            </w:r>
            <w:r>
              <w:t xml:space="preserve"> (§</w:t>
            </w:r>
            <w:hyperlink w:anchor="Section_83ec8315581b46899d5e9db1d95ec41f">
              <w:r>
                <w:rPr>
                  <w:rStyle w:val="Hyperlink"/>
                </w:rPr>
                <w:t>3.1.2.1.1.5, acds</w:t>
              </w:r>
            </w:hyperlink>
            <w:r>
              <w:t>)</w:t>
            </w:r>
          </w:p>
        </w:tc>
      </w:tr>
    </w:tbl>
    <w:p w:rsidR="005F78FC" w:rsidRDefault="005F78FC"/>
    <w:p w:rsidR="005F78FC" w:rsidRDefault="005F78FC"/>
    <w:tbl>
      <w:tblPr>
        <w:tblStyle w:val="Table-ShadedHeader"/>
        <w:tblW w:w="0" w:type="auto"/>
        <w:tblLook w:val="04A0" w:firstRow="1" w:lastRow="0" w:firstColumn="1" w:lastColumn="0" w:noHBand="0" w:noVBand="1"/>
      </w:tblPr>
      <w:tblGrid>
        <w:gridCol w:w="2149"/>
        <w:gridCol w:w="7326"/>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Attributes</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rPr>
                <w:b/>
              </w:rPr>
              <w:t>acdName</w:t>
            </w:r>
            <w:r>
              <w:t xml:space="preserve"> (Allocated command name)</w:t>
            </w:r>
          </w:p>
        </w:tc>
        <w:tc>
          <w:tcPr>
            <w:tcW w:w="0" w:type="auto"/>
            <w:vAlign w:val="center"/>
          </w:tcPr>
          <w:p w:rsidR="005F78FC" w:rsidRDefault="00B42EF3">
            <w:pPr>
              <w:pStyle w:val="TableBodyText"/>
            </w:pPr>
            <w:r>
              <w:t xml:space="preserve">Specifies the friendly name for identifying this allocated command. While any valid string can be used for this name, Word writes out allocated command names in sequence of the form </w:t>
            </w:r>
            <w:r>
              <w:rPr>
                <w:rStyle w:val="InlineCode"/>
              </w:rPr>
              <w:t>acd0</w:t>
            </w:r>
            <w:r>
              <w:t xml:space="preserve">, </w:t>
            </w:r>
            <w:r>
              <w:rPr>
                <w:rStyle w:val="InlineCode"/>
              </w:rPr>
              <w:t>acd1</w:t>
            </w:r>
            <w:r>
              <w:t xml:space="preserve">, </w:t>
            </w:r>
            <w:r>
              <w:rPr>
                <w:rStyle w:val="InlineCode"/>
              </w:rPr>
              <w:t>acd2</w:t>
            </w:r>
            <w:r>
              <w:t>, regardless of any name the allocated command may have be</w:t>
            </w:r>
            <w:r>
              <w:t xml:space="preserve">en given. Consequently, a name like </w:t>
            </w:r>
            <w:r>
              <w:rPr>
                <w:rStyle w:val="InlineCode"/>
              </w:rPr>
              <w:t>myacd</w:t>
            </w:r>
            <w:r>
              <w:t xml:space="preserve"> could be specified in a file for a lone allocated command but would be written out as </w:t>
            </w:r>
            <w:r>
              <w:rPr>
                <w:rStyle w:val="InlineCode"/>
              </w:rPr>
              <w:t>acd0</w:t>
            </w:r>
            <w:r>
              <w:t xml:space="preserve"> upon resaving the document.</w:t>
            </w:r>
          </w:p>
          <w:p w:rsidR="005F78FC" w:rsidRDefault="005F78FC">
            <w:pPr>
              <w:pStyle w:val="TableBodyText"/>
            </w:pPr>
          </w:p>
          <w:p w:rsidR="005F78FC" w:rsidRDefault="00B42EF3">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r w:rsidR="005F78FC" w:rsidTr="005F78FC">
        <w:tc>
          <w:tcPr>
            <w:tcW w:w="0" w:type="auto"/>
            <w:vAlign w:val="center"/>
          </w:tcPr>
          <w:p w:rsidR="005F78FC" w:rsidRDefault="00B42EF3">
            <w:pPr>
              <w:pStyle w:val="TableBodyText"/>
            </w:pPr>
            <w:r>
              <w:rPr>
                <w:b/>
              </w:rPr>
              <w:t>argValue</w:t>
            </w:r>
            <w:r>
              <w:t xml:space="preserve"> (Allocated Command Arguments)</w:t>
            </w:r>
          </w:p>
        </w:tc>
        <w:tc>
          <w:tcPr>
            <w:tcW w:w="0" w:type="auto"/>
            <w:vAlign w:val="center"/>
          </w:tcPr>
          <w:p w:rsidR="005F78FC" w:rsidRDefault="00B42EF3">
            <w:pPr>
              <w:pStyle w:val="TableBodyText"/>
            </w:pPr>
            <w:r>
              <w:t xml:space="preserve">Specifies the argument that should be passed to the fixed command given by the </w:t>
            </w:r>
            <w:r>
              <w:rPr>
                <w:i/>
              </w:rPr>
              <w:t>fciBasedOn</w:t>
            </w:r>
            <w:r>
              <w:t xml:space="preserve"> and </w:t>
            </w:r>
            <w:r>
              <w:rPr>
                <w:i/>
              </w:rPr>
              <w:t>fciIndexBasedOn</w:t>
            </w:r>
            <w:r>
              <w:t xml:space="preserve"> attributes. Its contents are Bas</w:t>
            </w:r>
            <w:r>
              <w:t xml:space="preserve">e64 MIME content </w:t>
            </w:r>
            <w:r>
              <w:lastRenderedPageBreak/>
              <w:t>transfer encoded. While there is no strict limit on the length of this Base64 encoded string, only the first 510 bytes of decoded data will be used. Invalid Base64 characters in the string (such as carriage returns or white space) are igno</w:t>
            </w:r>
            <w:r>
              <w:t>red on read, but Word may produce them on write.</w:t>
            </w:r>
          </w:p>
          <w:p w:rsidR="005F78FC" w:rsidRDefault="005F78FC">
            <w:pPr>
              <w:pStyle w:val="TableBodyText"/>
            </w:pPr>
          </w:p>
          <w:p w:rsidR="005F78FC" w:rsidRDefault="00B42EF3">
            <w:pPr>
              <w:pStyle w:val="TableBodyText"/>
            </w:pPr>
            <w:r>
              <w:t>If this attribute is not specified, an empty argument is passed to the associated fixed command, which may cause the command to do nothing on execution.</w:t>
            </w:r>
          </w:p>
          <w:p w:rsidR="005F78FC" w:rsidRDefault="005F78FC">
            <w:pPr>
              <w:pStyle w:val="TableBodyText"/>
            </w:pPr>
          </w:p>
          <w:p w:rsidR="005F78FC" w:rsidRDefault="00B42EF3">
            <w:pPr>
              <w:pStyle w:val="TableBodyText"/>
            </w:pPr>
            <w:r>
              <w:t>The possible values for this attribute are defined b</w:t>
            </w:r>
            <w:r>
              <w:t>y the ST_String simple type (§3.1.2.3.5, ST_String).</w:t>
            </w:r>
          </w:p>
        </w:tc>
      </w:tr>
      <w:tr w:rsidR="005F78FC" w:rsidTr="005F78FC">
        <w:tc>
          <w:tcPr>
            <w:tcW w:w="0" w:type="auto"/>
            <w:vAlign w:val="center"/>
          </w:tcPr>
          <w:p w:rsidR="005F78FC" w:rsidRDefault="00B42EF3">
            <w:pPr>
              <w:pStyle w:val="TableBodyText"/>
            </w:pPr>
            <w:r>
              <w:rPr>
                <w:b/>
              </w:rPr>
              <w:lastRenderedPageBreak/>
              <w:t>fciBasedOn</w:t>
            </w:r>
            <w:r>
              <w:t xml:space="preserve"> (Fixed command based on)</w:t>
            </w:r>
          </w:p>
        </w:tc>
        <w:tc>
          <w:tcPr>
            <w:tcW w:w="0" w:type="auto"/>
            <w:vAlign w:val="center"/>
          </w:tcPr>
          <w:p w:rsidR="005F78FC" w:rsidRDefault="00B42EF3">
            <w:pPr>
              <w:pStyle w:val="TableBodyText"/>
            </w:pPr>
            <w:r>
              <w:t xml:space="preserve">Specifies the friendly name of the fixed command that shall be used for this allocated command. If both this attribute and </w:t>
            </w:r>
            <w:r>
              <w:rPr>
                <w:i/>
              </w:rPr>
              <w:t>fciIndexBasedOn</w:t>
            </w:r>
            <w:r>
              <w:t xml:space="preserve"> are specified, this attribu</w:t>
            </w:r>
            <w:r>
              <w:t>te will be used.</w:t>
            </w:r>
          </w:p>
          <w:p w:rsidR="005F78FC" w:rsidRDefault="005F78FC">
            <w:pPr>
              <w:pStyle w:val="TableBodyText"/>
            </w:pPr>
          </w:p>
          <w:p w:rsidR="005F78FC" w:rsidRDefault="00B42EF3">
            <w:pPr>
              <w:pStyle w:val="TableBodyText"/>
            </w:pPr>
            <w:r>
              <w:t xml:space="preserve">Only 11 fixed commands shall be used as allocated commands in Word: </w:t>
            </w:r>
            <w:r>
              <w:rPr>
                <w:i/>
              </w:rPr>
              <w:t>Borders</w:t>
            </w:r>
            <w:r>
              <w:t xml:space="preserve">, </w:t>
            </w:r>
            <w:r>
              <w:rPr>
                <w:i/>
              </w:rPr>
              <w:t>Color</w:t>
            </w:r>
            <w:r>
              <w:t xml:space="preserve">, </w:t>
            </w:r>
            <w:r>
              <w:rPr>
                <w:i/>
              </w:rPr>
              <w:t>Columns</w:t>
            </w:r>
            <w:r>
              <w:t xml:space="preserve">, </w:t>
            </w:r>
            <w:r>
              <w:rPr>
                <w:i/>
              </w:rPr>
              <w:t>Condensed</w:t>
            </w:r>
            <w:r>
              <w:t xml:space="preserve">, </w:t>
            </w:r>
            <w:r>
              <w:rPr>
                <w:i/>
              </w:rPr>
              <w:t>Expanded</w:t>
            </w:r>
            <w:r>
              <w:t xml:space="preserve">, </w:t>
            </w:r>
            <w:r>
              <w:rPr>
                <w:i/>
              </w:rPr>
              <w:t>FileOpenFile</w:t>
            </w:r>
            <w:r>
              <w:t xml:space="preserve">, </w:t>
            </w:r>
            <w:r>
              <w:rPr>
                <w:i/>
              </w:rPr>
              <w:t>FontSize</w:t>
            </w:r>
            <w:r>
              <w:t xml:space="preserve">, </w:t>
            </w:r>
            <w:r>
              <w:rPr>
                <w:i/>
              </w:rPr>
              <w:t>Lowered</w:t>
            </w:r>
            <w:r>
              <w:t xml:space="preserve">, </w:t>
            </w:r>
            <w:r>
              <w:rPr>
                <w:i/>
              </w:rPr>
              <w:t>Raised</w:t>
            </w:r>
            <w:r>
              <w:t xml:space="preserve">, </w:t>
            </w:r>
            <w:r>
              <w:rPr>
                <w:i/>
              </w:rPr>
              <w:t>Shading</w:t>
            </w:r>
            <w:r>
              <w:t xml:space="preserve"> and </w:t>
            </w:r>
            <w:r>
              <w:rPr>
                <w:i/>
              </w:rPr>
              <w:t>Symbol</w:t>
            </w:r>
            <w:r>
              <w:t>.</w:t>
            </w:r>
          </w:p>
          <w:p w:rsidR="005F78FC" w:rsidRDefault="005F78FC">
            <w:pPr>
              <w:pStyle w:val="TableBodyText"/>
            </w:pPr>
          </w:p>
          <w:p w:rsidR="005F78FC" w:rsidRDefault="00B42EF3">
            <w:pPr>
              <w:pStyle w:val="TableBodyText"/>
            </w:pPr>
            <w:r>
              <w:t xml:space="preserve">The possible values for this attribute are defined by the </w:t>
            </w:r>
            <w:r>
              <w:t>ST_String simple type (§3.1.2.3.5, ST_String).</w:t>
            </w:r>
          </w:p>
        </w:tc>
      </w:tr>
      <w:tr w:rsidR="005F78FC" w:rsidTr="005F78FC">
        <w:tc>
          <w:tcPr>
            <w:tcW w:w="0" w:type="auto"/>
            <w:vAlign w:val="center"/>
          </w:tcPr>
          <w:p w:rsidR="005F78FC" w:rsidRDefault="00B42EF3">
            <w:pPr>
              <w:pStyle w:val="TableBodyText"/>
            </w:pPr>
            <w:r>
              <w:rPr>
                <w:b/>
              </w:rPr>
              <w:t>fciIndexBasedOn</w:t>
            </w:r>
            <w:r>
              <w:t xml:space="preserve"> (Index of fixed command)</w:t>
            </w:r>
          </w:p>
        </w:tc>
        <w:tc>
          <w:tcPr>
            <w:tcW w:w="0" w:type="auto"/>
            <w:vAlign w:val="center"/>
          </w:tcPr>
          <w:p w:rsidR="005F78FC" w:rsidRDefault="00B42EF3">
            <w:pPr>
              <w:pStyle w:val="TableBodyText"/>
            </w:pPr>
            <w:r>
              <w:t xml:space="preserve">Specifies the numeric index of the fixed command that shall be used for this allocated command. A table mapping the friendly names of all fixed commands (including those mentioned in </w:t>
            </w:r>
            <w:r>
              <w:rPr>
                <w:i/>
              </w:rPr>
              <w:t>fciBasedOn</w:t>
            </w:r>
            <w:r>
              <w:t xml:space="preserve">--the only valid fixed commands that may be used for allocated </w:t>
            </w:r>
            <w:r>
              <w:t>commands) may be found in Fixed Commands (§</w:t>
            </w:r>
            <w:hyperlink w:anchor="Section_1ecf33cf360145f089fb0ab824739343">
              <w:r>
                <w:rPr>
                  <w:rStyle w:val="Hyperlink"/>
                </w:rPr>
                <w:t>3.1.2.1.2, Fixed Commands</w:t>
              </w:r>
            </w:hyperlink>
            <w:r>
              <w:t>).</w:t>
            </w:r>
          </w:p>
          <w:p w:rsidR="005F78FC" w:rsidRDefault="005F78FC">
            <w:pPr>
              <w:pStyle w:val="TableBodyText"/>
            </w:pPr>
          </w:p>
          <w:p w:rsidR="005F78FC" w:rsidRDefault="00B42EF3">
            <w:pPr>
              <w:pStyle w:val="TableBodyText"/>
            </w:pPr>
            <w:r>
              <w:t xml:space="preserve">If both this attribute and </w:t>
            </w:r>
            <w:r>
              <w:rPr>
                <w:i/>
              </w:rPr>
              <w:t>fciBasedOn</w:t>
            </w:r>
            <w:r>
              <w:t xml:space="preserve"> are specified, </w:t>
            </w:r>
            <w:r>
              <w:rPr>
                <w:i/>
              </w:rPr>
              <w:t>fciBasedOn</w:t>
            </w:r>
            <w:r>
              <w:t xml:space="preserve"> will be used. The </w:t>
            </w:r>
            <w:r>
              <w:rPr>
                <w:b/>
              </w:rPr>
              <w:t>fciIndexBasedOn</w:t>
            </w:r>
            <w:r>
              <w:t xml:space="preserve"> attribute may be conver</w:t>
            </w:r>
            <w:r>
              <w:t xml:space="preserve">ted to </w:t>
            </w:r>
            <w:r>
              <w:rPr>
                <w:b/>
              </w:rPr>
              <w:t>fciBasedOn</w:t>
            </w:r>
            <w:r>
              <w:t xml:space="preserve"> upon resaving of the document.</w:t>
            </w:r>
          </w:p>
          <w:p w:rsidR="005F78FC" w:rsidRDefault="005F78FC">
            <w:pPr>
              <w:pStyle w:val="TableBodyText"/>
            </w:pPr>
          </w:p>
          <w:p w:rsidR="005F78FC" w:rsidRDefault="00B42EF3">
            <w:pPr>
              <w:pStyle w:val="TableBodyText"/>
            </w:pPr>
            <w:r>
              <w:t>The possible values for this attribute are defined by the ST_ShortHexNumber simple type (§</w:t>
            </w:r>
            <w:hyperlink w:anchor="Section_b12e8ea4e85d4b4c94bf98db8427fcaa">
              <w:r>
                <w:rPr>
                  <w:rStyle w:val="Hyperlink"/>
                </w:rPr>
                <w:t>3.1.2.3.4, ST_ShortHexNumber</w:t>
              </w:r>
            </w:hyperlink>
            <w:r>
              <w:t>).</w:t>
            </w:r>
          </w:p>
        </w:tc>
      </w:tr>
    </w:tbl>
    <w:p w:rsidR="005F78FC" w:rsidRDefault="005F78FC"/>
    <w:p w:rsidR="005F78FC" w:rsidRDefault="00B42EF3">
      <w:r>
        <w:t>The following XML Sc</w:t>
      </w:r>
      <w:r>
        <w:t>hema fragment defines the contents of this element:</w:t>
      </w:r>
    </w:p>
    <w:p w:rsidR="005F78FC" w:rsidRDefault="00B42EF3">
      <w:pPr>
        <w:pStyle w:val="Code"/>
      </w:pPr>
      <w:r>
        <w:t>&lt;complexType name="CT_Acd"&gt;</w:t>
      </w:r>
    </w:p>
    <w:p w:rsidR="005F78FC" w:rsidRDefault="00B42EF3">
      <w:pPr>
        <w:pStyle w:val="Code"/>
      </w:pPr>
      <w:r>
        <w:t xml:space="preserve">  &lt;attribute name="argValue" type="ST_String"/&gt;</w:t>
      </w:r>
    </w:p>
    <w:p w:rsidR="005F78FC" w:rsidRDefault="00B42EF3">
      <w:pPr>
        <w:pStyle w:val="Code"/>
      </w:pPr>
      <w:r>
        <w:t xml:space="preserve">  &lt;attribute name="fciBasedOn" type="ST_String"/&gt;</w:t>
      </w:r>
    </w:p>
    <w:p w:rsidR="005F78FC" w:rsidRDefault="00B42EF3">
      <w:pPr>
        <w:pStyle w:val="Code"/>
      </w:pPr>
      <w:r>
        <w:t xml:space="preserve">  &lt;attribute name="fciIndexBasedOn" type="ST_ShortHexNumber"/&gt;</w:t>
      </w:r>
    </w:p>
    <w:p w:rsidR="005F78FC" w:rsidRDefault="00B42EF3">
      <w:pPr>
        <w:pStyle w:val="Code"/>
      </w:pPr>
      <w:r>
        <w:t xml:space="preserve">  &lt;attribute na</w:t>
      </w:r>
      <w:r>
        <w:t>me="acdName" type="ST_String" use="required"/&gt;</w:t>
      </w:r>
    </w:p>
    <w:p w:rsidR="005F78FC" w:rsidRDefault="00B42EF3">
      <w:pPr>
        <w:pStyle w:val="Code"/>
      </w:pPr>
      <w:r>
        <w:t>&lt;/complexType&gt;</w:t>
      </w:r>
    </w:p>
    <w:p w:rsidR="005F78FC" w:rsidRDefault="00B42EF3">
      <w:pPr>
        <w:pStyle w:val="Heading6"/>
      </w:pPr>
      <w:bookmarkStart w:id="3826" w:name="section_03e658016a2147d093503528064826ad"/>
      <w:bookmarkStart w:id="3827" w:name="_Toc69879686"/>
      <w:r>
        <w:t>acd (Allocated Command Keyboard Customization Action)</w:t>
      </w:r>
      <w:bookmarkEnd w:id="3826"/>
      <w:bookmarkEnd w:id="3827"/>
      <w:r>
        <w:fldChar w:fldCharType="begin"/>
      </w:r>
      <w:r>
        <w:instrText xml:space="preserve"> XE "acd (Allocated Command Keyboard Customization Action)" </w:instrText>
      </w:r>
      <w:r>
        <w:fldChar w:fldCharType="end"/>
      </w:r>
    </w:p>
    <w:p w:rsidR="005F78FC" w:rsidRDefault="00B42EF3">
      <w:r>
        <w:t>This element specifies that an allocated command should be executed by the enc</w:t>
      </w:r>
      <w:r>
        <w:t>losing key map.</w:t>
      </w:r>
    </w:p>
    <w:p w:rsidR="005F78FC" w:rsidRDefault="00B42EF3">
      <w:r>
        <w:t>[Example: Consider the following key map:</w:t>
      </w:r>
    </w:p>
    <w:p w:rsidR="005F78FC" w:rsidRDefault="00B42EF3">
      <w:pPr>
        <w:pStyle w:val="Code"/>
      </w:pPr>
      <w:r>
        <w:t xml:space="preserve">  &lt;wne:keymap wne:kcmPrimary="0238"&gt;</w:t>
      </w:r>
    </w:p>
    <w:p w:rsidR="005F78FC" w:rsidRDefault="00B42EF3">
      <w:pPr>
        <w:pStyle w:val="Code"/>
      </w:pPr>
      <w:r>
        <w:t xml:space="preserve">      &lt;wne:acd wne:acdName="acd0" /&gt;</w:t>
      </w:r>
    </w:p>
    <w:p w:rsidR="005F78FC" w:rsidRDefault="00B42EF3">
      <w:pPr>
        <w:pStyle w:val="Code"/>
      </w:pPr>
      <w:r>
        <w:t xml:space="preserve">  &lt;/wne:keymap&gt;</w:t>
      </w:r>
    </w:p>
    <w:p w:rsidR="005F78FC" w:rsidRDefault="00B42EF3">
      <w:r>
        <w:lastRenderedPageBreak/>
        <w:t xml:space="preserve">In this example, the WordprocessingML fragment specifies that pressing Control-8 (the meaning of a KCM of </w:t>
      </w:r>
      <w:r>
        <w:rPr>
          <w:rStyle w:val="InlineCode"/>
        </w:rPr>
        <w:t>02</w:t>
      </w:r>
      <w:r>
        <w:rPr>
          <w:rStyle w:val="InlineCode"/>
        </w:rPr>
        <w:t>38</w:t>
      </w:r>
      <w:r>
        <w:t xml:space="preserve">) will execute the allocated command identified by </w:t>
      </w:r>
      <w:r>
        <w:rPr>
          <w:rStyle w:val="InlineCode"/>
        </w:rPr>
        <w:t>acd0</w:t>
      </w:r>
      <w:r>
        <w:t>. end example]</w:t>
      </w:r>
    </w:p>
    <w:tbl>
      <w:tblPr>
        <w:tblStyle w:val="Table-ShadedHeader"/>
        <w:tblW w:w="0" w:type="auto"/>
        <w:tblLook w:val="04A0" w:firstRow="1" w:lastRow="0" w:firstColumn="1" w:lastColumn="0" w:noHBand="0" w:noVBand="1"/>
      </w:tblPr>
      <w:tblGrid>
        <w:gridCol w:w="2891"/>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Parent Elements</w:t>
            </w:r>
          </w:p>
        </w:tc>
      </w:tr>
      <w:tr w:rsidR="005F78FC" w:rsidTr="005F78FC">
        <w:tc>
          <w:tcPr>
            <w:tcW w:w="0" w:type="auto"/>
            <w:vAlign w:val="center"/>
          </w:tcPr>
          <w:p w:rsidR="005F78FC" w:rsidRDefault="00B42EF3">
            <w:pPr>
              <w:pStyle w:val="TableBodyText"/>
            </w:pPr>
            <w:r>
              <w:rPr>
                <w:b/>
              </w:rPr>
              <w:t>keymap</w:t>
            </w:r>
            <w:r>
              <w:t xml:space="preserve"> (§</w:t>
            </w:r>
            <w:hyperlink w:anchor="Section_d44dbd45cbbb4efba0903a85141d00fc">
              <w:r>
                <w:rPr>
                  <w:rStyle w:val="Hyperlink"/>
                </w:rPr>
                <w:t>3.1.2.1.1.8, keymap</w:t>
              </w:r>
            </w:hyperlink>
            <w:r>
              <w:t>)</w:t>
            </w:r>
          </w:p>
        </w:tc>
      </w:tr>
    </w:tbl>
    <w:p w:rsidR="005F78FC" w:rsidRDefault="005F78FC"/>
    <w:p w:rsidR="005F78FC" w:rsidRDefault="005F78FC"/>
    <w:tbl>
      <w:tblPr>
        <w:tblStyle w:val="Table-ShadedHeader"/>
        <w:tblW w:w="0" w:type="auto"/>
        <w:tblLook w:val="04A0" w:firstRow="1" w:lastRow="0" w:firstColumn="1" w:lastColumn="0" w:noHBand="0" w:noVBand="1"/>
      </w:tblPr>
      <w:tblGrid>
        <w:gridCol w:w="2781"/>
        <w:gridCol w:w="6694"/>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Attributes</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rPr>
                <w:b/>
              </w:rPr>
              <w:t>acdName</w:t>
            </w:r>
            <w:r>
              <w:t xml:space="preserve"> (Allocated command name)</w:t>
            </w:r>
          </w:p>
        </w:tc>
        <w:tc>
          <w:tcPr>
            <w:tcW w:w="0" w:type="auto"/>
            <w:vAlign w:val="center"/>
          </w:tcPr>
          <w:p w:rsidR="005F78FC" w:rsidRDefault="00B42EF3">
            <w:pPr>
              <w:pStyle w:val="TableBodyText"/>
            </w:pPr>
            <w:r>
              <w:t xml:space="preserve">Specifies the </w:t>
            </w:r>
            <w:r>
              <w:t>friendly name of the allocated command to execute.</w:t>
            </w:r>
          </w:p>
          <w:p w:rsidR="005F78FC" w:rsidRDefault="005F78FC">
            <w:pPr>
              <w:pStyle w:val="TableBodyText"/>
            </w:pPr>
          </w:p>
          <w:p w:rsidR="005F78FC" w:rsidRDefault="00B42EF3">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bl>
    <w:p w:rsidR="005F78FC" w:rsidRDefault="005F78FC"/>
    <w:p w:rsidR="005F78FC" w:rsidRDefault="00B42EF3">
      <w:r>
        <w:t xml:space="preserve">The following XML Schema fragment </w:t>
      </w:r>
      <w:r>
        <w:t>defines the contents of this element:</w:t>
      </w:r>
    </w:p>
    <w:p w:rsidR="005F78FC" w:rsidRDefault="00B42EF3">
      <w:pPr>
        <w:pStyle w:val="Code"/>
      </w:pPr>
      <w:r>
        <w:t>&lt;complexType name="CT_AcdKeymap"&gt;</w:t>
      </w:r>
    </w:p>
    <w:p w:rsidR="005F78FC" w:rsidRDefault="00B42EF3">
      <w:pPr>
        <w:pStyle w:val="Code"/>
      </w:pPr>
      <w:r>
        <w:t xml:space="preserve">  &lt;attribute name="acdName" type="ST_String" use="required"/&gt;</w:t>
      </w:r>
    </w:p>
    <w:p w:rsidR="005F78FC" w:rsidRDefault="00B42EF3">
      <w:pPr>
        <w:pStyle w:val="Code"/>
      </w:pPr>
      <w:r>
        <w:t>&lt;/complexType&gt;</w:t>
      </w:r>
    </w:p>
    <w:p w:rsidR="005F78FC" w:rsidRDefault="00B42EF3">
      <w:pPr>
        <w:pStyle w:val="Heading6"/>
      </w:pPr>
      <w:bookmarkStart w:id="3828" w:name="section_030e50dc59a54f3f8f6c41168047f641"/>
      <w:bookmarkStart w:id="3829" w:name="_Toc69879687"/>
      <w:r>
        <w:t>acdEntry (Allocated Command Manifest Entry)</w:t>
      </w:r>
      <w:bookmarkEnd w:id="3828"/>
      <w:bookmarkEnd w:id="3829"/>
      <w:r>
        <w:fldChar w:fldCharType="begin"/>
      </w:r>
      <w:r>
        <w:instrText xml:space="preserve"> XE "acdEntry (Allocated Command Manifest Entry)" </w:instrText>
      </w:r>
      <w:r>
        <w:fldChar w:fldCharType="end"/>
      </w:r>
    </w:p>
    <w:p w:rsidR="005F78FC" w:rsidRDefault="00B42EF3">
      <w:r>
        <w:t>This elemen</w:t>
      </w:r>
      <w:r>
        <w:t xml:space="preserve">t identifies the allocated command that is associated with the numeric index specified by its order under the enclosing </w:t>
      </w:r>
      <w:r>
        <w:rPr>
          <w:b/>
        </w:rPr>
        <w:t>acdManifest</w:t>
      </w:r>
      <w:r>
        <w:t xml:space="preserve"> element.</w:t>
      </w:r>
    </w:p>
    <w:tbl>
      <w:tblPr>
        <w:tblStyle w:val="Table-ShadedHeader"/>
        <w:tblW w:w="0" w:type="auto"/>
        <w:tblLook w:val="04A0" w:firstRow="1" w:lastRow="0" w:firstColumn="1" w:lastColumn="0" w:noHBand="0" w:noVBand="1"/>
      </w:tblPr>
      <w:tblGrid>
        <w:gridCol w:w="3584"/>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Parent Elements</w:t>
            </w:r>
          </w:p>
        </w:tc>
      </w:tr>
      <w:tr w:rsidR="005F78FC" w:rsidTr="005F78FC">
        <w:tc>
          <w:tcPr>
            <w:tcW w:w="0" w:type="auto"/>
            <w:vAlign w:val="center"/>
          </w:tcPr>
          <w:p w:rsidR="005F78FC" w:rsidRDefault="00B42EF3">
            <w:pPr>
              <w:pStyle w:val="TableBodyText"/>
            </w:pPr>
            <w:r>
              <w:rPr>
                <w:b/>
              </w:rPr>
              <w:t>acdManifest</w:t>
            </w:r>
            <w:r>
              <w:t xml:space="preserve"> (§</w:t>
            </w:r>
            <w:hyperlink w:anchor="Section_196c6a38f97a4a93a3a1121090157f0b">
              <w:r>
                <w:rPr>
                  <w:rStyle w:val="Hyperlink"/>
                </w:rPr>
                <w:t>3.1.2.1.1.4, acdManif</w:t>
              </w:r>
              <w:r>
                <w:rPr>
                  <w:rStyle w:val="Hyperlink"/>
                </w:rPr>
                <w:t>est</w:t>
              </w:r>
            </w:hyperlink>
            <w:r>
              <w:t>)</w:t>
            </w:r>
          </w:p>
        </w:tc>
      </w:tr>
    </w:tbl>
    <w:p w:rsidR="005F78FC" w:rsidRDefault="005F78FC"/>
    <w:p w:rsidR="005F78FC" w:rsidRDefault="005F78FC"/>
    <w:tbl>
      <w:tblPr>
        <w:tblStyle w:val="Table-ShadedHeader"/>
        <w:tblW w:w="0" w:type="auto"/>
        <w:tblLook w:val="04A0" w:firstRow="1" w:lastRow="0" w:firstColumn="1" w:lastColumn="0" w:noHBand="0" w:noVBand="1"/>
      </w:tblPr>
      <w:tblGrid>
        <w:gridCol w:w="2781"/>
        <w:gridCol w:w="6694"/>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Attributes</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rPr>
                <w:b/>
              </w:rPr>
              <w:t>acdName</w:t>
            </w:r>
            <w:r>
              <w:t xml:space="preserve"> (Allocated command name)</w:t>
            </w:r>
          </w:p>
        </w:tc>
        <w:tc>
          <w:tcPr>
            <w:tcW w:w="0" w:type="auto"/>
            <w:vAlign w:val="center"/>
          </w:tcPr>
          <w:p w:rsidR="005F78FC" w:rsidRDefault="00B42EF3">
            <w:pPr>
              <w:pStyle w:val="TableBodyText"/>
            </w:pPr>
            <w:r>
              <w:t>Specifies the friendly name of the allocated command to execute.</w:t>
            </w:r>
          </w:p>
          <w:p w:rsidR="005F78FC" w:rsidRDefault="005F78FC">
            <w:pPr>
              <w:pStyle w:val="TableBodyText"/>
            </w:pPr>
          </w:p>
          <w:p w:rsidR="005F78FC" w:rsidRDefault="00B42EF3">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bl>
    <w:p w:rsidR="005F78FC" w:rsidRDefault="005F78FC"/>
    <w:p w:rsidR="005F78FC" w:rsidRDefault="00B42EF3">
      <w:r>
        <w:t>The following XML Schema fragment defines the contents of this element:</w:t>
      </w:r>
    </w:p>
    <w:p w:rsidR="005F78FC" w:rsidRDefault="00B42EF3">
      <w:pPr>
        <w:pStyle w:val="Code"/>
      </w:pPr>
      <w:r>
        <w:t>&lt;complexType name="CT_AcdKeymap"&gt;</w:t>
      </w:r>
    </w:p>
    <w:p w:rsidR="005F78FC" w:rsidRDefault="00B42EF3">
      <w:pPr>
        <w:pStyle w:val="Code"/>
      </w:pPr>
      <w:r>
        <w:t xml:space="preserve">  &lt;attribute name="acdName" type="ST_String" use="required"/&gt;</w:t>
      </w:r>
    </w:p>
    <w:p w:rsidR="005F78FC" w:rsidRDefault="00B42EF3">
      <w:pPr>
        <w:pStyle w:val="Code"/>
      </w:pPr>
      <w:r>
        <w:t>&lt;/</w:t>
      </w:r>
      <w:r>
        <w:t>complexType&gt;</w:t>
      </w:r>
    </w:p>
    <w:p w:rsidR="005F78FC" w:rsidRDefault="00B42EF3">
      <w:pPr>
        <w:pStyle w:val="Heading6"/>
      </w:pPr>
      <w:bookmarkStart w:id="3830" w:name="section_196c6a38f97a4a93a3a1121090157f0b"/>
      <w:bookmarkStart w:id="3831" w:name="_Toc69879688"/>
      <w:r>
        <w:t>acdManifest (Allocated Command Manifest)</w:t>
      </w:r>
      <w:bookmarkEnd w:id="3830"/>
      <w:bookmarkEnd w:id="3831"/>
      <w:r>
        <w:fldChar w:fldCharType="begin"/>
      </w:r>
      <w:r>
        <w:instrText xml:space="preserve"> XE "acdManifest (Allocated Command Manifest)" </w:instrText>
      </w:r>
      <w:r>
        <w:fldChar w:fldCharType="end"/>
      </w:r>
    </w:p>
    <w:p w:rsidR="005F78FC" w:rsidRDefault="00B42EF3">
      <w:r>
        <w:lastRenderedPageBreak/>
        <w:t>The binary toolbar customization information identifies allocated commands by a numeric index while this XML file format identifies allocated commands by</w:t>
      </w:r>
      <w:r>
        <w:t xml:space="preserve"> a friendly string-based name. This element provides a mapping between the numeric indices and friendly names for allocated commands. The order of an entry specifies its numeric index for use in the attached binary toolbar data.</w:t>
      </w:r>
    </w:p>
    <w:p w:rsidR="005F78FC" w:rsidRDefault="00B42EF3">
      <w:r>
        <w:t>[Example: Consider the foll</w:t>
      </w:r>
      <w:r>
        <w:t>owing allocated command manifest:</w:t>
      </w:r>
    </w:p>
    <w:p w:rsidR="005F78FC" w:rsidRDefault="00B42EF3">
      <w:pPr>
        <w:pStyle w:val="Code"/>
      </w:pPr>
      <w:r>
        <w:t xml:space="preserve">    &lt;wne:toolbars&gt;</w:t>
      </w:r>
    </w:p>
    <w:p w:rsidR="005F78FC" w:rsidRDefault="00B42EF3">
      <w:pPr>
        <w:pStyle w:val="Code"/>
      </w:pPr>
      <w:r>
        <w:t xml:space="preserve">        &lt;wne:acdManifest&gt;</w:t>
      </w:r>
    </w:p>
    <w:p w:rsidR="005F78FC" w:rsidRDefault="00B42EF3">
      <w:pPr>
        <w:pStyle w:val="Code"/>
      </w:pPr>
      <w:r>
        <w:t xml:space="preserve">            &lt;wne:acdEntry wne:acdName="acd2"/&gt;</w:t>
      </w:r>
    </w:p>
    <w:p w:rsidR="005F78FC" w:rsidRDefault="00B42EF3">
      <w:pPr>
        <w:pStyle w:val="Code"/>
      </w:pPr>
      <w:r>
        <w:t xml:space="preserve">            &lt;wne:acdEntry wne:acdName="acd3"/&gt;</w:t>
      </w:r>
    </w:p>
    <w:p w:rsidR="005F78FC" w:rsidRDefault="00B42EF3">
      <w:pPr>
        <w:pStyle w:val="Code"/>
      </w:pPr>
      <w:r>
        <w:t xml:space="preserve">        &lt;/wne:acdManifest&gt;</w:t>
      </w:r>
    </w:p>
    <w:p w:rsidR="005F78FC" w:rsidRDefault="00B42EF3">
      <w:pPr>
        <w:pStyle w:val="Code"/>
      </w:pPr>
      <w:r>
        <w:t xml:space="preserve">    &lt;/wne:toolbars&gt;</w:t>
      </w:r>
    </w:p>
    <w:p w:rsidR="005F78FC" w:rsidRDefault="00B42EF3">
      <w:r>
        <w:t xml:space="preserve">In this example, the WordprocessingML fragment specifies that </w:t>
      </w:r>
      <w:r>
        <w:rPr>
          <w:rStyle w:val="InlineCode"/>
        </w:rPr>
        <w:t>acd2</w:t>
      </w:r>
      <w:r>
        <w:t xml:space="preserve"> holds index 0 and </w:t>
      </w:r>
      <w:r>
        <w:rPr>
          <w:rStyle w:val="InlineCode"/>
        </w:rPr>
        <w:t>acd3</w:t>
      </w:r>
      <w:r>
        <w:t xml:space="preserve"> holds index 1. end example]</w:t>
      </w:r>
    </w:p>
    <w:tbl>
      <w:tblPr>
        <w:tblStyle w:val="Table-ShadedHeader"/>
        <w:tblW w:w="0" w:type="auto"/>
        <w:tblLook w:val="04A0" w:firstRow="1" w:lastRow="0" w:firstColumn="1" w:lastColumn="0" w:noHBand="0" w:noVBand="1"/>
      </w:tblPr>
      <w:tblGrid>
        <w:gridCol w:w="3040"/>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Parent Elements</w:t>
            </w:r>
          </w:p>
        </w:tc>
      </w:tr>
      <w:tr w:rsidR="005F78FC" w:rsidTr="005F78FC">
        <w:tc>
          <w:tcPr>
            <w:tcW w:w="0" w:type="auto"/>
            <w:vAlign w:val="center"/>
          </w:tcPr>
          <w:p w:rsidR="005F78FC" w:rsidRDefault="00B42EF3">
            <w:pPr>
              <w:pStyle w:val="TableBodyText"/>
            </w:pPr>
            <w:r>
              <w:rPr>
                <w:b/>
              </w:rPr>
              <w:t>toolbars</w:t>
            </w:r>
            <w:r>
              <w:t xml:space="preserve"> (§</w:t>
            </w:r>
            <w:hyperlink w:anchor="Section_7c98bf0e4eab43729ae628f1e61e1343">
              <w:r>
                <w:rPr>
                  <w:rStyle w:val="Hyperlink"/>
                </w:rPr>
                <w:t>3.1.2.1.1.14, toolbars</w:t>
              </w:r>
            </w:hyperlink>
            <w:r>
              <w:t>)</w:t>
            </w:r>
          </w:p>
        </w:tc>
      </w:tr>
    </w:tbl>
    <w:p w:rsidR="005F78FC" w:rsidRDefault="005F78FC"/>
    <w:p w:rsidR="005F78FC" w:rsidRDefault="005F78FC"/>
    <w:tbl>
      <w:tblPr>
        <w:tblStyle w:val="Table-ShadedHeader"/>
        <w:tblW w:w="0" w:type="auto"/>
        <w:tblLook w:val="04A0" w:firstRow="1" w:lastRow="0" w:firstColumn="1" w:lastColumn="0" w:noHBand="0" w:noVBand="1"/>
      </w:tblPr>
      <w:tblGrid>
        <w:gridCol w:w="4045"/>
        <w:gridCol w:w="2056"/>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Child Elements</w:t>
            </w:r>
          </w:p>
        </w:tc>
        <w:tc>
          <w:tcPr>
            <w:tcW w:w="0" w:type="auto"/>
            <w:vAlign w:val="center"/>
          </w:tcPr>
          <w:p w:rsidR="005F78FC" w:rsidRDefault="00B42EF3">
            <w:pPr>
              <w:pStyle w:val="TableHeaderText"/>
            </w:pPr>
            <w:r>
              <w:t>Subclause</w:t>
            </w:r>
          </w:p>
        </w:tc>
      </w:tr>
      <w:tr w:rsidR="005F78FC" w:rsidTr="005F78FC">
        <w:tc>
          <w:tcPr>
            <w:tcW w:w="0" w:type="auto"/>
            <w:vAlign w:val="center"/>
          </w:tcPr>
          <w:p w:rsidR="005F78FC" w:rsidRDefault="00B42EF3">
            <w:pPr>
              <w:pStyle w:val="TableBodyText"/>
            </w:pPr>
            <w:r>
              <w:rPr>
                <w:b/>
              </w:rPr>
              <w:t>acdEntry</w:t>
            </w:r>
            <w:r>
              <w:t xml:space="preserve"> (Allocated Command Manifest Entry)</w:t>
            </w:r>
          </w:p>
        </w:tc>
        <w:tc>
          <w:tcPr>
            <w:tcW w:w="0" w:type="auto"/>
            <w:vAlign w:val="center"/>
          </w:tcPr>
          <w:p w:rsidR="005F78FC" w:rsidRDefault="00B42EF3">
            <w:pPr>
              <w:pStyle w:val="TableBodyText"/>
            </w:pPr>
            <w:r>
              <w:t>§</w:t>
            </w:r>
            <w:hyperlink w:anchor="Section_030e50dc59a54f3f8f6c41168047f641">
              <w:r>
                <w:rPr>
                  <w:rStyle w:val="Hyperlink"/>
                </w:rPr>
                <w:t>3.1.2.1.1.3, acdEntry</w:t>
              </w:r>
            </w:hyperlink>
          </w:p>
        </w:tc>
      </w:tr>
    </w:tbl>
    <w:p w:rsidR="005F78FC" w:rsidRDefault="005F78FC"/>
    <w:p w:rsidR="005F78FC" w:rsidRDefault="00B42EF3">
      <w:r>
        <w:t>The following XML Schema fragment defines the contents of this element:</w:t>
      </w:r>
    </w:p>
    <w:p w:rsidR="005F78FC" w:rsidRDefault="00B42EF3">
      <w:pPr>
        <w:pStyle w:val="Code"/>
      </w:pPr>
      <w:r>
        <w:t>&lt;complexType name="CT_AcdManifest"&gt;</w:t>
      </w:r>
    </w:p>
    <w:p w:rsidR="005F78FC" w:rsidRDefault="00B42EF3">
      <w:pPr>
        <w:pStyle w:val="Code"/>
      </w:pPr>
      <w:r>
        <w:t xml:space="preserve">  &lt;</w:t>
      </w:r>
      <w:r>
        <w:t>sequence&gt;</w:t>
      </w:r>
    </w:p>
    <w:p w:rsidR="005F78FC" w:rsidRDefault="00B42EF3">
      <w:pPr>
        <w:pStyle w:val="Code"/>
      </w:pPr>
      <w:r>
        <w:t xml:space="preserve">    &lt;element name="acdEntry" type="CT_AcdKeymap" minOccurs="1" maxOccurs="unbounded"/&gt;</w:t>
      </w:r>
    </w:p>
    <w:p w:rsidR="005F78FC" w:rsidRDefault="00B42EF3">
      <w:pPr>
        <w:pStyle w:val="Code"/>
      </w:pPr>
      <w:r>
        <w:t xml:space="preserve">  &lt;/sequence&gt;</w:t>
      </w:r>
    </w:p>
    <w:p w:rsidR="005F78FC" w:rsidRDefault="00B42EF3">
      <w:pPr>
        <w:pStyle w:val="Code"/>
      </w:pPr>
      <w:r>
        <w:t>&lt;/complexType&gt;</w:t>
      </w:r>
    </w:p>
    <w:p w:rsidR="005F78FC" w:rsidRDefault="00B42EF3">
      <w:pPr>
        <w:pStyle w:val="Heading6"/>
      </w:pPr>
      <w:bookmarkStart w:id="3832" w:name="section_83ec8315581b46899d5e9db1d95ec41f"/>
      <w:bookmarkStart w:id="3833" w:name="_Toc69879689"/>
      <w:r>
        <w:t>acds (Allocated Commands)</w:t>
      </w:r>
      <w:bookmarkEnd w:id="3832"/>
      <w:bookmarkEnd w:id="3833"/>
      <w:r>
        <w:fldChar w:fldCharType="begin"/>
      </w:r>
      <w:r>
        <w:instrText xml:space="preserve"> XE "acds (Allocated Commands)" </w:instrText>
      </w:r>
      <w:r>
        <w:fldChar w:fldCharType="end"/>
      </w:r>
    </w:p>
    <w:p w:rsidR="005F78FC" w:rsidRDefault="00B42EF3">
      <w:r>
        <w:t>This element serves as a container for the declaration of allocated co</w:t>
      </w:r>
      <w:r>
        <w:t>mmands.</w:t>
      </w:r>
    </w:p>
    <w:tbl>
      <w:tblPr>
        <w:tblStyle w:val="Table-ShadedHeader"/>
        <w:tblW w:w="0" w:type="auto"/>
        <w:tblLook w:val="04A0" w:firstRow="1" w:lastRow="0" w:firstColumn="1" w:lastColumn="0" w:noHBand="0" w:noVBand="1"/>
      </w:tblPr>
      <w:tblGrid>
        <w:gridCol w:w="2176"/>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Parent Elements</w:t>
            </w:r>
          </w:p>
        </w:tc>
      </w:tr>
      <w:tr w:rsidR="005F78FC" w:rsidTr="005F78FC">
        <w:tc>
          <w:tcPr>
            <w:tcW w:w="0" w:type="auto"/>
            <w:vAlign w:val="center"/>
          </w:tcPr>
          <w:p w:rsidR="005F78FC" w:rsidRDefault="00B42EF3">
            <w:pPr>
              <w:pStyle w:val="TableBodyText"/>
            </w:pPr>
            <w:r>
              <w:rPr>
                <w:b/>
              </w:rPr>
              <w:t>tcg</w:t>
            </w:r>
            <w:r>
              <w:t xml:space="preserve"> (§</w:t>
            </w:r>
            <w:hyperlink w:anchor="Section_611795947ec745d68a2df9ece7863986">
              <w:r>
                <w:rPr>
                  <w:rStyle w:val="Hyperlink"/>
                </w:rPr>
                <w:t>3.1.2.1.1.12, tcg</w:t>
              </w:r>
            </w:hyperlink>
            <w:r>
              <w:t>)</w:t>
            </w:r>
          </w:p>
        </w:tc>
      </w:tr>
    </w:tbl>
    <w:p w:rsidR="005F78FC" w:rsidRDefault="005F78FC"/>
    <w:p w:rsidR="005F78FC" w:rsidRDefault="005F78FC"/>
    <w:tbl>
      <w:tblPr>
        <w:tblStyle w:val="Table-ShadedHeader"/>
        <w:tblW w:w="0" w:type="auto"/>
        <w:tblLook w:val="04A0" w:firstRow="1" w:lastRow="0" w:firstColumn="1" w:lastColumn="0" w:noHBand="0" w:noVBand="1"/>
      </w:tblPr>
      <w:tblGrid>
        <w:gridCol w:w="2350"/>
        <w:gridCol w:w="1627"/>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Child Elements</w:t>
            </w:r>
          </w:p>
        </w:tc>
        <w:tc>
          <w:tcPr>
            <w:tcW w:w="0" w:type="auto"/>
            <w:vAlign w:val="center"/>
          </w:tcPr>
          <w:p w:rsidR="005F78FC" w:rsidRDefault="00B42EF3">
            <w:pPr>
              <w:pStyle w:val="TableHeaderText"/>
            </w:pPr>
            <w:r>
              <w:t>Subclause</w:t>
            </w:r>
          </w:p>
        </w:tc>
      </w:tr>
      <w:tr w:rsidR="005F78FC" w:rsidTr="005F78FC">
        <w:tc>
          <w:tcPr>
            <w:tcW w:w="0" w:type="auto"/>
            <w:vAlign w:val="center"/>
          </w:tcPr>
          <w:p w:rsidR="005F78FC" w:rsidRDefault="00B42EF3">
            <w:pPr>
              <w:pStyle w:val="TableBodyText"/>
            </w:pPr>
            <w:r>
              <w:rPr>
                <w:b/>
              </w:rPr>
              <w:t>acd</w:t>
            </w:r>
            <w:r>
              <w:t xml:space="preserve"> (Allocated Command)</w:t>
            </w:r>
          </w:p>
        </w:tc>
        <w:tc>
          <w:tcPr>
            <w:tcW w:w="0" w:type="auto"/>
            <w:vAlign w:val="center"/>
          </w:tcPr>
          <w:p w:rsidR="005F78FC" w:rsidRDefault="00B42EF3">
            <w:pPr>
              <w:pStyle w:val="TableBodyText"/>
            </w:pPr>
            <w:r>
              <w:t>§</w:t>
            </w:r>
            <w:hyperlink w:anchor="Section_9bd9f7443f3a4ce88c48371c1bb6cd67">
              <w:r>
                <w:rPr>
                  <w:rStyle w:val="Hyperlink"/>
                </w:rPr>
                <w:t>3.1.2.1.1.1, acd</w:t>
              </w:r>
            </w:hyperlink>
          </w:p>
        </w:tc>
      </w:tr>
    </w:tbl>
    <w:p w:rsidR="005F78FC" w:rsidRDefault="005F78FC"/>
    <w:p w:rsidR="005F78FC" w:rsidRDefault="00B42EF3">
      <w:r>
        <w:lastRenderedPageBreak/>
        <w:t xml:space="preserve">The </w:t>
      </w:r>
      <w:r>
        <w:t>following XML Schema fragment defines the contents of this element:</w:t>
      </w:r>
    </w:p>
    <w:p w:rsidR="005F78FC" w:rsidRDefault="00B42EF3">
      <w:pPr>
        <w:pStyle w:val="Code"/>
      </w:pPr>
      <w:r>
        <w:t>&lt;complexType name="CT_Acds"&gt;</w:t>
      </w:r>
    </w:p>
    <w:p w:rsidR="005F78FC" w:rsidRDefault="00B42EF3">
      <w:pPr>
        <w:pStyle w:val="Code"/>
      </w:pPr>
      <w:r>
        <w:t xml:space="preserve">  &lt;sequence&gt;</w:t>
      </w:r>
    </w:p>
    <w:p w:rsidR="005F78FC" w:rsidRDefault="00B42EF3">
      <w:pPr>
        <w:pStyle w:val="Code"/>
      </w:pPr>
      <w:r>
        <w:t xml:space="preserve">    &lt;element name="acd" type="CT_Acd" minOccurs="1" maxOccurs="unbounded"/&gt;</w:t>
      </w:r>
    </w:p>
    <w:p w:rsidR="005F78FC" w:rsidRDefault="00B42EF3">
      <w:pPr>
        <w:pStyle w:val="Code"/>
      </w:pPr>
      <w:r>
        <w:t xml:space="preserve">  &lt;/sequence&gt;</w:t>
      </w:r>
    </w:p>
    <w:p w:rsidR="005F78FC" w:rsidRDefault="00B42EF3">
      <w:pPr>
        <w:pStyle w:val="Code"/>
      </w:pPr>
      <w:r>
        <w:t>&lt;/complexType&gt;</w:t>
      </w:r>
    </w:p>
    <w:p w:rsidR="005F78FC" w:rsidRDefault="00B42EF3">
      <w:pPr>
        <w:pStyle w:val="Heading6"/>
      </w:pPr>
      <w:bookmarkStart w:id="3834" w:name="section_7bbd9fb16181481db29c63842301455d"/>
      <w:bookmarkStart w:id="3835" w:name="_Toc69879690"/>
      <w:r>
        <w:t>active (Record Is Included in Mail Merge)</w:t>
      </w:r>
      <w:bookmarkEnd w:id="3834"/>
      <w:bookmarkEnd w:id="3835"/>
      <w:r>
        <w:fldChar w:fldCharType="begin"/>
      </w:r>
      <w:r>
        <w:instrText xml:space="preserve"> XE "active (Record Is Included in Mail Merge)" </w:instrText>
      </w:r>
      <w:r>
        <w:fldChar w:fldCharType="end"/>
      </w:r>
    </w:p>
    <w:p w:rsidR="005F78FC" w:rsidRDefault="00B42EF3">
      <w:r>
        <w:t>This element specifies whether a specific record from the specified external data source shall be imported into a merged WordprocessingML document when the mail merge defined for a source document is perfo</w:t>
      </w:r>
      <w:r>
        <w:t xml:space="preserve">rmed. If this element's </w:t>
      </w:r>
      <w:r>
        <w:rPr>
          <w:b/>
        </w:rPr>
        <w:t>val</w:t>
      </w:r>
      <w:r>
        <w:t xml:space="preserve"> attribute is </w:t>
      </w:r>
      <w:r>
        <w:rPr>
          <w:i/>
        </w:rPr>
        <w:t>false</w:t>
      </w:r>
      <w:r>
        <w:t>, then the record specified by the parent element shall not be used to create a merged document.</w:t>
      </w:r>
    </w:p>
    <w:p w:rsidR="005F78FC" w:rsidRDefault="00B42EF3">
      <w:r>
        <w:t>If this element is omitted for a given record, the data record associated with it shall be imported into a merged</w:t>
      </w:r>
      <w:r>
        <w:t xml:space="preserve"> WordprocessingML document when the mail merge is performed.</w:t>
      </w:r>
    </w:p>
    <w:p w:rsidR="005F78FC" w:rsidRDefault="00B42EF3">
      <w:r>
        <w:t>[Example: Consider the following fragment from a source WordprocessingML document that is connected to an external data source containing two records, one of which will not be imported into a mer</w:t>
      </w:r>
      <w:r>
        <w:t>ged WordprocessingML document when the conforming hosting application performs the data import.</w:t>
      </w:r>
    </w:p>
    <w:p w:rsidR="005F78FC" w:rsidRDefault="00B42EF3">
      <w:pPr>
        <w:pStyle w:val="Code"/>
      </w:pPr>
      <w:r>
        <w:t>&lt;w:recipients&gt;</w:t>
      </w:r>
    </w:p>
    <w:p w:rsidR="005F78FC" w:rsidRDefault="00B42EF3">
      <w:pPr>
        <w:pStyle w:val="Code"/>
      </w:pPr>
      <w:r>
        <w:t xml:space="preserve">  &lt;w:recipientData&gt;</w:t>
      </w:r>
    </w:p>
    <w:p w:rsidR="005F78FC" w:rsidRDefault="00B42EF3">
      <w:pPr>
        <w:pStyle w:val="Code"/>
      </w:pPr>
      <w:r>
        <w:t xml:space="preserve">    &lt;w:active w:val="false" /&gt;</w:t>
      </w:r>
    </w:p>
    <w:p w:rsidR="005F78FC" w:rsidRDefault="00B42EF3">
      <w:pPr>
        <w:pStyle w:val="Code"/>
      </w:pPr>
      <w:r>
        <w:t xml:space="preserve">    &lt;w:hash w:val="1126664175" /&gt;</w:t>
      </w:r>
    </w:p>
    <w:p w:rsidR="005F78FC" w:rsidRDefault="00B42EF3">
      <w:pPr>
        <w:pStyle w:val="Code"/>
      </w:pPr>
      <w:r>
        <w:t xml:space="preserve">  &lt;/w:recipientData&gt;</w:t>
      </w:r>
    </w:p>
    <w:p w:rsidR="005F78FC" w:rsidRDefault="00B42EF3">
      <w:pPr>
        <w:pStyle w:val="Code"/>
      </w:pPr>
      <w:r>
        <w:t xml:space="preserve">  &lt;w:recipientData&gt;</w:t>
      </w:r>
    </w:p>
    <w:p w:rsidR="005F78FC" w:rsidRDefault="00B42EF3">
      <w:pPr>
        <w:pStyle w:val="Code"/>
      </w:pPr>
      <w:r>
        <w:t xml:space="preserve">    &lt;w:hash w:val="</w:t>
      </w:r>
      <w:r>
        <w:t>1530576378" /&gt;</w:t>
      </w:r>
    </w:p>
    <w:p w:rsidR="005F78FC" w:rsidRDefault="00B42EF3">
      <w:pPr>
        <w:pStyle w:val="Code"/>
      </w:pPr>
      <w:r>
        <w:t xml:space="preserve">  &lt;/w:recipientData&gt;</w:t>
      </w:r>
    </w:p>
    <w:p w:rsidR="005F78FC" w:rsidRDefault="00B42EF3">
      <w:pPr>
        <w:pStyle w:val="Code"/>
      </w:pPr>
      <w:r>
        <w:t>&lt;/w:recipients&gt;</w:t>
      </w:r>
    </w:p>
    <w:p w:rsidR="005F78FC" w:rsidRDefault="00B42EF3">
      <w:r>
        <w:t xml:space="preserve">In this XML fragment, the external data record that is identified by the </w:t>
      </w:r>
      <w:r>
        <w:rPr>
          <w:b/>
        </w:rPr>
        <w:t>hash</w:t>
      </w:r>
      <w:r>
        <w:t xml:space="preserve"> element (§</w:t>
      </w:r>
      <w:hyperlink w:anchor="Section_b1588c0913964016a2ea78ce84a81a8e">
        <w:r>
          <w:rPr>
            <w:rStyle w:val="Hyperlink"/>
          </w:rPr>
          <w:t>3.1.2.2.1.1, hash</w:t>
        </w:r>
      </w:hyperlink>
      <w:r>
        <w:t xml:space="preserve">) with a </w:t>
      </w:r>
      <w:r>
        <w:rPr>
          <w:b/>
        </w:rPr>
        <w:t>val</w:t>
      </w:r>
      <w:r>
        <w:t xml:space="preserve"> attribute equal to </w:t>
      </w:r>
      <w:r>
        <w:rPr>
          <w:i/>
        </w:rPr>
        <w:t>1126664175</w:t>
      </w:r>
      <w:r>
        <w:t xml:space="preserve"> will not be imported into a merged document because the </w:t>
      </w:r>
      <w:r>
        <w:rPr>
          <w:b/>
        </w:rPr>
        <w:t>active</w:t>
      </w:r>
      <w:r>
        <w:t xml:space="preserve"> element associated with it has a </w:t>
      </w:r>
      <w:r>
        <w:rPr>
          <w:b/>
        </w:rPr>
        <w:t>val</w:t>
      </w:r>
      <w:r>
        <w:t xml:space="preserve"> attribute equal to </w:t>
      </w:r>
      <w:r>
        <w:rPr>
          <w:i/>
        </w:rPr>
        <w:t>false</w:t>
      </w:r>
      <w:r>
        <w:t xml:space="preserve">. Conversely, the external data record associated with the </w:t>
      </w:r>
      <w:r>
        <w:rPr>
          <w:b/>
        </w:rPr>
        <w:t>hash</w:t>
      </w:r>
      <w:r>
        <w:t xml:space="preserve"> element with a </w:t>
      </w:r>
      <w:r>
        <w:rPr>
          <w:b/>
        </w:rPr>
        <w:t>val</w:t>
      </w:r>
      <w:r>
        <w:t xml:space="preserve"> attribute equal to </w:t>
      </w:r>
      <w:r>
        <w:rPr>
          <w:i/>
        </w:rPr>
        <w:t>1530576378</w:t>
      </w:r>
      <w:r>
        <w:t xml:space="preserve"> will be </w:t>
      </w:r>
      <w:r>
        <w:t xml:space="preserve">imported into a merged document because its </w:t>
      </w:r>
      <w:r>
        <w:rPr>
          <w:b/>
        </w:rPr>
        <w:t>active</w:t>
      </w:r>
      <w:r>
        <w:t xml:space="preserve"> element has been omitted, implying the default value of </w:t>
      </w:r>
      <w:r>
        <w:rPr>
          <w:i/>
        </w:rPr>
        <w:t>true</w:t>
      </w:r>
      <w:r>
        <w:t xml:space="preserve">. end example] </w:t>
      </w:r>
    </w:p>
    <w:tbl>
      <w:tblPr>
        <w:tblStyle w:val="Table-ShadedHeader"/>
        <w:tblW w:w="0" w:type="auto"/>
        <w:tblLook w:val="04A0" w:firstRow="1" w:lastRow="0" w:firstColumn="1" w:lastColumn="0" w:noHBand="0" w:noVBand="1"/>
      </w:tblPr>
      <w:tblGrid>
        <w:gridCol w:w="3836"/>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Parent Elements</w:t>
            </w:r>
          </w:p>
        </w:tc>
      </w:tr>
      <w:tr w:rsidR="005F78FC" w:rsidTr="005F78FC">
        <w:tc>
          <w:tcPr>
            <w:tcW w:w="0" w:type="auto"/>
            <w:vAlign w:val="center"/>
          </w:tcPr>
          <w:p w:rsidR="005F78FC" w:rsidRDefault="00B42EF3">
            <w:pPr>
              <w:pStyle w:val="TableBodyText"/>
            </w:pPr>
            <w:r>
              <w:rPr>
                <w:b/>
              </w:rPr>
              <w:t>recipientData</w:t>
            </w:r>
            <w:r>
              <w:t xml:space="preserve"> (§</w:t>
            </w:r>
            <w:hyperlink w:anchor="Section_cae9abfd7956464e9f841af5c3c4433d">
              <w:r>
                <w:rPr>
                  <w:rStyle w:val="Hyperlink"/>
                </w:rPr>
                <w:t>3.1.2.2.1.2, recipientData</w:t>
              </w:r>
            </w:hyperlink>
            <w:r>
              <w:t>)</w:t>
            </w:r>
          </w:p>
        </w:tc>
      </w:tr>
    </w:tbl>
    <w:p w:rsidR="005F78FC" w:rsidRDefault="005F78FC"/>
    <w:p w:rsidR="005F78FC" w:rsidRDefault="005F78FC"/>
    <w:tbl>
      <w:tblPr>
        <w:tblStyle w:val="Table-ShadedHeader"/>
        <w:tblW w:w="0" w:type="auto"/>
        <w:tblLook w:val="04A0" w:firstRow="1" w:lastRow="0" w:firstColumn="1" w:lastColumn="0" w:noHBand="0" w:noVBand="1"/>
      </w:tblPr>
      <w:tblGrid>
        <w:gridCol w:w="1135"/>
        <w:gridCol w:w="8340"/>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Attributes</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rPr>
                <w:b/>
              </w:rPr>
              <w:t>val</w:t>
            </w:r>
            <w:r>
              <w:t xml:space="preserve"> ()</w:t>
            </w:r>
          </w:p>
        </w:tc>
        <w:tc>
          <w:tcPr>
            <w:tcW w:w="0" w:type="auto"/>
            <w:vAlign w:val="center"/>
          </w:tcPr>
          <w:p w:rsidR="005F78FC" w:rsidRDefault="005F78FC">
            <w:pPr>
              <w:pStyle w:val="TableBodyText"/>
            </w:pPr>
          </w:p>
          <w:p w:rsidR="005F78FC" w:rsidRDefault="00B42EF3">
            <w:pPr>
              <w:pStyle w:val="TableBodyText"/>
            </w:pPr>
            <w:r>
              <w:t>The possible values for this attribute are defined by the ST_OnOff simple type (§</w:t>
            </w:r>
            <w:hyperlink w:anchor="Section_815fcc39dc6c44f8ad2787b1d9f21571">
              <w:r>
                <w:rPr>
                  <w:rStyle w:val="Hyperlink"/>
                </w:rPr>
                <w:t>3.1.2.3.3, ST_OnOff</w:t>
              </w:r>
            </w:hyperlink>
            <w:r>
              <w:t>).</w:t>
            </w:r>
          </w:p>
        </w:tc>
      </w:tr>
    </w:tbl>
    <w:p w:rsidR="005F78FC" w:rsidRDefault="005F78FC"/>
    <w:p w:rsidR="005F78FC" w:rsidRDefault="00B42EF3">
      <w:r>
        <w:t>The following XML Schema fragment defines the contents o</w:t>
      </w:r>
      <w:r>
        <w:t>f this element:</w:t>
      </w:r>
    </w:p>
    <w:p w:rsidR="005F78FC" w:rsidRDefault="00B42EF3">
      <w:pPr>
        <w:pStyle w:val="Code"/>
      </w:pPr>
      <w:r>
        <w:lastRenderedPageBreak/>
        <w:t>&lt;complexType name="CT_OnOff"&gt;</w:t>
      </w:r>
    </w:p>
    <w:p w:rsidR="005F78FC" w:rsidRDefault="00B42EF3">
      <w:pPr>
        <w:pStyle w:val="Code"/>
      </w:pPr>
      <w:r>
        <w:t xml:space="preserve">  &lt;attribute name="val" type="ST_OnOff"/&gt;</w:t>
      </w:r>
    </w:p>
    <w:p w:rsidR="005F78FC" w:rsidRDefault="00B42EF3">
      <w:pPr>
        <w:pStyle w:val="Code"/>
      </w:pPr>
      <w:r>
        <w:t>&lt;/complexType&gt;</w:t>
      </w:r>
    </w:p>
    <w:p w:rsidR="005F78FC" w:rsidRDefault="00B42EF3">
      <w:pPr>
        <w:pStyle w:val="Heading6"/>
      </w:pPr>
      <w:bookmarkStart w:id="3836" w:name="section_e7fbfaec48a0443e91cc16c53cefbd44"/>
      <w:bookmarkStart w:id="3837" w:name="_Toc69879691"/>
      <w:r>
        <w:t>fci (Fixed Command Keyboard Customization Action)</w:t>
      </w:r>
      <w:bookmarkEnd w:id="3836"/>
      <w:bookmarkEnd w:id="3837"/>
      <w:r>
        <w:fldChar w:fldCharType="begin"/>
      </w:r>
      <w:r>
        <w:instrText xml:space="preserve"> XE "fci (Fixed Command Keyboard Customization Action)" </w:instrText>
      </w:r>
      <w:r>
        <w:fldChar w:fldCharType="end"/>
      </w:r>
    </w:p>
    <w:p w:rsidR="005F78FC" w:rsidRDefault="00B42EF3">
      <w:r>
        <w:t xml:space="preserve">The </w:t>
      </w:r>
      <w:r>
        <w:rPr>
          <w:b/>
        </w:rPr>
        <w:t>fci</w:t>
      </w:r>
      <w:r>
        <w:t xml:space="preserve"> element specifies the command that will be executed for the keyboard shortcut specified in the enclosing </w:t>
      </w:r>
      <w:r>
        <w:rPr>
          <w:b/>
        </w:rPr>
        <w:t>keymap</w:t>
      </w:r>
      <w:r>
        <w:t xml:space="preserve"> element. This element must reference either an identifying name or index by using the </w:t>
      </w:r>
      <w:r>
        <w:rPr>
          <w:i/>
        </w:rPr>
        <w:t>fciName</w:t>
      </w:r>
      <w:r>
        <w:t xml:space="preserve"> or </w:t>
      </w:r>
      <w:r>
        <w:rPr>
          <w:i/>
        </w:rPr>
        <w:t>fciIndex</w:t>
      </w:r>
      <w:r>
        <w:t xml:space="preserve"> attribute, respectively. If both attr</w:t>
      </w:r>
      <w:r>
        <w:t xml:space="preserve">ibutes are specified, </w:t>
      </w:r>
      <w:r>
        <w:rPr>
          <w:i/>
        </w:rPr>
        <w:t>fciName</w:t>
      </w:r>
      <w:r>
        <w:t xml:space="preserve"> takes precedence for determining the command to execute. When writing a document, </w:t>
      </w:r>
      <w:r>
        <w:rPr>
          <w:i/>
        </w:rPr>
        <w:t>fciName</w:t>
      </w:r>
      <w:r>
        <w:t xml:space="preserve"> will be used if a name can be determined for the command. If a name cannot be determined, </w:t>
      </w:r>
      <w:r>
        <w:rPr>
          <w:i/>
        </w:rPr>
        <w:t>fciIndex</w:t>
      </w:r>
      <w:r>
        <w:t xml:space="preserve"> will be used instead.</w:t>
      </w:r>
    </w:p>
    <w:p w:rsidR="005F78FC" w:rsidRDefault="00B42EF3">
      <w:r>
        <w:t>For a list of p</w:t>
      </w:r>
      <w:r>
        <w:t>ublic fixed command names and corresponding indices available in Word, refer to Fixed Commands (§</w:t>
      </w:r>
      <w:hyperlink w:anchor="Section_1ecf33cf360145f089fb0ab824739343">
        <w:r>
          <w:rPr>
            <w:rStyle w:val="Hyperlink"/>
          </w:rPr>
          <w:t>3.1.2.1.2, Fixed Commands</w:t>
        </w:r>
      </w:hyperlink>
      <w:r>
        <w:t>).</w:t>
      </w:r>
    </w:p>
    <w:p w:rsidR="005F78FC" w:rsidRDefault="00B42EF3">
      <w:r>
        <w:t>[Example: Consider the following key mapping fragment:</w:t>
      </w:r>
    </w:p>
    <w:p w:rsidR="005F78FC" w:rsidRDefault="00B42EF3">
      <w:pPr>
        <w:pStyle w:val="Code"/>
      </w:pPr>
      <w:r>
        <w:t xml:space="preserve">   &lt;wne:keyma</w:t>
      </w:r>
      <w:r>
        <w:t>p wne:kcmPrimary="0342"&gt;</w:t>
      </w:r>
    </w:p>
    <w:p w:rsidR="005F78FC" w:rsidRDefault="00B42EF3">
      <w:pPr>
        <w:pStyle w:val="Code"/>
      </w:pPr>
      <w:r>
        <w:t xml:space="preserve">      &lt;wne:fci wne:fciName="Bold" /&gt;</w:t>
      </w:r>
    </w:p>
    <w:p w:rsidR="005F78FC" w:rsidRDefault="00B42EF3">
      <w:pPr>
        <w:pStyle w:val="Code"/>
      </w:pPr>
      <w:r>
        <w:t xml:space="preserve">   &lt;/wne:keymap&gt;</w:t>
      </w:r>
    </w:p>
    <w:p w:rsidR="005F78FC" w:rsidRDefault="00B42EF3">
      <w:r>
        <w:t xml:space="preserve">In this example, the WordprocessingML assigns the </w:t>
      </w:r>
      <w:r>
        <w:rPr>
          <w:rStyle w:val="InlineCode"/>
        </w:rPr>
        <w:t>Bold</w:t>
      </w:r>
      <w:r>
        <w:t xml:space="preserve"> fixed command to the keyboard shortcut mapping to KCM </w:t>
      </w:r>
      <w:r>
        <w:rPr>
          <w:rStyle w:val="InlineCode"/>
        </w:rPr>
        <w:t>0342</w:t>
      </w:r>
      <w:r>
        <w:t xml:space="preserve"> (Ctrl-Shift-B). </w:t>
      </w:r>
    </w:p>
    <w:p w:rsidR="005F78FC" w:rsidRDefault="00B42EF3">
      <w:r>
        <w:t xml:space="preserve">Alternately, the same effect can be achieved using the </w:t>
      </w:r>
      <w:r>
        <w:rPr>
          <w:i/>
        </w:rPr>
        <w:t>fciIndex</w:t>
      </w:r>
      <w:r>
        <w:t xml:space="preserve"> instead of </w:t>
      </w:r>
      <w:r>
        <w:rPr>
          <w:i/>
        </w:rPr>
        <w:t>fciName</w:t>
      </w:r>
      <w:r>
        <w:t>:</w:t>
      </w:r>
    </w:p>
    <w:p w:rsidR="005F78FC" w:rsidRDefault="00B42EF3">
      <w:pPr>
        <w:pStyle w:val="Code"/>
      </w:pPr>
      <w:r>
        <w:t xml:space="preserve">  &lt;wne:keymap wne:kcmPrimary="0342"&gt;</w:t>
      </w:r>
    </w:p>
    <w:p w:rsidR="005F78FC" w:rsidRDefault="00B42EF3">
      <w:pPr>
        <w:pStyle w:val="Code"/>
      </w:pPr>
      <w:r>
        <w:t xml:space="preserve">   &lt;wne:fci wne:fciIndex="002D" /&gt;</w:t>
      </w:r>
    </w:p>
    <w:p w:rsidR="005F78FC" w:rsidRDefault="00B42EF3">
      <w:pPr>
        <w:pStyle w:val="Code"/>
      </w:pPr>
      <w:r>
        <w:t>&lt;/wne:keymap&gt;</w:t>
      </w:r>
    </w:p>
    <w:p w:rsidR="005F78FC" w:rsidRDefault="00B42EF3">
      <w:r>
        <w:t>end example]</w:t>
      </w:r>
    </w:p>
    <w:tbl>
      <w:tblPr>
        <w:tblStyle w:val="Table-ShadedHeader"/>
        <w:tblW w:w="0" w:type="auto"/>
        <w:tblLook w:val="04A0" w:firstRow="1" w:lastRow="0" w:firstColumn="1" w:lastColumn="0" w:noHBand="0" w:noVBand="1"/>
      </w:tblPr>
      <w:tblGrid>
        <w:gridCol w:w="2891"/>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Parent Elements</w:t>
            </w:r>
          </w:p>
        </w:tc>
      </w:tr>
      <w:tr w:rsidR="005F78FC" w:rsidTr="005F78FC">
        <w:tc>
          <w:tcPr>
            <w:tcW w:w="0" w:type="auto"/>
            <w:vAlign w:val="center"/>
          </w:tcPr>
          <w:p w:rsidR="005F78FC" w:rsidRDefault="00B42EF3">
            <w:pPr>
              <w:pStyle w:val="TableBodyText"/>
            </w:pPr>
            <w:r>
              <w:rPr>
                <w:b/>
              </w:rPr>
              <w:t>keymap</w:t>
            </w:r>
            <w:r>
              <w:t xml:space="preserve"> (§</w:t>
            </w:r>
            <w:hyperlink w:anchor="Section_d44dbd45cbbb4efba0903a85141d00fc">
              <w:r>
                <w:rPr>
                  <w:rStyle w:val="Hyperlink"/>
                </w:rPr>
                <w:t>3.1.2.1.1.8, keymap</w:t>
              </w:r>
            </w:hyperlink>
            <w:r>
              <w:t>)</w:t>
            </w:r>
          </w:p>
        </w:tc>
      </w:tr>
    </w:tbl>
    <w:p w:rsidR="005F78FC" w:rsidRDefault="005F78FC"/>
    <w:p w:rsidR="005F78FC" w:rsidRDefault="005F78FC"/>
    <w:tbl>
      <w:tblPr>
        <w:tblStyle w:val="Table-ShadedHeader"/>
        <w:tblW w:w="0" w:type="auto"/>
        <w:tblLook w:val="04A0" w:firstRow="1" w:lastRow="0" w:firstColumn="1" w:lastColumn="0" w:noHBand="0" w:noVBand="1"/>
      </w:tblPr>
      <w:tblGrid>
        <w:gridCol w:w="1955"/>
        <w:gridCol w:w="7520"/>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Attributes</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rPr>
                <w:b/>
              </w:rPr>
              <w:t>fciIndex</w:t>
            </w:r>
            <w:r>
              <w:t xml:space="preserve"> (Index of fixed command)</w:t>
            </w:r>
          </w:p>
        </w:tc>
        <w:tc>
          <w:tcPr>
            <w:tcW w:w="0" w:type="auto"/>
            <w:vAlign w:val="center"/>
          </w:tcPr>
          <w:p w:rsidR="005F78FC" w:rsidRDefault="00B42EF3">
            <w:pPr>
              <w:pStyle w:val="TableBodyText"/>
            </w:pPr>
            <w:r>
              <w:t>Specifies numeric identifier for a fixed command.</w:t>
            </w:r>
          </w:p>
          <w:p w:rsidR="005F78FC" w:rsidRDefault="005F78FC">
            <w:pPr>
              <w:pStyle w:val="TableBodyText"/>
            </w:pPr>
          </w:p>
          <w:p w:rsidR="005F78FC" w:rsidRDefault="00B42EF3">
            <w:pPr>
              <w:pStyle w:val="TableBodyText"/>
            </w:pPr>
            <w:r>
              <w:t>For a list of public fixed command names and their indices available in Word, refer to Fixed Commands (§</w:t>
            </w:r>
            <w:r>
              <w:t>3.1.2.1.2, Fixed Commands).</w:t>
            </w:r>
          </w:p>
          <w:p w:rsidR="005F78FC" w:rsidRDefault="005F78FC">
            <w:pPr>
              <w:pStyle w:val="TableBodyText"/>
            </w:pPr>
          </w:p>
          <w:p w:rsidR="005F78FC" w:rsidRDefault="00B42EF3">
            <w:pPr>
              <w:pStyle w:val="TableBodyText"/>
            </w:pPr>
            <w:r>
              <w:t>The possible values for this attribute are defined by the ST_ShortHexNumber simple type (§</w:t>
            </w:r>
            <w:hyperlink w:anchor="Section_b12e8ea4e85d4b4c94bf98db8427fcaa">
              <w:r>
                <w:rPr>
                  <w:rStyle w:val="Hyperlink"/>
                </w:rPr>
                <w:t>3.1.2.3.4, ST_ShortHexNumber</w:t>
              </w:r>
            </w:hyperlink>
            <w:r>
              <w:t>).</w:t>
            </w:r>
          </w:p>
        </w:tc>
      </w:tr>
      <w:tr w:rsidR="005F78FC" w:rsidTr="005F78FC">
        <w:tc>
          <w:tcPr>
            <w:tcW w:w="0" w:type="auto"/>
            <w:vAlign w:val="center"/>
          </w:tcPr>
          <w:p w:rsidR="005F78FC" w:rsidRDefault="00B42EF3">
            <w:pPr>
              <w:pStyle w:val="TableBodyText"/>
            </w:pPr>
            <w:r>
              <w:rPr>
                <w:b/>
              </w:rPr>
              <w:t>fciName</w:t>
            </w:r>
            <w:r>
              <w:t xml:space="preserve"> (Fixed command name)</w:t>
            </w:r>
          </w:p>
        </w:tc>
        <w:tc>
          <w:tcPr>
            <w:tcW w:w="0" w:type="auto"/>
            <w:vAlign w:val="center"/>
          </w:tcPr>
          <w:p w:rsidR="005F78FC" w:rsidRDefault="00B42EF3">
            <w:pPr>
              <w:pStyle w:val="TableBodyText"/>
            </w:pPr>
            <w:r>
              <w:t>Specifies fri</w:t>
            </w:r>
            <w:r>
              <w:t>endly identifier for a fixed command.</w:t>
            </w:r>
          </w:p>
          <w:p w:rsidR="005F78FC" w:rsidRDefault="005F78FC">
            <w:pPr>
              <w:pStyle w:val="TableBodyText"/>
            </w:pPr>
          </w:p>
          <w:p w:rsidR="005F78FC" w:rsidRDefault="00B42EF3">
            <w:pPr>
              <w:pStyle w:val="TableBodyText"/>
            </w:pPr>
            <w:r>
              <w:t>For a list of public fixed command names available in Word, refer to Fixed Commands (§3.1.2.1.2, Fixed Commands).</w:t>
            </w:r>
          </w:p>
          <w:p w:rsidR="005F78FC" w:rsidRDefault="005F78FC">
            <w:pPr>
              <w:pStyle w:val="TableBodyText"/>
            </w:pPr>
          </w:p>
          <w:p w:rsidR="005F78FC" w:rsidRDefault="00B42EF3">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r w:rsidR="005F78FC" w:rsidTr="005F78FC">
        <w:tc>
          <w:tcPr>
            <w:tcW w:w="0" w:type="auto"/>
            <w:vAlign w:val="center"/>
          </w:tcPr>
          <w:p w:rsidR="005F78FC" w:rsidRDefault="00B42EF3">
            <w:pPr>
              <w:pStyle w:val="TableBodyText"/>
            </w:pPr>
            <w:r>
              <w:rPr>
                <w:b/>
              </w:rPr>
              <w:lastRenderedPageBreak/>
              <w:t>swArg</w:t>
            </w:r>
            <w:r>
              <w:t xml:space="preserve"> (Fixed command argument)</w:t>
            </w:r>
          </w:p>
        </w:tc>
        <w:tc>
          <w:tcPr>
            <w:tcW w:w="0" w:type="auto"/>
            <w:vAlign w:val="center"/>
          </w:tcPr>
          <w:p w:rsidR="005F78FC" w:rsidRDefault="00B42EF3">
            <w:pPr>
              <w:pStyle w:val="TableBodyText"/>
            </w:pPr>
            <w:r>
              <w:t>Specifies an optional numeric argument for a fixed command, as specified in the Word 97-2003 Binary File Format (.doc) Structure Specification ("</w:t>
            </w:r>
            <w:hyperlink r:id="rId287" w:anchor="Section_ccd7b4867881484ca13751170af7cc22">
              <w:r>
                <w:rPr>
                  <w:rStyle w:val="Hyperlink"/>
                </w:rPr>
                <w:t>[MS-DOC]</w:t>
              </w:r>
            </w:hyperlink>
            <w:r>
              <w:t xml:space="preserve"> section 2.9.36; CidFci") book.</w:t>
            </w:r>
          </w:p>
          <w:p w:rsidR="005F78FC" w:rsidRDefault="005F78FC">
            <w:pPr>
              <w:pStyle w:val="TableBodyText"/>
            </w:pPr>
          </w:p>
          <w:p w:rsidR="005F78FC" w:rsidRDefault="00B42EF3">
            <w:pPr>
              <w:pStyle w:val="TableBodyText"/>
            </w:pPr>
            <w:r>
              <w:t>The possible values for this attribute are defined by the ST_ShortHexNumber simple type (§3.1.2.3.4, ST_ShortHexNumber).</w:t>
            </w:r>
          </w:p>
        </w:tc>
      </w:tr>
    </w:tbl>
    <w:p w:rsidR="005F78FC" w:rsidRDefault="005F78FC"/>
    <w:p w:rsidR="005F78FC" w:rsidRDefault="00B42EF3">
      <w:r>
        <w:t>The following XM</w:t>
      </w:r>
      <w:r>
        <w:t>L Schema fragment defines the contents of this element:</w:t>
      </w:r>
    </w:p>
    <w:p w:rsidR="005F78FC" w:rsidRDefault="00B42EF3">
      <w:pPr>
        <w:pStyle w:val="Code"/>
      </w:pPr>
      <w:r>
        <w:t>&lt;complexType name="CT_Fci"&gt;</w:t>
      </w:r>
    </w:p>
    <w:p w:rsidR="005F78FC" w:rsidRDefault="00B42EF3">
      <w:pPr>
        <w:pStyle w:val="Code"/>
      </w:pPr>
      <w:r>
        <w:t xml:space="preserve">  &lt;attribute name="fciName" type="ST_String"/&gt;</w:t>
      </w:r>
    </w:p>
    <w:p w:rsidR="005F78FC" w:rsidRDefault="00B42EF3">
      <w:pPr>
        <w:pStyle w:val="Code"/>
      </w:pPr>
      <w:r>
        <w:t xml:space="preserve">  &lt;attribute name="fciIndex" type="ST_ShortHexNumber"/&gt;</w:t>
      </w:r>
    </w:p>
    <w:p w:rsidR="005F78FC" w:rsidRDefault="00B42EF3">
      <w:pPr>
        <w:pStyle w:val="Code"/>
      </w:pPr>
      <w:r>
        <w:t xml:space="preserve">  &lt;attribute name="swArg" type="ST_ShortHexNumber"/&gt;</w:t>
      </w:r>
    </w:p>
    <w:p w:rsidR="005F78FC" w:rsidRDefault="00B42EF3">
      <w:pPr>
        <w:pStyle w:val="Code"/>
      </w:pPr>
      <w:r>
        <w:t>&lt;/complexType&gt;</w:t>
      </w:r>
    </w:p>
    <w:p w:rsidR="005F78FC" w:rsidRDefault="00B42EF3">
      <w:pPr>
        <w:pStyle w:val="Heading6"/>
      </w:pPr>
      <w:bookmarkStart w:id="3838" w:name="section_d44dbd45cbbb4efba0903a85141d00fc"/>
      <w:bookmarkStart w:id="3839" w:name="_Toc69879692"/>
      <w:r>
        <w:t>k</w:t>
      </w:r>
      <w:r>
        <w:t>eymap (Key Map Entry)</w:t>
      </w:r>
      <w:bookmarkEnd w:id="3838"/>
      <w:bookmarkEnd w:id="3839"/>
      <w:r>
        <w:fldChar w:fldCharType="begin"/>
      </w:r>
      <w:r>
        <w:instrText xml:space="preserve"> XE "keymap (Key Map Entry)" </w:instrText>
      </w:r>
      <w:r>
        <w:fldChar w:fldCharType="end"/>
      </w:r>
    </w:p>
    <w:p w:rsidR="005F78FC" w:rsidRDefault="00B42EF3">
      <w:r>
        <w:t xml:space="preserve">This element describes an individual key mapping.  Its attributes collectively specify a sequence of key combinations that, when pressed, will cause the execution of an action such as a fixed command or </w:t>
      </w:r>
      <w:r>
        <w:t>macro. The action to execute is described by a single child element. A built-in key mapping can also be blocked.</w:t>
      </w:r>
    </w:p>
    <w:p w:rsidR="005F78FC" w:rsidRDefault="00B42EF3">
      <w:r>
        <w:t>The key combination for the mapping may be specified using KCM- (key code with modifiers) and CHM- (character with modifiers) based attributes.</w:t>
      </w:r>
      <w:r>
        <w:t xml:space="preserve"> Both use a set of binary flags for the first (or left) byte to designate the modifier keys for a key combination. Starting at the least significant bit, these take the order Shift, Control, Alt and Command (where the operating system distinguishes between</w:t>
      </w:r>
      <w:r>
        <w:t xml:space="preserve"> Command and Control). These flags may be used individually or combined. For example, using Control as the only modifier would be represented by 02 (only the second bit is on) while using Control and Alt simultaneously would be 06 (the second and third bit</w:t>
      </w:r>
      <w:r>
        <w:t>s are on).</w:t>
      </w:r>
    </w:p>
    <w:p w:rsidR="005F78FC" w:rsidRDefault="00B42EF3">
      <w:r>
        <w:t>If a secondary key combination attribute is omitted and a primary key combination has already been defined, the associated action will be executed as soon as the primary key combination has been pressed; otherwise, if both are specified, the act</w:t>
      </w:r>
      <w:r>
        <w:t>ion will not execute until both key combinations have been pressed in sequence.</w:t>
      </w:r>
    </w:p>
    <w:p w:rsidR="005F78FC" w:rsidRDefault="00B42EF3">
      <w:r>
        <w:t>[Example: Consider the following key mapping fragment:</w:t>
      </w:r>
    </w:p>
    <w:p w:rsidR="005F78FC" w:rsidRDefault="00B42EF3">
      <w:pPr>
        <w:pStyle w:val="Code"/>
      </w:pPr>
      <w:r>
        <w:t xml:space="preserve">   &lt;wne:keymap wne:kcmPrimary="0342" wne:kcmSecondary="0441"&gt;</w:t>
      </w:r>
    </w:p>
    <w:p w:rsidR="005F78FC" w:rsidRDefault="00B42EF3">
      <w:pPr>
        <w:pStyle w:val="Code"/>
      </w:pPr>
      <w:r>
        <w:t xml:space="preserve">      &lt;wne:fci … /&gt;</w:t>
      </w:r>
    </w:p>
    <w:p w:rsidR="005F78FC" w:rsidRDefault="00B42EF3">
      <w:pPr>
        <w:pStyle w:val="Code"/>
      </w:pPr>
      <w:r>
        <w:t xml:space="preserve">   &lt;/wne:keymap&gt;</w:t>
      </w:r>
    </w:p>
    <w:p w:rsidR="005F78FC" w:rsidRDefault="00B42EF3">
      <w:r>
        <w:t xml:space="preserve">In this example, the WordprocessingML describes a mapping for a sequence of two key combinations given by the KCMs of </w:t>
      </w:r>
      <w:r>
        <w:rPr>
          <w:rStyle w:val="InlineCode"/>
        </w:rPr>
        <w:t xml:space="preserve">0342 </w:t>
      </w:r>
      <w:r>
        <w:t>and</w:t>
      </w:r>
      <w:r>
        <w:rPr>
          <w:rStyle w:val="InlineCode"/>
        </w:rPr>
        <w:t xml:space="preserve"> 0441. </w:t>
      </w:r>
      <w:r>
        <w:t xml:space="preserve">A KCM of </w:t>
      </w:r>
      <w:r>
        <w:rPr>
          <w:rStyle w:val="InlineCode"/>
        </w:rPr>
        <w:t>0342</w:t>
      </w:r>
      <w:r>
        <w:t xml:space="preserve"> represents Ctrl-Shift-B and </w:t>
      </w:r>
      <w:r>
        <w:rPr>
          <w:rStyle w:val="InlineCode"/>
        </w:rPr>
        <w:t>0441</w:t>
      </w:r>
      <w:r>
        <w:t xml:space="preserve"> represents Alt-A, meaning that the user needs to type Control-Shift-B follow</w:t>
      </w:r>
      <w:r>
        <w:t xml:space="preserve">ed by Alt-A to trigger this mapping's action. The </w:t>
      </w:r>
      <w:r>
        <w:rPr>
          <w:rStyle w:val="InlineCode"/>
        </w:rPr>
        <w:t>fci</w:t>
      </w:r>
      <w:r>
        <w:t xml:space="preserve"> child element signifies that a fixed command will be executed when the specified key sequence is pressed. end example]</w:t>
      </w:r>
    </w:p>
    <w:p w:rsidR="005F78FC" w:rsidRDefault="005F78FC"/>
    <w:tbl>
      <w:tblPr>
        <w:tblStyle w:val="Table-ShadedHeader"/>
        <w:tblW w:w="0" w:type="auto"/>
        <w:tblLook w:val="04A0" w:firstRow="1" w:lastRow="0" w:firstColumn="1" w:lastColumn="0" w:noHBand="0" w:noVBand="1"/>
      </w:tblPr>
      <w:tblGrid>
        <w:gridCol w:w="6786"/>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lastRenderedPageBreak/>
              <w:t>Parent Elements</w:t>
            </w:r>
          </w:p>
        </w:tc>
      </w:tr>
      <w:tr w:rsidR="005F78FC" w:rsidTr="005F78FC">
        <w:tc>
          <w:tcPr>
            <w:tcW w:w="0" w:type="auto"/>
            <w:vAlign w:val="center"/>
          </w:tcPr>
          <w:p w:rsidR="005F78FC" w:rsidRDefault="00B42EF3">
            <w:pPr>
              <w:pStyle w:val="TableBodyText"/>
            </w:pPr>
            <w:r>
              <w:rPr>
                <w:b/>
              </w:rPr>
              <w:t>keymaps</w:t>
            </w:r>
            <w:r>
              <w:t xml:space="preserve"> (§</w:t>
            </w:r>
            <w:hyperlink w:anchor="Section_3e58e134a06a484aa45fd1bf83668891">
              <w:r>
                <w:rPr>
                  <w:rStyle w:val="Hyperlink"/>
                </w:rPr>
                <w:t>3.1.2.1.1.9, keymaps</w:t>
              </w:r>
            </w:hyperlink>
            <w:r>
              <w:t xml:space="preserve">); </w:t>
            </w:r>
            <w:r>
              <w:rPr>
                <w:b/>
              </w:rPr>
              <w:t>keymapsBad</w:t>
            </w:r>
            <w:r>
              <w:t xml:space="preserve"> (§</w:t>
            </w:r>
            <w:hyperlink w:anchor="Section_c29a6b7a6315489f855aa807e12b712d">
              <w:r>
                <w:rPr>
                  <w:rStyle w:val="Hyperlink"/>
                </w:rPr>
                <w:t>3.1.2.1.1.10, keymapsBad</w:t>
              </w:r>
            </w:hyperlink>
            <w:r>
              <w:t>)</w:t>
            </w:r>
          </w:p>
        </w:tc>
      </w:tr>
    </w:tbl>
    <w:p w:rsidR="005F78FC" w:rsidRDefault="005F78FC"/>
    <w:p w:rsidR="005F78FC" w:rsidRDefault="005F78FC"/>
    <w:tbl>
      <w:tblPr>
        <w:tblStyle w:val="Table-ShadedHeader"/>
        <w:tblW w:w="0" w:type="auto"/>
        <w:tblLook w:val="04A0" w:firstRow="1" w:lastRow="0" w:firstColumn="1" w:lastColumn="0" w:noHBand="0" w:noVBand="1"/>
      </w:tblPr>
      <w:tblGrid>
        <w:gridCol w:w="4927"/>
        <w:gridCol w:w="1950"/>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Child Elements</w:t>
            </w:r>
          </w:p>
        </w:tc>
        <w:tc>
          <w:tcPr>
            <w:tcW w:w="0" w:type="auto"/>
            <w:vAlign w:val="center"/>
          </w:tcPr>
          <w:p w:rsidR="005F78FC" w:rsidRDefault="00B42EF3">
            <w:pPr>
              <w:pStyle w:val="TableHeaderText"/>
            </w:pPr>
            <w:r>
              <w:t>Subclause</w:t>
            </w:r>
          </w:p>
        </w:tc>
      </w:tr>
      <w:tr w:rsidR="005F78FC" w:rsidTr="005F78FC">
        <w:tc>
          <w:tcPr>
            <w:tcW w:w="0" w:type="auto"/>
            <w:vAlign w:val="center"/>
          </w:tcPr>
          <w:p w:rsidR="005F78FC" w:rsidRDefault="00B42EF3">
            <w:pPr>
              <w:pStyle w:val="TableBodyText"/>
            </w:pPr>
            <w:r>
              <w:rPr>
                <w:b/>
              </w:rPr>
              <w:t>acd</w:t>
            </w:r>
            <w:r>
              <w:t xml:space="preserve"> (Allocated Command Keyboard Customiza</w:t>
            </w:r>
            <w:r>
              <w:t>tion Action)</w:t>
            </w:r>
          </w:p>
        </w:tc>
        <w:tc>
          <w:tcPr>
            <w:tcW w:w="0" w:type="auto"/>
            <w:vAlign w:val="center"/>
          </w:tcPr>
          <w:p w:rsidR="005F78FC" w:rsidRDefault="00B42EF3">
            <w:pPr>
              <w:pStyle w:val="TableBodyText"/>
            </w:pPr>
            <w:r>
              <w:t>§</w:t>
            </w:r>
            <w:hyperlink w:anchor="Section_03e658016a2147d093503528064826ad">
              <w:r>
                <w:rPr>
                  <w:rStyle w:val="Hyperlink"/>
                </w:rPr>
                <w:t>3.1.2.1.1.2, acd</w:t>
              </w:r>
            </w:hyperlink>
          </w:p>
        </w:tc>
      </w:tr>
      <w:tr w:rsidR="005F78FC" w:rsidTr="005F78FC">
        <w:tc>
          <w:tcPr>
            <w:tcW w:w="0" w:type="auto"/>
            <w:vAlign w:val="center"/>
          </w:tcPr>
          <w:p w:rsidR="005F78FC" w:rsidRDefault="00B42EF3">
            <w:pPr>
              <w:pStyle w:val="TableBodyText"/>
            </w:pPr>
            <w:r>
              <w:rPr>
                <w:b/>
              </w:rPr>
              <w:t>fci</w:t>
            </w:r>
            <w:r>
              <w:t xml:space="preserve"> (Fixed Command Keyboard Customization Action)</w:t>
            </w:r>
          </w:p>
        </w:tc>
        <w:tc>
          <w:tcPr>
            <w:tcW w:w="0" w:type="auto"/>
            <w:vAlign w:val="center"/>
          </w:tcPr>
          <w:p w:rsidR="005F78FC" w:rsidRDefault="00B42EF3">
            <w:pPr>
              <w:pStyle w:val="TableBodyText"/>
            </w:pPr>
            <w:r>
              <w:t>§</w:t>
            </w:r>
            <w:hyperlink w:anchor="Section_e7fbfaec48a0443e91cc16c53cefbd44">
              <w:r>
                <w:rPr>
                  <w:rStyle w:val="Hyperlink"/>
                </w:rPr>
                <w:t>3.1.2.1.1.7, fci</w:t>
              </w:r>
            </w:hyperlink>
          </w:p>
        </w:tc>
      </w:tr>
      <w:tr w:rsidR="005F78FC" w:rsidTr="005F78FC">
        <w:tc>
          <w:tcPr>
            <w:tcW w:w="0" w:type="auto"/>
            <w:vAlign w:val="center"/>
          </w:tcPr>
          <w:p w:rsidR="005F78FC" w:rsidRDefault="00B42EF3">
            <w:pPr>
              <w:pStyle w:val="TableBodyText"/>
            </w:pPr>
            <w:r>
              <w:rPr>
                <w:b/>
              </w:rPr>
              <w:t>macro</w:t>
            </w:r>
            <w:r>
              <w:t xml:space="preserve"> (Macro Keyboard Customization Action)</w:t>
            </w:r>
          </w:p>
        </w:tc>
        <w:tc>
          <w:tcPr>
            <w:tcW w:w="0" w:type="auto"/>
            <w:vAlign w:val="center"/>
          </w:tcPr>
          <w:p w:rsidR="005F78FC" w:rsidRDefault="00B42EF3">
            <w:pPr>
              <w:pStyle w:val="TableBodyText"/>
            </w:pPr>
            <w:r>
              <w:t>§</w:t>
            </w:r>
            <w:hyperlink w:anchor="Section_0ab7a8b6842d4bda8c7262ac9dd16b0d">
              <w:r>
                <w:rPr>
                  <w:rStyle w:val="Hyperlink"/>
                </w:rPr>
                <w:t>3.1.2.1.1.11, macro</w:t>
              </w:r>
            </w:hyperlink>
          </w:p>
        </w:tc>
      </w:tr>
      <w:tr w:rsidR="005F78FC" w:rsidTr="005F78FC">
        <w:tc>
          <w:tcPr>
            <w:tcW w:w="0" w:type="auto"/>
            <w:vAlign w:val="center"/>
          </w:tcPr>
          <w:p w:rsidR="005F78FC" w:rsidRDefault="00B42EF3">
            <w:pPr>
              <w:pStyle w:val="TableBodyText"/>
            </w:pPr>
            <w:r>
              <w:rPr>
                <w:b/>
              </w:rPr>
              <w:t>wch</w:t>
            </w:r>
            <w:r>
              <w:t xml:space="preserve"> (Character Insertion Keyboard Customization Action)</w:t>
            </w:r>
          </w:p>
        </w:tc>
        <w:tc>
          <w:tcPr>
            <w:tcW w:w="0" w:type="auto"/>
            <w:vAlign w:val="center"/>
          </w:tcPr>
          <w:p w:rsidR="005F78FC" w:rsidRDefault="00B42EF3">
            <w:pPr>
              <w:pStyle w:val="TableBodyText"/>
            </w:pPr>
            <w:r>
              <w:t>§</w:t>
            </w:r>
            <w:hyperlink w:anchor="Section_342bac6cb42c45d7aae0b30f39357bc9">
              <w:r>
                <w:rPr>
                  <w:rStyle w:val="Hyperlink"/>
                </w:rPr>
                <w:t>3.1.2.1.1.15</w:t>
              </w:r>
              <w:r>
                <w:rPr>
                  <w:rStyle w:val="Hyperlink"/>
                </w:rPr>
                <w:t>, wch</w:t>
              </w:r>
            </w:hyperlink>
          </w:p>
        </w:tc>
      </w:tr>
      <w:tr w:rsidR="005F78FC" w:rsidTr="005F78FC">
        <w:tc>
          <w:tcPr>
            <w:tcW w:w="0" w:type="auto"/>
            <w:vAlign w:val="center"/>
          </w:tcPr>
          <w:p w:rsidR="005F78FC" w:rsidRDefault="00B42EF3">
            <w:pPr>
              <w:pStyle w:val="TableBodyText"/>
            </w:pPr>
            <w:r>
              <w:rPr>
                <w:b/>
              </w:rPr>
              <w:t>wll</w:t>
            </w:r>
            <w:r>
              <w:t xml:space="preserve"> (WLL Macro Keyboard Customization Action)</w:t>
            </w:r>
          </w:p>
        </w:tc>
        <w:tc>
          <w:tcPr>
            <w:tcW w:w="0" w:type="auto"/>
            <w:vAlign w:val="center"/>
          </w:tcPr>
          <w:p w:rsidR="005F78FC" w:rsidRDefault="00B42EF3">
            <w:pPr>
              <w:pStyle w:val="TableBodyText"/>
            </w:pPr>
            <w:r>
              <w:t>§</w:t>
            </w:r>
            <w:hyperlink w:anchor="Section_bba0329034324d19ba214baa0944d9de">
              <w:r>
                <w:rPr>
                  <w:rStyle w:val="Hyperlink"/>
                </w:rPr>
                <w:t>3.1.2.1.1.16, wll</w:t>
              </w:r>
            </w:hyperlink>
          </w:p>
        </w:tc>
      </w:tr>
    </w:tbl>
    <w:p w:rsidR="005F78FC" w:rsidRDefault="005F78FC"/>
    <w:p w:rsidR="005F78FC" w:rsidRDefault="005F78FC"/>
    <w:tbl>
      <w:tblPr>
        <w:tblStyle w:val="Table-ShadedHeader"/>
        <w:tblW w:w="0" w:type="auto"/>
        <w:tblLook w:val="04A0" w:firstRow="1" w:lastRow="0" w:firstColumn="1" w:lastColumn="0" w:noHBand="0" w:noVBand="1"/>
      </w:tblPr>
      <w:tblGrid>
        <w:gridCol w:w="2159"/>
        <w:gridCol w:w="7316"/>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Attributes</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rPr>
                <w:b/>
              </w:rPr>
              <w:t>chmPrimary</w:t>
            </w:r>
            <w:r>
              <w:t xml:space="preserve"> (Keyboard Shortcut Primary Character Code)</w:t>
            </w:r>
          </w:p>
        </w:tc>
        <w:tc>
          <w:tcPr>
            <w:tcW w:w="0" w:type="auto"/>
            <w:vAlign w:val="center"/>
          </w:tcPr>
          <w:p w:rsidR="005F78FC" w:rsidRDefault="00B42EF3">
            <w:pPr>
              <w:pStyle w:val="TableBodyText"/>
            </w:pPr>
            <w:r>
              <w:t xml:space="preserve">Specifies the first CHM key combination </w:t>
            </w:r>
            <w:r>
              <w:t>in the sequence.</w:t>
            </w:r>
          </w:p>
          <w:p w:rsidR="005F78FC" w:rsidRDefault="005F78FC">
            <w:pPr>
              <w:pStyle w:val="TableBodyText"/>
            </w:pPr>
          </w:p>
          <w:p w:rsidR="005F78FC" w:rsidRDefault="00B42EF3">
            <w:pPr>
              <w:pStyle w:val="TableBodyText"/>
            </w:pPr>
            <w:r>
              <w:t>The left byte contains modifiers described in keymap (§3.1.2.1.1.8, keymap) and the right byte specifies the ASCII value of the character of this key combination.</w:t>
            </w:r>
          </w:p>
          <w:p w:rsidR="005F78FC" w:rsidRDefault="005F78FC">
            <w:pPr>
              <w:pStyle w:val="TableBodyText"/>
            </w:pPr>
          </w:p>
          <w:p w:rsidR="005F78FC" w:rsidRDefault="00B42EF3">
            <w:pPr>
              <w:pStyle w:val="TableBodyText"/>
            </w:pPr>
            <w:r>
              <w:t>[Note: When specifying CHM values, the case of the letter is significant w</w:t>
            </w:r>
            <w:r>
              <w:t>ith respect to shift acting as a modifier or not.]</w:t>
            </w:r>
          </w:p>
          <w:p w:rsidR="005F78FC" w:rsidRDefault="005F78FC">
            <w:pPr>
              <w:pStyle w:val="TableBodyText"/>
            </w:pPr>
          </w:p>
          <w:p w:rsidR="005F78FC" w:rsidRDefault="00B42EF3">
            <w:pPr>
              <w:pStyle w:val="TableBodyText"/>
            </w:pPr>
            <w:r>
              <w:t>[Example: Consider this list of example key combinations and their corresponding CHM in parentheses:</w:t>
            </w:r>
          </w:p>
          <w:p w:rsidR="005F78FC" w:rsidRDefault="005F78FC">
            <w:pPr>
              <w:pStyle w:val="TableBodyText"/>
            </w:pPr>
          </w:p>
          <w:p w:rsidR="005F78FC" w:rsidRDefault="00B42EF3">
            <w:pPr>
              <w:pStyle w:val="TableBodyText"/>
            </w:pPr>
            <w:r>
              <w:t>Shift-Control-Alt-C (0643)</w:t>
            </w:r>
          </w:p>
          <w:p w:rsidR="005F78FC" w:rsidRDefault="00B42EF3">
            <w:pPr>
              <w:pStyle w:val="TableBodyText"/>
            </w:pPr>
            <w:r>
              <w:t xml:space="preserve">Alt-C (0463) </w:t>
            </w:r>
          </w:p>
          <w:p w:rsidR="005F78FC" w:rsidRDefault="00B42EF3">
            <w:pPr>
              <w:pStyle w:val="TableBodyText"/>
            </w:pPr>
            <w:r>
              <w:t>Control-K (026B)</w:t>
            </w:r>
          </w:p>
          <w:p w:rsidR="005F78FC" w:rsidRDefault="005F78FC">
            <w:pPr>
              <w:pStyle w:val="TableBodyText"/>
            </w:pPr>
          </w:p>
          <w:p w:rsidR="005F78FC" w:rsidRDefault="00B42EF3">
            <w:pPr>
              <w:pStyle w:val="TableBodyText"/>
            </w:pPr>
            <w:r>
              <w:t>end example]</w:t>
            </w:r>
          </w:p>
          <w:p w:rsidR="005F78FC" w:rsidRDefault="005F78FC">
            <w:pPr>
              <w:pStyle w:val="TableBodyText"/>
            </w:pPr>
          </w:p>
          <w:p w:rsidR="005F78FC" w:rsidRDefault="005F78FC">
            <w:pPr>
              <w:pStyle w:val="TableBodyText"/>
            </w:pPr>
          </w:p>
          <w:p w:rsidR="005F78FC" w:rsidRDefault="00B42EF3">
            <w:pPr>
              <w:pStyle w:val="TableBodyText"/>
            </w:pPr>
            <w:r>
              <w:t>The possible values for this</w:t>
            </w:r>
            <w:r>
              <w:t xml:space="preserve"> attribute are defined by the ST_ShortHexNumber simple type (§</w:t>
            </w:r>
            <w:hyperlink w:anchor="Section_b12e8ea4e85d4b4c94bf98db8427fcaa">
              <w:r>
                <w:rPr>
                  <w:rStyle w:val="Hyperlink"/>
                </w:rPr>
                <w:t>3.1.2.3.4, ST_ShortHexNumber</w:t>
              </w:r>
            </w:hyperlink>
            <w:r>
              <w:t>).</w:t>
            </w:r>
          </w:p>
        </w:tc>
      </w:tr>
      <w:tr w:rsidR="005F78FC" w:rsidTr="005F78FC">
        <w:tc>
          <w:tcPr>
            <w:tcW w:w="0" w:type="auto"/>
            <w:vAlign w:val="center"/>
          </w:tcPr>
          <w:p w:rsidR="005F78FC" w:rsidRDefault="00B42EF3">
            <w:pPr>
              <w:pStyle w:val="TableBodyText"/>
            </w:pPr>
            <w:r>
              <w:rPr>
                <w:b/>
              </w:rPr>
              <w:t>chmSecondary</w:t>
            </w:r>
            <w:r>
              <w:t xml:space="preserve"> (Keyboard Shortcut Secondary Character Code)</w:t>
            </w:r>
          </w:p>
        </w:tc>
        <w:tc>
          <w:tcPr>
            <w:tcW w:w="0" w:type="auto"/>
            <w:vAlign w:val="center"/>
          </w:tcPr>
          <w:p w:rsidR="005F78FC" w:rsidRDefault="00B42EF3">
            <w:pPr>
              <w:pStyle w:val="TableBodyText"/>
            </w:pPr>
            <w:r>
              <w:t xml:space="preserve">Specifies the second CHM key combination </w:t>
            </w:r>
            <w:r>
              <w:t xml:space="preserve">in the sequence. </w:t>
            </w:r>
          </w:p>
          <w:p w:rsidR="005F78FC" w:rsidRDefault="005F78FC">
            <w:pPr>
              <w:pStyle w:val="TableBodyText"/>
            </w:pPr>
          </w:p>
          <w:p w:rsidR="005F78FC" w:rsidRDefault="00B42EF3">
            <w:pPr>
              <w:pStyle w:val="TableBodyText"/>
            </w:pPr>
            <w:r>
              <w:t xml:space="preserve">The CHM value here is defined the same as for </w:t>
            </w:r>
            <w:r>
              <w:rPr>
                <w:b/>
              </w:rPr>
              <w:t>chmPrimary</w:t>
            </w:r>
            <w:r>
              <w:t>.</w:t>
            </w:r>
          </w:p>
          <w:p w:rsidR="005F78FC" w:rsidRDefault="005F78FC">
            <w:pPr>
              <w:pStyle w:val="TableBodyText"/>
            </w:pPr>
          </w:p>
          <w:p w:rsidR="005F78FC" w:rsidRDefault="00B42EF3">
            <w:pPr>
              <w:pStyle w:val="TableBodyText"/>
            </w:pPr>
            <w:r>
              <w:t>The possible values for this attribute are defined by the ST_ShortHexNumber simple type (§3.1.2.3.4, ST_ShortHexNumber).</w:t>
            </w:r>
          </w:p>
        </w:tc>
      </w:tr>
      <w:tr w:rsidR="005F78FC" w:rsidTr="005F78FC">
        <w:tc>
          <w:tcPr>
            <w:tcW w:w="0" w:type="auto"/>
            <w:vAlign w:val="center"/>
          </w:tcPr>
          <w:p w:rsidR="005F78FC" w:rsidRDefault="00B42EF3">
            <w:pPr>
              <w:pStyle w:val="TableBodyText"/>
            </w:pPr>
            <w:r>
              <w:rPr>
                <w:b/>
              </w:rPr>
              <w:t>kcmPrimary</w:t>
            </w:r>
            <w:r>
              <w:t xml:space="preserve"> (Primary keycode with modifier)</w:t>
            </w:r>
          </w:p>
        </w:tc>
        <w:tc>
          <w:tcPr>
            <w:tcW w:w="0" w:type="auto"/>
            <w:vAlign w:val="center"/>
          </w:tcPr>
          <w:p w:rsidR="005F78FC" w:rsidRDefault="00B42EF3">
            <w:pPr>
              <w:pStyle w:val="TableBodyText"/>
            </w:pPr>
            <w:r>
              <w:t>Specifies the</w:t>
            </w:r>
            <w:r>
              <w:t xml:space="preserve"> first key combination in the sequence.</w:t>
            </w:r>
          </w:p>
          <w:p w:rsidR="005F78FC" w:rsidRDefault="005F78FC">
            <w:pPr>
              <w:pStyle w:val="TableBodyText"/>
            </w:pPr>
          </w:p>
          <w:p w:rsidR="005F78FC" w:rsidRDefault="00B42EF3">
            <w:pPr>
              <w:pStyle w:val="TableBodyText"/>
            </w:pPr>
            <w:r>
              <w:lastRenderedPageBreak/>
              <w:t>The left byte contains modifiers described in keymap (§3.1.2.1.1.8, keymap), and the right byte specifies the standard Windows virtual key code of this key combination.</w:t>
            </w:r>
          </w:p>
          <w:p w:rsidR="005F78FC" w:rsidRDefault="005F78FC">
            <w:pPr>
              <w:pStyle w:val="TableBodyText"/>
            </w:pPr>
          </w:p>
          <w:p w:rsidR="005F78FC" w:rsidRDefault="00B42EF3">
            <w:pPr>
              <w:pStyle w:val="TableBodyText"/>
            </w:pPr>
            <w:r>
              <w:t>[Example: Consider this list of example key c</w:t>
            </w:r>
            <w:r>
              <w:t>ombinations and their corresponding KCM in parentheses:</w:t>
            </w:r>
          </w:p>
          <w:p w:rsidR="005F78FC" w:rsidRDefault="005F78FC">
            <w:pPr>
              <w:pStyle w:val="TableBodyText"/>
            </w:pPr>
          </w:p>
          <w:p w:rsidR="005F78FC" w:rsidRDefault="00B42EF3">
            <w:pPr>
              <w:pStyle w:val="TableBodyText"/>
            </w:pPr>
            <w:r>
              <w:t>Shift-Control-Alt-C (0743)</w:t>
            </w:r>
          </w:p>
          <w:p w:rsidR="005F78FC" w:rsidRDefault="00B42EF3">
            <w:pPr>
              <w:pStyle w:val="TableBodyText"/>
            </w:pPr>
            <w:r>
              <w:t>Alt-F9 (0478)</w:t>
            </w:r>
          </w:p>
          <w:p w:rsidR="005F78FC" w:rsidRDefault="00B42EF3">
            <w:pPr>
              <w:pStyle w:val="TableBodyText"/>
            </w:pPr>
            <w:r>
              <w:t>Control-K (024B)</w:t>
            </w:r>
          </w:p>
          <w:p w:rsidR="005F78FC" w:rsidRDefault="005F78FC">
            <w:pPr>
              <w:pStyle w:val="TableBodyText"/>
            </w:pPr>
          </w:p>
          <w:p w:rsidR="005F78FC" w:rsidRDefault="00B42EF3">
            <w:pPr>
              <w:pStyle w:val="TableBodyText"/>
            </w:pPr>
            <w:r>
              <w:t>end example]</w:t>
            </w:r>
          </w:p>
          <w:p w:rsidR="005F78FC" w:rsidRDefault="005F78FC">
            <w:pPr>
              <w:pStyle w:val="TableBodyText"/>
            </w:pPr>
          </w:p>
          <w:p w:rsidR="005F78FC" w:rsidRDefault="005F78FC">
            <w:pPr>
              <w:pStyle w:val="TableBodyText"/>
            </w:pPr>
          </w:p>
          <w:p w:rsidR="005F78FC" w:rsidRDefault="00B42EF3">
            <w:pPr>
              <w:pStyle w:val="TableBodyText"/>
            </w:pPr>
            <w:r>
              <w:t>The possible values for this attribute are defined by the ST_ShortHexNumber simple type (§3.1.2.3.4, ST_ShortHexNumber).</w:t>
            </w:r>
          </w:p>
        </w:tc>
      </w:tr>
      <w:tr w:rsidR="005F78FC" w:rsidTr="005F78FC">
        <w:tc>
          <w:tcPr>
            <w:tcW w:w="0" w:type="auto"/>
            <w:vAlign w:val="center"/>
          </w:tcPr>
          <w:p w:rsidR="005F78FC" w:rsidRDefault="00B42EF3">
            <w:pPr>
              <w:pStyle w:val="TableBodyText"/>
            </w:pPr>
            <w:r>
              <w:rPr>
                <w:b/>
              </w:rPr>
              <w:lastRenderedPageBreak/>
              <w:t>kcm</w:t>
            </w:r>
            <w:r>
              <w:rPr>
                <w:b/>
              </w:rPr>
              <w:t>Secondary</w:t>
            </w:r>
            <w:r>
              <w:t xml:space="preserve"> (Secondary keycode with modifier)</w:t>
            </w:r>
          </w:p>
        </w:tc>
        <w:tc>
          <w:tcPr>
            <w:tcW w:w="0" w:type="auto"/>
            <w:vAlign w:val="center"/>
          </w:tcPr>
          <w:p w:rsidR="005F78FC" w:rsidRDefault="00B42EF3">
            <w:pPr>
              <w:pStyle w:val="TableBodyText"/>
            </w:pPr>
            <w:r>
              <w:t>Specifies the second key combination in the sequence.</w:t>
            </w:r>
          </w:p>
          <w:p w:rsidR="005F78FC" w:rsidRDefault="005F78FC">
            <w:pPr>
              <w:pStyle w:val="TableBodyText"/>
            </w:pPr>
          </w:p>
          <w:p w:rsidR="005F78FC" w:rsidRDefault="00B42EF3">
            <w:pPr>
              <w:pStyle w:val="TableBodyText"/>
            </w:pPr>
            <w:r>
              <w:t xml:space="preserve">The KCM value here is defined the same as for </w:t>
            </w:r>
            <w:r>
              <w:rPr>
                <w:b/>
              </w:rPr>
              <w:t>kcmPrimary</w:t>
            </w:r>
            <w:r>
              <w:t>.</w:t>
            </w:r>
          </w:p>
          <w:p w:rsidR="005F78FC" w:rsidRDefault="005F78FC">
            <w:pPr>
              <w:pStyle w:val="TableBodyText"/>
            </w:pPr>
          </w:p>
          <w:p w:rsidR="005F78FC" w:rsidRDefault="00B42EF3">
            <w:pPr>
              <w:pStyle w:val="TableBodyText"/>
            </w:pPr>
            <w:r>
              <w:t>The possible values for this attribute are defined by the ST_ShortHexNumber simple type (§3.1.2.3.</w:t>
            </w:r>
            <w:r>
              <w:t>4, ST_ShortHexNumber).</w:t>
            </w:r>
          </w:p>
        </w:tc>
      </w:tr>
      <w:tr w:rsidR="005F78FC" w:rsidTr="005F78FC">
        <w:tc>
          <w:tcPr>
            <w:tcW w:w="0" w:type="auto"/>
            <w:vAlign w:val="center"/>
          </w:tcPr>
          <w:p w:rsidR="005F78FC" w:rsidRDefault="00B42EF3">
            <w:pPr>
              <w:pStyle w:val="TableBodyText"/>
            </w:pPr>
            <w:r>
              <w:rPr>
                <w:b/>
              </w:rPr>
              <w:t>mask</w:t>
            </w:r>
            <w:r>
              <w:t xml:space="preserve"> (Built-in Command Masking Flag)</w:t>
            </w:r>
          </w:p>
        </w:tc>
        <w:tc>
          <w:tcPr>
            <w:tcW w:w="0" w:type="auto"/>
            <w:vAlign w:val="center"/>
          </w:tcPr>
          <w:p w:rsidR="005F78FC" w:rsidRDefault="00B42EF3">
            <w:pPr>
              <w:pStyle w:val="TableBodyText"/>
            </w:pPr>
            <w:r>
              <w:t xml:space="preserve">If this Boolean attribute is set to an on value, the specified built-in key mapping will be masked out. In such a case, any child element specified shall be ignored because the masking of a key </w:t>
            </w:r>
            <w:r>
              <w:t>mapping does not involve specifying either a replacement action or the action being blocked.  If this attribute is omitted or given an off value, a child element must be specified or the key map will be ignored.</w:t>
            </w:r>
          </w:p>
          <w:p w:rsidR="005F78FC" w:rsidRDefault="005F78FC">
            <w:pPr>
              <w:pStyle w:val="TableBodyText"/>
            </w:pPr>
          </w:p>
          <w:p w:rsidR="005F78FC" w:rsidRDefault="00B42EF3">
            <w:pPr>
              <w:pStyle w:val="TableBodyText"/>
            </w:pPr>
            <w:r>
              <w:t>[Example: Consider the case where Control-B</w:t>
            </w:r>
            <w:r>
              <w:t xml:space="preserve"> (the built-in key mapping for the Bold fixed command) has been masked:</w:t>
            </w:r>
          </w:p>
          <w:p w:rsidR="005F78FC" w:rsidRDefault="005F78FC">
            <w:pPr>
              <w:pStyle w:val="TableBodyText"/>
            </w:pPr>
          </w:p>
          <w:p w:rsidR="005F78FC" w:rsidRDefault="00B42EF3">
            <w:pPr>
              <w:pStyle w:val="Code"/>
            </w:pPr>
            <w:r>
              <w:t xml:space="preserve">    &lt;wne:keymaps&gt;</w:t>
            </w:r>
          </w:p>
          <w:p w:rsidR="005F78FC" w:rsidRDefault="00B42EF3">
            <w:pPr>
              <w:pStyle w:val="Code"/>
            </w:pPr>
            <w:r>
              <w:t xml:space="preserve">        &lt;wne:keymap wne:mask="1" wne:kcmPrimary="0242"/&gt;</w:t>
            </w:r>
          </w:p>
          <w:p w:rsidR="005F78FC" w:rsidRDefault="00B42EF3">
            <w:pPr>
              <w:pStyle w:val="Code"/>
            </w:pPr>
            <w:r>
              <w:t xml:space="preserve">    &lt;/wne:keymaps&gt;</w:t>
            </w:r>
          </w:p>
          <w:p w:rsidR="005F78FC" w:rsidRDefault="005F78FC">
            <w:pPr>
              <w:pStyle w:val="TableBodyText"/>
            </w:pPr>
          </w:p>
          <w:p w:rsidR="005F78FC" w:rsidRDefault="00B42EF3">
            <w:pPr>
              <w:pStyle w:val="TableBodyText"/>
            </w:pPr>
            <w:r>
              <w:t>KCM 0242 has been masked or blocked from its built-in behavior.  The effect is that pres</w:t>
            </w:r>
            <w:r>
              <w:t>sing Control-B will no longer execute the built-in command (in this case bold). end example]</w:t>
            </w:r>
          </w:p>
          <w:p w:rsidR="005F78FC" w:rsidRDefault="005F78FC">
            <w:pPr>
              <w:pStyle w:val="TableBodyText"/>
            </w:pPr>
          </w:p>
          <w:p w:rsidR="005F78FC" w:rsidRDefault="005F78FC">
            <w:pPr>
              <w:pStyle w:val="TableBodyText"/>
            </w:pPr>
          </w:p>
          <w:p w:rsidR="005F78FC" w:rsidRDefault="00B42EF3">
            <w:pPr>
              <w:pStyle w:val="TableBodyText"/>
            </w:pPr>
            <w:r>
              <w:t>The possible values for this attribute are defined by the ST_OnOff simple type (§</w:t>
            </w:r>
            <w:hyperlink w:anchor="Section_815fcc39dc6c44f8ad2787b1d9f21571">
              <w:r>
                <w:rPr>
                  <w:rStyle w:val="Hyperlink"/>
                </w:rPr>
                <w:t>3.1.2.3.3, ST_OnO</w:t>
              </w:r>
              <w:r>
                <w:rPr>
                  <w:rStyle w:val="Hyperlink"/>
                </w:rPr>
                <w:t>ff</w:t>
              </w:r>
            </w:hyperlink>
            <w:r>
              <w:t>).</w:t>
            </w:r>
          </w:p>
        </w:tc>
      </w:tr>
    </w:tbl>
    <w:p w:rsidR="005F78FC" w:rsidRDefault="005F78FC"/>
    <w:p w:rsidR="005F78FC" w:rsidRDefault="00B42EF3">
      <w:r>
        <w:t>The following XML Schema fragment defines the contents of this element:</w:t>
      </w:r>
    </w:p>
    <w:p w:rsidR="005F78FC" w:rsidRDefault="00B42EF3">
      <w:pPr>
        <w:pStyle w:val="Code"/>
      </w:pPr>
      <w:r>
        <w:t>&lt;complexType name="CT_Keymap"&gt;</w:t>
      </w:r>
    </w:p>
    <w:p w:rsidR="005F78FC" w:rsidRDefault="00B42EF3">
      <w:pPr>
        <w:pStyle w:val="Code"/>
      </w:pPr>
      <w:r>
        <w:t xml:space="preserve">  &lt;choice minOccurs="0" maxOccurs="1"&gt;</w:t>
      </w:r>
    </w:p>
    <w:p w:rsidR="005F78FC" w:rsidRDefault="00B42EF3">
      <w:pPr>
        <w:pStyle w:val="Code"/>
      </w:pPr>
      <w:r>
        <w:t xml:space="preserve">    &lt;element name="fci" type="CT_Fci"/&gt;</w:t>
      </w:r>
    </w:p>
    <w:p w:rsidR="005F78FC" w:rsidRDefault="00B42EF3">
      <w:pPr>
        <w:pStyle w:val="Code"/>
      </w:pPr>
      <w:r>
        <w:t xml:space="preserve">    &lt;element name="macro" type="CT_MacroWll"/&gt;</w:t>
      </w:r>
    </w:p>
    <w:p w:rsidR="005F78FC" w:rsidRDefault="00B42EF3">
      <w:pPr>
        <w:pStyle w:val="Code"/>
      </w:pPr>
      <w:r>
        <w:lastRenderedPageBreak/>
        <w:t xml:space="preserve">    &lt;</w:t>
      </w:r>
      <w:r>
        <w:t>element name="acd" type="CT_AcdKeymap"/&gt;</w:t>
      </w:r>
    </w:p>
    <w:p w:rsidR="005F78FC" w:rsidRDefault="00B42EF3">
      <w:pPr>
        <w:pStyle w:val="Code"/>
      </w:pPr>
      <w:r>
        <w:t xml:space="preserve">    &lt;element name="wll" type="CT_MacroWll"/&gt;</w:t>
      </w:r>
    </w:p>
    <w:p w:rsidR="005F78FC" w:rsidRDefault="00B42EF3">
      <w:pPr>
        <w:pStyle w:val="Code"/>
      </w:pPr>
      <w:r>
        <w:t xml:space="preserve">    &lt;element name="wch" type="CT_LongHexNumber"/&gt;</w:t>
      </w:r>
    </w:p>
    <w:p w:rsidR="005F78FC" w:rsidRDefault="00B42EF3">
      <w:pPr>
        <w:pStyle w:val="Code"/>
      </w:pPr>
      <w:r>
        <w:t xml:space="preserve">  &lt;/choice&gt;</w:t>
      </w:r>
    </w:p>
    <w:p w:rsidR="005F78FC" w:rsidRDefault="00B42EF3">
      <w:pPr>
        <w:pStyle w:val="Code"/>
      </w:pPr>
      <w:r>
        <w:t xml:space="preserve">  &lt;attribute name="chmPrimary" type="ST_ShortHexNumber"/&gt;</w:t>
      </w:r>
    </w:p>
    <w:p w:rsidR="005F78FC" w:rsidRDefault="00B42EF3">
      <w:pPr>
        <w:pStyle w:val="Code"/>
      </w:pPr>
      <w:r>
        <w:t xml:space="preserve">  &lt;</w:t>
      </w:r>
      <w:r>
        <w:t>attribute name="chmSecondary" type="ST_ShortHexNumber"/&gt;</w:t>
      </w:r>
    </w:p>
    <w:p w:rsidR="005F78FC" w:rsidRDefault="00B42EF3">
      <w:pPr>
        <w:pStyle w:val="Code"/>
      </w:pPr>
      <w:r>
        <w:t xml:space="preserve">  &lt;attribute name="kcmPrimary" type="ST_ShortHexNumber"/&gt;</w:t>
      </w:r>
    </w:p>
    <w:p w:rsidR="005F78FC" w:rsidRDefault="00B42EF3">
      <w:pPr>
        <w:pStyle w:val="Code"/>
      </w:pPr>
      <w:r>
        <w:t xml:space="preserve">  &lt;attribute name="kcmSecondary" type="ST_ShortHexNumber"/&gt;</w:t>
      </w:r>
    </w:p>
    <w:p w:rsidR="005F78FC" w:rsidRDefault="00B42EF3">
      <w:pPr>
        <w:pStyle w:val="Code"/>
      </w:pPr>
      <w:r>
        <w:t xml:space="preserve">  &lt;attribute name="mask" type="ST_OnOff"/&gt;</w:t>
      </w:r>
    </w:p>
    <w:p w:rsidR="005F78FC" w:rsidRDefault="00B42EF3">
      <w:pPr>
        <w:pStyle w:val="Code"/>
      </w:pPr>
      <w:r>
        <w:t>&lt;/complexType&gt;</w:t>
      </w:r>
    </w:p>
    <w:p w:rsidR="005F78FC" w:rsidRDefault="00B42EF3">
      <w:pPr>
        <w:pStyle w:val="Heading6"/>
      </w:pPr>
      <w:bookmarkStart w:id="3840" w:name="section_3e58e134a06a484aa45fd1bf83668891"/>
      <w:bookmarkStart w:id="3841" w:name="_Toc69879693"/>
      <w:r>
        <w:t>keymaps (Key Map Custom</w:t>
      </w:r>
      <w:r>
        <w:t>izations)</w:t>
      </w:r>
      <w:bookmarkEnd w:id="3840"/>
      <w:bookmarkEnd w:id="3841"/>
      <w:r>
        <w:fldChar w:fldCharType="begin"/>
      </w:r>
      <w:r>
        <w:instrText xml:space="preserve"> XE "keymaps (Key Map Customizations)" </w:instrText>
      </w:r>
      <w:r>
        <w:fldChar w:fldCharType="end"/>
      </w:r>
    </w:p>
    <w:p w:rsidR="005F78FC" w:rsidRDefault="00B42EF3">
      <w:r>
        <w:t xml:space="preserve">This element serves as a container for individual </w:t>
      </w:r>
      <w:r>
        <w:rPr>
          <w:b/>
        </w:rPr>
        <w:t>key map</w:t>
      </w:r>
      <w:r>
        <w:t xml:space="preserve"> customization entries that can be described on the current keyboard. See keymapsBad (§</w:t>
      </w:r>
      <w:hyperlink w:anchor="Section_c29a6b7a6315489f855aa807e12b712d">
        <w:r>
          <w:rPr>
            <w:rStyle w:val="Hyperlink"/>
          </w:rPr>
          <w:t>3.1.2.1.1.10, keymapsBad</w:t>
        </w:r>
      </w:hyperlink>
      <w:r>
        <w:t>) for more information on key map entries that cannot be described on the current keyboard.</w:t>
      </w:r>
    </w:p>
    <w:p w:rsidR="005F78FC" w:rsidRDefault="00B42EF3">
      <w:r>
        <w:t xml:space="preserve">On write, key maps are placed under </w:t>
      </w:r>
      <w:r>
        <w:rPr>
          <w:b/>
        </w:rPr>
        <w:t>keymaps</w:t>
      </w:r>
      <w:r>
        <w:t xml:space="preserve"> or </w:t>
      </w:r>
      <w:r>
        <w:rPr>
          <w:b/>
        </w:rPr>
        <w:t>keymapsBad</w:t>
      </w:r>
      <w:r>
        <w:t xml:space="preserve"> elements based on the current keyboard, not based on the element they were speci</w:t>
      </w:r>
      <w:r>
        <w:t>fied under originally. Key map elements can therefore be moved between these two parent elements depending on the current keyboard. Moreover, either type of key map may be validly defined under either element, but upon resaving each will be moved under the</w:t>
      </w:r>
      <w:r>
        <w:t xml:space="preserve"> correct element.</w:t>
      </w:r>
    </w:p>
    <w:p w:rsidR="005F78FC" w:rsidRDefault="00B42EF3">
      <w:r>
        <w:t>If a conflict occurs between a KCM and CHM for a given key mapping, then the KCM will be used. Upon writing a file, Word will also add a valid KCM attribute for any key map entries that have specified a CHM.</w:t>
      </w:r>
    </w:p>
    <w:p w:rsidR="005F78FC" w:rsidRDefault="00B42EF3">
      <w:r>
        <w:t>[Example: Consider the followi</w:t>
      </w:r>
      <w:r>
        <w:t>ng key mapping fragment:</w:t>
      </w:r>
    </w:p>
    <w:p w:rsidR="005F78FC" w:rsidRDefault="00B42EF3">
      <w:pPr>
        <w:pStyle w:val="Code"/>
      </w:pPr>
      <w:r>
        <w:t xml:space="preserve">  &lt;wne:keymaps&gt;</w:t>
      </w:r>
    </w:p>
    <w:p w:rsidR="005F78FC" w:rsidRDefault="00B42EF3">
      <w:pPr>
        <w:pStyle w:val="Code"/>
      </w:pPr>
      <w:r>
        <w:t xml:space="preserve">     &lt;wne:keymap wne:kcmPrimary="0342"&gt;</w:t>
      </w:r>
    </w:p>
    <w:p w:rsidR="005F78FC" w:rsidRDefault="00B42EF3">
      <w:pPr>
        <w:pStyle w:val="Code"/>
      </w:pPr>
      <w:r>
        <w:t xml:space="preserve">        &lt;wne:fci wne:fciName="Bold" /&gt;</w:t>
      </w:r>
    </w:p>
    <w:p w:rsidR="005F78FC" w:rsidRDefault="00B42EF3">
      <w:pPr>
        <w:pStyle w:val="Code"/>
      </w:pPr>
      <w:r>
        <w:t xml:space="preserve">     &lt;/wne:keymap&gt;</w:t>
      </w:r>
    </w:p>
    <w:p w:rsidR="005F78FC" w:rsidRDefault="00B42EF3">
      <w:pPr>
        <w:pStyle w:val="Code"/>
      </w:pPr>
      <w:r>
        <w:t xml:space="preserve">     &lt;wne:keymap wne:kcmPrimary="0237"&gt;</w:t>
      </w:r>
    </w:p>
    <w:p w:rsidR="005F78FC" w:rsidRDefault="00B42EF3">
      <w:pPr>
        <w:pStyle w:val="Code"/>
      </w:pPr>
      <w:r>
        <w:t xml:space="preserve">        &lt;wne:wch wne:val="000020AC" /&gt;</w:t>
      </w:r>
    </w:p>
    <w:p w:rsidR="005F78FC" w:rsidRDefault="00B42EF3">
      <w:pPr>
        <w:pStyle w:val="Code"/>
      </w:pPr>
      <w:r>
        <w:t xml:space="preserve">     &lt;/wne:keymap&gt;</w:t>
      </w:r>
    </w:p>
    <w:p w:rsidR="005F78FC" w:rsidRDefault="00B42EF3">
      <w:pPr>
        <w:pStyle w:val="Code"/>
      </w:pPr>
      <w:r>
        <w:t xml:space="preserve">  &lt;/wne:keymaps&gt;</w:t>
      </w:r>
    </w:p>
    <w:p w:rsidR="005F78FC" w:rsidRDefault="00B42EF3">
      <w:r>
        <w:t>In</w:t>
      </w:r>
      <w:r>
        <w:t xml:space="preserve"> this example, the fragment specifies two key maps. The first will make the selected text bold when the key combination Control-Shift-B is pressed. The second inserts the Euro currency symbol when Control-7 is pressed. end example]</w:t>
      </w:r>
    </w:p>
    <w:tbl>
      <w:tblPr>
        <w:tblStyle w:val="Table-ShadedHeader"/>
        <w:tblW w:w="0" w:type="auto"/>
        <w:tblLook w:val="04A0" w:firstRow="1" w:lastRow="0" w:firstColumn="1" w:lastColumn="0" w:noHBand="0" w:noVBand="1"/>
      </w:tblPr>
      <w:tblGrid>
        <w:gridCol w:w="2176"/>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Parent Elements</w:t>
            </w:r>
          </w:p>
        </w:tc>
      </w:tr>
      <w:tr w:rsidR="005F78FC" w:rsidTr="005F78FC">
        <w:tc>
          <w:tcPr>
            <w:tcW w:w="0" w:type="auto"/>
            <w:vAlign w:val="center"/>
          </w:tcPr>
          <w:p w:rsidR="005F78FC" w:rsidRDefault="00B42EF3">
            <w:pPr>
              <w:pStyle w:val="TableBodyText"/>
            </w:pPr>
            <w:r>
              <w:rPr>
                <w:b/>
              </w:rPr>
              <w:t>tcg</w:t>
            </w:r>
            <w:r>
              <w:t xml:space="preserve"> (§</w:t>
            </w:r>
            <w:hyperlink w:anchor="Section_611795947ec745d68a2df9ece7863986">
              <w:r>
                <w:rPr>
                  <w:rStyle w:val="Hyperlink"/>
                </w:rPr>
                <w:t>3.1.2.1.1.12, tcg</w:t>
              </w:r>
            </w:hyperlink>
            <w:r>
              <w:t>)</w:t>
            </w:r>
          </w:p>
        </w:tc>
      </w:tr>
    </w:tbl>
    <w:p w:rsidR="005F78FC" w:rsidRDefault="005F78FC"/>
    <w:p w:rsidR="005F78FC" w:rsidRDefault="005F78FC"/>
    <w:tbl>
      <w:tblPr>
        <w:tblStyle w:val="Table-ShadedHeader"/>
        <w:tblW w:w="0" w:type="auto"/>
        <w:tblLook w:val="04A0" w:firstRow="1" w:lastRow="0" w:firstColumn="1" w:lastColumn="0" w:noHBand="0" w:noVBand="1"/>
      </w:tblPr>
      <w:tblGrid>
        <w:gridCol w:w="2310"/>
        <w:gridCol w:w="1984"/>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Child Elements</w:t>
            </w:r>
          </w:p>
        </w:tc>
        <w:tc>
          <w:tcPr>
            <w:tcW w:w="0" w:type="auto"/>
            <w:vAlign w:val="center"/>
          </w:tcPr>
          <w:p w:rsidR="005F78FC" w:rsidRDefault="00B42EF3">
            <w:pPr>
              <w:pStyle w:val="TableHeaderText"/>
            </w:pPr>
            <w:r>
              <w:t>Subclause</w:t>
            </w:r>
          </w:p>
        </w:tc>
      </w:tr>
      <w:tr w:rsidR="005F78FC" w:rsidTr="005F78FC">
        <w:tc>
          <w:tcPr>
            <w:tcW w:w="0" w:type="auto"/>
            <w:vAlign w:val="center"/>
          </w:tcPr>
          <w:p w:rsidR="005F78FC" w:rsidRDefault="00B42EF3">
            <w:pPr>
              <w:pStyle w:val="TableBodyText"/>
            </w:pPr>
            <w:r>
              <w:rPr>
                <w:b/>
              </w:rPr>
              <w:t>keymap</w:t>
            </w:r>
            <w:r>
              <w:t xml:space="preserve"> (Key Map Entry)</w:t>
            </w:r>
          </w:p>
        </w:tc>
        <w:tc>
          <w:tcPr>
            <w:tcW w:w="0" w:type="auto"/>
            <w:vAlign w:val="center"/>
          </w:tcPr>
          <w:p w:rsidR="005F78FC" w:rsidRDefault="00B42EF3">
            <w:pPr>
              <w:pStyle w:val="TableBodyText"/>
            </w:pPr>
            <w:r>
              <w:t>§</w:t>
            </w:r>
            <w:hyperlink w:anchor="Section_d44dbd45cbbb4efba0903a85141d00fc">
              <w:r>
                <w:rPr>
                  <w:rStyle w:val="Hyperlink"/>
                </w:rPr>
                <w:t>3.1.2.1.1.8, keymap</w:t>
              </w:r>
            </w:hyperlink>
          </w:p>
        </w:tc>
      </w:tr>
    </w:tbl>
    <w:p w:rsidR="005F78FC" w:rsidRDefault="005F78FC"/>
    <w:p w:rsidR="005F78FC" w:rsidRDefault="00B42EF3">
      <w:r>
        <w:t xml:space="preserve">The following XML Schema fragment </w:t>
      </w:r>
      <w:r>
        <w:t>defines the contents of this element:</w:t>
      </w:r>
    </w:p>
    <w:p w:rsidR="005F78FC" w:rsidRDefault="00B42EF3">
      <w:pPr>
        <w:pStyle w:val="Code"/>
      </w:pPr>
      <w:r>
        <w:lastRenderedPageBreak/>
        <w:t>&lt;complexType name="CT_Keymaps"&gt;</w:t>
      </w:r>
    </w:p>
    <w:p w:rsidR="005F78FC" w:rsidRDefault="00B42EF3">
      <w:pPr>
        <w:pStyle w:val="Code"/>
      </w:pPr>
      <w:r>
        <w:t xml:space="preserve">  &lt;sequence&gt;</w:t>
      </w:r>
    </w:p>
    <w:p w:rsidR="005F78FC" w:rsidRDefault="00B42EF3">
      <w:pPr>
        <w:pStyle w:val="Code"/>
      </w:pPr>
      <w:r>
        <w:t xml:space="preserve">    &lt;element name="keymap" type="CT_Keymap" minOccurs="1" maxOccurs="unbounded"/&gt;</w:t>
      </w:r>
    </w:p>
    <w:p w:rsidR="005F78FC" w:rsidRDefault="00B42EF3">
      <w:pPr>
        <w:pStyle w:val="Code"/>
      </w:pPr>
      <w:r>
        <w:t xml:space="preserve">  &lt;/sequence&gt;</w:t>
      </w:r>
    </w:p>
    <w:p w:rsidR="005F78FC" w:rsidRDefault="00B42EF3">
      <w:pPr>
        <w:pStyle w:val="Code"/>
      </w:pPr>
      <w:r>
        <w:t>&lt;/complexType&gt;</w:t>
      </w:r>
    </w:p>
    <w:p w:rsidR="005F78FC" w:rsidRDefault="00B42EF3">
      <w:pPr>
        <w:pStyle w:val="Heading6"/>
      </w:pPr>
      <w:bookmarkStart w:id="3842" w:name="section_c29a6b7a6315489f855aa807e12b712d"/>
      <w:bookmarkStart w:id="3843" w:name="_Toc69879694"/>
      <w:r>
        <w:t>keymapsBad (Key Map Customizations for Mismatched Keyboards)</w:t>
      </w:r>
      <w:bookmarkEnd w:id="3842"/>
      <w:bookmarkEnd w:id="3843"/>
      <w:r>
        <w:fldChar w:fldCharType="begin"/>
      </w:r>
      <w:r>
        <w:instrText xml:space="preserve"> X</w:instrText>
      </w:r>
      <w:r>
        <w:instrText xml:space="preserve">E "keymapsBad (Key Map Customizations for Mismatched Keyboards)" </w:instrText>
      </w:r>
      <w:r>
        <w:fldChar w:fldCharType="end"/>
      </w:r>
    </w:p>
    <w:p w:rsidR="005F78FC" w:rsidRDefault="00B42EF3">
      <w:r>
        <w:t xml:space="preserve">This element serves as a container for individual key map customization entries whose key combinations cannot be described on the current keyboard. See </w:t>
      </w:r>
      <w:r>
        <w:rPr>
          <w:b/>
        </w:rPr>
        <w:t>keymaps</w:t>
      </w:r>
      <w:r>
        <w:t xml:space="preserve"> (§</w:t>
      </w:r>
      <w:hyperlink w:anchor="Section_3e58e134a06a484aa45fd1bf83668891">
        <w:r>
          <w:rPr>
            <w:rStyle w:val="Hyperlink"/>
          </w:rPr>
          <w:t>3.1.2.1.1.9, keymaps</w:t>
        </w:r>
      </w:hyperlink>
      <w:r>
        <w:t xml:space="preserve">) for more information about key maps that can be described on the current keyboard. </w:t>
      </w:r>
    </w:p>
    <w:p w:rsidR="005F78FC" w:rsidRDefault="00B42EF3">
      <w:r>
        <w:t xml:space="preserve">On write, key maps are placed under </w:t>
      </w:r>
      <w:r>
        <w:rPr>
          <w:b/>
        </w:rPr>
        <w:t>keymaps</w:t>
      </w:r>
      <w:r>
        <w:t xml:space="preserve"> or </w:t>
      </w:r>
      <w:r>
        <w:rPr>
          <w:b/>
        </w:rPr>
        <w:t>keymapsBad</w:t>
      </w:r>
      <w:r>
        <w:t xml:space="preserve"> elements based on the current k</w:t>
      </w:r>
      <w:r>
        <w:t>eyboard, not based on the element they were specified under originally. Key map elements can therefore be moved between these two parent elements depending on the current keyboard. Moreover, either type of key map may be validly defined under either elemen</w:t>
      </w:r>
      <w:r>
        <w:t>t, but upon resaving each will be moved under the correct element.</w:t>
      </w:r>
    </w:p>
    <w:p w:rsidR="005F78FC" w:rsidRDefault="00B42EF3">
      <w:r>
        <w:t xml:space="preserve">The key combinations for key maps placed under the </w:t>
      </w:r>
      <w:r>
        <w:rPr>
          <w:b/>
        </w:rPr>
        <w:t>keymapsBad</w:t>
      </w:r>
      <w:r>
        <w:t xml:space="preserve"> element cannot be executed by Word. Key maps placed under the </w:t>
      </w:r>
      <w:r>
        <w:rPr>
          <w:b/>
        </w:rPr>
        <w:t>keymapsBad</w:t>
      </w:r>
      <w:r>
        <w:t xml:space="preserve"> element are not removed from the file, because they ca</w:t>
      </w:r>
      <w:r>
        <w:t>n become operational again when the document is opened on a computer where the specified characters are present on the current keyboard.</w:t>
      </w:r>
    </w:p>
    <w:p w:rsidR="005F78FC" w:rsidRDefault="00B42EF3">
      <w:r>
        <w:t>Because of their nature, CHM attributes will not be converted to KCM attributes if no such conversion is possible on th</w:t>
      </w:r>
      <w:r>
        <w:t>e current keyboard.</w:t>
      </w:r>
    </w:p>
    <w:p w:rsidR="005F78FC" w:rsidRDefault="00B42EF3">
      <w:r>
        <w:t>[Example: Consider the following key mapping fragment:</w:t>
      </w:r>
    </w:p>
    <w:p w:rsidR="005F78FC" w:rsidRDefault="00B42EF3">
      <w:pPr>
        <w:pStyle w:val="Code"/>
      </w:pPr>
      <w:r>
        <w:t xml:space="preserve">    &lt;wne:keymapsBad&gt;</w:t>
      </w:r>
    </w:p>
    <w:p w:rsidR="005F78FC" w:rsidRDefault="00B42EF3">
      <w:pPr>
        <w:pStyle w:val="Code"/>
      </w:pPr>
      <w:r>
        <w:t xml:space="preserve">        &lt;wne:keymap wne:chmPrimary="06DF"&gt;</w:t>
      </w:r>
    </w:p>
    <w:p w:rsidR="005F78FC" w:rsidRDefault="00B42EF3">
      <w:pPr>
        <w:pStyle w:val="Code"/>
      </w:pPr>
      <w:r>
        <w:t xml:space="preserve">            &lt;wne:fci wne:fciName="Bold" wne:swArg="0000"/&gt;</w:t>
      </w:r>
    </w:p>
    <w:p w:rsidR="005F78FC" w:rsidRDefault="00B42EF3">
      <w:pPr>
        <w:pStyle w:val="Code"/>
      </w:pPr>
      <w:r>
        <w:t xml:space="preserve">        &lt;/wne:keymap&gt;</w:t>
      </w:r>
    </w:p>
    <w:p w:rsidR="005F78FC" w:rsidRDefault="00B42EF3">
      <w:pPr>
        <w:pStyle w:val="Code"/>
      </w:pPr>
      <w:r>
        <w:t xml:space="preserve">    &lt;/wne:keymapsBad&gt;</w:t>
      </w:r>
    </w:p>
    <w:p w:rsidR="005F78FC" w:rsidRDefault="00B42EF3">
      <w:r>
        <w:t>In this exampl</w:t>
      </w:r>
      <w:r>
        <w:t xml:space="preserve">e, the fragment specifies a single key map that executes the Bold fixed command when Control-Alt-ß is pressed. Because this character is typically only available on German-language keyboards, the key mapping will be under the </w:t>
      </w:r>
      <w:r>
        <w:rPr>
          <w:b/>
        </w:rPr>
        <w:t>keymapsBad</w:t>
      </w:r>
      <w:r>
        <w:t xml:space="preserve"> element on non-Germ</w:t>
      </w:r>
      <w:r>
        <w:t>an-language keyboards.   end example]</w:t>
      </w:r>
    </w:p>
    <w:tbl>
      <w:tblPr>
        <w:tblStyle w:val="Table-ShadedHeader"/>
        <w:tblW w:w="0" w:type="auto"/>
        <w:tblLook w:val="04A0" w:firstRow="1" w:lastRow="0" w:firstColumn="1" w:lastColumn="0" w:noHBand="0" w:noVBand="1"/>
      </w:tblPr>
      <w:tblGrid>
        <w:gridCol w:w="2176"/>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Parent Elements</w:t>
            </w:r>
          </w:p>
        </w:tc>
      </w:tr>
      <w:tr w:rsidR="005F78FC" w:rsidTr="005F78FC">
        <w:tc>
          <w:tcPr>
            <w:tcW w:w="0" w:type="auto"/>
            <w:vAlign w:val="center"/>
          </w:tcPr>
          <w:p w:rsidR="005F78FC" w:rsidRDefault="00B42EF3">
            <w:pPr>
              <w:pStyle w:val="TableBodyText"/>
            </w:pPr>
            <w:r>
              <w:rPr>
                <w:b/>
              </w:rPr>
              <w:t>tcg</w:t>
            </w:r>
            <w:r>
              <w:t xml:space="preserve"> (§</w:t>
            </w:r>
            <w:hyperlink w:anchor="Section_611795947ec745d68a2df9ece7863986">
              <w:r>
                <w:rPr>
                  <w:rStyle w:val="Hyperlink"/>
                </w:rPr>
                <w:t>3.1.2.1.1.12, tcg</w:t>
              </w:r>
            </w:hyperlink>
            <w:r>
              <w:t>)</w:t>
            </w:r>
          </w:p>
        </w:tc>
      </w:tr>
    </w:tbl>
    <w:p w:rsidR="005F78FC" w:rsidRDefault="005F78FC"/>
    <w:p w:rsidR="005F78FC" w:rsidRDefault="005F78FC"/>
    <w:tbl>
      <w:tblPr>
        <w:tblStyle w:val="Table-ShadedHeader"/>
        <w:tblW w:w="0" w:type="auto"/>
        <w:tblLook w:val="04A0" w:firstRow="1" w:lastRow="0" w:firstColumn="1" w:lastColumn="0" w:noHBand="0" w:noVBand="1"/>
      </w:tblPr>
      <w:tblGrid>
        <w:gridCol w:w="2310"/>
        <w:gridCol w:w="1984"/>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Child Elements</w:t>
            </w:r>
          </w:p>
        </w:tc>
        <w:tc>
          <w:tcPr>
            <w:tcW w:w="0" w:type="auto"/>
            <w:vAlign w:val="center"/>
          </w:tcPr>
          <w:p w:rsidR="005F78FC" w:rsidRDefault="00B42EF3">
            <w:pPr>
              <w:pStyle w:val="TableHeaderText"/>
            </w:pPr>
            <w:r>
              <w:t>Subclause</w:t>
            </w:r>
          </w:p>
        </w:tc>
      </w:tr>
      <w:tr w:rsidR="005F78FC" w:rsidTr="005F78FC">
        <w:tc>
          <w:tcPr>
            <w:tcW w:w="0" w:type="auto"/>
            <w:vAlign w:val="center"/>
          </w:tcPr>
          <w:p w:rsidR="005F78FC" w:rsidRDefault="00B42EF3">
            <w:pPr>
              <w:pStyle w:val="TableBodyText"/>
            </w:pPr>
            <w:r>
              <w:rPr>
                <w:b/>
              </w:rPr>
              <w:t>keymap</w:t>
            </w:r>
            <w:r>
              <w:t xml:space="preserve"> (Key Map Entry)</w:t>
            </w:r>
          </w:p>
        </w:tc>
        <w:tc>
          <w:tcPr>
            <w:tcW w:w="0" w:type="auto"/>
            <w:vAlign w:val="center"/>
          </w:tcPr>
          <w:p w:rsidR="005F78FC" w:rsidRDefault="00B42EF3">
            <w:pPr>
              <w:pStyle w:val="TableBodyText"/>
            </w:pPr>
            <w:r>
              <w:t>§</w:t>
            </w:r>
            <w:hyperlink w:anchor="Section_d44dbd45cbbb4efba0903a85141d00fc">
              <w:r>
                <w:rPr>
                  <w:rStyle w:val="Hyperlink"/>
                </w:rPr>
                <w:t>3.1.2.1.1.8, keymap</w:t>
              </w:r>
            </w:hyperlink>
          </w:p>
        </w:tc>
      </w:tr>
    </w:tbl>
    <w:p w:rsidR="005F78FC" w:rsidRDefault="005F78FC"/>
    <w:p w:rsidR="005F78FC" w:rsidRDefault="00B42EF3">
      <w:r>
        <w:t>The following XML Schema fragment defines the contents of this element:</w:t>
      </w:r>
    </w:p>
    <w:p w:rsidR="005F78FC" w:rsidRDefault="00B42EF3">
      <w:pPr>
        <w:pStyle w:val="Code"/>
      </w:pPr>
      <w:r>
        <w:t>&lt;complexType name="CT_Keymaps"&gt;</w:t>
      </w:r>
    </w:p>
    <w:p w:rsidR="005F78FC" w:rsidRDefault="00B42EF3">
      <w:pPr>
        <w:pStyle w:val="Code"/>
      </w:pPr>
      <w:r>
        <w:t xml:space="preserve">  &lt;sequence&gt;</w:t>
      </w:r>
    </w:p>
    <w:p w:rsidR="005F78FC" w:rsidRDefault="00B42EF3">
      <w:pPr>
        <w:pStyle w:val="Code"/>
      </w:pPr>
      <w:r>
        <w:t xml:space="preserve">    &lt;</w:t>
      </w:r>
      <w:r>
        <w:t>element name="keymap" type="CT_Keymap" minOccurs="1" maxOccurs="unbounded"/&gt;</w:t>
      </w:r>
    </w:p>
    <w:p w:rsidR="005F78FC" w:rsidRDefault="00B42EF3">
      <w:pPr>
        <w:pStyle w:val="Code"/>
      </w:pPr>
      <w:r>
        <w:lastRenderedPageBreak/>
        <w:t xml:space="preserve">  &lt;/sequence&gt;</w:t>
      </w:r>
    </w:p>
    <w:p w:rsidR="005F78FC" w:rsidRDefault="00B42EF3">
      <w:pPr>
        <w:pStyle w:val="Code"/>
      </w:pPr>
      <w:r>
        <w:t>&lt;/complexType&gt;</w:t>
      </w:r>
    </w:p>
    <w:p w:rsidR="005F78FC" w:rsidRDefault="00B42EF3">
      <w:pPr>
        <w:pStyle w:val="Heading6"/>
      </w:pPr>
      <w:bookmarkStart w:id="3844" w:name="section_0ab7a8b6842d4bda8c7262ac9dd16b0d"/>
      <w:bookmarkStart w:id="3845" w:name="_Toc69879695"/>
      <w:r>
        <w:t>macro (Macro Keyboard Customization Action)</w:t>
      </w:r>
      <w:bookmarkEnd w:id="3844"/>
      <w:bookmarkEnd w:id="3845"/>
      <w:r>
        <w:fldChar w:fldCharType="begin"/>
      </w:r>
      <w:r>
        <w:instrText xml:space="preserve"> XE "macro (Macro Keyboard Customization Action)" </w:instrText>
      </w:r>
      <w:r>
        <w:fldChar w:fldCharType="end"/>
      </w:r>
    </w:p>
    <w:p w:rsidR="005F78FC" w:rsidRDefault="00B42EF3">
      <w:r>
        <w:t>This element specifies that a macro should be executed</w:t>
      </w:r>
      <w:r>
        <w:t xml:space="preserve"> by the enclosing key map.</w:t>
      </w:r>
    </w:p>
    <w:p w:rsidR="005F78FC" w:rsidRDefault="00B42EF3">
      <w:r>
        <w:t>[Example: Consider the following key map:</w:t>
      </w:r>
    </w:p>
    <w:p w:rsidR="005F78FC" w:rsidRDefault="00B42EF3">
      <w:pPr>
        <w:pStyle w:val="Code"/>
      </w:pPr>
      <w:r>
        <w:t xml:space="preserve">  &lt;wne:keymap wne:kcmPrimary="0238"&gt;</w:t>
      </w:r>
    </w:p>
    <w:p w:rsidR="005F78FC" w:rsidRDefault="00B42EF3">
      <w:pPr>
        <w:pStyle w:val="Code"/>
      </w:pPr>
      <w:r>
        <w:t xml:space="preserve">      &lt;wne:macro wne:macroName="PROJECT.NEWMACROS.SOMEMACRO"/&gt;</w:t>
      </w:r>
    </w:p>
    <w:p w:rsidR="005F78FC" w:rsidRDefault="00B42EF3">
      <w:pPr>
        <w:pStyle w:val="Code"/>
      </w:pPr>
      <w:r>
        <w:t xml:space="preserve">  &lt;/wne:keymap&gt;</w:t>
      </w:r>
    </w:p>
    <w:p w:rsidR="005F78FC" w:rsidRDefault="00B42EF3">
      <w:r>
        <w:t xml:space="preserve">In this example, the WordprocessingML fragment specifies that pressing </w:t>
      </w:r>
      <w:r>
        <w:t xml:space="preserve">Control-8 (the meaning of a KCM of </w:t>
      </w:r>
      <w:r>
        <w:rPr>
          <w:rStyle w:val="InlineCode"/>
        </w:rPr>
        <w:t>0238</w:t>
      </w:r>
      <w:r>
        <w:t xml:space="preserve">) will run the macro named </w:t>
      </w:r>
      <w:r>
        <w:rPr>
          <w:rStyle w:val="InlineCode"/>
        </w:rPr>
        <w:t>"PROJECT.NEWMACROS.SOMEMACRO"</w:t>
      </w:r>
      <w:r>
        <w:t>. end example]</w:t>
      </w:r>
    </w:p>
    <w:tbl>
      <w:tblPr>
        <w:tblStyle w:val="Table-ShadedHeader"/>
        <w:tblW w:w="0" w:type="auto"/>
        <w:tblLook w:val="04A0" w:firstRow="1" w:lastRow="0" w:firstColumn="1" w:lastColumn="0" w:noHBand="0" w:noVBand="1"/>
      </w:tblPr>
      <w:tblGrid>
        <w:gridCol w:w="2891"/>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Parent Elements</w:t>
            </w:r>
          </w:p>
        </w:tc>
      </w:tr>
      <w:tr w:rsidR="005F78FC" w:rsidTr="005F78FC">
        <w:tc>
          <w:tcPr>
            <w:tcW w:w="0" w:type="auto"/>
            <w:vAlign w:val="center"/>
          </w:tcPr>
          <w:p w:rsidR="005F78FC" w:rsidRDefault="00B42EF3">
            <w:pPr>
              <w:pStyle w:val="TableBodyText"/>
            </w:pPr>
            <w:r>
              <w:rPr>
                <w:b/>
              </w:rPr>
              <w:t>keymap</w:t>
            </w:r>
            <w:r>
              <w:t xml:space="preserve"> (§</w:t>
            </w:r>
            <w:hyperlink w:anchor="Section_d44dbd45cbbb4efba0903a85141d00fc">
              <w:r>
                <w:rPr>
                  <w:rStyle w:val="Hyperlink"/>
                </w:rPr>
                <w:t>3.1.2.1.1.8, keymap</w:t>
              </w:r>
            </w:hyperlink>
            <w:r>
              <w:t>)</w:t>
            </w:r>
          </w:p>
        </w:tc>
      </w:tr>
    </w:tbl>
    <w:p w:rsidR="005F78FC" w:rsidRDefault="005F78FC"/>
    <w:p w:rsidR="005F78FC" w:rsidRDefault="005F78FC"/>
    <w:tbl>
      <w:tblPr>
        <w:tblStyle w:val="Table-ShadedHeader"/>
        <w:tblW w:w="0" w:type="auto"/>
        <w:tblLook w:val="04A0" w:firstRow="1" w:lastRow="0" w:firstColumn="1" w:lastColumn="0" w:noHBand="0" w:noVBand="1"/>
      </w:tblPr>
      <w:tblGrid>
        <w:gridCol w:w="2274"/>
        <w:gridCol w:w="7201"/>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Attributes</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rPr>
                <w:b/>
              </w:rPr>
              <w:t>macroName</w:t>
            </w:r>
            <w:r>
              <w:t xml:space="preserve"> (Macro name)</w:t>
            </w:r>
          </w:p>
        </w:tc>
        <w:tc>
          <w:tcPr>
            <w:tcW w:w="0" w:type="auto"/>
            <w:vAlign w:val="center"/>
          </w:tcPr>
          <w:p w:rsidR="005F78FC" w:rsidRDefault="00B42EF3">
            <w:pPr>
              <w:pStyle w:val="TableBodyText"/>
            </w:pPr>
            <w:r>
              <w:t>Specifies the name of the macro to run.</w:t>
            </w:r>
          </w:p>
          <w:p w:rsidR="005F78FC" w:rsidRDefault="005F78FC">
            <w:pPr>
              <w:pStyle w:val="TableBodyText"/>
            </w:pPr>
          </w:p>
          <w:p w:rsidR="005F78FC" w:rsidRDefault="00B42EF3">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bl>
    <w:p w:rsidR="005F78FC" w:rsidRDefault="005F78FC"/>
    <w:p w:rsidR="005F78FC" w:rsidRDefault="00B42EF3">
      <w:r>
        <w:t>The following XML Schema fragme</w:t>
      </w:r>
      <w:r>
        <w:t>nt defines the contents of this element:</w:t>
      </w:r>
    </w:p>
    <w:p w:rsidR="005F78FC" w:rsidRDefault="00B42EF3">
      <w:pPr>
        <w:pStyle w:val="Code"/>
      </w:pPr>
      <w:r>
        <w:t>&lt;complexType name="CT_MacroWll"&gt;</w:t>
      </w:r>
    </w:p>
    <w:p w:rsidR="005F78FC" w:rsidRDefault="00B42EF3">
      <w:pPr>
        <w:pStyle w:val="Code"/>
      </w:pPr>
      <w:r>
        <w:t xml:space="preserve">  &lt;attribute name="macroName" type="ST_String" use="required"/&gt;</w:t>
      </w:r>
    </w:p>
    <w:p w:rsidR="005F78FC" w:rsidRDefault="00B42EF3">
      <w:pPr>
        <w:pStyle w:val="Code"/>
      </w:pPr>
      <w:r>
        <w:t>&lt;/complexType&gt;</w:t>
      </w:r>
    </w:p>
    <w:p w:rsidR="005F78FC" w:rsidRDefault="00B42EF3">
      <w:pPr>
        <w:pStyle w:val="Heading6"/>
      </w:pPr>
      <w:bookmarkStart w:id="3846" w:name="section_611795947ec745d68a2df9ece7863986"/>
      <w:bookmarkStart w:id="3847" w:name="_Toc69879696"/>
      <w:r>
        <w:t>tcg (Keyboard and Toolbar Customizations)</w:t>
      </w:r>
      <w:bookmarkEnd w:id="3846"/>
      <w:bookmarkEnd w:id="3847"/>
      <w:r>
        <w:fldChar w:fldCharType="begin"/>
      </w:r>
      <w:r>
        <w:instrText xml:space="preserve"> XE "tcg (Keyboard and Toolbar Customizations)" </w:instrText>
      </w:r>
      <w:r>
        <w:fldChar w:fldCharType="end"/>
      </w:r>
    </w:p>
    <w:p w:rsidR="005F78FC" w:rsidRDefault="00B42EF3">
      <w:r>
        <w:t xml:space="preserve">This </w:t>
      </w:r>
      <w:r>
        <w:t>element specifies the document's template command group (TCG), which contains customizations for keyboard shortcuts and toolbars.</w:t>
      </w:r>
    </w:p>
    <w:p w:rsidR="005F78FC" w:rsidRDefault="00B42EF3">
      <w:r>
        <w:t>[Example: Consider a document with both a toolbar customization and key map customization:</w:t>
      </w:r>
    </w:p>
    <w:p w:rsidR="005F78FC" w:rsidRDefault="00B42EF3">
      <w:pPr>
        <w:pStyle w:val="Code"/>
      </w:pPr>
      <w:r>
        <w:t>&lt;wne:tcg …&gt;</w:t>
      </w:r>
    </w:p>
    <w:p w:rsidR="005F78FC" w:rsidRDefault="00B42EF3">
      <w:pPr>
        <w:pStyle w:val="Code"/>
      </w:pPr>
      <w:r>
        <w:t xml:space="preserve">    &lt;wne:keymaps&gt;</w:t>
      </w:r>
    </w:p>
    <w:p w:rsidR="005F78FC" w:rsidRDefault="00B42EF3">
      <w:pPr>
        <w:pStyle w:val="Code"/>
      </w:pPr>
      <w:r>
        <w:t xml:space="preserve">     </w:t>
      </w:r>
      <w:r>
        <w:t xml:space="preserve">   &lt;wne:keymap wne:kcmPrimary="0341"&gt;</w:t>
      </w:r>
    </w:p>
    <w:p w:rsidR="005F78FC" w:rsidRDefault="00B42EF3">
      <w:pPr>
        <w:pStyle w:val="Code"/>
      </w:pPr>
      <w:r>
        <w:t xml:space="preserve">            &lt;wne:fci wne:fciName="CssLinks" wne:swArg="0000"/&gt;</w:t>
      </w:r>
    </w:p>
    <w:p w:rsidR="005F78FC" w:rsidRDefault="00B42EF3">
      <w:pPr>
        <w:pStyle w:val="Code"/>
      </w:pPr>
      <w:r>
        <w:t xml:space="preserve">        &lt;/wne:keymap&gt;</w:t>
      </w:r>
    </w:p>
    <w:p w:rsidR="005F78FC" w:rsidRDefault="00B42EF3">
      <w:pPr>
        <w:pStyle w:val="Code"/>
      </w:pPr>
      <w:r>
        <w:t xml:space="preserve">    &lt;/wne:keymaps&gt;</w:t>
      </w:r>
    </w:p>
    <w:p w:rsidR="005F78FC" w:rsidRDefault="00B42EF3">
      <w:pPr>
        <w:pStyle w:val="Code"/>
      </w:pPr>
      <w:r>
        <w:t xml:space="preserve">    &lt;wne:toolbars&gt;</w:t>
      </w:r>
    </w:p>
    <w:p w:rsidR="005F78FC" w:rsidRDefault="00B42EF3">
      <w:pPr>
        <w:pStyle w:val="Code"/>
      </w:pPr>
      <w:r>
        <w:t xml:space="preserve">        &lt;wne:toolbarData r:id="rId1"/&gt;</w:t>
      </w:r>
    </w:p>
    <w:p w:rsidR="005F78FC" w:rsidRDefault="00B42EF3">
      <w:pPr>
        <w:pStyle w:val="Code"/>
      </w:pPr>
      <w:r>
        <w:t xml:space="preserve">    &lt;/wne:toolbars&gt;</w:t>
      </w:r>
    </w:p>
    <w:p w:rsidR="005F78FC" w:rsidRDefault="00B42EF3">
      <w:pPr>
        <w:pStyle w:val="Code"/>
      </w:pPr>
      <w:r>
        <w:t>&lt;/wne:tcg&gt;</w:t>
      </w:r>
    </w:p>
    <w:p w:rsidR="005F78FC" w:rsidRDefault="00B42EF3">
      <w:r>
        <w:lastRenderedPageBreak/>
        <w:t>In this example, the Word</w:t>
      </w:r>
      <w:r>
        <w:t xml:space="preserve">processingML describes a single key map customization and customized toolbar information stored in a binary part referenced as </w:t>
      </w:r>
      <w:r>
        <w:rPr>
          <w:rStyle w:val="InlineCode"/>
        </w:rPr>
        <w:t>rId1</w:t>
      </w:r>
      <w:r>
        <w:t>. end example]</w:t>
      </w:r>
    </w:p>
    <w:tbl>
      <w:tblPr>
        <w:tblStyle w:val="Table-ShadedHeader"/>
        <w:tblW w:w="0" w:type="auto"/>
        <w:tblLook w:val="04A0" w:firstRow="1" w:lastRow="0" w:firstColumn="1" w:lastColumn="0" w:noHBand="0" w:noVBand="1"/>
      </w:tblPr>
      <w:tblGrid>
        <w:gridCol w:w="5734"/>
        <w:gridCol w:w="2475"/>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Child Elements</w:t>
            </w:r>
          </w:p>
        </w:tc>
        <w:tc>
          <w:tcPr>
            <w:tcW w:w="0" w:type="auto"/>
            <w:vAlign w:val="center"/>
          </w:tcPr>
          <w:p w:rsidR="005F78FC" w:rsidRDefault="00B42EF3">
            <w:pPr>
              <w:pStyle w:val="TableHeaderText"/>
            </w:pPr>
            <w:r>
              <w:t>Subclause</w:t>
            </w:r>
          </w:p>
        </w:tc>
      </w:tr>
      <w:tr w:rsidR="005F78FC" w:rsidTr="005F78FC">
        <w:tc>
          <w:tcPr>
            <w:tcW w:w="0" w:type="auto"/>
            <w:vAlign w:val="center"/>
          </w:tcPr>
          <w:p w:rsidR="005F78FC" w:rsidRDefault="00B42EF3">
            <w:pPr>
              <w:pStyle w:val="TableBodyText"/>
            </w:pPr>
            <w:r>
              <w:rPr>
                <w:b/>
              </w:rPr>
              <w:t>acds</w:t>
            </w:r>
            <w:r>
              <w:t xml:space="preserve"> (Allocated Commands)</w:t>
            </w:r>
          </w:p>
        </w:tc>
        <w:tc>
          <w:tcPr>
            <w:tcW w:w="0" w:type="auto"/>
            <w:vAlign w:val="center"/>
          </w:tcPr>
          <w:p w:rsidR="005F78FC" w:rsidRDefault="00B42EF3">
            <w:pPr>
              <w:pStyle w:val="TableBodyText"/>
            </w:pPr>
            <w:r>
              <w:t>§</w:t>
            </w:r>
            <w:hyperlink w:anchor="Section_83ec8315581b46899d5e9db1d95ec41f">
              <w:r>
                <w:rPr>
                  <w:rStyle w:val="Hyperlink"/>
                </w:rPr>
                <w:t>3.1.2.1.1.5, acds</w:t>
              </w:r>
            </w:hyperlink>
          </w:p>
        </w:tc>
      </w:tr>
      <w:tr w:rsidR="005F78FC" w:rsidTr="005F78FC">
        <w:tc>
          <w:tcPr>
            <w:tcW w:w="0" w:type="auto"/>
            <w:vAlign w:val="center"/>
          </w:tcPr>
          <w:p w:rsidR="005F78FC" w:rsidRDefault="00B42EF3">
            <w:pPr>
              <w:pStyle w:val="TableBodyText"/>
            </w:pPr>
            <w:r>
              <w:rPr>
                <w:b/>
              </w:rPr>
              <w:t>keymaps</w:t>
            </w:r>
            <w:r>
              <w:t xml:space="preserve"> (Key Map Customizations)</w:t>
            </w:r>
          </w:p>
        </w:tc>
        <w:tc>
          <w:tcPr>
            <w:tcW w:w="0" w:type="auto"/>
            <w:vAlign w:val="center"/>
          </w:tcPr>
          <w:p w:rsidR="005F78FC" w:rsidRDefault="00B42EF3">
            <w:pPr>
              <w:pStyle w:val="TableBodyText"/>
            </w:pPr>
            <w:r>
              <w:t>§</w:t>
            </w:r>
            <w:hyperlink w:anchor="Section_3e58e134a06a484aa45fd1bf83668891">
              <w:r>
                <w:rPr>
                  <w:rStyle w:val="Hyperlink"/>
                </w:rPr>
                <w:t>3.1.2.1.1.9, keymaps</w:t>
              </w:r>
            </w:hyperlink>
          </w:p>
        </w:tc>
      </w:tr>
      <w:tr w:rsidR="005F78FC" w:rsidTr="005F78FC">
        <w:tc>
          <w:tcPr>
            <w:tcW w:w="0" w:type="auto"/>
            <w:vAlign w:val="center"/>
          </w:tcPr>
          <w:p w:rsidR="005F78FC" w:rsidRDefault="00B42EF3">
            <w:pPr>
              <w:pStyle w:val="TableBodyText"/>
            </w:pPr>
            <w:r>
              <w:rPr>
                <w:b/>
              </w:rPr>
              <w:t>keymapsBad</w:t>
            </w:r>
            <w:r>
              <w:t xml:space="preserve"> (Key Map Customizations for Mismatched Keyboards)</w:t>
            </w:r>
          </w:p>
        </w:tc>
        <w:tc>
          <w:tcPr>
            <w:tcW w:w="0" w:type="auto"/>
            <w:vAlign w:val="center"/>
          </w:tcPr>
          <w:p w:rsidR="005F78FC" w:rsidRDefault="00B42EF3">
            <w:pPr>
              <w:pStyle w:val="TableBodyText"/>
            </w:pPr>
            <w:r>
              <w:t>§</w:t>
            </w:r>
            <w:hyperlink w:anchor="Section_c29a6b7a6315489f855aa807e12b712d">
              <w:r>
                <w:rPr>
                  <w:rStyle w:val="Hyperlink"/>
                </w:rPr>
                <w:t>3.1.2.1.1.10, keymapsBad</w:t>
              </w:r>
            </w:hyperlink>
          </w:p>
        </w:tc>
      </w:tr>
      <w:tr w:rsidR="005F78FC" w:rsidTr="005F78FC">
        <w:tc>
          <w:tcPr>
            <w:tcW w:w="0" w:type="auto"/>
            <w:vAlign w:val="center"/>
          </w:tcPr>
          <w:p w:rsidR="005F78FC" w:rsidRDefault="00B42EF3">
            <w:pPr>
              <w:pStyle w:val="TableBodyText"/>
            </w:pPr>
            <w:r>
              <w:rPr>
                <w:b/>
              </w:rPr>
              <w:t>toolbars</w:t>
            </w:r>
            <w:r>
              <w:t xml:space="preserve"> (Legacy Toolbar Customizations)</w:t>
            </w:r>
          </w:p>
        </w:tc>
        <w:tc>
          <w:tcPr>
            <w:tcW w:w="0" w:type="auto"/>
            <w:vAlign w:val="center"/>
          </w:tcPr>
          <w:p w:rsidR="005F78FC" w:rsidRDefault="00B42EF3">
            <w:pPr>
              <w:pStyle w:val="TableBodyText"/>
            </w:pPr>
            <w:r>
              <w:t>§</w:t>
            </w:r>
            <w:hyperlink w:anchor="Section_7c98bf0e4eab43729ae628f1e61e1343">
              <w:r>
                <w:rPr>
                  <w:rStyle w:val="Hyperlink"/>
                </w:rPr>
                <w:t>3.1.2.1.1.14, toolbars</w:t>
              </w:r>
            </w:hyperlink>
          </w:p>
        </w:tc>
      </w:tr>
    </w:tbl>
    <w:p w:rsidR="005F78FC" w:rsidRDefault="005F78FC"/>
    <w:p w:rsidR="005F78FC" w:rsidRDefault="00B42EF3">
      <w:r>
        <w:t xml:space="preserve">The following XML Schema fragment </w:t>
      </w:r>
      <w:r>
        <w:t>defines the contents of this element:</w:t>
      </w:r>
    </w:p>
    <w:p w:rsidR="005F78FC" w:rsidRDefault="00B42EF3">
      <w:pPr>
        <w:pStyle w:val="Code"/>
      </w:pPr>
      <w:r>
        <w:t>&lt;complexType name="CT_Tcg"&gt;</w:t>
      </w:r>
    </w:p>
    <w:p w:rsidR="005F78FC" w:rsidRDefault="00B42EF3">
      <w:pPr>
        <w:pStyle w:val="Code"/>
      </w:pPr>
      <w:r>
        <w:t xml:space="preserve">  &lt;sequence&gt;</w:t>
      </w:r>
    </w:p>
    <w:p w:rsidR="005F78FC" w:rsidRDefault="00B42EF3">
      <w:pPr>
        <w:pStyle w:val="Code"/>
      </w:pPr>
      <w:r>
        <w:t xml:space="preserve">    &lt;element name="keymaps" type="CT_Keymaps" minOccurs="0" maxOccurs="1"/&gt;</w:t>
      </w:r>
    </w:p>
    <w:p w:rsidR="005F78FC" w:rsidRDefault="00B42EF3">
      <w:pPr>
        <w:pStyle w:val="Code"/>
      </w:pPr>
      <w:r>
        <w:t xml:space="preserve">    &lt;element name="keymapsBad" type="CT_Keymaps" minOccurs="0" maxOccurs="1"/&gt;</w:t>
      </w:r>
    </w:p>
    <w:p w:rsidR="005F78FC" w:rsidRDefault="00B42EF3">
      <w:pPr>
        <w:pStyle w:val="Code"/>
      </w:pPr>
      <w:r>
        <w:t xml:space="preserve">    &lt;element name="too</w:t>
      </w:r>
      <w:r>
        <w:t>lbars" type="CT_Toolbars" minOccurs="0" maxOccurs="1"/&gt;</w:t>
      </w:r>
    </w:p>
    <w:p w:rsidR="005F78FC" w:rsidRDefault="00B42EF3">
      <w:pPr>
        <w:pStyle w:val="Code"/>
      </w:pPr>
      <w:r>
        <w:t xml:space="preserve">    &lt;element name="acds" type="CT_Acds" minOccurs="0" maxOccurs="1"/&gt;</w:t>
      </w:r>
    </w:p>
    <w:p w:rsidR="005F78FC" w:rsidRDefault="00B42EF3">
      <w:pPr>
        <w:pStyle w:val="Code"/>
      </w:pPr>
      <w:r>
        <w:t xml:space="preserve">  &lt;/sequence&gt;</w:t>
      </w:r>
    </w:p>
    <w:p w:rsidR="005F78FC" w:rsidRDefault="00B42EF3">
      <w:pPr>
        <w:pStyle w:val="Code"/>
      </w:pPr>
      <w:r>
        <w:t>&lt;/complexType&gt;</w:t>
      </w:r>
    </w:p>
    <w:p w:rsidR="005F78FC" w:rsidRDefault="00B42EF3">
      <w:pPr>
        <w:pStyle w:val="Heading6"/>
      </w:pPr>
      <w:bookmarkStart w:id="3848" w:name="section_8b07e421930a4c87b8f2e9879c6e70f6"/>
      <w:bookmarkStart w:id="3849" w:name="_Toc69879697"/>
      <w:r>
        <w:t>toolbarData (Toolbar data)</w:t>
      </w:r>
      <w:bookmarkEnd w:id="3848"/>
      <w:bookmarkEnd w:id="3849"/>
      <w:r>
        <w:fldChar w:fldCharType="begin"/>
      </w:r>
      <w:r>
        <w:instrText xml:space="preserve"> XE "toolbarData (Toolbar data)" </w:instrText>
      </w:r>
      <w:r>
        <w:fldChar w:fldCharType="end"/>
      </w:r>
    </w:p>
    <w:p w:rsidR="005F78FC" w:rsidRDefault="00B42EF3">
      <w:r>
        <w:t xml:space="preserve">The </w:t>
      </w:r>
      <w:r>
        <w:rPr>
          <w:b/>
        </w:rPr>
        <w:t>toolbarData</w:t>
      </w:r>
      <w:r>
        <w:t xml:space="preserve"> element is used to refe</w:t>
      </w:r>
      <w:r>
        <w:t xml:space="preserve">rence a binary toolbar customization part.  </w:t>
      </w:r>
    </w:p>
    <w:p w:rsidR="005F78FC" w:rsidRDefault="00B42EF3">
      <w:r>
        <w:t>[Example: Consider a document with a toolbar customization:</w:t>
      </w:r>
    </w:p>
    <w:p w:rsidR="005F78FC" w:rsidRDefault="00B42EF3">
      <w:pPr>
        <w:pStyle w:val="Code"/>
      </w:pPr>
      <w:r>
        <w:t>&lt;wne:tcg …&gt;</w:t>
      </w:r>
    </w:p>
    <w:p w:rsidR="005F78FC" w:rsidRDefault="00B42EF3">
      <w:pPr>
        <w:pStyle w:val="Code"/>
      </w:pPr>
      <w:r>
        <w:t xml:space="preserve">    &lt;wne:toolbars&gt;</w:t>
      </w:r>
    </w:p>
    <w:p w:rsidR="005F78FC" w:rsidRDefault="00B42EF3">
      <w:pPr>
        <w:pStyle w:val="Code"/>
      </w:pPr>
      <w:r>
        <w:t xml:space="preserve">        &lt;wne:toolbarData r:id="rId1"/&gt;</w:t>
      </w:r>
    </w:p>
    <w:p w:rsidR="005F78FC" w:rsidRDefault="00B42EF3">
      <w:pPr>
        <w:pStyle w:val="Code"/>
      </w:pPr>
      <w:r>
        <w:t xml:space="preserve">    &lt;/wne:toolbars&gt;</w:t>
      </w:r>
    </w:p>
    <w:p w:rsidR="005F78FC" w:rsidRDefault="00B42EF3">
      <w:pPr>
        <w:pStyle w:val="Code"/>
      </w:pPr>
      <w:r>
        <w:t>&lt;/wne:tcg&gt;</w:t>
      </w:r>
    </w:p>
    <w:p w:rsidR="005F78FC" w:rsidRDefault="00B42EF3">
      <w:r>
        <w:t xml:space="preserve">Where </w:t>
      </w:r>
      <w:r>
        <w:rPr>
          <w:rStyle w:val="InlineCode"/>
        </w:rPr>
        <w:t>rId1</w:t>
      </w:r>
      <w:r>
        <w:t xml:space="preserve"> is defined in customization.xml.rels as:</w:t>
      </w:r>
    </w:p>
    <w:p w:rsidR="005F78FC" w:rsidRDefault="00B42EF3">
      <w:pPr>
        <w:pStyle w:val="Code"/>
      </w:pPr>
      <w:r>
        <w:t>&lt;Relationships …&gt;</w:t>
      </w:r>
    </w:p>
    <w:p w:rsidR="005F78FC" w:rsidRDefault="00B42EF3">
      <w:pPr>
        <w:pStyle w:val="Code"/>
      </w:pPr>
      <w:r>
        <w:t xml:space="preserve">    &lt;Relationship Id="rId1" … Target="attachedToolbars.bin"/&gt;</w:t>
      </w:r>
    </w:p>
    <w:p w:rsidR="005F78FC" w:rsidRDefault="00B42EF3">
      <w:pPr>
        <w:pStyle w:val="Code"/>
      </w:pPr>
      <w:r>
        <w:t>&lt;/Relationships&gt;</w:t>
      </w:r>
    </w:p>
    <w:p w:rsidR="005F78FC" w:rsidRDefault="00B42EF3">
      <w:r>
        <w:t>In this example, the WordprocessingML specifies that the information in the attachedToolbars.bin binary part should b</w:t>
      </w:r>
      <w:r>
        <w:t>e used for toolbar customization purposes. end example]</w:t>
      </w:r>
    </w:p>
    <w:p w:rsidR="005F78FC" w:rsidRDefault="005F78FC"/>
    <w:tbl>
      <w:tblPr>
        <w:tblStyle w:val="Table-ShadedHeader"/>
        <w:tblW w:w="0" w:type="auto"/>
        <w:tblLook w:val="04A0" w:firstRow="1" w:lastRow="0" w:firstColumn="1" w:lastColumn="0" w:noHBand="0" w:noVBand="1"/>
      </w:tblPr>
      <w:tblGrid>
        <w:gridCol w:w="3040"/>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Parent Elements</w:t>
            </w:r>
          </w:p>
        </w:tc>
      </w:tr>
      <w:tr w:rsidR="005F78FC" w:rsidTr="005F78FC">
        <w:tc>
          <w:tcPr>
            <w:tcW w:w="0" w:type="auto"/>
            <w:vAlign w:val="center"/>
          </w:tcPr>
          <w:p w:rsidR="005F78FC" w:rsidRDefault="00B42EF3">
            <w:pPr>
              <w:pStyle w:val="TableBodyText"/>
            </w:pPr>
            <w:r>
              <w:rPr>
                <w:b/>
              </w:rPr>
              <w:t>toolbars</w:t>
            </w:r>
            <w:r>
              <w:t xml:space="preserve"> (§</w:t>
            </w:r>
            <w:hyperlink w:anchor="Section_7c98bf0e4eab43729ae628f1e61e1343">
              <w:r>
                <w:rPr>
                  <w:rStyle w:val="Hyperlink"/>
                </w:rPr>
                <w:t>3.1.2.1.1.14, toolbars</w:t>
              </w:r>
            </w:hyperlink>
            <w:r>
              <w:t>)</w:t>
            </w:r>
          </w:p>
        </w:tc>
      </w:tr>
    </w:tbl>
    <w:p w:rsidR="005F78FC" w:rsidRDefault="005F78FC"/>
    <w:p w:rsidR="005F78FC" w:rsidRDefault="005F78FC"/>
    <w:tbl>
      <w:tblPr>
        <w:tblStyle w:val="Table-ShadedHeader"/>
        <w:tblW w:w="0" w:type="auto"/>
        <w:tblLook w:val="04A0" w:firstRow="1" w:lastRow="0" w:firstColumn="1" w:lastColumn="0" w:noHBand="0" w:noVBand="1"/>
      </w:tblPr>
      <w:tblGrid>
        <w:gridCol w:w="3667"/>
        <w:gridCol w:w="5808"/>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lastRenderedPageBreak/>
              <w:t>Attributes</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rPr>
                <w:b/>
              </w:rPr>
              <w:t>id</w:t>
            </w:r>
            <w:r>
              <w:t xml:space="preserve"> (binary toolbar part relationship identifier)</w:t>
            </w:r>
          </w:p>
          <w:p w:rsidR="005F78FC" w:rsidRDefault="005F78FC">
            <w:pPr>
              <w:pStyle w:val="TableBodyText"/>
            </w:pPr>
          </w:p>
          <w:p w:rsidR="005F78FC" w:rsidRDefault="00B42EF3">
            <w:pPr>
              <w:pStyle w:val="TableBodyText"/>
            </w:pPr>
            <w:r>
              <w:t>Namespace: .../officeDocument/2006/relationships</w:t>
            </w:r>
          </w:p>
        </w:tc>
        <w:tc>
          <w:tcPr>
            <w:tcW w:w="0" w:type="auto"/>
            <w:vAlign w:val="center"/>
          </w:tcPr>
          <w:p w:rsidR="005F78FC" w:rsidRDefault="00B42EF3">
            <w:pPr>
              <w:pStyle w:val="TableBodyText"/>
            </w:pPr>
            <w:r>
              <w:t>Specifies the relationship identifier associated with a binary toolbar customization part as described in the relationships file for the part in which this attribute is used.</w:t>
            </w:r>
          </w:p>
          <w:p w:rsidR="005F78FC" w:rsidRDefault="005F78FC">
            <w:pPr>
              <w:pStyle w:val="TableBodyText"/>
            </w:pPr>
          </w:p>
          <w:p w:rsidR="005F78FC" w:rsidRDefault="00B42EF3">
            <w:pPr>
              <w:pStyle w:val="TableBodyText"/>
            </w:pPr>
            <w:r>
              <w:t>The possible values for this at</w:t>
            </w:r>
            <w:r>
              <w:t>tribute are defined by the ST_RelationshipId simple type ("</w:t>
            </w:r>
            <w:hyperlink r:id="rId288">
              <w:r>
                <w:rPr>
                  <w:rStyle w:val="Hyperlink"/>
                </w:rPr>
                <w:t>[ISO/IEC-29500-1]</w:t>
              </w:r>
            </w:hyperlink>
            <w:r>
              <w:t xml:space="preserve"> §22.8.2.1").</w:t>
            </w:r>
          </w:p>
        </w:tc>
      </w:tr>
    </w:tbl>
    <w:p w:rsidR="005F78FC" w:rsidRDefault="005F78FC"/>
    <w:p w:rsidR="005F78FC" w:rsidRDefault="00B42EF3">
      <w:r>
        <w:t>The following XML Schema fragment defines the contents of this element:</w:t>
      </w:r>
    </w:p>
    <w:p w:rsidR="005F78FC" w:rsidRDefault="00B42EF3">
      <w:pPr>
        <w:pStyle w:val="Code"/>
      </w:pPr>
      <w:r>
        <w:t>&lt;complexType name="CT_Rel"</w:t>
      </w:r>
      <w:r>
        <w:t>&gt;</w:t>
      </w:r>
    </w:p>
    <w:p w:rsidR="005F78FC" w:rsidRDefault="00B42EF3">
      <w:pPr>
        <w:pStyle w:val="Code"/>
      </w:pPr>
      <w:r>
        <w:t xml:space="preserve">  &lt;attribute ref="r:id" use="required"/&gt;</w:t>
      </w:r>
    </w:p>
    <w:p w:rsidR="005F78FC" w:rsidRDefault="00B42EF3">
      <w:pPr>
        <w:pStyle w:val="Code"/>
      </w:pPr>
      <w:r>
        <w:t>&lt;/complexType&gt;</w:t>
      </w:r>
    </w:p>
    <w:p w:rsidR="005F78FC" w:rsidRDefault="00B42EF3">
      <w:pPr>
        <w:pStyle w:val="Heading6"/>
      </w:pPr>
      <w:bookmarkStart w:id="3850" w:name="section_7c98bf0e4eab43729ae628f1e61e1343"/>
      <w:bookmarkStart w:id="3851" w:name="_Toc69879698"/>
      <w:r>
        <w:t>toolbars (Legacy Toolbar Customizations)</w:t>
      </w:r>
      <w:bookmarkEnd w:id="3850"/>
      <w:bookmarkEnd w:id="3851"/>
      <w:r>
        <w:fldChar w:fldCharType="begin"/>
      </w:r>
      <w:r>
        <w:instrText xml:space="preserve"> XE "toolbars (Legacy Toolbar Customizations)" </w:instrText>
      </w:r>
      <w:r>
        <w:fldChar w:fldCharType="end"/>
      </w:r>
    </w:p>
    <w:p w:rsidR="005F78FC" w:rsidRDefault="00B42EF3">
      <w:r>
        <w:t xml:space="preserve">The </w:t>
      </w:r>
      <w:r>
        <w:rPr>
          <w:b/>
        </w:rPr>
        <w:t>toolbars</w:t>
      </w:r>
      <w:r>
        <w:t xml:space="preserve"> element is used as a container for </w:t>
      </w:r>
      <w:r>
        <w:rPr>
          <w:b/>
        </w:rPr>
        <w:t>toolbarData</w:t>
      </w:r>
      <w:r>
        <w:t xml:space="preserve"> and </w:t>
      </w:r>
      <w:r>
        <w:rPr>
          <w:b/>
        </w:rPr>
        <w:t>acdManifest</w:t>
      </w:r>
      <w:r>
        <w:t xml:space="preserve"> elements.</w:t>
      </w:r>
    </w:p>
    <w:tbl>
      <w:tblPr>
        <w:tblStyle w:val="Table-ShadedHeader"/>
        <w:tblW w:w="0" w:type="auto"/>
        <w:tblLook w:val="04A0" w:firstRow="1" w:lastRow="0" w:firstColumn="1" w:lastColumn="0" w:noHBand="0" w:noVBand="1"/>
      </w:tblPr>
      <w:tblGrid>
        <w:gridCol w:w="2176"/>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Parent Elements</w:t>
            </w:r>
          </w:p>
        </w:tc>
      </w:tr>
      <w:tr w:rsidR="005F78FC" w:rsidTr="005F78FC">
        <w:tc>
          <w:tcPr>
            <w:tcW w:w="0" w:type="auto"/>
            <w:vAlign w:val="center"/>
          </w:tcPr>
          <w:p w:rsidR="005F78FC" w:rsidRDefault="00B42EF3">
            <w:pPr>
              <w:pStyle w:val="TableBodyText"/>
            </w:pPr>
            <w:r>
              <w:rPr>
                <w:b/>
              </w:rPr>
              <w:t>tcg</w:t>
            </w:r>
            <w:r>
              <w:t xml:space="preserve"> (§</w:t>
            </w:r>
            <w:hyperlink w:anchor="Section_611795947ec745d68a2df9ece7863986">
              <w:r>
                <w:rPr>
                  <w:rStyle w:val="Hyperlink"/>
                </w:rPr>
                <w:t>3.1.2.1.1.12, tcg</w:t>
              </w:r>
            </w:hyperlink>
            <w:r>
              <w:t>)</w:t>
            </w:r>
          </w:p>
        </w:tc>
      </w:tr>
    </w:tbl>
    <w:p w:rsidR="005F78FC" w:rsidRDefault="005F78FC"/>
    <w:p w:rsidR="005F78FC" w:rsidRDefault="005F78FC"/>
    <w:tbl>
      <w:tblPr>
        <w:tblStyle w:val="Table-ShadedHeader"/>
        <w:tblW w:w="0" w:type="auto"/>
        <w:tblLook w:val="04A0" w:firstRow="1" w:lastRow="0" w:firstColumn="1" w:lastColumn="0" w:noHBand="0" w:noVBand="1"/>
      </w:tblPr>
      <w:tblGrid>
        <w:gridCol w:w="3849"/>
        <w:gridCol w:w="2393"/>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Child Elements</w:t>
            </w:r>
          </w:p>
        </w:tc>
        <w:tc>
          <w:tcPr>
            <w:tcW w:w="0" w:type="auto"/>
            <w:vAlign w:val="center"/>
          </w:tcPr>
          <w:p w:rsidR="005F78FC" w:rsidRDefault="00B42EF3">
            <w:pPr>
              <w:pStyle w:val="TableHeaderText"/>
            </w:pPr>
            <w:r>
              <w:t>Subclause</w:t>
            </w:r>
          </w:p>
        </w:tc>
      </w:tr>
      <w:tr w:rsidR="005F78FC" w:rsidTr="005F78FC">
        <w:tc>
          <w:tcPr>
            <w:tcW w:w="0" w:type="auto"/>
            <w:vAlign w:val="center"/>
          </w:tcPr>
          <w:p w:rsidR="005F78FC" w:rsidRDefault="00B42EF3">
            <w:pPr>
              <w:pStyle w:val="TableBodyText"/>
            </w:pPr>
            <w:r>
              <w:rPr>
                <w:b/>
              </w:rPr>
              <w:t>acdManifest</w:t>
            </w:r>
            <w:r>
              <w:t xml:space="preserve"> (Allocated Command Manifest)</w:t>
            </w:r>
          </w:p>
        </w:tc>
        <w:tc>
          <w:tcPr>
            <w:tcW w:w="0" w:type="auto"/>
            <w:vAlign w:val="center"/>
          </w:tcPr>
          <w:p w:rsidR="005F78FC" w:rsidRDefault="00B42EF3">
            <w:pPr>
              <w:pStyle w:val="TableBodyText"/>
            </w:pPr>
            <w:r>
              <w:t>§</w:t>
            </w:r>
            <w:hyperlink w:anchor="Section_196c6a38f97a4a93a3a1121090157f0b">
              <w:r>
                <w:rPr>
                  <w:rStyle w:val="Hyperlink"/>
                </w:rPr>
                <w:t>3.1.2.1.1.4, acdManifest</w:t>
              </w:r>
            </w:hyperlink>
          </w:p>
        </w:tc>
      </w:tr>
      <w:tr w:rsidR="005F78FC" w:rsidTr="005F78FC">
        <w:tc>
          <w:tcPr>
            <w:tcW w:w="0" w:type="auto"/>
            <w:vAlign w:val="center"/>
          </w:tcPr>
          <w:p w:rsidR="005F78FC" w:rsidRDefault="00B42EF3">
            <w:pPr>
              <w:pStyle w:val="TableBodyText"/>
            </w:pPr>
            <w:r>
              <w:rPr>
                <w:b/>
              </w:rPr>
              <w:t>toolbarData</w:t>
            </w:r>
            <w:r>
              <w:t xml:space="preserve"> (Toolbar data)</w:t>
            </w:r>
          </w:p>
        </w:tc>
        <w:tc>
          <w:tcPr>
            <w:tcW w:w="0" w:type="auto"/>
            <w:vAlign w:val="center"/>
          </w:tcPr>
          <w:p w:rsidR="005F78FC" w:rsidRDefault="00B42EF3">
            <w:pPr>
              <w:pStyle w:val="TableBodyText"/>
            </w:pPr>
            <w:r>
              <w:t>§</w:t>
            </w:r>
            <w:hyperlink w:anchor="Section_8b07e421930a4c87b8f2e9879c6e70f6">
              <w:r>
                <w:rPr>
                  <w:rStyle w:val="Hyperlink"/>
                </w:rPr>
                <w:t>3.1.2.1.1.13, toolbarData</w:t>
              </w:r>
            </w:hyperlink>
          </w:p>
        </w:tc>
      </w:tr>
    </w:tbl>
    <w:p w:rsidR="005F78FC" w:rsidRDefault="005F78FC"/>
    <w:p w:rsidR="005F78FC" w:rsidRDefault="00B42EF3">
      <w:r>
        <w:t>The following XML Schema fragment defines the contents of this element:</w:t>
      </w:r>
    </w:p>
    <w:p w:rsidR="005F78FC" w:rsidRDefault="00B42EF3">
      <w:pPr>
        <w:pStyle w:val="Code"/>
      </w:pPr>
      <w:r>
        <w:t>&lt;complexType name="CT_Toolbars"&gt;</w:t>
      </w:r>
    </w:p>
    <w:p w:rsidR="005F78FC" w:rsidRDefault="00B42EF3">
      <w:pPr>
        <w:pStyle w:val="Code"/>
      </w:pPr>
      <w:r>
        <w:t xml:space="preserve">  &lt;sequence&gt;</w:t>
      </w:r>
    </w:p>
    <w:p w:rsidR="005F78FC" w:rsidRDefault="00B42EF3">
      <w:pPr>
        <w:pStyle w:val="Code"/>
      </w:pPr>
      <w:r>
        <w:t xml:space="preserve">    &lt;element name="acdManifest</w:t>
      </w:r>
      <w:r>
        <w:t>" minOccurs="0" maxOccurs="1" type="CT_AcdManifest"/&gt;</w:t>
      </w:r>
    </w:p>
    <w:p w:rsidR="005F78FC" w:rsidRDefault="00B42EF3">
      <w:pPr>
        <w:pStyle w:val="Code"/>
      </w:pPr>
      <w:r>
        <w:t xml:space="preserve">    &lt;element name="toolbarData" minOccurs="0" maxOccurs="1" type="CT_Rel"/&gt;</w:t>
      </w:r>
    </w:p>
    <w:p w:rsidR="005F78FC" w:rsidRDefault="00B42EF3">
      <w:pPr>
        <w:pStyle w:val="Code"/>
      </w:pPr>
      <w:r>
        <w:t xml:space="preserve">  &lt;/sequence&gt;</w:t>
      </w:r>
    </w:p>
    <w:p w:rsidR="005F78FC" w:rsidRDefault="00B42EF3">
      <w:pPr>
        <w:pStyle w:val="Code"/>
      </w:pPr>
      <w:r>
        <w:t>&lt;/complexType&gt;</w:t>
      </w:r>
    </w:p>
    <w:p w:rsidR="005F78FC" w:rsidRDefault="00B42EF3">
      <w:pPr>
        <w:pStyle w:val="Heading6"/>
      </w:pPr>
      <w:bookmarkStart w:id="3852" w:name="section_342bac6cb42c45d7aae0b30f39357bc9"/>
      <w:bookmarkStart w:id="3853" w:name="_Toc69879699"/>
      <w:r>
        <w:t>wch (Character Insertion Keyboard Customization Action)</w:t>
      </w:r>
      <w:bookmarkEnd w:id="3852"/>
      <w:bookmarkEnd w:id="3853"/>
      <w:r>
        <w:fldChar w:fldCharType="begin"/>
      </w:r>
      <w:r>
        <w:instrText xml:space="preserve"> XE "wch (Character Insertion Keyboard Cus</w:instrText>
      </w:r>
      <w:r>
        <w:instrText xml:space="preserve">tomization Action)" </w:instrText>
      </w:r>
      <w:r>
        <w:fldChar w:fldCharType="end"/>
      </w:r>
    </w:p>
    <w:p w:rsidR="005F78FC" w:rsidRDefault="00B42EF3">
      <w:r>
        <w:t>This element specifies that the action for an enclosed key map is to insert a certain character into the document.</w:t>
      </w:r>
    </w:p>
    <w:p w:rsidR="005F78FC" w:rsidRDefault="00B42EF3">
      <w:r>
        <w:t>[Example: Consider the following key map:</w:t>
      </w:r>
    </w:p>
    <w:p w:rsidR="005F78FC" w:rsidRDefault="00B42EF3">
      <w:pPr>
        <w:pStyle w:val="Code"/>
      </w:pPr>
      <w:r>
        <w:t xml:space="preserve">   &lt;wne:keymap wne:kcmPrimary="0237"&gt;</w:t>
      </w:r>
    </w:p>
    <w:p w:rsidR="005F78FC" w:rsidRDefault="00B42EF3">
      <w:pPr>
        <w:pStyle w:val="Code"/>
      </w:pPr>
      <w:r>
        <w:t xml:space="preserve">    &lt;wne:wch wne:val="000020AC" /&gt;</w:t>
      </w:r>
    </w:p>
    <w:p w:rsidR="005F78FC" w:rsidRDefault="00B42EF3">
      <w:pPr>
        <w:pStyle w:val="Code"/>
      </w:pPr>
      <w:r>
        <w:t xml:space="preserve"> &lt;/</w:t>
      </w:r>
      <w:r>
        <w:t>wne:keymap&gt;</w:t>
      </w:r>
    </w:p>
    <w:p w:rsidR="005F78FC" w:rsidRDefault="00B42EF3">
      <w:r>
        <w:lastRenderedPageBreak/>
        <w:t xml:space="preserve">In this example, the WordprocessingML fragment specifies that pressing Control-7 (represented by KCM </w:t>
      </w:r>
      <w:r>
        <w:rPr>
          <w:rStyle w:val="InlineCode"/>
        </w:rPr>
        <w:t>0237</w:t>
      </w:r>
      <w:r>
        <w:t xml:space="preserve">) shall insert the Euro currency symbol (€, represented by the hexadecimal-encoded 4-byte Unicode of </w:t>
      </w:r>
      <w:r>
        <w:rPr>
          <w:rStyle w:val="InlineCode"/>
        </w:rPr>
        <w:t>000020AC</w:t>
      </w:r>
      <w:r>
        <w:t>). end example]</w:t>
      </w:r>
    </w:p>
    <w:tbl>
      <w:tblPr>
        <w:tblStyle w:val="Table-ShadedHeader"/>
        <w:tblW w:w="0" w:type="auto"/>
        <w:tblLook w:val="04A0" w:firstRow="1" w:lastRow="0" w:firstColumn="1" w:lastColumn="0" w:noHBand="0" w:noVBand="1"/>
      </w:tblPr>
      <w:tblGrid>
        <w:gridCol w:w="2891"/>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Parent Element</w:t>
            </w:r>
            <w:r>
              <w:t>s</w:t>
            </w:r>
          </w:p>
        </w:tc>
      </w:tr>
      <w:tr w:rsidR="005F78FC" w:rsidTr="005F78FC">
        <w:tc>
          <w:tcPr>
            <w:tcW w:w="0" w:type="auto"/>
            <w:vAlign w:val="center"/>
          </w:tcPr>
          <w:p w:rsidR="005F78FC" w:rsidRDefault="00B42EF3">
            <w:pPr>
              <w:pStyle w:val="TableBodyText"/>
            </w:pPr>
            <w:r>
              <w:rPr>
                <w:b/>
              </w:rPr>
              <w:t>keymap</w:t>
            </w:r>
            <w:r>
              <w:t xml:space="preserve"> (§</w:t>
            </w:r>
            <w:hyperlink w:anchor="Section_d44dbd45cbbb4efba0903a85141d00fc">
              <w:r>
                <w:rPr>
                  <w:rStyle w:val="Hyperlink"/>
                </w:rPr>
                <w:t>3.1.2.1.1.8, keymap</w:t>
              </w:r>
            </w:hyperlink>
            <w:r>
              <w:t>)</w:t>
            </w:r>
          </w:p>
        </w:tc>
      </w:tr>
    </w:tbl>
    <w:p w:rsidR="005F78FC" w:rsidRDefault="005F78FC"/>
    <w:p w:rsidR="005F78FC" w:rsidRDefault="005F78FC"/>
    <w:tbl>
      <w:tblPr>
        <w:tblStyle w:val="Table-ShadedHeader"/>
        <w:tblW w:w="0" w:type="auto"/>
        <w:tblLook w:val="04A0" w:firstRow="1" w:lastRow="0" w:firstColumn="1" w:lastColumn="0" w:noHBand="0" w:noVBand="1"/>
      </w:tblPr>
      <w:tblGrid>
        <w:gridCol w:w="1847"/>
        <w:gridCol w:w="7628"/>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Attributes</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rPr>
                <w:b/>
              </w:rPr>
              <w:t>val</w:t>
            </w:r>
            <w:r>
              <w:t xml:space="preserve"> (character to insert)</w:t>
            </w:r>
          </w:p>
        </w:tc>
        <w:tc>
          <w:tcPr>
            <w:tcW w:w="0" w:type="auto"/>
            <w:vAlign w:val="center"/>
          </w:tcPr>
          <w:p w:rsidR="005F78FC" w:rsidRDefault="00B42EF3">
            <w:pPr>
              <w:pStyle w:val="TableBodyText"/>
            </w:pPr>
            <w:r>
              <w:t xml:space="preserve">This attribute specifies the hexadecimal encoded 4-byte Unicode character that should be inserted into the </w:t>
            </w:r>
            <w:r>
              <w:t>document.</w:t>
            </w:r>
          </w:p>
          <w:p w:rsidR="005F78FC" w:rsidRDefault="005F78FC">
            <w:pPr>
              <w:pStyle w:val="TableBodyText"/>
            </w:pPr>
          </w:p>
          <w:p w:rsidR="005F78FC" w:rsidRDefault="00B42EF3">
            <w:pPr>
              <w:pStyle w:val="TableBodyText"/>
            </w:pPr>
            <w:r>
              <w:t>The possible values for this attribute are defined by the ST_LongHexNumber simple type (§</w:t>
            </w:r>
            <w:hyperlink w:anchor="Section_3050d73125fe410bb51ffd10c3d03b78">
              <w:r>
                <w:rPr>
                  <w:rStyle w:val="Hyperlink"/>
                </w:rPr>
                <w:t>3.1.2.3.2, ST_LongHexNumber</w:t>
              </w:r>
            </w:hyperlink>
            <w:r>
              <w:t>).</w:t>
            </w:r>
          </w:p>
        </w:tc>
      </w:tr>
    </w:tbl>
    <w:p w:rsidR="005F78FC" w:rsidRDefault="005F78FC"/>
    <w:p w:rsidR="005F78FC" w:rsidRDefault="00B42EF3">
      <w:r>
        <w:t xml:space="preserve">The following XML Schema fragment defines the contents of </w:t>
      </w:r>
      <w:r>
        <w:t>this element:</w:t>
      </w:r>
    </w:p>
    <w:p w:rsidR="005F78FC" w:rsidRDefault="00B42EF3">
      <w:pPr>
        <w:pStyle w:val="Code"/>
      </w:pPr>
      <w:r>
        <w:t>&lt;complexType name="CT_LongHexNumber"&gt;</w:t>
      </w:r>
    </w:p>
    <w:p w:rsidR="005F78FC" w:rsidRDefault="00B42EF3">
      <w:pPr>
        <w:pStyle w:val="Code"/>
      </w:pPr>
      <w:r>
        <w:t xml:space="preserve">  &lt;attribute name="val" type="ST_LongHexNumber" use="required"/&gt;</w:t>
      </w:r>
    </w:p>
    <w:p w:rsidR="005F78FC" w:rsidRDefault="00B42EF3">
      <w:pPr>
        <w:pStyle w:val="Code"/>
      </w:pPr>
      <w:r>
        <w:t>&lt;/complexType&gt;</w:t>
      </w:r>
    </w:p>
    <w:p w:rsidR="005F78FC" w:rsidRDefault="00B42EF3">
      <w:pPr>
        <w:pStyle w:val="Heading6"/>
      </w:pPr>
      <w:bookmarkStart w:id="3854" w:name="section_bba0329034324d19ba214baa0944d9de"/>
      <w:bookmarkStart w:id="3855" w:name="_Toc69879700"/>
      <w:r>
        <w:t>wll (WLL Macro Keyboard Customization Action)</w:t>
      </w:r>
      <w:bookmarkEnd w:id="3854"/>
      <w:bookmarkEnd w:id="3855"/>
      <w:r>
        <w:fldChar w:fldCharType="begin"/>
      </w:r>
      <w:r>
        <w:instrText xml:space="preserve"> XE "wll (WLL Macro Keyboard Customization Action)" </w:instrText>
      </w:r>
      <w:r>
        <w:fldChar w:fldCharType="end"/>
      </w:r>
    </w:p>
    <w:p w:rsidR="005F78FC" w:rsidRDefault="00B42EF3">
      <w:r>
        <w:t>This element specifies t</w:t>
      </w:r>
      <w:r>
        <w:t>hat a macro defined in a WLL (a legacy Word DLL add-in) should be run by the enclosing key map.</w:t>
      </w:r>
    </w:p>
    <w:tbl>
      <w:tblPr>
        <w:tblStyle w:val="Table-ShadedHeader"/>
        <w:tblW w:w="0" w:type="auto"/>
        <w:tblLook w:val="04A0" w:firstRow="1" w:lastRow="0" w:firstColumn="1" w:lastColumn="0" w:noHBand="0" w:noVBand="1"/>
      </w:tblPr>
      <w:tblGrid>
        <w:gridCol w:w="2891"/>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Parent Elements</w:t>
            </w:r>
          </w:p>
        </w:tc>
      </w:tr>
      <w:tr w:rsidR="005F78FC" w:rsidTr="005F78FC">
        <w:tc>
          <w:tcPr>
            <w:tcW w:w="0" w:type="auto"/>
            <w:vAlign w:val="center"/>
          </w:tcPr>
          <w:p w:rsidR="005F78FC" w:rsidRDefault="00B42EF3">
            <w:pPr>
              <w:pStyle w:val="TableBodyText"/>
            </w:pPr>
            <w:r>
              <w:rPr>
                <w:b/>
              </w:rPr>
              <w:t>keymap</w:t>
            </w:r>
            <w:r>
              <w:t xml:space="preserve"> (§</w:t>
            </w:r>
            <w:hyperlink w:anchor="Section_d44dbd45cbbb4efba0903a85141d00fc">
              <w:r>
                <w:rPr>
                  <w:rStyle w:val="Hyperlink"/>
                </w:rPr>
                <w:t>3.1.2.1.1.8, keymap</w:t>
              </w:r>
            </w:hyperlink>
            <w:r>
              <w:t>)</w:t>
            </w:r>
          </w:p>
        </w:tc>
      </w:tr>
    </w:tbl>
    <w:p w:rsidR="005F78FC" w:rsidRDefault="005F78FC"/>
    <w:p w:rsidR="005F78FC" w:rsidRDefault="005F78FC"/>
    <w:tbl>
      <w:tblPr>
        <w:tblStyle w:val="Table-ShadedHeader"/>
        <w:tblW w:w="0" w:type="auto"/>
        <w:tblLook w:val="04A0" w:firstRow="1" w:lastRow="0" w:firstColumn="1" w:lastColumn="0" w:noHBand="0" w:noVBand="1"/>
      </w:tblPr>
      <w:tblGrid>
        <w:gridCol w:w="2274"/>
        <w:gridCol w:w="7201"/>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Attributes</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rPr>
                <w:b/>
              </w:rPr>
              <w:t>macroName</w:t>
            </w:r>
            <w:r>
              <w:t xml:space="preserve"> (Macro name)</w:t>
            </w:r>
          </w:p>
        </w:tc>
        <w:tc>
          <w:tcPr>
            <w:tcW w:w="0" w:type="auto"/>
            <w:vAlign w:val="center"/>
          </w:tcPr>
          <w:p w:rsidR="005F78FC" w:rsidRDefault="00B42EF3">
            <w:pPr>
              <w:pStyle w:val="TableBodyText"/>
            </w:pPr>
            <w:r>
              <w:t>Specifies the name of the macro to run.</w:t>
            </w:r>
          </w:p>
          <w:p w:rsidR="005F78FC" w:rsidRDefault="005F78FC">
            <w:pPr>
              <w:pStyle w:val="TableBodyText"/>
            </w:pPr>
          </w:p>
          <w:p w:rsidR="005F78FC" w:rsidRDefault="00B42EF3">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bl>
    <w:p w:rsidR="005F78FC" w:rsidRDefault="005F78FC"/>
    <w:p w:rsidR="005F78FC" w:rsidRDefault="00B42EF3">
      <w:r>
        <w:t>The following XML Schema fragment defines the</w:t>
      </w:r>
      <w:r>
        <w:t xml:space="preserve"> contents of this element:</w:t>
      </w:r>
    </w:p>
    <w:p w:rsidR="005F78FC" w:rsidRDefault="00B42EF3">
      <w:pPr>
        <w:pStyle w:val="Code"/>
      </w:pPr>
      <w:r>
        <w:t>&lt;complexType name="CT_MacroWll"&gt;</w:t>
      </w:r>
    </w:p>
    <w:p w:rsidR="005F78FC" w:rsidRDefault="00B42EF3">
      <w:pPr>
        <w:pStyle w:val="Code"/>
      </w:pPr>
      <w:r>
        <w:t xml:space="preserve">  &lt;attribute name="macroName" type="ST_String" use="required"/&gt;</w:t>
      </w:r>
    </w:p>
    <w:p w:rsidR="005F78FC" w:rsidRDefault="00B42EF3">
      <w:pPr>
        <w:pStyle w:val="Code"/>
      </w:pPr>
      <w:r>
        <w:t>&lt;/complexType&gt;</w:t>
      </w:r>
    </w:p>
    <w:p w:rsidR="005F78FC" w:rsidRDefault="00B42EF3">
      <w:pPr>
        <w:pStyle w:val="Heading5"/>
      </w:pPr>
      <w:bookmarkStart w:id="3856" w:name="section_1ecf33cf360145f089fb0ab824739343"/>
      <w:bookmarkStart w:id="3857" w:name="_Toc69879701"/>
      <w:r>
        <w:lastRenderedPageBreak/>
        <w:t>Fixed Commands</w:t>
      </w:r>
      <w:bookmarkEnd w:id="3856"/>
      <w:bookmarkEnd w:id="3857"/>
      <w:r>
        <w:fldChar w:fldCharType="begin"/>
      </w:r>
      <w:r>
        <w:instrText xml:space="preserve"> XE "Fixed Commands" </w:instrText>
      </w:r>
      <w:r>
        <w:fldChar w:fldCharType="end"/>
      </w:r>
    </w:p>
    <w:p w:rsidR="005F78FC" w:rsidRDefault="00B42EF3">
      <w:r>
        <w:t>Commands can be identified either by a name or by an index.</w:t>
      </w:r>
    </w:p>
    <w:tbl>
      <w:tblPr>
        <w:tblStyle w:val="Table-ShadedHeader"/>
        <w:tblW w:w="0" w:type="auto"/>
        <w:tblLook w:val="04A0" w:firstRow="1" w:lastRow="0" w:firstColumn="1" w:lastColumn="0" w:noHBand="0" w:noVBand="1"/>
      </w:tblPr>
      <w:tblGrid>
        <w:gridCol w:w="3569"/>
        <w:gridCol w:w="2247"/>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Fixed Command Name</w:t>
            </w:r>
          </w:p>
        </w:tc>
        <w:tc>
          <w:tcPr>
            <w:tcW w:w="0" w:type="auto"/>
            <w:vAlign w:val="center"/>
          </w:tcPr>
          <w:p w:rsidR="005F78FC" w:rsidRDefault="00B42EF3">
            <w:pPr>
              <w:pStyle w:val="TableHeaderText"/>
            </w:pPr>
            <w:r>
              <w:t>Fixed Command Index</w:t>
            </w:r>
          </w:p>
        </w:tc>
      </w:tr>
      <w:tr w:rsidR="005F78FC" w:rsidTr="005F78FC">
        <w:tc>
          <w:tcPr>
            <w:tcW w:w="0" w:type="auto"/>
            <w:vAlign w:val="center"/>
          </w:tcPr>
          <w:p w:rsidR="005F78FC" w:rsidRDefault="00B42EF3">
            <w:pPr>
              <w:pStyle w:val="TableBodyText"/>
            </w:pPr>
            <w:r>
              <w:t>AcceptAllChangesInDoc</w:t>
            </w:r>
          </w:p>
        </w:tc>
        <w:tc>
          <w:tcPr>
            <w:tcW w:w="0" w:type="auto"/>
            <w:vAlign w:val="center"/>
          </w:tcPr>
          <w:p w:rsidR="005F78FC" w:rsidRDefault="00B42EF3">
            <w:pPr>
              <w:pStyle w:val="TableBodyText"/>
            </w:pPr>
            <w:r>
              <w:t>0511</w:t>
            </w:r>
          </w:p>
        </w:tc>
      </w:tr>
      <w:tr w:rsidR="005F78FC" w:rsidTr="005F78FC">
        <w:tc>
          <w:tcPr>
            <w:tcW w:w="0" w:type="auto"/>
            <w:vAlign w:val="center"/>
          </w:tcPr>
          <w:p w:rsidR="005F78FC" w:rsidRDefault="00B42EF3">
            <w:pPr>
              <w:pStyle w:val="TableBodyText"/>
            </w:pPr>
            <w:r>
              <w:t>AcceptAllChangesShown</w:t>
            </w:r>
          </w:p>
        </w:tc>
        <w:tc>
          <w:tcPr>
            <w:tcW w:w="0" w:type="auto"/>
            <w:vAlign w:val="center"/>
          </w:tcPr>
          <w:p w:rsidR="005F78FC" w:rsidRDefault="00B42EF3">
            <w:pPr>
              <w:pStyle w:val="TableBodyText"/>
            </w:pPr>
            <w:r>
              <w:t>0510</w:t>
            </w:r>
          </w:p>
        </w:tc>
      </w:tr>
      <w:tr w:rsidR="005F78FC" w:rsidTr="005F78FC">
        <w:tc>
          <w:tcPr>
            <w:tcW w:w="0" w:type="auto"/>
            <w:vAlign w:val="center"/>
          </w:tcPr>
          <w:p w:rsidR="005F78FC" w:rsidRDefault="00B42EF3">
            <w:pPr>
              <w:pStyle w:val="TableBodyText"/>
            </w:pPr>
            <w:r>
              <w:t>AcceptChangesAndAdvance</w:t>
            </w:r>
          </w:p>
        </w:tc>
        <w:tc>
          <w:tcPr>
            <w:tcW w:w="0" w:type="auto"/>
            <w:vAlign w:val="center"/>
          </w:tcPr>
          <w:p w:rsidR="005F78FC" w:rsidRDefault="00B42EF3">
            <w:pPr>
              <w:pStyle w:val="TableBodyText"/>
            </w:pPr>
            <w:r>
              <w:t>0837</w:t>
            </w:r>
          </w:p>
        </w:tc>
      </w:tr>
      <w:tr w:rsidR="005F78FC" w:rsidTr="005F78FC">
        <w:tc>
          <w:tcPr>
            <w:tcW w:w="0" w:type="auto"/>
            <w:vAlign w:val="center"/>
          </w:tcPr>
          <w:p w:rsidR="005F78FC" w:rsidRDefault="00B42EF3">
            <w:pPr>
              <w:pStyle w:val="TableBodyText"/>
            </w:pPr>
            <w:r>
              <w:t>AcceptChangesOrAdvance</w:t>
            </w:r>
          </w:p>
        </w:tc>
        <w:tc>
          <w:tcPr>
            <w:tcW w:w="0" w:type="auto"/>
            <w:vAlign w:val="center"/>
          </w:tcPr>
          <w:p w:rsidR="005F78FC" w:rsidRDefault="00B42EF3">
            <w:pPr>
              <w:pStyle w:val="TableBodyText"/>
            </w:pPr>
            <w:r>
              <w:t>0989</w:t>
            </w:r>
          </w:p>
        </w:tc>
      </w:tr>
      <w:tr w:rsidR="005F78FC" w:rsidTr="005F78FC">
        <w:tc>
          <w:tcPr>
            <w:tcW w:w="0" w:type="auto"/>
            <w:vAlign w:val="center"/>
          </w:tcPr>
          <w:p w:rsidR="005F78FC" w:rsidRDefault="00B42EF3">
            <w:pPr>
              <w:pStyle w:val="TableBodyText"/>
            </w:pPr>
            <w:r>
              <w:t>AcceptChangesSelected</w:t>
            </w:r>
          </w:p>
        </w:tc>
        <w:tc>
          <w:tcPr>
            <w:tcW w:w="0" w:type="auto"/>
            <w:vAlign w:val="center"/>
          </w:tcPr>
          <w:p w:rsidR="005F78FC" w:rsidRDefault="00B42EF3">
            <w:pPr>
              <w:pStyle w:val="TableBodyText"/>
            </w:pPr>
            <w:r>
              <w:t>050F</w:t>
            </w:r>
          </w:p>
        </w:tc>
      </w:tr>
      <w:tr w:rsidR="005F78FC" w:rsidTr="005F78FC">
        <w:tc>
          <w:tcPr>
            <w:tcW w:w="0" w:type="auto"/>
            <w:vAlign w:val="center"/>
          </w:tcPr>
          <w:p w:rsidR="005F78FC" w:rsidRDefault="00B42EF3">
            <w:pPr>
              <w:pStyle w:val="TableBodyText"/>
            </w:pPr>
            <w:r>
              <w:t>ActivateObject</w:t>
            </w:r>
          </w:p>
        </w:tc>
        <w:tc>
          <w:tcPr>
            <w:tcW w:w="0" w:type="auto"/>
            <w:vAlign w:val="center"/>
          </w:tcPr>
          <w:p w:rsidR="005F78FC" w:rsidRDefault="00B42EF3">
            <w:pPr>
              <w:pStyle w:val="TableBodyText"/>
            </w:pPr>
            <w:r>
              <w:t>007E</w:t>
            </w:r>
          </w:p>
        </w:tc>
      </w:tr>
      <w:tr w:rsidR="005F78FC" w:rsidTr="005F78FC">
        <w:tc>
          <w:tcPr>
            <w:tcW w:w="0" w:type="auto"/>
            <w:vAlign w:val="center"/>
          </w:tcPr>
          <w:p w:rsidR="005F78FC" w:rsidRDefault="00B42EF3">
            <w:pPr>
              <w:pStyle w:val="TableBodyText"/>
            </w:pPr>
            <w:r>
              <w:t>AddDigitalSignature</w:t>
            </w:r>
          </w:p>
        </w:tc>
        <w:tc>
          <w:tcPr>
            <w:tcW w:w="0" w:type="auto"/>
            <w:vAlign w:val="center"/>
          </w:tcPr>
          <w:p w:rsidR="005F78FC" w:rsidRDefault="00B42EF3">
            <w:pPr>
              <w:pStyle w:val="TableBodyText"/>
            </w:pPr>
            <w:r>
              <w:t>0845</w:t>
            </w:r>
          </w:p>
        </w:tc>
      </w:tr>
      <w:tr w:rsidR="005F78FC" w:rsidTr="005F78FC">
        <w:tc>
          <w:tcPr>
            <w:tcW w:w="0" w:type="auto"/>
            <w:vAlign w:val="center"/>
          </w:tcPr>
          <w:p w:rsidR="005F78FC" w:rsidRDefault="00B42EF3">
            <w:pPr>
              <w:pStyle w:val="TableBodyText"/>
            </w:pPr>
            <w:r>
              <w:t>AddToContacts</w:t>
            </w:r>
          </w:p>
        </w:tc>
        <w:tc>
          <w:tcPr>
            <w:tcW w:w="0" w:type="auto"/>
            <w:vAlign w:val="center"/>
          </w:tcPr>
          <w:p w:rsidR="005F78FC" w:rsidRDefault="00B42EF3">
            <w:pPr>
              <w:pStyle w:val="TableBodyText"/>
            </w:pPr>
            <w:r>
              <w:t>087C</w:t>
            </w:r>
          </w:p>
        </w:tc>
      </w:tr>
      <w:tr w:rsidR="005F78FC" w:rsidTr="005F78FC">
        <w:tc>
          <w:tcPr>
            <w:tcW w:w="0" w:type="auto"/>
            <w:vAlign w:val="center"/>
          </w:tcPr>
          <w:p w:rsidR="005F78FC" w:rsidRDefault="00B42EF3">
            <w:pPr>
              <w:pStyle w:val="TableBodyText"/>
            </w:pPr>
            <w:r>
              <w:t>AdjustListIndents</w:t>
            </w:r>
          </w:p>
        </w:tc>
        <w:tc>
          <w:tcPr>
            <w:tcW w:w="0" w:type="auto"/>
            <w:vAlign w:val="center"/>
          </w:tcPr>
          <w:p w:rsidR="005F78FC" w:rsidRDefault="00B42EF3">
            <w:pPr>
              <w:pStyle w:val="TableBodyText"/>
            </w:pPr>
            <w:r>
              <w:t>0778</w:t>
            </w:r>
          </w:p>
        </w:tc>
      </w:tr>
      <w:tr w:rsidR="005F78FC" w:rsidTr="005F78FC">
        <w:tc>
          <w:tcPr>
            <w:tcW w:w="0" w:type="auto"/>
            <w:vAlign w:val="center"/>
          </w:tcPr>
          <w:p w:rsidR="005F78FC" w:rsidRDefault="00B42EF3">
            <w:pPr>
              <w:pStyle w:val="TableBodyText"/>
            </w:pPr>
            <w:r>
              <w:t>AdvancedBrightnessContrast</w:t>
            </w:r>
          </w:p>
        </w:tc>
        <w:tc>
          <w:tcPr>
            <w:tcW w:w="0" w:type="auto"/>
            <w:vAlign w:val="center"/>
          </w:tcPr>
          <w:p w:rsidR="005F78FC" w:rsidRDefault="00B42EF3">
            <w:pPr>
              <w:pStyle w:val="TableBodyText"/>
            </w:pPr>
            <w:r>
              <w:t>08C5</w:t>
            </w:r>
          </w:p>
        </w:tc>
      </w:tr>
      <w:tr w:rsidR="005F78FC" w:rsidTr="005F78FC">
        <w:tc>
          <w:tcPr>
            <w:tcW w:w="0" w:type="auto"/>
            <w:vAlign w:val="center"/>
          </w:tcPr>
          <w:p w:rsidR="005F78FC" w:rsidRDefault="00B42EF3">
            <w:pPr>
              <w:pStyle w:val="TableBodyText"/>
            </w:pPr>
            <w:r>
              <w:t>AdvertisePublishAs</w:t>
            </w:r>
          </w:p>
        </w:tc>
        <w:tc>
          <w:tcPr>
            <w:tcW w:w="0" w:type="auto"/>
            <w:vAlign w:val="center"/>
          </w:tcPr>
          <w:p w:rsidR="005F78FC" w:rsidRDefault="00B42EF3">
            <w:pPr>
              <w:pStyle w:val="TableBodyText"/>
            </w:pPr>
            <w:r>
              <w:t>0790</w:t>
            </w:r>
          </w:p>
        </w:tc>
      </w:tr>
      <w:tr w:rsidR="005F78FC" w:rsidTr="005F78FC">
        <w:tc>
          <w:tcPr>
            <w:tcW w:w="0" w:type="auto"/>
            <w:vAlign w:val="center"/>
          </w:tcPr>
          <w:p w:rsidR="005F78FC" w:rsidRDefault="00B42EF3">
            <w:pPr>
              <w:pStyle w:val="TableBodyText"/>
            </w:pPr>
            <w:r>
              <w:t>AlignBottom</w:t>
            </w:r>
          </w:p>
        </w:tc>
        <w:tc>
          <w:tcPr>
            <w:tcW w:w="0" w:type="auto"/>
            <w:vAlign w:val="center"/>
          </w:tcPr>
          <w:p w:rsidR="005F78FC" w:rsidRDefault="00B42EF3">
            <w:pPr>
              <w:pStyle w:val="TableBodyText"/>
            </w:pPr>
            <w:r>
              <w:t>1BE2</w:t>
            </w:r>
          </w:p>
        </w:tc>
      </w:tr>
      <w:tr w:rsidR="005F78FC" w:rsidTr="005F78FC">
        <w:tc>
          <w:tcPr>
            <w:tcW w:w="0" w:type="auto"/>
            <w:vAlign w:val="center"/>
          </w:tcPr>
          <w:p w:rsidR="005F78FC" w:rsidRDefault="00B42EF3">
            <w:pPr>
              <w:pStyle w:val="TableBodyText"/>
            </w:pPr>
            <w:r>
              <w:t>AlignCenterHorizontal</w:t>
            </w:r>
          </w:p>
        </w:tc>
        <w:tc>
          <w:tcPr>
            <w:tcW w:w="0" w:type="auto"/>
            <w:vAlign w:val="center"/>
          </w:tcPr>
          <w:p w:rsidR="005F78FC" w:rsidRDefault="00B42EF3">
            <w:pPr>
              <w:pStyle w:val="TableBodyText"/>
            </w:pPr>
            <w:r>
              <w:t>1BDE</w:t>
            </w:r>
          </w:p>
        </w:tc>
      </w:tr>
      <w:tr w:rsidR="005F78FC" w:rsidTr="005F78FC">
        <w:tc>
          <w:tcPr>
            <w:tcW w:w="0" w:type="auto"/>
            <w:vAlign w:val="center"/>
          </w:tcPr>
          <w:p w:rsidR="005F78FC" w:rsidRDefault="00B42EF3">
            <w:pPr>
              <w:pStyle w:val="TableBodyText"/>
            </w:pPr>
            <w:r>
              <w:t>AlignCenterVertical</w:t>
            </w:r>
          </w:p>
        </w:tc>
        <w:tc>
          <w:tcPr>
            <w:tcW w:w="0" w:type="auto"/>
            <w:vAlign w:val="center"/>
          </w:tcPr>
          <w:p w:rsidR="005F78FC" w:rsidRDefault="00B42EF3">
            <w:pPr>
              <w:pStyle w:val="TableBodyText"/>
            </w:pPr>
            <w:r>
              <w:t>1BE1</w:t>
            </w:r>
          </w:p>
        </w:tc>
      </w:tr>
      <w:tr w:rsidR="005F78FC" w:rsidTr="005F78FC">
        <w:tc>
          <w:tcPr>
            <w:tcW w:w="0" w:type="auto"/>
            <w:vAlign w:val="center"/>
          </w:tcPr>
          <w:p w:rsidR="005F78FC" w:rsidRDefault="00B42EF3">
            <w:pPr>
              <w:pStyle w:val="TableBodyText"/>
            </w:pPr>
            <w:r>
              <w:t>AlignLeft</w:t>
            </w:r>
          </w:p>
        </w:tc>
        <w:tc>
          <w:tcPr>
            <w:tcW w:w="0" w:type="auto"/>
            <w:vAlign w:val="center"/>
          </w:tcPr>
          <w:p w:rsidR="005F78FC" w:rsidRDefault="00B42EF3">
            <w:pPr>
              <w:pStyle w:val="TableBodyText"/>
            </w:pPr>
            <w:r>
              <w:t>1BDD</w:t>
            </w:r>
          </w:p>
        </w:tc>
      </w:tr>
      <w:tr w:rsidR="005F78FC" w:rsidTr="005F78FC">
        <w:tc>
          <w:tcPr>
            <w:tcW w:w="0" w:type="auto"/>
            <w:vAlign w:val="center"/>
          </w:tcPr>
          <w:p w:rsidR="005F78FC" w:rsidRDefault="00B42EF3">
            <w:pPr>
              <w:pStyle w:val="TableBodyText"/>
            </w:pPr>
            <w:r>
              <w:t>AlignRight</w:t>
            </w:r>
          </w:p>
        </w:tc>
        <w:tc>
          <w:tcPr>
            <w:tcW w:w="0" w:type="auto"/>
            <w:vAlign w:val="center"/>
          </w:tcPr>
          <w:p w:rsidR="005F78FC" w:rsidRDefault="00B42EF3">
            <w:pPr>
              <w:pStyle w:val="TableBodyText"/>
            </w:pPr>
            <w:r>
              <w:t>1BDF</w:t>
            </w:r>
          </w:p>
        </w:tc>
      </w:tr>
      <w:tr w:rsidR="005F78FC" w:rsidTr="005F78FC">
        <w:tc>
          <w:tcPr>
            <w:tcW w:w="0" w:type="auto"/>
            <w:vAlign w:val="center"/>
          </w:tcPr>
          <w:p w:rsidR="005F78FC" w:rsidRDefault="00B42EF3">
            <w:pPr>
              <w:pStyle w:val="TableBodyText"/>
            </w:pPr>
            <w:r>
              <w:t>AlignTop</w:t>
            </w:r>
          </w:p>
        </w:tc>
        <w:tc>
          <w:tcPr>
            <w:tcW w:w="0" w:type="auto"/>
            <w:vAlign w:val="center"/>
          </w:tcPr>
          <w:p w:rsidR="005F78FC" w:rsidRDefault="00B42EF3">
            <w:pPr>
              <w:pStyle w:val="TableBodyText"/>
            </w:pPr>
            <w:r>
              <w:t>1BE0</w:t>
            </w:r>
          </w:p>
        </w:tc>
      </w:tr>
      <w:tr w:rsidR="005F78FC" w:rsidTr="005F78FC">
        <w:tc>
          <w:tcPr>
            <w:tcW w:w="0" w:type="auto"/>
            <w:vAlign w:val="center"/>
          </w:tcPr>
          <w:p w:rsidR="005F78FC" w:rsidRDefault="00B42EF3">
            <w:pPr>
              <w:pStyle w:val="TableBodyText"/>
            </w:pPr>
            <w:r>
              <w:t>AllCaps</w:t>
            </w:r>
          </w:p>
        </w:tc>
        <w:tc>
          <w:tcPr>
            <w:tcW w:w="0" w:type="auto"/>
            <w:vAlign w:val="center"/>
          </w:tcPr>
          <w:p w:rsidR="005F78FC" w:rsidRDefault="00B42EF3">
            <w:pPr>
              <w:pStyle w:val="TableBodyText"/>
            </w:pPr>
            <w:r>
              <w:t>0030</w:t>
            </w:r>
          </w:p>
        </w:tc>
      </w:tr>
      <w:tr w:rsidR="005F78FC" w:rsidTr="005F78FC">
        <w:tc>
          <w:tcPr>
            <w:tcW w:w="0" w:type="auto"/>
            <w:vAlign w:val="center"/>
          </w:tcPr>
          <w:p w:rsidR="005F78FC" w:rsidRDefault="00B42EF3">
            <w:pPr>
              <w:pStyle w:val="TableBodyText"/>
            </w:pPr>
            <w:r>
              <w:t>AllShapesGallery</w:t>
            </w:r>
          </w:p>
        </w:tc>
        <w:tc>
          <w:tcPr>
            <w:tcW w:w="0" w:type="auto"/>
            <w:vAlign w:val="center"/>
          </w:tcPr>
          <w:p w:rsidR="005F78FC" w:rsidRDefault="00B42EF3">
            <w:pPr>
              <w:pStyle w:val="TableBodyText"/>
            </w:pPr>
            <w:r>
              <w:t>07B4</w:t>
            </w:r>
          </w:p>
        </w:tc>
      </w:tr>
      <w:tr w:rsidR="005F78FC" w:rsidTr="005F78FC">
        <w:tc>
          <w:tcPr>
            <w:tcW w:w="0" w:type="auto"/>
            <w:vAlign w:val="center"/>
          </w:tcPr>
          <w:p w:rsidR="005F78FC" w:rsidRDefault="00B42EF3">
            <w:pPr>
              <w:pStyle w:val="TableBodyText"/>
            </w:pPr>
            <w:r>
              <w:t>AnnotInkEraser</w:t>
            </w:r>
          </w:p>
        </w:tc>
        <w:tc>
          <w:tcPr>
            <w:tcW w:w="0" w:type="auto"/>
            <w:vAlign w:val="center"/>
          </w:tcPr>
          <w:p w:rsidR="005F78FC" w:rsidRDefault="00B42EF3">
            <w:pPr>
              <w:pStyle w:val="TableBodyText"/>
            </w:pPr>
            <w:r>
              <w:t>05C1</w:t>
            </w:r>
          </w:p>
        </w:tc>
      </w:tr>
      <w:tr w:rsidR="005F78FC" w:rsidTr="005F78FC">
        <w:tc>
          <w:tcPr>
            <w:tcW w:w="0" w:type="auto"/>
            <w:vAlign w:val="center"/>
          </w:tcPr>
          <w:p w:rsidR="005F78FC" w:rsidRDefault="00B42EF3">
            <w:pPr>
              <w:pStyle w:val="TableBodyText"/>
            </w:pPr>
            <w:r>
              <w:t>AnnotInkPen</w:t>
            </w:r>
          </w:p>
        </w:tc>
        <w:tc>
          <w:tcPr>
            <w:tcW w:w="0" w:type="auto"/>
            <w:vAlign w:val="center"/>
          </w:tcPr>
          <w:p w:rsidR="005F78FC" w:rsidRDefault="00B42EF3">
            <w:pPr>
              <w:pStyle w:val="TableBodyText"/>
            </w:pPr>
            <w:r>
              <w:t>05C0</w:t>
            </w:r>
          </w:p>
        </w:tc>
      </w:tr>
      <w:tr w:rsidR="005F78FC" w:rsidTr="005F78FC">
        <w:tc>
          <w:tcPr>
            <w:tcW w:w="0" w:type="auto"/>
            <w:vAlign w:val="center"/>
          </w:tcPr>
          <w:p w:rsidR="005F78FC" w:rsidRDefault="00B42EF3">
            <w:pPr>
              <w:pStyle w:val="TableBodyText"/>
            </w:pPr>
            <w:r>
              <w:t>AnnotationEdit</w:t>
            </w:r>
          </w:p>
        </w:tc>
        <w:tc>
          <w:tcPr>
            <w:tcW w:w="0" w:type="auto"/>
            <w:vAlign w:val="center"/>
          </w:tcPr>
          <w:p w:rsidR="005F78FC" w:rsidRDefault="00B42EF3">
            <w:pPr>
              <w:pStyle w:val="TableBodyText"/>
            </w:pPr>
            <w:r>
              <w:t>0535</w:t>
            </w:r>
          </w:p>
        </w:tc>
      </w:tr>
      <w:tr w:rsidR="005F78FC" w:rsidTr="005F78FC">
        <w:tc>
          <w:tcPr>
            <w:tcW w:w="0" w:type="auto"/>
            <w:vAlign w:val="center"/>
          </w:tcPr>
          <w:p w:rsidR="005F78FC" w:rsidRDefault="00B42EF3">
            <w:pPr>
              <w:pStyle w:val="TableBodyText"/>
            </w:pPr>
            <w:r>
              <w:t>AppMaximize</w:t>
            </w:r>
          </w:p>
        </w:tc>
        <w:tc>
          <w:tcPr>
            <w:tcW w:w="0" w:type="auto"/>
            <w:vAlign w:val="center"/>
          </w:tcPr>
          <w:p w:rsidR="005F78FC" w:rsidRDefault="00B42EF3">
            <w:pPr>
              <w:pStyle w:val="TableBodyText"/>
            </w:pPr>
            <w:r>
              <w:t>0118</w:t>
            </w:r>
          </w:p>
        </w:tc>
      </w:tr>
      <w:tr w:rsidR="005F78FC" w:rsidTr="005F78FC">
        <w:tc>
          <w:tcPr>
            <w:tcW w:w="0" w:type="auto"/>
            <w:vAlign w:val="center"/>
          </w:tcPr>
          <w:p w:rsidR="005F78FC" w:rsidRDefault="00B42EF3">
            <w:pPr>
              <w:pStyle w:val="TableBodyText"/>
            </w:pPr>
            <w:r>
              <w:t>AppMinimize</w:t>
            </w:r>
          </w:p>
        </w:tc>
        <w:tc>
          <w:tcPr>
            <w:tcW w:w="0" w:type="auto"/>
            <w:vAlign w:val="center"/>
          </w:tcPr>
          <w:p w:rsidR="005F78FC" w:rsidRDefault="00B42EF3">
            <w:pPr>
              <w:pStyle w:val="TableBodyText"/>
            </w:pPr>
            <w:r>
              <w:t>0117</w:t>
            </w:r>
          </w:p>
        </w:tc>
      </w:tr>
      <w:tr w:rsidR="005F78FC" w:rsidTr="005F78FC">
        <w:tc>
          <w:tcPr>
            <w:tcW w:w="0" w:type="auto"/>
            <w:vAlign w:val="center"/>
          </w:tcPr>
          <w:p w:rsidR="005F78FC" w:rsidRDefault="00B42EF3">
            <w:pPr>
              <w:pStyle w:val="TableBodyText"/>
            </w:pPr>
            <w:r>
              <w:t>AppMove</w:t>
            </w:r>
          </w:p>
        </w:tc>
        <w:tc>
          <w:tcPr>
            <w:tcW w:w="0" w:type="auto"/>
            <w:vAlign w:val="center"/>
          </w:tcPr>
          <w:p w:rsidR="005F78FC" w:rsidRDefault="00B42EF3">
            <w:pPr>
              <w:pStyle w:val="TableBodyText"/>
            </w:pPr>
            <w:r>
              <w:t>01A2</w:t>
            </w:r>
          </w:p>
        </w:tc>
      </w:tr>
      <w:tr w:rsidR="005F78FC" w:rsidTr="005F78FC">
        <w:tc>
          <w:tcPr>
            <w:tcW w:w="0" w:type="auto"/>
            <w:vAlign w:val="center"/>
          </w:tcPr>
          <w:p w:rsidR="005F78FC" w:rsidRDefault="00B42EF3">
            <w:pPr>
              <w:pStyle w:val="TableBodyText"/>
            </w:pPr>
            <w:r>
              <w:t>AppRestore</w:t>
            </w:r>
          </w:p>
        </w:tc>
        <w:tc>
          <w:tcPr>
            <w:tcW w:w="0" w:type="auto"/>
            <w:vAlign w:val="center"/>
          </w:tcPr>
          <w:p w:rsidR="005F78FC" w:rsidRDefault="00B42EF3">
            <w:pPr>
              <w:pStyle w:val="TableBodyText"/>
            </w:pPr>
            <w:r>
              <w:t>0119</w:t>
            </w:r>
          </w:p>
        </w:tc>
      </w:tr>
      <w:tr w:rsidR="005F78FC" w:rsidTr="005F78FC">
        <w:tc>
          <w:tcPr>
            <w:tcW w:w="0" w:type="auto"/>
            <w:vAlign w:val="center"/>
          </w:tcPr>
          <w:p w:rsidR="005F78FC" w:rsidRDefault="00B42EF3">
            <w:pPr>
              <w:pStyle w:val="TableBodyText"/>
            </w:pPr>
            <w:r>
              <w:t>AppSize</w:t>
            </w:r>
          </w:p>
        </w:tc>
        <w:tc>
          <w:tcPr>
            <w:tcW w:w="0" w:type="auto"/>
            <w:vAlign w:val="center"/>
          </w:tcPr>
          <w:p w:rsidR="005F78FC" w:rsidRDefault="00B42EF3">
            <w:pPr>
              <w:pStyle w:val="TableBodyText"/>
            </w:pPr>
            <w:r>
              <w:t>01A3</w:t>
            </w:r>
          </w:p>
        </w:tc>
      </w:tr>
      <w:tr w:rsidR="005F78FC" w:rsidTr="005F78FC">
        <w:tc>
          <w:tcPr>
            <w:tcW w:w="0" w:type="auto"/>
            <w:vAlign w:val="center"/>
          </w:tcPr>
          <w:p w:rsidR="005F78FC" w:rsidRDefault="00B42EF3">
            <w:pPr>
              <w:pStyle w:val="TableBodyText"/>
            </w:pPr>
            <w:r>
              <w:t>ApplyFormattingOfOriginal</w:t>
            </w:r>
          </w:p>
        </w:tc>
        <w:tc>
          <w:tcPr>
            <w:tcW w:w="0" w:type="auto"/>
            <w:vAlign w:val="center"/>
          </w:tcPr>
          <w:p w:rsidR="005F78FC" w:rsidRDefault="00B42EF3">
            <w:pPr>
              <w:pStyle w:val="TableBodyText"/>
            </w:pPr>
            <w:r>
              <w:t>052A</w:t>
            </w:r>
          </w:p>
        </w:tc>
      </w:tr>
      <w:tr w:rsidR="005F78FC" w:rsidTr="005F78FC">
        <w:tc>
          <w:tcPr>
            <w:tcW w:w="0" w:type="auto"/>
            <w:vAlign w:val="center"/>
          </w:tcPr>
          <w:p w:rsidR="005F78FC" w:rsidRDefault="00B42EF3">
            <w:pPr>
              <w:pStyle w:val="TableBodyText"/>
            </w:pPr>
            <w:r>
              <w:t>ApplyFormattingOfSurrounding</w:t>
            </w:r>
          </w:p>
        </w:tc>
        <w:tc>
          <w:tcPr>
            <w:tcW w:w="0" w:type="auto"/>
            <w:vAlign w:val="center"/>
          </w:tcPr>
          <w:p w:rsidR="005F78FC" w:rsidRDefault="00B42EF3">
            <w:pPr>
              <w:pStyle w:val="TableBodyText"/>
            </w:pPr>
            <w:r>
              <w:t>0529</w:t>
            </w:r>
          </w:p>
        </w:tc>
      </w:tr>
      <w:tr w:rsidR="005F78FC" w:rsidTr="005F78FC">
        <w:tc>
          <w:tcPr>
            <w:tcW w:w="0" w:type="auto"/>
            <w:vAlign w:val="center"/>
          </w:tcPr>
          <w:p w:rsidR="005F78FC" w:rsidRDefault="00B42EF3">
            <w:pPr>
              <w:pStyle w:val="TableBodyText"/>
            </w:pPr>
            <w:r>
              <w:t>ApplyHeading1</w:t>
            </w:r>
          </w:p>
        </w:tc>
        <w:tc>
          <w:tcPr>
            <w:tcW w:w="0" w:type="auto"/>
            <w:vAlign w:val="center"/>
          </w:tcPr>
          <w:p w:rsidR="005F78FC" w:rsidRDefault="00B42EF3">
            <w:pPr>
              <w:pStyle w:val="TableBodyText"/>
            </w:pPr>
            <w:r>
              <w:t>0251</w:t>
            </w:r>
          </w:p>
        </w:tc>
      </w:tr>
      <w:tr w:rsidR="005F78FC" w:rsidTr="005F78FC">
        <w:tc>
          <w:tcPr>
            <w:tcW w:w="0" w:type="auto"/>
            <w:vAlign w:val="center"/>
          </w:tcPr>
          <w:p w:rsidR="005F78FC" w:rsidRDefault="00B42EF3">
            <w:pPr>
              <w:pStyle w:val="TableBodyText"/>
            </w:pPr>
            <w:r>
              <w:lastRenderedPageBreak/>
              <w:t>ApplyHeading2</w:t>
            </w:r>
          </w:p>
        </w:tc>
        <w:tc>
          <w:tcPr>
            <w:tcW w:w="0" w:type="auto"/>
            <w:vAlign w:val="center"/>
          </w:tcPr>
          <w:p w:rsidR="005F78FC" w:rsidRDefault="00B42EF3">
            <w:pPr>
              <w:pStyle w:val="TableBodyText"/>
            </w:pPr>
            <w:r>
              <w:t>0252</w:t>
            </w:r>
          </w:p>
        </w:tc>
      </w:tr>
      <w:tr w:rsidR="005F78FC" w:rsidTr="005F78FC">
        <w:tc>
          <w:tcPr>
            <w:tcW w:w="0" w:type="auto"/>
            <w:vAlign w:val="center"/>
          </w:tcPr>
          <w:p w:rsidR="005F78FC" w:rsidRDefault="00B42EF3">
            <w:pPr>
              <w:pStyle w:val="TableBodyText"/>
            </w:pPr>
            <w:r>
              <w:t>ApplyHeading3</w:t>
            </w:r>
          </w:p>
        </w:tc>
        <w:tc>
          <w:tcPr>
            <w:tcW w:w="0" w:type="auto"/>
            <w:vAlign w:val="center"/>
          </w:tcPr>
          <w:p w:rsidR="005F78FC" w:rsidRDefault="00B42EF3">
            <w:pPr>
              <w:pStyle w:val="TableBodyText"/>
            </w:pPr>
            <w:r>
              <w:t>0253</w:t>
            </w:r>
          </w:p>
        </w:tc>
      </w:tr>
      <w:tr w:rsidR="005F78FC" w:rsidTr="005F78FC">
        <w:tc>
          <w:tcPr>
            <w:tcW w:w="0" w:type="auto"/>
            <w:vAlign w:val="center"/>
          </w:tcPr>
          <w:p w:rsidR="005F78FC" w:rsidRDefault="00B42EF3">
            <w:pPr>
              <w:pStyle w:val="TableBodyText"/>
            </w:pPr>
            <w:r>
              <w:t>ApplyListBullet</w:t>
            </w:r>
          </w:p>
        </w:tc>
        <w:tc>
          <w:tcPr>
            <w:tcW w:w="0" w:type="auto"/>
            <w:vAlign w:val="center"/>
          </w:tcPr>
          <w:p w:rsidR="005F78FC" w:rsidRDefault="00B42EF3">
            <w:pPr>
              <w:pStyle w:val="TableBodyText"/>
            </w:pPr>
            <w:r>
              <w:t>0254</w:t>
            </w:r>
          </w:p>
        </w:tc>
      </w:tr>
      <w:tr w:rsidR="005F78FC" w:rsidTr="005F78FC">
        <w:tc>
          <w:tcPr>
            <w:tcW w:w="0" w:type="auto"/>
            <w:vAlign w:val="center"/>
          </w:tcPr>
          <w:p w:rsidR="005F78FC" w:rsidRDefault="00B42EF3">
            <w:pPr>
              <w:pStyle w:val="TableBodyText"/>
            </w:pPr>
            <w:r>
              <w:t>ApplyQFSetInitial</w:t>
            </w:r>
          </w:p>
        </w:tc>
        <w:tc>
          <w:tcPr>
            <w:tcW w:w="0" w:type="auto"/>
            <w:vAlign w:val="center"/>
          </w:tcPr>
          <w:p w:rsidR="005F78FC" w:rsidRDefault="00B42EF3">
            <w:pPr>
              <w:pStyle w:val="TableBodyText"/>
            </w:pPr>
            <w:r>
              <w:t>0935</w:t>
            </w:r>
          </w:p>
        </w:tc>
      </w:tr>
      <w:tr w:rsidR="005F78FC" w:rsidTr="005F78FC">
        <w:tc>
          <w:tcPr>
            <w:tcW w:w="0" w:type="auto"/>
            <w:vAlign w:val="center"/>
          </w:tcPr>
          <w:p w:rsidR="005F78FC" w:rsidRDefault="00B42EF3">
            <w:pPr>
              <w:pStyle w:val="TableBodyText"/>
            </w:pPr>
            <w:r>
              <w:t>ApplyQFSetTemplate</w:t>
            </w:r>
          </w:p>
        </w:tc>
        <w:tc>
          <w:tcPr>
            <w:tcW w:w="0" w:type="auto"/>
            <w:vAlign w:val="center"/>
          </w:tcPr>
          <w:p w:rsidR="005F78FC" w:rsidRDefault="00B42EF3">
            <w:pPr>
              <w:pStyle w:val="TableBodyText"/>
            </w:pPr>
            <w:r>
              <w:t>0936</w:t>
            </w:r>
          </w:p>
        </w:tc>
      </w:tr>
      <w:tr w:rsidR="005F78FC" w:rsidTr="005F78FC">
        <w:tc>
          <w:tcPr>
            <w:tcW w:w="0" w:type="auto"/>
            <w:vAlign w:val="center"/>
          </w:tcPr>
          <w:p w:rsidR="005F78FC" w:rsidRDefault="00B42EF3">
            <w:pPr>
              <w:pStyle w:val="TableBodyText"/>
            </w:pPr>
            <w:r>
              <w:t>ApplyQuickFormat</w:t>
            </w:r>
          </w:p>
        </w:tc>
        <w:tc>
          <w:tcPr>
            <w:tcW w:w="0" w:type="auto"/>
            <w:vAlign w:val="center"/>
          </w:tcPr>
          <w:p w:rsidR="005F78FC" w:rsidRDefault="00B42EF3">
            <w:pPr>
              <w:pStyle w:val="TableBodyText"/>
            </w:pPr>
            <w:r>
              <w:t>0887</w:t>
            </w:r>
          </w:p>
        </w:tc>
      </w:tr>
      <w:tr w:rsidR="005F78FC" w:rsidTr="005F78FC">
        <w:tc>
          <w:tcPr>
            <w:tcW w:w="0" w:type="auto"/>
            <w:vAlign w:val="center"/>
          </w:tcPr>
          <w:p w:rsidR="005F78FC" w:rsidRDefault="00B42EF3">
            <w:pPr>
              <w:pStyle w:val="TableBodyText"/>
            </w:pPr>
            <w:r>
              <w:t>ApplyQuickStyleSet</w:t>
            </w:r>
          </w:p>
        </w:tc>
        <w:tc>
          <w:tcPr>
            <w:tcW w:w="0" w:type="auto"/>
            <w:vAlign w:val="center"/>
          </w:tcPr>
          <w:p w:rsidR="005F78FC" w:rsidRDefault="00B42EF3">
            <w:pPr>
              <w:pStyle w:val="TableBodyText"/>
            </w:pPr>
            <w:r>
              <w:t>0888</w:t>
            </w:r>
          </w:p>
        </w:tc>
      </w:tr>
      <w:tr w:rsidR="005F78FC" w:rsidTr="005F78FC">
        <w:tc>
          <w:tcPr>
            <w:tcW w:w="0" w:type="auto"/>
            <w:vAlign w:val="center"/>
          </w:tcPr>
          <w:p w:rsidR="005F78FC" w:rsidRDefault="00B42EF3">
            <w:pPr>
              <w:pStyle w:val="TableBodyText"/>
            </w:pPr>
            <w:r>
              <w:t>ApplyStructure</w:t>
            </w:r>
          </w:p>
        </w:tc>
        <w:tc>
          <w:tcPr>
            <w:tcW w:w="0" w:type="auto"/>
            <w:vAlign w:val="center"/>
          </w:tcPr>
          <w:p w:rsidR="005F78FC" w:rsidRDefault="00B42EF3">
            <w:pPr>
              <w:pStyle w:val="TableBodyText"/>
            </w:pPr>
            <w:r>
              <w:t>05B2</w:t>
            </w:r>
          </w:p>
        </w:tc>
      </w:tr>
      <w:tr w:rsidR="005F78FC" w:rsidTr="005F78FC">
        <w:tc>
          <w:tcPr>
            <w:tcW w:w="0" w:type="auto"/>
            <w:vAlign w:val="center"/>
          </w:tcPr>
          <w:p w:rsidR="005F78FC" w:rsidRDefault="00B42EF3">
            <w:pPr>
              <w:pStyle w:val="TableBodyText"/>
            </w:pPr>
            <w:r>
              <w:t>ApplyTableStyle</w:t>
            </w:r>
          </w:p>
        </w:tc>
        <w:tc>
          <w:tcPr>
            <w:tcW w:w="0" w:type="auto"/>
            <w:vAlign w:val="center"/>
          </w:tcPr>
          <w:p w:rsidR="005F78FC" w:rsidRDefault="00B42EF3">
            <w:pPr>
              <w:pStyle w:val="TableBodyText"/>
            </w:pPr>
            <w:r>
              <w:t>08F7</w:t>
            </w:r>
          </w:p>
        </w:tc>
      </w:tr>
      <w:tr w:rsidR="005F78FC" w:rsidTr="005F78FC">
        <w:tc>
          <w:tcPr>
            <w:tcW w:w="0" w:type="auto"/>
            <w:vAlign w:val="center"/>
          </w:tcPr>
          <w:p w:rsidR="005F78FC" w:rsidRDefault="00B42EF3">
            <w:pPr>
              <w:pStyle w:val="TableBodyText"/>
            </w:pPr>
            <w:r>
              <w:t>ApplyXMLStructureMenu</w:t>
            </w:r>
          </w:p>
        </w:tc>
        <w:tc>
          <w:tcPr>
            <w:tcW w:w="0" w:type="auto"/>
            <w:vAlign w:val="center"/>
          </w:tcPr>
          <w:p w:rsidR="005F78FC" w:rsidRDefault="00B42EF3">
            <w:pPr>
              <w:pStyle w:val="TableBodyText"/>
            </w:pPr>
            <w:r>
              <w:t>16B8</w:t>
            </w:r>
          </w:p>
        </w:tc>
      </w:tr>
      <w:tr w:rsidR="005F78FC" w:rsidTr="005F78FC">
        <w:tc>
          <w:tcPr>
            <w:tcW w:w="0" w:type="auto"/>
            <w:vAlign w:val="center"/>
          </w:tcPr>
          <w:p w:rsidR="005F78FC" w:rsidRDefault="00B42EF3">
            <w:pPr>
              <w:pStyle w:val="TableBodyText"/>
            </w:pPr>
            <w:r>
              <w:t>ArrowStyleGallery</w:t>
            </w:r>
          </w:p>
        </w:tc>
        <w:tc>
          <w:tcPr>
            <w:tcW w:w="0" w:type="auto"/>
            <w:vAlign w:val="center"/>
          </w:tcPr>
          <w:p w:rsidR="005F78FC" w:rsidRDefault="00B42EF3">
            <w:pPr>
              <w:pStyle w:val="TableBodyText"/>
            </w:pPr>
            <w:r>
              <w:t>07B8</w:t>
            </w:r>
          </w:p>
        </w:tc>
      </w:tr>
      <w:tr w:rsidR="005F78FC" w:rsidTr="005F78FC">
        <w:tc>
          <w:tcPr>
            <w:tcW w:w="0" w:type="auto"/>
            <w:vAlign w:val="center"/>
          </w:tcPr>
          <w:p w:rsidR="005F78FC" w:rsidRDefault="00B42EF3">
            <w:pPr>
              <w:pStyle w:val="TableBodyText"/>
            </w:pPr>
            <w:r>
              <w:t>AsianLayoutFlyout</w:t>
            </w:r>
          </w:p>
        </w:tc>
        <w:tc>
          <w:tcPr>
            <w:tcW w:w="0" w:type="auto"/>
            <w:vAlign w:val="center"/>
          </w:tcPr>
          <w:p w:rsidR="005F78FC" w:rsidRDefault="00B42EF3">
            <w:pPr>
              <w:pStyle w:val="TableBodyText"/>
            </w:pPr>
            <w:r>
              <w:t>08A4</w:t>
            </w:r>
          </w:p>
        </w:tc>
      </w:tr>
      <w:tr w:rsidR="005F78FC" w:rsidTr="005F78FC">
        <w:tc>
          <w:tcPr>
            <w:tcW w:w="0" w:type="auto"/>
            <w:vAlign w:val="center"/>
          </w:tcPr>
          <w:p w:rsidR="005F78FC" w:rsidRDefault="00B42EF3">
            <w:pPr>
              <w:pStyle w:val="TableBodyText"/>
            </w:pPr>
            <w:r>
              <w:t>AutoFitContent</w:t>
            </w:r>
          </w:p>
        </w:tc>
        <w:tc>
          <w:tcPr>
            <w:tcW w:w="0" w:type="auto"/>
            <w:vAlign w:val="center"/>
          </w:tcPr>
          <w:p w:rsidR="005F78FC" w:rsidRDefault="00B42EF3">
            <w:pPr>
              <w:pStyle w:val="TableBodyText"/>
            </w:pPr>
            <w:r>
              <w:t>0475</w:t>
            </w:r>
          </w:p>
        </w:tc>
      </w:tr>
      <w:tr w:rsidR="005F78FC" w:rsidTr="005F78FC">
        <w:tc>
          <w:tcPr>
            <w:tcW w:w="0" w:type="auto"/>
            <w:vAlign w:val="center"/>
          </w:tcPr>
          <w:p w:rsidR="005F78FC" w:rsidRDefault="00B42EF3">
            <w:pPr>
              <w:pStyle w:val="TableBodyText"/>
            </w:pPr>
            <w:r>
              <w:t>AutoFitFixed</w:t>
            </w:r>
          </w:p>
        </w:tc>
        <w:tc>
          <w:tcPr>
            <w:tcW w:w="0" w:type="auto"/>
            <w:vAlign w:val="center"/>
          </w:tcPr>
          <w:p w:rsidR="005F78FC" w:rsidRDefault="00B42EF3">
            <w:pPr>
              <w:pStyle w:val="TableBodyText"/>
            </w:pPr>
            <w:r>
              <w:t>0478</w:t>
            </w:r>
          </w:p>
        </w:tc>
      </w:tr>
      <w:tr w:rsidR="005F78FC" w:rsidTr="005F78FC">
        <w:tc>
          <w:tcPr>
            <w:tcW w:w="0" w:type="auto"/>
            <w:vAlign w:val="center"/>
          </w:tcPr>
          <w:p w:rsidR="005F78FC" w:rsidRDefault="00B42EF3">
            <w:pPr>
              <w:pStyle w:val="TableBodyText"/>
            </w:pPr>
            <w:r>
              <w:t>AutoFitWindow</w:t>
            </w:r>
          </w:p>
        </w:tc>
        <w:tc>
          <w:tcPr>
            <w:tcW w:w="0" w:type="auto"/>
            <w:vAlign w:val="center"/>
          </w:tcPr>
          <w:p w:rsidR="005F78FC" w:rsidRDefault="00B42EF3">
            <w:pPr>
              <w:pStyle w:val="TableBodyText"/>
            </w:pPr>
            <w:r>
              <w:t>0476</w:t>
            </w:r>
          </w:p>
        </w:tc>
      </w:tr>
      <w:tr w:rsidR="005F78FC" w:rsidTr="005F78FC">
        <w:tc>
          <w:tcPr>
            <w:tcW w:w="0" w:type="auto"/>
            <w:vAlign w:val="center"/>
          </w:tcPr>
          <w:p w:rsidR="005F78FC" w:rsidRDefault="00B42EF3">
            <w:pPr>
              <w:pStyle w:val="TableBodyText"/>
            </w:pPr>
            <w:r>
              <w:t>AutoMarkIndexEntries</w:t>
            </w:r>
          </w:p>
        </w:tc>
        <w:tc>
          <w:tcPr>
            <w:tcW w:w="0" w:type="auto"/>
            <w:vAlign w:val="center"/>
          </w:tcPr>
          <w:p w:rsidR="005F78FC" w:rsidRDefault="00B42EF3">
            <w:pPr>
              <w:pStyle w:val="TableBodyText"/>
            </w:pPr>
            <w:r>
              <w:t>0268</w:t>
            </w:r>
          </w:p>
        </w:tc>
      </w:tr>
      <w:tr w:rsidR="005F78FC" w:rsidTr="005F78FC">
        <w:tc>
          <w:tcPr>
            <w:tcW w:w="0" w:type="auto"/>
            <w:vAlign w:val="center"/>
          </w:tcPr>
          <w:p w:rsidR="005F78FC" w:rsidRDefault="00B42EF3">
            <w:pPr>
              <w:pStyle w:val="TableBodyText"/>
            </w:pPr>
            <w:r>
              <w:t>AutoScroll</w:t>
            </w:r>
          </w:p>
        </w:tc>
        <w:tc>
          <w:tcPr>
            <w:tcW w:w="0" w:type="auto"/>
            <w:vAlign w:val="center"/>
          </w:tcPr>
          <w:p w:rsidR="005F78FC" w:rsidRDefault="00B42EF3">
            <w:pPr>
              <w:pStyle w:val="TableBodyText"/>
            </w:pPr>
            <w:r>
              <w:t>03E2</w:t>
            </w:r>
          </w:p>
        </w:tc>
      </w:tr>
      <w:tr w:rsidR="005F78FC" w:rsidTr="005F78FC">
        <w:tc>
          <w:tcPr>
            <w:tcW w:w="0" w:type="auto"/>
            <w:vAlign w:val="center"/>
          </w:tcPr>
          <w:p w:rsidR="005F78FC" w:rsidRDefault="00B42EF3">
            <w:pPr>
              <w:pStyle w:val="TableBodyText"/>
            </w:pPr>
            <w:r>
              <w:t>AutoSignatureList</w:t>
            </w:r>
          </w:p>
        </w:tc>
        <w:tc>
          <w:tcPr>
            <w:tcW w:w="0" w:type="auto"/>
            <w:vAlign w:val="center"/>
          </w:tcPr>
          <w:p w:rsidR="005F78FC" w:rsidRDefault="00B42EF3">
            <w:pPr>
              <w:pStyle w:val="TableBodyText"/>
            </w:pPr>
            <w:r>
              <w:t>167D</w:t>
            </w:r>
          </w:p>
        </w:tc>
      </w:tr>
      <w:tr w:rsidR="005F78FC" w:rsidTr="005F78FC">
        <w:tc>
          <w:tcPr>
            <w:tcW w:w="0" w:type="auto"/>
            <w:vAlign w:val="center"/>
          </w:tcPr>
          <w:p w:rsidR="005F78FC" w:rsidRDefault="00B42EF3">
            <w:pPr>
              <w:pStyle w:val="TableBodyText"/>
            </w:pPr>
            <w:r>
              <w:t>AutoSummarizeClose</w:t>
            </w:r>
          </w:p>
        </w:tc>
        <w:tc>
          <w:tcPr>
            <w:tcW w:w="0" w:type="auto"/>
            <w:vAlign w:val="center"/>
          </w:tcPr>
          <w:p w:rsidR="005F78FC" w:rsidRDefault="00B42EF3">
            <w:pPr>
              <w:pStyle w:val="TableBodyText"/>
            </w:pPr>
            <w:r>
              <w:t>038A</w:t>
            </w:r>
          </w:p>
        </w:tc>
      </w:tr>
      <w:tr w:rsidR="005F78FC" w:rsidTr="005F78FC">
        <w:tc>
          <w:tcPr>
            <w:tcW w:w="0" w:type="auto"/>
            <w:vAlign w:val="center"/>
          </w:tcPr>
          <w:p w:rsidR="005F78FC" w:rsidRDefault="00B42EF3">
            <w:pPr>
              <w:pStyle w:val="TableBodyText"/>
            </w:pPr>
            <w:r>
              <w:t>AutoSummarizePercentOfOriginal</w:t>
            </w:r>
          </w:p>
        </w:tc>
        <w:tc>
          <w:tcPr>
            <w:tcW w:w="0" w:type="auto"/>
            <w:vAlign w:val="center"/>
          </w:tcPr>
          <w:p w:rsidR="005F78FC" w:rsidRDefault="00B42EF3">
            <w:pPr>
              <w:pStyle w:val="TableBodyText"/>
            </w:pPr>
            <w:r>
              <w:t>038D</w:t>
            </w:r>
          </w:p>
        </w:tc>
      </w:tr>
      <w:tr w:rsidR="005F78FC" w:rsidTr="005F78FC">
        <w:tc>
          <w:tcPr>
            <w:tcW w:w="0" w:type="auto"/>
            <w:vAlign w:val="center"/>
          </w:tcPr>
          <w:p w:rsidR="005F78FC" w:rsidRDefault="00B42EF3">
            <w:pPr>
              <w:pStyle w:val="TableBodyText"/>
            </w:pPr>
            <w:r>
              <w:t>AutoSummarizeToggleView</w:t>
            </w:r>
          </w:p>
        </w:tc>
        <w:tc>
          <w:tcPr>
            <w:tcW w:w="0" w:type="auto"/>
            <w:vAlign w:val="center"/>
          </w:tcPr>
          <w:p w:rsidR="005F78FC" w:rsidRDefault="00B42EF3">
            <w:pPr>
              <w:pStyle w:val="TableBodyText"/>
            </w:pPr>
            <w:r>
              <w:t>038E</w:t>
            </w:r>
          </w:p>
        </w:tc>
      </w:tr>
      <w:tr w:rsidR="005F78FC" w:rsidTr="005F78FC">
        <w:tc>
          <w:tcPr>
            <w:tcW w:w="0" w:type="auto"/>
            <w:vAlign w:val="center"/>
          </w:tcPr>
          <w:p w:rsidR="005F78FC" w:rsidRDefault="00B42EF3">
            <w:pPr>
              <w:pStyle w:val="TableBodyText"/>
            </w:pPr>
            <w:r>
              <w:t>AutoSummarizeUpdateFileProperties</w:t>
            </w:r>
          </w:p>
        </w:tc>
        <w:tc>
          <w:tcPr>
            <w:tcW w:w="0" w:type="auto"/>
            <w:vAlign w:val="center"/>
          </w:tcPr>
          <w:p w:rsidR="005F78FC" w:rsidRDefault="00B42EF3">
            <w:pPr>
              <w:pStyle w:val="TableBodyText"/>
            </w:pPr>
            <w:r>
              <w:t>038C</w:t>
            </w:r>
          </w:p>
        </w:tc>
      </w:tr>
      <w:tr w:rsidR="005F78FC" w:rsidTr="005F78FC">
        <w:tc>
          <w:tcPr>
            <w:tcW w:w="0" w:type="auto"/>
            <w:vAlign w:val="center"/>
          </w:tcPr>
          <w:p w:rsidR="005F78FC" w:rsidRDefault="00B42EF3">
            <w:pPr>
              <w:pStyle w:val="TableBodyText"/>
            </w:pPr>
            <w:r>
              <w:t>AutoText</w:t>
            </w:r>
          </w:p>
        </w:tc>
        <w:tc>
          <w:tcPr>
            <w:tcW w:w="0" w:type="auto"/>
            <w:vAlign w:val="center"/>
          </w:tcPr>
          <w:p w:rsidR="005F78FC" w:rsidRDefault="00B42EF3">
            <w:pPr>
              <w:pStyle w:val="TableBodyText"/>
            </w:pPr>
            <w:r>
              <w:t>028D</w:t>
            </w:r>
          </w:p>
        </w:tc>
      </w:tr>
      <w:tr w:rsidR="005F78FC" w:rsidTr="005F78FC">
        <w:tc>
          <w:tcPr>
            <w:tcW w:w="0" w:type="auto"/>
            <w:vAlign w:val="center"/>
          </w:tcPr>
          <w:p w:rsidR="005F78FC" w:rsidRDefault="00B42EF3">
            <w:pPr>
              <w:pStyle w:val="TableBodyText"/>
            </w:pPr>
            <w:r>
              <w:t>AutoTextGallery</w:t>
            </w:r>
          </w:p>
        </w:tc>
        <w:tc>
          <w:tcPr>
            <w:tcW w:w="0" w:type="auto"/>
            <w:vAlign w:val="center"/>
          </w:tcPr>
          <w:p w:rsidR="005F78FC" w:rsidRDefault="00B42EF3">
            <w:pPr>
              <w:pStyle w:val="TableBodyText"/>
            </w:pPr>
            <w:r>
              <w:t>08DE</w:t>
            </w:r>
          </w:p>
        </w:tc>
      </w:tr>
      <w:tr w:rsidR="005F78FC" w:rsidTr="005F78FC">
        <w:tc>
          <w:tcPr>
            <w:tcW w:w="0" w:type="auto"/>
            <w:vAlign w:val="center"/>
          </w:tcPr>
          <w:p w:rsidR="005F78FC" w:rsidRDefault="00B42EF3">
            <w:pPr>
              <w:pStyle w:val="TableBodyText"/>
            </w:pPr>
            <w:r>
              <w:t>AutomaticChange</w:t>
            </w:r>
          </w:p>
        </w:tc>
        <w:tc>
          <w:tcPr>
            <w:tcW w:w="0" w:type="auto"/>
            <w:vAlign w:val="center"/>
          </w:tcPr>
          <w:p w:rsidR="005F78FC" w:rsidRDefault="00B42EF3">
            <w:pPr>
              <w:pStyle w:val="TableBodyText"/>
            </w:pPr>
            <w:r>
              <w:t>0FE6</w:t>
            </w:r>
          </w:p>
        </w:tc>
      </w:tr>
      <w:tr w:rsidR="005F78FC" w:rsidTr="005F78FC">
        <w:tc>
          <w:tcPr>
            <w:tcW w:w="0" w:type="auto"/>
            <w:vAlign w:val="center"/>
          </w:tcPr>
          <w:p w:rsidR="005F78FC" w:rsidRDefault="00B42EF3">
            <w:pPr>
              <w:pStyle w:val="TableBodyText"/>
            </w:pPr>
            <w:r>
              <w:t>BBPropertiesDlg</w:t>
            </w:r>
          </w:p>
        </w:tc>
        <w:tc>
          <w:tcPr>
            <w:tcW w:w="0" w:type="auto"/>
            <w:vAlign w:val="center"/>
          </w:tcPr>
          <w:p w:rsidR="005F78FC" w:rsidRDefault="00B42EF3">
            <w:pPr>
              <w:pStyle w:val="TableBodyText"/>
            </w:pPr>
            <w:r>
              <w:t>095A</w:t>
            </w:r>
          </w:p>
        </w:tc>
      </w:tr>
      <w:tr w:rsidR="005F78FC" w:rsidTr="005F78FC">
        <w:tc>
          <w:tcPr>
            <w:tcW w:w="0" w:type="auto"/>
            <w:vAlign w:val="center"/>
          </w:tcPr>
          <w:p w:rsidR="005F78FC" w:rsidRDefault="00B42EF3">
            <w:pPr>
              <w:pStyle w:val="TableBodyText"/>
            </w:pPr>
            <w:r>
              <w:t>BackHistoryItem</w:t>
            </w:r>
          </w:p>
        </w:tc>
        <w:tc>
          <w:tcPr>
            <w:tcW w:w="0" w:type="auto"/>
            <w:vAlign w:val="center"/>
          </w:tcPr>
          <w:p w:rsidR="005F78FC" w:rsidRDefault="00B42EF3">
            <w:pPr>
              <w:pStyle w:val="TableBodyText"/>
            </w:pPr>
            <w:r>
              <w:t>05CE</w:t>
            </w:r>
          </w:p>
        </w:tc>
      </w:tr>
      <w:tr w:rsidR="005F78FC" w:rsidTr="005F78FC">
        <w:tc>
          <w:tcPr>
            <w:tcW w:w="0" w:type="auto"/>
            <w:vAlign w:val="center"/>
          </w:tcPr>
          <w:p w:rsidR="005F78FC" w:rsidRDefault="00B42EF3">
            <w:pPr>
              <w:pStyle w:val="TableBodyText"/>
            </w:pPr>
            <w:r>
              <w:t>BackgroundColorPicker</w:t>
            </w:r>
          </w:p>
        </w:tc>
        <w:tc>
          <w:tcPr>
            <w:tcW w:w="0" w:type="auto"/>
            <w:vAlign w:val="center"/>
          </w:tcPr>
          <w:p w:rsidR="005F78FC" w:rsidRDefault="00B42EF3">
            <w:pPr>
              <w:pStyle w:val="TableBodyText"/>
            </w:pPr>
            <w:r>
              <w:t>08BA</w:t>
            </w:r>
          </w:p>
        </w:tc>
      </w:tr>
      <w:tr w:rsidR="005F78FC" w:rsidTr="005F78FC">
        <w:tc>
          <w:tcPr>
            <w:tcW w:w="0" w:type="auto"/>
            <w:vAlign w:val="center"/>
          </w:tcPr>
          <w:p w:rsidR="005F78FC" w:rsidRDefault="00B42EF3">
            <w:pPr>
              <w:pStyle w:val="TableBodyText"/>
            </w:pPr>
            <w:r>
              <w:t>BarCodeGroup</w:t>
            </w:r>
          </w:p>
        </w:tc>
        <w:tc>
          <w:tcPr>
            <w:tcW w:w="0" w:type="auto"/>
            <w:vAlign w:val="center"/>
          </w:tcPr>
          <w:p w:rsidR="005F78FC" w:rsidRDefault="00B42EF3">
            <w:pPr>
              <w:pStyle w:val="TableBodyText"/>
            </w:pPr>
            <w:r>
              <w:t>08A3</w:t>
            </w:r>
          </w:p>
        </w:tc>
      </w:tr>
      <w:tr w:rsidR="005F78FC" w:rsidTr="005F78FC">
        <w:tc>
          <w:tcPr>
            <w:tcW w:w="0" w:type="auto"/>
            <w:vAlign w:val="center"/>
          </w:tcPr>
          <w:p w:rsidR="005F78FC" w:rsidRDefault="00B42EF3">
            <w:pPr>
              <w:pStyle w:val="TableBodyText"/>
            </w:pPr>
            <w:r>
              <w:t>BibInsertSource</w:t>
            </w:r>
          </w:p>
        </w:tc>
        <w:tc>
          <w:tcPr>
            <w:tcW w:w="0" w:type="auto"/>
            <w:vAlign w:val="center"/>
          </w:tcPr>
          <w:p w:rsidR="005F78FC" w:rsidRDefault="00B42EF3">
            <w:pPr>
              <w:pStyle w:val="TableBodyText"/>
            </w:pPr>
            <w:r>
              <w:t>0848</w:t>
            </w:r>
          </w:p>
        </w:tc>
      </w:tr>
      <w:tr w:rsidR="005F78FC" w:rsidTr="005F78FC">
        <w:tc>
          <w:tcPr>
            <w:tcW w:w="0" w:type="auto"/>
            <w:vAlign w:val="center"/>
          </w:tcPr>
          <w:p w:rsidR="005F78FC" w:rsidRDefault="00B42EF3">
            <w:pPr>
              <w:pStyle w:val="TableBodyText"/>
            </w:pPr>
            <w:r>
              <w:t>BibUpdateLang</w:t>
            </w:r>
          </w:p>
        </w:tc>
        <w:tc>
          <w:tcPr>
            <w:tcW w:w="0" w:type="auto"/>
            <w:vAlign w:val="center"/>
          </w:tcPr>
          <w:p w:rsidR="005F78FC" w:rsidRDefault="00B42EF3">
            <w:pPr>
              <w:pStyle w:val="TableBodyText"/>
            </w:pPr>
            <w:r>
              <w:t>09A1</w:t>
            </w:r>
          </w:p>
        </w:tc>
      </w:tr>
      <w:tr w:rsidR="005F78FC" w:rsidTr="005F78FC">
        <w:tc>
          <w:tcPr>
            <w:tcW w:w="0" w:type="auto"/>
            <w:vAlign w:val="center"/>
          </w:tcPr>
          <w:p w:rsidR="005F78FC" w:rsidRDefault="00B42EF3">
            <w:pPr>
              <w:pStyle w:val="TableBodyText"/>
            </w:pPr>
            <w:r>
              <w:t>BibliographyBibliographyToText</w:t>
            </w:r>
          </w:p>
        </w:tc>
        <w:tc>
          <w:tcPr>
            <w:tcW w:w="0" w:type="auto"/>
            <w:vAlign w:val="center"/>
          </w:tcPr>
          <w:p w:rsidR="005F78FC" w:rsidRDefault="00B42EF3">
            <w:pPr>
              <w:pStyle w:val="TableBodyText"/>
            </w:pPr>
            <w:r>
              <w:t>0985</w:t>
            </w:r>
          </w:p>
        </w:tc>
      </w:tr>
      <w:tr w:rsidR="005F78FC" w:rsidTr="005F78FC">
        <w:tc>
          <w:tcPr>
            <w:tcW w:w="0" w:type="auto"/>
            <w:vAlign w:val="center"/>
          </w:tcPr>
          <w:p w:rsidR="005F78FC" w:rsidRDefault="00B42EF3">
            <w:pPr>
              <w:pStyle w:val="TableBodyText"/>
            </w:pPr>
            <w:r>
              <w:lastRenderedPageBreak/>
              <w:t>BibliographyCitationToText</w:t>
            </w:r>
          </w:p>
        </w:tc>
        <w:tc>
          <w:tcPr>
            <w:tcW w:w="0" w:type="auto"/>
            <w:vAlign w:val="center"/>
          </w:tcPr>
          <w:p w:rsidR="005F78FC" w:rsidRDefault="00B42EF3">
            <w:pPr>
              <w:pStyle w:val="TableBodyText"/>
            </w:pPr>
            <w:r>
              <w:t>093B</w:t>
            </w:r>
          </w:p>
        </w:tc>
      </w:tr>
      <w:tr w:rsidR="005F78FC" w:rsidTr="005F78FC">
        <w:tc>
          <w:tcPr>
            <w:tcW w:w="0" w:type="auto"/>
            <w:vAlign w:val="center"/>
          </w:tcPr>
          <w:p w:rsidR="005F78FC" w:rsidRDefault="00B42EF3">
            <w:pPr>
              <w:pStyle w:val="TableBodyText"/>
            </w:pPr>
            <w:r>
              <w:t>BibliographyCreateSource</w:t>
            </w:r>
          </w:p>
        </w:tc>
        <w:tc>
          <w:tcPr>
            <w:tcW w:w="0" w:type="auto"/>
            <w:vAlign w:val="center"/>
          </w:tcPr>
          <w:p w:rsidR="005F78FC" w:rsidRDefault="00B42EF3">
            <w:pPr>
              <w:pStyle w:val="TableBodyText"/>
            </w:pPr>
            <w:r>
              <w:t>0782</w:t>
            </w:r>
          </w:p>
        </w:tc>
      </w:tr>
      <w:tr w:rsidR="005F78FC" w:rsidTr="005F78FC">
        <w:tc>
          <w:tcPr>
            <w:tcW w:w="0" w:type="auto"/>
            <w:vAlign w:val="center"/>
          </w:tcPr>
          <w:p w:rsidR="005F78FC" w:rsidRDefault="00B42EF3">
            <w:pPr>
              <w:pStyle w:val="TableBodyText"/>
            </w:pPr>
            <w:r>
              <w:t>BibliographyEditCitationButton</w:t>
            </w:r>
          </w:p>
        </w:tc>
        <w:tc>
          <w:tcPr>
            <w:tcW w:w="0" w:type="auto"/>
            <w:vAlign w:val="center"/>
          </w:tcPr>
          <w:p w:rsidR="005F78FC" w:rsidRDefault="00B42EF3">
            <w:pPr>
              <w:pStyle w:val="TableBodyText"/>
            </w:pPr>
            <w:r>
              <w:t>0979</w:t>
            </w:r>
          </w:p>
        </w:tc>
      </w:tr>
      <w:tr w:rsidR="005F78FC" w:rsidTr="005F78FC">
        <w:tc>
          <w:tcPr>
            <w:tcW w:w="0" w:type="auto"/>
            <w:vAlign w:val="center"/>
          </w:tcPr>
          <w:p w:rsidR="005F78FC" w:rsidRDefault="00B42EF3">
            <w:pPr>
              <w:pStyle w:val="TableBodyText"/>
            </w:pPr>
            <w:r>
              <w:t>BibliographyEditCitationToolbar</w:t>
            </w:r>
          </w:p>
        </w:tc>
        <w:tc>
          <w:tcPr>
            <w:tcW w:w="0" w:type="auto"/>
            <w:vAlign w:val="center"/>
          </w:tcPr>
          <w:p w:rsidR="005F78FC" w:rsidRDefault="00B42EF3">
            <w:pPr>
              <w:pStyle w:val="TableBodyText"/>
            </w:pPr>
            <w:r>
              <w:t>097B</w:t>
            </w:r>
          </w:p>
        </w:tc>
      </w:tr>
      <w:tr w:rsidR="005F78FC" w:rsidTr="005F78FC">
        <w:tc>
          <w:tcPr>
            <w:tcW w:w="0" w:type="auto"/>
            <w:vAlign w:val="center"/>
          </w:tcPr>
          <w:p w:rsidR="005F78FC" w:rsidRDefault="00B42EF3">
            <w:pPr>
              <w:pStyle w:val="TableBodyText"/>
            </w:pPr>
            <w:r>
              <w:t>BibliographyEditSource</w:t>
            </w:r>
          </w:p>
        </w:tc>
        <w:tc>
          <w:tcPr>
            <w:tcW w:w="0" w:type="auto"/>
            <w:vAlign w:val="center"/>
          </w:tcPr>
          <w:p w:rsidR="005F78FC" w:rsidRDefault="00B42EF3">
            <w:pPr>
              <w:pStyle w:val="TableBodyText"/>
            </w:pPr>
            <w:r>
              <w:t>093C</w:t>
            </w:r>
          </w:p>
        </w:tc>
      </w:tr>
      <w:tr w:rsidR="005F78FC" w:rsidTr="005F78FC">
        <w:tc>
          <w:tcPr>
            <w:tcW w:w="0" w:type="auto"/>
            <w:vAlign w:val="center"/>
          </w:tcPr>
          <w:p w:rsidR="005F78FC" w:rsidRDefault="00B42EF3">
            <w:pPr>
              <w:pStyle w:val="TableBodyText"/>
            </w:pPr>
            <w:r>
              <w:t>BibliographyEditSourceButton</w:t>
            </w:r>
          </w:p>
        </w:tc>
        <w:tc>
          <w:tcPr>
            <w:tcW w:w="0" w:type="auto"/>
            <w:vAlign w:val="center"/>
          </w:tcPr>
          <w:p w:rsidR="005F78FC" w:rsidRDefault="00B42EF3">
            <w:pPr>
              <w:pStyle w:val="TableBodyText"/>
            </w:pPr>
            <w:r>
              <w:t>097A</w:t>
            </w:r>
          </w:p>
        </w:tc>
      </w:tr>
      <w:tr w:rsidR="005F78FC" w:rsidTr="005F78FC">
        <w:tc>
          <w:tcPr>
            <w:tcW w:w="0" w:type="auto"/>
            <w:vAlign w:val="center"/>
          </w:tcPr>
          <w:p w:rsidR="005F78FC" w:rsidRDefault="00B42EF3">
            <w:pPr>
              <w:pStyle w:val="TableBodyText"/>
            </w:pPr>
            <w:r>
              <w:t>BibliographyEditSourceToolbar</w:t>
            </w:r>
          </w:p>
        </w:tc>
        <w:tc>
          <w:tcPr>
            <w:tcW w:w="0" w:type="auto"/>
            <w:vAlign w:val="center"/>
          </w:tcPr>
          <w:p w:rsidR="005F78FC" w:rsidRDefault="00B42EF3">
            <w:pPr>
              <w:pStyle w:val="TableBodyText"/>
            </w:pPr>
            <w:r>
              <w:t>097C</w:t>
            </w:r>
          </w:p>
        </w:tc>
      </w:tr>
      <w:tr w:rsidR="005F78FC" w:rsidTr="005F78FC">
        <w:tc>
          <w:tcPr>
            <w:tcW w:w="0" w:type="auto"/>
            <w:vAlign w:val="center"/>
          </w:tcPr>
          <w:p w:rsidR="005F78FC" w:rsidRDefault="00B42EF3">
            <w:pPr>
              <w:pStyle w:val="TableBodyText"/>
            </w:pPr>
            <w:r>
              <w:t>BibliographyFilterLanguages</w:t>
            </w:r>
          </w:p>
        </w:tc>
        <w:tc>
          <w:tcPr>
            <w:tcW w:w="0" w:type="auto"/>
            <w:vAlign w:val="center"/>
          </w:tcPr>
          <w:p w:rsidR="005F78FC" w:rsidRDefault="00B42EF3">
            <w:pPr>
              <w:pStyle w:val="TableBodyText"/>
            </w:pPr>
            <w:r>
              <w:t>099C</w:t>
            </w:r>
          </w:p>
        </w:tc>
      </w:tr>
      <w:tr w:rsidR="005F78FC" w:rsidTr="005F78FC">
        <w:tc>
          <w:tcPr>
            <w:tcW w:w="0" w:type="auto"/>
            <w:vAlign w:val="center"/>
          </w:tcPr>
          <w:p w:rsidR="005F78FC" w:rsidRDefault="00B42EF3">
            <w:pPr>
              <w:pStyle w:val="TableBodyText"/>
            </w:pPr>
            <w:r>
              <w:t>BibliographyGallery</w:t>
            </w:r>
          </w:p>
        </w:tc>
        <w:tc>
          <w:tcPr>
            <w:tcW w:w="0" w:type="auto"/>
            <w:vAlign w:val="center"/>
          </w:tcPr>
          <w:p w:rsidR="005F78FC" w:rsidRDefault="00B42EF3">
            <w:pPr>
              <w:pStyle w:val="TableBodyText"/>
            </w:pPr>
            <w:r>
              <w:t>08E0</w:t>
            </w:r>
          </w:p>
        </w:tc>
      </w:tr>
      <w:tr w:rsidR="005F78FC" w:rsidTr="005F78FC">
        <w:tc>
          <w:tcPr>
            <w:tcW w:w="0" w:type="auto"/>
            <w:vAlign w:val="center"/>
          </w:tcPr>
          <w:p w:rsidR="005F78FC" w:rsidRDefault="00B42EF3">
            <w:pPr>
              <w:pStyle w:val="TableBodyText"/>
            </w:pPr>
            <w:r>
              <w:t>BibliographySourceManager</w:t>
            </w:r>
          </w:p>
        </w:tc>
        <w:tc>
          <w:tcPr>
            <w:tcW w:w="0" w:type="auto"/>
            <w:vAlign w:val="center"/>
          </w:tcPr>
          <w:p w:rsidR="005F78FC" w:rsidRDefault="00B42EF3">
            <w:pPr>
              <w:pStyle w:val="TableBodyText"/>
            </w:pPr>
            <w:r>
              <w:t>0780</w:t>
            </w:r>
          </w:p>
        </w:tc>
      </w:tr>
      <w:tr w:rsidR="005F78FC" w:rsidTr="005F78FC">
        <w:tc>
          <w:tcPr>
            <w:tcW w:w="0" w:type="auto"/>
            <w:vAlign w:val="center"/>
          </w:tcPr>
          <w:p w:rsidR="005F78FC" w:rsidRDefault="00B42EF3">
            <w:pPr>
              <w:pStyle w:val="TableBodyText"/>
            </w:pPr>
            <w:r>
              <w:t>BlogBlogAccountOptionsDlg</w:t>
            </w:r>
          </w:p>
        </w:tc>
        <w:tc>
          <w:tcPr>
            <w:tcW w:w="0" w:type="auto"/>
            <w:vAlign w:val="center"/>
          </w:tcPr>
          <w:p w:rsidR="005F78FC" w:rsidRDefault="00B42EF3">
            <w:pPr>
              <w:pStyle w:val="TableBodyText"/>
            </w:pPr>
            <w:r>
              <w:t>07C1</w:t>
            </w:r>
          </w:p>
        </w:tc>
      </w:tr>
      <w:tr w:rsidR="005F78FC" w:rsidTr="005F78FC">
        <w:tc>
          <w:tcPr>
            <w:tcW w:w="0" w:type="auto"/>
            <w:vAlign w:val="center"/>
          </w:tcPr>
          <w:p w:rsidR="005F78FC" w:rsidRDefault="00B42EF3">
            <w:pPr>
              <w:pStyle w:val="TableBodyText"/>
            </w:pPr>
            <w:r>
              <w:t>BlogBlogInsertCategories</w:t>
            </w:r>
          </w:p>
        </w:tc>
        <w:tc>
          <w:tcPr>
            <w:tcW w:w="0" w:type="auto"/>
            <w:vAlign w:val="center"/>
          </w:tcPr>
          <w:p w:rsidR="005F78FC" w:rsidRDefault="00B42EF3">
            <w:pPr>
              <w:pStyle w:val="TableBodyText"/>
            </w:pPr>
            <w:r>
              <w:t>05AF</w:t>
            </w:r>
          </w:p>
        </w:tc>
      </w:tr>
      <w:tr w:rsidR="005F78FC" w:rsidTr="005F78FC">
        <w:tc>
          <w:tcPr>
            <w:tcW w:w="0" w:type="auto"/>
            <w:vAlign w:val="center"/>
          </w:tcPr>
          <w:p w:rsidR="005F78FC" w:rsidRDefault="00B42EF3">
            <w:pPr>
              <w:pStyle w:val="TableBodyText"/>
            </w:pPr>
            <w:r>
              <w:t>BlogBlogInsertCategory</w:t>
            </w:r>
          </w:p>
        </w:tc>
        <w:tc>
          <w:tcPr>
            <w:tcW w:w="0" w:type="auto"/>
            <w:vAlign w:val="center"/>
          </w:tcPr>
          <w:p w:rsidR="005F78FC" w:rsidRDefault="00B42EF3">
            <w:pPr>
              <w:pStyle w:val="TableBodyText"/>
            </w:pPr>
            <w:r>
              <w:t>0355</w:t>
            </w:r>
          </w:p>
        </w:tc>
      </w:tr>
      <w:tr w:rsidR="005F78FC" w:rsidTr="005F78FC">
        <w:tc>
          <w:tcPr>
            <w:tcW w:w="0" w:type="auto"/>
            <w:vAlign w:val="center"/>
          </w:tcPr>
          <w:p w:rsidR="005F78FC" w:rsidRDefault="00B42EF3">
            <w:pPr>
              <w:pStyle w:val="TableBodyText"/>
            </w:pPr>
            <w:r>
              <w:t>BlogBlogOpenBlogSite</w:t>
            </w:r>
          </w:p>
        </w:tc>
        <w:tc>
          <w:tcPr>
            <w:tcW w:w="0" w:type="auto"/>
            <w:vAlign w:val="center"/>
          </w:tcPr>
          <w:p w:rsidR="005F78FC" w:rsidRDefault="00B42EF3">
            <w:pPr>
              <w:pStyle w:val="TableBodyText"/>
            </w:pPr>
            <w:r>
              <w:t>0826</w:t>
            </w:r>
          </w:p>
        </w:tc>
      </w:tr>
      <w:tr w:rsidR="005F78FC" w:rsidTr="005F78FC">
        <w:tc>
          <w:tcPr>
            <w:tcW w:w="0" w:type="auto"/>
            <w:vAlign w:val="center"/>
          </w:tcPr>
          <w:p w:rsidR="005F78FC" w:rsidRDefault="00B42EF3">
            <w:pPr>
              <w:pStyle w:val="TableBodyText"/>
            </w:pPr>
            <w:r>
              <w:t>BlogBlogOpenExistingDlg</w:t>
            </w:r>
          </w:p>
        </w:tc>
        <w:tc>
          <w:tcPr>
            <w:tcW w:w="0" w:type="auto"/>
            <w:vAlign w:val="center"/>
          </w:tcPr>
          <w:p w:rsidR="005F78FC" w:rsidRDefault="00B42EF3">
            <w:pPr>
              <w:pStyle w:val="TableBodyText"/>
            </w:pPr>
            <w:r>
              <w:t>0354</w:t>
            </w:r>
          </w:p>
        </w:tc>
      </w:tr>
      <w:tr w:rsidR="005F78FC" w:rsidTr="005F78FC">
        <w:tc>
          <w:tcPr>
            <w:tcW w:w="0" w:type="auto"/>
            <w:vAlign w:val="center"/>
          </w:tcPr>
          <w:p w:rsidR="005F78FC" w:rsidRDefault="00B42EF3">
            <w:pPr>
              <w:pStyle w:val="TableBodyText"/>
            </w:pPr>
            <w:r>
              <w:t>BlogBlogPublish</w:t>
            </w:r>
          </w:p>
        </w:tc>
        <w:tc>
          <w:tcPr>
            <w:tcW w:w="0" w:type="auto"/>
            <w:vAlign w:val="center"/>
          </w:tcPr>
          <w:p w:rsidR="005F78FC" w:rsidRDefault="00B42EF3">
            <w:pPr>
              <w:pStyle w:val="TableBodyText"/>
            </w:pPr>
            <w:r>
              <w:t>0352</w:t>
            </w:r>
          </w:p>
        </w:tc>
      </w:tr>
      <w:tr w:rsidR="005F78FC" w:rsidTr="005F78FC">
        <w:tc>
          <w:tcPr>
            <w:tcW w:w="0" w:type="auto"/>
            <w:vAlign w:val="center"/>
          </w:tcPr>
          <w:p w:rsidR="005F78FC" w:rsidRDefault="00B42EF3">
            <w:pPr>
              <w:pStyle w:val="TableBodyText"/>
            </w:pPr>
            <w:r>
              <w:t>BlogBlogPublishDraft</w:t>
            </w:r>
          </w:p>
        </w:tc>
        <w:tc>
          <w:tcPr>
            <w:tcW w:w="0" w:type="auto"/>
            <w:vAlign w:val="center"/>
          </w:tcPr>
          <w:p w:rsidR="005F78FC" w:rsidRDefault="00B42EF3">
            <w:pPr>
              <w:pStyle w:val="TableBodyText"/>
            </w:pPr>
            <w:r>
              <w:t>0353</w:t>
            </w:r>
          </w:p>
        </w:tc>
      </w:tr>
      <w:tr w:rsidR="005F78FC" w:rsidTr="005F78FC">
        <w:tc>
          <w:tcPr>
            <w:tcW w:w="0" w:type="auto"/>
            <w:vAlign w:val="center"/>
          </w:tcPr>
          <w:p w:rsidR="005F78FC" w:rsidRDefault="00B42EF3">
            <w:pPr>
              <w:pStyle w:val="TableBodyText"/>
            </w:pPr>
            <w:r>
              <w:t>Bold</w:t>
            </w:r>
          </w:p>
        </w:tc>
        <w:tc>
          <w:tcPr>
            <w:tcW w:w="0" w:type="auto"/>
            <w:vAlign w:val="center"/>
          </w:tcPr>
          <w:p w:rsidR="005F78FC" w:rsidRDefault="00B42EF3">
            <w:pPr>
              <w:pStyle w:val="TableBodyText"/>
            </w:pPr>
            <w:r>
              <w:t>002D</w:t>
            </w:r>
          </w:p>
        </w:tc>
      </w:tr>
      <w:tr w:rsidR="005F78FC" w:rsidTr="005F78FC">
        <w:tc>
          <w:tcPr>
            <w:tcW w:w="0" w:type="auto"/>
            <w:vAlign w:val="center"/>
          </w:tcPr>
          <w:p w:rsidR="005F78FC" w:rsidRDefault="00B42EF3">
            <w:pPr>
              <w:pStyle w:val="TableBodyText"/>
            </w:pPr>
            <w:r>
              <w:t>BoldRun</w:t>
            </w:r>
          </w:p>
        </w:tc>
        <w:tc>
          <w:tcPr>
            <w:tcW w:w="0" w:type="auto"/>
            <w:vAlign w:val="center"/>
          </w:tcPr>
          <w:p w:rsidR="005F78FC" w:rsidRDefault="00B42EF3">
            <w:pPr>
              <w:pStyle w:val="TableBodyText"/>
            </w:pPr>
            <w:r>
              <w:t>0424</w:t>
            </w:r>
          </w:p>
        </w:tc>
      </w:tr>
      <w:tr w:rsidR="005F78FC" w:rsidTr="005F78FC">
        <w:tc>
          <w:tcPr>
            <w:tcW w:w="0" w:type="auto"/>
            <w:vAlign w:val="center"/>
          </w:tcPr>
          <w:p w:rsidR="005F78FC" w:rsidRDefault="00B42EF3">
            <w:pPr>
              <w:pStyle w:val="TableBodyText"/>
            </w:pPr>
            <w:r>
              <w:t>BorderAll</w:t>
            </w:r>
          </w:p>
        </w:tc>
        <w:tc>
          <w:tcPr>
            <w:tcW w:w="0" w:type="auto"/>
            <w:vAlign w:val="center"/>
          </w:tcPr>
          <w:p w:rsidR="005F78FC" w:rsidRDefault="00B42EF3">
            <w:pPr>
              <w:pStyle w:val="TableBodyText"/>
            </w:pPr>
            <w:r>
              <w:t>03D1</w:t>
            </w:r>
          </w:p>
        </w:tc>
      </w:tr>
      <w:tr w:rsidR="005F78FC" w:rsidTr="005F78FC">
        <w:tc>
          <w:tcPr>
            <w:tcW w:w="0" w:type="auto"/>
            <w:vAlign w:val="center"/>
          </w:tcPr>
          <w:p w:rsidR="005F78FC" w:rsidRDefault="00B42EF3">
            <w:pPr>
              <w:pStyle w:val="TableBodyText"/>
            </w:pPr>
            <w:r>
              <w:t>BorderBottom</w:t>
            </w:r>
          </w:p>
        </w:tc>
        <w:tc>
          <w:tcPr>
            <w:tcW w:w="0" w:type="auto"/>
            <w:vAlign w:val="center"/>
          </w:tcPr>
          <w:p w:rsidR="005F78FC" w:rsidRDefault="00B42EF3">
            <w:pPr>
              <w:pStyle w:val="TableBodyText"/>
            </w:pPr>
            <w:r>
              <w:t>0FE0</w:t>
            </w:r>
          </w:p>
        </w:tc>
      </w:tr>
      <w:tr w:rsidR="005F78FC" w:rsidTr="005F78FC">
        <w:tc>
          <w:tcPr>
            <w:tcW w:w="0" w:type="auto"/>
            <w:vAlign w:val="center"/>
          </w:tcPr>
          <w:p w:rsidR="005F78FC" w:rsidRDefault="00B42EF3">
            <w:pPr>
              <w:pStyle w:val="TableBodyText"/>
            </w:pPr>
            <w:r>
              <w:t>BorderColorPicker</w:t>
            </w:r>
          </w:p>
        </w:tc>
        <w:tc>
          <w:tcPr>
            <w:tcW w:w="0" w:type="auto"/>
            <w:vAlign w:val="center"/>
          </w:tcPr>
          <w:p w:rsidR="005F78FC" w:rsidRDefault="00B42EF3">
            <w:pPr>
              <w:pStyle w:val="TableBodyText"/>
            </w:pPr>
            <w:r>
              <w:t>08B9</w:t>
            </w:r>
          </w:p>
        </w:tc>
      </w:tr>
      <w:tr w:rsidR="005F78FC" w:rsidTr="005F78FC">
        <w:tc>
          <w:tcPr>
            <w:tcW w:w="0" w:type="auto"/>
            <w:vAlign w:val="center"/>
          </w:tcPr>
          <w:p w:rsidR="005F78FC" w:rsidRDefault="00B42EF3">
            <w:pPr>
              <w:pStyle w:val="TableBodyText"/>
            </w:pPr>
            <w:r>
              <w:t>BorderHoriz</w:t>
            </w:r>
          </w:p>
        </w:tc>
        <w:tc>
          <w:tcPr>
            <w:tcW w:w="0" w:type="auto"/>
            <w:vAlign w:val="center"/>
          </w:tcPr>
          <w:p w:rsidR="005F78FC" w:rsidRDefault="00B42EF3">
            <w:pPr>
              <w:pStyle w:val="TableBodyText"/>
            </w:pPr>
            <w:r>
              <w:t>03C2</w:t>
            </w:r>
          </w:p>
        </w:tc>
      </w:tr>
      <w:tr w:rsidR="005F78FC" w:rsidTr="005F78FC">
        <w:tc>
          <w:tcPr>
            <w:tcW w:w="0" w:type="auto"/>
            <w:vAlign w:val="center"/>
          </w:tcPr>
          <w:p w:rsidR="005F78FC" w:rsidRDefault="00B42EF3">
            <w:pPr>
              <w:pStyle w:val="TableBodyText"/>
            </w:pPr>
            <w:r>
              <w:t>BorderInside</w:t>
            </w:r>
          </w:p>
        </w:tc>
        <w:tc>
          <w:tcPr>
            <w:tcW w:w="0" w:type="auto"/>
            <w:vAlign w:val="center"/>
          </w:tcPr>
          <w:p w:rsidR="005F78FC" w:rsidRDefault="00B42EF3">
            <w:pPr>
              <w:pStyle w:val="TableBodyText"/>
            </w:pPr>
            <w:r>
              <w:t>0FE2</w:t>
            </w:r>
          </w:p>
        </w:tc>
      </w:tr>
      <w:tr w:rsidR="005F78FC" w:rsidTr="005F78FC">
        <w:tc>
          <w:tcPr>
            <w:tcW w:w="0" w:type="auto"/>
            <w:vAlign w:val="center"/>
          </w:tcPr>
          <w:p w:rsidR="005F78FC" w:rsidRDefault="00B42EF3">
            <w:pPr>
              <w:pStyle w:val="TableBodyText"/>
            </w:pPr>
            <w:r>
              <w:t>BorderLeft</w:t>
            </w:r>
          </w:p>
        </w:tc>
        <w:tc>
          <w:tcPr>
            <w:tcW w:w="0" w:type="auto"/>
            <w:vAlign w:val="center"/>
          </w:tcPr>
          <w:p w:rsidR="005F78FC" w:rsidRDefault="00B42EF3">
            <w:pPr>
              <w:pStyle w:val="TableBodyText"/>
            </w:pPr>
            <w:r>
              <w:t>0FDF</w:t>
            </w:r>
          </w:p>
        </w:tc>
      </w:tr>
      <w:tr w:rsidR="005F78FC" w:rsidTr="005F78FC">
        <w:tc>
          <w:tcPr>
            <w:tcW w:w="0" w:type="auto"/>
            <w:vAlign w:val="center"/>
          </w:tcPr>
          <w:p w:rsidR="005F78FC" w:rsidRDefault="00B42EF3">
            <w:pPr>
              <w:pStyle w:val="TableBodyText"/>
            </w:pPr>
            <w:r>
              <w:t>BorderLineColor</w:t>
            </w:r>
          </w:p>
        </w:tc>
        <w:tc>
          <w:tcPr>
            <w:tcW w:w="0" w:type="auto"/>
            <w:vAlign w:val="center"/>
          </w:tcPr>
          <w:p w:rsidR="005F78FC" w:rsidRDefault="00B42EF3">
            <w:pPr>
              <w:pStyle w:val="TableBodyText"/>
            </w:pPr>
            <w:r>
              <w:t>03C4</w:t>
            </w:r>
          </w:p>
        </w:tc>
      </w:tr>
      <w:tr w:rsidR="005F78FC" w:rsidTr="005F78FC">
        <w:tc>
          <w:tcPr>
            <w:tcW w:w="0" w:type="auto"/>
            <w:vAlign w:val="center"/>
          </w:tcPr>
          <w:p w:rsidR="005F78FC" w:rsidRDefault="00B42EF3">
            <w:pPr>
              <w:pStyle w:val="TableBodyText"/>
            </w:pPr>
            <w:r>
              <w:t>BorderLineStyle</w:t>
            </w:r>
          </w:p>
        </w:tc>
        <w:tc>
          <w:tcPr>
            <w:tcW w:w="0" w:type="auto"/>
            <w:vAlign w:val="center"/>
          </w:tcPr>
          <w:p w:rsidR="005F78FC" w:rsidRDefault="00B42EF3">
            <w:pPr>
              <w:pStyle w:val="TableBodyText"/>
            </w:pPr>
            <w:r>
              <w:t>01C3</w:t>
            </w:r>
          </w:p>
        </w:tc>
      </w:tr>
      <w:tr w:rsidR="005F78FC" w:rsidTr="005F78FC">
        <w:tc>
          <w:tcPr>
            <w:tcW w:w="0" w:type="auto"/>
            <w:vAlign w:val="center"/>
          </w:tcPr>
          <w:p w:rsidR="005F78FC" w:rsidRDefault="00B42EF3">
            <w:pPr>
              <w:pStyle w:val="TableBodyText"/>
            </w:pPr>
            <w:r>
              <w:t>BorderLineWeight</w:t>
            </w:r>
          </w:p>
        </w:tc>
        <w:tc>
          <w:tcPr>
            <w:tcW w:w="0" w:type="auto"/>
            <w:vAlign w:val="center"/>
          </w:tcPr>
          <w:p w:rsidR="005F78FC" w:rsidRDefault="00B42EF3">
            <w:pPr>
              <w:pStyle w:val="TableBodyText"/>
            </w:pPr>
            <w:r>
              <w:t>03C1</w:t>
            </w:r>
          </w:p>
        </w:tc>
      </w:tr>
      <w:tr w:rsidR="005F78FC" w:rsidTr="005F78FC">
        <w:tc>
          <w:tcPr>
            <w:tcW w:w="0" w:type="auto"/>
            <w:vAlign w:val="center"/>
          </w:tcPr>
          <w:p w:rsidR="005F78FC" w:rsidRDefault="00B42EF3">
            <w:pPr>
              <w:pStyle w:val="TableBodyText"/>
            </w:pPr>
            <w:r>
              <w:t>BorderNone</w:t>
            </w:r>
          </w:p>
        </w:tc>
        <w:tc>
          <w:tcPr>
            <w:tcW w:w="0" w:type="auto"/>
            <w:vAlign w:val="center"/>
          </w:tcPr>
          <w:p w:rsidR="005F78FC" w:rsidRDefault="00B42EF3">
            <w:pPr>
              <w:pStyle w:val="TableBodyText"/>
            </w:pPr>
            <w:r>
              <w:t>01C2</w:t>
            </w:r>
          </w:p>
        </w:tc>
      </w:tr>
      <w:tr w:rsidR="005F78FC" w:rsidTr="005F78FC">
        <w:tc>
          <w:tcPr>
            <w:tcW w:w="0" w:type="auto"/>
            <w:vAlign w:val="center"/>
          </w:tcPr>
          <w:p w:rsidR="005F78FC" w:rsidRDefault="00B42EF3">
            <w:pPr>
              <w:pStyle w:val="TableBodyText"/>
            </w:pPr>
            <w:r>
              <w:t>BorderOutside</w:t>
            </w:r>
          </w:p>
        </w:tc>
        <w:tc>
          <w:tcPr>
            <w:tcW w:w="0" w:type="auto"/>
            <w:vAlign w:val="center"/>
          </w:tcPr>
          <w:p w:rsidR="005F78FC" w:rsidRDefault="00B42EF3">
            <w:pPr>
              <w:pStyle w:val="TableBodyText"/>
            </w:pPr>
            <w:r>
              <w:t>01C1</w:t>
            </w:r>
          </w:p>
        </w:tc>
      </w:tr>
      <w:tr w:rsidR="005F78FC" w:rsidTr="005F78FC">
        <w:tc>
          <w:tcPr>
            <w:tcW w:w="0" w:type="auto"/>
            <w:vAlign w:val="center"/>
          </w:tcPr>
          <w:p w:rsidR="005F78FC" w:rsidRDefault="00B42EF3">
            <w:pPr>
              <w:pStyle w:val="TableBodyText"/>
            </w:pPr>
            <w:r>
              <w:t>BorderRight</w:t>
            </w:r>
          </w:p>
        </w:tc>
        <w:tc>
          <w:tcPr>
            <w:tcW w:w="0" w:type="auto"/>
            <w:vAlign w:val="center"/>
          </w:tcPr>
          <w:p w:rsidR="005F78FC" w:rsidRDefault="00B42EF3">
            <w:pPr>
              <w:pStyle w:val="TableBodyText"/>
            </w:pPr>
            <w:r>
              <w:t>0FE1</w:t>
            </w:r>
          </w:p>
        </w:tc>
      </w:tr>
      <w:tr w:rsidR="005F78FC" w:rsidTr="005F78FC">
        <w:tc>
          <w:tcPr>
            <w:tcW w:w="0" w:type="auto"/>
            <w:vAlign w:val="center"/>
          </w:tcPr>
          <w:p w:rsidR="005F78FC" w:rsidRDefault="00B42EF3">
            <w:pPr>
              <w:pStyle w:val="TableBodyText"/>
            </w:pPr>
            <w:r>
              <w:t>BorderTLtoBR</w:t>
            </w:r>
          </w:p>
        </w:tc>
        <w:tc>
          <w:tcPr>
            <w:tcW w:w="0" w:type="auto"/>
            <w:vAlign w:val="center"/>
          </w:tcPr>
          <w:p w:rsidR="005F78FC" w:rsidRDefault="00B42EF3">
            <w:pPr>
              <w:pStyle w:val="TableBodyText"/>
            </w:pPr>
            <w:r>
              <w:t>0314</w:t>
            </w:r>
          </w:p>
        </w:tc>
      </w:tr>
      <w:tr w:rsidR="005F78FC" w:rsidTr="005F78FC">
        <w:tc>
          <w:tcPr>
            <w:tcW w:w="0" w:type="auto"/>
            <w:vAlign w:val="center"/>
          </w:tcPr>
          <w:p w:rsidR="005F78FC" w:rsidRDefault="00B42EF3">
            <w:pPr>
              <w:pStyle w:val="TableBodyText"/>
            </w:pPr>
            <w:r>
              <w:lastRenderedPageBreak/>
              <w:t>BorderTRtoBL</w:t>
            </w:r>
          </w:p>
        </w:tc>
        <w:tc>
          <w:tcPr>
            <w:tcW w:w="0" w:type="auto"/>
            <w:vAlign w:val="center"/>
          </w:tcPr>
          <w:p w:rsidR="005F78FC" w:rsidRDefault="00B42EF3">
            <w:pPr>
              <w:pStyle w:val="TableBodyText"/>
            </w:pPr>
            <w:r>
              <w:t>0315</w:t>
            </w:r>
          </w:p>
        </w:tc>
      </w:tr>
      <w:tr w:rsidR="005F78FC" w:rsidTr="005F78FC">
        <w:tc>
          <w:tcPr>
            <w:tcW w:w="0" w:type="auto"/>
            <w:vAlign w:val="center"/>
          </w:tcPr>
          <w:p w:rsidR="005F78FC" w:rsidRDefault="00B42EF3">
            <w:pPr>
              <w:pStyle w:val="TableBodyText"/>
            </w:pPr>
            <w:r>
              <w:t>BorderTop</w:t>
            </w:r>
          </w:p>
        </w:tc>
        <w:tc>
          <w:tcPr>
            <w:tcW w:w="0" w:type="auto"/>
            <w:vAlign w:val="center"/>
          </w:tcPr>
          <w:p w:rsidR="005F78FC" w:rsidRDefault="00B42EF3">
            <w:pPr>
              <w:pStyle w:val="TableBodyText"/>
            </w:pPr>
            <w:r>
              <w:t>0FDE</w:t>
            </w:r>
          </w:p>
        </w:tc>
      </w:tr>
      <w:tr w:rsidR="005F78FC" w:rsidTr="005F78FC">
        <w:tc>
          <w:tcPr>
            <w:tcW w:w="0" w:type="auto"/>
            <w:vAlign w:val="center"/>
          </w:tcPr>
          <w:p w:rsidR="005F78FC" w:rsidRDefault="00B42EF3">
            <w:pPr>
              <w:pStyle w:val="TableBodyText"/>
            </w:pPr>
            <w:r>
              <w:t>BorderVert</w:t>
            </w:r>
          </w:p>
        </w:tc>
        <w:tc>
          <w:tcPr>
            <w:tcW w:w="0" w:type="auto"/>
            <w:vAlign w:val="center"/>
          </w:tcPr>
          <w:p w:rsidR="005F78FC" w:rsidRDefault="00B42EF3">
            <w:pPr>
              <w:pStyle w:val="TableBodyText"/>
            </w:pPr>
            <w:r>
              <w:t>03C3</w:t>
            </w:r>
          </w:p>
        </w:tc>
      </w:tr>
      <w:tr w:rsidR="005F78FC" w:rsidTr="005F78FC">
        <w:tc>
          <w:tcPr>
            <w:tcW w:w="0" w:type="auto"/>
            <w:vAlign w:val="center"/>
          </w:tcPr>
          <w:p w:rsidR="005F78FC" w:rsidRDefault="00B42EF3">
            <w:pPr>
              <w:pStyle w:val="TableBodyText"/>
            </w:pPr>
            <w:r>
              <w:t>Borders</w:t>
            </w:r>
          </w:p>
        </w:tc>
        <w:tc>
          <w:tcPr>
            <w:tcW w:w="0" w:type="auto"/>
            <w:vAlign w:val="center"/>
          </w:tcPr>
          <w:p w:rsidR="005F78FC" w:rsidRDefault="00B42EF3">
            <w:pPr>
              <w:pStyle w:val="TableBodyText"/>
            </w:pPr>
            <w:r>
              <w:t>0223</w:t>
            </w:r>
          </w:p>
        </w:tc>
      </w:tr>
      <w:tr w:rsidR="005F78FC" w:rsidTr="005F78FC">
        <w:tc>
          <w:tcPr>
            <w:tcW w:w="0" w:type="auto"/>
            <w:vAlign w:val="center"/>
          </w:tcPr>
          <w:p w:rsidR="005F78FC" w:rsidRDefault="00B42EF3">
            <w:pPr>
              <w:pStyle w:val="TableBodyText"/>
            </w:pPr>
            <w:r>
              <w:t>BottomAlign</w:t>
            </w:r>
          </w:p>
        </w:tc>
        <w:tc>
          <w:tcPr>
            <w:tcW w:w="0" w:type="auto"/>
            <w:vAlign w:val="center"/>
          </w:tcPr>
          <w:p w:rsidR="005F78FC" w:rsidRDefault="00B42EF3">
            <w:pPr>
              <w:pStyle w:val="TableBodyText"/>
            </w:pPr>
            <w:r>
              <w:t>0321</w:t>
            </w:r>
          </w:p>
        </w:tc>
      </w:tr>
      <w:tr w:rsidR="005F78FC" w:rsidTr="005F78FC">
        <w:tc>
          <w:tcPr>
            <w:tcW w:w="0" w:type="auto"/>
            <w:vAlign w:val="center"/>
          </w:tcPr>
          <w:p w:rsidR="005F78FC" w:rsidRDefault="00B42EF3">
            <w:pPr>
              <w:pStyle w:val="TableBodyText"/>
            </w:pPr>
            <w:r>
              <w:t>BottomCenterAlign</w:t>
            </w:r>
          </w:p>
        </w:tc>
        <w:tc>
          <w:tcPr>
            <w:tcW w:w="0" w:type="auto"/>
            <w:vAlign w:val="center"/>
          </w:tcPr>
          <w:p w:rsidR="005F78FC" w:rsidRDefault="00B42EF3">
            <w:pPr>
              <w:pStyle w:val="TableBodyText"/>
            </w:pPr>
            <w:r>
              <w:t>0480</w:t>
            </w:r>
          </w:p>
        </w:tc>
      </w:tr>
      <w:tr w:rsidR="005F78FC" w:rsidTr="005F78FC">
        <w:tc>
          <w:tcPr>
            <w:tcW w:w="0" w:type="auto"/>
            <w:vAlign w:val="center"/>
          </w:tcPr>
          <w:p w:rsidR="005F78FC" w:rsidRDefault="00B42EF3">
            <w:pPr>
              <w:pStyle w:val="TableBodyText"/>
            </w:pPr>
            <w:r>
              <w:t>BottomLeftAlign</w:t>
            </w:r>
          </w:p>
        </w:tc>
        <w:tc>
          <w:tcPr>
            <w:tcW w:w="0" w:type="auto"/>
            <w:vAlign w:val="center"/>
          </w:tcPr>
          <w:p w:rsidR="005F78FC" w:rsidRDefault="00B42EF3">
            <w:pPr>
              <w:pStyle w:val="TableBodyText"/>
            </w:pPr>
            <w:r>
              <w:t>0481</w:t>
            </w:r>
          </w:p>
        </w:tc>
      </w:tr>
      <w:tr w:rsidR="005F78FC" w:rsidTr="005F78FC">
        <w:tc>
          <w:tcPr>
            <w:tcW w:w="0" w:type="auto"/>
            <w:vAlign w:val="center"/>
          </w:tcPr>
          <w:p w:rsidR="005F78FC" w:rsidRDefault="00B42EF3">
            <w:pPr>
              <w:pStyle w:val="TableBodyText"/>
            </w:pPr>
            <w:r>
              <w:t>BottomRightAlign</w:t>
            </w:r>
          </w:p>
        </w:tc>
        <w:tc>
          <w:tcPr>
            <w:tcW w:w="0" w:type="auto"/>
            <w:vAlign w:val="center"/>
          </w:tcPr>
          <w:p w:rsidR="005F78FC" w:rsidRDefault="00B42EF3">
            <w:pPr>
              <w:pStyle w:val="TableBodyText"/>
            </w:pPr>
            <w:r>
              <w:t>047F</w:t>
            </w:r>
          </w:p>
        </w:tc>
      </w:tr>
      <w:tr w:rsidR="005F78FC" w:rsidTr="005F78FC">
        <w:tc>
          <w:tcPr>
            <w:tcW w:w="0" w:type="auto"/>
            <w:vAlign w:val="center"/>
          </w:tcPr>
          <w:p w:rsidR="005F78FC" w:rsidRDefault="00B42EF3">
            <w:pPr>
              <w:pStyle w:val="TableBodyText"/>
            </w:pPr>
            <w:r>
              <w:t>BreaksGallery</w:t>
            </w:r>
          </w:p>
        </w:tc>
        <w:tc>
          <w:tcPr>
            <w:tcW w:w="0" w:type="auto"/>
            <w:vAlign w:val="center"/>
          </w:tcPr>
          <w:p w:rsidR="005F78FC" w:rsidRDefault="00B42EF3">
            <w:pPr>
              <w:pStyle w:val="TableBodyText"/>
            </w:pPr>
            <w:r>
              <w:t>0830</w:t>
            </w:r>
          </w:p>
        </w:tc>
      </w:tr>
      <w:tr w:rsidR="005F78FC" w:rsidTr="005F78FC">
        <w:tc>
          <w:tcPr>
            <w:tcW w:w="0" w:type="auto"/>
            <w:vAlign w:val="center"/>
          </w:tcPr>
          <w:p w:rsidR="005F78FC" w:rsidRDefault="00B42EF3">
            <w:pPr>
              <w:pStyle w:val="TableBodyText"/>
            </w:pPr>
            <w:r>
              <w:t>BrightnessGallery</w:t>
            </w:r>
          </w:p>
        </w:tc>
        <w:tc>
          <w:tcPr>
            <w:tcW w:w="0" w:type="auto"/>
            <w:vAlign w:val="center"/>
          </w:tcPr>
          <w:p w:rsidR="005F78FC" w:rsidRDefault="00B42EF3">
            <w:pPr>
              <w:pStyle w:val="TableBodyText"/>
            </w:pPr>
            <w:r>
              <w:t>0851</w:t>
            </w:r>
          </w:p>
        </w:tc>
      </w:tr>
      <w:tr w:rsidR="005F78FC" w:rsidTr="005F78FC">
        <w:tc>
          <w:tcPr>
            <w:tcW w:w="0" w:type="auto"/>
            <w:vAlign w:val="center"/>
          </w:tcPr>
          <w:p w:rsidR="005F78FC" w:rsidRDefault="00B42EF3">
            <w:pPr>
              <w:pStyle w:val="TableBodyText"/>
            </w:pPr>
            <w:r>
              <w:t>BringForward</w:t>
            </w:r>
          </w:p>
        </w:tc>
        <w:tc>
          <w:tcPr>
            <w:tcW w:w="0" w:type="auto"/>
            <w:vAlign w:val="center"/>
          </w:tcPr>
          <w:p w:rsidR="005F78FC" w:rsidRDefault="00B42EF3">
            <w:pPr>
              <w:pStyle w:val="TableBodyText"/>
            </w:pPr>
            <w:r>
              <w:t>0857</w:t>
            </w:r>
          </w:p>
        </w:tc>
      </w:tr>
      <w:tr w:rsidR="005F78FC" w:rsidTr="005F78FC">
        <w:tc>
          <w:tcPr>
            <w:tcW w:w="0" w:type="auto"/>
            <w:vAlign w:val="center"/>
          </w:tcPr>
          <w:p w:rsidR="005F78FC" w:rsidRDefault="00B42EF3">
            <w:pPr>
              <w:pStyle w:val="TableBodyText"/>
            </w:pPr>
            <w:r>
              <w:t>BringToFront</w:t>
            </w:r>
          </w:p>
        </w:tc>
        <w:tc>
          <w:tcPr>
            <w:tcW w:w="0" w:type="auto"/>
            <w:vAlign w:val="center"/>
          </w:tcPr>
          <w:p w:rsidR="005F78FC" w:rsidRDefault="00B42EF3">
            <w:pPr>
              <w:pStyle w:val="TableBodyText"/>
            </w:pPr>
            <w:r>
              <w:t>0858</w:t>
            </w:r>
          </w:p>
        </w:tc>
      </w:tr>
      <w:tr w:rsidR="005F78FC" w:rsidTr="005F78FC">
        <w:tc>
          <w:tcPr>
            <w:tcW w:w="0" w:type="auto"/>
            <w:vAlign w:val="center"/>
          </w:tcPr>
          <w:p w:rsidR="005F78FC" w:rsidRDefault="00B42EF3">
            <w:pPr>
              <w:pStyle w:val="TableBodyText"/>
            </w:pPr>
            <w:r>
              <w:t>BrowseForThemes</w:t>
            </w:r>
          </w:p>
        </w:tc>
        <w:tc>
          <w:tcPr>
            <w:tcW w:w="0" w:type="auto"/>
            <w:vAlign w:val="center"/>
          </w:tcPr>
          <w:p w:rsidR="005F78FC" w:rsidRDefault="00B42EF3">
            <w:pPr>
              <w:pStyle w:val="TableBodyText"/>
            </w:pPr>
            <w:r>
              <w:t>0877</w:t>
            </w:r>
          </w:p>
        </w:tc>
      </w:tr>
      <w:tr w:rsidR="005F78FC" w:rsidTr="005F78FC">
        <w:tc>
          <w:tcPr>
            <w:tcW w:w="0" w:type="auto"/>
            <w:vAlign w:val="center"/>
          </w:tcPr>
          <w:p w:rsidR="005F78FC" w:rsidRDefault="00B42EF3">
            <w:pPr>
              <w:pStyle w:val="TableBodyText"/>
            </w:pPr>
            <w:r>
              <w:t>BrowseNext</w:t>
            </w:r>
          </w:p>
        </w:tc>
        <w:tc>
          <w:tcPr>
            <w:tcW w:w="0" w:type="auto"/>
            <w:vAlign w:val="center"/>
          </w:tcPr>
          <w:p w:rsidR="005F78FC" w:rsidRDefault="00B42EF3">
            <w:pPr>
              <w:pStyle w:val="TableBodyText"/>
            </w:pPr>
            <w:r>
              <w:t>0342</w:t>
            </w:r>
          </w:p>
        </w:tc>
      </w:tr>
      <w:tr w:rsidR="005F78FC" w:rsidTr="005F78FC">
        <w:tc>
          <w:tcPr>
            <w:tcW w:w="0" w:type="auto"/>
            <w:vAlign w:val="center"/>
          </w:tcPr>
          <w:p w:rsidR="005F78FC" w:rsidRDefault="00B42EF3">
            <w:pPr>
              <w:pStyle w:val="TableBodyText"/>
            </w:pPr>
            <w:r>
              <w:t>BrowsePrev</w:t>
            </w:r>
          </w:p>
        </w:tc>
        <w:tc>
          <w:tcPr>
            <w:tcW w:w="0" w:type="auto"/>
            <w:vAlign w:val="center"/>
          </w:tcPr>
          <w:p w:rsidR="005F78FC" w:rsidRDefault="00B42EF3">
            <w:pPr>
              <w:pStyle w:val="TableBodyText"/>
            </w:pPr>
            <w:r>
              <w:t>0337</w:t>
            </w:r>
          </w:p>
        </w:tc>
      </w:tr>
      <w:tr w:rsidR="005F78FC" w:rsidTr="005F78FC">
        <w:tc>
          <w:tcPr>
            <w:tcW w:w="0" w:type="auto"/>
            <w:vAlign w:val="center"/>
          </w:tcPr>
          <w:p w:rsidR="005F78FC" w:rsidRDefault="00B42EF3">
            <w:pPr>
              <w:pStyle w:val="TableBodyText"/>
            </w:pPr>
            <w:r>
              <w:t>BrowseSel</w:t>
            </w:r>
          </w:p>
        </w:tc>
        <w:tc>
          <w:tcPr>
            <w:tcW w:w="0" w:type="auto"/>
            <w:vAlign w:val="center"/>
          </w:tcPr>
          <w:p w:rsidR="005F78FC" w:rsidRDefault="00B42EF3">
            <w:pPr>
              <w:pStyle w:val="TableBodyText"/>
            </w:pPr>
            <w:r>
              <w:t>0336</w:t>
            </w:r>
          </w:p>
        </w:tc>
      </w:tr>
      <w:tr w:rsidR="005F78FC" w:rsidTr="005F78FC">
        <w:tc>
          <w:tcPr>
            <w:tcW w:w="0" w:type="auto"/>
            <w:vAlign w:val="center"/>
          </w:tcPr>
          <w:p w:rsidR="005F78FC" w:rsidRDefault="00B42EF3">
            <w:pPr>
              <w:pStyle w:val="TableBodyText"/>
            </w:pPr>
            <w:r>
              <w:t>BuildingBlockOrganizer</w:t>
            </w:r>
          </w:p>
        </w:tc>
        <w:tc>
          <w:tcPr>
            <w:tcW w:w="0" w:type="auto"/>
            <w:vAlign w:val="center"/>
          </w:tcPr>
          <w:p w:rsidR="005F78FC" w:rsidRDefault="00B42EF3">
            <w:pPr>
              <w:pStyle w:val="TableBodyText"/>
            </w:pPr>
            <w:r>
              <w:t>0813</w:t>
            </w:r>
          </w:p>
        </w:tc>
      </w:tr>
      <w:tr w:rsidR="005F78FC" w:rsidTr="005F78FC">
        <w:tc>
          <w:tcPr>
            <w:tcW w:w="0" w:type="auto"/>
            <w:vAlign w:val="center"/>
          </w:tcPr>
          <w:p w:rsidR="005F78FC" w:rsidRDefault="00B42EF3">
            <w:pPr>
              <w:pStyle w:val="TableBodyText"/>
            </w:pPr>
            <w:r>
              <w:t>BulletsGallery</w:t>
            </w:r>
          </w:p>
        </w:tc>
        <w:tc>
          <w:tcPr>
            <w:tcW w:w="0" w:type="auto"/>
            <w:vAlign w:val="center"/>
          </w:tcPr>
          <w:p w:rsidR="005F78FC" w:rsidRDefault="00B42EF3">
            <w:pPr>
              <w:pStyle w:val="TableBodyText"/>
            </w:pPr>
            <w:r>
              <w:t>07AB</w:t>
            </w:r>
          </w:p>
        </w:tc>
      </w:tr>
      <w:tr w:rsidR="005F78FC" w:rsidTr="005F78FC">
        <w:tc>
          <w:tcPr>
            <w:tcW w:w="0" w:type="auto"/>
            <w:vAlign w:val="center"/>
          </w:tcPr>
          <w:p w:rsidR="005F78FC" w:rsidRDefault="00B42EF3">
            <w:pPr>
              <w:pStyle w:val="TableBodyText"/>
            </w:pPr>
            <w:r>
              <w:t>BulletsNumberingStyleDialog</w:t>
            </w:r>
          </w:p>
        </w:tc>
        <w:tc>
          <w:tcPr>
            <w:tcW w:w="0" w:type="auto"/>
            <w:vAlign w:val="center"/>
          </w:tcPr>
          <w:p w:rsidR="005F78FC" w:rsidRDefault="00B42EF3">
            <w:pPr>
              <w:pStyle w:val="TableBodyText"/>
            </w:pPr>
            <w:r>
              <w:t>08DA</w:t>
            </w:r>
          </w:p>
        </w:tc>
      </w:tr>
      <w:tr w:rsidR="005F78FC" w:rsidTr="005F78FC">
        <w:tc>
          <w:tcPr>
            <w:tcW w:w="0" w:type="auto"/>
            <w:vAlign w:val="center"/>
          </w:tcPr>
          <w:p w:rsidR="005F78FC" w:rsidRDefault="00B42EF3">
            <w:pPr>
              <w:pStyle w:val="TableBodyText"/>
            </w:pPr>
            <w:r>
              <w:t>Cancel</w:t>
            </w:r>
          </w:p>
        </w:tc>
        <w:tc>
          <w:tcPr>
            <w:tcW w:w="0" w:type="auto"/>
            <w:vAlign w:val="center"/>
          </w:tcPr>
          <w:p w:rsidR="005F78FC" w:rsidRDefault="00B42EF3">
            <w:pPr>
              <w:pStyle w:val="TableBodyText"/>
            </w:pPr>
            <w:r>
              <w:t>0048</w:t>
            </w:r>
          </w:p>
        </w:tc>
      </w:tr>
      <w:tr w:rsidR="005F78FC" w:rsidTr="005F78FC">
        <w:tc>
          <w:tcPr>
            <w:tcW w:w="0" w:type="auto"/>
            <w:vAlign w:val="center"/>
          </w:tcPr>
          <w:p w:rsidR="005F78FC" w:rsidRDefault="00B42EF3">
            <w:pPr>
              <w:pStyle w:val="TableBodyText"/>
            </w:pPr>
            <w:r>
              <w:t>CancelHighlightMode</w:t>
            </w:r>
          </w:p>
        </w:tc>
        <w:tc>
          <w:tcPr>
            <w:tcW w:w="0" w:type="auto"/>
            <w:vAlign w:val="center"/>
          </w:tcPr>
          <w:p w:rsidR="005F78FC" w:rsidRDefault="00B42EF3">
            <w:pPr>
              <w:pStyle w:val="TableBodyText"/>
            </w:pPr>
            <w:r>
              <w:t>08BE</w:t>
            </w:r>
          </w:p>
        </w:tc>
      </w:tr>
      <w:tr w:rsidR="005F78FC" w:rsidTr="005F78FC">
        <w:tc>
          <w:tcPr>
            <w:tcW w:w="0" w:type="auto"/>
            <w:vAlign w:val="center"/>
          </w:tcPr>
          <w:p w:rsidR="005F78FC" w:rsidRDefault="00B42EF3">
            <w:pPr>
              <w:pStyle w:val="TableBodyText"/>
            </w:pPr>
            <w:r>
              <w:t>CellAlignmentGallery</w:t>
            </w:r>
          </w:p>
        </w:tc>
        <w:tc>
          <w:tcPr>
            <w:tcW w:w="0" w:type="auto"/>
            <w:vAlign w:val="center"/>
          </w:tcPr>
          <w:p w:rsidR="005F78FC" w:rsidRDefault="00B42EF3">
            <w:pPr>
              <w:pStyle w:val="TableBodyText"/>
            </w:pPr>
            <w:r>
              <w:t>08C2</w:t>
            </w:r>
          </w:p>
        </w:tc>
      </w:tr>
      <w:tr w:rsidR="005F78FC" w:rsidTr="005F78FC">
        <w:tc>
          <w:tcPr>
            <w:tcW w:w="0" w:type="auto"/>
            <w:vAlign w:val="center"/>
          </w:tcPr>
          <w:p w:rsidR="005F78FC" w:rsidRDefault="00B42EF3">
            <w:pPr>
              <w:pStyle w:val="TableBodyText"/>
            </w:pPr>
            <w:r>
              <w:t>CellOptions</w:t>
            </w:r>
          </w:p>
        </w:tc>
        <w:tc>
          <w:tcPr>
            <w:tcW w:w="0" w:type="auto"/>
            <w:vAlign w:val="center"/>
          </w:tcPr>
          <w:p w:rsidR="005F78FC" w:rsidRDefault="00B42EF3">
            <w:pPr>
              <w:pStyle w:val="TableBodyText"/>
            </w:pPr>
            <w:r>
              <w:t>0439</w:t>
            </w:r>
          </w:p>
        </w:tc>
      </w:tr>
      <w:tr w:rsidR="005F78FC" w:rsidTr="005F78FC">
        <w:tc>
          <w:tcPr>
            <w:tcW w:w="0" w:type="auto"/>
            <w:vAlign w:val="center"/>
          </w:tcPr>
          <w:p w:rsidR="005F78FC" w:rsidRDefault="00B42EF3">
            <w:pPr>
              <w:pStyle w:val="TableBodyText"/>
            </w:pPr>
            <w:r>
              <w:t>CenterAlign</w:t>
            </w:r>
          </w:p>
        </w:tc>
        <w:tc>
          <w:tcPr>
            <w:tcW w:w="0" w:type="auto"/>
            <w:vAlign w:val="center"/>
          </w:tcPr>
          <w:p w:rsidR="005F78FC" w:rsidRDefault="00B42EF3">
            <w:pPr>
              <w:pStyle w:val="TableBodyText"/>
            </w:pPr>
            <w:r>
              <w:t>0320</w:t>
            </w:r>
          </w:p>
        </w:tc>
      </w:tr>
      <w:tr w:rsidR="005F78FC" w:rsidTr="005F78FC">
        <w:tc>
          <w:tcPr>
            <w:tcW w:w="0" w:type="auto"/>
            <w:vAlign w:val="center"/>
          </w:tcPr>
          <w:p w:rsidR="005F78FC" w:rsidRDefault="00B42EF3">
            <w:pPr>
              <w:pStyle w:val="TableBodyText"/>
            </w:pPr>
            <w:r>
              <w:t>CenterPara</w:t>
            </w:r>
          </w:p>
        </w:tc>
        <w:tc>
          <w:tcPr>
            <w:tcW w:w="0" w:type="auto"/>
            <w:vAlign w:val="center"/>
          </w:tcPr>
          <w:p w:rsidR="005F78FC" w:rsidRDefault="00B42EF3">
            <w:pPr>
              <w:pStyle w:val="TableBodyText"/>
            </w:pPr>
            <w:r>
              <w:t>003B</w:t>
            </w:r>
          </w:p>
        </w:tc>
      </w:tr>
      <w:tr w:rsidR="005F78FC" w:rsidTr="005F78FC">
        <w:tc>
          <w:tcPr>
            <w:tcW w:w="0" w:type="auto"/>
            <w:vAlign w:val="center"/>
          </w:tcPr>
          <w:p w:rsidR="005F78FC" w:rsidRDefault="00B42EF3">
            <w:pPr>
              <w:pStyle w:val="TableBodyText"/>
            </w:pPr>
            <w:r>
              <w:t>ChangeByte</w:t>
            </w:r>
          </w:p>
        </w:tc>
        <w:tc>
          <w:tcPr>
            <w:tcW w:w="0" w:type="auto"/>
            <w:vAlign w:val="center"/>
          </w:tcPr>
          <w:p w:rsidR="005F78FC" w:rsidRDefault="00B42EF3">
            <w:pPr>
              <w:pStyle w:val="TableBodyText"/>
            </w:pPr>
            <w:r>
              <w:t>02DA</w:t>
            </w:r>
          </w:p>
        </w:tc>
      </w:tr>
      <w:tr w:rsidR="005F78FC" w:rsidTr="005F78FC">
        <w:tc>
          <w:tcPr>
            <w:tcW w:w="0" w:type="auto"/>
            <w:vAlign w:val="center"/>
          </w:tcPr>
          <w:p w:rsidR="005F78FC" w:rsidRDefault="00B42EF3">
            <w:pPr>
              <w:pStyle w:val="TableBodyText"/>
            </w:pPr>
            <w:r>
              <w:t>ChangeCase</w:t>
            </w:r>
          </w:p>
        </w:tc>
        <w:tc>
          <w:tcPr>
            <w:tcW w:w="0" w:type="auto"/>
            <w:vAlign w:val="center"/>
          </w:tcPr>
          <w:p w:rsidR="005F78FC" w:rsidRDefault="00B42EF3">
            <w:pPr>
              <w:pStyle w:val="TableBodyText"/>
            </w:pPr>
            <w:r>
              <w:t>0011</w:t>
            </w:r>
          </w:p>
        </w:tc>
      </w:tr>
      <w:tr w:rsidR="005F78FC" w:rsidTr="005F78FC">
        <w:tc>
          <w:tcPr>
            <w:tcW w:w="0" w:type="auto"/>
            <w:vAlign w:val="center"/>
          </w:tcPr>
          <w:p w:rsidR="005F78FC" w:rsidRDefault="00B42EF3">
            <w:pPr>
              <w:pStyle w:val="TableBodyText"/>
            </w:pPr>
            <w:r>
              <w:t>ChangeCaseGallery</w:t>
            </w:r>
          </w:p>
        </w:tc>
        <w:tc>
          <w:tcPr>
            <w:tcW w:w="0" w:type="auto"/>
            <w:vAlign w:val="center"/>
          </w:tcPr>
          <w:p w:rsidR="005F78FC" w:rsidRDefault="00B42EF3">
            <w:pPr>
              <w:pStyle w:val="TableBodyText"/>
            </w:pPr>
            <w:r>
              <w:t>0853</w:t>
            </w:r>
          </w:p>
        </w:tc>
      </w:tr>
      <w:tr w:rsidR="005F78FC" w:rsidTr="005F78FC">
        <w:tc>
          <w:tcPr>
            <w:tcW w:w="0" w:type="auto"/>
            <w:vAlign w:val="center"/>
          </w:tcPr>
          <w:p w:rsidR="005F78FC" w:rsidRDefault="00B42EF3">
            <w:pPr>
              <w:pStyle w:val="TableBodyText"/>
            </w:pPr>
            <w:r>
              <w:t>ChangeKana</w:t>
            </w:r>
          </w:p>
        </w:tc>
        <w:tc>
          <w:tcPr>
            <w:tcW w:w="0" w:type="auto"/>
            <w:vAlign w:val="center"/>
          </w:tcPr>
          <w:p w:rsidR="005F78FC" w:rsidRDefault="00B42EF3">
            <w:pPr>
              <w:pStyle w:val="TableBodyText"/>
            </w:pPr>
            <w:r>
              <w:t>02DB</w:t>
            </w:r>
          </w:p>
        </w:tc>
      </w:tr>
      <w:tr w:rsidR="005F78FC" w:rsidTr="005F78FC">
        <w:tc>
          <w:tcPr>
            <w:tcW w:w="0" w:type="auto"/>
            <w:vAlign w:val="center"/>
          </w:tcPr>
          <w:p w:rsidR="005F78FC" w:rsidRDefault="00B42EF3">
            <w:pPr>
              <w:pStyle w:val="TableBodyText"/>
            </w:pPr>
            <w:r>
              <w:t>ChangeMailFormat</w:t>
            </w:r>
          </w:p>
        </w:tc>
        <w:tc>
          <w:tcPr>
            <w:tcW w:w="0" w:type="auto"/>
            <w:vAlign w:val="center"/>
          </w:tcPr>
          <w:p w:rsidR="005F78FC" w:rsidRDefault="00B42EF3">
            <w:pPr>
              <w:pStyle w:val="TableBodyText"/>
            </w:pPr>
            <w:r>
              <w:t>1BC9</w:t>
            </w:r>
          </w:p>
        </w:tc>
      </w:tr>
      <w:tr w:rsidR="005F78FC" w:rsidTr="005F78FC">
        <w:tc>
          <w:tcPr>
            <w:tcW w:w="0" w:type="auto"/>
            <w:vAlign w:val="center"/>
          </w:tcPr>
          <w:p w:rsidR="005F78FC" w:rsidRDefault="00B42EF3">
            <w:pPr>
              <w:pStyle w:val="TableBodyText"/>
            </w:pPr>
            <w:r>
              <w:t>ChangeShapesGallery</w:t>
            </w:r>
          </w:p>
        </w:tc>
        <w:tc>
          <w:tcPr>
            <w:tcW w:w="0" w:type="auto"/>
            <w:vAlign w:val="center"/>
          </w:tcPr>
          <w:p w:rsidR="005F78FC" w:rsidRDefault="00B42EF3">
            <w:pPr>
              <w:pStyle w:val="TableBodyText"/>
            </w:pPr>
            <w:r>
              <w:t>07B9</w:t>
            </w:r>
          </w:p>
        </w:tc>
      </w:tr>
      <w:tr w:rsidR="005F78FC" w:rsidTr="005F78FC">
        <w:tc>
          <w:tcPr>
            <w:tcW w:w="0" w:type="auto"/>
            <w:vAlign w:val="center"/>
          </w:tcPr>
          <w:p w:rsidR="005F78FC" w:rsidRDefault="00B42EF3">
            <w:pPr>
              <w:pStyle w:val="TableBodyText"/>
            </w:pPr>
            <w:r>
              <w:t>CharColor</w:t>
            </w:r>
          </w:p>
        </w:tc>
        <w:tc>
          <w:tcPr>
            <w:tcW w:w="0" w:type="auto"/>
            <w:vAlign w:val="center"/>
          </w:tcPr>
          <w:p w:rsidR="005F78FC" w:rsidRDefault="00B42EF3">
            <w:pPr>
              <w:pStyle w:val="TableBodyText"/>
            </w:pPr>
            <w:r>
              <w:t>0039</w:t>
            </w:r>
          </w:p>
        </w:tc>
      </w:tr>
      <w:tr w:rsidR="005F78FC" w:rsidTr="005F78FC">
        <w:tc>
          <w:tcPr>
            <w:tcW w:w="0" w:type="auto"/>
            <w:vAlign w:val="center"/>
          </w:tcPr>
          <w:p w:rsidR="005F78FC" w:rsidRDefault="00B42EF3">
            <w:pPr>
              <w:pStyle w:val="TableBodyText"/>
            </w:pPr>
            <w:r>
              <w:lastRenderedPageBreak/>
              <w:t>CharLeft</w:t>
            </w:r>
          </w:p>
        </w:tc>
        <w:tc>
          <w:tcPr>
            <w:tcW w:w="0" w:type="auto"/>
            <w:vAlign w:val="center"/>
          </w:tcPr>
          <w:p w:rsidR="005F78FC" w:rsidRDefault="00B42EF3">
            <w:pPr>
              <w:pStyle w:val="TableBodyText"/>
            </w:pPr>
            <w:r>
              <w:t>0FA0</w:t>
            </w:r>
          </w:p>
        </w:tc>
      </w:tr>
      <w:tr w:rsidR="005F78FC" w:rsidTr="005F78FC">
        <w:tc>
          <w:tcPr>
            <w:tcW w:w="0" w:type="auto"/>
            <w:vAlign w:val="center"/>
          </w:tcPr>
          <w:p w:rsidR="005F78FC" w:rsidRDefault="00B42EF3">
            <w:pPr>
              <w:pStyle w:val="TableBodyText"/>
            </w:pPr>
            <w:r>
              <w:t>CharLeftExtend</w:t>
            </w:r>
          </w:p>
        </w:tc>
        <w:tc>
          <w:tcPr>
            <w:tcW w:w="0" w:type="auto"/>
            <w:vAlign w:val="center"/>
          </w:tcPr>
          <w:p w:rsidR="005F78FC" w:rsidRDefault="00B42EF3">
            <w:pPr>
              <w:pStyle w:val="TableBodyText"/>
            </w:pPr>
            <w:r>
              <w:t>0FB2</w:t>
            </w:r>
          </w:p>
        </w:tc>
      </w:tr>
      <w:tr w:rsidR="005F78FC" w:rsidTr="005F78FC">
        <w:tc>
          <w:tcPr>
            <w:tcW w:w="0" w:type="auto"/>
            <w:vAlign w:val="center"/>
          </w:tcPr>
          <w:p w:rsidR="005F78FC" w:rsidRDefault="00B42EF3">
            <w:pPr>
              <w:pStyle w:val="TableBodyText"/>
            </w:pPr>
            <w:r>
              <w:t>CharRight</w:t>
            </w:r>
          </w:p>
        </w:tc>
        <w:tc>
          <w:tcPr>
            <w:tcW w:w="0" w:type="auto"/>
            <w:vAlign w:val="center"/>
          </w:tcPr>
          <w:p w:rsidR="005F78FC" w:rsidRDefault="00B42EF3">
            <w:pPr>
              <w:pStyle w:val="TableBodyText"/>
            </w:pPr>
            <w:r>
              <w:t>0FA1</w:t>
            </w:r>
          </w:p>
        </w:tc>
      </w:tr>
      <w:tr w:rsidR="005F78FC" w:rsidTr="005F78FC">
        <w:tc>
          <w:tcPr>
            <w:tcW w:w="0" w:type="auto"/>
            <w:vAlign w:val="center"/>
          </w:tcPr>
          <w:p w:rsidR="005F78FC" w:rsidRDefault="00B42EF3">
            <w:pPr>
              <w:pStyle w:val="TableBodyText"/>
            </w:pPr>
            <w:r>
              <w:t>CharRightExtend</w:t>
            </w:r>
          </w:p>
        </w:tc>
        <w:tc>
          <w:tcPr>
            <w:tcW w:w="0" w:type="auto"/>
            <w:vAlign w:val="center"/>
          </w:tcPr>
          <w:p w:rsidR="005F78FC" w:rsidRDefault="00B42EF3">
            <w:pPr>
              <w:pStyle w:val="TableBodyText"/>
            </w:pPr>
            <w:r>
              <w:t>0FB3</w:t>
            </w:r>
          </w:p>
        </w:tc>
      </w:tr>
      <w:tr w:rsidR="005F78FC" w:rsidTr="005F78FC">
        <w:tc>
          <w:tcPr>
            <w:tcW w:w="0" w:type="auto"/>
            <w:vAlign w:val="center"/>
          </w:tcPr>
          <w:p w:rsidR="005F78FC" w:rsidRDefault="00B42EF3">
            <w:pPr>
              <w:pStyle w:val="TableBodyText"/>
            </w:pPr>
            <w:r>
              <w:t>CharScale</w:t>
            </w:r>
          </w:p>
        </w:tc>
        <w:tc>
          <w:tcPr>
            <w:tcW w:w="0" w:type="auto"/>
            <w:vAlign w:val="center"/>
          </w:tcPr>
          <w:p w:rsidR="005F78FC" w:rsidRDefault="00B42EF3">
            <w:pPr>
              <w:pStyle w:val="TableBodyText"/>
            </w:pPr>
            <w:r>
              <w:t>031D</w:t>
            </w:r>
          </w:p>
        </w:tc>
      </w:tr>
      <w:tr w:rsidR="005F78FC" w:rsidTr="005F78FC">
        <w:tc>
          <w:tcPr>
            <w:tcW w:w="0" w:type="auto"/>
            <w:vAlign w:val="center"/>
          </w:tcPr>
          <w:p w:rsidR="005F78FC" w:rsidRDefault="00B42EF3">
            <w:pPr>
              <w:pStyle w:val="TableBodyText"/>
            </w:pPr>
            <w:r>
              <w:t>CharScaleDialog</w:t>
            </w:r>
          </w:p>
        </w:tc>
        <w:tc>
          <w:tcPr>
            <w:tcW w:w="0" w:type="auto"/>
            <w:vAlign w:val="center"/>
          </w:tcPr>
          <w:p w:rsidR="005F78FC" w:rsidRDefault="00B42EF3">
            <w:pPr>
              <w:pStyle w:val="TableBodyText"/>
            </w:pPr>
            <w:r>
              <w:t>07B2</w:t>
            </w:r>
          </w:p>
        </w:tc>
      </w:tr>
      <w:tr w:rsidR="005F78FC" w:rsidTr="005F78FC">
        <w:tc>
          <w:tcPr>
            <w:tcW w:w="0" w:type="auto"/>
            <w:vAlign w:val="center"/>
          </w:tcPr>
          <w:p w:rsidR="005F78FC" w:rsidRDefault="00B42EF3">
            <w:pPr>
              <w:pStyle w:val="TableBodyText"/>
            </w:pPr>
            <w:r>
              <w:t>CharacterClearFormatting</w:t>
            </w:r>
          </w:p>
        </w:tc>
        <w:tc>
          <w:tcPr>
            <w:tcW w:w="0" w:type="auto"/>
            <w:vAlign w:val="center"/>
          </w:tcPr>
          <w:p w:rsidR="005F78FC" w:rsidRDefault="00B42EF3">
            <w:pPr>
              <w:pStyle w:val="TableBodyText"/>
            </w:pPr>
            <w:r>
              <w:t>076F</w:t>
            </w:r>
          </w:p>
        </w:tc>
      </w:tr>
      <w:tr w:rsidR="005F78FC" w:rsidTr="005F78FC">
        <w:tc>
          <w:tcPr>
            <w:tcW w:w="0" w:type="auto"/>
            <w:vAlign w:val="center"/>
          </w:tcPr>
          <w:p w:rsidR="005F78FC" w:rsidRDefault="00B42EF3">
            <w:pPr>
              <w:pStyle w:val="TableBodyText"/>
            </w:pPr>
            <w:r>
              <w:t>CharacterRemoveStyle</w:t>
            </w:r>
          </w:p>
        </w:tc>
        <w:tc>
          <w:tcPr>
            <w:tcW w:w="0" w:type="auto"/>
            <w:vAlign w:val="center"/>
          </w:tcPr>
          <w:p w:rsidR="005F78FC" w:rsidRDefault="00B42EF3">
            <w:pPr>
              <w:pStyle w:val="TableBodyText"/>
            </w:pPr>
            <w:r>
              <w:t>076D</w:t>
            </w:r>
          </w:p>
        </w:tc>
      </w:tr>
      <w:tr w:rsidR="005F78FC" w:rsidTr="005F78FC">
        <w:tc>
          <w:tcPr>
            <w:tcW w:w="0" w:type="auto"/>
            <w:vAlign w:val="center"/>
          </w:tcPr>
          <w:p w:rsidR="005F78FC" w:rsidRDefault="00B42EF3">
            <w:pPr>
              <w:pStyle w:val="TableBodyText"/>
            </w:pPr>
            <w:r>
              <w:t>CheckBoxFormField</w:t>
            </w:r>
          </w:p>
        </w:tc>
        <w:tc>
          <w:tcPr>
            <w:tcW w:w="0" w:type="auto"/>
            <w:vAlign w:val="center"/>
          </w:tcPr>
          <w:p w:rsidR="005F78FC" w:rsidRDefault="00B42EF3">
            <w:pPr>
              <w:pStyle w:val="TableBodyText"/>
            </w:pPr>
            <w:r>
              <w:t>015E</w:t>
            </w:r>
          </w:p>
        </w:tc>
      </w:tr>
      <w:tr w:rsidR="005F78FC" w:rsidTr="005F78FC">
        <w:tc>
          <w:tcPr>
            <w:tcW w:w="0" w:type="auto"/>
            <w:vAlign w:val="center"/>
          </w:tcPr>
          <w:p w:rsidR="005F78FC" w:rsidRDefault="00B42EF3">
            <w:pPr>
              <w:pStyle w:val="TableBodyText"/>
            </w:pPr>
            <w:r>
              <w:t>CheckCompatibility</w:t>
            </w:r>
          </w:p>
        </w:tc>
        <w:tc>
          <w:tcPr>
            <w:tcW w:w="0" w:type="auto"/>
            <w:vAlign w:val="center"/>
          </w:tcPr>
          <w:p w:rsidR="005F78FC" w:rsidRDefault="00B42EF3">
            <w:pPr>
              <w:pStyle w:val="TableBodyText"/>
            </w:pPr>
            <w:r>
              <w:t>08F9</w:t>
            </w:r>
          </w:p>
        </w:tc>
      </w:tr>
      <w:tr w:rsidR="005F78FC" w:rsidTr="005F78FC">
        <w:tc>
          <w:tcPr>
            <w:tcW w:w="0" w:type="auto"/>
            <w:vAlign w:val="center"/>
          </w:tcPr>
          <w:p w:rsidR="005F78FC" w:rsidRDefault="00B42EF3">
            <w:pPr>
              <w:pStyle w:val="TableBodyText"/>
            </w:pPr>
            <w:r>
              <w:t>CheckDocumentParts</w:t>
            </w:r>
          </w:p>
        </w:tc>
        <w:tc>
          <w:tcPr>
            <w:tcW w:w="0" w:type="auto"/>
            <w:vAlign w:val="center"/>
          </w:tcPr>
          <w:p w:rsidR="005F78FC" w:rsidRDefault="00B42EF3">
            <w:pPr>
              <w:pStyle w:val="TableBodyText"/>
            </w:pPr>
            <w:r>
              <w:t>099B</w:t>
            </w:r>
          </w:p>
        </w:tc>
      </w:tr>
      <w:tr w:rsidR="005F78FC" w:rsidTr="005F78FC">
        <w:tc>
          <w:tcPr>
            <w:tcW w:w="0" w:type="auto"/>
            <w:vAlign w:val="center"/>
          </w:tcPr>
          <w:p w:rsidR="005F78FC" w:rsidRDefault="00B42EF3">
            <w:pPr>
              <w:pStyle w:val="TableBodyText"/>
            </w:pPr>
            <w:r>
              <w:t>ChineseTranslationGroup</w:t>
            </w:r>
          </w:p>
        </w:tc>
        <w:tc>
          <w:tcPr>
            <w:tcW w:w="0" w:type="auto"/>
            <w:vAlign w:val="center"/>
          </w:tcPr>
          <w:p w:rsidR="005F78FC" w:rsidRDefault="00B42EF3">
            <w:pPr>
              <w:pStyle w:val="TableBodyText"/>
            </w:pPr>
            <w:r>
              <w:t>0976</w:t>
            </w:r>
          </w:p>
        </w:tc>
      </w:tr>
      <w:tr w:rsidR="005F78FC" w:rsidTr="005F78FC">
        <w:tc>
          <w:tcPr>
            <w:tcW w:w="0" w:type="auto"/>
            <w:vAlign w:val="center"/>
          </w:tcPr>
          <w:p w:rsidR="005F78FC" w:rsidRDefault="00B42EF3">
            <w:pPr>
              <w:pStyle w:val="TableBodyText"/>
            </w:pPr>
            <w:r>
              <w:t>ChooseButtonImage</w:t>
            </w:r>
          </w:p>
        </w:tc>
        <w:tc>
          <w:tcPr>
            <w:tcW w:w="0" w:type="auto"/>
            <w:vAlign w:val="center"/>
          </w:tcPr>
          <w:p w:rsidR="005F78FC" w:rsidRDefault="00B42EF3">
            <w:pPr>
              <w:pStyle w:val="TableBodyText"/>
            </w:pPr>
            <w:r>
              <w:t>0273</w:t>
            </w:r>
          </w:p>
        </w:tc>
      </w:tr>
      <w:tr w:rsidR="005F78FC" w:rsidTr="005F78FC">
        <w:tc>
          <w:tcPr>
            <w:tcW w:w="0" w:type="auto"/>
            <w:vAlign w:val="center"/>
          </w:tcPr>
          <w:p w:rsidR="005F78FC" w:rsidRDefault="00B42EF3">
            <w:pPr>
              <w:pStyle w:val="TableBodyText"/>
            </w:pPr>
            <w:r>
              <w:t>ClearAllFormatting</w:t>
            </w:r>
          </w:p>
        </w:tc>
        <w:tc>
          <w:tcPr>
            <w:tcW w:w="0" w:type="auto"/>
            <w:vAlign w:val="center"/>
          </w:tcPr>
          <w:p w:rsidR="005F78FC" w:rsidRDefault="00B42EF3">
            <w:pPr>
              <w:pStyle w:val="TableBodyText"/>
            </w:pPr>
            <w:r>
              <w:t>07A9</w:t>
            </w:r>
          </w:p>
        </w:tc>
      </w:tr>
      <w:tr w:rsidR="005F78FC" w:rsidTr="005F78FC">
        <w:tc>
          <w:tcPr>
            <w:tcW w:w="0" w:type="auto"/>
            <w:vAlign w:val="center"/>
          </w:tcPr>
          <w:p w:rsidR="005F78FC" w:rsidRDefault="00B42EF3">
            <w:pPr>
              <w:pStyle w:val="TableBodyText"/>
            </w:pPr>
            <w:r>
              <w:t>ClearFormField</w:t>
            </w:r>
          </w:p>
        </w:tc>
        <w:tc>
          <w:tcPr>
            <w:tcW w:w="0" w:type="auto"/>
            <w:vAlign w:val="center"/>
          </w:tcPr>
          <w:p w:rsidR="005F78FC" w:rsidRDefault="00B42EF3">
            <w:pPr>
              <w:pStyle w:val="TableBodyText"/>
            </w:pPr>
            <w:r>
              <w:t>02C2</w:t>
            </w:r>
          </w:p>
        </w:tc>
      </w:tr>
      <w:tr w:rsidR="005F78FC" w:rsidTr="005F78FC">
        <w:tc>
          <w:tcPr>
            <w:tcW w:w="0" w:type="auto"/>
            <w:vAlign w:val="center"/>
          </w:tcPr>
          <w:p w:rsidR="005F78FC" w:rsidRDefault="00B42EF3">
            <w:pPr>
              <w:pStyle w:val="TableBodyText"/>
            </w:pPr>
            <w:r>
              <w:t>ClearFormatting</w:t>
            </w:r>
          </w:p>
        </w:tc>
        <w:tc>
          <w:tcPr>
            <w:tcW w:w="0" w:type="auto"/>
            <w:vAlign w:val="center"/>
          </w:tcPr>
          <w:p w:rsidR="005F78FC" w:rsidRDefault="00B42EF3">
            <w:pPr>
              <w:pStyle w:val="TableBodyText"/>
            </w:pPr>
            <w:r>
              <w:t>054A</w:t>
            </w:r>
          </w:p>
        </w:tc>
      </w:tr>
      <w:tr w:rsidR="005F78FC" w:rsidTr="005F78FC">
        <w:tc>
          <w:tcPr>
            <w:tcW w:w="0" w:type="auto"/>
            <w:vAlign w:val="center"/>
          </w:tcPr>
          <w:p w:rsidR="005F78FC" w:rsidRDefault="00B42EF3">
            <w:pPr>
              <w:pStyle w:val="TableBodyText"/>
            </w:pPr>
            <w:r>
              <w:t>ClearTableStyle</w:t>
            </w:r>
          </w:p>
        </w:tc>
        <w:tc>
          <w:tcPr>
            <w:tcW w:w="0" w:type="auto"/>
            <w:vAlign w:val="center"/>
          </w:tcPr>
          <w:p w:rsidR="005F78FC" w:rsidRDefault="00B42EF3">
            <w:pPr>
              <w:pStyle w:val="TableBodyText"/>
            </w:pPr>
            <w:r>
              <w:t>08F6</w:t>
            </w:r>
          </w:p>
        </w:tc>
      </w:tr>
      <w:tr w:rsidR="005F78FC" w:rsidTr="005F78FC">
        <w:tc>
          <w:tcPr>
            <w:tcW w:w="0" w:type="auto"/>
            <w:vAlign w:val="center"/>
          </w:tcPr>
          <w:p w:rsidR="005F78FC" w:rsidRDefault="00B42EF3">
            <w:pPr>
              <w:pStyle w:val="TableBodyText"/>
            </w:pPr>
            <w:r>
              <w:t>ClosePane</w:t>
            </w:r>
          </w:p>
        </w:tc>
        <w:tc>
          <w:tcPr>
            <w:tcW w:w="0" w:type="auto"/>
            <w:vAlign w:val="center"/>
          </w:tcPr>
          <w:p w:rsidR="005F78FC" w:rsidRDefault="00B42EF3">
            <w:pPr>
              <w:pStyle w:val="TableBodyText"/>
            </w:pPr>
            <w:r>
              <w:t>00F3</w:t>
            </w:r>
          </w:p>
        </w:tc>
      </w:tr>
      <w:tr w:rsidR="005F78FC" w:rsidTr="005F78FC">
        <w:tc>
          <w:tcPr>
            <w:tcW w:w="0" w:type="auto"/>
            <w:vAlign w:val="center"/>
          </w:tcPr>
          <w:p w:rsidR="005F78FC" w:rsidRDefault="00B42EF3">
            <w:pPr>
              <w:pStyle w:val="TableBodyText"/>
            </w:pPr>
            <w:r>
              <w:t>CloseParaAbove</w:t>
            </w:r>
          </w:p>
        </w:tc>
        <w:tc>
          <w:tcPr>
            <w:tcW w:w="0" w:type="auto"/>
            <w:vAlign w:val="center"/>
          </w:tcPr>
          <w:p w:rsidR="005F78FC" w:rsidRDefault="00B42EF3">
            <w:pPr>
              <w:pStyle w:val="TableBodyText"/>
            </w:pPr>
            <w:r>
              <w:t>0995</w:t>
            </w:r>
          </w:p>
        </w:tc>
      </w:tr>
      <w:tr w:rsidR="005F78FC" w:rsidTr="005F78FC">
        <w:tc>
          <w:tcPr>
            <w:tcW w:w="0" w:type="auto"/>
            <w:vAlign w:val="center"/>
          </w:tcPr>
          <w:p w:rsidR="005F78FC" w:rsidRDefault="00B42EF3">
            <w:pPr>
              <w:pStyle w:val="TableBodyText"/>
            </w:pPr>
            <w:r>
              <w:t>CloseParaBelow</w:t>
            </w:r>
          </w:p>
        </w:tc>
        <w:tc>
          <w:tcPr>
            <w:tcW w:w="0" w:type="auto"/>
            <w:vAlign w:val="center"/>
          </w:tcPr>
          <w:p w:rsidR="005F78FC" w:rsidRDefault="00B42EF3">
            <w:pPr>
              <w:pStyle w:val="TableBodyText"/>
            </w:pPr>
            <w:r>
              <w:t>0997</w:t>
            </w:r>
          </w:p>
        </w:tc>
      </w:tr>
      <w:tr w:rsidR="005F78FC" w:rsidTr="005F78FC">
        <w:tc>
          <w:tcPr>
            <w:tcW w:w="0" w:type="auto"/>
            <w:vAlign w:val="center"/>
          </w:tcPr>
          <w:p w:rsidR="005F78FC" w:rsidRDefault="00B42EF3">
            <w:pPr>
              <w:pStyle w:val="TableBodyText"/>
            </w:pPr>
            <w:r>
              <w:t>ClosePreview</w:t>
            </w:r>
          </w:p>
        </w:tc>
        <w:tc>
          <w:tcPr>
            <w:tcW w:w="0" w:type="auto"/>
            <w:vAlign w:val="center"/>
          </w:tcPr>
          <w:p w:rsidR="005F78FC" w:rsidRDefault="00B42EF3">
            <w:pPr>
              <w:pStyle w:val="TableBodyText"/>
            </w:pPr>
            <w:r>
              <w:t>01B5</w:t>
            </w:r>
          </w:p>
        </w:tc>
      </w:tr>
      <w:tr w:rsidR="005F78FC" w:rsidTr="005F78FC">
        <w:tc>
          <w:tcPr>
            <w:tcW w:w="0" w:type="auto"/>
            <w:vAlign w:val="center"/>
          </w:tcPr>
          <w:p w:rsidR="005F78FC" w:rsidRDefault="00B42EF3">
            <w:pPr>
              <w:pStyle w:val="TableBodyText"/>
            </w:pPr>
            <w:r>
              <w:t>CloseReadingMode</w:t>
            </w:r>
          </w:p>
        </w:tc>
        <w:tc>
          <w:tcPr>
            <w:tcW w:w="0" w:type="auto"/>
            <w:vAlign w:val="center"/>
          </w:tcPr>
          <w:p w:rsidR="005F78FC" w:rsidRDefault="00B42EF3">
            <w:pPr>
              <w:pStyle w:val="TableBodyText"/>
            </w:pPr>
            <w:r>
              <w:t>05C8</w:t>
            </w:r>
          </w:p>
        </w:tc>
      </w:tr>
      <w:tr w:rsidR="005F78FC" w:rsidTr="005F78FC">
        <w:tc>
          <w:tcPr>
            <w:tcW w:w="0" w:type="auto"/>
            <w:vAlign w:val="center"/>
          </w:tcPr>
          <w:p w:rsidR="005F78FC" w:rsidRDefault="00B42EF3">
            <w:pPr>
              <w:pStyle w:val="TableBodyText"/>
            </w:pPr>
            <w:r>
              <w:t>CloseUpPara</w:t>
            </w:r>
          </w:p>
        </w:tc>
        <w:tc>
          <w:tcPr>
            <w:tcW w:w="0" w:type="auto"/>
            <w:vAlign w:val="center"/>
          </w:tcPr>
          <w:p w:rsidR="005F78FC" w:rsidRDefault="00B42EF3">
            <w:pPr>
              <w:pStyle w:val="TableBodyText"/>
            </w:pPr>
            <w:r>
              <w:t>0041</w:t>
            </w:r>
          </w:p>
        </w:tc>
      </w:tr>
      <w:tr w:rsidR="005F78FC" w:rsidTr="005F78FC">
        <w:tc>
          <w:tcPr>
            <w:tcW w:w="0" w:type="auto"/>
            <w:vAlign w:val="center"/>
          </w:tcPr>
          <w:p w:rsidR="005F78FC" w:rsidRDefault="00B42EF3">
            <w:pPr>
              <w:pStyle w:val="TableBodyText"/>
            </w:pPr>
            <w:r>
              <w:t>CloseViewHeaderFooter</w:t>
            </w:r>
          </w:p>
        </w:tc>
        <w:tc>
          <w:tcPr>
            <w:tcW w:w="0" w:type="auto"/>
            <w:vAlign w:val="center"/>
          </w:tcPr>
          <w:p w:rsidR="005F78FC" w:rsidRDefault="00B42EF3">
            <w:pPr>
              <w:pStyle w:val="TableBodyText"/>
            </w:pPr>
            <w:r>
              <w:t>0280</w:t>
            </w:r>
          </w:p>
        </w:tc>
      </w:tr>
      <w:tr w:rsidR="005F78FC" w:rsidTr="005F78FC">
        <w:tc>
          <w:tcPr>
            <w:tcW w:w="0" w:type="auto"/>
            <w:vAlign w:val="center"/>
          </w:tcPr>
          <w:p w:rsidR="005F78FC" w:rsidRDefault="00B42EF3">
            <w:pPr>
              <w:pStyle w:val="TableBodyText"/>
            </w:pPr>
            <w:r>
              <w:t>Color</w:t>
            </w:r>
          </w:p>
        </w:tc>
        <w:tc>
          <w:tcPr>
            <w:tcW w:w="0" w:type="auto"/>
            <w:vAlign w:val="center"/>
          </w:tcPr>
          <w:p w:rsidR="005F78FC" w:rsidRDefault="00B42EF3">
            <w:pPr>
              <w:pStyle w:val="TableBodyText"/>
            </w:pPr>
            <w:r>
              <w:t>0224</w:t>
            </w:r>
          </w:p>
        </w:tc>
      </w:tr>
      <w:tr w:rsidR="005F78FC" w:rsidTr="005F78FC">
        <w:tc>
          <w:tcPr>
            <w:tcW w:w="0" w:type="auto"/>
            <w:vAlign w:val="center"/>
          </w:tcPr>
          <w:p w:rsidR="005F78FC" w:rsidRDefault="00B42EF3">
            <w:pPr>
              <w:pStyle w:val="TableBodyText"/>
            </w:pPr>
            <w:r>
              <w:t>ColorPicker3DE1o</w:t>
            </w:r>
          </w:p>
        </w:tc>
        <w:tc>
          <w:tcPr>
            <w:tcW w:w="0" w:type="auto"/>
            <w:vAlign w:val="center"/>
          </w:tcPr>
          <w:p w:rsidR="005F78FC" w:rsidRDefault="00B42EF3">
            <w:pPr>
              <w:pStyle w:val="TableBodyText"/>
            </w:pPr>
            <w:r>
              <w:t>08A1</w:t>
            </w:r>
          </w:p>
        </w:tc>
      </w:tr>
      <w:tr w:rsidR="005F78FC" w:rsidTr="005F78FC">
        <w:tc>
          <w:tcPr>
            <w:tcW w:w="0" w:type="auto"/>
            <w:vAlign w:val="center"/>
          </w:tcPr>
          <w:p w:rsidR="005F78FC" w:rsidRDefault="00B42EF3">
            <w:pPr>
              <w:pStyle w:val="TableBodyText"/>
            </w:pPr>
            <w:r>
              <w:t>ColorPickerShadowE1o</w:t>
            </w:r>
          </w:p>
        </w:tc>
        <w:tc>
          <w:tcPr>
            <w:tcW w:w="0" w:type="auto"/>
            <w:vAlign w:val="center"/>
          </w:tcPr>
          <w:p w:rsidR="005F78FC" w:rsidRDefault="00B42EF3">
            <w:pPr>
              <w:pStyle w:val="TableBodyText"/>
            </w:pPr>
            <w:r>
              <w:t>08A0</w:t>
            </w:r>
          </w:p>
        </w:tc>
      </w:tr>
      <w:tr w:rsidR="005F78FC" w:rsidTr="005F78FC">
        <w:tc>
          <w:tcPr>
            <w:tcW w:w="0" w:type="auto"/>
            <w:vAlign w:val="center"/>
          </w:tcPr>
          <w:p w:rsidR="005F78FC" w:rsidRDefault="00B42EF3">
            <w:pPr>
              <w:pStyle w:val="TableBodyText"/>
            </w:pPr>
            <w:r>
              <w:t>ColorSchemePicker</w:t>
            </w:r>
          </w:p>
        </w:tc>
        <w:tc>
          <w:tcPr>
            <w:tcW w:w="0" w:type="auto"/>
            <w:vAlign w:val="center"/>
          </w:tcPr>
          <w:p w:rsidR="005F78FC" w:rsidRDefault="00B42EF3">
            <w:pPr>
              <w:pStyle w:val="TableBodyText"/>
            </w:pPr>
            <w:r>
              <w:t>08FC</w:t>
            </w:r>
          </w:p>
        </w:tc>
      </w:tr>
      <w:tr w:rsidR="005F78FC" w:rsidTr="005F78FC">
        <w:tc>
          <w:tcPr>
            <w:tcW w:w="0" w:type="auto"/>
            <w:vAlign w:val="center"/>
          </w:tcPr>
          <w:p w:rsidR="005F78FC" w:rsidRDefault="00B42EF3">
            <w:pPr>
              <w:pStyle w:val="TableBodyText"/>
            </w:pPr>
            <w:r>
              <w:t>ColumnSelect</w:t>
            </w:r>
          </w:p>
        </w:tc>
        <w:tc>
          <w:tcPr>
            <w:tcW w:w="0" w:type="auto"/>
            <w:vAlign w:val="center"/>
          </w:tcPr>
          <w:p w:rsidR="005F78FC" w:rsidRDefault="00B42EF3">
            <w:pPr>
              <w:pStyle w:val="TableBodyText"/>
            </w:pPr>
            <w:r>
              <w:t>001B</w:t>
            </w:r>
          </w:p>
        </w:tc>
      </w:tr>
      <w:tr w:rsidR="005F78FC" w:rsidTr="005F78FC">
        <w:tc>
          <w:tcPr>
            <w:tcW w:w="0" w:type="auto"/>
            <w:vAlign w:val="center"/>
          </w:tcPr>
          <w:p w:rsidR="005F78FC" w:rsidRDefault="00B42EF3">
            <w:pPr>
              <w:pStyle w:val="TableBodyText"/>
            </w:pPr>
            <w:r>
              <w:t>Columns</w:t>
            </w:r>
          </w:p>
        </w:tc>
        <w:tc>
          <w:tcPr>
            <w:tcW w:w="0" w:type="auto"/>
            <w:vAlign w:val="center"/>
          </w:tcPr>
          <w:p w:rsidR="005F78FC" w:rsidRDefault="00B42EF3">
            <w:pPr>
              <w:pStyle w:val="TableBodyText"/>
            </w:pPr>
            <w:r>
              <w:t>0212</w:t>
            </w:r>
          </w:p>
        </w:tc>
      </w:tr>
      <w:tr w:rsidR="005F78FC" w:rsidTr="005F78FC">
        <w:tc>
          <w:tcPr>
            <w:tcW w:w="0" w:type="auto"/>
            <w:vAlign w:val="center"/>
          </w:tcPr>
          <w:p w:rsidR="005F78FC" w:rsidRDefault="00B42EF3">
            <w:pPr>
              <w:pStyle w:val="TableBodyText"/>
            </w:pPr>
            <w:r>
              <w:t>ColumnsGallery</w:t>
            </w:r>
          </w:p>
        </w:tc>
        <w:tc>
          <w:tcPr>
            <w:tcW w:w="0" w:type="auto"/>
            <w:vAlign w:val="center"/>
          </w:tcPr>
          <w:p w:rsidR="005F78FC" w:rsidRDefault="00B42EF3">
            <w:pPr>
              <w:pStyle w:val="TableBodyText"/>
            </w:pPr>
            <w:r>
              <w:t>07BC</w:t>
            </w:r>
          </w:p>
        </w:tc>
      </w:tr>
      <w:tr w:rsidR="005F78FC" w:rsidTr="005F78FC">
        <w:tc>
          <w:tcPr>
            <w:tcW w:w="0" w:type="auto"/>
            <w:vAlign w:val="center"/>
          </w:tcPr>
          <w:p w:rsidR="005F78FC" w:rsidRDefault="00B42EF3">
            <w:pPr>
              <w:pStyle w:val="TableBodyText"/>
            </w:pPr>
            <w:r>
              <w:t>CommaAccent</w:t>
            </w:r>
          </w:p>
        </w:tc>
        <w:tc>
          <w:tcPr>
            <w:tcW w:w="0" w:type="auto"/>
            <w:vAlign w:val="center"/>
          </w:tcPr>
          <w:p w:rsidR="005F78FC" w:rsidRDefault="00B42EF3">
            <w:pPr>
              <w:pStyle w:val="TableBodyText"/>
            </w:pPr>
            <w:r>
              <w:t>02FE</w:t>
            </w:r>
          </w:p>
        </w:tc>
      </w:tr>
      <w:tr w:rsidR="005F78FC" w:rsidTr="005F78FC">
        <w:tc>
          <w:tcPr>
            <w:tcW w:w="0" w:type="auto"/>
            <w:vAlign w:val="center"/>
          </w:tcPr>
          <w:p w:rsidR="005F78FC" w:rsidRDefault="00B42EF3">
            <w:pPr>
              <w:pStyle w:val="TableBodyText"/>
            </w:pPr>
            <w:r>
              <w:lastRenderedPageBreak/>
              <w:t>CompareDocumentsCombine</w:t>
            </w:r>
          </w:p>
        </w:tc>
        <w:tc>
          <w:tcPr>
            <w:tcW w:w="0" w:type="auto"/>
            <w:vAlign w:val="center"/>
          </w:tcPr>
          <w:p w:rsidR="005F78FC" w:rsidRDefault="00B42EF3">
            <w:pPr>
              <w:pStyle w:val="TableBodyText"/>
            </w:pPr>
            <w:r>
              <w:t>0815</w:t>
            </w:r>
          </w:p>
        </w:tc>
      </w:tr>
      <w:tr w:rsidR="005F78FC" w:rsidTr="005F78FC">
        <w:tc>
          <w:tcPr>
            <w:tcW w:w="0" w:type="auto"/>
            <w:vAlign w:val="center"/>
          </w:tcPr>
          <w:p w:rsidR="005F78FC" w:rsidRDefault="00B42EF3">
            <w:pPr>
              <w:pStyle w:val="TableBodyText"/>
            </w:pPr>
            <w:r>
              <w:t>CompareDocumentsCompare</w:t>
            </w:r>
          </w:p>
        </w:tc>
        <w:tc>
          <w:tcPr>
            <w:tcW w:w="0" w:type="auto"/>
            <w:vAlign w:val="center"/>
          </w:tcPr>
          <w:p w:rsidR="005F78FC" w:rsidRDefault="00B42EF3">
            <w:pPr>
              <w:pStyle w:val="TableBodyText"/>
            </w:pPr>
            <w:r>
              <w:t>0814</w:t>
            </w:r>
          </w:p>
        </w:tc>
      </w:tr>
      <w:tr w:rsidR="005F78FC" w:rsidTr="005F78FC">
        <w:tc>
          <w:tcPr>
            <w:tcW w:w="0" w:type="auto"/>
            <w:vAlign w:val="center"/>
          </w:tcPr>
          <w:p w:rsidR="005F78FC" w:rsidRDefault="00B42EF3">
            <w:pPr>
              <w:pStyle w:val="TableBodyText"/>
            </w:pPr>
            <w:r>
              <w:t>CompareDocumentsLastMajor</w:t>
            </w:r>
          </w:p>
        </w:tc>
        <w:tc>
          <w:tcPr>
            <w:tcW w:w="0" w:type="auto"/>
            <w:vAlign w:val="center"/>
          </w:tcPr>
          <w:p w:rsidR="005F78FC" w:rsidRDefault="00B42EF3">
            <w:pPr>
              <w:pStyle w:val="TableBodyText"/>
            </w:pPr>
            <w:r>
              <w:t>0816</w:t>
            </w:r>
          </w:p>
        </w:tc>
      </w:tr>
      <w:tr w:rsidR="005F78FC" w:rsidTr="005F78FC">
        <w:tc>
          <w:tcPr>
            <w:tcW w:w="0" w:type="auto"/>
            <w:vAlign w:val="center"/>
          </w:tcPr>
          <w:p w:rsidR="005F78FC" w:rsidRDefault="00B42EF3">
            <w:pPr>
              <w:pStyle w:val="TableBodyText"/>
            </w:pPr>
            <w:r>
              <w:t>CompareDocumentsLastMinor</w:t>
            </w:r>
          </w:p>
        </w:tc>
        <w:tc>
          <w:tcPr>
            <w:tcW w:w="0" w:type="auto"/>
            <w:vAlign w:val="center"/>
          </w:tcPr>
          <w:p w:rsidR="005F78FC" w:rsidRDefault="00B42EF3">
            <w:pPr>
              <w:pStyle w:val="TableBodyText"/>
            </w:pPr>
            <w:r>
              <w:t>0817</w:t>
            </w:r>
          </w:p>
        </w:tc>
      </w:tr>
      <w:tr w:rsidR="005F78FC" w:rsidTr="005F78FC">
        <w:tc>
          <w:tcPr>
            <w:tcW w:w="0" w:type="auto"/>
            <w:vAlign w:val="center"/>
          </w:tcPr>
          <w:p w:rsidR="005F78FC" w:rsidRDefault="00B42EF3">
            <w:pPr>
              <w:pStyle w:val="TableBodyText"/>
            </w:pPr>
            <w:r>
              <w:t>CompareDocumentsVersion</w:t>
            </w:r>
          </w:p>
        </w:tc>
        <w:tc>
          <w:tcPr>
            <w:tcW w:w="0" w:type="auto"/>
            <w:vAlign w:val="center"/>
          </w:tcPr>
          <w:p w:rsidR="005F78FC" w:rsidRDefault="00B42EF3">
            <w:pPr>
              <w:pStyle w:val="TableBodyText"/>
            </w:pPr>
            <w:r>
              <w:t>0818</w:t>
            </w:r>
          </w:p>
        </w:tc>
      </w:tr>
      <w:tr w:rsidR="005F78FC" w:rsidTr="005F78FC">
        <w:tc>
          <w:tcPr>
            <w:tcW w:w="0" w:type="auto"/>
            <w:vAlign w:val="center"/>
          </w:tcPr>
          <w:p w:rsidR="005F78FC" w:rsidRDefault="00B42EF3">
            <w:pPr>
              <w:pStyle w:val="TableBodyText"/>
            </w:pPr>
            <w:r>
              <w:t>CompareTranslationBaseDocuments</w:t>
            </w:r>
          </w:p>
        </w:tc>
        <w:tc>
          <w:tcPr>
            <w:tcW w:w="0" w:type="auto"/>
            <w:vAlign w:val="center"/>
          </w:tcPr>
          <w:p w:rsidR="005F78FC" w:rsidRDefault="00B42EF3">
            <w:pPr>
              <w:pStyle w:val="TableBodyText"/>
            </w:pPr>
            <w:r>
              <w:t>08FA</w:t>
            </w:r>
          </w:p>
        </w:tc>
      </w:tr>
      <w:tr w:rsidR="005F78FC" w:rsidTr="005F78FC">
        <w:tc>
          <w:tcPr>
            <w:tcW w:w="0" w:type="auto"/>
            <w:vAlign w:val="center"/>
          </w:tcPr>
          <w:p w:rsidR="005F78FC" w:rsidRDefault="00B42EF3">
            <w:pPr>
              <w:pStyle w:val="TableBodyText"/>
            </w:pPr>
            <w:r>
              <w:t>CompatChkr</w:t>
            </w:r>
          </w:p>
        </w:tc>
        <w:tc>
          <w:tcPr>
            <w:tcW w:w="0" w:type="auto"/>
            <w:vAlign w:val="center"/>
          </w:tcPr>
          <w:p w:rsidR="005F78FC" w:rsidRDefault="00B42EF3">
            <w:pPr>
              <w:pStyle w:val="TableBodyText"/>
            </w:pPr>
            <w:r>
              <w:t>0987</w:t>
            </w:r>
          </w:p>
        </w:tc>
      </w:tr>
      <w:tr w:rsidR="005F78FC" w:rsidTr="005F78FC">
        <w:tc>
          <w:tcPr>
            <w:tcW w:w="0" w:type="auto"/>
            <w:vAlign w:val="center"/>
          </w:tcPr>
          <w:p w:rsidR="005F78FC" w:rsidRDefault="00B42EF3">
            <w:pPr>
              <w:pStyle w:val="TableBodyText"/>
            </w:pPr>
            <w:r>
              <w:t>Condensed</w:t>
            </w:r>
          </w:p>
        </w:tc>
        <w:tc>
          <w:tcPr>
            <w:tcW w:w="0" w:type="auto"/>
            <w:vAlign w:val="center"/>
          </w:tcPr>
          <w:p w:rsidR="005F78FC" w:rsidRDefault="00B42EF3">
            <w:pPr>
              <w:pStyle w:val="TableBodyText"/>
            </w:pPr>
            <w:r>
              <w:t>0213</w:t>
            </w:r>
          </w:p>
        </w:tc>
      </w:tr>
      <w:tr w:rsidR="005F78FC" w:rsidTr="005F78FC">
        <w:tc>
          <w:tcPr>
            <w:tcW w:w="0" w:type="auto"/>
            <w:vAlign w:val="center"/>
          </w:tcPr>
          <w:p w:rsidR="005F78FC" w:rsidRDefault="00B42EF3">
            <w:pPr>
              <w:pStyle w:val="TableBodyText"/>
            </w:pPr>
            <w:r>
              <w:t>Connect</w:t>
            </w:r>
          </w:p>
        </w:tc>
        <w:tc>
          <w:tcPr>
            <w:tcW w:w="0" w:type="auto"/>
            <w:vAlign w:val="center"/>
          </w:tcPr>
          <w:p w:rsidR="005F78FC" w:rsidRDefault="00B42EF3">
            <w:pPr>
              <w:pStyle w:val="TableBodyText"/>
            </w:pPr>
            <w:r>
              <w:t>01A4</w:t>
            </w:r>
          </w:p>
        </w:tc>
      </w:tr>
      <w:tr w:rsidR="005F78FC" w:rsidTr="005F78FC">
        <w:tc>
          <w:tcPr>
            <w:tcW w:w="0" w:type="auto"/>
            <w:vAlign w:val="center"/>
          </w:tcPr>
          <w:p w:rsidR="005F78FC" w:rsidRDefault="00B42EF3">
            <w:pPr>
              <w:pStyle w:val="TableBodyText"/>
            </w:pPr>
            <w:r>
              <w:t>ContentControlBuildingBlockGallery</w:t>
            </w:r>
          </w:p>
        </w:tc>
        <w:tc>
          <w:tcPr>
            <w:tcW w:w="0" w:type="auto"/>
            <w:vAlign w:val="center"/>
          </w:tcPr>
          <w:p w:rsidR="005F78FC" w:rsidRDefault="00B42EF3">
            <w:pPr>
              <w:pStyle w:val="TableBodyText"/>
            </w:pPr>
            <w:r>
              <w:t>0954</w:t>
            </w:r>
          </w:p>
        </w:tc>
      </w:tr>
      <w:tr w:rsidR="005F78FC" w:rsidTr="005F78FC">
        <w:tc>
          <w:tcPr>
            <w:tcW w:w="0" w:type="auto"/>
            <w:vAlign w:val="center"/>
          </w:tcPr>
          <w:p w:rsidR="005F78FC" w:rsidRDefault="00B42EF3">
            <w:pPr>
              <w:pStyle w:val="TableBodyText"/>
            </w:pPr>
            <w:r>
              <w:t>ContentControlComboBox</w:t>
            </w:r>
          </w:p>
        </w:tc>
        <w:tc>
          <w:tcPr>
            <w:tcW w:w="0" w:type="auto"/>
            <w:vAlign w:val="center"/>
          </w:tcPr>
          <w:p w:rsidR="005F78FC" w:rsidRDefault="00B42EF3">
            <w:pPr>
              <w:pStyle w:val="TableBodyText"/>
            </w:pPr>
            <w:r>
              <w:t>0952</w:t>
            </w:r>
          </w:p>
        </w:tc>
      </w:tr>
      <w:tr w:rsidR="005F78FC" w:rsidTr="005F78FC">
        <w:tc>
          <w:tcPr>
            <w:tcW w:w="0" w:type="auto"/>
            <w:vAlign w:val="center"/>
          </w:tcPr>
          <w:p w:rsidR="005F78FC" w:rsidRDefault="00B42EF3">
            <w:pPr>
              <w:pStyle w:val="TableBodyText"/>
            </w:pPr>
            <w:r>
              <w:t>ContentControlDate</w:t>
            </w:r>
          </w:p>
        </w:tc>
        <w:tc>
          <w:tcPr>
            <w:tcW w:w="0" w:type="auto"/>
            <w:vAlign w:val="center"/>
          </w:tcPr>
          <w:p w:rsidR="005F78FC" w:rsidRDefault="00B42EF3">
            <w:pPr>
              <w:pStyle w:val="TableBodyText"/>
            </w:pPr>
            <w:r>
              <w:t>0955</w:t>
            </w:r>
          </w:p>
        </w:tc>
      </w:tr>
      <w:tr w:rsidR="005F78FC" w:rsidTr="005F78FC">
        <w:tc>
          <w:tcPr>
            <w:tcW w:w="0" w:type="auto"/>
            <w:vAlign w:val="center"/>
          </w:tcPr>
          <w:p w:rsidR="005F78FC" w:rsidRDefault="00B42EF3">
            <w:pPr>
              <w:pStyle w:val="TableBodyText"/>
            </w:pPr>
            <w:r>
              <w:t>ContentControlDropdownList</w:t>
            </w:r>
          </w:p>
        </w:tc>
        <w:tc>
          <w:tcPr>
            <w:tcW w:w="0" w:type="auto"/>
            <w:vAlign w:val="center"/>
          </w:tcPr>
          <w:p w:rsidR="005F78FC" w:rsidRDefault="00B42EF3">
            <w:pPr>
              <w:pStyle w:val="TableBodyText"/>
            </w:pPr>
            <w:r>
              <w:t>0953</w:t>
            </w:r>
          </w:p>
        </w:tc>
      </w:tr>
      <w:tr w:rsidR="005F78FC" w:rsidTr="005F78FC">
        <w:tc>
          <w:tcPr>
            <w:tcW w:w="0" w:type="auto"/>
            <w:vAlign w:val="center"/>
          </w:tcPr>
          <w:p w:rsidR="005F78FC" w:rsidRDefault="00B42EF3">
            <w:pPr>
              <w:pStyle w:val="TableBodyText"/>
            </w:pPr>
            <w:r>
              <w:t>ContentControlGroup</w:t>
            </w:r>
          </w:p>
        </w:tc>
        <w:tc>
          <w:tcPr>
            <w:tcW w:w="0" w:type="auto"/>
            <w:vAlign w:val="center"/>
          </w:tcPr>
          <w:p w:rsidR="005F78FC" w:rsidRDefault="00B42EF3">
            <w:pPr>
              <w:pStyle w:val="TableBodyText"/>
            </w:pPr>
            <w:r>
              <w:t>094A</w:t>
            </w:r>
          </w:p>
        </w:tc>
      </w:tr>
      <w:tr w:rsidR="005F78FC" w:rsidTr="005F78FC">
        <w:tc>
          <w:tcPr>
            <w:tcW w:w="0" w:type="auto"/>
            <w:vAlign w:val="center"/>
          </w:tcPr>
          <w:p w:rsidR="005F78FC" w:rsidRDefault="00B42EF3">
            <w:pPr>
              <w:pStyle w:val="TableBodyText"/>
            </w:pPr>
            <w:r>
              <w:t>ContentControlPicture</w:t>
            </w:r>
          </w:p>
        </w:tc>
        <w:tc>
          <w:tcPr>
            <w:tcW w:w="0" w:type="auto"/>
            <w:vAlign w:val="center"/>
          </w:tcPr>
          <w:p w:rsidR="005F78FC" w:rsidRDefault="00B42EF3">
            <w:pPr>
              <w:pStyle w:val="TableBodyText"/>
            </w:pPr>
            <w:r>
              <w:t>0951</w:t>
            </w:r>
          </w:p>
        </w:tc>
      </w:tr>
      <w:tr w:rsidR="005F78FC" w:rsidTr="005F78FC">
        <w:tc>
          <w:tcPr>
            <w:tcW w:w="0" w:type="auto"/>
            <w:vAlign w:val="center"/>
          </w:tcPr>
          <w:p w:rsidR="005F78FC" w:rsidRDefault="00B42EF3">
            <w:pPr>
              <w:pStyle w:val="TableBodyText"/>
            </w:pPr>
            <w:r>
              <w:t>ContentControlRichText</w:t>
            </w:r>
          </w:p>
        </w:tc>
        <w:tc>
          <w:tcPr>
            <w:tcW w:w="0" w:type="auto"/>
            <w:vAlign w:val="center"/>
          </w:tcPr>
          <w:p w:rsidR="005F78FC" w:rsidRDefault="00B42EF3">
            <w:pPr>
              <w:pStyle w:val="TableBodyText"/>
            </w:pPr>
            <w:r>
              <w:t>094F</w:t>
            </w:r>
          </w:p>
        </w:tc>
      </w:tr>
      <w:tr w:rsidR="005F78FC" w:rsidTr="005F78FC">
        <w:tc>
          <w:tcPr>
            <w:tcW w:w="0" w:type="auto"/>
            <w:vAlign w:val="center"/>
          </w:tcPr>
          <w:p w:rsidR="005F78FC" w:rsidRDefault="00B42EF3">
            <w:pPr>
              <w:pStyle w:val="TableBodyText"/>
            </w:pPr>
            <w:r>
              <w:t>ContentControlText</w:t>
            </w:r>
          </w:p>
        </w:tc>
        <w:tc>
          <w:tcPr>
            <w:tcW w:w="0" w:type="auto"/>
            <w:vAlign w:val="center"/>
          </w:tcPr>
          <w:p w:rsidR="005F78FC" w:rsidRDefault="00B42EF3">
            <w:pPr>
              <w:pStyle w:val="TableBodyText"/>
            </w:pPr>
            <w:r>
              <w:t>0950</w:t>
            </w:r>
          </w:p>
        </w:tc>
      </w:tr>
      <w:tr w:rsidR="005F78FC" w:rsidTr="005F78FC">
        <w:tc>
          <w:tcPr>
            <w:tcW w:w="0" w:type="auto"/>
            <w:vAlign w:val="center"/>
          </w:tcPr>
          <w:p w:rsidR="005F78FC" w:rsidRDefault="00B42EF3">
            <w:pPr>
              <w:pStyle w:val="TableBodyText"/>
            </w:pPr>
            <w:r>
              <w:t>ContentControlUngroup</w:t>
            </w:r>
          </w:p>
        </w:tc>
        <w:tc>
          <w:tcPr>
            <w:tcW w:w="0" w:type="auto"/>
            <w:vAlign w:val="center"/>
          </w:tcPr>
          <w:p w:rsidR="005F78FC" w:rsidRDefault="00B42EF3">
            <w:pPr>
              <w:pStyle w:val="TableBodyText"/>
            </w:pPr>
            <w:r>
              <w:t>0978</w:t>
            </w:r>
          </w:p>
        </w:tc>
      </w:tr>
      <w:tr w:rsidR="005F78FC" w:rsidTr="005F78FC">
        <w:tc>
          <w:tcPr>
            <w:tcW w:w="0" w:type="auto"/>
            <w:vAlign w:val="center"/>
          </w:tcPr>
          <w:p w:rsidR="005F78FC" w:rsidRDefault="00B42EF3">
            <w:pPr>
              <w:pStyle w:val="TableBodyText"/>
            </w:pPr>
            <w:r>
              <w:t>ContextHelp</w:t>
            </w:r>
          </w:p>
        </w:tc>
        <w:tc>
          <w:tcPr>
            <w:tcW w:w="0" w:type="auto"/>
            <w:vAlign w:val="center"/>
          </w:tcPr>
          <w:p w:rsidR="005F78FC" w:rsidRDefault="00B42EF3">
            <w:pPr>
              <w:pStyle w:val="TableBodyText"/>
            </w:pPr>
            <w:r>
              <w:t>032D</w:t>
            </w:r>
          </w:p>
        </w:tc>
      </w:tr>
      <w:tr w:rsidR="005F78FC" w:rsidTr="005F78FC">
        <w:tc>
          <w:tcPr>
            <w:tcW w:w="0" w:type="auto"/>
            <w:vAlign w:val="center"/>
          </w:tcPr>
          <w:p w:rsidR="005F78FC" w:rsidRDefault="00B42EF3">
            <w:pPr>
              <w:pStyle w:val="TableBodyText"/>
            </w:pPr>
            <w:r>
              <w:t>ContinueMacro</w:t>
            </w:r>
          </w:p>
        </w:tc>
        <w:tc>
          <w:tcPr>
            <w:tcW w:w="0" w:type="auto"/>
            <w:vAlign w:val="center"/>
          </w:tcPr>
          <w:p w:rsidR="005F78FC" w:rsidRDefault="00B42EF3">
            <w:pPr>
              <w:pStyle w:val="TableBodyText"/>
            </w:pPr>
            <w:r>
              <w:t>010A</w:t>
            </w:r>
          </w:p>
        </w:tc>
      </w:tr>
      <w:tr w:rsidR="005F78FC" w:rsidTr="005F78FC">
        <w:tc>
          <w:tcPr>
            <w:tcW w:w="0" w:type="auto"/>
            <w:vAlign w:val="center"/>
          </w:tcPr>
          <w:p w:rsidR="005F78FC" w:rsidRDefault="00B42EF3">
            <w:pPr>
              <w:pStyle w:val="TableBodyText"/>
            </w:pPr>
            <w:r>
              <w:t>ContinueNumbering</w:t>
            </w:r>
          </w:p>
        </w:tc>
        <w:tc>
          <w:tcPr>
            <w:tcW w:w="0" w:type="auto"/>
            <w:vAlign w:val="center"/>
          </w:tcPr>
          <w:p w:rsidR="005F78FC" w:rsidRDefault="00B42EF3">
            <w:pPr>
              <w:pStyle w:val="TableBodyText"/>
            </w:pPr>
            <w:r>
              <w:t>04E7</w:t>
            </w:r>
          </w:p>
        </w:tc>
      </w:tr>
      <w:tr w:rsidR="005F78FC" w:rsidTr="005F78FC">
        <w:tc>
          <w:tcPr>
            <w:tcW w:w="0" w:type="auto"/>
            <w:vAlign w:val="center"/>
          </w:tcPr>
          <w:p w:rsidR="005F78FC" w:rsidRDefault="00B42EF3">
            <w:pPr>
              <w:pStyle w:val="TableBodyText"/>
            </w:pPr>
            <w:r>
              <w:t>ContrastGallery</w:t>
            </w:r>
          </w:p>
        </w:tc>
        <w:tc>
          <w:tcPr>
            <w:tcW w:w="0" w:type="auto"/>
            <w:vAlign w:val="center"/>
          </w:tcPr>
          <w:p w:rsidR="005F78FC" w:rsidRDefault="00B42EF3">
            <w:pPr>
              <w:pStyle w:val="TableBodyText"/>
            </w:pPr>
            <w:r>
              <w:t>0852</w:t>
            </w:r>
          </w:p>
        </w:tc>
      </w:tr>
      <w:tr w:rsidR="005F78FC" w:rsidTr="005F78FC">
        <w:tc>
          <w:tcPr>
            <w:tcW w:w="0" w:type="auto"/>
            <w:vAlign w:val="center"/>
          </w:tcPr>
          <w:p w:rsidR="005F78FC" w:rsidRDefault="00B42EF3">
            <w:pPr>
              <w:pStyle w:val="TableBodyText"/>
            </w:pPr>
            <w:r>
              <w:t>ControlProperties</w:t>
            </w:r>
          </w:p>
        </w:tc>
        <w:tc>
          <w:tcPr>
            <w:tcW w:w="0" w:type="auto"/>
            <w:vAlign w:val="center"/>
          </w:tcPr>
          <w:p w:rsidR="005F78FC" w:rsidRDefault="00B42EF3">
            <w:pPr>
              <w:pStyle w:val="TableBodyText"/>
            </w:pPr>
            <w:r>
              <w:t>0849</w:t>
            </w:r>
          </w:p>
        </w:tc>
      </w:tr>
      <w:tr w:rsidR="005F78FC" w:rsidTr="005F78FC">
        <w:tc>
          <w:tcPr>
            <w:tcW w:w="0" w:type="auto"/>
            <w:vAlign w:val="center"/>
          </w:tcPr>
          <w:p w:rsidR="005F78FC" w:rsidRDefault="00B42EF3">
            <w:pPr>
              <w:pStyle w:val="TableBodyText"/>
            </w:pPr>
            <w:r>
              <w:t>ControlRun</w:t>
            </w:r>
          </w:p>
        </w:tc>
        <w:tc>
          <w:tcPr>
            <w:tcW w:w="0" w:type="auto"/>
            <w:vAlign w:val="center"/>
          </w:tcPr>
          <w:p w:rsidR="005F78FC" w:rsidRDefault="00B42EF3">
            <w:pPr>
              <w:pStyle w:val="TableBodyText"/>
            </w:pPr>
            <w:r>
              <w:t>00EB</w:t>
            </w:r>
          </w:p>
        </w:tc>
      </w:tr>
      <w:tr w:rsidR="005F78FC" w:rsidTr="005F78FC">
        <w:tc>
          <w:tcPr>
            <w:tcW w:w="0" w:type="auto"/>
            <w:vAlign w:val="center"/>
          </w:tcPr>
          <w:p w:rsidR="005F78FC" w:rsidRDefault="00B42EF3">
            <w:pPr>
              <w:pStyle w:val="TableBodyText"/>
            </w:pPr>
            <w:r>
              <w:t>ConvertObject</w:t>
            </w:r>
          </w:p>
        </w:tc>
        <w:tc>
          <w:tcPr>
            <w:tcW w:w="0" w:type="auto"/>
            <w:vAlign w:val="center"/>
          </w:tcPr>
          <w:p w:rsidR="005F78FC" w:rsidRDefault="00B42EF3">
            <w:pPr>
              <w:pStyle w:val="TableBodyText"/>
            </w:pPr>
            <w:r>
              <w:t>0188</w:t>
            </w:r>
          </w:p>
        </w:tc>
      </w:tr>
      <w:tr w:rsidR="005F78FC" w:rsidTr="005F78FC">
        <w:tc>
          <w:tcPr>
            <w:tcW w:w="0" w:type="auto"/>
            <w:vAlign w:val="center"/>
          </w:tcPr>
          <w:p w:rsidR="005F78FC" w:rsidRDefault="00B42EF3">
            <w:pPr>
              <w:pStyle w:val="TableBodyText"/>
            </w:pPr>
            <w:r>
              <w:t>ConvertTextBoxToFrame</w:t>
            </w:r>
          </w:p>
        </w:tc>
        <w:tc>
          <w:tcPr>
            <w:tcW w:w="0" w:type="auto"/>
            <w:vAlign w:val="center"/>
          </w:tcPr>
          <w:p w:rsidR="005F78FC" w:rsidRDefault="00B42EF3">
            <w:pPr>
              <w:pStyle w:val="TableBodyText"/>
            </w:pPr>
            <w:r>
              <w:t>0394</w:t>
            </w:r>
          </w:p>
        </w:tc>
      </w:tr>
      <w:tr w:rsidR="005F78FC" w:rsidTr="005F78FC">
        <w:tc>
          <w:tcPr>
            <w:tcW w:w="0" w:type="auto"/>
            <w:vAlign w:val="center"/>
          </w:tcPr>
          <w:p w:rsidR="005F78FC" w:rsidRDefault="00B42EF3">
            <w:pPr>
              <w:pStyle w:val="TableBodyText"/>
            </w:pPr>
            <w:r>
              <w:t>CopyButtonImage</w:t>
            </w:r>
          </w:p>
        </w:tc>
        <w:tc>
          <w:tcPr>
            <w:tcW w:w="0" w:type="auto"/>
            <w:vAlign w:val="center"/>
          </w:tcPr>
          <w:p w:rsidR="005F78FC" w:rsidRDefault="00B42EF3">
            <w:pPr>
              <w:pStyle w:val="TableBodyText"/>
            </w:pPr>
            <w:r>
              <w:t>020E</w:t>
            </w:r>
          </w:p>
        </w:tc>
      </w:tr>
      <w:tr w:rsidR="005F78FC" w:rsidTr="005F78FC">
        <w:tc>
          <w:tcPr>
            <w:tcW w:w="0" w:type="auto"/>
            <w:vAlign w:val="center"/>
          </w:tcPr>
          <w:p w:rsidR="005F78FC" w:rsidRDefault="00B42EF3">
            <w:pPr>
              <w:pStyle w:val="TableBodyText"/>
            </w:pPr>
            <w:r>
              <w:t>CopyFile</w:t>
            </w:r>
          </w:p>
        </w:tc>
        <w:tc>
          <w:tcPr>
            <w:tcW w:w="0" w:type="auto"/>
            <w:vAlign w:val="center"/>
          </w:tcPr>
          <w:p w:rsidR="005F78FC" w:rsidRDefault="00B42EF3">
            <w:pPr>
              <w:pStyle w:val="TableBodyText"/>
            </w:pPr>
            <w:r>
              <w:t>012C</w:t>
            </w:r>
          </w:p>
        </w:tc>
      </w:tr>
      <w:tr w:rsidR="005F78FC" w:rsidTr="005F78FC">
        <w:tc>
          <w:tcPr>
            <w:tcW w:w="0" w:type="auto"/>
            <w:vAlign w:val="center"/>
          </w:tcPr>
          <w:p w:rsidR="005F78FC" w:rsidRDefault="00B42EF3">
            <w:pPr>
              <w:pStyle w:val="TableBodyText"/>
            </w:pPr>
            <w:r>
              <w:t>CopyFormat</w:t>
            </w:r>
          </w:p>
        </w:tc>
        <w:tc>
          <w:tcPr>
            <w:tcW w:w="0" w:type="auto"/>
            <w:vAlign w:val="center"/>
          </w:tcPr>
          <w:p w:rsidR="005F78FC" w:rsidRDefault="00B42EF3">
            <w:pPr>
              <w:pStyle w:val="TableBodyText"/>
            </w:pPr>
            <w:r>
              <w:t>0049</w:t>
            </w:r>
          </w:p>
        </w:tc>
      </w:tr>
      <w:tr w:rsidR="005F78FC" w:rsidTr="005F78FC">
        <w:tc>
          <w:tcPr>
            <w:tcW w:w="0" w:type="auto"/>
            <w:vAlign w:val="center"/>
          </w:tcPr>
          <w:p w:rsidR="005F78FC" w:rsidRDefault="00B42EF3">
            <w:pPr>
              <w:pStyle w:val="TableBodyText"/>
            </w:pPr>
            <w:r>
              <w:t>CopyInkAsText</w:t>
            </w:r>
          </w:p>
        </w:tc>
        <w:tc>
          <w:tcPr>
            <w:tcW w:w="0" w:type="auto"/>
            <w:vAlign w:val="center"/>
          </w:tcPr>
          <w:p w:rsidR="005F78FC" w:rsidRDefault="00B42EF3">
            <w:pPr>
              <w:pStyle w:val="TableBodyText"/>
            </w:pPr>
            <w:r>
              <w:t>05C2</w:t>
            </w:r>
          </w:p>
        </w:tc>
      </w:tr>
      <w:tr w:rsidR="005F78FC" w:rsidTr="005F78FC">
        <w:tc>
          <w:tcPr>
            <w:tcW w:w="0" w:type="auto"/>
            <w:vAlign w:val="center"/>
          </w:tcPr>
          <w:p w:rsidR="005F78FC" w:rsidRDefault="00B42EF3">
            <w:pPr>
              <w:pStyle w:val="TableBodyText"/>
            </w:pPr>
            <w:r>
              <w:t>CopyText</w:t>
            </w:r>
          </w:p>
        </w:tc>
        <w:tc>
          <w:tcPr>
            <w:tcW w:w="0" w:type="auto"/>
            <w:vAlign w:val="center"/>
          </w:tcPr>
          <w:p w:rsidR="005F78FC" w:rsidRDefault="00B42EF3">
            <w:pPr>
              <w:pStyle w:val="TableBodyText"/>
            </w:pPr>
            <w:r>
              <w:t>0013</w:t>
            </w:r>
          </w:p>
        </w:tc>
      </w:tr>
      <w:tr w:rsidR="005F78FC" w:rsidTr="005F78FC">
        <w:tc>
          <w:tcPr>
            <w:tcW w:w="0" w:type="auto"/>
            <w:vAlign w:val="center"/>
          </w:tcPr>
          <w:p w:rsidR="005F78FC" w:rsidRDefault="00B42EF3">
            <w:pPr>
              <w:pStyle w:val="TableBodyText"/>
            </w:pPr>
            <w:r>
              <w:t>CoverPageGallery</w:t>
            </w:r>
          </w:p>
        </w:tc>
        <w:tc>
          <w:tcPr>
            <w:tcW w:w="0" w:type="auto"/>
            <w:vAlign w:val="center"/>
          </w:tcPr>
          <w:p w:rsidR="005F78FC" w:rsidRDefault="00B42EF3">
            <w:pPr>
              <w:pStyle w:val="TableBodyText"/>
            </w:pPr>
            <w:r>
              <w:t>07E5</w:t>
            </w:r>
          </w:p>
        </w:tc>
      </w:tr>
      <w:tr w:rsidR="005F78FC" w:rsidTr="005F78FC">
        <w:tc>
          <w:tcPr>
            <w:tcW w:w="0" w:type="auto"/>
            <w:vAlign w:val="center"/>
          </w:tcPr>
          <w:p w:rsidR="005F78FC" w:rsidRDefault="00B42EF3">
            <w:pPr>
              <w:pStyle w:val="TableBodyText"/>
            </w:pPr>
            <w:r>
              <w:lastRenderedPageBreak/>
              <w:t>CreateAutoText</w:t>
            </w:r>
          </w:p>
        </w:tc>
        <w:tc>
          <w:tcPr>
            <w:tcW w:w="0" w:type="auto"/>
            <w:vAlign w:val="center"/>
          </w:tcPr>
          <w:p w:rsidR="005F78FC" w:rsidRDefault="00B42EF3">
            <w:pPr>
              <w:pStyle w:val="TableBodyText"/>
            </w:pPr>
            <w:r>
              <w:t>0368</w:t>
            </w:r>
          </w:p>
        </w:tc>
      </w:tr>
      <w:tr w:rsidR="005F78FC" w:rsidTr="005F78FC">
        <w:tc>
          <w:tcPr>
            <w:tcW w:w="0" w:type="auto"/>
            <w:vAlign w:val="center"/>
          </w:tcPr>
          <w:p w:rsidR="005F78FC" w:rsidRDefault="00B42EF3">
            <w:pPr>
              <w:pStyle w:val="TableBodyText"/>
            </w:pPr>
            <w:r>
              <w:t>CreateAutoTextBlockFromSel</w:t>
            </w:r>
          </w:p>
        </w:tc>
        <w:tc>
          <w:tcPr>
            <w:tcW w:w="0" w:type="auto"/>
            <w:vAlign w:val="center"/>
          </w:tcPr>
          <w:p w:rsidR="005F78FC" w:rsidRDefault="00B42EF3">
            <w:pPr>
              <w:pStyle w:val="TableBodyText"/>
            </w:pPr>
            <w:r>
              <w:t>08E1</w:t>
            </w:r>
          </w:p>
        </w:tc>
      </w:tr>
      <w:tr w:rsidR="005F78FC" w:rsidTr="005F78FC">
        <w:tc>
          <w:tcPr>
            <w:tcW w:w="0" w:type="auto"/>
            <w:vAlign w:val="center"/>
          </w:tcPr>
          <w:p w:rsidR="005F78FC" w:rsidRDefault="00B42EF3">
            <w:pPr>
              <w:pStyle w:val="TableBodyText"/>
            </w:pPr>
            <w:r>
              <w:t>CreateBibliographyFromSel</w:t>
            </w:r>
          </w:p>
        </w:tc>
        <w:tc>
          <w:tcPr>
            <w:tcW w:w="0" w:type="auto"/>
            <w:vAlign w:val="center"/>
          </w:tcPr>
          <w:p w:rsidR="005F78FC" w:rsidRDefault="00B42EF3">
            <w:pPr>
              <w:pStyle w:val="TableBodyText"/>
            </w:pPr>
            <w:r>
              <w:t>0971</w:t>
            </w:r>
          </w:p>
        </w:tc>
      </w:tr>
      <w:tr w:rsidR="005F78FC" w:rsidTr="005F78FC">
        <w:tc>
          <w:tcPr>
            <w:tcW w:w="0" w:type="auto"/>
            <w:vAlign w:val="center"/>
          </w:tcPr>
          <w:p w:rsidR="005F78FC" w:rsidRDefault="00B42EF3">
            <w:pPr>
              <w:pStyle w:val="TableBodyText"/>
            </w:pPr>
            <w:r>
              <w:t>CreateBuildingBlockFromSel</w:t>
            </w:r>
          </w:p>
        </w:tc>
        <w:tc>
          <w:tcPr>
            <w:tcW w:w="0" w:type="auto"/>
            <w:vAlign w:val="center"/>
          </w:tcPr>
          <w:p w:rsidR="005F78FC" w:rsidRDefault="00B42EF3">
            <w:pPr>
              <w:pStyle w:val="TableBodyText"/>
            </w:pPr>
            <w:r>
              <w:t>07E2</w:t>
            </w:r>
          </w:p>
        </w:tc>
      </w:tr>
      <w:tr w:rsidR="005F78FC" w:rsidTr="005F78FC">
        <w:tc>
          <w:tcPr>
            <w:tcW w:w="0" w:type="auto"/>
            <w:vAlign w:val="center"/>
          </w:tcPr>
          <w:p w:rsidR="005F78FC" w:rsidRDefault="00B42EF3">
            <w:pPr>
              <w:pStyle w:val="TableBodyText"/>
            </w:pPr>
            <w:r>
              <w:t>CreateCommonFieldBlockFromSel</w:t>
            </w:r>
          </w:p>
        </w:tc>
        <w:tc>
          <w:tcPr>
            <w:tcW w:w="0" w:type="auto"/>
            <w:vAlign w:val="center"/>
          </w:tcPr>
          <w:p w:rsidR="005F78FC" w:rsidRDefault="00B42EF3">
            <w:pPr>
              <w:pStyle w:val="TableBodyText"/>
            </w:pPr>
            <w:r>
              <w:t>07F3</w:t>
            </w:r>
          </w:p>
        </w:tc>
      </w:tr>
      <w:tr w:rsidR="005F78FC" w:rsidTr="005F78FC">
        <w:tc>
          <w:tcPr>
            <w:tcW w:w="0" w:type="auto"/>
            <w:vAlign w:val="center"/>
          </w:tcPr>
          <w:p w:rsidR="005F78FC" w:rsidRDefault="00B42EF3">
            <w:pPr>
              <w:pStyle w:val="TableBodyText"/>
            </w:pPr>
            <w:r>
              <w:t>CreateCoverPageBlockFromSel</w:t>
            </w:r>
          </w:p>
        </w:tc>
        <w:tc>
          <w:tcPr>
            <w:tcW w:w="0" w:type="auto"/>
            <w:vAlign w:val="center"/>
          </w:tcPr>
          <w:p w:rsidR="005F78FC" w:rsidRDefault="00B42EF3">
            <w:pPr>
              <w:pStyle w:val="TableBodyText"/>
            </w:pPr>
            <w:r>
              <w:t>07F4</w:t>
            </w:r>
          </w:p>
        </w:tc>
      </w:tr>
      <w:tr w:rsidR="005F78FC" w:rsidTr="005F78FC">
        <w:tc>
          <w:tcPr>
            <w:tcW w:w="0" w:type="auto"/>
            <w:vAlign w:val="center"/>
          </w:tcPr>
          <w:p w:rsidR="005F78FC" w:rsidRDefault="00B42EF3">
            <w:pPr>
              <w:pStyle w:val="TableBodyText"/>
            </w:pPr>
            <w:r>
              <w:t>CreateEquationBlockFromSel</w:t>
            </w:r>
          </w:p>
        </w:tc>
        <w:tc>
          <w:tcPr>
            <w:tcW w:w="0" w:type="auto"/>
            <w:vAlign w:val="center"/>
          </w:tcPr>
          <w:p w:rsidR="005F78FC" w:rsidRDefault="00B42EF3">
            <w:pPr>
              <w:pStyle w:val="TableBodyText"/>
            </w:pPr>
            <w:r>
              <w:t>07F5</w:t>
            </w:r>
          </w:p>
        </w:tc>
      </w:tr>
      <w:tr w:rsidR="005F78FC" w:rsidTr="005F78FC">
        <w:tc>
          <w:tcPr>
            <w:tcW w:w="0" w:type="auto"/>
            <w:vAlign w:val="center"/>
          </w:tcPr>
          <w:p w:rsidR="005F78FC" w:rsidRDefault="00B42EF3">
            <w:pPr>
              <w:pStyle w:val="TableBodyText"/>
            </w:pPr>
            <w:r>
              <w:t>CreateFooterBlockFromSel</w:t>
            </w:r>
          </w:p>
        </w:tc>
        <w:tc>
          <w:tcPr>
            <w:tcW w:w="0" w:type="auto"/>
            <w:vAlign w:val="center"/>
          </w:tcPr>
          <w:p w:rsidR="005F78FC" w:rsidRDefault="00B42EF3">
            <w:pPr>
              <w:pStyle w:val="TableBodyText"/>
            </w:pPr>
            <w:r>
              <w:t>07F6</w:t>
            </w:r>
          </w:p>
        </w:tc>
      </w:tr>
      <w:tr w:rsidR="005F78FC" w:rsidTr="005F78FC">
        <w:tc>
          <w:tcPr>
            <w:tcW w:w="0" w:type="auto"/>
            <w:vAlign w:val="center"/>
          </w:tcPr>
          <w:p w:rsidR="005F78FC" w:rsidRDefault="00B42EF3">
            <w:pPr>
              <w:pStyle w:val="TableBodyText"/>
            </w:pPr>
            <w:r>
              <w:t>CreateHeaderBlockFromSel</w:t>
            </w:r>
          </w:p>
        </w:tc>
        <w:tc>
          <w:tcPr>
            <w:tcW w:w="0" w:type="auto"/>
            <w:vAlign w:val="center"/>
          </w:tcPr>
          <w:p w:rsidR="005F78FC" w:rsidRDefault="00B42EF3">
            <w:pPr>
              <w:pStyle w:val="TableBodyText"/>
            </w:pPr>
            <w:r>
              <w:t>07F7</w:t>
            </w:r>
          </w:p>
        </w:tc>
      </w:tr>
      <w:tr w:rsidR="005F78FC" w:rsidTr="005F78FC">
        <w:tc>
          <w:tcPr>
            <w:tcW w:w="0" w:type="auto"/>
            <w:vAlign w:val="center"/>
          </w:tcPr>
          <w:p w:rsidR="005F78FC" w:rsidRDefault="00B42EF3">
            <w:pPr>
              <w:pStyle w:val="TableBodyText"/>
            </w:pPr>
            <w:r>
              <w:t>CreateLayoutBlockFromSel</w:t>
            </w:r>
          </w:p>
        </w:tc>
        <w:tc>
          <w:tcPr>
            <w:tcW w:w="0" w:type="auto"/>
            <w:vAlign w:val="center"/>
          </w:tcPr>
          <w:p w:rsidR="005F78FC" w:rsidRDefault="00B42EF3">
            <w:pPr>
              <w:pStyle w:val="TableBodyText"/>
            </w:pPr>
            <w:r>
              <w:t>08E3</w:t>
            </w:r>
          </w:p>
        </w:tc>
      </w:tr>
      <w:tr w:rsidR="005F78FC" w:rsidTr="005F78FC">
        <w:tc>
          <w:tcPr>
            <w:tcW w:w="0" w:type="auto"/>
            <w:vAlign w:val="center"/>
          </w:tcPr>
          <w:p w:rsidR="005F78FC" w:rsidRDefault="00B42EF3">
            <w:pPr>
              <w:pStyle w:val="TableBodyText"/>
            </w:pPr>
            <w:r>
              <w:t>CreateNewColorScheme</w:t>
            </w:r>
          </w:p>
        </w:tc>
        <w:tc>
          <w:tcPr>
            <w:tcW w:w="0" w:type="auto"/>
            <w:vAlign w:val="center"/>
          </w:tcPr>
          <w:p w:rsidR="005F78FC" w:rsidRDefault="00B42EF3">
            <w:pPr>
              <w:pStyle w:val="TableBodyText"/>
            </w:pPr>
            <w:r>
              <w:t>0909</w:t>
            </w:r>
          </w:p>
        </w:tc>
      </w:tr>
      <w:tr w:rsidR="005F78FC" w:rsidTr="005F78FC">
        <w:tc>
          <w:tcPr>
            <w:tcW w:w="0" w:type="auto"/>
            <w:vAlign w:val="center"/>
          </w:tcPr>
          <w:p w:rsidR="005F78FC" w:rsidRDefault="00B42EF3">
            <w:pPr>
              <w:pStyle w:val="TableBodyText"/>
            </w:pPr>
            <w:r>
              <w:t>CreateNewFontScheme</w:t>
            </w:r>
          </w:p>
        </w:tc>
        <w:tc>
          <w:tcPr>
            <w:tcW w:w="0" w:type="auto"/>
            <w:vAlign w:val="center"/>
          </w:tcPr>
          <w:p w:rsidR="005F78FC" w:rsidRDefault="00B42EF3">
            <w:pPr>
              <w:pStyle w:val="TableBodyText"/>
            </w:pPr>
            <w:r>
              <w:t>0937</w:t>
            </w:r>
          </w:p>
        </w:tc>
      </w:tr>
      <w:tr w:rsidR="005F78FC" w:rsidTr="005F78FC">
        <w:tc>
          <w:tcPr>
            <w:tcW w:w="0" w:type="auto"/>
            <w:vAlign w:val="center"/>
          </w:tcPr>
          <w:p w:rsidR="005F78FC" w:rsidRDefault="00B42EF3">
            <w:pPr>
              <w:pStyle w:val="TableBodyText"/>
            </w:pPr>
            <w:r>
              <w:t>CreatePageNumBottomFromSel</w:t>
            </w:r>
          </w:p>
        </w:tc>
        <w:tc>
          <w:tcPr>
            <w:tcW w:w="0" w:type="auto"/>
            <w:vAlign w:val="center"/>
          </w:tcPr>
          <w:p w:rsidR="005F78FC" w:rsidRDefault="00B42EF3">
            <w:pPr>
              <w:pStyle w:val="TableBodyText"/>
            </w:pPr>
            <w:r>
              <w:t>07FB</w:t>
            </w:r>
          </w:p>
        </w:tc>
      </w:tr>
      <w:tr w:rsidR="005F78FC" w:rsidTr="005F78FC">
        <w:tc>
          <w:tcPr>
            <w:tcW w:w="0" w:type="auto"/>
            <w:vAlign w:val="center"/>
          </w:tcPr>
          <w:p w:rsidR="005F78FC" w:rsidRDefault="00B42EF3">
            <w:pPr>
              <w:pStyle w:val="TableBodyText"/>
            </w:pPr>
            <w:r>
              <w:t>CreatePageNumFromSel</w:t>
            </w:r>
          </w:p>
        </w:tc>
        <w:tc>
          <w:tcPr>
            <w:tcW w:w="0" w:type="auto"/>
            <w:vAlign w:val="center"/>
          </w:tcPr>
          <w:p w:rsidR="005F78FC" w:rsidRDefault="00B42EF3">
            <w:pPr>
              <w:pStyle w:val="TableBodyText"/>
            </w:pPr>
            <w:r>
              <w:t>07F9</w:t>
            </w:r>
          </w:p>
        </w:tc>
      </w:tr>
      <w:tr w:rsidR="005F78FC" w:rsidTr="005F78FC">
        <w:tc>
          <w:tcPr>
            <w:tcW w:w="0" w:type="auto"/>
            <w:vAlign w:val="center"/>
          </w:tcPr>
          <w:p w:rsidR="005F78FC" w:rsidRDefault="00B42EF3">
            <w:pPr>
              <w:pStyle w:val="TableBodyText"/>
            </w:pPr>
            <w:r>
              <w:t>CreatePageNumPageBlockFromSel</w:t>
            </w:r>
          </w:p>
        </w:tc>
        <w:tc>
          <w:tcPr>
            <w:tcW w:w="0" w:type="auto"/>
            <w:vAlign w:val="center"/>
          </w:tcPr>
          <w:p w:rsidR="005F78FC" w:rsidRDefault="00B42EF3">
            <w:pPr>
              <w:pStyle w:val="TableBodyText"/>
            </w:pPr>
            <w:r>
              <w:t>07FD</w:t>
            </w:r>
          </w:p>
        </w:tc>
      </w:tr>
      <w:tr w:rsidR="005F78FC" w:rsidTr="005F78FC">
        <w:tc>
          <w:tcPr>
            <w:tcW w:w="0" w:type="auto"/>
            <w:vAlign w:val="center"/>
          </w:tcPr>
          <w:p w:rsidR="005F78FC" w:rsidRDefault="00B42EF3">
            <w:pPr>
              <w:pStyle w:val="TableBodyText"/>
            </w:pPr>
            <w:r>
              <w:t>CreatePageNumTopFromSel</w:t>
            </w:r>
          </w:p>
        </w:tc>
        <w:tc>
          <w:tcPr>
            <w:tcW w:w="0" w:type="auto"/>
            <w:vAlign w:val="center"/>
          </w:tcPr>
          <w:p w:rsidR="005F78FC" w:rsidRDefault="00B42EF3">
            <w:pPr>
              <w:pStyle w:val="TableBodyText"/>
            </w:pPr>
            <w:r>
              <w:t>07FA</w:t>
            </w:r>
          </w:p>
        </w:tc>
      </w:tr>
      <w:tr w:rsidR="005F78FC" w:rsidTr="005F78FC">
        <w:tc>
          <w:tcPr>
            <w:tcW w:w="0" w:type="auto"/>
            <w:vAlign w:val="center"/>
          </w:tcPr>
          <w:p w:rsidR="005F78FC" w:rsidRDefault="00B42EF3">
            <w:pPr>
              <w:pStyle w:val="TableBodyText"/>
            </w:pPr>
            <w:r>
              <w:t>CreateSharedWorkspace</w:t>
            </w:r>
          </w:p>
        </w:tc>
        <w:tc>
          <w:tcPr>
            <w:tcW w:w="0" w:type="auto"/>
            <w:vAlign w:val="center"/>
          </w:tcPr>
          <w:p w:rsidR="005F78FC" w:rsidRDefault="00B42EF3">
            <w:pPr>
              <w:pStyle w:val="TableBodyText"/>
            </w:pPr>
            <w:r>
              <w:t>0839</w:t>
            </w:r>
          </w:p>
        </w:tc>
      </w:tr>
      <w:tr w:rsidR="005F78FC" w:rsidTr="005F78FC">
        <w:tc>
          <w:tcPr>
            <w:tcW w:w="0" w:type="auto"/>
            <w:vAlign w:val="center"/>
          </w:tcPr>
          <w:p w:rsidR="005F78FC" w:rsidRDefault="00B42EF3">
            <w:pPr>
              <w:pStyle w:val="TableBodyText"/>
            </w:pPr>
            <w:r>
              <w:t>CreateSubdocument</w:t>
            </w:r>
          </w:p>
        </w:tc>
        <w:tc>
          <w:tcPr>
            <w:tcW w:w="0" w:type="auto"/>
            <w:vAlign w:val="center"/>
          </w:tcPr>
          <w:p w:rsidR="005F78FC" w:rsidRDefault="00B42EF3">
            <w:pPr>
              <w:pStyle w:val="TableBodyText"/>
            </w:pPr>
            <w:r>
              <w:t>01EB</w:t>
            </w:r>
          </w:p>
        </w:tc>
      </w:tr>
      <w:tr w:rsidR="005F78FC" w:rsidTr="005F78FC">
        <w:tc>
          <w:tcPr>
            <w:tcW w:w="0" w:type="auto"/>
            <w:vAlign w:val="center"/>
          </w:tcPr>
          <w:p w:rsidR="005F78FC" w:rsidRDefault="00B42EF3">
            <w:pPr>
              <w:pStyle w:val="TableBodyText"/>
            </w:pPr>
            <w:r>
              <w:t>CreateTable</w:t>
            </w:r>
          </w:p>
        </w:tc>
        <w:tc>
          <w:tcPr>
            <w:tcW w:w="0" w:type="auto"/>
            <w:vAlign w:val="center"/>
          </w:tcPr>
          <w:p w:rsidR="005F78FC" w:rsidRDefault="00B42EF3">
            <w:pPr>
              <w:pStyle w:val="TableBodyText"/>
            </w:pPr>
            <w:r>
              <w:t>031C</w:t>
            </w:r>
          </w:p>
        </w:tc>
      </w:tr>
      <w:tr w:rsidR="005F78FC" w:rsidTr="005F78FC">
        <w:tc>
          <w:tcPr>
            <w:tcW w:w="0" w:type="auto"/>
            <w:vAlign w:val="center"/>
          </w:tcPr>
          <w:p w:rsidR="005F78FC" w:rsidRDefault="00B42EF3">
            <w:pPr>
              <w:pStyle w:val="TableBodyText"/>
            </w:pPr>
            <w:r>
              <w:t>CreateTableBlockFromSel</w:t>
            </w:r>
          </w:p>
        </w:tc>
        <w:tc>
          <w:tcPr>
            <w:tcW w:w="0" w:type="auto"/>
            <w:vAlign w:val="center"/>
          </w:tcPr>
          <w:p w:rsidR="005F78FC" w:rsidRDefault="00B42EF3">
            <w:pPr>
              <w:pStyle w:val="TableBodyText"/>
            </w:pPr>
            <w:r>
              <w:t>07FC</w:t>
            </w:r>
          </w:p>
        </w:tc>
      </w:tr>
      <w:tr w:rsidR="005F78FC" w:rsidTr="005F78FC">
        <w:tc>
          <w:tcPr>
            <w:tcW w:w="0" w:type="auto"/>
            <w:vAlign w:val="center"/>
          </w:tcPr>
          <w:p w:rsidR="005F78FC" w:rsidRDefault="00B42EF3">
            <w:pPr>
              <w:pStyle w:val="TableBodyText"/>
            </w:pPr>
            <w:r>
              <w:t>CreateTableOfContentsFromSel</w:t>
            </w:r>
          </w:p>
        </w:tc>
        <w:tc>
          <w:tcPr>
            <w:tcW w:w="0" w:type="auto"/>
            <w:vAlign w:val="center"/>
          </w:tcPr>
          <w:p w:rsidR="005F78FC" w:rsidRDefault="00B42EF3">
            <w:pPr>
              <w:pStyle w:val="TableBodyText"/>
            </w:pPr>
            <w:r>
              <w:t>0915</w:t>
            </w:r>
          </w:p>
        </w:tc>
      </w:tr>
      <w:tr w:rsidR="005F78FC" w:rsidTr="005F78FC">
        <w:tc>
          <w:tcPr>
            <w:tcW w:w="0" w:type="auto"/>
            <w:vAlign w:val="center"/>
          </w:tcPr>
          <w:p w:rsidR="005F78FC" w:rsidRDefault="00B42EF3">
            <w:pPr>
              <w:pStyle w:val="TableBodyText"/>
            </w:pPr>
            <w:r>
              <w:t>CreateTask</w:t>
            </w:r>
          </w:p>
        </w:tc>
        <w:tc>
          <w:tcPr>
            <w:tcW w:w="0" w:type="auto"/>
            <w:vAlign w:val="center"/>
          </w:tcPr>
          <w:p w:rsidR="005F78FC" w:rsidRDefault="00B42EF3">
            <w:pPr>
              <w:pStyle w:val="TableBodyText"/>
            </w:pPr>
            <w:r>
              <w:t>0384</w:t>
            </w:r>
          </w:p>
        </w:tc>
      </w:tr>
      <w:tr w:rsidR="005F78FC" w:rsidTr="005F78FC">
        <w:tc>
          <w:tcPr>
            <w:tcW w:w="0" w:type="auto"/>
            <w:vAlign w:val="center"/>
          </w:tcPr>
          <w:p w:rsidR="005F78FC" w:rsidRDefault="00B42EF3">
            <w:pPr>
              <w:pStyle w:val="TableBodyText"/>
            </w:pPr>
            <w:r>
              <w:t>CreateTextBoxBlockFromSel</w:t>
            </w:r>
          </w:p>
        </w:tc>
        <w:tc>
          <w:tcPr>
            <w:tcW w:w="0" w:type="auto"/>
            <w:vAlign w:val="center"/>
          </w:tcPr>
          <w:p w:rsidR="005F78FC" w:rsidRDefault="00B42EF3">
            <w:pPr>
              <w:pStyle w:val="TableBodyText"/>
            </w:pPr>
            <w:r>
              <w:t>08E2</w:t>
            </w:r>
          </w:p>
        </w:tc>
      </w:tr>
      <w:tr w:rsidR="005F78FC" w:rsidTr="005F78FC">
        <w:tc>
          <w:tcPr>
            <w:tcW w:w="0" w:type="auto"/>
            <w:vAlign w:val="center"/>
          </w:tcPr>
          <w:p w:rsidR="005F78FC" w:rsidRDefault="00B42EF3">
            <w:pPr>
              <w:pStyle w:val="TableBodyText"/>
            </w:pPr>
            <w:r>
              <w:t>CreateWaterMarkBlockFromSel</w:t>
            </w:r>
          </w:p>
        </w:tc>
        <w:tc>
          <w:tcPr>
            <w:tcW w:w="0" w:type="auto"/>
            <w:vAlign w:val="center"/>
          </w:tcPr>
          <w:p w:rsidR="005F78FC" w:rsidRDefault="00B42EF3">
            <w:pPr>
              <w:pStyle w:val="TableBodyText"/>
            </w:pPr>
            <w:r>
              <w:t>07FF</w:t>
            </w:r>
          </w:p>
        </w:tc>
      </w:tr>
      <w:tr w:rsidR="005F78FC" w:rsidTr="005F78FC">
        <w:tc>
          <w:tcPr>
            <w:tcW w:w="0" w:type="auto"/>
            <w:vAlign w:val="center"/>
          </w:tcPr>
          <w:p w:rsidR="005F78FC" w:rsidRDefault="00B42EF3">
            <w:pPr>
              <w:pStyle w:val="TableBodyText"/>
            </w:pPr>
            <w:r>
              <w:t>CssLinks</w:t>
            </w:r>
          </w:p>
        </w:tc>
        <w:tc>
          <w:tcPr>
            <w:tcW w:w="0" w:type="auto"/>
            <w:vAlign w:val="center"/>
          </w:tcPr>
          <w:p w:rsidR="005F78FC" w:rsidRDefault="00B42EF3">
            <w:pPr>
              <w:pStyle w:val="TableBodyText"/>
            </w:pPr>
            <w:r>
              <w:t>04ED</w:t>
            </w:r>
          </w:p>
        </w:tc>
      </w:tr>
      <w:tr w:rsidR="005F78FC" w:rsidTr="005F78FC">
        <w:tc>
          <w:tcPr>
            <w:tcW w:w="0" w:type="auto"/>
            <w:vAlign w:val="center"/>
          </w:tcPr>
          <w:p w:rsidR="005F78FC" w:rsidRDefault="00B42EF3">
            <w:pPr>
              <w:pStyle w:val="TableBodyText"/>
            </w:pPr>
            <w:r>
              <w:t>Custom1Gallery</w:t>
            </w:r>
          </w:p>
        </w:tc>
        <w:tc>
          <w:tcPr>
            <w:tcW w:w="0" w:type="auto"/>
            <w:vAlign w:val="center"/>
          </w:tcPr>
          <w:p w:rsidR="005F78FC" w:rsidRDefault="00B42EF3">
            <w:pPr>
              <w:pStyle w:val="TableBodyText"/>
            </w:pPr>
            <w:r>
              <w:t>096C</w:t>
            </w:r>
          </w:p>
        </w:tc>
      </w:tr>
      <w:tr w:rsidR="005F78FC" w:rsidTr="005F78FC">
        <w:tc>
          <w:tcPr>
            <w:tcW w:w="0" w:type="auto"/>
            <w:vAlign w:val="center"/>
          </w:tcPr>
          <w:p w:rsidR="005F78FC" w:rsidRDefault="00B42EF3">
            <w:pPr>
              <w:pStyle w:val="TableBodyText"/>
            </w:pPr>
            <w:r>
              <w:t>Custom2Gallery</w:t>
            </w:r>
          </w:p>
        </w:tc>
        <w:tc>
          <w:tcPr>
            <w:tcW w:w="0" w:type="auto"/>
            <w:vAlign w:val="center"/>
          </w:tcPr>
          <w:p w:rsidR="005F78FC" w:rsidRDefault="00B42EF3">
            <w:pPr>
              <w:pStyle w:val="TableBodyText"/>
            </w:pPr>
            <w:r>
              <w:t>096D</w:t>
            </w:r>
          </w:p>
        </w:tc>
      </w:tr>
      <w:tr w:rsidR="005F78FC" w:rsidTr="005F78FC">
        <w:tc>
          <w:tcPr>
            <w:tcW w:w="0" w:type="auto"/>
            <w:vAlign w:val="center"/>
          </w:tcPr>
          <w:p w:rsidR="005F78FC" w:rsidRDefault="00B42EF3">
            <w:pPr>
              <w:pStyle w:val="TableBodyText"/>
            </w:pPr>
            <w:r>
              <w:t>Custom3Gallery</w:t>
            </w:r>
          </w:p>
        </w:tc>
        <w:tc>
          <w:tcPr>
            <w:tcW w:w="0" w:type="auto"/>
            <w:vAlign w:val="center"/>
          </w:tcPr>
          <w:p w:rsidR="005F78FC" w:rsidRDefault="00B42EF3">
            <w:pPr>
              <w:pStyle w:val="TableBodyText"/>
            </w:pPr>
            <w:r>
              <w:t>096E</w:t>
            </w:r>
          </w:p>
        </w:tc>
      </w:tr>
      <w:tr w:rsidR="005F78FC" w:rsidTr="005F78FC">
        <w:tc>
          <w:tcPr>
            <w:tcW w:w="0" w:type="auto"/>
            <w:vAlign w:val="center"/>
          </w:tcPr>
          <w:p w:rsidR="005F78FC" w:rsidRDefault="00B42EF3">
            <w:pPr>
              <w:pStyle w:val="TableBodyText"/>
            </w:pPr>
            <w:r>
              <w:t>Custom4Gallery</w:t>
            </w:r>
          </w:p>
        </w:tc>
        <w:tc>
          <w:tcPr>
            <w:tcW w:w="0" w:type="auto"/>
            <w:vAlign w:val="center"/>
          </w:tcPr>
          <w:p w:rsidR="005F78FC" w:rsidRDefault="00B42EF3">
            <w:pPr>
              <w:pStyle w:val="TableBodyText"/>
            </w:pPr>
            <w:r>
              <w:t>096F</w:t>
            </w:r>
          </w:p>
        </w:tc>
      </w:tr>
      <w:tr w:rsidR="005F78FC" w:rsidTr="005F78FC">
        <w:tc>
          <w:tcPr>
            <w:tcW w:w="0" w:type="auto"/>
            <w:vAlign w:val="center"/>
          </w:tcPr>
          <w:p w:rsidR="005F78FC" w:rsidRDefault="00B42EF3">
            <w:pPr>
              <w:pStyle w:val="TableBodyText"/>
            </w:pPr>
            <w:r>
              <w:t>Custom5Gallery</w:t>
            </w:r>
          </w:p>
        </w:tc>
        <w:tc>
          <w:tcPr>
            <w:tcW w:w="0" w:type="auto"/>
            <w:vAlign w:val="center"/>
          </w:tcPr>
          <w:p w:rsidR="005F78FC" w:rsidRDefault="00B42EF3">
            <w:pPr>
              <w:pStyle w:val="TableBodyText"/>
            </w:pPr>
            <w:r>
              <w:t>0970</w:t>
            </w:r>
          </w:p>
        </w:tc>
      </w:tr>
      <w:tr w:rsidR="005F78FC" w:rsidTr="005F78FC">
        <w:tc>
          <w:tcPr>
            <w:tcW w:w="0" w:type="auto"/>
            <w:vAlign w:val="center"/>
          </w:tcPr>
          <w:p w:rsidR="005F78FC" w:rsidRDefault="00B42EF3">
            <w:pPr>
              <w:pStyle w:val="TableBodyText"/>
            </w:pPr>
            <w:r>
              <w:t>CustomAutoTextGallery</w:t>
            </w:r>
          </w:p>
        </w:tc>
        <w:tc>
          <w:tcPr>
            <w:tcW w:w="0" w:type="auto"/>
            <w:vAlign w:val="center"/>
          </w:tcPr>
          <w:p w:rsidR="005F78FC" w:rsidRDefault="00B42EF3">
            <w:pPr>
              <w:pStyle w:val="TableBodyText"/>
            </w:pPr>
            <w:r>
              <w:t>0968</w:t>
            </w:r>
          </w:p>
        </w:tc>
      </w:tr>
      <w:tr w:rsidR="005F78FC" w:rsidTr="005F78FC">
        <w:tc>
          <w:tcPr>
            <w:tcW w:w="0" w:type="auto"/>
            <w:vAlign w:val="center"/>
          </w:tcPr>
          <w:p w:rsidR="005F78FC" w:rsidRDefault="00B42EF3">
            <w:pPr>
              <w:pStyle w:val="TableBodyText"/>
            </w:pPr>
            <w:r>
              <w:t>CustomBibliographyGallery</w:t>
            </w:r>
          </w:p>
        </w:tc>
        <w:tc>
          <w:tcPr>
            <w:tcW w:w="0" w:type="auto"/>
            <w:vAlign w:val="center"/>
          </w:tcPr>
          <w:p w:rsidR="005F78FC" w:rsidRDefault="00B42EF3">
            <w:pPr>
              <w:pStyle w:val="TableBodyText"/>
            </w:pPr>
            <w:r>
              <w:t>096B</w:t>
            </w:r>
          </w:p>
        </w:tc>
      </w:tr>
      <w:tr w:rsidR="005F78FC" w:rsidTr="005F78FC">
        <w:tc>
          <w:tcPr>
            <w:tcW w:w="0" w:type="auto"/>
            <w:vAlign w:val="center"/>
          </w:tcPr>
          <w:p w:rsidR="005F78FC" w:rsidRDefault="00B42EF3">
            <w:pPr>
              <w:pStyle w:val="TableBodyText"/>
            </w:pPr>
            <w:r>
              <w:lastRenderedPageBreak/>
              <w:t>CustomCoverPageGallery</w:t>
            </w:r>
          </w:p>
        </w:tc>
        <w:tc>
          <w:tcPr>
            <w:tcW w:w="0" w:type="auto"/>
            <w:vAlign w:val="center"/>
          </w:tcPr>
          <w:p w:rsidR="005F78FC" w:rsidRDefault="00B42EF3">
            <w:pPr>
              <w:pStyle w:val="TableBodyText"/>
            </w:pPr>
            <w:r>
              <w:t>095F</w:t>
            </w:r>
          </w:p>
        </w:tc>
      </w:tr>
      <w:tr w:rsidR="005F78FC" w:rsidTr="005F78FC">
        <w:tc>
          <w:tcPr>
            <w:tcW w:w="0" w:type="auto"/>
            <w:vAlign w:val="center"/>
          </w:tcPr>
          <w:p w:rsidR="005F78FC" w:rsidRDefault="00B42EF3">
            <w:pPr>
              <w:pStyle w:val="TableBodyText"/>
            </w:pPr>
            <w:r>
              <w:t>CustomEquationsGallery</w:t>
            </w:r>
          </w:p>
        </w:tc>
        <w:tc>
          <w:tcPr>
            <w:tcW w:w="0" w:type="auto"/>
            <w:vAlign w:val="center"/>
          </w:tcPr>
          <w:p w:rsidR="005F78FC" w:rsidRDefault="00B42EF3">
            <w:pPr>
              <w:pStyle w:val="TableBodyText"/>
            </w:pPr>
            <w:r>
              <w:t>0965</w:t>
            </w:r>
          </w:p>
        </w:tc>
      </w:tr>
      <w:tr w:rsidR="005F78FC" w:rsidTr="005F78FC">
        <w:tc>
          <w:tcPr>
            <w:tcW w:w="0" w:type="auto"/>
            <w:vAlign w:val="center"/>
          </w:tcPr>
          <w:p w:rsidR="005F78FC" w:rsidRDefault="00B42EF3">
            <w:pPr>
              <w:pStyle w:val="TableBodyText"/>
            </w:pPr>
            <w:r>
              <w:t>CustomFooterGallery</w:t>
            </w:r>
          </w:p>
        </w:tc>
        <w:tc>
          <w:tcPr>
            <w:tcW w:w="0" w:type="auto"/>
            <w:vAlign w:val="center"/>
          </w:tcPr>
          <w:p w:rsidR="005F78FC" w:rsidRDefault="00B42EF3">
            <w:pPr>
              <w:pStyle w:val="TableBodyText"/>
            </w:pPr>
            <w:r>
              <w:t>095E</w:t>
            </w:r>
          </w:p>
        </w:tc>
      </w:tr>
      <w:tr w:rsidR="005F78FC" w:rsidTr="005F78FC">
        <w:tc>
          <w:tcPr>
            <w:tcW w:w="0" w:type="auto"/>
            <w:vAlign w:val="center"/>
          </w:tcPr>
          <w:p w:rsidR="005F78FC" w:rsidRDefault="00B42EF3">
            <w:pPr>
              <w:pStyle w:val="TableBodyText"/>
            </w:pPr>
            <w:r>
              <w:t>CustomHeaderGallery</w:t>
            </w:r>
          </w:p>
        </w:tc>
        <w:tc>
          <w:tcPr>
            <w:tcW w:w="0" w:type="auto"/>
            <w:vAlign w:val="center"/>
          </w:tcPr>
          <w:p w:rsidR="005F78FC" w:rsidRDefault="00B42EF3">
            <w:pPr>
              <w:pStyle w:val="TableBodyText"/>
            </w:pPr>
            <w:r>
              <w:t>095D</w:t>
            </w:r>
          </w:p>
        </w:tc>
      </w:tr>
      <w:tr w:rsidR="005F78FC" w:rsidTr="005F78FC">
        <w:tc>
          <w:tcPr>
            <w:tcW w:w="0" w:type="auto"/>
            <w:vAlign w:val="center"/>
          </w:tcPr>
          <w:p w:rsidR="005F78FC" w:rsidRDefault="00B42EF3">
            <w:pPr>
              <w:pStyle w:val="TableBodyText"/>
            </w:pPr>
            <w:r>
              <w:t>CustomPageNumBottomGallery</w:t>
            </w:r>
          </w:p>
        </w:tc>
        <w:tc>
          <w:tcPr>
            <w:tcW w:w="0" w:type="auto"/>
            <w:vAlign w:val="center"/>
          </w:tcPr>
          <w:p w:rsidR="005F78FC" w:rsidRDefault="00B42EF3">
            <w:pPr>
              <w:pStyle w:val="TableBodyText"/>
            </w:pPr>
            <w:r>
              <w:t>0962</w:t>
            </w:r>
          </w:p>
        </w:tc>
      </w:tr>
      <w:tr w:rsidR="005F78FC" w:rsidTr="005F78FC">
        <w:tc>
          <w:tcPr>
            <w:tcW w:w="0" w:type="auto"/>
            <w:vAlign w:val="center"/>
          </w:tcPr>
          <w:p w:rsidR="005F78FC" w:rsidRDefault="00B42EF3">
            <w:pPr>
              <w:pStyle w:val="TableBodyText"/>
            </w:pPr>
            <w:r>
              <w:t>CustomPageNumGallery</w:t>
            </w:r>
          </w:p>
        </w:tc>
        <w:tc>
          <w:tcPr>
            <w:tcW w:w="0" w:type="auto"/>
            <w:vAlign w:val="center"/>
          </w:tcPr>
          <w:p w:rsidR="005F78FC" w:rsidRDefault="00B42EF3">
            <w:pPr>
              <w:pStyle w:val="TableBodyText"/>
            </w:pPr>
            <w:r>
              <w:t>0960</w:t>
            </w:r>
          </w:p>
        </w:tc>
      </w:tr>
      <w:tr w:rsidR="005F78FC" w:rsidTr="005F78FC">
        <w:tc>
          <w:tcPr>
            <w:tcW w:w="0" w:type="auto"/>
            <w:vAlign w:val="center"/>
          </w:tcPr>
          <w:p w:rsidR="005F78FC" w:rsidRDefault="00B42EF3">
            <w:pPr>
              <w:pStyle w:val="TableBodyText"/>
            </w:pPr>
            <w:r>
              <w:t>CustomPageNumPageGallery</w:t>
            </w:r>
          </w:p>
        </w:tc>
        <w:tc>
          <w:tcPr>
            <w:tcW w:w="0" w:type="auto"/>
            <w:vAlign w:val="center"/>
          </w:tcPr>
          <w:p w:rsidR="005F78FC" w:rsidRDefault="00B42EF3">
            <w:pPr>
              <w:pStyle w:val="TableBodyText"/>
            </w:pPr>
            <w:r>
              <w:t>0963</w:t>
            </w:r>
          </w:p>
        </w:tc>
      </w:tr>
      <w:tr w:rsidR="005F78FC" w:rsidTr="005F78FC">
        <w:tc>
          <w:tcPr>
            <w:tcW w:w="0" w:type="auto"/>
            <w:vAlign w:val="center"/>
          </w:tcPr>
          <w:p w:rsidR="005F78FC" w:rsidRDefault="00B42EF3">
            <w:pPr>
              <w:pStyle w:val="TableBodyText"/>
            </w:pPr>
            <w:r>
              <w:t>CustomPageNumTopGallery</w:t>
            </w:r>
          </w:p>
        </w:tc>
        <w:tc>
          <w:tcPr>
            <w:tcW w:w="0" w:type="auto"/>
            <w:vAlign w:val="center"/>
          </w:tcPr>
          <w:p w:rsidR="005F78FC" w:rsidRDefault="00B42EF3">
            <w:pPr>
              <w:pStyle w:val="TableBodyText"/>
            </w:pPr>
            <w:r>
              <w:t>0961</w:t>
            </w:r>
          </w:p>
        </w:tc>
      </w:tr>
      <w:tr w:rsidR="005F78FC" w:rsidTr="005F78FC">
        <w:tc>
          <w:tcPr>
            <w:tcW w:w="0" w:type="auto"/>
            <w:vAlign w:val="center"/>
          </w:tcPr>
          <w:p w:rsidR="005F78FC" w:rsidRDefault="00B42EF3">
            <w:pPr>
              <w:pStyle w:val="TableBodyText"/>
            </w:pPr>
            <w:r>
              <w:t>CustomQuickPartsGallery</w:t>
            </w:r>
          </w:p>
        </w:tc>
        <w:tc>
          <w:tcPr>
            <w:tcW w:w="0" w:type="auto"/>
            <w:vAlign w:val="center"/>
          </w:tcPr>
          <w:p w:rsidR="005F78FC" w:rsidRDefault="00B42EF3">
            <w:pPr>
              <w:pStyle w:val="TableBodyText"/>
            </w:pPr>
            <w:r>
              <w:t>0967</w:t>
            </w:r>
          </w:p>
        </w:tc>
      </w:tr>
      <w:tr w:rsidR="005F78FC" w:rsidTr="005F78FC">
        <w:tc>
          <w:tcPr>
            <w:tcW w:w="0" w:type="auto"/>
            <w:vAlign w:val="center"/>
          </w:tcPr>
          <w:p w:rsidR="005F78FC" w:rsidRDefault="00B42EF3">
            <w:pPr>
              <w:pStyle w:val="TableBodyText"/>
            </w:pPr>
            <w:r>
              <w:t>CustomTableOfContentsGallery</w:t>
            </w:r>
          </w:p>
        </w:tc>
        <w:tc>
          <w:tcPr>
            <w:tcW w:w="0" w:type="auto"/>
            <w:vAlign w:val="center"/>
          </w:tcPr>
          <w:p w:rsidR="005F78FC" w:rsidRDefault="00B42EF3">
            <w:pPr>
              <w:pStyle w:val="TableBodyText"/>
            </w:pPr>
            <w:r>
              <w:t>096A</w:t>
            </w:r>
          </w:p>
        </w:tc>
      </w:tr>
      <w:tr w:rsidR="005F78FC" w:rsidTr="005F78FC">
        <w:tc>
          <w:tcPr>
            <w:tcW w:w="0" w:type="auto"/>
            <w:vAlign w:val="center"/>
          </w:tcPr>
          <w:p w:rsidR="005F78FC" w:rsidRDefault="00B42EF3">
            <w:pPr>
              <w:pStyle w:val="TableBodyText"/>
            </w:pPr>
            <w:r>
              <w:t>CustomTablesGallery</w:t>
            </w:r>
          </w:p>
        </w:tc>
        <w:tc>
          <w:tcPr>
            <w:tcW w:w="0" w:type="auto"/>
            <w:vAlign w:val="center"/>
          </w:tcPr>
          <w:p w:rsidR="005F78FC" w:rsidRDefault="00B42EF3">
            <w:pPr>
              <w:pStyle w:val="TableBodyText"/>
            </w:pPr>
            <w:r>
              <w:t>0966</w:t>
            </w:r>
          </w:p>
        </w:tc>
      </w:tr>
      <w:tr w:rsidR="005F78FC" w:rsidTr="005F78FC">
        <w:tc>
          <w:tcPr>
            <w:tcW w:w="0" w:type="auto"/>
            <w:vAlign w:val="center"/>
          </w:tcPr>
          <w:p w:rsidR="005F78FC" w:rsidRDefault="00B42EF3">
            <w:pPr>
              <w:pStyle w:val="TableBodyText"/>
            </w:pPr>
            <w:r>
              <w:t>CustomTextBoxGallery</w:t>
            </w:r>
          </w:p>
        </w:tc>
        <w:tc>
          <w:tcPr>
            <w:tcW w:w="0" w:type="auto"/>
            <w:vAlign w:val="center"/>
          </w:tcPr>
          <w:p w:rsidR="005F78FC" w:rsidRDefault="00B42EF3">
            <w:pPr>
              <w:pStyle w:val="TableBodyText"/>
            </w:pPr>
            <w:r>
              <w:t>0969</w:t>
            </w:r>
          </w:p>
        </w:tc>
      </w:tr>
      <w:tr w:rsidR="005F78FC" w:rsidTr="005F78FC">
        <w:tc>
          <w:tcPr>
            <w:tcW w:w="0" w:type="auto"/>
            <w:vAlign w:val="center"/>
          </w:tcPr>
          <w:p w:rsidR="005F78FC" w:rsidRDefault="00B42EF3">
            <w:pPr>
              <w:pStyle w:val="TableBodyText"/>
            </w:pPr>
            <w:r>
              <w:t>CustomWatermarkGallery</w:t>
            </w:r>
          </w:p>
        </w:tc>
        <w:tc>
          <w:tcPr>
            <w:tcW w:w="0" w:type="auto"/>
            <w:vAlign w:val="center"/>
          </w:tcPr>
          <w:p w:rsidR="005F78FC" w:rsidRDefault="00B42EF3">
            <w:pPr>
              <w:pStyle w:val="TableBodyText"/>
            </w:pPr>
            <w:r>
              <w:t>0964</w:t>
            </w:r>
          </w:p>
        </w:tc>
      </w:tr>
      <w:tr w:rsidR="005F78FC" w:rsidTr="005F78FC">
        <w:tc>
          <w:tcPr>
            <w:tcW w:w="0" w:type="auto"/>
            <w:vAlign w:val="center"/>
          </w:tcPr>
          <w:p w:rsidR="005F78FC" w:rsidRDefault="00B42EF3">
            <w:pPr>
              <w:pStyle w:val="TableBodyText"/>
            </w:pPr>
            <w:r>
              <w:t>DecreaseIndent</w:t>
            </w:r>
          </w:p>
        </w:tc>
        <w:tc>
          <w:tcPr>
            <w:tcW w:w="0" w:type="auto"/>
            <w:vAlign w:val="center"/>
          </w:tcPr>
          <w:p w:rsidR="005F78FC" w:rsidRDefault="00B42EF3">
            <w:pPr>
              <w:pStyle w:val="TableBodyText"/>
            </w:pPr>
            <w:r>
              <w:t>03F3</w:t>
            </w:r>
          </w:p>
        </w:tc>
      </w:tr>
      <w:tr w:rsidR="005F78FC" w:rsidTr="005F78FC">
        <w:tc>
          <w:tcPr>
            <w:tcW w:w="0" w:type="auto"/>
            <w:vAlign w:val="center"/>
          </w:tcPr>
          <w:p w:rsidR="005F78FC" w:rsidRDefault="00B42EF3">
            <w:pPr>
              <w:pStyle w:val="TableBodyText"/>
            </w:pPr>
            <w:r>
              <w:t>DecreaseParagraphSpacing</w:t>
            </w:r>
          </w:p>
        </w:tc>
        <w:tc>
          <w:tcPr>
            <w:tcW w:w="0" w:type="auto"/>
            <w:vAlign w:val="center"/>
          </w:tcPr>
          <w:p w:rsidR="005F78FC" w:rsidRDefault="00B42EF3">
            <w:pPr>
              <w:pStyle w:val="TableBodyText"/>
            </w:pPr>
            <w:r>
              <w:t>053F</w:t>
            </w:r>
          </w:p>
        </w:tc>
      </w:tr>
      <w:tr w:rsidR="005F78FC" w:rsidTr="005F78FC">
        <w:tc>
          <w:tcPr>
            <w:tcW w:w="0" w:type="auto"/>
            <w:vAlign w:val="center"/>
          </w:tcPr>
          <w:p w:rsidR="005F78FC" w:rsidRDefault="00B42EF3">
            <w:pPr>
              <w:pStyle w:val="TableBodyText"/>
            </w:pPr>
            <w:r>
              <w:t>DefaultCharBorder</w:t>
            </w:r>
          </w:p>
        </w:tc>
        <w:tc>
          <w:tcPr>
            <w:tcW w:w="0" w:type="auto"/>
            <w:vAlign w:val="center"/>
          </w:tcPr>
          <w:p w:rsidR="005F78FC" w:rsidRDefault="00B42EF3">
            <w:pPr>
              <w:pStyle w:val="TableBodyText"/>
            </w:pPr>
            <w:r>
              <w:t>03E5</w:t>
            </w:r>
          </w:p>
        </w:tc>
      </w:tr>
      <w:tr w:rsidR="005F78FC" w:rsidTr="005F78FC">
        <w:tc>
          <w:tcPr>
            <w:tcW w:w="0" w:type="auto"/>
            <w:vAlign w:val="center"/>
          </w:tcPr>
          <w:p w:rsidR="005F78FC" w:rsidRDefault="00B42EF3">
            <w:pPr>
              <w:pStyle w:val="TableBodyText"/>
            </w:pPr>
            <w:r>
              <w:t>DefaultCharShading</w:t>
            </w:r>
          </w:p>
        </w:tc>
        <w:tc>
          <w:tcPr>
            <w:tcW w:w="0" w:type="auto"/>
            <w:vAlign w:val="center"/>
          </w:tcPr>
          <w:p w:rsidR="005F78FC" w:rsidRDefault="00B42EF3">
            <w:pPr>
              <w:pStyle w:val="TableBodyText"/>
            </w:pPr>
            <w:r>
              <w:t>03F7</w:t>
            </w:r>
          </w:p>
        </w:tc>
      </w:tr>
      <w:tr w:rsidR="005F78FC" w:rsidTr="005F78FC">
        <w:tc>
          <w:tcPr>
            <w:tcW w:w="0" w:type="auto"/>
            <w:vAlign w:val="center"/>
          </w:tcPr>
          <w:p w:rsidR="005F78FC" w:rsidRDefault="00B42EF3">
            <w:pPr>
              <w:pStyle w:val="TableBodyText"/>
            </w:pPr>
            <w:r>
              <w:t>DefaultCondensed</w:t>
            </w:r>
          </w:p>
        </w:tc>
        <w:tc>
          <w:tcPr>
            <w:tcW w:w="0" w:type="auto"/>
            <w:vAlign w:val="center"/>
          </w:tcPr>
          <w:p w:rsidR="005F78FC" w:rsidRDefault="00B42EF3">
            <w:pPr>
              <w:pStyle w:val="TableBodyText"/>
            </w:pPr>
            <w:r>
              <w:t>0801</w:t>
            </w:r>
          </w:p>
        </w:tc>
      </w:tr>
      <w:tr w:rsidR="005F78FC" w:rsidTr="005F78FC">
        <w:tc>
          <w:tcPr>
            <w:tcW w:w="0" w:type="auto"/>
            <w:vAlign w:val="center"/>
          </w:tcPr>
          <w:p w:rsidR="005F78FC" w:rsidRDefault="00B42EF3">
            <w:pPr>
              <w:pStyle w:val="TableBodyText"/>
            </w:pPr>
            <w:r>
              <w:t>DefaultExpanded</w:t>
            </w:r>
          </w:p>
        </w:tc>
        <w:tc>
          <w:tcPr>
            <w:tcW w:w="0" w:type="auto"/>
            <w:vAlign w:val="center"/>
          </w:tcPr>
          <w:p w:rsidR="005F78FC" w:rsidRDefault="00B42EF3">
            <w:pPr>
              <w:pStyle w:val="TableBodyText"/>
            </w:pPr>
            <w:r>
              <w:t>0802</w:t>
            </w:r>
          </w:p>
        </w:tc>
      </w:tr>
      <w:tr w:rsidR="005F78FC" w:rsidTr="005F78FC">
        <w:tc>
          <w:tcPr>
            <w:tcW w:w="0" w:type="auto"/>
            <w:vAlign w:val="center"/>
          </w:tcPr>
          <w:p w:rsidR="005F78FC" w:rsidRDefault="00B42EF3">
            <w:pPr>
              <w:pStyle w:val="TableBodyText"/>
            </w:pPr>
            <w:r>
              <w:t>DefineNewBullet</w:t>
            </w:r>
          </w:p>
        </w:tc>
        <w:tc>
          <w:tcPr>
            <w:tcW w:w="0" w:type="auto"/>
            <w:vAlign w:val="center"/>
          </w:tcPr>
          <w:p w:rsidR="005F78FC" w:rsidRDefault="00B42EF3">
            <w:pPr>
              <w:pStyle w:val="TableBodyText"/>
            </w:pPr>
            <w:r>
              <w:t>07E0</w:t>
            </w:r>
          </w:p>
        </w:tc>
      </w:tr>
      <w:tr w:rsidR="005F78FC" w:rsidTr="005F78FC">
        <w:tc>
          <w:tcPr>
            <w:tcW w:w="0" w:type="auto"/>
            <w:vAlign w:val="center"/>
          </w:tcPr>
          <w:p w:rsidR="005F78FC" w:rsidRDefault="00B42EF3">
            <w:pPr>
              <w:pStyle w:val="TableBodyText"/>
            </w:pPr>
            <w:r>
              <w:t>DefineNewList</w:t>
            </w:r>
          </w:p>
        </w:tc>
        <w:tc>
          <w:tcPr>
            <w:tcW w:w="0" w:type="auto"/>
            <w:vAlign w:val="center"/>
          </w:tcPr>
          <w:p w:rsidR="005F78FC" w:rsidRDefault="00B42EF3">
            <w:pPr>
              <w:pStyle w:val="TableBodyText"/>
            </w:pPr>
            <w:r>
              <w:t>087A</w:t>
            </w:r>
          </w:p>
        </w:tc>
      </w:tr>
      <w:tr w:rsidR="005F78FC" w:rsidTr="005F78FC">
        <w:tc>
          <w:tcPr>
            <w:tcW w:w="0" w:type="auto"/>
            <w:vAlign w:val="center"/>
          </w:tcPr>
          <w:p w:rsidR="005F78FC" w:rsidRDefault="00B42EF3">
            <w:pPr>
              <w:pStyle w:val="TableBodyText"/>
            </w:pPr>
            <w:r>
              <w:t>DefineNewListStyle</w:t>
            </w:r>
          </w:p>
        </w:tc>
        <w:tc>
          <w:tcPr>
            <w:tcW w:w="0" w:type="auto"/>
            <w:vAlign w:val="center"/>
          </w:tcPr>
          <w:p w:rsidR="005F78FC" w:rsidRDefault="00B42EF3">
            <w:pPr>
              <w:pStyle w:val="TableBodyText"/>
            </w:pPr>
            <w:r>
              <w:t>087B</w:t>
            </w:r>
          </w:p>
        </w:tc>
      </w:tr>
      <w:tr w:rsidR="005F78FC" w:rsidTr="005F78FC">
        <w:tc>
          <w:tcPr>
            <w:tcW w:w="0" w:type="auto"/>
            <w:vAlign w:val="center"/>
          </w:tcPr>
          <w:p w:rsidR="005F78FC" w:rsidRDefault="00B42EF3">
            <w:pPr>
              <w:pStyle w:val="TableBodyText"/>
            </w:pPr>
            <w:r>
              <w:t>DefineNewNumber</w:t>
            </w:r>
          </w:p>
        </w:tc>
        <w:tc>
          <w:tcPr>
            <w:tcW w:w="0" w:type="auto"/>
            <w:vAlign w:val="center"/>
          </w:tcPr>
          <w:p w:rsidR="005F78FC" w:rsidRDefault="00B42EF3">
            <w:pPr>
              <w:pStyle w:val="TableBodyText"/>
            </w:pPr>
            <w:r>
              <w:t>07E1</w:t>
            </w:r>
          </w:p>
        </w:tc>
      </w:tr>
      <w:tr w:rsidR="005F78FC" w:rsidTr="005F78FC">
        <w:tc>
          <w:tcPr>
            <w:tcW w:w="0" w:type="auto"/>
            <w:vAlign w:val="center"/>
          </w:tcPr>
          <w:p w:rsidR="005F78FC" w:rsidRDefault="00B42EF3">
            <w:pPr>
              <w:pStyle w:val="TableBodyText"/>
            </w:pPr>
            <w:r>
              <w:t>DeleteAllCommentsInDoc</w:t>
            </w:r>
          </w:p>
        </w:tc>
        <w:tc>
          <w:tcPr>
            <w:tcW w:w="0" w:type="auto"/>
            <w:vAlign w:val="center"/>
          </w:tcPr>
          <w:p w:rsidR="005F78FC" w:rsidRDefault="00B42EF3">
            <w:pPr>
              <w:pStyle w:val="TableBodyText"/>
            </w:pPr>
            <w:r>
              <w:t>0516</w:t>
            </w:r>
          </w:p>
        </w:tc>
      </w:tr>
      <w:tr w:rsidR="005F78FC" w:rsidTr="005F78FC">
        <w:tc>
          <w:tcPr>
            <w:tcW w:w="0" w:type="auto"/>
            <w:vAlign w:val="center"/>
          </w:tcPr>
          <w:p w:rsidR="005F78FC" w:rsidRDefault="00B42EF3">
            <w:pPr>
              <w:pStyle w:val="TableBodyText"/>
            </w:pPr>
            <w:r>
              <w:t>DeleteAllCommentsShown</w:t>
            </w:r>
          </w:p>
        </w:tc>
        <w:tc>
          <w:tcPr>
            <w:tcW w:w="0" w:type="auto"/>
            <w:vAlign w:val="center"/>
          </w:tcPr>
          <w:p w:rsidR="005F78FC" w:rsidRDefault="00B42EF3">
            <w:pPr>
              <w:pStyle w:val="TableBodyText"/>
            </w:pPr>
            <w:r>
              <w:t>0515</w:t>
            </w:r>
          </w:p>
        </w:tc>
      </w:tr>
      <w:tr w:rsidR="005F78FC" w:rsidTr="005F78FC">
        <w:tc>
          <w:tcPr>
            <w:tcW w:w="0" w:type="auto"/>
            <w:vAlign w:val="center"/>
          </w:tcPr>
          <w:p w:rsidR="005F78FC" w:rsidRDefault="00B42EF3">
            <w:pPr>
              <w:pStyle w:val="TableBodyText"/>
            </w:pPr>
            <w:r>
              <w:t>DeleteAllInkAnnotations</w:t>
            </w:r>
          </w:p>
        </w:tc>
        <w:tc>
          <w:tcPr>
            <w:tcW w:w="0" w:type="auto"/>
            <w:vAlign w:val="center"/>
          </w:tcPr>
          <w:p w:rsidR="005F78FC" w:rsidRDefault="00B42EF3">
            <w:pPr>
              <w:pStyle w:val="TableBodyText"/>
            </w:pPr>
            <w:r>
              <w:t>05AB</w:t>
            </w:r>
          </w:p>
        </w:tc>
      </w:tr>
      <w:tr w:rsidR="005F78FC" w:rsidTr="005F78FC">
        <w:tc>
          <w:tcPr>
            <w:tcW w:w="0" w:type="auto"/>
            <w:vAlign w:val="center"/>
          </w:tcPr>
          <w:p w:rsidR="005F78FC" w:rsidRDefault="00B42EF3">
            <w:pPr>
              <w:pStyle w:val="TableBodyText"/>
            </w:pPr>
            <w:r>
              <w:t>DeleteAnnotation</w:t>
            </w:r>
          </w:p>
        </w:tc>
        <w:tc>
          <w:tcPr>
            <w:tcW w:w="0" w:type="auto"/>
            <w:vAlign w:val="center"/>
          </w:tcPr>
          <w:p w:rsidR="005F78FC" w:rsidRDefault="00B42EF3">
            <w:pPr>
              <w:pStyle w:val="TableBodyText"/>
            </w:pPr>
            <w:r>
              <w:t>03CD</w:t>
            </w:r>
          </w:p>
        </w:tc>
      </w:tr>
      <w:tr w:rsidR="005F78FC" w:rsidTr="005F78FC">
        <w:tc>
          <w:tcPr>
            <w:tcW w:w="0" w:type="auto"/>
            <w:vAlign w:val="center"/>
          </w:tcPr>
          <w:p w:rsidR="005F78FC" w:rsidRDefault="00B42EF3">
            <w:pPr>
              <w:pStyle w:val="TableBodyText"/>
            </w:pPr>
            <w:r>
              <w:t>DeleteBackWord</w:t>
            </w:r>
          </w:p>
        </w:tc>
        <w:tc>
          <w:tcPr>
            <w:tcW w:w="0" w:type="auto"/>
            <w:vAlign w:val="center"/>
          </w:tcPr>
          <w:p w:rsidR="005F78FC" w:rsidRDefault="00B42EF3">
            <w:pPr>
              <w:pStyle w:val="TableBodyText"/>
            </w:pPr>
            <w:r>
              <w:t>001D</w:t>
            </w:r>
          </w:p>
        </w:tc>
      </w:tr>
      <w:tr w:rsidR="005F78FC" w:rsidTr="005F78FC">
        <w:tc>
          <w:tcPr>
            <w:tcW w:w="0" w:type="auto"/>
            <w:vAlign w:val="center"/>
          </w:tcPr>
          <w:p w:rsidR="005F78FC" w:rsidRDefault="00B42EF3">
            <w:pPr>
              <w:pStyle w:val="TableBodyText"/>
            </w:pPr>
            <w:r>
              <w:t>DeleteBuildingBlock</w:t>
            </w:r>
          </w:p>
        </w:tc>
        <w:tc>
          <w:tcPr>
            <w:tcW w:w="0" w:type="auto"/>
            <w:vAlign w:val="center"/>
          </w:tcPr>
          <w:p w:rsidR="005F78FC" w:rsidRDefault="00B42EF3">
            <w:pPr>
              <w:pStyle w:val="TableBodyText"/>
            </w:pPr>
            <w:r>
              <w:t>088A</w:t>
            </w:r>
          </w:p>
        </w:tc>
      </w:tr>
      <w:tr w:rsidR="005F78FC" w:rsidTr="005F78FC">
        <w:tc>
          <w:tcPr>
            <w:tcW w:w="0" w:type="auto"/>
            <w:vAlign w:val="center"/>
          </w:tcPr>
          <w:p w:rsidR="005F78FC" w:rsidRDefault="00B42EF3">
            <w:pPr>
              <w:pStyle w:val="TableBodyText"/>
            </w:pPr>
            <w:r>
              <w:t>DeleteHyperlink</w:t>
            </w:r>
          </w:p>
        </w:tc>
        <w:tc>
          <w:tcPr>
            <w:tcW w:w="0" w:type="auto"/>
            <w:vAlign w:val="center"/>
          </w:tcPr>
          <w:p w:rsidR="005F78FC" w:rsidRDefault="00B42EF3">
            <w:pPr>
              <w:pStyle w:val="TableBodyText"/>
            </w:pPr>
            <w:r>
              <w:t>0381</w:t>
            </w:r>
          </w:p>
        </w:tc>
      </w:tr>
      <w:tr w:rsidR="005F78FC" w:rsidTr="005F78FC">
        <w:tc>
          <w:tcPr>
            <w:tcW w:w="0" w:type="auto"/>
            <w:vAlign w:val="center"/>
          </w:tcPr>
          <w:p w:rsidR="005F78FC" w:rsidRDefault="00B42EF3">
            <w:pPr>
              <w:pStyle w:val="TableBodyText"/>
            </w:pPr>
            <w:r>
              <w:t>DeleteSchema</w:t>
            </w:r>
          </w:p>
        </w:tc>
        <w:tc>
          <w:tcPr>
            <w:tcW w:w="0" w:type="auto"/>
            <w:vAlign w:val="center"/>
          </w:tcPr>
          <w:p w:rsidR="005F78FC" w:rsidRDefault="00B42EF3">
            <w:pPr>
              <w:pStyle w:val="TableBodyText"/>
            </w:pPr>
            <w:r>
              <w:t>1BD1</w:t>
            </w:r>
          </w:p>
        </w:tc>
      </w:tr>
      <w:tr w:rsidR="005F78FC" w:rsidTr="005F78FC">
        <w:tc>
          <w:tcPr>
            <w:tcW w:w="0" w:type="auto"/>
            <w:vAlign w:val="center"/>
          </w:tcPr>
          <w:p w:rsidR="005F78FC" w:rsidRDefault="00B42EF3">
            <w:pPr>
              <w:pStyle w:val="TableBodyText"/>
            </w:pPr>
            <w:r>
              <w:t>DeleteStructure</w:t>
            </w:r>
          </w:p>
        </w:tc>
        <w:tc>
          <w:tcPr>
            <w:tcW w:w="0" w:type="auto"/>
            <w:vAlign w:val="center"/>
          </w:tcPr>
          <w:p w:rsidR="005F78FC" w:rsidRDefault="00B42EF3">
            <w:pPr>
              <w:pStyle w:val="TableBodyText"/>
            </w:pPr>
            <w:r>
              <w:t>0568</w:t>
            </w:r>
          </w:p>
        </w:tc>
      </w:tr>
      <w:tr w:rsidR="005F78FC" w:rsidTr="005F78FC">
        <w:tc>
          <w:tcPr>
            <w:tcW w:w="0" w:type="auto"/>
            <w:vAlign w:val="center"/>
          </w:tcPr>
          <w:p w:rsidR="005F78FC" w:rsidRDefault="00B42EF3">
            <w:pPr>
              <w:pStyle w:val="TableBodyText"/>
            </w:pPr>
            <w:r>
              <w:lastRenderedPageBreak/>
              <w:t>DeleteStyle</w:t>
            </w:r>
          </w:p>
        </w:tc>
        <w:tc>
          <w:tcPr>
            <w:tcW w:w="0" w:type="auto"/>
            <w:vAlign w:val="center"/>
          </w:tcPr>
          <w:p w:rsidR="005F78FC" w:rsidRDefault="00B42EF3">
            <w:pPr>
              <w:pStyle w:val="TableBodyText"/>
            </w:pPr>
            <w:r>
              <w:t>0555</w:t>
            </w:r>
          </w:p>
        </w:tc>
      </w:tr>
      <w:tr w:rsidR="005F78FC" w:rsidTr="005F78FC">
        <w:tc>
          <w:tcPr>
            <w:tcW w:w="0" w:type="auto"/>
            <w:vAlign w:val="center"/>
          </w:tcPr>
          <w:p w:rsidR="005F78FC" w:rsidRDefault="00B42EF3">
            <w:pPr>
              <w:pStyle w:val="TableBodyText"/>
            </w:pPr>
            <w:r>
              <w:t>DeleteWord</w:t>
            </w:r>
          </w:p>
        </w:tc>
        <w:tc>
          <w:tcPr>
            <w:tcW w:w="0" w:type="auto"/>
            <w:vAlign w:val="center"/>
          </w:tcPr>
          <w:p w:rsidR="005F78FC" w:rsidRDefault="00B42EF3">
            <w:pPr>
              <w:pStyle w:val="TableBodyText"/>
            </w:pPr>
            <w:r>
              <w:t>001C</w:t>
            </w:r>
          </w:p>
        </w:tc>
      </w:tr>
      <w:tr w:rsidR="005F78FC" w:rsidTr="005F78FC">
        <w:tc>
          <w:tcPr>
            <w:tcW w:w="0" w:type="auto"/>
            <w:vAlign w:val="center"/>
          </w:tcPr>
          <w:p w:rsidR="005F78FC" w:rsidRDefault="00B42EF3">
            <w:pPr>
              <w:pStyle w:val="TableBodyText"/>
            </w:pPr>
            <w:r>
              <w:t>DemoteList</w:t>
            </w:r>
          </w:p>
        </w:tc>
        <w:tc>
          <w:tcPr>
            <w:tcW w:w="0" w:type="auto"/>
            <w:vAlign w:val="center"/>
          </w:tcPr>
          <w:p w:rsidR="005F78FC" w:rsidRDefault="00B42EF3">
            <w:pPr>
              <w:pStyle w:val="TableBodyText"/>
            </w:pPr>
            <w:r>
              <w:t>0250</w:t>
            </w:r>
          </w:p>
        </w:tc>
      </w:tr>
      <w:tr w:rsidR="005F78FC" w:rsidTr="005F78FC">
        <w:tc>
          <w:tcPr>
            <w:tcW w:w="0" w:type="auto"/>
            <w:vAlign w:val="center"/>
          </w:tcPr>
          <w:p w:rsidR="005F78FC" w:rsidRDefault="00B42EF3">
            <w:pPr>
              <w:pStyle w:val="TableBodyText"/>
            </w:pPr>
            <w:r>
              <w:t>DemoteToBodyText</w:t>
            </w:r>
          </w:p>
        </w:tc>
        <w:tc>
          <w:tcPr>
            <w:tcW w:w="0" w:type="auto"/>
            <w:vAlign w:val="center"/>
          </w:tcPr>
          <w:p w:rsidR="005F78FC" w:rsidRDefault="00B42EF3">
            <w:pPr>
              <w:pStyle w:val="TableBodyText"/>
            </w:pPr>
            <w:r>
              <w:t>016E</w:t>
            </w:r>
          </w:p>
        </w:tc>
      </w:tr>
      <w:tr w:rsidR="005F78FC" w:rsidTr="005F78FC">
        <w:tc>
          <w:tcPr>
            <w:tcW w:w="0" w:type="auto"/>
            <w:vAlign w:val="center"/>
          </w:tcPr>
          <w:p w:rsidR="005F78FC" w:rsidRDefault="00B42EF3">
            <w:pPr>
              <w:pStyle w:val="TableBodyText"/>
            </w:pPr>
            <w:r>
              <w:t>DepthGallery</w:t>
            </w:r>
          </w:p>
        </w:tc>
        <w:tc>
          <w:tcPr>
            <w:tcW w:w="0" w:type="auto"/>
            <w:vAlign w:val="center"/>
          </w:tcPr>
          <w:p w:rsidR="005F78FC" w:rsidRDefault="00B42EF3">
            <w:pPr>
              <w:pStyle w:val="TableBodyText"/>
            </w:pPr>
            <w:r>
              <w:t>08CB</w:t>
            </w:r>
          </w:p>
        </w:tc>
      </w:tr>
      <w:tr w:rsidR="005F78FC" w:rsidTr="005F78FC">
        <w:tc>
          <w:tcPr>
            <w:tcW w:w="0" w:type="auto"/>
            <w:vAlign w:val="center"/>
          </w:tcPr>
          <w:p w:rsidR="005F78FC" w:rsidRDefault="00B42EF3">
            <w:pPr>
              <w:pStyle w:val="TableBodyText"/>
            </w:pPr>
            <w:r>
              <w:t>DiacriticColor</w:t>
            </w:r>
          </w:p>
        </w:tc>
        <w:tc>
          <w:tcPr>
            <w:tcW w:w="0" w:type="auto"/>
            <w:vAlign w:val="center"/>
          </w:tcPr>
          <w:p w:rsidR="005F78FC" w:rsidRDefault="00B42EF3">
            <w:pPr>
              <w:pStyle w:val="TableBodyText"/>
            </w:pPr>
            <w:r>
              <w:t>0458</w:t>
            </w:r>
          </w:p>
        </w:tc>
      </w:tr>
      <w:tr w:rsidR="005F78FC" w:rsidTr="005F78FC">
        <w:tc>
          <w:tcPr>
            <w:tcW w:w="0" w:type="auto"/>
            <w:vAlign w:val="center"/>
          </w:tcPr>
          <w:p w:rsidR="005F78FC" w:rsidRDefault="00B42EF3">
            <w:pPr>
              <w:pStyle w:val="TableBodyText"/>
            </w:pPr>
            <w:r>
              <w:t>DialogEditor</w:t>
            </w:r>
          </w:p>
        </w:tc>
        <w:tc>
          <w:tcPr>
            <w:tcW w:w="0" w:type="auto"/>
            <w:vAlign w:val="center"/>
          </w:tcPr>
          <w:p w:rsidR="005F78FC" w:rsidRDefault="00B42EF3">
            <w:pPr>
              <w:pStyle w:val="TableBodyText"/>
            </w:pPr>
            <w:r>
              <w:t>0228</w:t>
            </w:r>
          </w:p>
        </w:tc>
      </w:tr>
      <w:tr w:rsidR="005F78FC" w:rsidTr="005F78FC">
        <w:tc>
          <w:tcPr>
            <w:tcW w:w="0" w:type="auto"/>
            <w:vAlign w:val="center"/>
          </w:tcPr>
          <w:p w:rsidR="005F78FC" w:rsidRDefault="00B42EF3">
            <w:pPr>
              <w:pStyle w:val="TableBodyText"/>
            </w:pPr>
            <w:r>
              <w:t>Direction3DGallery</w:t>
            </w:r>
          </w:p>
        </w:tc>
        <w:tc>
          <w:tcPr>
            <w:tcW w:w="0" w:type="auto"/>
            <w:vAlign w:val="center"/>
          </w:tcPr>
          <w:p w:rsidR="005F78FC" w:rsidRDefault="00B42EF3">
            <w:pPr>
              <w:pStyle w:val="TableBodyText"/>
            </w:pPr>
            <w:r>
              <w:t>08CA</w:t>
            </w:r>
          </w:p>
        </w:tc>
      </w:tr>
      <w:tr w:rsidR="005F78FC" w:rsidTr="005F78FC">
        <w:tc>
          <w:tcPr>
            <w:tcW w:w="0" w:type="auto"/>
            <w:vAlign w:val="center"/>
          </w:tcPr>
          <w:p w:rsidR="005F78FC" w:rsidRDefault="00B42EF3">
            <w:pPr>
              <w:pStyle w:val="TableBodyText"/>
            </w:pPr>
            <w:r>
              <w:t>DisplayDetails</w:t>
            </w:r>
          </w:p>
        </w:tc>
        <w:tc>
          <w:tcPr>
            <w:tcW w:w="0" w:type="auto"/>
            <w:vAlign w:val="center"/>
          </w:tcPr>
          <w:p w:rsidR="005F78FC" w:rsidRDefault="00B42EF3">
            <w:pPr>
              <w:pStyle w:val="TableBodyText"/>
            </w:pPr>
            <w:r>
              <w:t>0385</w:t>
            </w:r>
          </w:p>
        </w:tc>
      </w:tr>
      <w:tr w:rsidR="005F78FC" w:rsidTr="005F78FC">
        <w:tc>
          <w:tcPr>
            <w:tcW w:w="0" w:type="auto"/>
            <w:vAlign w:val="center"/>
          </w:tcPr>
          <w:p w:rsidR="005F78FC" w:rsidRDefault="00B42EF3">
            <w:pPr>
              <w:pStyle w:val="TableBodyText"/>
            </w:pPr>
            <w:r>
              <w:t>DisplayDocumentManagementPane</w:t>
            </w:r>
          </w:p>
        </w:tc>
        <w:tc>
          <w:tcPr>
            <w:tcW w:w="0" w:type="auto"/>
            <w:vAlign w:val="center"/>
          </w:tcPr>
          <w:p w:rsidR="005F78FC" w:rsidRDefault="00B42EF3">
            <w:pPr>
              <w:pStyle w:val="TableBodyText"/>
            </w:pPr>
            <w:r>
              <w:t>083B</w:t>
            </w:r>
          </w:p>
        </w:tc>
      </w:tr>
      <w:tr w:rsidR="005F78FC" w:rsidTr="005F78FC">
        <w:tc>
          <w:tcPr>
            <w:tcW w:w="0" w:type="auto"/>
            <w:vAlign w:val="center"/>
          </w:tcPr>
          <w:p w:rsidR="005F78FC" w:rsidRDefault="00B42EF3">
            <w:pPr>
              <w:pStyle w:val="TableBodyText"/>
            </w:pPr>
            <w:r>
              <w:t>DisplayFinalDoc</w:t>
            </w:r>
          </w:p>
        </w:tc>
        <w:tc>
          <w:tcPr>
            <w:tcW w:w="0" w:type="auto"/>
            <w:vAlign w:val="center"/>
          </w:tcPr>
          <w:p w:rsidR="005F78FC" w:rsidRDefault="00B42EF3">
            <w:pPr>
              <w:pStyle w:val="TableBodyText"/>
            </w:pPr>
            <w:r>
              <w:t>0505</w:t>
            </w:r>
          </w:p>
        </w:tc>
      </w:tr>
      <w:tr w:rsidR="005F78FC" w:rsidTr="005F78FC">
        <w:tc>
          <w:tcPr>
            <w:tcW w:w="0" w:type="auto"/>
            <w:vAlign w:val="center"/>
          </w:tcPr>
          <w:p w:rsidR="005F78FC" w:rsidRDefault="00B42EF3">
            <w:pPr>
              <w:pStyle w:val="TableBodyText"/>
            </w:pPr>
            <w:r>
              <w:t>DisplayForReview</w:t>
            </w:r>
          </w:p>
        </w:tc>
        <w:tc>
          <w:tcPr>
            <w:tcW w:w="0" w:type="auto"/>
            <w:vAlign w:val="center"/>
          </w:tcPr>
          <w:p w:rsidR="005F78FC" w:rsidRDefault="00B42EF3">
            <w:pPr>
              <w:pStyle w:val="TableBodyText"/>
            </w:pPr>
            <w:r>
              <w:t>0534</w:t>
            </w:r>
          </w:p>
        </w:tc>
      </w:tr>
      <w:tr w:rsidR="005F78FC" w:rsidTr="005F78FC">
        <w:tc>
          <w:tcPr>
            <w:tcW w:w="0" w:type="auto"/>
            <w:vAlign w:val="center"/>
          </w:tcPr>
          <w:p w:rsidR="005F78FC" w:rsidRDefault="00B42EF3">
            <w:pPr>
              <w:pStyle w:val="TableBodyText"/>
            </w:pPr>
            <w:r>
              <w:t>DisplayOriginalDoc</w:t>
            </w:r>
          </w:p>
        </w:tc>
        <w:tc>
          <w:tcPr>
            <w:tcW w:w="0" w:type="auto"/>
            <w:vAlign w:val="center"/>
          </w:tcPr>
          <w:p w:rsidR="005F78FC" w:rsidRDefault="00B42EF3">
            <w:pPr>
              <w:pStyle w:val="TableBodyText"/>
            </w:pPr>
            <w:r>
              <w:t>0506</w:t>
            </w:r>
          </w:p>
        </w:tc>
      </w:tr>
      <w:tr w:rsidR="005F78FC" w:rsidTr="005F78FC">
        <w:tc>
          <w:tcPr>
            <w:tcW w:w="0" w:type="auto"/>
            <w:vAlign w:val="center"/>
          </w:tcPr>
          <w:p w:rsidR="005F78FC" w:rsidRDefault="00B42EF3">
            <w:pPr>
              <w:pStyle w:val="TableBodyText"/>
            </w:pPr>
            <w:r>
              <w:t>DisplaySharedWorkspacePane</w:t>
            </w:r>
          </w:p>
        </w:tc>
        <w:tc>
          <w:tcPr>
            <w:tcW w:w="0" w:type="auto"/>
            <w:vAlign w:val="center"/>
          </w:tcPr>
          <w:p w:rsidR="005F78FC" w:rsidRDefault="00B42EF3">
            <w:pPr>
              <w:pStyle w:val="TableBodyText"/>
            </w:pPr>
            <w:r>
              <w:t>0532</w:t>
            </w:r>
          </w:p>
        </w:tc>
      </w:tr>
      <w:tr w:rsidR="005F78FC" w:rsidTr="005F78FC">
        <w:tc>
          <w:tcPr>
            <w:tcW w:w="0" w:type="auto"/>
            <w:vAlign w:val="center"/>
          </w:tcPr>
          <w:p w:rsidR="005F78FC" w:rsidRDefault="00B42EF3">
            <w:pPr>
              <w:pStyle w:val="TableBodyText"/>
            </w:pPr>
            <w:r>
              <w:t>DistributeColumn</w:t>
            </w:r>
          </w:p>
        </w:tc>
        <w:tc>
          <w:tcPr>
            <w:tcW w:w="0" w:type="auto"/>
            <w:vAlign w:val="center"/>
          </w:tcPr>
          <w:p w:rsidR="005F78FC" w:rsidRDefault="00B42EF3">
            <w:pPr>
              <w:pStyle w:val="TableBodyText"/>
            </w:pPr>
            <w:r>
              <w:t>0327</w:t>
            </w:r>
          </w:p>
        </w:tc>
      </w:tr>
      <w:tr w:rsidR="005F78FC" w:rsidTr="005F78FC">
        <w:tc>
          <w:tcPr>
            <w:tcW w:w="0" w:type="auto"/>
            <w:vAlign w:val="center"/>
          </w:tcPr>
          <w:p w:rsidR="005F78FC" w:rsidRDefault="00B42EF3">
            <w:pPr>
              <w:pStyle w:val="TableBodyText"/>
            </w:pPr>
            <w:r>
              <w:t>DistributeGeneral</w:t>
            </w:r>
          </w:p>
        </w:tc>
        <w:tc>
          <w:tcPr>
            <w:tcW w:w="0" w:type="auto"/>
            <w:vAlign w:val="center"/>
          </w:tcPr>
          <w:p w:rsidR="005F78FC" w:rsidRDefault="00B42EF3">
            <w:pPr>
              <w:pStyle w:val="TableBodyText"/>
            </w:pPr>
            <w:r>
              <w:t>0362</w:t>
            </w:r>
          </w:p>
        </w:tc>
      </w:tr>
      <w:tr w:rsidR="005F78FC" w:rsidTr="005F78FC">
        <w:tc>
          <w:tcPr>
            <w:tcW w:w="0" w:type="auto"/>
            <w:vAlign w:val="center"/>
          </w:tcPr>
          <w:p w:rsidR="005F78FC" w:rsidRDefault="00B42EF3">
            <w:pPr>
              <w:pStyle w:val="TableBodyText"/>
            </w:pPr>
            <w:r>
              <w:t>DistributePara</w:t>
            </w:r>
          </w:p>
        </w:tc>
        <w:tc>
          <w:tcPr>
            <w:tcW w:w="0" w:type="auto"/>
            <w:vAlign w:val="center"/>
          </w:tcPr>
          <w:p w:rsidR="005F78FC" w:rsidRDefault="00B42EF3">
            <w:pPr>
              <w:pStyle w:val="TableBodyText"/>
            </w:pPr>
            <w:r>
              <w:t>02E4</w:t>
            </w:r>
          </w:p>
        </w:tc>
      </w:tr>
      <w:tr w:rsidR="005F78FC" w:rsidTr="005F78FC">
        <w:tc>
          <w:tcPr>
            <w:tcW w:w="0" w:type="auto"/>
            <w:vAlign w:val="center"/>
          </w:tcPr>
          <w:p w:rsidR="005F78FC" w:rsidRDefault="00B42EF3">
            <w:pPr>
              <w:pStyle w:val="TableBodyText"/>
            </w:pPr>
            <w:r>
              <w:t>DistributeRow</w:t>
            </w:r>
          </w:p>
        </w:tc>
        <w:tc>
          <w:tcPr>
            <w:tcW w:w="0" w:type="auto"/>
            <w:vAlign w:val="center"/>
          </w:tcPr>
          <w:p w:rsidR="005F78FC" w:rsidRDefault="00B42EF3">
            <w:pPr>
              <w:pStyle w:val="TableBodyText"/>
            </w:pPr>
            <w:r>
              <w:t>037D</w:t>
            </w:r>
          </w:p>
        </w:tc>
      </w:tr>
      <w:tr w:rsidR="005F78FC" w:rsidTr="005F78FC">
        <w:tc>
          <w:tcPr>
            <w:tcW w:w="0" w:type="auto"/>
            <w:vAlign w:val="center"/>
          </w:tcPr>
          <w:p w:rsidR="005F78FC" w:rsidRDefault="00B42EF3">
            <w:pPr>
              <w:pStyle w:val="TableBodyText"/>
            </w:pPr>
            <w:r>
              <w:t>DoFieldClick</w:t>
            </w:r>
          </w:p>
        </w:tc>
        <w:tc>
          <w:tcPr>
            <w:tcW w:w="0" w:type="auto"/>
            <w:vAlign w:val="center"/>
          </w:tcPr>
          <w:p w:rsidR="005F78FC" w:rsidRDefault="00B42EF3">
            <w:pPr>
              <w:pStyle w:val="TableBodyText"/>
            </w:pPr>
            <w:r>
              <w:t>011A</w:t>
            </w:r>
          </w:p>
        </w:tc>
      </w:tr>
      <w:tr w:rsidR="005F78FC" w:rsidTr="005F78FC">
        <w:tc>
          <w:tcPr>
            <w:tcW w:w="0" w:type="auto"/>
            <w:vAlign w:val="center"/>
          </w:tcPr>
          <w:p w:rsidR="005F78FC" w:rsidRDefault="00B42EF3">
            <w:pPr>
              <w:pStyle w:val="TableBodyText"/>
            </w:pPr>
            <w:r>
              <w:t>DoNotDistribute</w:t>
            </w:r>
          </w:p>
        </w:tc>
        <w:tc>
          <w:tcPr>
            <w:tcW w:w="0" w:type="auto"/>
            <w:vAlign w:val="center"/>
          </w:tcPr>
          <w:p w:rsidR="005F78FC" w:rsidRDefault="00B42EF3">
            <w:pPr>
              <w:pStyle w:val="TableBodyText"/>
            </w:pPr>
            <w:r>
              <w:t>05A0</w:t>
            </w:r>
          </w:p>
        </w:tc>
      </w:tr>
      <w:tr w:rsidR="005F78FC" w:rsidTr="005F78FC">
        <w:tc>
          <w:tcPr>
            <w:tcW w:w="0" w:type="auto"/>
            <w:vAlign w:val="center"/>
          </w:tcPr>
          <w:p w:rsidR="005F78FC" w:rsidRDefault="00B42EF3">
            <w:pPr>
              <w:pStyle w:val="TableBodyText"/>
            </w:pPr>
            <w:r>
              <w:t>DocClose</w:t>
            </w:r>
          </w:p>
        </w:tc>
        <w:tc>
          <w:tcPr>
            <w:tcW w:w="0" w:type="auto"/>
            <w:vAlign w:val="center"/>
          </w:tcPr>
          <w:p w:rsidR="005F78FC" w:rsidRDefault="00B42EF3">
            <w:pPr>
              <w:pStyle w:val="TableBodyText"/>
            </w:pPr>
            <w:r>
              <w:t>00EA</w:t>
            </w:r>
          </w:p>
        </w:tc>
      </w:tr>
      <w:tr w:rsidR="005F78FC" w:rsidTr="005F78FC">
        <w:tc>
          <w:tcPr>
            <w:tcW w:w="0" w:type="auto"/>
            <w:vAlign w:val="center"/>
          </w:tcPr>
          <w:p w:rsidR="005F78FC" w:rsidRDefault="00B42EF3">
            <w:pPr>
              <w:pStyle w:val="TableBodyText"/>
            </w:pPr>
            <w:r>
              <w:t>DocEncryption</w:t>
            </w:r>
          </w:p>
        </w:tc>
        <w:tc>
          <w:tcPr>
            <w:tcW w:w="0" w:type="auto"/>
            <w:vAlign w:val="center"/>
          </w:tcPr>
          <w:p w:rsidR="005F78FC" w:rsidRDefault="00B42EF3">
            <w:pPr>
              <w:pStyle w:val="TableBodyText"/>
            </w:pPr>
            <w:r>
              <w:t>07C0</w:t>
            </w:r>
          </w:p>
        </w:tc>
      </w:tr>
      <w:tr w:rsidR="005F78FC" w:rsidTr="005F78FC">
        <w:tc>
          <w:tcPr>
            <w:tcW w:w="0" w:type="auto"/>
            <w:vAlign w:val="center"/>
          </w:tcPr>
          <w:p w:rsidR="005F78FC" w:rsidRDefault="00B42EF3">
            <w:pPr>
              <w:pStyle w:val="TableBodyText"/>
            </w:pPr>
            <w:r>
              <w:t>DocExport</w:t>
            </w:r>
          </w:p>
        </w:tc>
        <w:tc>
          <w:tcPr>
            <w:tcW w:w="0" w:type="auto"/>
            <w:vAlign w:val="center"/>
          </w:tcPr>
          <w:p w:rsidR="005F78FC" w:rsidRDefault="00B42EF3">
            <w:pPr>
              <w:pStyle w:val="TableBodyText"/>
            </w:pPr>
            <w:r>
              <w:t>092D</w:t>
            </w:r>
          </w:p>
        </w:tc>
      </w:tr>
      <w:tr w:rsidR="005F78FC" w:rsidTr="005F78FC">
        <w:tc>
          <w:tcPr>
            <w:tcW w:w="0" w:type="auto"/>
            <w:vAlign w:val="center"/>
          </w:tcPr>
          <w:p w:rsidR="005F78FC" w:rsidRDefault="00B42EF3">
            <w:pPr>
              <w:pStyle w:val="TableBodyText"/>
            </w:pPr>
            <w:r>
              <w:t>DocInspector</w:t>
            </w:r>
          </w:p>
        </w:tc>
        <w:tc>
          <w:tcPr>
            <w:tcW w:w="0" w:type="auto"/>
            <w:vAlign w:val="center"/>
          </w:tcPr>
          <w:p w:rsidR="005F78FC" w:rsidRDefault="00B42EF3">
            <w:pPr>
              <w:pStyle w:val="TableBodyText"/>
            </w:pPr>
            <w:r>
              <w:t>05CA</w:t>
            </w:r>
          </w:p>
        </w:tc>
      </w:tr>
      <w:tr w:rsidR="005F78FC" w:rsidTr="005F78FC">
        <w:tc>
          <w:tcPr>
            <w:tcW w:w="0" w:type="auto"/>
            <w:vAlign w:val="center"/>
          </w:tcPr>
          <w:p w:rsidR="005F78FC" w:rsidRDefault="00B42EF3">
            <w:pPr>
              <w:pStyle w:val="TableBodyText"/>
            </w:pPr>
            <w:r>
              <w:t>DocMaximize</w:t>
            </w:r>
          </w:p>
        </w:tc>
        <w:tc>
          <w:tcPr>
            <w:tcW w:w="0" w:type="auto"/>
            <w:vAlign w:val="center"/>
          </w:tcPr>
          <w:p w:rsidR="005F78FC" w:rsidRDefault="00B42EF3">
            <w:pPr>
              <w:pStyle w:val="TableBodyText"/>
            </w:pPr>
            <w:r>
              <w:t>00E8</w:t>
            </w:r>
          </w:p>
        </w:tc>
      </w:tr>
      <w:tr w:rsidR="005F78FC" w:rsidTr="005F78FC">
        <w:tc>
          <w:tcPr>
            <w:tcW w:w="0" w:type="auto"/>
            <w:vAlign w:val="center"/>
          </w:tcPr>
          <w:p w:rsidR="005F78FC" w:rsidRDefault="00B42EF3">
            <w:pPr>
              <w:pStyle w:val="TableBodyText"/>
            </w:pPr>
            <w:r>
              <w:t>DocMinimize</w:t>
            </w:r>
          </w:p>
        </w:tc>
        <w:tc>
          <w:tcPr>
            <w:tcW w:w="0" w:type="auto"/>
            <w:vAlign w:val="center"/>
          </w:tcPr>
          <w:p w:rsidR="005F78FC" w:rsidRDefault="00B42EF3">
            <w:pPr>
              <w:pStyle w:val="TableBodyText"/>
            </w:pPr>
            <w:r>
              <w:t>0140</w:t>
            </w:r>
          </w:p>
        </w:tc>
      </w:tr>
      <w:tr w:rsidR="005F78FC" w:rsidTr="005F78FC">
        <w:tc>
          <w:tcPr>
            <w:tcW w:w="0" w:type="auto"/>
            <w:vAlign w:val="center"/>
          </w:tcPr>
          <w:p w:rsidR="005F78FC" w:rsidRDefault="00B42EF3">
            <w:pPr>
              <w:pStyle w:val="TableBodyText"/>
            </w:pPr>
            <w:r>
              <w:t>DocMove</w:t>
            </w:r>
          </w:p>
        </w:tc>
        <w:tc>
          <w:tcPr>
            <w:tcW w:w="0" w:type="auto"/>
            <w:vAlign w:val="center"/>
          </w:tcPr>
          <w:p w:rsidR="005F78FC" w:rsidRDefault="00B42EF3">
            <w:pPr>
              <w:pStyle w:val="TableBodyText"/>
            </w:pPr>
            <w:r>
              <w:t>00E7</w:t>
            </w:r>
          </w:p>
        </w:tc>
      </w:tr>
      <w:tr w:rsidR="005F78FC" w:rsidTr="005F78FC">
        <w:tc>
          <w:tcPr>
            <w:tcW w:w="0" w:type="auto"/>
            <w:vAlign w:val="center"/>
          </w:tcPr>
          <w:p w:rsidR="005F78FC" w:rsidRDefault="00B42EF3">
            <w:pPr>
              <w:pStyle w:val="TableBodyText"/>
            </w:pPr>
            <w:r>
              <w:t>DocRestore</w:t>
            </w:r>
          </w:p>
        </w:tc>
        <w:tc>
          <w:tcPr>
            <w:tcW w:w="0" w:type="auto"/>
            <w:vAlign w:val="center"/>
          </w:tcPr>
          <w:p w:rsidR="005F78FC" w:rsidRDefault="00B42EF3">
            <w:pPr>
              <w:pStyle w:val="TableBodyText"/>
            </w:pPr>
            <w:r>
              <w:t>00E9</w:t>
            </w:r>
          </w:p>
        </w:tc>
      </w:tr>
      <w:tr w:rsidR="005F78FC" w:rsidTr="005F78FC">
        <w:tc>
          <w:tcPr>
            <w:tcW w:w="0" w:type="auto"/>
            <w:vAlign w:val="center"/>
          </w:tcPr>
          <w:p w:rsidR="005F78FC" w:rsidRDefault="00B42EF3">
            <w:pPr>
              <w:pStyle w:val="TableBodyText"/>
            </w:pPr>
            <w:r>
              <w:t>DocSize</w:t>
            </w:r>
          </w:p>
        </w:tc>
        <w:tc>
          <w:tcPr>
            <w:tcW w:w="0" w:type="auto"/>
            <w:vAlign w:val="center"/>
          </w:tcPr>
          <w:p w:rsidR="005F78FC" w:rsidRDefault="00B42EF3">
            <w:pPr>
              <w:pStyle w:val="TableBodyText"/>
            </w:pPr>
            <w:r>
              <w:t>00E6</w:t>
            </w:r>
          </w:p>
        </w:tc>
      </w:tr>
      <w:tr w:rsidR="005F78FC" w:rsidTr="005F78FC">
        <w:tc>
          <w:tcPr>
            <w:tcW w:w="0" w:type="auto"/>
            <w:vAlign w:val="center"/>
          </w:tcPr>
          <w:p w:rsidR="005F78FC" w:rsidRDefault="00B42EF3">
            <w:pPr>
              <w:pStyle w:val="TableBodyText"/>
            </w:pPr>
            <w:r>
              <w:t>DocSplit</w:t>
            </w:r>
          </w:p>
        </w:tc>
        <w:tc>
          <w:tcPr>
            <w:tcW w:w="0" w:type="auto"/>
            <w:vAlign w:val="center"/>
          </w:tcPr>
          <w:p w:rsidR="005F78FC" w:rsidRDefault="00B42EF3">
            <w:pPr>
              <w:pStyle w:val="TableBodyText"/>
            </w:pPr>
            <w:r>
              <w:t>00E5</w:t>
            </w:r>
          </w:p>
        </w:tc>
      </w:tr>
      <w:tr w:rsidR="005F78FC" w:rsidTr="005F78FC">
        <w:tc>
          <w:tcPr>
            <w:tcW w:w="0" w:type="auto"/>
            <w:vAlign w:val="center"/>
          </w:tcPr>
          <w:p w:rsidR="005F78FC" w:rsidRDefault="00B42EF3">
            <w:pPr>
              <w:pStyle w:val="TableBodyText"/>
            </w:pPr>
            <w:r>
              <w:t>DocumentActionsPane</w:t>
            </w:r>
          </w:p>
        </w:tc>
        <w:tc>
          <w:tcPr>
            <w:tcW w:w="0" w:type="auto"/>
            <w:vAlign w:val="center"/>
          </w:tcPr>
          <w:p w:rsidR="005F78FC" w:rsidRDefault="00B42EF3">
            <w:pPr>
              <w:pStyle w:val="TableBodyText"/>
            </w:pPr>
            <w:r>
              <w:t>05BE</w:t>
            </w:r>
          </w:p>
        </w:tc>
      </w:tr>
      <w:tr w:rsidR="005F78FC" w:rsidTr="005F78FC">
        <w:tc>
          <w:tcPr>
            <w:tcW w:w="0" w:type="auto"/>
            <w:vAlign w:val="center"/>
          </w:tcPr>
          <w:p w:rsidR="005F78FC" w:rsidRDefault="00B42EF3">
            <w:pPr>
              <w:pStyle w:val="TableBodyText"/>
            </w:pPr>
            <w:r>
              <w:t>DocumentStatistics</w:t>
            </w:r>
          </w:p>
        </w:tc>
        <w:tc>
          <w:tcPr>
            <w:tcW w:w="0" w:type="auto"/>
            <w:vAlign w:val="center"/>
          </w:tcPr>
          <w:p w:rsidR="005F78FC" w:rsidRDefault="00B42EF3">
            <w:pPr>
              <w:pStyle w:val="TableBodyText"/>
            </w:pPr>
            <w:r>
              <w:t>004E</w:t>
            </w:r>
          </w:p>
        </w:tc>
      </w:tr>
      <w:tr w:rsidR="005F78FC" w:rsidTr="005F78FC">
        <w:tc>
          <w:tcPr>
            <w:tcW w:w="0" w:type="auto"/>
            <w:vAlign w:val="center"/>
          </w:tcPr>
          <w:p w:rsidR="005F78FC" w:rsidRDefault="00B42EF3">
            <w:pPr>
              <w:pStyle w:val="TableBodyText"/>
            </w:pPr>
            <w:r>
              <w:lastRenderedPageBreak/>
              <w:t>DotAccent</w:t>
            </w:r>
          </w:p>
        </w:tc>
        <w:tc>
          <w:tcPr>
            <w:tcW w:w="0" w:type="auto"/>
            <w:vAlign w:val="center"/>
          </w:tcPr>
          <w:p w:rsidR="005F78FC" w:rsidRDefault="00B42EF3">
            <w:pPr>
              <w:pStyle w:val="TableBodyText"/>
            </w:pPr>
            <w:r>
              <w:t>02FD</w:t>
            </w:r>
          </w:p>
        </w:tc>
      </w:tr>
      <w:tr w:rsidR="005F78FC" w:rsidTr="005F78FC">
        <w:tc>
          <w:tcPr>
            <w:tcW w:w="0" w:type="auto"/>
            <w:vAlign w:val="center"/>
          </w:tcPr>
          <w:p w:rsidR="005F78FC" w:rsidRDefault="00B42EF3">
            <w:pPr>
              <w:pStyle w:val="TableBodyText"/>
            </w:pPr>
            <w:r>
              <w:t>DottedUnderline</w:t>
            </w:r>
          </w:p>
        </w:tc>
        <w:tc>
          <w:tcPr>
            <w:tcW w:w="0" w:type="auto"/>
            <w:vAlign w:val="center"/>
          </w:tcPr>
          <w:p w:rsidR="005F78FC" w:rsidRDefault="00B42EF3">
            <w:pPr>
              <w:pStyle w:val="TableBodyText"/>
            </w:pPr>
            <w:r>
              <w:t>026C</w:t>
            </w:r>
          </w:p>
        </w:tc>
      </w:tr>
      <w:tr w:rsidR="005F78FC" w:rsidTr="005F78FC">
        <w:tc>
          <w:tcPr>
            <w:tcW w:w="0" w:type="auto"/>
            <w:vAlign w:val="center"/>
          </w:tcPr>
          <w:p w:rsidR="005F78FC" w:rsidRDefault="00B42EF3">
            <w:pPr>
              <w:pStyle w:val="TableBodyText"/>
            </w:pPr>
            <w:r>
              <w:t>DoubleStrikethrough</w:t>
            </w:r>
          </w:p>
        </w:tc>
        <w:tc>
          <w:tcPr>
            <w:tcW w:w="0" w:type="auto"/>
            <w:vAlign w:val="center"/>
          </w:tcPr>
          <w:p w:rsidR="005F78FC" w:rsidRDefault="00B42EF3">
            <w:pPr>
              <w:pStyle w:val="TableBodyText"/>
            </w:pPr>
            <w:r>
              <w:t>031E</w:t>
            </w:r>
          </w:p>
        </w:tc>
      </w:tr>
      <w:tr w:rsidR="005F78FC" w:rsidTr="005F78FC">
        <w:tc>
          <w:tcPr>
            <w:tcW w:w="0" w:type="auto"/>
            <w:vAlign w:val="center"/>
          </w:tcPr>
          <w:p w:rsidR="005F78FC" w:rsidRDefault="00B42EF3">
            <w:pPr>
              <w:pStyle w:val="TableBodyText"/>
            </w:pPr>
            <w:r>
              <w:t>DoubleUnderline</w:t>
            </w:r>
          </w:p>
        </w:tc>
        <w:tc>
          <w:tcPr>
            <w:tcW w:w="0" w:type="auto"/>
            <w:vAlign w:val="center"/>
          </w:tcPr>
          <w:p w:rsidR="005F78FC" w:rsidRDefault="00B42EF3">
            <w:pPr>
              <w:pStyle w:val="TableBodyText"/>
            </w:pPr>
            <w:r>
              <w:t>0034</w:t>
            </w:r>
          </w:p>
        </w:tc>
      </w:tr>
      <w:tr w:rsidR="005F78FC" w:rsidTr="005F78FC">
        <w:tc>
          <w:tcPr>
            <w:tcW w:w="0" w:type="auto"/>
            <w:vAlign w:val="center"/>
          </w:tcPr>
          <w:p w:rsidR="005F78FC" w:rsidRDefault="00B42EF3">
            <w:pPr>
              <w:pStyle w:val="TableBodyText"/>
            </w:pPr>
            <w:r>
              <w:t>DownloadPictures</w:t>
            </w:r>
          </w:p>
        </w:tc>
        <w:tc>
          <w:tcPr>
            <w:tcW w:w="0" w:type="auto"/>
            <w:vAlign w:val="center"/>
          </w:tcPr>
          <w:p w:rsidR="005F78FC" w:rsidRDefault="00B42EF3">
            <w:pPr>
              <w:pStyle w:val="TableBodyText"/>
            </w:pPr>
            <w:r>
              <w:t>07A2</w:t>
            </w:r>
          </w:p>
        </w:tc>
      </w:tr>
      <w:tr w:rsidR="005F78FC" w:rsidTr="005F78FC">
        <w:tc>
          <w:tcPr>
            <w:tcW w:w="0" w:type="auto"/>
            <w:vAlign w:val="center"/>
          </w:tcPr>
          <w:p w:rsidR="005F78FC" w:rsidRDefault="00B42EF3">
            <w:pPr>
              <w:pStyle w:val="TableBodyText"/>
            </w:pPr>
            <w:r>
              <w:t>DrawAlign</w:t>
            </w:r>
          </w:p>
        </w:tc>
        <w:tc>
          <w:tcPr>
            <w:tcW w:w="0" w:type="auto"/>
            <w:vAlign w:val="center"/>
          </w:tcPr>
          <w:p w:rsidR="005F78FC" w:rsidRDefault="00B42EF3">
            <w:pPr>
              <w:pStyle w:val="TableBodyText"/>
            </w:pPr>
            <w:r>
              <w:t>027A</w:t>
            </w:r>
          </w:p>
        </w:tc>
      </w:tr>
      <w:tr w:rsidR="005F78FC" w:rsidTr="005F78FC">
        <w:tc>
          <w:tcPr>
            <w:tcW w:w="0" w:type="auto"/>
            <w:vAlign w:val="center"/>
          </w:tcPr>
          <w:p w:rsidR="005F78FC" w:rsidRDefault="00B42EF3">
            <w:pPr>
              <w:pStyle w:val="TableBodyText"/>
            </w:pPr>
            <w:r>
              <w:t>DrawArc</w:t>
            </w:r>
          </w:p>
        </w:tc>
        <w:tc>
          <w:tcPr>
            <w:tcW w:w="0" w:type="auto"/>
            <w:vAlign w:val="center"/>
          </w:tcPr>
          <w:p w:rsidR="005F78FC" w:rsidRDefault="00B42EF3">
            <w:pPr>
              <w:pStyle w:val="TableBodyText"/>
            </w:pPr>
            <w:r>
              <w:t>01C7</w:t>
            </w:r>
          </w:p>
        </w:tc>
      </w:tr>
      <w:tr w:rsidR="005F78FC" w:rsidTr="005F78FC">
        <w:tc>
          <w:tcPr>
            <w:tcW w:w="0" w:type="auto"/>
            <w:vAlign w:val="center"/>
          </w:tcPr>
          <w:p w:rsidR="005F78FC" w:rsidRDefault="00B42EF3">
            <w:pPr>
              <w:pStyle w:val="TableBodyText"/>
            </w:pPr>
            <w:r>
              <w:t>DrawBrace</w:t>
            </w:r>
          </w:p>
        </w:tc>
        <w:tc>
          <w:tcPr>
            <w:tcW w:w="0" w:type="auto"/>
            <w:vAlign w:val="center"/>
          </w:tcPr>
          <w:p w:rsidR="005F78FC" w:rsidRDefault="00B42EF3">
            <w:pPr>
              <w:pStyle w:val="TableBodyText"/>
            </w:pPr>
            <w:r>
              <w:t>0317</w:t>
            </w:r>
          </w:p>
        </w:tc>
      </w:tr>
      <w:tr w:rsidR="005F78FC" w:rsidTr="005F78FC">
        <w:tc>
          <w:tcPr>
            <w:tcW w:w="0" w:type="auto"/>
            <w:vAlign w:val="center"/>
          </w:tcPr>
          <w:p w:rsidR="005F78FC" w:rsidRDefault="00B42EF3">
            <w:pPr>
              <w:pStyle w:val="TableBodyText"/>
            </w:pPr>
            <w:r>
              <w:t>DrawBracket</w:t>
            </w:r>
          </w:p>
        </w:tc>
        <w:tc>
          <w:tcPr>
            <w:tcW w:w="0" w:type="auto"/>
            <w:vAlign w:val="center"/>
          </w:tcPr>
          <w:p w:rsidR="005F78FC" w:rsidRDefault="00B42EF3">
            <w:pPr>
              <w:pStyle w:val="TableBodyText"/>
            </w:pPr>
            <w:r>
              <w:t>0318</w:t>
            </w:r>
          </w:p>
        </w:tc>
      </w:tr>
      <w:tr w:rsidR="005F78FC" w:rsidTr="005F78FC">
        <w:tc>
          <w:tcPr>
            <w:tcW w:w="0" w:type="auto"/>
            <w:vAlign w:val="center"/>
          </w:tcPr>
          <w:p w:rsidR="005F78FC" w:rsidRDefault="00B42EF3">
            <w:pPr>
              <w:pStyle w:val="TableBodyText"/>
            </w:pPr>
            <w:r>
              <w:t>DrawBringForward</w:t>
            </w:r>
          </w:p>
        </w:tc>
        <w:tc>
          <w:tcPr>
            <w:tcW w:w="0" w:type="auto"/>
            <w:vAlign w:val="center"/>
          </w:tcPr>
          <w:p w:rsidR="005F78FC" w:rsidRDefault="00B42EF3">
            <w:pPr>
              <w:pStyle w:val="TableBodyText"/>
            </w:pPr>
            <w:r>
              <w:t>01F4</w:t>
            </w:r>
          </w:p>
        </w:tc>
      </w:tr>
      <w:tr w:rsidR="005F78FC" w:rsidTr="005F78FC">
        <w:tc>
          <w:tcPr>
            <w:tcW w:w="0" w:type="auto"/>
            <w:vAlign w:val="center"/>
          </w:tcPr>
          <w:p w:rsidR="005F78FC" w:rsidRDefault="00B42EF3">
            <w:pPr>
              <w:pStyle w:val="TableBodyText"/>
            </w:pPr>
            <w:r>
              <w:t>DrawBringInFrontOfText</w:t>
            </w:r>
          </w:p>
        </w:tc>
        <w:tc>
          <w:tcPr>
            <w:tcW w:w="0" w:type="auto"/>
            <w:vAlign w:val="center"/>
          </w:tcPr>
          <w:p w:rsidR="005F78FC" w:rsidRDefault="00B42EF3">
            <w:pPr>
              <w:pStyle w:val="TableBodyText"/>
            </w:pPr>
            <w:r>
              <w:t>01D5</w:t>
            </w:r>
          </w:p>
        </w:tc>
      </w:tr>
      <w:tr w:rsidR="005F78FC" w:rsidTr="005F78FC">
        <w:tc>
          <w:tcPr>
            <w:tcW w:w="0" w:type="auto"/>
            <w:vAlign w:val="center"/>
          </w:tcPr>
          <w:p w:rsidR="005F78FC" w:rsidRDefault="00B42EF3">
            <w:pPr>
              <w:pStyle w:val="TableBodyText"/>
            </w:pPr>
            <w:r>
              <w:t>DrawBringToFront</w:t>
            </w:r>
          </w:p>
        </w:tc>
        <w:tc>
          <w:tcPr>
            <w:tcW w:w="0" w:type="auto"/>
            <w:vAlign w:val="center"/>
          </w:tcPr>
          <w:p w:rsidR="005F78FC" w:rsidRDefault="00B42EF3">
            <w:pPr>
              <w:pStyle w:val="TableBodyText"/>
            </w:pPr>
            <w:r>
              <w:t>01D2</w:t>
            </w:r>
          </w:p>
        </w:tc>
      </w:tr>
      <w:tr w:rsidR="005F78FC" w:rsidTr="005F78FC">
        <w:tc>
          <w:tcPr>
            <w:tcW w:w="0" w:type="auto"/>
            <w:vAlign w:val="center"/>
          </w:tcPr>
          <w:p w:rsidR="005F78FC" w:rsidRDefault="00B42EF3">
            <w:pPr>
              <w:pStyle w:val="TableBodyText"/>
            </w:pPr>
            <w:r>
              <w:t>DrawCallout</w:t>
            </w:r>
          </w:p>
        </w:tc>
        <w:tc>
          <w:tcPr>
            <w:tcW w:w="0" w:type="auto"/>
            <w:vAlign w:val="center"/>
          </w:tcPr>
          <w:p w:rsidR="005F78FC" w:rsidRDefault="00B42EF3">
            <w:pPr>
              <w:pStyle w:val="TableBodyText"/>
            </w:pPr>
            <w:r>
              <w:t>0263</w:t>
            </w:r>
          </w:p>
        </w:tc>
      </w:tr>
      <w:tr w:rsidR="005F78FC" w:rsidTr="005F78FC">
        <w:tc>
          <w:tcPr>
            <w:tcW w:w="0" w:type="auto"/>
            <w:vAlign w:val="center"/>
          </w:tcPr>
          <w:p w:rsidR="005F78FC" w:rsidRDefault="00B42EF3">
            <w:pPr>
              <w:pStyle w:val="TableBodyText"/>
            </w:pPr>
            <w:r>
              <w:t>DrawDisassemblePicture</w:t>
            </w:r>
          </w:p>
        </w:tc>
        <w:tc>
          <w:tcPr>
            <w:tcW w:w="0" w:type="auto"/>
            <w:vAlign w:val="center"/>
          </w:tcPr>
          <w:p w:rsidR="005F78FC" w:rsidRDefault="00B42EF3">
            <w:pPr>
              <w:pStyle w:val="TableBodyText"/>
            </w:pPr>
            <w:r>
              <w:t>023F</w:t>
            </w:r>
          </w:p>
        </w:tc>
      </w:tr>
      <w:tr w:rsidR="005F78FC" w:rsidTr="005F78FC">
        <w:tc>
          <w:tcPr>
            <w:tcW w:w="0" w:type="auto"/>
            <w:vAlign w:val="center"/>
          </w:tcPr>
          <w:p w:rsidR="005F78FC" w:rsidRDefault="00B42EF3">
            <w:pPr>
              <w:pStyle w:val="TableBodyText"/>
            </w:pPr>
            <w:r>
              <w:t>DrawDuplicate</w:t>
            </w:r>
          </w:p>
        </w:tc>
        <w:tc>
          <w:tcPr>
            <w:tcW w:w="0" w:type="auto"/>
            <w:vAlign w:val="center"/>
          </w:tcPr>
          <w:p w:rsidR="005F78FC" w:rsidRDefault="00B42EF3">
            <w:pPr>
              <w:pStyle w:val="TableBodyText"/>
            </w:pPr>
            <w:r>
              <w:t>03BB</w:t>
            </w:r>
          </w:p>
        </w:tc>
      </w:tr>
      <w:tr w:rsidR="005F78FC" w:rsidTr="005F78FC">
        <w:tc>
          <w:tcPr>
            <w:tcW w:w="0" w:type="auto"/>
            <w:vAlign w:val="center"/>
          </w:tcPr>
          <w:p w:rsidR="005F78FC" w:rsidRDefault="00B42EF3">
            <w:pPr>
              <w:pStyle w:val="TableBodyText"/>
            </w:pPr>
            <w:r>
              <w:t>DrawEllipse</w:t>
            </w:r>
          </w:p>
        </w:tc>
        <w:tc>
          <w:tcPr>
            <w:tcW w:w="0" w:type="auto"/>
            <w:vAlign w:val="center"/>
          </w:tcPr>
          <w:p w:rsidR="005F78FC" w:rsidRDefault="00B42EF3">
            <w:pPr>
              <w:pStyle w:val="TableBodyText"/>
            </w:pPr>
            <w:r>
              <w:t>01C6</w:t>
            </w:r>
          </w:p>
        </w:tc>
      </w:tr>
      <w:tr w:rsidR="005F78FC" w:rsidTr="005F78FC">
        <w:tc>
          <w:tcPr>
            <w:tcW w:w="0" w:type="auto"/>
            <w:vAlign w:val="center"/>
          </w:tcPr>
          <w:p w:rsidR="005F78FC" w:rsidRDefault="00B42EF3">
            <w:pPr>
              <w:pStyle w:val="TableBodyText"/>
            </w:pPr>
            <w:r>
              <w:t>DrawFlipHorizontal</w:t>
            </w:r>
          </w:p>
        </w:tc>
        <w:tc>
          <w:tcPr>
            <w:tcW w:w="0" w:type="auto"/>
            <w:vAlign w:val="center"/>
          </w:tcPr>
          <w:p w:rsidR="005F78FC" w:rsidRDefault="00B42EF3">
            <w:pPr>
              <w:pStyle w:val="TableBodyText"/>
            </w:pPr>
            <w:r>
              <w:t>022F</w:t>
            </w:r>
          </w:p>
        </w:tc>
      </w:tr>
      <w:tr w:rsidR="005F78FC" w:rsidTr="005F78FC">
        <w:tc>
          <w:tcPr>
            <w:tcW w:w="0" w:type="auto"/>
            <w:vAlign w:val="center"/>
          </w:tcPr>
          <w:p w:rsidR="005F78FC" w:rsidRDefault="00B42EF3">
            <w:pPr>
              <w:pStyle w:val="TableBodyText"/>
            </w:pPr>
            <w:r>
              <w:t>DrawFlipVertical</w:t>
            </w:r>
          </w:p>
        </w:tc>
        <w:tc>
          <w:tcPr>
            <w:tcW w:w="0" w:type="auto"/>
            <w:vAlign w:val="center"/>
          </w:tcPr>
          <w:p w:rsidR="005F78FC" w:rsidRDefault="00B42EF3">
            <w:pPr>
              <w:pStyle w:val="TableBodyText"/>
            </w:pPr>
            <w:r>
              <w:t>0230</w:t>
            </w:r>
          </w:p>
        </w:tc>
      </w:tr>
      <w:tr w:rsidR="005F78FC" w:rsidTr="005F78FC">
        <w:tc>
          <w:tcPr>
            <w:tcW w:w="0" w:type="auto"/>
            <w:vAlign w:val="center"/>
          </w:tcPr>
          <w:p w:rsidR="005F78FC" w:rsidRDefault="00B42EF3">
            <w:pPr>
              <w:pStyle w:val="TableBodyText"/>
            </w:pPr>
            <w:r>
              <w:t>DrawFreeformPolygon</w:t>
            </w:r>
          </w:p>
        </w:tc>
        <w:tc>
          <w:tcPr>
            <w:tcW w:w="0" w:type="auto"/>
            <w:vAlign w:val="center"/>
          </w:tcPr>
          <w:p w:rsidR="005F78FC" w:rsidRDefault="00B42EF3">
            <w:pPr>
              <w:pStyle w:val="TableBodyText"/>
            </w:pPr>
            <w:r>
              <w:t>021A</w:t>
            </w:r>
          </w:p>
        </w:tc>
      </w:tr>
      <w:tr w:rsidR="005F78FC" w:rsidTr="005F78FC">
        <w:tc>
          <w:tcPr>
            <w:tcW w:w="0" w:type="auto"/>
            <w:vAlign w:val="center"/>
          </w:tcPr>
          <w:p w:rsidR="005F78FC" w:rsidRDefault="00B42EF3">
            <w:pPr>
              <w:pStyle w:val="TableBodyText"/>
            </w:pPr>
            <w:r>
              <w:t>DrawGroup</w:t>
            </w:r>
          </w:p>
        </w:tc>
        <w:tc>
          <w:tcPr>
            <w:tcW w:w="0" w:type="auto"/>
            <w:vAlign w:val="center"/>
          </w:tcPr>
          <w:p w:rsidR="005F78FC" w:rsidRDefault="00B42EF3">
            <w:pPr>
              <w:pStyle w:val="TableBodyText"/>
            </w:pPr>
            <w:r>
              <w:t>01D1</w:t>
            </w:r>
          </w:p>
        </w:tc>
      </w:tr>
      <w:tr w:rsidR="005F78FC" w:rsidTr="005F78FC">
        <w:tc>
          <w:tcPr>
            <w:tcW w:w="0" w:type="auto"/>
            <w:vAlign w:val="center"/>
          </w:tcPr>
          <w:p w:rsidR="005F78FC" w:rsidRDefault="00B42EF3">
            <w:pPr>
              <w:pStyle w:val="TableBodyText"/>
            </w:pPr>
            <w:r>
              <w:t>DrawInsertWordPicture</w:t>
            </w:r>
          </w:p>
        </w:tc>
        <w:tc>
          <w:tcPr>
            <w:tcW w:w="0" w:type="auto"/>
            <w:vAlign w:val="center"/>
          </w:tcPr>
          <w:p w:rsidR="005F78FC" w:rsidRDefault="00B42EF3">
            <w:pPr>
              <w:pStyle w:val="TableBodyText"/>
            </w:pPr>
            <w:r>
              <w:t>0288</w:t>
            </w:r>
          </w:p>
        </w:tc>
      </w:tr>
      <w:tr w:rsidR="005F78FC" w:rsidTr="005F78FC">
        <w:tc>
          <w:tcPr>
            <w:tcW w:w="0" w:type="auto"/>
            <w:vAlign w:val="center"/>
          </w:tcPr>
          <w:p w:rsidR="005F78FC" w:rsidRDefault="00B42EF3">
            <w:pPr>
              <w:pStyle w:val="TableBodyText"/>
            </w:pPr>
            <w:r>
              <w:t>DrawLine</w:t>
            </w:r>
          </w:p>
        </w:tc>
        <w:tc>
          <w:tcPr>
            <w:tcW w:w="0" w:type="auto"/>
            <w:vAlign w:val="center"/>
          </w:tcPr>
          <w:p w:rsidR="005F78FC" w:rsidRDefault="00B42EF3">
            <w:pPr>
              <w:pStyle w:val="TableBodyText"/>
            </w:pPr>
            <w:r>
              <w:t>0178</w:t>
            </w:r>
          </w:p>
        </w:tc>
      </w:tr>
      <w:tr w:rsidR="005F78FC" w:rsidTr="005F78FC">
        <w:tc>
          <w:tcPr>
            <w:tcW w:w="0" w:type="auto"/>
            <w:vAlign w:val="center"/>
          </w:tcPr>
          <w:p w:rsidR="005F78FC" w:rsidRDefault="00B42EF3">
            <w:pPr>
              <w:pStyle w:val="TableBodyText"/>
            </w:pPr>
            <w:r>
              <w:t>DrawMenu3D</w:t>
            </w:r>
          </w:p>
        </w:tc>
        <w:tc>
          <w:tcPr>
            <w:tcW w:w="0" w:type="auto"/>
            <w:vAlign w:val="center"/>
          </w:tcPr>
          <w:p w:rsidR="005F78FC" w:rsidRDefault="00B42EF3">
            <w:pPr>
              <w:pStyle w:val="TableBodyText"/>
            </w:pPr>
            <w:r>
              <w:t>1662</w:t>
            </w:r>
          </w:p>
        </w:tc>
      </w:tr>
      <w:tr w:rsidR="005F78FC" w:rsidTr="005F78FC">
        <w:tc>
          <w:tcPr>
            <w:tcW w:w="0" w:type="auto"/>
            <w:vAlign w:val="center"/>
          </w:tcPr>
          <w:p w:rsidR="005F78FC" w:rsidRDefault="00B42EF3">
            <w:pPr>
              <w:pStyle w:val="TableBodyText"/>
            </w:pPr>
            <w:r>
              <w:t>DrawMenu3DColor</w:t>
            </w:r>
          </w:p>
        </w:tc>
        <w:tc>
          <w:tcPr>
            <w:tcW w:w="0" w:type="auto"/>
            <w:vAlign w:val="center"/>
          </w:tcPr>
          <w:p w:rsidR="005F78FC" w:rsidRDefault="00B42EF3">
            <w:pPr>
              <w:pStyle w:val="TableBodyText"/>
            </w:pPr>
            <w:r>
              <w:t>1677</w:t>
            </w:r>
          </w:p>
        </w:tc>
      </w:tr>
      <w:tr w:rsidR="005F78FC" w:rsidTr="005F78FC">
        <w:tc>
          <w:tcPr>
            <w:tcW w:w="0" w:type="auto"/>
            <w:vAlign w:val="center"/>
          </w:tcPr>
          <w:p w:rsidR="005F78FC" w:rsidRDefault="00B42EF3">
            <w:pPr>
              <w:pStyle w:val="TableBodyText"/>
            </w:pPr>
            <w:r>
              <w:t>DrawMenu3DDepth</w:t>
            </w:r>
          </w:p>
        </w:tc>
        <w:tc>
          <w:tcPr>
            <w:tcW w:w="0" w:type="auto"/>
            <w:vAlign w:val="center"/>
          </w:tcPr>
          <w:p w:rsidR="005F78FC" w:rsidRDefault="00B42EF3">
            <w:pPr>
              <w:pStyle w:val="TableBodyText"/>
            </w:pPr>
            <w:r>
              <w:t>1675</w:t>
            </w:r>
          </w:p>
        </w:tc>
      </w:tr>
      <w:tr w:rsidR="005F78FC" w:rsidTr="005F78FC">
        <w:tc>
          <w:tcPr>
            <w:tcW w:w="0" w:type="auto"/>
            <w:vAlign w:val="center"/>
          </w:tcPr>
          <w:p w:rsidR="005F78FC" w:rsidRDefault="00B42EF3">
            <w:pPr>
              <w:pStyle w:val="TableBodyText"/>
            </w:pPr>
            <w:r>
              <w:t>DrawMenu3DDirection</w:t>
            </w:r>
          </w:p>
        </w:tc>
        <w:tc>
          <w:tcPr>
            <w:tcW w:w="0" w:type="auto"/>
            <w:vAlign w:val="center"/>
          </w:tcPr>
          <w:p w:rsidR="005F78FC" w:rsidRDefault="00B42EF3">
            <w:pPr>
              <w:pStyle w:val="TableBodyText"/>
            </w:pPr>
            <w:r>
              <w:t>1676</w:t>
            </w:r>
          </w:p>
        </w:tc>
      </w:tr>
      <w:tr w:rsidR="005F78FC" w:rsidTr="005F78FC">
        <w:tc>
          <w:tcPr>
            <w:tcW w:w="0" w:type="auto"/>
            <w:vAlign w:val="center"/>
          </w:tcPr>
          <w:p w:rsidR="005F78FC" w:rsidRDefault="00B42EF3">
            <w:pPr>
              <w:pStyle w:val="TableBodyText"/>
            </w:pPr>
            <w:r>
              <w:t>DrawMenu3DLighting</w:t>
            </w:r>
          </w:p>
        </w:tc>
        <w:tc>
          <w:tcPr>
            <w:tcW w:w="0" w:type="auto"/>
            <w:vAlign w:val="center"/>
          </w:tcPr>
          <w:p w:rsidR="005F78FC" w:rsidRDefault="00B42EF3">
            <w:pPr>
              <w:pStyle w:val="TableBodyText"/>
            </w:pPr>
            <w:r>
              <w:t>1678</w:t>
            </w:r>
          </w:p>
        </w:tc>
      </w:tr>
      <w:tr w:rsidR="005F78FC" w:rsidTr="005F78FC">
        <w:tc>
          <w:tcPr>
            <w:tcW w:w="0" w:type="auto"/>
            <w:vAlign w:val="center"/>
          </w:tcPr>
          <w:p w:rsidR="005F78FC" w:rsidRDefault="00B42EF3">
            <w:pPr>
              <w:pStyle w:val="TableBodyText"/>
            </w:pPr>
            <w:r>
              <w:t>DrawMenu3DSurface</w:t>
            </w:r>
          </w:p>
        </w:tc>
        <w:tc>
          <w:tcPr>
            <w:tcW w:w="0" w:type="auto"/>
            <w:vAlign w:val="center"/>
          </w:tcPr>
          <w:p w:rsidR="005F78FC" w:rsidRDefault="00B42EF3">
            <w:pPr>
              <w:pStyle w:val="TableBodyText"/>
            </w:pPr>
            <w:r>
              <w:t>1679</w:t>
            </w:r>
          </w:p>
        </w:tc>
      </w:tr>
      <w:tr w:rsidR="005F78FC" w:rsidTr="005F78FC">
        <w:tc>
          <w:tcPr>
            <w:tcW w:w="0" w:type="auto"/>
            <w:vAlign w:val="center"/>
          </w:tcPr>
          <w:p w:rsidR="005F78FC" w:rsidRDefault="00B42EF3">
            <w:pPr>
              <w:pStyle w:val="TableBodyText"/>
            </w:pPr>
            <w:r>
              <w:t>DrawMenuAlignDistribute</w:t>
            </w:r>
          </w:p>
        </w:tc>
        <w:tc>
          <w:tcPr>
            <w:tcW w:w="0" w:type="auto"/>
            <w:vAlign w:val="center"/>
          </w:tcPr>
          <w:p w:rsidR="005F78FC" w:rsidRDefault="00B42EF3">
            <w:pPr>
              <w:pStyle w:val="TableBodyText"/>
            </w:pPr>
            <w:r>
              <w:t>1659</w:t>
            </w:r>
          </w:p>
        </w:tc>
      </w:tr>
      <w:tr w:rsidR="005F78FC" w:rsidTr="005F78FC">
        <w:tc>
          <w:tcPr>
            <w:tcW w:w="0" w:type="auto"/>
            <w:vAlign w:val="center"/>
          </w:tcPr>
          <w:p w:rsidR="005F78FC" w:rsidRDefault="00B42EF3">
            <w:pPr>
              <w:pStyle w:val="TableBodyText"/>
            </w:pPr>
            <w:r>
              <w:t>DrawMenuArrows</w:t>
            </w:r>
          </w:p>
        </w:tc>
        <w:tc>
          <w:tcPr>
            <w:tcW w:w="0" w:type="auto"/>
            <w:vAlign w:val="center"/>
          </w:tcPr>
          <w:p w:rsidR="005F78FC" w:rsidRDefault="00B42EF3">
            <w:pPr>
              <w:pStyle w:val="TableBodyText"/>
            </w:pPr>
            <w:r>
              <w:t>1661</w:t>
            </w:r>
          </w:p>
        </w:tc>
      </w:tr>
      <w:tr w:rsidR="005F78FC" w:rsidTr="005F78FC">
        <w:tc>
          <w:tcPr>
            <w:tcW w:w="0" w:type="auto"/>
            <w:vAlign w:val="center"/>
          </w:tcPr>
          <w:p w:rsidR="005F78FC" w:rsidRDefault="00B42EF3">
            <w:pPr>
              <w:pStyle w:val="TableBodyText"/>
            </w:pPr>
            <w:r>
              <w:t>DrawMenuAutoShapes</w:t>
            </w:r>
          </w:p>
        </w:tc>
        <w:tc>
          <w:tcPr>
            <w:tcW w:w="0" w:type="auto"/>
            <w:vAlign w:val="center"/>
          </w:tcPr>
          <w:p w:rsidR="005F78FC" w:rsidRDefault="00B42EF3">
            <w:pPr>
              <w:pStyle w:val="TableBodyText"/>
            </w:pPr>
            <w:r>
              <w:t>166B</w:t>
            </w:r>
          </w:p>
        </w:tc>
      </w:tr>
      <w:tr w:rsidR="005F78FC" w:rsidTr="005F78FC">
        <w:tc>
          <w:tcPr>
            <w:tcW w:w="0" w:type="auto"/>
            <w:vAlign w:val="center"/>
          </w:tcPr>
          <w:p w:rsidR="005F78FC" w:rsidRDefault="00B42EF3">
            <w:pPr>
              <w:pStyle w:val="TableBodyText"/>
            </w:pPr>
            <w:r>
              <w:t>DrawMenuChangeShape</w:t>
            </w:r>
          </w:p>
        </w:tc>
        <w:tc>
          <w:tcPr>
            <w:tcW w:w="0" w:type="auto"/>
            <w:vAlign w:val="center"/>
          </w:tcPr>
          <w:p w:rsidR="005F78FC" w:rsidRDefault="00B42EF3">
            <w:pPr>
              <w:pStyle w:val="TableBodyText"/>
            </w:pPr>
            <w:r>
              <w:t>1665</w:t>
            </w:r>
          </w:p>
        </w:tc>
      </w:tr>
      <w:tr w:rsidR="005F78FC" w:rsidTr="005F78FC">
        <w:tc>
          <w:tcPr>
            <w:tcW w:w="0" w:type="auto"/>
            <w:vAlign w:val="center"/>
          </w:tcPr>
          <w:p w:rsidR="005F78FC" w:rsidRDefault="00B42EF3">
            <w:pPr>
              <w:pStyle w:val="TableBodyText"/>
            </w:pPr>
            <w:r>
              <w:lastRenderedPageBreak/>
              <w:t>DrawMenuChangeShape0</w:t>
            </w:r>
          </w:p>
        </w:tc>
        <w:tc>
          <w:tcPr>
            <w:tcW w:w="0" w:type="auto"/>
            <w:vAlign w:val="center"/>
          </w:tcPr>
          <w:p w:rsidR="005F78FC" w:rsidRDefault="00B42EF3">
            <w:pPr>
              <w:pStyle w:val="TableBodyText"/>
            </w:pPr>
            <w:r>
              <w:t>1666</w:t>
            </w:r>
          </w:p>
        </w:tc>
      </w:tr>
      <w:tr w:rsidR="005F78FC" w:rsidTr="005F78FC">
        <w:tc>
          <w:tcPr>
            <w:tcW w:w="0" w:type="auto"/>
            <w:vAlign w:val="center"/>
          </w:tcPr>
          <w:p w:rsidR="005F78FC" w:rsidRDefault="00B42EF3">
            <w:pPr>
              <w:pStyle w:val="TableBodyText"/>
            </w:pPr>
            <w:r>
              <w:t>DrawMenuChangeShape1</w:t>
            </w:r>
          </w:p>
        </w:tc>
        <w:tc>
          <w:tcPr>
            <w:tcW w:w="0" w:type="auto"/>
            <w:vAlign w:val="center"/>
          </w:tcPr>
          <w:p w:rsidR="005F78FC" w:rsidRDefault="00B42EF3">
            <w:pPr>
              <w:pStyle w:val="TableBodyText"/>
            </w:pPr>
            <w:r>
              <w:t>1667</w:t>
            </w:r>
          </w:p>
        </w:tc>
      </w:tr>
      <w:tr w:rsidR="005F78FC" w:rsidTr="005F78FC">
        <w:tc>
          <w:tcPr>
            <w:tcW w:w="0" w:type="auto"/>
            <w:vAlign w:val="center"/>
          </w:tcPr>
          <w:p w:rsidR="005F78FC" w:rsidRDefault="00B42EF3">
            <w:pPr>
              <w:pStyle w:val="TableBodyText"/>
            </w:pPr>
            <w:r>
              <w:t>DrawMenuChangeShape2</w:t>
            </w:r>
          </w:p>
        </w:tc>
        <w:tc>
          <w:tcPr>
            <w:tcW w:w="0" w:type="auto"/>
            <w:vAlign w:val="center"/>
          </w:tcPr>
          <w:p w:rsidR="005F78FC" w:rsidRDefault="00B42EF3">
            <w:pPr>
              <w:pStyle w:val="TableBodyText"/>
            </w:pPr>
            <w:r>
              <w:t>1668</w:t>
            </w:r>
          </w:p>
        </w:tc>
      </w:tr>
      <w:tr w:rsidR="005F78FC" w:rsidTr="005F78FC">
        <w:tc>
          <w:tcPr>
            <w:tcW w:w="0" w:type="auto"/>
            <w:vAlign w:val="center"/>
          </w:tcPr>
          <w:p w:rsidR="005F78FC" w:rsidRDefault="00B42EF3">
            <w:pPr>
              <w:pStyle w:val="TableBodyText"/>
            </w:pPr>
            <w:r>
              <w:t>DrawMenuChangeShape3</w:t>
            </w:r>
          </w:p>
        </w:tc>
        <w:tc>
          <w:tcPr>
            <w:tcW w:w="0" w:type="auto"/>
            <w:vAlign w:val="center"/>
          </w:tcPr>
          <w:p w:rsidR="005F78FC" w:rsidRDefault="00B42EF3">
            <w:pPr>
              <w:pStyle w:val="TableBodyText"/>
            </w:pPr>
            <w:r>
              <w:t>1669</w:t>
            </w:r>
          </w:p>
        </w:tc>
      </w:tr>
      <w:tr w:rsidR="005F78FC" w:rsidTr="005F78FC">
        <w:tc>
          <w:tcPr>
            <w:tcW w:w="0" w:type="auto"/>
            <w:vAlign w:val="center"/>
          </w:tcPr>
          <w:p w:rsidR="005F78FC" w:rsidRDefault="00B42EF3">
            <w:pPr>
              <w:pStyle w:val="TableBodyText"/>
            </w:pPr>
            <w:r>
              <w:t>DrawMenuChangeShape4</w:t>
            </w:r>
          </w:p>
        </w:tc>
        <w:tc>
          <w:tcPr>
            <w:tcW w:w="0" w:type="auto"/>
            <w:vAlign w:val="center"/>
          </w:tcPr>
          <w:p w:rsidR="005F78FC" w:rsidRDefault="00B42EF3">
            <w:pPr>
              <w:pStyle w:val="TableBodyText"/>
            </w:pPr>
            <w:r>
              <w:t>166A</w:t>
            </w:r>
          </w:p>
        </w:tc>
      </w:tr>
      <w:tr w:rsidR="005F78FC" w:rsidTr="005F78FC">
        <w:tc>
          <w:tcPr>
            <w:tcW w:w="0" w:type="auto"/>
            <w:vAlign w:val="center"/>
          </w:tcPr>
          <w:p w:rsidR="005F78FC" w:rsidRDefault="00B42EF3">
            <w:pPr>
              <w:pStyle w:val="TableBodyText"/>
            </w:pPr>
            <w:r>
              <w:t>DrawMenuGrouping</w:t>
            </w:r>
          </w:p>
        </w:tc>
        <w:tc>
          <w:tcPr>
            <w:tcW w:w="0" w:type="auto"/>
            <w:vAlign w:val="center"/>
          </w:tcPr>
          <w:p w:rsidR="005F78FC" w:rsidRDefault="00B42EF3">
            <w:pPr>
              <w:pStyle w:val="TableBodyText"/>
            </w:pPr>
            <w:r>
              <w:t>1658</w:t>
            </w:r>
          </w:p>
        </w:tc>
      </w:tr>
      <w:tr w:rsidR="005F78FC" w:rsidTr="005F78FC">
        <w:tc>
          <w:tcPr>
            <w:tcW w:w="0" w:type="auto"/>
            <w:vAlign w:val="center"/>
          </w:tcPr>
          <w:p w:rsidR="005F78FC" w:rsidRDefault="00B42EF3">
            <w:pPr>
              <w:pStyle w:val="TableBodyText"/>
            </w:pPr>
            <w:r>
              <w:t>DrawMenuImageControl</w:t>
            </w:r>
          </w:p>
        </w:tc>
        <w:tc>
          <w:tcPr>
            <w:tcW w:w="0" w:type="auto"/>
            <w:vAlign w:val="center"/>
          </w:tcPr>
          <w:p w:rsidR="005F78FC" w:rsidRDefault="00B42EF3">
            <w:pPr>
              <w:pStyle w:val="TableBodyText"/>
            </w:pPr>
            <w:r>
              <w:t>1664</w:t>
            </w:r>
          </w:p>
        </w:tc>
      </w:tr>
      <w:tr w:rsidR="005F78FC" w:rsidTr="005F78FC">
        <w:tc>
          <w:tcPr>
            <w:tcW w:w="0" w:type="auto"/>
            <w:vAlign w:val="center"/>
          </w:tcPr>
          <w:p w:rsidR="005F78FC" w:rsidRDefault="00B42EF3">
            <w:pPr>
              <w:pStyle w:val="TableBodyText"/>
            </w:pPr>
            <w:r>
              <w:t>DrawMenuLineDash</w:t>
            </w:r>
          </w:p>
        </w:tc>
        <w:tc>
          <w:tcPr>
            <w:tcW w:w="0" w:type="auto"/>
            <w:vAlign w:val="center"/>
          </w:tcPr>
          <w:p w:rsidR="005F78FC" w:rsidRDefault="00B42EF3">
            <w:pPr>
              <w:pStyle w:val="TableBodyText"/>
            </w:pPr>
            <w:r>
              <w:t>1660</w:t>
            </w:r>
          </w:p>
        </w:tc>
      </w:tr>
      <w:tr w:rsidR="005F78FC" w:rsidTr="005F78FC">
        <w:tc>
          <w:tcPr>
            <w:tcW w:w="0" w:type="auto"/>
            <w:vAlign w:val="center"/>
          </w:tcPr>
          <w:p w:rsidR="005F78FC" w:rsidRDefault="00B42EF3">
            <w:pPr>
              <w:pStyle w:val="TableBodyText"/>
            </w:pPr>
            <w:r>
              <w:t>DrawMenuMoreShapes1</w:t>
            </w:r>
          </w:p>
        </w:tc>
        <w:tc>
          <w:tcPr>
            <w:tcW w:w="0" w:type="auto"/>
            <w:vAlign w:val="center"/>
          </w:tcPr>
          <w:p w:rsidR="005F78FC" w:rsidRDefault="00B42EF3">
            <w:pPr>
              <w:pStyle w:val="TableBodyText"/>
            </w:pPr>
            <w:r>
              <w:t>166C</w:t>
            </w:r>
          </w:p>
        </w:tc>
      </w:tr>
      <w:tr w:rsidR="005F78FC" w:rsidTr="005F78FC">
        <w:tc>
          <w:tcPr>
            <w:tcW w:w="0" w:type="auto"/>
            <w:vAlign w:val="center"/>
          </w:tcPr>
          <w:p w:rsidR="005F78FC" w:rsidRDefault="00B42EF3">
            <w:pPr>
              <w:pStyle w:val="TableBodyText"/>
            </w:pPr>
            <w:r>
              <w:t>DrawMenuMoreShapes2</w:t>
            </w:r>
          </w:p>
        </w:tc>
        <w:tc>
          <w:tcPr>
            <w:tcW w:w="0" w:type="auto"/>
            <w:vAlign w:val="center"/>
          </w:tcPr>
          <w:p w:rsidR="005F78FC" w:rsidRDefault="00B42EF3">
            <w:pPr>
              <w:pStyle w:val="TableBodyText"/>
            </w:pPr>
            <w:r>
              <w:t>166D</w:t>
            </w:r>
          </w:p>
        </w:tc>
      </w:tr>
      <w:tr w:rsidR="005F78FC" w:rsidTr="005F78FC">
        <w:tc>
          <w:tcPr>
            <w:tcW w:w="0" w:type="auto"/>
            <w:vAlign w:val="center"/>
          </w:tcPr>
          <w:p w:rsidR="005F78FC" w:rsidRDefault="00B42EF3">
            <w:pPr>
              <w:pStyle w:val="TableBodyText"/>
            </w:pPr>
            <w:r>
              <w:t>DrawMenuMoreShapes3</w:t>
            </w:r>
          </w:p>
        </w:tc>
        <w:tc>
          <w:tcPr>
            <w:tcW w:w="0" w:type="auto"/>
            <w:vAlign w:val="center"/>
          </w:tcPr>
          <w:p w:rsidR="005F78FC" w:rsidRDefault="00B42EF3">
            <w:pPr>
              <w:pStyle w:val="TableBodyText"/>
            </w:pPr>
            <w:r>
              <w:t>166E</w:t>
            </w:r>
          </w:p>
        </w:tc>
      </w:tr>
      <w:tr w:rsidR="005F78FC" w:rsidTr="005F78FC">
        <w:tc>
          <w:tcPr>
            <w:tcW w:w="0" w:type="auto"/>
            <w:vAlign w:val="center"/>
          </w:tcPr>
          <w:p w:rsidR="005F78FC" w:rsidRDefault="00B42EF3">
            <w:pPr>
              <w:pStyle w:val="TableBodyText"/>
            </w:pPr>
            <w:r>
              <w:t>DrawMenuMoreShapes4</w:t>
            </w:r>
          </w:p>
        </w:tc>
        <w:tc>
          <w:tcPr>
            <w:tcW w:w="0" w:type="auto"/>
            <w:vAlign w:val="center"/>
          </w:tcPr>
          <w:p w:rsidR="005F78FC" w:rsidRDefault="00B42EF3">
            <w:pPr>
              <w:pStyle w:val="TableBodyText"/>
            </w:pPr>
            <w:r>
              <w:t>166F</w:t>
            </w:r>
          </w:p>
        </w:tc>
      </w:tr>
      <w:tr w:rsidR="005F78FC" w:rsidTr="005F78FC">
        <w:tc>
          <w:tcPr>
            <w:tcW w:w="0" w:type="auto"/>
            <w:vAlign w:val="center"/>
          </w:tcPr>
          <w:p w:rsidR="005F78FC" w:rsidRDefault="00B42EF3">
            <w:pPr>
              <w:pStyle w:val="TableBodyText"/>
            </w:pPr>
            <w:r>
              <w:t>DrawMenuMoreShapes5</w:t>
            </w:r>
          </w:p>
        </w:tc>
        <w:tc>
          <w:tcPr>
            <w:tcW w:w="0" w:type="auto"/>
            <w:vAlign w:val="center"/>
          </w:tcPr>
          <w:p w:rsidR="005F78FC" w:rsidRDefault="00B42EF3">
            <w:pPr>
              <w:pStyle w:val="TableBodyText"/>
            </w:pPr>
            <w:r>
              <w:t>1670</w:t>
            </w:r>
          </w:p>
        </w:tc>
      </w:tr>
      <w:tr w:rsidR="005F78FC" w:rsidTr="005F78FC">
        <w:tc>
          <w:tcPr>
            <w:tcW w:w="0" w:type="auto"/>
            <w:vAlign w:val="center"/>
          </w:tcPr>
          <w:p w:rsidR="005F78FC" w:rsidRDefault="00B42EF3">
            <w:pPr>
              <w:pStyle w:val="TableBodyText"/>
            </w:pPr>
            <w:r>
              <w:t>DrawMenuMoreShapes6</w:t>
            </w:r>
          </w:p>
        </w:tc>
        <w:tc>
          <w:tcPr>
            <w:tcW w:w="0" w:type="auto"/>
            <w:vAlign w:val="center"/>
          </w:tcPr>
          <w:p w:rsidR="005F78FC" w:rsidRDefault="00B42EF3">
            <w:pPr>
              <w:pStyle w:val="TableBodyText"/>
            </w:pPr>
            <w:r>
              <w:t>1671</w:t>
            </w:r>
          </w:p>
        </w:tc>
      </w:tr>
      <w:tr w:rsidR="005F78FC" w:rsidTr="005F78FC">
        <w:tc>
          <w:tcPr>
            <w:tcW w:w="0" w:type="auto"/>
            <w:vAlign w:val="center"/>
          </w:tcPr>
          <w:p w:rsidR="005F78FC" w:rsidRDefault="00B42EF3">
            <w:pPr>
              <w:pStyle w:val="TableBodyText"/>
            </w:pPr>
            <w:r>
              <w:t>DrawMenuMoreShapes7</w:t>
            </w:r>
          </w:p>
        </w:tc>
        <w:tc>
          <w:tcPr>
            <w:tcW w:w="0" w:type="auto"/>
            <w:vAlign w:val="center"/>
          </w:tcPr>
          <w:p w:rsidR="005F78FC" w:rsidRDefault="00B42EF3">
            <w:pPr>
              <w:pStyle w:val="TableBodyText"/>
            </w:pPr>
            <w:r>
              <w:t>16AC</w:t>
            </w:r>
          </w:p>
        </w:tc>
      </w:tr>
      <w:tr w:rsidR="005F78FC" w:rsidTr="005F78FC">
        <w:tc>
          <w:tcPr>
            <w:tcW w:w="0" w:type="auto"/>
            <w:vAlign w:val="center"/>
          </w:tcPr>
          <w:p w:rsidR="005F78FC" w:rsidRDefault="00B42EF3">
            <w:pPr>
              <w:pStyle w:val="TableBodyText"/>
            </w:pPr>
            <w:r>
              <w:t>DrawMenuNudge</w:t>
            </w:r>
          </w:p>
        </w:tc>
        <w:tc>
          <w:tcPr>
            <w:tcW w:w="0" w:type="auto"/>
            <w:vAlign w:val="center"/>
          </w:tcPr>
          <w:p w:rsidR="005F78FC" w:rsidRDefault="00B42EF3">
            <w:pPr>
              <w:pStyle w:val="TableBodyText"/>
            </w:pPr>
            <w:r>
              <w:t>165B</w:t>
            </w:r>
          </w:p>
        </w:tc>
      </w:tr>
      <w:tr w:rsidR="005F78FC" w:rsidTr="005F78FC">
        <w:tc>
          <w:tcPr>
            <w:tcW w:w="0" w:type="auto"/>
            <w:vAlign w:val="center"/>
          </w:tcPr>
          <w:p w:rsidR="005F78FC" w:rsidRDefault="00B42EF3">
            <w:pPr>
              <w:pStyle w:val="TableBodyText"/>
            </w:pPr>
            <w:r>
              <w:t>DrawMenuOrder</w:t>
            </w:r>
          </w:p>
        </w:tc>
        <w:tc>
          <w:tcPr>
            <w:tcW w:w="0" w:type="auto"/>
            <w:vAlign w:val="center"/>
          </w:tcPr>
          <w:p w:rsidR="005F78FC" w:rsidRDefault="00B42EF3">
            <w:pPr>
              <w:pStyle w:val="TableBodyText"/>
            </w:pPr>
            <w:r>
              <w:t>1657</w:t>
            </w:r>
          </w:p>
        </w:tc>
      </w:tr>
      <w:tr w:rsidR="005F78FC" w:rsidTr="005F78FC">
        <w:tc>
          <w:tcPr>
            <w:tcW w:w="0" w:type="auto"/>
            <w:vAlign w:val="center"/>
          </w:tcPr>
          <w:p w:rsidR="005F78FC" w:rsidRDefault="00B42EF3">
            <w:pPr>
              <w:pStyle w:val="TableBodyText"/>
            </w:pPr>
            <w:r>
              <w:t>DrawMenuRotateFlip</w:t>
            </w:r>
          </w:p>
        </w:tc>
        <w:tc>
          <w:tcPr>
            <w:tcW w:w="0" w:type="auto"/>
            <w:vAlign w:val="center"/>
          </w:tcPr>
          <w:p w:rsidR="005F78FC" w:rsidRDefault="00B42EF3">
            <w:pPr>
              <w:pStyle w:val="TableBodyText"/>
            </w:pPr>
            <w:r>
              <w:t>165A</w:t>
            </w:r>
          </w:p>
        </w:tc>
      </w:tr>
      <w:tr w:rsidR="005F78FC" w:rsidTr="005F78FC">
        <w:tc>
          <w:tcPr>
            <w:tcW w:w="0" w:type="auto"/>
            <w:vAlign w:val="center"/>
          </w:tcPr>
          <w:p w:rsidR="005F78FC" w:rsidRDefault="00B42EF3">
            <w:pPr>
              <w:pStyle w:val="TableBodyText"/>
            </w:pPr>
            <w:r>
              <w:t>DrawMenuShadowColor</w:t>
            </w:r>
          </w:p>
        </w:tc>
        <w:tc>
          <w:tcPr>
            <w:tcW w:w="0" w:type="auto"/>
            <w:vAlign w:val="center"/>
          </w:tcPr>
          <w:p w:rsidR="005F78FC" w:rsidRDefault="00B42EF3">
            <w:pPr>
              <w:pStyle w:val="TableBodyText"/>
            </w:pPr>
            <w:r>
              <w:t>1663</w:t>
            </w:r>
          </w:p>
        </w:tc>
      </w:tr>
      <w:tr w:rsidR="005F78FC" w:rsidTr="005F78FC">
        <w:tc>
          <w:tcPr>
            <w:tcW w:w="0" w:type="auto"/>
            <w:vAlign w:val="center"/>
          </w:tcPr>
          <w:p w:rsidR="005F78FC" w:rsidRDefault="00B42EF3">
            <w:pPr>
              <w:pStyle w:val="TableBodyText"/>
            </w:pPr>
            <w:r>
              <w:t>DrawMenuShadows</w:t>
            </w:r>
          </w:p>
        </w:tc>
        <w:tc>
          <w:tcPr>
            <w:tcW w:w="0" w:type="auto"/>
            <w:vAlign w:val="center"/>
          </w:tcPr>
          <w:p w:rsidR="005F78FC" w:rsidRDefault="00B42EF3">
            <w:pPr>
              <w:pStyle w:val="TableBodyText"/>
            </w:pPr>
            <w:r>
              <w:t>165E</w:t>
            </w:r>
          </w:p>
        </w:tc>
      </w:tr>
      <w:tr w:rsidR="005F78FC" w:rsidTr="005F78FC">
        <w:tc>
          <w:tcPr>
            <w:tcW w:w="0" w:type="auto"/>
            <w:vAlign w:val="center"/>
          </w:tcPr>
          <w:p w:rsidR="005F78FC" w:rsidRDefault="00B42EF3">
            <w:pPr>
              <w:pStyle w:val="TableBodyText"/>
            </w:pPr>
            <w:r>
              <w:t>DrawMenuTextAlignment</w:t>
            </w:r>
          </w:p>
        </w:tc>
        <w:tc>
          <w:tcPr>
            <w:tcW w:w="0" w:type="auto"/>
            <w:vAlign w:val="center"/>
          </w:tcPr>
          <w:p w:rsidR="005F78FC" w:rsidRDefault="00B42EF3">
            <w:pPr>
              <w:pStyle w:val="TableBodyText"/>
            </w:pPr>
            <w:r>
              <w:t>1673</w:t>
            </w:r>
          </w:p>
        </w:tc>
      </w:tr>
      <w:tr w:rsidR="005F78FC" w:rsidTr="005F78FC">
        <w:tc>
          <w:tcPr>
            <w:tcW w:w="0" w:type="auto"/>
            <w:vAlign w:val="center"/>
          </w:tcPr>
          <w:p w:rsidR="005F78FC" w:rsidRDefault="00B42EF3">
            <w:pPr>
              <w:pStyle w:val="TableBodyText"/>
            </w:pPr>
            <w:r>
              <w:t>DrawMenuTextShape</w:t>
            </w:r>
          </w:p>
        </w:tc>
        <w:tc>
          <w:tcPr>
            <w:tcW w:w="0" w:type="auto"/>
            <w:vAlign w:val="center"/>
          </w:tcPr>
          <w:p w:rsidR="005F78FC" w:rsidRDefault="00B42EF3">
            <w:pPr>
              <w:pStyle w:val="TableBodyText"/>
            </w:pPr>
            <w:r>
              <w:t>1672</w:t>
            </w:r>
          </w:p>
        </w:tc>
      </w:tr>
      <w:tr w:rsidR="005F78FC" w:rsidTr="005F78FC">
        <w:tc>
          <w:tcPr>
            <w:tcW w:w="0" w:type="auto"/>
            <w:vAlign w:val="center"/>
          </w:tcPr>
          <w:p w:rsidR="005F78FC" w:rsidRDefault="00B42EF3">
            <w:pPr>
              <w:pStyle w:val="TableBodyText"/>
            </w:pPr>
            <w:r>
              <w:t>DrawMenuTextTracking</w:t>
            </w:r>
          </w:p>
        </w:tc>
        <w:tc>
          <w:tcPr>
            <w:tcW w:w="0" w:type="auto"/>
            <w:vAlign w:val="center"/>
          </w:tcPr>
          <w:p w:rsidR="005F78FC" w:rsidRDefault="00B42EF3">
            <w:pPr>
              <w:pStyle w:val="TableBodyText"/>
            </w:pPr>
            <w:r>
              <w:t>1674</w:t>
            </w:r>
          </w:p>
        </w:tc>
      </w:tr>
      <w:tr w:rsidR="005F78FC" w:rsidTr="005F78FC">
        <w:tc>
          <w:tcPr>
            <w:tcW w:w="0" w:type="auto"/>
            <w:vAlign w:val="center"/>
          </w:tcPr>
          <w:p w:rsidR="005F78FC" w:rsidRDefault="00B42EF3">
            <w:pPr>
              <w:pStyle w:val="TableBodyText"/>
            </w:pPr>
            <w:r>
              <w:t>DrawMenuTextWrapping</w:t>
            </w:r>
          </w:p>
        </w:tc>
        <w:tc>
          <w:tcPr>
            <w:tcW w:w="0" w:type="auto"/>
            <w:vAlign w:val="center"/>
          </w:tcPr>
          <w:p w:rsidR="005F78FC" w:rsidRDefault="00B42EF3">
            <w:pPr>
              <w:pStyle w:val="TableBodyText"/>
            </w:pPr>
            <w:r>
              <w:t>1656</w:t>
            </w:r>
          </w:p>
        </w:tc>
      </w:tr>
      <w:tr w:rsidR="005F78FC" w:rsidTr="005F78FC">
        <w:tc>
          <w:tcPr>
            <w:tcW w:w="0" w:type="auto"/>
            <w:vAlign w:val="center"/>
          </w:tcPr>
          <w:p w:rsidR="005F78FC" w:rsidRDefault="00B42EF3">
            <w:pPr>
              <w:pStyle w:val="TableBodyText"/>
            </w:pPr>
            <w:r>
              <w:t>DrawNudgeDown</w:t>
            </w:r>
          </w:p>
        </w:tc>
        <w:tc>
          <w:tcPr>
            <w:tcW w:w="0" w:type="auto"/>
            <w:vAlign w:val="center"/>
          </w:tcPr>
          <w:p w:rsidR="005F78FC" w:rsidRDefault="00B42EF3">
            <w:pPr>
              <w:pStyle w:val="TableBodyText"/>
            </w:pPr>
            <w:r>
              <w:t>029F</w:t>
            </w:r>
          </w:p>
        </w:tc>
      </w:tr>
      <w:tr w:rsidR="005F78FC" w:rsidTr="005F78FC">
        <w:tc>
          <w:tcPr>
            <w:tcW w:w="0" w:type="auto"/>
            <w:vAlign w:val="center"/>
          </w:tcPr>
          <w:p w:rsidR="005F78FC" w:rsidRDefault="00B42EF3">
            <w:pPr>
              <w:pStyle w:val="TableBodyText"/>
            </w:pPr>
            <w:r>
              <w:t>DrawNudgeDownPixel</w:t>
            </w:r>
          </w:p>
        </w:tc>
        <w:tc>
          <w:tcPr>
            <w:tcW w:w="0" w:type="auto"/>
            <w:vAlign w:val="center"/>
          </w:tcPr>
          <w:p w:rsidR="005F78FC" w:rsidRDefault="00B42EF3">
            <w:pPr>
              <w:pStyle w:val="TableBodyText"/>
            </w:pPr>
            <w:r>
              <w:t>02BD</w:t>
            </w:r>
          </w:p>
        </w:tc>
      </w:tr>
      <w:tr w:rsidR="005F78FC" w:rsidTr="005F78FC">
        <w:tc>
          <w:tcPr>
            <w:tcW w:w="0" w:type="auto"/>
            <w:vAlign w:val="center"/>
          </w:tcPr>
          <w:p w:rsidR="005F78FC" w:rsidRDefault="00B42EF3">
            <w:pPr>
              <w:pStyle w:val="TableBodyText"/>
            </w:pPr>
            <w:r>
              <w:t>DrawNudgeLeft</w:t>
            </w:r>
          </w:p>
        </w:tc>
        <w:tc>
          <w:tcPr>
            <w:tcW w:w="0" w:type="auto"/>
            <w:vAlign w:val="center"/>
          </w:tcPr>
          <w:p w:rsidR="005F78FC" w:rsidRDefault="00B42EF3">
            <w:pPr>
              <w:pStyle w:val="TableBodyText"/>
            </w:pPr>
            <w:r>
              <w:t>02A0</w:t>
            </w:r>
          </w:p>
        </w:tc>
      </w:tr>
      <w:tr w:rsidR="005F78FC" w:rsidTr="005F78FC">
        <w:tc>
          <w:tcPr>
            <w:tcW w:w="0" w:type="auto"/>
            <w:vAlign w:val="center"/>
          </w:tcPr>
          <w:p w:rsidR="005F78FC" w:rsidRDefault="00B42EF3">
            <w:pPr>
              <w:pStyle w:val="TableBodyText"/>
            </w:pPr>
            <w:r>
              <w:t>DrawNudgeLeftPixel</w:t>
            </w:r>
          </w:p>
        </w:tc>
        <w:tc>
          <w:tcPr>
            <w:tcW w:w="0" w:type="auto"/>
            <w:vAlign w:val="center"/>
          </w:tcPr>
          <w:p w:rsidR="005F78FC" w:rsidRDefault="00B42EF3">
            <w:pPr>
              <w:pStyle w:val="TableBodyText"/>
            </w:pPr>
            <w:r>
              <w:t>02BE</w:t>
            </w:r>
          </w:p>
        </w:tc>
      </w:tr>
      <w:tr w:rsidR="005F78FC" w:rsidTr="005F78FC">
        <w:tc>
          <w:tcPr>
            <w:tcW w:w="0" w:type="auto"/>
            <w:vAlign w:val="center"/>
          </w:tcPr>
          <w:p w:rsidR="005F78FC" w:rsidRDefault="00B42EF3">
            <w:pPr>
              <w:pStyle w:val="TableBodyText"/>
            </w:pPr>
            <w:r>
              <w:t>DrawNudgeRight</w:t>
            </w:r>
          </w:p>
        </w:tc>
        <w:tc>
          <w:tcPr>
            <w:tcW w:w="0" w:type="auto"/>
            <w:vAlign w:val="center"/>
          </w:tcPr>
          <w:p w:rsidR="005F78FC" w:rsidRDefault="00B42EF3">
            <w:pPr>
              <w:pStyle w:val="TableBodyText"/>
            </w:pPr>
            <w:r>
              <w:t>02A1</w:t>
            </w:r>
          </w:p>
        </w:tc>
      </w:tr>
      <w:tr w:rsidR="005F78FC" w:rsidTr="005F78FC">
        <w:tc>
          <w:tcPr>
            <w:tcW w:w="0" w:type="auto"/>
            <w:vAlign w:val="center"/>
          </w:tcPr>
          <w:p w:rsidR="005F78FC" w:rsidRDefault="00B42EF3">
            <w:pPr>
              <w:pStyle w:val="TableBodyText"/>
            </w:pPr>
            <w:r>
              <w:t>DrawNudgeRightPixel</w:t>
            </w:r>
          </w:p>
        </w:tc>
        <w:tc>
          <w:tcPr>
            <w:tcW w:w="0" w:type="auto"/>
            <w:vAlign w:val="center"/>
          </w:tcPr>
          <w:p w:rsidR="005F78FC" w:rsidRDefault="00B42EF3">
            <w:pPr>
              <w:pStyle w:val="TableBodyText"/>
            </w:pPr>
            <w:r>
              <w:t>02BF</w:t>
            </w:r>
          </w:p>
        </w:tc>
      </w:tr>
      <w:tr w:rsidR="005F78FC" w:rsidTr="005F78FC">
        <w:tc>
          <w:tcPr>
            <w:tcW w:w="0" w:type="auto"/>
            <w:vAlign w:val="center"/>
          </w:tcPr>
          <w:p w:rsidR="005F78FC" w:rsidRDefault="00B42EF3">
            <w:pPr>
              <w:pStyle w:val="TableBodyText"/>
            </w:pPr>
            <w:r>
              <w:t>DrawNudgeUp</w:t>
            </w:r>
          </w:p>
        </w:tc>
        <w:tc>
          <w:tcPr>
            <w:tcW w:w="0" w:type="auto"/>
            <w:vAlign w:val="center"/>
          </w:tcPr>
          <w:p w:rsidR="005F78FC" w:rsidRDefault="00B42EF3">
            <w:pPr>
              <w:pStyle w:val="TableBodyText"/>
            </w:pPr>
            <w:r>
              <w:t>029E</w:t>
            </w:r>
          </w:p>
        </w:tc>
      </w:tr>
      <w:tr w:rsidR="005F78FC" w:rsidTr="005F78FC">
        <w:tc>
          <w:tcPr>
            <w:tcW w:w="0" w:type="auto"/>
            <w:vAlign w:val="center"/>
          </w:tcPr>
          <w:p w:rsidR="005F78FC" w:rsidRDefault="00B42EF3">
            <w:pPr>
              <w:pStyle w:val="TableBodyText"/>
            </w:pPr>
            <w:r>
              <w:t>DrawNudgeUpPixel</w:t>
            </w:r>
          </w:p>
        </w:tc>
        <w:tc>
          <w:tcPr>
            <w:tcW w:w="0" w:type="auto"/>
            <w:vAlign w:val="center"/>
          </w:tcPr>
          <w:p w:rsidR="005F78FC" w:rsidRDefault="00B42EF3">
            <w:pPr>
              <w:pStyle w:val="TableBodyText"/>
            </w:pPr>
            <w:r>
              <w:t>02BC</w:t>
            </w:r>
          </w:p>
        </w:tc>
      </w:tr>
      <w:tr w:rsidR="005F78FC" w:rsidTr="005F78FC">
        <w:tc>
          <w:tcPr>
            <w:tcW w:w="0" w:type="auto"/>
            <w:vAlign w:val="center"/>
          </w:tcPr>
          <w:p w:rsidR="005F78FC" w:rsidRDefault="00B42EF3">
            <w:pPr>
              <w:pStyle w:val="TableBodyText"/>
            </w:pPr>
            <w:r>
              <w:lastRenderedPageBreak/>
              <w:t>DrawRectangle</w:t>
            </w:r>
          </w:p>
        </w:tc>
        <w:tc>
          <w:tcPr>
            <w:tcW w:w="0" w:type="auto"/>
            <w:vAlign w:val="center"/>
          </w:tcPr>
          <w:p w:rsidR="005F78FC" w:rsidRDefault="00B42EF3">
            <w:pPr>
              <w:pStyle w:val="TableBodyText"/>
            </w:pPr>
            <w:r>
              <w:t>0179</w:t>
            </w:r>
          </w:p>
        </w:tc>
      </w:tr>
      <w:tr w:rsidR="005F78FC" w:rsidTr="005F78FC">
        <w:tc>
          <w:tcPr>
            <w:tcW w:w="0" w:type="auto"/>
            <w:vAlign w:val="center"/>
          </w:tcPr>
          <w:p w:rsidR="005F78FC" w:rsidRDefault="00B42EF3">
            <w:pPr>
              <w:pStyle w:val="TableBodyText"/>
            </w:pPr>
            <w:r>
              <w:t>DrawResetWordPicture</w:t>
            </w:r>
          </w:p>
        </w:tc>
        <w:tc>
          <w:tcPr>
            <w:tcW w:w="0" w:type="auto"/>
            <w:vAlign w:val="center"/>
          </w:tcPr>
          <w:p w:rsidR="005F78FC" w:rsidRDefault="00B42EF3">
            <w:pPr>
              <w:pStyle w:val="TableBodyText"/>
            </w:pPr>
            <w:r>
              <w:t>02B8</w:t>
            </w:r>
          </w:p>
        </w:tc>
      </w:tr>
      <w:tr w:rsidR="005F78FC" w:rsidTr="005F78FC">
        <w:tc>
          <w:tcPr>
            <w:tcW w:w="0" w:type="auto"/>
            <w:vAlign w:val="center"/>
          </w:tcPr>
          <w:p w:rsidR="005F78FC" w:rsidRDefault="00B42EF3">
            <w:pPr>
              <w:pStyle w:val="TableBodyText"/>
            </w:pPr>
            <w:r>
              <w:t>DrawReshape</w:t>
            </w:r>
          </w:p>
        </w:tc>
        <w:tc>
          <w:tcPr>
            <w:tcW w:w="0" w:type="auto"/>
            <w:vAlign w:val="center"/>
          </w:tcPr>
          <w:p w:rsidR="005F78FC" w:rsidRDefault="00B42EF3">
            <w:pPr>
              <w:pStyle w:val="TableBodyText"/>
            </w:pPr>
            <w:r>
              <w:t>0260</w:t>
            </w:r>
          </w:p>
        </w:tc>
      </w:tr>
      <w:tr w:rsidR="005F78FC" w:rsidTr="005F78FC">
        <w:tc>
          <w:tcPr>
            <w:tcW w:w="0" w:type="auto"/>
            <w:vAlign w:val="center"/>
          </w:tcPr>
          <w:p w:rsidR="005F78FC" w:rsidRDefault="00B42EF3">
            <w:pPr>
              <w:pStyle w:val="TableBodyText"/>
            </w:pPr>
            <w:r>
              <w:t>DrawRotateLeft</w:t>
            </w:r>
          </w:p>
        </w:tc>
        <w:tc>
          <w:tcPr>
            <w:tcW w:w="0" w:type="auto"/>
            <w:vAlign w:val="center"/>
          </w:tcPr>
          <w:p w:rsidR="005F78FC" w:rsidRDefault="00B42EF3">
            <w:pPr>
              <w:pStyle w:val="TableBodyText"/>
            </w:pPr>
            <w:r>
              <w:t>0232</w:t>
            </w:r>
          </w:p>
        </w:tc>
      </w:tr>
      <w:tr w:rsidR="005F78FC" w:rsidTr="005F78FC">
        <w:tc>
          <w:tcPr>
            <w:tcW w:w="0" w:type="auto"/>
            <w:vAlign w:val="center"/>
          </w:tcPr>
          <w:p w:rsidR="005F78FC" w:rsidRDefault="00B42EF3">
            <w:pPr>
              <w:pStyle w:val="TableBodyText"/>
            </w:pPr>
            <w:r>
              <w:t>DrawRotateRight</w:t>
            </w:r>
          </w:p>
        </w:tc>
        <w:tc>
          <w:tcPr>
            <w:tcW w:w="0" w:type="auto"/>
            <w:vAlign w:val="center"/>
          </w:tcPr>
          <w:p w:rsidR="005F78FC" w:rsidRDefault="00B42EF3">
            <w:pPr>
              <w:pStyle w:val="TableBodyText"/>
            </w:pPr>
            <w:r>
              <w:t>0231</w:t>
            </w:r>
          </w:p>
        </w:tc>
      </w:tr>
      <w:tr w:rsidR="005F78FC" w:rsidTr="005F78FC">
        <w:tc>
          <w:tcPr>
            <w:tcW w:w="0" w:type="auto"/>
            <w:vAlign w:val="center"/>
          </w:tcPr>
          <w:p w:rsidR="005F78FC" w:rsidRDefault="00B42EF3">
            <w:pPr>
              <w:pStyle w:val="TableBodyText"/>
            </w:pPr>
            <w:r>
              <w:t>DrawRoundRectangle</w:t>
            </w:r>
          </w:p>
        </w:tc>
        <w:tc>
          <w:tcPr>
            <w:tcW w:w="0" w:type="auto"/>
            <w:vAlign w:val="center"/>
          </w:tcPr>
          <w:p w:rsidR="005F78FC" w:rsidRDefault="00B42EF3">
            <w:pPr>
              <w:pStyle w:val="TableBodyText"/>
            </w:pPr>
            <w:r>
              <w:t>0219</w:t>
            </w:r>
          </w:p>
        </w:tc>
      </w:tr>
      <w:tr w:rsidR="005F78FC" w:rsidTr="005F78FC">
        <w:tc>
          <w:tcPr>
            <w:tcW w:w="0" w:type="auto"/>
            <w:vAlign w:val="center"/>
          </w:tcPr>
          <w:p w:rsidR="005F78FC" w:rsidRDefault="00B42EF3">
            <w:pPr>
              <w:pStyle w:val="TableBodyText"/>
            </w:pPr>
            <w:r>
              <w:t>DrawSelectNext</w:t>
            </w:r>
          </w:p>
        </w:tc>
        <w:tc>
          <w:tcPr>
            <w:tcW w:w="0" w:type="auto"/>
            <w:vAlign w:val="center"/>
          </w:tcPr>
          <w:p w:rsidR="005F78FC" w:rsidRDefault="00B42EF3">
            <w:pPr>
              <w:pStyle w:val="TableBodyText"/>
            </w:pPr>
            <w:r>
              <w:t>02C5</w:t>
            </w:r>
          </w:p>
        </w:tc>
      </w:tr>
      <w:tr w:rsidR="005F78FC" w:rsidTr="005F78FC">
        <w:tc>
          <w:tcPr>
            <w:tcW w:w="0" w:type="auto"/>
            <w:vAlign w:val="center"/>
          </w:tcPr>
          <w:p w:rsidR="005F78FC" w:rsidRDefault="00B42EF3">
            <w:pPr>
              <w:pStyle w:val="TableBodyText"/>
            </w:pPr>
            <w:r>
              <w:t>DrawSelectPrevious</w:t>
            </w:r>
          </w:p>
        </w:tc>
        <w:tc>
          <w:tcPr>
            <w:tcW w:w="0" w:type="auto"/>
            <w:vAlign w:val="center"/>
          </w:tcPr>
          <w:p w:rsidR="005F78FC" w:rsidRDefault="00B42EF3">
            <w:pPr>
              <w:pStyle w:val="TableBodyText"/>
            </w:pPr>
            <w:r>
              <w:t>02C6</w:t>
            </w:r>
          </w:p>
        </w:tc>
      </w:tr>
      <w:tr w:rsidR="005F78FC" w:rsidTr="005F78FC">
        <w:tc>
          <w:tcPr>
            <w:tcW w:w="0" w:type="auto"/>
            <w:vAlign w:val="center"/>
          </w:tcPr>
          <w:p w:rsidR="005F78FC" w:rsidRDefault="00B42EF3">
            <w:pPr>
              <w:pStyle w:val="TableBodyText"/>
            </w:pPr>
            <w:r>
              <w:t>DrawSendBackward</w:t>
            </w:r>
          </w:p>
        </w:tc>
        <w:tc>
          <w:tcPr>
            <w:tcW w:w="0" w:type="auto"/>
            <w:vAlign w:val="center"/>
          </w:tcPr>
          <w:p w:rsidR="005F78FC" w:rsidRDefault="00B42EF3">
            <w:pPr>
              <w:pStyle w:val="TableBodyText"/>
            </w:pPr>
            <w:r>
              <w:t>01F5</w:t>
            </w:r>
          </w:p>
        </w:tc>
      </w:tr>
      <w:tr w:rsidR="005F78FC" w:rsidTr="005F78FC">
        <w:tc>
          <w:tcPr>
            <w:tcW w:w="0" w:type="auto"/>
            <w:vAlign w:val="center"/>
          </w:tcPr>
          <w:p w:rsidR="005F78FC" w:rsidRDefault="00B42EF3">
            <w:pPr>
              <w:pStyle w:val="TableBodyText"/>
            </w:pPr>
            <w:r>
              <w:t>DrawSendBehindText</w:t>
            </w:r>
          </w:p>
        </w:tc>
        <w:tc>
          <w:tcPr>
            <w:tcW w:w="0" w:type="auto"/>
            <w:vAlign w:val="center"/>
          </w:tcPr>
          <w:p w:rsidR="005F78FC" w:rsidRDefault="00B42EF3">
            <w:pPr>
              <w:pStyle w:val="TableBodyText"/>
            </w:pPr>
            <w:r>
              <w:t>01D4</w:t>
            </w:r>
          </w:p>
        </w:tc>
      </w:tr>
      <w:tr w:rsidR="005F78FC" w:rsidTr="005F78FC">
        <w:tc>
          <w:tcPr>
            <w:tcW w:w="0" w:type="auto"/>
            <w:vAlign w:val="center"/>
          </w:tcPr>
          <w:p w:rsidR="005F78FC" w:rsidRDefault="00B42EF3">
            <w:pPr>
              <w:pStyle w:val="TableBodyText"/>
            </w:pPr>
            <w:r>
              <w:t>DrawSendToBack</w:t>
            </w:r>
          </w:p>
        </w:tc>
        <w:tc>
          <w:tcPr>
            <w:tcW w:w="0" w:type="auto"/>
            <w:vAlign w:val="center"/>
          </w:tcPr>
          <w:p w:rsidR="005F78FC" w:rsidRDefault="00B42EF3">
            <w:pPr>
              <w:pStyle w:val="TableBodyText"/>
            </w:pPr>
            <w:r>
              <w:t>01D3</w:t>
            </w:r>
          </w:p>
        </w:tc>
      </w:tr>
      <w:tr w:rsidR="005F78FC" w:rsidTr="005F78FC">
        <w:tc>
          <w:tcPr>
            <w:tcW w:w="0" w:type="auto"/>
            <w:vAlign w:val="center"/>
          </w:tcPr>
          <w:p w:rsidR="005F78FC" w:rsidRDefault="00B42EF3">
            <w:pPr>
              <w:pStyle w:val="TableBodyText"/>
            </w:pPr>
            <w:r>
              <w:t>DrawSnapToGrid</w:t>
            </w:r>
          </w:p>
        </w:tc>
        <w:tc>
          <w:tcPr>
            <w:tcW w:w="0" w:type="auto"/>
            <w:vAlign w:val="center"/>
          </w:tcPr>
          <w:p w:rsidR="005F78FC" w:rsidRDefault="00B42EF3">
            <w:pPr>
              <w:pStyle w:val="TableBodyText"/>
            </w:pPr>
            <w:r>
              <w:t>0279</w:t>
            </w:r>
          </w:p>
        </w:tc>
      </w:tr>
      <w:tr w:rsidR="005F78FC" w:rsidTr="005F78FC">
        <w:tc>
          <w:tcPr>
            <w:tcW w:w="0" w:type="auto"/>
            <w:vAlign w:val="center"/>
          </w:tcPr>
          <w:p w:rsidR="005F78FC" w:rsidRDefault="00B42EF3">
            <w:pPr>
              <w:pStyle w:val="TableBodyText"/>
            </w:pPr>
            <w:r>
              <w:t>DrawTextBox</w:t>
            </w:r>
          </w:p>
        </w:tc>
        <w:tc>
          <w:tcPr>
            <w:tcW w:w="0" w:type="auto"/>
            <w:vAlign w:val="center"/>
          </w:tcPr>
          <w:p w:rsidR="005F78FC" w:rsidRDefault="00B42EF3">
            <w:pPr>
              <w:pStyle w:val="TableBodyText"/>
            </w:pPr>
            <w:r>
              <w:t>03B3</w:t>
            </w:r>
          </w:p>
        </w:tc>
      </w:tr>
      <w:tr w:rsidR="005F78FC" w:rsidTr="005F78FC">
        <w:tc>
          <w:tcPr>
            <w:tcW w:w="0" w:type="auto"/>
            <w:vAlign w:val="center"/>
          </w:tcPr>
          <w:p w:rsidR="005F78FC" w:rsidRDefault="00B42EF3">
            <w:pPr>
              <w:pStyle w:val="TableBodyText"/>
            </w:pPr>
            <w:r>
              <w:t>DrawTextBox2</w:t>
            </w:r>
          </w:p>
        </w:tc>
        <w:tc>
          <w:tcPr>
            <w:tcW w:w="0" w:type="auto"/>
            <w:vAlign w:val="center"/>
          </w:tcPr>
          <w:p w:rsidR="005F78FC" w:rsidRDefault="00B42EF3">
            <w:pPr>
              <w:pStyle w:val="TableBodyText"/>
            </w:pPr>
            <w:r>
              <w:t>0959</w:t>
            </w:r>
          </w:p>
        </w:tc>
      </w:tr>
      <w:tr w:rsidR="005F78FC" w:rsidTr="005F78FC">
        <w:tc>
          <w:tcPr>
            <w:tcW w:w="0" w:type="auto"/>
            <w:vAlign w:val="center"/>
          </w:tcPr>
          <w:p w:rsidR="005F78FC" w:rsidRDefault="00B42EF3">
            <w:pPr>
              <w:pStyle w:val="TableBodyText"/>
            </w:pPr>
            <w:r>
              <w:t>DrawToggleLayer</w:t>
            </w:r>
          </w:p>
        </w:tc>
        <w:tc>
          <w:tcPr>
            <w:tcW w:w="0" w:type="auto"/>
            <w:vAlign w:val="center"/>
          </w:tcPr>
          <w:p w:rsidR="005F78FC" w:rsidRDefault="00B42EF3">
            <w:pPr>
              <w:pStyle w:val="TableBodyText"/>
            </w:pPr>
            <w:r>
              <w:t>022C</w:t>
            </w:r>
          </w:p>
        </w:tc>
      </w:tr>
      <w:tr w:rsidR="005F78FC" w:rsidTr="005F78FC">
        <w:tc>
          <w:tcPr>
            <w:tcW w:w="0" w:type="auto"/>
            <w:vAlign w:val="center"/>
          </w:tcPr>
          <w:p w:rsidR="005F78FC" w:rsidRDefault="00B42EF3">
            <w:pPr>
              <w:pStyle w:val="TableBodyText"/>
            </w:pPr>
            <w:r>
              <w:t>DrawUngroup</w:t>
            </w:r>
          </w:p>
        </w:tc>
        <w:tc>
          <w:tcPr>
            <w:tcW w:w="0" w:type="auto"/>
            <w:vAlign w:val="center"/>
          </w:tcPr>
          <w:p w:rsidR="005F78FC" w:rsidRDefault="00B42EF3">
            <w:pPr>
              <w:pStyle w:val="TableBodyText"/>
            </w:pPr>
            <w:r>
              <w:t>01E5</w:t>
            </w:r>
          </w:p>
        </w:tc>
      </w:tr>
      <w:tr w:rsidR="005F78FC" w:rsidTr="005F78FC">
        <w:tc>
          <w:tcPr>
            <w:tcW w:w="0" w:type="auto"/>
            <w:vAlign w:val="center"/>
          </w:tcPr>
          <w:p w:rsidR="005F78FC" w:rsidRDefault="00B42EF3">
            <w:pPr>
              <w:pStyle w:val="TableBodyText"/>
            </w:pPr>
            <w:r>
              <w:t>DrawUnselect</w:t>
            </w:r>
          </w:p>
        </w:tc>
        <w:tc>
          <w:tcPr>
            <w:tcW w:w="0" w:type="auto"/>
            <w:vAlign w:val="center"/>
          </w:tcPr>
          <w:p w:rsidR="005F78FC" w:rsidRDefault="00B42EF3">
            <w:pPr>
              <w:pStyle w:val="TableBodyText"/>
            </w:pPr>
            <w:r>
              <w:t>02C4</w:t>
            </w:r>
          </w:p>
        </w:tc>
      </w:tr>
      <w:tr w:rsidR="005F78FC" w:rsidTr="005F78FC">
        <w:tc>
          <w:tcPr>
            <w:tcW w:w="0" w:type="auto"/>
            <w:vAlign w:val="center"/>
          </w:tcPr>
          <w:p w:rsidR="005F78FC" w:rsidRDefault="00B42EF3">
            <w:pPr>
              <w:pStyle w:val="TableBodyText"/>
            </w:pPr>
            <w:r>
              <w:t>DrawVerticalTextBox</w:t>
            </w:r>
          </w:p>
        </w:tc>
        <w:tc>
          <w:tcPr>
            <w:tcW w:w="0" w:type="auto"/>
            <w:vAlign w:val="center"/>
          </w:tcPr>
          <w:p w:rsidR="005F78FC" w:rsidRDefault="00B42EF3">
            <w:pPr>
              <w:pStyle w:val="TableBodyText"/>
            </w:pPr>
            <w:r>
              <w:t>03E4</w:t>
            </w:r>
          </w:p>
        </w:tc>
      </w:tr>
      <w:tr w:rsidR="005F78FC" w:rsidTr="005F78FC">
        <w:tc>
          <w:tcPr>
            <w:tcW w:w="0" w:type="auto"/>
            <w:vAlign w:val="center"/>
          </w:tcPr>
          <w:p w:rsidR="005F78FC" w:rsidRDefault="00B42EF3">
            <w:pPr>
              <w:pStyle w:val="TableBodyText"/>
            </w:pPr>
            <w:r>
              <w:t>DrawVerticalTextBox2</w:t>
            </w:r>
          </w:p>
        </w:tc>
        <w:tc>
          <w:tcPr>
            <w:tcW w:w="0" w:type="auto"/>
            <w:vAlign w:val="center"/>
          </w:tcPr>
          <w:p w:rsidR="005F78FC" w:rsidRDefault="00B42EF3">
            <w:pPr>
              <w:pStyle w:val="TableBodyText"/>
            </w:pPr>
            <w:r>
              <w:t>094C</w:t>
            </w:r>
          </w:p>
        </w:tc>
      </w:tr>
      <w:tr w:rsidR="005F78FC" w:rsidTr="005F78FC">
        <w:tc>
          <w:tcPr>
            <w:tcW w:w="0" w:type="auto"/>
            <w:vAlign w:val="center"/>
          </w:tcPr>
          <w:p w:rsidR="005F78FC" w:rsidRDefault="00B42EF3">
            <w:pPr>
              <w:pStyle w:val="TableBodyText"/>
            </w:pPr>
            <w:r>
              <w:t>DrawingAdvancedLayout</w:t>
            </w:r>
          </w:p>
        </w:tc>
        <w:tc>
          <w:tcPr>
            <w:tcW w:w="0" w:type="auto"/>
            <w:vAlign w:val="center"/>
          </w:tcPr>
          <w:p w:rsidR="005F78FC" w:rsidRDefault="00B42EF3">
            <w:pPr>
              <w:pStyle w:val="TableBodyText"/>
            </w:pPr>
            <w:r>
              <w:t>0901</w:t>
            </w:r>
          </w:p>
        </w:tc>
      </w:tr>
      <w:tr w:rsidR="005F78FC" w:rsidTr="005F78FC">
        <w:tc>
          <w:tcPr>
            <w:tcW w:w="0" w:type="auto"/>
            <w:vAlign w:val="center"/>
          </w:tcPr>
          <w:p w:rsidR="005F78FC" w:rsidRDefault="00B42EF3">
            <w:pPr>
              <w:pStyle w:val="TableBodyText"/>
            </w:pPr>
            <w:r>
              <w:t>DrawingGrid</w:t>
            </w:r>
          </w:p>
        </w:tc>
        <w:tc>
          <w:tcPr>
            <w:tcW w:w="0" w:type="auto"/>
            <w:vAlign w:val="center"/>
          </w:tcPr>
          <w:p w:rsidR="005F78FC" w:rsidRDefault="00B42EF3">
            <w:pPr>
              <w:pStyle w:val="TableBodyText"/>
            </w:pPr>
            <w:r>
              <w:t>0490</w:t>
            </w:r>
          </w:p>
        </w:tc>
      </w:tr>
      <w:tr w:rsidR="005F78FC" w:rsidTr="005F78FC">
        <w:tc>
          <w:tcPr>
            <w:tcW w:w="0" w:type="auto"/>
            <w:vAlign w:val="center"/>
          </w:tcPr>
          <w:p w:rsidR="005F78FC" w:rsidRDefault="00B42EF3">
            <w:pPr>
              <w:pStyle w:val="TableBodyText"/>
            </w:pPr>
            <w:r>
              <w:t>DropCapGallery</w:t>
            </w:r>
          </w:p>
        </w:tc>
        <w:tc>
          <w:tcPr>
            <w:tcW w:w="0" w:type="auto"/>
            <w:vAlign w:val="center"/>
          </w:tcPr>
          <w:p w:rsidR="005F78FC" w:rsidRDefault="00B42EF3">
            <w:pPr>
              <w:pStyle w:val="TableBodyText"/>
            </w:pPr>
            <w:r>
              <w:t>0799</w:t>
            </w:r>
          </w:p>
        </w:tc>
      </w:tr>
      <w:tr w:rsidR="005F78FC" w:rsidTr="005F78FC">
        <w:tc>
          <w:tcPr>
            <w:tcW w:w="0" w:type="auto"/>
            <w:vAlign w:val="center"/>
          </w:tcPr>
          <w:p w:rsidR="005F78FC" w:rsidRDefault="00B42EF3">
            <w:pPr>
              <w:pStyle w:val="TableBodyText"/>
            </w:pPr>
            <w:r>
              <w:t>DropDownFormField</w:t>
            </w:r>
          </w:p>
        </w:tc>
        <w:tc>
          <w:tcPr>
            <w:tcW w:w="0" w:type="auto"/>
            <w:vAlign w:val="center"/>
          </w:tcPr>
          <w:p w:rsidR="005F78FC" w:rsidRDefault="00B42EF3">
            <w:pPr>
              <w:pStyle w:val="TableBodyText"/>
            </w:pPr>
            <w:r>
              <w:t>015F</w:t>
            </w:r>
          </w:p>
        </w:tc>
      </w:tr>
      <w:tr w:rsidR="005F78FC" w:rsidTr="005F78FC">
        <w:tc>
          <w:tcPr>
            <w:tcW w:w="0" w:type="auto"/>
            <w:vAlign w:val="center"/>
          </w:tcPr>
          <w:p w:rsidR="005F78FC" w:rsidRDefault="00B42EF3">
            <w:pPr>
              <w:pStyle w:val="TableBodyText"/>
            </w:pPr>
            <w:r>
              <w:t>EATextBoxMenu</w:t>
            </w:r>
          </w:p>
        </w:tc>
        <w:tc>
          <w:tcPr>
            <w:tcW w:w="0" w:type="auto"/>
            <w:vAlign w:val="center"/>
          </w:tcPr>
          <w:p w:rsidR="005F78FC" w:rsidRDefault="00B42EF3">
            <w:pPr>
              <w:pStyle w:val="TableBodyText"/>
            </w:pPr>
            <w:r>
              <w:t>0958</w:t>
            </w:r>
          </w:p>
        </w:tc>
      </w:tr>
      <w:tr w:rsidR="005F78FC" w:rsidTr="005F78FC">
        <w:tc>
          <w:tcPr>
            <w:tcW w:w="0" w:type="auto"/>
            <w:vAlign w:val="center"/>
          </w:tcPr>
          <w:p w:rsidR="005F78FC" w:rsidRDefault="00B42EF3">
            <w:pPr>
              <w:pStyle w:val="TableBodyText"/>
            </w:pPr>
            <w:r>
              <w:t>EditAutoText</w:t>
            </w:r>
          </w:p>
        </w:tc>
        <w:tc>
          <w:tcPr>
            <w:tcW w:w="0" w:type="auto"/>
            <w:vAlign w:val="center"/>
          </w:tcPr>
          <w:p w:rsidR="005F78FC" w:rsidRDefault="00B42EF3">
            <w:pPr>
              <w:pStyle w:val="TableBodyText"/>
            </w:pPr>
            <w:r>
              <w:t>03D9</w:t>
            </w:r>
          </w:p>
        </w:tc>
      </w:tr>
      <w:tr w:rsidR="005F78FC" w:rsidTr="005F78FC">
        <w:tc>
          <w:tcPr>
            <w:tcW w:w="0" w:type="auto"/>
            <w:vAlign w:val="center"/>
          </w:tcPr>
          <w:p w:rsidR="005F78FC" w:rsidRDefault="00B42EF3">
            <w:pPr>
              <w:pStyle w:val="TableBodyText"/>
            </w:pPr>
            <w:r>
              <w:t>EditBookmark</w:t>
            </w:r>
          </w:p>
        </w:tc>
        <w:tc>
          <w:tcPr>
            <w:tcW w:w="0" w:type="auto"/>
            <w:vAlign w:val="center"/>
          </w:tcPr>
          <w:p w:rsidR="005F78FC" w:rsidRDefault="00B42EF3">
            <w:pPr>
              <w:pStyle w:val="TableBodyText"/>
            </w:pPr>
            <w:r>
              <w:t>00A8</w:t>
            </w:r>
          </w:p>
        </w:tc>
      </w:tr>
      <w:tr w:rsidR="005F78FC" w:rsidTr="005F78FC">
        <w:tc>
          <w:tcPr>
            <w:tcW w:w="0" w:type="auto"/>
            <w:vAlign w:val="center"/>
          </w:tcPr>
          <w:p w:rsidR="005F78FC" w:rsidRDefault="00B42EF3">
            <w:pPr>
              <w:pStyle w:val="TableBodyText"/>
            </w:pPr>
            <w:r>
              <w:t>EditButtonImage</w:t>
            </w:r>
          </w:p>
        </w:tc>
        <w:tc>
          <w:tcPr>
            <w:tcW w:w="0" w:type="auto"/>
            <w:vAlign w:val="center"/>
          </w:tcPr>
          <w:p w:rsidR="005F78FC" w:rsidRDefault="00B42EF3">
            <w:pPr>
              <w:pStyle w:val="TableBodyText"/>
            </w:pPr>
            <w:r>
              <w:t>0266</w:t>
            </w:r>
          </w:p>
        </w:tc>
      </w:tr>
      <w:tr w:rsidR="005F78FC" w:rsidTr="005F78FC">
        <w:tc>
          <w:tcPr>
            <w:tcW w:w="0" w:type="auto"/>
            <w:vAlign w:val="center"/>
          </w:tcPr>
          <w:p w:rsidR="005F78FC" w:rsidRDefault="00B42EF3">
            <w:pPr>
              <w:pStyle w:val="TableBodyText"/>
            </w:pPr>
            <w:r>
              <w:t>EditCitation</w:t>
            </w:r>
          </w:p>
        </w:tc>
        <w:tc>
          <w:tcPr>
            <w:tcW w:w="0" w:type="auto"/>
            <w:vAlign w:val="center"/>
          </w:tcPr>
          <w:p w:rsidR="005F78FC" w:rsidRDefault="00B42EF3">
            <w:pPr>
              <w:pStyle w:val="TableBodyText"/>
            </w:pPr>
            <w:r>
              <w:t>0939</w:t>
            </w:r>
          </w:p>
        </w:tc>
      </w:tr>
      <w:tr w:rsidR="005F78FC" w:rsidTr="005F78FC">
        <w:tc>
          <w:tcPr>
            <w:tcW w:w="0" w:type="auto"/>
            <w:vAlign w:val="center"/>
          </w:tcPr>
          <w:p w:rsidR="005F78FC" w:rsidRDefault="00B42EF3">
            <w:pPr>
              <w:pStyle w:val="TableBodyText"/>
            </w:pPr>
            <w:r>
              <w:t>EditClear</w:t>
            </w:r>
          </w:p>
        </w:tc>
        <w:tc>
          <w:tcPr>
            <w:tcW w:w="0" w:type="auto"/>
            <w:vAlign w:val="center"/>
          </w:tcPr>
          <w:p w:rsidR="005F78FC" w:rsidRDefault="00B42EF3">
            <w:pPr>
              <w:pStyle w:val="TableBodyText"/>
            </w:pPr>
            <w:r>
              <w:t>001E</w:t>
            </w:r>
          </w:p>
        </w:tc>
      </w:tr>
      <w:tr w:rsidR="005F78FC" w:rsidTr="005F78FC">
        <w:tc>
          <w:tcPr>
            <w:tcW w:w="0" w:type="auto"/>
            <w:vAlign w:val="center"/>
          </w:tcPr>
          <w:p w:rsidR="005F78FC" w:rsidRDefault="00B42EF3">
            <w:pPr>
              <w:pStyle w:val="TableBodyText"/>
            </w:pPr>
            <w:r>
              <w:t>EditConvertAllEndnotes</w:t>
            </w:r>
          </w:p>
        </w:tc>
        <w:tc>
          <w:tcPr>
            <w:tcW w:w="0" w:type="auto"/>
            <w:vAlign w:val="center"/>
          </w:tcPr>
          <w:p w:rsidR="005F78FC" w:rsidRDefault="00B42EF3">
            <w:pPr>
              <w:pStyle w:val="TableBodyText"/>
            </w:pPr>
            <w:r>
              <w:t>01B8</w:t>
            </w:r>
          </w:p>
        </w:tc>
      </w:tr>
      <w:tr w:rsidR="005F78FC" w:rsidTr="005F78FC">
        <w:tc>
          <w:tcPr>
            <w:tcW w:w="0" w:type="auto"/>
            <w:vAlign w:val="center"/>
          </w:tcPr>
          <w:p w:rsidR="005F78FC" w:rsidRDefault="00B42EF3">
            <w:pPr>
              <w:pStyle w:val="TableBodyText"/>
            </w:pPr>
            <w:r>
              <w:t>EditConvertAllFootnotes</w:t>
            </w:r>
          </w:p>
        </w:tc>
        <w:tc>
          <w:tcPr>
            <w:tcW w:w="0" w:type="auto"/>
            <w:vAlign w:val="center"/>
          </w:tcPr>
          <w:p w:rsidR="005F78FC" w:rsidRDefault="00B42EF3">
            <w:pPr>
              <w:pStyle w:val="TableBodyText"/>
            </w:pPr>
            <w:r>
              <w:t>01B7</w:t>
            </w:r>
          </w:p>
        </w:tc>
      </w:tr>
      <w:tr w:rsidR="005F78FC" w:rsidTr="005F78FC">
        <w:tc>
          <w:tcPr>
            <w:tcW w:w="0" w:type="auto"/>
            <w:vAlign w:val="center"/>
          </w:tcPr>
          <w:p w:rsidR="005F78FC" w:rsidRDefault="00B42EF3">
            <w:pPr>
              <w:pStyle w:val="TableBodyText"/>
            </w:pPr>
            <w:r>
              <w:t>EditConvertNotes</w:t>
            </w:r>
          </w:p>
        </w:tc>
        <w:tc>
          <w:tcPr>
            <w:tcW w:w="0" w:type="auto"/>
            <w:vAlign w:val="center"/>
          </w:tcPr>
          <w:p w:rsidR="005F78FC" w:rsidRDefault="00B42EF3">
            <w:pPr>
              <w:pStyle w:val="TableBodyText"/>
            </w:pPr>
            <w:r>
              <w:t>01CE</w:t>
            </w:r>
          </w:p>
        </w:tc>
      </w:tr>
      <w:tr w:rsidR="005F78FC" w:rsidTr="005F78FC">
        <w:tc>
          <w:tcPr>
            <w:tcW w:w="0" w:type="auto"/>
            <w:vAlign w:val="center"/>
          </w:tcPr>
          <w:p w:rsidR="005F78FC" w:rsidRDefault="00B42EF3">
            <w:pPr>
              <w:pStyle w:val="TableBodyText"/>
            </w:pPr>
            <w:r>
              <w:lastRenderedPageBreak/>
              <w:t>EditCopy</w:t>
            </w:r>
          </w:p>
        </w:tc>
        <w:tc>
          <w:tcPr>
            <w:tcW w:w="0" w:type="auto"/>
            <w:vAlign w:val="center"/>
          </w:tcPr>
          <w:p w:rsidR="005F78FC" w:rsidRDefault="00B42EF3">
            <w:pPr>
              <w:pStyle w:val="TableBodyText"/>
            </w:pPr>
            <w:r>
              <w:t>006D</w:t>
            </w:r>
          </w:p>
        </w:tc>
      </w:tr>
      <w:tr w:rsidR="005F78FC" w:rsidTr="005F78FC">
        <w:tc>
          <w:tcPr>
            <w:tcW w:w="0" w:type="auto"/>
            <w:vAlign w:val="center"/>
          </w:tcPr>
          <w:p w:rsidR="005F78FC" w:rsidRDefault="00B42EF3">
            <w:pPr>
              <w:pStyle w:val="TableBodyText"/>
            </w:pPr>
            <w:r>
              <w:t>EditCopyAsPicture</w:t>
            </w:r>
          </w:p>
        </w:tc>
        <w:tc>
          <w:tcPr>
            <w:tcW w:w="0" w:type="auto"/>
            <w:vAlign w:val="center"/>
          </w:tcPr>
          <w:p w:rsidR="005F78FC" w:rsidRDefault="00B42EF3">
            <w:pPr>
              <w:pStyle w:val="TableBodyText"/>
            </w:pPr>
            <w:r>
              <w:t>02EF</w:t>
            </w:r>
          </w:p>
        </w:tc>
      </w:tr>
      <w:tr w:rsidR="005F78FC" w:rsidTr="005F78FC">
        <w:tc>
          <w:tcPr>
            <w:tcW w:w="0" w:type="auto"/>
            <w:vAlign w:val="center"/>
          </w:tcPr>
          <w:p w:rsidR="005F78FC" w:rsidRDefault="00B42EF3">
            <w:pPr>
              <w:pStyle w:val="TableBodyText"/>
            </w:pPr>
            <w:r>
              <w:t>EditCreatePublisher</w:t>
            </w:r>
          </w:p>
        </w:tc>
        <w:tc>
          <w:tcPr>
            <w:tcW w:w="0" w:type="auto"/>
            <w:vAlign w:val="center"/>
          </w:tcPr>
          <w:p w:rsidR="005F78FC" w:rsidRDefault="00B42EF3">
            <w:pPr>
              <w:pStyle w:val="TableBodyText"/>
            </w:pPr>
            <w:r>
              <w:t>02DC</w:t>
            </w:r>
          </w:p>
        </w:tc>
      </w:tr>
      <w:tr w:rsidR="005F78FC" w:rsidTr="005F78FC">
        <w:tc>
          <w:tcPr>
            <w:tcW w:w="0" w:type="auto"/>
            <w:vAlign w:val="center"/>
          </w:tcPr>
          <w:p w:rsidR="005F78FC" w:rsidRDefault="00B42EF3">
            <w:pPr>
              <w:pStyle w:val="TableBodyText"/>
            </w:pPr>
            <w:r>
              <w:t>EditCut</w:t>
            </w:r>
          </w:p>
        </w:tc>
        <w:tc>
          <w:tcPr>
            <w:tcW w:w="0" w:type="auto"/>
            <w:vAlign w:val="center"/>
          </w:tcPr>
          <w:p w:rsidR="005F78FC" w:rsidRDefault="00B42EF3">
            <w:pPr>
              <w:pStyle w:val="TableBodyText"/>
            </w:pPr>
            <w:r>
              <w:t>006C</w:t>
            </w:r>
          </w:p>
        </w:tc>
      </w:tr>
      <w:tr w:rsidR="005F78FC" w:rsidTr="005F78FC">
        <w:tc>
          <w:tcPr>
            <w:tcW w:w="0" w:type="auto"/>
            <w:vAlign w:val="center"/>
          </w:tcPr>
          <w:p w:rsidR="005F78FC" w:rsidRDefault="00B42EF3">
            <w:pPr>
              <w:pStyle w:val="TableBodyText"/>
            </w:pPr>
            <w:r>
              <w:t>EditFind</w:t>
            </w:r>
          </w:p>
        </w:tc>
        <w:tc>
          <w:tcPr>
            <w:tcW w:w="0" w:type="auto"/>
            <w:vAlign w:val="center"/>
          </w:tcPr>
          <w:p w:rsidR="005F78FC" w:rsidRDefault="00B42EF3">
            <w:pPr>
              <w:pStyle w:val="TableBodyText"/>
            </w:pPr>
            <w:r>
              <w:t>0070</w:t>
            </w:r>
          </w:p>
        </w:tc>
      </w:tr>
      <w:tr w:rsidR="005F78FC" w:rsidTr="005F78FC">
        <w:tc>
          <w:tcPr>
            <w:tcW w:w="0" w:type="auto"/>
            <w:vAlign w:val="center"/>
          </w:tcPr>
          <w:p w:rsidR="005F78FC" w:rsidRDefault="00B42EF3">
            <w:pPr>
              <w:pStyle w:val="TableBodyText"/>
            </w:pPr>
            <w:r>
              <w:t>EditFindBorder</w:t>
            </w:r>
          </w:p>
        </w:tc>
        <w:tc>
          <w:tcPr>
            <w:tcW w:w="0" w:type="auto"/>
            <w:vAlign w:val="center"/>
          </w:tcPr>
          <w:p w:rsidR="005F78FC" w:rsidRDefault="00B42EF3">
            <w:pPr>
              <w:pStyle w:val="TableBodyText"/>
            </w:pPr>
            <w:r>
              <w:t>01BF</w:t>
            </w:r>
          </w:p>
        </w:tc>
      </w:tr>
      <w:tr w:rsidR="005F78FC" w:rsidTr="005F78FC">
        <w:tc>
          <w:tcPr>
            <w:tcW w:w="0" w:type="auto"/>
            <w:vAlign w:val="center"/>
          </w:tcPr>
          <w:p w:rsidR="005F78FC" w:rsidRDefault="00B42EF3">
            <w:pPr>
              <w:pStyle w:val="TableBodyText"/>
            </w:pPr>
            <w:r>
              <w:t>EditFindClearFormatting</w:t>
            </w:r>
          </w:p>
        </w:tc>
        <w:tc>
          <w:tcPr>
            <w:tcW w:w="0" w:type="auto"/>
            <w:vAlign w:val="center"/>
          </w:tcPr>
          <w:p w:rsidR="005F78FC" w:rsidRDefault="00B42EF3">
            <w:pPr>
              <w:pStyle w:val="TableBodyText"/>
            </w:pPr>
            <w:r>
              <w:t>0074</w:t>
            </w:r>
          </w:p>
        </w:tc>
      </w:tr>
      <w:tr w:rsidR="005F78FC" w:rsidTr="005F78FC">
        <w:tc>
          <w:tcPr>
            <w:tcW w:w="0" w:type="auto"/>
            <w:vAlign w:val="center"/>
          </w:tcPr>
          <w:p w:rsidR="005F78FC" w:rsidRDefault="00B42EF3">
            <w:pPr>
              <w:pStyle w:val="TableBodyText"/>
            </w:pPr>
            <w:r>
              <w:t>EditFindFont</w:t>
            </w:r>
          </w:p>
        </w:tc>
        <w:tc>
          <w:tcPr>
            <w:tcW w:w="0" w:type="auto"/>
            <w:vAlign w:val="center"/>
          </w:tcPr>
          <w:p w:rsidR="005F78FC" w:rsidRDefault="00B42EF3">
            <w:pPr>
              <w:pStyle w:val="TableBodyText"/>
            </w:pPr>
            <w:r>
              <w:t>0071</w:t>
            </w:r>
          </w:p>
        </w:tc>
      </w:tr>
      <w:tr w:rsidR="005F78FC" w:rsidTr="005F78FC">
        <w:tc>
          <w:tcPr>
            <w:tcW w:w="0" w:type="auto"/>
            <w:vAlign w:val="center"/>
          </w:tcPr>
          <w:p w:rsidR="005F78FC" w:rsidRDefault="00B42EF3">
            <w:pPr>
              <w:pStyle w:val="TableBodyText"/>
            </w:pPr>
            <w:r>
              <w:t>EditFindFrame</w:t>
            </w:r>
          </w:p>
        </w:tc>
        <w:tc>
          <w:tcPr>
            <w:tcW w:w="0" w:type="auto"/>
            <w:vAlign w:val="center"/>
          </w:tcPr>
          <w:p w:rsidR="005F78FC" w:rsidRDefault="00B42EF3">
            <w:pPr>
              <w:pStyle w:val="TableBodyText"/>
            </w:pPr>
            <w:r>
              <w:t>01C0</w:t>
            </w:r>
          </w:p>
        </w:tc>
      </w:tr>
      <w:tr w:rsidR="005F78FC" w:rsidTr="005F78FC">
        <w:tc>
          <w:tcPr>
            <w:tcW w:w="0" w:type="auto"/>
            <w:vAlign w:val="center"/>
          </w:tcPr>
          <w:p w:rsidR="005F78FC" w:rsidRDefault="00B42EF3">
            <w:pPr>
              <w:pStyle w:val="TableBodyText"/>
            </w:pPr>
            <w:r>
              <w:t>EditFindHighlight</w:t>
            </w:r>
          </w:p>
        </w:tc>
        <w:tc>
          <w:tcPr>
            <w:tcW w:w="0" w:type="auto"/>
            <w:vAlign w:val="center"/>
          </w:tcPr>
          <w:p w:rsidR="005F78FC" w:rsidRDefault="00B42EF3">
            <w:pPr>
              <w:pStyle w:val="TableBodyText"/>
            </w:pPr>
            <w:r>
              <w:t>030C</w:t>
            </w:r>
          </w:p>
        </w:tc>
      </w:tr>
      <w:tr w:rsidR="005F78FC" w:rsidTr="005F78FC">
        <w:tc>
          <w:tcPr>
            <w:tcW w:w="0" w:type="auto"/>
            <w:vAlign w:val="center"/>
          </w:tcPr>
          <w:p w:rsidR="005F78FC" w:rsidRDefault="00B42EF3">
            <w:pPr>
              <w:pStyle w:val="TableBodyText"/>
            </w:pPr>
            <w:r>
              <w:t>EditFindLang</w:t>
            </w:r>
          </w:p>
        </w:tc>
        <w:tc>
          <w:tcPr>
            <w:tcW w:w="0" w:type="auto"/>
            <w:vAlign w:val="center"/>
          </w:tcPr>
          <w:p w:rsidR="005F78FC" w:rsidRDefault="00B42EF3">
            <w:pPr>
              <w:pStyle w:val="TableBodyText"/>
            </w:pPr>
            <w:r>
              <w:t>01AC</w:t>
            </w:r>
          </w:p>
        </w:tc>
      </w:tr>
      <w:tr w:rsidR="005F78FC" w:rsidTr="005F78FC">
        <w:tc>
          <w:tcPr>
            <w:tcW w:w="0" w:type="auto"/>
            <w:vAlign w:val="center"/>
          </w:tcPr>
          <w:p w:rsidR="005F78FC" w:rsidRDefault="00B42EF3">
            <w:pPr>
              <w:pStyle w:val="TableBodyText"/>
            </w:pPr>
            <w:r>
              <w:t>EditFindNotHighlight</w:t>
            </w:r>
          </w:p>
        </w:tc>
        <w:tc>
          <w:tcPr>
            <w:tcW w:w="0" w:type="auto"/>
            <w:vAlign w:val="center"/>
          </w:tcPr>
          <w:p w:rsidR="005F78FC" w:rsidRDefault="00B42EF3">
            <w:pPr>
              <w:pStyle w:val="TableBodyText"/>
            </w:pPr>
            <w:r>
              <w:t>030E</w:t>
            </w:r>
          </w:p>
        </w:tc>
      </w:tr>
      <w:tr w:rsidR="005F78FC" w:rsidTr="005F78FC">
        <w:tc>
          <w:tcPr>
            <w:tcW w:w="0" w:type="auto"/>
            <w:vAlign w:val="center"/>
          </w:tcPr>
          <w:p w:rsidR="005F78FC" w:rsidRDefault="00B42EF3">
            <w:pPr>
              <w:pStyle w:val="TableBodyText"/>
            </w:pPr>
            <w:r>
              <w:t>EditFindPara</w:t>
            </w:r>
          </w:p>
        </w:tc>
        <w:tc>
          <w:tcPr>
            <w:tcW w:w="0" w:type="auto"/>
            <w:vAlign w:val="center"/>
          </w:tcPr>
          <w:p w:rsidR="005F78FC" w:rsidRDefault="00B42EF3">
            <w:pPr>
              <w:pStyle w:val="TableBodyText"/>
            </w:pPr>
            <w:r>
              <w:t>0072</w:t>
            </w:r>
          </w:p>
        </w:tc>
      </w:tr>
      <w:tr w:rsidR="005F78FC" w:rsidTr="005F78FC">
        <w:tc>
          <w:tcPr>
            <w:tcW w:w="0" w:type="auto"/>
            <w:vAlign w:val="center"/>
          </w:tcPr>
          <w:p w:rsidR="005F78FC" w:rsidRDefault="00B42EF3">
            <w:pPr>
              <w:pStyle w:val="TableBodyText"/>
            </w:pPr>
            <w:r>
              <w:t>EditFindReadingMode</w:t>
            </w:r>
          </w:p>
        </w:tc>
        <w:tc>
          <w:tcPr>
            <w:tcW w:w="0" w:type="auto"/>
            <w:vAlign w:val="center"/>
          </w:tcPr>
          <w:p w:rsidR="005F78FC" w:rsidRDefault="00B42EF3">
            <w:pPr>
              <w:pStyle w:val="TableBodyText"/>
            </w:pPr>
            <w:r>
              <w:t>05A6</w:t>
            </w:r>
          </w:p>
        </w:tc>
      </w:tr>
      <w:tr w:rsidR="005F78FC" w:rsidTr="005F78FC">
        <w:tc>
          <w:tcPr>
            <w:tcW w:w="0" w:type="auto"/>
            <w:vAlign w:val="center"/>
          </w:tcPr>
          <w:p w:rsidR="005F78FC" w:rsidRDefault="00B42EF3">
            <w:pPr>
              <w:pStyle w:val="TableBodyText"/>
            </w:pPr>
            <w:r>
              <w:t>EditFindStyle</w:t>
            </w:r>
          </w:p>
        </w:tc>
        <w:tc>
          <w:tcPr>
            <w:tcW w:w="0" w:type="auto"/>
            <w:vAlign w:val="center"/>
          </w:tcPr>
          <w:p w:rsidR="005F78FC" w:rsidRDefault="00B42EF3">
            <w:pPr>
              <w:pStyle w:val="TableBodyText"/>
            </w:pPr>
            <w:r>
              <w:t>0073</w:t>
            </w:r>
          </w:p>
        </w:tc>
      </w:tr>
      <w:tr w:rsidR="005F78FC" w:rsidTr="005F78FC">
        <w:tc>
          <w:tcPr>
            <w:tcW w:w="0" w:type="auto"/>
            <w:vAlign w:val="center"/>
          </w:tcPr>
          <w:p w:rsidR="005F78FC" w:rsidRDefault="00B42EF3">
            <w:pPr>
              <w:pStyle w:val="TableBodyText"/>
            </w:pPr>
            <w:r>
              <w:t>EditFindTabs</w:t>
            </w:r>
          </w:p>
        </w:tc>
        <w:tc>
          <w:tcPr>
            <w:tcW w:w="0" w:type="auto"/>
            <w:vAlign w:val="center"/>
          </w:tcPr>
          <w:p w:rsidR="005F78FC" w:rsidRDefault="00B42EF3">
            <w:pPr>
              <w:pStyle w:val="TableBodyText"/>
            </w:pPr>
            <w:r>
              <w:t>01BE</w:t>
            </w:r>
          </w:p>
        </w:tc>
      </w:tr>
      <w:tr w:rsidR="005F78FC" w:rsidTr="005F78FC">
        <w:tc>
          <w:tcPr>
            <w:tcW w:w="0" w:type="auto"/>
            <w:vAlign w:val="center"/>
          </w:tcPr>
          <w:p w:rsidR="005F78FC" w:rsidRDefault="00B42EF3">
            <w:pPr>
              <w:pStyle w:val="TableBodyText"/>
            </w:pPr>
            <w:r>
              <w:t>EditGoTo</w:t>
            </w:r>
          </w:p>
        </w:tc>
        <w:tc>
          <w:tcPr>
            <w:tcW w:w="0" w:type="auto"/>
            <w:vAlign w:val="center"/>
          </w:tcPr>
          <w:p w:rsidR="005F78FC" w:rsidRDefault="00B42EF3">
            <w:pPr>
              <w:pStyle w:val="TableBodyText"/>
            </w:pPr>
            <w:r>
              <w:t>0380</w:t>
            </w:r>
          </w:p>
        </w:tc>
      </w:tr>
      <w:tr w:rsidR="005F78FC" w:rsidTr="005F78FC">
        <w:tc>
          <w:tcPr>
            <w:tcW w:w="0" w:type="auto"/>
            <w:vAlign w:val="center"/>
          </w:tcPr>
          <w:p w:rsidR="005F78FC" w:rsidRDefault="00B42EF3">
            <w:pPr>
              <w:pStyle w:val="TableBodyText"/>
            </w:pPr>
            <w:r>
              <w:t>EditHyperlink</w:t>
            </w:r>
          </w:p>
        </w:tc>
        <w:tc>
          <w:tcPr>
            <w:tcW w:w="0" w:type="auto"/>
            <w:vAlign w:val="center"/>
          </w:tcPr>
          <w:p w:rsidR="005F78FC" w:rsidRDefault="00B42EF3">
            <w:pPr>
              <w:pStyle w:val="TableBodyText"/>
            </w:pPr>
            <w:r>
              <w:t>039E</w:t>
            </w:r>
          </w:p>
        </w:tc>
      </w:tr>
      <w:tr w:rsidR="005F78FC" w:rsidTr="005F78FC">
        <w:tc>
          <w:tcPr>
            <w:tcW w:w="0" w:type="auto"/>
            <w:vAlign w:val="center"/>
          </w:tcPr>
          <w:p w:rsidR="005F78FC" w:rsidRDefault="00B42EF3">
            <w:pPr>
              <w:pStyle w:val="TableBodyText"/>
            </w:pPr>
            <w:r>
              <w:t>EditIMEReconversion</w:t>
            </w:r>
          </w:p>
        </w:tc>
        <w:tc>
          <w:tcPr>
            <w:tcW w:w="0" w:type="auto"/>
            <w:vAlign w:val="center"/>
          </w:tcPr>
          <w:p w:rsidR="005F78FC" w:rsidRDefault="00B42EF3">
            <w:pPr>
              <w:pStyle w:val="TableBodyText"/>
            </w:pPr>
            <w:r>
              <w:t>0359</w:t>
            </w:r>
          </w:p>
        </w:tc>
      </w:tr>
      <w:tr w:rsidR="005F78FC" w:rsidTr="005F78FC">
        <w:tc>
          <w:tcPr>
            <w:tcW w:w="0" w:type="auto"/>
            <w:vAlign w:val="center"/>
          </w:tcPr>
          <w:p w:rsidR="005F78FC" w:rsidRDefault="00B42EF3">
            <w:pPr>
              <w:pStyle w:val="TableBodyText"/>
            </w:pPr>
            <w:r>
              <w:t>EditLinks</w:t>
            </w:r>
          </w:p>
        </w:tc>
        <w:tc>
          <w:tcPr>
            <w:tcW w:w="0" w:type="auto"/>
            <w:vAlign w:val="center"/>
          </w:tcPr>
          <w:p w:rsidR="005F78FC" w:rsidRDefault="00B42EF3">
            <w:pPr>
              <w:pStyle w:val="TableBodyText"/>
            </w:pPr>
            <w:r>
              <w:t>007C</w:t>
            </w:r>
          </w:p>
        </w:tc>
      </w:tr>
      <w:tr w:rsidR="005F78FC" w:rsidTr="005F78FC">
        <w:tc>
          <w:tcPr>
            <w:tcW w:w="0" w:type="auto"/>
            <w:vAlign w:val="center"/>
          </w:tcPr>
          <w:p w:rsidR="005F78FC" w:rsidRDefault="00B42EF3">
            <w:pPr>
              <w:pStyle w:val="TableBodyText"/>
            </w:pPr>
            <w:r>
              <w:t>EditObject</w:t>
            </w:r>
          </w:p>
        </w:tc>
        <w:tc>
          <w:tcPr>
            <w:tcW w:w="0" w:type="auto"/>
            <w:vAlign w:val="center"/>
          </w:tcPr>
          <w:p w:rsidR="005F78FC" w:rsidRDefault="00B42EF3">
            <w:pPr>
              <w:pStyle w:val="TableBodyText"/>
            </w:pPr>
            <w:r>
              <w:t>007D</w:t>
            </w:r>
          </w:p>
        </w:tc>
      </w:tr>
      <w:tr w:rsidR="005F78FC" w:rsidTr="005F78FC">
        <w:tc>
          <w:tcPr>
            <w:tcW w:w="0" w:type="auto"/>
            <w:vAlign w:val="center"/>
          </w:tcPr>
          <w:p w:rsidR="005F78FC" w:rsidRDefault="00B42EF3">
            <w:pPr>
              <w:pStyle w:val="TableBodyText"/>
            </w:pPr>
            <w:r>
              <w:t>EditOfficeClipboard</w:t>
            </w:r>
          </w:p>
        </w:tc>
        <w:tc>
          <w:tcPr>
            <w:tcW w:w="0" w:type="auto"/>
            <w:vAlign w:val="center"/>
          </w:tcPr>
          <w:p w:rsidR="005F78FC" w:rsidRDefault="00B42EF3">
            <w:pPr>
              <w:pStyle w:val="TableBodyText"/>
            </w:pPr>
            <w:r>
              <w:t>01CB</w:t>
            </w:r>
          </w:p>
        </w:tc>
      </w:tr>
      <w:tr w:rsidR="005F78FC" w:rsidTr="005F78FC">
        <w:tc>
          <w:tcPr>
            <w:tcW w:w="0" w:type="auto"/>
            <w:vAlign w:val="center"/>
          </w:tcPr>
          <w:p w:rsidR="005F78FC" w:rsidRDefault="00B42EF3">
            <w:pPr>
              <w:pStyle w:val="TableBodyText"/>
            </w:pPr>
            <w:r>
              <w:t>EditPaste</w:t>
            </w:r>
          </w:p>
        </w:tc>
        <w:tc>
          <w:tcPr>
            <w:tcW w:w="0" w:type="auto"/>
            <w:vAlign w:val="center"/>
          </w:tcPr>
          <w:p w:rsidR="005F78FC" w:rsidRDefault="00B42EF3">
            <w:pPr>
              <w:pStyle w:val="TableBodyText"/>
            </w:pPr>
            <w:r>
              <w:t>006E</w:t>
            </w:r>
          </w:p>
        </w:tc>
      </w:tr>
      <w:tr w:rsidR="005F78FC" w:rsidTr="005F78FC">
        <w:tc>
          <w:tcPr>
            <w:tcW w:w="0" w:type="auto"/>
            <w:vAlign w:val="center"/>
          </w:tcPr>
          <w:p w:rsidR="005F78FC" w:rsidRDefault="00B42EF3">
            <w:pPr>
              <w:pStyle w:val="TableBodyText"/>
            </w:pPr>
            <w:r>
              <w:t>EditPaste2</w:t>
            </w:r>
          </w:p>
        </w:tc>
        <w:tc>
          <w:tcPr>
            <w:tcW w:w="0" w:type="auto"/>
            <w:vAlign w:val="center"/>
          </w:tcPr>
          <w:p w:rsidR="005F78FC" w:rsidRDefault="00B42EF3">
            <w:pPr>
              <w:pStyle w:val="TableBodyText"/>
            </w:pPr>
            <w:r>
              <w:t>049C</w:t>
            </w:r>
          </w:p>
        </w:tc>
      </w:tr>
      <w:tr w:rsidR="005F78FC" w:rsidTr="005F78FC">
        <w:tc>
          <w:tcPr>
            <w:tcW w:w="0" w:type="auto"/>
            <w:vAlign w:val="center"/>
          </w:tcPr>
          <w:p w:rsidR="005F78FC" w:rsidRDefault="00B42EF3">
            <w:pPr>
              <w:pStyle w:val="TableBodyText"/>
            </w:pPr>
            <w:r>
              <w:t>EditPasteAppendTable</w:t>
            </w:r>
          </w:p>
        </w:tc>
        <w:tc>
          <w:tcPr>
            <w:tcW w:w="0" w:type="auto"/>
            <w:vAlign w:val="center"/>
          </w:tcPr>
          <w:p w:rsidR="005F78FC" w:rsidRDefault="00B42EF3">
            <w:pPr>
              <w:pStyle w:val="TableBodyText"/>
            </w:pPr>
            <w:r>
              <w:t>054E</w:t>
            </w:r>
          </w:p>
        </w:tc>
      </w:tr>
      <w:tr w:rsidR="005F78FC" w:rsidTr="005F78FC">
        <w:tc>
          <w:tcPr>
            <w:tcW w:w="0" w:type="auto"/>
            <w:vAlign w:val="center"/>
          </w:tcPr>
          <w:p w:rsidR="005F78FC" w:rsidRDefault="00B42EF3">
            <w:pPr>
              <w:pStyle w:val="TableBodyText"/>
            </w:pPr>
            <w:r>
              <w:t>EditPasteAsHyperlink</w:t>
            </w:r>
          </w:p>
        </w:tc>
        <w:tc>
          <w:tcPr>
            <w:tcW w:w="0" w:type="auto"/>
            <w:vAlign w:val="center"/>
          </w:tcPr>
          <w:p w:rsidR="005F78FC" w:rsidRDefault="00B42EF3">
            <w:pPr>
              <w:pStyle w:val="TableBodyText"/>
            </w:pPr>
            <w:r>
              <w:t>03D0</w:t>
            </w:r>
          </w:p>
        </w:tc>
      </w:tr>
      <w:tr w:rsidR="005F78FC" w:rsidTr="005F78FC">
        <w:tc>
          <w:tcPr>
            <w:tcW w:w="0" w:type="auto"/>
            <w:vAlign w:val="center"/>
          </w:tcPr>
          <w:p w:rsidR="005F78FC" w:rsidRDefault="00B42EF3">
            <w:pPr>
              <w:pStyle w:val="TableBodyText"/>
            </w:pPr>
            <w:r>
              <w:t>EditPasteAsNestedTable</w:t>
            </w:r>
          </w:p>
        </w:tc>
        <w:tc>
          <w:tcPr>
            <w:tcW w:w="0" w:type="auto"/>
            <w:vAlign w:val="center"/>
          </w:tcPr>
          <w:p w:rsidR="005F78FC" w:rsidRDefault="00B42EF3">
            <w:pPr>
              <w:pStyle w:val="TableBodyText"/>
            </w:pPr>
            <w:r>
              <w:t>0388</w:t>
            </w:r>
          </w:p>
        </w:tc>
      </w:tr>
      <w:tr w:rsidR="005F78FC" w:rsidTr="005F78FC">
        <w:tc>
          <w:tcPr>
            <w:tcW w:w="0" w:type="auto"/>
            <w:vAlign w:val="center"/>
          </w:tcPr>
          <w:p w:rsidR="005F78FC" w:rsidRDefault="00B42EF3">
            <w:pPr>
              <w:pStyle w:val="TableBodyText"/>
            </w:pPr>
            <w:r>
              <w:t>EditPasteFromExcel</w:t>
            </w:r>
          </w:p>
        </w:tc>
        <w:tc>
          <w:tcPr>
            <w:tcW w:w="0" w:type="auto"/>
            <w:vAlign w:val="center"/>
          </w:tcPr>
          <w:p w:rsidR="005F78FC" w:rsidRDefault="00B42EF3">
            <w:pPr>
              <w:pStyle w:val="TableBodyText"/>
            </w:pPr>
            <w:r>
              <w:t>0575</w:t>
            </w:r>
          </w:p>
        </w:tc>
      </w:tr>
      <w:tr w:rsidR="005F78FC" w:rsidTr="005F78FC">
        <w:tc>
          <w:tcPr>
            <w:tcW w:w="0" w:type="auto"/>
            <w:vAlign w:val="center"/>
          </w:tcPr>
          <w:p w:rsidR="005F78FC" w:rsidRDefault="00B42EF3">
            <w:pPr>
              <w:pStyle w:val="TableBodyText"/>
            </w:pPr>
            <w:r>
              <w:t>EditPasteOption</w:t>
            </w:r>
          </w:p>
        </w:tc>
        <w:tc>
          <w:tcPr>
            <w:tcW w:w="0" w:type="auto"/>
            <w:vAlign w:val="center"/>
          </w:tcPr>
          <w:p w:rsidR="005F78FC" w:rsidRDefault="00B42EF3">
            <w:pPr>
              <w:pStyle w:val="TableBodyText"/>
            </w:pPr>
            <w:r>
              <w:t>04DF</w:t>
            </w:r>
          </w:p>
        </w:tc>
      </w:tr>
      <w:tr w:rsidR="005F78FC" w:rsidTr="005F78FC">
        <w:tc>
          <w:tcPr>
            <w:tcW w:w="0" w:type="auto"/>
            <w:vAlign w:val="center"/>
          </w:tcPr>
          <w:p w:rsidR="005F78FC" w:rsidRDefault="00B42EF3">
            <w:pPr>
              <w:pStyle w:val="TableBodyText"/>
            </w:pPr>
            <w:r>
              <w:t>EditPasteSpecial</w:t>
            </w:r>
          </w:p>
        </w:tc>
        <w:tc>
          <w:tcPr>
            <w:tcW w:w="0" w:type="auto"/>
            <w:vAlign w:val="center"/>
          </w:tcPr>
          <w:p w:rsidR="005F78FC" w:rsidRDefault="00B42EF3">
            <w:pPr>
              <w:pStyle w:val="TableBodyText"/>
            </w:pPr>
            <w:r>
              <w:t>006F</w:t>
            </w:r>
          </w:p>
        </w:tc>
      </w:tr>
      <w:tr w:rsidR="005F78FC" w:rsidTr="005F78FC">
        <w:tc>
          <w:tcPr>
            <w:tcW w:w="0" w:type="auto"/>
            <w:vAlign w:val="center"/>
          </w:tcPr>
          <w:p w:rsidR="005F78FC" w:rsidRDefault="00B42EF3">
            <w:pPr>
              <w:pStyle w:val="TableBodyText"/>
            </w:pPr>
            <w:r>
              <w:t>EditPicture</w:t>
            </w:r>
          </w:p>
        </w:tc>
        <w:tc>
          <w:tcPr>
            <w:tcW w:w="0" w:type="auto"/>
            <w:vAlign w:val="center"/>
          </w:tcPr>
          <w:p w:rsidR="005F78FC" w:rsidRDefault="00B42EF3">
            <w:pPr>
              <w:pStyle w:val="TableBodyText"/>
            </w:pPr>
            <w:r>
              <w:t>0128</w:t>
            </w:r>
          </w:p>
        </w:tc>
      </w:tr>
      <w:tr w:rsidR="005F78FC" w:rsidTr="005F78FC">
        <w:tc>
          <w:tcPr>
            <w:tcW w:w="0" w:type="auto"/>
            <w:vAlign w:val="center"/>
          </w:tcPr>
          <w:p w:rsidR="005F78FC" w:rsidRDefault="00B42EF3">
            <w:pPr>
              <w:pStyle w:val="TableBodyText"/>
            </w:pPr>
            <w:r>
              <w:t>EditPictureEdit</w:t>
            </w:r>
          </w:p>
        </w:tc>
        <w:tc>
          <w:tcPr>
            <w:tcW w:w="0" w:type="auto"/>
            <w:vAlign w:val="center"/>
          </w:tcPr>
          <w:p w:rsidR="005F78FC" w:rsidRDefault="00B42EF3">
            <w:pPr>
              <w:pStyle w:val="TableBodyText"/>
            </w:pPr>
            <w:r>
              <w:t>0500</w:t>
            </w:r>
          </w:p>
        </w:tc>
      </w:tr>
      <w:tr w:rsidR="005F78FC" w:rsidTr="005F78FC">
        <w:tc>
          <w:tcPr>
            <w:tcW w:w="0" w:type="auto"/>
            <w:vAlign w:val="center"/>
          </w:tcPr>
          <w:p w:rsidR="005F78FC" w:rsidRDefault="00B42EF3">
            <w:pPr>
              <w:pStyle w:val="TableBodyText"/>
            </w:pPr>
            <w:r>
              <w:lastRenderedPageBreak/>
              <w:t>EditPubOrSubOptions</w:t>
            </w:r>
          </w:p>
        </w:tc>
        <w:tc>
          <w:tcPr>
            <w:tcW w:w="0" w:type="auto"/>
            <w:vAlign w:val="center"/>
          </w:tcPr>
          <w:p w:rsidR="005F78FC" w:rsidRDefault="00B42EF3">
            <w:pPr>
              <w:pStyle w:val="TableBodyText"/>
            </w:pPr>
            <w:r>
              <w:t>02DE</w:t>
            </w:r>
          </w:p>
        </w:tc>
      </w:tr>
      <w:tr w:rsidR="005F78FC" w:rsidTr="005F78FC">
        <w:tc>
          <w:tcPr>
            <w:tcW w:w="0" w:type="auto"/>
            <w:vAlign w:val="center"/>
          </w:tcPr>
          <w:p w:rsidR="005F78FC" w:rsidRDefault="00B42EF3">
            <w:pPr>
              <w:pStyle w:val="TableBodyText"/>
            </w:pPr>
            <w:r>
              <w:t>EditPublishOptions</w:t>
            </w:r>
          </w:p>
        </w:tc>
        <w:tc>
          <w:tcPr>
            <w:tcW w:w="0" w:type="auto"/>
            <w:vAlign w:val="center"/>
          </w:tcPr>
          <w:p w:rsidR="005F78FC" w:rsidRDefault="00B42EF3">
            <w:pPr>
              <w:pStyle w:val="TableBodyText"/>
            </w:pPr>
            <w:r>
              <w:t>02DF</w:t>
            </w:r>
          </w:p>
        </w:tc>
      </w:tr>
      <w:tr w:rsidR="005F78FC" w:rsidTr="005F78FC">
        <w:tc>
          <w:tcPr>
            <w:tcW w:w="0" w:type="auto"/>
            <w:vAlign w:val="center"/>
          </w:tcPr>
          <w:p w:rsidR="005F78FC" w:rsidRDefault="00B42EF3">
            <w:pPr>
              <w:pStyle w:val="TableBodyText"/>
            </w:pPr>
            <w:r>
              <w:t>EditRedo</w:t>
            </w:r>
          </w:p>
        </w:tc>
        <w:tc>
          <w:tcPr>
            <w:tcW w:w="0" w:type="auto"/>
            <w:vAlign w:val="center"/>
          </w:tcPr>
          <w:p w:rsidR="005F78FC" w:rsidRDefault="00B42EF3">
            <w:pPr>
              <w:pStyle w:val="TableBodyText"/>
            </w:pPr>
            <w:r>
              <w:t>0149</w:t>
            </w:r>
          </w:p>
        </w:tc>
      </w:tr>
      <w:tr w:rsidR="005F78FC" w:rsidTr="005F78FC">
        <w:tc>
          <w:tcPr>
            <w:tcW w:w="0" w:type="auto"/>
            <w:vAlign w:val="center"/>
          </w:tcPr>
          <w:p w:rsidR="005F78FC" w:rsidRDefault="00B42EF3">
            <w:pPr>
              <w:pStyle w:val="TableBodyText"/>
            </w:pPr>
            <w:r>
              <w:t>EditRedoOrRepeat</w:t>
            </w:r>
          </w:p>
        </w:tc>
        <w:tc>
          <w:tcPr>
            <w:tcW w:w="0" w:type="auto"/>
            <w:vAlign w:val="center"/>
          </w:tcPr>
          <w:p w:rsidR="005F78FC" w:rsidRDefault="00B42EF3">
            <w:pPr>
              <w:pStyle w:val="TableBodyText"/>
            </w:pPr>
            <w:r>
              <w:t>014A</w:t>
            </w:r>
          </w:p>
        </w:tc>
      </w:tr>
      <w:tr w:rsidR="005F78FC" w:rsidTr="005F78FC">
        <w:tc>
          <w:tcPr>
            <w:tcW w:w="0" w:type="auto"/>
            <w:vAlign w:val="center"/>
          </w:tcPr>
          <w:p w:rsidR="005F78FC" w:rsidRDefault="00B42EF3">
            <w:pPr>
              <w:pStyle w:val="TableBodyText"/>
            </w:pPr>
            <w:r>
              <w:t>EditRepeat</w:t>
            </w:r>
          </w:p>
        </w:tc>
        <w:tc>
          <w:tcPr>
            <w:tcW w:w="0" w:type="auto"/>
            <w:vAlign w:val="center"/>
          </w:tcPr>
          <w:p w:rsidR="005F78FC" w:rsidRDefault="00B42EF3">
            <w:pPr>
              <w:pStyle w:val="TableBodyText"/>
            </w:pPr>
            <w:r>
              <w:t>0044</w:t>
            </w:r>
          </w:p>
        </w:tc>
      </w:tr>
      <w:tr w:rsidR="005F78FC" w:rsidTr="005F78FC">
        <w:tc>
          <w:tcPr>
            <w:tcW w:w="0" w:type="auto"/>
            <w:vAlign w:val="center"/>
          </w:tcPr>
          <w:p w:rsidR="005F78FC" w:rsidRDefault="00B42EF3">
            <w:pPr>
              <w:pStyle w:val="TableBodyText"/>
            </w:pPr>
            <w:r>
              <w:t>EditReplace</w:t>
            </w:r>
          </w:p>
        </w:tc>
        <w:tc>
          <w:tcPr>
            <w:tcW w:w="0" w:type="auto"/>
            <w:vAlign w:val="center"/>
          </w:tcPr>
          <w:p w:rsidR="005F78FC" w:rsidRDefault="00B42EF3">
            <w:pPr>
              <w:pStyle w:val="TableBodyText"/>
            </w:pPr>
            <w:r>
              <w:t>0075</w:t>
            </w:r>
          </w:p>
        </w:tc>
      </w:tr>
      <w:tr w:rsidR="005F78FC" w:rsidTr="005F78FC">
        <w:tc>
          <w:tcPr>
            <w:tcW w:w="0" w:type="auto"/>
            <w:vAlign w:val="center"/>
          </w:tcPr>
          <w:p w:rsidR="005F78FC" w:rsidRDefault="00B42EF3">
            <w:pPr>
              <w:pStyle w:val="TableBodyText"/>
            </w:pPr>
            <w:r>
              <w:t>EditReplaceBorder</w:t>
            </w:r>
          </w:p>
        </w:tc>
        <w:tc>
          <w:tcPr>
            <w:tcW w:w="0" w:type="auto"/>
            <w:vAlign w:val="center"/>
          </w:tcPr>
          <w:p w:rsidR="005F78FC" w:rsidRDefault="00B42EF3">
            <w:pPr>
              <w:pStyle w:val="TableBodyText"/>
            </w:pPr>
            <w:r>
              <w:t>01C9</w:t>
            </w:r>
          </w:p>
        </w:tc>
      </w:tr>
      <w:tr w:rsidR="005F78FC" w:rsidTr="005F78FC">
        <w:tc>
          <w:tcPr>
            <w:tcW w:w="0" w:type="auto"/>
            <w:vAlign w:val="center"/>
          </w:tcPr>
          <w:p w:rsidR="005F78FC" w:rsidRDefault="00B42EF3">
            <w:pPr>
              <w:pStyle w:val="TableBodyText"/>
            </w:pPr>
            <w:r>
              <w:t>EditReplaceClearFormatting</w:t>
            </w:r>
          </w:p>
        </w:tc>
        <w:tc>
          <w:tcPr>
            <w:tcW w:w="0" w:type="auto"/>
            <w:vAlign w:val="center"/>
          </w:tcPr>
          <w:p w:rsidR="005F78FC" w:rsidRDefault="00B42EF3">
            <w:pPr>
              <w:pStyle w:val="TableBodyText"/>
            </w:pPr>
            <w:r>
              <w:t>0079</w:t>
            </w:r>
          </w:p>
        </w:tc>
      </w:tr>
      <w:tr w:rsidR="005F78FC" w:rsidTr="005F78FC">
        <w:tc>
          <w:tcPr>
            <w:tcW w:w="0" w:type="auto"/>
            <w:vAlign w:val="center"/>
          </w:tcPr>
          <w:p w:rsidR="005F78FC" w:rsidRDefault="00B42EF3">
            <w:pPr>
              <w:pStyle w:val="TableBodyText"/>
            </w:pPr>
            <w:r>
              <w:t>EditReplaceFont</w:t>
            </w:r>
          </w:p>
        </w:tc>
        <w:tc>
          <w:tcPr>
            <w:tcW w:w="0" w:type="auto"/>
            <w:vAlign w:val="center"/>
          </w:tcPr>
          <w:p w:rsidR="005F78FC" w:rsidRDefault="00B42EF3">
            <w:pPr>
              <w:pStyle w:val="TableBodyText"/>
            </w:pPr>
            <w:r>
              <w:t>0076</w:t>
            </w:r>
          </w:p>
        </w:tc>
      </w:tr>
      <w:tr w:rsidR="005F78FC" w:rsidTr="005F78FC">
        <w:tc>
          <w:tcPr>
            <w:tcW w:w="0" w:type="auto"/>
            <w:vAlign w:val="center"/>
          </w:tcPr>
          <w:p w:rsidR="005F78FC" w:rsidRDefault="00B42EF3">
            <w:pPr>
              <w:pStyle w:val="TableBodyText"/>
            </w:pPr>
            <w:r>
              <w:t>EditReplaceFrame</w:t>
            </w:r>
          </w:p>
        </w:tc>
        <w:tc>
          <w:tcPr>
            <w:tcW w:w="0" w:type="auto"/>
            <w:vAlign w:val="center"/>
          </w:tcPr>
          <w:p w:rsidR="005F78FC" w:rsidRDefault="00B42EF3">
            <w:pPr>
              <w:pStyle w:val="TableBodyText"/>
            </w:pPr>
            <w:r>
              <w:t>01CA</w:t>
            </w:r>
          </w:p>
        </w:tc>
      </w:tr>
      <w:tr w:rsidR="005F78FC" w:rsidTr="005F78FC">
        <w:tc>
          <w:tcPr>
            <w:tcW w:w="0" w:type="auto"/>
            <w:vAlign w:val="center"/>
          </w:tcPr>
          <w:p w:rsidR="005F78FC" w:rsidRDefault="00B42EF3">
            <w:pPr>
              <w:pStyle w:val="TableBodyText"/>
            </w:pPr>
            <w:r>
              <w:t>EditReplaceHighlight</w:t>
            </w:r>
          </w:p>
        </w:tc>
        <w:tc>
          <w:tcPr>
            <w:tcW w:w="0" w:type="auto"/>
            <w:vAlign w:val="center"/>
          </w:tcPr>
          <w:p w:rsidR="005F78FC" w:rsidRDefault="00B42EF3">
            <w:pPr>
              <w:pStyle w:val="TableBodyText"/>
            </w:pPr>
            <w:r>
              <w:t>030D</w:t>
            </w:r>
          </w:p>
        </w:tc>
      </w:tr>
      <w:tr w:rsidR="005F78FC" w:rsidTr="005F78FC">
        <w:tc>
          <w:tcPr>
            <w:tcW w:w="0" w:type="auto"/>
            <w:vAlign w:val="center"/>
          </w:tcPr>
          <w:p w:rsidR="005F78FC" w:rsidRDefault="00B42EF3">
            <w:pPr>
              <w:pStyle w:val="TableBodyText"/>
            </w:pPr>
            <w:r>
              <w:t>EditReplaceLang</w:t>
            </w:r>
          </w:p>
        </w:tc>
        <w:tc>
          <w:tcPr>
            <w:tcW w:w="0" w:type="auto"/>
            <w:vAlign w:val="center"/>
          </w:tcPr>
          <w:p w:rsidR="005F78FC" w:rsidRDefault="00B42EF3">
            <w:pPr>
              <w:pStyle w:val="TableBodyText"/>
            </w:pPr>
            <w:r>
              <w:t>01AD</w:t>
            </w:r>
          </w:p>
        </w:tc>
      </w:tr>
      <w:tr w:rsidR="005F78FC" w:rsidTr="005F78FC">
        <w:tc>
          <w:tcPr>
            <w:tcW w:w="0" w:type="auto"/>
            <w:vAlign w:val="center"/>
          </w:tcPr>
          <w:p w:rsidR="005F78FC" w:rsidRDefault="00B42EF3">
            <w:pPr>
              <w:pStyle w:val="TableBodyText"/>
            </w:pPr>
            <w:r>
              <w:t>EditReplaceNotHighlight</w:t>
            </w:r>
          </w:p>
        </w:tc>
        <w:tc>
          <w:tcPr>
            <w:tcW w:w="0" w:type="auto"/>
            <w:vAlign w:val="center"/>
          </w:tcPr>
          <w:p w:rsidR="005F78FC" w:rsidRDefault="00B42EF3">
            <w:pPr>
              <w:pStyle w:val="TableBodyText"/>
            </w:pPr>
            <w:r>
              <w:t>030F</w:t>
            </w:r>
          </w:p>
        </w:tc>
      </w:tr>
      <w:tr w:rsidR="005F78FC" w:rsidTr="005F78FC">
        <w:tc>
          <w:tcPr>
            <w:tcW w:w="0" w:type="auto"/>
            <w:vAlign w:val="center"/>
          </w:tcPr>
          <w:p w:rsidR="005F78FC" w:rsidRDefault="00B42EF3">
            <w:pPr>
              <w:pStyle w:val="TableBodyText"/>
            </w:pPr>
            <w:r>
              <w:t>EditReplacePara</w:t>
            </w:r>
          </w:p>
        </w:tc>
        <w:tc>
          <w:tcPr>
            <w:tcW w:w="0" w:type="auto"/>
            <w:vAlign w:val="center"/>
          </w:tcPr>
          <w:p w:rsidR="005F78FC" w:rsidRDefault="00B42EF3">
            <w:pPr>
              <w:pStyle w:val="TableBodyText"/>
            </w:pPr>
            <w:r>
              <w:t>0077</w:t>
            </w:r>
          </w:p>
        </w:tc>
      </w:tr>
      <w:tr w:rsidR="005F78FC" w:rsidTr="005F78FC">
        <w:tc>
          <w:tcPr>
            <w:tcW w:w="0" w:type="auto"/>
            <w:vAlign w:val="center"/>
          </w:tcPr>
          <w:p w:rsidR="005F78FC" w:rsidRDefault="00B42EF3">
            <w:pPr>
              <w:pStyle w:val="TableBodyText"/>
            </w:pPr>
            <w:r>
              <w:t>EditReplaceStyle</w:t>
            </w:r>
          </w:p>
        </w:tc>
        <w:tc>
          <w:tcPr>
            <w:tcW w:w="0" w:type="auto"/>
            <w:vAlign w:val="center"/>
          </w:tcPr>
          <w:p w:rsidR="005F78FC" w:rsidRDefault="00B42EF3">
            <w:pPr>
              <w:pStyle w:val="TableBodyText"/>
            </w:pPr>
            <w:r>
              <w:t>0078</w:t>
            </w:r>
          </w:p>
        </w:tc>
      </w:tr>
      <w:tr w:rsidR="005F78FC" w:rsidTr="005F78FC">
        <w:tc>
          <w:tcPr>
            <w:tcW w:w="0" w:type="auto"/>
            <w:vAlign w:val="center"/>
          </w:tcPr>
          <w:p w:rsidR="005F78FC" w:rsidRDefault="00B42EF3">
            <w:pPr>
              <w:pStyle w:val="TableBodyText"/>
            </w:pPr>
            <w:r>
              <w:t>EditReplaceTabs</w:t>
            </w:r>
          </w:p>
        </w:tc>
        <w:tc>
          <w:tcPr>
            <w:tcW w:w="0" w:type="auto"/>
            <w:vAlign w:val="center"/>
          </w:tcPr>
          <w:p w:rsidR="005F78FC" w:rsidRDefault="00B42EF3">
            <w:pPr>
              <w:pStyle w:val="TableBodyText"/>
            </w:pPr>
            <w:r>
              <w:t>01C8</w:t>
            </w:r>
          </w:p>
        </w:tc>
      </w:tr>
      <w:tr w:rsidR="005F78FC" w:rsidTr="005F78FC">
        <w:tc>
          <w:tcPr>
            <w:tcW w:w="0" w:type="auto"/>
            <w:vAlign w:val="center"/>
          </w:tcPr>
          <w:p w:rsidR="005F78FC" w:rsidRDefault="00B42EF3">
            <w:pPr>
              <w:pStyle w:val="TableBodyText"/>
            </w:pPr>
            <w:r>
              <w:t>EditSelectAll</w:t>
            </w:r>
          </w:p>
        </w:tc>
        <w:tc>
          <w:tcPr>
            <w:tcW w:w="0" w:type="auto"/>
            <w:vAlign w:val="center"/>
          </w:tcPr>
          <w:p w:rsidR="005F78FC" w:rsidRDefault="00B42EF3">
            <w:pPr>
              <w:pStyle w:val="TableBodyText"/>
            </w:pPr>
            <w:r>
              <w:t>00ED</w:t>
            </w:r>
          </w:p>
        </w:tc>
      </w:tr>
      <w:tr w:rsidR="005F78FC" w:rsidTr="005F78FC">
        <w:tc>
          <w:tcPr>
            <w:tcW w:w="0" w:type="auto"/>
            <w:vAlign w:val="center"/>
          </w:tcPr>
          <w:p w:rsidR="005F78FC" w:rsidRDefault="00B42EF3">
            <w:pPr>
              <w:pStyle w:val="TableBodyText"/>
            </w:pPr>
            <w:r>
              <w:t>EditSource</w:t>
            </w:r>
          </w:p>
        </w:tc>
        <w:tc>
          <w:tcPr>
            <w:tcW w:w="0" w:type="auto"/>
            <w:vAlign w:val="center"/>
          </w:tcPr>
          <w:p w:rsidR="005F78FC" w:rsidRDefault="00B42EF3">
            <w:pPr>
              <w:pStyle w:val="TableBodyText"/>
            </w:pPr>
            <w:r>
              <w:t>093A</w:t>
            </w:r>
          </w:p>
        </w:tc>
      </w:tr>
      <w:tr w:rsidR="005F78FC" w:rsidTr="005F78FC">
        <w:tc>
          <w:tcPr>
            <w:tcW w:w="0" w:type="auto"/>
            <w:vAlign w:val="center"/>
          </w:tcPr>
          <w:p w:rsidR="005F78FC" w:rsidRDefault="00B42EF3">
            <w:pPr>
              <w:pStyle w:val="TableBodyText"/>
            </w:pPr>
            <w:r>
              <w:t>EditSubscribeOptions</w:t>
            </w:r>
          </w:p>
        </w:tc>
        <w:tc>
          <w:tcPr>
            <w:tcW w:w="0" w:type="auto"/>
            <w:vAlign w:val="center"/>
          </w:tcPr>
          <w:p w:rsidR="005F78FC" w:rsidRDefault="00B42EF3">
            <w:pPr>
              <w:pStyle w:val="TableBodyText"/>
            </w:pPr>
            <w:r>
              <w:t>02E0</w:t>
            </w:r>
          </w:p>
        </w:tc>
      </w:tr>
      <w:tr w:rsidR="005F78FC" w:rsidTr="005F78FC">
        <w:tc>
          <w:tcPr>
            <w:tcW w:w="0" w:type="auto"/>
            <w:vAlign w:val="center"/>
          </w:tcPr>
          <w:p w:rsidR="005F78FC" w:rsidRDefault="00B42EF3">
            <w:pPr>
              <w:pStyle w:val="TableBodyText"/>
            </w:pPr>
            <w:r>
              <w:t>EditSubscribeTo</w:t>
            </w:r>
          </w:p>
        </w:tc>
        <w:tc>
          <w:tcPr>
            <w:tcW w:w="0" w:type="auto"/>
            <w:vAlign w:val="center"/>
          </w:tcPr>
          <w:p w:rsidR="005F78FC" w:rsidRDefault="00B42EF3">
            <w:pPr>
              <w:pStyle w:val="TableBodyText"/>
            </w:pPr>
            <w:r>
              <w:t>02DD</w:t>
            </w:r>
          </w:p>
        </w:tc>
      </w:tr>
      <w:tr w:rsidR="005F78FC" w:rsidTr="005F78FC">
        <w:tc>
          <w:tcPr>
            <w:tcW w:w="0" w:type="auto"/>
            <w:vAlign w:val="center"/>
          </w:tcPr>
          <w:p w:rsidR="005F78FC" w:rsidRDefault="00B42EF3">
            <w:pPr>
              <w:pStyle w:val="TableBodyText"/>
            </w:pPr>
            <w:r>
              <w:t>EditSwapAllNotes</w:t>
            </w:r>
          </w:p>
        </w:tc>
        <w:tc>
          <w:tcPr>
            <w:tcW w:w="0" w:type="auto"/>
            <w:vAlign w:val="center"/>
          </w:tcPr>
          <w:p w:rsidR="005F78FC" w:rsidRDefault="00B42EF3">
            <w:pPr>
              <w:pStyle w:val="TableBodyText"/>
            </w:pPr>
            <w:r>
              <w:t>01B9</w:t>
            </w:r>
          </w:p>
        </w:tc>
      </w:tr>
      <w:tr w:rsidR="005F78FC" w:rsidTr="005F78FC">
        <w:tc>
          <w:tcPr>
            <w:tcW w:w="0" w:type="auto"/>
            <w:vAlign w:val="center"/>
          </w:tcPr>
          <w:p w:rsidR="005F78FC" w:rsidRDefault="00B42EF3">
            <w:pPr>
              <w:pStyle w:val="TableBodyText"/>
            </w:pPr>
            <w:r>
              <w:t>EditTOACategory</w:t>
            </w:r>
          </w:p>
        </w:tc>
        <w:tc>
          <w:tcPr>
            <w:tcW w:w="0" w:type="auto"/>
            <w:vAlign w:val="center"/>
          </w:tcPr>
          <w:p w:rsidR="005F78FC" w:rsidRDefault="00B42EF3">
            <w:pPr>
              <w:pStyle w:val="TableBodyText"/>
            </w:pPr>
            <w:r>
              <w:t>0271</w:t>
            </w:r>
          </w:p>
        </w:tc>
      </w:tr>
      <w:tr w:rsidR="005F78FC" w:rsidTr="005F78FC">
        <w:tc>
          <w:tcPr>
            <w:tcW w:w="0" w:type="auto"/>
            <w:vAlign w:val="center"/>
          </w:tcPr>
          <w:p w:rsidR="005F78FC" w:rsidRDefault="00B42EF3">
            <w:pPr>
              <w:pStyle w:val="TableBodyText"/>
            </w:pPr>
            <w:r>
              <w:t>EditUndo</w:t>
            </w:r>
          </w:p>
        </w:tc>
        <w:tc>
          <w:tcPr>
            <w:tcW w:w="0" w:type="auto"/>
            <w:vAlign w:val="center"/>
          </w:tcPr>
          <w:p w:rsidR="005F78FC" w:rsidRDefault="00B42EF3">
            <w:pPr>
              <w:pStyle w:val="TableBodyText"/>
            </w:pPr>
            <w:r>
              <w:t>006B</w:t>
            </w:r>
          </w:p>
        </w:tc>
      </w:tr>
      <w:tr w:rsidR="005F78FC" w:rsidTr="005F78FC">
        <w:tc>
          <w:tcPr>
            <w:tcW w:w="0" w:type="auto"/>
            <w:vAlign w:val="center"/>
          </w:tcPr>
          <w:p w:rsidR="005F78FC" w:rsidRDefault="00B42EF3">
            <w:pPr>
              <w:pStyle w:val="TableBodyText"/>
            </w:pPr>
            <w:r>
              <w:t>EditUpdateIMEDic</w:t>
            </w:r>
          </w:p>
        </w:tc>
        <w:tc>
          <w:tcPr>
            <w:tcW w:w="0" w:type="auto"/>
            <w:vAlign w:val="center"/>
          </w:tcPr>
          <w:p w:rsidR="005F78FC" w:rsidRDefault="00B42EF3">
            <w:pPr>
              <w:pStyle w:val="TableBodyText"/>
            </w:pPr>
            <w:r>
              <w:t>027E</w:t>
            </w:r>
          </w:p>
        </w:tc>
      </w:tr>
      <w:tr w:rsidR="005F78FC" w:rsidTr="005F78FC">
        <w:tc>
          <w:tcPr>
            <w:tcW w:w="0" w:type="auto"/>
            <w:vAlign w:val="center"/>
          </w:tcPr>
          <w:p w:rsidR="005F78FC" w:rsidRDefault="00B42EF3">
            <w:pPr>
              <w:pStyle w:val="TableBodyText"/>
            </w:pPr>
            <w:r>
              <w:t>EditWrapBoundary</w:t>
            </w:r>
          </w:p>
        </w:tc>
        <w:tc>
          <w:tcPr>
            <w:tcW w:w="0" w:type="auto"/>
            <w:vAlign w:val="center"/>
          </w:tcPr>
          <w:p w:rsidR="005F78FC" w:rsidRDefault="00B42EF3">
            <w:pPr>
              <w:pStyle w:val="TableBodyText"/>
            </w:pPr>
            <w:r>
              <w:t>03E3</w:t>
            </w:r>
          </w:p>
        </w:tc>
      </w:tr>
      <w:tr w:rsidR="005F78FC" w:rsidTr="005F78FC">
        <w:tc>
          <w:tcPr>
            <w:tcW w:w="0" w:type="auto"/>
            <w:vAlign w:val="center"/>
          </w:tcPr>
          <w:p w:rsidR="005F78FC" w:rsidRDefault="00B42EF3">
            <w:pPr>
              <w:pStyle w:val="TableBodyText"/>
            </w:pPr>
            <w:r>
              <w:t>EmailAttachmentOptions</w:t>
            </w:r>
          </w:p>
        </w:tc>
        <w:tc>
          <w:tcPr>
            <w:tcW w:w="0" w:type="auto"/>
            <w:vAlign w:val="center"/>
          </w:tcPr>
          <w:p w:rsidR="005F78FC" w:rsidRDefault="00B42EF3">
            <w:pPr>
              <w:pStyle w:val="TableBodyText"/>
            </w:pPr>
            <w:r>
              <w:t>05C5</w:t>
            </w:r>
          </w:p>
        </w:tc>
      </w:tr>
      <w:tr w:rsidR="005F78FC" w:rsidTr="005F78FC">
        <w:tc>
          <w:tcPr>
            <w:tcW w:w="0" w:type="auto"/>
            <w:vAlign w:val="center"/>
          </w:tcPr>
          <w:p w:rsidR="005F78FC" w:rsidRDefault="00B42EF3">
            <w:pPr>
              <w:pStyle w:val="TableBodyText"/>
            </w:pPr>
            <w:r>
              <w:t>EmailCheckNames</w:t>
            </w:r>
          </w:p>
        </w:tc>
        <w:tc>
          <w:tcPr>
            <w:tcW w:w="0" w:type="auto"/>
            <w:vAlign w:val="center"/>
          </w:tcPr>
          <w:p w:rsidR="005F78FC" w:rsidRDefault="00B42EF3">
            <w:pPr>
              <w:pStyle w:val="TableBodyText"/>
            </w:pPr>
            <w:r>
              <w:t>043C</w:t>
            </w:r>
          </w:p>
        </w:tc>
      </w:tr>
      <w:tr w:rsidR="005F78FC" w:rsidTr="005F78FC">
        <w:tc>
          <w:tcPr>
            <w:tcW w:w="0" w:type="auto"/>
            <w:vAlign w:val="center"/>
          </w:tcPr>
          <w:p w:rsidR="005F78FC" w:rsidRDefault="00B42EF3">
            <w:pPr>
              <w:pStyle w:val="TableBodyText"/>
            </w:pPr>
            <w:r>
              <w:t>EmailChooseAccount</w:t>
            </w:r>
          </w:p>
        </w:tc>
        <w:tc>
          <w:tcPr>
            <w:tcW w:w="0" w:type="auto"/>
            <w:vAlign w:val="center"/>
          </w:tcPr>
          <w:p w:rsidR="005F78FC" w:rsidRDefault="00B42EF3">
            <w:pPr>
              <w:pStyle w:val="TableBodyText"/>
            </w:pPr>
            <w:r>
              <w:t>05C4</w:t>
            </w:r>
          </w:p>
        </w:tc>
      </w:tr>
      <w:tr w:rsidR="005F78FC" w:rsidTr="005F78FC">
        <w:tc>
          <w:tcPr>
            <w:tcW w:w="0" w:type="auto"/>
            <w:vAlign w:val="center"/>
          </w:tcPr>
          <w:p w:rsidR="005F78FC" w:rsidRDefault="00B42EF3">
            <w:pPr>
              <w:pStyle w:val="TableBodyText"/>
            </w:pPr>
            <w:r>
              <w:t>EmailEnvelope</w:t>
            </w:r>
          </w:p>
        </w:tc>
        <w:tc>
          <w:tcPr>
            <w:tcW w:w="0" w:type="auto"/>
            <w:vAlign w:val="center"/>
          </w:tcPr>
          <w:p w:rsidR="005F78FC" w:rsidRDefault="00B42EF3">
            <w:pPr>
              <w:pStyle w:val="TableBodyText"/>
            </w:pPr>
            <w:r>
              <w:t>036B</w:t>
            </w:r>
          </w:p>
        </w:tc>
      </w:tr>
      <w:tr w:rsidR="005F78FC" w:rsidTr="005F78FC">
        <w:tc>
          <w:tcPr>
            <w:tcW w:w="0" w:type="auto"/>
            <w:vAlign w:val="center"/>
          </w:tcPr>
          <w:p w:rsidR="005F78FC" w:rsidRDefault="00B42EF3">
            <w:pPr>
              <w:pStyle w:val="TableBodyText"/>
            </w:pPr>
            <w:r>
              <w:t>EmailFlag</w:t>
            </w:r>
          </w:p>
        </w:tc>
        <w:tc>
          <w:tcPr>
            <w:tcW w:w="0" w:type="auto"/>
            <w:vAlign w:val="center"/>
          </w:tcPr>
          <w:p w:rsidR="005F78FC" w:rsidRDefault="00B42EF3">
            <w:pPr>
              <w:pStyle w:val="TableBodyText"/>
            </w:pPr>
            <w:r>
              <w:t>0442</w:t>
            </w:r>
          </w:p>
        </w:tc>
      </w:tr>
      <w:tr w:rsidR="005F78FC" w:rsidTr="005F78FC">
        <w:tc>
          <w:tcPr>
            <w:tcW w:w="0" w:type="auto"/>
            <w:vAlign w:val="center"/>
          </w:tcPr>
          <w:p w:rsidR="005F78FC" w:rsidRDefault="00B42EF3">
            <w:pPr>
              <w:pStyle w:val="TableBodyText"/>
            </w:pPr>
            <w:r>
              <w:t>EmailFocusIntroduction</w:t>
            </w:r>
          </w:p>
        </w:tc>
        <w:tc>
          <w:tcPr>
            <w:tcW w:w="0" w:type="auto"/>
            <w:vAlign w:val="center"/>
          </w:tcPr>
          <w:p w:rsidR="005F78FC" w:rsidRDefault="00B42EF3">
            <w:pPr>
              <w:pStyle w:val="TableBodyText"/>
            </w:pPr>
            <w:r>
              <w:t>0574</w:t>
            </w:r>
          </w:p>
        </w:tc>
      </w:tr>
      <w:tr w:rsidR="005F78FC" w:rsidTr="005F78FC">
        <w:tc>
          <w:tcPr>
            <w:tcW w:w="0" w:type="auto"/>
            <w:vAlign w:val="center"/>
          </w:tcPr>
          <w:p w:rsidR="005F78FC" w:rsidRDefault="00B42EF3">
            <w:pPr>
              <w:pStyle w:val="TableBodyText"/>
            </w:pPr>
            <w:r>
              <w:t>EmailFocusSubject</w:t>
            </w:r>
          </w:p>
        </w:tc>
        <w:tc>
          <w:tcPr>
            <w:tcW w:w="0" w:type="auto"/>
            <w:vAlign w:val="center"/>
          </w:tcPr>
          <w:p w:rsidR="005F78FC" w:rsidRDefault="00B42EF3">
            <w:pPr>
              <w:pStyle w:val="TableBodyText"/>
            </w:pPr>
            <w:r>
              <w:t>0440</w:t>
            </w:r>
          </w:p>
        </w:tc>
      </w:tr>
      <w:tr w:rsidR="005F78FC" w:rsidTr="005F78FC">
        <w:tc>
          <w:tcPr>
            <w:tcW w:w="0" w:type="auto"/>
            <w:vAlign w:val="center"/>
          </w:tcPr>
          <w:p w:rsidR="005F78FC" w:rsidRDefault="00B42EF3">
            <w:pPr>
              <w:pStyle w:val="TableBodyText"/>
            </w:pPr>
            <w:r>
              <w:lastRenderedPageBreak/>
              <w:t>EmailMessageOptions</w:t>
            </w:r>
          </w:p>
        </w:tc>
        <w:tc>
          <w:tcPr>
            <w:tcW w:w="0" w:type="auto"/>
            <w:vAlign w:val="center"/>
          </w:tcPr>
          <w:p w:rsidR="005F78FC" w:rsidRDefault="00B42EF3">
            <w:pPr>
              <w:pStyle w:val="TableBodyText"/>
            </w:pPr>
            <w:r>
              <w:t>0441</w:t>
            </w:r>
          </w:p>
        </w:tc>
      </w:tr>
      <w:tr w:rsidR="005F78FC" w:rsidTr="005F78FC">
        <w:tc>
          <w:tcPr>
            <w:tcW w:w="0" w:type="auto"/>
            <w:vAlign w:val="center"/>
          </w:tcPr>
          <w:p w:rsidR="005F78FC" w:rsidRDefault="00B42EF3">
            <w:pPr>
              <w:pStyle w:val="TableBodyText"/>
            </w:pPr>
            <w:r>
              <w:t>EmailOptions</w:t>
            </w:r>
          </w:p>
        </w:tc>
        <w:tc>
          <w:tcPr>
            <w:tcW w:w="0" w:type="auto"/>
            <w:vAlign w:val="center"/>
          </w:tcPr>
          <w:p w:rsidR="005F78FC" w:rsidRDefault="00B42EF3">
            <w:pPr>
              <w:pStyle w:val="TableBodyText"/>
            </w:pPr>
            <w:r>
              <w:t>035F</w:t>
            </w:r>
          </w:p>
        </w:tc>
      </w:tr>
      <w:tr w:rsidR="005F78FC" w:rsidTr="005F78FC">
        <w:tc>
          <w:tcPr>
            <w:tcW w:w="0" w:type="auto"/>
            <w:vAlign w:val="center"/>
          </w:tcPr>
          <w:p w:rsidR="005F78FC" w:rsidRDefault="00B42EF3">
            <w:pPr>
              <w:pStyle w:val="TableBodyText"/>
            </w:pPr>
            <w:r>
              <w:t>EmailSaveAttachment</w:t>
            </w:r>
          </w:p>
        </w:tc>
        <w:tc>
          <w:tcPr>
            <w:tcW w:w="0" w:type="auto"/>
            <w:vAlign w:val="center"/>
          </w:tcPr>
          <w:p w:rsidR="005F78FC" w:rsidRDefault="00B42EF3">
            <w:pPr>
              <w:pStyle w:val="TableBodyText"/>
            </w:pPr>
            <w:r>
              <w:t>0443</w:t>
            </w:r>
          </w:p>
        </w:tc>
      </w:tr>
      <w:tr w:rsidR="005F78FC" w:rsidTr="005F78FC">
        <w:tc>
          <w:tcPr>
            <w:tcW w:w="0" w:type="auto"/>
            <w:vAlign w:val="center"/>
          </w:tcPr>
          <w:p w:rsidR="005F78FC" w:rsidRDefault="00B42EF3">
            <w:pPr>
              <w:pStyle w:val="TableBodyText"/>
            </w:pPr>
            <w:r>
              <w:t>EmailSelectBccNames</w:t>
            </w:r>
          </w:p>
        </w:tc>
        <w:tc>
          <w:tcPr>
            <w:tcW w:w="0" w:type="auto"/>
            <w:vAlign w:val="center"/>
          </w:tcPr>
          <w:p w:rsidR="005F78FC" w:rsidRDefault="00B42EF3">
            <w:pPr>
              <w:pStyle w:val="TableBodyText"/>
            </w:pPr>
            <w:r>
              <w:t>043F</w:t>
            </w:r>
          </w:p>
        </w:tc>
      </w:tr>
      <w:tr w:rsidR="005F78FC" w:rsidTr="005F78FC">
        <w:tc>
          <w:tcPr>
            <w:tcW w:w="0" w:type="auto"/>
            <w:vAlign w:val="center"/>
          </w:tcPr>
          <w:p w:rsidR="005F78FC" w:rsidRDefault="00B42EF3">
            <w:pPr>
              <w:pStyle w:val="TableBodyText"/>
            </w:pPr>
            <w:r>
              <w:t>EmailSelectCcNames</w:t>
            </w:r>
          </w:p>
        </w:tc>
        <w:tc>
          <w:tcPr>
            <w:tcW w:w="0" w:type="auto"/>
            <w:vAlign w:val="center"/>
          </w:tcPr>
          <w:p w:rsidR="005F78FC" w:rsidRDefault="00B42EF3">
            <w:pPr>
              <w:pStyle w:val="TableBodyText"/>
            </w:pPr>
            <w:r>
              <w:t>043E</w:t>
            </w:r>
          </w:p>
        </w:tc>
      </w:tr>
      <w:tr w:rsidR="005F78FC" w:rsidTr="005F78FC">
        <w:tc>
          <w:tcPr>
            <w:tcW w:w="0" w:type="auto"/>
            <w:vAlign w:val="center"/>
          </w:tcPr>
          <w:p w:rsidR="005F78FC" w:rsidRDefault="00B42EF3">
            <w:pPr>
              <w:pStyle w:val="TableBodyText"/>
            </w:pPr>
            <w:r>
              <w:t>EmailSelectNames</w:t>
            </w:r>
          </w:p>
        </w:tc>
        <w:tc>
          <w:tcPr>
            <w:tcW w:w="0" w:type="auto"/>
            <w:vAlign w:val="center"/>
          </w:tcPr>
          <w:p w:rsidR="005F78FC" w:rsidRDefault="00B42EF3">
            <w:pPr>
              <w:pStyle w:val="TableBodyText"/>
            </w:pPr>
            <w:r>
              <w:t>043B</w:t>
            </w:r>
          </w:p>
        </w:tc>
      </w:tr>
      <w:tr w:rsidR="005F78FC" w:rsidTr="005F78FC">
        <w:tc>
          <w:tcPr>
            <w:tcW w:w="0" w:type="auto"/>
            <w:vAlign w:val="center"/>
          </w:tcPr>
          <w:p w:rsidR="005F78FC" w:rsidRDefault="00B42EF3">
            <w:pPr>
              <w:pStyle w:val="TableBodyText"/>
            </w:pPr>
            <w:r>
              <w:t>EmailSelectToNames</w:t>
            </w:r>
          </w:p>
        </w:tc>
        <w:tc>
          <w:tcPr>
            <w:tcW w:w="0" w:type="auto"/>
            <w:vAlign w:val="center"/>
          </w:tcPr>
          <w:p w:rsidR="005F78FC" w:rsidRDefault="00B42EF3">
            <w:pPr>
              <w:pStyle w:val="TableBodyText"/>
            </w:pPr>
            <w:r>
              <w:t>043D</w:t>
            </w:r>
          </w:p>
        </w:tc>
      </w:tr>
      <w:tr w:rsidR="005F78FC" w:rsidTr="005F78FC">
        <w:tc>
          <w:tcPr>
            <w:tcW w:w="0" w:type="auto"/>
            <w:vAlign w:val="center"/>
          </w:tcPr>
          <w:p w:rsidR="005F78FC" w:rsidRDefault="00B42EF3">
            <w:pPr>
              <w:pStyle w:val="TableBodyText"/>
            </w:pPr>
            <w:r>
              <w:t>EmailSend</w:t>
            </w:r>
          </w:p>
        </w:tc>
        <w:tc>
          <w:tcPr>
            <w:tcW w:w="0" w:type="auto"/>
            <w:vAlign w:val="center"/>
          </w:tcPr>
          <w:p w:rsidR="005F78FC" w:rsidRDefault="00B42EF3">
            <w:pPr>
              <w:pStyle w:val="TableBodyText"/>
            </w:pPr>
            <w:r>
              <w:t>043A</w:t>
            </w:r>
          </w:p>
        </w:tc>
      </w:tr>
      <w:tr w:rsidR="005F78FC" w:rsidTr="005F78FC">
        <w:tc>
          <w:tcPr>
            <w:tcW w:w="0" w:type="auto"/>
            <w:vAlign w:val="center"/>
          </w:tcPr>
          <w:p w:rsidR="005F78FC" w:rsidRDefault="00B42EF3">
            <w:pPr>
              <w:pStyle w:val="TableBodyText"/>
            </w:pPr>
            <w:r>
              <w:t>EmailSignatureOptions</w:t>
            </w:r>
          </w:p>
        </w:tc>
        <w:tc>
          <w:tcPr>
            <w:tcW w:w="0" w:type="auto"/>
            <w:vAlign w:val="center"/>
          </w:tcPr>
          <w:p w:rsidR="005F78FC" w:rsidRDefault="00B42EF3">
            <w:pPr>
              <w:pStyle w:val="TableBodyText"/>
            </w:pPr>
            <w:r>
              <w:t>035E</w:t>
            </w:r>
          </w:p>
        </w:tc>
      </w:tr>
      <w:tr w:rsidR="005F78FC" w:rsidTr="005F78FC">
        <w:tc>
          <w:tcPr>
            <w:tcW w:w="0" w:type="auto"/>
            <w:vAlign w:val="center"/>
          </w:tcPr>
          <w:p w:rsidR="005F78FC" w:rsidRDefault="00B42EF3">
            <w:pPr>
              <w:pStyle w:val="TableBodyText"/>
            </w:pPr>
            <w:r>
              <w:t>EmailStationeryOptions</w:t>
            </w:r>
          </w:p>
        </w:tc>
        <w:tc>
          <w:tcPr>
            <w:tcW w:w="0" w:type="auto"/>
            <w:vAlign w:val="center"/>
          </w:tcPr>
          <w:p w:rsidR="005F78FC" w:rsidRDefault="00B42EF3">
            <w:pPr>
              <w:pStyle w:val="TableBodyText"/>
            </w:pPr>
            <w:r>
              <w:t>0884</w:t>
            </w:r>
          </w:p>
        </w:tc>
      </w:tr>
      <w:tr w:rsidR="005F78FC" w:rsidTr="005F78FC">
        <w:tc>
          <w:tcPr>
            <w:tcW w:w="0" w:type="auto"/>
            <w:vAlign w:val="center"/>
          </w:tcPr>
          <w:p w:rsidR="005F78FC" w:rsidRDefault="00B42EF3">
            <w:pPr>
              <w:pStyle w:val="TableBodyText"/>
            </w:pPr>
            <w:r>
              <w:t>EndOfColumn</w:t>
            </w:r>
          </w:p>
        </w:tc>
        <w:tc>
          <w:tcPr>
            <w:tcW w:w="0" w:type="auto"/>
            <w:vAlign w:val="center"/>
          </w:tcPr>
          <w:p w:rsidR="005F78FC" w:rsidRDefault="00B42EF3">
            <w:pPr>
              <w:pStyle w:val="TableBodyText"/>
            </w:pPr>
            <w:r>
              <w:t>0113</w:t>
            </w:r>
          </w:p>
        </w:tc>
      </w:tr>
      <w:tr w:rsidR="005F78FC" w:rsidTr="005F78FC">
        <w:tc>
          <w:tcPr>
            <w:tcW w:w="0" w:type="auto"/>
            <w:vAlign w:val="center"/>
          </w:tcPr>
          <w:p w:rsidR="005F78FC" w:rsidRDefault="00B42EF3">
            <w:pPr>
              <w:pStyle w:val="TableBodyText"/>
            </w:pPr>
            <w:r>
              <w:t>EndOfDocExtend</w:t>
            </w:r>
          </w:p>
        </w:tc>
        <w:tc>
          <w:tcPr>
            <w:tcW w:w="0" w:type="auto"/>
            <w:vAlign w:val="center"/>
          </w:tcPr>
          <w:p w:rsidR="005F78FC" w:rsidRDefault="00B42EF3">
            <w:pPr>
              <w:pStyle w:val="TableBodyText"/>
            </w:pPr>
            <w:r>
              <w:t>0FC3</w:t>
            </w:r>
          </w:p>
        </w:tc>
      </w:tr>
      <w:tr w:rsidR="005F78FC" w:rsidTr="005F78FC">
        <w:tc>
          <w:tcPr>
            <w:tcW w:w="0" w:type="auto"/>
            <w:vAlign w:val="center"/>
          </w:tcPr>
          <w:p w:rsidR="005F78FC" w:rsidRDefault="00B42EF3">
            <w:pPr>
              <w:pStyle w:val="TableBodyText"/>
            </w:pPr>
            <w:r>
              <w:t>EndOfDocument</w:t>
            </w:r>
          </w:p>
        </w:tc>
        <w:tc>
          <w:tcPr>
            <w:tcW w:w="0" w:type="auto"/>
            <w:vAlign w:val="center"/>
          </w:tcPr>
          <w:p w:rsidR="005F78FC" w:rsidRDefault="00B42EF3">
            <w:pPr>
              <w:pStyle w:val="TableBodyText"/>
            </w:pPr>
            <w:r>
              <w:t>0FB1</w:t>
            </w:r>
          </w:p>
        </w:tc>
      </w:tr>
      <w:tr w:rsidR="005F78FC" w:rsidTr="005F78FC">
        <w:tc>
          <w:tcPr>
            <w:tcW w:w="0" w:type="auto"/>
            <w:vAlign w:val="center"/>
          </w:tcPr>
          <w:p w:rsidR="005F78FC" w:rsidRDefault="00B42EF3">
            <w:pPr>
              <w:pStyle w:val="TableBodyText"/>
            </w:pPr>
            <w:r>
              <w:t>EndOfLine</w:t>
            </w:r>
          </w:p>
        </w:tc>
        <w:tc>
          <w:tcPr>
            <w:tcW w:w="0" w:type="auto"/>
            <w:vAlign w:val="center"/>
          </w:tcPr>
          <w:p w:rsidR="005F78FC" w:rsidRDefault="00B42EF3">
            <w:pPr>
              <w:pStyle w:val="TableBodyText"/>
            </w:pPr>
            <w:r>
              <w:t>0FAD</w:t>
            </w:r>
          </w:p>
        </w:tc>
      </w:tr>
      <w:tr w:rsidR="005F78FC" w:rsidTr="005F78FC">
        <w:tc>
          <w:tcPr>
            <w:tcW w:w="0" w:type="auto"/>
            <w:vAlign w:val="center"/>
          </w:tcPr>
          <w:p w:rsidR="005F78FC" w:rsidRDefault="00B42EF3">
            <w:pPr>
              <w:pStyle w:val="TableBodyText"/>
            </w:pPr>
            <w:r>
              <w:t>EndOfLineExtend</w:t>
            </w:r>
          </w:p>
        </w:tc>
        <w:tc>
          <w:tcPr>
            <w:tcW w:w="0" w:type="auto"/>
            <w:vAlign w:val="center"/>
          </w:tcPr>
          <w:p w:rsidR="005F78FC" w:rsidRDefault="00B42EF3">
            <w:pPr>
              <w:pStyle w:val="TableBodyText"/>
            </w:pPr>
            <w:r>
              <w:t>0FBF</w:t>
            </w:r>
          </w:p>
        </w:tc>
      </w:tr>
      <w:tr w:rsidR="005F78FC" w:rsidTr="005F78FC">
        <w:tc>
          <w:tcPr>
            <w:tcW w:w="0" w:type="auto"/>
            <w:vAlign w:val="center"/>
          </w:tcPr>
          <w:p w:rsidR="005F78FC" w:rsidRDefault="00B42EF3">
            <w:pPr>
              <w:pStyle w:val="TableBodyText"/>
            </w:pPr>
            <w:r>
              <w:t>EndOfRow</w:t>
            </w:r>
          </w:p>
        </w:tc>
        <w:tc>
          <w:tcPr>
            <w:tcW w:w="0" w:type="auto"/>
            <w:vAlign w:val="center"/>
          </w:tcPr>
          <w:p w:rsidR="005F78FC" w:rsidRDefault="00B42EF3">
            <w:pPr>
              <w:pStyle w:val="TableBodyText"/>
            </w:pPr>
            <w:r>
              <w:t>0111</w:t>
            </w:r>
          </w:p>
        </w:tc>
      </w:tr>
      <w:tr w:rsidR="005F78FC" w:rsidTr="005F78FC">
        <w:tc>
          <w:tcPr>
            <w:tcW w:w="0" w:type="auto"/>
            <w:vAlign w:val="center"/>
          </w:tcPr>
          <w:p w:rsidR="005F78FC" w:rsidRDefault="00B42EF3">
            <w:pPr>
              <w:pStyle w:val="TableBodyText"/>
            </w:pPr>
            <w:r>
              <w:t>EndOfWindow</w:t>
            </w:r>
          </w:p>
        </w:tc>
        <w:tc>
          <w:tcPr>
            <w:tcW w:w="0" w:type="auto"/>
            <w:vAlign w:val="center"/>
          </w:tcPr>
          <w:p w:rsidR="005F78FC" w:rsidRDefault="00B42EF3">
            <w:pPr>
              <w:pStyle w:val="TableBodyText"/>
            </w:pPr>
            <w:r>
              <w:t>0FAF</w:t>
            </w:r>
          </w:p>
        </w:tc>
      </w:tr>
      <w:tr w:rsidR="005F78FC" w:rsidTr="005F78FC">
        <w:tc>
          <w:tcPr>
            <w:tcW w:w="0" w:type="auto"/>
            <w:vAlign w:val="center"/>
          </w:tcPr>
          <w:p w:rsidR="005F78FC" w:rsidRDefault="00B42EF3">
            <w:pPr>
              <w:pStyle w:val="TableBodyText"/>
            </w:pPr>
            <w:r>
              <w:t>EndOfWindowExtend</w:t>
            </w:r>
          </w:p>
        </w:tc>
        <w:tc>
          <w:tcPr>
            <w:tcW w:w="0" w:type="auto"/>
            <w:vAlign w:val="center"/>
          </w:tcPr>
          <w:p w:rsidR="005F78FC" w:rsidRDefault="00B42EF3">
            <w:pPr>
              <w:pStyle w:val="TableBodyText"/>
            </w:pPr>
            <w:r>
              <w:t>0FC1</w:t>
            </w:r>
          </w:p>
        </w:tc>
      </w:tr>
      <w:tr w:rsidR="005F78FC" w:rsidTr="005F78FC">
        <w:tc>
          <w:tcPr>
            <w:tcW w:w="0" w:type="auto"/>
            <w:vAlign w:val="center"/>
          </w:tcPr>
          <w:p w:rsidR="005F78FC" w:rsidRDefault="00B42EF3">
            <w:pPr>
              <w:pStyle w:val="TableBodyText"/>
            </w:pPr>
            <w:r>
              <w:t>EndReview</w:t>
            </w:r>
          </w:p>
        </w:tc>
        <w:tc>
          <w:tcPr>
            <w:tcW w:w="0" w:type="auto"/>
            <w:vAlign w:val="center"/>
          </w:tcPr>
          <w:p w:rsidR="005F78FC" w:rsidRDefault="00B42EF3">
            <w:pPr>
              <w:pStyle w:val="TableBodyText"/>
            </w:pPr>
            <w:r>
              <w:t>04F6</w:t>
            </w:r>
          </w:p>
        </w:tc>
      </w:tr>
      <w:tr w:rsidR="005F78FC" w:rsidTr="005F78FC">
        <w:tc>
          <w:tcPr>
            <w:tcW w:w="0" w:type="auto"/>
            <w:vAlign w:val="center"/>
          </w:tcPr>
          <w:p w:rsidR="005F78FC" w:rsidRDefault="00B42EF3">
            <w:pPr>
              <w:pStyle w:val="TableBodyText"/>
            </w:pPr>
            <w:r>
              <w:t>EngWritingAssistant</w:t>
            </w:r>
          </w:p>
        </w:tc>
        <w:tc>
          <w:tcPr>
            <w:tcW w:w="0" w:type="auto"/>
            <w:vAlign w:val="center"/>
          </w:tcPr>
          <w:p w:rsidR="005F78FC" w:rsidRDefault="00B42EF3">
            <w:pPr>
              <w:pStyle w:val="TableBodyText"/>
            </w:pPr>
            <w:r>
              <w:t>0910</w:t>
            </w:r>
          </w:p>
        </w:tc>
      </w:tr>
      <w:tr w:rsidR="005F78FC" w:rsidTr="005F78FC">
        <w:tc>
          <w:tcPr>
            <w:tcW w:w="0" w:type="auto"/>
            <w:vAlign w:val="center"/>
          </w:tcPr>
          <w:p w:rsidR="005F78FC" w:rsidRDefault="00B42EF3">
            <w:pPr>
              <w:pStyle w:val="TableBodyText"/>
            </w:pPr>
            <w:r>
              <w:t>EnvelopeSetup</w:t>
            </w:r>
          </w:p>
        </w:tc>
        <w:tc>
          <w:tcPr>
            <w:tcW w:w="0" w:type="auto"/>
            <w:vAlign w:val="center"/>
          </w:tcPr>
          <w:p w:rsidR="005F78FC" w:rsidRDefault="00B42EF3">
            <w:pPr>
              <w:pStyle w:val="TableBodyText"/>
            </w:pPr>
            <w:r>
              <w:t>0558</w:t>
            </w:r>
          </w:p>
        </w:tc>
      </w:tr>
      <w:tr w:rsidR="005F78FC" w:rsidTr="005F78FC">
        <w:tc>
          <w:tcPr>
            <w:tcW w:w="0" w:type="auto"/>
            <w:vAlign w:val="center"/>
          </w:tcPr>
          <w:p w:rsidR="005F78FC" w:rsidRDefault="00B42EF3">
            <w:pPr>
              <w:pStyle w:val="TableBodyText"/>
            </w:pPr>
            <w:r>
              <w:t>EnvelopeWizard</w:t>
            </w:r>
          </w:p>
        </w:tc>
        <w:tc>
          <w:tcPr>
            <w:tcW w:w="0" w:type="auto"/>
            <w:vAlign w:val="center"/>
          </w:tcPr>
          <w:p w:rsidR="005F78FC" w:rsidRDefault="00B42EF3">
            <w:pPr>
              <w:pStyle w:val="TableBodyText"/>
            </w:pPr>
            <w:r>
              <w:t>0497</w:t>
            </w:r>
          </w:p>
        </w:tc>
      </w:tr>
      <w:tr w:rsidR="005F78FC" w:rsidTr="005F78FC">
        <w:tc>
          <w:tcPr>
            <w:tcW w:w="0" w:type="auto"/>
            <w:vAlign w:val="center"/>
          </w:tcPr>
          <w:p w:rsidR="005F78FC" w:rsidRDefault="00B42EF3">
            <w:pPr>
              <w:pStyle w:val="TableBodyText"/>
            </w:pPr>
            <w:r>
              <w:t>EquationAccentGallery</w:t>
            </w:r>
          </w:p>
        </w:tc>
        <w:tc>
          <w:tcPr>
            <w:tcW w:w="0" w:type="auto"/>
            <w:vAlign w:val="center"/>
          </w:tcPr>
          <w:p w:rsidR="005F78FC" w:rsidRDefault="00B42EF3">
            <w:pPr>
              <w:pStyle w:val="TableBodyText"/>
            </w:pPr>
            <w:r>
              <w:t>088D</w:t>
            </w:r>
          </w:p>
        </w:tc>
      </w:tr>
      <w:tr w:rsidR="005F78FC" w:rsidTr="005F78FC">
        <w:tc>
          <w:tcPr>
            <w:tcW w:w="0" w:type="auto"/>
            <w:vAlign w:val="center"/>
          </w:tcPr>
          <w:p w:rsidR="005F78FC" w:rsidRDefault="00B42EF3">
            <w:pPr>
              <w:pStyle w:val="TableBodyText"/>
            </w:pPr>
            <w:r>
              <w:t>EquationAlignAtEquals</w:t>
            </w:r>
          </w:p>
        </w:tc>
        <w:tc>
          <w:tcPr>
            <w:tcW w:w="0" w:type="auto"/>
            <w:vAlign w:val="center"/>
          </w:tcPr>
          <w:p w:rsidR="005F78FC" w:rsidRDefault="00B42EF3">
            <w:pPr>
              <w:pStyle w:val="TableBodyText"/>
            </w:pPr>
            <w:r>
              <w:t>0883</w:t>
            </w:r>
          </w:p>
        </w:tc>
      </w:tr>
      <w:tr w:rsidR="005F78FC" w:rsidTr="005F78FC">
        <w:tc>
          <w:tcPr>
            <w:tcW w:w="0" w:type="auto"/>
            <w:vAlign w:val="center"/>
          </w:tcPr>
          <w:p w:rsidR="005F78FC" w:rsidRDefault="00B42EF3">
            <w:pPr>
              <w:pStyle w:val="TableBodyText"/>
            </w:pPr>
            <w:r>
              <w:t>EquationAlignThisCharacter</w:t>
            </w:r>
          </w:p>
        </w:tc>
        <w:tc>
          <w:tcPr>
            <w:tcW w:w="0" w:type="auto"/>
            <w:vAlign w:val="center"/>
          </w:tcPr>
          <w:p w:rsidR="005F78FC" w:rsidRDefault="00B42EF3">
            <w:pPr>
              <w:pStyle w:val="TableBodyText"/>
            </w:pPr>
            <w:r>
              <w:t>0882</w:t>
            </w:r>
          </w:p>
        </w:tc>
      </w:tr>
      <w:tr w:rsidR="005F78FC" w:rsidTr="005F78FC">
        <w:tc>
          <w:tcPr>
            <w:tcW w:w="0" w:type="auto"/>
            <w:vAlign w:val="center"/>
          </w:tcPr>
          <w:p w:rsidR="005F78FC" w:rsidRDefault="00B42EF3">
            <w:pPr>
              <w:pStyle w:val="TableBodyText"/>
            </w:pPr>
            <w:r>
              <w:t>EquationArrayExpansion</w:t>
            </w:r>
          </w:p>
        </w:tc>
        <w:tc>
          <w:tcPr>
            <w:tcW w:w="0" w:type="auto"/>
            <w:vAlign w:val="center"/>
          </w:tcPr>
          <w:p w:rsidR="005F78FC" w:rsidRDefault="00B42EF3">
            <w:pPr>
              <w:pStyle w:val="TableBodyText"/>
            </w:pPr>
            <w:r>
              <w:t>0871</w:t>
            </w:r>
          </w:p>
        </w:tc>
      </w:tr>
      <w:tr w:rsidR="005F78FC" w:rsidTr="005F78FC">
        <w:tc>
          <w:tcPr>
            <w:tcW w:w="0" w:type="auto"/>
            <w:vAlign w:val="center"/>
          </w:tcPr>
          <w:p w:rsidR="005F78FC" w:rsidRDefault="00B42EF3">
            <w:pPr>
              <w:pStyle w:val="TableBodyText"/>
            </w:pPr>
            <w:r>
              <w:t>EquationAutoProfessionalFormat</w:t>
            </w:r>
          </w:p>
        </w:tc>
        <w:tc>
          <w:tcPr>
            <w:tcW w:w="0" w:type="auto"/>
            <w:vAlign w:val="center"/>
          </w:tcPr>
          <w:p w:rsidR="005F78FC" w:rsidRDefault="00B42EF3">
            <w:pPr>
              <w:pStyle w:val="TableBodyText"/>
            </w:pPr>
            <w:r>
              <w:t>07D4</w:t>
            </w:r>
          </w:p>
        </w:tc>
      </w:tr>
      <w:tr w:rsidR="005F78FC" w:rsidTr="005F78FC">
        <w:tc>
          <w:tcPr>
            <w:tcW w:w="0" w:type="auto"/>
            <w:vAlign w:val="center"/>
          </w:tcPr>
          <w:p w:rsidR="005F78FC" w:rsidRDefault="00B42EF3">
            <w:pPr>
              <w:pStyle w:val="TableBodyText"/>
            </w:pPr>
            <w:r>
              <w:t>EquationBarLocation</w:t>
            </w:r>
          </w:p>
        </w:tc>
        <w:tc>
          <w:tcPr>
            <w:tcW w:w="0" w:type="auto"/>
            <w:vAlign w:val="center"/>
          </w:tcPr>
          <w:p w:rsidR="005F78FC" w:rsidRDefault="00B42EF3">
            <w:pPr>
              <w:pStyle w:val="TableBodyText"/>
            </w:pPr>
            <w:r>
              <w:t>086E</w:t>
            </w:r>
          </w:p>
        </w:tc>
      </w:tr>
      <w:tr w:rsidR="005F78FC" w:rsidTr="005F78FC">
        <w:tc>
          <w:tcPr>
            <w:tcW w:w="0" w:type="auto"/>
            <w:vAlign w:val="center"/>
          </w:tcPr>
          <w:p w:rsidR="005F78FC" w:rsidRDefault="00B42EF3">
            <w:pPr>
              <w:pStyle w:val="TableBodyText"/>
            </w:pPr>
            <w:r>
              <w:t>EquationBorderPropertiesMenu</w:t>
            </w:r>
          </w:p>
        </w:tc>
        <w:tc>
          <w:tcPr>
            <w:tcW w:w="0" w:type="auto"/>
            <w:vAlign w:val="center"/>
          </w:tcPr>
          <w:p w:rsidR="005F78FC" w:rsidRDefault="00B42EF3">
            <w:pPr>
              <w:pStyle w:val="TableBodyText"/>
            </w:pPr>
            <w:r>
              <w:t>16CA</w:t>
            </w:r>
          </w:p>
        </w:tc>
      </w:tr>
      <w:tr w:rsidR="005F78FC" w:rsidTr="005F78FC">
        <w:tc>
          <w:tcPr>
            <w:tcW w:w="0" w:type="auto"/>
            <w:vAlign w:val="center"/>
          </w:tcPr>
          <w:p w:rsidR="005F78FC" w:rsidRDefault="00B42EF3">
            <w:pPr>
              <w:pStyle w:val="TableBodyText"/>
            </w:pPr>
            <w:r>
              <w:t>EquationCenteredAsGroupJustification</w:t>
            </w:r>
          </w:p>
        </w:tc>
        <w:tc>
          <w:tcPr>
            <w:tcW w:w="0" w:type="auto"/>
            <w:vAlign w:val="center"/>
          </w:tcPr>
          <w:p w:rsidR="005F78FC" w:rsidRDefault="00B42EF3">
            <w:pPr>
              <w:pStyle w:val="TableBodyText"/>
            </w:pPr>
            <w:r>
              <w:t>08EE</w:t>
            </w:r>
          </w:p>
        </w:tc>
      </w:tr>
      <w:tr w:rsidR="005F78FC" w:rsidTr="005F78FC">
        <w:tc>
          <w:tcPr>
            <w:tcW w:w="0" w:type="auto"/>
            <w:vAlign w:val="center"/>
          </w:tcPr>
          <w:p w:rsidR="005F78FC" w:rsidRDefault="00B42EF3">
            <w:pPr>
              <w:pStyle w:val="TableBodyText"/>
            </w:pPr>
            <w:r>
              <w:t>EquationCenteredJustification</w:t>
            </w:r>
          </w:p>
        </w:tc>
        <w:tc>
          <w:tcPr>
            <w:tcW w:w="0" w:type="auto"/>
            <w:vAlign w:val="center"/>
          </w:tcPr>
          <w:p w:rsidR="005F78FC" w:rsidRDefault="00B42EF3">
            <w:pPr>
              <w:pStyle w:val="TableBodyText"/>
            </w:pPr>
            <w:r>
              <w:t>08ED</w:t>
            </w:r>
          </w:p>
        </w:tc>
      </w:tr>
      <w:tr w:rsidR="005F78FC" w:rsidTr="005F78FC">
        <w:tc>
          <w:tcPr>
            <w:tcW w:w="0" w:type="auto"/>
            <w:vAlign w:val="center"/>
          </w:tcPr>
          <w:p w:rsidR="005F78FC" w:rsidRDefault="00B42EF3">
            <w:pPr>
              <w:pStyle w:val="TableBodyText"/>
            </w:pPr>
            <w:r>
              <w:t>EquationChangeStyle</w:t>
            </w:r>
          </w:p>
        </w:tc>
        <w:tc>
          <w:tcPr>
            <w:tcW w:w="0" w:type="auto"/>
            <w:vAlign w:val="center"/>
          </w:tcPr>
          <w:p w:rsidR="005F78FC" w:rsidRDefault="00B42EF3">
            <w:pPr>
              <w:pStyle w:val="TableBodyText"/>
            </w:pPr>
            <w:r>
              <w:t>07BF</w:t>
            </w:r>
          </w:p>
        </w:tc>
      </w:tr>
      <w:tr w:rsidR="005F78FC" w:rsidTr="005F78FC">
        <w:tc>
          <w:tcPr>
            <w:tcW w:w="0" w:type="auto"/>
            <w:vAlign w:val="center"/>
          </w:tcPr>
          <w:p w:rsidR="005F78FC" w:rsidRDefault="00B42EF3">
            <w:pPr>
              <w:pStyle w:val="TableBodyText"/>
            </w:pPr>
            <w:r>
              <w:lastRenderedPageBreak/>
              <w:t>EquationDecreaseAlignment</w:t>
            </w:r>
          </w:p>
        </w:tc>
        <w:tc>
          <w:tcPr>
            <w:tcW w:w="0" w:type="auto"/>
            <w:vAlign w:val="center"/>
          </w:tcPr>
          <w:p w:rsidR="005F78FC" w:rsidRDefault="00B42EF3">
            <w:pPr>
              <w:pStyle w:val="TableBodyText"/>
            </w:pPr>
            <w:r>
              <w:t>07BE</w:t>
            </w:r>
          </w:p>
        </w:tc>
      </w:tr>
      <w:tr w:rsidR="005F78FC" w:rsidTr="005F78FC">
        <w:tc>
          <w:tcPr>
            <w:tcW w:w="0" w:type="auto"/>
            <w:vAlign w:val="center"/>
          </w:tcPr>
          <w:p w:rsidR="005F78FC" w:rsidRDefault="00B42EF3">
            <w:pPr>
              <w:pStyle w:val="TableBodyText"/>
            </w:pPr>
            <w:r>
              <w:t>EquationDecreaseArgumentSize</w:t>
            </w:r>
          </w:p>
        </w:tc>
        <w:tc>
          <w:tcPr>
            <w:tcW w:w="0" w:type="auto"/>
            <w:vAlign w:val="center"/>
          </w:tcPr>
          <w:p w:rsidR="005F78FC" w:rsidRDefault="00B42EF3">
            <w:pPr>
              <w:pStyle w:val="TableBodyText"/>
            </w:pPr>
            <w:r>
              <w:t>0874</w:t>
            </w:r>
          </w:p>
        </w:tc>
      </w:tr>
      <w:tr w:rsidR="005F78FC" w:rsidTr="005F78FC">
        <w:tc>
          <w:tcPr>
            <w:tcW w:w="0" w:type="auto"/>
            <w:vAlign w:val="center"/>
          </w:tcPr>
          <w:p w:rsidR="005F78FC" w:rsidRDefault="00B42EF3">
            <w:pPr>
              <w:pStyle w:val="TableBodyText"/>
            </w:pPr>
            <w:r>
              <w:t>EquationDeleteArgument</w:t>
            </w:r>
          </w:p>
        </w:tc>
        <w:tc>
          <w:tcPr>
            <w:tcW w:w="0" w:type="auto"/>
            <w:vAlign w:val="center"/>
          </w:tcPr>
          <w:p w:rsidR="005F78FC" w:rsidRDefault="00B42EF3">
            <w:pPr>
              <w:pStyle w:val="TableBodyText"/>
            </w:pPr>
            <w:r>
              <w:t>085E</w:t>
            </w:r>
          </w:p>
        </w:tc>
      </w:tr>
      <w:tr w:rsidR="005F78FC" w:rsidTr="005F78FC">
        <w:tc>
          <w:tcPr>
            <w:tcW w:w="0" w:type="auto"/>
            <w:vAlign w:val="center"/>
          </w:tcPr>
          <w:p w:rsidR="005F78FC" w:rsidRDefault="00B42EF3">
            <w:pPr>
              <w:pStyle w:val="TableBodyText"/>
            </w:pPr>
            <w:r>
              <w:t>EquationDeleteColumn</w:t>
            </w:r>
          </w:p>
        </w:tc>
        <w:tc>
          <w:tcPr>
            <w:tcW w:w="0" w:type="auto"/>
            <w:vAlign w:val="center"/>
          </w:tcPr>
          <w:p w:rsidR="005F78FC" w:rsidRDefault="00B42EF3">
            <w:pPr>
              <w:pStyle w:val="TableBodyText"/>
            </w:pPr>
            <w:r>
              <w:t>07C8</w:t>
            </w:r>
          </w:p>
        </w:tc>
      </w:tr>
      <w:tr w:rsidR="005F78FC" w:rsidTr="005F78FC">
        <w:tc>
          <w:tcPr>
            <w:tcW w:w="0" w:type="auto"/>
            <w:vAlign w:val="center"/>
          </w:tcPr>
          <w:p w:rsidR="005F78FC" w:rsidRDefault="00B42EF3">
            <w:pPr>
              <w:pStyle w:val="TableBodyText"/>
            </w:pPr>
            <w:r>
              <w:t>EquationDeleteMenu</w:t>
            </w:r>
          </w:p>
        </w:tc>
        <w:tc>
          <w:tcPr>
            <w:tcW w:w="0" w:type="auto"/>
            <w:vAlign w:val="center"/>
          </w:tcPr>
          <w:p w:rsidR="005F78FC" w:rsidRDefault="00B42EF3">
            <w:pPr>
              <w:pStyle w:val="TableBodyText"/>
            </w:pPr>
            <w:r>
              <w:t>16C9</w:t>
            </w:r>
          </w:p>
        </w:tc>
      </w:tr>
      <w:tr w:rsidR="005F78FC" w:rsidTr="005F78FC">
        <w:tc>
          <w:tcPr>
            <w:tcW w:w="0" w:type="auto"/>
            <w:vAlign w:val="center"/>
          </w:tcPr>
          <w:p w:rsidR="005F78FC" w:rsidRDefault="00B42EF3">
            <w:pPr>
              <w:pStyle w:val="TableBodyText"/>
            </w:pPr>
            <w:r>
              <w:t>EquationDeleteRow</w:t>
            </w:r>
          </w:p>
        </w:tc>
        <w:tc>
          <w:tcPr>
            <w:tcW w:w="0" w:type="auto"/>
            <w:vAlign w:val="center"/>
          </w:tcPr>
          <w:p w:rsidR="005F78FC" w:rsidRDefault="00B42EF3">
            <w:pPr>
              <w:pStyle w:val="TableBodyText"/>
            </w:pPr>
            <w:r>
              <w:t>07C7</w:t>
            </w:r>
          </w:p>
        </w:tc>
      </w:tr>
      <w:tr w:rsidR="005F78FC" w:rsidTr="005F78FC">
        <w:tc>
          <w:tcPr>
            <w:tcW w:w="0" w:type="auto"/>
            <w:vAlign w:val="center"/>
          </w:tcPr>
          <w:p w:rsidR="005F78FC" w:rsidRDefault="00B42EF3">
            <w:pPr>
              <w:pStyle w:val="TableBodyText"/>
            </w:pPr>
            <w:r>
              <w:t>EquationDelimiterGallery</w:t>
            </w:r>
          </w:p>
        </w:tc>
        <w:tc>
          <w:tcPr>
            <w:tcW w:w="0" w:type="auto"/>
            <w:vAlign w:val="center"/>
          </w:tcPr>
          <w:p w:rsidR="005F78FC" w:rsidRDefault="00B42EF3">
            <w:pPr>
              <w:pStyle w:val="TableBodyText"/>
            </w:pPr>
            <w:r>
              <w:t>07DC</w:t>
            </w:r>
          </w:p>
        </w:tc>
      </w:tr>
      <w:tr w:rsidR="005F78FC" w:rsidTr="005F78FC">
        <w:tc>
          <w:tcPr>
            <w:tcW w:w="0" w:type="auto"/>
            <w:vAlign w:val="center"/>
          </w:tcPr>
          <w:p w:rsidR="005F78FC" w:rsidRDefault="00B42EF3">
            <w:pPr>
              <w:pStyle w:val="TableBodyText"/>
            </w:pPr>
            <w:r>
              <w:t>EquationEdit</w:t>
            </w:r>
          </w:p>
        </w:tc>
        <w:tc>
          <w:tcPr>
            <w:tcW w:w="0" w:type="auto"/>
            <w:vAlign w:val="center"/>
          </w:tcPr>
          <w:p w:rsidR="005F78FC" w:rsidRDefault="00B42EF3">
            <w:pPr>
              <w:pStyle w:val="TableBodyText"/>
            </w:pPr>
            <w:r>
              <w:t>0800</w:t>
            </w:r>
          </w:p>
        </w:tc>
      </w:tr>
      <w:tr w:rsidR="005F78FC" w:rsidTr="005F78FC">
        <w:tc>
          <w:tcPr>
            <w:tcW w:w="0" w:type="auto"/>
            <w:vAlign w:val="center"/>
          </w:tcPr>
          <w:p w:rsidR="005F78FC" w:rsidRDefault="00B42EF3">
            <w:pPr>
              <w:pStyle w:val="TableBodyText"/>
            </w:pPr>
            <w:r>
              <w:t>EquationEquationArraySpacing</w:t>
            </w:r>
          </w:p>
        </w:tc>
        <w:tc>
          <w:tcPr>
            <w:tcW w:w="0" w:type="auto"/>
            <w:vAlign w:val="center"/>
          </w:tcPr>
          <w:p w:rsidR="005F78FC" w:rsidRDefault="00B42EF3">
            <w:pPr>
              <w:pStyle w:val="TableBodyText"/>
            </w:pPr>
            <w:r>
              <w:t>0900</w:t>
            </w:r>
          </w:p>
        </w:tc>
      </w:tr>
      <w:tr w:rsidR="005F78FC" w:rsidTr="005F78FC">
        <w:tc>
          <w:tcPr>
            <w:tcW w:w="0" w:type="auto"/>
            <w:vAlign w:val="center"/>
          </w:tcPr>
          <w:p w:rsidR="005F78FC" w:rsidRDefault="00B42EF3">
            <w:pPr>
              <w:pStyle w:val="TableBodyText"/>
            </w:pPr>
            <w:r>
              <w:t>EquationExpansion</w:t>
            </w:r>
          </w:p>
        </w:tc>
        <w:tc>
          <w:tcPr>
            <w:tcW w:w="0" w:type="auto"/>
            <w:vAlign w:val="center"/>
          </w:tcPr>
          <w:p w:rsidR="005F78FC" w:rsidRDefault="00B42EF3">
            <w:pPr>
              <w:pStyle w:val="TableBodyText"/>
            </w:pPr>
            <w:r>
              <w:t>0872</w:t>
            </w:r>
          </w:p>
        </w:tc>
      </w:tr>
      <w:tr w:rsidR="005F78FC" w:rsidTr="005F78FC">
        <w:tc>
          <w:tcPr>
            <w:tcW w:w="0" w:type="auto"/>
            <w:vAlign w:val="center"/>
          </w:tcPr>
          <w:p w:rsidR="005F78FC" w:rsidRDefault="00B42EF3">
            <w:pPr>
              <w:pStyle w:val="TableBodyText"/>
            </w:pPr>
            <w:r>
              <w:t>EquationFractionGallery</w:t>
            </w:r>
          </w:p>
        </w:tc>
        <w:tc>
          <w:tcPr>
            <w:tcW w:w="0" w:type="auto"/>
            <w:vAlign w:val="center"/>
          </w:tcPr>
          <w:p w:rsidR="005F78FC" w:rsidRDefault="00B42EF3">
            <w:pPr>
              <w:pStyle w:val="TableBodyText"/>
            </w:pPr>
            <w:r>
              <w:t>07D8</w:t>
            </w:r>
          </w:p>
        </w:tc>
      </w:tr>
      <w:tr w:rsidR="005F78FC" w:rsidTr="005F78FC">
        <w:tc>
          <w:tcPr>
            <w:tcW w:w="0" w:type="auto"/>
            <w:vAlign w:val="center"/>
          </w:tcPr>
          <w:p w:rsidR="005F78FC" w:rsidRDefault="00B42EF3">
            <w:pPr>
              <w:pStyle w:val="TableBodyText"/>
            </w:pPr>
            <w:r>
              <w:t>EquationFunctionGallery</w:t>
            </w:r>
          </w:p>
        </w:tc>
        <w:tc>
          <w:tcPr>
            <w:tcW w:w="0" w:type="auto"/>
            <w:vAlign w:val="center"/>
          </w:tcPr>
          <w:p w:rsidR="005F78FC" w:rsidRDefault="00B42EF3">
            <w:pPr>
              <w:pStyle w:val="TableBodyText"/>
            </w:pPr>
            <w:r>
              <w:t>088C</w:t>
            </w:r>
          </w:p>
        </w:tc>
      </w:tr>
      <w:tr w:rsidR="005F78FC" w:rsidTr="005F78FC">
        <w:tc>
          <w:tcPr>
            <w:tcW w:w="0" w:type="auto"/>
            <w:vAlign w:val="center"/>
          </w:tcPr>
          <w:p w:rsidR="005F78FC" w:rsidRDefault="00B42EF3">
            <w:pPr>
              <w:pStyle w:val="TableBodyText"/>
            </w:pPr>
            <w:r>
              <w:t>EquationGroupingCharacterLocation</w:t>
            </w:r>
          </w:p>
        </w:tc>
        <w:tc>
          <w:tcPr>
            <w:tcW w:w="0" w:type="auto"/>
            <w:vAlign w:val="center"/>
          </w:tcPr>
          <w:p w:rsidR="005F78FC" w:rsidRDefault="00B42EF3">
            <w:pPr>
              <w:pStyle w:val="TableBodyText"/>
            </w:pPr>
            <w:r>
              <w:t>0870</w:t>
            </w:r>
          </w:p>
        </w:tc>
      </w:tr>
      <w:tr w:rsidR="005F78FC" w:rsidTr="005F78FC">
        <w:tc>
          <w:tcPr>
            <w:tcW w:w="0" w:type="auto"/>
            <w:vAlign w:val="center"/>
          </w:tcPr>
          <w:p w:rsidR="005F78FC" w:rsidRDefault="00B42EF3">
            <w:pPr>
              <w:pStyle w:val="TableBodyText"/>
            </w:pPr>
            <w:r>
              <w:t>EquationHorizontalCenter</w:t>
            </w:r>
          </w:p>
        </w:tc>
        <w:tc>
          <w:tcPr>
            <w:tcW w:w="0" w:type="auto"/>
            <w:vAlign w:val="center"/>
          </w:tcPr>
          <w:p w:rsidR="005F78FC" w:rsidRDefault="00B42EF3">
            <w:pPr>
              <w:pStyle w:val="TableBodyText"/>
            </w:pPr>
            <w:r>
              <w:t>07CC</w:t>
            </w:r>
          </w:p>
        </w:tc>
      </w:tr>
      <w:tr w:rsidR="005F78FC" w:rsidTr="005F78FC">
        <w:tc>
          <w:tcPr>
            <w:tcW w:w="0" w:type="auto"/>
            <w:vAlign w:val="center"/>
          </w:tcPr>
          <w:p w:rsidR="005F78FC" w:rsidRDefault="00B42EF3">
            <w:pPr>
              <w:pStyle w:val="TableBodyText"/>
            </w:pPr>
            <w:r>
              <w:t>EquationHorizontalLeft</w:t>
            </w:r>
          </w:p>
        </w:tc>
        <w:tc>
          <w:tcPr>
            <w:tcW w:w="0" w:type="auto"/>
            <w:vAlign w:val="center"/>
          </w:tcPr>
          <w:p w:rsidR="005F78FC" w:rsidRDefault="00B42EF3">
            <w:pPr>
              <w:pStyle w:val="TableBodyText"/>
            </w:pPr>
            <w:r>
              <w:t>07CD</w:t>
            </w:r>
          </w:p>
        </w:tc>
      </w:tr>
      <w:tr w:rsidR="005F78FC" w:rsidTr="005F78FC">
        <w:tc>
          <w:tcPr>
            <w:tcW w:w="0" w:type="auto"/>
            <w:vAlign w:val="center"/>
          </w:tcPr>
          <w:p w:rsidR="005F78FC" w:rsidRDefault="00B42EF3">
            <w:pPr>
              <w:pStyle w:val="TableBodyText"/>
            </w:pPr>
            <w:r>
              <w:t>EquationHorizontalMenu</w:t>
            </w:r>
          </w:p>
        </w:tc>
        <w:tc>
          <w:tcPr>
            <w:tcW w:w="0" w:type="auto"/>
            <w:vAlign w:val="center"/>
          </w:tcPr>
          <w:p w:rsidR="005F78FC" w:rsidRDefault="00B42EF3">
            <w:pPr>
              <w:pStyle w:val="TableBodyText"/>
            </w:pPr>
            <w:r>
              <w:t>16C3</w:t>
            </w:r>
          </w:p>
        </w:tc>
      </w:tr>
      <w:tr w:rsidR="005F78FC" w:rsidTr="005F78FC">
        <w:tc>
          <w:tcPr>
            <w:tcW w:w="0" w:type="auto"/>
            <w:vAlign w:val="center"/>
          </w:tcPr>
          <w:p w:rsidR="005F78FC" w:rsidRDefault="00B42EF3">
            <w:pPr>
              <w:pStyle w:val="TableBodyText"/>
            </w:pPr>
            <w:r>
              <w:t>EquationHorizontalRight</w:t>
            </w:r>
          </w:p>
        </w:tc>
        <w:tc>
          <w:tcPr>
            <w:tcW w:w="0" w:type="auto"/>
            <w:vAlign w:val="center"/>
          </w:tcPr>
          <w:p w:rsidR="005F78FC" w:rsidRDefault="00B42EF3">
            <w:pPr>
              <w:pStyle w:val="TableBodyText"/>
            </w:pPr>
            <w:r>
              <w:t>07CE</w:t>
            </w:r>
          </w:p>
        </w:tc>
      </w:tr>
      <w:tr w:rsidR="005F78FC" w:rsidTr="005F78FC">
        <w:tc>
          <w:tcPr>
            <w:tcW w:w="0" w:type="auto"/>
            <w:vAlign w:val="center"/>
          </w:tcPr>
          <w:p w:rsidR="005F78FC" w:rsidRDefault="00B42EF3">
            <w:pPr>
              <w:pStyle w:val="TableBodyText"/>
            </w:pPr>
            <w:r>
              <w:t>EquationIncreaseAlignment</w:t>
            </w:r>
          </w:p>
        </w:tc>
        <w:tc>
          <w:tcPr>
            <w:tcW w:w="0" w:type="auto"/>
            <w:vAlign w:val="center"/>
          </w:tcPr>
          <w:p w:rsidR="005F78FC" w:rsidRDefault="00B42EF3">
            <w:pPr>
              <w:pStyle w:val="TableBodyText"/>
            </w:pPr>
            <w:r>
              <w:t>07BD</w:t>
            </w:r>
          </w:p>
        </w:tc>
      </w:tr>
      <w:tr w:rsidR="005F78FC" w:rsidTr="005F78FC">
        <w:tc>
          <w:tcPr>
            <w:tcW w:w="0" w:type="auto"/>
            <w:vAlign w:val="center"/>
          </w:tcPr>
          <w:p w:rsidR="005F78FC" w:rsidRDefault="00B42EF3">
            <w:pPr>
              <w:pStyle w:val="TableBodyText"/>
            </w:pPr>
            <w:r>
              <w:t>EquationIncreaseArgumentSize</w:t>
            </w:r>
          </w:p>
        </w:tc>
        <w:tc>
          <w:tcPr>
            <w:tcW w:w="0" w:type="auto"/>
            <w:vAlign w:val="center"/>
          </w:tcPr>
          <w:p w:rsidR="005F78FC" w:rsidRDefault="00B42EF3">
            <w:pPr>
              <w:pStyle w:val="TableBodyText"/>
            </w:pPr>
            <w:r>
              <w:t>0873</w:t>
            </w:r>
          </w:p>
        </w:tc>
      </w:tr>
      <w:tr w:rsidR="005F78FC" w:rsidTr="005F78FC">
        <w:tc>
          <w:tcPr>
            <w:tcW w:w="0" w:type="auto"/>
            <w:vAlign w:val="center"/>
          </w:tcPr>
          <w:p w:rsidR="005F78FC" w:rsidRDefault="00B42EF3">
            <w:pPr>
              <w:pStyle w:val="TableBodyText"/>
            </w:pPr>
            <w:r>
              <w:t>EquationInsert</w:t>
            </w:r>
          </w:p>
        </w:tc>
        <w:tc>
          <w:tcPr>
            <w:tcW w:w="0" w:type="auto"/>
            <w:vAlign w:val="center"/>
          </w:tcPr>
          <w:p w:rsidR="005F78FC" w:rsidRDefault="00B42EF3">
            <w:pPr>
              <w:pStyle w:val="TableBodyText"/>
            </w:pPr>
            <w:r>
              <w:t>0797</w:t>
            </w:r>
          </w:p>
        </w:tc>
      </w:tr>
      <w:tr w:rsidR="005F78FC" w:rsidTr="005F78FC">
        <w:tc>
          <w:tcPr>
            <w:tcW w:w="0" w:type="auto"/>
            <w:vAlign w:val="center"/>
          </w:tcPr>
          <w:p w:rsidR="005F78FC" w:rsidRDefault="00B42EF3">
            <w:pPr>
              <w:pStyle w:val="TableBodyText"/>
            </w:pPr>
            <w:r>
              <w:t>EquationInsertArgumentAfter</w:t>
            </w:r>
          </w:p>
        </w:tc>
        <w:tc>
          <w:tcPr>
            <w:tcW w:w="0" w:type="auto"/>
            <w:vAlign w:val="center"/>
          </w:tcPr>
          <w:p w:rsidR="005F78FC" w:rsidRDefault="00B42EF3">
            <w:pPr>
              <w:pStyle w:val="TableBodyText"/>
            </w:pPr>
            <w:r>
              <w:t>085D</w:t>
            </w:r>
          </w:p>
        </w:tc>
      </w:tr>
      <w:tr w:rsidR="005F78FC" w:rsidTr="005F78FC">
        <w:tc>
          <w:tcPr>
            <w:tcW w:w="0" w:type="auto"/>
            <w:vAlign w:val="center"/>
          </w:tcPr>
          <w:p w:rsidR="005F78FC" w:rsidRDefault="00B42EF3">
            <w:pPr>
              <w:pStyle w:val="TableBodyText"/>
            </w:pPr>
            <w:r>
              <w:t>EquationInsertArgumentBefore</w:t>
            </w:r>
          </w:p>
        </w:tc>
        <w:tc>
          <w:tcPr>
            <w:tcW w:w="0" w:type="auto"/>
            <w:vAlign w:val="center"/>
          </w:tcPr>
          <w:p w:rsidR="005F78FC" w:rsidRDefault="00B42EF3">
            <w:pPr>
              <w:pStyle w:val="TableBodyText"/>
            </w:pPr>
            <w:r>
              <w:t>085C</w:t>
            </w:r>
          </w:p>
        </w:tc>
      </w:tr>
      <w:tr w:rsidR="005F78FC" w:rsidTr="005F78FC">
        <w:tc>
          <w:tcPr>
            <w:tcW w:w="0" w:type="auto"/>
            <w:vAlign w:val="center"/>
          </w:tcPr>
          <w:p w:rsidR="005F78FC" w:rsidRDefault="00B42EF3">
            <w:pPr>
              <w:pStyle w:val="TableBodyText"/>
            </w:pPr>
            <w:r>
              <w:t>EquationInsertColumnAfter</w:t>
            </w:r>
          </w:p>
        </w:tc>
        <w:tc>
          <w:tcPr>
            <w:tcW w:w="0" w:type="auto"/>
            <w:vAlign w:val="center"/>
          </w:tcPr>
          <w:p w:rsidR="005F78FC" w:rsidRDefault="00B42EF3">
            <w:pPr>
              <w:pStyle w:val="TableBodyText"/>
            </w:pPr>
            <w:r>
              <w:t>07C6</w:t>
            </w:r>
          </w:p>
        </w:tc>
      </w:tr>
      <w:tr w:rsidR="005F78FC" w:rsidTr="005F78FC">
        <w:tc>
          <w:tcPr>
            <w:tcW w:w="0" w:type="auto"/>
            <w:vAlign w:val="center"/>
          </w:tcPr>
          <w:p w:rsidR="005F78FC" w:rsidRDefault="00B42EF3">
            <w:pPr>
              <w:pStyle w:val="TableBodyText"/>
            </w:pPr>
            <w:r>
              <w:t>EquationInsertColumnBefore</w:t>
            </w:r>
          </w:p>
        </w:tc>
        <w:tc>
          <w:tcPr>
            <w:tcW w:w="0" w:type="auto"/>
            <w:vAlign w:val="center"/>
          </w:tcPr>
          <w:p w:rsidR="005F78FC" w:rsidRDefault="00B42EF3">
            <w:pPr>
              <w:pStyle w:val="TableBodyText"/>
            </w:pPr>
            <w:r>
              <w:t>07C5</w:t>
            </w:r>
          </w:p>
        </w:tc>
      </w:tr>
      <w:tr w:rsidR="005F78FC" w:rsidTr="005F78FC">
        <w:tc>
          <w:tcPr>
            <w:tcW w:w="0" w:type="auto"/>
            <w:vAlign w:val="center"/>
          </w:tcPr>
          <w:p w:rsidR="005F78FC" w:rsidRDefault="00B42EF3">
            <w:pPr>
              <w:pStyle w:val="TableBodyText"/>
            </w:pPr>
            <w:r>
              <w:t>EquationInsertEmptyStructure</w:t>
            </w:r>
          </w:p>
        </w:tc>
        <w:tc>
          <w:tcPr>
            <w:tcW w:w="0" w:type="auto"/>
            <w:vAlign w:val="center"/>
          </w:tcPr>
          <w:p w:rsidR="005F78FC" w:rsidRDefault="00B42EF3">
            <w:pPr>
              <w:pStyle w:val="TableBodyText"/>
            </w:pPr>
            <w:r>
              <w:t>082C</w:t>
            </w:r>
          </w:p>
        </w:tc>
      </w:tr>
      <w:tr w:rsidR="005F78FC" w:rsidTr="005F78FC">
        <w:tc>
          <w:tcPr>
            <w:tcW w:w="0" w:type="auto"/>
            <w:vAlign w:val="center"/>
          </w:tcPr>
          <w:p w:rsidR="005F78FC" w:rsidRDefault="00B42EF3">
            <w:pPr>
              <w:pStyle w:val="TableBodyText"/>
            </w:pPr>
            <w:r>
              <w:t>EquationInsertMenu</w:t>
            </w:r>
          </w:p>
        </w:tc>
        <w:tc>
          <w:tcPr>
            <w:tcW w:w="0" w:type="auto"/>
            <w:vAlign w:val="center"/>
          </w:tcPr>
          <w:p w:rsidR="005F78FC" w:rsidRDefault="00B42EF3">
            <w:pPr>
              <w:pStyle w:val="TableBodyText"/>
            </w:pPr>
            <w:r>
              <w:t>16C8</w:t>
            </w:r>
          </w:p>
        </w:tc>
      </w:tr>
      <w:tr w:rsidR="005F78FC" w:rsidTr="005F78FC">
        <w:tc>
          <w:tcPr>
            <w:tcW w:w="0" w:type="auto"/>
            <w:vAlign w:val="center"/>
          </w:tcPr>
          <w:p w:rsidR="005F78FC" w:rsidRDefault="00B42EF3">
            <w:pPr>
              <w:pStyle w:val="TableBodyText"/>
            </w:pPr>
            <w:r>
              <w:t>EquationInsertRowAfter</w:t>
            </w:r>
          </w:p>
        </w:tc>
        <w:tc>
          <w:tcPr>
            <w:tcW w:w="0" w:type="auto"/>
            <w:vAlign w:val="center"/>
          </w:tcPr>
          <w:p w:rsidR="005F78FC" w:rsidRDefault="00B42EF3">
            <w:pPr>
              <w:pStyle w:val="TableBodyText"/>
            </w:pPr>
            <w:r>
              <w:t>07C3</w:t>
            </w:r>
          </w:p>
        </w:tc>
      </w:tr>
      <w:tr w:rsidR="005F78FC" w:rsidTr="005F78FC">
        <w:tc>
          <w:tcPr>
            <w:tcW w:w="0" w:type="auto"/>
            <w:vAlign w:val="center"/>
          </w:tcPr>
          <w:p w:rsidR="005F78FC" w:rsidRDefault="00B42EF3">
            <w:pPr>
              <w:pStyle w:val="TableBodyText"/>
            </w:pPr>
            <w:r>
              <w:t>EquationInsertRowBefore</w:t>
            </w:r>
          </w:p>
        </w:tc>
        <w:tc>
          <w:tcPr>
            <w:tcW w:w="0" w:type="auto"/>
            <w:vAlign w:val="center"/>
          </w:tcPr>
          <w:p w:rsidR="005F78FC" w:rsidRDefault="00B42EF3">
            <w:pPr>
              <w:pStyle w:val="TableBodyText"/>
            </w:pPr>
            <w:r>
              <w:t>07C2</w:t>
            </w:r>
          </w:p>
        </w:tc>
      </w:tr>
      <w:tr w:rsidR="005F78FC" w:rsidTr="005F78FC">
        <w:tc>
          <w:tcPr>
            <w:tcW w:w="0" w:type="auto"/>
            <w:vAlign w:val="center"/>
          </w:tcPr>
          <w:p w:rsidR="005F78FC" w:rsidRDefault="00B42EF3">
            <w:pPr>
              <w:pStyle w:val="TableBodyText"/>
            </w:pPr>
            <w:r>
              <w:t>EquationInsertStructure</w:t>
            </w:r>
          </w:p>
        </w:tc>
        <w:tc>
          <w:tcPr>
            <w:tcW w:w="0" w:type="auto"/>
            <w:vAlign w:val="center"/>
          </w:tcPr>
          <w:p w:rsidR="005F78FC" w:rsidRDefault="00B42EF3">
            <w:pPr>
              <w:pStyle w:val="TableBodyText"/>
            </w:pPr>
            <w:r>
              <w:t>08D9</w:t>
            </w:r>
          </w:p>
        </w:tc>
      </w:tr>
      <w:tr w:rsidR="005F78FC" w:rsidTr="005F78FC">
        <w:tc>
          <w:tcPr>
            <w:tcW w:w="0" w:type="auto"/>
            <w:vAlign w:val="center"/>
          </w:tcPr>
          <w:p w:rsidR="005F78FC" w:rsidRDefault="00B42EF3">
            <w:pPr>
              <w:pStyle w:val="TableBodyText"/>
            </w:pPr>
            <w:r>
              <w:t>EquationInsertSymbol</w:t>
            </w:r>
          </w:p>
        </w:tc>
        <w:tc>
          <w:tcPr>
            <w:tcW w:w="0" w:type="auto"/>
            <w:vAlign w:val="center"/>
          </w:tcPr>
          <w:p w:rsidR="005F78FC" w:rsidRDefault="00B42EF3">
            <w:pPr>
              <w:pStyle w:val="TableBodyText"/>
            </w:pPr>
            <w:r>
              <w:t>0781</w:t>
            </w:r>
          </w:p>
        </w:tc>
      </w:tr>
      <w:tr w:rsidR="005F78FC" w:rsidTr="005F78FC">
        <w:tc>
          <w:tcPr>
            <w:tcW w:w="0" w:type="auto"/>
            <w:vAlign w:val="center"/>
          </w:tcPr>
          <w:p w:rsidR="005F78FC" w:rsidRDefault="00B42EF3">
            <w:pPr>
              <w:pStyle w:val="TableBodyText"/>
            </w:pPr>
            <w:r>
              <w:t>EquationIntegralGallery</w:t>
            </w:r>
          </w:p>
        </w:tc>
        <w:tc>
          <w:tcPr>
            <w:tcW w:w="0" w:type="auto"/>
            <w:vAlign w:val="center"/>
          </w:tcPr>
          <w:p w:rsidR="005F78FC" w:rsidRDefault="00B42EF3">
            <w:pPr>
              <w:pStyle w:val="TableBodyText"/>
            </w:pPr>
            <w:r>
              <w:t>07D9</w:t>
            </w:r>
          </w:p>
        </w:tc>
      </w:tr>
      <w:tr w:rsidR="005F78FC" w:rsidTr="005F78FC">
        <w:tc>
          <w:tcPr>
            <w:tcW w:w="0" w:type="auto"/>
            <w:vAlign w:val="center"/>
          </w:tcPr>
          <w:p w:rsidR="005F78FC" w:rsidRDefault="00B42EF3">
            <w:pPr>
              <w:pStyle w:val="TableBodyText"/>
            </w:pPr>
            <w:r>
              <w:t>EquationJustificationMenu</w:t>
            </w:r>
          </w:p>
        </w:tc>
        <w:tc>
          <w:tcPr>
            <w:tcW w:w="0" w:type="auto"/>
            <w:vAlign w:val="center"/>
          </w:tcPr>
          <w:p w:rsidR="005F78FC" w:rsidRDefault="00B42EF3">
            <w:pPr>
              <w:pStyle w:val="TableBodyText"/>
            </w:pPr>
            <w:r>
              <w:t>16C7</w:t>
            </w:r>
          </w:p>
        </w:tc>
      </w:tr>
      <w:tr w:rsidR="005F78FC" w:rsidTr="005F78FC">
        <w:tc>
          <w:tcPr>
            <w:tcW w:w="0" w:type="auto"/>
            <w:vAlign w:val="center"/>
          </w:tcPr>
          <w:p w:rsidR="005F78FC" w:rsidRDefault="00B42EF3">
            <w:pPr>
              <w:pStyle w:val="TableBodyText"/>
            </w:pPr>
            <w:r>
              <w:lastRenderedPageBreak/>
              <w:t>EquationLeftJustification</w:t>
            </w:r>
          </w:p>
        </w:tc>
        <w:tc>
          <w:tcPr>
            <w:tcW w:w="0" w:type="auto"/>
            <w:vAlign w:val="center"/>
          </w:tcPr>
          <w:p w:rsidR="005F78FC" w:rsidRDefault="00B42EF3">
            <w:pPr>
              <w:pStyle w:val="TableBodyText"/>
            </w:pPr>
            <w:r>
              <w:t>08EB</w:t>
            </w:r>
          </w:p>
        </w:tc>
      </w:tr>
      <w:tr w:rsidR="005F78FC" w:rsidTr="005F78FC">
        <w:tc>
          <w:tcPr>
            <w:tcW w:w="0" w:type="auto"/>
            <w:vAlign w:val="center"/>
          </w:tcPr>
          <w:p w:rsidR="005F78FC" w:rsidRDefault="00B42EF3">
            <w:pPr>
              <w:pStyle w:val="TableBodyText"/>
            </w:pPr>
            <w:r>
              <w:t>EquationLimitGallery</w:t>
            </w:r>
          </w:p>
        </w:tc>
        <w:tc>
          <w:tcPr>
            <w:tcW w:w="0" w:type="auto"/>
            <w:vAlign w:val="center"/>
          </w:tcPr>
          <w:p w:rsidR="005F78FC" w:rsidRDefault="00B42EF3">
            <w:pPr>
              <w:pStyle w:val="TableBodyText"/>
            </w:pPr>
            <w:r>
              <w:t>088E</w:t>
            </w:r>
          </w:p>
        </w:tc>
      </w:tr>
      <w:tr w:rsidR="005F78FC" w:rsidTr="005F78FC">
        <w:tc>
          <w:tcPr>
            <w:tcW w:w="0" w:type="auto"/>
            <w:vAlign w:val="center"/>
          </w:tcPr>
          <w:p w:rsidR="005F78FC" w:rsidRDefault="00B42EF3">
            <w:pPr>
              <w:pStyle w:val="TableBodyText"/>
            </w:pPr>
            <w:r>
              <w:t>EquationLimitLocation</w:t>
            </w:r>
          </w:p>
        </w:tc>
        <w:tc>
          <w:tcPr>
            <w:tcW w:w="0" w:type="auto"/>
            <w:vAlign w:val="center"/>
          </w:tcPr>
          <w:p w:rsidR="005F78FC" w:rsidRDefault="00B42EF3">
            <w:pPr>
              <w:pStyle w:val="TableBodyText"/>
            </w:pPr>
            <w:r>
              <w:t>086C</w:t>
            </w:r>
          </w:p>
        </w:tc>
      </w:tr>
      <w:tr w:rsidR="005F78FC" w:rsidTr="005F78FC">
        <w:tc>
          <w:tcPr>
            <w:tcW w:w="0" w:type="auto"/>
            <w:vAlign w:val="center"/>
          </w:tcPr>
          <w:p w:rsidR="005F78FC" w:rsidRDefault="00B42EF3">
            <w:pPr>
              <w:pStyle w:val="TableBodyText"/>
            </w:pPr>
            <w:r>
              <w:t>EquationLinearFormat</w:t>
            </w:r>
          </w:p>
        </w:tc>
        <w:tc>
          <w:tcPr>
            <w:tcW w:w="0" w:type="auto"/>
            <w:vAlign w:val="center"/>
          </w:tcPr>
          <w:p w:rsidR="005F78FC" w:rsidRDefault="00B42EF3">
            <w:pPr>
              <w:pStyle w:val="TableBodyText"/>
            </w:pPr>
            <w:r>
              <w:t>0777</w:t>
            </w:r>
          </w:p>
        </w:tc>
      </w:tr>
      <w:tr w:rsidR="005F78FC" w:rsidTr="005F78FC">
        <w:tc>
          <w:tcPr>
            <w:tcW w:w="0" w:type="auto"/>
            <w:vAlign w:val="center"/>
          </w:tcPr>
          <w:p w:rsidR="005F78FC" w:rsidRDefault="00B42EF3">
            <w:pPr>
              <w:pStyle w:val="TableBodyText"/>
            </w:pPr>
            <w:r>
              <w:t>EquationLinearFraction</w:t>
            </w:r>
          </w:p>
        </w:tc>
        <w:tc>
          <w:tcPr>
            <w:tcW w:w="0" w:type="auto"/>
            <w:vAlign w:val="center"/>
          </w:tcPr>
          <w:p w:rsidR="005F78FC" w:rsidRDefault="00B42EF3">
            <w:pPr>
              <w:pStyle w:val="TableBodyText"/>
            </w:pPr>
            <w:r>
              <w:t>0865</w:t>
            </w:r>
          </w:p>
        </w:tc>
      </w:tr>
      <w:tr w:rsidR="005F78FC" w:rsidTr="005F78FC">
        <w:tc>
          <w:tcPr>
            <w:tcW w:w="0" w:type="auto"/>
            <w:vAlign w:val="center"/>
          </w:tcPr>
          <w:p w:rsidR="005F78FC" w:rsidRDefault="00B42EF3">
            <w:pPr>
              <w:pStyle w:val="TableBodyText"/>
            </w:pPr>
            <w:r>
              <w:t>EquationManualBreak</w:t>
            </w:r>
          </w:p>
        </w:tc>
        <w:tc>
          <w:tcPr>
            <w:tcW w:w="0" w:type="auto"/>
            <w:vAlign w:val="center"/>
          </w:tcPr>
          <w:p w:rsidR="005F78FC" w:rsidRDefault="00B42EF3">
            <w:pPr>
              <w:pStyle w:val="TableBodyText"/>
            </w:pPr>
            <w:r>
              <w:t>0881</w:t>
            </w:r>
          </w:p>
        </w:tc>
      </w:tr>
      <w:tr w:rsidR="005F78FC" w:rsidTr="005F78FC">
        <w:tc>
          <w:tcPr>
            <w:tcW w:w="0" w:type="auto"/>
            <w:vAlign w:val="center"/>
          </w:tcPr>
          <w:p w:rsidR="005F78FC" w:rsidRDefault="00B42EF3">
            <w:pPr>
              <w:pStyle w:val="TableBodyText"/>
            </w:pPr>
            <w:r>
              <w:t>EquationMatchDelimiters</w:t>
            </w:r>
          </w:p>
        </w:tc>
        <w:tc>
          <w:tcPr>
            <w:tcW w:w="0" w:type="auto"/>
            <w:vAlign w:val="center"/>
          </w:tcPr>
          <w:p w:rsidR="005F78FC" w:rsidRDefault="00B42EF3">
            <w:pPr>
              <w:pStyle w:val="TableBodyText"/>
            </w:pPr>
            <w:r>
              <w:t>086A</w:t>
            </w:r>
          </w:p>
        </w:tc>
      </w:tr>
      <w:tr w:rsidR="005F78FC" w:rsidTr="005F78FC">
        <w:tc>
          <w:tcPr>
            <w:tcW w:w="0" w:type="auto"/>
            <w:vAlign w:val="center"/>
          </w:tcPr>
          <w:p w:rsidR="005F78FC" w:rsidRDefault="00B42EF3">
            <w:pPr>
              <w:pStyle w:val="TableBodyText"/>
            </w:pPr>
            <w:r>
              <w:t>EquationMathAutoCorrect</w:t>
            </w:r>
          </w:p>
        </w:tc>
        <w:tc>
          <w:tcPr>
            <w:tcW w:w="0" w:type="auto"/>
            <w:vAlign w:val="center"/>
          </w:tcPr>
          <w:p w:rsidR="005F78FC" w:rsidRDefault="00B42EF3">
            <w:pPr>
              <w:pStyle w:val="TableBodyText"/>
            </w:pPr>
            <w:r>
              <w:t>077B</w:t>
            </w:r>
          </w:p>
        </w:tc>
      </w:tr>
      <w:tr w:rsidR="005F78FC" w:rsidTr="005F78FC">
        <w:tc>
          <w:tcPr>
            <w:tcW w:w="0" w:type="auto"/>
            <w:vAlign w:val="center"/>
          </w:tcPr>
          <w:p w:rsidR="005F78FC" w:rsidRDefault="00B42EF3">
            <w:pPr>
              <w:pStyle w:val="TableBodyText"/>
            </w:pPr>
            <w:r>
              <w:t>EquationMatrixGallery</w:t>
            </w:r>
          </w:p>
        </w:tc>
        <w:tc>
          <w:tcPr>
            <w:tcW w:w="0" w:type="auto"/>
            <w:vAlign w:val="center"/>
          </w:tcPr>
          <w:p w:rsidR="005F78FC" w:rsidRDefault="00B42EF3">
            <w:pPr>
              <w:pStyle w:val="TableBodyText"/>
            </w:pPr>
            <w:r>
              <w:t>0890</w:t>
            </w:r>
          </w:p>
        </w:tc>
      </w:tr>
      <w:tr w:rsidR="005F78FC" w:rsidTr="005F78FC">
        <w:tc>
          <w:tcPr>
            <w:tcW w:w="0" w:type="auto"/>
            <w:vAlign w:val="center"/>
          </w:tcPr>
          <w:p w:rsidR="005F78FC" w:rsidRDefault="00B42EF3">
            <w:pPr>
              <w:pStyle w:val="TableBodyText"/>
            </w:pPr>
            <w:r>
              <w:t>EquationMatrixSpacing</w:t>
            </w:r>
          </w:p>
        </w:tc>
        <w:tc>
          <w:tcPr>
            <w:tcW w:w="0" w:type="auto"/>
            <w:vAlign w:val="center"/>
          </w:tcPr>
          <w:p w:rsidR="005F78FC" w:rsidRDefault="00B42EF3">
            <w:pPr>
              <w:pStyle w:val="TableBodyText"/>
            </w:pPr>
            <w:r>
              <w:t>08FF</w:t>
            </w:r>
          </w:p>
        </w:tc>
      </w:tr>
      <w:tr w:rsidR="005F78FC" w:rsidTr="005F78FC">
        <w:tc>
          <w:tcPr>
            <w:tcW w:w="0" w:type="auto"/>
            <w:vAlign w:val="center"/>
          </w:tcPr>
          <w:p w:rsidR="005F78FC" w:rsidRDefault="00B42EF3">
            <w:pPr>
              <w:pStyle w:val="TableBodyText"/>
            </w:pPr>
            <w:r>
              <w:t>EquationNaryGallery</w:t>
            </w:r>
          </w:p>
        </w:tc>
        <w:tc>
          <w:tcPr>
            <w:tcW w:w="0" w:type="auto"/>
            <w:vAlign w:val="center"/>
          </w:tcPr>
          <w:p w:rsidR="005F78FC" w:rsidRDefault="00B42EF3">
            <w:pPr>
              <w:pStyle w:val="TableBodyText"/>
            </w:pPr>
            <w:r>
              <w:t>07DB</w:t>
            </w:r>
          </w:p>
        </w:tc>
      </w:tr>
      <w:tr w:rsidR="005F78FC" w:rsidTr="005F78FC">
        <w:tc>
          <w:tcPr>
            <w:tcW w:w="0" w:type="auto"/>
            <w:vAlign w:val="center"/>
          </w:tcPr>
          <w:p w:rsidR="005F78FC" w:rsidRDefault="00B42EF3">
            <w:pPr>
              <w:pStyle w:val="TableBodyText"/>
            </w:pPr>
            <w:r>
              <w:t>EquationNaryLimitLocation</w:t>
            </w:r>
          </w:p>
        </w:tc>
        <w:tc>
          <w:tcPr>
            <w:tcW w:w="0" w:type="auto"/>
            <w:vAlign w:val="center"/>
          </w:tcPr>
          <w:p w:rsidR="005F78FC" w:rsidRDefault="00B42EF3">
            <w:pPr>
              <w:pStyle w:val="TableBodyText"/>
            </w:pPr>
            <w:r>
              <w:t>086B</w:t>
            </w:r>
          </w:p>
        </w:tc>
      </w:tr>
      <w:tr w:rsidR="005F78FC" w:rsidTr="005F78FC">
        <w:tc>
          <w:tcPr>
            <w:tcW w:w="0" w:type="auto"/>
            <w:vAlign w:val="center"/>
          </w:tcPr>
          <w:p w:rsidR="005F78FC" w:rsidRDefault="00B42EF3">
            <w:pPr>
              <w:pStyle w:val="TableBodyText"/>
            </w:pPr>
            <w:r>
              <w:t>EquationNoBarFraction</w:t>
            </w:r>
          </w:p>
        </w:tc>
        <w:tc>
          <w:tcPr>
            <w:tcW w:w="0" w:type="auto"/>
            <w:vAlign w:val="center"/>
          </w:tcPr>
          <w:p w:rsidR="005F78FC" w:rsidRDefault="00B42EF3">
            <w:pPr>
              <w:pStyle w:val="TableBodyText"/>
            </w:pPr>
            <w:r>
              <w:t>0863</w:t>
            </w:r>
          </w:p>
        </w:tc>
      </w:tr>
      <w:tr w:rsidR="005F78FC" w:rsidTr="005F78FC">
        <w:tc>
          <w:tcPr>
            <w:tcW w:w="0" w:type="auto"/>
            <w:vAlign w:val="center"/>
          </w:tcPr>
          <w:p w:rsidR="005F78FC" w:rsidRDefault="00B42EF3">
            <w:pPr>
              <w:pStyle w:val="TableBodyText"/>
            </w:pPr>
            <w:r>
              <w:t>EquationNormalText</w:t>
            </w:r>
          </w:p>
        </w:tc>
        <w:tc>
          <w:tcPr>
            <w:tcW w:w="0" w:type="auto"/>
            <w:vAlign w:val="center"/>
          </w:tcPr>
          <w:p w:rsidR="005F78FC" w:rsidRDefault="00B42EF3">
            <w:pPr>
              <w:pStyle w:val="TableBodyText"/>
            </w:pPr>
            <w:r>
              <w:t>088B</w:t>
            </w:r>
          </w:p>
        </w:tc>
      </w:tr>
      <w:tr w:rsidR="005F78FC" w:rsidTr="005F78FC">
        <w:tc>
          <w:tcPr>
            <w:tcW w:w="0" w:type="auto"/>
            <w:vAlign w:val="center"/>
          </w:tcPr>
          <w:p w:rsidR="005F78FC" w:rsidRDefault="00B42EF3">
            <w:pPr>
              <w:pStyle w:val="TableBodyText"/>
            </w:pPr>
            <w:r>
              <w:t>EquationOperatorGallery</w:t>
            </w:r>
          </w:p>
        </w:tc>
        <w:tc>
          <w:tcPr>
            <w:tcW w:w="0" w:type="auto"/>
            <w:vAlign w:val="center"/>
          </w:tcPr>
          <w:p w:rsidR="005F78FC" w:rsidRDefault="00B42EF3">
            <w:pPr>
              <w:pStyle w:val="TableBodyText"/>
            </w:pPr>
            <w:r>
              <w:t>088F</w:t>
            </w:r>
          </w:p>
        </w:tc>
      </w:tr>
      <w:tr w:rsidR="005F78FC" w:rsidTr="005F78FC">
        <w:tc>
          <w:tcPr>
            <w:tcW w:w="0" w:type="auto"/>
            <w:vAlign w:val="center"/>
          </w:tcPr>
          <w:p w:rsidR="005F78FC" w:rsidRDefault="00B42EF3">
            <w:pPr>
              <w:pStyle w:val="TableBodyText"/>
            </w:pPr>
            <w:r>
              <w:t>EquationProfessionalFormat</w:t>
            </w:r>
          </w:p>
        </w:tc>
        <w:tc>
          <w:tcPr>
            <w:tcW w:w="0" w:type="auto"/>
            <w:vAlign w:val="center"/>
          </w:tcPr>
          <w:p w:rsidR="005F78FC" w:rsidRDefault="00B42EF3">
            <w:pPr>
              <w:pStyle w:val="TableBodyText"/>
            </w:pPr>
            <w:r>
              <w:t>0776</w:t>
            </w:r>
          </w:p>
        </w:tc>
      </w:tr>
      <w:tr w:rsidR="005F78FC" w:rsidTr="005F78FC">
        <w:tc>
          <w:tcPr>
            <w:tcW w:w="0" w:type="auto"/>
            <w:vAlign w:val="center"/>
          </w:tcPr>
          <w:p w:rsidR="005F78FC" w:rsidRDefault="00B42EF3">
            <w:pPr>
              <w:pStyle w:val="TableBodyText"/>
            </w:pPr>
            <w:r>
              <w:t>EquationRadicalGallery</w:t>
            </w:r>
          </w:p>
        </w:tc>
        <w:tc>
          <w:tcPr>
            <w:tcW w:w="0" w:type="auto"/>
            <w:vAlign w:val="center"/>
          </w:tcPr>
          <w:p w:rsidR="005F78FC" w:rsidRDefault="00B42EF3">
            <w:pPr>
              <w:pStyle w:val="TableBodyText"/>
            </w:pPr>
            <w:r>
              <w:t>07DA</w:t>
            </w:r>
          </w:p>
        </w:tc>
      </w:tr>
      <w:tr w:rsidR="005F78FC" w:rsidTr="005F78FC">
        <w:tc>
          <w:tcPr>
            <w:tcW w:w="0" w:type="auto"/>
            <w:vAlign w:val="center"/>
          </w:tcPr>
          <w:p w:rsidR="005F78FC" w:rsidRDefault="00B42EF3">
            <w:pPr>
              <w:pStyle w:val="TableBodyText"/>
            </w:pPr>
            <w:r>
              <w:t>EquationRecognizedFunctions</w:t>
            </w:r>
          </w:p>
        </w:tc>
        <w:tc>
          <w:tcPr>
            <w:tcW w:w="0" w:type="auto"/>
            <w:vAlign w:val="center"/>
          </w:tcPr>
          <w:p w:rsidR="005F78FC" w:rsidRDefault="00B42EF3">
            <w:pPr>
              <w:pStyle w:val="TableBodyText"/>
            </w:pPr>
            <w:r>
              <w:t>0875</w:t>
            </w:r>
          </w:p>
        </w:tc>
      </w:tr>
      <w:tr w:rsidR="005F78FC" w:rsidTr="005F78FC">
        <w:tc>
          <w:tcPr>
            <w:tcW w:w="0" w:type="auto"/>
            <w:vAlign w:val="center"/>
          </w:tcPr>
          <w:p w:rsidR="005F78FC" w:rsidRDefault="00B42EF3">
            <w:pPr>
              <w:pStyle w:val="TableBodyText"/>
            </w:pPr>
            <w:r>
              <w:t>EquationRemoveStructure</w:t>
            </w:r>
          </w:p>
        </w:tc>
        <w:tc>
          <w:tcPr>
            <w:tcW w:w="0" w:type="auto"/>
            <w:vAlign w:val="center"/>
          </w:tcPr>
          <w:p w:rsidR="005F78FC" w:rsidRDefault="00B42EF3">
            <w:pPr>
              <w:pStyle w:val="TableBodyText"/>
            </w:pPr>
            <w:r>
              <w:t>085F</w:t>
            </w:r>
          </w:p>
        </w:tc>
      </w:tr>
      <w:tr w:rsidR="005F78FC" w:rsidTr="005F78FC">
        <w:tc>
          <w:tcPr>
            <w:tcW w:w="0" w:type="auto"/>
            <w:vAlign w:val="center"/>
          </w:tcPr>
          <w:p w:rsidR="005F78FC" w:rsidRDefault="00B42EF3">
            <w:pPr>
              <w:pStyle w:val="TableBodyText"/>
            </w:pPr>
            <w:r>
              <w:t>EquationRemoveSubscript</w:t>
            </w:r>
          </w:p>
        </w:tc>
        <w:tc>
          <w:tcPr>
            <w:tcW w:w="0" w:type="auto"/>
            <w:vAlign w:val="center"/>
          </w:tcPr>
          <w:p w:rsidR="005F78FC" w:rsidRDefault="00B42EF3">
            <w:pPr>
              <w:pStyle w:val="TableBodyText"/>
            </w:pPr>
            <w:r>
              <w:t>0860</w:t>
            </w:r>
          </w:p>
        </w:tc>
      </w:tr>
      <w:tr w:rsidR="005F78FC" w:rsidTr="005F78FC">
        <w:tc>
          <w:tcPr>
            <w:tcW w:w="0" w:type="auto"/>
            <w:vAlign w:val="center"/>
          </w:tcPr>
          <w:p w:rsidR="005F78FC" w:rsidRDefault="00B42EF3">
            <w:pPr>
              <w:pStyle w:val="TableBodyText"/>
            </w:pPr>
            <w:r>
              <w:t>EquationRemoveSuperscript</w:t>
            </w:r>
          </w:p>
        </w:tc>
        <w:tc>
          <w:tcPr>
            <w:tcW w:w="0" w:type="auto"/>
            <w:vAlign w:val="center"/>
          </w:tcPr>
          <w:p w:rsidR="005F78FC" w:rsidRDefault="00B42EF3">
            <w:pPr>
              <w:pStyle w:val="TableBodyText"/>
            </w:pPr>
            <w:r>
              <w:t>0861</w:t>
            </w:r>
          </w:p>
        </w:tc>
      </w:tr>
      <w:tr w:rsidR="005F78FC" w:rsidTr="005F78FC">
        <w:tc>
          <w:tcPr>
            <w:tcW w:w="0" w:type="auto"/>
            <w:vAlign w:val="center"/>
          </w:tcPr>
          <w:p w:rsidR="005F78FC" w:rsidRDefault="00B42EF3">
            <w:pPr>
              <w:pStyle w:val="TableBodyText"/>
            </w:pPr>
            <w:r>
              <w:t>EquationRightJustification</w:t>
            </w:r>
          </w:p>
        </w:tc>
        <w:tc>
          <w:tcPr>
            <w:tcW w:w="0" w:type="auto"/>
            <w:vAlign w:val="center"/>
          </w:tcPr>
          <w:p w:rsidR="005F78FC" w:rsidRDefault="00B42EF3">
            <w:pPr>
              <w:pStyle w:val="TableBodyText"/>
            </w:pPr>
            <w:r>
              <w:t>08EC</w:t>
            </w:r>
          </w:p>
        </w:tc>
      </w:tr>
      <w:tr w:rsidR="005F78FC" w:rsidTr="005F78FC">
        <w:tc>
          <w:tcPr>
            <w:tcW w:w="0" w:type="auto"/>
            <w:vAlign w:val="center"/>
          </w:tcPr>
          <w:p w:rsidR="005F78FC" w:rsidRDefault="00B42EF3">
            <w:pPr>
              <w:pStyle w:val="TableBodyText"/>
            </w:pPr>
            <w:r>
              <w:t>EquationScriptAlignment</w:t>
            </w:r>
          </w:p>
        </w:tc>
        <w:tc>
          <w:tcPr>
            <w:tcW w:w="0" w:type="auto"/>
            <w:vAlign w:val="center"/>
          </w:tcPr>
          <w:p w:rsidR="005F78FC" w:rsidRDefault="00B42EF3">
            <w:pPr>
              <w:pStyle w:val="TableBodyText"/>
            </w:pPr>
            <w:r>
              <w:t>0868</w:t>
            </w:r>
          </w:p>
        </w:tc>
      </w:tr>
      <w:tr w:rsidR="005F78FC" w:rsidTr="005F78FC">
        <w:tc>
          <w:tcPr>
            <w:tcW w:w="0" w:type="auto"/>
            <w:vAlign w:val="center"/>
          </w:tcPr>
          <w:p w:rsidR="005F78FC" w:rsidRDefault="00B42EF3">
            <w:pPr>
              <w:pStyle w:val="TableBodyText"/>
            </w:pPr>
            <w:r>
              <w:t>EquationScriptGallery</w:t>
            </w:r>
          </w:p>
        </w:tc>
        <w:tc>
          <w:tcPr>
            <w:tcW w:w="0" w:type="auto"/>
            <w:vAlign w:val="center"/>
          </w:tcPr>
          <w:p w:rsidR="005F78FC" w:rsidRDefault="00B42EF3">
            <w:pPr>
              <w:pStyle w:val="TableBodyText"/>
            </w:pPr>
            <w:r>
              <w:t>07DD</w:t>
            </w:r>
          </w:p>
        </w:tc>
      </w:tr>
      <w:tr w:rsidR="005F78FC" w:rsidTr="005F78FC">
        <w:tc>
          <w:tcPr>
            <w:tcW w:w="0" w:type="auto"/>
            <w:vAlign w:val="center"/>
          </w:tcPr>
          <w:p w:rsidR="005F78FC" w:rsidRDefault="00B42EF3">
            <w:pPr>
              <w:pStyle w:val="TableBodyText"/>
            </w:pPr>
            <w:r>
              <w:t>EquationScriptLocation</w:t>
            </w:r>
          </w:p>
        </w:tc>
        <w:tc>
          <w:tcPr>
            <w:tcW w:w="0" w:type="auto"/>
            <w:vAlign w:val="center"/>
          </w:tcPr>
          <w:p w:rsidR="005F78FC" w:rsidRDefault="00B42EF3">
            <w:pPr>
              <w:pStyle w:val="TableBodyText"/>
            </w:pPr>
            <w:r>
              <w:t>08D8</w:t>
            </w:r>
          </w:p>
        </w:tc>
      </w:tr>
      <w:tr w:rsidR="005F78FC" w:rsidTr="005F78FC">
        <w:tc>
          <w:tcPr>
            <w:tcW w:w="0" w:type="auto"/>
            <w:vAlign w:val="center"/>
          </w:tcPr>
          <w:p w:rsidR="005F78FC" w:rsidRDefault="00B42EF3">
            <w:pPr>
              <w:pStyle w:val="TableBodyText"/>
            </w:pPr>
            <w:r>
              <w:t>EquationShowHideBorderBLTRStrike</w:t>
            </w:r>
          </w:p>
        </w:tc>
        <w:tc>
          <w:tcPr>
            <w:tcW w:w="0" w:type="auto"/>
            <w:vAlign w:val="center"/>
          </w:tcPr>
          <w:p w:rsidR="005F78FC" w:rsidRDefault="00B42EF3">
            <w:pPr>
              <w:pStyle w:val="TableBodyText"/>
            </w:pPr>
            <w:r>
              <w:t>0984</w:t>
            </w:r>
          </w:p>
        </w:tc>
      </w:tr>
      <w:tr w:rsidR="005F78FC" w:rsidTr="005F78FC">
        <w:tc>
          <w:tcPr>
            <w:tcW w:w="0" w:type="auto"/>
            <w:vAlign w:val="center"/>
          </w:tcPr>
          <w:p w:rsidR="005F78FC" w:rsidRDefault="00B42EF3">
            <w:pPr>
              <w:pStyle w:val="TableBodyText"/>
            </w:pPr>
            <w:r>
              <w:t>EquationShowHideBorderBottom</w:t>
            </w:r>
          </w:p>
        </w:tc>
        <w:tc>
          <w:tcPr>
            <w:tcW w:w="0" w:type="auto"/>
            <w:vAlign w:val="center"/>
          </w:tcPr>
          <w:p w:rsidR="005F78FC" w:rsidRDefault="00B42EF3">
            <w:pPr>
              <w:pStyle w:val="TableBodyText"/>
            </w:pPr>
            <w:r>
              <w:t>097E</w:t>
            </w:r>
          </w:p>
        </w:tc>
      </w:tr>
      <w:tr w:rsidR="005F78FC" w:rsidTr="005F78FC">
        <w:tc>
          <w:tcPr>
            <w:tcW w:w="0" w:type="auto"/>
            <w:vAlign w:val="center"/>
          </w:tcPr>
          <w:p w:rsidR="005F78FC" w:rsidRDefault="00B42EF3">
            <w:pPr>
              <w:pStyle w:val="TableBodyText"/>
            </w:pPr>
            <w:r>
              <w:t>EquationShowHideBorderHorizontalStrike</w:t>
            </w:r>
          </w:p>
        </w:tc>
        <w:tc>
          <w:tcPr>
            <w:tcW w:w="0" w:type="auto"/>
            <w:vAlign w:val="center"/>
          </w:tcPr>
          <w:p w:rsidR="005F78FC" w:rsidRDefault="00B42EF3">
            <w:pPr>
              <w:pStyle w:val="TableBodyText"/>
            </w:pPr>
            <w:r>
              <w:t>0981</w:t>
            </w:r>
          </w:p>
        </w:tc>
      </w:tr>
      <w:tr w:rsidR="005F78FC" w:rsidTr="005F78FC">
        <w:tc>
          <w:tcPr>
            <w:tcW w:w="0" w:type="auto"/>
            <w:vAlign w:val="center"/>
          </w:tcPr>
          <w:p w:rsidR="005F78FC" w:rsidRDefault="00B42EF3">
            <w:pPr>
              <w:pStyle w:val="TableBodyText"/>
            </w:pPr>
            <w:r>
              <w:t>EquationShowHideBorderLeft</w:t>
            </w:r>
          </w:p>
        </w:tc>
        <w:tc>
          <w:tcPr>
            <w:tcW w:w="0" w:type="auto"/>
            <w:vAlign w:val="center"/>
          </w:tcPr>
          <w:p w:rsidR="005F78FC" w:rsidRDefault="00B42EF3">
            <w:pPr>
              <w:pStyle w:val="TableBodyText"/>
            </w:pPr>
            <w:r>
              <w:t>097F</w:t>
            </w:r>
          </w:p>
        </w:tc>
      </w:tr>
      <w:tr w:rsidR="005F78FC" w:rsidTr="005F78FC">
        <w:tc>
          <w:tcPr>
            <w:tcW w:w="0" w:type="auto"/>
            <w:vAlign w:val="center"/>
          </w:tcPr>
          <w:p w:rsidR="005F78FC" w:rsidRDefault="00B42EF3">
            <w:pPr>
              <w:pStyle w:val="TableBodyText"/>
            </w:pPr>
            <w:r>
              <w:t>EquationShowHideBorderRight</w:t>
            </w:r>
          </w:p>
        </w:tc>
        <w:tc>
          <w:tcPr>
            <w:tcW w:w="0" w:type="auto"/>
            <w:vAlign w:val="center"/>
          </w:tcPr>
          <w:p w:rsidR="005F78FC" w:rsidRDefault="00B42EF3">
            <w:pPr>
              <w:pStyle w:val="TableBodyText"/>
            </w:pPr>
            <w:r>
              <w:t>0980</w:t>
            </w:r>
          </w:p>
        </w:tc>
      </w:tr>
      <w:tr w:rsidR="005F78FC" w:rsidTr="005F78FC">
        <w:tc>
          <w:tcPr>
            <w:tcW w:w="0" w:type="auto"/>
            <w:vAlign w:val="center"/>
          </w:tcPr>
          <w:p w:rsidR="005F78FC" w:rsidRDefault="00B42EF3">
            <w:pPr>
              <w:pStyle w:val="TableBodyText"/>
            </w:pPr>
            <w:r>
              <w:t>EquationShowHideBorderTLBRStrike</w:t>
            </w:r>
          </w:p>
        </w:tc>
        <w:tc>
          <w:tcPr>
            <w:tcW w:w="0" w:type="auto"/>
            <w:vAlign w:val="center"/>
          </w:tcPr>
          <w:p w:rsidR="005F78FC" w:rsidRDefault="00B42EF3">
            <w:pPr>
              <w:pStyle w:val="TableBodyText"/>
            </w:pPr>
            <w:r>
              <w:t>0983</w:t>
            </w:r>
          </w:p>
        </w:tc>
      </w:tr>
      <w:tr w:rsidR="005F78FC" w:rsidTr="005F78FC">
        <w:tc>
          <w:tcPr>
            <w:tcW w:w="0" w:type="auto"/>
            <w:vAlign w:val="center"/>
          </w:tcPr>
          <w:p w:rsidR="005F78FC" w:rsidRDefault="00B42EF3">
            <w:pPr>
              <w:pStyle w:val="TableBodyText"/>
            </w:pPr>
            <w:r>
              <w:t>EquationShowHideBorderTop</w:t>
            </w:r>
          </w:p>
        </w:tc>
        <w:tc>
          <w:tcPr>
            <w:tcW w:w="0" w:type="auto"/>
            <w:vAlign w:val="center"/>
          </w:tcPr>
          <w:p w:rsidR="005F78FC" w:rsidRDefault="00B42EF3">
            <w:pPr>
              <w:pStyle w:val="TableBodyText"/>
            </w:pPr>
            <w:r>
              <w:t>097D</w:t>
            </w:r>
          </w:p>
        </w:tc>
      </w:tr>
      <w:tr w:rsidR="005F78FC" w:rsidTr="005F78FC">
        <w:tc>
          <w:tcPr>
            <w:tcW w:w="0" w:type="auto"/>
            <w:vAlign w:val="center"/>
          </w:tcPr>
          <w:p w:rsidR="005F78FC" w:rsidRDefault="00B42EF3">
            <w:pPr>
              <w:pStyle w:val="TableBodyText"/>
            </w:pPr>
            <w:r>
              <w:lastRenderedPageBreak/>
              <w:t>EquationShowHideBorderVerticalStrike</w:t>
            </w:r>
          </w:p>
        </w:tc>
        <w:tc>
          <w:tcPr>
            <w:tcW w:w="0" w:type="auto"/>
            <w:vAlign w:val="center"/>
          </w:tcPr>
          <w:p w:rsidR="005F78FC" w:rsidRDefault="00B42EF3">
            <w:pPr>
              <w:pStyle w:val="TableBodyText"/>
            </w:pPr>
            <w:r>
              <w:t>0982</w:t>
            </w:r>
          </w:p>
        </w:tc>
      </w:tr>
      <w:tr w:rsidR="005F78FC" w:rsidTr="005F78FC">
        <w:tc>
          <w:tcPr>
            <w:tcW w:w="0" w:type="auto"/>
            <w:vAlign w:val="center"/>
          </w:tcPr>
          <w:p w:rsidR="005F78FC" w:rsidRDefault="00B42EF3">
            <w:pPr>
              <w:pStyle w:val="TableBodyText"/>
            </w:pPr>
            <w:r>
              <w:t>EquationShowHideClosingDelimiter</w:t>
            </w:r>
          </w:p>
        </w:tc>
        <w:tc>
          <w:tcPr>
            <w:tcW w:w="0" w:type="auto"/>
            <w:vAlign w:val="center"/>
          </w:tcPr>
          <w:p w:rsidR="005F78FC" w:rsidRDefault="00B42EF3">
            <w:pPr>
              <w:pStyle w:val="TableBodyText"/>
            </w:pPr>
            <w:r>
              <w:t>07D3</w:t>
            </w:r>
          </w:p>
        </w:tc>
      </w:tr>
      <w:tr w:rsidR="005F78FC" w:rsidTr="005F78FC">
        <w:tc>
          <w:tcPr>
            <w:tcW w:w="0" w:type="auto"/>
            <w:vAlign w:val="center"/>
          </w:tcPr>
          <w:p w:rsidR="005F78FC" w:rsidRDefault="00B42EF3">
            <w:pPr>
              <w:pStyle w:val="TableBodyText"/>
            </w:pPr>
            <w:r>
              <w:t>EquationShowHideLowerLimit</w:t>
            </w:r>
          </w:p>
        </w:tc>
        <w:tc>
          <w:tcPr>
            <w:tcW w:w="0" w:type="auto"/>
            <w:vAlign w:val="center"/>
          </w:tcPr>
          <w:p w:rsidR="005F78FC" w:rsidRDefault="00B42EF3">
            <w:pPr>
              <w:pStyle w:val="TableBodyText"/>
            </w:pPr>
            <w:r>
              <w:t>07CF</w:t>
            </w:r>
          </w:p>
        </w:tc>
      </w:tr>
      <w:tr w:rsidR="005F78FC" w:rsidTr="005F78FC">
        <w:tc>
          <w:tcPr>
            <w:tcW w:w="0" w:type="auto"/>
            <w:vAlign w:val="center"/>
          </w:tcPr>
          <w:p w:rsidR="005F78FC" w:rsidRDefault="00B42EF3">
            <w:pPr>
              <w:pStyle w:val="TableBodyText"/>
            </w:pPr>
            <w:r>
              <w:t>EquationShowHideOpeningDelimiter</w:t>
            </w:r>
          </w:p>
        </w:tc>
        <w:tc>
          <w:tcPr>
            <w:tcW w:w="0" w:type="auto"/>
            <w:vAlign w:val="center"/>
          </w:tcPr>
          <w:p w:rsidR="005F78FC" w:rsidRDefault="00B42EF3">
            <w:pPr>
              <w:pStyle w:val="TableBodyText"/>
            </w:pPr>
            <w:r>
              <w:t>07D2</w:t>
            </w:r>
          </w:p>
        </w:tc>
      </w:tr>
      <w:tr w:rsidR="005F78FC" w:rsidTr="005F78FC">
        <w:tc>
          <w:tcPr>
            <w:tcW w:w="0" w:type="auto"/>
            <w:vAlign w:val="center"/>
          </w:tcPr>
          <w:p w:rsidR="005F78FC" w:rsidRDefault="00B42EF3">
            <w:pPr>
              <w:pStyle w:val="TableBodyText"/>
            </w:pPr>
            <w:r>
              <w:t>EquationShowHidePlaceholders</w:t>
            </w:r>
          </w:p>
        </w:tc>
        <w:tc>
          <w:tcPr>
            <w:tcW w:w="0" w:type="auto"/>
            <w:vAlign w:val="center"/>
          </w:tcPr>
          <w:p w:rsidR="005F78FC" w:rsidRDefault="00B42EF3">
            <w:pPr>
              <w:pStyle w:val="TableBodyText"/>
            </w:pPr>
            <w:r>
              <w:t>0867</w:t>
            </w:r>
          </w:p>
        </w:tc>
      </w:tr>
      <w:tr w:rsidR="005F78FC" w:rsidTr="005F78FC">
        <w:tc>
          <w:tcPr>
            <w:tcW w:w="0" w:type="auto"/>
            <w:vAlign w:val="center"/>
          </w:tcPr>
          <w:p w:rsidR="005F78FC" w:rsidRDefault="00B42EF3">
            <w:pPr>
              <w:pStyle w:val="TableBodyText"/>
            </w:pPr>
            <w:r>
              <w:t>EquationShowHideRadicalDegree</w:t>
            </w:r>
          </w:p>
        </w:tc>
        <w:tc>
          <w:tcPr>
            <w:tcW w:w="0" w:type="auto"/>
            <w:vAlign w:val="center"/>
          </w:tcPr>
          <w:p w:rsidR="005F78FC" w:rsidRDefault="00B42EF3">
            <w:pPr>
              <w:pStyle w:val="TableBodyText"/>
            </w:pPr>
            <w:r>
              <w:t>07D1</w:t>
            </w:r>
          </w:p>
        </w:tc>
      </w:tr>
      <w:tr w:rsidR="005F78FC" w:rsidTr="005F78FC">
        <w:tc>
          <w:tcPr>
            <w:tcW w:w="0" w:type="auto"/>
            <w:vAlign w:val="center"/>
          </w:tcPr>
          <w:p w:rsidR="005F78FC" w:rsidRDefault="00B42EF3">
            <w:pPr>
              <w:pStyle w:val="TableBodyText"/>
            </w:pPr>
            <w:r>
              <w:t>EquationShowHideUpperLimit</w:t>
            </w:r>
          </w:p>
        </w:tc>
        <w:tc>
          <w:tcPr>
            <w:tcW w:w="0" w:type="auto"/>
            <w:vAlign w:val="center"/>
          </w:tcPr>
          <w:p w:rsidR="005F78FC" w:rsidRDefault="00B42EF3">
            <w:pPr>
              <w:pStyle w:val="TableBodyText"/>
            </w:pPr>
            <w:r>
              <w:t>07D0</w:t>
            </w:r>
          </w:p>
        </w:tc>
      </w:tr>
      <w:tr w:rsidR="005F78FC" w:rsidTr="005F78FC">
        <w:tc>
          <w:tcPr>
            <w:tcW w:w="0" w:type="auto"/>
            <w:vAlign w:val="center"/>
          </w:tcPr>
          <w:p w:rsidR="005F78FC" w:rsidRDefault="00B42EF3">
            <w:pPr>
              <w:pStyle w:val="TableBodyText"/>
            </w:pPr>
            <w:r>
              <w:t>EquationSkewedFraction</w:t>
            </w:r>
          </w:p>
        </w:tc>
        <w:tc>
          <w:tcPr>
            <w:tcW w:w="0" w:type="auto"/>
            <w:vAlign w:val="center"/>
          </w:tcPr>
          <w:p w:rsidR="005F78FC" w:rsidRDefault="00B42EF3">
            <w:pPr>
              <w:pStyle w:val="TableBodyText"/>
            </w:pPr>
            <w:r>
              <w:t>0864</w:t>
            </w:r>
          </w:p>
        </w:tc>
      </w:tr>
      <w:tr w:rsidR="005F78FC" w:rsidTr="005F78FC">
        <w:tc>
          <w:tcPr>
            <w:tcW w:w="0" w:type="auto"/>
            <w:vAlign w:val="center"/>
          </w:tcPr>
          <w:p w:rsidR="005F78FC" w:rsidRDefault="00B42EF3">
            <w:pPr>
              <w:pStyle w:val="TableBodyText"/>
            </w:pPr>
            <w:r>
              <w:t>EquationStackedFraction</w:t>
            </w:r>
          </w:p>
        </w:tc>
        <w:tc>
          <w:tcPr>
            <w:tcW w:w="0" w:type="auto"/>
            <w:vAlign w:val="center"/>
          </w:tcPr>
          <w:p w:rsidR="005F78FC" w:rsidRDefault="00B42EF3">
            <w:pPr>
              <w:pStyle w:val="TableBodyText"/>
            </w:pPr>
            <w:r>
              <w:t>0862</w:t>
            </w:r>
          </w:p>
        </w:tc>
      </w:tr>
      <w:tr w:rsidR="005F78FC" w:rsidTr="005F78FC">
        <w:tc>
          <w:tcPr>
            <w:tcW w:w="0" w:type="auto"/>
            <w:vAlign w:val="center"/>
          </w:tcPr>
          <w:p w:rsidR="005F78FC" w:rsidRDefault="00B42EF3">
            <w:pPr>
              <w:pStyle w:val="TableBodyText"/>
            </w:pPr>
            <w:r>
              <w:t>EquationStretchDelimiters</w:t>
            </w:r>
          </w:p>
        </w:tc>
        <w:tc>
          <w:tcPr>
            <w:tcW w:w="0" w:type="auto"/>
            <w:vAlign w:val="center"/>
          </w:tcPr>
          <w:p w:rsidR="005F78FC" w:rsidRDefault="00B42EF3">
            <w:pPr>
              <w:pStyle w:val="TableBodyText"/>
            </w:pPr>
            <w:r>
              <w:t>0866</w:t>
            </w:r>
          </w:p>
        </w:tc>
      </w:tr>
      <w:tr w:rsidR="005F78FC" w:rsidTr="005F78FC">
        <w:tc>
          <w:tcPr>
            <w:tcW w:w="0" w:type="auto"/>
            <w:vAlign w:val="center"/>
          </w:tcPr>
          <w:p w:rsidR="005F78FC" w:rsidRDefault="00B42EF3">
            <w:pPr>
              <w:pStyle w:val="TableBodyText"/>
            </w:pPr>
            <w:r>
              <w:t>EquationStretchNaryOperator</w:t>
            </w:r>
          </w:p>
        </w:tc>
        <w:tc>
          <w:tcPr>
            <w:tcW w:w="0" w:type="auto"/>
            <w:vAlign w:val="center"/>
          </w:tcPr>
          <w:p w:rsidR="005F78FC" w:rsidRDefault="00B42EF3">
            <w:pPr>
              <w:pStyle w:val="TableBodyText"/>
            </w:pPr>
            <w:r>
              <w:t>086F</w:t>
            </w:r>
          </w:p>
        </w:tc>
      </w:tr>
      <w:tr w:rsidR="005F78FC" w:rsidTr="005F78FC">
        <w:tc>
          <w:tcPr>
            <w:tcW w:w="0" w:type="auto"/>
            <w:vAlign w:val="center"/>
          </w:tcPr>
          <w:p w:rsidR="005F78FC" w:rsidRDefault="00B42EF3">
            <w:pPr>
              <w:pStyle w:val="TableBodyText"/>
            </w:pPr>
            <w:r>
              <w:t>EquationSymbolsGallery</w:t>
            </w:r>
          </w:p>
        </w:tc>
        <w:tc>
          <w:tcPr>
            <w:tcW w:w="0" w:type="auto"/>
            <w:vAlign w:val="center"/>
          </w:tcPr>
          <w:p w:rsidR="005F78FC" w:rsidRDefault="00B42EF3">
            <w:pPr>
              <w:pStyle w:val="TableBodyText"/>
            </w:pPr>
            <w:r>
              <w:t>0803</w:t>
            </w:r>
          </w:p>
        </w:tc>
      </w:tr>
      <w:tr w:rsidR="005F78FC" w:rsidTr="005F78FC">
        <w:tc>
          <w:tcPr>
            <w:tcW w:w="0" w:type="auto"/>
            <w:vAlign w:val="center"/>
          </w:tcPr>
          <w:p w:rsidR="005F78FC" w:rsidRDefault="00B42EF3">
            <w:pPr>
              <w:pStyle w:val="TableBodyText"/>
            </w:pPr>
            <w:r>
              <w:t>EquationToggle</w:t>
            </w:r>
          </w:p>
        </w:tc>
        <w:tc>
          <w:tcPr>
            <w:tcW w:w="0" w:type="auto"/>
            <w:vAlign w:val="center"/>
          </w:tcPr>
          <w:p w:rsidR="005F78FC" w:rsidRDefault="00B42EF3">
            <w:pPr>
              <w:pStyle w:val="TableBodyText"/>
            </w:pPr>
            <w:r>
              <w:t>0775</w:t>
            </w:r>
          </w:p>
        </w:tc>
      </w:tr>
      <w:tr w:rsidR="005F78FC" w:rsidTr="005F78FC">
        <w:tc>
          <w:tcPr>
            <w:tcW w:w="0" w:type="auto"/>
            <w:vAlign w:val="center"/>
          </w:tcPr>
          <w:p w:rsidR="005F78FC" w:rsidRDefault="00B42EF3">
            <w:pPr>
              <w:pStyle w:val="TableBodyText"/>
            </w:pPr>
            <w:r>
              <w:t>EquationVerticalBottom</w:t>
            </w:r>
          </w:p>
        </w:tc>
        <w:tc>
          <w:tcPr>
            <w:tcW w:w="0" w:type="auto"/>
            <w:vAlign w:val="center"/>
          </w:tcPr>
          <w:p w:rsidR="005F78FC" w:rsidRDefault="00B42EF3">
            <w:pPr>
              <w:pStyle w:val="TableBodyText"/>
            </w:pPr>
            <w:r>
              <w:t>07CB</w:t>
            </w:r>
          </w:p>
        </w:tc>
      </w:tr>
      <w:tr w:rsidR="005F78FC" w:rsidTr="005F78FC">
        <w:tc>
          <w:tcPr>
            <w:tcW w:w="0" w:type="auto"/>
            <w:vAlign w:val="center"/>
          </w:tcPr>
          <w:p w:rsidR="005F78FC" w:rsidRDefault="00B42EF3">
            <w:pPr>
              <w:pStyle w:val="TableBodyText"/>
            </w:pPr>
            <w:r>
              <w:t>EquationVerticalCenter</w:t>
            </w:r>
          </w:p>
        </w:tc>
        <w:tc>
          <w:tcPr>
            <w:tcW w:w="0" w:type="auto"/>
            <w:vAlign w:val="center"/>
          </w:tcPr>
          <w:p w:rsidR="005F78FC" w:rsidRDefault="00B42EF3">
            <w:pPr>
              <w:pStyle w:val="TableBodyText"/>
            </w:pPr>
            <w:r>
              <w:t>07C9</w:t>
            </w:r>
          </w:p>
        </w:tc>
      </w:tr>
      <w:tr w:rsidR="005F78FC" w:rsidTr="005F78FC">
        <w:tc>
          <w:tcPr>
            <w:tcW w:w="0" w:type="auto"/>
            <w:vAlign w:val="center"/>
          </w:tcPr>
          <w:p w:rsidR="005F78FC" w:rsidRDefault="00B42EF3">
            <w:pPr>
              <w:pStyle w:val="TableBodyText"/>
            </w:pPr>
            <w:r>
              <w:t>EquationVerticalMenu</w:t>
            </w:r>
          </w:p>
        </w:tc>
        <w:tc>
          <w:tcPr>
            <w:tcW w:w="0" w:type="auto"/>
            <w:vAlign w:val="center"/>
          </w:tcPr>
          <w:p w:rsidR="005F78FC" w:rsidRDefault="00B42EF3">
            <w:pPr>
              <w:pStyle w:val="TableBodyText"/>
            </w:pPr>
            <w:r>
              <w:t>16C2</w:t>
            </w:r>
          </w:p>
        </w:tc>
      </w:tr>
      <w:tr w:rsidR="005F78FC" w:rsidTr="005F78FC">
        <w:tc>
          <w:tcPr>
            <w:tcW w:w="0" w:type="auto"/>
            <w:vAlign w:val="center"/>
          </w:tcPr>
          <w:p w:rsidR="005F78FC" w:rsidRDefault="00B42EF3">
            <w:pPr>
              <w:pStyle w:val="TableBodyText"/>
            </w:pPr>
            <w:r>
              <w:t>EquationVerticalTop</w:t>
            </w:r>
          </w:p>
        </w:tc>
        <w:tc>
          <w:tcPr>
            <w:tcW w:w="0" w:type="auto"/>
            <w:vAlign w:val="center"/>
          </w:tcPr>
          <w:p w:rsidR="005F78FC" w:rsidRDefault="00B42EF3">
            <w:pPr>
              <w:pStyle w:val="TableBodyText"/>
            </w:pPr>
            <w:r>
              <w:t>07CA</w:t>
            </w:r>
          </w:p>
        </w:tc>
      </w:tr>
      <w:tr w:rsidR="005F78FC" w:rsidTr="005F78FC">
        <w:tc>
          <w:tcPr>
            <w:tcW w:w="0" w:type="auto"/>
            <w:vAlign w:val="center"/>
          </w:tcPr>
          <w:p w:rsidR="005F78FC" w:rsidRDefault="00B42EF3">
            <w:pPr>
              <w:pStyle w:val="TableBodyText"/>
            </w:pPr>
            <w:r>
              <w:t>EquationsOptions</w:t>
            </w:r>
          </w:p>
        </w:tc>
        <w:tc>
          <w:tcPr>
            <w:tcW w:w="0" w:type="auto"/>
            <w:vAlign w:val="center"/>
          </w:tcPr>
          <w:p w:rsidR="005F78FC" w:rsidRDefault="00B42EF3">
            <w:pPr>
              <w:pStyle w:val="TableBodyText"/>
            </w:pPr>
            <w:r>
              <w:t>095B</w:t>
            </w:r>
          </w:p>
        </w:tc>
      </w:tr>
      <w:tr w:rsidR="005F78FC" w:rsidTr="005F78FC">
        <w:tc>
          <w:tcPr>
            <w:tcW w:w="0" w:type="auto"/>
            <w:vAlign w:val="center"/>
          </w:tcPr>
          <w:p w:rsidR="005F78FC" w:rsidRDefault="00B42EF3">
            <w:pPr>
              <w:pStyle w:val="TableBodyText"/>
            </w:pPr>
            <w:r>
              <w:t>Expanded</w:t>
            </w:r>
          </w:p>
        </w:tc>
        <w:tc>
          <w:tcPr>
            <w:tcW w:w="0" w:type="auto"/>
            <w:vAlign w:val="center"/>
          </w:tcPr>
          <w:p w:rsidR="005F78FC" w:rsidRDefault="00B42EF3">
            <w:pPr>
              <w:pStyle w:val="TableBodyText"/>
            </w:pPr>
            <w:r>
              <w:t>0214</w:t>
            </w:r>
          </w:p>
        </w:tc>
      </w:tr>
      <w:tr w:rsidR="005F78FC" w:rsidTr="005F78FC">
        <w:tc>
          <w:tcPr>
            <w:tcW w:w="0" w:type="auto"/>
            <w:vAlign w:val="center"/>
          </w:tcPr>
          <w:p w:rsidR="005F78FC" w:rsidRDefault="00B42EF3">
            <w:pPr>
              <w:pStyle w:val="TableBodyText"/>
            </w:pPr>
            <w:r>
              <w:t>ExtendSelection</w:t>
            </w:r>
          </w:p>
        </w:tc>
        <w:tc>
          <w:tcPr>
            <w:tcW w:w="0" w:type="auto"/>
            <w:vAlign w:val="center"/>
          </w:tcPr>
          <w:p w:rsidR="005F78FC" w:rsidRDefault="00B42EF3">
            <w:pPr>
              <w:pStyle w:val="TableBodyText"/>
            </w:pPr>
            <w:r>
              <w:t>000E</w:t>
            </w:r>
          </w:p>
        </w:tc>
      </w:tr>
      <w:tr w:rsidR="005F78FC" w:rsidTr="005F78FC">
        <w:tc>
          <w:tcPr>
            <w:tcW w:w="0" w:type="auto"/>
            <w:vAlign w:val="center"/>
          </w:tcPr>
          <w:p w:rsidR="005F78FC" w:rsidRDefault="00B42EF3">
            <w:pPr>
              <w:pStyle w:val="TableBodyText"/>
            </w:pPr>
            <w:r>
              <w:t>FPConfidential</w:t>
            </w:r>
          </w:p>
        </w:tc>
        <w:tc>
          <w:tcPr>
            <w:tcW w:w="0" w:type="auto"/>
            <w:vAlign w:val="center"/>
          </w:tcPr>
          <w:p w:rsidR="005F78FC" w:rsidRDefault="00B42EF3">
            <w:pPr>
              <w:pStyle w:val="TableBodyText"/>
            </w:pPr>
            <w:r>
              <w:t>0598</w:t>
            </w:r>
          </w:p>
        </w:tc>
      </w:tr>
      <w:tr w:rsidR="005F78FC" w:rsidTr="005F78FC">
        <w:tc>
          <w:tcPr>
            <w:tcW w:w="0" w:type="auto"/>
            <w:vAlign w:val="center"/>
          </w:tcPr>
          <w:p w:rsidR="005F78FC" w:rsidRDefault="00B42EF3">
            <w:pPr>
              <w:pStyle w:val="TableBodyText"/>
            </w:pPr>
            <w:r>
              <w:t>FPSelectUser</w:t>
            </w:r>
          </w:p>
        </w:tc>
        <w:tc>
          <w:tcPr>
            <w:tcW w:w="0" w:type="auto"/>
            <w:vAlign w:val="center"/>
          </w:tcPr>
          <w:p w:rsidR="005F78FC" w:rsidRDefault="00B42EF3">
            <w:pPr>
              <w:pStyle w:val="TableBodyText"/>
            </w:pPr>
            <w:r>
              <w:t>05B5</w:t>
            </w:r>
          </w:p>
        </w:tc>
      </w:tr>
      <w:tr w:rsidR="005F78FC" w:rsidTr="005F78FC">
        <w:tc>
          <w:tcPr>
            <w:tcW w:w="0" w:type="auto"/>
            <w:vAlign w:val="center"/>
          </w:tcPr>
          <w:p w:rsidR="005F78FC" w:rsidRDefault="00B42EF3">
            <w:pPr>
              <w:pStyle w:val="TableBodyText"/>
            </w:pPr>
            <w:r>
              <w:t>FPUnprotected</w:t>
            </w:r>
          </w:p>
        </w:tc>
        <w:tc>
          <w:tcPr>
            <w:tcW w:w="0" w:type="auto"/>
            <w:vAlign w:val="center"/>
          </w:tcPr>
          <w:p w:rsidR="005F78FC" w:rsidRDefault="00B42EF3">
            <w:pPr>
              <w:pStyle w:val="TableBodyText"/>
            </w:pPr>
            <w:r>
              <w:t>0597</w:t>
            </w:r>
          </w:p>
        </w:tc>
      </w:tr>
      <w:tr w:rsidR="005F78FC" w:rsidTr="005F78FC">
        <w:tc>
          <w:tcPr>
            <w:tcW w:w="0" w:type="auto"/>
            <w:vAlign w:val="center"/>
          </w:tcPr>
          <w:p w:rsidR="005F78FC" w:rsidRDefault="00B42EF3">
            <w:pPr>
              <w:pStyle w:val="TableBodyText"/>
            </w:pPr>
            <w:r>
              <w:t>FaxService</w:t>
            </w:r>
          </w:p>
        </w:tc>
        <w:tc>
          <w:tcPr>
            <w:tcW w:w="0" w:type="auto"/>
            <w:vAlign w:val="center"/>
          </w:tcPr>
          <w:p w:rsidR="005F78FC" w:rsidRDefault="00B42EF3">
            <w:pPr>
              <w:pStyle w:val="TableBodyText"/>
            </w:pPr>
            <w:r>
              <w:t>05BB</w:t>
            </w:r>
          </w:p>
        </w:tc>
      </w:tr>
      <w:tr w:rsidR="005F78FC" w:rsidTr="005F78FC">
        <w:tc>
          <w:tcPr>
            <w:tcW w:w="0" w:type="auto"/>
            <w:vAlign w:val="center"/>
          </w:tcPr>
          <w:p w:rsidR="005F78FC" w:rsidRDefault="00B42EF3">
            <w:pPr>
              <w:pStyle w:val="TableBodyText"/>
            </w:pPr>
            <w:r>
              <w:t>File1</w:t>
            </w:r>
          </w:p>
        </w:tc>
        <w:tc>
          <w:tcPr>
            <w:tcW w:w="0" w:type="auto"/>
            <w:vAlign w:val="center"/>
          </w:tcPr>
          <w:p w:rsidR="005F78FC" w:rsidRDefault="00B42EF3">
            <w:pPr>
              <w:pStyle w:val="TableBodyText"/>
            </w:pPr>
            <w:r>
              <w:t>0FC5</w:t>
            </w:r>
          </w:p>
        </w:tc>
      </w:tr>
      <w:tr w:rsidR="005F78FC" w:rsidTr="005F78FC">
        <w:tc>
          <w:tcPr>
            <w:tcW w:w="0" w:type="auto"/>
            <w:vAlign w:val="center"/>
          </w:tcPr>
          <w:p w:rsidR="005F78FC" w:rsidRDefault="00B42EF3">
            <w:pPr>
              <w:pStyle w:val="TableBodyText"/>
            </w:pPr>
            <w:r>
              <w:t>File10</w:t>
            </w:r>
          </w:p>
        </w:tc>
        <w:tc>
          <w:tcPr>
            <w:tcW w:w="0" w:type="auto"/>
            <w:vAlign w:val="center"/>
          </w:tcPr>
          <w:p w:rsidR="005F78FC" w:rsidRDefault="00B42EF3">
            <w:pPr>
              <w:pStyle w:val="TableBodyText"/>
            </w:pPr>
            <w:r>
              <w:t>10CC</w:t>
            </w:r>
          </w:p>
        </w:tc>
      </w:tr>
      <w:tr w:rsidR="005F78FC" w:rsidTr="005F78FC">
        <w:tc>
          <w:tcPr>
            <w:tcW w:w="0" w:type="auto"/>
            <w:vAlign w:val="center"/>
          </w:tcPr>
          <w:p w:rsidR="005F78FC" w:rsidRDefault="00B42EF3">
            <w:pPr>
              <w:pStyle w:val="TableBodyText"/>
            </w:pPr>
            <w:r>
              <w:t>File11</w:t>
            </w:r>
          </w:p>
        </w:tc>
        <w:tc>
          <w:tcPr>
            <w:tcW w:w="0" w:type="auto"/>
            <w:vAlign w:val="center"/>
          </w:tcPr>
          <w:p w:rsidR="005F78FC" w:rsidRDefault="00B42EF3">
            <w:pPr>
              <w:pStyle w:val="TableBodyText"/>
            </w:pPr>
            <w:r>
              <w:t>10CD</w:t>
            </w:r>
          </w:p>
        </w:tc>
      </w:tr>
      <w:tr w:rsidR="005F78FC" w:rsidTr="005F78FC">
        <w:tc>
          <w:tcPr>
            <w:tcW w:w="0" w:type="auto"/>
            <w:vAlign w:val="center"/>
          </w:tcPr>
          <w:p w:rsidR="005F78FC" w:rsidRDefault="00B42EF3">
            <w:pPr>
              <w:pStyle w:val="TableBodyText"/>
            </w:pPr>
            <w:r>
              <w:t>File12</w:t>
            </w:r>
          </w:p>
        </w:tc>
        <w:tc>
          <w:tcPr>
            <w:tcW w:w="0" w:type="auto"/>
            <w:vAlign w:val="center"/>
          </w:tcPr>
          <w:p w:rsidR="005F78FC" w:rsidRDefault="00B42EF3">
            <w:pPr>
              <w:pStyle w:val="TableBodyText"/>
            </w:pPr>
            <w:r>
              <w:t>10CE</w:t>
            </w:r>
          </w:p>
        </w:tc>
      </w:tr>
      <w:tr w:rsidR="005F78FC" w:rsidTr="005F78FC">
        <w:tc>
          <w:tcPr>
            <w:tcW w:w="0" w:type="auto"/>
            <w:vAlign w:val="center"/>
          </w:tcPr>
          <w:p w:rsidR="005F78FC" w:rsidRDefault="00B42EF3">
            <w:pPr>
              <w:pStyle w:val="TableBodyText"/>
            </w:pPr>
            <w:r>
              <w:t>File13</w:t>
            </w:r>
          </w:p>
        </w:tc>
        <w:tc>
          <w:tcPr>
            <w:tcW w:w="0" w:type="auto"/>
            <w:vAlign w:val="center"/>
          </w:tcPr>
          <w:p w:rsidR="005F78FC" w:rsidRDefault="00B42EF3">
            <w:pPr>
              <w:pStyle w:val="TableBodyText"/>
            </w:pPr>
            <w:r>
              <w:t>10CF</w:t>
            </w:r>
          </w:p>
        </w:tc>
      </w:tr>
      <w:tr w:rsidR="005F78FC" w:rsidTr="005F78FC">
        <w:tc>
          <w:tcPr>
            <w:tcW w:w="0" w:type="auto"/>
            <w:vAlign w:val="center"/>
          </w:tcPr>
          <w:p w:rsidR="005F78FC" w:rsidRDefault="00B42EF3">
            <w:pPr>
              <w:pStyle w:val="TableBodyText"/>
            </w:pPr>
            <w:r>
              <w:t>File14</w:t>
            </w:r>
          </w:p>
        </w:tc>
        <w:tc>
          <w:tcPr>
            <w:tcW w:w="0" w:type="auto"/>
            <w:vAlign w:val="center"/>
          </w:tcPr>
          <w:p w:rsidR="005F78FC" w:rsidRDefault="00B42EF3">
            <w:pPr>
              <w:pStyle w:val="TableBodyText"/>
            </w:pPr>
            <w:r>
              <w:t>10D0</w:t>
            </w:r>
          </w:p>
        </w:tc>
      </w:tr>
      <w:tr w:rsidR="005F78FC" w:rsidTr="005F78FC">
        <w:tc>
          <w:tcPr>
            <w:tcW w:w="0" w:type="auto"/>
            <w:vAlign w:val="center"/>
          </w:tcPr>
          <w:p w:rsidR="005F78FC" w:rsidRDefault="00B42EF3">
            <w:pPr>
              <w:pStyle w:val="TableBodyText"/>
            </w:pPr>
            <w:r>
              <w:t>File15</w:t>
            </w:r>
          </w:p>
        </w:tc>
        <w:tc>
          <w:tcPr>
            <w:tcW w:w="0" w:type="auto"/>
            <w:vAlign w:val="center"/>
          </w:tcPr>
          <w:p w:rsidR="005F78FC" w:rsidRDefault="00B42EF3">
            <w:pPr>
              <w:pStyle w:val="TableBodyText"/>
            </w:pPr>
            <w:r>
              <w:t>10D1</w:t>
            </w:r>
          </w:p>
        </w:tc>
      </w:tr>
      <w:tr w:rsidR="005F78FC" w:rsidTr="005F78FC">
        <w:tc>
          <w:tcPr>
            <w:tcW w:w="0" w:type="auto"/>
            <w:vAlign w:val="center"/>
          </w:tcPr>
          <w:p w:rsidR="005F78FC" w:rsidRDefault="00B42EF3">
            <w:pPr>
              <w:pStyle w:val="TableBodyText"/>
            </w:pPr>
            <w:r>
              <w:t>File16</w:t>
            </w:r>
          </w:p>
        </w:tc>
        <w:tc>
          <w:tcPr>
            <w:tcW w:w="0" w:type="auto"/>
            <w:vAlign w:val="center"/>
          </w:tcPr>
          <w:p w:rsidR="005F78FC" w:rsidRDefault="00B42EF3">
            <w:pPr>
              <w:pStyle w:val="TableBodyText"/>
            </w:pPr>
            <w:r>
              <w:t>10D2</w:t>
            </w:r>
          </w:p>
        </w:tc>
      </w:tr>
      <w:tr w:rsidR="005F78FC" w:rsidTr="005F78FC">
        <w:tc>
          <w:tcPr>
            <w:tcW w:w="0" w:type="auto"/>
            <w:vAlign w:val="center"/>
          </w:tcPr>
          <w:p w:rsidR="005F78FC" w:rsidRDefault="00B42EF3">
            <w:pPr>
              <w:pStyle w:val="TableBodyText"/>
            </w:pPr>
            <w:r>
              <w:lastRenderedPageBreak/>
              <w:t>File17</w:t>
            </w:r>
          </w:p>
        </w:tc>
        <w:tc>
          <w:tcPr>
            <w:tcW w:w="0" w:type="auto"/>
            <w:vAlign w:val="center"/>
          </w:tcPr>
          <w:p w:rsidR="005F78FC" w:rsidRDefault="00B42EF3">
            <w:pPr>
              <w:pStyle w:val="TableBodyText"/>
            </w:pPr>
            <w:r>
              <w:t>10D3</w:t>
            </w:r>
          </w:p>
        </w:tc>
      </w:tr>
      <w:tr w:rsidR="005F78FC" w:rsidTr="005F78FC">
        <w:tc>
          <w:tcPr>
            <w:tcW w:w="0" w:type="auto"/>
            <w:vAlign w:val="center"/>
          </w:tcPr>
          <w:p w:rsidR="005F78FC" w:rsidRDefault="00B42EF3">
            <w:pPr>
              <w:pStyle w:val="TableBodyText"/>
            </w:pPr>
            <w:r>
              <w:t>File18</w:t>
            </w:r>
          </w:p>
        </w:tc>
        <w:tc>
          <w:tcPr>
            <w:tcW w:w="0" w:type="auto"/>
            <w:vAlign w:val="center"/>
          </w:tcPr>
          <w:p w:rsidR="005F78FC" w:rsidRDefault="00B42EF3">
            <w:pPr>
              <w:pStyle w:val="TableBodyText"/>
            </w:pPr>
            <w:r>
              <w:t>10D4</w:t>
            </w:r>
          </w:p>
        </w:tc>
      </w:tr>
      <w:tr w:rsidR="005F78FC" w:rsidTr="005F78FC">
        <w:tc>
          <w:tcPr>
            <w:tcW w:w="0" w:type="auto"/>
            <w:vAlign w:val="center"/>
          </w:tcPr>
          <w:p w:rsidR="005F78FC" w:rsidRDefault="00B42EF3">
            <w:pPr>
              <w:pStyle w:val="TableBodyText"/>
            </w:pPr>
            <w:r>
              <w:t>File19</w:t>
            </w:r>
          </w:p>
        </w:tc>
        <w:tc>
          <w:tcPr>
            <w:tcW w:w="0" w:type="auto"/>
            <w:vAlign w:val="center"/>
          </w:tcPr>
          <w:p w:rsidR="005F78FC" w:rsidRDefault="00B42EF3">
            <w:pPr>
              <w:pStyle w:val="TableBodyText"/>
            </w:pPr>
            <w:r>
              <w:t>10D5</w:t>
            </w:r>
          </w:p>
        </w:tc>
      </w:tr>
      <w:tr w:rsidR="005F78FC" w:rsidTr="005F78FC">
        <w:tc>
          <w:tcPr>
            <w:tcW w:w="0" w:type="auto"/>
            <w:vAlign w:val="center"/>
          </w:tcPr>
          <w:p w:rsidR="005F78FC" w:rsidRDefault="00B42EF3">
            <w:pPr>
              <w:pStyle w:val="TableBodyText"/>
            </w:pPr>
            <w:r>
              <w:t>File2</w:t>
            </w:r>
          </w:p>
        </w:tc>
        <w:tc>
          <w:tcPr>
            <w:tcW w:w="0" w:type="auto"/>
            <w:vAlign w:val="center"/>
          </w:tcPr>
          <w:p w:rsidR="005F78FC" w:rsidRDefault="00B42EF3">
            <w:pPr>
              <w:pStyle w:val="TableBodyText"/>
            </w:pPr>
            <w:r>
              <w:t>0FC6</w:t>
            </w:r>
          </w:p>
        </w:tc>
      </w:tr>
      <w:tr w:rsidR="005F78FC" w:rsidTr="005F78FC">
        <w:tc>
          <w:tcPr>
            <w:tcW w:w="0" w:type="auto"/>
            <w:vAlign w:val="center"/>
          </w:tcPr>
          <w:p w:rsidR="005F78FC" w:rsidRDefault="00B42EF3">
            <w:pPr>
              <w:pStyle w:val="TableBodyText"/>
            </w:pPr>
            <w:r>
              <w:t>File20</w:t>
            </w:r>
          </w:p>
        </w:tc>
        <w:tc>
          <w:tcPr>
            <w:tcW w:w="0" w:type="auto"/>
            <w:vAlign w:val="center"/>
          </w:tcPr>
          <w:p w:rsidR="005F78FC" w:rsidRDefault="00B42EF3">
            <w:pPr>
              <w:pStyle w:val="TableBodyText"/>
            </w:pPr>
            <w:r>
              <w:t>10D6</w:t>
            </w:r>
          </w:p>
        </w:tc>
      </w:tr>
      <w:tr w:rsidR="005F78FC" w:rsidTr="005F78FC">
        <w:tc>
          <w:tcPr>
            <w:tcW w:w="0" w:type="auto"/>
            <w:vAlign w:val="center"/>
          </w:tcPr>
          <w:p w:rsidR="005F78FC" w:rsidRDefault="00B42EF3">
            <w:pPr>
              <w:pStyle w:val="TableBodyText"/>
            </w:pPr>
            <w:r>
              <w:t>File21</w:t>
            </w:r>
          </w:p>
        </w:tc>
        <w:tc>
          <w:tcPr>
            <w:tcW w:w="0" w:type="auto"/>
            <w:vAlign w:val="center"/>
          </w:tcPr>
          <w:p w:rsidR="005F78FC" w:rsidRDefault="00B42EF3">
            <w:pPr>
              <w:pStyle w:val="TableBodyText"/>
            </w:pPr>
            <w:r>
              <w:t>10D7</w:t>
            </w:r>
          </w:p>
        </w:tc>
      </w:tr>
      <w:tr w:rsidR="005F78FC" w:rsidTr="005F78FC">
        <w:tc>
          <w:tcPr>
            <w:tcW w:w="0" w:type="auto"/>
            <w:vAlign w:val="center"/>
          </w:tcPr>
          <w:p w:rsidR="005F78FC" w:rsidRDefault="00B42EF3">
            <w:pPr>
              <w:pStyle w:val="TableBodyText"/>
            </w:pPr>
            <w:r>
              <w:t>File22</w:t>
            </w:r>
          </w:p>
        </w:tc>
        <w:tc>
          <w:tcPr>
            <w:tcW w:w="0" w:type="auto"/>
            <w:vAlign w:val="center"/>
          </w:tcPr>
          <w:p w:rsidR="005F78FC" w:rsidRDefault="00B42EF3">
            <w:pPr>
              <w:pStyle w:val="TableBodyText"/>
            </w:pPr>
            <w:r>
              <w:t>10D8</w:t>
            </w:r>
          </w:p>
        </w:tc>
      </w:tr>
      <w:tr w:rsidR="005F78FC" w:rsidTr="005F78FC">
        <w:tc>
          <w:tcPr>
            <w:tcW w:w="0" w:type="auto"/>
            <w:vAlign w:val="center"/>
          </w:tcPr>
          <w:p w:rsidR="005F78FC" w:rsidRDefault="00B42EF3">
            <w:pPr>
              <w:pStyle w:val="TableBodyText"/>
            </w:pPr>
            <w:r>
              <w:t>File23</w:t>
            </w:r>
          </w:p>
        </w:tc>
        <w:tc>
          <w:tcPr>
            <w:tcW w:w="0" w:type="auto"/>
            <w:vAlign w:val="center"/>
          </w:tcPr>
          <w:p w:rsidR="005F78FC" w:rsidRDefault="00B42EF3">
            <w:pPr>
              <w:pStyle w:val="TableBodyText"/>
            </w:pPr>
            <w:r>
              <w:t>10D9</w:t>
            </w:r>
          </w:p>
        </w:tc>
      </w:tr>
      <w:tr w:rsidR="005F78FC" w:rsidTr="005F78FC">
        <w:tc>
          <w:tcPr>
            <w:tcW w:w="0" w:type="auto"/>
            <w:vAlign w:val="center"/>
          </w:tcPr>
          <w:p w:rsidR="005F78FC" w:rsidRDefault="00B42EF3">
            <w:pPr>
              <w:pStyle w:val="TableBodyText"/>
            </w:pPr>
            <w:r>
              <w:t>File24</w:t>
            </w:r>
          </w:p>
        </w:tc>
        <w:tc>
          <w:tcPr>
            <w:tcW w:w="0" w:type="auto"/>
            <w:vAlign w:val="center"/>
          </w:tcPr>
          <w:p w:rsidR="005F78FC" w:rsidRDefault="00B42EF3">
            <w:pPr>
              <w:pStyle w:val="TableBodyText"/>
            </w:pPr>
            <w:r>
              <w:t>10DA</w:t>
            </w:r>
          </w:p>
        </w:tc>
      </w:tr>
      <w:tr w:rsidR="005F78FC" w:rsidTr="005F78FC">
        <w:tc>
          <w:tcPr>
            <w:tcW w:w="0" w:type="auto"/>
            <w:vAlign w:val="center"/>
          </w:tcPr>
          <w:p w:rsidR="005F78FC" w:rsidRDefault="00B42EF3">
            <w:pPr>
              <w:pStyle w:val="TableBodyText"/>
            </w:pPr>
            <w:r>
              <w:t>File25</w:t>
            </w:r>
          </w:p>
        </w:tc>
        <w:tc>
          <w:tcPr>
            <w:tcW w:w="0" w:type="auto"/>
            <w:vAlign w:val="center"/>
          </w:tcPr>
          <w:p w:rsidR="005F78FC" w:rsidRDefault="00B42EF3">
            <w:pPr>
              <w:pStyle w:val="TableBodyText"/>
            </w:pPr>
            <w:r>
              <w:t>10DB</w:t>
            </w:r>
          </w:p>
        </w:tc>
      </w:tr>
      <w:tr w:rsidR="005F78FC" w:rsidTr="005F78FC">
        <w:tc>
          <w:tcPr>
            <w:tcW w:w="0" w:type="auto"/>
            <w:vAlign w:val="center"/>
          </w:tcPr>
          <w:p w:rsidR="005F78FC" w:rsidRDefault="00B42EF3">
            <w:pPr>
              <w:pStyle w:val="TableBodyText"/>
            </w:pPr>
            <w:r>
              <w:t>File26</w:t>
            </w:r>
          </w:p>
        </w:tc>
        <w:tc>
          <w:tcPr>
            <w:tcW w:w="0" w:type="auto"/>
            <w:vAlign w:val="center"/>
          </w:tcPr>
          <w:p w:rsidR="005F78FC" w:rsidRDefault="00B42EF3">
            <w:pPr>
              <w:pStyle w:val="TableBodyText"/>
            </w:pPr>
            <w:r>
              <w:t>10DC</w:t>
            </w:r>
          </w:p>
        </w:tc>
      </w:tr>
      <w:tr w:rsidR="005F78FC" w:rsidTr="005F78FC">
        <w:tc>
          <w:tcPr>
            <w:tcW w:w="0" w:type="auto"/>
            <w:vAlign w:val="center"/>
          </w:tcPr>
          <w:p w:rsidR="005F78FC" w:rsidRDefault="00B42EF3">
            <w:pPr>
              <w:pStyle w:val="TableBodyText"/>
            </w:pPr>
            <w:r>
              <w:t>File27</w:t>
            </w:r>
          </w:p>
        </w:tc>
        <w:tc>
          <w:tcPr>
            <w:tcW w:w="0" w:type="auto"/>
            <w:vAlign w:val="center"/>
          </w:tcPr>
          <w:p w:rsidR="005F78FC" w:rsidRDefault="00B42EF3">
            <w:pPr>
              <w:pStyle w:val="TableBodyText"/>
            </w:pPr>
            <w:r>
              <w:t>10DD</w:t>
            </w:r>
          </w:p>
        </w:tc>
      </w:tr>
      <w:tr w:rsidR="005F78FC" w:rsidTr="005F78FC">
        <w:tc>
          <w:tcPr>
            <w:tcW w:w="0" w:type="auto"/>
            <w:vAlign w:val="center"/>
          </w:tcPr>
          <w:p w:rsidR="005F78FC" w:rsidRDefault="00B42EF3">
            <w:pPr>
              <w:pStyle w:val="TableBodyText"/>
            </w:pPr>
            <w:r>
              <w:t>File28</w:t>
            </w:r>
          </w:p>
        </w:tc>
        <w:tc>
          <w:tcPr>
            <w:tcW w:w="0" w:type="auto"/>
            <w:vAlign w:val="center"/>
          </w:tcPr>
          <w:p w:rsidR="005F78FC" w:rsidRDefault="00B42EF3">
            <w:pPr>
              <w:pStyle w:val="TableBodyText"/>
            </w:pPr>
            <w:r>
              <w:t>10DE</w:t>
            </w:r>
          </w:p>
        </w:tc>
      </w:tr>
      <w:tr w:rsidR="005F78FC" w:rsidTr="005F78FC">
        <w:tc>
          <w:tcPr>
            <w:tcW w:w="0" w:type="auto"/>
            <w:vAlign w:val="center"/>
          </w:tcPr>
          <w:p w:rsidR="005F78FC" w:rsidRDefault="00B42EF3">
            <w:pPr>
              <w:pStyle w:val="TableBodyText"/>
            </w:pPr>
            <w:r>
              <w:t>File29</w:t>
            </w:r>
          </w:p>
        </w:tc>
        <w:tc>
          <w:tcPr>
            <w:tcW w:w="0" w:type="auto"/>
            <w:vAlign w:val="center"/>
          </w:tcPr>
          <w:p w:rsidR="005F78FC" w:rsidRDefault="00B42EF3">
            <w:pPr>
              <w:pStyle w:val="TableBodyText"/>
            </w:pPr>
            <w:r>
              <w:t>10DF</w:t>
            </w:r>
          </w:p>
        </w:tc>
      </w:tr>
      <w:tr w:rsidR="005F78FC" w:rsidTr="005F78FC">
        <w:tc>
          <w:tcPr>
            <w:tcW w:w="0" w:type="auto"/>
            <w:vAlign w:val="center"/>
          </w:tcPr>
          <w:p w:rsidR="005F78FC" w:rsidRDefault="00B42EF3">
            <w:pPr>
              <w:pStyle w:val="TableBodyText"/>
            </w:pPr>
            <w:r>
              <w:t>File3</w:t>
            </w:r>
          </w:p>
        </w:tc>
        <w:tc>
          <w:tcPr>
            <w:tcW w:w="0" w:type="auto"/>
            <w:vAlign w:val="center"/>
          </w:tcPr>
          <w:p w:rsidR="005F78FC" w:rsidRDefault="00B42EF3">
            <w:pPr>
              <w:pStyle w:val="TableBodyText"/>
            </w:pPr>
            <w:r>
              <w:t>0FC7</w:t>
            </w:r>
          </w:p>
        </w:tc>
      </w:tr>
      <w:tr w:rsidR="005F78FC" w:rsidTr="005F78FC">
        <w:tc>
          <w:tcPr>
            <w:tcW w:w="0" w:type="auto"/>
            <w:vAlign w:val="center"/>
          </w:tcPr>
          <w:p w:rsidR="005F78FC" w:rsidRDefault="00B42EF3">
            <w:pPr>
              <w:pStyle w:val="TableBodyText"/>
            </w:pPr>
            <w:r>
              <w:t>File30</w:t>
            </w:r>
          </w:p>
        </w:tc>
        <w:tc>
          <w:tcPr>
            <w:tcW w:w="0" w:type="auto"/>
            <w:vAlign w:val="center"/>
          </w:tcPr>
          <w:p w:rsidR="005F78FC" w:rsidRDefault="00B42EF3">
            <w:pPr>
              <w:pStyle w:val="TableBodyText"/>
            </w:pPr>
            <w:r>
              <w:t>10E0</w:t>
            </w:r>
          </w:p>
        </w:tc>
      </w:tr>
      <w:tr w:rsidR="005F78FC" w:rsidTr="005F78FC">
        <w:tc>
          <w:tcPr>
            <w:tcW w:w="0" w:type="auto"/>
            <w:vAlign w:val="center"/>
          </w:tcPr>
          <w:p w:rsidR="005F78FC" w:rsidRDefault="00B42EF3">
            <w:pPr>
              <w:pStyle w:val="TableBodyText"/>
            </w:pPr>
            <w:r>
              <w:t>File31</w:t>
            </w:r>
          </w:p>
        </w:tc>
        <w:tc>
          <w:tcPr>
            <w:tcW w:w="0" w:type="auto"/>
            <w:vAlign w:val="center"/>
          </w:tcPr>
          <w:p w:rsidR="005F78FC" w:rsidRDefault="00B42EF3">
            <w:pPr>
              <w:pStyle w:val="TableBodyText"/>
            </w:pPr>
            <w:r>
              <w:t>10E1</w:t>
            </w:r>
          </w:p>
        </w:tc>
      </w:tr>
      <w:tr w:rsidR="005F78FC" w:rsidTr="005F78FC">
        <w:tc>
          <w:tcPr>
            <w:tcW w:w="0" w:type="auto"/>
            <w:vAlign w:val="center"/>
          </w:tcPr>
          <w:p w:rsidR="005F78FC" w:rsidRDefault="00B42EF3">
            <w:pPr>
              <w:pStyle w:val="TableBodyText"/>
            </w:pPr>
            <w:r>
              <w:t>File32</w:t>
            </w:r>
          </w:p>
        </w:tc>
        <w:tc>
          <w:tcPr>
            <w:tcW w:w="0" w:type="auto"/>
            <w:vAlign w:val="center"/>
          </w:tcPr>
          <w:p w:rsidR="005F78FC" w:rsidRDefault="00B42EF3">
            <w:pPr>
              <w:pStyle w:val="TableBodyText"/>
            </w:pPr>
            <w:r>
              <w:t>10E2</w:t>
            </w:r>
          </w:p>
        </w:tc>
      </w:tr>
      <w:tr w:rsidR="005F78FC" w:rsidTr="005F78FC">
        <w:tc>
          <w:tcPr>
            <w:tcW w:w="0" w:type="auto"/>
            <w:vAlign w:val="center"/>
          </w:tcPr>
          <w:p w:rsidR="005F78FC" w:rsidRDefault="00B42EF3">
            <w:pPr>
              <w:pStyle w:val="TableBodyText"/>
            </w:pPr>
            <w:r>
              <w:t>File33</w:t>
            </w:r>
          </w:p>
        </w:tc>
        <w:tc>
          <w:tcPr>
            <w:tcW w:w="0" w:type="auto"/>
            <w:vAlign w:val="center"/>
          </w:tcPr>
          <w:p w:rsidR="005F78FC" w:rsidRDefault="00B42EF3">
            <w:pPr>
              <w:pStyle w:val="TableBodyText"/>
            </w:pPr>
            <w:r>
              <w:t>10E3</w:t>
            </w:r>
          </w:p>
        </w:tc>
      </w:tr>
      <w:tr w:rsidR="005F78FC" w:rsidTr="005F78FC">
        <w:tc>
          <w:tcPr>
            <w:tcW w:w="0" w:type="auto"/>
            <w:vAlign w:val="center"/>
          </w:tcPr>
          <w:p w:rsidR="005F78FC" w:rsidRDefault="00B42EF3">
            <w:pPr>
              <w:pStyle w:val="TableBodyText"/>
            </w:pPr>
            <w:r>
              <w:t>File34</w:t>
            </w:r>
          </w:p>
        </w:tc>
        <w:tc>
          <w:tcPr>
            <w:tcW w:w="0" w:type="auto"/>
            <w:vAlign w:val="center"/>
          </w:tcPr>
          <w:p w:rsidR="005F78FC" w:rsidRDefault="00B42EF3">
            <w:pPr>
              <w:pStyle w:val="TableBodyText"/>
            </w:pPr>
            <w:r>
              <w:t>10E4</w:t>
            </w:r>
          </w:p>
        </w:tc>
      </w:tr>
      <w:tr w:rsidR="005F78FC" w:rsidTr="005F78FC">
        <w:tc>
          <w:tcPr>
            <w:tcW w:w="0" w:type="auto"/>
            <w:vAlign w:val="center"/>
          </w:tcPr>
          <w:p w:rsidR="005F78FC" w:rsidRDefault="00B42EF3">
            <w:pPr>
              <w:pStyle w:val="TableBodyText"/>
            </w:pPr>
            <w:r>
              <w:t>File35</w:t>
            </w:r>
          </w:p>
        </w:tc>
        <w:tc>
          <w:tcPr>
            <w:tcW w:w="0" w:type="auto"/>
            <w:vAlign w:val="center"/>
          </w:tcPr>
          <w:p w:rsidR="005F78FC" w:rsidRDefault="00B42EF3">
            <w:pPr>
              <w:pStyle w:val="TableBodyText"/>
            </w:pPr>
            <w:r>
              <w:t>10E5</w:t>
            </w:r>
          </w:p>
        </w:tc>
      </w:tr>
      <w:tr w:rsidR="005F78FC" w:rsidTr="005F78FC">
        <w:tc>
          <w:tcPr>
            <w:tcW w:w="0" w:type="auto"/>
            <w:vAlign w:val="center"/>
          </w:tcPr>
          <w:p w:rsidR="005F78FC" w:rsidRDefault="00B42EF3">
            <w:pPr>
              <w:pStyle w:val="TableBodyText"/>
            </w:pPr>
            <w:r>
              <w:t>File36</w:t>
            </w:r>
          </w:p>
        </w:tc>
        <w:tc>
          <w:tcPr>
            <w:tcW w:w="0" w:type="auto"/>
            <w:vAlign w:val="center"/>
          </w:tcPr>
          <w:p w:rsidR="005F78FC" w:rsidRDefault="00B42EF3">
            <w:pPr>
              <w:pStyle w:val="TableBodyText"/>
            </w:pPr>
            <w:r>
              <w:t>10E6</w:t>
            </w:r>
          </w:p>
        </w:tc>
      </w:tr>
      <w:tr w:rsidR="005F78FC" w:rsidTr="005F78FC">
        <w:tc>
          <w:tcPr>
            <w:tcW w:w="0" w:type="auto"/>
            <w:vAlign w:val="center"/>
          </w:tcPr>
          <w:p w:rsidR="005F78FC" w:rsidRDefault="00B42EF3">
            <w:pPr>
              <w:pStyle w:val="TableBodyText"/>
            </w:pPr>
            <w:r>
              <w:t>File37</w:t>
            </w:r>
          </w:p>
        </w:tc>
        <w:tc>
          <w:tcPr>
            <w:tcW w:w="0" w:type="auto"/>
            <w:vAlign w:val="center"/>
          </w:tcPr>
          <w:p w:rsidR="005F78FC" w:rsidRDefault="00B42EF3">
            <w:pPr>
              <w:pStyle w:val="TableBodyText"/>
            </w:pPr>
            <w:r>
              <w:t>10E7</w:t>
            </w:r>
          </w:p>
        </w:tc>
      </w:tr>
      <w:tr w:rsidR="005F78FC" w:rsidTr="005F78FC">
        <w:tc>
          <w:tcPr>
            <w:tcW w:w="0" w:type="auto"/>
            <w:vAlign w:val="center"/>
          </w:tcPr>
          <w:p w:rsidR="005F78FC" w:rsidRDefault="00B42EF3">
            <w:pPr>
              <w:pStyle w:val="TableBodyText"/>
            </w:pPr>
            <w:r>
              <w:t>File38</w:t>
            </w:r>
          </w:p>
        </w:tc>
        <w:tc>
          <w:tcPr>
            <w:tcW w:w="0" w:type="auto"/>
            <w:vAlign w:val="center"/>
          </w:tcPr>
          <w:p w:rsidR="005F78FC" w:rsidRDefault="00B42EF3">
            <w:pPr>
              <w:pStyle w:val="TableBodyText"/>
            </w:pPr>
            <w:r>
              <w:t>10E8</w:t>
            </w:r>
          </w:p>
        </w:tc>
      </w:tr>
      <w:tr w:rsidR="005F78FC" w:rsidTr="005F78FC">
        <w:tc>
          <w:tcPr>
            <w:tcW w:w="0" w:type="auto"/>
            <w:vAlign w:val="center"/>
          </w:tcPr>
          <w:p w:rsidR="005F78FC" w:rsidRDefault="00B42EF3">
            <w:pPr>
              <w:pStyle w:val="TableBodyText"/>
            </w:pPr>
            <w:r>
              <w:t>File39</w:t>
            </w:r>
          </w:p>
        </w:tc>
        <w:tc>
          <w:tcPr>
            <w:tcW w:w="0" w:type="auto"/>
            <w:vAlign w:val="center"/>
          </w:tcPr>
          <w:p w:rsidR="005F78FC" w:rsidRDefault="00B42EF3">
            <w:pPr>
              <w:pStyle w:val="TableBodyText"/>
            </w:pPr>
            <w:r>
              <w:t>10E9</w:t>
            </w:r>
          </w:p>
        </w:tc>
      </w:tr>
      <w:tr w:rsidR="005F78FC" w:rsidTr="005F78FC">
        <w:tc>
          <w:tcPr>
            <w:tcW w:w="0" w:type="auto"/>
            <w:vAlign w:val="center"/>
          </w:tcPr>
          <w:p w:rsidR="005F78FC" w:rsidRDefault="00B42EF3">
            <w:pPr>
              <w:pStyle w:val="TableBodyText"/>
            </w:pPr>
            <w:r>
              <w:t>File4</w:t>
            </w:r>
          </w:p>
        </w:tc>
        <w:tc>
          <w:tcPr>
            <w:tcW w:w="0" w:type="auto"/>
            <w:vAlign w:val="center"/>
          </w:tcPr>
          <w:p w:rsidR="005F78FC" w:rsidRDefault="00B42EF3">
            <w:pPr>
              <w:pStyle w:val="TableBodyText"/>
            </w:pPr>
            <w:r>
              <w:t>0FC8</w:t>
            </w:r>
          </w:p>
        </w:tc>
      </w:tr>
      <w:tr w:rsidR="005F78FC" w:rsidTr="005F78FC">
        <w:tc>
          <w:tcPr>
            <w:tcW w:w="0" w:type="auto"/>
            <w:vAlign w:val="center"/>
          </w:tcPr>
          <w:p w:rsidR="005F78FC" w:rsidRDefault="00B42EF3">
            <w:pPr>
              <w:pStyle w:val="TableBodyText"/>
            </w:pPr>
            <w:r>
              <w:t>File40</w:t>
            </w:r>
          </w:p>
        </w:tc>
        <w:tc>
          <w:tcPr>
            <w:tcW w:w="0" w:type="auto"/>
            <w:vAlign w:val="center"/>
          </w:tcPr>
          <w:p w:rsidR="005F78FC" w:rsidRDefault="00B42EF3">
            <w:pPr>
              <w:pStyle w:val="TableBodyText"/>
            </w:pPr>
            <w:r>
              <w:t>10EA</w:t>
            </w:r>
          </w:p>
        </w:tc>
      </w:tr>
      <w:tr w:rsidR="005F78FC" w:rsidTr="005F78FC">
        <w:tc>
          <w:tcPr>
            <w:tcW w:w="0" w:type="auto"/>
            <w:vAlign w:val="center"/>
          </w:tcPr>
          <w:p w:rsidR="005F78FC" w:rsidRDefault="00B42EF3">
            <w:pPr>
              <w:pStyle w:val="TableBodyText"/>
            </w:pPr>
            <w:r>
              <w:t>File41</w:t>
            </w:r>
          </w:p>
        </w:tc>
        <w:tc>
          <w:tcPr>
            <w:tcW w:w="0" w:type="auto"/>
            <w:vAlign w:val="center"/>
          </w:tcPr>
          <w:p w:rsidR="005F78FC" w:rsidRDefault="00B42EF3">
            <w:pPr>
              <w:pStyle w:val="TableBodyText"/>
            </w:pPr>
            <w:r>
              <w:t>10EB</w:t>
            </w:r>
          </w:p>
        </w:tc>
      </w:tr>
      <w:tr w:rsidR="005F78FC" w:rsidTr="005F78FC">
        <w:tc>
          <w:tcPr>
            <w:tcW w:w="0" w:type="auto"/>
            <w:vAlign w:val="center"/>
          </w:tcPr>
          <w:p w:rsidR="005F78FC" w:rsidRDefault="00B42EF3">
            <w:pPr>
              <w:pStyle w:val="TableBodyText"/>
            </w:pPr>
            <w:r>
              <w:t>File42</w:t>
            </w:r>
          </w:p>
        </w:tc>
        <w:tc>
          <w:tcPr>
            <w:tcW w:w="0" w:type="auto"/>
            <w:vAlign w:val="center"/>
          </w:tcPr>
          <w:p w:rsidR="005F78FC" w:rsidRDefault="00B42EF3">
            <w:pPr>
              <w:pStyle w:val="TableBodyText"/>
            </w:pPr>
            <w:r>
              <w:t>10EC</w:t>
            </w:r>
          </w:p>
        </w:tc>
      </w:tr>
      <w:tr w:rsidR="005F78FC" w:rsidTr="005F78FC">
        <w:tc>
          <w:tcPr>
            <w:tcW w:w="0" w:type="auto"/>
            <w:vAlign w:val="center"/>
          </w:tcPr>
          <w:p w:rsidR="005F78FC" w:rsidRDefault="00B42EF3">
            <w:pPr>
              <w:pStyle w:val="TableBodyText"/>
            </w:pPr>
            <w:r>
              <w:t>File43</w:t>
            </w:r>
          </w:p>
        </w:tc>
        <w:tc>
          <w:tcPr>
            <w:tcW w:w="0" w:type="auto"/>
            <w:vAlign w:val="center"/>
          </w:tcPr>
          <w:p w:rsidR="005F78FC" w:rsidRDefault="00B42EF3">
            <w:pPr>
              <w:pStyle w:val="TableBodyText"/>
            </w:pPr>
            <w:r>
              <w:t>10ED</w:t>
            </w:r>
          </w:p>
        </w:tc>
      </w:tr>
      <w:tr w:rsidR="005F78FC" w:rsidTr="005F78FC">
        <w:tc>
          <w:tcPr>
            <w:tcW w:w="0" w:type="auto"/>
            <w:vAlign w:val="center"/>
          </w:tcPr>
          <w:p w:rsidR="005F78FC" w:rsidRDefault="00B42EF3">
            <w:pPr>
              <w:pStyle w:val="TableBodyText"/>
            </w:pPr>
            <w:r>
              <w:t>File44</w:t>
            </w:r>
          </w:p>
        </w:tc>
        <w:tc>
          <w:tcPr>
            <w:tcW w:w="0" w:type="auto"/>
            <w:vAlign w:val="center"/>
          </w:tcPr>
          <w:p w:rsidR="005F78FC" w:rsidRDefault="00B42EF3">
            <w:pPr>
              <w:pStyle w:val="TableBodyText"/>
            </w:pPr>
            <w:r>
              <w:t>10EE</w:t>
            </w:r>
          </w:p>
        </w:tc>
      </w:tr>
      <w:tr w:rsidR="005F78FC" w:rsidTr="005F78FC">
        <w:tc>
          <w:tcPr>
            <w:tcW w:w="0" w:type="auto"/>
            <w:vAlign w:val="center"/>
          </w:tcPr>
          <w:p w:rsidR="005F78FC" w:rsidRDefault="00B42EF3">
            <w:pPr>
              <w:pStyle w:val="TableBodyText"/>
            </w:pPr>
            <w:r>
              <w:t>File45</w:t>
            </w:r>
          </w:p>
        </w:tc>
        <w:tc>
          <w:tcPr>
            <w:tcW w:w="0" w:type="auto"/>
            <w:vAlign w:val="center"/>
          </w:tcPr>
          <w:p w:rsidR="005F78FC" w:rsidRDefault="00B42EF3">
            <w:pPr>
              <w:pStyle w:val="TableBodyText"/>
            </w:pPr>
            <w:r>
              <w:t>10EF</w:t>
            </w:r>
          </w:p>
        </w:tc>
      </w:tr>
      <w:tr w:rsidR="005F78FC" w:rsidTr="005F78FC">
        <w:tc>
          <w:tcPr>
            <w:tcW w:w="0" w:type="auto"/>
            <w:vAlign w:val="center"/>
          </w:tcPr>
          <w:p w:rsidR="005F78FC" w:rsidRDefault="00B42EF3">
            <w:pPr>
              <w:pStyle w:val="TableBodyText"/>
            </w:pPr>
            <w:r>
              <w:lastRenderedPageBreak/>
              <w:t>File46</w:t>
            </w:r>
          </w:p>
        </w:tc>
        <w:tc>
          <w:tcPr>
            <w:tcW w:w="0" w:type="auto"/>
            <w:vAlign w:val="center"/>
          </w:tcPr>
          <w:p w:rsidR="005F78FC" w:rsidRDefault="00B42EF3">
            <w:pPr>
              <w:pStyle w:val="TableBodyText"/>
            </w:pPr>
            <w:r>
              <w:t>10F0</w:t>
            </w:r>
          </w:p>
        </w:tc>
      </w:tr>
      <w:tr w:rsidR="005F78FC" w:rsidTr="005F78FC">
        <w:tc>
          <w:tcPr>
            <w:tcW w:w="0" w:type="auto"/>
            <w:vAlign w:val="center"/>
          </w:tcPr>
          <w:p w:rsidR="005F78FC" w:rsidRDefault="00B42EF3">
            <w:pPr>
              <w:pStyle w:val="TableBodyText"/>
            </w:pPr>
            <w:r>
              <w:t>File47</w:t>
            </w:r>
          </w:p>
        </w:tc>
        <w:tc>
          <w:tcPr>
            <w:tcW w:w="0" w:type="auto"/>
            <w:vAlign w:val="center"/>
          </w:tcPr>
          <w:p w:rsidR="005F78FC" w:rsidRDefault="00B42EF3">
            <w:pPr>
              <w:pStyle w:val="TableBodyText"/>
            </w:pPr>
            <w:r>
              <w:t>10F1</w:t>
            </w:r>
          </w:p>
        </w:tc>
      </w:tr>
      <w:tr w:rsidR="005F78FC" w:rsidTr="005F78FC">
        <w:tc>
          <w:tcPr>
            <w:tcW w:w="0" w:type="auto"/>
            <w:vAlign w:val="center"/>
          </w:tcPr>
          <w:p w:rsidR="005F78FC" w:rsidRDefault="00B42EF3">
            <w:pPr>
              <w:pStyle w:val="TableBodyText"/>
            </w:pPr>
            <w:r>
              <w:t>File48</w:t>
            </w:r>
          </w:p>
        </w:tc>
        <w:tc>
          <w:tcPr>
            <w:tcW w:w="0" w:type="auto"/>
            <w:vAlign w:val="center"/>
          </w:tcPr>
          <w:p w:rsidR="005F78FC" w:rsidRDefault="00B42EF3">
            <w:pPr>
              <w:pStyle w:val="TableBodyText"/>
            </w:pPr>
            <w:r>
              <w:t>10F2</w:t>
            </w:r>
          </w:p>
        </w:tc>
      </w:tr>
      <w:tr w:rsidR="005F78FC" w:rsidTr="005F78FC">
        <w:tc>
          <w:tcPr>
            <w:tcW w:w="0" w:type="auto"/>
            <w:vAlign w:val="center"/>
          </w:tcPr>
          <w:p w:rsidR="005F78FC" w:rsidRDefault="00B42EF3">
            <w:pPr>
              <w:pStyle w:val="TableBodyText"/>
            </w:pPr>
            <w:r>
              <w:t>File49</w:t>
            </w:r>
          </w:p>
        </w:tc>
        <w:tc>
          <w:tcPr>
            <w:tcW w:w="0" w:type="auto"/>
            <w:vAlign w:val="center"/>
          </w:tcPr>
          <w:p w:rsidR="005F78FC" w:rsidRDefault="00B42EF3">
            <w:pPr>
              <w:pStyle w:val="TableBodyText"/>
            </w:pPr>
            <w:r>
              <w:t>10F3</w:t>
            </w:r>
          </w:p>
        </w:tc>
      </w:tr>
      <w:tr w:rsidR="005F78FC" w:rsidTr="005F78FC">
        <w:tc>
          <w:tcPr>
            <w:tcW w:w="0" w:type="auto"/>
            <w:vAlign w:val="center"/>
          </w:tcPr>
          <w:p w:rsidR="005F78FC" w:rsidRDefault="00B42EF3">
            <w:pPr>
              <w:pStyle w:val="TableBodyText"/>
            </w:pPr>
            <w:r>
              <w:t>File5</w:t>
            </w:r>
          </w:p>
        </w:tc>
        <w:tc>
          <w:tcPr>
            <w:tcW w:w="0" w:type="auto"/>
            <w:vAlign w:val="center"/>
          </w:tcPr>
          <w:p w:rsidR="005F78FC" w:rsidRDefault="00B42EF3">
            <w:pPr>
              <w:pStyle w:val="TableBodyText"/>
            </w:pPr>
            <w:r>
              <w:t>0FC9</w:t>
            </w:r>
          </w:p>
        </w:tc>
      </w:tr>
      <w:tr w:rsidR="005F78FC" w:rsidTr="005F78FC">
        <w:tc>
          <w:tcPr>
            <w:tcW w:w="0" w:type="auto"/>
            <w:vAlign w:val="center"/>
          </w:tcPr>
          <w:p w:rsidR="005F78FC" w:rsidRDefault="00B42EF3">
            <w:pPr>
              <w:pStyle w:val="TableBodyText"/>
            </w:pPr>
            <w:r>
              <w:t>File50</w:t>
            </w:r>
          </w:p>
        </w:tc>
        <w:tc>
          <w:tcPr>
            <w:tcW w:w="0" w:type="auto"/>
            <w:vAlign w:val="center"/>
          </w:tcPr>
          <w:p w:rsidR="005F78FC" w:rsidRDefault="00B42EF3">
            <w:pPr>
              <w:pStyle w:val="TableBodyText"/>
            </w:pPr>
            <w:r>
              <w:t>10F4</w:t>
            </w:r>
          </w:p>
        </w:tc>
      </w:tr>
      <w:tr w:rsidR="005F78FC" w:rsidTr="005F78FC">
        <w:tc>
          <w:tcPr>
            <w:tcW w:w="0" w:type="auto"/>
            <w:vAlign w:val="center"/>
          </w:tcPr>
          <w:p w:rsidR="005F78FC" w:rsidRDefault="00B42EF3">
            <w:pPr>
              <w:pStyle w:val="TableBodyText"/>
            </w:pPr>
            <w:r>
              <w:t>File6</w:t>
            </w:r>
          </w:p>
        </w:tc>
        <w:tc>
          <w:tcPr>
            <w:tcW w:w="0" w:type="auto"/>
            <w:vAlign w:val="center"/>
          </w:tcPr>
          <w:p w:rsidR="005F78FC" w:rsidRDefault="00B42EF3">
            <w:pPr>
              <w:pStyle w:val="TableBodyText"/>
            </w:pPr>
            <w:r>
              <w:t>0FCA</w:t>
            </w:r>
          </w:p>
        </w:tc>
      </w:tr>
      <w:tr w:rsidR="005F78FC" w:rsidTr="005F78FC">
        <w:tc>
          <w:tcPr>
            <w:tcW w:w="0" w:type="auto"/>
            <w:vAlign w:val="center"/>
          </w:tcPr>
          <w:p w:rsidR="005F78FC" w:rsidRDefault="00B42EF3">
            <w:pPr>
              <w:pStyle w:val="TableBodyText"/>
            </w:pPr>
            <w:r>
              <w:t>File7</w:t>
            </w:r>
          </w:p>
        </w:tc>
        <w:tc>
          <w:tcPr>
            <w:tcW w:w="0" w:type="auto"/>
            <w:vAlign w:val="center"/>
          </w:tcPr>
          <w:p w:rsidR="005F78FC" w:rsidRDefault="00B42EF3">
            <w:pPr>
              <w:pStyle w:val="TableBodyText"/>
            </w:pPr>
            <w:r>
              <w:t>0FCB</w:t>
            </w:r>
          </w:p>
        </w:tc>
      </w:tr>
      <w:tr w:rsidR="005F78FC" w:rsidTr="005F78FC">
        <w:tc>
          <w:tcPr>
            <w:tcW w:w="0" w:type="auto"/>
            <w:vAlign w:val="center"/>
          </w:tcPr>
          <w:p w:rsidR="005F78FC" w:rsidRDefault="00B42EF3">
            <w:pPr>
              <w:pStyle w:val="TableBodyText"/>
            </w:pPr>
            <w:r>
              <w:t>File8</w:t>
            </w:r>
          </w:p>
        </w:tc>
        <w:tc>
          <w:tcPr>
            <w:tcW w:w="0" w:type="auto"/>
            <w:vAlign w:val="center"/>
          </w:tcPr>
          <w:p w:rsidR="005F78FC" w:rsidRDefault="00B42EF3">
            <w:pPr>
              <w:pStyle w:val="TableBodyText"/>
            </w:pPr>
            <w:r>
              <w:t>0FCC</w:t>
            </w:r>
          </w:p>
        </w:tc>
      </w:tr>
      <w:tr w:rsidR="005F78FC" w:rsidTr="005F78FC">
        <w:tc>
          <w:tcPr>
            <w:tcW w:w="0" w:type="auto"/>
            <w:vAlign w:val="center"/>
          </w:tcPr>
          <w:p w:rsidR="005F78FC" w:rsidRDefault="00B42EF3">
            <w:pPr>
              <w:pStyle w:val="TableBodyText"/>
            </w:pPr>
            <w:r>
              <w:t>File9</w:t>
            </w:r>
          </w:p>
        </w:tc>
        <w:tc>
          <w:tcPr>
            <w:tcW w:w="0" w:type="auto"/>
            <w:vAlign w:val="center"/>
          </w:tcPr>
          <w:p w:rsidR="005F78FC" w:rsidRDefault="00B42EF3">
            <w:pPr>
              <w:pStyle w:val="TableBodyText"/>
            </w:pPr>
            <w:r>
              <w:t>0FCD</w:t>
            </w:r>
          </w:p>
        </w:tc>
      </w:tr>
      <w:tr w:rsidR="005F78FC" w:rsidTr="005F78FC">
        <w:tc>
          <w:tcPr>
            <w:tcW w:w="0" w:type="auto"/>
            <w:vAlign w:val="center"/>
          </w:tcPr>
          <w:p w:rsidR="005F78FC" w:rsidRDefault="00B42EF3">
            <w:pPr>
              <w:pStyle w:val="TableBodyText"/>
            </w:pPr>
            <w:r>
              <w:t>FileAOCEAddMailer</w:t>
            </w:r>
          </w:p>
        </w:tc>
        <w:tc>
          <w:tcPr>
            <w:tcW w:w="0" w:type="auto"/>
            <w:vAlign w:val="center"/>
          </w:tcPr>
          <w:p w:rsidR="005F78FC" w:rsidRDefault="00B42EF3">
            <w:pPr>
              <w:pStyle w:val="TableBodyText"/>
            </w:pPr>
            <w:r>
              <w:t>0137</w:t>
            </w:r>
          </w:p>
        </w:tc>
      </w:tr>
      <w:tr w:rsidR="005F78FC" w:rsidTr="005F78FC">
        <w:tc>
          <w:tcPr>
            <w:tcW w:w="0" w:type="auto"/>
            <w:vAlign w:val="center"/>
          </w:tcPr>
          <w:p w:rsidR="005F78FC" w:rsidRDefault="00B42EF3">
            <w:pPr>
              <w:pStyle w:val="TableBodyText"/>
            </w:pPr>
            <w:r>
              <w:t>FileAOCEDeleteMailer</w:t>
            </w:r>
          </w:p>
        </w:tc>
        <w:tc>
          <w:tcPr>
            <w:tcW w:w="0" w:type="auto"/>
            <w:vAlign w:val="center"/>
          </w:tcPr>
          <w:p w:rsidR="005F78FC" w:rsidRDefault="00B42EF3">
            <w:pPr>
              <w:pStyle w:val="TableBodyText"/>
            </w:pPr>
            <w:r>
              <w:t>0138</w:t>
            </w:r>
          </w:p>
        </w:tc>
      </w:tr>
      <w:tr w:rsidR="005F78FC" w:rsidTr="005F78FC">
        <w:tc>
          <w:tcPr>
            <w:tcW w:w="0" w:type="auto"/>
            <w:vAlign w:val="center"/>
          </w:tcPr>
          <w:p w:rsidR="005F78FC" w:rsidRDefault="00B42EF3">
            <w:pPr>
              <w:pStyle w:val="TableBodyText"/>
            </w:pPr>
            <w:r>
              <w:t>FileAOCEExpandMailer</w:t>
            </w:r>
          </w:p>
        </w:tc>
        <w:tc>
          <w:tcPr>
            <w:tcW w:w="0" w:type="auto"/>
            <w:vAlign w:val="center"/>
          </w:tcPr>
          <w:p w:rsidR="005F78FC" w:rsidRDefault="00B42EF3">
            <w:pPr>
              <w:pStyle w:val="TableBodyText"/>
            </w:pPr>
            <w:r>
              <w:t>0139</w:t>
            </w:r>
          </w:p>
        </w:tc>
      </w:tr>
      <w:tr w:rsidR="005F78FC" w:rsidTr="005F78FC">
        <w:tc>
          <w:tcPr>
            <w:tcW w:w="0" w:type="auto"/>
            <w:vAlign w:val="center"/>
          </w:tcPr>
          <w:p w:rsidR="005F78FC" w:rsidRDefault="00B42EF3">
            <w:pPr>
              <w:pStyle w:val="TableBodyText"/>
            </w:pPr>
            <w:r>
              <w:t>FileAOCEForwardMail</w:t>
            </w:r>
          </w:p>
        </w:tc>
        <w:tc>
          <w:tcPr>
            <w:tcW w:w="0" w:type="auto"/>
            <w:vAlign w:val="center"/>
          </w:tcPr>
          <w:p w:rsidR="005F78FC" w:rsidRDefault="00B42EF3">
            <w:pPr>
              <w:pStyle w:val="TableBodyText"/>
            </w:pPr>
            <w:r>
              <w:t>013E</w:t>
            </w:r>
          </w:p>
        </w:tc>
      </w:tr>
      <w:tr w:rsidR="005F78FC" w:rsidTr="005F78FC">
        <w:tc>
          <w:tcPr>
            <w:tcW w:w="0" w:type="auto"/>
            <w:vAlign w:val="center"/>
          </w:tcPr>
          <w:p w:rsidR="005F78FC" w:rsidRDefault="00B42EF3">
            <w:pPr>
              <w:pStyle w:val="TableBodyText"/>
            </w:pPr>
            <w:r>
              <w:t>FileAOCENextLetter</w:t>
            </w:r>
          </w:p>
        </w:tc>
        <w:tc>
          <w:tcPr>
            <w:tcW w:w="0" w:type="auto"/>
            <w:vAlign w:val="center"/>
          </w:tcPr>
          <w:p w:rsidR="005F78FC" w:rsidRDefault="00B42EF3">
            <w:pPr>
              <w:pStyle w:val="TableBodyText"/>
            </w:pPr>
            <w:r>
              <w:t>013F</w:t>
            </w:r>
          </w:p>
        </w:tc>
      </w:tr>
      <w:tr w:rsidR="005F78FC" w:rsidTr="005F78FC">
        <w:tc>
          <w:tcPr>
            <w:tcW w:w="0" w:type="auto"/>
            <w:vAlign w:val="center"/>
          </w:tcPr>
          <w:p w:rsidR="005F78FC" w:rsidRDefault="00B42EF3">
            <w:pPr>
              <w:pStyle w:val="TableBodyText"/>
            </w:pPr>
            <w:r>
              <w:t>FileAOCEReplyAllMail</w:t>
            </w:r>
          </w:p>
        </w:tc>
        <w:tc>
          <w:tcPr>
            <w:tcW w:w="0" w:type="auto"/>
            <w:vAlign w:val="center"/>
          </w:tcPr>
          <w:p w:rsidR="005F78FC" w:rsidRDefault="00B42EF3">
            <w:pPr>
              <w:pStyle w:val="TableBodyText"/>
            </w:pPr>
            <w:r>
              <w:t>013D</w:t>
            </w:r>
          </w:p>
        </w:tc>
      </w:tr>
      <w:tr w:rsidR="005F78FC" w:rsidTr="005F78FC">
        <w:tc>
          <w:tcPr>
            <w:tcW w:w="0" w:type="auto"/>
            <w:vAlign w:val="center"/>
          </w:tcPr>
          <w:p w:rsidR="005F78FC" w:rsidRDefault="00B42EF3">
            <w:pPr>
              <w:pStyle w:val="TableBodyText"/>
            </w:pPr>
            <w:r>
              <w:t>FileAOCEReplyMail</w:t>
            </w:r>
          </w:p>
        </w:tc>
        <w:tc>
          <w:tcPr>
            <w:tcW w:w="0" w:type="auto"/>
            <w:vAlign w:val="center"/>
          </w:tcPr>
          <w:p w:rsidR="005F78FC" w:rsidRDefault="00B42EF3">
            <w:pPr>
              <w:pStyle w:val="TableBodyText"/>
            </w:pPr>
            <w:r>
              <w:t>013C</w:t>
            </w:r>
          </w:p>
        </w:tc>
      </w:tr>
      <w:tr w:rsidR="005F78FC" w:rsidTr="005F78FC">
        <w:tc>
          <w:tcPr>
            <w:tcW w:w="0" w:type="auto"/>
            <w:vAlign w:val="center"/>
          </w:tcPr>
          <w:p w:rsidR="005F78FC" w:rsidRDefault="00B42EF3">
            <w:pPr>
              <w:pStyle w:val="TableBodyText"/>
            </w:pPr>
            <w:r>
              <w:t>FileAOCESendMail</w:t>
            </w:r>
          </w:p>
        </w:tc>
        <w:tc>
          <w:tcPr>
            <w:tcW w:w="0" w:type="auto"/>
            <w:vAlign w:val="center"/>
          </w:tcPr>
          <w:p w:rsidR="005F78FC" w:rsidRDefault="00B42EF3">
            <w:pPr>
              <w:pStyle w:val="TableBodyText"/>
            </w:pPr>
            <w:r>
              <w:t>013B</w:t>
            </w:r>
          </w:p>
        </w:tc>
      </w:tr>
      <w:tr w:rsidR="005F78FC" w:rsidTr="005F78FC">
        <w:tc>
          <w:tcPr>
            <w:tcW w:w="0" w:type="auto"/>
            <w:vAlign w:val="center"/>
          </w:tcPr>
          <w:p w:rsidR="005F78FC" w:rsidRDefault="00B42EF3">
            <w:pPr>
              <w:pStyle w:val="TableBodyText"/>
            </w:pPr>
            <w:r>
              <w:t>FileCheckin</w:t>
            </w:r>
          </w:p>
        </w:tc>
        <w:tc>
          <w:tcPr>
            <w:tcW w:w="0" w:type="auto"/>
            <w:vAlign w:val="center"/>
          </w:tcPr>
          <w:p w:rsidR="005F78FC" w:rsidRDefault="00B42EF3">
            <w:pPr>
              <w:pStyle w:val="TableBodyText"/>
            </w:pPr>
            <w:r>
              <w:t>04FE</w:t>
            </w:r>
          </w:p>
        </w:tc>
      </w:tr>
      <w:tr w:rsidR="005F78FC" w:rsidTr="005F78FC">
        <w:tc>
          <w:tcPr>
            <w:tcW w:w="0" w:type="auto"/>
            <w:vAlign w:val="center"/>
          </w:tcPr>
          <w:p w:rsidR="005F78FC" w:rsidRDefault="00B42EF3">
            <w:pPr>
              <w:pStyle w:val="TableBodyText"/>
            </w:pPr>
            <w:r>
              <w:t>FileCheckout</w:t>
            </w:r>
          </w:p>
        </w:tc>
        <w:tc>
          <w:tcPr>
            <w:tcW w:w="0" w:type="auto"/>
            <w:vAlign w:val="center"/>
          </w:tcPr>
          <w:p w:rsidR="005F78FC" w:rsidRDefault="00B42EF3">
            <w:pPr>
              <w:pStyle w:val="TableBodyText"/>
            </w:pPr>
            <w:r>
              <w:t>04FD</w:t>
            </w:r>
          </w:p>
        </w:tc>
      </w:tr>
      <w:tr w:rsidR="005F78FC" w:rsidTr="005F78FC">
        <w:tc>
          <w:tcPr>
            <w:tcW w:w="0" w:type="auto"/>
            <w:vAlign w:val="center"/>
          </w:tcPr>
          <w:p w:rsidR="005F78FC" w:rsidRDefault="00B42EF3">
            <w:pPr>
              <w:pStyle w:val="TableBodyText"/>
            </w:pPr>
            <w:r>
              <w:t>FileClose</w:t>
            </w:r>
          </w:p>
        </w:tc>
        <w:tc>
          <w:tcPr>
            <w:tcW w:w="0" w:type="auto"/>
            <w:vAlign w:val="center"/>
          </w:tcPr>
          <w:p w:rsidR="005F78FC" w:rsidRDefault="00B42EF3">
            <w:pPr>
              <w:pStyle w:val="TableBodyText"/>
            </w:pPr>
            <w:r>
              <w:t>011B</w:t>
            </w:r>
          </w:p>
        </w:tc>
      </w:tr>
      <w:tr w:rsidR="005F78FC" w:rsidTr="005F78FC">
        <w:tc>
          <w:tcPr>
            <w:tcW w:w="0" w:type="auto"/>
            <w:vAlign w:val="center"/>
          </w:tcPr>
          <w:p w:rsidR="005F78FC" w:rsidRDefault="00B42EF3">
            <w:pPr>
              <w:pStyle w:val="TableBodyText"/>
            </w:pPr>
            <w:r>
              <w:t>FileCloseAll</w:t>
            </w:r>
          </w:p>
        </w:tc>
        <w:tc>
          <w:tcPr>
            <w:tcW w:w="0" w:type="auto"/>
            <w:vAlign w:val="center"/>
          </w:tcPr>
          <w:p w:rsidR="005F78FC" w:rsidRDefault="00B42EF3">
            <w:pPr>
              <w:pStyle w:val="TableBodyText"/>
            </w:pPr>
            <w:r>
              <w:t>020C</w:t>
            </w:r>
          </w:p>
        </w:tc>
      </w:tr>
      <w:tr w:rsidR="005F78FC" w:rsidTr="005F78FC">
        <w:tc>
          <w:tcPr>
            <w:tcW w:w="0" w:type="auto"/>
            <w:vAlign w:val="center"/>
          </w:tcPr>
          <w:p w:rsidR="005F78FC" w:rsidRDefault="00B42EF3">
            <w:pPr>
              <w:pStyle w:val="TableBodyText"/>
            </w:pPr>
            <w:r>
              <w:t>FileCloseOrCloseAll</w:t>
            </w:r>
          </w:p>
        </w:tc>
        <w:tc>
          <w:tcPr>
            <w:tcW w:w="0" w:type="auto"/>
            <w:vAlign w:val="center"/>
          </w:tcPr>
          <w:p w:rsidR="005F78FC" w:rsidRDefault="00B42EF3">
            <w:pPr>
              <w:pStyle w:val="TableBodyText"/>
            </w:pPr>
            <w:r>
              <w:t>020B</w:t>
            </w:r>
          </w:p>
        </w:tc>
      </w:tr>
      <w:tr w:rsidR="005F78FC" w:rsidTr="005F78FC">
        <w:tc>
          <w:tcPr>
            <w:tcW w:w="0" w:type="auto"/>
            <w:vAlign w:val="center"/>
          </w:tcPr>
          <w:p w:rsidR="005F78FC" w:rsidRDefault="00B42EF3">
            <w:pPr>
              <w:pStyle w:val="TableBodyText"/>
            </w:pPr>
            <w:r>
              <w:t>FileCloseOrExit</w:t>
            </w:r>
          </w:p>
        </w:tc>
        <w:tc>
          <w:tcPr>
            <w:tcW w:w="0" w:type="auto"/>
            <w:vAlign w:val="center"/>
          </w:tcPr>
          <w:p w:rsidR="005F78FC" w:rsidRDefault="00B42EF3">
            <w:pPr>
              <w:pStyle w:val="TableBodyText"/>
            </w:pPr>
            <w:r>
              <w:t>03A4</w:t>
            </w:r>
          </w:p>
        </w:tc>
      </w:tr>
      <w:tr w:rsidR="005F78FC" w:rsidTr="005F78FC">
        <w:tc>
          <w:tcPr>
            <w:tcW w:w="0" w:type="auto"/>
            <w:vAlign w:val="center"/>
          </w:tcPr>
          <w:p w:rsidR="005F78FC" w:rsidRDefault="00B42EF3">
            <w:pPr>
              <w:pStyle w:val="TableBodyText"/>
            </w:pPr>
            <w:r>
              <w:t>FileClosePicture</w:t>
            </w:r>
          </w:p>
        </w:tc>
        <w:tc>
          <w:tcPr>
            <w:tcW w:w="0" w:type="auto"/>
            <w:vAlign w:val="center"/>
          </w:tcPr>
          <w:p w:rsidR="005F78FC" w:rsidRDefault="00B42EF3">
            <w:pPr>
              <w:pStyle w:val="TableBodyText"/>
            </w:pPr>
            <w:r>
              <w:t>02B6</w:t>
            </w:r>
          </w:p>
        </w:tc>
      </w:tr>
      <w:tr w:rsidR="005F78FC" w:rsidTr="005F78FC">
        <w:tc>
          <w:tcPr>
            <w:tcW w:w="0" w:type="auto"/>
            <w:vAlign w:val="center"/>
          </w:tcPr>
          <w:p w:rsidR="005F78FC" w:rsidRDefault="00B42EF3">
            <w:pPr>
              <w:pStyle w:val="TableBodyText"/>
            </w:pPr>
            <w:r>
              <w:t>FileConfirmConversions</w:t>
            </w:r>
          </w:p>
        </w:tc>
        <w:tc>
          <w:tcPr>
            <w:tcW w:w="0" w:type="auto"/>
            <w:vAlign w:val="center"/>
          </w:tcPr>
          <w:p w:rsidR="005F78FC" w:rsidRDefault="00B42EF3">
            <w:pPr>
              <w:pStyle w:val="TableBodyText"/>
            </w:pPr>
            <w:r>
              <w:t>02AF</w:t>
            </w:r>
          </w:p>
        </w:tc>
      </w:tr>
      <w:tr w:rsidR="005F78FC" w:rsidTr="005F78FC">
        <w:tc>
          <w:tcPr>
            <w:tcW w:w="0" w:type="auto"/>
            <w:vAlign w:val="center"/>
          </w:tcPr>
          <w:p w:rsidR="005F78FC" w:rsidRDefault="00B42EF3">
            <w:pPr>
              <w:pStyle w:val="TableBodyText"/>
            </w:pPr>
            <w:r>
              <w:t>FileExit</w:t>
            </w:r>
          </w:p>
        </w:tc>
        <w:tc>
          <w:tcPr>
            <w:tcW w:w="0" w:type="auto"/>
            <w:vAlign w:val="center"/>
          </w:tcPr>
          <w:p w:rsidR="005F78FC" w:rsidRDefault="00B42EF3">
            <w:pPr>
              <w:pStyle w:val="TableBodyText"/>
            </w:pPr>
            <w:r>
              <w:t>0062</w:t>
            </w:r>
          </w:p>
        </w:tc>
      </w:tr>
      <w:tr w:rsidR="005F78FC" w:rsidTr="005F78FC">
        <w:tc>
          <w:tcPr>
            <w:tcW w:w="0" w:type="auto"/>
            <w:vAlign w:val="center"/>
          </w:tcPr>
          <w:p w:rsidR="005F78FC" w:rsidRDefault="00B42EF3">
            <w:pPr>
              <w:pStyle w:val="TableBodyText"/>
            </w:pPr>
            <w:r>
              <w:t>FileFind</w:t>
            </w:r>
          </w:p>
        </w:tc>
        <w:tc>
          <w:tcPr>
            <w:tcW w:w="0" w:type="auto"/>
            <w:vAlign w:val="center"/>
          </w:tcPr>
          <w:p w:rsidR="005F78FC" w:rsidRDefault="00B42EF3">
            <w:pPr>
              <w:pStyle w:val="TableBodyText"/>
            </w:pPr>
            <w:r>
              <w:t>0063</w:t>
            </w:r>
          </w:p>
        </w:tc>
      </w:tr>
      <w:tr w:rsidR="005F78FC" w:rsidTr="005F78FC">
        <w:tc>
          <w:tcPr>
            <w:tcW w:w="0" w:type="auto"/>
            <w:vAlign w:val="center"/>
          </w:tcPr>
          <w:p w:rsidR="005F78FC" w:rsidRDefault="00B42EF3">
            <w:pPr>
              <w:pStyle w:val="TableBodyText"/>
            </w:pPr>
            <w:r>
              <w:t>FileMacPageSetup</w:t>
            </w:r>
          </w:p>
        </w:tc>
        <w:tc>
          <w:tcPr>
            <w:tcW w:w="0" w:type="auto"/>
            <w:vAlign w:val="center"/>
          </w:tcPr>
          <w:p w:rsidR="005F78FC" w:rsidRDefault="00B42EF3">
            <w:pPr>
              <w:pStyle w:val="TableBodyText"/>
            </w:pPr>
            <w:r>
              <w:t>02AD</w:t>
            </w:r>
          </w:p>
        </w:tc>
      </w:tr>
      <w:tr w:rsidR="005F78FC" w:rsidTr="005F78FC">
        <w:tc>
          <w:tcPr>
            <w:tcW w:w="0" w:type="auto"/>
            <w:vAlign w:val="center"/>
          </w:tcPr>
          <w:p w:rsidR="005F78FC" w:rsidRDefault="00B42EF3">
            <w:pPr>
              <w:pStyle w:val="TableBodyText"/>
            </w:pPr>
            <w:r>
              <w:t>FileNew</w:t>
            </w:r>
          </w:p>
        </w:tc>
        <w:tc>
          <w:tcPr>
            <w:tcW w:w="0" w:type="auto"/>
            <w:vAlign w:val="center"/>
          </w:tcPr>
          <w:p w:rsidR="005F78FC" w:rsidRDefault="00B42EF3">
            <w:pPr>
              <w:pStyle w:val="TableBodyText"/>
            </w:pPr>
            <w:r>
              <w:t>004F</w:t>
            </w:r>
          </w:p>
        </w:tc>
      </w:tr>
      <w:tr w:rsidR="005F78FC" w:rsidTr="005F78FC">
        <w:tc>
          <w:tcPr>
            <w:tcW w:w="0" w:type="auto"/>
            <w:vAlign w:val="center"/>
          </w:tcPr>
          <w:p w:rsidR="005F78FC" w:rsidRDefault="00B42EF3">
            <w:pPr>
              <w:pStyle w:val="TableBodyText"/>
            </w:pPr>
            <w:r>
              <w:t>FileNewContext</w:t>
            </w:r>
          </w:p>
        </w:tc>
        <w:tc>
          <w:tcPr>
            <w:tcW w:w="0" w:type="auto"/>
            <w:vAlign w:val="center"/>
          </w:tcPr>
          <w:p w:rsidR="005F78FC" w:rsidRDefault="00B42EF3">
            <w:pPr>
              <w:pStyle w:val="TableBodyText"/>
            </w:pPr>
            <w:r>
              <w:t>04F1</w:t>
            </w:r>
          </w:p>
        </w:tc>
      </w:tr>
      <w:tr w:rsidR="005F78FC" w:rsidTr="005F78FC">
        <w:tc>
          <w:tcPr>
            <w:tcW w:w="0" w:type="auto"/>
            <w:vAlign w:val="center"/>
          </w:tcPr>
          <w:p w:rsidR="005F78FC" w:rsidRDefault="00B42EF3">
            <w:pPr>
              <w:pStyle w:val="TableBodyText"/>
            </w:pPr>
            <w:r>
              <w:t>FileNewDefault</w:t>
            </w:r>
          </w:p>
        </w:tc>
        <w:tc>
          <w:tcPr>
            <w:tcW w:w="0" w:type="auto"/>
            <w:vAlign w:val="center"/>
          </w:tcPr>
          <w:p w:rsidR="005F78FC" w:rsidRDefault="00B42EF3">
            <w:pPr>
              <w:pStyle w:val="TableBodyText"/>
            </w:pPr>
            <w:r>
              <w:t>012D</w:t>
            </w:r>
          </w:p>
        </w:tc>
      </w:tr>
      <w:tr w:rsidR="005F78FC" w:rsidTr="005F78FC">
        <w:tc>
          <w:tcPr>
            <w:tcW w:w="0" w:type="auto"/>
            <w:vAlign w:val="center"/>
          </w:tcPr>
          <w:p w:rsidR="005F78FC" w:rsidRDefault="00B42EF3">
            <w:pPr>
              <w:pStyle w:val="TableBodyText"/>
            </w:pPr>
            <w:r>
              <w:lastRenderedPageBreak/>
              <w:t>FileNewDialog</w:t>
            </w:r>
          </w:p>
        </w:tc>
        <w:tc>
          <w:tcPr>
            <w:tcW w:w="0" w:type="auto"/>
            <w:vAlign w:val="center"/>
          </w:tcPr>
          <w:p w:rsidR="005F78FC" w:rsidRDefault="00B42EF3">
            <w:pPr>
              <w:pStyle w:val="TableBodyText"/>
            </w:pPr>
            <w:r>
              <w:t>045C</w:t>
            </w:r>
          </w:p>
        </w:tc>
      </w:tr>
      <w:tr w:rsidR="005F78FC" w:rsidTr="005F78FC">
        <w:tc>
          <w:tcPr>
            <w:tcW w:w="0" w:type="auto"/>
            <w:vAlign w:val="center"/>
          </w:tcPr>
          <w:p w:rsidR="005F78FC" w:rsidRDefault="00B42EF3">
            <w:pPr>
              <w:pStyle w:val="TableBodyText"/>
            </w:pPr>
            <w:r>
              <w:t>FileNewEmail</w:t>
            </w:r>
          </w:p>
        </w:tc>
        <w:tc>
          <w:tcPr>
            <w:tcW w:w="0" w:type="auto"/>
            <w:vAlign w:val="center"/>
          </w:tcPr>
          <w:p w:rsidR="005F78FC" w:rsidRDefault="00B42EF3">
            <w:pPr>
              <w:pStyle w:val="TableBodyText"/>
            </w:pPr>
            <w:r>
              <w:t>0444</w:t>
            </w:r>
          </w:p>
        </w:tc>
      </w:tr>
      <w:tr w:rsidR="005F78FC" w:rsidTr="005F78FC">
        <w:tc>
          <w:tcPr>
            <w:tcW w:w="0" w:type="auto"/>
            <w:vAlign w:val="center"/>
          </w:tcPr>
          <w:p w:rsidR="005F78FC" w:rsidRDefault="00B42EF3">
            <w:pPr>
              <w:pStyle w:val="TableBodyText"/>
            </w:pPr>
            <w:r>
              <w:t>FileNewPrint</w:t>
            </w:r>
          </w:p>
        </w:tc>
        <w:tc>
          <w:tcPr>
            <w:tcW w:w="0" w:type="auto"/>
            <w:vAlign w:val="center"/>
          </w:tcPr>
          <w:p w:rsidR="005F78FC" w:rsidRDefault="00B42EF3">
            <w:pPr>
              <w:pStyle w:val="TableBodyText"/>
            </w:pPr>
            <w:r>
              <w:t>045B</w:t>
            </w:r>
          </w:p>
        </w:tc>
      </w:tr>
      <w:tr w:rsidR="005F78FC" w:rsidTr="005F78FC">
        <w:tc>
          <w:tcPr>
            <w:tcW w:w="0" w:type="auto"/>
            <w:vAlign w:val="center"/>
          </w:tcPr>
          <w:p w:rsidR="005F78FC" w:rsidRDefault="00B42EF3">
            <w:pPr>
              <w:pStyle w:val="TableBodyText"/>
            </w:pPr>
            <w:r>
              <w:t>FileNewWeb</w:t>
            </w:r>
          </w:p>
        </w:tc>
        <w:tc>
          <w:tcPr>
            <w:tcW w:w="0" w:type="auto"/>
            <w:vAlign w:val="center"/>
          </w:tcPr>
          <w:p w:rsidR="005F78FC" w:rsidRDefault="00B42EF3">
            <w:pPr>
              <w:pStyle w:val="TableBodyText"/>
            </w:pPr>
            <w:r>
              <w:t>0459</w:t>
            </w:r>
          </w:p>
        </w:tc>
      </w:tr>
      <w:tr w:rsidR="005F78FC" w:rsidTr="005F78FC">
        <w:tc>
          <w:tcPr>
            <w:tcW w:w="0" w:type="auto"/>
            <w:vAlign w:val="center"/>
          </w:tcPr>
          <w:p w:rsidR="005F78FC" w:rsidRDefault="00B42EF3">
            <w:pPr>
              <w:pStyle w:val="TableBodyText"/>
            </w:pPr>
            <w:r>
              <w:t>FileOpen</w:t>
            </w:r>
          </w:p>
        </w:tc>
        <w:tc>
          <w:tcPr>
            <w:tcW w:w="0" w:type="auto"/>
            <w:vAlign w:val="center"/>
          </w:tcPr>
          <w:p w:rsidR="005F78FC" w:rsidRDefault="00B42EF3">
            <w:pPr>
              <w:pStyle w:val="TableBodyText"/>
            </w:pPr>
            <w:r>
              <w:t>0050</w:t>
            </w:r>
          </w:p>
        </w:tc>
      </w:tr>
      <w:tr w:rsidR="005F78FC" w:rsidTr="005F78FC">
        <w:tc>
          <w:tcPr>
            <w:tcW w:w="0" w:type="auto"/>
            <w:vAlign w:val="center"/>
          </w:tcPr>
          <w:p w:rsidR="005F78FC" w:rsidRDefault="00B42EF3">
            <w:pPr>
              <w:pStyle w:val="TableBodyText"/>
            </w:pPr>
            <w:r>
              <w:t>FileOpenFile</w:t>
            </w:r>
          </w:p>
        </w:tc>
        <w:tc>
          <w:tcPr>
            <w:tcW w:w="0" w:type="auto"/>
            <w:vAlign w:val="center"/>
          </w:tcPr>
          <w:p w:rsidR="005F78FC" w:rsidRDefault="00B42EF3">
            <w:pPr>
              <w:pStyle w:val="TableBodyText"/>
            </w:pPr>
            <w:r>
              <w:t>0218</w:t>
            </w:r>
          </w:p>
        </w:tc>
      </w:tr>
      <w:tr w:rsidR="005F78FC" w:rsidTr="005F78FC">
        <w:tc>
          <w:tcPr>
            <w:tcW w:w="0" w:type="auto"/>
            <w:vAlign w:val="center"/>
          </w:tcPr>
          <w:p w:rsidR="005F78FC" w:rsidRDefault="00B42EF3">
            <w:pPr>
              <w:pStyle w:val="TableBodyText"/>
            </w:pPr>
            <w:r>
              <w:t>FilePageSetup</w:t>
            </w:r>
          </w:p>
        </w:tc>
        <w:tc>
          <w:tcPr>
            <w:tcW w:w="0" w:type="auto"/>
            <w:vAlign w:val="center"/>
          </w:tcPr>
          <w:p w:rsidR="005F78FC" w:rsidRDefault="00B42EF3">
            <w:pPr>
              <w:pStyle w:val="TableBodyText"/>
            </w:pPr>
            <w:r>
              <w:t>00B2</w:t>
            </w:r>
          </w:p>
        </w:tc>
      </w:tr>
      <w:tr w:rsidR="005F78FC" w:rsidTr="005F78FC">
        <w:tc>
          <w:tcPr>
            <w:tcW w:w="0" w:type="auto"/>
            <w:vAlign w:val="center"/>
          </w:tcPr>
          <w:p w:rsidR="005F78FC" w:rsidRDefault="00B42EF3">
            <w:pPr>
              <w:pStyle w:val="TableBodyText"/>
            </w:pPr>
            <w:r>
              <w:t>FilePermission</w:t>
            </w:r>
          </w:p>
        </w:tc>
        <w:tc>
          <w:tcPr>
            <w:tcW w:w="0" w:type="auto"/>
            <w:vAlign w:val="center"/>
          </w:tcPr>
          <w:p w:rsidR="005F78FC" w:rsidRDefault="00B42EF3">
            <w:pPr>
              <w:pStyle w:val="TableBodyText"/>
            </w:pPr>
            <w:r>
              <w:t>05BD</w:t>
            </w:r>
          </w:p>
        </w:tc>
      </w:tr>
      <w:tr w:rsidR="005F78FC" w:rsidTr="005F78FC">
        <w:tc>
          <w:tcPr>
            <w:tcW w:w="0" w:type="auto"/>
            <w:vAlign w:val="center"/>
          </w:tcPr>
          <w:p w:rsidR="005F78FC" w:rsidRDefault="00B42EF3">
            <w:pPr>
              <w:pStyle w:val="TableBodyText"/>
            </w:pPr>
            <w:r>
              <w:t>FilePermissionMenu</w:t>
            </w:r>
          </w:p>
        </w:tc>
        <w:tc>
          <w:tcPr>
            <w:tcW w:w="0" w:type="auto"/>
            <w:vAlign w:val="center"/>
          </w:tcPr>
          <w:p w:rsidR="005F78FC" w:rsidRDefault="00B42EF3">
            <w:pPr>
              <w:pStyle w:val="TableBodyText"/>
            </w:pPr>
            <w:r>
              <w:t>0596</w:t>
            </w:r>
          </w:p>
        </w:tc>
      </w:tr>
      <w:tr w:rsidR="005F78FC" w:rsidTr="005F78FC">
        <w:tc>
          <w:tcPr>
            <w:tcW w:w="0" w:type="auto"/>
            <w:vAlign w:val="center"/>
          </w:tcPr>
          <w:p w:rsidR="005F78FC" w:rsidRDefault="00B42EF3">
            <w:pPr>
              <w:pStyle w:val="TableBodyText"/>
            </w:pPr>
            <w:r>
              <w:t>FilePost</w:t>
            </w:r>
          </w:p>
        </w:tc>
        <w:tc>
          <w:tcPr>
            <w:tcW w:w="0" w:type="auto"/>
            <w:vAlign w:val="center"/>
          </w:tcPr>
          <w:p w:rsidR="005F78FC" w:rsidRDefault="00B42EF3">
            <w:pPr>
              <w:pStyle w:val="TableBodyText"/>
            </w:pPr>
            <w:r>
              <w:t>02F8</w:t>
            </w:r>
          </w:p>
        </w:tc>
      </w:tr>
      <w:tr w:rsidR="005F78FC" w:rsidTr="005F78FC">
        <w:tc>
          <w:tcPr>
            <w:tcW w:w="0" w:type="auto"/>
            <w:vAlign w:val="center"/>
          </w:tcPr>
          <w:p w:rsidR="005F78FC" w:rsidRDefault="00B42EF3">
            <w:pPr>
              <w:pStyle w:val="TableBodyText"/>
            </w:pPr>
            <w:r>
              <w:t>FilePreview</w:t>
            </w:r>
          </w:p>
        </w:tc>
        <w:tc>
          <w:tcPr>
            <w:tcW w:w="0" w:type="auto"/>
            <w:vAlign w:val="center"/>
          </w:tcPr>
          <w:p w:rsidR="005F78FC" w:rsidRDefault="00B42EF3">
            <w:pPr>
              <w:pStyle w:val="TableBodyText"/>
            </w:pPr>
            <w:r>
              <w:t>167F</w:t>
            </w:r>
          </w:p>
        </w:tc>
      </w:tr>
      <w:tr w:rsidR="005F78FC" w:rsidTr="005F78FC">
        <w:tc>
          <w:tcPr>
            <w:tcW w:w="0" w:type="auto"/>
            <w:vAlign w:val="center"/>
          </w:tcPr>
          <w:p w:rsidR="005F78FC" w:rsidRDefault="00B42EF3">
            <w:pPr>
              <w:pStyle w:val="TableBodyText"/>
            </w:pPr>
            <w:r>
              <w:t>FilePrint</w:t>
            </w:r>
          </w:p>
        </w:tc>
        <w:tc>
          <w:tcPr>
            <w:tcW w:w="0" w:type="auto"/>
            <w:vAlign w:val="center"/>
          </w:tcPr>
          <w:p w:rsidR="005F78FC" w:rsidRDefault="00B42EF3">
            <w:pPr>
              <w:pStyle w:val="TableBodyText"/>
            </w:pPr>
            <w:r>
              <w:t>0058</w:t>
            </w:r>
          </w:p>
        </w:tc>
      </w:tr>
      <w:tr w:rsidR="005F78FC" w:rsidTr="005F78FC">
        <w:tc>
          <w:tcPr>
            <w:tcW w:w="0" w:type="auto"/>
            <w:vAlign w:val="center"/>
          </w:tcPr>
          <w:p w:rsidR="005F78FC" w:rsidRDefault="00B42EF3">
            <w:pPr>
              <w:pStyle w:val="TableBodyText"/>
            </w:pPr>
            <w:r>
              <w:t>FilePrintDefault</w:t>
            </w:r>
          </w:p>
        </w:tc>
        <w:tc>
          <w:tcPr>
            <w:tcW w:w="0" w:type="auto"/>
            <w:vAlign w:val="center"/>
          </w:tcPr>
          <w:p w:rsidR="005F78FC" w:rsidRDefault="00B42EF3">
            <w:pPr>
              <w:pStyle w:val="TableBodyText"/>
            </w:pPr>
            <w:r>
              <w:t>012E</w:t>
            </w:r>
          </w:p>
        </w:tc>
      </w:tr>
      <w:tr w:rsidR="005F78FC" w:rsidTr="005F78FC">
        <w:tc>
          <w:tcPr>
            <w:tcW w:w="0" w:type="auto"/>
            <w:vAlign w:val="center"/>
          </w:tcPr>
          <w:p w:rsidR="005F78FC" w:rsidRDefault="00B42EF3">
            <w:pPr>
              <w:pStyle w:val="TableBodyText"/>
            </w:pPr>
            <w:r>
              <w:t>FilePrintPreview</w:t>
            </w:r>
          </w:p>
        </w:tc>
        <w:tc>
          <w:tcPr>
            <w:tcW w:w="0" w:type="auto"/>
            <w:vAlign w:val="center"/>
          </w:tcPr>
          <w:p w:rsidR="005F78FC" w:rsidRDefault="00B42EF3">
            <w:pPr>
              <w:pStyle w:val="TableBodyText"/>
            </w:pPr>
            <w:r>
              <w:t>0059</w:t>
            </w:r>
          </w:p>
        </w:tc>
      </w:tr>
      <w:tr w:rsidR="005F78FC" w:rsidTr="005F78FC">
        <w:tc>
          <w:tcPr>
            <w:tcW w:w="0" w:type="auto"/>
            <w:vAlign w:val="center"/>
          </w:tcPr>
          <w:p w:rsidR="005F78FC" w:rsidRDefault="00B42EF3">
            <w:pPr>
              <w:pStyle w:val="TableBodyText"/>
            </w:pPr>
            <w:r>
              <w:t>FilePrintPreviewFullScreen</w:t>
            </w:r>
          </w:p>
        </w:tc>
        <w:tc>
          <w:tcPr>
            <w:tcW w:w="0" w:type="auto"/>
            <w:vAlign w:val="center"/>
          </w:tcPr>
          <w:p w:rsidR="005F78FC" w:rsidRDefault="00B42EF3">
            <w:pPr>
              <w:pStyle w:val="TableBodyText"/>
            </w:pPr>
            <w:r>
              <w:t>0204</w:t>
            </w:r>
          </w:p>
        </w:tc>
      </w:tr>
      <w:tr w:rsidR="005F78FC" w:rsidTr="005F78FC">
        <w:tc>
          <w:tcPr>
            <w:tcW w:w="0" w:type="auto"/>
            <w:vAlign w:val="center"/>
          </w:tcPr>
          <w:p w:rsidR="005F78FC" w:rsidRDefault="00B42EF3">
            <w:pPr>
              <w:pStyle w:val="TableBodyText"/>
            </w:pPr>
            <w:r>
              <w:t>FilePrintSetup</w:t>
            </w:r>
          </w:p>
        </w:tc>
        <w:tc>
          <w:tcPr>
            <w:tcW w:w="0" w:type="auto"/>
            <w:vAlign w:val="center"/>
          </w:tcPr>
          <w:p w:rsidR="005F78FC" w:rsidRDefault="00B42EF3">
            <w:pPr>
              <w:pStyle w:val="TableBodyText"/>
            </w:pPr>
            <w:r>
              <w:t>0061</w:t>
            </w:r>
          </w:p>
        </w:tc>
      </w:tr>
      <w:tr w:rsidR="005F78FC" w:rsidTr="005F78FC">
        <w:tc>
          <w:tcPr>
            <w:tcW w:w="0" w:type="auto"/>
            <w:vAlign w:val="center"/>
          </w:tcPr>
          <w:p w:rsidR="005F78FC" w:rsidRDefault="00B42EF3">
            <w:pPr>
              <w:pStyle w:val="TableBodyText"/>
            </w:pPr>
            <w:r>
              <w:t>FileProperties</w:t>
            </w:r>
          </w:p>
        </w:tc>
        <w:tc>
          <w:tcPr>
            <w:tcW w:w="0" w:type="auto"/>
            <w:vAlign w:val="center"/>
          </w:tcPr>
          <w:p w:rsidR="005F78FC" w:rsidRDefault="00B42EF3">
            <w:pPr>
              <w:pStyle w:val="TableBodyText"/>
            </w:pPr>
            <w:r>
              <w:t>02EE</w:t>
            </w:r>
          </w:p>
        </w:tc>
      </w:tr>
      <w:tr w:rsidR="005F78FC" w:rsidTr="005F78FC">
        <w:tc>
          <w:tcPr>
            <w:tcW w:w="0" w:type="auto"/>
            <w:vAlign w:val="center"/>
          </w:tcPr>
          <w:p w:rsidR="005F78FC" w:rsidRDefault="00B42EF3">
            <w:pPr>
              <w:pStyle w:val="TableBodyText"/>
            </w:pPr>
            <w:r>
              <w:t>FileRoutingSlip</w:t>
            </w:r>
          </w:p>
        </w:tc>
        <w:tc>
          <w:tcPr>
            <w:tcW w:w="0" w:type="auto"/>
            <w:vAlign w:val="center"/>
          </w:tcPr>
          <w:p w:rsidR="005F78FC" w:rsidRDefault="00B42EF3">
            <w:pPr>
              <w:pStyle w:val="TableBodyText"/>
            </w:pPr>
            <w:r>
              <w:t>0270</w:t>
            </w:r>
          </w:p>
        </w:tc>
      </w:tr>
      <w:tr w:rsidR="005F78FC" w:rsidTr="005F78FC">
        <w:tc>
          <w:tcPr>
            <w:tcW w:w="0" w:type="auto"/>
            <w:vAlign w:val="center"/>
          </w:tcPr>
          <w:p w:rsidR="005F78FC" w:rsidRDefault="00B42EF3">
            <w:pPr>
              <w:pStyle w:val="TableBodyText"/>
            </w:pPr>
            <w:r>
              <w:t>FileSave</w:t>
            </w:r>
          </w:p>
        </w:tc>
        <w:tc>
          <w:tcPr>
            <w:tcW w:w="0" w:type="auto"/>
            <w:vAlign w:val="center"/>
          </w:tcPr>
          <w:p w:rsidR="005F78FC" w:rsidRDefault="00B42EF3">
            <w:pPr>
              <w:pStyle w:val="TableBodyText"/>
            </w:pPr>
            <w:r>
              <w:t>0053</w:t>
            </w:r>
          </w:p>
        </w:tc>
      </w:tr>
      <w:tr w:rsidR="005F78FC" w:rsidTr="005F78FC">
        <w:tc>
          <w:tcPr>
            <w:tcW w:w="0" w:type="auto"/>
            <w:vAlign w:val="center"/>
          </w:tcPr>
          <w:p w:rsidR="005F78FC" w:rsidRDefault="00B42EF3">
            <w:pPr>
              <w:pStyle w:val="TableBodyText"/>
            </w:pPr>
            <w:r>
              <w:t>FileSaveAll</w:t>
            </w:r>
          </w:p>
        </w:tc>
        <w:tc>
          <w:tcPr>
            <w:tcW w:w="0" w:type="auto"/>
            <w:vAlign w:val="center"/>
          </w:tcPr>
          <w:p w:rsidR="005F78FC" w:rsidRDefault="00B42EF3">
            <w:pPr>
              <w:pStyle w:val="TableBodyText"/>
            </w:pPr>
            <w:r>
              <w:t>0055</w:t>
            </w:r>
          </w:p>
        </w:tc>
      </w:tr>
      <w:tr w:rsidR="005F78FC" w:rsidTr="005F78FC">
        <w:tc>
          <w:tcPr>
            <w:tcW w:w="0" w:type="auto"/>
            <w:vAlign w:val="center"/>
          </w:tcPr>
          <w:p w:rsidR="005F78FC" w:rsidRDefault="00B42EF3">
            <w:pPr>
              <w:pStyle w:val="TableBodyText"/>
            </w:pPr>
            <w:r>
              <w:t>FileSaveAs</w:t>
            </w:r>
          </w:p>
        </w:tc>
        <w:tc>
          <w:tcPr>
            <w:tcW w:w="0" w:type="auto"/>
            <w:vAlign w:val="center"/>
          </w:tcPr>
          <w:p w:rsidR="005F78FC" w:rsidRDefault="00B42EF3">
            <w:pPr>
              <w:pStyle w:val="TableBodyText"/>
            </w:pPr>
            <w:r>
              <w:t>0054</w:t>
            </w:r>
          </w:p>
        </w:tc>
      </w:tr>
      <w:tr w:rsidR="005F78FC" w:rsidTr="005F78FC">
        <w:tc>
          <w:tcPr>
            <w:tcW w:w="0" w:type="auto"/>
            <w:vAlign w:val="center"/>
          </w:tcPr>
          <w:p w:rsidR="005F78FC" w:rsidRDefault="00B42EF3">
            <w:pPr>
              <w:pStyle w:val="TableBodyText"/>
            </w:pPr>
            <w:r>
              <w:t>FileSaveAsOtherFormats</w:t>
            </w:r>
          </w:p>
        </w:tc>
        <w:tc>
          <w:tcPr>
            <w:tcW w:w="0" w:type="auto"/>
            <w:vAlign w:val="center"/>
          </w:tcPr>
          <w:p w:rsidR="005F78FC" w:rsidRDefault="00B42EF3">
            <w:pPr>
              <w:pStyle w:val="TableBodyText"/>
            </w:pPr>
            <w:r>
              <w:t>0912</w:t>
            </w:r>
          </w:p>
        </w:tc>
      </w:tr>
      <w:tr w:rsidR="005F78FC" w:rsidTr="005F78FC">
        <w:tc>
          <w:tcPr>
            <w:tcW w:w="0" w:type="auto"/>
            <w:vAlign w:val="center"/>
          </w:tcPr>
          <w:p w:rsidR="005F78FC" w:rsidRDefault="00B42EF3">
            <w:pPr>
              <w:pStyle w:val="TableBodyText"/>
            </w:pPr>
            <w:r>
              <w:t>FileSaveAsWebPage</w:t>
            </w:r>
          </w:p>
        </w:tc>
        <w:tc>
          <w:tcPr>
            <w:tcW w:w="0" w:type="auto"/>
            <w:vAlign w:val="center"/>
          </w:tcPr>
          <w:p w:rsidR="005F78FC" w:rsidRDefault="00B42EF3">
            <w:pPr>
              <w:pStyle w:val="TableBodyText"/>
            </w:pPr>
            <w:r>
              <w:t>048C</w:t>
            </w:r>
          </w:p>
        </w:tc>
      </w:tr>
      <w:tr w:rsidR="005F78FC" w:rsidTr="005F78FC">
        <w:tc>
          <w:tcPr>
            <w:tcW w:w="0" w:type="auto"/>
            <w:vAlign w:val="center"/>
          </w:tcPr>
          <w:p w:rsidR="005F78FC" w:rsidRDefault="00B42EF3">
            <w:pPr>
              <w:pStyle w:val="TableBodyText"/>
            </w:pPr>
            <w:r>
              <w:t>FileSaveFrameAs</w:t>
            </w:r>
          </w:p>
        </w:tc>
        <w:tc>
          <w:tcPr>
            <w:tcW w:w="0" w:type="auto"/>
            <w:vAlign w:val="center"/>
          </w:tcPr>
          <w:p w:rsidR="005F78FC" w:rsidRDefault="00B42EF3">
            <w:pPr>
              <w:pStyle w:val="TableBodyText"/>
            </w:pPr>
            <w:r>
              <w:t>0455</w:t>
            </w:r>
          </w:p>
        </w:tc>
      </w:tr>
      <w:tr w:rsidR="005F78FC" w:rsidTr="005F78FC">
        <w:tc>
          <w:tcPr>
            <w:tcW w:w="0" w:type="auto"/>
            <w:vAlign w:val="center"/>
          </w:tcPr>
          <w:p w:rsidR="005F78FC" w:rsidRDefault="00B42EF3">
            <w:pPr>
              <w:pStyle w:val="TableBodyText"/>
            </w:pPr>
            <w:r>
              <w:t>FileSaveHtml</w:t>
            </w:r>
          </w:p>
        </w:tc>
        <w:tc>
          <w:tcPr>
            <w:tcW w:w="0" w:type="auto"/>
            <w:vAlign w:val="center"/>
          </w:tcPr>
          <w:p w:rsidR="005F78FC" w:rsidRDefault="00B42EF3">
            <w:pPr>
              <w:pStyle w:val="TableBodyText"/>
            </w:pPr>
            <w:r>
              <w:t>03F4</w:t>
            </w:r>
          </w:p>
        </w:tc>
      </w:tr>
      <w:tr w:rsidR="005F78FC" w:rsidTr="005F78FC">
        <w:tc>
          <w:tcPr>
            <w:tcW w:w="0" w:type="auto"/>
            <w:vAlign w:val="center"/>
          </w:tcPr>
          <w:p w:rsidR="005F78FC" w:rsidRDefault="00B42EF3">
            <w:pPr>
              <w:pStyle w:val="TableBodyText"/>
            </w:pPr>
            <w:r>
              <w:t>FileSaveVersion</w:t>
            </w:r>
          </w:p>
        </w:tc>
        <w:tc>
          <w:tcPr>
            <w:tcW w:w="0" w:type="auto"/>
            <w:vAlign w:val="center"/>
          </w:tcPr>
          <w:p w:rsidR="005F78FC" w:rsidRDefault="00B42EF3">
            <w:pPr>
              <w:pStyle w:val="TableBodyText"/>
            </w:pPr>
            <w:r>
              <w:t>03EF</w:t>
            </w:r>
          </w:p>
        </w:tc>
      </w:tr>
      <w:tr w:rsidR="005F78FC" w:rsidTr="005F78FC">
        <w:tc>
          <w:tcPr>
            <w:tcW w:w="0" w:type="auto"/>
            <w:vAlign w:val="center"/>
          </w:tcPr>
          <w:p w:rsidR="005F78FC" w:rsidRDefault="00B42EF3">
            <w:pPr>
              <w:pStyle w:val="TableBodyText"/>
            </w:pPr>
            <w:r>
              <w:t>FileSaveWord11</w:t>
            </w:r>
          </w:p>
        </w:tc>
        <w:tc>
          <w:tcPr>
            <w:tcW w:w="0" w:type="auto"/>
            <w:vAlign w:val="center"/>
          </w:tcPr>
          <w:p w:rsidR="005F78FC" w:rsidRDefault="00B42EF3">
            <w:pPr>
              <w:pStyle w:val="TableBodyText"/>
            </w:pPr>
            <w:r>
              <w:t>090C</w:t>
            </w:r>
          </w:p>
        </w:tc>
      </w:tr>
      <w:tr w:rsidR="005F78FC" w:rsidTr="005F78FC">
        <w:tc>
          <w:tcPr>
            <w:tcW w:w="0" w:type="auto"/>
            <w:vAlign w:val="center"/>
          </w:tcPr>
          <w:p w:rsidR="005F78FC" w:rsidRDefault="00B42EF3">
            <w:pPr>
              <w:pStyle w:val="TableBodyText"/>
            </w:pPr>
            <w:r>
              <w:t>FileSaveWordDocx</w:t>
            </w:r>
          </w:p>
        </w:tc>
        <w:tc>
          <w:tcPr>
            <w:tcW w:w="0" w:type="auto"/>
            <w:vAlign w:val="center"/>
          </w:tcPr>
          <w:p w:rsidR="005F78FC" w:rsidRDefault="00B42EF3">
            <w:pPr>
              <w:pStyle w:val="TableBodyText"/>
            </w:pPr>
            <w:r>
              <w:t>090B</w:t>
            </w:r>
          </w:p>
        </w:tc>
      </w:tr>
      <w:tr w:rsidR="005F78FC" w:rsidTr="005F78FC">
        <w:tc>
          <w:tcPr>
            <w:tcW w:w="0" w:type="auto"/>
            <w:vAlign w:val="center"/>
          </w:tcPr>
          <w:p w:rsidR="005F78FC" w:rsidRDefault="00B42EF3">
            <w:pPr>
              <w:pStyle w:val="TableBodyText"/>
            </w:pPr>
            <w:r>
              <w:t>FileSaveWordDotx</w:t>
            </w:r>
          </w:p>
        </w:tc>
        <w:tc>
          <w:tcPr>
            <w:tcW w:w="0" w:type="auto"/>
            <w:vAlign w:val="center"/>
          </w:tcPr>
          <w:p w:rsidR="005F78FC" w:rsidRDefault="00B42EF3">
            <w:pPr>
              <w:pStyle w:val="TableBodyText"/>
            </w:pPr>
            <w:r>
              <w:t>090A</w:t>
            </w:r>
          </w:p>
        </w:tc>
      </w:tr>
      <w:tr w:rsidR="005F78FC" w:rsidTr="005F78FC">
        <w:tc>
          <w:tcPr>
            <w:tcW w:w="0" w:type="auto"/>
            <w:vAlign w:val="center"/>
          </w:tcPr>
          <w:p w:rsidR="005F78FC" w:rsidRDefault="00B42EF3">
            <w:pPr>
              <w:pStyle w:val="TableBodyText"/>
            </w:pPr>
            <w:r>
              <w:t>FileSearch</w:t>
            </w:r>
          </w:p>
        </w:tc>
        <w:tc>
          <w:tcPr>
            <w:tcW w:w="0" w:type="auto"/>
            <w:vAlign w:val="center"/>
          </w:tcPr>
          <w:p w:rsidR="005F78FC" w:rsidRDefault="00B42EF3">
            <w:pPr>
              <w:pStyle w:val="TableBodyText"/>
            </w:pPr>
            <w:r>
              <w:t>0553</w:t>
            </w:r>
          </w:p>
        </w:tc>
      </w:tr>
      <w:tr w:rsidR="005F78FC" w:rsidTr="005F78FC">
        <w:tc>
          <w:tcPr>
            <w:tcW w:w="0" w:type="auto"/>
            <w:vAlign w:val="center"/>
          </w:tcPr>
          <w:p w:rsidR="005F78FC" w:rsidRDefault="00B42EF3">
            <w:pPr>
              <w:pStyle w:val="TableBodyText"/>
            </w:pPr>
            <w:r>
              <w:t>FileSendBlog</w:t>
            </w:r>
          </w:p>
        </w:tc>
        <w:tc>
          <w:tcPr>
            <w:tcW w:w="0" w:type="auto"/>
            <w:vAlign w:val="center"/>
          </w:tcPr>
          <w:p w:rsidR="005F78FC" w:rsidRDefault="00B42EF3">
            <w:pPr>
              <w:pStyle w:val="TableBodyText"/>
            </w:pPr>
            <w:r>
              <w:t>07C4</w:t>
            </w:r>
          </w:p>
        </w:tc>
      </w:tr>
      <w:tr w:rsidR="005F78FC" w:rsidTr="005F78FC">
        <w:tc>
          <w:tcPr>
            <w:tcW w:w="0" w:type="auto"/>
            <w:vAlign w:val="center"/>
          </w:tcPr>
          <w:p w:rsidR="005F78FC" w:rsidRDefault="00B42EF3">
            <w:pPr>
              <w:pStyle w:val="TableBodyText"/>
            </w:pPr>
            <w:r>
              <w:t>FileSendMail</w:t>
            </w:r>
          </w:p>
        </w:tc>
        <w:tc>
          <w:tcPr>
            <w:tcW w:w="0" w:type="auto"/>
            <w:vAlign w:val="center"/>
          </w:tcPr>
          <w:p w:rsidR="005F78FC" w:rsidRDefault="00B42EF3">
            <w:pPr>
              <w:pStyle w:val="TableBodyText"/>
            </w:pPr>
            <w:r>
              <w:t>0265</w:t>
            </w:r>
          </w:p>
        </w:tc>
      </w:tr>
      <w:tr w:rsidR="005F78FC" w:rsidTr="005F78FC">
        <w:tc>
          <w:tcPr>
            <w:tcW w:w="0" w:type="auto"/>
            <w:vAlign w:val="center"/>
          </w:tcPr>
          <w:p w:rsidR="005F78FC" w:rsidRDefault="00B42EF3">
            <w:pPr>
              <w:pStyle w:val="TableBodyText"/>
            </w:pPr>
            <w:r>
              <w:lastRenderedPageBreak/>
              <w:t>FileSendPdf</w:t>
            </w:r>
          </w:p>
        </w:tc>
        <w:tc>
          <w:tcPr>
            <w:tcW w:w="0" w:type="auto"/>
            <w:vAlign w:val="center"/>
          </w:tcPr>
          <w:p w:rsidR="005F78FC" w:rsidRDefault="00B42EF3">
            <w:pPr>
              <w:pStyle w:val="TableBodyText"/>
            </w:pPr>
            <w:r>
              <w:t>0905</w:t>
            </w:r>
          </w:p>
        </w:tc>
      </w:tr>
      <w:tr w:rsidR="005F78FC" w:rsidTr="005F78FC">
        <w:tc>
          <w:tcPr>
            <w:tcW w:w="0" w:type="auto"/>
            <w:vAlign w:val="center"/>
          </w:tcPr>
          <w:p w:rsidR="005F78FC" w:rsidRDefault="00B42EF3">
            <w:pPr>
              <w:pStyle w:val="TableBodyText"/>
            </w:pPr>
            <w:r>
              <w:t>FileSendXps</w:t>
            </w:r>
          </w:p>
        </w:tc>
        <w:tc>
          <w:tcPr>
            <w:tcW w:w="0" w:type="auto"/>
            <w:vAlign w:val="center"/>
          </w:tcPr>
          <w:p w:rsidR="005F78FC" w:rsidRDefault="00B42EF3">
            <w:pPr>
              <w:pStyle w:val="TableBodyText"/>
            </w:pPr>
            <w:r>
              <w:t>0906</w:t>
            </w:r>
          </w:p>
        </w:tc>
      </w:tr>
      <w:tr w:rsidR="005F78FC" w:rsidTr="005F78FC">
        <w:tc>
          <w:tcPr>
            <w:tcW w:w="0" w:type="auto"/>
            <w:vAlign w:val="center"/>
          </w:tcPr>
          <w:p w:rsidR="005F78FC" w:rsidRDefault="00B42EF3">
            <w:pPr>
              <w:pStyle w:val="TableBodyText"/>
            </w:pPr>
            <w:r>
              <w:t>FileSummaryInfo</w:t>
            </w:r>
          </w:p>
        </w:tc>
        <w:tc>
          <w:tcPr>
            <w:tcW w:w="0" w:type="auto"/>
            <w:vAlign w:val="center"/>
          </w:tcPr>
          <w:p w:rsidR="005F78FC" w:rsidRDefault="00B42EF3">
            <w:pPr>
              <w:pStyle w:val="TableBodyText"/>
            </w:pPr>
            <w:r>
              <w:t>0056</w:t>
            </w:r>
          </w:p>
        </w:tc>
      </w:tr>
      <w:tr w:rsidR="005F78FC" w:rsidTr="005F78FC">
        <w:tc>
          <w:tcPr>
            <w:tcW w:w="0" w:type="auto"/>
            <w:vAlign w:val="center"/>
          </w:tcPr>
          <w:p w:rsidR="005F78FC" w:rsidRDefault="00B42EF3">
            <w:pPr>
              <w:pStyle w:val="TableBodyText"/>
            </w:pPr>
            <w:r>
              <w:t>FileTemplates</w:t>
            </w:r>
          </w:p>
        </w:tc>
        <w:tc>
          <w:tcPr>
            <w:tcW w:w="0" w:type="auto"/>
            <w:vAlign w:val="center"/>
          </w:tcPr>
          <w:p w:rsidR="005F78FC" w:rsidRDefault="00B42EF3">
            <w:pPr>
              <w:pStyle w:val="TableBodyText"/>
            </w:pPr>
            <w:r>
              <w:t>0057</w:t>
            </w:r>
          </w:p>
        </w:tc>
      </w:tr>
      <w:tr w:rsidR="005F78FC" w:rsidTr="005F78FC">
        <w:tc>
          <w:tcPr>
            <w:tcW w:w="0" w:type="auto"/>
            <w:vAlign w:val="center"/>
          </w:tcPr>
          <w:p w:rsidR="005F78FC" w:rsidRDefault="00B42EF3">
            <w:pPr>
              <w:pStyle w:val="TableBodyText"/>
            </w:pPr>
            <w:r>
              <w:t>FileUndoCheckout</w:t>
            </w:r>
          </w:p>
        </w:tc>
        <w:tc>
          <w:tcPr>
            <w:tcW w:w="0" w:type="auto"/>
            <w:vAlign w:val="center"/>
          </w:tcPr>
          <w:p w:rsidR="005F78FC" w:rsidRDefault="00B42EF3">
            <w:pPr>
              <w:pStyle w:val="TableBodyText"/>
            </w:pPr>
            <w:r>
              <w:t>04D9</w:t>
            </w:r>
          </w:p>
        </w:tc>
      </w:tr>
      <w:tr w:rsidR="005F78FC" w:rsidTr="005F78FC">
        <w:tc>
          <w:tcPr>
            <w:tcW w:w="0" w:type="auto"/>
            <w:vAlign w:val="center"/>
          </w:tcPr>
          <w:p w:rsidR="005F78FC" w:rsidRDefault="00B42EF3">
            <w:pPr>
              <w:pStyle w:val="TableBodyText"/>
            </w:pPr>
            <w:r>
              <w:t>FileVersions</w:t>
            </w:r>
          </w:p>
        </w:tc>
        <w:tc>
          <w:tcPr>
            <w:tcW w:w="0" w:type="auto"/>
            <w:vAlign w:val="center"/>
          </w:tcPr>
          <w:p w:rsidR="005F78FC" w:rsidRDefault="00B42EF3">
            <w:pPr>
              <w:pStyle w:val="TableBodyText"/>
            </w:pPr>
            <w:r>
              <w:t>03B1</w:t>
            </w:r>
          </w:p>
        </w:tc>
      </w:tr>
      <w:tr w:rsidR="005F78FC" w:rsidTr="005F78FC">
        <w:tc>
          <w:tcPr>
            <w:tcW w:w="0" w:type="auto"/>
            <w:vAlign w:val="center"/>
          </w:tcPr>
          <w:p w:rsidR="005F78FC" w:rsidRDefault="00B42EF3">
            <w:pPr>
              <w:pStyle w:val="TableBodyText"/>
            </w:pPr>
            <w:r>
              <w:t>FileVersionsLocal</w:t>
            </w:r>
          </w:p>
        </w:tc>
        <w:tc>
          <w:tcPr>
            <w:tcW w:w="0" w:type="auto"/>
            <w:vAlign w:val="center"/>
          </w:tcPr>
          <w:p w:rsidR="005F78FC" w:rsidRDefault="00B42EF3">
            <w:pPr>
              <w:pStyle w:val="TableBodyText"/>
            </w:pPr>
            <w:r>
              <w:t>04F5</w:t>
            </w:r>
          </w:p>
        </w:tc>
      </w:tr>
      <w:tr w:rsidR="005F78FC" w:rsidTr="005F78FC">
        <w:tc>
          <w:tcPr>
            <w:tcW w:w="0" w:type="auto"/>
            <w:vAlign w:val="center"/>
          </w:tcPr>
          <w:p w:rsidR="005F78FC" w:rsidRDefault="00B42EF3">
            <w:pPr>
              <w:pStyle w:val="TableBodyText"/>
            </w:pPr>
            <w:r>
              <w:t>FileVersionsServer</w:t>
            </w:r>
          </w:p>
        </w:tc>
        <w:tc>
          <w:tcPr>
            <w:tcW w:w="0" w:type="auto"/>
            <w:vAlign w:val="center"/>
          </w:tcPr>
          <w:p w:rsidR="005F78FC" w:rsidRDefault="00B42EF3">
            <w:pPr>
              <w:pStyle w:val="TableBodyText"/>
            </w:pPr>
            <w:r>
              <w:t>0533</w:t>
            </w:r>
          </w:p>
        </w:tc>
      </w:tr>
      <w:tr w:rsidR="005F78FC" w:rsidTr="005F78FC">
        <w:tc>
          <w:tcPr>
            <w:tcW w:w="0" w:type="auto"/>
            <w:vAlign w:val="center"/>
          </w:tcPr>
          <w:p w:rsidR="005F78FC" w:rsidRDefault="00B42EF3">
            <w:pPr>
              <w:pStyle w:val="TableBodyText"/>
            </w:pPr>
            <w:r>
              <w:t>FillColorPicker</w:t>
            </w:r>
          </w:p>
        </w:tc>
        <w:tc>
          <w:tcPr>
            <w:tcW w:w="0" w:type="auto"/>
            <w:vAlign w:val="center"/>
          </w:tcPr>
          <w:p w:rsidR="005F78FC" w:rsidRDefault="00B42EF3">
            <w:pPr>
              <w:pStyle w:val="TableBodyText"/>
            </w:pPr>
            <w:r>
              <w:t>084A</w:t>
            </w:r>
          </w:p>
        </w:tc>
      </w:tr>
      <w:tr w:rsidR="005F78FC" w:rsidTr="005F78FC">
        <w:tc>
          <w:tcPr>
            <w:tcW w:w="0" w:type="auto"/>
            <w:vAlign w:val="center"/>
          </w:tcPr>
          <w:p w:rsidR="005F78FC" w:rsidRDefault="00B42EF3">
            <w:pPr>
              <w:pStyle w:val="TableBodyText"/>
            </w:pPr>
            <w:r>
              <w:t>FillPolicyLabel</w:t>
            </w:r>
          </w:p>
        </w:tc>
        <w:tc>
          <w:tcPr>
            <w:tcW w:w="0" w:type="auto"/>
            <w:vAlign w:val="center"/>
          </w:tcPr>
          <w:p w:rsidR="005F78FC" w:rsidRDefault="00B42EF3">
            <w:pPr>
              <w:pStyle w:val="TableBodyText"/>
            </w:pPr>
            <w:r>
              <w:t>0786</w:t>
            </w:r>
          </w:p>
        </w:tc>
      </w:tr>
      <w:tr w:rsidR="005F78FC" w:rsidTr="005F78FC">
        <w:tc>
          <w:tcPr>
            <w:tcW w:w="0" w:type="auto"/>
            <w:vAlign w:val="center"/>
          </w:tcPr>
          <w:p w:rsidR="005F78FC" w:rsidRDefault="00B42EF3">
            <w:pPr>
              <w:pStyle w:val="TableBodyText"/>
            </w:pPr>
            <w:r>
              <w:t>FixBrokenText</w:t>
            </w:r>
          </w:p>
        </w:tc>
        <w:tc>
          <w:tcPr>
            <w:tcW w:w="0" w:type="auto"/>
            <w:vAlign w:val="center"/>
          </w:tcPr>
          <w:p w:rsidR="005F78FC" w:rsidRDefault="00B42EF3">
            <w:pPr>
              <w:pStyle w:val="TableBodyText"/>
            </w:pPr>
            <w:r>
              <w:t>0577</w:t>
            </w:r>
          </w:p>
        </w:tc>
      </w:tr>
      <w:tr w:rsidR="005F78FC" w:rsidTr="005F78FC">
        <w:tc>
          <w:tcPr>
            <w:tcW w:w="0" w:type="auto"/>
            <w:vAlign w:val="center"/>
          </w:tcPr>
          <w:p w:rsidR="005F78FC" w:rsidRDefault="00B42EF3">
            <w:pPr>
              <w:pStyle w:val="TableBodyText"/>
            </w:pPr>
            <w:r>
              <w:t>FixHHCMenu</w:t>
            </w:r>
          </w:p>
        </w:tc>
        <w:tc>
          <w:tcPr>
            <w:tcW w:w="0" w:type="auto"/>
            <w:vAlign w:val="center"/>
          </w:tcPr>
          <w:p w:rsidR="005F78FC" w:rsidRDefault="00B42EF3">
            <w:pPr>
              <w:pStyle w:val="TableBodyText"/>
            </w:pPr>
            <w:r>
              <w:t>1699</w:t>
            </w:r>
          </w:p>
        </w:tc>
      </w:tr>
      <w:tr w:rsidR="005F78FC" w:rsidTr="005F78FC">
        <w:tc>
          <w:tcPr>
            <w:tcW w:w="0" w:type="auto"/>
            <w:vAlign w:val="center"/>
          </w:tcPr>
          <w:p w:rsidR="005F78FC" w:rsidRDefault="00B42EF3">
            <w:pPr>
              <w:pStyle w:val="TableBodyText"/>
            </w:pPr>
            <w:r>
              <w:t>FixMe</w:t>
            </w:r>
          </w:p>
        </w:tc>
        <w:tc>
          <w:tcPr>
            <w:tcW w:w="0" w:type="auto"/>
            <w:vAlign w:val="center"/>
          </w:tcPr>
          <w:p w:rsidR="005F78FC" w:rsidRDefault="00B42EF3">
            <w:pPr>
              <w:pStyle w:val="TableBodyText"/>
            </w:pPr>
            <w:r>
              <w:t>02C1</w:t>
            </w:r>
          </w:p>
        </w:tc>
      </w:tr>
      <w:tr w:rsidR="005F78FC" w:rsidTr="005F78FC">
        <w:tc>
          <w:tcPr>
            <w:tcW w:w="0" w:type="auto"/>
            <w:vAlign w:val="center"/>
          </w:tcPr>
          <w:p w:rsidR="005F78FC" w:rsidRDefault="00B42EF3">
            <w:pPr>
              <w:pStyle w:val="TableBodyText"/>
            </w:pPr>
            <w:r>
              <w:t>FixSpellingChange</w:t>
            </w:r>
          </w:p>
        </w:tc>
        <w:tc>
          <w:tcPr>
            <w:tcW w:w="0" w:type="auto"/>
            <w:vAlign w:val="center"/>
          </w:tcPr>
          <w:p w:rsidR="005F78FC" w:rsidRDefault="00B42EF3">
            <w:pPr>
              <w:pStyle w:val="TableBodyText"/>
            </w:pPr>
            <w:r>
              <w:t>02E8</w:t>
            </w:r>
          </w:p>
        </w:tc>
      </w:tr>
      <w:tr w:rsidR="005F78FC" w:rsidTr="005F78FC">
        <w:tc>
          <w:tcPr>
            <w:tcW w:w="0" w:type="auto"/>
            <w:vAlign w:val="center"/>
          </w:tcPr>
          <w:p w:rsidR="005F78FC" w:rsidRDefault="00B42EF3">
            <w:pPr>
              <w:pStyle w:val="TableBodyText"/>
            </w:pPr>
            <w:r>
              <w:t>FixSpellingLang</w:t>
            </w:r>
          </w:p>
        </w:tc>
        <w:tc>
          <w:tcPr>
            <w:tcW w:w="0" w:type="auto"/>
            <w:vAlign w:val="center"/>
          </w:tcPr>
          <w:p w:rsidR="005F78FC" w:rsidRDefault="00B42EF3">
            <w:pPr>
              <w:pStyle w:val="TableBodyText"/>
            </w:pPr>
            <w:r>
              <w:t>0383</w:t>
            </w:r>
          </w:p>
        </w:tc>
      </w:tr>
      <w:tr w:rsidR="005F78FC" w:rsidTr="005F78FC">
        <w:tc>
          <w:tcPr>
            <w:tcW w:w="0" w:type="auto"/>
            <w:vAlign w:val="center"/>
          </w:tcPr>
          <w:p w:rsidR="005F78FC" w:rsidRDefault="00B42EF3">
            <w:pPr>
              <w:pStyle w:val="TableBodyText"/>
            </w:pPr>
            <w:r>
              <w:t>FixSynonymMenu</w:t>
            </w:r>
          </w:p>
        </w:tc>
        <w:tc>
          <w:tcPr>
            <w:tcW w:w="0" w:type="auto"/>
            <w:vAlign w:val="center"/>
          </w:tcPr>
          <w:p w:rsidR="005F78FC" w:rsidRDefault="00B42EF3">
            <w:pPr>
              <w:pStyle w:val="TableBodyText"/>
            </w:pPr>
            <w:r>
              <w:t>16A0</w:t>
            </w:r>
          </w:p>
        </w:tc>
      </w:tr>
      <w:tr w:rsidR="005F78FC" w:rsidTr="005F78FC">
        <w:tc>
          <w:tcPr>
            <w:tcW w:w="0" w:type="auto"/>
            <w:vAlign w:val="center"/>
          </w:tcPr>
          <w:p w:rsidR="005F78FC" w:rsidRDefault="00B42EF3">
            <w:pPr>
              <w:pStyle w:val="TableBodyText"/>
            </w:pPr>
            <w:r>
              <w:t>FixUIMChange</w:t>
            </w:r>
          </w:p>
        </w:tc>
        <w:tc>
          <w:tcPr>
            <w:tcW w:w="0" w:type="auto"/>
            <w:vAlign w:val="center"/>
          </w:tcPr>
          <w:p w:rsidR="005F78FC" w:rsidRDefault="00B42EF3">
            <w:pPr>
              <w:pStyle w:val="TableBodyText"/>
            </w:pPr>
            <w:r>
              <w:t>0547</w:t>
            </w:r>
          </w:p>
        </w:tc>
      </w:tr>
      <w:tr w:rsidR="005F78FC" w:rsidTr="005F78FC">
        <w:tc>
          <w:tcPr>
            <w:tcW w:w="0" w:type="auto"/>
            <w:vAlign w:val="center"/>
          </w:tcPr>
          <w:p w:rsidR="005F78FC" w:rsidRDefault="00B42EF3">
            <w:pPr>
              <w:pStyle w:val="TableBodyText"/>
            </w:pPr>
            <w:r>
              <w:t>FixUIMDeleteWord</w:t>
            </w:r>
          </w:p>
        </w:tc>
        <w:tc>
          <w:tcPr>
            <w:tcW w:w="0" w:type="auto"/>
            <w:vAlign w:val="center"/>
          </w:tcPr>
          <w:p w:rsidR="005F78FC" w:rsidRDefault="00B42EF3">
            <w:pPr>
              <w:pStyle w:val="TableBodyText"/>
            </w:pPr>
            <w:r>
              <w:t>0549</w:t>
            </w:r>
          </w:p>
        </w:tc>
      </w:tr>
      <w:tr w:rsidR="005F78FC" w:rsidTr="005F78FC">
        <w:tc>
          <w:tcPr>
            <w:tcW w:w="0" w:type="auto"/>
            <w:vAlign w:val="center"/>
          </w:tcPr>
          <w:p w:rsidR="005F78FC" w:rsidRDefault="00B42EF3">
            <w:pPr>
              <w:pStyle w:val="TableBodyText"/>
            </w:pPr>
            <w:r>
              <w:t>Font</w:t>
            </w:r>
          </w:p>
        </w:tc>
        <w:tc>
          <w:tcPr>
            <w:tcW w:w="0" w:type="auto"/>
            <w:vAlign w:val="center"/>
          </w:tcPr>
          <w:p w:rsidR="005F78FC" w:rsidRDefault="00B42EF3">
            <w:pPr>
              <w:pStyle w:val="TableBodyText"/>
            </w:pPr>
            <w:r>
              <w:t>002A</w:t>
            </w:r>
          </w:p>
        </w:tc>
      </w:tr>
      <w:tr w:rsidR="005F78FC" w:rsidTr="005F78FC">
        <w:tc>
          <w:tcPr>
            <w:tcW w:w="0" w:type="auto"/>
            <w:vAlign w:val="center"/>
          </w:tcPr>
          <w:p w:rsidR="005F78FC" w:rsidRDefault="00B42EF3">
            <w:pPr>
              <w:pStyle w:val="TableBodyText"/>
            </w:pPr>
            <w:r>
              <w:t>FontColor</w:t>
            </w:r>
          </w:p>
        </w:tc>
        <w:tc>
          <w:tcPr>
            <w:tcW w:w="0" w:type="auto"/>
            <w:vAlign w:val="center"/>
          </w:tcPr>
          <w:p w:rsidR="005F78FC" w:rsidRDefault="00B42EF3">
            <w:pPr>
              <w:pStyle w:val="TableBodyText"/>
            </w:pPr>
            <w:r>
              <w:t>0372</w:t>
            </w:r>
          </w:p>
        </w:tc>
      </w:tr>
      <w:tr w:rsidR="005F78FC" w:rsidTr="005F78FC">
        <w:tc>
          <w:tcPr>
            <w:tcW w:w="0" w:type="auto"/>
            <w:vAlign w:val="center"/>
          </w:tcPr>
          <w:p w:rsidR="005F78FC" w:rsidRDefault="00B42EF3">
            <w:pPr>
              <w:pStyle w:val="TableBodyText"/>
            </w:pPr>
            <w:r>
              <w:t>FontColorPicker</w:t>
            </w:r>
          </w:p>
        </w:tc>
        <w:tc>
          <w:tcPr>
            <w:tcW w:w="0" w:type="auto"/>
            <w:vAlign w:val="center"/>
          </w:tcPr>
          <w:p w:rsidR="005F78FC" w:rsidRDefault="00B42EF3">
            <w:pPr>
              <w:pStyle w:val="TableBodyText"/>
            </w:pPr>
            <w:r>
              <w:t>07BB</w:t>
            </w:r>
          </w:p>
        </w:tc>
      </w:tr>
      <w:tr w:rsidR="005F78FC" w:rsidTr="005F78FC">
        <w:tc>
          <w:tcPr>
            <w:tcW w:w="0" w:type="auto"/>
            <w:vAlign w:val="center"/>
          </w:tcPr>
          <w:p w:rsidR="005F78FC" w:rsidRDefault="00B42EF3">
            <w:pPr>
              <w:pStyle w:val="TableBodyText"/>
            </w:pPr>
            <w:r>
              <w:t>FontSchemePicker</w:t>
            </w:r>
          </w:p>
        </w:tc>
        <w:tc>
          <w:tcPr>
            <w:tcW w:w="0" w:type="auto"/>
            <w:vAlign w:val="center"/>
          </w:tcPr>
          <w:p w:rsidR="005F78FC" w:rsidRDefault="00B42EF3">
            <w:pPr>
              <w:pStyle w:val="TableBodyText"/>
            </w:pPr>
            <w:r>
              <w:t>08FB</w:t>
            </w:r>
          </w:p>
        </w:tc>
      </w:tr>
      <w:tr w:rsidR="005F78FC" w:rsidTr="005F78FC">
        <w:tc>
          <w:tcPr>
            <w:tcW w:w="0" w:type="auto"/>
            <w:vAlign w:val="center"/>
          </w:tcPr>
          <w:p w:rsidR="005F78FC" w:rsidRDefault="00B42EF3">
            <w:pPr>
              <w:pStyle w:val="TableBodyText"/>
            </w:pPr>
            <w:r>
              <w:t>FontSize</w:t>
            </w:r>
          </w:p>
        </w:tc>
        <w:tc>
          <w:tcPr>
            <w:tcW w:w="0" w:type="auto"/>
            <w:vAlign w:val="center"/>
          </w:tcPr>
          <w:p w:rsidR="005F78FC" w:rsidRDefault="00B42EF3">
            <w:pPr>
              <w:pStyle w:val="TableBodyText"/>
            </w:pPr>
            <w:r>
              <w:t>0215</w:t>
            </w:r>
          </w:p>
        </w:tc>
      </w:tr>
      <w:tr w:rsidR="005F78FC" w:rsidTr="005F78FC">
        <w:tc>
          <w:tcPr>
            <w:tcW w:w="0" w:type="auto"/>
            <w:vAlign w:val="center"/>
          </w:tcPr>
          <w:p w:rsidR="005F78FC" w:rsidRDefault="00B42EF3">
            <w:pPr>
              <w:pStyle w:val="TableBodyText"/>
            </w:pPr>
            <w:r>
              <w:t>FontSizeSelect</w:t>
            </w:r>
          </w:p>
        </w:tc>
        <w:tc>
          <w:tcPr>
            <w:tcW w:w="0" w:type="auto"/>
            <w:vAlign w:val="center"/>
          </w:tcPr>
          <w:p w:rsidR="005F78FC" w:rsidRDefault="00B42EF3">
            <w:pPr>
              <w:pStyle w:val="TableBodyText"/>
            </w:pPr>
            <w:r>
              <w:t>002B</w:t>
            </w:r>
          </w:p>
        </w:tc>
      </w:tr>
      <w:tr w:rsidR="005F78FC" w:rsidTr="005F78FC">
        <w:tc>
          <w:tcPr>
            <w:tcW w:w="0" w:type="auto"/>
            <w:vAlign w:val="center"/>
          </w:tcPr>
          <w:p w:rsidR="005F78FC" w:rsidRDefault="00B42EF3">
            <w:pPr>
              <w:pStyle w:val="TableBodyText"/>
            </w:pPr>
            <w:r>
              <w:t>FontSubstitution</w:t>
            </w:r>
          </w:p>
        </w:tc>
        <w:tc>
          <w:tcPr>
            <w:tcW w:w="0" w:type="auto"/>
            <w:vAlign w:val="center"/>
          </w:tcPr>
          <w:p w:rsidR="005F78FC" w:rsidRDefault="00B42EF3">
            <w:pPr>
              <w:pStyle w:val="TableBodyText"/>
            </w:pPr>
            <w:r>
              <w:t>0245</w:t>
            </w:r>
          </w:p>
        </w:tc>
      </w:tr>
      <w:tr w:rsidR="005F78FC" w:rsidTr="005F78FC">
        <w:tc>
          <w:tcPr>
            <w:tcW w:w="0" w:type="auto"/>
            <w:vAlign w:val="center"/>
          </w:tcPr>
          <w:p w:rsidR="005F78FC" w:rsidRDefault="00B42EF3">
            <w:pPr>
              <w:pStyle w:val="TableBodyText"/>
            </w:pPr>
            <w:r>
              <w:t>FooterGallery</w:t>
            </w:r>
          </w:p>
        </w:tc>
        <w:tc>
          <w:tcPr>
            <w:tcW w:w="0" w:type="auto"/>
            <w:vAlign w:val="center"/>
          </w:tcPr>
          <w:p w:rsidR="005F78FC" w:rsidRDefault="00B42EF3">
            <w:pPr>
              <w:pStyle w:val="TableBodyText"/>
            </w:pPr>
            <w:r>
              <w:t>07E3</w:t>
            </w:r>
          </w:p>
        </w:tc>
      </w:tr>
      <w:tr w:rsidR="005F78FC" w:rsidTr="005F78FC">
        <w:tc>
          <w:tcPr>
            <w:tcW w:w="0" w:type="auto"/>
            <w:vAlign w:val="center"/>
          </w:tcPr>
          <w:p w:rsidR="005F78FC" w:rsidRDefault="00B42EF3">
            <w:pPr>
              <w:pStyle w:val="TableBodyText"/>
            </w:pPr>
            <w:r>
              <w:t>FooterPositionSpinner</w:t>
            </w:r>
          </w:p>
        </w:tc>
        <w:tc>
          <w:tcPr>
            <w:tcW w:w="0" w:type="auto"/>
            <w:vAlign w:val="center"/>
          </w:tcPr>
          <w:p w:rsidR="005F78FC" w:rsidRDefault="00B42EF3">
            <w:pPr>
              <w:pStyle w:val="TableBodyText"/>
            </w:pPr>
            <w:r>
              <w:t>08B2</w:t>
            </w:r>
          </w:p>
        </w:tc>
      </w:tr>
      <w:tr w:rsidR="005F78FC" w:rsidTr="005F78FC">
        <w:tc>
          <w:tcPr>
            <w:tcW w:w="0" w:type="auto"/>
            <w:vAlign w:val="center"/>
          </w:tcPr>
          <w:p w:rsidR="005F78FC" w:rsidRDefault="00B42EF3">
            <w:pPr>
              <w:pStyle w:val="TableBodyText"/>
            </w:pPr>
            <w:r>
              <w:t>FormFieldOptions</w:t>
            </w:r>
          </w:p>
        </w:tc>
        <w:tc>
          <w:tcPr>
            <w:tcW w:w="0" w:type="auto"/>
            <w:vAlign w:val="center"/>
          </w:tcPr>
          <w:p w:rsidR="005F78FC" w:rsidRDefault="00B42EF3">
            <w:pPr>
              <w:pStyle w:val="TableBodyText"/>
            </w:pPr>
            <w:r>
              <w:t>0161</w:t>
            </w:r>
          </w:p>
        </w:tc>
      </w:tr>
      <w:tr w:rsidR="005F78FC" w:rsidTr="005F78FC">
        <w:tc>
          <w:tcPr>
            <w:tcW w:w="0" w:type="auto"/>
            <w:vAlign w:val="center"/>
          </w:tcPr>
          <w:p w:rsidR="005F78FC" w:rsidRDefault="00B42EF3">
            <w:pPr>
              <w:pStyle w:val="TableBodyText"/>
            </w:pPr>
            <w:r>
              <w:t>FormShading</w:t>
            </w:r>
          </w:p>
        </w:tc>
        <w:tc>
          <w:tcPr>
            <w:tcW w:w="0" w:type="auto"/>
            <w:vAlign w:val="center"/>
          </w:tcPr>
          <w:p w:rsidR="005F78FC" w:rsidRDefault="00B42EF3">
            <w:pPr>
              <w:pStyle w:val="TableBodyText"/>
            </w:pPr>
            <w:r>
              <w:t>027C</w:t>
            </w:r>
          </w:p>
        </w:tc>
      </w:tr>
      <w:tr w:rsidR="005F78FC" w:rsidTr="005F78FC">
        <w:tc>
          <w:tcPr>
            <w:tcW w:w="0" w:type="auto"/>
            <w:vAlign w:val="center"/>
          </w:tcPr>
          <w:p w:rsidR="005F78FC" w:rsidRDefault="00B42EF3">
            <w:pPr>
              <w:pStyle w:val="TableBodyText"/>
            </w:pPr>
            <w:r>
              <w:t>FormatAddrFonts</w:t>
            </w:r>
          </w:p>
        </w:tc>
        <w:tc>
          <w:tcPr>
            <w:tcW w:w="0" w:type="auto"/>
            <w:vAlign w:val="center"/>
          </w:tcPr>
          <w:p w:rsidR="005F78FC" w:rsidRDefault="00B42EF3">
            <w:pPr>
              <w:pStyle w:val="TableBodyText"/>
            </w:pPr>
            <w:r>
              <w:t>0067</w:t>
            </w:r>
          </w:p>
        </w:tc>
      </w:tr>
      <w:tr w:rsidR="005F78FC" w:rsidTr="005F78FC">
        <w:tc>
          <w:tcPr>
            <w:tcW w:w="0" w:type="auto"/>
            <w:vAlign w:val="center"/>
          </w:tcPr>
          <w:p w:rsidR="005F78FC" w:rsidRDefault="00B42EF3">
            <w:pPr>
              <w:pStyle w:val="TableBodyText"/>
            </w:pPr>
            <w:r>
              <w:t>FormatAutoFormat</w:t>
            </w:r>
          </w:p>
        </w:tc>
        <w:tc>
          <w:tcPr>
            <w:tcW w:w="0" w:type="auto"/>
            <w:vAlign w:val="center"/>
          </w:tcPr>
          <w:p w:rsidR="005F78FC" w:rsidRDefault="00B42EF3">
            <w:pPr>
              <w:pStyle w:val="TableBodyText"/>
            </w:pPr>
            <w:r>
              <w:t>0181</w:t>
            </w:r>
          </w:p>
        </w:tc>
      </w:tr>
      <w:tr w:rsidR="005F78FC" w:rsidTr="005F78FC">
        <w:tc>
          <w:tcPr>
            <w:tcW w:w="0" w:type="auto"/>
            <w:vAlign w:val="center"/>
          </w:tcPr>
          <w:p w:rsidR="005F78FC" w:rsidRDefault="00B42EF3">
            <w:pPr>
              <w:pStyle w:val="TableBodyText"/>
            </w:pPr>
            <w:r>
              <w:t>FormatAutoFormatBegin</w:t>
            </w:r>
          </w:p>
        </w:tc>
        <w:tc>
          <w:tcPr>
            <w:tcW w:w="0" w:type="auto"/>
            <w:vAlign w:val="center"/>
          </w:tcPr>
          <w:p w:rsidR="005F78FC" w:rsidRDefault="00B42EF3">
            <w:pPr>
              <w:pStyle w:val="TableBodyText"/>
            </w:pPr>
            <w:r>
              <w:t>0141</w:t>
            </w:r>
          </w:p>
        </w:tc>
      </w:tr>
      <w:tr w:rsidR="005F78FC" w:rsidTr="005F78FC">
        <w:tc>
          <w:tcPr>
            <w:tcW w:w="0" w:type="auto"/>
            <w:vAlign w:val="center"/>
          </w:tcPr>
          <w:p w:rsidR="005F78FC" w:rsidRDefault="00B42EF3">
            <w:pPr>
              <w:pStyle w:val="TableBodyText"/>
            </w:pPr>
            <w:r>
              <w:lastRenderedPageBreak/>
              <w:t>FormatBackground</w:t>
            </w:r>
          </w:p>
        </w:tc>
        <w:tc>
          <w:tcPr>
            <w:tcW w:w="0" w:type="auto"/>
            <w:vAlign w:val="center"/>
          </w:tcPr>
          <w:p w:rsidR="005F78FC" w:rsidRDefault="00B42EF3">
            <w:pPr>
              <w:pStyle w:val="TableBodyText"/>
            </w:pPr>
            <w:r>
              <w:t>0392</w:t>
            </w:r>
          </w:p>
        </w:tc>
      </w:tr>
      <w:tr w:rsidR="005F78FC" w:rsidTr="005F78FC">
        <w:tc>
          <w:tcPr>
            <w:tcW w:w="0" w:type="auto"/>
            <w:vAlign w:val="center"/>
          </w:tcPr>
          <w:p w:rsidR="005F78FC" w:rsidRDefault="00B42EF3">
            <w:pPr>
              <w:pStyle w:val="TableBodyText"/>
            </w:pPr>
            <w:r>
              <w:t>FormatBackgroundColor</w:t>
            </w:r>
          </w:p>
        </w:tc>
        <w:tc>
          <w:tcPr>
            <w:tcW w:w="0" w:type="auto"/>
            <w:vAlign w:val="center"/>
          </w:tcPr>
          <w:p w:rsidR="005F78FC" w:rsidRDefault="00B42EF3">
            <w:pPr>
              <w:pStyle w:val="TableBodyText"/>
            </w:pPr>
            <w:r>
              <w:t>08BD</w:t>
            </w:r>
          </w:p>
        </w:tc>
      </w:tr>
      <w:tr w:rsidR="005F78FC" w:rsidTr="005F78FC">
        <w:tc>
          <w:tcPr>
            <w:tcW w:w="0" w:type="auto"/>
            <w:vAlign w:val="center"/>
          </w:tcPr>
          <w:p w:rsidR="005F78FC" w:rsidRDefault="00B42EF3">
            <w:pPr>
              <w:pStyle w:val="TableBodyText"/>
            </w:pPr>
            <w:r>
              <w:t>FormatBackgroundFillEffect</w:t>
            </w:r>
          </w:p>
        </w:tc>
        <w:tc>
          <w:tcPr>
            <w:tcW w:w="0" w:type="auto"/>
            <w:vAlign w:val="center"/>
          </w:tcPr>
          <w:p w:rsidR="005F78FC" w:rsidRDefault="00B42EF3">
            <w:pPr>
              <w:pStyle w:val="TableBodyText"/>
            </w:pPr>
            <w:r>
              <w:t>03EE</w:t>
            </w:r>
          </w:p>
        </w:tc>
      </w:tr>
      <w:tr w:rsidR="005F78FC" w:rsidTr="005F78FC">
        <w:tc>
          <w:tcPr>
            <w:tcW w:w="0" w:type="auto"/>
            <w:vAlign w:val="center"/>
          </w:tcPr>
          <w:p w:rsidR="005F78FC" w:rsidRDefault="00B42EF3">
            <w:pPr>
              <w:pStyle w:val="TableBodyText"/>
            </w:pPr>
            <w:r>
              <w:t>FormatBackgroundMoreColors</w:t>
            </w:r>
          </w:p>
        </w:tc>
        <w:tc>
          <w:tcPr>
            <w:tcW w:w="0" w:type="auto"/>
            <w:vAlign w:val="center"/>
          </w:tcPr>
          <w:p w:rsidR="005F78FC" w:rsidRDefault="00B42EF3">
            <w:pPr>
              <w:pStyle w:val="TableBodyText"/>
            </w:pPr>
            <w:r>
              <w:t>03ED</w:t>
            </w:r>
          </w:p>
        </w:tc>
      </w:tr>
      <w:tr w:rsidR="005F78FC" w:rsidTr="005F78FC">
        <w:tc>
          <w:tcPr>
            <w:tcW w:w="0" w:type="auto"/>
            <w:vAlign w:val="center"/>
          </w:tcPr>
          <w:p w:rsidR="005F78FC" w:rsidRDefault="00B42EF3">
            <w:pPr>
              <w:pStyle w:val="TableBodyText"/>
            </w:pPr>
            <w:r>
              <w:t>FormatBackgroundNone</w:t>
            </w:r>
          </w:p>
        </w:tc>
        <w:tc>
          <w:tcPr>
            <w:tcW w:w="0" w:type="auto"/>
            <w:vAlign w:val="center"/>
          </w:tcPr>
          <w:p w:rsidR="005F78FC" w:rsidRDefault="00B42EF3">
            <w:pPr>
              <w:pStyle w:val="TableBodyText"/>
            </w:pPr>
            <w:r>
              <w:t>03EC</w:t>
            </w:r>
          </w:p>
        </w:tc>
      </w:tr>
      <w:tr w:rsidR="005F78FC" w:rsidTr="005F78FC">
        <w:tc>
          <w:tcPr>
            <w:tcW w:w="0" w:type="auto"/>
            <w:vAlign w:val="center"/>
          </w:tcPr>
          <w:p w:rsidR="005F78FC" w:rsidRDefault="00B42EF3">
            <w:pPr>
              <w:pStyle w:val="TableBodyText"/>
            </w:pPr>
            <w:r>
              <w:t>FormatBackgroundSwatch</w:t>
            </w:r>
          </w:p>
        </w:tc>
        <w:tc>
          <w:tcPr>
            <w:tcW w:w="0" w:type="auto"/>
            <w:vAlign w:val="center"/>
          </w:tcPr>
          <w:p w:rsidR="005F78FC" w:rsidRDefault="00B42EF3">
            <w:pPr>
              <w:pStyle w:val="TableBodyText"/>
            </w:pPr>
            <w:r>
              <w:t>03EB</w:t>
            </w:r>
          </w:p>
        </w:tc>
      </w:tr>
      <w:tr w:rsidR="005F78FC" w:rsidTr="005F78FC">
        <w:tc>
          <w:tcPr>
            <w:tcW w:w="0" w:type="auto"/>
            <w:vAlign w:val="center"/>
          </w:tcPr>
          <w:p w:rsidR="005F78FC" w:rsidRDefault="00B42EF3">
            <w:pPr>
              <w:pStyle w:val="TableBodyText"/>
            </w:pPr>
            <w:r>
              <w:t>FormatBackgroundWatermark</w:t>
            </w:r>
          </w:p>
        </w:tc>
        <w:tc>
          <w:tcPr>
            <w:tcW w:w="0" w:type="auto"/>
            <w:vAlign w:val="center"/>
          </w:tcPr>
          <w:p w:rsidR="005F78FC" w:rsidRDefault="00B42EF3">
            <w:pPr>
              <w:pStyle w:val="TableBodyText"/>
            </w:pPr>
            <w:r>
              <w:t>03B2</w:t>
            </w:r>
          </w:p>
        </w:tc>
      </w:tr>
      <w:tr w:rsidR="005F78FC" w:rsidTr="005F78FC">
        <w:tc>
          <w:tcPr>
            <w:tcW w:w="0" w:type="auto"/>
            <w:vAlign w:val="center"/>
          </w:tcPr>
          <w:p w:rsidR="005F78FC" w:rsidRDefault="00B42EF3">
            <w:pPr>
              <w:pStyle w:val="TableBodyText"/>
            </w:pPr>
            <w:r>
              <w:t>FormatBordersAndShading</w:t>
            </w:r>
          </w:p>
        </w:tc>
        <w:tc>
          <w:tcPr>
            <w:tcW w:w="0" w:type="auto"/>
            <w:vAlign w:val="center"/>
          </w:tcPr>
          <w:p w:rsidR="005F78FC" w:rsidRDefault="00B42EF3">
            <w:pPr>
              <w:pStyle w:val="TableBodyText"/>
            </w:pPr>
            <w:r>
              <w:t>00BD</w:t>
            </w:r>
          </w:p>
        </w:tc>
      </w:tr>
      <w:tr w:rsidR="005F78FC" w:rsidTr="005F78FC">
        <w:tc>
          <w:tcPr>
            <w:tcW w:w="0" w:type="auto"/>
            <w:vAlign w:val="center"/>
          </w:tcPr>
          <w:p w:rsidR="005F78FC" w:rsidRDefault="00B42EF3">
            <w:pPr>
              <w:pStyle w:val="TableBodyText"/>
            </w:pPr>
            <w:r>
              <w:t>FormatBullet</w:t>
            </w:r>
          </w:p>
        </w:tc>
        <w:tc>
          <w:tcPr>
            <w:tcW w:w="0" w:type="auto"/>
            <w:vAlign w:val="center"/>
          </w:tcPr>
          <w:p w:rsidR="005F78FC" w:rsidRDefault="00B42EF3">
            <w:pPr>
              <w:pStyle w:val="TableBodyText"/>
            </w:pPr>
            <w:r>
              <w:t>0185</w:t>
            </w:r>
          </w:p>
        </w:tc>
      </w:tr>
      <w:tr w:rsidR="005F78FC" w:rsidTr="005F78FC">
        <w:tc>
          <w:tcPr>
            <w:tcW w:w="0" w:type="auto"/>
            <w:vAlign w:val="center"/>
          </w:tcPr>
          <w:p w:rsidR="005F78FC" w:rsidRDefault="00B42EF3">
            <w:pPr>
              <w:pStyle w:val="TableBodyText"/>
            </w:pPr>
            <w:r>
              <w:t>FormatBulletDefault</w:t>
            </w:r>
          </w:p>
        </w:tc>
        <w:tc>
          <w:tcPr>
            <w:tcW w:w="0" w:type="auto"/>
            <w:vAlign w:val="center"/>
          </w:tcPr>
          <w:p w:rsidR="005F78FC" w:rsidRDefault="00B42EF3">
            <w:pPr>
              <w:pStyle w:val="TableBodyText"/>
            </w:pPr>
            <w:r>
              <w:t>018F</w:t>
            </w:r>
          </w:p>
        </w:tc>
      </w:tr>
      <w:tr w:rsidR="005F78FC" w:rsidTr="005F78FC">
        <w:tc>
          <w:tcPr>
            <w:tcW w:w="0" w:type="auto"/>
            <w:vAlign w:val="center"/>
          </w:tcPr>
          <w:p w:rsidR="005F78FC" w:rsidRDefault="00B42EF3">
            <w:pPr>
              <w:pStyle w:val="TableBodyText"/>
            </w:pPr>
            <w:r>
              <w:t>FormatBulletsAndNumbering</w:t>
            </w:r>
          </w:p>
        </w:tc>
        <w:tc>
          <w:tcPr>
            <w:tcW w:w="0" w:type="auto"/>
            <w:vAlign w:val="center"/>
          </w:tcPr>
          <w:p w:rsidR="005F78FC" w:rsidRDefault="00B42EF3">
            <w:pPr>
              <w:pStyle w:val="TableBodyText"/>
            </w:pPr>
            <w:r>
              <w:t>0338</w:t>
            </w:r>
          </w:p>
        </w:tc>
      </w:tr>
      <w:tr w:rsidR="005F78FC" w:rsidTr="005F78FC">
        <w:tc>
          <w:tcPr>
            <w:tcW w:w="0" w:type="auto"/>
            <w:vAlign w:val="center"/>
          </w:tcPr>
          <w:p w:rsidR="005F78FC" w:rsidRDefault="00B42EF3">
            <w:pPr>
              <w:pStyle w:val="TableBodyText"/>
            </w:pPr>
            <w:r>
              <w:t>FormatCallout</w:t>
            </w:r>
          </w:p>
        </w:tc>
        <w:tc>
          <w:tcPr>
            <w:tcW w:w="0" w:type="auto"/>
            <w:vAlign w:val="center"/>
          </w:tcPr>
          <w:p w:rsidR="005F78FC" w:rsidRDefault="00B42EF3">
            <w:pPr>
              <w:pStyle w:val="TableBodyText"/>
            </w:pPr>
            <w:r>
              <w:t>0262</w:t>
            </w:r>
          </w:p>
        </w:tc>
      </w:tr>
      <w:tr w:rsidR="005F78FC" w:rsidTr="005F78FC">
        <w:tc>
          <w:tcPr>
            <w:tcW w:w="0" w:type="auto"/>
            <w:vAlign w:val="center"/>
          </w:tcPr>
          <w:p w:rsidR="005F78FC" w:rsidRDefault="00B42EF3">
            <w:pPr>
              <w:pStyle w:val="TableBodyText"/>
            </w:pPr>
            <w:r>
              <w:t>FormatChangeCase</w:t>
            </w:r>
          </w:p>
        </w:tc>
        <w:tc>
          <w:tcPr>
            <w:tcW w:w="0" w:type="auto"/>
            <w:vAlign w:val="center"/>
          </w:tcPr>
          <w:p w:rsidR="005F78FC" w:rsidRDefault="00B42EF3">
            <w:pPr>
              <w:pStyle w:val="TableBodyText"/>
            </w:pPr>
            <w:r>
              <w:t>0142</w:t>
            </w:r>
          </w:p>
        </w:tc>
      </w:tr>
      <w:tr w:rsidR="005F78FC" w:rsidTr="005F78FC">
        <w:tc>
          <w:tcPr>
            <w:tcW w:w="0" w:type="auto"/>
            <w:vAlign w:val="center"/>
          </w:tcPr>
          <w:p w:rsidR="005F78FC" w:rsidRDefault="00B42EF3">
            <w:pPr>
              <w:pStyle w:val="TableBodyText"/>
            </w:pPr>
            <w:r>
              <w:t>FormatChangeCaseFareast</w:t>
            </w:r>
          </w:p>
        </w:tc>
        <w:tc>
          <w:tcPr>
            <w:tcW w:w="0" w:type="auto"/>
            <w:vAlign w:val="center"/>
          </w:tcPr>
          <w:p w:rsidR="005F78FC" w:rsidRDefault="00B42EF3">
            <w:pPr>
              <w:pStyle w:val="TableBodyText"/>
            </w:pPr>
            <w:r>
              <w:t>03D4</w:t>
            </w:r>
          </w:p>
        </w:tc>
      </w:tr>
      <w:tr w:rsidR="005F78FC" w:rsidTr="005F78FC">
        <w:tc>
          <w:tcPr>
            <w:tcW w:w="0" w:type="auto"/>
            <w:vAlign w:val="center"/>
          </w:tcPr>
          <w:p w:rsidR="005F78FC" w:rsidRDefault="00B42EF3">
            <w:pPr>
              <w:pStyle w:val="TableBodyText"/>
            </w:pPr>
            <w:r>
              <w:t>FormatColumns</w:t>
            </w:r>
          </w:p>
        </w:tc>
        <w:tc>
          <w:tcPr>
            <w:tcW w:w="0" w:type="auto"/>
            <w:vAlign w:val="center"/>
          </w:tcPr>
          <w:p w:rsidR="005F78FC" w:rsidRDefault="00B42EF3">
            <w:pPr>
              <w:pStyle w:val="TableBodyText"/>
            </w:pPr>
            <w:r>
              <w:t>00B1</w:t>
            </w:r>
          </w:p>
        </w:tc>
      </w:tr>
      <w:tr w:rsidR="005F78FC" w:rsidTr="005F78FC">
        <w:tc>
          <w:tcPr>
            <w:tcW w:w="0" w:type="auto"/>
            <w:vAlign w:val="center"/>
          </w:tcPr>
          <w:p w:rsidR="005F78FC" w:rsidRDefault="00B42EF3">
            <w:pPr>
              <w:pStyle w:val="TableBodyText"/>
            </w:pPr>
            <w:r>
              <w:t>FormatCombineCharacters</w:t>
            </w:r>
          </w:p>
        </w:tc>
        <w:tc>
          <w:tcPr>
            <w:tcW w:w="0" w:type="auto"/>
            <w:vAlign w:val="center"/>
          </w:tcPr>
          <w:p w:rsidR="005F78FC" w:rsidRDefault="00B42EF3">
            <w:pPr>
              <w:pStyle w:val="TableBodyText"/>
            </w:pPr>
            <w:r>
              <w:t>03DB</w:t>
            </w:r>
          </w:p>
        </w:tc>
      </w:tr>
      <w:tr w:rsidR="005F78FC" w:rsidTr="005F78FC">
        <w:tc>
          <w:tcPr>
            <w:tcW w:w="0" w:type="auto"/>
            <w:vAlign w:val="center"/>
          </w:tcPr>
          <w:p w:rsidR="005F78FC" w:rsidRDefault="00B42EF3">
            <w:pPr>
              <w:pStyle w:val="TableBodyText"/>
            </w:pPr>
            <w:r>
              <w:t>FormatConsistencyCheck</w:t>
            </w:r>
          </w:p>
        </w:tc>
        <w:tc>
          <w:tcPr>
            <w:tcW w:w="0" w:type="auto"/>
            <w:vAlign w:val="center"/>
          </w:tcPr>
          <w:p w:rsidR="005F78FC" w:rsidRDefault="00B42EF3">
            <w:pPr>
              <w:pStyle w:val="TableBodyText"/>
            </w:pPr>
            <w:r>
              <w:t>0562</w:t>
            </w:r>
          </w:p>
        </w:tc>
      </w:tr>
      <w:tr w:rsidR="005F78FC" w:rsidTr="005F78FC">
        <w:tc>
          <w:tcPr>
            <w:tcW w:w="0" w:type="auto"/>
            <w:vAlign w:val="center"/>
          </w:tcPr>
          <w:p w:rsidR="005F78FC" w:rsidRDefault="00B42EF3">
            <w:pPr>
              <w:pStyle w:val="TableBodyText"/>
            </w:pPr>
            <w:r>
              <w:t>FormatDefineStyleBorders</w:t>
            </w:r>
          </w:p>
        </w:tc>
        <w:tc>
          <w:tcPr>
            <w:tcW w:w="0" w:type="auto"/>
            <w:vAlign w:val="center"/>
          </w:tcPr>
          <w:p w:rsidR="005F78FC" w:rsidRDefault="00B42EF3">
            <w:pPr>
              <w:pStyle w:val="TableBodyText"/>
            </w:pPr>
            <w:r>
              <w:t>00B9</w:t>
            </w:r>
          </w:p>
        </w:tc>
      </w:tr>
      <w:tr w:rsidR="005F78FC" w:rsidTr="005F78FC">
        <w:tc>
          <w:tcPr>
            <w:tcW w:w="0" w:type="auto"/>
            <w:vAlign w:val="center"/>
          </w:tcPr>
          <w:p w:rsidR="005F78FC" w:rsidRDefault="00B42EF3">
            <w:pPr>
              <w:pStyle w:val="TableBodyText"/>
            </w:pPr>
            <w:r>
              <w:t>FormatDefineStyleFont</w:t>
            </w:r>
          </w:p>
        </w:tc>
        <w:tc>
          <w:tcPr>
            <w:tcW w:w="0" w:type="auto"/>
            <w:vAlign w:val="center"/>
          </w:tcPr>
          <w:p w:rsidR="005F78FC" w:rsidRDefault="00B42EF3">
            <w:pPr>
              <w:pStyle w:val="TableBodyText"/>
            </w:pPr>
            <w:r>
              <w:t>00B5</w:t>
            </w:r>
          </w:p>
        </w:tc>
      </w:tr>
      <w:tr w:rsidR="005F78FC" w:rsidTr="005F78FC">
        <w:tc>
          <w:tcPr>
            <w:tcW w:w="0" w:type="auto"/>
            <w:vAlign w:val="center"/>
          </w:tcPr>
          <w:p w:rsidR="005F78FC" w:rsidRDefault="00B42EF3">
            <w:pPr>
              <w:pStyle w:val="TableBodyText"/>
            </w:pPr>
            <w:r>
              <w:t>FormatDefineStyleFrame</w:t>
            </w:r>
          </w:p>
        </w:tc>
        <w:tc>
          <w:tcPr>
            <w:tcW w:w="0" w:type="auto"/>
            <w:vAlign w:val="center"/>
          </w:tcPr>
          <w:p w:rsidR="005F78FC" w:rsidRDefault="00B42EF3">
            <w:pPr>
              <w:pStyle w:val="TableBodyText"/>
            </w:pPr>
            <w:r>
              <w:t>00B8</w:t>
            </w:r>
          </w:p>
        </w:tc>
      </w:tr>
      <w:tr w:rsidR="005F78FC" w:rsidTr="005F78FC">
        <w:tc>
          <w:tcPr>
            <w:tcW w:w="0" w:type="auto"/>
            <w:vAlign w:val="center"/>
          </w:tcPr>
          <w:p w:rsidR="005F78FC" w:rsidRDefault="00B42EF3">
            <w:pPr>
              <w:pStyle w:val="TableBodyText"/>
            </w:pPr>
            <w:r>
              <w:t>FormatDefineStyleLang</w:t>
            </w:r>
          </w:p>
        </w:tc>
        <w:tc>
          <w:tcPr>
            <w:tcW w:w="0" w:type="auto"/>
            <w:vAlign w:val="center"/>
          </w:tcPr>
          <w:p w:rsidR="005F78FC" w:rsidRDefault="00B42EF3">
            <w:pPr>
              <w:pStyle w:val="TableBodyText"/>
            </w:pPr>
            <w:r>
              <w:t>00BA</w:t>
            </w:r>
          </w:p>
        </w:tc>
      </w:tr>
      <w:tr w:rsidR="005F78FC" w:rsidTr="005F78FC">
        <w:tc>
          <w:tcPr>
            <w:tcW w:w="0" w:type="auto"/>
            <w:vAlign w:val="center"/>
          </w:tcPr>
          <w:p w:rsidR="005F78FC" w:rsidRDefault="00B42EF3">
            <w:pPr>
              <w:pStyle w:val="TableBodyText"/>
            </w:pPr>
            <w:r>
              <w:t>FormatDefineStyleNumbers</w:t>
            </w:r>
          </w:p>
        </w:tc>
        <w:tc>
          <w:tcPr>
            <w:tcW w:w="0" w:type="auto"/>
            <w:vAlign w:val="center"/>
          </w:tcPr>
          <w:p w:rsidR="005F78FC" w:rsidRDefault="00B42EF3">
            <w:pPr>
              <w:pStyle w:val="TableBodyText"/>
            </w:pPr>
            <w:r>
              <w:t>025A</w:t>
            </w:r>
          </w:p>
        </w:tc>
      </w:tr>
      <w:tr w:rsidR="005F78FC" w:rsidTr="005F78FC">
        <w:tc>
          <w:tcPr>
            <w:tcW w:w="0" w:type="auto"/>
            <w:vAlign w:val="center"/>
          </w:tcPr>
          <w:p w:rsidR="005F78FC" w:rsidRDefault="00B42EF3">
            <w:pPr>
              <w:pStyle w:val="TableBodyText"/>
            </w:pPr>
            <w:r>
              <w:t>FormatDefineStylePara</w:t>
            </w:r>
          </w:p>
        </w:tc>
        <w:tc>
          <w:tcPr>
            <w:tcW w:w="0" w:type="auto"/>
            <w:vAlign w:val="center"/>
          </w:tcPr>
          <w:p w:rsidR="005F78FC" w:rsidRDefault="00B42EF3">
            <w:pPr>
              <w:pStyle w:val="TableBodyText"/>
            </w:pPr>
            <w:r>
              <w:t>00B6</w:t>
            </w:r>
          </w:p>
        </w:tc>
      </w:tr>
      <w:tr w:rsidR="005F78FC" w:rsidTr="005F78FC">
        <w:tc>
          <w:tcPr>
            <w:tcW w:w="0" w:type="auto"/>
            <w:vAlign w:val="center"/>
          </w:tcPr>
          <w:p w:rsidR="005F78FC" w:rsidRDefault="00B42EF3">
            <w:pPr>
              <w:pStyle w:val="TableBodyText"/>
            </w:pPr>
            <w:r>
              <w:t>FormatDefineStyleStripes</w:t>
            </w:r>
          </w:p>
        </w:tc>
        <w:tc>
          <w:tcPr>
            <w:tcW w:w="0" w:type="auto"/>
            <w:vAlign w:val="center"/>
          </w:tcPr>
          <w:p w:rsidR="005F78FC" w:rsidRDefault="00B42EF3">
            <w:pPr>
              <w:pStyle w:val="TableBodyText"/>
            </w:pPr>
            <w:r>
              <w:t>0503</w:t>
            </w:r>
          </w:p>
        </w:tc>
      </w:tr>
      <w:tr w:rsidR="005F78FC" w:rsidTr="005F78FC">
        <w:tc>
          <w:tcPr>
            <w:tcW w:w="0" w:type="auto"/>
            <w:vAlign w:val="center"/>
          </w:tcPr>
          <w:p w:rsidR="005F78FC" w:rsidRDefault="00B42EF3">
            <w:pPr>
              <w:pStyle w:val="TableBodyText"/>
            </w:pPr>
            <w:r>
              <w:t>FormatDefineStyleTable</w:t>
            </w:r>
          </w:p>
        </w:tc>
        <w:tc>
          <w:tcPr>
            <w:tcW w:w="0" w:type="auto"/>
            <w:vAlign w:val="center"/>
          </w:tcPr>
          <w:p w:rsidR="005F78FC" w:rsidRDefault="00B42EF3">
            <w:pPr>
              <w:pStyle w:val="TableBodyText"/>
            </w:pPr>
            <w:r>
              <w:t>0502</w:t>
            </w:r>
          </w:p>
        </w:tc>
      </w:tr>
      <w:tr w:rsidR="005F78FC" w:rsidTr="005F78FC">
        <w:tc>
          <w:tcPr>
            <w:tcW w:w="0" w:type="auto"/>
            <w:vAlign w:val="center"/>
          </w:tcPr>
          <w:p w:rsidR="005F78FC" w:rsidRDefault="00B42EF3">
            <w:pPr>
              <w:pStyle w:val="TableBodyText"/>
            </w:pPr>
            <w:r>
              <w:t>FormatDefineStyleTabs</w:t>
            </w:r>
          </w:p>
        </w:tc>
        <w:tc>
          <w:tcPr>
            <w:tcW w:w="0" w:type="auto"/>
            <w:vAlign w:val="center"/>
          </w:tcPr>
          <w:p w:rsidR="005F78FC" w:rsidRDefault="00B42EF3">
            <w:pPr>
              <w:pStyle w:val="TableBodyText"/>
            </w:pPr>
            <w:r>
              <w:t>00B7</w:t>
            </w:r>
          </w:p>
        </w:tc>
      </w:tr>
      <w:tr w:rsidR="005F78FC" w:rsidTr="005F78FC">
        <w:tc>
          <w:tcPr>
            <w:tcW w:w="0" w:type="auto"/>
            <w:vAlign w:val="center"/>
          </w:tcPr>
          <w:p w:rsidR="005F78FC" w:rsidRDefault="00B42EF3">
            <w:pPr>
              <w:pStyle w:val="TableBodyText"/>
            </w:pPr>
            <w:r>
              <w:t>FormatDrawingObject</w:t>
            </w:r>
          </w:p>
        </w:tc>
        <w:tc>
          <w:tcPr>
            <w:tcW w:w="0" w:type="auto"/>
            <w:vAlign w:val="center"/>
          </w:tcPr>
          <w:p w:rsidR="005F78FC" w:rsidRDefault="00B42EF3">
            <w:pPr>
              <w:pStyle w:val="TableBodyText"/>
            </w:pPr>
            <w:r>
              <w:t>03C0</w:t>
            </w:r>
          </w:p>
        </w:tc>
      </w:tr>
      <w:tr w:rsidR="005F78FC" w:rsidTr="005F78FC">
        <w:tc>
          <w:tcPr>
            <w:tcW w:w="0" w:type="auto"/>
            <w:vAlign w:val="center"/>
          </w:tcPr>
          <w:p w:rsidR="005F78FC" w:rsidRDefault="00B42EF3">
            <w:pPr>
              <w:pStyle w:val="TableBodyText"/>
            </w:pPr>
            <w:r>
              <w:t>FormatDrawingObjectWrapBehind</w:t>
            </w:r>
          </w:p>
        </w:tc>
        <w:tc>
          <w:tcPr>
            <w:tcW w:w="0" w:type="auto"/>
            <w:vAlign w:val="center"/>
          </w:tcPr>
          <w:p w:rsidR="005F78FC" w:rsidRDefault="00B42EF3">
            <w:pPr>
              <w:pStyle w:val="TableBodyText"/>
            </w:pPr>
            <w:r>
              <w:t>1010</w:t>
            </w:r>
          </w:p>
        </w:tc>
      </w:tr>
      <w:tr w:rsidR="005F78FC" w:rsidTr="005F78FC">
        <w:tc>
          <w:tcPr>
            <w:tcW w:w="0" w:type="auto"/>
            <w:vAlign w:val="center"/>
          </w:tcPr>
          <w:p w:rsidR="005F78FC" w:rsidRDefault="00B42EF3">
            <w:pPr>
              <w:pStyle w:val="TableBodyText"/>
            </w:pPr>
            <w:r>
              <w:t>FormatDrawingObjectWrapFront</w:t>
            </w:r>
          </w:p>
        </w:tc>
        <w:tc>
          <w:tcPr>
            <w:tcW w:w="0" w:type="auto"/>
            <w:vAlign w:val="center"/>
          </w:tcPr>
          <w:p w:rsidR="005F78FC" w:rsidRDefault="00B42EF3">
            <w:pPr>
              <w:pStyle w:val="TableBodyText"/>
            </w:pPr>
            <w:r>
              <w:t>100F</w:t>
            </w:r>
          </w:p>
        </w:tc>
      </w:tr>
      <w:tr w:rsidR="005F78FC" w:rsidTr="005F78FC">
        <w:tc>
          <w:tcPr>
            <w:tcW w:w="0" w:type="auto"/>
            <w:vAlign w:val="center"/>
          </w:tcPr>
          <w:p w:rsidR="005F78FC" w:rsidRDefault="00B42EF3">
            <w:pPr>
              <w:pStyle w:val="TableBodyText"/>
            </w:pPr>
            <w:r>
              <w:t>FormatDrawingObjectWrapInline</w:t>
            </w:r>
          </w:p>
        </w:tc>
        <w:tc>
          <w:tcPr>
            <w:tcW w:w="0" w:type="auto"/>
            <w:vAlign w:val="center"/>
          </w:tcPr>
          <w:p w:rsidR="005F78FC" w:rsidRDefault="00B42EF3">
            <w:pPr>
              <w:pStyle w:val="TableBodyText"/>
            </w:pPr>
            <w:r>
              <w:t>1011</w:t>
            </w:r>
          </w:p>
        </w:tc>
      </w:tr>
      <w:tr w:rsidR="005F78FC" w:rsidTr="005F78FC">
        <w:tc>
          <w:tcPr>
            <w:tcW w:w="0" w:type="auto"/>
            <w:vAlign w:val="center"/>
          </w:tcPr>
          <w:p w:rsidR="005F78FC" w:rsidRDefault="00B42EF3">
            <w:pPr>
              <w:pStyle w:val="TableBodyText"/>
            </w:pPr>
            <w:r>
              <w:t>FormatDrawingObjectWrapNone</w:t>
            </w:r>
          </w:p>
        </w:tc>
        <w:tc>
          <w:tcPr>
            <w:tcW w:w="0" w:type="auto"/>
            <w:vAlign w:val="center"/>
          </w:tcPr>
          <w:p w:rsidR="005F78FC" w:rsidRDefault="00B42EF3">
            <w:pPr>
              <w:pStyle w:val="TableBodyText"/>
            </w:pPr>
            <w:r>
              <w:t>0FFB</w:t>
            </w:r>
          </w:p>
        </w:tc>
      </w:tr>
      <w:tr w:rsidR="005F78FC" w:rsidTr="005F78FC">
        <w:tc>
          <w:tcPr>
            <w:tcW w:w="0" w:type="auto"/>
            <w:vAlign w:val="center"/>
          </w:tcPr>
          <w:p w:rsidR="005F78FC" w:rsidRDefault="00B42EF3">
            <w:pPr>
              <w:pStyle w:val="TableBodyText"/>
            </w:pPr>
            <w:r>
              <w:t>FormatDrawingObjectWrapSquare</w:t>
            </w:r>
          </w:p>
        </w:tc>
        <w:tc>
          <w:tcPr>
            <w:tcW w:w="0" w:type="auto"/>
            <w:vAlign w:val="center"/>
          </w:tcPr>
          <w:p w:rsidR="005F78FC" w:rsidRDefault="00B42EF3">
            <w:pPr>
              <w:pStyle w:val="TableBodyText"/>
            </w:pPr>
            <w:r>
              <w:t>0FF8</w:t>
            </w:r>
          </w:p>
        </w:tc>
      </w:tr>
      <w:tr w:rsidR="005F78FC" w:rsidTr="005F78FC">
        <w:tc>
          <w:tcPr>
            <w:tcW w:w="0" w:type="auto"/>
            <w:vAlign w:val="center"/>
          </w:tcPr>
          <w:p w:rsidR="005F78FC" w:rsidRDefault="00B42EF3">
            <w:pPr>
              <w:pStyle w:val="TableBodyText"/>
            </w:pPr>
            <w:r>
              <w:lastRenderedPageBreak/>
              <w:t>FormatDrawingObjectWrapThrough</w:t>
            </w:r>
          </w:p>
        </w:tc>
        <w:tc>
          <w:tcPr>
            <w:tcW w:w="0" w:type="auto"/>
            <w:vAlign w:val="center"/>
          </w:tcPr>
          <w:p w:rsidR="005F78FC" w:rsidRDefault="00B42EF3">
            <w:pPr>
              <w:pStyle w:val="TableBodyText"/>
            </w:pPr>
            <w:r>
              <w:t>0FFA</w:t>
            </w:r>
          </w:p>
        </w:tc>
      </w:tr>
      <w:tr w:rsidR="005F78FC" w:rsidTr="005F78FC">
        <w:tc>
          <w:tcPr>
            <w:tcW w:w="0" w:type="auto"/>
            <w:vAlign w:val="center"/>
          </w:tcPr>
          <w:p w:rsidR="005F78FC" w:rsidRDefault="00B42EF3">
            <w:pPr>
              <w:pStyle w:val="TableBodyText"/>
            </w:pPr>
            <w:r>
              <w:t>FormatDrawingObjectWrapTight</w:t>
            </w:r>
          </w:p>
        </w:tc>
        <w:tc>
          <w:tcPr>
            <w:tcW w:w="0" w:type="auto"/>
            <w:vAlign w:val="center"/>
          </w:tcPr>
          <w:p w:rsidR="005F78FC" w:rsidRDefault="00B42EF3">
            <w:pPr>
              <w:pStyle w:val="TableBodyText"/>
            </w:pPr>
            <w:r>
              <w:t>0FF9</w:t>
            </w:r>
          </w:p>
        </w:tc>
      </w:tr>
      <w:tr w:rsidR="005F78FC" w:rsidTr="005F78FC">
        <w:tc>
          <w:tcPr>
            <w:tcW w:w="0" w:type="auto"/>
            <w:vAlign w:val="center"/>
          </w:tcPr>
          <w:p w:rsidR="005F78FC" w:rsidRDefault="00B42EF3">
            <w:pPr>
              <w:pStyle w:val="TableBodyText"/>
            </w:pPr>
            <w:r>
              <w:t>FormatDrawingObjectWrapTopBottom</w:t>
            </w:r>
          </w:p>
        </w:tc>
        <w:tc>
          <w:tcPr>
            <w:tcW w:w="0" w:type="auto"/>
            <w:vAlign w:val="center"/>
          </w:tcPr>
          <w:p w:rsidR="005F78FC" w:rsidRDefault="00B42EF3">
            <w:pPr>
              <w:pStyle w:val="TableBodyText"/>
            </w:pPr>
            <w:r>
              <w:t>0FFC</w:t>
            </w:r>
          </w:p>
        </w:tc>
      </w:tr>
      <w:tr w:rsidR="005F78FC" w:rsidTr="005F78FC">
        <w:tc>
          <w:tcPr>
            <w:tcW w:w="0" w:type="auto"/>
            <w:vAlign w:val="center"/>
          </w:tcPr>
          <w:p w:rsidR="005F78FC" w:rsidRDefault="00B42EF3">
            <w:pPr>
              <w:pStyle w:val="TableBodyText"/>
            </w:pPr>
            <w:r>
              <w:t>FormatDropCap</w:t>
            </w:r>
          </w:p>
        </w:tc>
        <w:tc>
          <w:tcPr>
            <w:tcW w:w="0" w:type="auto"/>
            <w:vAlign w:val="center"/>
          </w:tcPr>
          <w:p w:rsidR="005F78FC" w:rsidRDefault="00B42EF3">
            <w:pPr>
              <w:pStyle w:val="TableBodyText"/>
            </w:pPr>
            <w:r>
              <w:t>01E8</w:t>
            </w:r>
          </w:p>
        </w:tc>
      </w:tr>
      <w:tr w:rsidR="005F78FC" w:rsidTr="005F78FC">
        <w:tc>
          <w:tcPr>
            <w:tcW w:w="0" w:type="auto"/>
            <w:vAlign w:val="center"/>
          </w:tcPr>
          <w:p w:rsidR="005F78FC" w:rsidRDefault="00B42EF3">
            <w:pPr>
              <w:pStyle w:val="TableBodyText"/>
            </w:pPr>
            <w:r>
              <w:t>FormatEncloseCharacters</w:t>
            </w:r>
          </w:p>
        </w:tc>
        <w:tc>
          <w:tcPr>
            <w:tcW w:w="0" w:type="auto"/>
            <w:vAlign w:val="center"/>
          </w:tcPr>
          <w:p w:rsidR="005F78FC" w:rsidRDefault="00B42EF3">
            <w:pPr>
              <w:pStyle w:val="TableBodyText"/>
            </w:pPr>
            <w:r>
              <w:t>048A</w:t>
            </w:r>
          </w:p>
        </w:tc>
      </w:tr>
      <w:tr w:rsidR="005F78FC" w:rsidTr="005F78FC">
        <w:tc>
          <w:tcPr>
            <w:tcW w:w="0" w:type="auto"/>
            <w:vAlign w:val="center"/>
          </w:tcPr>
          <w:p w:rsidR="005F78FC" w:rsidRDefault="00B42EF3">
            <w:pPr>
              <w:pStyle w:val="TableBodyText"/>
            </w:pPr>
            <w:r>
              <w:t>FormatField</w:t>
            </w:r>
          </w:p>
        </w:tc>
        <w:tc>
          <w:tcPr>
            <w:tcW w:w="0" w:type="auto"/>
            <w:vAlign w:val="center"/>
          </w:tcPr>
          <w:p w:rsidR="005F78FC" w:rsidRDefault="00B42EF3">
            <w:pPr>
              <w:pStyle w:val="TableBodyText"/>
            </w:pPr>
            <w:r>
              <w:t>053C</w:t>
            </w:r>
          </w:p>
        </w:tc>
      </w:tr>
      <w:tr w:rsidR="005F78FC" w:rsidTr="005F78FC">
        <w:tc>
          <w:tcPr>
            <w:tcW w:w="0" w:type="auto"/>
            <w:vAlign w:val="center"/>
          </w:tcPr>
          <w:p w:rsidR="005F78FC" w:rsidRDefault="00B42EF3">
            <w:pPr>
              <w:pStyle w:val="TableBodyText"/>
            </w:pPr>
            <w:r>
              <w:t>FormatFillColor</w:t>
            </w:r>
          </w:p>
        </w:tc>
        <w:tc>
          <w:tcPr>
            <w:tcW w:w="0" w:type="auto"/>
            <w:vAlign w:val="center"/>
          </w:tcPr>
          <w:p w:rsidR="005F78FC" w:rsidRDefault="00B42EF3">
            <w:pPr>
              <w:pStyle w:val="TableBodyText"/>
            </w:pPr>
            <w:r>
              <w:t>165C</w:t>
            </w:r>
          </w:p>
        </w:tc>
      </w:tr>
      <w:tr w:rsidR="005F78FC" w:rsidTr="005F78FC">
        <w:tc>
          <w:tcPr>
            <w:tcW w:w="0" w:type="auto"/>
            <w:vAlign w:val="center"/>
          </w:tcPr>
          <w:p w:rsidR="005F78FC" w:rsidRDefault="00B42EF3">
            <w:pPr>
              <w:pStyle w:val="TableBodyText"/>
            </w:pPr>
            <w:r>
              <w:t>FormatFitText</w:t>
            </w:r>
          </w:p>
        </w:tc>
        <w:tc>
          <w:tcPr>
            <w:tcW w:w="0" w:type="auto"/>
            <w:vAlign w:val="center"/>
          </w:tcPr>
          <w:p w:rsidR="005F78FC" w:rsidRDefault="00B42EF3">
            <w:pPr>
              <w:pStyle w:val="TableBodyText"/>
            </w:pPr>
            <w:r>
              <w:t>03D7</w:t>
            </w:r>
          </w:p>
        </w:tc>
      </w:tr>
      <w:tr w:rsidR="005F78FC" w:rsidTr="005F78FC">
        <w:tc>
          <w:tcPr>
            <w:tcW w:w="0" w:type="auto"/>
            <w:vAlign w:val="center"/>
          </w:tcPr>
          <w:p w:rsidR="005F78FC" w:rsidRDefault="00B42EF3">
            <w:pPr>
              <w:pStyle w:val="TableBodyText"/>
            </w:pPr>
            <w:r>
              <w:t>FormatFont</w:t>
            </w:r>
          </w:p>
        </w:tc>
        <w:tc>
          <w:tcPr>
            <w:tcW w:w="0" w:type="auto"/>
            <w:vAlign w:val="center"/>
          </w:tcPr>
          <w:p w:rsidR="005F78FC" w:rsidRDefault="00B42EF3">
            <w:pPr>
              <w:pStyle w:val="TableBodyText"/>
            </w:pPr>
            <w:r>
              <w:t>00AE</w:t>
            </w:r>
          </w:p>
        </w:tc>
      </w:tr>
      <w:tr w:rsidR="005F78FC" w:rsidTr="005F78FC">
        <w:tc>
          <w:tcPr>
            <w:tcW w:w="0" w:type="auto"/>
            <w:vAlign w:val="center"/>
          </w:tcPr>
          <w:p w:rsidR="005F78FC" w:rsidRDefault="00B42EF3">
            <w:pPr>
              <w:pStyle w:val="TableBodyText"/>
            </w:pPr>
            <w:r>
              <w:t>FormatFrame</w:t>
            </w:r>
          </w:p>
        </w:tc>
        <w:tc>
          <w:tcPr>
            <w:tcW w:w="0" w:type="auto"/>
            <w:vAlign w:val="center"/>
          </w:tcPr>
          <w:p w:rsidR="005F78FC" w:rsidRDefault="00B42EF3">
            <w:pPr>
              <w:pStyle w:val="TableBodyText"/>
            </w:pPr>
            <w:r>
              <w:t>00BE</w:t>
            </w:r>
          </w:p>
        </w:tc>
      </w:tr>
      <w:tr w:rsidR="005F78FC" w:rsidTr="005F78FC">
        <w:tc>
          <w:tcPr>
            <w:tcW w:w="0" w:type="auto"/>
            <w:vAlign w:val="center"/>
          </w:tcPr>
          <w:p w:rsidR="005F78FC" w:rsidRDefault="00B42EF3">
            <w:pPr>
              <w:pStyle w:val="TableBodyText"/>
            </w:pPr>
            <w:r>
              <w:t>FormatFrameOrFramePicture</w:t>
            </w:r>
          </w:p>
        </w:tc>
        <w:tc>
          <w:tcPr>
            <w:tcW w:w="0" w:type="auto"/>
            <w:vAlign w:val="center"/>
          </w:tcPr>
          <w:p w:rsidR="005F78FC" w:rsidRDefault="00B42EF3">
            <w:pPr>
              <w:pStyle w:val="TableBodyText"/>
            </w:pPr>
            <w:r>
              <w:t>015A</w:t>
            </w:r>
          </w:p>
        </w:tc>
      </w:tr>
      <w:tr w:rsidR="005F78FC" w:rsidTr="005F78FC">
        <w:tc>
          <w:tcPr>
            <w:tcW w:w="0" w:type="auto"/>
            <w:vAlign w:val="center"/>
          </w:tcPr>
          <w:p w:rsidR="005F78FC" w:rsidRDefault="00B42EF3">
            <w:pPr>
              <w:pStyle w:val="TableBodyText"/>
            </w:pPr>
            <w:r>
              <w:t>FormatHeaderFooterLink</w:t>
            </w:r>
          </w:p>
        </w:tc>
        <w:tc>
          <w:tcPr>
            <w:tcW w:w="0" w:type="auto"/>
            <w:vAlign w:val="center"/>
          </w:tcPr>
          <w:p w:rsidR="005F78FC" w:rsidRDefault="00B42EF3">
            <w:pPr>
              <w:pStyle w:val="TableBodyText"/>
            </w:pPr>
            <w:r>
              <w:t>00F2</w:t>
            </w:r>
          </w:p>
        </w:tc>
      </w:tr>
      <w:tr w:rsidR="005F78FC" w:rsidTr="005F78FC">
        <w:tc>
          <w:tcPr>
            <w:tcW w:w="0" w:type="auto"/>
            <w:vAlign w:val="center"/>
          </w:tcPr>
          <w:p w:rsidR="005F78FC" w:rsidRDefault="00B42EF3">
            <w:pPr>
              <w:pStyle w:val="TableBodyText"/>
            </w:pPr>
            <w:r>
              <w:t>FormatHeadingNumber</w:t>
            </w:r>
          </w:p>
        </w:tc>
        <w:tc>
          <w:tcPr>
            <w:tcW w:w="0" w:type="auto"/>
            <w:vAlign w:val="center"/>
          </w:tcPr>
          <w:p w:rsidR="005F78FC" w:rsidRDefault="00B42EF3">
            <w:pPr>
              <w:pStyle w:val="TableBodyText"/>
            </w:pPr>
            <w:r>
              <w:t>025E</w:t>
            </w:r>
          </w:p>
        </w:tc>
      </w:tr>
      <w:tr w:rsidR="005F78FC" w:rsidTr="005F78FC">
        <w:tc>
          <w:tcPr>
            <w:tcW w:w="0" w:type="auto"/>
            <w:vAlign w:val="center"/>
          </w:tcPr>
          <w:p w:rsidR="005F78FC" w:rsidRDefault="00B42EF3">
            <w:pPr>
              <w:pStyle w:val="TableBodyText"/>
            </w:pPr>
            <w:r>
              <w:t>FormatHeadingNumbering</w:t>
            </w:r>
          </w:p>
        </w:tc>
        <w:tc>
          <w:tcPr>
            <w:tcW w:w="0" w:type="auto"/>
            <w:vAlign w:val="center"/>
          </w:tcPr>
          <w:p w:rsidR="005F78FC" w:rsidRDefault="00B42EF3">
            <w:pPr>
              <w:pStyle w:val="TableBodyText"/>
            </w:pPr>
            <w:r>
              <w:t>025B</w:t>
            </w:r>
          </w:p>
        </w:tc>
      </w:tr>
      <w:tr w:rsidR="005F78FC" w:rsidTr="005F78FC">
        <w:tc>
          <w:tcPr>
            <w:tcW w:w="0" w:type="auto"/>
            <w:vAlign w:val="center"/>
          </w:tcPr>
          <w:p w:rsidR="005F78FC" w:rsidRDefault="00B42EF3">
            <w:pPr>
              <w:pStyle w:val="TableBodyText"/>
            </w:pPr>
            <w:r>
              <w:t>FormatHorizontalInVertical</w:t>
            </w:r>
          </w:p>
        </w:tc>
        <w:tc>
          <w:tcPr>
            <w:tcW w:w="0" w:type="auto"/>
            <w:vAlign w:val="center"/>
          </w:tcPr>
          <w:p w:rsidR="005F78FC" w:rsidRDefault="00B42EF3">
            <w:pPr>
              <w:pStyle w:val="TableBodyText"/>
            </w:pPr>
            <w:r>
              <w:t>0488</w:t>
            </w:r>
          </w:p>
        </w:tc>
      </w:tr>
      <w:tr w:rsidR="005F78FC" w:rsidTr="005F78FC">
        <w:tc>
          <w:tcPr>
            <w:tcW w:w="0" w:type="auto"/>
            <w:vAlign w:val="center"/>
          </w:tcPr>
          <w:p w:rsidR="005F78FC" w:rsidRDefault="00B42EF3">
            <w:pPr>
              <w:pStyle w:val="TableBodyText"/>
            </w:pPr>
            <w:r>
              <w:t>FormatInkAnnotColor</w:t>
            </w:r>
          </w:p>
        </w:tc>
        <w:tc>
          <w:tcPr>
            <w:tcW w:w="0" w:type="auto"/>
            <w:vAlign w:val="center"/>
          </w:tcPr>
          <w:p w:rsidR="005F78FC" w:rsidRDefault="00B42EF3">
            <w:pPr>
              <w:pStyle w:val="TableBodyText"/>
            </w:pPr>
            <w:r>
              <w:t>16BB</w:t>
            </w:r>
          </w:p>
        </w:tc>
      </w:tr>
      <w:tr w:rsidR="005F78FC" w:rsidTr="005F78FC">
        <w:tc>
          <w:tcPr>
            <w:tcW w:w="0" w:type="auto"/>
            <w:vAlign w:val="center"/>
          </w:tcPr>
          <w:p w:rsidR="005F78FC" w:rsidRDefault="00B42EF3">
            <w:pPr>
              <w:pStyle w:val="TableBodyText"/>
            </w:pPr>
            <w:r>
              <w:t>FormatInkColor</w:t>
            </w:r>
          </w:p>
        </w:tc>
        <w:tc>
          <w:tcPr>
            <w:tcW w:w="0" w:type="auto"/>
            <w:vAlign w:val="center"/>
          </w:tcPr>
          <w:p w:rsidR="005F78FC" w:rsidRDefault="00B42EF3">
            <w:pPr>
              <w:pStyle w:val="TableBodyText"/>
            </w:pPr>
            <w:r>
              <w:t>16B9</w:t>
            </w:r>
          </w:p>
        </w:tc>
      </w:tr>
      <w:tr w:rsidR="005F78FC" w:rsidTr="005F78FC">
        <w:tc>
          <w:tcPr>
            <w:tcW w:w="0" w:type="auto"/>
            <w:vAlign w:val="center"/>
          </w:tcPr>
          <w:p w:rsidR="005F78FC" w:rsidRDefault="00B42EF3">
            <w:pPr>
              <w:pStyle w:val="TableBodyText"/>
            </w:pPr>
            <w:r>
              <w:t>FormatLineColor</w:t>
            </w:r>
          </w:p>
        </w:tc>
        <w:tc>
          <w:tcPr>
            <w:tcW w:w="0" w:type="auto"/>
            <w:vAlign w:val="center"/>
          </w:tcPr>
          <w:p w:rsidR="005F78FC" w:rsidRDefault="00B42EF3">
            <w:pPr>
              <w:pStyle w:val="TableBodyText"/>
            </w:pPr>
            <w:r>
              <w:t>165D</w:t>
            </w:r>
          </w:p>
        </w:tc>
      </w:tr>
      <w:tr w:rsidR="005F78FC" w:rsidTr="005F78FC">
        <w:tc>
          <w:tcPr>
            <w:tcW w:w="0" w:type="auto"/>
            <w:vAlign w:val="center"/>
          </w:tcPr>
          <w:p w:rsidR="005F78FC" w:rsidRDefault="00B42EF3">
            <w:pPr>
              <w:pStyle w:val="TableBodyText"/>
            </w:pPr>
            <w:r>
              <w:t>FormatLineStyle</w:t>
            </w:r>
          </w:p>
        </w:tc>
        <w:tc>
          <w:tcPr>
            <w:tcW w:w="0" w:type="auto"/>
            <w:vAlign w:val="center"/>
          </w:tcPr>
          <w:p w:rsidR="005F78FC" w:rsidRDefault="00B42EF3">
            <w:pPr>
              <w:pStyle w:val="TableBodyText"/>
            </w:pPr>
            <w:r>
              <w:t>165F</w:t>
            </w:r>
          </w:p>
        </w:tc>
      </w:tr>
      <w:tr w:rsidR="005F78FC" w:rsidTr="005F78FC">
        <w:tc>
          <w:tcPr>
            <w:tcW w:w="0" w:type="auto"/>
            <w:vAlign w:val="center"/>
          </w:tcPr>
          <w:p w:rsidR="005F78FC" w:rsidRDefault="00B42EF3">
            <w:pPr>
              <w:pStyle w:val="TableBodyText"/>
            </w:pPr>
            <w:r>
              <w:t>FormatMultilevel</w:t>
            </w:r>
          </w:p>
        </w:tc>
        <w:tc>
          <w:tcPr>
            <w:tcW w:w="0" w:type="auto"/>
            <w:vAlign w:val="center"/>
          </w:tcPr>
          <w:p w:rsidR="005F78FC" w:rsidRDefault="00B42EF3">
            <w:pPr>
              <w:pStyle w:val="TableBodyText"/>
            </w:pPr>
            <w:r>
              <w:t>0187</w:t>
            </w:r>
          </w:p>
        </w:tc>
      </w:tr>
      <w:tr w:rsidR="005F78FC" w:rsidTr="005F78FC">
        <w:tc>
          <w:tcPr>
            <w:tcW w:w="0" w:type="auto"/>
            <w:vAlign w:val="center"/>
          </w:tcPr>
          <w:p w:rsidR="005F78FC" w:rsidRDefault="00B42EF3">
            <w:pPr>
              <w:pStyle w:val="TableBodyText"/>
            </w:pPr>
            <w:r>
              <w:t>FormatMultilevelDefault</w:t>
            </w:r>
          </w:p>
        </w:tc>
        <w:tc>
          <w:tcPr>
            <w:tcW w:w="0" w:type="auto"/>
            <w:vAlign w:val="center"/>
          </w:tcPr>
          <w:p w:rsidR="005F78FC" w:rsidRDefault="00B42EF3">
            <w:pPr>
              <w:pStyle w:val="TableBodyText"/>
            </w:pPr>
            <w:r>
              <w:t>03B7</w:t>
            </w:r>
          </w:p>
        </w:tc>
      </w:tr>
      <w:tr w:rsidR="005F78FC" w:rsidTr="005F78FC">
        <w:tc>
          <w:tcPr>
            <w:tcW w:w="0" w:type="auto"/>
            <w:vAlign w:val="center"/>
          </w:tcPr>
          <w:p w:rsidR="005F78FC" w:rsidRDefault="00B42EF3">
            <w:pPr>
              <w:pStyle w:val="TableBodyText"/>
            </w:pPr>
            <w:r>
              <w:t>FormatNumber</w:t>
            </w:r>
          </w:p>
        </w:tc>
        <w:tc>
          <w:tcPr>
            <w:tcW w:w="0" w:type="auto"/>
            <w:vAlign w:val="center"/>
          </w:tcPr>
          <w:p w:rsidR="005F78FC" w:rsidRDefault="00B42EF3">
            <w:pPr>
              <w:pStyle w:val="TableBodyText"/>
            </w:pPr>
            <w:r>
              <w:t>0186</w:t>
            </w:r>
          </w:p>
        </w:tc>
      </w:tr>
      <w:tr w:rsidR="005F78FC" w:rsidTr="005F78FC">
        <w:tc>
          <w:tcPr>
            <w:tcW w:w="0" w:type="auto"/>
            <w:vAlign w:val="center"/>
          </w:tcPr>
          <w:p w:rsidR="005F78FC" w:rsidRDefault="00B42EF3">
            <w:pPr>
              <w:pStyle w:val="TableBodyText"/>
            </w:pPr>
            <w:r>
              <w:t>FormatNumberDefault</w:t>
            </w:r>
          </w:p>
        </w:tc>
        <w:tc>
          <w:tcPr>
            <w:tcW w:w="0" w:type="auto"/>
            <w:vAlign w:val="center"/>
          </w:tcPr>
          <w:p w:rsidR="005F78FC" w:rsidRDefault="00B42EF3">
            <w:pPr>
              <w:pStyle w:val="TableBodyText"/>
            </w:pPr>
            <w:r>
              <w:t>03B6</w:t>
            </w:r>
          </w:p>
        </w:tc>
      </w:tr>
      <w:tr w:rsidR="005F78FC" w:rsidTr="005F78FC">
        <w:tc>
          <w:tcPr>
            <w:tcW w:w="0" w:type="auto"/>
            <w:vAlign w:val="center"/>
          </w:tcPr>
          <w:p w:rsidR="005F78FC" w:rsidRDefault="00B42EF3">
            <w:pPr>
              <w:pStyle w:val="TableBodyText"/>
            </w:pPr>
            <w:r>
              <w:t>FormatObjectCore</w:t>
            </w:r>
          </w:p>
        </w:tc>
        <w:tc>
          <w:tcPr>
            <w:tcW w:w="0" w:type="auto"/>
            <w:vAlign w:val="center"/>
          </w:tcPr>
          <w:p w:rsidR="005F78FC" w:rsidRDefault="00B42EF3">
            <w:pPr>
              <w:pStyle w:val="TableBodyText"/>
            </w:pPr>
            <w:r>
              <w:t>0396</w:t>
            </w:r>
          </w:p>
        </w:tc>
      </w:tr>
      <w:tr w:rsidR="005F78FC" w:rsidTr="005F78FC">
        <w:tc>
          <w:tcPr>
            <w:tcW w:w="0" w:type="auto"/>
            <w:vAlign w:val="center"/>
          </w:tcPr>
          <w:p w:rsidR="005F78FC" w:rsidRDefault="00B42EF3">
            <w:pPr>
              <w:pStyle w:val="TableBodyText"/>
            </w:pPr>
            <w:r>
              <w:t>FormatPageBordersAndShading</w:t>
            </w:r>
          </w:p>
        </w:tc>
        <w:tc>
          <w:tcPr>
            <w:tcW w:w="0" w:type="auto"/>
            <w:vAlign w:val="center"/>
          </w:tcPr>
          <w:p w:rsidR="005F78FC" w:rsidRDefault="00B42EF3">
            <w:pPr>
              <w:pStyle w:val="TableBodyText"/>
            </w:pPr>
            <w:r>
              <w:t>094B</w:t>
            </w:r>
          </w:p>
        </w:tc>
      </w:tr>
      <w:tr w:rsidR="005F78FC" w:rsidTr="005F78FC">
        <w:tc>
          <w:tcPr>
            <w:tcW w:w="0" w:type="auto"/>
            <w:vAlign w:val="center"/>
          </w:tcPr>
          <w:p w:rsidR="005F78FC" w:rsidRDefault="00B42EF3">
            <w:pPr>
              <w:pStyle w:val="TableBodyText"/>
            </w:pPr>
            <w:r>
              <w:t>FormatPageNumber</w:t>
            </w:r>
          </w:p>
        </w:tc>
        <w:tc>
          <w:tcPr>
            <w:tcW w:w="0" w:type="auto"/>
            <w:vAlign w:val="center"/>
          </w:tcPr>
          <w:p w:rsidR="005F78FC" w:rsidRDefault="00B42EF3">
            <w:pPr>
              <w:pStyle w:val="TableBodyText"/>
            </w:pPr>
            <w:r>
              <w:t>012A</w:t>
            </w:r>
          </w:p>
        </w:tc>
      </w:tr>
      <w:tr w:rsidR="005F78FC" w:rsidTr="005F78FC">
        <w:tc>
          <w:tcPr>
            <w:tcW w:w="0" w:type="auto"/>
            <w:vAlign w:val="center"/>
          </w:tcPr>
          <w:p w:rsidR="005F78FC" w:rsidRDefault="00B42EF3">
            <w:pPr>
              <w:pStyle w:val="TableBodyText"/>
            </w:pPr>
            <w:r>
              <w:t>FormatParagraph</w:t>
            </w:r>
          </w:p>
        </w:tc>
        <w:tc>
          <w:tcPr>
            <w:tcW w:w="0" w:type="auto"/>
            <w:vAlign w:val="center"/>
          </w:tcPr>
          <w:p w:rsidR="005F78FC" w:rsidRDefault="00B42EF3">
            <w:pPr>
              <w:pStyle w:val="TableBodyText"/>
            </w:pPr>
            <w:r>
              <w:t>00AF</w:t>
            </w:r>
          </w:p>
        </w:tc>
      </w:tr>
      <w:tr w:rsidR="005F78FC" w:rsidTr="005F78FC">
        <w:tc>
          <w:tcPr>
            <w:tcW w:w="0" w:type="auto"/>
            <w:vAlign w:val="center"/>
          </w:tcPr>
          <w:p w:rsidR="005F78FC" w:rsidRDefault="00B42EF3">
            <w:pPr>
              <w:pStyle w:val="TableBodyText"/>
            </w:pPr>
            <w:r>
              <w:t>FormatPhoneticGuide</w:t>
            </w:r>
          </w:p>
        </w:tc>
        <w:tc>
          <w:tcPr>
            <w:tcW w:w="0" w:type="auto"/>
            <w:vAlign w:val="center"/>
          </w:tcPr>
          <w:p w:rsidR="005F78FC" w:rsidRDefault="00B42EF3">
            <w:pPr>
              <w:pStyle w:val="TableBodyText"/>
            </w:pPr>
            <w:r>
              <w:t>03DA</w:t>
            </w:r>
          </w:p>
        </w:tc>
      </w:tr>
      <w:tr w:rsidR="005F78FC" w:rsidTr="005F78FC">
        <w:tc>
          <w:tcPr>
            <w:tcW w:w="0" w:type="auto"/>
            <w:vAlign w:val="center"/>
          </w:tcPr>
          <w:p w:rsidR="005F78FC" w:rsidRDefault="00B42EF3">
            <w:pPr>
              <w:pStyle w:val="TableBodyText"/>
            </w:pPr>
            <w:r>
              <w:t>FormatPicture</w:t>
            </w:r>
          </w:p>
        </w:tc>
        <w:tc>
          <w:tcPr>
            <w:tcW w:w="0" w:type="auto"/>
            <w:vAlign w:val="center"/>
          </w:tcPr>
          <w:p w:rsidR="005F78FC" w:rsidRDefault="00B42EF3">
            <w:pPr>
              <w:pStyle w:val="TableBodyText"/>
            </w:pPr>
            <w:r>
              <w:t>00BB</w:t>
            </w:r>
          </w:p>
        </w:tc>
      </w:tr>
      <w:tr w:rsidR="005F78FC" w:rsidTr="005F78FC">
        <w:tc>
          <w:tcPr>
            <w:tcW w:w="0" w:type="auto"/>
            <w:vAlign w:val="center"/>
          </w:tcPr>
          <w:p w:rsidR="005F78FC" w:rsidRDefault="00B42EF3">
            <w:pPr>
              <w:pStyle w:val="TableBodyText"/>
            </w:pPr>
            <w:r>
              <w:t>FormatRetAddrFonts</w:t>
            </w:r>
          </w:p>
        </w:tc>
        <w:tc>
          <w:tcPr>
            <w:tcW w:w="0" w:type="auto"/>
            <w:vAlign w:val="center"/>
          </w:tcPr>
          <w:p w:rsidR="005F78FC" w:rsidRDefault="00B42EF3">
            <w:pPr>
              <w:pStyle w:val="TableBodyText"/>
            </w:pPr>
            <w:r>
              <w:t>00DD</w:t>
            </w:r>
          </w:p>
        </w:tc>
      </w:tr>
      <w:tr w:rsidR="005F78FC" w:rsidTr="005F78FC">
        <w:tc>
          <w:tcPr>
            <w:tcW w:w="0" w:type="auto"/>
            <w:vAlign w:val="center"/>
          </w:tcPr>
          <w:p w:rsidR="005F78FC" w:rsidRDefault="00B42EF3">
            <w:pPr>
              <w:pStyle w:val="TableBodyText"/>
            </w:pPr>
            <w:r>
              <w:t>FormatSectionLayout</w:t>
            </w:r>
          </w:p>
        </w:tc>
        <w:tc>
          <w:tcPr>
            <w:tcW w:w="0" w:type="auto"/>
            <w:vAlign w:val="center"/>
          </w:tcPr>
          <w:p w:rsidR="005F78FC" w:rsidRDefault="00B42EF3">
            <w:pPr>
              <w:pStyle w:val="TableBodyText"/>
            </w:pPr>
            <w:r>
              <w:t>00B0</w:t>
            </w:r>
          </w:p>
        </w:tc>
      </w:tr>
      <w:tr w:rsidR="005F78FC" w:rsidTr="005F78FC">
        <w:tc>
          <w:tcPr>
            <w:tcW w:w="0" w:type="auto"/>
            <w:vAlign w:val="center"/>
          </w:tcPr>
          <w:p w:rsidR="005F78FC" w:rsidRDefault="00B42EF3">
            <w:pPr>
              <w:pStyle w:val="TableBodyText"/>
            </w:pPr>
            <w:r>
              <w:t>FormatSimpleNumberDefault</w:t>
            </w:r>
          </w:p>
        </w:tc>
        <w:tc>
          <w:tcPr>
            <w:tcW w:w="0" w:type="auto"/>
            <w:vAlign w:val="center"/>
          </w:tcPr>
          <w:p w:rsidR="005F78FC" w:rsidRDefault="00B42EF3">
            <w:pPr>
              <w:pStyle w:val="TableBodyText"/>
            </w:pPr>
            <w:r>
              <w:t>018E</w:t>
            </w:r>
          </w:p>
        </w:tc>
      </w:tr>
      <w:tr w:rsidR="005F78FC" w:rsidTr="005F78FC">
        <w:tc>
          <w:tcPr>
            <w:tcW w:w="0" w:type="auto"/>
            <w:vAlign w:val="center"/>
          </w:tcPr>
          <w:p w:rsidR="005F78FC" w:rsidRDefault="00B42EF3">
            <w:pPr>
              <w:pStyle w:val="TableBodyText"/>
            </w:pPr>
            <w:r>
              <w:lastRenderedPageBreak/>
              <w:t>FormatStyle</w:t>
            </w:r>
          </w:p>
        </w:tc>
        <w:tc>
          <w:tcPr>
            <w:tcW w:w="0" w:type="auto"/>
            <w:vAlign w:val="center"/>
          </w:tcPr>
          <w:p w:rsidR="005F78FC" w:rsidRDefault="00B42EF3">
            <w:pPr>
              <w:pStyle w:val="TableBodyText"/>
            </w:pPr>
            <w:r>
              <w:t>00B4</w:t>
            </w:r>
          </w:p>
        </w:tc>
      </w:tr>
      <w:tr w:rsidR="005F78FC" w:rsidTr="005F78FC">
        <w:tc>
          <w:tcPr>
            <w:tcW w:w="0" w:type="auto"/>
            <w:vAlign w:val="center"/>
          </w:tcPr>
          <w:p w:rsidR="005F78FC" w:rsidRDefault="00B42EF3">
            <w:pPr>
              <w:pStyle w:val="TableBodyText"/>
            </w:pPr>
            <w:r>
              <w:t>FormatStyleByExample</w:t>
            </w:r>
          </w:p>
        </w:tc>
        <w:tc>
          <w:tcPr>
            <w:tcW w:w="0" w:type="auto"/>
            <w:vAlign w:val="center"/>
          </w:tcPr>
          <w:p w:rsidR="005F78FC" w:rsidRDefault="00B42EF3">
            <w:pPr>
              <w:pStyle w:val="TableBodyText"/>
            </w:pPr>
            <w:r>
              <w:t>0544</w:t>
            </w:r>
          </w:p>
        </w:tc>
      </w:tr>
      <w:tr w:rsidR="005F78FC" w:rsidTr="005F78FC">
        <w:tc>
          <w:tcPr>
            <w:tcW w:w="0" w:type="auto"/>
            <w:vAlign w:val="center"/>
          </w:tcPr>
          <w:p w:rsidR="005F78FC" w:rsidRDefault="00B42EF3">
            <w:pPr>
              <w:pStyle w:val="TableBodyText"/>
            </w:pPr>
            <w:r>
              <w:t>FormatStyleGallery</w:t>
            </w:r>
          </w:p>
        </w:tc>
        <w:tc>
          <w:tcPr>
            <w:tcW w:w="0" w:type="auto"/>
            <w:vAlign w:val="center"/>
          </w:tcPr>
          <w:p w:rsidR="005F78FC" w:rsidRDefault="00B42EF3">
            <w:pPr>
              <w:pStyle w:val="TableBodyText"/>
            </w:pPr>
            <w:r>
              <w:t>01F9</w:t>
            </w:r>
          </w:p>
        </w:tc>
      </w:tr>
      <w:tr w:rsidR="005F78FC" w:rsidTr="005F78FC">
        <w:tc>
          <w:tcPr>
            <w:tcW w:w="0" w:type="auto"/>
            <w:vAlign w:val="center"/>
          </w:tcPr>
          <w:p w:rsidR="005F78FC" w:rsidRDefault="00B42EF3">
            <w:pPr>
              <w:pStyle w:val="TableBodyText"/>
            </w:pPr>
            <w:r>
              <w:t>FormatStyleManagement</w:t>
            </w:r>
          </w:p>
        </w:tc>
        <w:tc>
          <w:tcPr>
            <w:tcW w:w="0" w:type="auto"/>
            <w:vAlign w:val="center"/>
          </w:tcPr>
          <w:p w:rsidR="005F78FC" w:rsidRDefault="00B42EF3">
            <w:pPr>
              <w:pStyle w:val="TableBodyText"/>
            </w:pPr>
            <w:r>
              <w:t>079C</w:t>
            </w:r>
          </w:p>
        </w:tc>
      </w:tr>
      <w:tr w:rsidR="005F78FC" w:rsidTr="005F78FC">
        <w:tc>
          <w:tcPr>
            <w:tcW w:w="0" w:type="auto"/>
            <w:vAlign w:val="center"/>
          </w:tcPr>
          <w:p w:rsidR="005F78FC" w:rsidRDefault="00B42EF3">
            <w:pPr>
              <w:pStyle w:val="TableBodyText"/>
            </w:pPr>
            <w:r>
              <w:t>FormatStyleModify</w:t>
            </w:r>
          </w:p>
        </w:tc>
        <w:tc>
          <w:tcPr>
            <w:tcW w:w="0" w:type="auto"/>
            <w:vAlign w:val="center"/>
          </w:tcPr>
          <w:p w:rsidR="005F78FC" w:rsidRDefault="00B42EF3">
            <w:pPr>
              <w:pStyle w:val="TableBodyText"/>
            </w:pPr>
            <w:r>
              <w:t>0543</w:t>
            </w:r>
          </w:p>
        </w:tc>
      </w:tr>
      <w:tr w:rsidR="005F78FC" w:rsidTr="005F78FC">
        <w:tc>
          <w:tcPr>
            <w:tcW w:w="0" w:type="auto"/>
            <w:vAlign w:val="center"/>
          </w:tcPr>
          <w:p w:rsidR="005F78FC" w:rsidRDefault="00B42EF3">
            <w:pPr>
              <w:pStyle w:val="TableBodyText"/>
            </w:pPr>
            <w:r>
              <w:t>FormatStyleVisibility</w:t>
            </w:r>
          </w:p>
        </w:tc>
        <w:tc>
          <w:tcPr>
            <w:tcW w:w="0" w:type="auto"/>
            <w:vAlign w:val="center"/>
          </w:tcPr>
          <w:p w:rsidR="005F78FC" w:rsidRDefault="00B42EF3">
            <w:pPr>
              <w:pStyle w:val="TableBodyText"/>
            </w:pPr>
            <w:r>
              <w:t>04E0</w:t>
            </w:r>
          </w:p>
        </w:tc>
      </w:tr>
      <w:tr w:rsidR="005F78FC" w:rsidTr="005F78FC">
        <w:tc>
          <w:tcPr>
            <w:tcW w:w="0" w:type="auto"/>
            <w:vAlign w:val="center"/>
          </w:tcPr>
          <w:p w:rsidR="005F78FC" w:rsidRDefault="00B42EF3">
            <w:pPr>
              <w:pStyle w:val="TableBodyText"/>
            </w:pPr>
            <w:r>
              <w:t>FormatTabs</w:t>
            </w:r>
          </w:p>
        </w:tc>
        <w:tc>
          <w:tcPr>
            <w:tcW w:w="0" w:type="auto"/>
            <w:vAlign w:val="center"/>
          </w:tcPr>
          <w:p w:rsidR="005F78FC" w:rsidRDefault="00B42EF3">
            <w:pPr>
              <w:pStyle w:val="TableBodyText"/>
            </w:pPr>
            <w:r>
              <w:t>00B3</w:t>
            </w:r>
          </w:p>
        </w:tc>
      </w:tr>
      <w:tr w:rsidR="005F78FC" w:rsidTr="005F78FC">
        <w:tc>
          <w:tcPr>
            <w:tcW w:w="0" w:type="auto"/>
            <w:vAlign w:val="center"/>
          </w:tcPr>
          <w:p w:rsidR="005F78FC" w:rsidRDefault="00B42EF3">
            <w:pPr>
              <w:pStyle w:val="TableBodyText"/>
            </w:pPr>
            <w:r>
              <w:t>FormatTextFlow</w:t>
            </w:r>
          </w:p>
        </w:tc>
        <w:tc>
          <w:tcPr>
            <w:tcW w:w="0" w:type="auto"/>
            <w:vAlign w:val="center"/>
          </w:tcPr>
          <w:p w:rsidR="005F78FC" w:rsidRDefault="00B42EF3">
            <w:pPr>
              <w:pStyle w:val="TableBodyText"/>
            </w:pPr>
            <w:r>
              <w:t>0234</w:t>
            </w:r>
          </w:p>
        </w:tc>
      </w:tr>
      <w:tr w:rsidR="005F78FC" w:rsidTr="005F78FC">
        <w:tc>
          <w:tcPr>
            <w:tcW w:w="0" w:type="auto"/>
            <w:vAlign w:val="center"/>
          </w:tcPr>
          <w:p w:rsidR="005F78FC" w:rsidRDefault="00B42EF3">
            <w:pPr>
              <w:pStyle w:val="TableBodyText"/>
            </w:pPr>
            <w:r>
              <w:t>FormatTheme</w:t>
            </w:r>
          </w:p>
        </w:tc>
        <w:tc>
          <w:tcPr>
            <w:tcW w:w="0" w:type="auto"/>
            <w:vAlign w:val="center"/>
          </w:tcPr>
          <w:p w:rsidR="005F78FC" w:rsidRDefault="00B42EF3">
            <w:pPr>
              <w:pStyle w:val="TableBodyText"/>
            </w:pPr>
            <w:r>
              <w:t>0357</w:t>
            </w:r>
          </w:p>
        </w:tc>
      </w:tr>
      <w:tr w:rsidR="005F78FC" w:rsidTr="005F78FC">
        <w:tc>
          <w:tcPr>
            <w:tcW w:w="0" w:type="auto"/>
            <w:vAlign w:val="center"/>
          </w:tcPr>
          <w:p w:rsidR="005F78FC" w:rsidRDefault="00B42EF3">
            <w:pPr>
              <w:pStyle w:val="TableBodyText"/>
            </w:pPr>
            <w:r>
              <w:t>FormatThemeName</w:t>
            </w:r>
          </w:p>
        </w:tc>
        <w:tc>
          <w:tcPr>
            <w:tcW w:w="0" w:type="auto"/>
            <w:vAlign w:val="center"/>
          </w:tcPr>
          <w:p w:rsidR="005F78FC" w:rsidRDefault="00B42EF3">
            <w:pPr>
              <w:pStyle w:val="TableBodyText"/>
            </w:pPr>
            <w:r>
              <w:t>045A</w:t>
            </w:r>
          </w:p>
        </w:tc>
      </w:tr>
      <w:tr w:rsidR="005F78FC" w:rsidTr="005F78FC">
        <w:tc>
          <w:tcPr>
            <w:tcW w:w="0" w:type="auto"/>
            <w:vAlign w:val="center"/>
          </w:tcPr>
          <w:p w:rsidR="005F78FC" w:rsidRDefault="00B42EF3">
            <w:pPr>
              <w:pStyle w:val="TableBodyText"/>
            </w:pPr>
            <w:r>
              <w:t>FormatTwoLinesInOne</w:t>
            </w:r>
          </w:p>
        </w:tc>
        <w:tc>
          <w:tcPr>
            <w:tcW w:w="0" w:type="auto"/>
            <w:vAlign w:val="center"/>
          </w:tcPr>
          <w:p w:rsidR="005F78FC" w:rsidRDefault="00B42EF3">
            <w:pPr>
              <w:pStyle w:val="TableBodyText"/>
            </w:pPr>
            <w:r>
              <w:t>0489</w:t>
            </w:r>
          </w:p>
        </w:tc>
      </w:tr>
      <w:tr w:rsidR="005F78FC" w:rsidTr="005F78FC">
        <w:tc>
          <w:tcPr>
            <w:tcW w:w="0" w:type="auto"/>
            <w:vAlign w:val="center"/>
          </w:tcPr>
          <w:p w:rsidR="005F78FC" w:rsidRDefault="00B42EF3">
            <w:pPr>
              <w:pStyle w:val="TableBodyText"/>
            </w:pPr>
            <w:r>
              <w:t>FormattingPane</w:t>
            </w:r>
          </w:p>
        </w:tc>
        <w:tc>
          <w:tcPr>
            <w:tcW w:w="0" w:type="auto"/>
            <w:vAlign w:val="center"/>
          </w:tcPr>
          <w:p w:rsidR="005F78FC" w:rsidRDefault="00B42EF3">
            <w:pPr>
              <w:pStyle w:val="TableBodyText"/>
            </w:pPr>
            <w:r>
              <w:t>0554</w:t>
            </w:r>
          </w:p>
        </w:tc>
      </w:tr>
      <w:tr w:rsidR="005F78FC" w:rsidTr="005F78FC">
        <w:tc>
          <w:tcPr>
            <w:tcW w:w="0" w:type="auto"/>
            <w:vAlign w:val="center"/>
          </w:tcPr>
          <w:p w:rsidR="005F78FC" w:rsidRDefault="00B42EF3">
            <w:pPr>
              <w:pStyle w:val="TableBodyText"/>
            </w:pPr>
            <w:r>
              <w:t>FormattingPaneCurrent</w:t>
            </w:r>
          </w:p>
        </w:tc>
        <w:tc>
          <w:tcPr>
            <w:tcW w:w="0" w:type="auto"/>
            <w:vAlign w:val="center"/>
          </w:tcPr>
          <w:p w:rsidR="005F78FC" w:rsidRDefault="00B42EF3">
            <w:pPr>
              <w:pStyle w:val="TableBodyText"/>
            </w:pPr>
            <w:r>
              <w:t>079F</w:t>
            </w:r>
          </w:p>
        </w:tc>
      </w:tr>
      <w:tr w:rsidR="005F78FC" w:rsidTr="005F78FC">
        <w:tc>
          <w:tcPr>
            <w:tcW w:w="0" w:type="auto"/>
            <w:vAlign w:val="center"/>
          </w:tcPr>
          <w:p w:rsidR="005F78FC" w:rsidRDefault="00B42EF3">
            <w:pPr>
              <w:pStyle w:val="TableBodyText"/>
            </w:pPr>
            <w:r>
              <w:t>FormattingProperties</w:t>
            </w:r>
          </w:p>
        </w:tc>
        <w:tc>
          <w:tcPr>
            <w:tcW w:w="0" w:type="auto"/>
            <w:vAlign w:val="center"/>
          </w:tcPr>
          <w:p w:rsidR="005F78FC" w:rsidRDefault="00B42EF3">
            <w:pPr>
              <w:pStyle w:val="TableBodyText"/>
            </w:pPr>
            <w:r>
              <w:t>0426</w:t>
            </w:r>
          </w:p>
        </w:tc>
      </w:tr>
      <w:tr w:rsidR="005F78FC" w:rsidTr="005F78FC">
        <w:tc>
          <w:tcPr>
            <w:tcW w:w="0" w:type="auto"/>
            <w:vAlign w:val="center"/>
          </w:tcPr>
          <w:p w:rsidR="005F78FC" w:rsidRDefault="00B42EF3">
            <w:pPr>
              <w:pStyle w:val="TableBodyText"/>
            </w:pPr>
            <w:r>
              <w:t>FormattingRestrictions</w:t>
            </w:r>
          </w:p>
        </w:tc>
        <w:tc>
          <w:tcPr>
            <w:tcW w:w="0" w:type="auto"/>
            <w:vAlign w:val="center"/>
          </w:tcPr>
          <w:p w:rsidR="005F78FC" w:rsidRDefault="00B42EF3">
            <w:pPr>
              <w:pStyle w:val="TableBodyText"/>
            </w:pPr>
            <w:r>
              <w:t>0593</w:t>
            </w:r>
          </w:p>
        </w:tc>
      </w:tr>
      <w:tr w:rsidR="005F78FC" w:rsidTr="005F78FC">
        <w:tc>
          <w:tcPr>
            <w:tcW w:w="0" w:type="auto"/>
            <w:vAlign w:val="center"/>
          </w:tcPr>
          <w:p w:rsidR="005F78FC" w:rsidRDefault="00B42EF3">
            <w:pPr>
              <w:pStyle w:val="TableBodyText"/>
            </w:pPr>
            <w:r>
              <w:t>ForwardHistoryItem</w:t>
            </w:r>
          </w:p>
        </w:tc>
        <w:tc>
          <w:tcPr>
            <w:tcW w:w="0" w:type="auto"/>
            <w:vAlign w:val="center"/>
          </w:tcPr>
          <w:p w:rsidR="005F78FC" w:rsidRDefault="00B42EF3">
            <w:pPr>
              <w:pStyle w:val="TableBodyText"/>
            </w:pPr>
            <w:r>
              <w:t>05CF</w:t>
            </w:r>
          </w:p>
        </w:tc>
      </w:tr>
      <w:tr w:rsidR="005F78FC" w:rsidTr="005F78FC">
        <w:tc>
          <w:tcPr>
            <w:tcW w:w="0" w:type="auto"/>
            <w:vAlign w:val="center"/>
          </w:tcPr>
          <w:p w:rsidR="005F78FC" w:rsidRDefault="00B42EF3">
            <w:pPr>
              <w:pStyle w:val="TableBodyText"/>
            </w:pPr>
            <w:r>
              <w:t>FrameProperties</w:t>
            </w:r>
          </w:p>
        </w:tc>
        <w:tc>
          <w:tcPr>
            <w:tcW w:w="0" w:type="auto"/>
            <w:vAlign w:val="center"/>
          </w:tcPr>
          <w:p w:rsidR="005F78FC" w:rsidRDefault="00B42EF3">
            <w:pPr>
              <w:pStyle w:val="TableBodyText"/>
            </w:pPr>
            <w:r>
              <w:t>0432</w:t>
            </w:r>
          </w:p>
        </w:tc>
      </w:tr>
      <w:tr w:rsidR="005F78FC" w:rsidTr="005F78FC">
        <w:tc>
          <w:tcPr>
            <w:tcW w:w="0" w:type="auto"/>
            <w:vAlign w:val="center"/>
          </w:tcPr>
          <w:p w:rsidR="005F78FC" w:rsidRDefault="00B42EF3">
            <w:pPr>
              <w:pStyle w:val="TableBodyText"/>
            </w:pPr>
            <w:r>
              <w:t>FrameRemoveSplit</w:t>
            </w:r>
          </w:p>
        </w:tc>
        <w:tc>
          <w:tcPr>
            <w:tcW w:w="0" w:type="auto"/>
            <w:vAlign w:val="center"/>
          </w:tcPr>
          <w:p w:rsidR="005F78FC" w:rsidRDefault="00B42EF3">
            <w:pPr>
              <w:pStyle w:val="TableBodyText"/>
            </w:pPr>
            <w:r>
              <w:t>0431</w:t>
            </w:r>
          </w:p>
        </w:tc>
      </w:tr>
      <w:tr w:rsidR="005F78FC" w:rsidTr="005F78FC">
        <w:tc>
          <w:tcPr>
            <w:tcW w:w="0" w:type="auto"/>
            <w:vAlign w:val="center"/>
          </w:tcPr>
          <w:p w:rsidR="005F78FC" w:rsidRDefault="00B42EF3">
            <w:pPr>
              <w:pStyle w:val="TableBodyText"/>
            </w:pPr>
            <w:r>
              <w:t>FrameSplitAbove</w:t>
            </w:r>
          </w:p>
        </w:tc>
        <w:tc>
          <w:tcPr>
            <w:tcW w:w="0" w:type="auto"/>
            <w:vAlign w:val="center"/>
          </w:tcPr>
          <w:p w:rsidR="005F78FC" w:rsidRDefault="00B42EF3">
            <w:pPr>
              <w:pStyle w:val="TableBodyText"/>
            </w:pPr>
            <w:r>
              <w:t>042D</w:t>
            </w:r>
          </w:p>
        </w:tc>
      </w:tr>
      <w:tr w:rsidR="005F78FC" w:rsidTr="005F78FC">
        <w:tc>
          <w:tcPr>
            <w:tcW w:w="0" w:type="auto"/>
            <w:vAlign w:val="center"/>
          </w:tcPr>
          <w:p w:rsidR="005F78FC" w:rsidRDefault="00B42EF3">
            <w:pPr>
              <w:pStyle w:val="TableBodyText"/>
            </w:pPr>
            <w:r>
              <w:t>FrameSplitBelow</w:t>
            </w:r>
          </w:p>
        </w:tc>
        <w:tc>
          <w:tcPr>
            <w:tcW w:w="0" w:type="auto"/>
            <w:vAlign w:val="center"/>
          </w:tcPr>
          <w:p w:rsidR="005F78FC" w:rsidRDefault="00B42EF3">
            <w:pPr>
              <w:pStyle w:val="TableBodyText"/>
            </w:pPr>
            <w:r>
              <w:t>042E</w:t>
            </w:r>
          </w:p>
        </w:tc>
      </w:tr>
      <w:tr w:rsidR="005F78FC" w:rsidTr="005F78FC">
        <w:tc>
          <w:tcPr>
            <w:tcW w:w="0" w:type="auto"/>
            <w:vAlign w:val="center"/>
          </w:tcPr>
          <w:p w:rsidR="005F78FC" w:rsidRDefault="00B42EF3">
            <w:pPr>
              <w:pStyle w:val="TableBodyText"/>
            </w:pPr>
            <w:r>
              <w:t>FrameSplitLeft</w:t>
            </w:r>
          </w:p>
        </w:tc>
        <w:tc>
          <w:tcPr>
            <w:tcW w:w="0" w:type="auto"/>
            <w:vAlign w:val="center"/>
          </w:tcPr>
          <w:p w:rsidR="005F78FC" w:rsidRDefault="00B42EF3">
            <w:pPr>
              <w:pStyle w:val="TableBodyText"/>
            </w:pPr>
            <w:r>
              <w:t>042F</w:t>
            </w:r>
          </w:p>
        </w:tc>
      </w:tr>
      <w:tr w:rsidR="005F78FC" w:rsidTr="005F78FC">
        <w:tc>
          <w:tcPr>
            <w:tcW w:w="0" w:type="auto"/>
            <w:vAlign w:val="center"/>
          </w:tcPr>
          <w:p w:rsidR="005F78FC" w:rsidRDefault="00B42EF3">
            <w:pPr>
              <w:pStyle w:val="TableBodyText"/>
            </w:pPr>
            <w:r>
              <w:t>FrameSplitRight</w:t>
            </w:r>
          </w:p>
        </w:tc>
        <w:tc>
          <w:tcPr>
            <w:tcW w:w="0" w:type="auto"/>
            <w:vAlign w:val="center"/>
          </w:tcPr>
          <w:p w:rsidR="005F78FC" w:rsidRDefault="00B42EF3">
            <w:pPr>
              <w:pStyle w:val="TableBodyText"/>
            </w:pPr>
            <w:r>
              <w:t>0430</w:t>
            </w:r>
          </w:p>
        </w:tc>
      </w:tr>
      <w:tr w:rsidR="005F78FC" w:rsidTr="005F78FC">
        <w:tc>
          <w:tcPr>
            <w:tcW w:w="0" w:type="auto"/>
            <w:vAlign w:val="center"/>
          </w:tcPr>
          <w:p w:rsidR="005F78FC" w:rsidRDefault="00B42EF3">
            <w:pPr>
              <w:pStyle w:val="TableBodyText"/>
            </w:pPr>
            <w:r>
              <w:t>FramesetTOC</w:t>
            </w:r>
          </w:p>
        </w:tc>
        <w:tc>
          <w:tcPr>
            <w:tcW w:w="0" w:type="auto"/>
            <w:vAlign w:val="center"/>
          </w:tcPr>
          <w:p w:rsidR="005F78FC" w:rsidRDefault="00B42EF3">
            <w:pPr>
              <w:pStyle w:val="TableBodyText"/>
            </w:pPr>
            <w:r>
              <w:t>0457</w:t>
            </w:r>
          </w:p>
        </w:tc>
      </w:tr>
      <w:tr w:rsidR="005F78FC" w:rsidTr="005F78FC">
        <w:tc>
          <w:tcPr>
            <w:tcW w:w="0" w:type="auto"/>
            <w:vAlign w:val="center"/>
          </w:tcPr>
          <w:p w:rsidR="005F78FC" w:rsidRDefault="00B42EF3">
            <w:pPr>
              <w:pStyle w:val="TableBodyText"/>
            </w:pPr>
            <w:r>
              <w:t>FramesetWizard</w:t>
            </w:r>
          </w:p>
        </w:tc>
        <w:tc>
          <w:tcPr>
            <w:tcW w:w="0" w:type="auto"/>
            <w:vAlign w:val="center"/>
          </w:tcPr>
          <w:p w:rsidR="005F78FC" w:rsidRDefault="00B42EF3">
            <w:pPr>
              <w:pStyle w:val="TableBodyText"/>
            </w:pPr>
            <w:r>
              <w:t>042C</w:t>
            </w:r>
          </w:p>
        </w:tc>
      </w:tr>
      <w:tr w:rsidR="005F78FC" w:rsidTr="005F78FC">
        <w:tc>
          <w:tcPr>
            <w:tcW w:w="0" w:type="auto"/>
            <w:vAlign w:val="center"/>
          </w:tcPr>
          <w:p w:rsidR="005F78FC" w:rsidRDefault="00B42EF3">
            <w:pPr>
              <w:pStyle w:val="TableBodyText"/>
            </w:pPr>
            <w:r>
              <w:t>FreezeLayout</w:t>
            </w:r>
          </w:p>
        </w:tc>
        <w:tc>
          <w:tcPr>
            <w:tcW w:w="0" w:type="auto"/>
            <w:vAlign w:val="center"/>
          </w:tcPr>
          <w:p w:rsidR="005F78FC" w:rsidRDefault="00B42EF3">
            <w:pPr>
              <w:pStyle w:val="TableBodyText"/>
            </w:pPr>
            <w:r>
              <w:t>083C</w:t>
            </w:r>
          </w:p>
        </w:tc>
      </w:tr>
      <w:tr w:rsidR="005F78FC" w:rsidTr="005F78FC">
        <w:tc>
          <w:tcPr>
            <w:tcW w:w="0" w:type="auto"/>
            <w:vAlign w:val="center"/>
          </w:tcPr>
          <w:p w:rsidR="005F78FC" w:rsidRDefault="00B42EF3">
            <w:pPr>
              <w:pStyle w:val="TableBodyText"/>
            </w:pPr>
            <w:r>
              <w:t>GettingStartedPane</w:t>
            </w:r>
          </w:p>
        </w:tc>
        <w:tc>
          <w:tcPr>
            <w:tcW w:w="0" w:type="auto"/>
            <w:vAlign w:val="center"/>
          </w:tcPr>
          <w:p w:rsidR="005F78FC" w:rsidRDefault="00B42EF3">
            <w:pPr>
              <w:pStyle w:val="TableBodyText"/>
            </w:pPr>
            <w:r>
              <w:t>05BC</w:t>
            </w:r>
          </w:p>
        </w:tc>
      </w:tr>
      <w:tr w:rsidR="005F78FC" w:rsidTr="005F78FC">
        <w:tc>
          <w:tcPr>
            <w:tcW w:w="0" w:type="auto"/>
            <w:vAlign w:val="center"/>
          </w:tcPr>
          <w:p w:rsidR="005F78FC" w:rsidRDefault="00B42EF3">
            <w:pPr>
              <w:pStyle w:val="TableBodyText"/>
            </w:pPr>
            <w:r>
              <w:t>GoBack</w:t>
            </w:r>
          </w:p>
        </w:tc>
        <w:tc>
          <w:tcPr>
            <w:tcW w:w="0" w:type="auto"/>
            <w:vAlign w:val="center"/>
          </w:tcPr>
          <w:p w:rsidR="005F78FC" w:rsidRDefault="00B42EF3">
            <w:pPr>
              <w:pStyle w:val="TableBodyText"/>
            </w:pPr>
            <w:r>
              <w:t>0045</w:t>
            </w:r>
          </w:p>
        </w:tc>
      </w:tr>
      <w:tr w:rsidR="005F78FC" w:rsidTr="005F78FC">
        <w:tc>
          <w:tcPr>
            <w:tcW w:w="0" w:type="auto"/>
            <w:vAlign w:val="center"/>
          </w:tcPr>
          <w:p w:rsidR="005F78FC" w:rsidRDefault="00B42EF3">
            <w:pPr>
              <w:pStyle w:val="TableBodyText"/>
            </w:pPr>
            <w:r>
              <w:t>GoToFirstPg</w:t>
            </w:r>
          </w:p>
        </w:tc>
        <w:tc>
          <w:tcPr>
            <w:tcW w:w="0" w:type="auto"/>
            <w:vAlign w:val="center"/>
          </w:tcPr>
          <w:p w:rsidR="005F78FC" w:rsidRDefault="00B42EF3">
            <w:pPr>
              <w:pStyle w:val="TableBodyText"/>
            </w:pPr>
            <w:r>
              <w:t>05CC</w:t>
            </w:r>
          </w:p>
        </w:tc>
      </w:tr>
      <w:tr w:rsidR="005F78FC" w:rsidTr="005F78FC">
        <w:tc>
          <w:tcPr>
            <w:tcW w:w="0" w:type="auto"/>
            <w:vAlign w:val="center"/>
          </w:tcPr>
          <w:p w:rsidR="005F78FC" w:rsidRDefault="00B42EF3">
            <w:pPr>
              <w:pStyle w:val="TableBodyText"/>
            </w:pPr>
            <w:r>
              <w:t>GoToFooter</w:t>
            </w:r>
          </w:p>
        </w:tc>
        <w:tc>
          <w:tcPr>
            <w:tcW w:w="0" w:type="auto"/>
            <w:vAlign w:val="center"/>
          </w:tcPr>
          <w:p w:rsidR="005F78FC" w:rsidRDefault="00B42EF3">
            <w:pPr>
              <w:pStyle w:val="TableBodyText"/>
            </w:pPr>
            <w:r>
              <w:t>08BC</w:t>
            </w:r>
          </w:p>
        </w:tc>
      </w:tr>
      <w:tr w:rsidR="005F78FC" w:rsidTr="005F78FC">
        <w:tc>
          <w:tcPr>
            <w:tcW w:w="0" w:type="auto"/>
            <w:vAlign w:val="center"/>
          </w:tcPr>
          <w:p w:rsidR="005F78FC" w:rsidRDefault="00B42EF3">
            <w:pPr>
              <w:pStyle w:val="TableBodyText"/>
            </w:pPr>
            <w:r>
              <w:t>GoToFurthestReadPg</w:t>
            </w:r>
          </w:p>
        </w:tc>
        <w:tc>
          <w:tcPr>
            <w:tcW w:w="0" w:type="auto"/>
            <w:vAlign w:val="center"/>
          </w:tcPr>
          <w:p w:rsidR="005F78FC" w:rsidRDefault="00B42EF3">
            <w:pPr>
              <w:pStyle w:val="TableBodyText"/>
            </w:pPr>
            <w:r>
              <w:t>05CB</w:t>
            </w:r>
          </w:p>
        </w:tc>
      </w:tr>
      <w:tr w:rsidR="005F78FC" w:rsidTr="005F78FC">
        <w:tc>
          <w:tcPr>
            <w:tcW w:w="0" w:type="auto"/>
            <w:vAlign w:val="center"/>
          </w:tcPr>
          <w:p w:rsidR="005F78FC" w:rsidRDefault="00B42EF3">
            <w:pPr>
              <w:pStyle w:val="TableBodyText"/>
            </w:pPr>
            <w:r>
              <w:t>GoToHeader</w:t>
            </w:r>
          </w:p>
        </w:tc>
        <w:tc>
          <w:tcPr>
            <w:tcW w:w="0" w:type="auto"/>
            <w:vAlign w:val="center"/>
          </w:tcPr>
          <w:p w:rsidR="005F78FC" w:rsidRDefault="00B42EF3">
            <w:pPr>
              <w:pStyle w:val="TableBodyText"/>
            </w:pPr>
            <w:r>
              <w:t>08BB</w:t>
            </w:r>
          </w:p>
        </w:tc>
      </w:tr>
      <w:tr w:rsidR="005F78FC" w:rsidTr="005F78FC">
        <w:tc>
          <w:tcPr>
            <w:tcW w:w="0" w:type="auto"/>
            <w:vAlign w:val="center"/>
          </w:tcPr>
          <w:p w:rsidR="005F78FC" w:rsidRDefault="00B42EF3">
            <w:pPr>
              <w:pStyle w:val="TableBodyText"/>
            </w:pPr>
            <w:r>
              <w:t>GoToHeaderFooter</w:t>
            </w:r>
          </w:p>
        </w:tc>
        <w:tc>
          <w:tcPr>
            <w:tcW w:w="0" w:type="auto"/>
            <w:vAlign w:val="center"/>
          </w:tcPr>
          <w:p w:rsidR="005F78FC" w:rsidRDefault="00B42EF3">
            <w:pPr>
              <w:pStyle w:val="TableBodyText"/>
            </w:pPr>
            <w:r>
              <w:t>024E</w:t>
            </w:r>
          </w:p>
        </w:tc>
      </w:tr>
      <w:tr w:rsidR="005F78FC" w:rsidTr="005F78FC">
        <w:tc>
          <w:tcPr>
            <w:tcW w:w="0" w:type="auto"/>
            <w:vAlign w:val="center"/>
          </w:tcPr>
          <w:p w:rsidR="005F78FC" w:rsidRDefault="00B42EF3">
            <w:pPr>
              <w:pStyle w:val="TableBodyText"/>
            </w:pPr>
            <w:r>
              <w:lastRenderedPageBreak/>
              <w:t>GoToLastPg</w:t>
            </w:r>
          </w:p>
        </w:tc>
        <w:tc>
          <w:tcPr>
            <w:tcW w:w="0" w:type="auto"/>
            <w:vAlign w:val="center"/>
          </w:tcPr>
          <w:p w:rsidR="005F78FC" w:rsidRDefault="00B42EF3">
            <w:pPr>
              <w:pStyle w:val="TableBodyText"/>
            </w:pPr>
            <w:r>
              <w:t>05CD</w:t>
            </w:r>
          </w:p>
        </w:tc>
      </w:tr>
      <w:tr w:rsidR="005F78FC" w:rsidTr="005F78FC">
        <w:tc>
          <w:tcPr>
            <w:tcW w:w="0" w:type="auto"/>
            <w:vAlign w:val="center"/>
          </w:tcPr>
          <w:p w:rsidR="005F78FC" w:rsidRDefault="00B42EF3">
            <w:pPr>
              <w:pStyle w:val="TableBodyText"/>
            </w:pPr>
            <w:r>
              <w:t>GoToNextComment</w:t>
            </w:r>
          </w:p>
        </w:tc>
        <w:tc>
          <w:tcPr>
            <w:tcW w:w="0" w:type="auto"/>
            <w:vAlign w:val="center"/>
          </w:tcPr>
          <w:p w:rsidR="005F78FC" w:rsidRDefault="00B42EF3">
            <w:pPr>
              <w:pStyle w:val="TableBodyText"/>
            </w:pPr>
            <w:r>
              <w:t>019C</w:t>
            </w:r>
          </w:p>
        </w:tc>
      </w:tr>
      <w:tr w:rsidR="005F78FC" w:rsidTr="005F78FC">
        <w:tc>
          <w:tcPr>
            <w:tcW w:w="0" w:type="auto"/>
            <w:vAlign w:val="center"/>
          </w:tcPr>
          <w:p w:rsidR="005F78FC" w:rsidRDefault="00B42EF3">
            <w:pPr>
              <w:pStyle w:val="TableBodyText"/>
            </w:pPr>
            <w:r>
              <w:t>GoToNextEndnote</w:t>
            </w:r>
          </w:p>
        </w:tc>
        <w:tc>
          <w:tcPr>
            <w:tcW w:w="0" w:type="auto"/>
            <w:vAlign w:val="center"/>
          </w:tcPr>
          <w:p w:rsidR="005F78FC" w:rsidRDefault="00B42EF3">
            <w:pPr>
              <w:pStyle w:val="TableBodyText"/>
            </w:pPr>
            <w:r>
              <w:t>019A</w:t>
            </w:r>
          </w:p>
        </w:tc>
      </w:tr>
      <w:tr w:rsidR="005F78FC" w:rsidTr="005F78FC">
        <w:tc>
          <w:tcPr>
            <w:tcW w:w="0" w:type="auto"/>
            <w:vAlign w:val="center"/>
          </w:tcPr>
          <w:p w:rsidR="005F78FC" w:rsidRDefault="00B42EF3">
            <w:pPr>
              <w:pStyle w:val="TableBodyText"/>
            </w:pPr>
            <w:r>
              <w:t>GoToNextFootnote</w:t>
            </w:r>
          </w:p>
        </w:tc>
        <w:tc>
          <w:tcPr>
            <w:tcW w:w="0" w:type="auto"/>
            <w:vAlign w:val="center"/>
          </w:tcPr>
          <w:p w:rsidR="005F78FC" w:rsidRDefault="00B42EF3">
            <w:pPr>
              <w:pStyle w:val="TableBodyText"/>
            </w:pPr>
            <w:r>
              <w:t>0198</w:t>
            </w:r>
          </w:p>
        </w:tc>
      </w:tr>
      <w:tr w:rsidR="005F78FC" w:rsidTr="005F78FC">
        <w:tc>
          <w:tcPr>
            <w:tcW w:w="0" w:type="auto"/>
            <w:vAlign w:val="center"/>
          </w:tcPr>
          <w:p w:rsidR="005F78FC" w:rsidRDefault="00B42EF3">
            <w:pPr>
              <w:pStyle w:val="TableBodyText"/>
            </w:pPr>
            <w:r>
              <w:t>GoToNextPage</w:t>
            </w:r>
          </w:p>
        </w:tc>
        <w:tc>
          <w:tcPr>
            <w:tcW w:w="0" w:type="auto"/>
            <w:vAlign w:val="center"/>
          </w:tcPr>
          <w:p w:rsidR="005F78FC" w:rsidRDefault="00B42EF3">
            <w:pPr>
              <w:pStyle w:val="TableBodyText"/>
            </w:pPr>
            <w:r>
              <w:t>0194</w:t>
            </w:r>
          </w:p>
        </w:tc>
      </w:tr>
      <w:tr w:rsidR="005F78FC" w:rsidTr="005F78FC">
        <w:tc>
          <w:tcPr>
            <w:tcW w:w="0" w:type="auto"/>
            <w:vAlign w:val="center"/>
          </w:tcPr>
          <w:p w:rsidR="005F78FC" w:rsidRDefault="00B42EF3">
            <w:pPr>
              <w:pStyle w:val="TableBodyText"/>
            </w:pPr>
            <w:r>
              <w:t>GoToNextReadingPage</w:t>
            </w:r>
          </w:p>
        </w:tc>
        <w:tc>
          <w:tcPr>
            <w:tcW w:w="0" w:type="auto"/>
            <w:vAlign w:val="center"/>
          </w:tcPr>
          <w:p w:rsidR="005F78FC" w:rsidRDefault="00B42EF3">
            <w:pPr>
              <w:pStyle w:val="TableBodyText"/>
            </w:pPr>
            <w:r>
              <w:t>0892</w:t>
            </w:r>
          </w:p>
        </w:tc>
      </w:tr>
      <w:tr w:rsidR="005F78FC" w:rsidTr="005F78FC">
        <w:tc>
          <w:tcPr>
            <w:tcW w:w="0" w:type="auto"/>
            <w:vAlign w:val="center"/>
          </w:tcPr>
          <w:p w:rsidR="005F78FC" w:rsidRDefault="00B42EF3">
            <w:pPr>
              <w:pStyle w:val="TableBodyText"/>
            </w:pPr>
            <w:r>
              <w:t>GoToNextSection</w:t>
            </w:r>
          </w:p>
        </w:tc>
        <w:tc>
          <w:tcPr>
            <w:tcW w:w="0" w:type="auto"/>
            <w:vAlign w:val="center"/>
          </w:tcPr>
          <w:p w:rsidR="005F78FC" w:rsidRDefault="00B42EF3">
            <w:pPr>
              <w:pStyle w:val="TableBodyText"/>
            </w:pPr>
            <w:r>
              <w:t>0196</w:t>
            </w:r>
          </w:p>
        </w:tc>
      </w:tr>
      <w:tr w:rsidR="005F78FC" w:rsidTr="005F78FC">
        <w:tc>
          <w:tcPr>
            <w:tcW w:w="0" w:type="auto"/>
            <w:vAlign w:val="center"/>
          </w:tcPr>
          <w:p w:rsidR="005F78FC" w:rsidRDefault="00B42EF3">
            <w:pPr>
              <w:pStyle w:val="TableBodyText"/>
            </w:pPr>
            <w:r>
              <w:t>GoToPrevReadingPage</w:t>
            </w:r>
          </w:p>
        </w:tc>
        <w:tc>
          <w:tcPr>
            <w:tcW w:w="0" w:type="auto"/>
            <w:vAlign w:val="center"/>
          </w:tcPr>
          <w:p w:rsidR="005F78FC" w:rsidRDefault="00B42EF3">
            <w:pPr>
              <w:pStyle w:val="TableBodyText"/>
            </w:pPr>
            <w:r>
              <w:t>0893</w:t>
            </w:r>
          </w:p>
        </w:tc>
      </w:tr>
      <w:tr w:rsidR="005F78FC" w:rsidTr="005F78FC">
        <w:tc>
          <w:tcPr>
            <w:tcW w:w="0" w:type="auto"/>
            <w:vAlign w:val="center"/>
          </w:tcPr>
          <w:p w:rsidR="005F78FC" w:rsidRDefault="00B42EF3">
            <w:pPr>
              <w:pStyle w:val="TableBodyText"/>
            </w:pPr>
            <w:r>
              <w:t>GoToPreviousComment</w:t>
            </w:r>
          </w:p>
        </w:tc>
        <w:tc>
          <w:tcPr>
            <w:tcW w:w="0" w:type="auto"/>
            <w:vAlign w:val="center"/>
          </w:tcPr>
          <w:p w:rsidR="005F78FC" w:rsidRDefault="00B42EF3">
            <w:pPr>
              <w:pStyle w:val="TableBodyText"/>
            </w:pPr>
            <w:r>
              <w:t>019D</w:t>
            </w:r>
          </w:p>
        </w:tc>
      </w:tr>
      <w:tr w:rsidR="005F78FC" w:rsidTr="005F78FC">
        <w:tc>
          <w:tcPr>
            <w:tcW w:w="0" w:type="auto"/>
            <w:vAlign w:val="center"/>
          </w:tcPr>
          <w:p w:rsidR="005F78FC" w:rsidRDefault="00B42EF3">
            <w:pPr>
              <w:pStyle w:val="TableBodyText"/>
            </w:pPr>
            <w:r>
              <w:t>GoToPreviousEndnote</w:t>
            </w:r>
          </w:p>
        </w:tc>
        <w:tc>
          <w:tcPr>
            <w:tcW w:w="0" w:type="auto"/>
            <w:vAlign w:val="center"/>
          </w:tcPr>
          <w:p w:rsidR="005F78FC" w:rsidRDefault="00B42EF3">
            <w:pPr>
              <w:pStyle w:val="TableBodyText"/>
            </w:pPr>
            <w:r>
              <w:t>019B</w:t>
            </w:r>
          </w:p>
        </w:tc>
      </w:tr>
      <w:tr w:rsidR="005F78FC" w:rsidTr="005F78FC">
        <w:tc>
          <w:tcPr>
            <w:tcW w:w="0" w:type="auto"/>
            <w:vAlign w:val="center"/>
          </w:tcPr>
          <w:p w:rsidR="005F78FC" w:rsidRDefault="00B42EF3">
            <w:pPr>
              <w:pStyle w:val="TableBodyText"/>
            </w:pPr>
            <w:r>
              <w:t>GoToPreviousFootnote</w:t>
            </w:r>
          </w:p>
        </w:tc>
        <w:tc>
          <w:tcPr>
            <w:tcW w:w="0" w:type="auto"/>
            <w:vAlign w:val="center"/>
          </w:tcPr>
          <w:p w:rsidR="005F78FC" w:rsidRDefault="00B42EF3">
            <w:pPr>
              <w:pStyle w:val="TableBodyText"/>
            </w:pPr>
            <w:r>
              <w:t>0199</w:t>
            </w:r>
          </w:p>
        </w:tc>
      </w:tr>
      <w:tr w:rsidR="005F78FC" w:rsidTr="005F78FC">
        <w:tc>
          <w:tcPr>
            <w:tcW w:w="0" w:type="auto"/>
            <w:vAlign w:val="center"/>
          </w:tcPr>
          <w:p w:rsidR="005F78FC" w:rsidRDefault="00B42EF3">
            <w:pPr>
              <w:pStyle w:val="TableBodyText"/>
            </w:pPr>
            <w:r>
              <w:t>GoToPreviousPage</w:t>
            </w:r>
          </w:p>
        </w:tc>
        <w:tc>
          <w:tcPr>
            <w:tcW w:w="0" w:type="auto"/>
            <w:vAlign w:val="center"/>
          </w:tcPr>
          <w:p w:rsidR="005F78FC" w:rsidRDefault="00B42EF3">
            <w:pPr>
              <w:pStyle w:val="TableBodyText"/>
            </w:pPr>
            <w:r>
              <w:t>0195</w:t>
            </w:r>
          </w:p>
        </w:tc>
      </w:tr>
      <w:tr w:rsidR="005F78FC" w:rsidTr="005F78FC">
        <w:tc>
          <w:tcPr>
            <w:tcW w:w="0" w:type="auto"/>
            <w:vAlign w:val="center"/>
          </w:tcPr>
          <w:p w:rsidR="005F78FC" w:rsidRDefault="00B42EF3">
            <w:pPr>
              <w:pStyle w:val="TableBodyText"/>
            </w:pPr>
            <w:r>
              <w:t>GoToPreviousSection</w:t>
            </w:r>
          </w:p>
        </w:tc>
        <w:tc>
          <w:tcPr>
            <w:tcW w:w="0" w:type="auto"/>
            <w:vAlign w:val="center"/>
          </w:tcPr>
          <w:p w:rsidR="005F78FC" w:rsidRDefault="00B42EF3">
            <w:pPr>
              <w:pStyle w:val="TableBodyText"/>
            </w:pPr>
            <w:r>
              <w:t>0197</w:t>
            </w:r>
          </w:p>
        </w:tc>
      </w:tr>
      <w:tr w:rsidR="005F78FC" w:rsidTr="005F78FC">
        <w:tc>
          <w:tcPr>
            <w:tcW w:w="0" w:type="auto"/>
            <w:vAlign w:val="center"/>
          </w:tcPr>
          <w:p w:rsidR="005F78FC" w:rsidRDefault="00B42EF3">
            <w:pPr>
              <w:pStyle w:val="TableBodyText"/>
            </w:pPr>
            <w:r>
              <w:t>GotoCommentScope</w:t>
            </w:r>
          </w:p>
        </w:tc>
        <w:tc>
          <w:tcPr>
            <w:tcW w:w="0" w:type="auto"/>
            <w:vAlign w:val="center"/>
          </w:tcPr>
          <w:p w:rsidR="005F78FC" w:rsidRDefault="00B42EF3">
            <w:pPr>
              <w:pStyle w:val="TableBodyText"/>
            </w:pPr>
            <w:r>
              <w:t>0255</w:t>
            </w:r>
          </w:p>
        </w:tc>
      </w:tr>
      <w:tr w:rsidR="005F78FC" w:rsidTr="005F78FC">
        <w:tc>
          <w:tcPr>
            <w:tcW w:w="0" w:type="auto"/>
            <w:vAlign w:val="center"/>
          </w:tcPr>
          <w:p w:rsidR="005F78FC" w:rsidRDefault="00B42EF3">
            <w:pPr>
              <w:pStyle w:val="TableBodyText"/>
            </w:pPr>
            <w:r>
              <w:t>GotoNextLinkedTextBox</w:t>
            </w:r>
          </w:p>
        </w:tc>
        <w:tc>
          <w:tcPr>
            <w:tcW w:w="0" w:type="auto"/>
            <w:vAlign w:val="center"/>
          </w:tcPr>
          <w:p w:rsidR="005F78FC" w:rsidRDefault="00B42EF3">
            <w:pPr>
              <w:pStyle w:val="TableBodyText"/>
            </w:pPr>
            <w:r>
              <w:t>034A</w:t>
            </w:r>
          </w:p>
        </w:tc>
      </w:tr>
      <w:tr w:rsidR="005F78FC" w:rsidTr="005F78FC">
        <w:tc>
          <w:tcPr>
            <w:tcW w:w="0" w:type="auto"/>
            <w:vAlign w:val="center"/>
          </w:tcPr>
          <w:p w:rsidR="005F78FC" w:rsidRDefault="00B42EF3">
            <w:pPr>
              <w:pStyle w:val="TableBodyText"/>
            </w:pPr>
            <w:r>
              <w:t>GotoPrevLinkedTextBox</w:t>
            </w:r>
          </w:p>
        </w:tc>
        <w:tc>
          <w:tcPr>
            <w:tcW w:w="0" w:type="auto"/>
            <w:vAlign w:val="center"/>
          </w:tcPr>
          <w:p w:rsidR="005F78FC" w:rsidRDefault="00B42EF3">
            <w:pPr>
              <w:pStyle w:val="TableBodyText"/>
            </w:pPr>
            <w:r>
              <w:t>034B</w:t>
            </w:r>
          </w:p>
        </w:tc>
      </w:tr>
      <w:tr w:rsidR="005F78FC" w:rsidTr="005F78FC">
        <w:tc>
          <w:tcPr>
            <w:tcW w:w="0" w:type="auto"/>
            <w:vAlign w:val="center"/>
          </w:tcPr>
          <w:p w:rsidR="005F78FC" w:rsidRDefault="00B42EF3">
            <w:pPr>
              <w:pStyle w:val="TableBodyText"/>
            </w:pPr>
            <w:r>
              <w:t>GotoTableOfContents</w:t>
            </w:r>
          </w:p>
        </w:tc>
        <w:tc>
          <w:tcPr>
            <w:tcW w:w="0" w:type="auto"/>
            <w:vAlign w:val="center"/>
          </w:tcPr>
          <w:p w:rsidR="005F78FC" w:rsidRDefault="00B42EF3">
            <w:pPr>
              <w:pStyle w:val="TableBodyText"/>
            </w:pPr>
            <w:r>
              <w:t>056D</w:t>
            </w:r>
          </w:p>
        </w:tc>
      </w:tr>
      <w:tr w:rsidR="005F78FC" w:rsidTr="005F78FC">
        <w:tc>
          <w:tcPr>
            <w:tcW w:w="0" w:type="auto"/>
            <w:vAlign w:val="center"/>
          </w:tcPr>
          <w:p w:rsidR="005F78FC" w:rsidRDefault="00B42EF3">
            <w:pPr>
              <w:pStyle w:val="TableBodyText"/>
            </w:pPr>
            <w:r>
              <w:t>GradientGallery</w:t>
            </w:r>
          </w:p>
        </w:tc>
        <w:tc>
          <w:tcPr>
            <w:tcW w:w="0" w:type="auto"/>
            <w:vAlign w:val="center"/>
          </w:tcPr>
          <w:p w:rsidR="005F78FC" w:rsidRDefault="00B42EF3">
            <w:pPr>
              <w:pStyle w:val="TableBodyText"/>
            </w:pPr>
            <w:r>
              <w:t>08A2</w:t>
            </w:r>
          </w:p>
        </w:tc>
      </w:tr>
      <w:tr w:rsidR="005F78FC" w:rsidTr="005F78FC">
        <w:tc>
          <w:tcPr>
            <w:tcW w:w="0" w:type="auto"/>
            <w:vAlign w:val="center"/>
          </w:tcPr>
          <w:p w:rsidR="005F78FC" w:rsidRDefault="00B42EF3">
            <w:pPr>
              <w:pStyle w:val="TableBodyText"/>
            </w:pPr>
            <w:r>
              <w:t>GreetingSentence</w:t>
            </w:r>
          </w:p>
        </w:tc>
        <w:tc>
          <w:tcPr>
            <w:tcW w:w="0" w:type="auto"/>
            <w:vAlign w:val="center"/>
          </w:tcPr>
          <w:p w:rsidR="005F78FC" w:rsidRDefault="00B42EF3">
            <w:pPr>
              <w:pStyle w:val="TableBodyText"/>
            </w:pPr>
            <w:r>
              <w:t>0498</w:t>
            </w:r>
          </w:p>
        </w:tc>
      </w:tr>
      <w:tr w:rsidR="005F78FC" w:rsidTr="005F78FC">
        <w:tc>
          <w:tcPr>
            <w:tcW w:w="0" w:type="auto"/>
            <w:vAlign w:val="center"/>
          </w:tcPr>
          <w:p w:rsidR="005F78FC" w:rsidRDefault="00B42EF3">
            <w:pPr>
              <w:pStyle w:val="TableBodyText"/>
            </w:pPr>
            <w:r>
              <w:t>GrowFont</w:t>
            </w:r>
          </w:p>
        </w:tc>
        <w:tc>
          <w:tcPr>
            <w:tcW w:w="0" w:type="auto"/>
            <w:vAlign w:val="center"/>
          </w:tcPr>
          <w:p w:rsidR="005F78FC" w:rsidRDefault="00B42EF3">
            <w:pPr>
              <w:pStyle w:val="TableBodyText"/>
            </w:pPr>
            <w:r>
              <w:t>000B</w:t>
            </w:r>
          </w:p>
        </w:tc>
      </w:tr>
      <w:tr w:rsidR="005F78FC" w:rsidTr="005F78FC">
        <w:tc>
          <w:tcPr>
            <w:tcW w:w="0" w:type="auto"/>
            <w:vAlign w:val="center"/>
          </w:tcPr>
          <w:p w:rsidR="005F78FC" w:rsidRDefault="00B42EF3">
            <w:pPr>
              <w:pStyle w:val="TableBodyText"/>
            </w:pPr>
            <w:r>
              <w:t>GrowFontOnePoint</w:t>
            </w:r>
          </w:p>
        </w:tc>
        <w:tc>
          <w:tcPr>
            <w:tcW w:w="0" w:type="auto"/>
            <w:vAlign w:val="center"/>
          </w:tcPr>
          <w:p w:rsidR="005F78FC" w:rsidRDefault="00B42EF3">
            <w:pPr>
              <w:pStyle w:val="TableBodyText"/>
            </w:pPr>
            <w:r>
              <w:t>0201</w:t>
            </w:r>
          </w:p>
        </w:tc>
      </w:tr>
      <w:tr w:rsidR="005F78FC" w:rsidTr="005F78FC">
        <w:tc>
          <w:tcPr>
            <w:tcW w:w="0" w:type="auto"/>
            <w:vAlign w:val="center"/>
          </w:tcPr>
          <w:p w:rsidR="005F78FC" w:rsidRDefault="00B42EF3">
            <w:pPr>
              <w:pStyle w:val="TableBodyText"/>
            </w:pPr>
            <w:r>
              <w:t>HTMLSourceDoNotRefresh</w:t>
            </w:r>
          </w:p>
        </w:tc>
        <w:tc>
          <w:tcPr>
            <w:tcW w:w="0" w:type="auto"/>
            <w:vAlign w:val="center"/>
          </w:tcPr>
          <w:p w:rsidR="005F78FC" w:rsidRDefault="00B42EF3">
            <w:pPr>
              <w:pStyle w:val="TableBodyText"/>
            </w:pPr>
            <w:r>
              <w:t>0460</w:t>
            </w:r>
          </w:p>
        </w:tc>
      </w:tr>
      <w:tr w:rsidR="005F78FC" w:rsidTr="005F78FC">
        <w:tc>
          <w:tcPr>
            <w:tcW w:w="0" w:type="auto"/>
            <w:vAlign w:val="center"/>
          </w:tcPr>
          <w:p w:rsidR="005F78FC" w:rsidRDefault="00B42EF3">
            <w:pPr>
              <w:pStyle w:val="TableBodyText"/>
            </w:pPr>
            <w:r>
              <w:t>HTMLSourceRefresh</w:t>
            </w:r>
          </w:p>
        </w:tc>
        <w:tc>
          <w:tcPr>
            <w:tcW w:w="0" w:type="auto"/>
            <w:vAlign w:val="center"/>
          </w:tcPr>
          <w:p w:rsidR="005F78FC" w:rsidRDefault="00B42EF3">
            <w:pPr>
              <w:pStyle w:val="TableBodyText"/>
            </w:pPr>
            <w:r>
              <w:t>045E</w:t>
            </w:r>
          </w:p>
        </w:tc>
      </w:tr>
      <w:tr w:rsidR="005F78FC" w:rsidTr="005F78FC">
        <w:tc>
          <w:tcPr>
            <w:tcW w:w="0" w:type="auto"/>
            <w:vAlign w:val="center"/>
          </w:tcPr>
          <w:p w:rsidR="005F78FC" w:rsidRDefault="00B42EF3">
            <w:pPr>
              <w:pStyle w:val="TableBodyText"/>
            </w:pPr>
            <w:r>
              <w:t>HangingIndent</w:t>
            </w:r>
          </w:p>
        </w:tc>
        <w:tc>
          <w:tcPr>
            <w:tcW w:w="0" w:type="auto"/>
            <w:vAlign w:val="center"/>
          </w:tcPr>
          <w:p w:rsidR="005F78FC" w:rsidRDefault="00B42EF3">
            <w:pPr>
              <w:pStyle w:val="TableBodyText"/>
            </w:pPr>
            <w:r>
              <w:t>0028</w:t>
            </w:r>
          </w:p>
        </w:tc>
      </w:tr>
      <w:tr w:rsidR="005F78FC" w:rsidTr="005F78FC">
        <w:tc>
          <w:tcPr>
            <w:tcW w:w="0" w:type="auto"/>
            <w:vAlign w:val="center"/>
          </w:tcPr>
          <w:p w:rsidR="005F78FC" w:rsidRDefault="00B42EF3">
            <w:pPr>
              <w:pStyle w:val="TableBodyText"/>
            </w:pPr>
            <w:r>
              <w:t>HanjaDictionary</w:t>
            </w:r>
          </w:p>
        </w:tc>
        <w:tc>
          <w:tcPr>
            <w:tcW w:w="0" w:type="auto"/>
            <w:vAlign w:val="center"/>
          </w:tcPr>
          <w:p w:rsidR="005F78FC" w:rsidRDefault="00B42EF3">
            <w:pPr>
              <w:pStyle w:val="TableBodyText"/>
            </w:pPr>
            <w:r>
              <w:t>0486</w:t>
            </w:r>
          </w:p>
        </w:tc>
      </w:tr>
      <w:tr w:rsidR="005F78FC" w:rsidTr="005F78FC">
        <w:tc>
          <w:tcPr>
            <w:tcW w:w="0" w:type="auto"/>
            <w:vAlign w:val="center"/>
          </w:tcPr>
          <w:p w:rsidR="005F78FC" w:rsidRDefault="00B42EF3">
            <w:pPr>
              <w:pStyle w:val="TableBodyText"/>
            </w:pPr>
            <w:r>
              <w:t>HeadFootDiffFirstPage</w:t>
            </w:r>
          </w:p>
        </w:tc>
        <w:tc>
          <w:tcPr>
            <w:tcW w:w="0" w:type="auto"/>
            <w:vAlign w:val="center"/>
          </w:tcPr>
          <w:p w:rsidR="005F78FC" w:rsidRDefault="00B42EF3">
            <w:pPr>
              <w:pStyle w:val="TableBodyText"/>
            </w:pPr>
            <w:r>
              <w:t>084D</w:t>
            </w:r>
          </w:p>
        </w:tc>
      </w:tr>
      <w:tr w:rsidR="005F78FC" w:rsidTr="005F78FC">
        <w:tc>
          <w:tcPr>
            <w:tcW w:w="0" w:type="auto"/>
            <w:vAlign w:val="center"/>
          </w:tcPr>
          <w:p w:rsidR="005F78FC" w:rsidRDefault="00B42EF3">
            <w:pPr>
              <w:pStyle w:val="TableBodyText"/>
            </w:pPr>
            <w:r>
              <w:t>HeadFootDiffOddEvenPage</w:t>
            </w:r>
          </w:p>
        </w:tc>
        <w:tc>
          <w:tcPr>
            <w:tcW w:w="0" w:type="auto"/>
            <w:vAlign w:val="center"/>
          </w:tcPr>
          <w:p w:rsidR="005F78FC" w:rsidRDefault="00B42EF3">
            <w:pPr>
              <w:pStyle w:val="TableBodyText"/>
            </w:pPr>
            <w:r>
              <w:t>084E</w:t>
            </w:r>
          </w:p>
        </w:tc>
      </w:tr>
      <w:tr w:rsidR="005F78FC" w:rsidTr="005F78FC">
        <w:tc>
          <w:tcPr>
            <w:tcW w:w="0" w:type="auto"/>
            <w:vAlign w:val="center"/>
          </w:tcPr>
          <w:p w:rsidR="005F78FC" w:rsidRDefault="00B42EF3">
            <w:pPr>
              <w:pStyle w:val="TableBodyText"/>
            </w:pPr>
            <w:r>
              <w:t>HeaderGallery</w:t>
            </w:r>
          </w:p>
        </w:tc>
        <w:tc>
          <w:tcPr>
            <w:tcW w:w="0" w:type="auto"/>
            <w:vAlign w:val="center"/>
          </w:tcPr>
          <w:p w:rsidR="005F78FC" w:rsidRDefault="00B42EF3">
            <w:pPr>
              <w:pStyle w:val="TableBodyText"/>
            </w:pPr>
            <w:r>
              <w:t>07E4</w:t>
            </w:r>
          </w:p>
        </w:tc>
      </w:tr>
      <w:tr w:rsidR="005F78FC" w:rsidTr="005F78FC">
        <w:tc>
          <w:tcPr>
            <w:tcW w:w="0" w:type="auto"/>
            <w:vAlign w:val="center"/>
          </w:tcPr>
          <w:p w:rsidR="005F78FC" w:rsidRDefault="00B42EF3">
            <w:pPr>
              <w:pStyle w:val="TableBodyText"/>
            </w:pPr>
            <w:r>
              <w:t>HeaderPositionSpinner</w:t>
            </w:r>
          </w:p>
        </w:tc>
        <w:tc>
          <w:tcPr>
            <w:tcW w:w="0" w:type="auto"/>
            <w:vAlign w:val="center"/>
          </w:tcPr>
          <w:p w:rsidR="005F78FC" w:rsidRDefault="00B42EF3">
            <w:pPr>
              <w:pStyle w:val="TableBodyText"/>
            </w:pPr>
            <w:r>
              <w:t>08B1</w:t>
            </w:r>
          </w:p>
        </w:tc>
      </w:tr>
      <w:tr w:rsidR="005F78FC" w:rsidTr="005F78FC">
        <w:tc>
          <w:tcPr>
            <w:tcW w:w="0" w:type="auto"/>
            <w:vAlign w:val="center"/>
          </w:tcPr>
          <w:p w:rsidR="005F78FC" w:rsidRDefault="00B42EF3">
            <w:pPr>
              <w:pStyle w:val="TableBodyText"/>
            </w:pPr>
            <w:r>
              <w:t>Help</w:t>
            </w:r>
          </w:p>
        </w:tc>
        <w:tc>
          <w:tcPr>
            <w:tcW w:w="0" w:type="auto"/>
            <w:vAlign w:val="center"/>
          </w:tcPr>
          <w:p w:rsidR="005F78FC" w:rsidRDefault="00B42EF3">
            <w:pPr>
              <w:pStyle w:val="TableBodyText"/>
            </w:pPr>
            <w:r>
              <w:t>0001</w:t>
            </w:r>
          </w:p>
        </w:tc>
      </w:tr>
      <w:tr w:rsidR="005F78FC" w:rsidTr="005F78FC">
        <w:tc>
          <w:tcPr>
            <w:tcW w:w="0" w:type="auto"/>
            <w:vAlign w:val="center"/>
          </w:tcPr>
          <w:p w:rsidR="005F78FC" w:rsidRDefault="00B42EF3">
            <w:pPr>
              <w:pStyle w:val="TableBodyText"/>
            </w:pPr>
            <w:r>
              <w:t>HelpAW</w:t>
            </w:r>
          </w:p>
        </w:tc>
        <w:tc>
          <w:tcPr>
            <w:tcW w:w="0" w:type="auto"/>
            <w:vAlign w:val="center"/>
          </w:tcPr>
          <w:p w:rsidR="005F78FC" w:rsidRDefault="00B42EF3">
            <w:pPr>
              <w:pStyle w:val="TableBodyText"/>
            </w:pPr>
            <w:r>
              <w:t>031A</w:t>
            </w:r>
          </w:p>
        </w:tc>
      </w:tr>
      <w:tr w:rsidR="005F78FC" w:rsidTr="005F78FC">
        <w:tc>
          <w:tcPr>
            <w:tcW w:w="0" w:type="auto"/>
            <w:vAlign w:val="center"/>
          </w:tcPr>
          <w:p w:rsidR="005F78FC" w:rsidRDefault="00B42EF3">
            <w:pPr>
              <w:pStyle w:val="TableBodyText"/>
            </w:pPr>
            <w:r>
              <w:t>HelpAbout</w:t>
            </w:r>
          </w:p>
        </w:tc>
        <w:tc>
          <w:tcPr>
            <w:tcW w:w="0" w:type="auto"/>
            <w:vAlign w:val="center"/>
          </w:tcPr>
          <w:p w:rsidR="005F78FC" w:rsidRDefault="00B42EF3">
            <w:pPr>
              <w:pStyle w:val="TableBodyText"/>
            </w:pPr>
            <w:r>
              <w:t>0009</w:t>
            </w:r>
          </w:p>
        </w:tc>
      </w:tr>
      <w:tr w:rsidR="005F78FC" w:rsidTr="005F78FC">
        <w:tc>
          <w:tcPr>
            <w:tcW w:w="0" w:type="auto"/>
            <w:vAlign w:val="center"/>
          </w:tcPr>
          <w:p w:rsidR="005F78FC" w:rsidRDefault="00B42EF3">
            <w:pPr>
              <w:pStyle w:val="TableBodyText"/>
            </w:pPr>
            <w:r>
              <w:lastRenderedPageBreak/>
              <w:t>HelpActiveWindow</w:t>
            </w:r>
          </w:p>
        </w:tc>
        <w:tc>
          <w:tcPr>
            <w:tcW w:w="0" w:type="auto"/>
            <w:vAlign w:val="center"/>
          </w:tcPr>
          <w:p w:rsidR="005F78FC" w:rsidRDefault="00B42EF3">
            <w:pPr>
              <w:pStyle w:val="TableBodyText"/>
            </w:pPr>
            <w:r>
              <w:t>0004</w:t>
            </w:r>
          </w:p>
        </w:tc>
      </w:tr>
      <w:tr w:rsidR="005F78FC" w:rsidTr="005F78FC">
        <w:tc>
          <w:tcPr>
            <w:tcW w:w="0" w:type="auto"/>
            <w:vAlign w:val="center"/>
          </w:tcPr>
          <w:p w:rsidR="005F78FC" w:rsidRDefault="00B42EF3">
            <w:pPr>
              <w:pStyle w:val="TableBodyText"/>
            </w:pPr>
            <w:r>
              <w:t>HelpCheckForUpdates</w:t>
            </w:r>
          </w:p>
        </w:tc>
        <w:tc>
          <w:tcPr>
            <w:tcW w:w="0" w:type="auto"/>
            <w:vAlign w:val="center"/>
          </w:tcPr>
          <w:p w:rsidR="005F78FC" w:rsidRDefault="00B42EF3">
            <w:pPr>
              <w:pStyle w:val="TableBodyText"/>
            </w:pPr>
            <w:r>
              <w:t>05AE</w:t>
            </w:r>
          </w:p>
        </w:tc>
      </w:tr>
      <w:tr w:rsidR="005F78FC" w:rsidTr="005F78FC">
        <w:tc>
          <w:tcPr>
            <w:tcW w:w="0" w:type="auto"/>
            <w:vAlign w:val="center"/>
          </w:tcPr>
          <w:p w:rsidR="005F78FC" w:rsidRDefault="00B42EF3">
            <w:pPr>
              <w:pStyle w:val="TableBodyText"/>
            </w:pPr>
            <w:r>
              <w:t>HelpContactUs</w:t>
            </w:r>
          </w:p>
        </w:tc>
        <w:tc>
          <w:tcPr>
            <w:tcW w:w="0" w:type="auto"/>
            <w:vAlign w:val="center"/>
          </w:tcPr>
          <w:p w:rsidR="005F78FC" w:rsidRDefault="00B42EF3">
            <w:pPr>
              <w:pStyle w:val="TableBodyText"/>
            </w:pPr>
            <w:r>
              <w:t>05AD</w:t>
            </w:r>
          </w:p>
        </w:tc>
      </w:tr>
      <w:tr w:rsidR="005F78FC" w:rsidTr="005F78FC">
        <w:tc>
          <w:tcPr>
            <w:tcW w:w="0" w:type="auto"/>
            <w:vAlign w:val="center"/>
          </w:tcPr>
          <w:p w:rsidR="005F78FC" w:rsidRDefault="00B42EF3">
            <w:pPr>
              <w:pStyle w:val="TableBodyText"/>
            </w:pPr>
            <w:r>
              <w:t>HelpContents</w:t>
            </w:r>
          </w:p>
        </w:tc>
        <w:tc>
          <w:tcPr>
            <w:tcW w:w="0" w:type="auto"/>
            <w:vAlign w:val="center"/>
          </w:tcPr>
          <w:p w:rsidR="005F78FC" w:rsidRDefault="00B42EF3">
            <w:pPr>
              <w:pStyle w:val="TableBodyText"/>
            </w:pPr>
            <w:r>
              <w:t>02B0</w:t>
            </w:r>
          </w:p>
        </w:tc>
      </w:tr>
      <w:tr w:rsidR="005F78FC" w:rsidTr="005F78FC">
        <w:tc>
          <w:tcPr>
            <w:tcW w:w="0" w:type="auto"/>
            <w:vAlign w:val="center"/>
          </w:tcPr>
          <w:p w:rsidR="005F78FC" w:rsidRDefault="00B42EF3">
            <w:pPr>
              <w:pStyle w:val="TableBodyText"/>
            </w:pPr>
            <w:r>
              <w:t>HelpContentsArabic</w:t>
            </w:r>
          </w:p>
        </w:tc>
        <w:tc>
          <w:tcPr>
            <w:tcW w:w="0" w:type="auto"/>
            <w:vAlign w:val="center"/>
          </w:tcPr>
          <w:p w:rsidR="005F78FC" w:rsidRDefault="00B42EF3">
            <w:pPr>
              <w:pStyle w:val="TableBodyText"/>
            </w:pPr>
            <w:r>
              <w:t>0427</w:t>
            </w:r>
          </w:p>
        </w:tc>
      </w:tr>
      <w:tr w:rsidR="005F78FC" w:rsidTr="005F78FC">
        <w:tc>
          <w:tcPr>
            <w:tcW w:w="0" w:type="auto"/>
            <w:vAlign w:val="center"/>
          </w:tcPr>
          <w:p w:rsidR="005F78FC" w:rsidRDefault="00B42EF3">
            <w:pPr>
              <w:pStyle w:val="TableBodyText"/>
            </w:pPr>
            <w:r>
              <w:t>HelpExamplesAndDemos</w:t>
            </w:r>
          </w:p>
        </w:tc>
        <w:tc>
          <w:tcPr>
            <w:tcW w:w="0" w:type="auto"/>
            <w:vAlign w:val="center"/>
          </w:tcPr>
          <w:p w:rsidR="005F78FC" w:rsidRDefault="00B42EF3">
            <w:pPr>
              <w:pStyle w:val="TableBodyText"/>
            </w:pPr>
            <w:r>
              <w:t>0008</w:t>
            </w:r>
          </w:p>
        </w:tc>
      </w:tr>
      <w:tr w:rsidR="005F78FC" w:rsidTr="005F78FC">
        <w:tc>
          <w:tcPr>
            <w:tcW w:w="0" w:type="auto"/>
            <w:vAlign w:val="center"/>
          </w:tcPr>
          <w:p w:rsidR="005F78FC" w:rsidRDefault="00B42EF3">
            <w:pPr>
              <w:pStyle w:val="TableBodyText"/>
            </w:pPr>
            <w:r>
              <w:t>HelpIchitaroHelp</w:t>
            </w:r>
          </w:p>
        </w:tc>
        <w:tc>
          <w:tcPr>
            <w:tcW w:w="0" w:type="auto"/>
            <w:vAlign w:val="center"/>
          </w:tcPr>
          <w:p w:rsidR="005F78FC" w:rsidRDefault="00B42EF3">
            <w:pPr>
              <w:pStyle w:val="TableBodyText"/>
            </w:pPr>
            <w:r>
              <w:t>02D8</w:t>
            </w:r>
          </w:p>
        </w:tc>
      </w:tr>
      <w:tr w:rsidR="005F78FC" w:rsidTr="005F78FC">
        <w:tc>
          <w:tcPr>
            <w:tcW w:w="0" w:type="auto"/>
            <w:vAlign w:val="center"/>
          </w:tcPr>
          <w:p w:rsidR="005F78FC" w:rsidRDefault="00B42EF3">
            <w:pPr>
              <w:pStyle w:val="TableBodyText"/>
            </w:pPr>
            <w:r>
              <w:t>HelpIndex</w:t>
            </w:r>
          </w:p>
        </w:tc>
        <w:tc>
          <w:tcPr>
            <w:tcW w:w="0" w:type="auto"/>
            <w:vAlign w:val="center"/>
          </w:tcPr>
          <w:p w:rsidR="005F78FC" w:rsidRDefault="00B42EF3">
            <w:pPr>
              <w:pStyle w:val="TableBodyText"/>
            </w:pPr>
            <w:r>
              <w:t>0006</w:t>
            </w:r>
          </w:p>
        </w:tc>
      </w:tr>
      <w:tr w:rsidR="005F78FC" w:rsidTr="005F78FC">
        <w:tc>
          <w:tcPr>
            <w:tcW w:w="0" w:type="auto"/>
            <w:vAlign w:val="center"/>
          </w:tcPr>
          <w:p w:rsidR="005F78FC" w:rsidRDefault="00B42EF3">
            <w:pPr>
              <w:pStyle w:val="TableBodyText"/>
            </w:pPr>
            <w:r>
              <w:t>HelpKeyboard</w:t>
            </w:r>
          </w:p>
        </w:tc>
        <w:tc>
          <w:tcPr>
            <w:tcW w:w="0" w:type="auto"/>
            <w:vAlign w:val="center"/>
          </w:tcPr>
          <w:p w:rsidR="005F78FC" w:rsidRDefault="00B42EF3">
            <w:pPr>
              <w:pStyle w:val="TableBodyText"/>
            </w:pPr>
            <w:r>
              <w:t>0005</w:t>
            </w:r>
          </w:p>
        </w:tc>
      </w:tr>
      <w:tr w:rsidR="005F78FC" w:rsidTr="005F78FC">
        <w:tc>
          <w:tcPr>
            <w:tcW w:w="0" w:type="auto"/>
            <w:vAlign w:val="center"/>
          </w:tcPr>
          <w:p w:rsidR="005F78FC" w:rsidRDefault="00B42EF3">
            <w:pPr>
              <w:pStyle w:val="TableBodyText"/>
            </w:pPr>
            <w:r>
              <w:t>HelpMSN</w:t>
            </w:r>
          </w:p>
        </w:tc>
        <w:tc>
          <w:tcPr>
            <w:tcW w:w="0" w:type="auto"/>
            <w:vAlign w:val="center"/>
          </w:tcPr>
          <w:p w:rsidR="005F78FC" w:rsidRDefault="00B42EF3">
            <w:pPr>
              <w:pStyle w:val="TableBodyText"/>
            </w:pPr>
            <w:r>
              <w:t>031B</w:t>
            </w:r>
          </w:p>
        </w:tc>
      </w:tr>
      <w:tr w:rsidR="005F78FC" w:rsidTr="005F78FC">
        <w:tc>
          <w:tcPr>
            <w:tcW w:w="0" w:type="auto"/>
            <w:vAlign w:val="center"/>
          </w:tcPr>
          <w:p w:rsidR="005F78FC" w:rsidRDefault="00B42EF3">
            <w:pPr>
              <w:pStyle w:val="TableBodyText"/>
            </w:pPr>
            <w:r>
              <w:t>HelpPSSHelp</w:t>
            </w:r>
          </w:p>
        </w:tc>
        <w:tc>
          <w:tcPr>
            <w:tcW w:w="0" w:type="auto"/>
            <w:vAlign w:val="center"/>
          </w:tcPr>
          <w:p w:rsidR="005F78FC" w:rsidRDefault="00B42EF3">
            <w:pPr>
              <w:pStyle w:val="TableBodyText"/>
            </w:pPr>
            <w:r>
              <w:t>0168</w:t>
            </w:r>
          </w:p>
        </w:tc>
      </w:tr>
      <w:tr w:rsidR="005F78FC" w:rsidTr="005F78FC">
        <w:tc>
          <w:tcPr>
            <w:tcW w:w="0" w:type="auto"/>
            <w:vAlign w:val="center"/>
          </w:tcPr>
          <w:p w:rsidR="005F78FC" w:rsidRDefault="00B42EF3">
            <w:pPr>
              <w:pStyle w:val="TableBodyText"/>
            </w:pPr>
            <w:r>
              <w:t>HelpQuickPreview</w:t>
            </w:r>
          </w:p>
        </w:tc>
        <w:tc>
          <w:tcPr>
            <w:tcW w:w="0" w:type="auto"/>
            <w:vAlign w:val="center"/>
          </w:tcPr>
          <w:p w:rsidR="005F78FC" w:rsidRDefault="00B42EF3">
            <w:pPr>
              <w:pStyle w:val="TableBodyText"/>
            </w:pPr>
            <w:r>
              <w:t>0007</w:t>
            </w:r>
          </w:p>
        </w:tc>
      </w:tr>
      <w:tr w:rsidR="005F78FC" w:rsidTr="005F78FC">
        <w:tc>
          <w:tcPr>
            <w:tcW w:w="0" w:type="auto"/>
            <w:vAlign w:val="center"/>
          </w:tcPr>
          <w:p w:rsidR="005F78FC" w:rsidRDefault="00B42EF3">
            <w:pPr>
              <w:pStyle w:val="TableBodyText"/>
            </w:pPr>
            <w:r>
              <w:t>HelpSearch</w:t>
            </w:r>
          </w:p>
        </w:tc>
        <w:tc>
          <w:tcPr>
            <w:tcW w:w="0" w:type="auto"/>
            <w:vAlign w:val="center"/>
          </w:tcPr>
          <w:p w:rsidR="005F78FC" w:rsidRDefault="00B42EF3">
            <w:pPr>
              <w:pStyle w:val="TableBodyText"/>
            </w:pPr>
            <w:r>
              <w:t>01FE</w:t>
            </w:r>
          </w:p>
        </w:tc>
      </w:tr>
      <w:tr w:rsidR="005F78FC" w:rsidTr="005F78FC">
        <w:tc>
          <w:tcPr>
            <w:tcW w:w="0" w:type="auto"/>
            <w:vAlign w:val="center"/>
          </w:tcPr>
          <w:p w:rsidR="005F78FC" w:rsidRDefault="00B42EF3">
            <w:pPr>
              <w:pStyle w:val="TableBodyText"/>
            </w:pPr>
            <w:r>
              <w:t>HelpShowHide</w:t>
            </w:r>
          </w:p>
        </w:tc>
        <w:tc>
          <w:tcPr>
            <w:tcW w:w="0" w:type="auto"/>
            <w:vAlign w:val="center"/>
          </w:tcPr>
          <w:p w:rsidR="005F78FC" w:rsidRDefault="00B42EF3">
            <w:pPr>
              <w:pStyle w:val="TableBodyText"/>
            </w:pPr>
            <w:r>
              <w:t>035A</w:t>
            </w:r>
          </w:p>
        </w:tc>
      </w:tr>
      <w:tr w:rsidR="005F78FC" w:rsidTr="005F78FC">
        <w:tc>
          <w:tcPr>
            <w:tcW w:w="0" w:type="auto"/>
            <w:vAlign w:val="center"/>
          </w:tcPr>
          <w:p w:rsidR="005F78FC" w:rsidRDefault="00B42EF3">
            <w:pPr>
              <w:pStyle w:val="TableBodyText"/>
            </w:pPr>
            <w:r>
              <w:t>HelpTipOfTheDay</w:t>
            </w:r>
          </w:p>
        </w:tc>
        <w:tc>
          <w:tcPr>
            <w:tcW w:w="0" w:type="auto"/>
            <w:vAlign w:val="center"/>
          </w:tcPr>
          <w:p w:rsidR="005F78FC" w:rsidRDefault="00B42EF3">
            <w:pPr>
              <w:pStyle w:val="TableBodyText"/>
            </w:pPr>
            <w:r>
              <w:t>027B</w:t>
            </w:r>
          </w:p>
        </w:tc>
      </w:tr>
      <w:tr w:rsidR="005F78FC" w:rsidTr="005F78FC">
        <w:tc>
          <w:tcPr>
            <w:tcW w:w="0" w:type="auto"/>
            <w:vAlign w:val="center"/>
          </w:tcPr>
          <w:p w:rsidR="005F78FC" w:rsidRDefault="00B42EF3">
            <w:pPr>
              <w:pStyle w:val="TableBodyText"/>
            </w:pPr>
            <w:r>
              <w:t>HelpTool</w:t>
            </w:r>
          </w:p>
        </w:tc>
        <w:tc>
          <w:tcPr>
            <w:tcW w:w="0" w:type="auto"/>
            <w:vAlign w:val="center"/>
          </w:tcPr>
          <w:p w:rsidR="005F78FC" w:rsidRDefault="00B42EF3">
            <w:pPr>
              <w:pStyle w:val="TableBodyText"/>
            </w:pPr>
            <w:r>
              <w:t>0002</w:t>
            </w:r>
          </w:p>
        </w:tc>
      </w:tr>
      <w:tr w:rsidR="005F78FC" w:rsidTr="005F78FC">
        <w:tc>
          <w:tcPr>
            <w:tcW w:w="0" w:type="auto"/>
            <w:vAlign w:val="center"/>
          </w:tcPr>
          <w:p w:rsidR="005F78FC" w:rsidRDefault="00B42EF3">
            <w:pPr>
              <w:pStyle w:val="TableBodyText"/>
            </w:pPr>
            <w:r>
              <w:t>HelpUsingHelp</w:t>
            </w:r>
          </w:p>
        </w:tc>
        <w:tc>
          <w:tcPr>
            <w:tcW w:w="0" w:type="auto"/>
            <w:vAlign w:val="center"/>
          </w:tcPr>
          <w:p w:rsidR="005F78FC" w:rsidRDefault="00B42EF3">
            <w:pPr>
              <w:pStyle w:val="TableBodyText"/>
            </w:pPr>
            <w:r>
              <w:t>0003</w:t>
            </w:r>
          </w:p>
        </w:tc>
      </w:tr>
      <w:tr w:rsidR="005F78FC" w:rsidTr="005F78FC">
        <w:tc>
          <w:tcPr>
            <w:tcW w:w="0" w:type="auto"/>
            <w:vAlign w:val="center"/>
          </w:tcPr>
          <w:p w:rsidR="005F78FC" w:rsidRDefault="00B42EF3">
            <w:pPr>
              <w:pStyle w:val="TableBodyText"/>
            </w:pPr>
            <w:r>
              <w:t>HelpWordPerfectHelp</w:t>
            </w:r>
          </w:p>
        </w:tc>
        <w:tc>
          <w:tcPr>
            <w:tcW w:w="0" w:type="auto"/>
            <w:vAlign w:val="center"/>
          </w:tcPr>
          <w:p w:rsidR="005F78FC" w:rsidRDefault="00B42EF3">
            <w:pPr>
              <w:pStyle w:val="TableBodyText"/>
            </w:pPr>
            <w:r>
              <w:t>000A</w:t>
            </w:r>
          </w:p>
        </w:tc>
      </w:tr>
      <w:tr w:rsidR="005F78FC" w:rsidTr="005F78FC">
        <w:tc>
          <w:tcPr>
            <w:tcW w:w="0" w:type="auto"/>
            <w:vAlign w:val="center"/>
          </w:tcPr>
          <w:p w:rsidR="005F78FC" w:rsidRDefault="00B42EF3">
            <w:pPr>
              <w:pStyle w:val="TableBodyText"/>
            </w:pPr>
            <w:r>
              <w:t>HelpWordPerfectHelpOptions</w:t>
            </w:r>
          </w:p>
        </w:tc>
        <w:tc>
          <w:tcPr>
            <w:tcW w:w="0" w:type="auto"/>
            <w:vAlign w:val="center"/>
          </w:tcPr>
          <w:p w:rsidR="005F78FC" w:rsidRDefault="00B42EF3">
            <w:pPr>
              <w:pStyle w:val="TableBodyText"/>
            </w:pPr>
            <w:r>
              <w:t>01FF</w:t>
            </w:r>
          </w:p>
        </w:tc>
      </w:tr>
      <w:tr w:rsidR="005F78FC" w:rsidTr="005F78FC">
        <w:tc>
          <w:tcPr>
            <w:tcW w:w="0" w:type="auto"/>
            <w:vAlign w:val="center"/>
          </w:tcPr>
          <w:p w:rsidR="005F78FC" w:rsidRDefault="00B42EF3">
            <w:pPr>
              <w:pStyle w:val="TableBodyText"/>
            </w:pPr>
            <w:r>
              <w:t>Hidden</w:t>
            </w:r>
          </w:p>
        </w:tc>
        <w:tc>
          <w:tcPr>
            <w:tcW w:w="0" w:type="auto"/>
            <w:vAlign w:val="center"/>
          </w:tcPr>
          <w:p w:rsidR="005F78FC" w:rsidRDefault="00B42EF3">
            <w:pPr>
              <w:pStyle w:val="TableBodyText"/>
            </w:pPr>
            <w:r>
              <w:t>0032</w:t>
            </w:r>
          </w:p>
        </w:tc>
      </w:tr>
      <w:tr w:rsidR="005F78FC" w:rsidTr="005F78FC">
        <w:tc>
          <w:tcPr>
            <w:tcW w:w="0" w:type="auto"/>
            <w:vAlign w:val="center"/>
          </w:tcPr>
          <w:p w:rsidR="005F78FC" w:rsidRDefault="00B42EF3">
            <w:pPr>
              <w:pStyle w:val="TableBodyText"/>
            </w:pPr>
            <w:r>
              <w:t>HideOutline</w:t>
            </w:r>
          </w:p>
        </w:tc>
        <w:tc>
          <w:tcPr>
            <w:tcW w:w="0" w:type="auto"/>
            <w:vAlign w:val="center"/>
          </w:tcPr>
          <w:p w:rsidR="005F78FC" w:rsidRDefault="00B42EF3">
            <w:pPr>
              <w:pStyle w:val="TableBodyText"/>
            </w:pPr>
            <w:r>
              <w:t>0850</w:t>
            </w:r>
          </w:p>
        </w:tc>
      </w:tr>
      <w:tr w:rsidR="005F78FC" w:rsidTr="005F78FC">
        <w:tc>
          <w:tcPr>
            <w:tcW w:w="0" w:type="auto"/>
            <w:vAlign w:val="center"/>
          </w:tcPr>
          <w:p w:rsidR="005F78FC" w:rsidRDefault="00B42EF3">
            <w:pPr>
              <w:pStyle w:val="TableBodyText"/>
            </w:pPr>
            <w:r>
              <w:t>Highlight</w:t>
            </w:r>
          </w:p>
        </w:tc>
        <w:tc>
          <w:tcPr>
            <w:tcW w:w="0" w:type="auto"/>
            <w:vAlign w:val="center"/>
          </w:tcPr>
          <w:p w:rsidR="005F78FC" w:rsidRDefault="00B42EF3">
            <w:pPr>
              <w:pStyle w:val="TableBodyText"/>
            </w:pPr>
            <w:r>
              <w:t>02E6</w:t>
            </w:r>
          </w:p>
        </w:tc>
      </w:tr>
      <w:tr w:rsidR="005F78FC" w:rsidTr="005F78FC">
        <w:tc>
          <w:tcPr>
            <w:tcW w:w="0" w:type="auto"/>
            <w:vAlign w:val="center"/>
          </w:tcPr>
          <w:p w:rsidR="005F78FC" w:rsidRDefault="00B42EF3">
            <w:pPr>
              <w:pStyle w:val="TableBodyText"/>
            </w:pPr>
            <w:r>
              <w:t>HighlightColorPicker</w:t>
            </w:r>
          </w:p>
        </w:tc>
        <w:tc>
          <w:tcPr>
            <w:tcW w:w="0" w:type="auto"/>
            <w:vAlign w:val="center"/>
          </w:tcPr>
          <w:p w:rsidR="005F78FC" w:rsidRDefault="00B42EF3">
            <w:pPr>
              <w:pStyle w:val="TableBodyText"/>
            </w:pPr>
            <w:r>
              <w:t>08B8</w:t>
            </w:r>
          </w:p>
        </w:tc>
      </w:tr>
      <w:tr w:rsidR="005F78FC" w:rsidTr="005F78FC">
        <w:tc>
          <w:tcPr>
            <w:tcW w:w="0" w:type="auto"/>
            <w:vAlign w:val="center"/>
          </w:tcPr>
          <w:p w:rsidR="005F78FC" w:rsidRDefault="00B42EF3">
            <w:pPr>
              <w:pStyle w:val="TableBodyText"/>
            </w:pPr>
            <w:r>
              <w:t>HtmlResAnchor</w:t>
            </w:r>
          </w:p>
        </w:tc>
        <w:tc>
          <w:tcPr>
            <w:tcW w:w="0" w:type="auto"/>
            <w:vAlign w:val="center"/>
          </w:tcPr>
          <w:p w:rsidR="005F78FC" w:rsidRDefault="00B42EF3">
            <w:pPr>
              <w:pStyle w:val="TableBodyText"/>
            </w:pPr>
            <w:r>
              <w:t>03C7</w:t>
            </w:r>
          </w:p>
        </w:tc>
      </w:tr>
      <w:tr w:rsidR="005F78FC" w:rsidTr="005F78FC">
        <w:tc>
          <w:tcPr>
            <w:tcW w:w="0" w:type="auto"/>
            <w:vAlign w:val="center"/>
          </w:tcPr>
          <w:p w:rsidR="005F78FC" w:rsidRDefault="00B42EF3">
            <w:pPr>
              <w:pStyle w:val="TableBodyText"/>
            </w:pPr>
            <w:r>
              <w:t>HyperlinkOpen</w:t>
            </w:r>
          </w:p>
        </w:tc>
        <w:tc>
          <w:tcPr>
            <w:tcW w:w="0" w:type="auto"/>
            <w:vAlign w:val="center"/>
          </w:tcPr>
          <w:p w:rsidR="005F78FC" w:rsidRDefault="00B42EF3">
            <w:pPr>
              <w:pStyle w:val="TableBodyText"/>
            </w:pPr>
            <w:r>
              <w:t>0398</w:t>
            </w:r>
          </w:p>
        </w:tc>
      </w:tr>
      <w:tr w:rsidR="005F78FC" w:rsidTr="005F78FC">
        <w:tc>
          <w:tcPr>
            <w:tcW w:w="0" w:type="auto"/>
            <w:vAlign w:val="center"/>
          </w:tcPr>
          <w:p w:rsidR="005F78FC" w:rsidRDefault="00B42EF3">
            <w:pPr>
              <w:pStyle w:val="TableBodyText"/>
            </w:pPr>
            <w:r>
              <w:t>IMEControl</w:t>
            </w:r>
          </w:p>
        </w:tc>
        <w:tc>
          <w:tcPr>
            <w:tcW w:w="0" w:type="auto"/>
            <w:vAlign w:val="center"/>
          </w:tcPr>
          <w:p w:rsidR="005F78FC" w:rsidRDefault="00B42EF3">
            <w:pPr>
              <w:pStyle w:val="TableBodyText"/>
            </w:pPr>
            <w:r>
              <w:t>0286</w:t>
            </w:r>
          </w:p>
        </w:tc>
      </w:tr>
      <w:tr w:rsidR="005F78FC" w:rsidTr="005F78FC">
        <w:tc>
          <w:tcPr>
            <w:tcW w:w="0" w:type="auto"/>
            <w:vAlign w:val="center"/>
          </w:tcPr>
          <w:p w:rsidR="005F78FC" w:rsidRDefault="00B42EF3">
            <w:pPr>
              <w:pStyle w:val="TableBodyText"/>
            </w:pPr>
            <w:r>
              <w:t>IgnoreAllConsistenceError</w:t>
            </w:r>
          </w:p>
        </w:tc>
        <w:tc>
          <w:tcPr>
            <w:tcW w:w="0" w:type="auto"/>
            <w:vAlign w:val="center"/>
          </w:tcPr>
          <w:p w:rsidR="005F78FC" w:rsidRDefault="00B42EF3">
            <w:pPr>
              <w:pStyle w:val="TableBodyText"/>
            </w:pPr>
            <w:r>
              <w:t>04FA</w:t>
            </w:r>
          </w:p>
        </w:tc>
      </w:tr>
      <w:tr w:rsidR="005F78FC" w:rsidTr="005F78FC">
        <w:tc>
          <w:tcPr>
            <w:tcW w:w="0" w:type="auto"/>
            <w:vAlign w:val="center"/>
          </w:tcPr>
          <w:p w:rsidR="005F78FC" w:rsidRDefault="00B42EF3">
            <w:pPr>
              <w:pStyle w:val="TableBodyText"/>
            </w:pPr>
            <w:r>
              <w:t>IgnoreConsistenceError</w:t>
            </w:r>
          </w:p>
        </w:tc>
        <w:tc>
          <w:tcPr>
            <w:tcW w:w="0" w:type="auto"/>
            <w:vAlign w:val="center"/>
          </w:tcPr>
          <w:p w:rsidR="005F78FC" w:rsidRDefault="00B42EF3">
            <w:pPr>
              <w:pStyle w:val="TableBodyText"/>
            </w:pPr>
            <w:r>
              <w:t>04F9</w:t>
            </w:r>
          </w:p>
        </w:tc>
      </w:tr>
      <w:tr w:rsidR="005F78FC" w:rsidTr="005F78FC">
        <w:tc>
          <w:tcPr>
            <w:tcW w:w="0" w:type="auto"/>
            <w:vAlign w:val="center"/>
          </w:tcPr>
          <w:p w:rsidR="005F78FC" w:rsidRDefault="00B42EF3">
            <w:pPr>
              <w:pStyle w:val="TableBodyText"/>
            </w:pPr>
            <w:r>
              <w:t>IncreaseIndent</w:t>
            </w:r>
          </w:p>
        </w:tc>
        <w:tc>
          <w:tcPr>
            <w:tcW w:w="0" w:type="auto"/>
            <w:vAlign w:val="center"/>
          </w:tcPr>
          <w:p w:rsidR="005F78FC" w:rsidRDefault="00B42EF3">
            <w:pPr>
              <w:pStyle w:val="TableBodyText"/>
            </w:pPr>
            <w:r>
              <w:t>03F2</w:t>
            </w:r>
          </w:p>
        </w:tc>
      </w:tr>
      <w:tr w:rsidR="005F78FC" w:rsidTr="005F78FC">
        <w:tc>
          <w:tcPr>
            <w:tcW w:w="0" w:type="auto"/>
            <w:vAlign w:val="center"/>
          </w:tcPr>
          <w:p w:rsidR="005F78FC" w:rsidRDefault="00B42EF3">
            <w:pPr>
              <w:pStyle w:val="TableBodyText"/>
            </w:pPr>
            <w:r>
              <w:t>IncreaseParagraphSpacing</w:t>
            </w:r>
          </w:p>
        </w:tc>
        <w:tc>
          <w:tcPr>
            <w:tcW w:w="0" w:type="auto"/>
            <w:vAlign w:val="center"/>
          </w:tcPr>
          <w:p w:rsidR="005F78FC" w:rsidRDefault="00B42EF3">
            <w:pPr>
              <w:pStyle w:val="TableBodyText"/>
            </w:pPr>
            <w:r>
              <w:t>053E</w:t>
            </w:r>
          </w:p>
        </w:tc>
      </w:tr>
      <w:tr w:rsidR="005F78FC" w:rsidTr="005F78FC">
        <w:tc>
          <w:tcPr>
            <w:tcW w:w="0" w:type="auto"/>
            <w:vAlign w:val="center"/>
          </w:tcPr>
          <w:p w:rsidR="005F78FC" w:rsidRDefault="00B42EF3">
            <w:pPr>
              <w:pStyle w:val="TableBodyText"/>
            </w:pPr>
            <w:r>
              <w:t>Indent</w:t>
            </w:r>
          </w:p>
        </w:tc>
        <w:tc>
          <w:tcPr>
            <w:tcW w:w="0" w:type="auto"/>
            <w:vAlign w:val="center"/>
          </w:tcPr>
          <w:p w:rsidR="005F78FC" w:rsidRDefault="00B42EF3">
            <w:pPr>
              <w:pStyle w:val="TableBodyText"/>
            </w:pPr>
            <w:r>
              <w:t>0026</w:t>
            </w:r>
          </w:p>
        </w:tc>
      </w:tr>
      <w:tr w:rsidR="005F78FC" w:rsidTr="005F78FC">
        <w:tc>
          <w:tcPr>
            <w:tcW w:w="0" w:type="auto"/>
            <w:vAlign w:val="center"/>
          </w:tcPr>
          <w:p w:rsidR="005F78FC" w:rsidRDefault="00B42EF3">
            <w:pPr>
              <w:pStyle w:val="TableBodyText"/>
            </w:pPr>
            <w:r>
              <w:t>IndentChar</w:t>
            </w:r>
          </w:p>
        </w:tc>
        <w:tc>
          <w:tcPr>
            <w:tcW w:w="0" w:type="auto"/>
            <w:vAlign w:val="center"/>
          </w:tcPr>
          <w:p w:rsidR="005F78FC" w:rsidRDefault="00B42EF3">
            <w:pPr>
              <w:pStyle w:val="TableBodyText"/>
            </w:pPr>
            <w:r>
              <w:t>02CF</w:t>
            </w:r>
          </w:p>
        </w:tc>
      </w:tr>
      <w:tr w:rsidR="005F78FC" w:rsidTr="005F78FC">
        <w:tc>
          <w:tcPr>
            <w:tcW w:w="0" w:type="auto"/>
            <w:vAlign w:val="center"/>
          </w:tcPr>
          <w:p w:rsidR="005F78FC" w:rsidRDefault="00B42EF3">
            <w:pPr>
              <w:pStyle w:val="TableBodyText"/>
            </w:pPr>
            <w:r>
              <w:lastRenderedPageBreak/>
              <w:t>IndentFirstChar</w:t>
            </w:r>
          </w:p>
        </w:tc>
        <w:tc>
          <w:tcPr>
            <w:tcW w:w="0" w:type="auto"/>
            <w:vAlign w:val="center"/>
          </w:tcPr>
          <w:p w:rsidR="005F78FC" w:rsidRDefault="00B42EF3">
            <w:pPr>
              <w:pStyle w:val="TableBodyText"/>
            </w:pPr>
            <w:r>
              <w:t>02D1</w:t>
            </w:r>
          </w:p>
        </w:tc>
      </w:tr>
      <w:tr w:rsidR="005F78FC" w:rsidTr="005F78FC">
        <w:tc>
          <w:tcPr>
            <w:tcW w:w="0" w:type="auto"/>
            <w:vAlign w:val="center"/>
          </w:tcPr>
          <w:p w:rsidR="005F78FC" w:rsidRDefault="00B42EF3">
            <w:pPr>
              <w:pStyle w:val="TableBodyText"/>
            </w:pPr>
            <w:r>
              <w:t>IndentFirstLine</w:t>
            </w:r>
          </w:p>
        </w:tc>
        <w:tc>
          <w:tcPr>
            <w:tcW w:w="0" w:type="auto"/>
            <w:vAlign w:val="center"/>
          </w:tcPr>
          <w:p w:rsidR="005F78FC" w:rsidRDefault="00B42EF3">
            <w:pPr>
              <w:pStyle w:val="TableBodyText"/>
            </w:pPr>
            <w:r>
              <w:t>02F2</w:t>
            </w:r>
          </w:p>
        </w:tc>
      </w:tr>
      <w:tr w:rsidR="005F78FC" w:rsidTr="005F78FC">
        <w:tc>
          <w:tcPr>
            <w:tcW w:w="0" w:type="auto"/>
            <w:vAlign w:val="center"/>
          </w:tcPr>
          <w:p w:rsidR="005F78FC" w:rsidRDefault="00B42EF3">
            <w:pPr>
              <w:pStyle w:val="TableBodyText"/>
            </w:pPr>
            <w:r>
              <w:t>IndentLabel</w:t>
            </w:r>
          </w:p>
        </w:tc>
        <w:tc>
          <w:tcPr>
            <w:tcW w:w="0" w:type="auto"/>
            <w:vAlign w:val="center"/>
          </w:tcPr>
          <w:p w:rsidR="005F78FC" w:rsidRDefault="00B42EF3">
            <w:pPr>
              <w:pStyle w:val="TableBodyText"/>
            </w:pPr>
            <w:r>
              <w:t>08B4</w:t>
            </w:r>
          </w:p>
        </w:tc>
      </w:tr>
      <w:tr w:rsidR="005F78FC" w:rsidTr="005F78FC">
        <w:tc>
          <w:tcPr>
            <w:tcW w:w="0" w:type="auto"/>
            <w:vAlign w:val="center"/>
          </w:tcPr>
          <w:p w:rsidR="005F78FC" w:rsidRDefault="00B42EF3">
            <w:pPr>
              <w:pStyle w:val="TableBodyText"/>
            </w:pPr>
            <w:r>
              <w:t>IndentLeftSpinner</w:t>
            </w:r>
          </w:p>
        </w:tc>
        <w:tc>
          <w:tcPr>
            <w:tcW w:w="0" w:type="auto"/>
            <w:vAlign w:val="center"/>
          </w:tcPr>
          <w:p w:rsidR="005F78FC" w:rsidRDefault="00B42EF3">
            <w:pPr>
              <w:pStyle w:val="TableBodyText"/>
            </w:pPr>
            <w:r>
              <w:t>08AD</w:t>
            </w:r>
          </w:p>
        </w:tc>
      </w:tr>
      <w:tr w:rsidR="005F78FC" w:rsidTr="005F78FC">
        <w:tc>
          <w:tcPr>
            <w:tcW w:w="0" w:type="auto"/>
            <w:vAlign w:val="center"/>
          </w:tcPr>
          <w:p w:rsidR="005F78FC" w:rsidRDefault="00B42EF3">
            <w:pPr>
              <w:pStyle w:val="TableBodyText"/>
            </w:pPr>
            <w:r>
              <w:t>IndentLine</w:t>
            </w:r>
          </w:p>
        </w:tc>
        <w:tc>
          <w:tcPr>
            <w:tcW w:w="0" w:type="auto"/>
            <w:vAlign w:val="center"/>
          </w:tcPr>
          <w:p w:rsidR="005F78FC" w:rsidRDefault="00B42EF3">
            <w:pPr>
              <w:pStyle w:val="TableBodyText"/>
            </w:pPr>
            <w:r>
              <w:t>02F4</w:t>
            </w:r>
          </w:p>
        </w:tc>
      </w:tr>
      <w:tr w:rsidR="005F78FC" w:rsidTr="005F78FC">
        <w:tc>
          <w:tcPr>
            <w:tcW w:w="0" w:type="auto"/>
            <w:vAlign w:val="center"/>
          </w:tcPr>
          <w:p w:rsidR="005F78FC" w:rsidRDefault="00B42EF3">
            <w:pPr>
              <w:pStyle w:val="TableBodyText"/>
            </w:pPr>
            <w:r>
              <w:t>IndentRightSpinner</w:t>
            </w:r>
          </w:p>
        </w:tc>
        <w:tc>
          <w:tcPr>
            <w:tcW w:w="0" w:type="auto"/>
            <w:vAlign w:val="center"/>
          </w:tcPr>
          <w:p w:rsidR="005F78FC" w:rsidRDefault="00B42EF3">
            <w:pPr>
              <w:pStyle w:val="TableBodyText"/>
            </w:pPr>
            <w:r>
              <w:t>08AE</w:t>
            </w:r>
          </w:p>
        </w:tc>
      </w:tr>
      <w:tr w:rsidR="005F78FC" w:rsidTr="005F78FC">
        <w:tc>
          <w:tcPr>
            <w:tcW w:w="0" w:type="auto"/>
            <w:vAlign w:val="center"/>
          </w:tcPr>
          <w:p w:rsidR="005F78FC" w:rsidRDefault="00B42EF3">
            <w:pPr>
              <w:pStyle w:val="TableBodyText"/>
            </w:pPr>
            <w:r>
              <w:t>InkAnnotationEraser</w:t>
            </w:r>
          </w:p>
        </w:tc>
        <w:tc>
          <w:tcPr>
            <w:tcW w:w="0" w:type="auto"/>
            <w:vAlign w:val="center"/>
          </w:tcPr>
          <w:p w:rsidR="005F78FC" w:rsidRDefault="00B42EF3">
            <w:pPr>
              <w:pStyle w:val="TableBodyText"/>
            </w:pPr>
            <w:r>
              <w:t>05C9</w:t>
            </w:r>
          </w:p>
        </w:tc>
      </w:tr>
      <w:tr w:rsidR="005F78FC" w:rsidTr="005F78FC">
        <w:tc>
          <w:tcPr>
            <w:tcW w:w="0" w:type="auto"/>
            <w:vAlign w:val="center"/>
          </w:tcPr>
          <w:p w:rsidR="005F78FC" w:rsidRDefault="00B42EF3">
            <w:pPr>
              <w:pStyle w:val="TableBodyText"/>
            </w:pPr>
            <w:r>
              <w:t>InkColorPicker</w:t>
            </w:r>
          </w:p>
        </w:tc>
        <w:tc>
          <w:tcPr>
            <w:tcW w:w="0" w:type="auto"/>
            <w:vAlign w:val="center"/>
          </w:tcPr>
          <w:p w:rsidR="005F78FC" w:rsidRDefault="00B42EF3">
            <w:pPr>
              <w:pStyle w:val="TableBodyText"/>
            </w:pPr>
            <w:r>
              <w:t>0957</w:t>
            </w:r>
          </w:p>
        </w:tc>
      </w:tr>
      <w:tr w:rsidR="005F78FC" w:rsidTr="005F78FC">
        <w:tc>
          <w:tcPr>
            <w:tcW w:w="0" w:type="auto"/>
            <w:vAlign w:val="center"/>
          </w:tcPr>
          <w:p w:rsidR="005F78FC" w:rsidRDefault="00B42EF3">
            <w:pPr>
              <w:pStyle w:val="TableBodyText"/>
            </w:pPr>
            <w:r>
              <w:t>InkEraser</w:t>
            </w:r>
          </w:p>
        </w:tc>
        <w:tc>
          <w:tcPr>
            <w:tcW w:w="0" w:type="auto"/>
            <w:vAlign w:val="center"/>
          </w:tcPr>
          <w:p w:rsidR="005F78FC" w:rsidRDefault="00B42EF3">
            <w:pPr>
              <w:pStyle w:val="TableBodyText"/>
            </w:pPr>
            <w:r>
              <w:t>05C6</w:t>
            </w:r>
          </w:p>
        </w:tc>
      </w:tr>
      <w:tr w:rsidR="005F78FC" w:rsidTr="005F78FC">
        <w:tc>
          <w:tcPr>
            <w:tcW w:w="0" w:type="auto"/>
            <w:vAlign w:val="center"/>
          </w:tcPr>
          <w:p w:rsidR="005F78FC" w:rsidRDefault="00B42EF3">
            <w:pPr>
              <w:pStyle w:val="TableBodyText"/>
            </w:pPr>
            <w:r>
              <w:t>InkingGroup</w:t>
            </w:r>
          </w:p>
        </w:tc>
        <w:tc>
          <w:tcPr>
            <w:tcW w:w="0" w:type="auto"/>
            <w:vAlign w:val="center"/>
          </w:tcPr>
          <w:p w:rsidR="005F78FC" w:rsidRDefault="00B42EF3">
            <w:pPr>
              <w:pStyle w:val="TableBodyText"/>
            </w:pPr>
            <w:r>
              <w:t>08C4</w:t>
            </w:r>
          </w:p>
        </w:tc>
      </w:tr>
      <w:tr w:rsidR="005F78FC" w:rsidTr="005F78FC">
        <w:tc>
          <w:tcPr>
            <w:tcW w:w="0" w:type="auto"/>
            <w:vAlign w:val="center"/>
          </w:tcPr>
          <w:p w:rsidR="005F78FC" w:rsidRDefault="00B42EF3">
            <w:pPr>
              <w:pStyle w:val="TableBodyText"/>
            </w:pPr>
            <w:r>
              <w:t>InsertAddCaption</w:t>
            </w:r>
          </w:p>
        </w:tc>
        <w:tc>
          <w:tcPr>
            <w:tcW w:w="0" w:type="auto"/>
            <w:vAlign w:val="center"/>
          </w:tcPr>
          <w:p w:rsidR="005F78FC" w:rsidRDefault="00B42EF3">
            <w:pPr>
              <w:pStyle w:val="TableBodyText"/>
            </w:pPr>
            <w:r>
              <w:t>0192</w:t>
            </w:r>
          </w:p>
        </w:tc>
      </w:tr>
      <w:tr w:rsidR="005F78FC" w:rsidTr="005F78FC">
        <w:tc>
          <w:tcPr>
            <w:tcW w:w="0" w:type="auto"/>
            <w:vAlign w:val="center"/>
          </w:tcPr>
          <w:p w:rsidR="005F78FC" w:rsidRDefault="00B42EF3">
            <w:pPr>
              <w:pStyle w:val="TableBodyText"/>
            </w:pPr>
            <w:r>
              <w:t>InsertAddress</w:t>
            </w:r>
          </w:p>
        </w:tc>
        <w:tc>
          <w:tcPr>
            <w:tcW w:w="0" w:type="auto"/>
            <w:vAlign w:val="center"/>
          </w:tcPr>
          <w:p w:rsidR="005F78FC" w:rsidRDefault="00B42EF3">
            <w:pPr>
              <w:pStyle w:val="TableBodyText"/>
            </w:pPr>
            <w:r>
              <w:t>02F6</w:t>
            </w:r>
          </w:p>
        </w:tc>
      </w:tr>
      <w:tr w:rsidR="005F78FC" w:rsidTr="005F78FC">
        <w:tc>
          <w:tcPr>
            <w:tcW w:w="0" w:type="auto"/>
            <w:vAlign w:val="center"/>
          </w:tcPr>
          <w:p w:rsidR="005F78FC" w:rsidRDefault="00B42EF3">
            <w:pPr>
              <w:pStyle w:val="TableBodyText"/>
            </w:pPr>
            <w:r>
              <w:t>InsertAlignmentTab</w:t>
            </w:r>
          </w:p>
        </w:tc>
        <w:tc>
          <w:tcPr>
            <w:tcW w:w="0" w:type="auto"/>
            <w:vAlign w:val="center"/>
          </w:tcPr>
          <w:p w:rsidR="005F78FC" w:rsidRDefault="00B42EF3">
            <w:pPr>
              <w:pStyle w:val="TableBodyText"/>
            </w:pPr>
            <w:r>
              <w:t>05DB</w:t>
            </w:r>
          </w:p>
        </w:tc>
      </w:tr>
      <w:tr w:rsidR="005F78FC" w:rsidTr="005F78FC">
        <w:tc>
          <w:tcPr>
            <w:tcW w:w="0" w:type="auto"/>
            <w:vAlign w:val="center"/>
          </w:tcPr>
          <w:p w:rsidR="005F78FC" w:rsidRDefault="00B42EF3">
            <w:pPr>
              <w:pStyle w:val="TableBodyText"/>
            </w:pPr>
            <w:r>
              <w:t>InsertAnnotation</w:t>
            </w:r>
          </w:p>
        </w:tc>
        <w:tc>
          <w:tcPr>
            <w:tcW w:w="0" w:type="auto"/>
            <w:vAlign w:val="center"/>
          </w:tcPr>
          <w:p w:rsidR="005F78FC" w:rsidRDefault="00B42EF3">
            <w:pPr>
              <w:pStyle w:val="TableBodyText"/>
            </w:pPr>
            <w:r>
              <w:t>00A1</w:t>
            </w:r>
          </w:p>
        </w:tc>
      </w:tr>
      <w:tr w:rsidR="005F78FC" w:rsidTr="005F78FC">
        <w:tc>
          <w:tcPr>
            <w:tcW w:w="0" w:type="auto"/>
            <w:vAlign w:val="center"/>
          </w:tcPr>
          <w:p w:rsidR="005F78FC" w:rsidRDefault="00B42EF3">
            <w:pPr>
              <w:pStyle w:val="TableBodyText"/>
            </w:pPr>
            <w:r>
              <w:t>InsertAutoCaption</w:t>
            </w:r>
          </w:p>
        </w:tc>
        <w:tc>
          <w:tcPr>
            <w:tcW w:w="0" w:type="auto"/>
            <w:vAlign w:val="center"/>
          </w:tcPr>
          <w:p w:rsidR="005F78FC" w:rsidRDefault="00B42EF3">
            <w:pPr>
              <w:pStyle w:val="TableBodyText"/>
            </w:pPr>
            <w:r>
              <w:t>0167</w:t>
            </w:r>
          </w:p>
        </w:tc>
      </w:tr>
      <w:tr w:rsidR="005F78FC" w:rsidTr="005F78FC">
        <w:tc>
          <w:tcPr>
            <w:tcW w:w="0" w:type="auto"/>
            <w:vAlign w:val="center"/>
          </w:tcPr>
          <w:p w:rsidR="005F78FC" w:rsidRDefault="00B42EF3">
            <w:pPr>
              <w:pStyle w:val="TableBodyText"/>
            </w:pPr>
            <w:r>
              <w:t>InsertAutoText</w:t>
            </w:r>
          </w:p>
        </w:tc>
        <w:tc>
          <w:tcPr>
            <w:tcW w:w="0" w:type="auto"/>
            <w:vAlign w:val="center"/>
          </w:tcPr>
          <w:p w:rsidR="005F78FC" w:rsidRDefault="00B42EF3">
            <w:pPr>
              <w:pStyle w:val="TableBodyText"/>
            </w:pPr>
            <w:r>
              <w:t>0014</w:t>
            </w:r>
          </w:p>
        </w:tc>
      </w:tr>
      <w:tr w:rsidR="005F78FC" w:rsidTr="005F78FC">
        <w:tc>
          <w:tcPr>
            <w:tcW w:w="0" w:type="auto"/>
            <w:vAlign w:val="center"/>
          </w:tcPr>
          <w:p w:rsidR="005F78FC" w:rsidRDefault="00B42EF3">
            <w:pPr>
              <w:pStyle w:val="TableBodyText"/>
            </w:pPr>
            <w:r>
              <w:t>InsertBibliography</w:t>
            </w:r>
          </w:p>
        </w:tc>
        <w:tc>
          <w:tcPr>
            <w:tcW w:w="0" w:type="auto"/>
            <w:vAlign w:val="center"/>
          </w:tcPr>
          <w:p w:rsidR="005F78FC" w:rsidRDefault="00B42EF3">
            <w:pPr>
              <w:pStyle w:val="TableBodyText"/>
            </w:pPr>
            <w:r>
              <w:t>077D</w:t>
            </w:r>
          </w:p>
        </w:tc>
      </w:tr>
      <w:tr w:rsidR="005F78FC" w:rsidTr="005F78FC">
        <w:tc>
          <w:tcPr>
            <w:tcW w:w="0" w:type="auto"/>
            <w:vAlign w:val="center"/>
          </w:tcPr>
          <w:p w:rsidR="005F78FC" w:rsidRDefault="00B42EF3">
            <w:pPr>
              <w:pStyle w:val="TableBodyText"/>
            </w:pPr>
            <w:r>
              <w:t>InsertBreak</w:t>
            </w:r>
          </w:p>
        </w:tc>
        <w:tc>
          <w:tcPr>
            <w:tcW w:w="0" w:type="auto"/>
            <w:vAlign w:val="center"/>
          </w:tcPr>
          <w:p w:rsidR="005F78FC" w:rsidRDefault="00B42EF3">
            <w:pPr>
              <w:pStyle w:val="TableBodyText"/>
            </w:pPr>
            <w:r>
              <w:t>009F</w:t>
            </w:r>
          </w:p>
        </w:tc>
      </w:tr>
      <w:tr w:rsidR="005F78FC" w:rsidTr="005F78FC">
        <w:tc>
          <w:tcPr>
            <w:tcW w:w="0" w:type="auto"/>
            <w:vAlign w:val="center"/>
          </w:tcPr>
          <w:p w:rsidR="005F78FC" w:rsidRDefault="00B42EF3">
            <w:pPr>
              <w:pStyle w:val="TableBodyText"/>
            </w:pPr>
            <w:r>
              <w:t>InsertBuildingBlockBeginDocument</w:t>
            </w:r>
          </w:p>
        </w:tc>
        <w:tc>
          <w:tcPr>
            <w:tcW w:w="0" w:type="auto"/>
            <w:vAlign w:val="center"/>
          </w:tcPr>
          <w:p w:rsidR="005F78FC" w:rsidRDefault="00B42EF3">
            <w:pPr>
              <w:pStyle w:val="TableBodyText"/>
            </w:pPr>
            <w:r>
              <w:t>078E</w:t>
            </w:r>
          </w:p>
        </w:tc>
      </w:tr>
      <w:tr w:rsidR="005F78FC" w:rsidTr="005F78FC">
        <w:tc>
          <w:tcPr>
            <w:tcW w:w="0" w:type="auto"/>
            <w:vAlign w:val="center"/>
          </w:tcPr>
          <w:p w:rsidR="005F78FC" w:rsidRDefault="00B42EF3">
            <w:pPr>
              <w:pStyle w:val="TableBodyText"/>
            </w:pPr>
            <w:r>
              <w:t>InsertBuildingBlockBeginSection</w:t>
            </w:r>
          </w:p>
        </w:tc>
        <w:tc>
          <w:tcPr>
            <w:tcW w:w="0" w:type="auto"/>
            <w:vAlign w:val="center"/>
          </w:tcPr>
          <w:p w:rsidR="005F78FC" w:rsidRDefault="00B42EF3">
            <w:pPr>
              <w:pStyle w:val="TableBodyText"/>
            </w:pPr>
            <w:r>
              <w:t>078C</w:t>
            </w:r>
          </w:p>
        </w:tc>
      </w:tr>
      <w:tr w:rsidR="005F78FC" w:rsidTr="005F78FC">
        <w:tc>
          <w:tcPr>
            <w:tcW w:w="0" w:type="auto"/>
            <w:vAlign w:val="center"/>
          </w:tcPr>
          <w:p w:rsidR="005F78FC" w:rsidRDefault="00B42EF3">
            <w:pPr>
              <w:pStyle w:val="TableBodyText"/>
            </w:pPr>
            <w:r>
              <w:t>InsertBuildingBlockEndDocument</w:t>
            </w:r>
          </w:p>
        </w:tc>
        <w:tc>
          <w:tcPr>
            <w:tcW w:w="0" w:type="auto"/>
            <w:vAlign w:val="center"/>
          </w:tcPr>
          <w:p w:rsidR="005F78FC" w:rsidRDefault="00B42EF3">
            <w:pPr>
              <w:pStyle w:val="TableBodyText"/>
            </w:pPr>
            <w:r>
              <w:t>078F</w:t>
            </w:r>
          </w:p>
        </w:tc>
      </w:tr>
      <w:tr w:rsidR="005F78FC" w:rsidTr="005F78FC">
        <w:tc>
          <w:tcPr>
            <w:tcW w:w="0" w:type="auto"/>
            <w:vAlign w:val="center"/>
          </w:tcPr>
          <w:p w:rsidR="005F78FC" w:rsidRDefault="00B42EF3">
            <w:pPr>
              <w:pStyle w:val="TableBodyText"/>
            </w:pPr>
            <w:r>
              <w:t>InsertBuildingBlockEndSection</w:t>
            </w:r>
          </w:p>
        </w:tc>
        <w:tc>
          <w:tcPr>
            <w:tcW w:w="0" w:type="auto"/>
            <w:vAlign w:val="center"/>
          </w:tcPr>
          <w:p w:rsidR="005F78FC" w:rsidRDefault="00B42EF3">
            <w:pPr>
              <w:pStyle w:val="TableBodyText"/>
            </w:pPr>
            <w:r>
              <w:t>078D</w:t>
            </w:r>
          </w:p>
        </w:tc>
      </w:tr>
      <w:tr w:rsidR="005F78FC" w:rsidTr="005F78FC">
        <w:tc>
          <w:tcPr>
            <w:tcW w:w="0" w:type="auto"/>
            <w:vAlign w:val="center"/>
          </w:tcPr>
          <w:p w:rsidR="005F78FC" w:rsidRDefault="00B42EF3">
            <w:pPr>
              <w:pStyle w:val="TableBodyText"/>
            </w:pPr>
            <w:r>
              <w:t>InsertBuildingBlockFooter</w:t>
            </w:r>
          </w:p>
        </w:tc>
        <w:tc>
          <w:tcPr>
            <w:tcW w:w="0" w:type="auto"/>
            <w:vAlign w:val="center"/>
          </w:tcPr>
          <w:p w:rsidR="005F78FC" w:rsidRDefault="00B42EF3">
            <w:pPr>
              <w:pStyle w:val="TableBodyText"/>
            </w:pPr>
            <w:r>
              <w:t>078B</w:t>
            </w:r>
          </w:p>
        </w:tc>
      </w:tr>
      <w:tr w:rsidR="005F78FC" w:rsidTr="005F78FC">
        <w:tc>
          <w:tcPr>
            <w:tcW w:w="0" w:type="auto"/>
            <w:vAlign w:val="center"/>
          </w:tcPr>
          <w:p w:rsidR="005F78FC" w:rsidRDefault="00B42EF3">
            <w:pPr>
              <w:pStyle w:val="TableBodyText"/>
            </w:pPr>
            <w:r>
              <w:t>InsertBuildingBlockHeader</w:t>
            </w:r>
          </w:p>
        </w:tc>
        <w:tc>
          <w:tcPr>
            <w:tcW w:w="0" w:type="auto"/>
            <w:vAlign w:val="center"/>
          </w:tcPr>
          <w:p w:rsidR="005F78FC" w:rsidRDefault="00B42EF3">
            <w:pPr>
              <w:pStyle w:val="TableBodyText"/>
            </w:pPr>
            <w:r>
              <w:t>078A</w:t>
            </w:r>
          </w:p>
        </w:tc>
      </w:tr>
      <w:tr w:rsidR="005F78FC" w:rsidTr="005F78FC">
        <w:tc>
          <w:tcPr>
            <w:tcW w:w="0" w:type="auto"/>
            <w:vAlign w:val="center"/>
          </w:tcPr>
          <w:p w:rsidR="005F78FC" w:rsidRDefault="00B42EF3">
            <w:pPr>
              <w:pStyle w:val="TableBodyText"/>
            </w:pPr>
            <w:r>
              <w:t>InsertBuildingBlockIP</w:t>
            </w:r>
          </w:p>
        </w:tc>
        <w:tc>
          <w:tcPr>
            <w:tcW w:w="0" w:type="auto"/>
            <w:vAlign w:val="center"/>
          </w:tcPr>
          <w:p w:rsidR="005F78FC" w:rsidRDefault="00B42EF3">
            <w:pPr>
              <w:pStyle w:val="TableBodyText"/>
            </w:pPr>
            <w:r>
              <w:t>0789</w:t>
            </w:r>
          </w:p>
        </w:tc>
      </w:tr>
      <w:tr w:rsidR="005F78FC" w:rsidTr="005F78FC">
        <w:tc>
          <w:tcPr>
            <w:tcW w:w="0" w:type="auto"/>
            <w:vAlign w:val="center"/>
          </w:tcPr>
          <w:p w:rsidR="005F78FC" w:rsidRDefault="00B42EF3">
            <w:pPr>
              <w:pStyle w:val="TableBodyText"/>
            </w:pPr>
            <w:r>
              <w:t>InsertCaption</w:t>
            </w:r>
          </w:p>
        </w:tc>
        <w:tc>
          <w:tcPr>
            <w:tcW w:w="0" w:type="auto"/>
            <w:vAlign w:val="center"/>
          </w:tcPr>
          <w:p w:rsidR="005F78FC" w:rsidRDefault="00B42EF3">
            <w:pPr>
              <w:pStyle w:val="TableBodyText"/>
            </w:pPr>
            <w:r>
              <w:t>0165</w:t>
            </w:r>
          </w:p>
        </w:tc>
      </w:tr>
      <w:tr w:rsidR="005F78FC" w:rsidTr="005F78FC">
        <w:tc>
          <w:tcPr>
            <w:tcW w:w="0" w:type="auto"/>
            <w:vAlign w:val="center"/>
          </w:tcPr>
          <w:p w:rsidR="005F78FC" w:rsidRDefault="00B42EF3">
            <w:pPr>
              <w:pStyle w:val="TableBodyText"/>
            </w:pPr>
            <w:r>
              <w:t>InsertCaptionNumbering</w:t>
            </w:r>
          </w:p>
        </w:tc>
        <w:tc>
          <w:tcPr>
            <w:tcW w:w="0" w:type="auto"/>
            <w:vAlign w:val="center"/>
          </w:tcPr>
          <w:p w:rsidR="005F78FC" w:rsidRDefault="00B42EF3">
            <w:pPr>
              <w:pStyle w:val="TableBodyText"/>
            </w:pPr>
            <w:r>
              <w:t>0166</w:t>
            </w:r>
          </w:p>
        </w:tc>
      </w:tr>
      <w:tr w:rsidR="005F78FC" w:rsidTr="005F78FC">
        <w:tc>
          <w:tcPr>
            <w:tcW w:w="0" w:type="auto"/>
            <w:vAlign w:val="center"/>
          </w:tcPr>
          <w:p w:rsidR="005F78FC" w:rsidRDefault="00B42EF3">
            <w:pPr>
              <w:pStyle w:val="TableBodyText"/>
            </w:pPr>
            <w:r>
              <w:t>InsertChart</w:t>
            </w:r>
          </w:p>
        </w:tc>
        <w:tc>
          <w:tcPr>
            <w:tcW w:w="0" w:type="auto"/>
            <w:vAlign w:val="center"/>
          </w:tcPr>
          <w:p w:rsidR="005F78FC" w:rsidRDefault="00B42EF3">
            <w:pPr>
              <w:pStyle w:val="TableBodyText"/>
            </w:pPr>
            <w:r>
              <w:t>011D</w:t>
            </w:r>
          </w:p>
        </w:tc>
      </w:tr>
      <w:tr w:rsidR="005F78FC" w:rsidTr="005F78FC">
        <w:tc>
          <w:tcPr>
            <w:tcW w:w="0" w:type="auto"/>
            <w:vAlign w:val="center"/>
          </w:tcPr>
          <w:p w:rsidR="005F78FC" w:rsidRDefault="00B42EF3">
            <w:pPr>
              <w:pStyle w:val="TableBodyText"/>
            </w:pPr>
            <w:r>
              <w:t>InsertCitation</w:t>
            </w:r>
          </w:p>
        </w:tc>
        <w:tc>
          <w:tcPr>
            <w:tcW w:w="0" w:type="auto"/>
            <w:vAlign w:val="center"/>
          </w:tcPr>
          <w:p w:rsidR="005F78FC" w:rsidRDefault="00B42EF3">
            <w:pPr>
              <w:pStyle w:val="TableBodyText"/>
            </w:pPr>
            <w:r>
              <w:t>077C</w:t>
            </w:r>
          </w:p>
        </w:tc>
      </w:tr>
      <w:tr w:rsidR="005F78FC" w:rsidTr="005F78FC">
        <w:tc>
          <w:tcPr>
            <w:tcW w:w="0" w:type="auto"/>
            <w:vAlign w:val="center"/>
          </w:tcPr>
          <w:p w:rsidR="005F78FC" w:rsidRDefault="00B42EF3">
            <w:pPr>
              <w:pStyle w:val="TableBodyText"/>
            </w:pPr>
            <w:r>
              <w:t>InsertColumnBreak</w:t>
            </w:r>
          </w:p>
        </w:tc>
        <w:tc>
          <w:tcPr>
            <w:tcW w:w="0" w:type="auto"/>
            <w:vAlign w:val="center"/>
          </w:tcPr>
          <w:p w:rsidR="005F78FC" w:rsidRDefault="00B42EF3">
            <w:pPr>
              <w:pStyle w:val="TableBodyText"/>
            </w:pPr>
            <w:r>
              <w:t>033F</w:t>
            </w:r>
          </w:p>
        </w:tc>
      </w:tr>
      <w:tr w:rsidR="005F78FC" w:rsidTr="005F78FC">
        <w:tc>
          <w:tcPr>
            <w:tcW w:w="0" w:type="auto"/>
            <w:vAlign w:val="center"/>
          </w:tcPr>
          <w:p w:rsidR="005F78FC" w:rsidRDefault="00B42EF3">
            <w:pPr>
              <w:pStyle w:val="TableBodyText"/>
            </w:pPr>
            <w:r>
              <w:t>InsertCrossReference</w:t>
            </w:r>
          </w:p>
        </w:tc>
        <w:tc>
          <w:tcPr>
            <w:tcW w:w="0" w:type="auto"/>
            <w:vAlign w:val="center"/>
          </w:tcPr>
          <w:p w:rsidR="005F78FC" w:rsidRDefault="00B42EF3">
            <w:pPr>
              <w:pStyle w:val="TableBodyText"/>
            </w:pPr>
            <w:r>
              <w:t>016F</w:t>
            </w:r>
          </w:p>
        </w:tc>
      </w:tr>
      <w:tr w:rsidR="005F78FC" w:rsidTr="005F78FC">
        <w:tc>
          <w:tcPr>
            <w:tcW w:w="0" w:type="auto"/>
            <w:vAlign w:val="center"/>
          </w:tcPr>
          <w:p w:rsidR="005F78FC" w:rsidRDefault="00B42EF3">
            <w:pPr>
              <w:pStyle w:val="TableBodyText"/>
            </w:pPr>
            <w:r>
              <w:t>InsertDatabase</w:t>
            </w:r>
          </w:p>
        </w:tc>
        <w:tc>
          <w:tcPr>
            <w:tcW w:w="0" w:type="auto"/>
            <w:vAlign w:val="center"/>
          </w:tcPr>
          <w:p w:rsidR="005F78FC" w:rsidRDefault="00B42EF3">
            <w:pPr>
              <w:pStyle w:val="TableBodyText"/>
            </w:pPr>
            <w:r>
              <w:t>0155</w:t>
            </w:r>
          </w:p>
        </w:tc>
      </w:tr>
      <w:tr w:rsidR="005F78FC" w:rsidTr="005F78FC">
        <w:tc>
          <w:tcPr>
            <w:tcW w:w="0" w:type="auto"/>
            <w:vAlign w:val="center"/>
          </w:tcPr>
          <w:p w:rsidR="005F78FC" w:rsidRDefault="00B42EF3">
            <w:pPr>
              <w:pStyle w:val="TableBodyText"/>
            </w:pPr>
            <w:r>
              <w:lastRenderedPageBreak/>
              <w:t>InsertDateField</w:t>
            </w:r>
          </w:p>
        </w:tc>
        <w:tc>
          <w:tcPr>
            <w:tcW w:w="0" w:type="auto"/>
            <w:vAlign w:val="center"/>
          </w:tcPr>
          <w:p w:rsidR="005F78FC" w:rsidRDefault="00B42EF3">
            <w:pPr>
              <w:pStyle w:val="TableBodyText"/>
            </w:pPr>
            <w:r>
              <w:t>00F0</w:t>
            </w:r>
          </w:p>
        </w:tc>
      </w:tr>
      <w:tr w:rsidR="005F78FC" w:rsidTr="005F78FC">
        <w:tc>
          <w:tcPr>
            <w:tcW w:w="0" w:type="auto"/>
            <w:vAlign w:val="center"/>
          </w:tcPr>
          <w:p w:rsidR="005F78FC" w:rsidRDefault="00B42EF3">
            <w:pPr>
              <w:pStyle w:val="TableBodyText"/>
            </w:pPr>
            <w:r>
              <w:t>InsertDateTime</w:t>
            </w:r>
          </w:p>
        </w:tc>
        <w:tc>
          <w:tcPr>
            <w:tcW w:w="0" w:type="auto"/>
            <w:vAlign w:val="center"/>
          </w:tcPr>
          <w:p w:rsidR="005F78FC" w:rsidRDefault="00B42EF3">
            <w:pPr>
              <w:pStyle w:val="TableBodyText"/>
            </w:pPr>
            <w:r>
              <w:t>00A5</w:t>
            </w:r>
          </w:p>
        </w:tc>
      </w:tr>
      <w:tr w:rsidR="005F78FC" w:rsidTr="005F78FC">
        <w:tc>
          <w:tcPr>
            <w:tcW w:w="0" w:type="auto"/>
            <w:vAlign w:val="center"/>
          </w:tcPr>
          <w:p w:rsidR="005F78FC" w:rsidRDefault="00B42EF3">
            <w:pPr>
              <w:pStyle w:val="TableBodyText"/>
            </w:pPr>
            <w:r>
              <w:t>InsertDrawing</w:t>
            </w:r>
          </w:p>
        </w:tc>
        <w:tc>
          <w:tcPr>
            <w:tcW w:w="0" w:type="auto"/>
            <w:vAlign w:val="center"/>
          </w:tcPr>
          <w:p w:rsidR="005F78FC" w:rsidRDefault="00B42EF3">
            <w:pPr>
              <w:pStyle w:val="TableBodyText"/>
            </w:pPr>
            <w:r>
              <w:t>011C</w:t>
            </w:r>
          </w:p>
        </w:tc>
      </w:tr>
      <w:tr w:rsidR="005F78FC" w:rsidTr="005F78FC">
        <w:tc>
          <w:tcPr>
            <w:tcW w:w="0" w:type="auto"/>
            <w:vAlign w:val="center"/>
          </w:tcPr>
          <w:p w:rsidR="005F78FC" w:rsidRDefault="00B42EF3">
            <w:pPr>
              <w:pStyle w:val="TableBodyText"/>
            </w:pPr>
            <w:r>
              <w:t>InsertEmSpace</w:t>
            </w:r>
          </w:p>
        </w:tc>
        <w:tc>
          <w:tcPr>
            <w:tcW w:w="0" w:type="auto"/>
            <w:vAlign w:val="center"/>
          </w:tcPr>
          <w:p w:rsidR="005F78FC" w:rsidRDefault="00B42EF3">
            <w:pPr>
              <w:pStyle w:val="TableBodyText"/>
            </w:pPr>
            <w:r>
              <w:t>026B</w:t>
            </w:r>
          </w:p>
        </w:tc>
      </w:tr>
      <w:tr w:rsidR="005F78FC" w:rsidTr="005F78FC">
        <w:tc>
          <w:tcPr>
            <w:tcW w:w="0" w:type="auto"/>
            <w:vAlign w:val="center"/>
          </w:tcPr>
          <w:p w:rsidR="005F78FC" w:rsidRDefault="00B42EF3">
            <w:pPr>
              <w:pStyle w:val="TableBodyText"/>
            </w:pPr>
            <w:r>
              <w:t>InsertEnSpace</w:t>
            </w:r>
          </w:p>
        </w:tc>
        <w:tc>
          <w:tcPr>
            <w:tcW w:w="0" w:type="auto"/>
            <w:vAlign w:val="center"/>
          </w:tcPr>
          <w:p w:rsidR="005F78FC" w:rsidRDefault="00B42EF3">
            <w:pPr>
              <w:pStyle w:val="TableBodyText"/>
            </w:pPr>
            <w:r>
              <w:t>026A</w:t>
            </w:r>
          </w:p>
        </w:tc>
      </w:tr>
      <w:tr w:rsidR="005F78FC" w:rsidTr="005F78FC">
        <w:tc>
          <w:tcPr>
            <w:tcW w:w="0" w:type="auto"/>
            <w:vAlign w:val="center"/>
          </w:tcPr>
          <w:p w:rsidR="005F78FC" w:rsidRDefault="00B42EF3">
            <w:pPr>
              <w:pStyle w:val="TableBodyText"/>
            </w:pPr>
            <w:r>
              <w:t>InsertEndnoteNow</w:t>
            </w:r>
          </w:p>
        </w:tc>
        <w:tc>
          <w:tcPr>
            <w:tcW w:w="0" w:type="auto"/>
            <w:vAlign w:val="center"/>
          </w:tcPr>
          <w:p w:rsidR="005F78FC" w:rsidRDefault="00B42EF3">
            <w:pPr>
              <w:pStyle w:val="TableBodyText"/>
            </w:pPr>
            <w:r>
              <w:t>0171</w:t>
            </w:r>
          </w:p>
        </w:tc>
      </w:tr>
      <w:tr w:rsidR="005F78FC" w:rsidTr="005F78FC">
        <w:tc>
          <w:tcPr>
            <w:tcW w:w="0" w:type="auto"/>
            <w:vAlign w:val="center"/>
          </w:tcPr>
          <w:p w:rsidR="005F78FC" w:rsidRDefault="00B42EF3">
            <w:pPr>
              <w:pStyle w:val="TableBodyText"/>
            </w:pPr>
            <w:r>
              <w:t>InsertEquation</w:t>
            </w:r>
          </w:p>
        </w:tc>
        <w:tc>
          <w:tcPr>
            <w:tcW w:w="0" w:type="auto"/>
            <w:vAlign w:val="center"/>
          </w:tcPr>
          <w:p w:rsidR="005F78FC" w:rsidRDefault="00B42EF3">
            <w:pPr>
              <w:pStyle w:val="TableBodyText"/>
            </w:pPr>
            <w:r>
              <w:t>02AB</w:t>
            </w:r>
          </w:p>
        </w:tc>
      </w:tr>
      <w:tr w:rsidR="005F78FC" w:rsidTr="005F78FC">
        <w:tc>
          <w:tcPr>
            <w:tcW w:w="0" w:type="auto"/>
            <w:vAlign w:val="center"/>
          </w:tcPr>
          <w:p w:rsidR="005F78FC" w:rsidRDefault="00B42EF3">
            <w:pPr>
              <w:pStyle w:val="TableBodyText"/>
            </w:pPr>
            <w:r>
              <w:t>InsertExcelTable</w:t>
            </w:r>
          </w:p>
        </w:tc>
        <w:tc>
          <w:tcPr>
            <w:tcW w:w="0" w:type="auto"/>
            <w:vAlign w:val="center"/>
          </w:tcPr>
          <w:p w:rsidR="005F78FC" w:rsidRDefault="00B42EF3">
            <w:pPr>
              <w:pStyle w:val="TableBodyText"/>
            </w:pPr>
            <w:r>
              <w:t>0237</w:t>
            </w:r>
          </w:p>
        </w:tc>
      </w:tr>
      <w:tr w:rsidR="005F78FC" w:rsidTr="005F78FC">
        <w:tc>
          <w:tcPr>
            <w:tcW w:w="0" w:type="auto"/>
            <w:vAlign w:val="center"/>
          </w:tcPr>
          <w:p w:rsidR="005F78FC" w:rsidRDefault="00B42EF3">
            <w:pPr>
              <w:pStyle w:val="TableBodyText"/>
            </w:pPr>
            <w:r>
              <w:t>InsertField</w:t>
            </w:r>
          </w:p>
        </w:tc>
        <w:tc>
          <w:tcPr>
            <w:tcW w:w="0" w:type="auto"/>
            <w:vAlign w:val="center"/>
          </w:tcPr>
          <w:p w:rsidR="005F78FC" w:rsidRDefault="00B42EF3">
            <w:pPr>
              <w:pStyle w:val="TableBodyText"/>
            </w:pPr>
            <w:r>
              <w:t>00A6</w:t>
            </w:r>
          </w:p>
        </w:tc>
      </w:tr>
      <w:tr w:rsidR="005F78FC" w:rsidTr="005F78FC">
        <w:tc>
          <w:tcPr>
            <w:tcW w:w="0" w:type="auto"/>
            <w:vAlign w:val="center"/>
          </w:tcPr>
          <w:p w:rsidR="005F78FC" w:rsidRDefault="00B42EF3">
            <w:pPr>
              <w:pStyle w:val="TableBodyText"/>
            </w:pPr>
            <w:r>
              <w:t>InsertFieldChars</w:t>
            </w:r>
          </w:p>
        </w:tc>
        <w:tc>
          <w:tcPr>
            <w:tcW w:w="0" w:type="auto"/>
            <w:vAlign w:val="center"/>
          </w:tcPr>
          <w:p w:rsidR="005F78FC" w:rsidRDefault="00B42EF3">
            <w:pPr>
              <w:pStyle w:val="TableBodyText"/>
            </w:pPr>
            <w:r>
              <w:t>001F</w:t>
            </w:r>
          </w:p>
        </w:tc>
      </w:tr>
      <w:tr w:rsidR="005F78FC" w:rsidTr="005F78FC">
        <w:tc>
          <w:tcPr>
            <w:tcW w:w="0" w:type="auto"/>
            <w:vAlign w:val="center"/>
          </w:tcPr>
          <w:p w:rsidR="005F78FC" w:rsidRDefault="00B42EF3">
            <w:pPr>
              <w:pStyle w:val="TableBodyText"/>
            </w:pPr>
            <w:r>
              <w:t>InsertFile</w:t>
            </w:r>
          </w:p>
        </w:tc>
        <w:tc>
          <w:tcPr>
            <w:tcW w:w="0" w:type="auto"/>
            <w:vAlign w:val="center"/>
          </w:tcPr>
          <w:p w:rsidR="005F78FC" w:rsidRDefault="00B42EF3">
            <w:pPr>
              <w:pStyle w:val="TableBodyText"/>
            </w:pPr>
            <w:r>
              <w:t>00A4</w:t>
            </w:r>
          </w:p>
        </w:tc>
      </w:tr>
      <w:tr w:rsidR="005F78FC" w:rsidTr="005F78FC">
        <w:tc>
          <w:tcPr>
            <w:tcW w:w="0" w:type="auto"/>
            <w:vAlign w:val="center"/>
          </w:tcPr>
          <w:p w:rsidR="005F78FC" w:rsidRDefault="00B42EF3">
            <w:pPr>
              <w:pStyle w:val="TableBodyText"/>
            </w:pPr>
            <w:r>
              <w:t>InsertFootnote</w:t>
            </w:r>
          </w:p>
        </w:tc>
        <w:tc>
          <w:tcPr>
            <w:tcW w:w="0" w:type="auto"/>
            <w:vAlign w:val="center"/>
          </w:tcPr>
          <w:p w:rsidR="005F78FC" w:rsidRDefault="00B42EF3">
            <w:pPr>
              <w:pStyle w:val="TableBodyText"/>
            </w:pPr>
            <w:r>
              <w:t>0172</w:t>
            </w:r>
          </w:p>
        </w:tc>
      </w:tr>
      <w:tr w:rsidR="005F78FC" w:rsidTr="005F78FC">
        <w:tc>
          <w:tcPr>
            <w:tcW w:w="0" w:type="auto"/>
            <w:vAlign w:val="center"/>
          </w:tcPr>
          <w:p w:rsidR="005F78FC" w:rsidRDefault="00B42EF3">
            <w:pPr>
              <w:pStyle w:val="TableBodyText"/>
            </w:pPr>
            <w:r>
              <w:t>InsertFootnoteNow</w:t>
            </w:r>
          </w:p>
        </w:tc>
        <w:tc>
          <w:tcPr>
            <w:tcW w:w="0" w:type="auto"/>
            <w:vAlign w:val="center"/>
          </w:tcPr>
          <w:p w:rsidR="005F78FC" w:rsidRDefault="00B42EF3">
            <w:pPr>
              <w:pStyle w:val="TableBodyText"/>
            </w:pPr>
            <w:r>
              <w:t>0170</w:t>
            </w:r>
          </w:p>
        </w:tc>
      </w:tr>
      <w:tr w:rsidR="005F78FC" w:rsidTr="005F78FC">
        <w:tc>
          <w:tcPr>
            <w:tcW w:w="0" w:type="auto"/>
            <w:vAlign w:val="center"/>
          </w:tcPr>
          <w:p w:rsidR="005F78FC" w:rsidRDefault="00B42EF3">
            <w:pPr>
              <w:pStyle w:val="TableBodyText"/>
            </w:pPr>
            <w:r>
              <w:t>InsertFormControlsGallery</w:t>
            </w:r>
          </w:p>
        </w:tc>
        <w:tc>
          <w:tcPr>
            <w:tcW w:w="0" w:type="auto"/>
            <w:vAlign w:val="center"/>
          </w:tcPr>
          <w:p w:rsidR="005F78FC" w:rsidRDefault="00B42EF3">
            <w:pPr>
              <w:pStyle w:val="TableBodyText"/>
            </w:pPr>
            <w:r>
              <w:t>08B5</w:t>
            </w:r>
          </w:p>
        </w:tc>
      </w:tr>
      <w:tr w:rsidR="005F78FC" w:rsidTr="005F78FC">
        <w:tc>
          <w:tcPr>
            <w:tcW w:w="0" w:type="auto"/>
            <w:vAlign w:val="center"/>
          </w:tcPr>
          <w:p w:rsidR="005F78FC" w:rsidRDefault="00B42EF3">
            <w:pPr>
              <w:pStyle w:val="TableBodyText"/>
            </w:pPr>
            <w:r>
              <w:t>InsertFormField</w:t>
            </w:r>
          </w:p>
        </w:tc>
        <w:tc>
          <w:tcPr>
            <w:tcW w:w="0" w:type="auto"/>
            <w:vAlign w:val="center"/>
          </w:tcPr>
          <w:p w:rsidR="005F78FC" w:rsidRDefault="00B42EF3">
            <w:pPr>
              <w:pStyle w:val="TableBodyText"/>
            </w:pPr>
            <w:r>
              <w:t>01E3</w:t>
            </w:r>
          </w:p>
        </w:tc>
      </w:tr>
      <w:tr w:rsidR="005F78FC" w:rsidTr="005F78FC">
        <w:tc>
          <w:tcPr>
            <w:tcW w:w="0" w:type="auto"/>
            <w:vAlign w:val="center"/>
          </w:tcPr>
          <w:p w:rsidR="005F78FC" w:rsidRDefault="00B42EF3">
            <w:pPr>
              <w:pStyle w:val="TableBodyText"/>
            </w:pPr>
            <w:r>
              <w:t>InsertFrame</w:t>
            </w:r>
          </w:p>
        </w:tc>
        <w:tc>
          <w:tcPr>
            <w:tcW w:w="0" w:type="auto"/>
            <w:vAlign w:val="center"/>
          </w:tcPr>
          <w:p w:rsidR="005F78FC" w:rsidRDefault="00B42EF3">
            <w:pPr>
              <w:pStyle w:val="TableBodyText"/>
            </w:pPr>
            <w:r>
              <w:t>009E</w:t>
            </w:r>
          </w:p>
        </w:tc>
      </w:tr>
      <w:tr w:rsidR="005F78FC" w:rsidTr="005F78FC">
        <w:tc>
          <w:tcPr>
            <w:tcW w:w="0" w:type="auto"/>
            <w:vAlign w:val="center"/>
          </w:tcPr>
          <w:p w:rsidR="005F78FC" w:rsidRDefault="00B42EF3">
            <w:pPr>
              <w:pStyle w:val="TableBodyText"/>
            </w:pPr>
            <w:r>
              <w:t>InsertGraphicalHorizontalLine</w:t>
            </w:r>
          </w:p>
        </w:tc>
        <w:tc>
          <w:tcPr>
            <w:tcW w:w="0" w:type="auto"/>
            <w:vAlign w:val="center"/>
          </w:tcPr>
          <w:p w:rsidR="005F78FC" w:rsidRDefault="00B42EF3">
            <w:pPr>
              <w:pStyle w:val="TableBodyText"/>
            </w:pPr>
            <w:r>
              <w:t>042B</w:t>
            </w:r>
          </w:p>
        </w:tc>
      </w:tr>
      <w:tr w:rsidR="005F78FC" w:rsidTr="005F78FC">
        <w:tc>
          <w:tcPr>
            <w:tcW w:w="0" w:type="auto"/>
            <w:vAlign w:val="center"/>
          </w:tcPr>
          <w:p w:rsidR="005F78FC" w:rsidRDefault="00B42EF3">
            <w:pPr>
              <w:pStyle w:val="TableBodyText"/>
            </w:pPr>
            <w:r>
              <w:t>InsertHTMLBGSound</w:t>
            </w:r>
          </w:p>
        </w:tc>
        <w:tc>
          <w:tcPr>
            <w:tcW w:w="0" w:type="auto"/>
            <w:vAlign w:val="center"/>
          </w:tcPr>
          <w:p w:rsidR="005F78FC" w:rsidRDefault="00B42EF3">
            <w:pPr>
              <w:pStyle w:val="TableBodyText"/>
            </w:pPr>
            <w:r>
              <w:t>046E</w:t>
            </w:r>
          </w:p>
        </w:tc>
      </w:tr>
      <w:tr w:rsidR="005F78FC" w:rsidTr="005F78FC">
        <w:tc>
          <w:tcPr>
            <w:tcW w:w="0" w:type="auto"/>
            <w:vAlign w:val="center"/>
          </w:tcPr>
          <w:p w:rsidR="005F78FC" w:rsidRDefault="00B42EF3">
            <w:pPr>
              <w:pStyle w:val="TableBodyText"/>
            </w:pPr>
            <w:r>
              <w:t>InsertHTMLCheckBox</w:t>
            </w:r>
          </w:p>
        </w:tc>
        <w:tc>
          <w:tcPr>
            <w:tcW w:w="0" w:type="auto"/>
            <w:vAlign w:val="center"/>
          </w:tcPr>
          <w:p w:rsidR="005F78FC" w:rsidRDefault="00B42EF3">
            <w:pPr>
              <w:pStyle w:val="TableBodyText"/>
            </w:pPr>
            <w:r>
              <w:t>0462</w:t>
            </w:r>
          </w:p>
        </w:tc>
      </w:tr>
      <w:tr w:rsidR="005F78FC" w:rsidTr="005F78FC">
        <w:tc>
          <w:tcPr>
            <w:tcW w:w="0" w:type="auto"/>
            <w:vAlign w:val="center"/>
          </w:tcPr>
          <w:p w:rsidR="005F78FC" w:rsidRDefault="00B42EF3">
            <w:pPr>
              <w:pStyle w:val="TableBodyText"/>
            </w:pPr>
            <w:r>
              <w:t>InsertHTMLDropdownBox</w:t>
            </w:r>
          </w:p>
        </w:tc>
        <w:tc>
          <w:tcPr>
            <w:tcW w:w="0" w:type="auto"/>
            <w:vAlign w:val="center"/>
          </w:tcPr>
          <w:p w:rsidR="005F78FC" w:rsidRDefault="00B42EF3">
            <w:pPr>
              <w:pStyle w:val="TableBodyText"/>
            </w:pPr>
            <w:r>
              <w:t>0464</w:t>
            </w:r>
          </w:p>
        </w:tc>
      </w:tr>
      <w:tr w:rsidR="005F78FC" w:rsidTr="005F78FC">
        <w:tc>
          <w:tcPr>
            <w:tcW w:w="0" w:type="auto"/>
            <w:vAlign w:val="center"/>
          </w:tcPr>
          <w:p w:rsidR="005F78FC" w:rsidRDefault="00B42EF3">
            <w:pPr>
              <w:pStyle w:val="TableBodyText"/>
            </w:pPr>
            <w:r>
              <w:t>InsertHTMLHidden</w:t>
            </w:r>
          </w:p>
        </w:tc>
        <w:tc>
          <w:tcPr>
            <w:tcW w:w="0" w:type="auto"/>
            <w:vAlign w:val="center"/>
          </w:tcPr>
          <w:p w:rsidR="005F78FC" w:rsidRDefault="00B42EF3">
            <w:pPr>
              <w:pStyle w:val="TableBodyText"/>
            </w:pPr>
            <w:r>
              <w:t>046B</w:t>
            </w:r>
          </w:p>
        </w:tc>
      </w:tr>
      <w:tr w:rsidR="005F78FC" w:rsidTr="005F78FC">
        <w:tc>
          <w:tcPr>
            <w:tcW w:w="0" w:type="auto"/>
            <w:vAlign w:val="center"/>
          </w:tcPr>
          <w:p w:rsidR="005F78FC" w:rsidRDefault="00B42EF3">
            <w:pPr>
              <w:pStyle w:val="TableBodyText"/>
            </w:pPr>
            <w:r>
              <w:t>InsertHTMLImageSubmit</w:t>
            </w:r>
          </w:p>
        </w:tc>
        <w:tc>
          <w:tcPr>
            <w:tcW w:w="0" w:type="auto"/>
            <w:vAlign w:val="center"/>
          </w:tcPr>
          <w:p w:rsidR="005F78FC" w:rsidRDefault="00B42EF3">
            <w:pPr>
              <w:pStyle w:val="TableBodyText"/>
            </w:pPr>
            <w:r>
              <w:t>0469</w:t>
            </w:r>
          </w:p>
        </w:tc>
      </w:tr>
      <w:tr w:rsidR="005F78FC" w:rsidTr="005F78FC">
        <w:tc>
          <w:tcPr>
            <w:tcW w:w="0" w:type="auto"/>
            <w:vAlign w:val="center"/>
          </w:tcPr>
          <w:p w:rsidR="005F78FC" w:rsidRDefault="00B42EF3">
            <w:pPr>
              <w:pStyle w:val="TableBodyText"/>
            </w:pPr>
            <w:r>
              <w:t>InsertHTMLListBox</w:t>
            </w:r>
          </w:p>
        </w:tc>
        <w:tc>
          <w:tcPr>
            <w:tcW w:w="0" w:type="auto"/>
            <w:vAlign w:val="center"/>
          </w:tcPr>
          <w:p w:rsidR="005F78FC" w:rsidRDefault="00B42EF3">
            <w:pPr>
              <w:pStyle w:val="TableBodyText"/>
            </w:pPr>
            <w:r>
              <w:t>0465</w:t>
            </w:r>
          </w:p>
        </w:tc>
      </w:tr>
      <w:tr w:rsidR="005F78FC" w:rsidTr="005F78FC">
        <w:tc>
          <w:tcPr>
            <w:tcW w:w="0" w:type="auto"/>
            <w:vAlign w:val="center"/>
          </w:tcPr>
          <w:p w:rsidR="005F78FC" w:rsidRDefault="00B42EF3">
            <w:pPr>
              <w:pStyle w:val="TableBodyText"/>
            </w:pPr>
            <w:r>
              <w:t>InsertHTMLMarquee</w:t>
            </w:r>
          </w:p>
        </w:tc>
        <w:tc>
          <w:tcPr>
            <w:tcW w:w="0" w:type="auto"/>
            <w:vAlign w:val="center"/>
          </w:tcPr>
          <w:p w:rsidR="005F78FC" w:rsidRDefault="00B42EF3">
            <w:pPr>
              <w:pStyle w:val="TableBodyText"/>
            </w:pPr>
            <w:r>
              <w:t>046F</w:t>
            </w:r>
          </w:p>
        </w:tc>
      </w:tr>
      <w:tr w:rsidR="005F78FC" w:rsidTr="005F78FC">
        <w:tc>
          <w:tcPr>
            <w:tcW w:w="0" w:type="auto"/>
            <w:vAlign w:val="center"/>
          </w:tcPr>
          <w:p w:rsidR="005F78FC" w:rsidRDefault="00B42EF3">
            <w:pPr>
              <w:pStyle w:val="TableBodyText"/>
            </w:pPr>
            <w:r>
              <w:t>InsertHTMLMovie</w:t>
            </w:r>
          </w:p>
        </w:tc>
        <w:tc>
          <w:tcPr>
            <w:tcW w:w="0" w:type="auto"/>
            <w:vAlign w:val="center"/>
          </w:tcPr>
          <w:p w:rsidR="005F78FC" w:rsidRDefault="00B42EF3">
            <w:pPr>
              <w:pStyle w:val="TableBodyText"/>
            </w:pPr>
            <w:r>
              <w:t>046D</w:t>
            </w:r>
          </w:p>
        </w:tc>
      </w:tr>
      <w:tr w:rsidR="005F78FC" w:rsidTr="005F78FC">
        <w:tc>
          <w:tcPr>
            <w:tcW w:w="0" w:type="auto"/>
            <w:vAlign w:val="center"/>
          </w:tcPr>
          <w:p w:rsidR="005F78FC" w:rsidRDefault="00B42EF3">
            <w:pPr>
              <w:pStyle w:val="TableBodyText"/>
            </w:pPr>
            <w:r>
              <w:t>InsertHTMLOptionButton</w:t>
            </w:r>
          </w:p>
        </w:tc>
        <w:tc>
          <w:tcPr>
            <w:tcW w:w="0" w:type="auto"/>
            <w:vAlign w:val="center"/>
          </w:tcPr>
          <w:p w:rsidR="005F78FC" w:rsidRDefault="00B42EF3">
            <w:pPr>
              <w:pStyle w:val="TableBodyText"/>
            </w:pPr>
            <w:r>
              <w:t>0463</w:t>
            </w:r>
          </w:p>
        </w:tc>
      </w:tr>
      <w:tr w:rsidR="005F78FC" w:rsidTr="005F78FC">
        <w:tc>
          <w:tcPr>
            <w:tcW w:w="0" w:type="auto"/>
            <w:vAlign w:val="center"/>
          </w:tcPr>
          <w:p w:rsidR="005F78FC" w:rsidRDefault="00B42EF3">
            <w:pPr>
              <w:pStyle w:val="TableBodyText"/>
            </w:pPr>
            <w:r>
              <w:t>InsertHTMLPassword</w:t>
            </w:r>
          </w:p>
        </w:tc>
        <w:tc>
          <w:tcPr>
            <w:tcW w:w="0" w:type="auto"/>
            <w:vAlign w:val="center"/>
          </w:tcPr>
          <w:p w:rsidR="005F78FC" w:rsidRDefault="00B42EF3">
            <w:pPr>
              <w:pStyle w:val="TableBodyText"/>
            </w:pPr>
            <w:r>
              <w:t>046C</w:t>
            </w:r>
          </w:p>
        </w:tc>
      </w:tr>
      <w:tr w:rsidR="005F78FC" w:rsidTr="005F78FC">
        <w:tc>
          <w:tcPr>
            <w:tcW w:w="0" w:type="auto"/>
            <w:vAlign w:val="center"/>
          </w:tcPr>
          <w:p w:rsidR="005F78FC" w:rsidRDefault="00B42EF3">
            <w:pPr>
              <w:pStyle w:val="TableBodyText"/>
            </w:pPr>
            <w:r>
              <w:t>InsertHTMLReset</w:t>
            </w:r>
          </w:p>
        </w:tc>
        <w:tc>
          <w:tcPr>
            <w:tcW w:w="0" w:type="auto"/>
            <w:vAlign w:val="center"/>
          </w:tcPr>
          <w:p w:rsidR="005F78FC" w:rsidRDefault="00B42EF3">
            <w:pPr>
              <w:pStyle w:val="TableBodyText"/>
            </w:pPr>
            <w:r>
              <w:t>046A</w:t>
            </w:r>
          </w:p>
        </w:tc>
      </w:tr>
      <w:tr w:rsidR="005F78FC" w:rsidTr="005F78FC">
        <w:tc>
          <w:tcPr>
            <w:tcW w:w="0" w:type="auto"/>
            <w:vAlign w:val="center"/>
          </w:tcPr>
          <w:p w:rsidR="005F78FC" w:rsidRDefault="00B42EF3">
            <w:pPr>
              <w:pStyle w:val="TableBodyText"/>
            </w:pPr>
            <w:r>
              <w:t>InsertHTMLSubmit</w:t>
            </w:r>
          </w:p>
        </w:tc>
        <w:tc>
          <w:tcPr>
            <w:tcW w:w="0" w:type="auto"/>
            <w:vAlign w:val="center"/>
          </w:tcPr>
          <w:p w:rsidR="005F78FC" w:rsidRDefault="00B42EF3">
            <w:pPr>
              <w:pStyle w:val="TableBodyText"/>
            </w:pPr>
            <w:r>
              <w:t>0468</w:t>
            </w:r>
          </w:p>
        </w:tc>
      </w:tr>
      <w:tr w:rsidR="005F78FC" w:rsidTr="005F78FC">
        <w:tc>
          <w:tcPr>
            <w:tcW w:w="0" w:type="auto"/>
            <w:vAlign w:val="center"/>
          </w:tcPr>
          <w:p w:rsidR="005F78FC" w:rsidRDefault="00B42EF3">
            <w:pPr>
              <w:pStyle w:val="TableBodyText"/>
            </w:pPr>
            <w:r>
              <w:t>InsertHTMLTextArea</w:t>
            </w:r>
          </w:p>
        </w:tc>
        <w:tc>
          <w:tcPr>
            <w:tcW w:w="0" w:type="auto"/>
            <w:vAlign w:val="center"/>
          </w:tcPr>
          <w:p w:rsidR="005F78FC" w:rsidRDefault="00B42EF3">
            <w:pPr>
              <w:pStyle w:val="TableBodyText"/>
            </w:pPr>
            <w:r>
              <w:t>0467</w:t>
            </w:r>
          </w:p>
        </w:tc>
      </w:tr>
      <w:tr w:rsidR="005F78FC" w:rsidTr="005F78FC">
        <w:tc>
          <w:tcPr>
            <w:tcW w:w="0" w:type="auto"/>
            <w:vAlign w:val="center"/>
          </w:tcPr>
          <w:p w:rsidR="005F78FC" w:rsidRDefault="00B42EF3">
            <w:pPr>
              <w:pStyle w:val="TableBodyText"/>
            </w:pPr>
            <w:r>
              <w:t>InsertHTMLTextBox</w:t>
            </w:r>
          </w:p>
        </w:tc>
        <w:tc>
          <w:tcPr>
            <w:tcW w:w="0" w:type="auto"/>
            <w:vAlign w:val="center"/>
          </w:tcPr>
          <w:p w:rsidR="005F78FC" w:rsidRDefault="00B42EF3">
            <w:pPr>
              <w:pStyle w:val="TableBodyText"/>
            </w:pPr>
            <w:r>
              <w:t>0466</w:t>
            </w:r>
          </w:p>
        </w:tc>
      </w:tr>
      <w:tr w:rsidR="005F78FC" w:rsidTr="005F78FC">
        <w:tc>
          <w:tcPr>
            <w:tcW w:w="0" w:type="auto"/>
            <w:vAlign w:val="center"/>
          </w:tcPr>
          <w:p w:rsidR="005F78FC" w:rsidRDefault="00B42EF3">
            <w:pPr>
              <w:pStyle w:val="TableBodyText"/>
            </w:pPr>
            <w:r>
              <w:t>InsertHorizontalLine</w:t>
            </w:r>
          </w:p>
        </w:tc>
        <w:tc>
          <w:tcPr>
            <w:tcW w:w="0" w:type="auto"/>
            <w:vAlign w:val="center"/>
          </w:tcPr>
          <w:p w:rsidR="005F78FC" w:rsidRDefault="00B42EF3">
            <w:pPr>
              <w:pStyle w:val="TableBodyText"/>
            </w:pPr>
            <w:r>
              <w:t>042A</w:t>
            </w:r>
          </w:p>
        </w:tc>
      </w:tr>
      <w:tr w:rsidR="005F78FC" w:rsidTr="005F78FC">
        <w:tc>
          <w:tcPr>
            <w:tcW w:w="0" w:type="auto"/>
            <w:vAlign w:val="center"/>
          </w:tcPr>
          <w:p w:rsidR="005F78FC" w:rsidRDefault="00B42EF3">
            <w:pPr>
              <w:pStyle w:val="TableBodyText"/>
            </w:pPr>
            <w:r>
              <w:lastRenderedPageBreak/>
              <w:t>InsertHyperlink</w:t>
            </w:r>
          </w:p>
        </w:tc>
        <w:tc>
          <w:tcPr>
            <w:tcW w:w="0" w:type="auto"/>
            <w:vAlign w:val="center"/>
          </w:tcPr>
          <w:p w:rsidR="005F78FC" w:rsidRDefault="00B42EF3">
            <w:pPr>
              <w:pStyle w:val="TableBodyText"/>
            </w:pPr>
            <w:r>
              <w:t>039D</w:t>
            </w:r>
          </w:p>
        </w:tc>
      </w:tr>
      <w:tr w:rsidR="005F78FC" w:rsidTr="005F78FC">
        <w:tc>
          <w:tcPr>
            <w:tcW w:w="0" w:type="auto"/>
            <w:vAlign w:val="center"/>
          </w:tcPr>
          <w:p w:rsidR="005F78FC" w:rsidRDefault="00B42EF3">
            <w:pPr>
              <w:pStyle w:val="TableBodyText"/>
            </w:pPr>
            <w:r>
              <w:t>InsertImagerScan</w:t>
            </w:r>
          </w:p>
        </w:tc>
        <w:tc>
          <w:tcPr>
            <w:tcW w:w="0" w:type="auto"/>
            <w:vAlign w:val="center"/>
          </w:tcPr>
          <w:p w:rsidR="005F78FC" w:rsidRDefault="00B42EF3">
            <w:pPr>
              <w:pStyle w:val="TableBodyText"/>
            </w:pPr>
            <w:r>
              <w:t>03D5</w:t>
            </w:r>
          </w:p>
        </w:tc>
      </w:tr>
      <w:tr w:rsidR="005F78FC" w:rsidTr="005F78FC">
        <w:tc>
          <w:tcPr>
            <w:tcW w:w="0" w:type="auto"/>
            <w:vAlign w:val="center"/>
          </w:tcPr>
          <w:p w:rsidR="005F78FC" w:rsidRDefault="00B42EF3">
            <w:pPr>
              <w:pStyle w:val="TableBodyText"/>
            </w:pPr>
            <w:r>
              <w:t>InsertIndex</w:t>
            </w:r>
          </w:p>
        </w:tc>
        <w:tc>
          <w:tcPr>
            <w:tcW w:w="0" w:type="auto"/>
            <w:vAlign w:val="center"/>
          </w:tcPr>
          <w:p w:rsidR="005F78FC" w:rsidRDefault="00B42EF3">
            <w:pPr>
              <w:pStyle w:val="TableBodyText"/>
            </w:pPr>
            <w:r>
              <w:t>00AA</w:t>
            </w:r>
          </w:p>
        </w:tc>
      </w:tr>
      <w:tr w:rsidR="005F78FC" w:rsidTr="005F78FC">
        <w:tc>
          <w:tcPr>
            <w:tcW w:w="0" w:type="auto"/>
            <w:vAlign w:val="center"/>
          </w:tcPr>
          <w:p w:rsidR="005F78FC" w:rsidRDefault="00B42EF3">
            <w:pPr>
              <w:pStyle w:val="TableBodyText"/>
            </w:pPr>
            <w:r>
              <w:t>InsertIndexAndTables</w:t>
            </w:r>
          </w:p>
        </w:tc>
        <w:tc>
          <w:tcPr>
            <w:tcW w:w="0" w:type="auto"/>
            <w:vAlign w:val="center"/>
          </w:tcPr>
          <w:p w:rsidR="005F78FC" w:rsidRDefault="00B42EF3">
            <w:pPr>
              <w:pStyle w:val="TableBodyText"/>
            </w:pPr>
            <w:r>
              <w:t>01D9</w:t>
            </w:r>
          </w:p>
        </w:tc>
      </w:tr>
      <w:tr w:rsidR="005F78FC" w:rsidTr="005F78FC">
        <w:tc>
          <w:tcPr>
            <w:tcW w:w="0" w:type="auto"/>
            <w:vAlign w:val="center"/>
          </w:tcPr>
          <w:p w:rsidR="005F78FC" w:rsidRDefault="00B42EF3">
            <w:pPr>
              <w:pStyle w:val="TableBodyText"/>
            </w:pPr>
            <w:r>
              <w:t>InsertInkAnnotations</w:t>
            </w:r>
          </w:p>
        </w:tc>
        <w:tc>
          <w:tcPr>
            <w:tcW w:w="0" w:type="auto"/>
            <w:vAlign w:val="center"/>
          </w:tcPr>
          <w:p w:rsidR="005F78FC" w:rsidRDefault="00B42EF3">
            <w:pPr>
              <w:pStyle w:val="TableBodyText"/>
            </w:pPr>
            <w:r>
              <w:t>05C3</w:t>
            </w:r>
          </w:p>
        </w:tc>
      </w:tr>
      <w:tr w:rsidR="005F78FC" w:rsidTr="005F78FC">
        <w:tc>
          <w:tcPr>
            <w:tcW w:w="0" w:type="auto"/>
            <w:vAlign w:val="center"/>
          </w:tcPr>
          <w:p w:rsidR="005F78FC" w:rsidRDefault="00B42EF3">
            <w:pPr>
              <w:pStyle w:val="TableBodyText"/>
            </w:pPr>
            <w:r>
              <w:t>InsertInkComment</w:t>
            </w:r>
          </w:p>
        </w:tc>
        <w:tc>
          <w:tcPr>
            <w:tcW w:w="0" w:type="auto"/>
            <w:vAlign w:val="center"/>
          </w:tcPr>
          <w:p w:rsidR="005F78FC" w:rsidRDefault="00B42EF3">
            <w:pPr>
              <w:pStyle w:val="TableBodyText"/>
            </w:pPr>
            <w:r>
              <w:t>058D</w:t>
            </w:r>
          </w:p>
        </w:tc>
      </w:tr>
      <w:tr w:rsidR="005F78FC" w:rsidTr="005F78FC">
        <w:tc>
          <w:tcPr>
            <w:tcW w:w="0" w:type="auto"/>
            <w:vAlign w:val="center"/>
          </w:tcPr>
          <w:p w:rsidR="005F78FC" w:rsidRDefault="00B42EF3">
            <w:pPr>
              <w:pStyle w:val="TableBodyText"/>
            </w:pPr>
            <w:r>
              <w:t>InsertInkSplitMenu</w:t>
            </w:r>
          </w:p>
        </w:tc>
        <w:tc>
          <w:tcPr>
            <w:tcW w:w="0" w:type="auto"/>
            <w:vAlign w:val="center"/>
          </w:tcPr>
          <w:p w:rsidR="005F78FC" w:rsidRDefault="00B42EF3">
            <w:pPr>
              <w:pStyle w:val="TableBodyText"/>
            </w:pPr>
            <w:r>
              <w:t>16BD</w:t>
            </w:r>
          </w:p>
        </w:tc>
      </w:tr>
      <w:tr w:rsidR="005F78FC" w:rsidTr="005F78FC">
        <w:tc>
          <w:tcPr>
            <w:tcW w:w="0" w:type="auto"/>
            <w:vAlign w:val="center"/>
          </w:tcPr>
          <w:p w:rsidR="005F78FC" w:rsidRDefault="00B42EF3">
            <w:pPr>
              <w:pStyle w:val="TableBodyText"/>
            </w:pPr>
            <w:r>
              <w:t>InsertListNumField</w:t>
            </w:r>
          </w:p>
        </w:tc>
        <w:tc>
          <w:tcPr>
            <w:tcW w:w="0" w:type="auto"/>
            <w:vAlign w:val="center"/>
          </w:tcPr>
          <w:p w:rsidR="005F78FC" w:rsidRDefault="00B42EF3">
            <w:pPr>
              <w:pStyle w:val="TableBodyText"/>
            </w:pPr>
            <w:r>
              <w:t>03C6</w:t>
            </w:r>
          </w:p>
        </w:tc>
      </w:tr>
      <w:tr w:rsidR="005F78FC" w:rsidTr="005F78FC">
        <w:tc>
          <w:tcPr>
            <w:tcW w:w="0" w:type="auto"/>
            <w:vAlign w:val="center"/>
          </w:tcPr>
          <w:p w:rsidR="005F78FC" w:rsidRDefault="00B42EF3">
            <w:pPr>
              <w:pStyle w:val="TableBodyText"/>
            </w:pPr>
            <w:r>
              <w:t>InsertMergeField</w:t>
            </w:r>
          </w:p>
        </w:tc>
        <w:tc>
          <w:tcPr>
            <w:tcW w:w="0" w:type="auto"/>
            <w:vAlign w:val="center"/>
          </w:tcPr>
          <w:p w:rsidR="005F78FC" w:rsidRDefault="00B42EF3">
            <w:pPr>
              <w:pStyle w:val="TableBodyText"/>
            </w:pPr>
            <w:r>
              <w:t>00A7</w:t>
            </w:r>
          </w:p>
        </w:tc>
      </w:tr>
      <w:tr w:rsidR="005F78FC" w:rsidTr="005F78FC">
        <w:tc>
          <w:tcPr>
            <w:tcW w:w="0" w:type="auto"/>
            <w:vAlign w:val="center"/>
          </w:tcPr>
          <w:p w:rsidR="005F78FC" w:rsidRDefault="00B42EF3">
            <w:pPr>
              <w:pStyle w:val="TableBodyText"/>
            </w:pPr>
            <w:r>
              <w:t>InsertNewComment</w:t>
            </w:r>
          </w:p>
        </w:tc>
        <w:tc>
          <w:tcPr>
            <w:tcW w:w="0" w:type="auto"/>
            <w:vAlign w:val="center"/>
          </w:tcPr>
          <w:p w:rsidR="005F78FC" w:rsidRDefault="00B42EF3">
            <w:pPr>
              <w:pStyle w:val="TableBodyText"/>
            </w:pPr>
            <w:r>
              <w:t>0517</w:t>
            </w:r>
          </w:p>
        </w:tc>
      </w:tr>
      <w:tr w:rsidR="005F78FC" w:rsidTr="005F78FC">
        <w:tc>
          <w:tcPr>
            <w:tcW w:w="0" w:type="auto"/>
            <w:vAlign w:val="center"/>
          </w:tcPr>
          <w:p w:rsidR="005F78FC" w:rsidRDefault="00B42EF3">
            <w:pPr>
              <w:pStyle w:val="TableBodyText"/>
            </w:pPr>
            <w:r>
              <w:t>InsertNewPage</w:t>
            </w:r>
          </w:p>
        </w:tc>
        <w:tc>
          <w:tcPr>
            <w:tcW w:w="0" w:type="auto"/>
            <w:vAlign w:val="center"/>
          </w:tcPr>
          <w:p w:rsidR="005F78FC" w:rsidRDefault="00B42EF3">
            <w:pPr>
              <w:pStyle w:val="TableBodyText"/>
            </w:pPr>
            <w:r>
              <w:t>084F</w:t>
            </w:r>
          </w:p>
        </w:tc>
      </w:tr>
      <w:tr w:rsidR="005F78FC" w:rsidTr="005F78FC">
        <w:tc>
          <w:tcPr>
            <w:tcW w:w="0" w:type="auto"/>
            <w:vAlign w:val="center"/>
          </w:tcPr>
          <w:p w:rsidR="005F78FC" w:rsidRDefault="00B42EF3">
            <w:pPr>
              <w:pStyle w:val="TableBodyText"/>
            </w:pPr>
            <w:r>
              <w:t>InsertNumber</w:t>
            </w:r>
          </w:p>
        </w:tc>
        <w:tc>
          <w:tcPr>
            <w:tcW w:w="0" w:type="auto"/>
            <w:vAlign w:val="center"/>
          </w:tcPr>
          <w:p w:rsidR="005F78FC" w:rsidRDefault="00B42EF3">
            <w:pPr>
              <w:pStyle w:val="TableBodyText"/>
            </w:pPr>
            <w:r>
              <w:t>032C</w:t>
            </w:r>
          </w:p>
        </w:tc>
      </w:tr>
      <w:tr w:rsidR="005F78FC" w:rsidTr="005F78FC">
        <w:tc>
          <w:tcPr>
            <w:tcW w:w="0" w:type="auto"/>
            <w:vAlign w:val="center"/>
          </w:tcPr>
          <w:p w:rsidR="005F78FC" w:rsidRDefault="00B42EF3">
            <w:pPr>
              <w:pStyle w:val="TableBodyText"/>
            </w:pPr>
            <w:r>
              <w:t>InsertNumberOfPages</w:t>
            </w:r>
          </w:p>
        </w:tc>
        <w:tc>
          <w:tcPr>
            <w:tcW w:w="0" w:type="auto"/>
            <w:vAlign w:val="center"/>
          </w:tcPr>
          <w:p w:rsidR="005F78FC" w:rsidRDefault="00B42EF3">
            <w:pPr>
              <w:pStyle w:val="TableBodyText"/>
            </w:pPr>
            <w:r>
              <w:t>0343</w:t>
            </w:r>
          </w:p>
        </w:tc>
      </w:tr>
      <w:tr w:rsidR="005F78FC" w:rsidTr="005F78FC">
        <w:tc>
          <w:tcPr>
            <w:tcW w:w="0" w:type="auto"/>
            <w:vAlign w:val="center"/>
          </w:tcPr>
          <w:p w:rsidR="005F78FC" w:rsidRDefault="00B42EF3">
            <w:pPr>
              <w:pStyle w:val="TableBodyText"/>
            </w:pPr>
            <w:r>
              <w:t>InsertOCX</w:t>
            </w:r>
          </w:p>
        </w:tc>
        <w:tc>
          <w:tcPr>
            <w:tcW w:w="0" w:type="auto"/>
            <w:vAlign w:val="center"/>
          </w:tcPr>
          <w:p w:rsidR="005F78FC" w:rsidRDefault="00B42EF3">
            <w:pPr>
              <w:pStyle w:val="TableBodyText"/>
            </w:pPr>
            <w:r>
              <w:t>0391</w:t>
            </w:r>
          </w:p>
        </w:tc>
      </w:tr>
      <w:tr w:rsidR="005F78FC" w:rsidTr="005F78FC">
        <w:tc>
          <w:tcPr>
            <w:tcW w:w="0" w:type="auto"/>
            <w:vAlign w:val="center"/>
          </w:tcPr>
          <w:p w:rsidR="005F78FC" w:rsidRDefault="00B42EF3">
            <w:pPr>
              <w:pStyle w:val="TableBodyText"/>
            </w:pPr>
            <w:r>
              <w:t>InsertOCXButton</w:t>
            </w:r>
          </w:p>
        </w:tc>
        <w:tc>
          <w:tcPr>
            <w:tcW w:w="0" w:type="auto"/>
            <w:vAlign w:val="center"/>
          </w:tcPr>
          <w:p w:rsidR="005F78FC" w:rsidRDefault="00B42EF3">
            <w:pPr>
              <w:pStyle w:val="TableBodyText"/>
            </w:pPr>
            <w:r>
              <w:t>1BAA</w:t>
            </w:r>
          </w:p>
        </w:tc>
      </w:tr>
      <w:tr w:rsidR="005F78FC" w:rsidTr="005F78FC">
        <w:tc>
          <w:tcPr>
            <w:tcW w:w="0" w:type="auto"/>
            <w:vAlign w:val="center"/>
          </w:tcPr>
          <w:p w:rsidR="005F78FC" w:rsidRDefault="00B42EF3">
            <w:pPr>
              <w:pStyle w:val="TableBodyText"/>
            </w:pPr>
            <w:r>
              <w:t>InsertOCXCheckbox</w:t>
            </w:r>
          </w:p>
        </w:tc>
        <w:tc>
          <w:tcPr>
            <w:tcW w:w="0" w:type="auto"/>
            <w:vAlign w:val="center"/>
          </w:tcPr>
          <w:p w:rsidR="005F78FC" w:rsidRDefault="00B42EF3">
            <w:pPr>
              <w:pStyle w:val="TableBodyText"/>
            </w:pPr>
            <w:r>
              <w:t>1BA5</w:t>
            </w:r>
          </w:p>
        </w:tc>
      </w:tr>
      <w:tr w:rsidR="005F78FC" w:rsidTr="005F78FC">
        <w:tc>
          <w:tcPr>
            <w:tcW w:w="0" w:type="auto"/>
            <w:vAlign w:val="center"/>
          </w:tcPr>
          <w:p w:rsidR="005F78FC" w:rsidRDefault="00B42EF3">
            <w:pPr>
              <w:pStyle w:val="TableBodyText"/>
            </w:pPr>
            <w:r>
              <w:t>InsertOCXDialog</w:t>
            </w:r>
          </w:p>
        </w:tc>
        <w:tc>
          <w:tcPr>
            <w:tcW w:w="0" w:type="auto"/>
            <w:vAlign w:val="center"/>
          </w:tcPr>
          <w:p w:rsidR="005F78FC" w:rsidRDefault="00B42EF3">
            <w:pPr>
              <w:pStyle w:val="TableBodyText"/>
            </w:pPr>
            <w:r>
              <w:t>080E</w:t>
            </w:r>
          </w:p>
        </w:tc>
      </w:tr>
      <w:tr w:rsidR="005F78FC" w:rsidTr="005F78FC">
        <w:tc>
          <w:tcPr>
            <w:tcW w:w="0" w:type="auto"/>
            <w:vAlign w:val="center"/>
          </w:tcPr>
          <w:p w:rsidR="005F78FC" w:rsidRDefault="00B42EF3">
            <w:pPr>
              <w:pStyle w:val="TableBodyText"/>
            </w:pPr>
            <w:r>
              <w:t>InsertOCXDropdownCombo</w:t>
            </w:r>
          </w:p>
        </w:tc>
        <w:tc>
          <w:tcPr>
            <w:tcW w:w="0" w:type="auto"/>
            <w:vAlign w:val="center"/>
          </w:tcPr>
          <w:p w:rsidR="005F78FC" w:rsidRDefault="00B42EF3">
            <w:pPr>
              <w:pStyle w:val="TableBodyText"/>
            </w:pPr>
            <w:r>
              <w:t>1BAD</w:t>
            </w:r>
          </w:p>
        </w:tc>
      </w:tr>
      <w:tr w:rsidR="005F78FC" w:rsidTr="005F78FC">
        <w:tc>
          <w:tcPr>
            <w:tcW w:w="0" w:type="auto"/>
            <w:vAlign w:val="center"/>
          </w:tcPr>
          <w:p w:rsidR="005F78FC" w:rsidRDefault="00B42EF3">
            <w:pPr>
              <w:pStyle w:val="TableBodyText"/>
            </w:pPr>
            <w:r>
              <w:t>InsertOCXFrame</w:t>
            </w:r>
          </w:p>
        </w:tc>
        <w:tc>
          <w:tcPr>
            <w:tcW w:w="0" w:type="auto"/>
            <w:vAlign w:val="center"/>
          </w:tcPr>
          <w:p w:rsidR="005F78FC" w:rsidRDefault="00B42EF3">
            <w:pPr>
              <w:pStyle w:val="TableBodyText"/>
            </w:pPr>
            <w:r>
              <w:t>1BB1</w:t>
            </w:r>
          </w:p>
        </w:tc>
      </w:tr>
      <w:tr w:rsidR="005F78FC" w:rsidTr="005F78FC">
        <w:tc>
          <w:tcPr>
            <w:tcW w:w="0" w:type="auto"/>
            <w:vAlign w:val="center"/>
          </w:tcPr>
          <w:p w:rsidR="005F78FC" w:rsidRDefault="00B42EF3">
            <w:pPr>
              <w:pStyle w:val="TableBodyText"/>
            </w:pPr>
            <w:r>
              <w:t>InsertOCXImage</w:t>
            </w:r>
          </w:p>
        </w:tc>
        <w:tc>
          <w:tcPr>
            <w:tcW w:w="0" w:type="auto"/>
            <w:vAlign w:val="center"/>
          </w:tcPr>
          <w:p w:rsidR="005F78FC" w:rsidRDefault="00B42EF3">
            <w:pPr>
              <w:pStyle w:val="TableBodyText"/>
            </w:pPr>
            <w:r>
              <w:t>1BB2</w:t>
            </w:r>
          </w:p>
        </w:tc>
      </w:tr>
      <w:tr w:rsidR="005F78FC" w:rsidTr="005F78FC">
        <w:tc>
          <w:tcPr>
            <w:tcW w:w="0" w:type="auto"/>
            <w:vAlign w:val="center"/>
          </w:tcPr>
          <w:p w:rsidR="005F78FC" w:rsidRDefault="00B42EF3">
            <w:pPr>
              <w:pStyle w:val="TableBodyText"/>
            </w:pPr>
            <w:r>
              <w:t>InsertOCXLabel</w:t>
            </w:r>
          </w:p>
        </w:tc>
        <w:tc>
          <w:tcPr>
            <w:tcW w:w="0" w:type="auto"/>
            <w:vAlign w:val="center"/>
          </w:tcPr>
          <w:p w:rsidR="005F78FC" w:rsidRDefault="00B42EF3">
            <w:pPr>
              <w:pStyle w:val="TableBodyText"/>
            </w:pPr>
            <w:r>
              <w:t>1BA8</w:t>
            </w:r>
          </w:p>
        </w:tc>
      </w:tr>
      <w:tr w:rsidR="005F78FC" w:rsidTr="005F78FC">
        <w:tc>
          <w:tcPr>
            <w:tcW w:w="0" w:type="auto"/>
            <w:vAlign w:val="center"/>
          </w:tcPr>
          <w:p w:rsidR="005F78FC" w:rsidRDefault="00B42EF3">
            <w:pPr>
              <w:pStyle w:val="TableBodyText"/>
            </w:pPr>
            <w:r>
              <w:t>InsertOCXListBox</w:t>
            </w:r>
          </w:p>
        </w:tc>
        <w:tc>
          <w:tcPr>
            <w:tcW w:w="0" w:type="auto"/>
            <w:vAlign w:val="center"/>
          </w:tcPr>
          <w:p w:rsidR="005F78FC" w:rsidRDefault="00B42EF3">
            <w:pPr>
              <w:pStyle w:val="TableBodyText"/>
            </w:pPr>
            <w:r>
              <w:t>1BAC</w:t>
            </w:r>
          </w:p>
        </w:tc>
      </w:tr>
      <w:tr w:rsidR="005F78FC" w:rsidTr="005F78FC">
        <w:tc>
          <w:tcPr>
            <w:tcW w:w="0" w:type="auto"/>
            <w:vAlign w:val="center"/>
          </w:tcPr>
          <w:p w:rsidR="005F78FC" w:rsidRDefault="00B42EF3">
            <w:pPr>
              <w:pStyle w:val="TableBodyText"/>
            </w:pPr>
            <w:r>
              <w:t>InsertOCXOptionButton</w:t>
            </w:r>
          </w:p>
        </w:tc>
        <w:tc>
          <w:tcPr>
            <w:tcW w:w="0" w:type="auto"/>
            <w:vAlign w:val="center"/>
          </w:tcPr>
          <w:p w:rsidR="005F78FC" w:rsidRDefault="00B42EF3">
            <w:pPr>
              <w:pStyle w:val="TableBodyText"/>
            </w:pPr>
            <w:r>
              <w:t>1BAB</w:t>
            </w:r>
          </w:p>
        </w:tc>
      </w:tr>
      <w:tr w:rsidR="005F78FC" w:rsidTr="005F78FC">
        <w:tc>
          <w:tcPr>
            <w:tcW w:w="0" w:type="auto"/>
            <w:vAlign w:val="center"/>
          </w:tcPr>
          <w:p w:rsidR="005F78FC" w:rsidRDefault="00B42EF3">
            <w:pPr>
              <w:pStyle w:val="TableBodyText"/>
            </w:pPr>
            <w:r>
              <w:t>InsertOCXScrollbar</w:t>
            </w:r>
          </w:p>
        </w:tc>
        <w:tc>
          <w:tcPr>
            <w:tcW w:w="0" w:type="auto"/>
            <w:vAlign w:val="center"/>
          </w:tcPr>
          <w:p w:rsidR="005F78FC" w:rsidRDefault="00B42EF3">
            <w:pPr>
              <w:pStyle w:val="TableBodyText"/>
            </w:pPr>
            <w:r>
              <w:t>1BA7</w:t>
            </w:r>
          </w:p>
        </w:tc>
      </w:tr>
      <w:tr w:rsidR="005F78FC" w:rsidTr="005F78FC">
        <w:tc>
          <w:tcPr>
            <w:tcW w:w="0" w:type="auto"/>
            <w:vAlign w:val="center"/>
          </w:tcPr>
          <w:p w:rsidR="005F78FC" w:rsidRDefault="00B42EF3">
            <w:pPr>
              <w:pStyle w:val="TableBodyText"/>
            </w:pPr>
            <w:r>
              <w:t>InsertOCXSpin</w:t>
            </w:r>
          </w:p>
        </w:tc>
        <w:tc>
          <w:tcPr>
            <w:tcW w:w="0" w:type="auto"/>
            <w:vAlign w:val="center"/>
          </w:tcPr>
          <w:p w:rsidR="005F78FC" w:rsidRDefault="00B42EF3">
            <w:pPr>
              <w:pStyle w:val="TableBodyText"/>
            </w:pPr>
            <w:r>
              <w:t>1BA6</w:t>
            </w:r>
          </w:p>
        </w:tc>
      </w:tr>
      <w:tr w:rsidR="005F78FC" w:rsidTr="005F78FC">
        <w:tc>
          <w:tcPr>
            <w:tcW w:w="0" w:type="auto"/>
            <w:vAlign w:val="center"/>
          </w:tcPr>
          <w:p w:rsidR="005F78FC" w:rsidRDefault="00B42EF3">
            <w:pPr>
              <w:pStyle w:val="TableBodyText"/>
            </w:pPr>
            <w:r>
              <w:t>InsertOCXTextBox</w:t>
            </w:r>
          </w:p>
        </w:tc>
        <w:tc>
          <w:tcPr>
            <w:tcW w:w="0" w:type="auto"/>
            <w:vAlign w:val="center"/>
          </w:tcPr>
          <w:p w:rsidR="005F78FC" w:rsidRDefault="00B42EF3">
            <w:pPr>
              <w:pStyle w:val="TableBodyText"/>
            </w:pPr>
            <w:r>
              <w:t>1BA9</w:t>
            </w:r>
          </w:p>
        </w:tc>
      </w:tr>
      <w:tr w:rsidR="005F78FC" w:rsidTr="005F78FC">
        <w:tc>
          <w:tcPr>
            <w:tcW w:w="0" w:type="auto"/>
            <w:vAlign w:val="center"/>
          </w:tcPr>
          <w:p w:rsidR="005F78FC" w:rsidRDefault="00B42EF3">
            <w:pPr>
              <w:pStyle w:val="TableBodyText"/>
            </w:pPr>
            <w:r>
              <w:t>InsertOCXToggleButton</w:t>
            </w:r>
          </w:p>
        </w:tc>
        <w:tc>
          <w:tcPr>
            <w:tcW w:w="0" w:type="auto"/>
            <w:vAlign w:val="center"/>
          </w:tcPr>
          <w:p w:rsidR="005F78FC" w:rsidRDefault="00B42EF3">
            <w:pPr>
              <w:pStyle w:val="TableBodyText"/>
            </w:pPr>
            <w:r>
              <w:t>1BAE</w:t>
            </w:r>
          </w:p>
        </w:tc>
      </w:tr>
      <w:tr w:rsidR="005F78FC" w:rsidTr="005F78FC">
        <w:tc>
          <w:tcPr>
            <w:tcW w:w="0" w:type="auto"/>
            <w:vAlign w:val="center"/>
          </w:tcPr>
          <w:p w:rsidR="005F78FC" w:rsidRDefault="00B42EF3">
            <w:pPr>
              <w:pStyle w:val="TableBodyText"/>
            </w:pPr>
            <w:r>
              <w:t>InsertObject</w:t>
            </w:r>
          </w:p>
        </w:tc>
        <w:tc>
          <w:tcPr>
            <w:tcW w:w="0" w:type="auto"/>
            <w:vAlign w:val="center"/>
          </w:tcPr>
          <w:p w:rsidR="005F78FC" w:rsidRDefault="00B42EF3">
            <w:pPr>
              <w:pStyle w:val="TableBodyText"/>
            </w:pPr>
            <w:r>
              <w:t>00AC</w:t>
            </w:r>
          </w:p>
        </w:tc>
      </w:tr>
      <w:tr w:rsidR="005F78FC" w:rsidTr="005F78FC">
        <w:tc>
          <w:tcPr>
            <w:tcW w:w="0" w:type="auto"/>
            <w:vAlign w:val="center"/>
          </w:tcPr>
          <w:p w:rsidR="005F78FC" w:rsidRDefault="00B42EF3">
            <w:pPr>
              <w:pStyle w:val="TableBodyText"/>
            </w:pPr>
            <w:r>
              <w:t>InsertOfficeDrawing</w:t>
            </w:r>
          </w:p>
        </w:tc>
        <w:tc>
          <w:tcPr>
            <w:tcW w:w="0" w:type="auto"/>
            <w:vAlign w:val="center"/>
          </w:tcPr>
          <w:p w:rsidR="005F78FC" w:rsidRDefault="00B42EF3">
            <w:pPr>
              <w:pStyle w:val="TableBodyText"/>
            </w:pPr>
            <w:r>
              <w:t>032F</w:t>
            </w:r>
          </w:p>
        </w:tc>
      </w:tr>
      <w:tr w:rsidR="005F78FC" w:rsidTr="005F78FC">
        <w:tc>
          <w:tcPr>
            <w:tcW w:w="0" w:type="auto"/>
            <w:vAlign w:val="center"/>
          </w:tcPr>
          <w:p w:rsidR="005F78FC" w:rsidRDefault="00B42EF3">
            <w:pPr>
              <w:pStyle w:val="TableBodyText"/>
            </w:pPr>
            <w:r>
              <w:t>InsertPageBreak</w:t>
            </w:r>
          </w:p>
        </w:tc>
        <w:tc>
          <w:tcPr>
            <w:tcW w:w="0" w:type="auto"/>
            <w:vAlign w:val="center"/>
          </w:tcPr>
          <w:p w:rsidR="005F78FC" w:rsidRDefault="00B42EF3">
            <w:pPr>
              <w:pStyle w:val="TableBodyText"/>
            </w:pPr>
            <w:r>
              <w:t>033E</w:t>
            </w:r>
          </w:p>
        </w:tc>
      </w:tr>
      <w:tr w:rsidR="005F78FC" w:rsidTr="005F78FC">
        <w:tc>
          <w:tcPr>
            <w:tcW w:w="0" w:type="auto"/>
            <w:vAlign w:val="center"/>
          </w:tcPr>
          <w:p w:rsidR="005F78FC" w:rsidRDefault="00B42EF3">
            <w:pPr>
              <w:pStyle w:val="TableBodyText"/>
            </w:pPr>
            <w:r>
              <w:t>InsertPageField</w:t>
            </w:r>
          </w:p>
        </w:tc>
        <w:tc>
          <w:tcPr>
            <w:tcW w:w="0" w:type="auto"/>
            <w:vAlign w:val="center"/>
          </w:tcPr>
          <w:p w:rsidR="005F78FC" w:rsidRDefault="00B42EF3">
            <w:pPr>
              <w:pStyle w:val="TableBodyText"/>
            </w:pPr>
            <w:r>
              <w:t>00EF</w:t>
            </w:r>
          </w:p>
        </w:tc>
      </w:tr>
      <w:tr w:rsidR="005F78FC" w:rsidTr="005F78FC">
        <w:tc>
          <w:tcPr>
            <w:tcW w:w="0" w:type="auto"/>
            <w:vAlign w:val="center"/>
          </w:tcPr>
          <w:p w:rsidR="005F78FC" w:rsidRDefault="00B42EF3">
            <w:pPr>
              <w:pStyle w:val="TableBodyText"/>
            </w:pPr>
            <w:r>
              <w:t>InsertPageNumbers</w:t>
            </w:r>
          </w:p>
        </w:tc>
        <w:tc>
          <w:tcPr>
            <w:tcW w:w="0" w:type="auto"/>
            <w:vAlign w:val="center"/>
          </w:tcPr>
          <w:p w:rsidR="005F78FC" w:rsidRDefault="00B42EF3">
            <w:pPr>
              <w:pStyle w:val="TableBodyText"/>
            </w:pPr>
            <w:r>
              <w:t>0126</w:t>
            </w:r>
          </w:p>
        </w:tc>
      </w:tr>
      <w:tr w:rsidR="005F78FC" w:rsidTr="005F78FC">
        <w:tc>
          <w:tcPr>
            <w:tcW w:w="0" w:type="auto"/>
            <w:vAlign w:val="center"/>
          </w:tcPr>
          <w:p w:rsidR="005F78FC" w:rsidRDefault="00B42EF3">
            <w:pPr>
              <w:pStyle w:val="TableBodyText"/>
            </w:pPr>
            <w:r>
              <w:lastRenderedPageBreak/>
              <w:t>InsertPicture</w:t>
            </w:r>
          </w:p>
        </w:tc>
        <w:tc>
          <w:tcPr>
            <w:tcW w:w="0" w:type="auto"/>
            <w:vAlign w:val="center"/>
          </w:tcPr>
          <w:p w:rsidR="005F78FC" w:rsidRDefault="00B42EF3">
            <w:pPr>
              <w:pStyle w:val="TableBodyText"/>
            </w:pPr>
            <w:r>
              <w:t>00A3</w:t>
            </w:r>
          </w:p>
        </w:tc>
      </w:tr>
      <w:tr w:rsidR="005F78FC" w:rsidTr="005F78FC">
        <w:tc>
          <w:tcPr>
            <w:tcW w:w="0" w:type="auto"/>
            <w:vAlign w:val="center"/>
          </w:tcPr>
          <w:p w:rsidR="005F78FC" w:rsidRDefault="00B42EF3">
            <w:pPr>
              <w:pStyle w:val="TableBodyText"/>
            </w:pPr>
            <w:r>
              <w:t>InsertPicture3</w:t>
            </w:r>
          </w:p>
        </w:tc>
        <w:tc>
          <w:tcPr>
            <w:tcW w:w="0" w:type="auto"/>
            <w:vAlign w:val="center"/>
          </w:tcPr>
          <w:p w:rsidR="005F78FC" w:rsidRDefault="00B42EF3">
            <w:pPr>
              <w:pStyle w:val="TableBodyText"/>
            </w:pPr>
            <w:r>
              <w:t>090D</w:t>
            </w:r>
          </w:p>
        </w:tc>
      </w:tr>
      <w:tr w:rsidR="005F78FC" w:rsidTr="005F78FC">
        <w:tc>
          <w:tcPr>
            <w:tcW w:w="0" w:type="auto"/>
            <w:vAlign w:val="center"/>
          </w:tcPr>
          <w:p w:rsidR="005F78FC" w:rsidRDefault="00B42EF3">
            <w:pPr>
              <w:pStyle w:val="TableBodyText"/>
            </w:pPr>
            <w:r>
              <w:t>InsertPictureBullet</w:t>
            </w:r>
          </w:p>
        </w:tc>
        <w:tc>
          <w:tcPr>
            <w:tcW w:w="0" w:type="auto"/>
            <w:vAlign w:val="center"/>
          </w:tcPr>
          <w:p w:rsidR="005F78FC" w:rsidRDefault="00B42EF3">
            <w:pPr>
              <w:pStyle w:val="TableBodyText"/>
            </w:pPr>
            <w:r>
              <w:t>035C</w:t>
            </w:r>
          </w:p>
        </w:tc>
      </w:tr>
      <w:tr w:rsidR="005F78FC" w:rsidTr="005F78FC">
        <w:tc>
          <w:tcPr>
            <w:tcW w:w="0" w:type="auto"/>
            <w:vAlign w:val="center"/>
          </w:tcPr>
          <w:p w:rsidR="005F78FC" w:rsidRDefault="00B42EF3">
            <w:pPr>
              <w:pStyle w:val="TableBodyText"/>
            </w:pPr>
            <w:r>
              <w:t>InsertPolicyBarcode</w:t>
            </w:r>
          </w:p>
        </w:tc>
        <w:tc>
          <w:tcPr>
            <w:tcW w:w="0" w:type="auto"/>
            <w:vAlign w:val="center"/>
          </w:tcPr>
          <w:p w:rsidR="005F78FC" w:rsidRDefault="00B42EF3">
            <w:pPr>
              <w:pStyle w:val="TableBodyText"/>
            </w:pPr>
            <w:r>
              <w:t>0787</w:t>
            </w:r>
          </w:p>
        </w:tc>
      </w:tr>
      <w:tr w:rsidR="005F78FC" w:rsidTr="005F78FC">
        <w:tc>
          <w:tcPr>
            <w:tcW w:w="0" w:type="auto"/>
            <w:vAlign w:val="center"/>
          </w:tcPr>
          <w:p w:rsidR="005F78FC" w:rsidRDefault="00B42EF3">
            <w:pPr>
              <w:pStyle w:val="TableBodyText"/>
            </w:pPr>
            <w:r>
              <w:t>InsertPolicyLabel</w:t>
            </w:r>
          </w:p>
        </w:tc>
        <w:tc>
          <w:tcPr>
            <w:tcW w:w="0" w:type="auto"/>
            <w:vAlign w:val="center"/>
          </w:tcPr>
          <w:p w:rsidR="005F78FC" w:rsidRDefault="00B42EF3">
            <w:pPr>
              <w:pStyle w:val="TableBodyText"/>
            </w:pPr>
            <w:r>
              <w:t>0785</w:t>
            </w:r>
          </w:p>
        </w:tc>
      </w:tr>
      <w:tr w:rsidR="005F78FC" w:rsidTr="005F78FC">
        <w:tc>
          <w:tcPr>
            <w:tcW w:w="0" w:type="auto"/>
            <w:vAlign w:val="center"/>
          </w:tcPr>
          <w:p w:rsidR="005F78FC" w:rsidRDefault="00B42EF3">
            <w:pPr>
              <w:pStyle w:val="TableBodyText"/>
            </w:pPr>
            <w:r>
              <w:t>InsertSectionBreak</w:t>
            </w:r>
          </w:p>
        </w:tc>
        <w:tc>
          <w:tcPr>
            <w:tcW w:w="0" w:type="auto"/>
            <w:vAlign w:val="center"/>
          </w:tcPr>
          <w:p w:rsidR="005F78FC" w:rsidRDefault="00B42EF3">
            <w:pPr>
              <w:pStyle w:val="TableBodyText"/>
            </w:pPr>
            <w:r>
              <w:t>02C3</w:t>
            </w:r>
          </w:p>
        </w:tc>
      </w:tr>
      <w:tr w:rsidR="005F78FC" w:rsidTr="005F78FC">
        <w:tc>
          <w:tcPr>
            <w:tcW w:w="0" w:type="auto"/>
            <w:vAlign w:val="center"/>
          </w:tcPr>
          <w:p w:rsidR="005F78FC" w:rsidRDefault="00B42EF3">
            <w:pPr>
              <w:pStyle w:val="TableBodyText"/>
            </w:pPr>
            <w:r>
              <w:t>InsertSignatureLine</w:t>
            </w:r>
          </w:p>
        </w:tc>
        <w:tc>
          <w:tcPr>
            <w:tcW w:w="0" w:type="auto"/>
            <w:vAlign w:val="center"/>
          </w:tcPr>
          <w:p w:rsidR="005F78FC" w:rsidRDefault="00B42EF3">
            <w:pPr>
              <w:pStyle w:val="TableBodyText"/>
            </w:pPr>
            <w:r>
              <w:t>077A</w:t>
            </w:r>
          </w:p>
        </w:tc>
      </w:tr>
      <w:tr w:rsidR="005F78FC" w:rsidTr="005F78FC">
        <w:tc>
          <w:tcPr>
            <w:tcW w:w="0" w:type="auto"/>
            <w:vAlign w:val="center"/>
          </w:tcPr>
          <w:p w:rsidR="005F78FC" w:rsidRDefault="00B42EF3">
            <w:pPr>
              <w:pStyle w:val="TableBodyText"/>
            </w:pPr>
            <w:r>
              <w:t>InsertSignatureLineMenuItem</w:t>
            </w:r>
          </w:p>
        </w:tc>
        <w:tc>
          <w:tcPr>
            <w:tcW w:w="0" w:type="auto"/>
            <w:vAlign w:val="center"/>
          </w:tcPr>
          <w:p w:rsidR="005F78FC" w:rsidRDefault="00B42EF3">
            <w:pPr>
              <w:pStyle w:val="TableBodyText"/>
            </w:pPr>
            <w:r>
              <w:t>0819</w:t>
            </w:r>
          </w:p>
        </w:tc>
      </w:tr>
      <w:tr w:rsidR="005F78FC" w:rsidTr="005F78FC">
        <w:tc>
          <w:tcPr>
            <w:tcW w:w="0" w:type="auto"/>
            <w:vAlign w:val="center"/>
          </w:tcPr>
          <w:p w:rsidR="005F78FC" w:rsidRDefault="00B42EF3">
            <w:pPr>
              <w:pStyle w:val="TableBodyText"/>
            </w:pPr>
            <w:r>
              <w:t>InsertSound</w:t>
            </w:r>
          </w:p>
        </w:tc>
        <w:tc>
          <w:tcPr>
            <w:tcW w:w="0" w:type="auto"/>
            <w:vAlign w:val="center"/>
          </w:tcPr>
          <w:p w:rsidR="005F78FC" w:rsidRDefault="00B42EF3">
            <w:pPr>
              <w:pStyle w:val="TableBodyText"/>
            </w:pPr>
            <w:r>
              <w:t>0207</w:t>
            </w:r>
          </w:p>
        </w:tc>
      </w:tr>
      <w:tr w:rsidR="005F78FC" w:rsidTr="005F78FC">
        <w:tc>
          <w:tcPr>
            <w:tcW w:w="0" w:type="auto"/>
            <w:vAlign w:val="center"/>
          </w:tcPr>
          <w:p w:rsidR="005F78FC" w:rsidRDefault="00B42EF3">
            <w:pPr>
              <w:pStyle w:val="TableBodyText"/>
            </w:pPr>
            <w:r>
              <w:t>InsertSoundComment</w:t>
            </w:r>
          </w:p>
        </w:tc>
        <w:tc>
          <w:tcPr>
            <w:tcW w:w="0" w:type="auto"/>
            <w:vAlign w:val="center"/>
          </w:tcPr>
          <w:p w:rsidR="005F78FC" w:rsidRDefault="00B42EF3">
            <w:pPr>
              <w:pStyle w:val="TableBodyText"/>
            </w:pPr>
            <w:r>
              <w:t>05A5</w:t>
            </w:r>
          </w:p>
        </w:tc>
      </w:tr>
      <w:tr w:rsidR="005F78FC" w:rsidTr="005F78FC">
        <w:tc>
          <w:tcPr>
            <w:tcW w:w="0" w:type="auto"/>
            <w:vAlign w:val="center"/>
          </w:tcPr>
          <w:p w:rsidR="005F78FC" w:rsidRDefault="00B42EF3">
            <w:pPr>
              <w:pStyle w:val="TableBodyText"/>
            </w:pPr>
            <w:r>
              <w:t>InsertSpike</w:t>
            </w:r>
          </w:p>
        </w:tc>
        <w:tc>
          <w:tcPr>
            <w:tcW w:w="0" w:type="auto"/>
            <w:vAlign w:val="center"/>
          </w:tcPr>
          <w:p w:rsidR="005F78FC" w:rsidRDefault="00B42EF3">
            <w:pPr>
              <w:pStyle w:val="TableBodyText"/>
            </w:pPr>
            <w:r>
              <w:t>0010</w:t>
            </w:r>
          </w:p>
        </w:tc>
      </w:tr>
      <w:tr w:rsidR="005F78FC" w:rsidTr="005F78FC">
        <w:tc>
          <w:tcPr>
            <w:tcW w:w="0" w:type="auto"/>
            <w:vAlign w:val="center"/>
          </w:tcPr>
          <w:p w:rsidR="005F78FC" w:rsidRDefault="00B42EF3">
            <w:pPr>
              <w:pStyle w:val="TableBodyText"/>
            </w:pPr>
            <w:r>
              <w:t>InsertStyleSeparator</w:t>
            </w:r>
          </w:p>
        </w:tc>
        <w:tc>
          <w:tcPr>
            <w:tcW w:w="0" w:type="auto"/>
            <w:vAlign w:val="center"/>
          </w:tcPr>
          <w:p w:rsidR="005F78FC" w:rsidRDefault="00B42EF3">
            <w:pPr>
              <w:pStyle w:val="TableBodyText"/>
            </w:pPr>
            <w:r>
              <w:t>0576</w:t>
            </w:r>
          </w:p>
        </w:tc>
      </w:tr>
      <w:tr w:rsidR="005F78FC" w:rsidTr="005F78FC">
        <w:tc>
          <w:tcPr>
            <w:tcW w:w="0" w:type="auto"/>
            <w:vAlign w:val="center"/>
          </w:tcPr>
          <w:p w:rsidR="005F78FC" w:rsidRDefault="00B42EF3">
            <w:pPr>
              <w:pStyle w:val="TableBodyText"/>
            </w:pPr>
            <w:r>
              <w:t>InsertSubdocument</w:t>
            </w:r>
          </w:p>
        </w:tc>
        <w:tc>
          <w:tcPr>
            <w:tcW w:w="0" w:type="auto"/>
            <w:vAlign w:val="center"/>
          </w:tcPr>
          <w:p w:rsidR="005F78FC" w:rsidRDefault="00B42EF3">
            <w:pPr>
              <w:pStyle w:val="TableBodyText"/>
            </w:pPr>
            <w:r>
              <w:t>0247</w:t>
            </w:r>
          </w:p>
        </w:tc>
      </w:tr>
      <w:tr w:rsidR="005F78FC" w:rsidTr="005F78FC">
        <w:tc>
          <w:tcPr>
            <w:tcW w:w="0" w:type="auto"/>
            <w:vAlign w:val="center"/>
          </w:tcPr>
          <w:p w:rsidR="005F78FC" w:rsidRDefault="00B42EF3">
            <w:pPr>
              <w:pStyle w:val="TableBodyText"/>
            </w:pPr>
            <w:r>
              <w:t>InsertSymbol</w:t>
            </w:r>
          </w:p>
        </w:tc>
        <w:tc>
          <w:tcPr>
            <w:tcW w:w="0" w:type="auto"/>
            <w:vAlign w:val="center"/>
          </w:tcPr>
          <w:p w:rsidR="005F78FC" w:rsidRDefault="00B42EF3">
            <w:pPr>
              <w:pStyle w:val="TableBodyText"/>
            </w:pPr>
            <w:r>
              <w:t>00A2</w:t>
            </w:r>
          </w:p>
        </w:tc>
      </w:tr>
      <w:tr w:rsidR="005F78FC" w:rsidTr="005F78FC">
        <w:tc>
          <w:tcPr>
            <w:tcW w:w="0" w:type="auto"/>
            <w:vAlign w:val="center"/>
          </w:tcPr>
          <w:p w:rsidR="005F78FC" w:rsidRDefault="00B42EF3">
            <w:pPr>
              <w:pStyle w:val="TableBodyText"/>
            </w:pPr>
            <w:r>
              <w:t>InsertTableGallery</w:t>
            </w:r>
          </w:p>
        </w:tc>
        <w:tc>
          <w:tcPr>
            <w:tcW w:w="0" w:type="auto"/>
            <w:vAlign w:val="center"/>
          </w:tcPr>
          <w:p w:rsidR="005F78FC" w:rsidRDefault="00B42EF3">
            <w:pPr>
              <w:pStyle w:val="TableBodyText"/>
            </w:pPr>
            <w:r>
              <w:t>08D1</w:t>
            </w:r>
          </w:p>
        </w:tc>
      </w:tr>
      <w:tr w:rsidR="005F78FC" w:rsidTr="005F78FC">
        <w:tc>
          <w:tcPr>
            <w:tcW w:w="0" w:type="auto"/>
            <w:vAlign w:val="center"/>
          </w:tcPr>
          <w:p w:rsidR="005F78FC" w:rsidRDefault="00B42EF3">
            <w:pPr>
              <w:pStyle w:val="TableBodyText"/>
            </w:pPr>
            <w:r>
              <w:t>InsertTableOfAuthorities</w:t>
            </w:r>
          </w:p>
        </w:tc>
        <w:tc>
          <w:tcPr>
            <w:tcW w:w="0" w:type="auto"/>
            <w:vAlign w:val="center"/>
          </w:tcPr>
          <w:p w:rsidR="005F78FC" w:rsidRDefault="00B42EF3">
            <w:pPr>
              <w:pStyle w:val="TableBodyText"/>
            </w:pPr>
            <w:r>
              <w:t>01D7</w:t>
            </w:r>
          </w:p>
        </w:tc>
      </w:tr>
      <w:tr w:rsidR="005F78FC" w:rsidTr="005F78FC">
        <w:tc>
          <w:tcPr>
            <w:tcW w:w="0" w:type="auto"/>
            <w:vAlign w:val="center"/>
          </w:tcPr>
          <w:p w:rsidR="005F78FC" w:rsidRDefault="00B42EF3">
            <w:pPr>
              <w:pStyle w:val="TableBodyText"/>
            </w:pPr>
            <w:r>
              <w:t>InsertTableOfContents</w:t>
            </w:r>
          </w:p>
        </w:tc>
        <w:tc>
          <w:tcPr>
            <w:tcW w:w="0" w:type="auto"/>
            <w:vAlign w:val="center"/>
          </w:tcPr>
          <w:p w:rsidR="005F78FC" w:rsidRDefault="00B42EF3">
            <w:pPr>
              <w:pStyle w:val="TableBodyText"/>
            </w:pPr>
            <w:r>
              <w:t>00AB</w:t>
            </w:r>
          </w:p>
        </w:tc>
      </w:tr>
      <w:tr w:rsidR="005F78FC" w:rsidTr="005F78FC">
        <w:tc>
          <w:tcPr>
            <w:tcW w:w="0" w:type="auto"/>
            <w:vAlign w:val="center"/>
          </w:tcPr>
          <w:p w:rsidR="005F78FC" w:rsidRDefault="00B42EF3">
            <w:pPr>
              <w:pStyle w:val="TableBodyText"/>
            </w:pPr>
            <w:r>
              <w:t>InsertTableOfContentsMenu</w:t>
            </w:r>
          </w:p>
        </w:tc>
        <w:tc>
          <w:tcPr>
            <w:tcW w:w="0" w:type="auto"/>
            <w:vAlign w:val="center"/>
          </w:tcPr>
          <w:p w:rsidR="005F78FC" w:rsidRDefault="00B42EF3">
            <w:pPr>
              <w:pStyle w:val="TableBodyText"/>
            </w:pPr>
            <w:r>
              <w:t>0923</w:t>
            </w:r>
          </w:p>
        </w:tc>
      </w:tr>
      <w:tr w:rsidR="005F78FC" w:rsidTr="005F78FC">
        <w:tc>
          <w:tcPr>
            <w:tcW w:w="0" w:type="auto"/>
            <w:vAlign w:val="center"/>
          </w:tcPr>
          <w:p w:rsidR="005F78FC" w:rsidRDefault="00B42EF3">
            <w:pPr>
              <w:pStyle w:val="TableBodyText"/>
            </w:pPr>
            <w:r>
              <w:t>InsertTableOfFigures</w:t>
            </w:r>
          </w:p>
        </w:tc>
        <w:tc>
          <w:tcPr>
            <w:tcW w:w="0" w:type="auto"/>
            <w:vAlign w:val="center"/>
          </w:tcPr>
          <w:p w:rsidR="005F78FC" w:rsidRDefault="00B42EF3">
            <w:pPr>
              <w:pStyle w:val="TableBodyText"/>
            </w:pPr>
            <w:r>
              <w:t>01D8</w:t>
            </w:r>
          </w:p>
        </w:tc>
      </w:tr>
      <w:tr w:rsidR="005F78FC" w:rsidTr="005F78FC">
        <w:tc>
          <w:tcPr>
            <w:tcW w:w="0" w:type="auto"/>
            <w:vAlign w:val="center"/>
          </w:tcPr>
          <w:p w:rsidR="005F78FC" w:rsidRDefault="00B42EF3">
            <w:pPr>
              <w:pStyle w:val="TableBodyText"/>
            </w:pPr>
            <w:r>
              <w:t>InsertTimeField</w:t>
            </w:r>
          </w:p>
        </w:tc>
        <w:tc>
          <w:tcPr>
            <w:tcW w:w="0" w:type="auto"/>
            <w:vAlign w:val="center"/>
          </w:tcPr>
          <w:p w:rsidR="005F78FC" w:rsidRDefault="00B42EF3">
            <w:pPr>
              <w:pStyle w:val="TableBodyText"/>
            </w:pPr>
            <w:r>
              <w:t>00F1</w:t>
            </w:r>
          </w:p>
        </w:tc>
      </w:tr>
      <w:tr w:rsidR="005F78FC" w:rsidTr="005F78FC">
        <w:tc>
          <w:tcPr>
            <w:tcW w:w="0" w:type="auto"/>
            <w:vAlign w:val="center"/>
          </w:tcPr>
          <w:p w:rsidR="005F78FC" w:rsidRDefault="00B42EF3">
            <w:pPr>
              <w:pStyle w:val="TableBodyText"/>
            </w:pPr>
            <w:r>
              <w:t>InsertVerticalFrame</w:t>
            </w:r>
          </w:p>
        </w:tc>
        <w:tc>
          <w:tcPr>
            <w:tcW w:w="0" w:type="auto"/>
            <w:vAlign w:val="center"/>
          </w:tcPr>
          <w:p w:rsidR="005F78FC" w:rsidRDefault="00B42EF3">
            <w:pPr>
              <w:pStyle w:val="TableBodyText"/>
            </w:pPr>
            <w:r>
              <w:t>0313</w:t>
            </w:r>
          </w:p>
        </w:tc>
      </w:tr>
      <w:tr w:rsidR="005F78FC" w:rsidTr="005F78FC">
        <w:tc>
          <w:tcPr>
            <w:tcW w:w="0" w:type="auto"/>
            <w:vAlign w:val="center"/>
          </w:tcPr>
          <w:p w:rsidR="005F78FC" w:rsidRDefault="00B42EF3">
            <w:pPr>
              <w:pStyle w:val="TableBodyText"/>
            </w:pPr>
            <w:r>
              <w:t>InsertWebComponent</w:t>
            </w:r>
          </w:p>
        </w:tc>
        <w:tc>
          <w:tcPr>
            <w:tcW w:w="0" w:type="auto"/>
            <w:vAlign w:val="center"/>
          </w:tcPr>
          <w:p w:rsidR="005F78FC" w:rsidRDefault="00B42EF3">
            <w:pPr>
              <w:pStyle w:val="TableBodyText"/>
            </w:pPr>
            <w:r>
              <w:t>052C</w:t>
            </w:r>
          </w:p>
        </w:tc>
      </w:tr>
      <w:tr w:rsidR="005F78FC" w:rsidTr="005F78FC">
        <w:tc>
          <w:tcPr>
            <w:tcW w:w="0" w:type="auto"/>
            <w:vAlign w:val="center"/>
          </w:tcPr>
          <w:p w:rsidR="005F78FC" w:rsidRDefault="00B42EF3">
            <w:pPr>
              <w:pStyle w:val="TableBodyText"/>
            </w:pPr>
            <w:r>
              <w:t>InsertWordArt</w:t>
            </w:r>
          </w:p>
        </w:tc>
        <w:tc>
          <w:tcPr>
            <w:tcW w:w="0" w:type="auto"/>
            <w:vAlign w:val="center"/>
          </w:tcPr>
          <w:p w:rsidR="005F78FC" w:rsidRDefault="00B42EF3">
            <w:pPr>
              <w:pStyle w:val="TableBodyText"/>
            </w:pPr>
            <w:r>
              <w:t>02AA</w:t>
            </w:r>
          </w:p>
        </w:tc>
      </w:tr>
      <w:tr w:rsidR="005F78FC" w:rsidTr="005F78FC">
        <w:tc>
          <w:tcPr>
            <w:tcW w:w="0" w:type="auto"/>
            <w:vAlign w:val="center"/>
          </w:tcPr>
          <w:p w:rsidR="005F78FC" w:rsidRDefault="00B42EF3">
            <w:pPr>
              <w:pStyle w:val="TableBodyText"/>
            </w:pPr>
            <w:r>
              <w:t>InsertWordArtGallery</w:t>
            </w:r>
          </w:p>
        </w:tc>
        <w:tc>
          <w:tcPr>
            <w:tcW w:w="0" w:type="auto"/>
            <w:vAlign w:val="center"/>
          </w:tcPr>
          <w:p w:rsidR="005F78FC" w:rsidRDefault="00B42EF3">
            <w:pPr>
              <w:pStyle w:val="TableBodyText"/>
            </w:pPr>
            <w:r>
              <w:t>08CF</w:t>
            </w:r>
          </w:p>
        </w:tc>
      </w:tr>
      <w:tr w:rsidR="005F78FC" w:rsidTr="005F78FC">
        <w:tc>
          <w:tcPr>
            <w:tcW w:w="0" w:type="auto"/>
            <w:vAlign w:val="center"/>
          </w:tcPr>
          <w:p w:rsidR="005F78FC" w:rsidRDefault="00B42EF3">
            <w:pPr>
              <w:pStyle w:val="TableBodyText"/>
            </w:pPr>
            <w:r>
              <w:t>Italic</w:t>
            </w:r>
          </w:p>
        </w:tc>
        <w:tc>
          <w:tcPr>
            <w:tcW w:w="0" w:type="auto"/>
            <w:vAlign w:val="center"/>
          </w:tcPr>
          <w:p w:rsidR="005F78FC" w:rsidRDefault="00B42EF3">
            <w:pPr>
              <w:pStyle w:val="TableBodyText"/>
            </w:pPr>
            <w:r>
              <w:t>002E</w:t>
            </w:r>
          </w:p>
        </w:tc>
      </w:tr>
      <w:tr w:rsidR="005F78FC" w:rsidTr="005F78FC">
        <w:tc>
          <w:tcPr>
            <w:tcW w:w="0" w:type="auto"/>
            <w:vAlign w:val="center"/>
          </w:tcPr>
          <w:p w:rsidR="005F78FC" w:rsidRDefault="00B42EF3">
            <w:pPr>
              <w:pStyle w:val="TableBodyText"/>
            </w:pPr>
            <w:r>
              <w:t>ItalicRun</w:t>
            </w:r>
          </w:p>
        </w:tc>
        <w:tc>
          <w:tcPr>
            <w:tcW w:w="0" w:type="auto"/>
            <w:vAlign w:val="center"/>
          </w:tcPr>
          <w:p w:rsidR="005F78FC" w:rsidRDefault="00B42EF3">
            <w:pPr>
              <w:pStyle w:val="TableBodyText"/>
            </w:pPr>
            <w:r>
              <w:t>0425</w:t>
            </w:r>
          </w:p>
        </w:tc>
      </w:tr>
      <w:tr w:rsidR="005F78FC" w:rsidTr="005F78FC">
        <w:tc>
          <w:tcPr>
            <w:tcW w:w="0" w:type="auto"/>
            <w:vAlign w:val="center"/>
          </w:tcPr>
          <w:p w:rsidR="005F78FC" w:rsidRDefault="00B42EF3">
            <w:pPr>
              <w:pStyle w:val="TableBodyText"/>
            </w:pPr>
            <w:r>
              <w:t>JapaneseGreetingClosingSentence</w:t>
            </w:r>
          </w:p>
        </w:tc>
        <w:tc>
          <w:tcPr>
            <w:tcW w:w="0" w:type="auto"/>
            <w:vAlign w:val="center"/>
          </w:tcPr>
          <w:p w:rsidR="005F78FC" w:rsidRDefault="00B42EF3">
            <w:pPr>
              <w:pStyle w:val="TableBodyText"/>
            </w:pPr>
            <w:r>
              <w:t>04E2</w:t>
            </w:r>
          </w:p>
        </w:tc>
      </w:tr>
      <w:tr w:rsidR="005F78FC" w:rsidTr="005F78FC">
        <w:tc>
          <w:tcPr>
            <w:tcW w:w="0" w:type="auto"/>
            <w:vAlign w:val="center"/>
          </w:tcPr>
          <w:p w:rsidR="005F78FC" w:rsidRDefault="00B42EF3">
            <w:pPr>
              <w:pStyle w:val="TableBodyText"/>
            </w:pPr>
            <w:r>
              <w:t>JapaneseGreetingFlyout</w:t>
            </w:r>
          </w:p>
        </w:tc>
        <w:tc>
          <w:tcPr>
            <w:tcW w:w="0" w:type="auto"/>
            <w:vAlign w:val="center"/>
          </w:tcPr>
          <w:p w:rsidR="005F78FC" w:rsidRDefault="00B42EF3">
            <w:pPr>
              <w:pStyle w:val="TableBodyText"/>
            </w:pPr>
            <w:r>
              <w:t>08A7</w:t>
            </w:r>
          </w:p>
        </w:tc>
      </w:tr>
      <w:tr w:rsidR="005F78FC" w:rsidTr="005F78FC">
        <w:tc>
          <w:tcPr>
            <w:tcW w:w="0" w:type="auto"/>
            <w:vAlign w:val="center"/>
          </w:tcPr>
          <w:p w:rsidR="005F78FC" w:rsidRDefault="00B42EF3">
            <w:pPr>
              <w:pStyle w:val="TableBodyText"/>
            </w:pPr>
            <w:r>
              <w:t>JapaneseGreetingOpeningSentence</w:t>
            </w:r>
          </w:p>
        </w:tc>
        <w:tc>
          <w:tcPr>
            <w:tcW w:w="0" w:type="auto"/>
            <w:vAlign w:val="center"/>
          </w:tcPr>
          <w:p w:rsidR="005F78FC" w:rsidRDefault="00B42EF3">
            <w:pPr>
              <w:pStyle w:val="TableBodyText"/>
            </w:pPr>
            <w:r>
              <w:t>04E1</w:t>
            </w:r>
          </w:p>
        </w:tc>
      </w:tr>
      <w:tr w:rsidR="005F78FC" w:rsidTr="005F78FC">
        <w:tc>
          <w:tcPr>
            <w:tcW w:w="0" w:type="auto"/>
            <w:vAlign w:val="center"/>
          </w:tcPr>
          <w:p w:rsidR="005F78FC" w:rsidRDefault="00B42EF3">
            <w:pPr>
              <w:pStyle w:val="TableBodyText"/>
            </w:pPr>
            <w:r>
              <w:t>JapaneseGreetingPreviousGreeting</w:t>
            </w:r>
          </w:p>
        </w:tc>
        <w:tc>
          <w:tcPr>
            <w:tcW w:w="0" w:type="auto"/>
            <w:vAlign w:val="center"/>
          </w:tcPr>
          <w:p w:rsidR="005F78FC" w:rsidRDefault="00B42EF3">
            <w:pPr>
              <w:pStyle w:val="TableBodyText"/>
            </w:pPr>
            <w:r>
              <w:t>04E3</w:t>
            </w:r>
          </w:p>
        </w:tc>
      </w:tr>
      <w:tr w:rsidR="005F78FC" w:rsidTr="005F78FC">
        <w:tc>
          <w:tcPr>
            <w:tcW w:w="0" w:type="auto"/>
            <w:vAlign w:val="center"/>
          </w:tcPr>
          <w:p w:rsidR="005F78FC" w:rsidRDefault="00B42EF3">
            <w:pPr>
              <w:pStyle w:val="TableBodyText"/>
            </w:pPr>
            <w:r>
              <w:t>JoinToPreviousList</w:t>
            </w:r>
          </w:p>
        </w:tc>
        <w:tc>
          <w:tcPr>
            <w:tcW w:w="0" w:type="auto"/>
            <w:vAlign w:val="center"/>
          </w:tcPr>
          <w:p w:rsidR="005F78FC" w:rsidRDefault="00B42EF3">
            <w:pPr>
              <w:pStyle w:val="TableBodyText"/>
            </w:pPr>
            <w:r>
              <w:t>0771</w:t>
            </w:r>
          </w:p>
        </w:tc>
      </w:tr>
      <w:tr w:rsidR="005F78FC" w:rsidTr="005F78FC">
        <w:tc>
          <w:tcPr>
            <w:tcW w:w="0" w:type="auto"/>
            <w:vAlign w:val="center"/>
          </w:tcPr>
          <w:p w:rsidR="005F78FC" w:rsidRDefault="00B42EF3">
            <w:pPr>
              <w:pStyle w:val="TableBodyText"/>
            </w:pPr>
            <w:r>
              <w:t>JumpToHeading</w:t>
            </w:r>
          </w:p>
        </w:tc>
        <w:tc>
          <w:tcPr>
            <w:tcW w:w="0" w:type="auto"/>
            <w:vAlign w:val="center"/>
          </w:tcPr>
          <w:p w:rsidR="005F78FC" w:rsidRDefault="00B42EF3">
            <w:pPr>
              <w:pStyle w:val="TableBodyText"/>
            </w:pPr>
            <w:r>
              <w:t>05D1</w:t>
            </w:r>
          </w:p>
        </w:tc>
      </w:tr>
      <w:tr w:rsidR="005F78FC" w:rsidTr="005F78FC">
        <w:tc>
          <w:tcPr>
            <w:tcW w:w="0" w:type="auto"/>
            <w:vAlign w:val="center"/>
          </w:tcPr>
          <w:p w:rsidR="005F78FC" w:rsidRDefault="00B42EF3">
            <w:pPr>
              <w:pStyle w:val="TableBodyText"/>
            </w:pPr>
            <w:r>
              <w:lastRenderedPageBreak/>
              <w:t>JumpToScrn</w:t>
            </w:r>
          </w:p>
        </w:tc>
        <w:tc>
          <w:tcPr>
            <w:tcW w:w="0" w:type="auto"/>
            <w:vAlign w:val="center"/>
          </w:tcPr>
          <w:p w:rsidR="005F78FC" w:rsidRDefault="00B42EF3">
            <w:pPr>
              <w:pStyle w:val="TableBodyText"/>
            </w:pPr>
            <w:r>
              <w:t>05D0</w:t>
            </w:r>
          </w:p>
        </w:tc>
      </w:tr>
      <w:tr w:rsidR="005F78FC" w:rsidTr="005F78FC">
        <w:tc>
          <w:tcPr>
            <w:tcW w:w="0" w:type="auto"/>
            <w:vAlign w:val="center"/>
          </w:tcPr>
          <w:p w:rsidR="005F78FC" w:rsidRDefault="00B42EF3">
            <w:pPr>
              <w:pStyle w:val="TableBodyText"/>
            </w:pPr>
            <w:r>
              <w:t>JustifyFlyout</w:t>
            </w:r>
          </w:p>
        </w:tc>
        <w:tc>
          <w:tcPr>
            <w:tcW w:w="0" w:type="auto"/>
            <w:vAlign w:val="center"/>
          </w:tcPr>
          <w:p w:rsidR="005F78FC" w:rsidRDefault="00B42EF3">
            <w:pPr>
              <w:pStyle w:val="TableBodyText"/>
            </w:pPr>
            <w:r>
              <w:t>08A5</w:t>
            </w:r>
          </w:p>
        </w:tc>
      </w:tr>
      <w:tr w:rsidR="005F78FC" w:rsidTr="005F78FC">
        <w:tc>
          <w:tcPr>
            <w:tcW w:w="0" w:type="auto"/>
            <w:vAlign w:val="center"/>
          </w:tcPr>
          <w:p w:rsidR="005F78FC" w:rsidRDefault="00B42EF3">
            <w:pPr>
              <w:pStyle w:val="TableBodyText"/>
            </w:pPr>
            <w:r>
              <w:t>JustifyPara</w:t>
            </w:r>
          </w:p>
        </w:tc>
        <w:tc>
          <w:tcPr>
            <w:tcW w:w="0" w:type="auto"/>
            <w:vAlign w:val="center"/>
          </w:tcPr>
          <w:p w:rsidR="005F78FC" w:rsidRDefault="00B42EF3">
            <w:pPr>
              <w:pStyle w:val="TableBodyText"/>
            </w:pPr>
            <w:r>
              <w:t>003D</w:t>
            </w:r>
          </w:p>
        </w:tc>
      </w:tr>
      <w:tr w:rsidR="005F78FC" w:rsidTr="005F78FC">
        <w:tc>
          <w:tcPr>
            <w:tcW w:w="0" w:type="auto"/>
            <w:vAlign w:val="center"/>
          </w:tcPr>
          <w:p w:rsidR="005F78FC" w:rsidRDefault="00B42EF3">
            <w:pPr>
              <w:pStyle w:val="TableBodyText"/>
            </w:pPr>
            <w:r>
              <w:t>JustifyParaHigh</w:t>
            </w:r>
          </w:p>
        </w:tc>
        <w:tc>
          <w:tcPr>
            <w:tcW w:w="0" w:type="auto"/>
            <w:vAlign w:val="center"/>
          </w:tcPr>
          <w:p w:rsidR="005F78FC" w:rsidRDefault="00B42EF3">
            <w:pPr>
              <w:pStyle w:val="TableBodyText"/>
            </w:pPr>
            <w:r>
              <w:t>08AB</w:t>
            </w:r>
          </w:p>
        </w:tc>
      </w:tr>
      <w:tr w:rsidR="005F78FC" w:rsidTr="005F78FC">
        <w:tc>
          <w:tcPr>
            <w:tcW w:w="0" w:type="auto"/>
            <w:vAlign w:val="center"/>
          </w:tcPr>
          <w:p w:rsidR="005F78FC" w:rsidRDefault="00B42EF3">
            <w:pPr>
              <w:pStyle w:val="TableBodyText"/>
            </w:pPr>
            <w:r>
              <w:t>JustifyParaLow</w:t>
            </w:r>
          </w:p>
        </w:tc>
        <w:tc>
          <w:tcPr>
            <w:tcW w:w="0" w:type="auto"/>
            <w:vAlign w:val="center"/>
          </w:tcPr>
          <w:p w:rsidR="005F78FC" w:rsidRDefault="00B42EF3">
            <w:pPr>
              <w:pStyle w:val="TableBodyText"/>
            </w:pPr>
            <w:r>
              <w:t>08A9</w:t>
            </w:r>
          </w:p>
        </w:tc>
      </w:tr>
      <w:tr w:rsidR="005F78FC" w:rsidTr="005F78FC">
        <w:tc>
          <w:tcPr>
            <w:tcW w:w="0" w:type="auto"/>
            <w:vAlign w:val="center"/>
          </w:tcPr>
          <w:p w:rsidR="005F78FC" w:rsidRDefault="00B42EF3">
            <w:pPr>
              <w:pStyle w:val="TableBodyText"/>
            </w:pPr>
            <w:r>
              <w:t>JustifyParaMedium</w:t>
            </w:r>
          </w:p>
        </w:tc>
        <w:tc>
          <w:tcPr>
            <w:tcW w:w="0" w:type="auto"/>
            <w:vAlign w:val="center"/>
          </w:tcPr>
          <w:p w:rsidR="005F78FC" w:rsidRDefault="00B42EF3">
            <w:pPr>
              <w:pStyle w:val="TableBodyText"/>
            </w:pPr>
            <w:r>
              <w:t>08AA</w:t>
            </w:r>
          </w:p>
        </w:tc>
      </w:tr>
      <w:tr w:rsidR="005F78FC" w:rsidTr="005F78FC">
        <w:tc>
          <w:tcPr>
            <w:tcW w:w="0" w:type="auto"/>
            <w:vAlign w:val="center"/>
          </w:tcPr>
          <w:p w:rsidR="005F78FC" w:rsidRDefault="00B42EF3">
            <w:pPr>
              <w:pStyle w:val="TableBodyText"/>
            </w:pPr>
            <w:r>
              <w:t>JustifyParaSpecial</w:t>
            </w:r>
          </w:p>
        </w:tc>
        <w:tc>
          <w:tcPr>
            <w:tcW w:w="0" w:type="auto"/>
            <w:vAlign w:val="center"/>
          </w:tcPr>
          <w:p w:rsidR="005F78FC" w:rsidRDefault="00B42EF3">
            <w:pPr>
              <w:pStyle w:val="TableBodyText"/>
            </w:pPr>
            <w:r>
              <w:t>08A8</w:t>
            </w:r>
          </w:p>
        </w:tc>
      </w:tr>
      <w:tr w:rsidR="005F78FC" w:rsidTr="005F78FC">
        <w:tc>
          <w:tcPr>
            <w:tcW w:w="0" w:type="auto"/>
            <w:vAlign w:val="center"/>
          </w:tcPr>
          <w:p w:rsidR="005F78FC" w:rsidRDefault="00B42EF3">
            <w:pPr>
              <w:pStyle w:val="TableBodyText"/>
            </w:pPr>
            <w:r>
              <w:t>JustifyParaThai</w:t>
            </w:r>
          </w:p>
        </w:tc>
        <w:tc>
          <w:tcPr>
            <w:tcW w:w="0" w:type="auto"/>
            <w:vAlign w:val="center"/>
          </w:tcPr>
          <w:p w:rsidR="005F78FC" w:rsidRDefault="00B42EF3">
            <w:pPr>
              <w:pStyle w:val="TableBodyText"/>
            </w:pPr>
            <w:r>
              <w:t>08AC</w:t>
            </w:r>
          </w:p>
        </w:tc>
      </w:tr>
      <w:tr w:rsidR="005F78FC" w:rsidTr="005F78FC">
        <w:tc>
          <w:tcPr>
            <w:tcW w:w="0" w:type="auto"/>
            <w:vAlign w:val="center"/>
          </w:tcPr>
          <w:p w:rsidR="005F78FC" w:rsidRDefault="00B42EF3">
            <w:pPr>
              <w:pStyle w:val="TableBodyText"/>
            </w:pPr>
            <w:r>
              <w:t>LTRMacroDialogs</w:t>
            </w:r>
          </w:p>
        </w:tc>
        <w:tc>
          <w:tcPr>
            <w:tcW w:w="0" w:type="auto"/>
            <w:vAlign w:val="center"/>
          </w:tcPr>
          <w:p w:rsidR="005F78FC" w:rsidRDefault="00B42EF3">
            <w:pPr>
              <w:pStyle w:val="TableBodyText"/>
            </w:pPr>
            <w:r>
              <w:t>0429</w:t>
            </w:r>
          </w:p>
        </w:tc>
      </w:tr>
      <w:tr w:rsidR="005F78FC" w:rsidTr="005F78FC">
        <w:tc>
          <w:tcPr>
            <w:tcW w:w="0" w:type="auto"/>
            <w:vAlign w:val="center"/>
          </w:tcPr>
          <w:p w:rsidR="005F78FC" w:rsidRDefault="00B42EF3">
            <w:pPr>
              <w:pStyle w:val="TableBodyText"/>
            </w:pPr>
            <w:r>
              <w:t>LabelOptions</w:t>
            </w:r>
          </w:p>
        </w:tc>
        <w:tc>
          <w:tcPr>
            <w:tcW w:w="0" w:type="auto"/>
            <w:vAlign w:val="center"/>
          </w:tcPr>
          <w:p w:rsidR="005F78FC" w:rsidRDefault="00B42EF3">
            <w:pPr>
              <w:pStyle w:val="TableBodyText"/>
            </w:pPr>
            <w:r>
              <w:t>0557</w:t>
            </w:r>
          </w:p>
        </w:tc>
      </w:tr>
      <w:tr w:rsidR="005F78FC" w:rsidTr="005F78FC">
        <w:tc>
          <w:tcPr>
            <w:tcW w:w="0" w:type="auto"/>
            <w:vAlign w:val="center"/>
          </w:tcPr>
          <w:p w:rsidR="005F78FC" w:rsidRDefault="00B42EF3">
            <w:pPr>
              <w:pStyle w:val="TableBodyText"/>
            </w:pPr>
            <w:r>
              <w:t>Language</w:t>
            </w:r>
          </w:p>
        </w:tc>
        <w:tc>
          <w:tcPr>
            <w:tcW w:w="0" w:type="auto"/>
            <w:vAlign w:val="center"/>
          </w:tcPr>
          <w:p w:rsidR="005F78FC" w:rsidRDefault="00B42EF3">
            <w:pPr>
              <w:pStyle w:val="TableBodyText"/>
            </w:pPr>
            <w:r>
              <w:t>0358</w:t>
            </w:r>
          </w:p>
        </w:tc>
      </w:tr>
      <w:tr w:rsidR="005F78FC" w:rsidTr="005F78FC">
        <w:tc>
          <w:tcPr>
            <w:tcW w:w="0" w:type="auto"/>
            <w:vAlign w:val="center"/>
          </w:tcPr>
          <w:p w:rsidR="005F78FC" w:rsidRDefault="00B42EF3">
            <w:pPr>
              <w:pStyle w:val="TableBodyText"/>
            </w:pPr>
            <w:r>
              <w:t>LearnWords</w:t>
            </w:r>
          </w:p>
        </w:tc>
        <w:tc>
          <w:tcPr>
            <w:tcW w:w="0" w:type="auto"/>
            <w:vAlign w:val="center"/>
          </w:tcPr>
          <w:p w:rsidR="005F78FC" w:rsidRDefault="00B42EF3">
            <w:pPr>
              <w:pStyle w:val="TableBodyText"/>
            </w:pPr>
            <w:r>
              <w:t>04FF</w:t>
            </w:r>
          </w:p>
        </w:tc>
      </w:tr>
      <w:tr w:rsidR="005F78FC" w:rsidTr="005F78FC">
        <w:tc>
          <w:tcPr>
            <w:tcW w:w="0" w:type="auto"/>
            <w:vAlign w:val="center"/>
          </w:tcPr>
          <w:p w:rsidR="005F78FC" w:rsidRDefault="00B42EF3">
            <w:pPr>
              <w:pStyle w:val="TableBodyText"/>
            </w:pPr>
            <w:r>
              <w:t>LeftPara</w:t>
            </w:r>
          </w:p>
        </w:tc>
        <w:tc>
          <w:tcPr>
            <w:tcW w:w="0" w:type="auto"/>
            <w:vAlign w:val="center"/>
          </w:tcPr>
          <w:p w:rsidR="005F78FC" w:rsidRDefault="00B42EF3">
            <w:pPr>
              <w:pStyle w:val="TableBodyText"/>
            </w:pPr>
            <w:r>
              <w:t>003A</w:t>
            </w:r>
          </w:p>
        </w:tc>
      </w:tr>
      <w:tr w:rsidR="005F78FC" w:rsidTr="005F78FC">
        <w:tc>
          <w:tcPr>
            <w:tcW w:w="0" w:type="auto"/>
            <w:vAlign w:val="center"/>
          </w:tcPr>
          <w:p w:rsidR="005F78FC" w:rsidRDefault="00B42EF3">
            <w:pPr>
              <w:pStyle w:val="TableBodyText"/>
            </w:pPr>
            <w:r>
              <w:t>LegoCommonPartsGallery</w:t>
            </w:r>
          </w:p>
        </w:tc>
        <w:tc>
          <w:tcPr>
            <w:tcW w:w="0" w:type="auto"/>
            <w:vAlign w:val="center"/>
          </w:tcPr>
          <w:p w:rsidR="005F78FC" w:rsidRDefault="00B42EF3">
            <w:pPr>
              <w:pStyle w:val="TableBodyText"/>
            </w:pPr>
            <w:r>
              <w:t>07F0</w:t>
            </w:r>
          </w:p>
        </w:tc>
      </w:tr>
      <w:tr w:rsidR="005F78FC" w:rsidTr="005F78FC">
        <w:tc>
          <w:tcPr>
            <w:tcW w:w="0" w:type="auto"/>
            <w:vAlign w:val="center"/>
          </w:tcPr>
          <w:p w:rsidR="005F78FC" w:rsidRDefault="00B42EF3">
            <w:pPr>
              <w:pStyle w:val="TableBodyText"/>
            </w:pPr>
            <w:r>
              <w:t>LegoEquationsGallery</w:t>
            </w:r>
          </w:p>
        </w:tc>
        <w:tc>
          <w:tcPr>
            <w:tcW w:w="0" w:type="auto"/>
            <w:vAlign w:val="center"/>
          </w:tcPr>
          <w:p w:rsidR="005F78FC" w:rsidRDefault="00B42EF3">
            <w:pPr>
              <w:pStyle w:val="TableBodyText"/>
            </w:pPr>
            <w:r>
              <w:t>07EC</w:t>
            </w:r>
          </w:p>
        </w:tc>
      </w:tr>
      <w:tr w:rsidR="005F78FC" w:rsidTr="005F78FC">
        <w:tc>
          <w:tcPr>
            <w:tcW w:w="0" w:type="auto"/>
            <w:vAlign w:val="center"/>
          </w:tcPr>
          <w:p w:rsidR="005F78FC" w:rsidRDefault="00B42EF3">
            <w:pPr>
              <w:pStyle w:val="TableBodyText"/>
            </w:pPr>
            <w:r>
              <w:t>LegoPageNumBottomGallery</w:t>
            </w:r>
          </w:p>
        </w:tc>
        <w:tc>
          <w:tcPr>
            <w:tcW w:w="0" w:type="auto"/>
            <w:vAlign w:val="center"/>
          </w:tcPr>
          <w:p w:rsidR="005F78FC" w:rsidRDefault="00B42EF3">
            <w:pPr>
              <w:pStyle w:val="TableBodyText"/>
            </w:pPr>
            <w:r>
              <w:t>07EB</w:t>
            </w:r>
          </w:p>
        </w:tc>
      </w:tr>
      <w:tr w:rsidR="005F78FC" w:rsidTr="005F78FC">
        <w:tc>
          <w:tcPr>
            <w:tcW w:w="0" w:type="auto"/>
            <w:vAlign w:val="center"/>
          </w:tcPr>
          <w:p w:rsidR="005F78FC" w:rsidRDefault="00B42EF3">
            <w:pPr>
              <w:pStyle w:val="TableBodyText"/>
            </w:pPr>
            <w:r>
              <w:t>LegoPageNumGallery</w:t>
            </w:r>
          </w:p>
        </w:tc>
        <w:tc>
          <w:tcPr>
            <w:tcW w:w="0" w:type="auto"/>
            <w:vAlign w:val="center"/>
          </w:tcPr>
          <w:p w:rsidR="005F78FC" w:rsidRDefault="00B42EF3">
            <w:pPr>
              <w:pStyle w:val="TableBodyText"/>
            </w:pPr>
            <w:r>
              <w:t>07E7</w:t>
            </w:r>
          </w:p>
        </w:tc>
      </w:tr>
      <w:tr w:rsidR="005F78FC" w:rsidTr="005F78FC">
        <w:tc>
          <w:tcPr>
            <w:tcW w:w="0" w:type="auto"/>
            <w:vAlign w:val="center"/>
          </w:tcPr>
          <w:p w:rsidR="005F78FC" w:rsidRDefault="00B42EF3">
            <w:pPr>
              <w:pStyle w:val="TableBodyText"/>
            </w:pPr>
            <w:r>
              <w:t>LegoPageNumPageGallery</w:t>
            </w:r>
          </w:p>
        </w:tc>
        <w:tc>
          <w:tcPr>
            <w:tcW w:w="0" w:type="auto"/>
            <w:vAlign w:val="center"/>
          </w:tcPr>
          <w:p w:rsidR="005F78FC" w:rsidRDefault="00B42EF3">
            <w:pPr>
              <w:pStyle w:val="TableBodyText"/>
            </w:pPr>
            <w:r>
              <w:t>07E8</w:t>
            </w:r>
          </w:p>
        </w:tc>
      </w:tr>
      <w:tr w:rsidR="005F78FC" w:rsidTr="005F78FC">
        <w:tc>
          <w:tcPr>
            <w:tcW w:w="0" w:type="auto"/>
            <w:vAlign w:val="center"/>
          </w:tcPr>
          <w:p w:rsidR="005F78FC" w:rsidRDefault="00B42EF3">
            <w:pPr>
              <w:pStyle w:val="TableBodyText"/>
            </w:pPr>
            <w:r>
              <w:t>LegoPageNumTopGallery</w:t>
            </w:r>
          </w:p>
        </w:tc>
        <w:tc>
          <w:tcPr>
            <w:tcW w:w="0" w:type="auto"/>
            <w:vAlign w:val="center"/>
          </w:tcPr>
          <w:p w:rsidR="005F78FC" w:rsidRDefault="00B42EF3">
            <w:pPr>
              <w:pStyle w:val="TableBodyText"/>
            </w:pPr>
            <w:r>
              <w:t>07EA</w:t>
            </w:r>
          </w:p>
        </w:tc>
      </w:tr>
      <w:tr w:rsidR="005F78FC" w:rsidTr="005F78FC">
        <w:tc>
          <w:tcPr>
            <w:tcW w:w="0" w:type="auto"/>
            <w:vAlign w:val="center"/>
          </w:tcPr>
          <w:p w:rsidR="005F78FC" w:rsidRDefault="00B42EF3">
            <w:pPr>
              <w:pStyle w:val="TableBodyText"/>
            </w:pPr>
            <w:r>
              <w:t>LegoTablesGallery</w:t>
            </w:r>
          </w:p>
        </w:tc>
        <w:tc>
          <w:tcPr>
            <w:tcW w:w="0" w:type="auto"/>
            <w:vAlign w:val="center"/>
          </w:tcPr>
          <w:p w:rsidR="005F78FC" w:rsidRDefault="00B42EF3">
            <w:pPr>
              <w:pStyle w:val="TableBodyText"/>
            </w:pPr>
            <w:r>
              <w:t>07EE</w:t>
            </w:r>
          </w:p>
        </w:tc>
      </w:tr>
      <w:tr w:rsidR="005F78FC" w:rsidTr="005F78FC">
        <w:tc>
          <w:tcPr>
            <w:tcW w:w="0" w:type="auto"/>
            <w:vAlign w:val="center"/>
          </w:tcPr>
          <w:p w:rsidR="005F78FC" w:rsidRDefault="00B42EF3">
            <w:pPr>
              <w:pStyle w:val="TableBodyText"/>
            </w:pPr>
            <w:r>
              <w:t>LegoWatermarkGallery</w:t>
            </w:r>
          </w:p>
        </w:tc>
        <w:tc>
          <w:tcPr>
            <w:tcW w:w="0" w:type="auto"/>
            <w:vAlign w:val="center"/>
          </w:tcPr>
          <w:p w:rsidR="005F78FC" w:rsidRDefault="00B42EF3">
            <w:pPr>
              <w:pStyle w:val="TableBodyText"/>
            </w:pPr>
            <w:r>
              <w:t>07E9</w:t>
            </w:r>
          </w:p>
        </w:tc>
      </w:tr>
      <w:tr w:rsidR="005F78FC" w:rsidTr="005F78FC">
        <w:tc>
          <w:tcPr>
            <w:tcW w:w="0" w:type="auto"/>
            <w:vAlign w:val="center"/>
          </w:tcPr>
          <w:p w:rsidR="005F78FC" w:rsidRDefault="00B42EF3">
            <w:pPr>
              <w:pStyle w:val="TableBodyText"/>
            </w:pPr>
            <w:r>
              <w:t>LettersWizardJToolbar</w:t>
            </w:r>
          </w:p>
        </w:tc>
        <w:tc>
          <w:tcPr>
            <w:tcW w:w="0" w:type="auto"/>
            <w:vAlign w:val="center"/>
          </w:tcPr>
          <w:p w:rsidR="005F78FC" w:rsidRDefault="00B42EF3">
            <w:pPr>
              <w:pStyle w:val="TableBodyText"/>
            </w:pPr>
            <w:r>
              <w:t>052B</w:t>
            </w:r>
          </w:p>
        </w:tc>
      </w:tr>
      <w:tr w:rsidR="005F78FC" w:rsidTr="005F78FC">
        <w:tc>
          <w:tcPr>
            <w:tcW w:w="0" w:type="auto"/>
            <w:vAlign w:val="center"/>
          </w:tcPr>
          <w:p w:rsidR="005F78FC" w:rsidRDefault="00B42EF3">
            <w:pPr>
              <w:pStyle w:val="TableBodyText"/>
            </w:pPr>
            <w:r>
              <w:t>LicenseVerification</w:t>
            </w:r>
          </w:p>
        </w:tc>
        <w:tc>
          <w:tcPr>
            <w:tcW w:w="0" w:type="auto"/>
            <w:vAlign w:val="center"/>
          </w:tcPr>
          <w:p w:rsidR="005F78FC" w:rsidRDefault="00B42EF3">
            <w:pPr>
              <w:pStyle w:val="TableBodyText"/>
            </w:pPr>
            <w:r>
              <w:t>0561</w:t>
            </w:r>
          </w:p>
        </w:tc>
      </w:tr>
      <w:tr w:rsidR="005F78FC" w:rsidTr="005F78FC">
        <w:tc>
          <w:tcPr>
            <w:tcW w:w="0" w:type="auto"/>
            <w:vAlign w:val="center"/>
          </w:tcPr>
          <w:p w:rsidR="005F78FC" w:rsidRDefault="00B42EF3">
            <w:pPr>
              <w:pStyle w:val="TableBodyText"/>
            </w:pPr>
            <w:r>
              <w:t>Lighting3DGallery</w:t>
            </w:r>
          </w:p>
        </w:tc>
        <w:tc>
          <w:tcPr>
            <w:tcW w:w="0" w:type="auto"/>
            <w:vAlign w:val="center"/>
          </w:tcPr>
          <w:p w:rsidR="005F78FC" w:rsidRDefault="00B42EF3">
            <w:pPr>
              <w:pStyle w:val="TableBodyText"/>
            </w:pPr>
            <w:r>
              <w:t>08CD</w:t>
            </w:r>
          </w:p>
        </w:tc>
      </w:tr>
      <w:tr w:rsidR="005F78FC" w:rsidTr="005F78FC">
        <w:tc>
          <w:tcPr>
            <w:tcW w:w="0" w:type="auto"/>
            <w:vAlign w:val="center"/>
          </w:tcPr>
          <w:p w:rsidR="005F78FC" w:rsidRDefault="00B42EF3">
            <w:pPr>
              <w:pStyle w:val="TableBodyText"/>
            </w:pPr>
            <w:r>
              <w:t>LineColorPicker</w:t>
            </w:r>
          </w:p>
        </w:tc>
        <w:tc>
          <w:tcPr>
            <w:tcW w:w="0" w:type="auto"/>
            <w:vAlign w:val="center"/>
          </w:tcPr>
          <w:p w:rsidR="005F78FC" w:rsidRDefault="00B42EF3">
            <w:pPr>
              <w:pStyle w:val="TableBodyText"/>
            </w:pPr>
            <w:r>
              <w:t>084B</w:t>
            </w:r>
          </w:p>
        </w:tc>
      </w:tr>
      <w:tr w:rsidR="005F78FC" w:rsidTr="005F78FC">
        <w:tc>
          <w:tcPr>
            <w:tcW w:w="0" w:type="auto"/>
            <w:vAlign w:val="center"/>
          </w:tcPr>
          <w:p w:rsidR="005F78FC" w:rsidRDefault="00B42EF3">
            <w:pPr>
              <w:pStyle w:val="TableBodyText"/>
            </w:pPr>
            <w:r>
              <w:t>LineDown</w:t>
            </w:r>
          </w:p>
        </w:tc>
        <w:tc>
          <w:tcPr>
            <w:tcW w:w="0" w:type="auto"/>
            <w:vAlign w:val="center"/>
          </w:tcPr>
          <w:p w:rsidR="005F78FC" w:rsidRDefault="00B42EF3">
            <w:pPr>
              <w:pStyle w:val="TableBodyText"/>
            </w:pPr>
            <w:r>
              <w:t>0FA9</w:t>
            </w:r>
          </w:p>
        </w:tc>
      </w:tr>
      <w:tr w:rsidR="005F78FC" w:rsidTr="005F78FC">
        <w:tc>
          <w:tcPr>
            <w:tcW w:w="0" w:type="auto"/>
            <w:vAlign w:val="center"/>
          </w:tcPr>
          <w:p w:rsidR="005F78FC" w:rsidRDefault="00B42EF3">
            <w:pPr>
              <w:pStyle w:val="TableBodyText"/>
            </w:pPr>
            <w:r>
              <w:t>LineDownExtend</w:t>
            </w:r>
          </w:p>
        </w:tc>
        <w:tc>
          <w:tcPr>
            <w:tcW w:w="0" w:type="auto"/>
            <w:vAlign w:val="center"/>
          </w:tcPr>
          <w:p w:rsidR="005F78FC" w:rsidRDefault="00B42EF3">
            <w:pPr>
              <w:pStyle w:val="TableBodyText"/>
            </w:pPr>
            <w:r>
              <w:t>0FBB</w:t>
            </w:r>
          </w:p>
        </w:tc>
      </w:tr>
      <w:tr w:rsidR="005F78FC" w:rsidTr="005F78FC">
        <w:tc>
          <w:tcPr>
            <w:tcW w:w="0" w:type="auto"/>
            <w:vAlign w:val="center"/>
          </w:tcPr>
          <w:p w:rsidR="005F78FC" w:rsidRDefault="00B42EF3">
            <w:pPr>
              <w:pStyle w:val="TableBodyText"/>
            </w:pPr>
            <w:r>
              <w:t>LineSpacing</w:t>
            </w:r>
          </w:p>
        </w:tc>
        <w:tc>
          <w:tcPr>
            <w:tcW w:w="0" w:type="auto"/>
            <w:vAlign w:val="center"/>
          </w:tcPr>
          <w:p w:rsidR="005F78FC" w:rsidRDefault="00B42EF3">
            <w:pPr>
              <w:pStyle w:val="TableBodyText"/>
            </w:pPr>
            <w:r>
              <w:t>04EF</w:t>
            </w:r>
          </w:p>
        </w:tc>
      </w:tr>
      <w:tr w:rsidR="005F78FC" w:rsidTr="005F78FC">
        <w:tc>
          <w:tcPr>
            <w:tcW w:w="0" w:type="auto"/>
            <w:vAlign w:val="center"/>
          </w:tcPr>
          <w:p w:rsidR="005F78FC" w:rsidRDefault="00B42EF3">
            <w:pPr>
              <w:pStyle w:val="TableBodyText"/>
            </w:pPr>
            <w:r>
              <w:t>LineSpacingMenu</w:t>
            </w:r>
          </w:p>
        </w:tc>
        <w:tc>
          <w:tcPr>
            <w:tcW w:w="0" w:type="auto"/>
            <w:vAlign w:val="center"/>
          </w:tcPr>
          <w:p w:rsidR="005F78FC" w:rsidRDefault="00B42EF3">
            <w:pPr>
              <w:pStyle w:val="TableBodyText"/>
            </w:pPr>
            <w:r>
              <w:t>0904</w:t>
            </w:r>
          </w:p>
        </w:tc>
      </w:tr>
      <w:tr w:rsidR="005F78FC" w:rsidTr="005F78FC">
        <w:tc>
          <w:tcPr>
            <w:tcW w:w="0" w:type="auto"/>
            <w:vAlign w:val="center"/>
          </w:tcPr>
          <w:p w:rsidR="005F78FC" w:rsidRDefault="00B42EF3">
            <w:pPr>
              <w:pStyle w:val="TableBodyText"/>
            </w:pPr>
            <w:r>
              <w:t>LineStyleGallery</w:t>
            </w:r>
          </w:p>
        </w:tc>
        <w:tc>
          <w:tcPr>
            <w:tcW w:w="0" w:type="auto"/>
            <w:vAlign w:val="center"/>
          </w:tcPr>
          <w:p w:rsidR="005F78FC" w:rsidRDefault="00B42EF3">
            <w:pPr>
              <w:pStyle w:val="TableBodyText"/>
            </w:pPr>
            <w:r>
              <w:t>07B6</w:t>
            </w:r>
          </w:p>
        </w:tc>
      </w:tr>
      <w:tr w:rsidR="005F78FC" w:rsidTr="005F78FC">
        <w:tc>
          <w:tcPr>
            <w:tcW w:w="0" w:type="auto"/>
            <w:vAlign w:val="center"/>
          </w:tcPr>
          <w:p w:rsidR="005F78FC" w:rsidRDefault="00B42EF3">
            <w:pPr>
              <w:pStyle w:val="TableBodyText"/>
            </w:pPr>
            <w:r>
              <w:t>LineUp</w:t>
            </w:r>
          </w:p>
        </w:tc>
        <w:tc>
          <w:tcPr>
            <w:tcW w:w="0" w:type="auto"/>
            <w:vAlign w:val="center"/>
          </w:tcPr>
          <w:p w:rsidR="005F78FC" w:rsidRDefault="00B42EF3">
            <w:pPr>
              <w:pStyle w:val="TableBodyText"/>
            </w:pPr>
            <w:r>
              <w:t>0FA8</w:t>
            </w:r>
          </w:p>
        </w:tc>
      </w:tr>
      <w:tr w:rsidR="005F78FC" w:rsidTr="005F78FC">
        <w:tc>
          <w:tcPr>
            <w:tcW w:w="0" w:type="auto"/>
            <w:vAlign w:val="center"/>
          </w:tcPr>
          <w:p w:rsidR="005F78FC" w:rsidRDefault="00B42EF3">
            <w:pPr>
              <w:pStyle w:val="TableBodyText"/>
            </w:pPr>
            <w:r>
              <w:t>LineUpExtend</w:t>
            </w:r>
          </w:p>
        </w:tc>
        <w:tc>
          <w:tcPr>
            <w:tcW w:w="0" w:type="auto"/>
            <w:vAlign w:val="center"/>
          </w:tcPr>
          <w:p w:rsidR="005F78FC" w:rsidRDefault="00B42EF3">
            <w:pPr>
              <w:pStyle w:val="TableBodyText"/>
            </w:pPr>
            <w:r>
              <w:t>0FBA</w:t>
            </w:r>
          </w:p>
        </w:tc>
      </w:tr>
      <w:tr w:rsidR="005F78FC" w:rsidTr="005F78FC">
        <w:tc>
          <w:tcPr>
            <w:tcW w:w="0" w:type="auto"/>
            <w:vAlign w:val="center"/>
          </w:tcPr>
          <w:p w:rsidR="005F78FC" w:rsidRDefault="00B42EF3">
            <w:pPr>
              <w:pStyle w:val="TableBodyText"/>
            </w:pPr>
            <w:r>
              <w:lastRenderedPageBreak/>
              <w:t>LineWidthGallery</w:t>
            </w:r>
          </w:p>
        </w:tc>
        <w:tc>
          <w:tcPr>
            <w:tcW w:w="0" w:type="auto"/>
            <w:vAlign w:val="center"/>
          </w:tcPr>
          <w:p w:rsidR="005F78FC" w:rsidRDefault="00B42EF3">
            <w:pPr>
              <w:pStyle w:val="TableBodyText"/>
            </w:pPr>
            <w:r>
              <w:t>07B7</w:t>
            </w:r>
          </w:p>
        </w:tc>
      </w:tr>
      <w:tr w:rsidR="005F78FC" w:rsidTr="005F78FC">
        <w:tc>
          <w:tcPr>
            <w:tcW w:w="0" w:type="auto"/>
            <w:vAlign w:val="center"/>
          </w:tcPr>
          <w:p w:rsidR="005F78FC" w:rsidRDefault="00B42EF3">
            <w:pPr>
              <w:pStyle w:val="TableBodyText"/>
            </w:pPr>
            <w:r>
              <w:t>ListAdvanceToVBA</w:t>
            </w:r>
          </w:p>
        </w:tc>
        <w:tc>
          <w:tcPr>
            <w:tcW w:w="0" w:type="auto"/>
            <w:vAlign w:val="center"/>
          </w:tcPr>
          <w:p w:rsidR="005F78FC" w:rsidRDefault="00B42EF3">
            <w:pPr>
              <w:pStyle w:val="TableBodyText"/>
            </w:pPr>
            <w:r>
              <w:t>07A0</w:t>
            </w:r>
          </w:p>
        </w:tc>
      </w:tr>
      <w:tr w:rsidR="005F78FC" w:rsidTr="005F78FC">
        <w:tc>
          <w:tcPr>
            <w:tcW w:w="0" w:type="auto"/>
            <w:vAlign w:val="center"/>
          </w:tcPr>
          <w:p w:rsidR="005F78FC" w:rsidRDefault="00B42EF3">
            <w:pPr>
              <w:pStyle w:val="TableBodyText"/>
            </w:pPr>
            <w:r>
              <w:t>ListCommands</w:t>
            </w:r>
          </w:p>
        </w:tc>
        <w:tc>
          <w:tcPr>
            <w:tcW w:w="0" w:type="auto"/>
            <w:vAlign w:val="center"/>
          </w:tcPr>
          <w:p w:rsidR="005F78FC" w:rsidRDefault="00B42EF3">
            <w:pPr>
              <w:pStyle w:val="TableBodyText"/>
            </w:pPr>
            <w:r>
              <w:t>02D3</w:t>
            </w:r>
          </w:p>
        </w:tc>
      </w:tr>
      <w:tr w:rsidR="005F78FC" w:rsidTr="005F78FC">
        <w:tc>
          <w:tcPr>
            <w:tcW w:w="0" w:type="auto"/>
            <w:vAlign w:val="center"/>
          </w:tcPr>
          <w:p w:rsidR="005F78FC" w:rsidRDefault="00B42EF3">
            <w:pPr>
              <w:pStyle w:val="TableBodyText"/>
            </w:pPr>
            <w:r>
              <w:t>ListIndent</w:t>
            </w:r>
          </w:p>
        </w:tc>
        <w:tc>
          <w:tcPr>
            <w:tcW w:w="0" w:type="auto"/>
            <w:vAlign w:val="center"/>
          </w:tcPr>
          <w:p w:rsidR="005F78FC" w:rsidRDefault="00B42EF3">
            <w:pPr>
              <w:pStyle w:val="TableBodyText"/>
            </w:pPr>
            <w:r>
              <w:t>033A</w:t>
            </w:r>
          </w:p>
        </w:tc>
      </w:tr>
      <w:tr w:rsidR="005F78FC" w:rsidTr="005F78FC">
        <w:tc>
          <w:tcPr>
            <w:tcW w:w="0" w:type="auto"/>
            <w:vAlign w:val="center"/>
          </w:tcPr>
          <w:p w:rsidR="005F78FC" w:rsidRDefault="00B42EF3">
            <w:pPr>
              <w:pStyle w:val="TableBodyText"/>
            </w:pPr>
            <w:r>
              <w:t>ListLevelGallery</w:t>
            </w:r>
          </w:p>
        </w:tc>
        <w:tc>
          <w:tcPr>
            <w:tcW w:w="0" w:type="auto"/>
            <w:vAlign w:val="center"/>
          </w:tcPr>
          <w:p w:rsidR="005F78FC" w:rsidRDefault="00B42EF3">
            <w:pPr>
              <w:pStyle w:val="TableBodyText"/>
            </w:pPr>
            <w:r>
              <w:t>0878</w:t>
            </w:r>
          </w:p>
        </w:tc>
      </w:tr>
      <w:tr w:rsidR="005F78FC" w:rsidTr="005F78FC">
        <w:tc>
          <w:tcPr>
            <w:tcW w:w="0" w:type="auto"/>
            <w:vAlign w:val="center"/>
          </w:tcPr>
          <w:p w:rsidR="005F78FC" w:rsidRDefault="00B42EF3">
            <w:pPr>
              <w:pStyle w:val="TableBodyText"/>
            </w:pPr>
            <w:r>
              <w:t>ListMacros</w:t>
            </w:r>
          </w:p>
        </w:tc>
        <w:tc>
          <w:tcPr>
            <w:tcW w:w="0" w:type="auto"/>
            <w:vAlign w:val="center"/>
          </w:tcPr>
          <w:p w:rsidR="005F78FC" w:rsidRDefault="00B42EF3">
            <w:pPr>
              <w:pStyle w:val="TableBodyText"/>
            </w:pPr>
            <w:r>
              <w:t>0298</w:t>
            </w:r>
          </w:p>
        </w:tc>
      </w:tr>
      <w:tr w:rsidR="005F78FC" w:rsidTr="005F78FC">
        <w:tc>
          <w:tcPr>
            <w:tcW w:w="0" w:type="auto"/>
            <w:vAlign w:val="center"/>
          </w:tcPr>
          <w:p w:rsidR="005F78FC" w:rsidRDefault="00B42EF3">
            <w:pPr>
              <w:pStyle w:val="TableBodyText"/>
            </w:pPr>
            <w:r>
              <w:t>ListOutdent</w:t>
            </w:r>
          </w:p>
        </w:tc>
        <w:tc>
          <w:tcPr>
            <w:tcW w:w="0" w:type="auto"/>
            <w:vAlign w:val="center"/>
          </w:tcPr>
          <w:p w:rsidR="005F78FC" w:rsidRDefault="00B42EF3">
            <w:pPr>
              <w:pStyle w:val="TableBodyText"/>
            </w:pPr>
            <w:r>
              <w:t>0339</w:t>
            </w:r>
          </w:p>
        </w:tc>
      </w:tr>
      <w:tr w:rsidR="005F78FC" w:rsidTr="005F78FC">
        <w:tc>
          <w:tcPr>
            <w:tcW w:w="0" w:type="auto"/>
            <w:vAlign w:val="center"/>
          </w:tcPr>
          <w:p w:rsidR="005F78FC" w:rsidRDefault="00B42EF3">
            <w:pPr>
              <w:pStyle w:val="TableBodyText"/>
            </w:pPr>
            <w:r>
              <w:t>LoadOssThemeFromTemplate</w:t>
            </w:r>
          </w:p>
        </w:tc>
        <w:tc>
          <w:tcPr>
            <w:tcW w:w="0" w:type="auto"/>
            <w:vAlign w:val="center"/>
          </w:tcPr>
          <w:p w:rsidR="005F78FC" w:rsidRDefault="00B42EF3">
            <w:pPr>
              <w:pStyle w:val="TableBodyText"/>
            </w:pPr>
            <w:r>
              <w:t>093E</w:t>
            </w:r>
          </w:p>
        </w:tc>
      </w:tr>
      <w:tr w:rsidR="005F78FC" w:rsidTr="005F78FC">
        <w:tc>
          <w:tcPr>
            <w:tcW w:w="0" w:type="auto"/>
            <w:vAlign w:val="center"/>
          </w:tcPr>
          <w:p w:rsidR="005F78FC" w:rsidRDefault="00B42EF3">
            <w:pPr>
              <w:pStyle w:val="TableBodyText"/>
            </w:pPr>
            <w:r>
              <w:t>LockDocument</w:t>
            </w:r>
          </w:p>
        </w:tc>
        <w:tc>
          <w:tcPr>
            <w:tcW w:w="0" w:type="auto"/>
            <w:vAlign w:val="center"/>
          </w:tcPr>
          <w:p w:rsidR="005F78FC" w:rsidRDefault="00B42EF3">
            <w:pPr>
              <w:pStyle w:val="TableBodyText"/>
            </w:pPr>
            <w:r>
              <w:t>0258</w:t>
            </w:r>
          </w:p>
        </w:tc>
      </w:tr>
      <w:tr w:rsidR="005F78FC" w:rsidTr="005F78FC">
        <w:tc>
          <w:tcPr>
            <w:tcW w:w="0" w:type="auto"/>
            <w:vAlign w:val="center"/>
          </w:tcPr>
          <w:p w:rsidR="005F78FC" w:rsidRDefault="00B42EF3">
            <w:pPr>
              <w:pStyle w:val="TableBodyText"/>
            </w:pPr>
            <w:r>
              <w:t>LockFields</w:t>
            </w:r>
          </w:p>
        </w:tc>
        <w:tc>
          <w:tcPr>
            <w:tcW w:w="0" w:type="auto"/>
            <w:vAlign w:val="center"/>
          </w:tcPr>
          <w:p w:rsidR="005F78FC" w:rsidRDefault="00B42EF3">
            <w:pPr>
              <w:pStyle w:val="TableBodyText"/>
            </w:pPr>
            <w:r>
              <w:t>0023</w:t>
            </w:r>
          </w:p>
        </w:tc>
      </w:tr>
      <w:tr w:rsidR="005F78FC" w:rsidTr="005F78FC">
        <w:tc>
          <w:tcPr>
            <w:tcW w:w="0" w:type="auto"/>
            <w:vAlign w:val="center"/>
          </w:tcPr>
          <w:p w:rsidR="005F78FC" w:rsidRDefault="00B42EF3">
            <w:pPr>
              <w:pStyle w:val="TableBodyText"/>
            </w:pPr>
            <w:r>
              <w:t>LockPolicyLabel</w:t>
            </w:r>
          </w:p>
        </w:tc>
        <w:tc>
          <w:tcPr>
            <w:tcW w:w="0" w:type="auto"/>
            <w:vAlign w:val="center"/>
          </w:tcPr>
          <w:p w:rsidR="005F78FC" w:rsidRDefault="00B42EF3">
            <w:pPr>
              <w:pStyle w:val="TableBodyText"/>
            </w:pPr>
            <w:r>
              <w:t>0783</w:t>
            </w:r>
          </w:p>
        </w:tc>
      </w:tr>
      <w:tr w:rsidR="005F78FC" w:rsidTr="005F78FC">
        <w:tc>
          <w:tcPr>
            <w:tcW w:w="0" w:type="auto"/>
            <w:vAlign w:val="center"/>
          </w:tcPr>
          <w:p w:rsidR="005F78FC" w:rsidRDefault="00B42EF3">
            <w:pPr>
              <w:pStyle w:val="TableBodyText"/>
            </w:pPr>
            <w:r>
              <w:t>LowerTextBaseline</w:t>
            </w:r>
          </w:p>
        </w:tc>
        <w:tc>
          <w:tcPr>
            <w:tcW w:w="0" w:type="auto"/>
            <w:vAlign w:val="center"/>
          </w:tcPr>
          <w:p w:rsidR="005F78FC" w:rsidRDefault="00B42EF3">
            <w:pPr>
              <w:pStyle w:val="TableBodyText"/>
            </w:pPr>
            <w:r>
              <w:t>09A0</w:t>
            </w:r>
          </w:p>
        </w:tc>
      </w:tr>
      <w:tr w:rsidR="005F78FC" w:rsidTr="005F78FC">
        <w:tc>
          <w:tcPr>
            <w:tcW w:w="0" w:type="auto"/>
            <w:vAlign w:val="center"/>
          </w:tcPr>
          <w:p w:rsidR="005F78FC" w:rsidRDefault="00B42EF3">
            <w:pPr>
              <w:pStyle w:val="TableBodyText"/>
            </w:pPr>
            <w:r>
              <w:t>Lowered</w:t>
            </w:r>
          </w:p>
        </w:tc>
        <w:tc>
          <w:tcPr>
            <w:tcW w:w="0" w:type="auto"/>
            <w:vAlign w:val="center"/>
          </w:tcPr>
          <w:p w:rsidR="005F78FC" w:rsidRDefault="00B42EF3">
            <w:pPr>
              <w:pStyle w:val="TableBodyText"/>
            </w:pPr>
            <w:r>
              <w:t>0216</w:t>
            </w:r>
          </w:p>
        </w:tc>
      </w:tr>
      <w:tr w:rsidR="005F78FC" w:rsidTr="005F78FC">
        <w:tc>
          <w:tcPr>
            <w:tcW w:w="0" w:type="auto"/>
            <w:vAlign w:val="center"/>
          </w:tcPr>
          <w:p w:rsidR="005F78FC" w:rsidRDefault="00B42EF3">
            <w:pPr>
              <w:pStyle w:val="TableBodyText"/>
            </w:pPr>
            <w:r>
              <w:t>LtrPara</w:t>
            </w:r>
          </w:p>
        </w:tc>
        <w:tc>
          <w:tcPr>
            <w:tcW w:w="0" w:type="auto"/>
            <w:vAlign w:val="center"/>
          </w:tcPr>
          <w:p w:rsidR="005F78FC" w:rsidRDefault="00B42EF3">
            <w:pPr>
              <w:pStyle w:val="TableBodyText"/>
            </w:pPr>
            <w:r>
              <w:t>041E</w:t>
            </w:r>
          </w:p>
        </w:tc>
      </w:tr>
      <w:tr w:rsidR="005F78FC" w:rsidTr="005F78FC">
        <w:tc>
          <w:tcPr>
            <w:tcW w:w="0" w:type="auto"/>
            <w:vAlign w:val="center"/>
          </w:tcPr>
          <w:p w:rsidR="005F78FC" w:rsidRDefault="00B42EF3">
            <w:pPr>
              <w:pStyle w:val="TableBodyText"/>
            </w:pPr>
            <w:r>
              <w:t>LtrRun</w:t>
            </w:r>
          </w:p>
        </w:tc>
        <w:tc>
          <w:tcPr>
            <w:tcW w:w="0" w:type="auto"/>
            <w:vAlign w:val="center"/>
          </w:tcPr>
          <w:p w:rsidR="005F78FC" w:rsidRDefault="00B42EF3">
            <w:pPr>
              <w:pStyle w:val="TableBodyText"/>
            </w:pPr>
            <w:r>
              <w:t>0423</w:t>
            </w:r>
          </w:p>
        </w:tc>
      </w:tr>
      <w:tr w:rsidR="005F78FC" w:rsidTr="005F78FC">
        <w:tc>
          <w:tcPr>
            <w:tcW w:w="0" w:type="auto"/>
            <w:vAlign w:val="center"/>
          </w:tcPr>
          <w:p w:rsidR="005F78FC" w:rsidRDefault="00B42EF3">
            <w:pPr>
              <w:pStyle w:val="TableBodyText"/>
            </w:pPr>
            <w:r>
              <w:t>MMEmailOptions</w:t>
            </w:r>
          </w:p>
        </w:tc>
        <w:tc>
          <w:tcPr>
            <w:tcW w:w="0" w:type="auto"/>
            <w:vAlign w:val="center"/>
          </w:tcPr>
          <w:p w:rsidR="005F78FC" w:rsidRDefault="00B42EF3">
            <w:pPr>
              <w:pStyle w:val="TableBodyText"/>
            </w:pPr>
            <w:r>
              <w:t>051D</w:t>
            </w:r>
          </w:p>
        </w:tc>
      </w:tr>
      <w:tr w:rsidR="005F78FC" w:rsidTr="005F78FC">
        <w:tc>
          <w:tcPr>
            <w:tcW w:w="0" w:type="auto"/>
            <w:vAlign w:val="center"/>
          </w:tcPr>
          <w:p w:rsidR="005F78FC" w:rsidRDefault="00B42EF3">
            <w:pPr>
              <w:pStyle w:val="TableBodyText"/>
            </w:pPr>
            <w:r>
              <w:t>MMFaxOptions</w:t>
            </w:r>
          </w:p>
        </w:tc>
        <w:tc>
          <w:tcPr>
            <w:tcW w:w="0" w:type="auto"/>
            <w:vAlign w:val="center"/>
          </w:tcPr>
          <w:p w:rsidR="005F78FC" w:rsidRDefault="00B42EF3">
            <w:pPr>
              <w:pStyle w:val="TableBodyText"/>
            </w:pPr>
            <w:r>
              <w:t>0520</w:t>
            </w:r>
          </w:p>
        </w:tc>
      </w:tr>
      <w:tr w:rsidR="005F78FC" w:rsidTr="005F78FC">
        <w:tc>
          <w:tcPr>
            <w:tcW w:w="0" w:type="auto"/>
            <w:vAlign w:val="center"/>
          </w:tcPr>
          <w:p w:rsidR="005F78FC" w:rsidRDefault="00B42EF3">
            <w:pPr>
              <w:pStyle w:val="TableBodyText"/>
            </w:pPr>
            <w:r>
              <w:t>MMNewDocOptions</w:t>
            </w:r>
          </w:p>
        </w:tc>
        <w:tc>
          <w:tcPr>
            <w:tcW w:w="0" w:type="auto"/>
            <w:vAlign w:val="center"/>
          </w:tcPr>
          <w:p w:rsidR="005F78FC" w:rsidRDefault="00B42EF3">
            <w:pPr>
              <w:pStyle w:val="TableBodyText"/>
            </w:pPr>
            <w:r>
              <w:t>051E</w:t>
            </w:r>
          </w:p>
        </w:tc>
      </w:tr>
      <w:tr w:rsidR="005F78FC" w:rsidTr="005F78FC">
        <w:tc>
          <w:tcPr>
            <w:tcW w:w="0" w:type="auto"/>
            <w:vAlign w:val="center"/>
          </w:tcPr>
          <w:p w:rsidR="005F78FC" w:rsidRDefault="00B42EF3">
            <w:pPr>
              <w:pStyle w:val="TableBodyText"/>
            </w:pPr>
            <w:r>
              <w:t>MMPrintOptions</w:t>
            </w:r>
          </w:p>
        </w:tc>
        <w:tc>
          <w:tcPr>
            <w:tcW w:w="0" w:type="auto"/>
            <w:vAlign w:val="center"/>
          </w:tcPr>
          <w:p w:rsidR="005F78FC" w:rsidRDefault="00B42EF3">
            <w:pPr>
              <w:pStyle w:val="TableBodyText"/>
            </w:pPr>
            <w:r>
              <w:t>051F</w:t>
            </w:r>
          </w:p>
        </w:tc>
      </w:tr>
      <w:tr w:rsidR="005F78FC" w:rsidTr="005F78FC">
        <w:tc>
          <w:tcPr>
            <w:tcW w:w="0" w:type="auto"/>
            <w:vAlign w:val="center"/>
          </w:tcPr>
          <w:p w:rsidR="005F78FC" w:rsidRDefault="00B42EF3">
            <w:pPr>
              <w:pStyle w:val="TableBodyText"/>
            </w:pPr>
            <w:r>
              <w:t>MSWordBibAddNewPlaceholder</w:t>
            </w:r>
          </w:p>
        </w:tc>
        <w:tc>
          <w:tcPr>
            <w:tcW w:w="0" w:type="auto"/>
            <w:vAlign w:val="center"/>
          </w:tcPr>
          <w:p w:rsidR="005F78FC" w:rsidRDefault="00B42EF3">
            <w:pPr>
              <w:pStyle w:val="TableBodyText"/>
            </w:pPr>
            <w:r>
              <w:t>092C</w:t>
            </w:r>
          </w:p>
        </w:tc>
      </w:tr>
      <w:tr w:rsidR="005F78FC" w:rsidTr="005F78FC">
        <w:tc>
          <w:tcPr>
            <w:tcW w:w="0" w:type="auto"/>
            <w:vAlign w:val="center"/>
          </w:tcPr>
          <w:p w:rsidR="005F78FC" w:rsidRDefault="00B42EF3">
            <w:pPr>
              <w:pStyle w:val="TableBodyText"/>
            </w:pPr>
            <w:r>
              <w:t>MacroREM</w:t>
            </w:r>
          </w:p>
        </w:tc>
        <w:tc>
          <w:tcPr>
            <w:tcW w:w="0" w:type="auto"/>
            <w:vAlign w:val="center"/>
          </w:tcPr>
          <w:p w:rsidR="005F78FC" w:rsidRDefault="00B42EF3">
            <w:pPr>
              <w:pStyle w:val="TableBodyText"/>
            </w:pPr>
            <w:r>
              <w:t>0229</w:t>
            </w:r>
          </w:p>
        </w:tc>
      </w:tr>
      <w:tr w:rsidR="005F78FC" w:rsidTr="005F78FC">
        <w:tc>
          <w:tcPr>
            <w:tcW w:w="0" w:type="auto"/>
            <w:vAlign w:val="center"/>
          </w:tcPr>
          <w:p w:rsidR="005F78FC" w:rsidRDefault="00B42EF3">
            <w:pPr>
              <w:pStyle w:val="TableBodyText"/>
            </w:pPr>
            <w:r>
              <w:t>Magnifier</w:t>
            </w:r>
          </w:p>
        </w:tc>
        <w:tc>
          <w:tcPr>
            <w:tcW w:w="0" w:type="auto"/>
            <w:vAlign w:val="center"/>
          </w:tcPr>
          <w:p w:rsidR="005F78FC" w:rsidRDefault="00B42EF3">
            <w:pPr>
              <w:pStyle w:val="TableBodyText"/>
            </w:pPr>
            <w:r>
              <w:t>0203</w:t>
            </w:r>
          </w:p>
        </w:tc>
      </w:tr>
      <w:tr w:rsidR="005F78FC" w:rsidTr="005F78FC">
        <w:tc>
          <w:tcPr>
            <w:tcW w:w="0" w:type="auto"/>
            <w:vAlign w:val="center"/>
          </w:tcPr>
          <w:p w:rsidR="005F78FC" w:rsidRDefault="00B42EF3">
            <w:pPr>
              <w:pStyle w:val="TableBodyText"/>
            </w:pPr>
            <w:r>
              <w:t>MailAsHTML</w:t>
            </w:r>
          </w:p>
        </w:tc>
        <w:tc>
          <w:tcPr>
            <w:tcW w:w="0" w:type="auto"/>
            <w:vAlign w:val="center"/>
          </w:tcPr>
          <w:p w:rsidR="005F78FC" w:rsidRDefault="00B42EF3">
            <w:pPr>
              <w:pStyle w:val="TableBodyText"/>
            </w:pPr>
            <w:r>
              <w:t>04EC</w:t>
            </w:r>
          </w:p>
        </w:tc>
      </w:tr>
      <w:tr w:rsidR="005F78FC" w:rsidTr="005F78FC">
        <w:tc>
          <w:tcPr>
            <w:tcW w:w="0" w:type="auto"/>
            <w:vAlign w:val="center"/>
          </w:tcPr>
          <w:p w:rsidR="005F78FC" w:rsidRDefault="00B42EF3">
            <w:pPr>
              <w:pStyle w:val="TableBodyText"/>
            </w:pPr>
            <w:r>
              <w:t>MailAsPlainText</w:t>
            </w:r>
          </w:p>
        </w:tc>
        <w:tc>
          <w:tcPr>
            <w:tcW w:w="0" w:type="auto"/>
            <w:vAlign w:val="center"/>
          </w:tcPr>
          <w:p w:rsidR="005F78FC" w:rsidRDefault="00B42EF3">
            <w:pPr>
              <w:pStyle w:val="TableBodyText"/>
            </w:pPr>
            <w:r>
              <w:t>04EB</w:t>
            </w:r>
          </w:p>
        </w:tc>
      </w:tr>
      <w:tr w:rsidR="005F78FC" w:rsidTr="005F78FC">
        <w:tc>
          <w:tcPr>
            <w:tcW w:w="0" w:type="auto"/>
            <w:vAlign w:val="center"/>
          </w:tcPr>
          <w:p w:rsidR="005F78FC" w:rsidRDefault="00B42EF3">
            <w:pPr>
              <w:pStyle w:val="TableBodyText"/>
            </w:pPr>
            <w:r>
              <w:t>MailAsRTF</w:t>
            </w:r>
          </w:p>
        </w:tc>
        <w:tc>
          <w:tcPr>
            <w:tcW w:w="0" w:type="auto"/>
            <w:vAlign w:val="center"/>
          </w:tcPr>
          <w:p w:rsidR="005F78FC" w:rsidRDefault="00B42EF3">
            <w:pPr>
              <w:pStyle w:val="TableBodyText"/>
            </w:pPr>
            <w:r>
              <w:t>04F0</w:t>
            </w:r>
          </w:p>
        </w:tc>
      </w:tr>
      <w:tr w:rsidR="005F78FC" w:rsidTr="005F78FC">
        <w:tc>
          <w:tcPr>
            <w:tcW w:w="0" w:type="auto"/>
            <w:vAlign w:val="center"/>
          </w:tcPr>
          <w:p w:rsidR="005F78FC" w:rsidRDefault="00B42EF3">
            <w:pPr>
              <w:pStyle w:val="TableBodyText"/>
            </w:pPr>
            <w:r>
              <w:t>MailCheckNames</w:t>
            </w:r>
          </w:p>
        </w:tc>
        <w:tc>
          <w:tcPr>
            <w:tcW w:w="0" w:type="auto"/>
            <w:vAlign w:val="center"/>
          </w:tcPr>
          <w:p w:rsidR="005F78FC" w:rsidRDefault="00B42EF3">
            <w:pPr>
              <w:pStyle w:val="TableBodyText"/>
            </w:pPr>
            <w:r>
              <w:t>0306</w:t>
            </w:r>
          </w:p>
        </w:tc>
      </w:tr>
      <w:tr w:rsidR="005F78FC" w:rsidTr="005F78FC">
        <w:tc>
          <w:tcPr>
            <w:tcW w:w="0" w:type="auto"/>
            <w:vAlign w:val="center"/>
          </w:tcPr>
          <w:p w:rsidR="005F78FC" w:rsidRDefault="00B42EF3">
            <w:pPr>
              <w:pStyle w:val="TableBodyText"/>
            </w:pPr>
            <w:r>
              <w:t>MailHideMessageHeader</w:t>
            </w:r>
          </w:p>
        </w:tc>
        <w:tc>
          <w:tcPr>
            <w:tcW w:w="0" w:type="auto"/>
            <w:vAlign w:val="center"/>
          </w:tcPr>
          <w:p w:rsidR="005F78FC" w:rsidRDefault="00B42EF3">
            <w:pPr>
              <w:pStyle w:val="TableBodyText"/>
            </w:pPr>
            <w:r>
              <w:t>02FB</w:t>
            </w:r>
          </w:p>
        </w:tc>
      </w:tr>
      <w:tr w:rsidR="005F78FC" w:rsidTr="005F78FC">
        <w:tc>
          <w:tcPr>
            <w:tcW w:w="0" w:type="auto"/>
            <w:vAlign w:val="center"/>
          </w:tcPr>
          <w:p w:rsidR="005F78FC" w:rsidRDefault="00B42EF3">
            <w:pPr>
              <w:pStyle w:val="TableBodyText"/>
            </w:pPr>
            <w:r>
              <w:t>MailMerge</w:t>
            </w:r>
          </w:p>
        </w:tc>
        <w:tc>
          <w:tcPr>
            <w:tcW w:w="0" w:type="auto"/>
            <w:vAlign w:val="center"/>
          </w:tcPr>
          <w:p w:rsidR="005F78FC" w:rsidRDefault="00B42EF3">
            <w:pPr>
              <w:pStyle w:val="TableBodyText"/>
            </w:pPr>
            <w:r>
              <w:t>02A4</w:t>
            </w:r>
          </w:p>
        </w:tc>
      </w:tr>
      <w:tr w:rsidR="005F78FC" w:rsidTr="005F78FC">
        <w:tc>
          <w:tcPr>
            <w:tcW w:w="0" w:type="auto"/>
            <w:vAlign w:val="center"/>
          </w:tcPr>
          <w:p w:rsidR="005F78FC" w:rsidRDefault="00B42EF3">
            <w:pPr>
              <w:pStyle w:val="TableBodyText"/>
            </w:pPr>
            <w:r>
              <w:t>MailMergeAddressBlock</w:t>
            </w:r>
          </w:p>
        </w:tc>
        <w:tc>
          <w:tcPr>
            <w:tcW w:w="0" w:type="auto"/>
            <w:vAlign w:val="center"/>
          </w:tcPr>
          <w:p w:rsidR="005F78FC" w:rsidRDefault="00B42EF3">
            <w:pPr>
              <w:pStyle w:val="TableBodyText"/>
            </w:pPr>
            <w:r>
              <w:t>0519</w:t>
            </w:r>
          </w:p>
        </w:tc>
      </w:tr>
      <w:tr w:rsidR="005F78FC" w:rsidTr="005F78FC">
        <w:tc>
          <w:tcPr>
            <w:tcW w:w="0" w:type="auto"/>
            <w:vAlign w:val="center"/>
          </w:tcPr>
          <w:p w:rsidR="005F78FC" w:rsidRDefault="00B42EF3">
            <w:pPr>
              <w:pStyle w:val="TableBodyText"/>
            </w:pPr>
            <w:r>
              <w:t>MailMergeAskToConvertChevrons</w:t>
            </w:r>
          </w:p>
        </w:tc>
        <w:tc>
          <w:tcPr>
            <w:tcW w:w="0" w:type="auto"/>
            <w:vAlign w:val="center"/>
          </w:tcPr>
          <w:p w:rsidR="005F78FC" w:rsidRDefault="00B42EF3">
            <w:pPr>
              <w:pStyle w:val="TableBodyText"/>
            </w:pPr>
            <w:r>
              <w:t>0261</w:t>
            </w:r>
          </w:p>
        </w:tc>
      </w:tr>
      <w:tr w:rsidR="005F78FC" w:rsidTr="005F78FC">
        <w:tc>
          <w:tcPr>
            <w:tcW w:w="0" w:type="auto"/>
            <w:vAlign w:val="center"/>
          </w:tcPr>
          <w:p w:rsidR="005F78FC" w:rsidRDefault="00B42EF3">
            <w:pPr>
              <w:pStyle w:val="TableBodyText"/>
            </w:pPr>
            <w:r>
              <w:t>MailMergeCheck</w:t>
            </w:r>
          </w:p>
        </w:tc>
        <w:tc>
          <w:tcPr>
            <w:tcW w:w="0" w:type="auto"/>
            <w:vAlign w:val="center"/>
          </w:tcPr>
          <w:p w:rsidR="005F78FC" w:rsidRDefault="00B42EF3">
            <w:pPr>
              <w:pStyle w:val="TableBodyText"/>
            </w:pPr>
            <w:r>
              <w:t>02A5</w:t>
            </w:r>
          </w:p>
        </w:tc>
      </w:tr>
      <w:tr w:rsidR="005F78FC" w:rsidTr="005F78FC">
        <w:tc>
          <w:tcPr>
            <w:tcW w:w="0" w:type="auto"/>
            <w:vAlign w:val="center"/>
          </w:tcPr>
          <w:p w:rsidR="005F78FC" w:rsidRDefault="00B42EF3">
            <w:pPr>
              <w:pStyle w:val="TableBodyText"/>
            </w:pPr>
            <w:r>
              <w:t>MailMergeClearDocumentType</w:t>
            </w:r>
          </w:p>
        </w:tc>
        <w:tc>
          <w:tcPr>
            <w:tcW w:w="0" w:type="auto"/>
            <w:vAlign w:val="center"/>
          </w:tcPr>
          <w:p w:rsidR="005F78FC" w:rsidRDefault="00B42EF3">
            <w:pPr>
              <w:pStyle w:val="TableBodyText"/>
            </w:pPr>
            <w:r>
              <w:t>081E</w:t>
            </w:r>
          </w:p>
        </w:tc>
      </w:tr>
      <w:tr w:rsidR="005F78FC" w:rsidTr="005F78FC">
        <w:tc>
          <w:tcPr>
            <w:tcW w:w="0" w:type="auto"/>
            <w:vAlign w:val="center"/>
          </w:tcPr>
          <w:p w:rsidR="005F78FC" w:rsidRDefault="00B42EF3">
            <w:pPr>
              <w:pStyle w:val="TableBodyText"/>
            </w:pPr>
            <w:r>
              <w:lastRenderedPageBreak/>
              <w:t>MailMergeConvertChevrons</w:t>
            </w:r>
          </w:p>
        </w:tc>
        <w:tc>
          <w:tcPr>
            <w:tcW w:w="0" w:type="auto"/>
            <w:vAlign w:val="center"/>
          </w:tcPr>
          <w:p w:rsidR="005F78FC" w:rsidRDefault="00B42EF3">
            <w:pPr>
              <w:pStyle w:val="TableBodyText"/>
            </w:pPr>
            <w:r>
              <w:t>0200</w:t>
            </w:r>
          </w:p>
        </w:tc>
      </w:tr>
      <w:tr w:rsidR="005F78FC" w:rsidTr="005F78FC">
        <w:tc>
          <w:tcPr>
            <w:tcW w:w="0" w:type="auto"/>
            <w:vAlign w:val="center"/>
          </w:tcPr>
          <w:p w:rsidR="005F78FC" w:rsidRDefault="00B42EF3">
            <w:pPr>
              <w:pStyle w:val="TableBodyText"/>
            </w:pPr>
            <w:r>
              <w:t>MailMergeCreateDataSource</w:t>
            </w:r>
          </w:p>
        </w:tc>
        <w:tc>
          <w:tcPr>
            <w:tcW w:w="0" w:type="auto"/>
            <w:vAlign w:val="center"/>
          </w:tcPr>
          <w:p w:rsidR="005F78FC" w:rsidRDefault="00B42EF3">
            <w:pPr>
              <w:pStyle w:val="TableBodyText"/>
            </w:pPr>
            <w:r>
              <w:t>0282</w:t>
            </w:r>
          </w:p>
        </w:tc>
      </w:tr>
      <w:tr w:rsidR="005F78FC" w:rsidTr="005F78FC">
        <w:tc>
          <w:tcPr>
            <w:tcW w:w="0" w:type="auto"/>
            <w:vAlign w:val="center"/>
          </w:tcPr>
          <w:p w:rsidR="005F78FC" w:rsidRDefault="00B42EF3">
            <w:pPr>
              <w:pStyle w:val="TableBodyText"/>
            </w:pPr>
            <w:r>
              <w:t>MailMergeCreateHeaderSource</w:t>
            </w:r>
          </w:p>
        </w:tc>
        <w:tc>
          <w:tcPr>
            <w:tcW w:w="0" w:type="auto"/>
            <w:vAlign w:val="center"/>
          </w:tcPr>
          <w:p w:rsidR="005F78FC" w:rsidRDefault="00B42EF3">
            <w:pPr>
              <w:pStyle w:val="TableBodyText"/>
            </w:pPr>
            <w:r>
              <w:t>0283</w:t>
            </w:r>
          </w:p>
        </w:tc>
      </w:tr>
      <w:tr w:rsidR="005F78FC" w:rsidTr="005F78FC">
        <w:tc>
          <w:tcPr>
            <w:tcW w:w="0" w:type="auto"/>
            <w:vAlign w:val="center"/>
          </w:tcPr>
          <w:p w:rsidR="005F78FC" w:rsidRDefault="00B42EF3">
            <w:pPr>
              <w:pStyle w:val="TableBodyText"/>
            </w:pPr>
            <w:r>
              <w:t>MailMergeCreateList</w:t>
            </w:r>
          </w:p>
        </w:tc>
        <w:tc>
          <w:tcPr>
            <w:tcW w:w="0" w:type="auto"/>
            <w:vAlign w:val="center"/>
          </w:tcPr>
          <w:p w:rsidR="005F78FC" w:rsidRDefault="00B42EF3">
            <w:pPr>
              <w:pStyle w:val="TableBodyText"/>
            </w:pPr>
            <w:r>
              <w:t>055C</w:t>
            </w:r>
          </w:p>
        </w:tc>
      </w:tr>
      <w:tr w:rsidR="005F78FC" w:rsidTr="005F78FC">
        <w:tc>
          <w:tcPr>
            <w:tcW w:w="0" w:type="auto"/>
            <w:vAlign w:val="center"/>
          </w:tcPr>
          <w:p w:rsidR="005F78FC" w:rsidRDefault="00B42EF3">
            <w:pPr>
              <w:pStyle w:val="TableBodyText"/>
            </w:pPr>
            <w:r>
              <w:t>MailMergeDataForm</w:t>
            </w:r>
          </w:p>
        </w:tc>
        <w:tc>
          <w:tcPr>
            <w:tcW w:w="0" w:type="auto"/>
            <w:vAlign w:val="center"/>
          </w:tcPr>
          <w:p w:rsidR="005F78FC" w:rsidRDefault="00B42EF3">
            <w:pPr>
              <w:pStyle w:val="TableBodyText"/>
            </w:pPr>
            <w:r>
              <w:t>0154</w:t>
            </w:r>
          </w:p>
        </w:tc>
      </w:tr>
      <w:tr w:rsidR="005F78FC" w:rsidTr="005F78FC">
        <w:tc>
          <w:tcPr>
            <w:tcW w:w="0" w:type="auto"/>
            <w:vAlign w:val="center"/>
          </w:tcPr>
          <w:p w:rsidR="005F78FC" w:rsidRDefault="00B42EF3">
            <w:pPr>
              <w:pStyle w:val="TableBodyText"/>
            </w:pPr>
            <w:r>
              <w:t>MailMergeEditAddressBlock</w:t>
            </w:r>
          </w:p>
        </w:tc>
        <w:tc>
          <w:tcPr>
            <w:tcW w:w="0" w:type="auto"/>
            <w:vAlign w:val="center"/>
          </w:tcPr>
          <w:p w:rsidR="005F78FC" w:rsidRDefault="00B42EF3">
            <w:pPr>
              <w:pStyle w:val="TableBodyText"/>
            </w:pPr>
            <w:r>
              <w:t>0523</w:t>
            </w:r>
          </w:p>
        </w:tc>
      </w:tr>
      <w:tr w:rsidR="005F78FC" w:rsidTr="005F78FC">
        <w:tc>
          <w:tcPr>
            <w:tcW w:w="0" w:type="auto"/>
            <w:vAlign w:val="center"/>
          </w:tcPr>
          <w:p w:rsidR="005F78FC" w:rsidRDefault="00B42EF3">
            <w:pPr>
              <w:pStyle w:val="TableBodyText"/>
            </w:pPr>
            <w:r>
              <w:t>MailMergeEditDataSource</w:t>
            </w:r>
          </w:p>
        </w:tc>
        <w:tc>
          <w:tcPr>
            <w:tcW w:w="0" w:type="auto"/>
            <w:vAlign w:val="center"/>
          </w:tcPr>
          <w:p w:rsidR="005F78FC" w:rsidRDefault="00B42EF3">
            <w:pPr>
              <w:pStyle w:val="TableBodyText"/>
            </w:pPr>
            <w:r>
              <w:t>0068</w:t>
            </w:r>
          </w:p>
        </w:tc>
      </w:tr>
      <w:tr w:rsidR="005F78FC" w:rsidTr="005F78FC">
        <w:tc>
          <w:tcPr>
            <w:tcW w:w="0" w:type="auto"/>
            <w:vAlign w:val="center"/>
          </w:tcPr>
          <w:p w:rsidR="005F78FC" w:rsidRDefault="00B42EF3">
            <w:pPr>
              <w:pStyle w:val="TableBodyText"/>
            </w:pPr>
            <w:r>
              <w:t>MailMergeEditGreetingLine</w:t>
            </w:r>
          </w:p>
        </w:tc>
        <w:tc>
          <w:tcPr>
            <w:tcW w:w="0" w:type="auto"/>
            <w:vAlign w:val="center"/>
          </w:tcPr>
          <w:p w:rsidR="005F78FC" w:rsidRDefault="00B42EF3">
            <w:pPr>
              <w:pStyle w:val="TableBodyText"/>
            </w:pPr>
            <w:r>
              <w:t>0524</w:t>
            </w:r>
          </w:p>
        </w:tc>
      </w:tr>
      <w:tr w:rsidR="005F78FC" w:rsidTr="005F78FC">
        <w:tc>
          <w:tcPr>
            <w:tcW w:w="0" w:type="auto"/>
            <w:vAlign w:val="center"/>
          </w:tcPr>
          <w:p w:rsidR="005F78FC" w:rsidRDefault="00B42EF3">
            <w:pPr>
              <w:pStyle w:val="TableBodyText"/>
            </w:pPr>
            <w:r>
              <w:t>MailMergeEditHeaderSource</w:t>
            </w:r>
          </w:p>
        </w:tc>
        <w:tc>
          <w:tcPr>
            <w:tcW w:w="0" w:type="auto"/>
            <w:vAlign w:val="center"/>
          </w:tcPr>
          <w:p w:rsidR="005F78FC" w:rsidRDefault="00B42EF3">
            <w:pPr>
              <w:pStyle w:val="TableBodyText"/>
            </w:pPr>
            <w:r>
              <w:t>02A3</w:t>
            </w:r>
          </w:p>
        </w:tc>
      </w:tr>
      <w:tr w:rsidR="005F78FC" w:rsidTr="005F78FC">
        <w:tc>
          <w:tcPr>
            <w:tcW w:w="0" w:type="auto"/>
            <w:vAlign w:val="center"/>
          </w:tcPr>
          <w:p w:rsidR="005F78FC" w:rsidRDefault="00B42EF3">
            <w:pPr>
              <w:pStyle w:val="TableBodyText"/>
            </w:pPr>
            <w:r>
              <w:t>MailMergeEditList</w:t>
            </w:r>
          </w:p>
        </w:tc>
        <w:tc>
          <w:tcPr>
            <w:tcW w:w="0" w:type="auto"/>
            <w:vAlign w:val="center"/>
          </w:tcPr>
          <w:p w:rsidR="005F78FC" w:rsidRDefault="00B42EF3">
            <w:pPr>
              <w:pStyle w:val="TableBodyText"/>
            </w:pPr>
            <w:r>
              <w:t>055D</w:t>
            </w:r>
          </w:p>
        </w:tc>
      </w:tr>
      <w:tr w:rsidR="005F78FC" w:rsidTr="005F78FC">
        <w:tc>
          <w:tcPr>
            <w:tcW w:w="0" w:type="auto"/>
            <w:vAlign w:val="center"/>
          </w:tcPr>
          <w:p w:rsidR="005F78FC" w:rsidRDefault="00B42EF3">
            <w:pPr>
              <w:pStyle w:val="TableBodyText"/>
            </w:pPr>
            <w:r>
              <w:t>MailMergeEditMainDocument</w:t>
            </w:r>
          </w:p>
        </w:tc>
        <w:tc>
          <w:tcPr>
            <w:tcW w:w="0" w:type="auto"/>
            <w:vAlign w:val="center"/>
          </w:tcPr>
          <w:p w:rsidR="005F78FC" w:rsidRDefault="00B42EF3">
            <w:pPr>
              <w:pStyle w:val="TableBodyText"/>
            </w:pPr>
            <w:r>
              <w:t>00DB</w:t>
            </w:r>
          </w:p>
        </w:tc>
      </w:tr>
      <w:tr w:rsidR="005F78FC" w:rsidTr="005F78FC">
        <w:tc>
          <w:tcPr>
            <w:tcW w:w="0" w:type="auto"/>
            <w:vAlign w:val="center"/>
          </w:tcPr>
          <w:p w:rsidR="005F78FC" w:rsidRDefault="00B42EF3">
            <w:pPr>
              <w:pStyle w:val="TableBodyText"/>
            </w:pPr>
            <w:r>
              <w:t>MailMergeFieldMapping</w:t>
            </w:r>
          </w:p>
        </w:tc>
        <w:tc>
          <w:tcPr>
            <w:tcW w:w="0" w:type="auto"/>
            <w:vAlign w:val="center"/>
          </w:tcPr>
          <w:p w:rsidR="005F78FC" w:rsidRDefault="00B42EF3">
            <w:pPr>
              <w:pStyle w:val="TableBodyText"/>
            </w:pPr>
            <w:r>
              <w:t>0518</w:t>
            </w:r>
          </w:p>
        </w:tc>
      </w:tr>
      <w:tr w:rsidR="005F78FC" w:rsidTr="005F78FC">
        <w:tc>
          <w:tcPr>
            <w:tcW w:w="0" w:type="auto"/>
            <w:vAlign w:val="center"/>
          </w:tcPr>
          <w:p w:rsidR="005F78FC" w:rsidRDefault="00B42EF3">
            <w:pPr>
              <w:pStyle w:val="TableBodyText"/>
            </w:pPr>
            <w:r>
              <w:t>MailMergeFindEntry</w:t>
            </w:r>
          </w:p>
        </w:tc>
        <w:tc>
          <w:tcPr>
            <w:tcW w:w="0" w:type="auto"/>
            <w:vAlign w:val="center"/>
          </w:tcPr>
          <w:p w:rsidR="005F78FC" w:rsidRDefault="00B42EF3">
            <w:pPr>
              <w:pStyle w:val="TableBodyText"/>
            </w:pPr>
            <w:r>
              <w:t>052E</w:t>
            </w:r>
          </w:p>
        </w:tc>
      </w:tr>
      <w:tr w:rsidR="005F78FC" w:rsidTr="005F78FC">
        <w:tc>
          <w:tcPr>
            <w:tcW w:w="0" w:type="auto"/>
            <w:vAlign w:val="center"/>
          </w:tcPr>
          <w:p w:rsidR="005F78FC" w:rsidRDefault="00B42EF3">
            <w:pPr>
              <w:pStyle w:val="TableBodyText"/>
            </w:pPr>
            <w:r>
              <w:t>MailMergeFindRecord</w:t>
            </w:r>
          </w:p>
        </w:tc>
        <w:tc>
          <w:tcPr>
            <w:tcW w:w="0" w:type="auto"/>
            <w:vAlign w:val="center"/>
          </w:tcPr>
          <w:p w:rsidR="005F78FC" w:rsidRDefault="00B42EF3">
            <w:pPr>
              <w:pStyle w:val="TableBodyText"/>
            </w:pPr>
            <w:r>
              <w:t>0239</w:t>
            </w:r>
          </w:p>
        </w:tc>
      </w:tr>
      <w:tr w:rsidR="005F78FC" w:rsidTr="005F78FC">
        <w:tc>
          <w:tcPr>
            <w:tcW w:w="0" w:type="auto"/>
            <w:vAlign w:val="center"/>
          </w:tcPr>
          <w:p w:rsidR="005F78FC" w:rsidRDefault="00B42EF3">
            <w:pPr>
              <w:pStyle w:val="TableBodyText"/>
            </w:pPr>
            <w:r>
              <w:t>MailMergeFirstRecord</w:t>
            </w:r>
          </w:p>
        </w:tc>
        <w:tc>
          <w:tcPr>
            <w:tcW w:w="0" w:type="auto"/>
            <w:vAlign w:val="center"/>
          </w:tcPr>
          <w:p w:rsidR="005F78FC" w:rsidRDefault="00B42EF3">
            <w:pPr>
              <w:pStyle w:val="TableBodyText"/>
            </w:pPr>
            <w:r>
              <w:t>01E0</w:t>
            </w:r>
          </w:p>
        </w:tc>
      </w:tr>
      <w:tr w:rsidR="005F78FC" w:rsidTr="005F78FC">
        <w:tc>
          <w:tcPr>
            <w:tcW w:w="0" w:type="auto"/>
            <w:vAlign w:val="center"/>
          </w:tcPr>
          <w:p w:rsidR="005F78FC" w:rsidRDefault="00B42EF3">
            <w:pPr>
              <w:pStyle w:val="TableBodyText"/>
            </w:pPr>
            <w:r>
              <w:t>MailMergeGoToRecord</w:t>
            </w:r>
          </w:p>
        </w:tc>
        <w:tc>
          <w:tcPr>
            <w:tcW w:w="0" w:type="auto"/>
            <w:vAlign w:val="center"/>
          </w:tcPr>
          <w:p w:rsidR="005F78FC" w:rsidRDefault="00B42EF3">
            <w:pPr>
              <w:pStyle w:val="TableBodyText"/>
            </w:pPr>
            <w:r>
              <w:t>01E2</w:t>
            </w:r>
          </w:p>
        </w:tc>
      </w:tr>
      <w:tr w:rsidR="005F78FC" w:rsidTr="005F78FC">
        <w:tc>
          <w:tcPr>
            <w:tcW w:w="0" w:type="auto"/>
            <w:vAlign w:val="center"/>
          </w:tcPr>
          <w:p w:rsidR="005F78FC" w:rsidRDefault="00B42EF3">
            <w:pPr>
              <w:pStyle w:val="TableBodyText"/>
            </w:pPr>
            <w:r>
              <w:t>MailMergeGreetingLine</w:t>
            </w:r>
          </w:p>
        </w:tc>
        <w:tc>
          <w:tcPr>
            <w:tcW w:w="0" w:type="auto"/>
            <w:vAlign w:val="center"/>
          </w:tcPr>
          <w:p w:rsidR="005F78FC" w:rsidRDefault="00B42EF3">
            <w:pPr>
              <w:pStyle w:val="TableBodyText"/>
            </w:pPr>
            <w:r>
              <w:t>051A</w:t>
            </w:r>
          </w:p>
        </w:tc>
      </w:tr>
      <w:tr w:rsidR="005F78FC" w:rsidTr="005F78FC">
        <w:tc>
          <w:tcPr>
            <w:tcW w:w="0" w:type="auto"/>
            <w:vAlign w:val="center"/>
          </w:tcPr>
          <w:p w:rsidR="005F78FC" w:rsidRDefault="00B42EF3">
            <w:pPr>
              <w:pStyle w:val="TableBodyText"/>
            </w:pPr>
            <w:r>
              <w:t>MailMergeHelper</w:t>
            </w:r>
          </w:p>
        </w:tc>
        <w:tc>
          <w:tcPr>
            <w:tcW w:w="0" w:type="auto"/>
            <w:vAlign w:val="center"/>
          </w:tcPr>
          <w:p w:rsidR="005F78FC" w:rsidRDefault="00B42EF3">
            <w:pPr>
              <w:pStyle w:val="TableBodyText"/>
            </w:pPr>
            <w:r>
              <w:t>02A8</w:t>
            </w:r>
          </w:p>
        </w:tc>
      </w:tr>
      <w:tr w:rsidR="005F78FC" w:rsidTr="005F78FC">
        <w:tc>
          <w:tcPr>
            <w:tcW w:w="0" w:type="auto"/>
            <w:vAlign w:val="center"/>
          </w:tcPr>
          <w:p w:rsidR="005F78FC" w:rsidRDefault="00B42EF3">
            <w:pPr>
              <w:pStyle w:val="TableBodyText"/>
            </w:pPr>
            <w:r>
              <w:t>MailMergeInsertAsk</w:t>
            </w:r>
          </w:p>
        </w:tc>
        <w:tc>
          <w:tcPr>
            <w:tcW w:w="0" w:type="auto"/>
            <w:vAlign w:val="center"/>
          </w:tcPr>
          <w:p w:rsidR="005F78FC" w:rsidRDefault="00B42EF3">
            <w:pPr>
              <w:pStyle w:val="TableBodyText"/>
            </w:pPr>
            <w:r>
              <w:t>0FCF</w:t>
            </w:r>
          </w:p>
        </w:tc>
      </w:tr>
      <w:tr w:rsidR="005F78FC" w:rsidTr="005F78FC">
        <w:tc>
          <w:tcPr>
            <w:tcW w:w="0" w:type="auto"/>
            <w:vAlign w:val="center"/>
          </w:tcPr>
          <w:p w:rsidR="005F78FC" w:rsidRDefault="00B42EF3">
            <w:pPr>
              <w:pStyle w:val="TableBodyText"/>
            </w:pPr>
            <w:r>
              <w:t>MailMergeInsertFields</w:t>
            </w:r>
          </w:p>
        </w:tc>
        <w:tc>
          <w:tcPr>
            <w:tcW w:w="0" w:type="auto"/>
            <w:vAlign w:val="center"/>
          </w:tcPr>
          <w:p w:rsidR="005F78FC" w:rsidRDefault="00B42EF3">
            <w:pPr>
              <w:pStyle w:val="TableBodyText"/>
            </w:pPr>
            <w:r>
              <w:t>051B</w:t>
            </w:r>
          </w:p>
        </w:tc>
      </w:tr>
      <w:tr w:rsidR="005F78FC" w:rsidTr="005F78FC">
        <w:tc>
          <w:tcPr>
            <w:tcW w:w="0" w:type="auto"/>
            <w:vAlign w:val="center"/>
          </w:tcPr>
          <w:p w:rsidR="005F78FC" w:rsidRDefault="00B42EF3">
            <w:pPr>
              <w:pStyle w:val="TableBodyText"/>
            </w:pPr>
            <w:r>
              <w:t>MailMergeInsertFieldsFlyout</w:t>
            </w:r>
          </w:p>
        </w:tc>
        <w:tc>
          <w:tcPr>
            <w:tcW w:w="0" w:type="auto"/>
            <w:vAlign w:val="center"/>
          </w:tcPr>
          <w:p w:rsidR="005F78FC" w:rsidRDefault="00B42EF3">
            <w:pPr>
              <w:pStyle w:val="TableBodyText"/>
            </w:pPr>
            <w:r>
              <w:t>0988</w:t>
            </w:r>
          </w:p>
        </w:tc>
      </w:tr>
      <w:tr w:rsidR="005F78FC" w:rsidTr="005F78FC">
        <w:tc>
          <w:tcPr>
            <w:tcW w:w="0" w:type="auto"/>
            <w:vAlign w:val="center"/>
          </w:tcPr>
          <w:p w:rsidR="005F78FC" w:rsidRDefault="00B42EF3">
            <w:pPr>
              <w:pStyle w:val="TableBodyText"/>
            </w:pPr>
            <w:r>
              <w:t>MailMergeInsertFillIn</w:t>
            </w:r>
          </w:p>
        </w:tc>
        <w:tc>
          <w:tcPr>
            <w:tcW w:w="0" w:type="auto"/>
            <w:vAlign w:val="center"/>
          </w:tcPr>
          <w:p w:rsidR="005F78FC" w:rsidRDefault="00B42EF3">
            <w:pPr>
              <w:pStyle w:val="TableBodyText"/>
            </w:pPr>
            <w:r>
              <w:t>0FD0</w:t>
            </w:r>
          </w:p>
        </w:tc>
      </w:tr>
      <w:tr w:rsidR="005F78FC" w:rsidTr="005F78FC">
        <w:tc>
          <w:tcPr>
            <w:tcW w:w="0" w:type="auto"/>
            <w:vAlign w:val="center"/>
          </w:tcPr>
          <w:p w:rsidR="005F78FC" w:rsidRDefault="00B42EF3">
            <w:pPr>
              <w:pStyle w:val="TableBodyText"/>
            </w:pPr>
            <w:r>
              <w:t>MailMergeInsertIf</w:t>
            </w:r>
          </w:p>
        </w:tc>
        <w:tc>
          <w:tcPr>
            <w:tcW w:w="0" w:type="auto"/>
            <w:vAlign w:val="center"/>
          </w:tcPr>
          <w:p w:rsidR="005F78FC" w:rsidRDefault="00B42EF3">
            <w:pPr>
              <w:pStyle w:val="TableBodyText"/>
            </w:pPr>
            <w:r>
              <w:t>0FD1</w:t>
            </w:r>
          </w:p>
        </w:tc>
      </w:tr>
      <w:tr w:rsidR="005F78FC" w:rsidTr="005F78FC">
        <w:tc>
          <w:tcPr>
            <w:tcW w:w="0" w:type="auto"/>
            <w:vAlign w:val="center"/>
          </w:tcPr>
          <w:p w:rsidR="005F78FC" w:rsidRDefault="00B42EF3">
            <w:pPr>
              <w:pStyle w:val="TableBodyText"/>
            </w:pPr>
            <w:r>
              <w:t>MailMergeInsertMergeKeyword</w:t>
            </w:r>
          </w:p>
        </w:tc>
        <w:tc>
          <w:tcPr>
            <w:tcW w:w="0" w:type="auto"/>
            <w:vAlign w:val="center"/>
          </w:tcPr>
          <w:p w:rsidR="005F78FC" w:rsidRDefault="00B42EF3">
            <w:pPr>
              <w:pStyle w:val="TableBodyText"/>
            </w:pPr>
            <w:r>
              <w:t>0922</w:t>
            </w:r>
          </w:p>
        </w:tc>
      </w:tr>
      <w:tr w:rsidR="005F78FC" w:rsidTr="005F78FC">
        <w:tc>
          <w:tcPr>
            <w:tcW w:w="0" w:type="auto"/>
            <w:vAlign w:val="center"/>
          </w:tcPr>
          <w:p w:rsidR="005F78FC" w:rsidRDefault="00B42EF3">
            <w:pPr>
              <w:pStyle w:val="TableBodyText"/>
            </w:pPr>
            <w:r>
              <w:t>MailMergeInsertMergeRec</w:t>
            </w:r>
          </w:p>
        </w:tc>
        <w:tc>
          <w:tcPr>
            <w:tcW w:w="0" w:type="auto"/>
            <w:vAlign w:val="center"/>
          </w:tcPr>
          <w:p w:rsidR="005F78FC" w:rsidRDefault="00B42EF3">
            <w:pPr>
              <w:pStyle w:val="TableBodyText"/>
            </w:pPr>
            <w:r>
              <w:t>0FD2</w:t>
            </w:r>
          </w:p>
        </w:tc>
      </w:tr>
      <w:tr w:rsidR="005F78FC" w:rsidTr="005F78FC">
        <w:tc>
          <w:tcPr>
            <w:tcW w:w="0" w:type="auto"/>
            <w:vAlign w:val="center"/>
          </w:tcPr>
          <w:p w:rsidR="005F78FC" w:rsidRDefault="00B42EF3">
            <w:pPr>
              <w:pStyle w:val="TableBodyText"/>
            </w:pPr>
            <w:r>
              <w:t>MailMergeInsertMergeSeq</w:t>
            </w:r>
          </w:p>
        </w:tc>
        <w:tc>
          <w:tcPr>
            <w:tcW w:w="0" w:type="auto"/>
            <w:vAlign w:val="center"/>
          </w:tcPr>
          <w:p w:rsidR="005F78FC" w:rsidRDefault="00B42EF3">
            <w:pPr>
              <w:pStyle w:val="TableBodyText"/>
            </w:pPr>
            <w:r>
              <w:t>0FD3</w:t>
            </w:r>
          </w:p>
        </w:tc>
      </w:tr>
      <w:tr w:rsidR="005F78FC" w:rsidTr="005F78FC">
        <w:tc>
          <w:tcPr>
            <w:tcW w:w="0" w:type="auto"/>
            <w:vAlign w:val="center"/>
          </w:tcPr>
          <w:p w:rsidR="005F78FC" w:rsidRDefault="00B42EF3">
            <w:pPr>
              <w:pStyle w:val="TableBodyText"/>
            </w:pPr>
            <w:r>
              <w:t>MailMergeInsertNext</w:t>
            </w:r>
          </w:p>
        </w:tc>
        <w:tc>
          <w:tcPr>
            <w:tcW w:w="0" w:type="auto"/>
            <w:vAlign w:val="center"/>
          </w:tcPr>
          <w:p w:rsidR="005F78FC" w:rsidRDefault="00B42EF3">
            <w:pPr>
              <w:pStyle w:val="TableBodyText"/>
            </w:pPr>
            <w:r>
              <w:t>0FD4</w:t>
            </w:r>
          </w:p>
        </w:tc>
      </w:tr>
      <w:tr w:rsidR="005F78FC" w:rsidTr="005F78FC">
        <w:tc>
          <w:tcPr>
            <w:tcW w:w="0" w:type="auto"/>
            <w:vAlign w:val="center"/>
          </w:tcPr>
          <w:p w:rsidR="005F78FC" w:rsidRDefault="00B42EF3">
            <w:pPr>
              <w:pStyle w:val="TableBodyText"/>
            </w:pPr>
            <w:r>
              <w:t>MailMergeInsertNextIf</w:t>
            </w:r>
          </w:p>
        </w:tc>
        <w:tc>
          <w:tcPr>
            <w:tcW w:w="0" w:type="auto"/>
            <w:vAlign w:val="center"/>
          </w:tcPr>
          <w:p w:rsidR="005F78FC" w:rsidRDefault="00B42EF3">
            <w:pPr>
              <w:pStyle w:val="TableBodyText"/>
            </w:pPr>
            <w:r>
              <w:t>0FD5</w:t>
            </w:r>
          </w:p>
        </w:tc>
      </w:tr>
      <w:tr w:rsidR="005F78FC" w:rsidTr="005F78FC">
        <w:tc>
          <w:tcPr>
            <w:tcW w:w="0" w:type="auto"/>
            <w:vAlign w:val="center"/>
          </w:tcPr>
          <w:p w:rsidR="005F78FC" w:rsidRDefault="00B42EF3">
            <w:pPr>
              <w:pStyle w:val="TableBodyText"/>
            </w:pPr>
            <w:r>
              <w:t>MailMergeInsertSet</w:t>
            </w:r>
          </w:p>
        </w:tc>
        <w:tc>
          <w:tcPr>
            <w:tcW w:w="0" w:type="auto"/>
            <w:vAlign w:val="center"/>
          </w:tcPr>
          <w:p w:rsidR="005F78FC" w:rsidRDefault="00B42EF3">
            <w:pPr>
              <w:pStyle w:val="TableBodyText"/>
            </w:pPr>
            <w:r>
              <w:t>0FD6</w:t>
            </w:r>
          </w:p>
        </w:tc>
      </w:tr>
      <w:tr w:rsidR="005F78FC" w:rsidTr="005F78FC">
        <w:tc>
          <w:tcPr>
            <w:tcW w:w="0" w:type="auto"/>
            <w:vAlign w:val="center"/>
          </w:tcPr>
          <w:p w:rsidR="005F78FC" w:rsidRDefault="00B42EF3">
            <w:pPr>
              <w:pStyle w:val="TableBodyText"/>
            </w:pPr>
            <w:r>
              <w:t>MailMergeInsertSkipIf</w:t>
            </w:r>
          </w:p>
        </w:tc>
        <w:tc>
          <w:tcPr>
            <w:tcW w:w="0" w:type="auto"/>
            <w:vAlign w:val="center"/>
          </w:tcPr>
          <w:p w:rsidR="005F78FC" w:rsidRDefault="00B42EF3">
            <w:pPr>
              <w:pStyle w:val="TableBodyText"/>
            </w:pPr>
            <w:r>
              <w:t>0FD7</w:t>
            </w:r>
          </w:p>
        </w:tc>
      </w:tr>
      <w:tr w:rsidR="005F78FC" w:rsidTr="005F78FC">
        <w:tc>
          <w:tcPr>
            <w:tcW w:w="0" w:type="auto"/>
            <w:vAlign w:val="center"/>
          </w:tcPr>
          <w:p w:rsidR="005F78FC" w:rsidRDefault="00B42EF3">
            <w:pPr>
              <w:pStyle w:val="TableBodyText"/>
            </w:pPr>
            <w:r>
              <w:t>MailMergeLastRecord</w:t>
            </w:r>
          </w:p>
        </w:tc>
        <w:tc>
          <w:tcPr>
            <w:tcW w:w="0" w:type="auto"/>
            <w:vAlign w:val="center"/>
          </w:tcPr>
          <w:p w:rsidR="005F78FC" w:rsidRDefault="00B42EF3">
            <w:pPr>
              <w:pStyle w:val="TableBodyText"/>
            </w:pPr>
            <w:r>
              <w:t>01E1</w:t>
            </w:r>
          </w:p>
        </w:tc>
      </w:tr>
      <w:tr w:rsidR="005F78FC" w:rsidTr="005F78FC">
        <w:tc>
          <w:tcPr>
            <w:tcW w:w="0" w:type="auto"/>
            <w:vAlign w:val="center"/>
          </w:tcPr>
          <w:p w:rsidR="005F78FC" w:rsidRDefault="00B42EF3">
            <w:pPr>
              <w:pStyle w:val="TableBodyText"/>
            </w:pPr>
            <w:r>
              <w:t>MailMergeListWordFields</w:t>
            </w:r>
          </w:p>
        </w:tc>
        <w:tc>
          <w:tcPr>
            <w:tcW w:w="0" w:type="auto"/>
            <w:vAlign w:val="center"/>
          </w:tcPr>
          <w:p w:rsidR="005F78FC" w:rsidRDefault="00B42EF3">
            <w:pPr>
              <w:pStyle w:val="TableBodyText"/>
            </w:pPr>
            <w:r>
              <w:t>0238</w:t>
            </w:r>
          </w:p>
        </w:tc>
      </w:tr>
      <w:tr w:rsidR="005F78FC" w:rsidTr="005F78FC">
        <w:tc>
          <w:tcPr>
            <w:tcW w:w="0" w:type="auto"/>
            <w:vAlign w:val="center"/>
          </w:tcPr>
          <w:p w:rsidR="005F78FC" w:rsidRDefault="00B42EF3">
            <w:pPr>
              <w:pStyle w:val="TableBodyText"/>
            </w:pPr>
            <w:r>
              <w:lastRenderedPageBreak/>
              <w:t>MailMergeNextRecord</w:t>
            </w:r>
          </w:p>
        </w:tc>
        <w:tc>
          <w:tcPr>
            <w:tcW w:w="0" w:type="auto"/>
            <w:vAlign w:val="center"/>
          </w:tcPr>
          <w:p w:rsidR="005F78FC" w:rsidRDefault="00B42EF3">
            <w:pPr>
              <w:pStyle w:val="TableBodyText"/>
            </w:pPr>
            <w:r>
              <w:t>01DE</w:t>
            </w:r>
          </w:p>
        </w:tc>
      </w:tr>
      <w:tr w:rsidR="005F78FC" w:rsidTr="005F78FC">
        <w:tc>
          <w:tcPr>
            <w:tcW w:w="0" w:type="auto"/>
            <w:vAlign w:val="center"/>
          </w:tcPr>
          <w:p w:rsidR="005F78FC" w:rsidRDefault="00B42EF3">
            <w:pPr>
              <w:pStyle w:val="TableBodyText"/>
            </w:pPr>
            <w:r>
              <w:t>MailMergeOpenDataSource</w:t>
            </w:r>
          </w:p>
        </w:tc>
        <w:tc>
          <w:tcPr>
            <w:tcW w:w="0" w:type="auto"/>
            <w:vAlign w:val="center"/>
          </w:tcPr>
          <w:p w:rsidR="005F78FC" w:rsidRDefault="00B42EF3">
            <w:pPr>
              <w:pStyle w:val="TableBodyText"/>
            </w:pPr>
            <w:r>
              <w:t>0051</w:t>
            </w:r>
          </w:p>
        </w:tc>
      </w:tr>
      <w:tr w:rsidR="005F78FC" w:rsidTr="005F78FC">
        <w:tc>
          <w:tcPr>
            <w:tcW w:w="0" w:type="auto"/>
            <w:vAlign w:val="center"/>
          </w:tcPr>
          <w:p w:rsidR="005F78FC" w:rsidRDefault="00B42EF3">
            <w:pPr>
              <w:pStyle w:val="TableBodyText"/>
            </w:pPr>
            <w:r>
              <w:t>MailMergeOpenHeaderSource</w:t>
            </w:r>
          </w:p>
        </w:tc>
        <w:tc>
          <w:tcPr>
            <w:tcW w:w="0" w:type="auto"/>
            <w:vAlign w:val="center"/>
          </w:tcPr>
          <w:p w:rsidR="005F78FC" w:rsidRDefault="00B42EF3">
            <w:pPr>
              <w:pStyle w:val="TableBodyText"/>
            </w:pPr>
            <w:r>
              <w:t>0052</w:t>
            </w:r>
          </w:p>
        </w:tc>
      </w:tr>
      <w:tr w:rsidR="005F78FC" w:rsidTr="005F78FC">
        <w:tc>
          <w:tcPr>
            <w:tcW w:w="0" w:type="auto"/>
            <w:vAlign w:val="center"/>
          </w:tcPr>
          <w:p w:rsidR="005F78FC" w:rsidRDefault="00B42EF3">
            <w:pPr>
              <w:pStyle w:val="TableBodyText"/>
            </w:pPr>
            <w:r>
              <w:t>MailMergePrevRecord</w:t>
            </w:r>
          </w:p>
        </w:tc>
        <w:tc>
          <w:tcPr>
            <w:tcW w:w="0" w:type="auto"/>
            <w:vAlign w:val="center"/>
          </w:tcPr>
          <w:p w:rsidR="005F78FC" w:rsidRDefault="00B42EF3">
            <w:pPr>
              <w:pStyle w:val="TableBodyText"/>
            </w:pPr>
            <w:r>
              <w:t>01DF</w:t>
            </w:r>
          </w:p>
        </w:tc>
      </w:tr>
      <w:tr w:rsidR="005F78FC" w:rsidTr="005F78FC">
        <w:tc>
          <w:tcPr>
            <w:tcW w:w="0" w:type="auto"/>
            <w:vAlign w:val="center"/>
          </w:tcPr>
          <w:p w:rsidR="005F78FC" w:rsidRDefault="00B42EF3">
            <w:pPr>
              <w:pStyle w:val="TableBodyText"/>
            </w:pPr>
            <w:r>
              <w:t>MailMergePropagateLabel</w:t>
            </w:r>
          </w:p>
        </w:tc>
        <w:tc>
          <w:tcPr>
            <w:tcW w:w="0" w:type="auto"/>
            <w:vAlign w:val="center"/>
          </w:tcPr>
          <w:p w:rsidR="005F78FC" w:rsidRDefault="00B42EF3">
            <w:pPr>
              <w:pStyle w:val="TableBodyText"/>
            </w:pPr>
            <w:r>
              <w:t>052D</w:t>
            </w:r>
          </w:p>
        </w:tc>
      </w:tr>
      <w:tr w:rsidR="005F78FC" w:rsidTr="005F78FC">
        <w:tc>
          <w:tcPr>
            <w:tcW w:w="0" w:type="auto"/>
            <w:vAlign w:val="center"/>
          </w:tcPr>
          <w:p w:rsidR="005F78FC" w:rsidRDefault="00B42EF3">
            <w:pPr>
              <w:pStyle w:val="TableBodyText"/>
            </w:pPr>
            <w:r>
              <w:t>MailMergeQueryOptions</w:t>
            </w:r>
          </w:p>
        </w:tc>
        <w:tc>
          <w:tcPr>
            <w:tcW w:w="0" w:type="auto"/>
            <w:vAlign w:val="center"/>
          </w:tcPr>
          <w:p w:rsidR="005F78FC" w:rsidRDefault="00B42EF3">
            <w:pPr>
              <w:pStyle w:val="TableBodyText"/>
            </w:pPr>
            <w:r>
              <w:t>02A9</w:t>
            </w:r>
          </w:p>
        </w:tc>
      </w:tr>
      <w:tr w:rsidR="005F78FC" w:rsidTr="005F78FC">
        <w:tc>
          <w:tcPr>
            <w:tcW w:w="0" w:type="auto"/>
            <w:vAlign w:val="center"/>
          </w:tcPr>
          <w:p w:rsidR="005F78FC" w:rsidRDefault="00B42EF3">
            <w:pPr>
              <w:pStyle w:val="TableBodyText"/>
            </w:pPr>
            <w:r>
              <w:t>MailMergeRecipients</w:t>
            </w:r>
          </w:p>
        </w:tc>
        <w:tc>
          <w:tcPr>
            <w:tcW w:w="0" w:type="auto"/>
            <w:vAlign w:val="center"/>
          </w:tcPr>
          <w:p w:rsidR="005F78FC" w:rsidRDefault="00B42EF3">
            <w:pPr>
              <w:pStyle w:val="TableBodyText"/>
            </w:pPr>
            <w:r>
              <w:t>051C</w:t>
            </w:r>
          </w:p>
        </w:tc>
      </w:tr>
      <w:tr w:rsidR="005F78FC" w:rsidTr="005F78FC">
        <w:tc>
          <w:tcPr>
            <w:tcW w:w="0" w:type="auto"/>
            <w:vAlign w:val="center"/>
          </w:tcPr>
          <w:p w:rsidR="005F78FC" w:rsidRDefault="00B42EF3">
            <w:pPr>
              <w:pStyle w:val="TableBodyText"/>
            </w:pPr>
            <w:r>
              <w:t>MailMergeReset</w:t>
            </w:r>
          </w:p>
        </w:tc>
        <w:tc>
          <w:tcPr>
            <w:tcW w:w="0" w:type="auto"/>
            <w:vAlign w:val="center"/>
          </w:tcPr>
          <w:p w:rsidR="005F78FC" w:rsidRDefault="00B42EF3">
            <w:pPr>
              <w:pStyle w:val="TableBodyText"/>
            </w:pPr>
            <w:r>
              <w:t>0060</w:t>
            </w:r>
          </w:p>
        </w:tc>
      </w:tr>
      <w:tr w:rsidR="005F78FC" w:rsidTr="005F78FC">
        <w:tc>
          <w:tcPr>
            <w:tcW w:w="0" w:type="auto"/>
            <w:vAlign w:val="center"/>
          </w:tcPr>
          <w:p w:rsidR="005F78FC" w:rsidRDefault="00B42EF3">
            <w:pPr>
              <w:pStyle w:val="TableBodyText"/>
            </w:pPr>
            <w:r>
              <w:t>MailMergeSetDocTypeDirectory</w:t>
            </w:r>
          </w:p>
        </w:tc>
        <w:tc>
          <w:tcPr>
            <w:tcW w:w="0" w:type="auto"/>
            <w:vAlign w:val="center"/>
          </w:tcPr>
          <w:p w:rsidR="005F78FC" w:rsidRDefault="00B42EF3">
            <w:pPr>
              <w:pStyle w:val="TableBodyText"/>
            </w:pPr>
            <w:r>
              <w:t>0824</w:t>
            </w:r>
          </w:p>
        </w:tc>
      </w:tr>
      <w:tr w:rsidR="005F78FC" w:rsidTr="005F78FC">
        <w:tc>
          <w:tcPr>
            <w:tcW w:w="0" w:type="auto"/>
            <w:vAlign w:val="center"/>
          </w:tcPr>
          <w:p w:rsidR="005F78FC" w:rsidRDefault="00B42EF3">
            <w:pPr>
              <w:pStyle w:val="TableBodyText"/>
            </w:pPr>
            <w:r>
              <w:t>MailMergeSetDocTypeEmail</w:t>
            </w:r>
          </w:p>
        </w:tc>
        <w:tc>
          <w:tcPr>
            <w:tcW w:w="0" w:type="auto"/>
            <w:vAlign w:val="center"/>
          </w:tcPr>
          <w:p w:rsidR="005F78FC" w:rsidRDefault="00B42EF3">
            <w:pPr>
              <w:pStyle w:val="TableBodyText"/>
            </w:pPr>
            <w:r>
              <w:t>0820</w:t>
            </w:r>
          </w:p>
        </w:tc>
      </w:tr>
      <w:tr w:rsidR="005F78FC" w:rsidTr="005F78FC">
        <w:tc>
          <w:tcPr>
            <w:tcW w:w="0" w:type="auto"/>
            <w:vAlign w:val="center"/>
          </w:tcPr>
          <w:p w:rsidR="005F78FC" w:rsidRDefault="00B42EF3">
            <w:pPr>
              <w:pStyle w:val="TableBodyText"/>
            </w:pPr>
            <w:r>
              <w:t>MailMergeSetDocTypeEnvelope</w:t>
            </w:r>
          </w:p>
        </w:tc>
        <w:tc>
          <w:tcPr>
            <w:tcW w:w="0" w:type="auto"/>
            <w:vAlign w:val="center"/>
          </w:tcPr>
          <w:p w:rsidR="005F78FC" w:rsidRDefault="00B42EF3">
            <w:pPr>
              <w:pStyle w:val="TableBodyText"/>
            </w:pPr>
            <w:r>
              <w:t>0822</w:t>
            </w:r>
          </w:p>
        </w:tc>
      </w:tr>
      <w:tr w:rsidR="005F78FC" w:rsidTr="005F78FC">
        <w:tc>
          <w:tcPr>
            <w:tcW w:w="0" w:type="auto"/>
            <w:vAlign w:val="center"/>
          </w:tcPr>
          <w:p w:rsidR="005F78FC" w:rsidRDefault="00B42EF3">
            <w:pPr>
              <w:pStyle w:val="TableBodyText"/>
            </w:pPr>
            <w:r>
              <w:t>MailMergeSetDocTypeFax</w:t>
            </w:r>
          </w:p>
        </w:tc>
        <w:tc>
          <w:tcPr>
            <w:tcW w:w="0" w:type="auto"/>
            <w:vAlign w:val="center"/>
          </w:tcPr>
          <w:p w:rsidR="005F78FC" w:rsidRDefault="00B42EF3">
            <w:pPr>
              <w:pStyle w:val="TableBodyText"/>
            </w:pPr>
            <w:r>
              <w:t>0821</w:t>
            </w:r>
          </w:p>
        </w:tc>
      </w:tr>
      <w:tr w:rsidR="005F78FC" w:rsidTr="005F78FC">
        <w:tc>
          <w:tcPr>
            <w:tcW w:w="0" w:type="auto"/>
            <w:vAlign w:val="center"/>
          </w:tcPr>
          <w:p w:rsidR="005F78FC" w:rsidRDefault="00B42EF3">
            <w:pPr>
              <w:pStyle w:val="TableBodyText"/>
            </w:pPr>
            <w:r>
              <w:t>MailMergeSetDocTypeFormLetter</w:t>
            </w:r>
          </w:p>
        </w:tc>
        <w:tc>
          <w:tcPr>
            <w:tcW w:w="0" w:type="auto"/>
            <w:vAlign w:val="center"/>
          </w:tcPr>
          <w:p w:rsidR="005F78FC" w:rsidRDefault="00B42EF3">
            <w:pPr>
              <w:pStyle w:val="TableBodyText"/>
            </w:pPr>
            <w:r>
              <w:t>081F</w:t>
            </w:r>
          </w:p>
        </w:tc>
      </w:tr>
      <w:tr w:rsidR="005F78FC" w:rsidTr="005F78FC">
        <w:tc>
          <w:tcPr>
            <w:tcW w:w="0" w:type="auto"/>
            <w:vAlign w:val="center"/>
          </w:tcPr>
          <w:p w:rsidR="005F78FC" w:rsidRDefault="00B42EF3">
            <w:pPr>
              <w:pStyle w:val="TableBodyText"/>
            </w:pPr>
            <w:r>
              <w:t>MailMergeSetDocTypeLabel</w:t>
            </w:r>
          </w:p>
        </w:tc>
        <w:tc>
          <w:tcPr>
            <w:tcW w:w="0" w:type="auto"/>
            <w:vAlign w:val="center"/>
          </w:tcPr>
          <w:p w:rsidR="005F78FC" w:rsidRDefault="00B42EF3">
            <w:pPr>
              <w:pStyle w:val="TableBodyText"/>
            </w:pPr>
            <w:r>
              <w:t>0823</w:t>
            </w:r>
          </w:p>
        </w:tc>
      </w:tr>
      <w:tr w:rsidR="005F78FC" w:rsidTr="005F78FC">
        <w:tc>
          <w:tcPr>
            <w:tcW w:w="0" w:type="auto"/>
            <w:vAlign w:val="center"/>
          </w:tcPr>
          <w:p w:rsidR="005F78FC" w:rsidRDefault="00B42EF3">
            <w:pPr>
              <w:pStyle w:val="TableBodyText"/>
            </w:pPr>
            <w:r>
              <w:t>MailMergeSetDocumentType</w:t>
            </w:r>
          </w:p>
        </w:tc>
        <w:tc>
          <w:tcPr>
            <w:tcW w:w="0" w:type="auto"/>
            <w:vAlign w:val="center"/>
          </w:tcPr>
          <w:p w:rsidR="005F78FC" w:rsidRDefault="00B42EF3">
            <w:pPr>
              <w:pStyle w:val="TableBodyText"/>
            </w:pPr>
            <w:r>
              <w:t>053B</w:t>
            </w:r>
          </w:p>
        </w:tc>
      </w:tr>
      <w:tr w:rsidR="005F78FC" w:rsidTr="005F78FC">
        <w:tc>
          <w:tcPr>
            <w:tcW w:w="0" w:type="auto"/>
            <w:vAlign w:val="center"/>
          </w:tcPr>
          <w:p w:rsidR="005F78FC" w:rsidRDefault="00B42EF3">
            <w:pPr>
              <w:pStyle w:val="TableBodyText"/>
            </w:pPr>
            <w:r>
              <w:t>MailMergeShadeFields</w:t>
            </w:r>
          </w:p>
        </w:tc>
        <w:tc>
          <w:tcPr>
            <w:tcW w:w="0" w:type="auto"/>
            <w:vAlign w:val="center"/>
          </w:tcPr>
          <w:p w:rsidR="005F78FC" w:rsidRDefault="00B42EF3">
            <w:pPr>
              <w:pStyle w:val="TableBodyText"/>
            </w:pPr>
            <w:r>
              <w:t>04DD</w:t>
            </w:r>
          </w:p>
        </w:tc>
      </w:tr>
      <w:tr w:rsidR="005F78FC" w:rsidTr="005F78FC">
        <w:tc>
          <w:tcPr>
            <w:tcW w:w="0" w:type="auto"/>
            <w:vAlign w:val="center"/>
          </w:tcPr>
          <w:p w:rsidR="005F78FC" w:rsidRDefault="00B42EF3">
            <w:pPr>
              <w:pStyle w:val="TableBodyText"/>
            </w:pPr>
            <w:r>
              <w:t>MailMergeToDoc</w:t>
            </w:r>
          </w:p>
        </w:tc>
        <w:tc>
          <w:tcPr>
            <w:tcW w:w="0" w:type="auto"/>
            <w:vAlign w:val="center"/>
          </w:tcPr>
          <w:p w:rsidR="005F78FC" w:rsidRDefault="00B42EF3">
            <w:pPr>
              <w:pStyle w:val="TableBodyText"/>
            </w:pPr>
            <w:r>
              <w:t>02A6</w:t>
            </w:r>
          </w:p>
        </w:tc>
      </w:tr>
      <w:tr w:rsidR="005F78FC" w:rsidTr="005F78FC">
        <w:tc>
          <w:tcPr>
            <w:tcW w:w="0" w:type="auto"/>
            <w:vAlign w:val="center"/>
          </w:tcPr>
          <w:p w:rsidR="005F78FC" w:rsidRDefault="00B42EF3">
            <w:pPr>
              <w:pStyle w:val="TableBodyText"/>
            </w:pPr>
            <w:r>
              <w:t>MailMergeToEMail</w:t>
            </w:r>
          </w:p>
        </w:tc>
        <w:tc>
          <w:tcPr>
            <w:tcW w:w="0" w:type="auto"/>
            <w:vAlign w:val="center"/>
          </w:tcPr>
          <w:p w:rsidR="005F78FC" w:rsidRDefault="00B42EF3">
            <w:pPr>
              <w:pStyle w:val="TableBodyText"/>
            </w:pPr>
            <w:r>
              <w:t>0559</w:t>
            </w:r>
          </w:p>
        </w:tc>
      </w:tr>
      <w:tr w:rsidR="005F78FC" w:rsidTr="005F78FC">
        <w:tc>
          <w:tcPr>
            <w:tcW w:w="0" w:type="auto"/>
            <w:vAlign w:val="center"/>
          </w:tcPr>
          <w:p w:rsidR="005F78FC" w:rsidRDefault="00B42EF3">
            <w:pPr>
              <w:pStyle w:val="TableBodyText"/>
            </w:pPr>
            <w:r>
              <w:t>MailMergeToFax</w:t>
            </w:r>
          </w:p>
        </w:tc>
        <w:tc>
          <w:tcPr>
            <w:tcW w:w="0" w:type="auto"/>
            <w:vAlign w:val="center"/>
          </w:tcPr>
          <w:p w:rsidR="005F78FC" w:rsidRDefault="00B42EF3">
            <w:pPr>
              <w:pStyle w:val="TableBodyText"/>
            </w:pPr>
            <w:r>
              <w:t>055A</w:t>
            </w:r>
          </w:p>
        </w:tc>
      </w:tr>
      <w:tr w:rsidR="005F78FC" w:rsidTr="005F78FC">
        <w:tc>
          <w:tcPr>
            <w:tcW w:w="0" w:type="auto"/>
            <w:vAlign w:val="center"/>
          </w:tcPr>
          <w:p w:rsidR="005F78FC" w:rsidRDefault="00B42EF3">
            <w:pPr>
              <w:pStyle w:val="TableBodyText"/>
            </w:pPr>
            <w:r>
              <w:t>MailMergeToPrinter</w:t>
            </w:r>
          </w:p>
        </w:tc>
        <w:tc>
          <w:tcPr>
            <w:tcW w:w="0" w:type="auto"/>
            <w:vAlign w:val="center"/>
          </w:tcPr>
          <w:p w:rsidR="005F78FC" w:rsidRDefault="00B42EF3">
            <w:pPr>
              <w:pStyle w:val="TableBodyText"/>
            </w:pPr>
            <w:r>
              <w:t>02A7</w:t>
            </w:r>
          </w:p>
        </w:tc>
      </w:tr>
      <w:tr w:rsidR="005F78FC" w:rsidTr="005F78FC">
        <w:tc>
          <w:tcPr>
            <w:tcW w:w="0" w:type="auto"/>
            <w:vAlign w:val="center"/>
          </w:tcPr>
          <w:p w:rsidR="005F78FC" w:rsidRDefault="00B42EF3">
            <w:pPr>
              <w:pStyle w:val="TableBodyText"/>
            </w:pPr>
            <w:r>
              <w:t>MailMergeToolbar</w:t>
            </w:r>
          </w:p>
        </w:tc>
        <w:tc>
          <w:tcPr>
            <w:tcW w:w="0" w:type="auto"/>
            <w:vAlign w:val="center"/>
          </w:tcPr>
          <w:p w:rsidR="005F78FC" w:rsidRDefault="00B42EF3">
            <w:pPr>
              <w:pStyle w:val="TableBodyText"/>
            </w:pPr>
            <w:r>
              <w:t>055B</w:t>
            </w:r>
          </w:p>
        </w:tc>
      </w:tr>
      <w:tr w:rsidR="005F78FC" w:rsidTr="005F78FC">
        <w:tc>
          <w:tcPr>
            <w:tcW w:w="0" w:type="auto"/>
            <w:vAlign w:val="center"/>
          </w:tcPr>
          <w:p w:rsidR="005F78FC" w:rsidRDefault="00B42EF3">
            <w:pPr>
              <w:pStyle w:val="TableBodyText"/>
            </w:pPr>
            <w:r>
              <w:t>MailMergeUseAddressBook</w:t>
            </w:r>
          </w:p>
        </w:tc>
        <w:tc>
          <w:tcPr>
            <w:tcW w:w="0" w:type="auto"/>
            <w:vAlign w:val="center"/>
          </w:tcPr>
          <w:p w:rsidR="005F78FC" w:rsidRDefault="00B42EF3">
            <w:pPr>
              <w:pStyle w:val="TableBodyText"/>
            </w:pPr>
            <w:r>
              <w:t>030B</w:t>
            </w:r>
          </w:p>
        </w:tc>
      </w:tr>
      <w:tr w:rsidR="005F78FC" w:rsidTr="005F78FC">
        <w:tc>
          <w:tcPr>
            <w:tcW w:w="0" w:type="auto"/>
            <w:vAlign w:val="center"/>
          </w:tcPr>
          <w:p w:rsidR="005F78FC" w:rsidRDefault="00B42EF3">
            <w:pPr>
              <w:pStyle w:val="TableBodyText"/>
            </w:pPr>
            <w:r>
              <w:t>MailMergeUseOutlookContacts</w:t>
            </w:r>
          </w:p>
        </w:tc>
        <w:tc>
          <w:tcPr>
            <w:tcW w:w="0" w:type="auto"/>
            <w:vAlign w:val="center"/>
          </w:tcPr>
          <w:p w:rsidR="005F78FC" w:rsidRDefault="00B42EF3">
            <w:pPr>
              <w:pStyle w:val="TableBodyText"/>
            </w:pPr>
            <w:r>
              <w:t>0974</w:t>
            </w:r>
          </w:p>
        </w:tc>
      </w:tr>
      <w:tr w:rsidR="005F78FC" w:rsidTr="005F78FC">
        <w:tc>
          <w:tcPr>
            <w:tcW w:w="0" w:type="auto"/>
            <w:vAlign w:val="center"/>
          </w:tcPr>
          <w:p w:rsidR="005F78FC" w:rsidRDefault="00B42EF3">
            <w:pPr>
              <w:pStyle w:val="TableBodyText"/>
            </w:pPr>
            <w:r>
              <w:t>MailMergeViewData</w:t>
            </w:r>
          </w:p>
        </w:tc>
        <w:tc>
          <w:tcPr>
            <w:tcW w:w="0" w:type="auto"/>
            <w:vAlign w:val="center"/>
          </w:tcPr>
          <w:p w:rsidR="005F78FC" w:rsidRDefault="00B42EF3">
            <w:pPr>
              <w:pStyle w:val="TableBodyText"/>
            </w:pPr>
            <w:r>
              <w:t>01AF</w:t>
            </w:r>
          </w:p>
        </w:tc>
      </w:tr>
      <w:tr w:rsidR="005F78FC" w:rsidTr="005F78FC">
        <w:tc>
          <w:tcPr>
            <w:tcW w:w="0" w:type="auto"/>
            <w:vAlign w:val="center"/>
          </w:tcPr>
          <w:p w:rsidR="005F78FC" w:rsidRDefault="00B42EF3">
            <w:pPr>
              <w:pStyle w:val="TableBodyText"/>
            </w:pPr>
            <w:r>
              <w:t>MailMergeWizard</w:t>
            </w:r>
          </w:p>
        </w:tc>
        <w:tc>
          <w:tcPr>
            <w:tcW w:w="0" w:type="auto"/>
            <w:vAlign w:val="center"/>
          </w:tcPr>
          <w:p w:rsidR="005F78FC" w:rsidRDefault="00B42EF3">
            <w:pPr>
              <w:pStyle w:val="TableBodyText"/>
            </w:pPr>
            <w:r>
              <w:t>04DE</w:t>
            </w:r>
          </w:p>
        </w:tc>
      </w:tr>
      <w:tr w:rsidR="005F78FC" w:rsidTr="005F78FC">
        <w:tc>
          <w:tcPr>
            <w:tcW w:w="0" w:type="auto"/>
            <w:vAlign w:val="center"/>
          </w:tcPr>
          <w:p w:rsidR="005F78FC" w:rsidRDefault="00B42EF3">
            <w:pPr>
              <w:pStyle w:val="TableBodyText"/>
            </w:pPr>
            <w:r>
              <w:t>MailMessageDelete</w:t>
            </w:r>
          </w:p>
        </w:tc>
        <w:tc>
          <w:tcPr>
            <w:tcW w:w="0" w:type="auto"/>
            <w:vAlign w:val="center"/>
          </w:tcPr>
          <w:p w:rsidR="005F78FC" w:rsidRDefault="00B42EF3">
            <w:pPr>
              <w:pStyle w:val="TableBodyText"/>
            </w:pPr>
            <w:r>
              <w:t>0303</w:t>
            </w:r>
          </w:p>
        </w:tc>
      </w:tr>
      <w:tr w:rsidR="005F78FC" w:rsidTr="005F78FC">
        <w:tc>
          <w:tcPr>
            <w:tcW w:w="0" w:type="auto"/>
            <w:vAlign w:val="center"/>
          </w:tcPr>
          <w:p w:rsidR="005F78FC" w:rsidRDefault="00B42EF3">
            <w:pPr>
              <w:pStyle w:val="TableBodyText"/>
            </w:pPr>
            <w:r>
              <w:t>MailMessageForward</w:t>
            </w:r>
          </w:p>
        </w:tc>
        <w:tc>
          <w:tcPr>
            <w:tcW w:w="0" w:type="auto"/>
            <w:vAlign w:val="center"/>
          </w:tcPr>
          <w:p w:rsidR="005F78FC" w:rsidRDefault="00B42EF3">
            <w:pPr>
              <w:pStyle w:val="TableBodyText"/>
            </w:pPr>
            <w:r>
              <w:t>0308</w:t>
            </w:r>
          </w:p>
        </w:tc>
      </w:tr>
      <w:tr w:rsidR="005F78FC" w:rsidTr="005F78FC">
        <w:tc>
          <w:tcPr>
            <w:tcW w:w="0" w:type="auto"/>
            <w:vAlign w:val="center"/>
          </w:tcPr>
          <w:p w:rsidR="005F78FC" w:rsidRDefault="00B42EF3">
            <w:pPr>
              <w:pStyle w:val="TableBodyText"/>
            </w:pPr>
            <w:r>
              <w:t>MailMessageMove</w:t>
            </w:r>
          </w:p>
        </w:tc>
        <w:tc>
          <w:tcPr>
            <w:tcW w:w="0" w:type="auto"/>
            <w:vAlign w:val="center"/>
          </w:tcPr>
          <w:p w:rsidR="005F78FC" w:rsidRDefault="00B42EF3">
            <w:pPr>
              <w:pStyle w:val="TableBodyText"/>
            </w:pPr>
            <w:r>
              <w:t>0302</w:t>
            </w:r>
          </w:p>
        </w:tc>
      </w:tr>
      <w:tr w:rsidR="005F78FC" w:rsidTr="005F78FC">
        <w:tc>
          <w:tcPr>
            <w:tcW w:w="0" w:type="auto"/>
            <w:vAlign w:val="center"/>
          </w:tcPr>
          <w:p w:rsidR="005F78FC" w:rsidRDefault="00B42EF3">
            <w:pPr>
              <w:pStyle w:val="TableBodyText"/>
            </w:pPr>
            <w:r>
              <w:t>MailMessageNext</w:t>
            </w:r>
          </w:p>
        </w:tc>
        <w:tc>
          <w:tcPr>
            <w:tcW w:w="0" w:type="auto"/>
            <w:vAlign w:val="center"/>
          </w:tcPr>
          <w:p w:rsidR="005F78FC" w:rsidRDefault="00B42EF3">
            <w:pPr>
              <w:pStyle w:val="TableBodyText"/>
            </w:pPr>
            <w:r>
              <w:t>0305</w:t>
            </w:r>
          </w:p>
        </w:tc>
      </w:tr>
      <w:tr w:rsidR="005F78FC" w:rsidTr="005F78FC">
        <w:tc>
          <w:tcPr>
            <w:tcW w:w="0" w:type="auto"/>
            <w:vAlign w:val="center"/>
          </w:tcPr>
          <w:p w:rsidR="005F78FC" w:rsidRDefault="00B42EF3">
            <w:pPr>
              <w:pStyle w:val="TableBodyText"/>
            </w:pPr>
            <w:r>
              <w:t>MailMessagePrevious</w:t>
            </w:r>
          </w:p>
        </w:tc>
        <w:tc>
          <w:tcPr>
            <w:tcW w:w="0" w:type="auto"/>
            <w:vAlign w:val="center"/>
          </w:tcPr>
          <w:p w:rsidR="005F78FC" w:rsidRDefault="00B42EF3">
            <w:pPr>
              <w:pStyle w:val="TableBodyText"/>
            </w:pPr>
            <w:r>
              <w:t>0304</w:t>
            </w:r>
          </w:p>
        </w:tc>
      </w:tr>
      <w:tr w:rsidR="005F78FC" w:rsidTr="005F78FC">
        <w:tc>
          <w:tcPr>
            <w:tcW w:w="0" w:type="auto"/>
            <w:vAlign w:val="center"/>
          </w:tcPr>
          <w:p w:rsidR="005F78FC" w:rsidRDefault="00B42EF3">
            <w:pPr>
              <w:pStyle w:val="TableBodyText"/>
            </w:pPr>
            <w:r>
              <w:t>MailMessageProperties</w:t>
            </w:r>
          </w:p>
        </w:tc>
        <w:tc>
          <w:tcPr>
            <w:tcW w:w="0" w:type="auto"/>
            <w:vAlign w:val="center"/>
          </w:tcPr>
          <w:p w:rsidR="005F78FC" w:rsidRDefault="00B42EF3">
            <w:pPr>
              <w:pStyle w:val="TableBodyText"/>
            </w:pPr>
            <w:r>
              <w:t>02FC</w:t>
            </w:r>
          </w:p>
        </w:tc>
      </w:tr>
      <w:tr w:rsidR="005F78FC" w:rsidTr="005F78FC">
        <w:tc>
          <w:tcPr>
            <w:tcW w:w="0" w:type="auto"/>
            <w:vAlign w:val="center"/>
          </w:tcPr>
          <w:p w:rsidR="005F78FC" w:rsidRDefault="00B42EF3">
            <w:pPr>
              <w:pStyle w:val="TableBodyText"/>
            </w:pPr>
            <w:r>
              <w:t>MailMessageReply</w:t>
            </w:r>
          </w:p>
        </w:tc>
        <w:tc>
          <w:tcPr>
            <w:tcW w:w="0" w:type="auto"/>
            <w:vAlign w:val="center"/>
          </w:tcPr>
          <w:p w:rsidR="005F78FC" w:rsidRDefault="00B42EF3">
            <w:pPr>
              <w:pStyle w:val="TableBodyText"/>
            </w:pPr>
            <w:r>
              <w:t>0300</w:t>
            </w:r>
          </w:p>
        </w:tc>
      </w:tr>
      <w:tr w:rsidR="005F78FC" w:rsidTr="005F78FC">
        <w:tc>
          <w:tcPr>
            <w:tcW w:w="0" w:type="auto"/>
            <w:vAlign w:val="center"/>
          </w:tcPr>
          <w:p w:rsidR="005F78FC" w:rsidRDefault="00B42EF3">
            <w:pPr>
              <w:pStyle w:val="TableBodyText"/>
            </w:pPr>
            <w:r>
              <w:lastRenderedPageBreak/>
              <w:t>MailMessageReplyAll</w:t>
            </w:r>
          </w:p>
        </w:tc>
        <w:tc>
          <w:tcPr>
            <w:tcW w:w="0" w:type="auto"/>
            <w:vAlign w:val="center"/>
          </w:tcPr>
          <w:p w:rsidR="005F78FC" w:rsidRDefault="00B42EF3">
            <w:pPr>
              <w:pStyle w:val="TableBodyText"/>
            </w:pPr>
            <w:r>
              <w:t>0301</w:t>
            </w:r>
          </w:p>
        </w:tc>
      </w:tr>
      <w:tr w:rsidR="005F78FC" w:rsidTr="005F78FC">
        <w:tc>
          <w:tcPr>
            <w:tcW w:w="0" w:type="auto"/>
            <w:vAlign w:val="center"/>
          </w:tcPr>
          <w:p w:rsidR="005F78FC" w:rsidRDefault="00B42EF3">
            <w:pPr>
              <w:pStyle w:val="TableBodyText"/>
            </w:pPr>
            <w:r>
              <w:t>MailSelectNames</w:t>
            </w:r>
          </w:p>
        </w:tc>
        <w:tc>
          <w:tcPr>
            <w:tcW w:w="0" w:type="auto"/>
            <w:vAlign w:val="center"/>
          </w:tcPr>
          <w:p w:rsidR="005F78FC" w:rsidRDefault="00B42EF3">
            <w:pPr>
              <w:pStyle w:val="TableBodyText"/>
            </w:pPr>
            <w:r>
              <w:t>0307</w:t>
            </w:r>
          </w:p>
        </w:tc>
      </w:tr>
      <w:tr w:rsidR="005F78FC" w:rsidTr="005F78FC">
        <w:tc>
          <w:tcPr>
            <w:tcW w:w="0" w:type="auto"/>
            <w:vAlign w:val="center"/>
          </w:tcPr>
          <w:p w:rsidR="005F78FC" w:rsidRDefault="00B42EF3">
            <w:pPr>
              <w:pStyle w:val="TableBodyText"/>
            </w:pPr>
            <w:r>
              <w:t>MarkAsReadOnly</w:t>
            </w:r>
          </w:p>
        </w:tc>
        <w:tc>
          <w:tcPr>
            <w:tcW w:w="0" w:type="auto"/>
            <w:vAlign w:val="center"/>
          </w:tcPr>
          <w:p w:rsidR="005F78FC" w:rsidRDefault="00B42EF3">
            <w:pPr>
              <w:pStyle w:val="TableBodyText"/>
            </w:pPr>
            <w:r>
              <w:t>0843</w:t>
            </w:r>
          </w:p>
        </w:tc>
      </w:tr>
      <w:tr w:rsidR="005F78FC" w:rsidTr="005F78FC">
        <w:tc>
          <w:tcPr>
            <w:tcW w:w="0" w:type="auto"/>
            <w:vAlign w:val="center"/>
          </w:tcPr>
          <w:p w:rsidR="005F78FC" w:rsidRDefault="00B42EF3">
            <w:pPr>
              <w:pStyle w:val="TableBodyText"/>
            </w:pPr>
            <w:r>
              <w:t>MarkCitation</w:t>
            </w:r>
          </w:p>
        </w:tc>
        <w:tc>
          <w:tcPr>
            <w:tcW w:w="0" w:type="auto"/>
            <w:vAlign w:val="center"/>
          </w:tcPr>
          <w:p w:rsidR="005F78FC" w:rsidRDefault="00B42EF3">
            <w:pPr>
              <w:pStyle w:val="TableBodyText"/>
            </w:pPr>
            <w:r>
              <w:t>01CF</w:t>
            </w:r>
          </w:p>
        </w:tc>
      </w:tr>
      <w:tr w:rsidR="005F78FC" w:rsidTr="005F78FC">
        <w:tc>
          <w:tcPr>
            <w:tcW w:w="0" w:type="auto"/>
            <w:vAlign w:val="center"/>
          </w:tcPr>
          <w:p w:rsidR="005F78FC" w:rsidRDefault="00B42EF3">
            <w:pPr>
              <w:pStyle w:val="TableBodyText"/>
            </w:pPr>
            <w:r>
              <w:t>MarkIndexEntry</w:t>
            </w:r>
          </w:p>
        </w:tc>
        <w:tc>
          <w:tcPr>
            <w:tcW w:w="0" w:type="auto"/>
            <w:vAlign w:val="center"/>
          </w:tcPr>
          <w:p w:rsidR="005F78FC" w:rsidRDefault="00B42EF3">
            <w:pPr>
              <w:pStyle w:val="TableBodyText"/>
            </w:pPr>
            <w:r>
              <w:t>00A9</w:t>
            </w:r>
          </w:p>
        </w:tc>
      </w:tr>
      <w:tr w:rsidR="005F78FC" w:rsidTr="005F78FC">
        <w:tc>
          <w:tcPr>
            <w:tcW w:w="0" w:type="auto"/>
            <w:vAlign w:val="center"/>
          </w:tcPr>
          <w:p w:rsidR="005F78FC" w:rsidRDefault="00B42EF3">
            <w:pPr>
              <w:pStyle w:val="TableBodyText"/>
            </w:pPr>
            <w:r>
              <w:t>MarkTableOfContentsEntry</w:t>
            </w:r>
          </w:p>
        </w:tc>
        <w:tc>
          <w:tcPr>
            <w:tcW w:w="0" w:type="auto"/>
            <w:vAlign w:val="center"/>
          </w:tcPr>
          <w:p w:rsidR="005F78FC" w:rsidRDefault="00B42EF3">
            <w:pPr>
              <w:pStyle w:val="TableBodyText"/>
            </w:pPr>
            <w:r>
              <w:t>01BA</w:t>
            </w:r>
          </w:p>
        </w:tc>
      </w:tr>
      <w:tr w:rsidR="005F78FC" w:rsidTr="005F78FC">
        <w:tc>
          <w:tcPr>
            <w:tcW w:w="0" w:type="auto"/>
            <w:vAlign w:val="center"/>
          </w:tcPr>
          <w:p w:rsidR="005F78FC" w:rsidRDefault="00B42EF3">
            <w:pPr>
              <w:pStyle w:val="TableBodyText"/>
            </w:pPr>
            <w:r>
              <w:t>MenuAsianLayout</w:t>
            </w:r>
          </w:p>
        </w:tc>
        <w:tc>
          <w:tcPr>
            <w:tcW w:w="0" w:type="auto"/>
            <w:vAlign w:val="center"/>
          </w:tcPr>
          <w:p w:rsidR="005F78FC" w:rsidRDefault="00B42EF3">
            <w:pPr>
              <w:pStyle w:val="TableBodyText"/>
            </w:pPr>
            <w:r>
              <w:t>169F</w:t>
            </w:r>
          </w:p>
        </w:tc>
      </w:tr>
      <w:tr w:rsidR="005F78FC" w:rsidTr="005F78FC">
        <w:tc>
          <w:tcPr>
            <w:tcW w:w="0" w:type="auto"/>
            <w:vAlign w:val="center"/>
          </w:tcPr>
          <w:p w:rsidR="005F78FC" w:rsidRDefault="00B42EF3">
            <w:pPr>
              <w:pStyle w:val="TableBodyText"/>
            </w:pPr>
            <w:r>
              <w:t>MenuAutoText</w:t>
            </w:r>
          </w:p>
        </w:tc>
        <w:tc>
          <w:tcPr>
            <w:tcW w:w="0" w:type="auto"/>
            <w:vAlign w:val="center"/>
          </w:tcPr>
          <w:p w:rsidR="005F78FC" w:rsidRDefault="00B42EF3">
            <w:pPr>
              <w:pStyle w:val="TableBodyText"/>
            </w:pPr>
            <w:r>
              <w:t>1685</w:t>
            </w:r>
          </w:p>
        </w:tc>
      </w:tr>
      <w:tr w:rsidR="005F78FC" w:rsidTr="005F78FC">
        <w:tc>
          <w:tcPr>
            <w:tcW w:w="0" w:type="auto"/>
            <w:vAlign w:val="center"/>
          </w:tcPr>
          <w:p w:rsidR="005F78FC" w:rsidRDefault="00B42EF3">
            <w:pPr>
              <w:pStyle w:val="TableBodyText"/>
            </w:pPr>
            <w:r>
              <w:t>MenuAutoTextList</w:t>
            </w:r>
          </w:p>
        </w:tc>
        <w:tc>
          <w:tcPr>
            <w:tcW w:w="0" w:type="auto"/>
            <w:vAlign w:val="center"/>
          </w:tcPr>
          <w:p w:rsidR="005F78FC" w:rsidRDefault="00B42EF3">
            <w:pPr>
              <w:pStyle w:val="TableBodyText"/>
            </w:pPr>
            <w:r>
              <w:t>168D</w:t>
            </w:r>
          </w:p>
        </w:tc>
      </w:tr>
      <w:tr w:rsidR="005F78FC" w:rsidTr="005F78FC">
        <w:tc>
          <w:tcPr>
            <w:tcW w:w="0" w:type="auto"/>
            <w:vAlign w:val="center"/>
          </w:tcPr>
          <w:p w:rsidR="005F78FC" w:rsidRDefault="00B42EF3">
            <w:pPr>
              <w:pStyle w:val="TableBodyText"/>
            </w:pPr>
            <w:r>
              <w:t>MenuBorder</w:t>
            </w:r>
          </w:p>
        </w:tc>
        <w:tc>
          <w:tcPr>
            <w:tcW w:w="0" w:type="auto"/>
            <w:vAlign w:val="center"/>
          </w:tcPr>
          <w:p w:rsidR="005F78FC" w:rsidRDefault="00B42EF3">
            <w:pPr>
              <w:pStyle w:val="TableBodyText"/>
            </w:pPr>
            <w:r>
              <w:t>1652</w:t>
            </w:r>
          </w:p>
        </w:tc>
      </w:tr>
      <w:tr w:rsidR="005F78FC" w:rsidTr="005F78FC">
        <w:tc>
          <w:tcPr>
            <w:tcW w:w="0" w:type="auto"/>
            <w:vAlign w:val="center"/>
          </w:tcPr>
          <w:p w:rsidR="005F78FC" w:rsidRDefault="00B42EF3">
            <w:pPr>
              <w:pStyle w:val="TableBodyText"/>
            </w:pPr>
            <w:r>
              <w:t>MenuCellAlignment</w:t>
            </w:r>
          </w:p>
        </w:tc>
        <w:tc>
          <w:tcPr>
            <w:tcW w:w="0" w:type="auto"/>
            <w:vAlign w:val="center"/>
          </w:tcPr>
          <w:p w:rsidR="005F78FC" w:rsidRDefault="00B42EF3">
            <w:pPr>
              <w:pStyle w:val="TableBodyText"/>
            </w:pPr>
            <w:r>
              <w:t>169C</w:t>
            </w:r>
          </w:p>
        </w:tc>
      </w:tr>
      <w:tr w:rsidR="005F78FC" w:rsidTr="005F78FC">
        <w:tc>
          <w:tcPr>
            <w:tcW w:w="0" w:type="auto"/>
            <w:vAlign w:val="center"/>
          </w:tcPr>
          <w:p w:rsidR="005F78FC" w:rsidRDefault="00B42EF3">
            <w:pPr>
              <w:pStyle w:val="TableBodyText"/>
            </w:pPr>
            <w:r>
              <w:t>MenuCellAlignmentNoTearoff</w:t>
            </w:r>
          </w:p>
        </w:tc>
        <w:tc>
          <w:tcPr>
            <w:tcW w:w="0" w:type="auto"/>
            <w:vAlign w:val="center"/>
          </w:tcPr>
          <w:p w:rsidR="005F78FC" w:rsidRDefault="00B42EF3">
            <w:pPr>
              <w:pStyle w:val="TableBodyText"/>
            </w:pPr>
            <w:r>
              <w:t>16C6</w:t>
            </w:r>
          </w:p>
        </w:tc>
      </w:tr>
      <w:tr w:rsidR="005F78FC" w:rsidTr="005F78FC">
        <w:tc>
          <w:tcPr>
            <w:tcW w:w="0" w:type="auto"/>
            <w:vAlign w:val="center"/>
          </w:tcPr>
          <w:p w:rsidR="005F78FC" w:rsidRDefault="00B42EF3">
            <w:pPr>
              <w:pStyle w:val="TableBodyText"/>
            </w:pPr>
            <w:r>
              <w:t>MenuCellVerticalAlign</w:t>
            </w:r>
          </w:p>
        </w:tc>
        <w:tc>
          <w:tcPr>
            <w:tcW w:w="0" w:type="auto"/>
            <w:vAlign w:val="center"/>
          </w:tcPr>
          <w:p w:rsidR="005F78FC" w:rsidRDefault="00B42EF3">
            <w:pPr>
              <w:pStyle w:val="TableBodyText"/>
            </w:pPr>
            <w:r>
              <w:t>1689</w:t>
            </w:r>
          </w:p>
        </w:tc>
      </w:tr>
      <w:tr w:rsidR="005F78FC" w:rsidTr="005F78FC">
        <w:tc>
          <w:tcPr>
            <w:tcW w:w="0" w:type="auto"/>
            <w:vAlign w:val="center"/>
          </w:tcPr>
          <w:p w:rsidR="005F78FC" w:rsidRDefault="00B42EF3">
            <w:pPr>
              <w:pStyle w:val="TableBodyText"/>
            </w:pPr>
            <w:r>
              <w:t>MenuClear</w:t>
            </w:r>
          </w:p>
        </w:tc>
        <w:tc>
          <w:tcPr>
            <w:tcW w:w="0" w:type="auto"/>
            <w:vAlign w:val="center"/>
          </w:tcPr>
          <w:p w:rsidR="005F78FC" w:rsidRDefault="00B42EF3">
            <w:pPr>
              <w:pStyle w:val="TableBodyText"/>
            </w:pPr>
            <w:r>
              <w:t>16B0</w:t>
            </w:r>
          </w:p>
        </w:tc>
      </w:tr>
      <w:tr w:rsidR="005F78FC" w:rsidTr="005F78FC">
        <w:tc>
          <w:tcPr>
            <w:tcW w:w="0" w:type="auto"/>
            <w:vAlign w:val="center"/>
          </w:tcPr>
          <w:p w:rsidR="005F78FC" w:rsidRDefault="00B42EF3">
            <w:pPr>
              <w:pStyle w:val="TableBodyText"/>
            </w:pPr>
            <w:r>
              <w:t>MenuDiagramConvertTo</w:t>
            </w:r>
          </w:p>
        </w:tc>
        <w:tc>
          <w:tcPr>
            <w:tcW w:w="0" w:type="auto"/>
            <w:vAlign w:val="center"/>
          </w:tcPr>
          <w:p w:rsidR="005F78FC" w:rsidRDefault="00B42EF3">
            <w:pPr>
              <w:pStyle w:val="TableBodyText"/>
            </w:pPr>
            <w:r>
              <w:t>16B7</w:t>
            </w:r>
          </w:p>
        </w:tc>
      </w:tr>
      <w:tr w:rsidR="005F78FC" w:rsidTr="005F78FC">
        <w:tc>
          <w:tcPr>
            <w:tcW w:w="0" w:type="auto"/>
            <w:vAlign w:val="center"/>
          </w:tcPr>
          <w:p w:rsidR="005F78FC" w:rsidRDefault="00B42EF3">
            <w:pPr>
              <w:pStyle w:val="TableBodyText"/>
            </w:pPr>
            <w:r>
              <w:t>MenuDiagramLayout</w:t>
            </w:r>
          </w:p>
        </w:tc>
        <w:tc>
          <w:tcPr>
            <w:tcW w:w="0" w:type="auto"/>
            <w:vAlign w:val="center"/>
          </w:tcPr>
          <w:p w:rsidR="005F78FC" w:rsidRDefault="00B42EF3">
            <w:pPr>
              <w:pStyle w:val="TableBodyText"/>
            </w:pPr>
            <w:r>
              <w:t>16B1</w:t>
            </w:r>
          </w:p>
        </w:tc>
      </w:tr>
      <w:tr w:rsidR="005F78FC" w:rsidTr="005F78FC">
        <w:tc>
          <w:tcPr>
            <w:tcW w:w="0" w:type="auto"/>
            <w:vAlign w:val="center"/>
          </w:tcPr>
          <w:p w:rsidR="005F78FC" w:rsidRDefault="00B42EF3">
            <w:pPr>
              <w:pStyle w:val="TableBodyText"/>
            </w:pPr>
            <w:r>
              <w:t>MenuDraw</w:t>
            </w:r>
          </w:p>
        </w:tc>
        <w:tc>
          <w:tcPr>
            <w:tcW w:w="0" w:type="auto"/>
            <w:vAlign w:val="center"/>
          </w:tcPr>
          <w:p w:rsidR="005F78FC" w:rsidRDefault="00B42EF3">
            <w:pPr>
              <w:pStyle w:val="TableBodyText"/>
            </w:pPr>
            <w:r>
              <w:t>1655</w:t>
            </w:r>
          </w:p>
        </w:tc>
      </w:tr>
      <w:tr w:rsidR="005F78FC" w:rsidTr="005F78FC">
        <w:tc>
          <w:tcPr>
            <w:tcW w:w="0" w:type="auto"/>
            <w:vAlign w:val="center"/>
          </w:tcPr>
          <w:p w:rsidR="005F78FC" w:rsidRDefault="00B42EF3">
            <w:pPr>
              <w:pStyle w:val="TableBodyText"/>
            </w:pPr>
            <w:r>
              <w:t>MenuEdit</w:t>
            </w:r>
          </w:p>
        </w:tc>
        <w:tc>
          <w:tcPr>
            <w:tcW w:w="0" w:type="auto"/>
            <w:vAlign w:val="center"/>
          </w:tcPr>
          <w:p w:rsidR="005F78FC" w:rsidRDefault="00B42EF3">
            <w:pPr>
              <w:pStyle w:val="TableBodyText"/>
            </w:pPr>
            <w:r>
              <w:t>1645</w:t>
            </w:r>
          </w:p>
        </w:tc>
      </w:tr>
      <w:tr w:rsidR="005F78FC" w:rsidTr="005F78FC">
        <w:tc>
          <w:tcPr>
            <w:tcW w:w="0" w:type="auto"/>
            <w:vAlign w:val="center"/>
          </w:tcPr>
          <w:p w:rsidR="005F78FC" w:rsidRDefault="00B42EF3">
            <w:pPr>
              <w:pStyle w:val="TableBodyText"/>
            </w:pPr>
            <w:r>
              <w:t>MenuEditObject</w:t>
            </w:r>
          </w:p>
        </w:tc>
        <w:tc>
          <w:tcPr>
            <w:tcW w:w="0" w:type="auto"/>
            <w:vAlign w:val="center"/>
          </w:tcPr>
          <w:p w:rsidR="005F78FC" w:rsidRDefault="00B42EF3">
            <w:pPr>
              <w:pStyle w:val="TableBodyText"/>
            </w:pPr>
            <w:r>
              <w:t>168A</w:t>
            </w:r>
          </w:p>
        </w:tc>
      </w:tr>
      <w:tr w:rsidR="005F78FC" w:rsidTr="005F78FC">
        <w:tc>
          <w:tcPr>
            <w:tcW w:w="0" w:type="auto"/>
            <w:vAlign w:val="center"/>
          </w:tcPr>
          <w:p w:rsidR="005F78FC" w:rsidRDefault="00B42EF3">
            <w:pPr>
              <w:pStyle w:val="TableBodyText"/>
            </w:pPr>
            <w:r>
              <w:t>MenuFile</w:t>
            </w:r>
          </w:p>
        </w:tc>
        <w:tc>
          <w:tcPr>
            <w:tcW w:w="0" w:type="auto"/>
            <w:vAlign w:val="center"/>
          </w:tcPr>
          <w:p w:rsidR="005F78FC" w:rsidRDefault="00B42EF3">
            <w:pPr>
              <w:pStyle w:val="TableBodyText"/>
            </w:pPr>
            <w:r>
              <w:t>1644</w:t>
            </w:r>
          </w:p>
        </w:tc>
      </w:tr>
      <w:tr w:rsidR="005F78FC" w:rsidTr="005F78FC">
        <w:tc>
          <w:tcPr>
            <w:tcW w:w="0" w:type="auto"/>
            <w:vAlign w:val="center"/>
          </w:tcPr>
          <w:p w:rsidR="005F78FC" w:rsidRDefault="00B42EF3">
            <w:pPr>
              <w:pStyle w:val="TableBodyText"/>
            </w:pPr>
            <w:r>
              <w:t>MenuFinalizeDocument</w:t>
            </w:r>
          </w:p>
        </w:tc>
        <w:tc>
          <w:tcPr>
            <w:tcW w:w="0" w:type="auto"/>
            <w:vAlign w:val="center"/>
          </w:tcPr>
          <w:p w:rsidR="005F78FC" w:rsidRDefault="00B42EF3">
            <w:pPr>
              <w:pStyle w:val="TableBodyText"/>
            </w:pPr>
            <w:r>
              <w:t>0841</w:t>
            </w:r>
          </w:p>
        </w:tc>
      </w:tr>
      <w:tr w:rsidR="005F78FC" w:rsidTr="005F78FC">
        <w:tc>
          <w:tcPr>
            <w:tcW w:w="0" w:type="auto"/>
            <w:vAlign w:val="center"/>
          </w:tcPr>
          <w:p w:rsidR="005F78FC" w:rsidRDefault="00B42EF3">
            <w:pPr>
              <w:pStyle w:val="TableBodyText"/>
            </w:pPr>
            <w:r>
              <w:t>MenuFixSpellingAC</w:t>
            </w:r>
          </w:p>
        </w:tc>
        <w:tc>
          <w:tcPr>
            <w:tcW w:w="0" w:type="auto"/>
            <w:vAlign w:val="center"/>
          </w:tcPr>
          <w:p w:rsidR="005F78FC" w:rsidRDefault="00B42EF3">
            <w:pPr>
              <w:pStyle w:val="TableBodyText"/>
            </w:pPr>
            <w:r>
              <w:t>1683</w:t>
            </w:r>
          </w:p>
        </w:tc>
      </w:tr>
      <w:tr w:rsidR="005F78FC" w:rsidTr="005F78FC">
        <w:tc>
          <w:tcPr>
            <w:tcW w:w="0" w:type="auto"/>
            <w:vAlign w:val="center"/>
          </w:tcPr>
          <w:p w:rsidR="005F78FC" w:rsidRDefault="00B42EF3">
            <w:pPr>
              <w:pStyle w:val="TableBodyText"/>
            </w:pPr>
            <w:r>
              <w:t>MenuFixSpellingLang</w:t>
            </w:r>
          </w:p>
        </w:tc>
        <w:tc>
          <w:tcPr>
            <w:tcW w:w="0" w:type="auto"/>
            <w:vAlign w:val="center"/>
          </w:tcPr>
          <w:p w:rsidR="005F78FC" w:rsidRDefault="00B42EF3">
            <w:pPr>
              <w:pStyle w:val="TableBodyText"/>
            </w:pPr>
            <w:r>
              <w:t>1680</w:t>
            </w:r>
          </w:p>
        </w:tc>
      </w:tr>
      <w:tr w:rsidR="005F78FC" w:rsidTr="005F78FC">
        <w:tc>
          <w:tcPr>
            <w:tcW w:w="0" w:type="auto"/>
            <w:vAlign w:val="center"/>
          </w:tcPr>
          <w:p w:rsidR="005F78FC" w:rsidRDefault="00B42EF3">
            <w:pPr>
              <w:pStyle w:val="TableBodyText"/>
            </w:pPr>
            <w:r>
              <w:t>MenuFont</w:t>
            </w:r>
          </w:p>
        </w:tc>
        <w:tc>
          <w:tcPr>
            <w:tcW w:w="0" w:type="auto"/>
            <w:vAlign w:val="center"/>
          </w:tcPr>
          <w:p w:rsidR="005F78FC" w:rsidRDefault="00B42EF3">
            <w:pPr>
              <w:pStyle w:val="TableBodyText"/>
            </w:pPr>
            <w:r>
              <w:t>164E</w:t>
            </w:r>
          </w:p>
        </w:tc>
      </w:tr>
      <w:tr w:rsidR="005F78FC" w:rsidTr="005F78FC">
        <w:tc>
          <w:tcPr>
            <w:tcW w:w="0" w:type="auto"/>
            <w:vAlign w:val="center"/>
          </w:tcPr>
          <w:p w:rsidR="005F78FC" w:rsidRDefault="00B42EF3">
            <w:pPr>
              <w:pStyle w:val="TableBodyText"/>
            </w:pPr>
            <w:r>
              <w:t>MenuFormat</w:t>
            </w:r>
          </w:p>
        </w:tc>
        <w:tc>
          <w:tcPr>
            <w:tcW w:w="0" w:type="auto"/>
            <w:vAlign w:val="center"/>
          </w:tcPr>
          <w:p w:rsidR="005F78FC" w:rsidRDefault="00B42EF3">
            <w:pPr>
              <w:pStyle w:val="TableBodyText"/>
            </w:pPr>
            <w:r>
              <w:t>1648</w:t>
            </w:r>
          </w:p>
        </w:tc>
      </w:tr>
      <w:tr w:rsidR="005F78FC" w:rsidTr="005F78FC">
        <w:tc>
          <w:tcPr>
            <w:tcW w:w="0" w:type="auto"/>
            <w:vAlign w:val="center"/>
          </w:tcPr>
          <w:p w:rsidR="005F78FC" w:rsidRDefault="00B42EF3">
            <w:pPr>
              <w:pStyle w:val="TableBodyText"/>
            </w:pPr>
            <w:r>
              <w:t>MenuFormatBackground</w:t>
            </w:r>
          </w:p>
        </w:tc>
        <w:tc>
          <w:tcPr>
            <w:tcW w:w="0" w:type="auto"/>
            <w:vAlign w:val="center"/>
          </w:tcPr>
          <w:p w:rsidR="005F78FC" w:rsidRDefault="00B42EF3">
            <w:pPr>
              <w:pStyle w:val="TableBodyText"/>
            </w:pPr>
            <w:r>
              <w:t>1682</w:t>
            </w:r>
          </w:p>
        </w:tc>
      </w:tr>
      <w:tr w:rsidR="005F78FC" w:rsidTr="005F78FC">
        <w:tc>
          <w:tcPr>
            <w:tcW w:w="0" w:type="auto"/>
            <w:vAlign w:val="center"/>
          </w:tcPr>
          <w:p w:rsidR="005F78FC" w:rsidRDefault="00B42EF3">
            <w:pPr>
              <w:pStyle w:val="TableBodyText"/>
            </w:pPr>
            <w:r>
              <w:t>MenuFrameset</w:t>
            </w:r>
          </w:p>
        </w:tc>
        <w:tc>
          <w:tcPr>
            <w:tcW w:w="0" w:type="auto"/>
            <w:vAlign w:val="center"/>
          </w:tcPr>
          <w:p w:rsidR="005F78FC" w:rsidRDefault="00B42EF3">
            <w:pPr>
              <w:pStyle w:val="TableBodyText"/>
            </w:pPr>
            <w:r>
              <w:t>167E</w:t>
            </w:r>
          </w:p>
        </w:tc>
      </w:tr>
      <w:tr w:rsidR="005F78FC" w:rsidTr="005F78FC">
        <w:tc>
          <w:tcPr>
            <w:tcW w:w="0" w:type="auto"/>
            <w:vAlign w:val="center"/>
          </w:tcPr>
          <w:p w:rsidR="005F78FC" w:rsidRDefault="00B42EF3">
            <w:pPr>
              <w:pStyle w:val="TableBodyText"/>
            </w:pPr>
            <w:r>
              <w:t>MenuHelp</w:t>
            </w:r>
          </w:p>
        </w:tc>
        <w:tc>
          <w:tcPr>
            <w:tcW w:w="0" w:type="auto"/>
            <w:vAlign w:val="center"/>
          </w:tcPr>
          <w:p w:rsidR="005F78FC" w:rsidRDefault="00B42EF3">
            <w:pPr>
              <w:pStyle w:val="TableBodyText"/>
            </w:pPr>
            <w:r>
              <w:t>164C</w:t>
            </w:r>
          </w:p>
        </w:tc>
      </w:tr>
      <w:tr w:rsidR="005F78FC" w:rsidTr="005F78FC">
        <w:tc>
          <w:tcPr>
            <w:tcW w:w="0" w:type="auto"/>
            <w:vAlign w:val="center"/>
          </w:tcPr>
          <w:p w:rsidR="005F78FC" w:rsidRDefault="00B42EF3">
            <w:pPr>
              <w:pStyle w:val="TableBodyText"/>
            </w:pPr>
            <w:r>
              <w:t>MenuHyperlinkSub</w:t>
            </w:r>
          </w:p>
        </w:tc>
        <w:tc>
          <w:tcPr>
            <w:tcW w:w="0" w:type="auto"/>
            <w:vAlign w:val="center"/>
          </w:tcPr>
          <w:p w:rsidR="005F78FC" w:rsidRDefault="00B42EF3">
            <w:pPr>
              <w:pStyle w:val="TableBodyText"/>
            </w:pPr>
            <w:r>
              <w:t>1688</w:t>
            </w:r>
          </w:p>
        </w:tc>
      </w:tr>
      <w:tr w:rsidR="005F78FC" w:rsidTr="005F78FC">
        <w:tc>
          <w:tcPr>
            <w:tcW w:w="0" w:type="auto"/>
            <w:vAlign w:val="center"/>
          </w:tcPr>
          <w:p w:rsidR="005F78FC" w:rsidRDefault="00B42EF3">
            <w:pPr>
              <w:pStyle w:val="TableBodyText"/>
            </w:pPr>
            <w:r>
              <w:t>MenuInsert</w:t>
            </w:r>
          </w:p>
        </w:tc>
        <w:tc>
          <w:tcPr>
            <w:tcW w:w="0" w:type="auto"/>
            <w:vAlign w:val="center"/>
          </w:tcPr>
          <w:p w:rsidR="005F78FC" w:rsidRDefault="00B42EF3">
            <w:pPr>
              <w:pStyle w:val="TableBodyText"/>
            </w:pPr>
            <w:r>
              <w:t>1647</w:t>
            </w:r>
          </w:p>
        </w:tc>
      </w:tr>
      <w:tr w:rsidR="005F78FC" w:rsidTr="005F78FC">
        <w:tc>
          <w:tcPr>
            <w:tcW w:w="0" w:type="auto"/>
            <w:vAlign w:val="center"/>
          </w:tcPr>
          <w:p w:rsidR="005F78FC" w:rsidRDefault="00B42EF3">
            <w:pPr>
              <w:pStyle w:val="TableBodyText"/>
            </w:pPr>
            <w:r>
              <w:t>MenuInsertFrame</w:t>
            </w:r>
          </w:p>
        </w:tc>
        <w:tc>
          <w:tcPr>
            <w:tcW w:w="0" w:type="auto"/>
            <w:vAlign w:val="center"/>
          </w:tcPr>
          <w:p w:rsidR="005F78FC" w:rsidRDefault="00B42EF3">
            <w:pPr>
              <w:pStyle w:val="TableBodyText"/>
            </w:pPr>
            <w:r>
              <w:t>1654</w:t>
            </w:r>
          </w:p>
        </w:tc>
      </w:tr>
      <w:tr w:rsidR="005F78FC" w:rsidTr="005F78FC">
        <w:tc>
          <w:tcPr>
            <w:tcW w:w="0" w:type="auto"/>
            <w:vAlign w:val="center"/>
          </w:tcPr>
          <w:p w:rsidR="005F78FC" w:rsidRDefault="00B42EF3">
            <w:pPr>
              <w:pStyle w:val="TableBodyText"/>
            </w:pPr>
            <w:r>
              <w:t>MenuLanguage</w:t>
            </w:r>
          </w:p>
        </w:tc>
        <w:tc>
          <w:tcPr>
            <w:tcW w:w="0" w:type="auto"/>
            <w:vAlign w:val="center"/>
          </w:tcPr>
          <w:p w:rsidR="005F78FC" w:rsidRDefault="00B42EF3">
            <w:pPr>
              <w:pStyle w:val="TableBodyText"/>
            </w:pPr>
            <w:r>
              <w:t>1650</w:t>
            </w:r>
          </w:p>
        </w:tc>
      </w:tr>
      <w:tr w:rsidR="005F78FC" w:rsidTr="005F78FC">
        <w:tc>
          <w:tcPr>
            <w:tcW w:w="0" w:type="auto"/>
            <w:vAlign w:val="center"/>
          </w:tcPr>
          <w:p w:rsidR="005F78FC" w:rsidRDefault="00B42EF3">
            <w:pPr>
              <w:pStyle w:val="TableBodyText"/>
            </w:pPr>
            <w:r>
              <w:lastRenderedPageBreak/>
              <w:t>MenuLettersMail</w:t>
            </w:r>
          </w:p>
        </w:tc>
        <w:tc>
          <w:tcPr>
            <w:tcW w:w="0" w:type="auto"/>
            <w:vAlign w:val="center"/>
          </w:tcPr>
          <w:p w:rsidR="005F78FC" w:rsidRDefault="00B42EF3">
            <w:pPr>
              <w:pStyle w:val="TableBodyText"/>
            </w:pPr>
            <w:r>
              <w:t>16AF</w:t>
            </w:r>
          </w:p>
        </w:tc>
      </w:tr>
      <w:tr w:rsidR="005F78FC" w:rsidTr="005F78FC">
        <w:tc>
          <w:tcPr>
            <w:tcW w:w="0" w:type="auto"/>
            <w:vAlign w:val="center"/>
          </w:tcPr>
          <w:p w:rsidR="005F78FC" w:rsidRDefault="00B42EF3">
            <w:pPr>
              <w:pStyle w:val="TableBodyText"/>
            </w:pPr>
            <w:r>
              <w:t>MenuMacro</w:t>
            </w:r>
          </w:p>
        </w:tc>
        <w:tc>
          <w:tcPr>
            <w:tcW w:w="0" w:type="auto"/>
            <w:vAlign w:val="center"/>
          </w:tcPr>
          <w:p w:rsidR="005F78FC" w:rsidRDefault="00B42EF3">
            <w:pPr>
              <w:pStyle w:val="TableBodyText"/>
            </w:pPr>
            <w:r>
              <w:t>1686</w:t>
            </w:r>
          </w:p>
        </w:tc>
      </w:tr>
      <w:tr w:rsidR="005F78FC" w:rsidTr="005F78FC">
        <w:tc>
          <w:tcPr>
            <w:tcW w:w="0" w:type="auto"/>
            <w:vAlign w:val="center"/>
          </w:tcPr>
          <w:p w:rsidR="005F78FC" w:rsidRDefault="00B42EF3">
            <w:pPr>
              <w:pStyle w:val="TableBodyText"/>
            </w:pPr>
            <w:r>
              <w:t>MenuManageDocument</w:t>
            </w:r>
          </w:p>
        </w:tc>
        <w:tc>
          <w:tcPr>
            <w:tcW w:w="0" w:type="auto"/>
            <w:vAlign w:val="center"/>
          </w:tcPr>
          <w:p w:rsidR="005F78FC" w:rsidRDefault="00B42EF3">
            <w:pPr>
              <w:pStyle w:val="TableBodyText"/>
            </w:pPr>
            <w:r>
              <w:t>083F</w:t>
            </w:r>
          </w:p>
        </w:tc>
      </w:tr>
      <w:tr w:rsidR="005F78FC" w:rsidTr="005F78FC">
        <w:tc>
          <w:tcPr>
            <w:tcW w:w="0" w:type="auto"/>
            <w:vAlign w:val="center"/>
          </w:tcPr>
          <w:p w:rsidR="005F78FC" w:rsidRDefault="00B42EF3">
            <w:pPr>
              <w:pStyle w:val="TableBodyText"/>
            </w:pPr>
            <w:r>
              <w:t>MenuMicrosoftOnTheWeb</w:t>
            </w:r>
          </w:p>
        </w:tc>
        <w:tc>
          <w:tcPr>
            <w:tcW w:w="0" w:type="auto"/>
            <w:vAlign w:val="center"/>
          </w:tcPr>
          <w:p w:rsidR="005F78FC" w:rsidRDefault="00B42EF3">
            <w:pPr>
              <w:pStyle w:val="TableBodyText"/>
            </w:pPr>
            <w:r>
              <w:t>1651</w:t>
            </w:r>
          </w:p>
        </w:tc>
      </w:tr>
      <w:tr w:rsidR="005F78FC" w:rsidTr="005F78FC">
        <w:tc>
          <w:tcPr>
            <w:tcW w:w="0" w:type="auto"/>
            <w:vAlign w:val="center"/>
          </w:tcPr>
          <w:p w:rsidR="005F78FC" w:rsidRDefault="00B42EF3">
            <w:pPr>
              <w:pStyle w:val="TableBodyText"/>
            </w:pPr>
            <w:r>
              <w:t>MenuMode</w:t>
            </w:r>
          </w:p>
        </w:tc>
        <w:tc>
          <w:tcPr>
            <w:tcW w:w="0" w:type="auto"/>
            <w:vAlign w:val="center"/>
          </w:tcPr>
          <w:p w:rsidR="005F78FC" w:rsidRDefault="00B42EF3">
            <w:pPr>
              <w:pStyle w:val="TableBodyText"/>
            </w:pPr>
            <w:r>
              <w:t>0125</w:t>
            </w:r>
          </w:p>
        </w:tc>
      </w:tr>
      <w:tr w:rsidR="005F78FC" w:rsidTr="005F78FC">
        <w:tc>
          <w:tcPr>
            <w:tcW w:w="0" w:type="auto"/>
            <w:vAlign w:val="center"/>
          </w:tcPr>
          <w:p w:rsidR="005F78FC" w:rsidRDefault="00B42EF3">
            <w:pPr>
              <w:pStyle w:val="TableBodyText"/>
            </w:pPr>
            <w:r>
              <w:t>MenuNotesFlow</w:t>
            </w:r>
          </w:p>
        </w:tc>
        <w:tc>
          <w:tcPr>
            <w:tcW w:w="0" w:type="auto"/>
            <w:vAlign w:val="center"/>
          </w:tcPr>
          <w:p w:rsidR="005F78FC" w:rsidRDefault="00B42EF3">
            <w:pPr>
              <w:pStyle w:val="TableBodyText"/>
            </w:pPr>
            <w:r>
              <w:t>036F</w:t>
            </w:r>
          </w:p>
        </w:tc>
      </w:tr>
      <w:tr w:rsidR="005F78FC" w:rsidTr="005F78FC">
        <w:tc>
          <w:tcPr>
            <w:tcW w:w="0" w:type="auto"/>
            <w:vAlign w:val="center"/>
          </w:tcPr>
          <w:p w:rsidR="005F78FC" w:rsidRDefault="00B42EF3">
            <w:pPr>
              <w:pStyle w:val="TableBodyText"/>
            </w:pPr>
            <w:r>
              <w:t>MenuOrgChartInsert</w:t>
            </w:r>
          </w:p>
        </w:tc>
        <w:tc>
          <w:tcPr>
            <w:tcW w:w="0" w:type="auto"/>
            <w:vAlign w:val="center"/>
          </w:tcPr>
          <w:p w:rsidR="005F78FC" w:rsidRDefault="00B42EF3">
            <w:pPr>
              <w:pStyle w:val="TableBodyText"/>
            </w:pPr>
            <w:r>
              <w:t>16B6</w:t>
            </w:r>
          </w:p>
        </w:tc>
      </w:tr>
      <w:tr w:rsidR="005F78FC" w:rsidTr="005F78FC">
        <w:tc>
          <w:tcPr>
            <w:tcW w:w="0" w:type="auto"/>
            <w:vAlign w:val="center"/>
          </w:tcPr>
          <w:p w:rsidR="005F78FC" w:rsidRDefault="00B42EF3">
            <w:pPr>
              <w:pStyle w:val="TableBodyText"/>
            </w:pPr>
            <w:r>
              <w:t>MenuOrgChartLayout</w:t>
            </w:r>
          </w:p>
        </w:tc>
        <w:tc>
          <w:tcPr>
            <w:tcW w:w="0" w:type="auto"/>
            <w:vAlign w:val="center"/>
          </w:tcPr>
          <w:p w:rsidR="005F78FC" w:rsidRDefault="00B42EF3">
            <w:pPr>
              <w:pStyle w:val="TableBodyText"/>
            </w:pPr>
            <w:r>
              <w:t>16AB</w:t>
            </w:r>
          </w:p>
        </w:tc>
      </w:tr>
      <w:tr w:rsidR="005F78FC" w:rsidTr="005F78FC">
        <w:tc>
          <w:tcPr>
            <w:tcW w:w="0" w:type="auto"/>
            <w:vAlign w:val="center"/>
          </w:tcPr>
          <w:p w:rsidR="005F78FC" w:rsidRDefault="00B42EF3">
            <w:pPr>
              <w:pStyle w:val="TableBodyText"/>
            </w:pPr>
            <w:r>
              <w:t>MenuOrgChartSelect</w:t>
            </w:r>
          </w:p>
        </w:tc>
        <w:tc>
          <w:tcPr>
            <w:tcW w:w="0" w:type="auto"/>
            <w:vAlign w:val="center"/>
          </w:tcPr>
          <w:p w:rsidR="005F78FC" w:rsidRDefault="00B42EF3">
            <w:pPr>
              <w:pStyle w:val="TableBodyText"/>
            </w:pPr>
            <w:r>
              <w:t>167A</w:t>
            </w:r>
          </w:p>
        </w:tc>
      </w:tr>
      <w:tr w:rsidR="005F78FC" w:rsidTr="005F78FC">
        <w:tc>
          <w:tcPr>
            <w:tcW w:w="0" w:type="auto"/>
            <w:vAlign w:val="center"/>
          </w:tcPr>
          <w:p w:rsidR="005F78FC" w:rsidRDefault="00B42EF3">
            <w:pPr>
              <w:pStyle w:val="TableBodyText"/>
            </w:pPr>
            <w:r>
              <w:t>MenuPicture</w:t>
            </w:r>
          </w:p>
        </w:tc>
        <w:tc>
          <w:tcPr>
            <w:tcW w:w="0" w:type="auto"/>
            <w:vAlign w:val="center"/>
          </w:tcPr>
          <w:p w:rsidR="005F78FC" w:rsidRDefault="00B42EF3">
            <w:pPr>
              <w:pStyle w:val="TableBodyText"/>
            </w:pPr>
            <w:r>
              <w:t>1684</w:t>
            </w:r>
          </w:p>
        </w:tc>
      </w:tr>
      <w:tr w:rsidR="005F78FC" w:rsidTr="005F78FC">
        <w:tc>
          <w:tcPr>
            <w:tcW w:w="0" w:type="auto"/>
            <w:vAlign w:val="center"/>
          </w:tcPr>
          <w:p w:rsidR="005F78FC" w:rsidRDefault="00B42EF3">
            <w:pPr>
              <w:pStyle w:val="TableBodyText"/>
            </w:pPr>
            <w:r>
              <w:t>MenuPowerTalk</w:t>
            </w:r>
          </w:p>
        </w:tc>
        <w:tc>
          <w:tcPr>
            <w:tcW w:w="0" w:type="auto"/>
            <w:vAlign w:val="center"/>
          </w:tcPr>
          <w:p w:rsidR="005F78FC" w:rsidRDefault="00B42EF3">
            <w:pPr>
              <w:pStyle w:val="TableBodyText"/>
            </w:pPr>
            <w:r>
              <w:t>1687</w:t>
            </w:r>
          </w:p>
        </w:tc>
      </w:tr>
      <w:tr w:rsidR="005F78FC" w:rsidTr="005F78FC">
        <w:tc>
          <w:tcPr>
            <w:tcW w:w="0" w:type="auto"/>
            <w:vAlign w:val="center"/>
          </w:tcPr>
          <w:p w:rsidR="005F78FC" w:rsidRDefault="00B42EF3">
            <w:pPr>
              <w:pStyle w:val="TableBodyText"/>
            </w:pPr>
            <w:r>
              <w:t>MenuReadingTools</w:t>
            </w:r>
          </w:p>
        </w:tc>
        <w:tc>
          <w:tcPr>
            <w:tcW w:w="0" w:type="auto"/>
            <w:vAlign w:val="center"/>
          </w:tcPr>
          <w:p w:rsidR="005F78FC" w:rsidRDefault="00B42EF3">
            <w:pPr>
              <w:pStyle w:val="TableBodyText"/>
            </w:pPr>
            <w:r>
              <w:t>0891</w:t>
            </w:r>
          </w:p>
        </w:tc>
      </w:tr>
      <w:tr w:rsidR="005F78FC" w:rsidTr="005F78FC">
        <w:tc>
          <w:tcPr>
            <w:tcW w:w="0" w:type="auto"/>
            <w:vAlign w:val="center"/>
          </w:tcPr>
          <w:p w:rsidR="005F78FC" w:rsidRDefault="00B42EF3">
            <w:pPr>
              <w:pStyle w:val="TableBodyText"/>
            </w:pPr>
            <w:r>
              <w:t>MenuReadingViewOptions</w:t>
            </w:r>
          </w:p>
        </w:tc>
        <w:tc>
          <w:tcPr>
            <w:tcW w:w="0" w:type="auto"/>
            <w:vAlign w:val="center"/>
          </w:tcPr>
          <w:p w:rsidR="005F78FC" w:rsidRDefault="00B42EF3">
            <w:pPr>
              <w:pStyle w:val="TableBodyText"/>
            </w:pPr>
            <w:r>
              <w:t>0896</w:t>
            </w:r>
          </w:p>
        </w:tc>
      </w:tr>
      <w:tr w:rsidR="005F78FC" w:rsidTr="005F78FC">
        <w:tc>
          <w:tcPr>
            <w:tcW w:w="0" w:type="auto"/>
            <w:vAlign w:val="center"/>
          </w:tcPr>
          <w:p w:rsidR="005F78FC" w:rsidRDefault="00B42EF3">
            <w:pPr>
              <w:pStyle w:val="TableBodyText"/>
            </w:pPr>
            <w:r>
              <w:t>MenuReference</w:t>
            </w:r>
          </w:p>
        </w:tc>
        <w:tc>
          <w:tcPr>
            <w:tcW w:w="0" w:type="auto"/>
            <w:vAlign w:val="center"/>
          </w:tcPr>
          <w:p w:rsidR="005F78FC" w:rsidRDefault="00B42EF3">
            <w:pPr>
              <w:pStyle w:val="TableBodyText"/>
            </w:pPr>
            <w:r>
              <w:t>16AE</w:t>
            </w:r>
          </w:p>
        </w:tc>
      </w:tr>
      <w:tr w:rsidR="005F78FC" w:rsidTr="005F78FC">
        <w:tc>
          <w:tcPr>
            <w:tcW w:w="0" w:type="auto"/>
            <w:vAlign w:val="center"/>
          </w:tcPr>
          <w:p w:rsidR="005F78FC" w:rsidRDefault="00B42EF3">
            <w:pPr>
              <w:pStyle w:val="TableBodyText"/>
            </w:pPr>
            <w:r>
              <w:t>MenuRevisions</w:t>
            </w:r>
          </w:p>
        </w:tc>
        <w:tc>
          <w:tcPr>
            <w:tcW w:w="0" w:type="auto"/>
            <w:vAlign w:val="center"/>
          </w:tcPr>
          <w:p w:rsidR="005F78FC" w:rsidRDefault="00B42EF3">
            <w:pPr>
              <w:pStyle w:val="TableBodyText"/>
            </w:pPr>
            <w:r>
              <w:t>1681</w:t>
            </w:r>
          </w:p>
        </w:tc>
      </w:tr>
      <w:tr w:rsidR="005F78FC" w:rsidTr="005F78FC">
        <w:tc>
          <w:tcPr>
            <w:tcW w:w="0" w:type="auto"/>
            <w:vAlign w:val="center"/>
          </w:tcPr>
          <w:p w:rsidR="005F78FC" w:rsidRDefault="00B42EF3">
            <w:pPr>
              <w:pStyle w:val="TableBodyText"/>
            </w:pPr>
            <w:r>
              <w:t>MenuSendTo</w:t>
            </w:r>
          </w:p>
        </w:tc>
        <w:tc>
          <w:tcPr>
            <w:tcW w:w="0" w:type="auto"/>
            <w:vAlign w:val="center"/>
          </w:tcPr>
          <w:p w:rsidR="005F78FC" w:rsidRDefault="00B42EF3">
            <w:pPr>
              <w:pStyle w:val="TableBodyText"/>
            </w:pPr>
            <w:r>
              <w:t>168B</w:t>
            </w:r>
          </w:p>
        </w:tc>
      </w:tr>
      <w:tr w:rsidR="005F78FC" w:rsidTr="005F78FC">
        <w:tc>
          <w:tcPr>
            <w:tcW w:w="0" w:type="auto"/>
            <w:vAlign w:val="center"/>
          </w:tcPr>
          <w:p w:rsidR="005F78FC" w:rsidRDefault="00B42EF3">
            <w:pPr>
              <w:pStyle w:val="TableBodyText"/>
            </w:pPr>
            <w:r>
              <w:t>MenuShareDocument</w:t>
            </w:r>
          </w:p>
        </w:tc>
        <w:tc>
          <w:tcPr>
            <w:tcW w:w="0" w:type="auto"/>
            <w:vAlign w:val="center"/>
          </w:tcPr>
          <w:p w:rsidR="005F78FC" w:rsidRDefault="00B42EF3">
            <w:pPr>
              <w:pStyle w:val="TableBodyText"/>
            </w:pPr>
            <w:r>
              <w:t>0840</w:t>
            </w:r>
          </w:p>
        </w:tc>
      </w:tr>
      <w:tr w:rsidR="005F78FC" w:rsidTr="005F78FC">
        <w:tc>
          <w:tcPr>
            <w:tcW w:w="0" w:type="auto"/>
            <w:vAlign w:val="center"/>
          </w:tcPr>
          <w:p w:rsidR="005F78FC" w:rsidRDefault="00B42EF3">
            <w:pPr>
              <w:pStyle w:val="TableBodyText"/>
            </w:pPr>
            <w:r>
              <w:t>MenuShowBalloons</w:t>
            </w:r>
          </w:p>
        </w:tc>
        <w:tc>
          <w:tcPr>
            <w:tcW w:w="0" w:type="auto"/>
            <w:vAlign w:val="center"/>
          </w:tcPr>
          <w:p w:rsidR="005F78FC" w:rsidRDefault="00B42EF3">
            <w:pPr>
              <w:pStyle w:val="TableBodyText"/>
            </w:pPr>
            <w:r>
              <w:t>16BC</w:t>
            </w:r>
          </w:p>
        </w:tc>
      </w:tr>
      <w:tr w:rsidR="005F78FC" w:rsidTr="005F78FC">
        <w:tc>
          <w:tcPr>
            <w:tcW w:w="0" w:type="auto"/>
            <w:vAlign w:val="center"/>
          </w:tcPr>
          <w:p w:rsidR="005F78FC" w:rsidRDefault="00B42EF3">
            <w:pPr>
              <w:pStyle w:val="TableBodyText"/>
            </w:pPr>
            <w:r>
              <w:t>MenuShowChanges</w:t>
            </w:r>
          </w:p>
        </w:tc>
        <w:tc>
          <w:tcPr>
            <w:tcW w:w="0" w:type="auto"/>
            <w:vAlign w:val="center"/>
          </w:tcPr>
          <w:p w:rsidR="005F78FC" w:rsidRDefault="00B42EF3">
            <w:pPr>
              <w:pStyle w:val="TableBodyText"/>
            </w:pPr>
            <w:r>
              <w:t>16B3</w:t>
            </w:r>
          </w:p>
        </w:tc>
      </w:tr>
      <w:tr w:rsidR="005F78FC" w:rsidTr="005F78FC">
        <w:tc>
          <w:tcPr>
            <w:tcW w:w="0" w:type="auto"/>
            <w:vAlign w:val="center"/>
          </w:tcPr>
          <w:p w:rsidR="005F78FC" w:rsidRDefault="00B42EF3">
            <w:pPr>
              <w:pStyle w:val="TableBodyText"/>
            </w:pPr>
            <w:r>
              <w:t>MenuShowSourceDocuments</w:t>
            </w:r>
          </w:p>
        </w:tc>
        <w:tc>
          <w:tcPr>
            <w:tcW w:w="0" w:type="auto"/>
            <w:vAlign w:val="center"/>
          </w:tcPr>
          <w:p w:rsidR="005F78FC" w:rsidRDefault="00B42EF3">
            <w:pPr>
              <w:pStyle w:val="TableBodyText"/>
            </w:pPr>
            <w:r>
              <w:t>07AD</w:t>
            </w:r>
          </w:p>
        </w:tc>
      </w:tr>
      <w:tr w:rsidR="005F78FC" w:rsidTr="005F78FC">
        <w:tc>
          <w:tcPr>
            <w:tcW w:w="0" w:type="auto"/>
            <w:vAlign w:val="center"/>
          </w:tcPr>
          <w:p w:rsidR="005F78FC" w:rsidRDefault="00B42EF3">
            <w:pPr>
              <w:pStyle w:val="TableBodyText"/>
            </w:pPr>
            <w:r>
              <w:t>MenuSignaturesDocument</w:t>
            </w:r>
          </w:p>
        </w:tc>
        <w:tc>
          <w:tcPr>
            <w:tcW w:w="0" w:type="auto"/>
            <w:vAlign w:val="center"/>
          </w:tcPr>
          <w:p w:rsidR="005F78FC" w:rsidRDefault="00B42EF3">
            <w:pPr>
              <w:pStyle w:val="TableBodyText"/>
            </w:pPr>
            <w:r>
              <w:t>0842</w:t>
            </w:r>
          </w:p>
        </w:tc>
      </w:tr>
      <w:tr w:rsidR="005F78FC" w:rsidTr="005F78FC">
        <w:tc>
          <w:tcPr>
            <w:tcW w:w="0" w:type="auto"/>
            <w:vAlign w:val="center"/>
          </w:tcPr>
          <w:p w:rsidR="005F78FC" w:rsidRDefault="00B42EF3">
            <w:pPr>
              <w:pStyle w:val="TableBodyText"/>
            </w:pPr>
            <w:r>
              <w:t>MenuTable</w:t>
            </w:r>
          </w:p>
        </w:tc>
        <w:tc>
          <w:tcPr>
            <w:tcW w:w="0" w:type="auto"/>
            <w:vAlign w:val="center"/>
          </w:tcPr>
          <w:p w:rsidR="005F78FC" w:rsidRDefault="00B42EF3">
            <w:pPr>
              <w:pStyle w:val="TableBodyText"/>
            </w:pPr>
            <w:r>
              <w:t>164A</w:t>
            </w:r>
          </w:p>
        </w:tc>
      </w:tr>
      <w:tr w:rsidR="005F78FC" w:rsidTr="005F78FC">
        <w:tc>
          <w:tcPr>
            <w:tcW w:w="0" w:type="auto"/>
            <w:vAlign w:val="center"/>
          </w:tcPr>
          <w:p w:rsidR="005F78FC" w:rsidRDefault="00B42EF3">
            <w:pPr>
              <w:pStyle w:val="TableBodyText"/>
            </w:pPr>
            <w:r>
              <w:t>MenuTableAutoFitLong</w:t>
            </w:r>
          </w:p>
        </w:tc>
        <w:tc>
          <w:tcPr>
            <w:tcW w:w="0" w:type="auto"/>
            <w:vAlign w:val="center"/>
          </w:tcPr>
          <w:p w:rsidR="005F78FC" w:rsidRDefault="00B42EF3">
            <w:pPr>
              <w:pStyle w:val="TableBodyText"/>
            </w:pPr>
            <w:r>
              <w:t>169B</w:t>
            </w:r>
          </w:p>
        </w:tc>
      </w:tr>
      <w:tr w:rsidR="005F78FC" w:rsidTr="005F78FC">
        <w:tc>
          <w:tcPr>
            <w:tcW w:w="0" w:type="auto"/>
            <w:vAlign w:val="center"/>
          </w:tcPr>
          <w:p w:rsidR="005F78FC" w:rsidRDefault="00B42EF3">
            <w:pPr>
              <w:pStyle w:val="TableBodyText"/>
            </w:pPr>
            <w:r>
              <w:t>MenuTableAutoFitShort</w:t>
            </w:r>
          </w:p>
        </w:tc>
        <w:tc>
          <w:tcPr>
            <w:tcW w:w="0" w:type="auto"/>
            <w:vAlign w:val="center"/>
          </w:tcPr>
          <w:p w:rsidR="005F78FC" w:rsidRDefault="00B42EF3">
            <w:pPr>
              <w:pStyle w:val="TableBodyText"/>
            </w:pPr>
            <w:r>
              <w:t>169A</w:t>
            </w:r>
          </w:p>
        </w:tc>
      </w:tr>
      <w:tr w:rsidR="005F78FC" w:rsidTr="005F78FC">
        <w:tc>
          <w:tcPr>
            <w:tcW w:w="0" w:type="auto"/>
            <w:vAlign w:val="center"/>
          </w:tcPr>
          <w:p w:rsidR="005F78FC" w:rsidRDefault="00B42EF3">
            <w:pPr>
              <w:pStyle w:val="TableBodyText"/>
            </w:pPr>
            <w:r>
              <w:t>MenuTableConvert</w:t>
            </w:r>
          </w:p>
        </w:tc>
        <w:tc>
          <w:tcPr>
            <w:tcW w:w="0" w:type="auto"/>
            <w:vAlign w:val="center"/>
          </w:tcPr>
          <w:p w:rsidR="005F78FC" w:rsidRDefault="00B42EF3">
            <w:pPr>
              <w:pStyle w:val="TableBodyText"/>
            </w:pPr>
            <w:r>
              <w:t>1697</w:t>
            </w:r>
          </w:p>
        </w:tc>
      </w:tr>
      <w:tr w:rsidR="005F78FC" w:rsidTr="005F78FC">
        <w:tc>
          <w:tcPr>
            <w:tcW w:w="0" w:type="auto"/>
            <w:vAlign w:val="center"/>
          </w:tcPr>
          <w:p w:rsidR="005F78FC" w:rsidRDefault="00B42EF3">
            <w:pPr>
              <w:pStyle w:val="TableBodyText"/>
            </w:pPr>
            <w:r>
              <w:t>MenuTableDelete</w:t>
            </w:r>
          </w:p>
        </w:tc>
        <w:tc>
          <w:tcPr>
            <w:tcW w:w="0" w:type="auto"/>
            <w:vAlign w:val="center"/>
          </w:tcPr>
          <w:p w:rsidR="005F78FC" w:rsidRDefault="00B42EF3">
            <w:pPr>
              <w:pStyle w:val="TableBodyText"/>
            </w:pPr>
            <w:r>
              <w:t>167C</w:t>
            </w:r>
          </w:p>
        </w:tc>
      </w:tr>
      <w:tr w:rsidR="005F78FC" w:rsidTr="005F78FC">
        <w:tc>
          <w:tcPr>
            <w:tcW w:w="0" w:type="auto"/>
            <w:vAlign w:val="center"/>
          </w:tcPr>
          <w:p w:rsidR="005F78FC" w:rsidRDefault="00B42EF3">
            <w:pPr>
              <w:pStyle w:val="TableBodyText"/>
            </w:pPr>
            <w:r>
              <w:t>MenuTableInsert</w:t>
            </w:r>
          </w:p>
        </w:tc>
        <w:tc>
          <w:tcPr>
            <w:tcW w:w="0" w:type="auto"/>
            <w:vAlign w:val="center"/>
          </w:tcPr>
          <w:p w:rsidR="005F78FC" w:rsidRDefault="00B42EF3">
            <w:pPr>
              <w:pStyle w:val="TableBodyText"/>
            </w:pPr>
            <w:r>
              <w:t>167B</w:t>
            </w:r>
          </w:p>
        </w:tc>
      </w:tr>
      <w:tr w:rsidR="005F78FC" w:rsidTr="005F78FC">
        <w:tc>
          <w:tcPr>
            <w:tcW w:w="0" w:type="auto"/>
            <w:vAlign w:val="center"/>
          </w:tcPr>
          <w:p w:rsidR="005F78FC" w:rsidRDefault="00B42EF3">
            <w:pPr>
              <w:pStyle w:val="TableBodyText"/>
            </w:pPr>
            <w:r>
              <w:t>MenuTableInsertIntoTable</w:t>
            </w:r>
          </w:p>
        </w:tc>
        <w:tc>
          <w:tcPr>
            <w:tcW w:w="0" w:type="auto"/>
            <w:vAlign w:val="center"/>
          </w:tcPr>
          <w:p w:rsidR="005F78FC" w:rsidRDefault="00B42EF3">
            <w:pPr>
              <w:pStyle w:val="TableBodyText"/>
            </w:pPr>
            <w:r>
              <w:t>16C5</w:t>
            </w:r>
          </w:p>
        </w:tc>
      </w:tr>
      <w:tr w:rsidR="005F78FC" w:rsidTr="005F78FC">
        <w:tc>
          <w:tcPr>
            <w:tcW w:w="0" w:type="auto"/>
            <w:vAlign w:val="center"/>
          </w:tcPr>
          <w:p w:rsidR="005F78FC" w:rsidRDefault="00B42EF3">
            <w:pPr>
              <w:pStyle w:val="TableBodyText"/>
            </w:pPr>
            <w:r>
              <w:t>MenuTableInsertLong</w:t>
            </w:r>
          </w:p>
        </w:tc>
        <w:tc>
          <w:tcPr>
            <w:tcW w:w="0" w:type="auto"/>
            <w:vAlign w:val="center"/>
          </w:tcPr>
          <w:p w:rsidR="005F78FC" w:rsidRDefault="00B42EF3">
            <w:pPr>
              <w:pStyle w:val="TableBodyText"/>
            </w:pPr>
            <w:r>
              <w:t>169D</w:t>
            </w:r>
          </w:p>
        </w:tc>
      </w:tr>
      <w:tr w:rsidR="005F78FC" w:rsidTr="005F78FC">
        <w:tc>
          <w:tcPr>
            <w:tcW w:w="0" w:type="auto"/>
            <w:vAlign w:val="center"/>
          </w:tcPr>
          <w:p w:rsidR="005F78FC" w:rsidRDefault="00B42EF3">
            <w:pPr>
              <w:pStyle w:val="TableBodyText"/>
            </w:pPr>
            <w:r>
              <w:t>MenuTableInsertPalette</w:t>
            </w:r>
          </w:p>
        </w:tc>
        <w:tc>
          <w:tcPr>
            <w:tcW w:w="0" w:type="auto"/>
            <w:vAlign w:val="center"/>
          </w:tcPr>
          <w:p w:rsidR="005F78FC" w:rsidRDefault="00B42EF3">
            <w:pPr>
              <w:pStyle w:val="TableBodyText"/>
            </w:pPr>
            <w:r>
              <w:t>1698</w:t>
            </w:r>
          </w:p>
        </w:tc>
      </w:tr>
      <w:tr w:rsidR="005F78FC" w:rsidTr="005F78FC">
        <w:tc>
          <w:tcPr>
            <w:tcW w:w="0" w:type="auto"/>
            <w:vAlign w:val="center"/>
          </w:tcPr>
          <w:p w:rsidR="005F78FC" w:rsidRDefault="00B42EF3">
            <w:pPr>
              <w:pStyle w:val="TableBodyText"/>
            </w:pPr>
            <w:r>
              <w:t>MenuTableSelect</w:t>
            </w:r>
          </w:p>
        </w:tc>
        <w:tc>
          <w:tcPr>
            <w:tcW w:w="0" w:type="auto"/>
            <w:vAlign w:val="center"/>
          </w:tcPr>
          <w:p w:rsidR="005F78FC" w:rsidRDefault="00B42EF3">
            <w:pPr>
              <w:pStyle w:val="TableBodyText"/>
            </w:pPr>
            <w:r>
              <w:t>1696</w:t>
            </w:r>
          </w:p>
        </w:tc>
      </w:tr>
      <w:tr w:rsidR="005F78FC" w:rsidTr="005F78FC">
        <w:tc>
          <w:tcPr>
            <w:tcW w:w="0" w:type="auto"/>
            <w:vAlign w:val="center"/>
          </w:tcPr>
          <w:p w:rsidR="005F78FC" w:rsidRDefault="00B42EF3">
            <w:pPr>
              <w:pStyle w:val="TableBodyText"/>
            </w:pPr>
            <w:r>
              <w:t>MenuTools</w:t>
            </w:r>
          </w:p>
        </w:tc>
        <w:tc>
          <w:tcPr>
            <w:tcW w:w="0" w:type="auto"/>
            <w:vAlign w:val="center"/>
          </w:tcPr>
          <w:p w:rsidR="005F78FC" w:rsidRDefault="00B42EF3">
            <w:pPr>
              <w:pStyle w:val="TableBodyText"/>
            </w:pPr>
            <w:r>
              <w:t>1649</w:t>
            </w:r>
          </w:p>
        </w:tc>
      </w:tr>
      <w:tr w:rsidR="005F78FC" w:rsidTr="005F78FC">
        <w:tc>
          <w:tcPr>
            <w:tcW w:w="0" w:type="auto"/>
            <w:vAlign w:val="center"/>
          </w:tcPr>
          <w:p w:rsidR="005F78FC" w:rsidRDefault="00B42EF3">
            <w:pPr>
              <w:pStyle w:val="TableBodyText"/>
            </w:pPr>
            <w:r>
              <w:lastRenderedPageBreak/>
              <w:t>MenuVersion</w:t>
            </w:r>
          </w:p>
        </w:tc>
        <w:tc>
          <w:tcPr>
            <w:tcW w:w="0" w:type="auto"/>
            <w:vAlign w:val="center"/>
          </w:tcPr>
          <w:p w:rsidR="005F78FC" w:rsidRDefault="00B42EF3">
            <w:pPr>
              <w:pStyle w:val="TableBodyText"/>
            </w:pPr>
            <w:r>
              <w:t>16BA</w:t>
            </w:r>
          </w:p>
        </w:tc>
      </w:tr>
      <w:tr w:rsidR="005F78FC" w:rsidTr="005F78FC">
        <w:tc>
          <w:tcPr>
            <w:tcW w:w="0" w:type="auto"/>
            <w:vAlign w:val="center"/>
          </w:tcPr>
          <w:p w:rsidR="005F78FC" w:rsidRDefault="00B42EF3">
            <w:pPr>
              <w:pStyle w:val="TableBodyText"/>
            </w:pPr>
            <w:r>
              <w:t>MenuView</w:t>
            </w:r>
          </w:p>
        </w:tc>
        <w:tc>
          <w:tcPr>
            <w:tcW w:w="0" w:type="auto"/>
            <w:vAlign w:val="center"/>
          </w:tcPr>
          <w:p w:rsidR="005F78FC" w:rsidRDefault="00B42EF3">
            <w:pPr>
              <w:pStyle w:val="TableBodyText"/>
            </w:pPr>
            <w:r>
              <w:t>1646</w:t>
            </w:r>
          </w:p>
        </w:tc>
      </w:tr>
      <w:tr w:rsidR="005F78FC" w:rsidTr="005F78FC">
        <w:tc>
          <w:tcPr>
            <w:tcW w:w="0" w:type="auto"/>
            <w:vAlign w:val="center"/>
          </w:tcPr>
          <w:p w:rsidR="005F78FC" w:rsidRDefault="00B42EF3">
            <w:pPr>
              <w:pStyle w:val="TableBodyText"/>
            </w:pPr>
            <w:r>
              <w:t>MenuWebFavorites</w:t>
            </w:r>
          </w:p>
        </w:tc>
        <w:tc>
          <w:tcPr>
            <w:tcW w:w="0" w:type="auto"/>
            <w:vAlign w:val="center"/>
          </w:tcPr>
          <w:p w:rsidR="005F78FC" w:rsidRDefault="00B42EF3">
            <w:pPr>
              <w:pStyle w:val="TableBodyText"/>
            </w:pPr>
            <w:r>
              <w:t>03A9</w:t>
            </w:r>
          </w:p>
        </w:tc>
      </w:tr>
      <w:tr w:rsidR="005F78FC" w:rsidTr="005F78FC">
        <w:tc>
          <w:tcPr>
            <w:tcW w:w="0" w:type="auto"/>
            <w:vAlign w:val="center"/>
          </w:tcPr>
          <w:p w:rsidR="005F78FC" w:rsidRDefault="00B42EF3">
            <w:pPr>
              <w:pStyle w:val="TableBodyText"/>
            </w:pPr>
            <w:r>
              <w:t>MenuWebGo</w:t>
            </w:r>
          </w:p>
        </w:tc>
        <w:tc>
          <w:tcPr>
            <w:tcW w:w="0" w:type="auto"/>
            <w:vAlign w:val="center"/>
          </w:tcPr>
          <w:p w:rsidR="005F78FC" w:rsidRDefault="00B42EF3">
            <w:pPr>
              <w:pStyle w:val="TableBodyText"/>
            </w:pPr>
            <w:r>
              <w:t>03E6</w:t>
            </w:r>
          </w:p>
        </w:tc>
      </w:tr>
      <w:tr w:rsidR="005F78FC" w:rsidTr="005F78FC">
        <w:tc>
          <w:tcPr>
            <w:tcW w:w="0" w:type="auto"/>
            <w:vAlign w:val="center"/>
          </w:tcPr>
          <w:p w:rsidR="005F78FC" w:rsidRDefault="00B42EF3">
            <w:pPr>
              <w:pStyle w:val="TableBodyText"/>
            </w:pPr>
            <w:r>
              <w:t>MenuWindow</w:t>
            </w:r>
          </w:p>
        </w:tc>
        <w:tc>
          <w:tcPr>
            <w:tcW w:w="0" w:type="auto"/>
            <w:vAlign w:val="center"/>
          </w:tcPr>
          <w:p w:rsidR="005F78FC" w:rsidRDefault="00B42EF3">
            <w:pPr>
              <w:pStyle w:val="TableBodyText"/>
            </w:pPr>
            <w:r>
              <w:t>164B</w:t>
            </w:r>
          </w:p>
        </w:tc>
      </w:tr>
      <w:tr w:rsidR="005F78FC" w:rsidTr="005F78FC">
        <w:tc>
          <w:tcPr>
            <w:tcW w:w="0" w:type="auto"/>
            <w:vAlign w:val="center"/>
          </w:tcPr>
          <w:p w:rsidR="005F78FC" w:rsidRDefault="00B42EF3">
            <w:pPr>
              <w:pStyle w:val="TableBodyText"/>
            </w:pPr>
            <w:r>
              <w:t>MenuWordQFStyles</w:t>
            </w:r>
          </w:p>
        </w:tc>
        <w:tc>
          <w:tcPr>
            <w:tcW w:w="0" w:type="auto"/>
            <w:vAlign w:val="center"/>
          </w:tcPr>
          <w:p w:rsidR="005F78FC" w:rsidRDefault="00B42EF3">
            <w:pPr>
              <w:pStyle w:val="TableBodyText"/>
            </w:pPr>
            <w:r>
              <w:t>16CB</w:t>
            </w:r>
          </w:p>
        </w:tc>
      </w:tr>
      <w:tr w:rsidR="005F78FC" w:rsidTr="005F78FC">
        <w:tc>
          <w:tcPr>
            <w:tcW w:w="0" w:type="auto"/>
            <w:vAlign w:val="center"/>
          </w:tcPr>
          <w:p w:rsidR="005F78FC" w:rsidRDefault="00B42EF3">
            <w:pPr>
              <w:pStyle w:val="TableBodyText"/>
            </w:pPr>
            <w:r>
              <w:t>MenuWork</w:t>
            </w:r>
          </w:p>
        </w:tc>
        <w:tc>
          <w:tcPr>
            <w:tcW w:w="0" w:type="auto"/>
            <w:vAlign w:val="center"/>
          </w:tcPr>
          <w:p w:rsidR="005F78FC" w:rsidRDefault="00B42EF3">
            <w:pPr>
              <w:pStyle w:val="TableBodyText"/>
            </w:pPr>
            <w:r>
              <w:t>164D</w:t>
            </w:r>
          </w:p>
        </w:tc>
      </w:tr>
      <w:tr w:rsidR="005F78FC" w:rsidTr="005F78FC">
        <w:tc>
          <w:tcPr>
            <w:tcW w:w="0" w:type="auto"/>
            <w:vAlign w:val="center"/>
          </w:tcPr>
          <w:p w:rsidR="005F78FC" w:rsidRDefault="00B42EF3">
            <w:pPr>
              <w:pStyle w:val="TableBodyText"/>
            </w:pPr>
            <w:r>
              <w:t>MergeSplitGeneral</w:t>
            </w:r>
          </w:p>
        </w:tc>
        <w:tc>
          <w:tcPr>
            <w:tcW w:w="0" w:type="auto"/>
            <w:vAlign w:val="center"/>
          </w:tcPr>
          <w:p w:rsidR="005F78FC" w:rsidRDefault="00B42EF3">
            <w:pPr>
              <w:pStyle w:val="TableBodyText"/>
            </w:pPr>
            <w:r>
              <w:t>0363</w:t>
            </w:r>
          </w:p>
        </w:tc>
      </w:tr>
      <w:tr w:rsidR="005F78FC" w:rsidTr="005F78FC">
        <w:tc>
          <w:tcPr>
            <w:tcW w:w="0" w:type="auto"/>
            <w:vAlign w:val="center"/>
          </w:tcPr>
          <w:p w:rsidR="005F78FC" w:rsidRDefault="00B42EF3">
            <w:pPr>
              <w:pStyle w:val="TableBodyText"/>
            </w:pPr>
            <w:r>
              <w:t>MergeSubdocument</w:t>
            </w:r>
          </w:p>
        </w:tc>
        <w:tc>
          <w:tcPr>
            <w:tcW w:w="0" w:type="auto"/>
            <w:vAlign w:val="center"/>
          </w:tcPr>
          <w:p w:rsidR="005F78FC" w:rsidRDefault="00B42EF3">
            <w:pPr>
              <w:pStyle w:val="TableBodyText"/>
            </w:pPr>
            <w:r>
              <w:t>0248</w:t>
            </w:r>
          </w:p>
        </w:tc>
      </w:tr>
      <w:tr w:rsidR="005F78FC" w:rsidTr="005F78FC">
        <w:tc>
          <w:tcPr>
            <w:tcW w:w="0" w:type="auto"/>
            <w:vAlign w:val="center"/>
          </w:tcPr>
          <w:p w:rsidR="005F78FC" w:rsidRDefault="00B42EF3">
            <w:pPr>
              <w:pStyle w:val="TableBodyText"/>
            </w:pPr>
            <w:r>
              <w:t>MicrosoftAccess</w:t>
            </w:r>
          </w:p>
        </w:tc>
        <w:tc>
          <w:tcPr>
            <w:tcW w:w="0" w:type="auto"/>
            <w:vAlign w:val="center"/>
          </w:tcPr>
          <w:p w:rsidR="005F78FC" w:rsidRDefault="00B42EF3">
            <w:pPr>
              <w:pStyle w:val="TableBodyText"/>
            </w:pPr>
            <w:r>
              <w:t>0292</w:t>
            </w:r>
          </w:p>
        </w:tc>
      </w:tr>
      <w:tr w:rsidR="005F78FC" w:rsidTr="005F78FC">
        <w:tc>
          <w:tcPr>
            <w:tcW w:w="0" w:type="auto"/>
            <w:vAlign w:val="center"/>
          </w:tcPr>
          <w:p w:rsidR="005F78FC" w:rsidRDefault="00B42EF3">
            <w:pPr>
              <w:pStyle w:val="TableBodyText"/>
            </w:pPr>
            <w:r>
              <w:t>MicrosoftExcel</w:t>
            </w:r>
          </w:p>
        </w:tc>
        <w:tc>
          <w:tcPr>
            <w:tcW w:w="0" w:type="auto"/>
            <w:vAlign w:val="center"/>
          </w:tcPr>
          <w:p w:rsidR="005F78FC" w:rsidRDefault="00B42EF3">
            <w:pPr>
              <w:pStyle w:val="TableBodyText"/>
            </w:pPr>
            <w:r>
              <w:t>0291</w:t>
            </w:r>
          </w:p>
        </w:tc>
      </w:tr>
      <w:tr w:rsidR="005F78FC" w:rsidTr="005F78FC">
        <w:tc>
          <w:tcPr>
            <w:tcW w:w="0" w:type="auto"/>
            <w:vAlign w:val="center"/>
          </w:tcPr>
          <w:p w:rsidR="005F78FC" w:rsidRDefault="00B42EF3">
            <w:pPr>
              <w:pStyle w:val="TableBodyText"/>
            </w:pPr>
            <w:r>
              <w:t>MicrosoftFoxPro</w:t>
            </w:r>
          </w:p>
        </w:tc>
        <w:tc>
          <w:tcPr>
            <w:tcW w:w="0" w:type="auto"/>
            <w:vAlign w:val="center"/>
          </w:tcPr>
          <w:p w:rsidR="005F78FC" w:rsidRDefault="00B42EF3">
            <w:pPr>
              <w:pStyle w:val="TableBodyText"/>
            </w:pPr>
            <w:r>
              <w:t>0294</w:t>
            </w:r>
          </w:p>
        </w:tc>
      </w:tr>
      <w:tr w:rsidR="005F78FC" w:rsidTr="005F78FC">
        <w:tc>
          <w:tcPr>
            <w:tcW w:w="0" w:type="auto"/>
            <w:vAlign w:val="center"/>
          </w:tcPr>
          <w:p w:rsidR="005F78FC" w:rsidRDefault="00B42EF3">
            <w:pPr>
              <w:pStyle w:val="TableBodyText"/>
            </w:pPr>
            <w:r>
              <w:t>MicrosoftMail</w:t>
            </w:r>
          </w:p>
        </w:tc>
        <w:tc>
          <w:tcPr>
            <w:tcW w:w="0" w:type="auto"/>
            <w:vAlign w:val="center"/>
          </w:tcPr>
          <w:p w:rsidR="005F78FC" w:rsidRDefault="00B42EF3">
            <w:pPr>
              <w:pStyle w:val="TableBodyText"/>
            </w:pPr>
            <w:r>
              <w:t>0290</w:t>
            </w:r>
          </w:p>
        </w:tc>
      </w:tr>
      <w:tr w:rsidR="005F78FC" w:rsidTr="005F78FC">
        <w:tc>
          <w:tcPr>
            <w:tcW w:w="0" w:type="auto"/>
            <w:vAlign w:val="center"/>
          </w:tcPr>
          <w:p w:rsidR="005F78FC" w:rsidRDefault="00B42EF3">
            <w:pPr>
              <w:pStyle w:val="TableBodyText"/>
            </w:pPr>
            <w:r>
              <w:t>MicrosoftOnTheWeb1</w:t>
            </w:r>
          </w:p>
        </w:tc>
        <w:tc>
          <w:tcPr>
            <w:tcW w:w="0" w:type="auto"/>
            <w:vAlign w:val="center"/>
          </w:tcPr>
          <w:p w:rsidR="005F78FC" w:rsidRDefault="00B42EF3">
            <w:pPr>
              <w:pStyle w:val="TableBodyText"/>
            </w:pPr>
            <w:r>
              <w:t>0FFE</w:t>
            </w:r>
          </w:p>
        </w:tc>
      </w:tr>
      <w:tr w:rsidR="005F78FC" w:rsidTr="005F78FC">
        <w:tc>
          <w:tcPr>
            <w:tcW w:w="0" w:type="auto"/>
            <w:vAlign w:val="center"/>
          </w:tcPr>
          <w:p w:rsidR="005F78FC" w:rsidRDefault="00B42EF3">
            <w:pPr>
              <w:pStyle w:val="TableBodyText"/>
            </w:pPr>
            <w:r>
              <w:t>MicrosoftOnTheWeb10</w:t>
            </w:r>
          </w:p>
        </w:tc>
        <w:tc>
          <w:tcPr>
            <w:tcW w:w="0" w:type="auto"/>
            <w:vAlign w:val="center"/>
          </w:tcPr>
          <w:p w:rsidR="005F78FC" w:rsidRDefault="00B42EF3">
            <w:pPr>
              <w:pStyle w:val="TableBodyText"/>
            </w:pPr>
            <w:r>
              <w:t>1007</w:t>
            </w:r>
          </w:p>
        </w:tc>
      </w:tr>
      <w:tr w:rsidR="005F78FC" w:rsidTr="005F78FC">
        <w:tc>
          <w:tcPr>
            <w:tcW w:w="0" w:type="auto"/>
            <w:vAlign w:val="center"/>
          </w:tcPr>
          <w:p w:rsidR="005F78FC" w:rsidRDefault="00B42EF3">
            <w:pPr>
              <w:pStyle w:val="TableBodyText"/>
            </w:pPr>
            <w:r>
              <w:t>MicrosoftOnTheWeb11</w:t>
            </w:r>
          </w:p>
        </w:tc>
        <w:tc>
          <w:tcPr>
            <w:tcW w:w="0" w:type="auto"/>
            <w:vAlign w:val="center"/>
          </w:tcPr>
          <w:p w:rsidR="005F78FC" w:rsidRDefault="00B42EF3">
            <w:pPr>
              <w:pStyle w:val="TableBodyText"/>
            </w:pPr>
            <w:r>
              <w:t>1008</w:t>
            </w:r>
          </w:p>
        </w:tc>
      </w:tr>
      <w:tr w:rsidR="005F78FC" w:rsidTr="005F78FC">
        <w:tc>
          <w:tcPr>
            <w:tcW w:w="0" w:type="auto"/>
            <w:vAlign w:val="center"/>
          </w:tcPr>
          <w:p w:rsidR="005F78FC" w:rsidRDefault="00B42EF3">
            <w:pPr>
              <w:pStyle w:val="TableBodyText"/>
            </w:pPr>
            <w:r>
              <w:t>MicrosoftOnTheWeb12</w:t>
            </w:r>
          </w:p>
        </w:tc>
        <w:tc>
          <w:tcPr>
            <w:tcW w:w="0" w:type="auto"/>
            <w:vAlign w:val="center"/>
          </w:tcPr>
          <w:p w:rsidR="005F78FC" w:rsidRDefault="00B42EF3">
            <w:pPr>
              <w:pStyle w:val="TableBodyText"/>
            </w:pPr>
            <w:r>
              <w:t>1009</w:t>
            </w:r>
          </w:p>
        </w:tc>
      </w:tr>
      <w:tr w:rsidR="005F78FC" w:rsidTr="005F78FC">
        <w:tc>
          <w:tcPr>
            <w:tcW w:w="0" w:type="auto"/>
            <w:vAlign w:val="center"/>
          </w:tcPr>
          <w:p w:rsidR="005F78FC" w:rsidRDefault="00B42EF3">
            <w:pPr>
              <w:pStyle w:val="TableBodyText"/>
            </w:pPr>
            <w:r>
              <w:t>MicrosoftOnTheWeb13</w:t>
            </w:r>
          </w:p>
        </w:tc>
        <w:tc>
          <w:tcPr>
            <w:tcW w:w="0" w:type="auto"/>
            <w:vAlign w:val="center"/>
          </w:tcPr>
          <w:p w:rsidR="005F78FC" w:rsidRDefault="00B42EF3">
            <w:pPr>
              <w:pStyle w:val="TableBodyText"/>
            </w:pPr>
            <w:r>
              <w:t>100A</w:t>
            </w:r>
          </w:p>
        </w:tc>
      </w:tr>
      <w:tr w:rsidR="005F78FC" w:rsidTr="005F78FC">
        <w:tc>
          <w:tcPr>
            <w:tcW w:w="0" w:type="auto"/>
            <w:vAlign w:val="center"/>
          </w:tcPr>
          <w:p w:rsidR="005F78FC" w:rsidRDefault="00B42EF3">
            <w:pPr>
              <w:pStyle w:val="TableBodyText"/>
            </w:pPr>
            <w:r>
              <w:t>MicrosoftOnTheWeb14</w:t>
            </w:r>
          </w:p>
        </w:tc>
        <w:tc>
          <w:tcPr>
            <w:tcW w:w="0" w:type="auto"/>
            <w:vAlign w:val="center"/>
          </w:tcPr>
          <w:p w:rsidR="005F78FC" w:rsidRDefault="00B42EF3">
            <w:pPr>
              <w:pStyle w:val="TableBodyText"/>
            </w:pPr>
            <w:r>
              <w:t>100B</w:t>
            </w:r>
          </w:p>
        </w:tc>
      </w:tr>
      <w:tr w:rsidR="005F78FC" w:rsidTr="005F78FC">
        <w:tc>
          <w:tcPr>
            <w:tcW w:w="0" w:type="auto"/>
            <w:vAlign w:val="center"/>
          </w:tcPr>
          <w:p w:rsidR="005F78FC" w:rsidRDefault="00B42EF3">
            <w:pPr>
              <w:pStyle w:val="TableBodyText"/>
            </w:pPr>
            <w:r>
              <w:t>MicrosoftOnTheWeb15</w:t>
            </w:r>
          </w:p>
        </w:tc>
        <w:tc>
          <w:tcPr>
            <w:tcW w:w="0" w:type="auto"/>
            <w:vAlign w:val="center"/>
          </w:tcPr>
          <w:p w:rsidR="005F78FC" w:rsidRDefault="00B42EF3">
            <w:pPr>
              <w:pStyle w:val="TableBodyText"/>
            </w:pPr>
            <w:r>
              <w:t>100C</w:t>
            </w:r>
          </w:p>
        </w:tc>
      </w:tr>
      <w:tr w:rsidR="005F78FC" w:rsidTr="005F78FC">
        <w:tc>
          <w:tcPr>
            <w:tcW w:w="0" w:type="auto"/>
            <w:vAlign w:val="center"/>
          </w:tcPr>
          <w:p w:rsidR="005F78FC" w:rsidRDefault="00B42EF3">
            <w:pPr>
              <w:pStyle w:val="TableBodyText"/>
            </w:pPr>
            <w:r>
              <w:t>MicrosoftOnTheWeb16</w:t>
            </w:r>
          </w:p>
        </w:tc>
        <w:tc>
          <w:tcPr>
            <w:tcW w:w="0" w:type="auto"/>
            <w:vAlign w:val="center"/>
          </w:tcPr>
          <w:p w:rsidR="005F78FC" w:rsidRDefault="00B42EF3">
            <w:pPr>
              <w:pStyle w:val="TableBodyText"/>
            </w:pPr>
            <w:r>
              <w:t>100D</w:t>
            </w:r>
          </w:p>
        </w:tc>
      </w:tr>
      <w:tr w:rsidR="005F78FC" w:rsidTr="005F78FC">
        <w:tc>
          <w:tcPr>
            <w:tcW w:w="0" w:type="auto"/>
            <w:vAlign w:val="center"/>
          </w:tcPr>
          <w:p w:rsidR="005F78FC" w:rsidRDefault="00B42EF3">
            <w:pPr>
              <w:pStyle w:val="TableBodyText"/>
            </w:pPr>
            <w:r>
              <w:t>MicrosoftOnTheWeb17</w:t>
            </w:r>
          </w:p>
        </w:tc>
        <w:tc>
          <w:tcPr>
            <w:tcW w:w="0" w:type="auto"/>
            <w:vAlign w:val="center"/>
          </w:tcPr>
          <w:p w:rsidR="005F78FC" w:rsidRDefault="00B42EF3">
            <w:pPr>
              <w:pStyle w:val="TableBodyText"/>
            </w:pPr>
            <w:r>
              <w:t>100E</w:t>
            </w:r>
          </w:p>
        </w:tc>
      </w:tr>
      <w:tr w:rsidR="005F78FC" w:rsidTr="005F78FC">
        <w:tc>
          <w:tcPr>
            <w:tcW w:w="0" w:type="auto"/>
            <w:vAlign w:val="center"/>
          </w:tcPr>
          <w:p w:rsidR="005F78FC" w:rsidRDefault="00B42EF3">
            <w:pPr>
              <w:pStyle w:val="TableBodyText"/>
            </w:pPr>
            <w:r>
              <w:t>MicrosoftOnTheWeb2</w:t>
            </w:r>
          </w:p>
        </w:tc>
        <w:tc>
          <w:tcPr>
            <w:tcW w:w="0" w:type="auto"/>
            <w:vAlign w:val="center"/>
          </w:tcPr>
          <w:p w:rsidR="005F78FC" w:rsidRDefault="00B42EF3">
            <w:pPr>
              <w:pStyle w:val="TableBodyText"/>
            </w:pPr>
            <w:r>
              <w:t>0FFF</w:t>
            </w:r>
          </w:p>
        </w:tc>
      </w:tr>
      <w:tr w:rsidR="005F78FC" w:rsidTr="005F78FC">
        <w:tc>
          <w:tcPr>
            <w:tcW w:w="0" w:type="auto"/>
            <w:vAlign w:val="center"/>
          </w:tcPr>
          <w:p w:rsidR="005F78FC" w:rsidRDefault="00B42EF3">
            <w:pPr>
              <w:pStyle w:val="TableBodyText"/>
            </w:pPr>
            <w:r>
              <w:t>MicrosoftOnTheWeb3</w:t>
            </w:r>
          </w:p>
        </w:tc>
        <w:tc>
          <w:tcPr>
            <w:tcW w:w="0" w:type="auto"/>
            <w:vAlign w:val="center"/>
          </w:tcPr>
          <w:p w:rsidR="005F78FC" w:rsidRDefault="00B42EF3">
            <w:pPr>
              <w:pStyle w:val="TableBodyText"/>
            </w:pPr>
            <w:r>
              <w:t>1000</w:t>
            </w:r>
          </w:p>
        </w:tc>
      </w:tr>
      <w:tr w:rsidR="005F78FC" w:rsidTr="005F78FC">
        <w:tc>
          <w:tcPr>
            <w:tcW w:w="0" w:type="auto"/>
            <w:vAlign w:val="center"/>
          </w:tcPr>
          <w:p w:rsidR="005F78FC" w:rsidRDefault="00B42EF3">
            <w:pPr>
              <w:pStyle w:val="TableBodyText"/>
            </w:pPr>
            <w:r>
              <w:t>MicrosoftOnTheWeb4</w:t>
            </w:r>
          </w:p>
        </w:tc>
        <w:tc>
          <w:tcPr>
            <w:tcW w:w="0" w:type="auto"/>
            <w:vAlign w:val="center"/>
          </w:tcPr>
          <w:p w:rsidR="005F78FC" w:rsidRDefault="00B42EF3">
            <w:pPr>
              <w:pStyle w:val="TableBodyText"/>
            </w:pPr>
            <w:r>
              <w:t>1001</w:t>
            </w:r>
          </w:p>
        </w:tc>
      </w:tr>
      <w:tr w:rsidR="005F78FC" w:rsidTr="005F78FC">
        <w:tc>
          <w:tcPr>
            <w:tcW w:w="0" w:type="auto"/>
            <w:vAlign w:val="center"/>
          </w:tcPr>
          <w:p w:rsidR="005F78FC" w:rsidRDefault="00B42EF3">
            <w:pPr>
              <w:pStyle w:val="TableBodyText"/>
            </w:pPr>
            <w:r>
              <w:t>MicrosoftOnTheWeb5</w:t>
            </w:r>
          </w:p>
        </w:tc>
        <w:tc>
          <w:tcPr>
            <w:tcW w:w="0" w:type="auto"/>
            <w:vAlign w:val="center"/>
          </w:tcPr>
          <w:p w:rsidR="005F78FC" w:rsidRDefault="00B42EF3">
            <w:pPr>
              <w:pStyle w:val="TableBodyText"/>
            </w:pPr>
            <w:r>
              <w:t>1002</w:t>
            </w:r>
          </w:p>
        </w:tc>
      </w:tr>
      <w:tr w:rsidR="005F78FC" w:rsidTr="005F78FC">
        <w:tc>
          <w:tcPr>
            <w:tcW w:w="0" w:type="auto"/>
            <w:vAlign w:val="center"/>
          </w:tcPr>
          <w:p w:rsidR="005F78FC" w:rsidRDefault="00B42EF3">
            <w:pPr>
              <w:pStyle w:val="TableBodyText"/>
            </w:pPr>
            <w:r>
              <w:t>MicrosoftOnTheWeb6</w:t>
            </w:r>
          </w:p>
        </w:tc>
        <w:tc>
          <w:tcPr>
            <w:tcW w:w="0" w:type="auto"/>
            <w:vAlign w:val="center"/>
          </w:tcPr>
          <w:p w:rsidR="005F78FC" w:rsidRDefault="00B42EF3">
            <w:pPr>
              <w:pStyle w:val="TableBodyText"/>
            </w:pPr>
            <w:r>
              <w:t>1003</w:t>
            </w:r>
          </w:p>
        </w:tc>
      </w:tr>
      <w:tr w:rsidR="005F78FC" w:rsidTr="005F78FC">
        <w:tc>
          <w:tcPr>
            <w:tcW w:w="0" w:type="auto"/>
            <w:vAlign w:val="center"/>
          </w:tcPr>
          <w:p w:rsidR="005F78FC" w:rsidRDefault="00B42EF3">
            <w:pPr>
              <w:pStyle w:val="TableBodyText"/>
            </w:pPr>
            <w:r>
              <w:t>MicrosoftOnTheWeb7</w:t>
            </w:r>
          </w:p>
        </w:tc>
        <w:tc>
          <w:tcPr>
            <w:tcW w:w="0" w:type="auto"/>
            <w:vAlign w:val="center"/>
          </w:tcPr>
          <w:p w:rsidR="005F78FC" w:rsidRDefault="00B42EF3">
            <w:pPr>
              <w:pStyle w:val="TableBodyText"/>
            </w:pPr>
            <w:r>
              <w:t>1004</w:t>
            </w:r>
          </w:p>
        </w:tc>
      </w:tr>
      <w:tr w:rsidR="005F78FC" w:rsidTr="005F78FC">
        <w:tc>
          <w:tcPr>
            <w:tcW w:w="0" w:type="auto"/>
            <w:vAlign w:val="center"/>
          </w:tcPr>
          <w:p w:rsidR="005F78FC" w:rsidRDefault="00B42EF3">
            <w:pPr>
              <w:pStyle w:val="TableBodyText"/>
            </w:pPr>
            <w:r>
              <w:t>MicrosoftOnTheWeb8</w:t>
            </w:r>
          </w:p>
        </w:tc>
        <w:tc>
          <w:tcPr>
            <w:tcW w:w="0" w:type="auto"/>
            <w:vAlign w:val="center"/>
          </w:tcPr>
          <w:p w:rsidR="005F78FC" w:rsidRDefault="00B42EF3">
            <w:pPr>
              <w:pStyle w:val="TableBodyText"/>
            </w:pPr>
            <w:r>
              <w:t>1005</w:t>
            </w:r>
          </w:p>
        </w:tc>
      </w:tr>
      <w:tr w:rsidR="005F78FC" w:rsidTr="005F78FC">
        <w:tc>
          <w:tcPr>
            <w:tcW w:w="0" w:type="auto"/>
            <w:vAlign w:val="center"/>
          </w:tcPr>
          <w:p w:rsidR="005F78FC" w:rsidRDefault="00B42EF3">
            <w:pPr>
              <w:pStyle w:val="TableBodyText"/>
            </w:pPr>
            <w:r>
              <w:t>MicrosoftOnTheWeb9</w:t>
            </w:r>
          </w:p>
        </w:tc>
        <w:tc>
          <w:tcPr>
            <w:tcW w:w="0" w:type="auto"/>
            <w:vAlign w:val="center"/>
          </w:tcPr>
          <w:p w:rsidR="005F78FC" w:rsidRDefault="00B42EF3">
            <w:pPr>
              <w:pStyle w:val="TableBodyText"/>
            </w:pPr>
            <w:r>
              <w:t>1006</w:t>
            </w:r>
          </w:p>
        </w:tc>
      </w:tr>
      <w:tr w:rsidR="005F78FC" w:rsidTr="005F78FC">
        <w:tc>
          <w:tcPr>
            <w:tcW w:w="0" w:type="auto"/>
            <w:vAlign w:val="center"/>
          </w:tcPr>
          <w:p w:rsidR="005F78FC" w:rsidRDefault="00B42EF3">
            <w:pPr>
              <w:pStyle w:val="TableBodyText"/>
            </w:pPr>
            <w:r>
              <w:t>MicrosoftPowerPoint</w:t>
            </w:r>
          </w:p>
        </w:tc>
        <w:tc>
          <w:tcPr>
            <w:tcW w:w="0" w:type="auto"/>
            <w:vAlign w:val="center"/>
          </w:tcPr>
          <w:p w:rsidR="005F78FC" w:rsidRDefault="00B42EF3">
            <w:pPr>
              <w:pStyle w:val="TableBodyText"/>
            </w:pPr>
            <w:r>
              <w:t>0295</w:t>
            </w:r>
          </w:p>
        </w:tc>
      </w:tr>
      <w:tr w:rsidR="005F78FC" w:rsidTr="005F78FC">
        <w:tc>
          <w:tcPr>
            <w:tcW w:w="0" w:type="auto"/>
            <w:vAlign w:val="center"/>
          </w:tcPr>
          <w:p w:rsidR="005F78FC" w:rsidRDefault="00B42EF3">
            <w:pPr>
              <w:pStyle w:val="TableBodyText"/>
            </w:pPr>
            <w:r>
              <w:t>MicrosoftProject</w:t>
            </w:r>
          </w:p>
        </w:tc>
        <w:tc>
          <w:tcPr>
            <w:tcW w:w="0" w:type="auto"/>
            <w:vAlign w:val="center"/>
          </w:tcPr>
          <w:p w:rsidR="005F78FC" w:rsidRDefault="00B42EF3">
            <w:pPr>
              <w:pStyle w:val="TableBodyText"/>
            </w:pPr>
            <w:r>
              <w:t>0297</w:t>
            </w:r>
          </w:p>
        </w:tc>
      </w:tr>
      <w:tr w:rsidR="005F78FC" w:rsidTr="005F78FC">
        <w:tc>
          <w:tcPr>
            <w:tcW w:w="0" w:type="auto"/>
            <w:vAlign w:val="center"/>
          </w:tcPr>
          <w:p w:rsidR="005F78FC" w:rsidRDefault="00B42EF3">
            <w:pPr>
              <w:pStyle w:val="TableBodyText"/>
            </w:pPr>
            <w:r>
              <w:lastRenderedPageBreak/>
              <w:t>MicrosoftPublisher</w:t>
            </w:r>
          </w:p>
        </w:tc>
        <w:tc>
          <w:tcPr>
            <w:tcW w:w="0" w:type="auto"/>
            <w:vAlign w:val="center"/>
          </w:tcPr>
          <w:p w:rsidR="005F78FC" w:rsidRDefault="00B42EF3">
            <w:pPr>
              <w:pStyle w:val="TableBodyText"/>
            </w:pPr>
            <w:r>
              <w:t>0296</w:t>
            </w:r>
          </w:p>
        </w:tc>
      </w:tr>
      <w:tr w:rsidR="005F78FC" w:rsidTr="005F78FC">
        <w:tc>
          <w:tcPr>
            <w:tcW w:w="0" w:type="auto"/>
            <w:vAlign w:val="center"/>
          </w:tcPr>
          <w:p w:rsidR="005F78FC" w:rsidRDefault="00B42EF3">
            <w:pPr>
              <w:pStyle w:val="TableBodyText"/>
            </w:pPr>
            <w:r>
              <w:t>MicrosoftSchedule</w:t>
            </w:r>
          </w:p>
        </w:tc>
        <w:tc>
          <w:tcPr>
            <w:tcW w:w="0" w:type="auto"/>
            <w:vAlign w:val="center"/>
          </w:tcPr>
          <w:p w:rsidR="005F78FC" w:rsidRDefault="00B42EF3">
            <w:pPr>
              <w:pStyle w:val="TableBodyText"/>
            </w:pPr>
            <w:r>
              <w:t>0293</w:t>
            </w:r>
          </w:p>
        </w:tc>
      </w:tr>
      <w:tr w:rsidR="005F78FC" w:rsidTr="005F78FC">
        <w:tc>
          <w:tcPr>
            <w:tcW w:w="0" w:type="auto"/>
            <w:vAlign w:val="center"/>
          </w:tcPr>
          <w:p w:rsidR="005F78FC" w:rsidRDefault="00B42EF3">
            <w:pPr>
              <w:pStyle w:val="TableBodyText"/>
            </w:pPr>
            <w:r>
              <w:t>MicrosoftScriptEditor</w:t>
            </w:r>
          </w:p>
        </w:tc>
        <w:tc>
          <w:tcPr>
            <w:tcW w:w="0" w:type="auto"/>
            <w:vAlign w:val="center"/>
          </w:tcPr>
          <w:p w:rsidR="005F78FC" w:rsidRDefault="00B42EF3">
            <w:pPr>
              <w:pStyle w:val="TableBodyText"/>
            </w:pPr>
            <w:r>
              <w:t>041C</w:t>
            </w:r>
          </w:p>
        </w:tc>
      </w:tr>
      <w:tr w:rsidR="005F78FC" w:rsidTr="005F78FC">
        <w:tc>
          <w:tcPr>
            <w:tcW w:w="0" w:type="auto"/>
            <w:vAlign w:val="center"/>
          </w:tcPr>
          <w:p w:rsidR="005F78FC" w:rsidRDefault="00B42EF3">
            <w:pPr>
              <w:pStyle w:val="TableBodyText"/>
            </w:pPr>
            <w:r>
              <w:t>MicrosoftSystemInfo</w:t>
            </w:r>
          </w:p>
        </w:tc>
        <w:tc>
          <w:tcPr>
            <w:tcW w:w="0" w:type="auto"/>
            <w:vAlign w:val="center"/>
          </w:tcPr>
          <w:p w:rsidR="005F78FC" w:rsidRDefault="00B42EF3">
            <w:pPr>
              <w:pStyle w:val="TableBodyText"/>
            </w:pPr>
            <w:r>
              <w:t>02C7</w:t>
            </w:r>
          </w:p>
        </w:tc>
      </w:tr>
      <w:tr w:rsidR="005F78FC" w:rsidTr="005F78FC">
        <w:tc>
          <w:tcPr>
            <w:tcW w:w="0" w:type="auto"/>
            <w:vAlign w:val="center"/>
          </w:tcPr>
          <w:p w:rsidR="005F78FC" w:rsidRDefault="00B42EF3">
            <w:pPr>
              <w:pStyle w:val="TableBodyText"/>
            </w:pPr>
            <w:r>
              <w:t>MiddleCenterAlign</w:t>
            </w:r>
          </w:p>
        </w:tc>
        <w:tc>
          <w:tcPr>
            <w:tcW w:w="0" w:type="auto"/>
            <w:vAlign w:val="center"/>
          </w:tcPr>
          <w:p w:rsidR="005F78FC" w:rsidRDefault="00B42EF3">
            <w:pPr>
              <w:pStyle w:val="TableBodyText"/>
            </w:pPr>
            <w:r>
              <w:t>047D</w:t>
            </w:r>
          </w:p>
        </w:tc>
      </w:tr>
      <w:tr w:rsidR="005F78FC" w:rsidTr="005F78FC">
        <w:tc>
          <w:tcPr>
            <w:tcW w:w="0" w:type="auto"/>
            <w:vAlign w:val="center"/>
          </w:tcPr>
          <w:p w:rsidR="005F78FC" w:rsidRDefault="00B42EF3">
            <w:pPr>
              <w:pStyle w:val="TableBodyText"/>
            </w:pPr>
            <w:r>
              <w:t>MiddleLeftAlign</w:t>
            </w:r>
          </w:p>
        </w:tc>
        <w:tc>
          <w:tcPr>
            <w:tcW w:w="0" w:type="auto"/>
            <w:vAlign w:val="center"/>
          </w:tcPr>
          <w:p w:rsidR="005F78FC" w:rsidRDefault="00B42EF3">
            <w:pPr>
              <w:pStyle w:val="TableBodyText"/>
            </w:pPr>
            <w:r>
              <w:t>047E</w:t>
            </w:r>
          </w:p>
        </w:tc>
      </w:tr>
      <w:tr w:rsidR="005F78FC" w:rsidTr="005F78FC">
        <w:tc>
          <w:tcPr>
            <w:tcW w:w="0" w:type="auto"/>
            <w:vAlign w:val="center"/>
          </w:tcPr>
          <w:p w:rsidR="005F78FC" w:rsidRDefault="00B42EF3">
            <w:pPr>
              <w:pStyle w:val="TableBodyText"/>
            </w:pPr>
            <w:r>
              <w:t>MiddleRightAlign</w:t>
            </w:r>
          </w:p>
        </w:tc>
        <w:tc>
          <w:tcPr>
            <w:tcW w:w="0" w:type="auto"/>
            <w:vAlign w:val="center"/>
          </w:tcPr>
          <w:p w:rsidR="005F78FC" w:rsidRDefault="00B42EF3">
            <w:pPr>
              <w:pStyle w:val="TableBodyText"/>
            </w:pPr>
            <w:r>
              <w:t>047C</w:t>
            </w:r>
          </w:p>
        </w:tc>
      </w:tr>
      <w:tr w:rsidR="005F78FC" w:rsidTr="005F78FC">
        <w:tc>
          <w:tcPr>
            <w:tcW w:w="0" w:type="auto"/>
            <w:vAlign w:val="center"/>
          </w:tcPr>
          <w:p w:rsidR="005F78FC" w:rsidRDefault="00B42EF3">
            <w:pPr>
              <w:pStyle w:val="TableBodyText"/>
            </w:pPr>
            <w:r>
              <w:t>ModifyTableStyle</w:t>
            </w:r>
          </w:p>
        </w:tc>
        <w:tc>
          <w:tcPr>
            <w:tcW w:w="0" w:type="auto"/>
            <w:vAlign w:val="center"/>
          </w:tcPr>
          <w:p w:rsidR="005F78FC" w:rsidRDefault="00B42EF3">
            <w:pPr>
              <w:pStyle w:val="TableBodyText"/>
            </w:pPr>
            <w:r>
              <w:t>08F8</w:t>
            </w:r>
          </w:p>
        </w:tc>
      </w:tr>
      <w:tr w:rsidR="005F78FC" w:rsidTr="005F78FC">
        <w:tc>
          <w:tcPr>
            <w:tcW w:w="0" w:type="auto"/>
            <w:vAlign w:val="center"/>
          </w:tcPr>
          <w:p w:rsidR="005F78FC" w:rsidRDefault="00B42EF3">
            <w:pPr>
              <w:pStyle w:val="TableBodyText"/>
            </w:pPr>
            <w:r>
              <w:t>MoveText</w:t>
            </w:r>
          </w:p>
        </w:tc>
        <w:tc>
          <w:tcPr>
            <w:tcW w:w="0" w:type="auto"/>
            <w:vAlign w:val="center"/>
          </w:tcPr>
          <w:p w:rsidR="005F78FC" w:rsidRDefault="00B42EF3">
            <w:pPr>
              <w:pStyle w:val="TableBodyText"/>
            </w:pPr>
            <w:r>
              <w:t>0012</w:t>
            </w:r>
          </w:p>
        </w:tc>
      </w:tr>
      <w:tr w:rsidR="005F78FC" w:rsidTr="005F78FC">
        <w:tc>
          <w:tcPr>
            <w:tcW w:w="0" w:type="auto"/>
            <w:vAlign w:val="center"/>
          </w:tcPr>
          <w:p w:rsidR="005F78FC" w:rsidRDefault="00B42EF3">
            <w:pPr>
              <w:pStyle w:val="TableBodyText"/>
            </w:pPr>
            <w:r>
              <w:t>MyPermission</w:t>
            </w:r>
          </w:p>
        </w:tc>
        <w:tc>
          <w:tcPr>
            <w:tcW w:w="0" w:type="auto"/>
            <w:vAlign w:val="center"/>
          </w:tcPr>
          <w:p w:rsidR="005F78FC" w:rsidRDefault="00B42EF3">
            <w:pPr>
              <w:pStyle w:val="TableBodyText"/>
            </w:pPr>
            <w:r>
              <w:t>059D</w:t>
            </w:r>
          </w:p>
        </w:tc>
      </w:tr>
      <w:tr w:rsidR="005F78FC" w:rsidTr="005F78FC">
        <w:tc>
          <w:tcPr>
            <w:tcW w:w="0" w:type="auto"/>
            <w:vAlign w:val="center"/>
          </w:tcPr>
          <w:p w:rsidR="005F78FC" w:rsidRDefault="00B42EF3">
            <w:pPr>
              <w:pStyle w:val="TableBodyText"/>
            </w:pPr>
            <w:r>
              <w:t>NavBack</w:t>
            </w:r>
          </w:p>
        </w:tc>
        <w:tc>
          <w:tcPr>
            <w:tcW w:w="0" w:type="auto"/>
            <w:vAlign w:val="center"/>
          </w:tcPr>
          <w:p w:rsidR="005F78FC" w:rsidRDefault="00B42EF3">
            <w:pPr>
              <w:pStyle w:val="TableBodyText"/>
            </w:pPr>
            <w:r>
              <w:t>083D</w:t>
            </w:r>
          </w:p>
        </w:tc>
      </w:tr>
      <w:tr w:rsidR="005F78FC" w:rsidTr="005F78FC">
        <w:tc>
          <w:tcPr>
            <w:tcW w:w="0" w:type="auto"/>
            <w:vAlign w:val="center"/>
          </w:tcPr>
          <w:p w:rsidR="005F78FC" w:rsidRDefault="00B42EF3">
            <w:pPr>
              <w:pStyle w:val="TableBodyText"/>
            </w:pPr>
            <w:r>
              <w:t>NavBackMenu</w:t>
            </w:r>
          </w:p>
        </w:tc>
        <w:tc>
          <w:tcPr>
            <w:tcW w:w="0" w:type="auto"/>
            <w:vAlign w:val="center"/>
          </w:tcPr>
          <w:p w:rsidR="005F78FC" w:rsidRDefault="00B42EF3">
            <w:pPr>
              <w:pStyle w:val="TableBodyText"/>
            </w:pPr>
            <w:r>
              <w:t>098B</w:t>
            </w:r>
          </w:p>
        </w:tc>
      </w:tr>
      <w:tr w:rsidR="005F78FC" w:rsidTr="005F78FC">
        <w:tc>
          <w:tcPr>
            <w:tcW w:w="0" w:type="auto"/>
            <w:vAlign w:val="center"/>
          </w:tcPr>
          <w:p w:rsidR="005F78FC" w:rsidRDefault="00B42EF3">
            <w:pPr>
              <w:pStyle w:val="TableBodyText"/>
            </w:pPr>
            <w:r>
              <w:t>NavForward</w:t>
            </w:r>
          </w:p>
        </w:tc>
        <w:tc>
          <w:tcPr>
            <w:tcW w:w="0" w:type="auto"/>
            <w:vAlign w:val="center"/>
          </w:tcPr>
          <w:p w:rsidR="005F78FC" w:rsidRDefault="00B42EF3">
            <w:pPr>
              <w:pStyle w:val="TableBodyText"/>
            </w:pPr>
            <w:r>
              <w:t>083E</w:t>
            </w:r>
          </w:p>
        </w:tc>
      </w:tr>
      <w:tr w:rsidR="005F78FC" w:rsidTr="005F78FC">
        <w:tc>
          <w:tcPr>
            <w:tcW w:w="0" w:type="auto"/>
            <w:vAlign w:val="center"/>
          </w:tcPr>
          <w:p w:rsidR="005F78FC" w:rsidRDefault="00B42EF3">
            <w:pPr>
              <w:pStyle w:val="TableBodyText"/>
            </w:pPr>
            <w:r>
              <w:t>NavForwardMenu</w:t>
            </w:r>
          </w:p>
        </w:tc>
        <w:tc>
          <w:tcPr>
            <w:tcW w:w="0" w:type="auto"/>
            <w:vAlign w:val="center"/>
          </w:tcPr>
          <w:p w:rsidR="005F78FC" w:rsidRDefault="00B42EF3">
            <w:pPr>
              <w:pStyle w:val="TableBodyText"/>
            </w:pPr>
            <w:r>
              <w:t>098C</w:t>
            </w:r>
          </w:p>
        </w:tc>
      </w:tr>
      <w:tr w:rsidR="005F78FC" w:rsidTr="005F78FC">
        <w:tc>
          <w:tcPr>
            <w:tcW w:w="0" w:type="auto"/>
            <w:vAlign w:val="center"/>
          </w:tcPr>
          <w:p w:rsidR="005F78FC" w:rsidRDefault="00B42EF3">
            <w:pPr>
              <w:pStyle w:val="TableBodyText"/>
            </w:pPr>
            <w:r>
              <w:t>NavigateMove</w:t>
            </w:r>
          </w:p>
        </w:tc>
        <w:tc>
          <w:tcPr>
            <w:tcW w:w="0" w:type="auto"/>
            <w:vAlign w:val="center"/>
          </w:tcPr>
          <w:p w:rsidR="005F78FC" w:rsidRDefault="00B42EF3">
            <w:pPr>
              <w:pStyle w:val="TableBodyText"/>
            </w:pPr>
            <w:r>
              <w:t>0949</w:t>
            </w:r>
          </w:p>
        </w:tc>
      </w:tr>
      <w:tr w:rsidR="005F78FC" w:rsidTr="005F78FC">
        <w:tc>
          <w:tcPr>
            <w:tcW w:w="0" w:type="auto"/>
            <w:vAlign w:val="center"/>
          </w:tcPr>
          <w:p w:rsidR="005F78FC" w:rsidRDefault="00B42EF3">
            <w:pPr>
              <w:pStyle w:val="TableBodyText"/>
            </w:pPr>
            <w:r>
              <w:t>NeverUseBalloons</w:t>
            </w:r>
          </w:p>
        </w:tc>
        <w:tc>
          <w:tcPr>
            <w:tcW w:w="0" w:type="auto"/>
            <w:vAlign w:val="center"/>
          </w:tcPr>
          <w:p w:rsidR="005F78FC" w:rsidRDefault="00B42EF3">
            <w:pPr>
              <w:pStyle w:val="TableBodyText"/>
            </w:pPr>
            <w:r>
              <w:t>05A8</w:t>
            </w:r>
          </w:p>
        </w:tc>
      </w:tr>
      <w:tr w:rsidR="005F78FC" w:rsidTr="005F78FC">
        <w:tc>
          <w:tcPr>
            <w:tcW w:w="0" w:type="auto"/>
            <w:vAlign w:val="center"/>
          </w:tcPr>
          <w:p w:rsidR="005F78FC" w:rsidRDefault="00B42EF3">
            <w:pPr>
              <w:pStyle w:val="TableBodyText"/>
            </w:pPr>
            <w:r>
              <w:t>NewStyle</w:t>
            </w:r>
          </w:p>
        </w:tc>
        <w:tc>
          <w:tcPr>
            <w:tcW w:w="0" w:type="auto"/>
            <w:vAlign w:val="center"/>
          </w:tcPr>
          <w:p w:rsidR="005F78FC" w:rsidRDefault="00B42EF3">
            <w:pPr>
              <w:pStyle w:val="TableBodyText"/>
            </w:pPr>
            <w:r>
              <w:t>079E</w:t>
            </w:r>
          </w:p>
        </w:tc>
      </w:tr>
      <w:tr w:rsidR="005F78FC" w:rsidTr="005F78FC">
        <w:tc>
          <w:tcPr>
            <w:tcW w:w="0" w:type="auto"/>
            <w:vAlign w:val="center"/>
          </w:tcPr>
          <w:p w:rsidR="005F78FC" w:rsidRDefault="00B42EF3">
            <w:pPr>
              <w:pStyle w:val="TableBodyText"/>
            </w:pPr>
            <w:r>
              <w:t>NewToolbar</w:t>
            </w:r>
          </w:p>
        </w:tc>
        <w:tc>
          <w:tcPr>
            <w:tcW w:w="0" w:type="auto"/>
            <w:vAlign w:val="center"/>
          </w:tcPr>
          <w:p w:rsidR="005F78FC" w:rsidRDefault="00B42EF3">
            <w:pPr>
              <w:pStyle w:val="TableBodyText"/>
            </w:pPr>
            <w:r>
              <w:t>024A</w:t>
            </w:r>
          </w:p>
        </w:tc>
      </w:tr>
      <w:tr w:rsidR="005F78FC" w:rsidTr="005F78FC">
        <w:tc>
          <w:tcPr>
            <w:tcW w:w="0" w:type="auto"/>
            <w:vAlign w:val="center"/>
          </w:tcPr>
          <w:p w:rsidR="005F78FC" w:rsidRDefault="00B42EF3">
            <w:pPr>
              <w:pStyle w:val="TableBodyText"/>
            </w:pPr>
            <w:r>
              <w:t>NextCell</w:t>
            </w:r>
          </w:p>
        </w:tc>
        <w:tc>
          <w:tcPr>
            <w:tcW w:w="0" w:type="auto"/>
            <w:vAlign w:val="center"/>
          </w:tcPr>
          <w:p w:rsidR="005F78FC" w:rsidRDefault="00B42EF3">
            <w:pPr>
              <w:pStyle w:val="TableBodyText"/>
            </w:pPr>
            <w:r>
              <w:t>010E</w:t>
            </w:r>
          </w:p>
        </w:tc>
      </w:tr>
      <w:tr w:rsidR="005F78FC" w:rsidTr="005F78FC">
        <w:tc>
          <w:tcPr>
            <w:tcW w:w="0" w:type="auto"/>
            <w:vAlign w:val="center"/>
          </w:tcPr>
          <w:p w:rsidR="005F78FC" w:rsidRDefault="00B42EF3">
            <w:pPr>
              <w:pStyle w:val="TableBodyText"/>
            </w:pPr>
            <w:r>
              <w:t>NextChangeOrComment</w:t>
            </w:r>
          </w:p>
        </w:tc>
        <w:tc>
          <w:tcPr>
            <w:tcW w:w="0" w:type="auto"/>
            <w:vAlign w:val="center"/>
          </w:tcPr>
          <w:p w:rsidR="005F78FC" w:rsidRDefault="00B42EF3">
            <w:pPr>
              <w:pStyle w:val="TableBodyText"/>
            </w:pPr>
            <w:r>
              <w:t>050E</w:t>
            </w:r>
          </w:p>
        </w:tc>
      </w:tr>
      <w:tr w:rsidR="005F78FC" w:rsidTr="005F78FC">
        <w:tc>
          <w:tcPr>
            <w:tcW w:w="0" w:type="auto"/>
            <w:vAlign w:val="center"/>
          </w:tcPr>
          <w:p w:rsidR="005F78FC" w:rsidRDefault="00B42EF3">
            <w:pPr>
              <w:pStyle w:val="TableBodyText"/>
            </w:pPr>
            <w:r>
              <w:t>NextComment</w:t>
            </w:r>
          </w:p>
        </w:tc>
        <w:tc>
          <w:tcPr>
            <w:tcW w:w="0" w:type="auto"/>
            <w:vAlign w:val="center"/>
          </w:tcPr>
          <w:p w:rsidR="005F78FC" w:rsidRDefault="00B42EF3">
            <w:pPr>
              <w:pStyle w:val="TableBodyText"/>
            </w:pPr>
            <w:r>
              <w:t>07DE</w:t>
            </w:r>
          </w:p>
        </w:tc>
      </w:tr>
      <w:tr w:rsidR="005F78FC" w:rsidTr="005F78FC">
        <w:tc>
          <w:tcPr>
            <w:tcW w:w="0" w:type="auto"/>
            <w:vAlign w:val="center"/>
          </w:tcPr>
          <w:p w:rsidR="005F78FC" w:rsidRDefault="00B42EF3">
            <w:pPr>
              <w:pStyle w:val="TableBodyText"/>
            </w:pPr>
            <w:r>
              <w:t>NextField</w:t>
            </w:r>
          </w:p>
        </w:tc>
        <w:tc>
          <w:tcPr>
            <w:tcW w:w="0" w:type="auto"/>
            <w:vAlign w:val="center"/>
          </w:tcPr>
          <w:p w:rsidR="005F78FC" w:rsidRDefault="00B42EF3">
            <w:pPr>
              <w:pStyle w:val="TableBodyText"/>
            </w:pPr>
            <w:r>
              <w:t>0019</w:t>
            </w:r>
          </w:p>
        </w:tc>
      </w:tr>
      <w:tr w:rsidR="005F78FC" w:rsidTr="005F78FC">
        <w:tc>
          <w:tcPr>
            <w:tcW w:w="0" w:type="auto"/>
            <w:vAlign w:val="center"/>
          </w:tcPr>
          <w:p w:rsidR="005F78FC" w:rsidRDefault="00B42EF3">
            <w:pPr>
              <w:pStyle w:val="TableBodyText"/>
            </w:pPr>
            <w:r>
              <w:t>NextInsert</w:t>
            </w:r>
          </w:p>
        </w:tc>
        <w:tc>
          <w:tcPr>
            <w:tcW w:w="0" w:type="auto"/>
            <w:vAlign w:val="center"/>
          </w:tcPr>
          <w:p w:rsidR="005F78FC" w:rsidRDefault="00B42EF3">
            <w:pPr>
              <w:pStyle w:val="TableBodyText"/>
            </w:pPr>
            <w:r>
              <w:t>0344</w:t>
            </w:r>
          </w:p>
        </w:tc>
      </w:tr>
      <w:tr w:rsidR="005F78FC" w:rsidTr="005F78FC">
        <w:tc>
          <w:tcPr>
            <w:tcW w:w="0" w:type="auto"/>
            <w:vAlign w:val="center"/>
          </w:tcPr>
          <w:p w:rsidR="005F78FC" w:rsidRDefault="00B42EF3">
            <w:pPr>
              <w:pStyle w:val="TableBodyText"/>
            </w:pPr>
            <w:r>
              <w:t>NextMisspelling</w:t>
            </w:r>
          </w:p>
        </w:tc>
        <w:tc>
          <w:tcPr>
            <w:tcW w:w="0" w:type="auto"/>
            <w:vAlign w:val="center"/>
          </w:tcPr>
          <w:p w:rsidR="005F78FC" w:rsidRDefault="00B42EF3">
            <w:pPr>
              <w:pStyle w:val="TableBodyText"/>
            </w:pPr>
            <w:r>
              <w:t>02F7</w:t>
            </w:r>
          </w:p>
        </w:tc>
      </w:tr>
      <w:tr w:rsidR="005F78FC" w:rsidTr="005F78FC">
        <w:tc>
          <w:tcPr>
            <w:tcW w:w="0" w:type="auto"/>
            <w:vAlign w:val="center"/>
          </w:tcPr>
          <w:p w:rsidR="005F78FC" w:rsidRDefault="00B42EF3">
            <w:pPr>
              <w:pStyle w:val="TableBodyText"/>
            </w:pPr>
            <w:r>
              <w:t>NextObject</w:t>
            </w:r>
          </w:p>
        </w:tc>
        <w:tc>
          <w:tcPr>
            <w:tcW w:w="0" w:type="auto"/>
            <w:vAlign w:val="center"/>
          </w:tcPr>
          <w:p w:rsidR="005F78FC" w:rsidRDefault="00B42EF3">
            <w:pPr>
              <w:pStyle w:val="TableBodyText"/>
            </w:pPr>
            <w:r>
              <w:t>004C</w:t>
            </w:r>
          </w:p>
        </w:tc>
      </w:tr>
      <w:tr w:rsidR="005F78FC" w:rsidTr="005F78FC">
        <w:tc>
          <w:tcPr>
            <w:tcW w:w="0" w:type="auto"/>
            <w:vAlign w:val="center"/>
          </w:tcPr>
          <w:p w:rsidR="005F78FC" w:rsidRDefault="00B42EF3">
            <w:pPr>
              <w:pStyle w:val="TableBodyText"/>
            </w:pPr>
            <w:r>
              <w:t>NextPage</w:t>
            </w:r>
          </w:p>
        </w:tc>
        <w:tc>
          <w:tcPr>
            <w:tcW w:w="0" w:type="auto"/>
            <w:vAlign w:val="center"/>
          </w:tcPr>
          <w:p w:rsidR="005F78FC" w:rsidRDefault="00B42EF3">
            <w:pPr>
              <w:pStyle w:val="TableBodyText"/>
            </w:pPr>
            <w:r>
              <w:t>004B</w:t>
            </w:r>
          </w:p>
        </w:tc>
      </w:tr>
      <w:tr w:rsidR="005F78FC" w:rsidTr="005F78FC">
        <w:tc>
          <w:tcPr>
            <w:tcW w:w="0" w:type="auto"/>
            <w:vAlign w:val="center"/>
          </w:tcPr>
          <w:p w:rsidR="005F78FC" w:rsidRDefault="00B42EF3">
            <w:pPr>
              <w:pStyle w:val="TableBodyText"/>
            </w:pPr>
            <w:r>
              <w:t>NextPane</w:t>
            </w:r>
          </w:p>
        </w:tc>
        <w:tc>
          <w:tcPr>
            <w:tcW w:w="0" w:type="auto"/>
            <w:vAlign w:val="center"/>
          </w:tcPr>
          <w:p w:rsidR="005F78FC" w:rsidRDefault="00B42EF3">
            <w:pPr>
              <w:pStyle w:val="TableBodyText"/>
            </w:pPr>
            <w:r>
              <w:t>0999</w:t>
            </w:r>
          </w:p>
        </w:tc>
      </w:tr>
      <w:tr w:rsidR="005F78FC" w:rsidTr="005F78FC">
        <w:tc>
          <w:tcPr>
            <w:tcW w:w="0" w:type="auto"/>
            <w:vAlign w:val="center"/>
          </w:tcPr>
          <w:p w:rsidR="005F78FC" w:rsidRDefault="00B42EF3">
            <w:pPr>
              <w:pStyle w:val="TableBodyText"/>
            </w:pPr>
            <w:r>
              <w:t>NextWindow</w:t>
            </w:r>
          </w:p>
        </w:tc>
        <w:tc>
          <w:tcPr>
            <w:tcW w:w="0" w:type="auto"/>
            <w:vAlign w:val="center"/>
          </w:tcPr>
          <w:p w:rsidR="005F78FC" w:rsidRDefault="00B42EF3">
            <w:pPr>
              <w:pStyle w:val="TableBodyText"/>
            </w:pPr>
            <w:r>
              <w:t>0016</w:t>
            </w:r>
          </w:p>
        </w:tc>
      </w:tr>
      <w:tr w:rsidR="005F78FC" w:rsidTr="005F78FC">
        <w:tc>
          <w:tcPr>
            <w:tcW w:w="0" w:type="auto"/>
            <w:vAlign w:val="center"/>
          </w:tcPr>
          <w:p w:rsidR="005F78FC" w:rsidRDefault="00B42EF3">
            <w:pPr>
              <w:pStyle w:val="TableBodyText"/>
            </w:pPr>
            <w:r>
              <w:t>NoInsertionDeletionBalloons</w:t>
            </w:r>
          </w:p>
        </w:tc>
        <w:tc>
          <w:tcPr>
            <w:tcW w:w="0" w:type="auto"/>
            <w:vAlign w:val="center"/>
          </w:tcPr>
          <w:p w:rsidR="005F78FC" w:rsidRDefault="00B42EF3">
            <w:pPr>
              <w:pStyle w:val="TableBodyText"/>
            </w:pPr>
            <w:r>
              <w:t>05A9</w:t>
            </w:r>
          </w:p>
        </w:tc>
      </w:tr>
      <w:tr w:rsidR="005F78FC" w:rsidTr="005F78FC">
        <w:tc>
          <w:tcPr>
            <w:tcW w:w="0" w:type="auto"/>
            <w:vAlign w:val="center"/>
          </w:tcPr>
          <w:p w:rsidR="005F78FC" w:rsidRDefault="00B42EF3">
            <w:pPr>
              <w:pStyle w:val="TableBodyText"/>
            </w:pPr>
            <w:r>
              <w:t>NormalFontPosition</w:t>
            </w:r>
          </w:p>
        </w:tc>
        <w:tc>
          <w:tcPr>
            <w:tcW w:w="0" w:type="auto"/>
            <w:vAlign w:val="center"/>
          </w:tcPr>
          <w:p w:rsidR="005F78FC" w:rsidRDefault="00B42EF3">
            <w:pPr>
              <w:pStyle w:val="TableBodyText"/>
            </w:pPr>
            <w:r>
              <w:t>023C</w:t>
            </w:r>
          </w:p>
        </w:tc>
      </w:tr>
      <w:tr w:rsidR="005F78FC" w:rsidTr="005F78FC">
        <w:tc>
          <w:tcPr>
            <w:tcW w:w="0" w:type="auto"/>
            <w:vAlign w:val="center"/>
          </w:tcPr>
          <w:p w:rsidR="005F78FC" w:rsidRDefault="00B42EF3">
            <w:pPr>
              <w:pStyle w:val="TableBodyText"/>
            </w:pPr>
            <w:r>
              <w:t>NormalFontSpacing</w:t>
            </w:r>
          </w:p>
        </w:tc>
        <w:tc>
          <w:tcPr>
            <w:tcW w:w="0" w:type="auto"/>
            <w:vAlign w:val="center"/>
          </w:tcPr>
          <w:p w:rsidR="005F78FC" w:rsidRDefault="00B42EF3">
            <w:pPr>
              <w:pStyle w:val="TableBodyText"/>
            </w:pPr>
            <w:r>
              <w:t>023B</w:t>
            </w:r>
          </w:p>
        </w:tc>
      </w:tr>
      <w:tr w:rsidR="005F78FC" w:rsidTr="005F78FC">
        <w:tc>
          <w:tcPr>
            <w:tcW w:w="0" w:type="auto"/>
            <w:vAlign w:val="center"/>
          </w:tcPr>
          <w:p w:rsidR="005F78FC" w:rsidRDefault="00B42EF3">
            <w:pPr>
              <w:pStyle w:val="TableBodyText"/>
            </w:pPr>
            <w:r>
              <w:t>NormalStyle</w:t>
            </w:r>
          </w:p>
        </w:tc>
        <w:tc>
          <w:tcPr>
            <w:tcW w:w="0" w:type="auto"/>
            <w:vAlign w:val="center"/>
          </w:tcPr>
          <w:p w:rsidR="005F78FC" w:rsidRDefault="00B42EF3">
            <w:pPr>
              <w:pStyle w:val="TableBodyText"/>
            </w:pPr>
            <w:r>
              <w:t>00F8</w:t>
            </w:r>
          </w:p>
        </w:tc>
      </w:tr>
      <w:tr w:rsidR="005F78FC" w:rsidTr="005F78FC">
        <w:tc>
          <w:tcPr>
            <w:tcW w:w="0" w:type="auto"/>
            <w:vAlign w:val="center"/>
          </w:tcPr>
          <w:p w:rsidR="005F78FC" w:rsidRDefault="00B42EF3">
            <w:pPr>
              <w:pStyle w:val="TableBodyText"/>
            </w:pPr>
            <w:r>
              <w:lastRenderedPageBreak/>
              <w:t>NormalViewHeaderArea</w:t>
            </w:r>
          </w:p>
        </w:tc>
        <w:tc>
          <w:tcPr>
            <w:tcW w:w="0" w:type="auto"/>
            <w:vAlign w:val="center"/>
          </w:tcPr>
          <w:p w:rsidR="005F78FC" w:rsidRDefault="00B42EF3">
            <w:pPr>
              <w:pStyle w:val="TableBodyText"/>
            </w:pPr>
            <w:r>
              <w:t>009B</w:t>
            </w:r>
          </w:p>
        </w:tc>
      </w:tr>
      <w:tr w:rsidR="005F78FC" w:rsidTr="005F78FC">
        <w:tc>
          <w:tcPr>
            <w:tcW w:w="0" w:type="auto"/>
            <w:vAlign w:val="center"/>
          </w:tcPr>
          <w:p w:rsidR="005F78FC" w:rsidRDefault="00B42EF3">
            <w:pPr>
              <w:pStyle w:val="TableBodyText"/>
            </w:pPr>
            <w:r>
              <w:t>NormalizeText</w:t>
            </w:r>
          </w:p>
        </w:tc>
        <w:tc>
          <w:tcPr>
            <w:tcW w:w="0" w:type="auto"/>
            <w:vAlign w:val="center"/>
          </w:tcPr>
          <w:p w:rsidR="005F78FC" w:rsidRDefault="00B42EF3">
            <w:pPr>
              <w:pStyle w:val="TableBodyText"/>
            </w:pPr>
            <w:r>
              <w:t>04F8</w:t>
            </w:r>
          </w:p>
        </w:tc>
      </w:tr>
      <w:tr w:rsidR="005F78FC" w:rsidTr="005F78FC">
        <w:tc>
          <w:tcPr>
            <w:tcW w:w="0" w:type="auto"/>
            <w:vAlign w:val="center"/>
          </w:tcPr>
          <w:p w:rsidR="005F78FC" w:rsidRDefault="00B42EF3">
            <w:pPr>
              <w:pStyle w:val="TableBodyText"/>
            </w:pPr>
            <w:r>
              <w:t>NoteOptions</w:t>
            </w:r>
          </w:p>
        </w:tc>
        <w:tc>
          <w:tcPr>
            <w:tcW w:w="0" w:type="auto"/>
            <w:vAlign w:val="center"/>
          </w:tcPr>
          <w:p w:rsidR="005F78FC" w:rsidRDefault="00B42EF3">
            <w:pPr>
              <w:pStyle w:val="TableBodyText"/>
            </w:pPr>
            <w:r>
              <w:t>0175</w:t>
            </w:r>
          </w:p>
        </w:tc>
      </w:tr>
      <w:tr w:rsidR="005F78FC" w:rsidTr="005F78FC">
        <w:tc>
          <w:tcPr>
            <w:tcW w:w="0" w:type="auto"/>
            <w:vAlign w:val="center"/>
          </w:tcPr>
          <w:p w:rsidR="005F78FC" w:rsidRDefault="00B42EF3">
            <w:pPr>
              <w:pStyle w:val="TableBodyText"/>
            </w:pPr>
            <w:r>
              <w:t>NumberingGallery</w:t>
            </w:r>
          </w:p>
        </w:tc>
        <w:tc>
          <w:tcPr>
            <w:tcW w:w="0" w:type="auto"/>
            <w:vAlign w:val="center"/>
          </w:tcPr>
          <w:p w:rsidR="005F78FC" w:rsidRDefault="00B42EF3">
            <w:pPr>
              <w:pStyle w:val="TableBodyText"/>
            </w:pPr>
            <w:r>
              <w:t>07AC</w:t>
            </w:r>
          </w:p>
        </w:tc>
      </w:tr>
      <w:tr w:rsidR="005F78FC" w:rsidTr="005F78FC">
        <w:tc>
          <w:tcPr>
            <w:tcW w:w="0" w:type="auto"/>
            <w:vAlign w:val="center"/>
          </w:tcPr>
          <w:p w:rsidR="005F78FC" w:rsidRDefault="00B42EF3">
            <w:pPr>
              <w:pStyle w:val="TableBodyText"/>
            </w:pPr>
            <w:r>
              <w:t>OK</w:t>
            </w:r>
          </w:p>
        </w:tc>
        <w:tc>
          <w:tcPr>
            <w:tcW w:w="0" w:type="auto"/>
            <w:vAlign w:val="center"/>
          </w:tcPr>
          <w:p w:rsidR="005F78FC" w:rsidRDefault="00B42EF3">
            <w:pPr>
              <w:pStyle w:val="TableBodyText"/>
            </w:pPr>
            <w:r>
              <w:t>0047</w:t>
            </w:r>
          </w:p>
        </w:tc>
      </w:tr>
      <w:tr w:rsidR="005F78FC" w:rsidTr="005F78FC">
        <w:tc>
          <w:tcPr>
            <w:tcW w:w="0" w:type="auto"/>
            <w:vAlign w:val="center"/>
          </w:tcPr>
          <w:p w:rsidR="005F78FC" w:rsidRDefault="00B42EF3">
            <w:pPr>
              <w:pStyle w:val="TableBodyText"/>
            </w:pPr>
            <w:r>
              <w:t>OartCommand</w:t>
            </w:r>
          </w:p>
        </w:tc>
        <w:tc>
          <w:tcPr>
            <w:tcW w:w="0" w:type="auto"/>
            <w:vAlign w:val="center"/>
          </w:tcPr>
          <w:p w:rsidR="005F78FC" w:rsidRDefault="00B42EF3">
            <w:pPr>
              <w:pStyle w:val="TableBodyText"/>
            </w:pPr>
            <w:r>
              <w:t>0812</w:t>
            </w:r>
          </w:p>
        </w:tc>
      </w:tr>
      <w:tr w:rsidR="005F78FC" w:rsidTr="005F78FC">
        <w:tc>
          <w:tcPr>
            <w:tcW w:w="0" w:type="auto"/>
            <w:vAlign w:val="center"/>
          </w:tcPr>
          <w:p w:rsidR="005F78FC" w:rsidRDefault="00B42EF3">
            <w:pPr>
              <w:pStyle w:val="TableBodyText"/>
            </w:pPr>
            <w:r>
              <w:t>OfficeCenter</w:t>
            </w:r>
          </w:p>
        </w:tc>
        <w:tc>
          <w:tcPr>
            <w:tcW w:w="0" w:type="auto"/>
            <w:vAlign w:val="center"/>
          </w:tcPr>
          <w:p w:rsidR="005F78FC" w:rsidRDefault="00B42EF3">
            <w:pPr>
              <w:pStyle w:val="TableBodyText"/>
            </w:pPr>
            <w:r>
              <w:t>17D0</w:t>
            </w:r>
          </w:p>
        </w:tc>
      </w:tr>
      <w:tr w:rsidR="005F78FC" w:rsidTr="005F78FC">
        <w:tc>
          <w:tcPr>
            <w:tcW w:w="0" w:type="auto"/>
            <w:vAlign w:val="center"/>
          </w:tcPr>
          <w:p w:rsidR="005F78FC" w:rsidRDefault="00B42EF3">
            <w:pPr>
              <w:pStyle w:val="TableBodyText"/>
            </w:pPr>
            <w:r>
              <w:t>OfficeDrawingCommand</w:t>
            </w:r>
          </w:p>
        </w:tc>
        <w:tc>
          <w:tcPr>
            <w:tcW w:w="0" w:type="auto"/>
            <w:vAlign w:val="center"/>
          </w:tcPr>
          <w:p w:rsidR="005F78FC" w:rsidRDefault="00B42EF3">
            <w:pPr>
              <w:pStyle w:val="TableBodyText"/>
            </w:pPr>
            <w:r>
              <w:t>0395</w:t>
            </w:r>
          </w:p>
        </w:tc>
      </w:tr>
      <w:tr w:rsidR="005F78FC" w:rsidTr="005F78FC">
        <w:tc>
          <w:tcPr>
            <w:tcW w:w="0" w:type="auto"/>
            <w:vAlign w:val="center"/>
          </w:tcPr>
          <w:p w:rsidR="005F78FC" w:rsidRDefault="00B42EF3">
            <w:pPr>
              <w:pStyle w:val="TableBodyText"/>
            </w:pPr>
            <w:r>
              <w:t>OfficeOnTheWeb</w:t>
            </w:r>
          </w:p>
        </w:tc>
        <w:tc>
          <w:tcPr>
            <w:tcW w:w="0" w:type="auto"/>
            <w:vAlign w:val="center"/>
          </w:tcPr>
          <w:p w:rsidR="005F78FC" w:rsidRDefault="00B42EF3">
            <w:pPr>
              <w:pStyle w:val="TableBodyText"/>
            </w:pPr>
            <w:r>
              <w:t>0243</w:t>
            </w:r>
          </w:p>
        </w:tc>
      </w:tr>
      <w:tr w:rsidR="005F78FC" w:rsidTr="005F78FC">
        <w:tc>
          <w:tcPr>
            <w:tcW w:w="0" w:type="auto"/>
            <w:vAlign w:val="center"/>
          </w:tcPr>
          <w:p w:rsidR="005F78FC" w:rsidRDefault="00B42EF3">
            <w:pPr>
              <w:pStyle w:val="TableBodyText"/>
            </w:pPr>
            <w:r>
              <w:t>OnlineMeeting</w:t>
            </w:r>
          </w:p>
        </w:tc>
        <w:tc>
          <w:tcPr>
            <w:tcW w:w="0" w:type="auto"/>
            <w:vAlign w:val="center"/>
          </w:tcPr>
          <w:p w:rsidR="005F78FC" w:rsidRDefault="00B42EF3">
            <w:pPr>
              <w:pStyle w:val="TableBodyText"/>
            </w:pPr>
            <w:r>
              <w:t>0470</w:t>
            </w:r>
          </w:p>
        </w:tc>
      </w:tr>
      <w:tr w:rsidR="005F78FC" w:rsidTr="005F78FC">
        <w:tc>
          <w:tcPr>
            <w:tcW w:w="0" w:type="auto"/>
            <w:vAlign w:val="center"/>
          </w:tcPr>
          <w:p w:rsidR="005F78FC" w:rsidRDefault="00B42EF3">
            <w:pPr>
              <w:pStyle w:val="TableBodyText"/>
            </w:pPr>
            <w:r>
              <w:t>OpenOrCloseParaAbove</w:t>
            </w:r>
          </w:p>
        </w:tc>
        <w:tc>
          <w:tcPr>
            <w:tcW w:w="0" w:type="auto"/>
            <w:vAlign w:val="center"/>
          </w:tcPr>
          <w:p w:rsidR="005F78FC" w:rsidRDefault="00B42EF3">
            <w:pPr>
              <w:pStyle w:val="TableBodyText"/>
            </w:pPr>
            <w:r>
              <w:t>0992</w:t>
            </w:r>
          </w:p>
        </w:tc>
      </w:tr>
      <w:tr w:rsidR="005F78FC" w:rsidTr="005F78FC">
        <w:tc>
          <w:tcPr>
            <w:tcW w:w="0" w:type="auto"/>
            <w:vAlign w:val="center"/>
          </w:tcPr>
          <w:p w:rsidR="005F78FC" w:rsidRDefault="00B42EF3">
            <w:pPr>
              <w:pStyle w:val="TableBodyText"/>
            </w:pPr>
            <w:r>
              <w:t>OpenOrCloseParaBelow</w:t>
            </w:r>
          </w:p>
        </w:tc>
        <w:tc>
          <w:tcPr>
            <w:tcW w:w="0" w:type="auto"/>
            <w:vAlign w:val="center"/>
          </w:tcPr>
          <w:p w:rsidR="005F78FC" w:rsidRDefault="00B42EF3">
            <w:pPr>
              <w:pStyle w:val="TableBodyText"/>
            </w:pPr>
            <w:r>
              <w:t>0993</w:t>
            </w:r>
          </w:p>
        </w:tc>
      </w:tr>
      <w:tr w:rsidR="005F78FC" w:rsidTr="005F78FC">
        <w:tc>
          <w:tcPr>
            <w:tcW w:w="0" w:type="auto"/>
            <w:vAlign w:val="center"/>
          </w:tcPr>
          <w:p w:rsidR="005F78FC" w:rsidRDefault="00B42EF3">
            <w:pPr>
              <w:pStyle w:val="TableBodyText"/>
            </w:pPr>
            <w:r>
              <w:t>OpenOrCloseUpPara</w:t>
            </w:r>
          </w:p>
        </w:tc>
        <w:tc>
          <w:tcPr>
            <w:tcW w:w="0" w:type="auto"/>
            <w:vAlign w:val="center"/>
          </w:tcPr>
          <w:p w:rsidR="005F78FC" w:rsidRDefault="00B42EF3">
            <w:pPr>
              <w:pStyle w:val="TableBodyText"/>
            </w:pPr>
            <w:r>
              <w:t>02BA</w:t>
            </w:r>
          </w:p>
        </w:tc>
      </w:tr>
      <w:tr w:rsidR="005F78FC" w:rsidTr="005F78FC">
        <w:tc>
          <w:tcPr>
            <w:tcW w:w="0" w:type="auto"/>
            <w:vAlign w:val="center"/>
          </w:tcPr>
          <w:p w:rsidR="005F78FC" w:rsidRDefault="00B42EF3">
            <w:pPr>
              <w:pStyle w:val="TableBodyText"/>
            </w:pPr>
            <w:r>
              <w:t>OpenParaAbove</w:t>
            </w:r>
          </w:p>
        </w:tc>
        <w:tc>
          <w:tcPr>
            <w:tcW w:w="0" w:type="auto"/>
            <w:vAlign w:val="center"/>
          </w:tcPr>
          <w:p w:rsidR="005F78FC" w:rsidRDefault="00B42EF3">
            <w:pPr>
              <w:pStyle w:val="TableBodyText"/>
            </w:pPr>
            <w:r>
              <w:t>0994</w:t>
            </w:r>
          </w:p>
        </w:tc>
      </w:tr>
      <w:tr w:rsidR="005F78FC" w:rsidTr="005F78FC">
        <w:tc>
          <w:tcPr>
            <w:tcW w:w="0" w:type="auto"/>
            <w:vAlign w:val="center"/>
          </w:tcPr>
          <w:p w:rsidR="005F78FC" w:rsidRDefault="00B42EF3">
            <w:pPr>
              <w:pStyle w:val="TableBodyText"/>
            </w:pPr>
            <w:r>
              <w:t>OpenParaBelow</w:t>
            </w:r>
          </w:p>
        </w:tc>
        <w:tc>
          <w:tcPr>
            <w:tcW w:w="0" w:type="auto"/>
            <w:vAlign w:val="center"/>
          </w:tcPr>
          <w:p w:rsidR="005F78FC" w:rsidRDefault="00B42EF3">
            <w:pPr>
              <w:pStyle w:val="TableBodyText"/>
            </w:pPr>
            <w:r>
              <w:t>0996</w:t>
            </w:r>
          </w:p>
        </w:tc>
      </w:tr>
      <w:tr w:rsidR="005F78FC" w:rsidTr="005F78FC">
        <w:tc>
          <w:tcPr>
            <w:tcW w:w="0" w:type="auto"/>
            <w:vAlign w:val="center"/>
          </w:tcPr>
          <w:p w:rsidR="005F78FC" w:rsidRDefault="00B42EF3">
            <w:pPr>
              <w:pStyle w:val="TableBodyText"/>
            </w:pPr>
            <w:r>
              <w:t>OpenSubdocument</w:t>
            </w:r>
          </w:p>
        </w:tc>
        <w:tc>
          <w:tcPr>
            <w:tcW w:w="0" w:type="auto"/>
            <w:vAlign w:val="center"/>
          </w:tcPr>
          <w:p w:rsidR="005F78FC" w:rsidRDefault="00B42EF3">
            <w:pPr>
              <w:pStyle w:val="TableBodyText"/>
            </w:pPr>
            <w:r>
              <w:t>0257</w:t>
            </w:r>
          </w:p>
        </w:tc>
      </w:tr>
      <w:tr w:rsidR="005F78FC" w:rsidTr="005F78FC">
        <w:tc>
          <w:tcPr>
            <w:tcW w:w="0" w:type="auto"/>
            <w:vAlign w:val="center"/>
          </w:tcPr>
          <w:p w:rsidR="005F78FC" w:rsidRDefault="00B42EF3">
            <w:pPr>
              <w:pStyle w:val="TableBodyText"/>
            </w:pPr>
            <w:r>
              <w:t>OpenUpPara</w:t>
            </w:r>
          </w:p>
        </w:tc>
        <w:tc>
          <w:tcPr>
            <w:tcW w:w="0" w:type="auto"/>
            <w:vAlign w:val="center"/>
          </w:tcPr>
          <w:p w:rsidR="005F78FC" w:rsidRDefault="00B42EF3">
            <w:pPr>
              <w:pStyle w:val="TableBodyText"/>
            </w:pPr>
            <w:r>
              <w:t>0042</w:t>
            </w:r>
          </w:p>
        </w:tc>
      </w:tr>
      <w:tr w:rsidR="005F78FC" w:rsidTr="005F78FC">
        <w:tc>
          <w:tcPr>
            <w:tcW w:w="0" w:type="auto"/>
            <w:vAlign w:val="center"/>
          </w:tcPr>
          <w:p w:rsidR="005F78FC" w:rsidRDefault="00B42EF3">
            <w:pPr>
              <w:pStyle w:val="TableBodyText"/>
            </w:pPr>
            <w:r>
              <w:t>Organizer</w:t>
            </w:r>
          </w:p>
        </w:tc>
        <w:tc>
          <w:tcPr>
            <w:tcW w:w="0" w:type="auto"/>
            <w:vAlign w:val="center"/>
          </w:tcPr>
          <w:p w:rsidR="005F78FC" w:rsidRDefault="00B42EF3">
            <w:pPr>
              <w:pStyle w:val="TableBodyText"/>
            </w:pPr>
            <w:r>
              <w:t>00DE</w:t>
            </w:r>
          </w:p>
        </w:tc>
      </w:tr>
      <w:tr w:rsidR="005F78FC" w:rsidTr="005F78FC">
        <w:tc>
          <w:tcPr>
            <w:tcW w:w="0" w:type="auto"/>
            <w:vAlign w:val="center"/>
          </w:tcPr>
          <w:p w:rsidR="005F78FC" w:rsidRDefault="00B42EF3">
            <w:pPr>
              <w:pStyle w:val="TableBodyText"/>
            </w:pPr>
            <w:r>
              <w:t>OtherPane</w:t>
            </w:r>
          </w:p>
        </w:tc>
        <w:tc>
          <w:tcPr>
            <w:tcW w:w="0" w:type="auto"/>
            <w:vAlign w:val="center"/>
          </w:tcPr>
          <w:p w:rsidR="005F78FC" w:rsidRDefault="00B42EF3">
            <w:pPr>
              <w:pStyle w:val="TableBodyText"/>
            </w:pPr>
            <w:r>
              <w:t>0015</w:t>
            </w:r>
          </w:p>
        </w:tc>
      </w:tr>
      <w:tr w:rsidR="005F78FC" w:rsidTr="005F78FC">
        <w:tc>
          <w:tcPr>
            <w:tcW w:w="0" w:type="auto"/>
            <w:vAlign w:val="center"/>
          </w:tcPr>
          <w:p w:rsidR="005F78FC" w:rsidRDefault="00B42EF3">
            <w:pPr>
              <w:pStyle w:val="TableBodyText"/>
            </w:pPr>
            <w:r>
              <w:t>OutlineCollapse</w:t>
            </w:r>
          </w:p>
        </w:tc>
        <w:tc>
          <w:tcPr>
            <w:tcW w:w="0" w:type="auto"/>
            <w:vAlign w:val="center"/>
          </w:tcPr>
          <w:p w:rsidR="005F78FC" w:rsidRDefault="00B42EF3">
            <w:pPr>
              <w:pStyle w:val="TableBodyText"/>
            </w:pPr>
            <w:r>
              <w:t>00FA</w:t>
            </w:r>
          </w:p>
        </w:tc>
      </w:tr>
      <w:tr w:rsidR="005F78FC" w:rsidTr="005F78FC">
        <w:tc>
          <w:tcPr>
            <w:tcW w:w="0" w:type="auto"/>
            <w:vAlign w:val="center"/>
          </w:tcPr>
          <w:p w:rsidR="005F78FC" w:rsidRDefault="00B42EF3">
            <w:pPr>
              <w:pStyle w:val="TableBodyText"/>
            </w:pPr>
            <w:r>
              <w:t>OutlineDemote</w:t>
            </w:r>
          </w:p>
        </w:tc>
        <w:tc>
          <w:tcPr>
            <w:tcW w:w="0" w:type="auto"/>
            <w:vAlign w:val="center"/>
          </w:tcPr>
          <w:p w:rsidR="005F78FC" w:rsidRDefault="00B42EF3">
            <w:pPr>
              <w:pStyle w:val="TableBodyText"/>
            </w:pPr>
            <w:r>
              <w:t>00F5</w:t>
            </w:r>
          </w:p>
        </w:tc>
      </w:tr>
      <w:tr w:rsidR="005F78FC" w:rsidTr="005F78FC">
        <w:tc>
          <w:tcPr>
            <w:tcW w:w="0" w:type="auto"/>
            <w:vAlign w:val="center"/>
          </w:tcPr>
          <w:p w:rsidR="005F78FC" w:rsidRDefault="00B42EF3">
            <w:pPr>
              <w:pStyle w:val="TableBodyText"/>
            </w:pPr>
            <w:r>
              <w:t>OutlineExpand</w:t>
            </w:r>
          </w:p>
        </w:tc>
        <w:tc>
          <w:tcPr>
            <w:tcW w:w="0" w:type="auto"/>
            <w:vAlign w:val="center"/>
          </w:tcPr>
          <w:p w:rsidR="005F78FC" w:rsidRDefault="00B42EF3">
            <w:pPr>
              <w:pStyle w:val="TableBodyText"/>
            </w:pPr>
            <w:r>
              <w:t>00F9</w:t>
            </w:r>
          </w:p>
        </w:tc>
      </w:tr>
      <w:tr w:rsidR="005F78FC" w:rsidTr="005F78FC">
        <w:tc>
          <w:tcPr>
            <w:tcW w:w="0" w:type="auto"/>
            <w:vAlign w:val="center"/>
          </w:tcPr>
          <w:p w:rsidR="005F78FC" w:rsidRDefault="00B42EF3">
            <w:pPr>
              <w:pStyle w:val="TableBodyText"/>
            </w:pPr>
            <w:r>
              <w:t>OutlineLevel</w:t>
            </w:r>
          </w:p>
        </w:tc>
        <w:tc>
          <w:tcPr>
            <w:tcW w:w="0" w:type="auto"/>
            <w:vAlign w:val="center"/>
          </w:tcPr>
          <w:p w:rsidR="005F78FC" w:rsidRDefault="00B42EF3">
            <w:pPr>
              <w:pStyle w:val="TableBodyText"/>
            </w:pPr>
            <w:r>
              <w:t>056F</w:t>
            </w:r>
          </w:p>
        </w:tc>
      </w:tr>
      <w:tr w:rsidR="005F78FC" w:rsidTr="005F78FC">
        <w:tc>
          <w:tcPr>
            <w:tcW w:w="0" w:type="auto"/>
            <w:vAlign w:val="center"/>
          </w:tcPr>
          <w:p w:rsidR="005F78FC" w:rsidRDefault="00B42EF3">
            <w:pPr>
              <w:pStyle w:val="TableBodyText"/>
            </w:pPr>
            <w:r>
              <w:t>OutlineLevelGallery</w:t>
            </w:r>
          </w:p>
        </w:tc>
        <w:tc>
          <w:tcPr>
            <w:tcW w:w="0" w:type="auto"/>
            <w:vAlign w:val="center"/>
          </w:tcPr>
          <w:p w:rsidR="005F78FC" w:rsidRDefault="00B42EF3">
            <w:pPr>
              <w:pStyle w:val="TableBodyText"/>
            </w:pPr>
            <w:r>
              <w:t>082F</w:t>
            </w:r>
          </w:p>
        </w:tc>
      </w:tr>
      <w:tr w:rsidR="005F78FC" w:rsidTr="005F78FC">
        <w:tc>
          <w:tcPr>
            <w:tcW w:w="0" w:type="auto"/>
            <w:vAlign w:val="center"/>
          </w:tcPr>
          <w:p w:rsidR="005F78FC" w:rsidRDefault="00B42EF3">
            <w:pPr>
              <w:pStyle w:val="TableBodyText"/>
            </w:pPr>
            <w:r>
              <w:t>OutlineMoveDown</w:t>
            </w:r>
          </w:p>
        </w:tc>
        <w:tc>
          <w:tcPr>
            <w:tcW w:w="0" w:type="auto"/>
            <w:vAlign w:val="center"/>
          </w:tcPr>
          <w:p w:rsidR="005F78FC" w:rsidRDefault="00B42EF3">
            <w:pPr>
              <w:pStyle w:val="TableBodyText"/>
            </w:pPr>
            <w:r>
              <w:t>00F7</w:t>
            </w:r>
          </w:p>
        </w:tc>
      </w:tr>
      <w:tr w:rsidR="005F78FC" w:rsidTr="005F78FC">
        <w:tc>
          <w:tcPr>
            <w:tcW w:w="0" w:type="auto"/>
            <w:vAlign w:val="center"/>
          </w:tcPr>
          <w:p w:rsidR="005F78FC" w:rsidRDefault="00B42EF3">
            <w:pPr>
              <w:pStyle w:val="TableBodyText"/>
            </w:pPr>
            <w:r>
              <w:t>OutlineMoveUp</w:t>
            </w:r>
          </w:p>
        </w:tc>
        <w:tc>
          <w:tcPr>
            <w:tcW w:w="0" w:type="auto"/>
            <w:vAlign w:val="center"/>
          </w:tcPr>
          <w:p w:rsidR="005F78FC" w:rsidRDefault="00B42EF3">
            <w:pPr>
              <w:pStyle w:val="TableBodyText"/>
            </w:pPr>
            <w:r>
              <w:t>00F6</w:t>
            </w:r>
          </w:p>
        </w:tc>
      </w:tr>
      <w:tr w:rsidR="005F78FC" w:rsidTr="005F78FC">
        <w:tc>
          <w:tcPr>
            <w:tcW w:w="0" w:type="auto"/>
            <w:vAlign w:val="center"/>
          </w:tcPr>
          <w:p w:rsidR="005F78FC" w:rsidRDefault="00B42EF3">
            <w:pPr>
              <w:pStyle w:val="TableBodyText"/>
            </w:pPr>
            <w:r>
              <w:t>OutlineNumberingGallery</w:t>
            </w:r>
          </w:p>
        </w:tc>
        <w:tc>
          <w:tcPr>
            <w:tcW w:w="0" w:type="auto"/>
            <w:vAlign w:val="center"/>
          </w:tcPr>
          <w:p w:rsidR="005F78FC" w:rsidRDefault="00B42EF3">
            <w:pPr>
              <w:pStyle w:val="TableBodyText"/>
            </w:pPr>
            <w:r>
              <w:t>0879</w:t>
            </w:r>
          </w:p>
        </w:tc>
      </w:tr>
      <w:tr w:rsidR="005F78FC" w:rsidTr="005F78FC">
        <w:tc>
          <w:tcPr>
            <w:tcW w:w="0" w:type="auto"/>
            <w:vAlign w:val="center"/>
          </w:tcPr>
          <w:p w:rsidR="005F78FC" w:rsidRDefault="00B42EF3">
            <w:pPr>
              <w:pStyle w:val="TableBodyText"/>
            </w:pPr>
            <w:r>
              <w:t>OutlinePromote</w:t>
            </w:r>
          </w:p>
        </w:tc>
        <w:tc>
          <w:tcPr>
            <w:tcW w:w="0" w:type="auto"/>
            <w:vAlign w:val="center"/>
          </w:tcPr>
          <w:p w:rsidR="005F78FC" w:rsidRDefault="00B42EF3">
            <w:pPr>
              <w:pStyle w:val="TableBodyText"/>
            </w:pPr>
            <w:r>
              <w:t>00F4</w:t>
            </w:r>
          </w:p>
        </w:tc>
      </w:tr>
      <w:tr w:rsidR="005F78FC" w:rsidTr="005F78FC">
        <w:tc>
          <w:tcPr>
            <w:tcW w:w="0" w:type="auto"/>
            <w:vAlign w:val="center"/>
          </w:tcPr>
          <w:p w:rsidR="005F78FC" w:rsidRDefault="00B42EF3">
            <w:pPr>
              <w:pStyle w:val="TableBodyText"/>
            </w:pPr>
            <w:r>
              <w:t>OutlinePromoteHeading1</w:t>
            </w:r>
          </w:p>
        </w:tc>
        <w:tc>
          <w:tcPr>
            <w:tcW w:w="0" w:type="auto"/>
            <w:vAlign w:val="center"/>
          </w:tcPr>
          <w:p w:rsidR="005F78FC" w:rsidRDefault="00B42EF3">
            <w:pPr>
              <w:pStyle w:val="TableBodyText"/>
            </w:pPr>
            <w:r>
              <w:t>0550</w:t>
            </w:r>
          </w:p>
        </w:tc>
      </w:tr>
      <w:tr w:rsidR="005F78FC" w:rsidTr="005F78FC">
        <w:tc>
          <w:tcPr>
            <w:tcW w:w="0" w:type="auto"/>
            <w:vAlign w:val="center"/>
          </w:tcPr>
          <w:p w:rsidR="005F78FC" w:rsidRDefault="00B42EF3">
            <w:pPr>
              <w:pStyle w:val="TableBodyText"/>
            </w:pPr>
            <w:r>
              <w:t>OutlineShowFirstLine</w:t>
            </w:r>
          </w:p>
        </w:tc>
        <w:tc>
          <w:tcPr>
            <w:tcW w:w="0" w:type="auto"/>
            <w:vAlign w:val="center"/>
          </w:tcPr>
          <w:p w:rsidR="005F78FC" w:rsidRDefault="00B42EF3">
            <w:pPr>
              <w:pStyle w:val="TableBodyText"/>
            </w:pPr>
            <w:r>
              <w:t>0105</w:t>
            </w:r>
          </w:p>
        </w:tc>
      </w:tr>
      <w:tr w:rsidR="005F78FC" w:rsidTr="005F78FC">
        <w:tc>
          <w:tcPr>
            <w:tcW w:w="0" w:type="auto"/>
            <w:vAlign w:val="center"/>
          </w:tcPr>
          <w:p w:rsidR="005F78FC" w:rsidRDefault="00B42EF3">
            <w:pPr>
              <w:pStyle w:val="TableBodyText"/>
            </w:pPr>
            <w:r>
              <w:t>OutlineShowFormat</w:t>
            </w:r>
          </w:p>
        </w:tc>
        <w:tc>
          <w:tcPr>
            <w:tcW w:w="0" w:type="auto"/>
            <w:vAlign w:val="center"/>
          </w:tcPr>
          <w:p w:rsidR="005F78FC" w:rsidRDefault="00B42EF3">
            <w:pPr>
              <w:pStyle w:val="TableBodyText"/>
            </w:pPr>
            <w:r>
              <w:t>0106</w:t>
            </w:r>
          </w:p>
        </w:tc>
      </w:tr>
      <w:tr w:rsidR="005F78FC" w:rsidTr="005F78FC">
        <w:tc>
          <w:tcPr>
            <w:tcW w:w="0" w:type="auto"/>
            <w:vAlign w:val="center"/>
          </w:tcPr>
          <w:p w:rsidR="005F78FC" w:rsidRDefault="00B42EF3">
            <w:pPr>
              <w:pStyle w:val="TableBodyText"/>
            </w:pPr>
            <w:r>
              <w:t>OutlookInsertFile</w:t>
            </w:r>
          </w:p>
        </w:tc>
        <w:tc>
          <w:tcPr>
            <w:tcW w:w="0" w:type="auto"/>
            <w:vAlign w:val="center"/>
          </w:tcPr>
          <w:p w:rsidR="005F78FC" w:rsidRDefault="00B42EF3">
            <w:pPr>
              <w:pStyle w:val="TableBodyText"/>
            </w:pPr>
            <w:r>
              <w:t>0869</w:t>
            </w:r>
          </w:p>
        </w:tc>
      </w:tr>
      <w:tr w:rsidR="005F78FC" w:rsidTr="005F78FC">
        <w:tc>
          <w:tcPr>
            <w:tcW w:w="0" w:type="auto"/>
            <w:vAlign w:val="center"/>
          </w:tcPr>
          <w:p w:rsidR="005F78FC" w:rsidRDefault="00B42EF3">
            <w:pPr>
              <w:pStyle w:val="TableBodyText"/>
            </w:pPr>
            <w:r>
              <w:lastRenderedPageBreak/>
              <w:t>OutlookInsertFile2</w:t>
            </w:r>
          </w:p>
        </w:tc>
        <w:tc>
          <w:tcPr>
            <w:tcW w:w="0" w:type="auto"/>
            <w:vAlign w:val="center"/>
          </w:tcPr>
          <w:p w:rsidR="005F78FC" w:rsidRDefault="00B42EF3">
            <w:pPr>
              <w:pStyle w:val="TableBodyText"/>
            </w:pPr>
            <w:r>
              <w:t>093F</w:t>
            </w:r>
          </w:p>
        </w:tc>
      </w:tr>
      <w:tr w:rsidR="005F78FC" w:rsidTr="005F78FC">
        <w:tc>
          <w:tcPr>
            <w:tcW w:w="0" w:type="auto"/>
            <w:vAlign w:val="center"/>
          </w:tcPr>
          <w:p w:rsidR="005F78FC" w:rsidRDefault="00B42EF3">
            <w:pPr>
              <w:pStyle w:val="TableBodyText"/>
            </w:pPr>
            <w:r>
              <w:t>OutlookViewZoom</w:t>
            </w:r>
          </w:p>
        </w:tc>
        <w:tc>
          <w:tcPr>
            <w:tcW w:w="0" w:type="auto"/>
            <w:vAlign w:val="center"/>
          </w:tcPr>
          <w:p w:rsidR="005F78FC" w:rsidRDefault="00B42EF3">
            <w:pPr>
              <w:pStyle w:val="TableBodyText"/>
            </w:pPr>
            <w:r>
              <w:t>0889</w:t>
            </w:r>
          </w:p>
        </w:tc>
      </w:tr>
      <w:tr w:rsidR="005F78FC" w:rsidTr="005F78FC">
        <w:tc>
          <w:tcPr>
            <w:tcW w:w="0" w:type="auto"/>
            <w:vAlign w:val="center"/>
          </w:tcPr>
          <w:p w:rsidR="005F78FC" w:rsidRDefault="00B42EF3">
            <w:pPr>
              <w:pStyle w:val="TableBodyText"/>
            </w:pPr>
            <w:r>
              <w:t>Overtype</w:t>
            </w:r>
          </w:p>
        </w:tc>
        <w:tc>
          <w:tcPr>
            <w:tcW w:w="0" w:type="auto"/>
            <w:vAlign w:val="center"/>
          </w:tcPr>
          <w:p w:rsidR="005F78FC" w:rsidRDefault="00B42EF3">
            <w:pPr>
              <w:pStyle w:val="TableBodyText"/>
            </w:pPr>
            <w:r>
              <w:t>000D</w:t>
            </w:r>
          </w:p>
        </w:tc>
      </w:tr>
      <w:tr w:rsidR="005F78FC" w:rsidTr="005F78FC">
        <w:tc>
          <w:tcPr>
            <w:tcW w:w="0" w:type="auto"/>
            <w:vAlign w:val="center"/>
          </w:tcPr>
          <w:p w:rsidR="005F78FC" w:rsidRDefault="00B42EF3">
            <w:pPr>
              <w:pStyle w:val="TableBodyText"/>
            </w:pPr>
            <w:r>
              <w:t>PPPropertyEditorDlg</w:t>
            </w:r>
          </w:p>
        </w:tc>
        <w:tc>
          <w:tcPr>
            <w:tcW w:w="0" w:type="auto"/>
            <w:vAlign w:val="center"/>
          </w:tcPr>
          <w:p w:rsidR="005F78FC" w:rsidRDefault="00B42EF3">
            <w:pPr>
              <w:pStyle w:val="TableBodyText"/>
            </w:pPr>
            <w:r>
              <w:t>1BE3</w:t>
            </w:r>
          </w:p>
        </w:tc>
      </w:tr>
      <w:tr w:rsidR="005F78FC" w:rsidTr="005F78FC">
        <w:tc>
          <w:tcPr>
            <w:tcW w:w="0" w:type="auto"/>
            <w:vAlign w:val="center"/>
          </w:tcPr>
          <w:p w:rsidR="005F78FC" w:rsidRDefault="00B42EF3">
            <w:pPr>
              <w:pStyle w:val="TableBodyText"/>
            </w:pPr>
            <w:r>
              <w:t>PageDown</w:t>
            </w:r>
          </w:p>
        </w:tc>
        <w:tc>
          <w:tcPr>
            <w:tcW w:w="0" w:type="auto"/>
            <w:vAlign w:val="center"/>
          </w:tcPr>
          <w:p w:rsidR="005F78FC" w:rsidRDefault="00B42EF3">
            <w:pPr>
              <w:pStyle w:val="TableBodyText"/>
            </w:pPr>
            <w:r>
              <w:t>0FAB</w:t>
            </w:r>
          </w:p>
        </w:tc>
      </w:tr>
      <w:tr w:rsidR="005F78FC" w:rsidTr="005F78FC">
        <w:tc>
          <w:tcPr>
            <w:tcW w:w="0" w:type="auto"/>
            <w:vAlign w:val="center"/>
          </w:tcPr>
          <w:p w:rsidR="005F78FC" w:rsidRDefault="00B42EF3">
            <w:pPr>
              <w:pStyle w:val="TableBodyText"/>
            </w:pPr>
            <w:r>
              <w:t>PageDownExtend</w:t>
            </w:r>
          </w:p>
        </w:tc>
        <w:tc>
          <w:tcPr>
            <w:tcW w:w="0" w:type="auto"/>
            <w:vAlign w:val="center"/>
          </w:tcPr>
          <w:p w:rsidR="005F78FC" w:rsidRDefault="00B42EF3">
            <w:pPr>
              <w:pStyle w:val="TableBodyText"/>
            </w:pPr>
            <w:r>
              <w:t>0FBD</w:t>
            </w:r>
          </w:p>
        </w:tc>
      </w:tr>
      <w:tr w:rsidR="005F78FC" w:rsidTr="005F78FC">
        <w:tc>
          <w:tcPr>
            <w:tcW w:w="0" w:type="auto"/>
            <w:vAlign w:val="center"/>
          </w:tcPr>
          <w:p w:rsidR="005F78FC" w:rsidRDefault="00B42EF3">
            <w:pPr>
              <w:pStyle w:val="TableBodyText"/>
            </w:pPr>
            <w:r>
              <w:t>PageMarginsGallery</w:t>
            </w:r>
          </w:p>
        </w:tc>
        <w:tc>
          <w:tcPr>
            <w:tcW w:w="0" w:type="auto"/>
            <w:vAlign w:val="center"/>
          </w:tcPr>
          <w:p w:rsidR="005F78FC" w:rsidRDefault="00B42EF3">
            <w:pPr>
              <w:pStyle w:val="TableBodyText"/>
            </w:pPr>
            <w:r>
              <w:t>07B1</w:t>
            </w:r>
          </w:p>
        </w:tc>
      </w:tr>
      <w:tr w:rsidR="005F78FC" w:rsidTr="005F78FC">
        <w:tc>
          <w:tcPr>
            <w:tcW w:w="0" w:type="auto"/>
            <w:vAlign w:val="center"/>
          </w:tcPr>
          <w:p w:rsidR="005F78FC" w:rsidRDefault="00B42EF3">
            <w:pPr>
              <w:pStyle w:val="TableBodyText"/>
            </w:pPr>
            <w:r>
              <w:t>PageOrientationGallery</w:t>
            </w:r>
          </w:p>
        </w:tc>
        <w:tc>
          <w:tcPr>
            <w:tcW w:w="0" w:type="auto"/>
            <w:vAlign w:val="center"/>
          </w:tcPr>
          <w:p w:rsidR="005F78FC" w:rsidRDefault="00B42EF3">
            <w:pPr>
              <w:pStyle w:val="TableBodyText"/>
            </w:pPr>
            <w:r>
              <w:t>079B</w:t>
            </w:r>
          </w:p>
        </w:tc>
      </w:tr>
      <w:tr w:rsidR="005F78FC" w:rsidTr="005F78FC">
        <w:tc>
          <w:tcPr>
            <w:tcW w:w="0" w:type="auto"/>
            <w:vAlign w:val="center"/>
          </w:tcPr>
          <w:p w:rsidR="005F78FC" w:rsidRDefault="00B42EF3">
            <w:pPr>
              <w:pStyle w:val="TableBodyText"/>
            </w:pPr>
            <w:r>
              <w:t>PageSetupLayout</w:t>
            </w:r>
          </w:p>
        </w:tc>
        <w:tc>
          <w:tcPr>
            <w:tcW w:w="0" w:type="auto"/>
            <w:vAlign w:val="center"/>
          </w:tcPr>
          <w:p w:rsidR="005F78FC" w:rsidRDefault="00B42EF3">
            <w:pPr>
              <w:pStyle w:val="TableBodyText"/>
            </w:pPr>
            <w:r>
              <w:t>10F7</w:t>
            </w:r>
          </w:p>
        </w:tc>
      </w:tr>
      <w:tr w:rsidR="005F78FC" w:rsidTr="005F78FC">
        <w:tc>
          <w:tcPr>
            <w:tcW w:w="0" w:type="auto"/>
            <w:vAlign w:val="center"/>
          </w:tcPr>
          <w:p w:rsidR="005F78FC" w:rsidRDefault="00B42EF3">
            <w:pPr>
              <w:pStyle w:val="TableBodyText"/>
            </w:pPr>
            <w:r>
              <w:t>PageSetupMargins</w:t>
            </w:r>
          </w:p>
        </w:tc>
        <w:tc>
          <w:tcPr>
            <w:tcW w:w="0" w:type="auto"/>
            <w:vAlign w:val="center"/>
          </w:tcPr>
          <w:p w:rsidR="005F78FC" w:rsidRDefault="00B42EF3">
            <w:pPr>
              <w:pStyle w:val="TableBodyText"/>
            </w:pPr>
            <w:r>
              <w:t>10F5</w:t>
            </w:r>
          </w:p>
        </w:tc>
      </w:tr>
      <w:tr w:rsidR="005F78FC" w:rsidTr="005F78FC">
        <w:tc>
          <w:tcPr>
            <w:tcW w:w="0" w:type="auto"/>
            <w:vAlign w:val="center"/>
          </w:tcPr>
          <w:p w:rsidR="005F78FC" w:rsidRDefault="00B42EF3">
            <w:pPr>
              <w:pStyle w:val="TableBodyText"/>
            </w:pPr>
            <w:r>
              <w:t>PageSetupPaper</w:t>
            </w:r>
          </w:p>
        </w:tc>
        <w:tc>
          <w:tcPr>
            <w:tcW w:w="0" w:type="auto"/>
            <w:vAlign w:val="center"/>
          </w:tcPr>
          <w:p w:rsidR="005F78FC" w:rsidRDefault="00B42EF3">
            <w:pPr>
              <w:pStyle w:val="TableBodyText"/>
            </w:pPr>
            <w:r>
              <w:t>10F6</w:t>
            </w:r>
          </w:p>
        </w:tc>
      </w:tr>
      <w:tr w:rsidR="005F78FC" w:rsidTr="005F78FC">
        <w:tc>
          <w:tcPr>
            <w:tcW w:w="0" w:type="auto"/>
            <w:vAlign w:val="center"/>
          </w:tcPr>
          <w:p w:rsidR="005F78FC" w:rsidRDefault="00B42EF3">
            <w:pPr>
              <w:pStyle w:val="TableBodyText"/>
            </w:pPr>
            <w:r>
              <w:t>PageSizeGallery</w:t>
            </w:r>
          </w:p>
        </w:tc>
        <w:tc>
          <w:tcPr>
            <w:tcW w:w="0" w:type="auto"/>
            <w:vAlign w:val="center"/>
          </w:tcPr>
          <w:p w:rsidR="005F78FC" w:rsidRDefault="00B42EF3">
            <w:pPr>
              <w:pStyle w:val="TableBodyText"/>
            </w:pPr>
            <w:r>
              <w:t>08D0</w:t>
            </w:r>
          </w:p>
        </w:tc>
      </w:tr>
      <w:tr w:rsidR="005F78FC" w:rsidTr="005F78FC">
        <w:tc>
          <w:tcPr>
            <w:tcW w:w="0" w:type="auto"/>
            <w:vAlign w:val="center"/>
          </w:tcPr>
          <w:p w:rsidR="005F78FC" w:rsidRDefault="00B42EF3">
            <w:pPr>
              <w:pStyle w:val="TableBodyText"/>
            </w:pPr>
            <w:r>
              <w:t>PageUp</w:t>
            </w:r>
          </w:p>
        </w:tc>
        <w:tc>
          <w:tcPr>
            <w:tcW w:w="0" w:type="auto"/>
            <w:vAlign w:val="center"/>
          </w:tcPr>
          <w:p w:rsidR="005F78FC" w:rsidRDefault="00B42EF3">
            <w:pPr>
              <w:pStyle w:val="TableBodyText"/>
            </w:pPr>
            <w:r>
              <w:t>0FAA</w:t>
            </w:r>
          </w:p>
        </w:tc>
      </w:tr>
      <w:tr w:rsidR="005F78FC" w:rsidTr="005F78FC">
        <w:tc>
          <w:tcPr>
            <w:tcW w:w="0" w:type="auto"/>
            <w:vAlign w:val="center"/>
          </w:tcPr>
          <w:p w:rsidR="005F78FC" w:rsidRDefault="00B42EF3">
            <w:pPr>
              <w:pStyle w:val="TableBodyText"/>
            </w:pPr>
            <w:r>
              <w:t>PageUpExtend</w:t>
            </w:r>
          </w:p>
        </w:tc>
        <w:tc>
          <w:tcPr>
            <w:tcW w:w="0" w:type="auto"/>
            <w:vAlign w:val="center"/>
          </w:tcPr>
          <w:p w:rsidR="005F78FC" w:rsidRDefault="00B42EF3">
            <w:pPr>
              <w:pStyle w:val="TableBodyText"/>
            </w:pPr>
            <w:r>
              <w:t>0FBC</w:t>
            </w:r>
          </w:p>
        </w:tc>
      </w:tr>
      <w:tr w:rsidR="005F78FC" w:rsidTr="005F78FC">
        <w:tc>
          <w:tcPr>
            <w:tcW w:w="0" w:type="auto"/>
            <w:vAlign w:val="center"/>
          </w:tcPr>
          <w:p w:rsidR="005F78FC" w:rsidRDefault="00B42EF3">
            <w:pPr>
              <w:pStyle w:val="TableBodyText"/>
            </w:pPr>
            <w:r>
              <w:t>ParaDown</w:t>
            </w:r>
          </w:p>
        </w:tc>
        <w:tc>
          <w:tcPr>
            <w:tcW w:w="0" w:type="auto"/>
            <w:vAlign w:val="center"/>
          </w:tcPr>
          <w:p w:rsidR="005F78FC" w:rsidRDefault="00B42EF3">
            <w:pPr>
              <w:pStyle w:val="TableBodyText"/>
            </w:pPr>
            <w:r>
              <w:t>0FA7</w:t>
            </w:r>
          </w:p>
        </w:tc>
      </w:tr>
      <w:tr w:rsidR="005F78FC" w:rsidTr="005F78FC">
        <w:tc>
          <w:tcPr>
            <w:tcW w:w="0" w:type="auto"/>
            <w:vAlign w:val="center"/>
          </w:tcPr>
          <w:p w:rsidR="005F78FC" w:rsidRDefault="00B42EF3">
            <w:pPr>
              <w:pStyle w:val="TableBodyText"/>
            </w:pPr>
            <w:r>
              <w:t>ParaDownExtend</w:t>
            </w:r>
          </w:p>
        </w:tc>
        <w:tc>
          <w:tcPr>
            <w:tcW w:w="0" w:type="auto"/>
            <w:vAlign w:val="center"/>
          </w:tcPr>
          <w:p w:rsidR="005F78FC" w:rsidRDefault="00B42EF3">
            <w:pPr>
              <w:pStyle w:val="TableBodyText"/>
            </w:pPr>
            <w:r>
              <w:t>0FB9</w:t>
            </w:r>
          </w:p>
        </w:tc>
      </w:tr>
      <w:tr w:rsidR="005F78FC" w:rsidTr="005F78FC">
        <w:tc>
          <w:tcPr>
            <w:tcW w:w="0" w:type="auto"/>
            <w:vAlign w:val="center"/>
          </w:tcPr>
          <w:p w:rsidR="005F78FC" w:rsidRDefault="00B42EF3">
            <w:pPr>
              <w:pStyle w:val="TableBodyText"/>
            </w:pPr>
            <w:r>
              <w:t>ParaKeepLinesTogether</w:t>
            </w:r>
          </w:p>
        </w:tc>
        <w:tc>
          <w:tcPr>
            <w:tcW w:w="0" w:type="auto"/>
            <w:vAlign w:val="center"/>
          </w:tcPr>
          <w:p w:rsidR="005F78FC" w:rsidRDefault="00B42EF3">
            <w:pPr>
              <w:pStyle w:val="TableBodyText"/>
            </w:pPr>
            <w:r>
              <w:t>026D</w:t>
            </w:r>
          </w:p>
        </w:tc>
      </w:tr>
      <w:tr w:rsidR="005F78FC" w:rsidTr="005F78FC">
        <w:tc>
          <w:tcPr>
            <w:tcW w:w="0" w:type="auto"/>
            <w:vAlign w:val="center"/>
          </w:tcPr>
          <w:p w:rsidR="005F78FC" w:rsidRDefault="00B42EF3">
            <w:pPr>
              <w:pStyle w:val="TableBodyText"/>
            </w:pPr>
            <w:r>
              <w:t>ParaKeepWithNext</w:t>
            </w:r>
          </w:p>
        </w:tc>
        <w:tc>
          <w:tcPr>
            <w:tcW w:w="0" w:type="auto"/>
            <w:vAlign w:val="center"/>
          </w:tcPr>
          <w:p w:rsidR="005F78FC" w:rsidRDefault="00B42EF3">
            <w:pPr>
              <w:pStyle w:val="TableBodyText"/>
            </w:pPr>
            <w:r>
              <w:t>026E</w:t>
            </w:r>
          </w:p>
        </w:tc>
      </w:tr>
      <w:tr w:rsidR="005F78FC" w:rsidTr="005F78FC">
        <w:tc>
          <w:tcPr>
            <w:tcW w:w="0" w:type="auto"/>
            <w:vAlign w:val="center"/>
          </w:tcPr>
          <w:p w:rsidR="005F78FC" w:rsidRDefault="00B42EF3">
            <w:pPr>
              <w:pStyle w:val="TableBodyText"/>
            </w:pPr>
            <w:r>
              <w:t>ParaPageBreakBefore</w:t>
            </w:r>
          </w:p>
        </w:tc>
        <w:tc>
          <w:tcPr>
            <w:tcW w:w="0" w:type="auto"/>
            <w:vAlign w:val="center"/>
          </w:tcPr>
          <w:p w:rsidR="005F78FC" w:rsidRDefault="00B42EF3">
            <w:pPr>
              <w:pStyle w:val="TableBodyText"/>
            </w:pPr>
            <w:r>
              <w:t>026F</w:t>
            </w:r>
          </w:p>
        </w:tc>
      </w:tr>
      <w:tr w:rsidR="005F78FC" w:rsidTr="005F78FC">
        <w:tc>
          <w:tcPr>
            <w:tcW w:w="0" w:type="auto"/>
            <w:vAlign w:val="center"/>
          </w:tcPr>
          <w:p w:rsidR="005F78FC" w:rsidRDefault="00B42EF3">
            <w:pPr>
              <w:pStyle w:val="TableBodyText"/>
            </w:pPr>
            <w:r>
              <w:t>ParaUp</w:t>
            </w:r>
          </w:p>
        </w:tc>
        <w:tc>
          <w:tcPr>
            <w:tcW w:w="0" w:type="auto"/>
            <w:vAlign w:val="center"/>
          </w:tcPr>
          <w:p w:rsidR="005F78FC" w:rsidRDefault="00B42EF3">
            <w:pPr>
              <w:pStyle w:val="TableBodyText"/>
            </w:pPr>
            <w:r>
              <w:t>0FA6</w:t>
            </w:r>
          </w:p>
        </w:tc>
      </w:tr>
      <w:tr w:rsidR="005F78FC" w:rsidTr="005F78FC">
        <w:tc>
          <w:tcPr>
            <w:tcW w:w="0" w:type="auto"/>
            <w:vAlign w:val="center"/>
          </w:tcPr>
          <w:p w:rsidR="005F78FC" w:rsidRDefault="00B42EF3">
            <w:pPr>
              <w:pStyle w:val="TableBodyText"/>
            </w:pPr>
            <w:r>
              <w:t>ParaUpExtend</w:t>
            </w:r>
          </w:p>
        </w:tc>
        <w:tc>
          <w:tcPr>
            <w:tcW w:w="0" w:type="auto"/>
            <w:vAlign w:val="center"/>
          </w:tcPr>
          <w:p w:rsidR="005F78FC" w:rsidRDefault="00B42EF3">
            <w:pPr>
              <w:pStyle w:val="TableBodyText"/>
            </w:pPr>
            <w:r>
              <w:t>0FB8</w:t>
            </w:r>
          </w:p>
        </w:tc>
      </w:tr>
      <w:tr w:rsidR="005F78FC" w:rsidTr="005F78FC">
        <w:tc>
          <w:tcPr>
            <w:tcW w:w="0" w:type="auto"/>
            <w:vAlign w:val="center"/>
          </w:tcPr>
          <w:p w:rsidR="005F78FC" w:rsidRDefault="00B42EF3">
            <w:pPr>
              <w:pStyle w:val="TableBodyText"/>
            </w:pPr>
            <w:r>
              <w:t>ParaWidowOrphanControl</w:t>
            </w:r>
          </w:p>
        </w:tc>
        <w:tc>
          <w:tcPr>
            <w:tcW w:w="0" w:type="auto"/>
            <w:vAlign w:val="center"/>
          </w:tcPr>
          <w:p w:rsidR="005F78FC" w:rsidRDefault="00B42EF3">
            <w:pPr>
              <w:pStyle w:val="TableBodyText"/>
            </w:pPr>
            <w:r>
              <w:t>0274</w:t>
            </w:r>
          </w:p>
        </w:tc>
      </w:tr>
      <w:tr w:rsidR="005F78FC" w:rsidTr="005F78FC">
        <w:tc>
          <w:tcPr>
            <w:tcW w:w="0" w:type="auto"/>
            <w:vAlign w:val="center"/>
          </w:tcPr>
          <w:p w:rsidR="005F78FC" w:rsidRDefault="00B42EF3">
            <w:pPr>
              <w:pStyle w:val="TableBodyText"/>
            </w:pPr>
            <w:r>
              <w:t>ParagraphRemoveStyle</w:t>
            </w:r>
          </w:p>
        </w:tc>
        <w:tc>
          <w:tcPr>
            <w:tcW w:w="0" w:type="auto"/>
            <w:vAlign w:val="center"/>
          </w:tcPr>
          <w:p w:rsidR="005F78FC" w:rsidRDefault="00B42EF3">
            <w:pPr>
              <w:pStyle w:val="TableBodyText"/>
            </w:pPr>
            <w:r>
              <w:t>092A</w:t>
            </w:r>
          </w:p>
        </w:tc>
      </w:tr>
      <w:tr w:rsidR="005F78FC" w:rsidTr="005F78FC">
        <w:tc>
          <w:tcPr>
            <w:tcW w:w="0" w:type="auto"/>
            <w:vAlign w:val="center"/>
          </w:tcPr>
          <w:p w:rsidR="005F78FC" w:rsidRDefault="00B42EF3">
            <w:pPr>
              <w:pStyle w:val="TableBodyText"/>
            </w:pPr>
            <w:r>
              <w:t>PasteButtonImage</w:t>
            </w:r>
          </w:p>
        </w:tc>
        <w:tc>
          <w:tcPr>
            <w:tcW w:w="0" w:type="auto"/>
            <w:vAlign w:val="center"/>
          </w:tcPr>
          <w:p w:rsidR="005F78FC" w:rsidRDefault="00B42EF3">
            <w:pPr>
              <w:pStyle w:val="TableBodyText"/>
            </w:pPr>
            <w:r>
              <w:t>020F</w:t>
            </w:r>
          </w:p>
        </w:tc>
      </w:tr>
      <w:tr w:rsidR="005F78FC" w:rsidTr="005F78FC">
        <w:tc>
          <w:tcPr>
            <w:tcW w:w="0" w:type="auto"/>
            <w:vAlign w:val="center"/>
          </w:tcPr>
          <w:p w:rsidR="005F78FC" w:rsidRDefault="00B42EF3">
            <w:pPr>
              <w:pStyle w:val="TableBodyText"/>
            </w:pPr>
            <w:r>
              <w:t>PasteFormat</w:t>
            </w:r>
          </w:p>
        </w:tc>
        <w:tc>
          <w:tcPr>
            <w:tcW w:w="0" w:type="auto"/>
            <w:vAlign w:val="center"/>
          </w:tcPr>
          <w:p w:rsidR="005F78FC" w:rsidRDefault="00B42EF3">
            <w:pPr>
              <w:pStyle w:val="TableBodyText"/>
            </w:pPr>
            <w:r>
              <w:t>01E6</w:t>
            </w:r>
          </w:p>
        </w:tc>
      </w:tr>
      <w:tr w:rsidR="005F78FC" w:rsidTr="005F78FC">
        <w:tc>
          <w:tcPr>
            <w:tcW w:w="0" w:type="auto"/>
            <w:vAlign w:val="center"/>
          </w:tcPr>
          <w:p w:rsidR="005F78FC" w:rsidRDefault="00B42EF3">
            <w:pPr>
              <w:pStyle w:val="TableBodyText"/>
            </w:pPr>
            <w:r>
              <w:t>PauseRecorder</w:t>
            </w:r>
          </w:p>
        </w:tc>
        <w:tc>
          <w:tcPr>
            <w:tcW w:w="0" w:type="auto"/>
            <w:vAlign w:val="center"/>
          </w:tcPr>
          <w:p w:rsidR="005F78FC" w:rsidRDefault="00B42EF3">
            <w:pPr>
              <w:pStyle w:val="TableBodyText"/>
            </w:pPr>
            <w:r>
              <w:t>00D8</w:t>
            </w:r>
          </w:p>
        </w:tc>
      </w:tr>
      <w:tr w:rsidR="005F78FC" w:rsidTr="005F78FC">
        <w:tc>
          <w:tcPr>
            <w:tcW w:w="0" w:type="auto"/>
            <w:vAlign w:val="center"/>
          </w:tcPr>
          <w:p w:rsidR="005F78FC" w:rsidRDefault="00B42EF3">
            <w:pPr>
              <w:pStyle w:val="TableBodyText"/>
            </w:pPr>
            <w:r>
              <w:t>PicturePositionGallery</w:t>
            </w:r>
          </w:p>
        </w:tc>
        <w:tc>
          <w:tcPr>
            <w:tcW w:w="0" w:type="auto"/>
            <w:vAlign w:val="center"/>
          </w:tcPr>
          <w:p w:rsidR="005F78FC" w:rsidRDefault="00B42EF3">
            <w:pPr>
              <w:pStyle w:val="TableBodyText"/>
            </w:pPr>
            <w:r>
              <w:t>08C3</w:t>
            </w:r>
          </w:p>
        </w:tc>
      </w:tr>
      <w:tr w:rsidR="005F78FC" w:rsidTr="005F78FC">
        <w:tc>
          <w:tcPr>
            <w:tcW w:w="0" w:type="auto"/>
            <w:vAlign w:val="center"/>
          </w:tcPr>
          <w:p w:rsidR="005F78FC" w:rsidRDefault="00B42EF3">
            <w:pPr>
              <w:pStyle w:val="TableBodyText"/>
            </w:pPr>
            <w:r>
              <w:t>PostcardWizard</w:t>
            </w:r>
          </w:p>
        </w:tc>
        <w:tc>
          <w:tcPr>
            <w:tcW w:w="0" w:type="auto"/>
            <w:vAlign w:val="center"/>
          </w:tcPr>
          <w:p w:rsidR="005F78FC" w:rsidRDefault="00B42EF3">
            <w:pPr>
              <w:pStyle w:val="TableBodyText"/>
            </w:pPr>
            <w:r>
              <w:t>03DC</w:t>
            </w:r>
          </w:p>
        </w:tc>
      </w:tr>
      <w:tr w:rsidR="005F78FC" w:rsidTr="005F78FC">
        <w:tc>
          <w:tcPr>
            <w:tcW w:w="0" w:type="auto"/>
            <w:vAlign w:val="center"/>
          </w:tcPr>
          <w:p w:rsidR="005F78FC" w:rsidRDefault="00B42EF3">
            <w:pPr>
              <w:pStyle w:val="TableBodyText"/>
            </w:pPr>
            <w:r>
              <w:t>PresentIt</w:t>
            </w:r>
          </w:p>
        </w:tc>
        <w:tc>
          <w:tcPr>
            <w:tcW w:w="0" w:type="auto"/>
            <w:vAlign w:val="center"/>
          </w:tcPr>
          <w:p w:rsidR="005F78FC" w:rsidRDefault="00B42EF3">
            <w:pPr>
              <w:pStyle w:val="TableBodyText"/>
            </w:pPr>
            <w:r>
              <w:t>03C9</w:t>
            </w:r>
          </w:p>
        </w:tc>
      </w:tr>
      <w:tr w:rsidR="005F78FC" w:rsidTr="005F78FC">
        <w:tc>
          <w:tcPr>
            <w:tcW w:w="0" w:type="auto"/>
            <w:vAlign w:val="center"/>
          </w:tcPr>
          <w:p w:rsidR="005F78FC" w:rsidRDefault="00B42EF3">
            <w:pPr>
              <w:pStyle w:val="TableBodyText"/>
            </w:pPr>
            <w:r>
              <w:t>PrevCell</w:t>
            </w:r>
          </w:p>
        </w:tc>
        <w:tc>
          <w:tcPr>
            <w:tcW w:w="0" w:type="auto"/>
            <w:vAlign w:val="center"/>
          </w:tcPr>
          <w:p w:rsidR="005F78FC" w:rsidRDefault="00B42EF3">
            <w:pPr>
              <w:pStyle w:val="TableBodyText"/>
            </w:pPr>
            <w:r>
              <w:t>010F</w:t>
            </w:r>
          </w:p>
        </w:tc>
      </w:tr>
      <w:tr w:rsidR="005F78FC" w:rsidTr="005F78FC">
        <w:tc>
          <w:tcPr>
            <w:tcW w:w="0" w:type="auto"/>
            <w:vAlign w:val="center"/>
          </w:tcPr>
          <w:p w:rsidR="005F78FC" w:rsidRDefault="00B42EF3">
            <w:pPr>
              <w:pStyle w:val="TableBodyText"/>
            </w:pPr>
            <w:r>
              <w:t>PrevField</w:t>
            </w:r>
          </w:p>
        </w:tc>
        <w:tc>
          <w:tcPr>
            <w:tcW w:w="0" w:type="auto"/>
            <w:vAlign w:val="center"/>
          </w:tcPr>
          <w:p w:rsidR="005F78FC" w:rsidRDefault="00B42EF3">
            <w:pPr>
              <w:pStyle w:val="TableBodyText"/>
            </w:pPr>
            <w:r>
              <w:t>001A</w:t>
            </w:r>
          </w:p>
        </w:tc>
      </w:tr>
      <w:tr w:rsidR="005F78FC" w:rsidTr="005F78FC">
        <w:tc>
          <w:tcPr>
            <w:tcW w:w="0" w:type="auto"/>
            <w:vAlign w:val="center"/>
          </w:tcPr>
          <w:p w:rsidR="005F78FC" w:rsidRDefault="00B42EF3">
            <w:pPr>
              <w:pStyle w:val="TableBodyText"/>
            </w:pPr>
            <w:r>
              <w:t>PrevObject</w:t>
            </w:r>
          </w:p>
        </w:tc>
        <w:tc>
          <w:tcPr>
            <w:tcW w:w="0" w:type="auto"/>
            <w:vAlign w:val="center"/>
          </w:tcPr>
          <w:p w:rsidR="005F78FC" w:rsidRDefault="00B42EF3">
            <w:pPr>
              <w:pStyle w:val="TableBodyText"/>
            </w:pPr>
            <w:r>
              <w:t>004D</w:t>
            </w:r>
          </w:p>
        </w:tc>
      </w:tr>
      <w:tr w:rsidR="005F78FC" w:rsidTr="005F78FC">
        <w:tc>
          <w:tcPr>
            <w:tcW w:w="0" w:type="auto"/>
            <w:vAlign w:val="center"/>
          </w:tcPr>
          <w:p w:rsidR="005F78FC" w:rsidRDefault="00B42EF3">
            <w:pPr>
              <w:pStyle w:val="TableBodyText"/>
            </w:pPr>
            <w:r>
              <w:lastRenderedPageBreak/>
              <w:t>PrevPage</w:t>
            </w:r>
          </w:p>
        </w:tc>
        <w:tc>
          <w:tcPr>
            <w:tcW w:w="0" w:type="auto"/>
            <w:vAlign w:val="center"/>
          </w:tcPr>
          <w:p w:rsidR="005F78FC" w:rsidRDefault="00B42EF3">
            <w:pPr>
              <w:pStyle w:val="TableBodyText"/>
            </w:pPr>
            <w:r>
              <w:t>004A</w:t>
            </w:r>
          </w:p>
        </w:tc>
      </w:tr>
      <w:tr w:rsidR="005F78FC" w:rsidTr="005F78FC">
        <w:tc>
          <w:tcPr>
            <w:tcW w:w="0" w:type="auto"/>
            <w:vAlign w:val="center"/>
          </w:tcPr>
          <w:p w:rsidR="005F78FC" w:rsidRDefault="00B42EF3">
            <w:pPr>
              <w:pStyle w:val="TableBodyText"/>
            </w:pPr>
            <w:r>
              <w:t>PrevPane</w:t>
            </w:r>
          </w:p>
        </w:tc>
        <w:tc>
          <w:tcPr>
            <w:tcW w:w="0" w:type="auto"/>
            <w:vAlign w:val="center"/>
          </w:tcPr>
          <w:p w:rsidR="005F78FC" w:rsidRDefault="00B42EF3">
            <w:pPr>
              <w:pStyle w:val="TableBodyText"/>
            </w:pPr>
            <w:r>
              <w:t>099A</w:t>
            </w:r>
          </w:p>
        </w:tc>
      </w:tr>
      <w:tr w:rsidR="005F78FC" w:rsidTr="005F78FC">
        <w:tc>
          <w:tcPr>
            <w:tcW w:w="0" w:type="auto"/>
            <w:vAlign w:val="center"/>
          </w:tcPr>
          <w:p w:rsidR="005F78FC" w:rsidRDefault="00B42EF3">
            <w:pPr>
              <w:pStyle w:val="TableBodyText"/>
            </w:pPr>
            <w:r>
              <w:t>PrevWindow</w:t>
            </w:r>
          </w:p>
        </w:tc>
        <w:tc>
          <w:tcPr>
            <w:tcW w:w="0" w:type="auto"/>
            <w:vAlign w:val="center"/>
          </w:tcPr>
          <w:p w:rsidR="005F78FC" w:rsidRDefault="00B42EF3">
            <w:pPr>
              <w:pStyle w:val="TableBodyText"/>
            </w:pPr>
            <w:r>
              <w:t>0017</w:t>
            </w:r>
          </w:p>
        </w:tc>
      </w:tr>
      <w:tr w:rsidR="005F78FC" w:rsidTr="005F78FC">
        <w:tc>
          <w:tcPr>
            <w:tcW w:w="0" w:type="auto"/>
            <w:vAlign w:val="center"/>
          </w:tcPr>
          <w:p w:rsidR="005F78FC" w:rsidRDefault="00B42EF3">
            <w:pPr>
              <w:pStyle w:val="TableBodyText"/>
            </w:pPr>
            <w:r>
              <w:t>PreviousChangeOrComment</w:t>
            </w:r>
          </w:p>
        </w:tc>
        <w:tc>
          <w:tcPr>
            <w:tcW w:w="0" w:type="auto"/>
            <w:vAlign w:val="center"/>
          </w:tcPr>
          <w:p w:rsidR="005F78FC" w:rsidRDefault="00B42EF3">
            <w:pPr>
              <w:pStyle w:val="TableBodyText"/>
            </w:pPr>
            <w:r>
              <w:t>050D</w:t>
            </w:r>
          </w:p>
        </w:tc>
      </w:tr>
      <w:tr w:rsidR="005F78FC" w:rsidTr="005F78FC">
        <w:tc>
          <w:tcPr>
            <w:tcW w:w="0" w:type="auto"/>
            <w:vAlign w:val="center"/>
          </w:tcPr>
          <w:p w:rsidR="005F78FC" w:rsidRDefault="00B42EF3">
            <w:pPr>
              <w:pStyle w:val="TableBodyText"/>
            </w:pPr>
            <w:r>
              <w:t>PreviousComment</w:t>
            </w:r>
          </w:p>
        </w:tc>
        <w:tc>
          <w:tcPr>
            <w:tcW w:w="0" w:type="auto"/>
            <w:vAlign w:val="center"/>
          </w:tcPr>
          <w:p w:rsidR="005F78FC" w:rsidRDefault="00B42EF3">
            <w:pPr>
              <w:pStyle w:val="TableBodyText"/>
            </w:pPr>
            <w:r>
              <w:t>07DF</w:t>
            </w:r>
          </w:p>
        </w:tc>
      </w:tr>
      <w:tr w:rsidR="005F78FC" w:rsidTr="005F78FC">
        <w:tc>
          <w:tcPr>
            <w:tcW w:w="0" w:type="auto"/>
            <w:vAlign w:val="center"/>
          </w:tcPr>
          <w:p w:rsidR="005F78FC" w:rsidRDefault="00B42EF3">
            <w:pPr>
              <w:pStyle w:val="TableBodyText"/>
            </w:pPr>
            <w:r>
              <w:t>PrivFunctionkey1</w:t>
            </w:r>
          </w:p>
        </w:tc>
        <w:tc>
          <w:tcPr>
            <w:tcW w:w="0" w:type="auto"/>
            <w:vAlign w:val="center"/>
          </w:tcPr>
          <w:p w:rsidR="005F78FC" w:rsidRDefault="00B42EF3">
            <w:pPr>
              <w:pStyle w:val="TableBodyText"/>
            </w:pPr>
            <w:r>
              <w:t>0449</w:t>
            </w:r>
          </w:p>
        </w:tc>
      </w:tr>
      <w:tr w:rsidR="005F78FC" w:rsidTr="005F78FC">
        <w:tc>
          <w:tcPr>
            <w:tcW w:w="0" w:type="auto"/>
            <w:vAlign w:val="center"/>
          </w:tcPr>
          <w:p w:rsidR="005F78FC" w:rsidRDefault="00B42EF3">
            <w:pPr>
              <w:pStyle w:val="TableBodyText"/>
            </w:pPr>
            <w:r>
              <w:t>PrivFunctionkey10</w:t>
            </w:r>
          </w:p>
        </w:tc>
        <w:tc>
          <w:tcPr>
            <w:tcW w:w="0" w:type="auto"/>
            <w:vAlign w:val="center"/>
          </w:tcPr>
          <w:p w:rsidR="005F78FC" w:rsidRDefault="00B42EF3">
            <w:pPr>
              <w:pStyle w:val="TableBodyText"/>
            </w:pPr>
            <w:r>
              <w:t>0452</w:t>
            </w:r>
          </w:p>
        </w:tc>
      </w:tr>
      <w:tr w:rsidR="005F78FC" w:rsidTr="005F78FC">
        <w:tc>
          <w:tcPr>
            <w:tcW w:w="0" w:type="auto"/>
            <w:vAlign w:val="center"/>
          </w:tcPr>
          <w:p w:rsidR="005F78FC" w:rsidRDefault="00B42EF3">
            <w:pPr>
              <w:pStyle w:val="TableBodyText"/>
            </w:pPr>
            <w:r>
              <w:t>PrivFunctionkey11</w:t>
            </w:r>
          </w:p>
        </w:tc>
        <w:tc>
          <w:tcPr>
            <w:tcW w:w="0" w:type="auto"/>
            <w:vAlign w:val="center"/>
          </w:tcPr>
          <w:p w:rsidR="005F78FC" w:rsidRDefault="00B42EF3">
            <w:pPr>
              <w:pStyle w:val="TableBodyText"/>
            </w:pPr>
            <w:r>
              <w:t>0453</w:t>
            </w:r>
          </w:p>
        </w:tc>
      </w:tr>
      <w:tr w:rsidR="005F78FC" w:rsidTr="005F78FC">
        <w:tc>
          <w:tcPr>
            <w:tcW w:w="0" w:type="auto"/>
            <w:vAlign w:val="center"/>
          </w:tcPr>
          <w:p w:rsidR="005F78FC" w:rsidRDefault="00B42EF3">
            <w:pPr>
              <w:pStyle w:val="TableBodyText"/>
            </w:pPr>
            <w:r>
              <w:t>PrivFunctionkey12</w:t>
            </w:r>
          </w:p>
        </w:tc>
        <w:tc>
          <w:tcPr>
            <w:tcW w:w="0" w:type="auto"/>
            <w:vAlign w:val="center"/>
          </w:tcPr>
          <w:p w:rsidR="005F78FC" w:rsidRDefault="00B42EF3">
            <w:pPr>
              <w:pStyle w:val="TableBodyText"/>
            </w:pPr>
            <w:r>
              <w:t>0454</w:t>
            </w:r>
          </w:p>
        </w:tc>
      </w:tr>
      <w:tr w:rsidR="005F78FC" w:rsidTr="005F78FC">
        <w:tc>
          <w:tcPr>
            <w:tcW w:w="0" w:type="auto"/>
            <w:vAlign w:val="center"/>
          </w:tcPr>
          <w:p w:rsidR="005F78FC" w:rsidRDefault="00B42EF3">
            <w:pPr>
              <w:pStyle w:val="TableBodyText"/>
            </w:pPr>
            <w:r>
              <w:t>PrivFunctionkey2</w:t>
            </w:r>
          </w:p>
        </w:tc>
        <w:tc>
          <w:tcPr>
            <w:tcW w:w="0" w:type="auto"/>
            <w:vAlign w:val="center"/>
          </w:tcPr>
          <w:p w:rsidR="005F78FC" w:rsidRDefault="00B42EF3">
            <w:pPr>
              <w:pStyle w:val="TableBodyText"/>
            </w:pPr>
            <w:r>
              <w:t>044A</w:t>
            </w:r>
          </w:p>
        </w:tc>
      </w:tr>
      <w:tr w:rsidR="005F78FC" w:rsidTr="005F78FC">
        <w:tc>
          <w:tcPr>
            <w:tcW w:w="0" w:type="auto"/>
            <w:vAlign w:val="center"/>
          </w:tcPr>
          <w:p w:rsidR="005F78FC" w:rsidRDefault="00B42EF3">
            <w:pPr>
              <w:pStyle w:val="TableBodyText"/>
            </w:pPr>
            <w:r>
              <w:t>PrivFunctionkey3</w:t>
            </w:r>
          </w:p>
        </w:tc>
        <w:tc>
          <w:tcPr>
            <w:tcW w:w="0" w:type="auto"/>
            <w:vAlign w:val="center"/>
          </w:tcPr>
          <w:p w:rsidR="005F78FC" w:rsidRDefault="00B42EF3">
            <w:pPr>
              <w:pStyle w:val="TableBodyText"/>
            </w:pPr>
            <w:r>
              <w:t>044B</w:t>
            </w:r>
          </w:p>
        </w:tc>
      </w:tr>
      <w:tr w:rsidR="005F78FC" w:rsidTr="005F78FC">
        <w:tc>
          <w:tcPr>
            <w:tcW w:w="0" w:type="auto"/>
            <w:vAlign w:val="center"/>
          </w:tcPr>
          <w:p w:rsidR="005F78FC" w:rsidRDefault="00B42EF3">
            <w:pPr>
              <w:pStyle w:val="TableBodyText"/>
            </w:pPr>
            <w:r>
              <w:t>PrivFunctionkey4</w:t>
            </w:r>
          </w:p>
        </w:tc>
        <w:tc>
          <w:tcPr>
            <w:tcW w:w="0" w:type="auto"/>
            <w:vAlign w:val="center"/>
          </w:tcPr>
          <w:p w:rsidR="005F78FC" w:rsidRDefault="00B42EF3">
            <w:pPr>
              <w:pStyle w:val="TableBodyText"/>
            </w:pPr>
            <w:r>
              <w:t>044C</w:t>
            </w:r>
          </w:p>
        </w:tc>
      </w:tr>
      <w:tr w:rsidR="005F78FC" w:rsidTr="005F78FC">
        <w:tc>
          <w:tcPr>
            <w:tcW w:w="0" w:type="auto"/>
            <w:vAlign w:val="center"/>
          </w:tcPr>
          <w:p w:rsidR="005F78FC" w:rsidRDefault="00B42EF3">
            <w:pPr>
              <w:pStyle w:val="TableBodyText"/>
            </w:pPr>
            <w:r>
              <w:t>PrivFunctionkey5</w:t>
            </w:r>
          </w:p>
        </w:tc>
        <w:tc>
          <w:tcPr>
            <w:tcW w:w="0" w:type="auto"/>
            <w:vAlign w:val="center"/>
          </w:tcPr>
          <w:p w:rsidR="005F78FC" w:rsidRDefault="00B42EF3">
            <w:pPr>
              <w:pStyle w:val="TableBodyText"/>
            </w:pPr>
            <w:r>
              <w:t>044D</w:t>
            </w:r>
          </w:p>
        </w:tc>
      </w:tr>
      <w:tr w:rsidR="005F78FC" w:rsidTr="005F78FC">
        <w:tc>
          <w:tcPr>
            <w:tcW w:w="0" w:type="auto"/>
            <w:vAlign w:val="center"/>
          </w:tcPr>
          <w:p w:rsidR="005F78FC" w:rsidRDefault="00B42EF3">
            <w:pPr>
              <w:pStyle w:val="TableBodyText"/>
            </w:pPr>
            <w:r>
              <w:t>PrivFunctionkey6</w:t>
            </w:r>
          </w:p>
        </w:tc>
        <w:tc>
          <w:tcPr>
            <w:tcW w:w="0" w:type="auto"/>
            <w:vAlign w:val="center"/>
          </w:tcPr>
          <w:p w:rsidR="005F78FC" w:rsidRDefault="00B42EF3">
            <w:pPr>
              <w:pStyle w:val="TableBodyText"/>
            </w:pPr>
            <w:r>
              <w:t>044E</w:t>
            </w:r>
          </w:p>
        </w:tc>
      </w:tr>
      <w:tr w:rsidR="005F78FC" w:rsidTr="005F78FC">
        <w:tc>
          <w:tcPr>
            <w:tcW w:w="0" w:type="auto"/>
            <w:vAlign w:val="center"/>
          </w:tcPr>
          <w:p w:rsidR="005F78FC" w:rsidRDefault="00B42EF3">
            <w:pPr>
              <w:pStyle w:val="TableBodyText"/>
            </w:pPr>
            <w:r>
              <w:t>PrivFunctionkey7</w:t>
            </w:r>
          </w:p>
        </w:tc>
        <w:tc>
          <w:tcPr>
            <w:tcW w:w="0" w:type="auto"/>
            <w:vAlign w:val="center"/>
          </w:tcPr>
          <w:p w:rsidR="005F78FC" w:rsidRDefault="00B42EF3">
            <w:pPr>
              <w:pStyle w:val="TableBodyText"/>
            </w:pPr>
            <w:r>
              <w:t>044F</w:t>
            </w:r>
          </w:p>
        </w:tc>
      </w:tr>
      <w:tr w:rsidR="005F78FC" w:rsidTr="005F78FC">
        <w:tc>
          <w:tcPr>
            <w:tcW w:w="0" w:type="auto"/>
            <w:vAlign w:val="center"/>
          </w:tcPr>
          <w:p w:rsidR="005F78FC" w:rsidRDefault="00B42EF3">
            <w:pPr>
              <w:pStyle w:val="TableBodyText"/>
            </w:pPr>
            <w:r>
              <w:t>PrivFunctionkey8</w:t>
            </w:r>
          </w:p>
        </w:tc>
        <w:tc>
          <w:tcPr>
            <w:tcW w:w="0" w:type="auto"/>
            <w:vAlign w:val="center"/>
          </w:tcPr>
          <w:p w:rsidR="005F78FC" w:rsidRDefault="00B42EF3">
            <w:pPr>
              <w:pStyle w:val="TableBodyText"/>
            </w:pPr>
            <w:r>
              <w:t>0450</w:t>
            </w:r>
          </w:p>
        </w:tc>
      </w:tr>
      <w:tr w:rsidR="005F78FC" w:rsidTr="005F78FC">
        <w:tc>
          <w:tcPr>
            <w:tcW w:w="0" w:type="auto"/>
            <w:vAlign w:val="center"/>
          </w:tcPr>
          <w:p w:rsidR="005F78FC" w:rsidRDefault="00B42EF3">
            <w:pPr>
              <w:pStyle w:val="TableBodyText"/>
            </w:pPr>
            <w:r>
              <w:t>PrivFunctionkey9</w:t>
            </w:r>
          </w:p>
        </w:tc>
        <w:tc>
          <w:tcPr>
            <w:tcW w:w="0" w:type="auto"/>
            <w:vAlign w:val="center"/>
          </w:tcPr>
          <w:p w:rsidR="005F78FC" w:rsidRDefault="00B42EF3">
            <w:pPr>
              <w:pStyle w:val="TableBodyText"/>
            </w:pPr>
            <w:r>
              <w:t>0451</w:t>
            </w:r>
          </w:p>
        </w:tc>
      </w:tr>
      <w:tr w:rsidR="005F78FC" w:rsidTr="005F78FC">
        <w:tc>
          <w:tcPr>
            <w:tcW w:w="0" w:type="auto"/>
            <w:vAlign w:val="center"/>
          </w:tcPr>
          <w:p w:rsidR="005F78FC" w:rsidRDefault="00B42EF3">
            <w:pPr>
              <w:pStyle w:val="TableBodyText"/>
            </w:pPr>
            <w:r>
              <w:t>PromoteList</w:t>
            </w:r>
          </w:p>
        </w:tc>
        <w:tc>
          <w:tcPr>
            <w:tcW w:w="0" w:type="auto"/>
            <w:vAlign w:val="center"/>
          </w:tcPr>
          <w:p w:rsidR="005F78FC" w:rsidRDefault="00B42EF3">
            <w:pPr>
              <w:pStyle w:val="TableBodyText"/>
            </w:pPr>
            <w:r>
              <w:t>024F</w:t>
            </w:r>
          </w:p>
        </w:tc>
      </w:tr>
      <w:tr w:rsidR="005F78FC" w:rsidTr="005F78FC">
        <w:tc>
          <w:tcPr>
            <w:tcW w:w="0" w:type="auto"/>
            <w:vAlign w:val="center"/>
          </w:tcPr>
          <w:p w:rsidR="005F78FC" w:rsidRDefault="00B42EF3">
            <w:pPr>
              <w:pStyle w:val="TableBodyText"/>
            </w:pPr>
            <w:r>
              <w:t>PropertiesGallery</w:t>
            </w:r>
          </w:p>
        </w:tc>
        <w:tc>
          <w:tcPr>
            <w:tcW w:w="0" w:type="auto"/>
            <w:vAlign w:val="center"/>
          </w:tcPr>
          <w:p w:rsidR="005F78FC" w:rsidRDefault="00B42EF3">
            <w:pPr>
              <w:pStyle w:val="TableBodyText"/>
            </w:pPr>
            <w:r>
              <w:t>087D</w:t>
            </w:r>
          </w:p>
        </w:tc>
      </w:tr>
      <w:tr w:rsidR="005F78FC" w:rsidTr="005F78FC">
        <w:tc>
          <w:tcPr>
            <w:tcW w:w="0" w:type="auto"/>
            <w:vAlign w:val="center"/>
          </w:tcPr>
          <w:p w:rsidR="005F78FC" w:rsidRDefault="00B42EF3">
            <w:pPr>
              <w:pStyle w:val="TableBodyText"/>
            </w:pPr>
            <w:r>
              <w:t>ProtectForm</w:t>
            </w:r>
          </w:p>
        </w:tc>
        <w:tc>
          <w:tcPr>
            <w:tcW w:w="0" w:type="auto"/>
            <w:vAlign w:val="center"/>
          </w:tcPr>
          <w:p w:rsidR="005F78FC" w:rsidRDefault="00B42EF3">
            <w:pPr>
              <w:pStyle w:val="TableBodyText"/>
            </w:pPr>
            <w:r>
              <w:t>0162</w:t>
            </w:r>
          </w:p>
        </w:tc>
      </w:tr>
      <w:tr w:rsidR="005F78FC" w:rsidTr="005F78FC">
        <w:tc>
          <w:tcPr>
            <w:tcW w:w="0" w:type="auto"/>
            <w:vAlign w:val="center"/>
          </w:tcPr>
          <w:p w:rsidR="005F78FC" w:rsidRDefault="00B42EF3">
            <w:pPr>
              <w:pStyle w:val="TableBodyText"/>
            </w:pPr>
            <w:r>
              <w:t>QFSetAsDefault</w:t>
            </w:r>
          </w:p>
        </w:tc>
        <w:tc>
          <w:tcPr>
            <w:tcW w:w="0" w:type="auto"/>
            <w:vAlign w:val="center"/>
          </w:tcPr>
          <w:p w:rsidR="005F78FC" w:rsidRDefault="00B42EF3">
            <w:pPr>
              <w:pStyle w:val="TableBodyText"/>
            </w:pPr>
            <w:r>
              <w:t>0986</w:t>
            </w:r>
          </w:p>
        </w:tc>
      </w:tr>
      <w:tr w:rsidR="005F78FC" w:rsidTr="005F78FC">
        <w:tc>
          <w:tcPr>
            <w:tcW w:w="0" w:type="auto"/>
            <w:vAlign w:val="center"/>
          </w:tcPr>
          <w:p w:rsidR="005F78FC" w:rsidRDefault="00B42EF3">
            <w:pPr>
              <w:pStyle w:val="TableBodyText"/>
            </w:pPr>
            <w:r>
              <w:t>QuickFormatsGallery</w:t>
            </w:r>
          </w:p>
        </w:tc>
        <w:tc>
          <w:tcPr>
            <w:tcW w:w="0" w:type="auto"/>
            <w:vAlign w:val="center"/>
          </w:tcPr>
          <w:p w:rsidR="005F78FC" w:rsidRDefault="00B42EF3">
            <w:pPr>
              <w:pStyle w:val="TableBodyText"/>
            </w:pPr>
            <w:r>
              <w:t>07A7</w:t>
            </w:r>
          </w:p>
        </w:tc>
      </w:tr>
      <w:tr w:rsidR="005F78FC" w:rsidTr="005F78FC">
        <w:tc>
          <w:tcPr>
            <w:tcW w:w="0" w:type="auto"/>
            <w:vAlign w:val="center"/>
          </w:tcPr>
          <w:p w:rsidR="005F78FC" w:rsidRDefault="00B42EF3">
            <w:pPr>
              <w:pStyle w:val="TableBodyText"/>
            </w:pPr>
            <w:r>
              <w:t>QuickFormatsThemeGallery</w:t>
            </w:r>
          </w:p>
        </w:tc>
        <w:tc>
          <w:tcPr>
            <w:tcW w:w="0" w:type="auto"/>
            <w:vAlign w:val="center"/>
          </w:tcPr>
          <w:p w:rsidR="005F78FC" w:rsidRDefault="00B42EF3">
            <w:pPr>
              <w:pStyle w:val="TableBodyText"/>
            </w:pPr>
            <w:r>
              <w:t>07A8</w:t>
            </w:r>
          </w:p>
        </w:tc>
      </w:tr>
      <w:tr w:rsidR="005F78FC" w:rsidTr="005F78FC">
        <w:tc>
          <w:tcPr>
            <w:tcW w:w="0" w:type="auto"/>
            <w:vAlign w:val="center"/>
          </w:tcPr>
          <w:p w:rsidR="005F78FC" w:rsidRDefault="00B42EF3">
            <w:pPr>
              <w:pStyle w:val="TableBodyText"/>
            </w:pPr>
            <w:r>
              <w:t>RTLMacroDialogs</w:t>
            </w:r>
          </w:p>
        </w:tc>
        <w:tc>
          <w:tcPr>
            <w:tcW w:w="0" w:type="auto"/>
            <w:vAlign w:val="center"/>
          </w:tcPr>
          <w:p w:rsidR="005F78FC" w:rsidRDefault="00B42EF3">
            <w:pPr>
              <w:pStyle w:val="TableBodyText"/>
            </w:pPr>
            <w:r>
              <w:t>0428</w:t>
            </w:r>
          </w:p>
        </w:tc>
      </w:tr>
      <w:tr w:rsidR="005F78FC" w:rsidTr="005F78FC">
        <w:tc>
          <w:tcPr>
            <w:tcW w:w="0" w:type="auto"/>
            <w:vAlign w:val="center"/>
          </w:tcPr>
          <w:p w:rsidR="005F78FC" w:rsidRDefault="00B42EF3">
            <w:pPr>
              <w:pStyle w:val="TableBodyText"/>
            </w:pPr>
            <w:r>
              <w:t>RaiseTextBaseline</w:t>
            </w:r>
          </w:p>
        </w:tc>
        <w:tc>
          <w:tcPr>
            <w:tcW w:w="0" w:type="auto"/>
            <w:vAlign w:val="center"/>
          </w:tcPr>
          <w:p w:rsidR="005F78FC" w:rsidRDefault="00B42EF3">
            <w:pPr>
              <w:pStyle w:val="TableBodyText"/>
            </w:pPr>
            <w:r>
              <w:t>099F</w:t>
            </w:r>
          </w:p>
        </w:tc>
      </w:tr>
      <w:tr w:rsidR="005F78FC" w:rsidTr="005F78FC">
        <w:tc>
          <w:tcPr>
            <w:tcW w:w="0" w:type="auto"/>
            <w:vAlign w:val="center"/>
          </w:tcPr>
          <w:p w:rsidR="005F78FC" w:rsidRDefault="00B42EF3">
            <w:pPr>
              <w:pStyle w:val="TableBodyText"/>
            </w:pPr>
            <w:r>
              <w:t>Raised</w:t>
            </w:r>
          </w:p>
        </w:tc>
        <w:tc>
          <w:tcPr>
            <w:tcW w:w="0" w:type="auto"/>
            <w:vAlign w:val="center"/>
          </w:tcPr>
          <w:p w:rsidR="005F78FC" w:rsidRDefault="00B42EF3">
            <w:pPr>
              <w:pStyle w:val="TableBodyText"/>
            </w:pPr>
            <w:r>
              <w:t>0217</w:t>
            </w:r>
          </w:p>
        </w:tc>
      </w:tr>
      <w:tr w:rsidR="005F78FC" w:rsidTr="005F78FC">
        <w:tc>
          <w:tcPr>
            <w:tcW w:w="0" w:type="auto"/>
            <w:vAlign w:val="center"/>
          </w:tcPr>
          <w:p w:rsidR="005F78FC" w:rsidRDefault="00B42EF3">
            <w:pPr>
              <w:pStyle w:val="TableBodyText"/>
            </w:pPr>
            <w:r>
              <w:t>ReadModeMarkupFinal</w:t>
            </w:r>
          </w:p>
        </w:tc>
        <w:tc>
          <w:tcPr>
            <w:tcW w:w="0" w:type="auto"/>
            <w:vAlign w:val="center"/>
          </w:tcPr>
          <w:p w:rsidR="005F78FC" w:rsidRDefault="00B42EF3">
            <w:pPr>
              <w:pStyle w:val="TableBodyText"/>
            </w:pPr>
            <w:r>
              <w:t>098E</w:t>
            </w:r>
          </w:p>
        </w:tc>
      </w:tr>
      <w:tr w:rsidR="005F78FC" w:rsidTr="005F78FC">
        <w:tc>
          <w:tcPr>
            <w:tcW w:w="0" w:type="auto"/>
            <w:vAlign w:val="center"/>
          </w:tcPr>
          <w:p w:rsidR="005F78FC" w:rsidRDefault="00B42EF3">
            <w:pPr>
              <w:pStyle w:val="TableBodyText"/>
            </w:pPr>
            <w:r>
              <w:t>ReadModeMarkupFinalMarkup</w:t>
            </w:r>
          </w:p>
        </w:tc>
        <w:tc>
          <w:tcPr>
            <w:tcW w:w="0" w:type="auto"/>
            <w:vAlign w:val="center"/>
          </w:tcPr>
          <w:p w:rsidR="005F78FC" w:rsidRDefault="00B42EF3">
            <w:pPr>
              <w:pStyle w:val="TableBodyText"/>
            </w:pPr>
            <w:r>
              <w:t>098F</w:t>
            </w:r>
          </w:p>
        </w:tc>
      </w:tr>
      <w:tr w:rsidR="005F78FC" w:rsidTr="005F78FC">
        <w:tc>
          <w:tcPr>
            <w:tcW w:w="0" w:type="auto"/>
            <w:vAlign w:val="center"/>
          </w:tcPr>
          <w:p w:rsidR="005F78FC" w:rsidRDefault="00B42EF3">
            <w:pPr>
              <w:pStyle w:val="TableBodyText"/>
            </w:pPr>
            <w:r>
              <w:t>ReadModeMarkupOriginal</w:t>
            </w:r>
          </w:p>
        </w:tc>
        <w:tc>
          <w:tcPr>
            <w:tcW w:w="0" w:type="auto"/>
            <w:vAlign w:val="center"/>
          </w:tcPr>
          <w:p w:rsidR="005F78FC" w:rsidRDefault="00B42EF3">
            <w:pPr>
              <w:pStyle w:val="TableBodyText"/>
            </w:pPr>
            <w:r>
              <w:t>0990</w:t>
            </w:r>
          </w:p>
        </w:tc>
      </w:tr>
      <w:tr w:rsidR="005F78FC" w:rsidTr="005F78FC">
        <w:tc>
          <w:tcPr>
            <w:tcW w:w="0" w:type="auto"/>
            <w:vAlign w:val="center"/>
          </w:tcPr>
          <w:p w:rsidR="005F78FC" w:rsidRDefault="00B42EF3">
            <w:pPr>
              <w:pStyle w:val="TableBodyText"/>
            </w:pPr>
            <w:r>
              <w:t>ReadModeMarkupOriginalMarkup</w:t>
            </w:r>
          </w:p>
        </w:tc>
        <w:tc>
          <w:tcPr>
            <w:tcW w:w="0" w:type="auto"/>
            <w:vAlign w:val="center"/>
          </w:tcPr>
          <w:p w:rsidR="005F78FC" w:rsidRDefault="00B42EF3">
            <w:pPr>
              <w:pStyle w:val="TableBodyText"/>
            </w:pPr>
            <w:r>
              <w:t>0991</w:t>
            </w:r>
          </w:p>
        </w:tc>
      </w:tr>
      <w:tr w:rsidR="005F78FC" w:rsidTr="005F78FC">
        <w:tc>
          <w:tcPr>
            <w:tcW w:w="0" w:type="auto"/>
            <w:vAlign w:val="center"/>
          </w:tcPr>
          <w:p w:rsidR="005F78FC" w:rsidRDefault="00B42EF3">
            <w:pPr>
              <w:pStyle w:val="TableBodyText"/>
            </w:pPr>
            <w:r>
              <w:t>ReadModeShowMarkup</w:t>
            </w:r>
          </w:p>
        </w:tc>
        <w:tc>
          <w:tcPr>
            <w:tcW w:w="0" w:type="auto"/>
            <w:vAlign w:val="center"/>
          </w:tcPr>
          <w:p w:rsidR="005F78FC" w:rsidRDefault="00B42EF3">
            <w:pPr>
              <w:pStyle w:val="TableBodyText"/>
            </w:pPr>
            <w:r>
              <w:t>098D</w:t>
            </w:r>
          </w:p>
        </w:tc>
      </w:tr>
      <w:tr w:rsidR="005F78FC" w:rsidTr="005F78FC">
        <w:tc>
          <w:tcPr>
            <w:tcW w:w="0" w:type="auto"/>
            <w:vAlign w:val="center"/>
          </w:tcPr>
          <w:p w:rsidR="005F78FC" w:rsidRDefault="00B42EF3">
            <w:pPr>
              <w:pStyle w:val="TableBodyText"/>
            </w:pPr>
            <w:r>
              <w:t>ReadingFlyoutAnchorShowAcetateMarkup</w:t>
            </w:r>
          </w:p>
        </w:tc>
        <w:tc>
          <w:tcPr>
            <w:tcW w:w="0" w:type="auto"/>
            <w:vAlign w:val="center"/>
          </w:tcPr>
          <w:p w:rsidR="005F78FC" w:rsidRDefault="00B42EF3">
            <w:pPr>
              <w:pStyle w:val="TableBodyText"/>
            </w:pPr>
            <w:r>
              <w:t>0927</w:t>
            </w:r>
          </w:p>
        </w:tc>
      </w:tr>
      <w:tr w:rsidR="005F78FC" w:rsidTr="005F78FC">
        <w:tc>
          <w:tcPr>
            <w:tcW w:w="0" w:type="auto"/>
            <w:vAlign w:val="center"/>
          </w:tcPr>
          <w:p w:rsidR="005F78FC" w:rsidRDefault="00B42EF3">
            <w:pPr>
              <w:pStyle w:val="TableBodyText"/>
            </w:pPr>
            <w:r>
              <w:lastRenderedPageBreak/>
              <w:t>ReadingInkTools</w:t>
            </w:r>
          </w:p>
        </w:tc>
        <w:tc>
          <w:tcPr>
            <w:tcW w:w="0" w:type="auto"/>
            <w:vAlign w:val="center"/>
          </w:tcPr>
          <w:p w:rsidR="005F78FC" w:rsidRDefault="00B42EF3">
            <w:pPr>
              <w:pStyle w:val="TableBodyText"/>
            </w:pPr>
            <w:r>
              <w:t>0928</w:t>
            </w:r>
          </w:p>
        </w:tc>
      </w:tr>
      <w:tr w:rsidR="005F78FC" w:rsidTr="005F78FC">
        <w:tc>
          <w:tcPr>
            <w:tcW w:w="0" w:type="auto"/>
            <w:vAlign w:val="center"/>
          </w:tcPr>
          <w:p w:rsidR="005F78FC" w:rsidRDefault="00B42EF3">
            <w:pPr>
              <w:pStyle w:val="TableBodyText"/>
            </w:pPr>
            <w:r>
              <w:t>ReadingMode</w:t>
            </w:r>
          </w:p>
        </w:tc>
        <w:tc>
          <w:tcPr>
            <w:tcW w:w="0" w:type="auto"/>
            <w:vAlign w:val="center"/>
          </w:tcPr>
          <w:p w:rsidR="005F78FC" w:rsidRDefault="00B42EF3">
            <w:pPr>
              <w:pStyle w:val="TableBodyText"/>
            </w:pPr>
            <w:r>
              <w:t>05B1</w:t>
            </w:r>
          </w:p>
        </w:tc>
      </w:tr>
      <w:tr w:rsidR="005F78FC" w:rsidTr="005F78FC">
        <w:tc>
          <w:tcPr>
            <w:tcW w:w="0" w:type="auto"/>
            <w:vAlign w:val="center"/>
          </w:tcPr>
          <w:p w:rsidR="005F78FC" w:rsidRDefault="00B42EF3">
            <w:pPr>
              <w:pStyle w:val="TableBodyText"/>
            </w:pPr>
            <w:r>
              <w:t>ReadingMode1Page</w:t>
            </w:r>
          </w:p>
        </w:tc>
        <w:tc>
          <w:tcPr>
            <w:tcW w:w="0" w:type="auto"/>
            <w:vAlign w:val="center"/>
          </w:tcPr>
          <w:p w:rsidR="005F78FC" w:rsidRDefault="00B42EF3">
            <w:pPr>
              <w:pStyle w:val="TableBodyText"/>
            </w:pPr>
            <w:r>
              <w:t>0894</w:t>
            </w:r>
          </w:p>
        </w:tc>
      </w:tr>
      <w:tr w:rsidR="005F78FC" w:rsidTr="005F78FC">
        <w:tc>
          <w:tcPr>
            <w:tcW w:w="0" w:type="auto"/>
            <w:vAlign w:val="center"/>
          </w:tcPr>
          <w:p w:rsidR="005F78FC" w:rsidRDefault="00B42EF3">
            <w:pPr>
              <w:pStyle w:val="TableBodyText"/>
            </w:pPr>
            <w:r>
              <w:t>ReadingMode2Pages</w:t>
            </w:r>
          </w:p>
        </w:tc>
        <w:tc>
          <w:tcPr>
            <w:tcW w:w="0" w:type="auto"/>
            <w:vAlign w:val="center"/>
          </w:tcPr>
          <w:p w:rsidR="005F78FC" w:rsidRDefault="00B42EF3">
            <w:pPr>
              <w:pStyle w:val="TableBodyText"/>
            </w:pPr>
            <w:r>
              <w:t>0895</w:t>
            </w:r>
          </w:p>
        </w:tc>
      </w:tr>
      <w:tr w:rsidR="005F78FC" w:rsidTr="005F78FC">
        <w:tc>
          <w:tcPr>
            <w:tcW w:w="0" w:type="auto"/>
            <w:vAlign w:val="center"/>
          </w:tcPr>
          <w:p w:rsidR="005F78FC" w:rsidRDefault="00B42EF3">
            <w:pPr>
              <w:pStyle w:val="TableBodyText"/>
            </w:pPr>
            <w:r>
              <w:t>ReadingModeAllowEditing</w:t>
            </w:r>
          </w:p>
        </w:tc>
        <w:tc>
          <w:tcPr>
            <w:tcW w:w="0" w:type="auto"/>
            <w:vAlign w:val="center"/>
          </w:tcPr>
          <w:p w:rsidR="005F78FC" w:rsidRDefault="00B42EF3">
            <w:pPr>
              <w:pStyle w:val="TableBodyText"/>
            </w:pPr>
            <w:r>
              <w:t>0795</w:t>
            </w:r>
          </w:p>
        </w:tc>
      </w:tr>
      <w:tr w:rsidR="005F78FC" w:rsidTr="005F78FC">
        <w:tc>
          <w:tcPr>
            <w:tcW w:w="0" w:type="auto"/>
            <w:vAlign w:val="center"/>
          </w:tcPr>
          <w:p w:rsidR="005F78FC" w:rsidRDefault="00B42EF3">
            <w:pPr>
              <w:pStyle w:val="TableBodyText"/>
            </w:pPr>
            <w:r>
              <w:t>ReadingModeGrowFont</w:t>
            </w:r>
          </w:p>
        </w:tc>
        <w:tc>
          <w:tcPr>
            <w:tcW w:w="0" w:type="auto"/>
            <w:vAlign w:val="center"/>
          </w:tcPr>
          <w:p w:rsidR="005F78FC" w:rsidRDefault="00B42EF3">
            <w:pPr>
              <w:pStyle w:val="TableBodyText"/>
            </w:pPr>
            <w:r>
              <w:t>05B9</w:t>
            </w:r>
          </w:p>
        </w:tc>
      </w:tr>
      <w:tr w:rsidR="005F78FC" w:rsidTr="005F78FC">
        <w:tc>
          <w:tcPr>
            <w:tcW w:w="0" w:type="auto"/>
            <w:vAlign w:val="center"/>
          </w:tcPr>
          <w:p w:rsidR="005F78FC" w:rsidRDefault="00B42EF3">
            <w:pPr>
              <w:pStyle w:val="TableBodyText"/>
            </w:pPr>
            <w:r>
              <w:t>ReadingModeInkOff</w:t>
            </w:r>
          </w:p>
        </w:tc>
        <w:tc>
          <w:tcPr>
            <w:tcW w:w="0" w:type="auto"/>
            <w:vAlign w:val="center"/>
          </w:tcPr>
          <w:p w:rsidR="005F78FC" w:rsidRDefault="00B42EF3">
            <w:pPr>
              <w:pStyle w:val="TableBodyText"/>
            </w:pPr>
            <w:r>
              <w:t>05A4</w:t>
            </w:r>
          </w:p>
        </w:tc>
      </w:tr>
      <w:tr w:rsidR="005F78FC" w:rsidTr="005F78FC">
        <w:tc>
          <w:tcPr>
            <w:tcW w:w="0" w:type="auto"/>
            <w:vAlign w:val="center"/>
          </w:tcPr>
          <w:p w:rsidR="005F78FC" w:rsidRDefault="00B42EF3">
            <w:pPr>
              <w:pStyle w:val="TableBodyText"/>
            </w:pPr>
            <w:r>
              <w:t>ReadingModeLayout</w:t>
            </w:r>
          </w:p>
        </w:tc>
        <w:tc>
          <w:tcPr>
            <w:tcW w:w="0" w:type="auto"/>
            <w:vAlign w:val="center"/>
          </w:tcPr>
          <w:p w:rsidR="005F78FC" w:rsidRDefault="00B42EF3">
            <w:pPr>
              <w:pStyle w:val="TableBodyText"/>
            </w:pPr>
            <w:r>
              <w:t>05BF</w:t>
            </w:r>
          </w:p>
        </w:tc>
      </w:tr>
      <w:tr w:rsidR="005F78FC" w:rsidTr="005F78FC">
        <w:tc>
          <w:tcPr>
            <w:tcW w:w="0" w:type="auto"/>
            <w:vAlign w:val="center"/>
          </w:tcPr>
          <w:p w:rsidR="005F78FC" w:rsidRDefault="00B42EF3">
            <w:pPr>
              <w:pStyle w:val="TableBodyText"/>
            </w:pPr>
            <w:r>
              <w:t>ReadingModeLookup</w:t>
            </w:r>
          </w:p>
        </w:tc>
        <w:tc>
          <w:tcPr>
            <w:tcW w:w="0" w:type="auto"/>
            <w:vAlign w:val="center"/>
          </w:tcPr>
          <w:p w:rsidR="005F78FC" w:rsidRDefault="00B42EF3">
            <w:pPr>
              <w:pStyle w:val="TableBodyText"/>
            </w:pPr>
            <w:r>
              <w:t>05B8</w:t>
            </w:r>
          </w:p>
        </w:tc>
      </w:tr>
      <w:tr w:rsidR="005F78FC" w:rsidTr="005F78FC">
        <w:tc>
          <w:tcPr>
            <w:tcW w:w="0" w:type="auto"/>
            <w:vAlign w:val="center"/>
          </w:tcPr>
          <w:p w:rsidR="005F78FC" w:rsidRDefault="00B42EF3">
            <w:pPr>
              <w:pStyle w:val="TableBodyText"/>
            </w:pPr>
            <w:r>
              <w:t>ReadingModeMini</w:t>
            </w:r>
          </w:p>
        </w:tc>
        <w:tc>
          <w:tcPr>
            <w:tcW w:w="0" w:type="auto"/>
            <w:vAlign w:val="center"/>
          </w:tcPr>
          <w:p w:rsidR="005F78FC" w:rsidRDefault="00B42EF3">
            <w:pPr>
              <w:pStyle w:val="TableBodyText"/>
            </w:pPr>
            <w:r>
              <w:t>05B7</w:t>
            </w:r>
          </w:p>
        </w:tc>
      </w:tr>
      <w:tr w:rsidR="005F78FC" w:rsidTr="005F78FC">
        <w:tc>
          <w:tcPr>
            <w:tcW w:w="0" w:type="auto"/>
            <w:vAlign w:val="center"/>
          </w:tcPr>
          <w:p w:rsidR="005F78FC" w:rsidRDefault="00B42EF3">
            <w:pPr>
              <w:pStyle w:val="TableBodyText"/>
            </w:pPr>
            <w:r>
              <w:t>ReadingModePageAutoMargins</w:t>
            </w:r>
          </w:p>
        </w:tc>
        <w:tc>
          <w:tcPr>
            <w:tcW w:w="0" w:type="auto"/>
            <w:vAlign w:val="center"/>
          </w:tcPr>
          <w:p w:rsidR="005F78FC" w:rsidRDefault="00B42EF3">
            <w:pPr>
              <w:pStyle w:val="TableBodyText"/>
            </w:pPr>
            <w:r>
              <w:t>089A</w:t>
            </w:r>
          </w:p>
        </w:tc>
      </w:tr>
      <w:tr w:rsidR="005F78FC" w:rsidTr="005F78FC">
        <w:tc>
          <w:tcPr>
            <w:tcW w:w="0" w:type="auto"/>
            <w:vAlign w:val="center"/>
          </w:tcPr>
          <w:p w:rsidR="005F78FC" w:rsidRDefault="00B42EF3">
            <w:pPr>
              <w:pStyle w:val="TableBodyText"/>
            </w:pPr>
            <w:r>
              <w:t>ReadingModePageMargins</w:t>
            </w:r>
          </w:p>
        </w:tc>
        <w:tc>
          <w:tcPr>
            <w:tcW w:w="0" w:type="auto"/>
            <w:vAlign w:val="center"/>
          </w:tcPr>
          <w:p w:rsidR="005F78FC" w:rsidRDefault="00B42EF3">
            <w:pPr>
              <w:pStyle w:val="TableBodyText"/>
            </w:pPr>
            <w:r>
              <w:t>0898</w:t>
            </w:r>
          </w:p>
        </w:tc>
      </w:tr>
      <w:tr w:rsidR="005F78FC" w:rsidTr="005F78FC">
        <w:tc>
          <w:tcPr>
            <w:tcW w:w="0" w:type="auto"/>
            <w:vAlign w:val="center"/>
          </w:tcPr>
          <w:p w:rsidR="005F78FC" w:rsidRDefault="00B42EF3">
            <w:pPr>
              <w:pStyle w:val="TableBodyText"/>
            </w:pPr>
            <w:r>
              <w:t>ReadingModePageMarginsType</w:t>
            </w:r>
          </w:p>
        </w:tc>
        <w:tc>
          <w:tcPr>
            <w:tcW w:w="0" w:type="auto"/>
            <w:vAlign w:val="center"/>
          </w:tcPr>
          <w:p w:rsidR="005F78FC" w:rsidRDefault="00B42EF3">
            <w:pPr>
              <w:pStyle w:val="TableBodyText"/>
            </w:pPr>
            <w:r>
              <w:t>0796</w:t>
            </w:r>
          </w:p>
        </w:tc>
      </w:tr>
      <w:tr w:rsidR="005F78FC" w:rsidTr="005F78FC">
        <w:tc>
          <w:tcPr>
            <w:tcW w:w="0" w:type="auto"/>
            <w:vAlign w:val="center"/>
          </w:tcPr>
          <w:p w:rsidR="005F78FC" w:rsidRDefault="00B42EF3">
            <w:pPr>
              <w:pStyle w:val="TableBodyText"/>
            </w:pPr>
            <w:r>
              <w:t>ReadingModePageNoMargins</w:t>
            </w:r>
          </w:p>
        </w:tc>
        <w:tc>
          <w:tcPr>
            <w:tcW w:w="0" w:type="auto"/>
            <w:vAlign w:val="center"/>
          </w:tcPr>
          <w:p w:rsidR="005F78FC" w:rsidRDefault="00B42EF3">
            <w:pPr>
              <w:pStyle w:val="TableBodyText"/>
            </w:pPr>
            <w:r>
              <w:t>0899</w:t>
            </w:r>
          </w:p>
        </w:tc>
      </w:tr>
      <w:tr w:rsidR="005F78FC" w:rsidTr="005F78FC">
        <w:tc>
          <w:tcPr>
            <w:tcW w:w="0" w:type="auto"/>
            <w:vAlign w:val="center"/>
          </w:tcPr>
          <w:p w:rsidR="005F78FC" w:rsidRDefault="00B42EF3">
            <w:pPr>
              <w:pStyle w:val="TableBodyText"/>
            </w:pPr>
            <w:r>
              <w:t>ReadingModePageview</w:t>
            </w:r>
          </w:p>
        </w:tc>
        <w:tc>
          <w:tcPr>
            <w:tcW w:w="0" w:type="auto"/>
            <w:vAlign w:val="center"/>
          </w:tcPr>
          <w:p w:rsidR="005F78FC" w:rsidRDefault="00B42EF3">
            <w:pPr>
              <w:pStyle w:val="TableBodyText"/>
            </w:pPr>
            <w:r>
              <w:t>0587</w:t>
            </w:r>
          </w:p>
        </w:tc>
      </w:tr>
      <w:tr w:rsidR="005F78FC" w:rsidTr="005F78FC">
        <w:tc>
          <w:tcPr>
            <w:tcW w:w="0" w:type="auto"/>
            <w:vAlign w:val="center"/>
          </w:tcPr>
          <w:p w:rsidR="005F78FC" w:rsidRDefault="00B42EF3">
            <w:pPr>
              <w:pStyle w:val="TableBodyText"/>
            </w:pPr>
            <w:r>
              <w:t>ReadingModeShrinkFont</w:t>
            </w:r>
          </w:p>
        </w:tc>
        <w:tc>
          <w:tcPr>
            <w:tcW w:w="0" w:type="auto"/>
            <w:vAlign w:val="center"/>
          </w:tcPr>
          <w:p w:rsidR="005F78FC" w:rsidRDefault="00B42EF3">
            <w:pPr>
              <w:pStyle w:val="TableBodyText"/>
            </w:pPr>
            <w:r>
              <w:t>05BA</w:t>
            </w:r>
          </w:p>
        </w:tc>
      </w:tr>
      <w:tr w:rsidR="005F78FC" w:rsidTr="005F78FC">
        <w:tc>
          <w:tcPr>
            <w:tcW w:w="0" w:type="auto"/>
            <w:vAlign w:val="center"/>
          </w:tcPr>
          <w:p w:rsidR="005F78FC" w:rsidRDefault="00B42EF3">
            <w:pPr>
              <w:pStyle w:val="TableBodyText"/>
            </w:pPr>
            <w:r>
              <w:t>ReadingModeToPrintView</w:t>
            </w:r>
          </w:p>
        </w:tc>
        <w:tc>
          <w:tcPr>
            <w:tcW w:w="0" w:type="auto"/>
            <w:vAlign w:val="center"/>
          </w:tcPr>
          <w:p w:rsidR="005F78FC" w:rsidRDefault="00B42EF3">
            <w:pPr>
              <w:pStyle w:val="TableBodyText"/>
            </w:pPr>
            <w:r>
              <w:t>0902</w:t>
            </w:r>
          </w:p>
        </w:tc>
      </w:tr>
      <w:tr w:rsidR="005F78FC" w:rsidTr="005F78FC">
        <w:tc>
          <w:tcPr>
            <w:tcW w:w="0" w:type="auto"/>
            <w:vAlign w:val="center"/>
          </w:tcPr>
          <w:p w:rsidR="005F78FC" w:rsidRDefault="00B42EF3">
            <w:pPr>
              <w:pStyle w:val="TableBodyText"/>
            </w:pPr>
            <w:r>
              <w:t>ReadingModeViewAllMenu</w:t>
            </w:r>
          </w:p>
        </w:tc>
        <w:tc>
          <w:tcPr>
            <w:tcW w:w="0" w:type="auto"/>
            <w:vAlign w:val="center"/>
          </w:tcPr>
          <w:p w:rsidR="005F78FC" w:rsidRDefault="00B42EF3">
            <w:pPr>
              <w:pStyle w:val="TableBodyText"/>
            </w:pPr>
            <w:r>
              <w:t>16C0</w:t>
            </w:r>
          </w:p>
        </w:tc>
      </w:tr>
      <w:tr w:rsidR="005F78FC" w:rsidTr="005F78FC">
        <w:tc>
          <w:tcPr>
            <w:tcW w:w="0" w:type="auto"/>
            <w:vAlign w:val="center"/>
          </w:tcPr>
          <w:p w:rsidR="005F78FC" w:rsidRDefault="00B42EF3">
            <w:pPr>
              <w:pStyle w:val="TableBodyText"/>
            </w:pPr>
            <w:r>
              <w:t>ReadingTrackChanges</w:t>
            </w:r>
          </w:p>
        </w:tc>
        <w:tc>
          <w:tcPr>
            <w:tcW w:w="0" w:type="auto"/>
            <w:vAlign w:val="center"/>
          </w:tcPr>
          <w:p w:rsidR="005F78FC" w:rsidRDefault="00B42EF3">
            <w:pPr>
              <w:pStyle w:val="TableBodyText"/>
            </w:pPr>
            <w:r>
              <w:t>0926</w:t>
            </w:r>
          </w:p>
        </w:tc>
      </w:tr>
      <w:tr w:rsidR="005F78FC" w:rsidTr="005F78FC">
        <w:tc>
          <w:tcPr>
            <w:tcW w:w="0" w:type="auto"/>
            <w:vAlign w:val="center"/>
          </w:tcPr>
          <w:p w:rsidR="005F78FC" w:rsidRDefault="00B42EF3">
            <w:pPr>
              <w:pStyle w:val="TableBodyText"/>
            </w:pPr>
            <w:r>
              <w:t>ReapplyTableStyle</w:t>
            </w:r>
          </w:p>
        </w:tc>
        <w:tc>
          <w:tcPr>
            <w:tcW w:w="0" w:type="auto"/>
            <w:vAlign w:val="center"/>
          </w:tcPr>
          <w:p w:rsidR="005F78FC" w:rsidRDefault="00B42EF3">
            <w:pPr>
              <w:pStyle w:val="TableBodyText"/>
            </w:pPr>
            <w:r>
              <w:t>095C</w:t>
            </w:r>
          </w:p>
        </w:tc>
      </w:tr>
      <w:tr w:rsidR="005F78FC" w:rsidTr="005F78FC">
        <w:tc>
          <w:tcPr>
            <w:tcW w:w="0" w:type="auto"/>
            <w:vAlign w:val="center"/>
          </w:tcPr>
          <w:p w:rsidR="005F78FC" w:rsidRDefault="00B42EF3">
            <w:pPr>
              <w:pStyle w:val="TableBodyText"/>
            </w:pPr>
            <w:r>
              <w:t>RecolorGallery</w:t>
            </w:r>
          </w:p>
        </w:tc>
        <w:tc>
          <w:tcPr>
            <w:tcW w:w="0" w:type="auto"/>
            <w:vAlign w:val="center"/>
          </w:tcPr>
          <w:p w:rsidR="005F78FC" w:rsidRDefault="00B42EF3">
            <w:pPr>
              <w:pStyle w:val="TableBodyText"/>
            </w:pPr>
            <w:r>
              <w:t>08C7</w:t>
            </w:r>
          </w:p>
        </w:tc>
      </w:tr>
      <w:tr w:rsidR="005F78FC" w:rsidTr="005F78FC">
        <w:tc>
          <w:tcPr>
            <w:tcW w:w="0" w:type="auto"/>
            <w:vAlign w:val="center"/>
          </w:tcPr>
          <w:p w:rsidR="005F78FC" w:rsidRDefault="00B42EF3">
            <w:pPr>
              <w:pStyle w:val="TableBodyText"/>
            </w:pPr>
            <w:r>
              <w:t>RecordNextCommand</w:t>
            </w:r>
          </w:p>
        </w:tc>
        <w:tc>
          <w:tcPr>
            <w:tcW w:w="0" w:type="auto"/>
            <w:vAlign w:val="center"/>
          </w:tcPr>
          <w:p w:rsidR="005F78FC" w:rsidRDefault="00B42EF3">
            <w:pPr>
              <w:pStyle w:val="TableBodyText"/>
            </w:pPr>
            <w:r>
              <w:t>00E2</w:t>
            </w:r>
          </w:p>
        </w:tc>
      </w:tr>
      <w:tr w:rsidR="005F78FC" w:rsidTr="005F78FC">
        <w:tc>
          <w:tcPr>
            <w:tcW w:w="0" w:type="auto"/>
            <w:vAlign w:val="center"/>
          </w:tcPr>
          <w:p w:rsidR="005F78FC" w:rsidRDefault="00B42EF3">
            <w:pPr>
              <w:pStyle w:val="TableBodyText"/>
            </w:pPr>
            <w:r>
              <w:t>RedefineStyle</w:t>
            </w:r>
          </w:p>
        </w:tc>
        <w:tc>
          <w:tcPr>
            <w:tcW w:w="0" w:type="auto"/>
            <w:vAlign w:val="center"/>
          </w:tcPr>
          <w:p w:rsidR="005F78FC" w:rsidRDefault="00B42EF3">
            <w:pPr>
              <w:pStyle w:val="TableBodyText"/>
            </w:pPr>
            <w:r>
              <w:t>0330</w:t>
            </w:r>
          </w:p>
        </w:tc>
      </w:tr>
      <w:tr w:rsidR="005F78FC" w:rsidTr="005F78FC">
        <w:tc>
          <w:tcPr>
            <w:tcW w:w="0" w:type="auto"/>
            <w:vAlign w:val="center"/>
          </w:tcPr>
          <w:p w:rsidR="005F78FC" w:rsidRDefault="00B42EF3">
            <w:pPr>
              <w:pStyle w:val="TableBodyText"/>
            </w:pPr>
            <w:r>
              <w:t>RefTipLangGallery</w:t>
            </w:r>
          </w:p>
        </w:tc>
        <w:tc>
          <w:tcPr>
            <w:tcW w:w="0" w:type="auto"/>
            <w:vAlign w:val="center"/>
          </w:tcPr>
          <w:p w:rsidR="005F78FC" w:rsidRDefault="00B42EF3">
            <w:pPr>
              <w:pStyle w:val="TableBodyText"/>
            </w:pPr>
            <w:r>
              <w:t>0828</w:t>
            </w:r>
          </w:p>
        </w:tc>
      </w:tr>
      <w:tr w:rsidR="005F78FC" w:rsidTr="005F78FC">
        <w:tc>
          <w:tcPr>
            <w:tcW w:w="0" w:type="auto"/>
            <w:vAlign w:val="center"/>
          </w:tcPr>
          <w:p w:rsidR="005F78FC" w:rsidRDefault="00B42EF3">
            <w:pPr>
              <w:pStyle w:val="TableBodyText"/>
            </w:pPr>
            <w:r>
              <w:t>RefTipLangMenu</w:t>
            </w:r>
          </w:p>
        </w:tc>
        <w:tc>
          <w:tcPr>
            <w:tcW w:w="0" w:type="auto"/>
            <w:vAlign w:val="center"/>
          </w:tcPr>
          <w:p w:rsidR="005F78FC" w:rsidRDefault="00B42EF3">
            <w:pPr>
              <w:pStyle w:val="TableBodyText"/>
            </w:pPr>
            <w:r>
              <w:t>16C4</w:t>
            </w:r>
          </w:p>
        </w:tc>
      </w:tr>
      <w:tr w:rsidR="005F78FC" w:rsidTr="005F78FC">
        <w:tc>
          <w:tcPr>
            <w:tcW w:w="0" w:type="auto"/>
            <w:vAlign w:val="center"/>
          </w:tcPr>
          <w:p w:rsidR="005F78FC" w:rsidRDefault="00B42EF3">
            <w:pPr>
              <w:pStyle w:val="TableBodyText"/>
            </w:pPr>
            <w:r>
              <w:t>RefTipSelectLang</w:t>
            </w:r>
          </w:p>
        </w:tc>
        <w:tc>
          <w:tcPr>
            <w:tcW w:w="0" w:type="auto"/>
            <w:vAlign w:val="center"/>
          </w:tcPr>
          <w:p w:rsidR="005F78FC" w:rsidRDefault="00B42EF3">
            <w:pPr>
              <w:pStyle w:val="TableBodyText"/>
            </w:pPr>
            <w:r>
              <w:t>0829</w:t>
            </w:r>
          </w:p>
        </w:tc>
      </w:tr>
      <w:tr w:rsidR="005F78FC" w:rsidTr="005F78FC">
        <w:tc>
          <w:tcPr>
            <w:tcW w:w="0" w:type="auto"/>
            <w:vAlign w:val="center"/>
          </w:tcPr>
          <w:p w:rsidR="005F78FC" w:rsidRDefault="00B42EF3">
            <w:pPr>
              <w:pStyle w:val="TableBodyText"/>
            </w:pPr>
            <w:r>
              <w:t>RejectAllChangesInDoc</w:t>
            </w:r>
          </w:p>
        </w:tc>
        <w:tc>
          <w:tcPr>
            <w:tcW w:w="0" w:type="auto"/>
            <w:vAlign w:val="center"/>
          </w:tcPr>
          <w:p w:rsidR="005F78FC" w:rsidRDefault="00B42EF3">
            <w:pPr>
              <w:pStyle w:val="TableBodyText"/>
            </w:pPr>
            <w:r>
              <w:t>0514</w:t>
            </w:r>
          </w:p>
        </w:tc>
      </w:tr>
      <w:tr w:rsidR="005F78FC" w:rsidTr="005F78FC">
        <w:tc>
          <w:tcPr>
            <w:tcW w:w="0" w:type="auto"/>
            <w:vAlign w:val="center"/>
          </w:tcPr>
          <w:p w:rsidR="005F78FC" w:rsidRDefault="00B42EF3">
            <w:pPr>
              <w:pStyle w:val="TableBodyText"/>
            </w:pPr>
            <w:r>
              <w:t>RejectAllChangesShown</w:t>
            </w:r>
          </w:p>
        </w:tc>
        <w:tc>
          <w:tcPr>
            <w:tcW w:w="0" w:type="auto"/>
            <w:vAlign w:val="center"/>
          </w:tcPr>
          <w:p w:rsidR="005F78FC" w:rsidRDefault="00B42EF3">
            <w:pPr>
              <w:pStyle w:val="TableBodyText"/>
            </w:pPr>
            <w:r>
              <w:t>0513</w:t>
            </w:r>
          </w:p>
        </w:tc>
      </w:tr>
      <w:tr w:rsidR="005F78FC" w:rsidTr="005F78FC">
        <w:tc>
          <w:tcPr>
            <w:tcW w:w="0" w:type="auto"/>
            <w:vAlign w:val="center"/>
          </w:tcPr>
          <w:p w:rsidR="005F78FC" w:rsidRDefault="00B42EF3">
            <w:pPr>
              <w:pStyle w:val="TableBodyText"/>
            </w:pPr>
            <w:r>
              <w:t>RejectChangesAndAdvance</w:t>
            </w:r>
          </w:p>
        </w:tc>
        <w:tc>
          <w:tcPr>
            <w:tcW w:w="0" w:type="auto"/>
            <w:vAlign w:val="center"/>
          </w:tcPr>
          <w:p w:rsidR="005F78FC" w:rsidRDefault="00B42EF3">
            <w:pPr>
              <w:pStyle w:val="TableBodyText"/>
            </w:pPr>
            <w:r>
              <w:t>0838</w:t>
            </w:r>
          </w:p>
        </w:tc>
      </w:tr>
      <w:tr w:rsidR="005F78FC" w:rsidTr="005F78FC">
        <w:tc>
          <w:tcPr>
            <w:tcW w:w="0" w:type="auto"/>
            <w:vAlign w:val="center"/>
          </w:tcPr>
          <w:p w:rsidR="005F78FC" w:rsidRDefault="00B42EF3">
            <w:pPr>
              <w:pStyle w:val="TableBodyText"/>
            </w:pPr>
            <w:r>
              <w:t>RejectChangesOrAdvance</w:t>
            </w:r>
          </w:p>
        </w:tc>
        <w:tc>
          <w:tcPr>
            <w:tcW w:w="0" w:type="auto"/>
            <w:vAlign w:val="center"/>
          </w:tcPr>
          <w:p w:rsidR="005F78FC" w:rsidRDefault="00B42EF3">
            <w:pPr>
              <w:pStyle w:val="TableBodyText"/>
            </w:pPr>
            <w:r>
              <w:t>098A</w:t>
            </w:r>
          </w:p>
        </w:tc>
      </w:tr>
      <w:tr w:rsidR="005F78FC" w:rsidTr="005F78FC">
        <w:tc>
          <w:tcPr>
            <w:tcW w:w="0" w:type="auto"/>
            <w:vAlign w:val="center"/>
          </w:tcPr>
          <w:p w:rsidR="005F78FC" w:rsidRDefault="00B42EF3">
            <w:pPr>
              <w:pStyle w:val="TableBodyText"/>
            </w:pPr>
            <w:r>
              <w:t>RejectChangesSelected</w:t>
            </w:r>
          </w:p>
        </w:tc>
        <w:tc>
          <w:tcPr>
            <w:tcW w:w="0" w:type="auto"/>
            <w:vAlign w:val="center"/>
          </w:tcPr>
          <w:p w:rsidR="005F78FC" w:rsidRDefault="00B42EF3">
            <w:pPr>
              <w:pStyle w:val="TableBodyText"/>
            </w:pPr>
            <w:r>
              <w:t>0512</w:t>
            </w:r>
          </w:p>
        </w:tc>
      </w:tr>
      <w:tr w:rsidR="005F78FC" w:rsidTr="005F78FC">
        <w:tc>
          <w:tcPr>
            <w:tcW w:w="0" w:type="auto"/>
            <w:vAlign w:val="center"/>
          </w:tcPr>
          <w:p w:rsidR="005F78FC" w:rsidRDefault="00B42EF3">
            <w:pPr>
              <w:pStyle w:val="TableBodyText"/>
            </w:pPr>
            <w:r>
              <w:t>RemoveAllScripts</w:t>
            </w:r>
          </w:p>
        </w:tc>
        <w:tc>
          <w:tcPr>
            <w:tcW w:w="0" w:type="auto"/>
            <w:vAlign w:val="center"/>
          </w:tcPr>
          <w:p w:rsidR="005F78FC" w:rsidRDefault="00B42EF3">
            <w:pPr>
              <w:pStyle w:val="TableBodyText"/>
            </w:pPr>
            <w:r>
              <w:t>041B</w:t>
            </w:r>
          </w:p>
        </w:tc>
      </w:tr>
      <w:tr w:rsidR="005F78FC" w:rsidTr="005F78FC">
        <w:tc>
          <w:tcPr>
            <w:tcW w:w="0" w:type="auto"/>
            <w:vAlign w:val="center"/>
          </w:tcPr>
          <w:p w:rsidR="005F78FC" w:rsidRDefault="00B42EF3">
            <w:pPr>
              <w:pStyle w:val="TableBodyText"/>
            </w:pPr>
            <w:r>
              <w:lastRenderedPageBreak/>
              <w:t>RemoveBulletsNumbers</w:t>
            </w:r>
          </w:p>
        </w:tc>
        <w:tc>
          <w:tcPr>
            <w:tcW w:w="0" w:type="auto"/>
            <w:vAlign w:val="center"/>
          </w:tcPr>
          <w:p w:rsidR="005F78FC" w:rsidRDefault="00B42EF3">
            <w:pPr>
              <w:pStyle w:val="TableBodyText"/>
            </w:pPr>
            <w:r>
              <w:t>020A</w:t>
            </w:r>
          </w:p>
        </w:tc>
      </w:tr>
      <w:tr w:rsidR="005F78FC" w:rsidTr="005F78FC">
        <w:tc>
          <w:tcPr>
            <w:tcW w:w="0" w:type="auto"/>
            <w:vAlign w:val="center"/>
          </w:tcPr>
          <w:p w:rsidR="005F78FC" w:rsidRDefault="00B42EF3">
            <w:pPr>
              <w:pStyle w:val="TableBodyText"/>
            </w:pPr>
            <w:r>
              <w:t>RemoveCellPartition</w:t>
            </w:r>
          </w:p>
        </w:tc>
        <w:tc>
          <w:tcPr>
            <w:tcW w:w="0" w:type="auto"/>
            <w:vAlign w:val="center"/>
          </w:tcPr>
          <w:p w:rsidR="005F78FC" w:rsidRDefault="00B42EF3">
            <w:pPr>
              <w:pStyle w:val="TableBodyText"/>
            </w:pPr>
            <w:r>
              <w:t>0378</w:t>
            </w:r>
          </w:p>
        </w:tc>
      </w:tr>
      <w:tr w:rsidR="005F78FC" w:rsidTr="005F78FC">
        <w:tc>
          <w:tcPr>
            <w:tcW w:w="0" w:type="auto"/>
            <w:vAlign w:val="center"/>
          </w:tcPr>
          <w:p w:rsidR="005F78FC" w:rsidRDefault="00B42EF3">
            <w:pPr>
              <w:pStyle w:val="TableBodyText"/>
            </w:pPr>
            <w:r>
              <w:t>RemoveCitation</w:t>
            </w:r>
          </w:p>
        </w:tc>
        <w:tc>
          <w:tcPr>
            <w:tcW w:w="0" w:type="auto"/>
            <w:vAlign w:val="center"/>
          </w:tcPr>
          <w:p w:rsidR="005F78FC" w:rsidRDefault="00B42EF3">
            <w:pPr>
              <w:pStyle w:val="TableBodyText"/>
            </w:pPr>
            <w:r>
              <w:t>0938</w:t>
            </w:r>
          </w:p>
        </w:tc>
      </w:tr>
      <w:tr w:rsidR="005F78FC" w:rsidTr="005F78FC">
        <w:tc>
          <w:tcPr>
            <w:tcW w:w="0" w:type="auto"/>
            <w:vAlign w:val="center"/>
          </w:tcPr>
          <w:p w:rsidR="005F78FC" w:rsidRDefault="00B42EF3">
            <w:pPr>
              <w:pStyle w:val="TableBodyText"/>
            </w:pPr>
            <w:r>
              <w:t>RemoveCoverPage</w:t>
            </w:r>
          </w:p>
        </w:tc>
        <w:tc>
          <w:tcPr>
            <w:tcW w:w="0" w:type="auto"/>
            <w:vAlign w:val="center"/>
          </w:tcPr>
          <w:p w:rsidR="005F78FC" w:rsidRDefault="00B42EF3">
            <w:pPr>
              <w:pStyle w:val="TableBodyText"/>
            </w:pPr>
            <w:r>
              <w:t>092F</w:t>
            </w:r>
          </w:p>
        </w:tc>
      </w:tr>
      <w:tr w:rsidR="005F78FC" w:rsidTr="005F78FC">
        <w:tc>
          <w:tcPr>
            <w:tcW w:w="0" w:type="auto"/>
            <w:vAlign w:val="center"/>
          </w:tcPr>
          <w:p w:rsidR="005F78FC" w:rsidRDefault="00B42EF3">
            <w:pPr>
              <w:pStyle w:val="TableBodyText"/>
            </w:pPr>
            <w:r>
              <w:t>RemoveCurrentBuildingBlock</w:t>
            </w:r>
          </w:p>
        </w:tc>
        <w:tc>
          <w:tcPr>
            <w:tcW w:w="0" w:type="auto"/>
            <w:vAlign w:val="center"/>
          </w:tcPr>
          <w:p w:rsidR="005F78FC" w:rsidRDefault="00B42EF3">
            <w:pPr>
              <w:pStyle w:val="TableBodyText"/>
            </w:pPr>
            <w:r>
              <w:t>0933</w:t>
            </w:r>
          </w:p>
        </w:tc>
      </w:tr>
      <w:tr w:rsidR="005F78FC" w:rsidTr="005F78FC">
        <w:tc>
          <w:tcPr>
            <w:tcW w:w="0" w:type="auto"/>
            <w:vAlign w:val="center"/>
          </w:tcPr>
          <w:p w:rsidR="005F78FC" w:rsidRDefault="00B42EF3">
            <w:pPr>
              <w:pStyle w:val="TableBodyText"/>
            </w:pPr>
            <w:r>
              <w:t>RemoveFooter</w:t>
            </w:r>
          </w:p>
        </w:tc>
        <w:tc>
          <w:tcPr>
            <w:tcW w:w="0" w:type="auto"/>
            <w:vAlign w:val="center"/>
          </w:tcPr>
          <w:p w:rsidR="005F78FC" w:rsidRDefault="00B42EF3">
            <w:pPr>
              <w:pStyle w:val="TableBodyText"/>
            </w:pPr>
            <w:r>
              <w:t>0931</w:t>
            </w:r>
          </w:p>
        </w:tc>
      </w:tr>
      <w:tr w:rsidR="005F78FC" w:rsidTr="005F78FC">
        <w:tc>
          <w:tcPr>
            <w:tcW w:w="0" w:type="auto"/>
            <w:vAlign w:val="center"/>
          </w:tcPr>
          <w:p w:rsidR="005F78FC" w:rsidRDefault="00B42EF3">
            <w:pPr>
              <w:pStyle w:val="TableBodyText"/>
            </w:pPr>
            <w:r>
              <w:t>RemoveFrames</w:t>
            </w:r>
          </w:p>
        </w:tc>
        <w:tc>
          <w:tcPr>
            <w:tcW w:w="0" w:type="auto"/>
            <w:vAlign w:val="center"/>
          </w:tcPr>
          <w:p w:rsidR="005F78FC" w:rsidRDefault="00B42EF3">
            <w:pPr>
              <w:pStyle w:val="TableBodyText"/>
            </w:pPr>
            <w:r>
              <w:t>0124</w:t>
            </w:r>
          </w:p>
        </w:tc>
      </w:tr>
      <w:tr w:rsidR="005F78FC" w:rsidTr="005F78FC">
        <w:tc>
          <w:tcPr>
            <w:tcW w:w="0" w:type="auto"/>
            <w:vAlign w:val="center"/>
          </w:tcPr>
          <w:p w:rsidR="005F78FC" w:rsidRDefault="00B42EF3">
            <w:pPr>
              <w:pStyle w:val="TableBodyText"/>
            </w:pPr>
            <w:r>
              <w:t>RemoveHeader</w:t>
            </w:r>
          </w:p>
        </w:tc>
        <w:tc>
          <w:tcPr>
            <w:tcW w:w="0" w:type="auto"/>
            <w:vAlign w:val="center"/>
          </w:tcPr>
          <w:p w:rsidR="005F78FC" w:rsidRDefault="00B42EF3">
            <w:pPr>
              <w:pStyle w:val="TableBodyText"/>
            </w:pPr>
            <w:r>
              <w:t>0930</w:t>
            </w:r>
          </w:p>
        </w:tc>
      </w:tr>
      <w:tr w:rsidR="005F78FC" w:rsidTr="005F78FC">
        <w:tc>
          <w:tcPr>
            <w:tcW w:w="0" w:type="auto"/>
            <w:vAlign w:val="center"/>
          </w:tcPr>
          <w:p w:rsidR="005F78FC" w:rsidRDefault="00B42EF3">
            <w:pPr>
              <w:pStyle w:val="TableBodyText"/>
            </w:pPr>
            <w:r>
              <w:t>RemovePageNumbers</w:t>
            </w:r>
          </w:p>
        </w:tc>
        <w:tc>
          <w:tcPr>
            <w:tcW w:w="0" w:type="auto"/>
            <w:vAlign w:val="center"/>
          </w:tcPr>
          <w:p w:rsidR="005F78FC" w:rsidRDefault="00B42EF3">
            <w:pPr>
              <w:pStyle w:val="TableBodyText"/>
            </w:pPr>
            <w:r>
              <w:t>0932</w:t>
            </w:r>
          </w:p>
        </w:tc>
      </w:tr>
      <w:tr w:rsidR="005F78FC" w:rsidTr="005F78FC">
        <w:tc>
          <w:tcPr>
            <w:tcW w:w="0" w:type="auto"/>
            <w:vAlign w:val="center"/>
          </w:tcPr>
          <w:p w:rsidR="005F78FC" w:rsidRDefault="00B42EF3">
            <w:pPr>
              <w:pStyle w:val="TableBodyText"/>
            </w:pPr>
            <w:r>
              <w:t>RemoveSimilarFormatting</w:t>
            </w:r>
          </w:p>
        </w:tc>
        <w:tc>
          <w:tcPr>
            <w:tcW w:w="0" w:type="auto"/>
            <w:vAlign w:val="center"/>
          </w:tcPr>
          <w:p w:rsidR="005F78FC" w:rsidRDefault="00B42EF3">
            <w:pPr>
              <w:pStyle w:val="TableBodyText"/>
            </w:pPr>
            <w:r>
              <w:t>082D</w:t>
            </w:r>
          </w:p>
        </w:tc>
      </w:tr>
      <w:tr w:rsidR="005F78FC" w:rsidTr="005F78FC">
        <w:tc>
          <w:tcPr>
            <w:tcW w:w="0" w:type="auto"/>
            <w:vAlign w:val="center"/>
          </w:tcPr>
          <w:p w:rsidR="005F78FC" w:rsidRDefault="00B42EF3">
            <w:pPr>
              <w:pStyle w:val="TableBodyText"/>
            </w:pPr>
            <w:r>
              <w:t>RemoveSubdocument</w:t>
            </w:r>
          </w:p>
        </w:tc>
        <w:tc>
          <w:tcPr>
            <w:tcW w:w="0" w:type="auto"/>
            <w:vAlign w:val="center"/>
          </w:tcPr>
          <w:p w:rsidR="005F78FC" w:rsidRDefault="00B42EF3">
            <w:pPr>
              <w:pStyle w:val="TableBodyText"/>
            </w:pPr>
            <w:r>
              <w:t>027F</w:t>
            </w:r>
          </w:p>
        </w:tc>
      </w:tr>
      <w:tr w:rsidR="005F78FC" w:rsidTr="005F78FC">
        <w:tc>
          <w:tcPr>
            <w:tcW w:w="0" w:type="auto"/>
            <w:vAlign w:val="center"/>
          </w:tcPr>
          <w:p w:rsidR="005F78FC" w:rsidRDefault="00B42EF3">
            <w:pPr>
              <w:pStyle w:val="TableBodyText"/>
            </w:pPr>
            <w:r>
              <w:t>RemoveTableOfContents</w:t>
            </w:r>
          </w:p>
        </w:tc>
        <w:tc>
          <w:tcPr>
            <w:tcW w:w="0" w:type="auto"/>
            <w:vAlign w:val="center"/>
          </w:tcPr>
          <w:p w:rsidR="005F78FC" w:rsidRDefault="00B42EF3">
            <w:pPr>
              <w:pStyle w:val="TableBodyText"/>
            </w:pPr>
            <w:r>
              <w:t>0934</w:t>
            </w:r>
          </w:p>
        </w:tc>
      </w:tr>
      <w:tr w:rsidR="005F78FC" w:rsidTr="005F78FC">
        <w:tc>
          <w:tcPr>
            <w:tcW w:w="0" w:type="auto"/>
            <w:vAlign w:val="center"/>
          </w:tcPr>
          <w:p w:rsidR="005F78FC" w:rsidRDefault="00B42EF3">
            <w:pPr>
              <w:pStyle w:val="TableBodyText"/>
            </w:pPr>
            <w:r>
              <w:t>RemoveWatermark</w:t>
            </w:r>
          </w:p>
        </w:tc>
        <w:tc>
          <w:tcPr>
            <w:tcW w:w="0" w:type="auto"/>
            <w:vAlign w:val="center"/>
          </w:tcPr>
          <w:p w:rsidR="005F78FC" w:rsidRDefault="00B42EF3">
            <w:pPr>
              <w:pStyle w:val="TableBodyText"/>
            </w:pPr>
            <w:r>
              <w:t>092E</w:t>
            </w:r>
          </w:p>
        </w:tc>
      </w:tr>
      <w:tr w:rsidR="005F78FC" w:rsidTr="005F78FC">
        <w:tc>
          <w:tcPr>
            <w:tcW w:w="0" w:type="auto"/>
            <w:vAlign w:val="center"/>
          </w:tcPr>
          <w:p w:rsidR="005F78FC" w:rsidRDefault="00B42EF3">
            <w:pPr>
              <w:pStyle w:val="TableBodyText"/>
            </w:pPr>
            <w:r>
              <w:t>RenameStyle</w:t>
            </w:r>
          </w:p>
        </w:tc>
        <w:tc>
          <w:tcPr>
            <w:tcW w:w="0" w:type="auto"/>
            <w:vAlign w:val="center"/>
          </w:tcPr>
          <w:p w:rsidR="005F78FC" w:rsidRDefault="00B42EF3">
            <w:pPr>
              <w:pStyle w:val="TableBodyText"/>
            </w:pPr>
            <w:r>
              <w:t>0556</w:t>
            </w:r>
          </w:p>
        </w:tc>
      </w:tr>
      <w:tr w:rsidR="005F78FC" w:rsidTr="005F78FC">
        <w:tc>
          <w:tcPr>
            <w:tcW w:w="0" w:type="auto"/>
            <w:vAlign w:val="center"/>
          </w:tcPr>
          <w:p w:rsidR="005F78FC" w:rsidRDefault="00B42EF3">
            <w:pPr>
              <w:pStyle w:val="TableBodyText"/>
            </w:pPr>
            <w:r>
              <w:t>RepeatFind</w:t>
            </w:r>
          </w:p>
        </w:tc>
        <w:tc>
          <w:tcPr>
            <w:tcW w:w="0" w:type="auto"/>
            <w:vAlign w:val="center"/>
          </w:tcPr>
          <w:p w:rsidR="005F78FC" w:rsidRDefault="00B42EF3">
            <w:pPr>
              <w:pStyle w:val="TableBodyText"/>
            </w:pPr>
            <w:r>
              <w:t>0018</w:t>
            </w:r>
          </w:p>
        </w:tc>
      </w:tr>
      <w:tr w:rsidR="005F78FC" w:rsidTr="005F78FC">
        <w:tc>
          <w:tcPr>
            <w:tcW w:w="0" w:type="auto"/>
            <w:vAlign w:val="center"/>
          </w:tcPr>
          <w:p w:rsidR="005F78FC" w:rsidRDefault="00B42EF3">
            <w:pPr>
              <w:pStyle w:val="TableBodyText"/>
            </w:pPr>
            <w:r>
              <w:t>ReplaceEmailSignature</w:t>
            </w:r>
          </w:p>
        </w:tc>
        <w:tc>
          <w:tcPr>
            <w:tcW w:w="0" w:type="auto"/>
            <w:vAlign w:val="center"/>
          </w:tcPr>
          <w:p w:rsidR="005F78FC" w:rsidRDefault="00B42EF3">
            <w:pPr>
              <w:pStyle w:val="TableBodyText"/>
            </w:pPr>
            <w:r>
              <w:t>053D</w:t>
            </w:r>
          </w:p>
        </w:tc>
      </w:tr>
      <w:tr w:rsidR="005F78FC" w:rsidTr="005F78FC">
        <w:tc>
          <w:tcPr>
            <w:tcW w:w="0" w:type="auto"/>
            <w:vAlign w:val="center"/>
          </w:tcPr>
          <w:p w:rsidR="005F78FC" w:rsidRDefault="00B42EF3">
            <w:pPr>
              <w:pStyle w:val="TableBodyText"/>
            </w:pPr>
            <w:r>
              <w:t>ReplyToAnnotation</w:t>
            </w:r>
          </w:p>
        </w:tc>
        <w:tc>
          <w:tcPr>
            <w:tcW w:w="0" w:type="auto"/>
            <w:vAlign w:val="center"/>
          </w:tcPr>
          <w:p w:rsidR="005F78FC" w:rsidRDefault="00B42EF3">
            <w:pPr>
              <w:pStyle w:val="TableBodyText"/>
            </w:pPr>
            <w:r>
              <w:t>0540</w:t>
            </w:r>
          </w:p>
        </w:tc>
      </w:tr>
      <w:tr w:rsidR="005F78FC" w:rsidTr="005F78FC">
        <w:tc>
          <w:tcPr>
            <w:tcW w:w="0" w:type="auto"/>
            <w:vAlign w:val="center"/>
          </w:tcPr>
          <w:p w:rsidR="005F78FC" w:rsidRDefault="00B42EF3">
            <w:pPr>
              <w:pStyle w:val="TableBodyText"/>
            </w:pPr>
            <w:r>
              <w:t>Research</w:t>
            </w:r>
          </w:p>
        </w:tc>
        <w:tc>
          <w:tcPr>
            <w:tcW w:w="0" w:type="auto"/>
            <w:vAlign w:val="center"/>
          </w:tcPr>
          <w:p w:rsidR="005F78FC" w:rsidRDefault="00B42EF3">
            <w:pPr>
              <w:pStyle w:val="TableBodyText"/>
            </w:pPr>
            <w:r>
              <w:t>05B3</w:t>
            </w:r>
          </w:p>
        </w:tc>
      </w:tr>
      <w:tr w:rsidR="005F78FC" w:rsidTr="005F78FC">
        <w:tc>
          <w:tcPr>
            <w:tcW w:w="0" w:type="auto"/>
            <w:vAlign w:val="center"/>
          </w:tcPr>
          <w:p w:rsidR="005F78FC" w:rsidRDefault="00B42EF3">
            <w:pPr>
              <w:pStyle w:val="TableBodyText"/>
            </w:pPr>
            <w:r>
              <w:t>ResearchLookup</w:t>
            </w:r>
          </w:p>
        </w:tc>
        <w:tc>
          <w:tcPr>
            <w:tcW w:w="0" w:type="auto"/>
            <w:vAlign w:val="center"/>
          </w:tcPr>
          <w:p w:rsidR="005F78FC" w:rsidRDefault="00B42EF3">
            <w:pPr>
              <w:pStyle w:val="TableBodyText"/>
            </w:pPr>
            <w:r>
              <w:t>058A</w:t>
            </w:r>
          </w:p>
        </w:tc>
      </w:tr>
      <w:tr w:rsidR="005F78FC" w:rsidTr="005F78FC">
        <w:tc>
          <w:tcPr>
            <w:tcW w:w="0" w:type="auto"/>
            <w:vAlign w:val="center"/>
          </w:tcPr>
          <w:p w:rsidR="005F78FC" w:rsidRDefault="00B42EF3">
            <w:pPr>
              <w:pStyle w:val="TableBodyText"/>
            </w:pPr>
            <w:r>
              <w:t>ResetAdvanceToVBA</w:t>
            </w:r>
          </w:p>
        </w:tc>
        <w:tc>
          <w:tcPr>
            <w:tcW w:w="0" w:type="auto"/>
            <w:vAlign w:val="center"/>
          </w:tcPr>
          <w:p w:rsidR="005F78FC" w:rsidRDefault="00B42EF3">
            <w:pPr>
              <w:pStyle w:val="TableBodyText"/>
            </w:pPr>
            <w:r>
              <w:t>07A1</w:t>
            </w:r>
          </w:p>
        </w:tc>
      </w:tr>
      <w:tr w:rsidR="005F78FC" w:rsidTr="005F78FC">
        <w:tc>
          <w:tcPr>
            <w:tcW w:w="0" w:type="auto"/>
            <w:vAlign w:val="center"/>
          </w:tcPr>
          <w:p w:rsidR="005F78FC" w:rsidRDefault="00B42EF3">
            <w:pPr>
              <w:pStyle w:val="TableBodyText"/>
            </w:pPr>
            <w:r>
              <w:t>ResetButtonImage</w:t>
            </w:r>
          </w:p>
        </w:tc>
        <w:tc>
          <w:tcPr>
            <w:tcW w:w="0" w:type="auto"/>
            <w:vAlign w:val="center"/>
          </w:tcPr>
          <w:p w:rsidR="005F78FC" w:rsidRDefault="00B42EF3">
            <w:pPr>
              <w:pStyle w:val="TableBodyText"/>
            </w:pPr>
            <w:r>
              <w:t>0210</w:t>
            </w:r>
          </w:p>
        </w:tc>
      </w:tr>
      <w:tr w:rsidR="005F78FC" w:rsidTr="005F78FC">
        <w:tc>
          <w:tcPr>
            <w:tcW w:w="0" w:type="auto"/>
            <w:vAlign w:val="center"/>
          </w:tcPr>
          <w:p w:rsidR="005F78FC" w:rsidRDefault="00B42EF3">
            <w:pPr>
              <w:pStyle w:val="TableBodyText"/>
            </w:pPr>
            <w:r>
              <w:t>ResetChar</w:t>
            </w:r>
          </w:p>
        </w:tc>
        <w:tc>
          <w:tcPr>
            <w:tcW w:w="0" w:type="auto"/>
            <w:vAlign w:val="center"/>
          </w:tcPr>
          <w:p w:rsidR="005F78FC" w:rsidRDefault="00B42EF3">
            <w:pPr>
              <w:pStyle w:val="TableBodyText"/>
            </w:pPr>
            <w:r>
              <w:t>0038</w:t>
            </w:r>
          </w:p>
        </w:tc>
      </w:tr>
      <w:tr w:rsidR="005F78FC" w:rsidTr="005F78FC">
        <w:tc>
          <w:tcPr>
            <w:tcW w:w="0" w:type="auto"/>
            <w:vAlign w:val="center"/>
          </w:tcPr>
          <w:p w:rsidR="005F78FC" w:rsidRDefault="00B42EF3">
            <w:pPr>
              <w:pStyle w:val="TableBodyText"/>
            </w:pPr>
            <w:r>
              <w:t>ResetFormField</w:t>
            </w:r>
          </w:p>
        </w:tc>
        <w:tc>
          <w:tcPr>
            <w:tcW w:w="0" w:type="auto"/>
            <w:vAlign w:val="center"/>
          </w:tcPr>
          <w:p w:rsidR="005F78FC" w:rsidRDefault="00B42EF3">
            <w:pPr>
              <w:pStyle w:val="TableBodyText"/>
            </w:pPr>
            <w:r>
              <w:t>0531</w:t>
            </w:r>
          </w:p>
        </w:tc>
      </w:tr>
      <w:tr w:rsidR="005F78FC" w:rsidTr="005F78FC">
        <w:tc>
          <w:tcPr>
            <w:tcW w:w="0" w:type="auto"/>
            <w:vAlign w:val="center"/>
          </w:tcPr>
          <w:p w:rsidR="005F78FC" w:rsidRDefault="00B42EF3">
            <w:pPr>
              <w:pStyle w:val="TableBodyText"/>
            </w:pPr>
            <w:r>
              <w:t>ResetNoteSepOrNotice</w:t>
            </w:r>
          </w:p>
        </w:tc>
        <w:tc>
          <w:tcPr>
            <w:tcW w:w="0" w:type="auto"/>
            <w:vAlign w:val="center"/>
          </w:tcPr>
          <w:p w:rsidR="005F78FC" w:rsidRDefault="00B42EF3">
            <w:pPr>
              <w:pStyle w:val="TableBodyText"/>
            </w:pPr>
            <w:r>
              <w:t>0184</w:t>
            </w:r>
          </w:p>
        </w:tc>
      </w:tr>
      <w:tr w:rsidR="005F78FC" w:rsidTr="005F78FC">
        <w:tc>
          <w:tcPr>
            <w:tcW w:w="0" w:type="auto"/>
            <w:vAlign w:val="center"/>
          </w:tcPr>
          <w:p w:rsidR="005F78FC" w:rsidRDefault="00B42EF3">
            <w:pPr>
              <w:pStyle w:val="TableBodyText"/>
            </w:pPr>
            <w:r>
              <w:t>ResetPara</w:t>
            </w:r>
          </w:p>
        </w:tc>
        <w:tc>
          <w:tcPr>
            <w:tcW w:w="0" w:type="auto"/>
            <w:vAlign w:val="center"/>
          </w:tcPr>
          <w:p w:rsidR="005F78FC" w:rsidRDefault="00B42EF3">
            <w:pPr>
              <w:pStyle w:val="TableBodyText"/>
            </w:pPr>
            <w:r>
              <w:t>0043</w:t>
            </w:r>
          </w:p>
        </w:tc>
      </w:tr>
      <w:tr w:rsidR="005F78FC" w:rsidTr="005F78FC">
        <w:tc>
          <w:tcPr>
            <w:tcW w:w="0" w:type="auto"/>
            <w:vAlign w:val="center"/>
          </w:tcPr>
          <w:p w:rsidR="005F78FC" w:rsidRDefault="00B42EF3">
            <w:pPr>
              <w:pStyle w:val="TableBodyText"/>
            </w:pPr>
            <w:r>
              <w:t>ResetParagraphFormatting</w:t>
            </w:r>
          </w:p>
        </w:tc>
        <w:tc>
          <w:tcPr>
            <w:tcW w:w="0" w:type="auto"/>
            <w:vAlign w:val="center"/>
          </w:tcPr>
          <w:p w:rsidR="005F78FC" w:rsidRDefault="00B42EF3">
            <w:pPr>
              <w:pStyle w:val="TableBodyText"/>
            </w:pPr>
            <w:r>
              <w:t>076C</w:t>
            </w:r>
          </w:p>
        </w:tc>
      </w:tr>
      <w:tr w:rsidR="005F78FC" w:rsidTr="005F78FC">
        <w:tc>
          <w:tcPr>
            <w:tcW w:w="0" w:type="auto"/>
            <w:vAlign w:val="center"/>
          </w:tcPr>
          <w:p w:rsidR="005F78FC" w:rsidRDefault="00B42EF3">
            <w:pPr>
              <w:pStyle w:val="TableBodyText"/>
            </w:pPr>
            <w:r>
              <w:t>ResetSideBySide</w:t>
            </w:r>
          </w:p>
        </w:tc>
        <w:tc>
          <w:tcPr>
            <w:tcW w:w="0" w:type="auto"/>
            <w:vAlign w:val="center"/>
          </w:tcPr>
          <w:p w:rsidR="005F78FC" w:rsidRDefault="00B42EF3">
            <w:pPr>
              <w:pStyle w:val="TableBodyText"/>
            </w:pPr>
            <w:r>
              <w:t>0590</w:t>
            </w:r>
          </w:p>
        </w:tc>
      </w:tr>
      <w:tr w:rsidR="005F78FC" w:rsidTr="005F78FC">
        <w:tc>
          <w:tcPr>
            <w:tcW w:w="0" w:type="auto"/>
            <w:vAlign w:val="center"/>
          </w:tcPr>
          <w:p w:rsidR="005F78FC" w:rsidRDefault="00B42EF3">
            <w:pPr>
              <w:pStyle w:val="TableBodyText"/>
            </w:pPr>
            <w:r>
              <w:t>ResolveMenu</w:t>
            </w:r>
          </w:p>
        </w:tc>
        <w:tc>
          <w:tcPr>
            <w:tcW w:w="0" w:type="auto"/>
            <w:vAlign w:val="center"/>
          </w:tcPr>
          <w:p w:rsidR="005F78FC" w:rsidRDefault="00B42EF3">
            <w:pPr>
              <w:pStyle w:val="TableBodyText"/>
            </w:pPr>
            <w:r>
              <w:t>16B5</w:t>
            </w:r>
          </w:p>
        </w:tc>
      </w:tr>
      <w:tr w:rsidR="005F78FC" w:rsidTr="005F78FC">
        <w:tc>
          <w:tcPr>
            <w:tcW w:w="0" w:type="auto"/>
            <w:vAlign w:val="center"/>
          </w:tcPr>
          <w:p w:rsidR="005F78FC" w:rsidRDefault="00B42EF3">
            <w:pPr>
              <w:pStyle w:val="TableBodyText"/>
            </w:pPr>
            <w:r>
              <w:t>RestartNumbering</w:t>
            </w:r>
          </w:p>
        </w:tc>
        <w:tc>
          <w:tcPr>
            <w:tcW w:w="0" w:type="auto"/>
            <w:vAlign w:val="center"/>
          </w:tcPr>
          <w:p w:rsidR="005F78FC" w:rsidRDefault="00B42EF3">
            <w:pPr>
              <w:pStyle w:val="TableBodyText"/>
            </w:pPr>
            <w:r>
              <w:t>0546</w:t>
            </w:r>
          </w:p>
        </w:tc>
      </w:tr>
      <w:tr w:rsidR="005F78FC" w:rsidTr="005F78FC">
        <w:tc>
          <w:tcPr>
            <w:tcW w:w="0" w:type="auto"/>
            <w:vAlign w:val="center"/>
          </w:tcPr>
          <w:p w:rsidR="005F78FC" w:rsidRDefault="00B42EF3">
            <w:pPr>
              <w:pStyle w:val="TableBodyText"/>
            </w:pPr>
            <w:r>
              <w:t>RestoreCharacterStyle</w:t>
            </w:r>
          </w:p>
        </w:tc>
        <w:tc>
          <w:tcPr>
            <w:tcW w:w="0" w:type="auto"/>
            <w:vAlign w:val="center"/>
          </w:tcPr>
          <w:p w:rsidR="005F78FC" w:rsidRDefault="00B42EF3">
            <w:pPr>
              <w:pStyle w:val="TableBodyText"/>
            </w:pPr>
            <w:r>
              <w:t>076E</w:t>
            </w:r>
          </w:p>
        </w:tc>
      </w:tr>
      <w:tr w:rsidR="005F78FC" w:rsidTr="005F78FC">
        <w:tc>
          <w:tcPr>
            <w:tcW w:w="0" w:type="auto"/>
            <w:vAlign w:val="center"/>
          </w:tcPr>
          <w:p w:rsidR="005F78FC" w:rsidRDefault="00B42EF3">
            <w:pPr>
              <w:pStyle w:val="TableBodyText"/>
            </w:pPr>
            <w:r>
              <w:t>RestoreParagraphStyle</w:t>
            </w:r>
          </w:p>
        </w:tc>
        <w:tc>
          <w:tcPr>
            <w:tcW w:w="0" w:type="auto"/>
            <w:vAlign w:val="center"/>
          </w:tcPr>
          <w:p w:rsidR="005F78FC" w:rsidRDefault="00B42EF3">
            <w:pPr>
              <w:pStyle w:val="TableBodyText"/>
            </w:pPr>
            <w:r>
              <w:t>092B</w:t>
            </w:r>
          </w:p>
        </w:tc>
      </w:tr>
      <w:tr w:rsidR="005F78FC" w:rsidTr="005F78FC">
        <w:tc>
          <w:tcPr>
            <w:tcW w:w="0" w:type="auto"/>
            <w:vAlign w:val="center"/>
          </w:tcPr>
          <w:p w:rsidR="005F78FC" w:rsidRDefault="00B42EF3">
            <w:pPr>
              <w:pStyle w:val="TableBodyText"/>
            </w:pPr>
            <w:r>
              <w:t>ReturnReview</w:t>
            </w:r>
          </w:p>
        </w:tc>
        <w:tc>
          <w:tcPr>
            <w:tcW w:w="0" w:type="auto"/>
            <w:vAlign w:val="center"/>
          </w:tcPr>
          <w:p w:rsidR="005F78FC" w:rsidRDefault="00B42EF3">
            <w:pPr>
              <w:pStyle w:val="TableBodyText"/>
            </w:pPr>
            <w:r>
              <w:t>04F4</w:t>
            </w:r>
          </w:p>
        </w:tc>
      </w:tr>
      <w:tr w:rsidR="005F78FC" w:rsidTr="005F78FC">
        <w:tc>
          <w:tcPr>
            <w:tcW w:w="0" w:type="auto"/>
            <w:vAlign w:val="center"/>
          </w:tcPr>
          <w:p w:rsidR="005F78FC" w:rsidRDefault="00B42EF3">
            <w:pPr>
              <w:pStyle w:val="TableBodyText"/>
            </w:pPr>
            <w:r>
              <w:lastRenderedPageBreak/>
              <w:t>ReviewingPane</w:t>
            </w:r>
          </w:p>
        </w:tc>
        <w:tc>
          <w:tcPr>
            <w:tcW w:w="0" w:type="auto"/>
            <w:vAlign w:val="center"/>
          </w:tcPr>
          <w:p w:rsidR="005F78FC" w:rsidRDefault="00B42EF3">
            <w:pPr>
              <w:pStyle w:val="TableBodyText"/>
            </w:pPr>
            <w:r>
              <w:t>054F</w:t>
            </w:r>
          </w:p>
        </w:tc>
      </w:tr>
      <w:tr w:rsidR="005F78FC" w:rsidTr="005F78FC">
        <w:tc>
          <w:tcPr>
            <w:tcW w:w="0" w:type="auto"/>
            <w:vAlign w:val="center"/>
          </w:tcPr>
          <w:p w:rsidR="005F78FC" w:rsidRDefault="00B42EF3">
            <w:pPr>
              <w:pStyle w:val="TableBodyText"/>
            </w:pPr>
            <w:r>
              <w:t>ReviewingPaneHorizontal</w:t>
            </w:r>
          </w:p>
        </w:tc>
        <w:tc>
          <w:tcPr>
            <w:tcW w:w="0" w:type="auto"/>
            <w:vAlign w:val="center"/>
          </w:tcPr>
          <w:p w:rsidR="005F78FC" w:rsidRDefault="00B42EF3">
            <w:pPr>
              <w:pStyle w:val="TableBodyText"/>
            </w:pPr>
            <w:r>
              <w:t>08D6</w:t>
            </w:r>
          </w:p>
        </w:tc>
      </w:tr>
      <w:tr w:rsidR="005F78FC" w:rsidTr="005F78FC">
        <w:tc>
          <w:tcPr>
            <w:tcW w:w="0" w:type="auto"/>
            <w:vAlign w:val="center"/>
          </w:tcPr>
          <w:p w:rsidR="005F78FC" w:rsidRDefault="00B42EF3">
            <w:pPr>
              <w:pStyle w:val="TableBodyText"/>
            </w:pPr>
            <w:r>
              <w:t>ReviewingPaneVertical</w:t>
            </w:r>
          </w:p>
        </w:tc>
        <w:tc>
          <w:tcPr>
            <w:tcW w:w="0" w:type="auto"/>
            <w:vAlign w:val="center"/>
          </w:tcPr>
          <w:p w:rsidR="005F78FC" w:rsidRDefault="00B42EF3">
            <w:pPr>
              <w:pStyle w:val="TableBodyText"/>
            </w:pPr>
            <w:r>
              <w:t>08D7</w:t>
            </w:r>
          </w:p>
        </w:tc>
      </w:tr>
      <w:tr w:rsidR="005F78FC" w:rsidTr="005F78FC">
        <w:tc>
          <w:tcPr>
            <w:tcW w:w="0" w:type="auto"/>
            <w:vAlign w:val="center"/>
          </w:tcPr>
          <w:p w:rsidR="005F78FC" w:rsidRDefault="00B42EF3">
            <w:pPr>
              <w:pStyle w:val="TableBodyText"/>
            </w:pPr>
            <w:r>
              <w:t>RibbonFilePermissionMenu</w:t>
            </w:r>
          </w:p>
        </w:tc>
        <w:tc>
          <w:tcPr>
            <w:tcW w:w="0" w:type="auto"/>
            <w:vAlign w:val="center"/>
          </w:tcPr>
          <w:p w:rsidR="005F78FC" w:rsidRDefault="00B42EF3">
            <w:pPr>
              <w:pStyle w:val="TableBodyText"/>
            </w:pPr>
            <w:r>
              <w:t>0921</w:t>
            </w:r>
          </w:p>
        </w:tc>
      </w:tr>
      <w:tr w:rsidR="005F78FC" w:rsidTr="005F78FC">
        <w:tc>
          <w:tcPr>
            <w:tcW w:w="0" w:type="auto"/>
            <w:vAlign w:val="center"/>
          </w:tcPr>
          <w:p w:rsidR="005F78FC" w:rsidRDefault="00B42EF3">
            <w:pPr>
              <w:pStyle w:val="TableBodyText"/>
            </w:pPr>
            <w:r>
              <w:t>RibbonReviewProtectDocumentMenu</w:t>
            </w:r>
          </w:p>
        </w:tc>
        <w:tc>
          <w:tcPr>
            <w:tcW w:w="0" w:type="auto"/>
            <w:vAlign w:val="center"/>
          </w:tcPr>
          <w:p w:rsidR="005F78FC" w:rsidRDefault="00B42EF3">
            <w:pPr>
              <w:pStyle w:val="TableBodyText"/>
            </w:pPr>
            <w:r>
              <w:t>09A7</w:t>
            </w:r>
          </w:p>
        </w:tc>
      </w:tr>
      <w:tr w:rsidR="005F78FC" w:rsidTr="005F78FC">
        <w:tc>
          <w:tcPr>
            <w:tcW w:w="0" w:type="auto"/>
            <w:vAlign w:val="center"/>
          </w:tcPr>
          <w:p w:rsidR="005F78FC" w:rsidRDefault="00B42EF3">
            <w:pPr>
              <w:pStyle w:val="TableBodyText"/>
            </w:pPr>
            <w:r>
              <w:t>RibbonReviewRestrictFormatting</w:t>
            </w:r>
          </w:p>
        </w:tc>
        <w:tc>
          <w:tcPr>
            <w:tcW w:w="0" w:type="auto"/>
            <w:vAlign w:val="center"/>
          </w:tcPr>
          <w:p w:rsidR="005F78FC" w:rsidRDefault="00B42EF3">
            <w:pPr>
              <w:pStyle w:val="TableBodyText"/>
            </w:pPr>
            <w:r>
              <w:t>09A8</w:t>
            </w:r>
          </w:p>
        </w:tc>
      </w:tr>
      <w:tr w:rsidR="005F78FC" w:rsidTr="005F78FC">
        <w:tc>
          <w:tcPr>
            <w:tcW w:w="0" w:type="auto"/>
            <w:vAlign w:val="center"/>
          </w:tcPr>
          <w:p w:rsidR="005F78FC" w:rsidRDefault="00B42EF3">
            <w:pPr>
              <w:pStyle w:val="TableBodyText"/>
            </w:pPr>
            <w:r>
              <w:t>RightPara</w:t>
            </w:r>
          </w:p>
        </w:tc>
        <w:tc>
          <w:tcPr>
            <w:tcW w:w="0" w:type="auto"/>
            <w:vAlign w:val="center"/>
          </w:tcPr>
          <w:p w:rsidR="005F78FC" w:rsidRDefault="00B42EF3">
            <w:pPr>
              <w:pStyle w:val="TableBodyText"/>
            </w:pPr>
            <w:r>
              <w:t>003C</w:t>
            </w:r>
          </w:p>
        </w:tc>
      </w:tr>
      <w:tr w:rsidR="005F78FC" w:rsidTr="005F78FC">
        <w:tc>
          <w:tcPr>
            <w:tcW w:w="0" w:type="auto"/>
            <w:vAlign w:val="center"/>
          </w:tcPr>
          <w:p w:rsidR="005F78FC" w:rsidRDefault="00B42EF3">
            <w:pPr>
              <w:pStyle w:val="TableBodyText"/>
            </w:pPr>
            <w:r>
              <w:t>RotateObjectGallery</w:t>
            </w:r>
          </w:p>
        </w:tc>
        <w:tc>
          <w:tcPr>
            <w:tcW w:w="0" w:type="auto"/>
            <w:vAlign w:val="center"/>
          </w:tcPr>
          <w:p w:rsidR="005F78FC" w:rsidRDefault="00B42EF3">
            <w:pPr>
              <w:pStyle w:val="TableBodyText"/>
            </w:pPr>
            <w:r>
              <w:t>07B5</w:t>
            </w:r>
          </w:p>
        </w:tc>
      </w:tr>
      <w:tr w:rsidR="005F78FC" w:rsidTr="005F78FC">
        <w:tc>
          <w:tcPr>
            <w:tcW w:w="0" w:type="auto"/>
            <w:vAlign w:val="center"/>
          </w:tcPr>
          <w:p w:rsidR="005F78FC" w:rsidRDefault="00B42EF3">
            <w:pPr>
              <w:pStyle w:val="TableBodyText"/>
            </w:pPr>
            <w:r>
              <w:t>RtlPara</w:t>
            </w:r>
          </w:p>
        </w:tc>
        <w:tc>
          <w:tcPr>
            <w:tcW w:w="0" w:type="auto"/>
            <w:vAlign w:val="center"/>
          </w:tcPr>
          <w:p w:rsidR="005F78FC" w:rsidRDefault="00B42EF3">
            <w:pPr>
              <w:pStyle w:val="TableBodyText"/>
            </w:pPr>
            <w:r>
              <w:t>041F</w:t>
            </w:r>
          </w:p>
        </w:tc>
      </w:tr>
      <w:tr w:rsidR="005F78FC" w:rsidTr="005F78FC">
        <w:tc>
          <w:tcPr>
            <w:tcW w:w="0" w:type="auto"/>
            <w:vAlign w:val="center"/>
          </w:tcPr>
          <w:p w:rsidR="005F78FC" w:rsidRDefault="00B42EF3">
            <w:pPr>
              <w:pStyle w:val="TableBodyText"/>
            </w:pPr>
            <w:r>
              <w:t>RtlRun</w:t>
            </w:r>
          </w:p>
        </w:tc>
        <w:tc>
          <w:tcPr>
            <w:tcW w:w="0" w:type="auto"/>
            <w:vAlign w:val="center"/>
          </w:tcPr>
          <w:p w:rsidR="005F78FC" w:rsidRDefault="00B42EF3">
            <w:pPr>
              <w:pStyle w:val="TableBodyText"/>
            </w:pPr>
            <w:r>
              <w:t>0422</w:t>
            </w:r>
          </w:p>
        </w:tc>
      </w:tr>
      <w:tr w:rsidR="005F78FC" w:rsidTr="005F78FC">
        <w:tc>
          <w:tcPr>
            <w:tcW w:w="0" w:type="auto"/>
            <w:vAlign w:val="center"/>
          </w:tcPr>
          <w:p w:rsidR="005F78FC" w:rsidRDefault="00B42EF3">
            <w:pPr>
              <w:pStyle w:val="TableBodyText"/>
            </w:pPr>
            <w:r>
              <w:t>RunPrintManager</w:t>
            </w:r>
          </w:p>
        </w:tc>
        <w:tc>
          <w:tcPr>
            <w:tcW w:w="0" w:type="auto"/>
            <w:vAlign w:val="center"/>
          </w:tcPr>
          <w:p w:rsidR="005F78FC" w:rsidRDefault="00B42EF3">
            <w:pPr>
              <w:pStyle w:val="TableBodyText"/>
            </w:pPr>
            <w:r>
              <w:t>02AC</w:t>
            </w:r>
          </w:p>
        </w:tc>
      </w:tr>
      <w:tr w:rsidR="005F78FC" w:rsidTr="005F78FC">
        <w:tc>
          <w:tcPr>
            <w:tcW w:w="0" w:type="auto"/>
            <w:vAlign w:val="center"/>
          </w:tcPr>
          <w:p w:rsidR="005F78FC" w:rsidRDefault="00B42EF3">
            <w:pPr>
              <w:pStyle w:val="TableBodyText"/>
            </w:pPr>
            <w:r>
              <w:t>RunToggle</w:t>
            </w:r>
          </w:p>
        </w:tc>
        <w:tc>
          <w:tcPr>
            <w:tcW w:w="0" w:type="auto"/>
            <w:vAlign w:val="center"/>
          </w:tcPr>
          <w:p w:rsidR="005F78FC" w:rsidRDefault="00B42EF3">
            <w:pPr>
              <w:pStyle w:val="TableBodyText"/>
            </w:pPr>
            <w:r>
              <w:t>041D</w:t>
            </w:r>
          </w:p>
        </w:tc>
      </w:tr>
      <w:tr w:rsidR="005F78FC" w:rsidTr="005F78FC">
        <w:tc>
          <w:tcPr>
            <w:tcW w:w="0" w:type="auto"/>
            <w:vAlign w:val="center"/>
          </w:tcPr>
          <w:p w:rsidR="005F78FC" w:rsidRDefault="00B42EF3">
            <w:pPr>
              <w:pStyle w:val="TableBodyText"/>
            </w:pPr>
            <w:r>
              <w:t>SaveAsQuickFormatSet</w:t>
            </w:r>
          </w:p>
        </w:tc>
        <w:tc>
          <w:tcPr>
            <w:tcW w:w="0" w:type="auto"/>
            <w:vAlign w:val="center"/>
          </w:tcPr>
          <w:p w:rsidR="005F78FC" w:rsidRDefault="00B42EF3">
            <w:pPr>
              <w:pStyle w:val="TableBodyText"/>
            </w:pPr>
            <w:r>
              <w:t>05D5</w:t>
            </w:r>
          </w:p>
        </w:tc>
      </w:tr>
      <w:tr w:rsidR="005F78FC" w:rsidTr="005F78FC">
        <w:tc>
          <w:tcPr>
            <w:tcW w:w="0" w:type="auto"/>
            <w:vAlign w:val="center"/>
          </w:tcPr>
          <w:p w:rsidR="005F78FC" w:rsidRDefault="00B42EF3">
            <w:pPr>
              <w:pStyle w:val="TableBodyText"/>
            </w:pPr>
            <w:r>
              <w:t>SaveBibliographyBlock</w:t>
            </w:r>
          </w:p>
        </w:tc>
        <w:tc>
          <w:tcPr>
            <w:tcW w:w="0" w:type="auto"/>
            <w:vAlign w:val="center"/>
          </w:tcPr>
          <w:p w:rsidR="005F78FC" w:rsidRDefault="00B42EF3">
            <w:pPr>
              <w:pStyle w:val="TableBodyText"/>
            </w:pPr>
            <w:r>
              <w:t>0972</w:t>
            </w:r>
          </w:p>
        </w:tc>
      </w:tr>
      <w:tr w:rsidR="005F78FC" w:rsidTr="005F78FC">
        <w:tc>
          <w:tcPr>
            <w:tcW w:w="0" w:type="auto"/>
            <w:vAlign w:val="center"/>
          </w:tcPr>
          <w:p w:rsidR="005F78FC" w:rsidRDefault="00B42EF3">
            <w:pPr>
              <w:pStyle w:val="TableBodyText"/>
            </w:pPr>
            <w:r>
              <w:t>SaveCoverPageBlock</w:t>
            </w:r>
          </w:p>
        </w:tc>
        <w:tc>
          <w:tcPr>
            <w:tcW w:w="0" w:type="auto"/>
            <w:vAlign w:val="center"/>
          </w:tcPr>
          <w:p w:rsidR="005F78FC" w:rsidRDefault="00B42EF3">
            <w:pPr>
              <w:pStyle w:val="TableBodyText"/>
            </w:pPr>
            <w:r>
              <w:t>08E4</w:t>
            </w:r>
          </w:p>
        </w:tc>
      </w:tr>
      <w:tr w:rsidR="005F78FC" w:rsidTr="005F78FC">
        <w:tc>
          <w:tcPr>
            <w:tcW w:w="0" w:type="auto"/>
            <w:vAlign w:val="center"/>
          </w:tcPr>
          <w:p w:rsidR="005F78FC" w:rsidRDefault="00B42EF3">
            <w:pPr>
              <w:pStyle w:val="TableBodyText"/>
            </w:pPr>
            <w:r>
              <w:t>SaveCurrentTheme</w:t>
            </w:r>
          </w:p>
        </w:tc>
        <w:tc>
          <w:tcPr>
            <w:tcW w:w="0" w:type="auto"/>
            <w:vAlign w:val="center"/>
          </w:tcPr>
          <w:p w:rsidR="005F78FC" w:rsidRDefault="00B42EF3">
            <w:pPr>
              <w:pStyle w:val="TableBodyText"/>
            </w:pPr>
            <w:r>
              <w:t>08DB</w:t>
            </w:r>
          </w:p>
        </w:tc>
      </w:tr>
      <w:tr w:rsidR="005F78FC" w:rsidTr="005F78FC">
        <w:tc>
          <w:tcPr>
            <w:tcW w:w="0" w:type="auto"/>
            <w:vAlign w:val="center"/>
          </w:tcPr>
          <w:p w:rsidR="005F78FC" w:rsidRDefault="00B42EF3">
            <w:pPr>
              <w:pStyle w:val="TableBodyText"/>
            </w:pPr>
            <w:r>
              <w:t>SaveEquation</w:t>
            </w:r>
          </w:p>
        </w:tc>
        <w:tc>
          <w:tcPr>
            <w:tcW w:w="0" w:type="auto"/>
            <w:vAlign w:val="center"/>
          </w:tcPr>
          <w:p w:rsidR="005F78FC" w:rsidRDefault="00B42EF3">
            <w:pPr>
              <w:pStyle w:val="TableBodyText"/>
            </w:pPr>
            <w:r>
              <w:t>090E</w:t>
            </w:r>
          </w:p>
        </w:tc>
      </w:tr>
      <w:tr w:rsidR="005F78FC" w:rsidTr="005F78FC">
        <w:tc>
          <w:tcPr>
            <w:tcW w:w="0" w:type="auto"/>
            <w:vAlign w:val="center"/>
          </w:tcPr>
          <w:p w:rsidR="005F78FC" w:rsidRDefault="00B42EF3">
            <w:pPr>
              <w:pStyle w:val="TableBodyText"/>
            </w:pPr>
            <w:r>
              <w:t>SaveFooterBlock</w:t>
            </w:r>
          </w:p>
        </w:tc>
        <w:tc>
          <w:tcPr>
            <w:tcW w:w="0" w:type="auto"/>
            <w:vAlign w:val="center"/>
          </w:tcPr>
          <w:p w:rsidR="005F78FC" w:rsidRDefault="00B42EF3">
            <w:pPr>
              <w:pStyle w:val="TableBodyText"/>
            </w:pPr>
            <w:r>
              <w:t>08E6</w:t>
            </w:r>
          </w:p>
        </w:tc>
      </w:tr>
      <w:tr w:rsidR="005F78FC" w:rsidTr="005F78FC">
        <w:tc>
          <w:tcPr>
            <w:tcW w:w="0" w:type="auto"/>
            <w:vAlign w:val="center"/>
          </w:tcPr>
          <w:p w:rsidR="005F78FC" w:rsidRDefault="00B42EF3">
            <w:pPr>
              <w:pStyle w:val="TableBodyText"/>
            </w:pPr>
            <w:r>
              <w:t>SaveHeaderBlock</w:t>
            </w:r>
          </w:p>
        </w:tc>
        <w:tc>
          <w:tcPr>
            <w:tcW w:w="0" w:type="auto"/>
            <w:vAlign w:val="center"/>
          </w:tcPr>
          <w:p w:rsidR="005F78FC" w:rsidRDefault="00B42EF3">
            <w:pPr>
              <w:pStyle w:val="TableBodyText"/>
            </w:pPr>
            <w:r>
              <w:t>08E5</w:t>
            </w:r>
          </w:p>
        </w:tc>
      </w:tr>
      <w:tr w:rsidR="005F78FC" w:rsidTr="005F78FC">
        <w:tc>
          <w:tcPr>
            <w:tcW w:w="0" w:type="auto"/>
            <w:vAlign w:val="center"/>
          </w:tcPr>
          <w:p w:rsidR="005F78FC" w:rsidRDefault="00B42EF3">
            <w:pPr>
              <w:pStyle w:val="TableBodyText"/>
            </w:pPr>
            <w:r>
              <w:t>SaveOssThemeToTemplate</w:t>
            </w:r>
          </w:p>
        </w:tc>
        <w:tc>
          <w:tcPr>
            <w:tcW w:w="0" w:type="auto"/>
            <w:vAlign w:val="center"/>
          </w:tcPr>
          <w:p w:rsidR="005F78FC" w:rsidRDefault="00B42EF3">
            <w:pPr>
              <w:pStyle w:val="TableBodyText"/>
            </w:pPr>
            <w:r>
              <w:t>093D</w:t>
            </w:r>
          </w:p>
        </w:tc>
      </w:tr>
      <w:tr w:rsidR="005F78FC" w:rsidTr="005F78FC">
        <w:tc>
          <w:tcPr>
            <w:tcW w:w="0" w:type="auto"/>
            <w:vAlign w:val="center"/>
          </w:tcPr>
          <w:p w:rsidR="005F78FC" w:rsidRDefault="00B42EF3">
            <w:pPr>
              <w:pStyle w:val="TableBodyText"/>
            </w:pPr>
            <w:r>
              <w:t>SavePageNumBlock</w:t>
            </w:r>
          </w:p>
        </w:tc>
        <w:tc>
          <w:tcPr>
            <w:tcW w:w="0" w:type="auto"/>
            <w:vAlign w:val="center"/>
          </w:tcPr>
          <w:p w:rsidR="005F78FC" w:rsidRDefault="00B42EF3">
            <w:pPr>
              <w:pStyle w:val="TableBodyText"/>
            </w:pPr>
            <w:r>
              <w:t>08E9</w:t>
            </w:r>
          </w:p>
        </w:tc>
      </w:tr>
      <w:tr w:rsidR="005F78FC" w:rsidTr="005F78FC">
        <w:tc>
          <w:tcPr>
            <w:tcW w:w="0" w:type="auto"/>
            <w:vAlign w:val="center"/>
          </w:tcPr>
          <w:p w:rsidR="005F78FC" w:rsidRDefault="00B42EF3">
            <w:pPr>
              <w:pStyle w:val="TableBodyText"/>
            </w:pPr>
            <w:r>
              <w:t>SavePageNumBottomBlock</w:t>
            </w:r>
          </w:p>
        </w:tc>
        <w:tc>
          <w:tcPr>
            <w:tcW w:w="0" w:type="auto"/>
            <w:vAlign w:val="center"/>
          </w:tcPr>
          <w:p w:rsidR="005F78FC" w:rsidRDefault="00B42EF3">
            <w:pPr>
              <w:pStyle w:val="TableBodyText"/>
            </w:pPr>
            <w:r>
              <w:t>08E8</w:t>
            </w:r>
          </w:p>
        </w:tc>
      </w:tr>
      <w:tr w:rsidR="005F78FC" w:rsidTr="005F78FC">
        <w:tc>
          <w:tcPr>
            <w:tcW w:w="0" w:type="auto"/>
            <w:vAlign w:val="center"/>
          </w:tcPr>
          <w:p w:rsidR="005F78FC" w:rsidRDefault="00B42EF3">
            <w:pPr>
              <w:pStyle w:val="TableBodyText"/>
            </w:pPr>
            <w:r>
              <w:t>SavePageNumTopBlock</w:t>
            </w:r>
          </w:p>
        </w:tc>
        <w:tc>
          <w:tcPr>
            <w:tcW w:w="0" w:type="auto"/>
            <w:vAlign w:val="center"/>
          </w:tcPr>
          <w:p w:rsidR="005F78FC" w:rsidRDefault="00B42EF3">
            <w:pPr>
              <w:pStyle w:val="TableBodyText"/>
            </w:pPr>
            <w:r>
              <w:t>08E7</w:t>
            </w:r>
          </w:p>
        </w:tc>
      </w:tr>
      <w:tr w:rsidR="005F78FC" w:rsidTr="005F78FC">
        <w:tc>
          <w:tcPr>
            <w:tcW w:w="0" w:type="auto"/>
            <w:vAlign w:val="center"/>
          </w:tcPr>
          <w:p w:rsidR="005F78FC" w:rsidRDefault="00B42EF3">
            <w:pPr>
              <w:pStyle w:val="TableBodyText"/>
            </w:pPr>
            <w:r>
              <w:t>SaveTableOfContentsBlock</w:t>
            </w:r>
          </w:p>
        </w:tc>
        <w:tc>
          <w:tcPr>
            <w:tcW w:w="0" w:type="auto"/>
            <w:vAlign w:val="center"/>
          </w:tcPr>
          <w:p w:rsidR="005F78FC" w:rsidRDefault="00B42EF3">
            <w:pPr>
              <w:pStyle w:val="TableBodyText"/>
            </w:pPr>
            <w:r>
              <w:t>0919</w:t>
            </w:r>
          </w:p>
        </w:tc>
      </w:tr>
      <w:tr w:rsidR="005F78FC" w:rsidTr="005F78FC">
        <w:tc>
          <w:tcPr>
            <w:tcW w:w="0" w:type="auto"/>
            <w:vAlign w:val="center"/>
          </w:tcPr>
          <w:p w:rsidR="005F78FC" w:rsidRDefault="00B42EF3">
            <w:pPr>
              <w:pStyle w:val="TableBodyText"/>
            </w:pPr>
            <w:r>
              <w:t>SaveTemplate</w:t>
            </w:r>
          </w:p>
        </w:tc>
        <w:tc>
          <w:tcPr>
            <w:tcW w:w="0" w:type="auto"/>
            <w:vAlign w:val="center"/>
          </w:tcPr>
          <w:p w:rsidR="005F78FC" w:rsidRDefault="00B42EF3">
            <w:pPr>
              <w:pStyle w:val="TableBodyText"/>
            </w:pPr>
            <w:r>
              <w:t>0046</w:t>
            </w:r>
          </w:p>
        </w:tc>
      </w:tr>
      <w:tr w:rsidR="005F78FC" w:rsidTr="005F78FC">
        <w:tc>
          <w:tcPr>
            <w:tcW w:w="0" w:type="auto"/>
            <w:vAlign w:val="center"/>
          </w:tcPr>
          <w:p w:rsidR="005F78FC" w:rsidRDefault="00B42EF3">
            <w:pPr>
              <w:pStyle w:val="TableBodyText"/>
            </w:pPr>
            <w:r>
              <w:t>SaveToDocMgmtServer</w:t>
            </w:r>
          </w:p>
        </w:tc>
        <w:tc>
          <w:tcPr>
            <w:tcW w:w="0" w:type="auto"/>
            <w:vAlign w:val="center"/>
          </w:tcPr>
          <w:p w:rsidR="005F78FC" w:rsidRDefault="00B42EF3">
            <w:pPr>
              <w:pStyle w:val="TableBodyText"/>
            </w:pPr>
            <w:r>
              <w:t>083A</w:t>
            </w:r>
          </w:p>
        </w:tc>
      </w:tr>
      <w:tr w:rsidR="005F78FC" w:rsidTr="005F78FC">
        <w:tc>
          <w:tcPr>
            <w:tcW w:w="0" w:type="auto"/>
            <w:vAlign w:val="center"/>
          </w:tcPr>
          <w:p w:rsidR="005F78FC" w:rsidRDefault="00B42EF3">
            <w:pPr>
              <w:pStyle w:val="TableBodyText"/>
            </w:pPr>
            <w:r>
              <w:t>ScheduleMeeting</w:t>
            </w:r>
          </w:p>
        </w:tc>
        <w:tc>
          <w:tcPr>
            <w:tcW w:w="0" w:type="auto"/>
            <w:vAlign w:val="center"/>
          </w:tcPr>
          <w:p w:rsidR="005F78FC" w:rsidRDefault="00B42EF3">
            <w:pPr>
              <w:pStyle w:val="TableBodyText"/>
            </w:pPr>
            <w:r>
              <w:t>049A</w:t>
            </w:r>
          </w:p>
        </w:tc>
      </w:tr>
      <w:tr w:rsidR="005F78FC" w:rsidTr="005F78FC">
        <w:tc>
          <w:tcPr>
            <w:tcW w:w="0" w:type="auto"/>
            <w:vAlign w:val="center"/>
          </w:tcPr>
          <w:p w:rsidR="005F78FC" w:rsidRDefault="00B42EF3">
            <w:pPr>
              <w:pStyle w:val="TableBodyText"/>
            </w:pPr>
            <w:r>
              <w:t>SchemaLibrary</w:t>
            </w:r>
          </w:p>
        </w:tc>
        <w:tc>
          <w:tcPr>
            <w:tcW w:w="0" w:type="auto"/>
            <w:vAlign w:val="center"/>
          </w:tcPr>
          <w:p w:rsidR="005F78FC" w:rsidRDefault="00B42EF3">
            <w:pPr>
              <w:pStyle w:val="TableBodyText"/>
            </w:pPr>
            <w:r>
              <w:t>0589</w:t>
            </w:r>
          </w:p>
        </w:tc>
      </w:tr>
      <w:tr w:rsidR="005F78FC" w:rsidTr="005F78FC">
        <w:tc>
          <w:tcPr>
            <w:tcW w:w="0" w:type="auto"/>
            <w:vAlign w:val="center"/>
          </w:tcPr>
          <w:p w:rsidR="005F78FC" w:rsidRDefault="00B42EF3">
            <w:pPr>
              <w:pStyle w:val="TableBodyText"/>
            </w:pPr>
            <w:r>
              <w:t>ScreenRefresh</w:t>
            </w:r>
          </w:p>
        </w:tc>
        <w:tc>
          <w:tcPr>
            <w:tcW w:w="0" w:type="auto"/>
            <w:vAlign w:val="center"/>
          </w:tcPr>
          <w:p w:rsidR="005F78FC" w:rsidRDefault="00B42EF3">
            <w:pPr>
              <w:pStyle w:val="TableBodyText"/>
            </w:pPr>
            <w:r>
              <w:t>0299</w:t>
            </w:r>
          </w:p>
        </w:tc>
      </w:tr>
      <w:tr w:rsidR="005F78FC" w:rsidTr="005F78FC">
        <w:tc>
          <w:tcPr>
            <w:tcW w:w="0" w:type="auto"/>
            <w:vAlign w:val="center"/>
          </w:tcPr>
          <w:p w:rsidR="005F78FC" w:rsidRDefault="00B42EF3">
            <w:pPr>
              <w:pStyle w:val="TableBodyText"/>
            </w:pPr>
            <w:r>
              <w:t>ScrnNav</w:t>
            </w:r>
          </w:p>
        </w:tc>
        <w:tc>
          <w:tcPr>
            <w:tcW w:w="0" w:type="auto"/>
            <w:vAlign w:val="center"/>
          </w:tcPr>
          <w:p w:rsidR="005F78FC" w:rsidRDefault="00B42EF3">
            <w:pPr>
              <w:pStyle w:val="TableBodyText"/>
            </w:pPr>
            <w:r>
              <w:t>0897</w:t>
            </w:r>
          </w:p>
        </w:tc>
      </w:tr>
      <w:tr w:rsidR="005F78FC" w:rsidTr="005F78FC">
        <w:tc>
          <w:tcPr>
            <w:tcW w:w="0" w:type="auto"/>
            <w:vAlign w:val="center"/>
          </w:tcPr>
          <w:p w:rsidR="005F78FC" w:rsidRDefault="00B42EF3">
            <w:pPr>
              <w:pStyle w:val="TableBodyText"/>
            </w:pPr>
            <w:r>
              <w:t>SearchOfficeOnline</w:t>
            </w:r>
          </w:p>
        </w:tc>
        <w:tc>
          <w:tcPr>
            <w:tcW w:w="0" w:type="auto"/>
            <w:vAlign w:val="center"/>
          </w:tcPr>
          <w:p w:rsidR="005F78FC" w:rsidRDefault="00B42EF3">
            <w:pPr>
              <w:pStyle w:val="TableBodyText"/>
            </w:pPr>
            <w:r>
              <w:t>0876</w:t>
            </w:r>
          </w:p>
        </w:tc>
      </w:tr>
      <w:tr w:rsidR="005F78FC" w:rsidTr="005F78FC">
        <w:tc>
          <w:tcPr>
            <w:tcW w:w="0" w:type="auto"/>
            <w:vAlign w:val="center"/>
          </w:tcPr>
          <w:p w:rsidR="005F78FC" w:rsidRDefault="00B42EF3">
            <w:pPr>
              <w:pStyle w:val="TableBodyText"/>
            </w:pPr>
            <w:r>
              <w:t>SelectBibliographyStyle</w:t>
            </w:r>
          </w:p>
        </w:tc>
        <w:tc>
          <w:tcPr>
            <w:tcW w:w="0" w:type="auto"/>
            <w:vAlign w:val="center"/>
          </w:tcPr>
          <w:p w:rsidR="005F78FC" w:rsidRDefault="00B42EF3">
            <w:pPr>
              <w:pStyle w:val="TableBodyText"/>
            </w:pPr>
            <w:r>
              <w:t>077E</w:t>
            </w:r>
          </w:p>
        </w:tc>
      </w:tr>
      <w:tr w:rsidR="005F78FC" w:rsidTr="005F78FC">
        <w:tc>
          <w:tcPr>
            <w:tcW w:w="0" w:type="auto"/>
            <w:vAlign w:val="center"/>
          </w:tcPr>
          <w:p w:rsidR="005F78FC" w:rsidRDefault="00B42EF3">
            <w:pPr>
              <w:pStyle w:val="TableBodyText"/>
            </w:pPr>
            <w:r>
              <w:lastRenderedPageBreak/>
              <w:t>SelectCurAlignment</w:t>
            </w:r>
          </w:p>
        </w:tc>
        <w:tc>
          <w:tcPr>
            <w:tcW w:w="0" w:type="auto"/>
            <w:vAlign w:val="center"/>
          </w:tcPr>
          <w:p w:rsidR="005F78FC" w:rsidRDefault="00B42EF3">
            <w:pPr>
              <w:pStyle w:val="TableBodyText"/>
            </w:pPr>
            <w:r>
              <w:t>011F</w:t>
            </w:r>
          </w:p>
        </w:tc>
      </w:tr>
      <w:tr w:rsidR="005F78FC" w:rsidTr="005F78FC">
        <w:tc>
          <w:tcPr>
            <w:tcW w:w="0" w:type="auto"/>
            <w:vAlign w:val="center"/>
          </w:tcPr>
          <w:p w:rsidR="005F78FC" w:rsidRDefault="00B42EF3">
            <w:pPr>
              <w:pStyle w:val="TableBodyText"/>
            </w:pPr>
            <w:r>
              <w:t>SelectCurColor</w:t>
            </w:r>
          </w:p>
        </w:tc>
        <w:tc>
          <w:tcPr>
            <w:tcW w:w="0" w:type="auto"/>
            <w:vAlign w:val="center"/>
          </w:tcPr>
          <w:p w:rsidR="005F78FC" w:rsidRDefault="00B42EF3">
            <w:pPr>
              <w:pStyle w:val="TableBodyText"/>
            </w:pPr>
            <w:r>
              <w:t>0123</w:t>
            </w:r>
          </w:p>
        </w:tc>
      </w:tr>
      <w:tr w:rsidR="005F78FC" w:rsidTr="005F78FC">
        <w:tc>
          <w:tcPr>
            <w:tcW w:w="0" w:type="auto"/>
            <w:vAlign w:val="center"/>
          </w:tcPr>
          <w:p w:rsidR="005F78FC" w:rsidRDefault="00B42EF3">
            <w:pPr>
              <w:pStyle w:val="TableBodyText"/>
            </w:pPr>
            <w:r>
              <w:t>SelectCurFont</w:t>
            </w:r>
          </w:p>
        </w:tc>
        <w:tc>
          <w:tcPr>
            <w:tcW w:w="0" w:type="auto"/>
            <w:vAlign w:val="center"/>
          </w:tcPr>
          <w:p w:rsidR="005F78FC" w:rsidRDefault="00B42EF3">
            <w:pPr>
              <w:pStyle w:val="TableBodyText"/>
            </w:pPr>
            <w:r>
              <w:t>011E</w:t>
            </w:r>
          </w:p>
        </w:tc>
      </w:tr>
      <w:tr w:rsidR="005F78FC" w:rsidTr="005F78FC">
        <w:tc>
          <w:tcPr>
            <w:tcW w:w="0" w:type="auto"/>
            <w:vAlign w:val="center"/>
          </w:tcPr>
          <w:p w:rsidR="005F78FC" w:rsidRDefault="00B42EF3">
            <w:pPr>
              <w:pStyle w:val="TableBodyText"/>
            </w:pPr>
            <w:r>
              <w:t>SelectCurIndent</w:t>
            </w:r>
          </w:p>
        </w:tc>
        <w:tc>
          <w:tcPr>
            <w:tcW w:w="0" w:type="auto"/>
            <w:vAlign w:val="center"/>
          </w:tcPr>
          <w:p w:rsidR="005F78FC" w:rsidRDefault="00B42EF3">
            <w:pPr>
              <w:pStyle w:val="TableBodyText"/>
            </w:pPr>
            <w:r>
              <w:t>0121</w:t>
            </w:r>
          </w:p>
        </w:tc>
      </w:tr>
      <w:tr w:rsidR="005F78FC" w:rsidTr="005F78FC">
        <w:tc>
          <w:tcPr>
            <w:tcW w:w="0" w:type="auto"/>
            <w:vAlign w:val="center"/>
          </w:tcPr>
          <w:p w:rsidR="005F78FC" w:rsidRDefault="00B42EF3">
            <w:pPr>
              <w:pStyle w:val="TableBodyText"/>
            </w:pPr>
            <w:r>
              <w:t>SelectCurSpacing</w:t>
            </w:r>
          </w:p>
        </w:tc>
        <w:tc>
          <w:tcPr>
            <w:tcW w:w="0" w:type="auto"/>
            <w:vAlign w:val="center"/>
          </w:tcPr>
          <w:p w:rsidR="005F78FC" w:rsidRDefault="00B42EF3">
            <w:pPr>
              <w:pStyle w:val="TableBodyText"/>
            </w:pPr>
            <w:r>
              <w:t>0120</w:t>
            </w:r>
          </w:p>
        </w:tc>
      </w:tr>
      <w:tr w:rsidR="005F78FC" w:rsidTr="005F78FC">
        <w:tc>
          <w:tcPr>
            <w:tcW w:w="0" w:type="auto"/>
            <w:vAlign w:val="center"/>
          </w:tcPr>
          <w:p w:rsidR="005F78FC" w:rsidRDefault="00B42EF3">
            <w:pPr>
              <w:pStyle w:val="TableBodyText"/>
            </w:pPr>
            <w:r>
              <w:t>SelectCurTabs</w:t>
            </w:r>
          </w:p>
        </w:tc>
        <w:tc>
          <w:tcPr>
            <w:tcW w:w="0" w:type="auto"/>
            <w:vAlign w:val="center"/>
          </w:tcPr>
          <w:p w:rsidR="005F78FC" w:rsidRDefault="00B42EF3">
            <w:pPr>
              <w:pStyle w:val="TableBodyText"/>
            </w:pPr>
            <w:r>
              <w:t>0122</w:t>
            </w:r>
          </w:p>
        </w:tc>
      </w:tr>
      <w:tr w:rsidR="005F78FC" w:rsidTr="005F78FC">
        <w:tc>
          <w:tcPr>
            <w:tcW w:w="0" w:type="auto"/>
            <w:vAlign w:val="center"/>
          </w:tcPr>
          <w:p w:rsidR="005F78FC" w:rsidRDefault="00B42EF3">
            <w:pPr>
              <w:pStyle w:val="TableBodyText"/>
            </w:pPr>
            <w:r>
              <w:t>SelectDrawingObjects</w:t>
            </w:r>
          </w:p>
        </w:tc>
        <w:tc>
          <w:tcPr>
            <w:tcW w:w="0" w:type="auto"/>
            <w:vAlign w:val="center"/>
          </w:tcPr>
          <w:p w:rsidR="005F78FC" w:rsidRDefault="00B42EF3">
            <w:pPr>
              <w:pStyle w:val="TableBodyText"/>
            </w:pPr>
            <w:r>
              <w:t>0221</w:t>
            </w:r>
          </w:p>
        </w:tc>
      </w:tr>
      <w:tr w:rsidR="005F78FC" w:rsidTr="005F78FC">
        <w:tc>
          <w:tcPr>
            <w:tcW w:w="0" w:type="auto"/>
            <w:vAlign w:val="center"/>
          </w:tcPr>
          <w:p w:rsidR="005F78FC" w:rsidRDefault="00B42EF3">
            <w:pPr>
              <w:pStyle w:val="TableBodyText"/>
            </w:pPr>
            <w:r>
              <w:t>SelectNumber</w:t>
            </w:r>
          </w:p>
        </w:tc>
        <w:tc>
          <w:tcPr>
            <w:tcW w:w="0" w:type="auto"/>
            <w:vAlign w:val="center"/>
          </w:tcPr>
          <w:p w:rsidR="005F78FC" w:rsidRDefault="00B42EF3">
            <w:pPr>
              <w:pStyle w:val="TableBodyText"/>
            </w:pPr>
            <w:r>
              <w:t>0545</w:t>
            </w:r>
          </w:p>
        </w:tc>
      </w:tr>
      <w:tr w:rsidR="005F78FC" w:rsidTr="005F78FC">
        <w:tc>
          <w:tcPr>
            <w:tcW w:w="0" w:type="auto"/>
            <w:vAlign w:val="center"/>
          </w:tcPr>
          <w:p w:rsidR="005F78FC" w:rsidRDefault="00B42EF3">
            <w:pPr>
              <w:pStyle w:val="TableBodyText"/>
            </w:pPr>
            <w:r>
              <w:t>SelectSimilarFormatting</w:t>
            </w:r>
          </w:p>
        </w:tc>
        <w:tc>
          <w:tcPr>
            <w:tcW w:w="0" w:type="auto"/>
            <w:vAlign w:val="center"/>
          </w:tcPr>
          <w:p w:rsidR="005F78FC" w:rsidRDefault="00B42EF3">
            <w:pPr>
              <w:pStyle w:val="TableBodyText"/>
            </w:pPr>
            <w:r>
              <w:t>04DC</w:t>
            </w:r>
          </w:p>
        </w:tc>
      </w:tr>
      <w:tr w:rsidR="005F78FC" w:rsidTr="005F78FC">
        <w:tc>
          <w:tcPr>
            <w:tcW w:w="0" w:type="auto"/>
            <w:vAlign w:val="center"/>
          </w:tcPr>
          <w:p w:rsidR="005F78FC" w:rsidRDefault="00B42EF3">
            <w:pPr>
              <w:pStyle w:val="TableBodyText"/>
            </w:pPr>
            <w:r>
              <w:t>SendBackward</w:t>
            </w:r>
          </w:p>
        </w:tc>
        <w:tc>
          <w:tcPr>
            <w:tcW w:w="0" w:type="auto"/>
            <w:vAlign w:val="center"/>
          </w:tcPr>
          <w:p w:rsidR="005F78FC" w:rsidRDefault="00B42EF3">
            <w:pPr>
              <w:pStyle w:val="TableBodyText"/>
            </w:pPr>
            <w:r>
              <w:t>0859</w:t>
            </w:r>
          </w:p>
        </w:tc>
      </w:tr>
      <w:tr w:rsidR="005F78FC" w:rsidTr="005F78FC">
        <w:tc>
          <w:tcPr>
            <w:tcW w:w="0" w:type="auto"/>
            <w:vAlign w:val="center"/>
          </w:tcPr>
          <w:p w:rsidR="005F78FC" w:rsidRDefault="00B42EF3">
            <w:pPr>
              <w:pStyle w:val="TableBodyText"/>
            </w:pPr>
            <w:r>
              <w:t>SendForReview</w:t>
            </w:r>
          </w:p>
        </w:tc>
        <w:tc>
          <w:tcPr>
            <w:tcW w:w="0" w:type="auto"/>
            <w:vAlign w:val="center"/>
          </w:tcPr>
          <w:p w:rsidR="005F78FC" w:rsidRDefault="00B42EF3">
            <w:pPr>
              <w:pStyle w:val="TableBodyText"/>
            </w:pPr>
            <w:r>
              <w:t>0563</w:t>
            </w:r>
          </w:p>
        </w:tc>
      </w:tr>
      <w:tr w:rsidR="005F78FC" w:rsidTr="005F78FC">
        <w:tc>
          <w:tcPr>
            <w:tcW w:w="0" w:type="auto"/>
            <w:vAlign w:val="center"/>
          </w:tcPr>
          <w:p w:rsidR="005F78FC" w:rsidRDefault="00B42EF3">
            <w:pPr>
              <w:pStyle w:val="TableBodyText"/>
            </w:pPr>
            <w:r>
              <w:t>SendToBack</w:t>
            </w:r>
          </w:p>
        </w:tc>
        <w:tc>
          <w:tcPr>
            <w:tcW w:w="0" w:type="auto"/>
            <w:vAlign w:val="center"/>
          </w:tcPr>
          <w:p w:rsidR="005F78FC" w:rsidRDefault="00B42EF3">
            <w:pPr>
              <w:pStyle w:val="TableBodyText"/>
            </w:pPr>
            <w:r>
              <w:t>085A</w:t>
            </w:r>
          </w:p>
        </w:tc>
      </w:tr>
      <w:tr w:rsidR="005F78FC" w:rsidTr="005F78FC">
        <w:tc>
          <w:tcPr>
            <w:tcW w:w="0" w:type="auto"/>
            <w:vAlign w:val="center"/>
          </w:tcPr>
          <w:p w:rsidR="005F78FC" w:rsidRDefault="00B42EF3">
            <w:pPr>
              <w:pStyle w:val="TableBodyText"/>
            </w:pPr>
            <w:r>
              <w:t>SendToFax</w:t>
            </w:r>
          </w:p>
        </w:tc>
        <w:tc>
          <w:tcPr>
            <w:tcW w:w="0" w:type="auto"/>
            <w:vAlign w:val="center"/>
          </w:tcPr>
          <w:p w:rsidR="005F78FC" w:rsidRDefault="00B42EF3">
            <w:pPr>
              <w:pStyle w:val="TableBodyText"/>
            </w:pPr>
            <w:r>
              <w:t>03AC</w:t>
            </w:r>
          </w:p>
        </w:tc>
      </w:tr>
      <w:tr w:rsidR="005F78FC" w:rsidTr="005F78FC">
        <w:tc>
          <w:tcPr>
            <w:tcW w:w="0" w:type="auto"/>
            <w:vAlign w:val="center"/>
          </w:tcPr>
          <w:p w:rsidR="005F78FC" w:rsidRDefault="00B42EF3">
            <w:pPr>
              <w:pStyle w:val="TableBodyText"/>
            </w:pPr>
            <w:r>
              <w:t>SendToOnlineMeetingParticipants</w:t>
            </w:r>
          </w:p>
        </w:tc>
        <w:tc>
          <w:tcPr>
            <w:tcW w:w="0" w:type="auto"/>
            <w:vAlign w:val="center"/>
          </w:tcPr>
          <w:p w:rsidR="005F78FC" w:rsidRDefault="00B42EF3">
            <w:pPr>
              <w:pStyle w:val="TableBodyText"/>
            </w:pPr>
            <w:r>
              <w:t>03CF</w:t>
            </w:r>
          </w:p>
        </w:tc>
      </w:tr>
      <w:tr w:rsidR="005F78FC" w:rsidTr="005F78FC">
        <w:tc>
          <w:tcPr>
            <w:tcW w:w="0" w:type="auto"/>
            <w:vAlign w:val="center"/>
          </w:tcPr>
          <w:p w:rsidR="005F78FC" w:rsidRDefault="00B42EF3">
            <w:pPr>
              <w:pStyle w:val="TableBodyText"/>
            </w:pPr>
            <w:r>
              <w:t>SentLeft</w:t>
            </w:r>
          </w:p>
        </w:tc>
        <w:tc>
          <w:tcPr>
            <w:tcW w:w="0" w:type="auto"/>
            <w:vAlign w:val="center"/>
          </w:tcPr>
          <w:p w:rsidR="005F78FC" w:rsidRDefault="00B42EF3">
            <w:pPr>
              <w:pStyle w:val="TableBodyText"/>
            </w:pPr>
            <w:r>
              <w:t>0FA4</w:t>
            </w:r>
          </w:p>
        </w:tc>
      </w:tr>
      <w:tr w:rsidR="005F78FC" w:rsidTr="005F78FC">
        <w:tc>
          <w:tcPr>
            <w:tcW w:w="0" w:type="auto"/>
            <w:vAlign w:val="center"/>
          </w:tcPr>
          <w:p w:rsidR="005F78FC" w:rsidRDefault="00B42EF3">
            <w:pPr>
              <w:pStyle w:val="TableBodyText"/>
            </w:pPr>
            <w:r>
              <w:t>SentLeftExtend</w:t>
            </w:r>
          </w:p>
        </w:tc>
        <w:tc>
          <w:tcPr>
            <w:tcW w:w="0" w:type="auto"/>
            <w:vAlign w:val="center"/>
          </w:tcPr>
          <w:p w:rsidR="005F78FC" w:rsidRDefault="00B42EF3">
            <w:pPr>
              <w:pStyle w:val="TableBodyText"/>
            </w:pPr>
            <w:r>
              <w:t>0FB6</w:t>
            </w:r>
          </w:p>
        </w:tc>
      </w:tr>
      <w:tr w:rsidR="005F78FC" w:rsidTr="005F78FC">
        <w:tc>
          <w:tcPr>
            <w:tcW w:w="0" w:type="auto"/>
            <w:vAlign w:val="center"/>
          </w:tcPr>
          <w:p w:rsidR="005F78FC" w:rsidRDefault="00B42EF3">
            <w:pPr>
              <w:pStyle w:val="TableBodyText"/>
            </w:pPr>
            <w:r>
              <w:t>SentRight</w:t>
            </w:r>
          </w:p>
        </w:tc>
        <w:tc>
          <w:tcPr>
            <w:tcW w:w="0" w:type="auto"/>
            <w:vAlign w:val="center"/>
          </w:tcPr>
          <w:p w:rsidR="005F78FC" w:rsidRDefault="00B42EF3">
            <w:pPr>
              <w:pStyle w:val="TableBodyText"/>
            </w:pPr>
            <w:r>
              <w:t>0FA5</w:t>
            </w:r>
          </w:p>
        </w:tc>
      </w:tr>
      <w:tr w:rsidR="005F78FC" w:rsidTr="005F78FC">
        <w:tc>
          <w:tcPr>
            <w:tcW w:w="0" w:type="auto"/>
            <w:vAlign w:val="center"/>
          </w:tcPr>
          <w:p w:rsidR="005F78FC" w:rsidRDefault="00B42EF3">
            <w:pPr>
              <w:pStyle w:val="TableBodyText"/>
            </w:pPr>
            <w:r>
              <w:t>SentRightExtend</w:t>
            </w:r>
          </w:p>
        </w:tc>
        <w:tc>
          <w:tcPr>
            <w:tcW w:w="0" w:type="auto"/>
            <w:vAlign w:val="center"/>
          </w:tcPr>
          <w:p w:rsidR="005F78FC" w:rsidRDefault="00B42EF3">
            <w:pPr>
              <w:pStyle w:val="TableBodyText"/>
            </w:pPr>
            <w:r>
              <w:t>0FB7</w:t>
            </w:r>
          </w:p>
        </w:tc>
      </w:tr>
      <w:tr w:rsidR="005F78FC" w:rsidTr="005F78FC">
        <w:tc>
          <w:tcPr>
            <w:tcW w:w="0" w:type="auto"/>
            <w:vAlign w:val="center"/>
          </w:tcPr>
          <w:p w:rsidR="005F78FC" w:rsidRDefault="00B42EF3">
            <w:pPr>
              <w:pStyle w:val="TableBodyText"/>
            </w:pPr>
            <w:r>
              <w:t>SeparateList</w:t>
            </w:r>
          </w:p>
        </w:tc>
        <w:tc>
          <w:tcPr>
            <w:tcW w:w="0" w:type="auto"/>
            <w:vAlign w:val="center"/>
          </w:tcPr>
          <w:p w:rsidR="005F78FC" w:rsidRDefault="00B42EF3">
            <w:pPr>
              <w:pStyle w:val="TableBodyText"/>
            </w:pPr>
            <w:r>
              <w:t>0770</w:t>
            </w:r>
          </w:p>
        </w:tc>
      </w:tr>
      <w:tr w:rsidR="005F78FC" w:rsidTr="005F78FC">
        <w:tc>
          <w:tcPr>
            <w:tcW w:w="0" w:type="auto"/>
            <w:vAlign w:val="center"/>
          </w:tcPr>
          <w:p w:rsidR="005F78FC" w:rsidRDefault="00B42EF3">
            <w:pPr>
              <w:pStyle w:val="TableBodyText"/>
            </w:pPr>
            <w:r>
              <w:t>SetDrawingDefaults</w:t>
            </w:r>
          </w:p>
        </w:tc>
        <w:tc>
          <w:tcPr>
            <w:tcW w:w="0" w:type="auto"/>
            <w:vAlign w:val="center"/>
          </w:tcPr>
          <w:p w:rsidR="005F78FC" w:rsidRDefault="00B42EF3">
            <w:pPr>
              <w:pStyle w:val="TableBodyText"/>
            </w:pPr>
            <w:r>
              <w:t>03E1</w:t>
            </w:r>
          </w:p>
        </w:tc>
      </w:tr>
      <w:tr w:rsidR="005F78FC" w:rsidTr="005F78FC">
        <w:tc>
          <w:tcPr>
            <w:tcW w:w="0" w:type="auto"/>
            <w:vAlign w:val="center"/>
          </w:tcPr>
          <w:p w:rsidR="005F78FC" w:rsidRDefault="00B42EF3">
            <w:pPr>
              <w:pStyle w:val="TableBodyText"/>
            </w:pPr>
            <w:r>
              <w:t>SetListLevelVBA</w:t>
            </w:r>
          </w:p>
        </w:tc>
        <w:tc>
          <w:tcPr>
            <w:tcW w:w="0" w:type="auto"/>
            <w:vAlign w:val="center"/>
          </w:tcPr>
          <w:p w:rsidR="005F78FC" w:rsidRDefault="00B42EF3">
            <w:pPr>
              <w:pStyle w:val="TableBodyText"/>
            </w:pPr>
            <w:r>
              <w:t>0885</w:t>
            </w:r>
          </w:p>
        </w:tc>
      </w:tr>
      <w:tr w:rsidR="005F78FC" w:rsidTr="005F78FC">
        <w:tc>
          <w:tcPr>
            <w:tcW w:w="0" w:type="auto"/>
            <w:vAlign w:val="center"/>
          </w:tcPr>
          <w:p w:rsidR="005F78FC" w:rsidRDefault="00B42EF3">
            <w:pPr>
              <w:pStyle w:val="TableBodyText"/>
            </w:pPr>
            <w:r>
              <w:t>SetNumberingValue</w:t>
            </w:r>
          </w:p>
        </w:tc>
        <w:tc>
          <w:tcPr>
            <w:tcW w:w="0" w:type="auto"/>
            <w:vAlign w:val="center"/>
          </w:tcPr>
          <w:p w:rsidR="005F78FC" w:rsidRDefault="00B42EF3">
            <w:pPr>
              <w:pStyle w:val="TableBodyText"/>
            </w:pPr>
            <w:r>
              <w:t>0774</w:t>
            </w:r>
          </w:p>
        </w:tc>
      </w:tr>
      <w:tr w:rsidR="005F78FC" w:rsidTr="005F78FC">
        <w:tc>
          <w:tcPr>
            <w:tcW w:w="0" w:type="auto"/>
            <w:vAlign w:val="center"/>
          </w:tcPr>
          <w:p w:rsidR="005F78FC" w:rsidRDefault="00B42EF3">
            <w:pPr>
              <w:pStyle w:val="TableBodyText"/>
            </w:pPr>
            <w:r>
              <w:t>Shading</w:t>
            </w:r>
          </w:p>
        </w:tc>
        <w:tc>
          <w:tcPr>
            <w:tcW w:w="0" w:type="auto"/>
            <w:vAlign w:val="center"/>
          </w:tcPr>
          <w:p w:rsidR="005F78FC" w:rsidRDefault="00B42EF3">
            <w:pPr>
              <w:pStyle w:val="TableBodyText"/>
            </w:pPr>
            <w:r>
              <w:t>0222</w:t>
            </w:r>
          </w:p>
        </w:tc>
      </w:tr>
      <w:tr w:rsidR="005F78FC" w:rsidTr="005F78FC">
        <w:tc>
          <w:tcPr>
            <w:tcW w:w="0" w:type="auto"/>
            <w:vAlign w:val="center"/>
          </w:tcPr>
          <w:p w:rsidR="005F78FC" w:rsidRDefault="00B42EF3">
            <w:pPr>
              <w:pStyle w:val="TableBodyText"/>
            </w:pPr>
            <w:r>
              <w:t>ShadingColor</w:t>
            </w:r>
          </w:p>
        </w:tc>
        <w:tc>
          <w:tcPr>
            <w:tcW w:w="0" w:type="auto"/>
            <w:vAlign w:val="center"/>
          </w:tcPr>
          <w:p w:rsidR="005F78FC" w:rsidRDefault="00B42EF3">
            <w:pPr>
              <w:pStyle w:val="TableBodyText"/>
            </w:pPr>
            <w:r>
              <w:t>0361</w:t>
            </w:r>
          </w:p>
        </w:tc>
      </w:tr>
      <w:tr w:rsidR="005F78FC" w:rsidTr="005F78FC">
        <w:tc>
          <w:tcPr>
            <w:tcW w:w="0" w:type="auto"/>
            <w:vAlign w:val="center"/>
          </w:tcPr>
          <w:p w:rsidR="005F78FC" w:rsidRDefault="00B42EF3">
            <w:pPr>
              <w:pStyle w:val="TableBodyText"/>
            </w:pPr>
            <w:r>
              <w:t>ShadingColorPicker</w:t>
            </w:r>
          </w:p>
        </w:tc>
        <w:tc>
          <w:tcPr>
            <w:tcW w:w="0" w:type="auto"/>
            <w:vAlign w:val="center"/>
          </w:tcPr>
          <w:p w:rsidR="005F78FC" w:rsidRDefault="00B42EF3">
            <w:pPr>
              <w:pStyle w:val="TableBodyText"/>
            </w:pPr>
            <w:r>
              <w:t>0856</w:t>
            </w:r>
          </w:p>
        </w:tc>
      </w:tr>
      <w:tr w:rsidR="005F78FC" w:rsidTr="005F78FC">
        <w:tc>
          <w:tcPr>
            <w:tcW w:w="0" w:type="auto"/>
            <w:vAlign w:val="center"/>
          </w:tcPr>
          <w:p w:rsidR="005F78FC" w:rsidRDefault="00B42EF3">
            <w:pPr>
              <w:pStyle w:val="TableBodyText"/>
            </w:pPr>
            <w:r>
              <w:t>ShadingPattern</w:t>
            </w:r>
          </w:p>
        </w:tc>
        <w:tc>
          <w:tcPr>
            <w:tcW w:w="0" w:type="auto"/>
            <w:vAlign w:val="center"/>
          </w:tcPr>
          <w:p w:rsidR="005F78FC" w:rsidRDefault="00B42EF3">
            <w:pPr>
              <w:pStyle w:val="TableBodyText"/>
            </w:pPr>
            <w:r>
              <w:t>01C4</w:t>
            </w:r>
          </w:p>
        </w:tc>
      </w:tr>
      <w:tr w:rsidR="005F78FC" w:rsidTr="005F78FC">
        <w:tc>
          <w:tcPr>
            <w:tcW w:w="0" w:type="auto"/>
            <w:vAlign w:val="center"/>
          </w:tcPr>
          <w:p w:rsidR="005F78FC" w:rsidRDefault="00B42EF3">
            <w:pPr>
              <w:pStyle w:val="TableBodyText"/>
            </w:pPr>
            <w:r>
              <w:t>ShadowStyleGallery</w:t>
            </w:r>
          </w:p>
        </w:tc>
        <w:tc>
          <w:tcPr>
            <w:tcW w:w="0" w:type="auto"/>
            <w:vAlign w:val="center"/>
          </w:tcPr>
          <w:p w:rsidR="005F78FC" w:rsidRDefault="00B42EF3">
            <w:pPr>
              <w:pStyle w:val="TableBodyText"/>
            </w:pPr>
            <w:r>
              <w:t>08C8</w:t>
            </w:r>
          </w:p>
        </w:tc>
      </w:tr>
      <w:tr w:rsidR="005F78FC" w:rsidTr="005F78FC">
        <w:tc>
          <w:tcPr>
            <w:tcW w:w="0" w:type="auto"/>
            <w:vAlign w:val="center"/>
          </w:tcPr>
          <w:p w:rsidR="005F78FC" w:rsidRDefault="00B42EF3">
            <w:pPr>
              <w:pStyle w:val="TableBodyText"/>
            </w:pPr>
            <w:r>
              <w:t>ShapeHeightSpinner</w:t>
            </w:r>
          </w:p>
        </w:tc>
        <w:tc>
          <w:tcPr>
            <w:tcW w:w="0" w:type="auto"/>
            <w:vAlign w:val="center"/>
          </w:tcPr>
          <w:p w:rsidR="005F78FC" w:rsidRDefault="00B42EF3">
            <w:pPr>
              <w:pStyle w:val="TableBodyText"/>
            </w:pPr>
            <w:r>
              <w:t>08B6</w:t>
            </w:r>
          </w:p>
        </w:tc>
      </w:tr>
      <w:tr w:rsidR="005F78FC" w:rsidTr="005F78FC">
        <w:tc>
          <w:tcPr>
            <w:tcW w:w="0" w:type="auto"/>
            <w:vAlign w:val="center"/>
          </w:tcPr>
          <w:p w:rsidR="005F78FC" w:rsidRDefault="00B42EF3">
            <w:pPr>
              <w:pStyle w:val="TableBodyText"/>
            </w:pPr>
            <w:r>
              <w:t>ShapeStyleGallery</w:t>
            </w:r>
          </w:p>
        </w:tc>
        <w:tc>
          <w:tcPr>
            <w:tcW w:w="0" w:type="auto"/>
            <w:vAlign w:val="center"/>
          </w:tcPr>
          <w:p w:rsidR="005F78FC" w:rsidRDefault="00B42EF3">
            <w:pPr>
              <w:pStyle w:val="TableBodyText"/>
            </w:pPr>
            <w:r>
              <w:t>08D2</w:t>
            </w:r>
          </w:p>
        </w:tc>
      </w:tr>
      <w:tr w:rsidR="005F78FC" w:rsidTr="005F78FC">
        <w:tc>
          <w:tcPr>
            <w:tcW w:w="0" w:type="auto"/>
            <w:vAlign w:val="center"/>
          </w:tcPr>
          <w:p w:rsidR="005F78FC" w:rsidRDefault="00B42EF3">
            <w:pPr>
              <w:pStyle w:val="TableBodyText"/>
            </w:pPr>
            <w:r>
              <w:t>ShapeWidthSpinner</w:t>
            </w:r>
          </w:p>
        </w:tc>
        <w:tc>
          <w:tcPr>
            <w:tcW w:w="0" w:type="auto"/>
            <w:vAlign w:val="center"/>
          </w:tcPr>
          <w:p w:rsidR="005F78FC" w:rsidRDefault="00B42EF3">
            <w:pPr>
              <w:pStyle w:val="TableBodyText"/>
            </w:pPr>
            <w:r>
              <w:t>08B7</w:t>
            </w:r>
          </w:p>
        </w:tc>
      </w:tr>
      <w:tr w:rsidR="005F78FC" w:rsidTr="005F78FC">
        <w:tc>
          <w:tcPr>
            <w:tcW w:w="0" w:type="auto"/>
            <w:vAlign w:val="center"/>
          </w:tcPr>
          <w:p w:rsidR="005F78FC" w:rsidRDefault="00B42EF3">
            <w:pPr>
              <w:pStyle w:val="TableBodyText"/>
            </w:pPr>
            <w:r>
              <w:t>ShowAddInsXDialog</w:t>
            </w:r>
          </w:p>
        </w:tc>
        <w:tc>
          <w:tcPr>
            <w:tcW w:w="0" w:type="auto"/>
            <w:vAlign w:val="center"/>
          </w:tcPr>
          <w:p w:rsidR="005F78FC" w:rsidRDefault="00B42EF3">
            <w:pPr>
              <w:pStyle w:val="TableBodyText"/>
            </w:pPr>
            <w:r>
              <w:t>03A8</w:t>
            </w:r>
          </w:p>
        </w:tc>
      </w:tr>
      <w:tr w:rsidR="005F78FC" w:rsidTr="005F78FC">
        <w:tc>
          <w:tcPr>
            <w:tcW w:w="0" w:type="auto"/>
            <w:vAlign w:val="center"/>
          </w:tcPr>
          <w:p w:rsidR="005F78FC" w:rsidRDefault="00B42EF3">
            <w:pPr>
              <w:pStyle w:val="TableBodyText"/>
            </w:pPr>
            <w:r>
              <w:t>ShowAll</w:t>
            </w:r>
          </w:p>
        </w:tc>
        <w:tc>
          <w:tcPr>
            <w:tcW w:w="0" w:type="auto"/>
            <w:vAlign w:val="center"/>
          </w:tcPr>
          <w:p w:rsidR="005F78FC" w:rsidRDefault="00B42EF3">
            <w:pPr>
              <w:pStyle w:val="TableBodyText"/>
            </w:pPr>
            <w:r>
              <w:t>0114</w:t>
            </w:r>
          </w:p>
        </w:tc>
      </w:tr>
      <w:tr w:rsidR="005F78FC" w:rsidTr="005F78FC">
        <w:tc>
          <w:tcPr>
            <w:tcW w:w="0" w:type="auto"/>
            <w:vAlign w:val="center"/>
          </w:tcPr>
          <w:p w:rsidR="005F78FC" w:rsidRDefault="00B42EF3">
            <w:pPr>
              <w:pStyle w:val="TableBodyText"/>
            </w:pPr>
            <w:r>
              <w:lastRenderedPageBreak/>
              <w:t>ShowAllAuthors</w:t>
            </w:r>
          </w:p>
        </w:tc>
        <w:tc>
          <w:tcPr>
            <w:tcW w:w="0" w:type="auto"/>
            <w:vAlign w:val="center"/>
          </w:tcPr>
          <w:p w:rsidR="005F78FC" w:rsidRDefault="00B42EF3">
            <w:pPr>
              <w:pStyle w:val="TableBodyText"/>
            </w:pPr>
            <w:r>
              <w:t>0539</w:t>
            </w:r>
          </w:p>
        </w:tc>
      </w:tr>
      <w:tr w:rsidR="005F78FC" w:rsidTr="005F78FC">
        <w:tc>
          <w:tcPr>
            <w:tcW w:w="0" w:type="auto"/>
            <w:vAlign w:val="center"/>
          </w:tcPr>
          <w:p w:rsidR="005F78FC" w:rsidRDefault="00B42EF3">
            <w:pPr>
              <w:pStyle w:val="TableBodyText"/>
            </w:pPr>
            <w:r>
              <w:t>ShowAllConsistency</w:t>
            </w:r>
          </w:p>
        </w:tc>
        <w:tc>
          <w:tcPr>
            <w:tcW w:w="0" w:type="auto"/>
            <w:vAlign w:val="center"/>
          </w:tcPr>
          <w:p w:rsidR="005F78FC" w:rsidRDefault="00B42EF3">
            <w:pPr>
              <w:pStyle w:val="TableBodyText"/>
            </w:pPr>
            <w:r>
              <w:t>0494</w:t>
            </w:r>
          </w:p>
        </w:tc>
      </w:tr>
      <w:tr w:rsidR="005F78FC" w:rsidTr="005F78FC">
        <w:tc>
          <w:tcPr>
            <w:tcW w:w="0" w:type="auto"/>
            <w:vAlign w:val="center"/>
          </w:tcPr>
          <w:p w:rsidR="005F78FC" w:rsidRDefault="00B42EF3">
            <w:pPr>
              <w:pStyle w:val="TableBodyText"/>
            </w:pPr>
            <w:r>
              <w:t>ShowAllHeadings</w:t>
            </w:r>
          </w:p>
        </w:tc>
        <w:tc>
          <w:tcPr>
            <w:tcW w:w="0" w:type="auto"/>
            <w:vAlign w:val="center"/>
          </w:tcPr>
          <w:p w:rsidR="005F78FC" w:rsidRDefault="00B42EF3">
            <w:pPr>
              <w:pStyle w:val="TableBodyText"/>
            </w:pPr>
            <w:r>
              <w:t>0104</w:t>
            </w:r>
          </w:p>
        </w:tc>
      </w:tr>
      <w:tr w:rsidR="005F78FC" w:rsidTr="005F78FC">
        <w:tc>
          <w:tcPr>
            <w:tcW w:w="0" w:type="auto"/>
            <w:vAlign w:val="center"/>
          </w:tcPr>
          <w:p w:rsidR="005F78FC" w:rsidRDefault="00B42EF3">
            <w:pPr>
              <w:pStyle w:val="TableBodyText"/>
            </w:pPr>
            <w:r>
              <w:t>ShowChangesAndComments</w:t>
            </w:r>
          </w:p>
        </w:tc>
        <w:tc>
          <w:tcPr>
            <w:tcW w:w="0" w:type="auto"/>
            <w:vAlign w:val="center"/>
          </w:tcPr>
          <w:p w:rsidR="005F78FC" w:rsidRDefault="00B42EF3">
            <w:pPr>
              <w:pStyle w:val="TableBodyText"/>
            </w:pPr>
            <w:r>
              <w:t>0508</w:t>
            </w:r>
          </w:p>
        </w:tc>
      </w:tr>
      <w:tr w:rsidR="005F78FC" w:rsidTr="005F78FC">
        <w:tc>
          <w:tcPr>
            <w:tcW w:w="0" w:type="auto"/>
            <w:vAlign w:val="center"/>
          </w:tcPr>
          <w:p w:rsidR="005F78FC" w:rsidRDefault="00B42EF3">
            <w:pPr>
              <w:pStyle w:val="TableBodyText"/>
            </w:pPr>
            <w:r>
              <w:t>ShowComments</w:t>
            </w:r>
          </w:p>
        </w:tc>
        <w:tc>
          <w:tcPr>
            <w:tcW w:w="0" w:type="auto"/>
            <w:vAlign w:val="center"/>
          </w:tcPr>
          <w:p w:rsidR="005F78FC" w:rsidRDefault="00B42EF3">
            <w:pPr>
              <w:pStyle w:val="TableBodyText"/>
            </w:pPr>
            <w:r>
              <w:t>0509</w:t>
            </w:r>
          </w:p>
        </w:tc>
      </w:tr>
      <w:tr w:rsidR="005F78FC" w:rsidTr="005F78FC">
        <w:tc>
          <w:tcPr>
            <w:tcW w:w="0" w:type="auto"/>
            <w:vAlign w:val="center"/>
          </w:tcPr>
          <w:p w:rsidR="005F78FC" w:rsidRDefault="00B42EF3">
            <w:pPr>
              <w:pStyle w:val="TableBodyText"/>
            </w:pPr>
            <w:r>
              <w:t>ShowConsistency</w:t>
            </w:r>
          </w:p>
        </w:tc>
        <w:tc>
          <w:tcPr>
            <w:tcW w:w="0" w:type="auto"/>
            <w:vAlign w:val="center"/>
          </w:tcPr>
          <w:p w:rsidR="005F78FC" w:rsidRDefault="00B42EF3">
            <w:pPr>
              <w:pStyle w:val="TableBodyText"/>
            </w:pPr>
            <w:r>
              <w:t>0461</w:t>
            </w:r>
          </w:p>
        </w:tc>
      </w:tr>
      <w:tr w:rsidR="005F78FC" w:rsidTr="005F78FC">
        <w:tc>
          <w:tcPr>
            <w:tcW w:w="0" w:type="auto"/>
            <w:vAlign w:val="center"/>
          </w:tcPr>
          <w:p w:rsidR="005F78FC" w:rsidRDefault="00B42EF3">
            <w:pPr>
              <w:pStyle w:val="TableBodyText"/>
            </w:pPr>
            <w:r>
              <w:t>ShowFormatting</w:t>
            </w:r>
          </w:p>
        </w:tc>
        <w:tc>
          <w:tcPr>
            <w:tcW w:w="0" w:type="auto"/>
            <w:vAlign w:val="center"/>
          </w:tcPr>
          <w:p w:rsidR="005F78FC" w:rsidRDefault="00B42EF3">
            <w:pPr>
              <w:pStyle w:val="TableBodyText"/>
            </w:pPr>
            <w:r>
              <w:t>050B</w:t>
            </w:r>
          </w:p>
        </w:tc>
      </w:tr>
      <w:tr w:rsidR="005F78FC" w:rsidTr="005F78FC">
        <w:tc>
          <w:tcPr>
            <w:tcW w:w="0" w:type="auto"/>
            <w:vAlign w:val="center"/>
          </w:tcPr>
          <w:p w:rsidR="005F78FC" w:rsidRDefault="00B42EF3">
            <w:pPr>
              <w:pStyle w:val="TableBodyText"/>
            </w:pPr>
            <w:r>
              <w:t>ShowHeading1</w:t>
            </w:r>
          </w:p>
        </w:tc>
        <w:tc>
          <w:tcPr>
            <w:tcW w:w="0" w:type="auto"/>
            <w:vAlign w:val="center"/>
          </w:tcPr>
          <w:p w:rsidR="005F78FC" w:rsidRDefault="00B42EF3">
            <w:pPr>
              <w:pStyle w:val="TableBodyText"/>
            </w:pPr>
            <w:r>
              <w:t>00FB</w:t>
            </w:r>
          </w:p>
        </w:tc>
      </w:tr>
      <w:tr w:rsidR="005F78FC" w:rsidTr="005F78FC">
        <w:tc>
          <w:tcPr>
            <w:tcW w:w="0" w:type="auto"/>
            <w:vAlign w:val="center"/>
          </w:tcPr>
          <w:p w:rsidR="005F78FC" w:rsidRDefault="00B42EF3">
            <w:pPr>
              <w:pStyle w:val="TableBodyText"/>
            </w:pPr>
            <w:r>
              <w:t>ShowHeading2</w:t>
            </w:r>
          </w:p>
        </w:tc>
        <w:tc>
          <w:tcPr>
            <w:tcW w:w="0" w:type="auto"/>
            <w:vAlign w:val="center"/>
          </w:tcPr>
          <w:p w:rsidR="005F78FC" w:rsidRDefault="00B42EF3">
            <w:pPr>
              <w:pStyle w:val="TableBodyText"/>
            </w:pPr>
            <w:r>
              <w:t>00FC</w:t>
            </w:r>
          </w:p>
        </w:tc>
      </w:tr>
      <w:tr w:rsidR="005F78FC" w:rsidTr="005F78FC">
        <w:tc>
          <w:tcPr>
            <w:tcW w:w="0" w:type="auto"/>
            <w:vAlign w:val="center"/>
          </w:tcPr>
          <w:p w:rsidR="005F78FC" w:rsidRDefault="00B42EF3">
            <w:pPr>
              <w:pStyle w:val="TableBodyText"/>
            </w:pPr>
            <w:r>
              <w:t>ShowHeading3</w:t>
            </w:r>
          </w:p>
        </w:tc>
        <w:tc>
          <w:tcPr>
            <w:tcW w:w="0" w:type="auto"/>
            <w:vAlign w:val="center"/>
          </w:tcPr>
          <w:p w:rsidR="005F78FC" w:rsidRDefault="00B42EF3">
            <w:pPr>
              <w:pStyle w:val="TableBodyText"/>
            </w:pPr>
            <w:r>
              <w:t>00FD</w:t>
            </w:r>
          </w:p>
        </w:tc>
      </w:tr>
      <w:tr w:rsidR="005F78FC" w:rsidTr="005F78FC">
        <w:tc>
          <w:tcPr>
            <w:tcW w:w="0" w:type="auto"/>
            <w:vAlign w:val="center"/>
          </w:tcPr>
          <w:p w:rsidR="005F78FC" w:rsidRDefault="00B42EF3">
            <w:pPr>
              <w:pStyle w:val="TableBodyText"/>
            </w:pPr>
            <w:r>
              <w:t>ShowHeading4</w:t>
            </w:r>
          </w:p>
        </w:tc>
        <w:tc>
          <w:tcPr>
            <w:tcW w:w="0" w:type="auto"/>
            <w:vAlign w:val="center"/>
          </w:tcPr>
          <w:p w:rsidR="005F78FC" w:rsidRDefault="00B42EF3">
            <w:pPr>
              <w:pStyle w:val="TableBodyText"/>
            </w:pPr>
            <w:r>
              <w:t>00FE</w:t>
            </w:r>
          </w:p>
        </w:tc>
      </w:tr>
      <w:tr w:rsidR="005F78FC" w:rsidTr="005F78FC">
        <w:tc>
          <w:tcPr>
            <w:tcW w:w="0" w:type="auto"/>
            <w:vAlign w:val="center"/>
          </w:tcPr>
          <w:p w:rsidR="005F78FC" w:rsidRDefault="00B42EF3">
            <w:pPr>
              <w:pStyle w:val="TableBodyText"/>
            </w:pPr>
            <w:r>
              <w:t>ShowHeading5</w:t>
            </w:r>
          </w:p>
        </w:tc>
        <w:tc>
          <w:tcPr>
            <w:tcW w:w="0" w:type="auto"/>
            <w:vAlign w:val="center"/>
          </w:tcPr>
          <w:p w:rsidR="005F78FC" w:rsidRDefault="00B42EF3">
            <w:pPr>
              <w:pStyle w:val="TableBodyText"/>
            </w:pPr>
            <w:r>
              <w:t>00FF</w:t>
            </w:r>
          </w:p>
        </w:tc>
      </w:tr>
      <w:tr w:rsidR="005F78FC" w:rsidTr="005F78FC">
        <w:tc>
          <w:tcPr>
            <w:tcW w:w="0" w:type="auto"/>
            <w:vAlign w:val="center"/>
          </w:tcPr>
          <w:p w:rsidR="005F78FC" w:rsidRDefault="00B42EF3">
            <w:pPr>
              <w:pStyle w:val="TableBodyText"/>
            </w:pPr>
            <w:r>
              <w:t>ShowHeading6</w:t>
            </w:r>
          </w:p>
        </w:tc>
        <w:tc>
          <w:tcPr>
            <w:tcW w:w="0" w:type="auto"/>
            <w:vAlign w:val="center"/>
          </w:tcPr>
          <w:p w:rsidR="005F78FC" w:rsidRDefault="00B42EF3">
            <w:pPr>
              <w:pStyle w:val="TableBodyText"/>
            </w:pPr>
            <w:r>
              <w:t>0100</w:t>
            </w:r>
          </w:p>
        </w:tc>
      </w:tr>
      <w:tr w:rsidR="005F78FC" w:rsidTr="005F78FC">
        <w:tc>
          <w:tcPr>
            <w:tcW w:w="0" w:type="auto"/>
            <w:vAlign w:val="center"/>
          </w:tcPr>
          <w:p w:rsidR="005F78FC" w:rsidRDefault="00B42EF3">
            <w:pPr>
              <w:pStyle w:val="TableBodyText"/>
            </w:pPr>
            <w:r>
              <w:t>ShowHeading7</w:t>
            </w:r>
          </w:p>
        </w:tc>
        <w:tc>
          <w:tcPr>
            <w:tcW w:w="0" w:type="auto"/>
            <w:vAlign w:val="center"/>
          </w:tcPr>
          <w:p w:rsidR="005F78FC" w:rsidRDefault="00B42EF3">
            <w:pPr>
              <w:pStyle w:val="TableBodyText"/>
            </w:pPr>
            <w:r>
              <w:t>0101</w:t>
            </w:r>
          </w:p>
        </w:tc>
      </w:tr>
      <w:tr w:rsidR="005F78FC" w:rsidTr="005F78FC">
        <w:tc>
          <w:tcPr>
            <w:tcW w:w="0" w:type="auto"/>
            <w:vAlign w:val="center"/>
          </w:tcPr>
          <w:p w:rsidR="005F78FC" w:rsidRDefault="00B42EF3">
            <w:pPr>
              <w:pStyle w:val="TableBodyText"/>
            </w:pPr>
            <w:r>
              <w:t>ShowHeading8</w:t>
            </w:r>
          </w:p>
        </w:tc>
        <w:tc>
          <w:tcPr>
            <w:tcW w:w="0" w:type="auto"/>
            <w:vAlign w:val="center"/>
          </w:tcPr>
          <w:p w:rsidR="005F78FC" w:rsidRDefault="00B42EF3">
            <w:pPr>
              <w:pStyle w:val="TableBodyText"/>
            </w:pPr>
            <w:r>
              <w:t>0102</w:t>
            </w:r>
          </w:p>
        </w:tc>
      </w:tr>
      <w:tr w:rsidR="005F78FC" w:rsidTr="005F78FC">
        <w:tc>
          <w:tcPr>
            <w:tcW w:w="0" w:type="auto"/>
            <w:vAlign w:val="center"/>
          </w:tcPr>
          <w:p w:rsidR="005F78FC" w:rsidRDefault="00B42EF3">
            <w:pPr>
              <w:pStyle w:val="TableBodyText"/>
            </w:pPr>
            <w:r>
              <w:t>ShowHeading9</w:t>
            </w:r>
          </w:p>
        </w:tc>
        <w:tc>
          <w:tcPr>
            <w:tcW w:w="0" w:type="auto"/>
            <w:vAlign w:val="center"/>
          </w:tcPr>
          <w:p w:rsidR="005F78FC" w:rsidRDefault="00B42EF3">
            <w:pPr>
              <w:pStyle w:val="TableBodyText"/>
            </w:pPr>
            <w:r>
              <w:t>0103</w:t>
            </w:r>
          </w:p>
        </w:tc>
      </w:tr>
      <w:tr w:rsidR="005F78FC" w:rsidTr="005F78FC">
        <w:tc>
          <w:tcPr>
            <w:tcW w:w="0" w:type="auto"/>
            <w:vAlign w:val="center"/>
          </w:tcPr>
          <w:p w:rsidR="005F78FC" w:rsidRDefault="00B42EF3">
            <w:pPr>
              <w:pStyle w:val="TableBodyText"/>
            </w:pPr>
            <w:r>
              <w:t>ShowInkAnnotations</w:t>
            </w:r>
          </w:p>
        </w:tc>
        <w:tc>
          <w:tcPr>
            <w:tcW w:w="0" w:type="auto"/>
            <w:vAlign w:val="center"/>
          </w:tcPr>
          <w:p w:rsidR="005F78FC" w:rsidRDefault="00B42EF3">
            <w:pPr>
              <w:pStyle w:val="TableBodyText"/>
            </w:pPr>
            <w:r>
              <w:t>05AA</w:t>
            </w:r>
          </w:p>
        </w:tc>
      </w:tr>
      <w:tr w:rsidR="005F78FC" w:rsidTr="005F78FC">
        <w:tc>
          <w:tcPr>
            <w:tcW w:w="0" w:type="auto"/>
            <w:vAlign w:val="center"/>
          </w:tcPr>
          <w:p w:rsidR="005F78FC" w:rsidRDefault="00B42EF3">
            <w:pPr>
              <w:pStyle w:val="TableBodyText"/>
            </w:pPr>
            <w:r>
              <w:t>ShowInsertionsAndDeletions</w:t>
            </w:r>
          </w:p>
        </w:tc>
        <w:tc>
          <w:tcPr>
            <w:tcW w:w="0" w:type="auto"/>
            <w:vAlign w:val="center"/>
          </w:tcPr>
          <w:p w:rsidR="005F78FC" w:rsidRDefault="00B42EF3">
            <w:pPr>
              <w:pStyle w:val="TableBodyText"/>
            </w:pPr>
            <w:r>
              <w:t>050A</w:t>
            </w:r>
          </w:p>
        </w:tc>
      </w:tr>
      <w:tr w:rsidR="005F78FC" w:rsidTr="005F78FC">
        <w:tc>
          <w:tcPr>
            <w:tcW w:w="0" w:type="auto"/>
            <w:vAlign w:val="center"/>
          </w:tcPr>
          <w:p w:rsidR="005F78FC" w:rsidRDefault="00B42EF3">
            <w:pPr>
              <w:pStyle w:val="TableBodyText"/>
            </w:pPr>
            <w:r>
              <w:t>ShowLevel</w:t>
            </w:r>
          </w:p>
        </w:tc>
        <w:tc>
          <w:tcPr>
            <w:tcW w:w="0" w:type="auto"/>
            <w:vAlign w:val="center"/>
          </w:tcPr>
          <w:p w:rsidR="005F78FC" w:rsidRDefault="00B42EF3">
            <w:pPr>
              <w:pStyle w:val="TableBodyText"/>
            </w:pPr>
            <w:r>
              <w:t>0570</w:t>
            </w:r>
          </w:p>
        </w:tc>
      </w:tr>
      <w:tr w:rsidR="005F78FC" w:rsidTr="005F78FC">
        <w:tc>
          <w:tcPr>
            <w:tcW w:w="0" w:type="auto"/>
            <w:vAlign w:val="center"/>
          </w:tcPr>
          <w:p w:rsidR="005F78FC" w:rsidRDefault="00B42EF3">
            <w:pPr>
              <w:pStyle w:val="TableBodyText"/>
            </w:pPr>
            <w:r>
              <w:t>ShowMarkupArea</w:t>
            </w:r>
          </w:p>
        </w:tc>
        <w:tc>
          <w:tcPr>
            <w:tcW w:w="0" w:type="auto"/>
            <w:vAlign w:val="center"/>
          </w:tcPr>
          <w:p w:rsidR="005F78FC" w:rsidRDefault="00B42EF3">
            <w:pPr>
              <w:pStyle w:val="TableBodyText"/>
            </w:pPr>
            <w:r>
              <w:t>0791</w:t>
            </w:r>
          </w:p>
        </w:tc>
      </w:tr>
      <w:tr w:rsidR="005F78FC" w:rsidTr="005F78FC">
        <w:tc>
          <w:tcPr>
            <w:tcW w:w="0" w:type="auto"/>
            <w:vAlign w:val="center"/>
          </w:tcPr>
          <w:p w:rsidR="005F78FC" w:rsidRDefault="00B42EF3">
            <w:pPr>
              <w:pStyle w:val="TableBodyText"/>
            </w:pPr>
            <w:r>
              <w:t>ShowMe</w:t>
            </w:r>
          </w:p>
        </w:tc>
        <w:tc>
          <w:tcPr>
            <w:tcW w:w="0" w:type="auto"/>
            <w:vAlign w:val="center"/>
          </w:tcPr>
          <w:p w:rsidR="005F78FC" w:rsidRDefault="00B42EF3">
            <w:pPr>
              <w:pStyle w:val="TableBodyText"/>
            </w:pPr>
            <w:r>
              <w:t>0FE4</w:t>
            </w:r>
          </w:p>
        </w:tc>
      </w:tr>
      <w:tr w:rsidR="005F78FC" w:rsidTr="005F78FC">
        <w:tc>
          <w:tcPr>
            <w:tcW w:w="0" w:type="auto"/>
            <w:vAlign w:val="center"/>
          </w:tcPr>
          <w:p w:rsidR="005F78FC" w:rsidRDefault="00B42EF3">
            <w:pPr>
              <w:pStyle w:val="TableBodyText"/>
            </w:pPr>
            <w:r>
              <w:t>ShowNextHeaderFooter</w:t>
            </w:r>
          </w:p>
        </w:tc>
        <w:tc>
          <w:tcPr>
            <w:tcW w:w="0" w:type="auto"/>
            <w:vAlign w:val="center"/>
          </w:tcPr>
          <w:p w:rsidR="005F78FC" w:rsidRDefault="00B42EF3">
            <w:pPr>
              <w:pStyle w:val="TableBodyText"/>
            </w:pPr>
            <w:r>
              <w:t>024D</w:t>
            </w:r>
          </w:p>
        </w:tc>
      </w:tr>
      <w:tr w:rsidR="005F78FC" w:rsidTr="005F78FC">
        <w:tc>
          <w:tcPr>
            <w:tcW w:w="0" w:type="auto"/>
            <w:vAlign w:val="center"/>
          </w:tcPr>
          <w:p w:rsidR="005F78FC" w:rsidRDefault="00B42EF3">
            <w:pPr>
              <w:pStyle w:val="TableBodyText"/>
            </w:pPr>
            <w:r>
              <w:t>ShowPara</w:t>
            </w:r>
          </w:p>
        </w:tc>
        <w:tc>
          <w:tcPr>
            <w:tcW w:w="0" w:type="auto"/>
            <w:vAlign w:val="center"/>
          </w:tcPr>
          <w:p w:rsidR="005F78FC" w:rsidRDefault="00B42EF3">
            <w:pPr>
              <w:pStyle w:val="TableBodyText"/>
            </w:pPr>
            <w:r>
              <w:t>037A</w:t>
            </w:r>
          </w:p>
        </w:tc>
      </w:tr>
      <w:tr w:rsidR="005F78FC" w:rsidTr="005F78FC">
        <w:tc>
          <w:tcPr>
            <w:tcW w:w="0" w:type="auto"/>
            <w:vAlign w:val="center"/>
          </w:tcPr>
          <w:p w:rsidR="005F78FC" w:rsidRDefault="00B42EF3">
            <w:pPr>
              <w:pStyle w:val="TableBodyText"/>
            </w:pPr>
            <w:r>
              <w:t>ShowPictureTools</w:t>
            </w:r>
          </w:p>
        </w:tc>
        <w:tc>
          <w:tcPr>
            <w:tcW w:w="0" w:type="auto"/>
            <w:vAlign w:val="center"/>
          </w:tcPr>
          <w:p w:rsidR="005F78FC" w:rsidRDefault="00B42EF3">
            <w:pPr>
              <w:pStyle w:val="TableBodyText"/>
            </w:pPr>
            <w:r>
              <w:t>04DB</w:t>
            </w:r>
          </w:p>
        </w:tc>
      </w:tr>
      <w:tr w:rsidR="005F78FC" w:rsidTr="005F78FC">
        <w:tc>
          <w:tcPr>
            <w:tcW w:w="0" w:type="auto"/>
            <w:vAlign w:val="center"/>
          </w:tcPr>
          <w:p w:rsidR="005F78FC" w:rsidRDefault="00B42EF3">
            <w:pPr>
              <w:pStyle w:val="TableBodyText"/>
            </w:pPr>
            <w:r>
              <w:t>ShowPrevHeaderFooter</w:t>
            </w:r>
          </w:p>
        </w:tc>
        <w:tc>
          <w:tcPr>
            <w:tcW w:w="0" w:type="auto"/>
            <w:vAlign w:val="center"/>
          </w:tcPr>
          <w:p w:rsidR="005F78FC" w:rsidRDefault="00B42EF3">
            <w:pPr>
              <w:pStyle w:val="TableBodyText"/>
            </w:pPr>
            <w:r>
              <w:t>024C</w:t>
            </w:r>
          </w:p>
        </w:tc>
      </w:tr>
      <w:tr w:rsidR="005F78FC" w:rsidTr="005F78FC">
        <w:tc>
          <w:tcPr>
            <w:tcW w:w="0" w:type="auto"/>
            <w:vAlign w:val="center"/>
          </w:tcPr>
          <w:p w:rsidR="005F78FC" w:rsidRDefault="00B42EF3">
            <w:pPr>
              <w:pStyle w:val="TableBodyText"/>
            </w:pPr>
            <w:r>
              <w:t>ShowPropertyBrowser</w:t>
            </w:r>
          </w:p>
        </w:tc>
        <w:tc>
          <w:tcPr>
            <w:tcW w:w="0" w:type="auto"/>
            <w:vAlign w:val="center"/>
          </w:tcPr>
          <w:p w:rsidR="005F78FC" w:rsidRDefault="00B42EF3">
            <w:pPr>
              <w:pStyle w:val="TableBodyText"/>
            </w:pPr>
            <w:r>
              <w:t>1BB0</w:t>
            </w:r>
          </w:p>
        </w:tc>
      </w:tr>
      <w:tr w:rsidR="005F78FC" w:rsidTr="005F78FC">
        <w:tc>
          <w:tcPr>
            <w:tcW w:w="0" w:type="auto"/>
            <w:vAlign w:val="center"/>
          </w:tcPr>
          <w:p w:rsidR="005F78FC" w:rsidRDefault="00B42EF3">
            <w:pPr>
              <w:pStyle w:val="TableBodyText"/>
            </w:pPr>
            <w:r>
              <w:t>ShowRepairs</w:t>
            </w:r>
          </w:p>
        </w:tc>
        <w:tc>
          <w:tcPr>
            <w:tcW w:w="0" w:type="auto"/>
            <w:vAlign w:val="center"/>
          </w:tcPr>
          <w:p w:rsidR="005F78FC" w:rsidRDefault="00B42EF3">
            <w:pPr>
              <w:pStyle w:val="TableBodyText"/>
            </w:pPr>
            <w:r>
              <w:t>0565</w:t>
            </w:r>
          </w:p>
        </w:tc>
      </w:tr>
      <w:tr w:rsidR="005F78FC" w:rsidTr="005F78FC">
        <w:tc>
          <w:tcPr>
            <w:tcW w:w="0" w:type="auto"/>
            <w:vAlign w:val="center"/>
          </w:tcPr>
          <w:p w:rsidR="005F78FC" w:rsidRDefault="00B42EF3">
            <w:pPr>
              <w:pStyle w:val="TableBodyText"/>
            </w:pPr>
            <w:r>
              <w:t>ShowReviewerFilter</w:t>
            </w:r>
          </w:p>
        </w:tc>
        <w:tc>
          <w:tcPr>
            <w:tcW w:w="0" w:type="auto"/>
            <w:vAlign w:val="center"/>
          </w:tcPr>
          <w:p w:rsidR="005F78FC" w:rsidRDefault="00B42EF3">
            <w:pPr>
              <w:pStyle w:val="TableBodyText"/>
            </w:pPr>
            <w:r>
              <w:t>0846</w:t>
            </w:r>
          </w:p>
        </w:tc>
      </w:tr>
      <w:tr w:rsidR="005F78FC" w:rsidTr="005F78FC">
        <w:tc>
          <w:tcPr>
            <w:tcW w:w="0" w:type="auto"/>
            <w:vAlign w:val="center"/>
          </w:tcPr>
          <w:p w:rsidR="005F78FC" w:rsidRDefault="00B42EF3">
            <w:pPr>
              <w:pStyle w:val="TableBodyText"/>
            </w:pPr>
            <w:r>
              <w:t>ShowScriptAnchor</w:t>
            </w:r>
          </w:p>
        </w:tc>
        <w:tc>
          <w:tcPr>
            <w:tcW w:w="0" w:type="auto"/>
            <w:vAlign w:val="center"/>
          </w:tcPr>
          <w:p w:rsidR="005F78FC" w:rsidRDefault="00B42EF3">
            <w:pPr>
              <w:pStyle w:val="TableBodyText"/>
            </w:pPr>
            <w:r>
              <w:t>0456</w:t>
            </w:r>
          </w:p>
        </w:tc>
      </w:tr>
      <w:tr w:rsidR="005F78FC" w:rsidTr="005F78FC">
        <w:tc>
          <w:tcPr>
            <w:tcW w:w="0" w:type="auto"/>
            <w:vAlign w:val="center"/>
          </w:tcPr>
          <w:p w:rsidR="005F78FC" w:rsidRDefault="00B42EF3">
            <w:pPr>
              <w:pStyle w:val="TableBodyText"/>
            </w:pPr>
            <w:r>
              <w:t>ShowSmPane</w:t>
            </w:r>
          </w:p>
        </w:tc>
        <w:tc>
          <w:tcPr>
            <w:tcW w:w="0" w:type="auto"/>
            <w:vAlign w:val="center"/>
          </w:tcPr>
          <w:p w:rsidR="005F78FC" w:rsidRDefault="00B42EF3">
            <w:pPr>
              <w:pStyle w:val="TableBodyText"/>
            </w:pPr>
            <w:r>
              <w:t>052F</w:t>
            </w:r>
          </w:p>
        </w:tc>
      </w:tr>
      <w:tr w:rsidR="005F78FC" w:rsidTr="005F78FC">
        <w:tc>
          <w:tcPr>
            <w:tcW w:w="0" w:type="auto"/>
            <w:vAlign w:val="center"/>
          </w:tcPr>
          <w:p w:rsidR="005F78FC" w:rsidRDefault="00B42EF3">
            <w:pPr>
              <w:pStyle w:val="TableBodyText"/>
            </w:pPr>
            <w:r>
              <w:t>ShowTableGridlines</w:t>
            </w:r>
          </w:p>
        </w:tc>
        <w:tc>
          <w:tcPr>
            <w:tcW w:w="0" w:type="auto"/>
            <w:vAlign w:val="center"/>
          </w:tcPr>
          <w:p w:rsidR="005F78FC" w:rsidRDefault="00B42EF3">
            <w:pPr>
              <w:pStyle w:val="TableBodyText"/>
            </w:pPr>
            <w:r>
              <w:t>0351</w:t>
            </w:r>
          </w:p>
        </w:tc>
      </w:tr>
      <w:tr w:rsidR="005F78FC" w:rsidTr="005F78FC">
        <w:tc>
          <w:tcPr>
            <w:tcW w:w="0" w:type="auto"/>
            <w:vAlign w:val="center"/>
          </w:tcPr>
          <w:p w:rsidR="005F78FC" w:rsidRDefault="00B42EF3">
            <w:pPr>
              <w:pStyle w:val="TableBodyText"/>
            </w:pPr>
            <w:r>
              <w:t>ShowTableTools</w:t>
            </w:r>
          </w:p>
        </w:tc>
        <w:tc>
          <w:tcPr>
            <w:tcW w:w="0" w:type="auto"/>
            <w:vAlign w:val="center"/>
          </w:tcPr>
          <w:p w:rsidR="005F78FC" w:rsidRDefault="00B42EF3">
            <w:pPr>
              <w:pStyle w:val="TableBodyText"/>
            </w:pPr>
            <w:r>
              <w:t>04DA</w:t>
            </w:r>
          </w:p>
        </w:tc>
      </w:tr>
      <w:tr w:rsidR="005F78FC" w:rsidTr="005F78FC">
        <w:tc>
          <w:tcPr>
            <w:tcW w:w="0" w:type="auto"/>
            <w:vAlign w:val="center"/>
          </w:tcPr>
          <w:p w:rsidR="005F78FC" w:rsidRDefault="00B42EF3">
            <w:pPr>
              <w:pStyle w:val="TableBodyText"/>
            </w:pPr>
            <w:r>
              <w:lastRenderedPageBreak/>
              <w:t>ShowTasks</w:t>
            </w:r>
          </w:p>
        </w:tc>
        <w:tc>
          <w:tcPr>
            <w:tcW w:w="0" w:type="auto"/>
            <w:vAlign w:val="center"/>
          </w:tcPr>
          <w:p w:rsidR="005F78FC" w:rsidRDefault="00B42EF3">
            <w:pPr>
              <w:pStyle w:val="TableBodyText"/>
            </w:pPr>
            <w:r>
              <w:t>0779</w:t>
            </w:r>
          </w:p>
        </w:tc>
      </w:tr>
      <w:tr w:rsidR="005F78FC" w:rsidTr="005F78FC">
        <w:tc>
          <w:tcPr>
            <w:tcW w:w="0" w:type="auto"/>
            <w:vAlign w:val="center"/>
          </w:tcPr>
          <w:p w:rsidR="005F78FC" w:rsidRDefault="00B42EF3">
            <w:pPr>
              <w:pStyle w:val="TableBodyText"/>
            </w:pPr>
            <w:r>
              <w:t>ShowVars</w:t>
            </w:r>
          </w:p>
        </w:tc>
        <w:tc>
          <w:tcPr>
            <w:tcW w:w="0" w:type="auto"/>
            <w:vAlign w:val="center"/>
          </w:tcPr>
          <w:p w:rsidR="005F78FC" w:rsidRDefault="00B42EF3">
            <w:pPr>
              <w:pStyle w:val="TableBodyText"/>
            </w:pPr>
            <w:r>
              <w:t>0107</w:t>
            </w:r>
          </w:p>
        </w:tc>
      </w:tr>
      <w:tr w:rsidR="005F78FC" w:rsidTr="005F78FC">
        <w:tc>
          <w:tcPr>
            <w:tcW w:w="0" w:type="auto"/>
            <w:vAlign w:val="center"/>
          </w:tcPr>
          <w:p w:rsidR="005F78FC" w:rsidRDefault="00B42EF3">
            <w:pPr>
              <w:pStyle w:val="TableBodyText"/>
            </w:pPr>
            <w:r>
              <w:t>ShrinkFont</w:t>
            </w:r>
          </w:p>
        </w:tc>
        <w:tc>
          <w:tcPr>
            <w:tcW w:w="0" w:type="auto"/>
            <w:vAlign w:val="center"/>
          </w:tcPr>
          <w:p w:rsidR="005F78FC" w:rsidRDefault="00B42EF3">
            <w:pPr>
              <w:pStyle w:val="TableBodyText"/>
            </w:pPr>
            <w:r>
              <w:t>000C</w:t>
            </w:r>
          </w:p>
        </w:tc>
      </w:tr>
      <w:tr w:rsidR="005F78FC" w:rsidTr="005F78FC">
        <w:tc>
          <w:tcPr>
            <w:tcW w:w="0" w:type="auto"/>
            <w:vAlign w:val="center"/>
          </w:tcPr>
          <w:p w:rsidR="005F78FC" w:rsidRDefault="00B42EF3">
            <w:pPr>
              <w:pStyle w:val="TableBodyText"/>
            </w:pPr>
            <w:r>
              <w:t>ShrinkFontOnePoint</w:t>
            </w:r>
          </w:p>
        </w:tc>
        <w:tc>
          <w:tcPr>
            <w:tcW w:w="0" w:type="auto"/>
            <w:vAlign w:val="center"/>
          </w:tcPr>
          <w:p w:rsidR="005F78FC" w:rsidRDefault="00B42EF3">
            <w:pPr>
              <w:pStyle w:val="TableBodyText"/>
            </w:pPr>
            <w:r>
              <w:t>0202</w:t>
            </w:r>
          </w:p>
        </w:tc>
      </w:tr>
      <w:tr w:rsidR="005F78FC" w:rsidTr="005F78FC">
        <w:tc>
          <w:tcPr>
            <w:tcW w:w="0" w:type="auto"/>
            <w:vAlign w:val="center"/>
          </w:tcPr>
          <w:p w:rsidR="005F78FC" w:rsidRDefault="00B42EF3">
            <w:pPr>
              <w:pStyle w:val="TableBodyText"/>
            </w:pPr>
            <w:r>
              <w:t>ShrinkMultiSel</w:t>
            </w:r>
          </w:p>
        </w:tc>
        <w:tc>
          <w:tcPr>
            <w:tcW w:w="0" w:type="auto"/>
            <w:vAlign w:val="center"/>
          </w:tcPr>
          <w:p w:rsidR="005F78FC" w:rsidRDefault="00B42EF3">
            <w:pPr>
              <w:pStyle w:val="TableBodyText"/>
            </w:pPr>
            <w:r>
              <w:t>04FB</w:t>
            </w:r>
          </w:p>
        </w:tc>
      </w:tr>
      <w:tr w:rsidR="005F78FC" w:rsidTr="005F78FC">
        <w:tc>
          <w:tcPr>
            <w:tcW w:w="0" w:type="auto"/>
            <w:vAlign w:val="center"/>
          </w:tcPr>
          <w:p w:rsidR="005F78FC" w:rsidRDefault="00B42EF3">
            <w:pPr>
              <w:pStyle w:val="TableBodyText"/>
            </w:pPr>
            <w:r>
              <w:t>ShrinkSelection</w:t>
            </w:r>
          </w:p>
        </w:tc>
        <w:tc>
          <w:tcPr>
            <w:tcW w:w="0" w:type="auto"/>
            <w:vAlign w:val="center"/>
          </w:tcPr>
          <w:p w:rsidR="005F78FC" w:rsidRDefault="00B42EF3">
            <w:pPr>
              <w:pStyle w:val="TableBodyText"/>
            </w:pPr>
            <w:r>
              <w:t>00EC</w:t>
            </w:r>
          </w:p>
        </w:tc>
      </w:tr>
      <w:tr w:rsidR="005F78FC" w:rsidTr="005F78FC">
        <w:tc>
          <w:tcPr>
            <w:tcW w:w="0" w:type="auto"/>
            <w:vAlign w:val="center"/>
          </w:tcPr>
          <w:p w:rsidR="005F78FC" w:rsidRDefault="00B42EF3">
            <w:pPr>
              <w:pStyle w:val="TableBodyText"/>
            </w:pPr>
            <w:r>
              <w:t>SignDocument</w:t>
            </w:r>
          </w:p>
        </w:tc>
        <w:tc>
          <w:tcPr>
            <w:tcW w:w="0" w:type="auto"/>
            <w:vAlign w:val="center"/>
          </w:tcPr>
          <w:p w:rsidR="005F78FC" w:rsidRDefault="00B42EF3">
            <w:pPr>
              <w:pStyle w:val="TableBodyText"/>
            </w:pPr>
            <w:r>
              <w:t>0844</w:t>
            </w:r>
          </w:p>
        </w:tc>
      </w:tr>
      <w:tr w:rsidR="005F78FC" w:rsidTr="005F78FC">
        <w:tc>
          <w:tcPr>
            <w:tcW w:w="0" w:type="auto"/>
            <w:vAlign w:val="center"/>
          </w:tcPr>
          <w:p w:rsidR="005F78FC" w:rsidRDefault="00B42EF3">
            <w:pPr>
              <w:pStyle w:val="TableBodyText"/>
            </w:pPr>
            <w:r>
              <w:t>SignOutOfPassport</w:t>
            </w:r>
          </w:p>
        </w:tc>
        <w:tc>
          <w:tcPr>
            <w:tcW w:w="0" w:type="auto"/>
            <w:vAlign w:val="center"/>
          </w:tcPr>
          <w:p w:rsidR="005F78FC" w:rsidRDefault="00B42EF3">
            <w:pPr>
              <w:pStyle w:val="TableBodyText"/>
            </w:pPr>
            <w:r>
              <w:t>0564</w:t>
            </w:r>
          </w:p>
        </w:tc>
      </w:tr>
      <w:tr w:rsidR="005F78FC" w:rsidTr="005F78FC">
        <w:tc>
          <w:tcPr>
            <w:tcW w:w="0" w:type="auto"/>
            <w:vAlign w:val="center"/>
          </w:tcPr>
          <w:p w:rsidR="005F78FC" w:rsidRDefault="00B42EF3">
            <w:pPr>
              <w:pStyle w:val="TableBodyText"/>
            </w:pPr>
            <w:r>
              <w:t>SigningServices</w:t>
            </w:r>
          </w:p>
        </w:tc>
        <w:tc>
          <w:tcPr>
            <w:tcW w:w="0" w:type="auto"/>
            <w:vAlign w:val="center"/>
          </w:tcPr>
          <w:p w:rsidR="005F78FC" w:rsidRDefault="00B42EF3">
            <w:pPr>
              <w:pStyle w:val="TableBodyText"/>
            </w:pPr>
            <w:r>
              <w:t>0847</w:t>
            </w:r>
          </w:p>
        </w:tc>
      </w:tr>
      <w:tr w:rsidR="005F78FC" w:rsidTr="005F78FC">
        <w:tc>
          <w:tcPr>
            <w:tcW w:w="0" w:type="auto"/>
            <w:vAlign w:val="center"/>
          </w:tcPr>
          <w:p w:rsidR="005F78FC" w:rsidRDefault="00B42EF3">
            <w:pPr>
              <w:pStyle w:val="TableBodyText"/>
            </w:pPr>
            <w:r>
              <w:t>SkipNumbering</w:t>
            </w:r>
          </w:p>
        </w:tc>
        <w:tc>
          <w:tcPr>
            <w:tcW w:w="0" w:type="auto"/>
            <w:vAlign w:val="center"/>
          </w:tcPr>
          <w:p w:rsidR="005F78FC" w:rsidRDefault="00B42EF3">
            <w:pPr>
              <w:pStyle w:val="TableBodyText"/>
            </w:pPr>
            <w:r>
              <w:t>01B6</w:t>
            </w:r>
          </w:p>
        </w:tc>
      </w:tr>
      <w:tr w:rsidR="005F78FC" w:rsidTr="005F78FC">
        <w:tc>
          <w:tcPr>
            <w:tcW w:w="0" w:type="auto"/>
            <w:vAlign w:val="center"/>
          </w:tcPr>
          <w:p w:rsidR="005F78FC" w:rsidRDefault="00B42EF3">
            <w:pPr>
              <w:pStyle w:val="TableBodyText"/>
            </w:pPr>
            <w:r>
              <w:t>SmallCaps</w:t>
            </w:r>
          </w:p>
        </w:tc>
        <w:tc>
          <w:tcPr>
            <w:tcW w:w="0" w:type="auto"/>
            <w:vAlign w:val="center"/>
          </w:tcPr>
          <w:p w:rsidR="005F78FC" w:rsidRDefault="00B42EF3">
            <w:pPr>
              <w:pStyle w:val="TableBodyText"/>
            </w:pPr>
            <w:r>
              <w:t>002F</w:t>
            </w:r>
          </w:p>
        </w:tc>
      </w:tr>
      <w:tr w:rsidR="005F78FC" w:rsidTr="005F78FC">
        <w:tc>
          <w:tcPr>
            <w:tcW w:w="0" w:type="auto"/>
            <w:vAlign w:val="center"/>
          </w:tcPr>
          <w:p w:rsidR="005F78FC" w:rsidRDefault="00B42EF3">
            <w:pPr>
              <w:pStyle w:val="TableBodyText"/>
            </w:pPr>
            <w:r>
              <w:t>SpacePara1</w:t>
            </w:r>
          </w:p>
        </w:tc>
        <w:tc>
          <w:tcPr>
            <w:tcW w:w="0" w:type="auto"/>
            <w:vAlign w:val="center"/>
          </w:tcPr>
          <w:p w:rsidR="005F78FC" w:rsidRDefault="00B42EF3">
            <w:pPr>
              <w:pStyle w:val="TableBodyText"/>
            </w:pPr>
            <w:r>
              <w:t>003E</w:t>
            </w:r>
          </w:p>
        </w:tc>
      </w:tr>
      <w:tr w:rsidR="005F78FC" w:rsidTr="005F78FC">
        <w:tc>
          <w:tcPr>
            <w:tcW w:w="0" w:type="auto"/>
            <w:vAlign w:val="center"/>
          </w:tcPr>
          <w:p w:rsidR="005F78FC" w:rsidRDefault="00B42EF3">
            <w:pPr>
              <w:pStyle w:val="TableBodyText"/>
            </w:pPr>
            <w:r>
              <w:t>SpacePara15</w:t>
            </w:r>
          </w:p>
        </w:tc>
        <w:tc>
          <w:tcPr>
            <w:tcW w:w="0" w:type="auto"/>
            <w:vAlign w:val="center"/>
          </w:tcPr>
          <w:p w:rsidR="005F78FC" w:rsidRDefault="00B42EF3">
            <w:pPr>
              <w:pStyle w:val="TableBodyText"/>
            </w:pPr>
            <w:r>
              <w:t>003F</w:t>
            </w:r>
          </w:p>
        </w:tc>
      </w:tr>
      <w:tr w:rsidR="005F78FC" w:rsidTr="005F78FC">
        <w:tc>
          <w:tcPr>
            <w:tcW w:w="0" w:type="auto"/>
            <w:vAlign w:val="center"/>
          </w:tcPr>
          <w:p w:rsidR="005F78FC" w:rsidRDefault="00B42EF3">
            <w:pPr>
              <w:pStyle w:val="TableBodyText"/>
            </w:pPr>
            <w:r>
              <w:t>SpacePara2</w:t>
            </w:r>
          </w:p>
        </w:tc>
        <w:tc>
          <w:tcPr>
            <w:tcW w:w="0" w:type="auto"/>
            <w:vAlign w:val="center"/>
          </w:tcPr>
          <w:p w:rsidR="005F78FC" w:rsidRDefault="00B42EF3">
            <w:pPr>
              <w:pStyle w:val="TableBodyText"/>
            </w:pPr>
            <w:r>
              <w:t>0040</w:t>
            </w:r>
          </w:p>
        </w:tc>
      </w:tr>
      <w:tr w:rsidR="005F78FC" w:rsidTr="005F78FC">
        <w:tc>
          <w:tcPr>
            <w:tcW w:w="0" w:type="auto"/>
            <w:vAlign w:val="center"/>
          </w:tcPr>
          <w:p w:rsidR="005F78FC" w:rsidRDefault="00B42EF3">
            <w:pPr>
              <w:pStyle w:val="TableBodyText"/>
            </w:pPr>
            <w:r>
              <w:t>SpacingAfterSpinner</w:t>
            </w:r>
          </w:p>
        </w:tc>
        <w:tc>
          <w:tcPr>
            <w:tcW w:w="0" w:type="auto"/>
            <w:vAlign w:val="center"/>
          </w:tcPr>
          <w:p w:rsidR="005F78FC" w:rsidRDefault="00B42EF3">
            <w:pPr>
              <w:pStyle w:val="TableBodyText"/>
            </w:pPr>
            <w:r>
              <w:t>08B0</w:t>
            </w:r>
          </w:p>
        </w:tc>
      </w:tr>
      <w:tr w:rsidR="005F78FC" w:rsidTr="005F78FC">
        <w:tc>
          <w:tcPr>
            <w:tcW w:w="0" w:type="auto"/>
            <w:vAlign w:val="center"/>
          </w:tcPr>
          <w:p w:rsidR="005F78FC" w:rsidRDefault="00B42EF3">
            <w:pPr>
              <w:pStyle w:val="TableBodyText"/>
            </w:pPr>
            <w:r>
              <w:t>SpacingBeforeSpinner</w:t>
            </w:r>
          </w:p>
        </w:tc>
        <w:tc>
          <w:tcPr>
            <w:tcW w:w="0" w:type="auto"/>
            <w:vAlign w:val="center"/>
          </w:tcPr>
          <w:p w:rsidR="005F78FC" w:rsidRDefault="00B42EF3">
            <w:pPr>
              <w:pStyle w:val="TableBodyText"/>
            </w:pPr>
            <w:r>
              <w:t>08AF</w:t>
            </w:r>
          </w:p>
        </w:tc>
      </w:tr>
      <w:tr w:rsidR="005F78FC" w:rsidTr="005F78FC">
        <w:tc>
          <w:tcPr>
            <w:tcW w:w="0" w:type="auto"/>
            <w:vAlign w:val="center"/>
          </w:tcPr>
          <w:p w:rsidR="005F78FC" w:rsidRDefault="00B42EF3">
            <w:pPr>
              <w:pStyle w:val="TableBodyText"/>
            </w:pPr>
            <w:r>
              <w:t>SpacingLabel</w:t>
            </w:r>
          </w:p>
        </w:tc>
        <w:tc>
          <w:tcPr>
            <w:tcW w:w="0" w:type="auto"/>
            <w:vAlign w:val="center"/>
          </w:tcPr>
          <w:p w:rsidR="005F78FC" w:rsidRDefault="00B42EF3">
            <w:pPr>
              <w:pStyle w:val="TableBodyText"/>
            </w:pPr>
            <w:r>
              <w:t>08B3</w:t>
            </w:r>
          </w:p>
        </w:tc>
      </w:tr>
      <w:tr w:rsidR="005F78FC" w:rsidTr="005F78FC">
        <w:tc>
          <w:tcPr>
            <w:tcW w:w="0" w:type="auto"/>
            <w:vAlign w:val="center"/>
          </w:tcPr>
          <w:p w:rsidR="005F78FC" w:rsidRDefault="00B42EF3">
            <w:pPr>
              <w:pStyle w:val="TableBodyText"/>
            </w:pPr>
            <w:r>
              <w:t>SpellingAndAutoCorrect</w:t>
            </w:r>
          </w:p>
        </w:tc>
        <w:tc>
          <w:tcPr>
            <w:tcW w:w="0" w:type="auto"/>
            <w:vAlign w:val="center"/>
          </w:tcPr>
          <w:p w:rsidR="005F78FC" w:rsidRDefault="00B42EF3">
            <w:pPr>
              <w:pStyle w:val="TableBodyText"/>
            </w:pPr>
            <w:r>
              <w:t>0387</w:t>
            </w:r>
          </w:p>
        </w:tc>
      </w:tr>
      <w:tr w:rsidR="005F78FC" w:rsidTr="005F78FC">
        <w:tc>
          <w:tcPr>
            <w:tcW w:w="0" w:type="auto"/>
            <w:vAlign w:val="center"/>
          </w:tcPr>
          <w:p w:rsidR="005F78FC" w:rsidRDefault="00B42EF3">
            <w:pPr>
              <w:pStyle w:val="TableBodyText"/>
            </w:pPr>
            <w:r>
              <w:t>Spike</w:t>
            </w:r>
          </w:p>
        </w:tc>
        <w:tc>
          <w:tcPr>
            <w:tcW w:w="0" w:type="auto"/>
            <w:vAlign w:val="center"/>
          </w:tcPr>
          <w:p w:rsidR="005F78FC" w:rsidRDefault="00B42EF3">
            <w:pPr>
              <w:pStyle w:val="TableBodyText"/>
            </w:pPr>
            <w:r>
              <w:t>000F</w:t>
            </w:r>
          </w:p>
        </w:tc>
      </w:tr>
      <w:tr w:rsidR="005F78FC" w:rsidTr="005F78FC">
        <w:tc>
          <w:tcPr>
            <w:tcW w:w="0" w:type="auto"/>
            <w:vAlign w:val="center"/>
          </w:tcPr>
          <w:p w:rsidR="005F78FC" w:rsidRDefault="00B42EF3">
            <w:pPr>
              <w:pStyle w:val="TableBodyText"/>
            </w:pPr>
            <w:r>
              <w:t>SplitSubdocument</w:t>
            </w:r>
          </w:p>
        </w:tc>
        <w:tc>
          <w:tcPr>
            <w:tcW w:w="0" w:type="auto"/>
            <w:vAlign w:val="center"/>
          </w:tcPr>
          <w:p w:rsidR="005F78FC" w:rsidRDefault="00B42EF3">
            <w:pPr>
              <w:pStyle w:val="TableBodyText"/>
            </w:pPr>
            <w:r>
              <w:t>0249</w:t>
            </w:r>
          </w:p>
        </w:tc>
      </w:tr>
      <w:tr w:rsidR="005F78FC" w:rsidTr="005F78FC">
        <w:tc>
          <w:tcPr>
            <w:tcW w:w="0" w:type="auto"/>
            <w:vAlign w:val="center"/>
          </w:tcPr>
          <w:p w:rsidR="005F78FC" w:rsidRDefault="00B42EF3">
            <w:pPr>
              <w:pStyle w:val="TableBodyText"/>
            </w:pPr>
            <w:r>
              <w:t>SqmDialog</w:t>
            </w:r>
          </w:p>
        </w:tc>
        <w:tc>
          <w:tcPr>
            <w:tcW w:w="0" w:type="auto"/>
            <w:vAlign w:val="center"/>
          </w:tcPr>
          <w:p w:rsidR="005F78FC" w:rsidRDefault="00B42EF3">
            <w:pPr>
              <w:pStyle w:val="TableBodyText"/>
            </w:pPr>
            <w:r>
              <w:t>058C</w:t>
            </w:r>
          </w:p>
        </w:tc>
      </w:tr>
      <w:tr w:rsidR="005F78FC" w:rsidTr="005F78FC">
        <w:tc>
          <w:tcPr>
            <w:tcW w:w="0" w:type="auto"/>
            <w:vAlign w:val="center"/>
          </w:tcPr>
          <w:p w:rsidR="005F78FC" w:rsidRDefault="00B42EF3">
            <w:pPr>
              <w:pStyle w:val="TableBodyText"/>
            </w:pPr>
            <w:r>
              <w:t>StartMacro</w:t>
            </w:r>
          </w:p>
        </w:tc>
        <w:tc>
          <w:tcPr>
            <w:tcW w:w="0" w:type="auto"/>
            <w:vAlign w:val="center"/>
          </w:tcPr>
          <w:p w:rsidR="005F78FC" w:rsidRDefault="00B42EF3">
            <w:pPr>
              <w:pStyle w:val="TableBodyText"/>
            </w:pPr>
            <w:r>
              <w:t>022A</w:t>
            </w:r>
          </w:p>
        </w:tc>
      </w:tr>
      <w:tr w:rsidR="005F78FC" w:rsidTr="005F78FC">
        <w:tc>
          <w:tcPr>
            <w:tcW w:w="0" w:type="auto"/>
            <w:vAlign w:val="center"/>
          </w:tcPr>
          <w:p w:rsidR="005F78FC" w:rsidRDefault="00B42EF3">
            <w:pPr>
              <w:pStyle w:val="TableBodyText"/>
            </w:pPr>
            <w:r>
              <w:t>StartOfColumn</w:t>
            </w:r>
          </w:p>
        </w:tc>
        <w:tc>
          <w:tcPr>
            <w:tcW w:w="0" w:type="auto"/>
            <w:vAlign w:val="center"/>
          </w:tcPr>
          <w:p w:rsidR="005F78FC" w:rsidRDefault="00B42EF3">
            <w:pPr>
              <w:pStyle w:val="TableBodyText"/>
            </w:pPr>
            <w:r>
              <w:t>0112</w:t>
            </w:r>
          </w:p>
        </w:tc>
      </w:tr>
      <w:tr w:rsidR="005F78FC" w:rsidTr="005F78FC">
        <w:tc>
          <w:tcPr>
            <w:tcW w:w="0" w:type="auto"/>
            <w:vAlign w:val="center"/>
          </w:tcPr>
          <w:p w:rsidR="005F78FC" w:rsidRDefault="00B42EF3">
            <w:pPr>
              <w:pStyle w:val="TableBodyText"/>
            </w:pPr>
            <w:r>
              <w:t>StartOfDocExtend</w:t>
            </w:r>
          </w:p>
        </w:tc>
        <w:tc>
          <w:tcPr>
            <w:tcW w:w="0" w:type="auto"/>
            <w:vAlign w:val="center"/>
          </w:tcPr>
          <w:p w:rsidR="005F78FC" w:rsidRDefault="00B42EF3">
            <w:pPr>
              <w:pStyle w:val="TableBodyText"/>
            </w:pPr>
            <w:r>
              <w:t>0FC2</w:t>
            </w:r>
          </w:p>
        </w:tc>
      </w:tr>
      <w:tr w:rsidR="005F78FC" w:rsidTr="005F78FC">
        <w:tc>
          <w:tcPr>
            <w:tcW w:w="0" w:type="auto"/>
            <w:vAlign w:val="center"/>
          </w:tcPr>
          <w:p w:rsidR="005F78FC" w:rsidRDefault="00B42EF3">
            <w:pPr>
              <w:pStyle w:val="TableBodyText"/>
            </w:pPr>
            <w:r>
              <w:t>StartOfDocument</w:t>
            </w:r>
          </w:p>
        </w:tc>
        <w:tc>
          <w:tcPr>
            <w:tcW w:w="0" w:type="auto"/>
            <w:vAlign w:val="center"/>
          </w:tcPr>
          <w:p w:rsidR="005F78FC" w:rsidRDefault="00B42EF3">
            <w:pPr>
              <w:pStyle w:val="TableBodyText"/>
            </w:pPr>
            <w:r>
              <w:t>0FB0</w:t>
            </w:r>
          </w:p>
        </w:tc>
      </w:tr>
      <w:tr w:rsidR="005F78FC" w:rsidTr="005F78FC">
        <w:tc>
          <w:tcPr>
            <w:tcW w:w="0" w:type="auto"/>
            <w:vAlign w:val="center"/>
          </w:tcPr>
          <w:p w:rsidR="005F78FC" w:rsidRDefault="00B42EF3">
            <w:pPr>
              <w:pStyle w:val="TableBodyText"/>
            </w:pPr>
            <w:r>
              <w:t>StartOfLine</w:t>
            </w:r>
          </w:p>
        </w:tc>
        <w:tc>
          <w:tcPr>
            <w:tcW w:w="0" w:type="auto"/>
            <w:vAlign w:val="center"/>
          </w:tcPr>
          <w:p w:rsidR="005F78FC" w:rsidRDefault="00B42EF3">
            <w:pPr>
              <w:pStyle w:val="TableBodyText"/>
            </w:pPr>
            <w:r>
              <w:t>0FAC</w:t>
            </w:r>
          </w:p>
        </w:tc>
      </w:tr>
      <w:tr w:rsidR="005F78FC" w:rsidTr="005F78FC">
        <w:tc>
          <w:tcPr>
            <w:tcW w:w="0" w:type="auto"/>
            <w:vAlign w:val="center"/>
          </w:tcPr>
          <w:p w:rsidR="005F78FC" w:rsidRDefault="00B42EF3">
            <w:pPr>
              <w:pStyle w:val="TableBodyText"/>
            </w:pPr>
            <w:r>
              <w:t>StartOfLineExtend</w:t>
            </w:r>
          </w:p>
        </w:tc>
        <w:tc>
          <w:tcPr>
            <w:tcW w:w="0" w:type="auto"/>
            <w:vAlign w:val="center"/>
          </w:tcPr>
          <w:p w:rsidR="005F78FC" w:rsidRDefault="00B42EF3">
            <w:pPr>
              <w:pStyle w:val="TableBodyText"/>
            </w:pPr>
            <w:r>
              <w:t>0FBE</w:t>
            </w:r>
          </w:p>
        </w:tc>
      </w:tr>
      <w:tr w:rsidR="005F78FC" w:rsidTr="005F78FC">
        <w:tc>
          <w:tcPr>
            <w:tcW w:w="0" w:type="auto"/>
            <w:vAlign w:val="center"/>
          </w:tcPr>
          <w:p w:rsidR="005F78FC" w:rsidRDefault="00B42EF3">
            <w:pPr>
              <w:pStyle w:val="TableBodyText"/>
            </w:pPr>
            <w:r>
              <w:t>StartOfRow</w:t>
            </w:r>
          </w:p>
        </w:tc>
        <w:tc>
          <w:tcPr>
            <w:tcW w:w="0" w:type="auto"/>
            <w:vAlign w:val="center"/>
          </w:tcPr>
          <w:p w:rsidR="005F78FC" w:rsidRDefault="00B42EF3">
            <w:pPr>
              <w:pStyle w:val="TableBodyText"/>
            </w:pPr>
            <w:r>
              <w:t>0110</w:t>
            </w:r>
          </w:p>
        </w:tc>
      </w:tr>
      <w:tr w:rsidR="005F78FC" w:rsidTr="005F78FC">
        <w:tc>
          <w:tcPr>
            <w:tcW w:w="0" w:type="auto"/>
            <w:vAlign w:val="center"/>
          </w:tcPr>
          <w:p w:rsidR="005F78FC" w:rsidRDefault="00B42EF3">
            <w:pPr>
              <w:pStyle w:val="TableBodyText"/>
            </w:pPr>
            <w:r>
              <w:t>StartOfWindow</w:t>
            </w:r>
          </w:p>
        </w:tc>
        <w:tc>
          <w:tcPr>
            <w:tcW w:w="0" w:type="auto"/>
            <w:vAlign w:val="center"/>
          </w:tcPr>
          <w:p w:rsidR="005F78FC" w:rsidRDefault="00B42EF3">
            <w:pPr>
              <w:pStyle w:val="TableBodyText"/>
            </w:pPr>
            <w:r>
              <w:t>0FAE</w:t>
            </w:r>
          </w:p>
        </w:tc>
      </w:tr>
      <w:tr w:rsidR="005F78FC" w:rsidTr="005F78FC">
        <w:tc>
          <w:tcPr>
            <w:tcW w:w="0" w:type="auto"/>
            <w:vAlign w:val="center"/>
          </w:tcPr>
          <w:p w:rsidR="005F78FC" w:rsidRDefault="00B42EF3">
            <w:pPr>
              <w:pStyle w:val="TableBodyText"/>
            </w:pPr>
            <w:r>
              <w:t>StartOfWindowExtend</w:t>
            </w:r>
          </w:p>
        </w:tc>
        <w:tc>
          <w:tcPr>
            <w:tcW w:w="0" w:type="auto"/>
            <w:vAlign w:val="center"/>
          </w:tcPr>
          <w:p w:rsidR="005F78FC" w:rsidRDefault="00B42EF3">
            <w:pPr>
              <w:pStyle w:val="TableBodyText"/>
            </w:pPr>
            <w:r>
              <w:t>0FC0</w:t>
            </w:r>
          </w:p>
        </w:tc>
      </w:tr>
      <w:tr w:rsidR="005F78FC" w:rsidTr="005F78FC">
        <w:tc>
          <w:tcPr>
            <w:tcW w:w="0" w:type="auto"/>
            <w:vAlign w:val="center"/>
          </w:tcPr>
          <w:p w:rsidR="005F78FC" w:rsidRDefault="00B42EF3">
            <w:pPr>
              <w:pStyle w:val="TableBodyText"/>
            </w:pPr>
            <w:r>
              <w:t>StartWorkflow</w:t>
            </w:r>
          </w:p>
        </w:tc>
        <w:tc>
          <w:tcPr>
            <w:tcW w:w="0" w:type="auto"/>
            <w:vAlign w:val="center"/>
          </w:tcPr>
          <w:p w:rsidR="005F78FC" w:rsidRDefault="00B42EF3">
            <w:pPr>
              <w:pStyle w:val="TableBodyText"/>
            </w:pPr>
            <w:r>
              <w:t>0798</w:t>
            </w:r>
          </w:p>
        </w:tc>
      </w:tr>
      <w:tr w:rsidR="005F78FC" w:rsidTr="005F78FC">
        <w:tc>
          <w:tcPr>
            <w:tcW w:w="0" w:type="auto"/>
            <w:vAlign w:val="center"/>
          </w:tcPr>
          <w:p w:rsidR="005F78FC" w:rsidRDefault="00B42EF3">
            <w:pPr>
              <w:pStyle w:val="TableBodyText"/>
            </w:pPr>
            <w:r>
              <w:t>StepIn</w:t>
            </w:r>
          </w:p>
        </w:tc>
        <w:tc>
          <w:tcPr>
            <w:tcW w:w="0" w:type="auto"/>
            <w:vAlign w:val="center"/>
          </w:tcPr>
          <w:p w:rsidR="005F78FC" w:rsidRDefault="00B42EF3">
            <w:pPr>
              <w:pStyle w:val="TableBodyText"/>
            </w:pPr>
            <w:r>
              <w:t>0109</w:t>
            </w:r>
          </w:p>
        </w:tc>
      </w:tr>
      <w:tr w:rsidR="005F78FC" w:rsidTr="005F78FC">
        <w:tc>
          <w:tcPr>
            <w:tcW w:w="0" w:type="auto"/>
            <w:vAlign w:val="center"/>
          </w:tcPr>
          <w:p w:rsidR="005F78FC" w:rsidRDefault="00B42EF3">
            <w:pPr>
              <w:pStyle w:val="TableBodyText"/>
            </w:pPr>
            <w:r>
              <w:lastRenderedPageBreak/>
              <w:t>StepOver</w:t>
            </w:r>
          </w:p>
        </w:tc>
        <w:tc>
          <w:tcPr>
            <w:tcW w:w="0" w:type="auto"/>
            <w:vAlign w:val="center"/>
          </w:tcPr>
          <w:p w:rsidR="005F78FC" w:rsidRDefault="00B42EF3">
            <w:pPr>
              <w:pStyle w:val="TableBodyText"/>
            </w:pPr>
            <w:r>
              <w:t>0108</w:t>
            </w:r>
          </w:p>
        </w:tc>
      </w:tr>
      <w:tr w:rsidR="005F78FC" w:rsidTr="005F78FC">
        <w:tc>
          <w:tcPr>
            <w:tcW w:w="0" w:type="auto"/>
            <w:vAlign w:val="center"/>
          </w:tcPr>
          <w:p w:rsidR="005F78FC" w:rsidRDefault="00B42EF3">
            <w:pPr>
              <w:pStyle w:val="TableBodyText"/>
            </w:pPr>
            <w:r>
              <w:t>StopMacro</w:t>
            </w:r>
          </w:p>
        </w:tc>
        <w:tc>
          <w:tcPr>
            <w:tcW w:w="0" w:type="auto"/>
            <w:vAlign w:val="center"/>
          </w:tcPr>
          <w:p w:rsidR="005F78FC" w:rsidRDefault="00B42EF3">
            <w:pPr>
              <w:pStyle w:val="TableBodyText"/>
            </w:pPr>
            <w:r>
              <w:t>029C</w:t>
            </w:r>
          </w:p>
        </w:tc>
      </w:tr>
      <w:tr w:rsidR="005F78FC" w:rsidTr="005F78FC">
        <w:tc>
          <w:tcPr>
            <w:tcW w:w="0" w:type="auto"/>
            <w:vAlign w:val="center"/>
          </w:tcPr>
          <w:p w:rsidR="005F78FC" w:rsidRDefault="00B42EF3">
            <w:pPr>
              <w:pStyle w:val="TableBodyText"/>
            </w:pPr>
            <w:r>
              <w:t>StopMacroRunning</w:t>
            </w:r>
          </w:p>
        </w:tc>
        <w:tc>
          <w:tcPr>
            <w:tcW w:w="0" w:type="auto"/>
            <w:vAlign w:val="center"/>
          </w:tcPr>
          <w:p w:rsidR="005F78FC" w:rsidRDefault="00B42EF3">
            <w:pPr>
              <w:pStyle w:val="TableBodyText"/>
            </w:pPr>
            <w:r>
              <w:t>0285</w:t>
            </w:r>
          </w:p>
        </w:tc>
      </w:tr>
      <w:tr w:rsidR="005F78FC" w:rsidTr="005F78FC">
        <w:tc>
          <w:tcPr>
            <w:tcW w:w="0" w:type="auto"/>
            <w:vAlign w:val="center"/>
          </w:tcPr>
          <w:p w:rsidR="005F78FC" w:rsidRDefault="00B42EF3">
            <w:pPr>
              <w:pStyle w:val="TableBodyText"/>
            </w:pPr>
            <w:r>
              <w:t>Strikethrough</w:t>
            </w:r>
          </w:p>
        </w:tc>
        <w:tc>
          <w:tcPr>
            <w:tcW w:w="0" w:type="auto"/>
            <w:vAlign w:val="center"/>
          </w:tcPr>
          <w:p w:rsidR="005F78FC" w:rsidRDefault="00B42EF3">
            <w:pPr>
              <w:pStyle w:val="TableBodyText"/>
            </w:pPr>
            <w:r>
              <w:t>0031</w:t>
            </w:r>
          </w:p>
        </w:tc>
      </w:tr>
      <w:tr w:rsidR="005F78FC" w:rsidTr="005F78FC">
        <w:tc>
          <w:tcPr>
            <w:tcW w:w="0" w:type="auto"/>
            <w:vAlign w:val="center"/>
          </w:tcPr>
          <w:p w:rsidR="005F78FC" w:rsidRDefault="00B42EF3">
            <w:pPr>
              <w:pStyle w:val="TableBodyText"/>
            </w:pPr>
            <w:r>
              <w:t>Style</w:t>
            </w:r>
          </w:p>
        </w:tc>
        <w:tc>
          <w:tcPr>
            <w:tcW w:w="0" w:type="auto"/>
            <w:vAlign w:val="center"/>
          </w:tcPr>
          <w:p w:rsidR="005F78FC" w:rsidRDefault="00B42EF3">
            <w:pPr>
              <w:pStyle w:val="TableBodyText"/>
            </w:pPr>
            <w:r>
              <w:t>0097</w:t>
            </w:r>
          </w:p>
        </w:tc>
      </w:tr>
      <w:tr w:rsidR="005F78FC" w:rsidTr="005F78FC">
        <w:tc>
          <w:tcPr>
            <w:tcW w:w="0" w:type="auto"/>
            <w:vAlign w:val="center"/>
          </w:tcPr>
          <w:p w:rsidR="005F78FC" w:rsidRDefault="00B42EF3">
            <w:pPr>
              <w:pStyle w:val="TableBodyText"/>
            </w:pPr>
            <w:r>
              <w:t>Style3DGallery</w:t>
            </w:r>
          </w:p>
        </w:tc>
        <w:tc>
          <w:tcPr>
            <w:tcW w:w="0" w:type="auto"/>
            <w:vAlign w:val="center"/>
          </w:tcPr>
          <w:p w:rsidR="005F78FC" w:rsidRDefault="00B42EF3">
            <w:pPr>
              <w:pStyle w:val="TableBodyText"/>
            </w:pPr>
            <w:r>
              <w:t>08C9</w:t>
            </w:r>
          </w:p>
        </w:tc>
      </w:tr>
      <w:tr w:rsidR="005F78FC" w:rsidTr="005F78FC">
        <w:tc>
          <w:tcPr>
            <w:tcW w:w="0" w:type="auto"/>
            <w:vAlign w:val="center"/>
          </w:tcPr>
          <w:p w:rsidR="005F78FC" w:rsidRDefault="00B42EF3">
            <w:pPr>
              <w:pStyle w:val="TableBodyText"/>
            </w:pPr>
            <w:r>
              <w:t>StyleApplyPane</w:t>
            </w:r>
          </w:p>
        </w:tc>
        <w:tc>
          <w:tcPr>
            <w:tcW w:w="0" w:type="auto"/>
            <w:vAlign w:val="center"/>
          </w:tcPr>
          <w:p w:rsidR="005F78FC" w:rsidRDefault="00B42EF3">
            <w:pPr>
              <w:pStyle w:val="TableBodyText"/>
            </w:pPr>
            <w:r>
              <w:t>087F</w:t>
            </w:r>
          </w:p>
        </w:tc>
      </w:tr>
      <w:tr w:rsidR="005F78FC" w:rsidTr="005F78FC">
        <w:tc>
          <w:tcPr>
            <w:tcW w:w="0" w:type="auto"/>
            <w:vAlign w:val="center"/>
          </w:tcPr>
          <w:p w:rsidR="005F78FC" w:rsidRDefault="00B42EF3">
            <w:pPr>
              <w:pStyle w:val="TableBodyText"/>
            </w:pPr>
            <w:r>
              <w:t>StyleLockDown</w:t>
            </w:r>
          </w:p>
        </w:tc>
        <w:tc>
          <w:tcPr>
            <w:tcW w:w="0" w:type="auto"/>
            <w:vAlign w:val="center"/>
          </w:tcPr>
          <w:p w:rsidR="005F78FC" w:rsidRDefault="00B42EF3">
            <w:pPr>
              <w:pStyle w:val="TableBodyText"/>
            </w:pPr>
            <w:r>
              <w:t>058E</w:t>
            </w:r>
          </w:p>
        </w:tc>
      </w:tr>
      <w:tr w:rsidR="005F78FC" w:rsidTr="005F78FC">
        <w:tc>
          <w:tcPr>
            <w:tcW w:w="0" w:type="auto"/>
            <w:vAlign w:val="center"/>
          </w:tcPr>
          <w:p w:rsidR="005F78FC" w:rsidRDefault="00B42EF3">
            <w:pPr>
              <w:pStyle w:val="TableBodyText"/>
            </w:pPr>
            <w:r>
              <w:t>StyleMatrixPicker</w:t>
            </w:r>
          </w:p>
        </w:tc>
        <w:tc>
          <w:tcPr>
            <w:tcW w:w="0" w:type="auto"/>
            <w:vAlign w:val="center"/>
          </w:tcPr>
          <w:p w:rsidR="005F78FC" w:rsidRDefault="00B42EF3">
            <w:pPr>
              <w:pStyle w:val="TableBodyText"/>
            </w:pPr>
            <w:r>
              <w:t>08FD</w:t>
            </w:r>
          </w:p>
        </w:tc>
      </w:tr>
      <w:tr w:rsidR="005F78FC" w:rsidTr="005F78FC">
        <w:tc>
          <w:tcPr>
            <w:tcW w:w="0" w:type="auto"/>
            <w:vAlign w:val="center"/>
          </w:tcPr>
          <w:p w:rsidR="005F78FC" w:rsidRDefault="00B42EF3">
            <w:pPr>
              <w:pStyle w:val="TableBodyText"/>
            </w:pPr>
            <w:r>
              <w:t>StylePaneNewStyle</w:t>
            </w:r>
          </w:p>
        </w:tc>
        <w:tc>
          <w:tcPr>
            <w:tcW w:w="0" w:type="auto"/>
            <w:vAlign w:val="center"/>
          </w:tcPr>
          <w:p w:rsidR="005F78FC" w:rsidRDefault="00B42EF3">
            <w:pPr>
              <w:pStyle w:val="TableBodyText"/>
            </w:pPr>
            <w:r>
              <w:t>094E</w:t>
            </w:r>
          </w:p>
        </w:tc>
      </w:tr>
      <w:tr w:rsidR="005F78FC" w:rsidTr="005F78FC">
        <w:tc>
          <w:tcPr>
            <w:tcW w:w="0" w:type="auto"/>
            <w:vAlign w:val="center"/>
          </w:tcPr>
          <w:p w:rsidR="005F78FC" w:rsidRDefault="00B42EF3">
            <w:pPr>
              <w:pStyle w:val="TableBodyText"/>
            </w:pPr>
            <w:r>
              <w:t>StyleQuickFormat</w:t>
            </w:r>
          </w:p>
        </w:tc>
        <w:tc>
          <w:tcPr>
            <w:tcW w:w="0" w:type="auto"/>
            <w:vAlign w:val="center"/>
          </w:tcPr>
          <w:p w:rsidR="005F78FC" w:rsidRDefault="00B42EF3">
            <w:pPr>
              <w:pStyle w:val="TableBodyText"/>
            </w:pPr>
            <w:r>
              <w:t>0827</w:t>
            </w:r>
          </w:p>
        </w:tc>
      </w:tr>
      <w:tr w:rsidR="005F78FC" w:rsidTr="005F78FC">
        <w:tc>
          <w:tcPr>
            <w:tcW w:w="0" w:type="auto"/>
            <w:vAlign w:val="center"/>
          </w:tcPr>
          <w:p w:rsidR="005F78FC" w:rsidRDefault="00B42EF3">
            <w:pPr>
              <w:pStyle w:val="TableBodyText"/>
            </w:pPr>
            <w:r>
              <w:t>Subscript</w:t>
            </w:r>
          </w:p>
        </w:tc>
        <w:tc>
          <w:tcPr>
            <w:tcW w:w="0" w:type="auto"/>
            <w:vAlign w:val="center"/>
          </w:tcPr>
          <w:p w:rsidR="005F78FC" w:rsidRDefault="00B42EF3">
            <w:pPr>
              <w:pStyle w:val="TableBodyText"/>
            </w:pPr>
            <w:r>
              <w:t>0037</w:t>
            </w:r>
          </w:p>
        </w:tc>
      </w:tr>
      <w:tr w:rsidR="005F78FC" w:rsidTr="005F78FC">
        <w:tc>
          <w:tcPr>
            <w:tcW w:w="0" w:type="auto"/>
            <w:vAlign w:val="center"/>
          </w:tcPr>
          <w:p w:rsidR="005F78FC" w:rsidRDefault="00B42EF3">
            <w:pPr>
              <w:pStyle w:val="TableBodyText"/>
            </w:pPr>
            <w:r>
              <w:t>Superscript</w:t>
            </w:r>
          </w:p>
        </w:tc>
        <w:tc>
          <w:tcPr>
            <w:tcW w:w="0" w:type="auto"/>
            <w:vAlign w:val="center"/>
          </w:tcPr>
          <w:p w:rsidR="005F78FC" w:rsidRDefault="00B42EF3">
            <w:pPr>
              <w:pStyle w:val="TableBodyText"/>
            </w:pPr>
            <w:r>
              <w:t>0036</w:t>
            </w:r>
          </w:p>
        </w:tc>
      </w:tr>
      <w:tr w:rsidR="005F78FC" w:rsidTr="005F78FC">
        <w:tc>
          <w:tcPr>
            <w:tcW w:w="0" w:type="auto"/>
            <w:vAlign w:val="center"/>
          </w:tcPr>
          <w:p w:rsidR="005F78FC" w:rsidRDefault="00B42EF3">
            <w:pPr>
              <w:pStyle w:val="TableBodyText"/>
            </w:pPr>
            <w:r>
              <w:t>SurfaceMatGallery</w:t>
            </w:r>
          </w:p>
        </w:tc>
        <w:tc>
          <w:tcPr>
            <w:tcW w:w="0" w:type="auto"/>
            <w:vAlign w:val="center"/>
          </w:tcPr>
          <w:p w:rsidR="005F78FC" w:rsidRDefault="00B42EF3">
            <w:pPr>
              <w:pStyle w:val="TableBodyText"/>
            </w:pPr>
            <w:r>
              <w:t>08CC</w:t>
            </w:r>
          </w:p>
        </w:tc>
      </w:tr>
      <w:tr w:rsidR="005F78FC" w:rsidTr="005F78FC">
        <w:tc>
          <w:tcPr>
            <w:tcW w:w="0" w:type="auto"/>
            <w:vAlign w:val="center"/>
          </w:tcPr>
          <w:p w:rsidR="005F78FC" w:rsidRDefault="00B42EF3">
            <w:pPr>
              <w:pStyle w:val="TableBodyText"/>
            </w:pPr>
            <w:r>
              <w:t>SwitchNavigationWindow</w:t>
            </w:r>
          </w:p>
        </w:tc>
        <w:tc>
          <w:tcPr>
            <w:tcW w:w="0" w:type="auto"/>
            <w:vAlign w:val="center"/>
          </w:tcPr>
          <w:p w:rsidR="005F78FC" w:rsidRDefault="00B42EF3">
            <w:pPr>
              <w:pStyle w:val="TableBodyText"/>
            </w:pPr>
            <w:r>
              <w:t>0793</w:t>
            </w:r>
          </w:p>
        </w:tc>
      </w:tr>
      <w:tr w:rsidR="005F78FC" w:rsidTr="005F78FC">
        <w:tc>
          <w:tcPr>
            <w:tcW w:w="0" w:type="auto"/>
            <w:vAlign w:val="center"/>
          </w:tcPr>
          <w:p w:rsidR="005F78FC" w:rsidRDefault="00B42EF3">
            <w:pPr>
              <w:pStyle w:val="TableBodyText"/>
            </w:pPr>
            <w:r>
              <w:t>Symbol</w:t>
            </w:r>
          </w:p>
        </w:tc>
        <w:tc>
          <w:tcPr>
            <w:tcW w:w="0" w:type="auto"/>
            <w:vAlign w:val="center"/>
          </w:tcPr>
          <w:p w:rsidR="005F78FC" w:rsidRDefault="00B42EF3">
            <w:pPr>
              <w:pStyle w:val="TableBodyText"/>
            </w:pPr>
            <w:r>
              <w:t>022B</w:t>
            </w:r>
          </w:p>
        </w:tc>
      </w:tr>
      <w:tr w:rsidR="005F78FC" w:rsidTr="005F78FC">
        <w:tc>
          <w:tcPr>
            <w:tcW w:w="0" w:type="auto"/>
            <w:vAlign w:val="center"/>
          </w:tcPr>
          <w:p w:rsidR="005F78FC" w:rsidRDefault="00B42EF3">
            <w:pPr>
              <w:pStyle w:val="TableBodyText"/>
            </w:pPr>
            <w:r>
              <w:t>SymbolFont</w:t>
            </w:r>
          </w:p>
        </w:tc>
        <w:tc>
          <w:tcPr>
            <w:tcW w:w="0" w:type="auto"/>
            <w:vAlign w:val="center"/>
          </w:tcPr>
          <w:p w:rsidR="005F78FC" w:rsidRDefault="00B42EF3">
            <w:pPr>
              <w:pStyle w:val="TableBodyText"/>
            </w:pPr>
            <w:r>
              <w:t>028B</w:t>
            </w:r>
          </w:p>
        </w:tc>
      </w:tr>
      <w:tr w:rsidR="005F78FC" w:rsidTr="005F78FC">
        <w:tc>
          <w:tcPr>
            <w:tcW w:w="0" w:type="auto"/>
            <w:vAlign w:val="center"/>
          </w:tcPr>
          <w:p w:rsidR="005F78FC" w:rsidRDefault="00B42EF3">
            <w:pPr>
              <w:pStyle w:val="TableBodyText"/>
            </w:pPr>
            <w:r>
              <w:t>SymbolMRUGallery</w:t>
            </w:r>
          </w:p>
        </w:tc>
        <w:tc>
          <w:tcPr>
            <w:tcW w:w="0" w:type="auto"/>
            <w:vAlign w:val="center"/>
          </w:tcPr>
          <w:p w:rsidR="005F78FC" w:rsidRDefault="00B42EF3">
            <w:pPr>
              <w:pStyle w:val="TableBodyText"/>
            </w:pPr>
            <w:r>
              <w:t>07A6</w:t>
            </w:r>
          </w:p>
        </w:tc>
      </w:tr>
      <w:tr w:rsidR="005F78FC" w:rsidTr="005F78FC">
        <w:tc>
          <w:tcPr>
            <w:tcW w:w="0" w:type="auto"/>
            <w:vAlign w:val="center"/>
          </w:tcPr>
          <w:p w:rsidR="005F78FC" w:rsidRDefault="00B42EF3">
            <w:pPr>
              <w:pStyle w:val="TableBodyText"/>
            </w:pPr>
            <w:r>
              <w:t>SyncScrollSideBySide</w:t>
            </w:r>
          </w:p>
        </w:tc>
        <w:tc>
          <w:tcPr>
            <w:tcW w:w="0" w:type="auto"/>
            <w:vAlign w:val="center"/>
          </w:tcPr>
          <w:p w:rsidR="005F78FC" w:rsidRDefault="00B42EF3">
            <w:pPr>
              <w:pStyle w:val="TableBodyText"/>
            </w:pPr>
            <w:r>
              <w:t>058F</w:t>
            </w:r>
          </w:p>
        </w:tc>
      </w:tr>
      <w:tr w:rsidR="005F78FC" w:rsidTr="005F78FC">
        <w:tc>
          <w:tcPr>
            <w:tcW w:w="0" w:type="auto"/>
            <w:vAlign w:val="center"/>
          </w:tcPr>
          <w:p w:rsidR="005F78FC" w:rsidRDefault="00B42EF3">
            <w:pPr>
              <w:pStyle w:val="TableBodyText"/>
            </w:pPr>
            <w:r>
              <w:t>TOAGroup</w:t>
            </w:r>
          </w:p>
        </w:tc>
        <w:tc>
          <w:tcPr>
            <w:tcW w:w="0" w:type="auto"/>
            <w:vAlign w:val="center"/>
          </w:tcPr>
          <w:p w:rsidR="005F78FC" w:rsidRDefault="00B42EF3">
            <w:pPr>
              <w:pStyle w:val="TableBodyText"/>
            </w:pPr>
            <w:r>
              <w:t>08A6</w:t>
            </w:r>
          </w:p>
        </w:tc>
      </w:tr>
      <w:tr w:rsidR="005F78FC" w:rsidTr="005F78FC">
        <w:tc>
          <w:tcPr>
            <w:tcW w:w="0" w:type="auto"/>
            <w:vAlign w:val="center"/>
          </w:tcPr>
          <w:p w:rsidR="005F78FC" w:rsidRDefault="00B42EF3">
            <w:pPr>
              <w:pStyle w:val="TableBodyText"/>
            </w:pPr>
            <w:r>
              <w:t>TableAutoFormat</w:t>
            </w:r>
          </w:p>
        </w:tc>
        <w:tc>
          <w:tcPr>
            <w:tcW w:w="0" w:type="auto"/>
            <w:vAlign w:val="center"/>
          </w:tcPr>
          <w:p w:rsidR="005F78FC" w:rsidRDefault="00B42EF3">
            <w:pPr>
              <w:pStyle w:val="TableBodyText"/>
            </w:pPr>
            <w:r>
              <w:t>0233</w:t>
            </w:r>
          </w:p>
        </w:tc>
      </w:tr>
      <w:tr w:rsidR="005F78FC" w:rsidTr="005F78FC">
        <w:tc>
          <w:tcPr>
            <w:tcW w:w="0" w:type="auto"/>
            <w:vAlign w:val="center"/>
          </w:tcPr>
          <w:p w:rsidR="005F78FC" w:rsidRDefault="00B42EF3">
            <w:pPr>
              <w:pStyle w:val="TableBodyText"/>
            </w:pPr>
            <w:r>
              <w:t>TableAutoFormatStyle</w:t>
            </w:r>
          </w:p>
        </w:tc>
        <w:tc>
          <w:tcPr>
            <w:tcW w:w="0" w:type="auto"/>
            <w:vAlign w:val="center"/>
          </w:tcPr>
          <w:p w:rsidR="005F78FC" w:rsidRDefault="00B42EF3">
            <w:pPr>
              <w:pStyle w:val="TableBodyText"/>
            </w:pPr>
            <w:r>
              <w:t>055F</w:t>
            </w:r>
          </w:p>
        </w:tc>
      </w:tr>
      <w:tr w:rsidR="005F78FC" w:rsidTr="005F78FC">
        <w:tc>
          <w:tcPr>
            <w:tcW w:w="0" w:type="auto"/>
            <w:vAlign w:val="center"/>
          </w:tcPr>
          <w:p w:rsidR="005F78FC" w:rsidRDefault="00B42EF3">
            <w:pPr>
              <w:pStyle w:val="TableBodyText"/>
            </w:pPr>
            <w:r>
              <w:t>TableAutoSum</w:t>
            </w:r>
          </w:p>
        </w:tc>
        <w:tc>
          <w:tcPr>
            <w:tcW w:w="0" w:type="auto"/>
            <w:vAlign w:val="center"/>
          </w:tcPr>
          <w:p w:rsidR="005F78FC" w:rsidRDefault="00B42EF3">
            <w:pPr>
              <w:pStyle w:val="TableBodyText"/>
            </w:pPr>
            <w:r>
              <w:t>0281</w:t>
            </w:r>
          </w:p>
        </w:tc>
      </w:tr>
      <w:tr w:rsidR="005F78FC" w:rsidTr="005F78FC">
        <w:tc>
          <w:tcPr>
            <w:tcW w:w="0" w:type="auto"/>
            <w:vAlign w:val="center"/>
          </w:tcPr>
          <w:p w:rsidR="005F78FC" w:rsidRDefault="00B42EF3">
            <w:pPr>
              <w:pStyle w:val="TableBodyText"/>
            </w:pPr>
            <w:r>
              <w:t>TableColumnWidth</w:t>
            </w:r>
          </w:p>
        </w:tc>
        <w:tc>
          <w:tcPr>
            <w:tcW w:w="0" w:type="auto"/>
            <w:vAlign w:val="center"/>
          </w:tcPr>
          <w:p w:rsidR="005F78FC" w:rsidRDefault="00B42EF3">
            <w:pPr>
              <w:pStyle w:val="TableBodyText"/>
            </w:pPr>
            <w:r>
              <w:t>008F</w:t>
            </w:r>
          </w:p>
        </w:tc>
      </w:tr>
      <w:tr w:rsidR="005F78FC" w:rsidTr="005F78FC">
        <w:tc>
          <w:tcPr>
            <w:tcW w:w="0" w:type="auto"/>
            <w:vAlign w:val="center"/>
          </w:tcPr>
          <w:p w:rsidR="005F78FC" w:rsidRDefault="00B42EF3">
            <w:pPr>
              <w:pStyle w:val="TableBodyText"/>
            </w:pPr>
            <w:r>
              <w:t>TableColumnWidthSpinner</w:t>
            </w:r>
          </w:p>
        </w:tc>
        <w:tc>
          <w:tcPr>
            <w:tcW w:w="0" w:type="auto"/>
            <w:vAlign w:val="center"/>
          </w:tcPr>
          <w:p w:rsidR="005F78FC" w:rsidRDefault="00B42EF3">
            <w:pPr>
              <w:pStyle w:val="TableBodyText"/>
            </w:pPr>
            <w:r>
              <w:t>091F</w:t>
            </w:r>
          </w:p>
        </w:tc>
      </w:tr>
      <w:tr w:rsidR="005F78FC" w:rsidTr="005F78FC">
        <w:tc>
          <w:tcPr>
            <w:tcW w:w="0" w:type="auto"/>
            <w:vAlign w:val="center"/>
          </w:tcPr>
          <w:p w:rsidR="005F78FC" w:rsidRDefault="00B42EF3">
            <w:pPr>
              <w:pStyle w:val="TableBodyText"/>
            </w:pPr>
            <w:r>
              <w:t>TableDeleteCells</w:t>
            </w:r>
          </w:p>
        </w:tc>
        <w:tc>
          <w:tcPr>
            <w:tcW w:w="0" w:type="auto"/>
            <w:vAlign w:val="center"/>
          </w:tcPr>
          <w:p w:rsidR="005F78FC" w:rsidRDefault="00B42EF3">
            <w:pPr>
              <w:pStyle w:val="TableBodyText"/>
            </w:pPr>
            <w:r>
              <w:t>0085</w:t>
            </w:r>
          </w:p>
        </w:tc>
      </w:tr>
      <w:tr w:rsidR="005F78FC" w:rsidTr="005F78FC">
        <w:tc>
          <w:tcPr>
            <w:tcW w:w="0" w:type="auto"/>
            <w:vAlign w:val="center"/>
          </w:tcPr>
          <w:p w:rsidR="005F78FC" w:rsidRDefault="00B42EF3">
            <w:pPr>
              <w:pStyle w:val="TableBodyText"/>
            </w:pPr>
            <w:r>
              <w:t>TableDeleteColumn</w:t>
            </w:r>
          </w:p>
        </w:tc>
        <w:tc>
          <w:tcPr>
            <w:tcW w:w="0" w:type="auto"/>
            <w:vAlign w:val="center"/>
          </w:tcPr>
          <w:p w:rsidR="005F78FC" w:rsidRDefault="00B42EF3">
            <w:pPr>
              <w:pStyle w:val="TableBodyText"/>
            </w:pPr>
            <w:r>
              <w:t>0087</w:t>
            </w:r>
          </w:p>
        </w:tc>
      </w:tr>
      <w:tr w:rsidR="005F78FC" w:rsidTr="005F78FC">
        <w:tc>
          <w:tcPr>
            <w:tcW w:w="0" w:type="auto"/>
            <w:vAlign w:val="center"/>
          </w:tcPr>
          <w:p w:rsidR="005F78FC" w:rsidRDefault="00B42EF3">
            <w:pPr>
              <w:pStyle w:val="TableBodyText"/>
            </w:pPr>
            <w:r>
              <w:t>TableDeleteGeneral</w:t>
            </w:r>
          </w:p>
        </w:tc>
        <w:tc>
          <w:tcPr>
            <w:tcW w:w="0" w:type="auto"/>
            <w:vAlign w:val="center"/>
          </w:tcPr>
          <w:p w:rsidR="005F78FC" w:rsidRDefault="00B42EF3">
            <w:pPr>
              <w:pStyle w:val="TableBodyText"/>
            </w:pPr>
            <w:r>
              <w:t>0145</w:t>
            </w:r>
          </w:p>
        </w:tc>
      </w:tr>
      <w:tr w:rsidR="005F78FC" w:rsidTr="005F78FC">
        <w:tc>
          <w:tcPr>
            <w:tcW w:w="0" w:type="auto"/>
            <w:vAlign w:val="center"/>
          </w:tcPr>
          <w:p w:rsidR="005F78FC" w:rsidRDefault="00B42EF3">
            <w:pPr>
              <w:pStyle w:val="TableBodyText"/>
            </w:pPr>
            <w:r>
              <w:t>TableDeleteRow</w:t>
            </w:r>
          </w:p>
        </w:tc>
        <w:tc>
          <w:tcPr>
            <w:tcW w:w="0" w:type="auto"/>
            <w:vAlign w:val="center"/>
          </w:tcPr>
          <w:p w:rsidR="005F78FC" w:rsidRDefault="00B42EF3">
            <w:pPr>
              <w:pStyle w:val="TableBodyText"/>
            </w:pPr>
            <w:r>
              <w:t>0086</w:t>
            </w:r>
          </w:p>
        </w:tc>
      </w:tr>
      <w:tr w:rsidR="005F78FC" w:rsidTr="005F78FC">
        <w:tc>
          <w:tcPr>
            <w:tcW w:w="0" w:type="auto"/>
            <w:vAlign w:val="center"/>
          </w:tcPr>
          <w:p w:rsidR="005F78FC" w:rsidRDefault="00B42EF3">
            <w:pPr>
              <w:pStyle w:val="TableBodyText"/>
            </w:pPr>
            <w:r>
              <w:t>TableDeleteTable</w:t>
            </w:r>
          </w:p>
        </w:tc>
        <w:tc>
          <w:tcPr>
            <w:tcW w:w="0" w:type="auto"/>
            <w:vAlign w:val="center"/>
          </w:tcPr>
          <w:p w:rsidR="005F78FC" w:rsidRDefault="00B42EF3">
            <w:pPr>
              <w:pStyle w:val="TableBodyText"/>
            </w:pPr>
            <w:r>
              <w:t>0436</w:t>
            </w:r>
          </w:p>
        </w:tc>
      </w:tr>
      <w:tr w:rsidR="005F78FC" w:rsidTr="005F78FC">
        <w:tc>
          <w:tcPr>
            <w:tcW w:w="0" w:type="auto"/>
            <w:vAlign w:val="center"/>
          </w:tcPr>
          <w:p w:rsidR="005F78FC" w:rsidRDefault="00B42EF3">
            <w:pPr>
              <w:pStyle w:val="TableBodyText"/>
            </w:pPr>
            <w:r>
              <w:t>TableFormatCell</w:t>
            </w:r>
          </w:p>
        </w:tc>
        <w:tc>
          <w:tcPr>
            <w:tcW w:w="0" w:type="auto"/>
            <w:vAlign w:val="center"/>
          </w:tcPr>
          <w:p w:rsidR="005F78FC" w:rsidRDefault="00B42EF3">
            <w:pPr>
              <w:pStyle w:val="TableBodyText"/>
            </w:pPr>
            <w:r>
              <w:t>0264</w:t>
            </w:r>
          </w:p>
        </w:tc>
      </w:tr>
      <w:tr w:rsidR="005F78FC" w:rsidTr="005F78FC">
        <w:tc>
          <w:tcPr>
            <w:tcW w:w="0" w:type="auto"/>
            <w:vAlign w:val="center"/>
          </w:tcPr>
          <w:p w:rsidR="005F78FC" w:rsidRDefault="00B42EF3">
            <w:pPr>
              <w:pStyle w:val="TableBodyText"/>
            </w:pPr>
            <w:r>
              <w:t>TableFormula</w:t>
            </w:r>
          </w:p>
        </w:tc>
        <w:tc>
          <w:tcPr>
            <w:tcW w:w="0" w:type="auto"/>
            <w:vAlign w:val="center"/>
          </w:tcPr>
          <w:p w:rsidR="005F78FC" w:rsidRDefault="00B42EF3">
            <w:pPr>
              <w:pStyle w:val="TableBodyText"/>
            </w:pPr>
            <w:r>
              <w:t>015C</w:t>
            </w:r>
          </w:p>
        </w:tc>
      </w:tr>
      <w:tr w:rsidR="005F78FC" w:rsidTr="005F78FC">
        <w:tc>
          <w:tcPr>
            <w:tcW w:w="0" w:type="auto"/>
            <w:vAlign w:val="center"/>
          </w:tcPr>
          <w:p w:rsidR="005F78FC" w:rsidRDefault="00B42EF3">
            <w:pPr>
              <w:pStyle w:val="TableBodyText"/>
            </w:pPr>
            <w:r>
              <w:lastRenderedPageBreak/>
              <w:t>TableGridlines</w:t>
            </w:r>
          </w:p>
        </w:tc>
        <w:tc>
          <w:tcPr>
            <w:tcW w:w="0" w:type="auto"/>
            <w:vAlign w:val="center"/>
          </w:tcPr>
          <w:p w:rsidR="005F78FC" w:rsidRDefault="00B42EF3">
            <w:pPr>
              <w:pStyle w:val="TableBodyText"/>
            </w:pPr>
            <w:r>
              <w:t>0090</w:t>
            </w:r>
          </w:p>
        </w:tc>
      </w:tr>
      <w:tr w:rsidR="005F78FC" w:rsidTr="005F78FC">
        <w:tc>
          <w:tcPr>
            <w:tcW w:w="0" w:type="auto"/>
            <w:vAlign w:val="center"/>
          </w:tcPr>
          <w:p w:rsidR="005F78FC" w:rsidRDefault="00B42EF3">
            <w:pPr>
              <w:pStyle w:val="TableBodyText"/>
            </w:pPr>
            <w:r>
              <w:t>TableHeadings</w:t>
            </w:r>
          </w:p>
        </w:tc>
        <w:tc>
          <w:tcPr>
            <w:tcW w:w="0" w:type="auto"/>
            <w:vAlign w:val="center"/>
          </w:tcPr>
          <w:p w:rsidR="005F78FC" w:rsidRDefault="00B42EF3">
            <w:pPr>
              <w:pStyle w:val="TableBodyText"/>
            </w:pPr>
            <w:r>
              <w:t>0256</w:t>
            </w:r>
          </w:p>
        </w:tc>
      </w:tr>
      <w:tr w:rsidR="005F78FC" w:rsidTr="005F78FC">
        <w:tc>
          <w:tcPr>
            <w:tcW w:w="0" w:type="auto"/>
            <w:vAlign w:val="center"/>
          </w:tcPr>
          <w:p w:rsidR="005F78FC" w:rsidRDefault="00B42EF3">
            <w:pPr>
              <w:pStyle w:val="TableBodyText"/>
            </w:pPr>
            <w:r>
              <w:t>TableInsertCells</w:t>
            </w:r>
          </w:p>
        </w:tc>
        <w:tc>
          <w:tcPr>
            <w:tcW w:w="0" w:type="auto"/>
            <w:vAlign w:val="center"/>
          </w:tcPr>
          <w:p w:rsidR="005F78FC" w:rsidRDefault="00B42EF3">
            <w:pPr>
              <w:pStyle w:val="TableBodyText"/>
            </w:pPr>
            <w:r>
              <w:t>0082</w:t>
            </w:r>
          </w:p>
        </w:tc>
      </w:tr>
      <w:tr w:rsidR="005F78FC" w:rsidTr="005F78FC">
        <w:tc>
          <w:tcPr>
            <w:tcW w:w="0" w:type="auto"/>
            <w:vAlign w:val="center"/>
          </w:tcPr>
          <w:p w:rsidR="005F78FC" w:rsidRDefault="00B42EF3">
            <w:pPr>
              <w:pStyle w:val="TableBodyText"/>
            </w:pPr>
            <w:r>
              <w:t>TableInsertCells2</w:t>
            </w:r>
          </w:p>
        </w:tc>
        <w:tc>
          <w:tcPr>
            <w:tcW w:w="0" w:type="auto"/>
            <w:vAlign w:val="center"/>
          </w:tcPr>
          <w:p w:rsidR="005F78FC" w:rsidRDefault="00B42EF3">
            <w:pPr>
              <w:pStyle w:val="TableBodyText"/>
            </w:pPr>
            <w:r>
              <w:t>0977</w:t>
            </w:r>
          </w:p>
        </w:tc>
      </w:tr>
      <w:tr w:rsidR="005F78FC" w:rsidTr="005F78FC">
        <w:tc>
          <w:tcPr>
            <w:tcW w:w="0" w:type="auto"/>
            <w:vAlign w:val="center"/>
          </w:tcPr>
          <w:p w:rsidR="005F78FC" w:rsidRDefault="00B42EF3">
            <w:pPr>
              <w:pStyle w:val="TableBodyText"/>
            </w:pPr>
            <w:r>
              <w:t>TableInsertColumn</w:t>
            </w:r>
          </w:p>
        </w:tc>
        <w:tc>
          <w:tcPr>
            <w:tcW w:w="0" w:type="auto"/>
            <w:vAlign w:val="center"/>
          </w:tcPr>
          <w:p w:rsidR="005F78FC" w:rsidRDefault="00B42EF3">
            <w:pPr>
              <w:pStyle w:val="TableBodyText"/>
            </w:pPr>
            <w:r>
              <w:t>0084</w:t>
            </w:r>
          </w:p>
        </w:tc>
      </w:tr>
      <w:tr w:rsidR="005F78FC" w:rsidTr="005F78FC">
        <w:tc>
          <w:tcPr>
            <w:tcW w:w="0" w:type="auto"/>
            <w:vAlign w:val="center"/>
          </w:tcPr>
          <w:p w:rsidR="005F78FC" w:rsidRDefault="00B42EF3">
            <w:pPr>
              <w:pStyle w:val="TableBodyText"/>
            </w:pPr>
            <w:r>
              <w:t>TableInsertColumnRight</w:t>
            </w:r>
          </w:p>
        </w:tc>
        <w:tc>
          <w:tcPr>
            <w:tcW w:w="0" w:type="auto"/>
            <w:vAlign w:val="center"/>
          </w:tcPr>
          <w:p w:rsidR="005F78FC" w:rsidRDefault="00B42EF3">
            <w:pPr>
              <w:pStyle w:val="TableBodyText"/>
            </w:pPr>
            <w:r>
              <w:t>0435</w:t>
            </w:r>
          </w:p>
        </w:tc>
      </w:tr>
      <w:tr w:rsidR="005F78FC" w:rsidTr="005F78FC">
        <w:tc>
          <w:tcPr>
            <w:tcW w:w="0" w:type="auto"/>
            <w:vAlign w:val="center"/>
          </w:tcPr>
          <w:p w:rsidR="005F78FC" w:rsidRDefault="00B42EF3">
            <w:pPr>
              <w:pStyle w:val="TableBodyText"/>
            </w:pPr>
            <w:r>
              <w:t>TableInsertGeneral</w:t>
            </w:r>
          </w:p>
        </w:tc>
        <w:tc>
          <w:tcPr>
            <w:tcW w:w="0" w:type="auto"/>
            <w:vAlign w:val="center"/>
          </w:tcPr>
          <w:p w:rsidR="005F78FC" w:rsidRDefault="00B42EF3">
            <w:pPr>
              <w:pStyle w:val="TableBodyText"/>
            </w:pPr>
            <w:r>
              <w:t>0144</w:t>
            </w:r>
          </w:p>
        </w:tc>
      </w:tr>
      <w:tr w:rsidR="005F78FC" w:rsidTr="005F78FC">
        <w:tc>
          <w:tcPr>
            <w:tcW w:w="0" w:type="auto"/>
            <w:vAlign w:val="center"/>
          </w:tcPr>
          <w:p w:rsidR="005F78FC" w:rsidRDefault="00B42EF3">
            <w:pPr>
              <w:pStyle w:val="TableBodyText"/>
            </w:pPr>
            <w:r>
              <w:t>TableInsertRow</w:t>
            </w:r>
          </w:p>
        </w:tc>
        <w:tc>
          <w:tcPr>
            <w:tcW w:w="0" w:type="auto"/>
            <w:vAlign w:val="center"/>
          </w:tcPr>
          <w:p w:rsidR="005F78FC" w:rsidRDefault="00B42EF3">
            <w:pPr>
              <w:pStyle w:val="TableBodyText"/>
            </w:pPr>
            <w:r>
              <w:t>0083</w:t>
            </w:r>
          </w:p>
        </w:tc>
      </w:tr>
      <w:tr w:rsidR="005F78FC" w:rsidTr="005F78FC">
        <w:tc>
          <w:tcPr>
            <w:tcW w:w="0" w:type="auto"/>
            <w:vAlign w:val="center"/>
          </w:tcPr>
          <w:p w:rsidR="005F78FC" w:rsidRDefault="00B42EF3">
            <w:pPr>
              <w:pStyle w:val="TableBodyText"/>
            </w:pPr>
            <w:r>
              <w:t>TableInsertRowAbove</w:t>
            </w:r>
          </w:p>
        </w:tc>
        <w:tc>
          <w:tcPr>
            <w:tcW w:w="0" w:type="auto"/>
            <w:vAlign w:val="center"/>
          </w:tcPr>
          <w:p w:rsidR="005F78FC" w:rsidRDefault="00B42EF3">
            <w:pPr>
              <w:pStyle w:val="TableBodyText"/>
            </w:pPr>
            <w:r>
              <w:t>0448</w:t>
            </w:r>
          </w:p>
        </w:tc>
      </w:tr>
      <w:tr w:rsidR="005F78FC" w:rsidTr="005F78FC">
        <w:tc>
          <w:tcPr>
            <w:tcW w:w="0" w:type="auto"/>
            <w:vAlign w:val="center"/>
          </w:tcPr>
          <w:p w:rsidR="005F78FC" w:rsidRDefault="00B42EF3">
            <w:pPr>
              <w:pStyle w:val="TableBodyText"/>
            </w:pPr>
            <w:r>
              <w:t>TableInsertRowBelow</w:t>
            </w:r>
          </w:p>
        </w:tc>
        <w:tc>
          <w:tcPr>
            <w:tcW w:w="0" w:type="auto"/>
            <w:vAlign w:val="center"/>
          </w:tcPr>
          <w:p w:rsidR="005F78FC" w:rsidRDefault="00B42EF3">
            <w:pPr>
              <w:pStyle w:val="TableBodyText"/>
            </w:pPr>
            <w:r>
              <w:t>0434</w:t>
            </w:r>
          </w:p>
        </w:tc>
      </w:tr>
      <w:tr w:rsidR="005F78FC" w:rsidTr="005F78FC">
        <w:tc>
          <w:tcPr>
            <w:tcW w:w="0" w:type="auto"/>
            <w:vAlign w:val="center"/>
          </w:tcPr>
          <w:p w:rsidR="005F78FC" w:rsidRDefault="00B42EF3">
            <w:pPr>
              <w:pStyle w:val="TableBodyText"/>
            </w:pPr>
            <w:r>
              <w:t>TableInsertTable</w:t>
            </w:r>
          </w:p>
        </w:tc>
        <w:tc>
          <w:tcPr>
            <w:tcW w:w="0" w:type="auto"/>
            <w:vAlign w:val="center"/>
          </w:tcPr>
          <w:p w:rsidR="005F78FC" w:rsidRDefault="00B42EF3">
            <w:pPr>
              <w:pStyle w:val="TableBodyText"/>
            </w:pPr>
            <w:r>
              <w:t>0081</w:t>
            </w:r>
          </w:p>
        </w:tc>
      </w:tr>
      <w:tr w:rsidR="005F78FC" w:rsidTr="005F78FC">
        <w:tc>
          <w:tcPr>
            <w:tcW w:w="0" w:type="auto"/>
            <w:vAlign w:val="center"/>
          </w:tcPr>
          <w:p w:rsidR="005F78FC" w:rsidRDefault="00B42EF3">
            <w:pPr>
              <w:pStyle w:val="TableBodyText"/>
            </w:pPr>
            <w:r>
              <w:t>TableInsertTableEG</w:t>
            </w:r>
          </w:p>
        </w:tc>
        <w:tc>
          <w:tcPr>
            <w:tcW w:w="0" w:type="auto"/>
            <w:vAlign w:val="center"/>
          </w:tcPr>
          <w:p w:rsidR="005F78FC" w:rsidRDefault="00B42EF3">
            <w:pPr>
              <w:pStyle w:val="TableBodyText"/>
            </w:pPr>
            <w:r>
              <w:t>0437</w:t>
            </w:r>
          </w:p>
        </w:tc>
      </w:tr>
      <w:tr w:rsidR="005F78FC" w:rsidTr="005F78FC">
        <w:tc>
          <w:tcPr>
            <w:tcW w:w="0" w:type="auto"/>
            <w:vAlign w:val="center"/>
          </w:tcPr>
          <w:p w:rsidR="005F78FC" w:rsidRDefault="00B42EF3">
            <w:pPr>
              <w:pStyle w:val="TableBodyText"/>
            </w:pPr>
            <w:r>
              <w:t>TableMergeCells</w:t>
            </w:r>
          </w:p>
        </w:tc>
        <w:tc>
          <w:tcPr>
            <w:tcW w:w="0" w:type="auto"/>
            <w:vAlign w:val="center"/>
          </w:tcPr>
          <w:p w:rsidR="005F78FC" w:rsidRDefault="00B42EF3">
            <w:pPr>
              <w:pStyle w:val="TableBodyText"/>
            </w:pPr>
            <w:r>
              <w:t>0088</w:t>
            </w:r>
          </w:p>
        </w:tc>
      </w:tr>
      <w:tr w:rsidR="005F78FC" w:rsidTr="005F78FC">
        <w:tc>
          <w:tcPr>
            <w:tcW w:w="0" w:type="auto"/>
            <w:vAlign w:val="center"/>
          </w:tcPr>
          <w:p w:rsidR="005F78FC" w:rsidRDefault="00B42EF3">
            <w:pPr>
              <w:pStyle w:val="TableBodyText"/>
            </w:pPr>
            <w:r>
              <w:t>TableOfContentsGallery</w:t>
            </w:r>
          </w:p>
        </w:tc>
        <w:tc>
          <w:tcPr>
            <w:tcW w:w="0" w:type="auto"/>
            <w:vAlign w:val="center"/>
          </w:tcPr>
          <w:p w:rsidR="005F78FC" w:rsidRDefault="00B42EF3">
            <w:pPr>
              <w:pStyle w:val="TableBodyText"/>
            </w:pPr>
            <w:r>
              <w:t>0911</w:t>
            </w:r>
          </w:p>
        </w:tc>
      </w:tr>
      <w:tr w:rsidR="005F78FC" w:rsidTr="005F78FC">
        <w:tc>
          <w:tcPr>
            <w:tcW w:w="0" w:type="auto"/>
            <w:vAlign w:val="center"/>
          </w:tcPr>
          <w:p w:rsidR="005F78FC" w:rsidRDefault="00B42EF3">
            <w:pPr>
              <w:pStyle w:val="TableBodyText"/>
            </w:pPr>
            <w:r>
              <w:t>TableOptions</w:t>
            </w:r>
          </w:p>
        </w:tc>
        <w:tc>
          <w:tcPr>
            <w:tcW w:w="0" w:type="auto"/>
            <w:vAlign w:val="center"/>
          </w:tcPr>
          <w:p w:rsidR="005F78FC" w:rsidRDefault="00B42EF3">
            <w:pPr>
              <w:pStyle w:val="TableBodyText"/>
            </w:pPr>
            <w:r>
              <w:t>0438</w:t>
            </w:r>
          </w:p>
        </w:tc>
      </w:tr>
      <w:tr w:rsidR="005F78FC" w:rsidTr="005F78FC">
        <w:tc>
          <w:tcPr>
            <w:tcW w:w="0" w:type="auto"/>
            <w:vAlign w:val="center"/>
          </w:tcPr>
          <w:p w:rsidR="005F78FC" w:rsidRDefault="00B42EF3">
            <w:pPr>
              <w:pStyle w:val="TableBodyText"/>
            </w:pPr>
            <w:r>
              <w:t>TableProperties</w:t>
            </w:r>
          </w:p>
        </w:tc>
        <w:tc>
          <w:tcPr>
            <w:tcW w:w="0" w:type="auto"/>
            <w:vAlign w:val="center"/>
          </w:tcPr>
          <w:p w:rsidR="005F78FC" w:rsidRDefault="00B42EF3">
            <w:pPr>
              <w:pStyle w:val="TableBodyText"/>
            </w:pPr>
            <w:r>
              <w:t>035D</w:t>
            </w:r>
          </w:p>
        </w:tc>
      </w:tr>
      <w:tr w:rsidR="005F78FC" w:rsidTr="005F78FC">
        <w:tc>
          <w:tcPr>
            <w:tcW w:w="0" w:type="auto"/>
            <w:vAlign w:val="center"/>
          </w:tcPr>
          <w:p w:rsidR="005F78FC" w:rsidRDefault="00B42EF3">
            <w:pPr>
              <w:pStyle w:val="TableBodyText"/>
            </w:pPr>
            <w:r>
              <w:t>TableRowHeight</w:t>
            </w:r>
          </w:p>
        </w:tc>
        <w:tc>
          <w:tcPr>
            <w:tcW w:w="0" w:type="auto"/>
            <w:vAlign w:val="center"/>
          </w:tcPr>
          <w:p w:rsidR="005F78FC" w:rsidRDefault="00B42EF3">
            <w:pPr>
              <w:pStyle w:val="TableBodyText"/>
            </w:pPr>
            <w:r>
              <w:t>008E</w:t>
            </w:r>
          </w:p>
        </w:tc>
      </w:tr>
      <w:tr w:rsidR="005F78FC" w:rsidTr="005F78FC">
        <w:tc>
          <w:tcPr>
            <w:tcW w:w="0" w:type="auto"/>
            <w:vAlign w:val="center"/>
          </w:tcPr>
          <w:p w:rsidR="005F78FC" w:rsidRDefault="00B42EF3">
            <w:pPr>
              <w:pStyle w:val="TableBodyText"/>
            </w:pPr>
            <w:r>
              <w:t>TableRowHeightSpinner</w:t>
            </w:r>
          </w:p>
        </w:tc>
        <w:tc>
          <w:tcPr>
            <w:tcW w:w="0" w:type="auto"/>
            <w:vAlign w:val="center"/>
          </w:tcPr>
          <w:p w:rsidR="005F78FC" w:rsidRDefault="00B42EF3">
            <w:pPr>
              <w:pStyle w:val="TableBodyText"/>
            </w:pPr>
            <w:r>
              <w:t>0920</w:t>
            </w:r>
          </w:p>
        </w:tc>
      </w:tr>
      <w:tr w:rsidR="005F78FC" w:rsidTr="005F78FC">
        <w:tc>
          <w:tcPr>
            <w:tcW w:w="0" w:type="auto"/>
            <w:vAlign w:val="center"/>
          </w:tcPr>
          <w:p w:rsidR="005F78FC" w:rsidRDefault="00B42EF3">
            <w:pPr>
              <w:pStyle w:val="TableBodyText"/>
            </w:pPr>
            <w:r>
              <w:t>TableSelectCell</w:t>
            </w:r>
          </w:p>
        </w:tc>
        <w:tc>
          <w:tcPr>
            <w:tcW w:w="0" w:type="auto"/>
            <w:vAlign w:val="center"/>
          </w:tcPr>
          <w:p w:rsidR="005F78FC" w:rsidRDefault="00B42EF3">
            <w:pPr>
              <w:pStyle w:val="TableBodyText"/>
            </w:pPr>
            <w:r>
              <w:t>0433</w:t>
            </w:r>
          </w:p>
        </w:tc>
      </w:tr>
      <w:tr w:rsidR="005F78FC" w:rsidTr="005F78FC">
        <w:tc>
          <w:tcPr>
            <w:tcW w:w="0" w:type="auto"/>
            <w:vAlign w:val="center"/>
          </w:tcPr>
          <w:p w:rsidR="005F78FC" w:rsidRDefault="00B42EF3">
            <w:pPr>
              <w:pStyle w:val="TableBodyText"/>
            </w:pPr>
            <w:r>
              <w:t>TableSelectColumn</w:t>
            </w:r>
          </w:p>
        </w:tc>
        <w:tc>
          <w:tcPr>
            <w:tcW w:w="0" w:type="auto"/>
            <w:vAlign w:val="center"/>
          </w:tcPr>
          <w:p w:rsidR="005F78FC" w:rsidRDefault="00B42EF3">
            <w:pPr>
              <w:pStyle w:val="TableBodyText"/>
            </w:pPr>
            <w:r>
              <w:t>008D</w:t>
            </w:r>
          </w:p>
        </w:tc>
      </w:tr>
      <w:tr w:rsidR="005F78FC" w:rsidTr="005F78FC">
        <w:tc>
          <w:tcPr>
            <w:tcW w:w="0" w:type="auto"/>
            <w:vAlign w:val="center"/>
          </w:tcPr>
          <w:p w:rsidR="005F78FC" w:rsidRDefault="00B42EF3">
            <w:pPr>
              <w:pStyle w:val="TableBodyText"/>
            </w:pPr>
            <w:r>
              <w:t>TableSelectRow</w:t>
            </w:r>
          </w:p>
        </w:tc>
        <w:tc>
          <w:tcPr>
            <w:tcW w:w="0" w:type="auto"/>
            <w:vAlign w:val="center"/>
          </w:tcPr>
          <w:p w:rsidR="005F78FC" w:rsidRDefault="00B42EF3">
            <w:pPr>
              <w:pStyle w:val="TableBodyText"/>
            </w:pPr>
            <w:r>
              <w:t>008C</w:t>
            </w:r>
          </w:p>
        </w:tc>
      </w:tr>
      <w:tr w:rsidR="005F78FC" w:rsidTr="005F78FC">
        <w:tc>
          <w:tcPr>
            <w:tcW w:w="0" w:type="auto"/>
            <w:vAlign w:val="center"/>
          </w:tcPr>
          <w:p w:rsidR="005F78FC" w:rsidRDefault="00B42EF3">
            <w:pPr>
              <w:pStyle w:val="TableBodyText"/>
            </w:pPr>
            <w:r>
              <w:t>TableSelectTable</w:t>
            </w:r>
          </w:p>
        </w:tc>
        <w:tc>
          <w:tcPr>
            <w:tcW w:w="0" w:type="auto"/>
            <w:vAlign w:val="center"/>
          </w:tcPr>
          <w:p w:rsidR="005F78FC" w:rsidRDefault="00B42EF3">
            <w:pPr>
              <w:pStyle w:val="TableBodyText"/>
            </w:pPr>
            <w:r>
              <w:t>008B</w:t>
            </w:r>
          </w:p>
        </w:tc>
      </w:tr>
      <w:tr w:rsidR="005F78FC" w:rsidTr="005F78FC">
        <w:tc>
          <w:tcPr>
            <w:tcW w:w="0" w:type="auto"/>
            <w:vAlign w:val="center"/>
          </w:tcPr>
          <w:p w:rsidR="005F78FC" w:rsidRDefault="00B42EF3">
            <w:pPr>
              <w:pStyle w:val="TableBodyText"/>
            </w:pPr>
            <w:r>
              <w:t>TableSort</w:t>
            </w:r>
          </w:p>
        </w:tc>
        <w:tc>
          <w:tcPr>
            <w:tcW w:w="0" w:type="auto"/>
            <w:vAlign w:val="center"/>
          </w:tcPr>
          <w:p w:rsidR="005F78FC" w:rsidRDefault="00B42EF3">
            <w:pPr>
              <w:pStyle w:val="TableBodyText"/>
            </w:pPr>
            <w:r>
              <w:t>00C7</w:t>
            </w:r>
          </w:p>
        </w:tc>
      </w:tr>
      <w:tr w:rsidR="005F78FC" w:rsidTr="005F78FC">
        <w:tc>
          <w:tcPr>
            <w:tcW w:w="0" w:type="auto"/>
            <w:vAlign w:val="center"/>
          </w:tcPr>
          <w:p w:rsidR="005F78FC" w:rsidRDefault="00B42EF3">
            <w:pPr>
              <w:pStyle w:val="TableBodyText"/>
            </w:pPr>
            <w:r>
              <w:t>TableSortAToZ</w:t>
            </w:r>
          </w:p>
        </w:tc>
        <w:tc>
          <w:tcPr>
            <w:tcW w:w="0" w:type="auto"/>
            <w:vAlign w:val="center"/>
          </w:tcPr>
          <w:p w:rsidR="005F78FC" w:rsidRDefault="00B42EF3">
            <w:pPr>
              <w:pStyle w:val="TableBodyText"/>
            </w:pPr>
            <w:r>
              <w:t>0189</w:t>
            </w:r>
          </w:p>
        </w:tc>
      </w:tr>
      <w:tr w:rsidR="005F78FC" w:rsidTr="005F78FC">
        <w:tc>
          <w:tcPr>
            <w:tcW w:w="0" w:type="auto"/>
            <w:vAlign w:val="center"/>
          </w:tcPr>
          <w:p w:rsidR="005F78FC" w:rsidRDefault="00B42EF3">
            <w:pPr>
              <w:pStyle w:val="TableBodyText"/>
            </w:pPr>
            <w:r>
              <w:t>TableSortZToA</w:t>
            </w:r>
          </w:p>
        </w:tc>
        <w:tc>
          <w:tcPr>
            <w:tcW w:w="0" w:type="auto"/>
            <w:vAlign w:val="center"/>
          </w:tcPr>
          <w:p w:rsidR="005F78FC" w:rsidRDefault="00B42EF3">
            <w:pPr>
              <w:pStyle w:val="TableBodyText"/>
            </w:pPr>
            <w:r>
              <w:t>018A</w:t>
            </w:r>
          </w:p>
        </w:tc>
      </w:tr>
      <w:tr w:rsidR="005F78FC" w:rsidTr="005F78FC">
        <w:tc>
          <w:tcPr>
            <w:tcW w:w="0" w:type="auto"/>
            <w:vAlign w:val="center"/>
          </w:tcPr>
          <w:p w:rsidR="005F78FC" w:rsidRDefault="00B42EF3">
            <w:pPr>
              <w:pStyle w:val="TableBodyText"/>
            </w:pPr>
            <w:r>
              <w:t>TableSplit</w:t>
            </w:r>
          </w:p>
        </w:tc>
        <w:tc>
          <w:tcPr>
            <w:tcW w:w="0" w:type="auto"/>
            <w:vAlign w:val="center"/>
          </w:tcPr>
          <w:p w:rsidR="005F78FC" w:rsidRDefault="00B42EF3">
            <w:pPr>
              <w:pStyle w:val="TableBodyText"/>
            </w:pPr>
            <w:r>
              <w:t>008A</w:t>
            </w:r>
          </w:p>
        </w:tc>
      </w:tr>
      <w:tr w:rsidR="005F78FC" w:rsidTr="005F78FC">
        <w:tc>
          <w:tcPr>
            <w:tcW w:w="0" w:type="auto"/>
            <w:vAlign w:val="center"/>
          </w:tcPr>
          <w:p w:rsidR="005F78FC" w:rsidRDefault="00B42EF3">
            <w:pPr>
              <w:pStyle w:val="TableBodyText"/>
            </w:pPr>
            <w:r>
              <w:t>TableSplitCells</w:t>
            </w:r>
          </w:p>
        </w:tc>
        <w:tc>
          <w:tcPr>
            <w:tcW w:w="0" w:type="auto"/>
            <w:vAlign w:val="center"/>
          </w:tcPr>
          <w:p w:rsidR="005F78FC" w:rsidRDefault="00B42EF3">
            <w:pPr>
              <w:pStyle w:val="TableBodyText"/>
            </w:pPr>
            <w:r>
              <w:t>0089</w:t>
            </w:r>
          </w:p>
        </w:tc>
      </w:tr>
      <w:tr w:rsidR="005F78FC" w:rsidTr="005F78FC">
        <w:tc>
          <w:tcPr>
            <w:tcW w:w="0" w:type="auto"/>
            <w:vAlign w:val="center"/>
          </w:tcPr>
          <w:p w:rsidR="005F78FC" w:rsidRDefault="00B42EF3">
            <w:pPr>
              <w:pStyle w:val="TableBodyText"/>
            </w:pPr>
            <w:r>
              <w:t>TableStyleNew</w:t>
            </w:r>
          </w:p>
        </w:tc>
        <w:tc>
          <w:tcPr>
            <w:tcW w:w="0" w:type="auto"/>
            <w:vAlign w:val="center"/>
          </w:tcPr>
          <w:p w:rsidR="005F78FC" w:rsidRDefault="00B42EF3">
            <w:pPr>
              <w:pStyle w:val="TableBodyText"/>
            </w:pPr>
            <w:r>
              <w:t>09A2</w:t>
            </w:r>
          </w:p>
        </w:tc>
      </w:tr>
      <w:tr w:rsidR="005F78FC" w:rsidTr="005F78FC">
        <w:tc>
          <w:tcPr>
            <w:tcW w:w="0" w:type="auto"/>
            <w:vAlign w:val="center"/>
          </w:tcPr>
          <w:p w:rsidR="005F78FC" w:rsidRDefault="00B42EF3">
            <w:pPr>
              <w:pStyle w:val="TableBodyText"/>
            </w:pPr>
            <w:r>
              <w:t>TableToOrFromText</w:t>
            </w:r>
          </w:p>
        </w:tc>
        <w:tc>
          <w:tcPr>
            <w:tcW w:w="0" w:type="auto"/>
            <w:vAlign w:val="center"/>
          </w:tcPr>
          <w:p w:rsidR="005F78FC" w:rsidRDefault="00B42EF3">
            <w:pPr>
              <w:pStyle w:val="TableBodyText"/>
            </w:pPr>
            <w:r>
              <w:t>0147</w:t>
            </w:r>
          </w:p>
        </w:tc>
      </w:tr>
      <w:tr w:rsidR="005F78FC" w:rsidTr="005F78FC">
        <w:tc>
          <w:tcPr>
            <w:tcW w:w="0" w:type="auto"/>
            <w:vAlign w:val="center"/>
          </w:tcPr>
          <w:p w:rsidR="005F78FC" w:rsidRDefault="00B42EF3">
            <w:pPr>
              <w:pStyle w:val="TableBodyText"/>
            </w:pPr>
            <w:r>
              <w:t>TableToText</w:t>
            </w:r>
          </w:p>
        </w:tc>
        <w:tc>
          <w:tcPr>
            <w:tcW w:w="0" w:type="auto"/>
            <w:vAlign w:val="center"/>
          </w:tcPr>
          <w:p w:rsidR="005F78FC" w:rsidRDefault="00B42EF3">
            <w:pPr>
              <w:pStyle w:val="TableBodyText"/>
            </w:pPr>
            <w:r>
              <w:t>0080</w:t>
            </w:r>
          </w:p>
        </w:tc>
      </w:tr>
      <w:tr w:rsidR="005F78FC" w:rsidTr="005F78FC">
        <w:tc>
          <w:tcPr>
            <w:tcW w:w="0" w:type="auto"/>
            <w:vAlign w:val="center"/>
          </w:tcPr>
          <w:p w:rsidR="005F78FC" w:rsidRDefault="00B42EF3">
            <w:pPr>
              <w:pStyle w:val="TableBodyText"/>
            </w:pPr>
            <w:r>
              <w:t>TableUpdateAutoFormat</w:t>
            </w:r>
          </w:p>
        </w:tc>
        <w:tc>
          <w:tcPr>
            <w:tcW w:w="0" w:type="auto"/>
            <w:vAlign w:val="center"/>
          </w:tcPr>
          <w:p w:rsidR="005F78FC" w:rsidRDefault="00B42EF3">
            <w:pPr>
              <w:pStyle w:val="TableBodyText"/>
            </w:pPr>
            <w:r>
              <w:t>0272</w:t>
            </w:r>
          </w:p>
        </w:tc>
      </w:tr>
      <w:tr w:rsidR="005F78FC" w:rsidTr="005F78FC">
        <w:tc>
          <w:tcPr>
            <w:tcW w:w="0" w:type="auto"/>
            <w:vAlign w:val="center"/>
          </w:tcPr>
          <w:p w:rsidR="005F78FC" w:rsidRDefault="00B42EF3">
            <w:pPr>
              <w:pStyle w:val="TableBodyText"/>
            </w:pPr>
            <w:r>
              <w:t>TableWizard</w:t>
            </w:r>
          </w:p>
        </w:tc>
        <w:tc>
          <w:tcPr>
            <w:tcW w:w="0" w:type="auto"/>
            <w:vAlign w:val="center"/>
          </w:tcPr>
          <w:p w:rsidR="005F78FC" w:rsidRDefault="00B42EF3">
            <w:pPr>
              <w:pStyle w:val="TableBodyText"/>
            </w:pPr>
            <w:r>
              <w:t>0485</w:t>
            </w:r>
          </w:p>
        </w:tc>
      </w:tr>
      <w:tr w:rsidR="005F78FC" w:rsidTr="005F78FC">
        <w:tc>
          <w:tcPr>
            <w:tcW w:w="0" w:type="auto"/>
            <w:vAlign w:val="center"/>
          </w:tcPr>
          <w:p w:rsidR="005F78FC" w:rsidRDefault="00B42EF3">
            <w:pPr>
              <w:pStyle w:val="TableBodyText"/>
            </w:pPr>
            <w:r>
              <w:lastRenderedPageBreak/>
              <w:t>TableWrapping</w:t>
            </w:r>
          </w:p>
        </w:tc>
        <w:tc>
          <w:tcPr>
            <w:tcW w:w="0" w:type="auto"/>
            <w:vAlign w:val="center"/>
          </w:tcPr>
          <w:p w:rsidR="005F78FC" w:rsidRDefault="00B42EF3">
            <w:pPr>
              <w:pStyle w:val="TableBodyText"/>
            </w:pPr>
            <w:r>
              <w:t>0356</w:t>
            </w:r>
          </w:p>
        </w:tc>
      </w:tr>
      <w:tr w:rsidR="005F78FC" w:rsidTr="005F78FC">
        <w:tc>
          <w:tcPr>
            <w:tcW w:w="0" w:type="auto"/>
            <w:vAlign w:val="center"/>
          </w:tcPr>
          <w:p w:rsidR="005F78FC" w:rsidRDefault="00B42EF3">
            <w:pPr>
              <w:pStyle w:val="TableBodyText"/>
            </w:pPr>
            <w:r>
              <w:t>TextBoxGallery</w:t>
            </w:r>
          </w:p>
        </w:tc>
        <w:tc>
          <w:tcPr>
            <w:tcW w:w="0" w:type="auto"/>
            <w:vAlign w:val="center"/>
          </w:tcPr>
          <w:p w:rsidR="005F78FC" w:rsidRDefault="00B42EF3">
            <w:pPr>
              <w:pStyle w:val="TableBodyText"/>
            </w:pPr>
            <w:r>
              <w:t>08DF</w:t>
            </w:r>
          </w:p>
        </w:tc>
      </w:tr>
      <w:tr w:rsidR="005F78FC" w:rsidTr="005F78FC">
        <w:tc>
          <w:tcPr>
            <w:tcW w:w="0" w:type="auto"/>
            <w:vAlign w:val="center"/>
          </w:tcPr>
          <w:p w:rsidR="005F78FC" w:rsidRDefault="00B42EF3">
            <w:pPr>
              <w:pStyle w:val="TableBodyText"/>
            </w:pPr>
            <w:r>
              <w:t>TextBoxLinking</w:t>
            </w:r>
          </w:p>
        </w:tc>
        <w:tc>
          <w:tcPr>
            <w:tcW w:w="0" w:type="auto"/>
            <w:vAlign w:val="center"/>
          </w:tcPr>
          <w:p w:rsidR="005F78FC" w:rsidRDefault="00B42EF3">
            <w:pPr>
              <w:pStyle w:val="TableBodyText"/>
            </w:pPr>
            <w:r>
              <w:t>0348</w:t>
            </w:r>
          </w:p>
        </w:tc>
      </w:tr>
      <w:tr w:rsidR="005F78FC" w:rsidTr="005F78FC">
        <w:tc>
          <w:tcPr>
            <w:tcW w:w="0" w:type="auto"/>
            <w:vAlign w:val="center"/>
          </w:tcPr>
          <w:p w:rsidR="005F78FC" w:rsidRDefault="00B42EF3">
            <w:pPr>
              <w:pStyle w:val="TableBodyText"/>
            </w:pPr>
            <w:r>
              <w:t>TextBoxUnlinking</w:t>
            </w:r>
          </w:p>
        </w:tc>
        <w:tc>
          <w:tcPr>
            <w:tcW w:w="0" w:type="auto"/>
            <w:vAlign w:val="center"/>
          </w:tcPr>
          <w:p w:rsidR="005F78FC" w:rsidRDefault="00B42EF3">
            <w:pPr>
              <w:pStyle w:val="TableBodyText"/>
            </w:pPr>
            <w:r>
              <w:t>0349</w:t>
            </w:r>
          </w:p>
        </w:tc>
      </w:tr>
      <w:tr w:rsidR="005F78FC" w:rsidTr="005F78FC">
        <w:tc>
          <w:tcPr>
            <w:tcW w:w="0" w:type="auto"/>
            <w:vAlign w:val="center"/>
          </w:tcPr>
          <w:p w:rsidR="005F78FC" w:rsidRDefault="00B42EF3">
            <w:pPr>
              <w:pStyle w:val="TableBodyText"/>
            </w:pPr>
            <w:r>
              <w:t>TextFlowGallery</w:t>
            </w:r>
          </w:p>
        </w:tc>
        <w:tc>
          <w:tcPr>
            <w:tcW w:w="0" w:type="auto"/>
            <w:vAlign w:val="center"/>
          </w:tcPr>
          <w:p w:rsidR="005F78FC" w:rsidRDefault="00B42EF3">
            <w:pPr>
              <w:pStyle w:val="TableBodyText"/>
            </w:pPr>
            <w:r>
              <w:t>08C1</w:t>
            </w:r>
          </w:p>
        </w:tc>
      </w:tr>
      <w:tr w:rsidR="005F78FC" w:rsidTr="005F78FC">
        <w:tc>
          <w:tcPr>
            <w:tcW w:w="0" w:type="auto"/>
            <w:vAlign w:val="center"/>
          </w:tcPr>
          <w:p w:rsidR="005F78FC" w:rsidRDefault="00B42EF3">
            <w:pPr>
              <w:pStyle w:val="TableBodyText"/>
            </w:pPr>
            <w:r>
              <w:t>TextFormField</w:t>
            </w:r>
          </w:p>
        </w:tc>
        <w:tc>
          <w:tcPr>
            <w:tcW w:w="0" w:type="auto"/>
            <w:vAlign w:val="center"/>
          </w:tcPr>
          <w:p w:rsidR="005F78FC" w:rsidRDefault="00B42EF3">
            <w:pPr>
              <w:pStyle w:val="TableBodyText"/>
            </w:pPr>
            <w:r>
              <w:t>015D</w:t>
            </w:r>
          </w:p>
        </w:tc>
      </w:tr>
      <w:tr w:rsidR="005F78FC" w:rsidTr="005F78FC">
        <w:tc>
          <w:tcPr>
            <w:tcW w:w="0" w:type="auto"/>
            <w:vAlign w:val="center"/>
          </w:tcPr>
          <w:p w:rsidR="005F78FC" w:rsidRDefault="00B42EF3">
            <w:pPr>
              <w:pStyle w:val="TableBodyText"/>
            </w:pPr>
            <w:r>
              <w:t>TextToTable</w:t>
            </w:r>
          </w:p>
        </w:tc>
        <w:tc>
          <w:tcPr>
            <w:tcW w:w="0" w:type="auto"/>
            <w:vAlign w:val="center"/>
          </w:tcPr>
          <w:p w:rsidR="005F78FC" w:rsidRDefault="00B42EF3">
            <w:pPr>
              <w:pStyle w:val="TableBodyText"/>
            </w:pPr>
            <w:r>
              <w:t>007F</w:t>
            </w:r>
          </w:p>
        </w:tc>
      </w:tr>
      <w:tr w:rsidR="005F78FC" w:rsidTr="005F78FC">
        <w:tc>
          <w:tcPr>
            <w:tcW w:w="0" w:type="auto"/>
            <w:vAlign w:val="center"/>
          </w:tcPr>
          <w:p w:rsidR="005F78FC" w:rsidRDefault="00B42EF3">
            <w:pPr>
              <w:pStyle w:val="TableBodyText"/>
            </w:pPr>
            <w:r>
              <w:t>TextboxPositionGallery</w:t>
            </w:r>
          </w:p>
        </w:tc>
        <w:tc>
          <w:tcPr>
            <w:tcW w:w="0" w:type="auto"/>
            <w:vAlign w:val="center"/>
          </w:tcPr>
          <w:p w:rsidR="005F78FC" w:rsidRDefault="00B42EF3">
            <w:pPr>
              <w:pStyle w:val="TableBodyText"/>
            </w:pPr>
            <w:r>
              <w:t>091D</w:t>
            </w:r>
          </w:p>
        </w:tc>
      </w:tr>
      <w:tr w:rsidR="005F78FC" w:rsidTr="005F78FC">
        <w:tc>
          <w:tcPr>
            <w:tcW w:w="0" w:type="auto"/>
            <w:vAlign w:val="center"/>
          </w:tcPr>
          <w:p w:rsidR="005F78FC" w:rsidRDefault="00B42EF3">
            <w:pPr>
              <w:pStyle w:val="TableBodyText"/>
            </w:pPr>
            <w:r>
              <w:t>TextboxStyleGallery</w:t>
            </w:r>
          </w:p>
        </w:tc>
        <w:tc>
          <w:tcPr>
            <w:tcW w:w="0" w:type="auto"/>
            <w:vAlign w:val="center"/>
          </w:tcPr>
          <w:p w:rsidR="005F78FC" w:rsidRDefault="00B42EF3">
            <w:pPr>
              <w:pStyle w:val="TableBodyText"/>
            </w:pPr>
            <w:r>
              <w:t>091E</w:t>
            </w:r>
          </w:p>
        </w:tc>
      </w:tr>
      <w:tr w:rsidR="005F78FC" w:rsidTr="005F78FC">
        <w:tc>
          <w:tcPr>
            <w:tcW w:w="0" w:type="auto"/>
            <w:vAlign w:val="center"/>
          </w:tcPr>
          <w:p w:rsidR="005F78FC" w:rsidRDefault="00B42EF3">
            <w:pPr>
              <w:pStyle w:val="TableBodyText"/>
            </w:pPr>
            <w:r>
              <w:t>TexturesGallery</w:t>
            </w:r>
          </w:p>
        </w:tc>
        <w:tc>
          <w:tcPr>
            <w:tcW w:w="0" w:type="auto"/>
            <w:vAlign w:val="center"/>
          </w:tcPr>
          <w:p w:rsidR="005F78FC" w:rsidRDefault="00B42EF3">
            <w:pPr>
              <w:pStyle w:val="TableBodyText"/>
            </w:pPr>
            <w:r>
              <w:t>07BA</w:t>
            </w:r>
          </w:p>
        </w:tc>
      </w:tr>
      <w:tr w:rsidR="005F78FC" w:rsidTr="005F78FC">
        <w:tc>
          <w:tcPr>
            <w:tcW w:w="0" w:type="auto"/>
            <w:vAlign w:val="center"/>
          </w:tcPr>
          <w:p w:rsidR="005F78FC" w:rsidRDefault="00B42EF3">
            <w:pPr>
              <w:pStyle w:val="TableBodyText"/>
            </w:pPr>
            <w:r>
              <w:t>ThemeGallery</w:t>
            </w:r>
          </w:p>
        </w:tc>
        <w:tc>
          <w:tcPr>
            <w:tcW w:w="0" w:type="auto"/>
            <w:vAlign w:val="center"/>
          </w:tcPr>
          <w:p w:rsidR="005F78FC" w:rsidRDefault="00B42EF3">
            <w:pPr>
              <w:pStyle w:val="TableBodyText"/>
            </w:pPr>
            <w:r>
              <w:t>08FE</w:t>
            </w:r>
          </w:p>
        </w:tc>
      </w:tr>
      <w:tr w:rsidR="005F78FC" w:rsidTr="005F78FC">
        <w:tc>
          <w:tcPr>
            <w:tcW w:w="0" w:type="auto"/>
            <w:vAlign w:val="center"/>
          </w:tcPr>
          <w:p w:rsidR="005F78FC" w:rsidRDefault="00B42EF3">
            <w:pPr>
              <w:pStyle w:val="TableBodyText"/>
            </w:pPr>
            <w:r>
              <w:t>TocOutlineLevelGallery</w:t>
            </w:r>
          </w:p>
        </w:tc>
        <w:tc>
          <w:tcPr>
            <w:tcW w:w="0" w:type="auto"/>
            <w:vAlign w:val="center"/>
          </w:tcPr>
          <w:p w:rsidR="005F78FC" w:rsidRDefault="00B42EF3">
            <w:pPr>
              <w:pStyle w:val="TableBodyText"/>
            </w:pPr>
            <w:r>
              <w:t>0836</w:t>
            </w:r>
          </w:p>
        </w:tc>
      </w:tr>
      <w:tr w:rsidR="005F78FC" w:rsidTr="005F78FC">
        <w:tc>
          <w:tcPr>
            <w:tcW w:w="0" w:type="auto"/>
            <w:vAlign w:val="center"/>
          </w:tcPr>
          <w:p w:rsidR="005F78FC" w:rsidRDefault="00B42EF3">
            <w:pPr>
              <w:pStyle w:val="TableBodyText"/>
            </w:pPr>
            <w:r>
              <w:t>ToggleCharacterCode</w:t>
            </w:r>
          </w:p>
        </w:tc>
        <w:tc>
          <w:tcPr>
            <w:tcW w:w="0" w:type="auto"/>
            <w:vAlign w:val="center"/>
          </w:tcPr>
          <w:p w:rsidR="005F78FC" w:rsidRDefault="00B42EF3">
            <w:pPr>
              <w:pStyle w:val="TableBodyText"/>
            </w:pPr>
            <w:r>
              <w:t>0571</w:t>
            </w:r>
          </w:p>
        </w:tc>
      </w:tr>
      <w:tr w:rsidR="005F78FC" w:rsidTr="005F78FC">
        <w:tc>
          <w:tcPr>
            <w:tcW w:w="0" w:type="auto"/>
            <w:vAlign w:val="center"/>
          </w:tcPr>
          <w:p w:rsidR="005F78FC" w:rsidRDefault="00B42EF3">
            <w:pPr>
              <w:pStyle w:val="TableBodyText"/>
            </w:pPr>
            <w:r>
              <w:t>ToggleDocumentActionBar</w:t>
            </w:r>
          </w:p>
        </w:tc>
        <w:tc>
          <w:tcPr>
            <w:tcW w:w="0" w:type="auto"/>
            <w:vAlign w:val="center"/>
          </w:tcPr>
          <w:p w:rsidR="005F78FC" w:rsidRDefault="00B42EF3">
            <w:pPr>
              <w:pStyle w:val="TableBodyText"/>
            </w:pPr>
            <w:r>
              <w:t>087E</w:t>
            </w:r>
          </w:p>
        </w:tc>
      </w:tr>
      <w:tr w:rsidR="005F78FC" w:rsidTr="005F78FC">
        <w:tc>
          <w:tcPr>
            <w:tcW w:w="0" w:type="auto"/>
            <w:vAlign w:val="center"/>
          </w:tcPr>
          <w:p w:rsidR="005F78FC" w:rsidRDefault="00B42EF3">
            <w:pPr>
              <w:pStyle w:val="TableBodyText"/>
            </w:pPr>
            <w:r>
              <w:t>ToggleDocumentText</w:t>
            </w:r>
          </w:p>
        </w:tc>
        <w:tc>
          <w:tcPr>
            <w:tcW w:w="0" w:type="auto"/>
            <w:vAlign w:val="center"/>
          </w:tcPr>
          <w:p w:rsidR="005F78FC" w:rsidRDefault="00B42EF3">
            <w:pPr>
              <w:pStyle w:val="TableBodyText"/>
            </w:pPr>
            <w:r>
              <w:t>084C</w:t>
            </w:r>
          </w:p>
        </w:tc>
      </w:tr>
      <w:tr w:rsidR="005F78FC" w:rsidTr="005F78FC">
        <w:tc>
          <w:tcPr>
            <w:tcW w:w="0" w:type="auto"/>
            <w:vAlign w:val="center"/>
          </w:tcPr>
          <w:p w:rsidR="005F78FC" w:rsidRDefault="00B42EF3">
            <w:pPr>
              <w:pStyle w:val="TableBodyText"/>
            </w:pPr>
            <w:r>
              <w:t>ToggleDontOpenAttachInFullScreen</w:t>
            </w:r>
          </w:p>
        </w:tc>
        <w:tc>
          <w:tcPr>
            <w:tcW w:w="0" w:type="auto"/>
            <w:vAlign w:val="center"/>
          </w:tcPr>
          <w:p w:rsidR="005F78FC" w:rsidRDefault="00B42EF3">
            <w:pPr>
              <w:pStyle w:val="TableBodyText"/>
            </w:pPr>
            <w:r>
              <w:t>089C</w:t>
            </w:r>
          </w:p>
        </w:tc>
      </w:tr>
      <w:tr w:rsidR="005F78FC" w:rsidTr="005F78FC">
        <w:tc>
          <w:tcPr>
            <w:tcW w:w="0" w:type="auto"/>
            <w:vAlign w:val="center"/>
          </w:tcPr>
          <w:p w:rsidR="005F78FC" w:rsidRDefault="00B42EF3">
            <w:pPr>
              <w:pStyle w:val="TableBodyText"/>
            </w:pPr>
            <w:r>
              <w:t>ToggleFieldDisplay</w:t>
            </w:r>
          </w:p>
        </w:tc>
        <w:tc>
          <w:tcPr>
            <w:tcW w:w="0" w:type="auto"/>
            <w:vAlign w:val="center"/>
          </w:tcPr>
          <w:p w:rsidR="005F78FC" w:rsidRDefault="00B42EF3">
            <w:pPr>
              <w:pStyle w:val="TableBodyText"/>
            </w:pPr>
            <w:r>
              <w:t>0022</w:t>
            </w:r>
          </w:p>
        </w:tc>
      </w:tr>
      <w:tr w:rsidR="005F78FC" w:rsidTr="005F78FC">
        <w:tc>
          <w:tcPr>
            <w:tcW w:w="0" w:type="auto"/>
            <w:vAlign w:val="center"/>
          </w:tcPr>
          <w:p w:rsidR="005F78FC" w:rsidRDefault="00B42EF3">
            <w:pPr>
              <w:pStyle w:val="TableBodyText"/>
            </w:pPr>
            <w:r>
              <w:t>ToggleFormsDesign</w:t>
            </w:r>
          </w:p>
        </w:tc>
        <w:tc>
          <w:tcPr>
            <w:tcW w:w="0" w:type="auto"/>
            <w:vAlign w:val="center"/>
          </w:tcPr>
          <w:p w:rsidR="005F78FC" w:rsidRDefault="00B42EF3">
            <w:pPr>
              <w:pStyle w:val="TableBodyText"/>
            </w:pPr>
            <w:r>
              <w:t>0369</w:t>
            </w:r>
          </w:p>
        </w:tc>
      </w:tr>
      <w:tr w:rsidR="005F78FC" w:rsidTr="005F78FC">
        <w:tc>
          <w:tcPr>
            <w:tcW w:w="0" w:type="auto"/>
            <w:vAlign w:val="center"/>
          </w:tcPr>
          <w:p w:rsidR="005F78FC" w:rsidRDefault="00B42EF3">
            <w:pPr>
              <w:pStyle w:val="TableBodyText"/>
            </w:pPr>
            <w:r>
              <w:t>ToggleFull</w:t>
            </w:r>
          </w:p>
        </w:tc>
        <w:tc>
          <w:tcPr>
            <w:tcW w:w="0" w:type="auto"/>
            <w:vAlign w:val="center"/>
          </w:tcPr>
          <w:p w:rsidR="005F78FC" w:rsidRDefault="00B42EF3">
            <w:pPr>
              <w:pStyle w:val="TableBodyText"/>
            </w:pPr>
            <w:r>
              <w:t>0246</w:t>
            </w:r>
          </w:p>
        </w:tc>
      </w:tr>
      <w:tr w:rsidR="005F78FC" w:rsidTr="005F78FC">
        <w:tc>
          <w:tcPr>
            <w:tcW w:w="0" w:type="auto"/>
            <w:vAlign w:val="center"/>
          </w:tcPr>
          <w:p w:rsidR="005F78FC" w:rsidRDefault="00B42EF3">
            <w:pPr>
              <w:pStyle w:val="TableBodyText"/>
            </w:pPr>
            <w:r>
              <w:t>ToggleHeaderFooterLink</w:t>
            </w:r>
          </w:p>
        </w:tc>
        <w:tc>
          <w:tcPr>
            <w:tcW w:w="0" w:type="auto"/>
            <w:vAlign w:val="center"/>
          </w:tcPr>
          <w:p w:rsidR="005F78FC" w:rsidRDefault="00B42EF3">
            <w:pPr>
              <w:pStyle w:val="TableBodyText"/>
            </w:pPr>
            <w:r>
              <w:t>028C</w:t>
            </w:r>
          </w:p>
        </w:tc>
      </w:tr>
      <w:tr w:rsidR="005F78FC" w:rsidTr="005F78FC">
        <w:tc>
          <w:tcPr>
            <w:tcW w:w="0" w:type="auto"/>
            <w:vAlign w:val="center"/>
          </w:tcPr>
          <w:p w:rsidR="005F78FC" w:rsidRDefault="00B42EF3">
            <w:pPr>
              <w:pStyle w:val="TableBodyText"/>
            </w:pPr>
            <w:r>
              <w:t>ToggleMacroRun</w:t>
            </w:r>
          </w:p>
        </w:tc>
        <w:tc>
          <w:tcPr>
            <w:tcW w:w="0" w:type="auto"/>
            <w:vAlign w:val="center"/>
          </w:tcPr>
          <w:p w:rsidR="005F78FC" w:rsidRDefault="00B42EF3">
            <w:pPr>
              <w:pStyle w:val="TableBodyText"/>
            </w:pPr>
            <w:r>
              <w:t>029D</w:t>
            </w:r>
          </w:p>
        </w:tc>
      </w:tr>
      <w:tr w:rsidR="005F78FC" w:rsidTr="005F78FC">
        <w:tc>
          <w:tcPr>
            <w:tcW w:w="0" w:type="auto"/>
            <w:vAlign w:val="center"/>
          </w:tcPr>
          <w:p w:rsidR="005F78FC" w:rsidRDefault="00B42EF3">
            <w:pPr>
              <w:pStyle w:val="TableBodyText"/>
            </w:pPr>
            <w:r>
              <w:t>ToggleMainTextLayer</w:t>
            </w:r>
          </w:p>
        </w:tc>
        <w:tc>
          <w:tcPr>
            <w:tcW w:w="0" w:type="auto"/>
            <w:vAlign w:val="center"/>
          </w:tcPr>
          <w:p w:rsidR="005F78FC" w:rsidRDefault="00B42EF3">
            <w:pPr>
              <w:pStyle w:val="TableBodyText"/>
            </w:pPr>
            <w:r>
              <w:t>024B</w:t>
            </w:r>
          </w:p>
        </w:tc>
      </w:tr>
      <w:tr w:rsidR="005F78FC" w:rsidTr="005F78FC">
        <w:tc>
          <w:tcPr>
            <w:tcW w:w="0" w:type="auto"/>
            <w:vAlign w:val="center"/>
          </w:tcPr>
          <w:p w:rsidR="005F78FC" w:rsidRDefault="00B42EF3">
            <w:pPr>
              <w:pStyle w:val="TableBodyText"/>
            </w:pPr>
            <w:r>
              <w:t>ToggleMasterSubdocs</w:t>
            </w:r>
          </w:p>
        </w:tc>
        <w:tc>
          <w:tcPr>
            <w:tcW w:w="0" w:type="auto"/>
            <w:vAlign w:val="center"/>
          </w:tcPr>
          <w:p w:rsidR="005F78FC" w:rsidRDefault="00B42EF3">
            <w:pPr>
              <w:pStyle w:val="TableBodyText"/>
            </w:pPr>
            <w:r>
              <w:t>0374</w:t>
            </w:r>
          </w:p>
        </w:tc>
      </w:tr>
      <w:tr w:rsidR="005F78FC" w:rsidTr="005F78FC">
        <w:tc>
          <w:tcPr>
            <w:tcW w:w="0" w:type="auto"/>
            <w:vAlign w:val="center"/>
          </w:tcPr>
          <w:p w:rsidR="005F78FC" w:rsidRDefault="00B42EF3">
            <w:pPr>
              <w:pStyle w:val="TableBodyText"/>
            </w:pPr>
            <w:r>
              <w:t>ToggleOptimizeForLayout</w:t>
            </w:r>
          </w:p>
        </w:tc>
        <w:tc>
          <w:tcPr>
            <w:tcW w:w="0" w:type="auto"/>
            <w:vAlign w:val="center"/>
          </w:tcPr>
          <w:p w:rsidR="005F78FC" w:rsidRDefault="00B42EF3">
            <w:pPr>
              <w:pStyle w:val="TableBodyText"/>
            </w:pPr>
            <w:r>
              <w:t>09A9</w:t>
            </w:r>
          </w:p>
        </w:tc>
      </w:tr>
      <w:tr w:rsidR="005F78FC" w:rsidTr="005F78FC">
        <w:tc>
          <w:tcPr>
            <w:tcW w:w="0" w:type="auto"/>
            <w:vAlign w:val="center"/>
          </w:tcPr>
          <w:p w:rsidR="005F78FC" w:rsidRDefault="00B42EF3">
            <w:pPr>
              <w:pStyle w:val="TableBodyText"/>
            </w:pPr>
            <w:r>
              <w:t>TogglePanningHand</w:t>
            </w:r>
          </w:p>
        </w:tc>
        <w:tc>
          <w:tcPr>
            <w:tcW w:w="0" w:type="auto"/>
            <w:vAlign w:val="center"/>
          </w:tcPr>
          <w:p w:rsidR="005F78FC" w:rsidRDefault="00B42EF3">
            <w:pPr>
              <w:pStyle w:val="TableBodyText"/>
            </w:pPr>
            <w:r>
              <w:t>07AA</w:t>
            </w:r>
          </w:p>
        </w:tc>
      </w:tr>
      <w:tr w:rsidR="005F78FC" w:rsidTr="005F78FC">
        <w:tc>
          <w:tcPr>
            <w:tcW w:w="0" w:type="auto"/>
            <w:vAlign w:val="center"/>
          </w:tcPr>
          <w:p w:rsidR="005F78FC" w:rsidRDefault="00B42EF3">
            <w:pPr>
              <w:pStyle w:val="TableBodyText"/>
            </w:pPr>
            <w:r>
              <w:t>TogglePortrait</w:t>
            </w:r>
          </w:p>
        </w:tc>
        <w:tc>
          <w:tcPr>
            <w:tcW w:w="0" w:type="auto"/>
            <w:vAlign w:val="center"/>
          </w:tcPr>
          <w:p w:rsidR="005F78FC" w:rsidRDefault="00B42EF3">
            <w:pPr>
              <w:pStyle w:val="TableBodyText"/>
            </w:pPr>
            <w:r>
              <w:t>0132</w:t>
            </w:r>
          </w:p>
        </w:tc>
      </w:tr>
      <w:tr w:rsidR="005F78FC" w:rsidTr="005F78FC">
        <w:tc>
          <w:tcPr>
            <w:tcW w:w="0" w:type="auto"/>
            <w:vAlign w:val="center"/>
          </w:tcPr>
          <w:p w:rsidR="005F78FC" w:rsidRDefault="00B42EF3">
            <w:pPr>
              <w:pStyle w:val="TableBodyText"/>
            </w:pPr>
            <w:r>
              <w:t>TogglePropertyPanel</w:t>
            </w:r>
          </w:p>
        </w:tc>
        <w:tc>
          <w:tcPr>
            <w:tcW w:w="0" w:type="auto"/>
            <w:vAlign w:val="center"/>
          </w:tcPr>
          <w:p w:rsidR="005F78FC" w:rsidRDefault="00B42EF3">
            <w:pPr>
              <w:pStyle w:val="TableBodyText"/>
            </w:pPr>
            <w:r>
              <w:t>082E</w:t>
            </w:r>
          </w:p>
        </w:tc>
      </w:tr>
      <w:tr w:rsidR="005F78FC" w:rsidTr="005F78FC">
        <w:tc>
          <w:tcPr>
            <w:tcW w:w="0" w:type="auto"/>
            <w:vAlign w:val="center"/>
          </w:tcPr>
          <w:p w:rsidR="005F78FC" w:rsidRDefault="00B42EF3">
            <w:pPr>
              <w:pStyle w:val="TableBodyText"/>
            </w:pPr>
            <w:r>
              <w:t>ToggleReadingMode2Pages</w:t>
            </w:r>
          </w:p>
        </w:tc>
        <w:tc>
          <w:tcPr>
            <w:tcW w:w="0" w:type="auto"/>
            <w:vAlign w:val="center"/>
          </w:tcPr>
          <w:p w:rsidR="005F78FC" w:rsidRDefault="00B42EF3">
            <w:pPr>
              <w:pStyle w:val="TableBodyText"/>
            </w:pPr>
            <w:r>
              <w:t>05A2</w:t>
            </w:r>
          </w:p>
        </w:tc>
      </w:tr>
      <w:tr w:rsidR="005F78FC" w:rsidTr="005F78FC">
        <w:tc>
          <w:tcPr>
            <w:tcW w:w="0" w:type="auto"/>
            <w:vAlign w:val="center"/>
          </w:tcPr>
          <w:p w:rsidR="005F78FC" w:rsidRDefault="00B42EF3">
            <w:pPr>
              <w:pStyle w:val="TableBodyText"/>
            </w:pPr>
            <w:r>
              <w:t>ToggleReadingModeHelp</w:t>
            </w:r>
          </w:p>
        </w:tc>
        <w:tc>
          <w:tcPr>
            <w:tcW w:w="0" w:type="auto"/>
            <w:vAlign w:val="center"/>
          </w:tcPr>
          <w:p w:rsidR="005F78FC" w:rsidRDefault="00B42EF3">
            <w:pPr>
              <w:pStyle w:val="TableBodyText"/>
            </w:pPr>
            <w:r>
              <w:t>05AC</w:t>
            </w:r>
          </w:p>
        </w:tc>
      </w:tr>
      <w:tr w:rsidR="005F78FC" w:rsidTr="005F78FC">
        <w:tc>
          <w:tcPr>
            <w:tcW w:w="0" w:type="auto"/>
            <w:vAlign w:val="center"/>
          </w:tcPr>
          <w:p w:rsidR="005F78FC" w:rsidRDefault="00B42EF3">
            <w:pPr>
              <w:pStyle w:val="TableBodyText"/>
            </w:pPr>
            <w:r>
              <w:t>ToggleReadingModeInk</w:t>
            </w:r>
          </w:p>
        </w:tc>
        <w:tc>
          <w:tcPr>
            <w:tcW w:w="0" w:type="auto"/>
            <w:vAlign w:val="center"/>
          </w:tcPr>
          <w:p w:rsidR="005F78FC" w:rsidRDefault="00B42EF3">
            <w:pPr>
              <w:pStyle w:val="TableBodyText"/>
            </w:pPr>
            <w:r>
              <w:t>05A3</w:t>
            </w:r>
          </w:p>
        </w:tc>
      </w:tr>
      <w:tr w:rsidR="005F78FC" w:rsidTr="005F78FC">
        <w:tc>
          <w:tcPr>
            <w:tcW w:w="0" w:type="auto"/>
            <w:vAlign w:val="center"/>
          </w:tcPr>
          <w:p w:rsidR="005F78FC" w:rsidRDefault="00B42EF3">
            <w:pPr>
              <w:pStyle w:val="TableBodyText"/>
            </w:pPr>
            <w:r>
              <w:t>ToggleRibbon</w:t>
            </w:r>
          </w:p>
        </w:tc>
        <w:tc>
          <w:tcPr>
            <w:tcW w:w="0" w:type="auto"/>
            <w:vAlign w:val="center"/>
          </w:tcPr>
          <w:p w:rsidR="005F78FC" w:rsidRDefault="00B42EF3">
            <w:pPr>
              <w:pStyle w:val="TableBodyText"/>
            </w:pPr>
            <w:r>
              <w:t>0956</w:t>
            </w:r>
          </w:p>
        </w:tc>
      </w:tr>
      <w:tr w:rsidR="005F78FC" w:rsidTr="005F78FC">
        <w:tc>
          <w:tcPr>
            <w:tcW w:w="0" w:type="auto"/>
            <w:vAlign w:val="center"/>
          </w:tcPr>
          <w:p w:rsidR="005F78FC" w:rsidRDefault="00B42EF3">
            <w:pPr>
              <w:pStyle w:val="TableBodyText"/>
            </w:pPr>
            <w:r>
              <w:t>ToggleScribbleMode</w:t>
            </w:r>
          </w:p>
        </w:tc>
        <w:tc>
          <w:tcPr>
            <w:tcW w:w="0" w:type="auto"/>
            <w:vAlign w:val="center"/>
          </w:tcPr>
          <w:p w:rsidR="005F78FC" w:rsidRDefault="00B42EF3">
            <w:pPr>
              <w:pStyle w:val="TableBodyText"/>
            </w:pPr>
            <w:r>
              <w:t>0134</w:t>
            </w:r>
          </w:p>
        </w:tc>
      </w:tr>
      <w:tr w:rsidR="005F78FC" w:rsidTr="005F78FC">
        <w:tc>
          <w:tcPr>
            <w:tcW w:w="0" w:type="auto"/>
            <w:vAlign w:val="center"/>
          </w:tcPr>
          <w:p w:rsidR="005F78FC" w:rsidRDefault="00B42EF3">
            <w:pPr>
              <w:pStyle w:val="TableBodyText"/>
            </w:pPr>
            <w:r>
              <w:lastRenderedPageBreak/>
              <w:t>ToggleTextFlow</w:t>
            </w:r>
          </w:p>
        </w:tc>
        <w:tc>
          <w:tcPr>
            <w:tcW w:w="0" w:type="auto"/>
            <w:vAlign w:val="center"/>
          </w:tcPr>
          <w:p w:rsidR="005F78FC" w:rsidRDefault="00B42EF3">
            <w:pPr>
              <w:pStyle w:val="TableBodyText"/>
            </w:pPr>
            <w:r>
              <w:t>03F1</w:t>
            </w:r>
          </w:p>
        </w:tc>
      </w:tr>
      <w:tr w:rsidR="005F78FC" w:rsidTr="005F78FC">
        <w:tc>
          <w:tcPr>
            <w:tcW w:w="0" w:type="auto"/>
            <w:vAlign w:val="center"/>
          </w:tcPr>
          <w:p w:rsidR="005F78FC" w:rsidRDefault="00B42EF3">
            <w:pPr>
              <w:pStyle w:val="TableBodyText"/>
            </w:pPr>
            <w:r>
              <w:t>ToggleThumbnail</w:t>
            </w:r>
          </w:p>
        </w:tc>
        <w:tc>
          <w:tcPr>
            <w:tcW w:w="0" w:type="auto"/>
            <w:vAlign w:val="center"/>
          </w:tcPr>
          <w:p w:rsidR="005F78FC" w:rsidRDefault="00B42EF3">
            <w:pPr>
              <w:pStyle w:val="TableBodyText"/>
            </w:pPr>
            <w:r>
              <w:t>059E</w:t>
            </w:r>
          </w:p>
        </w:tc>
      </w:tr>
      <w:tr w:rsidR="005F78FC" w:rsidTr="005F78FC">
        <w:tc>
          <w:tcPr>
            <w:tcW w:w="0" w:type="auto"/>
            <w:vAlign w:val="center"/>
          </w:tcPr>
          <w:p w:rsidR="005F78FC" w:rsidRDefault="00B42EF3">
            <w:pPr>
              <w:pStyle w:val="TableBodyText"/>
            </w:pPr>
            <w:r>
              <w:t>ToggleToolbars</w:t>
            </w:r>
          </w:p>
        </w:tc>
        <w:tc>
          <w:tcPr>
            <w:tcW w:w="0" w:type="auto"/>
            <w:vAlign w:val="center"/>
          </w:tcPr>
          <w:p w:rsidR="005F78FC" w:rsidRDefault="00B42EF3">
            <w:pPr>
              <w:pStyle w:val="TableBodyText"/>
            </w:pPr>
            <w:r>
              <w:t>05B0</w:t>
            </w:r>
          </w:p>
        </w:tc>
      </w:tr>
      <w:tr w:rsidR="005F78FC" w:rsidTr="005F78FC">
        <w:tc>
          <w:tcPr>
            <w:tcW w:w="0" w:type="auto"/>
            <w:vAlign w:val="center"/>
          </w:tcPr>
          <w:p w:rsidR="005F78FC" w:rsidRDefault="00B42EF3">
            <w:pPr>
              <w:pStyle w:val="TableBodyText"/>
            </w:pPr>
            <w:r>
              <w:t>ToggleWebDesign</w:t>
            </w:r>
          </w:p>
        </w:tc>
        <w:tc>
          <w:tcPr>
            <w:tcW w:w="0" w:type="auto"/>
            <w:vAlign w:val="center"/>
          </w:tcPr>
          <w:p w:rsidR="005F78FC" w:rsidRDefault="00B42EF3">
            <w:pPr>
              <w:pStyle w:val="TableBodyText"/>
            </w:pPr>
            <w:r>
              <w:t>045F</w:t>
            </w:r>
          </w:p>
        </w:tc>
      </w:tr>
      <w:tr w:rsidR="005F78FC" w:rsidTr="005F78FC">
        <w:tc>
          <w:tcPr>
            <w:tcW w:w="0" w:type="auto"/>
            <w:vAlign w:val="center"/>
          </w:tcPr>
          <w:p w:rsidR="005F78FC" w:rsidRDefault="00B42EF3">
            <w:pPr>
              <w:pStyle w:val="TableBodyText"/>
            </w:pPr>
            <w:r>
              <w:t>ToggleXMLStructure</w:t>
            </w:r>
          </w:p>
        </w:tc>
        <w:tc>
          <w:tcPr>
            <w:tcW w:w="0" w:type="auto"/>
            <w:vAlign w:val="center"/>
          </w:tcPr>
          <w:p w:rsidR="005F78FC" w:rsidRDefault="00B42EF3">
            <w:pPr>
              <w:pStyle w:val="TableBodyText"/>
            </w:pPr>
            <w:r>
              <w:t>080F</w:t>
            </w:r>
          </w:p>
        </w:tc>
      </w:tr>
      <w:tr w:rsidR="005F78FC" w:rsidTr="005F78FC">
        <w:tc>
          <w:tcPr>
            <w:tcW w:w="0" w:type="auto"/>
            <w:vAlign w:val="center"/>
          </w:tcPr>
          <w:p w:rsidR="005F78FC" w:rsidRDefault="00B42EF3">
            <w:pPr>
              <w:pStyle w:val="TableBodyText"/>
            </w:pPr>
            <w:r>
              <w:t>ToggleXMLTagView</w:t>
            </w:r>
          </w:p>
        </w:tc>
        <w:tc>
          <w:tcPr>
            <w:tcW w:w="0" w:type="auto"/>
            <w:vAlign w:val="center"/>
          </w:tcPr>
          <w:p w:rsidR="005F78FC" w:rsidRDefault="00B42EF3">
            <w:pPr>
              <w:pStyle w:val="TableBodyText"/>
            </w:pPr>
            <w:r>
              <w:t>0588</w:t>
            </w:r>
          </w:p>
        </w:tc>
      </w:tr>
      <w:tr w:rsidR="005F78FC" w:rsidTr="005F78FC">
        <w:tc>
          <w:tcPr>
            <w:tcW w:w="0" w:type="auto"/>
            <w:vAlign w:val="center"/>
          </w:tcPr>
          <w:p w:rsidR="005F78FC" w:rsidRDefault="00B42EF3">
            <w:pPr>
              <w:pStyle w:val="TableBodyText"/>
            </w:pPr>
            <w:r>
              <w:t>ToolsAddRecordDefault</w:t>
            </w:r>
          </w:p>
        </w:tc>
        <w:tc>
          <w:tcPr>
            <w:tcW w:w="0" w:type="auto"/>
            <w:vAlign w:val="center"/>
          </w:tcPr>
          <w:p w:rsidR="005F78FC" w:rsidRDefault="00B42EF3">
            <w:pPr>
              <w:pStyle w:val="TableBodyText"/>
            </w:pPr>
            <w:r>
              <w:t>0275</w:t>
            </w:r>
          </w:p>
        </w:tc>
      </w:tr>
      <w:tr w:rsidR="005F78FC" w:rsidTr="005F78FC">
        <w:tc>
          <w:tcPr>
            <w:tcW w:w="0" w:type="auto"/>
            <w:vAlign w:val="center"/>
          </w:tcPr>
          <w:p w:rsidR="005F78FC" w:rsidRDefault="00B42EF3">
            <w:pPr>
              <w:pStyle w:val="TableBodyText"/>
            </w:pPr>
            <w:r>
              <w:t>ToolsAdvancedSettings</w:t>
            </w:r>
          </w:p>
        </w:tc>
        <w:tc>
          <w:tcPr>
            <w:tcW w:w="0" w:type="auto"/>
            <w:vAlign w:val="center"/>
          </w:tcPr>
          <w:p w:rsidR="005F78FC" w:rsidRDefault="00B42EF3">
            <w:pPr>
              <w:pStyle w:val="TableBodyText"/>
            </w:pPr>
            <w:r>
              <w:t>00CE</w:t>
            </w:r>
          </w:p>
        </w:tc>
      </w:tr>
      <w:tr w:rsidR="005F78FC" w:rsidTr="005F78FC">
        <w:tc>
          <w:tcPr>
            <w:tcW w:w="0" w:type="auto"/>
            <w:vAlign w:val="center"/>
          </w:tcPr>
          <w:p w:rsidR="005F78FC" w:rsidRDefault="00B42EF3">
            <w:pPr>
              <w:pStyle w:val="TableBodyText"/>
            </w:pPr>
            <w:r>
              <w:t>ToolsAutoCorrect</w:t>
            </w:r>
          </w:p>
        </w:tc>
        <w:tc>
          <w:tcPr>
            <w:tcW w:w="0" w:type="auto"/>
            <w:vAlign w:val="center"/>
          </w:tcPr>
          <w:p w:rsidR="005F78FC" w:rsidRDefault="00B42EF3">
            <w:pPr>
              <w:pStyle w:val="TableBodyText"/>
            </w:pPr>
            <w:r>
              <w:t>017A</w:t>
            </w:r>
          </w:p>
        </w:tc>
      </w:tr>
      <w:tr w:rsidR="005F78FC" w:rsidTr="005F78FC">
        <w:tc>
          <w:tcPr>
            <w:tcW w:w="0" w:type="auto"/>
            <w:vAlign w:val="center"/>
          </w:tcPr>
          <w:p w:rsidR="005F78FC" w:rsidRDefault="00B42EF3">
            <w:pPr>
              <w:pStyle w:val="TableBodyText"/>
            </w:pPr>
            <w:r>
              <w:t>ToolsAutoCorrectCapsLockOff</w:t>
            </w:r>
          </w:p>
        </w:tc>
        <w:tc>
          <w:tcPr>
            <w:tcW w:w="0" w:type="auto"/>
            <w:vAlign w:val="center"/>
          </w:tcPr>
          <w:p w:rsidR="005F78FC" w:rsidRDefault="00B42EF3">
            <w:pPr>
              <w:pStyle w:val="TableBodyText"/>
            </w:pPr>
            <w:r>
              <w:t>02FF</w:t>
            </w:r>
          </w:p>
        </w:tc>
      </w:tr>
      <w:tr w:rsidR="005F78FC" w:rsidTr="005F78FC">
        <w:tc>
          <w:tcPr>
            <w:tcW w:w="0" w:type="auto"/>
            <w:vAlign w:val="center"/>
          </w:tcPr>
          <w:p w:rsidR="005F78FC" w:rsidRDefault="00B42EF3">
            <w:pPr>
              <w:pStyle w:val="TableBodyText"/>
            </w:pPr>
            <w:r>
              <w:t>ToolsAutoCorrectDays</w:t>
            </w:r>
          </w:p>
        </w:tc>
        <w:tc>
          <w:tcPr>
            <w:tcW w:w="0" w:type="auto"/>
            <w:vAlign w:val="center"/>
          </w:tcPr>
          <w:p w:rsidR="005F78FC" w:rsidRDefault="00B42EF3">
            <w:pPr>
              <w:pStyle w:val="TableBodyText"/>
            </w:pPr>
            <w:r>
              <w:t>0180</w:t>
            </w:r>
          </w:p>
        </w:tc>
      </w:tr>
      <w:tr w:rsidR="005F78FC" w:rsidTr="005F78FC">
        <w:tc>
          <w:tcPr>
            <w:tcW w:w="0" w:type="auto"/>
            <w:vAlign w:val="center"/>
          </w:tcPr>
          <w:p w:rsidR="005F78FC" w:rsidRDefault="00B42EF3">
            <w:pPr>
              <w:pStyle w:val="TableBodyText"/>
            </w:pPr>
            <w:r>
              <w:t>ToolsAutoCorrectExceptions</w:t>
            </w:r>
          </w:p>
        </w:tc>
        <w:tc>
          <w:tcPr>
            <w:tcW w:w="0" w:type="auto"/>
            <w:vAlign w:val="center"/>
          </w:tcPr>
          <w:p w:rsidR="005F78FC" w:rsidRDefault="00B42EF3">
            <w:pPr>
              <w:pStyle w:val="TableBodyText"/>
            </w:pPr>
            <w:r>
              <w:t>02FA</w:t>
            </w:r>
          </w:p>
        </w:tc>
      </w:tr>
      <w:tr w:rsidR="005F78FC" w:rsidTr="005F78FC">
        <w:tc>
          <w:tcPr>
            <w:tcW w:w="0" w:type="auto"/>
            <w:vAlign w:val="center"/>
          </w:tcPr>
          <w:p w:rsidR="005F78FC" w:rsidRDefault="00B42EF3">
            <w:pPr>
              <w:pStyle w:val="TableBodyText"/>
            </w:pPr>
            <w:r>
              <w:t>ToolsAutoCorrectHECorrect</w:t>
            </w:r>
          </w:p>
        </w:tc>
        <w:tc>
          <w:tcPr>
            <w:tcW w:w="0" w:type="auto"/>
            <w:vAlign w:val="center"/>
          </w:tcPr>
          <w:p w:rsidR="005F78FC" w:rsidRDefault="00B42EF3">
            <w:pPr>
              <w:pStyle w:val="TableBodyText"/>
            </w:pPr>
            <w:r>
              <w:t>03E9</w:t>
            </w:r>
          </w:p>
        </w:tc>
      </w:tr>
      <w:tr w:rsidR="005F78FC" w:rsidTr="005F78FC">
        <w:tc>
          <w:tcPr>
            <w:tcW w:w="0" w:type="auto"/>
            <w:vAlign w:val="center"/>
          </w:tcPr>
          <w:p w:rsidR="005F78FC" w:rsidRDefault="00B42EF3">
            <w:pPr>
              <w:pStyle w:val="TableBodyText"/>
            </w:pPr>
            <w:r>
              <w:t>ToolsAutoCorrectInitialCaps</w:t>
            </w:r>
          </w:p>
        </w:tc>
        <w:tc>
          <w:tcPr>
            <w:tcW w:w="0" w:type="auto"/>
            <w:vAlign w:val="center"/>
          </w:tcPr>
          <w:p w:rsidR="005F78FC" w:rsidRDefault="00B42EF3">
            <w:pPr>
              <w:pStyle w:val="TableBodyText"/>
            </w:pPr>
            <w:r>
              <w:t>017D</w:t>
            </w:r>
          </w:p>
        </w:tc>
      </w:tr>
      <w:tr w:rsidR="005F78FC" w:rsidTr="005F78FC">
        <w:tc>
          <w:tcPr>
            <w:tcW w:w="0" w:type="auto"/>
            <w:vAlign w:val="center"/>
          </w:tcPr>
          <w:p w:rsidR="005F78FC" w:rsidRDefault="00B42EF3">
            <w:pPr>
              <w:pStyle w:val="TableBodyText"/>
            </w:pPr>
            <w:r>
              <w:t>ToolsAutoCorrectManager</w:t>
            </w:r>
          </w:p>
        </w:tc>
        <w:tc>
          <w:tcPr>
            <w:tcW w:w="0" w:type="auto"/>
            <w:vAlign w:val="center"/>
          </w:tcPr>
          <w:p w:rsidR="005F78FC" w:rsidRDefault="00B42EF3">
            <w:pPr>
              <w:pStyle w:val="TableBodyText"/>
            </w:pPr>
            <w:r>
              <w:t>0794</w:t>
            </w:r>
          </w:p>
        </w:tc>
      </w:tr>
      <w:tr w:rsidR="005F78FC" w:rsidTr="005F78FC">
        <w:tc>
          <w:tcPr>
            <w:tcW w:w="0" w:type="auto"/>
            <w:vAlign w:val="center"/>
          </w:tcPr>
          <w:p w:rsidR="005F78FC" w:rsidRDefault="00B42EF3">
            <w:pPr>
              <w:pStyle w:val="TableBodyText"/>
            </w:pPr>
            <w:r>
              <w:t>ToolsAutoCorrectReplaceText</w:t>
            </w:r>
          </w:p>
        </w:tc>
        <w:tc>
          <w:tcPr>
            <w:tcW w:w="0" w:type="auto"/>
            <w:vAlign w:val="center"/>
          </w:tcPr>
          <w:p w:rsidR="005F78FC" w:rsidRDefault="00B42EF3">
            <w:pPr>
              <w:pStyle w:val="TableBodyText"/>
            </w:pPr>
            <w:r>
              <w:t>017C</w:t>
            </w:r>
          </w:p>
        </w:tc>
      </w:tr>
      <w:tr w:rsidR="005F78FC" w:rsidTr="005F78FC">
        <w:tc>
          <w:tcPr>
            <w:tcW w:w="0" w:type="auto"/>
            <w:vAlign w:val="center"/>
          </w:tcPr>
          <w:p w:rsidR="005F78FC" w:rsidRDefault="00B42EF3">
            <w:pPr>
              <w:pStyle w:val="TableBodyText"/>
            </w:pPr>
            <w:r>
              <w:t>ToolsAutoCorrectSentenceCaps</w:t>
            </w:r>
          </w:p>
        </w:tc>
        <w:tc>
          <w:tcPr>
            <w:tcW w:w="0" w:type="auto"/>
            <w:vAlign w:val="center"/>
          </w:tcPr>
          <w:p w:rsidR="005F78FC" w:rsidRDefault="00B42EF3">
            <w:pPr>
              <w:pStyle w:val="TableBodyText"/>
            </w:pPr>
            <w:r>
              <w:t>017F</w:t>
            </w:r>
          </w:p>
        </w:tc>
      </w:tr>
      <w:tr w:rsidR="005F78FC" w:rsidTr="005F78FC">
        <w:tc>
          <w:tcPr>
            <w:tcW w:w="0" w:type="auto"/>
            <w:vAlign w:val="center"/>
          </w:tcPr>
          <w:p w:rsidR="005F78FC" w:rsidRDefault="00B42EF3">
            <w:pPr>
              <w:pStyle w:val="TableBodyText"/>
            </w:pPr>
            <w:r>
              <w:t>ToolsAutoCorrectSmartQuotes</w:t>
            </w:r>
          </w:p>
        </w:tc>
        <w:tc>
          <w:tcPr>
            <w:tcW w:w="0" w:type="auto"/>
            <w:vAlign w:val="center"/>
          </w:tcPr>
          <w:p w:rsidR="005F78FC" w:rsidRDefault="00B42EF3">
            <w:pPr>
              <w:pStyle w:val="TableBodyText"/>
            </w:pPr>
            <w:r>
              <w:t>00E3</w:t>
            </w:r>
          </w:p>
        </w:tc>
      </w:tr>
      <w:tr w:rsidR="005F78FC" w:rsidTr="005F78FC">
        <w:tc>
          <w:tcPr>
            <w:tcW w:w="0" w:type="auto"/>
            <w:vAlign w:val="center"/>
          </w:tcPr>
          <w:p w:rsidR="005F78FC" w:rsidRDefault="00B42EF3">
            <w:pPr>
              <w:pStyle w:val="TableBodyText"/>
            </w:pPr>
            <w:r>
              <w:t>ToolsAutoManager</w:t>
            </w:r>
          </w:p>
        </w:tc>
        <w:tc>
          <w:tcPr>
            <w:tcW w:w="0" w:type="auto"/>
            <w:vAlign w:val="center"/>
          </w:tcPr>
          <w:p w:rsidR="005F78FC" w:rsidRDefault="00B42EF3">
            <w:pPr>
              <w:pStyle w:val="TableBodyText"/>
            </w:pPr>
            <w:r>
              <w:t>0393</w:t>
            </w:r>
          </w:p>
        </w:tc>
      </w:tr>
      <w:tr w:rsidR="005F78FC" w:rsidTr="005F78FC">
        <w:tc>
          <w:tcPr>
            <w:tcW w:w="0" w:type="auto"/>
            <w:vAlign w:val="center"/>
          </w:tcPr>
          <w:p w:rsidR="005F78FC" w:rsidRDefault="00B42EF3">
            <w:pPr>
              <w:pStyle w:val="TableBodyText"/>
            </w:pPr>
            <w:r>
              <w:t>ToolsAutoSummarize</w:t>
            </w:r>
          </w:p>
        </w:tc>
        <w:tc>
          <w:tcPr>
            <w:tcW w:w="0" w:type="auto"/>
            <w:vAlign w:val="center"/>
          </w:tcPr>
          <w:p w:rsidR="005F78FC" w:rsidRDefault="00B42EF3">
            <w:pPr>
              <w:pStyle w:val="TableBodyText"/>
            </w:pPr>
            <w:r>
              <w:t>0389</w:t>
            </w:r>
          </w:p>
        </w:tc>
      </w:tr>
      <w:tr w:rsidR="005F78FC" w:rsidTr="005F78FC">
        <w:tc>
          <w:tcPr>
            <w:tcW w:w="0" w:type="auto"/>
            <w:vAlign w:val="center"/>
          </w:tcPr>
          <w:p w:rsidR="005F78FC" w:rsidRDefault="00B42EF3">
            <w:pPr>
              <w:pStyle w:val="TableBodyText"/>
            </w:pPr>
            <w:r>
              <w:t>ToolsAutoSummarizeBegin</w:t>
            </w:r>
          </w:p>
        </w:tc>
        <w:tc>
          <w:tcPr>
            <w:tcW w:w="0" w:type="auto"/>
            <w:vAlign w:val="center"/>
          </w:tcPr>
          <w:p w:rsidR="005F78FC" w:rsidRDefault="00B42EF3">
            <w:pPr>
              <w:pStyle w:val="TableBodyText"/>
            </w:pPr>
            <w:r>
              <w:t>036A</w:t>
            </w:r>
          </w:p>
        </w:tc>
      </w:tr>
      <w:tr w:rsidR="005F78FC" w:rsidTr="005F78FC">
        <w:tc>
          <w:tcPr>
            <w:tcW w:w="0" w:type="auto"/>
            <w:vAlign w:val="center"/>
          </w:tcPr>
          <w:p w:rsidR="005F78FC" w:rsidRDefault="00B42EF3">
            <w:pPr>
              <w:pStyle w:val="TableBodyText"/>
            </w:pPr>
            <w:r>
              <w:t>ToolsBookshelfDefineReference</w:t>
            </w:r>
          </w:p>
        </w:tc>
        <w:tc>
          <w:tcPr>
            <w:tcW w:w="0" w:type="auto"/>
            <w:vAlign w:val="center"/>
          </w:tcPr>
          <w:p w:rsidR="005F78FC" w:rsidRDefault="00B42EF3">
            <w:pPr>
              <w:pStyle w:val="TableBodyText"/>
            </w:pPr>
            <w:r>
              <w:t>03BE</w:t>
            </w:r>
          </w:p>
        </w:tc>
      </w:tr>
      <w:tr w:rsidR="005F78FC" w:rsidTr="005F78FC">
        <w:tc>
          <w:tcPr>
            <w:tcW w:w="0" w:type="auto"/>
            <w:vAlign w:val="center"/>
          </w:tcPr>
          <w:p w:rsidR="005F78FC" w:rsidRDefault="00B42EF3">
            <w:pPr>
              <w:pStyle w:val="TableBodyText"/>
            </w:pPr>
            <w:r>
              <w:t>ToolsBookshelfLookupReference</w:t>
            </w:r>
          </w:p>
        </w:tc>
        <w:tc>
          <w:tcPr>
            <w:tcW w:w="0" w:type="auto"/>
            <w:vAlign w:val="center"/>
          </w:tcPr>
          <w:p w:rsidR="005F78FC" w:rsidRDefault="00B42EF3">
            <w:pPr>
              <w:pStyle w:val="TableBodyText"/>
            </w:pPr>
            <w:r>
              <w:t>03BD</w:t>
            </w:r>
          </w:p>
        </w:tc>
      </w:tr>
      <w:tr w:rsidR="005F78FC" w:rsidTr="005F78FC">
        <w:tc>
          <w:tcPr>
            <w:tcW w:w="0" w:type="auto"/>
            <w:vAlign w:val="center"/>
          </w:tcPr>
          <w:p w:rsidR="005F78FC" w:rsidRDefault="00B42EF3">
            <w:pPr>
              <w:pStyle w:val="TableBodyText"/>
            </w:pPr>
            <w:r>
              <w:t>ToolsBulletListDefault</w:t>
            </w:r>
          </w:p>
        </w:tc>
        <w:tc>
          <w:tcPr>
            <w:tcW w:w="0" w:type="auto"/>
            <w:vAlign w:val="center"/>
          </w:tcPr>
          <w:p w:rsidR="005F78FC" w:rsidRDefault="00B42EF3">
            <w:pPr>
              <w:pStyle w:val="TableBodyText"/>
            </w:pPr>
            <w:r>
              <w:t>0133</w:t>
            </w:r>
          </w:p>
        </w:tc>
      </w:tr>
      <w:tr w:rsidR="005F78FC" w:rsidTr="005F78FC">
        <w:tc>
          <w:tcPr>
            <w:tcW w:w="0" w:type="auto"/>
            <w:vAlign w:val="center"/>
          </w:tcPr>
          <w:p w:rsidR="005F78FC" w:rsidRDefault="00B42EF3">
            <w:pPr>
              <w:pStyle w:val="TableBodyText"/>
            </w:pPr>
            <w:r>
              <w:t>ToolsBulletsNumbers</w:t>
            </w:r>
          </w:p>
        </w:tc>
        <w:tc>
          <w:tcPr>
            <w:tcW w:w="0" w:type="auto"/>
            <w:vAlign w:val="center"/>
          </w:tcPr>
          <w:p w:rsidR="005F78FC" w:rsidRDefault="00B42EF3">
            <w:pPr>
              <w:pStyle w:val="TableBodyText"/>
            </w:pPr>
            <w:r>
              <w:t>00C4</w:t>
            </w:r>
          </w:p>
        </w:tc>
      </w:tr>
      <w:tr w:rsidR="005F78FC" w:rsidTr="005F78FC">
        <w:tc>
          <w:tcPr>
            <w:tcW w:w="0" w:type="auto"/>
            <w:vAlign w:val="center"/>
          </w:tcPr>
          <w:p w:rsidR="005F78FC" w:rsidRDefault="00B42EF3">
            <w:pPr>
              <w:pStyle w:val="TableBodyText"/>
            </w:pPr>
            <w:r>
              <w:t>ToolsBusu</w:t>
            </w:r>
          </w:p>
        </w:tc>
        <w:tc>
          <w:tcPr>
            <w:tcW w:w="0" w:type="auto"/>
            <w:vAlign w:val="center"/>
          </w:tcPr>
          <w:p w:rsidR="005F78FC" w:rsidRDefault="00B42EF3">
            <w:pPr>
              <w:pStyle w:val="TableBodyText"/>
            </w:pPr>
            <w:r>
              <w:t>03AB</w:t>
            </w:r>
          </w:p>
        </w:tc>
      </w:tr>
      <w:tr w:rsidR="005F78FC" w:rsidTr="005F78FC">
        <w:tc>
          <w:tcPr>
            <w:tcW w:w="0" w:type="auto"/>
            <w:vAlign w:val="center"/>
          </w:tcPr>
          <w:p w:rsidR="005F78FC" w:rsidRDefault="00B42EF3">
            <w:pPr>
              <w:pStyle w:val="TableBodyText"/>
            </w:pPr>
            <w:r>
              <w:t>ToolsCalculate</w:t>
            </w:r>
          </w:p>
        </w:tc>
        <w:tc>
          <w:tcPr>
            <w:tcW w:w="0" w:type="auto"/>
            <w:vAlign w:val="center"/>
          </w:tcPr>
          <w:p w:rsidR="005F78FC" w:rsidRDefault="00B42EF3">
            <w:pPr>
              <w:pStyle w:val="TableBodyText"/>
            </w:pPr>
            <w:r>
              <w:t>00C8</w:t>
            </w:r>
          </w:p>
        </w:tc>
      </w:tr>
      <w:tr w:rsidR="005F78FC" w:rsidTr="005F78FC">
        <w:tc>
          <w:tcPr>
            <w:tcW w:w="0" w:type="auto"/>
            <w:vAlign w:val="center"/>
          </w:tcPr>
          <w:p w:rsidR="005F78FC" w:rsidRDefault="00B42EF3">
            <w:pPr>
              <w:pStyle w:val="TableBodyText"/>
            </w:pPr>
            <w:r>
              <w:t>ToolsCompareVersions</w:t>
            </w:r>
          </w:p>
        </w:tc>
        <w:tc>
          <w:tcPr>
            <w:tcW w:w="0" w:type="auto"/>
            <w:vAlign w:val="center"/>
          </w:tcPr>
          <w:p w:rsidR="005F78FC" w:rsidRDefault="00B42EF3">
            <w:pPr>
              <w:pStyle w:val="TableBodyText"/>
            </w:pPr>
            <w:r>
              <w:t>00C6</w:t>
            </w:r>
          </w:p>
        </w:tc>
      </w:tr>
      <w:tr w:rsidR="005F78FC" w:rsidTr="005F78FC">
        <w:tc>
          <w:tcPr>
            <w:tcW w:w="0" w:type="auto"/>
            <w:vAlign w:val="center"/>
          </w:tcPr>
          <w:p w:rsidR="005F78FC" w:rsidRDefault="00B42EF3">
            <w:pPr>
              <w:pStyle w:val="TableBodyText"/>
            </w:pPr>
            <w:r>
              <w:t>ToolsConsistency</w:t>
            </w:r>
          </w:p>
        </w:tc>
        <w:tc>
          <w:tcPr>
            <w:tcW w:w="0" w:type="auto"/>
            <w:vAlign w:val="center"/>
          </w:tcPr>
          <w:p w:rsidR="005F78FC" w:rsidRDefault="00B42EF3">
            <w:pPr>
              <w:pStyle w:val="TableBodyText"/>
            </w:pPr>
            <w:r>
              <w:t>03E0</w:t>
            </w:r>
          </w:p>
        </w:tc>
      </w:tr>
      <w:tr w:rsidR="005F78FC" w:rsidTr="005F78FC">
        <w:tc>
          <w:tcPr>
            <w:tcW w:w="0" w:type="auto"/>
            <w:vAlign w:val="center"/>
          </w:tcPr>
          <w:p w:rsidR="005F78FC" w:rsidRDefault="00B42EF3">
            <w:pPr>
              <w:pStyle w:val="TableBodyText"/>
            </w:pPr>
            <w:r>
              <w:t>ToolsCreateDirectory</w:t>
            </w:r>
          </w:p>
        </w:tc>
        <w:tc>
          <w:tcPr>
            <w:tcW w:w="0" w:type="auto"/>
            <w:vAlign w:val="center"/>
          </w:tcPr>
          <w:p w:rsidR="005F78FC" w:rsidRDefault="00B42EF3">
            <w:pPr>
              <w:pStyle w:val="TableBodyText"/>
            </w:pPr>
            <w:r>
              <w:t>0341</w:t>
            </w:r>
          </w:p>
        </w:tc>
      </w:tr>
      <w:tr w:rsidR="005F78FC" w:rsidTr="005F78FC">
        <w:tc>
          <w:tcPr>
            <w:tcW w:w="0" w:type="auto"/>
            <w:vAlign w:val="center"/>
          </w:tcPr>
          <w:p w:rsidR="005F78FC" w:rsidRDefault="00B42EF3">
            <w:pPr>
              <w:pStyle w:val="TableBodyText"/>
            </w:pPr>
            <w:r>
              <w:t>ToolsCreateEnvelope</w:t>
            </w:r>
          </w:p>
        </w:tc>
        <w:tc>
          <w:tcPr>
            <w:tcW w:w="0" w:type="auto"/>
            <w:vAlign w:val="center"/>
          </w:tcPr>
          <w:p w:rsidR="005F78FC" w:rsidRDefault="00B42EF3">
            <w:pPr>
              <w:pStyle w:val="TableBodyText"/>
            </w:pPr>
            <w:r>
              <w:t>00AD</w:t>
            </w:r>
          </w:p>
        </w:tc>
      </w:tr>
      <w:tr w:rsidR="005F78FC" w:rsidTr="005F78FC">
        <w:tc>
          <w:tcPr>
            <w:tcW w:w="0" w:type="auto"/>
            <w:vAlign w:val="center"/>
          </w:tcPr>
          <w:p w:rsidR="005F78FC" w:rsidRDefault="00B42EF3">
            <w:pPr>
              <w:pStyle w:val="TableBodyText"/>
            </w:pPr>
            <w:r>
              <w:t>ToolsCreateLabels</w:t>
            </w:r>
          </w:p>
        </w:tc>
        <w:tc>
          <w:tcPr>
            <w:tcW w:w="0" w:type="auto"/>
            <w:vAlign w:val="center"/>
          </w:tcPr>
          <w:p w:rsidR="005F78FC" w:rsidRDefault="00B42EF3">
            <w:pPr>
              <w:pStyle w:val="TableBodyText"/>
            </w:pPr>
            <w:r>
              <w:t>01E9</w:t>
            </w:r>
          </w:p>
        </w:tc>
      </w:tr>
      <w:tr w:rsidR="005F78FC" w:rsidTr="005F78FC">
        <w:tc>
          <w:tcPr>
            <w:tcW w:w="0" w:type="auto"/>
            <w:vAlign w:val="center"/>
          </w:tcPr>
          <w:p w:rsidR="005F78FC" w:rsidRDefault="00B42EF3">
            <w:pPr>
              <w:pStyle w:val="TableBodyText"/>
            </w:pPr>
            <w:r>
              <w:lastRenderedPageBreak/>
              <w:t>ToolsCustomize</w:t>
            </w:r>
          </w:p>
        </w:tc>
        <w:tc>
          <w:tcPr>
            <w:tcW w:w="0" w:type="auto"/>
            <w:vAlign w:val="center"/>
          </w:tcPr>
          <w:p w:rsidR="005F78FC" w:rsidRDefault="00B42EF3">
            <w:pPr>
              <w:pStyle w:val="TableBodyText"/>
            </w:pPr>
            <w:r>
              <w:t>0098</w:t>
            </w:r>
          </w:p>
        </w:tc>
      </w:tr>
      <w:tr w:rsidR="005F78FC" w:rsidTr="005F78FC">
        <w:tc>
          <w:tcPr>
            <w:tcW w:w="0" w:type="auto"/>
            <w:vAlign w:val="center"/>
          </w:tcPr>
          <w:p w:rsidR="005F78FC" w:rsidRDefault="00B42EF3">
            <w:pPr>
              <w:pStyle w:val="TableBodyText"/>
            </w:pPr>
            <w:r>
              <w:t>ToolsCustomizeAddMenuShortcut</w:t>
            </w:r>
          </w:p>
        </w:tc>
        <w:tc>
          <w:tcPr>
            <w:tcW w:w="0" w:type="auto"/>
            <w:vAlign w:val="center"/>
          </w:tcPr>
          <w:p w:rsidR="005F78FC" w:rsidRDefault="00B42EF3">
            <w:pPr>
              <w:pStyle w:val="TableBodyText"/>
            </w:pPr>
            <w:r>
              <w:t>022E</w:t>
            </w:r>
          </w:p>
        </w:tc>
      </w:tr>
      <w:tr w:rsidR="005F78FC" w:rsidTr="005F78FC">
        <w:tc>
          <w:tcPr>
            <w:tcW w:w="0" w:type="auto"/>
            <w:vAlign w:val="center"/>
          </w:tcPr>
          <w:p w:rsidR="005F78FC" w:rsidRDefault="00B42EF3">
            <w:pPr>
              <w:pStyle w:val="TableBodyText"/>
            </w:pPr>
            <w:r>
              <w:t>ToolsCustomizeKeyboard</w:t>
            </w:r>
          </w:p>
        </w:tc>
        <w:tc>
          <w:tcPr>
            <w:tcW w:w="0" w:type="auto"/>
            <w:vAlign w:val="center"/>
          </w:tcPr>
          <w:p w:rsidR="005F78FC" w:rsidRDefault="00B42EF3">
            <w:pPr>
              <w:pStyle w:val="TableBodyText"/>
            </w:pPr>
            <w:r>
              <w:t>01B0</w:t>
            </w:r>
          </w:p>
        </w:tc>
      </w:tr>
      <w:tr w:rsidR="005F78FC" w:rsidTr="005F78FC">
        <w:tc>
          <w:tcPr>
            <w:tcW w:w="0" w:type="auto"/>
            <w:vAlign w:val="center"/>
          </w:tcPr>
          <w:p w:rsidR="005F78FC" w:rsidRDefault="00B42EF3">
            <w:pPr>
              <w:pStyle w:val="TableBodyText"/>
            </w:pPr>
            <w:r>
              <w:t>ToolsCustomizeKeyboardShortcut</w:t>
            </w:r>
          </w:p>
        </w:tc>
        <w:tc>
          <w:tcPr>
            <w:tcW w:w="0" w:type="auto"/>
            <w:vAlign w:val="center"/>
          </w:tcPr>
          <w:p w:rsidR="005F78FC" w:rsidRDefault="00B42EF3">
            <w:pPr>
              <w:pStyle w:val="TableBodyText"/>
            </w:pPr>
            <w:r>
              <w:t>022D</w:t>
            </w:r>
          </w:p>
        </w:tc>
      </w:tr>
      <w:tr w:rsidR="005F78FC" w:rsidTr="005F78FC">
        <w:tc>
          <w:tcPr>
            <w:tcW w:w="0" w:type="auto"/>
            <w:vAlign w:val="center"/>
          </w:tcPr>
          <w:p w:rsidR="005F78FC" w:rsidRDefault="00B42EF3">
            <w:pPr>
              <w:pStyle w:val="TableBodyText"/>
            </w:pPr>
            <w:r>
              <w:t>ToolsCustomizeMenuBar</w:t>
            </w:r>
          </w:p>
        </w:tc>
        <w:tc>
          <w:tcPr>
            <w:tcW w:w="0" w:type="auto"/>
            <w:vAlign w:val="center"/>
          </w:tcPr>
          <w:p w:rsidR="005F78FC" w:rsidRDefault="00B42EF3">
            <w:pPr>
              <w:pStyle w:val="TableBodyText"/>
            </w:pPr>
            <w:r>
              <w:t>0267</w:t>
            </w:r>
          </w:p>
        </w:tc>
      </w:tr>
      <w:tr w:rsidR="005F78FC" w:rsidTr="005F78FC">
        <w:tc>
          <w:tcPr>
            <w:tcW w:w="0" w:type="auto"/>
            <w:vAlign w:val="center"/>
          </w:tcPr>
          <w:p w:rsidR="005F78FC" w:rsidRDefault="00B42EF3">
            <w:pPr>
              <w:pStyle w:val="TableBodyText"/>
            </w:pPr>
            <w:r>
              <w:t>ToolsCustomizeMenus</w:t>
            </w:r>
          </w:p>
        </w:tc>
        <w:tc>
          <w:tcPr>
            <w:tcW w:w="0" w:type="auto"/>
            <w:vAlign w:val="center"/>
          </w:tcPr>
          <w:p w:rsidR="005F78FC" w:rsidRDefault="00B42EF3">
            <w:pPr>
              <w:pStyle w:val="TableBodyText"/>
            </w:pPr>
            <w:r>
              <w:t>01B1</w:t>
            </w:r>
          </w:p>
        </w:tc>
      </w:tr>
      <w:tr w:rsidR="005F78FC" w:rsidTr="005F78FC">
        <w:tc>
          <w:tcPr>
            <w:tcW w:w="0" w:type="auto"/>
            <w:vAlign w:val="center"/>
          </w:tcPr>
          <w:p w:rsidR="005F78FC" w:rsidRDefault="00B42EF3">
            <w:pPr>
              <w:pStyle w:val="TableBodyText"/>
            </w:pPr>
            <w:r>
              <w:t>ToolsCustomizeRemoveMenuShortcut</w:t>
            </w:r>
          </w:p>
        </w:tc>
        <w:tc>
          <w:tcPr>
            <w:tcW w:w="0" w:type="auto"/>
            <w:vAlign w:val="center"/>
          </w:tcPr>
          <w:p w:rsidR="005F78FC" w:rsidRDefault="00B42EF3">
            <w:pPr>
              <w:pStyle w:val="TableBodyText"/>
            </w:pPr>
            <w:r>
              <w:t>0259</w:t>
            </w:r>
          </w:p>
        </w:tc>
      </w:tr>
      <w:tr w:rsidR="005F78FC" w:rsidTr="005F78FC">
        <w:tc>
          <w:tcPr>
            <w:tcW w:w="0" w:type="auto"/>
            <w:vAlign w:val="center"/>
          </w:tcPr>
          <w:p w:rsidR="005F78FC" w:rsidRDefault="00B42EF3">
            <w:pPr>
              <w:pStyle w:val="TableBodyText"/>
            </w:pPr>
            <w:r>
              <w:t>ToolsCustomizeToolbar</w:t>
            </w:r>
          </w:p>
        </w:tc>
        <w:tc>
          <w:tcPr>
            <w:tcW w:w="0" w:type="auto"/>
            <w:vAlign w:val="center"/>
          </w:tcPr>
          <w:p w:rsidR="005F78FC" w:rsidRDefault="00B42EF3">
            <w:pPr>
              <w:pStyle w:val="TableBodyText"/>
            </w:pPr>
            <w:r>
              <w:t>02CC</w:t>
            </w:r>
          </w:p>
        </w:tc>
      </w:tr>
      <w:tr w:rsidR="005F78FC" w:rsidTr="005F78FC">
        <w:tc>
          <w:tcPr>
            <w:tcW w:w="0" w:type="auto"/>
            <w:vAlign w:val="center"/>
          </w:tcPr>
          <w:p w:rsidR="005F78FC" w:rsidRDefault="00B42EF3">
            <w:pPr>
              <w:pStyle w:val="TableBodyText"/>
            </w:pPr>
            <w:r>
              <w:t>ToolsDictionary</w:t>
            </w:r>
          </w:p>
        </w:tc>
        <w:tc>
          <w:tcPr>
            <w:tcW w:w="0" w:type="auto"/>
            <w:vAlign w:val="center"/>
          </w:tcPr>
          <w:p w:rsidR="005F78FC" w:rsidRDefault="00B42EF3">
            <w:pPr>
              <w:pStyle w:val="TableBodyText"/>
            </w:pPr>
            <w:r>
              <w:t>03DD</w:t>
            </w:r>
          </w:p>
        </w:tc>
      </w:tr>
      <w:tr w:rsidR="005F78FC" w:rsidTr="005F78FC">
        <w:tc>
          <w:tcPr>
            <w:tcW w:w="0" w:type="auto"/>
            <w:vAlign w:val="center"/>
          </w:tcPr>
          <w:p w:rsidR="005F78FC" w:rsidRDefault="00B42EF3">
            <w:pPr>
              <w:pStyle w:val="TableBodyText"/>
            </w:pPr>
            <w:r>
              <w:t>ToolsEServices</w:t>
            </w:r>
          </w:p>
        </w:tc>
        <w:tc>
          <w:tcPr>
            <w:tcW w:w="0" w:type="auto"/>
            <w:vAlign w:val="center"/>
          </w:tcPr>
          <w:p w:rsidR="005F78FC" w:rsidRDefault="00B42EF3">
            <w:pPr>
              <w:pStyle w:val="TableBodyText"/>
            </w:pPr>
            <w:r>
              <w:t>0567</w:t>
            </w:r>
          </w:p>
        </w:tc>
      </w:tr>
      <w:tr w:rsidR="005F78FC" w:rsidTr="005F78FC">
        <w:tc>
          <w:tcPr>
            <w:tcW w:w="0" w:type="auto"/>
            <w:vAlign w:val="center"/>
          </w:tcPr>
          <w:p w:rsidR="005F78FC" w:rsidRDefault="00B42EF3">
            <w:pPr>
              <w:pStyle w:val="TableBodyText"/>
            </w:pPr>
            <w:r>
              <w:t>ToolsEnvelopesAndLabels</w:t>
            </w:r>
          </w:p>
        </w:tc>
        <w:tc>
          <w:tcPr>
            <w:tcW w:w="0" w:type="auto"/>
            <w:vAlign w:val="center"/>
          </w:tcPr>
          <w:p w:rsidR="005F78FC" w:rsidRDefault="00B42EF3">
            <w:pPr>
              <w:pStyle w:val="TableBodyText"/>
            </w:pPr>
            <w:r>
              <w:t>025F</w:t>
            </w:r>
          </w:p>
        </w:tc>
      </w:tr>
      <w:tr w:rsidR="005F78FC" w:rsidTr="005F78FC">
        <w:tc>
          <w:tcPr>
            <w:tcW w:w="0" w:type="auto"/>
            <w:vAlign w:val="center"/>
          </w:tcPr>
          <w:p w:rsidR="005F78FC" w:rsidRDefault="00B42EF3">
            <w:pPr>
              <w:pStyle w:val="TableBodyText"/>
            </w:pPr>
            <w:r>
              <w:t>ToolsFixHHC</w:t>
            </w:r>
          </w:p>
        </w:tc>
        <w:tc>
          <w:tcPr>
            <w:tcW w:w="0" w:type="auto"/>
            <w:vAlign w:val="center"/>
          </w:tcPr>
          <w:p w:rsidR="005F78FC" w:rsidRDefault="00B42EF3">
            <w:pPr>
              <w:pStyle w:val="TableBodyText"/>
            </w:pPr>
            <w:r>
              <w:t>04EE</w:t>
            </w:r>
          </w:p>
        </w:tc>
      </w:tr>
      <w:tr w:rsidR="005F78FC" w:rsidTr="005F78FC">
        <w:tc>
          <w:tcPr>
            <w:tcW w:w="0" w:type="auto"/>
            <w:vAlign w:val="center"/>
          </w:tcPr>
          <w:p w:rsidR="005F78FC" w:rsidRDefault="00B42EF3">
            <w:pPr>
              <w:pStyle w:val="TableBodyText"/>
            </w:pPr>
            <w:r>
              <w:t>ToolsGramSettings</w:t>
            </w:r>
          </w:p>
        </w:tc>
        <w:tc>
          <w:tcPr>
            <w:tcW w:w="0" w:type="auto"/>
            <w:vAlign w:val="center"/>
          </w:tcPr>
          <w:p w:rsidR="005F78FC" w:rsidRDefault="00B42EF3">
            <w:pPr>
              <w:pStyle w:val="TableBodyText"/>
            </w:pPr>
            <w:r>
              <w:t>0375</w:t>
            </w:r>
          </w:p>
        </w:tc>
      </w:tr>
      <w:tr w:rsidR="005F78FC" w:rsidTr="005F78FC">
        <w:tc>
          <w:tcPr>
            <w:tcW w:w="0" w:type="auto"/>
            <w:vAlign w:val="center"/>
          </w:tcPr>
          <w:p w:rsidR="005F78FC" w:rsidRDefault="00B42EF3">
            <w:pPr>
              <w:pStyle w:val="TableBodyText"/>
            </w:pPr>
            <w:r>
              <w:t>ToolsGrammar</w:t>
            </w:r>
          </w:p>
        </w:tc>
        <w:tc>
          <w:tcPr>
            <w:tcW w:w="0" w:type="auto"/>
            <w:vAlign w:val="center"/>
          </w:tcPr>
          <w:p w:rsidR="005F78FC" w:rsidRDefault="00B42EF3">
            <w:pPr>
              <w:pStyle w:val="TableBodyText"/>
            </w:pPr>
            <w:r>
              <w:t>00C1</w:t>
            </w:r>
          </w:p>
        </w:tc>
      </w:tr>
      <w:tr w:rsidR="005F78FC" w:rsidTr="005F78FC">
        <w:tc>
          <w:tcPr>
            <w:tcW w:w="0" w:type="auto"/>
            <w:vAlign w:val="center"/>
          </w:tcPr>
          <w:p w:rsidR="005F78FC" w:rsidRDefault="00B42EF3">
            <w:pPr>
              <w:pStyle w:val="TableBodyText"/>
            </w:pPr>
            <w:r>
              <w:t>ToolsGrammarHide</w:t>
            </w:r>
          </w:p>
        </w:tc>
        <w:tc>
          <w:tcPr>
            <w:tcW w:w="0" w:type="auto"/>
            <w:vAlign w:val="center"/>
          </w:tcPr>
          <w:p w:rsidR="005F78FC" w:rsidRDefault="00B42EF3">
            <w:pPr>
              <w:pStyle w:val="TableBodyText"/>
            </w:pPr>
            <w:r>
              <w:t>03D3</w:t>
            </w:r>
          </w:p>
        </w:tc>
      </w:tr>
      <w:tr w:rsidR="005F78FC" w:rsidTr="005F78FC">
        <w:tc>
          <w:tcPr>
            <w:tcW w:w="0" w:type="auto"/>
            <w:vAlign w:val="center"/>
          </w:tcPr>
          <w:p w:rsidR="005F78FC" w:rsidRDefault="00B42EF3">
            <w:pPr>
              <w:pStyle w:val="TableBodyText"/>
            </w:pPr>
            <w:r>
              <w:t>ToolsGrammarRange</w:t>
            </w:r>
          </w:p>
        </w:tc>
        <w:tc>
          <w:tcPr>
            <w:tcW w:w="0" w:type="auto"/>
            <w:vAlign w:val="center"/>
          </w:tcPr>
          <w:p w:rsidR="005F78FC" w:rsidRDefault="00B42EF3">
            <w:pPr>
              <w:pStyle w:val="TableBodyText"/>
            </w:pPr>
            <w:r>
              <w:t>034F</w:t>
            </w:r>
          </w:p>
        </w:tc>
      </w:tr>
      <w:tr w:rsidR="005F78FC" w:rsidTr="005F78FC">
        <w:tc>
          <w:tcPr>
            <w:tcW w:w="0" w:type="auto"/>
            <w:vAlign w:val="center"/>
          </w:tcPr>
          <w:p w:rsidR="005F78FC" w:rsidRDefault="00B42EF3">
            <w:pPr>
              <w:pStyle w:val="TableBodyText"/>
            </w:pPr>
            <w:r>
              <w:t>ToolsHHC</w:t>
            </w:r>
          </w:p>
        </w:tc>
        <w:tc>
          <w:tcPr>
            <w:tcW w:w="0" w:type="auto"/>
            <w:vAlign w:val="center"/>
          </w:tcPr>
          <w:p w:rsidR="005F78FC" w:rsidRDefault="00B42EF3">
            <w:pPr>
              <w:pStyle w:val="TableBodyText"/>
            </w:pPr>
            <w:r>
              <w:t>0310</w:t>
            </w:r>
          </w:p>
        </w:tc>
      </w:tr>
      <w:tr w:rsidR="005F78FC" w:rsidTr="005F78FC">
        <w:tc>
          <w:tcPr>
            <w:tcW w:w="0" w:type="auto"/>
            <w:vAlign w:val="center"/>
          </w:tcPr>
          <w:p w:rsidR="005F78FC" w:rsidRDefault="00B42EF3">
            <w:pPr>
              <w:pStyle w:val="TableBodyText"/>
            </w:pPr>
            <w:r>
              <w:t>ToolsHyphenation</w:t>
            </w:r>
          </w:p>
        </w:tc>
        <w:tc>
          <w:tcPr>
            <w:tcW w:w="0" w:type="auto"/>
            <w:vAlign w:val="center"/>
          </w:tcPr>
          <w:p w:rsidR="005F78FC" w:rsidRDefault="00B42EF3">
            <w:pPr>
              <w:pStyle w:val="TableBodyText"/>
            </w:pPr>
            <w:r>
              <w:t>00C3</w:t>
            </w:r>
          </w:p>
        </w:tc>
      </w:tr>
      <w:tr w:rsidR="005F78FC" w:rsidTr="005F78FC">
        <w:tc>
          <w:tcPr>
            <w:tcW w:w="0" w:type="auto"/>
            <w:vAlign w:val="center"/>
          </w:tcPr>
          <w:p w:rsidR="005F78FC" w:rsidRDefault="00B42EF3">
            <w:pPr>
              <w:pStyle w:val="TableBodyText"/>
            </w:pPr>
            <w:r>
              <w:t>ToolsHyphenationAutoOff</w:t>
            </w:r>
          </w:p>
        </w:tc>
        <w:tc>
          <w:tcPr>
            <w:tcW w:w="0" w:type="auto"/>
            <w:vAlign w:val="center"/>
          </w:tcPr>
          <w:p w:rsidR="005F78FC" w:rsidRDefault="00B42EF3">
            <w:pPr>
              <w:pStyle w:val="TableBodyText"/>
            </w:pPr>
            <w:r>
              <w:t>081D</w:t>
            </w:r>
          </w:p>
        </w:tc>
      </w:tr>
      <w:tr w:rsidR="005F78FC" w:rsidTr="005F78FC">
        <w:tc>
          <w:tcPr>
            <w:tcW w:w="0" w:type="auto"/>
            <w:vAlign w:val="center"/>
          </w:tcPr>
          <w:p w:rsidR="005F78FC" w:rsidRDefault="00B42EF3">
            <w:pPr>
              <w:pStyle w:val="TableBodyText"/>
            </w:pPr>
            <w:r>
              <w:t>ToolsHyphenationAutoOn</w:t>
            </w:r>
          </w:p>
        </w:tc>
        <w:tc>
          <w:tcPr>
            <w:tcW w:w="0" w:type="auto"/>
            <w:vAlign w:val="center"/>
          </w:tcPr>
          <w:p w:rsidR="005F78FC" w:rsidRDefault="00B42EF3">
            <w:pPr>
              <w:pStyle w:val="TableBodyText"/>
            </w:pPr>
            <w:r>
              <w:t>081C</w:t>
            </w:r>
          </w:p>
        </w:tc>
      </w:tr>
      <w:tr w:rsidR="005F78FC" w:rsidTr="005F78FC">
        <w:tc>
          <w:tcPr>
            <w:tcW w:w="0" w:type="auto"/>
            <w:vAlign w:val="center"/>
          </w:tcPr>
          <w:p w:rsidR="005F78FC" w:rsidRDefault="00B42EF3">
            <w:pPr>
              <w:pStyle w:val="TableBodyText"/>
            </w:pPr>
            <w:r>
              <w:t>ToolsHyphenationManual</w:t>
            </w:r>
          </w:p>
        </w:tc>
        <w:tc>
          <w:tcPr>
            <w:tcW w:w="0" w:type="auto"/>
            <w:vAlign w:val="center"/>
          </w:tcPr>
          <w:p w:rsidR="005F78FC" w:rsidRDefault="00B42EF3">
            <w:pPr>
              <w:pStyle w:val="TableBodyText"/>
            </w:pPr>
            <w:r>
              <w:t>02C0</w:t>
            </w:r>
          </w:p>
        </w:tc>
      </w:tr>
      <w:tr w:rsidR="005F78FC" w:rsidTr="005F78FC">
        <w:tc>
          <w:tcPr>
            <w:tcW w:w="0" w:type="auto"/>
            <w:vAlign w:val="center"/>
          </w:tcPr>
          <w:p w:rsidR="005F78FC" w:rsidRDefault="00B42EF3">
            <w:pPr>
              <w:pStyle w:val="TableBodyText"/>
            </w:pPr>
            <w:r>
              <w:t>ToolsInsertScript</w:t>
            </w:r>
          </w:p>
        </w:tc>
        <w:tc>
          <w:tcPr>
            <w:tcW w:w="0" w:type="auto"/>
            <w:vAlign w:val="center"/>
          </w:tcPr>
          <w:p w:rsidR="005F78FC" w:rsidRDefault="00B42EF3">
            <w:pPr>
              <w:pStyle w:val="TableBodyText"/>
            </w:pPr>
            <w:r>
              <w:t>041A</w:t>
            </w:r>
          </w:p>
        </w:tc>
      </w:tr>
      <w:tr w:rsidR="005F78FC" w:rsidTr="005F78FC">
        <w:tc>
          <w:tcPr>
            <w:tcW w:w="0" w:type="auto"/>
            <w:vAlign w:val="center"/>
          </w:tcPr>
          <w:p w:rsidR="005F78FC" w:rsidRDefault="00B42EF3">
            <w:pPr>
              <w:pStyle w:val="TableBodyText"/>
            </w:pPr>
            <w:r>
              <w:t>ToolsLanguage</w:t>
            </w:r>
          </w:p>
        </w:tc>
        <w:tc>
          <w:tcPr>
            <w:tcW w:w="0" w:type="auto"/>
            <w:vAlign w:val="center"/>
          </w:tcPr>
          <w:p w:rsidR="005F78FC" w:rsidRDefault="00B42EF3">
            <w:pPr>
              <w:pStyle w:val="TableBodyText"/>
            </w:pPr>
            <w:r>
              <w:t>00BC</w:t>
            </w:r>
          </w:p>
        </w:tc>
      </w:tr>
      <w:tr w:rsidR="005F78FC" w:rsidTr="005F78FC">
        <w:tc>
          <w:tcPr>
            <w:tcW w:w="0" w:type="auto"/>
            <w:vAlign w:val="center"/>
          </w:tcPr>
          <w:p w:rsidR="005F78FC" w:rsidRDefault="00B42EF3">
            <w:pPr>
              <w:pStyle w:val="TableBodyText"/>
            </w:pPr>
            <w:r>
              <w:t>ToolsLineNumContinuous</w:t>
            </w:r>
          </w:p>
        </w:tc>
        <w:tc>
          <w:tcPr>
            <w:tcW w:w="0" w:type="auto"/>
            <w:vAlign w:val="center"/>
          </w:tcPr>
          <w:p w:rsidR="005F78FC" w:rsidRDefault="00B42EF3">
            <w:pPr>
              <w:pStyle w:val="TableBodyText"/>
            </w:pPr>
            <w:r>
              <w:t>0832</w:t>
            </w:r>
          </w:p>
        </w:tc>
      </w:tr>
      <w:tr w:rsidR="005F78FC" w:rsidTr="005F78FC">
        <w:tc>
          <w:tcPr>
            <w:tcW w:w="0" w:type="auto"/>
            <w:vAlign w:val="center"/>
          </w:tcPr>
          <w:p w:rsidR="005F78FC" w:rsidRDefault="00B42EF3">
            <w:pPr>
              <w:pStyle w:val="TableBodyText"/>
            </w:pPr>
            <w:r>
              <w:t>ToolsLineNumOff</w:t>
            </w:r>
          </w:p>
        </w:tc>
        <w:tc>
          <w:tcPr>
            <w:tcW w:w="0" w:type="auto"/>
            <w:vAlign w:val="center"/>
          </w:tcPr>
          <w:p w:rsidR="005F78FC" w:rsidRDefault="00B42EF3">
            <w:pPr>
              <w:pStyle w:val="TableBodyText"/>
            </w:pPr>
            <w:r>
              <w:t>0831</w:t>
            </w:r>
          </w:p>
        </w:tc>
      </w:tr>
      <w:tr w:rsidR="005F78FC" w:rsidTr="005F78FC">
        <w:tc>
          <w:tcPr>
            <w:tcW w:w="0" w:type="auto"/>
            <w:vAlign w:val="center"/>
          </w:tcPr>
          <w:p w:rsidR="005F78FC" w:rsidRDefault="00B42EF3">
            <w:pPr>
              <w:pStyle w:val="TableBodyText"/>
            </w:pPr>
            <w:r>
              <w:t>ToolsLineNumResetSection</w:t>
            </w:r>
          </w:p>
        </w:tc>
        <w:tc>
          <w:tcPr>
            <w:tcW w:w="0" w:type="auto"/>
            <w:vAlign w:val="center"/>
          </w:tcPr>
          <w:p w:rsidR="005F78FC" w:rsidRDefault="00B42EF3">
            <w:pPr>
              <w:pStyle w:val="TableBodyText"/>
            </w:pPr>
            <w:r>
              <w:t>0834</w:t>
            </w:r>
          </w:p>
        </w:tc>
      </w:tr>
      <w:tr w:rsidR="005F78FC" w:rsidTr="005F78FC">
        <w:tc>
          <w:tcPr>
            <w:tcW w:w="0" w:type="auto"/>
            <w:vAlign w:val="center"/>
          </w:tcPr>
          <w:p w:rsidR="005F78FC" w:rsidRDefault="00B42EF3">
            <w:pPr>
              <w:pStyle w:val="TableBodyText"/>
            </w:pPr>
            <w:r>
              <w:t>ToolsLineNumRestPage</w:t>
            </w:r>
          </w:p>
        </w:tc>
        <w:tc>
          <w:tcPr>
            <w:tcW w:w="0" w:type="auto"/>
            <w:vAlign w:val="center"/>
          </w:tcPr>
          <w:p w:rsidR="005F78FC" w:rsidRDefault="00B42EF3">
            <w:pPr>
              <w:pStyle w:val="TableBodyText"/>
            </w:pPr>
            <w:r>
              <w:t>0833</w:t>
            </w:r>
          </w:p>
        </w:tc>
      </w:tr>
      <w:tr w:rsidR="005F78FC" w:rsidTr="005F78FC">
        <w:tc>
          <w:tcPr>
            <w:tcW w:w="0" w:type="auto"/>
            <w:vAlign w:val="center"/>
          </w:tcPr>
          <w:p w:rsidR="005F78FC" w:rsidRDefault="00B42EF3">
            <w:pPr>
              <w:pStyle w:val="TableBodyText"/>
            </w:pPr>
            <w:r>
              <w:t>ToolsLineNumSuppress</w:t>
            </w:r>
          </w:p>
        </w:tc>
        <w:tc>
          <w:tcPr>
            <w:tcW w:w="0" w:type="auto"/>
            <w:vAlign w:val="center"/>
          </w:tcPr>
          <w:p w:rsidR="005F78FC" w:rsidRDefault="00B42EF3">
            <w:pPr>
              <w:pStyle w:val="TableBodyText"/>
            </w:pPr>
            <w:r>
              <w:t>0835</w:t>
            </w:r>
          </w:p>
        </w:tc>
      </w:tr>
      <w:tr w:rsidR="005F78FC" w:rsidTr="005F78FC">
        <w:tc>
          <w:tcPr>
            <w:tcW w:w="0" w:type="auto"/>
            <w:vAlign w:val="center"/>
          </w:tcPr>
          <w:p w:rsidR="005F78FC" w:rsidRDefault="00B42EF3">
            <w:pPr>
              <w:pStyle w:val="TableBodyText"/>
            </w:pPr>
            <w:r>
              <w:t>ToolsMacro</w:t>
            </w:r>
          </w:p>
        </w:tc>
        <w:tc>
          <w:tcPr>
            <w:tcW w:w="0" w:type="auto"/>
            <w:vAlign w:val="center"/>
          </w:tcPr>
          <w:p w:rsidR="005F78FC" w:rsidRDefault="00B42EF3">
            <w:pPr>
              <w:pStyle w:val="TableBodyText"/>
            </w:pPr>
            <w:r>
              <w:t>00D7</w:t>
            </w:r>
          </w:p>
        </w:tc>
      </w:tr>
      <w:tr w:rsidR="005F78FC" w:rsidTr="005F78FC">
        <w:tc>
          <w:tcPr>
            <w:tcW w:w="0" w:type="auto"/>
            <w:vAlign w:val="center"/>
          </w:tcPr>
          <w:p w:rsidR="005F78FC" w:rsidRDefault="00B42EF3">
            <w:pPr>
              <w:pStyle w:val="TableBodyText"/>
            </w:pPr>
            <w:r>
              <w:t>ToolsManageFields</w:t>
            </w:r>
          </w:p>
        </w:tc>
        <w:tc>
          <w:tcPr>
            <w:tcW w:w="0" w:type="auto"/>
            <w:vAlign w:val="center"/>
          </w:tcPr>
          <w:p w:rsidR="005F78FC" w:rsidRDefault="00B42EF3">
            <w:pPr>
              <w:pStyle w:val="TableBodyText"/>
            </w:pPr>
            <w:r>
              <w:t>0277</w:t>
            </w:r>
          </w:p>
        </w:tc>
      </w:tr>
      <w:tr w:rsidR="005F78FC" w:rsidTr="005F78FC">
        <w:tc>
          <w:tcPr>
            <w:tcW w:w="0" w:type="auto"/>
            <w:vAlign w:val="center"/>
          </w:tcPr>
          <w:p w:rsidR="005F78FC" w:rsidRDefault="00B42EF3">
            <w:pPr>
              <w:pStyle w:val="TableBodyText"/>
            </w:pPr>
            <w:r>
              <w:t>ToolsMergeRevisions</w:t>
            </w:r>
          </w:p>
        </w:tc>
        <w:tc>
          <w:tcPr>
            <w:tcW w:w="0" w:type="auto"/>
            <w:vAlign w:val="center"/>
          </w:tcPr>
          <w:p w:rsidR="005F78FC" w:rsidRDefault="00B42EF3">
            <w:pPr>
              <w:pStyle w:val="TableBodyText"/>
            </w:pPr>
            <w:r>
              <w:t>01B3</w:t>
            </w:r>
          </w:p>
        </w:tc>
      </w:tr>
      <w:tr w:rsidR="005F78FC" w:rsidTr="005F78FC">
        <w:tc>
          <w:tcPr>
            <w:tcW w:w="0" w:type="auto"/>
            <w:vAlign w:val="center"/>
          </w:tcPr>
          <w:p w:rsidR="005F78FC" w:rsidRDefault="00B42EF3">
            <w:pPr>
              <w:pStyle w:val="TableBodyText"/>
            </w:pPr>
            <w:r>
              <w:t>ToolsNumberListDefault</w:t>
            </w:r>
          </w:p>
        </w:tc>
        <w:tc>
          <w:tcPr>
            <w:tcW w:w="0" w:type="auto"/>
            <w:vAlign w:val="center"/>
          </w:tcPr>
          <w:p w:rsidR="005F78FC" w:rsidRDefault="00B42EF3">
            <w:pPr>
              <w:pStyle w:val="TableBodyText"/>
            </w:pPr>
            <w:r>
              <w:t>0135</w:t>
            </w:r>
          </w:p>
        </w:tc>
      </w:tr>
      <w:tr w:rsidR="005F78FC" w:rsidTr="005F78FC">
        <w:tc>
          <w:tcPr>
            <w:tcW w:w="0" w:type="auto"/>
            <w:vAlign w:val="center"/>
          </w:tcPr>
          <w:p w:rsidR="005F78FC" w:rsidRDefault="00B42EF3">
            <w:pPr>
              <w:pStyle w:val="TableBodyText"/>
            </w:pPr>
            <w:r>
              <w:lastRenderedPageBreak/>
              <w:t>ToolsOptions</w:t>
            </w:r>
          </w:p>
        </w:tc>
        <w:tc>
          <w:tcPr>
            <w:tcW w:w="0" w:type="auto"/>
            <w:vAlign w:val="center"/>
          </w:tcPr>
          <w:p w:rsidR="005F78FC" w:rsidRDefault="00B42EF3">
            <w:pPr>
              <w:pStyle w:val="TableBodyText"/>
            </w:pPr>
            <w:r>
              <w:t>03CE</w:t>
            </w:r>
          </w:p>
        </w:tc>
      </w:tr>
      <w:tr w:rsidR="005F78FC" w:rsidTr="005F78FC">
        <w:tc>
          <w:tcPr>
            <w:tcW w:w="0" w:type="auto"/>
            <w:vAlign w:val="center"/>
          </w:tcPr>
          <w:p w:rsidR="005F78FC" w:rsidRDefault="00B42EF3">
            <w:pPr>
              <w:pStyle w:val="TableBodyText"/>
            </w:pPr>
            <w:r>
              <w:t>ToolsOptionsAutoFormat</w:t>
            </w:r>
          </w:p>
        </w:tc>
        <w:tc>
          <w:tcPr>
            <w:tcW w:w="0" w:type="auto"/>
            <w:vAlign w:val="center"/>
          </w:tcPr>
          <w:p w:rsidR="005F78FC" w:rsidRDefault="00B42EF3">
            <w:pPr>
              <w:pStyle w:val="TableBodyText"/>
            </w:pPr>
            <w:r>
              <w:t>03BF</w:t>
            </w:r>
          </w:p>
        </w:tc>
      </w:tr>
      <w:tr w:rsidR="005F78FC" w:rsidTr="005F78FC">
        <w:tc>
          <w:tcPr>
            <w:tcW w:w="0" w:type="auto"/>
            <w:vAlign w:val="center"/>
          </w:tcPr>
          <w:p w:rsidR="005F78FC" w:rsidRDefault="00B42EF3">
            <w:pPr>
              <w:pStyle w:val="TableBodyText"/>
            </w:pPr>
            <w:r>
              <w:t>ToolsOptionsAutoFormatAsYouType</w:t>
            </w:r>
          </w:p>
        </w:tc>
        <w:tc>
          <w:tcPr>
            <w:tcW w:w="0" w:type="auto"/>
            <w:vAlign w:val="center"/>
          </w:tcPr>
          <w:p w:rsidR="005F78FC" w:rsidRDefault="00B42EF3">
            <w:pPr>
              <w:pStyle w:val="TableBodyText"/>
            </w:pPr>
            <w:r>
              <w:t>030A</w:t>
            </w:r>
          </w:p>
        </w:tc>
      </w:tr>
      <w:tr w:rsidR="005F78FC" w:rsidTr="005F78FC">
        <w:tc>
          <w:tcPr>
            <w:tcW w:w="0" w:type="auto"/>
            <w:vAlign w:val="center"/>
          </w:tcPr>
          <w:p w:rsidR="005F78FC" w:rsidRDefault="00B42EF3">
            <w:pPr>
              <w:pStyle w:val="TableBodyText"/>
            </w:pPr>
            <w:r>
              <w:t>ToolsOptionsBidi</w:t>
            </w:r>
          </w:p>
        </w:tc>
        <w:tc>
          <w:tcPr>
            <w:tcW w:w="0" w:type="auto"/>
            <w:vAlign w:val="center"/>
          </w:tcPr>
          <w:p w:rsidR="005F78FC" w:rsidRDefault="00B42EF3">
            <w:pPr>
              <w:pStyle w:val="TableBodyText"/>
            </w:pPr>
            <w:r>
              <w:t>0405</w:t>
            </w:r>
          </w:p>
        </w:tc>
      </w:tr>
      <w:tr w:rsidR="005F78FC" w:rsidTr="005F78FC">
        <w:tc>
          <w:tcPr>
            <w:tcW w:w="0" w:type="auto"/>
            <w:vAlign w:val="center"/>
          </w:tcPr>
          <w:p w:rsidR="005F78FC" w:rsidRDefault="00B42EF3">
            <w:pPr>
              <w:pStyle w:val="TableBodyText"/>
            </w:pPr>
            <w:r>
              <w:t>ToolsOptionsCompatibility</w:t>
            </w:r>
          </w:p>
        </w:tc>
        <w:tc>
          <w:tcPr>
            <w:tcW w:w="0" w:type="auto"/>
            <w:vAlign w:val="center"/>
          </w:tcPr>
          <w:p w:rsidR="005F78FC" w:rsidRDefault="00B42EF3">
            <w:pPr>
              <w:pStyle w:val="TableBodyText"/>
            </w:pPr>
            <w:r>
              <w:t>020D</w:t>
            </w:r>
          </w:p>
        </w:tc>
      </w:tr>
      <w:tr w:rsidR="005F78FC" w:rsidTr="005F78FC">
        <w:tc>
          <w:tcPr>
            <w:tcW w:w="0" w:type="auto"/>
            <w:vAlign w:val="center"/>
          </w:tcPr>
          <w:p w:rsidR="005F78FC" w:rsidRDefault="00B42EF3">
            <w:pPr>
              <w:pStyle w:val="TableBodyText"/>
            </w:pPr>
            <w:r>
              <w:t>ToolsOptionsEdit</w:t>
            </w:r>
          </w:p>
        </w:tc>
        <w:tc>
          <w:tcPr>
            <w:tcW w:w="0" w:type="auto"/>
            <w:vAlign w:val="center"/>
          </w:tcPr>
          <w:p w:rsidR="005F78FC" w:rsidRDefault="00B42EF3">
            <w:pPr>
              <w:pStyle w:val="TableBodyText"/>
            </w:pPr>
            <w:r>
              <w:t>00E0</w:t>
            </w:r>
          </w:p>
        </w:tc>
      </w:tr>
      <w:tr w:rsidR="005F78FC" w:rsidTr="005F78FC">
        <w:tc>
          <w:tcPr>
            <w:tcW w:w="0" w:type="auto"/>
            <w:vAlign w:val="center"/>
          </w:tcPr>
          <w:p w:rsidR="005F78FC" w:rsidRDefault="00B42EF3">
            <w:pPr>
              <w:pStyle w:val="TableBodyText"/>
            </w:pPr>
            <w:r>
              <w:t>ToolsOptionsEditCopyPaste</w:t>
            </w:r>
          </w:p>
        </w:tc>
        <w:tc>
          <w:tcPr>
            <w:tcW w:w="0" w:type="auto"/>
            <w:vAlign w:val="center"/>
          </w:tcPr>
          <w:p w:rsidR="005F78FC" w:rsidRDefault="00B42EF3">
            <w:pPr>
              <w:pStyle w:val="TableBodyText"/>
            </w:pPr>
            <w:r>
              <w:t>054C</w:t>
            </w:r>
          </w:p>
        </w:tc>
      </w:tr>
      <w:tr w:rsidR="005F78FC" w:rsidTr="005F78FC">
        <w:tc>
          <w:tcPr>
            <w:tcW w:w="0" w:type="auto"/>
            <w:vAlign w:val="center"/>
          </w:tcPr>
          <w:p w:rsidR="005F78FC" w:rsidRDefault="00B42EF3">
            <w:pPr>
              <w:pStyle w:val="TableBodyText"/>
            </w:pPr>
            <w:r>
              <w:t>ToolsOptionsFileLocations</w:t>
            </w:r>
          </w:p>
        </w:tc>
        <w:tc>
          <w:tcPr>
            <w:tcW w:w="0" w:type="auto"/>
            <w:vAlign w:val="center"/>
          </w:tcPr>
          <w:p w:rsidR="005F78FC" w:rsidRDefault="00B42EF3">
            <w:pPr>
              <w:pStyle w:val="TableBodyText"/>
            </w:pPr>
            <w:r>
              <w:t>00E1</w:t>
            </w:r>
          </w:p>
        </w:tc>
      </w:tr>
      <w:tr w:rsidR="005F78FC" w:rsidTr="005F78FC">
        <w:tc>
          <w:tcPr>
            <w:tcW w:w="0" w:type="auto"/>
            <w:vAlign w:val="center"/>
          </w:tcPr>
          <w:p w:rsidR="005F78FC" w:rsidRDefault="00B42EF3">
            <w:pPr>
              <w:pStyle w:val="TableBodyText"/>
            </w:pPr>
            <w:r>
              <w:t>ToolsOptionsFuzzy</w:t>
            </w:r>
          </w:p>
        </w:tc>
        <w:tc>
          <w:tcPr>
            <w:tcW w:w="0" w:type="auto"/>
            <w:vAlign w:val="center"/>
          </w:tcPr>
          <w:p w:rsidR="005F78FC" w:rsidRDefault="00B42EF3">
            <w:pPr>
              <w:pStyle w:val="TableBodyText"/>
            </w:pPr>
            <w:r>
              <w:t>0316</w:t>
            </w:r>
          </w:p>
        </w:tc>
      </w:tr>
      <w:tr w:rsidR="005F78FC" w:rsidTr="005F78FC">
        <w:tc>
          <w:tcPr>
            <w:tcW w:w="0" w:type="auto"/>
            <w:vAlign w:val="center"/>
          </w:tcPr>
          <w:p w:rsidR="005F78FC" w:rsidRDefault="00B42EF3">
            <w:pPr>
              <w:pStyle w:val="TableBodyText"/>
            </w:pPr>
            <w:r>
              <w:t>ToolsOptionsGeneral</w:t>
            </w:r>
          </w:p>
        </w:tc>
        <w:tc>
          <w:tcPr>
            <w:tcW w:w="0" w:type="auto"/>
            <w:vAlign w:val="center"/>
          </w:tcPr>
          <w:p w:rsidR="005F78FC" w:rsidRDefault="00B42EF3">
            <w:pPr>
              <w:pStyle w:val="TableBodyText"/>
            </w:pPr>
            <w:r>
              <w:t>00CB</w:t>
            </w:r>
          </w:p>
        </w:tc>
      </w:tr>
      <w:tr w:rsidR="005F78FC" w:rsidTr="005F78FC">
        <w:tc>
          <w:tcPr>
            <w:tcW w:w="0" w:type="auto"/>
            <w:vAlign w:val="center"/>
          </w:tcPr>
          <w:p w:rsidR="005F78FC" w:rsidRDefault="00B42EF3">
            <w:pPr>
              <w:pStyle w:val="TableBodyText"/>
            </w:pPr>
            <w:r>
              <w:t>ToolsOptionsGrammar</w:t>
            </w:r>
          </w:p>
        </w:tc>
        <w:tc>
          <w:tcPr>
            <w:tcW w:w="0" w:type="auto"/>
            <w:vAlign w:val="center"/>
          </w:tcPr>
          <w:p w:rsidR="005F78FC" w:rsidRDefault="00B42EF3">
            <w:pPr>
              <w:pStyle w:val="TableBodyText"/>
            </w:pPr>
            <w:r>
              <w:t>00D4</w:t>
            </w:r>
          </w:p>
        </w:tc>
      </w:tr>
      <w:tr w:rsidR="005F78FC" w:rsidTr="005F78FC">
        <w:tc>
          <w:tcPr>
            <w:tcW w:w="0" w:type="auto"/>
            <w:vAlign w:val="center"/>
          </w:tcPr>
          <w:p w:rsidR="005F78FC" w:rsidRDefault="00B42EF3">
            <w:pPr>
              <w:pStyle w:val="TableBodyText"/>
            </w:pPr>
            <w:r>
              <w:t>ToolsOptionsHHC</w:t>
            </w:r>
          </w:p>
        </w:tc>
        <w:tc>
          <w:tcPr>
            <w:tcW w:w="0" w:type="auto"/>
            <w:vAlign w:val="center"/>
          </w:tcPr>
          <w:p w:rsidR="005F78FC" w:rsidRDefault="00B42EF3">
            <w:pPr>
              <w:pStyle w:val="TableBodyText"/>
            </w:pPr>
            <w:r>
              <w:t>0312</w:t>
            </w:r>
          </w:p>
        </w:tc>
      </w:tr>
      <w:tr w:rsidR="005F78FC" w:rsidTr="005F78FC">
        <w:tc>
          <w:tcPr>
            <w:tcW w:w="0" w:type="auto"/>
            <w:vAlign w:val="center"/>
          </w:tcPr>
          <w:p w:rsidR="005F78FC" w:rsidRDefault="00B42EF3">
            <w:pPr>
              <w:pStyle w:val="TableBodyText"/>
            </w:pPr>
            <w:r>
              <w:t>ToolsOptionsPrint</w:t>
            </w:r>
          </w:p>
        </w:tc>
        <w:tc>
          <w:tcPr>
            <w:tcW w:w="0" w:type="auto"/>
            <w:vAlign w:val="center"/>
          </w:tcPr>
          <w:p w:rsidR="005F78FC" w:rsidRDefault="00B42EF3">
            <w:pPr>
              <w:pStyle w:val="TableBodyText"/>
            </w:pPr>
            <w:r>
              <w:t>00D0</w:t>
            </w:r>
          </w:p>
        </w:tc>
      </w:tr>
      <w:tr w:rsidR="005F78FC" w:rsidTr="005F78FC">
        <w:tc>
          <w:tcPr>
            <w:tcW w:w="0" w:type="auto"/>
            <w:vAlign w:val="center"/>
          </w:tcPr>
          <w:p w:rsidR="005F78FC" w:rsidRDefault="00B42EF3">
            <w:pPr>
              <w:pStyle w:val="TableBodyText"/>
            </w:pPr>
            <w:r>
              <w:t>ToolsOptionsRevisions</w:t>
            </w:r>
          </w:p>
        </w:tc>
        <w:tc>
          <w:tcPr>
            <w:tcW w:w="0" w:type="auto"/>
            <w:vAlign w:val="center"/>
          </w:tcPr>
          <w:p w:rsidR="005F78FC" w:rsidRDefault="00B42EF3">
            <w:pPr>
              <w:pStyle w:val="TableBodyText"/>
            </w:pPr>
            <w:r>
              <w:t>0182</w:t>
            </w:r>
          </w:p>
        </w:tc>
      </w:tr>
      <w:tr w:rsidR="005F78FC" w:rsidTr="005F78FC">
        <w:tc>
          <w:tcPr>
            <w:tcW w:w="0" w:type="auto"/>
            <w:vAlign w:val="center"/>
          </w:tcPr>
          <w:p w:rsidR="005F78FC" w:rsidRDefault="00B42EF3">
            <w:pPr>
              <w:pStyle w:val="TableBodyText"/>
            </w:pPr>
            <w:r>
              <w:t>ToolsOptionsSave</w:t>
            </w:r>
          </w:p>
        </w:tc>
        <w:tc>
          <w:tcPr>
            <w:tcW w:w="0" w:type="auto"/>
            <w:vAlign w:val="center"/>
          </w:tcPr>
          <w:p w:rsidR="005F78FC" w:rsidRDefault="00B42EF3">
            <w:pPr>
              <w:pStyle w:val="TableBodyText"/>
            </w:pPr>
            <w:r>
              <w:t>00D1</w:t>
            </w:r>
          </w:p>
        </w:tc>
      </w:tr>
      <w:tr w:rsidR="005F78FC" w:rsidTr="005F78FC">
        <w:tc>
          <w:tcPr>
            <w:tcW w:w="0" w:type="auto"/>
            <w:vAlign w:val="center"/>
          </w:tcPr>
          <w:p w:rsidR="005F78FC" w:rsidRDefault="00B42EF3">
            <w:pPr>
              <w:pStyle w:val="TableBodyText"/>
            </w:pPr>
            <w:r>
              <w:t>ToolsOptionsSecurity</w:t>
            </w:r>
          </w:p>
        </w:tc>
        <w:tc>
          <w:tcPr>
            <w:tcW w:w="0" w:type="auto"/>
            <w:vAlign w:val="center"/>
          </w:tcPr>
          <w:p w:rsidR="005F78FC" w:rsidRDefault="00B42EF3">
            <w:pPr>
              <w:pStyle w:val="TableBodyText"/>
            </w:pPr>
            <w:r>
              <w:t>0551</w:t>
            </w:r>
          </w:p>
        </w:tc>
      </w:tr>
      <w:tr w:rsidR="005F78FC" w:rsidTr="005F78FC">
        <w:tc>
          <w:tcPr>
            <w:tcW w:w="0" w:type="auto"/>
            <w:vAlign w:val="center"/>
          </w:tcPr>
          <w:p w:rsidR="005F78FC" w:rsidRDefault="00B42EF3">
            <w:pPr>
              <w:pStyle w:val="TableBodyText"/>
            </w:pPr>
            <w:r>
              <w:t>ToolsOptionsSmartTag</w:t>
            </w:r>
          </w:p>
        </w:tc>
        <w:tc>
          <w:tcPr>
            <w:tcW w:w="0" w:type="auto"/>
            <w:vAlign w:val="center"/>
          </w:tcPr>
          <w:p w:rsidR="005F78FC" w:rsidRDefault="00B42EF3">
            <w:pPr>
              <w:pStyle w:val="TableBodyText"/>
            </w:pPr>
            <w:r>
              <w:t>0573</w:t>
            </w:r>
          </w:p>
        </w:tc>
      </w:tr>
      <w:tr w:rsidR="005F78FC" w:rsidTr="005F78FC">
        <w:tc>
          <w:tcPr>
            <w:tcW w:w="0" w:type="auto"/>
            <w:vAlign w:val="center"/>
          </w:tcPr>
          <w:p w:rsidR="005F78FC" w:rsidRDefault="00B42EF3">
            <w:pPr>
              <w:pStyle w:val="TableBodyText"/>
            </w:pPr>
            <w:r>
              <w:t>ToolsOptionsSpelling</w:t>
            </w:r>
          </w:p>
        </w:tc>
        <w:tc>
          <w:tcPr>
            <w:tcW w:w="0" w:type="auto"/>
            <w:vAlign w:val="center"/>
          </w:tcPr>
          <w:p w:rsidR="005F78FC" w:rsidRDefault="00B42EF3">
            <w:pPr>
              <w:pStyle w:val="TableBodyText"/>
            </w:pPr>
            <w:r>
              <w:t>00D3</w:t>
            </w:r>
          </w:p>
        </w:tc>
      </w:tr>
      <w:tr w:rsidR="005F78FC" w:rsidTr="005F78FC">
        <w:tc>
          <w:tcPr>
            <w:tcW w:w="0" w:type="auto"/>
            <w:vAlign w:val="center"/>
          </w:tcPr>
          <w:p w:rsidR="005F78FC" w:rsidRDefault="00B42EF3">
            <w:pPr>
              <w:pStyle w:val="TableBodyText"/>
            </w:pPr>
            <w:r>
              <w:t>ToolsOptionsTypography</w:t>
            </w:r>
          </w:p>
        </w:tc>
        <w:tc>
          <w:tcPr>
            <w:tcW w:w="0" w:type="auto"/>
            <w:vAlign w:val="center"/>
          </w:tcPr>
          <w:p w:rsidR="005F78FC" w:rsidRDefault="00B42EF3">
            <w:pPr>
              <w:pStyle w:val="TableBodyText"/>
            </w:pPr>
            <w:r>
              <w:t>02E3</w:t>
            </w:r>
          </w:p>
        </w:tc>
      </w:tr>
      <w:tr w:rsidR="005F78FC" w:rsidTr="005F78FC">
        <w:tc>
          <w:tcPr>
            <w:tcW w:w="0" w:type="auto"/>
            <w:vAlign w:val="center"/>
          </w:tcPr>
          <w:p w:rsidR="005F78FC" w:rsidRDefault="00B42EF3">
            <w:pPr>
              <w:pStyle w:val="TableBodyText"/>
            </w:pPr>
            <w:r>
              <w:t>ToolsOptionsUserInfo</w:t>
            </w:r>
          </w:p>
        </w:tc>
        <w:tc>
          <w:tcPr>
            <w:tcW w:w="0" w:type="auto"/>
            <w:vAlign w:val="center"/>
          </w:tcPr>
          <w:p w:rsidR="005F78FC" w:rsidRDefault="00B42EF3">
            <w:pPr>
              <w:pStyle w:val="TableBodyText"/>
            </w:pPr>
            <w:r>
              <w:t>00D5</w:t>
            </w:r>
          </w:p>
        </w:tc>
      </w:tr>
      <w:tr w:rsidR="005F78FC" w:rsidTr="005F78FC">
        <w:tc>
          <w:tcPr>
            <w:tcW w:w="0" w:type="auto"/>
            <w:vAlign w:val="center"/>
          </w:tcPr>
          <w:p w:rsidR="005F78FC" w:rsidRDefault="00B42EF3">
            <w:pPr>
              <w:pStyle w:val="TableBodyText"/>
            </w:pPr>
            <w:r>
              <w:t>ToolsOptionsView</w:t>
            </w:r>
          </w:p>
        </w:tc>
        <w:tc>
          <w:tcPr>
            <w:tcW w:w="0" w:type="auto"/>
            <w:vAlign w:val="center"/>
          </w:tcPr>
          <w:p w:rsidR="005F78FC" w:rsidRDefault="00B42EF3">
            <w:pPr>
              <w:pStyle w:val="TableBodyText"/>
            </w:pPr>
            <w:r>
              <w:t>00CC</w:t>
            </w:r>
          </w:p>
        </w:tc>
      </w:tr>
      <w:tr w:rsidR="005F78FC" w:rsidTr="005F78FC">
        <w:tc>
          <w:tcPr>
            <w:tcW w:w="0" w:type="auto"/>
            <w:vAlign w:val="center"/>
          </w:tcPr>
          <w:p w:rsidR="005F78FC" w:rsidRDefault="00B42EF3">
            <w:pPr>
              <w:pStyle w:val="TableBodyText"/>
            </w:pPr>
            <w:r>
              <w:t>ToolsProofing</w:t>
            </w:r>
          </w:p>
        </w:tc>
        <w:tc>
          <w:tcPr>
            <w:tcW w:w="0" w:type="auto"/>
            <w:vAlign w:val="center"/>
          </w:tcPr>
          <w:p w:rsidR="005F78FC" w:rsidRDefault="00B42EF3">
            <w:pPr>
              <w:pStyle w:val="TableBodyText"/>
            </w:pPr>
            <w:r>
              <w:t>033C</w:t>
            </w:r>
          </w:p>
        </w:tc>
      </w:tr>
      <w:tr w:rsidR="005F78FC" w:rsidTr="005F78FC">
        <w:tc>
          <w:tcPr>
            <w:tcW w:w="0" w:type="auto"/>
            <w:vAlign w:val="center"/>
          </w:tcPr>
          <w:p w:rsidR="005F78FC" w:rsidRDefault="00B42EF3">
            <w:pPr>
              <w:pStyle w:val="TableBodyText"/>
            </w:pPr>
            <w:r>
              <w:t>ToolsProtect</w:t>
            </w:r>
          </w:p>
        </w:tc>
        <w:tc>
          <w:tcPr>
            <w:tcW w:w="0" w:type="auto"/>
            <w:vAlign w:val="center"/>
          </w:tcPr>
          <w:p w:rsidR="005F78FC" w:rsidRDefault="00B42EF3">
            <w:pPr>
              <w:pStyle w:val="TableBodyText"/>
            </w:pPr>
            <w:r>
              <w:t>04D8</w:t>
            </w:r>
          </w:p>
        </w:tc>
      </w:tr>
      <w:tr w:rsidR="005F78FC" w:rsidTr="005F78FC">
        <w:tc>
          <w:tcPr>
            <w:tcW w:w="0" w:type="auto"/>
            <w:vAlign w:val="center"/>
          </w:tcPr>
          <w:p w:rsidR="005F78FC" w:rsidRDefault="00B42EF3">
            <w:pPr>
              <w:pStyle w:val="TableBodyText"/>
            </w:pPr>
            <w:r>
              <w:t>ToolsProtectDocument</w:t>
            </w:r>
          </w:p>
        </w:tc>
        <w:tc>
          <w:tcPr>
            <w:tcW w:w="0" w:type="auto"/>
            <w:vAlign w:val="center"/>
          </w:tcPr>
          <w:p w:rsidR="005F78FC" w:rsidRDefault="00B42EF3">
            <w:pPr>
              <w:pStyle w:val="TableBodyText"/>
            </w:pPr>
            <w:r>
              <w:t>01F7</w:t>
            </w:r>
          </w:p>
        </w:tc>
      </w:tr>
      <w:tr w:rsidR="005F78FC" w:rsidTr="005F78FC">
        <w:tc>
          <w:tcPr>
            <w:tcW w:w="0" w:type="auto"/>
            <w:vAlign w:val="center"/>
          </w:tcPr>
          <w:p w:rsidR="005F78FC" w:rsidRDefault="00B42EF3">
            <w:pPr>
              <w:pStyle w:val="TableBodyText"/>
            </w:pPr>
            <w:r>
              <w:t>ToolsProtectSection</w:t>
            </w:r>
          </w:p>
        </w:tc>
        <w:tc>
          <w:tcPr>
            <w:tcW w:w="0" w:type="auto"/>
            <w:vAlign w:val="center"/>
          </w:tcPr>
          <w:p w:rsidR="005F78FC" w:rsidRDefault="00B42EF3">
            <w:pPr>
              <w:pStyle w:val="TableBodyText"/>
            </w:pPr>
            <w:r>
              <w:t>0242</w:t>
            </w:r>
          </w:p>
        </w:tc>
      </w:tr>
      <w:tr w:rsidR="005F78FC" w:rsidTr="005F78FC">
        <w:tc>
          <w:tcPr>
            <w:tcW w:w="0" w:type="auto"/>
            <w:vAlign w:val="center"/>
          </w:tcPr>
          <w:p w:rsidR="005F78FC" w:rsidRDefault="00B42EF3">
            <w:pPr>
              <w:pStyle w:val="TableBodyText"/>
            </w:pPr>
            <w:r>
              <w:t>ToolsProtectUnprotectDocument</w:t>
            </w:r>
          </w:p>
        </w:tc>
        <w:tc>
          <w:tcPr>
            <w:tcW w:w="0" w:type="auto"/>
            <w:vAlign w:val="center"/>
          </w:tcPr>
          <w:p w:rsidR="005F78FC" w:rsidRDefault="00B42EF3">
            <w:pPr>
              <w:pStyle w:val="TableBodyText"/>
            </w:pPr>
            <w:r>
              <w:t>0208</w:t>
            </w:r>
          </w:p>
        </w:tc>
      </w:tr>
      <w:tr w:rsidR="005F78FC" w:rsidTr="005F78FC">
        <w:tc>
          <w:tcPr>
            <w:tcW w:w="0" w:type="auto"/>
            <w:vAlign w:val="center"/>
          </w:tcPr>
          <w:p w:rsidR="005F78FC" w:rsidRDefault="00B42EF3">
            <w:pPr>
              <w:pStyle w:val="TableBodyText"/>
            </w:pPr>
            <w:r>
              <w:t>ToolsRecordMacroStart</w:t>
            </w:r>
          </w:p>
        </w:tc>
        <w:tc>
          <w:tcPr>
            <w:tcW w:w="0" w:type="auto"/>
            <w:vAlign w:val="center"/>
          </w:tcPr>
          <w:p w:rsidR="005F78FC" w:rsidRDefault="00B42EF3">
            <w:pPr>
              <w:pStyle w:val="TableBodyText"/>
            </w:pPr>
            <w:r>
              <w:t>029A</w:t>
            </w:r>
          </w:p>
        </w:tc>
      </w:tr>
      <w:tr w:rsidR="005F78FC" w:rsidTr="005F78FC">
        <w:tc>
          <w:tcPr>
            <w:tcW w:w="0" w:type="auto"/>
            <w:vAlign w:val="center"/>
          </w:tcPr>
          <w:p w:rsidR="005F78FC" w:rsidRDefault="00B42EF3">
            <w:pPr>
              <w:pStyle w:val="TableBodyText"/>
            </w:pPr>
            <w:r>
              <w:t>ToolsRecordMacroStop</w:t>
            </w:r>
          </w:p>
        </w:tc>
        <w:tc>
          <w:tcPr>
            <w:tcW w:w="0" w:type="auto"/>
            <w:vAlign w:val="center"/>
          </w:tcPr>
          <w:p w:rsidR="005F78FC" w:rsidRDefault="00B42EF3">
            <w:pPr>
              <w:pStyle w:val="TableBodyText"/>
            </w:pPr>
            <w:r>
              <w:t>029B</w:t>
            </w:r>
          </w:p>
        </w:tc>
      </w:tr>
      <w:tr w:rsidR="005F78FC" w:rsidTr="005F78FC">
        <w:tc>
          <w:tcPr>
            <w:tcW w:w="0" w:type="auto"/>
            <w:vAlign w:val="center"/>
          </w:tcPr>
          <w:p w:rsidR="005F78FC" w:rsidRDefault="00B42EF3">
            <w:pPr>
              <w:pStyle w:val="TableBodyText"/>
            </w:pPr>
            <w:r>
              <w:t>ToolsRecordMacroToggle</w:t>
            </w:r>
          </w:p>
        </w:tc>
        <w:tc>
          <w:tcPr>
            <w:tcW w:w="0" w:type="auto"/>
            <w:vAlign w:val="center"/>
          </w:tcPr>
          <w:p w:rsidR="005F78FC" w:rsidRDefault="00B42EF3">
            <w:pPr>
              <w:pStyle w:val="TableBodyText"/>
            </w:pPr>
            <w:r>
              <w:t>00D6</w:t>
            </w:r>
          </w:p>
        </w:tc>
      </w:tr>
      <w:tr w:rsidR="005F78FC" w:rsidTr="005F78FC">
        <w:tc>
          <w:tcPr>
            <w:tcW w:w="0" w:type="auto"/>
            <w:vAlign w:val="center"/>
          </w:tcPr>
          <w:p w:rsidR="005F78FC" w:rsidRDefault="00B42EF3">
            <w:pPr>
              <w:pStyle w:val="TableBodyText"/>
            </w:pPr>
            <w:r>
              <w:t>ToolsRemoveRecordDefault</w:t>
            </w:r>
          </w:p>
        </w:tc>
        <w:tc>
          <w:tcPr>
            <w:tcW w:w="0" w:type="auto"/>
            <w:vAlign w:val="center"/>
          </w:tcPr>
          <w:p w:rsidR="005F78FC" w:rsidRDefault="00B42EF3">
            <w:pPr>
              <w:pStyle w:val="TableBodyText"/>
            </w:pPr>
            <w:r>
              <w:t>0276</w:t>
            </w:r>
          </w:p>
        </w:tc>
      </w:tr>
      <w:tr w:rsidR="005F78FC" w:rsidTr="005F78FC">
        <w:tc>
          <w:tcPr>
            <w:tcW w:w="0" w:type="auto"/>
            <w:vAlign w:val="center"/>
          </w:tcPr>
          <w:p w:rsidR="005F78FC" w:rsidRDefault="00B42EF3">
            <w:pPr>
              <w:pStyle w:val="TableBodyText"/>
            </w:pPr>
            <w:r>
              <w:t>ToolsRepaginate</w:t>
            </w:r>
          </w:p>
        </w:tc>
        <w:tc>
          <w:tcPr>
            <w:tcW w:w="0" w:type="auto"/>
            <w:vAlign w:val="center"/>
          </w:tcPr>
          <w:p w:rsidR="005F78FC" w:rsidRDefault="00B42EF3">
            <w:pPr>
              <w:pStyle w:val="TableBodyText"/>
            </w:pPr>
            <w:r>
              <w:t>00C9</w:t>
            </w:r>
          </w:p>
        </w:tc>
      </w:tr>
      <w:tr w:rsidR="005F78FC" w:rsidTr="005F78FC">
        <w:tc>
          <w:tcPr>
            <w:tcW w:w="0" w:type="auto"/>
            <w:vAlign w:val="center"/>
          </w:tcPr>
          <w:p w:rsidR="005F78FC" w:rsidRDefault="00B42EF3">
            <w:pPr>
              <w:pStyle w:val="TableBodyText"/>
            </w:pPr>
            <w:r>
              <w:t>ToolsReviewRevisions</w:t>
            </w:r>
          </w:p>
        </w:tc>
        <w:tc>
          <w:tcPr>
            <w:tcW w:w="0" w:type="auto"/>
            <w:vAlign w:val="center"/>
          </w:tcPr>
          <w:p w:rsidR="005F78FC" w:rsidRDefault="00B42EF3">
            <w:pPr>
              <w:pStyle w:val="TableBodyText"/>
            </w:pPr>
            <w:r>
              <w:t>01FA</w:t>
            </w:r>
          </w:p>
        </w:tc>
      </w:tr>
      <w:tr w:rsidR="005F78FC" w:rsidTr="005F78FC">
        <w:tc>
          <w:tcPr>
            <w:tcW w:w="0" w:type="auto"/>
            <w:vAlign w:val="center"/>
          </w:tcPr>
          <w:p w:rsidR="005F78FC" w:rsidRDefault="00B42EF3">
            <w:pPr>
              <w:pStyle w:val="TableBodyText"/>
            </w:pPr>
            <w:r>
              <w:lastRenderedPageBreak/>
              <w:t>ToolsRevisionMarksAccept</w:t>
            </w:r>
          </w:p>
        </w:tc>
        <w:tc>
          <w:tcPr>
            <w:tcW w:w="0" w:type="auto"/>
            <w:vAlign w:val="center"/>
          </w:tcPr>
          <w:p w:rsidR="005F78FC" w:rsidRDefault="00B42EF3">
            <w:pPr>
              <w:pStyle w:val="TableBodyText"/>
            </w:pPr>
            <w:r>
              <w:t>03AE</w:t>
            </w:r>
          </w:p>
        </w:tc>
      </w:tr>
      <w:tr w:rsidR="005F78FC" w:rsidTr="005F78FC">
        <w:tc>
          <w:tcPr>
            <w:tcW w:w="0" w:type="auto"/>
            <w:vAlign w:val="center"/>
          </w:tcPr>
          <w:p w:rsidR="005F78FC" w:rsidRDefault="00B42EF3">
            <w:pPr>
              <w:pStyle w:val="TableBodyText"/>
            </w:pPr>
            <w:r>
              <w:t>ToolsRevisionMarksNext</w:t>
            </w:r>
          </w:p>
        </w:tc>
        <w:tc>
          <w:tcPr>
            <w:tcW w:w="0" w:type="auto"/>
            <w:vAlign w:val="center"/>
          </w:tcPr>
          <w:p w:rsidR="005F78FC" w:rsidRDefault="00B42EF3">
            <w:pPr>
              <w:pStyle w:val="TableBodyText"/>
            </w:pPr>
            <w:r>
              <w:t>03CB</w:t>
            </w:r>
          </w:p>
        </w:tc>
      </w:tr>
      <w:tr w:rsidR="005F78FC" w:rsidTr="005F78FC">
        <w:tc>
          <w:tcPr>
            <w:tcW w:w="0" w:type="auto"/>
            <w:vAlign w:val="center"/>
          </w:tcPr>
          <w:p w:rsidR="005F78FC" w:rsidRDefault="00B42EF3">
            <w:pPr>
              <w:pStyle w:val="TableBodyText"/>
            </w:pPr>
            <w:r>
              <w:t>ToolsRevisionMarksPrev</w:t>
            </w:r>
          </w:p>
        </w:tc>
        <w:tc>
          <w:tcPr>
            <w:tcW w:w="0" w:type="auto"/>
            <w:vAlign w:val="center"/>
          </w:tcPr>
          <w:p w:rsidR="005F78FC" w:rsidRDefault="00B42EF3">
            <w:pPr>
              <w:pStyle w:val="TableBodyText"/>
            </w:pPr>
            <w:r>
              <w:t>03CA</w:t>
            </w:r>
          </w:p>
        </w:tc>
      </w:tr>
      <w:tr w:rsidR="005F78FC" w:rsidTr="005F78FC">
        <w:tc>
          <w:tcPr>
            <w:tcW w:w="0" w:type="auto"/>
            <w:vAlign w:val="center"/>
          </w:tcPr>
          <w:p w:rsidR="005F78FC" w:rsidRDefault="00B42EF3">
            <w:pPr>
              <w:pStyle w:val="TableBodyText"/>
            </w:pPr>
            <w:r>
              <w:t>ToolsRevisionMarksReject</w:t>
            </w:r>
          </w:p>
        </w:tc>
        <w:tc>
          <w:tcPr>
            <w:tcW w:w="0" w:type="auto"/>
            <w:vAlign w:val="center"/>
          </w:tcPr>
          <w:p w:rsidR="005F78FC" w:rsidRDefault="00B42EF3">
            <w:pPr>
              <w:pStyle w:val="TableBodyText"/>
            </w:pPr>
            <w:r>
              <w:t>03AF</w:t>
            </w:r>
          </w:p>
        </w:tc>
      </w:tr>
      <w:tr w:rsidR="005F78FC" w:rsidTr="005F78FC">
        <w:tc>
          <w:tcPr>
            <w:tcW w:w="0" w:type="auto"/>
            <w:vAlign w:val="center"/>
          </w:tcPr>
          <w:p w:rsidR="005F78FC" w:rsidRDefault="00B42EF3">
            <w:pPr>
              <w:pStyle w:val="TableBodyText"/>
            </w:pPr>
            <w:r>
              <w:t>ToolsRevisionMarksToggle</w:t>
            </w:r>
          </w:p>
        </w:tc>
        <w:tc>
          <w:tcPr>
            <w:tcW w:w="0" w:type="auto"/>
            <w:vAlign w:val="center"/>
          </w:tcPr>
          <w:p w:rsidR="005F78FC" w:rsidRDefault="00B42EF3">
            <w:pPr>
              <w:pStyle w:val="TableBodyText"/>
            </w:pPr>
            <w:r>
              <w:t>03BC</w:t>
            </w:r>
          </w:p>
        </w:tc>
      </w:tr>
      <w:tr w:rsidR="005F78FC" w:rsidTr="005F78FC">
        <w:tc>
          <w:tcPr>
            <w:tcW w:w="0" w:type="auto"/>
            <w:vAlign w:val="center"/>
          </w:tcPr>
          <w:p w:rsidR="005F78FC" w:rsidRDefault="00B42EF3">
            <w:pPr>
              <w:pStyle w:val="TableBodyText"/>
            </w:pPr>
            <w:r>
              <w:t>ToolsRevisions</w:t>
            </w:r>
          </w:p>
        </w:tc>
        <w:tc>
          <w:tcPr>
            <w:tcW w:w="0" w:type="auto"/>
            <w:vAlign w:val="center"/>
          </w:tcPr>
          <w:p w:rsidR="005F78FC" w:rsidRDefault="00B42EF3">
            <w:pPr>
              <w:pStyle w:val="TableBodyText"/>
            </w:pPr>
            <w:r>
              <w:t>00C5</w:t>
            </w:r>
          </w:p>
        </w:tc>
      </w:tr>
      <w:tr w:rsidR="005F78FC" w:rsidTr="005F78FC">
        <w:tc>
          <w:tcPr>
            <w:tcW w:w="0" w:type="auto"/>
            <w:vAlign w:val="center"/>
          </w:tcPr>
          <w:p w:rsidR="005F78FC" w:rsidRDefault="00B42EF3">
            <w:pPr>
              <w:pStyle w:val="TableBodyText"/>
            </w:pPr>
            <w:r>
              <w:t>ToolsSCTCTranslate</w:t>
            </w:r>
          </w:p>
        </w:tc>
        <w:tc>
          <w:tcPr>
            <w:tcW w:w="0" w:type="auto"/>
            <w:vAlign w:val="center"/>
          </w:tcPr>
          <w:p w:rsidR="005F78FC" w:rsidRDefault="00B42EF3">
            <w:pPr>
              <w:pStyle w:val="TableBodyText"/>
            </w:pPr>
            <w:r>
              <w:t>0492</w:t>
            </w:r>
          </w:p>
        </w:tc>
      </w:tr>
      <w:tr w:rsidR="005F78FC" w:rsidTr="005F78FC">
        <w:tc>
          <w:tcPr>
            <w:tcW w:w="0" w:type="auto"/>
            <w:vAlign w:val="center"/>
          </w:tcPr>
          <w:p w:rsidR="005F78FC" w:rsidRDefault="00B42EF3">
            <w:pPr>
              <w:pStyle w:val="TableBodyText"/>
            </w:pPr>
            <w:r>
              <w:t>ToolsShrinkToFit</w:t>
            </w:r>
          </w:p>
        </w:tc>
        <w:tc>
          <w:tcPr>
            <w:tcW w:w="0" w:type="auto"/>
            <w:vAlign w:val="center"/>
          </w:tcPr>
          <w:p w:rsidR="005F78FC" w:rsidRDefault="00B42EF3">
            <w:pPr>
              <w:pStyle w:val="TableBodyText"/>
            </w:pPr>
            <w:r>
              <w:t>01F8</w:t>
            </w:r>
          </w:p>
        </w:tc>
      </w:tr>
      <w:tr w:rsidR="005F78FC" w:rsidTr="005F78FC">
        <w:tc>
          <w:tcPr>
            <w:tcW w:w="0" w:type="auto"/>
            <w:vAlign w:val="center"/>
          </w:tcPr>
          <w:p w:rsidR="005F78FC" w:rsidRDefault="00B42EF3">
            <w:pPr>
              <w:pStyle w:val="TableBodyText"/>
            </w:pPr>
            <w:r>
              <w:t>ToolsSpellSelection</w:t>
            </w:r>
          </w:p>
        </w:tc>
        <w:tc>
          <w:tcPr>
            <w:tcW w:w="0" w:type="auto"/>
            <w:vAlign w:val="center"/>
          </w:tcPr>
          <w:p w:rsidR="005F78FC" w:rsidRDefault="00B42EF3">
            <w:pPr>
              <w:pStyle w:val="TableBodyText"/>
            </w:pPr>
            <w:r>
              <w:t>00C0</w:t>
            </w:r>
          </w:p>
        </w:tc>
      </w:tr>
      <w:tr w:rsidR="005F78FC" w:rsidTr="005F78FC">
        <w:tc>
          <w:tcPr>
            <w:tcW w:w="0" w:type="auto"/>
            <w:vAlign w:val="center"/>
          </w:tcPr>
          <w:p w:rsidR="005F78FC" w:rsidRDefault="00B42EF3">
            <w:pPr>
              <w:pStyle w:val="TableBodyText"/>
            </w:pPr>
            <w:r>
              <w:t>ToolsSpelling</w:t>
            </w:r>
          </w:p>
        </w:tc>
        <w:tc>
          <w:tcPr>
            <w:tcW w:w="0" w:type="auto"/>
            <w:vAlign w:val="center"/>
          </w:tcPr>
          <w:p w:rsidR="005F78FC" w:rsidRDefault="00B42EF3">
            <w:pPr>
              <w:pStyle w:val="TableBodyText"/>
            </w:pPr>
            <w:r>
              <w:t>00BF</w:t>
            </w:r>
          </w:p>
        </w:tc>
      </w:tr>
      <w:tr w:rsidR="005F78FC" w:rsidTr="005F78FC">
        <w:tc>
          <w:tcPr>
            <w:tcW w:w="0" w:type="auto"/>
            <w:vAlign w:val="center"/>
          </w:tcPr>
          <w:p w:rsidR="005F78FC" w:rsidRDefault="00B42EF3">
            <w:pPr>
              <w:pStyle w:val="TableBodyText"/>
            </w:pPr>
            <w:r>
              <w:t>ToolsSpellingHide</w:t>
            </w:r>
          </w:p>
        </w:tc>
        <w:tc>
          <w:tcPr>
            <w:tcW w:w="0" w:type="auto"/>
            <w:vAlign w:val="center"/>
          </w:tcPr>
          <w:p w:rsidR="005F78FC" w:rsidRDefault="00B42EF3">
            <w:pPr>
              <w:pStyle w:val="TableBodyText"/>
            </w:pPr>
            <w:r>
              <w:t>03D2</w:t>
            </w:r>
          </w:p>
        </w:tc>
      </w:tr>
      <w:tr w:rsidR="005F78FC" w:rsidTr="005F78FC">
        <w:tc>
          <w:tcPr>
            <w:tcW w:w="0" w:type="auto"/>
            <w:vAlign w:val="center"/>
          </w:tcPr>
          <w:p w:rsidR="005F78FC" w:rsidRDefault="00B42EF3">
            <w:pPr>
              <w:pStyle w:val="TableBodyText"/>
            </w:pPr>
            <w:r>
              <w:t>ToolsSpellingRange</w:t>
            </w:r>
          </w:p>
        </w:tc>
        <w:tc>
          <w:tcPr>
            <w:tcW w:w="0" w:type="auto"/>
            <w:vAlign w:val="center"/>
          </w:tcPr>
          <w:p w:rsidR="005F78FC" w:rsidRDefault="00B42EF3">
            <w:pPr>
              <w:pStyle w:val="TableBodyText"/>
            </w:pPr>
            <w:r>
              <w:t>034E</w:t>
            </w:r>
          </w:p>
        </w:tc>
      </w:tr>
      <w:tr w:rsidR="005F78FC" w:rsidTr="005F78FC">
        <w:tc>
          <w:tcPr>
            <w:tcW w:w="0" w:type="auto"/>
            <w:vAlign w:val="center"/>
          </w:tcPr>
          <w:p w:rsidR="005F78FC" w:rsidRDefault="00B42EF3">
            <w:pPr>
              <w:pStyle w:val="TableBodyText"/>
            </w:pPr>
            <w:r>
              <w:t>ToolsSpellingRecheckDocument</w:t>
            </w:r>
          </w:p>
        </w:tc>
        <w:tc>
          <w:tcPr>
            <w:tcW w:w="0" w:type="auto"/>
            <w:vAlign w:val="center"/>
          </w:tcPr>
          <w:p w:rsidR="005F78FC" w:rsidRDefault="00B42EF3">
            <w:pPr>
              <w:pStyle w:val="TableBodyText"/>
            </w:pPr>
            <w:r>
              <w:t>0309</w:t>
            </w:r>
          </w:p>
        </w:tc>
      </w:tr>
      <w:tr w:rsidR="005F78FC" w:rsidTr="005F78FC">
        <w:tc>
          <w:tcPr>
            <w:tcW w:w="0" w:type="auto"/>
            <w:vAlign w:val="center"/>
          </w:tcPr>
          <w:p w:rsidR="005F78FC" w:rsidRDefault="00B42EF3">
            <w:pPr>
              <w:pStyle w:val="TableBodyText"/>
            </w:pPr>
            <w:r>
              <w:t>ToolsTCSCTranslate</w:t>
            </w:r>
          </w:p>
        </w:tc>
        <w:tc>
          <w:tcPr>
            <w:tcW w:w="0" w:type="auto"/>
            <w:vAlign w:val="center"/>
          </w:tcPr>
          <w:p w:rsidR="005F78FC" w:rsidRDefault="00B42EF3">
            <w:pPr>
              <w:pStyle w:val="TableBodyText"/>
            </w:pPr>
            <w:r>
              <w:t>0491</w:t>
            </w:r>
          </w:p>
        </w:tc>
      </w:tr>
      <w:tr w:rsidR="005F78FC" w:rsidTr="005F78FC">
        <w:tc>
          <w:tcPr>
            <w:tcW w:w="0" w:type="auto"/>
            <w:vAlign w:val="center"/>
          </w:tcPr>
          <w:p w:rsidR="005F78FC" w:rsidRDefault="00B42EF3">
            <w:pPr>
              <w:pStyle w:val="TableBodyText"/>
            </w:pPr>
            <w:r>
              <w:t>ToolsTCSCTranslation</w:t>
            </w:r>
          </w:p>
        </w:tc>
        <w:tc>
          <w:tcPr>
            <w:tcW w:w="0" w:type="auto"/>
            <w:vAlign w:val="center"/>
          </w:tcPr>
          <w:p w:rsidR="005F78FC" w:rsidRDefault="00B42EF3">
            <w:pPr>
              <w:pStyle w:val="TableBodyText"/>
            </w:pPr>
            <w:r>
              <w:t>0484</w:t>
            </w:r>
          </w:p>
        </w:tc>
      </w:tr>
      <w:tr w:rsidR="005F78FC" w:rsidTr="005F78FC">
        <w:tc>
          <w:tcPr>
            <w:tcW w:w="0" w:type="auto"/>
            <w:vAlign w:val="center"/>
          </w:tcPr>
          <w:p w:rsidR="005F78FC" w:rsidRDefault="00B42EF3">
            <w:pPr>
              <w:pStyle w:val="TableBodyText"/>
            </w:pPr>
            <w:r>
              <w:t>ToolsThesaurus</w:t>
            </w:r>
          </w:p>
        </w:tc>
        <w:tc>
          <w:tcPr>
            <w:tcW w:w="0" w:type="auto"/>
            <w:vAlign w:val="center"/>
          </w:tcPr>
          <w:p w:rsidR="005F78FC" w:rsidRDefault="00B42EF3">
            <w:pPr>
              <w:pStyle w:val="TableBodyText"/>
            </w:pPr>
            <w:r>
              <w:t>00C2</w:t>
            </w:r>
          </w:p>
        </w:tc>
      </w:tr>
      <w:tr w:rsidR="005F78FC" w:rsidTr="005F78FC">
        <w:tc>
          <w:tcPr>
            <w:tcW w:w="0" w:type="auto"/>
            <w:vAlign w:val="center"/>
          </w:tcPr>
          <w:p w:rsidR="005F78FC" w:rsidRDefault="00B42EF3">
            <w:pPr>
              <w:pStyle w:val="TableBodyText"/>
            </w:pPr>
            <w:r>
              <w:t>ToolsThesaurusRR</w:t>
            </w:r>
          </w:p>
        </w:tc>
        <w:tc>
          <w:tcPr>
            <w:tcW w:w="0" w:type="auto"/>
            <w:vAlign w:val="center"/>
          </w:tcPr>
          <w:p w:rsidR="005F78FC" w:rsidRDefault="00B42EF3">
            <w:pPr>
              <w:pStyle w:val="TableBodyText"/>
            </w:pPr>
            <w:r>
              <w:t>059F</w:t>
            </w:r>
          </w:p>
        </w:tc>
      </w:tr>
      <w:tr w:rsidR="005F78FC" w:rsidTr="005F78FC">
        <w:tc>
          <w:tcPr>
            <w:tcW w:w="0" w:type="auto"/>
            <w:vAlign w:val="center"/>
          </w:tcPr>
          <w:p w:rsidR="005F78FC" w:rsidRDefault="00B42EF3">
            <w:pPr>
              <w:pStyle w:val="TableBodyText"/>
            </w:pPr>
            <w:r>
              <w:t>ToolsTranslateChinese</w:t>
            </w:r>
          </w:p>
        </w:tc>
        <w:tc>
          <w:tcPr>
            <w:tcW w:w="0" w:type="auto"/>
            <w:vAlign w:val="center"/>
          </w:tcPr>
          <w:p w:rsidR="005F78FC" w:rsidRDefault="00B42EF3">
            <w:pPr>
              <w:pStyle w:val="TableBodyText"/>
            </w:pPr>
            <w:r>
              <w:t>0493</w:t>
            </w:r>
          </w:p>
        </w:tc>
      </w:tr>
      <w:tr w:rsidR="005F78FC" w:rsidTr="005F78FC">
        <w:tc>
          <w:tcPr>
            <w:tcW w:w="0" w:type="auto"/>
            <w:vAlign w:val="center"/>
          </w:tcPr>
          <w:p w:rsidR="005F78FC" w:rsidRDefault="00B42EF3">
            <w:pPr>
              <w:pStyle w:val="TableBodyText"/>
            </w:pPr>
            <w:r>
              <w:t>ToolsUnprotectDocument</w:t>
            </w:r>
          </w:p>
        </w:tc>
        <w:tc>
          <w:tcPr>
            <w:tcW w:w="0" w:type="auto"/>
            <w:vAlign w:val="center"/>
          </w:tcPr>
          <w:p w:rsidR="005F78FC" w:rsidRDefault="00B42EF3">
            <w:pPr>
              <w:pStyle w:val="TableBodyText"/>
            </w:pPr>
            <w:r>
              <w:t>0209</w:t>
            </w:r>
          </w:p>
        </w:tc>
      </w:tr>
      <w:tr w:rsidR="005F78FC" w:rsidTr="005F78FC">
        <w:tc>
          <w:tcPr>
            <w:tcW w:w="0" w:type="auto"/>
            <w:vAlign w:val="center"/>
          </w:tcPr>
          <w:p w:rsidR="005F78FC" w:rsidRDefault="00B42EF3">
            <w:pPr>
              <w:pStyle w:val="TableBodyText"/>
            </w:pPr>
            <w:r>
              <w:t>ToolsWordCount</w:t>
            </w:r>
          </w:p>
        </w:tc>
        <w:tc>
          <w:tcPr>
            <w:tcW w:w="0" w:type="auto"/>
            <w:vAlign w:val="center"/>
          </w:tcPr>
          <w:p w:rsidR="005F78FC" w:rsidRDefault="00B42EF3">
            <w:pPr>
              <w:pStyle w:val="TableBodyText"/>
            </w:pPr>
            <w:r>
              <w:t>00E4</w:t>
            </w:r>
          </w:p>
        </w:tc>
      </w:tr>
      <w:tr w:rsidR="005F78FC" w:rsidTr="005F78FC">
        <w:tc>
          <w:tcPr>
            <w:tcW w:w="0" w:type="auto"/>
            <w:vAlign w:val="center"/>
          </w:tcPr>
          <w:p w:rsidR="005F78FC" w:rsidRDefault="00B42EF3">
            <w:pPr>
              <w:pStyle w:val="TableBodyText"/>
            </w:pPr>
            <w:r>
              <w:t>ToolsWordCountList</w:t>
            </w:r>
          </w:p>
        </w:tc>
        <w:tc>
          <w:tcPr>
            <w:tcW w:w="0" w:type="auto"/>
            <w:vAlign w:val="center"/>
          </w:tcPr>
          <w:p w:rsidR="005F78FC" w:rsidRDefault="00B42EF3">
            <w:pPr>
              <w:pStyle w:val="TableBodyText"/>
            </w:pPr>
            <w:r>
              <w:t>0542</w:t>
            </w:r>
          </w:p>
        </w:tc>
      </w:tr>
      <w:tr w:rsidR="005F78FC" w:rsidTr="005F78FC">
        <w:tc>
          <w:tcPr>
            <w:tcW w:w="0" w:type="auto"/>
            <w:vAlign w:val="center"/>
          </w:tcPr>
          <w:p w:rsidR="005F78FC" w:rsidRDefault="00B42EF3">
            <w:pPr>
              <w:pStyle w:val="TableBodyText"/>
            </w:pPr>
            <w:r>
              <w:t>ToolsWordCountRecount</w:t>
            </w:r>
          </w:p>
        </w:tc>
        <w:tc>
          <w:tcPr>
            <w:tcW w:w="0" w:type="auto"/>
            <w:vAlign w:val="center"/>
          </w:tcPr>
          <w:p w:rsidR="005F78FC" w:rsidRDefault="00B42EF3">
            <w:pPr>
              <w:pStyle w:val="TableBodyText"/>
            </w:pPr>
            <w:r>
              <w:t>0541</w:t>
            </w:r>
          </w:p>
        </w:tc>
      </w:tr>
      <w:tr w:rsidR="005F78FC" w:rsidTr="005F78FC">
        <w:tc>
          <w:tcPr>
            <w:tcW w:w="0" w:type="auto"/>
            <w:vAlign w:val="center"/>
          </w:tcPr>
          <w:p w:rsidR="005F78FC" w:rsidRDefault="00B42EF3">
            <w:pPr>
              <w:pStyle w:val="TableBodyText"/>
            </w:pPr>
            <w:r>
              <w:t>TopAlign</w:t>
            </w:r>
          </w:p>
        </w:tc>
        <w:tc>
          <w:tcPr>
            <w:tcW w:w="0" w:type="auto"/>
            <w:vAlign w:val="center"/>
          </w:tcPr>
          <w:p w:rsidR="005F78FC" w:rsidRDefault="00B42EF3">
            <w:pPr>
              <w:pStyle w:val="TableBodyText"/>
            </w:pPr>
            <w:r>
              <w:t>031F</w:t>
            </w:r>
          </w:p>
        </w:tc>
      </w:tr>
      <w:tr w:rsidR="005F78FC" w:rsidTr="005F78FC">
        <w:tc>
          <w:tcPr>
            <w:tcW w:w="0" w:type="auto"/>
            <w:vAlign w:val="center"/>
          </w:tcPr>
          <w:p w:rsidR="005F78FC" w:rsidRDefault="00B42EF3">
            <w:pPr>
              <w:pStyle w:val="TableBodyText"/>
            </w:pPr>
            <w:r>
              <w:t>TopCenterAlign</w:t>
            </w:r>
          </w:p>
        </w:tc>
        <w:tc>
          <w:tcPr>
            <w:tcW w:w="0" w:type="auto"/>
            <w:vAlign w:val="center"/>
          </w:tcPr>
          <w:p w:rsidR="005F78FC" w:rsidRDefault="00B42EF3">
            <w:pPr>
              <w:pStyle w:val="TableBodyText"/>
            </w:pPr>
            <w:r>
              <w:t>047A</w:t>
            </w:r>
          </w:p>
        </w:tc>
      </w:tr>
      <w:tr w:rsidR="005F78FC" w:rsidTr="005F78FC">
        <w:tc>
          <w:tcPr>
            <w:tcW w:w="0" w:type="auto"/>
            <w:vAlign w:val="center"/>
          </w:tcPr>
          <w:p w:rsidR="005F78FC" w:rsidRDefault="00B42EF3">
            <w:pPr>
              <w:pStyle w:val="TableBodyText"/>
            </w:pPr>
            <w:r>
              <w:t>TopLeftAlign</w:t>
            </w:r>
          </w:p>
        </w:tc>
        <w:tc>
          <w:tcPr>
            <w:tcW w:w="0" w:type="auto"/>
            <w:vAlign w:val="center"/>
          </w:tcPr>
          <w:p w:rsidR="005F78FC" w:rsidRDefault="00B42EF3">
            <w:pPr>
              <w:pStyle w:val="TableBodyText"/>
            </w:pPr>
            <w:r>
              <w:t>047B</w:t>
            </w:r>
          </w:p>
        </w:tc>
      </w:tr>
      <w:tr w:rsidR="005F78FC" w:rsidTr="005F78FC">
        <w:tc>
          <w:tcPr>
            <w:tcW w:w="0" w:type="auto"/>
            <w:vAlign w:val="center"/>
          </w:tcPr>
          <w:p w:rsidR="005F78FC" w:rsidRDefault="00B42EF3">
            <w:pPr>
              <w:pStyle w:val="TableBodyText"/>
            </w:pPr>
            <w:r>
              <w:t>TopRightAlign</w:t>
            </w:r>
          </w:p>
        </w:tc>
        <w:tc>
          <w:tcPr>
            <w:tcW w:w="0" w:type="auto"/>
            <w:vAlign w:val="center"/>
          </w:tcPr>
          <w:p w:rsidR="005F78FC" w:rsidRDefault="00B42EF3">
            <w:pPr>
              <w:pStyle w:val="TableBodyText"/>
            </w:pPr>
            <w:r>
              <w:t>0479</w:t>
            </w:r>
          </w:p>
        </w:tc>
      </w:tr>
      <w:tr w:rsidR="005F78FC" w:rsidTr="005F78FC">
        <w:tc>
          <w:tcPr>
            <w:tcW w:w="0" w:type="auto"/>
            <w:vAlign w:val="center"/>
          </w:tcPr>
          <w:p w:rsidR="005F78FC" w:rsidRDefault="00B42EF3">
            <w:pPr>
              <w:pStyle w:val="TableBodyText"/>
            </w:pPr>
            <w:r>
              <w:t>TraceMacro</w:t>
            </w:r>
          </w:p>
        </w:tc>
        <w:tc>
          <w:tcPr>
            <w:tcW w:w="0" w:type="auto"/>
            <w:vAlign w:val="center"/>
          </w:tcPr>
          <w:p w:rsidR="005F78FC" w:rsidRDefault="00B42EF3">
            <w:pPr>
              <w:pStyle w:val="TableBodyText"/>
            </w:pPr>
            <w:r>
              <w:t>010B</w:t>
            </w:r>
          </w:p>
        </w:tc>
      </w:tr>
      <w:tr w:rsidR="005F78FC" w:rsidTr="005F78FC">
        <w:tc>
          <w:tcPr>
            <w:tcW w:w="0" w:type="auto"/>
            <w:vAlign w:val="center"/>
          </w:tcPr>
          <w:p w:rsidR="005F78FC" w:rsidRDefault="00B42EF3">
            <w:pPr>
              <w:pStyle w:val="TableBodyText"/>
            </w:pPr>
            <w:r>
              <w:t>TrackChangesOptions</w:t>
            </w:r>
          </w:p>
        </w:tc>
        <w:tc>
          <w:tcPr>
            <w:tcW w:w="0" w:type="auto"/>
            <w:vAlign w:val="center"/>
          </w:tcPr>
          <w:p w:rsidR="005F78FC" w:rsidRDefault="00B42EF3">
            <w:pPr>
              <w:pStyle w:val="TableBodyText"/>
            </w:pPr>
            <w:r>
              <w:t>089F</w:t>
            </w:r>
          </w:p>
        </w:tc>
      </w:tr>
      <w:tr w:rsidR="005F78FC" w:rsidTr="005F78FC">
        <w:tc>
          <w:tcPr>
            <w:tcW w:w="0" w:type="auto"/>
            <w:vAlign w:val="center"/>
          </w:tcPr>
          <w:p w:rsidR="005F78FC" w:rsidRDefault="00B42EF3">
            <w:pPr>
              <w:pStyle w:val="TableBodyText"/>
            </w:pPr>
            <w:r>
              <w:t>Translate</w:t>
            </w:r>
          </w:p>
        </w:tc>
        <w:tc>
          <w:tcPr>
            <w:tcW w:w="0" w:type="auto"/>
            <w:vAlign w:val="center"/>
          </w:tcPr>
          <w:p w:rsidR="005F78FC" w:rsidRDefault="00B42EF3">
            <w:pPr>
              <w:pStyle w:val="TableBodyText"/>
            </w:pPr>
            <w:r>
              <w:t>053A</w:t>
            </w:r>
          </w:p>
        </w:tc>
      </w:tr>
      <w:tr w:rsidR="005F78FC" w:rsidTr="005F78FC">
        <w:tc>
          <w:tcPr>
            <w:tcW w:w="0" w:type="auto"/>
            <w:vAlign w:val="center"/>
          </w:tcPr>
          <w:p w:rsidR="005F78FC" w:rsidRDefault="00B42EF3">
            <w:pPr>
              <w:pStyle w:val="TableBodyText"/>
            </w:pPr>
            <w:r>
              <w:t>TranslatePane</w:t>
            </w:r>
          </w:p>
        </w:tc>
        <w:tc>
          <w:tcPr>
            <w:tcW w:w="0" w:type="auto"/>
            <w:vAlign w:val="center"/>
          </w:tcPr>
          <w:p w:rsidR="005F78FC" w:rsidRDefault="00B42EF3">
            <w:pPr>
              <w:pStyle w:val="TableBodyText"/>
            </w:pPr>
            <w:r>
              <w:t>04E6</w:t>
            </w:r>
          </w:p>
        </w:tc>
      </w:tr>
      <w:tr w:rsidR="005F78FC" w:rsidTr="005F78FC">
        <w:tc>
          <w:tcPr>
            <w:tcW w:w="0" w:type="auto"/>
            <w:vAlign w:val="center"/>
          </w:tcPr>
          <w:p w:rsidR="005F78FC" w:rsidRDefault="00B42EF3">
            <w:pPr>
              <w:pStyle w:val="TableBodyText"/>
            </w:pPr>
            <w:r>
              <w:t>TrustCenter</w:t>
            </w:r>
          </w:p>
        </w:tc>
        <w:tc>
          <w:tcPr>
            <w:tcW w:w="0" w:type="auto"/>
            <w:vAlign w:val="center"/>
          </w:tcPr>
          <w:p w:rsidR="005F78FC" w:rsidRDefault="00B42EF3">
            <w:pPr>
              <w:pStyle w:val="TableBodyText"/>
            </w:pPr>
            <w:r>
              <w:t>17C7</w:t>
            </w:r>
          </w:p>
        </w:tc>
      </w:tr>
      <w:tr w:rsidR="005F78FC" w:rsidTr="005F78FC">
        <w:tc>
          <w:tcPr>
            <w:tcW w:w="0" w:type="auto"/>
            <w:vAlign w:val="center"/>
          </w:tcPr>
          <w:p w:rsidR="005F78FC" w:rsidRDefault="00B42EF3">
            <w:pPr>
              <w:pStyle w:val="TableBodyText"/>
            </w:pPr>
            <w:r>
              <w:t>TxbxAutosize</w:t>
            </w:r>
          </w:p>
        </w:tc>
        <w:tc>
          <w:tcPr>
            <w:tcW w:w="0" w:type="auto"/>
            <w:vAlign w:val="center"/>
          </w:tcPr>
          <w:p w:rsidR="005F78FC" w:rsidRDefault="00B42EF3">
            <w:pPr>
              <w:pStyle w:val="TableBodyText"/>
            </w:pPr>
            <w:r>
              <w:t>054D</w:t>
            </w:r>
          </w:p>
        </w:tc>
      </w:tr>
      <w:tr w:rsidR="005F78FC" w:rsidTr="005F78FC">
        <w:tc>
          <w:tcPr>
            <w:tcW w:w="0" w:type="auto"/>
            <w:vAlign w:val="center"/>
          </w:tcPr>
          <w:p w:rsidR="005F78FC" w:rsidRDefault="00B42EF3">
            <w:pPr>
              <w:pStyle w:val="TableBodyText"/>
            </w:pPr>
            <w:r>
              <w:lastRenderedPageBreak/>
              <w:t>UIMCorrectionUI</w:t>
            </w:r>
          </w:p>
        </w:tc>
        <w:tc>
          <w:tcPr>
            <w:tcW w:w="0" w:type="auto"/>
            <w:vAlign w:val="center"/>
          </w:tcPr>
          <w:p w:rsidR="005F78FC" w:rsidRDefault="00B42EF3">
            <w:pPr>
              <w:pStyle w:val="TableBodyText"/>
            </w:pPr>
            <w:r>
              <w:t>0548</w:t>
            </w:r>
          </w:p>
        </w:tc>
      </w:tr>
      <w:tr w:rsidR="005F78FC" w:rsidTr="005F78FC">
        <w:tc>
          <w:tcPr>
            <w:tcW w:w="0" w:type="auto"/>
            <w:vAlign w:val="center"/>
          </w:tcPr>
          <w:p w:rsidR="005F78FC" w:rsidRDefault="00B42EF3">
            <w:pPr>
              <w:pStyle w:val="TableBodyText"/>
            </w:pPr>
            <w:r>
              <w:t>UnHang</w:t>
            </w:r>
          </w:p>
        </w:tc>
        <w:tc>
          <w:tcPr>
            <w:tcW w:w="0" w:type="auto"/>
            <w:vAlign w:val="center"/>
          </w:tcPr>
          <w:p w:rsidR="005F78FC" w:rsidRDefault="00B42EF3">
            <w:pPr>
              <w:pStyle w:val="TableBodyText"/>
            </w:pPr>
            <w:r>
              <w:t>0029</w:t>
            </w:r>
          </w:p>
        </w:tc>
      </w:tr>
      <w:tr w:rsidR="005F78FC" w:rsidTr="005F78FC">
        <w:tc>
          <w:tcPr>
            <w:tcW w:w="0" w:type="auto"/>
            <w:vAlign w:val="center"/>
          </w:tcPr>
          <w:p w:rsidR="005F78FC" w:rsidRDefault="00B42EF3">
            <w:pPr>
              <w:pStyle w:val="TableBodyText"/>
            </w:pPr>
            <w:r>
              <w:t>UnIndent</w:t>
            </w:r>
          </w:p>
        </w:tc>
        <w:tc>
          <w:tcPr>
            <w:tcW w:w="0" w:type="auto"/>
            <w:vAlign w:val="center"/>
          </w:tcPr>
          <w:p w:rsidR="005F78FC" w:rsidRDefault="00B42EF3">
            <w:pPr>
              <w:pStyle w:val="TableBodyText"/>
            </w:pPr>
            <w:r>
              <w:t>0027</w:t>
            </w:r>
          </w:p>
        </w:tc>
      </w:tr>
      <w:tr w:rsidR="005F78FC" w:rsidTr="005F78FC">
        <w:tc>
          <w:tcPr>
            <w:tcW w:w="0" w:type="auto"/>
            <w:vAlign w:val="center"/>
          </w:tcPr>
          <w:p w:rsidR="005F78FC" w:rsidRDefault="00B42EF3">
            <w:pPr>
              <w:pStyle w:val="TableBodyText"/>
            </w:pPr>
            <w:r>
              <w:t>UnIndentChar</w:t>
            </w:r>
          </w:p>
        </w:tc>
        <w:tc>
          <w:tcPr>
            <w:tcW w:w="0" w:type="auto"/>
            <w:vAlign w:val="center"/>
          </w:tcPr>
          <w:p w:rsidR="005F78FC" w:rsidRDefault="00B42EF3">
            <w:pPr>
              <w:pStyle w:val="TableBodyText"/>
            </w:pPr>
            <w:r>
              <w:t>02D0</w:t>
            </w:r>
          </w:p>
        </w:tc>
      </w:tr>
      <w:tr w:rsidR="005F78FC" w:rsidTr="005F78FC">
        <w:tc>
          <w:tcPr>
            <w:tcW w:w="0" w:type="auto"/>
            <w:vAlign w:val="center"/>
          </w:tcPr>
          <w:p w:rsidR="005F78FC" w:rsidRDefault="00B42EF3">
            <w:pPr>
              <w:pStyle w:val="TableBodyText"/>
            </w:pPr>
            <w:r>
              <w:t>UnIndentFirstChar</w:t>
            </w:r>
          </w:p>
        </w:tc>
        <w:tc>
          <w:tcPr>
            <w:tcW w:w="0" w:type="auto"/>
            <w:vAlign w:val="center"/>
          </w:tcPr>
          <w:p w:rsidR="005F78FC" w:rsidRDefault="00B42EF3">
            <w:pPr>
              <w:pStyle w:val="TableBodyText"/>
            </w:pPr>
            <w:r>
              <w:t>02D2</w:t>
            </w:r>
          </w:p>
        </w:tc>
      </w:tr>
      <w:tr w:rsidR="005F78FC" w:rsidTr="005F78FC">
        <w:tc>
          <w:tcPr>
            <w:tcW w:w="0" w:type="auto"/>
            <w:vAlign w:val="center"/>
          </w:tcPr>
          <w:p w:rsidR="005F78FC" w:rsidRDefault="00B42EF3">
            <w:pPr>
              <w:pStyle w:val="TableBodyText"/>
            </w:pPr>
            <w:r>
              <w:t>UnIndentFirstLine</w:t>
            </w:r>
          </w:p>
        </w:tc>
        <w:tc>
          <w:tcPr>
            <w:tcW w:w="0" w:type="auto"/>
            <w:vAlign w:val="center"/>
          </w:tcPr>
          <w:p w:rsidR="005F78FC" w:rsidRDefault="00B42EF3">
            <w:pPr>
              <w:pStyle w:val="TableBodyText"/>
            </w:pPr>
            <w:r>
              <w:t>02F3</w:t>
            </w:r>
          </w:p>
        </w:tc>
      </w:tr>
      <w:tr w:rsidR="005F78FC" w:rsidTr="005F78FC">
        <w:tc>
          <w:tcPr>
            <w:tcW w:w="0" w:type="auto"/>
            <w:vAlign w:val="center"/>
          </w:tcPr>
          <w:p w:rsidR="005F78FC" w:rsidRDefault="00B42EF3">
            <w:pPr>
              <w:pStyle w:val="TableBodyText"/>
            </w:pPr>
            <w:r>
              <w:t>UnIndentLine</w:t>
            </w:r>
          </w:p>
        </w:tc>
        <w:tc>
          <w:tcPr>
            <w:tcW w:w="0" w:type="auto"/>
            <w:vAlign w:val="center"/>
          </w:tcPr>
          <w:p w:rsidR="005F78FC" w:rsidRDefault="00B42EF3">
            <w:pPr>
              <w:pStyle w:val="TableBodyText"/>
            </w:pPr>
            <w:r>
              <w:t>02F5</w:t>
            </w:r>
          </w:p>
        </w:tc>
      </w:tr>
      <w:tr w:rsidR="005F78FC" w:rsidTr="005F78FC">
        <w:tc>
          <w:tcPr>
            <w:tcW w:w="0" w:type="auto"/>
            <w:vAlign w:val="center"/>
          </w:tcPr>
          <w:p w:rsidR="005F78FC" w:rsidRDefault="00B42EF3">
            <w:pPr>
              <w:pStyle w:val="TableBodyText"/>
            </w:pPr>
            <w:r>
              <w:t>Underline</w:t>
            </w:r>
          </w:p>
        </w:tc>
        <w:tc>
          <w:tcPr>
            <w:tcW w:w="0" w:type="auto"/>
            <w:vAlign w:val="center"/>
          </w:tcPr>
          <w:p w:rsidR="005F78FC" w:rsidRDefault="00B42EF3">
            <w:pPr>
              <w:pStyle w:val="TableBodyText"/>
            </w:pPr>
            <w:r>
              <w:t>0033</w:t>
            </w:r>
          </w:p>
        </w:tc>
      </w:tr>
      <w:tr w:rsidR="005F78FC" w:rsidTr="005F78FC">
        <w:tc>
          <w:tcPr>
            <w:tcW w:w="0" w:type="auto"/>
            <w:vAlign w:val="center"/>
          </w:tcPr>
          <w:p w:rsidR="005F78FC" w:rsidRDefault="00B42EF3">
            <w:pPr>
              <w:pStyle w:val="TableBodyText"/>
            </w:pPr>
            <w:r>
              <w:t>UnderlineColor</w:t>
            </w:r>
          </w:p>
        </w:tc>
        <w:tc>
          <w:tcPr>
            <w:tcW w:w="0" w:type="auto"/>
            <w:vAlign w:val="center"/>
          </w:tcPr>
          <w:p w:rsidR="005F78FC" w:rsidRDefault="00B42EF3">
            <w:pPr>
              <w:pStyle w:val="TableBodyText"/>
            </w:pPr>
            <w:r>
              <w:t>0311</w:t>
            </w:r>
          </w:p>
        </w:tc>
      </w:tr>
      <w:tr w:rsidR="005F78FC" w:rsidTr="005F78FC">
        <w:tc>
          <w:tcPr>
            <w:tcW w:w="0" w:type="auto"/>
            <w:vAlign w:val="center"/>
          </w:tcPr>
          <w:p w:rsidR="005F78FC" w:rsidRDefault="00B42EF3">
            <w:pPr>
              <w:pStyle w:val="TableBodyText"/>
            </w:pPr>
            <w:r>
              <w:t>UnderlineColorPicker</w:t>
            </w:r>
          </w:p>
        </w:tc>
        <w:tc>
          <w:tcPr>
            <w:tcW w:w="0" w:type="auto"/>
            <w:vAlign w:val="center"/>
          </w:tcPr>
          <w:p w:rsidR="005F78FC" w:rsidRDefault="00B42EF3">
            <w:pPr>
              <w:pStyle w:val="TableBodyText"/>
            </w:pPr>
            <w:r>
              <w:t>08C0</w:t>
            </w:r>
          </w:p>
        </w:tc>
      </w:tr>
      <w:tr w:rsidR="005F78FC" w:rsidTr="005F78FC">
        <w:tc>
          <w:tcPr>
            <w:tcW w:w="0" w:type="auto"/>
            <w:vAlign w:val="center"/>
          </w:tcPr>
          <w:p w:rsidR="005F78FC" w:rsidRDefault="00B42EF3">
            <w:pPr>
              <w:pStyle w:val="TableBodyText"/>
            </w:pPr>
            <w:r>
              <w:t>UnderlineGallery</w:t>
            </w:r>
          </w:p>
        </w:tc>
        <w:tc>
          <w:tcPr>
            <w:tcW w:w="0" w:type="auto"/>
            <w:vAlign w:val="center"/>
          </w:tcPr>
          <w:p w:rsidR="005F78FC" w:rsidRDefault="00B42EF3">
            <w:pPr>
              <w:pStyle w:val="TableBodyText"/>
            </w:pPr>
            <w:r>
              <w:t>08BF</w:t>
            </w:r>
          </w:p>
        </w:tc>
      </w:tr>
      <w:tr w:rsidR="005F78FC" w:rsidTr="005F78FC">
        <w:tc>
          <w:tcPr>
            <w:tcW w:w="0" w:type="auto"/>
            <w:vAlign w:val="center"/>
          </w:tcPr>
          <w:p w:rsidR="005F78FC" w:rsidRDefault="00B42EF3">
            <w:pPr>
              <w:pStyle w:val="TableBodyText"/>
            </w:pPr>
            <w:r>
              <w:t>UnderlineStyle</w:t>
            </w:r>
          </w:p>
        </w:tc>
        <w:tc>
          <w:tcPr>
            <w:tcW w:w="0" w:type="auto"/>
            <w:vAlign w:val="center"/>
          </w:tcPr>
          <w:p w:rsidR="005F78FC" w:rsidRDefault="00B42EF3">
            <w:pPr>
              <w:pStyle w:val="TableBodyText"/>
            </w:pPr>
            <w:r>
              <w:t>048B</w:t>
            </w:r>
          </w:p>
        </w:tc>
      </w:tr>
      <w:tr w:rsidR="005F78FC" w:rsidTr="005F78FC">
        <w:tc>
          <w:tcPr>
            <w:tcW w:w="0" w:type="auto"/>
            <w:vAlign w:val="center"/>
          </w:tcPr>
          <w:p w:rsidR="005F78FC" w:rsidRDefault="00B42EF3">
            <w:pPr>
              <w:pStyle w:val="TableBodyText"/>
            </w:pPr>
            <w:r>
              <w:t>UnlinkFields</w:t>
            </w:r>
          </w:p>
        </w:tc>
        <w:tc>
          <w:tcPr>
            <w:tcW w:w="0" w:type="auto"/>
            <w:vAlign w:val="center"/>
          </w:tcPr>
          <w:p w:rsidR="005F78FC" w:rsidRDefault="00B42EF3">
            <w:pPr>
              <w:pStyle w:val="TableBodyText"/>
            </w:pPr>
            <w:r>
              <w:t>0021</w:t>
            </w:r>
          </w:p>
        </w:tc>
      </w:tr>
      <w:tr w:rsidR="005F78FC" w:rsidTr="005F78FC">
        <w:tc>
          <w:tcPr>
            <w:tcW w:w="0" w:type="auto"/>
            <w:vAlign w:val="center"/>
          </w:tcPr>
          <w:p w:rsidR="005F78FC" w:rsidRDefault="00B42EF3">
            <w:pPr>
              <w:pStyle w:val="TableBodyText"/>
            </w:pPr>
            <w:r>
              <w:t>UnlinkFieldsVBA</w:t>
            </w:r>
          </w:p>
        </w:tc>
        <w:tc>
          <w:tcPr>
            <w:tcW w:w="0" w:type="auto"/>
            <w:vAlign w:val="center"/>
          </w:tcPr>
          <w:p w:rsidR="005F78FC" w:rsidRDefault="00B42EF3">
            <w:pPr>
              <w:pStyle w:val="TableBodyText"/>
            </w:pPr>
            <w:r>
              <w:t>0373</w:t>
            </w:r>
          </w:p>
        </w:tc>
      </w:tr>
      <w:tr w:rsidR="005F78FC" w:rsidTr="005F78FC">
        <w:tc>
          <w:tcPr>
            <w:tcW w:w="0" w:type="auto"/>
            <w:vAlign w:val="center"/>
          </w:tcPr>
          <w:p w:rsidR="005F78FC" w:rsidRDefault="00B42EF3">
            <w:pPr>
              <w:pStyle w:val="TableBodyText"/>
            </w:pPr>
            <w:r>
              <w:t>UnlockFields</w:t>
            </w:r>
          </w:p>
        </w:tc>
        <w:tc>
          <w:tcPr>
            <w:tcW w:w="0" w:type="auto"/>
            <w:vAlign w:val="center"/>
          </w:tcPr>
          <w:p w:rsidR="005F78FC" w:rsidRDefault="00B42EF3">
            <w:pPr>
              <w:pStyle w:val="TableBodyText"/>
            </w:pPr>
            <w:r>
              <w:t>0024</w:t>
            </w:r>
          </w:p>
        </w:tc>
      </w:tr>
      <w:tr w:rsidR="005F78FC" w:rsidTr="005F78FC">
        <w:tc>
          <w:tcPr>
            <w:tcW w:w="0" w:type="auto"/>
            <w:vAlign w:val="center"/>
          </w:tcPr>
          <w:p w:rsidR="005F78FC" w:rsidRDefault="00B42EF3">
            <w:pPr>
              <w:pStyle w:val="TableBodyText"/>
            </w:pPr>
            <w:r>
              <w:t>UnlockPolicyLabel</w:t>
            </w:r>
          </w:p>
        </w:tc>
        <w:tc>
          <w:tcPr>
            <w:tcW w:w="0" w:type="auto"/>
            <w:vAlign w:val="center"/>
          </w:tcPr>
          <w:p w:rsidR="005F78FC" w:rsidRDefault="00B42EF3">
            <w:pPr>
              <w:pStyle w:val="TableBodyText"/>
            </w:pPr>
            <w:r>
              <w:t>0784</w:t>
            </w:r>
          </w:p>
        </w:tc>
      </w:tr>
      <w:tr w:rsidR="005F78FC" w:rsidTr="005F78FC">
        <w:tc>
          <w:tcPr>
            <w:tcW w:w="0" w:type="auto"/>
            <w:vAlign w:val="center"/>
          </w:tcPr>
          <w:p w:rsidR="005F78FC" w:rsidRDefault="00B42EF3">
            <w:pPr>
              <w:pStyle w:val="TableBodyText"/>
            </w:pPr>
            <w:r>
              <w:t>UpdateBibliography</w:t>
            </w:r>
          </w:p>
        </w:tc>
        <w:tc>
          <w:tcPr>
            <w:tcW w:w="0" w:type="auto"/>
            <w:vAlign w:val="center"/>
          </w:tcPr>
          <w:p w:rsidR="005F78FC" w:rsidRDefault="00B42EF3">
            <w:pPr>
              <w:pStyle w:val="TableBodyText"/>
            </w:pPr>
            <w:r>
              <w:t>09A6</w:t>
            </w:r>
          </w:p>
        </w:tc>
      </w:tr>
      <w:tr w:rsidR="005F78FC" w:rsidTr="005F78FC">
        <w:tc>
          <w:tcPr>
            <w:tcW w:w="0" w:type="auto"/>
            <w:vAlign w:val="center"/>
          </w:tcPr>
          <w:p w:rsidR="005F78FC" w:rsidRDefault="00B42EF3">
            <w:pPr>
              <w:pStyle w:val="TableBodyText"/>
            </w:pPr>
            <w:r>
              <w:t>UpdateFields</w:t>
            </w:r>
          </w:p>
        </w:tc>
        <w:tc>
          <w:tcPr>
            <w:tcW w:w="0" w:type="auto"/>
            <w:vAlign w:val="center"/>
          </w:tcPr>
          <w:p w:rsidR="005F78FC" w:rsidRDefault="00B42EF3">
            <w:pPr>
              <w:pStyle w:val="TableBodyText"/>
            </w:pPr>
            <w:r>
              <w:t>0020</w:t>
            </w:r>
          </w:p>
        </w:tc>
      </w:tr>
      <w:tr w:rsidR="005F78FC" w:rsidTr="005F78FC">
        <w:tc>
          <w:tcPr>
            <w:tcW w:w="0" w:type="auto"/>
            <w:vAlign w:val="center"/>
          </w:tcPr>
          <w:p w:rsidR="005F78FC" w:rsidRDefault="00B42EF3">
            <w:pPr>
              <w:pStyle w:val="TableBodyText"/>
            </w:pPr>
            <w:r>
              <w:t>UpdateFieldsIndex</w:t>
            </w:r>
          </w:p>
        </w:tc>
        <w:tc>
          <w:tcPr>
            <w:tcW w:w="0" w:type="auto"/>
            <w:vAlign w:val="center"/>
          </w:tcPr>
          <w:p w:rsidR="005F78FC" w:rsidRDefault="00B42EF3">
            <w:pPr>
              <w:pStyle w:val="TableBodyText"/>
            </w:pPr>
            <w:r>
              <w:t>081B</w:t>
            </w:r>
          </w:p>
        </w:tc>
      </w:tr>
      <w:tr w:rsidR="005F78FC" w:rsidTr="005F78FC">
        <w:tc>
          <w:tcPr>
            <w:tcW w:w="0" w:type="auto"/>
            <w:vAlign w:val="center"/>
          </w:tcPr>
          <w:p w:rsidR="005F78FC" w:rsidRDefault="00B42EF3">
            <w:pPr>
              <w:pStyle w:val="TableBodyText"/>
            </w:pPr>
            <w:r>
              <w:t>UpdateFieldsTable</w:t>
            </w:r>
          </w:p>
        </w:tc>
        <w:tc>
          <w:tcPr>
            <w:tcW w:w="0" w:type="auto"/>
            <w:vAlign w:val="center"/>
          </w:tcPr>
          <w:p w:rsidR="005F78FC" w:rsidRDefault="00B42EF3">
            <w:pPr>
              <w:pStyle w:val="TableBodyText"/>
            </w:pPr>
            <w:r>
              <w:t>081A</w:t>
            </w:r>
          </w:p>
        </w:tc>
      </w:tr>
      <w:tr w:rsidR="005F78FC" w:rsidTr="005F78FC">
        <w:tc>
          <w:tcPr>
            <w:tcW w:w="0" w:type="auto"/>
            <w:vAlign w:val="center"/>
          </w:tcPr>
          <w:p w:rsidR="005F78FC" w:rsidRDefault="00B42EF3">
            <w:pPr>
              <w:pStyle w:val="TableBodyText"/>
            </w:pPr>
            <w:r>
              <w:t>UpdateFieldsToa</w:t>
            </w:r>
          </w:p>
        </w:tc>
        <w:tc>
          <w:tcPr>
            <w:tcW w:w="0" w:type="auto"/>
            <w:vAlign w:val="center"/>
          </w:tcPr>
          <w:p w:rsidR="005F78FC" w:rsidRDefault="00B42EF3">
            <w:pPr>
              <w:pStyle w:val="TableBodyText"/>
            </w:pPr>
            <w:r>
              <w:t>0947</w:t>
            </w:r>
          </w:p>
        </w:tc>
      </w:tr>
      <w:tr w:rsidR="005F78FC" w:rsidTr="005F78FC">
        <w:tc>
          <w:tcPr>
            <w:tcW w:w="0" w:type="auto"/>
            <w:vAlign w:val="center"/>
          </w:tcPr>
          <w:p w:rsidR="005F78FC" w:rsidRDefault="00B42EF3">
            <w:pPr>
              <w:pStyle w:val="TableBodyText"/>
            </w:pPr>
            <w:r>
              <w:t>UpdateFieldsTof</w:t>
            </w:r>
          </w:p>
        </w:tc>
        <w:tc>
          <w:tcPr>
            <w:tcW w:w="0" w:type="auto"/>
            <w:vAlign w:val="center"/>
          </w:tcPr>
          <w:p w:rsidR="005F78FC" w:rsidRDefault="00B42EF3">
            <w:pPr>
              <w:pStyle w:val="TableBodyText"/>
            </w:pPr>
            <w:r>
              <w:t>0948</w:t>
            </w:r>
          </w:p>
        </w:tc>
      </w:tr>
      <w:tr w:rsidR="005F78FC" w:rsidTr="005F78FC">
        <w:tc>
          <w:tcPr>
            <w:tcW w:w="0" w:type="auto"/>
            <w:vAlign w:val="center"/>
          </w:tcPr>
          <w:p w:rsidR="005F78FC" w:rsidRDefault="00B42EF3">
            <w:pPr>
              <w:pStyle w:val="TableBodyText"/>
            </w:pPr>
            <w:r>
              <w:t>UpdateFieldsVBA</w:t>
            </w:r>
          </w:p>
        </w:tc>
        <w:tc>
          <w:tcPr>
            <w:tcW w:w="0" w:type="auto"/>
            <w:vAlign w:val="center"/>
          </w:tcPr>
          <w:p w:rsidR="005F78FC" w:rsidRDefault="00B42EF3">
            <w:pPr>
              <w:pStyle w:val="TableBodyText"/>
            </w:pPr>
            <w:r>
              <w:t>0370</w:t>
            </w:r>
          </w:p>
        </w:tc>
      </w:tr>
      <w:tr w:rsidR="005F78FC" w:rsidTr="005F78FC">
        <w:tc>
          <w:tcPr>
            <w:tcW w:w="0" w:type="auto"/>
            <w:vAlign w:val="center"/>
          </w:tcPr>
          <w:p w:rsidR="005F78FC" w:rsidRDefault="00B42EF3">
            <w:pPr>
              <w:pStyle w:val="TableBodyText"/>
            </w:pPr>
            <w:r>
              <w:t>UpdatePolicyLabels</w:t>
            </w:r>
          </w:p>
        </w:tc>
        <w:tc>
          <w:tcPr>
            <w:tcW w:w="0" w:type="auto"/>
            <w:vAlign w:val="center"/>
          </w:tcPr>
          <w:p w:rsidR="005F78FC" w:rsidRDefault="00B42EF3">
            <w:pPr>
              <w:pStyle w:val="TableBodyText"/>
            </w:pPr>
            <w:r>
              <w:t>0825</w:t>
            </w:r>
          </w:p>
        </w:tc>
      </w:tr>
      <w:tr w:rsidR="005F78FC" w:rsidTr="005F78FC">
        <w:tc>
          <w:tcPr>
            <w:tcW w:w="0" w:type="auto"/>
            <w:vAlign w:val="center"/>
          </w:tcPr>
          <w:p w:rsidR="005F78FC" w:rsidRDefault="00B42EF3">
            <w:pPr>
              <w:pStyle w:val="TableBodyText"/>
            </w:pPr>
            <w:r>
              <w:t>UpdateSource</w:t>
            </w:r>
          </w:p>
        </w:tc>
        <w:tc>
          <w:tcPr>
            <w:tcW w:w="0" w:type="auto"/>
            <w:vAlign w:val="center"/>
          </w:tcPr>
          <w:p w:rsidR="005F78FC" w:rsidRDefault="00B42EF3">
            <w:pPr>
              <w:pStyle w:val="TableBodyText"/>
            </w:pPr>
            <w:r>
              <w:t>0025</w:t>
            </w:r>
          </w:p>
        </w:tc>
      </w:tr>
      <w:tr w:rsidR="005F78FC" w:rsidTr="005F78FC">
        <w:tc>
          <w:tcPr>
            <w:tcW w:w="0" w:type="auto"/>
            <w:vAlign w:val="center"/>
          </w:tcPr>
          <w:p w:rsidR="005F78FC" w:rsidRDefault="00B42EF3">
            <w:pPr>
              <w:pStyle w:val="TableBodyText"/>
            </w:pPr>
            <w:r>
              <w:t>UpdateStyle</w:t>
            </w:r>
          </w:p>
        </w:tc>
        <w:tc>
          <w:tcPr>
            <w:tcW w:w="0" w:type="auto"/>
            <w:vAlign w:val="center"/>
          </w:tcPr>
          <w:p w:rsidR="005F78FC" w:rsidRDefault="00B42EF3">
            <w:pPr>
              <w:pStyle w:val="TableBodyText"/>
            </w:pPr>
            <w:r>
              <w:t>079D</w:t>
            </w:r>
          </w:p>
        </w:tc>
      </w:tr>
      <w:tr w:rsidR="005F78FC" w:rsidTr="005F78FC">
        <w:tc>
          <w:tcPr>
            <w:tcW w:w="0" w:type="auto"/>
            <w:vAlign w:val="center"/>
          </w:tcPr>
          <w:p w:rsidR="005F78FC" w:rsidRDefault="00B42EF3">
            <w:pPr>
              <w:pStyle w:val="TableBodyText"/>
            </w:pPr>
            <w:r>
              <w:t>UpdateTableOfContents</w:t>
            </w:r>
          </w:p>
        </w:tc>
        <w:tc>
          <w:tcPr>
            <w:tcW w:w="0" w:type="auto"/>
            <w:vAlign w:val="center"/>
          </w:tcPr>
          <w:p w:rsidR="005F78FC" w:rsidRDefault="00B42EF3">
            <w:pPr>
              <w:pStyle w:val="TableBodyText"/>
            </w:pPr>
            <w:r>
              <w:t>056E</w:t>
            </w:r>
          </w:p>
        </w:tc>
      </w:tr>
      <w:tr w:rsidR="005F78FC" w:rsidTr="005F78FC">
        <w:tc>
          <w:tcPr>
            <w:tcW w:w="0" w:type="auto"/>
            <w:vAlign w:val="center"/>
          </w:tcPr>
          <w:p w:rsidR="005F78FC" w:rsidRDefault="00B42EF3">
            <w:pPr>
              <w:pStyle w:val="TableBodyText"/>
            </w:pPr>
            <w:r>
              <w:t>UpdateToc</w:t>
            </w:r>
          </w:p>
        </w:tc>
        <w:tc>
          <w:tcPr>
            <w:tcW w:w="0" w:type="auto"/>
            <w:vAlign w:val="center"/>
          </w:tcPr>
          <w:p w:rsidR="005F78FC" w:rsidRDefault="00B42EF3">
            <w:pPr>
              <w:pStyle w:val="TableBodyText"/>
            </w:pPr>
            <w:r>
              <w:t>014B</w:t>
            </w:r>
          </w:p>
        </w:tc>
      </w:tr>
      <w:tr w:rsidR="005F78FC" w:rsidTr="005F78FC">
        <w:tc>
          <w:tcPr>
            <w:tcW w:w="0" w:type="auto"/>
            <w:vAlign w:val="center"/>
          </w:tcPr>
          <w:p w:rsidR="005F78FC" w:rsidRDefault="00B42EF3">
            <w:pPr>
              <w:pStyle w:val="TableBodyText"/>
            </w:pPr>
            <w:r>
              <w:t>UpdateTocFull</w:t>
            </w:r>
          </w:p>
        </w:tc>
        <w:tc>
          <w:tcPr>
            <w:tcW w:w="0" w:type="auto"/>
            <w:vAlign w:val="center"/>
          </w:tcPr>
          <w:p w:rsidR="005F78FC" w:rsidRDefault="00B42EF3">
            <w:pPr>
              <w:pStyle w:val="TableBodyText"/>
            </w:pPr>
            <w:r>
              <w:t>03AD</w:t>
            </w:r>
          </w:p>
        </w:tc>
      </w:tr>
      <w:tr w:rsidR="005F78FC" w:rsidTr="005F78FC">
        <w:tc>
          <w:tcPr>
            <w:tcW w:w="0" w:type="auto"/>
            <w:vAlign w:val="center"/>
          </w:tcPr>
          <w:p w:rsidR="005F78FC" w:rsidRDefault="00B42EF3">
            <w:pPr>
              <w:pStyle w:val="TableBodyText"/>
            </w:pPr>
            <w:r>
              <w:t>UpgradeDocument</w:t>
            </w:r>
          </w:p>
        </w:tc>
        <w:tc>
          <w:tcPr>
            <w:tcW w:w="0" w:type="auto"/>
            <w:vAlign w:val="center"/>
          </w:tcPr>
          <w:p w:rsidR="005F78FC" w:rsidRDefault="00B42EF3">
            <w:pPr>
              <w:pStyle w:val="TableBodyText"/>
            </w:pPr>
            <w:r>
              <w:t>0940</w:t>
            </w:r>
          </w:p>
        </w:tc>
      </w:tr>
      <w:tr w:rsidR="005F78FC" w:rsidTr="005F78FC">
        <w:tc>
          <w:tcPr>
            <w:tcW w:w="0" w:type="auto"/>
            <w:vAlign w:val="center"/>
          </w:tcPr>
          <w:p w:rsidR="005F78FC" w:rsidRDefault="00B42EF3">
            <w:pPr>
              <w:pStyle w:val="TableBodyText"/>
            </w:pPr>
            <w:r>
              <w:t>UseBalloons</w:t>
            </w:r>
          </w:p>
        </w:tc>
        <w:tc>
          <w:tcPr>
            <w:tcW w:w="0" w:type="auto"/>
            <w:vAlign w:val="center"/>
          </w:tcPr>
          <w:p w:rsidR="005F78FC" w:rsidRDefault="00B42EF3">
            <w:pPr>
              <w:pStyle w:val="TableBodyText"/>
            </w:pPr>
            <w:r>
              <w:t>05A7</w:t>
            </w:r>
          </w:p>
        </w:tc>
      </w:tr>
      <w:tr w:rsidR="005F78FC" w:rsidTr="005F78FC">
        <w:tc>
          <w:tcPr>
            <w:tcW w:w="0" w:type="auto"/>
            <w:vAlign w:val="center"/>
          </w:tcPr>
          <w:p w:rsidR="005F78FC" w:rsidRDefault="00B42EF3">
            <w:pPr>
              <w:pStyle w:val="TableBodyText"/>
            </w:pPr>
            <w:r>
              <w:t>UserDialog</w:t>
            </w:r>
          </w:p>
        </w:tc>
        <w:tc>
          <w:tcPr>
            <w:tcW w:w="0" w:type="auto"/>
            <w:vAlign w:val="center"/>
          </w:tcPr>
          <w:p w:rsidR="005F78FC" w:rsidRDefault="00B42EF3">
            <w:pPr>
              <w:pStyle w:val="TableBodyText"/>
            </w:pPr>
            <w:r>
              <w:t>0129</w:t>
            </w:r>
          </w:p>
        </w:tc>
      </w:tr>
      <w:tr w:rsidR="005F78FC" w:rsidTr="005F78FC">
        <w:tc>
          <w:tcPr>
            <w:tcW w:w="0" w:type="auto"/>
            <w:vAlign w:val="center"/>
          </w:tcPr>
          <w:p w:rsidR="005F78FC" w:rsidRDefault="00B42EF3">
            <w:pPr>
              <w:pStyle w:val="TableBodyText"/>
            </w:pPr>
            <w:r>
              <w:lastRenderedPageBreak/>
              <w:t>UxGalWordTableStyles</w:t>
            </w:r>
          </w:p>
        </w:tc>
        <w:tc>
          <w:tcPr>
            <w:tcW w:w="0" w:type="auto"/>
            <w:vAlign w:val="center"/>
          </w:tcPr>
          <w:p w:rsidR="005F78FC" w:rsidRDefault="00B42EF3">
            <w:pPr>
              <w:pStyle w:val="TableBodyText"/>
            </w:pPr>
            <w:r>
              <w:t>08EF</w:t>
            </w:r>
          </w:p>
        </w:tc>
      </w:tr>
      <w:tr w:rsidR="005F78FC" w:rsidTr="005F78FC">
        <w:tc>
          <w:tcPr>
            <w:tcW w:w="0" w:type="auto"/>
            <w:vAlign w:val="center"/>
          </w:tcPr>
          <w:p w:rsidR="005F78FC" w:rsidRDefault="00B42EF3">
            <w:pPr>
              <w:pStyle w:val="TableBodyText"/>
            </w:pPr>
            <w:r>
              <w:t>ViewAnnotations</w:t>
            </w:r>
          </w:p>
        </w:tc>
        <w:tc>
          <w:tcPr>
            <w:tcW w:w="0" w:type="auto"/>
            <w:vAlign w:val="center"/>
          </w:tcPr>
          <w:p w:rsidR="005F78FC" w:rsidRDefault="00B42EF3">
            <w:pPr>
              <w:pStyle w:val="TableBodyText"/>
            </w:pPr>
            <w:r>
              <w:t>009D</w:t>
            </w:r>
          </w:p>
        </w:tc>
      </w:tr>
      <w:tr w:rsidR="005F78FC" w:rsidTr="005F78FC">
        <w:tc>
          <w:tcPr>
            <w:tcW w:w="0" w:type="auto"/>
            <w:vAlign w:val="center"/>
          </w:tcPr>
          <w:p w:rsidR="005F78FC" w:rsidRDefault="00B42EF3">
            <w:pPr>
              <w:pStyle w:val="TableBodyText"/>
            </w:pPr>
            <w:r>
              <w:t>ViewBorderToolbar</w:t>
            </w:r>
          </w:p>
        </w:tc>
        <w:tc>
          <w:tcPr>
            <w:tcW w:w="0" w:type="auto"/>
            <w:vAlign w:val="center"/>
          </w:tcPr>
          <w:p w:rsidR="005F78FC" w:rsidRDefault="00B42EF3">
            <w:pPr>
              <w:pStyle w:val="TableBodyText"/>
            </w:pPr>
            <w:r>
              <w:t>025C</w:t>
            </w:r>
          </w:p>
        </w:tc>
      </w:tr>
      <w:tr w:rsidR="005F78FC" w:rsidTr="005F78FC">
        <w:tc>
          <w:tcPr>
            <w:tcW w:w="0" w:type="auto"/>
            <w:vAlign w:val="center"/>
          </w:tcPr>
          <w:p w:rsidR="005F78FC" w:rsidRDefault="00B42EF3">
            <w:pPr>
              <w:pStyle w:val="TableBodyText"/>
            </w:pPr>
            <w:r>
              <w:t>ViewChanges</w:t>
            </w:r>
          </w:p>
        </w:tc>
        <w:tc>
          <w:tcPr>
            <w:tcW w:w="0" w:type="auto"/>
            <w:vAlign w:val="center"/>
          </w:tcPr>
          <w:p w:rsidR="005F78FC" w:rsidRDefault="00B42EF3">
            <w:pPr>
              <w:pStyle w:val="TableBodyText"/>
            </w:pPr>
            <w:r>
              <w:t>0504</w:t>
            </w:r>
          </w:p>
        </w:tc>
      </w:tr>
      <w:tr w:rsidR="005F78FC" w:rsidTr="005F78FC">
        <w:tc>
          <w:tcPr>
            <w:tcW w:w="0" w:type="auto"/>
            <w:vAlign w:val="center"/>
          </w:tcPr>
          <w:p w:rsidR="005F78FC" w:rsidRDefault="00B42EF3">
            <w:pPr>
              <w:pStyle w:val="TableBodyText"/>
            </w:pPr>
            <w:r>
              <w:t>ViewCode</w:t>
            </w:r>
          </w:p>
        </w:tc>
        <w:tc>
          <w:tcPr>
            <w:tcW w:w="0" w:type="auto"/>
            <w:vAlign w:val="center"/>
          </w:tcPr>
          <w:p w:rsidR="005F78FC" w:rsidRDefault="00B42EF3">
            <w:pPr>
              <w:pStyle w:val="TableBodyText"/>
            </w:pPr>
            <w:r>
              <w:t>036E</w:t>
            </w:r>
          </w:p>
        </w:tc>
      </w:tr>
      <w:tr w:rsidR="005F78FC" w:rsidTr="005F78FC">
        <w:tc>
          <w:tcPr>
            <w:tcW w:w="0" w:type="auto"/>
            <w:vAlign w:val="center"/>
          </w:tcPr>
          <w:p w:rsidR="005F78FC" w:rsidRDefault="00B42EF3">
            <w:pPr>
              <w:pStyle w:val="TableBodyText"/>
            </w:pPr>
            <w:r>
              <w:t>ViewControlToolbox</w:t>
            </w:r>
          </w:p>
        </w:tc>
        <w:tc>
          <w:tcPr>
            <w:tcW w:w="0" w:type="auto"/>
            <w:vAlign w:val="center"/>
          </w:tcPr>
          <w:p w:rsidR="005F78FC" w:rsidRDefault="00B42EF3">
            <w:pPr>
              <w:pStyle w:val="TableBodyText"/>
            </w:pPr>
            <w:r>
              <w:t>1BAF</w:t>
            </w:r>
          </w:p>
        </w:tc>
      </w:tr>
      <w:tr w:rsidR="005F78FC" w:rsidTr="005F78FC">
        <w:tc>
          <w:tcPr>
            <w:tcW w:w="0" w:type="auto"/>
            <w:vAlign w:val="center"/>
          </w:tcPr>
          <w:p w:rsidR="005F78FC" w:rsidRDefault="00B42EF3">
            <w:pPr>
              <w:pStyle w:val="TableBodyText"/>
            </w:pPr>
            <w:r>
              <w:t>ViewDocumentMap</w:t>
            </w:r>
          </w:p>
        </w:tc>
        <w:tc>
          <w:tcPr>
            <w:tcW w:w="0" w:type="auto"/>
            <w:vAlign w:val="center"/>
          </w:tcPr>
          <w:p w:rsidR="005F78FC" w:rsidRDefault="00B42EF3">
            <w:pPr>
              <w:pStyle w:val="TableBodyText"/>
            </w:pPr>
            <w:r>
              <w:t>03B0</w:t>
            </w:r>
          </w:p>
        </w:tc>
      </w:tr>
      <w:tr w:rsidR="005F78FC" w:rsidTr="005F78FC">
        <w:tc>
          <w:tcPr>
            <w:tcW w:w="0" w:type="auto"/>
            <w:vAlign w:val="center"/>
          </w:tcPr>
          <w:p w:rsidR="005F78FC" w:rsidRDefault="00B42EF3">
            <w:pPr>
              <w:pStyle w:val="TableBodyText"/>
            </w:pPr>
            <w:r>
              <w:t>ViewDocumentMapReadingMode</w:t>
            </w:r>
          </w:p>
        </w:tc>
        <w:tc>
          <w:tcPr>
            <w:tcW w:w="0" w:type="auto"/>
            <w:vAlign w:val="center"/>
          </w:tcPr>
          <w:p w:rsidR="005F78FC" w:rsidRDefault="00B42EF3">
            <w:pPr>
              <w:pStyle w:val="TableBodyText"/>
            </w:pPr>
            <w:r>
              <w:t>05B6</w:t>
            </w:r>
          </w:p>
        </w:tc>
      </w:tr>
      <w:tr w:rsidR="005F78FC" w:rsidTr="005F78FC">
        <w:tc>
          <w:tcPr>
            <w:tcW w:w="0" w:type="auto"/>
            <w:vAlign w:val="center"/>
          </w:tcPr>
          <w:p w:rsidR="005F78FC" w:rsidRDefault="00B42EF3">
            <w:pPr>
              <w:pStyle w:val="TableBodyText"/>
            </w:pPr>
            <w:r>
              <w:t>ViewDraft</w:t>
            </w:r>
          </w:p>
        </w:tc>
        <w:tc>
          <w:tcPr>
            <w:tcW w:w="0" w:type="auto"/>
            <w:vAlign w:val="center"/>
          </w:tcPr>
          <w:p w:rsidR="005F78FC" w:rsidRDefault="00B42EF3">
            <w:pPr>
              <w:pStyle w:val="TableBodyText"/>
            </w:pPr>
            <w:r>
              <w:t>0095</w:t>
            </w:r>
          </w:p>
        </w:tc>
      </w:tr>
      <w:tr w:rsidR="005F78FC" w:rsidTr="005F78FC">
        <w:tc>
          <w:tcPr>
            <w:tcW w:w="0" w:type="auto"/>
            <w:vAlign w:val="center"/>
          </w:tcPr>
          <w:p w:rsidR="005F78FC" w:rsidRDefault="00B42EF3">
            <w:pPr>
              <w:pStyle w:val="TableBodyText"/>
            </w:pPr>
            <w:r>
              <w:t>ViewDrawingToolbar</w:t>
            </w:r>
          </w:p>
        </w:tc>
        <w:tc>
          <w:tcPr>
            <w:tcW w:w="0" w:type="auto"/>
            <w:vAlign w:val="center"/>
          </w:tcPr>
          <w:p w:rsidR="005F78FC" w:rsidRDefault="00B42EF3">
            <w:pPr>
              <w:pStyle w:val="TableBodyText"/>
            </w:pPr>
            <w:r>
              <w:t>025D</w:t>
            </w:r>
          </w:p>
        </w:tc>
      </w:tr>
      <w:tr w:rsidR="005F78FC" w:rsidTr="005F78FC">
        <w:tc>
          <w:tcPr>
            <w:tcW w:w="0" w:type="auto"/>
            <w:vAlign w:val="center"/>
          </w:tcPr>
          <w:p w:rsidR="005F78FC" w:rsidRDefault="00B42EF3">
            <w:pPr>
              <w:pStyle w:val="TableBodyText"/>
            </w:pPr>
            <w:r>
              <w:t>ViewEmailSource</w:t>
            </w:r>
          </w:p>
        </w:tc>
        <w:tc>
          <w:tcPr>
            <w:tcW w:w="0" w:type="auto"/>
            <w:vAlign w:val="center"/>
          </w:tcPr>
          <w:p w:rsidR="005F78FC" w:rsidRDefault="00B42EF3">
            <w:pPr>
              <w:pStyle w:val="TableBodyText"/>
            </w:pPr>
            <w:r>
              <w:t>0929</w:t>
            </w:r>
          </w:p>
        </w:tc>
      </w:tr>
      <w:tr w:rsidR="005F78FC" w:rsidTr="005F78FC">
        <w:tc>
          <w:tcPr>
            <w:tcW w:w="0" w:type="auto"/>
            <w:vAlign w:val="center"/>
          </w:tcPr>
          <w:p w:rsidR="005F78FC" w:rsidRDefault="00B42EF3">
            <w:pPr>
              <w:pStyle w:val="TableBodyText"/>
            </w:pPr>
            <w:r>
              <w:t>ViewEndnoteArea</w:t>
            </w:r>
          </w:p>
        </w:tc>
        <w:tc>
          <w:tcPr>
            <w:tcW w:w="0" w:type="auto"/>
            <w:vAlign w:val="center"/>
          </w:tcPr>
          <w:p w:rsidR="005F78FC" w:rsidRDefault="00B42EF3">
            <w:pPr>
              <w:pStyle w:val="TableBodyText"/>
            </w:pPr>
            <w:r>
              <w:t>0152</w:t>
            </w:r>
          </w:p>
        </w:tc>
      </w:tr>
      <w:tr w:rsidR="005F78FC" w:rsidTr="005F78FC">
        <w:tc>
          <w:tcPr>
            <w:tcW w:w="0" w:type="auto"/>
            <w:vAlign w:val="center"/>
          </w:tcPr>
          <w:p w:rsidR="005F78FC" w:rsidRDefault="00B42EF3">
            <w:pPr>
              <w:pStyle w:val="TableBodyText"/>
            </w:pPr>
            <w:r>
              <w:t>ViewEndnoteContNotice</w:t>
            </w:r>
          </w:p>
        </w:tc>
        <w:tc>
          <w:tcPr>
            <w:tcW w:w="0" w:type="auto"/>
            <w:vAlign w:val="center"/>
          </w:tcPr>
          <w:p w:rsidR="005F78FC" w:rsidRDefault="00B42EF3">
            <w:pPr>
              <w:pStyle w:val="TableBodyText"/>
            </w:pPr>
            <w:r>
              <w:t>01F2</w:t>
            </w:r>
          </w:p>
        </w:tc>
      </w:tr>
      <w:tr w:rsidR="005F78FC" w:rsidTr="005F78FC">
        <w:tc>
          <w:tcPr>
            <w:tcW w:w="0" w:type="auto"/>
            <w:vAlign w:val="center"/>
          </w:tcPr>
          <w:p w:rsidR="005F78FC" w:rsidRDefault="00B42EF3">
            <w:pPr>
              <w:pStyle w:val="TableBodyText"/>
            </w:pPr>
            <w:r>
              <w:t>ViewEndnoteContSeparator</w:t>
            </w:r>
          </w:p>
        </w:tc>
        <w:tc>
          <w:tcPr>
            <w:tcW w:w="0" w:type="auto"/>
            <w:vAlign w:val="center"/>
          </w:tcPr>
          <w:p w:rsidR="005F78FC" w:rsidRDefault="00B42EF3">
            <w:pPr>
              <w:pStyle w:val="TableBodyText"/>
            </w:pPr>
            <w:r>
              <w:t>01F1</w:t>
            </w:r>
          </w:p>
        </w:tc>
      </w:tr>
      <w:tr w:rsidR="005F78FC" w:rsidTr="005F78FC">
        <w:tc>
          <w:tcPr>
            <w:tcW w:w="0" w:type="auto"/>
            <w:vAlign w:val="center"/>
          </w:tcPr>
          <w:p w:rsidR="005F78FC" w:rsidRDefault="00B42EF3">
            <w:pPr>
              <w:pStyle w:val="TableBodyText"/>
            </w:pPr>
            <w:r>
              <w:t>ViewEndnoteSeparator</w:t>
            </w:r>
          </w:p>
        </w:tc>
        <w:tc>
          <w:tcPr>
            <w:tcW w:w="0" w:type="auto"/>
            <w:vAlign w:val="center"/>
          </w:tcPr>
          <w:p w:rsidR="005F78FC" w:rsidRDefault="00B42EF3">
            <w:pPr>
              <w:pStyle w:val="TableBodyText"/>
            </w:pPr>
            <w:r>
              <w:t>01F0</w:t>
            </w:r>
          </w:p>
        </w:tc>
      </w:tr>
      <w:tr w:rsidR="005F78FC" w:rsidTr="005F78FC">
        <w:tc>
          <w:tcPr>
            <w:tcW w:w="0" w:type="auto"/>
            <w:vAlign w:val="center"/>
          </w:tcPr>
          <w:p w:rsidR="005F78FC" w:rsidRDefault="00B42EF3">
            <w:pPr>
              <w:pStyle w:val="TableBodyText"/>
            </w:pPr>
            <w:r>
              <w:t>ViewFieldCodes</w:t>
            </w:r>
          </w:p>
        </w:tc>
        <w:tc>
          <w:tcPr>
            <w:tcW w:w="0" w:type="auto"/>
            <w:vAlign w:val="center"/>
          </w:tcPr>
          <w:p w:rsidR="005F78FC" w:rsidRDefault="00B42EF3">
            <w:pPr>
              <w:pStyle w:val="TableBodyText"/>
            </w:pPr>
            <w:r>
              <w:t>0096</w:t>
            </w:r>
          </w:p>
        </w:tc>
      </w:tr>
      <w:tr w:rsidR="005F78FC" w:rsidTr="005F78FC">
        <w:tc>
          <w:tcPr>
            <w:tcW w:w="0" w:type="auto"/>
            <w:vAlign w:val="center"/>
          </w:tcPr>
          <w:p w:rsidR="005F78FC" w:rsidRDefault="00B42EF3">
            <w:pPr>
              <w:pStyle w:val="TableBodyText"/>
            </w:pPr>
            <w:r>
              <w:t>ViewFooter</w:t>
            </w:r>
          </w:p>
        </w:tc>
        <w:tc>
          <w:tcPr>
            <w:tcW w:w="0" w:type="auto"/>
            <w:vAlign w:val="center"/>
          </w:tcPr>
          <w:p w:rsidR="005F78FC" w:rsidRDefault="00B42EF3">
            <w:pPr>
              <w:pStyle w:val="TableBodyText"/>
            </w:pPr>
            <w:r>
              <w:t>028E</w:t>
            </w:r>
          </w:p>
        </w:tc>
      </w:tr>
      <w:tr w:rsidR="005F78FC" w:rsidTr="005F78FC">
        <w:tc>
          <w:tcPr>
            <w:tcW w:w="0" w:type="auto"/>
            <w:vAlign w:val="center"/>
          </w:tcPr>
          <w:p w:rsidR="005F78FC" w:rsidRDefault="00B42EF3">
            <w:pPr>
              <w:pStyle w:val="TableBodyText"/>
            </w:pPr>
            <w:r>
              <w:t>ViewFooterOnly</w:t>
            </w:r>
          </w:p>
        </w:tc>
        <w:tc>
          <w:tcPr>
            <w:tcW w:w="0" w:type="auto"/>
            <w:vAlign w:val="center"/>
          </w:tcPr>
          <w:p w:rsidR="005F78FC" w:rsidRDefault="00B42EF3">
            <w:pPr>
              <w:pStyle w:val="TableBodyText"/>
            </w:pPr>
            <w:r>
              <w:t>090F</w:t>
            </w:r>
          </w:p>
        </w:tc>
      </w:tr>
      <w:tr w:rsidR="005F78FC" w:rsidTr="005F78FC">
        <w:tc>
          <w:tcPr>
            <w:tcW w:w="0" w:type="auto"/>
            <w:vAlign w:val="center"/>
          </w:tcPr>
          <w:p w:rsidR="005F78FC" w:rsidRDefault="00B42EF3">
            <w:pPr>
              <w:pStyle w:val="TableBodyText"/>
            </w:pPr>
            <w:r>
              <w:t>ViewFootnoteArea</w:t>
            </w:r>
          </w:p>
        </w:tc>
        <w:tc>
          <w:tcPr>
            <w:tcW w:w="0" w:type="auto"/>
            <w:vAlign w:val="center"/>
          </w:tcPr>
          <w:p w:rsidR="005F78FC" w:rsidRDefault="00B42EF3">
            <w:pPr>
              <w:pStyle w:val="TableBodyText"/>
            </w:pPr>
            <w:r>
              <w:t>009C</w:t>
            </w:r>
          </w:p>
        </w:tc>
      </w:tr>
      <w:tr w:rsidR="005F78FC" w:rsidTr="005F78FC">
        <w:tc>
          <w:tcPr>
            <w:tcW w:w="0" w:type="auto"/>
            <w:vAlign w:val="center"/>
          </w:tcPr>
          <w:p w:rsidR="005F78FC" w:rsidRDefault="00B42EF3">
            <w:pPr>
              <w:pStyle w:val="TableBodyText"/>
            </w:pPr>
            <w:r>
              <w:t>ViewFootnoteContNotice</w:t>
            </w:r>
          </w:p>
        </w:tc>
        <w:tc>
          <w:tcPr>
            <w:tcW w:w="0" w:type="auto"/>
            <w:vAlign w:val="center"/>
          </w:tcPr>
          <w:p w:rsidR="005F78FC" w:rsidRDefault="00B42EF3">
            <w:pPr>
              <w:pStyle w:val="TableBodyText"/>
            </w:pPr>
            <w:r>
              <w:t>01EF</w:t>
            </w:r>
          </w:p>
        </w:tc>
      </w:tr>
      <w:tr w:rsidR="005F78FC" w:rsidTr="005F78FC">
        <w:tc>
          <w:tcPr>
            <w:tcW w:w="0" w:type="auto"/>
            <w:vAlign w:val="center"/>
          </w:tcPr>
          <w:p w:rsidR="005F78FC" w:rsidRDefault="00B42EF3">
            <w:pPr>
              <w:pStyle w:val="TableBodyText"/>
            </w:pPr>
            <w:r>
              <w:t>ViewFootnoteContSeparator</w:t>
            </w:r>
          </w:p>
        </w:tc>
        <w:tc>
          <w:tcPr>
            <w:tcW w:w="0" w:type="auto"/>
            <w:vAlign w:val="center"/>
          </w:tcPr>
          <w:p w:rsidR="005F78FC" w:rsidRDefault="00B42EF3">
            <w:pPr>
              <w:pStyle w:val="TableBodyText"/>
            </w:pPr>
            <w:r>
              <w:t>01EE</w:t>
            </w:r>
          </w:p>
        </w:tc>
      </w:tr>
      <w:tr w:rsidR="005F78FC" w:rsidTr="005F78FC">
        <w:tc>
          <w:tcPr>
            <w:tcW w:w="0" w:type="auto"/>
            <w:vAlign w:val="center"/>
          </w:tcPr>
          <w:p w:rsidR="005F78FC" w:rsidRDefault="00B42EF3">
            <w:pPr>
              <w:pStyle w:val="TableBodyText"/>
            </w:pPr>
            <w:r>
              <w:t>ViewFootnoteSeparator</w:t>
            </w:r>
          </w:p>
        </w:tc>
        <w:tc>
          <w:tcPr>
            <w:tcW w:w="0" w:type="auto"/>
            <w:vAlign w:val="center"/>
          </w:tcPr>
          <w:p w:rsidR="005F78FC" w:rsidRDefault="00B42EF3">
            <w:pPr>
              <w:pStyle w:val="TableBodyText"/>
            </w:pPr>
            <w:r>
              <w:t>01ED</w:t>
            </w:r>
          </w:p>
        </w:tc>
      </w:tr>
      <w:tr w:rsidR="005F78FC" w:rsidTr="005F78FC">
        <w:tc>
          <w:tcPr>
            <w:tcW w:w="0" w:type="auto"/>
            <w:vAlign w:val="center"/>
          </w:tcPr>
          <w:p w:rsidR="005F78FC" w:rsidRDefault="00B42EF3">
            <w:pPr>
              <w:pStyle w:val="TableBodyText"/>
            </w:pPr>
            <w:r>
              <w:t>ViewFootnotes</w:t>
            </w:r>
          </w:p>
        </w:tc>
        <w:tc>
          <w:tcPr>
            <w:tcW w:w="0" w:type="auto"/>
            <w:vAlign w:val="center"/>
          </w:tcPr>
          <w:p w:rsidR="005F78FC" w:rsidRDefault="00B42EF3">
            <w:pPr>
              <w:pStyle w:val="TableBodyText"/>
            </w:pPr>
            <w:r>
              <w:t>01F6</w:t>
            </w:r>
          </w:p>
        </w:tc>
      </w:tr>
      <w:tr w:rsidR="005F78FC" w:rsidTr="005F78FC">
        <w:tc>
          <w:tcPr>
            <w:tcW w:w="0" w:type="auto"/>
            <w:vAlign w:val="center"/>
          </w:tcPr>
          <w:p w:rsidR="005F78FC" w:rsidRDefault="00B42EF3">
            <w:pPr>
              <w:pStyle w:val="TableBodyText"/>
            </w:pPr>
            <w:r>
              <w:t>ViewFormatExToolbar</w:t>
            </w:r>
          </w:p>
        </w:tc>
        <w:tc>
          <w:tcPr>
            <w:tcW w:w="0" w:type="auto"/>
            <w:vAlign w:val="center"/>
          </w:tcPr>
          <w:p w:rsidR="005F78FC" w:rsidRDefault="00B42EF3">
            <w:pPr>
              <w:pStyle w:val="TableBodyText"/>
            </w:pPr>
            <w:r>
              <w:t>032B</w:t>
            </w:r>
          </w:p>
        </w:tc>
      </w:tr>
      <w:tr w:rsidR="005F78FC" w:rsidTr="005F78FC">
        <w:tc>
          <w:tcPr>
            <w:tcW w:w="0" w:type="auto"/>
            <w:vAlign w:val="center"/>
          </w:tcPr>
          <w:p w:rsidR="005F78FC" w:rsidRDefault="00B42EF3">
            <w:pPr>
              <w:pStyle w:val="TableBodyText"/>
            </w:pPr>
            <w:r>
              <w:t>ViewGridlines</w:t>
            </w:r>
          </w:p>
        </w:tc>
        <w:tc>
          <w:tcPr>
            <w:tcW w:w="0" w:type="auto"/>
            <w:vAlign w:val="center"/>
          </w:tcPr>
          <w:p w:rsidR="005F78FC" w:rsidRDefault="00B42EF3">
            <w:pPr>
              <w:pStyle w:val="TableBodyText"/>
            </w:pPr>
            <w:r>
              <w:t>02E5</w:t>
            </w:r>
          </w:p>
        </w:tc>
      </w:tr>
      <w:tr w:rsidR="005F78FC" w:rsidTr="005F78FC">
        <w:tc>
          <w:tcPr>
            <w:tcW w:w="0" w:type="auto"/>
            <w:vAlign w:val="center"/>
          </w:tcPr>
          <w:p w:rsidR="005F78FC" w:rsidRDefault="00B42EF3">
            <w:pPr>
              <w:pStyle w:val="TableBodyText"/>
            </w:pPr>
            <w:r>
              <w:t>ViewHTMLSource</w:t>
            </w:r>
          </w:p>
        </w:tc>
        <w:tc>
          <w:tcPr>
            <w:tcW w:w="0" w:type="auto"/>
            <w:vAlign w:val="center"/>
          </w:tcPr>
          <w:p w:rsidR="005F78FC" w:rsidRDefault="00B42EF3">
            <w:pPr>
              <w:pStyle w:val="TableBodyText"/>
            </w:pPr>
            <w:r>
              <w:t>0482</w:t>
            </w:r>
          </w:p>
        </w:tc>
      </w:tr>
      <w:tr w:rsidR="005F78FC" w:rsidTr="005F78FC">
        <w:tc>
          <w:tcPr>
            <w:tcW w:w="0" w:type="auto"/>
            <w:vAlign w:val="center"/>
          </w:tcPr>
          <w:p w:rsidR="005F78FC" w:rsidRDefault="00B42EF3">
            <w:pPr>
              <w:pStyle w:val="TableBodyText"/>
            </w:pPr>
            <w:r>
              <w:t>ViewHeader</w:t>
            </w:r>
          </w:p>
        </w:tc>
        <w:tc>
          <w:tcPr>
            <w:tcW w:w="0" w:type="auto"/>
            <w:vAlign w:val="center"/>
          </w:tcPr>
          <w:p w:rsidR="005F78FC" w:rsidRDefault="00B42EF3">
            <w:pPr>
              <w:pStyle w:val="TableBodyText"/>
            </w:pPr>
            <w:r>
              <w:t>01E4</w:t>
            </w:r>
          </w:p>
        </w:tc>
      </w:tr>
      <w:tr w:rsidR="005F78FC" w:rsidTr="005F78FC">
        <w:tc>
          <w:tcPr>
            <w:tcW w:w="0" w:type="auto"/>
            <w:vAlign w:val="center"/>
          </w:tcPr>
          <w:p w:rsidR="005F78FC" w:rsidRDefault="00B42EF3">
            <w:pPr>
              <w:pStyle w:val="TableBodyText"/>
            </w:pPr>
            <w:r>
              <w:t>ViewHeaderOnly</w:t>
            </w:r>
          </w:p>
        </w:tc>
        <w:tc>
          <w:tcPr>
            <w:tcW w:w="0" w:type="auto"/>
            <w:vAlign w:val="center"/>
          </w:tcPr>
          <w:p w:rsidR="005F78FC" w:rsidRDefault="00B42EF3">
            <w:pPr>
              <w:pStyle w:val="TableBodyText"/>
            </w:pPr>
            <w:r>
              <w:t>08EA</w:t>
            </w:r>
          </w:p>
        </w:tc>
      </w:tr>
      <w:tr w:rsidR="005F78FC" w:rsidTr="005F78FC">
        <w:tc>
          <w:tcPr>
            <w:tcW w:w="0" w:type="auto"/>
            <w:vAlign w:val="center"/>
          </w:tcPr>
          <w:p w:rsidR="005F78FC" w:rsidRDefault="00B42EF3">
            <w:pPr>
              <w:pStyle w:val="TableBodyText"/>
            </w:pPr>
            <w:r>
              <w:t>ViewMasterDocument</w:t>
            </w:r>
          </w:p>
        </w:tc>
        <w:tc>
          <w:tcPr>
            <w:tcW w:w="0" w:type="auto"/>
            <w:vAlign w:val="center"/>
          </w:tcPr>
          <w:p w:rsidR="005F78FC" w:rsidRDefault="00B42EF3">
            <w:pPr>
              <w:pStyle w:val="TableBodyText"/>
            </w:pPr>
            <w:r>
              <w:t>01EA</w:t>
            </w:r>
          </w:p>
        </w:tc>
      </w:tr>
      <w:tr w:rsidR="005F78FC" w:rsidTr="005F78FC">
        <w:tc>
          <w:tcPr>
            <w:tcW w:w="0" w:type="auto"/>
            <w:vAlign w:val="center"/>
          </w:tcPr>
          <w:p w:rsidR="005F78FC" w:rsidRDefault="00B42EF3">
            <w:pPr>
              <w:pStyle w:val="TableBodyText"/>
            </w:pPr>
            <w:r>
              <w:t>ViewNormal</w:t>
            </w:r>
          </w:p>
        </w:tc>
        <w:tc>
          <w:tcPr>
            <w:tcW w:w="0" w:type="auto"/>
            <w:vAlign w:val="center"/>
          </w:tcPr>
          <w:p w:rsidR="005F78FC" w:rsidRDefault="00B42EF3">
            <w:pPr>
              <w:pStyle w:val="TableBodyText"/>
            </w:pPr>
            <w:r>
              <w:t>0091</w:t>
            </w:r>
          </w:p>
        </w:tc>
      </w:tr>
      <w:tr w:rsidR="005F78FC" w:rsidTr="005F78FC">
        <w:tc>
          <w:tcPr>
            <w:tcW w:w="0" w:type="auto"/>
            <w:vAlign w:val="center"/>
          </w:tcPr>
          <w:p w:rsidR="005F78FC" w:rsidRDefault="00B42EF3">
            <w:pPr>
              <w:pStyle w:val="TableBodyText"/>
            </w:pPr>
            <w:r>
              <w:t>ViewOnline</w:t>
            </w:r>
          </w:p>
        </w:tc>
        <w:tc>
          <w:tcPr>
            <w:tcW w:w="0" w:type="auto"/>
            <w:vAlign w:val="center"/>
          </w:tcPr>
          <w:p w:rsidR="005F78FC" w:rsidRDefault="00B42EF3">
            <w:pPr>
              <w:pStyle w:val="TableBodyText"/>
            </w:pPr>
            <w:r>
              <w:t>0334</w:t>
            </w:r>
          </w:p>
        </w:tc>
      </w:tr>
      <w:tr w:rsidR="005F78FC" w:rsidTr="005F78FC">
        <w:tc>
          <w:tcPr>
            <w:tcW w:w="0" w:type="auto"/>
            <w:vAlign w:val="center"/>
          </w:tcPr>
          <w:p w:rsidR="005F78FC" w:rsidRDefault="00B42EF3">
            <w:pPr>
              <w:pStyle w:val="TableBodyText"/>
            </w:pPr>
            <w:r>
              <w:t>ViewOutline</w:t>
            </w:r>
          </w:p>
        </w:tc>
        <w:tc>
          <w:tcPr>
            <w:tcW w:w="0" w:type="auto"/>
            <w:vAlign w:val="center"/>
          </w:tcPr>
          <w:p w:rsidR="005F78FC" w:rsidRDefault="00B42EF3">
            <w:pPr>
              <w:pStyle w:val="TableBodyText"/>
            </w:pPr>
            <w:r>
              <w:t>0092</w:t>
            </w:r>
          </w:p>
        </w:tc>
      </w:tr>
      <w:tr w:rsidR="005F78FC" w:rsidTr="005F78FC">
        <w:tc>
          <w:tcPr>
            <w:tcW w:w="0" w:type="auto"/>
            <w:vAlign w:val="center"/>
          </w:tcPr>
          <w:p w:rsidR="005F78FC" w:rsidRDefault="00B42EF3">
            <w:pPr>
              <w:pStyle w:val="TableBodyText"/>
            </w:pPr>
            <w:r>
              <w:lastRenderedPageBreak/>
              <w:t>ViewOutlineMaster</w:t>
            </w:r>
          </w:p>
        </w:tc>
        <w:tc>
          <w:tcPr>
            <w:tcW w:w="0" w:type="auto"/>
            <w:vAlign w:val="center"/>
          </w:tcPr>
          <w:p w:rsidR="005F78FC" w:rsidRDefault="00B42EF3">
            <w:pPr>
              <w:pStyle w:val="TableBodyText"/>
            </w:pPr>
            <w:r>
              <w:t>0499</w:t>
            </w:r>
          </w:p>
        </w:tc>
      </w:tr>
      <w:tr w:rsidR="005F78FC" w:rsidTr="005F78FC">
        <w:tc>
          <w:tcPr>
            <w:tcW w:w="0" w:type="auto"/>
            <w:vAlign w:val="center"/>
          </w:tcPr>
          <w:p w:rsidR="005F78FC" w:rsidRDefault="00B42EF3">
            <w:pPr>
              <w:pStyle w:val="TableBodyText"/>
            </w:pPr>
            <w:r>
              <w:t>ViewOutlineSplitToolbar</w:t>
            </w:r>
          </w:p>
        </w:tc>
        <w:tc>
          <w:tcPr>
            <w:tcW w:w="0" w:type="auto"/>
            <w:vAlign w:val="center"/>
          </w:tcPr>
          <w:p w:rsidR="005F78FC" w:rsidRDefault="00B42EF3">
            <w:pPr>
              <w:pStyle w:val="TableBodyText"/>
            </w:pPr>
            <w:r>
              <w:t>0324</w:t>
            </w:r>
          </w:p>
        </w:tc>
      </w:tr>
      <w:tr w:rsidR="005F78FC" w:rsidTr="005F78FC">
        <w:tc>
          <w:tcPr>
            <w:tcW w:w="0" w:type="auto"/>
            <w:vAlign w:val="center"/>
          </w:tcPr>
          <w:p w:rsidR="005F78FC" w:rsidRDefault="00B42EF3">
            <w:pPr>
              <w:pStyle w:val="TableBodyText"/>
            </w:pPr>
            <w:r>
              <w:t>ViewPage</w:t>
            </w:r>
          </w:p>
        </w:tc>
        <w:tc>
          <w:tcPr>
            <w:tcW w:w="0" w:type="auto"/>
            <w:vAlign w:val="center"/>
          </w:tcPr>
          <w:p w:rsidR="005F78FC" w:rsidRDefault="00B42EF3">
            <w:pPr>
              <w:pStyle w:val="TableBodyText"/>
            </w:pPr>
            <w:r>
              <w:t>0093</w:t>
            </w:r>
          </w:p>
        </w:tc>
      </w:tr>
      <w:tr w:rsidR="005F78FC" w:rsidTr="005F78FC">
        <w:tc>
          <w:tcPr>
            <w:tcW w:w="0" w:type="auto"/>
            <w:vAlign w:val="center"/>
          </w:tcPr>
          <w:p w:rsidR="005F78FC" w:rsidRDefault="00B42EF3">
            <w:pPr>
              <w:pStyle w:val="TableBodyText"/>
            </w:pPr>
            <w:r>
              <w:t>ViewPageFromOutline</w:t>
            </w:r>
          </w:p>
        </w:tc>
        <w:tc>
          <w:tcPr>
            <w:tcW w:w="0" w:type="auto"/>
            <w:vAlign w:val="center"/>
          </w:tcPr>
          <w:p w:rsidR="005F78FC" w:rsidRDefault="00B42EF3">
            <w:pPr>
              <w:pStyle w:val="TableBodyText"/>
            </w:pPr>
            <w:r>
              <w:t>094D</w:t>
            </w:r>
          </w:p>
        </w:tc>
      </w:tr>
      <w:tr w:rsidR="005F78FC" w:rsidTr="005F78FC">
        <w:tc>
          <w:tcPr>
            <w:tcW w:w="0" w:type="auto"/>
            <w:vAlign w:val="center"/>
          </w:tcPr>
          <w:p w:rsidR="005F78FC" w:rsidRDefault="00B42EF3">
            <w:pPr>
              <w:pStyle w:val="TableBodyText"/>
            </w:pPr>
            <w:r>
              <w:t>ViewRuler</w:t>
            </w:r>
          </w:p>
        </w:tc>
        <w:tc>
          <w:tcPr>
            <w:tcW w:w="0" w:type="auto"/>
            <w:vAlign w:val="center"/>
          </w:tcPr>
          <w:p w:rsidR="005F78FC" w:rsidRDefault="00B42EF3">
            <w:pPr>
              <w:pStyle w:val="TableBodyText"/>
            </w:pPr>
            <w:r>
              <w:t>0099</w:t>
            </w:r>
          </w:p>
        </w:tc>
      </w:tr>
      <w:tr w:rsidR="005F78FC" w:rsidTr="005F78FC">
        <w:tc>
          <w:tcPr>
            <w:tcW w:w="0" w:type="auto"/>
            <w:vAlign w:val="center"/>
          </w:tcPr>
          <w:p w:rsidR="005F78FC" w:rsidRDefault="00B42EF3">
            <w:pPr>
              <w:pStyle w:val="TableBodyText"/>
            </w:pPr>
            <w:r>
              <w:t>ViewSecurity</w:t>
            </w:r>
          </w:p>
        </w:tc>
        <w:tc>
          <w:tcPr>
            <w:tcW w:w="0" w:type="auto"/>
            <w:vAlign w:val="center"/>
          </w:tcPr>
          <w:p w:rsidR="005F78FC" w:rsidRDefault="00B42EF3">
            <w:pPr>
              <w:pStyle w:val="TableBodyText"/>
            </w:pPr>
            <w:r>
              <w:t>0419</w:t>
            </w:r>
          </w:p>
        </w:tc>
      </w:tr>
      <w:tr w:rsidR="005F78FC" w:rsidTr="005F78FC">
        <w:tc>
          <w:tcPr>
            <w:tcW w:w="0" w:type="auto"/>
            <w:vAlign w:val="center"/>
          </w:tcPr>
          <w:p w:rsidR="005F78FC" w:rsidRDefault="00B42EF3">
            <w:pPr>
              <w:pStyle w:val="TableBodyText"/>
            </w:pPr>
            <w:r>
              <w:t>ViewSignatures</w:t>
            </w:r>
          </w:p>
        </w:tc>
        <w:tc>
          <w:tcPr>
            <w:tcW w:w="0" w:type="auto"/>
            <w:vAlign w:val="center"/>
          </w:tcPr>
          <w:p w:rsidR="005F78FC" w:rsidRDefault="00B42EF3">
            <w:pPr>
              <w:pStyle w:val="TableBodyText"/>
            </w:pPr>
            <w:r>
              <w:t>04F3</w:t>
            </w:r>
          </w:p>
        </w:tc>
      </w:tr>
      <w:tr w:rsidR="005F78FC" w:rsidTr="005F78FC">
        <w:tc>
          <w:tcPr>
            <w:tcW w:w="0" w:type="auto"/>
            <w:vAlign w:val="center"/>
          </w:tcPr>
          <w:p w:rsidR="005F78FC" w:rsidRDefault="00B42EF3">
            <w:pPr>
              <w:pStyle w:val="TableBodyText"/>
            </w:pPr>
            <w:r>
              <w:t>ViewStatusBar</w:t>
            </w:r>
          </w:p>
        </w:tc>
        <w:tc>
          <w:tcPr>
            <w:tcW w:w="0" w:type="auto"/>
            <w:vAlign w:val="center"/>
          </w:tcPr>
          <w:p w:rsidR="005F78FC" w:rsidRDefault="00B42EF3">
            <w:pPr>
              <w:pStyle w:val="TableBodyText"/>
            </w:pPr>
            <w:r>
              <w:t>009A</w:t>
            </w:r>
          </w:p>
        </w:tc>
      </w:tr>
      <w:tr w:rsidR="005F78FC" w:rsidTr="005F78FC">
        <w:tc>
          <w:tcPr>
            <w:tcW w:w="0" w:type="auto"/>
            <w:vAlign w:val="center"/>
          </w:tcPr>
          <w:p w:rsidR="005F78FC" w:rsidRDefault="00B42EF3">
            <w:pPr>
              <w:pStyle w:val="TableBodyText"/>
            </w:pPr>
            <w:r>
              <w:t>ViewTaskPane</w:t>
            </w:r>
          </w:p>
        </w:tc>
        <w:tc>
          <w:tcPr>
            <w:tcW w:w="0" w:type="auto"/>
            <w:vAlign w:val="center"/>
          </w:tcPr>
          <w:p w:rsidR="005F78FC" w:rsidRDefault="00B42EF3">
            <w:pPr>
              <w:pStyle w:val="TableBodyText"/>
            </w:pPr>
            <w:r>
              <w:t>0521</w:t>
            </w:r>
          </w:p>
        </w:tc>
      </w:tr>
      <w:tr w:rsidR="005F78FC" w:rsidTr="005F78FC">
        <w:tc>
          <w:tcPr>
            <w:tcW w:w="0" w:type="auto"/>
            <w:vAlign w:val="center"/>
          </w:tcPr>
          <w:p w:rsidR="005F78FC" w:rsidRDefault="00B42EF3">
            <w:pPr>
              <w:pStyle w:val="TableBodyText"/>
            </w:pPr>
            <w:r>
              <w:t>ViewToggleMasterDocument</w:t>
            </w:r>
          </w:p>
        </w:tc>
        <w:tc>
          <w:tcPr>
            <w:tcW w:w="0" w:type="auto"/>
            <w:vAlign w:val="center"/>
          </w:tcPr>
          <w:p w:rsidR="005F78FC" w:rsidRDefault="00B42EF3">
            <w:pPr>
              <w:pStyle w:val="TableBodyText"/>
            </w:pPr>
            <w:r>
              <w:t>0278</w:t>
            </w:r>
          </w:p>
        </w:tc>
      </w:tr>
      <w:tr w:rsidR="005F78FC" w:rsidTr="005F78FC">
        <w:tc>
          <w:tcPr>
            <w:tcW w:w="0" w:type="auto"/>
            <w:vAlign w:val="center"/>
          </w:tcPr>
          <w:p w:rsidR="005F78FC" w:rsidRDefault="00B42EF3">
            <w:pPr>
              <w:pStyle w:val="TableBodyText"/>
            </w:pPr>
            <w:r>
              <w:t>ViewTogglePageBoundaries</w:t>
            </w:r>
          </w:p>
        </w:tc>
        <w:tc>
          <w:tcPr>
            <w:tcW w:w="0" w:type="auto"/>
            <w:vAlign w:val="center"/>
          </w:tcPr>
          <w:p w:rsidR="005F78FC" w:rsidRDefault="00B42EF3">
            <w:pPr>
              <w:pStyle w:val="TableBodyText"/>
            </w:pPr>
            <w:r>
              <w:t>0367</w:t>
            </w:r>
          </w:p>
        </w:tc>
      </w:tr>
      <w:tr w:rsidR="005F78FC" w:rsidTr="005F78FC">
        <w:tc>
          <w:tcPr>
            <w:tcW w:w="0" w:type="auto"/>
            <w:vAlign w:val="center"/>
          </w:tcPr>
          <w:p w:rsidR="005F78FC" w:rsidRDefault="00B42EF3">
            <w:pPr>
              <w:pStyle w:val="TableBodyText"/>
            </w:pPr>
            <w:r>
              <w:t>ViewToolbars</w:t>
            </w:r>
          </w:p>
        </w:tc>
        <w:tc>
          <w:tcPr>
            <w:tcW w:w="0" w:type="auto"/>
            <w:vAlign w:val="center"/>
          </w:tcPr>
          <w:p w:rsidR="005F78FC" w:rsidRDefault="00B42EF3">
            <w:pPr>
              <w:pStyle w:val="TableBodyText"/>
            </w:pPr>
            <w:r>
              <w:t>0143</w:t>
            </w:r>
          </w:p>
        </w:tc>
      </w:tr>
      <w:tr w:rsidR="005F78FC" w:rsidTr="005F78FC">
        <w:tc>
          <w:tcPr>
            <w:tcW w:w="0" w:type="auto"/>
            <w:vAlign w:val="center"/>
          </w:tcPr>
          <w:p w:rsidR="005F78FC" w:rsidRDefault="00B42EF3">
            <w:pPr>
              <w:pStyle w:val="TableBodyText"/>
            </w:pPr>
            <w:r>
              <w:t>ViewVBCode</w:t>
            </w:r>
          </w:p>
        </w:tc>
        <w:tc>
          <w:tcPr>
            <w:tcW w:w="0" w:type="auto"/>
            <w:vAlign w:val="center"/>
          </w:tcPr>
          <w:p w:rsidR="005F78FC" w:rsidRDefault="00B42EF3">
            <w:pPr>
              <w:pStyle w:val="TableBodyText"/>
            </w:pPr>
            <w:r>
              <w:t>03B4</w:t>
            </w:r>
          </w:p>
        </w:tc>
      </w:tr>
      <w:tr w:rsidR="005F78FC" w:rsidTr="005F78FC">
        <w:tc>
          <w:tcPr>
            <w:tcW w:w="0" w:type="auto"/>
            <w:vAlign w:val="center"/>
          </w:tcPr>
          <w:p w:rsidR="005F78FC" w:rsidRDefault="00B42EF3">
            <w:pPr>
              <w:pStyle w:val="TableBodyText"/>
            </w:pPr>
            <w:r>
              <w:t>ViewWeb</w:t>
            </w:r>
          </w:p>
        </w:tc>
        <w:tc>
          <w:tcPr>
            <w:tcW w:w="0" w:type="auto"/>
            <w:vAlign w:val="center"/>
          </w:tcPr>
          <w:p w:rsidR="005F78FC" w:rsidRDefault="00B42EF3">
            <w:pPr>
              <w:pStyle w:val="TableBodyText"/>
            </w:pPr>
            <w:r>
              <w:t>0350</w:t>
            </w:r>
          </w:p>
        </w:tc>
      </w:tr>
      <w:tr w:rsidR="005F78FC" w:rsidTr="005F78FC">
        <w:tc>
          <w:tcPr>
            <w:tcW w:w="0" w:type="auto"/>
            <w:vAlign w:val="center"/>
          </w:tcPr>
          <w:p w:rsidR="005F78FC" w:rsidRDefault="00B42EF3">
            <w:pPr>
              <w:pStyle w:val="TableBodyText"/>
            </w:pPr>
            <w:r>
              <w:t>ViewWebToolbox</w:t>
            </w:r>
          </w:p>
        </w:tc>
        <w:tc>
          <w:tcPr>
            <w:tcW w:w="0" w:type="auto"/>
            <w:vAlign w:val="center"/>
          </w:tcPr>
          <w:p w:rsidR="005F78FC" w:rsidRDefault="00B42EF3">
            <w:pPr>
              <w:pStyle w:val="TableBodyText"/>
            </w:pPr>
            <w:r>
              <w:t>1BC4</w:t>
            </w:r>
          </w:p>
        </w:tc>
      </w:tr>
      <w:tr w:rsidR="005F78FC" w:rsidTr="005F78FC">
        <w:tc>
          <w:tcPr>
            <w:tcW w:w="0" w:type="auto"/>
            <w:vAlign w:val="center"/>
          </w:tcPr>
          <w:p w:rsidR="005F78FC" w:rsidRDefault="00B42EF3">
            <w:pPr>
              <w:pStyle w:val="TableBodyText"/>
            </w:pPr>
            <w:r>
              <w:t>ViewXMLStructure</w:t>
            </w:r>
          </w:p>
        </w:tc>
        <w:tc>
          <w:tcPr>
            <w:tcW w:w="0" w:type="auto"/>
            <w:vAlign w:val="center"/>
          </w:tcPr>
          <w:p w:rsidR="005F78FC" w:rsidRDefault="00B42EF3">
            <w:pPr>
              <w:pStyle w:val="TableBodyText"/>
            </w:pPr>
            <w:r>
              <w:t>056C</w:t>
            </w:r>
          </w:p>
        </w:tc>
      </w:tr>
      <w:tr w:rsidR="005F78FC" w:rsidTr="005F78FC">
        <w:tc>
          <w:tcPr>
            <w:tcW w:w="0" w:type="auto"/>
            <w:vAlign w:val="center"/>
          </w:tcPr>
          <w:p w:rsidR="005F78FC" w:rsidRDefault="00B42EF3">
            <w:pPr>
              <w:pStyle w:val="TableBodyText"/>
            </w:pPr>
            <w:r>
              <w:t>ViewZoom</w:t>
            </w:r>
          </w:p>
        </w:tc>
        <w:tc>
          <w:tcPr>
            <w:tcW w:w="0" w:type="auto"/>
            <w:vAlign w:val="center"/>
          </w:tcPr>
          <w:p w:rsidR="005F78FC" w:rsidRDefault="00B42EF3">
            <w:pPr>
              <w:pStyle w:val="TableBodyText"/>
            </w:pPr>
            <w:r>
              <w:t>0241</w:t>
            </w:r>
          </w:p>
        </w:tc>
      </w:tr>
      <w:tr w:rsidR="005F78FC" w:rsidTr="005F78FC">
        <w:tc>
          <w:tcPr>
            <w:tcW w:w="0" w:type="auto"/>
            <w:vAlign w:val="center"/>
          </w:tcPr>
          <w:p w:rsidR="005F78FC" w:rsidRDefault="00B42EF3">
            <w:pPr>
              <w:pStyle w:val="TableBodyText"/>
            </w:pPr>
            <w:r>
              <w:t>ViewZoom100</w:t>
            </w:r>
          </w:p>
        </w:tc>
        <w:tc>
          <w:tcPr>
            <w:tcW w:w="0" w:type="auto"/>
            <w:vAlign w:val="center"/>
          </w:tcPr>
          <w:p w:rsidR="005F78FC" w:rsidRDefault="00B42EF3">
            <w:pPr>
              <w:pStyle w:val="TableBodyText"/>
            </w:pPr>
            <w:r>
              <w:t>0131</w:t>
            </w:r>
          </w:p>
        </w:tc>
      </w:tr>
      <w:tr w:rsidR="005F78FC" w:rsidTr="005F78FC">
        <w:tc>
          <w:tcPr>
            <w:tcW w:w="0" w:type="auto"/>
            <w:vAlign w:val="center"/>
          </w:tcPr>
          <w:p w:rsidR="005F78FC" w:rsidRDefault="00B42EF3">
            <w:pPr>
              <w:pStyle w:val="TableBodyText"/>
            </w:pPr>
            <w:r>
              <w:t>ViewZoom200</w:t>
            </w:r>
          </w:p>
        </w:tc>
        <w:tc>
          <w:tcPr>
            <w:tcW w:w="0" w:type="auto"/>
            <w:vAlign w:val="center"/>
          </w:tcPr>
          <w:p w:rsidR="005F78FC" w:rsidRDefault="00B42EF3">
            <w:pPr>
              <w:pStyle w:val="TableBodyText"/>
            </w:pPr>
            <w:r>
              <w:t>023D</w:t>
            </w:r>
          </w:p>
        </w:tc>
      </w:tr>
      <w:tr w:rsidR="005F78FC" w:rsidTr="005F78FC">
        <w:tc>
          <w:tcPr>
            <w:tcW w:w="0" w:type="auto"/>
            <w:vAlign w:val="center"/>
          </w:tcPr>
          <w:p w:rsidR="005F78FC" w:rsidRDefault="00B42EF3">
            <w:pPr>
              <w:pStyle w:val="TableBodyText"/>
            </w:pPr>
            <w:r>
              <w:t>ViewZoom75</w:t>
            </w:r>
          </w:p>
        </w:tc>
        <w:tc>
          <w:tcPr>
            <w:tcW w:w="0" w:type="auto"/>
            <w:vAlign w:val="center"/>
          </w:tcPr>
          <w:p w:rsidR="005F78FC" w:rsidRDefault="00B42EF3">
            <w:pPr>
              <w:pStyle w:val="TableBodyText"/>
            </w:pPr>
            <w:r>
              <w:t>023E</w:t>
            </w:r>
          </w:p>
        </w:tc>
      </w:tr>
      <w:tr w:rsidR="005F78FC" w:rsidTr="005F78FC">
        <w:tc>
          <w:tcPr>
            <w:tcW w:w="0" w:type="auto"/>
            <w:vAlign w:val="center"/>
          </w:tcPr>
          <w:p w:rsidR="005F78FC" w:rsidRDefault="00B42EF3">
            <w:pPr>
              <w:pStyle w:val="TableBodyText"/>
            </w:pPr>
            <w:r>
              <w:t>ViewZoomPageWidth</w:t>
            </w:r>
          </w:p>
        </w:tc>
        <w:tc>
          <w:tcPr>
            <w:tcW w:w="0" w:type="auto"/>
            <w:vAlign w:val="center"/>
          </w:tcPr>
          <w:p w:rsidR="005F78FC" w:rsidRDefault="00B42EF3">
            <w:pPr>
              <w:pStyle w:val="TableBodyText"/>
            </w:pPr>
            <w:r>
              <w:t>0130</w:t>
            </w:r>
          </w:p>
        </w:tc>
      </w:tr>
      <w:tr w:rsidR="005F78FC" w:rsidTr="005F78FC">
        <w:tc>
          <w:tcPr>
            <w:tcW w:w="0" w:type="auto"/>
            <w:vAlign w:val="center"/>
          </w:tcPr>
          <w:p w:rsidR="005F78FC" w:rsidRDefault="00B42EF3">
            <w:pPr>
              <w:pStyle w:val="TableBodyText"/>
            </w:pPr>
            <w:r>
              <w:t>ViewZoomTwoPage</w:t>
            </w:r>
          </w:p>
        </w:tc>
        <w:tc>
          <w:tcPr>
            <w:tcW w:w="0" w:type="auto"/>
            <w:vAlign w:val="center"/>
          </w:tcPr>
          <w:p w:rsidR="005F78FC" w:rsidRDefault="00B42EF3">
            <w:pPr>
              <w:pStyle w:val="TableBodyText"/>
            </w:pPr>
            <w:r>
              <w:t>07A3</w:t>
            </w:r>
          </w:p>
        </w:tc>
      </w:tr>
      <w:tr w:rsidR="005F78FC" w:rsidTr="005F78FC">
        <w:tc>
          <w:tcPr>
            <w:tcW w:w="0" w:type="auto"/>
            <w:vAlign w:val="center"/>
          </w:tcPr>
          <w:p w:rsidR="005F78FC" w:rsidRDefault="00B42EF3">
            <w:pPr>
              <w:pStyle w:val="TableBodyText"/>
            </w:pPr>
            <w:r>
              <w:t>ViewZoomWholePage</w:t>
            </w:r>
          </w:p>
        </w:tc>
        <w:tc>
          <w:tcPr>
            <w:tcW w:w="0" w:type="auto"/>
            <w:vAlign w:val="center"/>
          </w:tcPr>
          <w:p w:rsidR="005F78FC" w:rsidRDefault="00B42EF3">
            <w:pPr>
              <w:pStyle w:val="TableBodyText"/>
            </w:pPr>
            <w:r>
              <w:t>012F</w:t>
            </w:r>
          </w:p>
        </w:tc>
      </w:tr>
      <w:tr w:rsidR="005F78FC" w:rsidTr="005F78FC">
        <w:tc>
          <w:tcPr>
            <w:tcW w:w="0" w:type="auto"/>
            <w:vAlign w:val="center"/>
          </w:tcPr>
          <w:p w:rsidR="005F78FC" w:rsidRDefault="00B42EF3">
            <w:pPr>
              <w:pStyle w:val="TableBodyText"/>
            </w:pPr>
            <w:r>
              <w:t>WW2_ChangeRulerMode</w:t>
            </w:r>
          </w:p>
        </w:tc>
        <w:tc>
          <w:tcPr>
            <w:tcW w:w="0" w:type="auto"/>
            <w:vAlign w:val="center"/>
          </w:tcPr>
          <w:p w:rsidR="005F78FC" w:rsidRDefault="00B42EF3">
            <w:pPr>
              <w:pStyle w:val="TableBodyText"/>
            </w:pPr>
            <w:r>
              <w:t>0127</w:t>
            </w:r>
          </w:p>
        </w:tc>
      </w:tr>
      <w:tr w:rsidR="005F78FC" w:rsidTr="005F78FC">
        <w:tc>
          <w:tcPr>
            <w:tcW w:w="0" w:type="auto"/>
            <w:vAlign w:val="center"/>
          </w:tcPr>
          <w:p w:rsidR="005F78FC" w:rsidRDefault="00B42EF3">
            <w:pPr>
              <w:pStyle w:val="TableBodyText"/>
            </w:pPr>
            <w:r>
              <w:t>WW2_EditFind</w:t>
            </w:r>
          </w:p>
        </w:tc>
        <w:tc>
          <w:tcPr>
            <w:tcW w:w="0" w:type="auto"/>
            <w:vAlign w:val="center"/>
          </w:tcPr>
          <w:p w:rsidR="005F78FC" w:rsidRDefault="00B42EF3">
            <w:pPr>
              <w:pStyle w:val="TableBodyText"/>
            </w:pPr>
            <w:r>
              <w:t>01A5</w:t>
            </w:r>
          </w:p>
        </w:tc>
      </w:tr>
      <w:tr w:rsidR="005F78FC" w:rsidTr="005F78FC">
        <w:tc>
          <w:tcPr>
            <w:tcW w:w="0" w:type="auto"/>
            <w:vAlign w:val="center"/>
          </w:tcPr>
          <w:p w:rsidR="005F78FC" w:rsidRDefault="00B42EF3">
            <w:pPr>
              <w:pStyle w:val="TableBodyText"/>
            </w:pPr>
            <w:r>
              <w:t>WW2_EditFindChar</w:t>
            </w:r>
          </w:p>
        </w:tc>
        <w:tc>
          <w:tcPr>
            <w:tcW w:w="0" w:type="auto"/>
            <w:vAlign w:val="center"/>
          </w:tcPr>
          <w:p w:rsidR="005F78FC" w:rsidRDefault="00B42EF3">
            <w:pPr>
              <w:pStyle w:val="TableBodyText"/>
            </w:pPr>
            <w:r>
              <w:t>019F</w:t>
            </w:r>
          </w:p>
        </w:tc>
      </w:tr>
      <w:tr w:rsidR="005F78FC" w:rsidTr="005F78FC">
        <w:tc>
          <w:tcPr>
            <w:tcW w:w="0" w:type="auto"/>
            <w:vAlign w:val="center"/>
          </w:tcPr>
          <w:p w:rsidR="005F78FC" w:rsidRDefault="00B42EF3">
            <w:pPr>
              <w:pStyle w:val="TableBodyText"/>
            </w:pPr>
            <w:r>
              <w:t>WW2_EditReplace</w:t>
            </w:r>
          </w:p>
        </w:tc>
        <w:tc>
          <w:tcPr>
            <w:tcW w:w="0" w:type="auto"/>
            <w:vAlign w:val="center"/>
          </w:tcPr>
          <w:p w:rsidR="005F78FC" w:rsidRDefault="00B42EF3">
            <w:pPr>
              <w:pStyle w:val="TableBodyText"/>
            </w:pPr>
            <w:r>
              <w:t>01A6</w:t>
            </w:r>
          </w:p>
        </w:tc>
      </w:tr>
      <w:tr w:rsidR="005F78FC" w:rsidTr="005F78FC">
        <w:tc>
          <w:tcPr>
            <w:tcW w:w="0" w:type="auto"/>
            <w:vAlign w:val="center"/>
          </w:tcPr>
          <w:p w:rsidR="005F78FC" w:rsidRDefault="00B42EF3">
            <w:pPr>
              <w:pStyle w:val="TableBodyText"/>
            </w:pPr>
            <w:r>
              <w:t>WW2_EditReplaceChar</w:t>
            </w:r>
          </w:p>
        </w:tc>
        <w:tc>
          <w:tcPr>
            <w:tcW w:w="0" w:type="auto"/>
            <w:vAlign w:val="center"/>
          </w:tcPr>
          <w:p w:rsidR="005F78FC" w:rsidRDefault="00B42EF3">
            <w:pPr>
              <w:pStyle w:val="TableBodyText"/>
            </w:pPr>
            <w:r>
              <w:t>01A0</w:t>
            </w:r>
          </w:p>
        </w:tc>
      </w:tr>
      <w:tr w:rsidR="005F78FC" w:rsidTr="005F78FC">
        <w:tc>
          <w:tcPr>
            <w:tcW w:w="0" w:type="auto"/>
            <w:vAlign w:val="center"/>
          </w:tcPr>
          <w:p w:rsidR="005F78FC" w:rsidRDefault="00B42EF3">
            <w:pPr>
              <w:pStyle w:val="TableBodyText"/>
            </w:pPr>
            <w:r>
              <w:t>WW2_FileTemplates</w:t>
            </w:r>
          </w:p>
        </w:tc>
        <w:tc>
          <w:tcPr>
            <w:tcW w:w="0" w:type="auto"/>
            <w:vAlign w:val="center"/>
          </w:tcPr>
          <w:p w:rsidR="005F78FC" w:rsidRDefault="00B42EF3">
            <w:pPr>
              <w:pStyle w:val="TableBodyText"/>
            </w:pPr>
            <w:r>
              <w:t>17A6</w:t>
            </w:r>
          </w:p>
        </w:tc>
      </w:tr>
      <w:tr w:rsidR="005F78FC" w:rsidTr="005F78FC">
        <w:tc>
          <w:tcPr>
            <w:tcW w:w="0" w:type="auto"/>
            <w:vAlign w:val="center"/>
          </w:tcPr>
          <w:p w:rsidR="005F78FC" w:rsidRDefault="00B42EF3">
            <w:pPr>
              <w:pStyle w:val="TableBodyText"/>
            </w:pPr>
            <w:r>
              <w:t>WW2_FootnoteOptions</w:t>
            </w:r>
          </w:p>
        </w:tc>
        <w:tc>
          <w:tcPr>
            <w:tcW w:w="0" w:type="auto"/>
            <w:vAlign w:val="center"/>
          </w:tcPr>
          <w:p w:rsidR="005F78FC" w:rsidRDefault="00B42EF3">
            <w:pPr>
              <w:pStyle w:val="TableBodyText"/>
            </w:pPr>
            <w:r>
              <w:t>012B</w:t>
            </w:r>
          </w:p>
        </w:tc>
      </w:tr>
      <w:tr w:rsidR="005F78FC" w:rsidTr="005F78FC">
        <w:tc>
          <w:tcPr>
            <w:tcW w:w="0" w:type="auto"/>
            <w:vAlign w:val="center"/>
          </w:tcPr>
          <w:p w:rsidR="005F78FC" w:rsidRDefault="00B42EF3">
            <w:pPr>
              <w:pStyle w:val="TableBodyText"/>
            </w:pPr>
            <w:r>
              <w:t>WW2_FormatBordersAndShading</w:t>
            </w:r>
          </w:p>
        </w:tc>
        <w:tc>
          <w:tcPr>
            <w:tcW w:w="0" w:type="auto"/>
            <w:vAlign w:val="center"/>
          </w:tcPr>
          <w:p w:rsidR="005F78FC" w:rsidRDefault="00B42EF3">
            <w:pPr>
              <w:pStyle w:val="TableBodyText"/>
            </w:pPr>
            <w:r>
              <w:t>02B9</w:t>
            </w:r>
          </w:p>
        </w:tc>
      </w:tr>
      <w:tr w:rsidR="005F78FC" w:rsidTr="005F78FC">
        <w:tc>
          <w:tcPr>
            <w:tcW w:w="0" w:type="auto"/>
            <w:vAlign w:val="center"/>
          </w:tcPr>
          <w:p w:rsidR="005F78FC" w:rsidRDefault="00B42EF3">
            <w:pPr>
              <w:pStyle w:val="TableBodyText"/>
            </w:pPr>
            <w:r>
              <w:t>WW2_FormatCharacter</w:t>
            </w:r>
          </w:p>
        </w:tc>
        <w:tc>
          <w:tcPr>
            <w:tcW w:w="0" w:type="auto"/>
            <w:vAlign w:val="center"/>
          </w:tcPr>
          <w:p w:rsidR="005F78FC" w:rsidRDefault="00B42EF3">
            <w:pPr>
              <w:pStyle w:val="TableBodyText"/>
            </w:pPr>
            <w:r>
              <w:t>0176</w:t>
            </w:r>
          </w:p>
        </w:tc>
      </w:tr>
      <w:tr w:rsidR="005F78FC" w:rsidTr="005F78FC">
        <w:tc>
          <w:tcPr>
            <w:tcW w:w="0" w:type="auto"/>
            <w:vAlign w:val="center"/>
          </w:tcPr>
          <w:p w:rsidR="005F78FC" w:rsidRDefault="00B42EF3">
            <w:pPr>
              <w:pStyle w:val="TableBodyText"/>
            </w:pPr>
            <w:r>
              <w:lastRenderedPageBreak/>
              <w:t>WW2_FormatDefineStyleChar</w:t>
            </w:r>
          </w:p>
        </w:tc>
        <w:tc>
          <w:tcPr>
            <w:tcW w:w="0" w:type="auto"/>
            <w:vAlign w:val="center"/>
          </w:tcPr>
          <w:p w:rsidR="005F78FC" w:rsidRDefault="00B42EF3">
            <w:pPr>
              <w:pStyle w:val="TableBodyText"/>
            </w:pPr>
            <w:r>
              <w:t>019E</w:t>
            </w:r>
          </w:p>
        </w:tc>
      </w:tr>
      <w:tr w:rsidR="005F78FC" w:rsidTr="005F78FC">
        <w:tc>
          <w:tcPr>
            <w:tcW w:w="0" w:type="auto"/>
            <w:vAlign w:val="center"/>
          </w:tcPr>
          <w:p w:rsidR="005F78FC" w:rsidRDefault="00B42EF3">
            <w:pPr>
              <w:pStyle w:val="TableBodyText"/>
            </w:pPr>
            <w:r>
              <w:t>WW2_InsertFootnote</w:t>
            </w:r>
          </w:p>
        </w:tc>
        <w:tc>
          <w:tcPr>
            <w:tcW w:w="0" w:type="auto"/>
            <w:vAlign w:val="center"/>
          </w:tcPr>
          <w:p w:rsidR="005F78FC" w:rsidRDefault="00B42EF3">
            <w:pPr>
              <w:pStyle w:val="TableBodyText"/>
            </w:pPr>
            <w:r>
              <w:t>00A0</w:t>
            </w:r>
          </w:p>
        </w:tc>
      </w:tr>
      <w:tr w:rsidR="005F78FC" w:rsidTr="005F78FC">
        <w:tc>
          <w:tcPr>
            <w:tcW w:w="0" w:type="auto"/>
            <w:vAlign w:val="center"/>
          </w:tcPr>
          <w:p w:rsidR="005F78FC" w:rsidRDefault="00B42EF3">
            <w:pPr>
              <w:pStyle w:val="TableBodyText"/>
            </w:pPr>
            <w:r>
              <w:t>WW2_InsertIndex</w:t>
            </w:r>
          </w:p>
        </w:tc>
        <w:tc>
          <w:tcPr>
            <w:tcW w:w="0" w:type="auto"/>
            <w:vAlign w:val="center"/>
          </w:tcPr>
          <w:p w:rsidR="005F78FC" w:rsidRDefault="00B42EF3">
            <w:pPr>
              <w:pStyle w:val="TableBodyText"/>
            </w:pPr>
            <w:r>
              <w:t>02B7</w:t>
            </w:r>
          </w:p>
        </w:tc>
      </w:tr>
      <w:tr w:rsidR="005F78FC" w:rsidTr="005F78FC">
        <w:tc>
          <w:tcPr>
            <w:tcW w:w="0" w:type="auto"/>
            <w:vAlign w:val="center"/>
          </w:tcPr>
          <w:p w:rsidR="005F78FC" w:rsidRDefault="00B42EF3">
            <w:pPr>
              <w:pStyle w:val="TableBodyText"/>
            </w:pPr>
            <w:r>
              <w:t>WW2_InsertSymbol</w:t>
            </w:r>
          </w:p>
        </w:tc>
        <w:tc>
          <w:tcPr>
            <w:tcW w:w="0" w:type="auto"/>
            <w:vAlign w:val="center"/>
          </w:tcPr>
          <w:p w:rsidR="005F78FC" w:rsidRDefault="00B42EF3">
            <w:pPr>
              <w:pStyle w:val="TableBodyText"/>
            </w:pPr>
            <w:r>
              <w:t>02B5</w:t>
            </w:r>
          </w:p>
        </w:tc>
      </w:tr>
      <w:tr w:rsidR="005F78FC" w:rsidTr="005F78FC">
        <w:tc>
          <w:tcPr>
            <w:tcW w:w="0" w:type="auto"/>
            <w:vAlign w:val="center"/>
          </w:tcPr>
          <w:p w:rsidR="005F78FC" w:rsidRDefault="00B42EF3">
            <w:pPr>
              <w:pStyle w:val="TableBodyText"/>
            </w:pPr>
            <w:r>
              <w:t>WW2_InsertTableOfContents</w:t>
            </w:r>
          </w:p>
        </w:tc>
        <w:tc>
          <w:tcPr>
            <w:tcW w:w="0" w:type="auto"/>
            <w:vAlign w:val="center"/>
          </w:tcPr>
          <w:p w:rsidR="005F78FC" w:rsidRDefault="00B42EF3">
            <w:pPr>
              <w:pStyle w:val="TableBodyText"/>
            </w:pPr>
            <w:r>
              <w:t>0158</w:t>
            </w:r>
          </w:p>
        </w:tc>
      </w:tr>
      <w:tr w:rsidR="005F78FC" w:rsidTr="005F78FC">
        <w:tc>
          <w:tcPr>
            <w:tcW w:w="0" w:type="auto"/>
            <w:vAlign w:val="center"/>
          </w:tcPr>
          <w:p w:rsidR="005F78FC" w:rsidRDefault="00B42EF3">
            <w:pPr>
              <w:pStyle w:val="TableBodyText"/>
            </w:pPr>
            <w:r>
              <w:t>WW2_PrintMerge</w:t>
            </w:r>
          </w:p>
        </w:tc>
        <w:tc>
          <w:tcPr>
            <w:tcW w:w="0" w:type="auto"/>
            <w:vAlign w:val="center"/>
          </w:tcPr>
          <w:p w:rsidR="005F78FC" w:rsidRDefault="00B42EF3">
            <w:pPr>
              <w:pStyle w:val="TableBodyText"/>
            </w:pPr>
            <w:r>
              <w:t>005A</w:t>
            </w:r>
          </w:p>
        </w:tc>
      </w:tr>
      <w:tr w:rsidR="005F78FC" w:rsidTr="005F78FC">
        <w:tc>
          <w:tcPr>
            <w:tcW w:w="0" w:type="auto"/>
            <w:vAlign w:val="center"/>
          </w:tcPr>
          <w:p w:rsidR="005F78FC" w:rsidRDefault="00B42EF3">
            <w:pPr>
              <w:pStyle w:val="TableBodyText"/>
            </w:pPr>
            <w:r>
              <w:t>WW2_PrintMergeCheck</w:t>
            </w:r>
          </w:p>
        </w:tc>
        <w:tc>
          <w:tcPr>
            <w:tcW w:w="0" w:type="auto"/>
            <w:vAlign w:val="center"/>
          </w:tcPr>
          <w:p w:rsidR="005F78FC" w:rsidRDefault="00B42EF3">
            <w:pPr>
              <w:pStyle w:val="TableBodyText"/>
            </w:pPr>
            <w:r>
              <w:t>005B</w:t>
            </w:r>
          </w:p>
        </w:tc>
      </w:tr>
      <w:tr w:rsidR="005F78FC" w:rsidTr="005F78FC">
        <w:tc>
          <w:tcPr>
            <w:tcW w:w="0" w:type="auto"/>
            <w:vAlign w:val="center"/>
          </w:tcPr>
          <w:p w:rsidR="005F78FC" w:rsidRDefault="00B42EF3">
            <w:pPr>
              <w:pStyle w:val="TableBodyText"/>
            </w:pPr>
            <w:r>
              <w:t>WW2_PrintMergeCreateDataSource</w:t>
            </w:r>
          </w:p>
        </w:tc>
        <w:tc>
          <w:tcPr>
            <w:tcW w:w="0" w:type="auto"/>
            <w:vAlign w:val="center"/>
          </w:tcPr>
          <w:p w:rsidR="005F78FC" w:rsidRDefault="00B42EF3">
            <w:pPr>
              <w:pStyle w:val="TableBodyText"/>
            </w:pPr>
            <w:r>
              <w:t>0069</w:t>
            </w:r>
          </w:p>
        </w:tc>
      </w:tr>
      <w:tr w:rsidR="005F78FC" w:rsidTr="005F78FC">
        <w:tc>
          <w:tcPr>
            <w:tcW w:w="0" w:type="auto"/>
            <w:vAlign w:val="center"/>
          </w:tcPr>
          <w:p w:rsidR="005F78FC" w:rsidRDefault="00B42EF3">
            <w:pPr>
              <w:pStyle w:val="TableBodyText"/>
            </w:pPr>
            <w:r>
              <w:t>WW2_PrintMergeCreateHeaderSource</w:t>
            </w:r>
          </w:p>
        </w:tc>
        <w:tc>
          <w:tcPr>
            <w:tcW w:w="0" w:type="auto"/>
            <w:vAlign w:val="center"/>
          </w:tcPr>
          <w:p w:rsidR="005F78FC" w:rsidRDefault="00B42EF3">
            <w:pPr>
              <w:pStyle w:val="TableBodyText"/>
            </w:pPr>
            <w:r>
              <w:t>006A</w:t>
            </w:r>
          </w:p>
        </w:tc>
      </w:tr>
      <w:tr w:rsidR="005F78FC" w:rsidTr="005F78FC">
        <w:tc>
          <w:tcPr>
            <w:tcW w:w="0" w:type="auto"/>
            <w:vAlign w:val="center"/>
          </w:tcPr>
          <w:p w:rsidR="005F78FC" w:rsidRDefault="00B42EF3">
            <w:pPr>
              <w:pStyle w:val="TableBodyText"/>
            </w:pPr>
            <w:r>
              <w:t>WW2_PrintMergeHelper</w:t>
            </w:r>
          </w:p>
        </w:tc>
        <w:tc>
          <w:tcPr>
            <w:tcW w:w="0" w:type="auto"/>
            <w:vAlign w:val="center"/>
          </w:tcPr>
          <w:p w:rsidR="005F78FC" w:rsidRDefault="00B42EF3">
            <w:pPr>
              <w:pStyle w:val="TableBodyText"/>
            </w:pPr>
            <w:r>
              <w:t>005F</w:t>
            </w:r>
          </w:p>
        </w:tc>
      </w:tr>
      <w:tr w:rsidR="005F78FC" w:rsidTr="005F78FC">
        <w:tc>
          <w:tcPr>
            <w:tcW w:w="0" w:type="auto"/>
            <w:vAlign w:val="center"/>
          </w:tcPr>
          <w:p w:rsidR="005F78FC" w:rsidRDefault="00B42EF3">
            <w:pPr>
              <w:pStyle w:val="TableBodyText"/>
            </w:pPr>
            <w:r>
              <w:t>WW2_PrintMergeSelection</w:t>
            </w:r>
          </w:p>
        </w:tc>
        <w:tc>
          <w:tcPr>
            <w:tcW w:w="0" w:type="auto"/>
            <w:vAlign w:val="center"/>
          </w:tcPr>
          <w:p w:rsidR="005F78FC" w:rsidRDefault="00B42EF3">
            <w:pPr>
              <w:pStyle w:val="TableBodyText"/>
            </w:pPr>
            <w:r>
              <w:t>005E</w:t>
            </w:r>
          </w:p>
        </w:tc>
      </w:tr>
      <w:tr w:rsidR="005F78FC" w:rsidTr="005F78FC">
        <w:tc>
          <w:tcPr>
            <w:tcW w:w="0" w:type="auto"/>
            <w:vAlign w:val="center"/>
          </w:tcPr>
          <w:p w:rsidR="005F78FC" w:rsidRDefault="00B42EF3">
            <w:pPr>
              <w:pStyle w:val="TableBodyText"/>
            </w:pPr>
            <w:r>
              <w:t>WW2_PrintMergeToDoc</w:t>
            </w:r>
          </w:p>
        </w:tc>
        <w:tc>
          <w:tcPr>
            <w:tcW w:w="0" w:type="auto"/>
            <w:vAlign w:val="center"/>
          </w:tcPr>
          <w:p w:rsidR="005F78FC" w:rsidRDefault="00B42EF3">
            <w:pPr>
              <w:pStyle w:val="TableBodyText"/>
            </w:pPr>
            <w:r>
              <w:t>005C</w:t>
            </w:r>
          </w:p>
        </w:tc>
      </w:tr>
      <w:tr w:rsidR="005F78FC" w:rsidTr="005F78FC">
        <w:tc>
          <w:tcPr>
            <w:tcW w:w="0" w:type="auto"/>
            <w:vAlign w:val="center"/>
          </w:tcPr>
          <w:p w:rsidR="005F78FC" w:rsidRDefault="00B42EF3">
            <w:pPr>
              <w:pStyle w:val="TableBodyText"/>
            </w:pPr>
            <w:r>
              <w:t>WW2_PrintMergeToPrinter</w:t>
            </w:r>
          </w:p>
        </w:tc>
        <w:tc>
          <w:tcPr>
            <w:tcW w:w="0" w:type="auto"/>
            <w:vAlign w:val="center"/>
          </w:tcPr>
          <w:p w:rsidR="005F78FC" w:rsidRDefault="00B42EF3">
            <w:pPr>
              <w:pStyle w:val="TableBodyText"/>
            </w:pPr>
            <w:r>
              <w:t>005D</w:t>
            </w:r>
          </w:p>
        </w:tc>
      </w:tr>
      <w:tr w:rsidR="005F78FC" w:rsidTr="005F78FC">
        <w:tc>
          <w:tcPr>
            <w:tcW w:w="0" w:type="auto"/>
            <w:vAlign w:val="center"/>
          </w:tcPr>
          <w:p w:rsidR="005F78FC" w:rsidRDefault="00B42EF3">
            <w:pPr>
              <w:pStyle w:val="TableBodyText"/>
            </w:pPr>
            <w:r>
              <w:t>WW2_RulerMode</w:t>
            </w:r>
          </w:p>
        </w:tc>
        <w:tc>
          <w:tcPr>
            <w:tcW w:w="0" w:type="auto"/>
            <w:vAlign w:val="center"/>
          </w:tcPr>
          <w:p w:rsidR="005F78FC" w:rsidRDefault="00B42EF3">
            <w:pPr>
              <w:pStyle w:val="TableBodyText"/>
            </w:pPr>
            <w:r>
              <w:t>002C</w:t>
            </w:r>
          </w:p>
        </w:tc>
      </w:tr>
      <w:tr w:rsidR="005F78FC" w:rsidTr="005F78FC">
        <w:tc>
          <w:tcPr>
            <w:tcW w:w="0" w:type="auto"/>
            <w:vAlign w:val="center"/>
          </w:tcPr>
          <w:p w:rsidR="005F78FC" w:rsidRDefault="00B42EF3">
            <w:pPr>
              <w:pStyle w:val="TableBodyText"/>
            </w:pPr>
            <w:r>
              <w:t>WW2_TableColumnWidth</w:t>
            </w:r>
          </w:p>
        </w:tc>
        <w:tc>
          <w:tcPr>
            <w:tcW w:w="0" w:type="auto"/>
            <w:vAlign w:val="center"/>
          </w:tcPr>
          <w:p w:rsidR="005F78FC" w:rsidRDefault="00B42EF3">
            <w:pPr>
              <w:pStyle w:val="TableBodyText"/>
            </w:pPr>
            <w:r>
              <w:t>00DF</w:t>
            </w:r>
          </w:p>
        </w:tc>
      </w:tr>
      <w:tr w:rsidR="005F78FC" w:rsidTr="005F78FC">
        <w:tc>
          <w:tcPr>
            <w:tcW w:w="0" w:type="auto"/>
            <w:vAlign w:val="center"/>
          </w:tcPr>
          <w:p w:rsidR="005F78FC" w:rsidRDefault="00B42EF3">
            <w:pPr>
              <w:pStyle w:val="TableBodyText"/>
            </w:pPr>
            <w:r>
              <w:t>WW2_TableRowHeight</w:t>
            </w:r>
          </w:p>
        </w:tc>
        <w:tc>
          <w:tcPr>
            <w:tcW w:w="0" w:type="auto"/>
            <w:vAlign w:val="center"/>
          </w:tcPr>
          <w:p w:rsidR="005F78FC" w:rsidRDefault="00B42EF3">
            <w:pPr>
              <w:pStyle w:val="TableBodyText"/>
            </w:pPr>
            <w:r>
              <w:t>0146</w:t>
            </w:r>
          </w:p>
        </w:tc>
      </w:tr>
      <w:tr w:rsidR="005F78FC" w:rsidTr="005F78FC">
        <w:tc>
          <w:tcPr>
            <w:tcW w:w="0" w:type="auto"/>
            <w:vAlign w:val="center"/>
          </w:tcPr>
          <w:p w:rsidR="005F78FC" w:rsidRDefault="00B42EF3">
            <w:pPr>
              <w:pStyle w:val="TableBodyText"/>
            </w:pPr>
            <w:r>
              <w:t>WW2_ToolsHyphenation</w:t>
            </w:r>
          </w:p>
        </w:tc>
        <w:tc>
          <w:tcPr>
            <w:tcW w:w="0" w:type="auto"/>
            <w:vAlign w:val="center"/>
          </w:tcPr>
          <w:p w:rsidR="005F78FC" w:rsidRDefault="00B42EF3">
            <w:pPr>
              <w:pStyle w:val="TableBodyText"/>
            </w:pPr>
            <w:r>
              <w:t>0159</w:t>
            </w:r>
          </w:p>
        </w:tc>
      </w:tr>
      <w:tr w:rsidR="005F78FC" w:rsidTr="005F78FC">
        <w:tc>
          <w:tcPr>
            <w:tcW w:w="0" w:type="auto"/>
            <w:vAlign w:val="center"/>
          </w:tcPr>
          <w:p w:rsidR="005F78FC" w:rsidRDefault="00B42EF3">
            <w:pPr>
              <w:pStyle w:val="TableBodyText"/>
            </w:pPr>
            <w:r>
              <w:t>WW2_ToolsMacro</w:t>
            </w:r>
          </w:p>
        </w:tc>
        <w:tc>
          <w:tcPr>
            <w:tcW w:w="0" w:type="auto"/>
            <w:vAlign w:val="center"/>
          </w:tcPr>
          <w:p w:rsidR="005F78FC" w:rsidRDefault="00B42EF3">
            <w:pPr>
              <w:pStyle w:val="TableBodyText"/>
            </w:pPr>
            <w:r>
              <w:t>02A2</w:t>
            </w:r>
          </w:p>
        </w:tc>
      </w:tr>
      <w:tr w:rsidR="005F78FC" w:rsidTr="005F78FC">
        <w:tc>
          <w:tcPr>
            <w:tcW w:w="0" w:type="auto"/>
            <w:vAlign w:val="center"/>
          </w:tcPr>
          <w:p w:rsidR="005F78FC" w:rsidRDefault="00B42EF3">
            <w:pPr>
              <w:pStyle w:val="TableBodyText"/>
            </w:pPr>
            <w:r>
              <w:t>WW2_ToolsOptionsGeneral</w:t>
            </w:r>
          </w:p>
        </w:tc>
        <w:tc>
          <w:tcPr>
            <w:tcW w:w="0" w:type="auto"/>
            <w:vAlign w:val="center"/>
          </w:tcPr>
          <w:p w:rsidR="005F78FC" w:rsidRDefault="00B42EF3">
            <w:pPr>
              <w:pStyle w:val="TableBodyText"/>
            </w:pPr>
            <w:r>
              <w:t>0183</w:t>
            </w:r>
          </w:p>
        </w:tc>
      </w:tr>
      <w:tr w:rsidR="005F78FC" w:rsidTr="005F78FC">
        <w:tc>
          <w:tcPr>
            <w:tcW w:w="0" w:type="auto"/>
            <w:vAlign w:val="center"/>
          </w:tcPr>
          <w:p w:rsidR="005F78FC" w:rsidRDefault="00B42EF3">
            <w:pPr>
              <w:pStyle w:val="TableBodyText"/>
            </w:pPr>
            <w:r>
              <w:t>WW2_ToolsOptionsKeyboard</w:t>
            </w:r>
          </w:p>
        </w:tc>
        <w:tc>
          <w:tcPr>
            <w:tcW w:w="0" w:type="auto"/>
            <w:vAlign w:val="center"/>
          </w:tcPr>
          <w:p w:rsidR="005F78FC" w:rsidRDefault="00B42EF3">
            <w:pPr>
              <w:pStyle w:val="TableBodyText"/>
            </w:pPr>
            <w:r>
              <w:t>01B2</w:t>
            </w:r>
          </w:p>
        </w:tc>
      </w:tr>
      <w:tr w:rsidR="005F78FC" w:rsidTr="005F78FC">
        <w:tc>
          <w:tcPr>
            <w:tcW w:w="0" w:type="auto"/>
            <w:vAlign w:val="center"/>
          </w:tcPr>
          <w:p w:rsidR="005F78FC" w:rsidRDefault="00B42EF3">
            <w:pPr>
              <w:pStyle w:val="TableBodyText"/>
            </w:pPr>
            <w:r>
              <w:t>WW2_ToolsOptionsMenus</w:t>
            </w:r>
          </w:p>
        </w:tc>
        <w:tc>
          <w:tcPr>
            <w:tcW w:w="0" w:type="auto"/>
            <w:vAlign w:val="center"/>
          </w:tcPr>
          <w:p w:rsidR="005F78FC" w:rsidRDefault="00B42EF3">
            <w:pPr>
              <w:pStyle w:val="TableBodyText"/>
            </w:pPr>
            <w:r>
              <w:t>01E7</w:t>
            </w:r>
          </w:p>
        </w:tc>
      </w:tr>
      <w:tr w:rsidR="005F78FC" w:rsidTr="005F78FC">
        <w:tc>
          <w:tcPr>
            <w:tcW w:w="0" w:type="auto"/>
            <w:vAlign w:val="center"/>
          </w:tcPr>
          <w:p w:rsidR="005F78FC" w:rsidRDefault="00B42EF3">
            <w:pPr>
              <w:pStyle w:val="TableBodyText"/>
            </w:pPr>
            <w:r>
              <w:t>WW2_ToolsOptionsPrint</w:t>
            </w:r>
          </w:p>
        </w:tc>
        <w:tc>
          <w:tcPr>
            <w:tcW w:w="0" w:type="auto"/>
            <w:vAlign w:val="center"/>
          </w:tcPr>
          <w:p w:rsidR="005F78FC" w:rsidRDefault="00B42EF3">
            <w:pPr>
              <w:pStyle w:val="TableBodyText"/>
            </w:pPr>
            <w:r>
              <w:t>015B</w:t>
            </w:r>
          </w:p>
        </w:tc>
      </w:tr>
      <w:tr w:rsidR="005F78FC" w:rsidTr="005F78FC">
        <w:tc>
          <w:tcPr>
            <w:tcW w:w="0" w:type="auto"/>
            <w:vAlign w:val="center"/>
          </w:tcPr>
          <w:p w:rsidR="005F78FC" w:rsidRDefault="00B42EF3">
            <w:pPr>
              <w:pStyle w:val="TableBodyText"/>
            </w:pPr>
            <w:r>
              <w:t>WW2_ToolsOptionsToolbar</w:t>
            </w:r>
          </w:p>
        </w:tc>
        <w:tc>
          <w:tcPr>
            <w:tcW w:w="0" w:type="auto"/>
            <w:vAlign w:val="center"/>
          </w:tcPr>
          <w:p w:rsidR="005F78FC" w:rsidRDefault="00B42EF3">
            <w:pPr>
              <w:pStyle w:val="TableBodyText"/>
            </w:pPr>
            <w:r>
              <w:t>00D2</w:t>
            </w:r>
          </w:p>
        </w:tc>
      </w:tr>
      <w:tr w:rsidR="005F78FC" w:rsidTr="005F78FC">
        <w:tc>
          <w:tcPr>
            <w:tcW w:w="0" w:type="auto"/>
            <w:vAlign w:val="center"/>
          </w:tcPr>
          <w:p w:rsidR="005F78FC" w:rsidRDefault="00B42EF3">
            <w:pPr>
              <w:pStyle w:val="TableBodyText"/>
            </w:pPr>
            <w:r>
              <w:t>WW2_ToolsOptionsView</w:t>
            </w:r>
          </w:p>
        </w:tc>
        <w:tc>
          <w:tcPr>
            <w:tcW w:w="0" w:type="auto"/>
            <w:vAlign w:val="center"/>
          </w:tcPr>
          <w:p w:rsidR="005F78FC" w:rsidRDefault="00B42EF3">
            <w:pPr>
              <w:pStyle w:val="TableBodyText"/>
            </w:pPr>
            <w:r>
              <w:t>01F3</w:t>
            </w:r>
          </w:p>
        </w:tc>
      </w:tr>
      <w:tr w:rsidR="005F78FC" w:rsidTr="005F78FC">
        <w:tc>
          <w:tcPr>
            <w:tcW w:w="0" w:type="auto"/>
            <w:vAlign w:val="center"/>
          </w:tcPr>
          <w:p w:rsidR="005F78FC" w:rsidRDefault="00B42EF3">
            <w:pPr>
              <w:pStyle w:val="TableBodyText"/>
            </w:pPr>
            <w:r>
              <w:t>WW2_ToolsRevisionsMark</w:t>
            </w:r>
          </w:p>
        </w:tc>
        <w:tc>
          <w:tcPr>
            <w:tcW w:w="0" w:type="auto"/>
            <w:vAlign w:val="center"/>
          </w:tcPr>
          <w:p w:rsidR="005F78FC" w:rsidRDefault="00B42EF3">
            <w:pPr>
              <w:pStyle w:val="TableBodyText"/>
            </w:pPr>
            <w:r>
              <w:t>01D0</w:t>
            </w:r>
          </w:p>
        </w:tc>
      </w:tr>
      <w:tr w:rsidR="005F78FC" w:rsidTr="005F78FC">
        <w:tc>
          <w:tcPr>
            <w:tcW w:w="0" w:type="auto"/>
            <w:vAlign w:val="center"/>
          </w:tcPr>
          <w:p w:rsidR="005F78FC" w:rsidRDefault="00B42EF3">
            <w:pPr>
              <w:pStyle w:val="TableBodyText"/>
            </w:pPr>
            <w:r>
              <w:t>WW2_ViewZoom</w:t>
            </w:r>
          </w:p>
        </w:tc>
        <w:tc>
          <w:tcPr>
            <w:tcW w:w="0" w:type="auto"/>
            <w:vAlign w:val="center"/>
          </w:tcPr>
          <w:p w:rsidR="005F78FC" w:rsidRDefault="00B42EF3">
            <w:pPr>
              <w:pStyle w:val="TableBodyText"/>
            </w:pPr>
            <w:r>
              <w:t>0094</w:t>
            </w:r>
          </w:p>
        </w:tc>
      </w:tr>
      <w:tr w:rsidR="005F78FC" w:rsidTr="005F78FC">
        <w:tc>
          <w:tcPr>
            <w:tcW w:w="0" w:type="auto"/>
            <w:vAlign w:val="center"/>
          </w:tcPr>
          <w:p w:rsidR="005F78FC" w:rsidRDefault="00B42EF3">
            <w:pPr>
              <w:pStyle w:val="TableBodyText"/>
            </w:pPr>
            <w:r>
              <w:t>WW7_DecreaseIndent</w:t>
            </w:r>
          </w:p>
        </w:tc>
        <w:tc>
          <w:tcPr>
            <w:tcW w:w="0" w:type="auto"/>
            <w:vAlign w:val="center"/>
          </w:tcPr>
          <w:p w:rsidR="005F78FC" w:rsidRDefault="00B42EF3">
            <w:pPr>
              <w:pStyle w:val="TableBodyText"/>
            </w:pPr>
            <w:r>
              <w:t>028A</w:t>
            </w:r>
          </w:p>
        </w:tc>
      </w:tr>
      <w:tr w:rsidR="005F78FC" w:rsidTr="005F78FC">
        <w:tc>
          <w:tcPr>
            <w:tcW w:w="0" w:type="auto"/>
            <w:vAlign w:val="center"/>
          </w:tcPr>
          <w:p w:rsidR="005F78FC" w:rsidRDefault="00B42EF3">
            <w:pPr>
              <w:pStyle w:val="TableBodyText"/>
            </w:pPr>
            <w:r>
              <w:t>WW7_DrawTextBox</w:t>
            </w:r>
          </w:p>
        </w:tc>
        <w:tc>
          <w:tcPr>
            <w:tcW w:w="0" w:type="auto"/>
            <w:vAlign w:val="center"/>
          </w:tcPr>
          <w:p w:rsidR="005F78FC" w:rsidRDefault="00B42EF3">
            <w:pPr>
              <w:pStyle w:val="TableBodyText"/>
            </w:pPr>
            <w:r>
              <w:t>016B</w:t>
            </w:r>
          </w:p>
        </w:tc>
      </w:tr>
      <w:tr w:rsidR="005F78FC" w:rsidTr="005F78FC">
        <w:tc>
          <w:tcPr>
            <w:tcW w:w="0" w:type="auto"/>
            <w:vAlign w:val="center"/>
          </w:tcPr>
          <w:p w:rsidR="005F78FC" w:rsidRDefault="00B42EF3">
            <w:pPr>
              <w:pStyle w:val="TableBodyText"/>
            </w:pPr>
            <w:r>
              <w:t>WW7_DrawVerticalTextBox</w:t>
            </w:r>
          </w:p>
        </w:tc>
        <w:tc>
          <w:tcPr>
            <w:tcW w:w="0" w:type="auto"/>
            <w:vAlign w:val="center"/>
          </w:tcPr>
          <w:p w:rsidR="005F78FC" w:rsidRDefault="00B42EF3">
            <w:pPr>
              <w:pStyle w:val="TableBodyText"/>
            </w:pPr>
            <w:r>
              <w:t>02E2</w:t>
            </w:r>
          </w:p>
        </w:tc>
      </w:tr>
      <w:tr w:rsidR="005F78FC" w:rsidTr="005F78FC">
        <w:tc>
          <w:tcPr>
            <w:tcW w:w="0" w:type="auto"/>
            <w:vAlign w:val="center"/>
          </w:tcPr>
          <w:p w:rsidR="005F78FC" w:rsidRDefault="00B42EF3">
            <w:pPr>
              <w:pStyle w:val="TableBodyText"/>
            </w:pPr>
            <w:r>
              <w:t>WW7_EditAutoText</w:t>
            </w:r>
          </w:p>
        </w:tc>
        <w:tc>
          <w:tcPr>
            <w:tcW w:w="0" w:type="auto"/>
            <w:vAlign w:val="center"/>
          </w:tcPr>
          <w:p w:rsidR="005F78FC" w:rsidRDefault="00B42EF3">
            <w:pPr>
              <w:pStyle w:val="TableBodyText"/>
            </w:pPr>
            <w:r>
              <w:t>007B</w:t>
            </w:r>
          </w:p>
        </w:tc>
      </w:tr>
      <w:tr w:rsidR="005F78FC" w:rsidTr="005F78FC">
        <w:tc>
          <w:tcPr>
            <w:tcW w:w="0" w:type="auto"/>
            <w:vAlign w:val="center"/>
          </w:tcPr>
          <w:p w:rsidR="005F78FC" w:rsidRDefault="00B42EF3">
            <w:pPr>
              <w:pStyle w:val="TableBodyText"/>
            </w:pPr>
            <w:r>
              <w:t>WW7_EditGoTo</w:t>
            </w:r>
          </w:p>
        </w:tc>
        <w:tc>
          <w:tcPr>
            <w:tcW w:w="0" w:type="auto"/>
            <w:vAlign w:val="center"/>
          </w:tcPr>
          <w:p w:rsidR="005F78FC" w:rsidRDefault="00B42EF3">
            <w:pPr>
              <w:pStyle w:val="TableBodyText"/>
            </w:pPr>
            <w:r>
              <w:t>007A</w:t>
            </w:r>
          </w:p>
        </w:tc>
      </w:tr>
      <w:tr w:rsidR="005F78FC" w:rsidTr="005F78FC">
        <w:tc>
          <w:tcPr>
            <w:tcW w:w="0" w:type="auto"/>
            <w:vAlign w:val="center"/>
          </w:tcPr>
          <w:p w:rsidR="005F78FC" w:rsidRDefault="00B42EF3">
            <w:pPr>
              <w:pStyle w:val="TableBodyText"/>
            </w:pPr>
            <w:r>
              <w:t>WW7_FormatBulletsAndNumbering</w:t>
            </w:r>
          </w:p>
        </w:tc>
        <w:tc>
          <w:tcPr>
            <w:tcW w:w="0" w:type="auto"/>
            <w:vAlign w:val="center"/>
          </w:tcPr>
          <w:p w:rsidR="005F78FC" w:rsidRDefault="00B42EF3">
            <w:pPr>
              <w:pStyle w:val="TableBodyText"/>
            </w:pPr>
            <w:r>
              <w:t>018D</w:t>
            </w:r>
          </w:p>
        </w:tc>
      </w:tr>
      <w:tr w:rsidR="005F78FC" w:rsidTr="005F78FC">
        <w:tc>
          <w:tcPr>
            <w:tcW w:w="0" w:type="auto"/>
            <w:vAlign w:val="center"/>
          </w:tcPr>
          <w:p w:rsidR="005F78FC" w:rsidRDefault="00B42EF3">
            <w:pPr>
              <w:pStyle w:val="TableBodyText"/>
            </w:pPr>
            <w:r>
              <w:lastRenderedPageBreak/>
              <w:t>WW7_FormatDrawingObject</w:t>
            </w:r>
          </w:p>
        </w:tc>
        <w:tc>
          <w:tcPr>
            <w:tcW w:w="0" w:type="auto"/>
            <w:vAlign w:val="center"/>
          </w:tcPr>
          <w:p w:rsidR="005F78FC" w:rsidRDefault="00B42EF3">
            <w:pPr>
              <w:pStyle w:val="TableBodyText"/>
            </w:pPr>
            <w:r>
              <w:t>0235</w:t>
            </w:r>
          </w:p>
        </w:tc>
      </w:tr>
      <w:tr w:rsidR="005F78FC" w:rsidTr="005F78FC">
        <w:tc>
          <w:tcPr>
            <w:tcW w:w="0" w:type="auto"/>
            <w:vAlign w:val="center"/>
          </w:tcPr>
          <w:p w:rsidR="005F78FC" w:rsidRDefault="00B42EF3">
            <w:pPr>
              <w:pStyle w:val="TableBodyText"/>
            </w:pPr>
            <w:r>
              <w:t>WW7_IncreaseIndent</w:t>
            </w:r>
          </w:p>
        </w:tc>
        <w:tc>
          <w:tcPr>
            <w:tcW w:w="0" w:type="auto"/>
            <w:vAlign w:val="center"/>
          </w:tcPr>
          <w:p w:rsidR="005F78FC" w:rsidRDefault="00B42EF3">
            <w:pPr>
              <w:pStyle w:val="TableBodyText"/>
            </w:pPr>
            <w:r>
              <w:t>0289</w:t>
            </w:r>
          </w:p>
        </w:tc>
      </w:tr>
      <w:tr w:rsidR="005F78FC" w:rsidTr="005F78FC">
        <w:tc>
          <w:tcPr>
            <w:tcW w:w="0" w:type="auto"/>
            <w:vAlign w:val="center"/>
          </w:tcPr>
          <w:p w:rsidR="005F78FC" w:rsidRDefault="00B42EF3">
            <w:pPr>
              <w:pStyle w:val="TableBodyText"/>
            </w:pPr>
            <w:r>
              <w:t>WW7_InsertColumnBreak</w:t>
            </w:r>
          </w:p>
        </w:tc>
        <w:tc>
          <w:tcPr>
            <w:tcW w:w="0" w:type="auto"/>
            <w:vAlign w:val="center"/>
          </w:tcPr>
          <w:p w:rsidR="005F78FC" w:rsidRDefault="00B42EF3">
            <w:pPr>
              <w:pStyle w:val="TableBodyText"/>
            </w:pPr>
            <w:r>
              <w:t>0116</w:t>
            </w:r>
          </w:p>
        </w:tc>
      </w:tr>
      <w:tr w:rsidR="005F78FC" w:rsidTr="005F78FC">
        <w:tc>
          <w:tcPr>
            <w:tcW w:w="0" w:type="auto"/>
            <w:vAlign w:val="center"/>
          </w:tcPr>
          <w:p w:rsidR="005F78FC" w:rsidRDefault="00B42EF3">
            <w:pPr>
              <w:pStyle w:val="TableBodyText"/>
            </w:pPr>
            <w:r>
              <w:t>WW7_InsertPageBreak</w:t>
            </w:r>
          </w:p>
        </w:tc>
        <w:tc>
          <w:tcPr>
            <w:tcW w:w="0" w:type="auto"/>
            <w:vAlign w:val="center"/>
          </w:tcPr>
          <w:p w:rsidR="005F78FC" w:rsidRDefault="00B42EF3">
            <w:pPr>
              <w:pStyle w:val="TableBodyText"/>
            </w:pPr>
            <w:r>
              <w:t>0115</w:t>
            </w:r>
          </w:p>
        </w:tc>
      </w:tr>
      <w:tr w:rsidR="005F78FC" w:rsidTr="005F78FC">
        <w:tc>
          <w:tcPr>
            <w:tcW w:w="0" w:type="auto"/>
            <w:vAlign w:val="center"/>
          </w:tcPr>
          <w:p w:rsidR="005F78FC" w:rsidRDefault="00B42EF3">
            <w:pPr>
              <w:pStyle w:val="TableBodyText"/>
            </w:pPr>
            <w:r>
              <w:t>WW7_ToolsGrammar</w:t>
            </w:r>
          </w:p>
        </w:tc>
        <w:tc>
          <w:tcPr>
            <w:tcW w:w="0" w:type="auto"/>
            <w:vAlign w:val="center"/>
          </w:tcPr>
          <w:p w:rsidR="005F78FC" w:rsidRDefault="00B42EF3">
            <w:pPr>
              <w:pStyle w:val="TableBodyText"/>
            </w:pPr>
            <w:r>
              <w:t>03E8</w:t>
            </w:r>
          </w:p>
        </w:tc>
      </w:tr>
      <w:tr w:rsidR="005F78FC" w:rsidTr="005F78FC">
        <w:tc>
          <w:tcPr>
            <w:tcW w:w="0" w:type="auto"/>
            <w:vAlign w:val="center"/>
          </w:tcPr>
          <w:p w:rsidR="005F78FC" w:rsidRDefault="00B42EF3">
            <w:pPr>
              <w:pStyle w:val="TableBodyText"/>
            </w:pPr>
            <w:r>
              <w:t>WW7_ToolsOptions</w:t>
            </w:r>
          </w:p>
        </w:tc>
        <w:tc>
          <w:tcPr>
            <w:tcW w:w="0" w:type="auto"/>
            <w:vAlign w:val="center"/>
          </w:tcPr>
          <w:p w:rsidR="005F78FC" w:rsidRDefault="00B42EF3">
            <w:pPr>
              <w:pStyle w:val="TableBodyText"/>
            </w:pPr>
            <w:r>
              <w:t>00CA</w:t>
            </w:r>
          </w:p>
        </w:tc>
      </w:tr>
      <w:tr w:rsidR="005F78FC" w:rsidTr="005F78FC">
        <w:tc>
          <w:tcPr>
            <w:tcW w:w="0" w:type="auto"/>
            <w:vAlign w:val="center"/>
          </w:tcPr>
          <w:p w:rsidR="005F78FC" w:rsidRDefault="00B42EF3">
            <w:pPr>
              <w:pStyle w:val="TableBodyText"/>
            </w:pPr>
            <w:r>
              <w:t>WW7_ToolsOptionsAutoFormat</w:t>
            </w:r>
          </w:p>
        </w:tc>
        <w:tc>
          <w:tcPr>
            <w:tcW w:w="0" w:type="auto"/>
            <w:vAlign w:val="center"/>
          </w:tcPr>
          <w:p w:rsidR="005F78FC" w:rsidRDefault="00B42EF3">
            <w:pPr>
              <w:pStyle w:val="TableBodyText"/>
            </w:pPr>
            <w:r>
              <w:t>016D</w:t>
            </w:r>
          </w:p>
        </w:tc>
      </w:tr>
      <w:tr w:rsidR="005F78FC" w:rsidTr="005F78FC">
        <w:tc>
          <w:tcPr>
            <w:tcW w:w="0" w:type="auto"/>
            <w:vAlign w:val="center"/>
          </w:tcPr>
          <w:p w:rsidR="005F78FC" w:rsidRDefault="00B42EF3">
            <w:pPr>
              <w:pStyle w:val="TableBodyText"/>
            </w:pPr>
            <w:r>
              <w:t>WebAddHyperlnkToFavorites</w:t>
            </w:r>
          </w:p>
        </w:tc>
        <w:tc>
          <w:tcPr>
            <w:tcW w:w="0" w:type="auto"/>
            <w:vAlign w:val="center"/>
          </w:tcPr>
          <w:p w:rsidR="005F78FC" w:rsidRDefault="00B42EF3">
            <w:pPr>
              <w:pStyle w:val="TableBodyText"/>
            </w:pPr>
            <w:r>
              <w:t>03EA</w:t>
            </w:r>
          </w:p>
        </w:tc>
      </w:tr>
      <w:tr w:rsidR="005F78FC" w:rsidTr="005F78FC">
        <w:tc>
          <w:tcPr>
            <w:tcW w:w="0" w:type="auto"/>
            <w:vAlign w:val="center"/>
          </w:tcPr>
          <w:p w:rsidR="005F78FC" w:rsidRDefault="00B42EF3">
            <w:pPr>
              <w:pStyle w:val="TableBodyText"/>
            </w:pPr>
            <w:r>
              <w:t>WebAddToFavorites</w:t>
            </w:r>
          </w:p>
        </w:tc>
        <w:tc>
          <w:tcPr>
            <w:tcW w:w="0" w:type="auto"/>
            <w:vAlign w:val="center"/>
          </w:tcPr>
          <w:p w:rsidR="005F78FC" w:rsidRDefault="00B42EF3">
            <w:pPr>
              <w:pStyle w:val="TableBodyText"/>
            </w:pPr>
            <w:r>
              <w:t>039C</w:t>
            </w:r>
          </w:p>
        </w:tc>
      </w:tr>
      <w:tr w:rsidR="005F78FC" w:rsidTr="005F78FC">
        <w:tc>
          <w:tcPr>
            <w:tcW w:w="0" w:type="auto"/>
            <w:vAlign w:val="center"/>
          </w:tcPr>
          <w:p w:rsidR="005F78FC" w:rsidRDefault="00B42EF3">
            <w:pPr>
              <w:pStyle w:val="TableBodyText"/>
            </w:pPr>
            <w:r>
              <w:t>WebAddress</w:t>
            </w:r>
          </w:p>
        </w:tc>
        <w:tc>
          <w:tcPr>
            <w:tcW w:w="0" w:type="auto"/>
            <w:vAlign w:val="center"/>
          </w:tcPr>
          <w:p w:rsidR="005F78FC" w:rsidRDefault="00B42EF3">
            <w:pPr>
              <w:pStyle w:val="TableBodyText"/>
            </w:pPr>
            <w:r>
              <w:t>03AA</w:t>
            </w:r>
          </w:p>
        </w:tc>
      </w:tr>
      <w:tr w:rsidR="005F78FC" w:rsidTr="005F78FC">
        <w:tc>
          <w:tcPr>
            <w:tcW w:w="0" w:type="auto"/>
            <w:vAlign w:val="center"/>
          </w:tcPr>
          <w:p w:rsidR="005F78FC" w:rsidRDefault="00B42EF3">
            <w:pPr>
              <w:pStyle w:val="TableBodyText"/>
            </w:pPr>
            <w:r>
              <w:t>WebCopyHyperlink</w:t>
            </w:r>
          </w:p>
        </w:tc>
        <w:tc>
          <w:tcPr>
            <w:tcW w:w="0" w:type="auto"/>
            <w:vAlign w:val="center"/>
          </w:tcPr>
          <w:p w:rsidR="005F78FC" w:rsidRDefault="00B42EF3">
            <w:pPr>
              <w:pStyle w:val="TableBodyText"/>
            </w:pPr>
            <w:r>
              <w:t>039B</w:t>
            </w:r>
          </w:p>
        </w:tc>
      </w:tr>
      <w:tr w:rsidR="005F78FC" w:rsidTr="005F78FC">
        <w:tc>
          <w:tcPr>
            <w:tcW w:w="0" w:type="auto"/>
            <w:vAlign w:val="center"/>
          </w:tcPr>
          <w:p w:rsidR="005F78FC" w:rsidRDefault="00B42EF3">
            <w:pPr>
              <w:pStyle w:val="TableBodyText"/>
            </w:pPr>
            <w:r>
              <w:t>WebDiscussions</w:t>
            </w:r>
          </w:p>
        </w:tc>
        <w:tc>
          <w:tcPr>
            <w:tcW w:w="0" w:type="auto"/>
            <w:vAlign w:val="center"/>
          </w:tcPr>
          <w:p w:rsidR="005F78FC" w:rsidRDefault="00B42EF3">
            <w:pPr>
              <w:pStyle w:val="TableBodyText"/>
            </w:pPr>
            <w:r>
              <w:t>049B</w:t>
            </w:r>
          </w:p>
        </w:tc>
      </w:tr>
      <w:tr w:rsidR="005F78FC" w:rsidTr="005F78FC">
        <w:tc>
          <w:tcPr>
            <w:tcW w:w="0" w:type="auto"/>
            <w:vAlign w:val="center"/>
          </w:tcPr>
          <w:p w:rsidR="005F78FC" w:rsidRDefault="00B42EF3">
            <w:pPr>
              <w:pStyle w:val="TableBodyText"/>
            </w:pPr>
            <w:r>
              <w:t>WebGoBack</w:t>
            </w:r>
          </w:p>
        </w:tc>
        <w:tc>
          <w:tcPr>
            <w:tcW w:w="0" w:type="auto"/>
            <w:vAlign w:val="center"/>
          </w:tcPr>
          <w:p w:rsidR="005F78FC" w:rsidRDefault="00B42EF3">
            <w:pPr>
              <w:pStyle w:val="TableBodyText"/>
            </w:pPr>
            <w:r>
              <w:t>03A3</w:t>
            </w:r>
          </w:p>
        </w:tc>
      </w:tr>
      <w:tr w:rsidR="005F78FC" w:rsidTr="005F78FC">
        <w:tc>
          <w:tcPr>
            <w:tcW w:w="0" w:type="auto"/>
            <w:vAlign w:val="center"/>
          </w:tcPr>
          <w:p w:rsidR="005F78FC" w:rsidRDefault="00B42EF3">
            <w:pPr>
              <w:pStyle w:val="TableBodyText"/>
            </w:pPr>
            <w:r>
              <w:t>WebGoForward</w:t>
            </w:r>
          </w:p>
        </w:tc>
        <w:tc>
          <w:tcPr>
            <w:tcW w:w="0" w:type="auto"/>
            <w:vAlign w:val="center"/>
          </w:tcPr>
          <w:p w:rsidR="005F78FC" w:rsidRDefault="00B42EF3">
            <w:pPr>
              <w:pStyle w:val="TableBodyText"/>
            </w:pPr>
            <w:r>
              <w:t>03A5</w:t>
            </w:r>
          </w:p>
        </w:tc>
      </w:tr>
      <w:tr w:rsidR="005F78FC" w:rsidTr="005F78FC">
        <w:tc>
          <w:tcPr>
            <w:tcW w:w="0" w:type="auto"/>
            <w:vAlign w:val="center"/>
          </w:tcPr>
          <w:p w:rsidR="005F78FC" w:rsidRDefault="00B42EF3">
            <w:pPr>
              <w:pStyle w:val="TableBodyText"/>
            </w:pPr>
            <w:r>
              <w:t>WebHideToolbars</w:t>
            </w:r>
          </w:p>
        </w:tc>
        <w:tc>
          <w:tcPr>
            <w:tcW w:w="0" w:type="auto"/>
            <w:vAlign w:val="center"/>
          </w:tcPr>
          <w:p w:rsidR="005F78FC" w:rsidRDefault="00B42EF3">
            <w:pPr>
              <w:pStyle w:val="TableBodyText"/>
            </w:pPr>
            <w:r>
              <w:t>03A1</w:t>
            </w:r>
          </w:p>
        </w:tc>
      </w:tr>
      <w:tr w:rsidR="005F78FC" w:rsidTr="005F78FC">
        <w:tc>
          <w:tcPr>
            <w:tcW w:w="0" w:type="auto"/>
            <w:vAlign w:val="center"/>
          </w:tcPr>
          <w:p w:rsidR="005F78FC" w:rsidRDefault="00B42EF3">
            <w:pPr>
              <w:pStyle w:val="TableBodyText"/>
            </w:pPr>
            <w:r>
              <w:t>WebOpenFavorites</w:t>
            </w:r>
          </w:p>
        </w:tc>
        <w:tc>
          <w:tcPr>
            <w:tcW w:w="0" w:type="auto"/>
            <w:vAlign w:val="center"/>
          </w:tcPr>
          <w:p w:rsidR="005F78FC" w:rsidRDefault="00B42EF3">
            <w:pPr>
              <w:pStyle w:val="TableBodyText"/>
            </w:pPr>
            <w:r>
              <w:t>03A0</w:t>
            </w:r>
          </w:p>
        </w:tc>
      </w:tr>
      <w:tr w:rsidR="005F78FC" w:rsidTr="005F78FC">
        <w:tc>
          <w:tcPr>
            <w:tcW w:w="0" w:type="auto"/>
            <w:vAlign w:val="center"/>
          </w:tcPr>
          <w:p w:rsidR="005F78FC" w:rsidRDefault="00B42EF3">
            <w:pPr>
              <w:pStyle w:val="TableBodyText"/>
            </w:pPr>
            <w:r>
              <w:t>WebOpenHyperlink</w:t>
            </w:r>
          </w:p>
        </w:tc>
        <w:tc>
          <w:tcPr>
            <w:tcW w:w="0" w:type="auto"/>
            <w:vAlign w:val="center"/>
          </w:tcPr>
          <w:p w:rsidR="005F78FC" w:rsidRDefault="00B42EF3">
            <w:pPr>
              <w:pStyle w:val="TableBodyText"/>
            </w:pPr>
            <w:r>
              <w:t>0399</w:t>
            </w:r>
          </w:p>
        </w:tc>
      </w:tr>
      <w:tr w:rsidR="005F78FC" w:rsidTr="005F78FC">
        <w:tc>
          <w:tcPr>
            <w:tcW w:w="0" w:type="auto"/>
            <w:vAlign w:val="center"/>
          </w:tcPr>
          <w:p w:rsidR="005F78FC" w:rsidRDefault="00B42EF3">
            <w:pPr>
              <w:pStyle w:val="TableBodyText"/>
            </w:pPr>
            <w:r>
              <w:t>WebOpenInNewWindow</w:t>
            </w:r>
          </w:p>
        </w:tc>
        <w:tc>
          <w:tcPr>
            <w:tcW w:w="0" w:type="auto"/>
            <w:vAlign w:val="center"/>
          </w:tcPr>
          <w:p w:rsidR="005F78FC" w:rsidRDefault="00B42EF3">
            <w:pPr>
              <w:pStyle w:val="TableBodyText"/>
            </w:pPr>
            <w:r>
              <w:t>039A</w:t>
            </w:r>
          </w:p>
        </w:tc>
      </w:tr>
      <w:tr w:rsidR="005F78FC" w:rsidTr="005F78FC">
        <w:tc>
          <w:tcPr>
            <w:tcW w:w="0" w:type="auto"/>
            <w:vAlign w:val="center"/>
          </w:tcPr>
          <w:p w:rsidR="005F78FC" w:rsidRDefault="00B42EF3">
            <w:pPr>
              <w:pStyle w:val="TableBodyText"/>
            </w:pPr>
            <w:r>
              <w:t>WebOpenSearchPage</w:t>
            </w:r>
          </w:p>
        </w:tc>
        <w:tc>
          <w:tcPr>
            <w:tcW w:w="0" w:type="auto"/>
            <w:vAlign w:val="center"/>
          </w:tcPr>
          <w:p w:rsidR="005F78FC" w:rsidRDefault="00B42EF3">
            <w:pPr>
              <w:pStyle w:val="TableBodyText"/>
            </w:pPr>
            <w:r>
              <w:t>03C8</w:t>
            </w:r>
          </w:p>
        </w:tc>
      </w:tr>
      <w:tr w:rsidR="005F78FC" w:rsidTr="005F78FC">
        <w:tc>
          <w:tcPr>
            <w:tcW w:w="0" w:type="auto"/>
            <w:vAlign w:val="center"/>
          </w:tcPr>
          <w:p w:rsidR="005F78FC" w:rsidRDefault="00B42EF3">
            <w:pPr>
              <w:pStyle w:val="TableBodyText"/>
            </w:pPr>
            <w:r>
              <w:t>WebOpenStartPage</w:t>
            </w:r>
          </w:p>
        </w:tc>
        <w:tc>
          <w:tcPr>
            <w:tcW w:w="0" w:type="auto"/>
            <w:vAlign w:val="center"/>
          </w:tcPr>
          <w:p w:rsidR="005F78FC" w:rsidRDefault="00B42EF3">
            <w:pPr>
              <w:pStyle w:val="TableBodyText"/>
            </w:pPr>
            <w:r>
              <w:t>03A2</w:t>
            </w:r>
          </w:p>
        </w:tc>
      </w:tr>
      <w:tr w:rsidR="005F78FC" w:rsidTr="005F78FC">
        <w:tc>
          <w:tcPr>
            <w:tcW w:w="0" w:type="auto"/>
            <w:vAlign w:val="center"/>
          </w:tcPr>
          <w:p w:rsidR="005F78FC" w:rsidRDefault="00B42EF3">
            <w:pPr>
              <w:pStyle w:val="TableBodyText"/>
            </w:pPr>
            <w:r>
              <w:t>WebOptions</w:t>
            </w:r>
          </w:p>
        </w:tc>
        <w:tc>
          <w:tcPr>
            <w:tcW w:w="0" w:type="auto"/>
            <w:vAlign w:val="center"/>
          </w:tcPr>
          <w:p w:rsidR="005F78FC" w:rsidRDefault="00B42EF3">
            <w:pPr>
              <w:pStyle w:val="TableBodyText"/>
            </w:pPr>
            <w:r>
              <w:t>0382</w:t>
            </w:r>
          </w:p>
        </w:tc>
      </w:tr>
      <w:tr w:rsidR="005F78FC" w:rsidTr="005F78FC">
        <w:tc>
          <w:tcPr>
            <w:tcW w:w="0" w:type="auto"/>
            <w:vAlign w:val="center"/>
          </w:tcPr>
          <w:p w:rsidR="005F78FC" w:rsidRDefault="00B42EF3">
            <w:pPr>
              <w:pStyle w:val="TableBodyText"/>
            </w:pPr>
            <w:r>
              <w:t>WebPagePreview</w:t>
            </w:r>
          </w:p>
        </w:tc>
        <w:tc>
          <w:tcPr>
            <w:tcW w:w="0" w:type="auto"/>
            <w:vAlign w:val="center"/>
          </w:tcPr>
          <w:p w:rsidR="005F78FC" w:rsidRDefault="00B42EF3">
            <w:pPr>
              <w:pStyle w:val="TableBodyText"/>
            </w:pPr>
            <w:r>
              <w:t>0445</w:t>
            </w:r>
          </w:p>
        </w:tc>
      </w:tr>
      <w:tr w:rsidR="005F78FC" w:rsidTr="005F78FC">
        <w:tc>
          <w:tcPr>
            <w:tcW w:w="0" w:type="auto"/>
            <w:vAlign w:val="center"/>
          </w:tcPr>
          <w:p w:rsidR="005F78FC" w:rsidRDefault="00B42EF3">
            <w:pPr>
              <w:pStyle w:val="TableBodyText"/>
            </w:pPr>
            <w:r>
              <w:t>WebRefresh</w:t>
            </w:r>
          </w:p>
        </w:tc>
        <w:tc>
          <w:tcPr>
            <w:tcW w:w="0" w:type="auto"/>
            <w:vAlign w:val="center"/>
          </w:tcPr>
          <w:p w:rsidR="005F78FC" w:rsidRDefault="00B42EF3">
            <w:pPr>
              <w:pStyle w:val="TableBodyText"/>
            </w:pPr>
            <w:r>
              <w:t>03A7</w:t>
            </w:r>
          </w:p>
        </w:tc>
      </w:tr>
      <w:tr w:rsidR="005F78FC" w:rsidTr="005F78FC">
        <w:tc>
          <w:tcPr>
            <w:tcW w:w="0" w:type="auto"/>
            <w:vAlign w:val="center"/>
          </w:tcPr>
          <w:p w:rsidR="005F78FC" w:rsidRDefault="00B42EF3">
            <w:pPr>
              <w:pStyle w:val="TableBodyText"/>
            </w:pPr>
            <w:r>
              <w:t>WebSelectHyperlink</w:t>
            </w:r>
          </w:p>
        </w:tc>
        <w:tc>
          <w:tcPr>
            <w:tcW w:w="0" w:type="auto"/>
            <w:vAlign w:val="center"/>
          </w:tcPr>
          <w:p w:rsidR="005F78FC" w:rsidRDefault="00B42EF3">
            <w:pPr>
              <w:pStyle w:val="TableBodyText"/>
            </w:pPr>
            <w:r>
              <w:t>039F</w:t>
            </w:r>
          </w:p>
        </w:tc>
      </w:tr>
      <w:tr w:rsidR="005F78FC" w:rsidTr="005F78FC">
        <w:tc>
          <w:tcPr>
            <w:tcW w:w="0" w:type="auto"/>
            <w:vAlign w:val="center"/>
          </w:tcPr>
          <w:p w:rsidR="005F78FC" w:rsidRDefault="00B42EF3">
            <w:pPr>
              <w:pStyle w:val="TableBodyText"/>
            </w:pPr>
            <w:r>
              <w:t>WebStopLoading</w:t>
            </w:r>
          </w:p>
        </w:tc>
        <w:tc>
          <w:tcPr>
            <w:tcW w:w="0" w:type="auto"/>
            <w:vAlign w:val="center"/>
          </w:tcPr>
          <w:p w:rsidR="005F78FC" w:rsidRDefault="00B42EF3">
            <w:pPr>
              <w:pStyle w:val="TableBodyText"/>
            </w:pPr>
            <w:r>
              <w:t>03A6</w:t>
            </w:r>
          </w:p>
        </w:tc>
      </w:tr>
      <w:tr w:rsidR="005F78FC" w:rsidTr="005F78FC">
        <w:tc>
          <w:tcPr>
            <w:tcW w:w="0" w:type="auto"/>
            <w:vAlign w:val="center"/>
          </w:tcPr>
          <w:p w:rsidR="005F78FC" w:rsidRDefault="00B42EF3">
            <w:pPr>
              <w:pStyle w:val="TableBodyText"/>
            </w:pPr>
            <w:r>
              <w:t>WebToolbar</w:t>
            </w:r>
          </w:p>
        </w:tc>
        <w:tc>
          <w:tcPr>
            <w:tcW w:w="0" w:type="auto"/>
            <w:vAlign w:val="center"/>
          </w:tcPr>
          <w:p w:rsidR="005F78FC" w:rsidRDefault="00B42EF3">
            <w:pPr>
              <w:pStyle w:val="TableBodyText"/>
            </w:pPr>
            <w:r>
              <w:t>03F0</w:t>
            </w:r>
          </w:p>
        </w:tc>
      </w:tr>
      <w:tr w:rsidR="005F78FC" w:rsidTr="005F78FC">
        <w:tc>
          <w:tcPr>
            <w:tcW w:w="0" w:type="auto"/>
            <w:vAlign w:val="center"/>
          </w:tcPr>
          <w:p w:rsidR="005F78FC" w:rsidRDefault="00B42EF3">
            <w:pPr>
              <w:pStyle w:val="TableBodyText"/>
            </w:pPr>
            <w:r>
              <w:t>WindowArrangeAll</w:t>
            </w:r>
          </w:p>
        </w:tc>
        <w:tc>
          <w:tcPr>
            <w:tcW w:w="0" w:type="auto"/>
            <w:vAlign w:val="center"/>
          </w:tcPr>
          <w:p w:rsidR="005F78FC" w:rsidRDefault="00B42EF3">
            <w:pPr>
              <w:pStyle w:val="TableBodyText"/>
            </w:pPr>
            <w:r>
              <w:t>00DA</w:t>
            </w:r>
          </w:p>
        </w:tc>
      </w:tr>
      <w:tr w:rsidR="005F78FC" w:rsidTr="005F78FC">
        <w:tc>
          <w:tcPr>
            <w:tcW w:w="0" w:type="auto"/>
            <w:vAlign w:val="center"/>
          </w:tcPr>
          <w:p w:rsidR="005F78FC" w:rsidRDefault="00B42EF3">
            <w:pPr>
              <w:pStyle w:val="TableBodyText"/>
            </w:pPr>
            <w:r>
              <w:t>WindowArrangeSideBySide</w:t>
            </w:r>
          </w:p>
        </w:tc>
        <w:tc>
          <w:tcPr>
            <w:tcW w:w="0" w:type="auto"/>
            <w:vAlign w:val="center"/>
          </w:tcPr>
          <w:p w:rsidR="005F78FC" w:rsidRDefault="00B42EF3">
            <w:pPr>
              <w:pStyle w:val="TableBodyText"/>
            </w:pPr>
            <w:r>
              <w:t>058B</w:t>
            </w:r>
          </w:p>
        </w:tc>
      </w:tr>
      <w:tr w:rsidR="005F78FC" w:rsidTr="005F78FC">
        <w:tc>
          <w:tcPr>
            <w:tcW w:w="0" w:type="auto"/>
            <w:vAlign w:val="center"/>
          </w:tcPr>
          <w:p w:rsidR="005F78FC" w:rsidRDefault="00B42EF3">
            <w:pPr>
              <w:pStyle w:val="TableBodyText"/>
            </w:pPr>
            <w:r>
              <w:t>WindowList</w:t>
            </w:r>
          </w:p>
        </w:tc>
        <w:tc>
          <w:tcPr>
            <w:tcW w:w="0" w:type="auto"/>
            <w:vAlign w:val="center"/>
          </w:tcPr>
          <w:p w:rsidR="005F78FC" w:rsidRDefault="00B42EF3">
            <w:pPr>
              <w:pStyle w:val="TableBodyText"/>
            </w:pPr>
            <w:r>
              <w:t>00DC</w:t>
            </w:r>
          </w:p>
        </w:tc>
      </w:tr>
      <w:tr w:rsidR="005F78FC" w:rsidTr="005F78FC">
        <w:tc>
          <w:tcPr>
            <w:tcW w:w="0" w:type="auto"/>
            <w:vAlign w:val="center"/>
          </w:tcPr>
          <w:p w:rsidR="005F78FC" w:rsidRDefault="00B42EF3">
            <w:pPr>
              <w:pStyle w:val="TableBodyText"/>
            </w:pPr>
            <w:r>
              <w:t>WindowNewWindow</w:t>
            </w:r>
          </w:p>
        </w:tc>
        <w:tc>
          <w:tcPr>
            <w:tcW w:w="0" w:type="auto"/>
            <w:vAlign w:val="center"/>
          </w:tcPr>
          <w:p w:rsidR="005F78FC" w:rsidRDefault="00B42EF3">
            <w:pPr>
              <w:pStyle w:val="TableBodyText"/>
            </w:pPr>
            <w:r>
              <w:t>00D9</w:t>
            </w:r>
          </w:p>
        </w:tc>
      </w:tr>
      <w:tr w:rsidR="005F78FC" w:rsidTr="005F78FC">
        <w:tc>
          <w:tcPr>
            <w:tcW w:w="0" w:type="auto"/>
            <w:vAlign w:val="center"/>
          </w:tcPr>
          <w:p w:rsidR="005F78FC" w:rsidRDefault="00B42EF3">
            <w:pPr>
              <w:pStyle w:val="TableBodyText"/>
            </w:pPr>
            <w:r>
              <w:t>WordArtGallery</w:t>
            </w:r>
          </w:p>
        </w:tc>
        <w:tc>
          <w:tcPr>
            <w:tcW w:w="0" w:type="auto"/>
            <w:vAlign w:val="center"/>
          </w:tcPr>
          <w:p w:rsidR="005F78FC" w:rsidRDefault="00B42EF3">
            <w:pPr>
              <w:pStyle w:val="TableBodyText"/>
            </w:pPr>
            <w:r>
              <w:t>08CE</w:t>
            </w:r>
          </w:p>
        </w:tc>
      </w:tr>
      <w:tr w:rsidR="005F78FC" w:rsidTr="005F78FC">
        <w:tc>
          <w:tcPr>
            <w:tcW w:w="0" w:type="auto"/>
            <w:vAlign w:val="center"/>
          </w:tcPr>
          <w:p w:rsidR="005F78FC" w:rsidRDefault="00B42EF3">
            <w:pPr>
              <w:pStyle w:val="TableBodyText"/>
            </w:pPr>
            <w:r>
              <w:t>WordArtShapeGallery</w:t>
            </w:r>
          </w:p>
        </w:tc>
        <w:tc>
          <w:tcPr>
            <w:tcW w:w="0" w:type="auto"/>
            <w:vAlign w:val="center"/>
          </w:tcPr>
          <w:p w:rsidR="005F78FC" w:rsidRDefault="00B42EF3">
            <w:pPr>
              <w:pStyle w:val="TableBodyText"/>
            </w:pPr>
            <w:r>
              <w:t>08D3</w:t>
            </w:r>
          </w:p>
        </w:tc>
      </w:tr>
      <w:tr w:rsidR="005F78FC" w:rsidTr="005F78FC">
        <w:tc>
          <w:tcPr>
            <w:tcW w:w="0" w:type="auto"/>
            <w:vAlign w:val="center"/>
          </w:tcPr>
          <w:p w:rsidR="005F78FC" w:rsidRDefault="00B42EF3">
            <w:pPr>
              <w:pStyle w:val="TableBodyText"/>
            </w:pPr>
            <w:r>
              <w:lastRenderedPageBreak/>
              <w:t>WordLeft</w:t>
            </w:r>
          </w:p>
        </w:tc>
        <w:tc>
          <w:tcPr>
            <w:tcW w:w="0" w:type="auto"/>
            <w:vAlign w:val="center"/>
          </w:tcPr>
          <w:p w:rsidR="005F78FC" w:rsidRDefault="00B42EF3">
            <w:pPr>
              <w:pStyle w:val="TableBodyText"/>
            </w:pPr>
            <w:r>
              <w:t>0FA2</w:t>
            </w:r>
          </w:p>
        </w:tc>
      </w:tr>
      <w:tr w:rsidR="005F78FC" w:rsidTr="005F78FC">
        <w:tc>
          <w:tcPr>
            <w:tcW w:w="0" w:type="auto"/>
            <w:vAlign w:val="center"/>
          </w:tcPr>
          <w:p w:rsidR="005F78FC" w:rsidRDefault="00B42EF3">
            <w:pPr>
              <w:pStyle w:val="TableBodyText"/>
            </w:pPr>
            <w:r>
              <w:t>WordLeftExtend</w:t>
            </w:r>
          </w:p>
        </w:tc>
        <w:tc>
          <w:tcPr>
            <w:tcW w:w="0" w:type="auto"/>
            <w:vAlign w:val="center"/>
          </w:tcPr>
          <w:p w:rsidR="005F78FC" w:rsidRDefault="00B42EF3">
            <w:pPr>
              <w:pStyle w:val="TableBodyText"/>
            </w:pPr>
            <w:r>
              <w:t>0FB4</w:t>
            </w:r>
          </w:p>
        </w:tc>
      </w:tr>
      <w:tr w:rsidR="005F78FC" w:rsidTr="005F78FC">
        <w:tc>
          <w:tcPr>
            <w:tcW w:w="0" w:type="auto"/>
            <w:vAlign w:val="center"/>
          </w:tcPr>
          <w:p w:rsidR="005F78FC" w:rsidRDefault="00B42EF3">
            <w:pPr>
              <w:pStyle w:val="TableBodyText"/>
            </w:pPr>
            <w:r>
              <w:t>WordRight</w:t>
            </w:r>
          </w:p>
        </w:tc>
        <w:tc>
          <w:tcPr>
            <w:tcW w:w="0" w:type="auto"/>
            <w:vAlign w:val="center"/>
          </w:tcPr>
          <w:p w:rsidR="005F78FC" w:rsidRDefault="00B42EF3">
            <w:pPr>
              <w:pStyle w:val="TableBodyText"/>
            </w:pPr>
            <w:r>
              <w:t>0FA3</w:t>
            </w:r>
          </w:p>
        </w:tc>
      </w:tr>
      <w:tr w:rsidR="005F78FC" w:rsidTr="005F78FC">
        <w:tc>
          <w:tcPr>
            <w:tcW w:w="0" w:type="auto"/>
            <w:vAlign w:val="center"/>
          </w:tcPr>
          <w:p w:rsidR="005F78FC" w:rsidRDefault="00B42EF3">
            <w:pPr>
              <w:pStyle w:val="TableBodyText"/>
            </w:pPr>
            <w:r>
              <w:t>WordRightExtend</w:t>
            </w:r>
          </w:p>
        </w:tc>
        <w:tc>
          <w:tcPr>
            <w:tcW w:w="0" w:type="auto"/>
            <w:vAlign w:val="center"/>
          </w:tcPr>
          <w:p w:rsidR="005F78FC" w:rsidRDefault="00B42EF3">
            <w:pPr>
              <w:pStyle w:val="TableBodyText"/>
            </w:pPr>
            <w:r>
              <w:t>0FB5</w:t>
            </w:r>
          </w:p>
        </w:tc>
      </w:tr>
      <w:tr w:rsidR="005F78FC" w:rsidTr="005F78FC">
        <w:tc>
          <w:tcPr>
            <w:tcW w:w="0" w:type="auto"/>
            <w:vAlign w:val="center"/>
          </w:tcPr>
          <w:p w:rsidR="005F78FC" w:rsidRDefault="00B42EF3">
            <w:pPr>
              <w:pStyle w:val="TableBodyText"/>
            </w:pPr>
            <w:r>
              <w:t>WordSearchLibraries</w:t>
            </w:r>
          </w:p>
        </w:tc>
        <w:tc>
          <w:tcPr>
            <w:tcW w:w="0" w:type="auto"/>
            <w:vAlign w:val="center"/>
          </w:tcPr>
          <w:p w:rsidR="005F78FC" w:rsidRDefault="00B42EF3">
            <w:pPr>
              <w:pStyle w:val="TableBodyText"/>
            </w:pPr>
            <w:r>
              <w:t>080D</w:t>
            </w:r>
          </w:p>
        </w:tc>
      </w:tr>
      <w:tr w:rsidR="005F78FC" w:rsidTr="005F78FC">
        <w:tc>
          <w:tcPr>
            <w:tcW w:w="0" w:type="auto"/>
            <w:vAlign w:val="center"/>
          </w:tcPr>
          <w:p w:rsidR="005F78FC" w:rsidRDefault="00B42EF3">
            <w:pPr>
              <w:pStyle w:val="TableBodyText"/>
            </w:pPr>
            <w:r>
              <w:t>WordSetDefaultPaste</w:t>
            </w:r>
          </w:p>
        </w:tc>
        <w:tc>
          <w:tcPr>
            <w:tcW w:w="0" w:type="auto"/>
            <w:vAlign w:val="center"/>
          </w:tcPr>
          <w:p w:rsidR="005F78FC" w:rsidRDefault="00B42EF3">
            <w:pPr>
              <w:pStyle w:val="TableBodyText"/>
            </w:pPr>
            <w:r>
              <w:t>0924</w:t>
            </w:r>
          </w:p>
        </w:tc>
      </w:tr>
      <w:tr w:rsidR="005F78FC" w:rsidTr="005F78FC">
        <w:tc>
          <w:tcPr>
            <w:tcW w:w="0" w:type="auto"/>
            <w:vAlign w:val="center"/>
          </w:tcPr>
          <w:p w:rsidR="005F78FC" w:rsidRDefault="00B42EF3">
            <w:pPr>
              <w:pStyle w:val="TableBodyText"/>
            </w:pPr>
            <w:r>
              <w:t>WordTableStylesBandedColumns</w:t>
            </w:r>
          </w:p>
        </w:tc>
        <w:tc>
          <w:tcPr>
            <w:tcW w:w="0" w:type="auto"/>
            <w:vAlign w:val="center"/>
          </w:tcPr>
          <w:p w:rsidR="005F78FC" w:rsidRDefault="00B42EF3">
            <w:pPr>
              <w:pStyle w:val="TableBodyText"/>
            </w:pPr>
            <w:r>
              <w:t>08F5</w:t>
            </w:r>
          </w:p>
        </w:tc>
      </w:tr>
      <w:tr w:rsidR="005F78FC" w:rsidTr="005F78FC">
        <w:tc>
          <w:tcPr>
            <w:tcW w:w="0" w:type="auto"/>
            <w:vAlign w:val="center"/>
          </w:tcPr>
          <w:p w:rsidR="005F78FC" w:rsidRDefault="00B42EF3">
            <w:pPr>
              <w:pStyle w:val="TableBodyText"/>
            </w:pPr>
            <w:r>
              <w:t>WordTableStylesBandedRows</w:t>
            </w:r>
          </w:p>
        </w:tc>
        <w:tc>
          <w:tcPr>
            <w:tcW w:w="0" w:type="auto"/>
            <w:vAlign w:val="center"/>
          </w:tcPr>
          <w:p w:rsidR="005F78FC" w:rsidRDefault="00B42EF3">
            <w:pPr>
              <w:pStyle w:val="TableBodyText"/>
            </w:pPr>
            <w:r>
              <w:t>08F4</w:t>
            </w:r>
          </w:p>
        </w:tc>
      </w:tr>
      <w:tr w:rsidR="005F78FC" w:rsidTr="005F78FC">
        <w:tc>
          <w:tcPr>
            <w:tcW w:w="0" w:type="auto"/>
            <w:vAlign w:val="center"/>
          </w:tcPr>
          <w:p w:rsidR="005F78FC" w:rsidRDefault="00B42EF3">
            <w:pPr>
              <w:pStyle w:val="TableBodyText"/>
            </w:pPr>
            <w:r>
              <w:t>WordTableStylesFirstColumn</w:t>
            </w:r>
          </w:p>
        </w:tc>
        <w:tc>
          <w:tcPr>
            <w:tcW w:w="0" w:type="auto"/>
            <w:vAlign w:val="center"/>
          </w:tcPr>
          <w:p w:rsidR="005F78FC" w:rsidRDefault="00B42EF3">
            <w:pPr>
              <w:pStyle w:val="TableBodyText"/>
            </w:pPr>
            <w:r>
              <w:t>08F2</w:t>
            </w:r>
          </w:p>
        </w:tc>
      </w:tr>
      <w:tr w:rsidR="005F78FC" w:rsidTr="005F78FC">
        <w:tc>
          <w:tcPr>
            <w:tcW w:w="0" w:type="auto"/>
            <w:vAlign w:val="center"/>
          </w:tcPr>
          <w:p w:rsidR="005F78FC" w:rsidRDefault="00B42EF3">
            <w:pPr>
              <w:pStyle w:val="TableBodyText"/>
            </w:pPr>
            <w:r>
              <w:t>WordTableStylesHeaderRow</w:t>
            </w:r>
          </w:p>
        </w:tc>
        <w:tc>
          <w:tcPr>
            <w:tcW w:w="0" w:type="auto"/>
            <w:vAlign w:val="center"/>
          </w:tcPr>
          <w:p w:rsidR="005F78FC" w:rsidRDefault="00B42EF3">
            <w:pPr>
              <w:pStyle w:val="TableBodyText"/>
            </w:pPr>
            <w:r>
              <w:t>08F0</w:t>
            </w:r>
          </w:p>
        </w:tc>
      </w:tr>
      <w:tr w:rsidR="005F78FC" w:rsidTr="005F78FC">
        <w:tc>
          <w:tcPr>
            <w:tcW w:w="0" w:type="auto"/>
            <w:vAlign w:val="center"/>
          </w:tcPr>
          <w:p w:rsidR="005F78FC" w:rsidRDefault="00B42EF3">
            <w:pPr>
              <w:pStyle w:val="TableBodyText"/>
            </w:pPr>
            <w:r>
              <w:t>WordTableStylesLastColumn</w:t>
            </w:r>
          </w:p>
        </w:tc>
        <w:tc>
          <w:tcPr>
            <w:tcW w:w="0" w:type="auto"/>
            <w:vAlign w:val="center"/>
          </w:tcPr>
          <w:p w:rsidR="005F78FC" w:rsidRDefault="00B42EF3">
            <w:pPr>
              <w:pStyle w:val="TableBodyText"/>
            </w:pPr>
            <w:r>
              <w:t>08F3</w:t>
            </w:r>
          </w:p>
        </w:tc>
      </w:tr>
      <w:tr w:rsidR="005F78FC" w:rsidTr="005F78FC">
        <w:tc>
          <w:tcPr>
            <w:tcW w:w="0" w:type="auto"/>
            <w:vAlign w:val="center"/>
          </w:tcPr>
          <w:p w:rsidR="005F78FC" w:rsidRDefault="00B42EF3">
            <w:pPr>
              <w:pStyle w:val="TableBodyText"/>
            </w:pPr>
            <w:r>
              <w:t>WordTableStylesTotalRow</w:t>
            </w:r>
          </w:p>
        </w:tc>
        <w:tc>
          <w:tcPr>
            <w:tcW w:w="0" w:type="auto"/>
            <w:vAlign w:val="center"/>
          </w:tcPr>
          <w:p w:rsidR="005F78FC" w:rsidRDefault="00B42EF3">
            <w:pPr>
              <w:pStyle w:val="TableBodyText"/>
            </w:pPr>
            <w:r>
              <w:t>08F1</w:t>
            </w:r>
          </w:p>
        </w:tc>
      </w:tr>
      <w:tr w:rsidR="005F78FC" w:rsidTr="005F78FC">
        <w:tc>
          <w:tcPr>
            <w:tcW w:w="0" w:type="auto"/>
            <w:vAlign w:val="center"/>
          </w:tcPr>
          <w:p w:rsidR="005F78FC" w:rsidRDefault="00B42EF3">
            <w:pPr>
              <w:pStyle w:val="TableBodyText"/>
            </w:pPr>
            <w:r>
              <w:t>WordUnderline</w:t>
            </w:r>
          </w:p>
        </w:tc>
        <w:tc>
          <w:tcPr>
            <w:tcW w:w="0" w:type="auto"/>
            <w:vAlign w:val="center"/>
          </w:tcPr>
          <w:p w:rsidR="005F78FC" w:rsidRDefault="00B42EF3">
            <w:pPr>
              <w:pStyle w:val="TableBodyText"/>
            </w:pPr>
            <w:r>
              <w:t>0035</w:t>
            </w:r>
          </w:p>
        </w:tc>
      </w:tr>
      <w:tr w:rsidR="005F78FC" w:rsidTr="005F78FC">
        <w:tc>
          <w:tcPr>
            <w:tcW w:w="0" w:type="auto"/>
            <w:vAlign w:val="center"/>
          </w:tcPr>
          <w:p w:rsidR="005F78FC" w:rsidRDefault="00B42EF3">
            <w:pPr>
              <w:pStyle w:val="TableBodyText"/>
            </w:pPr>
            <w:r>
              <w:t>XMLDocument</w:t>
            </w:r>
          </w:p>
        </w:tc>
        <w:tc>
          <w:tcPr>
            <w:tcW w:w="0" w:type="auto"/>
            <w:vAlign w:val="center"/>
          </w:tcPr>
          <w:p w:rsidR="005F78FC" w:rsidRDefault="00B42EF3">
            <w:pPr>
              <w:pStyle w:val="TableBodyText"/>
            </w:pPr>
            <w:r>
              <w:t>0592</w:t>
            </w:r>
          </w:p>
        </w:tc>
      </w:tr>
      <w:tr w:rsidR="005F78FC" w:rsidTr="005F78FC">
        <w:tc>
          <w:tcPr>
            <w:tcW w:w="0" w:type="auto"/>
            <w:vAlign w:val="center"/>
          </w:tcPr>
          <w:p w:rsidR="005F78FC" w:rsidRDefault="00B42EF3">
            <w:pPr>
              <w:pStyle w:val="TableBodyText"/>
            </w:pPr>
            <w:r>
              <w:t>XMLGroup</w:t>
            </w:r>
          </w:p>
        </w:tc>
        <w:tc>
          <w:tcPr>
            <w:tcW w:w="0" w:type="auto"/>
            <w:vAlign w:val="center"/>
          </w:tcPr>
          <w:p w:rsidR="005F78FC" w:rsidRDefault="00B42EF3">
            <w:pPr>
              <w:pStyle w:val="TableBodyText"/>
            </w:pPr>
            <w:r>
              <w:t>08D4</w:t>
            </w:r>
          </w:p>
        </w:tc>
      </w:tr>
      <w:tr w:rsidR="005F78FC" w:rsidTr="005F78FC">
        <w:tc>
          <w:tcPr>
            <w:tcW w:w="0" w:type="auto"/>
            <w:vAlign w:val="center"/>
          </w:tcPr>
          <w:p w:rsidR="005F78FC" w:rsidRDefault="00B42EF3">
            <w:pPr>
              <w:pStyle w:val="TableBodyText"/>
            </w:pPr>
            <w:r>
              <w:t>XMLOptions</w:t>
            </w:r>
          </w:p>
        </w:tc>
        <w:tc>
          <w:tcPr>
            <w:tcW w:w="0" w:type="auto"/>
            <w:vAlign w:val="center"/>
          </w:tcPr>
          <w:p w:rsidR="005F78FC" w:rsidRDefault="00B42EF3">
            <w:pPr>
              <w:pStyle w:val="TableBodyText"/>
            </w:pPr>
            <w:r>
              <w:t>0591</w:t>
            </w:r>
          </w:p>
        </w:tc>
      </w:tr>
      <w:tr w:rsidR="005F78FC" w:rsidTr="005F78FC">
        <w:tc>
          <w:tcPr>
            <w:tcW w:w="0" w:type="auto"/>
            <w:vAlign w:val="center"/>
          </w:tcPr>
          <w:p w:rsidR="005F78FC" w:rsidRDefault="00B42EF3">
            <w:pPr>
              <w:pStyle w:val="TableBodyText"/>
            </w:pPr>
            <w:r>
              <w:t>XmlAttr</w:t>
            </w:r>
          </w:p>
        </w:tc>
        <w:tc>
          <w:tcPr>
            <w:tcW w:w="0" w:type="auto"/>
            <w:vAlign w:val="center"/>
          </w:tcPr>
          <w:p w:rsidR="005F78FC" w:rsidRDefault="00B42EF3">
            <w:pPr>
              <w:pStyle w:val="TableBodyText"/>
            </w:pPr>
            <w:r>
              <w:t>05B4</w:t>
            </w:r>
          </w:p>
        </w:tc>
      </w:tr>
      <w:tr w:rsidR="005F78FC" w:rsidTr="005F78FC">
        <w:tc>
          <w:tcPr>
            <w:tcW w:w="0" w:type="auto"/>
            <w:vAlign w:val="center"/>
          </w:tcPr>
          <w:p w:rsidR="005F78FC" w:rsidRDefault="00B42EF3">
            <w:pPr>
              <w:pStyle w:val="TableBodyText"/>
            </w:pPr>
            <w:r>
              <w:t>XmlExpansionPacks</w:t>
            </w:r>
          </w:p>
        </w:tc>
        <w:tc>
          <w:tcPr>
            <w:tcW w:w="0" w:type="auto"/>
            <w:vAlign w:val="center"/>
          </w:tcPr>
          <w:p w:rsidR="005F78FC" w:rsidRDefault="00B42EF3">
            <w:pPr>
              <w:pStyle w:val="TableBodyText"/>
            </w:pPr>
            <w:r>
              <w:t>0811</w:t>
            </w:r>
          </w:p>
        </w:tc>
      </w:tr>
      <w:tr w:rsidR="005F78FC" w:rsidTr="005F78FC">
        <w:tc>
          <w:tcPr>
            <w:tcW w:w="0" w:type="auto"/>
            <w:vAlign w:val="center"/>
          </w:tcPr>
          <w:p w:rsidR="005F78FC" w:rsidRDefault="00B42EF3">
            <w:pPr>
              <w:pStyle w:val="TableBodyText"/>
            </w:pPr>
            <w:r>
              <w:t>XmlSchema</w:t>
            </w:r>
          </w:p>
        </w:tc>
        <w:tc>
          <w:tcPr>
            <w:tcW w:w="0" w:type="auto"/>
            <w:vAlign w:val="center"/>
          </w:tcPr>
          <w:p w:rsidR="005F78FC" w:rsidRDefault="00B42EF3">
            <w:pPr>
              <w:pStyle w:val="TableBodyText"/>
            </w:pPr>
            <w:r>
              <w:t>0810</w:t>
            </w:r>
          </w:p>
        </w:tc>
      </w:tr>
      <w:tr w:rsidR="005F78FC" w:rsidTr="005F78FC">
        <w:tc>
          <w:tcPr>
            <w:tcW w:w="0" w:type="auto"/>
            <w:vAlign w:val="center"/>
          </w:tcPr>
          <w:p w:rsidR="005F78FC" w:rsidRDefault="00B42EF3">
            <w:pPr>
              <w:pStyle w:val="TableBodyText"/>
            </w:pPr>
            <w:r>
              <w:t>Zoom100</w:t>
            </w:r>
          </w:p>
        </w:tc>
        <w:tc>
          <w:tcPr>
            <w:tcW w:w="0" w:type="auto"/>
            <w:vAlign w:val="center"/>
          </w:tcPr>
          <w:p w:rsidR="005F78FC" w:rsidRDefault="00B42EF3">
            <w:pPr>
              <w:pStyle w:val="TableBodyText"/>
            </w:pPr>
            <w:r>
              <w:t>09A3</w:t>
            </w:r>
          </w:p>
        </w:tc>
      </w:tr>
    </w:tbl>
    <w:p w:rsidR="005F78FC" w:rsidRDefault="005F78FC"/>
    <w:p w:rsidR="005F78FC" w:rsidRDefault="00B42EF3">
      <w:pPr>
        <w:pStyle w:val="Heading5"/>
      </w:pPr>
      <w:bookmarkStart w:id="3858" w:name="section_c1f7dc7261034817b86d301051daeb73"/>
      <w:bookmarkStart w:id="3859" w:name="_Toc69879702"/>
      <w:r>
        <w:t>Statements</w:t>
      </w:r>
      <w:bookmarkEnd w:id="3858"/>
      <w:bookmarkEnd w:id="3859"/>
      <w:r>
        <w:fldChar w:fldCharType="begin"/>
      </w:r>
      <w:r>
        <w:instrText xml:space="preserve"> XE "Statements" </w:instrText>
      </w:r>
      <w:r>
        <w:fldChar w:fldCharType="end"/>
      </w:r>
    </w:p>
    <w:p w:rsidR="005F78FC" w:rsidRDefault="00B42EF3">
      <w:r>
        <w:t>Statements can only be identified by name for key mapping purposes.</w:t>
      </w:r>
    </w:p>
    <w:tbl>
      <w:tblPr>
        <w:tblStyle w:val="Table-ShadedHeader"/>
        <w:tblW w:w="0" w:type="auto"/>
        <w:tblLook w:val="04A0" w:firstRow="1" w:lastRow="0" w:firstColumn="1" w:lastColumn="0" w:noHBand="0" w:noVBand="1"/>
      </w:tblPr>
      <w:tblGrid>
        <w:gridCol w:w="4285"/>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Statement Name</w:t>
            </w:r>
          </w:p>
        </w:tc>
      </w:tr>
      <w:tr w:rsidR="005F78FC" w:rsidTr="005F78FC">
        <w:tc>
          <w:tcPr>
            <w:tcW w:w="0" w:type="auto"/>
            <w:vAlign w:val="center"/>
          </w:tcPr>
          <w:p w:rsidR="005F78FC" w:rsidRDefault="00B42EF3">
            <w:pPr>
              <w:pStyle w:val="TableBodyText"/>
            </w:pPr>
            <w:r>
              <w:t>AOCEAddRecipient</w:t>
            </w:r>
          </w:p>
        </w:tc>
      </w:tr>
      <w:tr w:rsidR="005F78FC" w:rsidTr="005F78FC">
        <w:tc>
          <w:tcPr>
            <w:tcW w:w="0" w:type="auto"/>
            <w:vAlign w:val="center"/>
          </w:tcPr>
          <w:p w:rsidR="005F78FC" w:rsidRDefault="00B42EF3">
            <w:pPr>
              <w:pStyle w:val="TableBodyText"/>
            </w:pPr>
            <w:r>
              <w:t>AOCEAuthenticateUser</w:t>
            </w:r>
          </w:p>
        </w:tc>
      </w:tr>
      <w:tr w:rsidR="005F78FC" w:rsidTr="005F78FC">
        <w:tc>
          <w:tcPr>
            <w:tcW w:w="0" w:type="auto"/>
            <w:vAlign w:val="center"/>
          </w:tcPr>
          <w:p w:rsidR="005F78FC" w:rsidRDefault="00B42EF3">
            <w:pPr>
              <w:pStyle w:val="TableBodyText"/>
            </w:pPr>
            <w:r>
              <w:t>AOCEClearMailerField</w:t>
            </w:r>
          </w:p>
        </w:tc>
      </w:tr>
      <w:tr w:rsidR="005F78FC" w:rsidTr="005F78FC">
        <w:tc>
          <w:tcPr>
            <w:tcW w:w="0" w:type="auto"/>
            <w:vAlign w:val="center"/>
          </w:tcPr>
          <w:p w:rsidR="005F78FC" w:rsidRDefault="00B42EF3">
            <w:pPr>
              <w:pStyle w:val="TableBodyText"/>
            </w:pPr>
            <w:r>
              <w:t>AOCECountRecipients</w:t>
            </w:r>
          </w:p>
        </w:tc>
      </w:tr>
      <w:tr w:rsidR="005F78FC" w:rsidTr="005F78FC">
        <w:tc>
          <w:tcPr>
            <w:tcW w:w="0" w:type="auto"/>
            <w:vAlign w:val="center"/>
          </w:tcPr>
          <w:p w:rsidR="005F78FC" w:rsidRDefault="00B42EF3">
            <w:pPr>
              <w:pStyle w:val="TableBodyText"/>
            </w:pPr>
            <w:r>
              <w:t>AOCESendMail</w:t>
            </w:r>
          </w:p>
        </w:tc>
      </w:tr>
      <w:tr w:rsidR="005F78FC" w:rsidTr="005F78FC">
        <w:tc>
          <w:tcPr>
            <w:tcW w:w="0" w:type="auto"/>
            <w:vAlign w:val="center"/>
          </w:tcPr>
          <w:p w:rsidR="005F78FC" w:rsidRDefault="00B42EF3">
            <w:pPr>
              <w:pStyle w:val="TableBodyText"/>
            </w:pPr>
            <w:r>
              <w:t>AOCESetSubject</w:t>
            </w:r>
          </w:p>
        </w:tc>
      </w:tr>
      <w:tr w:rsidR="005F78FC" w:rsidTr="005F78FC">
        <w:tc>
          <w:tcPr>
            <w:tcW w:w="0" w:type="auto"/>
            <w:vAlign w:val="center"/>
          </w:tcPr>
          <w:p w:rsidR="005F78FC" w:rsidRDefault="00B42EF3">
            <w:pPr>
              <w:pStyle w:val="TableBodyText"/>
            </w:pPr>
            <w:r>
              <w:t>Abs</w:t>
            </w:r>
          </w:p>
        </w:tc>
      </w:tr>
      <w:tr w:rsidR="005F78FC" w:rsidTr="005F78FC">
        <w:tc>
          <w:tcPr>
            <w:tcW w:w="0" w:type="auto"/>
            <w:vAlign w:val="center"/>
          </w:tcPr>
          <w:p w:rsidR="005F78FC" w:rsidRDefault="00B42EF3">
            <w:pPr>
              <w:pStyle w:val="TableBodyText"/>
            </w:pPr>
            <w:r>
              <w:lastRenderedPageBreak/>
              <w:t>Activate</w:t>
            </w:r>
          </w:p>
        </w:tc>
      </w:tr>
      <w:tr w:rsidR="005F78FC" w:rsidTr="005F78FC">
        <w:tc>
          <w:tcPr>
            <w:tcW w:w="0" w:type="auto"/>
            <w:vAlign w:val="center"/>
          </w:tcPr>
          <w:p w:rsidR="005F78FC" w:rsidRDefault="00B42EF3">
            <w:pPr>
              <w:pStyle w:val="TableBodyText"/>
            </w:pPr>
            <w:r>
              <w:t>AddAddIn</w:t>
            </w:r>
          </w:p>
        </w:tc>
      </w:tr>
      <w:tr w:rsidR="005F78FC" w:rsidTr="005F78FC">
        <w:tc>
          <w:tcPr>
            <w:tcW w:w="0" w:type="auto"/>
            <w:vAlign w:val="center"/>
          </w:tcPr>
          <w:p w:rsidR="005F78FC" w:rsidRDefault="00B42EF3">
            <w:pPr>
              <w:pStyle w:val="TableBodyText"/>
            </w:pPr>
            <w:r>
              <w:t>AddAddress</w:t>
            </w:r>
          </w:p>
        </w:tc>
      </w:tr>
      <w:tr w:rsidR="005F78FC" w:rsidTr="005F78FC">
        <w:tc>
          <w:tcPr>
            <w:tcW w:w="0" w:type="auto"/>
            <w:vAlign w:val="center"/>
          </w:tcPr>
          <w:p w:rsidR="005F78FC" w:rsidRDefault="00B42EF3">
            <w:pPr>
              <w:pStyle w:val="TableBodyText"/>
            </w:pPr>
            <w:r>
              <w:t>AddAutoText</w:t>
            </w:r>
          </w:p>
        </w:tc>
      </w:tr>
      <w:tr w:rsidR="005F78FC" w:rsidTr="005F78FC">
        <w:tc>
          <w:tcPr>
            <w:tcW w:w="0" w:type="auto"/>
            <w:vAlign w:val="center"/>
          </w:tcPr>
          <w:p w:rsidR="005F78FC" w:rsidRDefault="00B42EF3">
            <w:pPr>
              <w:pStyle w:val="TableBodyText"/>
            </w:pPr>
            <w:r>
              <w:t>AddButton</w:t>
            </w:r>
          </w:p>
        </w:tc>
      </w:tr>
      <w:tr w:rsidR="005F78FC" w:rsidTr="005F78FC">
        <w:tc>
          <w:tcPr>
            <w:tcW w:w="0" w:type="auto"/>
            <w:vAlign w:val="center"/>
          </w:tcPr>
          <w:p w:rsidR="005F78FC" w:rsidRDefault="00B42EF3">
            <w:pPr>
              <w:pStyle w:val="TableBodyText"/>
            </w:pPr>
            <w:r>
              <w:t>AddDropDownItem</w:t>
            </w:r>
          </w:p>
        </w:tc>
      </w:tr>
      <w:tr w:rsidR="005F78FC" w:rsidTr="005F78FC">
        <w:tc>
          <w:tcPr>
            <w:tcW w:w="0" w:type="auto"/>
            <w:vAlign w:val="center"/>
          </w:tcPr>
          <w:p w:rsidR="005F78FC" w:rsidRDefault="00B42EF3">
            <w:pPr>
              <w:pStyle w:val="TableBodyText"/>
            </w:pPr>
            <w:r>
              <w:t>AddInState</w:t>
            </w:r>
          </w:p>
        </w:tc>
      </w:tr>
      <w:tr w:rsidR="005F78FC" w:rsidTr="005F78FC">
        <w:tc>
          <w:tcPr>
            <w:tcW w:w="0" w:type="auto"/>
            <w:vAlign w:val="center"/>
          </w:tcPr>
          <w:p w:rsidR="005F78FC" w:rsidRDefault="00B42EF3">
            <w:pPr>
              <w:pStyle w:val="TableBodyText"/>
            </w:pPr>
            <w:r>
              <w:t>AllCaps</w:t>
            </w:r>
          </w:p>
        </w:tc>
      </w:tr>
      <w:tr w:rsidR="005F78FC" w:rsidTr="005F78FC">
        <w:tc>
          <w:tcPr>
            <w:tcW w:w="0" w:type="auto"/>
            <w:vAlign w:val="center"/>
          </w:tcPr>
          <w:p w:rsidR="005F78FC" w:rsidRDefault="00B42EF3">
            <w:pPr>
              <w:pStyle w:val="TableBodyText"/>
            </w:pPr>
            <w:r>
              <w:t>AppActivate</w:t>
            </w:r>
          </w:p>
        </w:tc>
      </w:tr>
      <w:tr w:rsidR="005F78FC" w:rsidTr="005F78FC">
        <w:tc>
          <w:tcPr>
            <w:tcW w:w="0" w:type="auto"/>
            <w:vAlign w:val="center"/>
          </w:tcPr>
          <w:p w:rsidR="005F78FC" w:rsidRDefault="00B42EF3">
            <w:pPr>
              <w:pStyle w:val="TableBodyText"/>
            </w:pPr>
            <w:r>
              <w:t>AppClose</w:t>
            </w:r>
          </w:p>
        </w:tc>
      </w:tr>
      <w:tr w:rsidR="005F78FC" w:rsidTr="005F78FC">
        <w:tc>
          <w:tcPr>
            <w:tcW w:w="0" w:type="auto"/>
            <w:vAlign w:val="center"/>
          </w:tcPr>
          <w:p w:rsidR="005F78FC" w:rsidRDefault="00B42EF3">
            <w:pPr>
              <w:pStyle w:val="TableBodyText"/>
            </w:pPr>
            <w:r>
              <w:t>AppCount</w:t>
            </w:r>
          </w:p>
        </w:tc>
      </w:tr>
      <w:tr w:rsidR="005F78FC" w:rsidTr="005F78FC">
        <w:tc>
          <w:tcPr>
            <w:tcW w:w="0" w:type="auto"/>
            <w:vAlign w:val="center"/>
          </w:tcPr>
          <w:p w:rsidR="005F78FC" w:rsidRDefault="00B42EF3">
            <w:pPr>
              <w:pStyle w:val="TableBodyText"/>
            </w:pPr>
            <w:r>
              <w:t>AppGetNames</w:t>
            </w:r>
          </w:p>
        </w:tc>
      </w:tr>
      <w:tr w:rsidR="005F78FC" w:rsidTr="005F78FC">
        <w:tc>
          <w:tcPr>
            <w:tcW w:w="0" w:type="auto"/>
            <w:vAlign w:val="center"/>
          </w:tcPr>
          <w:p w:rsidR="005F78FC" w:rsidRDefault="00B42EF3">
            <w:pPr>
              <w:pStyle w:val="TableBodyText"/>
            </w:pPr>
            <w:r>
              <w:t>AppHide</w:t>
            </w:r>
          </w:p>
        </w:tc>
      </w:tr>
      <w:tr w:rsidR="005F78FC" w:rsidTr="005F78FC">
        <w:tc>
          <w:tcPr>
            <w:tcW w:w="0" w:type="auto"/>
            <w:vAlign w:val="center"/>
          </w:tcPr>
          <w:p w:rsidR="005F78FC" w:rsidRDefault="00B42EF3">
            <w:pPr>
              <w:pStyle w:val="TableBodyText"/>
            </w:pPr>
            <w:r>
              <w:t>AppIsRunning</w:t>
            </w:r>
          </w:p>
        </w:tc>
      </w:tr>
      <w:tr w:rsidR="005F78FC" w:rsidTr="005F78FC">
        <w:tc>
          <w:tcPr>
            <w:tcW w:w="0" w:type="auto"/>
            <w:vAlign w:val="center"/>
          </w:tcPr>
          <w:p w:rsidR="005F78FC" w:rsidRDefault="00B42EF3">
            <w:pPr>
              <w:pStyle w:val="TableBodyText"/>
            </w:pPr>
            <w:r>
              <w:t>AppMaximize</w:t>
            </w:r>
          </w:p>
        </w:tc>
      </w:tr>
      <w:tr w:rsidR="005F78FC" w:rsidTr="005F78FC">
        <w:tc>
          <w:tcPr>
            <w:tcW w:w="0" w:type="auto"/>
            <w:vAlign w:val="center"/>
          </w:tcPr>
          <w:p w:rsidR="005F78FC" w:rsidRDefault="00B42EF3">
            <w:pPr>
              <w:pStyle w:val="TableBodyText"/>
            </w:pPr>
            <w:r>
              <w:t>AppMinimize</w:t>
            </w:r>
          </w:p>
        </w:tc>
      </w:tr>
      <w:tr w:rsidR="005F78FC" w:rsidTr="005F78FC">
        <w:tc>
          <w:tcPr>
            <w:tcW w:w="0" w:type="auto"/>
            <w:vAlign w:val="center"/>
          </w:tcPr>
          <w:p w:rsidR="005F78FC" w:rsidRDefault="00B42EF3">
            <w:pPr>
              <w:pStyle w:val="TableBodyText"/>
            </w:pPr>
            <w:r>
              <w:t>AppMove</w:t>
            </w:r>
          </w:p>
        </w:tc>
      </w:tr>
      <w:tr w:rsidR="005F78FC" w:rsidTr="005F78FC">
        <w:tc>
          <w:tcPr>
            <w:tcW w:w="0" w:type="auto"/>
            <w:vAlign w:val="center"/>
          </w:tcPr>
          <w:p w:rsidR="005F78FC" w:rsidRDefault="00B42EF3">
            <w:pPr>
              <w:pStyle w:val="TableBodyText"/>
            </w:pPr>
            <w:r>
              <w:t>AppRestore</w:t>
            </w:r>
          </w:p>
        </w:tc>
      </w:tr>
      <w:tr w:rsidR="005F78FC" w:rsidTr="005F78FC">
        <w:tc>
          <w:tcPr>
            <w:tcW w:w="0" w:type="auto"/>
            <w:vAlign w:val="center"/>
          </w:tcPr>
          <w:p w:rsidR="005F78FC" w:rsidRDefault="00B42EF3">
            <w:pPr>
              <w:pStyle w:val="TableBodyText"/>
            </w:pPr>
            <w:r>
              <w:t>AppSendMessage</w:t>
            </w:r>
          </w:p>
        </w:tc>
      </w:tr>
      <w:tr w:rsidR="005F78FC" w:rsidTr="005F78FC">
        <w:tc>
          <w:tcPr>
            <w:tcW w:w="0" w:type="auto"/>
            <w:vAlign w:val="center"/>
          </w:tcPr>
          <w:p w:rsidR="005F78FC" w:rsidRDefault="00B42EF3">
            <w:pPr>
              <w:pStyle w:val="TableBodyText"/>
            </w:pPr>
            <w:r>
              <w:t>AppShow</w:t>
            </w:r>
          </w:p>
        </w:tc>
      </w:tr>
      <w:tr w:rsidR="005F78FC" w:rsidTr="005F78FC">
        <w:tc>
          <w:tcPr>
            <w:tcW w:w="0" w:type="auto"/>
            <w:vAlign w:val="center"/>
          </w:tcPr>
          <w:p w:rsidR="005F78FC" w:rsidRDefault="00B42EF3">
            <w:pPr>
              <w:pStyle w:val="TableBodyText"/>
            </w:pPr>
            <w:r>
              <w:t>AppSize</w:t>
            </w:r>
          </w:p>
        </w:tc>
      </w:tr>
      <w:tr w:rsidR="005F78FC" w:rsidTr="005F78FC">
        <w:tc>
          <w:tcPr>
            <w:tcW w:w="0" w:type="auto"/>
            <w:vAlign w:val="center"/>
          </w:tcPr>
          <w:p w:rsidR="005F78FC" w:rsidRDefault="00B42EF3">
            <w:pPr>
              <w:pStyle w:val="TableBodyText"/>
            </w:pPr>
            <w:r>
              <w:t>AppWindowHeight</w:t>
            </w:r>
          </w:p>
        </w:tc>
      </w:tr>
      <w:tr w:rsidR="005F78FC" w:rsidTr="005F78FC">
        <w:tc>
          <w:tcPr>
            <w:tcW w:w="0" w:type="auto"/>
            <w:vAlign w:val="center"/>
          </w:tcPr>
          <w:p w:rsidR="005F78FC" w:rsidRDefault="00B42EF3">
            <w:pPr>
              <w:pStyle w:val="TableBodyText"/>
            </w:pPr>
            <w:r>
              <w:t>AppWindowPosLeft</w:t>
            </w:r>
          </w:p>
        </w:tc>
      </w:tr>
      <w:tr w:rsidR="005F78FC" w:rsidTr="005F78FC">
        <w:tc>
          <w:tcPr>
            <w:tcW w:w="0" w:type="auto"/>
            <w:vAlign w:val="center"/>
          </w:tcPr>
          <w:p w:rsidR="005F78FC" w:rsidRDefault="00B42EF3">
            <w:pPr>
              <w:pStyle w:val="TableBodyText"/>
            </w:pPr>
            <w:r>
              <w:t>AppWindowPosTop</w:t>
            </w:r>
          </w:p>
        </w:tc>
      </w:tr>
      <w:tr w:rsidR="005F78FC" w:rsidTr="005F78FC">
        <w:tc>
          <w:tcPr>
            <w:tcW w:w="0" w:type="auto"/>
            <w:vAlign w:val="center"/>
          </w:tcPr>
          <w:p w:rsidR="005F78FC" w:rsidRDefault="00B42EF3">
            <w:pPr>
              <w:pStyle w:val="TableBodyText"/>
            </w:pPr>
            <w:r>
              <w:t>AppWindowWidth</w:t>
            </w:r>
          </w:p>
        </w:tc>
      </w:tr>
      <w:tr w:rsidR="005F78FC" w:rsidTr="005F78FC">
        <w:tc>
          <w:tcPr>
            <w:tcW w:w="0" w:type="auto"/>
            <w:vAlign w:val="center"/>
          </w:tcPr>
          <w:p w:rsidR="005F78FC" w:rsidRDefault="00B42EF3">
            <w:pPr>
              <w:pStyle w:val="TableBodyText"/>
            </w:pPr>
            <w:r>
              <w:t>Asc</w:t>
            </w:r>
          </w:p>
        </w:tc>
      </w:tr>
      <w:tr w:rsidR="005F78FC" w:rsidTr="005F78FC">
        <w:tc>
          <w:tcPr>
            <w:tcW w:w="0" w:type="auto"/>
            <w:vAlign w:val="center"/>
          </w:tcPr>
          <w:p w:rsidR="005F78FC" w:rsidRDefault="00B42EF3">
            <w:pPr>
              <w:pStyle w:val="TableBodyText"/>
            </w:pPr>
            <w:r>
              <w:t>AssertOutput</w:t>
            </w:r>
          </w:p>
        </w:tc>
      </w:tr>
      <w:tr w:rsidR="005F78FC" w:rsidTr="005F78FC">
        <w:tc>
          <w:tcPr>
            <w:tcW w:w="0" w:type="auto"/>
            <w:vAlign w:val="center"/>
          </w:tcPr>
          <w:p w:rsidR="005F78FC" w:rsidRDefault="00B42EF3">
            <w:pPr>
              <w:pStyle w:val="TableBodyText"/>
            </w:pPr>
            <w:r>
              <w:t>AtEndOfDocument</w:t>
            </w:r>
          </w:p>
        </w:tc>
      </w:tr>
      <w:tr w:rsidR="005F78FC" w:rsidTr="005F78FC">
        <w:tc>
          <w:tcPr>
            <w:tcW w:w="0" w:type="auto"/>
            <w:vAlign w:val="center"/>
          </w:tcPr>
          <w:p w:rsidR="005F78FC" w:rsidRDefault="00B42EF3">
            <w:pPr>
              <w:pStyle w:val="TableBodyText"/>
            </w:pPr>
            <w:r>
              <w:t>AtStartOfDocument</w:t>
            </w:r>
          </w:p>
        </w:tc>
      </w:tr>
      <w:tr w:rsidR="005F78FC" w:rsidTr="005F78FC">
        <w:tc>
          <w:tcPr>
            <w:tcW w:w="0" w:type="auto"/>
            <w:vAlign w:val="center"/>
          </w:tcPr>
          <w:p w:rsidR="005F78FC" w:rsidRDefault="00B42EF3">
            <w:pPr>
              <w:pStyle w:val="TableBodyText"/>
            </w:pPr>
            <w:r>
              <w:t>AutoMarkIndexEntries</w:t>
            </w:r>
          </w:p>
        </w:tc>
      </w:tr>
      <w:tr w:rsidR="005F78FC" w:rsidTr="005F78FC">
        <w:tc>
          <w:tcPr>
            <w:tcW w:w="0" w:type="auto"/>
            <w:vAlign w:val="center"/>
          </w:tcPr>
          <w:p w:rsidR="005F78FC" w:rsidRDefault="00B42EF3">
            <w:pPr>
              <w:pStyle w:val="TableBodyText"/>
            </w:pPr>
            <w:r>
              <w:t>BatchMode</w:t>
            </w:r>
          </w:p>
        </w:tc>
      </w:tr>
      <w:tr w:rsidR="005F78FC" w:rsidTr="005F78FC">
        <w:tc>
          <w:tcPr>
            <w:tcW w:w="0" w:type="auto"/>
            <w:vAlign w:val="center"/>
          </w:tcPr>
          <w:p w:rsidR="005F78FC" w:rsidRDefault="00B42EF3">
            <w:pPr>
              <w:pStyle w:val="TableBodyText"/>
            </w:pPr>
            <w:r>
              <w:t>Beep</w:t>
            </w:r>
          </w:p>
        </w:tc>
      </w:tr>
      <w:tr w:rsidR="005F78FC" w:rsidTr="005F78FC">
        <w:tc>
          <w:tcPr>
            <w:tcW w:w="0" w:type="auto"/>
            <w:vAlign w:val="center"/>
          </w:tcPr>
          <w:p w:rsidR="005F78FC" w:rsidRDefault="00B42EF3">
            <w:pPr>
              <w:pStyle w:val="TableBodyText"/>
            </w:pPr>
            <w:r>
              <w:lastRenderedPageBreak/>
              <w:t>Bold</w:t>
            </w:r>
          </w:p>
        </w:tc>
      </w:tr>
      <w:tr w:rsidR="005F78FC" w:rsidTr="005F78FC">
        <w:tc>
          <w:tcPr>
            <w:tcW w:w="0" w:type="auto"/>
            <w:vAlign w:val="center"/>
          </w:tcPr>
          <w:p w:rsidR="005F78FC" w:rsidRDefault="00B42EF3">
            <w:pPr>
              <w:pStyle w:val="TableBodyText"/>
            </w:pPr>
            <w:r>
              <w:t>BoldRun</w:t>
            </w:r>
          </w:p>
        </w:tc>
      </w:tr>
      <w:tr w:rsidR="005F78FC" w:rsidTr="005F78FC">
        <w:tc>
          <w:tcPr>
            <w:tcW w:w="0" w:type="auto"/>
            <w:vAlign w:val="center"/>
          </w:tcPr>
          <w:p w:rsidR="005F78FC" w:rsidRDefault="00B42EF3">
            <w:pPr>
              <w:pStyle w:val="TableBodyText"/>
            </w:pPr>
            <w:r>
              <w:t>BorderAll</w:t>
            </w:r>
          </w:p>
        </w:tc>
      </w:tr>
      <w:tr w:rsidR="005F78FC" w:rsidTr="005F78FC">
        <w:tc>
          <w:tcPr>
            <w:tcW w:w="0" w:type="auto"/>
            <w:vAlign w:val="center"/>
          </w:tcPr>
          <w:p w:rsidR="005F78FC" w:rsidRDefault="00B42EF3">
            <w:pPr>
              <w:pStyle w:val="TableBodyText"/>
            </w:pPr>
            <w:r>
              <w:t>BorderBottom</w:t>
            </w:r>
          </w:p>
        </w:tc>
      </w:tr>
      <w:tr w:rsidR="005F78FC" w:rsidTr="005F78FC">
        <w:tc>
          <w:tcPr>
            <w:tcW w:w="0" w:type="auto"/>
            <w:vAlign w:val="center"/>
          </w:tcPr>
          <w:p w:rsidR="005F78FC" w:rsidRDefault="00B42EF3">
            <w:pPr>
              <w:pStyle w:val="TableBodyText"/>
            </w:pPr>
            <w:r>
              <w:t>BorderInside</w:t>
            </w:r>
          </w:p>
        </w:tc>
      </w:tr>
      <w:tr w:rsidR="005F78FC" w:rsidTr="005F78FC">
        <w:tc>
          <w:tcPr>
            <w:tcW w:w="0" w:type="auto"/>
            <w:vAlign w:val="center"/>
          </w:tcPr>
          <w:p w:rsidR="005F78FC" w:rsidRDefault="00B42EF3">
            <w:pPr>
              <w:pStyle w:val="TableBodyText"/>
            </w:pPr>
            <w:r>
              <w:t>BorderLeft</w:t>
            </w:r>
          </w:p>
        </w:tc>
      </w:tr>
      <w:tr w:rsidR="005F78FC" w:rsidTr="005F78FC">
        <w:tc>
          <w:tcPr>
            <w:tcW w:w="0" w:type="auto"/>
            <w:vAlign w:val="center"/>
          </w:tcPr>
          <w:p w:rsidR="005F78FC" w:rsidRDefault="00B42EF3">
            <w:pPr>
              <w:pStyle w:val="TableBodyText"/>
            </w:pPr>
            <w:r>
              <w:t>BorderLineStyle</w:t>
            </w:r>
          </w:p>
        </w:tc>
      </w:tr>
      <w:tr w:rsidR="005F78FC" w:rsidTr="005F78FC">
        <w:tc>
          <w:tcPr>
            <w:tcW w:w="0" w:type="auto"/>
            <w:vAlign w:val="center"/>
          </w:tcPr>
          <w:p w:rsidR="005F78FC" w:rsidRDefault="00B42EF3">
            <w:pPr>
              <w:pStyle w:val="TableBodyText"/>
            </w:pPr>
            <w:r>
              <w:t>BorderLineWeight</w:t>
            </w:r>
          </w:p>
        </w:tc>
      </w:tr>
      <w:tr w:rsidR="005F78FC" w:rsidTr="005F78FC">
        <w:tc>
          <w:tcPr>
            <w:tcW w:w="0" w:type="auto"/>
            <w:vAlign w:val="center"/>
          </w:tcPr>
          <w:p w:rsidR="005F78FC" w:rsidRDefault="00B42EF3">
            <w:pPr>
              <w:pStyle w:val="TableBodyText"/>
            </w:pPr>
            <w:r>
              <w:t>BorderNone</w:t>
            </w:r>
          </w:p>
        </w:tc>
      </w:tr>
      <w:tr w:rsidR="005F78FC" w:rsidTr="005F78FC">
        <w:tc>
          <w:tcPr>
            <w:tcW w:w="0" w:type="auto"/>
            <w:vAlign w:val="center"/>
          </w:tcPr>
          <w:p w:rsidR="005F78FC" w:rsidRDefault="00B42EF3">
            <w:pPr>
              <w:pStyle w:val="TableBodyText"/>
            </w:pPr>
            <w:r>
              <w:t>BorderOutside</w:t>
            </w:r>
          </w:p>
        </w:tc>
      </w:tr>
      <w:tr w:rsidR="005F78FC" w:rsidTr="005F78FC">
        <w:tc>
          <w:tcPr>
            <w:tcW w:w="0" w:type="auto"/>
            <w:vAlign w:val="center"/>
          </w:tcPr>
          <w:p w:rsidR="005F78FC" w:rsidRDefault="00B42EF3">
            <w:pPr>
              <w:pStyle w:val="TableBodyText"/>
            </w:pPr>
            <w:r>
              <w:t>BorderRight</w:t>
            </w:r>
          </w:p>
        </w:tc>
      </w:tr>
      <w:tr w:rsidR="005F78FC" w:rsidTr="005F78FC">
        <w:tc>
          <w:tcPr>
            <w:tcW w:w="0" w:type="auto"/>
            <w:vAlign w:val="center"/>
          </w:tcPr>
          <w:p w:rsidR="005F78FC" w:rsidRDefault="00B42EF3">
            <w:pPr>
              <w:pStyle w:val="TableBodyText"/>
            </w:pPr>
            <w:r>
              <w:t>BorderTLtoBR</w:t>
            </w:r>
          </w:p>
        </w:tc>
      </w:tr>
      <w:tr w:rsidR="005F78FC" w:rsidTr="005F78FC">
        <w:tc>
          <w:tcPr>
            <w:tcW w:w="0" w:type="auto"/>
            <w:vAlign w:val="center"/>
          </w:tcPr>
          <w:p w:rsidR="005F78FC" w:rsidRDefault="00B42EF3">
            <w:pPr>
              <w:pStyle w:val="TableBodyText"/>
            </w:pPr>
            <w:r>
              <w:t>BorderTRtoBL</w:t>
            </w:r>
          </w:p>
        </w:tc>
      </w:tr>
      <w:tr w:rsidR="005F78FC" w:rsidTr="005F78FC">
        <w:tc>
          <w:tcPr>
            <w:tcW w:w="0" w:type="auto"/>
            <w:vAlign w:val="center"/>
          </w:tcPr>
          <w:p w:rsidR="005F78FC" w:rsidRDefault="00B42EF3">
            <w:pPr>
              <w:pStyle w:val="TableBodyText"/>
            </w:pPr>
            <w:r>
              <w:t>BorderTop</w:t>
            </w:r>
          </w:p>
        </w:tc>
      </w:tr>
      <w:tr w:rsidR="005F78FC" w:rsidTr="005F78FC">
        <w:tc>
          <w:tcPr>
            <w:tcW w:w="0" w:type="auto"/>
            <w:vAlign w:val="center"/>
          </w:tcPr>
          <w:p w:rsidR="005F78FC" w:rsidRDefault="00B42EF3">
            <w:pPr>
              <w:pStyle w:val="TableBodyText"/>
            </w:pPr>
            <w:r>
              <w:t>BytePos</w:t>
            </w:r>
          </w:p>
        </w:tc>
      </w:tr>
      <w:tr w:rsidR="005F78FC" w:rsidTr="005F78FC">
        <w:tc>
          <w:tcPr>
            <w:tcW w:w="0" w:type="auto"/>
            <w:vAlign w:val="center"/>
          </w:tcPr>
          <w:p w:rsidR="005F78FC" w:rsidRDefault="00B42EF3">
            <w:pPr>
              <w:pStyle w:val="TableBodyText"/>
            </w:pPr>
            <w:r>
              <w:t>CInsertDateField</w:t>
            </w:r>
          </w:p>
        </w:tc>
      </w:tr>
      <w:tr w:rsidR="005F78FC" w:rsidTr="005F78FC">
        <w:tc>
          <w:tcPr>
            <w:tcW w:w="0" w:type="auto"/>
            <w:vAlign w:val="center"/>
          </w:tcPr>
          <w:p w:rsidR="005F78FC" w:rsidRDefault="00B42EF3">
            <w:pPr>
              <w:pStyle w:val="TableBodyText"/>
            </w:pPr>
            <w:r>
              <w:t>CInsertTimeField</w:t>
            </w:r>
          </w:p>
        </w:tc>
      </w:tr>
      <w:tr w:rsidR="005F78FC" w:rsidTr="005F78FC">
        <w:tc>
          <w:tcPr>
            <w:tcW w:w="0" w:type="auto"/>
            <w:vAlign w:val="center"/>
          </w:tcPr>
          <w:p w:rsidR="005F78FC" w:rsidRDefault="00B42EF3">
            <w:pPr>
              <w:pStyle w:val="TableBodyText"/>
            </w:pPr>
            <w:r>
              <w:t>CancelButton</w:t>
            </w:r>
          </w:p>
        </w:tc>
      </w:tr>
      <w:tr w:rsidR="005F78FC" w:rsidTr="005F78FC">
        <w:tc>
          <w:tcPr>
            <w:tcW w:w="0" w:type="auto"/>
            <w:vAlign w:val="center"/>
          </w:tcPr>
          <w:p w:rsidR="005F78FC" w:rsidRDefault="00B42EF3">
            <w:pPr>
              <w:pStyle w:val="TableBodyText"/>
            </w:pPr>
            <w:r>
              <w:t>CenterPara</w:t>
            </w:r>
          </w:p>
        </w:tc>
      </w:tr>
      <w:tr w:rsidR="005F78FC" w:rsidTr="005F78FC">
        <w:tc>
          <w:tcPr>
            <w:tcW w:w="0" w:type="auto"/>
            <w:vAlign w:val="center"/>
          </w:tcPr>
          <w:p w:rsidR="005F78FC" w:rsidRDefault="00B42EF3">
            <w:pPr>
              <w:pStyle w:val="TableBodyText"/>
            </w:pPr>
            <w:r>
              <w:t>ChDefaultDir</w:t>
            </w:r>
          </w:p>
        </w:tc>
      </w:tr>
      <w:tr w:rsidR="005F78FC" w:rsidTr="005F78FC">
        <w:tc>
          <w:tcPr>
            <w:tcW w:w="0" w:type="auto"/>
            <w:vAlign w:val="center"/>
          </w:tcPr>
          <w:p w:rsidR="005F78FC" w:rsidRDefault="00B42EF3">
            <w:pPr>
              <w:pStyle w:val="TableBodyText"/>
            </w:pPr>
            <w:r>
              <w:t>ChDir</w:t>
            </w:r>
          </w:p>
        </w:tc>
      </w:tr>
      <w:tr w:rsidR="005F78FC" w:rsidTr="005F78FC">
        <w:tc>
          <w:tcPr>
            <w:tcW w:w="0" w:type="auto"/>
            <w:vAlign w:val="center"/>
          </w:tcPr>
          <w:p w:rsidR="005F78FC" w:rsidRDefault="00B42EF3">
            <w:pPr>
              <w:pStyle w:val="TableBodyText"/>
            </w:pPr>
            <w:r>
              <w:t>ChangeByte</w:t>
            </w:r>
          </w:p>
        </w:tc>
      </w:tr>
      <w:tr w:rsidR="005F78FC" w:rsidTr="005F78FC">
        <w:tc>
          <w:tcPr>
            <w:tcW w:w="0" w:type="auto"/>
            <w:vAlign w:val="center"/>
          </w:tcPr>
          <w:p w:rsidR="005F78FC" w:rsidRDefault="00B42EF3">
            <w:pPr>
              <w:pStyle w:val="TableBodyText"/>
            </w:pPr>
            <w:r>
              <w:t>ChangeCase</w:t>
            </w:r>
          </w:p>
        </w:tc>
      </w:tr>
      <w:tr w:rsidR="005F78FC" w:rsidTr="005F78FC">
        <w:tc>
          <w:tcPr>
            <w:tcW w:w="0" w:type="auto"/>
            <w:vAlign w:val="center"/>
          </w:tcPr>
          <w:p w:rsidR="005F78FC" w:rsidRDefault="00B42EF3">
            <w:pPr>
              <w:pStyle w:val="TableBodyText"/>
            </w:pPr>
            <w:r>
              <w:t>ChangeKana</w:t>
            </w:r>
          </w:p>
        </w:tc>
      </w:tr>
      <w:tr w:rsidR="005F78FC" w:rsidTr="005F78FC">
        <w:tc>
          <w:tcPr>
            <w:tcW w:w="0" w:type="auto"/>
            <w:vAlign w:val="center"/>
          </w:tcPr>
          <w:p w:rsidR="005F78FC" w:rsidRDefault="00B42EF3">
            <w:pPr>
              <w:pStyle w:val="TableBodyText"/>
            </w:pPr>
            <w:r>
              <w:t>CharColor</w:t>
            </w:r>
          </w:p>
        </w:tc>
      </w:tr>
      <w:tr w:rsidR="005F78FC" w:rsidTr="005F78FC">
        <w:tc>
          <w:tcPr>
            <w:tcW w:w="0" w:type="auto"/>
            <w:vAlign w:val="center"/>
          </w:tcPr>
          <w:p w:rsidR="005F78FC" w:rsidRDefault="00B42EF3">
            <w:pPr>
              <w:pStyle w:val="TableBodyText"/>
            </w:pPr>
            <w:r>
              <w:t>CharColorRGB</w:t>
            </w:r>
          </w:p>
        </w:tc>
      </w:tr>
      <w:tr w:rsidR="005F78FC" w:rsidTr="005F78FC">
        <w:tc>
          <w:tcPr>
            <w:tcW w:w="0" w:type="auto"/>
            <w:vAlign w:val="center"/>
          </w:tcPr>
          <w:p w:rsidR="005F78FC" w:rsidRDefault="00B42EF3">
            <w:pPr>
              <w:pStyle w:val="TableBodyText"/>
            </w:pPr>
            <w:r>
              <w:t>CharLeft</w:t>
            </w:r>
          </w:p>
        </w:tc>
      </w:tr>
      <w:tr w:rsidR="005F78FC" w:rsidTr="005F78FC">
        <w:tc>
          <w:tcPr>
            <w:tcW w:w="0" w:type="auto"/>
            <w:vAlign w:val="center"/>
          </w:tcPr>
          <w:p w:rsidR="005F78FC" w:rsidRDefault="00B42EF3">
            <w:pPr>
              <w:pStyle w:val="TableBodyText"/>
            </w:pPr>
            <w:r>
              <w:t>CharRight</w:t>
            </w:r>
          </w:p>
        </w:tc>
      </w:tr>
      <w:tr w:rsidR="005F78FC" w:rsidTr="005F78FC">
        <w:tc>
          <w:tcPr>
            <w:tcW w:w="0" w:type="auto"/>
            <w:vAlign w:val="center"/>
          </w:tcPr>
          <w:p w:rsidR="005F78FC" w:rsidRDefault="00B42EF3">
            <w:pPr>
              <w:pStyle w:val="TableBodyText"/>
            </w:pPr>
            <w:r>
              <w:t>CharScale</w:t>
            </w:r>
          </w:p>
        </w:tc>
      </w:tr>
      <w:tr w:rsidR="005F78FC" w:rsidTr="005F78FC">
        <w:tc>
          <w:tcPr>
            <w:tcW w:w="0" w:type="auto"/>
            <w:vAlign w:val="center"/>
          </w:tcPr>
          <w:p w:rsidR="005F78FC" w:rsidRDefault="00B42EF3">
            <w:pPr>
              <w:pStyle w:val="TableBodyText"/>
            </w:pPr>
            <w:r>
              <w:t>CheckBox</w:t>
            </w:r>
          </w:p>
        </w:tc>
      </w:tr>
      <w:tr w:rsidR="005F78FC" w:rsidTr="005F78FC">
        <w:tc>
          <w:tcPr>
            <w:tcW w:w="0" w:type="auto"/>
            <w:vAlign w:val="center"/>
          </w:tcPr>
          <w:p w:rsidR="005F78FC" w:rsidRDefault="00B42EF3">
            <w:pPr>
              <w:pStyle w:val="TableBodyText"/>
            </w:pPr>
            <w:r>
              <w:t>ClearAddIns</w:t>
            </w:r>
          </w:p>
        </w:tc>
      </w:tr>
      <w:tr w:rsidR="005F78FC" w:rsidTr="005F78FC">
        <w:tc>
          <w:tcPr>
            <w:tcW w:w="0" w:type="auto"/>
            <w:vAlign w:val="center"/>
          </w:tcPr>
          <w:p w:rsidR="005F78FC" w:rsidRDefault="00B42EF3">
            <w:pPr>
              <w:pStyle w:val="TableBodyText"/>
            </w:pPr>
            <w:r>
              <w:t>CloseUpPara</w:t>
            </w:r>
          </w:p>
        </w:tc>
      </w:tr>
      <w:tr w:rsidR="005F78FC" w:rsidTr="005F78FC">
        <w:tc>
          <w:tcPr>
            <w:tcW w:w="0" w:type="auto"/>
            <w:vAlign w:val="center"/>
          </w:tcPr>
          <w:p w:rsidR="005F78FC" w:rsidRDefault="00B42EF3">
            <w:pPr>
              <w:pStyle w:val="TableBodyText"/>
            </w:pPr>
            <w:r>
              <w:lastRenderedPageBreak/>
              <w:t>CmpBookmarks</w:t>
            </w:r>
          </w:p>
        </w:tc>
      </w:tr>
      <w:tr w:rsidR="005F78FC" w:rsidTr="005F78FC">
        <w:tc>
          <w:tcPr>
            <w:tcW w:w="0" w:type="auto"/>
            <w:vAlign w:val="center"/>
          </w:tcPr>
          <w:p w:rsidR="005F78FC" w:rsidRDefault="00B42EF3">
            <w:pPr>
              <w:pStyle w:val="TableBodyText"/>
            </w:pPr>
            <w:r>
              <w:t>ColumnSelect</w:t>
            </w:r>
          </w:p>
        </w:tc>
      </w:tr>
      <w:tr w:rsidR="005F78FC" w:rsidTr="005F78FC">
        <w:tc>
          <w:tcPr>
            <w:tcW w:w="0" w:type="auto"/>
            <w:vAlign w:val="center"/>
          </w:tcPr>
          <w:p w:rsidR="005F78FC" w:rsidRDefault="00B42EF3">
            <w:pPr>
              <w:pStyle w:val="TableBodyText"/>
            </w:pPr>
            <w:r>
              <w:t>ComboBox</w:t>
            </w:r>
          </w:p>
        </w:tc>
      </w:tr>
      <w:tr w:rsidR="005F78FC" w:rsidTr="005F78FC">
        <w:tc>
          <w:tcPr>
            <w:tcW w:w="0" w:type="auto"/>
            <w:vAlign w:val="center"/>
          </w:tcPr>
          <w:p w:rsidR="005F78FC" w:rsidRDefault="00B42EF3">
            <w:pPr>
              <w:pStyle w:val="TableBodyText"/>
            </w:pPr>
            <w:r>
              <w:t>CommaAccent</w:t>
            </w:r>
          </w:p>
        </w:tc>
      </w:tr>
      <w:tr w:rsidR="005F78FC" w:rsidTr="005F78FC">
        <w:tc>
          <w:tcPr>
            <w:tcW w:w="0" w:type="auto"/>
            <w:vAlign w:val="center"/>
          </w:tcPr>
          <w:p w:rsidR="005F78FC" w:rsidRDefault="00B42EF3">
            <w:pPr>
              <w:pStyle w:val="TableBodyText"/>
            </w:pPr>
            <w:r>
              <w:t>CommandValid</w:t>
            </w:r>
          </w:p>
        </w:tc>
      </w:tr>
      <w:tr w:rsidR="005F78FC" w:rsidTr="005F78FC">
        <w:tc>
          <w:tcPr>
            <w:tcW w:w="0" w:type="auto"/>
            <w:vAlign w:val="center"/>
          </w:tcPr>
          <w:p w:rsidR="005F78FC" w:rsidRDefault="00B42EF3">
            <w:pPr>
              <w:pStyle w:val="TableBodyText"/>
            </w:pPr>
            <w:r>
              <w:t>ContextHelp</w:t>
            </w:r>
          </w:p>
        </w:tc>
      </w:tr>
      <w:tr w:rsidR="005F78FC" w:rsidTr="005F78FC">
        <w:tc>
          <w:tcPr>
            <w:tcW w:w="0" w:type="auto"/>
            <w:vAlign w:val="center"/>
          </w:tcPr>
          <w:p w:rsidR="005F78FC" w:rsidRDefault="00B42EF3">
            <w:pPr>
              <w:pStyle w:val="TableBodyText"/>
            </w:pPr>
            <w:r>
              <w:t>ConverterLookup</w:t>
            </w:r>
          </w:p>
        </w:tc>
      </w:tr>
      <w:tr w:rsidR="005F78FC" w:rsidTr="005F78FC">
        <w:tc>
          <w:tcPr>
            <w:tcW w:w="0" w:type="auto"/>
            <w:vAlign w:val="center"/>
          </w:tcPr>
          <w:p w:rsidR="005F78FC" w:rsidRDefault="00B42EF3">
            <w:pPr>
              <w:pStyle w:val="TableBodyText"/>
            </w:pPr>
            <w:r>
              <w:t>CopyBookmark</w:t>
            </w:r>
          </w:p>
        </w:tc>
      </w:tr>
      <w:tr w:rsidR="005F78FC" w:rsidTr="005F78FC">
        <w:tc>
          <w:tcPr>
            <w:tcW w:w="0" w:type="auto"/>
            <w:vAlign w:val="center"/>
          </w:tcPr>
          <w:p w:rsidR="005F78FC" w:rsidRDefault="00B42EF3">
            <w:pPr>
              <w:pStyle w:val="TableBodyText"/>
            </w:pPr>
            <w:r>
              <w:t>CopyButtonImage</w:t>
            </w:r>
          </w:p>
        </w:tc>
      </w:tr>
      <w:tr w:rsidR="005F78FC" w:rsidTr="005F78FC">
        <w:tc>
          <w:tcPr>
            <w:tcW w:w="0" w:type="auto"/>
            <w:vAlign w:val="center"/>
          </w:tcPr>
          <w:p w:rsidR="005F78FC" w:rsidRDefault="00B42EF3">
            <w:pPr>
              <w:pStyle w:val="TableBodyText"/>
            </w:pPr>
            <w:r>
              <w:t>CountAddIns</w:t>
            </w:r>
          </w:p>
        </w:tc>
      </w:tr>
      <w:tr w:rsidR="005F78FC" w:rsidTr="005F78FC">
        <w:tc>
          <w:tcPr>
            <w:tcW w:w="0" w:type="auto"/>
            <w:vAlign w:val="center"/>
          </w:tcPr>
          <w:p w:rsidR="005F78FC" w:rsidRDefault="00B42EF3">
            <w:pPr>
              <w:pStyle w:val="TableBodyText"/>
            </w:pPr>
            <w:r>
              <w:t>CountAutoCorrectExceptions</w:t>
            </w:r>
          </w:p>
        </w:tc>
      </w:tr>
      <w:tr w:rsidR="005F78FC" w:rsidTr="005F78FC">
        <w:tc>
          <w:tcPr>
            <w:tcW w:w="0" w:type="auto"/>
            <w:vAlign w:val="center"/>
          </w:tcPr>
          <w:p w:rsidR="005F78FC" w:rsidRDefault="00B42EF3">
            <w:pPr>
              <w:pStyle w:val="TableBodyText"/>
            </w:pPr>
            <w:r>
              <w:t>CountAutoTextEntries</w:t>
            </w:r>
          </w:p>
        </w:tc>
      </w:tr>
      <w:tr w:rsidR="005F78FC" w:rsidTr="005F78FC">
        <w:tc>
          <w:tcPr>
            <w:tcW w:w="0" w:type="auto"/>
            <w:vAlign w:val="center"/>
          </w:tcPr>
          <w:p w:rsidR="005F78FC" w:rsidRDefault="00B42EF3">
            <w:pPr>
              <w:pStyle w:val="TableBodyText"/>
            </w:pPr>
            <w:r>
              <w:t>CountBookmarks</w:t>
            </w:r>
          </w:p>
        </w:tc>
      </w:tr>
      <w:tr w:rsidR="005F78FC" w:rsidTr="005F78FC">
        <w:tc>
          <w:tcPr>
            <w:tcW w:w="0" w:type="auto"/>
            <w:vAlign w:val="center"/>
          </w:tcPr>
          <w:p w:rsidR="005F78FC" w:rsidRDefault="00B42EF3">
            <w:pPr>
              <w:pStyle w:val="TableBodyText"/>
            </w:pPr>
            <w:r>
              <w:t>CountDirectories</w:t>
            </w:r>
          </w:p>
        </w:tc>
      </w:tr>
      <w:tr w:rsidR="005F78FC" w:rsidTr="005F78FC">
        <w:tc>
          <w:tcPr>
            <w:tcW w:w="0" w:type="auto"/>
            <w:vAlign w:val="center"/>
          </w:tcPr>
          <w:p w:rsidR="005F78FC" w:rsidRDefault="00B42EF3">
            <w:pPr>
              <w:pStyle w:val="TableBodyText"/>
            </w:pPr>
            <w:r>
              <w:t>CountDocumentProperties</w:t>
            </w:r>
          </w:p>
        </w:tc>
      </w:tr>
      <w:tr w:rsidR="005F78FC" w:rsidTr="005F78FC">
        <w:tc>
          <w:tcPr>
            <w:tcW w:w="0" w:type="auto"/>
            <w:vAlign w:val="center"/>
          </w:tcPr>
          <w:p w:rsidR="005F78FC" w:rsidRDefault="00B42EF3">
            <w:pPr>
              <w:pStyle w:val="TableBodyText"/>
            </w:pPr>
            <w:r>
              <w:t>CountDocumentVars</w:t>
            </w:r>
          </w:p>
        </w:tc>
      </w:tr>
      <w:tr w:rsidR="005F78FC" w:rsidTr="005F78FC">
        <w:tc>
          <w:tcPr>
            <w:tcW w:w="0" w:type="auto"/>
            <w:vAlign w:val="center"/>
          </w:tcPr>
          <w:p w:rsidR="005F78FC" w:rsidRDefault="00B42EF3">
            <w:pPr>
              <w:pStyle w:val="TableBodyText"/>
            </w:pPr>
            <w:r>
              <w:t>CountFiles</w:t>
            </w:r>
          </w:p>
        </w:tc>
      </w:tr>
      <w:tr w:rsidR="005F78FC" w:rsidTr="005F78FC">
        <w:tc>
          <w:tcPr>
            <w:tcW w:w="0" w:type="auto"/>
            <w:vAlign w:val="center"/>
          </w:tcPr>
          <w:p w:rsidR="005F78FC" w:rsidRDefault="00B42EF3">
            <w:pPr>
              <w:pStyle w:val="TableBodyText"/>
            </w:pPr>
            <w:r>
              <w:t>CountFonts</w:t>
            </w:r>
          </w:p>
        </w:tc>
      </w:tr>
      <w:tr w:rsidR="005F78FC" w:rsidTr="005F78FC">
        <w:tc>
          <w:tcPr>
            <w:tcW w:w="0" w:type="auto"/>
            <w:vAlign w:val="center"/>
          </w:tcPr>
          <w:p w:rsidR="005F78FC" w:rsidRDefault="00B42EF3">
            <w:pPr>
              <w:pStyle w:val="TableBodyText"/>
            </w:pPr>
            <w:r>
              <w:t>CountFoundFiles</w:t>
            </w:r>
          </w:p>
        </w:tc>
      </w:tr>
      <w:tr w:rsidR="005F78FC" w:rsidTr="005F78FC">
        <w:tc>
          <w:tcPr>
            <w:tcW w:w="0" w:type="auto"/>
            <w:vAlign w:val="center"/>
          </w:tcPr>
          <w:p w:rsidR="005F78FC" w:rsidRDefault="00B42EF3">
            <w:pPr>
              <w:pStyle w:val="TableBodyText"/>
            </w:pPr>
            <w:r>
              <w:t>CountKeys</w:t>
            </w:r>
          </w:p>
        </w:tc>
      </w:tr>
      <w:tr w:rsidR="005F78FC" w:rsidTr="005F78FC">
        <w:tc>
          <w:tcPr>
            <w:tcW w:w="0" w:type="auto"/>
            <w:vAlign w:val="center"/>
          </w:tcPr>
          <w:p w:rsidR="005F78FC" w:rsidRDefault="00B42EF3">
            <w:pPr>
              <w:pStyle w:val="TableBodyText"/>
            </w:pPr>
            <w:r>
              <w:t>CountLanguages</w:t>
            </w:r>
          </w:p>
        </w:tc>
      </w:tr>
      <w:tr w:rsidR="005F78FC" w:rsidTr="005F78FC">
        <w:tc>
          <w:tcPr>
            <w:tcW w:w="0" w:type="auto"/>
            <w:vAlign w:val="center"/>
          </w:tcPr>
          <w:p w:rsidR="005F78FC" w:rsidRDefault="00B42EF3">
            <w:pPr>
              <w:pStyle w:val="TableBodyText"/>
            </w:pPr>
            <w:r>
              <w:t>CountMacros</w:t>
            </w:r>
          </w:p>
        </w:tc>
      </w:tr>
      <w:tr w:rsidR="005F78FC" w:rsidTr="005F78FC">
        <w:tc>
          <w:tcPr>
            <w:tcW w:w="0" w:type="auto"/>
            <w:vAlign w:val="center"/>
          </w:tcPr>
          <w:p w:rsidR="005F78FC" w:rsidRDefault="00B42EF3">
            <w:pPr>
              <w:pStyle w:val="TableBodyText"/>
            </w:pPr>
            <w:r>
              <w:t>CountMenuItems</w:t>
            </w:r>
          </w:p>
        </w:tc>
      </w:tr>
      <w:tr w:rsidR="005F78FC" w:rsidTr="005F78FC">
        <w:tc>
          <w:tcPr>
            <w:tcW w:w="0" w:type="auto"/>
            <w:vAlign w:val="center"/>
          </w:tcPr>
          <w:p w:rsidR="005F78FC" w:rsidRDefault="00B42EF3">
            <w:pPr>
              <w:pStyle w:val="TableBodyText"/>
            </w:pPr>
            <w:r>
              <w:t>CountMenus</w:t>
            </w:r>
          </w:p>
        </w:tc>
      </w:tr>
      <w:tr w:rsidR="005F78FC" w:rsidTr="005F78FC">
        <w:tc>
          <w:tcPr>
            <w:tcW w:w="0" w:type="auto"/>
            <w:vAlign w:val="center"/>
          </w:tcPr>
          <w:p w:rsidR="005F78FC" w:rsidRDefault="00B42EF3">
            <w:pPr>
              <w:pStyle w:val="TableBodyText"/>
            </w:pPr>
            <w:r>
              <w:t>CountMergeFields</w:t>
            </w:r>
          </w:p>
        </w:tc>
      </w:tr>
      <w:tr w:rsidR="005F78FC" w:rsidTr="005F78FC">
        <w:tc>
          <w:tcPr>
            <w:tcW w:w="0" w:type="auto"/>
            <w:vAlign w:val="center"/>
          </w:tcPr>
          <w:p w:rsidR="005F78FC" w:rsidRDefault="00B42EF3">
            <w:pPr>
              <w:pStyle w:val="TableBodyText"/>
            </w:pPr>
            <w:r>
              <w:t>CountSdAlloc</w:t>
            </w:r>
          </w:p>
        </w:tc>
      </w:tr>
      <w:tr w:rsidR="005F78FC" w:rsidTr="005F78FC">
        <w:tc>
          <w:tcPr>
            <w:tcW w:w="0" w:type="auto"/>
            <w:vAlign w:val="center"/>
          </w:tcPr>
          <w:p w:rsidR="005F78FC" w:rsidRDefault="00B42EF3">
            <w:pPr>
              <w:pStyle w:val="TableBodyText"/>
            </w:pPr>
            <w:r>
              <w:t>CountStyles</w:t>
            </w:r>
          </w:p>
        </w:tc>
      </w:tr>
      <w:tr w:rsidR="005F78FC" w:rsidTr="005F78FC">
        <w:tc>
          <w:tcPr>
            <w:tcW w:w="0" w:type="auto"/>
            <w:vAlign w:val="center"/>
          </w:tcPr>
          <w:p w:rsidR="005F78FC" w:rsidRDefault="00B42EF3">
            <w:pPr>
              <w:pStyle w:val="TableBodyText"/>
            </w:pPr>
            <w:r>
              <w:t>CountToolbarButtons</w:t>
            </w:r>
          </w:p>
        </w:tc>
      </w:tr>
      <w:tr w:rsidR="005F78FC" w:rsidTr="005F78FC">
        <w:tc>
          <w:tcPr>
            <w:tcW w:w="0" w:type="auto"/>
            <w:vAlign w:val="center"/>
          </w:tcPr>
          <w:p w:rsidR="005F78FC" w:rsidRDefault="00B42EF3">
            <w:pPr>
              <w:pStyle w:val="TableBodyText"/>
            </w:pPr>
            <w:r>
              <w:t>CountToolbars</w:t>
            </w:r>
          </w:p>
        </w:tc>
      </w:tr>
      <w:tr w:rsidR="005F78FC" w:rsidTr="005F78FC">
        <w:tc>
          <w:tcPr>
            <w:tcW w:w="0" w:type="auto"/>
            <w:vAlign w:val="center"/>
          </w:tcPr>
          <w:p w:rsidR="005F78FC" w:rsidRDefault="00B42EF3">
            <w:pPr>
              <w:pStyle w:val="TableBodyText"/>
            </w:pPr>
            <w:r>
              <w:t>CountToolsGrammarStatistics</w:t>
            </w:r>
          </w:p>
        </w:tc>
      </w:tr>
      <w:tr w:rsidR="005F78FC" w:rsidTr="005F78FC">
        <w:tc>
          <w:tcPr>
            <w:tcW w:w="0" w:type="auto"/>
            <w:vAlign w:val="center"/>
          </w:tcPr>
          <w:p w:rsidR="005F78FC" w:rsidRDefault="00B42EF3">
            <w:pPr>
              <w:pStyle w:val="TableBodyText"/>
            </w:pPr>
            <w:r>
              <w:t>CountWindows</w:t>
            </w:r>
          </w:p>
        </w:tc>
      </w:tr>
      <w:tr w:rsidR="005F78FC" w:rsidTr="005F78FC">
        <w:tc>
          <w:tcPr>
            <w:tcW w:w="0" w:type="auto"/>
            <w:vAlign w:val="center"/>
          </w:tcPr>
          <w:p w:rsidR="005F78FC" w:rsidRDefault="00B42EF3">
            <w:pPr>
              <w:pStyle w:val="TableBodyText"/>
            </w:pPr>
            <w:r>
              <w:t>CrashOnNextEmailDisplay</w:t>
            </w:r>
          </w:p>
        </w:tc>
      </w:tr>
      <w:tr w:rsidR="005F78FC" w:rsidTr="005F78FC">
        <w:tc>
          <w:tcPr>
            <w:tcW w:w="0" w:type="auto"/>
            <w:vAlign w:val="center"/>
          </w:tcPr>
          <w:p w:rsidR="005F78FC" w:rsidRDefault="00B42EF3">
            <w:pPr>
              <w:pStyle w:val="TableBodyText"/>
            </w:pPr>
            <w:r>
              <w:lastRenderedPageBreak/>
              <w:t>CrashOnNextEmailLayout</w:t>
            </w:r>
          </w:p>
        </w:tc>
      </w:tr>
      <w:tr w:rsidR="005F78FC" w:rsidTr="005F78FC">
        <w:tc>
          <w:tcPr>
            <w:tcW w:w="0" w:type="auto"/>
            <w:vAlign w:val="center"/>
          </w:tcPr>
          <w:p w:rsidR="005F78FC" w:rsidRDefault="00B42EF3">
            <w:pPr>
              <w:pStyle w:val="TableBodyText"/>
            </w:pPr>
            <w:r>
              <w:t>CrashOnNextEmailLoad</w:t>
            </w:r>
          </w:p>
        </w:tc>
      </w:tr>
      <w:tr w:rsidR="005F78FC" w:rsidTr="005F78FC">
        <w:tc>
          <w:tcPr>
            <w:tcW w:w="0" w:type="auto"/>
            <w:vAlign w:val="center"/>
          </w:tcPr>
          <w:p w:rsidR="005F78FC" w:rsidRDefault="00B42EF3">
            <w:pPr>
              <w:pStyle w:val="TableBodyText"/>
            </w:pPr>
            <w:r>
              <w:t>DDEExecute</w:t>
            </w:r>
          </w:p>
        </w:tc>
      </w:tr>
      <w:tr w:rsidR="005F78FC" w:rsidTr="005F78FC">
        <w:tc>
          <w:tcPr>
            <w:tcW w:w="0" w:type="auto"/>
            <w:vAlign w:val="center"/>
          </w:tcPr>
          <w:p w:rsidR="005F78FC" w:rsidRDefault="00B42EF3">
            <w:pPr>
              <w:pStyle w:val="TableBodyText"/>
            </w:pPr>
            <w:r>
              <w:t>DDEInitiate</w:t>
            </w:r>
          </w:p>
        </w:tc>
      </w:tr>
      <w:tr w:rsidR="005F78FC" w:rsidTr="005F78FC">
        <w:tc>
          <w:tcPr>
            <w:tcW w:w="0" w:type="auto"/>
            <w:vAlign w:val="center"/>
          </w:tcPr>
          <w:p w:rsidR="005F78FC" w:rsidRDefault="00B42EF3">
            <w:pPr>
              <w:pStyle w:val="TableBodyText"/>
            </w:pPr>
            <w:r>
              <w:t>DDEPoke</w:t>
            </w:r>
          </w:p>
        </w:tc>
      </w:tr>
      <w:tr w:rsidR="005F78FC" w:rsidTr="005F78FC">
        <w:tc>
          <w:tcPr>
            <w:tcW w:w="0" w:type="auto"/>
            <w:vAlign w:val="center"/>
          </w:tcPr>
          <w:p w:rsidR="005F78FC" w:rsidRDefault="00B42EF3">
            <w:pPr>
              <w:pStyle w:val="TableBodyText"/>
            </w:pPr>
            <w:r>
              <w:t>DDETerminate</w:t>
            </w:r>
          </w:p>
        </w:tc>
      </w:tr>
      <w:tr w:rsidR="005F78FC" w:rsidTr="005F78FC">
        <w:tc>
          <w:tcPr>
            <w:tcW w:w="0" w:type="auto"/>
            <w:vAlign w:val="center"/>
          </w:tcPr>
          <w:p w:rsidR="005F78FC" w:rsidRDefault="00B42EF3">
            <w:pPr>
              <w:pStyle w:val="TableBodyText"/>
            </w:pPr>
            <w:r>
              <w:t>DDETerminateAll</w:t>
            </w:r>
          </w:p>
        </w:tc>
      </w:tr>
      <w:tr w:rsidR="005F78FC" w:rsidTr="005F78FC">
        <w:tc>
          <w:tcPr>
            <w:tcW w:w="0" w:type="auto"/>
            <w:vAlign w:val="center"/>
          </w:tcPr>
          <w:p w:rsidR="005F78FC" w:rsidRDefault="00B42EF3">
            <w:pPr>
              <w:pStyle w:val="TableBodyText"/>
            </w:pPr>
            <w:r>
              <w:t>DateSerial</w:t>
            </w:r>
          </w:p>
        </w:tc>
      </w:tr>
      <w:tr w:rsidR="005F78FC" w:rsidTr="005F78FC">
        <w:tc>
          <w:tcPr>
            <w:tcW w:w="0" w:type="auto"/>
            <w:vAlign w:val="center"/>
          </w:tcPr>
          <w:p w:rsidR="005F78FC" w:rsidRDefault="00B42EF3">
            <w:pPr>
              <w:pStyle w:val="TableBodyText"/>
            </w:pPr>
            <w:r>
              <w:t>DateValue</w:t>
            </w:r>
          </w:p>
        </w:tc>
      </w:tr>
      <w:tr w:rsidR="005F78FC" w:rsidTr="005F78FC">
        <w:tc>
          <w:tcPr>
            <w:tcW w:w="0" w:type="auto"/>
            <w:vAlign w:val="center"/>
          </w:tcPr>
          <w:p w:rsidR="005F78FC" w:rsidRDefault="00B42EF3">
            <w:pPr>
              <w:pStyle w:val="TableBodyText"/>
            </w:pPr>
            <w:r>
              <w:t>Day</w:t>
            </w:r>
          </w:p>
        </w:tc>
      </w:tr>
      <w:tr w:rsidR="005F78FC" w:rsidTr="005F78FC">
        <w:tc>
          <w:tcPr>
            <w:tcW w:w="0" w:type="auto"/>
            <w:vAlign w:val="center"/>
          </w:tcPr>
          <w:p w:rsidR="005F78FC" w:rsidRDefault="00B42EF3">
            <w:pPr>
              <w:pStyle w:val="TableBodyText"/>
            </w:pPr>
            <w:r>
              <w:t>Days360</w:t>
            </w:r>
          </w:p>
        </w:tc>
      </w:tr>
      <w:tr w:rsidR="005F78FC" w:rsidTr="005F78FC">
        <w:tc>
          <w:tcPr>
            <w:tcW w:w="0" w:type="auto"/>
            <w:vAlign w:val="center"/>
          </w:tcPr>
          <w:p w:rsidR="005F78FC" w:rsidRDefault="00B42EF3">
            <w:pPr>
              <w:pStyle w:val="TableBodyText"/>
            </w:pPr>
            <w:r>
              <w:t>DeleteAddIn</w:t>
            </w:r>
          </w:p>
        </w:tc>
      </w:tr>
      <w:tr w:rsidR="005F78FC" w:rsidTr="005F78FC">
        <w:tc>
          <w:tcPr>
            <w:tcW w:w="0" w:type="auto"/>
            <w:vAlign w:val="center"/>
          </w:tcPr>
          <w:p w:rsidR="005F78FC" w:rsidRDefault="00B42EF3">
            <w:pPr>
              <w:pStyle w:val="TableBodyText"/>
            </w:pPr>
            <w:r>
              <w:t>DeleteButton</w:t>
            </w:r>
          </w:p>
        </w:tc>
      </w:tr>
      <w:tr w:rsidR="005F78FC" w:rsidTr="005F78FC">
        <w:tc>
          <w:tcPr>
            <w:tcW w:w="0" w:type="auto"/>
            <w:vAlign w:val="center"/>
          </w:tcPr>
          <w:p w:rsidR="005F78FC" w:rsidRDefault="00B42EF3">
            <w:pPr>
              <w:pStyle w:val="TableBodyText"/>
            </w:pPr>
            <w:r>
              <w:t>DeleteDocumentProperty</w:t>
            </w:r>
          </w:p>
        </w:tc>
      </w:tr>
      <w:tr w:rsidR="005F78FC" w:rsidTr="005F78FC">
        <w:tc>
          <w:tcPr>
            <w:tcW w:w="0" w:type="auto"/>
            <w:vAlign w:val="center"/>
          </w:tcPr>
          <w:p w:rsidR="005F78FC" w:rsidRDefault="00B42EF3">
            <w:pPr>
              <w:pStyle w:val="TableBodyText"/>
            </w:pPr>
            <w:r>
              <w:t>DisableAutoMacros</w:t>
            </w:r>
          </w:p>
        </w:tc>
      </w:tr>
      <w:tr w:rsidR="005F78FC" w:rsidTr="005F78FC">
        <w:tc>
          <w:tcPr>
            <w:tcW w:w="0" w:type="auto"/>
            <w:vAlign w:val="center"/>
          </w:tcPr>
          <w:p w:rsidR="005F78FC" w:rsidRDefault="00B42EF3">
            <w:pPr>
              <w:pStyle w:val="TableBodyText"/>
            </w:pPr>
            <w:r>
              <w:t>DisableInput</w:t>
            </w:r>
          </w:p>
        </w:tc>
      </w:tr>
      <w:tr w:rsidR="005F78FC" w:rsidTr="005F78FC">
        <w:tc>
          <w:tcPr>
            <w:tcW w:w="0" w:type="auto"/>
            <w:vAlign w:val="center"/>
          </w:tcPr>
          <w:p w:rsidR="005F78FC" w:rsidRDefault="00B42EF3">
            <w:pPr>
              <w:pStyle w:val="TableBodyText"/>
            </w:pPr>
            <w:r>
              <w:t>DistributePara</w:t>
            </w:r>
          </w:p>
        </w:tc>
      </w:tr>
      <w:tr w:rsidR="005F78FC" w:rsidTr="005F78FC">
        <w:tc>
          <w:tcPr>
            <w:tcW w:w="0" w:type="auto"/>
            <w:vAlign w:val="center"/>
          </w:tcPr>
          <w:p w:rsidR="005F78FC" w:rsidRDefault="00B42EF3">
            <w:pPr>
              <w:pStyle w:val="TableBodyText"/>
            </w:pPr>
            <w:r>
              <w:t>DistributeRow</w:t>
            </w:r>
          </w:p>
        </w:tc>
      </w:tr>
      <w:tr w:rsidR="005F78FC" w:rsidTr="005F78FC">
        <w:tc>
          <w:tcPr>
            <w:tcW w:w="0" w:type="auto"/>
            <w:vAlign w:val="center"/>
          </w:tcPr>
          <w:p w:rsidR="005F78FC" w:rsidRDefault="00B42EF3">
            <w:pPr>
              <w:pStyle w:val="TableBodyText"/>
            </w:pPr>
            <w:r>
              <w:t>DlgControlId</w:t>
            </w:r>
          </w:p>
        </w:tc>
      </w:tr>
      <w:tr w:rsidR="005F78FC" w:rsidTr="005F78FC">
        <w:tc>
          <w:tcPr>
            <w:tcW w:w="0" w:type="auto"/>
            <w:vAlign w:val="center"/>
          </w:tcPr>
          <w:p w:rsidR="005F78FC" w:rsidRDefault="00B42EF3">
            <w:pPr>
              <w:pStyle w:val="TableBodyText"/>
            </w:pPr>
            <w:r>
              <w:t>DlgEnable</w:t>
            </w:r>
          </w:p>
        </w:tc>
      </w:tr>
      <w:tr w:rsidR="005F78FC" w:rsidTr="005F78FC">
        <w:tc>
          <w:tcPr>
            <w:tcW w:w="0" w:type="auto"/>
            <w:vAlign w:val="center"/>
          </w:tcPr>
          <w:p w:rsidR="005F78FC" w:rsidRDefault="00B42EF3">
            <w:pPr>
              <w:pStyle w:val="TableBodyText"/>
            </w:pPr>
            <w:r>
              <w:t>DlgFilePreview</w:t>
            </w:r>
          </w:p>
        </w:tc>
      </w:tr>
      <w:tr w:rsidR="005F78FC" w:rsidTr="005F78FC">
        <w:tc>
          <w:tcPr>
            <w:tcW w:w="0" w:type="auto"/>
            <w:vAlign w:val="center"/>
          </w:tcPr>
          <w:p w:rsidR="005F78FC" w:rsidRDefault="00B42EF3">
            <w:pPr>
              <w:pStyle w:val="TableBodyText"/>
            </w:pPr>
            <w:r>
              <w:t>DlgFocus</w:t>
            </w:r>
          </w:p>
        </w:tc>
      </w:tr>
      <w:tr w:rsidR="005F78FC" w:rsidTr="005F78FC">
        <w:tc>
          <w:tcPr>
            <w:tcW w:w="0" w:type="auto"/>
            <w:vAlign w:val="center"/>
          </w:tcPr>
          <w:p w:rsidR="005F78FC" w:rsidRDefault="00B42EF3">
            <w:pPr>
              <w:pStyle w:val="TableBodyText"/>
            </w:pPr>
            <w:r>
              <w:t>DlgListBoxArray</w:t>
            </w:r>
          </w:p>
        </w:tc>
      </w:tr>
      <w:tr w:rsidR="005F78FC" w:rsidTr="005F78FC">
        <w:tc>
          <w:tcPr>
            <w:tcW w:w="0" w:type="auto"/>
            <w:vAlign w:val="center"/>
          </w:tcPr>
          <w:p w:rsidR="005F78FC" w:rsidRDefault="00B42EF3">
            <w:pPr>
              <w:pStyle w:val="TableBodyText"/>
            </w:pPr>
            <w:r>
              <w:t>DlgLoadValues</w:t>
            </w:r>
          </w:p>
        </w:tc>
      </w:tr>
      <w:tr w:rsidR="005F78FC" w:rsidTr="005F78FC">
        <w:tc>
          <w:tcPr>
            <w:tcW w:w="0" w:type="auto"/>
            <w:vAlign w:val="center"/>
          </w:tcPr>
          <w:p w:rsidR="005F78FC" w:rsidRDefault="00B42EF3">
            <w:pPr>
              <w:pStyle w:val="TableBodyText"/>
            </w:pPr>
            <w:r>
              <w:t>DlgSetPicture</w:t>
            </w:r>
          </w:p>
        </w:tc>
      </w:tr>
      <w:tr w:rsidR="005F78FC" w:rsidTr="005F78FC">
        <w:tc>
          <w:tcPr>
            <w:tcW w:w="0" w:type="auto"/>
            <w:vAlign w:val="center"/>
          </w:tcPr>
          <w:p w:rsidR="005F78FC" w:rsidRDefault="00B42EF3">
            <w:pPr>
              <w:pStyle w:val="TableBodyText"/>
            </w:pPr>
            <w:r>
              <w:t>DlgStoreValues</w:t>
            </w:r>
          </w:p>
        </w:tc>
      </w:tr>
      <w:tr w:rsidR="005F78FC" w:rsidTr="005F78FC">
        <w:tc>
          <w:tcPr>
            <w:tcW w:w="0" w:type="auto"/>
            <w:vAlign w:val="center"/>
          </w:tcPr>
          <w:p w:rsidR="005F78FC" w:rsidRDefault="00B42EF3">
            <w:pPr>
              <w:pStyle w:val="TableBodyText"/>
            </w:pPr>
            <w:r>
              <w:t>DlgText</w:t>
            </w:r>
          </w:p>
        </w:tc>
      </w:tr>
      <w:tr w:rsidR="005F78FC" w:rsidTr="005F78FC">
        <w:tc>
          <w:tcPr>
            <w:tcW w:w="0" w:type="auto"/>
            <w:vAlign w:val="center"/>
          </w:tcPr>
          <w:p w:rsidR="005F78FC" w:rsidRDefault="00B42EF3">
            <w:pPr>
              <w:pStyle w:val="TableBodyText"/>
            </w:pPr>
            <w:r>
              <w:t>DlgUpdateFilePreview</w:t>
            </w:r>
          </w:p>
        </w:tc>
      </w:tr>
      <w:tr w:rsidR="005F78FC" w:rsidTr="005F78FC">
        <w:tc>
          <w:tcPr>
            <w:tcW w:w="0" w:type="auto"/>
            <w:vAlign w:val="center"/>
          </w:tcPr>
          <w:p w:rsidR="005F78FC" w:rsidRDefault="00B42EF3">
            <w:pPr>
              <w:pStyle w:val="TableBodyText"/>
            </w:pPr>
            <w:r>
              <w:t>DlgValue</w:t>
            </w:r>
          </w:p>
        </w:tc>
      </w:tr>
      <w:tr w:rsidR="005F78FC" w:rsidTr="005F78FC">
        <w:tc>
          <w:tcPr>
            <w:tcW w:w="0" w:type="auto"/>
            <w:vAlign w:val="center"/>
          </w:tcPr>
          <w:p w:rsidR="005F78FC" w:rsidRDefault="00B42EF3">
            <w:pPr>
              <w:pStyle w:val="TableBodyText"/>
            </w:pPr>
            <w:r>
              <w:t>DlgVisible</w:t>
            </w:r>
          </w:p>
        </w:tc>
      </w:tr>
      <w:tr w:rsidR="005F78FC" w:rsidTr="005F78FC">
        <w:tc>
          <w:tcPr>
            <w:tcW w:w="0" w:type="auto"/>
            <w:vAlign w:val="center"/>
          </w:tcPr>
          <w:p w:rsidR="005F78FC" w:rsidRDefault="00B42EF3">
            <w:pPr>
              <w:pStyle w:val="TableBodyText"/>
            </w:pPr>
            <w:r>
              <w:t>DocClose</w:t>
            </w:r>
          </w:p>
        </w:tc>
      </w:tr>
      <w:tr w:rsidR="005F78FC" w:rsidTr="005F78FC">
        <w:tc>
          <w:tcPr>
            <w:tcW w:w="0" w:type="auto"/>
            <w:vAlign w:val="center"/>
          </w:tcPr>
          <w:p w:rsidR="005F78FC" w:rsidRDefault="00B42EF3">
            <w:pPr>
              <w:pStyle w:val="TableBodyText"/>
            </w:pPr>
            <w:r>
              <w:t>DocMaximize</w:t>
            </w:r>
          </w:p>
        </w:tc>
      </w:tr>
      <w:tr w:rsidR="005F78FC" w:rsidTr="005F78FC">
        <w:tc>
          <w:tcPr>
            <w:tcW w:w="0" w:type="auto"/>
            <w:vAlign w:val="center"/>
          </w:tcPr>
          <w:p w:rsidR="005F78FC" w:rsidRDefault="00B42EF3">
            <w:pPr>
              <w:pStyle w:val="TableBodyText"/>
            </w:pPr>
            <w:r>
              <w:lastRenderedPageBreak/>
              <w:t>DocMinimize</w:t>
            </w:r>
          </w:p>
        </w:tc>
      </w:tr>
      <w:tr w:rsidR="005F78FC" w:rsidTr="005F78FC">
        <w:tc>
          <w:tcPr>
            <w:tcW w:w="0" w:type="auto"/>
            <w:vAlign w:val="center"/>
          </w:tcPr>
          <w:p w:rsidR="005F78FC" w:rsidRDefault="00B42EF3">
            <w:pPr>
              <w:pStyle w:val="TableBodyText"/>
            </w:pPr>
            <w:r>
              <w:t>DocMove</w:t>
            </w:r>
          </w:p>
        </w:tc>
      </w:tr>
      <w:tr w:rsidR="005F78FC" w:rsidTr="005F78FC">
        <w:tc>
          <w:tcPr>
            <w:tcW w:w="0" w:type="auto"/>
            <w:vAlign w:val="center"/>
          </w:tcPr>
          <w:p w:rsidR="005F78FC" w:rsidRDefault="00B42EF3">
            <w:pPr>
              <w:pStyle w:val="TableBodyText"/>
            </w:pPr>
            <w:r>
              <w:t>DocSize</w:t>
            </w:r>
          </w:p>
        </w:tc>
      </w:tr>
      <w:tr w:rsidR="005F78FC" w:rsidTr="005F78FC">
        <w:tc>
          <w:tcPr>
            <w:tcW w:w="0" w:type="auto"/>
            <w:vAlign w:val="center"/>
          </w:tcPr>
          <w:p w:rsidR="005F78FC" w:rsidRDefault="00B42EF3">
            <w:pPr>
              <w:pStyle w:val="TableBodyText"/>
            </w:pPr>
            <w:r>
              <w:t>DocSplit</w:t>
            </w:r>
          </w:p>
        </w:tc>
      </w:tr>
      <w:tr w:rsidR="005F78FC" w:rsidTr="005F78FC">
        <w:tc>
          <w:tcPr>
            <w:tcW w:w="0" w:type="auto"/>
            <w:vAlign w:val="center"/>
          </w:tcPr>
          <w:p w:rsidR="005F78FC" w:rsidRDefault="00B42EF3">
            <w:pPr>
              <w:pStyle w:val="TableBodyText"/>
            </w:pPr>
            <w:r>
              <w:t>DocWindowHeight</w:t>
            </w:r>
          </w:p>
        </w:tc>
      </w:tr>
      <w:tr w:rsidR="005F78FC" w:rsidTr="005F78FC">
        <w:tc>
          <w:tcPr>
            <w:tcW w:w="0" w:type="auto"/>
            <w:vAlign w:val="center"/>
          </w:tcPr>
          <w:p w:rsidR="005F78FC" w:rsidRDefault="00B42EF3">
            <w:pPr>
              <w:pStyle w:val="TableBodyText"/>
            </w:pPr>
            <w:r>
              <w:t>DocWindowPosLeft</w:t>
            </w:r>
          </w:p>
        </w:tc>
      </w:tr>
      <w:tr w:rsidR="005F78FC" w:rsidTr="005F78FC">
        <w:tc>
          <w:tcPr>
            <w:tcW w:w="0" w:type="auto"/>
            <w:vAlign w:val="center"/>
          </w:tcPr>
          <w:p w:rsidR="005F78FC" w:rsidRDefault="00B42EF3">
            <w:pPr>
              <w:pStyle w:val="TableBodyText"/>
            </w:pPr>
            <w:r>
              <w:t>DocWindowPosTop</w:t>
            </w:r>
          </w:p>
        </w:tc>
      </w:tr>
      <w:tr w:rsidR="005F78FC" w:rsidTr="005F78FC">
        <w:tc>
          <w:tcPr>
            <w:tcW w:w="0" w:type="auto"/>
            <w:vAlign w:val="center"/>
          </w:tcPr>
          <w:p w:rsidR="005F78FC" w:rsidRDefault="00B42EF3">
            <w:pPr>
              <w:pStyle w:val="TableBodyText"/>
            </w:pPr>
            <w:r>
              <w:t>DocWindowWidth</w:t>
            </w:r>
          </w:p>
        </w:tc>
      </w:tr>
      <w:tr w:rsidR="005F78FC" w:rsidTr="005F78FC">
        <w:tc>
          <w:tcPr>
            <w:tcW w:w="0" w:type="auto"/>
            <w:vAlign w:val="center"/>
          </w:tcPr>
          <w:p w:rsidR="005F78FC" w:rsidRDefault="00B42EF3">
            <w:pPr>
              <w:pStyle w:val="TableBodyText"/>
            </w:pPr>
            <w:r>
              <w:t>DocumentHasMisspellings</w:t>
            </w:r>
          </w:p>
        </w:tc>
      </w:tr>
      <w:tr w:rsidR="005F78FC" w:rsidTr="005F78FC">
        <w:tc>
          <w:tcPr>
            <w:tcW w:w="0" w:type="auto"/>
            <w:vAlign w:val="center"/>
          </w:tcPr>
          <w:p w:rsidR="005F78FC" w:rsidRDefault="00B42EF3">
            <w:pPr>
              <w:pStyle w:val="TableBodyText"/>
            </w:pPr>
            <w:r>
              <w:t>DocumentPropertyExists</w:t>
            </w:r>
          </w:p>
        </w:tc>
      </w:tr>
      <w:tr w:rsidR="005F78FC" w:rsidTr="005F78FC">
        <w:tc>
          <w:tcPr>
            <w:tcW w:w="0" w:type="auto"/>
            <w:vAlign w:val="center"/>
          </w:tcPr>
          <w:p w:rsidR="005F78FC" w:rsidRDefault="00B42EF3">
            <w:pPr>
              <w:pStyle w:val="TableBodyText"/>
            </w:pPr>
            <w:r>
              <w:t>DocumentPropertyType</w:t>
            </w:r>
          </w:p>
        </w:tc>
      </w:tr>
      <w:tr w:rsidR="005F78FC" w:rsidTr="005F78FC">
        <w:tc>
          <w:tcPr>
            <w:tcW w:w="0" w:type="auto"/>
            <w:vAlign w:val="center"/>
          </w:tcPr>
          <w:p w:rsidR="005F78FC" w:rsidRDefault="00B42EF3">
            <w:pPr>
              <w:pStyle w:val="TableBodyText"/>
            </w:pPr>
            <w:r>
              <w:t>DocumentProtection</w:t>
            </w:r>
          </w:p>
        </w:tc>
      </w:tr>
      <w:tr w:rsidR="005F78FC" w:rsidTr="005F78FC">
        <w:tc>
          <w:tcPr>
            <w:tcW w:w="0" w:type="auto"/>
            <w:vAlign w:val="center"/>
          </w:tcPr>
          <w:p w:rsidR="005F78FC" w:rsidRDefault="00B42EF3">
            <w:pPr>
              <w:pStyle w:val="TableBodyText"/>
            </w:pPr>
            <w:r>
              <w:t>DotAccent</w:t>
            </w:r>
          </w:p>
        </w:tc>
      </w:tr>
      <w:tr w:rsidR="005F78FC" w:rsidTr="005F78FC">
        <w:tc>
          <w:tcPr>
            <w:tcW w:w="0" w:type="auto"/>
            <w:vAlign w:val="center"/>
          </w:tcPr>
          <w:p w:rsidR="005F78FC" w:rsidRDefault="00B42EF3">
            <w:pPr>
              <w:pStyle w:val="TableBodyText"/>
            </w:pPr>
            <w:r>
              <w:t>DottedUnderline</w:t>
            </w:r>
          </w:p>
        </w:tc>
      </w:tr>
      <w:tr w:rsidR="005F78FC" w:rsidTr="005F78FC">
        <w:tc>
          <w:tcPr>
            <w:tcW w:w="0" w:type="auto"/>
            <w:vAlign w:val="center"/>
          </w:tcPr>
          <w:p w:rsidR="005F78FC" w:rsidRDefault="00B42EF3">
            <w:pPr>
              <w:pStyle w:val="TableBodyText"/>
            </w:pPr>
            <w:r>
              <w:t>DoubleStrikethrough</w:t>
            </w:r>
          </w:p>
        </w:tc>
      </w:tr>
      <w:tr w:rsidR="005F78FC" w:rsidTr="005F78FC">
        <w:tc>
          <w:tcPr>
            <w:tcW w:w="0" w:type="auto"/>
            <w:vAlign w:val="center"/>
          </w:tcPr>
          <w:p w:rsidR="005F78FC" w:rsidRDefault="00B42EF3">
            <w:pPr>
              <w:pStyle w:val="TableBodyText"/>
            </w:pPr>
            <w:r>
              <w:t>DoubleUnderline</w:t>
            </w:r>
          </w:p>
        </w:tc>
      </w:tr>
      <w:tr w:rsidR="005F78FC" w:rsidTr="005F78FC">
        <w:tc>
          <w:tcPr>
            <w:tcW w:w="0" w:type="auto"/>
            <w:vAlign w:val="center"/>
          </w:tcPr>
          <w:p w:rsidR="005F78FC" w:rsidRDefault="00B42EF3">
            <w:pPr>
              <w:pStyle w:val="TableBodyText"/>
            </w:pPr>
            <w:r>
              <w:t>DrawClearRange</w:t>
            </w:r>
          </w:p>
        </w:tc>
      </w:tr>
      <w:tr w:rsidR="005F78FC" w:rsidTr="005F78FC">
        <w:tc>
          <w:tcPr>
            <w:tcW w:w="0" w:type="auto"/>
            <w:vAlign w:val="center"/>
          </w:tcPr>
          <w:p w:rsidR="005F78FC" w:rsidRDefault="00B42EF3">
            <w:pPr>
              <w:pStyle w:val="TableBodyText"/>
            </w:pPr>
            <w:r>
              <w:t>DrawCount</w:t>
            </w:r>
          </w:p>
        </w:tc>
      </w:tr>
      <w:tr w:rsidR="005F78FC" w:rsidTr="005F78FC">
        <w:tc>
          <w:tcPr>
            <w:tcW w:w="0" w:type="auto"/>
            <w:vAlign w:val="center"/>
          </w:tcPr>
          <w:p w:rsidR="005F78FC" w:rsidRDefault="00B42EF3">
            <w:pPr>
              <w:pStyle w:val="TableBodyText"/>
            </w:pPr>
            <w:r>
              <w:t>DrawCountPolyPoints</w:t>
            </w:r>
          </w:p>
        </w:tc>
      </w:tr>
      <w:tr w:rsidR="005F78FC" w:rsidTr="005F78FC">
        <w:tc>
          <w:tcPr>
            <w:tcW w:w="0" w:type="auto"/>
            <w:vAlign w:val="center"/>
          </w:tcPr>
          <w:p w:rsidR="005F78FC" w:rsidRDefault="00B42EF3">
            <w:pPr>
              <w:pStyle w:val="TableBodyText"/>
            </w:pPr>
            <w:r>
              <w:t>DrawExtendSelect</w:t>
            </w:r>
          </w:p>
        </w:tc>
      </w:tr>
      <w:tr w:rsidR="005F78FC" w:rsidTr="005F78FC">
        <w:tc>
          <w:tcPr>
            <w:tcW w:w="0" w:type="auto"/>
            <w:vAlign w:val="center"/>
          </w:tcPr>
          <w:p w:rsidR="005F78FC" w:rsidRDefault="00B42EF3">
            <w:pPr>
              <w:pStyle w:val="TableBodyText"/>
            </w:pPr>
            <w:r>
              <w:t>DrawGetCalloutTextbox</w:t>
            </w:r>
          </w:p>
        </w:tc>
      </w:tr>
      <w:tr w:rsidR="005F78FC" w:rsidTr="005F78FC">
        <w:tc>
          <w:tcPr>
            <w:tcW w:w="0" w:type="auto"/>
            <w:vAlign w:val="center"/>
          </w:tcPr>
          <w:p w:rsidR="005F78FC" w:rsidRDefault="00B42EF3">
            <w:pPr>
              <w:pStyle w:val="TableBodyText"/>
            </w:pPr>
            <w:r>
              <w:t>DrawGetPolyPoints</w:t>
            </w:r>
          </w:p>
        </w:tc>
      </w:tr>
      <w:tr w:rsidR="005F78FC" w:rsidTr="005F78FC">
        <w:tc>
          <w:tcPr>
            <w:tcW w:w="0" w:type="auto"/>
            <w:vAlign w:val="center"/>
          </w:tcPr>
          <w:p w:rsidR="005F78FC" w:rsidRDefault="00B42EF3">
            <w:pPr>
              <w:pStyle w:val="TableBodyText"/>
            </w:pPr>
            <w:r>
              <w:t>DrawGetType</w:t>
            </w:r>
          </w:p>
        </w:tc>
      </w:tr>
      <w:tr w:rsidR="005F78FC" w:rsidTr="005F78FC">
        <w:tc>
          <w:tcPr>
            <w:tcW w:w="0" w:type="auto"/>
            <w:vAlign w:val="center"/>
          </w:tcPr>
          <w:p w:rsidR="005F78FC" w:rsidRDefault="00B42EF3">
            <w:pPr>
              <w:pStyle w:val="TableBodyText"/>
            </w:pPr>
            <w:r>
              <w:t>DrawSelect</w:t>
            </w:r>
          </w:p>
        </w:tc>
      </w:tr>
      <w:tr w:rsidR="005F78FC" w:rsidTr="005F78FC">
        <w:tc>
          <w:tcPr>
            <w:tcW w:w="0" w:type="auto"/>
            <w:vAlign w:val="center"/>
          </w:tcPr>
          <w:p w:rsidR="005F78FC" w:rsidRDefault="00B42EF3">
            <w:pPr>
              <w:pStyle w:val="TableBodyText"/>
            </w:pPr>
            <w:r>
              <w:t>DrawSetCalloutTextbox</w:t>
            </w:r>
          </w:p>
        </w:tc>
      </w:tr>
      <w:tr w:rsidR="005F78FC" w:rsidTr="005F78FC">
        <w:tc>
          <w:tcPr>
            <w:tcW w:w="0" w:type="auto"/>
            <w:vAlign w:val="center"/>
          </w:tcPr>
          <w:p w:rsidR="005F78FC" w:rsidRDefault="00B42EF3">
            <w:pPr>
              <w:pStyle w:val="TableBodyText"/>
            </w:pPr>
            <w:r>
              <w:t>DrawSetInsertToAnchor</w:t>
            </w:r>
          </w:p>
        </w:tc>
      </w:tr>
      <w:tr w:rsidR="005F78FC" w:rsidTr="005F78FC">
        <w:tc>
          <w:tcPr>
            <w:tcW w:w="0" w:type="auto"/>
            <w:vAlign w:val="center"/>
          </w:tcPr>
          <w:p w:rsidR="005F78FC" w:rsidRDefault="00B42EF3">
            <w:pPr>
              <w:pStyle w:val="TableBodyText"/>
            </w:pPr>
            <w:r>
              <w:t>DrawSetInsertToTextbox</w:t>
            </w:r>
          </w:p>
        </w:tc>
      </w:tr>
      <w:tr w:rsidR="005F78FC" w:rsidTr="005F78FC">
        <w:tc>
          <w:tcPr>
            <w:tcW w:w="0" w:type="auto"/>
            <w:vAlign w:val="center"/>
          </w:tcPr>
          <w:p w:rsidR="005F78FC" w:rsidRDefault="00B42EF3">
            <w:pPr>
              <w:pStyle w:val="TableBodyText"/>
            </w:pPr>
            <w:r>
              <w:t>DrawSetPolyPoints</w:t>
            </w:r>
          </w:p>
        </w:tc>
      </w:tr>
      <w:tr w:rsidR="005F78FC" w:rsidTr="005F78FC">
        <w:tc>
          <w:tcPr>
            <w:tcW w:w="0" w:type="auto"/>
            <w:vAlign w:val="center"/>
          </w:tcPr>
          <w:p w:rsidR="005F78FC" w:rsidRDefault="00B42EF3">
            <w:pPr>
              <w:pStyle w:val="TableBodyText"/>
            </w:pPr>
            <w:r>
              <w:t>DrawSetRange</w:t>
            </w:r>
          </w:p>
        </w:tc>
      </w:tr>
      <w:tr w:rsidR="005F78FC" w:rsidTr="005F78FC">
        <w:tc>
          <w:tcPr>
            <w:tcW w:w="0" w:type="auto"/>
            <w:vAlign w:val="center"/>
          </w:tcPr>
          <w:p w:rsidR="005F78FC" w:rsidRDefault="00B42EF3">
            <w:pPr>
              <w:pStyle w:val="TableBodyText"/>
            </w:pPr>
            <w:r>
              <w:t>DropListBox</w:t>
            </w:r>
          </w:p>
        </w:tc>
      </w:tr>
      <w:tr w:rsidR="005F78FC" w:rsidTr="005F78FC">
        <w:tc>
          <w:tcPr>
            <w:tcW w:w="0" w:type="auto"/>
            <w:vAlign w:val="center"/>
          </w:tcPr>
          <w:p w:rsidR="005F78FC" w:rsidRDefault="00B42EF3">
            <w:pPr>
              <w:pStyle w:val="TableBodyText"/>
            </w:pPr>
            <w:r>
              <w:t>EditButtonImage</w:t>
            </w:r>
          </w:p>
        </w:tc>
      </w:tr>
      <w:tr w:rsidR="005F78FC" w:rsidTr="005F78FC">
        <w:tc>
          <w:tcPr>
            <w:tcW w:w="0" w:type="auto"/>
            <w:vAlign w:val="center"/>
          </w:tcPr>
          <w:p w:rsidR="005F78FC" w:rsidRDefault="00B42EF3">
            <w:pPr>
              <w:pStyle w:val="TableBodyText"/>
            </w:pPr>
            <w:r>
              <w:t>EditClear</w:t>
            </w:r>
          </w:p>
        </w:tc>
      </w:tr>
      <w:tr w:rsidR="005F78FC" w:rsidTr="005F78FC">
        <w:tc>
          <w:tcPr>
            <w:tcW w:w="0" w:type="auto"/>
            <w:vAlign w:val="center"/>
          </w:tcPr>
          <w:p w:rsidR="005F78FC" w:rsidRDefault="00B42EF3">
            <w:pPr>
              <w:pStyle w:val="TableBodyText"/>
            </w:pPr>
            <w:r>
              <w:lastRenderedPageBreak/>
              <w:t>EditFindFound</w:t>
            </w:r>
          </w:p>
        </w:tc>
      </w:tr>
      <w:tr w:rsidR="005F78FC" w:rsidTr="005F78FC">
        <w:tc>
          <w:tcPr>
            <w:tcW w:w="0" w:type="auto"/>
            <w:vAlign w:val="center"/>
          </w:tcPr>
          <w:p w:rsidR="005F78FC" w:rsidRDefault="00B42EF3">
            <w:pPr>
              <w:pStyle w:val="TableBodyText"/>
            </w:pPr>
            <w:r>
              <w:t>EditRedo</w:t>
            </w:r>
          </w:p>
        </w:tc>
      </w:tr>
      <w:tr w:rsidR="005F78FC" w:rsidTr="005F78FC">
        <w:tc>
          <w:tcPr>
            <w:tcW w:w="0" w:type="auto"/>
            <w:vAlign w:val="center"/>
          </w:tcPr>
          <w:p w:rsidR="005F78FC" w:rsidRDefault="00B42EF3">
            <w:pPr>
              <w:pStyle w:val="TableBodyText"/>
            </w:pPr>
            <w:r>
              <w:t>EditUndo</w:t>
            </w:r>
          </w:p>
        </w:tc>
      </w:tr>
      <w:tr w:rsidR="005F78FC" w:rsidTr="005F78FC">
        <w:tc>
          <w:tcPr>
            <w:tcW w:w="0" w:type="auto"/>
            <w:vAlign w:val="center"/>
          </w:tcPr>
          <w:p w:rsidR="005F78FC" w:rsidRDefault="00B42EF3">
            <w:pPr>
              <w:pStyle w:val="TableBodyText"/>
            </w:pPr>
            <w:r>
              <w:t>EmptyBookmark</w:t>
            </w:r>
          </w:p>
        </w:tc>
      </w:tr>
      <w:tr w:rsidR="005F78FC" w:rsidTr="005F78FC">
        <w:tc>
          <w:tcPr>
            <w:tcW w:w="0" w:type="auto"/>
            <w:vAlign w:val="center"/>
          </w:tcPr>
          <w:p w:rsidR="005F78FC" w:rsidRDefault="00B42EF3">
            <w:pPr>
              <w:pStyle w:val="TableBodyText"/>
            </w:pPr>
            <w:r>
              <w:t>EnableFormField</w:t>
            </w:r>
          </w:p>
        </w:tc>
      </w:tr>
      <w:tr w:rsidR="005F78FC" w:rsidTr="005F78FC">
        <w:tc>
          <w:tcPr>
            <w:tcW w:w="0" w:type="auto"/>
            <w:vAlign w:val="center"/>
          </w:tcPr>
          <w:p w:rsidR="005F78FC" w:rsidRDefault="00B42EF3">
            <w:pPr>
              <w:pStyle w:val="TableBodyText"/>
            </w:pPr>
            <w:r>
              <w:t>EndOfColumn</w:t>
            </w:r>
          </w:p>
        </w:tc>
      </w:tr>
      <w:tr w:rsidR="005F78FC" w:rsidTr="005F78FC">
        <w:tc>
          <w:tcPr>
            <w:tcW w:w="0" w:type="auto"/>
            <w:vAlign w:val="center"/>
          </w:tcPr>
          <w:p w:rsidR="005F78FC" w:rsidRDefault="00B42EF3">
            <w:pPr>
              <w:pStyle w:val="TableBodyText"/>
            </w:pPr>
            <w:r>
              <w:t>EndOfDocument</w:t>
            </w:r>
          </w:p>
        </w:tc>
      </w:tr>
      <w:tr w:rsidR="005F78FC" w:rsidTr="005F78FC">
        <w:tc>
          <w:tcPr>
            <w:tcW w:w="0" w:type="auto"/>
            <w:vAlign w:val="center"/>
          </w:tcPr>
          <w:p w:rsidR="005F78FC" w:rsidRDefault="00B42EF3">
            <w:pPr>
              <w:pStyle w:val="TableBodyText"/>
            </w:pPr>
            <w:r>
              <w:t>EndOfLine</w:t>
            </w:r>
          </w:p>
        </w:tc>
      </w:tr>
      <w:tr w:rsidR="005F78FC" w:rsidTr="005F78FC">
        <w:tc>
          <w:tcPr>
            <w:tcW w:w="0" w:type="auto"/>
            <w:vAlign w:val="center"/>
          </w:tcPr>
          <w:p w:rsidR="005F78FC" w:rsidRDefault="00B42EF3">
            <w:pPr>
              <w:pStyle w:val="TableBodyText"/>
            </w:pPr>
            <w:r>
              <w:t>EndOfRow</w:t>
            </w:r>
          </w:p>
        </w:tc>
      </w:tr>
      <w:tr w:rsidR="005F78FC" w:rsidTr="005F78FC">
        <w:tc>
          <w:tcPr>
            <w:tcW w:w="0" w:type="auto"/>
            <w:vAlign w:val="center"/>
          </w:tcPr>
          <w:p w:rsidR="005F78FC" w:rsidRDefault="00B42EF3">
            <w:pPr>
              <w:pStyle w:val="TableBodyText"/>
            </w:pPr>
            <w:r>
              <w:t>EndOfWindow</w:t>
            </w:r>
          </w:p>
        </w:tc>
      </w:tr>
      <w:tr w:rsidR="005F78FC" w:rsidTr="005F78FC">
        <w:tc>
          <w:tcPr>
            <w:tcW w:w="0" w:type="auto"/>
            <w:vAlign w:val="center"/>
          </w:tcPr>
          <w:p w:rsidR="005F78FC" w:rsidRDefault="00B42EF3">
            <w:pPr>
              <w:pStyle w:val="TableBodyText"/>
            </w:pPr>
            <w:r>
              <w:t>Eof</w:t>
            </w:r>
          </w:p>
        </w:tc>
      </w:tr>
      <w:tr w:rsidR="005F78FC" w:rsidTr="005F78FC">
        <w:tc>
          <w:tcPr>
            <w:tcW w:w="0" w:type="auto"/>
            <w:vAlign w:val="center"/>
          </w:tcPr>
          <w:p w:rsidR="005F78FC" w:rsidRDefault="00B42EF3">
            <w:pPr>
              <w:pStyle w:val="TableBodyText"/>
            </w:pPr>
            <w:r>
              <w:t>ExistingBookmark</w:t>
            </w:r>
          </w:p>
        </w:tc>
      </w:tr>
      <w:tr w:rsidR="005F78FC" w:rsidTr="005F78FC">
        <w:tc>
          <w:tcPr>
            <w:tcW w:w="0" w:type="auto"/>
            <w:vAlign w:val="center"/>
          </w:tcPr>
          <w:p w:rsidR="005F78FC" w:rsidRDefault="00B42EF3">
            <w:pPr>
              <w:pStyle w:val="TableBodyText"/>
            </w:pPr>
            <w:r>
              <w:t>ExitWindows</w:t>
            </w:r>
          </w:p>
        </w:tc>
      </w:tr>
      <w:tr w:rsidR="005F78FC" w:rsidTr="005F78FC">
        <w:tc>
          <w:tcPr>
            <w:tcW w:w="0" w:type="auto"/>
            <w:vAlign w:val="center"/>
          </w:tcPr>
          <w:p w:rsidR="005F78FC" w:rsidRDefault="00B42EF3">
            <w:pPr>
              <w:pStyle w:val="TableBodyText"/>
            </w:pPr>
            <w:r>
              <w:t>ExtendMode</w:t>
            </w:r>
          </w:p>
        </w:tc>
      </w:tr>
      <w:tr w:rsidR="005F78FC" w:rsidTr="005F78FC">
        <w:tc>
          <w:tcPr>
            <w:tcW w:w="0" w:type="auto"/>
            <w:vAlign w:val="center"/>
          </w:tcPr>
          <w:p w:rsidR="005F78FC" w:rsidRDefault="00B42EF3">
            <w:pPr>
              <w:pStyle w:val="TableBodyText"/>
            </w:pPr>
            <w:r>
              <w:t>ExtendSelection</w:t>
            </w:r>
          </w:p>
        </w:tc>
      </w:tr>
      <w:tr w:rsidR="005F78FC" w:rsidTr="005F78FC">
        <w:tc>
          <w:tcPr>
            <w:tcW w:w="0" w:type="auto"/>
            <w:vAlign w:val="center"/>
          </w:tcPr>
          <w:p w:rsidR="005F78FC" w:rsidRDefault="00B42EF3">
            <w:pPr>
              <w:pStyle w:val="TableBodyText"/>
            </w:pPr>
            <w:r>
              <w:t>File1</w:t>
            </w:r>
          </w:p>
        </w:tc>
      </w:tr>
      <w:tr w:rsidR="005F78FC" w:rsidTr="005F78FC">
        <w:tc>
          <w:tcPr>
            <w:tcW w:w="0" w:type="auto"/>
            <w:vAlign w:val="center"/>
          </w:tcPr>
          <w:p w:rsidR="005F78FC" w:rsidRDefault="00B42EF3">
            <w:pPr>
              <w:pStyle w:val="TableBodyText"/>
            </w:pPr>
            <w:r>
              <w:t>File2</w:t>
            </w:r>
          </w:p>
        </w:tc>
      </w:tr>
      <w:tr w:rsidR="005F78FC" w:rsidTr="005F78FC">
        <w:tc>
          <w:tcPr>
            <w:tcW w:w="0" w:type="auto"/>
            <w:vAlign w:val="center"/>
          </w:tcPr>
          <w:p w:rsidR="005F78FC" w:rsidRDefault="00B42EF3">
            <w:pPr>
              <w:pStyle w:val="TableBodyText"/>
            </w:pPr>
            <w:r>
              <w:t>File3</w:t>
            </w:r>
          </w:p>
        </w:tc>
      </w:tr>
      <w:tr w:rsidR="005F78FC" w:rsidTr="005F78FC">
        <w:tc>
          <w:tcPr>
            <w:tcW w:w="0" w:type="auto"/>
            <w:vAlign w:val="center"/>
          </w:tcPr>
          <w:p w:rsidR="005F78FC" w:rsidRDefault="00B42EF3">
            <w:pPr>
              <w:pStyle w:val="TableBodyText"/>
            </w:pPr>
            <w:r>
              <w:t>File4</w:t>
            </w:r>
          </w:p>
        </w:tc>
      </w:tr>
      <w:tr w:rsidR="005F78FC" w:rsidTr="005F78FC">
        <w:tc>
          <w:tcPr>
            <w:tcW w:w="0" w:type="auto"/>
            <w:vAlign w:val="center"/>
          </w:tcPr>
          <w:p w:rsidR="005F78FC" w:rsidRDefault="00B42EF3">
            <w:pPr>
              <w:pStyle w:val="TableBodyText"/>
            </w:pPr>
            <w:r>
              <w:t>File5</w:t>
            </w:r>
          </w:p>
        </w:tc>
      </w:tr>
      <w:tr w:rsidR="005F78FC" w:rsidTr="005F78FC">
        <w:tc>
          <w:tcPr>
            <w:tcW w:w="0" w:type="auto"/>
            <w:vAlign w:val="center"/>
          </w:tcPr>
          <w:p w:rsidR="005F78FC" w:rsidRDefault="00B42EF3">
            <w:pPr>
              <w:pStyle w:val="TableBodyText"/>
            </w:pPr>
            <w:r>
              <w:t>File6</w:t>
            </w:r>
          </w:p>
        </w:tc>
      </w:tr>
      <w:tr w:rsidR="005F78FC" w:rsidTr="005F78FC">
        <w:tc>
          <w:tcPr>
            <w:tcW w:w="0" w:type="auto"/>
            <w:vAlign w:val="center"/>
          </w:tcPr>
          <w:p w:rsidR="005F78FC" w:rsidRDefault="00B42EF3">
            <w:pPr>
              <w:pStyle w:val="TableBodyText"/>
            </w:pPr>
            <w:r>
              <w:t>File7</w:t>
            </w:r>
          </w:p>
        </w:tc>
      </w:tr>
      <w:tr w:rsidR="005F78FC" w:rsidTr="005F78FC">
        <w:tc>
          <w:tcPr>
            <w:tcW w:w="0" w:type="auto"/>
            <w:vAlign w:val="center"/>
          </w:tcPr>
          <w:p w:rsidR="005F78FC" w:rsidRDefault="00B42EF3">
            <w:pPr>
              <w:pStyle w:val="TableBodyText"/>
            </w:pPr>
            <w:r>
              <w:t>File8</w:t>
            </w:r>
          </w:p>
        </w:tc>
      </w:tr>
      <w:tr w:rsidR="005F78FC" w:rsidTr="005F78FC">
        <w:tc>
          <w:tcPr>
            <w:tcW w:w="0" w:type="auto"/>
            <w:vAlign w:val="center"/>
          </w:tcPr>
          <w:p w:rsidR="005F78FC" w:rsidRDefault="00B42EF3">
            <w:pPr>
              <w:pStyle w:val="TableBodyText"/>
            </w:pPr>
            <w:r>
              <w:t>File9</w:t>
            </w:r>
          </w:p>
        </w:tc>
      </w:tr>
      <w:tr w:rsidR="005F78FC" w:rsidTr="005F78FC">
        <w:tc>
          <w:tcPr>
            <w:tcW w:w="0" w:type="auto"/>
            <w:vAlign w:val="center"/>
          </w:tcPr>
          <w:p w:rsidR="005F78FC" w:rsidRDefault="00B42EF3">
            <w:pPr>
              <w:pStyle w:val="TableBodyText"/>
            </w:pPr>
            <w:r>
              <w:t>FileClose</w:t>
            </w:r>
          </w:p>
        </w:tc>
      </w:tr>
      <w:tr w:rsidR="005F78FC" w:rsidTr="005F78FC">
        <w:tc>
          <w:tcPr>
            <w:tcW w:w="0" w:type="auto"/>
            <w:vAlign w:val="center"/>
          </w:tcPr>
          <w:p w:rsidR="005F78FC" w:rsidRDefault="00B42EF3">
            <w:pPr>
              <w:pStyle w:val="TableBodyText"/>
            </w:pPr>
            <w:r>
              <w:t>FileCloseAll</w:t>
            </w:r>
          </w:p>
        </w:tc>
      </w:tr>
      <w:tr w:rsidR="005F78FC" w:rsidTr="005F78FC">
        <w:tc>
          <w:tcPr>
            <w:tcW w:w="0" w:type="auto"/>
            <w:vAlign w:val="center"/>
          </w:tcPr>
          <w:p w:rsidR="005F78FC" w:rsidRDefault="00B42EF3">
            <w:pPr>
              <w:pStyle w:val="TableBodyText"/>
            </w:pPr>
            <w:r>
              <w:t>FileConfirmConversions</w:t>
            </w:r>
          </w:p>
        </w:tc>
      </w:tr>
      <w:tr w:rsidR="005F78FC" w:rsidTr="005F78FC">
        <w:tc>
          <w:tcPr>
            <w:tcW w:w="0" w:type="auto"/>
            <w:vAlign w:val="center"/>
          </w:tcPr>
          <w:p w:rsidR="005F78FC" w:rsidRDefault="00B42EF3">
            <w:pPr>
              <w:pStyle w:val="TableBodyText"/>
            </w:pPr>
            <w:r>
              <w:t>FileExit</w:t>
            </w:r>
          </w:p>
        </w:tc>
      </w:tr>
      <w:tr w:rsidR="005F78FC" w:rsidTr="005F78FC">
        <w:tc>
          <w:tcPr>
            <w:tcW w:w="0" w:type="auto"/>
            <w:vAlign w:val="center"/>
          </w:tcPr>
          <w:p w:rsidR="005F78FC" w:rsidRDefault="00B42EF3">
            <w:pPr>
              <w:pStyle w:val="TableBodyText"/>
            </w:pPr>
            <w:r>
              <w:t>FileList</w:t>
            </w:r>
          </w:p>
        </w:tc>
      </w:tr>
      <w:tr w:rsidR="005F78FC" w:rsidTr="005F78FC">
        <w:tc>
          <w:tcPr>
            <w:tcW w:w="0" w:type="auto"/>
            <w:vAlign w:val="center"/>
          </w:tcPr>
          <w:p w:rsidR="005F78FC" w:rsidRDefault="00B42EF3">
            <w:pPr>
              <w:pStyle w:val="TableBodyText"/>
            </w:pPr>
            <w:r>
              <w:t>FileNFib</w:t>
            </w:r>
          </w:p>
        </w:tc>
      </w:tr>
      <w:tr w:rsidR="005F78FC" w:rsidTr="005F78FC">
        <w:tc>
          <w:tcPr>
            <w:tcW w:w="0" w:type="auto"/>
            <w:vAlign w:val="center"/>
          </w:tcPr>
          <w:p w:rsidR="005F78FC" w:rsidRDefault="00B42EF3">
            <w:pPr>
              <w:pStyle w:val="TableBodyText"/>
            </w:pPr>
            <w:r>
              <w:t>FilePost</w:t>
            </w:r>
          </w:p>
        </w:tc>
      </w:tr>
      <w:tr w:rsidR="005F78FC" w:rsidTr="005F78FC">
        <w:tc>
          <w:tcPr>
            <w:tcW w:w="0" w:type="auto"/>
            <w:vAlign w:val="center"/>
          </w:tcPr>
          <w:p w:rsidR="005F78FC" w:rsidRDefault="00B42EF3">
            <w:pPr>
              <w:pStyle w:val="TableBodyText"/>
            </w:pPr>
            <w:r>
              <w:t>FilePreview</w:t>
            </w:r>
          </w:p>
        </w:tc>
      </w:tr>
      <w:tr w:rsidR="005F78FC" w:rsidTr="005F78FC">
        <w:tc>
          <w:tcPr>
            <w:tcW w:w="0" w:type="auto"/>
            <w:vAlign w:val="center"/>
          </w:tcPr>
          <w:p w:rsidR="005F78FC" w:rsidRDefault="00B42EF3">
            <w:pPr>
              <w:pStyle w:val="TableBodyText"/>
            </w:pPr>
            <w:r>
              <w:lastRenderedPageBreak/>
              <w:t>FilePrintPreview</w:t>
            </w:r>
          </w:p>
        </w:tc>
      </w:tr>
      <w:tr w:rsidR="005F78FC" w:rsidTr="005F78FC">
        <w:tc>
          <w:tcPr>
            <w:tcW w:w="0" w:type="auto"/>
            <w:vAlign w:val="center"/>
          </w:tcPr>
          <w:p w:rsidR="005F78FC" w:rsidRDefault="00B42EF3">
            <w:pPr>
              <w:pStyle w:val="TableBodyText"/>
            </w:pPr>
            <w:r>
              <w:t>FilePrintPreviewPages</w:t>
            </w:r>
          </w:p>
        </w:tc>
      </w:tr>
      <w:tr w:rsidR="005F78FC" w:rsidTr="005F78FC">
        <w:tc>
          <w:tcPr>
            <w:tcW w:w="0" w:type="auto"/>
            <w:vAlign w:val="center"/>
          </w:tcPr>
          <w:p w:rsidR="005F78FC" w:rsidRDefault="00B42EF3">
            <w:pPr>
              <w:pStyle w:val="TableBodyText"/>
            </w:pPr>
            <w:r>
              <w:t>FileQuit</w:t>
            </w:r>
          </w:p>
        </w:tc>
      </w:tr>
      <w:tr w:rsidR="005F78FC" w:rsidTr="005F78FC">
        <w:tc>
          <w:tcPr>
            <w:tcW w:w="0" w:type="auto"/>
            <w:vAlign w:val="center"/>
          </w:tcPr>
          <w:p w:rsidR="005F78FC" w:rsidRDefault="00B42EF3">
            <w:pPr>
              <w:pStyle w:val="TableBodyText"/>
            </w:pPr>
            <w:r>
              <w:t>FileSaveAll</w:t>
            </w:r>
          </w:p>
        </w:tc>
      </w:tr>
      <w:tr w:rsidR="005F78FC" w:rsidTr="005F78FC">
        <w:tc>
          <w:tcPr>
            <w:tcW w:w="0" w:type="auto"/>
            <w:vAlign w:val="center"/>
          </w:tcPr>
          <w:p w:rsidR="005F78FC" w:rsidRDefault="00B42EF3">
            <w:pPr>
              <w:pStyle w:val="TableBodyText"/>
            </w:pPr>
            <w:r>
              <w:t>Font</w:t>
            </w:r>
          </w:p>
        </w:tc>
      </w:tr>
      <w:tr w:rsidR="005F78FC" w:rsidTr="005F78FC">
        <w:tc>
          <w:tcPr>
            <w:tcW w:w="0" w:type="auto"/>
            <w:vAlign w:val="center"/>
          </w:tcPr>
          <w:p w:rsidR="005F78FC" w:rsidRDefault="00B42EF3">
            <w:pPr>
              <w:pStyle w:val="TableBodyText"/>
            </w:pPr>
            <w:r>
              <w:t>FontSize</w:t>
            </w:r>
          </w:p>
        </w:tc>
      </w:tr>
      <w:tr w:rsidR="005F78FC" w:rsidTr="005F78FC">
        <w:tc>
          <w:tcPr>
            <w:tcW w:w="0" w:type="auto"/>
            <w:vAlign w:val="center"/>
          </w:tcPr>
          <w:p w:rsidR="005F78FC" w:rsidRDefault="00B42EF3">
            <w:pPr>
              <w:pStyle w:val="TableBodyText"/>
            </w:pPr>
            <w:r>
              <w:t>FormShading</w:t>
            </w:r>
          </w:p>
        </w:tc>
      </w:tr>
      <w:tr w:rsidR="005F78FC" w:rsidTr="005F78FC">
        <w:tc>
          <w:tcPr>
            <w:tcW w:w="0" w:type="auto"/>
            <w:vAlign w:val="center"/>
          </w:tcPr>
          <w:p w:rsidR="005F78FC" w:rsidRDefault="00B42EF3">
            <w:pPr>
              <w:pStyle w:val="TableBodyText"/>
            </w:pPr>
            <w:r>
              <w:t>FormatBulletDefault</w:t>
            </w:r>
          </w:p>
        </w:tc>
      </w:tr>
      <w:tr w:rsidR="005F78FC" w:rsidTr="005F78FC">
        <w:tc>
          <w:tcPr>
            <w:tcW w:w="0" w:type="auto"/>
            <w:vAlign w:val="center"/>
          </w:tcPr>
          <w:p w:rsidR="005F78FC" w:rsidRDefault="00B42EF3">
            <w:pPr>
              <w:pStyle w:val="TableBodyText"/>
            </w:pPr>
            <w:r>
              <w:t>FormatNumberDefault</w:t>
            </w:r>
          </w:p>
        </w:tc>
      </w:tr>
      <w:tr w:rsidR="005F78FC" w:rsidTr="005F78FC">
        <w:tc>
          <w:tcPr>
            <w:tcW w:w="0" w:type="auto"/>
            <w:vAlign w:val="center"/>
          </w:tcPr>
          <w:p w:rsidR="005F78FC" w:rsidRDefault="00B42EF3">
            <w:pPr>
              <w:pStyle w:val="TableBodyText"/>
            </w:pPr>
            <w:r>
              <w:t>FuzzyCompare</w:t>
            </w:r>
          </w:p>
        </w:tc>
      </w:tr>
      <w:tr w:rsidR="005F78FC" w:rsidTr="005F78FC">
        <w:tc>
          <w:tcPr>
            <w:tcW w:w="0" w:type="auto"/>
            <w:vAlign w:val="center"/>
          </w:tcPr>
          <w:p w:rsidR="005F78FC" w:rsidRDefault="00B42EF3">
            <w:pPr>
              <w:pStyle w:val="TableBodyText"/>
            </w:pPr>
            <w:r>
              <w:t>GetAddInId</w:t>
            </w:r>
          </w:p>
        </w:tc>
      </w:tr>
      <w:tr w:rsidR="005F78FC" w:rsidTr="005F78FC">
        <w:tc>
          <w:tcPr>
            <w:tcW w:w="0" w:type="auto"/>
            <w:vAlign w:val="center"/>
          </w:tcPr>
          <w:p w:rsidR="005F78FC" w:rsidRDefault="00B42EF3">
            <w:pPr>
              <w:pStyle w:val="TableBodyText"/>
            </w:pPr>
            <w:r>
              <w:t>GetAttr</w:t>
            </w:r>
          </w:p>
        </w:tc>
      </w:tr>
      <w:tr w:rsidR="005F78FC" w:rsidTr="005F78FC">
        <w:tc>
          <w:tcPr>
            <w:tcW w:w="0" w:type="auto"/>
            <w:vAlign w:val="center"/>
          </w:tcPr>
          <w:p w:rsidR="005F78FC" w:rsidRDefault="00B42EF3">
            <w:pPr>
              <w:pStyle w:val="TableBodyText"/>
            </w:pPr>
            <w:r>
              <w:t>GetDocumentProperty</w:t>
            </w:r>
          </w:p>
        </w:tc>
      </w:tr>
      <w:tr w:rsidR="005F78FC" w:rsidTr="005F78FC">
        <w:tc>
          <w:tcPr>
            <w:tcW w:w="0" w:type="auto"/>
            <w:vAlign w:val="center"/>
          </w:tcPr>
          <w:p w:rsidR="005F78FC" w:rsidRDefault="00B42EF3">
            <w:pPr>
              <w:pStyle w:val="TableBodyText"/>
            </w:pPr>
            <w:r>
              <w:t>GetFormResult</w:t>
            </w:r>
          </w:p>
        </w:tc>
      </w:tr>
      <w:tr w:rsidR="005F78FC" w:rsidTr="005F78FC">
        <w:tc>
          <w:tcPr>
            <w:tcW w:w="0" w:type="auto"/>
            <w:vAlign w:val="center"/>
          </w:tcPr>
          <w:p w:rsidR="005F78FC" w:rsidRDefault="00B42EF3">
            <w:pPr>
              <w:pStyle w:val="TableBodyText"/>
            </w:pPr>
            <w:r>
              <w:t>GetSelEndPos</w:t>
            </w:r>
          </w:p>
        </w:tc>
      </w:tr>
      <w:tr w:rsidR="005F78FC" w:rsidTr="005F78FC">
        <w:tc>
          <w:tcPr>
            <w:tcW w:w="0" w:type="auto"/>
            <w:vAlign w:val="center"/>
          </w:tcPr>
          <w:p w:rsidR="005F78FC" w:rsidRDefault="00B42EF3">
            <w:pPr>
              <w:pStyle w:val="TableBodyText"/>
            </w:pPr>
            <w:r>
              <w:t>GetSelStartPos</w:t>
            </w:r>
          </w:p>
        </w:tc>
      </w:tr>
      <w:tr w:rsidR="005F78FC" w:rsidTr="005F78FC">
        <w:tc>
          <w:tcPr>
            <w:tcW w:w="0" w:type="auto"/>
            <w:vAlign w:val="center"/>
          </w:tcPr>
          <w:p w:rsidR="005F78FC" w:rsidRDefault="00B42EF3">
            <w:pPr>
              <w:pStyle w:val="TableBodyText"/>
            </w:pPr>
            <w:r>
              <w:t>GetSystemInfo</w:t>
            </w:r>
          </w:p>
        </w:tc>
      </w:tr>
      <w:tr w:rsidR="005F78FC" w:rsidTr="005F78FC">
        <w:tc>
          <w:tcPr>
            <w:tcW w:w="0" w:type="auto"/>
            <w:vAlign w:val="center"/>
          </w:tcPr>
          <w:p w:rsidR="005F78FC" w:rsidRDefault="00B42EF3">
            <w:pPr>
              <w:pStyle w:val="TableBodyText"/>
            </w:pPr>
            <w:r>
              <w:t>GoToNextSubdocument</w:t>
            </w:r>
          </w:p>
        </w:tc>
      </w:tr>
      <w:tr w:rsidR="005F78FC" w:rsidTr="005F78FC">
        <w:tc>
          <w:tcPr>
            <w:tcW w:w="0" w:type="auto"/>
            <w:vAlign w:val="center"/>
          </w:tcPr>
          <w:p w:rsidR="005F78FC" w:rsidRDefault="00B42EF3">
            <w:pPr>
              <w:pStyle w:val="TableBodyText"/>
            </w:pPr>
            <w:r>
              <w:t>GoToPreviousSubdocument</w:t>
            </w:r>
          </w:p>
        </w:tc>
      </w:tr>
      <w:tr w:rsidR="005F78FC" w:rsidTr="005F78FC">
        <w:tc>
          <w:tcPr>
            <w:tcW w:w="0" w:type="auto"/>
            <w:vAlign w:val="center"/>
          </w:tcPr>
          <w:p w:rsidR="005F78FC" w:rsidRDefault="00B42EF3">
            <w:pPr>
              <w:pStyle w:val="TableBodyText"/>
            </w:pPr>
            <w:r>
              <w:t>GroupBox</w:t>
            </w:r>
          </w:p>
        </w:tc>
      </w:tr>
      <w:tr w:rsidR="005F78FC" w:rsidTr="005F78FC">
        <w:tc>
          <w:tcPr>
            <w:tcW w:w="0" w:type="auto"/>
            <w:vAlign w:val="center"/>
          </w:tcPr>
          <w:p w:rsidR="005F78FC" w:rsidRDefault="00B42EF3">
            <w:pPr>
              <w:pStyle w:val="TableBodyText"/>
            </w:pPr>
            <w:r>
              <w:t>HLine</w:t>
            </w:r>
          </w:p>
        </w:tc>
      </w:tr>
      <w:tr w:rsidR="005F78FC" w:rsidTr="005F78FC">
        <w:tc>
          <w:tcPr>
            <w:tcW w:w="0" w:type="auto"/>
            <w:vAlign w:val="center"/>
          </w:tcPr>
          <w:p w:rsidR="005F78FC" w:rsidRDefault="00B42EF3">
            <w:pPr>
              <w:pStyle w:val="TableBodyText"/>
            </w:pPr>
            <w:r>
              <w:t>HPage</w:t>
            </w:r>
          </w:p>
        </w:tc>
      </w:tr>
      <w:tr w:rsidR="005F78FC" w:rsidTr="005F78FC">
        <w:tc>
          <w:tcPr>
            <w:tcW w:w="0" w:type="auto"/>
            <w:vAlign w:val="center"/>
          </w:tcPr>
          <w:p w:rsidR="005F78FC" w:rsidRDefault="00B42EF3">
            <w:pPr>
              <w:pStyle w:val="TableBodyText"/>
            </w:pPr>
            <w:r>
              <w:t>HScroll</w:t>
            </w:r>
          </w:p>
        </w:tc>
      </w:tr>
      <w:tr w:rsidR="005F78FC" w:rsidTr="005F78FC">
        <w:tc>
          <w:tcPr>
            <w:tcW w:w="0" w:type="auto"/>
            <w:vAlign w:val="center"/>
          </w:tcPr>
          <w:p w:rsidR="005F78FC" w:rsidRDefault="00B42EF3">
            <w:pPr>
              <w:pStyle w:val="TableBodyText"/>
            </w:pPr>
            <w:r>
              <w:t>Hidden</w:t>
            </w:r>
          </w:p>
        </w:tc>
      </w:tr>
      <w:tr w:rsidR="005F78FC" w:rsidTr="005F78FC">
        <w:tc>
          <w:tcPr>
            <w:tcW w:w="0" w:type="auto"/>
            <w:vAlign w:val="center"/>
          </w:tcPr>
          <w:p w:rsidR="005F78FC" w:rsidRDefault="00B42EF3">
            <w:pPr>
              <w:pStyle w:val="TableBodyText"/>
            </w:pPr>
            <w:r>
              <w:t>HighlightColor</w:t>
            </w:r>
          </w:p>
        </w:tc>
      </w:tr>
      <w:tr w:rsidR="005F78FC" w:rsidTr="005F78FC">
        <w:tc>
          <w:tcPr>
            <w:tcW w:w="0" w:type="auto"/>
            <w:vAlign w:val="center"/>
          </w:tcPr>
          <w:p w:rsidR="005F78FC" w:rsidRDefault="00B42EF3">
            <w:pPr>
              <w:pStyle w:val="TableBodyText"/>
            </w:pPr>
            <w:r>
              <w:t>Hour</w:t>
            </w:r>
          </w:p>
        </w:tc>
      </w:tr>
      <w:tr w:rsidR="005F78FC" w:rsidTr="005F78FC">
        <w:tc>
          <w:tcPr>
            <w:tcW w:w="0" w:type="auto"/>
            <w:vAlign w:val="center"/>
          </w:tcPr>
          <w:p w:rsidR="005F78FC" w:rsidRDefault="00B42EF3">
            <w:pPr>
              <w:pStyle w:val="TableBodyText"/>
            </w:pPr>
            <w:r>
              <w:t>IMEControl</w:t>
            </w:r>
          </w:p>
        </w:tc>
      </w:tr>
      <w:tr w:rsidR="005F78FC" w:rsidTr="005F78FC">
        <w:tc>
          <w:tcPr>
            <w:tcW w:w="0" w:type="auto"/>
            <w:vAlign w:val="center"/>
          </w:tcPr>
          <w:p w:rsidR="005F78FC" w:rsidRDefault="00B42EF3">
            <w:pPr>
              <w:pStyle w:val="TableBodyText"/>
            </w:pPr>
            <w:r>
              <w:t>InStr</w:t>
            </w:r>
          </w:p>
        </w:tc>
      </w:tr>
      <w:tr w:rsidR="005F78FC" w:rsidTr="005F78FC">
        <w:tc>
          <w:tcPr>
            <w:tcW w:w="0" w:type="auto"/>
            <w:vAlign w:val="center"/>
          </w:tcPr>
          <w:p w:rsidR="005F78FC" w:rsidRDefault="00B42EF3">
            <w:pPr>
              <w:pStyle w:val="TableBodyText"/>
            </w:pPr>
            <w:r>
              <w:t>InStrB</w:t>
            </w:r>
          </w:p>
        </w:tc>
      </w:tr>
      <w:tr w:rsidR="005F78FC" w:rsidTr="005F78FC">
        <w:tc>
          <w:tcPr>
            <w:tcW w:w="0" w:type="auto"/>
            <w:vAlign w:val="center"/>
          </w:tcPr>
          <w:p w:rsidR="005F78FC" w:rsidRDefault="00B42EF3">
            <w:pPr>
              <w:pStyle w:val="TableBodyText"/>
            </w:pPr>
            <w:r>
              <w:t>Insert</w:t>
            </w:r>
          </w:p>
        </w:tc>
      </w:tr>
      <w:tr w:rsidR="005F78FC" w:rsidTr="005F78FC">
        <w:tc>
          <w:tcPr>
            <w:tcW w:w="0" w:type="auto"/>
            <w:vAlign w:val="center"/>
          </w:tcPr>
          <w:p w:rsidR="005F78FC" w:rsidRDefault="00B42EF3">
            <w:pPr>
              <w:pStyle w:val="TableBodyText"/>
            </w:pPr>
            <w:r>
              <w:t>InsertPara</w:t>
            </w:r>
          </w:p>
        </w:tc>
      </w:tr>
      <w:tr w:rsidR="005F78FC" w:rsidTr="005F78FC">
        <w:tc>
          <w:tcPr>
            <w:tcW w:w="0" w:type="auto"/>
            <w:vAlign w:val="center"/>
          </w:tcPr>
          <w:p w:rsidR="005F78FC" w:rsidRDefault="00B42EF3">
            <w:pPr>
              <w:pStyle w:val="TableBodyText"/>
            </w:pPr>
            <w:r>
              <w:t>Int</w:t>
            </w:r>
          </w:p>
        </w:tc>
      </w:tr>
      <w:tr w:rsidR="005F78FC" w:rsidTr="005F78FC">
        <w:tc>
          <w:tcPr>
            <w:tcW w:w="0" w:type="auto"/>
            <w:vAlign w:val="center"/>
          </w:tcPr>
          <w:p w:rsidR="005F78FC" w:rsidRDefault="00B42EF3">
            <w:pPr>
              <w:pStyle w:val="TableBodyText"/>
            </w:pPr>
            <w:r>
              <w:lastRenderedPageBreak/>
              <w:t>InvalAllDocs</w:t>
            </w:r>
          </w:p>
        </w:tc>
      </w:tr>
      <w:tr w:rsidR="005F78FC" w:rsidTr="005F78FC">
        <w:tc>
          <w:tcPr>
            <w:tcW w:w="0" w:type="auto"/>
            <w:vAlign w:val="center"/>
          </w:tcPr>
          <w:p w:rsidR="005F78FC" w:rsidRDefault="00B42EF3">
            <w:pPr>
              <w:pStyle w:val="TableBodyText"/>
            </w:pPr>
            <w:r>
              <w:t>InvalAllDocsRepagOnly</w:t>
            </w:r>
          </w:p>
        </w:tc>
      </w:tr>
      <w:tr w:rsidR="005F78FC" w:rsidTr="005F78FC">
        <w:tc>
          <w:tcPr>
            <w:tcW w:w="0" w:type="auto"/>
            <w:vAlign w:val="center"/>
          </w:tcPr>
          <w:p w:rsidR="005F78FC" w:rsidRDefault="00B42EF3">
            <w:pPr>
              <w:pStyle w:val="TableBodyText"/>
            </w:pPr>
            <w:r>
              <w:t>IsAutoCorrectException</w:t>
            </w:r>
          </w:p>
        </w:tc>
      </w:tr>
      <w:tr w:rsidR="005F78FC" w:rsidTr="005F78FC">
        <w:tc>
          <w:tcPr>
            <w:tcW w:w="0" w:type="auto"/>
            <w:vAlign w:val="center"/>
          </w:tcPr>
          <w:p w:rsidR="005F78FC" w:rsidRDefault="00B42EF3">
            <w:pPr>
              <w:pStyle w:val="TableBodyText"/>
            </w:pPr>
            <w:r>
              <w:t>IsCustomDocumentProperty</w:t>
            </w:r>
          </w:p>
        </w:tc>
      </w:tr>
      <w:tr w:rsidR="005F78FC" w:rsidTr="005F78FC">
        <w:tc>
          <w:tcPr>
            <w:tcW w:w="0" w:type="auto"/>
            <w:vAlign w:val="center"/>
          </w:tcPr>
          <w:p w:rsidR="005F78FC" w:rsidRDefault="00B42EF3">
            <w:pPr>
              <w:pStyle w:val="TableBodyText"/>
            </w:pPr>
            <w:r>
              <w:t>IsDocumentDirty</w:t>
            </w:r>
          </w:p>
        </w:tc>
      </w:tr>
      <w:tr w:rsidR="005F78FC" w:rsidTr="005F78FC">
        <w:tc>
          <w:tcPr>
            <w:tcW w:w="0" w:type="auto"/>
            <w:vAlign w:val="center"/>
          </w:tcPr>
          <w:p w:rsidR="005F78FC" w:rsidRDefault="00B42EF3">
            <w:pPr>
              <w:pStyle w:val="TableBodyText"/>
            </w:pPr>
            <w:r>
              <w:t>IsDocumentPropertyReadOnly</w:t>
            </w:r>
          </w:p>
        </w:tc>
      </w:tr>
      <w:tr w:rsidR="005F78FC" w:rsidTr="005F78FC">
        <w:tc>
          <w:tcPr>
            <w:tcW w:w="0" w:type="auto"/>
            <w:vAlign w:val="center"/>
          </w:tcPr>
          <w:p w:rsidR="005F78FC" w:rsidRDefault="00B42EF3">
            <w:pPr>
              <w:pStyle w:val="TableBodyText"/>
            </w:pPr>
            <w:r>
              <w:t>IsExecuteOnly</w:t>
            </w:r>
          </w:p>
        </w:tc>
      </w:tr>
      <w:tr w:rsidR="005F78FC" w:rsidTr="005F78FC">
        <w:tc>
          <w:tcPr>
            <w:tcW w:w="0" w:type="auto"/>
            <w:vAlign w:val="center"/>
          </w:tcPr>
          <w:p w:rsidR="005F78FC" w:rsidRDefault="00B42EF3">
            <w:pPr>
              <w:pStyle w:val="TableBodyText"/>
            </w:pPr>
            <w:r>
              <w:t>IsMacro</w:t>
            </w:r>
          </w:p>
        </w:tc>
      </w:tr>
      <w:tr w:rsidR="005F78FC" w:rsidTr="005F78FC">
        <w:tc>
          <w:tcPr>
            <w:tcW w:w="0" w:type="auto"/>
            <w:vAlign w:val="center"/>
          </w:tcPr>
          <w:p w:rsidR="005F78FC" w:rsidRDefault="00B42EF3">
            <w:pPr>
              <w:pStyle w:val="TableBodyText"/>
            </w:pPr>
            <w:r>
              <w:t>IsTemplateDirty</w:t>
            </w:r>
          </w:p>
        </w:tc>
      </w:tr>
      <w:tr w:rsidR="005F78FC" w:rsidTr="005F78FC">
        <w:tc>
          <w:tcPr>
            <w:tcW w:w="0" w:type="auto"/>
            <w:vAlign w:val="center"/>
          </w:tcPr>
          <w:p w:rsidR="005F78FC" w:rsidRDefault="00B42EF3">
            <w:pPr>
              <w:pStyle w:val="TableBodyText"/>
            </w:pPr>
            <w:r>
              <w:t>Italic</w:t>
            </w:r>
          </w:p>
        </w:tc>
      </w:tr>
      <w:tr w:rsidR="005F78FC" w:rsidTr="005F78FC">
        <w:tc>
          <w:tcPr>
            <w:tcW w:w="0" w:type="auto"/>
            <w:vAlign w:val="center"/>
          </w:tcPr>
          <w:p w:rsidR="005F78FC" w:rsidRDefault="00B42EF3">
            <w:pPr>
              <w:pStyle w:val="TableBodyText"/>
            </w:pPr>
            <w:r>
              <w:t>ItalicRun</w:t>
            </w:r>
          </w:p>
        </w:tc>
      </w:tr>
      <w:tr w:rsidR="005F78FC" w:rsidTr="005F78FC">
        <w:tc>
          <w:tcPr>
            <w:tcW w:w="0" w:type="auto"/>
            <w:vAlign w:val="center"/>
          </w:tcPr>
          <w:p w:rsidR="005F78FC" w:rsidRDefault="00B42EF3">
            <w:pPr>
              <w:pStyle w:val="TableBodyText"/>
            </w:pPr>
            <w:r>
              <w:t>JustifyPara</w:t>
            </w:r>
          </w:p>
        </w:tc>
      </w:tr>
      <w:tr w:rsidR="005F78FC" w:rsidTr="005F78FC">
        <w:tc>
          <w:tcPr>
            <w:tcW w:w="0" w:type="auto"/>
            <w:vAlign w:val="center"/>
          </w:tcPr>
          <w:p w:rsidR="005F78FC" w:rsidRDefault="00B42EF3">
            <w:pPr>
              <w:pStyle w:val="TableBodyText"/>
            </w:pPr>
            <w:r>
              <w:t>KeyCode</w:t>
            </w:r>
          </w:p>
        </w:tc>
      </w:tr>
      <w:tr w:rsidR="005F78FC" w:rsidTr="005F78FC">
        <w:tc>
          <w:tcPr>
            <w:tcW w:w="0" w:type="auto"/>
            <w:vAlign w:val="center"/>
          </w:tcPr>
          <w:p w:rsidR="005F78FC" w:rsidRDefault="00B42EF3">
            <w:pPr>
              <w:pStyle w:val="TableBodyText"/>
            </w:pPr>
            <w:r>
              <w:t>Kill</w:t>
            </w:r>
          </w:p>
        </w:tc>
      </w:tr>
      <w:tr w:rsidR="005F78FC" w:rsidTr="005F78FC">
        <w:tc>
          <w:tcPr>
            <w:tcW w:w="0" w:type="auto"/>
            <w:vAlign w:val="center"/>
          </w:tcPr>
          <w:p w:rsidR="005F78FC" w:rsidRDefault="00B42EF3">
            <w:pPr>
              <w:pStyle w:val="TableBodyText"/>
            </w:pPr>
            <w:r>
              <w:t>Language</w:t>
            </w:r>
          </w:p>
        </w:tc>
      </w:tr>
      <w:tr w:rsidR="005F78FC" w:rsidTr="005F78FC">
        <w:tc>
          <w:tcPr>
            <w:tcW w:w="0" w:type="auto"/>
            <w:vAlign w:val="center"/>
          </w:tcPr>
          <w:p w:rsidR="005F78FC" w:rsidRDefault="00B42EF3">
            <w:pPr>
              <w:pStyle w:val="TableBodyText"/>
            </w:pPr>
            <w:r>
              <w:t>LeftPara</w:t>
            </w:r>
          </w:p>
        </w:tc>
      </w:tr>
      <w:tr w:rsidR="005F78FC" w:rsidTr="005F78FC">
        <w:tc>
          <w:tcPr>
            <w:tcW w:w="0" w:type="auto"/>
            <w:vAlign w:val="center"/>
          </w:tcPr>
          <w:p w:rsidR="005F78FC" w:rsidRDefault="00B42EF3">
            <w:pPr>
              <w:pStyle w:val="TableBodyText"/>
            </w:pPr>
            <w:r>
              <w:t>Len</w:t>
            </w:r>
          </w:p>
        </w:tc>
      </w:tr>
      <w:tr w:rsidR="005F78FC" w:rsidTr="005F78FC">
        <w:tc>
          <w:tcPr>
            <w:tcW w:w="0" w:type="auto"/>
            <w:vAlign w:val="center"/>
          </w:tcPr>
          <w:p w:rsidR="005F78FC" w:rsidRDefault="00B42EF3">
            <w:pPr>
              <w:pStyle w:val="TableBodyText"/>
            </w:pPr>
            <w:r>
              <w:t>LenB</w:t>
            </w:r>
          </w:p>
        </w:tc>
      </w:tr>
      <w:tr w:rsidR="005F78FC" w:rsidTr="005F78FC">
        <w:tc>
          <w:tcPr>
            <w:tcW w:w="0" w:type="auto"/>
            <w:vAlign w:val="center"/>
          </w:tcPr>
          <w:p w:rsidR="005F78FC" w:rsidRDefault="00B42EF3">
            <w:pPr>
              <w:pStyle w:val="TableBodyText"/>
            </w:pPr>
            <w:r>
              <w:t>LineDown</w:t>
            </w:r>
          </w:p>
        </w:tc>
      </w:tr>
      <w:tr w:rsidR="005F78FC" w:rsidTr="005F78FC">
        <w:tc>
          <w:tcPr>
            <w:tcW w:w="0" w:type="auto"/>
            <w:vAlign w:val="center"/>
          </w:tcPr>
          <w:p w:rsidR="005F78FC" w:rsidRDefault="00B42EF3">
            <w:pPr>
              <w:pStyle w:val="TableBodyText"/>
            </w:pPr>
            <w:r>
              <w:t>LineSpacing</w:t>
            </w:r>
          </w:p>
        </w:tc>
      </w:tr>
      <w:tr w:rsidR="005F78FC" w:rsidTr="005F78FC">
        <w:tc>
          <w:tcPr>
            <w:tcW w:w="0" w:type="auto"/>
            <w:vAlign w:val="center"/>
          </w:tcPr>
          <w:p w:rsidR="005F78FC" w:rsidRDefault="00B42EF3">
            <w:pPr>
              <w:pStyle w:val="TableBodyText"/>
            </w:pPr>
            <w:r>
              <w:t>LineUp</w:t>
            </w:r>
          </w:p>
        </w:tc>
      </w:tr>
      <w:tr w:rsidR="005F78FC" w:rsidTr="005F78FC">
        <w:tc>
          <w:tcPr>
            <w:tcW w:w="0" w:type="auto"/>
            <w:vAlign w:val="center"/>
          </w:tcPr>
          <w:p w:rsidR="005F78FC" w:rsidRDefault="00B42EF3">
            <w:pPr>
              <w:pStyle w:val="TableBodyText"/>
            </w:pPr>
            <w:r>
              <w:t>ListBox</w:t>
            </w:r>
          </w:p>
        </w:tc>
      </w:tr>
      <w:tr w:rsidR="005F78FC" w:rsidTr="005F78FC">
        <w:tc>
          <w:tcPr>
            <w:tcW w:w="0" w:type="auto"/>
            <w:vAlign w:val="center"/>
          </w:tcPr>
          <w:p w:rsidR="005F78FC" w:rsidRDefault="00B42EF3">
            <w:pPr>
              <w:pStyle w:val="TableBodyText"/>
            </w:pPr>
            <w:r>
              <w:t>LockDocument</w:t>
            </w:r>
          </w:p>
        </w:tc>
      </w:tr>
      <w:tr w:rsidR="005F78FC" w:rsidTr="005F78FC">
        <w:tc>
          <w:tcPr>
            <w:tcW w:w="0" w:type="auto"/>
            <w:vAlign w:val="center"/>
          </w:tcPr>
          <w:p w:rsidR="005F78FC" w:rsidRDefault="00B42EF3">
            <w:pPr>
              <w:pStyle w:val="TableBodyText"/>
            </w:pPr>
            <w:r>
              <w:t>Lof</w:t>
            </w:r>
          </w:p>
        </w:tc>
      </w:tr>
      <w:tr w:rsidR="005F78FC" w:rsidTr="005F78FC">
        <w:tc>
          <w:tcPr>
            <w:tcW w:w="0" w:type="auto"/>
            <w:vAlign w:val="center"/>
          </w:tcPr>
          <w:p w:rsidR="005F78FC" w:rsidRDefault="00B42EF3">
            <w:pPr>
              <w:pStyle w:val="TableBodyText"/>
            </w:pPr>
            <w:r>
              <w:t>LtrKeyb</w:t>
            </w:r>
          </w:p>
        </w:tc>
      </w:tr>
      <w:tr w:rsidR="005F78FC" w:rsidTr="005F78FC">
        <w:tc>
          <w:tcPr>
            <w:tcW w:w="0" w:type="auto"/>
            <w:vAlign w:val="center"/>
          </w:tcPr>
          <w:p w:rsidR="005F78FC" w:rsidRDefault="00B42EF3">
            <w:pPr>
              <w:pStyle w:val="TableBodyText"/>
            </w:pPr>
            <w:r>
              <w:t>LtrPara</w:t>
            </w:r>
          </w:p>
        </w:tc>
      </w:tr>
      <w:tr w:rsidR="005F78FC" w:rsidTr="005F78FC">
        <w:tc>
          <w:tcPr>
            <w:tcW w:w="0" w:type="auto"/>
            <w:vAlign w:val="center"/>
          </w:tcPr>
          <w:p w:rsidR="005F78FC" w:rsidRDefault="00B42EF3">
            <w:pPr>
              <w:pStyle w:val="TableBodyText"/>
            </w:pPr>
            <w:r>
              <w:t>LtrRun</w:t>
            </w:r>
          </w:p>
        </w:tc>
      </w:tr>
      <w:tr w:rsidR="005F78FC" w:rsidTr="005F78FC">
        <w:tc>
          <w:tcPr>
            <w:tcW w:w="0" w:type="auto"/>
            <w:vAlign w:val="center"/>
          </w:tcPr>
          <w:p w:rsidR="005F78FC" w:rsidRDefault="00B42EF3">
            <w:pPr>
              <w:pStyle w:val="TableBodyText"/>
            </w:pPr>
            <w:r>
              <w:t>MacScript</w:t>
            </w:r>
          </w:p>
        </w:tc>
      </w:tr>
      <w:tr w:rsidR="005F78FC" w:rsidTr="005F78FC">
        <w:tc>
          <w:tcPr>
            <w:tcW w:w="0" w:type="auto"/>
            <w:vAlign w:val="center"/>
          </w:tcPr>
          <w:p w:rsidR="005F78FC" w:rsidRDefault="00B42EF3">
            <w:pPr>
              <w:pStyle w:val="TableBodyText"/>
            </w:pPr>
            <w:r>
              <w:t>MacroCopy</w:t>
            </w:r>
          </w:p>
        </w:tc>
      </w:tr>
      <w:tr w:rsidR="005F78FC" w:rsidTr="005F78FC">
        <w:tc>
          <w:tcPr>
            <w:tcW w:w="0" w:type="auto"/>
            <w:vAlign w:val="center"/>
          </w:tcPr>
          <w:p w:rsidR="005F78FC" w:rsidRDefault="00B42EF3">
            <w:pPr>
              <w:pStyle w:val="TableBodyText"/>
            </w:pPr>
            <w:r>
              <w:t>Magnifier</w:t>
            </w:r>
          </w:p>
        </w:tc>
      </w:tr>
      <w:tr w:rsidR="005F78FC" w:rsidTr="005F78FC">
        <w:tc>
          <w:tcPr>
            <w:tcW w:w="0" w:type="auto"/>
            <w:vAlign w:val="center"/>
          </w:tcPr>
          <w:p w:rsidR="005F78FC" w:rsidRDefault="00B42EF3">
            <w:pPr>
              <w:pStyle w:val="TableBodyText"/>
            </w:pPr>
            <w:r>
              <w:t>MailMergeAskToConvertChevrons</w:t>
            </w:r>
          </w:p>
        </w:tc>
      </w:tr>
      <w:tr w:rsidR="005F78FC" w:rsidTr="005F78FC">
        <w:tc>
          <w:tcPr>
            <w:tcW w:w="0" w:type="auto"/>
            <w:vAlign w:val="center"/>
          </w:tcPr>
          <w:p w:rsidR="005F78FC" w:rsidRDefault="00B42EF3">
            <w:pPr>
              <w:pStyle w:val="TableBodyText"/>
            </w:pPr>
            <w:r>
              <w:t>MailMergeConvertChevrons</w:t>
            </w:r>
          </w:p>
        </w:tc>
      </w:tr>
      <w:tr w:rsidR="005F78FC" w:rsidTr="005F78FC">
        <w:tc>
          <w:tcPr>
            <w:tcW w:w="0" w:type="auto"/>
            <w:vAlign w:val="center"/>
          </w:tcPr>
          <w:p w:rsidR="005F78FC" w:rsidRDefault="00B42EF3">
            <w:pPr>
              <w:pStyle w:val="TableBodyText"/>
            </w:pPr>
            <w:r>
              <w:lastRenderedPageBreak/>
              <w:t>MailMergeFoundRecord</w:t>
            </w:r>
          </w:p>
        </w:tc>
      </w:tr>
      <w:tr w:rsidR="005F78FC" w:rsidTr="005F78FC">
        <w:tc>
          <w:tcPr>
            <w:tcW w:w="0" w:type="auto"/>
            <w:vAlign w:val="center"/>
          </w:tcPr>
          <w:p w:rsidR="005F78FC" w:rsidRDefault="00B42EF3">
            <w:pPr>
              <w:pStyle w:val="TableBodyText"/>
            </w:pPr>
            <w:r>
              <w:t>MailMergeGoToRecord</w:t>
            </w:r>
          </w:p>
        </w:tc>
      </w:tr>
      <w:tr w:rsidR="005F78FC" w:rsidTr="005F78FC">
        <w:tc>
          <w:tcPr>
            <w:tcW w:w="0" w:type="auto"/>
            <w:vAlign w:val="center"/>
          </w:tcPr>
          <w:p w:rsidR="005F78FC" w:rsidRDefault="00B42EF3">
            <w:pPr>
              <w:pStyle w:val="TableBodyText"/>
            </w:pPr>
            <w:r>
              <w:t>MailMergeMainDocumentType</w:t>
            </w:r>
          </w:p>
        </w:tc>
      </w:tr>
      <w:tr w:rsidR="005F78FC" w:rsidTr="005F78FC">
        <w:tc>
          <w:tcPr>
            <w:tcW w:w="0" w:type="auto"/>
            <w:vAlign w:val="center"/>
          </w:tcPr>
          <w:p w:rsidR="005F78FC" w:rsidRDefault="00B42EF3">
            <w:pPr>
              <w:pStyle w:val="TableBodyText"/>
            </w:pPr>
            <w:r>
              <w:t>MailMergeState</w:t>
            </w:r>
          </w:p>
        </w:tc>
      </w:tr>
      <w:tr w:rsidR="005F78FC" w:rsidTr="005F78FC">
        <w:tc>
          <w:tcPr>
            <w:tcW w:w="0" w:type="auto"/>
            <w:vAlign w:val="center"/>
          </w:tcPr>
          <w:p w:rsidR="005F78FC" w:rsidRDefault="00B42EF3">
            <w:pPr>
              <w:pStyle w:val="TableBodyText"/>
            </w:pPr>
            <w:r>
              <w:t>MailMergeViewData</w:t>
            </w:r>
          </w:p>
        </w:tc>
      </w:tr>
      <w:tr w:rsidR="005F78FC" w:rsidTr="005F78FC">
        <w:tc>
          <w:tcPr>
            <w:tcW w:w="0" w:type="auto"/>
            <w:vAlign w:val="center"/>
          </w:tcPr>
          <w:p w:rsidR="005F78FC" w:rsidRDefault="00B42EF3">
            <w:pPr>
              <w:pStyle w:val="TableBodyText"/>
            </w:pPr>
            <w:r>
              <w:t>MainTextFlow</w:t>
            </w:r>
          </w:p>
        </w:tc>
      </w:tr>
      <w:tr w:rsidR="005F78FC" w:rsidTr="005F78FC">
        <w:tc>
          <w:tcPr>
            <w:tcW w:w="0" w:type="auto"/>
            <w:vAlign w:val="center"/>
          </w:tcPr>
          <w:p w:rsidR="005F78FC" w:rsidRDefault="00B42EF3">
            <w:pPr>
              <w:pStyle w:val="TableBodyText"/>
            </w:pPr>
            <w:r>
              <w:t>MemAllocFail</w:t>
            </w:r>
          </w:p>
        </w:tc>
      </w:tr>
      <w:tr w:rsidR="005F78FC" w:rsidTr="005F78FC">
        <w:tc>
          <w:tcPr>
            <w:tcW w:w="0" w:type="auto"/>
            <w:vAlign w:val="center"/>
          </w:tcPr>
          <w:p w:rsidR="005F78FC" w:rsidRDefault="00B42EF3">
            <w:pPr>
              <w:pStyle w:val="TableBodyText"/>
            </w:pPr>
            <w:r>
              <w:t>MenuDirection</w:t>
            </w:r>
          </w:p>
        </w:tc>
      </w:tr>
      <w:tr w:rsidR="005F78FC" w:rsidTr="005F78FC">
        <w:tc>
          <w:tcPr>
            <w:tcW w:w="0" w:type="auto"/>
            <w:vAlign w:val="center"/>
          </w:tcPr>
          <w:p w:rsidR="005F78FC" w:rsidRDefault="00B42EF3">
            <w:pPr>
              <w:pStyle w:val="TableBodyText"/>
            </w:pPr>
            <w:r>
              <w:t>Minute</w:t>
            </w:r>
          </w:p>
        </w:tc>
      </w:tr>
      <w:tr w:rsidR="005F78FC" w:rsidTr="005F78FC">
        <w:tc>
          <w:tcPr>
            <w:tcW w:w="0" w:type="auto"/>
            <w:vAlign w:val="center"/>
          </w:tcPr>
          <w:p w:rsidR="005F78FC" w:rsidRDefault="00B42EF3">
            <w:pPr>
              <w:pStyle w:val="TableBodyText"/>
            </w:pPr>
            <w:r>
              <w:t>MkDir</w:t>
            </w:r>
          </w:p>
        </w:tc>
      </w:tr>
      <w:tr w:rsidR="005F78FC" w:rsidTr="005F78FC">
        <w:tc>
          <w:tcPr>
            <w:tcW w:w="0" w:type="auto"/>
            <w:vAlign w:val="center"/>
          </w:tcPr>
          <w:p w:rsidR="005F78FC" w:rsidRDefault="00B42EF3">
            <w:pPr>
              <w:pStyle w:val="TableBodyText"/>
            </w:pPr>
            <w:r>
              <w:t>Month</w:t>
            </w:r>
          </w:p>
        </w:tc>
      </w:tr>
      <w:tr w:rsidR="005F78FC" w:rsidTr="005F78FC">
        <w:tc>
          <w:tcPr>
            <w:tcW w:w="0" w:type="auto"/>
            <w:vAlign w:val="center"/>
          </w:tcPr>
          <w:p w:rsidR="005F78FC" w:rsidRDefault="00B42EF3">
            <w:pPr>
              <w:pStyle w:val="TableBodyText"/>
            </w:pPr>
            <w:r>
              <w:t>MountVolume</w:t>
            </w:r>
          </w:p>
        </w:tc>
      </w:tr>
      <w:tr w:rsidR="005F78FC" w:rsidTr="005F78FC">
        <w:tc>
          <w:tcPr>
            <w:tcW w:w="0" w:type="auto"/>
            <w:vAlign w:val="center"/>
          </w:tcPr>
          <w:p w:rsidR="005F78FC" w:rsidRDefault="00B42EF3">
            <w:pPr>
              <w:pStyle w:val="TableBodyText"/>
            </w:pPr>
            <w:r>
              <w:t>MoveButton</w:t>
            </w:r>
          </w:p>
        </w:tc>
      </w:tr>
      <w:tr w:rsidR="005F78FC" w:rsidTr="005F78FC">
        <w:tc>
          <w:tcPr>
            <w:tcW w:w="0" w:type="auto"/>
            <w:vAlign w:val="center"/>
          </w:tcPr>
          <w:p w:rsidR="005F78FC" w:rsidRDefault="00B42EF3">
            <w:pPr>
              <w:pStyle w:val="TableBodyText"/>
            </w:pPr>
            <w:r>
              <w:t>MoveToolbar</w:t>
            </w:r>
          </w:p>
        </w:tc>
      </w:tr>
      <w:tr w:rsidR="005F78FC" w:rsidTr="005F78FC">
        <w:tc>
          <w:tcPr>
            <w:tcW w:w="0" w:type="auto"/>
            <w:vAlign w:val="center"/>
          </w:tcPr>
          <w:p w:rsidR="005F78FC" w:rsidRDefault="00B42EF3">
            <w:pPr>
              <w:pStyle w:val="TableBodyText"/>
            </w:pPr>
            <w:r>
              <w:t>MsgBox</w:t>
            </w:r>
          </w:p>
        </w:tc>
      </w:tr>
      <w:tr w:rsidR="005F78FC" w:rsidTr="005F78FC">
        <w:tc>
          <w:tcPr>
            <w:tcW w:w="0" w:type="auto"/>
            <w:vAlign w:val="center"/>
          </w:tcPr>
          <w:p w:rsidR="005F78FC" w:rsidRDefault="00B42EF3">
            <w:pPr>
              <w:pStyle w:val="TableBodyText"/>
            </w:pPr>
            <w:r>
              <w:t>NextCell</w:t>
            </w:r>
          </w:p>
        </w:tc>
      </w:tr>
      <w:tr w:rsidR="005F78FC" w:rsidTr="005F78FC">
        <w:tc>
          <w:tcPr>
            <w:tcW w:w="0" w:type="auto"/>
            <w:vAlign w:val="center"/>
          </w:tcPr>
          <w:p w:rsidR="005F78FC" w:rsidRDefault="00B42EF3">
            <w:pPr>
              <w:pStyle w:val="TableBodyText"/>
            </w:pPr>
            <w:r>
              <w:t>NextField</w:t>
            </w:r>
          </w:p>
        </w:tc>
      </w:tr>
      <w:tr w:rsidR="005F78FC" w:rsidTr="005F78FC">
        <w:tc>
          <w:tcPr>
            <w:tcW w:w="0" w:type="auto"/>
            <w:vAlign w:val="center"/>
          </w:tcPr>
          <w:p w:rsidR="005F78FC" w:rsidRDefault="00B42EF3">
            <w:pPr>
              <w:pStyle w:val="TableBodyText"/>
            </w:pPr>
            <w:r>
              <w:t>NextObject</w:t>
            </w:r>
          </w:p>
        </w:tc>
      </w:tr>
      <w:tr w:rsidR="005F78FC" w:rsidTr="005F78FC">
        <w:tc>
          <w:tcPr>
            <w:tcW w:w="0" w:type="auto"/>
            <w:vAlign w:val="center"/>
          </w:tcPr>
          <w:p w:rsidR="005F78FC" w:rsidRDefault="00B42EF3">
            <w:pPr>
              <w:pStyle w:val="TableBodyText"/>
            </w:pPr>
            <w:r>
              <w:t>NextPage</w:t>
            </w:r>
          </w:p>
        </w:tc>
      </w:tr>
      <w:tr w:rsidR="005F78FC" w:rsidTr="005F78FC">
        <w:tc>
          <w:tcPr>
            <w:tcW w:w="0" w:type="auto"/>
            <w:vAlign w:val="center"/>
          </w:tcPr>
          <w:p w:rsidR="005F78FC" w:rsidRDefault="00B42EF3">
            <w:pPr>
              <w:pStyle w:val="TableBodyText"/>
            </w:pPr>
            <w:r>
              <w:t>NextTab</w:t>
            </w:r>
          </w:p>
        </w:tc>
      </w:tr>
      <w:tr w:rsidR="005F78FC" w:rsidTr="005F78FC">
        <w:tc>
          <w:tcPr>
            <w:tcW w:w="0" w:type="auto"/>
            <w:vAlign w:val="center"/>
          </w:tcPr>
          <w:p w:rsidR="005F78FC" w:rsidRDefault="00B42EF3">
            <w:pPr>
              <w:pStyle w:val="TableBodyText"/>
            </w:pPr>
            <w:r>
              <w:t>Now</w:t>
            </w:r>
          </w:p>
        </w:tc>
      </w:tr>
      <w:tr w:rsidR="005F78FC" w:rsidTr="005F78FC">
        <w:tc>
          <w:tcPr>
            <w:tcW w:w="0" w:type="auto"/>
            <w:vAlign w:val="center"/>
          </w:tcPr>
          <w:p w:rsidR="005F78FC" w:rsidRDefault="00B42EF3">
            <w:pPr>
              <w:pStyle w:val="TableBodyText"/>
            </w:pPr>
            <w:r>
              <w:t>OKButton</w:t>
            </w:r>
          </w:p>
        </w:tc>
      </w:tr>
      <w:tr w:rsidR="005F78FC" w:rsidTr="005F78FC">
        <w:tc>
          <w:tcPr>
            <w:tcW w:w="0" w:type="auto"/>
            <w:vAlign w:val="center"/>
          </w:tcPr>
          <w:p w:rsidR="005F78FC" w:rsidRDefault="00B42EF3">
            <w:pPr>
              <w:pStyle w:val="TableBodyText"/>
            </w:pPr>
            <w:r>
              <w:t>OnTime</w:t>
            </w:r>
          </w:p>
        </w:tc>
      </w:tr>
      <w:tr w:rsidR="005F78FC" w:rsidTr="005F78FC">
        <w:tc>
          <w:tcPr>
            <w:tcW w:w="0" w:type="auto"/>
            <w:vAlign w:val="center"/>
          </w:tcPr>
          <w:p w:rsidR="005F78FC" w:rsidRDefault="00B42EF3">
            <w:pPr>
              <w:pStyle w:val="TableBodyText"/>
            </w:pPr>
            <w:r>
              <w:t>OpenUpPara</w:t>
            </w:r>
          </w:p>
        </w:tc>
      </w:tr>
      <w:tr w:rsidR="005F78FC" w:rsidTr="005F78FC">
        <w:tc>
          <w:tcPr>
            <w:tcW w:w="0" w:type="auto"/>
            <w:vAlign w:val="center"/>
          </w:tcPr>
          <w:p w:rsidR="005F78FC" w:rsidRDefault="00B42EF3">
            <w:pPr>
              <w:pStyle w:val="TableBodyText"/>
            </w:pPr>
            <w:r>
              <w:t>OptionButton</w:t>
            </w:r>
          </w:p>
        </w:tc>
      </w:tr>
      <w:tr w:rsidR="005F78FC" w:rsidTr="005F78FC">
        <w:tc>
          <w:tcPr>
            <w:tcW w:w="0" w:type="auto"/>
            <w:vAlign w:val="center"/>
          </w:tcPr>
          <w:p w:rsidR="005F78FC" w:rsidRDefault="00B42EF3">
            <w:pPr>
              <w:pStyle w:val="TableBodyText"/>
            </w:pPr>
            <w:r>
              <w:t>OptionGroup</w:t>
            </w:r>
          </w:p>
        </w:tc>
      </w:tr>
      <w:tr w:rsidR="005F78FC" w:rsidTr="005F78FC">
        <w:tc>
          <w:tcPr>
            <w:tcW w:w="0" w:type="auto"/>
            <w:vAlign w:val="center"/>
          </w:tcPr>
          <w:p w:rsidR="005F78FC" w:rsidRDefault="00B42EF3">
            <w:pPr>
              <w:pStyle w:val="TableBodyText"/>
            </w:pPr>
            <w:r>
              <w:t>Outline</w:t>
            </w:r>
          </w:p>
        </w:tc>
      </w:tr>
      <w:tr w:rsidR="005F78FC" w:rsidTr="005F78FC">
        <w:tc>
          <w:tcPr>
            <w:tcW w:w="0" w:type="auto"/>
            <w:vAlign w:val="center"/>
          </w:tcPr>
          <w:p w:rsidR="005F78FC" w:rsidRDefault="00B42EF3">
            <w:pPr>
              <w:pStyle w:val="TableBodyText"/>
            </w:pPr>
            <w:r>
              <w:t>OutlineLevel</w:t>
            </w:r>
          </w:p>
        </w:tc>
      </w:tr>
      <w:tr w:rsidR="005F78FC" w:rsidTr="005F78FC">
        <w:tc>
          <w:tcPr>
            <w:tcW w:w="0" w:type="auto"/>
            <w:vAlign w:val="center"/>
          </w:tcPr>
          <w:p w:rsidR="005F78FC" w:rsidRDefault="00B42EF3">
            <w:pPr>
              <w:pStyle w:val="TableBodyText"/>
            </w:pPr>
            <w:r>
              <w:t>OutlineShowFirstLine</w:t>
            </w:r>
          </w:p>
        </w:tc>
      </w:tr>
      <w:tr w:rsidR="005F78FC" w:rsidTr="005F78FC">
        <w:tc>
          <w:tcPr>
            <w:tcW w:w="0" w:type="auto"/>
            <w:vAlign w:val="center"/>
          </w:tcPr>
          <w:p w:rsidR="005F78FC" w:rsidRDefault="00B42EF3">
            <w:pPr>
              <w:pStyle w:val="TableBodyText"/>
            </w:pPr>
            <w:r>
              <w:t>Overtype</w:t>
            </w:r>
          </w:p>
        </w:tc>
      </w:tr>
      <w:tr w:rsidR="005F78FC" w:rsidTr="005F78FC">
        <w:tc>
          <w:tcPr>
            <w:tcW w:w="0" w:type="auto"/>
            <w:vAlign w:val="center"/>
          </w:tcPr>
          <w:p w:rsidR="005F78FC" w:rsidRDefault="00B42EF3">
            <w:pPr>
              <w:pStyle w:val="TableBodyText"/>
            </w:pPr>
            <w:r>
              <w:t>PageDown</w:t>
            </w:r>
          </w:p>
        </w:tc>
      </w:tr>
      <w:tr w:rsidR="005F78FC" w:rsidTr="005F78FC">
        <w:tc>
          <w:tcPr>
            <w:tcW w:w="0" w:type="auto"/>
            <w:vAlign w:val="center"/>
          </w:tcPr>
          <w:p w:rsidR="005F78FC" w:rsidRDefault="00B42EF3">
            <w:pPr>
              <w:pStyle w:val="TableBodyText"/>
            </w:pPr>
            <w:r>
              <w:t>PageUp</w:t>
            </w:r>
          </w:p>
        </w:tc>
      </w:tr>
      <w:tr w:rsidR="005F78FC" w:rsidTr="005F78FC">
        <w:tc>
          <w:tcPr>
            <w:tcW w:w="0" w:type="auto"/>
            <w:vAlign w:val="center"/>
          </w:tcPr>
          <w:p w:rsidR="005F78FC" w:rsidRDefault="00B42EF3">
            <w:pPr>
              <w:pStyle w:val="TableBodyText"/>
            </w:pPr>
            <w:r>
              <w:lastRenderedPageBreak/>
              <w:t>ParaDown</w:t>
            </w:r>
          </w:p>
        </w:tc>
      </w:tr>
      <w:tr w:rsidR="005F78FC" w:rsidTr="005F78FC">
        <w:tc>
          <w:tcPr>
            <w:tcW w:w="0" w:type="auto"/>
            <w:vAlign w:val="center"/>
          </w:tcPr>
          <w:p w:rsidR="005F78FC" w:rsidRDefault="00B42EF3">
            <w:pPr>
              <w:pStyle w:val="TableBodyText"/>
            </w:pPr>
            <w:r>
              <w:t>ParaKeepLinesTogether</w:t>
            </w:r>
          </w:p>
        </w:tc>
      </w:tr>
      <w:tr w:rsidR="005F78FC" w:rsidTr="005F78FC">
        <w:tc>
          <w:tcPr>
            <w:tcW w:w="0" w:type="auto"/>
            <w:vAlign w:val="center"/>
          </w:tcPr>
          <w:p w:rsidR="005F78FC" w:rsidRDefault="00B42EF3">
            <w:pPr>
              <w:pStyle w:val="TableBodyText"/>
            </w:pPr>
            <w:r>
              <w:t>ParaKeepWithNext</w:t>
            </w:r>
          </w:p>
        </w:tc>
      </w:tr>
      <w:tr w:rsidR="005F78FC" w:rsidTr="005F78FC">
        <w:tc>
          <w:tcPr>
            <w:tcW w:w="0" w:type="auto"/>
            <w:vAlign w:val="center"/>
          </w:tcPr>
          <w:p w:rsidR="005F78FC" w:rsidRDefault="00B42EF3">
            <w:pPr>
              <w:pStyle w:val="TableBodyText"/>
            </w:pPr>
            <w:r>
              <w:t>ParaPageBreakBefore</w:t>
            </w:r>
          </w:p>
        </w:tc>
      </w:tr>
      <w:tr w:rsidR="005F78FC" w:rsidTr="005F78FC">
        <w:tc>
          <w:tcPr>
            <w:tcW w:w="0" w:type="auto"/>
            <w:vAlign w:val="center"/>
          </w:tcPr>
          <w:p w:rsidR="005F78FC" w:rsidRDefault="00B42EF3">
            <w:pPr>
              <w:pStyle w:val="TableBodyText"/>
            </w:pPr>
            <w:r>
              <w:t>ParaUp</w:t>
            </w:r>
          </w:p>
        </w:tc>
      </w:tr>
      <w:tr w:rsidR="005F78FC" w:rsidTr="005F78FC">
        <w:tc>
          <w:tcPr>
            <w:tcW w:w="0" w:type="auto"/>
            <w:vAlign w:val="center"/>
          </w:tcPr>
          <w:p w:rsidR="005F78FC" w:rsidRDefault="00B42EF3">
            <w:pPr>
              <w:pStyle w:val="TableBodyText"/>
            </w:pPr>
            <w:r>
              <w:t>ParaWidowOrphanControl</w:t>
            </w:r>
          </w:p>
        </w:tc>
      </w:tr>
      <w:tr w:rsidR="005F78FC" w:rsidTr="005F78FC">
        <w:tc>
          <w:tcPr>
            <w:tcW w:w="0" w:type="auto"/>
            <w:vAlign w:val="center"/>
          </w:tcPr>
          <w:p w:rsidR="005F78FC" w:rsidRDefault="00B42EF3">
            <w:pPr>
              <w:pStyle w:val="TableBodyText"/>
            </w:pPr>
            <w:r>
              <w:t>PasteButtonImage</w:t>
            </w:r>
          </w:p>
        </w:tc>
      </w:tr>
      <w:tr w:rsidR="005F78FC" w:rsidTr="005F78FC">
        <w:tc>
          <w:tcPr>
            <w:tcW w:w="0" w:type="auto"/>
            <w:vAlign w:val="center"/>
          </w:tcPr>
          <w:p w:rsidR="005F78FC" w:rsidRDefault="00B42EF3">
            <w:pPr>
              <w:pStyle w:val="TableBodyText"/>
            </w:pPr>
            <w:r>
              <w:t>Picture</w:t>
            </w:r>
          </w:p>
        </w:tc>
      </w:tr>
      <w:tr w:rsidR="005F78FC" w:rsidTr="005F78FC">
        <w:tc>
          <w:tcPr>
            <w:tcW w:w="0" w:type="auto"/>
            <w:vAlign w:val="center"/>
          </w:tcPr>
          <w:p w:rsidR="005F78FC" w:rsidRDefault="00B42EF3">
            <w:pPr>
              <w:pStyle w:val="TableBodyText"/>
            </w:pPr>
            <w:r>
              <w:t>PrevCell</w:t>
            </w:r>
          </w:p>
        </w:tc>
      </w:tr>
      <w:tr w:rsidR="005F78FC" w:rsidTr="005F78FC">
        <w:tc>
          <w:tcPr>
            <w:tcW w:w="0" w:type="auto"/>
            <w:vAlign w:val="center"/>
          </w:tcPr>
          <w:p w:rsidR="005F78FC" w:rsidRDefault="00B42EF3">
            <w:pPr>
              <w:pStyle w:val="TableBodyText"/>
            </w:pPr>
            <w:r>
              <w:t>PrevField</w:t>
            </w:r>
          </w:p>
        </w:tc>
      </w:tr>
      <w:tr w:rsidR="005F78FC" w:rsidTr="005F78FC">
        <w:tc>
          <w:tcPr>
            <w:tcW w:w="0" w:type="auto"/>
            <w:vAlign w:val="center"/>
          </w:tcPr>
          <w:p w:rsidR="005F78FC" w:rsidRDefault="00B42EF3">
            <w:pPr>
              <w:pStyle w:val="TableBodyText"/>
            </w:pPr>
            <w:r>
              <w:t>PrevObject</w:t>
            </w:r>
          </w:p>
        </w:tc>
      </w:tr>
      <w:tr w:rsidR="005F78FC" w:rsidTr="005F78FC">
        <w:tc>
          <w:tcPr>
            <w:tcW w:w="0" w:type="auto"/>
            <w:vAlign w:val="center"/>
          </w:tcPr>
          <w:p w:rsidR="005F78FC" w:rsidRDefault="00B42EF3">
            <w:pPr>
              <w:pStyle w:val="TableBodyText"/>
            </w:pPr>
            <w:r>
              <w:t>PrevPage</w:t>
            </w:r>
          </w:p>
        </w:tc>
      </w:tr>
      <w:tr w:rsidR="005F78FC" w:rsidTr="005F78FC">
        <w:tc>
          <w:tcPr>
            <w:tcW w:w="0" w:type="auto"/>
            <w:vAlign w:val="center"/>
          </w:tcPr>
          <w:p w:rsidR="005F78FC" w:rsidRDefault="00B42EF3">
            <w:pPr>
              <w:pStyle w:val="TableBodyText"/>
            </w:pPr>
            <w:r>
              <w:t>PrevTab</w:t>
            </w:r>
          </w:p>
        </w:tc>
      </w:tr>
      <w:tr w:rsidR="005F78FC" w:rsidTr="005F78FC">
        <w:tc>
          <w:tcPr>
            <w:tcW w:w="0" w:type="auto"/>
            <w:vAlign w:val="center"/>
          </w:tcPr>
          <w:p w:rsidR="005F78FC" w:rsidRDefault="00B42EF3">
            <w:pPr>
              <w:pStyle w:val="TableBodyText"/>
            </w:pPr>
            <w:r>
              <w:t>PushButton</w:t>
            </w:r>
          </w:p>
        </w:tc>
      </w:tr>
      <w:tr w:rsidR="005F78FC" w:rsidTr="005F78FC">
        <w:tc>
          <w:tcPr>
            <w:tcW w:w="0" w:type="auto"/>
            <w:vAlign w:val="center"/>
          </w:tcPr>
          <w:p w:rsidR="005F78FC" w:rsidRDefault="00B42EF3">
            <w:pPr>
              <w:pStyle w:val="TableBodyText"/>
            </w:pPr>
            <w:r>
              <w:t>PutFieldData</w:t>
            </w:r>
          </w:p>
        </w:tc>
      </w:tr>
      <w:tr w:rsidR="005F78FC" w:rsidTr="005F78FC">
        <w:tc>
          <w:tcPr>
            <w:tcW w:w="0" w:type="auto"/>
            <w:vAlign w:val="center"/>
          </w:tcPr>
          <w:p w:rsidR="005F78FC" w:rsidRDefault="00B42EF3">
            <w:pPr>
              <w:pStyle w:val="TableBodyText"/>
            </w:pPr>
            <w:r>
              <w:t>RefreshRate</w:t>
            </w:r>
          </w:p>
        </w:tc>
      </w:tr>
      <w:tr w:rsidR="005F78FC" w:rsidTr="005F78FC">
        <w:tc>
          <w:tcPr>
            <w:tcW w:w="0" w:type="auto"/>
            <w:vAlign w:val="center"/>
          </w:tcPr>
          <w:p w:rsidR="005F78FC" w:rsidRDefault="00B42EF3">
            <w:pPr>
              <w:pStyle w:val="TableBodyText"/>
            </w:pPr>
            <w:r>
              <w:t>RemoveAllDropDownItems</w:t>
            </w:r>
          </w:p>
        </w:tc>
      </w:tr>
      <w:tr w:rsidR="005F78FC" w:rsidTr="005F78FC">
        <w:tc>
          <w:tcPr>
            <w:tcW w:w="0" w:type="auto"/>
            <w:vAlign w:val="center"/>
          </w:tcPr>
          <w:p w:rsidR="005F78FC" w:rsidRDefault="00B42EF3">
            <w:pPr>
              <w:pStyle w:val="TableBodyText"/>
            </w:pPr>
            <w:r>
              <w:t>RemoveDropDownItem</w:t>
            </w:r>
          </w:p>
        </w:tc>
      </w:tr>
      <w:tr w:rsidR="005F78FC" w:rsidTr="005F78FC">
        <w:tc>
          <w:tcPr>
            <w:tcW w:w="0" w:type="auto"/>
            <w:vAlign w:val="center"/>
          </w:tcPr>
          <w:p w:rsidR="005F78FC" w:rsidRDefault="00B42EF3">
            <w:pPr>
              <w:pStyle w:val="TableBodyText"/>
            </w:pPr>
            <w:r>
              <w:t>Rename</w:t>
            </w:r>
          </w:p>
        </w:tc>
      </w:tr>
      <w:tr w:rsidR="005F78FC" w:rsidTr="005F78FC">
        <w:tc>
          <w:tcPr>
            <w:tcW w:w="0" w:type="auto"/>
            <w:vAlign w:val="center"/>
          </w:tcPr>
          <w:p w:rsidR="005F78FC" w:rsidRDefault="00B42EF3">
            <w:pPr>
              <w:pStyle w:val="TableBodyText"/>
            </w:pPr>
            <w:r>
              <w:t>RenameMenu</w:t>
            </w:r>
          </w:p>
        </w:tc>
      </w:tr>
      <w:tr w:rsidR="005F78FC" w:rsidTr="005F78FC">
        <w:tc>
          <w:tcPr>
            <w:tcW w:w="0" w:type="auto"/>
            <w:vAlign w:val="center"/>
          </w:tcPr>
          <w:p w:rsidR="005F78FC" w:rsidRDefault="00B42EF3">
            <w:pPr>
              <w:pStyle w:val="TableBodyText"/>
            </w:pPr>
            <w:r>
              <w:t>ResetButtonImage</w:t>
            </w:r>
          </w:p>
        </w:tc>
      </w:tr>
      <w:tr w:rsidR="005F78FC" w:rsidTr="005F78FC">
        <w:tc>
          <w:tcPr>
            <w:tcW w:w="0" w:type="auto"/>
            <w:vAlign w:val="center"/>
          </w:tcPr>
          <w:p w:rsidR="005F78FC" w:rsidRDefault="00B42EF3">
            <w:pPr>
              <w:pStyle w:val="TableBodyText"/>
            </w:pPr>
            <w:r>
              <w:t>ResetChar</w:t>
            </w:r>
          </w:p>
        </w:tc>
      </w:tr>
      <w:tr w:rsidR="005F78FC" w:rsidTr="005F78FC">
        <w:tc>
          <w:tcPr>
            <w:tcW w:w="0" w:type="auto"/>
            <w:vAlign w:val="center"/>
          </w:tcPr>
          <w:p w:rsidR="005F78FC" w:rsidRDefault="00B42EF3">
            <w:pPr>
              <w:pStyle w:val="TableBodyText"/>
            </w:pPr>
            <w:r>
              <w:t>ResetPara</w:t>
            </w:r>
          </w:p>
        </w:tc>
      </w:tr>
      <w:tr w:rsidR="005F78FC" w:rsidTr="005F78FC">
        <w:tc>
          <w:tcPr>
            <w:tcW w:w="0" w:type="auto"/>
            <w:vAlign w:val="center"/>
          </w:tcPr>
          <w:p w:rsidR="005F78FC" w:rsidRDefault="00B42EF3">
            <w:pPr>
              <w:pStyle w:val="TableBodyText"/>
            </w:pPr>
            <w:r>
              <w:t>RightPara</w:t>
            </w:r>
          </w:p>
        </w:tc>
      </w:tr>
      <w:tr w:rsidR="005F78FC" w:rsidTr="005F78FC">
        <w:tc>
          <w:tcPr>
            <w:tcW w:w="0" w:type="auto"/>
            <w:vAlign w:val="center"/>
          </w:tcPr>
          <w:p w:rsidR="005F78FC" w:rsidRDefault="00B42EF3">
            <w:pPr>
              <w:pStyle w:val="TableBodyText"/>
            </w:pPr>
            <w:r>
              <w:t>RmDir</w:t>
            </w:r>
          </w:p>
        </w:tc>
      </w:tr>
      <w:tr w:rsidR="005F78FC" w:rsidTr="005F78FC">
        <w:tc>
          <w:tcPr>
            <w:tcW w:w="0" w:type="auto"/>
            <w:vAlign w:val="center"/>
          </w:tcPr>
          <w:p w:rsidR="005F78FC" w:rsidRDefault="00B42EF3">
            <w:pPr>
              <w:pStyle w:val="TableBodyText"/>
            </w:pPr>
            <w:r>
              <w:t>Rnd</w:t>
            </w:r>
          </w:p>
        </w:tc>
      </w:tr>
      <w:tr w:rsidR="005F78FC" w:rsidTr="005F78FC">
        <w:tc>
          <w:tcPr>
            <w:tcW w:w="0" w:type="auto"/>
            <w:vAlign w:val="center"/>
          </w:tcPr>
          <w:p w:rsidR="005F78FC" w:rsidRDefault="00B42EF3">
            <w:pPr>
              <w:pStyle w:val="TableBodyText"/>
            </w:pPr>
            <w:r>
              <w:t>RtlKeyb</w:t>
            </w:r>
          </w:p>
        </w:tc>
      </w:tr>
      <w:tr w:rsidR="005F78FC" w:rsidTr="005F78FC">
        <w:tc>
          <w:tcPr>
            <w:tcW w:w="0" w:type="auto"/>
            <w:vAlign w:val="center"/>
          </w:tcPr>
          <w:p w:rsidR="005F78FC" w:rsidRDefault="00B42EF3">
            <w:pPr>
              <w:pStyle w:val="TableBodyText"/>
            </w:pPr>
            <w:r>
              <w:t>RtlPara</w:t>
            </w:r>
          </w:p>
        </w:tc>
      </w:tr>
      <w:tr w:rsidR="005F78FC" w:rsidTr="005F78FC">
        <w:tc>
          <w:tcPr>
            <w:tcW w:w="0" w:type="auto"/>
            <w:vAlign w:val="center"/>
          </w:tcPr>
          <w:p w:rsidR="005F78FC" w:rsidRDefault="00B42EF3">
            <w:pPr>
              <w:pStyle w:val="TableBodyText"/>
            </w:pPr>
            <w:r>
              <w:t>RtlRun</w:t>
            </w:r>
          </w:p>
        </w:tc>
      </w:tr>
      <w:tr w:rsidR="005F78FC" w:rsidTr="005F78FC">
        <w:tc>
          <w:tcPr>
            <w:tcW w:w="0" w:type="auto"/>
            <w:vAlign w:val="center"/>
          </w:tcPr>
          <w:p w:rsidR="005F78FC" w:rsidRDefault="00B42EF3">
            <w:pPr>
              <w:pStyle w:val="TableBodyText"/>
            </w:pPr>
            <w:r>
              <w:t>ScreenUpdating</w:t>
            </w:r>
          </w:p>
        </w:tc>
      </w:tr>
      <w:tr w:rsidR="005F78FC" w:rsidTr="005F78FC">
        <w:tc>
          <w:tcPr>
            <w:tcW w:w="0" w:type="auto"/>
            <w:vAlign w:val="center"/>
          </w:tcPr>
          <w:p w:rsidR="005F78FC" w:rsidRDefault="00B42EF3">
            <w:pPr>
              <w:pStyle w:val="TableBodyText"/>
            </w:pPr>
            <w:r>
              <w:t>Second</w:t>
            </w:r>
          </w:p>
        </w:tc>
      </w:tr>
      <w:tr w:rsidR="005F78FC" w:rsidTr="005F78FC">
        <w:tc>
          <w:tcPr>
            <w:tcW w:w="0" w:type="auto"/>
            <w:vAlign w:val="center"/>
          </w:tcPr>
          <w:p w:rsidR="005F78FC" w:rsidRDefault="00B42EF3">
            <w:pPr>
              <w:pStyle w:val="TableBodyText"/>
            </w:pPr>
            <w:r>
              <w:t>Seek</w:t>
            </w:r>
          </w:p>
        </w:tc>
      </w:tr>
      <w:tr w:rsidR="005F78FC" w:rsidTr="005F78FC">
        <w:tc>
          <w:tcPr>
            <w:tcW w:w="0" w:type="auto"/>
            <w:vAlign w:val="center"/>
          </w:tcPr>
          <w:p w:rsidR="005F78FC" w:rsidRDefault="00B42EF3">
            <w:pPr>
              <w:pStyle w:val="TableBodyText"/>
            </w:pPr>
            <w:r>
              <w:lastRenderedPageBreak/>
              <w:t>SelInfo</w:t>
            </w:r>
          </w:p>
        </w:tc>
      </w:tr>
      <w:tr w:rsidR="005F78FC" w:rsidTr="005F78FC">
        <w:tc>
          <w:tcPr>
            <w:tcW w:w="0" w:type="auto"/>
            <w:vAlign w:val="center"/>
          </w:tcPr>
          <w:p w:rsidR="005F78FC" w:rsidRDefault="00B42EF3">
            <w:pPr>
              <w:pStyle w:val="TableBodyText"/>
            </w:pPr>
            <w:r>
              <w:t>SelType</w:t>
            </w:r>
          </w:p>
        </w:tc>
      </w:tr>
      <w:tr w:rsidR="005F78FC" w:rsidTr="005F78FC">
        <w:tc>
          <w:tcPr>
            <w:tcW w:w="0" w:type="auto"/>
            <w:vAlign w:val="center"/>
          </w:tcPr>
          <w:p w:rsidR="005F78FC" w:rsidRDefault="00B42EF3">
            <w:pPr>
              <w:pStyle w:val="TableBodyText"/>
            </w:pPr>
            <w:r>
              <w:t>SelectCurLine</w:t>
            </w:r>
          </w:p>
        </w:tc>
      </w:tr>
      <w:tr w:rsidR="005F78FC" w:rsidTr="005F78FC">
        <w:tc>
          <w:tcPr>
            <w:tcW w:w="0" w:type="auto"/>
            <w:vAlign w:val="center"/>
          </w:tcPr>
          <w:p w:rsidR="005F78FC" w:rsidRDefault="00B42EF3">
            <w:pPr>
              <w:pStyle w:val="TableBodyText"/>
            </w:pPr>
            <w:r>
              <w:t>SelectCurPara</w:t>
            </w:r>
          </w:p>
        </w:tc>
      </w:tr>
      <w:tr w:rsidR="005F78FC" w:rsidTr="005F78FC">
        <w:tc>
          <w:tcPr>
            <w:tcW w:w="0" w:type="auto"/>
            <w:vAlign w:val="center"/>
          </w:tcPr>
          <w:p w:rsidR="005F78FC" w:rsidRDefault="00B42EF3">
            <w:pPr>
              <w:pStyle w:val="TableBodyText"/>
            </w:pPr>
            <w:r>
              <w:t>SelectCurSentence</w:t>
            </w:r>
          </w:p>
        </w:tc>
      </w:tr>
      <w:tr w:rsidR="005F78FC" w:rsidTr="005F78FC">
        <w:tc>
          <w:tcPr>
            <w:tcW w:w="0" w:type="auto"/>
            <w:vAlign w:val="center"/>
          </w:tcPr>
          <w:p w:rsidR="005F78FC" w:rsidRDefault="00B42EF3">
            <w:pPr>
              <w:pStyle w:val="TableBodyText"/>
            </w:pPr>
            <w:r>
              <w:t>SelectCurWord</w:t>
            </w:r>
          </w:p>
        </w:tc>
      </w:tr>
      <w:tr w:rsidR="005F78FC" w:rsidTr="005F78FC">
        <w:tc>
          <w:tcPr>
            <w:tcW w:w="0" w:type="auto"/>
            <w:vAlign w:val="center"/>
          </w:tcPr>
          <w:p w:rsidR="005F78FC" w:rsidRDefault="00B42EF3">
            <w:pPr>
              <w:pStyle w:val="TableBodyText"/>
            </w:pPr>
            <w:r>
              <w:t>SendKeys</w:t>
            </w:r>
          </w:p>
        </w:tc>
      </w:tr>
      <w:tr w:rsidR="005F78FC" w:rsidTr="005F78FC">
        <w:tc>
          <w:tcPr>
            <w:tcW w:w="0" w:type="auto"/>
            <w:vAlign w:val="center"/>
          </w:tcPr>
          <w:p w:rsidR="005F78FC" w:rsidRDefault="00B42EF3">
            <w:pPr>
              <w:pStyle w:val="TableBodyText"/>
            </w:pPr>
            <w:r>
              <w:t>SentLeft</w:t>
            </w:r>
          </w:p>
        </w:tc>
      </w:tr>
      <w:tr w:rsidR="005F78FC" w:rsidTr="005F78FC">
        <w:tc>
          <w:tcPr>
            <w:tcW w:w="0" w:type="auto"/>
            <w:vAlign w:val="center"/>
          </w:tcPr>
          <w:p w:rsidR="005F78FC" w:rsidRDefault="00B42EF3">
            <w:pPr>
              <w:pStyle w:val="TableBodyText"/>
            </w:pPr>
            <w:r>
              <w:t>SentRight</w:t>
            </w:r>
          </w:p>
        </w:tc>
      </w:tr>
      <w:tr w:rsidR="005F78FC" w:rsidTr="005F78FC">
        <w:tc>
          <w:tcPr>
            <w:tcW w:w="0" w:type="auto"/>
            <w:vAlign w:val="center"/>
          </w:tcPr>
          <w:p w:rsidR="005F78FC" w:rsidRDefault="00B42EF3">
            <w:pPr>
              <w:pStyle w:val="TableBodyText"/>
            </w:pPr>
            <w:r>
              <w:t>SetAttr</w:t>
            </w:r>
          </w:p>
        </w:tc>
      </w:tr>
      <w:tr w:rsidR="005F78FC" w:rsidTr="005F78FC">
        <w:tc>
          <w:tcPr>
            <w:tcW w:w="0" w:type="auto"/>
            <w:vAlign w:val="center"/>
          </w:tcPr>
          <w:p w:rsidR="005F78FC" w:rsidRDefault="00B42EF3">
            <w:pPr>
              <w:pStyle w:val="TableBodyText"/>
            </w:pPr>
            <w:r>
              <w:t>SetAutoText</w:t>
            </w:r>
          </w:p>
        </w:tc>
      </w:tr>
      <w:tr w:rsidR="005F78FC" w:rsidTr="005F78FC">
        <w:tc>
          <w:tcPr>
            <w:tcW w:w="0" w:type="auto"/>
            <w:vAlign w:val="center"/>
          </w:tcPr>
          <w:p w:rsidR="005F78FC" w:rsidRDefault="00B42EF3">
            <w:pPr>
              <w:pStyle w:val="TableBodyText"/>
            </w:pPr>
            <w:r>
              <w:t>SetDocumentDirty</w:t>
            </w:r>
          </w:p>
        </w:tc>
      </w:tr>
      <w:tr w:rsidR="005F78FC" w:rsidTr="005F78FC">
        <w:tc>
          <w:tcPr>
            <w:tcW w:w="0" w:type="auto"/>
            <w:vAlign w:val="center"/>
          </w:tcPr>
          <w:p w:rsidR="005F78FC" w:rsidRDefault="00B42EF3">
            <w:pPr>
              <w:pStyle w:val="TableBodyText"/>
            </w:pPr>
            <w:r>
              <w:t>SetDocumentProperty</w:t>
            </w:r>
          </w:p>
        </w:tc>
      </w:tr>
      <w:tr w:rsidR="005F78FC" w:rsidTr="005F78FC">
        <w:tc>
          <w:tcPr>
            <w:tcW w:w="0" w:type="auto"/>
            <w:vAlign w:val="center"/>
          </w:tcPr>
          <w:p w:rsidR="005F78FC" w:rsidRDefault="00B42EF3">
            <w:pPr>
              <w:pStyle w:val="TableBodyText"/>
            </w:pPr>
            <w:r>
              <w:t>SetDocumentPropertyLink</w:t>
            </w:r>
          </w:p>
        </w:tc>
      </w:tr>
      <w:tr w:rsidR="005F78FC" w:rsidTr="005F78FC">
        <w:tc>
          <w:tcPr>
            <w:tcW w:w="0" w:type="auto"/>
            <w:vAlign w:val="center"/>
          </w:tcPr>
          <w:p w:rsidR="005F78FC" w:rsidRDefault="00B42EF3">
            <w:pPr>
              <w:pStyle w:val="TableBodyText"/>
            </w:pPr>
            <w:r>
              <w:t>SetDocumentVar</w:t>
            </w:r>
          </w:p>
        </w:tc>
      </w:tr>
      <w:tr w:rsidR="005F78FC" w:rsidTr="005F78FC">
        <w:tc>
          <w:tcPr>
            <w:tcW w:w="0" w:type="auto"/>
            <w:vAlign w:val="center"/>
          </w:tcPr>
          <w:p w:rsidR="005F78FC" w:rsidRDefault="00B42EF3">
            <w:pPr>
              <w:pStyle w:val="TableBodyText"/>
            </w:pPr>
            <w:r>
              <w:t>SetEndOfBookmark</w:t>
            </w:r>
          </w:p>
        </w:tc>
      </w:tr>
      <w:tr w:rsidR="005F78FC" w:rsidTr="005F78FC">
        <w:tc>
          <w:tcPr>
            <w:tcW w:w="0" w:type="auto"/>
            <w:vAlign w:val="center"/>
          </w:tcPr>
          <w:p w:rsidR="005F78FC" w:rsidRDefault="00B42EF3">
            <w:pPr>
              <w:pStyle w:val="TableBodyText"/>
            </w:pPr>
            <w:r>
              <w:t>SetFileCreatorAndType</w:t>
            </w:r>
          </w:p>
        </w:tc>
      </w:tr>
      <w:tr w:rsidR="005F78FC" w:rsidTr="005F78FC">
        <w:tc>
          <w:tcPr>
            <w:tcW w:w="0" w:type="auto"/>
            <w:vAlign w:val="center"/>
          </w:tcPr>
          <w:p w:rsidR="005F78FC" w:rsidRDefault="00B42EF3">
            <w:pPr>
              <w:pStyle w:val="TableBodyText"/>
            </w:pPr>
            <w:r>
              <w:t>SetFormResult</w:t>
            </w:r>
          </w:p>
        </w:tc>
      </w:tr>
      <w:tr w:rsidR="005F78FC" w:rsidTr="005F78FC">
        <w:tc>
          <w:tcPr>
            <w:tcW w:w="0" w:type="auto"/>
            <w:vAlign w:val="center"/>
          </w:tcPr>
          <w:p w:rsidR="005F78FC" w:rsidRDefault="00B42EF3">
            <w:pPr>
              <w:pStyle w:val="TableBodyText"/>
            </w:pPr>
            <w:r>
              <w:t>SetPrivateProfileString</w:t>
            </w:r>
          </w:p>
        </w:tc>
      </w:tr>
      <w:tr w:rsidR="005F78FC" w:rsidTr="005F78FC">
        <w:tc>
          <w:tcPr>
            <w:tcW w:w="0" w:type="auto"/>
            <w:vAlign w:val="center"/>
          </w:tcPr>
          <w:p w:rsidR="005F78FC" w:rsidRDefault="00B42EF3">
            <w:pPr>
              <w:pStyle w:val="TableBodyText"/>
            </w:pPr>
            <w:r>
              <w:t>SetProfileString</w:t>
            </w:r>
          </w:p>
        </w:tc>
      </w:tr>
      <w:tr w:rsidR="005F78FC" w:rsidTr="005F78FC">
        <w:tc>
          <w:tcPr>
            <w:tcW w:w="0" w:type="auto"/>
            <w:vAlign w:val="center"/>
          </w:tcPr>
          <w:p w:rsidR="005F78FC" w:rsidRDefault="00B42EF3">
            <w:pPr>
              <w:pStyle w:val="TableBodyText"/>
            </w:pPr>
            <w:r>
              <w:t>SetSelRange</w:t>
            </w:r>
          </w:p>
        </w:tc>
      </w:tr>
      <w:tr w:rsidR="005F78FC" w:rsidTr="005F78FC">
        <w:tc>
          <w:tcPr>
            <w:tcW w:w="0" w:type="auto"/>
            <w:vAlign w:val="center"/>
          </w:tcPr>
          <w:p w:rsidR="005F78FC" w:rsidRDefault="00B42EF3">
            <w:pPr>
              <w:pStyle w:val="TableBodyText"/>
            </w:pPr>
            <w:r>
              <w:t>SetStartOfBookmark</w:t>
            </w:r>
          </w:p>
        </w:tc>
      </w:tr>
      <w:tr w:rsidR="005F78FC" w:rsidTr="005F78FC">
        <w:tc>
          <w:tcPr>
            <w:tcW w:w="0" w:type="auto"/>
            <w:vAlign w:val="center"/>
          </w:tcPr>
          <w:p w:rsidR="005F78FC" w:rsidRDefault="00B42EF3">
            <w:pPr>
              <w:pStyle w:val="TableBodyText"/>
            </w:pPr>
            <w:r>
              <w:t>SetTemplateDirty</w:t>
            </w:r>
          </w:p>
        </w:tc>
      </w:tr>
      <w:tr w:rsidR="005F78FC" w:rsidTr="005F78FC">
        <w:tc>
          <w:tcPr>
            <w:tcW w:w="0" w:type="auto"/>
            <w:vAlign w:val="center"/>
          </w:tcPr>
          <w:p w:rsidR="005F78FC" w:rsidRDefault="00B42EF3">
            <w:pPr>
              <w:pStyle w:val="TableBodyText"/>
            </w:pPr>
            <w:r>
              <w:t>Sgn</w:t>
            </w:r>
          </w:p>
        </w:tc>
      </w:tr>
      <w:tr w:rsidR="005F78FC" w:rsidTr="005F78FC">
        <w:tc>
          <w:tcPr>
            <w:tcW w:w="0" w:type="auto"/>
            <w:vAlign w:val="center"/>
          </w:tcPr>
          <w:p w:rsidR="005F78FC" w:rsidRDefault="00B42EF3">
            <w:pPr>
              <w:pStyle w:val="TableBodyText"/>
            </w:pPr>
            <w:r>
              <w:t>ShadingPattern</w:t>
            </w:r>
          </w:p>
        </w:tc>
      </w:tr>
      <w:tr w:rsidR="005F78FC" w:rsidTr="005F78FC">
        <w:tc>
          <w:tcPr>
            <w:tcW w:w="0" w:type="auto"/>
            <w:vAlign w:val="center"/>
          </w:tcPr>
          <w:p w:rsidR="005F78FC" w:rsidRDefault="00B42EF3">
            <w:pPr>
              <w:pStyle w:val="TableBodyText"/>
            </w:pPr>
            <w:r>
              <w:t>Shadow</w:t>
            </w:r>
          </w:p>
        </w:tc>
      </w:tr>
      <w:tr w:rsidR="005F78FC" w:rsidTr="005F78FC">
        <w:tc>
          <w:tcPr>
            <w:tcW w:w="0" w:type="auto"/>
            <w:vAlign w:val="center"/>
          </w:tcPr>
          <w:p w:rsidR="005F78FC" w:rsidRDefault="00B42EF3">
            <w:pPr>
              <w:pStyle w:val="TableBodyText"/>
            </w:pPr>
            <w:r>
              <w:t>Shell</w:t>
            </w:r>
          </w:p>
        </w:tc>
      </w:tr>
      <w:tr w:rsidR="005F78FC" w:rsidTr="005F78FC">
        <w:tc>
          <w:tcPr>
            <w:tcW w:w="0" w:type="auto"/>
            <w:vAlign w:val="center"/>
          </w:tcPr>
          <w:p w:rsidR="005F78FC" w:rsidRDefault="00B42EF3">
            <w:pPr>
              <w:pStyle w:val="TableBodyText"/>
            </w:pPr>
            <w:r>
              <w:t>ShowAlerts</w:t>
            </w:r>
          </w:p>
        </w:tc>
      </w:tr>
      <w:tr w:rsidR="005F78FC" w:rsidTr="005F78FC">
        <w:tc>
          <w:tcPr>
            <w:tcW w:w="0" w:type="auto"/>
            <w:vAlign w:val="center"/>
          </w:tcPr>
          <w:p w:rsidR="005F78FC" w:rsidRDefault="00B42EF3">
            <w:pPr>
              <w:pStyle w:val="TableBodyText"/>
            </w:pPr>
            <w:r>
              <w:t>ShowAll</w:t>
            </w:r>
          </w:p>
        </w:tc>
      </w:tr>
      <w:tr w:rsidR="005F78FC" w:rsidTr="005F78FC">
        <w:tc>
          <w:tcPr>
            <w:tcW w:w="0" w:type="auto"/>
            <w:vAlign w:val="center"/>
          </w:tcPr>
          <w:p w:rsidR="005F78FC" w:rsidRDefault="00B42EF3">
            <w:pPr>
              <w:pStyle w:val="TableBodyText"/>
            </w:pPr>
            <w:r>
              <w:t>ShowAnnotationBy</w:t>
            </w:r>
          </w:p>
        </w:tc>
      </w:tr>
      <w:tr w:rsidR="005F78FC" w:rsidTr="005F78FC">
        <w:tc>
          <w:tcPr>
            <w:tcW w:w="0" w:type="auto"/>
            <w:vAlign w:val="center"/>
          </w:tcPr>
          <w:p w:rsidR="005F78FC" w:rsidRDefault="00B42EF3">
            <w:pPr>
              <w:pStyle w:val="TableBodyText"/>
            </w:pPr>
            <w:r>
              <w:t>SizeToolbar</w:t>
            </w:r>
          </w:p>
        </w:tc>
      </w:tr>
      <w:tr w:rsidR="005F78FC" w:rsidTr="005F78FC">
        <w:tc>
          <w:tcPr>
            <w:tcW w:w="0" w:type="auto"/>
            <w:vAlign w:val="center"/>
          </w:tcPr>
          <w:p w:rsidR="005F78FC" w:rsidRDefault="00B42EF3">
            <w:pPr>
              <w:pStyle w:val="TableBodyText"/>
            </w:pPr>
            <w:r>
              <w:t>SkipNumbering</w:t>
            </w:r>
          </w:p>
        </w:tc>
      </w:tr>
      <w:tr w:rsidR="005F78FC" w:rsidTr="005F78FC">
        <w:tc>
          <w:tcPr>
            <w:tcW w:w="0" w:type="auto"/>
            <w:vAlign w:val="center"/>
          </w:tcPr>
          <w:p w:rsidR="005F78FC" w:rsidRDefault="00B42EF3">
            <w:pPr>
              <w:pStyle w:val="TableBodyText"/>
            </w:pPr>
            <w:r>
              <w:lastRenderedPageBreak/>
              <w:t>SmallCaps</w:t>
            </w:r>
          </w:p>
        </w:tc>
      </w:tr>
      <w:tr w:rsidR="005F78FC" w:rsidTr="005F78FC">
        <w:tc>
          <w:tcPr>
            <w:tcW w:w="0" w:type="auto"/>
            <w:vAlign w:val="center"/>
          </w:tcPr>
          <w:p w:rsidR="005F78FC" w:rsidRDefault="00B42EF3">
            <w:pPr>
              <w:pStyle w:val="TableBodyText"/>
            </w:pPr>
            <w:r>
              <w:t>SortArray</w:t>
            </w:r>
          </w:p>
        </w:tc>
      </w:tr>
      <w:tr w:rsidR="005F78FC" w:rsidTr="005F78FC">
        <w:tc>
          <w:tcPr>
            <w:tcW w:w="0" w:type="auto"/>
            <w:vAlign w:val="center"/>
          </w:tcPr>
          <w:p w:rsidR="005F78FC" w:rsidRDefault="00B42EF3">
            <w:pPr>
              <w:pStyle w:val="TableBodyText"/>
            </w:pPr>
            <w:r>
              <w:t>SpacePara1</w:t>
            </w:r>
          </w:p>
        </w:tc>
      </w:tr>
      <w:tr w:rsidR="005F78FC" w:rsidTr="005F78FC">
        <w:tc>
          <w:tcPr>
            <w:tcW w:w="0" w:type="auto"/>
            <w:vAlign w:val="center"/>
          </w:tcPr>
          <w:p w:rsidR="005F78FC" w:rsidRDefault="00B42EF3">
            <w:pPr>
              <w:pStyle w:val="TableBodyText"/>
            </w:pPr>
            <w:r>
              <w:t>SpacePara15</w:t>
            </w:r>
          </w:p>
        </w:tc>
      </w:tr>
      <w:tr w:rsidR="005F78FC" w:rsidTr="005F78FC">
        <w:tc>
          <w:tcPr>
            <w:tcW w:w="0" w:type="auto"/>
            <w:vAlign w:val="center"/>
          </w:tcPr>
          <w:p w:rsidR="005F78FC" w:rsidRDefault="00B42EF3">
            <w:pPr>
              <w:pStyle w:val="TableBodyText"/>
            </w:pPr>
            <w:r>
              <w:t>SpacePara2</w:t>
            </w:r>
          </w:p>
        </w:tc>
      </w:tr>
      <w:tr w:rsidR="005F78FC" w:rsidTr="005F78FC">
        <w:tc>
          <w:tcPr>
            <w:tcW w:w="0" w:type="auto"/>
            <w:vAlign w:val="center"/>
          </w:tcPr>
          <w:p w:rsidR="005F78FC" w:rsidRDefault="00B42EF3">
            <w:pPr>
              <w:pStyle w:val="TableBodyText"/>
            </w:pPr>
            <w:r>
              <w:t>SpellChecked</w:t>
            </w:r>
          </w:p>
        </w:tc>
      </w:tr>
      <w:tr w:rsidR="005F78FC" w:rsidTr="005F78FC">
        <w:tc>
          <w:tcPr>
            <w:tcW w:w="0" w:type="auto"/>
            <w:vAlign w:val="center"/>
          </w:tcPr>
          <w:p w:rsidR="005F78FC" w:rsidRDefault="00B42EF3">
            <w:pPr>
              <w:pStyle w:val="TableBodyText"/>
            </w:pPr>
            <w:r>
              <w:t>StartOfColumn</w:t>
            </w:r>
          </w:p>
        </w:tc>
      </w:tr>
      <w:tr w:rsidR="005F78FC" w:rsidTr="005F78FC">
        <w:tc>
          <w:tcPr>
            <w:tcW w:w="0" w:type="auto"/>
            <w:vAlign w:val="center"/>
          </w:tcPr>
          <w:p w:rsidR="005F78FC" w:rsidRDefault="00B42EF3">
            <w:pPr>
              <w:pStyle w:val="TableBodyText"/>
            </w:pPr>
            <w:r>
              <w:t>StartOfDocument</w:t>
            </w:r>
          </w:p>
        </w:tc>
      </w:tr>
      <w:tr w:rsidR="005F78FC" w:rsidTr="005F78FC">
        <w:tc>
          <w:tcPr>
            <w:tcW w:w="0" w:type="auto"/>
            <w:vAlign w:val="center"/>
          </w:tcPr>
          <w:p w:rsidR="005F78FC" w:rsidRDefault="00B42EF3">
            <w:pPr>
              <w:pStyle w:val="TableBodyText"/>
            </w:pPr>
            <w:r>
              <w:t>StartOfLine</w:t>
            </w:r>
          </w:p>
        </w:tc>
      </w:tr>
      <w:tr w:rsidR="005F78FC" w:rsidTr="005F78FC">
        <w:tc>
          <w:tcPr>
            <w:tcW w:w="0" w:type="auto"/>
            <w:vAlign w:val="center"/>
          </w:tcPr>
          <w:p w:rsidR="005F78FC" w:rsidRDefault="00B42EF3">
            <w:pPr>
              <w:pStyle w:val="TableBodyText"/>
            </w:pPr>
            <w:r>
              <w:t>StartOfRow</w:t>
            </w:r>
          </w:p>
        </w:tc>
      </w:tr>
      <w:tr w:rsidR="005F78FC" w:rsidTr="005F78FC">
        <w:tc>
          <w:tcPr>
            <w:tcW w:w="0" w:type="auto"/>
            <w:vAlign w:val="center"/>
          </w:tcPr>
          <w:p w:rsidR="005F78FC" w:rsidRDefault="00B42EF3">
            <w:pPr>
              <w:pStyle w:val="TableBodyText"/>
            </w:pPr>
            <w:r>
              <w:t>StartOfWindow</w:t>
            </w:r>
          </w:p>
        </w:tc>
      </w:tr>
      <w:tr w:rsidR="005F78FC" w:rsidTr="005F78FC">
        <w:tc>
          <w:tcPr>
            <w:tcW w:w="0" w:type="auto"/>
            <w:vAlign w:val="center"/>
          </w:tcPr>
          <w:p w:rsidR="005F78FC" w:rsidRDefault="00B42EF3">
            <w:pPr>
              <w:pStyle w:val="TableBodyText"/>
            </w:pPr>
            <w:r>
              <w:t>Stop</w:t>
            </w:r>
          </w:p>
        </w:tc>
      </w:tr>
      <w:tr w:rsidR="005F78FC" w:rsidTr="005F78FC">
        <w:tc>
          <w:tcPr>
            <w:tcW w:w="0" w:type="auto"/>
            <w:vAlign w:val="center"/>
          </w:tcPr>
          <w:p w:rsidR="005F78FC" w:rsidRDefault="00B42EF3">
            <w:pPr>
              <w:pStyle w:val="TableBodyText"/>
            </w:pPr>
            <w:r>
              <w:t>Strikethrough</w:t>
            </w:r>
          </w:p>
        </w:tc>
      </w:tr>
      <w:tr w:rsidR="005F78FC" w:rsidTr="005F78FC">
        <w:tc>
          <w:tcPr>
            <w:tcW w:w="0" w:type="auto"/>
            <w:vAlign w:val="center"/>
          </w:tcPr>
          <w:p w:rsidR="005F78FC" w:rsidRDefault="00B42EF3">
            <w:pPr>
              <w:pStyle w:val="TableBodyText"/>
            </w:pPr>
            <w:r>
              <w:t>Style</w:t>
            </w:r>
          </w:p>
        </w:tc>
      </w:tr>
      <w:tr w:rsidR="005F78FC" w:rsidTr="005F78FC">
        <w:tc>
          <w:tcPr>
            <w:tcW w:w="0" w:type="auto"/>
            <w:vAlign w:val="center"/>
          </w:tcPr>
          <w:p w:rsidR="005F78FC" w:rsidRDefault="00B42EF3">
            <w:pPr>
              <w:pStyle w:val="TableBodyText"/>
            </w:pPr>
            <w:r>
              <w:t>Subscript</w:t>
            </w:r>
          </w:p>
        </w:tc>
      </w:tr>
      <w:tr w:rsidR="005F78FC" w:rsidTr="005F78FC">
        <w:tc>
          <w:tcPr>
            <w:tcW w:w="0" w:type="auto"/>
            <w:vAlign w:val="center"/>
          </w:tcPr>
          <w:p w:rsidR="005F78FC" w:rsidRDefault="00B42EF3">
            <w:pPr>
              <w:pStyle w:val="TableBodyText"/>
            </w:pPr>
            <w:r>
              <w:t>Superscript</w:t>
            </w:r>
          </w:p>
        </w:tc>
      </w:tr>
      <w:tr w:rsidR="005F78FC" w:rsidTr="005F78FC">
        <w:tc>
          <w:tcPr>
            <w:tcW w:w="0" w:type="auto"/>
            <w:vAlign w:val="center"/>
          </w:tcPr>
          <w:p w:rsidR="005F78FC" w:rsidRDefault="00B42EF3">
            <w:pPr>
              <w:pStyle w:val="TableBodyText"/>
            </w:pPr>
            <w:r>
              <w:t>SymbolFont</w:t>
            </w:r>
          </w:p>
        </w:tc>
      </w:tr>
      <w:tr w:rsidR="005F78FC" w:rsidTr="005F78FC">
        <w:tc>
          <w:tcPr>
            <w:tcW w:w="0" w:type="auto"/>
            <w:vAlign w:val="center"/>
          </w:tcPr>
          <w:p w:rsidR="005F78FC" w:rsidRDefault="00B42EF3">
            <w:pPr>
              <w:pStyle w:val="TableBodyText"/>
            </w:pPr>
            <w:r>
              <w:t>TabType</w:t>
            </w:r>
          </w:p>
        </w:tc>
      </w:tr>
      <w:tr w:rsidR="005F78FC" w:rsidTr="005F78FC">
        <w:tc>
          <w:tcPr>
            <w:tcW w:w="0" w:type="auto"/>
            <w:vAlign w:val="center"/>
          </w:tcPr>
          <w:p w:rsidR="005F78FC" w:rsidRDefault="00B42EF3">
            <w:pPr>
              <w:pStyle w:val="TableBodyText"/>
            </w:pPr>
            <w:r>
              <w:t>TableGridlines</w:t>
            </w:r>
          </w:p>
        </w:tc>
      </w:tr>
      <w:tr w:rsidR="005F78FC" w:rsidTr="005F78FC">
        <w:tc>
          <w:tcPr>
            <w:tcW w:w="0" w:type="auto"/>
            <w:vAlign w:val="center"/>
          </w:tcPr>
          <w:p w:rsidR="005F78FC" w:rsidRDefault="00B42EF3">
            <w:pPr>
              <w:pStyle w:val="TableBodyText"/>
            </w:pPr>
            <w:r>
              <w:t>TableHeadings</w:t>
            </w:r>
          </w:p>
        </w:tc>
      </w:tr>
      <w:tr w:rsidR="005F78FC" w:rsidTr="005F78FC">
        <w:tc>
          <w:tcPr>
            <w:tcW w:w="0" w:type="auto"/>
            <w:vAlign w:val="center"/>
          </w:tcPr>
          <w:p w:rsidR="005F78FC" w:rsidRDefault="00B42EF3">
            <w:pPr>
              <w:pStyle w:val="TableBodyText"/>
            </w:pPr>
            <w:r>
              <w:t>Text</w:t>
            </w:r>
          </w:p>
        </w:tc>
      </w:tr>
      <w:tr w:rsidR="005F78FC" w:rsidTr="005F78FC">
        <w:tc>
          <w:tcPr>
            <w:tcW w:w="0" w:type="auto"/>
            <w:vAlign w:val="center"/>
          </w:tcPr>
          <w:p w:rsidR="005F78FC" w:rsidRDefault="00B42EF3">
            <w:pPr>
              <w:pStyle w:val="TableBodyText"/>
            </w:pPr>
            <w:r>
              <w:t>TextBox</w:t>
            </w:r>
          </w:p>
        </w:tc>
      </w:tr>
      <w:tr w:rsidR="005F78FC" w:rsidTr="005F78FC">
        <w:tc>
          <w:tcPr>
            <w:tcW w:w="0" w:type="auto"/>
            <w:vAlign w:val="center"/>
          </w:tcPr>
          <w:p w:rsidR="005F78FC" w:rsidRDefault="00B42EF3">
            <w:pPr>
              <w:pStyle w:val="TableBodyText"/>
            </w:pPr>
            <w:r>
              <w:t>TimeSerial</w:t>
            </w:r>
          </w:p>
        </w:tc>
      </w:tr>
      <w:tr w:rsidR="005F78FC" w:rsidTr="005F78FC">
        <w:tc>
          <w:tcPr>
            <w:tcW w:w="0" w:type="auto"/>
            <w:vAlign w:val="center"/>
          </w:tcPr>
          <w:p w:rsidR="005F78FC" w:rsidRDefault="00B42EF3">
            <w:pPr>
              <w:pStyle w:val="TableBodyText"/>
            </w:pPr>
            <w:r>
              <w:t>TimeValue</w:t>
            </w:r>
          </w:p>
        </w:tc>
      </w:tr>
      <w:tr w:rsidR="005F78FC" w:rsidTr="005F78FC">
        <w:tc>
          <w:tcPr>
            <w:tcW w:w="0" w:type="auto"/>
            <w:vAlign w:val="center"/>
          </w:tcPr>
          <w:p w:rsidR="005F78FC" w:rsidRDefault="00B42EF3">
            <w:pPr>
              <w:pStyle w:val="TableBodyText"/>
            </w:pPr>
            <w:r>
              <w:t>Today</w:t>
            </w:r>
          </w:p>
        </w:tc>
      </w:tr>
      <w:tr w:rsidR="005F78FC" w:rsidTr="005F78FC">
        <w:tc>
          <w:tcPr>
            <w:tcW w:w="0" w:type="auto"/>
            <w:vAlign w:val="center"/>
          </w:tcPr>
          <w:p w:rsidR="005F78FC" w:rsidRDefault="00B42EF3">
            <w:pPr>
              <w:pStyle w:val="TableBodyText"/>
            </w:pPr>
            <w:r>
              <w:t>ToolbarState</w:t>
            </w:r>
          </w:p>
        </w:tc>
      </w:tr>
      <w:tr w:rsidR="005F78FC" w:rsidTr="005F78FC">
        <w:tc>
          <w:tcPr>
            <w:tcW w:w="0" w:type="auto"/>
            <w:vAlign w:val="center"/>
          </w:tcPr>
          <w:p w:rsidR="005F78FC" w:rsidRDefault="00B42EF3">
            <w:pPr>
              <w:pStyle w:val="TableBodyText"/>
            </w:pPr>
            <w:r>
              <w:t>ToolsAutoCorrectCapsLockOff</w:t>
            </w:r>
          </w:p>
        </w:tc>
      </w:tr>
      <w:tr w:rsidR="005F78FC" w:rsidTr="005F78FC">
        <w:tc>
          <w:tcPr>
            <w:tcW w:w="0" w:type="auto"/>
            <w:vAlign w:val="center"/>
          </w:tcPr>
          <w:p w:rsidR="005F78FC" w:rsidRDefault="00B42EF3">
            <w:pPr>
              <w:pStyle w:val="TableBodyText"/>
            </w:pPr>
            <w:r>
              <w:t>ToolsAutoCorrectDays</w:t>
            </w:r>
          </w:p>
        </w:tc>
      </w:tr>
      <w:tr w:rsidR="005F78FC" w:rsidTr="005F78FC">
        <w:tc>
          <w:tcPr>
            <w:tcW w:w="0" w:type="auto"/>
            <w:vAlign w:val="center"/>
          </w:tcPr>
          <w:p w:rsidR="005F78FC" w:rsidRDefault="00B42EF3">
            <w:pPr>
              <w:pStyle w:val="TableBodyText"/>
            </w:pPr>
            <w:r>
              <w:t>ToolsAutoCorrectInitialCaps</w:t>
            </w:r>
          </w:p>
        </w:tc>
      </w:tr>
      <w:tr w:rsidR="005F78FC" w:rsidTr="005F78FC">
        <w:tc>
          <w:tcPr>
            <w:tcW w:w="0" w:type="auto"/>
            <w:vAlign w:val="center"/>
          </w:tcPr>
          <w:p w:rsidR="005F78FC" w:rsidRDefault="00B42EF3">
            <w:pPr>
              <w:pStyle w:val="TableBodyText"/>
            </w:pPr>
            <w:r>
              <w:t>ToolsAutoCorrectReplaceText</w:t>
            </w:r>
          </w:p>
        </w:tc>
      </w:tr>
      <w:tr w:rsidR="005F78FC" w:rsidTr="005F78FC">
        <w:tc>
          <w:tcPr>
            <w:tcW w:w="0" w:type="auto"/>
            <w:vAlign w:val="center"/>
          </w:tcPr>
          <w:p w:rsidR="005F78FC" w:rsidRDefault="00B42EF3">
            <w:pPr>
              <w:pStyle w:val="TableBodyText"/>
            </w:pPr>
            <w:r>
              <w:t>ToolsAutoCorrectReplaceTextFromSpellingChecker</w:t>
            </w:r>
          </w:p>
        </w:tc>
      </w:tr>
      <w:tr w:rsidR="005F78FC" w:rsidTr="005F78FC">
        <w:tc>
          <w:tcPr>
            <w:tcW w:w="0" w:type="auto"/>
            <w:vAlign w:val="center"/>
          </w:tcPr>
          <w:p w:rsidR="005F78FC" w:rsidRDefault="00B42EF3">
            <w:pPr>
              <w:pStyle w:val="TableBodyText"/>
            </w:pPr>
            <w:r>
              <w:t>ToolsAutoCorrectSentenceCaps</w:t>
            </w:r>
          </w:p>
        </w:tc>
      </w:tr>
      <w:tr w:rsidR="005F78FC" w:rsidTr="005F78FC">
        <w:tc>
          <w:tcPr>
            <w:tcW w:w="0" w:type="auto"/>
            <w:vAlign w:val="center"/>
          </w:tcPr>
          <w:p w:rsidR="005F78FC" w:rsidRDefault="00B42EF3">
            <w:pPr>
              <w:pStyle w:val="TableBodyText"/>
            </w:pPr>
            <w:r>
              <w:lastRenderedPageBreak/>
              <w:t>ToolsAutoCorrectSmartQuotes</w:t>
            </w:r>
          </w:p>
        </w:tc>
      </w:tr>
      <w:tr w:rsidR="005F78FC" w:rsidTr="005F78FC">
        <w:tc>
          <w:tcPr>
            <w:tcW w:w="0" w:type="auto"/>
            <w:vAlign w:val="center"/>
          </w:tcPr>
          <w:p w:rsidR="005F78FC" w:rsidRDefault="00B42EF3">
            <w:pPr>
              <w:pStyle w:val="TableBodyText"/>
            </w:pPr>
            <w:r>
              <w:t>ToolsCalculate</w:t>
            </w:r>
          </w:p>
        </w:tc>
      </w:tr>
      <w:tr w:rsidR="005F78FC" w:rsidTr="005F78FC">
        <w:tc>
          <w:tcPr>
            <w:tcW w:w="0" w:type="auto"/>
            <w:vAlign w:val="center"/>
          </w:tcPr>
          <w:p w:rsidR="005F78FC" w:rsidRDefault="00B42EF3">
            <w:pPr>
              <w:pStyle w:val="TableBodyText"/>
            </w:pPr>
            <w:r>
              <w:t>ToolsGrammarStatisticsArray</w:t>
            </w:r>
          </w:p>
        </w:tc>
      </w:tr>
      <w:tr w:rsidR="005F78FC" w:rsidTr="005F78FC">
        <w:tc>
          <w:tcPr>
            <w:tcW w:w="0" w:type="auto"/>
            <w:vAlign w:val="center"/>
          </w:tcPr>
          <w:p w:rsidR="005F78FC" w:rsidRDefault="00B42EF3">
            <w:pPr>
              <w:pStyle w:val="TableBodyText"/>
            </w:pPr>
            <w:r>
              <w:t>ToolsRevisionDate</w:t>
            </w:r>
          </w:p>
        </w:tc>
      </w:tr>
      <w:tr w:rsidR="005F78FC" w:rsidTr="005F78FC">
        <w:tc>
          <w:tcPr>
            <w:tcW w:w="0" w:type="auto"/>
            <w:vAlign w:val="center"/>
          </w:tcPr>
          <w:p w:rsidR="005F78FC" w:rsidRDefault="00B42EF3">
            <w:pPr>
              <w:pStyle w:val="TableBodyText"/>
            </w:pPr>
            <w:r>
              <w:t>ToolsRevisionType</w:t>
            </w:r>
          </w:p>
        </w:tc>
      </w:tr>
      <w:tr w:rsidR="005F78FC" w:rsidTr="005F78FC">
        <w:tc>
          <w:tcPr>
            <w:tcW w:w="0" w:type="auto"/>
            <w:vAlign w:val="center"/>
          </w:tcPr>
          <w:p w:rsidR="005F78FC" w:rsidRDefault="00B42EF3">
            <w:pPr>
              <w:pStyle w:val="TableBodyText"/>
            </w:pPr>
            <w:r>
              <w:t>Underline</w:t>
            </w:r>
          </w:p>
        </w:tc>
      </w:tr>
      <w:tr w:rsidR="005F78FC" w:rsidTr="005F78FC">
        <w:tc>
          <w:tcPr>
            <w:tcW w:w="0" w:type="auto"/>
            <w:vAlign w:val="center"/>
          </w:tcPr>
          <w:p w:rsidR="005F78FC" w:rsidRDefault="00B42EF3">
            <w:pPr>
              <w:pStyle w:val="TableBodyText"/>
            </w:pPr>
            <w:r>
              <w:t>UnderlineColor</w:t>
            </w:r>
          </w:p>
        </w:tc>
      </w:tr>
      <w:tr w:rsidR="005F78FC" w:rsidTr="005F78FC">
        <w:tc>
          <w:tcPr>
            <w:tcW w:w="0" w:type="auto"/>
            <w:vAlign w:val="center"/>
          </w:tcPr>
          <w:p w:rsidR="005F78FC" w:rsidRDefault="00B42EF3">
            <w:pPr>
              <w:pStyle w:val="TableBodyText"/>
            </w:pPr>
            <w:r>
              <w:t>UnderlineStyle</w:t>
            </w:r>
          </w:p>
        </w:tc>
      </w:tr>
      <w:tr w:rsidR="005F78FC" w:rsidTr="005F78FC">
        <w:tc>
          <w:tcPr>
            <w:tcW w:w="0" w:type="auto"/>
            <w:vAlign w:val="center"/>
          </w:tcPr>
          <w:p w:rsidR="005F78FC" w:rsidRDefault="00B42EF3">
            <w:pPr>
              <w:pStyle w:val="TableBodyText"/>
            </w:pPr>
            <w:r>
              <w:t>VLine</w:t>
            </w:r>
          </w:p>
        </w:tc>
      </w:tr>
      <w:tr w:rsidR="005F78FC" w:rsidTr="005F78FC">
        <w:tc>
          <w:tcPr>
            <w:tcW w:w="0" w:type="auto"/>
            <w:vAlign w:val="center"/>
          </w:tcPr>
          <w:p w:rsidR="005F78FC" w:rsidRDefault="00B42EF3">
            <w:pPr>
              <w:pStyle w:val="TableBodyText"/>
            </w:pPr>
            <w:r>
              <w:t>VPage</w:t>
            </w:r>
          </w:p>
        </w:tc>
      </w:tr>
      <w:tr w:rsidR="005F78FC" w:rsidTr="005F78FC">
        <w:tc>
          <w:tcPr>
            <w:tcW w:w="0" w:type="auto"/>
            <w:vAlign w:val="center"/>
          </w:tcPr>
          <w:p w:rsidR="005F78FC" w:rsidRDefault="00B42EF3">
            <w:pPr>
              <w:pStyle w:val="TableBodyText"/>
            </w:pPr>
            <w:r>
              <w:t>VScroll</w:t>
            </w:r>
          </w:p>
        </w:tc>
      </w:tr>
      <w:tr w:rsidR="005F78FC" w:rsidTr="005F78FC">
        <w:tc>
          <w:tcPr>
            <w:tcW w:w="0" w:type="auto"/>
            <w:vAlign w:val="center"/>
          </w:tcPr>
          <w:p w:rsidR="005F78FC" w:rsidRDefault="00B42EF3">
            <w:pPr>
              <w:pStyle w:val="TableBodyText"/>
            </w:pPr>
            <w:r>
              <w:t>Val</w:t>
            </w:r>
          </w:p>
        </w:tc>
      </w:tr>
      <w:tr w:rsidR="005F78FC" w:rsidTr="005F78FC">
        <w:tc>
          <w:tcPr>
            <w:tcW w:w="0" w:type="auto"/>
            <w:vAlign w:val="center"/>
          </w:tcPr>
          <w:p w:rsidR="005F78FC" w:rsidRDefault="00B42EF3">
            <w:pPr>
              <w:pStyle w:val="TableBodyText"/>
            </w:pPr>
            <w:r>
              <w:t>ViewAnnotations</w:t>
            </w:r>
          </w:p>
        </w:tc>
      </w:tr>
      <w:tr w:rsidR="005F78FC" w:rsidTr="005F78FC">
        <w:tc>
          <w:tcPr>
            <w:tcW w:w="0" w:type="auto"/>
            <w:vAlign w:val="center"/>
          </w:tcPr>
          <w:p w:rsidR="005F78FC" w:rsidRDefault="00B42EF3">
            <w:pPr>
              <w:pStyle w:val="TableBodyText"/>
            </w:pPr>
            <w:r>
              <w:t>ViewDraft</w:t>
            </w:r>
          </w:p>
        </w:tc>
      </w:tr>
      <w:tr w:rsidR="005F78FC" w:rsidTr="005F78FC">
        <w:tc>
          <w:tcPr>
            <w:tcW w:w="0" w:type="auto"/>
            <w:vAlign w:val="center"/>
          </w:tcPr>
          <w:p w:rsidR="005F78FC" w:rsidRDefault="00B42EF3">
            <w:pPr>
              <w:pStyle w:val="TableBodyText"/>
            </w:pPr>
            <w:r>
              <w:t>ViewEndnoteArea</w:t>
            </w:r>
          </w:p>
        </w:tc>
      </w:tr>
      <w:tr w:rsidR="005F78FC" w:rsidTr="005F78FC">
        <w:tc>
          <w:tcPr>
            <w:tcW w:w="0" w:type="auto"/>
            <w:vAlign w:val="center"/>
          </w:tcPr>
          <w:p w:rsidR="005F78FC" w:rsidRDefault="00B42EF3">
            <w:pPr>
              <w:pStyle w:val="TableBodyText"/>
            </w:pPr>
            <w:r>
              <w:t>ViewFieldCodes</w:t>
            </w:r>
          </w:p>
        </w:tc>
      </w:tr>
      <w:tr w:rsidR="005F78FC" w:rsidTr="005F78FC">
        <w:tc>
          <w:tcPr>
            <w:tcW w:w="0" w:type="auto"/>
            <w:vAlign w:val="center"/>
          </w:tcPr>
          <w:p w:rsidR="005F78FC" w:rsidRDefault="00B42EF3">
            <w:pPr>
              <w:pStyle w:val="TableBodyText"/>
            </w:pPr>
            <w:r>
              <w:t>ViewFooter</w:t>
            </w:r>
          </w:p>
        </w:tc>
      </w:tr>
      <w:tr w:rsidR="005F78FC" w:rsidTr="005F78FC">
        <w:tc>
          <w:tcPr>
            <w:tcW w:w="0" w:type="auto"/>
            <w:vAlign w:val="center"/>
          </w:tcPr>
          <w:p w:rsidR="005F78FC" w:rsidRDefault="00B42EF3">
            <w:pPr>
              <w:pStyle w:val="TableBodyText"/>
            </w:pPr>
            <w:r>
              <w:t>ViewFootnoteArea</w:t>
            </w:r>
          </w:p>
        </w:tc>
      </w:tr>
      <w:tr w:rsidR="005F78FC" w:rsidTr="005F78FC">
        <w:tc>
          <w:tcPr>
            <w:tcW w:w="0" w:type="auto"/>
            <w:vAlign w:val="center"/>
          </w:tcPr>
          <w:p w:rsidR="005F78FC" w:rsidRDefault="00B42EF3">
            <w:pPr>
              <w:pStyle w:val="TableBodyText"/>
            </w:pPr>
            <w:r>
              <w:t>ViewFootnotes</w:t>
            </w:r>
          </w:p>
        </w:tc>
      </w:tr>
      <w:tr w:rsidR="005F78FC" w:rsidTr="005F78FC">
        <w:tc>
          <w:tcPr>
            <w:tcW w:w="0" w:type="auto"/>
            <w:vAlign w:val="center"/>
          </w:tcPr>
          <w:p w:rsidR="005F78FC" w:rsidRDefault="00B42EF3">
            <w:pPr>
              <w:pStyle w:val="TableBodyText"/>
            </w:pPr>
            <w:r>
              <w:t>ViewGridlines</w:t>
            </w:r>
          </w:p>
        </w:tc>
      </w:tr>
      <w:tr w:rsidR="005F78FC" w:rsidTr="005F78FC">
        <w:tc>
          <w:tcPr>
            <w:tcW w:w="0" w:type="auto"/>
            <w:vAlign w:val="center"/>
          </w:tcPr>
          <w:p w:rsidR="005F78FC" w:rsidRDefault="00B42EF3">
            <w:pPr>
              <w:pStyle w:val="TableBodyText"/>
            </w:pPr>
            <w:r>
              <w:t>ViewHeader</w:t>
            </w:r>
          </w:p>
        </w:tc>
      </w:tr>
      <w:tr w:rsidR="005F78FC" w:rsidTr="005F78FC">
        <w:tc>
          <w:tcPr>
            <w:tcW w:w="0" w:type="auto"/>
            <w:vAlign w:val="center"/>
          </w:tcPr>
          <w:p w:rsidR="005F78FC" w:rsidRDefault="00B42EF3">
            <w:pPr>
              <w:pStyle w:val="TableBodyText"/>
            </w:pPr>
            <w:r>
              <w:t>ViewMasterDocument</w:t>
            </w:r>
          </w:p>
        </w:tc>
      </w:tr>
      <w:tr w:rsidR="005F78FC" w:rsidTr="005F78FC">
        <w:tc>
          <w:tcPr>
            <w:tcW w:w="0" w:type="auto"/>
            <w:vAlign w:val="center"/>
          </w:tcPr>
          <w:p w:rsidR="005F78FC" w:rsidRDefault="00B42EF3">
            <w:pPr>
              <w:pStyle w:val="TableBodyText"/>
            </w:pPr>
            <w:r>
              <w:t>ViewMenus</w:t>
            </w:r>
          </w:p>
        </w:tc>
      </w:tr>
      <w:tr w:rsidR="005F78FC" w:rsidTr="005F78FC">
        <w:tc>
          <w:tcPr>
            <w:tcW w:w="0" w:type="auto"/>
            <w:vAlign w:val="center"/>
          </w:tcPr>
          <w:p w:rsidR="005F78FC" w:rsidRDefault="00B42EF3">
            <w:pPr>
              <w:pStyle w:val="TableBodyText"/>
            </w:pPr>
            <w:r>
              <w:t>ViewNormal</w:t>
            </w:r>
          </w:p>
        </w:tc>
      </w:tr>
      <w:tr w:rsidR="005F78FC" w:rsidTr="005F78FC">
        <w:tc>
          <w:tcPr>
            <w:tcW w:w="0" w:type="auto"/>
            <w:vAlign w:val="center"/>
          </w:tcPr>
          <w:p w:rsidR="005F78FC" w:rsidRDefault="00B42EF3">
            <w:pPr>
              <w:pStyle w:val="TableBodyText"/>
            </w:pPr>
            <w:r>
              <w:t>ViewOutline</w:t>
            </w:r>
          </w:p>
        </w:tc>
      </w:tr>
      <w:tr w:rsidR="005F78FC" w:rsidTr="005F78FC">
        <w:tc>
          <w:tcPr>
            <w:tcW w:w="0" w:type="auto"/>
            <w:vAlign w:val="center"/>
          </w:tcPr>
          <w:p w:rsidR="005F78FC" w:rsidRDefault="00B42EF3">
            <w:pPr>
              <w:pStyle w:val="TableBodyText"/>
            </w:pPr>
            <w:r>
              <w:t>ViewPage</w:t>
            </w:r>
          </w:p>
        </w:tc>
      </w:tr>
      <w:tr w:rsidR="005F78FC" w:rsidTr="005F78FC">
        <w:tc>
          <w:tcPr>
            <w:tcW w:w="0" w:type="auto"/>
            <w:vAlign w:val="center"/>
          </w:tcPr>
          <w:p w:rsidR="005F78FC" w:rsidRDefault="00B42EF3">
            <w:pPr>
              <w:pStyle w:val="TableBodyText"/>
            </w:pPr>
            <w:r>
              <w:t>ViewRibbon</w:t>
            </w:r>
          </w:p>
        </w:tc>
      </w:tr>
      <w:tr w:rsidR="005F78FC" w:rsidTr="005F78FC">
        <w:tc>
          <w:tcPr>
            <w:tcW w:w="0" w:type="auto"/>
            <w:vAlign w:val="center"/>
          </w:tcPr>
          <w:p w:rsidR="005F78FC" w:rsidRDefault="00B42EF3">
            <w:pPr>
              <w:pStyle w:val="TableBodyText"/>
            </w:pPr>
            <w:r>
              <w:t>ViewRuler</w:t>
            </w:r>
          </w:p>
        </w:tc>
      </w:tr>
      <w:tr w:rsidR="005F78FC" w:rsidTr="005F78FC">
        <w:tc>
          <w:tcPr>
            <w:tcW w:w="0" w:type="auto"/>
            <w:vAlign w:val="center"/>
          </w:tcPr>
          <w:p w:rsidR="005F78FC" w:rsidRDefault="00B42EF3">
            <w:pPr>
              <w:pStyle w:val="TableBodyText"/>
            </w:pPr>
            <w:r>
              <w:t>ViewStatusBar</w:t>
            </w:r>
          </w:p>
        </w:tc>
      </w:tr>
      <w:tr w:rsidR="005F78FC" w:rsidTr="005F78FC">
        <w:tc>
          <w:tcPr>
            <w:tcW w:w="0" w:type="auto"/>
            <w:vAlign w:val="center"/>
          </w:tcPr>
          <w:p w:rsidR="005F78FC" w:rsidRDefault="00B42EF3">
            <w:pPr>
              <w:pStyle w:val="TableBodyText"/>
            </w:pPr>
            <w:r>
              <w:t>ViewToolbar</w:t>
            </w:r>
          </w:p>
        </w:tc>
      </w:tr>
      <w:tr w:rsidR="005F78FC" w:rsidTr="005F78FC">
        <w:tc>
          <w:tcPr>
            <w:tcW w:w="0" w:type="auto"/>
            <w:vAlign w:val="center"/>
          </w:tcPr>
          <w:p w:rsidR="005F78FC" w:rsidRDefault="00B42EF3">
            <w:pPr>
              <w:pStyle w:val="TableBodyText"/>
            </w:pPr>
            <w:r>
              <w:t>WW1_InsertPara</w:t>
            </w:r>
          </w:p>
        </w:tc>
      </w:tr>
      <w:tr w:rsidR="005F78FC" w:rsidTr="005F78FC">
        <w:tc>
          <w:tcPr>
            <w:tcW w:w="0" w:type="auto"/>
            <w:vAlign w:val="center"/>
          </w:tcPr>
          <w:p w:rsidR="005F78FC" w:rsidRDefault="00B42EF3">
            <w:pPr>
              <w:pStyle w:val="TableBodyText"/>
            </w:pPr>
            <w:r>
              <w:t>WW2CallingConvention</w:t>
            </w:r>
          </w:p>
        </w:tc>
      </w:tr>
      <w:tr w:rsidR="005F78FC" w:rsidTr="005F78FC">
        <w:tc>
          <w:tcPr>
            <w:tcW w:w="0" w:type="auto"/>
            <w:vAlign w:val="center"/>
          </w:tcPr>
          <w:p w:rsidR="005F78FC" w:rsidRDefault="00B42EF3">
            <w:pPr>
              <w:pStyle w:val="TableBodyText"/>
            </w:pPr>
            <w:r>
              <w:lastRenderedPageBreak/>
              <w:t>WW2_Asc</w:t>
            </w:r>
          </w:p>
        </w:tc>
      </w:tr>
      <w:tr w:rsidR="005F78FC" w:rsidTr="005F78FC">
        <w:tc>
          <w:tcPr>
            <w:tcW w:w="0" w:type="auto"/>
            <w:vAlign w:val="center"/>
          </w:tcPr>
          <w:p w:rsidR="005F78FC" w:rsidRDefault="00B42EF3">
            <w:pPr>
              <w:pStyle w:val="TableBodyText"/>
            </w:pPr>
            <w:r>
              <w:t>WW2_ChangeCase</w:t>
            </w:r>
          </w:p>
        </w:tc>
      </w:tr>
      <w:tr w:rsidR="005F78FC" w:rsidTr="005F78FC">
        <w:tc>
          <w:tcPr>
            <w:tcW w:w="0" w:type="auto"/>
            <w:vAlign w:val="center"/>
          </w:tcPr>
          <w:p w:rsidR="005F78FC" w:rsidRDefault="00B42EF3">
            <w:pPr>
              <w:pStyle w:val="TableBodyText"/>
            </w:pPr>
            <w:r>
              <w:t>WW2_CountMenuItems</w:t>
            </w:r>
          </w:p>
        </w:tc>
      </w:tr>
      <w:tr w:rsidR="005F78FC" w:rsidTr="005F78FC">
        <w:tc>
          <w:tcPr>
            <w:tcW w:w="0" w:type="auto"/>
            <w:vAlign w:val="center"/>
          </w:tcPr>
          <w:p w:rsidR="005F78FC" w:rsidRDefault="00B42EF3">
            <w:pPr>
              <w:pStyle w:val="TableBodyText"/>
            </w:pPr>
            <w:r>
              <w:t>WW2_GetToolButton</w:t>
            </w:r>
          </w:p>
        </w:tc>
      </w:tr>
      <w:tr w:rsidR="005F78FC" w:rsidTr="005F78FC">
        <w:tc>
          <w:tcPr>
            <w:tcW w:w="0" w:type="auto"/>
            <w:vAlign w:val="center"/>
          </w:tcPr>
          <w:p w:rsidR="005F78FC" w:rsidRDefault="00B42EF3">
            <w:pPr>
              <w:pStyle w:val="TableBodyText"/>
            </w:pPr>
            <w:r>
              <w:t>WW2_Insert</w:t>
            </w:r>
          </w:p>
        </w:tc>
      </w:tr>
      <w:tr w:rsidR="005F78FC" w:rsidTr="005F78FC">
        <w:tc>
          <w:tcPr>
            <w:tcW w:w="0" w:type="auto"/>
            <w:vAlign w:val="center"/>
          </w:tcPr>
          <w:p w:rsidR="005F78FC" w:rsidRDefault="00B42EF3">
            <w:pPr>
              <w:pStyle w:val="TableBodyText"/>
            </w:pPr>
            <w:r>
              <w:t>WW2_KeyCode</w:t>
            </w:r>
          </w:p>
        </w:tc>
      </w:tr>
      <w:tr w:rsidR="005F78FC" w:rsidTr="005F78FC">
        <w:tc>
          <w:tcPr>
            <w:tcW w:w="0" w:type="auto"/>
            <w:vAlign w:val="center"/>
          </w:tcPr>
          <w:p w:rsidR="005F78FC" w:rsidRDefault="00B42EF3">
            <w:pPr>
              <w:pStyle w:val="TableBodyText"/>
            </w:pPr>
            <w:r>
              <w:t>WW2_RenameMenu</w:t>
            </w:r>
          </w:p>
        </w:tc>
      </w:tr>
      <w:tr w:rsidR="005F78FC" w:rsidTr="005F78FC">
        <w:tc>
          <w:tcPr>
            <w:tcW w:w="0" w:type="auto"/>
            <w:vAlign w:val="center"/>
          </w:tcPr>
          <w:p w:rsidR="005F78FC" w:rsidRDefault="00B42EF3">
            <w:pPr>
              <w:pStyle w:val="TableBodyText"/>
            </w:pPr>
            <w:r>
              <w:t>WW2_Underlines</w:t>
            </w:r>
          </w:p>
        </w:tc>
      </w:tr>
      <w:tr w:rsidR="005F78FC" w:rsidTr="005F78FC">
        <w:tc>
          <w:tcPr>
            <w:tcW w:w="0" w:type="auto"/>
            <w:vAlign w:val="center"/>
          </w:tcPr>
          <w:p w:rsidR="005F78FC" w:rsidRDefault="00B42EF3">
            <w:pPr>
              <w:pStyle w:val="TableBodyText"/>
            </w:pPr>
            <w:r>
              <w:t>WW6_EditClear</w:t>
            </w:r>
          </w:p>
        </w:tc>
      </w:tr>
      <w:tr w:rsidR="005F78FC" w:rsidTr="005F78FC">
        <w:tc>
          <w:tcPr>
            <w:tcW w:w="0" w:type="auto"/>
            <w:vAlign w:val="center"/>
          </w:tcPr>
          <w:p w:rsidR="005F78FC" w:rsidRDefault="00B42EF3">
            <w:pPr>
              <w:pStyle w:val="TableBodyText"/>
            </w:pPr>
            <w:r>
              <w:t>WaitCursor</w:t>
            </w:r>
          </w:p>
        </w:tc>
      </w:tr>
      <w:tr w:rsidR="005F78FC" w:rsidTr="005F78FC">
        <w:tc>
          <w:tcPr>
            <w:tcW w:w="0" w:type="auto"/>
            <w:vAlign w:val="center"/>
          </w:tcPr>
          <w:p w:rsidR="005F78FC" w:rsidRDefault="00B42EF3">
            <w:pPr>
              <w:pStyle w:val="TableBodyText"/>
            </w:pPr>
            <w:r>
              <w:t>Weekday</w:t>
            </w:r>
          </w:p>
        </w:tc>
      </w:tr>
      <w:tr w:rsidR="005F78FC" w:rsidTr="005F78FC">
        <w:tc>
          <w:tcPr>
            <w:tcW w:w="0" w:type="auto"/>
            <w:vAlign w:val="center"/>
          </w:tcPr>
          <w:p w:rsidR="005F78FC" w:rsidRDefault="00B42EF3">
            <w:pPr>
              <w:pStyle w:val="TableBodyText"/>
            </w:pPr>
            <w:r>
              <w:t>WinAllocFail</w:t>
            </w:r>
          </w:p>
        </w:tc>
      </w:tr>
      <w:tr w:rsidR="005F78FC" w:rsidTr="005F78FC">
        <w:tc>
          <w:tcPr>
            <w:tcW w:w="0" w:type="auto"/>
            <w:vAlign w:val="center"/>
          </w:tcPr>
          <w:p w:rsidR="005F78FC" w:rsidRDefault="00B42EF3">
            <w:pPr>
              <w:pStyle w:val="TableBodyText"/>
            </w:pPr>
            <w:r>
              <w:t>Window</w:t>
            </w:r>
          </w:p>
        </w:tc>
      </w:tr>
      <w:tr w:rsidR="005F78FC" w:rsidTr="005F78FC">
        <w:tc>
          <w:tcPr>
            <w:tcW w:w="0" w:type="auto"/>
            <w:vAlign w:val="center"/>
          </w:tcPr>
          <w:p w:rsidR="005F78FC" w:rsidRDefault="00B42EF3">
            <w:pPr>
              <w:pStyle w:val="TableBodyText"/>
            </w:pPr>
            <w:r>
              <w:t>Window1</w:t>
            </w:r>
          </w:p>
        </w:tc>
      </w:tr>
      <w:tr w:rsidR="005F78FC" w:rsidTr="005F78FC">
        <w:tc>
          <w:tcPr>
            <w:tcW w:w="0" w:type="auto"/>
            <w:vAlign w:val="center"/>
          </w:tcPr>
          <w:p w:rsidR="005F78FC" w:rsidRDefault="00B42EF3">
            <w:pPr>
              <w:pStyle w:val="TableBodyText"/>
            </w:pPr>
            <w:r>
              <w:t>Window2</w:t>
            </w:r>
          </w:p>
        </w:tc>
      </w:tr>
      <w:tr w:rsidR="005F78FC" w:rsidTr="005F78FC">
        <w:tc>
          <w:tcPr>
            <w:tcW w:w="0" w:type="auto"/>
            <w:vAlign w:val="center"/>
          </w:tcPr>
          <w:p w:rsidR="005F78FC" w:rsidRDefault="00B42EF3">
            <w:pPr>
              <w:pStyle w:val="TableBodyText"/>
            </w:pPr>
            <w:r>
              <w:t>Window3</w:t>
            </w:r>
          </w:p>
        </w:tc>
      </w:tr>
      <w:tr w:rsidR="005F78FC" w:rsidTr="005F78FC">
        <w:tc>
          <w:tcPr>
            <w:tcW w:w="0" w:type="auto"/>
            <w:vAlign w:val="center"/>
          </w:tcPr>
          <w:p w:rsidR="005F78FC" w:rsidRDefault="00B42EF3">
            <w:pPr>
              <w:pStyle w:val="TableBodyText"/>
            </w:pPr>
            <w:r>
              <w:t>Window4</w:t>
            </w:r>
          </w:p>
        </w:tc>
      </w:tr>
      <w:tr w:rsidR="005F78FC" w:rsidTr="005F78FC">
        <w:tc>
          <w:tcPr>
            <w:tcW w:w="0" w:type="auto"/>
            <w:vAlign w:val="center"/>
          </w:tcPr>
          <w:p w:rsidR="005F78FC" w:rsidRDefault="00B42EF3">
            <w:pPr>
              <w:pStyle w:val="TableBodyText"/>
            </w:pPr>
            <w:r>
              <w:t>Window5</w:t>
            </w:r>
          </w:p>
        </w:tc>
      </w:tr>
      <w:tr w:rsidR="005F78FC" w:rsidTr="005F78FC">
        <w:tc>
          <w:tcPr>
            <w:tcW w:w="0" w:type="auto"/>
            <w:vAlign w:val="center"/>
          </w:tcPr>
          <w:p w:rsidR="005F78FC" w:rsidRDefault="00B42EF3">
            <w:pPr>
              <w:pStyle w:val="TableBodyText"/>
            </w:pPr>
            <w:r>
              <w:t>Window6</w:t>
            </w:r>
          </w:p>
        </w:tc>
      </w:tr>
      <w:tr w:rsidR="005F78FC" w:rsidTr="005F78FC">
        <w:tc>
          <w:tcPr>
            <w:tcW w:w="0" w:type="auto"/>
            <w:vAlign w:val="center"/>
          </w:tcPr>
          <w:p w:rsidR="005F78FC" w:rsidRDefault="00B42EF3">
            <w:pPr>
              <w:pStyle w:val="TableBodyText"/>
            </w:pPr>
            <w:r>
              <w:t>Window7</w:t>
            </w:r>
          </w:p>
        </w:tc>
      </w:tr>
      <w:tr w:rsidR="005F78FC" w:rsidTr="005F78FC">
        <w:tc>
          <w:tcPr>
            <w:tcW w:w="0" w:type="auto"/>
            <w:vAlign w:val="center"/>
          </w:tcPr>
          <w:p w:rsidR="005F78FC" w:rsidRDefault="00B42EF3">
            <w:pPr>
              <w:pStyle w:val="TableBodyText"/>
            </w:pPr>
            <w:r>
              <w:t>Window8</w:t>
            </w:r>
          </w:p>
        </w:tc>
      </w:tr>
      <w:tr w:rsidR="005F78FC" w:rsidTr="005F78FC">
        <w:tc>
          <w:tcPr>
            <w:tcW w:w="0" w:type="auto"/>
            <w:vAlign w:val="center"/>
          </w:tcPr>
          <w:p w:rsidR="005F78FC" w:rsidRDefault="00B42EF3">
            <w:pPr>
              <w:pStyle w:val="TableBodyText"/>
            </w:pPr>
            <w:r>
              <w:t>Window9</w:t>
            </w:r>
          </w:p>
        </w:tc>
      </w:tr>
      <w:tr w:rsidR="005F78FC" w:rsidTr="005F78FC">
        <w:tc>
          <w:tcPr>
            <w:tcW w:w="0" w:type="auto"/>
            <w:vAlign w:val="center"/>
          </w:tcPr>
          <w:p w:rsidR="005F78FC" w:rsidRDefault="00B42EF3">
            <w:pPr>
              <w:pStyle w:val="TableBodyText"/>
            </w:pPr>
            <w:r>
              <w:t>WindowList</w:t>
            </w:r>
          </w:p>
        </w:tc>
      </w:tr>
      <w:tr w:rsidR="005F78FC" w:rsidTr="005F78FC">
        <w:tc>
          <w:tcPr>
            <w:tcW w:w="0" w:type="auto"/>
            <w:vAlign w:val="center"/>
          </w:tcPr>
          <w:p w:rsidR="005F78FC" w:rsidRDefault="00B42EF3">
            <w:pPr>
              <w:pStyle w:val="TableBodyText"/>
            </w:pPr>
            <w:r>
              <w:t>WindowPane</w:t>
            </w:r>
          </w:p>
        </w:tc>
      </w:tr>
      <w:tr w:rsidR="005F78FC" w:rsidTr="005F78FC">
        <w:tc>
          <w:tcPr>
            <w:tcW w:w="0" w:type="auto"/>
            <w:vAlign w:val="center"/>
          </w:tcPr>
          <w:p w:rsidR="005F78FC" w:rsidRDefault="00B42EF3">
            <w:pPr>
              <w:pStyle w:val="TableBodyText"/>
            </w:pPr>
            <w:r>
              <w:t>WordLeft</w:t>
            </w:r>
          </w:p>
        </w:tc>
      </w:tr>
      <w:tr w:rsidR="005F78FC" w:rsidTr="005F78FC">
        <w:tc>
          <w:tcPr>
            <w:tcW w:w="0" w:type="auto"/>
            <w:vAlign w:val="center"/>
          </w:tcPr>
          <w:p w:rsidR="005F78FC" w:rsidRDefault="00B42EF3">
            <w:pPr>
              <w:pStyle w:val="TableBodyText"/>
            </w:pPr>
            <w:r>
              <w:t>WordRight</w:t>
            </w:r>
          </w:p>
        </w:tc>
      </w:tr>
      <w:tr w:rsidR="005F78FC" w:rsidTr="005F78FC">
        <w:tc>
          <w:tcPr>
            <w:tcW w:w="0" w:type="auto"/>
            <w:vAlign w:val="center"/>
          </w:tcPr>
          <w:p w:rsidR="005F78FC" w:rsidRDefault="00B42EF3">
            <w:pPr>
              <w:pStyle w:val="TableBodyText"/>
            </w:pPr>
            <w:r>
              <w:t>WordUnderline</w:t>
            </w:r>
          </w:p>
        </w:tc>
      </w:tr>
      <w:tr w:rsidR="005F78FC" w:rsidTr="005F78FC">
        <w:tc>
          <w:tcPr>
            <w:tcW w:w="0" w:type="auto"/>
            <w:vAlign w:val="center"/>
          </w:tcPr>
          <w:p w:rsidR="005F78FC" w:rsidRDefault="00B42EF3">
            <w:pPr>
              <w:pStyle w:val="TableBodyText"/>
            </w:pPr>
            <w:r>
              <w:t>WriteDBS</w:t>
            </w:r>
          </w:p>
        </w:tc>
      </w:tr>
      <w:tr w:rsidR="005F78FC" w:rsidTr="005F78FC">
        <w:tc>
          <w:tcPr>
            <w:tcW w:w="0" w:type="auto"/>
            <w:vAlign w:val="center"/>
          </w:tcPr>
          <w:p w:rsidR="005F78FC" w:rsidRDefault="00B42EF3">
            <w:pPr>
              <w:pStyle w:val="TableBodyText"/>
            </w:pPr>
            <w:r>
              <w:t>XAsc</w:t>
            </w:r>
          </w:p>
        </w:tc>
      </w:tr>
      <w:tr w:rsidR="005F78FC" w:rsidTr="005F78FC">
        <w:tc>
          <w:tcPr>
            <w:tcW w:w="0" w:type="auto"/>
            <w:vAlign w:val="center"/>
          </w:tcPr>
          <w:p w:rsidR="005F78FC" w:rsidRDefault="00B42EF3">
            <w:pPr>
              <w:pStyle w:val="TableBodyText"/>
            </w:pPr>
            <w:r>
              <w:t>Year</w:t>
            </w:r>
          </w:p>
        </w:tc>
      </w:tr>
      <w:tr w:rsidR="005F78FC" w:rsidTr="005F78FC">
        <w:tc>
          <w:tcPr>
            <w:tcW w:w="0" w:type="auto"/>
            <w:vAlign w:val="center"/>
          </w:tcPr>
          <w:p w:rsidR="005F78FC" w:rsidRDefault="00B42EF3">
            <w:pPr>
              <w:pStyle w:val="TableBodyText"/>
            </w:pPr>
            <w:r>
              <w:t>ZoomMouseSettings</w:t>
            </w:r>
          </w:p>
        </w:tc>
      </w:tr>
      <w:tr w:rsidR="005F78FC" w:rsidTr="005F78FC">
        <w:tc>
          <w:tcPr>
            <w:tcW w:w="0" w:type="auto"/>
            <w:vAlign w:val="center"/>
          </w:tcPr>
          <w:p w:rsidR="005F78FC" w:rsidRDefault="00B42EF3">
            <w:pPr>
              <w:pStyle w:val="TableBodyText"/>
            </w:pPr>
            <w:r>
              <w:t>wdAddCommand</w:t>
            </w:r>
          </w:p>
        </w:tc>
      </w:tr>
      <w:tr w:rsidR="005F78FC" w:rsidTr="005F78FC">
        <w:tc>
          <w:tcPr>
            <w:tcW w:w="0" w:type="auto"/>
            <w:vAlign w:val="center"/>
          </w:tcPr>
          <w:p w:rsidR="005F78FC" w:rsidRDefault="00B42EF3">
            <w:pPr>
              <w:pStyle w:val="TableBodyText"/>
            </w:pPr>
            <w:r>
              <w:lastRenderedPageBreak/>
              <w:t>wdCaptureKeyDown</w:t>
            </w:r>
          </w:p>
        </w:tc>
      </w:tr>
      <w:tr w:rsidR="005F78FC" w:rsidTr="005F78FC">
        <w:tc>
          <w:tcPr>
            <w:tcW w:w="0" w:type="auto"/>
            <w:vAlign w:val="center"/>
          </w:tcPr>
          <w:p w:rsidR="005F78FC" w:rsidRDefault="00B42EF3">
            <w:pPr>
              <w:pStyle w:val="TableBodyText"/>
            </w:pPr>
            <w:r>
              <w:t>wdCloseWindow</w:t>
            </w:r>
          </w:p>
        </w:tc>
      </w:tr>
      <w:tr w:rsidR="005F78FC" w:rsidTr="005F78FC">
        <w:tc>
          <w:tcPr>
            <w:tcW w:w="0" w:type="auto"/>
            <w:vAlign w:val="center"/>
          </w:tcPr>
          <w:p w:rsidR="005F78FC" w:rsidRDefault="00B42EF3">
            <w:pPr>
              <w:pStyle w:val="TableBodyText"/>
            </w:pPr>
            <w:r>
              <w:t>wdEndDialog</w:t>
            </w:r>
          </w:p>
        </w:tc>
      </w:tr>
      <w:tr w:rsidR="005F78FC" w:rsidTr="005F78FC">
        <w:tc>
          <w:tcPr>
            <w:tcW w:w="0" w:type="auto"/>
            <w:vAlign w:val="center"/>
          </w:tcPr>
          <w:p w:rsidR="005F78FC" w:rsidRDefault="00B42EF3">
            <w:pPr>
              <w:pStyle w:val="TableBodyText"/>
            </w:pPr>
            <w:r>
              <w:t>wdFontWidth</w:t>
            </w:r>
          </w:p>
        </w:tc>
      </w:tr>
      <w:tr w:rsidR="005F78FC" w:rsidTr="005F78FC">
        <w:tc>
          <w:tcPr>
            <w:tcW w:w="0" w:type="auto"/>
            <w:vAlign w:val="center"/>
          </w:tcPr>
          <w:p w:rsidR="005F78FC" w:rsidRDefault="00B42EF3">
            <w:pPr>
              <w:pStyle w:val="TableBodyText"/>
            </w:pPr>
            <w:r>
              <w:t>wdGetHwnd</w:t>
            </w:r>
          </w:p>
        </w:tc>
      </w:tr>
      <w:tr w:rsidR="005F78FC" w:rsidTr="005F78FC">
        <w:tc>
          <w:tcPr>
            <w:tcW w:w="0" w:type="auto"/>
            <w:vAlign w:val="center"/>
          </w:tcPr>
          <w:p w:rsidR="005F78FC" w:rsidRDefault="00B42EF3">
            <w:pPr>
              <w:pStyle w:val="TableBodyText"/>
            </w:pPr>
            <w:r>
              <w:t>wdGetInst</w:t>
            </w:r>
          </w:p>
        </w:tc>
      </w:tr>
      <w:tr w:rsidR="005F78FC" w:rsidTr="005F78FC">
        <w:tc>
          <w:tcPr>
            <w:tcW w:w="0" w:type="auto"/>
            <w:vAlign w:val="center"/>
          </w:tcPr>
          <w:p w:rsidR="005F78FC" w:rsidRDefault="00B42EF3">
            <w:pPr>
              <w:pStyle w:val="TableBodyText"/>
            </w:pPr>
            <w:r>
              <w:t>wdOpenWindow</w:t>
            </w:r>
          </w:p>
        </w:tc>
      </w:tr>
      <w:tr w:rsidR="005F78FC" w:rsidTr="005F78FC">
        <w:tc>
          <w:tcPr>
            <w:tcW w:w="0" w:type="auto"/>
            <w:vAlign w:val="center"/>
          </w:tcPr>
          <w:p w:rsidR="005F78FC" w:rsidRDefault="00B42EF3">
            <w:pPr>
              <w:pStyle w:val="TableBodyText"/>
            </w:pPr>
            <w:r>
              <w:t>wdPrint</w:t>
            </w:r>
          </w:p>
        </w:tc>
      </w:tr>
      <w:tr w:rsidR="005F78FC" w:rsidTr="005F78FC">
        <w:tc>
          <w:tcPr>
            <w:tcW w:w="0" w:type="auto"/>
            <w:vAlign w:val="center"/>
          </w:tcPr>
          <w:p w:rsidR="005F78FC" w:rsidRDefault="00B42EF3">
            <w:pPr>
              <w:pStyle w:val="TableBodyText"/>
            </w:pPr>
            <w:r>
              <w:t>wdReleaseKeyDown</w:t>
            </w:r>
          </w:p>
        </w:tc>
      </w:tr>
      <w:tr w:rsidR="005F78FC" w:rsidTr="005F78FC">
        <w:tc>
          <w:tcPr>
            <w:tcW w:w="0" w:type="auto"/>
            <w:vAlign w:val="center"/>
          </w:tcPr>
          <w:p w:rsidR="005F78FC" w:rsidRDefault="00B42EF3">
            <w:pPr>
              <w:pStyle w:val="TableBodyText"/>
            </w:pPr>
            <w:r>
              <w:t>wdSetTimer</w:t>
            </w:r>
          </w:p>
        </w:tc>
      </w:tr>
      <w:tr w:rsidR="005F78FC" w:rsidTr="005F78FC">
        <w:tc>
          <w:tcPr>
            <w:tcW w:w="0" w:type="auto"/>
            <w:vAlign w:val="center"/>
          </w:tcPr>
          <w:p w:rsidR="005F78FC" w:rsidRDefault="00B42EF3">
            <w:pPr>
              <w:pStyle w:val="TableBodyText"/>
            </w:pPr>
            <w:r>
              <w:t>wdToolsGetHHC</w:t>
            </w:r>
          </w:p>
        </w:tc>
      </w:tr>
      <w:tr w:rsidR="005F78FC" w:rsidTr="005F78FC">
        <w:tc>
          <w:tcPr>
            <w:tcW w:w="0" w:type="auto"/>
            <w:vAlign w:val="center"/>
          </w:tcPr>
          <w:p w:rsidR="005F78FC" w:rsidRDefault="00B42EF3">
            <w:pPr>
              <w:pStyle w:val="TableBodyText"/>
            </w:pPr>
            <w:r>
              <w:t>wdToolsGetSpelling</w:t>
            </w:r>
          </w:p>
        </w:tc>
      </w:tr>
      <w:tr w:rsidR="005F78FC" w:rsidTr="005F78FC">
        <w:tc>
          <w:tcPr>
            <w:tcW w:w="0" w:type="auto"/>
            <w:vAlign w:val="center"/>
          </w:tcPr>
          <w:p w:rsidR="005F78FC" w:rsidRDefault="00B42EF3">
            <w:pPr>
              <w:pStyle w:val="TableBodyText"/>
            </w:pPr>
            <w:r>
              <w:t>wdToolsGetSpellingXtra</w:t>
            </w:r>
          </w:p>
        </w:tc>
      </w:tr>
      <w:tr w:rsidR="005F78FC" w:rsidTr="005F78FC">
        <w:tc>
          <w:tcPr>
            <w:tcW w:w="0" w:type="auto"/>
            <w:vAlign w:val="center"/>
          </w:tcPr>
          <w:p w:rsidR="005F78FC" w:rsidRDefault="00B42EF3">
            <w:pPr>
              <w:pStyle w:val="TableBodyText"/>
            </w:pPr>
            <w:r>
              <w:t>wdToolsGetSynonyms</w:t>
            </w:r>
          </w:p>
        </w:tc>
      </w:tr>
    </w:tbl>
    <w:p w:rsidR="005F78FC" w:rsidRDefault="005F78FC"/>
    <w:p w:rsidR="005F78FC" w:rsidRDefault="00B42EF3">
      <w:pPr>
        <w:pStyle w:val="Heading4"/>
      </w:pPr>
      <w:bookmarkStart w:id="3860" w:name="section_f6ef0c485e3542599919c0351df4ad37"/>
      <w:bookmarkStart w:id="3861" w:name="_Toc69879703"/>
      <w:r>
        <w:t>Mail Merge</w:t>
      </w:r>
      <w:bookmarkEnd w:id="3860"/>
      <w:bookmarkEnd w:id="3861"/>
      <w:r>
        <w:fldChar w:fldCharType="begin"/>
      </w:r>
      <w:r>
        <w:instrText xml:space="preserve"> XE "Mail Merge" </w:instrText>
      </w:r>
      <w:r>
        <w:fldChar w:fldCharType="end"/>
      </w:r>
    </w:p>
    <w:p w:rsidR="005F78FC" w:rsidRDefault="00B42EF3">
      <w:r>
        <w:t>The following clauses specify the semantics used to facilitate the mail merge feature in Word.</w:t>
      </w:r>
    </w:p>
    <w:p w:rsidR="005F78FC" w:rsidRDefault="00B42EF3">
      <w:pPr>
        <w:pStyle w:val="Heading5"/>
      </w:pPr>
      <w:bookmarkStart w:id="3862" w:name="section_4d80b565c0b44930b0c2e350f8f1237c"/>
      <w:bookmarkStart w:id="3863" w:name="_Toc69879704"/>
      <w:r>
        <w:t>Elements</w:t>
      </w:r>
      <w:bookmarkEnd w:id="3862"/>
      <w:bookmarkEnd w:id="3863"/>
    </w:p>
    <w:p w:rsidR="005F78FC" w:rsidRDefault="00B42EF3">
      <w:pPr>
        <w:pStyle w:val="Heading6"/>
      </w:pPr>
      <w:bookmarkStart w:id="3864" w:name="section_b1588c0913964016a2ea78ce84a81a8e"/>
      <w:bookmarkStart w:id="3865" w:name="_Toc69879705"/>
      <w:r>
        <w:t>hash (Hash Code for Record)</w:t>
      </w:r>
      <w:bookmarkEnd w:id="3864"/>
      <w:bookmarkEnd w:id="3865"/>
      <w:r>
        <w:fldChar w:fldCharType="begin"/>
      </w:r>
      <w:r>
        <w:instrText xml:space="preserve"> XE "hash (Hash Code for Record)" </w:instrText>
      </w:r>
      <w:r>
        <w:fldChar w:fldCharType="end"/>
      </w:r>
    </w:p>
    <w:p w:rsidR="005F78FC" w:rsidRDefault="00B42EF3">
      <w:r>
        <w:t>This element specifies the unique hash value of a given record within the specified external data source. This element is used to maintain a relationship between the records within an external</w:t>
      </w:r>
      <w:r>
        <w:t xml:space="preserve"> data source and a given source WordprocessingML document.</w:t>
      </w:r>
    </w:p>
    <w:p w:rsidR="005F78FC" w:rsidRDefault="00B42EF3">
      <w:r>
        <w:t xml:space="preserve">The contents of this element's </w:t>
      </w:r>
      <w:r>
        <w:rPr>
          <w:b/>
        </w:rPr>
        <w:t>val</w:t>
      </w:r>
      <w:r>
        <w:t xml:space="preserve"> attribute shall be a hash value that will uniquely identify the record in the external data source.  The hash value for a record is computed using the following a</w:t>
      </w:r>
      <w:r>
        <w:t>lgorithm:</w:t>
      </w:r>
    </w:p>
    <w:p w:rsidR="005F78FC" w:rsidRDefault="00B42EF3">
      <w:r>
        <w:t>Utility function 1:</w:t>
      </w:r>
    </w:p>
    <w:p w:rsidR="005F78FC" w:rsidRDefault="00B42EF3">
      <w:r>
        <w:t>#define nPrimeLast 4294967291</w:t>
      </w:r>
    </w:p>
    <w:p w:rsidR="005F78FC" w:rsidRDefault="00B42EF3">
      <w:r>
        <w:t>__int32 LHashMM( __int32 l, __int32 dl )</w:t>
      </w:r>
    </w:p>
    <w:p w:rsidR="005F78FC" w:rsidRDefault="00B42EF3">
      <w:r>
        <w:t>{</w:t>
      </w:r>
    </w:p>
    <w:p w:rsidR="005F78FC" w:rsidRDefault="00B42EF3">
      <w:r>
        <w:t xml:space="preserve">        l = 131 * l + dl;</w:t>
      </w:r>
    </w:p>
    <w:p w:rsidR="005F78FC" w:rsidRDefault="00B42EF3">
      <w:r>
        <w:t xml:space="preserve">        if (l &gt;= nPrimeLast) {</w:t>
      </w:r>
    </w:p>
    <w:p w:rsidR="005F78FC" w:rsidRDefault="00B42EF3">
      <w:r>
        <w:t xml:space="preserve">                l -= nPrimeLast;</w:t>
      </w:r>
    </w:p>
    <w:p w:rsidR="005F78FC" w:rsidRDefault="00B42EF3">
      <w:r>
        <w:t xml:space="preserve">        }</w:t>
      </w:r>
    </w:p>
    <w:p w:rsidR="005F78FC" w:rsidRDefault="00B42EF3">
      <w:r>
        <w:lastRenderedPageBreak/>
        <w:t xml:space="preserve">        return l;</w:t>
      </w:r>
    </w:p>
    <w:p w:rsidR="005F78FC" w:rsidRDefault="00B42EF3">
      <w:r>
        <w:t>}</w:t>
      </w:r>
    </w:p>
    <w:p w:rsidR="005F78FC" w:rsidRDefault="00B42EF3">
      <w:r>
        <w:t>Utility function 2:</w:t>
      </w:r>
    </w:p>
    <w:p w:rsidR="005F78FC" w:rsidRDefault="00B42EF3">
      <w:r>
        <w:t xml:space="preserve">__int32 </w:t>
      </w:r>
      <w:r>
        <w:t>LGetHashWz(const WCHAR *wzText)</w:t>
      </w:r>
    </w:p>
    <w:p w:rsidR="005F78FC" w:rsidRDefault="00B42EF3">
      <w:r>
        <w:t>{</w:t>
      </w:r>
    </w:p>
    <w:p w:rsidR="005F78FC" w:rsidRDefault="00B42EF3">
      <w:r>
        <w:t xml:space="preserve">        int cch = lstrlen(wzText);</w:t>
      </w:r>
    </w:p>
    <w:p w:rsidR="005F78FC" w:rsidRDefault="00B42EF3">
      <w:r>
        <w:t xml:space="preserve">        __int32 lhash = 0L;</w:t>
      </w:r>
    </w:p>
    <w:p w:rsidR="005F78FC" w:rsidRDefault="00B42EF3">
      <w:r>
        <w:t xml:space="preserve">        for (int i = 0; i &lt; cch; i++) {</w:t>
      </w:r>
    </w:p>
    <w:p w:rsidR="005F78FC" w:rsidRDefault="00B42EF3">
      <w:r>
        <w:t xml:space="preserve">                lhash = LHashMM(lhash, wzText[i]);</w:t>
      </w:r>
    </w:p>
    <w:p w:rsidR="005F78FC" w:rsidRDefault="00B42EF3">
      <w:r>
        <w:t xml:space="preserve">        }</w:t>
      </w:r>
    </w:p>
    <w:p w:rsidR="005F78FC" w:rsidRDefault="00B42EF3">
      <w:r>
        <w:t xml:space="preserve">        return lhash;</w:t>
      </w:r>
    </w:p>
    <w:p w:rsidR="005F78FC" w:rsidRDefault="00B42EF3">
      <w:r>
        <w:t>}</w:t>
      </w:r>
    </w:p>
    <w:p w:rsidR="005F78FC" w:rsidRDefault="00B42EF3">
      <w:r>
        <w:t>Hash Algorithm:</w:t>
      </w:r>
    </w:p>
    <w:p w:rsidR="005F78FC" w:rsidRDefault="00B42EF3">
      <w:r>
        <w:t>__int32 lwHash = 0</w:t>
      </w:r>
      <w:r>
        <w:t>L;</w:t>
      </w:r>
    </w:p>
    <w:p w:rsidR="005F78FC" w:rsidRDefault="00B42EF3">
      <w:r>
        <w:t>for(int i = 0; i &lt; TotalNumberOfColumnsInTheDataSource; i++) {</w:t>
      </w:r>
    </w:p>
    <w:p w:rsidR="005F78FC" w:rsidRDefault="00B42EF3">
      <w:r>
        <w:t xml:space="preserve">        Retrieve the value in the i-th column of this record as a Unicode String wzData;</w:t>
      </w:r>
    </w:p>
    <w:p w:rsidR="005F78FC" w:rsidRDefault="00B42EF3">
      <w:r>
        <w:t xml:space="preserve">        __int32 l = LGetHashWz(wzData);</w:t>
      </w:r>
    </w:p>
    <w:p w:rsidR="005F78FC" w:rsidRDefault="00B42EF3">
      <w:r>
        <w:t xml:space="preserve">        if(l) {</w:t>
      </w:r>
    </w:p>
    <w:p w:rsidR="005F78FC" w:rsidRDefault="00B42EF3">
      <w:r>
        <w:t xml:space="preserve">                lwHash = LHashMM(lwHash, l);</w:t>
      </w:r>
    </w:p>
    <w:p w:rsidR="005F78FC" w:rsidRDefault="00B42EF3">
      <w:r>
        <w:t xml:space="preserve">        }</w:t>
      </w:r>
    </w:p>
    <w:p w:rsidR="005F78FC" w:rsidRDefault="00B42EF3">
      <w:r>
        <w:t>}</w:t>
      </w:r>
    </w:p>
    <w:p w:rsidR="005F78FC" w:rsidRDefault="00B42EF3">
      <w:r>
        <w:t>return lwHash as the computed hash for this record;</w:t>
      </w:r>
    </w:p>
    <w:p w:rsidR="005F78FC" w:rsidRDefault="00B42EF3">
      <w:r>
        <w:t>[Note: This information is necessary as part of a mail merge because records may be added or deleted from external data sources, and a means must be provided to maintain record-specific inclus</w:t>
      </w:r>
      <w:r>
        <w:t xml:space="preserve">ion or exclusion data using the </w:t>
      </w:r>
      <w:r>
        <w:rPr>
          <w:b/>
        </w:rPr>
        <w:t>active</w:t>
      </w:r>
      <w:r>
        <w:t xml:space="preserve"> element (§</w:t>
      </w:r>
      <w:hyperlink w:anchor="Section_7bbd9fb16181481db29c63842301455d">
        <w:r>
          <w:rPr>
            <w:rStyle w:val="Hyperlink"/>
          </w:rPr>
          <w:t>3.1.2.1.1.6, active</w:t>
        </w:r>
      </w:hyperlink>
      <w:r>
        <w:t>) and the affected external data record when the WordprocessingML document is reconnected to the external data source irrespe</w:t>
      </w:r>
      <w:r>
        <w:t xml:space="preserve">ctive of the ordering of the records within the external data source. end note] </w:t>
      </w:r>
    </w:p>
    <w:p w:rsidR="005F78FC" w:rsidRDefault="00B42EF3">
      <w:r>
        <w:t>[Example: Consider the following WordprocessingML fragment for the information about a single record in a source document for a mail merge:</w:t>
      </w:r>
    </w:p>
    <w:p w:rsidR="005F78FC" w:rsidRDefault="00B42EF3">
      <w:pPr>
        <w:pStyle w:val="Code"/>
      </w:pPr>
      <w:r>
        <w:t>&lt;w:recipientData&gt;</w:t>
      </w:r>
    </w:p>
    <w:p w:rsidR="005F78FC" w:rsidRDefault="00B42EF3">
      <w:pPr>
        <w:pStyle w:val="Code"/>
      </w:pPr>
      <w:r>
        <w:t>  &lt;w:active w:val</w:t>
      </w:r>
      <w:r>
        <w:t>="0" /&gt;</w:t>
      </w:r>
    </w:p>
    <w:p w:rsidR="005F78FC" w:rsidRDefault="00B42EF3">
      <w:pPr>
        <w:pStyle w:val="Code"/>
      </w:pPr>
      <w:r>
        <w:t xml:space="preserve">  &lt;w:hash w:val="258865469" /&gt; </w:t>
      </w:r>
    </w:p>
    <w:p w:rsidR="005F78FC" w:rsidRDefault="00B42EF3">
      <w:pPr>
        <w:pStyle w:val="Code"/>
      </w:pPr>
      <w:r>
        <w:t>&lt;/w:recipientData&gt;</w:t>
      </w:r>
    </w:p>
    <w:p w:rsidR="005F78FC" w:rsidRDefault="00B42EF3">
      <w:r>
        <w:t xml:space="preserve">The external data record associated with this information is specified via the hash value 258865469. This record will not be imported into the merged WordprocessingML document because the </w:t>
      </w:r>
      <w:r>
        <w:rPr>
          <w:b/>
        </w:rPr>
        <w:t>active</w:t>
      </w:r>
      <w:r>
        <w:t xml:space="preserve"> el</w:t>
      </w:r>
      <w:r>
        <w:t xml:space="preserve">ement (§3.1.2.1.1.6, active) associated with the given external data record has a </w:t>
      </w:r>
      <w:r>
        <w:rPr>
          <w:b/>
        </w:rPr>
        <w:t>val</w:t>
      </w:r>
      <w:r>
        <w:t xml:space="preserve"> attribute equal </w:t>
      </w:r>
      <w:r>
        <w:lastRenderedPageBreak/>
        <w:t xml:space="preserve">to </w:t>
      </w:r>
      <w:r>
        <w:rPr>
          <w:i/>
        </w:rPr>
        <w:t>0</w:t>
      </w:r>
      <w:r>
        <w:t xml:space="preserve">; for example, when the specified external data source is connected, the record that has the hash value </w:t>
      </w:r>
      <w:r>
        <w:rPr>
          <w:i/>
        </w:rPr>
        <w:t>258865469</w:t>
      </w:r>
      <w:r>
        <w:t xml:space="preserve"> will not be used to populate mapped </w:t>
      </w:r>
      <w:r>
        <w:t>fields in a merged document with data from that record. end example]</w:t>
      </w:r>
    </w:p>
    <w:tbl>
      <w:tblPr>
        <w:tblStyle w:val="Table-ShadedHeader"/>
        <w:tblW w:w="0" w:type="auto"/>
        <w:tblLook w:val="04A0" w:firstRow="1" w:lastRow="0" w:firstColumn="1" w:lastColumn="0" w:noHBand="0" w:noVBand="1"/>
      </w:tblPr>
      <w:tblGrid>
        <w:gridCol w:w="3836"/>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Parent Elements</w:t>
            </w:r>
          </w:p>
        </w:tc>
      </w:tr>
      <w:tr w:rsidR="005F78FC" w:rsidTr="005F78FC">
        <w:tc>
          <w:tcPr>
            <w:tcW w:w="0" w:type="auto"/>
            <w:vAlign w:val="center"/>
          </w:tcPr>
          <w:p w:rsidR="005F78FC" w:rsidRDefault="00B42EF3">
            <w:pPr>
              <w:pStyle w:val="TableBodyText"/>
            </w:pPr>
            <w:r>
              <w:rPr>
                <w:b/>
              </w:rPr>
              <w:t>recipientData</w:t>
            </w:r>
            <w:r>
              <w:t xml:space="preserve"> (§</w:t>
            </w:r>
            <w:hyperlink w:anchor="Section_cae9abfd7956464e9f841af5c3c4433d">
              <w:r>
                <w:rPr>
                  <w:rStyle w:val="Hyperlink"/>
                </w:rPr>
                <w:t>3.1.2.2.1.2, recipientData</w:t>
              </w:r>
            </w:hyperlink>
            <w:r>
              <w:t>)</w:t>
            </w:r>
          </w:p>
        </w:tc>
      </w:tr>
    </w:tbl>
    <w:p w:rsidR="005F78FC" w:rsidRDefault="005F78FC"/>
    <w:p w:rsidR="005F78FC" w:rsidRDefault="005F78FC"/>
    <w:tbl>
      <w:tblPr>
        <w:tblStyle w:val="Table-ShadedHeader"/>
        <w:tblW w:w="0" w:type="auto"/>
        <w:tblLook w:val="04A0" w:firstRow="1" w:lastRow="0" w:firstColumn="1" w:lastColumn="0" w:noHBand="0" w:noVBand="1"/>
      </w:tblPr>
      <w:tblGrid>
        <w:gridCol w:w="1135"/>
        <w:gridCol w:w="8340"/>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Attributes</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rPr>
                <w:b/>
              </w:rPr>
              <w:t>val</w:t>
            </w:r>
            <w:r>
              <w:t xml:space="preserve"> ()</w:t>
            </w:r>
          </w:p>
        </w:tc>
        <w:tc>
          <w:tcPr>
            <w:tcW w:w="0" w:type="auto"/>
            <w:vAlign w:val="center"/>
          </w:tcPr>
          <w:p w:rsidR="005F78FC" w:rsidRDefault="005F78FC">
            <w:pPr>
              <w:pStyle w:val="TableBodyText"/>
            </w:pPr>
          </w:p>
          <w:p w:rsidR="005F78FC" w:rsidRDefault="00B42EF3">
            <w:pPr>
              <w:pStyle w:val="TableBodyText"/>
            </w:pPr>
            <w:r>
              <w:t>The possible values for this</w:t>
            </w:r>
            <w:r>
              <w:t xml:space="preserve"> attribute are defined by the ST_DecimalNumber simple type (§</w:t>
            </w:r>
            <w:hyperlink w:anchor="Section_9168633928aa4e54acbd77bc5c69d9d2">
              <w:r>
                <w:rPr>
                  <w:rStyle w:val="Hyperlink"/>
                </w:rPr>
                <w:t>3.1.2.3.1, ST_DecimalNumber</w:t>
              </w:r>
            </w:hyperlink>
            <w:r>
              <w:t>).</w:t>
            </w:r>
          </w:p>
        </w:tc>
      </w:tr>
    </w:tbl>
    <w:p w:rsidR="005F78FC" w:rsidRDefault="005F78FC"/>
    <w:p w:rsidR="005F78FC" w:rsidRDefault="00B42EF3">
      <w:r>
        <w:t>The following XML Schema fragment defines the contents of this element:</w:t>
      </w:r>
    </w:p>
    <w:p w:rsidR="005F78FC" w:rsidRDefault="00B42EF3">
      <w:pPr>
        <w:pStyle w:val="Code"/>
      </w:pPr>
      <w:r>
        <w:t>&lt;complexType name="CT_Decima</w:t>
      </w:r>
      <w:r>
        <w:t>lNumber"&gt;</w:t>
      </w:r>
    </w:p>
    <w:p w:rsidR="005F78FC" w:rsidRDefault="00B42EF3">
      <w:pPr>
        <w:pStyle w:val="Code"/>
      </w:pPr>
      <w:r>
        <w:t xml:space="preserve">  &lt;attribute name="val" type="ST_DecimalNumber" use="required"/&gt;</w:t>
      </w:r>
    </w:p>
    <w:p w:rsidR="005F78FC" w:rsidRDefault="00B42EF3">
      <w:pPr>
        <w:pStyle w:val="Code"/>
      </w:pPr>
      <w:r>
        <w:t>&lt;/complexType&gt;</w:t>
      </w:r>
    </w:p>
    <w:p w:rsidR="005F78FC" w:rsidRDefault="00B42EF3">
      <w:pPr>
        <w:pStyle w:val="Heading6"/>
      </w:pPr>
      <w:bookmarkStart w:id="3866" w:name="section_cae9abfd7956464e9f841af5c3c4433d"/>
      <w:bookmarkStart w:id="3867" w:name="_Toc69879706"/>
      <w:r>
        <w:t>recipientData (Data About Single Data Source Record)</w:t>
      </w:r>
      <w:bookmarkEnd w:id="3866"/>
      <w:bookmarkEnd w:id="3867"/>
      <w:r>
        <w:fldChar w:fldCharType="begin"/>
      </w:r>
      <w:r>
        <w:instrText xml:space="preserve"> XE "recipientData (Data About Single Data Source Record)" </w:instrText>
      </w:r>
      <w:r>
        <w:fldChar w:fldCharType="end"/>
      </w:r>
    </w:p>
    <w:p w:rsidR="005F78FC" w:rsidRDefault="00B42EF3">
      <w:r>
        <w:t>This element specifies information about a single record within an external data source. If a record shall be merged into a merged document, then no information is needed about the record within this part. However, if a record shall not be merged into a me</w:t>
      </w:r>
      <w:r>
        <w:t xml:space="preserve">rged document, then the hash value for the record shall be stored within the </w:t>
      </w:r>
      <w:r>
        <w:rPr>
          <w:b/>
        </w:rPr>
        <w:t>hash</w:t>
      </w:r>
      <w:r>
        <w:t xml:space="preserve"> element as a child of this element, along with the </w:t>
      </w:r>
      <w:r>
        <w:rPr>
          <w:b/>
        </w:rPr>
        <w:t>active</w:t>
      </w:r>
      <w:r>
        <w:t xml:space="preserve"> element, to indicate this exclusion.</w:t>
      </w:r>
    </w:p>
    <w:p w:rsidR="005F78FC" w:rsidRDefault="00B42EF3">
      <w:r>
        <w:t xml:space="preserve">[Note: This mapping is necessary in place of simply using the element order to </w:t>
      </w:r>
      <w:r>
        <w:t xml:space="preserve">correspond to the record indices in the external data source because records may be added or deleted from external data sources, and a means must be provided to maintain specific external record WordprocessingML data, like that specified in the </w:t>
      </w:r>
      <w:r>
        <w:rPr>
          <w:b/>
        </w:rPr>
        <w:t>active</w:t>
      </w:r>
      <w:r>
        <w:t xml:space="preserve"> elem</w:t>
      </w:r>
      <w:r>
        <w:t>ent (§</w:t>
      </w:r>
      <w:hyperlink w:anchor="Section_7bbd9fb16181481db29c63842301455d">
        <w:r>
          <w:rPr>
            <w:rStyle w:val="Hyperlink"/>
          </w:rPr>
          <w:t>3.1.2.1.1.6, active</w:t>
        </w:r>
      </w:hyperlink>
      <w:r>
        <w:t>) and the corresponding external data record, when the WordprocessingML document is reconnected to the external data source, irrespective of the ordering of the records</w:t>
      </w:r>
      <w:r>
        <w:t xml:space="preserve"> within the external data source. In other words, this element, and its child elements enable merged WordprocessingML documents to maintain the relationship between the records within an external data and record-specific WordprocessingML parameters. end no</w:t>
      </w:r>
      <w:r>
        <w:t>te]</w:t>
      </w:r>
    </w:p>
    <w:p w:rsidR="005F78FC" w:rsidRDefault="00B42EF3">
      <w:r>
        <w:t>[Example: Consider a mail merge source WordprocessingML document that:</w:t>
      </w:r>
    </w:p>
    <w:p w:rsidR="005F78FC" w:rsidRDefault="00B42EF3">
      <w:r>
        <w:t xml:space="preserve">Has been connected to a specified external data source containing three records; and </w:t>
      </w:r>
    </w:p>
    <w:p w:rsidR="005F78FC" w:rsidRDefault="00B42EF3">
      <w:r>
        <w:t>Has been configured by the hosting application to not populate a merged document with the recor</w:t>
      </w:r>
      <w:r>
        <w:t xml:space="preserve">d pertaining to </w:t>
      </w:r>
      <w:r>
        <w:rPr>
          <w:i/>
        </w:rPr>
        <w:t>John Smith</w:t>
      </w:r>
      <w:r>
        <w:t xml:space="preserve"> in the external data source.</w:t>
      </w:r>
    </w:p>
    <w:p w:rsidR="005F78FC" w:rsidRDefault="00B42EF3">
      <w:r>
        <w:t xml:space="preserve">Consider also that the first time the given WordprocessingML document was connected to the external data source, </w:t>
      </w:r>
      <w:r>
        <w:rPr>
          <w:i/>
        </w:rPr>
        <w:t>John Smith</w:t>
      </w:r>
      <w:r>
        <w:t xml:space="preserve">'s record was in the second record in the data source. </w:t>
      </w:r>
    </w:p>
    <w:p w:rsidR="005F78FC" w:rsidRDefault="00B42EF3">
      <w:r>
        <w:t>When this merged docu</w:t>
      </w:r>
      <w:r>
        <w:t xml:space="preserve">ment is connected to the external data source the </w:t>
      </w:r>
      <w:r>
        <w:rPr>
          <w:b/>
        </w:rPr>
        <w:t>recipientData</w:t>
      </w:r>
      <w:r>
        <w:t xml:space="preserve"> element may be used to store the hash value for each data record in the external data source, including </w:t>
      </w:r>
      <w:r>
        <w:rPr>
          <w:i/>
        </w:rPr>
        <w:t>John Smith</w:t>
      </w:r>
      <w:r>
        <w:t>'s. This setting is represented using the following WordprocessingML to use th</w:t>
      </w:r>
      <w:r>
        <w:t xml:space="preserve">e hash codes </w:t>
      </w:r>
      <w:r>
        <w:lastRenderedPageBreak/>
        <w:t xml:space="preserve">within the </w:t>
      </w:r>
      <w:r>
        <w:rPr>
          <w:b/>
        </w:rPr>
        <w:t>recipientData</w:t>
      </w:r>
      <w:r>
        <w:t xml:space="preserve"> element to uniquely identify the three records within the external data source.</w:t>
      </w:r>
    </w:p>
    <w:p w:rsidR="005F78FC" w:rsidRDefault="00B42EF3">
      <w:pPr>
        <w:pStyle w:val="Code"/>
      </w:pPr>
      <w:r>
        <w:t>&lt;w:recipientData&gt;</w:t>
      </w:r>
    </w:p>
    <w:p w:rsidR="005F78FC" w:rsidRDefault="00B42EF3">
      <w:pPr>
        <w:pStyle w:val="Code"/>
      </w:pPr>
      <w:r>
        <w:t xml:space="preserve">  &lt;w:hash w:val="1408613399" /&gt; </w:t>
      </w:r>
    </w:p>
    <w:p w:rsidR="005F78FC" w:rsidRDefault="00B42EF3">
      <w:pPr>
        <w:pStyle w:val="Code"/>
      </w:pPr>
      <w:r>
        <w:t>&lt;/w:recipientData&gt;</w:t>
      </w:r>
    </w:p>
    <w:p w:rsidR="005F78FC" w:rsidRDefault="00B42EF3">
      <w:pPr>
        <w:pStyle w:val="Code"/>
      </w:pPr>
      <w:r>
        <w:t>&lt;w:recipientData&gt;</w:t>
      </w:r>
    </w:p>
    <w:p w:rsidR="005F78FC" w:rsidRDefault="00B42EF3">
      <w:pPr>
        <w:pStyle w:val="Code"/>
      </w:pPr>
      <w:r>
        <w:t xml:space="preserve">  &lt;w:active w:val="0" /&gt;</w:t>
      </w:r>
    </w:p>
    <w:p w:rsidR="005F78FC" w:rsidRDefault="00B42EF3">
      <w:pPr>
        <w:pStyle w:val="Code"/>
      </w:pPr>
      <w:r>
        <w:t>  &lt;w:hash w:val="87025469</w:t>
      </w:r>
      <w:r>
        <w:t xml:space="preserve">1" /&gt; </w:t>
      </w:r>
    </w:p>
    <w:p w:rsidR="005F78FC" w:rsidRDefault="00B42EF3">
      <w:pPr>
        <w:pStyle w:val="Code"/>
      </w:pPr>
      <w:r>
        <w:t>&lt;/w:recipientData&gt;</w:t>
      </w:r>
    </w:p>
    <w:p w:rsidR="005F78FC" w:rsidRDefault="00B42EF3">
      <w:pPr>
        <w:pStyle w:val="Code"/>
      </w:pPr>
      <w:r>
        <w:t>&lt;w:recipientData&gt;</w:t>
      </w:r>
    </w:p>
    <w:p w:rsidR="005F78FC" w:rsidRDefault="00B42EF3">
      <w:pPr>
        <w:pStyle w:val="Code"/>
      </w:pPr>
      <w:r>
        <w:t xml:space="preserve">  &lt;w:hash w:val="1107777181" /&gt; </w:t>
      </w:r>
    </w:p>
    <w:p w:rsidR="005F78FC" w:rsidRDefault="00B42EF3">
      <w:pPr>
        <w:pStyle w:val="Code"/>
      </w:pPr>
      <w:r>
        <w:t>&lt;/w:recipientData&gt;</w:t>
      </w:r>
    </w:p>
    <w:p w:rsidR="005F78FC" w:rsidRDefault="00B42EF3">
      <w:r>
        <w:t xml:space="preserve">Here, the first, second (John Smith record), and third records within the specified data source whose hash values are </w:t>
      </w:r>
      <w:r>
        <w:rPr>
          <w:i/>
        </w:rPr>
        <w:t>1408613399</w:t>
      </w:r>
      <w:r>
        <w:t xml:space="preserve">, </w:t>
      </w:r>
      <w:r>
        <w:rPr>
          <w:i/>
        </w:rPr>
        <w:t>870254691</w:t>
      </w:r>
      <w:r>
        <w:t xml:space="preserve">, and </w:t>
      </w:r>
      <w:r>
        <w:rPr>
          <w:i/>
        </w:rPr>
        <w:t>1107777181</w:t>
      </w:r>
      <w:r>
        <w:t xml:space="preserve"> have</w:t>
      </w:r>
      <w:r>
        <w:t xml:space="preserve"> been associated with recipient data via the </w:t>
      </w:r>
      <w:r>
        <w:rPr>
          <w:b/>
        </w:rPr>
        <w:t>active</w:t>
      </w:r>
      <w:r>
        <w:t xml:space="preserve"> element to specify that the record associated with the given record (</w:t>
      </w:r>
      <w:r>
        <w:rPr>
          <w:i/>
        </w:rPr>
        <w:t>John Smith</w:t>
      </w:r>
      <w:r>
        <w:t xml:space="preserve">'s record) shall not be used to populate a merged WordprocessingML document. </w:t>
      </w:r>
    </w:p>
    <w:p w:rsidR="005F78FC" w:rsidRDefault="00B42EF3">
      <w:r>
        <w:t>With these associations in place, if a fourth r</w:t>
      </w:r>
      <w:r>
        <w:t>ecord is added to the given external data source and that record precedes John Smith's record, when the given merged WordprocessingML document is reconnected to the external data source, the hosting application will still know that John Smith's record shal</w:t>
      </w:r>
      <w:r>
        <w:t>l not be used to populate a merged WordprocessingML document as it is associated via its hash value and is not dependent on the given record's ordinal position within the external data source. end example]</w:t>
      </w:r>
    </w:p>
    <w:tbl>
      <w:tblPr>
        <w:tblStyle w:val="Table-ShadedHeader"/>
        <w:tblW w:w="0" w:type="auto"/>
        <w:tblLook w:val="04A0" w:firstRow="1" w:lastRow="0" w:firstColumn="1" w:lastColumn="0" w:noHBand="0" w:noVBand="1"/>
      </w:tblPr>
      <w:tblGrid>
        <w:gridCol w:w="3216"/>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Parent Elements</w:t>
            </w:r>
          </w:p>
        </w:tc>
      </w:tr>
      <w:tr w:rsidR="005F78FC" w:rsidTr="005F78FC">
        <w:tc>
          <w:tcPr>
            <w:tcW w:w="0" w:type="auto"/>
            <w:vAlign w:val="center"/>
          </w:tcPr>
          <w:p w:rsidR="005F78FC" w:rsidRDefault="00B42EF3">
            <w:pPr>
              <w:pStyle w:val="TableBodyText"/>
            </w:pPr>
            <w:r>
              <w:rPr>
                <w:b/>
              </w:rPr>
              <w:t>recipients</w:t>
            </w:r>
            <w:r>
              <w:t xml:space="preserve"> (§</w:t>
            </w:r>
            <w:hyperlink w:anchor="Section_bf48d2d283e747cfa5e797caf8346fd8">
              <w:r>
                <w:rPr>
                  <w:rStyle w:val="Hyperlink"/>
                </w:rPr>
                <w:t>3.1.2.2.1.3, recipients</w:t>
              </w:r>
            </w:hyperlink>
            <w:r>
              <w:t>)</w:t>
            </w:r>
          </w:p>
        </w:tc>
      </w:tr>
    </w:tbl>
    <w:p w:rsidR="005F78FC" w:rsidRDefault="005F78FC"/>
    <w:p w:rsidR="005F78FC" w:rsidRDefault="005F78FC"/>
    <w:tbl>
      <w:tblPr>
        <w:tblStyle w:val="Table-ShadedHeader"/>
        <w:tblW w:w="0" w:type="auto"/>
        <w:tblLook w:val="04A0" w:firstRow="1" w:lastRow="0" w:firstColumn="1" w:lastColumn="0" w:noHBand="0" w:noVBand="1"/>
      </w:tblPr>
      <w:tblGrid>
        <w:gridCol w:w="3607"/>
        <w:gridCol w:w="1824"/>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Child Elements</w:t>
            </w:r>
          </w:p>
        </w:tc>
        <w:tc>
          <w:tcPr>
            <w:tcW w:w="0" w:type="auto"/>
            <w:vAlign w:val="center"/>
          </w:tcPr>
          <w:p w:rsidR="005F78FC" w:rsidRDefault="00B42EF3">
            <w:pPr>
              <w:pStyle w:val="TableHeaderText"/>
            </w:pPr>
            <w:r>
              <w:t>Subclause</w:t>
            </w:r>
          </w:p>
        </w:tc>
      </w:tr>
      <w:tr w:rsidR="005F78FC" w:rsidTr="005F78FC">
        <w:tc>
          <w:tcPr>
            <w:tcW w:w="0" w:type="auto"/>
            <w:vAlign w:val="center"/>
          </w:tcPr>
          <w:p w:rsidR="005F78FC" w:rsidRDefault="00B42EF3">
            <w:pPr>
              <w:pStyle w:val="TableBodyText"/>
            </w:pPr>
            <w:r>
              <w:rPr>
                <w:b/>
              </w:rPr>
              <w:t>active</w:t>
            </w:r>
            <w:r>
              <w:t xml:space="preserve"> (Record Is Included in Mail Merge)</w:t>
            </w:r>
          </w:p>
        </w:tc>
        <w:tc>
          <w:tcPr>
            <w:tcW w:w="0" w:type="auto"/>
            <w:vAlign w:val="center"/>
          </w:tcPr>
          <w:p w:rsidR="005F78FC" w:rsidRDefault="00B42EF3">
            <w:pPr>
              <w:pStyle w:val="TableBodyText"/>
            </w:pPr>
            <w:r>
              <w:t>§3.1.2.1.1.6, active</w:t>
            </w:r>
          </w:p>
        </w:tc>
      </w:tr>
      <w:tr w:rsidR="005F78FC" w:rsidTr="005F78FC">
        <w:tc>
          <w:tcPr>
            <w:tcW w:w="0" w:type="auto"/>
            <w:vAlign w:val="center"/>
          </w:tcPr>
          <w:p w:rsidR="005F78FC" w:rsidRDefault="00B42EF3">
            <w:pPr>
              <w:pStyle w:val="TableBodyText"/>
            </w:pPr>
            <w:r>
              <w:rPr>
                <w:b/>
              </w:rPr>
              <w:t>hash</w:t>
            </w:r>
            <w:r>
              <w:t xml:space="preserve"> (Hash Code for Record)</w:t>
            </w:r>
          </w:p>
        </w:tc>
        <w:tc>
          <w:tcPr>
            <w:tcW w:w="0" w:type="auto"/>
            <w:vAlign w:val="center"/>
          </w:tcPr>
          <w:p w:rsidR="005F78FC" w:rsidRDefault="00B42EF3">
            <w:pPr>
              <w:pStyle w:val="TableBodyText"/>
            </w:pPr>
            <w:r>
              <w:t>§</w:t>
            </w:r>
            <w:hyperlink w:anchor="Section_b1588c0913964016a2ea78ce84a81a8e">
              <w:r>
                <w:rPr>
                  <w:rStyle w:val="Hyperlink"/>
                </w:rPr>
                <w:t>3.1.2.2.1.1, hash</w:t>
              </w:r>
            </w:hyperlink>
          </w:p>
        </w:tc>
      </w:tr>
    </w:tbl>
    <w:p w:rsidR="005F78FC" w:rsidRDefault="005F78FC"/>
    <w:p w:rsidR="005F78FC" w:rsidRDefault="00B42EF3">
      <w:r>
        <w:t>The following XML Schema fragment defines the contents of this element:</w:t>
      </w:r>
    </w:p>
    <w:p w:rsidR="005F78FC" w:rsidRDefault="00B42EF3">
      <w:pPr>
        <w:pStyle w:val="Code"/>
      </w:pPr>
      <w:r>
        <w:t>&lt;complexType name="CT_HashedRecipientData"&gt;</w:t>
      </w:r>
    </w:p>
    <w:p w:rsidR="005F78FC" w:rsidRDefault="00B42EF3">
      <w:pPr>
        <w:pStyle w:val="Code"/>
      </w:pPr>
      <w:r>
        <w:t xml:space="preserve">  &lt;sequence&gt;</w:t>
      </w:r>
    </w:p>
    <w:p w:rsidR="005F78FC" w:rsidRDefault="00B42EF3">
      <w:pPr>
        <w:pStyle w:val="Code"/>
      </w:pPr>
      <w:r>
        <w:t xml:space="preserve">    &lt;</w:t>
      </w:r>
      <w:r>
        <w:t>element name="active" type="CT_OnOff" minOccurs="0"/&gt;</w:t>
      </w:r>
    </w:p>
    <w:p w:rsidR="005F78FC" w:rsidRDefault="00B42EF3">
      <w:pPr>
        <w:pStyle w:val="Code"/>
      </w:pPr>
      <w:r>
        <w:t xml:space="preserve">    &lt;element name="hash" type="CT_DecimalNumber" minOccurs="1"/&gt;</w:t>
      </w:r>
    </w:p>
    <w:p w:rsidR="005F78FC" w:rsidRDefault="00B42EF3">
      <w:pPr>
        <w:pStyle w:val="Code"/>
      </w:pPr>
      <w:r>
        <w:t xml:space="preserve">  &lt;/sequence&gt;</w:t>
      </w:r>
    </w:p>
    <w:p w:rsidR="005F78FC" w:rsidRDefault="00B42EF3">
      <w:pPr>
        <w:pStyle w:val="Code"/>
      </w:pPr>
      <w:r>
        <w:t>&lt;/complexType&gt;</w:t>
      </w:r>
    </w:p>
    <w:p w:rsidR="005F78FC" w:rsidRDefault="00B42EF3">
      <w:pPr>
        <w:pStyle w:val="Heading6"/>
      </w:pPr>
      <w:bookmarkStart w:id="3868" w:name="section_bf48d2d283e747cfa5e797caf8346fd8"/>
      <w:bookmarkStart w:id="3869" w:name="_Toc69879707"/>
      <w:r>
        <w:t>recipients (Inclusion/Exclusion Data for Data Source)</w:t>
      </w:r>
      <w:bookmarkEnd w:id="3868"/>
      <w:bookmarkEnd w:id="3869"/>
      <w:r>
        <w:fldChar w:fldCharType="begin"/>
      </w:r>
      <w:r>
        <w:instrText xml:space="preserve"> XE "recipients (Inclusion/Exclusion Data for Data Sour</w:instrText>
      </w:r>
      <w:r>
        <w:instrText xml:space="preserve">ce)" </w:instrText>
      </w:r>
      <w:r>
        <w:fldChar w:fldCharType="end"/>
      </w:r>
    </w:p>
    <w:p w:rsidR="005F78FC" w:rsidRDefault="00B42EF3">
      <w:r>
        <w:t>This element specifies all of the inclusion/exclusion data for the contents of the specified mail merge data source. It is the root element for the Mail Merge Recipient Data part.</w:t>
      </w:r>
    </w:p>
    <w:p w:rsidR="005F78FC" w:rsidRDefault="00B42EF3">
      <w:r>
        <w:t>[Example: Consider a document which is the source document for a mai</w:t>
      </w:r>
      <w:r>
        <w:t>l merge operation. If two records of the three specified by the data source were excluded from the mail merge, the resulting recipient data part would appear as follows:</w:t>
      </w:r>
    </w:p>
    <w:p w:rsidR="005F78FC" w:rsidRDefault="00B42EF3">
      <w:pPr>
        <w:pStyle w:val="Code"/>
      </w:pPr>
      <w:r>
        <w:lastRenderedPageBreak/>
        <w:t>&lt;w:recipients&gt;</w:t>
      </w:r>
    </w:p>
    <w:p w:rsidR="005F78FC" w:rsidRDefault="00B42EF3">
      <w:pPr>
        <w:pStyle w:val="Code"/>
      </w:pPr>
      <w:r>
        <w:t xml:space="preserve">  &lt;w:recipientData&gt;</w:t>
      </w:r>
    </w:p>
    <w:p w:rsidR="005F78FC" w:rsidRDefault="00B42EF3">
      <w:pPr>
        <w:pStyle w:val="Code"/>
      </w:pPr>
      <w:r>
        <w:t xml:space="preserve">    &lt;w:active w:val="false"/&gt;</w:t>
      </w:r>
    </w:p>
    <w:p w:rsidR="005F78FC" w:rsidRDefault="00B42EF3">
      <w:pPr>
        <w:pStyle w:val="Code"/>
      </w:pPr>
      <w:r>
        <w:t xml:space="preserve">    …</w:t>
      </w:r>
    </w:p>
    <w:p w:rsidR="005F78FC" w:rsidRDefault="00B42EF3">
      <w:pPr>
        <w:pStyle w:val="Code"/>
      </w:pPr>
      <w:r>
        <w:t xml:space="preserve">  &lt;/w:recipient</w:t>
      </w:r>
      <w:r>
        <w:t>Data&gt;</w:t>
      </w:r>
    </w:p>
    <w:p w:rsidR="005F78FC" w:rsidRDefault="00B42EF3">
      <w:pPr>
        <w:pStyle w:val="Code"/>
      </w:pPr>
      <w:r>
        <w:t xml:space="preserve">  &lt;w:recipientData&gt;</w:t>
      </w:r>
    </w:p>
    <w:p w:rsidR="005F78FC" w:rsidRDefault="00B42EF3">
      <w:pPr>
        <w:pStyle w:val="Code"/>
      </w:pPr>
      <w:r>
        <w:t xml:space="preserve">    &lt;w:active w:val="false"/&gt;</w:t>
      </w:r>
    </w:p>
    <w:p w:rsidR="005F78FC" w:rsidRDefault="00B42EF3">
      <w:pPr>
        <w:pStyle w:val="Code"/>
      </w:pPr>
      <w:r>
        <w:t xml:space="preserve">    …</w:t>
      </w:r>
    </w:p>
    <w:p w:rsidR="005F78FC" w:rsidRDefault="00B42EF3">
      <w:pPr>
        <w:pStyle w:val="Code"/>
      </w:pPr>
      <w:r>
        <w:t xml:space="preserve">  &lt;/w:recipientData&gt;</w:t>
      </w:r>
    </w:p>
    <w:p w:rsidR="005F78FC" w:rsidRDefault="00B42EF3">
      <w:pPr>
        <w:pStyle w:val="Code"/>
      </w:pPr>
      <w:r>
        <w:t xml:space="preserve">  &lt;w:recipientData&gt;</w:t>
      </w:r>
    </w:p>
    <w:p w:rsidR="005F78FC" w:rsidRDefault="00B42EF3">
      <w:pPr>
        <w:pStyle w:val="Code"/>
      </w:pPr>
      <w:r>
        <w:t xml:space="preserve">    …</w:t>
      </w:r>
    </w:p>
    <w:p w:rsidR="005F78FC" w:rsidRDefault="00B42EF3">
      <w:pPr>
        <w:pStyle w:val="Code"/>
      </w:pPr>
      <w:r>
        <w:t xml:space="preserve">  &lt;/w:recipientData&gt;</w:t>
      </w:r>
    </w:p>
    <w:p w:rsidR="005F78FC" w:rsidRDefault="00B42EF3">
      <w:pPr>
        <w:pStyle w:val="Code"/>
      </w:pPr>
      <w:r>
        <w:t>&lt;/w:recipients&gt;</w:t>
      </w:r>
    </w:p>
    <w:p w:rsidR="005F78FC" w:rsidRDefault="00B42EF3">
      <w:r>
        <w:t xml:space="preserve">The </w:t>
      </w:r>
      <w:r>
        <w:rPr>
          <w:b/>
        </w:rPr>
        <w:t>recipients</w:t>
      </w:r>
      <w:r>
        <w:t xml:space="preserve"> element contains all of the recipient inclusion/exclusion data for this mail merge document. en</w:t>
      </w:r>
      <w:r>
        <w:t>d example]</w:t>
      </w:r>
    </w:p>
    <w:tbl>
      <w:tblPr>
        <w:tblStyle w:val="Table-ShadedHeader"/>
        <w:tblW w:w="0" w:type="auto"/>
        <w:tblLook w:val="04A0" w:firstRow="1" w:lastRow="0" w:firstColumn="1" w:lastColumn="0" w:noHBand="0" w:noVBand="1"/>
      </w:tblPr>
      <w:tblGrid>
        <w:gridCol w:w="4758"/>
        <w:gridCol w:w="2421"/>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Child Elements</w:t>
            </w:r>
          </w:p>
        </w:tc>
        <w:tc>
          <w:tcPr>
            <w:tcW w:w="0" w:type="auto"/>
            <w:vAlign w:val="center"/>
          </w:tcPr>
          <w:p w:rsidR="005F78FC" w:rsidRDefault="00B42EF3">
            <w:pPr>
              <w:pStyle w:val="TableHeaderText"/>
            </w:pPr>
            <w:r>
              <w:t>Subclause</w:t>
            </w:r>
          </w:p>
        </w:tc>
      </w:tr>
      <w:tr w:rsidR="005F78FC" w:rsidTr="005F78FC">
        <w:tc>
          <w:tcPr>
            <w:tcW w:w="0" w:type="auto"/>
            <w:vAlign w:val="center"/>
          </w:tcPr>
          <w:p w:rsidR="005F78FC" w:rsidRDefault="00B42EF3">
            <w:pPr>
              <w:pStyle w:val="TableBodyText"/>
            </w:pPr>
            <w:r>
              <w:rPr>
                <w:b/>
              </w:rPr>
              <w:t>recipientData</w:t>
            </w:r>
            <w:r>
              <w:t xml:space="preserve"> (Data About Single Data Source Record)</w:t>
            </w:r>
          </w:p>
        </w:tc>
        <w:tc>
          <w:tcPr>
            <w:tcW w:w="0" w:type="auto"/>
            <w:vAlign w:val="center"/>
          </w:tcPr>
          <w:p w:rsidR="005F78FC" w:rsidRDefault="00B42EF3">
            <w:pPr>
              <w:pStyle w:val="TableBodyText"/>
            </w:pPr>
            <w:r>
              <w:t>§</w:t>
            </w:r>
            <w:hyperlink w:anchor="Section_cae9abfd7956464e9f841af5c3c4433d">
              <w:r>
                <w:rPr>
                  <w:rStyle w:val="Hyperlink"/>
                </w:rPr>
                <w:t>3.1.2.2.1.2, recipientData</w:t>
              </w:r>
            </w:hyperlink>
          </w:p>
        </w:tc>
      </w:tr>
    </w:tbl>
    <w:p w:rsidR="005F78FC" w:rsidRDefault="005F78FC"/>
    <w:p w:rsidR="005F78FC" w:rsidRDefault="00B42EF3">
      <w:r>
        <w:t>The following XML Schema fragment defines the contents of this element:</w:t>
      </w:r>
    </w:p>
    <w:p w:rsidR="005F78FC" w:rsidRDefault="00B42EF3">
      <w:pPr>
        <w:pStyle w:val="Code"/>
      </w:pPr>
      <w:r>
        <w:t>&lt;</w:t>
      </w:r>
      <w:r>
        <w:t>complexType name="CT_HashedRecipients"&gt;</w:t>
      </w:r>
    </w:p>
    <w:p w:rsidR="005F78FC" w:rsidRDefault="00B42EF3">
      <w:pPr>
        <w:pStyle w:val="Code"/>
      </w:pPr>
      <w:r>
        <w:t xml:space="preserve">  &lt;sequence&gt;</w:t>
      </w:r>
    </w:p>
    <w:p w:rsidR="005F78FC" w:rsidRDefault="00B42EF3">
      <w:pPr>
        <w:pStyle w:val="Code"/>
      </w:pPr>
      <w:r>
        <w:t xml:space="preserve">    &lt;element name="recipientData" type="CT_HashedRecipientData" minOccurs="1" maxOccurs="unbounded"/&gt;</w:t>
      </w:r>
    </w:p>
    <w:p w:rsidR="005F78FC" w:rsidRDefault="00B42EF3">
      <w:pPr>
        <w:pStyle w:val="Code"/>
      </w:pPr>
      <w:r>
        <w:t xml:space="preserve">  &lt;/sequence&gt;</w:t>
      </w:r>
    </w:p>
    <w:p w:rsidR="005F78FC" w:rsidRDefault="00B42EF3">
      <w:pPr>
        <w:pStyle w:val="Code"/>
      </w:pPr>
      <w:r>
        <w:t>&lt;/complexType&gt;</w:t>
      </w:r>
    </w:p>
    <w:p w:rsidR="005F78FC" w:rsidRDefault="00B42EF3">
      <w:pPr>
        <w:pStyle w:val="Heading4"/>
      </w:pPr>
      <w:bookmarkStart w:id="3870" w:name="section_176bd1fdfd4a4524a75256b44c1e2eac"/>
      <w:bookmarkStart w:id="3871" w:name="_Toc69879708"/>
      <w:r>
        <w:t>Simple Types</w:t>
      </w:r>
      <w:bookmarkEnd w:id="3870"/>
      <w:bookmarkEnd w:id="3871"/>
      <w:r>
        <w:fldChar w:fldCharType="begin"/>
      </w:r>
      <w:r>
        <w:instrText xml:space="preserve"> XE "Simple Types" </w:instrText>
      </w:r>
      <w:r>
        <w:fldChar w:fldCharType="end"/>
      </w:r>
    </w:p>
    <w:p w:rsidR="005F78FC" w:rsidRDefault="00B42EF3">
      <w:r>
        <w:t xml:space="preserve">This is the complete list of simple </w:t>
      </w:r>
      <w:r>
        <w:t>types in the http://schemas.microsoft.com/office/word/2006/wordml namespace.</w:t>
      </w:r>
    </w:p>
    <w:p w:rsidR="005F78FC" w:rsidRDefault="00B42EF3">
      <w:pPr>
        <w:pStyle w:val="Heading5"/>
      </w:pPr>
      <w:bookmarkStart w:id="3872" w:name="section_9168633928aa4e54acbd77bc5c69d9d2"/>
      <w:bookmarkStart w:id="3873" w:name="_Toc69879709"/>
      <w:r>
        <w:t>ST_DecimalNumber (Decimal Number Value)</w:t>
      </w:r>
      <w:bookmarkEnd w:id="3872"/>
      <w:bookmarkEnd w:id="3873"/>
      <w:r>
        <w:fldChar w:fldCharType="begin"/>
      </w:r>
      <w:r>
        <w:instrText xml:space="preserve"> XE "ST_DecimalNumber (Decimal Number Value)" </w:instrText>
      </w:r>
      <w:r>
        <w:fldChar w:fldCharType="end"/>
      </w:r>
    </w:p>
    <w:p w:rsidR="005F78FC" w:rsidRDefault="00B42EF3">
      <w:r>
        <w:t xml:space="preserve">This simple type specifies that its contents will contain a whole decimal number (positive </w:t>
      </w:r>
      <w:r>
        <w:t>or negative), whose contents are interpreted based on the context of the parent XML element.</w:t>
      </w:r>
    </w:p>
    <w:p w:rsidR="005F78FC" w:rsidRDefault="00B42EF3">
      <w:r>
        <w:t>[Example: Consider the following WordprocessingML fragment:</w:t>
      </w:r>
    </w:p>
    <w:p w:rsidR="005F78FC" w:rsidRDefault="00B42EF3">
      <w:pPr>
        <w:pStyle w:val="Code"/>
      </w:pPr>
      <w:r>
        <w:t>&lt;w:pPr&gt;</w:t>
      </w:r>
    </w:p>
    <w:p w:rsidR="005F78FC" w:rsidRDefault="00B42EF3">
      <w:pPr>
        <w:pStyle w:val="Code"/>
      </w:pPr>
      <w:r>
        <w:t xml:space="preserve">  &lt;w:divId w:val="1512645511" /&gt; </w:t>
      </w:r>
    </w:p>
    <w:p w:rsidR="005F78FC" w:rsidRDefault="00B42EF3">
      <w:pPr>
        <w:pStyle w:val="Code"/>
      </w:pPr>
      <w:r>
        <w:t>&lt;/w:pPr&gt;</w:t>
      </w:r>
    </w:p>
    <w:p w:rsidR="005F78FC" w:rsidRDefault="00B42EF3">
      <w:r>
        <w:t xml:space="preserve">The value of the </w:t>
      </w:r>
      <w:r>
        <w:rPr>
          <w:b/>
        </w:rPr>
        <w:t>val</w:t>
      </w:r>
      <w:r>
        <w:t xml:space="preserve"> attribute is the ID of the associated HTML </w:t>
      </w:r>
      <w:r>
        <w:rPr>
          <w:rStyle w:val="InlineCode"/>
        </w:rPr>
        <w:t>div</w:t>
      </w:r>
      <w:r>
        <w:t xml:space="preserve">. </w:t>
      </w:r>
    </w:p>
    <w:p w:rsidR="005F78FC" w:rsidRDefault="00B42EF3">
      <w:r>
        <w:t>However, consider the following fragment:</w:t>
      </w:r>
    </w:p>
    <w:p w:rsidR="005F78FC" w:rsidRDefault="00B42EF3">
      <w:pPr>
        <w:pStyle w:val="Code"/>
      </w:pPr>
      <w:r>
        <w:t>&lt;w:ilvl w:val="1"&gt;</w:t>
      </w:r>
    </w:p>
    <w:p w:rsidR="005F78FC" w:rsidRDefault="00B42EF3">
      <w:pPr>
        <w:pStyle w:val="Code"/>
      </w:pPr>
      <w:r>
        <w:t xml:space="preserve">  ...</w:t>
      </w:r>
    </w:p>
    <w:p w:rsidR="005F78FC" w:rsidRDefault="00B42EF3">
      <w:pPr>
        <w:pStyle w:val="Code"/>
      </w:pPr>
      <w:r>
        <w:t>&lt;/w:ilvl&gt;</w:t>
      </w:r>
    </w:p>
    <w:p w:rsidR="005F78FC" w:rsidRDefault="00B42EF3">
      <w:r>
        <w:lastRenderedPageBreak/>
        <w:t xml:space="preserve">In this case, the decimal number in the </w:t>
      </w:r>
      <w:r>
        <w:rPr>
          <w:b/>
        </w:rPr>
        <w:t>val</w:t>
      </w:r>
      <w:r>
        <w:t xml:space="preserve"> attribute is the ID of the associated numbering level. In each case, the value is int</w:t>
      </w:r>
      <w:r>
        <w:t>erpreted in the context of the parent element. end example]</w:t>
      </w:r>
    </w:p>
    <w:p w:rsidR="005F78FC" w:rsidRDefault="00B42EF3">
      <w:r>
        <w:t>This simple type's contents are a restriction of the XML Schema int datatype.</w:t>
      </w:r>
    </w:p>
    <w:tbl>
      <w:tblPr>
        <w:tblStyle w:val="Table-ShadedHeader"/>
        <w:tblW w:w="0" w:type="auto"/>
        <w:tblLook w:val="04A0" w:firstRow="1" w:lastRow="0" w:firstColumn="1" w:lastColumn="0" w:noHBand="0" w:noVBand="1"/>
      </w:tblPr>
      <w:tblGrid>
        <w:gridCol w:w="2781"/>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Referenced By</w:t>
            </w:r>
          </w:p>
        </w:tc>
      </w:tr>
      <w:tr w:rsidR="005F78FC" w:rsidTr="005F78FC">
        <w:tc>
          <w:tcPr>
            <w:tcW w:w="0" w:type="auto"/>
            <w:vAlign w:val="center"/>
          </w:tcPr>
          <w:p w:rsidR="005F78FC" w:rsidRDefault="00B42EF3">
            <w:pPr>
              <w:pStyle w:val="TableBodyText"/>
            </w:pPr>
            <w:r>
              <w:rPr>
                <w:b/>
              </w:rPr>
              <w:t>hash@val</w:t>
            </w:r>
            <w:r>
              <w:t xml:space="preserve"> (§</w:t>
            </w:r>
            <w:hyperlink w:anchor="Section_b1588c0913964016a2ea78ce84a81a8e">
              <w:r>
                <w:rPr>
                  <w:rStyle w:val="Hyperlink"/>
                </w:rPr>
                <w:t>3.1.2.2.1.1, hash</w:t>
              </w:r>
            </w:hyperlink>
            <w:r>
              <w:t>)</w:t>
            </w:r>
          </w:p>
        </w:tc>
      </w:tr>
    </w:tbl>
    <w:p w:rsidR="005F78FC" w:rsidRDefault="005F78FC"/>
    <w:p w:rsidR="005F78FC" w:rsidRDefault="00B42EF3">
      <w:r>
        <w:t>The foll</w:t>
      </w:r>
      <w:r>
        <w:t>owing XML Schema fragment defines the contents of this simple type:</w:t>
      </w:r>
    </w:p>
    <w:p w:rsidR="005F78FC" w:rsidRDefault="00B42EF3">
      <w:pPr>
        <w:pStyle w:val="Code"/>
      </w:pPr>
      <w:r>
        <w:t>&lt;simpleType name="ST_DecimalNumber"&gt;</w:t>
      </w:r>
    </w:p>
    <w:p w:rsidR="005F78FC" w:rsidRDefault="00B42EF3">
      <w:pPr>
        <w:pStyle w:val="Code"/>
      </w:pPr>
      <w:r>
        <w:t xml:space="preserve">  &lt;restriction base="xsd:int"/&gt;</w:t>
      </w:r>
    </w:p>
    <w:p w:rsidR="005F78FC" w:rsidRDefault="00B42EF3">
      <w:pPr>
        <w:pStyle w:val="Code"/>
      </w:pPr>
      <w:r>
        <w:t>&lt;/simpleType&gt;</w:t>
      </w:r>
    </w:p>
    <w:p w:rsidR="005F78FC" w:rsidRDefault="00B42EF3">
      <w:pPr>
        <w:pStyle w:val="Heading5"/>
      </w:pPr>
      <w:bookmarkStart w:id="3874" w:name="section_3050d73125fe410bb51ffd10c3d03b78"/>
      <w:bookmarkStart w:id="3875" w:name="_Toc69879710"/>
      <w:r>
        <w:t>ST_LongHexNumber (Four Digit Hexadecimal Number Value)</w:t>
      </w:r>
      <w:bookmarkEnd w:id="3874"/>
      <w:bookmarkEnd w:id="3875"/>
      <w:r>
        <w:fldChar w:fldCharType="begin"/>
      </w:r>
      <w:r>
        <w:instrText xml:space="preserve"> XE "ST_LongHexNumber (Four Digit Hexadecimal Numbe</w:instrText>
      </w:r>
      <w:r>
        <w:instrText xml:space="preserve">r Value)" </w:instrText>
      </w:r>
      <w:r>
        <w:fldChar w:fldCharType="end"/>
      </w:r>
    </w:p>
    <w:p w:rsidR="005F78FC" w:rsidRDefault="00B42EF3">
      <w:r>
        <w:t>This simple type specifies a number value specified as a four-octet (eight-digit) hexadecimal number), whose contents are interpreted based on the context of the parent XML element.</w:t>
      </w:r>
    </w:p>
    <w:p w:rsidR="005F78FC" w:rsidRDefault="00B42EF3">
      <w:r>
        <w:t xml:space="preserve">[Example: Consider the following value for a node of type </w:t>
      </w:r>
      <w:r>
        <w:rPr>
          <w:b/>
        </w:rPr>
        <w:t>ST_LongHexNumber</w:t>
      </w:r>
      <w:r>
        <w:t xml:space="preserve">: </w:t>
      </w:r>
      <w:r>
        <w:rPr>
          <w:i/>
        </w:rPr>
        <w:t>00BE2C6C</w:t>
      </w:r>
      <w:r>
        <w:t xml:space="preserve">. </w:t>
      </w:r>
    </w:p>
    <w:p w:rsidR="005F78FC" w:rsidRDefault="00B42EF3">
      <w:r>
        <w:t>This value is valid, as it contains four hexadecimal octets, each an encoding of an octet of the actual decimal number value. end example]</w:t>
      </w:r>
    </w:p>
    <w:p w:rsidR="005F78FC" w:rsidRDefault="00B42EF3">
      <w:r>
        <w:t>This simple type's contents are a restriction of the XML Schema hexBinary datatype.</w:t>
      </w:r>
    </w:p>
    <w:p w:rsidR="005F78FC" w:rsidRDefault="00B42EF3">
      <w:r>
        <w:t>This</w:t>
      </w:r>
      <w:r>
        <w:t xml:space="preserve"> simple type also specifies the following restrictions:</w:t>
      </w:r>
    </w:p>
    <w:p w:rsidR="005F78FC" w:rsidRDefault="00B42EF3">
      <w:pPr>
        <w:pStyle w:val="ListParagraph"/>
        <w:numPr>
          <w:ilvl w:val="0"/>
          <w:numId w:val="194"/>
        </w:numPr>
      </w:pPr>
      <w:r>
        <w:t>This simple type's contents have a length of exactly 8 hexadecimal digit(s).</w:t>
      </w:r>
    </w:p>
    <w:tbl>
      <w:tblPr>
        <w:tblStyle w:val="Table-ShadedHeader"/>
        <w:tblW w:w="0" w:type="auto"/>
        <w:tblLook w:val="04A0" w:firstRow="1" w:lastRow="0" w:firstColumn="1" w:lastColumn="0" w:noHBand="0" w:noVBand="1"/>
      </w:tblPr>
      <w:tblGrid>
        <w:gridCol w:w="2751"/>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Referenced By</w:t>
            </w:r>
          </w:p>
        </w:tc>
      </w:tr>
      <w:tr w:rsidR="005F78FC" w:rsidTr="005F78FC">
        <w:tc>
          <w:tcPr>
            <w:tcW w:w="0" w:type="auto"/>
            <w:vAlign w:val="center"/>
          </w:tcPr>
          <w:p w:rsidR="005F78FC" w:rsidRDefault="00B42EF3">
            <w:pPr>
              <w:pStyle w:val="TableBodyText"/>
            </w:pPr>
            <w:r>
              <w:rPr>
                <w:b/>
              </w:rPr>
              <w:t>wch@val</w:t>
            </w:r>
            <w:r>
              <w:t xml:space="preserve"> (§</w:t>
            </w:r>
            <w:hyperlink w:anchor="Section_342bac6cb42c45d7aae0b30f39357bc9">
              <w:r>
                <w:rPr>
                  <w:rStyle w:val="Hyperlink"/>
                </w:rPr>
                <w:t>3.1.2.1.1.15, wch</w:t>
              </w:r>
            </w:hyperlink>
            <w:r>
              <w:t>)</w:t>
            </w:r>
          </w:p>
        </w:tc>
      </w:tr>
    </w:tbl>
    <w:p w:rsidR="005F78FC" w:rsidRDefault="005F78FC"/>
    <w:p w:rsidR="005F78FC" w:rsidRDefault="00B42EF3">
      <w:r>
        <w:t xml:space="preserve">The following </w:t>
      </w:r>
      <w:r>
        <w:t>XML Schema fragment defines the contents of this simple type:</w:t>
      </w:r>
    </w:p>
    <w:p w:rsidR="005F78FC" w:rsidRDefault="00B42EF3">
      <w:pPr>
        <w:pStyle w:val="Code"/>
      </w:pPr>
      <w:r>
        <w:t>&lt;simpleType name="ST_LongHexNumber"&gt;</w:t>
      </w:r>
    </w:p>
    <w:p w:rsidR="005F78FC" w:rsidRDefault="00B42EF3">
      <w:pPr>
        <w:pStyle w:val="Code"/>
      </w:pPr>
      <w:r>
        <w:t xml:space="preserve">  &lt;restriction base="xsd:hexBinary"&gt;</w:t>
      </w:r>
    </w:p>
    <w:p w:rsidR="005F78FC" w:rsidRDefault="00B42EF3">
      <w:pPr>
        <w:pStyle w:val="Code"/>
      </w:pPr>
      <w:r>
        <w:t xml:space="preserve">    &lt;length value="4"/&gt;</w:t>
      </w:r>
    </w:p>
    <w:p w:rsidR="005F78FC" w:rsidRDefault="00B42EF3">
      <w:pPr>
        <w:pStyle w:val="Code"/>
      </w:pPr>
      <w:r>
        <w:t xml:space="preserve">  &lt;/restriction&gt;</w:t>
      </w:r>
    </w:p>
    <w:p w:rsidR="005F78FC" w:rsidRDefault="00B42EF3">
      <w:pPr>
        <w:pStyle w:val="Code"/>
      </w:pPr>
      <w:r>
        <w:t>&lt;/simpleType&gt;</w:t>
      </w:r>
    </w:p>
    <w:p w:rsidR="005F78FC" w:rsidRDefault="00B42EF3">
      <w:pPr>
        <w:pStyle w:val="Heading5"/>
      </w:pPr>
      <w:bookmarkStart w:id="3876" w:name="section_815fcc39dc6c44f8ad2787b1d9f21571"/>
      <w:bookmarkStart w:id="3877" w:name="_Toc69879711"/>
      <w:r>
        <w:t>ST_OnOff (On/Off Value)</w:t>
      </w:r>
      <w:bookmarkEnd w:id="3876"/>
      <w:bookmarkEnd w:id="3877"/>
      <w:r>
        <w:fldChar w:fldCharType="begin"/>
      </w:r>
      <w:r>
        <w:instrText xml:space="preserve"> XE "ST_OnOff (On/Off Value)" </w:instrText>
      </w:r>
      <w:r>
        <w:fldChar w:fldCharType="end"/>
      </w:r>
    </w:p>
    <w:p w:rsidR="005F78FC" w:rsidRDefault="00B42EF3">
      <w:r>
        <w:t xml:space="preserve">This </w:t>
      </w:r>
      <w:r>
        <w:t>simple type specifies a set of values for any binary (on or off) property defined in a WordprocessingML document.</w:t>
      </w:r>
    </w:p>
    <w:p w:rsidR="005F78FC" w:rsidRDefault="00B42EF3">
      <w:r>
        <w:t xml:space="preserve">A value of </w:t>
      </w:r>
      <w:r>
        <w:rPr>
          <w:i/>
        </w:rPr>
        <w:t>on</w:t>
      </w:r>
      <w:r>
        <w:t xml:space="preserve">, </w:t>
      </w:r>
      <w:r>
        <w:rPr>
          <w:i/>
        </w:rPr>
        <w:t>1</w:t>
      </w:r>
      <w:r>
        <w:t xml:space="preserve">, or </w:t>
      </w:r>
      <w:r>
        <w:rPr>
          <w:i/>
        </w:rPr>
        <w:t>true</w:t>
      </w:r>
      <w:r>
        <w:t xml:space="preserve"> specifies that the property shall be turned on.</w:t>
      </w:r>
    </w:p>
    <w:p w:rsidR="005F78FC" w:rsidRDefault="00B42EF3">
      <w:r>
        <w:t xml:space="preserve">A value of </w:t>
      </w:r>
      <w:r>
        <w:rPr>
          <w:i/>
        </w:rPr>
        <w:t>off</w:t>
      </w:r>
      <w:r>
        <w:t xml:space="preserve">, </w:t>
      </w:r>
      <w:r>
        <w:rPr>
          <w:i/>
        </w:rPr>
        <w:t>0</w:t>
      </w:r>
      <w:r>
        <w:t xml:space="preserve">, or </w:t>
      </w:r>
      <w:r>
        <w:rPr>
          <w:i/>
        </w:rPr>
        <w:t>false</w:t>
      </w:r>
      <w:r>
        <w:t xml:space="preserve"> specifies that the property shall be exp</w:t>
      </w:r>
      <w:r>
        <w:t>licitly turned off.</w:t>
      </w:r>
    </w:p>
    <w:p w:rsidR="005F78FC" w:rsidRDefault="00B42EF3">
      <w:r>
        <w:t>This simple type's contents are a restriction of the XML Schema string datatype.</w:t>
      </w:r>
    </w:p>
    <w:p w:rsidR="005F78FC" w:rsidRDefault="00B42EF3">
      <w:r>
        <w:lastRenderedPageBreak/>
        <w:t>The following are possible enumeration values for this type:</w:t>
      </w:r>
    </w:p>
    <w:tbl>
      <w:tblPr>
        <w:tblStyle w:val="Table-ShadedHeader"/>
        <w:tblW w:w="0" w:type="auto"/>
        <w:tblLook w:val="04A0" w:firstRow="1" w:lastRow="0" w:firstColumn="1" w:lastColumn="0" w:noHBand="0" w:noVBand="1"/>
      </w:tblPr>
      <w:tblGrid>
        <w:gridCol w:w="1917"/>
        <w:gridCol w:w="7558"/>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Enumeration Value</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rPr>
                <w:b/>
              </w:rPr>
              <w:t>0</w:t>
            </w:r>
            <w:r>
              <w:t xml:space="preserve"> ()</w:t>
            </w:r>
          </w:p>
        </w:tc>
        <w:tc>
          <w:tcPr>
            <w:tcW w:w="0" w:type="auto"/>
            <w:vAlign w:val="center"/>
          </w:tcPr>
          <w:p w:rsidR="005F78FC" w:rsidRDefault="00B42EF3">
            <w:pPr>
              <w:pStyle w:val="TableBodyText"/>
            </w:pPr>
            <w:r>
              <w:t>Specifies that the binary state of this property is off (p</w:t>
            </w:r>
            <w:r>
              <w:t>arent property is explicitly not applied).</w:t>
            </w:r>
          </w:p>
        </w:tc>
      </w:tr>
      <w:tr w:rsidR="005F78FC" w:rsidTr="005F78FC">
        <w:tc>
          <w:tcPr>
            <w:tcW w:w="0" w:type="auto"/>
            <w:vAlign w:val="center"/>
          </w:tcPr>
          <w:p w:rsidR="005F78FC" w:rsidRDefault="00B42EF3">
            <w:pPr>
              <w:pStyle w:val="TableBodyText"/>
            </w:pPr>
            <w:r>
              <w:rPr>
                <w:b/>
              </w:rPr>
              <w:t>1</w:t>
            </w:r>
            <w:r>
              <w:t xml:space="preserve"> ()</w:t>
            </w:r>
          </w:p>
        </w:tc>
        <w:tc>
          <w:tcPr>
            <w:tcW w:w="0" w:type="auto"/>
            <w:vAlign w:val="center"/>
          </w:tcPr>
          <w:p w:rsidR="005F78FC" w:rsidRDefault="00B42EF3">
            <w:pPr>
              <w:pStyle w:val="TableBodyText"/>
            </w:pPr>
            <w:r>
              <w:t>Specifies that the binary state of this property is on (parent property is explicitly applied).</w:t>
            </w:r>
          </w:p>
        </w:tc>
      </w:tr>
      <w:tr w:rsidR="005F78FC" w:rsidTr="005F78FC">
        <w:tc>
          <w:tcPr>
            <w:tcW w:w="0" w:type="auto"/>
            <w:vAlign w:val="center"/>
          </w:tcPr>
          <w:p w:rsidR="005F78FC" w:rsidRDefault="00B42EF3">
            <w:pPr>
              <w:pStyle w:val="TableBodyText"/>
            </w:pPr>
            <w:r>
              <w:rPr>
                <w:b/>
              </w:rPr>
              <w:t>false</w:t>
            </w:r>
            <w:r>
              <w:t xml:space="preserve"> ()</w:t>
            </w:r>
          </w:p>
        </w:tc>
        <w:tc>
          <w:tcPr>
            <w:tcW w:w="0" w:type="auto"/>
            <w:vAlign w:val="center"/>
          </w:tcPr>
          <w:p w:rsidR="005F78FC" w:rsidRDefault="00B42EF3">
            <w:pPr>
              <w:pStyle w:val="TableBodyText"/>
            </w:pPr>
            <w:r>
              <w:t>Specifies that the binary state of this property is off (parent property is explicitly not applied).</w:t>
            </w:r>
          </w:p>
        </w:tc>
      </w:tr>
      <w:tr w:rsidR="005F78FC" w:rsidTr="005F78FC">
        <w:tc>
          <w:tcPr>
            <w:tcW w:w="0" w:type="auto"/>
            <w:vAlign w:val="center"/>
          </w:tcPr>
          <w:p w:rsidR="005F78FC" w:rsidRDefault="00B42EF3">
            <w:pPr>
              <w:pStyle w:val="TableBodyText"/>
            </w:pPr>
            <w:r>
              <w:rPr>
                <w:b/>
              </w:rPr>
              <w:t>off</w:t>
            </w:r>
            <w:r>
              <w:t xml:space="preserve"> ()</w:t>
            </w:r>
          </w:p>
        </w:tc>
        <w:tc>
          <w:tcPr>
            <w:tcW w:w="0" w:type="auto"/>
            <w:vAlign w:val="center"/>
          </w:tcPr>
          <w:p w:rsidR="005F78FC" w:rsidRDefault="00B42EF3">
            <w:pPr>
              <w:pStyle w:val="TableBodyText"/>
            </w:pPr>
            <w:r>
              <w:t>Specifies that the binary state of this property is off (parent property is explicitly not applied).</w:t>
            </w:r>
          </w:p>
        </w:tc>
      </w:tr>
      <w:tr w:rsidR="005F78FC" w:rsidTr="005F78FC">
        <w:tc>
          <w:tcPr>
            <w:tcW w:w="0" w:type="auto"/>
            <w:vAlign w:val="center"/>
          </w:tcPr>
          <w:p w:rsidR="005F78FC" w:rsidRDefault="00B42EF3">
            <w:pPr>
              <w:pStyle w:val="TableBodyText"/>
            </w:pPr>
            <w:r>
              <w:rPr>
                <w:b/>
              </w:rPr>
              <w:t>on</w:t>
            </w:r>
            <w:r>
              <w:t xml:space="preserve"> ()</w:t>
            </w:r>
          </w:p>
        </w:tc>
        <w:tc>
          <w:tcPr>
            <w:tcW w:w="0" w:type="auto"/>
            <w:vAlign w:val="center"/>
          </w:tcPr>
          <w:p w:rsidR="005F78FC" w:rsidRDefault="00B42EF3">
            <w:pPr>
              <w:pStyle w:val="TableBodyText"/>
            </w:pPr>
            <w:r>
              <w:t>Specifies that the binary state of this property is on (parent property is explicitly applied).</w:t>
            </w:r>
          </w:p>
        </w:tc>
      </w:tr>
      <w:tr w:rsidR="005F78FC" w:rsidTr="005F78FC">
        <w:tc>
          <w:tcPr>
            <w:tcW w:w="0" w:type="auto"/>
            <w:vAlign w:val="center"/>
          </w:tcPr>
          <w:p w:rsidR="005F78FC" w:rsidRDefault="00B42EF3">
            <w:pPr>
              <w:pStyle w:val="TableBodyText"/>
            </w:pPr>
            <w:r>
              <w:rPr>
                <w:b/>
              </w:rPr>
              <w:t>true</w:t>
            </w:r>
            <w:r>
              <w:t xml:space="preserve"> ()</w:t>
            </w:r>
          </w:p>
        </w:tc>
        <w:tc>
          <w:tcPr>
            <w:tcW w:w="0" w:type="auto"/>
            <w:vAlign w:val="center"/>
          </w:tcPr>
          <w:p w:rsidR="005F78FC" w:rsidRDefault="00B42EF3">
            <w:pPr>
              <w:pStyle w:val="TableBodyText"/>
            </w:pPr>
            <w:r>
              <w:t xml:space="preserve">Specifies that the binary state of </w:t>
            </w:r>
            <w:r>
              <w:t>this property is on (parent property is explicitly applied).</w:t>
            </w:r>
          </w:p>
        </w:tc>
      </w:tr>
    </w:tbl>
    <w:p w:rsidR="005F78FC" w:rsidRDefault="005F78FC"/>
    <w:p w:rsidR="005F78FC" w:rsidRDefault="005F78FC"/>
    <w:tbl>
      <w:tblPr>
        <w:tblStyle w:val="Table-ShadedHeader"/>
        <w:tblW w:w="0" w:type="auto"/>
        <w:tblLook w:val="04A0" w:firstRow="1" w:lastRow="0" w:firstColumn="1" w:lastColumn="0" w:noHBand="0" w:noVBand="1"/>
      </w:tblPr>
      <w:tblGrid>
        <w:gridCol w:w="6407"/>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Referenced By</w:t>
            </w:r>
          </w:p>
        </w:tc>
      </w:tr>
      <w:tr w:rsidR="005F78FC" w:rsidTr="005F78FC">
        <w:tc>
          <w:tcPr>
            <w:tcW w:w="0" w:type="auto"/>
            <w:vAlign w:val="center"/>
          </w:tcPr>
          <w:p w:rsidR="005F78FC" w:rsidRDefault="00B42EF3">
            <w:pPr>
              <w:pStyle w:val="TableBodyText"/>
            </w:pPr>
            <w:r>
              <w:rPr>
                <w:b/>
              </w:rPr>
              <w:t>active@val</w:t>
            </w:r>
            <w:r>
              <w:t xml:space="preserve"> (§</w:t>
            </w:r>
            <w:hyperlink w:anchor="Section_7bbd9fb16181481db29c63842301455d">
              <w:r>
                <w:rPr>
                  <w:rStyle w:val="Hyperlink"/>
                </w:rPr>
                <w:t>3.1.2.1.1.6, active</w:t>
              </w:r>
            </w:hyperlink>
            <w:r>
              <w:t xml:space="preserve">); </w:t>
            </w:r>
            <w:r>
              <w:rPr>
                <w:b/>
              </w:rPr>
              <w:t>keymap@mask</w:t>
            </w:r>
            <w:r>
              <w:t xml:space="preserve"> (§</w:t>
            </w:r>
            <w:hyperlink w:anchor="Section_d44dbd45cbbb4efba0903a85141d00fc">
              <w:r>
                <w:rPr>
                  <w:rStyle w:val="Hyperlink"/>
                </w:rPr>
                <w:t>3.</w:t>
              </w:r>
              <w:r>
                <w:rPr>
                  <w:rStyle w:val="Hyperlink"/>
                </w:rPr>
                <w:t>1.2.1.1.8, keymap</w:t>
              </w:r>
            </w:hyperlink>
            <w:r>
              <w:t>)</w:t>
            </w:r>
          </w:p>
        </w:tc>
      </w:tr>
    </w:tbl>
    <w:p w:rsidR="005F78FC" w:rsidRDefault="005F78FC"/>
    <w:p w:rsidR="005F78FC" w:rsidRDefault="00B42EF3">
      <w:r>
        <w:t>The following XML Schema fragment defines the contents of this simple type:</w:t>
      </w:r>
    </w:p>
    <w:p w:rsidR="005F78FC" w:rsidRDefault="00B42EF3">
      <w:pPr>
        <w:pStyle w:val="Code"/>
      </w:pPr>
      <w:r>
        <w:t>&lt;simpleType name="ST_OnOff"&gt;</w:t>
      </w:r>
    </w:p>
    <w:p w:rsidR="005F78FC" w:rsidRDefault="00B42EF3">
      <w:pPr>
        <w:pStyle w:val="Code"/>
      </w:pPr>
      <w:r>
        <w:t xml:space="preserve">  &lt;restriction base="xsd:string"&gt;</w:t>
      </w:r>
    </w:p>
    <w:p w:rsidR="005F78FC" w:rsidRDefault="00B42EF3">
      <w:pPr>
        <w:pStyle w:val="Code"/>
      </w:pPr>
      <w:r>
        <w:t xml:space="preserve">    &lt;enumeration value="true"/&gt;</w:t>
      </w:r>
    </w:p>
    <w:p w:rsidR="005F78FC" w:rsidRDefault="00B42EF3">
      <w:pPr>
        <w:pStyle w:val="Code"/>
      </w:pPr>
      <w:r>
        <w:t xml:space="preserve">    &lt;enumeration value="false"/&gt;</w:t>
      </w:r>
    </w:p>
    <w:p w:rsidR="005F78FC" w:rsidRDefault="00B42EF3">
      <w:pPr>
        <w:pStyle w:val="Code"/>
      </w:pPr>
      <w:r>
        <w:t xml:space="preserve">    &lt;enumeration value="on"/&gt;</w:t>
      </w:r>
    </w:p>
    <w:p w:rsidR="005F78FC" w:rsidRDefault="00B42EF3">
      <w:pPr>
        <w:pStyle w:val="Code"/>
      </w:pPr>
      <w:r>
        <w:t xml:space="preserve">    &lt;enumeration value="off"/&gt;</w:t>
      </w:r>
    </w:p>
    <w:p w:rsidR="005F78FC" w:rsidRDefault="00B42EF3">
      <w:pPr>
        <w:pStyle w:val="Code"/>
      </w:pPr>
      <w:r>
        <w:t xml:space="preserve">    &lt;enumeration value="0"/&gt;</w:t>
      </w:r>
    </w:p>
    <w:p w:rsidR="005F78FC" w:rsidRDefault="00B42EF3">
      <w:pPr>
        <w:pStyle w:val="Code"/>
      </w:pPr>
      <w:r>
        <w:t xml:space="preserve">    &lt;enumeration value="1"/&gt;</w:t>
      </w:r>
    </w:p>
    <w:p w:rsidR="005F78FC" w:rsidRDefault="00B42EF3">
      <w:pPr>
        <w:pStyle w:val="Code"/>
      </w:pPr>
      <w:r>
        <w:t xml:space="preserve">  &lt;/restriction&gt;</w:t>
      </w:r>
    </w:p>
    <w:p w:rsidR="005F78FC" w:rsidRDefault="00B42EF3">
      <w:pPr>
        <w:pStyle w:val="Code"/>
      </w:pPr>
      <w:r>
        <w:t>&lt;/simpleType&gt;</w:t>
      </w:r>
    </w:p>
    <w:p w:rsidR="005F78FC" w:rsidRDefault="00B42EF3">
      <w:pPr>
        <w:pStyle w:val="Heading5"/>
      </w:pPr>
      <w:bookmarkStart w:id="3878" w:name="section_b12e8ea4e85d4b4c94bf98db8427fcaa"/>
      <w:bookmarkStart w:id="3879" w:name="_Toc69879712"/>
      <w:r>
        <w:t>ST_ShortHexNumber (Two Digit Hexadecimal Number Value)</w:t>
      </w:r>
      <w:bookmarkEnd w:id="3878"/>
      <w:bookmarkEnd w:id="3879"/>
      <w:r>
        <w:fldChar w:fldCharType="begin"/>
      </w:r>
      <w:r>
        <w:instrText xml:space="preserve"> XE "ST_ShortHexNumber (Two Digit Hexadecimal Number Value)" </w:instrText>
      </w:r>
      <w:r>
        <w:fldChar w:fldCharType="end"/>
      </w:r>
    </w:p>
    <w:p w:rsidR="005F78FC" w:rsidRDefault="00B42EF3">
      <w:r>
        <w:t xml:space="preserve">This simple type </w:t>
      </w:r>
      <w:r>
        <w:t>specifies a two-octet hexadecimal number whose value is interpreted based on the context of the parent XML element.</w:t>
      </w:r>
    </w:p>
    <w:p w:rsidR="005F78FC" w:rsidRDefault="00B42EF3">
      <w:r>
        <w:t xml:space="preserve">[Example: Consider the following value for a node of type </w:t>
      </w:r>
      <w:r>
        <w:rPr>
          <w:b/>
        </w:rPr>
        <w:t>ST_ShortHexNumber</w:t>
      </w:r>
      <w:r>
        <w:t xml:space="preserve">: </w:t>
      </w:r>
      <w:r>
        <w:rPr>
          <w:i/>
        </w:rPr>
        <w:t>2F6C</w:t>
      </w:r>
      <w:r>
        <w:t xml:space="preserve">. </w:t>
      </w:r>
    </w:p>
    <w:p w:rsidR="005F78FC" w:rsidRDefault="00B42EF3">
      <w:r>
        <w:t>This value is valid, as it contains two hexadecimal octe</w:t>
      </w:r>
      <w:r>
        <w:t>ts, each an encoding of an octet of the actual decimal number value. end example]</w:t>
      </w:r>
    </w:p>
    <w:p w:rsidR="005F78FC" w:rsidRDefault="00B42EF3">
      <w:r>
        <w:t>This simple type's contents are a restriction of the XML Schema hexBinary datatype.</w:t>
      </w:r>
    </w:p>
    <w:p w:rsidR="005F78FC" w:rsidRDefault="00B42EF3">
      <w:r>
        <w:t>This simple type also specifies the following restrictions:</w:t>
      </w:r>
    </w:p>
    <w:p w:rsidR="005F78FC" w:rsidRDefault="00B42EF3">
      <w:pPr>
        <w:pStyle w:val="ListParagraph"/>
        <w:numPr>
          <w:ilvl w:val="0"/>
          <w:numId w:val="195"/>
        </w:numPr>
      </w:pPr>
      <w:r>
        <w:t>This simple type's contents ha</w:t>
      </w:r>
      <w:r>
        <w:t>ve a length of exactly 4 hexadecimal digit(s).</w:t>
      </w:r>
    </w:p>
    <w:tbl>
      <w:tblPr>
        <w:tblStyle w:val="Table-ShadedHeader"/>
        <w:tblW w:w="0" w:type="auto"/>
        <w:tblLook w:val="04A0" w:firstRow="1" w:lastRow="0" w:firstColumn="1" w:lastColumn="0" w:noHBand="0" w:noVBand="1"/>
      </w:tblPr>
      <w:tblGrid>
        <w:gridCol w:w="9475"/>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lastRenderedPageBreak/>
              <w:t>Referenced By</w:t>
            </w:r>
          </w:p>
        </w:tc>
      </w:tr>
      <w:tr w:rsidR="005F78FC" w:rsidTr="005F78FC">
        <w:tc>
          <w:tcPr>
            <w:tcW w:w="0" w:type="auto"/>
            <w:vAlign w:val="center"/>
          </w:tcPr>
          <w:p w:rsidR="005F78FC" w:rsidRDefault="00B42EF3">
            <w:pPr>
              <w:pStyle w:val="TableBodyText"/>
            </w:pPr>
            <w:r>
              <w:rPr>
                <w:b/>
              </w:rPr>
              <w:t>acd@fciIndexBasedOn</w:t>
            </w:r>
            <w:r>
              <w:t xml:space="preserve"> (§</w:t>
            </w:r>
            <w:hyperlink w:anchor="Section_9bd9f7443f3a4ce88c48371c1bb6cd67">
              <w:r>
                <w:rPr>
                  <w:rStyle w:val="Hyperlink"/>
                </w:rPr>
                <w:t>3.1.2.1.1.1, acd</w:t>
              </w:r>
            </w:hyperlink>
            <w:r>
              <w:t xml:space="preserve">); </w:t>
            </w:r>
            <w:r>
              <w:rPr>
                <w:b/>
              </w:rPr>
              <w:t>fci@fciIndex</w:t>
            </w:r>
            <w:r>
              <w:t xml:space="preserve"> (§</w:t>
            </w:r>
            <w:hyperlink w:anchor="Section_e7fbfaec48a0443e91cc16c53cefbd44">
              <w:r>
                <w:rPr>
                  <w:rStyle w:val="Hyperlink"/>
                </w:rPr>
                <w:t>3.1.2.1.1.7,</w:t>
              </w:r>
              <w:r>
                <w:rPr>
                  <w:rStyle w:val="Hyperlink"/>
                </w:rPr>
                <w:t xml:space="preserve"> fci</w:t>
              </w:r>
            </w:hyperlink>
            <w:r>
              <w:t xml:space="preserve">); </w:t>
            </w:r>
            <w:r>
              <w:rPr>
                <w:b/>
              </w:rPr>
              <w:t>fci@swArg</w:t>
            </w:r>
            <w:r>
              <w:t xml:space="preserve"> (§3.1.2.1.1.7, fci); </w:t>
            </w:r>
            <w:r>
              <w:rPr>
                <w:b/>
              </w:rPr>
              <w:t>keymap@chmPrimary</w:t>
            </w:r>
            <w:r>
              <w:t xml:space="preserve"> (§</w:t>
            </w:r>
            <w:hyperlink w:anchor="Section_d44dbd45cbbb4efba0903a85141d00fc">
              <w:r>
                <w:rPr>
                  <w:rStyle w:val="Hyperlink"/>
                </w:rPr>
                <w:t>3.1.2.1.1.8, keymap</w:t>
              </w:r>
            </w:hyperlink>
            <w:r>
              <w:t xml:space="preserve">); </w:t>
            </w:r>
            <w:r>
              <w:rPr>
                <w:b/>
              </w:rPr>
              <w:t>keymap@chmSecondary</w:t>
            </w:r>
            <w:r>
              <w:t xml:space="preserve"> (§3.1.2.1.1.8, keymap); </w:t>
            </w:r>
            <w:r>
              <w:rPr>
                <w:b/>
              </w:rPr>
              <w:t>keymap@kcmPrimary</w:t>
            </w:r>
            <w:r>
              <w:t xml:space="preserve"> (§3.1.2.1.1.8, keymap); </w:t>
            </w:r>
            <w:r>
              <w:rPr>
                <w:b/>
              </w:rPr>
              <w:t>keymap@kcmSecondary</w:t>
            </w:r>
            <w:r>
              <w:t xml:space="preserve"> (§3.1.2</w:t>
            </w:r>
            <w:r>
              <w:t>.1.1.8, keymap)</w:t>
            </w:r>
          </w:p>
        </w:tc>
      </w:tr>
    </w:tbl>
    <w:p w:rsidR="005F78FC" w:rsidRDefault="005F78FC"/>
    <w:p w:rsidR="005F78FC" w:rsidRDefault="00B42EF3">
      <w:r>
        <w:t>The following XML Schema fragment defines the contents of this simple type:</w:t>
      </w:r>
    </w:p>
    <w:p w:rsidR="005F78FC" w:rsidRDefault="00B42EF3">
      <w:pPr>
        <w:pStyle w:val="Code"/>
      </w:pPr>
      <w:r>
        <w:t>&lt;simpleType name="ST_ShortHexNumber"&gt;</w:t>
      </w:r>
    </w:p>
    <w:p w:rsidR="005F78FC" w:rsidRDefault="00B42EF3">
      <w:pPr>
        <w:pStyle w:val="Code"/>
      </w:pPr>
      <w:r>
        <w:t xml:space="preserve">  &lt;restriction base="xsd:hexBinary"&gt;</w:t>
      </w:r>
    </w:p>
    <w:p w:rsidR="005F78FC" w:rsidRDefault="00B42EF3">
      <w:pPr>
        <w:pStyle w:val="Code"/>
      </w:pPr>
      <w:r>
        <w:t xml:space="preserve">    &lt;length value="2"/&gt;</w:t>
      </w:r>
    </w:p>
    <w:p w:rsidR="005F78FC" w:rsidRDefault="00B42EF3">
      <w:pPr>
        <w:pStyle w:val="Code"/>
      </w:pPr>
      <w:r>
        <w:t xml:space="preserve">  &lt;/restriction&gt;</w:t>
      </w:r>
    </w:p>
    <w:p w:rsidR="005F78FC" w:rsidRDefault="00B42EF3">
      <w:pPr>
        <w:pStyle w:val="Code"/>
      </w:pPr>
      <w:r>
        <w:t>&lt;/simpleType&gt;</w:t>
      </w:r>
    </w:p>
    <w:p w:rsidR="005F78FC" w:rsidRDefault="00B42EF3">
      <w:pPr>
        <w:pStyle w:val="Heading5"/>
      </w:pPr>
      <w:bookmarkStart w:id="3880" w:name="section_6af92020a61a492793209436f448f276"/>
      <w:bookmarkStart w:id="3881" w:name="_Toc69879713"/>
      <w:r>
        <w:t>ST_String (String)</w:t>
      </w:r>
      <w:bookmarkEnd w:id="3880"/>
      <w:bookmarkEnd w:id="3881"/>
      <w:r>
        <w:fldChar w:fldCharType="begin"/>
      </w:r>
      <w:r>
        <w:instrText xml:space="preserve"> XE "ST_String</w:instrText>
      </w:r>
      <w:r>
        <w:instrText xml:space="preserve"> (String)" </w:instrText>
      </w:r>
      <w:r>
        <w:fldChar w:fldCharType="end"/>
      </w:r>
    </w:p>
    <w:p w:rsidR="005F78FC" w:rsidRDefault="00B42EF3">
      <w:r>
        <w:t>This simple type specifies that its contents will contain a string. The contents of this string are interpreted based on the context of the parent XML element.</w:t>
      </w:r>
    </w:p>
    <w:p w:rsidR="005F78FC" w:rsidRDefault="00B42EF3">
      <w:r>
        <w:t>[Example: Consider the following WordprocessingML fragment:</w:t>
      </w:r>
    </w:p>
    <w:p w:rsidR="005F78FC" w:rsidRDefault="00B42EF3">
      <w:pPr>
        <w:pStyle w:val="Code"/>
      </w:pPr>
      <w:r>
        <w:t>&lt;w:pPr&gt;</w:t>
      </w:r>
    </w:p>
    <w:p w:rsidR="005F78FC" w:rsidRDefault="00B42EF3">
      <w:pPr>
        <w:pStyle w:val="Code"/>
      </w:pPr>
      <w:r>
        <w:t xml:space="preserve">  &lt;w:pStyle w:</w:t>
      </w:r>
      <w:r>
        <w:t xml:space="preserve">val="heading1" /&gt; </w:t>
      </w:r>
    </w:p>
    <w:p w:rsidR="005F78FC" w:rsidRDefault="00B42EF3">
      <w:pPr>
        <w:pStyle w:val="Code"/>
      </w:pPr>
      <w:r>
        <w:t>&lt;/w:pPr&gt;</w:t>
      </w:r>
    </w:p>
    <w:p w:rsidR="005F78FC" w:rsidRDefault="00B42EF3">
      <w:r>
        <w:t xml:space="preserve">The value of the </w:t>
      </w:r>
      <w:r>
        <w:rPr>
          <w:b/>
        </w:rPr>
        <w:t>val</w:t>
      </w:r>
      <w:r>
        <w:t xml:space="preserve"> attribute is the ID of the associated paragraph style's </w:t>
      </w:r>
      <w:r>
        <w:rPr>
          <w:rStyle w:val="InlineCode"/>
        </w:rPr>
        <w:t>styleId</w:t>
      </w:r>
      <w:r>
        <w:t>. However, consider the following fragment:</w:t>
      </w:r>
    </w:p>
    <w:p w:rsidR="005F78FC" w:rsidRDefault="00B42EF3">
      <w:pPr>
        <w:pStyle w:val="Code"/>
      </w:pPr>
      <w:r>
        <w:t>&lt;w:sdtPr&gt;</w:t>
      </w:r>
    </w:p>
    <w:p w:rsidR="005F78FC" w:rsidRDefault="00B42EF3">
      <w:pPr>
        <w:pStyle w:val="Code"/>
      </w:pPr>
      <w:r>
        <w:t xml:space="preserve">  &lt;w:alias w:val="SDT Title Example" /&gt;</w:t>
      </w:r>
    </w:p>
    <w:p w:rsidR="005F78FC" w:rsidRDefault="00B42EF3">
      <w:pPr>
        <w:pStyle w:val="Code"/>
      </w:pPr>
      <w:r>
        <w:t xml:space="preserve">  ...</w:t>
      </w:r>
    </w:p>
    <w:p w:rsidR="005F78FC" w:rsidRDefault="00B42EF3">
      <w:pPr>
        <w:pStyle w:val="Code"/>
      </w:pPr>
      <w:r>
        <w:t>&lt;/w:sdtPr&gt;</w:t>
      </w:r>
    </w:p>
    <w:p w:rsidR="005F78FC" w:rsidRDefault="00B42EF3">
      <w:r>
        <w:t xml:space="preserve">In this case, the decimal number in the </w:t>
      </w:r>
      <w:r>
        <w:rPr>
          <w:b/>
        </w:rPr>
        <w:t>val</w:t>
      </w:r>
      <w:r>
        <w:t xml:space="preserve"> attribute is the caption of the parent-structured document tag. In each case, the value is of type </w:t>
      </w:r>
      <w:r>
        <w:rPr>
          <w:b/>
        </w:rPr>
        <w:t>ST_String</w:t>
      </w:r>
      <w:r>
        <w:t>, and therefore must be interpreted in the context of the parent element. end example]</w:t>
      </w:r>
    </w:p>
    <w:p w:rsidR="005F78FC" w:rsidRDefault="00B42EF3">
      <w:r>
        <w:t>This simple type'</w:t>
      </w:r>
      <w:r>
        <w:t>s contents are a restriction of the XML Schema string datatype.</w:t>
      </w:r>
    </w:p>
    <w:tbl>
      <w:tblPr>
        <w:tblStyle w:val="Table-ShadedHeader"/>
        <w:tblW w:w="0" w:type="auto"/>
        <w:tblLook w:val="04A0" w:firstRow="1" w:lastRow="0" w:firstColumn="1" w:lastColumn="0" w:noHBand="0" w:noVBand="1"/>
      </w:tblPr>
      <w:tblGrid>
        <w:gridCol w:w="9475"/>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Referenced By</w:t>
            </w:r>
          </w:p>
        </w:tc>
      </w:tr>
      <w:tr w:rsidR="005F78FC" w:rsidTr="005F78FC">
        <w:tc>
          <w:tcPr>
            <w:tcW w:w="0" w:type="auto"/>
            <w:vAlign w:val="center"/>
          </w:tcPr>
          <w:p w:rsidR="005F78FC" w:rsidRDefault="00B42EF3">
            <w:pPr>
              <w:pStyle w:val="TableBodyText"/>
            </w:pPr>
            <w:r>
              <w:rPr>
                <w:b/>
              </w:rPr>
              <w:t>acd@acdName</w:t>
            </w:r>
            <w:r>
              <w:t xml:space="preserve"> (§</w:t>
            </w:r>
            <w:hyperlink w:anchor="Section_9bd9f7443f3a4ce88c48371c1bb6cd67">
              <w:r>
                <w:rPr>
                  <w:rStyle w:val="Hyperlink"/>
                </w:rPr>
                <w:t>3.1.2.1.1.1, acd</w:t>
              </w:r>
            </w:hyperlink>
            <w:r>
              <w:t xml:space="preserve">); </w:t>
            </w:r>
            <w:r>
              <w:rPr>
                <w:b/>
              </w:rPr>
              <w:t>acd@acdName</w:t>
            </w:r>
            <w:r>
              <w:t xml:space="preserve"> (§</w:t>
            </w:r>
            <w:hyperlink w:anchor="Section_03e658016a2147d093503528064826ad">
              <w:r>
                <w:rPr>
                  <w:rStyle w:val="Hyperlink"/>
                </w:rPr>
                <w:t>3.1.2.1.1.2, acd</w:t>
              </w:r>
            </w:hyperlink>
            <w:r>
              <w:t xml:space="preserve">); </w:t>
            </w:r>
            <w:r>
              <w:rPr>
                <w:b/>
              </w:rPr>
              <w:t>acd@argValue</w:t>
            </w:r>
            <w:r>
              <w:t xml:space="preserve"> (§3.1.2.1.1.1, acd); </w:t>
            </w:r>
            <w:r>
              <w:rPr>
                <w:b/>
              </w:rPr>
              <w:t>acd@fciBasedOn</w:t>
            </w:r>
            <w:r>
              <w:t xml:space="preserve"> (§3.1.2.1.1.1, acd); </w:t>
            </w:r>
            <w:r>
              <w:rPr>
                <w:b/>
              </w:rPr>
              <w:t>acdEntry@acdName</w:t>
            </w:r>
            <w:r>
              <w:t xml:space="preserve"> (§</w:t>
            </w:r>
            <w:hyperlink w:anchor="Section_030e50dc59a54f3f8f6c41168047f641">
              <w:r>
                <w:rPr>
                  <w:rStyle w:val="Hyperlink"/>
                </w:rPr>
                <w:t>3.1.2.1.1.3, acdEntry</w:t>
              </w:r>
            </w:hyperlink>
            <w:r>
              <w:t xml:space="preserve">); </w:t>
            </w:r>
            <w:r>
              <w:rPr>
                <w:b/>
              </w:rPr>
              <w:t>fci@fciName</w:t>
            </w:r>
            <w:r>
              <w:t xml:space="preserve"> (§</w:t>
            </w:r>
            <w:hyperlink w:anchor="Section_e7fbfaec48a0443e91cc16c53cefbd44">
              <w:r>
                <w:rPr>
                  <w:rStyle w:val="Hyperlink"/>
                </w:rPr>
                <w:t>3.1.2.1.1.7, fci</w:t>
              </w:r>
            </w:hyperlink>
            <w:r>
              <w:t xml:space="preserve">); </w:t>
            </w:r>
            <w:r>
              <w:rPr>
                <w:b/>
              </w:rPr>
              <w:t>macro@macroName</w:t>
            </w:r>
            <w:r>
              <w:t xml:space="preserve"> (§</w:t>
            </w:r>
            <w:hyperlink w:anchor="Section_0ab7a8b6842d4bda8c7262ac9dd16b0d">
              <w:r>
                <w:rPr>
                  <w:rStyle w:val="Hyperlink"/>
                </w:rPr>
                <w:t>3.1.2.1.1.11, macro</w:t>
              </w:r>
            </w:hyperlink>
            <w:r>
              <w:t xml:space="preserve">); </w:t>
            </w:r>
            <w:r>
              <w:rPr>
                <w:b/>
              </w:rPr>
              <w:t>wll@macroName</w:t>
            </w:r>
            <w:r>
              <w:t xml:space="preserve"> (§</w:t>
            </w:r>
            <w:hyperlink w:anchor="Section_bba0329034324d19ba214baa0944d9de">
              <w:r>
                <w:rPr>
                  <w:rStyle w:val="Hyperlink"/>
                </w:rPr>
                <w:t>3.1.2.1.1.16, wll</w:t>
              </w:r>
            </w:hyperlink>
            <w:r>
              <w:t>)</w:t>
            </w:r>
          </w:p>
        </w:tc>
      </w:tr>
    </w:tbl>
    <w:p w:rsidR="005F78FC" w:rsidRDefault="005F78FC"/>
    <w:p w:rsidR="005F78FC" w:rsidRDefault="00B42EF3">
      <w:r>
        <w:t xml:space="preserve">The following XML </w:t>
      </w:r>
      <w:r>
        <w:t>Schema fragment defines the contents of this simple type:</w:t>
      </w:r>
    </w:p>
    <w:p w:rsidR="005F78FC" w:rsidRDefault="00B42EF3">
      <w:pPr>
        <w:pStyle w:val="Code"/>
      </w:pPr>
      <w:r>
        <w:t>&lt;simpleType name="ST_String"&gt;</w:t>
      </w:r>
    </w:p>
    <w:p w:rsidR="005F78FC" w:rsidRDefault="00B42EF3">
      <w:pPr>
        <w:pStyle w:val="Code"/>
      </w:pPr>
      <w:r>
        <w:t xml:space="preserve">  &lt;restriction base="xsd:string"/&gt;</w:t>
      </w:r>
    </w:p>
    <w:p w:rsidR="005F78FC" w:rsidRDefault="00B42EF3">
      <w:pPr>
        <w:pStyle w:val="Code"/>
      </w:pPr>
      <w:r>
        <w:t>&lt;/simpleType&gt;</w:t>
      </w:r>
    </w:p>
    <w:p w:rsidR="005F78FC" w:rsidRDefault="00B42EF3">
      <w:pPr>
        <w:pStyle w:val="Heading3"/>
      </w:pPr>
      <w:bookmarkStart w:id="3882" w:name="section_f8e3c239322c488594094c0acc06b609"/>
      <w:bookmarkStart w:id="3883" w:name="_Toc69879714"/>
      <w:r>
        <w:lastRenderedPageBreak/>
        <w:t>Additional WordprocessingML Schema</w:t>
      </w:r>
      <w:bookmarkEnd w:id="3882"/>
      <w:bookmarkEnd w:id="3883"/>
      <w:r>
        <w:fldChar w:fldCharType="begin"/>
      </w:r>
      <w:r>
        <w:instrText xml:space="preserve"> XE "Additional WordprocessingML Schema" </w:instrText>
      </w:r>
      <w:r>
        <w:fldChar w:fldCharType="end"/>
      </w:r>
    </w:p>
    <w:p w:rsidR="005F78FC" w:rsidRDefault="00B42EF3">
      <w:r>
        <w:t>The subordinate clauses define additional</w:t>
      </w:r>
      <w:r>
        <w:t xml:space="preserve"> information in the WordprocessingML schema used by Word.  </w:t>
      </w:r>
    </w:p>
    <w:p w:rsidR="005F78FC" w:rsidRDefault="00B42EF3">
      <w:pPr>
        <w:pStyle w:val="Heading4"/>
      </w:pPr>
      <w:bookmarkStart w:id="3884" w:name="section_83539449567440628f04a27990446e24"/>
      <w:bookmarkStart w:id="3885" w:name="_Toc69879715"/>
      <w:r>
        <w:t>Additional Elements</w:t>
      </w:r>
      <w:bookmarkEnd w:id="3884"/>
      <w:bookmarkEnd w:id="3885"/>
    </w:p>
    <w:p w:rsidR="005F78FC" w:rsidRDefault="00B42EF3">
      <w:pPr>
        <w:pStyle w:val="Heading5"/>
      </w:pPr>
      <w:bookmarkStart w:id="3886" w:name="section_d188da3eb34b4445b3a0118155f75ff3"/>
      <w:bookmarkStart w:id="3887" w:name="_Toc69879716"/>
      <w:r>
        <w:t>customXml (Ruby Inline-Level Custom XML Element)</w:t>
      </w:r>
      <w:bookmarkEnd w:id="3886"/>
      <w:bookmarkEnd w:id="3887"/>
      <w:r>
        <w:fldChar w:fldCharType="begin"/>
      </w:r>
      <w:r>
        <w:instrText xml:space="preserve"> XE "customXml (Ruby Inline-Level Custom XML Element)" </w:instrText>
      </w:r>
      <w:r>
        <w:fldChar w:fldCharType="end"/>
      </w:r>
    </w:p>
    <w:p w:rsidR="005F78FC" w:rsidRDefault="00B42EF3">
      <w:r>
        <w:t>This element specifies the presence of a custom XML element around one</w:t>
      </w:r>
      <w:r>
        <w:t xml:space="preserve"> or more inline-level structures (runs, images, fields, and so on) within a paragraph. The attributes on this element shall be used to specify the name and namespace URI of the current custom XML element.</w:t>
      </w:r>
    </w:p>
    <w:p w:rsidR="005F78FC" w:rsidRDefault="00B42EF3">
      <w:r>
        <w:t>[Example: Consider a custom XML element with the na</w:t>
      </w:r>
      <w:r>
        <w:t xml:space="preserve">me </w:t>
      </w:r>
      <w:r>
        <w:rPr>
          <w:i/>
        </w:rPr>
        <w:t>firstName</w:t>
      </w:r>
      <w:r>
        <w:t xml:space="preserve"> that shall be located around two text runs in a WordprocessingML document. This requirement would be specified as follows in the WordprocessingML:</w:t>
      </w:r>
    </w:p>
    <w:p w:rsidR="005F78FC" w:rsidRDefault="00B42EF3">
      <w:pPr>
        <w:pStyle w:val="Code"/>
      </w:pPr>
      <w:r>
        <w:t>&lt;w:p&gt;</w:t>
      </w:r>
    </w:p>
    <w:p w:rsidR="005F78FC" w:rsidRDefault="00B42EF3">
      <w:pPr>
        <w:pStyle w:val="Code"/>
      </w:pPr>
      <w:r>
        <w:t xml:space="preserve">  &lt;w:customXml w:element="firstName" … &gt;</w:t>
      </w:r>
    </w:p>
    <w:p w:rsidR="005F78FC" w:rsidRDefault="00B42EF3">
      <w:pPr>
        <w:pStyle w:val="Code"/>
      </w:pPr>
      <w:r>
        <w:t xml:space="preserve">    &lt;w:r&gt;</w:t>
      </w:r>
    </w:p>
    <w:p w:rsidR="005F78FC" w:rsidRDefault="00B42EF3">
      <w:pPr>
        <w:pStyle w:val="Code"/>
      </w:pPr>
      <w:r>
        <w:t xml:space="preserve">      …</w:t>
      </w:r>
    </w:p>
    <w:p w:rsidR="005F78FC" w:rsidRDefault="00B42EF3">
      <w:pPr>
        <w:pStyle w:val="Code"/>
      </w:pPr>
      <w:r>
        <w:t xml:space="preserve">    &lt;/w:r&gt;</w:t>
      </w:r>
    </w:p>
    <w:p w:rsidR="005F78FC" w:rsidRDefault="00B42EF3">
      <w:pPr>
        <w:pStyle w:val="Code"/>
      </w:pPr>
      <w:r>
        <w:t xml:space="preserve">    &lt;w:r&gt;</w:t>
      </w:r>
    </w:p>
    <w:p w:rsidR="005F78FC" w:rsidRDefault="00B42EF3">
      <w:pPr>
        <w:pStyle w:val="Code"/>
      </w:pPr>
      <w:r>
        <w:t xml:space="preserve">      …</w:t>
      </w:r>
    </w:p>
    <w:p w:rsidR="005F78FC" w:rsidRDefault="00B42EF3">
      <w:pPr>
        <w:pStyle w:val="Code"/>
      </w:pPr>
      <w:r>
        <w:t xml:space="preserve">    &lt;/w:r&gt;</w:t>
      </w:r>
    </w:p>
    <w:p w:rsidR="005F78FC" w:rsidRDefault="00B42EF3">
      <w:pPr>
        <w:pStyle w:val="Code"/>
      </w:pPr>
      <w:r>
        <w:t xml:space="preserve">  &lt;/w:customXml&gt;</w:t>
      </w:r>
    </w:p>
    <w:p w:rsidR="005F78FC" w:rsidRDefault="00B42EF3">
      <w:pPr>
        <w:pStyle w:val="Code"/>
      </w:pPr>
      <w:r>
        <w:t xml:space="preserve">  …</w:t>
      </w:r>
    </w:p>
    <w:p w:rsidR="005F78FC" w:rsidRDefault="00B42EF3">
      <w:pPr>
        <w:pStyle w:val="Code"/>
      </w:pPr>
      <w:r>
        <w:t>&lt;/w:p&gt;</w:t>
      </w:r>
    </w:p>
    <w:p w:rsidR="005F78FC" w:rsidRDefault="00B42EF3">
      <w:r>
        <w:t xml:space="preserve">The </w:t>
      </w:r>
      <w:r>
        <w:rPr>
          <w:b/>
        </w:rPr>
        <w:t>customXml</w:t>
      </w:r>
      <w:r>
        <w:t xml:space="preserve"> element specifies that the name of the custom XML element is </w:t>
      </w:r>
      <w:r>
        <w:rPr>
          <w:i/>
        </w:rPr>
        <w:t>firstName</w:t>
      </w:r>
      <w:r>
        <w:t>, and the custom XML element contains two text runs (it is an inline-level element). end example]</w:t>
      </w:r>
    </w:p>
    <w:tbl>
      <w:tblPr>
        <w:tblStyle w:val="Table-ShadedHeader"/>
        <w:tblW w:w="0" w:type="auto"/>
        <w:tblLook w:val="04A0" w:firstRow="1" w:lastRow="0" w:firstColumn="1" w:lastColumn="0" w:noHBand="0" w:noVBand="1"/>
      </w:tblPr>
      <w:tblGrid>
        <w:gridCol w:w="9475"/>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Parent Elements</w:t>
            </w:r>
          </w:p>
        </w:tc>
      </w:tr>
      <w:tr w:rsidR="005F78FC" w:rsidTr="005F78FC">
        <w:tc>
          <w:tcPr>
            <w:tcW w:w="0" w:type="auto"/>
            <w:vAlign w:val="center"/>
          </w:tcPr>
          <w:p w:rsidR="005F78FC" w:rsidRDefault="00B42EF3">
            <w:pPr>
              <w:pStyle w:val="TableBodyText"/>
            </w:pPr>
            <w:r>
              <w:rPr>
                <w:b/>
              </w:rPr>
              <w:t>customXml</w:t>
            </w:r>
            <w:r>
              <w:t xml:space="preserve"> (§3.1.3.</w:t>
            </w:r>
            <w:r>
              <w:t xml:space="preserve">1.1, customXml); </w:t>
            </w:r>
            <w:r>
              <w:rPr>
                <w:b/>
              </w:rPr>
              <w:t>fldSimple</w:t>
            </w:r>
            <w:r>
              <w:t xml:space="preserve"> (§</w:t>
            </w:r>
            <w:hyperlink w:anchor="Section_34477fff355a497ea2bf4b9c3f80b093">
              <w:r>
                <w:rPr>
                  <w:rStyle w:val="Hyperlink"/>
                </w:rPr>
                <w:t>3.1.3.1.2, fldSimple</w:t>
              </w:r>
            </w:hyperlink>
            <w:r>
              <w:t xml:space="preserve">); </w:t>
            </w:r>
            <w:r>
              <w:rPr>
                <w:b/>
              </w:rPr>
              <w:t>hyperlink</w:t>
            </w:r>
            <w:r>
              <w:t xml:space="preserve"> (§</w:t>
            </w:r>
            <w:hyperlink w:anchor="Section_cc9e4bbd134f4d35b2c795fde8c633a7">
              <w:r>
                <w:rPr>
                  <w:rStyle w:val="Hyperlink"/>
                </w:rPr>
                <w:t>3.1.3.1.3, hyperlink</w:t>
              </w:r>
            </w:hyperlink>
            <w:r>
              <w:t xml:space="preserve">); </w:t>
            </w:r>
            <w:r>
              <w:rPr>
                <w:b/>
              </w:rPr>
              <w:t>rt</w:t>
            </w:r>
            <w:r>
              <w:t xml:space="preserve"> ("</w:t>
            </w:r>
            <w:hyperlink r:id="rId289">
              <w:r>
                <w:rPr>
                  <w:rStyle w:val="Hyperlink"/>
                </w:rPr>
                <w:t>[ISO/IEC-29500-1]</w:t>
              </w:r>
            </w:hyperlink>
            <w:r>
              <w:t xml:space="preserve"> §17.3.3.24"); </w:t>
            </w:r>
            <w:r>
              <w:rPr>
                <w:b/>
              </w:rPr>
              <w:t>rubyBase</w:t>
            </w:r>
            <w:r>
              <w:t xml:space="preserve"> ("[ISO/IEC-29500-1] §17.3.3.27"); </w:t>
            </w:r>
            <w:r>
              <w:rPr>
                <w:b/>
              </w:rPr>
              <w:t>sdtContent</w:t>
            </w:r>
            <w:r>
              <w:t xml:space="preserve"> (§</w:t>
            </w:r>
            <w:hyperlink w:anchor="Section_a3757e691f9b4322b17edee4d308d29e">
              <w:r>
                <w:rPr>
                  <w:rStyle w:val="Hyperlink"/>
                </w:rPr>
                <w:t>3.1.3.1.7, sdtContent</w:t>
              </w:r>
            </w:hyperlink>
            <w:r>
              <w:t>)</w:t>
            </w:r>
          </w:p>
        </w:tc>
      </w:tr>
    </w:tbl>
    <w:p w:rsidR="005F78FC" w:rsidRDefault="005F78FC"/>
    <w:p w:rsidR="005F78FC" w:rsidRDefault="005F78FC"/>
    <w:tbl>
      <w:tblPr>
        <w:tblStyle w:val="Table-ShadedHeader"/>
        <w:tblW w:w="0" w:type="auto"/>
        <w:tblLook w:val="04A0" w:firstRow="1" w:lastRow="0" w:firstColumn="1" w:lastColumn="0" w:noHBand="0" w:noVBand="1"/>
      </w:tblPr>
      <w:tblGrid>
        <w:gridCol w:w="6758"/>
        <w:gridCol w:w="2717"/>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Child Elements</w:t>
            </w:r>
          </w:p>
        </w:tc>
        <w:tc>
          <w:tcPr>
            <w:tcW w:w="0" w:type="auto"/>
            <w:vAlign w:val="center"/>
          </w:tcPr>
          <w:p w:rsidR="005F78FC" w:rsidRDefault="00B42EF3">
            <w:pPr>
              <w:pStyle w:val="TableHeaderText"/>
            </w:pPr>
            <w:r>
              <w:t>Subclause</w:t>
            </w:r>
          </w:p>
        </w:tc>
      </w:tr>
      <w:tr w:rsidR="005F78FC" w:rsidTr="005F78FC">
        <w:tc>
          <w:tcPr>
            <w:tcW w:w="0" w:type="auto"/>
            <w:vAlign w:val="center"/>
          </w:tcPr>
          <w:p w:rsidR="005F78FC" w:rsidRDefault="00B42EF3">
            <w:pPr>
              <w:pStyle w:val="TableBodyText"/>
            </w:pPr>
            <w:r>
              <w:rPr>
                <w:b/>
              </w:rPr>
              <w:t>acc</w:t>
            </w:r>
            <w:r>
              <w:t xml:space="preserve"> (Accent)</w:t>
            </w:r>
          </w:p>
        </w:tc>
        <w:tc>
          <w:tcPr>
            <w:tcW w:w="0" w:type="auto"/>
            <w:vAlign w:val="center"/>
          </w:tcPr>
          <w:p w:rsidR="005F78FC" w:rsidRDefault="00B42EF3">
            <w:pPr>
              <w:pStyle w:val="TableBodyText"/>
            </w:pPr>
            <w:r>
              <w:t>"</w:t>
            </w:r>
            <w:r>
              <w:t>[ISO/IEC-29500-1] §22.1.2.1"</w:t>
            </w:r>
          </w:p>
        </w:tc>
      </w:tr>
      <w:tr w:rsidR="005F78FC" w:rsidTr="005F78FC">
        <w:tc>
          <w:tcPr>
            <w:tcW w:w="0" w:type="auto"/>
            <w:vAlign w:val="center"/>
          </w:tcPr>
          <w:p w:rsidR="005F78FC" w:rsidRDefault="00B42EF3">
            <w:pPr>
              <w:pStyle w:val="TableBodyText"/>
            </w:pPr>
            <w:r>
              <w:rPr>
                <w:b/>
              </w:rPr>
              <w:t>bar</w:t>
            </w:r>
            <w:r>
              <w:t xml:space="preserve"> (Bar)</w:t>
            </w:r>
          </w:p>
        </w:tc>
        <w:tc>
          <w:tcPr>
            <w:tcW w:w="0" w:type="auto"/>
            <w:vAlign w:val="center"/>
          </w:tcPr>
          <w:p w:rsidR="005F78FC" w:rsidRDefault="00B42EF3">
            <w:pPr>
              <w:pStyle w:val="TableBodyText"/>
            </w:pPr>
            <w:r>
              <w:t>"[ISO/IEC-29500-1] §22.1.2.7"</w:t>
            </w:r>
          </w:p>
        </w:tc>
      </w:tr>
      <w:tr w:rsidR="005F78FC" w:rsidTr="005F78FC">
        <w:tc>
          <w:tcPr>
            <w:tcW w:w="0" w:type="auto"/>
            <w:vAlign w:val="center"/>
          </w:tcPr>
          <w:p w:rsidR="005F78FC" w:rsidRDefault="00B42EF3">
            <w:pPr>
              <w:pStyle w:val="TableBodyText"/>
            </w:pPr>
            <w:r>
              <w:rPr>
                <w:b/>
              </w:rPr>
              <w:t>bookmarkEnd</w:t>
            </w:r>
            <w:r>
              <w:t xml:space="preserve"> (Bookmark End)</w:t>
            </w:r>
          </w:p>
        </w:tc>
        <w:tc>
          <w:tcPr>
            <w:tcW w:w="0" w:type="auto"/>
            <w:vAlign w:val="center"/>
          </w:tcPr>
          <w:p w:rsidR="005F78FC" w:rsidRDefault="00B42EF3">
            <w:pPr>
              <w:pStyle w:val="TableBodyText"/>
            </w:pPr>
            <w:r>
              <w:t>"[ISO/IEC-29500-1] §17.13.6.1"</w:t>
            </w:r>
          </w:p>
        </w:tc>
      </w:tr>
      <w:tr w:rsidR="005F78FC" w:rsidTr="005F78FC">
        <w:tc>
          <w:tcPr>
            <w:tcW w:w="0" w:type="auto"/>
            <w:vAlign w:val="center"/>
          </w:tcPr>
          <w:p w:rsidR="005F78FC" w:rsidRDefault="00B42EF3">
            <w:pPr>
              <w:pStyle w:val="TableBodyText"/>
            </w:pPr>
            <w:r>
              <w:rPr>
                <w:b/>
              </w:rPr>
              <w:t>bookmarkStart</w:t>
            </w:r>
            <w:r>
              <w:t xml:space="preserve"> (Bookmark Start)</w:t>
            </w:r>
          </w:p>
        </w:tc>
        <w:tc>
          <w:tcPr>
            <w:tcW w:w="0" w:type="auto"/>
            <w:vAlign w:val="center"/>
          </w:tcPr>
          <w:p w:rsidR="005F78FC" w:rsidRDefault="00B42EF3">
            <w:pPr>
              <w:pStyle w:val="TableBodyText"/>
            </w:pPr>
            <w:r>
              <w:t>"[ISO/IEC-29500-1] §17.13.6.2"</w:t>
            </w:r>
          </w:p>
        </w:tc>
      </w:tr>
      <w:tr w:rsidR="005F78FC" w:rsidTr="005F78FC">
        <w:tc>
          <w:tcPr>
            <w:tcW w:w="0" w:type="auto"/>
            <w:vAlign w:val="center"/>
          </w:tcPr>
          <w:p w:rsidR="005F78FC" w:rsidRDefault="00B42EF3">
            <w:pPr>
              <w:pStyle w:val="TableBodyText"/>
            </w:pPr>
            <w:r>
              <w:rPr>
                <w:b/>
              </w:rPr>
              <w:t>borderBox</w:t>
            </w:r>
            <w:r>
              <w:t xml:space="preserve"> (Border-Box Object)</w:t>
            </w:r>
          </w:p>
        </w:tc>
        <w:tc>
          <w:tcPr>
            <w:tcW w:w="0" w:type="auto"/>
            <w:vAlign w:val="center"/>
          </w:tcPr>
          <w:p w:rsidR="005F78FC" w:rsidRDefault="00B42EF3">
            <w:pPr>
              <w:pStyle w:val="TableBodyText"/>
            </w:pPr>
            <w:r>
              <w:t>"[ISO/IEC-29500-1] §22.1.2.11"</w:t>
            </w:r>
          </w:p>
        </w:tc>
      </w:tr>
      <w:tr w:rsidR="005F78FC" w:rsidTr="005F78FC">
        <w:tc>
          <w:tcPr>
            <w:tcW w:w="0" w:type="auto"/>
            <w:vAlign w:val="center"/>
          </w:tcPr>
          <w:p w:rsidR="005F78FC" w:rsidRDefault="00B42EF3">
            <w:pPr>
              <w:pStyle w:val="TableBodyText"/>
            </w:pPr>
            <w:r>
              <w:rPr>
                <w:b/>
              </w:rPr>
              <w:t>b</w:t>
            </w:r>
            <w:r>
              <w:rPr>
                <w:b/>
              </w:rPr>
              <w:t>ox</w:t>
            </w:r>
            <w:r>
              <w:t xml:space="preserve"> (Box Object)</w:t>
            </w:r>
          </w:p>
        </w:tc>
        <w:tc>
          <w:tcPr>
            <w:tcW w:w="0" w:type="auto"/>
            <w:vAlign w:val="center"/>
          </w:tcPr>
          <w:p w:rsidR="005F78FC" w:rsidRDefault="00B42EF3">
            <w:pPr>
              <w:pStyle w:val="TableBodyText"/>
            </w:pPr>
            <w:r>
              <w:t>"[ISO/IEC-29500-1] §22.1.2.13"</w:t>
            </w:r>
          </w:p>
        </w:tc>
      </w:tr>
      <w:tr w:rsidR="005F78FC" w:rsidTr="005F78FC">
        <w:tc>
          <w:tcPr>
            <w:tcW w:w="0" w:type="auto"/>
            <w:vAlign w:val="center"/>
          </w:tcPr>
          <w:p w:rsidR="005F78FC" w:rsidRDefault="00B42EF3">
            <w:pPr>
              <w:pStyle w:val="TableBodyText"/>
            </w:pPr>
            <w:r>
              <w:rPr>
                <w:b/>
              </w:rPr>
              <w:lastRenderedPageBreak/>
              <w:t>commentRangeEnd</w:t>
            </w:r>
            <w:r>
              <w:t xml:space="preserve"> (Comment Anchor Range End)</w:t>
            </w:r>
          </w:p>
        </w:tc>
        <w:tc>
          <w:tcPr>
            <w:tcW w:w="0" w:type="auto"/>
            <w:vAlign w:val="center"/>
          </w:tcPr>
          <w:p w:rsidR="005F78FC" w:rsidRDefault="00B42EF3">
            <w:pPr>
              <w:pStyle w:val="TableBodyText"/>
            </w:pPr>
            <w:r>
              <w:t>"[ISO/IEC-29500-1] §17.13.4.3"</w:t>
            </w:r>
          </w:p>
        </w:tc>
      </w:tr>
      <w:tr w:rsidR="005F78FC" w:rsidTr="005F78FC">
        <w:tc>
          <w:tcPr>
            <w:tcW w:w="0" w:type="auto"/>
            <w:vAlign w:val="center"/>
          </w:tcPr>
          <w:p w:rsidR="005F78FC" w:rsidRDefault="00B42EF3">
            <w:pPr>
              <w:pStyle w:val="TableBodyText"/>
            </w:pPr>
            <w:r>
              <w:rPr>
                <w:b/>
              </w:rPr>
              <w:t>commentRangeStart</w:t>
            </w:r>
            <w:r>
              <w:t xml:space="preserve"> (Comment Anchor Range Start)</w:t>
            </w:r>
          </w:p>
        </w:tc>
        <w:tc>
          <w:tcPr>
            <w:tcW w:w="0" w:type="auto"/>
            <w:vAlign w:val="center"/>
          </w:tcPr>
          <w:p w:rsidR="005F78FC" w:rsidRDefault="00B42EF3">
            <w:pPr>
              <w:pStyle w:val="TableBodyText"/>
            </w:pPr>
            <w:r>
              <w:t>"[ISO/IEC-29500-1] §17.13.4.4"</w:t>
            </w:r>
          </w:p>
        </w:tc>
      </w:tr>
      <w:tr w:rsidR="005F78FC" w:rsidTr="005F78FC">
        <w:tc>
          <w:tcPr>
            <w:tcW w:w="0" w:type="auto"/>
            <w:vAlign w:val="center"/>
          </w:tcPr>
          <w:p w:rsidR="005F78FC" w:rsidRDefault="00B42EF3">
            <w:pPr>
              <w:pStyle w:val="TableBodyText"/>
            </w:pPr>
            <w:r>
              <w:rPr>
                <w:b/>
              </w:rPr>
              <w:t>customXml</w:t>
            </w:r>
            <w:r>
              <w:t xml:space="preserve"> (Ruby Inline-Level Custom XML Element)</w:t>
            </w:r>
          </w:p>
        </w:tc>
        <w:tc>
          <w:tcPr>
            <w:tcW w:w="0" w:type="auto"/>
            <w:vAlign w:val="center"/>
          </w:tcPr>
          <w:p w:rsidR="005F78FC" w:rsidRDefault="00B42EF3">
            <w:pPr>
              <w:pStyle w:val="TableBodyText"/>
            </w:pPr>
            <w:r>
              <w:t>§</w:t>
            </w:r>
            <w:r>
              <w:t>3.1.3.1.1, customXml</w:t>
            </w:r>
          </w:p>
        </w:tc>
      </w:tr>
      <w:tr w:rsidR="005F78FC" w:rsidTr="005F78FC">
        <w:tc>
          <w:tcPr>
            <w:tcW w:w="0" w:type="auto"/>
            <w:vAlign w:val="center"/>
          </w:tcPr>
          <w:p w:rsidR="005F78FC" w:rsidRDefault="00B42EF3">
            <w:pPr>
              <w:pStyle w:val="TableBodyText"/>
            </w:pPr>
            <w:r>
              <w:rPr>
                <w:b/>
              </w:rPr>
              <w:t>customXmlDelRangeEnd</w:t>
            </w:r>
            <w:r>
              <w:t xml:space="preserve"> (Custom XML Markup Deletion End)</w:t>
            </w:r>
          </w:p>
        </w:tc>
        <w:tc>
          <w:tcPr>
            <w:tcW w:w="0" w:type="auto"/>
            <w:vAlign w:val="center"/>
          </w:tcPr>
          <w:p w:rsidR="005F78FC" w:rsidRDefault="00B42EF3">
            <w:pPr>
              <w:pStyle w:val="TableBodyText"/>
            </w:pPr>
            <w:r>
              <w:t>"[ISO/IEC-29500-1] §17.13.5.4"</w:t>
            </w:r>
          </w:p>
        </w:tc>
      </w:tr>
      <w:tr w:rsidR="005F78FC" w:rsidTr="005F78FC">
        <w:tc>
          <w:tcPr>
            <w:tcW w:w="0" w:type="auto"/>
            <w:vAlign w:val="center"/>
          </w:tcPr>
          <w:p w:rsidR="005F78FC" w:rsidRDefault="00B42EF3">
            <w:pPr>
              <w:pStyle w:val="TableBodyText"/>
            </w:pPr>
            <w:r>
              <w:rPr>
                <w:b/>
              </w:rPr>
              <w:t>customXmlDelRangeStart</w:t>
            </w:r>
            <w:r>
              <w:t xml:space="preserve"> (Custom XML Markup Deletion Start)</w:t>
            </w:r>
          </w:p>
        </w:tc>
        <w:tc>
          <w:tcPr>
            <w:tcW w:w="0" w:type="auto"/>
            <w:vAlign w:val="center"/>
          </w:tcPr>
          <w:p w:rsidR="005F78FC" w:rsidRDefault="00B42EF3">
            <w:pPr>
              <w:pStyle w:val="TableBodyText"/>
            </w:pPr>
            <w:r>
              <w:t>"[ISO/IEC-29500-1] §17.13.5.5"</w:t>
            </w:r>
          </w:p>
        </w:tc>
      </w:tr>
      <w:tr w:rsidR="005F78FC" w:rsidTr="005F78FC">
        <w:tc>
          <w:tcPr>
            <w:tcW w:w="0" w:type="auto"/>
            <w:vAlign w:val="center"/>
          </w:tcPr>
          <w:p w:rsidR="005F78FC" w:rsidRDefault="00B42EF3">
            <w:pPr>
              <w:pStyle w:val="TableBodyText"/>
            </w:pPr>
            <w:r>
              <w:rPr>
                <w:b/>
              </w:rPr>
              <w:t>customXmlInsRangeEnd</w:t>
            </w:r>
            <w:r>
              <w:t xml:space="preserve"> (Custom XML Markup Insertion End)</w:t>
            </w:r>
          </w:p>
        </w:tc>
        <w:tc>
          <w:tcPr>
            <w:tcW w:w="0" w:type="auto"/>
            <w:vAlign w:val="center"/>
          </w:tcPr>
          <w:p w:rsidR="005F78FC" w:rsidRDefault="00B42EF3">
            <w:pPr>
              <w:pStyle w:val="TableBodyText"/>
            </w:pPr>
            <w:r>
              <w:t>"[I</w:t>
            </w:r>
            <w:r>
              <w:t>SO/IEC-29500-1] §17.13.5.6"</w:t>
            </w:r>
          </w:p>
        </w:tc>
      </w:tr>
      <w:tr w:rsidR="005F78FC" w:rsidTr="005F78FC">
        <w:tc>
          <w:tcPr>
            <w:tcW w:w="0" w:type="auto"/>
            <w:vAlign w:val="center"/>
          </w:tcPr>
          <w:p w:rsidR="005F78FC" w:rsidRDefault="00B42EF3">
            <w:pPr>
              <w:pStyle w:val="TableBodyText"/>
            </w:pPr>
            <w:r>
              <w:rPr>
                <w:b/>
              </w:rPr>
              <w:t>customXmlInsRangeStart</w:t>
            </w:r>
            <w:r>
              <w:t xml:space="preserve"> (Custom XML Markup Insertion Start)</w:t>
            </w:r>
          </w:p>
        </w:tc>
        <w:tc>
          <w:tcPr>
            <w:tcW w:w="0" w:type="auto"/>
            <w:vAlign w:val="center"/>
          </w:tcPr>
          <w:p w:rsidR="005F78FC" w:rsidRDefault="00B42EF3">
            <w:pPr>
              <w:pStyle w:val="TableBodyText"/>
            </w:pPr>
            <w:r>
              <w:t>"[ISO/IEC-29500-1] §17.13.5.7"</w:t>
            </w:r>
          </w:p>
        </w:tc>
      </w:tr>
      <w:tr w:rsidR="005F78FC" w:rsidTr="005F78FC">
        <w:tc>
          <w:tcPr>
            <w:tcW w:w="0" w:type="auto"/>
            <w:vAlign w:val="center"/>
          </w:tcPr>
          <w:p w:rsidR="005F78FC" w:rsidRDefault="00B42EF3">
            <w:pPr>
              <w:pStyle w:val="TableBodyText"/>
            </w:pPr>
            <w:r>
              <w:rPr>
                <w:b/>
              </w:rPr>
              <w:t>customXmlMoveFromRangeEnd</w:t>
            </w:r>
            <w:r>
              <w:t xml:space="preserve"> (Custom XML Markup Move Source End)</w:t>
            </w:r>
          </w:p>
        </w:tc>
        <w:tc>
          <w:tcPr>
            <w:tcW w:w="0" w:type="auto"/>
            <w:vAlign w:val="center"/>
          </w:tcPr>
          <w:p w:rsidR="005F78FC" w:rsidRDefault="00B42EF3">
            <w:pPr>
              <w:pStyle w:val="TableBodyText"/>
            </w:pPr>
            <w:r>
              <w:t>"[ISO/IEC-29500-1] §17.13.5.8"</w:t>
            </w:r>
          </w:p>
        </w:tc>
      </w:tr>
      <w:tr w:rsidR="005F78FC" w:rsidTr="005F78FC">
        <w:tc>
          <w:tcPr>
            <w:tcW w:w="0" w:type="auto"/>
            <w:vAlign w:val="center"/>
          </w:tcPr>
          <w:p w:rsidR="005F78FC" w:rsidRDefault="00B42EF3">
            <w:pPr>
              <w:pStyle w:val="TableBodyText"/>
            </w:pPr>
            <w:r>
              <w:rPr>
                <w:b/>
              </w:rPr>
              <w:t>customXmlMoveFromRangeStart</w:t>
            </w:r>
            <w:r>
              <w:t xml:space="preserve"> (Custom XML Ma</w:t>
            </w:r>
            <w:r>
              <w:t>rkup Move Source Start)</w:t>
            </w:r>
          </w:p>
        </w:tc>
        <w:tc>
          <w:tcPr>
            <w:tcW w:w="0" w:type="auto"/>
            <w:vAlign w:val="center"/>
          </w:tcPr>
          <w:p w:rsidR="005F78FC" w:rsidRDefault="00B42EF3">
            <w:pPr>
              <w:pStyle w:val="TableBodyText"/>
            </w:pPr>
            <w:r>
              <w:t>"[ISO/IEC-29500-1] §17.13.5.9"</w:t>
            </w:r>
          </w:p>
        </w:tc>
      </w:tr>
      <w:tr w:rsidR="005F78FC" w:rsidTr="005F78FC">
        <w:tc>
          <w:tcPr>
            <w:tcW w:w="0" w:type="auto"/>
            <w:vAlign w:val="center"/>
          </w:tcPr>
          <w:p w:rsidR="005F78FC" w:rsidRDefault="00B42EF3">
            <w:pPr>
              <w:pStyle w:val="TableBodyText"/>
            </w:pPr>
            <w:r>
              <w:rPr>
                <w:b/>
              </w:rPr>
              <w:t>customXmlMoveToRangeEnd</w:t>
            </w:r>
            <w:r>
              <w:t xml:space="preserve"> (Custom XML Markup Move Destination Location End)</w:t>
            </w:r>
          </w:p>
        </w:tc>
        <w:tc>
          <w:tcPr>
            <w:tcW w:w="0" w:type="auto"/>
            <w:vAlign w:val="center"/>
          </w:tcPr>
          <w:p w:rsidR="005F78FC" w:rsidRDefault="00B42EF3">
            <w:pPr>
              <w:pStyle w:val="TableBodyText"/>
            </w:pPr>
            <w:r>
              <w:t>"[ISO/IEC-29500-1] §17.13.5.10"</w:t>
            </w:r>
          </w:p>
        </w:tc>
      </w:tr>
      <w:tr w:rsidR="005F78FC" w:rsidTr="005F78FC">
        <w:tc>
          <w:tcPr>
            <w:tcW w:w="0" w:type="auto"/>
            <w:vAlign w:val="center"/>
          </w:tcPr>
          <w:p w:rsidR="005F78FC" w:rsidRDefault="00B42EF3">
            <w:pPr>
              <w:pStyle w:val="TableBodyText"/>
            </w:pPr>
            <w:r>
              <w:rPr>
                <w:b/>
              </w:rPr>
              <w:t>customXmlMoveToRangeStart</w:t>
            </w:r>
            <w:r>
              <w:t xml:space="preserve"> (Custom XML Markup Move Destination Location Start)</w:t>
            </w:r>
          </w:p>
        </w:tc>
        <w:tc>
          <w:tcPr>
            <w:tcW w:w="0" w:type="auto"/>
            <w:vAlign w:val="center"/>
          </w:tcPr>
          <w:p w:rsidR="005F78FC" w:rsidRDefault="00B42EF3">
            <w:pPr>
              <w:pStyle w:val="TableBodyText"/>
            </w:pPr>
            <w:r>
              <w:t>"</w:t>
            </w:r>
            <w:r>
              <w:t>[ISO/IEC-29500-1] §17.13.5.11"</w:t>
            </w:r>
          </w:p>
        </w:tc>
      </w:tr>
      <w:tr w:rsidR="005F78FC" w:rsidTr="005F78FC">
        <w:tc>
          <w:tcPr>
            <w:tcW w:w="0" w:type="auto"/>
            <w:vAlign w:val="center"/>
          </w:tcPr>
          <w:p w:rsidR="005F78FC" w:rsidRDefault="00B42EF3">
            <w:pPr>
              <w:pStyle w:val="TableBodyText"/>
            </w:pPr>
            <w:r>
              <w:rPr>
                <w:b/>
              </w:rPr>
              <w:t>customXmlPr</w:t>
            </w:r>
            <w:r>
              <w:t xml:space="preserve"> (Custom XML Element Properties)</w:t>
            </w:r>
          </w:p>
        </w:tc>
        <w:tc>
          <w:tcPr>
            <w:tcW w:w="0" w:type="auto"/>
            <w:vAlign w:val="center"/>
          </w:tcPr>
          <w:p w:rsidR="005F78FC" w:rsidRDefault="00B42EF3">
            <w:pPr>
              <w:pStyle w:val="TableBodyText"/>
            </w:pPr>
            <w:r>
              <w:t>"[ISO/IEC-29500-1] §17.5.1.7"</w:t>
            </w:r>
          </w:p>
        </w:tc>
      </w:tr>
      <w:tr w:rsidR="005F78FC" w:rsidTr="005F78FC">
        <w:tc>
          <w:tcPr>
            <w:tcW w:w="0" w:type="auto"/>
            <w:vAlign w:val="center"/>
          </w:tcPr>
          <w:p w:rsidR="005F78FC" w:rsidRDefault="00B42EF3">
            <w:pPr>
              <w:pStyle w:val="TableBodyText"/>
            </w:pPr>
            <w:r>
              <w:rPr>
                <w:b/>
              </w:rPr>
              <w:t>d</w:t>
            </w:r>
            <w:r>
              <w:t xml:space="preserve"> (Delimiter Object)</w:t>
            </w:r>
          </w:p>
        </w:tc>
        <w:tc>
          <w:tcPr>
            <w:tcW w:w="0" w:type="auto"/>
            <w:vAlign w:val="center"/>
          </w:tcPr>
          <w:p w:rsidR="005F78FC" w:rsidRDefault="00B42EF3">
            <w:pPr>
              <w:pStyle w:val="TableBodyText"/>
            </w:pPr>
            <w:r>
              <w:t>"[ISO/IEC-29500-1] §22.1.2.24"</w:t>
            </w:r>
          </w:p>
        </w:tc>
      </w:tr>
      <w:tr w:rsidR="005F78FC" w:rsidTr="005F78FC">
        <w:tc>
          <w:tcPr>
            <w:tcW w:w="0" w:type="auto"/>
            <w:vAlign w:val="center"/>
          </w:tcPr>
          <w:p w:rsidR="005F78FC" w:rsidRDefault="00B42EF3">
            <w:pPr>
              <w:pStyle w:val="TableBodyText"/>
            </w:pPr>
            <w:r>
              <w:rPr>
                <w:b/>
              </w:rPr>
              <w:t>del</w:t>
            </w:r>
            <w:r>
              <w:t xml:space="preserve"> (Deleted Run Content)</w:t>
            </w:r>
          </w:p>
        </w:tc>
        <w:tc>
          <w:tcPr>
            <w:tcW w:w="0" w:type="auto"/>
            <w:vAlign w:val="center"/>
          </w:tcPr>
          <w:p w:rsidR="005F78FC" w:rsidRDefault="00B42EF3">
            <w:pPr>
              <w:pStyle w:val="TableBodyText"/>
            </w:pPr>
            <w:r>
              <w:t>"[ISO/IEC-29500-1] §17.13.5.14"</w:t>
            </w:r>
          </w:p>
        </w:tc>
      </w:tr>
      <w:tr w:rsidR="005F78FC" w:rsidTr="005F78FC">
        <w:tc>
          <w:tcPr>
            <w:tcW w:w="0" w:type="auto"/>
            <w:vAlign w:val="center"/>
          </w:tcPr>
          <w:p w:rsidR="005F78FC" w:rsidRDefault="00B42EF3">
            <w:pPr>
              <w:pStyle w:val="TableBodyText"/>
            </w:pPr>
            <w:r>
              <w:rPr>
                <w:b/>
              </w:rPr>
              <w:t>eqArr</w:t>
            </w:r>
            <w:r>
              <w:t xml:space="preserve"> (Array Object)</w:t>
            </w:r>
          </w:p>
        </w:tc>
        <w:tc>
          <w:tcPr>
            <w:tcW w:w="0" w:type="auto"/>
            <w:vAlign w:val="center"/>
          </w:tcPr>
          <w:p w:rsidR="005F78FC" w:rsidRDefault="00B42EF3">
            <w:pPr>
              <w:pStyle w:val="TableBodyText"/>
            </w:pPr>
            <w:r>
              <w:t>"[ISO/IEC-29500-</w:t>
            </w:r>
            <w:r>
              <w:t>1] §22.1.2.34"</w:t>
            </w:r>
          </w:p>
        </w:tc>
      </w:tr>
      <w:tr w:rsidR="005F78FC" w:rsidTr="005F78FC">
        <w:tc>
          <w:tcPr>
            <w:tcW w:w="0" w:type="auto"/>
            <w:vAlign w:val="center"/>
          </w:tcPr>
          <w:p w:rsidR="005F78FC" w:rsidRDefault="00B42EF3">
            <w:pPr>
              <w:pStyle w:val="TableBodyText"/>
            </w:pPr>
            <w:r>
              <w:rPr>
                <w:b/>
              </w:rPr>
              <w:t>f</w:t>
            </w:r>
            <w:r>
              <w:t xml:space="preserve"> (Fraction Object)</w:t>
            </w:r>
          </w:p>
        </w:tc>
        <w:tc>
          <w:tcPr>
            <w:tcW w:w="0" w:type="auto"/>
            <w:vAlign w:val="center"/>
          </w:tcPr>
          <w:p w:rsidR="005F78FC" w:rsidRDefault="00B42EF3">
            <w:pPr>
              <w:pStyle w:val="TableBodyText"/>
            </w:pPr>
            <w:r>
              <w:t>"[ISO/IEC-29500-1] §22.1.2.36"</w:t>
            </w:r>
          </w:p>
        </w:tc>
      </w:tr>
      <w:tr w:rsidR="005F78FC" w:rsidTr="005F78FC">
        <w:tc>
          <w:tcPr>
            <w:tcW w:w="0" w:type="auto"/>
            <w:vAlign w:val="center"/>
          </w:tcPr>
          <w:p w:rsidR="005F78FC" w:rsidRDefault="00B42EF3">
            <w:pPr>
              <w:pStyle w:val="TableBodyText"/>
            </w:pPr>
            <w:r>
              <w:rPr>
                <w:b/>
              </w:rPr>
              <w:t>fldSimple</w:t>
            </w:r>
            <w:r>
              <w:t xml:space="preserve"> (Ruby Simple Field)</w:t>
            </w:r>
          </w:p>
        </w:tc>
        <w:tc>
          <w:tcPr>
            <w:tcW w:w="0" w:type="auto"/>
            <w:vAlign w:val="center"/>
          </w:tcPr>
          <w:p w:rsidR="005F78FC" w:rsidRDefault="00B42EF3">
            <w:pPr>
              <w:pStyle w:val="TableBodyText"/>
            </w:pPr>
            <w:r>
              <w:t>§3.1.3.1.2, fldSimple</w:t>
            </w:r>
          </w:p>
        </w:tc>
      </w:tr>
      <w:tr w:rsidR="005F78FC" w:rsidTr="005F78FC">
        <w:tc>
          <w:tcPr>
            <w:tcW w:w="0" w:type="auto"/>
            <w:vAlign w:val="center"/>
          </w:tcPr>
          <w:p w:rsidR="005F78FC" w:rsidRDefault="00B42EF3">
            <w:pPr>
              <w:pStyle w:val="TableBodyText"/>
            </w:pPr>
            <w:r>
              <w:rPr>
                <w:b/>
              </w:rPr>
              <w:t>func</w:t>
            </w:r>
            <w:r>
              <w:t xml:space="preserve"> (Function Apply Object)</w:t>
            </w:r>
          </w:p>
        </w:tc>
        <w:tc>
          <w:tcPr>
            <w:tcW w:w="0" w:type="auto"/>
            <w:vAlign w:val="center"/>
          </w:tcPr>
          <w:p w:rsidR="005F78FC" w:rsidRDefault="00B42EF3">
            <w:pPr>
              <w:pStyle w:val="TableBodyText"/>
            </w:pPr>
            <w:r>
              <w:t>"[ISO/IEC-29500-1] §22.1.2.39"</w:t>
            </w:r>
          </w:p>
        </w:tc>
      </w:tr>
      <w:tr w:rsidR="005F78FC" w:rsidTr="005F78FC">
        <w:tc>
          <w:tcPr>
            <w:tcW w:w="0" w:type="auto"/>
            <w:vAlign w:val="center"/>
          </w:tcPr>
          <w:p w:rsidR="005F78FC" w:rsidRDefault="00B42EF3">
            <w:pPr>
              <w:pStyle w:val="TableBodyText"/>
            </w:pPr>
            <w:r>
              <w:rPr>
                <w:b/>
              </w:rPr>
              <w:t>groupChr</w:t>
            </w:r>
            <w:r>
              <w:t xml:space="preserve"> (Group-Character Object)</w:t>
            </w:r>
          </w:p>
        </w:tc>
        <w:tc>
          <w:tcPr>
            <w:tcW w:w="0" w:type="auto"/>
            <w:vAlign w:val="center"/>
          </w:tcPr>
          <w:p w:rsidR="005F78FC" w:rsidRDefault="00B42EF3">
            <w:pPr>
              <w:pStyle w:val="TableBodyText"/>
            </w:pPr>
            <w:r>
              <w:t>"[ISO/IEC-29500-1] §22.1.2.41"</w:t>
            </w:r>
          </w:p>
        </w:tc>
      </w:tr>
      <w:tr w:rsidR="005F78FC" w:rsidTr="005F78FC">
        <w:tc>
          <w:tcPr>
            <w:tcW w:w="0" w:type="auto"/>
            <w:vAlign w:val="center"/>
          </w:tcPr>
          <w:p w:rsidR="005F78FC" w:rsidRDefault="00B42EF3">
            <w:pPr>
              <w:pStyle w:val="TableBodyText"/>
            </w:pPr>
            <w:r>
              <w:rPr>
                <w:b/>
              </w:rPr>
              <w:t>hyperlink</w:t>
            </w:r>
            <w:r>
              <w:t xml:space="preserve"> (Ruby Hyperlink)</w:t>
            </w:r>
          </w:p>
        </w:tc>
        <w:tc>
          <w:tcPr>
            <w:tcW w:w="0" w:type="auto"/>
            <w:vAlign w:val="center"/>
          </w:tcPr>
          <w:p w:rsidR="005F78FC" w:rsidRDefault="00B42EF3">
            <w:pPr>
              <w:pStyle w:val="TableBodyText"/>
            </w:pPr>
            <w:r>
              <w:t>§3.1.3.1.3, hyperlink</w:t>
            </w:r>
          </w:p>
        </w:tc>
      </w:tr>
      <w:tr w:rsidR="005F78FC" w:rsidTr="005F78FC">
        <w:tc>
          <w:tcPr>
            <w:tcW w:w="0" w:type="auto"/>
            <w:vAlign w:val="center"/>
          </w:tcPr>
          <w:p w:rsidR="005F78FC" w:rsidRDefault="00B42EF3">
            <w:pPr>
              <w:pStyle w:val="TableBodyText"/>
            </w:pPr>
            <w:r>
              <w:rPr>
                <w:b/>
              </w:rPr>
              <w:t>ins</w:t>
            </w:r>
            <w:r>
              <w:t xml:space="preserve"> (Inserted Run Content)</w:t>
            </w:r>
          </w:p>
        </w:tc>
        <w:tc>
          <w:tcPr>
            <w:tcW w:w="0" w:type="auto"/>
            <w:vAlign w:val="center"/>
          </w:tcPr>
          <w:p w:rsidR="005F78FC" w:rsidRDefault="00B42EF3">
            <w:pPr>
              <w:pStyle w:val="TableBodyText"/>
            </w:pPr>
            <w:r>
              <w:t>"[ISO/IEC-29500-1] §17.13.5.18"</w:t>
            </w:r>
          </w:p>
        </w:tc>
      </w:tr>
      <w:tr w:rsidR="005F78FC" w:rsidTr="005F78FC">
        <w:tc>
          <w:tcPr>
            <w:tcW w:w="0" w:type="auto"/>
            <w:vAlign w:val="center"/>
          </w:tcPr>
          <w:p w:rsidR="005F78FC" w:rsidRDefault="00B42EF3">
            <w:pPr>
              <w:pStyle w:val="TableBodyText"/>
            </w:pPr>
            <w:r>
              <w:rPr>
                <w:b/>
              </w:rPr>
              <w:t>limLow</w:t>
            </w:r>
            <w:r>
              <w:t xml:space="preserve"> (Lower-Limit Object)</w:t>
            </w:r>
          </w:p>
        </w:tc>
        <w:tc>
          <w:tcPr>
            <w:tcW w:w="0" w:type="auto"/>
            <w:vAlign w:val="center"/>
          </w:tcPr>
          <w:p w:rsidR="005F78FC" w:rsidRDefault="00B42EF3">
            <w:pPr>
              <w:pStyle w:val="TableBodyText"/>
            </w:pPr>
            <w:r>
              <w:t>"[ISO/IEC-29500-1] §22.1.2.54"</w:t>
            </w:r>
          </w:p>
        </w:tc>
      </w:tr>
      <w:tr w:rsidR="005F78FC" w:rsidTr="005F78FC">
        <w:tc>
          <w:tcPr>
            <w:tcW w:w="0" w:type="auto"/>
            <w:vAlign w:val="center"/>
          </w:tcPr>
          <w:p w:rsidR="005F78FC" w:rsidRDefault="00B42EF3">
            <w:pPr>
              <w:pStyle w:val="TableBodyText"/>
            </w:pPr>
            <w:r>
              <w:rPr>
                <w:b/>
              </w:rPr>
              <w:lastRenderedPageBreak/>
              <w:t>limUpp</w:t>
            </w:r>
            <w:r>
              <w:t xml:space="preserve"> (Upper-Limit Object)</w:t>
            </w:r>
          </w:p>
        </w:tc>
        <w:tc>
          <w:tcPr>
            <w:tcW w:w="0" w:type="auto"/>
            <w:vAlign w:val="center"/>
          </w:tcPr>
          <w:p w:rsidR="005F78FC" w:rsidRDefault="00B42EF3">
            <w:pPr>
              <w:pStyle w:val="TableBodyText"/>
            </w:pPr>
            <w:r>
              <w:t>"[ISO/IEC-29500-1] §22.1.2.56"</w:t>
            </w:r>
          </w:p>
        </w:tc>
      </w:tr>
      <w:tr w:rsidR="005F78FC" w:rsidTr="005F78FC">
        <w:tc>
          <w:tcPr>
            <w:tcW w:w="0" w:type="auto"/>
            <w:vAlign w:val="center"/>
          </w:tcPr>
          <w:p w:rsidR="005F78FC" w:rsidRDefault="00B42EF3">
            <w:pPr>
              <w:pStyle w:val="TableBodyText"/>
            </w:pPr>
            <w:r>
              <w:rPr>
                <w:b/>
              </w:rPr>
              <w:t>m</w:t>
            </w:r>
            <w:r>
              <w:t xml:space="preserve"> (Matrix Object)</w:t>
            </w:r>
          </w:p>
        </w:tc>
        <w:tc>
          <w:tcPr>
            <w:tcW w:w="0" w:type="auto"/>
            <w:vAlign w:val="center"/>
          </w:tcPr>
          <w:p w:rsidR="005F78FC" w:rsidRDefault="00B42EF3">
            <w:pPr>
              <w:pStyle w:val="TableBodyText"/>
            </w:pPr>
            <w:r>
              <w:t>"</w:t>
            </w:r>
            <w:r>
              <w:t>[ISO/IEC-29500-1] §22.1.2.60"</w:t>
            </w:r>
          </w:p>
        </w:tc>
      </w:tr>
      <w:tr w:rsidR="005F78FC" w:rsidTr="005F78FC">
        <w:tc>
          <w:tcPr>
            <w:tcW w:w="0" w:type="auto"/>
            <w:vAlign w:val="center"/>
          </w:tcPr>
          <w:p w:rsidR="005F78FC" w:rsidRDefault="00B42EF3">
            <w:pPr>
              <w:pStyle w:val="TableBodyText"/>
            </w:pPr>
            <w:r>
              <w:rPr>
                <w:b/>
              </w:rPr>
              <w:t>moveFrom</w:t>
            </w:r>
            <w:r>
              <w:t xml:space="preserve"> (Move Source Run Content)</w:t>
            </w:r>
          </w:p>
        </w:tc>
        <w:tc>
          <w:tcPr>
            <w:tcW w:w="0" w:type="auto"/>
            <w:vAlign w:val="center"/>
          </w:tcPr>
          <w:p w:rsidR="005F78FC" w:rsidRDefault="00B42EF3">
            <w:pPr>
              <w:pStyle w:val="TableBodyText"/>
            </w:pPr>
            <w:r>
              <w:t>"[ISO/IEC-29500-1] §17.13.5.22"</w:t>
            </w:r>
          </w:p>
        </w:tc>
      </w:tr>
      <w:tr w:rsidR="005F78FC" w:rsidTr="005F78FC">
        <w:tc>
          <w:tcPr>
            <w:tcW w:w="0" w:type="auto"/>
            <w:vAlign w:val="center"/>
          </w:tcPr>
          <w:p w:rsidR="005F78FC" w:rsidRDefault="00B42EF3">
            <w:pPr>
              <w:pStyle w:val="TableBodyText"/>
            </w:pPr>
            <w:r>
              <w:rPr>
                <w:b/>
              </w:rPr>
              <w:t>moveFromRangeEnd</w:t>
            </w:r>
            <w:r>
              <w:t xml:space="preserve"> (Move Source Location Container - End)</w:t>
            </w:r>
          </w:p>
        </w:tc>
        <w:tc>
          <w:tcPr>
            <w:tcW w:w="0" w:type="auto"/>
            <w:vAlign w:val="center"/>
          </w:tcPr>
          <w:p w:rsidR="005F78FC" w:rsidRDefault="00B42EF3">
            <w:pPr>
              <w:pStyle w:val="TableBodyText"/>
            </w:pPr>
            <w:r>
              <w:t>"[ISO/IEC-29500-1] §17.13.5.23"</w:t>
            </w:r>
          </w:p>
        </w:tc>
      </w:tr>
      <w:tr w:rsidR="005F78FC" w:rsidTr="005F78FC">
        <w:tc>
          <w:tcPr>
            <w:tcW w:w="0" w:type="auto"/>
            <w:vAlign w:val="center"/>
          </w:tcPr>
          <w:p w:rsidR="005F78FC" w:rsidRDefault="00B42EF3">
            <w:pPr>
              <w:pStyle w:val="TableBodyText"/>
            </w:pPr>
            <w:r>
              <w:rPr>
                <w:b/>
              </w:rPr>
              <w:t>moveFromRangeStart</w:t>
            </w:r>
            <w:r>
              <w:t xml:space="preserve"> (Move Source Location Container - Start)</w:t>
            </w:r>
          </w:p>
        </w:tc>
        <w:tc>
          <w:tcPr>
            <w:tcW w:w="0" w:type="auto"/>
            <w:vAlign w:val="center"/>
          </w:tcPr>
          <w:p w:rsidR="005F78FC" w:rsidRDefault="00B42EF3">
            <w:pPr>
              <w:pStyle w:val="TableBodyText"/>
            </w:pPr>
            <w:r>
              <w:t>"</w:t>
            </w:r>
            <w:r>
              <w:t>[ISO/IEC-29500-1] §17.13.5.24"</w:t>
            </w:r>
          </w:p>
        </w:tc>
      </w:tr>
      <w:tr w:rsidR="005F78FC" w:rsidTr="005F78FC">
        <w:tc>
          <w:tcPr>
            <w:tcW w:w="0" w:type="auto"/>
            <w:vAlign w:val="center"/>
          </w:tcPr>
          <w:p w:rsidR="005F78FC" w:rsidRDefault="00B42EF3">
            <w:pPr>
              <w:pStyle w:val="TableBodyText"/>
            </w:pPr>
            <w:r>
              <w:rPr>
                <w:b/>
              </w:rPr>
              <w:t>moveTo</w:t>
            </w:r>
            <w:r>
              <w:t xml:space="preserve"> (Move Destination Run Content)</w:t>
            </w:r>
          </w:p>
        </w:tc>
        <w:tc>
          <w:tcPr>
            <w:tcW w:w="0" w:type="auto"/>
            <w:vAlign w:val="center"/>
          </w:tcPr>
          <w:p w:rsidR="005F78FC" w:rsidRDefault="00B42EF3">
            <w:pPr>
              <w:pStyle w:val="TableBodyText"/>
            </w:pPr>
            <w:r>
              <w:t>"[ISO/IEC-29500-1] §17.13.5.25"</w:t>
            </w:r>
          </w:p>
        </w:tc>
      </w:tr>
      <w:tr w:rsidR="005F78FC" w:rsidTr="005F78FC">
        <w:tc>
          <w:tcPr>
            <w:tcW w:w="0" w:type="auto"/>
            <w:vAlign w:val="center"/>
          </w:tcPr>
          <w:p w:rsidR="005F78FC" w:rsidRDefault="00B42EF3">
            <w:pPr>
              <w:pStyle w:val="TableBodyText"/>
            </w:pPr>
            <w:r>
              <w:rPr>
                <w:b/>
              </w:rPr>
              <w:t>moveToRangeEnd</w:t>
            </w:r>
            <w:r>
              <w:t xml:space="preserve"> (Move Destination Location Container - End)</w:t>
            </w:r>
          </w:p>
        </w:tc>
        <w:tc>
          <w:tcPr>
            <w:tcW w:w="0" w:type="auto"/>
            <w:vAlign w:val="center"/>
          </w:tcPr>
          <w:p w:rsidR="005F78FC" w:rsidRDefault="00B42EF3">
            <w:pPr>
              <w:pStyle w:val="TableBodyText"/>
            </w:pPr>
            <w:r>
              <w:t>"[ISO/IEC-29500-1] §17.13.5.27"</w:t>
            </w:r>
          </w:p>
        </w:tc>
      </w:tr>
      <w:tr w:rsidR="005F78FC" w:rsidTr="005F78FC">
        <w:tc>
          <w:tcPr>
            <w:tcW w:w="0" w:type="auto"/>
            <w:vAlign w:val="center"/>
          </w:tcPr>
          <w:p w:rsidR="005F78FC" w:rsidRDefault="00B42EF3">
            <w:pPr>
              <w:pStyle w:val="TableBodyText"/>
            </w:pPr>
            <w:r>
              <w:rPr>
                <w:b/>
              </w:rPr>
              <w:t>moveToRangeStart</w:t>
            </w:r>
            <w:r>
              <w:t xml:space="preserve"> (Move Destination Location Container - Start</w:t>
            </w:r>
            <w:r>
              <w:t>)</w:t>
            </w:r>
          </w:p>
        </w:tc>
        <w:tc>
          <w:tcPr>
            <w:tcW w:w="0" w:type="auto"/>
            <w:vAlign w:val="center"/>
          </w:tcPr>
          <w:p w:rsidR="005F78FC" w:rsidRDefault="00B42EF3">
            <w:pPr>
              <w:pStyle w:val="TableBodyText"/>
            </w:pPr>
            <w:r>
              <w:t>"[ISO/IEC-29500-1] §17.13.5.28"</w:t>
            </w:r>
          </w:p>
        </w:tc>
      </w:tr>
      <w:tr w:rsidR="005F78FC" w:rsidTr="005F78FC">
        <w:tc>
          <w:tcPr>
            <w:tcW w:w="0" w:type="auto"/>
            <w:vAlign w:val="center"/>
          </w:tcPr>
          <w:p w:rsidR="005F78FC" w:rsidRDefault="00B42EF3">
            <w:pPr>
              <w:pStyle w:val="TableBodyText"/>
            </w:pPr>
            <w:r>
              <w:rPr>
                <w:b/>
              </w:rPr>
              <w:t>nary</w:t>
            </w:r>
            <w:r>
              <w:t xml:space="preserve"> (n-ary Operator Object)</w:t>
            </w:r>
          </w:p>
        </w:tc>
        <w:tc>
          <w:tcPr>
            <w:tcW w:w="0" w:type="auto"/>
            <w:vAlign w:val="center"/>
          </w:tcPr>
          <w:p w:rsidR="005F78FC" w:rsidRDefault="00B42EF3">
            <w:pPr>
              <w:pStyle w:val="TableBodyText"/>
            </w:pPr>
            <w:r>
              <w:t>"[ISO/IEC-29500-1] §22.1.2.70"</w:t>
            </w:r>
          </w:p>
        </w:tc>
      </w:tr>
      <w:tr w:rsidR="005F78FC" w:rsidTr="005F78FC">
        <w:tc>
          <w:tcPr>
            <w:tcW w:w="0" w:type="auto"/>
            <w:vAlign w:val="center"/>
          </w:tcPr>
          <w:p w:rsidR="005F78FC" w:rsidRDefault="00B42EF3">
            <w:pPr>
              <w:pStyle w:val="TableBodyText"/>
            </w:pPr>
            <w:r>
              <w:rPr>
                <w:b/>
              </w:rPr>
              <w:t>oMath</w:t>
            </w:r>
            <w:r>
              <w:t xml:space="preserve"> (Office Math)</w:t>
            </w:r>
          </w:p>
        </w:tc>
        <w:tc>
          <w:tcPr>
            <w:tcW w:w="0" w:type="auto"/>
            <w:vAlign w:val="center"/>
          </w:tcPr>
          <w:p w:rsidR="005F78FC" w:rsidRDefault="00B42EF3">
            <w:pPr>
              <w:pStyle w:val="TableBodyText"/>
            </w:pPr>
            <w:r>
              <w:t>"[ISO/IEC-29500-1] §22.1.2.77"</w:t>
            </w:r>
          </w:p>
        </w:tc>
      </w:tr>
      <w:tr w:rsidR="005F78FC" w:rsidTr="005F78FC">
        <w:tc>
          <w:tcPr>
            <w:tcW w:w="0" w:type="auto"/>
            <w:vAlign w:val="center"/>
          </w:tcPr>
          <w:p w:rsidR="005F78FC" w:rsidRDefault="00B42EF3">
            <w:pPr>
              <w:pStyle w:val="TableBodyText"/>
            </w:pPr>
            <w:r>
              <w:rPr>
                <w:b/>
              </w:rPr>
              <w:t>oMathPara</w:t>
            </w:r>
            <w:r>
              <w:t xml:space="preserve"> (Office Math Paragraph)</w:t>
            </w:r>
          </w:p>
        </w:tc>
        <w:tc>
          <w:tcPr>
            <w:tcW w:w="0" w:type="auto"/>
            <w:vAlign w:val="center"/>
          </w:tcPr>
          <w:p w:rsidR="005F78FC" w:rsidRDefault="00B42EF3">
            <w:pPr>
              <w:pStyle w:val="TableBodyText"/>
            </w:pPr>
            <w:r>
              <w:t>"[ISO/IEC-29500-1] §22.1.2.78"</w:t>
            </w:r>
          </w:p>
        </w:tc>
      </w:tr>
      <w:tr w:rsidR="005F78FC" w:rsidTr="005F78FC">
        <w:tc>
          <w:tcPr>
            <w:tcW w:w="0" w:type="auto"/>
            <w:vAlign w:val="center"/>
          </w:tcPr>
          <w:p w:rsidR="005F78FC" w:rsidRDefault="00B42EF3">
            <w:pPr>
              <w:pStyle w:val="TableBodyText"/>
            </w:pPr>
            <w:r>
              <w:rPr>
                <w:b/>
              </w:rPr>
              <w:t>permEnd</w:t>
            </w:r>
            <w:r>
              <w:t xml:space="preserve"> (Range Permission End)</w:t>
            </w:r>
          </w:p>
        </w:tc>
        <w:tc>
          <w:tcPr>
            <w:tcW w:w="0" w:type="auto"/>
            <w:vAlign w:val="center"/>
          </w:tcPr>
          <w:p w:rsidR="005F78FC" w:rsidRDefault="00B42EF3">
            <w:pPr>
              <w:pStyle w:val="TableBodyText"/>
            </w:pPr>
            <w:r>
              <w:t>"</w:t>
            </w:r>
            <w:r>
              <w:t>[ISO/IEC-29500-1] §17.13.7.1"</w:t>
            </w:r>
          </w:p>
        </w:tc>
      </w:tr>
      <w:tr w:rsidR="005F78FC" w:rsidTr="005F78FC">
        <w:tc>
          <w:tcPr>
            <w:tcW w:w="0" w:type="auto"/>
            <w:vAlign w:val="center"/>
          </w:tcPr>
          <w:p w:rsidR="005F78FC" w:rsidRDefault="00B42EF3">
            <w:pPr>
              <w:pStyle w:val="TableBodyText"/>
            </w:pPr>
            <w:r>
              <w:rPr>
                <w:b/>
              </w:rPr>
              <w:t>permStart</w:t>
            </w:r>
            <w:r>
              <w:t xml:space="preserve"> (Range Permission Start)</w:t>
            </w:r>
          </w:p>
        </w:tc>
        <w:tc>
          <w:tcPr>
            <w:tcW w:w="0" w:type="auto"/>
            <w:vAlign w:val="center"/>
          </w:tcPr>
          <w:p w:rsidR="005F78FC" w:rsidRDefault="00B42EF3">
            <w:pPr>
              <w:pStyle w:val="TableBodyText"/>
            </w:pPr>
            <w:r>
              <w:t>"[ISO/IEC-29500-1] §17.13.7.2"</w:t>
            </w:r>
          </w:p>
        </w:tc>
      </w:tr>
      <w:tr w:rsidR="005F78FC" w:rsidTr="005F78FC">
        <w:tc>
          <w:tcPr>
            <w:tcW w:w="0" w:type="auto"/>
            <w:vAlign w:val="center"/>
          </w:tcPr>
          <w:p w:rsidR="005F78FC" w:rsidRDefault="00B42EF3">
            <w:pPr>
              <w:pStyle w:val="TableBodyText"/>
            </w:pPr>
            <w:r>
              <w:rPr>
                <w:b/>
              </w:rPr>
              <w:t>phant</w:t>
            </w:r>
            <w:r>
              <w:t xml:space="preserve"> (Phantom Object)</w:t>
            </w:r>
          </w:p>
        </w:tc>
        <w:tc>
          <w:tcPr>
            <w:tcW w:w="0" w:type="auto"/>
            <w:vAlign w:val="center"/>
          </w:tcPr>
          <w:p w:rsidR="005F78FC" w:rsidRDefault="00B42EF3">
            <w:pPr>
              <w:pStyle w:val="TableBodyText"/>
            </w:pPr>
            <w:r>
              <w:t>"[ISO/IEC-29500-1] §22.1.2.81"</w:t>
            </w:r>
          </w:p>
        </w:tc>
      </w:tr>
      <w:tr w:rsidR="005F78FC" w:rsidTr="005F78FC">
        <w:tc>
          <w:tcPr>
            <w:tcW w:w="0" w:type="auto"/>
            <w:vAlign w:val="center"/>
          </w:tcPr>
          <w:p w:rsidR="005F78FC" w:rsidRDefault="00B42EF3">
            <w:pPr>
              <w:pStyle w:val="TableBodyText"/>
            </w:pPr>
            <w:r>
              <w:rPr>
                <w:b/>
              </w:rPr>
              <w:t>proofErr</w:t>
            </w:r>
            <w:r>
              <w:t xml:space="preserve"> (Proofing Error Anchor)</w:t>
            </w:r>
          </w:p>
        </w:tc>
        <w:tc>
          <w:tcPr>
            <w:tcW w:w="0" w:type="auto"/>
            <w:vAlign w:val="center"/>
          </w:tcPr>
          <w:p w:rsidR="005F78FC" w:rsidRDefault="00B42EF3">
            <w:pPr>
              <w:pStyle w:val="TableBodyText"/>
            </w:pPr>
            <w:r>
              <w:t>"[ISO/IEC-29500-1] §17.13.8.1"</w:t>
            </w:r>
          </w:p>
        </w:tc>
      </w:tr>
      <w:tr w:rsidR="005F78FC" w:rsidTr="005F78FC">
        <w:tc>
          <w:tcPr>
            <w:tcW w:w="0" w:type="auto"/>
            <w:vAlign w:val="center"/>
          </w:tcPr>
          <w:p w:rsidR="005F78FC" w:rsidRDefault="00B42EF3">
            <w:pPr>
              <w:pStyle w:val="TableBodyText"/>
            </w:pPr>
            <w:r>
              <w:rPr>
                <w:b/>
              </w:rPr>
              <w:t>r</w:t>
            </w:r>
            <w:r>
              <w:t xml:space="preserve"> (Run)</w:t>
            </w:r>
          </w:p>
        </w:tc>
        <w:tc>
          <w:tcPr>
            <w:tcW w:w="0" w:type="auto"/>
            <w:vAlign w:val="center"/>
          </w:tcPr>
          <w:p w:rsidR="005F78FC" w:rsidRDefault="00B42EF3">
            <w:pPr>
              <w:pStyle w:val="TableBodyText"/>
            </w:pPr>
            <w:r>
              <w:t>"[ISO/IEC-29500-1] §22.1.2.87"</w:t>
            </w:r>
          </w:p>
        </w:tc>
      </w:tr>
      <w:tr w:rsidR="005F78FC" w:rsidTr="005F78FC">
        <w:tc>
          <w:tcPr>
            <w:tcW w:w="0" w:type="auto"/>
            <w:vAlign w:val="center"/>
          </w:tcPr>
          <w:p w:rsidR="005F78FC" w:rsidRDefault="00B42EF3">
            <w:pPr>
              <w:pStyle w:val="TableBodyText"/>
            </w:pPr>
            <w:r>
              <w:rPr>
                <w:b/>
              </w:rPr>
              <w:t>r</w:t>
            </w:r>
            <w:r>
              <w:t xml:space="preserve"> (Text Run)</w:t>
            </w:r>
          </w:p>
        </w:tc>
        <w:tc>
          <w:tcPr>
            <w:tcW w:w="0" w:type="auto"/>
            <w:vAlign w:val="center"/>
          </w:tcPr>
          <w:p w:rsidR="005F78FC" w:rsidRDefault="00B42EF3">
            <w:pPr>
              <w:pStyle w:val="TableBodyText"/>
            </w:pPr>
            <w:r>
              <w:t>"[ISO/IEC-29500-1] §17.3.2.25"</w:t>
            </w:r>
          </w:p>
        </w:tc>
      </w:tr>
      <w:tr w:rsidR="005F78FC" w:rsidTr="005F78FC">
        <w:tc>
          <w:tcPr>
            <w:tcW w:w="0" w:type="auto"/>
            <w:vAlign w:val="center"/>
          </w:tcPr>
          <w:p w:rsidR="005F78FC" w:rsidRDefault="00B42EF3">
            <w:pPr>
              <w:pStyle w:val="TableBodyText"/>
            </w:pPr>
            <w:r>
              <w:rPr>
                <w:b/>
              </w:rPr>
              <w:t>rad</w:t>
            </w:r>
            <w:r>
              <w:t xml:space="preserve"> (Radical Object)</w:t>
            </w:r>
          </w:p>
        </w:tc>
        <w:tc>
          <w:tcPr>
            <w:tcW w:w="0" w:type="auto"/>
            <w:vAlign w:val="center"/>
          </w:tcPr>
          <w:p w:rsidR="005F78FC" w:rsidRDefault="00B42EF3">
            <w:pPr>
              <w:pStyle w:val="TableBodyText"/>
            </w:pPr>
            <w:r>
              <w:t>"[ISO/IEC-29500-1] §22.1.2.88"</w:t>
            </w:r>
          </w:p>
        </w:tc>
      </w:tr>
      <w:tr w:rsidR="005F78FC" w:rsidTr="005F78FC">
        <w:tc>
          <w:tcPr>
            <w:tcW w:w="0" w:type="auto"/>
            <w:vAlign w:val="center"/>
          </w:tcPr>
          <w:p w:rsidR="005F78FC" w:rsidRDefault="00B42EF3">
            <w:pPr>
              <w:pStyle w:val="TableBodyText"/>
            </w:pPr>
            <w:r>
              <w:rPr>
                <w:b/>
              </w:rPr>
              <w:t>sdt</w:t>
            </w:r>
            <w:r>
              <w:t xml:space="preserve"> (Ruby Inline-Level Structured Document Tag)</w:t>
            </w:r>
          </w:p>
        </w:tc>
        <w:tc>
          <w:tcPr>
            <w:tcW w:w="0" w:type="auto"/>
            <w:vAlign w:val="center"/>
          </w:tcPr>
          <w:p w:rsidR="005F78FC" w:rsidRDefault="00B42EF3">
            <w:pPr>
              <w:pStyle w:val="TableBodyText"/>
            </w:pPr>
            <w:r>
              <w:t>§</w:t>
            </w:r>
            <w:hyperlink w:anchor="Section_808b32d8ad644c849fb585ad68be54b9">
              <w:r>
                <w:rPr>
                  <w:rStyle w:val="Hyperlink"/>
                </w:rPr>
                <w:t>3.1.3.1.6, sdt</w:t>
              </w:r>
            </w:hyperlink>
          </w:p>
        </w:tc>
      </w:tr>
      <w:tr w:rsidR="005F78FC" w:rsidTr="005F78FC">
        <w:tc>
          <w:tcPr>
            <w:tcW w:w="0" w:type="auto"/>
            <w:vAlign w:val="center"/>
          </w:tcPr>
          <w:p w:rsidR="005F78FC" w:rsidRDefault="00B42EF3">
            <w:pPr>
              <w:pStyle w:val="TableBodyText"/>
            </w:pPr>
            <w:r>
              <w:rPr>
                <w:b/>
              </w:rPr>
              <w:t>sPre</w:t>
            </w:r>
            <w:r>
              <w:t xml:space="preserve"> (Pre-Sub-Superscript Object)</w:t>
            </w:r>
          </w:p>
        </w:tc>
        <w:tc>
          <w:tcPr>
            <w:tcW w:w="0" w:type="auto"/>
            <w:vAlign w:val="center"/>
          </w:tcPr>
          <w:p w:rsidR="005F78FC" w:rsidRDefault="00B42EF3">
            <w:pPr>
              <w:pStyle w:val="TableBodyText"/>
            </w:pPr>
            <w:r>
              <w:t>"[ISO/IEC-29500-1] §22.1.2.99"</w:t>
            </w:r>
          </w:p>
        </w:tc>
      </w:tr>
      <w:tr w:rsidR="005F78FC" w:rsidTr="005F78FC">
        <w:tc>
          <w:tcPr>
            <w:tcW w:w="0" w:type="auto"/>
            <w:vAlign w:val="center"/>
          </w:tcPr>
          <w:p w:rsidR="005F78FC" w:rsidRDefault="00B42EF3">
            <w:pPr>
              <w:pStyle w:val="TableBodyText"/>
            </w:pPr>
            <w:r>
              <w:rPr>
                <w:b/>
              </w:rPr>
              <w:t>sSub</w:t>
            </w:r>
            <w:r>
              <w:t xml:space="preserve"> (Subscript Object)</w:t>
            </w:r>
          </w:p>
        </w:tc>
        <w:tc>
          <w:tcPr>
            <w:tcW w:w="0" w:type="auto"/>
            <w:vAlign w:val="center"/>
          </w:tcPr>
          <w:p w:rsidR="005F78FC" w:rsidRDefault="00B42EF3">
            <w:pPr>
              <w:pStyle w:val="TableBodyText"/>
            </w:pPr>
            <w:r>
              <w:t>"[ISO/IEC-29500-1] §22.1.2.101"</w:t>
            </w:r>
          </w:p>
        </w:tc>
      </w:tr>
      <w:tr w:rsidR="005F78FC" w:rsidTr="005F78FC">
        <w:tc>
          <w:tcPr>
            <w:tcW w:w="0" w:type="auto"/>
            <w:vAlign w:val="center"/>
          </w:tcPr>
          <w:p w:rsidR="005F78FC" w:rsidRDefault="00B42EF3">
            <w:pPr>
              <w:pStyle w:val="TableBodyText"/>
            </w:pPr>
            <w:r>
              <w:rPr>
                <w:b/>
              </w:rPr>
              <w:t>sSubSup</w:t>
            </w:r>
            <w:r>
              <w:t xml:space="preserve"> (Sub-Superscript Object)</w:t>
            </w:r>
          </w:p>
        </w:tc>
        <w:tc>
          <w:tcPr>
            <w:tcW w:w="0" w:type="auto"/>
            <w:vAlign w:val="center"/>
          </w:tcPr>
          <w:p w:rsidR="005F78FC" w:rsidRDefault="00B42EF3">
            <w:pPr>
              <w:pStyle w:val="TableBodyText"/>
            </w:pPr>
            <w:r>
              <w:t xml:space="preserve">"[ISO/IEC-29500-1] </w:t>
            </w:r>
            <w:r>
              <w:lastRenderedPageBreak/>
              <w:t>§22.1.2.103"</w:t>
            </w:r>
          </w:p>
        </w:tc>
      </w:tr>
      <w:tr w:rsidR="005F78FC" w:rsidTr="005F78FC">
        <w:tc>
          <w:tcPr>
            <w:tcW w:w="0" w:type="auto"/>
            <w:vAlign w:val="center"/>
          </w:tcPr>
          <w:p w:rsidR="005F78FC" w:rsidRDefault="00B42EF3">
            <w:pPr>
              <w:pStyle w:val="TableBodyText"/>
            </w:pPr>
            <w:r>
              <w:rPr>
                <w:b/>
              </w:rPr>
              <w:lastRenderedPageBreak/>
              <w:t>sSup</w:t>
            </w:r>
            <w:r>
              <w:t xml:space="preserve"> (Superscript Object)</w:t>
            </w:r>
          </w:p>
        </w:tc>
        <w:tc>
          <w:tcPr>
            <w:tcW w:w="0" w:type="auto"/>
            <w:vAlign w:val="center"/>
          </w:tcPr>
          <w:p w:rsidR="005F78FC" w:rsidRDefault="00B42EF3">
            <w:pPr>
              <w:pStyle w:val="TableBodyText"/>
            </w:pPr>
            <w:r>
              <w:t>"[ISO/IEC-29500-1] §22.1.2.105"</w:t>
            </w:r>
          </w:p>
        </w:tc>
      </w:tr>
    </w:tbl>
    <w:p w:rsidR="005F78FC" w:rsidRDefault="005F78FC"/>
    <w:p w:rsidR="005F78FC" w:rsidRDefault="005F78FC"/>
    <w:tbl>
      <w:tblPr>
        <w:tblStyle w:val="Table-ShadedHeader"/>
        <w:tblW w:w="0" w:type="auto"/>
        <w:tblLook w:val="04A0" w:firstRow="1" w:lastRow="0" w:firstColumn="1" w:lastColumn="0" w:noHBand="0" w:noVBand="1"/>
      </w:tblPr>
      <w:tblGrid>
        <w:gridCol w:w="1999"/>
        <w:gridCol w:w="7476"/>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Attributes</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rPr>
                <w:b/>
              </w:rPr>
              <w:t>element</w:t>
            </w:r>
            <w:r>
              <w:t xml:space="preserve"> (Custom XML Element)</w:t>
            </w:r>
          </w:p>
        </w:tc>
        <w:tc>
          <w:tcPr>
            <w:tcW w:w="0" w:type="auto"/>
            <w:vAlign w:val="center"/>
          </w:tcPr>
          <w:p w:rsidR="005F78FC" w:rsidRDefault="00B42EF3">
            <w:pPr>
              <w:pStyle w:val="TableBodyText"/>
            </w:pPr>
            <w:r>
              <w:t>Specifies the name of the current custom XML element or smart tag within the document.</w:t>
            </w:r>
          </w:p>
          <w:p w:rsidR="005F78FC" w:rsidRDefault="005F78FC">
            <w:pPr>
              <w:pStyle w:val="TableBodyText"/>
            </w:pPr>
          </w:p>
          <w:p w:rsidR="005F78FC" w:rsidRDefault="00B42EF3">
            <w:pPr>
              <w:pStyle w:val="TableBodyText"/>
            </w:pPr>
            <w:r>
              <w:t xml:space="preserve">[Example: Consider a custom XML element which shall have a name of </w:t>
            </w:r>
            <w:r>
              <w:rPr>
                <w:i/>
              </w:rPr>
              <w:t>companyName</w:t>
            </w:r>
            <w:r>
              <w:t>. This requirement would be specified using the</w:t>
            </w:r>
            <w:r>
              <w:t xml:space="preserve"> following WordprocessingML:</w:t>
            </w:r>
          </w:p>
          <w:p w:rsidR="005F78FC" w:rsidRDefault="005F78FC">
            <w:pPr>
              <w:pStyle w:val="TableBodyText"/>
            </w:pPr>
          </w:p>
          <w:p w:rsidR="005F78FC" w:rsidRDefault="00B42EF3">
            <w:pPr>
              <w:pStyle w:val="Code"/>
            </w:pPr>
            <w:r>
              <w:t>&lt;w:customXml w:element="companyName" … &gt;</w:t>
            </w:r>
          </w:p>
          <w:p w:rsidR="005F78FC" w:rsidRDefault="00B42EF3">
            <w:pPr>
              <w:pStyle w:val="Code"/>
            </w:pPr>
            <w:r>
              <w:t xml:space="preserve">  …</w:t>
            </w:r>
          </w:p>
          <w:p w:rsidR="005F78FC" w:rsidRDefault="00B42EF3">
            <w:pPr>
              <w:pStyle w:val="Code"/>
            </w:pPr>
            <w:r>
              <w:t>&lt;/w:customXml&gt;</w:t>
            </w:r>
          </w:p>
          <w:p w:rsidR="005F78FC" w:rsidRDefault="005F78FC">
            <w:pPr>
              <w:pStyle w:val="TableBodyText"/>
            </w:pPr>
          </w:p>
          <w:p w:rsidR="005F78FC" w:rsidRDefault="00B42EF3">
            <w:pPr>
              <w:pStyle w:val="TableBodyText"/>
            </w:pPr>
            <w:r>
              <w:t xml:space="preserve">The </w:t>
            </w:r>
            <w:r>
              <w:rPr>
                <w:b/>
              </w:rPr>
              <w:t>element</w:t>
            </w:r>
            <w:r>
              <w:t xml:space="preserve"> attribute specifies that the name for this element shall be </w:t>
            </w:r>
            <w:r>
              <w:rPr>
                <w:i/>
              </w:rPr>
              <w:t>companyName</w:t>
            </w:r>
            <w:r>
              <w:t>. end example]</w:t>
            </w:r>
          </w:p>
          <w:p w:rsidR="005F78FC" w:rsidRDefault="005F78FC">
            <w:pPr>
              <w:pStyle w:val="TableBodyText"/>
            </w:pPr>
          </w:p>
          <w:p w:rsidR="005F78FC" w:rsidRDefault="00B42EF3">
            <w:pPr>
              <w:pStyle w:val="TableBodyText"/>
            </w:pPr>
            <w:r>
              <w:t>The possible values for this attribute are defined by the ST_NcNam</w:t>
            </w:r>
            <w:r>
              <w:t>e255 simple type (§</w:t>
            </w:r>
            <w:hyperlink w:anchor="Section_8ddb0e2037f84cb9a2e083d20de6fe2c">
              <w:r>
                <w:rPr>
                  <w:rStyle w:val="Hyperlink"/>
                </w:rPr>
                <w:t>3.1.3.3.4, ST_NcName255</w:t>
              </w:r>
            </w:hyperlink>
            <w:r>
              <w:t>).</w:t>
            </w:r>
          </w:p>
        </w:tc>
      </w:tr>
      <w:tr w:rsidR="005F78FC" w:rsidTr="005F78FC">
        <w:tc>
          <w:tcPr>
            <w:tcW w:w="0" w:type="auto"/>
            <w:vAlign w:val="center"/>
          </w:tcPr>
          <w:p w:rsidR="005F78FC" w:rsidRDefault="00B42EF3">
            <w:pPr>
              <w:pStyle w:val="TableBodyText"/>
            </w:pPr>
            <w:r>
              <w:rPr>
                <w:b/>
              </w:rPr>
              <w:t>uri</w:t>
            </w:r>
            <w:r>
              <w:t xml:space="preserve"> (Custom XML Element Namespace)</w:t>
            </w:r>
          </w:p>
        </w:tc>
        <w:tc>
          <w:tcPr>
            <w:tcW w:w="0" w:type="auto"/>
            <w:vAlign w:val="center"/>
          </w:tcPr>
          <w:p w:rsidR="005F78FC" w:rsidRDefault="00B42EF3">
            <w:pPr>
              <w:pStyle w:val="TableBodyText"/>
            </w:pPr>
            <w:r>
              <w:t>Specifies the namespace URI of the current custom XML element or smart tag.</w:t>
            </w:r>
          </w:p>
          <w:p w:rsidR="005F78FC" w:rsidRDefault="005F78FC">
            <w:pPr>
              <w:pStyle w:val="TableBodyText"/>
            </w:pPr>
          </w:p>
          <w:p w:rsidR="005F78FC" w:rsidRDefault="00B42EF3">
            <w:pPr>
              <w:pStyle w:val="TableBodyText"/>
            </w:pPr>
            <w:r>
              <w:t>If this attribute is omitted, the U</w:t>
            </w:r>
            <w:r>
              <w:t>RI shall be assumed to be null (no associated URI).</w:t>
            </w:r>
          </w:p>
          <w:p w:rsidR="005F78FC" w:rsidRDefault="005F78FC">
            <w:pPr>
              <w:pStyle w:val="TableBodyText"/>
            </w:pPr>
          </w:p>
          <w:p w:rsidR="005F78FC" w:rsidRDefault="00B42EF3">
            <w:pPr>
              <w:pStyle w:val="TableBodyText"/>
            </w:pPr>
            <w:r>
              <w:t>[Example: Consider a custom XML element which shall have a namespace URI of</w:t>
            </w:r>
            <w:r>
              <w:rPr>
                <w:i/>
              </w:rPr>
              <w:t xml:space="preserve"> urn:customXmlExample</w:t>
            </w:r>
            <w:r>
              <w:t>. This requirement would be specified using the following WordprocessingML:</w:t>
            </w:r>
          </w:p>
          <w:p w:rsidR="005F78FC" w:rsidRDefault="005F78FC">
            <w:pPr>
              <w:pStyle w:val="TableBodyText"/>
            </w:pPr>
          </w:p>
          <w:p w:rsidR="005F78FC" w:rsidRDefault="00B42EF3">
            <w:pPr>
              <w:pStyle w:val="Code"/>
            </w:pPr>
            <w:r>
              <w:t xml:space="preserve">&lt;w:customXml … </w:t>
            </w:r>
            <w:r>
              <w:t>w:uri="urn:customXmlExample" /&gt;</w:t>
            </w:r>
          </w:p>
          <w:p w:rsidR="005F78FC" w:rsidRDefault="00B42EF3">
            <w:pPr>
              <w:pStyle w:val="Code"/>
            </w:pPr>
            <w:r>
              <w:t xml:space="preserve">  …</w:t>
            </w:r>
          </w:p>
          <w:p w:rsidR="005F78FC" w:rsidRDefault="00B42EF3">
            <w:pPr>
              <w:pStyle w:val="Code"/>
            </w:pPr>
            <w:r>
              <w:t>&lt;/w:customXml&gt;</w:t>
            </w:r>
          </w:p>
          <w:p w:rsidR="005F78FC" w:rsidRDefault="005F78FC">
            <w:pPr>
              <w:pStyle w:val="TableBodyText"/>
            </w:pPr>
          </w:p>
          <w:p w:rsidR="005F78FC" w:rsidRDefault="00B42EF3">
            <w:pPr>
              <w:pStyle w:val="TableBodyText"/>
            </w:pPr>
            <w:r>
              <w:t xml:space="preserve">The </w:t>
            </w:r>
            <w:r>
              <w:rPr>
                <w:b/>
              </w:rPr>
              <w:t>uri</w:t>
            </w:r>
            <w:r>
              <w:t xml:space="preserve"> attribute specifies that the namespace for this element shall be </w:t>
            </w:r>
            <w:r>
              <w:rPr>
                <w:i/>
              </w:rPr>
              <w:t>urn:customXmlExample</w:t>
            </w:r>
            <w:r>
              <w:t>. end example]</w:t>
            </w:r>
          </w:p>
          <w:p w:rsidR="005F78FC" w:rsidRDefault="005F78FC">
            <w:pPr>
              <w:pStyle w:val="TableBodyText"/>
            </w:pPr>
          </w:p>
          <w:p w:rsidR="005F78FC" w:rsidRDefault="00B42EF3">
            <w:pPr>
              <w:pStyle w:val="TableBodyText"/>
            </w:pPr>
            <w:r>
              <w:t>The possible values for this attribute are defined by the ST_CustomXmlURI simple type (§</w:t>
            </w:r>
            <w:hyperlink w:anchor="Section_04197af53c824a9d81393f1cec2b78eb">
              <w:r>
                <w:rPr>
                  <w:rStyle w:val="Hyperlink"/>
                </w:rPr>
                <w:t>3.1.3.3.1, ST_CustomXmlURI</w:t>
              </w:r>
            </w:hyperlink>
            <w:r>
              <w:t>).</w:t>
            </w:r>
          </w:p>
        </w:tc>
      </w:tr>
    </w:tbl>
    <w:p w:rsidR="005F78FC" w:rsidRDefault="005F78FC"/>
    <w:p w:rsidR="005F78FC" w:rsidRDefault="00B42EF3">
      <w:r>
        <w:t>The following XML Schema fragment defines the contents of this element:</w:t>
      </w:r>
    </w:p>
    <w:p w:rsidR="005F78FC" w:rsidRDefault="00B42EF3">
      <w:pPr>
        <w:pStyle w:val="Code"/>
      </w:pPr>
      <w:r>
        <w:t>&lt;complexType name="CT_CustomXmlRuby"&gt;</w:t>
      </w:r>
    </w:p>
    <w:p w:rsidR="005F78FC" w:rsidRDefault="00B42EF3">
      <w:pPr>
        <w:pStyle w:val="Code"/>
      </w:pPr>
      <w:r>
        <w:t xml:space="preserve">  &lt;sequence&gt;</w:t>
      </w:r>
    </w:p>
    <w:p w:rsidR="005F78FC" w:rsidRDefault="00B42EF3">
      <w:pPr>
        <w:pStyle w:val="Code"/>
      </w:pPr>
      <w:r>
        <w:lastRenderedPageBreak/>
        <w:t xml:space="preserve">    &lt;element name="customXmlPr" type="CT_Custo</w:t>
      </w:r>
      <w:r>
        <w:t>mXmlPr" minOccurs="0" maxOccurs="1"/&gt;</w:t>
      </w:r>
    </w:p>
    <w:p w:rsidR="005F78FC" w:rsidRDefault="00B42EF3">
      <w:pPr>
        <w:pStyle w:val="Code"/>
      </w:pPr>
      <w:r>
        <w:t xml:space="preserve">    &lt;group ref="EG_RubyContent" minOccurs="0" maxOccurs="unbounded"/&gt;</w:t>
      </w:r>
    </w:p>
    <w:p w:rsidR="005F78FC" w:rsidRDefault="00B42EF3">
      <w:pPr>
        <w:pStyle w:val="Code"/>
      </w:pPr>
      <w:r>
        <w:t xml:space="preserve">  &lt;/sequence&gt;</w:t>
      </w:r>
    </w:p>
    <w:p w:rsidR="005F78FC" w:rsidRDefault="00B42EF3">
      <w:pPr>
        <w:pStyle w:val="Code"/>
      </w:pPr>
      <w:r>
        <w:t xml:space="preserve">  &lt;attribute name="uri" type="ST_CustomXmlURI"/&gt;</w:t>
      </w:r>
    </w:p>
    <w:p w:rsidR="005F78FC" w:rsidRDefault="00B42EF3">
      <w:pPr>
        <w:pStyle w:val="Code"/>
      </w:pPr>
      <w:r>
        <w:t xml:space="preserve">  &lt;attribute name="element" type="ST_NcName255" use="required"/&gt;</w:t>
      </w:r>
    </w:p>
    <w:p w:rsidR="005F78FC" w:rsidRDefault="00B42EF3">
      <w:pPr>
        <w:pStyle w:val="Code"/>
      </w:pPr>
      <w:r>
        <w:t>&lt;/complexType&gt;</w:t>
      </w:r>
    </w:p>
    <w:p w:rsidR="005F78FC" w:rsidRDefault="00B42EF3">
      <w:pPr>
        <w:pStyle w:val="Heading5"/>
      </w:pPr>
      <w:bookmarkStart w:id="3888" w:name="section_34477fff355a497ea2bf4b9c3f80b093"/>
      <w:bookmarkStart w:id="3889" w:name="_Toc69879717"/>
      <w:r>
        <w:t>fldSimple (Ruby Simple Field)</w:t>
      </w:r>
      <w:bookmarkEnd w:id="3888"/>
      <w:bookmarkEnd w:id="3889"/>
      <w:r>
        <w:fldChar w:fldCharType="begin"/>
      </w:r>
      <w:r>
        <w:instrText xml:space="preserve"> XE "fldSimple (Ruby Simple Field)" </w:instrText>
      </w:r>
      <w:r>
        <w:fldChar w:fldCharType="end"/>
      </w:r>
    </w:p>
    <w:p w:rsidR="005F78FC" w:rsidRDefault="00B42EF3">
      <w:r>
        <w:t>This element specifies the presence of a simple field at the current location in the document. The semantics of this field are defined via its field codes ("</w:t>
      </w:r>
      <w:hyperlink r:id="rId290">
        <w:r>
          <w:rPr>
            <w:rStyle w:val="Hyperlink"/>
          </w:rPr>
          <w:t>[ISO/IEC-29500-1]</w:t>
        </w:r>
      </w:hyperlink>
      <w:r>
        <w:t xml:space="preserve"> §17.16.5").</w:t>
      </w:r>
    </w:p>
    <w:p w:rsidR="005F78FC" w:rsidRDefault="00B42EF3">
      <w:r>
        <w:t>[Example: Consider the following WordprocessingML fragment for a simple field:</w:t>
      </w:r>
    </w:p>
    <w:p w:rsidR="005F78FC" w:rsidRDefault="00B42EF3">
      <w:pPr>
        <w:pStyle w:val="Code"/>
      </w:pPr>
      <w:r>
        <w:t>&lt;w:fldSimple w:instr="FILENAME"&gt;</w:t>
      </w:r>
    </w:p>
    <w:p w:rsidR="005F78FC" w:rsidRDefault="00B42EF3">
      <w:pPr>
        <w:pStyle w:val="Code"/>
      </w:pPr>
      <w:r>
        <w:t xml:space="preserve">  &lt;w:r&gt;</w:t>
      </w:r>
    </w:p>
    <w:p w:rsidR="005F78FC" w:rsidRDefault="00B42EF3">
      <w:pPr>
        <w:pStyle w:val="Code"/>
      </w:pPr>
      <w:r>
        <w:t xml:space="preserve">    &lt;w:t&gt;Example Document.docx&lt;/w:t&gt;</w:t>
      </w:r>
    </w:p>
    <w:p w:rsidR="005F78FC" w:rsidRDefault="00B42EF3">
      <w:pPr>
        <w:pStyle w:val="Code"/>
      </w:pPr>
      <w:r>
        <w:t xml:space="preserve">  &lt;/w:r&gt;</w:t>
      </w:r>
    </w:p>
    <w:p w:rsidR="005F78FC" w:rsidRDefault="00B42EF3">
      <w:pPr>
        <w:pStyle w:val="Code"/>
      </w:pPr>
      <w:r>
        <w:t>&lt;/w:fldSimple&gt;</w:t>
      </w:r>
    </w:p>
    <w:p w:rsidR="005F78FC" w:rsidRDefault="00B42EF3">
      <w:r>
        <w:t xml:space="preserve">The </w:t>
      </w:r>
      <w:r>
        <w:rPr>
          <w:b/>
        </w:rPr>
        <w:t>fldSimple</w:t>
      </w:r>
      <w:r>
        <w:t xml:space="preserve"> element defines a </w:t>
      </w:r>
      <w:r>
        <w:rPr>
          <w:i/>
        </w:rPr>
        <w:t>FILENAME</w:t>
      </w:r>
      <w:r>
        <w:t xml:space="preserve"> field ("[ISO/IEC-29500-1] §17.16.5.17; FILENAME") using the simple field syntax. The current field result for the field is </w:t>
      </w:r>
      <w:r>
        <w:rPr>
          <w:i/>
        </w:rPr>
        <w:t>Example Document.docx</w:t>
      </w:r>
      <w:r>
        <w:t>. end example]</w:t>
      </w:r>
    </w:p>
    <w:tbl>
      <w:tblPr>
        <w:tblStyle w:val="Table-ShadedHeader"/>
        <w:tblW w:w="0" w:type="auto"/>
        <w:tblLook w:val="04A0" w:firstRow="1" w:lastRow="0" w:firstColumn="1" w:lastColumn="0" w:noHBand="0" w:noVBand="1"/>
      </w:tblPr>
      <w:tblGrid>
        <w:gridCol w:w="9475"/>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Parent Elements</w:t>
            </w:r>
          </w:p>
        </w:tc>
      </w:tr>
      <w:tr w:rsidR="005F78FC" w:rsidTr="005F78FC">
        <w:tc>
          <w:tcPr>
            <w:tcW w:w="0" w:type="auto"/>
            <w:vAlign w:val="center"/>
          </w:tcPr>
          <w:p w:rsidR="005F78FC" w:rsidRDefault="00B42EF3">
            <w:pPr>
              <w:pStyle w:val="TableBodyText"/>
            </w:pPr>
            <w:r>
              <w:rPr>
                <w:b/>
              </w:rPr>
              <w:t>customXml</w:t>
            </w:r>
            <w:r>
              <w:t xml:space="preserve"> (§</w:t>
            </w:r>
            <w:hyperlink w:anchor="Section_d188da3eb34b4445b3a0118155f75ff3">
              <w:r>
                <w:rPr>
                  <w:rStyle w:val="Hyperlink"/>
                </w:rPr>
                <w:t>3.1.3.1.1, customXml</w:t>
              </w:r>
            </w:hyperlink>
            <w:r>
              <w:t xml:space="preserve">); </w:t>
            </w:r>
            <w:r>
              <w:rPr>
                <w:b/>
              </w:rPr>
              <w:t>fldSimple</w:t>
            </w:r>
            <w:r>
              <w:t xml:space="preserve"> (§3.1.3.1.2, fldSimple); </w:t>
            </w:r>
            <w:r>
              <w:rPr>
                <w:b/>
              </w:rPr>
              <w:t>hyperlink</w:t>
            </w:r>
            <w:r>
              <w:t xml:space="preserve"> (§</w:t>
            </w:r>
            <w:hyperlink w:anchor="Section_cc9e4bbd134f4d35b2c795fde8c633a7">
              <w:r>
                <w:rPr>
                  <w:rStyle w:val="Hyperlink"/>
                </w:rPr>
                <w:t>3.1.3.1.3, hyperlink</w:t>
              </w:r>
            </w:hyperlink>
            <w:r>
              <w:t xml:space="preserve">); </w:t>
            </w:r>
            <w:r>
              <w:rPr>
                <w:b/>
              </w:rPr>
              <w:t>rt</w:t>
            </w:r>
            <w:r>
              <w:t xml:space="preserve"> ("[ISO/IEC-29500-1] §17.3.3.24"); </w:t>
            </w:r>
            <w:r>
              <w:rPr>
                <w:b/>
              </w:rPr>
              <w:t>rubyBase</w:t>
            </w:r>
            <w:r>
              <w:t xml:space="preserve"> ("[ISO/IEC-29500-1] §1</w:t>
            </w:r>
            <w:r>
              <w:t xml:space="preserve">7.3.3.27"); </w:t>
            </w:r>
            <w:r>
              <w:rPr>
                <w:b/>
              </w:rPr>
              <w:t>sdtContent</w:t>
            </w:r>
            <w:r>
              <w:t xml:space="preserve"> (§</w:t>
            </w:r>
            <w:hyperlink w:anchor="Section_a3757e691f9b4322b17edee4d308d29e">
              <w:r>
                <w:rPr>
                  <w:rStyle w:val="Hyperlink"/>
                </w:rPr>
                <w:t>3.1.3.1.7, sdtContent</w:t>
              </w:r>
            </w:hyperlink>
            <w:r>
              <w:t>)</w:t>
            </w:r>
          </w:p>
        </w:tc>
      </w:tr>
    </w:tbl>
    <w:p w:rsidR="005F78FC" w:rsidRDefault="005F78FC"/>
    <w:p w:rsidR="005F78FC" w:rsidRDefault="005F78FC"/>
    <w:tbl>
      <w:tblPr>
        <w:tblStyle w:val="Table-ShadedHeader"/>
        <w:tblW w:w="0" w:type="auto"/>
        <w:tblLook w:val="04A0" w:firstRow="1" w:lastRow="0" w:firstColumn="1" w:lastColumn="0" w:noHBand="0" w:noVBand="1"/>
      </w:tblPr>
      <w:tblGrid>
        <w:gridCol w:w="6758"/>
        <w:gridCol w:w="2717"/>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Child Elements</w:t>
            </w:r>
          </w:p>
        </w:tc>
        <w:tc>
          <w:tcPr>
            <w:tcW w:w="0" w:type="auto"/>
            <w:vAlign w:val="center"/>
          </w:tcPr>
          <w:p w:rsidR="005F78FC" w:rsidRDefault="00B42EF3">
            <w:pPr>
              <w:pStyle w:val="TableHeaderText"/>
            </w:pPr>
            <w:r>
              <w:t>Subclause</w:t>
            </w:r>
          </w:p>
        </w:tc>
      </w:tr>
      <w:tr w:rsidR="005F78FC" w:rsidTr="005F78FC">
        <w:tc>
          <w:tcPr>
            <w:tcW w:w="0" w:type="auto"/>
            <w:vAlign w:val="center"/>
          </w:tcPr>
          <w:p w:rsidR="005F78FC" w:rsidRDefault="00B42EF3">
            <w:pPr>
              <w:pStyle w:val="TableBodyText"/>
            </w:pPr>
            <w:r>
              <w:rPr>
                <w:b/>
              </w:rPr>
              <w:t>acc</w:t>
            </w:r>
            <w:r>
              <w:t xml:space="preserve"> (Accent)</w:t>
            </w:r>
          </w:p>
        </w:tc>
        <w:tc>
          <w:tcPr>
            <w:tcW w:w="0" w:type="auto"/>
            <w:vAlign w:val="center"/>
          </w:tcPr>
          <w:p w:rsidR="005F78FC" w:rsidRDefault="00B42EF3">
            <w:pPr>
              <w:pStyle w:val="TableBodyText"/>
            </w:pPr>
            <w:r>
              <w:t>"[ISO/IEC-29500-1] §22.1.2.1"</w:t>
            </w:r>
          </w:p>
        </w:tc>
      </w:tr>
      <w:tr w:rsidR="005F78FC" w:rsidTr="005F78FC">
        <w:tc>
          <w:tcPr>
            <w:tcW w:w="0" w:type="auto"/>
            <w:vAlign w:val="center"/>
          </w:tcPr>
          <w:p w:rsidR="005F78FC" w:rsidRDefault="00B42EF3">
            <w:pPr>
              <w:pStyle w:val="TableBodyText"/>
            </w:pPr>
            <w:r>
              <w:rPr>
                <w:b/>
              </w:rPr>
              <w:t>bar</w:t>
            </w:r>
            <w:r>
              <w:t xml:space="preserve"> (Bar)</w:t>
            </w:r>
          </w:p>
        </w:tc>
        <w:tc>
          <w:tcPr>
            <w:tcW w:w="0" w:type="auto"/>
            <w:vAlign w:val="center"/>
          </w:tcPr>
          <w:p w:rsidR="005F78FC" w:rsidRDefault="00B42EF3">
            <w:pPr>
              <w:pStyle w:val="TableBodyText"/>
            </w:pPr>
            <w:r>
              <w:t>"[ISO/IEC-29500-1] §22.1.2.7"</w:t>
            </w:r>
          </w:p>
        </w:tc>
      </w:tr>
      <w:tr w:rsidR="005F78FC" w:rsidTr="005F78FC">
        <w:tc>
          <w:tcPr>
            <w:tcW w:w="0" w:type="auto"/>
            <w:vAlign w:val="center"/>
          </w:tcPr>
          <w:p w:rsidR="005F78FC" w:rsidRDefault="00B42EF3">
            <w:pPr>
              <w:pStyle w:val="TableBodyText"/>
            </w:pPr>
            <w:r>
              <w:rPr>
                <w:b/>
              </w:rPr>
              <w:t>bookmarkEnd</w:t>
            </w:r>
            <w:r>
              <w:t xml:space="preserve"> (Bookmark End)</w:t>
            </w:r>
          </w:p>
        </w:tc>
        <w:tc>
          <w:tcPr>
            <w:tcW w:w="0" w:type="auto"/>
            <w:vAlign w:val="center"/>
          </w:tcPr>
          <w:p w:rsidR="005F78FC" w:rsidRDefault="00B42EF3">
            <w:pPr>
              <w:pStyle w:val="TableBodyText"/>
            </w:pPr>
            <w:r>
              <w:t>"</w:t>
            </w:r>
            <w:r>
              <w:t>[ISO/IEC-29500-1] §17.13.6.1"</w:t>
            </w:r>
          </w:p>
        </w:tc>
      </w:tr>
      <w:tr w:rsidR="005F78FC" w:rsidTr="005F78FC">
        <w:tc>
          <w:tcPr>
            <w:tcW w:w="0" w:type="auto"/>
            <w:vAlign w:val="center"/>
          </w:tcPr>
          <w:p w:rsidR="005F78FC" w:rsidRDefault="00B42EF3">
            <w:pPr>
              <w:pStyle w:val="TableBodyText"/>
            </w:pPr>
            <w:r>
              <w:rPr>
                <w:b/>
              </w:rPr>
              <w:t>bookmarkStart</w:t>
            </w:r>
            <w:r>
              <w:t xml:space="preserve"> (Bookmark Start)</w:t>
            </w:r>
          </w:p>
        </w:tc>
        <w:tc>
          <w:tcPr>
            <w:tcW w:w="0" w:type="auto"/>
            <w:vAlign w:val="center"/>
          </w:tcPr>
          <w:p w:rsidR="005F78FC" w:rsidRDefault="00B42EF3">
            <w:pPr>
              <w:pStyle w:val="TableBodyText"/>
            </w:pPr>
            <w:r>
              <w:t>"[ISO/IEC-29500-1] §17.13.6.2"</w:t>
            </w:r>
          </w:p>
        </w:tc>
      </w:tr>
      <w:tr w:rsidR="005F78FC" w:rsidTr="005F78FC">
        <w:tc>
          <w:tcPr>
            <w:tcW w:w="0" w:type="auto"/>
            <w:vAlign w:val="center"/>
          </w:tcPr>
          <w:p w:rsidR="005F78FC" w:rsidRDefault="00B42EF3">
            <w:pPr>
              <w:pStyle w:val="TableBodyText"/>
            </w:pPr>
            <w:r>
              <w:rPr>
                <w:b/>
              </w:rPr>
              <w:t>borderBox</w:t>
            </w:r>
            <w:r>
              <w:t xml:space="preserve"> (Border-Box Object)</w:t>
            </w:r>
          </w:p>
        </w:tc>
        <w:tc>
          <w:tcPr>
            <w:tcW w:w="0" w:type="auto"/>
            <w:vAlign w:val="center"/>
          </w:tcPr>
          <w:p w:rsidR="005F78FC" w:rsidRDefault="00B42EF3">
            <w:pPr>
              <w:pStyle w:val="TableBodyText"/>
            </w:pPr>
            <w:r>
              <w:t>"[ISO/IEC-29500-1] §22.1.2.11"</w:t>
            </w:r>
          </w:p>
        </w:tc>
      </w:tr>
      <w:tr w:rsidR="005F78FC" w:rsidTr="005F78FC">
        <w:tc>
          <w:tcPr>
            <w:tcW w:w="0" w:type="auto"/>
            <w:vAlign w:val="center"/>
          </w:tcPr>
          <w:p w:rsidR="005F78FC" w:rsidRDefault="00B42EF3">
            <w:pPr>
              <w:pStyle w:val="TableBodyText"/>
            </w:pPr>
            <w:r>
              <w:rPr>
                <w:b/>
              </w:rPr>
              <w:t>box</w:t>
            </w:r>
            <w:r>
              <w:t xml:space="preserve"> (Box Object)</w:t>
            </w:r>
          </w:p>
        </w:tc>
        <w:tc>
          <w:tcPr>
            <w:tcW w:w="0" w:type="auto"/>
            <w:vAlign w:val="center"/>
          </w:tcPr>
          <w:p w:rsidR="005F78FC" w:rsidRDefault="00B42EF3">
            <w:pPr>
              <w:pStyle w:val="TableBodyText"/>
            </w:pPr>
            <w:r>
              <w:t>"[ISO/IEC-29500-1] §22.1.2.13"</w:t>
            </w:r>
          </w:p>
        </w:tc>
      </w:tr>
      <w:tr w:rsidR="005F78FC" w:rsidTr="005F78FC">
        <w:tc>
          <w:tcPr>
            <w:tcW w:w="0" w:type="auto"/>
            <w:vAlign w:val="center"/>
          </w:tcPr>
          <w:p w:rsidR="005F78FC" w:rsidRDefault="00B42EF3">
            <w:pPr>
              <w:pStyle w:val="TableBodyText"/>
            </w:pPr>
            <w:r>
              <w:rPr>
                <w:b/>
              </w:rPr>
              <w:t>commentRangeEnd</w:t>
            </w:r>
            <w:r>
              <w:t xml:space="preserve"> (Comment Anchor Range End)</w:t>
            </w:r>
          </w:p>
        </w:tc>
        <w:tc>
          <w:tcPr>
            <w:tcW w:w="0" w:type="auto"/>
            <w:vAlign w:val="center"/>
          </w:tcPr>
          <w:p w:rsidR="005F78FC" w:rsidRDefault="00B42EF3">
            <w:pPr>
              <w:pStyle w:val="TableBodyText"/>
            </w:pPr>
            <w:r>
              <w:t>"</w:t>
            </w:r>
            <w:r>
              <w:t>[ISO/IEC-29500-1] §17.13.4.3"</w:t>
            </w:r>
          </w:p>
        </w:tc>
      </w:tr>
      <w:tr w:rsidR="005F78FC" w:rsidTr="005F78FC">
        <w:tc>
          <w:tcPr>
            <w:tcW w:w="0" w:type="auto"/>
            <w:vAlign w:val="center"/>
          </w:tcPr>
          <w:p w:rsidR="005F78FC" w:rsidRDefault="00B42EF3">
            <w:pPr>
              <w:pStyle w:val="TableBodyText"/>
            </w:pPr>
            <w:r>
              <w:rPr>
                <w:b/>
              </w:rPr>
              <w:t>commentRangeStart</w:t>
            </w:r>
            <w:r>
              <w:t xml:space="preserve"> (Comment Anchor Range Start)</w:t>
            </w:r>
          </w:p>
        </w:tc>
        <w:tc>
          <w:tcPr>
            <w:tcW w:w="0" w:type="auto"/>
            <w:vAlign w:val="center"/>
          </w:tcPr>
          <w:p w:rsidR="005F78FC" w:rsidRDefault="00B42EF3">
            <w:pPr>
              <w:pStyle w:val="TableBodyText"/>
            </w:pPr>
            <w:r>
              <w:t>"[ISO/IEC-29500-1] §17.13.4.4"</w:t>
            </w:r>
          </w:p>
        </w:tc>
      </w:tr>
      <w:tr w:rsidR="005F78FC" w:rsidTr="005F78FC">
        <w:tc>
          <w:tcPr>
            <w:tcW w:w="0" w:type="auto"/>
            <w:vAlign w:val="center"/>
          </w:tcPr>
          <w:p w:rsidR="005F78FC" w:rsidRDefault="00B42EF3">
            <w:pPr>
              <w:pStyle w:val="TableBodyText"/>
            </w:pPr>
            <w:r>
              <w:rPr>
                <w:b/>
              </w:rPr>
              <w:lastRenderedPageBreak/>
              <w:t>customXml</w:t>
            </w:r>
            <w:r>
              <w:t xml:space="preserve"> (Ruby Inline-Level Custom XML Element)</w:t>
            </w:r>
          </w:p>
        </w:tc>
        <w:tc>
          <w:tcPr>
            <w:tcW w:w="0" w:type="auto"/>
            <w:vAlign w:val="center"/>
          </w:tcPr>
          <w:p w:rsidR="005F78FC" w:rsidRDefault="00B42EF3">
            <w:pPr>
              <w:pStyle w:val="TableBodyText"/>
            </w:pPr>
            <w:r>
              <w:t>§3.1.3.1.1, customXml</w:t>
            </w:r>
          </w:p>
        </w:tc>
      </w:tr>
      <w:tr w:rsidR="005F78FC" w:rsidTr="005F78FC">
        <w:tc>
          <w:tcPr>
            <w:tcW w:w="0" w:type="auto"/>
            <w:vAlign w:val="center"/>
          </w:tcPr>
          <w:p w:rsidR="005F78FC" w:rsidRDefault="00B42EF3">
            <w:pPr>
              <w:pStyle w:val="TableBodyText"/>
            </w:pPr>
            <w:r>
              <w:rPr>
                <w:b/>
              </w:rPr>
              <w:t>customXmlDelRangeEnd</w:t>
            </w:r>
            <w:r>
              <w:t xml:space="preserve"> (Custom XML Markup Deletion End)</w:t>
            </w:r>
          </w:p>
        </w:tc>
        <w:tc>
          <w:tcPr>
            <w:tcW w:w="0" w:type="auto"/>
            <w:vAlign w:val="center"/>
          </w:tcPr>
          <w:p w:rsidR="005F78FC" w:rsidRDefault="00B42EF3">
            <w:pPr>
              <w:pStyle w:val="TableBodyText"/>
            </w:pPr>
            <w:r>
              <w:t>"[ISO/IEC-29500-1] §</w:t>
            </w:r>
            <w:r>
              <w:t>17.13.5.4"</w:t>
            </w:r>
          </w:p>
        </w:tc>
      </w:tr>
      <w:tr w:rsidR="005F78FC" w:rsidTr="005F78FC">
        <w:tc>
          <w:tcPr>
            <w:tcW w:w="0" w:type="auto"/>
            <w:vAlign w:val="center"/>
          </w:tcPr>
          <w:p w:rsidR="005F78FC" w:rsidRDefault="00B42EF3">
            <w:pPr>
              <w:pStyle w:val="TableBodyText"/>
            </w:pPr>
            <w:r>
              <w:rPr>
                <w:b/>
              </w:rPr>
              <w:t>customXmlDelRangeStart</w:t>
            </w:r>
            <w:r>
              <w:t xml:space="preserve"> (Custom XML Markup Deletion Start)</w:t>
            </w:r>
          </w:p>
        </w:tc>
        <w:tc>
          <w:tcPr>
            <w:tcW w:w="0" w:type="auto"/>
            <w:vAlign w:val="center"/>
          </w:tcPr>
          <w:p w:rsidR="005F78FC" w:rsidRDefault="00B42EF3">
            <w:pPr>
              <w:pStyle w:val="TableBodyText"/>
            </w:pPr>
            <w:r>
              <w:t>"[ISO/IEC-29500-1] §17.13.5.5"</w:t>
            </w:r>
          </w:p>
        </w:tc>
      </w:tr>
      <w:tr w:rsidR="005F78FC" w:rsidTr="005F78FC">
        <w:tc>
          <w:tcPr>
            <w:tcW w:w="0" w:type="auto"/>
            <w:vAlign w:val="center"/>
          </w:tcPr>
          <w:p w:rsidR="005F78FC" w:rsidRDefault="00B42EF3">
            <w:pPr>
              <w:pStyle w:val="TableBodyText"/>
            </w:pPr>
            <w:r>
              <w:rPr>
                <w:b/>
              </w:rPr>
              <w:t>customXmlInsRangeEnd</w:t>
            </w:r>
            <w:r>
              <w:t xml:space="preserve"> (Custom XML Markup Insertion End)</w:t>
            </w:r>
          </w:p>
        </w:tc>
        <w:tc>
          <w:tcPr>
            <w:tcW w:w="0" w:type="auto"/>
            <w:vAlign w:val="center"/>
          </w:tcPr>
          <w:p w:rsidR="005F78FC" w:rsidRDefault="00B42EF3">
            <w:pPr>
              <w:pStyle w:val="TableBodyText"/>
            </w:pPr>
            <w:r>
              <w:t>"[ISO/IEC-29500-1] §17.13.5.6"</w:t>
            </w:r>
          </w:p>
        </w:tc>
      </w:tr>
      <w:tr w:rsidR="005F78FC" w:rsidTr="005F78FC">
        <w:tc>
          <w:tcPr>
            <w:tcW w:w="0" w:type="auto"/>
            <w:vAlign w:val="center"/>
          </w:tcPr>
          <w:p w:rsidR="005F78FC" w:rsidRDefault="00B42EF3">
            <w:pPr>
              <w:pStyle w:val="TableBodyText"/>
            </w:pPr>
            <w:r>
              <w:rPr>
                <w:b/>
              </w:rPr>
              <w:t>customXmlInsRangeStart</w:t>
            </w:r>
            <w:r>
              <w:t xml:space="preserve"> (Custom XML Markup Insertion Start)</w:t>
            </w:r>
          </w:p>
        </w:tc>
        <w:tc>
          <w:tcPr>
            <w:tcW w:w="0" w:type="auto"/>
            <w:vAlign w:val="center"/>
          </w:tcPr>
          <w:p w:rsidR="005F78FC" w:rsidRDefault="00B42EF3">
            <w:pPr>
              <w:pStyle w:val="TableBodyText"/>
            </w:pPr>
            <w:r>
              <w:t>"[ISO/IE</w:t>
            </w:r>
            <w:r>
              <w:t>C-29500-1] §17.13.5.7"</w:t>
            </w:r>
          </w:p>
        </w:tc>
      </w:tr>
      <w:tr w:rsidR="005F78FC" w:rsidTr="005F78FC">
        <w:tc>
          <w:tcPr>
            <w:tcW w:w="0" w:type="auto"/>
            <w:vAlign w:val="center"/>
          </w:tcPr>
          <w:p w:rsidR="005F78FC" w:rsidRDefault="00B42EF3">
            <w:pPr>
              <w:pStyle w:val="TableBodyText"/>
            </w:pPr>
            <w:r>
              <w:rPr>
                <w:b/>
              </w:rPr>
              <w:t>customXmlMoveFromRangeEnd</w:t>
            </w:r>
            <w:r>
              <w:t xml:space="preserve"> (Custom XML Markup Move Source End)</w:t>
            </w:r>
          </w:p>
        </w:tc>
        <w:tc>
          <w:tcPr>
            <w:tcW w:w="0" w:type="auto"/>
            <w:vAlign w:val="center"/>
          </w:tcPr>
          <w:p w:rsidR="005F78FC" w:rsidRDefault="00B42EF3">
            <w:pPr>
              <w:pStyle w:val="TableBodyText"/>
            </w:pPr>
            <w:r>
              <w:t>"[ISO/IEC-29500-1] §17.13.5.8"</w:t>
            </w:r>
          </w:p>
        </w:tc>
      </w:tr>
      <w:tr w:rsidR="005F78FC" w:rsidTr="005F78FC">
        <w:tc>
          <w:tcPr>
            <w:tcW w:w="0" w:type="auto"/>
            <w:vAlign w:val="center"/>
          </w:tcPr>
          <w:p w:rsidR="005F78FC" w:rsidRDefault="00B42EF3">
            <w:pPr>
              <w:pStyle w:val="TableBodyText"/>
            </w:pPr>
            <w:r>
              <w:rPr>
                <w:b/>
              </w:rPr>
              <w:t>customXmlMoveFromRangeStart</w:t>
            </w:r>
            <w:r>
              <w:t xml:space="preserve"> (Custom XML Markup Move Source Start)</w:t>
            </w:r>
          </w:p>
        </w:tc>
        <w:tc>
          <w:tcPr>
            <w:tcW w:w="0" w:type="auto"/>
            <w:vAlign w:val="center"/>
          </w:tcPr>
          <w:p w:rsidR="005F78FC" w:rsidRDefault="00B42EF3">
            <w:pPr>
              <w:pStyle w:val="TableBodyText"/>
            </w:pPr>
            <w:r>
              <w:t>"[ISO/IEC-29500-1] §17.13.5.9"</w:t>
            </w:r>
          </w:p>
        </w:tc>
      </w:tr>
      <w:tr w:rsidR="005F78FC" w:rsidTr="005F78FC">
        <w:tc>
          <w:tcPr>
            <w:tcW w:w="0" w:type="auto"/>
            <w:vAlign w:val="center"/>
          </w:tcPr>
          <w:p w:rsidR="005F78FC" w:rsidRDefault="00B42EF3">
            <w:pPr>
              <w:pStyle w:val="TableBodyText"/>
            </w:pPr>
            <w:r>
              <w:rPr>
                <w:b/>
              </w:rPr>
              <w:t>customXmlMoveToRangeEnd</w:t>
            </w:r>
            <w:r>
              <w:t xml:space="preserve"> (Custom XML Markup Move Destination Location End)</w:t>
            </w:r>
          </w:p>
        </w:tc>
        <w:tc>
          <w:tcPr>
            <w:tcW w:w="0" w:type="auto"/>
            <w:vAlign w:val="center"/>
          </w:tcPr>
          <w:p w:rsidR="005F78FC" w:rsidRDefault="00B42EF3">
            <w:pPr>
              <w:pStyle w:val="TableBodyText"/>
            </w:pPr>
            <w:r>
              <w:t>"[ISO/IEC-29500-1] §17.13.5.10"</w:t>
            </w:r>
          </w:p>
        </w:tc>
      </w:tr>
      <w:tr w:rsidR="005F78FC" w:rsidTr="005F78FC">
        <w:tc>
          <w:tcPr>
            <w:tcW w:w="0" w:type="auto"/>
            <w:vAlign w:val="center"/>
          </w:tcPr>
          <w:p w:rsidR="005F78FC" w:rsidRDefault="00B42EF3">
            <w:pPr>
              <w:pStyle w:val="TableBodyText"/>
            </w:pPr>
            <w:r>
              <w:rPr>
                <w:b/>
              </w:rPr>
              <w:t>customXmlMoveToRangeStart</w:t>
            </w:r>
            <w:r>
              <w:t xml:space="preserve"> (Custom XML Markup Move Destination Location Start)</w:t>
            </w:r>
          </w:p>
        </w:tc>
        <w:tc>
          <w:tcPr>
            <w:tcW w:w="0" w:type="auto"/>
            <w:vAlign w:val="center"/>
          </w:tcPr>
          <w:p w:rsidR="005F78FC" w:rsidRDefault="00B42EF3">
            <w:pPr>
              <w:pStyle w:val="TableBodyText"/>
            </w:pPr>
            <w:r>
              <w:t>"[ISO/IEC-29500-1] §17.13.5.11"</w:t>
            </w:r>
          </w:p>
        </w:tc>
      </w:tr>
      <w:tr w:rsidR="005F78FC" w:rsidTr="005F78FC">
        <w:tc>
          <w:tcPr>
            <w:tcW w:w="0" w:type="auto"/>
            <w:vAlign w:val="center"/>
          </w:tcPr>
          <w:p w:rsidR="005F78FC" w:rsidRDefault="00B42EF3">
            <w:pPr>
              <w:pStyle w:val="TableBodyText"/>
            </w:pPr>
            <w:r>
              <w:rPr>
                <w:b/>
              </w:rPr>
              <w:t>d</w:t>
            </w:r>
            <w:r>
              <w:t xml:space="preserve"> (Delimiter Object)</w:t>
            </w:r>
          </w:p>
        </w:tc>
        <w:tc>
          <w:tcPr>
            <w:tcW w:w="0" w:type="auto"/>
            <w:vAlign w:val="center"/>
          </w:tcPr>
          <w:p w:rsidR="005F78FC" w:rsidRDefault="00B42EF3">
            <w:pPr>
              <w:pStyle w:val="TableBodyText"/>
            </w:pPr>
            <w:r>
              <w:t>"[ISO/IEC-29500-1] §22.1.2.24"</w:t>
            </w:r>
          </w:p>
        </w:tc>
      </w:tr>
      <w:tr w:rsidR="005F78FC" w:rsidTr="005F78FC">
        <w:tc>
          <w:tcPr>
            <w:tcW w:w="0" w:type="auto"/>
            <w:vAlign w:val="center"/>
          </w:tcPr>
          <w:p w:rsidR="005F78FC" w:rsidRDefault="00B42EF3">
            <w:pPr>
              <w:pStyle w:val="TableBodyText"/>
            </w:pPr>
            <w:r>
              <w:rPr>
                <w:b/>
              </w:rPr>
              <w:t>del</w:t>
            </w:r>
            <w:r>
              <w:t xml:space="preserve"> (Del</w:t>
            </w:r>
            <w:r>
              <w:t>eted Run Content)</w:t>
            </w:r>
          </w:p>
        </w:tc>
        <w:tc>
          <w:tcPr>
            <w:tcW w:w="0" w:type="auto"/>
            <w:vAlign w:val="center"/>
          </w:tcPr>
          <w:p w:rsidR="005F78FC" w:rsidRDefault="00B42EF3">
            <w:pPr>
              <w:pStyle w:val="TableBodyText"/>
            </w:pPr>
            <w:r>
              <w:t>"[ISO/IEC-29500-1] §17.13.5.14"</w:t>
            </w:r>
          </w:p>
        </w:tc>
      </w:tr>
      <w:tr w:rsidR="005F78FC" w:rsidTr="005F78FC">
        <w:tc>
          <w:tcPr>
            <w:tcW w:w="0" w:type="auto"/>
            <w:vAlign w:val="center"/>
          </w:tcPr>
          <w:p w:rsidR="005F78FC" w:rsidRDefault="00B42EF3">
            <w:pPr>
              <w:pStyle w:val="TableBodyText"/>
            </w:pPr>
            <w:r>
              <w:rPr>
                <w:b/>
              </w:rPr>
              <w:t>eqArr</w:t>
            </w:r>
            <w:r>
              <w:t xml:space="preserve"> (Array Object)</w:t>
            </w:r>
          </w:p>
        </w:tc>
        <w:tc>
          <w:tcPr>
            <w:tcW w:w="0" w:type="auto"/>
            <w:vAlign w:val="center"/>
          </w:tcPr>
          <w:p w:rsidR="005F78FC" w:rsidRDefault="00B42EF3">
            <w:pPr>
              <w:pStyle w:val="TableBodyText"/>
            </w:pPr>
            <w:r>
              <w:t>"[ISO/IEC-29500-1] §22.1.2.34"</w:t>
            </w:r>
          </w:p>
        </w:tc>
      </w:tr>
      <w:tr w:rsidR="005F78FC" w:rsidTr="005F78FC">
        <w:tc>
          <w:tcPr>
            <w:tcW w:w="0" w:type="auto"/>
            <w:vAlign w:val="center"/>
          </w:tcPr>
          <w:p w:rsidR="005F78FC" w:rsidRDefault="00B42EF3">
            <w:pPr>
              <w:pStyle w:val="TableBodyText"/>
            </w:pPr>
            <w:r>
              <w:rPr>
                <w:b/>
              </w:rPr>
              <w:t>f</w:t>
            </w:r>
            <w:r>
              <w:t xml:space="preserve"> (Fraction Object)</w:t>
            </w:r>
          </w:p>
        </w:tc>
        <w:tc>
          <w:tcPr>
            <w:tcW w:w="0" w:type="auto"/>
            <w:vAlign w:val="center"/>
          </w:tcPr>
          <w:p w:rsidR="005F78FC" w:rsidRDefault="00B42EF3">
            <w:pPr>
              <w:pStyle w:val="TableBodyText"/>
            </w:pPr>
            <w:r>
              <w:t>"[ISO/IEC-29500-1] §22.1.2.36"</w:t>
            </w:r>
          </w:p>
        </w:tc>
      </w:tr>
      <w:tr w:rsidR="005F78FC" w:rsidTr="005F78FC">
        <w:tc>
          <w:tcPr>
            <w:tcW w:w="0" w:type="auto"/>
            <w:vAlign w:val="center"/>
          </w:tcPr>
          <w:p w:rsidR="005F78FC" w:rsidRDefault="00B42EF3">
            <w:pPr>
              <w:pStyle w:val="TableBodyText"/>
            </w:pPr>
            <w:r>
              <w:rPr>
                <w:b/>
              </w:rPr>
              <w:t>fldData</w:t>
            </w:r>
            <w:r>
              <w:t xml:space="preserve"> (Custom Field Data)</w:t>
            </w:r>
          </w:p>
        </w:tc>
        <w:tc>
          <w:tcPr>
            <w:tcW w:w="0" w:type="auto"/>
            <w:vAlign w:val="center"/>
          </w:tcPr>
          <w:p w:rsidR="005F78FC" w:rsidRDefault="00B42EF3">
            <w:pPr>
              <w:pStyle w:val="TableBodyText"/>
            </w:pPr>
            <w:r>
              <w:t>"</w:t>
            </w:r>
            <w:hyperlink r:id="rId291">
              <w:r>
                <w:rPr>
                  <w:rStyle w:val="Hyperlink"/>
                </w:rPr>
                <w:t>[ISO/</w:t>
              </w:r>
              <w:r>
                <w:rPr>
                  <w:rStyle w:val="Hyperlink"/>
                </w:rPr>
                <w:t>IEC-29500-4]</w:t>
              </w:r>
            </w:hyperlink>
            <w:r>
              <w:t xml:space="preserve"> §14.9.6"</w:t>
            </w:r>
          </w:p>
        </w:tc>
      </w:tr>
      <w:tr w:rsidR="005F78FC" w:rsidTr="005F78FC">
        <w:tc>
          <w:tcPr>
            <w:tcW w:w="0" w:type="auto"/>
            <w:vAlign w:val="center"/>
          </w:tcPr>
          <w:p w:rsidR="005F78FC" w:rsidRDefault="00B42EF3">
            <w:pPr>
              <w:pStyle w:val="TableBodyText"/>
            </w:pPr>
            <w:r>
              <w:rPr>
                <w:b/>
              </w:rPr>
              <w:t>fldSimple</w:t>
            </w:r>
            <w:r>
              <w:t xml:space="preserve"> (Ruby Simple Field)</w:t>
            </w:r>
          </w:p>
        </w:tc>
        <w:tc>
          <w:tcPr>
            <w:tcW w:w="0" w:type="auto"/>
            <w:vAlign w:val="center"/>
          </w:tcPr>
          <w:p w:rsidR="005F78FC" w:rsidRDefault="00B42EF3">
            <w:pPr>
              <w:pStyle w:val="TableBodyText"/>
            </w:pPr>
            <w:r>
              <w:t>§3.1.3.1.2, fldSimple</w:t>
            </w:r>
          </w:p>
        </w:tc>
      </w:tr>
      <w:tr w:rsidR="005F78FC" w:rsidTr="005F78FC">
        <w:tc>
          <w:tcPr>
            <w:tcW w:w="0" w:type="auto"/>
            <w:vAlign w:val="center"/>
          </w:tcPr>
          <w:p w:rsidR="005F78FC" w:rsidRDefault="00B42EF3">
            <w:pPr>
              <w:pStyle w:val="TableBodyText"/>
            </w:pPr>
            <w:r>
              <w:rPr>
                <w:b/>
              </w:rPr>
              <w:t>func</w:t>
            </w:r>
            <w:r>
              <w:t xml:space="preserve"> (Function Apply Object)</w:t>
            </w:r>
          </w:p>
        </w:tc>
        <w:tc>
          <w:tcPr>
            <w:tcW w:w="0" w:type="auto"/>
            <w:vAlign w:val="center"/>
          </w:tcPr>
          <w:p w:rsidR="005F78FC" w:rsidRDefault="00B42EF3">
            <w:pPr>
              <w:pStyle w:val="TableBodyText"/>
            </w:pPr>
            <w:r>
              <w:t>"[ISO/IEC-29500-1] §22.1.2.39"</w:t>
            </w:r>
          </w:p>
        </w:tc>
      </w:tr>
      <w:tr w:rsidR="005F78FC" w:rsidTr="005F78FC">
        <w:tc>
          <w:tcPr>
            <w:tcW w:w="0" w:type="auto"/>
            <w:vAlign w:val="center"/>
          </w:tcPr>
          <w:p w:rsidR="005F78FC" w:rsidRDefault="00B42EF3">
            <w:pPr>
              <w:pStyle w:val="TableBodyText"/>
            </w:pPr>
            <w:r>
              <w:rPr>
                <w:b/>
              </w:rPr>
              <w:t>groupChr</w:t>
            </w:r>
            <w:r>
              <w:t xml:space="preserve"> (Group-Character Object)</w:t>
            </w:r>
          </w:p>
        </w:tc>
        <w:tc>
          <w:tcPr>
            <w:tcW w:w="0" w:type="auto"/>
            <w:vAlign w:val="center"/>
          </w:tcPr>
          <w:p w:rsidR="005F78FC" w:rsidRDefault="00B42EF3">
            <w:pPr>
              <w:pStyle w:val="TableBodyText"/>
            </w:pPr>
            <w:r>
              <w:t>"[ISO/IEC-29500-1] §22.1.2.41"</w:t>
            </w:r>
          </w:p>
        </w:tc>
      </w:tr>
      <w:tr w:rsidR="005F78FC" w:rsidTr="005F78FC">
        <w:tc>
          <w:tcPr>
            <w:tcW w:w="0" w:type="auto"/>
            <w:vAlign w:val="center"/>
          </w:tcPr>
          <w:p w:rsidR="005F78FC" w:rsidRDefault="00B42EF3">
            <w:pPr>
              <w:pStyle w:val="TableBodyText"/>
            </w:pPr>
            <w:r>
              <w:rPr>
                <w:b/>
              </w:rPr>
              <w:t>hyperlink</w:t>
            </w:r>
            <w:r>
              <w:t xml:space="preserve"> (Ruby Hyperlink)</w:t>
            </w:r>
          </w:p>
        </w:tc>
        <w:tc>
          <w:tcPr>
            <w:tcW w:w="0" w:type="auto"/>
            <w:vAlign w:val="center"/>
          </w:tcPr>
          <w:p w:rsidR="005F78FC" w:rsidRDefault="00B42EF3">
            <w:pPr>
              <w:pStyle w:val="TableBodyText"/>
            </w:pPr>
            <w:r>
              <w:t>§3.1.3.1.3, hyperlink</w:t>
            </w:r>
          </w:p>
        </w:tc>
      </w:tr>
      <w:tr w:rsidR="005F78FC" w:rsidTr="005F78FC">
        <w:tc>
          <w:tcPr>
            <w:tcW w:w="0" w:type="auto"/>
            <w:vAlign w:val="center"/>
          </w:tcPr>
          <w:p w:rsidR="005F78FC" w:rsidRDefault="00B42EF3">
            <w:pPr>
              <w:pStyle w:val="TableBodyText"/>
            </w:pPr>
            <w:r>
              <w:rPr>
                <w:b/>
              </w:rPr>
              <w:t>ins</w:t>
            </w:r>
            <w:r>
              <w:t xml:space="preserve"> (Inserted Run Content)</w:t>
            </w:r>
          </w:p>
        </w:tc>
        <w:tc>
          <w:tcPr>
            <w:tcW w:w="0" w:type="auto"/>
            <w:vAlign w:val="center"/>
          </w:tcPr>
          <w:p w:rsidR="005F78FC" w:rsidRDefault="00B42EF3">
            <w:pPr>
              <w:pStyle w:val="TableBodyText"/>
            </w:pPr>
            <w:r>
              <w:t>"[ISO/IEC-29500-1] §17.13.5.18"</w:t>
            </w:r>
          </w:p>
        </w:tc>
      </w:tr>
      <w:tr w:rsidR="005F78FC" w:rsidTr="005F78FC">
        <w:tc>
          <w:tcPr>
            <w:tcW w:w="0" w:type="auto"/>
            <w:vAlign w:val="center"/>
          </w:tcPr>
          <w:p w:rsidR="005F78FC" w:rsidRDefault="00B42EF3">
            <w:pPr>
              <w:pStyle w:val="TableBodyText"/>
            </w:pPr>
            <w:r>
              <w:rPr>
                <w:b/>
              </w:rPr>
              <w:t>limLow</w:t>
            </w:r>
            <w:r>
              <w:t xml:space="preserve"> (Lower-Limit Object)</w:t>
            </w:r>
          </w:p>
        </w:tc>
        <w:tc>
          <w:tcPr>
            <w:tcW w:w="0" w:type="auto"/>
            <w:vAlign w:val="center"/>
          </w:tcPr>
          <w:p w:rsidR="005F78FC" w:rsidRDefault="00B42EF3">
            <w:pPr>
              <w:pStyle w:val="TableBodyText"/>
            </w:pPr>
            <w:r>
              <w:t>"[ISO/IEC-29500-1] §22.1.2.54"</w:t>
            </w:r>
          </w:p>
        </w:tc>
      </w:tr>
      <w:tr w:rsidR="005F78FC" w:rsidTr="005F78FC">
        <w:tc>
          <w:tcPr>
            <w:tcW w:w="0" w:type="auto"/>
            <w:vAlign w:val="center"/>
          </w:tcPr>
          <w:p w:rsidR="005F78FC" w:rsidRDefault="00B42EF3">
            <w:pPr>
              <w:pStyle w:val="TableBodyText"/>
            </w:pPr>
            <w:r>
              <w:rPr>
                <w:b/>
              </w:rPr>
              <w:t>limUpp</w:t>
            </w:r>
            <w:r>
              <w:t xml:space="preserve"> (Upper-Limit Object)</w:t>
            </w:r>
          </w:p>
        </w:tc>
        <w:tc>
          <w:tcPr>
            <w:tcW w:w="0" w:type="auto"/>
            <w:vAlign w:val="center"/>
          </w:tcPr>
          <w:p w:rsidR="005F78FC" w:rsidRDefault="00B42EF3">
            <w:pPr>
              <w:pStyle w:val="TableBodyText"/>
            </w:pPr>
            <w:r>
              <w:t>"[ISO/IEC-29500-1] §22.1.2.56"</w:t>
            </w:r>
          </w:p>
        </w:tc>
      </w:tr>
      <w:tr w:rsidR="005F78FC" w:rsidTr="005F78FC">
        <w:tc>
          <w:tcPr>
            <w:tcW w:w="0" w:type="auto"/>
            <w:vAlign w:val="center"/>
          </w:tcPr>
          <w:p w:rsidR="005F78FC" w:rsidRDefault="00B42EF3">
            <w:pPr>
              <w:pStyle w:val="TableBodyText"/>
            </w:pPr>
            <w:r>
              <w:rPr>
                <w:b/>
              </w:rPr>
              <w:t>m</w:t>
            </w:r>
            <w:r>
              <w:t xml:space="preserve"> (Matrix Object)</w:t>
            </w:r>
          </w:p>
        </w:tc>
        <w:tc>
          <w:tcPr>
            <w:tcW w:w="0" w:type="auto"/>
            <w:vAlign w:val="center"/>
          </w:tcPr>
          <w:p w:rsidR="005F78FC" w:rsidRDefault="00B42EF3">
            <w:pPr>
              <w:pStyle w:val="TableBodyText"/>
            </w:pPr>
            <w:r>
              <w:t>"[ISO/IEC-29500-1] §22.1.2.60"</w:t>
            </w:r>
          </w:p>
        </w:tc>
      </w:tr>
      <w:tr w:rsidR="005F78FC" w:rsidTr="005F78FC">
        <w:tc>
          <w:tcPr>
            <w:tcW w:w="0" w:type="auto"/>
            <w:vAlign w:val="center"/>
          </w:tcPr>
          <w:p w:rsidR="005F78FC" w:rsidRDefault="00B42EF3">
            <w:pPr>
              <w:pStyle w:val="TableBodyText"/>
            </w:pPr>
            <w:r>
              <w:rPr>
                <w:b/>
              </w:rPr>
              <w:t>moveFrom</w:t>
            </w:r>
            <w:r>
              <w:t xml:space="preserve"> (Move Source Run Con</w:t>
            </w:r>
            <w:r>
              <w:t>tent)</w:t>
            </w:r>
          </w:p>
        </w:tc>
        <w:tc>
          <w:tcPr>
            <w:tcW w:w="0" w:type="auto"/>
            <w:vAlign w:val="center"/>
          </w:tcPr>
          <w:p w:rsidR="005F78FC" w:rsidRDefault="00B42EF3">
            <w:pPr>
              <w:pStyle w:val="TableBodyText"/>
            </w:pPr>
            <w:r>
              <w:t xml:space="preserve">"[ISO/IEC-29500-1] </w:t>
            </w:r>
            <w:r>
              <w:lastRenderedPageBreak/>
              <w:t>§17.13.5.22"</w:t>
            </w:r>
          </w:p>
        </w:tc>
      </w:tr>
      <w:tr w:rsidR="005F78FC" w:rsidTr="005F78FC">
        <w:tc>
          <w:tcPr>
            <w:tcW w:w="0" w:type="auto"/>
            <w:vAlign w:val="center"/>
          </w:tcPr>
          <w:p w:rsidR="005F78FC" w:rsidRDefault="00B42EF3">
            <w:pPr>
              <w:pStyle w:val="TableBodyText"/>
            </w:pPr>
            <w:r>
              <w:rPr>
                <w:b/>
              </w:rPr>
              <w:lastRenderedPageBreak/>
              <w:t>moveFromRangeEnd</w:t>
            </w:r>
            <w:r>
              <w:t xml:space="preserve"> (Move Source Location Container - End)</w:t>
            </w:r>
          </w:p>
        </w:tc>
        <w:tc>
          <w:tcPr>
            <w:tcW w:w="0" w:type="auto"/>
            <w:vAlign w:val="center"/>
          </w:tcPr>
          <w:p w:rsidR="005F78FC" w:rsidRDefault="00B42EF3">
            <w:pPr>
              <w:pStyle w:val="TableBodyText"/>
            </w:pPr>
            <w:r>
              <w:t>"[ISO/IEC-29500-1] §17.13.5.23"</w:t>
            </w:r>
          </w:p>
        </w:tc>
      </w:tr>
      <w:tr w:rsidR="005F78FC" w:rsidTr="005F78FC">
        <w:tc>
          <w:tcPr>
            <w:tcW w:w="0" w:type="auto"/>
            <w:vAlign w:val="center"/>
          </w:tcPr>
          <w:p w:rsidR="005F78FC" w:rsidRDefault="00B42EF3">
            <w:pPr>
              <w:pStyle w:val="TableBodyText"/>
            </w:pPr>
            <w:r>
              <w:rPr>
                <w:b/>
              </w:rPr>
              <w:t>moveFromRangeStart</w:t>
            </w:r>
            <w:r>
              <w:t xml:space="preserve"> (Move Source Location Container - Start)</w:t>
            </w:r>
          </w:p>
        </w:tc>
        <w:tc>
          <w:tcPr>
            <w:tcW w:w="0" w:type="auto"/>
            <w:vAlign w:val="center"/>
          </w:tcPr>
          <w:p w:rsidR="005F78FC" w:rsidRDefault="00B42EF3">
            <w:pPr>
              <w:pStyle w:val="TableBodyText"/>
            </w:pPr>
            <w:r>
              <w:t>"[ISO/IEC-29500-1] §17.13.5.24"</w:t>
            </w:r>
          </w:p>
        </w:tc>
      </w:tr>
      <w:tr w:rsidR="005F78FC" w:rsidTr="005F78FC">
        <w:tc>
          <w:tcPr>
            <w:tcW w:w="0" w:type="auto"/>
            <w:vAlign w:val="center"/>
          </w:tcPr>
          <w:p w:rsidR="005F78FC" w:rsidRDefault="00B42EF3">
            <w:pPr>
              <w:pStyle w:val="TableBodyText"/>
            </w:pPr>
            <w:r>
              <w:rPr>
                <w:b/>
              </w:rPr>
              <w:t>moveTo</w:t>
            </w:r>
            <w:r>
              <w:t xml:space="preserve"> (Move Destination Run Content)</w:t>
            </w:r>
          </w:p>
        </w:tc>
        <w:tc>
          <w:tcPr>
            <w:tcW w:w="0" w:type="auto"/>
            <w:vAlign w:val="center"/>
          </w:tcPr>
          <w:p w:rsidR="005F78FC" w:rsidRDefault="00B42EF3">
            <w:pPr>
              <w:pStyle w:val="TableBodyText"/>
            </w:pPr>
            <w:r>
              <w:t>"[ISO/IEC-29500-1] §17.13.5.25"</w:t>
            </w:r>
          </w:p>
        </w:tc>
      </w:tr>
      <w:tr w:rsidR="005F78FC" w:rsidTr="005F78FC">
        <w:tc>
          <w:tcPr>
            <w:tcW w:w="0" w:type="auto"/>
            <w:vAlign w:val="center"/>
          </w:tcPr>
          <w:p w:rsidR="005F78FC" w:rsidRDefault="00B42EF3">
            <w:pPr>
              <w:pStyle w:val="TableBodyText"/>
            </w:pPr>
            <w:r>
              <w:rPr>
                <w:b/>
              </w:rPr>
              <w:t>moveToRangeEnd</w:t>
            </w:r>
            <w:r>
              <w:t xml:space="preserve"> (Move Destination Location Container - End)</w:t>
            </w:r>
          </w:p>
        </w:tc>
        <w:tc>
          <w:tcPr>
            <w:tcW w:w="0" w:type="auto"/>
            <w:vAlign w:val="center"/>
          </w:tcPr>
          <w:p w:rsidR="005F78FC" w:rsidRDefault="00B42EF3">
            <w:pPr>
              <w:pStyle w:val="TableBodyText"/>
            </w:pPr>
            <w:r>
              <w:t>"[ISO/IEC-29500-1] §17.13.5.27"</w:t>
            </w:r>
          </w:p>
        </w:tc>
      </w:tr>
      <w:tr w:rsidR="005F78FC" w:rsidTr="005F78FC">
        <w:tc>
          <w:tcPr>
            <w:tcW w:w="0" w:type="auto"/>
            <w:vAlign w:val="center"/>
          </w:tcPr>
          <w:p w:rsidR="005F78FC" w:rsidRDefault="00B42EF3">
            <w:pPr>
              <w:pStyle w:val="TableBodyText"/>
            </w:pPr>
            <w:r>
              <w:rPr>
                <w:b/>
              </w:rPr>
              <w:t>moveToRangeStart</w:t>
            </w:r>
            <w:r>
              <w:t xml:space="preserve"> (Move Destination Location Container - Start)</w:t>
            </w:r>
          </w:p>
        </w:tc>
        <w:tc>
          <w:tcPr>
            <w:tcW w:w="0" w:type="auto"/>
            <w:vAlign w:val="center"/>
          </w:tcPr>
          <w:p w:rsidR="005F78FC" w:rsidRDefault="00B42EF3">
            <w:pPr>
              <w:pStyle w:val="TableBodyText"/>
            </w:pPr>
            <w:r>
              <w:t>"[ISO/IEC-29500-1] §17.13.5.28"</w:t>
            </w:r>
          </w:p>
        </w:tc>
      </w:tr>
      <w:tr w:rsidR="005F78FC" w:rsidTr="005F78FC">
        <w:tc>
          <w:tcPr>
            <w:tcW w:w="0" w:type="auto"/>
            <w:vAlign w:val="center"/>
          </w:tcPr>
          <w:p w:rsidR="005F78FC" w:rsidRDefault="00B42EF3">
            <w:pPr>
              <w:pStyle w:val="TableBodyText"/>
            </w:pPr>
            <w:r>
              <w:rPr>
                <w:b/>
              </w:rPr>
              <w:t>nar</w:t>
            </w:r>
            <w:r>
              <w:rPr>
                <w:b/>
              </w:rPr>
              <w:t>y</w:t>
            </w:r>
            <w:r>
              <w:t xml:space="preserve"> (n-ary Operator Object)</w:t>
            </w:r>
          </w:p>
        </w:tc>
        <w:tc>
          <w:tcPr>
            <w:tcW w:w="0" w:type="auto"/>
            <w:vAlign w:val="center"/>
          </w:tcPr>
          <w:p w:rsidR="005F78FC" w:rsidRDefault="00B42EF3">
            <w:pPr>
              <w:pStyle w:val="TableBodyText"/>
            </w:pPr>
            <w:r>
              <w:t>"[ISO/IEC-29500-1] §22.1.2.70"</w:t>
            </w:r>
          </w:p>
        </w:tc>
      </w:tr>
      <w:tr w:rsidR="005F78FC" w:rsidTr="005F78FC">
        <w:tc>
          <w:tcPr>
            <w:tcW w:w="0" w:type="auto"/>
            <w:vAlign w:val="center"/>
          </w:tcPr>
          <w:p w:rsidR="005F78FC" w:rsidRDefault="00B42EF3">
            <w:pPr>
              <w:pStyle w:val="TableBodyText"/>
            </w:pPr>
            <w:r>
              <w:rPr>
                <w:b/>
              </w:rPr>
              <w:t>oMath</w:t>
            </w:r>
            <w:r>
              <w:t xml:space="preserve"> (Office Math)</w:t>
            </w:r>
          </w:p>
        </w:tc>
        <w:tc>
          <w:tcPr>
            <w:tcW w:w="0" w:type="auto"/>
            <w:vAlign w:val="center"/>
          </w:tcPr>
          <w:p w:rsidR="005F78FC" w:rsidRDefault="00B42EF3">
            <w:pPr>
              <w:pStyle w:val="TableBodyText"/>
            </w:pPr>
            <w:r>
              <w:t>"[ISO/IEC-29500-1] §22.1.2.77"</w:t>
            </w:r>
          </w:p>
        </w:tc>
      </w:tr>
      <w:tr w:rsidR="005F78FC" w:rsidTr="005F78FC">
        <w:tc>
          <w:tcPr>
            <w:tcW w:w="0" w:type="auto"/>
            <w:vAlign w:val="center"/>
          </w:tcPr>
          <w:p w:rsidR="005F78FC" w:rsidRDefault="00B42EF3">
            <w:pPr>
              <w:pStyle w:val="TableBodyText"/>
            </w:pPr>
            <w:r>
              <w:rPr>
                <w:b/>
              </w:rPr>
              <w:t>oMathPara</w:t>
            </w:r>
            <w:r>
              <w:t xml:space="preserve"> (Office Math Paragraph)</w:t>
            </w:r>
          </w:p>
        </w:tc>
        <w:tc>
          <w:tcPr>
            <w:tcW w:w="0" w:type="auto"/>
            <w:vAlign w:val="center"/>
          </w:tcPr>
          <w:p w:rsidR="005F78FC" w:rsidRDefault="00B42EF3">
            <w:pPr>
              <w:pStyle w:val="TableBodyText"/>
            </w:pPr>
            <w:r>
              <w:t>"[ISO/IEC-29500-1] §22.1.2.78"</w:t>
            </w:r>
          </w:p>
        </w:tc>
      </w:tr>
      <w:tr w:rsidR="005F78FC" w:rsidTr="005F78FC">
        <w:tc>
          <w:tcPr>
            <w:tcW w:w="0" w:type="auto"/>
            <w:vAlign w:val="center"/>
          </w:tcPr>
          <w:p w:rsidR="005F78FC" w:rsidRDefault="00B42EF3">
            <w:pPr>
              <w:pStyle w:val="TableBodyText"/>
            </w:pPr>
            <w:r>
              <w:rPr>
                <w:b/>
              </w:rPr>
              <w:t>permEnd</w:t>
            </w:r>
            <w:r>
              <w:t xml:space="preserve"> (Range Permission End)</w:t>
            </w:r>
          </w:p>
        </w:tc>
        <w:tc>
          <w:tcPr>
            <w:tcW w:w="0" w:type="auto"/>
            <w:vAlign w:val="center"/>
          </w:tcPr>
          <w:p w:rsidR="005F78FC" w:rsidRDefault="00B42EF3">
            <w:pPr>
              <w:pStyle w:val="TableBodyText"/>
            </w:pPr>
            <w:r>
              <w:t>"[ISO/IEC-29500-1] §17.13.7.1"</w:t>
            </w:r>
          </w:p>
        </w:tc>
      </w:tr>
      <w:tr w:rsidR="005F78FC" w:rsidTr="005F78FC">
        <w:tc>
          <w:tcPr>
            <w:tcW w:w="0" w:type="auto"/>
            <w:vAlign w:val="center"/>
          </w:tcPr>
          <w:p w:rsidR="005F78FC" w:rsidRDefault="00B42EF3">
            <w:pPr>
              <w:pStyle w:val="TableBodyText"/>
            </w:pPr>
            <w:r>
              <w:rPr>
                <w:b/>
              </w:rPr>
              <w:t>permStart</w:t>
            </w:r>
            <w:r>
              <w:t xml:space="preserve"> (Range Permission Start)</w:t>
            </w:r>
          </w:p>
        </w:tc>
        <w:tc>
          <w:tcPr>
            <w:tcW w:w="0" w:type="auto"/>
            <w:vAlign w:val="center"/>
          </w:tcPr>
          <w:p w:rsidR="005F78FC" w:rsidRDefault="00B42EF3">
            <w:pPr>
              <w:pStyle w:val="TableBodyText"/>
            </w:pPr>
            <w:r>
              <w:t>"[ISO/IEC-29500-1] §17.13.7.2"</w:t>
            </w:r>
          </w:p>
        </w:tc>
      </w:tr>
      <w:tr w:rsidR="005F78FC" w:rsidTr="005F78FC">
        <w:tc>
          <w:tcPr>
            <w:tcW w:w="0" w:type="auto"/>
            <w:vAlign w:val="center"/>
          </w:tcPr>
          <w:p w:rsidR="005F78FC" w:rsidRDefault="00B42EF3">
            <w:pPr>
              <w:pStyle w:val="TableBodyText"/>
            </w:pPr>
            <w:r>
              <w:rPr>
                <w:b/>
              </w:rPr>
              <w:t>phant</w:t>
            </w:r>
            <w:r>
              <w:t xml:space="preserve"> (Phantom Object)</w:t>
            </w:r>
          </w:p>
        </w:tc>
        <w:tc>
          <w:tcPr>
            <w:tcW w:w="0" w:type="auto"/>
            <w:vAlign w:val="center"/>
          </w:tcPr>
          <w:p w:rsidR="005F78FC" w:rsidRDefault="00B42EF3">
            <w:pPr>
              <w:pStyle w:val="TableBodyText"/>
            </w:pPr>
            <w:r>
              <w:t>"[ISO/IEC-29500-1] §22.1.2.81"</w:t>
            </w:r>
          </w:p>
        </w:tc>
      </w:tr>
      <w:tr w:rsidR="005F78FC" w:rsidTr="005F78FC">
        <w:tc>
          <w:tcPr>
            <w:tcW w:w="0" w:type="auto"/>
            <w:vAlign w:val="center"/>
          </w:tcPr>
          <w:p w:rsidR="005F78FC" w:rsidRDefault="00B42EF3">
            <w:pPr>
              <w:pStyle w:val="TableBodyText"/>
            </w:pPr>
            <w:r>
              <w:rPr>
                <w:b/>
              </w:rPr>
              <w:t>proofErr</w:t>
            </w:r>
            <w:r>
              <w:t xml:space="preserve"> (Proofing Error Anchor)</w:t>
            </w:r>
          </w:p>
        </w:tc>
        <w:tc>
          <w:tcPr>
            <w:tcW w:w="0" w:type="auto"/>
            <w:vAlign w:val="center"/>
          </w:tcPr>
          <w:p w:rsidR="005F78FC" w:rsidRDefault="00B42EF3">
            <w:pPr>
              <w:pStyle w:val="TableBodyText"/>
            </w:pPr>
            <w:r>
              <w:t>"[ISO/IEC-29500-1] §17.13.8.1"</w:t>
            </w:r>
          </w:p>
        </w:tc>
      </w:tr>
      <w:tr w:rsidR="005F78FC" w:rsidTr="005F78FC">
        <w:tc>
          <w:tcPr>
            <w:tcW w:w="0" w:type="auto"/>
            <w:vAlign w:val="center"/>
          </w:tcPr>
          <w:p w:rsidR="005F78FC" w:rsidRDefault="00B42EF3">
            <w:pPr>
              <w:pStyle w:val="TableBodyText"/>
            </w:pPr>
            <w:r>
              <w:rPr>
                <w:b/>
              </w:rPr>
              <w:t>r</w:t>
            </w:r>
            <w:r>
              <w:t xml:space="preserve"> (Run)</w:t>
            </w:r>
          </w:p>
        </w:tc>
        <w:tc>
          <w:tcPr>
            <w:tcW w:w="0" w:type="auto"/>
            <w:vAlign w:val="center"/>
          </w:tcPr>
          <w:p w:rsidR="005F78FC" w:rsidRDefault="00B42EF3">
            <w:pPr>
              <w:pStyle w:val="TableBodyText"/>
            </w:pPr>
            <w:r>
              <w:t>"[ISO/IEC-29500-1] §22.1.2.87"</w:t>
            </w:r>
          </w:p>
        </w:tc>
      </w:tr>
      <w:tr w:rsidR="005F78FC" w:rsidTr="005F78FC">
        <w:tc>
          <w:tcPr>
            <w:tcW w:w="0" w:type="auto"/>
            <w:vAlign w:val="center"/>
          </w:tcPr>
          <w:p w:rsidR="005F78FC" w:rsidRDefault="00B42EF3">
            <w:pPr>
              <w:pStyle w:val="TableBodyText"/>
            </w:pPr>
            <w:r>
              <w:rPr>
                <w:b/>
              </w:rPr>
              <w:t>r</w:t>
            </w:r>
            <w:r>
              <w:t xml:space="preserve"> (Text Run)</w:t>
            </w:r>
          </w:p>
        </w:tc>
        <w:tc>
          <w:tcPr>
            <w:tcW w:w="0" w:type="auto"/>
            <w:vAlign w:val="center"/>
          </w:tcPr>
          <w:p w:rsidR="005F78FC" w:rsidRDefault="00B42EF3">
            <w:pPr>
              <w:pStyle w:val="TableBodyText"/>
            </w:pPr>
            <w:r>
              <w:t>"[ISO/IEC-29500-1]</w:t>
            </w:r>
            <w:r>
              <w:t xml:space="preserve"> §17.3.2.25"</w:t>
            </w:r>
          </w:p>
        </w:tc>
      </w:tr>
      <w:tr w:rsidR="005F78FC" w:rsidTr="005F78FC">
        <w:tc>
          <w:tcPr>
            <w:tcW w:w="0" w:type="auto"/>
            <w:vAlign w:val="center"/>
          </w:tcPr>
          <w:p w:rsidR="005F78FC" w:rsidRDefault="00B42EF3">
            <w:pPr>
              <w:pStyle w:val="TableBodyText"/>
            </w:pPr>
            <w:r>
              <w:rPr>
                <w:b/>
              </w:rPr>
              <w:t>rad</w:t>
            </w:r>
            <w:r>
              <w:t xml:space="preserve"> (Radical Object)</w:t>
            </w:r>
          </w:p>
        </w:tc>
        <w:tc>
          <w:tcPr>
            <w:tcW w:w="0" w:type="auto"/>
            <w:vAlign w:val="center"/>
          </w:tcPr>
          <w:p w:rsidR="005F78FC" w:rsidRDefault="00B42EF3">
            <w:pPr>
              <w:pStyle w:val="TableBodyText"/>
            </w:pPr>
            <w:r>
              <w:t>"[ISO/IEC-29500-1] §22.1.2.88"</w:t>
            </w:r>
          </w:p>
        </w:tc>
      </w:tr>
      <w:tr w:rsidR="005F78FC" w:rsidTr="005F78FC">
        <w:tc>
          <w:tcPr>
            <w:tcW w:w="0" w:type="auto"/>
            <w:vAlign w:val="center"/>
          </w:tcPr>
          <w:p w:rsidR="005F78FC" w:rsidRDefault="00B42EF3">
            <w:pPr>
              <w:pStyle w:val="TableBodyText"/>
            </w:pPr>
            <w:r>
              <w:rPr>
                <w:b/>
              </w:rPr>
              <w:t>sdt</w:t>
            </w:r>
            <w:r>
              <w:t xml:space="preserve"> (Ruby Inline-Level Structured Document Tag)</w:t>
            </w:r>
          </w:p>
        </w:tc>
        <w:tc>
          <w:tcPr>
            <w:tcW w:w="0" w:type="auto"/>
            <w:vAlign w:val="center"/>
          </w:tcPr>
          <w:p w:rsidR="005F78FC" w:rsidRDefault="00B42EF3">
            <w:pPr>
              <w:pStyle w:val="TableBodyText"/>
            </w:pPr>
            <w:r>
              <w:t>§</w:t>
            </w:r>
            <w:hyperlink w:anchor="Section_808b32d8ad644c849fb585ad68be54b9">
              <w:r>
                <w:rPr>
                  <w:rStyle w:val="Hyperlink"/>
                </w:rPr>
                <w:t>3.1.3.1.6, sdt</w:t>
              </w:r>
            </w:hyperlink>
          </w:p>
        </w:tc>
      </w:tr>
      <w:tr w:rsidR="005F78FC" w:rsidTr="005F78FC">
        <w:tc>
          <w:tcPr>
            <w:tcW w:w="0" w:type="auto"/>
            <w:vAlign w:val="center"/>
          </w:tcPr>
          <w:p w:rsidR="005F78FC" w:rsidRDefault="00B42EF3">
            <w:pPr>
              <w:pStyle w:val="TableBodyText"/>
            </w:pPr>
            <w:r>
              <w:rPr>
                <w:b/>
              </w:rPr>
              <w:t>sPre</w:t>
            </w:r>
            <w:r>
              <w:t xml:space="preserve"> (Pre-Sub-Superscript Object)</w:t>
            </w:r>
          </w:p>
        </w:tc>
        <w:tc>
          <w:tcPr>
            <w:tcW w:w="0" w:type="auto"/>
            <w:vAlign w:val="center"/>
          </w:tcPr>
          <w:p w:rsidR="005F78FC" w:rsidRDefault="00B42EF3">
            <w:pPr>
              <w:pStyle w:val="TableBodyText"/>
            </w:pPr>
            <w:r>
              <w:t>"[ISO/IEC-29500-1]</w:t>
            </w:r>
            <w:r>
              <w:t xml:space="preserve"> §22.1.2.99"</w:t>
            </w:r>
          </w:p>
        </w:tc>
      </w:tr>
      <w:tr w:rsidR="005F78FC" w:rsidTr="005F78FC">
        <w:tc>
          <w:tcPr>
            <w:tcW w:w="0" w:type="auto"/>
            <w:vAlign w:val="center"/>
          </w:tcPr>
          <w:p w:rsidR="005F78FC" w:rsidRDefault="00B42EF3">
            <w:pPr>
              <w:pStyle w:val="TableBodyText"/>
            </w:pPr>
            <w:r>
              <w:rPr>
                <w:b/>
              </w:rPr>
              <w:t>sSub</w:t>
            </w:r>
            <w:r>
              <w:t xml:space="preserve"> (Subscript Object)</w:t>
            </w:r>
          </w:p>
        </w:tc>
        <w:tc>
          <w:tcPr>
            <w:tcW w:w="0" w:type="auto"/>
            <w:vAlign w:val="center"/>
          </w:tcPr>
          <w:p w:rsidR="005F78FC" w:rsidRDefault="00B42EF3">
            <w:pPr>
              <w:pStyle w:val="TableBodyText"/>
            </w:pPr>
            <w:r>
              <w:t>"[ISO/IEC-29500-1] §22.1.2.101"</w:t>
            </w:r>
          </w:p>
        </w:tc>
      </w:tr>
      <w:tr w:rsidR="005F78FC" w:rsidTr="005F78FC">
        <w:tc>
          <w:tcPr>
            <w:tcW w:w="0" w:type="auto"/>
            <w:vAlign w:val="center"/>
          </w:tcPr>
          <w:p w:rsidR="005F78FC" w:rsidRDefault="00B42EF3">
            <w:pPr>
              <w:pStyle w:val="TableBodyText"/>
            </w:pPr>
            <w:r>
              <w:rPr>
                <w:b/>
              </w:rPr>
              <w:t>sSubSup</w:t>
            </w:r>
            <w:r>
              <w:t xml:space="preserve"> (Sub-Superscript Object)</w:t>
            </w:r>
          </w:p>
        </w:tc>
        <w:tc>
          <w:tcPr>
            <w:tcW w:w="0" w:type="auto"/>
            <w:vAlign w:val="center"/>
          </w:tcPr>
          <w:p w:rsidR="005F78FC" w:rsidRDefault="00B42EF3">
            <w:pPr>
              <w:pStyle w:val="TableBodyText"/>
            </w:pPr>
            <w:r>
              <w:t>"[ISO/IEC-29500-1] §22.1.2.103"</w:t>
            </w:r>
          </w:p>
        </w:tc>
      </w:tr>
      <w:tr w:rsidR="005F78FC" w:rsidTr="005F78FC">
        <w:tc>
          <w:tcPr>
            <w:tcW w:w="0" w:type="auto"/>
            <w:vAlign w:val="center"/>
          </w:tcPr>
          <w:p w:rsidR="005F78FC" w:rsidRDefault="00B42EF3">
            <w:pPr>
              <w:pStyle w:val="TableBodyText"/>
            </w:pPr>
            <w:r>
              <w:rPr>
                <w:b/>
              </w:rPr>
              <w:t>sSup</w:t>
            </w:r>
            <w:r>
              <w:t xml:space="preserve"> (Superscript Object)</w:t>
            </w:r>
          </w:p>
        </w:tc>
        <w:tc>
          <w:tcPr>
            <w:tcW w:w="0" w:type="auto"/>
            <w:vAlign w:val="center"/>
          </w:tcPr>
          <w:p w:rsidR="005F78FC" w:rsidRDefault="00B42EF3">
            <w:pPr>
              <w:pStyle w:val="TableBodyText"/>
            </w:pPr>
            <w:r>
              <w:t>"[ISO/IEC-29500-1] §22.1.2.105"</w:t>
            </w:r>
          </w:p>
        </w:tc>
      </w:tr>
    </w:tbl>
    <w:p w:rsidR="005F78FC" w:rsidRDefault="005F78FC"/>
    <w:p w:rsidR="005F78FC" w:rsidRDefault="005F78FC"/>
    <w:tbl>
      <w:tblPr>
        <w:tblStyle w:val="Table-ShadedHeader"/>
        <w:tblW w:w="0" w:type="auto"/>
        <w:tblLook w:val="04A0" w:firstRow="1" w:lastRow="0" w:firstColumn="1" w:lastColumn="0" w:noHBand="0" w:noVBand="1"/>
      </w:tblPr>
      <w:tblGrid>
        <w:gridCol w:w="1906"/>
        <w:gridCol w:w="7569"/>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Attributes</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rPr>
                <w:b/>
              </w:rPr>
              <w:t>dirty</w:t>
            </w:r>
            <w:r>
              <w:t xml:space="preserve"> (Field Result Invalidated)</w:t>
            </w:r>
          </w:p>
        </w:tc>
        <w:tc>
          <w:tcPr>
            <w:tcW w:w="0" w:type="auto"/>
            <w:vAlign w:val="center"/>
          </w:tcPr>
          <w:p w:rsidR="005F78FC" w:rsidRDefault="00B42EF3">
            <w:pPr>
              <w:pStyle w:val="TableBodyText"/>
            </w:pPr>
            <w:r>
              <w:t>Specifies that this field has been flagged by an application to indicate that its current results are invalid (stale) due to other modifications made to the document, and these contents should be updated before they are displayed if this functionality is s</w:t>
            </w:r>
            <w:r>
              <w:t>upported by the next processing application.</w:t>
            </w:r>
          </w:p>
          <w:p w:rsidR="005F78FC" w:rsidRDefault="005F78FC">
            <w:pPr>
              <w:pStyle w:val="TableBodyText"/>
            </w:pPr>
          </w:p>
          <w:p w:rsidR="005F78FC" w:rsidRDefault="00B42EF3">
            <w:pPr>
              <w:pStyle w:val="TableBodyText"/>
            </w:pPr>
            <w:r>
              <w:t xml:space="preserve">[Rationale: This functionality allows applications with limited subsets of the full functionality of ISO/IEC-29500 Office Open XML File Formats </w:t>
            </w:r>
            <w:hyperlink r:id="rId292">
              <w:r>
                <w:rPr>
                  <w:rStyle w:val="Hyperlink"/>
                </w:rPr>
                <w:t>[ISO/IEC29500:2012]</w:t>
              </w:r>
            </w:hyperlink>
            <w:r>
              <w:t xml:space="preserve"> to process documents without needing to understand and update all fields based on the semantics for their field codes.</w:t>
            </w:r>
          </w:p>
          <w:p w:rsidR="005F78FC" w:rsidRDefault="005F78FC">
            <w:pPr>
              <w:pStyle w:val="TableBodyText"/>
            </w:pPr>
          </w:p>
          <w:p w:rsidR="005F78FC" w:rsidRDefault="00B42EF3">
            <w:pPr>
              <w:pStyle w:val="TableBodyText"/>
            </w:pPr>
            <w:r>
              <w:t>For example, an application can add a new paragraph and flag the table of contents as dirty, without needing to unde</w:t>
            </w:r>
            <w:r>
              <w:t>rstand anything about how to recalculate that field's content. end rationale]</w:t>
            </w:r>
          </w:p>
          <w:p w:rsidR="005F78FC" w:rsidRDefault="005F78FC">
            <w:pPr>
              <w:pStyle w:val="TableBodyText"/>
            </w:pPr>
          </w:p>
          <w:p w:rsidR="005F78FC" w:rsidRDefault="00B42EF3">
            <w:pPr>
              <w:pStyle w:val="TableBodyText"/>
            </w:pPr>
            <w:r>
              <w:t xml:space="preserve">If this attribute is omitted, then its value shall be assumed to be </w:t>
            </w:r>
            <w:r>
              <w:rPr>
                <w:i/>
              </w:rPr>
              <w:t>false</w:t>
            </w:r>
            <w:r>
              <w:t>.</w:t>
            </w:r>
          </w:p>
          <w:p w:rsidR="005F78FC" w:rsidRDefault="005F78FC">
            <w:pPr>
              <w:pStyle w:val="TableBodyText"/>
            </w:pPr>
          </w:p>
          <w:p w:rsidR="005F78FC" w:rsidRDefault="00B42EF3">
            <w:pPr>
              <w:pStyle w:val="TableBodyText"/>
            </w:pPr>
            <w:r>
              <w:t>[Example: Consider the following WordprocessingML for a simple field:</w:t>
            </w:r>
          </w:p>
          <w:p w:rsidR="005F78FC" w:rsidRDefault="005F78FC">
            <w:pPr>
              <w:pStyle w:val="TableBodyText"/>
            </w:pPr>
          </w:p>
          <w:p w:rsidR="005F78FC" w:rsidRDefault="00B42EF3">
            <w:pPr>
              <w:pStyle w:val="Code"/>
            </w:pPr>
            <w:r>
              <w:t xml:space="preserve">&lt;w:fldSimple w:instr="AUTHOR" </w:t>
            </w:r>
            <w:r>
              <w:t>w:dirty="true"/&gt;</w:t>
            </w:r>
          </w:p>
          <w:p w:rsidR="005F78FC" w:rsidRDefault="005F78FC">
            <w:pPr>
              <w:pStyle w:val="Code"/>
            </w:pPr>
          </w:p>
          <w:p w:rsidR="005F78FC" w:rsidRDefault="00B42EF3">
            <w:pPr>
              <w:pStyle w:val="TableBodyText"/>
            </w:pPr>
            <w:r>
              <w:t xml:space="preserve">The </w:t>
            </w:r>
            <w:r>
              <w:rPr>
                <w:b/>
              </w:rPr>
              <w:t>dirty</w:t>
            </w:r>
            <w:r>
              <w:t xml:space="preserve"> attribute value of </w:t>
            </w:r>
            <w:r>
              <w:rPr>
                <w:i/>
              </w:rPr>
              <w:t>true</w:t>
            </w:r>
            <w:r>
              <w:t xml:space="preserve"> specifies that the contents of this field are no longer current based on the contents of the document, and should be recalculated whenever an application with this functionality reads the document. end ex</w:t>
            </w:r>
            <w:r>
              <w:t>ample]</w:t>
            </w:r>
          </w:p>
          <w:p w:rsidR="005F78FC" w:rsidRDefault="005F78FC">
            <w:pPr>
              <w:pStyle w:val="TableBodyText"/>
            </w:pPr>
          </w:p>
          <w:p w:rsidR="005F78FC" w:rsidRDefault="00B42EF3">
            <w:pPr>
              <w:pStyle w:val="TableBodyText"/>
            </w:pPr>
            <w:r>
              <w:t>The possible values for this attribute are defined by the ST_OnOff simple type (§</w:t>
            </w:r>
            <w:hyperlink w:anchor="Section_79cbec698430479d88c056dd44369074">
              <w:r>
                <w:rPr>
                  <w:rStyle w:val="Hyperlink"/>
                </w:rPr>
                <w:t>3.1.3.3.6, ST_OnOff</w:t>
              </w:r>
            </w:hyperlink>
            <w:r>
              <w:t>).</w:t>
            </w:r>
          </w:p>
        </w:tc>
      </w:tr>
      <w:tr w:rsidR="005F78FC" w:rsidTr="005F78FC">
        <w:tc>
          <w:tcPr>
            <w:tcW w:w="0" w:type="auto"/>
            <w:vAlign w:val="center"/>
          </w:tcPr>
          <w:p w:rsidR="005F78FC" w:rsidRDefault="00B42EF3">
            <w:pPr>
              <w:pStyle w:val="TableBodyText"/>
            </w:pPr>
            <w:r>
              <w:rPr>
                <w:b/>
              </w:rPr>
              <w:t>fldLock</w:t>
            </w:r>
            <w:r>
              <w:t xml:space="preserve"> (Field Should Not be Recalculated)</w:t>
            </w:r>
          </w:p>
        </w:tc>
        <w:tc>
          <w:tcPr>
            <w:tcW w:w="0" w:type="auto"/>
            <w:vAlign w:val="center"/>
          </w:tcPr>
          <w:p w:rsidR="005F78FC" w:rsidRDefault="00B42EF3">
            <w:pPr>
              <w:pStyle w:val="TableBodyText"/>
            </w:pPr>
            <w:r>
              <w:t xml:space="preserve">Specifies that the parent field shall </w:t>
            </w:r>
            <w:r>
              <w:t>not have its field result recalculated, even if an application attempts to recalculate the results of all fields in the document or a recalculation is explicitly requested.</w:t>
            </w:r>
          </w:p>
          <w:p w:rsidR="005F78FC" w:rsidRDefault="005F78FC">
            <w:pPr>
              <w:pStyle w:val="TableBodyText"/>
            </w:pPr>
          </w:p>
          <w:p w:rsidR="005F78FC" w:rsidRDefault="00B42EF3">
            <w:pPr>
              <w:pStyle w:val="TableBodyText"/>
            </w:pPr>
            <w:r>
              <w:t xml:space="preserve">If this attribute is omitted, then its value shall be assumed to be </w:t>
            </w:r>
            <w:r>
              <w:rPr>
                <w:i/>
              </w:rPr>
              <w:t>false</w:t>
            </w:r>
            <w:r>
              <w:t>.</w:t>
            </w:r>
          </w:p>
          <w:p w:rsidR="005F78FC" w:rsidRDefault="005F78FC">
            <w:pPr>
              <w:pStyle w:val="TableBodyText"/>
            </w:pPr>
          </w:p>
          <w:p w:rsidR="005F78FC" w:rsidRDefault="00B42EF3">
            <w:pPr>
              <w:pStyle w:val="TableBodyText"/>
            </w:pPr>
            <w:r>
              <w:t>[Example: Consider the following WordprocessingML for a simple field:</w:t>
            </w:r>
          </w:p>
          <w:p w:rsidR="005F78FC" w:rsidRDefault="005F78FC">
            <w:pPr>
              <w:pStyle w:val="TableBodyText"/>
            </w:pPr>
          </w:p>
          <w:p w:rsidR="005F78FC" w:rsidRDefault="00B42EF3">
            <w:pPr>
              <w:pStyle w:val="Code"/>
            </w:pPr>
            <w:r>
              <w:t>&lt;w:fldSimple w:instr="AUTHOR" w:fldLock="true"&gt;</w:t>
            </w:r>
          </w:p>
          <w:p w:rsidR="005F78FC" w:rsidRDefault="00B42EF3">
            <w:pPr>
              <w:pStyle w:val="Code"/>
            </w:pPr>
            <w:r>
              <w:t xml:space="preserve">  &lt;w:r&gt;</w:t>
            </w:r>
          </w:p>
          <w:p w:rsidR="005F78FC" w:rsidRDefault="00B42EF3">
            <w:pPr>
              <w:pStyle w:val="Code"/>
            </w:pPr>
            <w:r>
              <w:t xml:space="preserve">    &lt;w:t&gt;Rex Jaeschke&lt;/w:t&gt;</w:t>
            </w:r>
          </w:p>
          <w:p w:rsidR="005F78FC" w:rsidRDefault="00B42EF3">
            <w:pPr>
              <w:pStyle w:val="Code"/>
            </w:pPr>
            <w:r>
              <w:t xml:space="preserve">  &lt;/w:r&gt;</w:t>
            </w:r>
          </w:p>
          <w:p w:rsidR="005F78FC" w:rsidRDefault="00B42EF3">
            <w:pPr>
              <w:pStyle w:val="Code"/>
            </w:pPr>
            <w:r>
              <w:t>&lt;/w:fldSimple&gt;</w:t>
            </w:r>
          </w:p>
          <w:p w:rsidR="005F78FC" w:rsidRDefault="005F78FC">
            <w:pPr>
              <w:pStyle w:val="TableBodyText"/>
            </w:pPr>
          </w:p>
          <w:p w:rsidR="005F78FC" w:rsidRDefault="00B42EF3">
            <w:pPr>
              <w:pStyle w:val="TableBodyText"/>
            </w:pPr>
            <w:r>
              <w:t xml:space="preserve">The </w:t>
            </w:r>
            <w:r>
              <w:rPr>
                <w:b/>
              </w:rPr>
              <w:t>fldLock</w:t>
            </w:r>
            <w:r>
              <w:t xml:space="preserve"> attribute value of </w:t>
            </w:r>
            <w:r>
              <w:rPr>
                <w:i/>
              </w:rPr>
              <w:t>true</w:t>
            </w:r>
            <w:r>
              <w:t xml:space="preserve"> specifies that the contents of this fiel</w:t>
            </w:r>
            <w:r>
              <w:t xml:space="preserve">d shall remain </w:t>
            </w:r>
            <w:r>
              <w:rPr>
                <w:i/>
              </w:rPr>
              <w:t>Rex Jaeschke</w:t>
            </w:r>
            <w:r>
              <w:t xml:space="preserve"> regardless of the actual result of the current field codes. end example]</w:t>
            </w:r>
          </w:p>
          <w:p w:rsidR="005F78FC" w:rsidRDefault="005F78FC">
            <w:pPr>
              <w:pStyle w:val="TableBodyText"/>
            </w:pPr>
          </w:p>
          <w:p w:rsidR="005F78FC" w:rsidRDefault="00B42EF3">
            <w:pPr>
              <w:pStyle w:val="TableBodyText"/>
            </w:pPr>
            <w:r>
              <w:t>The possible values for this attribute are defined by the ST_OnOff simple type (§3.1.3.3.6, ST_OnOff).</w:t>
            </w:r>
          </w:p>
        </w:tc>
      </w:tr>
      <w:tr w:rsidR="005F78FC" w:rsidTr="005F78FC">
        <w:tc>
          <w:tcPr>
            <w:tcW w:w="0" w:type="auto"/>
            <w:vAlign w:val="center"/>
          </w:tcPr>
          <w:p w:rsidR="005F78FC" w:rsidRDefault="00B42EF3">
            <w:pPr>
              <w:pStyle w:val="TableBodyText"/>
            </w:pPr>
            <w:r>
              <w:rPr>
                <w:b/>
              </w:rPr>
              <w:t>instr</w:t>
            </w:r>
            <w:r>
              <w:t xml:space="preserve"> (Field Codes)</w:t>
            </w:r>
          </w:p>
        </w:tc>
        <w:tc>
          <w:tcPr>
            <w:tcW w:w="0" w:type="auto"/>
            <w:vAlign w:val="center"/>
          </w:tcPr>
          <w:p w:rsidR="005F78FC" w:rsidRDefault="00B42EF3">
            <w:pPr>
              <w:pStyle w:val="TableBodyText"/>
            </w:pPr>
            <w:r>
              <w:t xml:space="preserve">Specifies the field codes for </w:t>
            </w:r>
            <w:r>
              <w:t>the simple field. The possible field codes are defined in "[ISO/IEC-29500-1] §17.16.5".</w:t>
            </w:r>
          </w:p>
          <w:p w:rsidR="005F78FC" w:rsidRDefault="005F78FC">
            <w:pPr>
              <w:pStyle w:val="TableBodyText"/>
            </w:pPr>
          </w:p>
          <w:p w:rsidR="005F78FC" w:rsidRDefault="00B42EF3">
            <w:pPr>
              <w:pStyle w:val="TableBodyText"/>
            </w:pPr>
            <w:r>
              <w:t>[Example: Consider the following WordprocessingML for a simple field:</w:t>
            </w:r>
          </w:p>
          <w:p w:rsidR="005F78FC" w:rsidRDefault="005F78FC">
            <w:pPr>
              <w:pStyle w:val="TableBodyText"/>
            </w:pPr>
          </w:p>
          <w:p w:rsidR="005F78FC" w:rsidRDefault="00B42EF3">
            <w:pPr>
              <w:pStyle w:val="Code"/>
            </w:pPr>
            <w:r>
              <w:t>&lt;w:fldSimple w:instr="AUTHOR" w:fldLock="true"&gt;</w:t>
            </w:r>
          </w:p>
          <w:p w:rsidR="005F78FC" w:rsidRDefault="00B42EF3">
            <w:pPr>
              <w:pStyle w:val="Code"/>
            </w:pPr>
            <w:r>
              <w:t xml:space="preserve">  &lt;w:r&gt;</w:t>
            </w:r>
          </w:p>
          <w:p w:rsidR="005F78FC" w:rsidRDefault="00B42EF3">
            <w:pPr>
              <w:pStyle w:val="Code"/>
            </w:pPr>
            <w:r>
              <w:t xml:space="preserve">    &lt;w:t&gt;Rex Jaeschke&lt;/w:t&gt;</w:t>
            </w:r>
          </w:p>
          <w:p w:rsidR="005F78FC" w:rsidRDefault="00B42EF3">
            <w:pPr>
              <w:pStyle w:val="Code"/>
            </w:pPr>
            <w:r>
              <w:t xml:space="preserve">  &lt;/w:r&gt;</w:t>
            </w:r>
          </w:p>
          <w:p w:rsidR="005F78FC" w:rsidRDefault="00B42EF3">
            <w:pPr>
              <w:pStyle w:val="Code"/>
            </w:pPr>
            <w:r>
              <w:t>&lt;</w:t>
            </w:r>
            <w:r>
              <w:t>/w:fldSimple&gt;</w:t>
            </w:r>
          </w:p>
          <w:p w:rsidR="005F78FC" w:rsidRDefault="005F78FC">
            <w:pPr>
              <w:pStyle w:val="TableBodyText"/>
            </w:pPr>
          </w:p>
          <w:p w:rsidR="005F78FC" w:rsidRDefault="00B42EF3">
            <w:pPr>
              <w:pStyle w:val="TableBodyText"/>
            </w:pPr>
            <w:r>
              <w:t xml:space="preserve">The </w:t>
            </w:r>
            <w:r>
              <w:rPr>
                <w:b/>
              </w:rPr>
              <w:t>instr</w:t>
            </w:r>
            <w:r>
              <w:t xml:space="preserve"> attribute specifies the field codes for this simple field to be </w:t>
            </w:r>
            <w:r>
              <w:rPr>
                <w:i/>
              </w:rPr>
              <w:t>AUTHOR</w:t>
            </w:r>
            <w:r>
              <w:t>. end example]</w:t>
            </w:r>
          </w:p>
          <w:p w:rsidR="005F78FC" w:rsidRDefault="005F78FC">
            <w:pPr>
              <w:pStyle w:val="TableBodyText"/>
            </w:pPr>
          </w:p>
          <w:p w:rsidR="005F78FC" w:rsidRDefault="00B42EF3">
            <w:pPr>
              <w:pStyle w:val="TableBodyText"/>
            </w:pPr>
            <w:r>
              <w:t>The possible values for this attribute are defined by the ST_String simple type (§</w:t>
            </w:r>
            <w:hyperlink w:anchor="Section_ed68652a69334080ac59a443946fa732">
              <w:r>
                <w:rPr>
                  <w:rStyle w:val="Hyperlink"/>
                </w:rPr>
                <w:t>3.1.3.3.8, ST_String</w:t>
              </w:r>
            </w:hyperlink>
            <w:r>
              <w:t>).</w:t>
            </w:r>
          </w:p>
        </w:tc>
      </w:tr>
    </w:tbl>
    <w:p w:rsidR="005F78FC" w:rsidRDefault="005F78FC"/>
    <w:p w:rsidR="005F78FC" w:rsidRDefault="00B42EF3">
      <w:r>
        <w:t>The following XML Schema fragment defines the contents of this element:</w:t>
      </w:r>
    </w:p>
    <w:p w:rsidR="005F78FC" w:rsidRDefault="00B42EF3">
      <w:pPr>
        <w:pStyle w:val="Code"/>
      </w:pPr>
      <w:r>
        <w:t>&lt;complexType name="CT_SimpleFieldRuby"&gt;</w:t>
      </w:r>
    </w:p>
    <w:p w:rsidR="005F78FC" w:rsidRDefault="00B42EF3">
      <w:pPr>
        <w:pStyle w:val="Code"/>
      </w:pPr>
      <w:r>
        <w:t xml:space="preserve">  &lt;sequence&gt;</w:t>
      </w:r>
    </w:p>
    <w:p w:rsidR="005F78FC" w:rsidRDefault="00B42EF3">
      <w:pPr>
        <w:pStyle w:val="Code"/>
      </w:pPr>
      <w:r>
        <w:t xml:space="preserve">    &lt;element name="fldData" type="CT_Text" minOccurs="0" maxOccurs="1"/&gt;</w:t>
      </w:r>
    </w:p>
    <w:p w:rsidR="005F78FC" w:rsidRDefault="00B42EF3">
      <w:pPr>
        <w:pStyle w:val="Code"/>
      </w:pPr>
      <w:r>
        <w:t xml:space="preserve">    &lt;group ref="EG_RubyContent" m</w:t>
      </w:r>
      <w:r>
        <w:t>inOccurs="0" maxOccurs="unbounded"/&gt;</w:t>
      </w:r>
    </w:p>
    <w:p w:rsidR="005F78FC" w:rsidRDefault="00B42EF3">
      <w:pPr>
        <w:pStyle w:val="Code"/>
      </w:pPr>
      <w:r>
        <w:t xml:space="preserve">  &lt;/sequence&gt;</w:t>
      </w:r>
    </w:p>
    <w:p w:rsidR="005F78FC" w:rsidRDefault="00B42EF3">
      <w:pPr>
        <w:pStyle w:val="Code"/>
      </w:pPr>
      <w:r>
        <w:t xml:space="preserve">  &lt;attribute name="instr" type="ST_String" use="required"/&gt;</w:t>
      </w:r>
    </w:p>
    <w:p w:rsidR="005F78FC" w:rsidRDefault="00B42EF3">
      <w:pPr>
        <w:pStyle w:val="Code"/>
      </w:pPr>
      <w:r>
        <w:t xml:space="preserve">  &lt;attribute name="fldLock" type="ST_OnOff"/&gt;</w:t>
      </w:r>
    </w:p>
    <w:p w:rsidR="005F78FC" w:rsidRDefault="00B42EF3">
      <w:pPr>
        <w:pStyle w:val="Code"/>
      </w:pPr>
      <w:r>
        <w:t xml:space="preserve">  &lt;attribute name="dirty" type="ST_OnOff"/&gt;</w:t>
      </w:r>
    </w:p>
    <w:p w:rsidR="005F78FC" w:rsidRDefault="00B42EF3">
      <w:pPr>
        <w:pStyle w:val="Code"/>
      </w:pPr>
      <w:r>
        <w:t>&lt;/complexType&gt;</w:t>
      </w:r>
    </w:p>
    <w:p w:rsidR="005F78FC" w:rsidRDefault="00B42EF3">
      <w:pPr>
        <w:pStyle w:val="Heading5"/>
      </w:pPr>
      <w:bookmarkStart w:id="3890" w:name="section_cc9e4bbd134f4d35b2c795fde8c633a7"/>
      <w:bookmarkStart w:id="3891" w:name="_Toc69879718"/>
      <w:r>
        <w:t>hyperlink (Ruby Hyperlink)</w:t>
      </w:r>
      <w:bookmarkEnd w:id="3890"/>
      <w:bookmarkEnd w:id="3891"/>
      <w:r>
        <w:fldChar w:fldCharType="begin"/>
      </w:r>
      <w:r>
        <w:instrText xml:space="preserve"> XE "hyperlink</w:instrText>
      </w:r>
      <w:r>
        <w:instrText xml:space="preserve"> (Ruby Hyperlink)" </w:instrText>
      </w:r>
      <w:r>
        <w:fldChar w:fldCharType="end"/>
      </w:r>
    </w:p>
    <w:p w:rsidR="005F78FC" w:rsidRDefault="00B42EF3">
      <w:r>
        <w:t>This element specifies the presence of a hyperlink at the current location in the document.</w:t>
      </w:r>
    </w:p>
    <w:p w:rsidR="005F78FC" w:rsidRDefault="00B42EF3">
      <w:r>
        <w:t>[Example: Consider the following WordprocessingML fragment for a hyperlink:</w:t>
      </w:r>
    </w:p>
    <w:p w:rsidR="005F78FC" w:rsidRDefault="00B42EF3">
      <w:pPr>
        <w:pStyle w:val="Code"/>
      </w:pPr>
      <w:r>
        <w:t>&lt;w:hyperlink r:id="rId10"&gt;</w:t>
      </w:r>
    </w:p>
    <w:p w:rsidR="005F78FC" w:rsidRDefault="00B42EF3">
      <w:pPr>
        <w:pStyle w:val="Code"/>
      </w:pPr>
      <w:r>
        <w:t xml:space="preserve">  &lt;w:r&gt;</w:t>
      </w:r>
    </w:p>
    <w:p w:rsidR="005F78FC" w:rsidRDefault="00B42EF3">
      <w:pPr>
        <w:pStyle w:val="Code"/>
      </w:pPr>
      <w:r>
        <w:t xml:space="preserve">    &lt;w:t&gt;Click here&lt;/w:t&gt;</w:t>
      </w:r>
    </w:p>
    <w:p w:rsidR="005F78FC" w:rsidRDefault="00B42EF3">
      <w:pPr>
        <w:pStyle w:val="Code"/>
      </w:pPr>
      <w:r>
        <w:t xml:space="preserve">  &lt;</w:t>
      </w:r>
      <w:r>
        <w:t>/w:r&gt;</w:t>
      </w:r>
    </w:p>
    <w:p w:rsidR="005F78FC" w:rsidRDefault="00B42EF3">
      <w:pPr>
        <w:pStyle w:val="Code"/>
      </w:pPr>
      <w:r>
        <w:t>&lt;/w:hyperlink&gt;</w:t>
      </w:r>
    </w:p>
    <w:p w:rsidR="005F78FC" w:rsidRDefault="00B42EF3">
      <w:r>
        <w:t xml:space="preserve">The </w:t>
      </w:r>
      <w:r>
        <w:rPr>
          <w:b/>
        </w:rPr>
        <w:t>hyperlink</w:t>
      </w:r>
      <w:r>
        <w:t xml:space="preserve"> element defines a hyperlink whose display text is </w:t>
      </w:r>
      <w:r>
        <w:rPr>
          <w:i/>
        </w:rPr>
        <w:t>Click here</w:t>
      </w:r>
      <w:r>
        <w:t xml:space="preserve">, and whose target is specified by the relationship with an </w:t>
      </w:r>
      <w:r>
        <w:rPr>
          <w:b/>
        </w:rPr>
        <w:t>Id</w:t>
      </w:r>
      <w:r>
        <w:t xml:space="preserve"> attribute value of </w:t>
      </w:r>
      <w:r>
        <w:rPr>
          <w:i/>
        </w:rPr>
        <w:t>rId10</w:t>
      </w:r>
      <w:r>
        <w:t>. end example]</w:t>
      </w:r>
    </w:p>
    <w:tbl>
      <w:tblPr>
        <w:tblStyle w:val="Table-ShadedHeader"/>
        <w:tblW w:w="0" w:type="auto"/>
        <w:tblLook w:val="04A0" w:firstRow="1" w:lastRow="0" w:firstColumn="1" w:lastColumn="0" w:noHBand="0" w:noVBand="1"/>
      </w:tblPr>
      <w:tblGrid>
        <w:gridCol w:w="9475"/>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Parent Elements</w:t>
            </w:r>
          </w:p>
        </w:tc>
      </w:tr>
      <w:tr w:rsidR="005F78FC" w:rsidTr="005F78FC">
        <w:tc>
          <w:tcPr>
            <w:tcW w:w="0" w:type="auto"/>
            <w:vAlign w:val="center"/>
          </w:tcPr>
          <w:p w:rsidR="005F78FC" w:rsidRDefault="00B42EF3">
            <w:pPr>
              <w:pStyle w:val="TableBodyText"/>
            </w:pPr>
            <w:r>
              <w:rPr>
                <w:b/>
              </w:rPr>
              <w:t>customXml</w:t>
            </w:r>
            <w:r>
              <w:t xml:space="preserve"> (§</w:t>
            </w:r>
            <w:hyperlink w:anchor="Section_d188da3eb34b4445b3a0118155f75ff3">
              <w:r>
                <w:rPr>
                  <w:rStyle w:val="Hyperlink"/>
                </w:rPr>
                <w:t>3.1.3.1.1, customXml</w:t>
              </w:r>
            </w:hyperlink>
            <w:r>
              <w:t xml:space="preserve">); </w:t>
            </w:r>
            <w:r>
              <w:rPr>
                <w:b/>
              </w:rPr>
              <w:t>fldSimple</w:t>
            </w:r>
            <w:r>
              <w:t xml:space="preserve"> (§</w:t>
            </w:r>
            <w:hyperlink w:anchor="Section_34477fff355a497ea2bf4b9c3f80b093">
              <w:r>
                <w:rPr>
                  <w:rStyle w:val="Hyperlink"/>
                </w:rPr>
                <w:t>3.1.3.1.2, fldSimple</w:t>
              </w:r>
            </w:hyperlink>
            <w:r>
              <w:t xml:space="preserve">); </w:t>
            </w:r>
            <w:r>
              <w:rPr>
                <w:b/>
              </w:rPr>
              <w:t>hyperlink</w:t>
            </w:r>
            <w:r>
              <w:t xml:space="preserve"> (§3.1.3.1.3, hyperlink); </w:t>
            </w:r>
            <w:r>
              <w:rPr>
                <w:b/>
              </w:rPr>
              <w:t>rt</w:t>
            </w:r>
            <w:r>
              <w:t xml:space="preserve"> ("</w:t>
            </w:r>
            <w:hyperlink r:id="rId293">
              <w:r>
                <w:rPr>
                  <w:rStyle w:val="Hyperlink"/>
                </w:rPr>
                <w:t>[ISO/IEC-29500-1]</w:t>
              </w:r>
            </w:hyperlink>
            <w:r>
              <w:t xml:space="preserve"> §17.3.3.24"); </w:t>
            </w:r>
            <w:r>
              <w:rPr>
                <w:b/>
              </w:rPr>
              <w:t>rubyBase</w:t>
            </w:r>
            <w:r>
              <w:t xml:space="preserve"> ("[ISO/IEC-29500-1] §17.3.3.27"); </w:t>
            </w:r>
            <w:r>
              <w:rPr>
                <w:b/>
              </w:rPr>
              <w:t>sdtContent</w:t>
            </w:r>
            <w:r>
              <w:t xml:space="preserve"> (§</w:t>
            </w:r>
            <w:hyperlink w:anchor="Section_a3757e691f9b4322b17edee4d308d29e">
              <w:r>
                <w:rPr>
                  <w:rStyle w:val="Hyperlink"/>
                </w:rPr>
                <w:t>3.1.3.1.7, sdtContent</w:t>
              </w:r>
            </w:hyperlink>
            <w:r>
              <w:t>)</w:t>
            </w:r>
          </w:p>
        </w:tc>
      </w:tr>
    </w:tbl>
    <w:p w:rsidR="005F78FC" w:rsidRDefault="005F78FC"/>
    <w:p w:rsidR="005F78FC" w:rsidRDefault="005F78FC"/>
    <w:tbl>
      <w:tblPr>
        <w:tblStyle w:val="Table-ShadedHeader"/>
        <w:tblW w:w="0" w:type="auto"/>
        <w:tblLook w:val="04A0" w:firstRow="1" w:lastRow="0" w:firstColumn="1" w:lastColumn="0" w:noHBand="0" w:noVBand="1"/>
      </w:tblPr>
      <w:tblGrid>
        <w:gridCol w:w="6758"/>
        <w:gridCol w:w="2717"/>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lastRenderedPageBreak/>
              <w:t>Child Elements</w:t>
            </w:r>
          </w:p>
        </w:tc>
        <w:tc>
          <w:tcPr>
            <w:tcW w:w="0" w:type="auto"/>
            <w:vAlign w:val="center"/>
          </w:tcPr>
          <w:p w:rsidR="005F78FC" w:rsidRDefault="00B42EF3">
            <w:pPr>
              <w:pStyle w:val="TableHeaderText"/>
            </w:pPr>
            <w:r>
              <w:t>Subclause</w:t>
            </w:r>
          </w:p>
        </w:tc>
      </w:tr>
      <w:tr w:rsidR="005F78FC" w:rsidTr="005F78FC">
        <w:tc>
          <w:tcPr>
            <w:tcW w:w="0" w:type="auto"/>
            <w:vAlign w:val="center"/>
          </w:tcPr>
          <w:p w:rsidR="005F78FC" w:rsidRDefault="00B42EF3">
            <w:pPr>
              <w:pStyle w:val="TableBodyText"/>
            </w:pPr>
            <w:r>
              <w:rPr>
                <w:b/>
              </w:rPr>
              <w:t>acc</w:t>
            </w:r>
            <w:r>
              <w:t xml:space="preserve"> (Accent)</w:t>
            </w:r>
          </w:p>
        </w:tc>
        <w:tc>
          <w:tcPr>
            <w:tcW w:w="0" w:type="auto"/>
            <w:vAlign w:val="center"/>
          </w:tcPr>
          <w:p w:rsidR="005F78FC" w:rsidRDefault="00B42EF3">
            <w:pPr>
              <w:pStyle w:val="TableBodyText"/>
            </w:pPr>
            <w:r>
              <w:t>"</w:t>
            </w:r>
            <w:r>
              <w:t>[ISO/IEC-29500-1] §22.1.2.1"</w:t>
            </w:r>
          </w:p>
        </w:tc>
      </w:tr>
      <w:tr w:rsidR="005F78FC" w:rsidTr="005F78FC">
        <w:tc>
          <w:tcPr>
            <w:tcW w:w="0" w:type="auto"/>
            <w:vAlign w:val="center"/>
          </w:tcPr>
          <w:p w:rsidR="005F78FC" w:rsidRDefault="00B42EF3">
            <w:pPr>
              <w:pStyle w:val="TableBodyText"/>
            </w:pPr>
            <w:r>
              <w:rPr>
                <w:b/>
              </w:rPr>
              <w:t>bar</w:t>
            </w:r>
            <w:r>
              <w:t xml:space="preserve"> (Bar)</w:t>
            </w:r>
          </w:p>
        </w:tc>
        <w:tc>
          <w:tcPr>
            <w:tcW w:w="0" w:type="auto"/>
            <w:vAlign w:val="center"/>
          </w:tcPr>
          <w:p w:rsidR="005F78FC" w:rsidRDefault="00B42EF3">
            <w:pPr>
              <w:pStyle w:val="TableBodyText"/>
            </w:pPr>
            <w:r>
              <w:t>"[ISO/IEC-29500-1] §22.1.2.7"</w:t>
            </w:r>
          </w:p>
        </w:tc>
      </w:tr>
      <w:tr w:rsidR="005F78FC" w:rsidTr="005F78FC">
        <w:tc>
          <w:tcPr>
            <w:tcW w:w="0" w:type="auto"/>
            <w:vAlign w:val="center"/>
          </w:tcPr>
          <w:p w:rsidR="005F78FC" w:rsidRDefault="00B42EF3">
            <w:pPr>
              <w:pStyle w:val="TableBodyText"/>
            </w:pPr>
            <w:r>
              <w:rPr>
                <w:b/>
              </w:rPr>
              <w:t>bookmarkEnd</w:t>
            </w:r>
            <w:r>
              <w:t xml:space="preserve"> (Bookmark End)</w:t>
            </w:r>
          </w:p>
        </w:tc>
        <w:tc>
          <w:tcPr>
            <w:tcW w:w="0" w:type="auto"/>
            <w:vAlign w:val="center"/>
          </w:tcPr>
          <w:p w:rsidR="005F78FC" w:rsidRDefault="00B42EF3">
            <w:pPr>
              <w:pStyle w:val="TableBodyText"/>
            </w:pPr>
            <w:r>
              <w:t>"[ISO/IEC-29500-1] §17.13.6.1"</w:t>
            </w:r>
          </w:p>
        </w:tc>
      </w:tr>
      <w:tr w:rsidR="005F78FC" w:rsidTr="005F78FC">
        <w:tc>
          <w:tcPr>
            <w:tcW w:w="0" w:type="auto"/>
            <w:vAlign w:val="center"/>
          </w:tcPr>
          <w:p w:rsidR="005F78FC" w:rsidRDefault="00B42EF3">
            <w:pPr>
              <w:pStyle w:val="TableBodyText"/>
            </w:pPr>
            <w:r>
              <w:rPr>
                <w:b/>
              </w:rPr>
              <w:t>bookmarkStart</w:t>
            </w:r>
            <w:r>
              <w:t xml:space="preserve"> (Bookmark Start)</w:t>
            </w:r>
          </w:p>
        </w:tc>
        <w:tc>
          <w:tcPr>
            <w:tcW w:w="0" w:type="auto"/>
            <w:vAlign w:val="center"/>
          </w:tcPr>
          <w:p w:rsidR="005F78FC" w:rsidRDefault="00B42EF3">
            <w:pPr>
              <w:pStyle w:val="TableBodyText"/>
            </w:pPr>
            <w:r>
              <w:t>"[ISO/IEC-29500-1] §17.13.6.2"</w:t>
            </w:r>
          </w:p>
        </w:tc>
      </w:tr>
      <w:tr w:rsidR="005F78FC" w:rsidTr="005F78FC">
        <w:tc>
          <w:tcPr>
            <w:tcW w:w="0" w:type="auto"/>
            <w:vAlign w:val="center"/>
          </w:tcPr>
          <w:p w:rsidR="005F78FC" w:rsidRDefault="00B42EF3">
            <w:pPr>
              <w:pStyle w:val="TableBodyText"/>
            </w:pPr>
            <w:r>
              <w:rPr>
                <w:b/>
              </w:rPr>
              <w:t>borderBox</w:t>
            </w:r>
            <w:r>
              <w:t xml:space="preserve"> (Border-Box Object)</w:t>
            </w:r>
          </w:p>
        </w:tc>
        <w:tc>
          <w:tcPr>
            <w:tcW w:w="0" w:type="auto"/>
            <w:vAlign w:val="center"/>
          </w:tcPr>
          <w:p w:rsidR="005F78FC" w:rsidRDefault="00B42EF3">
            <w:pPr>
              <w:pStyle w:val="TableBodyText"/>
            </w:pPr>
            <w:r>
              <w:t>"[ISO/IEC-29500-1] §22.1.2.11"</w:t>
            </w:r>
          </w:p>
        </w:tc>
      </w:tr>
      <w:tr w:rsidR="005F78FC" w:rsidTr="005F78FC">
        <w:tc>
          <w:tcPr>
            <w:tcW w:w="0" w:type="auto"/>
            <w:vAlign w:val="center"/>
          </w:tcPr>
          <w:p w:rsidR="005F78FC" w:rsidRDefault="00B42EF3">
            <w:pPr>
              <w:pStyle w:val="TableBodyText"/>
            </w:pPr>
            <w:r>
              <w:rPr>
                <w:b/>
              </w:rPr>
              <w:t>b</w:t>
            </w:r>
            <w:r>
              <w:rPr>
                <w:b/>
              </w:rPr>
              <w:t>ox</w:t>
            </w:r>
            <w:r>
              <w:t xml:space="preserve"> (Box Object)</w:t>
            </w:r>
          </w:p>
        </w:tc>
        <w:tc>
          <w:tcPr>
            <w:tcW w:w="0" w:type="auto"/>
            <w:vAlign w:val="center"/>
          </w:tcPr>
          <w:p w:rsidR="005F78FC" w:rsidRDefault="00B42EF3">
            <w:pPr>
              <w:pStyle w:val="TableBodyText"/>
            </w:pPr>
            <w:r>
              <w:t>"[ISO/IEC-29500-1] §22.1.2.13"</w:t>
            </w:r>
          </w:p>
        </w:tc>
      </w:tr>
      <w:tr w:rsidR="005F78FC" w:rsidTr="005F78FC">
        <w:tc>
          <w:tcPr>
            <w:tcW w:w="0" w:type="auto"/>
            <w:vAlign w:val="center"/>
          </w:tcPr>
          <w:p w:rsidR="005F78FC" w:rsidRDefault="00B42EF3">
            <w:pPr>
              <w:pStyle w:val="TableBodyText"/>
            </w:pPr>
            <w:r>
              <w:rPr>
                <w:b/>
              </w:rPr>
              <w:t>commentRangeEnd</w:t>
            </w:r>
            <w:r>
              <w:t xml:space="preserve"> (Comment Anchor Range End)</w:t>
            </w:r>
          </w:p>
        </w:tc>
        <w:tc>
          <w:tcPr>
            <w:tcW w:w="0" w:type="auto"/>
            <w:vAlign w:val="center"/>
          </w:tcPr>
          <w:p w:rsidR="005F78FC" w:rsidRDefault="00B42EF3">
            <w:pPr>
              <w:pStyle w:val="TableBodyText"/>
            </w:pPr>
            <w:r>
              <w:t>"[ISO/IEC-29500-1] §17.13.4.3"</w:t>
            </w:r>
          </w:p>
        </w:tc>
      </w:tr>
      <w:tr w:rsidR="005F78FC" w:rsidTr="005F78FC">
        <w:tc>
          <w:tcPr>
            <w:tcW w:w="0" w:type="auto"/>
            <w:vAlign w:val="center"/>
          </w:tcPr>
          <w:p w:rsidR="005F78FC" w:rsidRDefault="00B42EF3">
            <w:pPr>
              <w:pStyle w:val="TableBodyText"/>
            </w:pPr>
            <w:r>
              <w:rPr>
                <w:b/>
              </w:rPr>
              <w:t>commentRangeStart</w:t>
            </w:r>
            <w:r>
              <w:t xml:space="preserve"> (Comment Anchor Range Start)</w:t>
            </w:r>
          </w:p>
        </w:tc>
        <w:tc>
          <w:tcPr>
            <w:tcW w:w="0" w:type="auto"/>
            <w:vAlign w:val="center"/>
          </w:tcPr>
          <w:p w:rsidR="005F78FC" w:rsidRDefault="00B42EF3">
            <w:pPr>
              <w:pStyle w:val="TableBodyText"/>
            </w:pPr>
            <w:r>
              <w:t>"[ISO/IEC-29500-1] §17.13.4.4"</w:t>
            </w:r>
          </w:p>
        </w:tc>
      </w:tr>
      <w:tr w:rsidR="005F78FC" w:rsidTr="005F78FC">
        <w:tc>
          <w:tcPr>
            <w:tcW w:w="0" w:type="auto"/>
            <w:vAlign w:val="center"/>
          </w:tcPr>
          <w:p w:rsidR="005F78FC" w:rsidRDefault="00B42EF3">
            <w:pPr>
              <w:pStyle w:val="TableBodyText"/>
            </w:pPr>
            <w:r>
              <w:rPr>
                <w:b/>
              </w:rPr>
              <w:t>customXml</w:t>
            </w:r>
            <w:r>
              <w:t xml:space="preserve"> (Ruby Inline-Level Custom XML Element)</w:t>
            </w:r>
          </w:p>
        </w:tc>
        <w:tc>
          <w:tcPr>
            <w:tcW w:w="0" w:type="auto"/>
            <w:vAlign w:val="center"/>
          </w:tcPr>
          <w:p w:rsidR="005F78FC" w:rsidRDefault="00B42EF3">
            <w:pPr>
              <w:pStyle w:val="TableBodyText"/>
            </w:pPr>
            <w:r>
              <w:t>§</w:t>
            </w:r>
            <w:r>
              <w:t>3.1.3.1.1, customXml</w:t>
            </w:r>
          </w:p>
        </w:tc>
      </w:tr>
      <w:tr w:rsidR="005F78FC" w:rsidTr="005F78FC">
        <w:tc>
          <w:tcPr>
            <w:tcW w:w="0" w:type="auto"/>
            <w:vAlign w:val="center"/>
          </w:tcPr>
          <w:p w:rsidR="005F78FC" w:rsidRDefault="00B42EF3">
            <w:pPr>
              <w:pStyle w:val="TableBodyText"/>
            </w:pPr>
            <w:r>
              <w:rPr>
                <w:b/>
              </w:rPr>
              <w:t>customXmlDelRangeEnd</w:t>
            </w:r>
            <w:r>
              <w:t xml:space="preserve"> (Custom XML Markup Deletion End)</w:t>
            </w:r>
          </w:p>
        </w:tc>
        <w:tc>
          <w:tcPr>
            <w:tcW w:w="0" w:type="auto"/>
            <w:vAlign w:val="center"/>
          </w:tcPr>
          <w:p w:rsidR="005F78FC" w:rsidRDefault="00B42EF3">
            <w:pPr>
              <w:pStyle w:val="TableBodyText"/>
            </w:pPr>
            <w:r>
              <w:t>"[ISO/IEC-29500-1] §17.13.5.4"</w:t>
            </w:r>
          </w:p>
        </w:tc>
      </w:tr>
      <w:tr w:rsidR="005F78FC" w:rsidTr="005F78FC">
        <w:tc>
          <w:tcPr>
            <w:tcW w:w="0" w:type="auto"/>
            <w:vAlign w:val="center"/>
          </w:tcPr>
          <w:p w:rsidR="005F78FC" w:rsidRDefault="00B42EF3">
            <w:pPr>
              <w:pStyle w:val="TableBodyText"/>
            </w:pPr>
            <w:r>
              <w:rPr>
                <w:b/>
              </w:rPr>
              <w:t>customXmlDelRangeStart</w:t>
            </w:r>
            <w:r>
              <w:t xml:space="preserve"> (Custom XML Markup Deletion Start)</w:t>
            </w:r>
          </w:p>
        </w:tc>
        <w:tc>
          <w:tcPr>
            <w:tcW w:w="0" w:type="auto"/>
            <w:vAlign w:val="center"/>
          </w:tcPr>
          <w:p w:rsidR="005F78FC" w:rsidRDefault="00B42EF3">
            <w:pPr>
              <w:pStyle w:val="TableBodyText"/>
            </w:pPr>
            <w:r>
              <w:t>"[ISO/IEC-29500-1] §17.13.5.5"</w:t>
            </w:r>
          </w:p>
        </w:tc>
      </w:tr>
      <w:tr w:rsidR="005F78FC" w:rsidTr="005F78FC">
        <w:tc>
          <w:tcPr>
            <w:tcW w:w="0" w:type="auto"/>
            <w:vAlign w:val="center"/>
          </w:tcPr>
          <w:p w:rsidR="005F78FC" w:rsidRDefault="00B42EF3">
            <w:pPr>
              <w:pStyle w:val="TableBodyText"/>
            </w:pPr>
            <w:r>
              <w:rPr>
                <w:b/>
              </w:rPr>
              <w:t>customXmlInsRangeEnd</w:t>
            </w:r>
            <w:r>
              <w:t xml:space="preserve"> (Custom XML Markup Insertion End)</w:t>
            </w:r>
          </w:p>
        </w:tc>
        <w:tc>
          <w:tcPr>
            <w:tcW w:w="0" w:type="auto"/>
            <w:vAlign w:val="center"/>
          </w:tcPr>
          <w:p w:rsidR="005F78FC" w:rsidRDefault="00B42EF3">
            <w:pPr>
              <w:pStyle w:val="TableBodyText"/>
            </w:pPr>
            <w:r>
              <w:t>"</w:t>
            </w:r>
            <w:r>
              <w:t>[ISO/IEC-29500-1] §17.13.5.6"</w:t>
            </w:r>
          </w:p>
        </w:tc>
      </w:tr>
      <w:tr w:rsidR="005F78FC" w:rsidTr="005F78FC">
        <w:tc>
          <w:tcPr>
            <w:tcW w:w="0" w:type="auto"/>
            <w:vAlign w:val="center"/>
          </w:tcPr>
          <w:p w:rsidR="005F78FC" w:rsidRDefault="00B42EF3">
            <w:pPr>
              <w:pStyle w:val="TableBodyText"/>
            </w:pPr>
            <w:r>
              <w:rPr>
                <w:b/>
              </w:rPr>
              <w:t>customXmlInsRangeStart</w:t>
            </w:r>
            <w:r>
              <w:t xml:space="preserve"> (Custom XML Markup Insertion Start)</w:t>
            </w:r>
          </w:p>
        </w:tc>
        <w:tc>
          <w:tcPr>
            <w:tcW w:w="0" w:type="auto"/>
            <w:vAlign w:val="center"/>
          </w:tcPr>
          <w:p w:rsidR="005F78FC" w:rsidRDefault="00B42EF3">
            <w:pPr>
              <w:pStyle w:val="TableBodyText"/>
            </w:pPr>
            <w:r>
              <w:t>"[ISO/IEC-29500-1] §17.13.5.7"</w:t>
            </w:r>
          </w:p>
        </w:tc>
      </w:tr>
      <w:tr w:rsidR="005F78FC" w:rsidTr="005F78FC">
        <w:tc>
          <w:tcPr>
            <w:tcW w:w="0" w:type="auto"/>
            <w:vAlign w:val="center"/>
          </w:tcPr>
          <w:p w:rsidR="005F78FC" w:rsidRDefault="00B42EF3">
            <w:pPr>
              <w:pStyle w:val="TableBodyText"/>
            </w:pPr>
            <w:r>
              <w:rPr>
                <w:b/>
              </w:rPr>
              <w:t>customXmlMoveFromRangeEnd</w:t>
            </w:r>
            <w:r>
              <w:t xml:space="preserve"> (Custom XML Markup Move Source End)</w:t>
            </w:r>
          </w:p>
        </w:tc>
        <w:tc>
          <w:tcPr>
            <w:tcW w:w="0" w:type="auto"/>
            <w:vAlign w:val="center"/>
          </w:tcPr>
          <w:p w:rsidR="005F78FC" w:rsidRDefault="00B42EF3">
            <w:pPr>
              <w:pStyle w:val="TableBodyText"/>
            </w:pPr>
            <w:r>
              <w:t>"[ISO/IEC-29500-1] §17.13.5.8"</w:t>
            </w:r>
          </w:p>
        </w:tc>
      </w:tr>
      <w:tr w:rsidR="005F78FC" w:rsidTr="005F78FC">
        <w:tc>
          <w:tcPr>
            <w:tcW w:w="0" w:type="auto"/>
            <w:vAlign w:val="center"/>
          </w:tcPr>
          <w:p w:rsidR="005F78FC" w:rsidRDefault="00B42EF3">
            <w:pPr>
              <w:pStyle w:val="TableBodyText"/>
            </w:pPr>
            <w:r>
              <w:rPr>
                <w:b/>
              </w:rPr>
              <w:t>customXmlMoveFromRangeStart</w:t>
            </w:r>
            <w:r>
              <w:t xml:space="preserve"> (Custom XML </w:t>
            </w:r>
            <w:r>
              <w:t>Markup Move Source Start)</w:t>
            </w:r>
          </w:p>
        </w:tc>
        <w:tc>
          <w:tcPr>
            <w:tcW w:w="0" w:type="auto"/>
            <w:vAlign w:val="center"/>
          </w:tcPr>
          <w:p w:rsidR="005F78FC" w:rsidRDefault="00B42EF3">
            <w:pPr>
              <w:pStyle w:val="TableBodyText"/>
            </w:pPr>
            <w:r>
              <w:t>"[ISO/IEC-29500-1] §17.13.5.9"</w:t>
            </w:r>
          </w:p>
        </w:tc>
      </w:tr>
      <w:tr w:rsidR="005F78FC" w:rsidTr="005F78FC">
        <w:tc>
          <w:tcPr>
            <w:tcW w:w="0" w:type="auto"/>
            <w:vAlign w:val="center"/>
          </w:tcPr>
          <w:p w:rsidR="005F78FC" w:rsidRDefault="00B42EF3">
            <w:pPr>
              <w:pStyle w:val="TableBodyText"/>
            </w:pPr>
            <w:r>
              <w:rPr>
                <w:b/>
              </w:rPr>
              <w:t>customXmlMoveToRangeEnd</w:t>
            </w:r>
            <w:r>
              <w:t xml:space="preserve"> (Custom XML Markup Move Destination Location End)</w:t>
            </w:r>
          </w:p>
        </w:tc>
        <w:tc>
          <w:tcPr>
            <w:tcW w:w="0" w:type="auto"/>
            <w:vAlign w:val="center"/>
          </w:tcPr>
          <w:p w:rsidR="005F78FC" w:rsidRDefault="00B42EF3">
            <w:pPr>
              <w:pStyle w:val="TableBodyText"/>
            </w:pPr>
            <w:r>
              <w:t>"[ISO/IEC-29500-1] §17.13.5.10"</w:t>
            </w:r>
          </w:p>
        </w:tc>
      </w:tr>
      <w:tr w:rsidR="005F78FC" w:rsidTr="005F78FC">
        <w:tc>
          <w:tcPr>
            <w:tcW w:w="0" w:type="auto"/>
            <w:vAlign w:val="center"/>
          </w:tcPr>
          <w:p w:rsidR="005F78FC" w:rsidRDefault="00B42EF3">
            <w:pPr>
              <w:pStyle w:val="TableBodyText"/>
            </w:pPr>
            <w:r>
              <w:rPr>
                <w:b/>
              </w:rPr>
              <w:t>customXmlMoveToRangeStart</w:t>
            </w:r>
            <w:r>
              <w:t xml:space="preserve"> (Custom XML Markup Move Destination Location Start)</w:t>
            </w:r>
          </w:p>
        </w:tc>
        <w:tc>
          <w:tcPr>
            <w:tcW w:w="0" w:type="auto"/>
            <w:vAlign w:val="center"/>
          </w:tcPr>
          <w:p w:rsidR="005F78FC" w:rsidRDefault="00B42EF3">
            <w:pPr>
              <w:pStyle w:val="TableBodyText"/>
            </w:pPr>
            <w:r>
              <w:t>"</w:t>
            </w:r>
            <w:r>
              <w:t>[ISO/IEC-29500-1] §17.13.5.11"</w:t>
            </w:r>
          </w:p>
        </w:tc>
      </w:tr>
      <w:tr w:rsidR="005F78FC" w:rsidTr="005F78FC">
        <w:tc>
          <w:tcPr>
            <w:tcW w:w="0" w:type="auto"/>
            <w:vAlign w:val="center"/>
          </w:tcPr>
          <w:p w:rsidR="005F78FC" w:rsidRDefault="00B42EF3">
            <w:pPr>
              <w:pStyle w:val="TableBodyText"/>
            </w:pPr>
            <w:r>
              <w:rPr>
                <w:b/>
              </w:rPr>
              <w:t>d</w:t>
            </w:r>
            <w:r>
              <w:t xml:space="preserve"> (Delimiter Object)</w:t>
            </w:r>
          </w:p>
        </w:tc>
        <w:tc>
          <w:tcPr>
            <w:tcW w:w="0" w:type="auto"/>
            <w:vAlign w:val="center"/>
          </w:tcPr>
          <w:p w:rsidR="005F78FC" w:rsidRDefault="00B42EF3">
            <w:pPr>
              <w:pStyle w:val="TableBodyText"/>
            </w:pPr>
            <w:r>
              <w:t>"[ISO/IEC-29500-1] §22.1.2.24"</w:t>
            </w:r>
          </w:p>
        </w:tc>
      </w:tr>
      <w:tr w:rsidR="005F78FC" w:rsidTr="005F78FC">
        <w:tc>
          <w:tcPr>
            <w:tcW w:w="0" w:type="auto"/>
            <w:vAlign w:val="center"/>
          </w:tcPr>
          <w:p w:rsidR="005F78FC" w:rsidRDefault="00B42EF3">
            <w:pPr>
              <w:pStyle w:val="TableBodyText"/>
            </w:pPr>
            <w:r>
              <w:rPr>
                <w:b/>
              </w:rPr>
              <w:t>del</w:t>
            </w:r>
            <w:r>
              <w:t xml:space="preserve"> (Deleted Run Content)</w:t>
            </w:r>
          </w:p>
        </w:tc>
        <w:tc>
          <w:tcPr>
            <w:tcW w:w="0" w:type="auto"/>
            <w:vAlign w:val="center"/>
          </w:tcPr>
          <w:p w:rsidR="005F78FC" w:rsidRDefault="00B42EF3">
            <w:pPr>
              <w:pStyle w:val="TableBodyText"/>
            </w:pPr>
            <w:r>
              <w:t>"[ISO/IEC-29500-1] §17.13.5.14"</w:t>
            </w:r>
          </w:p>
        </w:tc>
      </w:tr>
      <w:tr w:rsidR="005F78FC" w:rsidTr="005F78FC">
        <w:tc>
          <w:tcPr>
            <w:tcW w:w="0" w:type="auto"/>
            <w:vAlign w:val="center"/>
          </w:tcPr>
          <w:p w:rsidR="005F78FC" w:rsidRDefault="00B42EF3">
            <w:pPr>
              <w:pStyle w:val="TableBodyText"/>
            </w:pPr>
            <w:r>
              <w:rPr>
                <w:b/>
              </w:rPr>
              <w:t>eqArr</w:t>
            </w:r>
            <w:r>
              <w:t xml:space="preserve"> (Array Object)</w:t>
            </w:r>
          </w:p>
        </w:tc>
        <w:tc>
          <w:tcPr>
            <w:tcW w:w="0" w:type="auto"/>
            <w:vAlign w:val="center"/>
          </w:tcPr>
          <w:p w:rsidR="005F78FC" w:rsidRDefault="00B42EF3">
            <w:pPr>
              <w:pStyle w:val="TableBodyText"/>
            </w:pPr>
            <w:r>
              <w:t>"[ISO/IEC-29500-1] §22.1.2.34"</w:t>
            </w:r>
          </w:p>
        </w:tc>
      </w:tr>
      <w:tr w:rsidR="005F78FC" w:rsidTr="005F78FC">
        <w:tc>
          <w:tcPr>
            <w:tcW w:w="0" w:type="auto"/>
            <w:vAlign w:val="center"/>
          </w:tcPr>
          <w:p w:rsidR="005F78FC" w:rsidRDefault="00B42EF3">
            <w:pPr>
              <w:pStyle w:val="TableBodyText"/>
            </w:pPr>
            <w:r>
              <w:rPr>
                <w:b/>
              </w:rPr>
              <w:t>f</w:t>
            </w:r>
            <w:r>
              <w:t xml:space="preserve"> (Fraction Object)</w:t>
            </w:r>
          </w:p>
        </w:tc>
        <w:tc>
          <w:tcPr>
            <w:tcW w:w="0" w:type="auto"/>
            <w:vAlign w:val="center"/>
          </w:tcPr>
          <w:p w:rsidR="005F78FC" w:rsidRDefault="00B42EF3">
            <w:pPr>
              <w:pStyle w:val="TableBodyText"/>
            </w:pPr>
            <w:r>
              <w:t>"[ISO/IEC-29500-1] §22.1.2.36"</w:t>
            </w:r>
          </w:p>
        </w:tc>
      </w:tr>
      <w:tr w:rsidR="005F78FC" w:rsidTr="005F78FC">
        <w:tc>
          <w:tcPr>
            <w:tcW w:w="0" w:type="auto"/>
            <w:vAlign w:val="center"/>
          </w:tcPr>
          <w:p w:rsidR="005F78FC" w:rsidRDefault="00B42EF3">
            <w:pPr>
              <w:pStyle w:val="TableBodyText"/>
            </w:pPr>
            <w:r>
              <w:rPr>
                <w:b/>
              </w:rPr>
              <w:t>fldSimp</w:t>
            </w:r>
            <w:r>
              <w:rPr>
                <w:b/>
              </w:rPr>
              <w:t>le</w:t>
            </w:r>
            <w:r>
              <w:t xml:space="preserve"> (Ruby Simple Field)</w:t>
            </w:r>
          </w:p>
        </w:tc>
        <w:tc>
          <w:tcPr>
            <w:tcW w:w="0" w:type="auto"/>
            <w:vAlign w:val="center"/>
          </w:tcPr>
          <w:p w:rsidR="005F78FC" w:rsidRDefault="00B42EF3">
            <w:pPr>
              <w:pStyle w:val="TableBodyText"/>
            </w:pPr>
            <w:r>
              <w:t>§3.1.3.1.2, fldSimple</w:t>
            </w:r>
          </w:p>
        </w:tc>
      </w:tr>
      <w:tr w:rsidR="005F78FC" w:rsidTr="005F78FC">
        <w:tc>
          <w:tcPr>
            <w:tcW w:w="0" w:type="auto"/>
            <w:vAlign w:val="center"/>
          </w:tcPr>
          <w:p w:rsidR="005F78FC" w:rsidRDefault="00B42EF3">
            <w:pPr>
              <w:pStyle w:val="TableBodyText"/>
            </w:pPr>
            <w:r>
              <w:rPr>
                <w:b/>
              </w:rPr>
              <w:lastRenderedPageBreak/>
              <w:t>func</w:t>
            </w:r>
            <w:r>
              <w:t xml:space="preserve"> (Function Apply Object)</w:t>
            </w:r>
          </w:p>
        </w:tc>
        <w:tc>
          <w:tcPr>
            <w:tcW w:w="0" w:type="auto"/>
            <w:vAlign w:val="center"/>
          </w:tcPr>
          <w:p w:rsidR="005F78FC" w:rsidRDefault="00B42EF3">
            <w:pPr>
              <w:pStyle w:val="TableBodyText"/>
            </w:pPr>
            <w:r>
              <w:t>"[ISO/IEC-29500-1] §22.1.2.39"</w:t>
            </w:r>
          </w:p>
        </w:tc>
      </w:tr>
      <w:tr w:rsidR="005F78FC" w:rsidTr="005F78FC">
        <w:tc>
          <w:tcPr>
            <w:tcW w:w="0" w:type="auto"/>
            <w:vAlign w:val="center"/>
          </w:tcPr>
          <w:p w:rsidR="005F78FC" w:rsidRDefault="00B42EF3">
            <w:pPr>
              <w:pStyle w:val="TableBodyText"/>
            </w:pPr>
            <w:r>
              <w:rPr>
                <w:b/>
              </w:rPr>
              <w:t>groupChr</w:t>
            </w:r>
            <w:r>
              <w:t xml:space="preserve"> (Group-Character Object)</w:t>
            </w:r>
          </w:p>
        </w:tc>
        <w:tc>
          <w:tcPr>
            <w:tcW w:w="0" w:type="auto"/>
            <w:vAlign w:val="center"/>
          </w:tcPr>
          <w:p w:rsidR="005F78FC" w:rsidRDefault="00B42EF3">
            <w:pPr>
              <w:pStyle w:val="TableBodyText"/>
            </w:pPr>
            <w:r>
              <w:t>"[ISO/IEC-29500-1] §22.1.2.41"</w:t>
            </w:r>
          </w:p>
        </w:tc>
      </w:tr>
      <w:tr w:rsidR="005F78FC" w:rsidTr="005F78FC">
        <w:tc>
          <w:tcPr>
            <w:tcW w:w="0" w:type="auto"/>
            <w:vAlign w:val="center"/>
          </w:tcPr>
          <w:p w:rsidR="005F78FC" w:rsidRDefault="00B42EF3">
            <w:pPr>
              <w:pStyle w:val="TableBodyText"/>
            </w:pPr>
            <w:r>
              <w:rPr>
                <w:b/>
              </w:rPr>
              <w:t>hyperlink</w:t>
            </w:r>
            <w:r>
              <w:t xml:space="preserve"> (Ruby Hyperlink)</w:t>
            </w:r>
          </w:p>
        </w:tc>
        <w:tc>
          <w:tcPr>
            <w:tcW w:w="0" w:type="auto"/>
            <w:vAlign w:val="center"/>
          </w:tcPr>
          <w:p w:rsidR="005F78FC" w:rsidRDefault="00B42EF3">
            <w:pPr>
              <w:pStyle w:val="TableBodyText"/>
            </w:pPr>
            <w:r>
              <w:t>§3.1.3.1.3, hyperlink</w:t>
            </w:r>
          </w:p>
        </w:tc>
      </w:tr>
      <w:tr w:rsidR="005F78FC" w:rsidTr="005F78FC">
        <w:tc>
          <w:tcPr>
            <w:tcW w:w="0" w:type="auto"/>
            <w:vAlign w:val="center"/>
          </w:tcPr>
          <w:p w:rsidR="005F78FC" w:rsidRDefault="00B42EF3">
            <w:pPr>
              <w:pStyle w:val="TableBodyText"/>
            </w:pPr>
            <w:r>
              <w:rPr>
                <w:b/>
              </w:rPr>
              <w:t>ins</w:t>
            </w:r>
            <w:r>
              <w:t xml:space="preserve"> (Inserted Run Content)</w:t>
            </w:r>
          </w:p>
        </w:tc>
        <w:tc>
          <w:tcPr>
            <w:tcW w:w="0" w:type="auto"/>
            <w:vAlign w:val="center"/>
          </w:tcPr>
          <w:p w:rsidR="005F78FC" w:rsidRDefault="00B42EF3">
            <w:pPr>
              <w:pStyle w:val="TableBodyText"/>
            </w:pPr>
            <w:r>
              <w:t>"</w:t>
            </w:r>
            <w:r>
              <w:t>[ISO/IEC-29500-1] §17.13.5.18"</w:t>
            </w:r>
          </w:p>
        </w:tc>
      </w:tr>
      <w:tr w:rsidR="005F78FC" w:rsidTr="005F78FC">
        <w:tc>
          <w:tcPr>
            <w:tcW w:w="0" w:type="auto"/>
            <w:vAlign w:val="center"/>
          </w:tcPr>
          <w:p w:rsidR="005F78FC" w:rsidRDefault="00B42EF3">
            <w:pPr>
              <w:pStyle w:val="TableBodyText"/>
            </w:pPr>
            <w:r>
              <w:rPr>
                <w:b/>
              </w:rPr>
              <w:t>limLow</w:t>
            </w:r>
            <w:r>
              <w:t xml:space="preserve"> (Lower-Limit Object)</w:t>
            </w:r>
          </w:p>
        </w:tc>
        <w:tc>
          <w:tcPr>
            <w:tcW w:w="0" w:type="auto"/>
            <w:vAlign w:val="center"/>
          </w:tcPr>
          <w:p w:rsidR="005F78FC" w:rsidRDefault="00B42EF3">
            <w:pPr>
              <w:pStyle w:val="TableBodyText"/>
            </w:pPr>
            <w:r>
              <w:t>"[ISO/IEC-29500-1] §22.1.2.54"</w:t>
            </w:r>
          </w:p>
        </w:tc>
      </w:tr>
      <w:tr w:rsidR="005F78FC" w:rsidTr="005F78FC">
        <w:tc>
          <w:tcPr>
            <w:tcW w:w="0" w:type="auto"/>
            <w:vAlign w:val="center"/>
          </w:tcPr>
          <w:p w:rsidR="005F78FC" w:rsidRDefault="00B42EF3">
            <w:pPr>
              <w:pStyle w:val="TableBodyText"/>
            </w:pPr>
            <w:r>
              <w:rPr>
                <w:b/>
              </w:rPr>
              <w:t>limUpp</w:t>
            </w:r>
            <w:r>
              <w:t xml:space="preserve"> (Upper-Limit Object)</w:t>
            </w:r>
          </w:p>
        </w:tc>
        <w:tc>
          <w:tcPr>
            <w:tcW w:w="0" w:type="auto"/>
            <w:vAlign w:val="center"/>
          </w:tcPr>
          <w:p w:rsidR="005F78FC" w:rsidRDefault="00B42EF3">
            <w:pPr>
              <w:pStyle w:val="TableBodyText"/>
            </w:pPr>
            <w:r>
              <w:t>"[ISO/IEC-29500-1] §22.1.2.56"</w:t>
            </w:r>
          </w:p>
        </w:tc>
      </w:tr>
      <w:tr w:rsidR="005F78FC" w:rsidTr="005F78FC">
        <w:tc>
          <w:tcPr>
            <w:tcW w:w="0" w:type="auto"/>
            <w:vAlign w:val="center"/>
          </w:tcPr>
          <w:p w:rsidR="005F78FC" w:rsidRDefault="00B42EF3">
            <w:pPr>
              <w:pStyle w:val="TableBodyText"/>
            </w:pPr>
            <w:r>
              <w:rPr>
                <w:b/>
              </w:rPr>
              <w:t>m</w:t>
            </w:r>
            <w:r>
              <w:t xml:space="preserve"> (Matrix Object)</w:t>
            </w:r>
          </w:p>
        </w:tc>
        <w:tc>
          <w:tcPr>
            <w:tcW w:w="0" w:type="auto"/>
            <w:vAlign w:val="center"/>
          </w:tcPr>
          <w:p w:rsidR="005F78FC" w:rsidRDefault="00B42EF3">
            <w:pPr>
              <w:pStyle w:val="TableBodyText"/>
            </w:pPr>
            <w:r>
              <w:t>"[ISO/IEC-29500-1] §22.1.2.60"</w:t>
            </w:r>
          </w:p>
        </w:tc>
      </w:tr>
      <w:tr w:rsidR="005F78FC" w:rsidTr="005F78FC">
        <w:tc>
          <w:tcPr>
            <w:tcW w:w="0" w:type="auto"/>
            <w:vAlign w:val="center"/>
          </w:tcPr>
          <w:p w:rsidR="005F78FC" w:rsidRDefault="00B42EF3">
            <w:pPr>
              <w:pStyle w:val="TableBodyText"/>
            </w:pPr>
            <w:r>
              <w:rPr>
                <w:b/>
              </w:rPr>
              <w:t>moveFrom</w:t>
            </w:r>
            <w:r>
              <w:t xml:space="preserve"> (Move Source Run Content)</w:t>
            </w:r>
          </w:p>
        </w:tc>
        <w:tc>
          <w:tcPr>
            <w:tcW w:w="0" w:type="auto"/>
            <w:vAlign w:val="center"/>
          </w:tcPr>
          <w:p w:rsidR="005F78FC" w:rsidRDefault="00B42EF3">
            <w:pPr>
              <w:pStyle w:val="TableBodyText"/>
            </w:pPr>
            <w:r>
              <w:t>"[ISO/IEC-29500-1]</w:t>
            </w:r>
            <w:r>
              <w:t xml:space="preserve"> §17.13.5.22"</w:t>
            </w:r>
          </w:p>
        </w:tc>
      </w:tr>
      <w:tr w:rsidR="005F78FC" w:rsidTr="005F78FC">
        <w:tc>
          <w:tcPr>
            <w:tcW w:w="0" w:type="auto"/>
            <w:vAlign w:val="center"/>
          </w:tcPr>
          <w:p w:rsidR="005F78FC" w:rsidRDefault="00B42EF3">
            <w:pPr>
              <w:pStyle w:val="TableBodyText"/>
            </w:pPr>
            <w:r>
              <w:rPr>
                <w:b/>
              </w:rPr>
              <w:t>moveFromRangeEnd</w:t>
            </w:r>
            <w:r>
              <w:t xml:space="preserve"> (Move Source Location Container - End)</w:t>
            </w:r>
          </w:p>
        </w:tc>
        <w:tc>
          <w:tcPr>
            <w:tcW w:w="0" w:type="auto"/>
            <w:vAlign w:val="center"/>
          </w:tcPr>
          <w:p w:rsidR="005F78FC" w:rsidRDefault="00B42EF3">
            <w:pPr>
              <w:pStyle w:val="TableBodyText"/>
            </w:pPr>
            <w:r>
              <w:t>"[ISO/IEC-29500-1] §17.13.5.23"</w:t>
            </w:r>
          </w:p>
        </w:tc>
      </w:tr>
      <w:tr w:rsidR="005F78FC" w:rsidTr="005F78FC">
        <w:tc>
          <w:tcPr>
            <w:tcW w:w="0" w:type="auto"/>
            <w:vAlign w:val="center"/>
          </w:tcPr>
          <w:p w:rsidR="005F78FC" w:rsidRDefault="00B42EF3">
            <w:pPr>
              <w:pStyle w:val="TableBodyText"/>
            </w:pPr>
            <w:r>
              <w:rPr>
                <w:b/>
              </w:rPr>
              <w:t>moveFromRangeStart</w:t>
            </w:r>
            <w:r>
              <w:t xml:space="preserve"> (Move Source Location Container - Start)</w:t>
            </w:r>
          </w:p>
        </w:tc>
        <w:tc>
          <w:tcPr>
            <w:tcW w:w="0" w:type="auto"/>
            <w:vAlign w:val="center"/>
          </w:tcPr>
          <w:p w:rsidR="005F78FC" w:rsidRDefault="00B42EF3">
            <w:pPr>
              <w:pStyle w:val="TableBodyText"/>
            </w:pPr>
            <w:r>
              <w:t>"[ISO/IEC-29500-1] §17.13.5.24"</w:t>
            </w:r>
          </w:p>
        </w:tc>
      </w:tr>
      <w:tr w:rsidR="005F78FC" w:rsidTr="005F78FC">
        <w:tc>
          <w:tcPr>
            <w:tcW w:w="0" w:type="auto"/>
            <w:vAlign w:val="center"/>
          </w:tcPr>
          <w:p w:rsidR="005F78FC" w:rsidRDefault="00B42EF3">
            <w:pPr>
              <w:pStyle w:val="TableBodyText"/>
            </w:pPr>
            <w:r>
              <w:rPr>
                <w:b/>
              </w:rPr>
              <w:t>moveTo</w:t>
            </w:r>
            <w:r>
              <w:t xml:space="preserve"> (Move Destination Run Content)</w:t>
            </w:r>
          </w:p>
        </w:tc>
        <w:tc>
          <w:tcPr>
            <w:tcW w:w="0" w:type="auto"/>
            <w:vAlign w:val="center"/>
          </w:tcPr>
          <w:p w:rsidR="005F78FC" w:rsidRDefault="00B42EF3">
            <w:pPr>
              <w:pStyle w:val="TableBodyText"/>
            </w:pPr>
            <w:r>
              <w:t>"[ISO/IEC-29500-1]</w:t>
            </w:r>
            <w:r>
              <w:t xml:space="preserve"> §17.13.5.25"</w:t>
            </w:r>
          </w:p>
        </w:tc>
      </w:tr>
      <w:tr w:rsidR="005F78FC" w:rsidTr="005F78FC">
        <w:tc>
          <w:tcPr>
            <w:tcW w:w="0" w:type="auto"/>
            <w:vAlign w:val="center"/>
          </w:tcPr>
          <w:p w:rsidR="005F78FC" w:rsidRDefault="00B42EF3">
            <w:pPr>
              <w:pStyle w:val="TableBodyText"/>
            </w:pPr>
            <w:r>
              <w:rPr>
                <w:b/>
              </w:rPr>
              <w:t>moveToRangeEnd</w:t>
            </w:r>
            <w:r>
              <w:t xml:space="preserve"> (Move Destination Location Container - End)</w:t>
            </w:r>
          </w:p>
        </w:tc>
        <w:tc>
          <w:tcPr>
            <w:tcW w:w="0" w:type="auto"/>
            <w:vAlign w:val="center"/>
          </w:tcPr>
          <w:p w:rsidR="005F78FC" w:rsidRDefault="00B42EF3">
            <w:pPr>
              <w:pStyle w:val="TableBodyText"/>
            </w:pPr>
            <w:r>
              <w:t>"[ISO/IEC-29500-1] §17.13.5.27"</w:t>
            </w:r>
          </w:p>
        </w:tc>
      </w:tr>
      <w:tr w:rsidR="005F78FC" w:rsidTr="005F78FC">
        <w:tc>
          <w:tcPr>
            <w:tcW w:w="0" w:type="auto"/>
            <w:vAlign w:val="center"/>
          </w:tcPr>
          <w:p w:rsidR="005F78FC" w:rsidRDefault="00B42EF3">
            <w:pPr>
              <w:pStyle w:val="TableBodyText"/>
            </w:pPr>
            <w:r>
              <w:rPr>
                <w:b/>
              </w:rPr>
              <w:t>moveToRangeStart</w:t>
            </w:r>
            <w:r>
              <w:t xml:space="preserve"> (Move Destination Location Container - Start)</w:t>
            </w:r>
          </w:p>
        </w:tc>
        <w:tc>
          <w:tcPr>
            <w:tcW w:w="0" w:type="auto"/>
            <w:vAlign w:val="center"/>
          </w:tcPr>
          <w:p w:rsidR="005F78FC" w:rsidRDefault="00B42EF3">
            <w:pPr>
              <w:pStyle w:val="TableBodyText"/>
            </w:pPr>
            <w:r>
              <w:t>"[ISO/IEC-29500-1] §17.13.5.28"</w:t>
            </w:r>
          </w:p>
        </w:tc>
      </w:tr>
      <w:tr w:rsidR="005F78FC" w:rsidTr="005F78FC">
        <w:tc>
          <w:tcPr>
            <w:tcW w:w="0" w:type="auto"/>
            <w:vAlign w:val="center"/>
          </w:tcPr>
          <w:p w:rsidR="005F78FC" w:rsidRDefault="00B42EF3">
            <w:pPr>
              <w:pStyle w:val="TableBodyText"/>
            </w:pPr>
            <w:r>
              <w:rPr>
                <w:b/>
              </w:rPr>
              <w:t>nary</w:t>
            </w:r>
            <w:r>
              <w:t xml:space="preserve"> (n-ary Operator Object)</w:t>
            </w:r>
          </w:p>
        </w:tc>
        <w:tc>
          <w:tcPr>
            <w:tcW w:w="0" w:type="auto"/>
            <w:vAlign w:val="center"/>
          </w:tcPr>
          <w:p w:rsidR="005F78FC" w:rsidRDefault="00B42EF3">
            <w:pPr>
              <w:pStyle w:val="TableBodyText"/>
            </w:pPr>
            <w:r>
              <w:t>"[ISO/IEC-29500-1] §22.1</w:t>
            </w:r>
            <w:r>
              <w:t>.2.70"</w:t>
            </w:r>
          </w:p>
        </w:tc>
      </w:tr>
      <w:tr w:rsidR="005F78FC" w:rsidTr="005F78FC">
        <w:tc>
          <w:tcPr>
            <w:tcW w:w="0" w:type="auto"/>
            <w:vAlign w:val="center"/>
          </w:tcPr>
          <w:p w:rsidR="005F78FC" w:rsidRDefault="00B42EF3">
            <w:pPr>
              <w:pStyle w:val="TableBodyText"/>
            </w:pPr>
            <w:r>
              <w:rPr>
                <w:b/>
              </w:rPr>
              <w:t>oMath</w:t>
            </w:r>
            <w:r>
              <w:t xml:space="preserve"> (Office Math)</w:t>
            </w:r>
          </w:p>
        </w:tc>
        <w:tc>
          <w:tcPr>
            <w:tcW w:w="0" w:type="auto"/>
            <w:vAlign w:val="center"/>
          </w:tcPr>
          <w:p w:rsidR="005F78FC" w:rsidRDefault="00B42EF3">
            <w:pPr>
              <w:pStyle w:val="TableBodyText"/>
            </w:pPr>
            <w:r>
              <w:t>"[ISO/IEC-29500-1] §22.1.2.77"</w:t>
            </w:r>
          </w:p>
        </w:tc>
      </w:tr>
      <w:tr w:rsidR="005F78FC" w:rsidTr="005F78FC">
        <w:tc>
          <w:tcPr>
            <w:tcW w:w="0" w:type="auto"/>
            <w:vAlign w:val="center"/>
          </w:tcPr>
          <w:p w:rsidR="005F78FC" w:rsidRDefault="00B42EF3">
            <w:pPr>
              <w:pStyle w:val="TableBodyText"/>
            </w:pPr>
            <w:r>
              <w:rPr>
                <w:b/>
              </w:rPr>
              <w:t>oMathPara</w:t>
            </w:r>
            <w:r>
              <w:t xml:space="preserve"> (Office Math Paragraph)</w:t>
            </w:r>
          </w:p>
        </w:tc>
        <w:tc>
          <w:tcPr>
            <w:tcW w:w="0" w:type="auto"/>
            <w:vAlign w:val="center"/>
          </w:tcPr>
          <w:p w:rsidR="005F78FC" w:rsidRDefault="00B42EF3">
            <w:pPr>
              <w:pStyle w:val="TableBodyText"/>
            </w:pPr>
            <w:r>
              <w:t>"[ISO/IEC-29500-1] §22.1.2.78"</w:t>
            </w:r>
          </w:p>
        </w:tc>
      </w:tr>
      <w:tr w:rsidR="005F78FC" w:rsidTr="005F78FC">
        <w:tc>
          <w:tcPr>
            <w:tcW w:w="0" w:type="auto"/>
            <w:vAlign w:val="center"/>
          </w:tcPr>
          <w:p w:rsidR="005F78FC" w:rsidRDefault="00B42EF3">
            <w:pPr>
              <w:pStyle w:val="TableBodyText"/>
            </w:pPr>
            <w:r>
              <w:rPr>
                <w:b/>
              </w:rPr>
              <w:t>permEnd</w:t>
            </w:r>
            <w:r>
              <w:t xml:space="preserve"> (Range Permission End)</w:t>
            </w:r>
          </w:p>
        </w:tc>
        <w:tc>
          <w:tcPr>
            <w:tcW w:w="0" w:type="auto"/>
            <w:vAlign w:val="center"/>
          </w:tcPr>
          <w:p w:rsidR="005F78FC" w:rsidRDefault="00B42EF3">
            <w:pPr>
              <w:pStyle w:val="TableBodyText"/>
            </w:pPr>
            <w:r>
              <w:t>"[ISO/IEC-29500-1] §17.13.7.1"</w:t>
            </w:r>
          </w:p>
        </w:tc>
      </w:tr>
      <w:tr w:rsidR="005F78FC" w:rsidTr="005F78FC">
        <w:tc>
          <w:tcPr>
            <w:tcW w:w="0" w:type="auto"/>
            <w:vAlign w:val="center"/>
          </w:tcPr>
          <w:p w:rsidR="005F78FC" w:rsidRDefault="00B42EF3">
            <w:pPr>
              <w:pStyle w:val="TableBodyText"/>
            </w:pPr>
            <w:r>
              <w:rPr>
                <w:b/>
              </w:rPr>
              <w:t>permStart</w:t>
            </w:r>
            <w:r>
              <w:t xml:space="preserve"> (Range Permission Start)</w:t>
            </w:r>
          </w:p>
        </w:tc>
        <w:tc>
          <w:tcPr>
            <w:tcW w:w="0" w:type="auto"/>
            <w:vAlign w:val="center"/>
          </w:tcPr>
          <w:p w:rsidR="005F78FC" w:rsidRDefault="00B42EF3">
            <w:pPr>
              <w:pStyle w:val="TableBodyText"/>
            </w:pPr>
            <w:r>
              <w:t>"[ISO/IEC-29500-1] §17.13.7.2"</w:t>
            </w:r>
          </w:p>
        </w:tc>
      </w:tr>
      <w:tr w:rsidR="005F78FC" w:rsidTr="005F78FC">
        <w:tc>
          <w:tcPr>
            <w:tcW w:w="0" w:type="auto"/>
            <w:vAlign w:val="center"/>
          </w:tcPr>
          <w:p w:rsidR="005F78FC" w:rsidRDefault="00B42EF3">
            <w:pPr>
              <w:pStyle w:val="TableBodyText"/>
            </w:pPr>
            <w:r>
              <w:rPr>
                <w:b/>
              </w:rPr>
              <w:t>phant</w:t>
            </w:r>
            <w:r>
              <w:t xml:space="preserve"> (Phantom Object)</w:t>
            </w:r>
          </w:p>
        </w:tc>
        <w:tc>
          <w:tcPr>
            <w:tcW w:w="0" w:type="auto"/>
            <w:vAlign w:val="center"/>
          </w:tcPr>
          <w:p w:rsidR="005F78FC" w:rsidRDefault="00B42EF3">
            <w:pPr>
              <w:pStyle w:val="TableBodyText"/>
            </w:pPr>
            <w:r>
              <w:t>"[ISO/IEC-29500-1] §22.1.2.81"</w:t>
            </w:r>
          </w:p>
        </w:tc>
      </w:tr>
      <w:tr w:rsidR="005F78FC" w:rsidTr="005F78FC">
        <w:tc>
          <w:tcPr>
            <w:tcW w:w="0" w:type="auto"/>
            <w:vAlign w:val="center"/>
          </w:tcPr>
          <w:p w:rsidR="005F78FC" w:rsidRDefault="00B42EF3">
            <w:pPr>
              <w:pStyle w:val="TableBodyText"/>
            </w:pPr>
            <w:r>
              <w:rPr>
                <w:b/>
              </w:rPr>
              <w:t>proofErr</w:t>
            </w:r>
            <w:r>
              <w:t xml:space="preserve"> (Proofing Error Anchor)</w:t>
            </w:r>
          </w:p>
        </w:tc>
        <w:tc>
          <w:tcPr>
            <w:tcW w:w="0" w:type="auto"/>
            <w:vAlign w:val="center"/>
          </w:tcPr>
          <w:p w:rsidR="005F78FC" w:rsidRDefault="00B42EF3">
            <w:pPr>
              <w:pStyle w:val="TableBodyText"/>
            </w:pPr>
            <w:r>
              <w:t>"[ISO/IEC-29500-1] §17.13.8.1"</w:t>
            </w:r>
          </w:p>
        </w:tc>
      </w:tr>
      <w:tr w:rsidR="005F78FC" w:rsidTr="005F78FC">
        <w:tc>
          <w:tcPr>
            <w:tcW w:w="0" w:type="auto"/>
            <w:vAlign w:val="center"/>
          </w:tcPr>
          <w:p w:rsidR="005F78FC" w:rsidRDefault="00B42EF3">
            <w:pPr>
              <w:pStyle w:val="TableBodyText"/>
            </w:pPr>
            <w:r>
              <w:rPr>
                <w:b/>
              </w:rPr>
              <w:t>r</w:t>
            </w:r>
            <w:r>
              <w:t xml:space="preserve"> (Run)</w:t>
            </w:r>
          </w:p>
        </w:tc>
        <w:tc>
          <w:tcPr>
            <w:tcW w:w="0" w:type="auto"/>
            <w:vAlign w:val="center"/>
          </w:tcPr>
          <w:p w:rsidR="005F78FC" w:rsidRDefault="00B42EF3">
            <w:pPr>
              <w:pStyle w:val="TableBodyText"/>
            </w:pPr>
            <w:r>
              <w:t>"[ISO/IEC-29500-1] §22.1.2.87"</w:t>
            </w:r>
          </w:p>
        </w:tc>
      </w:tr>
      <w:tr w:rsidR="005F78FC" w:rsidTr="005F78FC">
        <w:tc>
          <w:tcPr>
            <w:tcW w:w="0" w:type="auto"/>
            <w:vAlign w:val="center"/>
          </w:tcPr>
          <w:p w:rsidR="005F78FC" w:rsidRDefault="00B42EF3">
            <w:pPr>
              <w:pStyle w:val="TableBodyText"/>
            </w:pPr>
            <w:r>
              <w:rPr>
                <w:b/>
              </w:rPr>
              <w:t>r</w:t>
            </w:r>
            <w:r>
              <w:t xml:space="preserve"> (Text Run)</w:t>
            </w:r>
          </w:p>
        </w:tc>
        <w:tc>
          <w:tcPr>
            <w:tcW w:w="0" w:type="auto"/>
            <w:vAlign w:val="center"/>
          </w:tcPr>
          <w:p w:rsidR="005F78FC" w:rsidRDefault="00B42EF3">
            <w:pPr>
              <w:pStyle w:val="TableBodyText"/>
            </w:pPr>
            <w:r>
              <w:t xml:space="preserve">"[ISO/IEC-29500-1] </w:t>
            </w:r>
            <w:r>
              <w:lastRenderedPageBreak/>
              <w:t>§17.3.2.25"</w:t>
            </w:r>
          </w:p>
        </w:tc>
      </w:tr>
      <w:tr w:rsidR="005F78FC" w:rsidTr="005F78FC">
        <w:tc>
          <w:tcPr>
            <w:tcW w:w="0" w:type="auto"/>
            <w:vAlign w:val="center"/>
          </w:tcPr>
          <w:p w:rsidR="005F78FC" w:rsidRDefault="00B42EF3">
            <w:pPr>
              <w:pStyle w:val="TableBodyText"/>
            </w:pPr>
            <w:r>
              <w:rPr>
                <w:b/>
              </w:rPr>
              <w:lastRenderedPageBreak/>
              <w:t>rad</w:t>
            </w:r>
            <w:r>
              <w:t xml:space="preserve"> (Radical Object)</w:t>
            </w:r>
          </w:p>
        </w:tc>
        <w:tc>
          <w:tcPr>
            <w:tcW w:w="0" w:type="auto"/>
            <w:vAlign w:val="center"/>
          </w:tcPr>
          <w:p w:rsidR="005F78FC" w:rsidRDefault="00B42EF3">
            <w:pPr>
              <w:pStyle w:val="TableBodyText"/>
            </w:pPr>
            <w:r>
              <w:t>"[ISO/IEC-29500-1] §22.1.2.88"</w:t>
            </w:r>
          </w:p>
        </w:tc>
      </w:tr>
      <w:tr w:rsidR="005F78FC" w:rsidTr="005F78FC">
        <w:tc>
          <w:tcPr>
            <w:tcW w:w="0" w:type="auto"/>
            <w:vAlign w:val="center"/>
          </w:tcPr>
          <w:p w:rsidR="005F78FC" w:rsidRDefault="00B42EF3">
            <w:pPr>
              <w:pStyle w:val="TableBodyText"/>
            </w:pPr>
            <w:r>
              <w:rPr>
                <w:b/>
              </w:rPr>
              <w:t>sdt</w:t>
            </w:r>
            <w:r>
              <w:t xml:space="preserve"> (Ruby Inline-Level Structured Document Tag)</w:t>
            </w:r>
          </w:p>
        </w:tc>
        <w:tc>
          <w:tcPr>
            <w:tcW w:w="0" w:type="auto"/>
            <w:vAlign w:val="center"/>
          </w:tcPr>
          <w:p w:rsidR="005F78FC" w:rsidRDefault="00B42EF3">
            <w:pPr>
              <w:pStyle w:val="TableBodyText"/>
            </w:pPr>
            <w:r>
              <w:t>§</w:t>
            </w:r>
            <w:hyperlink w:anchor="Section_808b32d8ad644c849fb585ad68be54b9">
              <w:r>
                <w:rPr>
                  <w:rStyle w:val="Hyperlink"/>
                </w:rPr>
                <w:t>3.1.3.1.6, sdt</w:t>
              </w:r>
            </w:hyperlink>
          </w:p>
        </w:tc>
      </w:tr>
      <w:tr w:rsidR="005F78FC" w:rsidTr="005F78FC">
        <w:tc>
          <w:tcPr>
            <w:tcW w:w="0" w:type="auto"/>
            <w:vAlign w:val="center"/>
          </w:tcPr>
          <w:p w:rsidR="005F78FC" w:rsidRDefault="00B42EF3">
            <w:pPr>
              <w:pStyle w:val="TableBodyText"/>
            </w:pPr>
            <w:r>
              <w:rPr>
                <w:b/>
              </w:rPr>
              <w:t>sPre</w:t>
            </w:r>
            <w:r>
              <w:t xml:space="preserve"> (Pre-Sub-Superscript Object)</w:t>
            </w:r>
          </w:p>
        </w:tc>
        <w:tc>
          <w:tcPr>
            <w:tcW w:w="0" w:type="auto"/>
            <w:vAlign w:val="center"/>
          </w:tcPr>
          <w:p w:rsidR="005F78FC" w:rsidRDefault="00B42EF3">
            <w:pPr>
              <w:pStyle w:val="TableBodyText"/>
            </w:pPr>
            <w:r>
              <w:t>"[ISO/IEC-29500-1] §22.1.2.99"</w:t>
            </w:r>
          </w:p>
        </w:tc>
      </w:tr>
      <w:tr w:rsidR="005F78FC" w:rsidTr="005F78FC">
        <w:tc>
          <w:tcPr>
            <w:tcW w:w="0" w:type="auto"/>
            <w:vAlign w:val="center"/>
          </w:tcPr>
          <w:p w:rsidR="005F78FC" w:rsidRDefault="00B42EF3">
            <w:pPr>
              <w:pStyle w:val="TableBodyText"/>
            </w:pPr>
            <w:r>
              <w:rPr>
                <w:b/>
              </w:rPr>
              <w:t>sSub</w:t>
            </w:r>
            <w:r>
              <w:t xml:space="preserve"> (Subscript Object)</w:t>
            </w:r>
          </w:p>
        </w:tc>
        <w:tc>
          <w:tcPr>
            <w:tcW w:w="0" w:type="auto"/>
            <w:vAlign w:val="center"/>
          </w:tcPr>
          <w:p w:rsidR="005F78FC" w:rsidRDefault="00B42EF3">
            <w:pPr>
              <w:pStyle w:val="TableBodyText"/>
            </w:pPr>
            <w:r>
              <w:t>"[ISO/IEC-29500-1] §22.1.2.101"</w:t>
            </w:r>
          </w:p>
        </w:tc>
      </w:tr>
      <w:tr w:rsidR="005F78FC" w:rsidTr="005F78FC">
        <w:tc>
          <w:tcPr>
            <w:tcW w:w="0" w:type="auto"/>
            <w:vAlign w:val="center"/>
          </w:tcPr>
          <w:p w:rsidR="005F78FC" w:rsidRDefault="00B42EF3">
            <w:pPr>
              <w:pStyle w:val="TableBodyText"/>
            </w:pPr>
            <w:r>
              <w:rPr>
                <w:b/>
              </w:rPr>
              <w:t>sSubSup</w:t>
            </w:r>
            <w:r>
              <w:t xml:space="preserve"> (Sub-Superscript Object)</w:t>
            </w:r>
          </w:p>
        </w:tc>
        <w:tc>
          <w:tcPr>
            <w:tcW w:w="0" w:type="auto"/>
            <w:vAlign w:val="center"/>
          </w:tcPr>
          <w:p w:rsidR="005F78FC" w:rsidRDefault="00B42EF3">
            <w:pPr>
              <w:pStyle w:val="TableBodyText"/>
            </w:pPr>
            <w:r>
              <w:t>"[ISO/IEC-29500-1] §22.1.2.103"</w:t>
            </w:r>
          </w:p>
        </w:tc>
      </w:tr>
      <w:tr w:rsidR="005F78FC" w:rsidTr="005F78FC">
        <w:tc>
          <w:tcPr>
            <w:tcW w:w="0" w:type="auto"/>
            <w:vAlign w:val="center"/>
          </w:tcPr>
          <w:p w:rsidR="005F78FC" w:rsidRDefault="00B42EF3">
            <w:pPr>
              <w:pStyle w:val="TableBodyText"/>
            </w:pPr>
            <w:r>
              <w:rPr>
                <w:b/>
              </w:rPr>
              <w:t>sSup</w:t>
            </w:r>
            <w:r>
              <w:t xml:space="preserve"> (Superscript Object)</w:t>
            </w:r>
          </w:p>
        </w:tc>
        <w:tc>
          <w:tcPr>
            <w:tcW w:w="0" w:type="auto"/>
            <w:vAlign w:val="center"/>
          </w:tcPr>
          <w:p w:rsidR="005F78FC" w:rsidRDefault="00B42EF3">
            <w:pPr>
              <w:pStyle w:val="TableBodyText"/>
            </w:pPr>
            <w:r>
              <w:t>"[ISO/IEC-29500-1] §22.1.2.105"</w:t>
            </w:r>
          </w:p>
        </w:tc>
      </w:tr>
    </w:tbl>
    <w:p w:rsidR="005F78FC" w:rsidRDefault="005F78FC"/>
    <w:p w:rsidR="005F78FC" w:rsidRDefault="005F78FC"/>
    <w:tbl>
      <w:tblPr>
        <w:tblStyle w:val="Table-ShadedHeader"/>
        <w:tblW w:w="0" w:type="auto"/>
        <w:tblLook w:val="04A0" w:firstRow="1" w:lastRow="0" w:firstColumn="1" w:lastColumn="0" w:noHBand="0" w:noVBand="1"/>
      </w:tblPr>
      <w:tblGrid>
        <w:gridCol w:w="3414"/>
        <w:gridCol w:w="6061"/>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Attributes</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rPr>
                <w:b/>
              </w:rPr>
              <w:t>anchor</w:t>
            </w:r>
            <w:r>
              <w:t xml:space="preserve"> (Hyperlink Anchor)</w:t>
            </w:r>
          </w:p>
        </w:tc>
        <w:tc>
          <w:tcPr>
            <w:tcW w:w="0" w:type="auto"/>
            <w:vAlign w:val="center"/>
          </w:tcPr>
          <w:p w:rsidR="005F78FC" w:rsidRDefault="00B42EF3">
            <w:pPr>
              <w:pStyle w:val="TableBodyText"/>
            </w:pPr>
            <w:r>
              <w:t>Specifies the name of a bookmark in the current document which shall be the tar</w:t>
            </w:r>
            <w:r>
              <w:t xml:space="preserve">get of this hyperlink. </w:t>
            </w:r>
          </w:p>
          <w:p w:rsidR="005F78FC" w:rsidRDefault="005F78FC">
            <w:pPr>
              <w:pStyle w:val="TableBodyText"/>
            </w:pPr>
          </w:p>
          <w:p w:rsidR="005F78FC" w:rsidRDefault="00B42EF3">
            <w:pPr>
              <w:pStyle w:val="TableBodyText"/>
            </w:pPr>
            <w:r>
              <w:t xml:space="preserve">If this attribute is omitted, then the default behavior shall be to navigate to the start of the document. If a hyperlink target is also specified using the </w:t>
            </w:r>
            <w:r>
              <w:rPr>
                <w:b/>
              </w:rPr>
              <w:t>r:id</w:t>
            </w:r>
            <w:r>
              <w:t xml:space="preserve"> attribute, then this attribute shall be ignored. If no bookmark exists in the current document with the given bookmark name, then the default behavior shall be to navigate to the start of the document.</w:t>
            </w:r>
          </w:p>
          <w:p w:rsidR="005F78FC" w:rsidRDefault="005F78FC">
            <w:pPr>
              <w:pStyle w:val="TableBodyText"/>
            </w:pPr>
          </w:p>
          <w:p w:rsidR="005F78FC" w:rsidRDefault="00B42EF3">
            <w:pPr>
              <w:pStyle w:val="TableBodyText"/>
            </w:pPr>
            <w:r>
              <w:t>[Example: Consider the following WordprocessingML fr</w:t>
            </w:r>
            <w:r>
              <w:t>agment for a hyperlink:</w:t>
            </w:r>
          </w:p>
          <w:p w:rsidR="005F78FC" w:rsidRDefault="005F78FC">
            <w:pPr>
              <w:pStyle w:val="TableBodyText"/>
            </w:pPr>
          </w:p>
          <w:p w:rsidR="005F78FC" w:rsidRDefault="00B42EF3">
            <w:pPr>
              <w:pStyle w:val="Code"/>
            </w:pPr>
            <w:r>
              <w:t>&lt;w:hyperlink w:anchor="chapter3"&gt;</w:t>
            </w:r>
          </w:p>
          <w:p w:rsidR="005F78FC" w:rsidRDefault="00B42EF3">
            <w:pPr>
              <w:pStyle w:val="Code"/>
            </w:pPr>
            <w:r>
              <w:t xml:space="preserve">  &lt;w:r&gt;</w:t>
            </w:r>
          </w:p>
          <w:p w:rsidR="005F78FC" w:rsidRDefault="00B42EF3">
            <w:pPr>
              <w:pStyle w:val="Code"/>
            </w:pPr>
            <w:r>
              <w:t xml:space="preserve">    &lt;w:t&gt;Go to Chapter Three&lt;/w:t&gt;</w:t>
            </w:r>
          </w:p>
          <w:p w:rsidR="005F78FC" w:rsidRDefault="00B42EF3">
            <w:pPr>
              <w:pStyle w:val="Code"/>
            </w:pPr>
            <w:r>
              <w:t xml:space="preserve">  &lt;/w:r&gt;</w:t>
            </w:r>
          </w:p>
          <w:p w:rsidR="005F78FC" w:rsidRDefault="00B42EF3">
            <w:pPr>
              <w:pStyle w:val="Code"/>
            </w:pPr>
            <w:r>
              <w:t>&lt;/w:hyperlink&gt;</w:t>
            </w:r>
          </w:p>
          <w:p w:rsidR="005F78FC" w:rsidRDefault="005F78FC">
            <w:pPr>
              <w:pStyle w:val="TableBodyText"/>
            </w:pPr>
          </w:p>
          <w:p w:rsidR="005F78FC" w:rsidRDefault="00B42EF3">
            <w:pPr>
              <w:pStyle w:val="TableBodyText"/>
            </w:pPr>
            <w:r>
              <w:t xml:space="preserve">The </w:t>
            </w:r>
            <w:r>
              <w:rPr>
                <w:b/>
              </w:rPr>
              <w:t>anchor</w:t>
            </w:r>
            <w:r>
              <w:t xml:space="preserve"> attribute specifies that the target of the current hyperlink shall be the text contained within the bookmark </w:t>
            </w:r>
            <w:r>
              <w:rPr>
                <w:i/>
              </w:rPr>
              <w:t>chapter3</w:t>
            </w:r>
            <w:r>
              <w:t xml:space="preserve"> </w:t>
            </w:r>
            <w:r>
              <w:t>within the document. end example]</w:t>
            </w:r>
          </w:p>
          <w:p w:rsidR="005F78FC" w:rsidRDefault="005F78FC">
            <w:pPr>
              <w:pStyle w:val="TableBodyText"/>
            </w:pPr>
          </w:p>
          <w:p w:rsidR="005F78FC" w:rsidRDefault="00B42EF3">
            <w:pPr>
              <w:pStyle w:val="TableBodyText"/>
            </w:pPr>
            <w:r>
              <w:t>The possible values for this attribute are defined by the ST_String255 simple type (§</w:t>
            </w:r>
            <w:hyperlink w:anchor="Section_73f2382235094ce4a27391e7e5a80c27">
              <w:r>
                <w:rPr>
                  <w:rStyle w:val="Hyperlink"/>
                </w:rPr>
                <w:t>3.1.3.3.9, ST_String255</w:t>
              </w:r>
            </w:hyperlink>
            <w:r>
              <w:t>).</w:t>
            </w:r>
          </w:p>
        </w:tc>
      </w:tr>
      <w:tr w:rsidR="005F78FC" w:rsidTr="005F78FC">
        <w:tc>
          <w:tcPr>
            <w:tcW w:w="0" w:type="auto"/>
            <w:vAlign w:val="center"/>
          </w:tcPr>
          <w:p w:rsidR="005F78FC" w:rsidRDefault="00B42EF3">
            <w:pPr>
              <w:pStyle w:val="TableBodyText"/>
            </w:pPr>
            <w:r>
              <w:rPr>
                <w:b/>
              </w:rPr>
              <w:t>docLocation</w:t>
            </w:r>
            <w:r>
              <w:t xml:space="preserve"> (Location in Target Document)</w:t>
            </w:r>
          </w:p>
        </w:tc>
        <w:tc>
          <w:tcPr>
            <w:tcW w:w="0" w:type="auto"/>
            <w:vAlign w:val="center"/>
          </w:tcPr>
          <w:p w:rsidR="005F78FC" w:rsidRDefault="00B42EF3">
            <w:pPr>
              <w:pStyle w:val="TableBodyText"/>
            </w:pPr>
            <w:r>
              <w:t>Spec</w:t>
            </w:r>
            <w:r>
              <w:t>ifies a location in the target of the hyperlink that has no bookmarks.</w:t>
            </w:r>
          </w:p>
          <w:p w:rsidR="005F78FC" w:rsidRDefault="005F78FC">
            <w:pPr>
              <w:pStyle w:val="TableBodyText"/>
            </w:pPr>
          </w:p>
          <w:p w:rsidR="005F78FC" w:rsidRDefault="00B42EF3">
            <w:pPr>
              <w:pStyle w:val="TableBodyText"/>
            </w:pPr>
            <w:r>
              <w:t xml:space="preserve">If this attribute is omitted, then no location shall be associated with the parent hyperlink. If the </w:t>
            </w:r>
            <w:r>
              <w:rPr>
                <w:b/>
              </w:rPr>
              <w:t>anchor</w:t>
            </w:r>
            <w:r>
              <w:t xml:space="preserve"> attribute is also specified, then this </w:t>
            </w:r>
            <w:r>
              <w:lastRenderedPageBreak/>
              <w:t>attribute may be ignored when the hyp</w:t>
            </w:r>
            <w:r>
              <w:t>erlink is invoked.</w:t>
            </w:r>
          </w:p>
          <w:p w:rsidR="005F78FC" w:rsidRDefault="005F78FC">
            <w:pPr>
              <w:pStyle w:val="TableBodyText"/>
            </w:pPr>
          </w:p>
          <w:p w:rsidR="005F78FC" w:rsidRDefault="00B42EF3">
            <w:pPr>
              <w:pStyle w:val="TableBodyText"/>
            </w:pPr>
            <w:r>
              <w:t>[Example: Consider the following WordprocessingML fragment for a hyperlink:</w:t>
            </w:r>
          </w:p>
          <w:p w:rsidR="005F78FC" w:rsidRDefault="005F78FC">
            <w:pPr>
              <w:pStyle w:val="TableBodyText"/>
            </w:pPr>
          </w:p>
          <w:p w:rsidR="005F78FC" w:rsidRDefault="00B42EF3">
            <w:pPr>
              <w:pStyle w:val="Code"/>
            </w:pPr>
            <w:r>
              <w:t>&lt;w:hyperlink r:id="rId9" w:docLocation="table"&gt;</w:t>
            </w:r>
          </w:p>
          <w:p w:rsidR="005F78FC" w:rsidRDefault="00B42EF3">
            <w:pPr>
              <w:pStyle w:val="Code"/>
            </w:pPr>
            <w:r>
              <w:t xml:space="preserve">  &lt;w:r&gt;</w:t>
            </w:r>
          </w:p>
          <w:p w:rsidR="005F78FC" w:rsidRDefault="00B42EF3">
            <w:pPr>
              <w:pStyle w:val="Code"/>
            </w:pPr>
            <w:r>
              <w:t xml:space="preserve">    &lt;w:t&gt;Click Here&lt;/w:t&gt;</w:t>
            </w:r>
          </w:p>
          <w:p w:rsidR="005F78FC" w:rsidRDefault="00B42EF3">
            <w:pPr>
              <w:pStyle w:val="Code"/>
            </w:pPr>
            <w:r>
              <w:t xml:space="preserve">  &lt;/w:r&gt;</w:t>
            </w:r>
          </w:p>
          <w:p w:rsidR="005F78FC" w:rsidRDefault="00B42EF3">
            <w:pPr>
              <w:pStyle w:val="Code"/>
            </w:pPr>
            <w:r>
              <w:t>&lt;/w:hyperlink&gt;</w:t>
            </w:r>
          </w:p>
          <w:p w:rsidR="005F78FC" w:rsidRDefault="005F78FC">
            <w:pPr>
              <w:pStyle w:val="TableBodyText"/>
            </w:pPr>
          </w:p>
          <w:p w:rsidR="005F78FC" w:rsidRDefault="00B42EF3">
            <w:pPr>
              <w:pStyle w:val="TableBodyText"/>
            </w:pPr>
            <w:r>
              <w:t xml:space="preserve">The </w:t>
            </w:r>
            <w:r>
              <w:rPr>
                <w:b/>
              </w:rPr>
              <w:t>docLocation</w:t>
            </w:r>
            <w:r>
              <w:t xml:space="preserve"> attribute specifies that the target of the current hyperlink shall be a region targeted by the string </w:t>
            </w:r>
            <w:r>
              <w:rPr>
                <w:i/>
              </w:rPr>
              <w:t>table</w:t>
            </w:r>
            <w:r>
              <w:t xml:space="preserve"> within the target document. end example]</w:t>
            </w:r>
          </w:p>
          <w:p w:rsidR="005F78FC" w:rsidRDefault="005F78FC">
            <w:pPr>
              <w:pStyle w:val="TableBodyText"/>
            </w:pPr>
          </w:p>
          <w:p w:rsidR="005F78FC" w:rsidRDefault="00B42EF3">
            <w:pPr>
              <w:pStyle w:val="TableBodyText"/>
            </w:pPr>
            <w:r>
              <w:t>The possible values for this attribute are defined by the ST_String255 simple type (§3.1.3.3.9, ST_String</w:t>
            </w:r>
            <w:r>
              <w:t>255).</w:t>
            </w:r>
          </w:p>
        </w:tc>
      </w:tr>
      <w:tr w:rsidR="005F78FC" w:rsidTr="005F78FC">
        <w:tc>
          <w:tcPr>
            <w:tcW w:w="0" w:type="auto"/>
            <w:vAlign w:val="center"/>
          </w:tcPr>
          <w:p w:rsidR="005F78FC" w:rsidRDefault="00B42EF3">
            <w:pPr>
              <w:pStyle w:val="TableBodyText"/>
            </w:pPr>
            <w:r>
              <w:rPr>
                <w:b/>
              </w:rPr>
              <w:lastRenderedPageBreak/>
              <w:t>history</w:t>
            </w:r>
            <w:r>
              <w:t xml:space="preserve"> (Add to Viewed Hyperlinks)</w:t>
            </w:r>
          </w:p>
        </w:tc>
        <w:tc>
          <w:tcPr>
            <w:tcW w:w="0" w:type="auto"/>
            <w:vAlign w:val="center"/>
          </w:tcPr>
          <w:p w:rsidR="005F78FC" w:rsidRDefault="00B42EF3">
            <w:pPr>
              <w:pStyle w:val="TableBodyText"/>
            </w:pPr>
            <w:r>
              <w:t xml:space="preserve">Specifies whether the target of the parent hyperlink (as specified via the </w:t>
            </w:r>
            <w:r>
              <w:rPr>
                <w:b/>
              </w:rPr>
              <w:t>r:id</w:t>
            </w:r>
            <w:r>
              <w:t xml:space="preserve"> attribute) shall be added to a list of viewed hyperlinks when it is invoked.</w:t>
            </w:r>
          </w:p>
          <w:p w:rsidR="005F78FC" w:rsidRDefault="005F78FC">
            <w:pPr>
              <w:pStyle w:val="TableBodyText"/>
            </w:pPr>
          </w:p>
          <w:p w:rsidR="005F78FC" w:rsidRDefault="00B42EF3">
            <w:pPr>
              <w:pStyle w:val="TableBodyText"/>
            </w:pPr>
            <w:r>
              <w:t>If this attribute is omitted, then its value shall be as</w:t>
            </w:r>
            <w:r>
              <w:t xml:space="preserve">sumed to be </w:t>
            </w:r>
            <w:r>
              <w:rPr>
                <w:i/>
              </w:rPr>
              <w:t>false</w:t>
            </w:r>
            <w:r>
              <w:t>.</w:t>
            </w:r>
          </w:p>
          <w:p w:rsidR="005F78FC" w:rsidRDefault="005F78FC">
            <w:pPr>
              <w:pStyle w:val="TableBodyText"/>
            </w:pPr>
          </w:p>
          <w:p w:rsidR="005F78FC" w:rsidRDefault="00B42EF3">
            <w:pPr>
              <w:pStyle w:val="TableBodyText"/>
            </w:pPr>
            <w:r>
              <w:t>[Example: Consider the following WordprocessingML fragment for a hyperlink:</w:t>
            </w:r>
          </w:p>
          <w:p w:rsidR="005F78FC" w:rsidRDefault="005F78FC">
            <w:pPr>
              <w:pStyle w:val="TableBodyText"/>
            </w:pPr>
          </w:p>
          <w:p w:rsidR="005F78FC" w:rsidRDefault="00B42EF3">
            <w:pPr>
              <w:pStyle w:val="Code"/>
            </w:pPr>
            <w:r>
              <w:t>&lt;w:hyperlink r:id="rId9" w:history="true"&gt;</w:t>
            </w:r>
          </w:p>
          <w:p w:rsidR="005F78FC" w:rsidRDefault="00B42EF3">
            <w:pPr>
              <w:pStyle w:val="Code"/>
            </w:pPr>
            <w:r>
              <w:t xml:space="preserve">  &lt;w:r&gt;</w:t>
            </w:r>
          </w:p>
          <w:p w:rsidR="005F78FC" w:rsidRDefault="00B42EF3">
            <w:pPr>
              <w:pStyle w:val="Code"/>
            </w:pPr>
            <w:r>
              <w:t xml:space="preserve">    &lt;w:t&gt;http://example.com&lt;/w:t&gt;</w:t>
            </w:r>
          </w:p>
          <w:p w:rsidR="005F78FC" w:rsidRDefault="00B42EF3">
            <w:pPr>
              <w:pStyle w:val="Code"/>
            </w:pPr>
            <w:r>
              <w:t xml:space="preserve">  &lt;/w:r&gt;</w:t>
            </w:r>
          </w:p>
          <w:p w:rsidR="005F78FC" w:rsidRDefault="00B42EF3">
            <w:pPr>
              <w:pStyle w:val="Code"/>
            </w:pPr>
            <w:r>
              <w:t>&lt;/w:hyperlink&gt;</w:t>
            </w:r>
          </w:p>
          <w:p w:rsidR="005F78FC" w:rsidRDefault="005F78FC">
            <w:pPr>
              <w:pStyle w:val="TableBodyText"/>
            </w:pPr>
          </w:p>
          <w:p w:rsidR="005F78FC" w:rsidRDefault="00B42EF3">
            <w:pPr>
              <w:pStyle w:val="TableBodyText"/>
            </w:pPr>
            <w:r>
              <w:t xml:space="preserve">The </w:t>
            </w:r>
            <w:r>
              <w:rPr>
                <w:b/>
              </w:rPr>
              <w:t>history</w:t>
            </w:r>
            <w:r>
              <w:t xml:space="preserve"> attribute value of </w:t>
            </w:r>
            <w:r>
              <w:rPr>
                <w:i/>
              </w:rPr>
              <w:t>true</w:t>
            </w:r>
            <w:r>
              <w:t xml:space="preserve"> specifies that the target of the current hyperlink shall be added to a list of visited hyperlinks when invoked within the document. end example]</w:t>
            </w:r>
          </w:p>
          <w:p w:rsidR="005F78FC" w:rsidRDefault="005F78FC">
            <w:pPr>
              <w:pStyle w:val="TableBodyText"/>
            </w:pPr>
          </w:p>
          <w:p w:rsidR="005F78FC" w:rsidRDefault="00B42EF3">
            <w:pPr>
              <w:pStyle w:val="TableBodyText"/>
            </w:pPr>
            <w:r>
              <w:t>The possible values for this attribute are defined by the ST_OnOff simple type (§</w:t>
            </w:r>
            <w:hyperlink w:anchor="Section_79cbec698430479d88c056dd44369074">
              <w:r>
                <w:rPr>
                  <w:rStyle w:val="Hyperlink"/>
                </w:rPr>
                <w:t>3.1.3.3.6, ST_OnOff</w:t>
              </w:r>
            </w:hyperlink>
            <w:r>
              <w:t>).</w:t>
            </w:r>
          </w:p>
        </w:tc>
      </w:tr>
      <w:tr w:rsidR="005F78FC" w:rsidTr="005F78FC">
        <w:tc>
          <w:tcPr>
            <w:tcW w:w="0" w:type="auto"/>
            <w:vAlign w:val="center"/>
          </w:tcPr>
          <w:p w:rsidR="005F78FC" w:rsidRDefault="00B42EF3">
            <w:pPr>
              <w:pStyle w:val="TableBodyText"/>
            </w:pPr>
            <w:r>
              <w:rPr>
                <w:b/>
              </w:rPr>
              <w:t>id</w:t>
            </w:r>
            <w:r>
              <w:t xml:space="preserve"> (Hyperlink Target)</w:t>
            </w:r>
          </w:p>
          <w:p w:rsidR="005F78FC" w:rsidRDefault="005F78FC">
            <w:pPr>
              <w:pStyle w:val="TableBodyText"/>
            </w:pPr>
          </w:p>
          <w:p w:rsidR="005F78FC" w:rsidRDefault="00B42EF3">
            <w:pPr>
              <w:pStyle w:val="TableBodyText"/>
            </w:pPr>
            <w:r>
              <w:t>Namespace: .../officeDocument/2006/relationships</w:t>
            </w:r>
          </w:p>
        </w:tc>
        <w:tc>
          <w:tcPr>
            <w:tcW w:w="0" w:type="auto"/>
            <w:vAlign w:val="center"/>
          </w:tcPr>
          <w:p w:rsidR="005F78FC" w:rsidRDefault="00B42EF3">
            <w:pPr>
              <w:pStyle w:val="TableBodyText"/>
            </w:pPr>
            <w:r>
              <w:t>Specifies the ID of the relationship whose target shall be used as the target for this hyperlink.</w:t>
            </w:r>
          </w:p>
          <w:p w:rsidR="005F78FC" w:rsidRDefault="005F78FC">
            <w:pPr>
              <w:pStyle w:val="TableBodyText"/>
            </w:pPr>
          </w:p>
          <w:p w:rsidR="005F78FC" w:rsidRDefault="00B42EF3">
            <w:pPr>
              <w:pStyle w:val="TableBodyText"/>
            </w:pPr>
            <w:r>
              <w:t>I</w:t>
            </w:r>
            <w:r>
              <w:t xml:space="preserve">f the </w:t>
            </w:r>
            <w:r>
              <w:rPr>
                <w:b/>
              </w:rPr>
              <w:t>id</w:t>
            </w:r>
            <w:r>
              <w:t xml:space="preserve"> attribute is omitted, then there shall be no external target for the current hyperlink, although a location in the current document may still be specified as a target via the </w:t>
            </w:r>
            <w:r>
              <w:rPr>
                <w:b/>
              </w:rPr>
              <w:t>anchor</w:t>
            </w:r>
            <w:r>
              <w:t xml:space="preserve"> attribute. If the </w:t>
            </w:r>
            <w:r>
              <w:rPr>
                <w:b/>
              </w:rPr>
              <w:t>id</w:t>
            </w:r>
            <w:r>
              <w:t xml:space="preserve"> attribute exists, it shall supersede the val</w:t>
            </w:r>
            <w:r>
              <w:t xml:space="preserve">ue in the </w:t>
            </w:r>
            <w:r>
              <w:rPr>
                <w:b/>
              </w:rPr>
              <w:t>anchor</w:t>
            </w:r>
            <w:r>
              <w:t xml:space="preserve"> attribute.</w:t>
            </w:r>
          </w:p>
          <w:p w:rsidR="005F78FC" w:rsidRDefault="005F78FC">
            <w:pPr>
              <w:pStyle w:val="TableBodyText"/>
            </w:pPr>
          </w:p>
          <w:p w:rsidR="005F78FC" w:rsidRDefault="00B42EF3">
            <w:pPr>
              <w:pStyle w:val="TableBodyText"/>
            </w:pPr>
            <w:r>
              <w:t>[Example: Consider the following WordprocessingML fragment for a hyperlink:</w:t>
            </w:r>
          </w:p>
          <w:p w:rsidR="005F78FC" w:rsidRDefault="005F78FC">
            <w:pPr>
              <w:pStyle w:val="TableBodyText"/>
            </w:pPr>
          </w:p>
          <w:p w:rsidR="005F78FC" w:rsidRDefault="00B42EF3">
            <w:pPr>
              <w:pStyle w:val="Code"/>
            </w:pPr>
            <w:r>
              <w:lastRenderedPageBreak/>
              <w:t>&lt;w:hyperlink r:id="rId9"&gt;</w:t>
            </w:r>
          </w:p>
          <w:p w:rsidR="005F78FC" w:rsidRDefault="00B42EF3">
            <w:pPr>
              <w:pStyle w:val="Code"/>
            </w:pPr>
            <w:r>
              <w:t xml:space="preserve">  &lt;w:r&gt;</w:t>
            </w:r>
          </w:p>
          <w:p w:rsidR="005F78FC" w:rsidRDefault="00B42EF3">
            <w:pPr>
              <w:pStyle w:val="Code"/>
            </w:pPr>
            <w:r>
              <w:t xml:space="preserve">    &lt;w:t&gt;http://example.com&lt;/w:t&gt;</w:t>
            </w:r>
          </w:p>
          <w:p w:rsidR="005F78FC" w:rsidRDefault="00B42EF3">
            <w:pPr>
              <w:pStyle w:val="Code"/>
            </w:pPr>
            <w:r>
              <w:t xml:space="preserve">  &lt;/w:r&gt;</w:t>
            </w:r>
          </w:p>
          <w:p w:rsidR="005F78FC" w:rsidRDefault="00B42EF3">
            <w:pPr>
              <w:pStyle w:val="Code"/>
            </w:pPr>
            <w:r>
              <w:t>&lt;/w:hyperlink&gt;</w:t>
            </w:r>
          </w:p>
          <w:p w:rsidR="005F78FC" w:rsidRDefault="005F78FC">
            <w:pPr>
              <w:pStyle w:val="TableBodyText"/>
            </w:pPr>
          </w:p>
          <w:p w:rsidR="005F78FC" w:rsidRDefault="00B42EF3">
            <w:pPr>
              <w:pStyle w:val="TableBodyText"/>
            </w:pPr>
            <w:r>
              <w:t xml:space="preserve">An </w:t>
            </w:r>
            <w:r>
              <w:rPr>
                <w:b/>
              </w:rPr>
              <w:t>id</w:t>
            </w:r>
            <w:r>
              <w:t xml:space="preserve"> attribute value of </w:t>
            </w:r>
            <w:r>
              <w:rPr>
                <w:i/>
              </w:rPr>
              <w:t>rId9</w:t>
            </w:r>
            <w:r>
              <w:t xml:space="preserve"> specifies that the relation</w:t>
            </w:r>
            <w:r>
              <w:t xml:space="preserve">ship in the associated relationship part item with a corresponding </w:t>
            </w:r>
            <w:r>
              <w:rPr>
                <w:b/>
              </w:rPr>
              <w:t>Id</w:t>
            </w:r>
            <w:r>
              <w:t xml:space="preserve"> attribute value shall be navigated to when this hyperlink is invoked. For example, if the following XML is present in the associated relationship part item:</w:t>
            </w:r>
          </w:p>
          <w:p w:rsidR="005F78FC" w:rsidRDefault="005F78FC">
            <w:pPr>
              <w:pStyle w:val="TableBodyText"/>
            </w:pPr>
          </w:p>
          <w:p w:rsidR="005F78FC" w:rsidRDefault="00B42EF3">
            <w:pPr>
              <w:pStyle w:val="Code"/>
            </w:pPr>
            <w:r>
              <w:t>&lt;Relationships xmlns="…"&gt;</w:t>
            </w:r>
          </w:p>
          <w:p w:rsidR="005F78FC" w:rsidRDefault="00B42EF3">
            <w:pPr>
              <w:pStyle w:val="Code"/>
            </w:pPr>
            <w:r>
              <w:t xml:space="preserve">  </w:t>
            </w:r>
            <w:r>
              <w:t>&lt;Relationship Id="rId9" Mode="External" Target=http://www.contoso.com /&gt;</w:t>
            </w:r>
          </w:p>
          <w:p w:rsidR="005F78FC" w:rsidRDefault="00B42EF3">
            <w:pPr>
              <w:pStyle w:val="Code"/>
            </w:pPr>
            <w:r>
              <w:t>&lt;/Relationships&gt;</w:t>
            </w:r>
          </w:p>
          <w:p w:rsidR="005F78FC" w:rsidRDefault="005F78FC">
            <w:pPr>
              <w:pStyle w:val="TableBodyText"/>
            </w:pPr>
          </w:p>
          <w:p w:rsidR="005F78FC" w:rsidRDefault="00B42EF3">
            <w:pPr>
              <w:pStyle w:val="TableBodyText"/>
            </w:pPr>
            <w:r>
              <w:t xml:space="preserve">The target of this hyperlink would therefore be the target of relationship </w:t>
            </w:r>
            <w:r>
              <w:rPr>
                <w:i/>
              </w:rPr>
              <w:t>rId9</w:t>
            </w:r>
            <w:r>
              <w:t xml:space="preserve"> - in this case, </w:t>
            </w:r>
            <w:r>
              <w:rPr>
                <w:i/>
              </w:rPr>
              <w:t>http://www.contoso.com</w:t>
            </w:r>
            <w:r>
              <w:t>. end example]</w:t>
            </w:r>
          </w:p>
          <w:p w:rsidR="005F78FC" w:rsidRDefault="005F78FC">
            <w:pPr>
              <w:pStyle w:val="TableBodyText"/>
            </w:pPr>
          </w:p>
          <w:p w:rsidR="005F78FC" w:rsidRDefault="00B42EF3">
            <w:pPr>
              <w:pStyle w:val="TableBodyText"/>
            </w:pPr>
            <w:r>
              <w:t xml:space="preserve">The possible values for this </w:t>
            </w:r>
            <w:r>
              <w:t>attribute are defined by the ST_RelationshipId simple type ("[ISO/IEC-29500-1] §22.8.2.1").</w:t>
            </w:r>
          </w:p>
        </w:tc>
      </w:tr>
      <w:tr w:rsidR="005F78FC" w:rsidTr="005F78FC">
        <w:tc>
          <w:tcPr>
            <w:tcW w:w="0" w:type="auto"/>
            <w:vAlign w:val="center"/>
          </w:tcPr>
          <w:p w:rsidR="005F78FC" w:rsidRDefault="00B42EF3">
            <w:pPr>
              <w:pStyle w:val="TableBodyText"/>
            </w:pPr>
            <w:r>
              <w:rPr>
                <w:b/>
              </w:rPr>
              <w:lastRenderedPageBreak/>
              <w:t>tgtFrame</w:t>
            </w:r>
            <w:r>
              <w:t xml:space="preserve"> (Hyperlink Target Frame)</w:t>
            </w:r>
          </w:p>
        </w:tc>
        <w:tc>
          <w:tcPr>
            <w:tcW w:w="0" w:type="auto"/>
            <w:vAlign w:val="center"/>
          </w:tcPr>
          <w:p w:rsidR="005F78FC" w:rsidRDefault="00B42EF3">
            <w:pPr>
              <w:pStyle w:val="TableBodyText"/>
            </w:pPr>
            <w:r>
              <w:t>Specifies a frame within the parent HTML frameset for the target of the parent hyperlink when one exists. Values shall be handled</w:t>
            </w:r>
            <w:r>
              <w:t xml:space="preserve"> as follows:</w:t>
            </w:r>
          </w:p>
          <w:p w:rsidR="005F78FC" w:rsidRDefault="005F78FC">
            <w:pPr>
              <w:pStyle w:val="TableBodyText"/>
            </w:pPr>
          </w:p>
          <w:p w:rsidR="005F78FC" w:rsidRDefault="00B42EF3">
            <w:pPr>
              <w:pStyle w:val="TableBodyText"/>
            </w:pPr>
            <w:r>
              <w:rPr>
                <w:rStyle w:val="InlineCode"/>
              </w:rPr>
              <w:t>_top</w:t>
            </w:r>
          </w:p>
          <w:p w:rsidR="005F78FC" w:rsidRDefault="00B42EF3">
            <w:pPr>
              <w:pStyle w:val="TableBodyText"/>
            </w:pPr>
            <w:r>
              <w:t>Open hyperlink target in the full region of the current window.</w:t>
            </w:r>
          </w:p>
          <w:p w:rsidR="005F78FC" w:rsidRDefault="00B42EF3">
            <w:pPr>
              <w:pStyle w:val="TableBodyText"/>
            </w:pPr>
            <w:r>
              <w:rPr>
                <w:rStyle w:val="InlineCode"/>
              </w:rPr>
              <w:t>_self</w:t>
            </w:r>
          </w:p>
          <w:p w:rsidR="005F78FC" w:rsidRDefault="00B42EF3">
            <w:pPr>
              <w:pStyle w:val="TableBodyText"/>
            </w:pPr>
            <w:r>
              <w:t>Open hyperlink target in the same frame as the hyperlink appears.</w:t>
            </w:r>
          </w:p>
          <w:p w:rsidR="005F78FC" w:rsidRDefault="00B42EF3">
            <w:pPr>
              <w:pStyle w:val="TableBodyText"/>
            </w:pPr>
            <w:r>
              <w:rPr>
                <w:rStyle w:val="InlineCode"/>
              </w:rPr>
              <w:t>_parent</w:t>
            </w:r>
          </w:p>
          <w:p w:rsidR="005F78FC" w:rsidRDefault="00B42EF3">
            <w:pPr>
              <w:pStyle w:val="TableBodyText"/>
            </w:pPr>
            <w:r>
              <w:t xml:space="preserve">Open hyperlink target in the parent of the current frame, or the current frame if this frame </w:t>
            </w:r>
            <w:r>
              <w:t>has no parent.</w:t>
            </w:r>
          </w:p>
          <w:p w:rsidR="005F78FC" w:rsidRDefault="00B42EF3">
            <w:pPr>
              <w:pStyle w:val="TableBodyText"/>
            </w:pPr>
            <w:r>
              <w:rPr>
                <w:rStyle w:val="InlineCode"/>
              </w:rPr>
              <w:t>_blank</w:t>
            </w:r>
          </w:p>
          <w:p w:rsidR="005F78FC" w:rsidRDefault="00B42EF3">
            <w:pPr>
              <w:pStyle w:val="TableBodyText"/>
            </w:pPr>
            <w:r>
              <w:t>Open hyperlink target in a new window.</w:t>
            </w:r>
          </w:p>
          <w:p w:rsidR="005F78FC" w:rsidRDefault="00B42EF3">
            <w:pPr>
              <w:pStyle w:val="TableBodyText"/>
            </w:pPr>
            <w:r>
              <w:t>all other values</w:t>
            </w:r>
          </w:p>
          <w:p w:rsidR="005F78FC" w:rsidRDefault="00B42EF3">
            <w:pPr>
              <w:pStyle w:val="TableBodyText"/>
            </w:pPr>
            <w:r>
              <w:t>Open hyperlink target in the frame with the specified name. If no frame exists with this name, open in the current frame.</w:t>
            </w:r>
          </w:p>
          <w:p w:rsidR="005F78FC" w:rsidRDefault="005F78FC">
            <w:pPr>
              <w:pStyle w:val="TableBodyText"/>
            </w:pPr>
          </w:p>
          <w:p w:rsidR="005F78FC" w:rsidRDefault="00B42EF3">
            <w:pPr>
              <w:pStyle w:val="TableBodyText"/>
            </w:pPr>
            <w:r>
              <w:t xml:space="preserve">If this string does not begin with an alphabetic </w:t>
            </w:r>
            <w:r>
              <w:t>character, it shall be ignored.</w:t>
            </w:r>
          </w:p>
          <w:p w:rsidR="005F78FC" w:rsidRDefault="00B42EF3">
            <w:pPr>
              <w:pStyle w:val="TableBodyText"/>
            </w:pPr>
            <w:r>
              <w:t>If this attribute is omitted, then no target frame information shall be associated with the parent hyperlink. If the current document is not part of a frameset, then this information may be ignored.</w:t>
            </w:r>
          </w:p>
          <w:p w:rsidR="005F78FC" w:rsidRDefault="005F78FC">
            <w:pPr>
              <w:pStyle w:val="TableBodyText"/>
            </w:pPr>
          </w:p>
          <w:p w:rsidR="005F78FC" w:rsidRDefault="00B42EF3">
            <w:pPr>
              <w:pStyle w:val="TableBodyText"/>
            </w:pPr>
            <w:r>
              <w:t>[Example: Consider the f</w:t>
            </w:r>
            <w:r>
              <w:t>ollowing WordprocessingML fragment for a hyperlink:</w:t>
            </w:r>
          </w:p>
          <w:p w:rsidR="005F78FC" w:rsidRDefault="005F78FC">
            <w:pPr>
              <w:pStyle w:val="TableBodyText"/>
            </w:pPr>
          </w:p>
          <w:p w:rsidR="005F78FC" w:rsidRDefault="00B42EF3">
            <w:pPr>
              <w:pStyle w:val="Code"/>
            </w:pPr>
            <w:r>
              <w:t>&lt;w:hyperlink r:id="rId9" w:tgtFrame="_top"&gt;</w:t>
            </w:r>
          </w:p>
          <w:p w:rsidR="005F78FC" w:rsidRDefault="00B42EF3">
            <w:pPr>
              <w:pStyle w:val="Code"/>
            </w:pPr>
            <w:r>
              <w:t xml:space="preserve">  &lt;w:r&gt;</w:t>
            </w:r>
          </w:p>
          <w:p w:rsidR="005F78FC" w:rsidRDefault="00B42EF3">
            <w:pPr>
              <w:pStyle w:val="Code"/>
            </w:pPr>
            <w:r>
              <w:lastRenderedPageBreak/>
              <w:t xml:space="preserve">    &lt;w:t&gt;http://example.com&lt;/w:t&gt;</w:t>
            </w:r>
          </w:p>
          <w:p w:rsidR="005F78FC" w:rsidRDefault="00B42EF3">
            <w:pPr>
              <w:pStyle w:val="Code"/>
            </w:pPr>
            <w:r>
              <w:t xml:space="preserve">  &lt;/w:r&gt;</w:t>
            </w:r>
          </w:p>
          <w:p w:rsidR="005F78FC" w:rsidRDefault="00B42EF3">
            <w:pPr>
              <w:pStyle w:val="Code"/>
            </w:pPr>
            <w:r>
              <w:t>&lt;/w:hyperlink&gt;</w:t>
            </w:r>
          </w:p>
          <w:p w:rsidR="005F78FC" w:rsidRDefault="005F78FC">
            <w:pPr>
              <w:pStyle w:val="TableBodyText"/>
            </w:pPr>
          </w:p>
          <w:p w:rsidR="005F78FC" w:rsidRDefault="00B42EF3">
            <w:pPr>
              <w:pStyle w:val="TableBodyText"/>
            </w:pPr>
            <w:r>
              <w:t xml:space="preserve">The </w:t>
            </w:r>
            <w:r>
              <w:rPr>
                <w:b/>
              </w:rPr>
              <w:t>tgtFrame</w:t>
            </w:r>
            <w:r>
              <w:t xml:space="preserve"> attribute value of </w:t>
            </w:r>
            <w:r>
              <w:rPr>
                <w:i/>
              </w:rPr>
              <w:t>_top</w:t>
            </w:r>
            <w:r>
              <w:t xml:space="preserve"> specifies that the target of this hyperlink shall be displayed in the full extents of the current window. end example]</w:t>
            </w:r>
          </w:p>
          <w:p w:rsidR="005F78FC" w:rsidRDefault="005F78FC">
            <w:pPr>
              <w:pStyle w:val="TableBodyText"/>
            </w:pPr>
          </w:p>
          <w:p w:rsidR="005F78FC" w:rsidRDefault="00B42EF3">
            <w:pPr>
              <w:pStyle w:val="TableBodyText"/>
            </w:pPr>
            <w:r>
              <w:t>The possible values for this attribute are defined by the ST_String255 simple type (§3.1.3.3.9, ST_String255).</w:t>
            </w:r>
          </w:p>
        </w:tc>
      </w:tr>
      <w:tr w:rsidR="005F78FC" w:rsidTr="005F78FC">
        <w:tc>
          <w:tcPr>
            <w:tcW w:w="0" w:type="auto"/>
            <w:vAlign w:val="center"/>
          </w:tcPr>
          <w:p w:rsidR="005F78FC" w:rsidRDefault="00B42EF3">
            <w:pPr>
              <w:pStyle w:val="TableBodyText"/>
            </w:pPr>
            <w:r>
              <w:rPr>
                <w:b/>
              </w:rPr>
              <w:lastRenderedPageBreak/>
              <w:t>tooltip</w:t>
            </w:r>
            <w:r>
              <w:t xml:space="preserve"> (Associated Str</w:t>
            </w:r>
            <w:r>
              <w:t>ing)</w:t>
            </w:r>
          </w:p>
        </w:tc>
        <w:tc>
          <w:tcPr>
            <w:tcW w:w="0" w:type="auto"/>
            <w:vAlign w:val="center"/>
          </w:tcPr>
          <w:p w:rsidR="005F78FC" w:rsidRDefault="00B42EF3">
            <w:pPr>
              <w:pStyle w:val="TableBodyText"/>
            </w:pPr>
            <w:r>
              <w:t>Specifies a string that may be surfaced in a user interface as associated with the parent hyperlink.</w:t>
            </w:r>
          </w:p>
          <w:p w:rsidR="005F78FC" w:rsidRDefault="005F78FC">
            <w:pPr>
              <w:pStyle w:val="TableBodyText"/>
            </w:pPr>
          </w:p>
          <w:p w:rsidR="005F78FC" w:rsidRDefault="00B42EF3">
            <w:pPr>
              <w:pStyle w:val="TableBodyText"/>
            </w:pPr>
            <w:r>
              <w:t>If this attribute is omitted, then no associated string shall be linked to the parent hyperlink in the document.</w:t>
            </w:r>
          </w:p>
          <w:p w:rsidR="005F78FC" w:rsidRDefault="005F78FC">
            <w:pPr>
              <w:pStyle w:val="TableBodyText"/>
            </w:pPr>
          </w:p>
          <w:p w:rsidR="005F78FC" w:rsidRDefault="00B42EF3">
            <w:pPr>
              <w:pStyle w:val="TableBodyText"/>
            </w:pPr>
            <w:r>
              <w:t>[Example: Consider the following Wo</w:t>
            </w:r>
            <w:r>
              <w:t>rdprocessingML fragment for a hyperlink:</w:t>
            </w:r>
          </w:p>
          <w:p w:rsidR="005F78FC" w:rsidRDefault="005F78FC">
            <w:pPr>
              <w:pStyle w:val="TableBodyText"/>
            </w:pPr>
          </w:p>
          <w:p w:rsidR="005F78FC" w:rsidRDefault="00B42EF3">
            <w:pPr>
              <w:pStyle w:val="Code"/>
            </w:pPr>
            <w:r>
              <w:t>&lt;w:hyperlink r:id="rId9" w:tooltip="Click here!"&gt;</w:t>
            </w:r>
          </w:p>
          <w:p w:rsidR="005F78FC" w:rsidRDefault="00B42EF3">
            <w:pPr>
              <w:pStyle w:val="Code"/>
            </w:pPr>
            <w:r>
              <w:t xml:space="preserve">  &lt;w:r&gt;</w:t>
            </w:r>
          </w:p>
          <w:p w:rsidR="005F78FC" w:rsidRDefault="00B42EF3">
            <w:pPr>
              <w:pStyle w:val="Code"/>
            </w:pPr>
            <w:r>
              <w:t xml:space="preserve">    &lt;w:t&gt;http://example.com&lt;/w:t&gt;</w:t>
            </w:r>
          </w:p>
          <w:p w:rsidR="005F78FC" w:rsidRDefault="00B42EF3">
            <w:pPr>
              <w:pStyle w:val="Code"/>
            </w:pPr>
            <w:r>
              <w:t xml:space="preserve">  &lt;/w:r&gt;</w:t>
            </w:r>
          </w:p>
          <w:p w:rsidR="005F78FC" w:rsidRDefault="00B42EF3">
            <w:pPr>
              <w:pStyle w:val="Code"/>
            </w:pPr>
            <w:r>
              <w:t>&lt;/w:hyperlink&gt;</w:t>
            </w:r>
          </w:p>
          <w:p w:rsidR="005F78FC" w:rsidRDefault="005F78FC">
            <w:pPr>
              <w:pStyle w:val="TableBodyText"/>
            </w:pPr>
          </w:p>
          <w:p w:rsidR="005F78FC" w:rsidRDefault="00B42EF3">
            <w:pPr>
              <w:pStyle w:val="TableBodyText"/>
            </w:pPr>
            <w:r>
              <w:t xml:space="preserve">The value of this attribute specifies that the parent hyperlink has the associated string of </w:t>
            </w:r>
            <w:r>
              <w:rPr>
                <w:i/>
              </w:rPr>
              <w:t>Click here!</w:t>
            </w:r>
            <w:r>
              <w:t>, which may be used as desired. end example]</w:t>
            </w:r>
          </w:p>
          <w:p w:rsidR="005F78FC" w:rsidRDefault="005F78FC">
            <w:pPr>
              <w:pStyle w:val="TableBodyText"/>
            </w:pPr>
          </w:p>
          <w:p w:rsidR="005F78FC" w:rsidRDefault="00B42EF3">
            <w:pPr>
              <w:pStyle w:val="TableBodyText"/>
            </w:pPr>
            <w:r>
              <w:t>The possible values for this attribute are defined by the ST_String260 simple type (§</w:t>
            </w:r>
            <w:hyperlink w:anchor="Section_b74c454c6c644828955971894d36105b">
              <w:r>
                <w:rPr>
                  <w:rStyle w:val="Hyperlink"/>
                </w:rPr>
                <w:t>3.1.3.3.10, ST_String260</w:t>
              </w:r>
            </w:hyperlink>
            <w:r>
              <w:t>).</w:t>
            </w:r>
          </w:p>
        </w:tc>
      </w:tr>
    </w:tbl>
    <w:p w:rsidR="005F78FC" w:rsidRDefault="005F78FC"/>
    <w:p w:rsidR="005F78FC" w:rsidRDefault="00B42EF3">
      <w:r>
        <w:t>The following XML Sche</w:t>
      </w:r>
      <w:r>
        <w:t>ma fragment defines the contents of this element:</w:t>
      </w:r>
    </w:p>
    <w:p w:rsidR="005F78FC" w:rsidRDefault="00B42EF3">
      <w:pPr>
        <w:pStyle w:val="Code"/>
      </w:pPr>
      <w:r>
        <w:t>&lt;complexType name="CT_HyperlinkRuby"&gt;</w:t>
      </w:r>
    </w:p>
    <w:p w:rsidR="005F78FC" w:rsidRDefault="00B42EF3">
      <w:pPr>
        <w:pStyle w:val="Code"/>
      </w:pPr>
      <w:r>
        <w:t xml:space="preserve">  &lt;group ref="EG_RubyContent" minOccurs="0" maxOccurs="unbounded"/&gt;</w:t>
      </w:r>
    </w:p>
    <w:p w:rsidR="005F78FC" w:rsidRDefault="00B42EF3">
      <w:pPr>
        <w:pStyle w:val="Code"/>
      </w:pPr>
      <w:r>
        <w:t xml:space="preserve">  &lt;attribute name="tgtFrame" type="ST_String255" use="optional"/&gt;</w:t>
      </w:r>
    </w:p>
    <w:p w:rsidR="005F78FC" w:rsidRDefault="00B42EF3">
      <w:pPr>
        <w:pStyle w:val="Code"/>
      </w:pPr>
      <w:r>
        <w:t xml:space="preserve">  &lt;attribute name="tooltip" type="</w:t>
      </w:r>
      <w:r>
        <w:t>ST_String260" use="optional"/&gt;</w:t>
      </w:r>
    </w:p>
    <w:p w:rsidR="005F78FC" w:rsidRDefault="00B42EF3">
      <w:pPr>
        <w:pStyle w:val="Code"/>
      </w:pPr>
      <w:r>
        <w:t xml:space="preserve">  &lt;attribute name="docLocation" type="ST_String255" use="optional"/&gt;</w:t>
      </w:r>
    </w:p>
    <w:p w:rsidR="005F78FC" w:rsidRDefault="00B42EF3">
      <w:pPr>
        <w:pStyle w:val="Code"/>
      </w:pPr>
      <w:r>
        <w:t xml:space="preserve">  &lt;attribute name="history" type="ST_OnOff" use="optional"/&gt;</w:t>
      </w:r>
    </w:p>
    <w:p w:rsidR="005F78FC" w:rsidRDefault="00B42EF3">
      <w:pPr>
        <w:pStyle w:val="Code"/>
      </w:pPr>
      <w:r>
        <w:t xml:space="preserve">  &lt;attribute name="anchor" type="ST_String255" use="optional"/&gt;</w:t>
      </w:r>
    </w:p>
    <w:p w:rsidR="005F78FC" w:rsidRDefault="00B42EF3">
      <w:pPr>
        <w:pStyle w:val="Code"/>
      </w:pPr>
      <w:r>
        <w:t xml:space="preserve">  &lt;attribute ref="r:id"/&gt;</w:t>
      </w:r>
    </w:p>
    <w:p w:rsidR="005F78FC" w:rsidRDefault="00B42EF3">
      <w:pPr>
        <w:pStyle w:val="Code"/>
      </w:pPr>
      <w:r>
        <w:t>&lt;/com</w:t>
      </w:r>
      <w:r>
        <w:t>plexType&gt;</w:t>
      </w:r>
    </w:p>
    <w:p w:rsidR="005F78FC" w:rsidRDefault="00B42EF3">
      <w:pPr>
        <w:pStyle w:val="Heading5"/>
      </w:pPr>
      <w:bookmarkStart w:id="3892" w:name="section_dcbcb32823db42abbb8081992b8e429e"/>
      <w:bookmarkStart w:id="3893" w:name="_Toc69879719"/>
      <w:r>
        <w:t>moveFrom (Move Source Math Control Character)</w:t>
      </w:r>
      <w:bookmarkEnd w:id="3892"/>
      <w:bookmarkEnd w:id="3893"/>
      <w:r>
        <w:fldChar w:fldCharType="begin"/>
      </w:r>
      <w:r>
        <w:instrText xml:space="preserve"> XE "moveFrom (Move Source Math Control Character)" </w:instrText>
      </w:r>
      <w:r>
        <w:fldChar w:fldCharType="end"/>
      </w:r>
    </w:p>
    <w:p w:rsidR="005F78FC" w:rsidRDefault="00B42EF3">
      <w:r>
        <w:t>This element specifies that the Office Open XML Math control character contained within it shall be treated as content that has been moved away fr</w:t>
      </w:r>
      <w:r>
        <w:t>om this location and tracked as a revision.</w:t>
      </w:r>
    </w:p>
    <w:p w:rsidR="005F78FC" w:rsidRDefault="00B42EF3">
      <w:r>
        <w:lastRenderedPageBreak/>
        <w:t>The following restrictions shall be applied to this content:</w:t>
      </w:r>
    </w:p>
    <w:p w:rsidR="005F78FC" w:rsidRDefault="00B42EF3">
      <w:pPr>
        <w:pStyle w:val="ListParagraph"/>
        <w:numPr>
          <w:ilvl w:val="0"/>
          <w:numId w:val="196"/>
        </w:numPr>
      </w:pPr>
      <w:r>
        <w:t>If this element occurs outside of a valid move source container (§"</w:t>
      </w:r>
      <w:hyperlink r:id="rId294">
        <w:r>
          <w:rPr>
            <w:rStyle w:val="Hyperlink"/>
          </w:rPr>
          <w:t>[ISO/IEC-29500-1]</w:t>
        </w:r>
      </w:hyperlink>
      <w:r>
        <w:t xml:space="preserve"> </w:t>
      </w:r>
      <w:r>
        <w:t>§17.13.5.24; moveFromRangeStart"; §"[ISO/IEC-29500-1] §17.13.5.23; moveFromRangeEnd") for which a matching move destination container (§"[ISO/IEC-29500-1] §17.13.5.28; moveToRangeStart"; §"[ISO/IEC-29500-1] §17.13.5.27; moveToRangeEnd") exists in the docum</w:t>
      </w:r>
      <w:r>
        <w:t>ent, then the math control character shall be treated as deleted, rather than moved.</w:t>
      </w:r>
    </w:p>
    <w:p w:rsidR="005F78FC" w:rsidRDefault="00B42EF3">
      <w:r>
        <w:t>Word ignores this element.</w:t>
      </w:r>
    </w:p>
    <w:tbl>
      <w:tblPr>
        <w:tblStyle w:val="Table-ShadedHeader"/>
        <w:tblW w:w="0" w:type="auto"/>
        <w:tblLook w:val="04A0" w:firstRow="1" w:lastRow="0" w:firstColumn="1" w:lastColumn="0" w:noHBand="0" w:noVBand="1"/>
      </w:tblPr>
      <w:tblGrid>
        <w:gridCol w:w="3576"/>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Parent Elements</w:t>
            </w:r>
          </w:p>
        </w:tc>
      </w:tr>
      <w:tr w:rsidR="005F78FC" w:rsidTr="005F78FC">
        <w:tc>
          <w:tcPr>
            <w:tcW w:w="0" w:type="auto"/>
            <w:vAlign w:val="center"/>
          </w:tcPr>
          <w:p w:rsidR="005F78FC" w:rsidRDefault="00B42EF3">
            <w:pPr>
              <w:pStyle w:val="TableBodyText"/>
            </w:pPr>
            <w:r>
              <w:rPr>
                <w:b/>
              </w:rPr>
              <w:t>ctrlPr</w:t>
            </w:r>
            <w:r>
              <w:t xml:space="preserve"> ("[ISO/IEC-29500-1] §22.1.2.23")</w:t>
            </w:r>
          </w:p>
        </w:tc>
      </w:tr>
    </w:tbl>
    <w:p w:rsidR="005F78FC" w:rsidRDefault="005F78FC"/>
    <w:p w:rsidR="005F78FC" w:rsidRDefault="005F78FC"/>
    <w:tbl>
      <w:tblPr>
        <w:tblStyle w:val="Table-ShadedHeader"/>
        <w:tblW w:w="0" w:type="auto"/>
        <w:tblLook w:val="04A0" w:firstRow="1" w:lastRow="0" w:firstColumn="1" w:lastColumn="0" w:noHBand="0" w:noVBand="1"/>
      </w:tblPr>
      <w:tblGrid>
        <w:gridCol w:w="3299"/>
        <w:gridCol w:w="2978"/>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Child Elements</w:t>
            </w:r>
          </w:p>
        </w:tc>
        <w:tc>
          <w:tcPr>
            <w:tcW w:w="0" w:type="auto"/>
            <w:vAlign w:val="center"/>
          </w:tcPr>
          <w:p w:rsidR="005F78FC" w:rsidRDefault="00B42EF3">
            <w:pPr>
              <w:pStyle w:val="TableHeaderText"/>
            </w:pPr>
            <w:r>
              <w:t>Subclause</w:t>
            </w:r>
          </w:p>
        </w:tc>
      </w:tr>
      <w:tr w:rsidR="005F78FC" w:rsidTr="005F78FC">
        <w:tc>
          <w:tcPr>
            <w:tcW w:w="0" w:type="auto"/>
            <w:vAlign w:val="center"/>
          </w:tcPr>
          <w:p w:rsidR="005F78FC" w:rsidRDefault="00B42EF3">
            <w:pPr>
              <w:pStyle w:val="TableBodyText"/>
            </w:pPr>
            <w:r>
              <w:rPr>
                <w:b/>
              </w:rPr>
              <w:t>del</w:t>
            </w:r>
            <w:r>
              <w:t xml:space="preserve"> (Deleted Math Control Character)</w:t>
            </w:r>
          </w:p>
        </w:tc>
        <w:tc>
          <w:tcPr>
            <w:tcW w:w="0" w:type="auto"/>
            <w:vAlign w:val="center"/>
          </w:tcPr>
          <w:p w:rsidR="005F78FC" w:rsidRDefault="00B42EF3">
            <w:pPr>
              <w:pStyle w:val="TableBodyText"/>
            </w:pPr>
            <w:r>
              <w:t>"[ISO/IEC-29500-1]</w:t>
            </w:r>
            <w:r>
              <w:t xml:space="preserve"> §17.13.5.13"</w:t>
            </w:r>
          </w:p>
        </w:tc>
      </w:tr>
      <w:tr w:rsidR="005F78FC" w:rsidTr="005F78FC">
        <w:tc>
          <w:tcPr>
            <w:tcW w:w="0" w:type="auto"/>
            <w:vAlign w:val="center"/>
          </w:tcPr>
          <w:p w:rsidR="005F78FC" w:rsidRDefault="00B42EF3">
            <w:pPr>
              <w:pStyle w:val="TableBodyText"/>
            </w:pPr>
            <w:r>
              <w:rPr>
                <w:b/>
              </w:rPr>
              <w:t>ins</w:t>
            </w:r>
            <w:r>
              <w:t xml:space="preserve"> (Inserted Math Control Character)</w:t>
            </w:r>
          </w:p>
        </w:tc>
        <w:tc>
          <w:tcPr>
            <w:tcW w:w="0" w:type="auto"/>
            <w:vAlign w:val="center"/>
          </w:tcPr>
          <w:p w:rsidR="005F78FC" w:rsidRDefault="00B42EF3">
            <w:pPr>
              <w:pStyle w:val="TableBodyText"/>
            </w:pPr>
            <w:r>
              <w:t>"[ISO/IEC-29500-1] §17.13.5.16"</w:t>
            </w:r>
          </w:p>
        </w:tc>
      </w:tr>
      <w:tr w:rsidR="005F78FC" w:rsidTr="005F78FC">
        <w:tc>
          <w:tcPr>
            <w:tcW w:w="0" w:type="auto"/>
            <w:vAlign w:val="center"/>
          </w:tcPr>
          <w:p w:rsidR="005F78FC" w:rsidRDefault="00B42EF3">
            <w:pPr>
              <w:pStyle w:val="TableBodyText"/>
            </w:pPr>
            <w:r>
              <w:rPr>
                <w:b/>
              </w:rPr>
              <w:t>rPr</w:t>
            </w:r>
            <w:r>
              <w:t xml:space="preserve"> (Run Properties)</w:t>
            </w:r>
          </w:p>
        </w:tc>
        <w:tc>
          <w:tcPr>
            <w:tcW w:w="0" w:type="auto"/>
            <w:vAlign w:val="center"/>
          </w:tcPr>
          <w:p w:rsidR="005F78FC" w:rsidRDefault="00B42EF3">
            <w:pPr>
              <w:pStyle w:val="TableBodyText"/>
            </w:pPr>
            <w:r>
              <w:t>"[ISO/IEC-29500-1] §17.3.2.28"</w:t>
            </w:r>
          </w:p>
        </w:tc>
      </w:tr>
    </w:tbl>
    <w:p w:rsidR="005F78FC" w:rsidRDefault="005F78FC"/>
    <w:p w:rsidR="005F78FC" w:rsidRDefault="005F78FC"/>
    <w:tbl>
      <w:tblPr>
        <w:tblStyle w:val="Table-ShadedHeader"/>
        <w:tblW w:w="0" w:type="auto"/>
        <w:tblLook w:val="04A0" w:firstRow="1" w:lastRow="0" w:firstColumn="1" w:lastColumn="0" w:noHBand="0" w:noVBand="1"/>
      </w:tblPr>
      <w:tblGrid>
        <w:gridCol w:w="1800"/>
        <w:gridCol w:w="7675"/>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Attributes</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rPr>
                <w:b/>
              </w:rPr>
              <w:t>author</w:t>
            </w:r>
            <w:r>
              <w:t xml:space="preserve"> (Annotation Author)</w:t>
            </w:r>
          </w:p>
        </w:tc>
        <w:tc>
          <w:tcPr>
            <w:tcW w:w="0" w:type="auto"/>
            <w:vAlign w:val="center"/>
          </w:tcPr>
          <w:p w:rsidR="005F78FC" w:rsidRDefault="00B42EF3">
            <w:pPr>
              <w:pStyle w:val="TableBodyText"/>
            </w:pPr>
            <w:r>
              <w:t>Specifies the author for an annotation within a WordprocessingML</w:t>
            </w:r>
            <w:r>
              <w:t xml:space="preserve"> document.</w:t>
            </w:r>
          </w:p>
          <w:p w:rsidR="005F78FC" w:rsidRDefault="005F78FC">
            <w:pPr>
              <w:pStyle w:val="TableBodyText"/>
            </w:pPr>
          </w:p>
          <w:p w:rsidR="005F78FC" w:rsidRDefault="00B42EF3">
            <w:pPr>
              <w:pStyle w:val="TableBodyText"/>
            </w:pPr>
            <w:r>
              <w:t xml:space="preserve"> [Example: Consider a comment represented using the following WordprocessingML fragment:</w:t>
            </w:r>
          </w:p>
          <w:p w:rsidR="005F78FC" w:rsidRDefault="005F78FC">
            <w:pPr>
              <w:pStyle w:val="TableBodyText"/>
            </w:pPr>
          </w:p>
          <w:p w:rsidR="005F78FC" w:rsidRDefault="00B42EF3">
            <w:pPr>
              <w:pStyle w:val="Code"/>
            </w:pPr>
            <w:r>
              <w:t>&lt;w:… w:id="1" w:author="Example Author"&gt;</w:t>
            </w:r>
          </w:p>
          <w:p w:rsidR="005F78FC" w:rsidRDefault="00B42EF3">
            <w:pPr>
              <w:pStyle w:val="Code"/>
            </w:pPr>
            <w:r>
              <w:t xml:space="preserve">  …</w:t>
            </w:r>
          </w:p>
          <w:p w:rsidR="005F78FC" w:rsidRDefault="00B42EF3">
            <w:pPr>
              <w:pStyle w:val="Code"/>
            </w:pPr>
            <w:r>
              <w:t>&lt;/w:…&gt;</w:t>
            </w:r>
          </w:p>
          <w:p w:rsidR="005F78FC" w:rsidRDefault="005F78FC">
            <w:pPr>
              <w:pStyle w:val="TableBodyText"/>
            </w:pPr>
          </w:p>
          <w:p w:rsidR="005F78FC" w:rsidRDefault="00B42EF3">
            <w:pPr>
              <w:pStyle w:val="TableBodyText"/>
            </w:pPr>
            <w:r>
              <w:t xml:space="preserve">The </w:t>
            </w:r>
            <w:r>
              <w:rPr>
                <w:b/>
              </w:rPr>
              <w:t>author</w:t>
            </w:r>
            <w:r>
              <w:t xml:space="preserve"> attribute specifies that the author of the current annotation is </w:t>
            </w:r>
            <w:r>
              <w:rPr>
                <w:i/>
              </w:rPr>
              <w:t>Example Author</w:t>
            </w:r>
            <w:r>
              <w:t>, which may</w:t>
            </w:r>
            <w:r>
              <w:t xml:space="preserve"> be used as desired. end example]</w:t>
            </w:r>
          </w:p>
          <w:p w:rsidR="005F78FC" w:rsidRDefault="005F78FC">
            <w:pPr>
              <w:pStyle w:val="TableBodyText"/>
            </w:pPr>
          </w:p>
          <w:p w:rsidR="005F78FC" w:rsidRDefault="00B42EF3">
            <w:pPr>
              <w:pStyle w:val="TableBodyText"/>
            </w:pPr>
            <w:r>
              <w:t>The possible values for this attribute are defined by the ST_String255 simple type (§</w:t>
            </w:r>
            <w:hyperlink w:anchor="Section_73f2382235094ce4a27391e7e5a80c27">
              <w:r>
                <w:rPr>
                  <w:rStyle w:val="Hyperlink"/>
                </w:rPr>
                <w:t>3.1.3.3.9, ST_String255</w:t>
              </w:r>
            </w:hyperlink>
            <w:r>
              <w:t>).</w:t>
            </w:r>
          </w:p>
        </w:tc>
      </w:tr>
      <w:tr w:rsidR="005F78FC" w:rsidTr="005F78FC">
        <w:tc>
          <w:tcPr>
            <w:tcW w:w="0" w:type="auto"/>
            <w:vAlign w:val="center"/>
          </w:tcPr>
          <w:p w:rsidR="005F78FC" w:rsidRDefault="00B42EF3">
            <w:pPr>
              <w:pStyle w:val="TableBodyText"/>
            </w:pPr>
            <w:r>
              <w:rPr>
                <w:b/>
              </w:rPr>
              <w:t>date</w:t>
            </w:r>
            <w:r>
              <w:t xml:space="preserve"> (Annotation Date)</w:t>
            </w:r>
          </w:p>
        </w:tc>
        <w:tc>
          <w:tcPr>
            <w:tcW w:w="0" w:type="auto"/>
            <w:vAlign w:val="center"/>
          </w:tcPr>
          <w:p w:rsidR="005F78FC" w:rsidRDefault="00B42EF3">
            <w:pPr>
              <w:pStyle w:val="TableBodyText"/>
            </w:pPr>
            <w:r>
              <w:t>Specifies the date info</w:t>
            </w:r>
            <w:r>
              <w:t>rmation for an annotation within a WordprocessingML document.</w:t>
            </w:r>
          </w:p>
          <w:p w:rsidR="005F78FC" w:rsidRDefault="005F78FC">
            <w:pPr>
              <w:pStyle w:val="TableBodyText"/>
            </w:pPr>
          </w:p>
          <w:p w:rsidR="005F78FC" w:rsidRDefault="00B42EF3">
            <w:pPr>
              <w:pStyle w:val="TableBodyText"/>
            </w:pPr>
            <w:r>
              <w:t>If this attribute is omitted, then no date information shall be associated with the parent annotation type.</w:t>
            </w:r>
          </w:p>
          <w:p w:rsidR="005F78FC" w:rsidRDefault="005F78FC">
            <w:pPr>
              <w:pStyle w:val="TableBodyText"/>
            </w:pPr>
          </w:p>
          <w:p w:rsidR="005F78FC" w:rsidRDefault="00B42EF3">
            <w:pPr>
              <w:pStyle w:val="TableBodyText"/>
            </w:pPr>
            <w:r>
              <w:t>[Example: Consider a comment represented using the following WordprocessingML fragme</w:t>
            </w:r>
            <w:r>
              <w:t>nt:</w:t>
            </w:r>
          </w:p>
          <w:p w:rsidR="005F78FC" w:rsidRDefault="005F78FC">
            <w:pPr>
              <w:pStyle w:val="TableBodyText"/>
            </w:pPr>
          </w:p>
          <w:p w:rsidR="005F78FC" w:rsidRDefault="00B42EF3">
            <w:pPr>
              <w:pStyle w:val="Code"/>
            </w:pPr>
            <w:r>
              <w:lastRenderedPageBreak/>
              <w:t>&lt;w:… w:id="1" w:date="2006-01-01T10:00:00"&gt;</w:t>
            </w:r>
          </w:p>
          <w:p w:rsidR="005F78FC" w:rsidRDefault="00B42EF3">
            <w:pPr>
              <w:pStyle w:val="Code"/>
            </w:pPr>
            <w:r>
              <w:t xml:space="preserve">  …</w:t>
            </w:r>
          </w:p>
          <w:p w:rsidR="005F78FC" w:rsidRDefault="00B42EF3">
            <w:pPr>
              <w:pStyle w:val="Code"/>
            </w:pPr>
            <w:r>
              <w:t>&lt;/w:…&gt;</w:t>
            </w:r>
          </w:p>
          <w:p w:rsidR="005F78FC" w:rsidRDefault="005F78FC">
            <w:pPr>
              <w:pStyle w:val="TableBodyText"/>
            </w:pPr>
          </w:p>
          <w:p w:rsidR="005F78FC" w:rsidRDefault="00B42EF3">
            <w:pPr>
              <w:pStyle w:val="TableBodyText"/>
            </w:pPr>
            <w:r>
              <w:t xml:space="preserve">The </w:t>
            </w:r>
            <w:r>
              <w:rPr>
                <w:b/>
              </w:rPr>
              <w:t>date</w:t>
            </w:r>
            <w:r>
              <w:t xml:space="preserve"> attribute specifies that the date of the current annotation is January 1st 2006 at 10:00 AM, which may be used as desired. end example]</w:t>
            </w:r>
          </w:p>
          <w:p w:rsidR="005F78FC" w:rsidRDefault="005F78FC">
            <w:pPr>
              <w:pStyle w:val="TableBodyText"/>
            </w:pPr>
          </w:p>
          <w:p w:rsidR="005F78FC" w:rsidRDefault="00B42EF3">
            <w:pPr>
              <w:pStyle w:val="TableBodyText"/>
            </w:pPr>
            <w:r>
              <w:t>The possible values for this attribute are define</w:t>
            </w:r>
            <w:r>
              <w:t>d by the ST_DateTime simple type (§</w:t>
            </w:r>
            <w:hyperlink w:anchor="Section_67feb752f108441eaca363fc2717117a">
              <w:r>
                <w:rPr>
                  <w:rStyle w:val="Hyperlink"/>
                </w:rPr>
                <w:t>3.1.3.3.2, ST_DateTime</w:t>
              </w:r>
            </w:hyperlink>
            <w:r>
              <w:t>).</w:t>
            </w:r>
          </w:p>
        </w:tc>
      </w:tr>
      <w:tr w:rsidR="005F78FC" w:rsidTr="005F78FC">
        <w:tc>
          <w:tcPr>
            <w:tcW w:w="0" w:type="auto"/>
            <w:vAlign w:val="center"/>
          </w:tcPr>
          <w:p w:rsidR="005F78FC" w:rsidRDefault="00B42EF3">
            <w:pPr>
              <w:pStyle w:val="TableBodyText"/>
            </w:pPr>
            <w:r>
              <w:rPr>
                <w:b/>
              </w:rPr>
              <w:lastRenderedPageBreak/>
              <w:t>id</w:t>
            </w:r>
            <w:r>
              <w:t xml:space="preserve"> (Annotation Identifier)</w:t>
            </w:r>
          </w:p>
        </w:tc>
        <w:tc>
          <w:tcPr>
            <w:tcW w:w="0" w:type="auto"/>
            <w:vAlign w:val="center"/>
          </w:tcPr>
          <w:p w:rsidR="005F78FC" w:rsidRDefault="00B42EF3">
            <w:pPr>
              <w:pStyle w:val="TableBodyText"/>
            </w:pPr>
            <w:r>
              <w:t xml:space="preserve">Specifies a unique identifier for an annotation within a WordprocessingML document. The restrictions on the </w:t>
            </w:r>
            <w:r>
              <w:rPr>
                <w:b/>
              </w:rPr>
              <w:t>id</w:t>
            </w:r>
            <w:r>
              <w:t xml:space="preserve"> attribute, if any, are defined by the parent XML element.</w:t>
            </w:r>
          </w:p>
          <w:p w:rsidR="005F78FC" w:rsidRDefault="005F78FC">
            <w:pPr>
              <w:pStyle w:val="TableBodyText"/>
            </w:pPr>
          </w:p>
          <w:p w:rsidR="005F78FC" w:rsidRDefault="00B42EF3">
            <w:pPr>
              <w:pStyle w:val="TableBodyText"/>
            </w:pPr>
            <w:r>
              <w:t>If this attribute is omitted, then the document is non-conformant.</w:t>
            </w:r>
          </w:p>
          <w:p w:rsidR="005F78FC" w:rsidRDefault="005F78FC">
            <w:pPr>
              <w:pStyle w:val="TableBodyText"/>
            </w:pPr>
          </w:p>
          <w:p w:rsidR="005F78FC" w:rsidRDefault="00B42EF3">
            <w:pPr>
              <w:pStyle w:val="TableBodyText"/>
            </w:pPr>
            <w:r>
              <w:t>[Example: Consider</w:t>
            </w:r>
            <w:r>
              <w:t xml:space="preserve"> an annotation represented using the following WordprocessingML fragment:</w:t>
            </w:r>
          </w:p>
          <w:p w:rsidR="005F78FC" w:rsidRDefault="005F78FC">
            <w:pPr>
              <w:pStyle w:val="TableBodyText"/>
            </w:pPr>
          </w:p>
          <w:p w:rsidR="005F78FC" w:rsidRDefault="00B42EF3">
            <w:pPr>
              <w:pStyle w:val="Code"/>
            </w:pPr>
            <w:r>
              <w:t>&lt;w:… w:id="1" … &gt;</w:t>
            </w:r>
          </w:p>
          <w:p w:rsidR="005F78FC" w:rsidRDefault="00B42EF3">
            <w:pPr>
              <w:pStyle w:val="Code"/>
            </w:pPr>
            <w:r>
              <w:t xml:space="preserve">  …</w:t>
            </w:r>
          </w:p>
          <w:p w:rsidR="005F78FC" w:rsidRDefault="00B42EF3">
            <w:pPr>
              <w:pStyle w:val="Code"/>
            </w:pPr>
            <w:r>
              <w:t>&lt;/w:…&gt;</w:t>
            </w:r>
          </w:p>
          <w:p w:rsidR="005F78FC" w:rsidRDefault="005F78FC">
            <w:pPr>
              <w:pStyle w:val="TableBodyText"/>
            </w:pPr>
          </w:p>
          <w:p w:rsidR="005F78FC" w:rsidRDefault="00B42EF3">
            <w:pPr>
              <w:pStyle w:val="TableBodyText"/>
            </w:pPr>
            <w:r>
              <w:t xml:space="preserve">The </w:t>
            </w:r>
            <w:r>
              <w:rPr>
                <w:b/>
              </w:rPr>
              <w:t>id</w:t>
            </w:r>
            <w:r>
              <w:t xml:space="preserve"> attribute specifies that the ID of the current annotation is </w:t>
            </w:r>
            <w:r>
              <w:rPr>
                <w:i/>
              </w:rPr>
              <w:t>1</w:t>
            </w:r>
            <w:r>
              <w:t xml:space="preserve">. This value is used to uniquely identify this annotation within the document </w:t>
            </w:r>
            <w:r>
              <w:t>content. end example]</w:t>
            </w:r>
          </w:p>
          <w:p w:rsidR="005F78FC" w:rsidRDefault="005F78FC">
            <w:pPr>
              <w:pStyle w:val="TableBodyText"/>
            </w:pPr>
          </w:p>
          <w:p w:rsidR="005F78FC" w:rsidRDefault="00B42EF3">
            <w:pPr>
              <w:pStyle w:val="TableBodyText"/>
            </w:pPr>
            <w:r>
              <w:t>The possible values for this attribute are defined by the ST_MarkupId simple type (§</w:t>
            </w:r>
            <w:hyperlink w:anchor="Section_205e43f89d014953a67fd7c91ccd6ffd">
              <w:r>
                <w:rPr>
                  <w:rStyle w:val="Hyperlink"/>
                </w:rPr>
                <w:t>3.1.3.3.3, ST_MarkupId</w:t>
              </w:r>
            </w:hyperlink>
            <w:r>
              <w:t>).</w:t>
            </w:r>
          </w:p>
        </w:tc>
      </w:tr>
    </w:tbl>
    <w:p w:rsidR="005F78FC" w:rsidRDefault="005F78FC"/>
    <w:p w:rsidR="005F78FC" w:rsidRDefault="00B42EF3">
      <w:r>
        <w:t>The following XML Schema fragment defines the contents of t</w:t>
      </w:r>
      <w:r>
        <w:t>his element:</w:t>
      </w:r>
    </w:p>
    <w:p w:rsidR="005F78FC" w:rsidRDefault="00B42EF3">
      <w:pPr>
        <w:pStyle w:val="Code"/>
      </w:pPr>
      <w:r>
        <w:t>&lt;complexType name="CT_MathCtrlMove"&gt;</w:t>
      </w:r>
    </w:p>
    <w:p w:rsidR="005F78FC" w:rsidRDefault="00B42EF3">
      <w:pPr>
        <w:pStyle w:val="Code"/>
      </w:pPr>
      <w:r>
        <w:t xml:space="preserve">  &lt;complexContent&gt;</w:t>
      </w:r>
    </w:p>
    <w:p w:rsidR="005F78FC" w:rsidRDefault="00B42EF3">
      <w:pPr>
        <w:pStyle w:val="Code"/>
      </w:pPr>
      <w:r>
        <w:t xml:space="preserve">    &lt;extension base="CT_TrackChange"&gt;</w:t>
      </w:r>
    </w:p>
    <w:p w:rsidR="005F78FC" w:rsidRDefault="00B42EF3">
      <w:pPr>
        <w:pStyle w:val="Code"/>
      </w:pPr>
      <w:r>
        <w:t xml:space="preserve">      &lt;choice minOccurs="0"&gt;</w:t>
      </w:r>
    </w:p>
    <w:p w:rsidR="005F78FC" w:rsidRDefault="00B42EF3">
      <w:pPr>
        <w:pStyle w:val="Code"/>
      </w:pPr>
      <w:r>
        <w:t xml:space="preserve">        &lt;group ref="EG_RPr"/&gt;</w:t>
      </w:r>
    </w:p>
    <w:p w:rsidR="005F78FC" w:rsidRDefault="00B42EF3">
      <w:pPr>
        <w:pStyle w:val="Code"/>
      </w:pPr>
      <w:r>
        <w:t xml:space="preserve">        &lt;group ref="EG_MathCtrlIns"/&gt;</w:t>
      </w:r>
    </w:p>
    <w:p w:rsidR="005F78FC" w:rsidRDefault="00B42EF3">
      <w:pPr>
        <w:pStyle w:val="Code"/>
      </w:pPr>
      <w:r>
        <w:t xml:space="preserve">        &lt;group ref="EG_MathCtrlDel"/&gt;</w:t>
      </w:r>
    </w:p>
    <w:p w:rsidR="005F78FC" w:rsidRDefault="00B42EF3">
      <w:pPr>
        <w:pStyle w:val="Code"/>
      </w:pPr>
      <w:r>
        <w:t xml:space="preserve">      &lt;/choice</w:t>
      </w:r>
      <w:r>
        <w:t>&gt;</w:t>
      </w:r>
    </w:p>
    <w:p w:rsidR="005F78FC" w:rsidRDefault="00B42EF3">
      <w:pPr>
        <w:pStyle w:val="Code"/>
      </w:pPr>
      <w:r>
        <w:t xml:space="preserve">    &lt;/extension&gt;</w:t>
      </w:r>
    </w:p>
    <w:p w:rsidR="005F78FC" w:rsidRDefault="00B42EF3">
      <w:pPr>
        <w:pStyle w:val="Code"/>
      </w:pPr>
      <w:r>
        <w:t xml:space="preserve">  &lt;/complexContent&gt;</w:t>
      </w:r>
    </w:p>
    <w:p w:rsidR="005F78FC" w:rsidRDefault="00B42EF3">
      <w:pPr>
        <w:pStyle w:val="Code"/>
      </w:pPr>
      <w:r>
        <w:t>&lt;/complexType&gt;</w:t>
      </w:r>
    </w:p>
    <w:p w:rsidR="005F78FC" w:rsidRDefault="00B42EF3">
      <w:pPr>
        <w:pStyle w:val="Heading5"/>
      </w:pPr>
      <w:bookmarkStart w:id="3894" w:name="section_9d27b8e63f8f4cf7a6e356e2fbf140b8"/>
      <w:bookmarkStart w:id="3895" w:name="_Toc69879720"/>
      <w:r>
        <w:t>moveTo (Move Destination Math Control Character)</w:t>
      </w:r>
      <w:bookmarkEnd w:id="3894"/>
      <w:bookmarkEnd w:id="3895"/>
      <w:r>
        <w:fldChar w:fldCharType="begin"/>
      </w:r>
      <w:r>
        <w:instrText xml:space="preserve"> XE "moveTo (Move Destination Math Control Character)" </w:instrText>
      </w:r>
      <w:r>
        <w:fldChar w:fldCharType="end"/>
      </w:r>
    </w:p>
    <w:p w:rsidR="005F78FC" w:rsidRDefault="00B42EF3">
      <w:r>
        <w:t>This element specifies that the Office Open XML Math control character contained within it shall</w:t>
      </w:r>
      <w:r>
        <w:t xml:space="preserve"> be treated as content that has been moved to this location and tracked as a revision.</w:t>
      </w:r>
    </w:p>
    <w:p w:rsidR="005F78FC" w:rsidRDefault="00B42EF3">
      <w:r>
        <w:t>The following restrictions shall be applied to this content:</w:t>
      </w:r>
    </w:p>
    <w:p w:rsidR="005F78FC" w:rsidRDefault="00B42EF3">
      <w:pPr>
        <w:pStyle w:val="ListParagraph"/>
        <w:numPr>
          <w:ilvl w:val="0"/>
          <w:numId w:val="197"/>
        </w:numPr>
      </w:pPr>
      <w:r>
        <w:lastRenderedPageBreak/>
        <w:t>If this element occurs outside of a valid move destination container (§"</w:t>
      </w:r>
      <w:hyperlink r:id="rId295">
        <w:r>
          <w:rPr>
            <w:rStyle w:val="Hyperlink"/>
          </w:rPr>
          <w:t>[ISO/IEC-29500-1]</w:t>
        </w:r>
      </w:hyperlink>
      <w:r>
        <w:t xml:space="preserve"> §17.13.5.28; moveToRangeStart"; §"[ISO/IEC-29500-1] §17.13.5.27; moveToRangeEnd") for which a matching move source container (§"[ISO/IEC-29500-1] §17.13.5.24; moveFromRangeStart"; §"[ISO/IEC-29500-1] §17.13.5</w:t>
      </w:r>
      <w:r>
        <w:t>.23; moveFromRangeEnd") exists in the document, then content in this region shall be treated as inserted, rather than moved.</w:t>
      </w:r>
    </w:p>
    <w:p w:rsidR="005F78FC" w:rsidRDefault="00B42EF3">
      <w:r>
        <w:t>Word ignores this element.</w:t>
      </w:r>
    </w:p>
    <w:tbl>
      <w:tblPr>
        <w:tblStyle w:val="Table-ShadedHeader"/>
        <w:tblW w:w="0" w:type="auto"/>
        <w:tblLook w:val="04A0" w:firstRow="1" w:lastRow="0" w:firstColumn="1" w:lastColumn="0" w:noHBand="0" w:noVBand="1"/>
      </w:tblPr>
      <w:tblGrid>
        <w:gridCol w:w="3576"/>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Parent Elements</w:t>
            </w:r>
          </w:p>
        </w:tc>
      </w:tr>
      <w:tr w:rsidR="005F78FC" w:rsidTr="005F78FC">
        <w:tc>
          <w:tcPr>
            <w:tcW w:w="0" w:type="auto"/>
            <w:vAlign w:val="center"/>
          </w:tcPr>
          <w:p w:rsidR="005F78FC" w:rsidRDefault="00B42EF3">
            <w:pPr>
              <w:pStyle w:val="TableBodyText"/>
            </w:pPr>
            <w:r>
              <w:rPr>
                <w:b/>
              </w:rPr>
              <w:t>ctrlPr</w:t>
            </w:r>
            <w:r>
              <w:t xml:space="preserve"> ("[ISO/IEC-29500-1] §22.1.2.23")</w:t>
            </w:r>
          </w:p>
        </w:tc>
      </w:tr>
    </w:tbl>
    <w:p w:rsidR="005F78FC" w:rsidRDefault="005F78FC"/>
    <w:p w:rsidR="005F78FC" w:rsidRDefault="005F78FC"/>
    <w:tbl>
      <w:tblPr>
        <w:tblStyle w:val="Table-ShadedHeader"/>
        <w:tblW w:w="0" w:type="auto"/>
        <w:tblLook w:val="04A0" w:firstRow="1" w:lastRow="0" w:firstColumn="1" w:lastColumn="0" w:noHBand="0" w:noVBand="1"/>
      </w:tblPr>
      <w:tblGrid>
        <w:gridCol w:w="3299"/>
        <w:gridCol w:w="2978"/>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Child Elements</w:t>
            </w:r>
          </w:p>
        </w:tc>
        <w:tc>
          <w:tcPr>
            <w:tcW w:w="0" w:type="auto"/>
            <w:vAlign w:val="center"/>
          </w:tcPr>
          <w:p w:rsidR="005F78FC" w:rsidRDefault="00B42EF3">
            <w:pPr>
              <w:pStyle w:val="TableHeaderText"/>
            </w:pPr>
            <w:r>
              <w:t>Subclause</w:t>
            </w:r>
          </w:p>
        </w:tc>
      </w:tr>
      <w:tr w:rsidR="005F78FC" w:rsidTr="005F78FC">
        <w:tc>
          <w:tcPr>
            <w:tcW w:w="0" w:type="auto"/>
            <w:vAlign w:val="center"/>
          </w:tcPr>
          <w:p w:rsidR="005F78FC" w:rsidRDefault="00B42EF3">
            <w:pPr>
              <w:pStyle w:val="TableBodyText"/>
            </w:pPr>
            <w:r>
              <w:rPr>
                <w:b/>
              </w:rPr>
              <w:t>del</w:t>
            </w:r>
            <w:r>
              <w:t xml:space="preserve"> (Deleted Math Control Character)</w:t>
            </w:r>
          </w:p>
        </w:tc>
        <w:tc>
          <w:tcPr>
            <w:tcW w:w="0" w:type="auto"/>
            <w:vAlign w:val="center"/>
          </w:tcPr>
          <w:p w:rsidR="005F78FC" w:rsidRDefault="00B42EF3">
            <w:pPr>
              <w:pStyle w:val="TableBodyText"/>
            </w:pPr>
            <w:r>
              <w:t>"[ISO/IEC-29500-1] §17.13.5.13"</w:t>
            </w:r>
          </w:p>
        </w:tc>
      </w:tr>
      <w:tr w:rsidR="005F78FC" w:rsidTr="005F78FC">
        <w:tc>
          <w:tcPr>
            <w:tcW w:w="0" w:type="auto"/>
            <w:vAlign w:val="center"/>
          </w:tcPr>
          <w:p w:rsidR="005F78FC" w:rsidRDefault="00B42EF3">
            <w:pPr>
              <w:pStyle w:val="TableBodyText"/>
            </w:pPr>
            <w:r>
              <w:rPr>
                <w:b/>
              </w:rPr>
              <w:t>ins</w:t>
            </w:r>
            <w:r>
              <w:t xml:space="preserve"> (Inserted Math Control Character)</w:t>
            </w:r>
          </w:p>
        </w:tc>
        <w:tc>
          <w:tcPr>
            <w:tcW w:w="0" w:type="auto"/>
            <w:vAlign w:val="center"/>
          </w:tcPr>
          <w:p w:rsidR="005F78FC" w:rsidRDefault="00B42EF3">
            <w:pPr>
              <w:pStyle w:val="TableBodyText"/>
            </w:pPr>
            <w:r>
              <w:t>"[ISO/IEC-29500-1] §17.13.5.16"</w:t>
            </w:r>
          </w:p>
        </w:tc>
      </w:tr>
      <w:tr w:rsidR="005F78FC" w:rsidTr="005F78FC">
        <w:tc>
          <w:tcPr>
            <w:tcW w:w="0" w:type="auto"/>
            <w:vAlign w:val="center"/>
          </w:tcPr>
          <w:p w:rsidR="005F78FC" w:rsidRDefault="00B42EF3">
            <w:pPr>
              <w:pStyle w:val="TableBodyText"/>
            </w:pPr>
            <w:r>
              <w:rPr>
                <w:b/>
              </w:rPr>
              <w:t>rPr</w:t>
            </w:r>
            <w:r>
              <w:t xml:space="preserve"> (Run Properties)</w:t>
            </w:r>
          </w:p>
        </w:tc>
        <w:tc>
          <w:tcPr>
            <w:tcW w:w="0" w:type="auto"/>
            <w:vAlign w:val="center"/>
          </w:tcPr>
          <w:p w:rsidR="005F78FC" w:rsidRDefault="00B42EF3">
            <w:pPr>
              <w:pStyle w:val="TableBodyText"/>
            </w:pPr>
            <w:r>
              <w:t>"[ISO/IEC-29500-1] §17.3.2.28"</w:t>
            </w:r>
          </w:p>
        </w:tc>
      </w:tr>
    </w:tbl>
    <w:p w:rsidR="005F78FC" w:rsidRDefault="005F78FC"/>
    <w:p w:rsidR="005F78FC" w:rsidRDefault="005F78FC"/>
    <w:tbl>
      <w:tblPr>
        <w:tblStyle w:val="Table-ShadedHeader"/>
        <w:tblW w:w="0" w:type="auto"/>
        <w:tblLook w:val="04A0" w:firstRow="1" w:lastRow="0" w:firstColumn="1" w:lastColumn="0" w:noHBand="0" w:noVBand="1"/>
      </w:tblPr>
      <w:tblGrid>
        <w:gridCol w:w="1800"/>
        <w:gridCol w:w="7675"/>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Attributes</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rPr>
                <w:b/>
              </w:rPr>
              <w:t>author</w:t>
            </w:r>
            <w:r>
              <w:t xml:space="preserve"> (Annotation Author)</w:t>
            </w:r>
          </w:p>
        </w:tc>
        <w:tc>
          <w:tcPr>
            <w:tcW w:w="0" w:type="auto"/>
            <w:vAlign w:val="center"/>
          </w:tcPr>
          <w:p w:rsidR="005F78FC" w:rsidRDefault="00B42EF3">
            <w:pPr>
              <w:pStyle w:val="TableBodyText"/>
            </w:pPr>
            <w:r>
              <w:t xml:space="preserve">Specifies </w:t>
            </w:r>
            <w:r>
              <w:t>the author for an annotation within a WordprocessingML document.</w:t>
            </w:r>
          </w:p>
          <w:p w:rsidR="005F78FC" w:rsidRDefault="005F78FC">
            <w:pPr>
              <w:pStyle w:val="TableBodyText"/>
            </w:pPr>
          </w:p>
          <w:p w:rsidR="005F78FC" w:rsidRDefault="00B42EF3">
            <w:pPr>
              <w:pStyle w:val="TableBodyText"/>
            </w:pPr>
            <w:r>
              <w:t xml:space="preserve"> [Example: Consider a comment represented using the following WordprocessingML fragment:</w:t>
            </w:r>
          </w:p>
          <w:p w:rsidR="005F78FC" w:rsidRDefault="005F78FC">
            <w:pPr>
              <w:pStyle w:val="TableBodyText"/>
            </w:pPr>
          </w:p>
          <w:p w:rsidR="005F78FC" w:rsidRDefault="00B42EF3">
            <w:pPr>
              <w:pStyle w:val="Code"/>
            </w:pPr>
            <w:r>
              <w:t>&lt;w:… w:id="1" w:author="Example Author"&gt;</w:t>
            </w:r>
          </w:p>
          <w:p w:rsidR="005F78FC" w:rsidRDefault="00B42EF3">
            <w:pPr>
              <w:pStyle w:val="Code"/>
            </w:pPr>
            <w:r>
              <w:t xml:space="preserve">  …</w:t>
            </w:r>
          </w:p>
          <w:p w:rsidR="005F78FC" w:rsidRDefault="00B42EF3">
            <w:pPr>
              <w:pStyle w:val="Code"/>
            </w:pPr>
            <w:r>
              <w:t>&lt;/w:…&gt;</w:t>
            </w:r>
          </w:p>
          <w:p w:rsidR="005F78FC" w:rsidRDefault="005F78FC">
            <w:pPr>
              <w:pStyle w:val="TableBodyText"/>
            </w:pPr>
          </w:p>
          <w:p w:rsidR="005F78FC" w:rsidRDefault="00B42EF3">
            <w:pPr>
              <w:pStyle w:val="TableBodyText"/>
            </w:pPr>
            <w:r>
              <w:t xml:space="preserve">The </w:t>
            </w:r>
            <w:r>
              <w:rPr>
                <w:b/>
              </w:rPr>
              <w:t>author</w:t>
            </w:r>
            <w:r>
              <w:t xml:space="preserve"> attribute specifies that the author of the current annotation is </w:t>
            </w:r>
            <w:r>
              <w:rPr>
                <w:i/>
              </w:rPr>
              <w:t>Example Author</w:t>
            </w:r>
            <w:r>
              <w:t>, which may be used as desired. end example]</w:t>
            </w:r>
          </w:p>
          <w:p w:rsidR="005F78FC" w:rsidRDefault="005F78FC">
            <w:pPr>
              <w:pStyle w:val="TableBodyText"/>
            </w:pPr>
          </w:p>
          <w:p w:rsidR="005F78FC" w:rsidRDefault="00B42EF3">
            <w:pPr>
              <w:pStyle w:val="TableBodyText"/>
            </w:pPr>
            <w:r>
              <w:t>The possible values for this attribute are defined by the ST_String255 simple type (§</w:t>
            </w:r>
            <w:hyperlink w:anchor="Section_73f2382235094ce4a27391e7e5a80c27">
              <w:r>
                <w:rPr>
                  <w:rStyle w:val="Hyperlink"/>
                </w:rPr>
                <w:t>3.1.3.3.9, ST_String255</w:t>
              </w:r>
            </w:hyperlink>
            <w:r>
              <w:t>).</w:t>
            </w:r>
          </w:p>
        </w:tc>
      </w:tr>
      <w:tr w:rsidR="005F78FC" w:rsidTr="005F78FC">
        <w:tc>
          <w:tcPr>
            <w:tcW w:w="0" w:type="auto"/>
            <w:vAlign w:val="center"/>
          </w:tcPr>
          <w:p w:rsidR="005F78FC" w:rsidRDefault="00B42EF3">
            <w:pPr>
              <w:pStyle w:val="TableBodyText"/>
            </w:pPr>
            <w:r>
              <w:rPr>
                <w:b/>
              </w:rPr>
              <w:t>date</w:t>
            </w:r>
            <w:r>
              <w:t xml:space="preserve"> (Annotation Date)</w:t>
            </w:r>
          </w:p>
        </w:tc>
        <w:tc>
          <w:tcPr>
            <w:tcW w:w="0" w:type="auto"/>
            <w:vAlign w:val="center"/>
          </w:tcPr>
          <w:p w:rsidR="005F78FC" w:rsidRDefault="00B42EF3">
            <w:pPr>
              <w:pStyle w:val="TableBodyText"/>
            </w:pPr>
            <w:r>
              <w:t>Specifies the date information for an annotation within a WordprocessingML document.</w:t>
            </w:r>
          </w:p>
          <w:p w:rsidR="005F78FC" w:rsidRDefault="005F78FC">
            <w:pPr>
              <w:pStyle w:val="TableBodyText"/>
            </w:pPr>
          </w:p>
          <w:p w:rsidR="005F78FC" w:rsidRDefault="00B42EF3">
            <w:pPr>
              <w:pStyle w:val="TableBodyText"/>
            </w:pPr>
            <w:r>
              <w:t xml:space="preserve">If this attribute is omitted, then no date information shall be associated with the parent annotation </w:t>
            </w:r>
            <w:r>
              <w:t>type.</w:t>
            </w:r>
          </w:p>
          <w:p w:rsidR="005F78FC" w:rsidRDefault="005F78FC">
            <w:pPr>
              <w:pStyle w:val="TableBodyText"/>
            </w:pPr>
          </w:p>
          <w:p w:rsidR="005F78FC" w:rsidRDefault="00B42EF3">
            <w:pPr>
              <w:pStyle w:val="TableBodyText"/>
            </w:pPr>
            <w:r>
              <w:t>[Example: Consider a comment represented using the following WordprocessingML fragment:</w:t>
            </w:r>
          </w:p>
          <w:p w:rsidR="005F78FC" w:rsidRDefault="005F78FC">
            <w:pPr>
              <w:pStyle w:val="TableBodyText"/>
            </w:pPr>
          </w:p>
          <w:p w:rsidR="005F78FC" w:rsidRDefault="00B42EF3">
            <w:pPr>
              <w:pStyle w:val="Code"/>
            </w:pPr>
            <w:r>
              <w:t>&lt;w:… w:id="1" w:date="2006-01-01T10:00:00"&gt;</w:t>
            </w:r>
          </w:p>
          <w:p w:rsidR="005F78FC" w:rsidRDefault="00B42EF3">
            <w:pPr>
              <w:pStyle w:val="Code"/>
            </w:pPr>
            <w:r>
              <w:t xml:space="preserve">  …</w:t>
            </w:r>
          </w:p>
          <w:p w:rsidR="005F78FC" w:rsidRDefault="00B42EF3">
            <w:pPr>
              <w:pStyle w:val="Code"/>
            </w:pPr>
            <w:r>
              <w:lastRenderedPageBreak/>
              <w:t>&lt;/w:…&gt;</w:t>
            </w:r>
          </w:p>
          <w:p w:rsidR="005F78FC" w:rsidRDefault="005F78FC">
            <w:pPr>
              <w:pStyle w:val="TableBodyText"/>
            </w:pPr>
          </w:p>
          <w:p w:rsidR="005F78FC" w:rsidRDefault="00B42EF3">
            <w:pPr>
              <w:pStyle w:val="TableBodyText"/>
            </w:pPr>
            <w:r>
              <w:t xml:space="preserve">The </w:t>
            </w:r>
            <w:r>
              <w:rPr>
                <w:b/>
              </w:rPr>
              <w:t>date</w:t>
            </w:r>
            <w:r>
              <w:t xml:space="preserve"> attribute specifies that the date of the current annotation is January 1st 2006 at 10:00 AM, which may be used as desired. end example]</w:t>
            </w:r>
          </w:p>
          <w:p w:rsidR="005F78FC" w:rsidRDefault="005F78FC">
            <w:pPr>
              <w:pStyle w:val="TableBodyText"/>
            </w:pPr>
          </w:p>
          <w:p w:rsidR="005F78FC" w:rsidRDefault="00B42EF3">
            <w:pPr>
              <w:pStyle w:val="TableBodyText"/>
            </w:pPr>
            <w:r>
              <w:t>The possible values for this attribute are defined by the ST_DateTime simple type (§</w:t>
            </w:r>
            <w:hyperlink w:anchor="Section_67feb752f108441eaca363fc2717117a">
              <w:r>
                <w:rPr>
                  <w:rStyle w:val="Hyperlink"/>
                </w:rPr>
                <w:t>3.1.3.3.2, ST_DateTime</w:t>
              </w:r>
            </w:hyperlink>
            <w:r>
              <w:t>).</w:t>
            </w:r>
          </w:p>
        </w:tc>
      </w:tr>
      <w:tr w:rsidR="005F78FC" w:rsidTr="005F78FC">
        <w:tc>
          <w:tcPr>
            <w:tcW w:w="0" w:type="auto"/>
            <w:vAlign w:val="center"/>
          </w:tcPr>
          <w:p w:rsidR="005F78FC" w:rsidRDefault="00B42EF3">
            <w:pPr>
              <w:pStyle w:val="TableBodyText"/>
            </w:pPr>
            <w:r>
              <w:rPr>
                <w:b/>
              </w:rPr>
              <w:lastRenderedPageBreak/>
              <w:t>id</w:t>
            </w:r>
            <w:r>
              <w:t xml:space="preserve"> (Annotation Identifier)</w:t>
            </w:r>
          </w:p>
        </w:tc>
        <w:tc>
          <w:tcPr>
            <w:tcW w:w="0" w:type="auto"/>
            <w:vAlign w:val="center"/>
          </w:tcPr>
          <w:p w:rsidR="005F78FC" w:rsidRDefault="00B42EF3">
            <w:pPr>
              <w:pStyle w:val="TableBodyText"/>
            </w:pPr>
            <w:r>
              <w:t xml:space="preserve">Specifies a unique identifier for an annotation within a WordprocessingML document. The restrictions on the </w:t>
            </w:r>
            <w:r>
              <w:rPr>
                <w:b/>
              </w:rPr>
              <w:t>id</w:t>
            </w:r>
            <w:r>
              <w:t xml:space="preserve"> attribute, if any, are defined by the parent XML element.</w:t>
            </w:r>
          </w:p>
          <w:p w:rsidR="005F78FC" w:rsidRDefault="005F78FC">
            <w:pPr>
              <w:pStyle w:val="TableBodyText"/>
            </w:pPr>
          </w:p>
          <w:p w:rsidR="005F78FC" w:rsidRDefault="00B42EF3">
            <w:pPr>
              <w:pStyle w:val="TableBodyText"/>
            </w:pPr>
            <w:r>
              <w:t>If t</w:t>
            </w:r>
            <w:r>
              <w:t>his attribute is omitted, then the document is non-conformant.</w:t>
            </w:r>
          </w:p>
          <w:p w:rsidR="005F78FC" w:rsidRDefault="005F78FC">
            <w:pPr>
              <w:pStyle w:val="TableBodyText"/>
            </w:pPr>
          </w:p>
          <w:p w:rsidR="005F78FC" w:rsidRDefault="00B42EF3">
            <w:pPr>
              <w:pStyle w:val="TableBodyText"/>
            </w:pPr>
            <w:r>
              <w:t>[Example: Consider an annotation represented using the following WordprocessingML fragment:</w:t>
            </w:r>
          </w:p>
          <w:p w:rsidR="005F78FC" w:rsidRDefault="005F78FC">
            <w:pPr>
              <w:pStyle w:val="TableBodyText"/>
            </w:pPr>
          </w:p>
          <w:p w:rsidR="005F78FC" w:rsidRDefault="00B42EF3">
            <w:pPr>
              <w:pStyle w:val="Code"/>
            </w:pPr>
            <w:r>
              <w:t>&lt;w:… w:id="1" … &gt;</w:t>
            </w:r>
          </w:p>
          <w:p w:rsidR="005F78FC" w:rsidRDefault="00B42EF3">
            <w:pPr>
              <w:pStyle w:val="Code"/>
            </w:pPr>
            <w:r>
              <w:t xml:space="preserve">  …</w:t>
            </w:r>
          </w:p>
          <w:p w:rsidR="005F78FC" w:rsidRDefault="00B42EF3">
            <w:pPr>
              <w:pStyle w:val="Code"/>
            </w:pPr>
            <w:r>
              <w:t>&lt;/w:…&gt;</w:t>
            </w:r>
          </w:p>
          <w:p w:rsidR="005F78FC" w:rsidRDefault="005F78FC">
            <w:pPr>
              <w:pStyle w:val="TableBodyText"/>
            </w:pPr>
          </w:p>
          <w:p w:rsidR="005F78FC" w:rsidRDefault="00B42EF3">
            <w:pPr>
              <w:pStyle w:val="TableBodyText"/>
            </w:pPr>
            <w:r>
              <w:t xml:space="preserve">The </w:t>
            </w:r>
            <w:r>
              <w:rPr>
                <w:b/>
              </w:rPr>
              <w:t>id</w:t>
            </w:r>
            <w:r>
              <w:t xml:space="preserve"> attribute specifies that the ID of the current annotation is </w:t>
            </w:r>
            <w:r>
              <w:rPr>
                <w:i/>
              </w:rPr>
              <w:t>1</w:t>
            </w:r>
            <w:r>
              <w:t>. This value is used to uniquely identify this annotation within the document content. end example]</w:t>
            </w:r>
          </w:p>
          <w:p w:rsidR="005F78FC" w:rsidRDefault="005F78FC">
            <w:pPr>
              <w:pStyle w:val="TableBodyText"/>
            </w:pPr>
          </w:p>
          <w:p w:rsidR="005F78FC" w:rsidRDefault="00B42EF3">
            <w:pPr>
              <w:pStyle w:val="TableBodyText"/>
            </w:pPr>
            <w:r>
              <w:t>The possible values for this attribute are defined by the ST_MarkupId simple type (§</w:t>
            </w:r>
            <w:hyperlink w:anchor="Section_205e43f89d014953a67fd7c91ccd6ffd">
              <w:r>
                <w:rPr>
                  <w:rStyle w:val="Hyperlink"/>
                </w:rPr>
                <w:t>3.1.3.3.</w:t>
              </w:r>
              <w:r>
                <w:rPr>
                  <w:rStyle w:val="Hyperlink"/>
                </w:rPr>
                <w:t>3, ST_MarkupId</w:t>
              </w:r>
            </w:hyperlink>
            <w:r>
              <w:t>).</w:t>
            </w:r>
          </w:p>
        </w:tc>
      </w:tr>
    </w:tbl>
    <w:p w:rsidR="005F78FC" w:rsidRDefault="005F78FC"/>
    <w:p w:rsidR="005F78FC" w:rsidRDefault="00B42EF3">
      <w:r>
        <w:t>The following XML Schema fragment defines the contents of this element:</w:t>
      </w:r>
    </w:p>
    <w:p w:rsidR="005F78FC" w:rsidRDefault="00B42EF3">
      <w:pPr>
        <w:pStyle w:val="Code"/>
      </w:pPr>
      <w:r>
        <w:t>&lt;complexType name="CT_MathCtrlMove"&gt;</w:t>
      </w:r>
    </w:p>
    <w:p w:rsidR="005F78FC" w:rsidRDefault="00B42EF3">
      <w:pPr>
        <w:pStyle w:val="Code"/>
      </w:pPr>
      <w:r>
        <w:t xml:space="preserve">  &lt;complexContent&gt;</w:t>
      </w:r>
    </w:p>
    <w:p w:rsidR="005F78FC" w:rsidRDefault="00B42EF3">
      <w:pPr>
        <w:pStyle w:val="Code"/>
      </w:pPr>
      <w:r>
        <w:t xml:space="preserve">    &lt;extension base="CT_TrackChange"&gt;</w:t>
      </w:r>
    </w:p>
    <w:p w:rsidR="005F78FC" w:rsidRDefault="00B42EF3">
      <w:pPr>
        <w:pStyle w:val="Code"/>
      </w:pPr>
      <w:r>
        <w:t xml:space="preserve">      &lt;choice minOccurs="0"&gt;</w:t>
      </w:r>
    </w:p>
    <w:p w:rsidR="005F78FC" w:rsidRDefault="00B42EF3">
      <w:pPr>
        <w:pStyle w:val="Code"/>
      </w:pPr>
      <w:r>
        <w:t xml:space="preserve">        &lt;group ref="EG_RPr"/&gt;</w:t>
      </w:r>
    </w:p>
    <w:p w:rsidR="005F78FC" w:rsidRDefault="00B42EF3">
      <w:pPr>
        <w:pStyle w:val="Code"/>
      </w:pPr>
      <w:r>
        <w:t xml:space="preserve">        &lt;</w:t>
      </w:r>
      <w:r>
        <w:t>group ref="EG_MathCtrlIns"/&gt;</w:t>
      </w:r>
    </w:p>
    <w:p w:rsidR="005F78FC" w:rsidRDefault="00B42EF3">
      <w:pPr>
        <w:pStyle w:val="Code"/>
      </w:pPr>
      <w:r>
        <w:t xml:space="preserve">        &lt;group ref="EG_MathCtrlDel"/&gt;</w:t>
      </w:r>
    </w:p>
    <w:p w:rsidR="005F78FC" w:rsidRDefault="00B42EF3">
      <w:pPr>
        <w:pStyle w:val="Code"/>
      </w:pPr>
      <w:r>
        <w:t xml:space="preserve">      &lt;/choice&gt;</w:t>
      </w:r>
    </w:p>
    <w:p w:rsidR="005F78FC" w:rsidRDefault="00B42EF3">
      <w:pPr>
        <w:pStyle w:val="Code"/>
      </w:pPr>
      <w:r>
        <w:t xml:space="preserve">    &lt;/extension&gt;</w:t>
      </w:r>
    </w:p>
    <w:p w:rsidR="005F78FC" w:rsidRDefault="00B42EF3">
      <w:pPr>
        <w:pStyle w:val="Code"/>
      </w:pPr>
      <w:r>
        <w:t xml:space="preserve">  &lt;/complexContent&gt;</w:t>
      </w:r>
    </w:p>
    <w:p w:rsidR="005F78FC" w:rsidRDefault="00B42EF3">
      <w:pPr>
        <w:pStyle w:val="Code"/>
      </w:pPr>
      <w:r>
        <w:t>&lt;/complexType&gt;</w:t>
      </w:r>
    </w:p>
    <w:p w:rsidR="005F78FC" w:rsidRDefault="00B42EF3">
      <w:pPr>
        <w:pStyle w:val="Heading5"/>
      </w:pPr>
      <w:bookmarkStart w:id="3896" w:name="section_808b32d8ad644c849fb585ad68be54b9"/>
      <w:bookmarkStart w:id="3897" w:name="_Toc69879721"/>
      <w:r>
        <w:t>sdt (Ruby Inline-Level Structured Document Tag)</w:t>
      </w:r>
      <w:bookmarkEnd w:id="3896"/>
      <w:bookmarkEnd w:id="3897"/>
      <w:r>
        <w:fldChar w:fldCharType="begin"/>
      </w:r>
      <w:r>
        <w:instrText xml:space="preserve"> XE "sdt (Ruby Inline-Level Structured Document Tag)" </w:instrText>
      </w:r>
      <w:r>
        <w:fldChar w:fldCharType="end"/>
      </w:r>
    </w:p>
    <w:p w:rsidR="005F78FC" w:rsidRDefault="00B42EF3">
      <w:r>
        <w:t>This element specifies the presence of a structured document tag around one or more inline-level structures (runs, DrawingML objects, fields, and so on) in the current paragraph. The two child elements of this element shall be used to specify the propertie</w:t>
      </w:r>
      <w:r>
        <w:t xml:space="preserve">s and content of the current structured document tag via the </w:t>
      </w:r>
      <w:r>
        <w:rPr>
          <w:b/>
        </w:rPr>
        <w:t>sdtPr</w:t>
      </w:r>
      <w:r>
        <w:t xml:space="preserve"> and </w:t>
      </w:r>
      <w:r>
        <w:rPr>
          <w:b/>
        </w:rPr>
        <w:t>sdtContent</w:t>
      </w:r>
      <w:r>
        <w:t xml:space="preserve"> elements, respectively.</w:t>
      </w:r>
    </w:p>
    <w:p w:rsidR="005F78FC" w:rsidRDefault="00B42EF3">
      <w:r>
        <w:t xml:space="preserve">[Example: Consider a structured document tag with the friendly name </w:t>
      </w:r>
      <w:r>
        <w:rPr>
          <w:i/>
        </w:rPr>
        <w:t>firstName</w:t>
      </w:r>
      <w:r>
        <w:t xml:space="preserve"> that shall be located around two runs in a WordprocessingML document. Th</w:t>
      </w:r>
      <w:r>
        <w:t>is requirement would be specified as follows in the WordprocessingML:</w:t>
      </w:r>
    </w:p>
    <w:p w:rsidR="005F78FC" w:rsidRDefault="00B42EF3">
      <w:pPr>
        <w:pStyle w:val="Code"/>
      </w:pPr>
      <w:r>
        <w:lastRenderedPageBreak/>
        <w:t>&lt;w:p&gt;</w:t>
      </w:r>
    </w:p>
    <w:p w:rsidR="005F78FC" w:rsidRDefault="00B42EF3">
      <w:pPr>
        <w:pStyle w:val="Code"/>
      </w:pPr>
      <w:r>
        <w:t xml:space="preserve">  &lt;w:sdt&gt;</w:t>
      </w:r>
    </w:p>
    <w:p w:rsidR="005F78FC" w:rsidRDefault="00B42EF3">
      <w:pPr>
        <w:pStyle w:val="Code"/>
      </w:pPr>
      <w:r>
        <w:t xml:space="preserve">    &lt;w:sdtPr&gt;</w:t>
      </w:r>
    </w:p>
    <w:p w:rsidR="005F78FC" w:rsidRDefault="00B42EF3">
      <w:pPr>
        <w:pStyle w:val="Code"/>
      </w:pPr>
      <w:r>
        <w:t xml:space="preserve">      &lt;w:alias w:val="firstName"/&gt;</w:t>
      </w:r>
    </w:p>
    <w:p w:rsidR="005F78FC" w:rsidRDefault="00B42EF3">
      <w:pPr>
        <w:pStyle w:val="Code"/>
      </w:pPr>
      <w:r>
        <w:t xml:space="preserve">    &lt;/w:sdtPr&gt;</w:t>
      </w:r>
    </w:p>
    <w:p w:rsidR="005F78FC" w:rsidRDefault="00B42EF3">
      <w:pPr>
        <w:pStyle w:val="Code"/>
      </w:pPr>
      <w:r>
        <w:t xml:space="preserve">    &lt;w:sdtContent&gt;</w:t>
      </w:r>
    </w:p>
    <w:p w:rsidR="005F78FC" w:rsidRDefault="00B42EF3">
      <w:pPr>
        <w:pStyle w:val="Code"/>
      </w:pPr>
      <w:r>
        <w:t xml:space="preserve">      &lt;w:r&gt;</w:t>
      </w:r>
    </w:p>
    <w:p w:rsidR="005F78FC" w:rsidRDefault="00B42EF3">
      <w:pPr>
        <w:pStyle w:val="Code"/>
      </w:pPr>
      <w:r>
        <w:t xml:space="preserve">        …</w:t>
      </w:r>
    </w:p>
    <w:p w:rsidR="005F78FC" w:rsidRDefault="00B42EF3">
      <w:pPr>
        <w:pStyle w:val="Code"/>
      </w:pPr>
      <w:r>
        <w:t xml:space="preserve">      &lt;/w:r&gt;</w:t>
      </w:r>
    </w:p>
    <w:p w:rsidR="005F78FC" w:rsidRDefault="00B42EF3">
      <w:pPr>
        <w:pStyle w:val="Code"/>
      </w:pPr>
      <w:r>
        <w:t xml:space="preserve">      &lt;w:r&gt;</w:t>
      </w:r>
    </w:p>
    <w:p w:rsidR="005F78FC" w:rsidRDefault="00B42EF3">
      <w:pPr>
        <w:pStyle w:val="Code"/>
      </w:pPr>
      <w:r>
        <w:t xml:space="preserve">        …</w:t>
      </w:r>
    </w:p>
    <w:p w:rsidR="005F78FC" w:rsidRDefault="00B42EF3">
      <w:pPr>
        <w:pStyle w:val="Code"/>
      </w:pPr>
      <w:r>
        <w:t xml:space="preserve">      &lt;/w:r&gt;</w:t>
      </w:r>
    </w:p>
    <w:p w:rsidR="005F78FC" w:rsidRDefault="00B42EF3">
      <w:pPr>
        <w:pStyle w:val="Code"/>
      </w:pPr>
      <w:r>
        <w:t xml:space="preserve">    &lt;/w:sdtConten</w:t>
      </w:r>
      <w:r>
        <w:t>t&gt;</w:t>
      </w:r>
    </w:p>
    <w:p w:rsidR="005F78FC" w:rsidRDefault="00B42EF3">
      <w:pPr>
        <w:pStyle w:val="Code"/>
      </w:pPr>
      <w:r>
        <w:t xml:space="preserve">  &lt;/w:sdt&gt;</w:t>
      </w:r>
    </w:p>
    <w:p w:rsidR="005F78FC" w:rsidRDefault="00B42EF3">
      <w:pPr>
        <w:pStyle w:val="Code"/>
      </w:pPr>
      <w:r>
        <w:t xml:space="preserve">  …</w:t>
      </w:r>
    </w:p>
    <w:p w:rsidR="005F78FC" w:rsidRDefault="00B42EF3">
      <w:pPr>
        <w:pStyle w:val="Code"/>
      </w:pPr>
      <w:r>
        <w:t>&lt;/w:tr&gt;</w:t>
      </w:r>
    </w:p>
    <w:p w:rsidR="005F78FC" w:rsidRDefault="00B42EF3">
      <w:r>
        <w:t xml:space="preserve">The </w:t>
      </w:r>
      <w:r>
        <w:rPr>
          <w:b/>
        </w:rPr>
        <w:t>sdt</w:t>
      </w:r>
      <w:r>
        <w:t xml:space="preserve"> element specifies the structured document tag, the child </w:t>
      </w:r>
      <w:r>
        <w:rPr>
          <w:b/>
        </w:rPr>
        <w:t>sdtPr</w:t>
      </w:r>
      <w:r>
        <w:t xml:space="preserve"> element contains the friendly name property set to </w:t>
      </w:r>
      <w:r>
        <w:rPr>
          <w:i/>
        </w:rPr>
        <w:t>firstName</w:t>
      </w:r>
      <w:r>
        <w:t xml:space="preserve">, and the </w:t>
      </w:r>
      <w:r>
        <w:rPr>
          <w:b/>
        </w:rPr>
        <w:t>sdtContent</w:t>
      </w:r>
      <w:r>
        <w:t xml:space="preserve"> element contains two runs (it is an inline-level structured document tag). end example]</w:t>
      </w:r>
    </w:p>
    <w:tbl>
      <w:tblPr>
        <w:tblStyle w:val="Table-ShadedHeader"/>
        <w:tblW w:w="0" w:type="auto"/>
        <w:tblLook w:val="04A0" w:firstRow="1" w:lastRow="0" w:firstColumn="1" w:lastColumn="0" w:noHBand="0" w:noVBand="1"/>
      </w:tblPr>
      <w:tblGrid>
        <w:gridCol w:w="9475"/>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Parent Elements</w:t>
            </w:r>
          </w:p>
        </w:tc>
      </w:tr>
      <w:tr w:rsidR="005F78FC" w:rsidTr="005F78FC">
        <w:tc>
          <w:tcPr>
            <w:tcW w:w="0" w:type="auto"/>
            <w:vAlign w:val="center"/>
          </w:tcPr>
          <w:p w:rsidR="005F78FC" w:rsidRDefault="00B42EF3">
            <w:pPr>
              <w:pStyle w:val="TableBodyText"/>
            </w:pPr>
            <w:r>
              <w:rPr>
                <w:b/>
              </w:rPr>
              <w:t>customXml</w:t>
            </w:r>
            <w:r>
              <w:t xml:space="preserve"> (§</w:t>
            </w:r>
            <w:hyperlink w:anchor="Section_d188da3eb34b4445b3a0118155f75ff3">
              <w:r>
                <w:rPr>
                  <w:rStyle w:val="Hyperlink"/>
                </w:rPr>
                <w:t>3.1.3.1.1, customXml</w:t>
              </w:r>
            </w:hyperlink>
            <w:r>
              <w:t xml:space="preserve">); </w:t>
            </w:r>
            <w:r>
              <w:rPr>
                <w:b/>
              </w:rPr>
              <w:t>fldSimple</w:t>
            </w:r>
            <w:r>
              <w:t xml:space="preserve"> (§</w:t>
            </w:r>
            <w:hyperlink w:anchor="Section_34477fff355a497ea2bf4b9c3f80b093">
              <w:r>
                <w:rPr>
                  <w:rStyle w:val="Hyperlink"/>
                </w:rPr>
                <w:t>3.1.3.1.2, fldSimple</w:t>
              </w:r>
            </w:hyperlink>
            <w:r>
              <w:t xml:space="preserve">); </w:t>
            </w:r>
            <w:r>
              <w:rPr>
                <w:b/>
              </w:rPr>
              <w:t>hyperlink</w:t>
            </w:r>
            <w:r>
              <w:t xml:space="preserve"> (§</w:t>
            </w:r>
            <w:hyperlink w:anchor="Section_cc9e4bbd134f4d35b2c795fde8c633a7">
              <w:r>
                <w:rPr>
                  <w:rStyle w:val="Hyperlink"/>
                </w:rPr>
                <w:t>3.1.3.1.3, hyperlink</w:t>
              </w:r>
            </w:hyperlink>
            <w:r>
              <w:t xml:space="preserve">); </w:t>
            </w:r>
            <w:r>
              <w:rPr>
                <w:b/>
              </w:rPr>
              <w:t>rt</w:t>
            </w:r>
            <w:r>
              <w:t xml:space="preserve"> ("</w:t>
            </w:r>
            <w:hyperlink r:id="rId296">
              <w:r>
                <w:rPr>
                  <w:rStyle w:val="Hyperlink"/>
                </w:rPr>
                <w:t>[ISO/IEC-29500-1]</w:t>
              </w:r>
            </w:hyperlink>
            <w:r>
              <w:t xml:space="preserve"> §17.3.3.24"); </w:t>
            </w:r>
            <w:r>
              <w:rPr>
                <w:b/>
              </w:rPr>
              <w:t>rubyBase</w:t>
            </w:r>
            <w:r>
              <w:t xml:space="preserve"> </w:t>
            </w:r>
            <w:r>
              <w:t xml:space="preserve">("[ISO/IEC-29500-1] §17.3.3.27"); </w:t>
            </w:r>
            <w:r>
              <w:rPr>
                <w:b/>
              </w:rPr>
              <w:t>sdtContent</w:t>
            </w:r>
            <w:r>
              <w:t xml:space="preserve"> (§</w:t>
            </w:r>
            <w:hyperlink w:anchor="Section_a3757e691f9b4322b17edee4d308d29e">
              <w:r>
                <w:rPr>
                  <w:rStyle w:val="Hyperlink"/>
                </w:rPr>
                <w:t>3.1.3.1.7, sdtContent</w:t>
              </w:r>
            </w:hyperlink>
            <w:r>
              <w:t>)</w:t>
            </w:r>
          </w:p>
        </w:tc>
      </w:tr>
    </w:tbl>
    <w:p w:rsidR="005F78FC" w:rsidRDefault="005F78FC"/>
    <w:p w:rsidR="005F78FC" w:rsidRDefault="005F78FC"/>
    <w:tbl>
      <w:tblPr>
        <w:tblStyle w:val="Table-ShadedHeader"/>
        <w:tblW w:w="0" w:type="auto"/>
        <w:tblLook w:val="04A0" w:firstRow="1" w:lastRow="0" w:firstColumn="1" w:lastColumn="0" w:noHBand="0" w:noVBand="1"/>
      </w:tblPr>
      <w:tblGrid>
        <w:gridCol w:w="6758"/>
        <w:gridCol w:w="2717"/>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Child Elements</w:t>
            </w:r>
          </w:p>
        </w:tc>
        <w:tc>
          <w:tcPr>
            <w:tcW w:w="0" w:type="auto"/>
            <w:vAlign w:val="center"/>
          </w:tcPr>
          <w:p w:rsidR="005F78FC" w:rsidRDefault="00B42EF3">
            <w:pPr>
              <w:pStyle w:val="TableHeaderText"/>
            </w:pPr>
            <w:r>
              <w:t>Subclause</w:t>
            </w:r>
          </w:p>
        </w:tc>
      </w:tr>
      <w:tr w:rsidR="005F78FC" w:rsidTr="005F78FC">
        <w:tc>
          <w:tcPr>
            <w:tcW w:w="0" w:type="auto"/>
            <w:vAlign w:val="center"/>
          </w:tcPr>
          <w:p w:rsidR="005F78FC" w:rsidRDefault="00B42EF3">
            <w:pPr>
              <w:pStyle w:val="TableBodyText"/>
            </w:pPr>
            <w:r>
              <w:rPr>
                <w:b/>
              </w:rPr>
              <w:t>bookmarkEnd</w:t>
            </w:r>
            <w:r>
              <w:t xml:space="preserve"> (Bookmark End)</w:t>
            </w:r>
          </w:p>
        </w:tc>
        <w:tc>
          <w:tcPr>
            <w:tcW w:w="0" w:type="auto"/>
            <w:vAlign w:val="center"/>
          </w:tcPr>
          <w:p w:rsidR="005F78FC" w:rsidRDefault="00B42EF3">
            <w:pPr>
              <w:pStyle w:val="TableBodyText"/>
            </w:pPr>
            <w:r>
              <w:t>"[ISO/IEC-29500-1] §17.13.6.1"</w:t>
            </w:r>
          </w:p>
        </w:tc>
      </w:tr>
      <w:tr w:rsidR="005F78FC" w:rsidTr="005F78FC">
        <w:tc>
          <w:tcPr>
            <w:tcW w:w="0" w:type="auto"/>
            <w:vAlign w:val="center"/>
          </w:tcPr>
          <w:p w:rsidR="005F78FC" w:rsidRDefault="00B42EF3">
            <w:pPr>
              <w:pStyle w:val="TableBodyText"/>
            </w:pPr>
            <w:r>
              <w:rPr>
                <w:b/>
              </w:rPr>
              <w:t>bookmarkStart</w:t>
            </w:r>
            <w:r>
              <w:t xml:space="preserve"> (Bookmark Start)</w:t>
            </w:r>
          </w:p>
        </w:tc>
        <w:tc>
          <w:tcPr>
            <w:tcW w:w="0" w:type="auto"/>
            <w:vAlign w:val="center"/>
          </w:tcPr>
          <w:p w:rsidR="005F78FC" w:rsidRDefault="00B42EF3">
            <w:pPr>
              <w:pStyle w:val="TableBodyText"/>
            </w:pPr>
            <w:r>
              <w:t>"</w:t>
            </w:r>
            <w:r>
              <w:t>[ISO/IEC-29500-1] §17.13.6.2"</w:t>
            </w:r>
          </w:p>
        </w:tc>
      </w:tr>
      <w:tr w:rsidR="005F78FC" w:rsidTr="005F78FC">
        <w:tc>
          <w:tcPr>
            <w:tcW w:w="0" w:type="auto"/>
            <w:vAlign w:val="center"/>
          </w:tcPr>
          <w:p w:rsidR="005F78FC" w:rsidRDefault="00B42EF3">
            <w:pPr>
              <w:pStyle w:val="TableBodyText"/>
            </w:pPr>
            <w:r>
              <w:rPr>
                <w:b/>
              </w:rPr>
              <w:t>commentRangeEnd</w:t>
            </w:r>
            <w:r>
              <w:t xml:space="preserve"> (Comment Anchor Range End)</w:t>
            </w:r>
          </w:p>
        </w:tc>
        <w:tc>
          <w:tcPr>
            <w:tcW w:w="0" w:type="auto"/>
            <w:vAlign w:val="center"/>
          </w:tcPr>
          <w:p w:rsidR="005F78FC" w:rsidRDefault="00B42EF3">
            <w:pPr>
              <w:pStyle w:val="TableBodyText"/>
            </w:pPr>
            <w:r>
              <w:t>"[ISO/IEC-29500-1] §17.13.4.3"</w:t>
            </w:r>
          </w:p>
        </w:tc>
      </w:tr>
      <w:tr w:rsidR="005F78FC" w:rsidTr="005F78FC">
        <w:tc>
          <w:tcPr>
            <w:tcW w:w="0" w:type="auto"/>
            <w:vAlign w:val="center"/>
          </w:tcPr>
          <w:p w:rsidR="005F78FC" w:rsidRDefault="00B42EF3">
            <w:pPr>
              <w:pStyle w:val="TableBodyText"/>
            </w:pPr>
            <w:r>
              <w:rPr>
                <w:b/>
              </w:rPr>
              <w:t>commentRangeStart</w:t>
            </w:r>
            <w:r>
              <w:t xml:space="preserve"> (Comment Anchor Range Start)</w:t>
            </w:r>
          </w:p>
        </w:tc>
        <w:tc>
          <w:tcPr>
            <w:tcW w:w="0" w:type="auto"/>
            <w:vAlign w:val="center"/>
          </w:tcPr>
          <w:p w:rsidR="005F78FC" w:rsidRDefault="00B42EF3">
            <w:pPr>
              <w:pStyle w:val="TableBodyText"/>
            </w:pPr>
            <w:r>
              <w:t>"[ISO/IEC-29500-1] §17.13.4.4"</w:t>
            </w:r>
          </w:p>
        </w:tc>
      </w:tr>
      <w:tr w:rsidR="005F78FC" w:rsidTr="005F78FC">
        <w:tc>
          <w:tcPr>
            <w:tcW w:w="0" w:type="auto"/>
            <w:vAlign w:val="center"/>
          </w:tcPr>
          <w:p w:rsidR="005F78FC" w:rsidRDefault="00B42EF3">
            <w:pPr>
              <w:pStyle w:val="TableBodyText"/>
            </w:pPr>
            <w:r>
              <w:rPr>
                <w:b/>
              </w:rPr>
              <w:t>customXmlDelRangeEnd</w:t>
            </w:r>
            <w:r>
              <w:t xml:space="preserve"> (Custom XML Markup Deletion End)</w:t>
            </w:r>
          </w:p>
        </w:tc>
        <w:tc>
          <w:tcPr>
            <w:tcW w:w="0" w:type="auto"/>
            <w:vAlign w:val="center"/>
          </w:tcPr>
          <w:p w:rsidR="005F78FC" w:rsidRDefault="00B42EF3">
            <w:pPr>
              <w:pStyle w:val="TableBodyText"/>
            </w:pPr>
            <w:r>
              <w:t>"[ISO/IEC-29500-1</w:t>
            </w:r>
            <w:r>
              <w:t>] §17.13.5.4"</w:t>
            </w:r>
          </w:p>
        </w:tc>
      </w:tr>
      <w:tr w:rsidR="005F78FC" w:rsidTr="005F78FC">
        <w:tc>
          <w:tcPr>
            <w:tcW w:w="0" w:type="auto"/>
            <w:vAlign w:val="center"/>
          </w:tcPr>
          <w:p w:rsidR="005F78FC" w:rsidRDefault="00B42EF3">
            <w:pPr>
              <w:pStyle w:val="TableBodyText"/>
            </w:pPr>
            <w:r>
              <w:rPr>
                <w:b/>
              </w:rPr>
              <w:t>customXmlDelRangeStart</w:t>
            </w:r>
            <w:r>
              <w:t xml:space="preserve"> (Custom XML Markup Deletion Start)</w:t>
            </w:r>
          </w:p>
        </w:tc>
        <w:tc>
          <w:tcPr>
            <w:tcW w:w="0" w:type="auto"/>
            <w:vAlign w:val="center"/>
          </w:tcPr>
          <w:p w:rsidR="005F78FC" w:rsidRDefault="00B42EF3">
            <w:pPr>
              <w:pStyle w:val="TableBodyText"/>
            </w:pPr>
            <w:r>
              <w:t>"[ISO/IEC-29500-1] §17.13.5.5"</w:t>
            </w:r>
          </w:p>
        </w:tc>
      </w:tr>
      <w:tr w:rsidR="005F78FC" w:rsidTr="005F78FC">
        <w:tc>
          <w:tcPr>
            <w:tcW w:w="0" w:type="auto"/>
            <w:vAlign w:val="center"/>
          </w:tcPr>
          <w:p w:rsidR="005F78FC" w:rsidRDefault="00B42EF3">
            <w:pPr>
              <w:pStyle w:val="TableBodyText"/>
            </w:pPr>
            <w:r>
              <w:rPr>
                <w:b/>
              </w:rPr>
              <w:t>customXmlInsRangeEnd</w:t>
            </w:r>
            <w:r>
              <w:t xml:space="preserve"> (Custom XML Markup Insertion End)</w:t>
            </w:r>
          </w:p>
        </w:tc>
        <w:tc>
          <w:tcPr>
            <w:tcW w:w="0" w:type="auto"/>
            <w:vAlign w:val="center"/>
          </w:tcPr>
          <w:p w:rsidR="005F78FC" w:rsidRDefault="00B42EF3">
            <w:pPr>
              <w:pStyle w:val="TableBodyText"/>
            </w:pPr>
            <w:r>
              <w:t>"[ISO/IEC-29500-1] §17.13.5.6"</w:t>
            </w:r>
          </w:p>
        </w:tc>
      </w:tr>
      <w:tr w:rsidR="005F78FC" w:rsidTr="005F78FC">
        <w:tc>
          <w:tcPr>
            <w:tcW w:w="0" w:type="auto"/>
            <w:vAlign w:val="center"/>
          </w:tcPr>
          <w:p w:rsidR="005F78FC" w:rsidRDefault="00B42EF3">
            <w:pPr>
              <w:pStyle w:val="TableBodyText"/>
            </w:pPr>
            <w:r>
              <w:rPr>
                <w:b/>
              </w:rPr>
              <w:t>customXmlInsRangeStart</w:t>
            </w:r>
            <w:r>
              <w:t xml:space="preserve"> (Custom XML Markup Insertion Start)</w:t>
            </w:r>
          </w:p>
        </w:tc>
        <w:tc>
          <w:tcPr>
            <w:tcW w:w="0" w:type="auto"/>
            <w:vAlign w:val="center"/>
          </w:tcPr>
          <w:p w:rsidR="005F78FC" w:rsidRDefault="00B42EF3">
            <w:pPr>
              <w:pStyle w:val="TableBodyText"/>
            </w:pPr>
            <w:r>
              <w:t>"[ISO</w:t>
            </w:r>
            <w:r>
              <w:t>/IEC-29500-1] §17.13.5.7"</w:t>
            </w:r>
          </w:p>
        </w:tc>
      </w:tr>
      <w:tr w:rsidR="005F78FC" w:rsidTr="005F78FC">
        <w:tc>
          <w:tcPr>
            <w:tcW w:w="0" w:type="auto"/>
            <w:vAlign w:val="center"/>
          </w:tcPr>
          <w:p w:rsidR="005F78FC" w:rsidRDefault="00B42EF3">
            <w:pPr>
              <w:pStyle w:val="TableBodyText"/>
            </w:pPr>
            <w:r>
              <w:rPr>
                <w:b/>
              </w:rPr>
              <w:t>customXmlMoveFromRangeEnd</w:t>
            </w:r>
            <w:r>
              <w:t xml:space="preserve"> (Custom XML Markup Move Source End)</w:t>
            </w:r>
          </w:p>
        </w:tc>
        <w:tc>
          <w:tcPr>
            <w:tcW w:w="0" w:type="auto"/>
            <w:vAlign w:val="center"/>
          </w:tcPr>
          <w:p w:rsidR="005F78FC" w:rsidRDefault="00B42EF3">
            <w:pPr>
              <w:pStyle w:val="TableBodyText"/>
            </w:pPr>
            <w:r>
              <w:t>"[ISO/IEC-29500-1] §17.13.5.8"</w:t>
            </w:r>
          </w:p>
        </w:tc>
      </w:tr>
      <w:tr w:rsidR="005F78FC" w:rsidTr="005F78FC">
        <w:tc>
          <w:tcPr>
            <w:tcW w:w="0" w:type="auto"/>
            <w:vAlign w:val="center"/>
          </w:tcPr>
          <w:p w:rsidR="005F78FC" w:rsidRDefault="00B42EF3">
            <w:pPr>
              <w:pStyle w:val="TableBodyText"/>
            </w:pPr>
            <w:r>
              <w:rPr>
                <w:b/>
              </w:rPr>
              <w:t>customXmlMoveFromRangeStart</w:t>
            </w:r>
            <w:r>
              <w:t xml:space="preserve"> (Custom XML Markup Move Source Start)</w:t>
            </w:r>
          </w:p>
        </w:tc>
        <w:tc>
          <w:tcPr>
            <w:tcW w:w="0" w:type="auto"/>
            <w:vAlign w:val="center"/>
          </w:tcPr>
          <w:p w:rsidR="005F78FC" w:rsidRDefault="00B42EF3">
            <w:pPr>
              <w:pStyle w:val="TableBodyText"/>
            </w:pPr>
            <w:r>
              <w:t>"[ISO/IEC-29500-1] §17.13.5.9"</w:t>
            </w:r>
          </w:p>
        </w:tc>
      </w:tr>
      <w:tr w:rsidR="005F78FC" w:rsidTr="005F78FC">
        <w:tc>
          <w:tcPr>
            <w:tcW w:w="0" w:type="auto"/>
            <w:vAlign w:val="center"/>
          </w:tcPr>
          <w:p w:rsidR="005F78FC" w:rsidRDefault="00B42EF3">
            <w:pPr>
              <w:pStyle w:val="TableBodyText"/>
            </w:pPr>
            <w:r>
              <w:rPr>
                <w:b/>
              </w:rPr>
              <w:lastRenderedPageBreak/>
              <w:t>customXmlMoveToRangeEnd</w:t>
            </w:r>
            <w:r>
              <w:t xml:space="preserve"> (Custom XML Markup Move Destination Location End)</w:t>
            </w:r>
          </w:p>
        </w:tc>
        <w:tc>
          <w:tcPr>
            <w:tcW w:w="0" w:type="auto"/>
            <w:vAlign w:val="center"/>
          </w:tcPr>
          <w:p w:rsidR="005F78FC" w:rsidRDefault="00B42EF3">
            <w:pPr>
              <w:pStyle w:val="TableBodyText"/>
            </w:pPr>
            <w:r>
              <w:t>"[ISO/IEC-29500-1] §17.13.5.10"</w:t>
            </w:r>
          </w:p>
        </w:tc>
      </w:tr>
      <w:tr w:rsidR="005F78FC" w:rsidTr="005F78FC">
        <w:tc>
          <w:tcPr>
            <w:tcW w:w="0" w:type="auto"/>
            <w:vAlign w:val="center"/>
          </w:tcPr>
          <w:p w:rsidR="005F78FC" w:rsidRDefault="00B42EF3">
            <w:pPr>
              <w:pStyle w:val="TableBodyText"/>
            </w:pPr>
            <w:r>
              <w:rPr>
                <w:b/>
              </w:rPr>
              <w:t>customXmlMoveToRangeStart</w:t>
            </w:r>
            <w:r>
              <w:t xml:space="preserve"> (Custom XML Markup Move Destination Location Start)</w:t>
            </w:r>
          </w:p>
        </w:tc>
        <w:tc>
          <w:tcPr>
            <w:tcW w:w="0" w:type="auto"/>
            <w:vAlign w:val="center"/>
          </w:tcPr>
          <w:p w:rsidR="005F78FC" w:rsidRDefault="00B42EF3">
            <w:pPr>
              <w:pStyle w:val="TableBodyText"/>
            </w:pPr>
            <w:r>
              <w:t>"[ISO/IEC-29500-1] §17.13.5.11"</w:t>
            </w:r>
          </w:p>
        </w:tc>
      </w:tr>
      <w:tr w:rsidR="005F78FC" w:rsidTr="005F78FC">
        <w:tc>
          <w:tcPr>
            <w:tcW w:w="0" w:type="auto"/>
            <w:vAlign w:val="center"/>
          </w:tcPr>
          <w:p w:rsidR="005F78FC" w:rsidRDefault="00B42EF3">
            <w:pPr>
              <w:pStyle w:val="TableBodyText"/>
            </w:pPr>
            <w:r>
              <w:rPr>
                <w:b/>
              </w:rPr>
              <w:t>moveFromRangeEnd</w:t>
            </w:r>
            <w:r>
              <w:t xml:space="preserve"> (Move Source Location Container - End)</w:t>
            </w:r>
          </w:p>
        </w:tc>
        <w:tc>
          <w:tcPr>
            <w:tcW w:w="0" w:type="auto"/>
            <w:vAlign w:val="center"/>
          </w:tcPr>
          <w:p w:rsidR="005F78FC" w:rsidRDefault="00B42EF3">
            <w:pPr>
              <w:pStyle w:val="TableBodyText"/>
            </w:pPr>
            <w:r>
              <w:t>"[ISO</w:t>
            </w:r>
            <w:r>
              <w:t>/IEC-29500-1] §17.13.5.23"</w:t>
            </w:r>
          </w:p>
        </w:tc>
      </w:tr>
      <w:tr w:rsidR="005F78FC" w:rsidTr="005F78FC">
        <w:tc>
          <w:tcPr>
            <w:tcW w:w="0" w:type="auto"/>
            <w:vAlign w:val="center"/>
          </w:tcPr>
          <w:p w:rsidR="005F78FC" w:rsidRDefault="00B42EF3">
            <w:pPr>
              <w:pStyle w:val="TableBodyText"/>
            </w:pPr>
            <w:r>
              <w:rPr>
                <w:b/>
              </w:rPr>
              <w:t>moveFromRangeStart</w:t>
            </w:r>
            <w:r>
              <w:t xml:space="preserve"> (Move Source Location Container - Start)</w:t>
            </w:r>
          </w:p>
        </w:tc>
        <w:tc>
          <w:tcPr>
            <w:tcW w:w="0" w:type="auto"/>
            <w:vAlign w:val="center"/>
          </w:tcPr>
          <w:p w:rsidR="005F78FC" w:rsidRDefault="00B42EF3">
            <w:pPr>
              <w:pStyle w:val="TableBodyText"/>
            </w:pPr>
            <w:r>
              <w:t>"[ISO/IEC-29500-1] §17.13.5.24"</w:t>
            </w:r>
          </w:p>
        </w:tc>
      </w:tr>
      <w:tr w:rsidR="005F78FC" w:rsidTr="005F78FC">
        <w:tc>
          <w:tcPr>
            <w:tcW w:w="0" w:type="auto"/>
            <w:vAlign w:val="center"/>
          </w:tcPr>
          <w:p w:rsidR="005F78FC" w:rsidRDefault="00B42EF3">
            <w:pPr>
              <w:pStyle w:val="TableBodyText"/>
            </w:pPr>
            <w:r>
              <w:rPr>
                <w:b/>
              </w:rPr>
              <w:t>moveToRangeEnd</w:t>
            </w:r>
            <w:r>
              <w:t xml:space="preserve"> (Move Destination Location Container - End)</w:t>
            </w:r>
          </w:p>
        </w:tc>
        <w:tc>
          <w:tcPr>
            <w:tcW w:w="0" w:type="auto"/>
            <w:vAlign w:val="center"/>
          </w:tcPr>
          <w:p w:rsidR="005F78FC" w:rsidRDefault="00B42EF3">
            <w:pPr>
              <w:pStyle w:val="TableBodyText"/>
            </w:pPr>
            <w:r>
              <w:t>"[ISO/IEC-29500-1] §17.13.5.27"</w:t>
            </w:r>
          </w:p>
        </w:tc>
      </w:tr>
      <w:tr w:rsidR="005F78FC" w:rsidTr="005F78FC">
        <w:tc>
          <w:tcPr>
            <w:tcW w:w="0" w:type="auto"/>
            <w:vAlign w:val="center"/>
          </w:tcPr>
          <w:p w:rsidR="005F78FC" w:rsidRDefault="00B42EF3">
            <w:pPr>
              <w:pStyle w:val="TableBodyText"/>
            </w:pPr>
            <w:r>
              <w:rPr>
                <w:b/>
              </w:rPr>
              <w:t>moveToRangeStart</w:t>
            </w:r>
            <w:r>
              <w:t xml:space="preserve"> (Move Destination Location</w:t>
            </w:r>
            <w:r>
              <w:t xml:space="preserve"> Container - Start)</w:t>
            </w:r>
          </w:p>
        </w:tc>
        <w:tc>
          <w:tcPr>
            <w:tcW w:w="0" w:type="auto"/>
            <w:vAlign w:val="center"/>
          </w:tcPr>
          <w:p w:rsidR="005F78FC" w:rsidRDefault="00B42EF3">
            <w:pPr>
              <w:pStyle w:val="TableBodyText"/>
            </w:pPr>
            <w:r>
              <w:t>"[ISO/IEC-29500-1] §17.13.5.28"</w:t>
            </w:r>
          </w:p>
        </w:tc>
      </w:tr>
      <w:tr w:rsidR="005F78FC" w:rsidTr="005F78FC">
        <w:tc>
          <w:tcPr>
            <w:tcW w:w="0" w:type="auto"/>
            <w:vAlign w:val="center"/>
          </w:tcPr>
          <w:p w:rsidR="005F78FC" w:rsidRDefault="00B42EF3">
            <w:pPr>
              <w:pStyle w:val="TableBodyText"/>
            </w:pPr>
            <w:r>
              <w:rPr>
                <w:b/>
              </w:rPr>
              <w:t>sdtContent</w:t>
            </w:r>
            <w:r>
              <w:t xml:space="preserve"> (Ruby Inline-Level Structured Document Tag Content)</w:t>
            </w:r>
          </w:p>
        </w:tc>
        <w:tc>
          <w:tcPr>
            <w:tcW w:w="0" w:type="auto"/>
            <w:vAlign w:val="center"/>
          </w:tcPr>
          <w:p w:rsidR="005F78FC" w:rsidRDefault="00B42EF3">
            <w:pPr>
              <w:pStyle w:val="TableBodyText"/>
            </w:pPr>
            <w:r>
              <w:t>§3.1.3.1.7, sdtContent</w:t>
            </w:r>
          </w:p>
        </w:tc>
      </w:tr>
      <w:tr w:rsidR="005F78FC" w:rsidTr="005F78FC">
        <w:tc>
          <w:tcPr>
            <w:tcW w:w="0" w:type="auto"/>
            <w:vAlign w:val="center"/>
          </w:tcPr>
          <w:p w:rsidR="005F78FC" w:rsidRDefault="00B42EF3">
            <w:pPr>
              <w:pStyle w:val="TableBodyText"/>
            </w:pPr>
            <w:r>
              <w:rPr>
                <w:b/>
              </w:rPr>
              <w:t>sdtEndPr</w:t>
            </w:r>
            <w:r>
              <w:t xml:space="preserve"> (Structured Document Tag End Character Properties)</w:t>
            </w:r>
          </w:p>
        </w:tc>
        <w:tc>
          <w:tcPr>
            <w:tcW w:w="0" w:type="auto"/>
            <w:vAlign w:val="center"/>
          </w:tcPr>
          <w:p w:rsidR="005F78FC" w:rsidRDefault="00B42EF3">
            <w:pPr>
              <w:pStyle w:val="TableBodyText"/>
            </w:pPr>
            <w:r>
              <w:t>"[ISO/IEC-29500-1] §17.5.2.37"</w:t>
            </w:r>
          </w:p>
        </w:tc>
      </w:tr>
      <w:tr w:rsidR="005F78FC" w:rsidTr="005F78FC">
        <w:tc>
          <w:tcPr>
            <w:tcW w:w="0" w:type="auto"/>
            <w:vAlign w:val="center"/>
          </w:tcPr>
          <w:p w:rsidR="005F78FC" w:rsidRDefault="00B42EF3">
            <w:pPr>
              <w:pStyle w:val="TableBodyText"/>
            </w:pPr>
            <w:r>
              <w:rPr>
                <w:b/>
              </w:rPr>
              <w:t>sdtPr</w:t>
            </w:r>
            <w:r>
              <w:t xml:space="preserve"> (Structured Document Tag Properties)</w:t>
            </w:r>
          </w:p>
        </w:tc>
        <w:tc>
          <w:tcPr>
            <w:tcW w:w="0" w:type="auto"/>
            <w:vAlign w:val="center"/>
          </w:tcPr>
          <w:p w:rsidR="005F78FC" w:rsidRDefault="00B42EF3">
            <w:pPr>
              <w:pStyle w:val="TableBodyText"/>
            </w:pPr>
            <w:r>
              <w:t>"[ISO/IEC-29500-1] §17.5.2.38"</w:t>
            </w:r>
          </w:p>
        </w:tc>
      </w:tr>
    </w:tbl>
    <w:p w:rsidR="005F78FC" w:rsidRDefault="005F78FC"/>
    <w:p w:rsidR="005F78FC" w:rsidRDefault="00B42EF3">
      <w:r>
        <w:t>The following XML Schema fragment defines the contents of this element:</w:t>
      </w:r>
    </w:p>
    <w:p w:rsidR="005F78FC" w:rsidRDefault="00B42EF3">
      <w:pPr>
        <w:pStyle w:val="Code"/>
      </w:pPr>
      <w:r>
        <w:t>&lt;complexType name="CT_SdtRunRuby"&gt;</w:t>
      </w:r>
    </w:p>
    <w:p w:rsidR="005F78FC" w:rsidRDefault="00B42EF3">
      <w:pPr>
        <w:pStyle w:val="Code"/>
      </w:pPr>
      <w:r>
        <w:t xml:space="preserve">  &lt;sequence&gt;</w:t>
      </w:r>
    </w:p>
    <w:p w:rsidR="005F78FC" w:rsidRDefault="00B42EF3">
      <w:pPr>
        <w:pStyle w:val="Code"/>
      </w:pPr>
      <w:r>
        <w:t xml:space="preserve">    &lt;</w:t>
      </w:r>
      <w:r>
        <w:t>element name="sdtPr" type="CT_SdtPr" minOccurs="0" maxOccurs="1"/&gt;</w:t>
      </w:r>
    </w:p>
    <w:p w:rsidR="005F78FC" w:rsidRDefault="00B42EF3">
      <w:pPr>
        <w:pStyle w:val="Code"/>
      </w:pPr>
      <w:r>
        <w:t xml:space="preserve">    &lt;element name="sdtEndPr" type="CT_SdtEndPr" minOccurs="0" maxOccurs="1"/&gt;</w:t>
      </w:r>
    </w:p>
    <w:p w:rsidR="005F78FC" w:rsidRDefault="00B42EF3">
      <w:pPr>
        <w:pStyle w:val="Code"/>
      </w:pPr>
      <w:r>
        <w:t xml:space="preserve">    &lt;element name="sdtContent" type="CT_SdtContentRunRuby" minOccurs="0" maxOccurs="1"/&gt;</w:t>
      </w:r>
    </w:p>
    <w:p w:rsidR="005F78FC" w:rsidRDefault="00B42EF3">
      <w:pPr>
        <w:pStyle w:val="Code"/>
      </w:pPr>
      <w:r>
        <w:t xml:space="preserve">    &lt;group ref="EG_Ran</w:t>
      </w:r>
      <w:r>
        <w:t>geMarkupElements" minOccurs="0" maxOccurs="unbounded"/&gt;</w:t>
      </w:r>
    </w:p>
    <w:p w:rsidR="005F78FC" w:rsidRDefault="00B42EF3">
      <w:pPr>
        <w:pStyle w:val="Code"/>
      </w:pPr>
      <w:r>
        <w:t xml:space="preserve">  &lt;/sequence&gt;</w:t>
      </w:r>
    </w:p>
    <w:p w:rsidR="005F78FC" w:rsidRDefault="00B42EF3">
      <w:pPr>
        <w:pStyle w:val="Code"/>
      </w:pPr>
      <w:r>
        <w:t>&lt;/complexType&gt;</w:t>
      </w:r>
    </w:p>
    <w:p w:rsidR="005F78FC" w:rsidRDefault="00B42EF3">
      <w:pPr>
        <w:pStyle w:val="Heading5"/>
      </w:pPr>
      <w:bookmarkStart w:id="3898" w:name="section_a3757e691f9b4322b17edee4d308d29e"/>
      <w:bookmarkStart w:id="3899" w:name="_Toc69879722"/>
      <w:r>
        <w:t>sdtContent (Ruby Inline-Level Structured Document Tag Content)</w:t>
      </w:r>
      <w:bookmarkEnd w:id="3898"/>
      <w:bookmarkEnd w:id="3899"/>
      <w:r>
        <w:fldChar w:fldCharType="begin"/>
      </w:r>
      <w:r>
        <w:instrText xml:space="preserve"> XE "sdtContent (Ruby Inline-Level Structured Document Tag Content)" </w:instrText>
      </w:r>
      <w:r>
        <w:fldChar w:fldCharType="end"/>
      </w:r>
    </w:p>
    <w:p w:rsidR="005F78FC" w:rsidRDefault="00B42EF3">
      <w:r>
        <w:t>This element specifies the last known</w:t>
      </w:r>
      <w:r>
        <w:t xml:space="preserve"> contents of a structured document tag around one or more inline-level structures (runs, DrawingML objects, fields, and so on). This element's contents shall be treated as a cache of the contents to be displayed in the structured document tag for the follo</w:t>
      </w:r>
      <w:r>
        <w:t>wing reasons:</w:t>
      </w:r>
    </w:p>
    <w:p w:rsidR="005F78FC" w:rsidRDefault="00B42EF3">
      <w:pPr>
        <w:pStyle w:val="ListParagraph"/>
        <w:numPr>
          <w:ilvl w:val="0"/>
          <w:numId w:val="198"/>
        </w:numPr>
        <w:contextualSpacing/>
      </w:pPr>
      <w:r>
        <w:t xml:space="preserve">If the structured document tag specifies an XML mapping via the </w:t>
      </w:r>
      <w:r>
        <w:rPr>
          <w:b/>
        </w:rPr>
        <w:t>dataBinding</w:t>
      </w:r>
      <w:r>
        <w:t xml:space="preserve"> element (§"</w:t>
      </w:r>
      <w:hyperlink r:id="rId297">
        <w:r>
          <w:rPr>
            <w:rStyle w:val="Hyperlink"/>
          </w:rPr>
          <w:t>[ISO/IEC-29500-1]</w:t>
        </w:r>
      </w:hyperlink>
      <w:r>
        <w:t xml:space="preserve"> §17.5.2.6; dataBinding"), changes to the custom XML data part shall be </w:t>
      </w:r>
      <w:r>
        <w:t>reflected in the structured document tag as needed</w:t>
      </w:r>
    </w:p>
    <w:p w:rsidR="005F78FC" w:rsidRDefault="00B42EF3">
      <w:pPr>
        <w:pStyle w:val="ListParagraph"/>
        <w:numPr>
          <w:ilvl w:val="0"/>
          <w:numId w:val="198"/>
        </w:numPr>
      </w:pPr>
      <w:r>
        <w:t xml:space="preserve">If the contents of the structured document tag are placeholder text via the </w:t>
      </w:r>
      <w:r>
        <w:rPr>
          <w:b/>
        </w:rPr>
        <w:t>showingPlcHdr</w:t>
      </w:r>
      <w:r>
        <w:t xml:space="preserve"> element (§"[ISO/IEC-29500-1] §17.5.2.39; showingPlcHdr"), then this content may be updated with the placeholder tex</w:t>
      </w:r>
      <w:r>
        <w:t>t stored in the Glossary Document part</w:t>
      </w:r>
    </w:p>
    <w:p w:rsidR="005F78FC" w:rsidRDefault="00B42EF3">
      <w:r>
        <w:t xml:space="preserve">[Example: Consider a structured document tag with the friendly name </w:t>
      </w:r>
      <w:r>
        <w:rPr>
          <w:i/>
        </w:rPr>
        <w:t>firstName</w:t>
      </w:r>
      <w:r>
        <w:t xml:space="preserve"> that shall be located around two runs in a WordprocessingML document. This requirement would be specified as follows in the WordprocessingM</w:t>
      </w:r>
      <w:r>
        <w:t>L:</w:t>
      </w:r>
    </w:p>
    <w:p w:rsidR="005F78FC" w:rsidRDefault="00B42EF3">
      <w:pPr>
        <w:pStyle w:val="Code"/>
      </w:pPr>
      <w:r>
        <w:t>&lt;w:p&gt;</w:t>
      </w:r>
    </w:p>
    <w:p w:rsidR="005F78FC" w:rsidRDefault="00B42EF3">
      <w:pPr>
        <w:pStyle w:val="Code"/>
      </w:pPr>
      <w:r>
        <w:t xml:space="preserve">  &lt;w:sdt&gt;</w:t>
      </w:r>
    </w:p>
    <w:p w:rsidR="005F78FC" w:rsidRDefault="00B42EF3">
      <w:pPr>
        <w:pStyle w:val="Code"/>
      </w:pPr>
      <w:r>
        <w:lastRenderedPageBreak/>
        <w:t xml:space="preserve">    &lt;w:sdtPr&gt;</w:t>
      </w:r>
    </w:p>
    <w:p w:rsidR="005F78FC" w:rsidRDefault="00B42EF3">
      <w:pPr>
        <w:pStyle w:val="Code"/>
      </w:pPr>
      <w:r>
        <w:t xml:space="preserve">      &lt;w:alias w:val="firstName"/&gt;</w:t>
      </w:r>
    </w:p>
    <w:p w:rsidR="005F78FC" w:rsidRDefault="00B42EF3">
      <w:pPr>
        <w:pStyle w:val="Code"/>
      </w:pPr>
      <w:r>
        <w:t xml:space="preserve">    &lt;/w:sdtPr&gt;</w:t>
      </w:r>
    </w:p>
    <w:p w:rsidR="005F78FC" w:rsidRDefault="00B42EF3">
      <w:pPr>
        <w:pStyle w:val="Code"/>
      </w:pPr>
      <w:r>
        <w:t xml:space="preserve">    &lt;w:sdtContent&gt;</w:t>
      </w:r>
    </w:p>
    <w:p w:rsidR="005F78FC" w:rsidRDefault="00B42EF3">
      <w:pPr>
        <w:pStyle w:val="Code"/>
      </w:pPr>
      <w:r>
        <w:t xml:space="preserve">      &lt;w:r&gt;</w:t>
      </w:r>
    </w:p>
    <w:p w:rsidR="005F78FC" w:rsidRDefault="00B42EF3">
      <w:pPr>
        <w:pStyle w:val="Code"/>
      </w:pPr>
      <w:r>
        <w:t xml:space="preserve">        …</w:t>
      </w:r>
    </w:p>
    <w:p w:rsidR="005F78FC" w:rsidRDefault="00B42EF3">
      <w:pPr>
        <w:pStyle w:val="Code"/>
      </w:pPr>
      <w:r>
        <w:t xml:space="preserve">      &lt;/w:r&gt;</w:t>
      </w:r>
    </w:p>
    <w:p w:rsidR="005F78FC" w:rsidRDefault="00B42EF3">
      <w:pPr>
        <w:pStyle w:val="Code"/>
      </w:pPr>
      <w:r>
        <w:t xml:space="preserve">      &lt;w:r&gt;</w:t>
      </w:r>
    </w:p>
    <w:p w:rsidR="005F78FC" w:rsidRDefault="00B42EF3">
      <w:pPr>
        <w:pStyle w:val="Code"/>
      </w:pPr>
      <w:r>
        <w:t xml:space="preserve">        …</w:t>
      </w:r>
    </w:p>
    <w:p w:rsidR="005F78FC" w:rsidRDefault="00B42EF3">
      <w:pPr>
        <w:pStyle w:val="Code"/>
      </w:pPr>
      <w:r>
        <w:t xml:space="preserve">      &lt;/w:r&gt;</w:t>
      </w:r>
    </w:p>
    <w:p w:rsidR="005F78FC" w:rsidRDefault="00B42EF3">
      <w:pPr>
        <w:pStyle w:val="Code"/>
      </w:pPr>
      <w:r>
        <w:t xml:space="preserve">    &lt;/w:sdtContent&gt;</w:t>
      </w:r>
    </w:p>
    <w:p w:rsidR="005F78FC" w:rsidRDefault="00B42EF3">
      <w:pPr>
        <w:pStyle w:val="Code"/>
      </w:pPr>
      <w:r>
        <w:t xml:space="preserve">  &lt;/w:sdt&gt;</w:t>
      </w:r>
    </w:p>
    <w:p w:rsidR="005F78FC" w:rsidRDefault="00B42EF3">
      <w:pPr>
        <w:pStyle w:val="Code"/>
      </w:pPr>
      <w:r>
        <w:t xml:space="preserve">  …</w:t>
      </w:r>
    </w:p>
    <w:p w:rsidR="005F78FC" w:rsidRDefault="00B42EF3">
      <w:pPr>
        <w:pStyle w:val="Code"/>
      </w:pPr>
      <w:r>
        <w:t>&lt;/w:p&gt;</w:t>
      </w:r>
    </w:p>
    <w:p w:rsidR="005F78FC" w:rsidRDefault="00B42EF3">
      <w:r>
        <w:t xml:space="preserve">The </w:t>
      </w:r>
      <w:r>
        <w:rPr>
          <w:b/>
        </w:rPr>
        <w:t>sdtContent</w:t>
      </w:r>
      <w:r>
        <w:t xml:space="preserve"> element contains two adjacent runs (it is an inline-level structured document tag content container). end example]</w:t>
      </w:r>
    </w:p>
    <w:tbl>
      <w:tblPr>
        <w:tblStyle w:val="Table-ShadedHeader"/>
        <w:tblW w:w="0" w:type="auto"/>
        <w:tblLook w:val="04A0" w:firstRow="1" w:lastRow="0" w:firstColumn="1" w:lastColumn="0" w:noHBand="0" w:noVBand="1"/>
      </w:tblPr>
      <w:tblGrid>
        <w:gridCol w:w="1915"/>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Parent Elements</w:t>
            </w:r>
          </w:p>
        </w:tc>
      </w:tr>
      <w:tr w:rsidR="005F78FC" w:rsidTr="005F78FC">
        <w:tc>
          <w:tcPr>
            <w:tcW w:w="0" w:type="auto"/>
            <w:vAlign w:val="center"/>
          </w:tcPr>
          <w:p w:rsidR="005F78FC" w:rsidRDefault="00B42EF3">
            <w:pPr>
              <w:pStyle w:val="TableBodyText"/>
            </w:pPr>
            <w:r>
              <w:rPr>
                <w:b/>
              </w:rPr>
              <w:t>sdt</w:t>
            </w:r>
            <w:r>
              <w:t xml:space="preserve"> (§</w:t>
            </w:r>
            <w:hyperlink w:anchor="Section_808b32d8ad644c849fb585ad68be54b9">
              <w:r>
                <w:rPr>
                  <w:rStyle w:val="Hyperlink"/>
                </w:rPr>
                <w:t>3.1.3.1.6, sdt</w:t>
              </w:r>
            </w:hyperlink>
            <w:r>
              <w:t>)</w:t>
            </w:r>
          </w:p>
        </w:tc>
      </w:tr>
    </w:tbl>
    <w:p w:rsidR="005F78FC" w:rsidRDefault="005F78FC"/>
    <w:p w:rsidR="005F78FC" w:rsidRDefault="005F78FC"/>
    <w:tbl>
      <w:tblPr>
        <w:tblStyle w:val="Table-ShadedHeader"/>
        <w:tblW w:w="0" w:type="auto"/>
        <w:tblLook w:val="04A0" w:firstRow="1" w:lastRow="0" w:firstColumn="1" w:lastColumn="0" w:noHBand="0" w:noVBand="1"/>
      </w:tblPr>
      <w:tblGrid>
        <w:gridCol w:w="6758"/>
        <w:gridCol w:w="2717"/>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Child Elements</w:t>
            </w:r>
          </w:p>
        </w:tc>
        <w:tc>
          <w:tcPr>
            <w:tcW w:w="0" w:type="auto"/>
            <w:vAlign w:val="center"/>
          </w:tcPr>
          <w:p w:rsidR="005F78FC" w:rsidRDefault="00B42EF3">
            <w:pPr>
              <w:pStyle w:val="TableHeaderText"/>
            </w:pPr>
            <w:r>
              <w:t>Subclause</w:t>
            </w:r>
          </w:p>
        </w:tc>
      </w:tr>
      <w:tr w:rsidR="005F78FC" w:rsidTr="005F78FC">
        <w:tc>
          <w:tcPr>
            <w:tcW w:w="0" w:type="auto"/>
            <w:vAlign w:val="center"/>
          </w:tcPr>
          <w:p w:rsidR="005F78FC" w:rsidRDefault="00B42EF3">
            <w:pPr>
              <w:pStyle w:val="TableBodyText"/>
            </w:pPr>
            <w:r>
              <w:rPr>
                <w:b/>
              </w:rPr>
              <w:t>acc</w:t>
            </w:r>
            <w:r>
              <w:t xml:space="preserve"> (Accent)</w:t>
            </w:r>
          </w:p>
        </w:tc>
        <w:tc>
          <w:tcPr>
            <w:tcW w:w="0" w:type="auto"/>
            <w:vAlign w:val="center"/>
          </w:tcPr>
          <w:p w:rsidR="005F78FC" w:rsidRDefault="00B42EF3">
            <w:pPr>
              <w:pStyle w:val="TableBodyText"/>
            </w:pPr>
            <w:r>
              <w:t>"[ISO/IEC-29500-1] §22.1.2.1"</w:t>
            </w:r>
          </w:p>
        </w:tc>
      </w:tr>
      <w:tr w:rsidR="005F78FC" w:rsidTr="005F78FC">
        <w:tc>
          <w:tcPr>
            <w:tcW w:w="0" w:type="auto"/>
            <w:vAlign w:val="center"/>
          </w:tcPr>
          <w:p w:rsidR="005F78FC" w:rsidRDefault="00B42EF3">
            <w:pPr>
              <w:pStyle w:val="TableBodyText"/>
            </w:pPr>
            <w:r>
              <w:rPr>
                <w:b/>
              </w:rPr>
              <w:t>bar</w:t>
            </w:r>
            <w:r>
              <w:t xml:space="preserve"> (Bar)</w:t>
            </w:r>
          </w:p>
        </w:tc>
        <w:tc>
          <w:tcPr>
            <w:tcW w:w="0" w:type="auto"/>
            <w:vAlign w:val="center"/>
          </w:tcPr>
          <w:p w:rsidR="005F78FC" w:rsidRDefault="00B42EF3">
            <w:pPr>
              <w:pStyle w:val="TableBodyText"/>
            </w:pPr>
            <w:r>
              <w:t>"[ISO/IEC-29500-1] §22.1.2.7"</w:t>
            </w:r>
          </w:p>
        </w:tc>
      </w:tr>
      <w:tr w:rsidR="005F78FC" w:rsidTr="005F78FC">
        <w:tc>
          <w:tcPr>
            <w:tcW w:w="0" w:type="auto"/>
            <w:vAlign w:val="center"/>
          </w:tcPr>
          <w:p w:rsidR="005F78FC" w:rsidRDefault="00B42EF3">
            <w:pPr>
              <w:pStyle w:val="TableBodyText"/>
            </w:pPr>
            <w:r>
              <w:rPr>
                <w:b/>
              </w:rPr>
              <w:t>bookmarkEnd</w:t>
            </w:r>
            <w:r>
              <w:t xml:space="preserve"> (Bookmark End)</w:t>
            </w:r>
          </w:p>
        </w:tc>
        <w:tc>
          <w:tcPr>
            <w:tcW w:w="0" w:type="auto"/>
            <w:vAlign w:val="center"/>
          </w:tcPr>
          <w:p w:rsidR="005F78FC" w:rsidRDefault="00B42EF3">
            <w:pPr>
              <w:pStyle w:val="TableBodyText"/>
            </w:pPr>
            <w:r>
              <w:t>"[ISO/IEC-29500-1] §17.13.6.1"</w:t>
            </w:r>
          </w:p>
        </w:tc>
      </w:tr>
      <w:tr w:rsidR="005F78FC" w:rsidTr="005F78FC">
        <w:tc>
          <w:tcPr>
            <w:tcW w:w="0" w:type="auto"/>
            <w:vAlign w:val="center"/>
          </w:tcPr>
          <w:p w:rsidR="005F78FC" w:rsidRDefault="00B42EF3">
            <w:pPr>
              <w:pStyle w:val="TableBodyText"/>
            </w:pPr>
            <w:r>
              <w:rPr>
                <w:b/>
              </w:rPr>
              <w:t>bookmarkStart</w:t>
            </w:r>
            <w:r>
              <w:t xml:space="preserve"> (Bookmark Start)</w:t>
            </w:r>
          </w:p>
        </w:tc>
        <w:tc>
          <w:tcPr>
            <w:tcW w:w="0" w:type="auto"/>
            <w:vAlign w:val="center"/>
          </w:tcPr>
          <w:p w:rsidR="005F78FC" w:rsidRDefault="00B42EF3">
            <w:pPr>
              <w:pStyle w:val="TableBodyText"/>
            </w:pPr>
            <w:r>
              <w:t>"[ISO/IEC-29500-1] §17.13.6.2"</w:t>
            </w:r>
          </w:p>
        </w:tc>
      </w:tr>
      <w:tr w:rsidR="005F78FC" w:rsidTr="005F78FC">
        <w:tc>
          <w:tcPr>
            <w:tcW w:w="0" w:type="auto"/>
            <w:vAlign w:val="center"/>
          </w:tcPr>
          <w:p w:rsidR="005F78FC" w:rsidRDefault="00B42EF3">
            <w:pPr>
              <w:pStyle w:val="TableBodyText"/>
            </w:pPr>
            <w:r>
              <w:rPr>
                <w:b/>
              </w:rPr>
              <w:t>borderBox</w:t>
            </w:r>
            <w:r>
              <w:t xml:space="preserve"> (Border-Box Object)</w:t>
            </w:r>
          </w:p>
        </w:tc>
        <w:tc>
          <w:tcPr>
            <w:tcW w:w="0" w:type="auto"/>
            <w:vAlign w:val="center"/>
          </w:tcPr>
          <w:p w:rsidR="005F78FC" w:rsidRDefault="00B42EF3">
            <w:pPr>
              <w:pStyle w:val="TableBodyText"/>
            </w:pPr>
            <w:r>
              <w:t>"[ISO/IEC-29500-1]</w:t>
            </w:r>
            <w:r>
              <w:t xml:space="preserve"> §22.1.2.11"</w:t>
            </w:r>
          </w:p>
        </w:tc>
      </w:tr>
      <w:tr w:rsidR="005F78FC" w:rsidTr="005F78FC">
        <w:tc>
          <w:tcPr>
            <w:tcW w:w="0" w:type="auto"/>
            <w:vAlign w:val="center"/>
          </w:tcPr>
          <w:p w:rsidR="005F78FC" w:rsidRDefault="00B42EF3">
            <w:pPr>
              <w:pStyle w:val="TableBodyText"/>
            </w:pPr>
            <w:r>
              <w:rPr>
                <w:b/>
              </w:rPr>
              <w:t>box</w:t>
            </w:r>
            <w:r>
              <w:t xml:space="preserve"> (Box Object)</w:t>
            </w:r>
          </w:p>
        </w:tc>
        <w:tc>
          <w:tcPr>
            <w:tcW w:w="0" w:type="auto"/>
            <w:vAlign w:val="center"/>
          </w:tcPr>
          <w:p w:rsidR="005F78FC" w:rsidRDefault="00B42EF3">
            <w:pPr>
              <w:pStyle w:val="TableBodyText"/>
            </w:pPr>
            <w:r>
              <w:t>"[ISO/IEC-29500-1] §22.1.2.13"</w:t>
            </w:r>
          </w:p>
        </w:tc>
      </w:tr>
      <w:tr w:rsidR="005F78FC" w:rsidTr="005F78FC">
        <w:tc>
          <w:tcPr>
            <w:tcW w:w="0" w:type="auto"/>
            <w:vAlign w:val="center"/>
          </w:tcPr>
          <w:p w:rsidR="005F78FC" w:rsidRDefault="00B42EF3">
            <w:pPr>
              <w:pStyle w:val="TableBodyText"/>
            </w:pPr>
            <w:r>
              <w:rPr>
                <w:b/>
              </w:rPr>
              <w:t>commentRangeEnd</w:t>
            </w:r>
            <w:r>
              <w:t xml:space="preserve"> (Comment Anchor Range End)</w:t>
            </w:r>
          </w:p>
        </w:tc>
        <w:tc>
          <w:tcPr>
            <w:tcW w:w="0" w:type="auto"/>
            <w:vAlign w:val="center"/>
          </w:tcPr>
          <w:p w:rsidR="005F78FC" w:rsidRDefault="00B42EF3">
            <w:pPr>
              <w:pStyle w:val="TableBodyText"/>
            </w:pPr>
            <w:r>
              <w:t>"[ISO/IEC-29500-1] §17.13.4.3"</w:t>
            </w:r>
          </w:p>
        </w:tc>
      </w:tr>
      <w:tr w:rsidR="005F78FC" w:rsidTr="005F78FC">
        <w:tc>
          <w:tcPr>
            <w:tcW w:w="0" w:type="auto"/>
            <w:vAlign w:val="center"/>
          </w:tcPr>
          <w:p w:rsidR="005F78FC" w:rsidRDefault="00B42EF3">
            <w:pPr>
              <w:pStyle w:val="TableBodyText"/>
            </w:pPr>
            <w:r>
              <w:rPr>
                <w:b/>
              </w:rPr>
              <w:t>commentRangeStart</w:t>
            </w:r>
            <w:r>
              <w:t xml:space="preserve"> (Comment Anchor Range Start)</w:t>
            </w:r>
          </w:p>
        </w:tc>
        <w:tc>
          <w:tcPr>
            <w:tcW w:w="0" w:type="auto"/>
            <w:vAlign w:val="center"/>
          </w:tcPr>
          <w:p w:rsidR="005F78FC" w:rsidRDefault="00B42EF3">
            <w:pPr>
              <w:pStyle w:val="TableBodyText"/>
            </w:pPr>
            <w:r>
              <w:t>"[ISO/IEC-29500-1] §17.13.4.4"</w:t>
            </w:r>
          </w:p>
        </w:tc>
      </w:tr>
      <w:tr w:rsidR="005F78FC" w:rsidTr="005F78FC">
        <w:tc>
          <w:tcPr>
            <w:tcW w:w="0" w:type="auto"/>
            <w:vAlign w:val="center"/>
          </w:tcPr>
          <w:p w:rsidR="005F78FC" w:rsidRDefault="00B42EF3">
            <w:pPr>
              <w:pStyle w:val="TableBodyText"/>
            </w:pPr>
            <w:r>
              <w:rPr>
                <w:b/>
              </w:rPr>
              <w:t>customXml</w:t>
            </w:r>
            <w:r>
              <w:t xml:space="preserve"> (Ruby Inline-Level Custom XML</w:t>
            </w:r>
            <w:r>
              <w:t xml:space="preserve"> Element)</w:t>
            </w:r>
          </w:p>
        </w:tc>
        <w:tc>
          <w:tcPr>
            <w:tcW w:w="0" w:type="auto"/>
            <w:vAlign w:val="center"/>
          </w:tcPr>
          <w:p w:rsidR="005F78FC" w:rsidRDefault="00B42EF3">
            <w:pPr>
              <w:pStyle w:val="TableBodyText"/>
            </w:pPr>
            <w:r>
              <w:t>§</w:t>
            </w:r>
            <w:hyperlink w:anchor="Section_d188da3eb34b4445b3a0118155f75ff3">
              <w:r>
                <w:rPr>
                  <w:rStyle w:val="Hyperlink"/>
                </w:rPr>
                <w:t>3.1.3.1.1, customXml</w:t>
              </w:r>
            </w:hyperlink>
          </w:p>
        </w:tc>
      </w:tr>
      <w:tr w:rsidR="005F78FC" w:rsidTr="005F78FC">
        <w:tc>
          <w:tcPr>
            <w:tcW w:w="0" w:type="auto"/>
            <w:vAlign w:val="center"/>
          </w:tcPr>
          <w:p w:rsidR="005F78FC" w:rsidRDefault="00B42EF3">
            <w:pPr>
              <w:pStyle w:val="TableBodyText"/>
            </w:pPr>
            <w:r>
              <w:rPr>
                <w:b/>
              </w:rPr>
              <w:t>customXmlDelRangeEnd</w:t>
            </w:r>
            <w:r>
              <w:t xml:space="preserve"> (Custom XML Markup Deletion End)</w:t>
            </w:r>
          </w:p>
        </w:tc>
        <w:tc>
          <w:tcPr>
            <w:tcW w:w="0" w:type="auto"/>
            <w:vAlign w:val="center"/>
          </w:tcPr>
          <w:p w:rsidR="005F78FC" w:rsidRDefault="00B42EF3">
            <w:pPr>
              <w:pStyle w:val="TableBodyText"/>
            </w:pPr>
            <w:r>
              <w:t>"[ISO/IEC-29500-1] §17.13.5.4"</w:t>
            </w:r>
          </w:p>
        </w:tc>
      </w:tr>
      <w:tr w:rsidR="005F78FC" w:rsidTr="005F78FC">
        <w:tc>
          <w:tcPr>
            <w:tcW w:w="0" w:type="auto"/>
            <w:vAlign w:val="center"/>
          </w:tcPr>
          <w:p w:rsidR="005F78FC" w:rsidRDefault="00B42EF3">
            <w:pPr>
              <w:pStyle w:val="TableBodyText"/>
            </w:pPr>
            <w:r>
              <w:rPr>
                <w:b/>
              </w:rPr>
              <w:t>customXmlDelRangeStart</w:t>
            </w:r>
            <w:r>
              <w:t xml:space="preserve"> (Custom XML Markup Deletion Start)</w:t>
            </w:r>
          </w:p>
        </w:tc>
        <w:tc>
          <w:tcPr>
            <w:tcW w:w="0" w:type="auto"/>
            <w:vAlign w:val="center"/>
          </w:tcPr>
          <w:p w:rsidR="005F78FC" w:rsidRDefault="00B42EF3">
            <w:pPr>
              <w:pStyle w:val="TableBodyText"/>
            </w:pPr>
            <w:r>
              <w:t>"[ISO/IEC-29500-</w:t>
            </w:r>
            <w:r>
              <w:t>1] §17.13.5.5"</w:t>
            </w:r>
          </w:p>
        </w:tc>
      </w:tr>
      <w:tr w:rsidR="005F78FC" w:rsidTr="005F78FC">
        <w:tc>
          <w:tcPr>
            <w:tcW w:w="0" w:type="auto"/>
            <w:vAlign w:val="center"/>
          </w:tcPr>
          <w:p w:rsidR="005F78FC" w:rsidRDefault="00B42EF3">
            <w:pPr>
              <w:pStyle w:val="TableBodyText"/>
            </w:pPr>
            <w:r>
              <w:rPr>
                <w:b/>
              </w:rPr>
              <w:t>customXmlInsRangeEnd</w:t>
            </w:r>
            <w:r>
              <w:t xml:space="preserve"> (Custom XML Markup Insertion End)</w:t>
            </w:r>
          </w:p>
        </w:tc>
        <w:tc>
          <w:tcPr>
            <w:tcW w:w="0" w:type="auto"/>
            <w:vAlign w:val="center"/>
          </w:tcPr>
          <w:p w:rsidR="005F78FC" w:rsidRDefault="00B42EF3">
            <w:pPr>
              <w:pStyle w:val="TableBodyText"/>
            </w:pPr>
            <w:r>
              <w:t>"[ISO/IEC-29500-1] §17.13.5.6"</w:t>
            </w:r>
          </w:p>
        </w:tc>
      </w:tr>
      <w:tr w:rsidR="005F78FC" w:rsidTr="005F78FC">
        <w:tc>
          <w:tcPr>
            <w:tcW w:w="0" w:type="auto"/>
            <w:vAlign w:val="center"/>
          </w:tcPr>
          <w:p w:rsidR="005F78FC" w:rsidRDefault="00B42EF3">
            <w:pPr>
              <w:pStyle w:val="TableBodyText"/>
            </w:pPr>
            <w:r>
              <w:rPr>
                <w:b/>
              </w:rPr>
              <w:lastRenderedPageBreak/>
              <w:t>customXmlInsRangeStart</w:t>
            </w:r>
            <w:r>
              <w:t xml:space="preserve"> (Custom XML Markup Insertion Start)</w:t>
            </w:r>
          </w:p>
        </w:tc>
        <w:tc>
          <w:tcPr>
            <w:tcW w:w="0" w:type="auto"/>
            <w:vAlign w:val="center"/>
          </w:tcPr>
          <w:p w:rsidR="005F78FC" w:rsidRDefault="00B42EF3">
            <w:pPr>
              <w:pStyle w:val="TableBodyText"/>
            </w:pPr>
            <w:r>
              <w:t>"[ISO/IEC-29500-1] §17.13.5.7"</w:t>
            </w:r>
          </w:p>
        </w:tc>
      </w:tr>
      <w:tr w:rsidR="005F78FC" w:rsidTr="005F78FC">
        <w:tc>
          <w:tcPr>
            <w:tcW w:w="0" w:type="auto"/>
            <w:vAlign w:val="center"/>
          </w:tcPr>
          <w:p w:rsidR="005F78FC" w:rsidRDefault="00B42EF3">
            <w:pPr>
              <w:pStyle w:val="TableBodyText"/>
            </w:pPr>
            <w:r>
              <w:rPr>
                <w:b/>
              </w:rPr>
              <w:t>customXmlMoveFromRangeEnd</w:t>
            </w:r>
            <w:r>
              <w:t xml:space="preserve"> (Custom XML Markup Move Source End)</w:t>
            </w:r>
          </w:p>
        </w:tc>
        <w:tc>
          <w:tcPr>
            <w:tcW w:w="0" w:type="auto"/>
            <w:vAlign w:val="center"/>
          </w:tcPr>
          <w:p w:rsidR="005F78FC" w:rsidRDefault="00B42EF3">
            <w:pPr>
              <w:pStyle w:val="TableBodyText"/>
            </w:pPr>
            <w:r>
              <w:t>"[ISO/IEC-29500-1] §17.13.5.8"</w:t>
            </w:r>
          </w:p>
        </w:tc>
      </w:tr>
      <w:tr w:rsidR="005F78FC" w:rsidTr="005F78FC">
        <w:tc>
          <w:tcPr>
            <w:tcW w:w="0" w:type="auto"/>
            <w:vAlign w:val="center"/>
          </w:tcPr>
          <w:p w:rsidR="005F78FC" w:rsidRDefault="00B42EF3">
            <w:pPr>
              <w:pStyle w:val="TableBodyText"/>
            </w:pPr>
            <w:r>
              <w:rPr>
                <w:b/>
              </w:rPr>
              <w:t>customXmlMoveFromRangeStart</w:t>
            </w:r>
            <w:r>
              <w:t xml:space="preserve"> (Custom XML Markup Move Source Start)</w:t>
            </w:r>
          </w:p>
        </w:tc>
        <w:tc>
          <w:tcPr>
            <w:tcW w:w="0" w:type="auto"/>
            <w:vAlign w:val="center"/>
          </w:tcPr>
          <w:p w:rsidR="005F78FC" w:rsidRDefault="00B42EF3">
            <w:pPr>
              <w:pStyle w:val="TableBodyText"/>
            </w:pPr>
            <w:r>
              <w:t>"[ISO/IEC-29500-1] §17.13.5.9"</w:t>
            </w:r>
          </w:p>
        </w:tc>
      </w:tr>
      <w:tr w:rsidR="005F78FC" w:rsidTr="005F78FC">
        <w:tc>
          <w:tcPr>
            <w:tcW w:w="0" w:type="auto"/>
            <w:vAlign w:val="center"/>
          </w:tcPr>
          <w:p w:rsidR="005F78FC" w:rsidRDefault="00B42EF3">
            <w:pPr>
              <w:pStyle w:val="TableBodyText"/>
            </w:pPr>
            <w:r>
              <w:rPr>
                <w:b/>
              </w:rPr>
              <w:t>customXmlMoveToRangeEnd</w:t>
            </w:r>
            <w:r>
              <w:t xml:space="preserve"> (Custom XML Markup Move Destination Location End)</w:t>
            </w:r>
          </w:p>
        </w:tc>
        <w:tc>
          <w:tcPr>
            <w:tcW w:w="0" w:type="auto"/>
            <w:vAlign w:val="center"/>
          </w:tcPr>
          <w:p w:rsidR="005F78FC" w:rsidRDefault="00B42EF3">
            <w:pPr>
              <w:pStyle w:val="TableBodyText"/>
            </w:pPr>
            <w:r>
              <w:t>"[ISO/IEC-29500-1] §17.13.5.10"</w:t>
            </w:r>
          </w:p>
        </w:tc>
      </w:tr>
      <w:tr w:rsidR="005F78FC" w:rsidTr="005F78FC">
        <w:tc>
          <w:tcPr>
            <w:tcW w:w="0" w:type="auto"/>
            <w:vAlign w:val="center"/>
          </w:tcPr>
          <w:p w:rsidR="005F78FC" w:rsidRDefault="00B42EF3">
            <w:pPr>
              <w:pStyle w:val="TableBodyText"/>
            </w:pPr>
            <w:r>
              <w:rPr>
                <w:b/>
              </w:rPr>
              <w:t>customXmlMoveToRang</w:t>
            </w:r>
            <w:r>
              <w:rPr>
                <w:b/>
              </w:rPr>
              <w:t>eStart</w:t>
            </w:r>
            <w:r>
              <w:t xml:space="preserve"> (Custom XML Markup Move Destination Location Start)</w:t>
            </w:r>
          </w:p>
        </w:tc>
        <w:tc>
          <w:tcPr>
            <w:tcW w:w="0" w:type="auto"/>
            <w:vAlign w:val="center"/>
          </w:tcPr>
          <w:p w:rsidR="005F78FC" w:rsidRDefault="00B42EF3">
            <w:pPr>
              <w:pStyle w:val="TableBodyText"/>
            </w:pPr>
            <w:r>
              <w:t>"[ISO/IEC-29500-1] §17.13.5.11"</w:t>
            </w:r>
          </w:p>
        </w:tc>
      </w:tr>
      <w:tr w:rsidR="005F78FC" w:rsidTr="005F78FC">
        <w:tc>
          <w:tcPr>
            <w:tcW w:w="0" w:type="auto"/>
            <w:vAlign w:val="center"/>
          </w:tcPr>
          <w:p w:rsidR="005F78FC" w:rsidRDefault="00B42EF3">
            <w:pPr>
              <w:pStyle w:val="TableBodyText"/>
            </w:pPr>
            <w:r>
              <w:rPr>
                <w:b/>
              </w:rPr>
              <w:t>d</w:t>
            </w:r>
            <w:r>
              <w:t xml:space="preserve"> (Delimiter Object)</w:t>
            </w:r>
          </w:p>
        </w:tc>
        <w:tc>
          <w:tcPr>
            <w:tcW w:w="0" w:type="auto"/>
            <w:vAlign w:val="center"/>
          </w:tcPr>
          <w:p w:rsidR="005F78FC" w:rsidRDefault="00B42EF3">
            <w:pPr>
              <w:pStyle w:val="TableBodyText"/>
            </w:pPr>
            <w:r>
              <w:t>"[ISO/IEC-29500-1] §22.1.2.24"</w:t>
            </w:r>
          </w:p>
        </w:tc>
      </w:tr>
      <w:tr w:rsidR="005F78FC" w:rsidTr="005F78FC">
        <w:tc>
          <w:tcPr>
            <w:tcW w:w="0" w:type="auto"/>
            <w:vAlign w:val="center"/>
          </w:tcPr>
          <w:p w:rsidR="005F78FC" w:rsidRDefault="00B42EF3">
            <w:pPr>
              <w:pStyle w:val="TableBodyText"/>
            </w:pPr>
            <w:r>
              <w:rPr>
                <w:b/>
              </w:rPr>
              <w:t>del</w:t>
            </w:r>
            <w:r>
              <w:t xml:space="preserve"> (Deleted Run Content)</w:t>
            </w:r>
          </w:p>
        </w:tc>
        <w:tc>
          <w:tcPr>
            <w:tcW w:w="0" w:type="auto"/>
            <w:vAlign w:val="center"/>
          </w:tcPr>
          <w:p w:rsidR="005F78FC" w:rsidRDefault="00B42EF3">
            <w:pPr>
              <w:pStyle w:val="TableBodyText"/>
            </w:pPr>
            <w:r>
              <w:t>"[ISO/IEC-29500-1] §17.13.5.14"</w:t>
            </w:r>
          </w:p>
        </w:tc>
      </w:tr>
      <w:tr w:rsidR="005F78FC" w:rsidTr="005F78FC">
        <w:tc>
          <w:tcPr>
            <w:tcW w:w="0" w:type="auto"/>
            <w:vAlign w:val="center"/>
          </w:tcPr>
          <w:p w:rsidR="005F78FC" w:rsidRDefault="00B42EF3">
            <w:pPr>
              <w:pStyle w:val="TableBodyText"/>
            </w:pPr>
            <w:r>
              <w:rPr>
                <w:b/>
              </w:rPr>
              <w:t>eqArr</w:t>
            </w:r>
            <w:r>
              <w:t xml:space="preserve"> (Array Object)</w:t>
            </w:r>
          </w:p>
        </w:tc>
        <w:tc>
          <w:tcPr>
            <w:tcW w:w="0" w:type="auto"/>
            <w:vAlign w:val="center"/>
          </w:tcPr>
          <w:p w:rsidR="005F78FC" w:rsidRDefault="00B42EF3">
            <w:pPr>
              <w:pStyle w:val="TableBodyText"/>
            </w:pPr>
            <w:r>
              <w:t>"[ISO/IEC-29500-1] §22.1.2.34"</w:t>
            </w:r>
          </w:p>
        </w:tc>
      </w:tr>
      <w:tr w:rsidR="005F78FC" w:rsidTr="005F78FC">
        <w:tc>
          <w:tcPr>
            <w:tcW w:w="0" w:type="auto"/>
            <w:vAlign w:val="center"/>
          </w:tcPr>
          <w:p w:rsidR="005F78FC" w:rsidRDefault="00B42EF3">
            <w:pPr>
              <w:pStyle w:val="TableBodyText"/>
            </w:pPr>
            <w:r>
              <w:rPr>
                <w:b/>
              </w:rPr>
              <w:t>f</w:t>
            </w:r>
            <w:r>
              <w:t xml:space="preserve"> (Fraction Object)</w:t>
            </w:r>
          </w:p>
        </w:tc>
        <w:tc>
          <w:tcPr>
            <w:tcW w:w="0" w:type="auto"/>
            <w:vAlign w:val="center"/>
          </w:tcPr>
          <w:p w:rsidR="005F78FC" w:rsidRDefault="00B42EF3">
            <w:pPr>
              <w:pStyle w:val="TableBodyText"/>
            </w:pPr>
            <w:r>
              <w:t>"[ISO/IEC-29500-1] §22.1.2.36"</w:t>
            </w:r>
          </w:p>
        </w:tc>
      </w:tr>
      <w:tr w:rsidR="005F78FC" w:rsidTr="005F78FC">
        <w:tc>
          <w:tcPr>
            <w:tcW w:w="0" w:type="auto"/>
            <w:vAlign w:val="center"/>
          </w:tcPr>
          <w:p w:rsidR="005F78FC" w:rsidRDefault="00B42EF3">
            <w:pPr>
              <w:pStyle w:val="TableBodyText"/>
            </w:pPr>
            <w:r>
              <w:rPr>
                <w:b/>
              </w:rPr>
              <w:t>fldSimple</w:t>
            </w:r>
            <w:r>
              <w:t xml:space="preserve"> (Ruby Simple Field)</w:t>
            </w:r>
          </w:p>
        </w:tc>
        <w:tc>
          <w:tcPr>
            <w:tcW w:w="0" w:type="auto"/>
            <w:vAlign w:val="center"/>
          </w:tcPr>
          <w:p w:rsidR="005F78FC" w:rsidRDefault="00B42EF3">
            <w:pPr>
              <w:pStyle w:val="TableBodyText"/>
            </w:pPr>
            <w:r>
              <w:t>§</w:t>
            </w:r>
            <w:hyperlink w:anchor="Section_34477fff355a497ea2bf4b9c3f80b093">
              <w:r>
                <w:rPr>
                  <w:rStyle w:val="Hyperlink"/>
                </w:rPr>
                <w:t>3.1.3.1.2, fldSimple</w:t>
              </w:r>
            </w:hyperlink>
          </w:p>
        </w:tc>
      </w:tr>
      <w:tr w:rsidR="005F78FC" w:rsidTr="005F78FC">
        <w:tc>
          <w:tcPr>
            <w:tcW w:w="0" w:type="auto"/>
            <w:vAlign w:val="center"/>
          </w:tcPr>
          <w:p w:rsidR="005F78FC" w:rsidRDefault="00B42EF3">
            <w:pPr>
              <w:pStyle w:val="TableBodyText"/>
            </w:pPr>
            <w:r>
              <w:rPr>
                <w:b/>
              </w:rPr>
              <w:t>func</w:t>
            </w:r>
            <w:r>
              <w:t xml:space="preserve"> (Function Apply Object)</w:t>
            </w:r>
          </w:p>
        </w:tc>
        <w:tc>
          <w:tcPr>
            <w:tcW w:w="0" w:type="auto"/>
            <w:vAlign w:val="center"/>
          </w:tcPr>
          <w:p w:rsidR="005F78FC" w:rsidRDefault="00B42EF3">
            <w:pPr>
              <w:pStyle w:val="TableBodyText"/>
            </w:pPr>
            <w:r>
              <w:t>"[ISO/IEC-29500-1] §22.1.2.39"</w:t>
            </w:r>
          </w:p>
        </w:tc>
      </w:tr>
      <w:tr w:rsidR="005F78FC" w:rsidTr="005F78FC">
        <w:tc>
          <w:tcPr>
            <w:tcW w:w="0" w:type="auto"/>
            <w:vAlign w:val="center"/>
          </w:tcPr>
          <w:p w:rsidR="005F78FC" w:rsidRDefault="00B42EF3">
            <w:pPr>
              <w:pStyle w:val="TableBodyText"/>
            </w:pPr>
            <w:r>
              <w:rPr>
                <w:b/>
              </w:rPr>
              <w:t>groupChr</w:t>
            </w:r>
            <w:r>
              <w:t xml:space="preserve"> (Group-Character </w:t>
            </w:r>
            <w:r>
              <w:t>Object)</w:t>
            </w:r>
          </w:p>
        </w:tc>
        <w:tc>
          <w:tcPr>
            <w:tcW w:w="0" w:type="auto"/>
            <w:vAlign w:val="center"/>
          </w:tcPr>
          <w:p w:rsidR="005F78FC" w:rsidRDefault="00B42EF3">
            <w:pPr>
              <w:pStyle w:val="TableBodyText"/>
            </w:pPr>
            <w:r>
              <w:t>"[ISO/IEC-29500-1] §22.1.2.41"</w:t>
            </w:r>
          </w:p>
        </w:tc>
      </w:tr>
      <w:tr w:rsidR="005F78FC" w:rsidTr="005F78FC">
        <w:tc>
          <w:tcPr>
            <w:tcW w:w="0" w:type="auto"/>
            <w:vAlign w:val="center"/>
          </w:tcPr>
          <w:p w:rsidR="005F78FC" w:rsidRDefault="00B42EF3">
            <w:pPr>
              <w:pStyle w:val="TableBodyText"/>
            </w:pPr>
            <w:r>
              <w:rPr>
                <w:b/>
              </w:rPr>
              <w:t>hyperlink</w:t>
            </w:r>
            <w:r>
              <w:t xml:space="preserve"> (Ruby Hyperlink)</w:t>
            </w:r>
          </w:p>
        </w:tc>
        <w:tc>
          <w:tcPr>
            <w:tcW w:w="0" w:type="auto"/>
            <w:vAlign w:val="center"/>
          </w:tcPr>
          <w:p w:rsidR="005F78FC" w:rsidRDefault="00B42EF3">
            <w:pPr>
              <w:pStyle w:val="TableBodyText"/>
            </w:pPr>
            <w:r>
              <w:t>§</w:t>
            </w:r>
            <w:hyperlink w:anchor="Section_cc9e4bbd134f4d35b2c795fde8c633a7">
              <w:r>
                <w:rPr>
                  <w:rStyle w:val="Hyperlink"/>
                </w:rPr>
                <w:t>3.1.3.1.3, hyperlink</w:t>
              </w:r>
            </w:hyperlink>
          </w:p>
        </w:tc>
      </w:tr>
      <w:tr w:rsidR="005F78FC" w:rsidTr="005F78FC">
        <w:tc>
          <w:tcPr>
            <w:tcW w:w="0" w:type="auto"/>
            <w:vAlign w:val="center"/>
          </w:tcPr>
          <w:p w:rsidR="005F78FC" w:rsidRDefault="00B42EF3">
            <w:pPr>
              <w:pStyle w:val="TableBodyText"/>
            </w:pPr>
            <w:r>
              <w:rPr>
                <w:b/>
              </w:rPr>
              <w:t>ins</w:t>
            </w:r>
            <w:r>
              <w:t xml:space="preserve"> (Inserted Run Content)</w:t>
            </w:r>
          </w:p>
        </w:tc>
        <w:tc>
          <w:tcPr>
            <w:tcW w:w="0" w:type="auto"/>
            <w:vAlign w:val="center"/>
          </w:tcPr>
          <w:p w:rsidR="005F78FC" w:rsidRDefault="00B42EF3">
            <w:pPr>
              <w:pStyle w:val="TableBodyText"/>
            </w:pPr>
            <w:r>
              <w:t>"[ISO/IEC-29500-1] §17.13.5.18"</w:t>
            </w:r>
          </w:p>
        </w:tc>
      </w:tr>
      <w:tr w:rsidR="005F78FC" w:rsidTr="005F78FC">
        <w:tc>
          <w:tcPr>
            <w:tcW w:w="0" w:type="auto"/>
            <w:vAlign w:val="center"/>
          </w:tcPr>
          <w:p w:rsidR="005F78FC" w:rsidRDefault="00B42EF3">
            <w:pPr>
              <w:pStyle w:val="TableBodyText"/>
            </w:pPr>
            <w:r>
              <w:rPr>
                <w:b/>
              </w:rPr>
              <w:t>limLow</w:t>
            </w:r>
            <w:r>
              <w:t xml:space="preserve"> (Lower-Limit Object)</w:t>
            </w:r>
          </w:p>
        </w:tc>
        <w:tc>
          <w:tcPr>
            <w:tcW w:w="0" w:type="auto"/>
            <w:vAlign w:val="center"/>
          </w:tcPr>
          <w:p w:rsidR="005F78FC" w:rsidRDefault="00B42EF3">
            <w:pPr>
              <w:pStyle w:val="TableBodyText"/>
            </w:pPr>
            <w:r>
              <w:t>"[ISO/IEC-29500</w:t>
            </w:r>
            <w:r>
              <w:t>-1] §22.1.2.54"</w:t>
            </w:r>
          </w:p>
        </w:tc>
      </w:tr>
      <w:tr w:rsidR="005F78FC" w:rsidTr="005F78FC">
        <w:tc>
          <w:tcPr>
            <w:tcW w:w="0" w:type="auto"/>
            <w:vAlign w:val="center"/>
          </w:tcPr>
          <w:p w:rsidR="005F78FC" w:rsidRDefault="00B42EF3">
            <w:pPr>
              <w:pStyle w:val="TableBodyText"/>
            </w:pPr>
            <w:r>
              <w:rPr>
                <w:b/>
              </w:rPr>
              <w:t>limUpp</w:t>
            </w:r>
            <w:r>
              <w:t xml:space="preserve"> (Upper-Limit Object)</w:t>
            </w:r>
          </w:p>
        </w:tc>
        <w:tc>
          <w:tcPr>
            <w:tcW w:w="0" w:type="auto"/>
            <w:vAlign w:val="center"/>
          </w:tcPr>
          <w:p w:rsidR="005F78FC" w:rsidRDefault="00B42EF3">
            <w:pPr>
              <w:pStyle w:val="TableBodyText"/>
            </w:pPr>
            <w:r>
              <w:t>"[ISO/IEC-29500-1] §22.1.2.56"</w:t>
            </w:r>
          </w:p>
        </w:tc>
      </w:tr>
      <w:tr w:rsidR="005F78FC" w:rsidTr="005F78FC">
        <w:tc>
          <w:tcPr>
            <w:tcW w:w="0" w:type="auto"/>
            <w:vAlign w:val="center"/>
          </w:tcPr>
          <w:p w:rsidR="005F78FC" w:rsidRDefault="00B42EF3">
            <w:pPr>
              <w:pStyle w:val="TableBodyText"/>
            </w:pPr>
            <w:r>
              <w:rPr>
                <w:b/>
              </w:rPr>
              <w:t>m</w:t>
            </w:r>
            <w:r>
              <w:t xml:space="preserve"> (Matrix Object)</w:t>
            </w:r>
          </w:p>
        </w:tc>
        <w:tc>
          <w:tcPr>
            <w:tcW w:w="0" w:type="auto"/>
            <w:vAlign w:val="center"/>
          </w:tcPr>
          <w:p w:rsidR="005F78FC" w:rsidRDefault="00B42EF3">
            <w:pPr>
              <w:pStyle w:val="TableBodyText"/>
            </w:pPr>
            <w:r>
              <w:t>"[ISO/IEC-29500-1] §22.1.2.60"</w:t>
            </w:r>
          </w:p>
        </w:tc>
      </w:tr>
      <w:tr w:rsidR="005F78FC" w:rsidTr="005F78FC">
        <w:tc>
          <w:tcPr>
            <w:tcW w:w="0" w:type="auto"/>
            <w:vAlign w:val="center"/>
          </w:tcPr>
          <w:p w:rsidR="005F78FC" w:rsidRDefault="00B42EF3">
            <w:pPr>
              <w:pStyle w:val="TableBodyText"/>
            </w:pPr>
            <w:r>
              <w:rPr>
                <w:b/>
              </w:rPr>
              <w:t>moveFrom</w:t>
            </w:r>
            <w:r>
              <w:t xml:space="preserve"> (Move Source Run Content)</w:t>
            </w:r>
          </w:p>
        </w:tc>
        <w:tc>
          <w:tcPr>
            <w:tcW w:w="0" w:type="auto"/>
            <w:vAlign w:val="center"/>
          </w:tcPr>
          <w:p w:rsidR="005F78FC" w:rsidRDefault="00B42EF3">
            <w:pPr>
              <w:pStyle w:val="TableBodyText"/>
            </w:pPr>
            <w:r>
              <w:t>"[ISO/IEC-29500-1] §17.13.5.22"</w:t>
            </w:r>
          </w:p>
        </w:tc>
      </w:tr>
      <w:tr w:rsidR="005F78FC" w:rsidTr="005F78FC">
        <w:tc>
          <w:tcPr>
            <w:tcW w:w="0" w:type="auto"/>
            <w:vAlign w:val="center"/>
          </w:tcPr>
          <w:p w:rsidR="005F78FC" w:rsidRDefault="00B42EF3">
            <w:pPr>
              <w:pStyle w:val="TableBodyText"/>
            </w:pPr>
            <w:r>
              <w:rPr>
                <w:b/>
              </w:rPr>
              <w:t>moveFromRangeEnd</w:t>
            </w:r>
            <w:r>
              <w:t xml:space="preserve"> (Move Source Location Container - End)</w:t>
            </w:r>
          </w:p>
        </w:tc>
        <w:tc>
          <w:tcPr>
            <w:tcW w:w="0" w:type="auto"/>
            <w:vAlign w:val="center"/>
          </w:tcPr>
          <w:p w:rsidR="005F78FC" w:rsidRDefault="00B42EF3">
            <w:pPr>
              <w:pStyle w:val="TableBodyText"/>
            </w:pPr>
            <w:r>
              <w:t>"</w:t>
            </w:r>
            <w:r>
              <w:t>[ISO/IEC-29500-1] §17.13.5.23"</w:t>
            </w:r>
          </w:p>
        </w:tc>
      </w:tr>
      <w:tr w:rsidR="005F78FC" w:rsidTr="005F78FC">
        <w:tc>
          <w:tcPr>
            <w:tcW w:w="0" w:type="auto"/>
            <w:vAlign w:val="center"/>
          </w:tcPr>
          <w:p w:rsidR="005F78FC" w:rsidRDefault="00B42EF3">
            <w:pPr>
              <w:pStyle w:val="TableBodyText"/>
            </w:pPr>
            <w:r>
              <w:rPr>
                <w:b/>
              </w:rPr>
              <w:t>moveFromRangeStart</w:t>
            </w:r>
            <w:r>
              <w:t xml:space="preserve"> (Move Source Location Container - Start)</w:t>
            </w:r>
          </w:p>
        </w:tc>
        <w:tc>
          <w:tcPr>
            <w:tcW w:w="0" w:type="auto"/>
            <w:vAlign w:val="center"/>
          </w:tcPr>
          <w:p w:rsidR="005F78FC" w:rsidRDefault="00B42EF3">
            <w:pPr>
              <w:pStyle w:val="TableBodyText"/>
            </w:pPr>
            <w:r>
              <w:t>"[ISO/IEC-29500-1] §17.13.5.24"</w:t>
            </w:r>
          </w:p>
        </w:tc>
      </w:tr>
      <w:tr w:rsidR="005F78FC" w:rsidTr="005F78FC">
        <w:tc>
          <w:tcPr>
            <w:tcW w:w="0" w:type="auto"/>
            <w:vAlign w:val="center"/>
          </w:tcPr>
          <w:p w:rsidR="005F78FC" w:rsidRDefault="00B42EF3">
            <w:pPr>
              <w:pStyle w:val="TableBodyText"/>
            </w:pPr>
            <w:r>
              <w:rPr>
                <w:b/>
              </w:rPr>
              <w:t>moveTo</w:t>
            </w:r>
            <w:r>
              <w:t xml:space="preserve"> (Move Destination Run Content)</w:t>
            </w:r>
          </w:p>
        </w:tc>
        <w:tc>
          <w:tcPr>
            <w:tcW w:w="0" w:type="auto"/>
            <w:vAlign w:val="center"/>
          </w:tcPr>
          <w:p w:rsidR="005F78FC" w:rsidRDefault="00B42EF3">
            <w:pPr>
              <w:pStyle w:val="TableBodyText"/>
            </w:pPr>
            <w:r>
              <w:t>"[ISO/IEC-29500-1] §17.13.5.25"</w:t>
            </w:r>
          </w:p>
        </w:tc>
      </w:tr>
      <w:tr w:rsidR="005F78FC" w:rsidTr="005F78FC">
        <w:tc>
          <w:tcPr>
            <w:tcW w:w="0" w:type="auto"/>
            <w:vAlign w:val="center"/>
          </w:tcPr>
          <w:p w:rsidR="005F78FC" w:rsidRDefault="00B42EF3">
            <w:pPr>
              <w:pStyle w:val="TableBodyText"/>
            </w:pPr>
            <w:r>
              <w:rPr>
                <w:b/>
              </w:rPr>
              <w:t>moveToRangeEnd</w:t>
            </w:r>
            <w:r>
              <w:t xml:space="preserve"> (Move Destination Location Container - End)</w:t>
            </w:r>
          </w:p>
        </w:tc>
        <w:tc>
          <w:tcPr>
            <w:tcW w:w="0" w:type="auto"/>
            <w:vAlign w:val="center"/>
          </w:tcPr>
          <w:p w:rsidR="005F78FC" w:rsidRDefault="00B42EF3">
            <w:pPr>
              <w:pStyle w:val="TableBodyText"/>
            </w:pPr>
            <w:r>
              <w:t>"</w:t>
            </w:r>
            <w:r>
              <w:t>[ISO/IEC-29500-1] §17.13.5.27"</w:t>
            </w:r>
          </w:p>
        </w:tc>
      </w:tr>
      <w:tr w:rsidR="005F78FC" w:rsidTr="005F78FC">
        <w:tc>
          <w:tcPr>
            <w:tcW w:w="0" w:type="auto"/>
            <w:vAlign w:val="center"/>
          </w:tcPr>
          <w:p w:rsidR="005F78FC" w:rsidRDefault="00B42EF3">
            <w:pPr>
              <w:pStyle w:val="TableBodyText"/>
            </w:pPr>
            <w:r>
              <w:rPr>
                <w:b/>
              </w:rPr>
              <w:lastRenderedPageBreak/>
              <w:t>moveToRangeStart</w:t>
            </w:r>
            <w:r>
              <w:t xml:space="preserve"> (Move Destination Location Container - Start)</w:t>
            </w:r>
          </w:p>
        </w:tc>
        <w:tc>
          <w:tcPr>
            <w:tcW w:w="0" w:type="auto"/>
            <w:vAlign w:val="center"/>
          </w:tcPr>
          <w:p w:rsidR="005F78FC" w:rsidRDefault="00B42EF3">
            <w:pPr>
              <w:pStyle w:val="TableBodyText"/>
            </w:pPr>
            <w:r>
              <w:t>"[ISO/IEC-29500-1] §17.13.5.28"</w:t>
            </w:r>
          </w:p>
        </w:tc>
      </w:tr>
      <w:tr w:rsidR="005F78FC" w:rsidTr="005F78FC">
        <w:tc>
          <w:tcPr>
            <w:tcW w:w="0" w:type="auto"/>
            <w:vAlign w:val="center"/>
          </w:tcPr>
          <w:p w:rsidR="005F78FC" w:rsidRDefault="00B42EF3">
            <w:pPr>
              <w:pStyle w:val="TableBodyText"/>
            </w:pPr>
            <w:r>
              <w:rPr>
                <w:b/>
              </w:rPr>
              <w:t>nary</w:t>
            </w:r>
            <w:r>
              <w:t xml:space="preserve"> (n-ary Operator Object)</w:t>
            </w:r>
          </w:p>
        </w:tc>
        <w:tc>
          <w:tcPr>
            <w:tcW w:w="0" w:type="auto"/>
            <w:vAlign w:val="center"/>
          </w:tcPr>
          <w:p w:rsidR="005F78FC" w:rsidRDefault="00B42EF3">
            <w:pPr>
              <w:pStyle w:val="TableBodyText"/>
            </w:pPr>
            <w:r>
              <w:t>"[ISO/IEC-29500-1] §22.1.2.70"</w:t>
            </w:r>
          </w:p>
        </w:tc>
      </w:tr>
      <w:tr w:rsidR="005F78FC" w:rsidTr="005F78FC">
        <w:tc>
          <w:tcPr>
            <w:tcW w:w="0" w:type="auto"/>
            <w:vAlign w:val="center"/>
          </w:tcPr>
          <w:p w:rsidR="005F78FC" w:rsidRDefault="00B42EF3">
            <w:pPr>
              <w:pStyle w:val="TableBodyText"/>
            </w:pPr>
            <w:r>
              <w:rPr>
                <w:b/>
              </w:rPr>
              <w:t>oMath</w:t>
            </w:r>
            <w:r>
              <w:t xml:space="preserve"> (Office Math)</w:t>
            </w:r>
          </w:p>
        </w:tc>
        <w:tc>
          <w:tcPr>
            <w:tcW w:w="0" w:type="auto"/>
            <w:vAlign w:val="center"/>
          </w:tcPr>
          <w:p w:rsidR="005F78FC" w:rsidRDefault="00B42EF3">
            <w:pPr>
              <w:pStyle w:val="TableBodyText"/>
            </w:pPr>
            <w:r>
              <w:t>"[ISO/IEC-29500-1] §22.1.2.77"</w:t>
            </w:r>
          </w:p>
        </w:tc>
      </w:tr>
      <w:tr w:rsidR="005F78FC" w:rsidTr="005F78FC">
        <w:tc>
          <w:tcPr>
            <w:tcW w:w="0" w:type="auto"/>
            <w:vAlign w:val="center"/>
          </w:tcPr>
          <w:p w:rsidR="005F78FC" w:rsidRDefault="00B42EF3">
            <w:pPr>
              <w:pStyle w:val="TableBodyText"/>
            </w:pPr>
            <w:r>
              <w:rPr>
                <w:b/>
              </w:rPr>
              <w:t>oMathPara</w:t>
            </w:r>
            <w:r>
              <w:t xml:space="preserve"> (Office Math Paragraph)</w:t>
            </w:r>
          </w:p>
        </w:tc>
        <w:tc>
          <w:tcPr>
            <w:tcW w:w="0" w:type="auto"/>
            <w:vAlign w:val="center"/>
          </w:tcPr>
          <w:p w:rsidR="005F78FC" w:rsidRDefault="00B42EF3">
            <w:pPr>
              <w:pStyle w:val="TableBodyText"/>
            </w:pPr>
            <w:r>
              <w:t>"[ISO/IEC-29500-1] §22.1.2.78"</w:t>
            </w:r>
          </w:p>
        </w:tc>
      </w:tr>
      <w:tr w:rsidR="005F78FC" w:rsidTr="005F78FC">
        <w:tc>
          <w:tcPr>
            <w:tcW w:w="0" w:type="auto"/>
            <w:vAlign w:val="center"/>
          </w:tcPr>
          <w:p w:rsidR="005F78FC" w:rsidRDefault="00B42EF3">
            <w:pPr>
              <w:pStyle w:val="TableBodyText"/>
            </w:pPr>
            <w:r>
              <w:rPr>
                <w:b/>
              </w:rPr>
              <w:t>permEnd</w:t>
            </w:r>
            <w:r>
              <w:t xml:space="preserve"> (Range Permission End)</w:t>
            </w:r>
          </w:p>
        </w:tc>
        <w:tc>
          <w:tcPr>
            <w:tcW w:w="0" w:type="auto"/>
            <w:vAlign w:val="center"/>
          </w:tcPr>
          <w:p w:rsidR="005F78FC" w:rsidRDefault="00B42EF3">
            <w:pPr>
              <w:pStyle w:val="TableBodyText"/>
            </w:pPr>
            <w:r>
              <w:t>"[ISO/IEC-29500-1] §17.13.7.1"</w:t>
            </w:r>
          </w:p>
        </w:tc>
      </w:tr>
      <w:tr w:rsidR="005F78FC" w:rsidTr="005F78FC">
        <w:tc>
          <w:tcPr>
            <w:tcW w:w="0" w:type="auto"/>
            <w:vAlign w:val="center"/>
          </w:tcPr>
          <w:p w:rsidR="005F78FC" w:rsidRDefault="00B42EF3">
            <w:pPr>
              <w:pStyle w:val="TableBodyText"/>
            </w:pPr>
            <w:r>
              <w:rPr>
                <w:b/>
              </w:rPr>
              <w:t>permStart</w:t>
            </w:r>
            <w:r>
              <w:t xml:space="preserve"> (Range Permission Start)</w:t>
            </w:r>
          </w:p>
        </w:tc>
        <w:tc>
          <w:tcPr>
            <w:tcW w:w="0" w:type="auto"/>
            <w:vAlign w:val="center"/>
          </w:tcPr>
          <w:p w:rsidR="005F78FC" w:rsidRDefault="00B42EF3">
            <w:pPr>
              <w:pStyle w:val="TableBodyText"/>
            </w:pPr>
            <w:r>
              <w:t>"[ISO/IEC-29500-1] §17.13.7.2"</w:t>
            </w:r>
          </w:p>
        </w:tc>
      </w:tr>
      <w:tr w:rsidR="005F78FC" w:rsidTr="005F78FC">
        <w:tc>
          <w:tcPr>
            <w:tcW w:w="0" w:type="auto"/>
            <w:vAlign w:val="center"/>
          </w:tcPr>
          <w:p w:rsidR="005F78FC" w:rsidRDefault="00B42EF3">
            <w:pPr>
              <w:pStyle w:val="TableBodyText"/>
            </w:pPr>
            <w:r>
              <w:rPr>
                <w:b/>
              </w:rPr>
              <w:t>phant</w:t>
            </w:r>
            <w:r>
              <w:t xml:space="preserve"> (Phantom Object)</w:t>
            </w:r>
          </w:p>
        </w:tc>
        <w:tc>
          <w:tcPr>
            <w:tcW w:w="0" w:type="auto"/>
            <w:vAlign w:val="center"/>
          </w:tcPr>
          <w:p w:rsidR="005F78FC" w:rsidRDefault="00B42EF3">
            <w:pPr>
              <w:pStyle w:val="TableBodyText"/>
            </w:pPr>
            <w:r>
              <w:t>"[ISO/IEC-29500-1] §22.1.2.81"</w:t>
            </w:r>
          </w:p>
        </w:tc>
      </w:tr>
      <w:tr w:rsidR="005F78FC" w:rsidTr="005F78FC">
        <w:tc>
          <w:tcPr>
            <w:tcW w:w="0" w:type="auto"/>
            <w:vAlign w:val="center"/>
          </w:tcPr>
          <w:p w:rsidR="005F78FC" w:rsidRDefault="00B42EF3">
            <w:pPr>
              <w:pStyle w:val="TableBodyText"/>
            </w:pPr>
            <w:r>
              <w:rPr>
                <w:b/>
              </w:rPr>
              <w:t>proofErr</w:t>
            </w:r>
            <w:r>
              <w:t xml:space="preserve"> (Proo</w:t>
            </w:r>
            <w:r>
              <w:t>fing Error Anchor)</w:t>
            </w:r>
          </w:p>
        </w:tc>
        <w:tc>
          <w:tcPr>
            <w:tcW w:w="0" w:type="auto"/>
            <w:vAlign w:val="center"/>
          </w:tcPr>
          <w:p w:rsidR="005F78FC" w:rsidRDefault="00B42EF3">
            <w:pPr>
              <w:pStyle w:val="TableBodyText"/>
            </w:pPr>
            <w:r>
              <w:t>"[ISO/IEC-29500-1] §17.13.8.1"</w:t>
            </w:r>
          </w:p>
        </w:tc>
      </w:tr>
      <w:tr w:rsidR="005F78FC" w:rsidTr="005F78FC">
        <w:tc>
          <w:tcPr>
            <w:tcW w:w="0" w:type="auto"/>
            <w:vAlign w:val="center"/>
          </w:tcPr>
          <w:p w:rsidR="005F78FC" w:rsidRDefault="00B42EF3">
            <w:pPr>
              <w:pStyle w:val="TableBodyText"/>
            </w:pPr>
            <w:r>
              <w:rPr>
                <w:b/>
              </w:rPr>
              <w:t>r</w:t>
            </w:r>
            <w:r>
              <w:t xml:space="preserve"> (Run)</w:t>
            </w:r>
          </w:p>
        </w:tc>
        <w:tc>
          <w:tcPr>
            <w:tcW w:w="0" w:type="auto"/>
            <w:vAlign w:val="center"/>
          </w:tcPr>
          <w:p w:rsidR="005F78FC" w:rsidRDefault="00B42EF3">
            <w:pPr>
              <w:pStyle w:val="TableBodyText"/>
            </w:pPr>
            <w:r>
              <w:t>"[ISO/IEC-29500-1] §22.1.2.87"</w:t>
            </w:r>
          </w:p>
        </w:tc>
      </w:tr>
      <w:tr w:rsidR="005F78FC" w:rsidTr="005F78FC">
        <w:tc>
          <w:tcPr>
            <w:tcW w:w="0" w:type="auto"/>
            <w:vAlign w:val="center"/>
          </w:tcPr>
          <w:p w:rsidR="005F78FC" w:rsidRDefault="00B42EF3">
            <w:pPr>
              <w:pStyle w:val="TableBodyText"/>
            </w:pPr>
            <w:r>
              <w:rPr>
                <w:b/>
              </w:rPr>
              <w:t>r</w:t>
            </w:r>
            <w:r>
              <w:t xml:space="preserve"> (Text Run)</w:t>
            </w:r>
          </w:p>
        </w:tc>
        <w:tc>
          <w:tcPr>
            <w:tcW w:w="0" w:type="auto"/>
            <w:vAlign w:val="center"/>
          </w:tcPr>
          <w:p w:rsidR="005F78FC" w:rsidRDefault="00B42EF3">
            <w:pPr>
              <w:pStyle w:val="TableBodyText"/>
            </w:pPr>
            <w:r>
              <w:t>"[ISO/IEC-29500-1] §17.3.2.25"</w:t>
            </w:r>
          </w:p>
        </w:tc>
      </w:tr>
      <w:tr w:rsidR="005F78FC" w:rsidTr="005F78FC">
        <w:tc>
          <w:tcPr>
            <w:tcW w:w="0" w:type="auto"/>
            <w:vAlign w:val="center"/>
          </w:tcPr>
          <w:p w:rsidR="005F78FC" w:rsidRDefault="00B42EF3">
            <w:pPr>
              <w:pStyle w:val="TableBodyText"/>
            </w:pPr>
            <w:r>
              <w:rPr>
                <w:b/>
              </w:rPr>
              <w:t>rad</w:t>
            </w:r>
            <w:r>
              <w:t xml:space="preserve"> (Radical Object)</w:t>
            </w:r>
          </w:p>
        </w:tc>
        <w:tc>
          <w:tcPr>
            <w:tcW w:w="0" w:type="auto"/>
            <w:vAlign w:val="center"/>
          </w:tcPr>
          <w:p w:rsidR="005F78FC" w:rsidRDefault="00B42EF3">
            <w:pPr>
              <w:pStyle w:val="TableBodyText"/>
            </w:pPr>
            <w:r>
              <w:t>"[ISO/IEC-29500-1] §22.1.2.88"</w:t>
            </w:r>
          </w:p>
        </w:tc>
      </w:tr>
      <w:tr w:rsidR="005F78FC" w:rsidTr="005F78FC">
        <w:tc>
          <w:tcPr>
            <w:tcW w:w="0" w:type="auto"/>
            <w:vAlign w:val="center"/>
          </w:tcPr>
          <w:p w:rsidR="005F78FC" w:rsidRDefault="00B42EF3">
            <w:pPr>
              <w:pStyle w:val="TableBodyText"/>
            </w:pPr>
            <w:r>
              <w:rPr>
                <w:b/>
              </w:rPr>
              <w:t>sdt</w:t>
            </w:r>
            <w:r>
              <w:t xml:space="preserve"> (Ruby Inline-Level Structured Document Tag)</w:t>
            </w:r>
          </w:p>
        </w:tc>
        <w:tc>
          <w:tcPr>
            <w:tcW w:w="0" w:type="auto"/>
            <w:vAlign w:val="center"/>
          </w:tcPr>
          <w:p w:rsidR="005F78FC" w:rsidRDefault="00B42EF3">
            <w:pPr>
              <w:pStyle w:val="TableBodyText"/>
            </w:pPr>
            <w:r>
              <w:t>§3.1.3.1.6, sdt</w:t>
            </w:r>
          </w:p>
        </w:tc>
      </w:tr>
      <w:tr w:rsidR="005F78FC" w:rsidTr="005F78FC">
        <w:tc>
          <w:tcPr>
            <w:tcW w:w="0" w:type="auto"/>
            <w:vAlign w:val="center"/>
          </w:tcPr>
          <w:p w:rsidR="005F78FC" w:rsidRDefault="00B42EF3">
            <w:pPr>
              <w:pStyle w:val="TableBodyText"/>
            </w:pPr>
            <w:r>
              <w:rPr>
                <w:b/>
              </w:rPr>
              <w:t>sPre</w:t>
            </w:r>
            <w:r>
              <w:t xml:space="preserve"> (Pre-Sub-Superscript Object)</w:t>
            </w:r>
          </w:p>
        </w:tc>
        <w:tc>
          <w:tcPr>
            <w:tcW w:w="0" w:type="auto"/>
            <w:vAlign w:val="center"/>
          </w:tcPr>
          <w:p w:rsidR="005F78FC" w:rsidRDefault="00B42EF3">
            <w:pPr>
              <w:pStyle w:val="TableBodyText"/>
            </w:pPr>
            <w:r>
              <w:t>"[ISO/IEC-29500-1] §22.1.2.99"</w:t>
            </w:r>
          </w:p>
        </w:tc>
      </w:tr>
      <w:tr w:rsidR="005F78FC" w:rsidTr="005F78FC">
        <w:tc>
          <w:tcPr>
            <w:tcW w:w="0" w:type="auto"/>
            <w:vAlign w:val="center"/>
          </w:tcPr>
          <w:p w:rsidR="005F78FC" w:rsidRDefault="00B42EF3">
            <w:pPr>
              <w:pStyle w:val="TableBodyText"/>
            </w:pPr>
            <w:r>
              <w:rPr>
                <w:b/>
              </w:rPr>
              <w:t>sSub</w:t>
            </w:r>
            <w:r>
              <w:t xml:space="preserve"> (Subscript Object)</w:t>
            </w:r>
          </w:p>
        </w:tc>
        <w:tc>
          <w:tcPr>
            <w:tcW w:w="0" w:type="auto"/>
            <w:vAlign w:val="center"/>
          </w:tcPr>
          <w:p w:rsidR="005F78FC" w:rsidRDefault="00B42EF3">
            <w:pPr>
              <w:pStyle w:val="TableBodyText"/>
            </w:pPr>
            <w:r>
              <w:t>"[ISO/IEC-29500-1] §22.1.2.101"</w:t>
            </w:r>
          </w:p>
        </w:tc>
      </w:tr>
      <w:tr w:rsidR="005F78FC" w:rsidTr="005F78FC">
        <w:tc>
          <w:tcPr>
            <w:tcW w:w="0" w:type="auto"/>
            <w:vAlign w:val="center"/>
          </w:tcPr>
          <w:p w:rsidR="005F78FC" w:rsidRDefault="00B42EF3">
            <w:pPr>
              <w:pStyle w:val="TableBodyText"/>
            </w:pPr>
            <w:r>
              <w:rPr>
                <w:b/>
              </w:rPr>
              <w:t>sSubSup</w:t>
            </w:r>
            <w:r>
              <w:t xml:space="preserve"> (Sub-Superscript Object)</w:t>
            </w:r>
          </w:p>
        </w:tc>
        <w:tc>
          <w:tcPr>
            <w:tcW w:w="0" w:type="auto"/>
            <w:vAlign w:val="center"/>
          </w:tcPr>
          <w:p w:rsidR="005F78FC" w:rsidRDefault="00B42EF3">
            <w:pPr>
              <w:pStyle w:val="TableBodyText"/>
            </w:pPr>
            <w:r>
              <w:t>"[ISO/IEC-29500-1] §22.1.2.103"</w:t>
            </w:r>
          </w:p>
        </w:tc>
      </w:tr>
      <w:tr w:rsidR="005F78FC" w:rsidTr="005F78FC">
        <w:tc>
          <w:tcPr>
            <w:tcW w:w="0" w:type="auto"/>
            <w:vAlign w:val="center"/>
          </w:tcPr>
          <w:p w:rsidR="005F78FC" w:rsidRDefault="00B42EF3">
            <w:pPr>
              <w:pStyle w:val="TableBodyText"/>
            </w:pPr>
            <w:r>
              <w:rPr>
                <w:b/>
              </w:rPr>
              <w:t>sSup</w:t>
            </w:r>
            <w:r>
              <w:t xml:space="preserve"> (Superscript Object)</w:t>
            </w:r>
          </w:p>
        </w:tc>
        <w:tc>
          <w:tcPr>
            <w:tcW w:w="0" w:type="auto"/>
            <w:vAlign w:val="center"/>
          </w:tcPr>
          <w:p w:rsidR="005F78FC" w:rsidRDefault="00B42EF3">
            <w:pPr>
              <w:pStyle w:val="TableBodyText"/>
            </w:pPr>
            <w:r>
              <w:t>"[ISO/IEC-29500-1] §22.1.2.105"</w:t>
            </w:r>
          </w:p>
        </w:tc>
      </w:tr>
    </w:tbl>
    <w:p w:rsidR="005F78FC" w:rsidRDefault="005F78FC"/>
    <w:p w:rsidR="005F78FC" w:rsidRDefault="00B42EF3">
      <w:r>
        <w:t>The fol</w:t>
      </w:r>
      <w:r>
        <w:t>lowing XML Schema fragment defines the contents of this element:</w:t>
      </w:r>
    </w:p>
    <w:p w:rsidR="005F78FC" w:rsidRDefault="00B42EF3">
      <w:pPr>
        <w:pStyle w:val="Code"/>
      </w:pPr>
      <w:r>
        <w:t>&lt;complexType name="CT_SdtContentRunRuby"&gt;</w:t>
      </w:r>
    </w:p>
    <w:p w:rsidR="005F78FC" w:rsidRDefault="00B42EF3">
      <w:pPr>
        <w:pStyle w:val="Code"/>
      </w:pPr>
      <w:r>
        <w:t xml:space="preserve">  &lt;group ref="EG_RubyContent" minOccurs="0" maxOccurs="unbounded"/&gt;</w:t>
      </w:r>
    </w:p>
    <w:p w:rsidR="005F78FC" w:rsidRDefault="00B42EF3">
      <w:pPr>
        <w:pStyle w:val="Code"/>
      </w:pPr>
      <w:r>
        <w:t>&lt;/complexType&gt;</w:t>
      </w:r>
    </w:p>
    <w:p w:rsidR="005F78FC" w:rsidRDefault="00B42EF3">
      <w:pPr>
        <w:pStyle w:val="Heading4"/>
      </w:pPr>
      <w:bookmarkStart w:id="3900" w:name="section_0f6b31f54bcc47ba918420810cfc304f"/>
      <w:bookmarkStart w:id="3901" w:name="_Toc69879723"/>
      <w:r>
        <w:t>Additional Fields</w:t>
      </w:r>
      <w:bookmarkEnd w:id="3900"/>
      <w:bookmarkEnd w:id="3901"/>
    </w:p>
    <w:p w:rsidR="005F78FC" w:rsidRDefault="00B42EF3">
      <w:pPr>
        <w:pStyle w:val="Heading5"/>
      </w:pPr>
      <w:bookmarkStart w:id="3902" w:name="section_a2c3a25a1dba40dabe7a47cf63c78d55"/>
      <w:bookmarkStart w:id="3903" w:name="_Toc69879724"/>
      <w:r>
        <w:t>DDE</w:t>
      </w:r>
      <w:bookmarkEnd w:id="3902"/>
      <w:bookmarkEnd w:id="3903"/>
      <w:r>
        <w:fldChar w:fldCharType="begin"/>
      </w:r>
      <w:r>
        <w:instrText xml:space="preserve"> XE "DDE" </w:instrText>
      </w:r>
      <w:r>
        <w:fldChar w:fldCharType="end"/>
      </w:r>
    </w:p>
    <w:p w:rsidR="005F78FC" w:rsidRDefault="00B42EF3">
      <w:r>
        <w:rPr>
          <w:b/>
        </w:rPr>
        <w:t>Syntax</w:t>
      </w:r>
      <w:r>
        <w:t>:</w:t>
      </w:r>
    </w:p>
    <w:p w:rsidR="005F78FC" w:rsidRDefault="00B42EF3">
      <w:r>
        <w:lastRenderedPageBreak/>
        <w:t xml:space="preserve">DDE field-argument-1  </w:t>
      </w:r>
      <w:r>
        <w:t>field-argument-2  [ field-argument-3 ]  [ switches ]</w:t>
      </w:r>
    </w:p>
    <w:p w:rsidR="005F78FC" w:rsidRDefault="00B42EF3">
      <w:r>
        <w:t>field-argument-1:</w:t>
      </w:r>
    </w:p>
    <w:p w:rsidR="005F78FC" w:rsidRDefault="00B42EF3">
      <w:r>
        <w:t>field-argument</w:t>
      </w:r>
    </w:p>
    <w:p w:rsidR="005F78FC" w:rsidRDefault="00B42EF3">
      <w:r>
        <w:t>field-argument-2:</w:t>
      </w:r>
    </w:p>
    <w:p w:rsidR="005F78FC" w:rsidRDefault="00B42EF3">
      <w:r>
        <w:t>field-argument</w:t>
      </w:r>
    </w:p>
    <w:p w:rsidR="005F78FC" w:rsidRDefault="00B42EF3">
      <w:r>
        <w:t>field-argument-3:</w:t>
      </w:r>
    </w:p>
    <w:p w:rsidR="005F78FC" w:rsidRDefault="00B42EF3">
      <w:r>
        <w:t>field-argument</w:t>
      </w:r>
    </w:p>
    <w:p w:rsidR="005F78FC" w:rsidRDefault="00B42EF3">
      <w:r>
        <w:rPr>
          <w:b/>
        </w:rPr>
        <w:t>Description:</w:t>
      </w:r>
      <w:r>
        <w:t xml:space="preserve"> For information copied from another application, this field links that information to its o</w:t>
      </w:r>
      <w:r>
        <w:t>riginal source file using DDE. The application name shall be specified by field-argument-1; this application shall be running. The name and location of the source file is specified by field-argument-2. The portion of the source file that is being linked is</w:t>
      </w:r>
      <w:r>
        <w:t xml:space="preserve"> specified by field-argument-3. [Note: This field is supported for legacy reasons, and it is recommended that </w:t>
      </w:r>
      <w:r>
        <w:rPr>
          <w:rStyle w:val="InlineCode"/>
        </w:rPr>
        <w:t>LINK</w:t>
      </w:r>
      <w:r>
        <w:t xml:space="preserve"> ("</w:t>
      </w:r>
      <w:hyperlink r:id="rId298">
        <w:r>
          <w:rPr>
            <w:rStyle w:val="Hyperlink"/>
          </w:rPr>
          <w:t>[ISO/IEC-29500-1]</w:t>
        </w:r>
      </w:hyperlink>
      <w:r>
        <w:t xml:space="preserve"> §17.16.5.32; LINK") be used instead. end note]</w:t>
      </w:r>
    </w:p>
    <w:p w:rsidR="005F78FC" w:rsidRDefault="00B42EF3">
      <w:r>
        <w:t>[Example: If the source file is a SpreadsheetML document, the reference might be to a cell reference or a named range. For a WordprocessingML document, it might be a bookmark. end example]</w:t>
      </w:r>
    </w:p>
    <w:p w:rsidR="005F78FC" w:rsidRDefault="00B42EF3">
      <w:r>
        <w:rPr>
          <w:b/>
        </w:rPr>
        <w:t>Field Value</w:t>
      </w:r>
      <w:r>
        <w:t>: The DDE object representation of the linked file, or t</w:t>
      </w:r>
      <w:r>
        <w:t>he contents of the file itself depending on the switches used.</w:t>
      </w:r>
    </w:p>
    <w:p w:rsidR="005F78FC" w:rsidRDefault="00B42EF3">
      <w:r>
        <w:rPr>
          <w:b/>
        </w:rPr>
        <w:t>Switches</w:t>
      </w:r>
      <w:r>
        <w:t>: Zero or more of the following field-specific-switches.</w:t>
      </w:r>
    </w:p>
    <w:tbl>
      <w:tblPr>
        <w:tblStyle w:val="Table-ShadedHeader"/>
        <w:tblW w:w="0" w:type="auto"/>
        <w:tblLook w:val="04A0" w:firstRow="1" w:lastRow="0" w:firstColumn="1" w:lastColumn="0" w:noHBand="0" w:noVBand="1"/>
      </w:tblPr>
      <w:tblGrid>
        <w:gridCol w:w="447"/>
        <w:gridCol w:w="9028"/>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5F78FC" w:rsidRDefault="00B42EF3">
            <w:pPr>
              <w:pStyle w:val="TableHeaderText"/>
            </w:pPr>
            <w:r>
              <w:t>Field specific switches</w:t>
            </w:r>
          </w:p>
        </w:tc>
      </w:tr>
      <w:tr w:rsidR="005F78FC" w:rsidTr="005F78FC">
        <w:tc>
          <w:tcPr>
            <w:tcW w:w="0" w:type="auto"/>
            <w:vAlign w:val="center"/>
          </w:tcPr>
          <w:p w:rsidR="005F78FC" w:rsidRDefault="00B42EF3">
            <w:pPr>
              <w:pStyle w:val="TableBodyText"/>
            </w:pPr>
            <w:r>
              <w:rPr>
                <w:rStyle w:val="InlineCode"/>
              </w:rPr>
              <w:t>\a</w:t>
            </w:r>
          </w:p>
        </w:tc>
        <w:tc>
          <w:tcPr>
            <w:tcW w:w="0" w:type="auto"/>
            <w:vAlign w:val="center"/>
          </w:tcPr>
          <w:p w:rsidR="005F78FC" w:rsidRDefault="00B42EF3">
            <w:pPr>
              <w:pStyle w:val="TableBodyText"/>
            </w:pPr>
            <w:r>
              <w:t>Causes this field to be updated automatically.</w:t>
            </w:r>
          </w:p>
          <w:p w:rsidR="005F78FC" w:rsidRDefault="00B42EF3">
            <w:pPr>
              <w:pStyle w:val="TableBodyText"/>
            </w:pPr>
            <w:r>
              <w:t>Word does not support this switch.</w:t>
            </w:r>
          </w:p>
        </w:tc>
      </w:tr>
      <w:tr w:rsidR="005F78FC" w:rsidTr="005F78FC">
        <w:tc>
          <w:tcPr>
            <w:tcW w:w="0" w:type="auto"/>
            <w:vAlign w:val="center"/>
          </w:tcPr>
          <w:p w:rsidR="005F78FC" w:rsidRDefault="00B42EF3">
            <w:pPr>
              <w:pStyle w:val="TableBodyText"/>
            </w:pPr>
            <w:r>
              <w:rPr>
                <w:rStyle w:val="InlineCode"/>
              </w:rPr>
              <w:t>\b</w:t>
            </w:r>
          </w:p>
        </w:tc>
        <w:tc>
          <w:tcPr>
            <w:tcW w:w="0" w:type="auto"/>
            <w:vAlign w:val="center"/>
          </w:tcPr>
          <w:p w:rsidR="005F78FC" w:rsidRDefault="00B42EF3">
            <w:pPr>
              <w:pStyle w:val="TableBodyText"/>
            </w:pPr>
            <w:r>
              <w:t xml:space="preserve">Requests the linked object as a bitmap. This switch shall not be used in conjunction with any field-specific switches other than </w:t>
            </w:r>
            <w:r>
              <w:rPr>
                <w:rStyle w:val="InlineCode"/>
              </w:rPr>
              <w:t>\a</w:t>
            </w:r>
            <w:r>
              <w:t>.</w:t>
            </w:r>
          </w:p>
        </w:tc>
      </w:tr>
      <w:tr w:rsidR="005F78FC" w:rsidTr="005F78FC">
        <w:tc>
          <w:tcPr>
            <w:tcW w:w="0" w:type="auto"/>
            <w:vAlign w:val="center"/>
          </w:tcPr>
          <w:p w:rsidR="005F78FC" w:rsidRDefault="00B42EF3">
            <w:pPr>
              <w:pStyle w:val="TableBodyText"/>
            </w:pPr>
            <w:r>
              <w:rPr>
                <w:rStyle w:val="InlineCode"/>
              </w:rPr>
              <w:t>\d</w:t>
            </w:r>
          </w:p>
        </w:tc>
        <w:tc>
          <w:tcPr>
            <w:tcW w:w="0" w:type="auto"/>
            <w:vAlign w:val="center"/>
          </w:tcPr>
          <w:p w:rsidR="005F78FC" w:rsidRDefault="00B42EF3">
            <w:pPr>
              <w:pStyle w:val="TableBodyText"/>
            </w:pPr>
            <w:r>
              <w:t>Specifies that the graphic data shall not be stored with the document, thus reducing the file size. This switch shall n</w:t>
            </w:r>
            <w:r>
              <w:t xml:space="preserve">ot be used in conjunction with any field-specific switches other than </w:t>
            </w:r>
            <w:r>
              <w:rPr>
                <w:rStyle w:val="InlineCode"/>
              </w:rPr>
              <w:t>\a</w:t>
            </w:r>
            <w:r>
              <w:t>.</w:t>
            </w:r>
          </w:p>
          <w:p w:rsidR="005F78FC" w:rsidRDefault="00B42EF3">
            <w:pPr>
              <w:pStyle w:val="TableBodyText"/>
            </w:pPr>
            <w:r>
              <w:t>Word does not support this switch.</w:t>
            </w:r>
          </w:p>
        </w:tc>
      </w:tr>
      <w:tr w:rsidR="005F78FC" w:rsidTr="005F78FC">
        <w:tc>
          <w:tcPr>
            <w:tcW w:w="0" w:type="auto"/>
            <w:vAlign w:val="center"/>
          </w:tcPr>
          <w:p w:rsidR="005F78FC" w:rsidRDefault="00B42EF3">
            <w:pPr>
              <w:pStyle w:val="TableBodyText"/>
            </w:pPr>
            <w:r>
              <w:rPr>
                <w:rStyle w:val="InlineCode"/>
              </w:rPr>
              <w:t>\h</w:t>
            </w:r>
          </w:p>
        </w:tc>
        <w:tc>
          <w:tcPr>
            <w:tcW w:w="0" w:type="auto"/>
            <w:vAlign w:val="center"/>
          </w:tcPr>
          <w:p w:rsidR="005F78FC" w:rsidRDefault="00B42EF3">
            <w:pPr>
              <w:pStyle w:val="TableBodyText"/>
            </w:pPr>
            <w:r>
              <w:t xml:space="preserve">Requests the linked object as HTML-formatted text. This switch shall not be used in conjunction with any field-specific switches other than </w:t>
            </w:r>
            <w:r>
              <w:rPr>
                <w:rStyle w:val="InlineCode"/>
              </w:rPr>
              <w:t>\a</w:t>
            </w:r>
            <w:r>
              <w:t>.</w:t>
            </w:r>
          </w:p>
        </w:tc>
      </w:tr>
      <w:tr w:rsidR="005F78FC" w:rsidTr="005F78FC">
        <w:tc>
          <w:tcPr>
            <w:tcW w:w="0" w:type="auto"/>
            <w:vAlign w:val="center"/>
          </w:tcPr>
          <w:p w:rsidR="005F78FC" w:rsidRDefault="00B42EF3">
            <w:pPr>
              <w:pStyle w:val="TableBodyText"/>
            </w:pPr>
            <w:r>
              <w:rPr>
                <w:rStyle w:val="InlineCode"/>
              </w:rPr>
              <w:t>\p</w:t>
            </w:r>
          </w:p>
        </w:tc>
        <w:tc>
          <w:tcPr>
            <w:tcW w:w="0" w:type="auto"/>
            <w:vAlign w:val="center"/>
          </w:tcPr>
          <w:p w:rsidR="005F78FC" w:rsidRDefault="00B42EF3">
            <w:pPr>
              <w:pStyle w:val="TableBodyText"/>
            </w:pPr>
            <w:r>
              <w:t xml:space="preserve">Requests the linked object as a picture. This switch shall not be used in conjunction with any field-specific switches other than </w:t>
            </w:r>
            <w:r>
              <w:rPr>
                <w:rStyle w:val="InlineCode"/>
              </w:rPr>
              <w:t>\a</w:t>
            </w:r>
            <w:r>
              <w:t>.</w:t>
            </w:r>
          </w:p>
        </w:tc>
      </w:tr>
      <w:tr w:rsidR="005F78FC" w:rsidTr="005F78FC">
        <w:tc>
          <w:tcPr>
            <w:tcW w:w="0" w:type="auto"/>
            <w:vAlign w:val="center"/>
          </w:tcPr>
          <w:p w:rsidR="005F78FC" w:rsidRDefault="00B42EF3">
            <w:pPr>
              <w:pStyle w:val="TableBodyText"/>
            </w:pPr>
            <w:r>
              <w:rPr>
                <w:rStyle w:val="InlineCode"/>
              </w:rPr>
              <w:t>\r</w:t>
            </w:r>
          </w:p>
        </w:tc>
        <w:tc>
          <w:tcPr>
            <w:tcW w:w="0" w:type="auto"/>
            <w:vAlign w:val="center"/>
          </w:tcPr>
          <w:p w:rsidR="005F78FC" w:rsidRDefault="00B42EF3">
            <w:pPr>
              <w:pStyle w:val="TableBodyText"/>
            </w:pPr>
            <w:r>
              <w:t>Requests the linked object in rich-text format (RTF). This switch shall not be used in conjunction with any field</w:t>
            </w:r>
            <w:r>
              <w:t xml:space="preserve">-specific switches other than </w:t>
            </w:r>
            <w:r>
              <w:rPr>
                <w:rStyle w:val="InlineCode"/>
              </w:rPr>
              <w:t>\a</w:t>
            </w:r>
            <w:r>
              <w:t>.</w:t>
            </w:r>
          </w:p>
        </w:tc>
      </w:tr>
      <w:tr w:rsidR="005F78FC" w:rsidTr="005F78FC">
        <w:tc>
          <w:tcPr>
            <w:tcW w:w="0" w:type="auto"/>
            <w:vAlign w:val="center"/>
          </w:tcPr>
          <w:p w:rsidR="005F78FC" w:rsidRDefault="00B42EF3">
            <w:pPr>
              <w:pStyle w:val="TableBodyText"/>
            </w:pPr>
            <w:r>
              <w:rPr>
                <w:rStyle w:val="InlineCode"/>
              </w:rPr>
              <w:t>\t</w:t>
            </w:r>
          </w:p>
        </w:tc>
        <w:tc>
          <w:tcPr>
            <w:tcW w:w="0" w:type="auto"/>
            <w:vAlign w:val="center"/>
          </w:tcPr>
          <w:p w:rsidR="005F78FC" w:rsidRDefault="00B42EF3">
            <w:pPr>
              <w:pStyle w:val="TableBodyText"/>
            </w:pPr>
            <w:r>
              <w:t xml:space="preserve">Requests the linked object in text-only format. This switch shall not be used in conjunction with any field-specific switches other than </w:t>
            </w:r>
            <w:r>
              <w:rPr>
                <w:rStyle w:val="InlineCode"/>
              </w:rPr>
              <w:t>\a</w:t>
            </w:r>
            <w:r>
              <w:t>.</w:t>
            </w:r>
          </w:p>
        </w:tc>
      </w:tr>
      <w:tr w:rsidR="005F78FC" w:rsidTr="005F78FC">
        <w:tc>
          <w:tcPr>
            <w:tcW w:w="0" w:type="auto"/>
            <w:vAlign w:val="center"/>
          </w:tcPr>
          <w:p w:rsidR="005F78FC" w:rsidRDefault="00B42EF3">
            <w:pPr>
              <w:pStyle w:val="TableBodyText"/>
            </w:pPr>
            <w:r>
              <w:rPr>
                <w:rStyle w:val="InlineCode"/>
              </w:rPr>
              <w:t>\u</w:t>
            </w:r>
          </w:p>
        </w:tc>
        <w:tc>
          <w:tcPr>
            <w:tcW w:w="0" w:type="auto"/>
            <w:vAlign w:val="center"/>
          </w:tcPr>
          <w:p w:rsidR="005F78FC" w:rsidRDefault="00B42EF3">
            <w:pPr>
              <w:pStyle w:val="TableBodyText"/>
            </w:pPr>
            <w:r>
              <w:t>Requests the linked object as Unicode text. This switch shall not be used</w:t>
            </w:r>
            <w:r>
              <w:t xml:space="preserve"> in conjunction with any field-specific switches other than </w:t>
            </w:r>
            <w:r>
              <w:rPr>
                <w:rStyle w:val="InlineCode"/>
              </w:rPr>
              <w:t>\a</w:t>
            </w:r>
            <w:r>
              <w:t>.</w:t>
            </w:r>
          </w:p>
          <w:p w:rsidR="005F78FC" w:rsidRDefault="00B42EF3">
            <w:pPr>
              <w:pStyle w:val="TableBodyText"/>
            </w:pPr>
            <w:r>
              <w:t>Word does not support this switch.</w:t>
            </w:r>
          </w:p>
        </w:tc>
      </w:tr>
    </w:tbl>
    <w:p w:rsidR="005F78FC" w:rsidRDefault="005F78FC"/>
    <w:p w:rsidR="005F78FC" w:rsidRDefault="00B42EF3">
      <w:r>
        <w:t>[Example: The following example inserts a range of cells from a SpreadsheetML worksheet.</w:t>
      </w:r>
    </w:p>
    <w:p w:rsidR="005F78FC" w:rsidRDefault="00B42EF3">
      <w:pPr>
        <w:pStyle w:val="Code"/>
      </w:pPr>
      <w:r>
        <w:lastRenderedPageBreak/>
        <w:t>{ DDE excel "C:\\My Documents\\Profits.xls"</w:t>
      </w:r>
    </w:p>
    <w:p w:rsidR="005F78FC" w:rsidRDefault="00B42EF3">
      <w:pPr>
        <w:pStyle w:val="Code"/>
      </w:pPr>
      <w:r>
        <w:t xml:space="preserve">   "Sheet1!R1C1:R4C4" \a \p } </w:t>
      </w:r>
    </w:p>
    <w:p w:rsidR="005F78FC" w:rsidRDefault="00B42EF3">
      <w:r>
        <w:t>end example]</w:t>
      </w:r>
    </w:p>
    <w:p w:rsidR="005F78FC" w:rsidRDefault="00B42EF3">
      <w:pPr>
        <w:pStyle w:val="Heading5"/>
      </w:pPr>
      <w:bookmarkStart w:id="3904" w:name="section_4fe6d033f0d44d73ac81a7128522c5ff"/>
      <w:bookmarkStart w:id="3905" w:name="_Toc69879725"/>
      <w:r>
        <w:t>DDEAUTO</w:t>
      </w:r>
      <w:bookmarkEnd w:id="3904"/>
      <w:bookmarkEnd w:id="3905"/>
      <w:r>
        <w:fldChar w:fldCharType="begin"/>
      </w:r>
      <w:r>
        <w:instrText xml:space="preserve"> XE "DDEAUTO" </w:instrText>
      </w:r>
      <w:r>
        <w:fldChar w:fldCharType="end"/>
      </w:r>
    </w:p>
    <w:p w:rsidR="005F78FC" w:rsidRDefault="00B42EF3">
      <w:r>
        <w:rPr>
          <w:b/>
        </w:rPr>
        <w:t>Syntax</w:t>
      </w:r>
      <w:r>
        <w:t>:</w:t>
      </w:r>
    </w:p>
    <w:p w:rsidR="005F78FC" w:rsidRDefault="00B42EF3">
      <w:r>
        <w:t>DDEAUTO field-argument-1  field-argument-2  [ field-argument-3 ]  [ switches ]</w:t>
      </w:r>
    </w:p>
    <w:p w:rsidR="005F78FC" w:rsidRDefault="00B42EF3">
      <w:r>
        <w:t>field-argument-1:</w:t>
      </w:r>
    </w:p>
    <w:p w:rsidR="005F78FC" w:rsidRDefault="00B42EF3">
      <w:r>
        <w:t>field-argument</w:t>
      </w:r>
    </w:p>
    <w:p w:rsidR="005F78FC" w:rsidRDefault="00B42EF3">
      <w:r>
        <w:t>field-argument-2:</w:t>
      </w:r>
    </w:p>
    <w:p w:rsidR="005F78FC" w:rsidRDefault="00B42EF3">
      <w:r>
        <w:t>field-argument</w:t>
      </w:r>
    </w:p>
    <w:p w:rsidR="005F78FC" w:rsidRDefault="00B42EF3">
      <w:r>
        <w:t>field-argument-3:</w:t>
      </w:r>
    </w:p>
    <w:p w:rsidR="005F78FC" w:rsidRDefault="00B42EF3">
      <w:r>
        <w:t>field-argument</w:t>
      </w:r>
    </w:p>
    <w:p w:rsidR="005F78FC" w:rsidRDefault="00B42EF3">
      <w:r>
        <w:rPr>
          <w:b/>
        </w:rPr>
        <w:t>Description:</w:t>
      </w:r>
      <w:r>
        <w:t xml:space="preserve"> For information copied from another application, this field links that information to its original source file using DDE and is updated automatically. The application name shall be specified in field-argument-1; this application must be runnin</w:t>
      </w:r>
      <w:r>
        <w:t xml:space="preserve">g. The name and location of the source file is specified by field-argument-2. The portion of the source file that is being linked is specified by field-argument-3. [Note: This field is supported for legacy reasons, and it is recommended that </w:t>
      </w:r>
      <w:r>
        <w:rPr>
          <w:rStyle w:val="InlineCode"/>
        </w:rPr>
        <w:t>LINK</w:t>
      </w:r>
      <w:r>
        <w:t xml:space="preserve"> ("</w:t>
      </w:r>
      <w:hyperlink r:id="rId299">
        <w:r>
          <w:rPr>
            <w:rStyle w:val="Hyperlink"/>
          </w:rPr>
          <w:t>[ISO/IEC-29500-1]</w:t>
        </w:r>
      </w:hyperlink>
      <w:r>
        <w:t xml:space="preserve"> §17.16.5.32; LINK") be used instead. end note] [Example: If the source file is a SpreadsheetML document, the reference might be to a cell reference or a named range. For a Wordpro</w:t>
      </w:r>
      <w:r>
        <w:t>cessingML document, it might be a bookmark. end example]</w:t>
      </w:r>
    </w:p>
    <w:p w:rsidR="005F78FC" w:rsidRDefault="00B42EF3">
      <w:r>
        <w:rPr>
          <w:b/>
        </w:rPr>
        <w:t>Field Value</w:t>
      </w:r>
      <w:r>
        <w:t>: The DDE object representation of the linked file or the contents of the file itself, depending on the switches used.</w:t>
      </w:r>
    </w:p>
    <w:p w:rsidR="005F78FC" w:rsidRDefault="00B42EF3">
      <w:r>
        <w:rPr>
          <w:b/>
        </w:rPr>
        <w:t>Switches</w:t>
      </w:r>
      <w:r>
        <w:t>: Zero or more of the following field-specific-switches.</w:t>
      </w:r>
    </w:p>
    <w:tbl>
      <w:tblPr>
        <w:tblStyle w:val="Table-ShadedHeader"/>
        <w:tblW w:w="0" w:type="auto"/>
        <w:tblLook w:val="04A0" w:firstRow="1" w:lastRow="0" w:firstColumn="1" w:lastColumn="0" w:noHBand="0" w:noVBand="1"/>
      </w:tblPr>
      <w:tblGrid>
        <w:gridCol w:w="447"/>
        <w:gridCol w:w="9028"/>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5F78FC" w:rsidRDefault="00B42EF3">
            <w:pPr>
              <w:pStyle w:val="TableHeaderText"/>
            </w:pPr>
            <w:r>
              <w:t>Fiel</w:t>
            </w:r>
            <w:r>
              <w:t>d specific switches</w:t>
            </w:r>
          </w:p>
        </w:tc>
      </w:tr>
      <w:tr w:rsidR="005F78FC" w:rsidTr="005F78FC">
        <w:tc>
          <w:tcPr>
            <w:tcW w:w="0" w:type="auto"/>
            <w:vAlign w:val="center"/>
          </w:tcPr>
          <w:p w:rsidR="005F78FC" w:rsidRDefault="00B42EF3">
            <w:pPr>
              <w:pStyle w:val="TableBodyText"/>
            </w:pPr>
            <w:r>
              <w:rPr>
                <w:rStyle w:val="InlineCode"/>
              </w:rPr>
              <w:t>\b</w:t>
            </w:r>
          </w:p>
        </w:tc>
        <w:tc>
          <w:tcPr>
            <w:tcW w:w="0" w:type="auto"/>
            <w:vAlign w:val="center"/>
          </w:tcPr>
          <w:p w:rsidR="005F78FC" w:rsidRDefault="00B42EF3">
            <w:pPr>
              <w:pStyle w:val="TableBodyText"/>
            </w:pPr>
            <w:r>
              <w:t>Requests the linked object as a bitmap. This switch shall not be used in conjunction with any field-specific switches.</w:t>
            </w:r>
          </w:p>
        </w:tc>
      </w:tr>
      <w:tr w:rsidR="005F78FC" w:rsidTr="005F78FC">
        <w:tc>
          <w:tcPr>
            <w:tcW w:w="0" w:type="auto"/>
            <w:vAlign w:val="center"/>
          </w:tcPr>
          <w:p w:rsidR="005F78FC" w:rsidRDefault="00B42EF3">
            <w:pPr>
              <w:pStyle w:val="TableBodyText"/>
            </w:pPr>
            <w:r>
              <w:rPr>
                <w:rStyle w:val="InlineCode"/>
              </w:rPr>
              <w:t>\d</w:t>
            </w:r>
          </w:p>
        </w:tc>
        <w:tc>
          <w:tcPr>
            <w:tcW w:w="0" w:type="auto"/>
            <w:vAlign w:val="center"/>
          </w:tcPr>
          <w:p w:rsidR="005F78FC" w:rsidRDefault="00B42EF3">
            <w:pPr>
              <w:pStyle w:val="TableBodyText"/>
            </w:pPr>
            <w:r>
              <w:t xml:space="preserve">Specifies that the graphic data shall not be stored with the document, thus reducing the file size. This </w:t>
            </w:r>
            <w:r>
              <w:t>switch shall not be used in conjunction with any field-specific switches.</w:t>
            </w:r>
          </w:p>
          <w:p w:rsidR="005F78FC" w:rsidRDefault="00B42EF3">
            <w:pPr>
              <w:pStyle w:val="TableBodyText"/>
            </w:pPr>
            <w:r>
              <w:t>Word does not support this switch.</w:t>
            </w:r>
          </w:p>
        </w:tc>
      </w:tr>
      <w:tr w:rsidR="005F78FC" w:rsidTr="005F78FC">
        <w:tc>
          <w:tcPr>
            <w:tcW w:w="0" w:type="auto"/>
            <w:vAlign w:val="center"/>
          </w:tcPr>
          <w:p w:rsidR="005F78FC" w:rsidRDefault="00B42EF3">
            <w:pPr>
              <w:pStyle w:val="TableBodyText"/>
            </w:pPr>
            <w:r>
              <w:rPr>
                <w:rStyle w:val="InlineCode"/>
              </w:rPr>
              <w:t>\h</w:t>
            </w:r>
          </w:p>
        </w:tc>
        <w:tc>
          <w:tcPr>
            <w:tcW w:w="0" w:type="auto"/>
            <w:vAlign w:val="center"/>
          </w:tcPr>
          <w:p w:rsidR="005F78FC" w:rsidRDefault="00B42EF3">
            <w:pPr>
              <w:pStyle w:val="TableBodyText"/>
            </w:pPr>
            <w:r>
              <w:t>Requests the linked object as HTML-formatted text. This switch shall not be used in conjunction with any field-specific switches.</w:t>
            </w:r>
          </w:p>
        </w:tc>
      </w:tr>
      <w:tr w:rsidR="005F78FC" w:rsidTr="005F78FC">
        <w:tc>
          <w:tcPr>
            <w:tcW w:w="0" w:type="auto"/>
            <w:vAlign w:val="center"/>
          </w:tcPr>
          <w:p w:rsidR="005F78FC" w:rsidRDefault="00B42EF3">
            <w:pPr>
              <w:pStyle w:val="TableBodyText"/>
            </w:pPr>
            <w:r>
              <w:rPr>
                <w:rStyle w:val="InlineCode"/>
              </w:rPr>
              <w:t>\p</w:t>
            </w:r>
          </w:p>
        </w:tc>
        <w:tc>
          <w:tcPr>
            <w:tcW w:w="0" w:type="auto"/>
            <w:vAlign w:val="center"/>
          </w:tcPr>
          <w:p w:rsidR="005F78FC" w:rsidRDefault="00B42EF3">
            <w:pPr>
              <w:pStyle w:val="TableBodyText"/>
            </w:pPr>
            <w:r>
              <w:t xml:space="preserve">Requests </w:t>
            </w:r>
            <w:r>
              <w:t>the linked object as a picture. This switch shall not be used in conjunction with any field-specific switches.</w:t>
            </w:r>
          </w:p>
        </w:tc>
      </w:tr>
      <w:tr w:rsidR="005F78FC" w:rsidTr="005F78FC">
        <w:tc>
          <w:tcPr>
            <w:tcW w:w="0" w:type="auto"/>
            <w:vAlign w:val="center"/>
          </w:tcPr>
          <w:p w:rsidR="005F78FC" w:rsidRDefault="00B42EF3">
            <w:pPr>
              <w:pStyle w:val="TableBodyText"/>
            </w:pPr>
            <w:r>
              <w:rPr>
                <w:rStyle w:val="InlineCode"/>
              </w:rPr>
              <w:t>\r</w:t>
            </w:r>
          </w:p>
        </w:tc>
        <w:tc>
          <w:tcPr>
            <w:tcW w:w="0" w:type="auto"/>
            <w:vAlign w:val="center"/>
          </w:tcPr>
          <w:p w:rsidR="005F78FC" w:rsidRDefault="00B42EF3">
            <w:pPr>
              <w:pStyle w:val="TableBodyText"/>
            </w:pPr>
            <w:r>
              <w:t>Requests the linked object in rich-text format (RTF). This switch shall not be used in conjunction with any field-specific switches.</w:t>
            </w:r>
          </w:p>
        </w:tc>
      </w:tr>
      <w:tr w:rsidR="005F78FC" w:rsidTr="005F78FC">
        <w:tc>
          <w:tcPr>
            <w:tcW w:w="0" w:type="auto"/>
            <w:vAlign w:val="center"/>
          </w:tcPr>
          <w:p w:rsidR="005F78FC" w:rsidRDefault="00B42EF3">
            <w:pPr>
              <w:pStyle w:val="TableBodyText"/>
            </w:pPr>
            <w:r>
              <w:rPr>
                <w:rStyle w:val="InlineCode"/>
              </w:rPr>
              <w:t>\t</w:t>
            </w:r>
          </w:p>
        </w:tc>
        <w:tc>
          <w:tcPr>
            <w:tcW w:w="0" w:type="auto"/>
            <w:vAlign w:val="center"/>
          </w:tcPr>
          <w:p w:rsidR="005F78FC" w:rsidRDefault="00B42EF3">
            <w:pPr>
              <w:pStyle w:val="TableBodyText"/>
            </w:pPr>
            <w:r>
              <w:t>Requ</w:t>
            </w:r>
            <w:r>
              <w:t>ests the linked object in text-only format. This switch shall not be used in conjunction with any field-specific switches.</w:t>
            </w:r>
          </w:p>
        </w:tc>
      </w:tr>
      <w:tr w:rsidR="005F78FC" w:rsidTr="005F78FC">
        <w:tc>
          <w:tcPr>
            <w:tcW w:w="0" w:type="auto"/>
            <w:vAlign w:val="center"/>
          </w:tcPr>
          <w:p w:rsidR="005F78FC" w:rsidRDefault="00B42EF3">
            <w:pPr>
              <w:pStyle w:val="TableBodyText"/>
            </w:pPr>
            <w:r>
              <w:rPr>
                <w:rStyle w:val="InlineCode"/>
              </w:rPr>
              <w:t>\u</w:t>
            </w:r>
          </w:p>
        </w:tc>
        <w:tc>
          <w:tcPr>
            <w:tcW w:w="0" w:type="auto"/>
            <w:vAlign w:val="center"/>
          </w:tcPr>
          <w:p w:rsidR="005F78FC" w:rsidRDefault="00B42EF3">
            <w:pPr>
              <w:pStyle w:val="TableBodyText"/>
            </w:pPr>
            <w:r>
              <w:t>Requests the linked object as Unicode text. This switch shall not be used in conjunction with any field-specific switches.</w:t>
            </w:r>
          </w:p>
          <w:p w:rsidR="005F78FC" w:rsidRDefault="00B42EF3">
            <w:pPr>
              <w:pStyle w:val="TableBodyText"/>
            </w:pPr>
            <w:r>
              <w:lastRenderedPageBreak/>
              <w:t>Word d</w:t>
            </w:r>
            <w:r>
              <w:t>oes not support this switch.</w:t>
            </w:r>
          </w:p>
        </w:tc>
      </w:tr>
    </w:tbl>
    <w:p w:rsidR="005F78FC" w:rsidRDefault="005F78FC"/>
    <w:p w:rsidR="005F78FC" w:rsidRDefault="00B42EF3">
      <w:r>
        <w:t xml:space="preserve">[Example: The following example inserts a range of cells from a SpreadsheetML worksheet. </w:t>
      </w:r>
    </w:p>
    <w:p w:rsidR="005F78FC" w:rsidRDefault="00B42EF3">
      <w:pPr>
        <w:pStyle w:val="Code"/>
      </w:pPr>
      <w:r>
        <w:t>{ DDEAUTO excel "C:\\My Documents\\Profits.xls"</w:t>
      </w:r>
    </w:p>
    <w:p w:rsidR="005F78FC" w:rsidRDefault="00B42EF3">
      <w:pPr>
        <w:pStyle w:val="Code"/>
      </w:pPr>
      <w:r>
        <w:t xml:space="preserve">   "Sheet1!R1C1:R4C4" \p } </w:t>
      </w:r>
    </w:p>
    <w:p w:rsidR="005F78FC" w:rsidRDefault="00B42EF3">
      <w:r>
        <w:t>end example]</w:t>
      </w:r>
    </w:p>
    <w:p w:rsidR="005F78FC" w:rsidRDefault="00B42EF3">
      <w:pPr>
        <w:pStyle w:val="Heading5"/>
      </w:pPr>
      <w:bookmarkStart w:id="3906" w:name="section_911a353b274e487b86d29c8271f7a2b5"/>
      <w:bookmarkStart w:id="3907" w:name="_Toc69879726"/>
      <w:r>
        <w:t>GLOSSARY</w:t>
      </w:r>
      <w:bookmarkEnd w:id="3906"/>
      <w:bookmarkEnd w:id="3907"/>
      <w:r>
        <w:fldChar w:fldCharType="begin"/>
      </w:r>
      <w:r>
        <w:instrText xml:space="preserve"> XE "GLOSSARY" </w:instrText>
      </w:r>
      <w:r>
        <w:fldChar w:fldCharType="end"/>
      </w:r>
    </w:p>
    <w:p w:rsidR="005F78FC" w:rsidRDefault="00B42EF3">
      <w:r>
        <w:rPr>
          <w:b/>
        </w:rPr>
        <w:t>Syntax</w:t>
      </w:r>
      <w:r>
        <w:t>:</w:t>
      </w:r>
    </w:p>
    <w:p w:rsidR="005F78FC" w:rsidRDefault="00B42EF3">
      <w:r>
        <w:t xml:space="preserve">GLOSSARY </w:t>
      </w:r>
      <w:r>
        <w:t>field-argument</w:t>
      </w:r>
    </w:p>
    <w:p w:rsidR="005F78FC" w:rsidRDefault="00B42EF3">
      <w:r>
        <w:rPr>
          <w:b/>
        </w:rPr>
        <w:t>Description:</w:t>
      </w:r>
      <w:r>
        <w:t xml:space="preserve"> Inserts the glossary entry whose name is specified by text in field-argument. </w:t>
      </w:r>
    </w:p>
    <w:p w:rsidR="005F78FC" w:rsidRDefault="00B42EF3">
      <w:r>
        <w:t>Regarding XML generation, the field result is the value of the glossary. [Note: This can be arbitrarily complex and involve VML. end note]</w:t>
      </w:r>
    </w:p>
    <w:p w:rsidR="005F78FC" w:rsidRDefault="00B42EF3">
      <w:r>
        <w:rPr>
          <w:b/>
        </w:rPr>
        <w:t>Field Valu</w:t>
      </w:r>
      <w:r>
        <w:rPr>
          <w:b/>
        </w:rPr>
        <w:t>e</w:t>
      </w:r>
      <w:r>
        <w:t>: The specified glossary entry.</w:t>
      </w:r>
    </w:p>
    <w:p w:rsidR="005F78FC" w:rsidRDefault="00B42EF3">
      <w:r>
        <w:rPr>
          <w:b/>
        </w:rPr>
        <w:t>Switches</w:t>
      </w:r>
      <w:r>
        <w:t>: None.</w:t>
      </w:r>
    </w:p>
    <w:p w:rsidR="005F78FC" w:rsidRDefault="00B42EF3">
      <w:r>
        <w:t>[Example: Assume the following entries are defined with values of current page number, salutation, and a notice:</w:t>
      </w:r>
    </w:p>
    <w:p w:rsidR="005F78FC" w:rsidRDefault="00B42EF3">
      <w:pPr>
        <w:pStyle w:val="Code"/>
      </w:pPr>
      <w:r>
        <w:t>GLOSSARY "- PAGE -"</w:t>
      </w:r>
    </w:p>
    <w:p w:rsidR="005F78FC" w:rsidRDefault="00B42EF3">
      <w:pPr>
        <w:pStyle w:val="Code"/>
      </w:pPr>
      <w:r>
        <w:t xml:space="preserve">GLOSSARY "Yours truly," </w:t>
      </w:r>
    </w:p>
    <w:p w:rsidR="005F78FC" w:rsidRDefault="00B42EF3">
      <w:pPr>
        <w:pStyle w:val="Code"/>
      </w:pPr>
      <w:r>
        <w:t>GLOSSARY Confidential</w:t>
      </w:r>
    </w:p>
    <w:p w:rsidR="005F78FC" w:rsidRDefault="00B42EF3">
      <w:r>
        <w:t xml:space="preserve">When evaluated, they might </w:t>
      </w:r>
      <w:r>
        <w:t>produce the following results:</w:t>
      </w:r>
    </w:p>
    <w:p w:rsidR="005F78FC" w:rsidRDefault="00B42EF3">
      <w:pPr>
        <w:pStyle w:val="Code"/>
      </w:pPr>
      <w:r>
        <w:t xml:space="preserve"> - 13 -</w:t>
      </w:r>
    </w:p>
    <w:p w:rsidR="005F78FC" w:rsidRDefault="00B42EF3">
      <w:pPr>
        <w:pStyle w:val="Code"/>
      </w:pPr>
      <w:r>
        <w:t>Yours truly,</w:t>
      </w:r>
    </w:p>
    <w:p w:rsidR="005F78FC" w:rsidRDefault="00B42EF3">
      <w:pPr>
        <w:pStyle w:val="Code"/>
      </w:pPr>
      <w:r>
        <w:t>CONFIDENTIAL</w:t>
      </w:r>
    </w:p>
    <w:p w:rsidR="005F78FC" w:rsidRDefault="00B42EF3">
      <w:r>
        <w:t>end example]</w:t>
      </w:r>
    </w:p>
    <w:p w:rsidR="005F78FC" w:rsidRDefault="00B42EF3">
      <w:pPr>
        <w:pStyle w:val="Heading5"/>
      </w:pPr>
      <w:bookmarkStart w:id="3908" w:name="section_abc02456ec344da29bd1fccd0bee1ee0"/>
      <w:bookmarkStart w:id="3909" w:name="_Toc69879727"/>
      <w:r>
        <w:t>IMPORT</w:t>
      </w:r>
      <w:bookmarkEnd w:id="3908"/>
      <w:bookmarkEnd w:id="3909"/>
      <w:r>
        <w:fldChar w:fldCharType="begin"/>
      </w:r>
      <w:r>
        <w:instrText xml:space="preserve"> XE "IMPORT" </w:instrText>
      </w:r>
      <w:r>
        <w:fldChar w:fldCharType="end"/>
      </w:r>
    </w:p>
    <w:p w:rsidR="005F78FC" w:rsidRDefault="00B42EF3">
      <w:r>
        <w:rPr>
          <w:b/>
        </w:rPr>
        <w:t>Syntax</w:t>
      </w:r>
      <w:r>
        <w:t>:</w:t>
      </w:r>
    </w:p>
    <w:p w:rsidR="005F78FC" w:rsidRDefault="00B42EF3">
      <w:r>
        <w:t>IMPORT  field-argument  [ switches ]</w:t>
      </w:r>
    </w:p>
    <w:p w:rsidR="005F78FC" w:rsidRDefault="00B42EF3">
      <w:r>
        <w:rPr>
          <w:b/>
        </w:rPr>
        <w:t>Description:</w:t>
      </w:r>
      <w:r>
        <w:t xml:space="preserve"> Retrieves the picture contained in the document named by field-argument.</w:t>
      </w:r>
    </w:p>
    <w:p w:rsidR="005F78FC" w:rsidRDefault="00B42EF3">
      <w:r>
        <w:rPr>
          <w:b/>
        </w:rPr>
        <w:t>Field Value</w:t>
      </w:r>
      <w:r>
        <w:t xml:space="preserve">: The </w:t>
      </w:r>
      <w:r>
        <w:t>specified picture.</w:t>
      </w:r>
    </w:p>
    <w:p w:rsidR="005F78FC" w:rsidRDefault="00B42EF3">
      <w:r>
        <w:rPr>
          <w:b/>
        </w:rPr>
        <w:t>Switches</w:t>
      </w:r>
      <w:r>
        <w:t>: Zero or more of the following field-specific-switches.</w:t>
      </w:r>
    </w:p>
    <w:tbl>
      <w:tblPr>
        <w:tblStyle w:val="Table-ShadedHeader"/>
        <w:tblW w:w="0" w:type="auto"/>
        <w:tblLook w:val="04A0" w:firstRow="1" w:lastRow="0" w:firstColumn="1" w:lastColumn="0" w:noHBand="0" w:noVBand="1"/>
      </w:tblPr>
      <w:tblGrid>
        <w:gridCol w:w="1747"/>
        <w:gridCol w:w="6431"/>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5F78FC" w:rsidRDefault="00B42EF3">
            <w:pPr>
              <w:pStyle w:val="TableHeaderText"/>
            </w:pPr>
            <w:r>
              <w:lastRenderedPageBreak/>
              <w:t>Field specific switches</w:t>
            </w:r>
          </w:p>
        </w:tc>
      </w:tr>
      <w:tr w:rsidR="005F78FC" w:rsidTr="005F78FC">
        <w:tc>
          <w:tcPr>
            <w:tcW w:w="0" w:type="auto"/>
            <w:vAlign w:val="center"/>
          </w:tcPr>
          <w:p w:rsidR="005F78FC" w:rsidRDefault="00B42EF3">
            <w:pPr>
              <w:pStyle w:val="TableBodyText"/>
            </w:pPr>
            <w:r>
              <w:rPr>
                <w:rStyle w:val="InlineCode"/>
              </w:rPr>
              <w:t xml:space="preserve">\c </w:t>
            </w:r>
            <w:r>
              <w:t>field-argument</w:t>
            </w:r>
          </w:p>
        </w:tc>
        <w:tc>
          <w:tcPr>
            <w:tcW w:w="0" w:type="auto"/>
            <w:vAlign w:val="center"/>
          </w:tcPr>
          <w:p w:rsidR="005F78FC" w:rsidRDefault="00B42EF3">
            <w:pPr>
              <w:pStyle w:val="TableBodyText"/>
            </w:pPr>
            <w:r>
              <w:t>If text in this switch's field-argument identifies the graphics filter to be used.</w:t>
            </w:r>
          </w:p>
        </w:tc>
      </w:tr>
      <w:tr w:rsidR="005F78FC" w:rsidTr="005F78FC">
        <w:tc>
          <w:tcPr>
            <w:tcW w:w="0" w:type="auto"/>
            <w:vAlign w:val="center"/>
          </w:tcPr>
          <w:p w:rsidR="005F78FC" w:rsidRDefault="00B42EF3">
            <w:pPr>
              <w:pStyle w:val="TableBodyText"/>
            </w:pPr>
            <w:r>
              <w:rPr>
                <w:rStyle w:val="InlineCode"/>
              </w:rPr>
              <w:t>\d</w:t>
            </w:r>
          </w:p>
        </w:tc>
        <w:tc>
          <w:tcPr>
            <w:tcW w:w="0" w:type="auto"/>
            <w:vAlign w:val="center"/>
          </w:tcPr>
          <w:p w:rsidR="005F78FC" w:rsidRDefault="00B42EF3">
            <w:pPr>
              <w:pStyle w:val="TableBodyText"/>
            </w:pPr>
            <w:r>
              <w:t xml:space="preserve">Reduce the file size by not storing </w:t>
            </w:r>
            <w:r>
              <w:t>graphics data with the document.</w:t>
            </w:r>
          </w:p>
        </w:tc>
      </w:tr>
    </w:tbl>
    <w:p w:rsidR="005F78FC" w:rsidRDefault="005F78FC"/>
    <w:p w:rsidR="005F78FC" w:rsidRDefault="00B42EF3">
      <w:r>
        <w:t xml:space="preserve">[Example: </w:t>
      </w:r>
    </w:p>
    <w:p w:rsidR="005F78FC" w:rsidRDefault="00B42EF3">
      <w:pPr>
        <w:pStyle w:val="Code"/>
      </w:pPr>
      <w:r>
        <w:t>IMPORT "G:\\Photos\\Ellen in Oslo.jpg"</w:t>
      </w:r>
    </w:p>
    <w:p w:rsidR="005F78FC" w:rsidRDefault="00B42EF3">
      <w:r>
        <w:t>end example]</w:t>
      </w:r>
    </w:p>
    <w:p w:rsidR="005F78FC" w:rsidRDefault="00B42EF3">
      <w:pPr>
        <w:pStyle w:val="Heading5"/>
      </w:pPr>
      <w:bookmarkStart w:id="3910" w:name="section_163bafc130cd4c6bb324326da7b283c7"/>
      <w:bookmarkStart w:id="3911" w:name="_Toc69879728"/>
      <w:r>
        <w:t>INCLUDE</w:t>
      </w:r>
      <w:bookmarkEnd w:id="3910"/>
      <w:bookmarkEnd w:id="3911"/>
      <w:r>
        <w:fldChar w:fldCharType="begin"/>
      </w:r>
      <w:r>
        <w:instrText xml:space="preserve"> XE "INCLUDE" </w:instrText>
      </w:r>
      <w:r>
        <w:fldChar w:fldCharType="end"/>
      </w:r>
    </w:p>
    <w:p w:rsidR="005F78FC" w:rsidRDefault="00B42EF3">
      <w:r>
        <w:rPr>
          <w:b/>
        </w:rPr>
        <w:t>Syntax</w:t>
      </w:r>
      <w:r>
        <w:t>:</w:t>
      </w:r>
    </w:p>
    <w:p w:rsidR="005F78FC" w:rsidRDefault="00B42EF3">
      <w:r>
        <w:t>INCLUDE  field-argument-1  [ field-argument-2 ]  [ switches ]</w:t>
      </w:r>
    </w:p>
    <w:p w:rsidR="005F78FC" w:rsidRDefault="00B42EF3">
      <w:r>
        <w:t>field-argument-1:</w:t>
      </w:r>
    </w:p>
    <w:p w:rsidR="005F78FC" w:rsidRDefault="00B42EF3">
      <w:r>
        <w:t>field-argument</w:t>
      </w:r>
    </w:p>
    <w:p w:rsidR="005F78FC" w:rsidRDefault="00B42EF3">
      <w:r>
        <w:t>field-argument-2:</w:t>
      </w:r>
    </w:p>
    <w:p w:rsidR="005F78FC" w:rsidRDefault="00B42EF3">
      <w:r>
        <w:t>field-argumen</w:t>
      </w:r>
      <w:r>
        <w:t>t</w:t>
      </w:r>
    </w:p>
    <w:p w:rsidR="005F78FC" w:rsidRDefault="00B42EF3">
      <w:r>
        <w:rPr>
          <w:b/>
        </w:rPr>
        <w:t>Description:</w:t>
      </w:r>
      <w:r>
        <w:t xml:space="preserve"> Inserts all or part of the text and graphics contained in the document named by field-argument-1. If the document is a WordprocessingML document, the portion marked by the optional bookmark field-argument-2 is inserted. If no such bookmark i</w:t>
      </w:r>
      <w:r>
        <w:t xml:space="preserve">s specified here, the whole document is inserted. </w:t>
      </w:r>
    </w:p>
    <w:p w:rsidR="005F78FC" w:rsidRDefault="00B42EF3">
      <w:r>
        <w:rPr>
          <w:b/>
        </w:rPr>
        <w:t>Field Value</w:t>
      </w:r>
      <w:r>
        <w:t>: The specified text and graphics.</w:t>
      </w:r>
    </w:p>
    <w:p w:rsidR="005F78FC" w:rsidRDefault="00B42EF3">
      <w:r>
        <w:rPr>
          <w:b/>
        </w:rPr>
        <w:t>Switches</w:t>
      </w:r>
      <w:r>
        <w:t>: Zero or more of the following field-specific-switches.</w:t>
      </w:r>
    </w:p>
    <w:tbl>
      <w:tblPr>
        <w:tblStyle w:val="Table-ShadedHeader"/>
        <w:tblW w:w="0" w:type="auto"/>
        <w:tblLook w:val="04A0" w:firstRow="1" w:lastRow="0" w:firstColumn="1" w:lastColumn="0" w:noHBand="0" w:noVBand="1"/>
      </w:tblPr>
      <w:tblGrid>
        <w:gridCol w:w="1315"/>
        <w:gridCol w:w="8160"/>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5F78FC" w:rsidRDefault="00B42EF3">
            <w:pPr>
              <w:pStyle w:val="TableHeaderText"/>
            </w:pPr>
            <w:r>
              <w:t>Field specific switches</w:t>
            </w:r>
          </w:p>
        </w:tc>
      </w:tr>
      <w:tr w:rsidR="005F78FC" w:rsidTr="005F78FC">
        <w:tc>
          <w:tcPr>
            <w:tcW w:w="0" w:type="auto"/>
            <w:vAlign w:val="center"/>
          </w:tcPr>
          <w:p w:rsidR="005F78FC" w:rsidRDefault="00B42EF3">
            <w:pPr>
              <w:pStyle w:val="TableBodyText"/>
            </w:pPr>
            <w:r>
              <w:rPr>
                <w:rStyle w:val="InlineCode"/>
              </w:rPr>
              <w:t>\!</w:t>
            </w:r>
          </w:p>
        </w:tc>
        <w:tc>
          <w:tcPr>
            <w:tcW w:w="0" w:type="auto"/>
            <w:vAlign w:val="center"/>
          </w:tcPr>
          <w:p w:rsidR="005F78FC" w:rsidRDefault="00B42EF3">
            <w:pPr>
              <w:pStyle w:val="TableBodyText"/>
            </w:pPr>
            <w:r>
              <w:t xml:space="preserve">Prevents this field from being updated unless all fields in the </w:t>
            </w:r>
            <w:r>
              <w:t>inserted text are first updated in their original document.</w:t>
            </w:r>
          </w:p>
        </w:tc>
      </w:tr>
      <w:tr w:rsidR="005F78FC" w:rsidTr="005F78FC">
        <w:tc>
          <w:tcPr>
            <w:tcW w:w="0" w:type="auto"/>
            <w:vAlign w:val="center"/>
          </w:tcPr>
          <w:p w:rsidR="005F78FC" w:rsidRDefault="00B42EF3">
            <w:pPr>
              <w:pStyle w:val="TableBodyText"/>
            </w:pPr>
            <w:r>
              <w:rPr>
                <w:rStyle w:val="InlineCode"/>
              </w:rPr>
              <w:t xml:space="preserve">\c </w:t>
            </w:r>
            <w:r>
              <w:t>field-argument</w:t>
            </w:r>
          </w:p>
        </w:tc>
        <w:tc>
          <w:tcPr>
            <w:tcW w:w="0" w:type="auto"/>
            <w:vAlign w:val="center"/>
          </w:tcPr>
          <w:p w:rsidR="005F78FC" w:rsidRDefault="00B42EF3">
            <w:pPr>
              <w:pStyle w:val="TableBodyText"/>
            </w:pPr>
            <w:r>
              <w:t xml:space="preserve">Specifies that the file specified by field-argument-2 shall be processed by a document filter whose name matches the corresponding field-argument value. Possible field-argument </w:t>
            </w:r>
            <w:r>
              <w:t>values are implementation-defined.</w:t>
            </w:r>
          </w:p>
        </w:tc>
      </w:tr>
    </w:tbl>
    <w:p w:rsidR="005F78FC" w:rsidRDefault="005F78FC"/>
    <w:p w:rsidR="005F78FC" w:rsidRDefault="00B42EF3">
      <w:r>
        <w:t xml:space="preserve">[Example: The following field inserts the portion of the WordprocessingML document referred to by the bookmark </w:t>
      </w:r>
      <w:r>
        <w:rPr>
          <w:rStyle w:val="InlineCode"/>
        </w:rPr>
        <w:t>Summary</w:t>
      </w:r>
      <w:r>
        <w:t>:</w:t>
      </w:r>
    </w:p>
    <w:p w:rsidR="005F78FC" w:rsidRDefault="00B42EF3">
      <w:pPr>
        <w:pStyle w:val="Code"/>
      </w:pPr>
      <w:r>
        <w:t>INCLUDE "C:\\Winword\\Port Development RFP" Summary</w:t>
      </w:r>
    </w:p>
    <w:p w:rsidR="005F78FC" w:rsidRDefault="00B42EF3">
      <w:r>
        <w:t>end example]</w:t>
      </w:r>
    </w:p>
    <w:p w:rsidR="005F78FC" w:rsidRDefault="00B42EF3">
      <w:pPr>
        <w:pStyle w:val="Heading5"/>
      </w:pPr>
      <w:bookmarkStart w:id="3912" w:name="section_a93caf1bfbe84ab38e3631b069f35d60"/>
      <w:bookmarkStart w:id="3913" w:name="_Toc69879729"/>
      <w:r>
        <w:t>SHAPE</w:t>
      </w:r>
      <w:bookmarkEnd w:id="3912"/>
      <w:bookmarkEnd w:id="3913"/>
      <w:r>
        <w:fldChar w:fldCharType="begin"/>
      </w:r>
      <w:r>
        <w:instrText xml:space="preserve"> XE "SHAPE" </w:instrText>
      </w:r>
      <w:r>
        <w:fldChar w:fldCharType="end"/>
      </w:r>
    </w:p>
    <w:p w:rsidR="005F78FC" w:rsidRDefault="00B42EF3">
      <w:r>
        <w:rPr>
          <w:b/>
        </w:rPr>
        <w:lastRenderedPageBreak/>
        <w:t>Syntax</w:t>
      </w:r>
      <w:r>
        <w:t>:</w:t>
      </w:r>
    </w:p>
    <w:p w:rsidR="005F78FC" w:rsidRDefault="00B42EF3">
      <w:r>
        <w:t xml:space="preserve">SHAPE </w:t>
      </w:r>
      <w:r>
        <w:t>field-argument</w:t>
      </w:r>
    </w:p>
    <w:p w:rsidR="005F78FC" w:rsidRDefault="00B42EF3">
      <w:r>
        <w:rPr>
          <w:b/>
        </w:rPr>
        <w:t>Description:</w:t>
      </w:r>
      <w:r>
        <w:t xml:space="preserve"> Retrieves the text specified by text in field-argument. The text may specify a character whose code point value is specified in decimal or hexadecimal. Three digits shall be used to specify a character using decimal numbers. Up </w:t>
      </w:r>
      <w:r>
        <w:t>to four digits shall be used to specify a character using hexadecimal (leading 0x or 0X).</w:t>
      </w:r>
    </w:p>
    <w:p w:rsidR="005F78FC" w:rsidRDefault="00B42EF3">
      <w:r>
        <w:t>Word does not allow insertion of the code point 13.</w:t>
      </w:r>
    </w:p>
    <w:p w:rsidR="005F78FC" w:rsidRDefault="00B42EF3">
      <w:r>
        <w:t xml:space="preserve">[Note: This field is supported for legacy reasons, and it is recommended that </w:t>
      </w:r>
      <w:r>
        <w:rPr>
          <w:rStyle w:val="InlineCode"/>
        </w:rPr>
        <w:t>QUOTE</w:t>
      </w:r>
      <w:r>
        <w:t xml:space="preserve"> ("</w:t>
      </w:r>
      <w:hyperlink r:id="rId300">
        <w:r>
          <w:rPr>
            <w:rStyle w:val="Hyperlink"/>
          </w:rPr>
          <w:t>[ISO/IEC-29500-1]</w:t>
        </w:r>
      </w:hyperlink>
      <w:r>
        <w:t xml:space="preserve"> §17.16.5.49; QUOTE") be used instead. end note]</w:t>
      </w:r>
    </w:p>
    <w:p w:rsidR="005F78FC" w:rsidRDefault="00B42EF3">
      <w:r>
        <w:rPr>
          <w:b/>
        </w:rPr>
        <w:t>Field Value</w:t>
      </w:r>
      <w:r>
        <w:t>: The specified text or character.</w:t>
      </w:r>
    </w:p>
    <w:p w:rsidR="005F78FC" w:rsidRDefault="00B42EF3">
      <w:r>
        <w:rPr>
          <w:b/>
        </w:rPr>
        <w:t>Switches</w:t>
      </w:r>
      <w:r>
        <w:t>: Zero or more of the date-and-time-formatting-switch, general-formattin</w:t>
      </w:r>
      <w:r>
        <w:t>g-switch, or numeric-formatting-switches, depending on the type of field-argument.</w:t>
      </w:r>
    </w:p>
    <w:p w:rsidR="005F78FC" w:rsidRDefault="00B42EF3">
      <w:r>
        <w:t>[Example: When the current month is January and the following field is updated:</w:t>
      </w:r>
    </w:p>
    <w:p w:rsidR="005F78FC" w:rsidRDefault="00B42EF3">
      <w:pPr>
        <w:pStyle w:val="Code"/>
      </w:pPr>
      <w:r>
        <w:t>Last month was SHAPE IF DATE \@ "M" = 1 "12" "= DATE \@ "M" - 1"/1/2000 \@ "MMMM".</w:t>
      </w:r>
    </w:p>
    <w:p w:rsidR="005F78FC" w:rsidRDefault="00B42EF3">
      <w:r>
        <w:t>the result</w:t>
      </w:r>
      <w:r>
        <w:t xml:space="preserve"> is:</w:t>
      </w:r>
    </w:p>
    <w:p w:rsidR="005F78FC" w:rsidRDefault="00B42EF3">
      <w:pPr>
        <w:pStyle w:val="Code"/>
      </w:pPr>
      <w:r>
        <w:t>Last month was December end example]</w:t>
      </w:r>
    </w:p>
    <w:p w:rsidR="005F78FC" w:rsidRDefault="00B42EF3">
      <w:r>
        <w:t>[Example: When the following field is updated:</w:t>
      </w:r>
    </w:p>
    <w:p w:rsidR="005F78FC" w:rsidRDefault="00B42EF3">
      <w:pPr>
        <w:pStyle w:val="Code"/>
      </w:pPr>
      <w:r>
        <w:t>SHAPE 063 " is code point 63."</w:t>
      </w:r>
    </w:p>
    <w:p w:rsidR="005F78FC" w:rsidRDefault="00B42EF3">
      <w:r>
        <w:t>the result is:</w:t>
      </w:r>
    </w:p>
    <w:p w:rsidR="005F78FC" w:rsidRDefault="00B42EF3">
      <w:pPr>
        <w:pStyle w:val="Code"/>
      </w:pPr>
      <w:r>
        <w:t>? is code point 63. end example]</w:t>
      </w:r>
    </w:p>
    <w:p w:rsidR="005F78FC" w:rsidRDefault="00B42EF3">
      <w:pPr>
        <w:pStyle w:val="Heading5"/>
      </w:pPr>
      <w:bookmarkStart w:id="3914" w:name="section_cbc893c09683416d84c6407a92451c19"/>
      <w:bookmarkStart w:id="3915" w:name="_Toc69879730"/>
      <w:r>
        <w:t>DISPLAYBARCODE</w:t>
      </w:r>
      <w:bookmarkEnd w:id="3914"/>
      <w:bookmarkEnd w:id="3915"/>
      <w:r>
        <w:fldChar w:fldCharType="begin"/>
      </w:r>
      <w:r>
        <w:instrText xml:space="preserve"> XE "DISPLAYBARCODE" </w:instrText>
      </w:r>
      <w:r>
        <w:fldChar w:fldCharType="end"/>
      </w:r>
    </w:p>
    <w:p w:rsidR="005F78FC" w:rsidRDefault="00B42EF3">
      <w:r>
        <w:rPr>
          <w:b/>
        </w:rPr>
        <w:t xml:space="preserve">NOTE: </w:t>
      </w:r>
      <w:r>
        <w:t>This section is not applicable to Word 2010.</w:t>
      </w:r>
    </w:p>
    <w:p w:rsidR="005F78FC" w:rsidRDefault="00B42EF3">
      <w:r>
        <w:rPr>
          <w:b/>
        </w:rPr>
        <w:t>Syntax:</w:t>
      </w:r>
    </w:p>
    <w:p w:rsidR="005F78FC" w:rsidRDefault="00B42EF3">
      <w:r>
        <w:t>DISPLAYBARCODE field-argument-1 field-argument-2 [ switches ]</w:t>
      </w:r>
    </w:p>
    <w:p w:rsidR="005F78FC" w:rsidRDefault="00B42EF3">
      <w:r>
        <w:t>field-argument-1:</w:t>
      </w:r>
    </w:p>
    <w:p w:rsidR="005F78FC" w:rsidRDefault="00B42EF3">
      <w:r>
        <w:t>field-argument</w:t>
      </w:r>
    </w:p>
    <w:p w:rsidR="005F78FC" w:rsidRDefault="00B42EF3">
      <w:r>
        <w:t>field-argument-2:</w:t>
      </w:r>
    </w:p>
    <w:p w:rsidR="005F78FC" w:rsidRDefault="00B42EF3">
      <w:r>
        <w:t>field-argument</w:t>
      </w:r>
    </w:p>
    <w:p w:rsidR="005F78FC" w:rsidRDefault="00B42EF3">
      <w:r>
        <w:rPr>
          <w:b/>
        </w:rPr>
        <w:t xml:space="preserve">Description: </w:t>
      </w:r>
      <w:r>
        <w:t xml:space="preserve">Renders a generated barcode symbol using the data in this display field. </w:t>
      </w:r>
    </w:p>
    <w:p w:rsidR="005F78FC" w:rsidRDefault="00B42EF3">
      <w:r>
        <w:rPr>
          <w:i/>
        </w:rPr>
        <w:t xml:space="preserve">field-argument-1 </w:t>
      </w:r>
      <w:r>
        <w:t>is a quoted str</w:t>
      </w:r>
      <w:r>
        <w:t>ing containing the data (barcode-data) used to generate the barcode symbol.</w:t>
      </w:r>
    </w:p>
    <w:p w:rsidR="005F78FC" w:rsidRDefault="00B42EF3">
      <w:r>
        <w:rPr>
          <w:i/>
        </w:rPr>
        <w:lastRenderedPageBreak/>
        <w:t xml:space="preserve">field-argument-2 </w:t>
      </w:r>
      <w:r>
        <w:t>is a text string containing the type of barcode (barcode-type) that will be generated.  The valid values (case-insensitive) are:  UPCA|UPCE|JAN13|JAN8|EAN13|EAN8|C</w:t>
      </w:r>
      <w:r>
        <w:t xml:space="preserve">ASE|ITF14|NW7|CODE39|CODE128|JPPOST|QR </w:t>
      </w:r>
    </w:p>
    <w:p w:rsidR="005F78FC" w:rsidRDefault="00B42EF3">
      <w:r>
        <w:t>The meanings of these values are described in the following table:</w:t>
      </w:r>
    </w:p>
    <w:tbl>
      <w:tblPr>
        <w:tblStyle w:val="Table-ShadedHeader"/>
        <w:tblW w:w="0" w:type="auto"/>
        <w:tblLook w:val="04A0" w:firstRow="1" w:lastRow="0" w:firstColumn="1" w:lastColumn="0" w:noHBand="0" w:noVBand="1"/>
      </w:tblPr>
      <w:tblGrid>
        <w:gridCol w:w="1623"/>
        <w:gridCol w:w="7852"/>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rPr>
                <w:i/>
              </w:rPr>
              <w:t>Field-argument-2</w:t>
            </w:r>
          </w:p>
        </w:tc>
        <w:tc>
          <w:tcPr>
            <w:tcW w:w="0" w:type="auto"/>
            <w:vAlign w:val="center"/>
          </w:tcPr>
          <w:p w:rsidR="005F78FC" w:rsidRDefault="00B42EF3">
            <w:pPr>
              <w:pStyle w:val="TableHeaderText"/>
            </w:pPr>
            <w:r>
              <w:t>Barcode Type Description</w:t>
            </w:r>
          </w:p>
        </w:tc>
      </w:tr>
      <w:tr w:rsidR="005F78FC" w:rsidTr="005F78FC">
        <w:tc>
          <w:tcPr>
            <w:tcW w:w="0" w:type="auto"/>
            <w:vAlign w:val="center"/>
          </w:tcPr>
          <w:p w:rsidR="005F78FC" w:rsidRDefault="00B42EF3">
            <w:pPr>
              <w:pStyle w:val="TableBodyText"/>
            </w:pPr>
            <w:r>
              <w:t>QR</w:t>
            </w:r>
          </w:p>
        </w:tc>
        <w:tc>
          <w:tcPr>
            <w:tcW w:w="0" w:type="auto"/>
            <w:vAlign w:val="center"/>
          </w:tcPr>
          <w:p w:rsidR="005F78FC" w:rsidRDefault="00B42EF3">
            <w:pPr>
              <w:pStyle w:val="TableBodyText"/>
            </w:pPr>
            <w:r>
              <w:t xml:space="preserve">A QR 2D bar code as specified by </w:t>
            </w:r>
            <w:hyperlink r:id="rId301">
              <w:r>
                <w:rPr>
                  <w:rStyle w:val="Hyperlink"/>
                </w:rPr>
                <w:t>[ISO/IEC18004:2006]</w:t>
              </w:r>
            </w:hyperlink>
            <w:r>
              <w:t>.</w:t>
            </w:r>
          </w:p>
        </w:tc>
      </w:tr>
      <w:tr w:rsidR="005F78FC" w:rsidTr="005F78FC">
        <w:tc>
          <w:tcPr>
            <w:tcW w:w="0" w:type="auto"/>
            <w:vAlign w:val="center"/>
          </w:tcPr>
          <w:p w:rsidR="005F78FC" w:rsidRDefault="00B42EF3">
            <w:pPr>
              <w:pStyle w:val="TableBodyText"/>
            </w:pPr>
            <w:r>
              <w:t>CODE128</w:t>
            </w:r>
          </w:p>
        </w:tc>
        <w:tc>
          <w:tcPr>
            <w:tcW w:w="0" w:type="auto"/>
            <w:vAlign w:val="center"/>
          </w:tcPr>
          <w:p w:rsidR="005F78FC" w:rsidRDefault="00B42EF3">
            <w:pPr>
              <w:pStyle w:val="TableBodyText"/>
            </w:pPr>
            <w:r>
              <w:t xml:space="preserve">A Code 128 linear bar code as specified by </w:t>
            </w:r>
            <w:hyperlink r:id="rId302">
              <w:r>
                <w:rPr>
                  <w:rStyle w:val="Hyperlink"/>
                </w:rPr>
                <w:t>[AIM-BC4-1995-Code128]</w:t>
              </w:r>
            </w:hyperlink>
            <w:r>
              <w:t>.</w:t>
            </w:r>
          </w:p>
        </w:tc>
      </w:tr>
      <w:tr w:rsidR="005F78FC" w:rsidTr="005F78FC">
        <w:tc>
          <w:tcPr>
            <w:tcW w:w="0" w:type="auto"/>
            <w:vAlign w:val="center"/>
          </w:tcPr>
          <w:p w:rsidR="005F78FC" w:rsidRDefault="00B42EF3">
            <w:pPr>
              <w:pStyle w:val="TableBodyText"/>
            </w:pPr>
            <w:r>
              <w:t>CODE39</w:t>
            </w:r>
          </w:p>
        </w:tc>
        <w:tc>
          <w:tcPr>
            <w:tcW w:w="0" w:type="auto"/>
            <w:vAlign w:val="center"/>
          </w:tcPr>
          <w:p w:rsidR="005F78FC" w:rsidRDefault="00B42EF3">
            <w:pPr>
              <w:pStyle w:val="TableBodyText"/>
            </w:pPr>
            <w:r>
              <w:t xml:space="preserve">A Code 39 linear bar code as specified by </w:t>
            </w:r>
            <w:hyperlink r:id="rId303">
              <w:r>
                <w:rPr>
                  <w:rStyle w:val="Hyperlink"/>
                </w:rPr>
                <w:t>[AIM-BC1-1995-Code39]</w:t>
              </w:r>
            </w:hyperlink>
            <w:r>
              <w:t>.</w:t>
            </w:r>
          </w:p>
        </w:tc>
      </w:tr>
      <w:tr w:rsidR="005F78FC" w:rsidTr="005F78FC">
        <w:tc>
          <w:tcPr>
            <w:tcW w:w="0" w:type="auto"/>
            <w:vAlign w:val="center"/>
          </w:tcPr>
          <w:p w:rsidR="005F78FC" w:rsidRDefault="00B42EF3">
            <w:pPr>
              <w:pStyle w:val="TableBodyText"/>
            </w:pPr>
            <w:r>
              <w:t>JPPOST</w:t>
            </w:r>
          </w:p>
        </w:tc>
        <w:tc>
          <w:tcPr>
            <w:tcW w:w="0" w:type="auto"/>
            <w:vAlign w:val="center"/>
          </w:tcPr>
          <w:p w:rsidR="005F78FC" w:rsidRDefault="00B42EF3">
            <w:pPr>
              <w:pStyle w:val="TableBodyText"/>
            </w:pPr>
            <w:r>
              <w:t>A Japanese Postal Service Customer barcode. JPPost is compliant with CBC (Customer Bar Code), which is also known as RM4SCC.</w:t>
            </w:r>
          </w:p>
        </w:tc>
      </w:tr>
      <w:tr w:rsidR="005F78FC" w:rsidTr="005F78FC">
        <w:tc>
          <w:tcPr>
            <w:tcW w:w="0" w:type="auto"/>
            <w:vAlign w:val="center"/>
          </w:tcPr>
          <w:p w:rsidR="005F78FC" w:rsidRDefault="00B42EF3">
            <w:pPr>
              <w:pStyle w:val="TableBodyText"/>
            </w:pPr>
            <w:r>
              <w:t>EAN8|EAN13</w:t>
            </w:r>
          </w:p>
        </w:tc>
        <w:tc>
          <w:tcPr>
            <w:tcW w:w="0" w:type="auto"/>
            <w:vAlign w:val="center"/>
          </w:tcPr>
          <w:p w:rsidR="005F78FC" w:rsidRDefault="00B42EF3">
            <w:pPr>
              <w:pStyle w:val="TableBodyText"/>
            </w:pPr>
            <w:r>
              <w:t xml:space="preserve">An EAN - International Article Number worldwide bar code for product ID’s (8 digit/13 digit) as specified in </w:t>
            </w:r>
            <w:hyperlink r:id="rId304">
              <w:r>
                <w:rPr>
                  <w:rStyle w:val="Hyperlink"/>
                </w:rPr>
                <w:t>[GS1-BARCODE]</w:t>
              </w:r>
            </w:hyperlink>
            <w:r>
              <w:t>.</w:t>
            </w:r>
          </w:p>
        </w:tc>
      </w:tr>
      <w:tr w:rsidR="005F78FC" w:rsidTr="005F78FC">
        <w:tc>
          <w:tcPr>
            <w:tcW w:w="0" w:type="auto"/>
            <w:vAlign w:val="center"/>
          </w:tcPr>
          <w:p w:rsidR="005F78FC" w:rsidRDefault="00B42EF3">
            <w:pPr>
              <w:pStyle w:val="TableBodyText"/>
            </w:pPr>
            <w:r>
              <w:t>JAN8|JAN13</w:t>
            </w:r>
          </w:p>
        </w:tc>
        <w:tc>
          <w:tcPr>
            <w:tcW w:w="0" w:type="auto"/>
            <w:vAlign w:val="center"/>
          </w:tcPr>
          <w:p w:rsidR="005F78FC" w:rsidRDefault="00B42EF3">
            <w:pPr>
              <w:pStyle w:val="TableBodyText"/>
            </w:pPr>
            <w:r>
              <w:t>A JAN: Japanese barcode for product ID’s (8 digit/13 d</w:t>
            </w:r>
            <w:r>
              <w:t>igit). JAN8 is an alias of EAN8. JAN13 is an alias of EAN13.</w:t>
            </w:r>
          </w:p>
        </w:tc>
      </w:tr>
      <w:tr w:rsidR="005F78FC" w:rsidTr="005F78FC">
        <w:tc>
          <w:tcPr>
            <w:tcW w:w="0" w:type="auto"/>
            <w:vAlign w:val="center"/>
          </w:tcPr>
          <w:p w:rsidR="005F78FC" w:rsidRDefault="00B42EF3">
            <w:pPr>
              <w:pStyle w:val="TableBodyText"/>
            </w:pPr>
            <w:r>
              <w:t>UPCA|UPCE</w:t>
            </w:r>
          </w:p>
        </w:tc>
        <w:tc>
          <w:tcPr>
            <w:tcW w:w="0" w:type="auto"/>
            <w:vAlign w:val="center"/>
          </w:tcPr>
          <w:p w:rsidR="005F78FC" w:rsidRDefault="00B42EF3">
            <w:pPr>
              <w:pStyle w:val="TableBodyText"/>
            </w:pPr>
            <w:r>
              <w:t>A UPC (A&amp;E): US barcode for product ID’s as specified in [GS1-BARCODE].</w:t>
            </w:r>
          </w:p>
        </w:tc>
      </w:tr>
      <w:tr w:rsidR="005F78FC" w:rsidTr="005F78FC">
        <w:tc>
          <w:tcPr>
            <w:tcW w:w="0" w:type="auto"/>
            <w:vAlign w:val="center"/>
          </w:tcPr>
          <w:p w:rsidR="005F78FC" w:rsidRDefault="00B42EF3">
            <w:pPr>
              <w:pStyle w:val="TableBodyText"/>
            </w:pPr>
            <w:r>
              <w:t>ITF14</w:t>
            </w:r>
          </w:p>
        </w:tc>
        <w:tc>
          <w:tcPr>
            <w:tcW w:w="0" w:type="auto"/>
            <w:vAlign w:val="center"/>
          </w:tcPr>
          <w:p w:rsidR="005F78FC" w:rsidRDefault="00B42EF3">
            <w:pPr>
              <w:pStyle w:val="TableBodyText"/>
            </w:pPr>
            <w:r>
              <w:t>An ITF-14 item-tracking barcode for shipping as specified in [GS1-BARCODE].</w:t>
            </w:r>
          </w:p>
        </w:tc>
      </w:tr>
      <w:tr w:rsidR="005F78FC" w:rsidTr="005F78FC">
        <w:tc>
          <w:tcPr>
            <w:tcW w:w="0" w:type="auto"/>
            <w:vAlign w:val="center"/>
          </w:tcPr>
          <w:p w:rsidR="005F78FC" w:rsidRDefault="00B42EF3">
            <w:pPr>
              <w:pStyle w:val="TableBodyText"/>
            </w:pPr>
            <w:r>
              <w:t>NW7</w:t>
            </w:r>
          </w:p>
        </w:tc>
        <w:tc>
          <w:tcPr>
            <w:tcW w:w="0" w:type="auto"/>
            <w:vAlign w:val="center"/>
          </w:tcPr>
          <w:p w:rsidR="005F78FC" w:rsidRDefault="00B42EF3">
            <w:pPr>
              <w:pStyle w:val="TableBodyText"/>
            </w:pPr>
            <w:r>
              <w:t xml:space="preserve">A NW-7 (CODABAR) serial number bar code as specified by </w:t>
            </w:r>
            <w:hyperlink r:id="rId305">
              <w:r>
                <w:rPr>
                  <w:rStyle w:val="Hyperlink"/>
                </w:rPr>
                <w:t>[AIM-BC3-1995-Codabar]</w:t>
              </w:r>
            </w:hyperlink>
            <w:r>
              <w:t>.</w:t>
            </w:r>
          </w:p>
        </w:tc>
      </w:tr>
      <w:tr w:rsidR="005F78FC" w:rsidTr="005F78FC">
        <w:tc>
          <w:tcPr>
            <w:tcW w:w="0" w:type="auto"/>
            <w:vAlign w:val="center"/>
          </w:tcPr>
          <w:p w:rsidR="005F78FC" w:rsidRDefault="00B42EF3">
            <w:pPr>
              <w:pStyle w:val="TableBodyText"/>
            </w:pPr>
            <w:r>
              <w:t>CASE</w:t>
            </w:r>
          </w:p>
        </w:tc>
        <w:tc>
          <w:tcPr>
            <w:tcW w:w="0" w:type="auto"/>
            <w:vAlign w:val="center"/>
          </w:tcPr>
          <w:p w:rsidR="005F78FC" w:rsidRDefault="00B42EF3">
            <w:pPr>
              <w:pStyle w:val="TableBodyText"/>
            </w:pPr>
            <w:r>
              <w:t xml:space="preserve">USPS barcode – FIM/POSTNET (*2) - barcode for tracking USPS mail. CASE is an alias of ITF14. </w:t>
            </w:r>
          </w:p>
        </w:tc>
      </w:tr>
    </w:tbl>
    <w:p w:rsidR="005F78FC" w:rsidRDefault="005F78FC"/>
    <w:p w:rsidR="005F78FC" w:rsidRDefault="00B42EF3">
      <w:r>
        <w:rPr>
          <w:b/>
        </w:rPr>
        <w:t>Switches</w:t>
      </w:r>
      <w:r>
        <w:rPr>
          <w:b/>
        </w:rPr>
        <w:t xml:space="preserve">: </w:t>
      </w:r>
      <w:r>
        <w:t xml:space="preserve">Zero or more of the following </w:t>
      </w:r>
      <w:r>
        <w:rPr>
          <w:i/>
        </w:rPr>
        <w:t>field-specific-switches:</w:t>
      </w:r>
    </w:p>
    <w:tbl>
      <w:tblPr>
        <w:tblStyle w:val="Table-ShadedHeader"/>
        <w:tblW w:w="0" w:type="auto"/>
        <w:tblLook w:val="04A0" w:firstRow="1" w:lastRow="0" w:firstColumn="1" w:lastColumn="0" w:noHBand="0" w:noVBand="1"/>
      </w:tblPr>
      <w:tblGrid>
        <w:gridCol w:w="1288"/>
        <w:gridCol w:w="8187"/>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Field Switch</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t xml:space="preserve">\h </w:t>
            </w:r>
            <w:r>
              <w:rPr>
                <w:i/>
              </w:rPr>
              <w:t>field-argument</w:t>
            </w:r>
          </w:p>
        </w:tc>
        <w:tc>
          <w:tcPr>
            <w:tcW w:w="0" w:type="auto"/>
            <w:vAlign w:val="center"/>
          </w:tcPr>
          <w:p w:rsidR="005F78FC" w:rsidRDefault="00B42EF3">
            <w:pPr>
              <w:pStyle w:val="TableBodyText"/>
            </w:pPr>
            <w:r>
              <w:t xml:space="preserve">The </w:t>
            </w:r>
            <w:r>
              <w:rPr>
                <w:i/>
              </w:rPr>
              <w:t>text</w:t>
            </w:r>
            <w:r>
              <w:t xml:space="preserve"> in this switch's </w:t>
            </w:r>
            <w:r>
              <w:rPr>
                <w:i/>
              </w:rPr>
              <w:t>field-argument</w:t>
            </w:r>
            <w:r>
              <w:t xml:space="preserve"> is an integer that specifies the height of the symbol.  The units are in TWIPS (1/1440 inch).</w:t>
            </w:r>
          </w:p>
        </w:tc>
      </w:tr>
      <w:tr w:rsidR="005F78FC" w:rsidTr="005F78FC">
        <w:tc>
          <w:tcPr>
            <w:tcW w:w="0" w:type="auto"/>
            <w:vAlign w:val="center"/>
          </w:tcPr>
          <w:p w:rsidR="005F78FC" w:rsidRDefault="00B42EF3">
            <w:pPr>
              <w:pStyle w:val="TableBodyText"/>
            </w:pPr>
            <w:r>
              <w:t xml:space="preserve">\s </w:t>
            </w:r>
            <w:r>
              <w:rPr>
                <w:i/>
              </w:rPr>
              <w:t>field-argument</w:t>
            </w:r>
          </w:p>
        </w:tc>
        <w:tc>
          <w:tcPr>
            <w:tcW w:w="0" w:type="auto"/>
            <w:vAlign w:val="center"/>
          </w:tcPr>
          <w:p w:rsidR="005F78FC" w:rsidRDefault="00B42EF3">
            <w:pPr>
              <w:pStyle w:val="TableBodyText"/>
            </w:pPr>
            <w:r>
              <w:t xml:space="preserve">The </w:t>
            </w:r>
            <w:r>
              <w:rPr>
                <w:i/>
              </w:rPr>
              <w:t>text</w:t>
            </w:r>
            <w:r>
              <w:t xml:space="preserve"> in this switch's </w:t>
            </w:r>
            <w:r>
              <w:rPr>
                <w:i/>
              </w:rPr>
              <w:t>field-argument</w:t>
            </w:r>
            <w:r>
              <w:t xml:space="preserve"> is an integer that specifies a scaling factor for the symbol. The value is in whole percentage points and the valid values are [10, 1000]</w:t>
            </w:r>
          </w:p>
        </w:tc>
      </w:tr>
      <w:tr w:rsidR="005F78FC" w:rsidTr="005F78FC">
        <w:tc>
          <w:tcPr>
            <w:tcW w:w="0" w:type="auto"/>
            <w:vAlign w:val="center"/>
          </w:tcPr>
          <w:p w:rsidR="005F78FC" w:rsidRDefault="00B42EF3">
            <w:pPr>
              <w:pStyle w:val="TableBodyText"/>
            </w:pPr>
            <w:r>
              <w:t xml:space="preserve">\q </w:t>
            </w:r>
            <w:r>
              <w:rPr>
                <w:i/>
              </w:rPr>
              <w:t>field-argument</w:t>
            </w:r>
          </w:p>
        </w:tc>
        <w:tc>
          <w:tcPr>
            <w:tcW w:w="0" w:type="auto"/>
            <w:vAlign w:val="center"/>
          </w:tcPr>
          <w:p w:rsidR="005F78FC" w:rsidRDefault="00B42EF3">
            <w:pPr>
              <w:pStyle w:val="TableBodyText"/>
            </w:pPr>
            <w:r>
              <w:t xml:space="preserve">The </w:t>
            </w:r>
            <w:r>
              <w:rPr>
                <w:i/>
              </w:rPr>
              <w:t>text</w:t>
            </w:r>
            <w:r>
              <w:t xml:space="preserve"> in this switch's </w:t>
            </w:r>
            <w:r>
              <w:rPr>
                <w:i/>
              </w:rPr>
              <w:t>field-argument</w:t>
            </w:r>
            <w:r>
              <w:t xml:space="preserve"> is an integer tha</w:t>
            </w:r>
            <w:r>
              <w:t>t specifies the error correction level of QR Code.  Valid values (case insensitive) are [L|M|Q|H].</w:t>
            </w:r>
          </w:p>
          <w:p w:rsidR="005F78FC" w:rsidRDefault="005F78FC">
            <w:pPr>
              <w:pStyle w:val="TableBodyText"/>
            </w:pPr>
          </w:p>
        </w:tc>
      </w:tr>
      <w:tr w:rsidR="005F78FC" w:rsidTr="005F78FC">
        <w:tc>
          <w:tcPr>
            <w:tcW w:w="0" w:type="auto"/>
            <w:vAlign w:val="center"/>
          </w:tcPr>
          <w:p w:rsidR="005F78FC" w:rsidRDefault="00B42EF3">
            <w:pPr>
              <w:pStyle w:val="TableBodyText"/>
            </w:pPr>
            <w:r>
              <w:t xml:space="preserve">\p </w:t>
            </w:r>
            <w:r>
              <w:rPr>
                <w:i/>
              </w:rPr>
              <w:t>field-argument</w:t>
            </w:r>
          </w:p>
        </w:tc>
        <w:tc>
          <w:tcPr>
            <w:tcW w:w="0" w:type="auto"/>
            <w:vAlign w:val="center"/>
          </w:tcPr>
          <w:p w:rsidR="005F78FC" w:rsidRDefault="00B42EF3">
            <w:pPr>
              <w:pStyle w:val="TableBodyText"/>
            </w:pPr>
            <w:r>
              <w:t xml:space="preserve">The </w:t>
            </w:r>
            <w:r>
              <w:rPr>
                <w:i/>
              </w:rPr>
              <w:t>text</w:t>
            </w:r>
            <w:r>
              <w:t xml:space="preserve"> in this switch's </w:t>
            </w:r>
            <w:r>
              <w:rPr>
                <w:i/>
              </w:rPr>
              <w:t>field-argument</w:t>
            </w:r>
            <w:r>
              <w:t xml:space="preserve"> specifies the style of a Point of Sale barcode (barcode types UPCA|UPCE|EAN13|EAN8).  The valid </w:t>
            </w:r>
            <w:r>
              <w:t>values (case insensitive) are [STD|SUP2|SUP5|CASE].</w:t>
            </w:r>
          </w:p>
          <w:p w:rsidR="005F78FC" w:rsidRDefault="005F78FC">
            <w:pPr>
              <w:pStyle w:val="TableBodyText"/>
            </w:pPr>
          </w:p>
        </w:tc>
      </w:tr>
      <w:tr w:rsidR="005F78FC" w:rsidTr="005F78FC">
        <w:tc>
          <w:tcPr>
            <w:tcW w:w="0" w:type="auto"/>
            <w:vAlign w:val="center"/>
          </w:tcPr>
          <w:p w:rsidR="005F78FC" w:rsidRDefault="00B42EF3">
            <w:pPr>
              <w:pStyle w:val="TableBodyText"/>
            </w:pPr>
            <w:r>
              <w:t>\x</w:t>
            </w:r>
          </w:p>
        </w:tc>
        <w:tc>
          <w:tcPr>
            <w:tcW w:w="0" w:type="auto"/>
            <w:vAlign w:val="center"/>
          </w:tcPr>
          <w:p w:rsidR="005F78FC" w:rsidRDefault="00B42EF3">
            <w:pPr>
              <w:pStyle w:val="TableBodyText"/>
            </w:pPr>
            <w:r>
              <w:t>Fixes the check digit if it’s invalid.</w:t>
            </w:r>
          </w:p>
          <w:p w:rsidR="005F78FC" w:rsidRDefault="005F78FC">
            <w:pPr>
              <w:pStyle w:val="TableBodyText"/>
            </w:pPr>
          </w:p>
        </w:tc>
      </w:tr>
      <w:tr w:rsidR="005F78FC" w:rsidTr="005F78FC">
        <w:tc>
          <w:tcPr>
            <w:tcW w:w="0" w:type="auto"/>
            <w:vAlign w:val="center"/>
          </w:tcPr>
          <w:p w:rsidR="005F78FC" w:rsidRDefault="00B42EF3">
            <w:pPr>
              <w:pStyle w:val="TableBodyText"/>
            </w:pPr>
            <w:r>
              <w:t>\d</w:t>
            </w:r>
          </w:p>
        </w:tc>
        <w:tc>
          <w:tcPr>
            <w:tcW w:w="0" w:type="auto"/>
            <w:vAlign w:val="center"/>
          </w:tcPr>
          <w:p w:rsidR="005F78FC" w:rsidRDefault="00B42EF3">
            <w:pPr>
              <w:pStyle w:val="TableBodyText"/>
            </w:pPr>
            <w:r>
              <w:t>Adds Start/Stop characters for barcode types NW7 and CODE39</w:t>
            </w:r>
          </w:p>
          <w:p w:rsidR="005F78FC" w:rsidRDefault="005F78FC">
            <w:pPr>
              <w:pStyle w:val="TableBodyText"/>
            </w:pPr>
          </w:p>
        </w:tc>
      </w:tr>
      <w:tr w:rsidR="005F78FC" w:rsidTr="005F78FC">
        <w:tc>
          <w:tcPr>
            <w:tcW w:w="0" w:type="auto"/>
            <w:vAlign w:val="center"/>
          </w:tcPr>
          <w:p w:rsidR="005F78FC" w:rsidRDefault="00B42EF3">
            <w:pPr>
              <w:pStyle w:val="TableBodyText"/>
            </w:pPr>
            <w:r>
              <w:t xml:space="preserve">\c </w:t>
            </w:r>
            <w:r>
              <w:rPr>
                <w:i/>
              </w:rPr>
              <w:t>field-argument</w:t>
            </w:r>
          </w:p>
        </w:tc>
        <w:tc>
          <w:tcPr>
            <w:tcW w:w="0" w:type="auto"/>
            <w:vAlign w:val="center"/>
          </w:tcPr>
          <w:p w:rsidR="005F78FC" w:rsidRDefault="00B42EF3">
            <w:pPr>
              <w:pStyle w:val="TableBodyText"/>
            </w:pPr>
            <w:r>
              <w:t xml:space="preserve">The </w:t>
            </w:r>
            <w:r>
              <w:rPr>
                <w:i/>
              </w:rPr>
              <w:t>text</w:t>
            </w:r>
            <w:r>
              <w:t xml:space="preserve"> in this switch's </w:t>
            </w:r>
            <w:r>
              <w:rPr>
                <w:i/>
              </w:rPr>
              <w:t>field-argument</w:t>
            </w:r>
            <w:r>
              <w:t xml:space="preserve"> specifies the style of a Case Code</w:t>
            </w:r>
            <w:r>
              <w:t xml:space="preserve"> for barcode type ITF14.   The valid values are [STD|EXT|ADD]</w:t>
            </w:r>
          </w:p>
          <w:p w:rsidR="005F78FC" w:rsidRDefault="005F78FC">
            <w:pPr>
              <w:pStyle w:val="TableBodyText"/>
            </w:pPr>
          </w:p>
        </w:tc>
      </w:tr>
      <w:tr w:rsidR="005F78FC" w:rsidTr="005F78FC">
        <w:tc>
          <w:tcPr>
            <w:tcW w:w="0" w:type="auto"/>
            <w:vAlign w:val="center"/>
          </w:tcPr>
          <w:p w:rsidR="005F78FC" w:rsidRDefault="00B42EF3">
            <w:pPr>
              <w:pStyle w:val="TableBodyText"/>
            </w:pPr>
            <w:r>
              <w:lastRenderedPageBreak/>
              <w:t xml:space="preserve">\r </w:t>
            </w:r>
            <w:r>
              <w:rPr>
                <w:i/>
              </w:rPr>
              <w:t>field-argument</w:t>
            </w:r>
          </w:p>
        </w:tc>
        <w:tc>
          <w:tcPr>
            <w:tcW w:w="0" w:type="auto"/>
            <w:vAlign w:val="center"/>
          </w:tcPr>
          <w:p w:rsidR="005F78FC" w:rsidRDefault="00B42EF3">
            <w:pPr>
              <w:pStyle w:val="TableBodyText"/>
            </w:pPr>
            <w:r>
              <w:t xml:space="preserve">The </w:t>
            </w:r>
            <w:r>
              <w:rPr>
                <w:i/>
              </w:rPr>
              <w:t>text</w:t>
            </w:r>
            <w:r>
              <w:t xml:space="preserve"> in this switch's </w:t>
            </w:r>
            <w:r>
              <w:rPr>
                <w:i/>
              </w:rPr>
              <w:t>field-argument</w:t>
            </w:r>
            <w:r>
              <w:t xml:space="preserve"> is an integer that specifies the rotation of the barcode symbol.  Valid values are [0, 3]</w:t>
            </w:r>
          </w:p>
          <w:p w:rsidR="005F78FC" w:rsidRDefault="005F78FC">
            <w:pPr>
              <w:pStyle w:val="TableBodyText"/>
            </w:pPr>
          </w:p>
        </w:tc>
      </w:tr>
      <w:tr w:rsidR="005F78FC" w:rsidTr="005F78FC">
        <w:tc>
          <w:tcPr>
            <w:tcW w:w="0" w:type="auto"/>
            <w:vAlign w:val="center"/>
          </w:tcPr>
          <w:p w:rsidR="005F78FC" w:rsidRDefault="00B42EF3">
            <w:pPr>
              <w:pStyle w:val="TableBodyText"/>
            </w:pPr>
            <w:r>
              <w:t xml:space="preserve">\f </w:t>
            </w:r>
            <w:r>
              <w:rPr>
                <w:i/>
              </w:rPr>
              <w:t>field-argument</w:t>
            </w:r>
          </w:p>
        </w:tc>
        <w:tc>
          <w:tcPr>
            <w:tcW w:w="0" w:type="auto"/>
            <w:vAlign w:val="center"/>
          </w:tcPr>
          <w:p w:rsidR="005F78FC" w:rsidRDefault="00B42EF3">
            <w:pPr>
              <w:pStyle w:val="TableBodyText"/>
            </w:pPr>
            <w:r>
              <w:t xml:space="preserve">The </w:t>
            </w:r>
            <w:r>
              <w:rPr>
                <w:i/>
              </w:rPr>
              <w:t>text</w:t>
            </w:r>
            <w:r>
              <w:t xml:space="preserve"> in this switch's </w:t>
            </w:r>
            <w:r>
              <w:rPr>
                <w:i/>
              </w:rPr>
              <w:t>field-argument</w:t>
            </w:r>
            <w:r>
              <w:t xml:space="preserve"> is an integer that specifies the foreground color of the barcode symbol.  Valid values are in the range [0, 0xFFFFFF]</w:t>
            </w:r>
          </w:p>
          <w:p w:rsidR="005F78FC" w:rsidRDefault="005F78FC">
            <w:pPr>
              <w:pStyle w:val="TableBodyText"/>
            </w:pPr>
          </w:p>
        </w:tc>
      </w:tr>
      <w:tr w:rsidR="005F78FC" w:rsidTr="005F78FC">
        <w:tc>
          <w:tcPr>
            <w:tcW w:w="0" w:type="auto"/>
            <w:vAlign w:val="center"/>
          </w:tcPr>
          <w:p w:rsidR="005F78FC" w:rsidRDefault="00B42EF3">
            <w:pPr>
              <w:pStyle w:val="TableBodyText"/>
            </w:pPr>
            <w:r>
              <w:t xml:space="preserve">\b </w:t>
            </w:r>
            <w:r>
              <w:rPr>
                <w:i/>
              </w:rPr>
              <w:t>field-argument</w:t>
            </w:r>
          </w:p>
        </w:tc>
        <w:tc>
          <w:tcPr>
            <w:tcW w:w="0" w:type="auto"/>
            <w:vAlign w:val="center"/>
          </w:tcPr>
          <w:p w:rsidR="005F78FC" w:rsidRDefault="00B42EF3">
            <w:pPr>
              <w:pStyle w:val="TableBodyText"/>
            </w:pPr>
            <w:r>
              <w:t xml:space="preserve">The </w:t>
            </w:r>
            <w:r>
              <w:rPr>
                <w:i/>
              </w:rPr>
              <w:t>text</w:t>
            </w:r>
            <w:r>
              <w:t xml:space="preserve"> in this switch's </w:t>
            </w:r>
            <w:r>
              <w:rPr>
                <w:i/>
              </w:rPr>
              <w:t>field-argument</w:t>
            </w:r>
            <w:r>
              <w:t xml:space="preserve"> is an integer that specifies the background </w:t>
            </w:r>
            <w:r>
              <w:t>color of the barcode symbol.  Valid values are in the range [0, 0xFFFFFF]</w:t>
            </w:r>
          </w:p>
          <w:p w:rsidR="005F78FC" w:rsidRDefault="005F78FC">
            <w:pPr>
              <w:pStyle w:val="TableBodyText"/>
            </w:pPr>
          </w:p>
        </w:tc>
      </w:tr>
      <w:tr w:rsidR="005F78FC" w:rsidTr="005F78FC">
        <w:tc>
          <w:tcPr>
            <w:tcW w:w="0" w:type="auto"/>
            <w:vAlign w:val="center"/>
          </w:tcPr>
          <w:p w:rsidR="005F78FC" w:rsidRDefault="00B42EF3">
            <w:pPr>
              <w:pStyle w:val="TableBodyText"/>
            </w:pPr>
            <w:r>
              <w:t>\t</w:t>
            </w:r>
          </w:p>
        </w:tc>
        <w:tc>
          <w:tcPr>
            <w:tcW w:w="0" w:type="auto"/>
            <w:vAlign w:val="center"/>
          </w:tcPr>
          <w:p w:rsidR="005F78FC" w:rsidRDefault="00B42EF3">
            <w:pPr>
              <w:pStyle w:val="TableBodyText"/>
            </w:pPr>
            <w:r>
              <w:t>Display barcode data (text) along with image</w:t>
            </w:r>
          </w:p>
          <w:p w:rsidR="005F78FC" w:rsidRDefault="005F78FC">
            <w:pPr>
              <w:pStyle w:val="TableBodyText"/>
            </w:pPr>
          </w:p>
        </w:tc>
      </w:tr>
    </w:tbl>
    <w:p w:rsidR="005F78FC" w:rsidRDefault="005F78FC"/>
    <w:p w:rsidR="005F78FC" w:rsidRDefault="00B42EF3">
      <w:r>
        <w:t xml:space="preserve"> [Example: The following field encodes 490123456789 into an EAN-13 barcode symbol:</w:t>
      </w:r>
    </w:p>
    <w:p w:rsidR="005F78FC" w:rsidRDefault="00B42EF3">
      <w:pPr>
        <w:pStyle w:val="Code"/>
      </w:pPr>
      <w:r>
        <w:t>DISPLAYBARCODE “490123456789” EAN13</w:t>
      </w:r>
    </w:p>
    <w:p w:rsidR="005F78FC" w:rsidRDefault="00B42EF3">
      <w:r>
        <w:t>end exampl</w:t>
      </w:r>
      <w:r>
        <w:t>e]</w:t>
      </w:r>
    </w:p>
    <w:p w:rsidR="005F78FC" w:rsidRDefault="00B42EF3">
      <w:r>
        <w:t>[Example: The following field encodes “http://www.microsoft.com” into a QR Code symbol with highest error correction level:</w:t>
      </w:r>
    </w:p>
    <w:p w:rsidR="005F78FC" w:rsidRDefault="00B42EF3">
      <w:pPr>
        <w:pStyle w:val="Code"/>
      </w:pPr>
      <w:bookmarkStart w:id="3916" w:name="_Hlk24443736"/>
      <w:r>
        <w:t>DISPLAYBARCODE “http://www.microsoft.com” QR \q h</w:t>
      </w:r>
    </w:p>
    <w:bookmarkEnd w:id="3916"/>
    <w:p w:rsidR="005F78FC" w:rsidRDefault="00B42EF3">
      <w:r>
        <w:t>end example]</w:t>
      </w:r>
    </w:p>
    <w:p w:rsidR="005F78FC" w:rsidRDefault="00B42EF3">
      <w:pPr>
        <w:pStyle w:val="Heading5"/>
      </w:pPr>
      <w:bookmarkStart w:id="3917" w:name="section_cc4b13c2c09b4545a6ae4509d943233e"/>
      <w:bookmarkStart w:id="3918" w:name="_Toc69879731"/>
      <w:r>
        <w:t>MERGEBARCODE</w:t>
      </w:r>
      <w:bookmarkEnd w:id="3917"/>
      <w:bookmarkEnd w:id="3918"/>
      <w:r>
        <w:fldChar w:fldCharType="begin"/>
      </w:r>
      <w:r>
        <w:instrText xml:space="preserve"> XE "MERGEBARCODE" </w:instrText>
      </w:r>
      <w:r>
        <w:fldChar w:fldCharType="end"/>
      </w:r>
    </w:p>
    <w:p w:rsidR="005F78FC" w:rsidRDefault="00B42EF3">
      <w:r>
        <w:rPr>
          <w:b/>
        </w:rPr>
        <w:t>NOTE:</w:t>
      </w:r>
      <w:r>
        <w:t xml:space="preserve"> This section is not applicable to Word 2010.</w:t>
      </w:r>
    </w:p>
    <w:p w:rsidR="005F78FC" w:rsidRDefault="00B42EF3">
      <w:r>
        <w:rPr>
          <w:b/>
        </w:rPr>
        <w:t>Syntax:</w:t>
      </w:r>
    </w:p>
    <w:p w:rsidR="005F78FC" w:rsidRDefault="00B42EF3">
      <w:r>
        <w:t>MERGEBARCODE field-argument-1 field-argument-2 [ switches ]</w:t>
      </w:r>
    </w:p>
    <w:p w:rsidR="005F78FC" w:rsidRDefault="00B42EF3">
      <w:r>
        <w:t>field-argument-1:</w:t>
      </w:r>
    </w:p>
    <w:p w:rsidR="005F78FC" w:rsidRDefault="00B42EF3">
      <w:r>
        <w:t>field-argument</w:t>
      </w:r>
    </w:p>
    <w:p w:rsidR="005F78FC" w:rsidRDefault="00B42EF3">
      <w:r>
        <w:t>field-argument-2:</w:t>
      </w:r>
    </w:p>
    <w:p w:rsidR="005F78FC" w:rsidRDefault="00B42EF3">
      <w:r>
        <w:t>field-argument</w:t>
      </w:r>
    </w:p>
    <w:p w:rsidR="005F78FC" w:rsidRDefault="00B42EF3">
      <w:r>
        <w:rPr>
          <w:b/>
        </w:rPr>
        <w:t>Description:</w:t>
      </w:r>
    </w:p>
    <w:p w:rsidR="005F78FC" w:rsidRDefault="00B42EF3">
      <w:r>
        <w:t>This field is analogous to the field code, MERGEFIELD. The main</w:t>
      </w:r>
      <w:r>
        <w:t xml:space="preserve"> difference is that MERGEBARCODE generates a DISPLAYBARCODE field based on the merge result instead of showing it directly. The syntax of field instruction and supported switches is also different.</w:t>
      </w:r>
    </w:p>
    <w:p w:rsidR="005F78FC" w:rsidRDefault="00B42EF3">
      <w:r>
        <w:t>The use of field-argument-1</w:t>
      </w:r>
      <w:r>
        <w:rPr>
          <w:i/>
        </w:rPr>
        <w:t xml:space="preserve"> </w:t>
      </w:r>
      <w:r>
        <w:t xml:space="preserve">is the same as the data field </w:t>
      </w:r>
      <w:r>
        <w:t xml:space="preserve">in the MERGEFIELD field. </w:t>
      </w:r>
    </w:p>
    <w:p w:rsidR="005F78FC" w:rsidRDefault="00B42EF3">
      <w:r>
        <w:lastRenderedPageBreak/>
        <w:t>field-argument-2</w:t>
      </w:r>
      <w:r>
        <w:rPr>
          <w:i/>
        </w:rPr>
        <w:t xml:space="preserve"> </w:t>
      </w:r>
      <w:r>
        <w:t xml:space="preserve">is a text string containing the type of barcode (barcode-type) that will be generated.  The valid values (case-insensitive) are:  UPCA|UPCE|JAN13|JAN8|EAN13|EAN8|CASE|ITF14|NW7|CODE39|CODE128|JPPOST|QR </w:t>
      </w:r>
    </w:p>
    <w:p w:rsidR="005F78FC" w:rsidRDefault="00B42EF3">
      <w:r>
        <w:t>The meanin</w:t>
      </w:r>
      <w:r>
        <w:t>gs of these values are described in the following table:</w:t>
      </w:r>
    </w:p>
    <w:tbl>
      <w:tblPr>
        <w:tblStyle w:val="Table-ShadedHeader"/>
        <w:tblW w:w="0" w:type="auto"/>
        <w:tblLook w:val="04A0" w:firstRow="1" w:lastRow="0" w:firstColumn="1" w:lastColumn="0" w:noHBand="0" w:noVBand="1"/>
      </w:tblPr>
      <w:tblGrid>
        <w:gridCol w:w="1630"/>
        <w:gridCol w:w="7845"/>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rPr>
                <w:i/>
              </w:rPr>
              <w:t>Field-argument-2</w:t>
            </w:r>
          </w:p>
        </w:tc>
        <w:tc>
          <w:tcPr>
            <w:tcW w:w="0" w:type="auto"/>
            <w:vAlign w:val="center"/>
          </w:tcPr>
          <w:p w:rsidR="005F78FC" w:rsidRDefault="00B42EF3">
            <w:pPr>
              <w:pStyle w:val="TableHeaderText"/>
            </w:pPr>
            <w:r>
              <w:t>Barcode Type Description</w:t>
            </w:r>
          </w:p>
        </w:tc>
      </w:tr>
      <w:tr w:rsidR="005F78FC" w:rsidTr="005F78FC">
        <w:tc>
          <w:tcPr>
            <w:tcW w:w="0" w:type="auto"/>
            <w:vAlign w:val="center"/>
          </w:tcPr>
          <w:p w:rsidR="005F78FC" w:rsidRDefault="00B42EF3">
            <w:pPr>
              <w:pStyle w:val="TableBodyText"/>
            </w:pPr>
            <w:r>
              <w:t>QR</w:t>
            </w:r>
          </w:p>
        </w:tc>
        <w:tc>
          <w:tcPr>
            <w:tcW w:w="0" w:type="auto"/>
            <w:vAlign w:val="center"/>
          </w:tcPr>
          <w:p w:rsidR="005F78FC" w:rsidRDefault="00B42EF3">
            <w:pPr>
              <w:pStyle w:val="TableBodyText"/>
            </w:pPr>
            <w:r>
              <w:t xml:space="preserve">A QR 2D bar code as specified by </w:t>
            </w:r>
            <w:hyperlink r:id="rId306">
              <w:r>
                <w:rPr>
                  <w:rStyle w:val="Hyperlink"/>
                </w:rPr>
                <w:t>[ISO/IEC18004:2006]</w:t>
              </w:r>
            </w:hyperlink>
            <w:r>
              <w:t>.</w:t>
            </w:r>
          </w:p>
        </w:tc>
      </w:tr>
      <w:tr w:rsidR="005F78FC" w:rsidTr="005F78FC">
        <w:tc>
          <w:tcPr>
            <w:tcW w:w="0" w:type="auto"/>
            <w:vAlign w:val="center"/>
          </w:tcPr>
          <w:p w:rsidR="005F78FC" w:rsidRDefault="00B42EF3">
            <w:pPr>
              <w:pStyle w:val="TableBodyText"/>
            </w:pPr>
            <w:r>
              <w:t>CODE128</w:t>
            </w:r>
          </w:p>
        </w:tc>
        <w:tc>
          <w:tcPr>
            <w:tcW w:w="0" w:type="auto"/>
            <w:vAlign w:val="center"/>
          </w:tcPr>
          <w:p w:rsidR="005F78FC" w:rsidRDefault="00B42EF3">
            <w:pPr>
              <w:pStyle w:val="TableBodyText"/>
            </w:pPr>
            <w:r>
              <w:t xml:space="preserve">A Code 128 linear bar code as specified by </w:t>
            </w:r>
            <w:hyperlink r:id="rId307">
              <w:r>
                <w:rPr>
                  <w:rStyle w:val="Hyperlink"/>
                </w:rPr>
                <w:t>[AIM-BC4-1995-Code128]</w:t>
              </w:r>
            </w:hyperlink>
            <w:r>
              <w:t>.</w:t>
            </w:r>
          </w:p>
        </w:tc>
      </w:tr>
      <w:tr w:rsidR="005F78FC" w:rsidTr="005F78FC">
        <w:tc>
          <w:tcPr>
            <w:tcW w:w="0" w:type="auto"/>
            <w:vAlign w:val="center"/>
          </w:tcPr>
          <w:p w:rsidR="005F78FC" w:rsidRDefault="00B42EF3">
            <w:pPr>
              <w:pStyle w:val="TableBodyText"/>
            </w:pPr>
            <w:r>
              <w:t>CODE39</w:t>
            </w:r>
          </w:p>
        </w:tc>
        <w:tc>
          <w:tcPr>
            <w:tcW w:w="0" w:type="auto"/>
            <w:vAlign w:val="center"/>
          </w:tcPr>
          <w:p w:rsidR="005F78FC" w:rsidRDefault="00B42EF3">
            <w:pPr>
              <w:pStyle w:val="TableBodyText"/>
            </w:pPr>
            <w:r>
              <w:t xml:space="preserve">A Code 39 linear bar code as specified by </w:t>
            </w:r>
            <w:hyperlink r:id="rId308">
              <w:r>
                <w:rPr>
                  <w:rStyle w:val="Hyperlink"/>
                </w:rPr>
                <w:t>[AIM-BC1-1995-Code39]</w:t>
              </w:r>
            </w:hyperlink>
            <w:r>
              <w:t>.</w:t>
            </w:r>
          </w:p>
        </w:tc>
      </w:tr>
      <w:tr w:rsidR="005F78FC" w:rsidTr="005F78FC">
        <w:tc>
          <w:tcPr>
            <w:tcW w:w="0" w:type="auto"/>
            <w:vAlign w:val="center"/>
          </w:tcPr>
          <w:p w:rsidR="005F78FC" w:rsidRDefault="00B42EF3">
            <w:pPr>
              <w:pStyle w:val="TableBodyText"/>
            </w:pPr>
            <w:r>
              <w:t>JPPOST</w:t>
            </w:r>
          </w:p>
        </w:tc>
        <w:tc>
          <w:tcPr>
            <w:tcW w:w="0" w:type="auto"/>
            <w:vAlign w:val="center"/>
          </w:tcPr>
          <w:p w:rsidR="005F78FC" w:rsidRDefault="00B42EF3">
            <w:pPr>
              <w:pStyle w:val="TableBodyText"/>
            </w:pPr>
            <w:r>
              <w:t>Japanese Postal Service Customer barcode. JPPost is compliant with CBC (Customer Bar Code), which is also known as RM4SCC.</w:t>
            </w:r>
          </w:p>
        </w:tc>
      </w:tr>
      <w:tr w:rsidR="005F78FC" w:rsidTr="005F78FC">
        <w:tc>
          <w:tcPr>
            <w:tcW w:w="0" w:type="auto"/>
            <w:vAlign w:val="center"/>
          </w:tcPr>
          <w:p w:rsidR="005F78FC" w:rsidRDefault="00B42EF3">
            <w:pPr>
              <w:pStyle w:val="TableBodyText"/>
            </w:pPr>
            <w:r>
              <w:t>EAN8|EAN13</w:t>
            </w:r>
          </w:p>
        </w:tc>
        <w:tc>
          <w:tcPr>
            <w:tcW w:w="0" w:type="auto"/>
            <w:vAlign w:val="center"/>
          </w:tcPr>
          <w:p w:rsidR="005F78FC" w:rsidRDefault="00B42EF3">
            <w:pPr>
              <w:pStyle w:val="TableBodyText"/>
            </w:pPr>
            <w:r>
              <w:t>An EAN - International Article Number worldwide bar code for product ID’s (8 digit/13 digi</w:t>
            </w:r>
            <w:r>
              <w:t xml:space="preserve">t) as specified in </w:t>
            </w:r>
            <w:hyperlink r:id="rId309">
              <w:r>
                <w:rPr>
                  <w:rStyle w:val="Hyperlink"/>
                </w:rPr>
                <w:t>[GS1-BARCODE]</w:t>
              </w:r>
            </w:hyperlink>
            <w:r>
              <w:t>.</w:t>
            </w:r>
          </w:p>
        </w:tc>
      </w:tr>
      <w:tr w:rsidR="005F78FC" w:rsidTr="005F78FC">
        <w:tc>
          <w:tcPr>
            <w:tcW w:w="0" w:type="auto"/>
            <w:vAlign w:val="center"/>
          </w:tcPr>
          <w:p w:rsidR="005F78FC" w:rsidRDefault="00B42EF3">
            <w:pPr>
              <w:pStyle w:val="TableBodyText"/>
            </w:pPr>
            <w:r>
              <w:t>JAN8|JAN13</w:t>
            </w:r>
          </w:p>
        </w:tc>
        <w:tc>
          <w:tcPr>
            <w:tcW w:w="0" w:type="auto"/>
            <w:vAlign w:val="center"/>
          </w:tcPr>
          <w:p w:rsidR="005F78FC" w:rsidRDefault="00B42EF3">
            <w:pPr>
              <w:pStyle w:val="TableBodyText"/>
            </w:pPr>
            <w:r>
              <w:t>A JAN: Japanese barcode for product ID’s (8 digit/13 digit). JAN8 is an alias of EAN8. JAN13 is an alias of EAN13.</w:t>
            </w:r>
          </w:p>
        </w:tc>
      </w:tr>
      <w:tr w:rsidR="005F78FC" w:rsidTr="005F78FC">
        <w:tc>
          <w:tcPr>
            <w:tcW w:w="0" w:type="auto"/>
            <w:vAlign w:val="center"/>
          </w:tcPr>
          <w:p w:rsidR="005F78FC" w:rsidRDefault="00B42EF3">
            <w:pPr>
              <w:pStyle w:val="TableBodyText"/>
            </w:pPr>
            <w:r>
              <w:t>UPCA|UPCE</w:t>
            </w:r>
          </w:p>
        </w:tc>
        <w:tc>
          <w:tcPr>
            <w:tcW w:w="0" w:type="auto"/>
            <w:vAlign w:val="center"/>
          </w:tcPr>
          <w:p w:rsidR="005F78FC" w:rsidRDefault="00B42EF3">
            <w:pPr>
              <w:pStyle w:val="TableBodyText"/>
            </w:pPr>
            <w:r>
              <w:t>A UPC (A&amp;E): US ba</w:t>
            </w:r>
            <w:r>
              <w:t>rcode for product ID’s as specified in [GS1-BARCODE].</w:t>
            </w:r>
          </w:p>
        </w:tc>
      </w:tr>
      <w:tr w:rsidR="005F78FC" w:rsidTr="005F78FC">
        <w:tc>
          <w:tcPr>
            <w:tcW w:w="0" w:type="auto"/>
            <w:vAlign w:val="center"/>
          </w:tcPr>
          <w:p w:rsidR="005F78FC" w:rsidRDefault="00B42EF3">
            <w:pPr>
              <w:pStyle w:val="TableBodyText"/>
            </w:pPr>
            <w:r>
              <w:t>ITF14</w:t>
            </w:r>
          </w:p>
        </w:tc>
        <w:tc>
          <w:tcPr>
            <w:tcW w:w="0" w:type="auto"/>
            <w:vAlign w:val="center"/>
          </w:tcPr>
          <w:p w:rsidR="005F78FC" w:rsidRDefault="00B42EF3">
            <w:pPr>
              <w:pStyle w:val="TableBodyText"/>
            </w:pPr>
            <w:r>
              <w:t>An ITF-14 item-tracking barcode for shipping as specified in [GS1-BARCODE].</w:t>
            </w:r>
          </w:p>
        </w:tc>
      </w:tr>
      <w:tr w:rsidR="005F78FC" w:rsidTr="005F78FC">
        <w:tc>
          <w:tcPr>
            <w:tcW w:w="0" w:type="auto"/>
            <w:vAlign w:val="center"/>
          </w:tcPr>
          <w:p w:rsidR="005F78FC" w:rsidRDefault="00B42EF3">
            <w:pPr>
              <w:pStyle w:val="TableBodyText"/>
            </w:pPr>
            <w:r>
              <w:t>NW7</w:t>
            </w:r>
          </w:p>
        </w:tc>
        <w:tc>
          <w:tcPr>
            <w:tcW w:w="0" w:type="auto"/>
            <w:vAlign w:val="center"/>
          </w:tcPr>
          <w:p w:rsidR="005F78FC" w:rsidRDefault="00B42EF3">
            <w:pPr>
              <w:pStyle w:val="TableBodyText"/>
            </w:pPr>
            <w:r>
              <w:t xml:space="preserve">A NW-7 (CODABAR) serial number bar code as specified by </w:t>
            </w:r>
            <w:hyperlink r:id="rId310">
              <w:r>
                <w:rPr>
                  <w:rStyle w:val="Hyperlink"/>
                </w:rPr>
                <w:t>[AIM-BC3-1995-Codabar]</w:t>
              </w:r>
            </w:hyperlink>
            <w:r>
              <w:t>.</w:t>
            </w:r>
          </w:p>
        </w:tc>
      </w:tr>
      <w:tr w:rsidR="005F78FC" w:rsidTr="005F78FC">
        <w:tc>
          <w:tcPr>
            <w:tcW w:w="0" w:type="auto"/>
            <w:vAlign w:val="center"/>
          </w:tcPr>
          <w:p w:rsidR="005F78FC" w:rsidRDefault="00B42EF3">
            <w:pPr>
              <w:pStyle w:val="TableBodyText"/>
            </w:pPr>
            <w:r>
              <w:t>CASE</w:t>
            </w:r>
          </w:p>
        </w:tc>
        <w:tc>
          <w:tcPr>
            <w:tcW w:w="0" w:type="auto"/>
            <w:vAlign w:val="center"/>
          </w:tcPr>
          <w:p w:rsidR="005F78FC" w:rsidRDefault="00B42EF3">
            <w:pPr>
              <w:pStyle w:val="TableBodyText"/>
            </w:pPr>
            <w:r>
              <w:t>USPS barcode – FIM/POSTNET (*2) - barcode for tracking USPS mail. CASE is an alias of ITF14.</w:t>
            </w:r>
          </w:p>
        </w:tc>
      </w:tr>
    </w:tbl>
    <w:p w:rsidR="005F78FC" w:rsidRDefault="005F78FC"/>
    <w:p w:rsidR="005F78FC" w:rsidRDefault="00B42EF3">
      <w:r>
        <w:rPr>
          <w:b/>
        </w:rPr>
        <w:t xml:space="preserve">Switches: </w:t>
      </w:r>
      <w:r>
        <w:t>Zero or more of the following field-specific-switches</w:t>
      </w:r>
      <w:r>
        <w:rPr>
          <w:i/>
        </w:rPr>
        <w:t xml:space="preserve">. </w:t>
      </w:r>
    </w:p>
    <w:tbl>
      <w:tblPr>
        <w:tblStyle w:val="Table-ShadedHeader"/>
        <w:tblW w:w="0" w:type="auto"/>
        <w:tblLook w:val="04A0" w:firstRow="1" w:lastRow="0" w:firstColumn="1" w:lastColumn="0" w:noHBand="0" w:noVBand="1"/>
      </w:tblPr>
      <w:tblGrid>
        <w:gridCol w:w="1278"/>
        <w:gridCol w:w="8197"/>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Field Switch</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t xml:space="preserve">\h </w:t>
            </w:r>
            <w:r>
              <w:rPr>
                <w:i/>
              </w:rPr>
              <w:t>field-argument</w:t>
            </w:r>
          </w:p>
        </w:tc>
        <w:tc>
          <w:tcPr>
            <w:tcW w:w="0" w:type="auto"/>
            <w:vAlign w:val="center"/>
          </w:tcPr>
          <w:p w:rsidR="005F78FC" w:rsidRDefault="00B42EF3">
            <w:pPr>
              <w:pStyle w:val="TableBodyText"/>
            </w:pPr>
            <w:r>
              <w:t xml:space="preserve">The </w:t>
            </w:r>
            <w:r>
              <w:rPr>
                <w:i/>
              </w:rPr>
              <w:t>text</w:t>
            </w:r>
            <w:r>
              <w:t xml:space="preserve"> in this switch's </w:t>
            </w:r>
            <w:r>
              <w:rPr>
                <w:i/>
              </w:rPr>
              <w:t>field-argument</w:t>
            </w:r>
            <w:r>
              <w:t xml:space="preserve"> is an integer that specifies the height of the symbol.  The units are in TWIPS (1/1440 inch).</w:t>
            </w:r>
          </w:p>
        </w:tc>
      </w:tr>
      <w:tr w:rsidR="005F78FC" w:rsidTr="005F78FC">
        <w:tc>
          <w:tcPr>
            <w:tcW w:w="0" w:type="auto"/>
            <w:vAlign w:val="center"/>
          </w:tcPr>
          <w:p w:rsidR="005F78FC" w:rsidRDefault="00B42EF3">
            <w:pPr>
              <w:pStyle w:val="TableBodyText"/>
            </w:pPr>
            <w:r>
              <w:t xml:space="preserve">\s </w:t>
            </w:r>
            <w:r>
              <w:rPr>
                <w:i/>
              </w:rPr>
              <w:t>field-argument</w:t>
            </w:r>
          </w:p>
        </w:tc>
        <w:tc>
          <w:tcPr>
            <w:tcW w:w="0" w:type="auto"/>
            <w:vAlign w:val="center"/>
          </w:tcPr>
          <w:p w:rsidR="005F78FC" w:rsidRDefault="00B42EF3">
            <w:pPr>
              <w:pStyle w:val="TableBodyText"/>
            </w:pPr>
            <w:r>
              <w:t xml:space="preserve">The </w:t>
            </w:r>
            <w:r>
              <w:rPr>
                <w:i/>
              </w:rPr>
              <w:t>text</w:t>
            </w:r>
            <w:r>
              <w:t xml:space="preserve"> in this switch's </w:t>
            </w:r>
            <w:r>
              <w:rPr>
                <w:i/>
              </w:rPr>
              <w:t>field-argument</w:t>
            </w:r>
            <w:r>
              <w:t xml:space="preserve"> is an integer that specifies a scaling factor for the symbol. The value is in whole percentage points and the valid values are [10, 1000]</w:t>
            </w:r>
          </w:p>
        </w:tc>
      </w:tr>
      <w:tr w:rsidR="005F78FC" w:rsidTr="005F78FC">
        <w:tc>
          <w:tcPr>
            <w:tcW w:w="0" w:type="auto"/>
            <w:vAlign w:val="center"/>
          </w:tcPr>
          <w:p w:rsidR="005F78FC" w:rsidRDefault="00B42EF3">
            <w:pPr>
              <w:pStyle w:val="TableBodyText"/>
            </w:pPr>
            <w:r>
              <w:t xml:space="preserve">\q </w:t>
            </w:r>
            <w:r>
              <w:rPr>
                <w:i/>
              </w:rPr>
              <w:t>field-argument</w:t>
            </w:r>
          </w:p>
        </w:tc>
        <w:tc>
          <w:tcPr>
            <w:tcW w:w="0" w:type="auto"/>
            <w:vAlign w:val="center"/>
          </w:tcPr>
          <w:p w:rsidR="005F78FC" w:rsidRDefault="00B42EF3">
            <w:pPr>
              <w:pStyle w:val="TableBodyText"/>
            </w:pPr>
            <w:r>
              <w:t xml:space="preserve">The </w:t>
            </w:r>
            <w:r>
              <w:rPr>
                <w:i/>
              </w:rPr>
              <w:t>text</w:t>
            </w:r>
            <w:r>
              <w:t xml:space="preserve"> in this switch's </w:t>
            </w:r>
            <w:r>
              <w:rPr>
                <w:i/>
              </w:rPr>
              <w:t>field-argument</w:t>
            </w:r>
            <w:r>
              <w:t xml:space="preserve"> is an integer that specifies the error correction level o</w:t>
            </w:r>
            <w:r>
              <w:t>f QR Code.  Valid values are [L|M|Q|H].</w:t>
            </w:r>
          </w:p>
        </w:tc>
      </w:tr>
      <w:tr w:rsidR="005F78FC" w:rsidTr="005F78FC">
        <w:tc>
          <w:tcPr>
            <w:tcW w:w="0" w:type="auto"/>
            <w:vAlign w:val="center"/>
          </w:tcPr>
          <w:p w:rsidR="005F78FC" w:rsidRDefault="00B42EF3">
            <w:pPr>
              <w:pStyle w:val="TableBodyText"/>
            </w:pPr>
            <w:r>
              <w:t xml:space="preserve">\p </w:t>
            </w:r>
            <w:r>
              <w:rPr>
                <w:i/>
              </w:rPr>
              <w:t>field-argument</w:t>
            </w:r>
          </w:p>
        </w:tc>
        <w:tc>
          <w:tcPr>
            <w:tcW w:w="0" w:type="auto"/>
            <w:vAlign w:val="center"/>
          </w:tcPr>
          <w:p w:rsidR="005F78FC" w:rsidRDefault="00B42EF3">
            <w:pPr>
              <w:pStyle w:val="TableBodyText"/>
            </w:pPr>
            <w:r>
              <w:t xml:space="preserve">The </w:t>
            </w:r>
            <w:r>
              <w:rPr>
                <w:i/>
              </w:rPr>
              <w:t>text</w:t>
            </w:r>
            <w:r>
              <w:t xml:space="preserve"> in this switch's </w:t>
            </w:r>
            <w:r>
              <w:rPr>
                <w:i/>
              </w:rPr>
              <w:t>field-argument</w:t>
            </w:r>
            <w:r>
              <w:t xml:space="preserve"> specifies the style of a POS barcode (barcode types UPCA|UPCE|EAN13|EAN8).  The valid values are [STD|SUP2|SUP5|CASE].</w:t>
            </w:r>
          </w:p>
          <w:p w:rsidR="005F78FC" w:rsidRDefault="005F78FC">
            <w:pPr>
              <w:pStyle w:val="TableBodyText"/>
            </w:pPr>
          </w:p>
        </w:tc>
      </w:tr>
      <w:tr w:rsidR="005F78FC" w:rsidTr="005F78FC">
        <w:tc>
          <w:tcPr>
            <w:tcW w:w="0" w:type="auto"/>
            <w:vAlign w:val="center"/>
          </w:tcPr>
          <w:p w:rsidR="005F78FC" w:rsidRDefault="00B42EF3">
            <w:pPr>
              <w:pStyle w:val="TableBodyText"/>
            </w:pPr>
            <w:r>
              <w:t>\x</w:t>
            </w:r>
          </w:p>
        </w:tc>
        <w:tc>
          <w:tcPr>
            <w:tcW w:w="0" w:type="auto"/>
            <w:vAlign w:val="center"/>
          </w:tcPr>
          <w:p w:rsidR="005F78FC" w:rsidRDefault="00B42EF3">
            <w:pPr>
              <w:pStyle w:val="TableBodyText"/>
            </w:pPr>
            <w:r>
              <w:t xml:space="preserve">Fixes the check digit if it’s </w:t>
            </w:r>
            <w:r>
              <w:t>invalid.</w:t>
            </w:r>
          </w:p>
          <w:p w:rsidR="005F78FC" w:rsidRDefault="005F78FC">
            <w:pPr>
              <w:pStyle w:val="TableBodyText"/>
            </w:pPr>
          </w:p>
        </w:tc>
      </w:tr>
      <w:tr w:rsidR="005F78FC" w:rsidTr="005F78FC">
        <w:tc>
          <w:tcPr>
            <w:tcW w:w="0" w:type="auto"/>
            <w:vAlign w:val="center"/>
          </w:tcPr>
          <w:p w:rsidR="005F78FC" w:rsidRDefault="00B42EF3">
            <w:pPr>
              <w:pStyle w:val="TableBodyText"/>
            </w:pPr>
            <w:r>
              <w:t>\d</w:t>
            </w:r>
          </w:p>
        </w:tc>
        <w:tc>
          <w:tcPr>
            <w:tcW w:w="0" w:type="auto"/>
            <w:vAlign w:val="center"/>
          </w:tcPr>
          <w:p w:rsidR="005F78FC" w:rsidRDefault="00B42EF3">
            <w:pPr>
              <w:pStyle w:val="TableBodyText"/>
            </w:pPr>
            <w:r>
              <w:t>Adds Start/Stop characters for barcode types NW7 and CODE39</w:t>
            </w:r>
          </w:p>
          <w:p w:rsidR="005F78FC" w:rsidRDefault="005F78FC">
            <w:pPr>
              <w:pStyle w:val="TableBodyText"/>
            </w:pPr>
          </w:p>
        </w:tc>
      </w:tr>
      <w:tr w:rsidR="005F78FC" w:rsidTr="005F78FC">
        <w:tc>
          <w:tcPr>
            <w:tcW w:w="0" w:type="auto"/>
            <w:vAlign w:val="center"/>
          </w:tcPr>
          <w:p w:rsidR="005F78FC" w:rsidRDefault="00B42EF3">
            <w:pPr>
              <w:pStyle w:val="TableBodyText"/>
            </w:pPr>
            <w:r>
              <w:t xml:space="preserve">\c </w:t>
            </w:r>
            <w:r>
              <w:rPr>
                <w:i/>
              </w:rPr>
              <w:t>field-argument</w:t>
            </w:r>
          </w:p>
        </w:tc>
        <w:tc>
          <w:tcPr>
            <w:tcW w:w="0" w:type="auto"/>
            <w:vAlign w:val="center"/>
          </w:tcPr>
          <w:p w:rsidR="005F78FC" w:rsidRDefault="00B42EF3">
            <w:pPr>
              <w:pStyle w:val="TableBodyText"/>
            </w:pPr>
            <w:r>
              <w:t xml:space="preserve">The </w:t>
            </w:r>
            <w:r>
              <w:rPr>
                <w:i/>
              </w:rPr>
              <w:t>text</w:t>
            </w:r>
            <w:r>
              <w:t xml:space="preserve"> in this switch's </w:t>
            </w:r>
            <w:r>
              <w:rPr>
                <w:i/>
              </w:rPr>
              <w:t>field-argument</w:t>
            </w:r>
            <w:r>
              <w:t xml:space="preserve"> specifies the style of a Case Code for barcode type ITF14.   The valid values are [STD|EXT|ADD]</w:t>
            </w:r>
          </w:p>
          <w:p w:rsidR="005F78FC" w:rsidRDefault="005F78FC">
            <w:pPr>
              <w:pStyle w:val="TableBodyText"/>
            </w:pPr>
          </w:p>
        </w:tc>
      </w:tr>
      <w:tr w:rsidR="005F78FC" w:rsidTr="005F78FC">
        <w:tc>
          <w:tcPr>
            <w:tcW w:w="0" w:type="auto"/>
            <w:vAlign w:val="center"/>
          </w:tcPr>
          <w:p w:rsidR="005F78FC" w:rsidRDefault="00B42EF3">
            <w:pPr>
              <w:pStyle w:val="TableBodyText"/>
            </w:pPr>
            <w:r>
              <w:lastRenderedPageBreak/>
              <w:t xml:space="preserve">\r </w:t>
            </w:r>
            <w:r>
              <w:rPr>
                <w:i/>
              </w:rPr>
              <w:t>field-argument</w:t>
            </w:r>
          </w:p>
        </w:tc>
        <w:tc>
          <w:tcPr>
            <w:tcW w:w="0" w:type="auto"/>
            <w:vAlign w:val="center"/>
          </w:tcPr>
          <w:p w:rsidR="005F78FC" w:rsidRDefault="00B42EF3">
            <w:pPr>
              <w:pStyle w:val="TableBodyText"/>
            </w:pPr>
            <w:r>
              <w:t xml:space="preserve">The </w:t>
            </w:r>
            <w:r>
              <w:rPr>
                <w:i/>
              </w:rPr>
              <w:t>t</w:t>
            </w:r>
            <w:r>
              <w:rPr>
                <w:i/>
              </w:rPr>
              <w:t>ext</w:t>
            </w:r>
            <w:r>
              <w:t xml:space="preserve"> in this switch's </w:t>
            </w:r>
            <w:r>
              <w:rPr>
                <w:i/>
              </w:rPr>
              <w:t>field-argument</w:t>
            </w:r>
            <w:r>
              <w:t xml:space="preserve"> is an integer that specifies the rotation of the barcode symbol.  Valid values are [0, 3]</w:t>
            </w:r>
          </w:p>
          <w:p w:rsidR="005F78FC" w:rsidRDefault="005F78FC">
            <w:pPr>
              <w:pStyle w:val="TableBodyText"/>
            </w:pPr>
          </w:p>
        </w:tc>
      </w:tr>
      <w:tr w:rsidR="005F78FC" w:rsidTr="005F78FC">
        <w:tc>
          <w:tcPr>
            <w:tcW w:w="0" w:type="auto"/>
            <w:vAlign w:val="center"/>
          </w:tcPr>
          <w:p w:rsidR="005F78FC" w:rsidRDefault="00B42EF3">
            <w:pPr>
              <w:pStyle w:val="TableBodyText"/>
            </w:pPr>
            <w:r>
              <w:t xml:space="preserve">\f </w:t>
            </w:r>
            <w:r>
              <w:rPr>
                <w:i/>
              </w:rPr>
              <w:t>field-argument</w:t>
            </w:r>
          </w:p>
        </w:tc>
        <w:tc>
          <w:tcPr>
            <w:tcW w:w="0" w:type="auto"/>
            <w:vAlign w:val="center"/>
          </w:tcPr>
          <w:p w:rsidR="005F78FC" w:rsidRDefault="00B42EF3">
            <w:pPr>
              <w:pStyle w:val="TableBodyText"/>
            </w:pPr>
            <w:r>
              <w:t xml:space="preserve">The </w:t>
            </w:r>
            <w:r>
              <w:rPr>
                <w:i/>
              </w:rPr>
              <w:t>text</w:t>
            </w:r>
            <w:r>
              <w:t xml:space="preserve"> in this switch's </w:t>
            </w:r>
            <w:r>
              <w:rPr>
                <w:i/>
              </w:rPr>
              <w:t>field-argument</w:t>
            </w:r>
            <w:r>
              <w:t xml:space="preserve"> is an integer that specifies the foreground color of the barcode symbol.  Valid values are in the range [0, 0xFFFFFF]</w:t>
            </w:r>
          </w:p>
          <w:p w:rsidR="005F78FC" w:rsidRDefault="005F78FC">
            <w:pPr>
              <w:pStyle w:val="TableBodyText"/>
            </w:pPr>
          </w:p>
        </w:tc>
      </w:tr>
      <w:tr w:rsidR="005F78FC" w:rsidTr="005F78FC">
        <w:tc>
          <w:tcPr>
            <w:tcW w:w="0" w:type="auto"/>
            <w:vAlign w:val="center"/>
          </w:tcPr>
          <w:p w:rsidR="005F78FC" w:rsidRDefault="00B42EF3">
            <w:pPr>
              <w:pStyle w:val="TableBodyText"/>
            </w:pPr>
            <w:r>
              <w:t xml:space="preserve">\b </w:t>
            </w:r>
            <w:r>
              <w:rPr>
                <w:i/>
              </w:rPr>
              <w:t>field-argument</w:t>
            </w:r>
          </w:p>
        </w:tc>
        <w:tc>
          <w:tcPr>
            <w:tcW w:w="0" w:type="auto"/>
            <w:vAlign w:val="center"/>
          </w:tcPr>
          <w:p w:rsidR="005F78FC" w:rsidRDefault="00B42EF3">
            <w:pPr>
              <w:pStyle w:val="TableBodyText"/>
            </w:pPr>
            <w:r>
              <w:t xml:space="preserve">The </w:t>
            </w:r>
            <w:r>
              <w:rPr>
                <w:i/>
              </w:rPr>
              <w:t>text</w:t>
            </w:r>
            <w:r>
              <w:t xml:space="preserve"> in this switch's </w:t>
            </w:r>
            <w:r>
              <w:rPr>
                <w:i/>
              </w:rPr>
              <w:t>field-argument</w:t>
            </w:r>
            <w:r>
              <w:t xml:space="preserve"> is an integer that specifies the background color of the barcode symbol.  Va</w:t>
            </w:r>
            <w:r>
              <w:t>lid values are in the range [0, 0xFFFFFF]</w:t>
            </w:r>
          </w:p>
          <w:p w:rsidR="005F78FC" w:rsidRDefault="005F78FC">
            <w:pPr>
              <w:pStyle w:val="TableBodyText"/>
            </w:pPr>
          </w:p>
        </w:tc>
      </w:tr>
      <w:tr w:rsidR="005F78FC" w:rsidTr="005F78FC">
        <w:tc>
          <w:tcPr>
            <w:tcW w:w="0" w:type="auto"/>
            <w:vAlign w:val="center"/>
          </w:tcPr>
          <w:p w:rsidR="005F78FC" w:rsidRDefault="00B42EF3">
            <w:pPr>
              <w:pStyle w:val="TableBodyText"/>
            </w:pPr>
            <w:r>
              <w:t>\t</w:t>
            </w:r>
          </w:p>
        </w:tc>
        <w:tc>
          <w:tcPr>
            <w:tcW w:w="0" w:type="auto"/>
            <w:vAlign w:val="center"/>
          </w:tcPr>
          <w:p w:rsidR="005F78FC" w:rsidRDefault="00B42EF3">
            <w:pPr>
              <w:pStyle w:val="TableBodyText"/>
            </w:pPr>
            <w:r>
              <w:t>Display barcode data (text) along with image</w:t>
            </w:r>
          </w:p>
          <w:p w:rsidR="005F78FC" w:rsidRDefault="005F78FC">
            <w:pPr>
              <w:pStyle w:val="TableBodyText"/>
            </w:pPr>
          </w:p>
        </w:tc>
      </w:tr>
      <w:tr w:rsidR="005F78FC" w:rsidTr="005F78FC">
        <w:tc>
          <w:tcPr>
            <w:tcW w:w="0" w:type="auto"/>
            <w:vAlign w:val="center"/>
          </w:tcPr>
          <w:p w:rsidR="005F78FC" w:rsidRDefault="00B42EF3">
            <w:pPr>
              <w:pStyle w:val="TableBodyText"/>
            </w:pPr>
            <w:r>
              <w:t>\a</w:t>
            </w:r>
          </w:p>
        </w:tc>
        <w:tc>
          <w:tcPr>
            <w:tcW w:w="0" w:type="auto"/>
            <w:vAlign w:val="center"/>
          </w:tcPr>
          <w:p w:rsidR="005F78FC" w:rsidRDefault="00B42EF3">
            <w:pPr>
              <w:pStyle w:val="TableBodyText"/>
            </w:pPr>
            <w:r>
              <w:t xml:space="preserve">Concatenate all mapped address fields to generate a Japanese Postal Customer Barcode. The </w:t>
            </w:r>
            <w:r>
              <w:rPr>
                <w:i/>
              </w:rPr>
              <w:t>field-argument</w:t>
            </w:r>
            <w:r>
              <w:t xml:space="preserve"> and </w:t>
            </w:r>
            <w:r>
              <w:rPr>
                <w:i/>
              </w:rPr>
              <w:t>Barcode-Type</w:t>
            </w:r>
            <w:r>
              <w:t xml:space="preserve"> arguments and all other switches are </w:t>
            </w:r>
            <w:r>
              <w:t>ignored when this switch is used.</w:t>
            </w:r>
          </w:p>
          <w:p w:rsidR="005F78FC" w:rsidRDefault="005F78FC">
            <w:pPr>
              <w:pStyle w:val="TableBodyText"/>
            </w:pPr>
          </w:p>
        </w:tc>
      </w:tr>
    </w:tbl>
    <w:p w:rsidR="005F78FC" w:rsidRDefault="005F78FC"/>
    <w:p w:rsidR="005F78FC" w:rsidRDefault="00B42EF3">
      <w:r>
        <w:t xml:space="preserve"> [Example: The following field uses the data in BarcodeData to generate an EAN-13 barcode with default style:</w:t>
      </w:r>
    </w:p>
    <w:p w:rsidR="005F78FC" w:rsidRDefault="00B42EF3">
      <w:pPr>
        <w:pStyle w:val="Code"/>
      </w:pPr>
      <w:r>
        <w:t>MERGEBARCODE BarcodeData EAN13</w:t>
      </w:r>
    </w:p>
    <w:p w:rsidR="005F78FC" w:rsidRDefault="00B42EF3">
      <w:r>
        <w:t>end example]</w:t>
      </w:r>
    </w:p>
    <w:p w:rsidR="005F78FC" w:rsidRDefault="00B42EF3">
      <w:r>
        <w:t xml:space="preserve">[Example: The following field uses the data in URL to generate a </w:t>
      </w:r>
      <w:r>
        <w:t>QR Code with highest error correction level:</w:t>
      </w:r>
    </w:p>
    <w:p w:rsidR="005F78FC" w:rsidRDefault="00B42EF3">
      <w:pPr>
        <w:pStyle w:val="Code"/>
      </w:pPr>
      <w:r>
        <w:t>MERGEBARCODE URL QR \q h</w:t>
      </w:r>
    </w:p>
    <w:p w:rsidR="005F78FC" w:rsidRDefault="00B42EF3">
      <w:r>
        <w:t>end example]</w:t>
      </w:r>
    </w:p>
    <w:p w:rsidR="005F78FC" w:rsidRDefault="00B42EF3">
      <w:r>
        <w:t>[Example: The following field concatenates all mapped address fields and uses that data to generate a Japanese Postal Customer Barcode:</w:t>
      </w:r>
    </w:p>
    <w:p w:rsidR="005F78FC" w:rsidRDefault="00B42EF3">
      <w:pPr>
        <w:pStyle w:val="Code"/>
      </w:pPr>
      <w:r>
        <w:t>MERGEBARCODE PLACEHOLDER JPPOST \a</w:t>
      </w:r>
    </w:p>
    <w:p w:rsidR="005F78FC" w:rsidRDefault="00B42EF3">
      <w:r>
        <w:t>end example]</w:t>
      </w:r>
    </w:p>
    <w:p w:rsidR="005F78FC" w:rsidRDefault="00B42EF3">
      <w:pPr>
        <w:pStyle w:val="Heading4"/>
      </w:pPr>
      <w:bookmarkStart w:id="3919" w:name="section_86f6d7c756104b598a6be11314b01c3c"/>
      <w:bookmarkStart w:id="3920" w:name="_Toc69879732"/>
      <w:r>
        <w:t>Simple Types</w:t>
      </w:r>
      <w:bookmarkEnd w:id="3919"/>
      <w:bookmarkEnd w:id="3920"/>
      <w:r>
        <w:fldChar w:fldCharType="begin"/>
      </w:r>
      <w:r>
        <w:instrText xml:space="preserve"> XE "Simple Types" </w:instrText>
      </w:r>
      <w:r>
        <w:fldChar w:fldCharType="end"/>
      </w:r>
    </w:p>
    <w:p w:rsidR="005F78FC" w:rsidRDefault="00B42EF3">
      <w:r>
        <w:t>This is the complete list of simple types in the http://schemas.openxmlformats.org/wordprocessingml/2006/main namespace.</w:t>
      </w:r>
    </w:p>
    <w:p w:rsidR="005F78FC" w:rsidRDefault="00B42EF3">
      <w:pPr>
        <w:pStyle w:val="Heading5"/>
      </w:pPr>
      <w:bookmarkStart w:id="3921" w:name="section_04197af53c824a9d81393f1cec2b78eb"/>
      <w:bookmarkStart w:id="3922" w:name="_Toc69879733"/>
      <w:r>
        <w:t>ST_CustomXmlURI (URI for Custom XML)</w:t>
      </w:r>
      <w:bookmarkEnd w:id="3921"/>
      <w:bookmarkEnd w:id="3922"/>
      <w:r>
        <w:fldChar w:fldCharType="begin"/>
      </w:r>
      <w:r>
        <w:instrText xml:space="preserve"> XE "ST_CustomXmlURI (URI for Custom XML)" </w:instrText>
      </w:r>
      <w:r>
        <w:fldChar w:fldCharType="end"/>
      </w:r>
    </w:p>
    <w:p w:rsidR="005F78FC" w:rsidRDefault="00B42EF3">
      <w:r>
        <w:lastRenderedPageBreak/>
        <w:t>This s</w:t>
      </w:r>
      <w:r>
        <w:t xml:space="preserve">imple type specifies the URI of the current custom XML element. Word fails to load the document if the URI is not declared in any of the attached schemas via the element </w:t>
      </w:r>
      <w:r>
        <w:rPr>
          <w:b/>
        </w:rPr>
        <w:t>attachedSchema</w:t>
      </w:r>
      <w:r>
        <w:t xml:space="preserve"> ("</w:t>
      </w:r>
      <w:hyperlink r:id="rId311">
        <w:r>
          <w:rPr>
            <w:rStyle w:val="Hyperlink"/>
          </w:rPr>
          <w:t>[IS</w:t>
        </w:r>
        <w:r>
          <w:rPr>
            <w:rStyle w:val="Hyperlink"/>
          </w:rPr>
          <w:t>O/IEC-29500-1]</w:t>
        </w:r>
      </w:hyperlink>
      <w:r>
        <w:t xml:space="preserve"> §17.15.1.5; attachedSchema").</w:t>
      </w:r>
    </w:p>
    <w:p w:rsidR="005F78FC" w:rsidRDefault="00B42EF3">
      <w:r>
        <w:t>This simple type's contents are a restriction of the XML Schema string datatype.</w:t>
      </w:r>
    </w:p>
    <w:tbl>
      <w:tblPr>
        <w:tblStyle w:val="Table-ShadedHeader"/>
        <w:tblW w:w="0" w:type="auto"/>
        <w:tblLook w:val="04A0" w:firstRow="1" w:lastRow="0" w:firstColumn="1" w:lastColumn="0" w:noHBand="0" w:noVBand="1"/>
      </w:tblPr>
      <w:tblGrid>
        <w:gridCol w:w="3686"/>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Referenced By</w:t>
            </w:r>
          </w:p>
        </w:tc>
      </w:tr>
      <w:tr w:rsidR="005F78FC" w:rsidTr="005F78FC">
        <w:tc>
          <w:tcPr>
            <w:tcW w:w="0" w:type="auto"/>
            <w:vAlign w:val="center"/>
          </w:tcPr>
          <w:p w:rsidR="005F78FC" w:rsidRDefault="00B42EF3">
            <w:pPr>
              <w:pStyle w:val="TableBodyText"/>
            </w:pPr>
            <w:r>
              <w:rPr>
                <w:b/>
              </w:rPr>
              <w:t>customXml@uri</w:t>
            </w:r>
            <w:r>
              <w:t xml:space="preserve"> (§</w:t>
            </w:r>
            <w:hyperlink w:anchor="Section_d188da3eb34b4445b3a0118155f75ff3">
              <w:r>
                <w:rPr>
                  <w:rStyle w:val="Hyperlink"/>
                </w:rPr>
                <w:t>3.1.3.1.1, customXml</w:t>
              </w:r>
            </w:hyperlink>
            <w:r>
              <w:t>)</w:t>
            </w:r>
          </w:p>
        </w:tc>
      </w:tr>
    </w:tbl>
    <w:p w:rsidR="005F78FC" w:rsidRDefault="005F78FC"/>
    <w:p w:rsidR="005F78FC" w:rsidRDefault="00B42EF3">
      <w:r>
        <w:t xml:space="preserve">The </w:t>
      </w:r>
      <w:r>
        <w:t>following XML Schema fragment defines the contents of this simple type:</w:t>
      </w:r>
    </w:p>
    <w:p w:rsidR="005F78FC" w:rsidRDefault="00B42EF3">
      <w:pPr>
        <w:pStyle w:val="Code"/>
      </w:pPr>
      <w:r>
        <w:t>&lt;simpleType name="ST_CustomXmlURI"&gt;</w:t>
      </w:r>
    </w:p>
    <w:p w:rsidR="005F78FC" w:rsidRDefault="00B42EF3">
      <w:pPr>
        <w:pStyle w:val="Code"/>
      </w:pPr>
      <w:r>
        <w:t xml:space="preserve">  &lt;restriction base="xsd:string"/&gt;</w:t>
      </w:r>
    </w:p>
    <w:p w:rsidR="005F78FC" w:rsidRDefault="00B42EF3">
      <w:pPr>
        <w:pStyle w:val="Code"/>
      </w:pPr>
      <w:r>
        <w:t>&lt;/simpleType&gt;</w:t>
      </w:r>
    </w:p>
    <w:p w:rsidR="005F78FC" w:rsidRDefault="00B42EF3">
      <w:pPr>
        <w:pStyle w:val="Heading5"/>
      </w:pPr>
      <w:bookmarkStart w:id="3923" w:name="section_67feb752f108441eaca363fc2717117a"/>
      <w:bookmarkStart w:id="3924" w:name="_Toc69879734"/>
      <w:r>
        <w:t>ST_DateTime (Standard Date and Time Storage Format)</w:t>
      </w:r>
      <w:bookmarkEnd w:id="3923"/>
      <w:bookmarkEnd w:id="3924"/>
      <w:r>
        <w:fldChar w:fldCharType="begin"/>
      </w:r>
      <w:r>
        <w:instrText xml:space="preserve"> XE "ST_DateTime (Standard Date and Time Storage Format)" </w:instrText>
      </w:r>
      <w:r>
        <w:fldChar w:fldCharType="end"/>
      </w:r>
    </w:p>
    <w:p w:rsidR="005F78FC" w:rsidRDefault="00B42EF3">
      <w:r>
        <w:t>This simple type specifies that its contents will contain a date in the standard XML Schema xsd:dateTime format, whose contents are interpreted based on the context of the parent XML element.</w:t>
      </w:r>
    </w:p>
    <w:p w:rsidR="005F78FC" w:rsidRDefault="00B42EF3">
      <w:r>
        <w:t>[Ex</w:t>
      </w:r>
      <w:r>
        <w:t>ample: Consider the following WordprocessingML fragment:</w:t>
      </w:r>
    </w:p>
    <w:p w:rsidR="005F78FC" w:rsidRDefault="00B42EF3">
      <w:pPr>
        <w:pStyle w:val="Code"/>
      </w:pPr>
      <w:r>
        <w:t>&lt;w:date w:realDate="01-01-2006T12:00:00Z"&gt;</w:t>
      </w:r>
    </w:p>
    <w:p w:rsidR="005F78FC" w:rsidRDefault="00B42EF3">
      <w:pPr>
        <w:pStyle w:val="Code"/>
      </w:pPr>
      <w:r>
        <w:t xml:space="preserve">  …</w:t>
      </w:r>
    </w:p>
    <w:p w:rsidR="005F78FC" w:rsidRDefault="00B42EF3">
      <w:pPr>
        <w:pStyle w:val="Code"/>
      </w:pPr>
      <w:r>
        <w:t>&lt;/w:date&gt;</w:t>
      </w:r>
    </w:p>
    <w:p w:rsidR="005F78FC" w:rsidRDefault="00B42EF3">
      <w:r>
        <w:t xml:space="preserve">In this case, the date in the </w:t>
      </w:r>
      <w:r>
        <w:rPr>
          <w:b/>
        </w:rPr>
        <w:t>realDate</w:t>
      </w:r>
      <w:r>
        <w:t xml:space="preserve"> attribute is the full date associated with the parent date-picker structured document. In every case, t</w:t>
      </w:r>
      <w:r>
        <w:t>he value of this type is interpreted in the context of the parent element or attribute. end example]</w:t>
      </w:r>
    </w:p>
    <w:p w:rsidR="005F78FC" w:rsidRDefault="00B42EF3">
      <w:r>
        <w:t>This simple type's contents are a restriction of the XML Schema dateTime datatype.</w:t>
      </w:r>
    </w:p>
    <w:tbl>
      <w:tblPr>
        <w:tblStyle w:val="Table-ShadedHeader"/>
        <w:tblW w:w="0" w:type="auto"/>
        <w:tblLook w:val="04A0" w:firstRow="1" w:lastRow="0" w:firstColumn="1" w:lastColumn="0" w:noHBand="0" w:noVBand="1"/>
      </w:tblPr>
      <w:tblGrid>
        <w:gridCol w:w="6936"/>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Referenced By</w:t>
            </w:r>
          </w:p>
        </w:tc>
      </w:tr>
      <w:tr w:rsidR="005F78FC" w:rsidTr="005F78FC">
        <w:tc>
          <w:tcPr>
            <w:tcW w:w="0" w:type="auto"/>
            <w:vAlign w:val="center"/>
          </w:tcPr>
          <w:p w:rsidR="005F78FC" w:rsidRDefault="00B42EF3">
            <w:pPr>
              <w:pStyle w:val="TableBodyText"/>
            </w:pPr>
            <w:r>
              <w:rPr>
                <w:b/>
              </w:rPr>
              <w:t>moveFrom@date</w:t>
            </w:r>
            <w:r>
              <w:t xml:space="preserve"> (§</w:t>
            </w:r>
            <w:hyperlink w:anchor="Section_dcbcb32823db42abbb8081992b8e429e">
              <w:r>
                <w:rPr>
                  <w:rStyle w:val="Hyperlink"/>
                </w:rPr>
                <w:t>3.1.3.1.4, moveFrom</w:t>
              </w:r>
            </w:hyperlink>
            <w:r>
              <w:t xml:space="preserve">); </w:t>
            </w:r>
            <w:r>
              <w:rPr>
                <w:b/>
              </w:rPr>
              <w:t>moveTo@date</w:t>
            </w:r>
            <w:r>
              <w:t xml:space="preserve"> (§</w:t>
            </w:r>
            <w:hyperlink w:anchor="Section_9d27b8e63f8f4cf7a6e356e2fbf140b8">
              <w:r>
                <w:rPr>
                  <w:rStyle w:val="Hyperlink"/>
                </w:rPr>
                <w:t>3.1.3.1.5, moveTo</w:t>
              </w:r>
            </w:hyperlink>
            <w:r>
              <w:t>)</w:t>
            </w:r>
          </w:p>
        </w:tc>
      </w:tr>
    </w:tbl>
    <w:p w:rsidR="005F78FC" w:rsidRDefault="005F78FC"/>
    <w:p w:rsidR="005F78FC" w:rsidRDefault="00B42EF3">
      <w:r>
        <w:t>The following XML Schema fragment defines the contents of this simple type:</w:t>
      </w:r>
    </w:p>
    <w:p w:rsidR="005F78FC" w:rsidRDefault="00B42EF3">
      <w:pPr>
        <w:pStyle w:val="Code"/>
      </w:pPr>
      <w:r>
        <w:t>&lt;simpleType name="ST_DateTime"&gt;</w:t>
      </w:r>
    </w:p>
    <w:p w:rsidR="005F78FC" w:rsidRDefault="00B42EF3">
      <w:pPr>
        <w:pStyle w:val="Code"/>
      </w:pPr>
      <w:r>
        <w:t xml:space="preserve">  &lt;res</w:t>
      </w:r>
      <w:r>
        <w:t>triction base="xsd:dateTime"/&gt;</w:t>
      </w:r>
    </w:p>
    <w:p w:rsidR="005F78FC" w:rsidRDefault="00B42EF3">
      <w:pPr>
        <w:pStyle w:val="Code"/>
      </w:pPr>
      <w:r>
        <w:t>&lt;/simpleType&gt;</w:t>
      </w:r>
    </w:p>
    <w:p w:rsidR="005F78FC" w:rsidRDefault="00B42EF3">
      <w:pPr>
        <w:pStyle w:val="Heading5"/>
      </w:pPr>
      <w:bookmarkStart w:id="3925" w:name="section_205e43f89d014953a67fd7c91ccd6ffd"/>
      <w:bookmarkStart w:id="3926" w:name="_Toc69879735"/>
      <w:r>
        <w:t>ST_MarkupId (Annotation Identifier)</w:t>
      </w:r>
      <w:bookmarkEnd w:id="3925"/>
      <w:bookmarkEnd w:id="3926"/>
      <w:r>
        <w:fldChar w:fldCharType="begin"/>
      </w:r>
      <w:r>
        <w:instrText xml:space="preserve"> XE "ST_MarkupId (Annotation Identifier)" </w:instrText>
      </w:r>
      <w:r>
        <w:fldChar w:fldCharType="end"/>
      </w:r>
    </w:p>
    <w:p w:rsidR="005F78FC" w:rsidRDefault="00B42EF3">
      <w:r>
        <w:t xml:space="preserve">This simple type specifies that its contents shall contain a whole number, whose contents are used to uniquely identify an </w:t>
      </w:r>
      <w:r>
        <w:t>annotation.</w:t>
      </w:r>
    </w:p>
    <w:p w:rsidR="005F78FC" w:rsidRDefault="00B42EF3">
      <w:r>
        <w:t xml:space="preserve">The contents of this identifier are interpreted based on the context of the parent XML element. </w:t>
      </w:r>
    </w:p>
    <w:p w:rsidR="005F78FC" w:rsidRDefault="00B42EF3">
      <w:r>
        <w:t>This simple type is a union of the following types:</w:t>
      </w:r>
    </w:p>
    <w:p w:rsidR="005F78FC" w:rsidRDefault="00B42EF3">
      <w:pPr>
        <w:pStyle w:val="ListParagraph"/>
        <w:numPr>
          <w:ilvl w:val="0"/>
          <w:numId w:val="199"/>
        </w:numPr>
        <w:contextualSpacing/>
      </w:pPr>
      <w:r>
        <w:lastRenderedPageBreak/>
        <w:t>The ST_NonNegativeDecimalNumber simple type (§</w:t>
      </w:r>
      <w:hyperlink w:anchor="Section_9613ebd34b174f35b1931665d0e3b8a5">
        <w:r>
          <w:rPr>
            <w:rStyle w:val="Hyperlink"/>
          </w:rPr>
          <w:t>3.1.3.3.5, ST_NonNegativeDecimalNumber</w:t>
        </w:r>
      </w:hyperlink>
      <w:r>
        <w:t>).</w:t>
      </w:r>
    </w:p>
    <w:p w:rsidR="005F78FC" w:rsidRDefault="00B42EF3">
      <w:pPr>
        <w:pStyle w:val="ListParagraph"/>
        <w:numPr>
          <w:ilvl w:val="0"/>
          <w:numId w:val="199"/>
        </w:numPr>
      </w:pPr>
      <w:r>
        <w:t>The ST_SignedDecimalNumberMax-2 simple type (§</w:t>
      </w:r>
      <w:hyperlink w:anchor="Section_e9dec6c502ac46a4941bbe63ccf1bbe2">
        <w:r>
          <w:rPr>
            <w:rStyle w:val="Hyperlink"/>
          </w:rPr>
          <w:t>3.1.3.3.7, ST_SignedDecimalNumberMax-2</w:t>
        </w:r>
      </w:hyperlink>
      <w:r>
        <w:t>).</w:t>
      </w:r>
    </w:p>
    <w:tbl>
      <w:tblPr>
        <w:tblStyle w:val="Table-ShadedHeader"/>
        <w:tblW w:w="0" w:type="auto"/>
        <w:tblLook w:val="04A0" w:firstRow="1" w:lastRow="0" w:firstColumn="1" w:lastColumn="0" w:noHBand="0" w:noVBand="1"/>
      </w:tblPr>
      <w:tblGrid>
        <w:gridCol w:w="6474"/>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Referenced By</w:t>
            </w:r>
          </w:p>
        </w:tc>
      </w:tr>
      <w:tr w:rsidR="005F78FC" w:rsidTr="005F78FC">
        <w:tc>
          <w:tcPr>
            <w:tcW w:w="0" w:type="auto"/>
            <w:vAlign w:val="center"/>
          </w:tcPr>
          <w:p w:rsidR="005F78FC" w:rsidRDefault="00B42EF3">
            <w:pPr>
              <w:pStyle w:val="TableBodyText"/>
            </w:pPr>
            <w:r>
              <w:rPr>
                <w:b/>
              </w:rPr>
              <w:t>moveFrom@id</w:t>
            </w:r>
            <w:r>
              <w:t xml:space="preserve"> (§</w:t>
            </w:r>
            <w:hyperlink w:anchor="Section_dcbcb32823db42abbb8081992b8e429e">
              <w:r>
                <w:rPr>
                  <w:rStyle w:val="Hyperlink"/>
                </w:rPr>
                <w:t>3.1.3.1.4, moveFrom</w:t>
              </w:r>
            </w:hyperlink>
            <w:r>
              <w:t xml:space="preserve">); </w:t>
            </w:r>
            <w:r>
              <w:rPr>
                <w:b/>
              </w:rPr>
              <w:t>moveTo@id</w:t>
            </w:r>
            <w:r>
              <w:t xml:space="preserve"> (§</w:t>
            </w:r>
            <w:hyperlink w:anchor="Section_9d27b8e63f8f4cf7a6e356e2fbf140b8">
              <w:r>
                <w:rPr>
                  <w:rStyle w:val="Hyperlink"/>
                </w:rPr>
                <w:t>3.1.3.1.5, moveTo</w:t>
              </w:r>
            </w:hyperlink>
            <w:r>
              <w:t>)</w:t>
            </w:r>
          </w:p>
        </w:tc>
      </w:tr>
    </w:tbl>
    <w:p w:rsidR="005F78FC" w:rsidRDefault="005F78FC"/>
    <w:p w:rsidR="005F78FC" w:rsidRDefault="00B42EF3">
      <w:r>
        <w:t>The following XML Schema fragment defines the contents of this simple type:</w:t>
      </w:r>
    </w:p>
    <w:p w:rsidR="005F78FC" w:rsidRDefault="00B42EF3">
      <w:pPr>
        <w:pStyle w:val="Code"/>
      </w:pPr>
      <w:r>
        <w:t xml:space="preserve">&lt;simpleType </w:t>
      </w:r>
      <w:r>
        <w:t>name="ST_MarkupId"&gt;</w:t>
      </w:r>
    </w:p>
    <w:p w:rsidR="005F78FC" w:rsidRDefault="00B42EF3">
      <w:pPr>
        <w:pStyle w:val="Code"/>
      </w:pPr>
      <w:r>
        <w:t xml:space="preserve">  &lt;union memberTypes="ST_NonNegativeDecimalNumber ST_SignedDecimalNumberMax-2"/&gt;</w:t>
      </w:r>
    </w:p>
    <w:p w:rsidR="005F78FC" w:rsidRDefault="00B42EF3">
      <w:pPr>
        <w:pStyle w:val="Code"/>
      </w:pPr>
      <w:r>
        <w:t>&lt;/simpleType&gt;</w:t>
      </w:r>
    </w:p>
    <w:p w:rsidR="005F78FC" w:rsidRDefault="00B42EF3">
      <w:pPr>
        <w:pStyle w:val="Heading5"/>
      </w:pPr>
      <w:bookmarkStart w:id="3927" w:name="section_8ddb0e2037f84cb9a2e083d20de6fe2c"/>
      <w:bookmarkStart w:id="3928" w:name="_Toc69879736"/>
      <w:r>
        <w:t>ST_NcName255 (Non-colonized Name)</w:t>
      </w:r>
      <w:bookmarkEnd w:id="3927"/>
      <w:bookmarkEnd w:id="3928"/>
      <w:r>
        <w:fldChar w:fldCharType="begin"/>
      </w:r>
      <w:r>
        <w:instrText xml:space="preserve"> XE "ST_NcName255 (Non-colonized Name)" </w:instrText>
      </w:r>
      <w:r>
        <w:fldChar w:fldCharType="end"/>
      </w:r>
    </w:p>
    <w:p w:rsidR="005F78FC" w:rsidRDefault="00B42EF3">
      <w:r>
        <w:t>This simple type specifies that its content shall contain a names</w:t>
      </w:r>
      <w:r>
        <w:t>pace name. The contents of this name are interpreted based on the context of the parent element.</w:t>
      </w:r>
    </w:p>
    <w:p w:rsidR="005F78FC" w:rsidRDefault="00B42EF3">
      <w:r>
        <w:t>This simple type's contents are a restriction of the XML Schema NCName datatype.</w:t>
      </w:r>
    </w:p>
    <w:p w:rsidR="005F78FC" w:rsidRDefault="00B42EF3">
      <w:r>
        <w:t>This simple type also specifies the following restrictions:</w:t>
      </w:r>
    </w:p>
    <w:p w:rsidR="005F78FC" w:rsidRDefault="00B42EF3">
      <w:pPr>
        <w:pStyle w:val="ListParagraph"/>
        <w:numPr>
          <w:ilvl w:val="0"/>
          <w:numId w:val="200"/>
        </w:numPr>
      </w:pPr>
      <w:r>
        <w:t>This simple type's</w:t>
      </w:r>
      <w:r>
        <w:t xml:space="preserve"> contents have a maximum length of 255 characters.</w:t>
      </w:r>
    </w:p>
    <w:tbl>
      <w:tblPr>
        <w:tblStyle w:val="Table-ShadedHeader"/>
        <w:tblW w:w="0" w:type="auto"/>
        <w:tblLook w:val="04A0" w:firstRow="1" w:lastRow="0" w:firstColumn="1" w:lastColumn="0" w:noHBand="0" w:noVBand="1"/>
      </w:tblPr>
      <w:tblGrid>
        <w:gridCol w:w="4168"/>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Referenced By</w:t>
            </w:r>
          </w:p>
        </w:tc>
      </w:tr>
      <w:tr w:rsidR="005F78FC" w:rsidTr="005F78FC">
        <w:tc>
          <w:tcPr>
            <w:tcW w:w="0" w:type="auto"/>
            <w:vAlign w:val="center"/>
          </w:tcPr>
          <w:p w:rsidR="005F78FC" w:rsidRDefault="00B42EF3">
            <w:pPr>
              <w:pStyle w:val="TableBodyText"/>
            </w:pPr>
            <w:r>
              <w:rPr>
                <w:b/>
              </w:rPr>
              <w:t>customXml@element</w:t>
            </w:r>
            <w:r>
              <w:t xml:space="preserve"> (§</w:t>
            </w:r>
            <w:hyperlink w:anchor="Section_d188da3eb34b4445b3a0118155f75ff3">
              <w:r>
                <w:rPr>
                  <w:rStyle w:val="Hyperlink"/>
                </w:rPr>
                <w:t>3.1.3.1.1, customXml</w:t>
              </w:r>
            </w:hyperlink>
            <w:r>
              <w:t>)</w:t>
            </w:r>
          </w:p>
        </w:tc>
      </w:tr>
    </w:tbl>
    <w:p w:rsidR="005F78FC" w:rsidRDefault="005F78FC"/>
    <w:p w:rsidR="005F78FC" w:rsidRDefault="00B42EF3">
      <w:r>
        <w:t>The following XML Schema fragment defines the contents of this simple type:</w:t>
      </w:r>
    </w:p>
    <w:p w:rsidR="005F78FC" w:rsidRDefault="00B42EF3">
      <w:pPr>
        <w:pStyle w:val="Code"/>
      </w:pPr>
      <w:r>
        <w:t>&lt;simple</w:t>
      </w:r>
      <w:r>
        <w:t>Type name="ST_NcName255"&gt;</w:t>
      </w:r>
    </w:p>
    <w:p w:rsidR="005F78FC" w:rsidRDefault="00B42EF3">
      <w:pPr>
        <w:pStyle w:val="Code"/>
      </w:pPr>
      <w:r>
        <w:t xml:space="preserve">  &lt;restriction base="xsd:NCName"&gt;</w:t>
      </w:r>
    </w:p>
    <w:p w:rsidR="005F78FC" w:rsidRDefault="00B42EF3">
      <w:pPr>
        <w:pStyle w:val="Code"/>
      </w:pPr>
      <w:r>
        <w:t xml:space="preserve">    &lt;maxLength value="255"/&gt;</w:t>
      </w:r>
    </w:p>
    <w:p w:rsidR="005F78FC" w:rsidRDefault="00B42EF3">
      <w:pPr>
        <w:pStyle w:val="Code"/>
      </w:pPr>
      <w:r>
        <w:t xml:space="preserve">  &lt;/restriction&gt;</w:t>
      </w:r>
    </w:p>
    <w:p w:rsidR="005F78FC" w:rsidRDefault="00B42EF3">
      <w:pPr>
        <w:pStyle w:val="Code"/>
      </w:pPr>
      <w:r>
        <w:t>&lt;/simpleType&gt;</w:t>
      </w:r>
    </w:p>
    <w:p w:rsidR="005F78FC" w:rsidRDefault="00B42EF3">
      <w:pPr>
        <w:pStyle w:val="Heading5"/>
      </w:pPr>
      <w:bookmarkStart w:id="3929" w:name="section_9613ebd34b174f35b1931665d0e3b8a5"/>
      <w:bookmarkStart w:id="3930" w:name="_Toc69879737"/>
      <w:r>
        <w:t>ST_NonNegativeDecimalNumber (Non-Negative Decimal Number Value)</w:t>
      </w:r>
      <w:bookmarkEnd w:id="3929"/>
      <w:bookmarkEnd w:id="3930"/>
      <w:r>
        <w:fldChar w:fldCharType="begin"/>
      </w:r>
      <w:r>
        <w:instrText xml:space="preserve"> XE "ST_NonNegativeDecimalNumber (Non-Negative Decimal Number Value)" </w:instrText>
      </w:r>
      <w:r>
        <w:fldChar w:fldCharType="end"/>
      </w:r>
    </w:p>
    <w:p w:rsidR="005F78FC" w:rsidRDefault="00B42EF3">
      <w:r>
        <w:t>This simple type specifies that its contents shall contain a number, whose contents are interpreted based on the context of the parent XML element.</w:t>
      </w:r>
    </w:p>
    <w:p w:rsidR="005F78FC" w:rsidRDefault="00B42EF3">
      <w:r>
        <w:t>This simple type's contents are a restriction of the XML Schema int datatype.</w:t>
      </w:r>
    </w:p>
    <w:p w:rsidR="005F78FC" w:rsidRDefault="00B42EF3">
      <w:r>
        <w:t xml:space="preserve">This simple type also </w:t>
      </w:r>
      <w:r>
        <w:t>specifies the following restrictions:</w:t>
      </w:r>
    </w:p>
    <w:p w:rsidR="005F78FC" w:rsidRDefault="00B42EF3">
      <w:pPr>
        <w:pStyle w:val="ListParagraph"/>
        <w:numPr>
          <w:ilvl w:val="0"/>
          <w:numId w:val="201"/>
        </w:numPr>
      </w:pPr>
      <w:r>
        <w:t>This simple type has a minimum value of greater than or equal to 0.</w:t>
      </w:r>
    </w:p>
    <w:tbl>
      <w:tblPr>
        <w:tblStyle w:val="Table-ShadedHeader"/>
        <w:tblW w:w="0" w:type="auto"/>
        <w:tblLook w:val="04A0" w:firstRow="1" w:lastRow="0" w:firstColumn="1" w:lastColumn="0" w:noHBand="0" w:noVBand="1"/>
      </w:tblPr>
      <w:tblGrid>
        <w:gridCol w:w="3668"/>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Referenced By</w:t>
            </w:r>
          </w:p>
        </w:tc>
      </w:tr>
      <w:tr w:rsidR="005F78FC" w:rsidTr="005F78FC">
        <w:tc>
          <w:tcPr>
            <w:tcW w:w="0" w:type="auto"/>
            <w:vAlign w:val="center"/>
          </w:tcPr>
          <w:p w:rsidR="005F78FC" w:rsidRDefault="00B42EF3">
            <w:pPr>
              <w:pStyle w:val="TableBodyText"/>
            </w:pPr>
            <w:r>
              <w:rPr>
                <w:b/>
              </w:rPr>
              <w:t>ST_MarkupId</w:t>
            </w:r>
            <w:r>
              <w:t xml:space="preserve"> (§</w:t>
            </w:r>
            <w:hyperlink w:anchor="Section_205e43f89d014953a67fd7c91ccd6ffd">
              <w:r>
                <w:rPr>
                  <w:rStyle w:val="Hyperlink"/>
                </w:rPr>
                <w:t>3.1.3.3.3, ST_MarkupId</w:t>
              </w:r>
            </w:hyperlink>
            <w:r>
              <w:t>)</w:t>
            </w:r>
          </w:p>
        </w:tc>
      </w:tr>
    </w:tbl>
    <w:p w:rsidR="005F78FC" w:rsidRDefault="005F78FC"/>
    <w:p w:rsidR="005F78FC" w:rsidRDefault="00B42EF3">
      <w:r>
        <w:t>The following XML Schema fragmen</w:t>
      </w:r>
      <w:r>
        <w:t>t defines the contents of this simple type:</w:t>
      </w:r>
    </w:p>
    <w:p w:rsidR="005F78FC" w:rsidRDefault="00B42EF3">
      <w:pPr>
        <w:pStyle w:val="Code"/>
      </w:pPr>
      <w:r>
        <w:lastRenderedPageBreak/>
        <w:t>&lt;simpleType name="ST_NonNegativeDecimalNumber"&gt;</w:t>
      </w:r>
    </w:p>
    <w:p w:rsidR="005F78FC" w:rsidRDefault="00B42EF3">
      <w:pPr>
        <w:pStyle w:val="Code"/>
      </w:pPr>
      <w:r>
        <w:t xml:space="preserve">  &lt;restriction base="xsd:int"&gt;</w:t>
      </w:r>
    </w:p>
    <w:p w:rsidR="005F78FC" w:rsidRDefault="00B42EF3">
      <w:pPr>
        <w:pStyle w:val="Code"/>
      </w:pPr>
      <w:r>
        <w:t xml:space="preserve">    &lt;minInclusive value="0"/&gt;</w:t>
      </w:r>
    </w:p>
    <w:p w:rsidR="005F78FC" w:rsidRDefault="00B42EF3">
      <w:pPr>
        <w:pStyle w:val="Code"/>
      </w:pPr>
      <w:r>
        <w:t xml:space="preserve">  &lt;/restriction&gt;</w:t>
      </w:r>
    </w:p>
    <w:p w:rsidR="005F78FC" w:rsidRDefault="00B42EF3">
      <w:pPr>
        <w:pStyle w:val="Code"/>
      </w:pPr>
      <w:r>
        <w:t>&lt;/simpleType&gt;</w:t>
      </w:r>
    </w:p>
    <w:p w:rsidR="005F78FC" w:rsidRDefault="00B42EF3">
      <w:pPr>
        <w:pStyle w:val="Heading5"/>
      </w:pPr>
      <w:bookmarkStart w:id="3931" w:name="section_79cbec698430479d88c056dd44369074"/>
      <w:bookmarkStart w:id="3932" w:name="_Toc69879738"/>
      <w:r>
        <w:t>ST_OnOff (On/Off Value)</w:t>
      </w:r>
      <w:bookmarkEnd w:id="3931"/>
      <w:bookmarkEnd w:id="3932"/>
      <w:r>
        <w:fldChar w:fldCharType="begin"/>
      </w:r>
      <w:r>
        <w:instrText xml:space="preserve"> XE "ST_OnOff (On/Off Value)" </w:instrText>
      </w:r>
      <w:r>
        <w:fldChar w:fldCharType="end"/>
      </w:r>
    </w:p>
    <w:p w:rsidR="005F78FC" w:rsidRDefault="00B42EF3">
      <w:r>
        <w:t>This simple type</w:t>
      </w:r>
      <w:r>
        <w:t xml:space="preserve"> specifies a set of values for any binary (on or off) property defined in a WordprocessingML document.</w:t>
      </w:r>
    </w:p>
    <w:p w:rsidR="005F78FC" w:rsidRDefault="00B42EF3">
      <w:r>
        <w:t xml:space="preserve">A value of </w:t>
      </w:r>
      <w:r>
        <w:rPr>
          <w:i/>
        </w:rPr>
        <w:t>on</w:t>
      </w:r>
      <w:r>
        <w:t xml:space="preserve">, </w:t>
      </w:r>
      <w:r>
        <w:rPr>
          <w:i/>
        </w:rPr>
        <w:t>1</w:t>
      </w:r>
      <w:r>
        <w:t xml:space="preserve">, or </w:t>
      </w:r>
      <w:r>
        <w:rPr>
          <w:i/>
        </w:rPr>
        <w:t>true</w:t>
      </w:r>
      <w:r>
        <w:t xml:space="preserve"> specifies that the property shall be turned on.</w:t>
      </w:r>
    </w:p>
    <w:p w:rsidR="005F78FC" w:rsidRDefault="00B42EF3">
      <w:r>
        <w:t xml:space="preserve">A value of </w:t>
      </w:r>
      <w:r>
        <w:rPr>
          <w:i/>
        </w:rPr>
        <w:t>off</w:t>
      </w:r>
      <w:r>
        <w:t xml:space="preserve">, </w:t>
      </w:r>
      <w:r>
        <w:rPr>
          <w:i/>
        </w:rPr>
        <w:t>0</w:t>
      </w:r>
      <w:r>
        <w:t xml:space="preserve">, or </w:t>
      </w:r>
      <w:r>
        <w:rPr>
          <w:i/>
        </w:rPr>
        <w:t>false</w:t>
      </w:r>
      <w:r>
        <w:t xml:space="preserve"> specifies that the property shall be explicitly turned off.</w:t>
      </w:r>
    </w:p>
    <w:p w:rsidR="005F78FC" w:rsidRDefault="00B42EF3">
      <w:r>
        <w:t>This simple type's contents are a restriction of the XML Schema string datatype.</w:t>
      </w:r>
    </w:p>
    <w:p w:rsidR="005F78FC" w:rsidRDefault="00B42EF3">
      <w:r>
        <w:t>The following are possible enumeration values for this type:</w:t>
      </w:r>
    </w:p>
    <w:tbl>
      <w:tblPr>
        <w:tblStyle w:val="Table-ShadedHeader"/>
        <w:tblW w:w="0" w:type="auto"/>
        <w:tblLook w:val="04A0" w:firstRow="1" w:lastRow="0" w:firstColumn="1" w:lastColumn="0" w:noHBand="0" w:noVBand="1"/>
      </w:tblPr>
      <w:tblGrid>
        <w:gridCol w:w="1917"/>
        <w:gridCol w:w="7558"/>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Enumeration Value</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rPr>
                <w:b/>
              </w:rPr>
              <w:t>0</w:t>
            </w:r>
            <w:r>
              <w:t xml:space="preserve"> (False)</w:t>
            </w:r>
          </w:p>
        </w:tc>
        <w:tc>
          <w:tcPr>
            <w:tcW w:w="0" w:type="auto"/>
            <w:vAlign w:val="center"/>
          </w:tcPr>
          <w:p w:rsidR="005F78FC" w:rsidRDefault="00B42EF3">
            <w:pPr>
              <w:pStyle w:val="TableBodyText"/>
            </w:pPr>
            <w:r>
              <w:t xml:space="preserve">Specifies </w:t>
            </w:r>
            <w:r>
              <w:t>that the binary state of this property is off (parent property is explicitly not applied).</w:t>
            </w:r>
          </w:p>
        </w:tc>
      </w:tr>
      <w:tr w:rsidR="005F78FC" w:rsidTr="005F78FC">
        <w:tc>
          <w:tcPr>
            <w:tcW w:w="0" w:type="auto"/>
            <w:vAlign w:val="center"/>
          </w:tcPr>
          <w:p w:rsidR="005F78FC" w:rsidRDefault="00B42EF3">
            <w:pPr>
              <w:pStyle w:val="TableBodyText"/>
            </w:pPr>
            <w:r>
              <w:rPr>
                <w:b/>
              </w:rPr>
              <w:t>1</w:t>
            </w:r>
            <w:r>
              <w:t xml:space="preserve"> (True)</w:t>
            </w:r>
          </w:p>
        </w:tc>
        <w:tc>
          <w:tcPr>
            <w:tcW w:w="0" w:type="auto"/>
            <w:vAlign w:val="center"/>
          </w:tcPr>
          <w:p w:rsidR="005F78FC" w:rsidRDefault="00B42EF3">
            <w:pPr>
              <w:pStyle w:val="TableBodyText"/>
            </w:pPr>
            <w:r>
              <w:t>Specifies that the binary state of this property is on (parent property is explicitly applied).</w:t>
            </w:r>
          </w:p>
        </w:tc>
      </w:tr>
      <w:tr w:rsidR="005F78FC" w:rsidTr="005F78FC">
        <w:tc>
          <w:tcPr>
            <w:tcW w:w="0" w:type="auto"/>
            <w:vAlign w:val="center"/>
          </w:tcPr>
          <w:p w:rsidR="005F78FC" w:rsidRDefault="00B42EF3">
            <w:pPr>
              <w:pStyle w:val="TableBodyText"/>
            </w:pPr>
            <w:r>
              <w:rPr>
                <w:b/>
              </w:rPr>
              <w:t>false</w:t>
            </w:r>
            <w:r>
              <w:t xml:space="preserve"> (False)</w:t>
            </w:r>
          </w:p>
        </w:tc>
        <w:tc>
          <w:tcPr>
            <w:tcW w:w="0" w:type="auto"/>
            <w:vAlign w:val="center"/>
          </w:tcPr>
          <w:p w:rsidR="005F78FC" w:rsidRDefault="00B42EF3">
            <w:pPr>
              <w:pStyle w:val="TableBodyText"/>
            </w:pPr>
            <w:r>
              <w:t>Specifies that the binary state of this prop</w:t>
            </w:r>
            <w:r>
              <w:t>erty is off (parent property is explicitly not applied).</w:t>
            </w:r>
          </w:p>
        </w:tc>
      </w:tr>
      <w:tr w:rsidR="005F78FC" w:rsidTr="005F78FC">
        <w:tc>
          <w:tcPr>
            <w:tcW w:w="0" w:type="auto"/>
            <w:vAlign w:val="center"/>
          </w:tcPr>
          <w:p w:rsidR="005F78FC" w:rsidRDefault="00B42EF3">
            <w:pPr>
              <w:pStyle w:val="TableBodyText"/>
            </w:pPr>
            <w:r>
              <w:rPr>
                <w:b/>
              </w:rPr>
              <w:t>off</w:t>
            </w:r>
            <w:r>
              <w:t xml:space="preserve"> (False)</w:t>
            </w:r>
          </w:p>
        </w:tc>
        <w:tc>
          <w:tcPr>
            <w:tcW w:w="0" w:type="auto"/>
            <w:vAlign w:val="center"/>
          </w:tcPr>
          <w:p w:rsidR="005F78FC" w:rsidRDefault="00B42EF3">
            <w:pPr>
              <w:pStyle w:val="TableBodyText"/>
            </w:pPr>
            <w:r>
              <w:t>Specifies that the binary state of this property is off (parent property is explicitly not applied).</w:t>
            </w:r>
          </w:p>
        </w:tc>
      </w:tr>
      <w:tr w:rsidR="005F78FC" w:rsidTr="005F78FC">
        <w:tc>
          <w:tcPr>
            <w:tcW w:w="0" w:type="auto"/>
            <w:vAlign w:val="center"/>
          </w:tcPr>
          <w:p w:rsidR="005F78FC" w:rsidRDefault="00B42EF3">
            <w:pPr>
              <w:pStyle w:val="TableBodyText"/>
            </w:pPr>
            <w:r>
              <w:rPr>
                <w:b/>
              </w:rPr>
              <w:t>on</w:t>
            </w:r>
            <w:r>
              <w:t xml:space="preserve"> (True)</w:t>
            </w:r>
          </w:p>
        </w:tc>
        <w:tc>
          <w:tcPr>
            <w:tcW w:w="0" w:type="auto"/>
            <w:vAlign w:val="center"/>
          </w:tcPr>
          <w:p w:rsidR="005F78FC" w:rsidRDefault="00B42EF3">
            <w:pPr>
              <w:pStyle w:val="TableBodyText"/>
            </w:pPr>
            <w:r>
              <w:t>Specifies that the binary state of this property is on (parent property is</w:t>
            </w:r>
            <w:r>
              <w:t xml:space="preserve"> explicitly applied).</w:t>
            </w:r>
          </w:p>
        </w:tc>
      </w:tr>
      <w:tr w:rsidR="005F78FC" w:rsidTr="005F78FC">
        <w:tc>
          <w:tcPr>
            <w:tcW w:w="0" w:type="auto"/>
            <w:vAlign w:val="center"/>
          </w:tcPr>
          <w:p w:rsidR="005F78FC" w:rsidRDefault="00B42EF3">
            <w:pPr>
              <w:pStyle w:val="TableBodyText"/>
            </w:pPr>
            <w:r>
              <w:rPr>
                <w:b/>
              </w:rPr>
              <w:t>true</w:t>
            </w:r>
            <w:r>
              <w:t xml:space="preserve"> (True)</w:t>
            </w:r>
          </w:p>
        </w:tc>
        <w:tc>
          <w:tcPr>
            <w:tcW w:w="0" w:type="auto"/>
            <w:vAlign w:val="center"/>
          </w:tcPr>
          <w:p w:rsidR="005F78FC" w:rsidRDefault="00B42EF3">
            <w:pPr>
              <w:pStyle w:val="TableBodyText"/>
            </w:pPr>
            <w:r>
              <w:t>Specifies that the binary state of this property is on (parent property is explicitly applied).</w:t>
            </w:r>
          </w:p>
        </w:tc>
      </w:tr>
    </w:tbl>
    <w:p w:rsidR="005F78FC" w:rsidRDefault="005F78FC"/>
    <w:p w:rsidR="005F78FC" w:rsidRDefault="005F78FC"/>
    <w:tbl>
      <w:tblPr>
        <w:tblStyle w:val="Table-ShadedHeader"/>
        <w:tblW w:w="0" w:type="auto"/>
        <w:tblLook w:val="04A0" w:firstRow="1" w:lastRow="0" w:firstColumn="1" w:lastColumn="0" w:noHBand="0" w:noVBand="1"/>
      </w:tblPr>
      <w:tblGrid>
        <w:gridCol w:w="9475"/>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Referenced By</w:t>
            </w:r>
          </w:p>
        </w:tc>
      </w:tr>
      <w:tr w:rsidR="005F78FC" w:rsidTr="005F78FC">
        <w:tc>
          <w:tcPr>
            <w:tcW w:w="0" w:type="auto"/>
            <w:vAlign w:val="center"/>
          </w:tcPr>
          <w:p w:rsidR="005F78FC" w:rsidRDefault="00B42EF3">
            <w:pPr>
              <w:pStyle w:val="TableBodyText"/>
            </w:pPr>
            <w:r>
              <w:rPr>
                <w:b/>
              </w:rPr>
              <w:t>fldSimple@dirty</w:t>
            </w:r>
            <w:r>
              <w:t xml:space="preserve"> (§</w:t>
            </w:r>
            <w:hyperlink w:anchor="Section_34477fff355a497ea2bf4b9c3f80b093">
              <w:r>
                <w:rPr>
                  <w:rStyle w:val="Hyperlink"/>
                </w:rPr>
                <w:t>3.1.3.1.2, fldSimple</w:t>
              </w:r>
            </w:hyperlink>
            <w:r>
              <w:t xml:space="preserve">); </w:t>
            </w:r>
            <w:r>
              <w:rPr>
                <w:b/>
              </w:rPr>
              <w:t>fld</w:t>
            </w:r>
            <w:r>
              <w:rPr>
                <w:b/>
              </w:rPr>
              <w:t>Simple@fldLock</w:t>
            </w:r>
            <w:r>
              <w:t xml:space="preserve"> (§3.1.3.1.2, fldSimple); </w:t>
            </w:r>
            <w:r>
              <w:rPr>
                <w:b/>
              </w:rPr>
              <w:t>hyperlink@history</w:t>
            </w:r>
            <w:r>
              <w:t xml:space="preserve"> (§</w:t>
            </w:r>
            <w:hyperlink w:anchor="Section_cc9e4bbd134f4d35b2c795fde8c633a7">
              <w:r>
                <w:rPr>
                  <w:rStyle w:val="Hyperlink"/>
                </w:rPr>
                <w:t>3.1.3.1.3, hyperlink</w:t>
              </w:r>
            </w:hyperlink>
            <w:r>
              <w:t>)</w:t>
            </w:r>
          </w:p>
        </w:tc>
      </w:tr>
    </w:tbl>
    <w:p w:rsidR="005F78FC" w:rsidRDefault="005F78FC"/>
    <w:p w:rsidR="005F78FC" w:rsidRDefault="00B42EF3">
      <w:r>
        <w:t>The following XML Schema fragment defines the contents of this simple type:</w:t>
      </w:r>
    </w:p>
    <w:p w:rsidR="005F78FC" w:rsidRDefault="00B42EF3">
      <w:pPr>
        <w:pStyle w:val="Code"/>
      </w:pPr>
      <w:r>
        <w:t>&lt;simpleType name="ST_OnOff"&gt;</w:t>
      </w:r>
    </w:p>
    <w:p w:rsidR="005F78FC" w:rsidRDefault="00B42EF3">
      <w:pPr>
        <w:pStyle w:val="Code"/>
      </w:pPr>
      <w:r>
        <w:t xml:space="preserve">  &lt;</w:t>
      </w:r>
      <w:r>
        <w:t>restriction base="xsd:string"&gt;</w:t>
      </w:r>
    </w:p>
    <w:p w:rsidR="005F78FC" w:rsidRDefault="00B42EF3">
      <w:pPr>
        <w:pStyle w:val="Code"/>
      </w:pPr>
      <w:r>
        <w:t xml:space="preserve">    &lt;enumeration value="true"/&gt;</w:t>
      </w:r>
    </w:p>
    <w:p w:rsidR="005F78FC" w:rsidRDefault="00B42EF3">
      <w:pPr>
        <w:pStyle w:val="Code"/>
      </w:pPr>
      <w:r>
        <w:t xml:space="preserve">    &lt;enumeration value="false"/&gt;</w:t>
      </w:r>
    </w:p>
    <w:p w:rsidR="005F78FC" w:rsidRDefault="00B42EF3">
      <w:pPr>
        <w:pStyle w:val="Code"/>
      </w:pPr>
      <w:r>
        <w:t xml:space="preserve">    &lt;enumeration value="on"/&gt;</w:t>
      </w:r>
    </w:p>
    <w:p w:rsidR="005F78FC" w:rsidRDefault="00B42EF3">
      <w:pPr>
        <w:pStyle w:val="Code"/>
      </w:pPr>
      <w:r>
        <w:t xml:space="preserve">    &lt;enumeration value="off"/&gt;</w:t>
      </w:r>
    </w:p>
    <w:p w:rsidR="005F78FC" w:rsidRDefault="00B42EF3">
      <w:pPr>
        <w:pStyle w:val="Code"/>
      </w:pPr>
      <w:r>
        <w:t xml:space="preserve">    &lt;enumeration value="0"/&gt;</w:t>
      </w:r>
    </w:p>
    <w:p w:rsidR="005F78FC" w:rsidRDefault="00B42EF3">
      <w:pPr>
        <w:pStyle w:val="Code"/>
      </w:pPr>
      <w:r>
        <w:t xml:space="preserve">    &lt;enumeration value="1"/&gt;</w:t>
      </w:r>
    </w:p>
    <w:p w:rsidR="005F78FC" w:rsidRDefault="00B42EF3">
      <w:pPr>
        <w:pStyle w:val="Code"/>
      </w:pPr>
      <w:r>
        <w:t xml:space="preserve">  &lt;/restriction&gt;</w:t>
      </w:r>
    </w:p>
    <w:p w:rsidR="005F78FC" w:rsidRDefault="00B42EF3">
      <w:pPr>
        <w:pStyle w:val="Code"/>
      </w:pPr>
      <w:r>
        <w:t>&lt;/simpleType&gt;</w:t>
      </w:r>
    </w:p>
    <w:p w:rsidR="005F78FC" w:rsidRDefault="00B42EF3">
      <w:pPr>
        <w:pStyle w:val="Heading5"/>
      </w:pPr>
      <w:bookmarkStart w:id="3933" w:name="section_e9dec6c502ac46a4941bbe63ccf1bbe2"/>
      <w:bookmarkStart w:id="3934" w:name="_Toc69879739"/>
      <w:r>
        <w:lastRenderedPageBreak/>
        <w:t>ST_SignedD</w:t>
      </w:r>
      <w:r>
        <w:t>ecimalNumberMax-2 (Decimal Number Value Max -2)</w:t>
      </w:r>
      <w:bookmarkEnd w:id="3933"/>
      <w:bookmarkEnd w:id="3934"/>
      <w:r>
        <w:fldChar w:fldCharType="begin"/>
      </w:r>
      <w:r>
        <w:instrText xml:space="preserve"> XE "ST_SignedDecimalNumberMax-2 (Decimal Number Value Max -2)" </w:instrText>
      </w:r>
      <w:r>
        <w:fldChar w:fldCharType="end"/>
      </w:r>
    </w:p>
    <w:p w:rsidR="005F78FC" w:rsidRDefault="00B42EF3">
      <w:r>
        <w:t>This simple type specifies that its contents shall contain a number, whose contents are interpreted based on the context of the parent XML ele</w:t>
      </w:r>
      <w:r>
        <w:t>ment.</w:t>
      </w:r>
    </w:p>
    <w:p w:rsidR="005F78FC" w:rsidRDefault="00B42EF3">
      <w:r>
        <w:t>This simple type's contents are a restriction of the XML Schema int datatype.</w:t>
      </w:r>
    </w:p>
    <w:p w:rsidR="005F78FC" w:rsidRDefault="00B42EF3">
      <w:r>
        <w:t>This simple type also specifies the following restrictions:</w:t>
      </w:r>
    </w:p>
    <w:p w:rsidR="005F78FC" w:rsidRDefault="00B42EF3">
      <w:pPr>
        <w:pStyle w:val="ListParagraph"/>
        <w:numPr>
          <w:ilvl w:val="0"/>
          <w:numId w:val="202"/>
        </w:numPr>
      </w:pPr>
      <w:r>
        <w:t>This simple type has a maximum value of less than or equal to -2.</w:t>
      </w:r>
    </w:p>
    <w:tbl>
      <w:tblPr>
        <w:tblStyle w:val="Table-ShadedHeader"/>
        <w:tblW w:w="0" w:type="auto"/>
        <w:tblLook w:val="04A0" w:firstRow="1" w:lastRow="0" w:firstColumn="1" w:lastColumn="0" w:noHBand="0" w:noVBand="1"/>
      </w:tblPr>
      <w:tblGrid>
        <w:gridCol w:w="3668"/>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Referenced By</w:t>
            </w:r>
          </w:p>
        </w:tc>
      </w:tr>
      <w:tr w:rsidR="005F78FC" w:rsidTr="005F78FC">
        <w:tc>
          <w:tcPr>
            <w:tcW w:w="0" w:type="auto"/>
            <w:vAlign w:val="center"/>
          </w:tcPr>
          <w:p w:rsidR="005F78FC" w:rsidRDefault="00B42EF3">
            <w:pPr>
              <w:pStyle w:val="TableBodyText"/>
            </w:pPr>
            <w:r>
              <w:rPr>
                <w:b/>
              </w:rPr>
              <w:t>ST_MarkupId</w:t>
            </w:r>
            <w:r>
              <w:t xml:space="preserve"> (§</w:t>
            </w:r>
            <w:hyperlink w:anchor="Section_205e43f89d014953a67fd7c91ccd6ffd">
              <w:r>
                <w:rPr>
                  <w:rStyle w:val="Hyperlink"/>
                </w:rPr>
                <w:t>3.1.3.3.3, ST_MarkupId</w:t>
              </w:r>
            </w:hyperlink>
            <w:r>
              <w:t>)</w:t>
            </w:r>
          </w:p>
        </w:tc>
      </w:tr>
    </w:tbl>
    <w:p w:rsidR="005F78FC" w:rsidRDefault="005F78FC"/>
    <w:p w:rsidR="005F78FC" w:rsidRDefault="00B42EF3">
      <w:r>
        <w:t>The following XML Schema fragment defines the contents of this simple type:</w:t>
      </w:r>
    </w:p>
    <w:p w:rsidR="005F78FC" w:rsidRDefault="00B42EF3">
      <w:pPr>
        <w:pStyle w:val="Code"/>
      </w:pPr>
      <w:r>
        <w:t>&lt;simpleType name="ST_SignedDecimalNumberMax-2"&gt;</w:t>
      </w:r>
    </w:p>
    <w:p w:rsidR="005F78FC" w:rsidRDefault="00B42EF3">
      <w:pPr>
        <w:pStyle w:val="Code"/>
      </w:pPr>
      <w:r>
        <w:t xml:space="preserve">  &lt;restriction base="xsd:int"&gt;</w:t>
      </w:r>
    </w:p>
    <w:p w:rsidR="005F78FC" w:rsidRDefault="00B42EF3">
      <w:pPr>
        <w:pStyle w:val="Code"/>
      </w:pPr>
      <w:r>
        <w:t xml:space="preserve">    &lt;</w:t>
      </w:r>
      <w:r>
        <w:t>maxInclusive value="-2"/&gt;</w:t>
      </w:r>
    </w:p>
    <w:p w:rsidR="005F78FC" w:rsidRDefault="00B42EF3">
      <w:pPr>
        <w:pStyle w:val="Code"/>
      </w:pPr>
      <w:r>
        <w:t xml:space="preserve">  &lt;/restriction&gt;</w:t>
      </w:r>
    </w:p>
    <w:p w:rsidR="005F78FC" w:rsidRDefault="00B42EF3">
      <w:pPr>
        <w:pStyle w:val="Code"/>
      </w:pPr>
      <w:r>
        <w:t>&lt;/simpleType&gt;</w:t>
      </w:r>
    </w:p>
    <w:p w:rsidR="005F78FC" w:rsidRDefault="00B42EF3">
      <w:pPr>
        <w:pStyle w:val="Heading5"/>
      </w:pPr>
      <w:bookmarkStart w:id="3935" w:name="section_ed68652a69334080ac59a443946fa732"/>
      <w:bookmarkStart w:id="3936" w:name="_Toc69879740"/>
      <w:r>
        <w:t>ST_String (String)</w:t>
      </w:r>
      <w:bookmarkEnd w:id="3935"/>
      <w:bookmarkEnd w:id="3936"/>
      <w:r>
        <w:fldChar w:fldCharType="begin"/>
      </w:r>
      <w:r>
        <w:instrText xml:space="preserve"> XE "ST_String (String)" </w:instrText>
      </w:r>
      <w:r>
        <w:fldChar w:fldCharType="end"/>
      </w:r>
    </w:p>
    <w:p w:rsidR="005F78FC" w:rsidRDefault="00B42EF3">
      <w:r>
        <w:t>This simple type specifies that its contents will contain a string. The contents of this string are interpreted based on the context of the parent XML el</w:t>
      </w:r>
      <w:r>
        <w:t>ement.</w:t>
      </w:r>
    </w:p>
    <w:p w:rsidR="005F78FC" w:rsidRDefault="00B42EF3">
      <w:r>
        <w:t>[Example: Consider the following WordprocessingML fragment:</w:t>
      </w:r>
    </w:p>
    <w:p w:rsidR="005F78FC" w:rsidRDefault="00B42EF3">
      <w:pPr>
        <w:pStyle w:val="Code"/>
      </w:pPr>
      <w:r>
        <w:t>&lt;w:pPr&gt;</w:t>
      </w:r>
    </w:p>
    <w:p w:rsidR="005F78FC" w:rsidRDefault="00B42EF3">
      <w:pPr>
        <w:pStyle w:val="Code"/>
      </w:pPr>
      <w:r>
        <w:t xml:space="preserve">  &lt;w:pStyle w:val="heading1" /&gt; </w:t>
      </w:r>
    </w:p>
    <w:p w:rsidR="005F78FC" w:rsidRDefault="00B42EF3">
      <w:pPr>
        <w:pStyle w:val="Code"/>
      </w:pPr>
      <w:r>
        <w:t>&lt;/w:pPr&gt;</w:t>
      </w:r>
    </w:p>
    <w:p w:rsidR="005F78FC" w:rsidRDefault="00B42EF3">
      <w:r>
        <w:t xml:space="preserve">The value of the </w:t>
      </w:r>
      <w:r>
        <w:rPr>
          <w:b/>
        </w:rPr>
        <w:t>val</w:t>
      </w:r>
      <w:r>
        <w:t xml:space="preserve"> attribute is the ID of the associated paragraph style's </w:t>
      </w:r>
      <w:r>
        <w:rPr>
          <w:rStyle w:val="InlineCode"/>
        </w:rPr>
        <w:t>styleId</w:t>
      </w:r>
      <w:r>
        <w:t>. However, consider the following fragment:</w:t>
      </w:r>
    </w:p>
    <w:p w:rsidR="005F78FC" w:rsidRDefault="00B42EF3">
      <w:pPr>
        <w:pStyle w:val="Code"/>
      </w:pPr>
      <w:r>
        <w:t>&lt;w:sdtPr&gt;</w:t>
      </w:r>
    </w:p>
    <w:p w:rsidR="005F78FC" w:rsidRDefault="00B42EF3">
      <w:pPr>
        <w:pStyle w:val="Code"/>
      </w:pPr>
      <w:r>
        <w:t xml:space="preserve"> </w:t>
      </w:r>
      <w:r>
        <w:t xml:space="preserve"> &lt;w:alias w:val="SDT Title Example" /&gt;</w:t>
      </w:r>
    </w:p>
    <w:p w:rsidR="005F78FC" w:rsidRDefault="00B42EF3">
      <w:pPr>
        <w:pStyle w:val="Code"/>
      </w:pPr>
      <w:r>
        <w:t xml:space="preserve">  ...</w:t>
      </w:r>
    </w:p>
    <w:p w:rsidR="005F78FC" w:rsidRDefault="00B42EF3">
      <w:pPr>
        <w:pStyle w:val="Code"/>
      </w:pPr>
      <w:r>
        <w:t>&lt;/w:sdtPr&gt;</w:t>
      </w:r>
    </w:p>
    <w:p w:rsidR="005F78FC" w:rsidRDefault="00B42EF3">
      <w:r>
        <w:t xml:space="preserve">In this case, the decimal number in the </w:t>
      </w:r>
      <w:r>
        <w:rPr>
          <w:b/>
        </w:rPr>
        <w:t>val</w:t>
      </w:r>
      <w:r>
        <w:t xml:space="preserve"> attribute is the caption of the parent structured document tag. In each case, the value is of type </w:t>
      </w:r>
      <w:r>
        <w:rPr>
          <w:b/>
        </w:rPr>
        <w:t>ST_String</w:t>
      </w:r>
      <w:r>
        <w:t>, and therefore must be interpreted in the conte</w:t>
      </w:r>
      <w:r>
        <w:t>xt of the parent element. end example]</w:t>
      </w:r>
    </w:p>
    <w:p w:rsidR="005F78FC" w:rsidRDefault="00B42EF3">
      <w:r>
        <w:t>This simple type's contents are a restriction of the XML Schema string datatype.</w:t>
      </w:r>
    </w:p>
    <w:tbl>
      <w:tblPr>
        <w:tblStyle w:val="Table-ShadedHeader"/>
        <w:tblW w:w="0" w:type="auto"/>
        <w:tblLook w:val="04A0" w:firstRow="1" w:lastRow="0" w:firstColumn="1" w:lastColumn="0" w:noHBand="0" w:noVBand="1"/>
      </w:tblPr>
      <w:tblGrid>
        <w:gridCol w:w="3552"/>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Referenced By</w:t>
            </w:r>
          </w:p>
        </w:tc>
      </w:tr>
      <w:tr w:rsidR="005F78FC" w:rsidTr="005F78FC">
        <w:tc>
          <w:tcPr>
            <w:tcW w:w="0" w:type="auto"/>
            <w:vAlign w:val="center"/>
          </w:tcPr>
          <w:p w:rsidR="005F78FC" w:rsidRDefault="00B42EF3">
            <w:pPr>
              <w:pStyle w:val="TableBodyText"/>
            </w:pPr>
            <w:r>
              <w:rPr>
                <w:b/>
              </w:rPr>
              <w:t>fldSimple@instr</w:t>
            </w:r>
            <w:r>
              <w:t xml:space="preserve"> (§</w:t>
            </w:r>
            <w:hyperlink w:anchor="Section_34477fff355a497ea2bf4b9c3f80b093">
              <w:r>
                <w:rPr>
                  <w:rStyle w:val="Hyperlink"/>
                </w:rPr>
                <w:t>3.1.3.1.2, fldSimple</w:t>
              </w:r>
            </w:hyperlink>
            <w:r>
              <w:t>)</w:t>
            </w:r>
          </w:p>
        </w:tc>
      </w:tr>
    </w:tbl>
    <w:p w:rsidR="005F78FC" w:rsidRDefault="005F78FC"/>
    <w:p w:rsidR="005F78FC" w:rsidRDefault="00B42EF3">
      <w:r>
        <w:lastRenderedPageBreak/>
        <w:t xml:space="preserve">The following </w:t>
      </w:r>
      <w:r>
        <w:t>XML Schema fragment defines the contents of this simple type:</w:t>
      </w:r>
    </w:p>
    <w:p w:rsidR="005F78FC" w:rsidRDefault="00B42EF3">
      <w:pPr>
        <w:pStyle w:val="Code"/>
      </w:pPr>
      <w:r>
        <w:t>&lt;simpleType name="ST_String"&gt;</w:t>
      </w:r>
    </w:p>
    <w:p w:rsidR="005F78FC" w:rsidRDefault="00B42EF3">
      <w:pPr>
        <w:pStyle w:val="Code"/>
      </w:pPr>
      <w:r>
        <w:t xml:space="preserve">  &lt;restriction base="xsd:string"/&gt;</w:t>
      </w:r>
    </w:p>
    <w:p w:rsidR="005F78FC" w:rsidRDefault="00B42EF3">
      <w:pPr>
        <w:pStyle w:val="Code"/>
      </w:pPr>
      <w:r>
        <w:t>&lt;/simpleType&gt;</w:t>
      </w:r>
    </w:p>
    <w:p w:rsidR="005F78FC" w:rsidRDefault="00B42EF3">
      <w:pPr>
        <w:pStyle w:val="Heading5"/>
      </w:pPr>
      <w:bookmarkStart w:id="3937" w:name="section_73f2382235094ce4a27391e7e5a80c27"/>
      <w:bookmarkStart w:id="3938" w:name="_Toc69879741"/>
      <w:r>
        <w:t>ST_String255 (String)</w:t>
      </w:r>
      <w:bookmarkEnd w:id="3937"/>
      <w:bookmarkEnd w:id="3938"/>
      <w:r>
        <w:fldChar w:fldCharType="begin"/>
      </w:r>
      <w:r>
        <w:instrText xml:space="preserve"> XE "ST_String255 (String)" </w:instrText>
      </w:r>
      <w:r>
        <w:fldChar w:fldCharType="end"/>
      </w:r>
    </w:p>
    <w:p w:rsidR="005F78FC" w:rsidRDefault="00B42EF3">
      <w:r>
        <w:t>This simple type specifies that its contents shall contain a st</w:t>
      </w:r>
      <w:r>
        <w:t>ring. The contents of this string are interpreted based on the context of the parent XML element.</w:t>
      </w:r>
    </w:p>
    <w:p w:rsidR="005F78FC" w:rsidRDefault="00B42EF3">
      <w:r>
        <w:t>This simple type's contents are a restriction of the XML Schema string datatype.</w:t>
      </w:r>
    </w:p>
    <w:p w:rsidR="005F78FC" w:rsidRDefault="00B42EF3">
      <w:r>
        <w:t>This simple type also specifies the following restrictions:</w:t>
      </w:r>
    </w:p>
    <w:p w:rsidR="005F78FC" w:rsidRDefault="00B42EF3">
      <w:pPr>
        <w:pStyle w:val="ListParagraph"/>
        <w:numPr>
          <w:ilvl w:val="0"/>
          <w:numId w:val="203"/>
        </w:numPr>
      </w:pPr>
      <w:r>
        <w:t>This simple type'</w:t>
      </w:r>
      <w:r>
        <w:t>s contents have a maximum length of 255 characters.</w:t>
      </w:r>
    </w:p>
    <w:tbl>
      <w:tblPr>
        <w:tblStyle w:val="Table-ShadedHeader"/>
        <w:tblW w:w="0" w:type="auto"/>
        <w:tblLook w:val="04A0" w:firstRow="1" w:lastRow="0" w:firstColumn="1" w:lastColumn="0" w:noHBand="0" w:noVBand="1"/>
      </w:tblPr>
      <w:tblGrid>
        <w:gridCol w:w="9475"/>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Referenced By</w:t>
            </w:r>
          </w:p>
        </w:tc>
      </w:tr>
      <w:tr w:rsidR="005F78FC" w:rsidTr="005F78FC">
        <w:tc>
          <w:tcPr>
            <w:tcW w:w="0" w:type="auto"/>
            <w:vAlign w:val="center"/>
          </w:tcPr>
          <w:p w:rsidR="005F78FC" w:rsidRDefault="00B42EF3">
            <w:pPr>
              <w:pStyle w:val="TableBodyText"/>
            </w:pPr>
            <w:r>
              <w:rPr>
                <w:b/>
              </w:rPr>
              <w:t>hyperlink@anchor</w:t>
            </w:r>
            <w:r>
              <w:t xml:space="preserve"> (§</w:t>
            </w:r>
            <w:hyperlink w:anchor="Section_cc9e4bbd134f4d35b2c795fde8c633a7">
              <w:r>
                <w:rPr>
                  <w:rStyle w:val="Hyperlink"/>
                </w:rPr>
                <w:t>3.1.3.1.3, hyperlink</w:t>
              </w:r>
            </w:hyperlink>
            <w:r>
              <w:t xml:space="preserve">); </w:t>
            </w:r>
            <w:r>
              <w:rPr>
                <w:b/>
              </w:rPr>
              <w:t>hyperlink@docLocation</w:t>
            </w:r>
            <w:r>
              <w:t xml:space="preserve"> (§3.1.3.1.3, hyperlink); </w:t>
            </w:r>
            <w:r>
              <w:rPr>
                <w:b/>
              </w:rPr>
              <w:t>hyperlink@tgtFrame</w:t>
            </w:r>
            <w:r>
              <w:t xml:space="preserve"> (§3.1.3.1.3, </w:t>
            </w:r>
            <w:r>
              <w:t xml:space="preserve">hyperlink); </w:t>
            </w:r>
            <w:r>
              <w:rPr>
                <w:b/>
              </w:rPr>
              <w:t>moveFrom@author</w:t>
            </w:r>
            <w:r>
              <w:t xml:space="preserve"> (§</w:t>
            </w:r>
            <w:hyperlink w:anchor="Section_dcbcb32823db42abbb8081992b8e429e">
              <w:r>
                <w:rPr>
                  <w:rStyle w:val="Hyperlink"/>
                </w:rPr>
                <w:t>3.1.3.1.4, moveFrom</w:t>
              </w:r>
            </w:hyperlink>
            <w:r>
              <w:t xml:space="preserve">); </w:t>
            </w:r>
            <w:r>
              <w:rPr>
                <w:b/>
              </w:rPr>
              <w:t>moveTo@author</w:t>
            </w:r>
            <w:r>
              <w:t xml:space="preserve"> (§</w:t>
            </w:r>
            <w:hyperlink w:anchor="Section_9d27b8e63f8f4cf7a6e356e2fbf140b8">
              <w:r>
                <w:rPr>
                  <w:rStyle w:val="Hyperlink"/>
                </w:rPr>
                <w:t>3.1.3.1.5, moveTo</w:t>
              </w:r>
            </w:hyperlink>
            <w:r>
              <w:t>)</w:t>
            </w:r>
          </w:p>
        </w:tc>
      </w:tr>
    </w:tbl>
    <w:p w:rsidR="005F78FC" w:rsidRDefault="005F78FC"/>
    <w:p w:rsidR="005F78FC" w:rsidRDefault="00B42EF3">
      <w:r>
        <w:t>The following XML Schema fragment defines</w:t>
      </w:r>
      <w:r>
        <w:t xml:space="preserve"> the contents of this simple type:</w:t>
      </w:r>
    </w:p>
    <w:p w:rsidR="005F78FC" w:rsidRDefault="00B42EF3">
      <w:pPr>
        <w:pStyle w:val="Code"/>
      </w:pPr>
      <w:r>
        <w:t>&lt;simpleType name="ST_String255"&gt;</w:t>
      </w:r>
    </w:p>
    <w:p w:rsidR="005F78FC" w:rsidRDefault="00B42EF3">
      <w:pPr>
        <w:pStyle w:val="Code"/>
      </w:pPr>
      <w:r>
        <w:t xml:space="preserve">  &lt;restriction base="xsd:string"&gt;</w:t>
      </w:r>
    </w:p>
    <w:p w:rsidR="005F78FC" w:rsidRDefault="00B42EF3">
      <w:pPr>
        <w:pStyle w:val="Code"/>
      </w:pPr>
      <w:r>
        <w:t xml:space="preserve">    &lt;maxLength value="255"/&gt;</w:t>
      </w:r>
    </w:p>
    <w:p w:rsidR="005F78FC" w:rsidRDefault="00B42EF3">
      <w:pPr>
        <w:pStyle w:val="Code"/>
      </w:pPr>
      <w:r>
        <w:t xml:space="preserve">  &lt;/restriction&gt;</w:t>
      </w:r>
    </w:p>
    <w:p w:rsidR="005F78FC" w:rsidRDefault="00B42EF3">
      <w:pPr>
        <w:pStyle w:val="Code"/>
      </w:pPr>
      <w:r>
        <w:t>&lt;/simpleType&gt;</w:t>
      </w:r>
    </w:p>
    <w:p w:rsidR="005F78FC" w:rsidRDefault="00B42EF3">
      <w:pPr>
        <w:pStyle w:val="Heading5"/>
      </w:pPr>
      <w:bookmarkStart w:id="3939" w:name="section_b74c454c6c644828955971894d36105b"/>
      <w:bookmarkStart w:id="3940" w:name="_Toc69879742"/>
      <w:r>
        <w:t>ST_String260 (String)</w:t>
      </w:r>
      <w:bookmarkEnd w:id="3939"/>
      <w:bookmarkEnd w:id="3940"/>
      <w:r>
        <w:fldChar w:fldCharType="begin"/>
      </w:r>
      <w:r>
        <w:instrText xml:space="preserve"> XE "ST_String260 (String)" </w:instrText>
      </w:r>
      <w:r>
        <w:fldChar w:fldCharType="end"/>
      </w:r>
    </w:p>
    <w:p w:rsidR="005F78FC" w:rsidRDefault="00B42EF3">
      <w:r>
        <w:t>This simple type specifies that its conten</w:t>
      </w:r>
      <w:r>
        <w:t>ts shall contain a string. The contents of this string are interpreted based on the context of the parent XML element.</w:t>
      </w:r>
    </w:p>
    <w:p w:rsidR="005F78FC" w:rsidRDefault="00B42EF3">
      <w:r>
        <w:t>This simple type's contents are a restriction of the XML Schema string datatype.</w:t>
      </w:r>
    </w:p>
    <w:p w:rsidR="005F78FC" w:rsidRDefault="00B42EF3">
      <w:r>
        <w:t>This simple type also specifies the following restrictio</w:t>
      </w:r>
      <w:r>
        <w:t>ns:</w:t>
      </w:r>
    </w:p>
    <w:p w:rsidR="005F78FC" w:rsidRDefault="00B42EF3">
      <w:pPr>
        <w:pStyle w:val="ListParagraph"/>
        <w:numPr>
          <w:ilvl w:val="0"/>
          <w:numId w:val="204"/>
        </w:numPr>
      </w:pPr>
      <w:r>
        <w:t>This simple type's contents have a maximum length of 260 characters.</w:t>
      </w:r>
    </w:p>
    <w:tbl>
      <w:tblPr>
        <w:tblStyle w:val="Table-ShadedHeader"/>
        <w:tblW w:w="0" w:type="auto"/>
        <w:tblLook w:val="04A0" w:firstRow="1" w:lastRow="0" w:firstColumn="1" w:lastColumn="0" w:noHBand="0" w:noVBand="1"/>
      </w:tblPr>
      <w:tblGrid>
        <w:gridCol w:w="3720"/>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Referenced By</w:t>
            </w:r>
          </w:p>
        </w:tc>
      </w:tr>
      <w:tr w:rsidR="005F78FC" w:rsidTr="005F78FC">
        <w:tc>
          <w:tcPr>
            <w:tcW w:w="0" w:type="auto"/>
            <w:vAlign w:val="center"/>
          </w:tcPr>
          <w:p w:rsidR="005F78FC" w:rsidRDefault="00B42EF3">
            <w:pPr>
              <w:pStyle w:val="TableBodyText"/>
            </w:pPr>
            <w:r>
              <w:rPr>
                <w:b/>
              </w:rPr>
              <w:t>hyperlink@tooltip</w:t>
            </w:r>
            <w:r>
              <w:t xml:space="preserve"> (§</w:t>
            </w:r>
            <w:hyperlink w:anchor="Section_cc9e4bbd134f4d35b2c795fde8c633a7">
              <w:r>
                <w:rPr>
                  <w:rStyle w:val="Hyperlink"/>
                </w:rPr>
                <w:t>3.1.3.1.3, hyperlink</w:t>
              </w:r>
            </w:hyperlink>
            <w:r>
              <w:t>)</w:t>
            </w:r>
          </w:p>
        </w:tc>
      </w:tr>
    </w:tbl>
    <w:p w:rsidR="005F78FC" w:rsidRDefault="005F78FC"/>
    <w:p w:rsidR="005F78FC" w:rsidRDefault="00B42EF3">
      <w:r>
        <w:t xml:space="preserve">The following XML Schema fragment defines the contents of </w:t>
      </w:r>
      <w:r>
        <w:t>this simple type:</w:t>
      </w:r>
    </w:p>
    <w:p w:rsidR="005F78FC" w:rsidRDefault="00B42EF3">
      <w:pPr>
        <w:pStyle w:val="Code"/>
      </w:pPr>
      <w:r>
        <w:t>&lt;simpleType name="ST_String260"&gt;</w:t>
      </w:r>
    </w:p>
    <w:p w:rsidR="005F78FC" w:rsidRDefault="00B42EF3">
      <w:pPr>
        <w:pStyle w:val="Code"/>
      </w:pPr>
      <w:r>
        <w:t xml:space="preserve">  &lt;restriction base="xsd:string"&gt;</w:t>
      </w:r>
    </w:p>
    <w:p w:rsidR="005F78FC" w:rsidRDefault="00B42EF3">
      <w:pPr>
        <w:pStyle w:val="Code"/>
      </w:pPr>
      <w:r>
        <w:t xml:space="preserve">    &lt;maxLength value="260"/&gt;</w:t>
      </w:r>
    </w:p>
    <w:p w:rsidR="005F78FC" w:rsidRDefault="00B42EF3">
      <w:pPr>
        <w:pStyle w:val="Code"/>
      </w:pPr>
      <w:r>
        <w:t xml:space="preserve">  &lt;/restriction&gt;</w:t>
      </w:r>
    </w:p>
    <w:p w:rsidR="005F78FC" w:rsidRDefault="00B42EF3">
      <w:pPr>
        <w:pStyle w:val="Code"/>
      </w:pPr>
      <w:r>
        <w:t>&lt;/simpleType&gt;</w:t>
      </w:r>
    </w:p>
    <w:p w:rsidR="005F78FC" w:rsidRDefault="00B42EF3">
      <w:pPr>
        <w:pStyle w:val="Heading3"/>
      </w:pPr>
      <w:bookmarkStart w:id="3941" w:name="section_5f22f80d39f24ed6a6eb2dd92581ef97"/>
      <w:bookmarkStart w:id="3942" w:name="_Toc69879743"/>
      <w:r>
        <w:lastRenderedPageBreak/>
        <w:t>DrawingML Persistence Part</w:t>
      </w:r>
      <w:bookmarkEnd w:id="3941"/>
      <w:bookmarkEnd w:id="3942"/>
      <w:r>
        <w:fldChar w:fldCharType="begin"/>
      </w:r>
      <w:r>
        <w:instrText xml:space="preserve"> XE "DrawingML Persistence Part" </w:instrText>
      </w:r>
      <w:r>
        <w:fldChar w:fldCharType="end"/>
      </w:r>
    </w:p>
    <w:p w:rsidR="005F78FC" w:rsidRDefault="00B42EF3">
      <w:r>
        <w:t>When Word creates a legacy shape from an OfficeAr</w:t>
      </w:r>
      <w:r>
        <w:t xml:space="preserve">t object, additional information will be stored in the legacy shape to allow Word to reconstruct the original OfficeArt object at a later time.  This information is stored in the </w:t>
      </w:r>
      <w:r>
        <w:rPr>
          <w:b/>
        </w:rPr>
        <w:t>gfxdata</w:t>
      </w:r>
      <w:r>
        <w:t xml:space="preserve"> attribute ("</w:t>
      </w:r>
      <w:hyperlink r:id="rId312">
        <w:r>
          <w:rPr>
            <w:rStyle w:val="Hyperlink"/>
          </w:rPr>
          <w:t>[ISO/IEC-29500-4]</w:t>
        </w:r>
      </w:hyperlink>
      <w:r>
        <w:t xml:space="preserve"> §19.1.2.19; shape (Shape Definition)").</w:t>
      </w:r>
    </w:p>
    <w:p w:rsidR="005F78FC" w:rsidRDefault="00B42EF3">
      <w:r>
        <w:t>All this information will be deleted in case the legacy shape is modified after it is loaded by Office.</w:t>
      </w:r>
    </w:p>
    <w:p w:rsidR="005F78FC" w:rsidRDefault="00B42EF3">
      <w:r>
        <w:t xml:space="preserve">The contents of the </w:t>
      </w:r>
      <w:r>
        <w:rPr>
          <w:b/>
        </w:rPr>
        <w:t>gfxdata</w:t>
      </w:r>
      <w:r>
        <w:t xml:space="preserve"> attribute is an xsd:base64Binary representation of a Pack</w:t>
      </w:r>
      <w:r>
        <w:t>age ("</w:t>
      </w:r>
      <w:hyperlink r:id="rId313">
        <w:r>
          <w:rPr>
            <w:rStyle w:val="Hyperlink"/>
          </w:rPr>
          <w:t>[ISO/IEC-29500-2]</w:t>
        </w:r>
      </w:hyperlink>
      <w:r>
        <w:t xml:space="preserve"> Open Packaging Conventions").  This package contains information about the original OfficeArt object as well as information about the characteristics of the legacy sh</w:t>
      </w:r>
      <w:r>
        <w:t>ape as it was originally created to represent the OfficeArt object.</w:t>
      </w:r>
    </w:p>
    <w:p w:rsidR="005F78FC" w:rsidRDefault="00B42EF3">
      <w:pPr>
        <w:pStyle w:val="Heading4"/>
      </w:pPr>
      <w:bookmarkStart w:id="3943" w:name="section_c98431745ffc464f8a9e408fcacb65b5"/>
      <w:bookmarkStart w:id="3944" w:name="_Toc69879744"/>
      <w:r>
        <w:t>DrawingML Persistence Parts</w:t>
      </w:r>
      <w:bookmarkEnd w:id="3943"/>
      <w:bookmarkEnd w:id="3944"/>
      <w:r>
        <w:fldChar w:fldCharType="begin"/>
      </w:r>
      <w:r>
        <w:instrText xml:space="preserve"> XE "DrawingML Persistence Parts" </w:instrText>
      </w:r>
      <w:r>
        <w:fldChar w:fldCharType="end"/>
      </w:r>
    </w:p>
    <w:p w:rsidR="005F78FC" w:rsidRDefault="00B42EF3">
      <w:r>
        <w:t>The DrawingML Persistence Package can contain any part described in Office Open XML File Formats (</w:t>
      </w:r>
      <w:hyperlink r:id="rId314">
        <w:r>
          <w:rPr>
            <w:rStyle w:val="Hyperlink"/>
          </w:rPr>
          <w:t>[ISO/IEC29500:2012]</w:t>
        </w:r>
      </w:hyperlink>
      <w:r>
        <w:t>) as well as the parts described in the subclauses subordinate to this clause.</w:t>
      </w:r>
    </w:p>
    <w:p w:rsidR="005F78FC" w:rsidRDefault="00B42EF3">
      <w:r>
        <w:t>[Note: For convenience, information from those subclauses is summarized in the following table:</w:t>
      </w:r>
    </w:p>
    <w:tbl>
      <w:tblPr>
        <w:tblStyle w:val="Table-ShadedHeader"/>
        <w:tblW w:w="0" w:type="auto"/>
        <w:tblLook w:val="04A0" w:firstRow="1" w:lastRow="0" w:firstColumn="1" w:lastColumn="0" w:noHBand="0" w:noVBand="1"/>
      </w:tblPr>
      <w:tblGrid>
        <w:gridCol w:w="1771"/>
        <w:gridCol w:w="2801"/>
        <w:gridCol w:w="1436"/>
        <w:gridCol w:w="2350"/>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Part</w:t>
            </w:r>
          </w:p>
        </w:tc>
        <w:tc>
          <w:tcPr>
            <w:tcW w:w="0" w:type="auto"/>
            <w:vAlign w:val="center"/>
          </w:tcPr>
          <w:p w:rsidR="005F78FC" w:rsidRDefault="00B42EF3">
            <w:pPr>
              <w:pStyle w:val="TableHeaderText"/>
            </w:pPr>
            <w:r>
              <w:t xml:space="preserve">Relationship </w:t>
            </w:r>
            <w:r>
              <w:t>Target of</w:t>
            </w:r>
          </w:p>
        </w:tc>
        <w:tc>
          <w:tcPr>
            <w:tcW w:w="0" w:type="auto"/>
            <w:vAlign w:val="center"/>
          </w:tcPr>
          <w:p w:rsidR="005F78FC" w:rsidRDefault="00B42EF3">
            <w:pPr>
              <w:pStyle w:val="TableHeaderText"/>
            </w:pPr>
            <w:r>
              <w:t>Root Element</w:t>
            </w:r>
          </w:p>
        </w:tc>
        <w:tc>
          <w:tcPr>
            <w:tcW w:w="0" w:type="auto"/>
            <w:vAlign w:val="center"/>
          </w:tcPr>
          <w:p w:rsidR="005F78FC" w:rsidRDefault="00B42EF3">
            <w:pPr>
              <w:pStyle w:val="TableHeaderText"/>
            </w:pPr>
            <w:r>
              <w:t>Ref.</w:t>
            </w:r>
          </w:p>
        </w:tc>
      </w:tr>
      <w:tr w:rsidR="005F78FC" w:rsidTr="005F78FC">
        <w:tc>
          <w:tcPr>
            <w:tcW w:w="0" w:type="auto"/>
            <w:vAlign w:val="center"/>
          </w:tcPr>
          <w:p w:rsidR="005F78FC" w:rsidRDefault="00B42EF3">
            <w:pPr>
              <w:pStyle w:val="TableBodyText"/>
            </w:pPr>
            <w:r>
              <w:t>Graphic Frame Doc</w:t>
            </w:r>
          </w:p>
        </w:tc>
        <w:tc>
          <w:tcPr>
            <w:tcW w:w="0" w:type="auto"/>
            <w:vAlign w:val="center"/>
          </w:tcPr>
          <w:p w:rsidR="005F78FC" w:rsidRDefault="00B42EF3">
            <w:pPr>
              <w:pStyle w:val="TableBodyText"/>
            </w:pPr>
            <w:r>
              <w:t>DrawingML Persistence Package</w:t>
            </w:r>
          </w:p>
        </w:tc>
        <w:tc>
          <w:tcPr>
            <w:tcW w:w="0" w:type="auto"/>
            <w:vAlign w:val="center"/>
          </w:tcPr>
          <w:p w:rsidR="005F78FC" w:rsidRDefault="00B42EF3">
            <w:pPr>
              <w:pStyle w:val="TableBodyText"/>
            </w:pPr>
            <w:r>
              <w:t>e2oholder</w:t>
            </w:r>
          </w:p>
        </w:tc>
        <w:tc>
          <w:tcPr>
            <w:tcW w:w="0" w:type="auto"/>
            <w:vAlign w:val="center"/>
          </w:tcPr>
          <w:p w:rsidR="005F78FC" w:rsidRDefault="00B42EF3">
            <w:pPr>
              <w:pStyle w:val="TableBodyText"/>
            </w:pPr>
            <w:hyperlink w:anchor="Section_093801fe80854aaaa44a78583b640385">
              <w:r>
                <w:rPr>
                  <w:rStyle w:val="Hyperlink"/>
                </w:rPr>
                <w:t>§3.1.4.3.1.1, e2oholder</w:t>
              </w:r>
            </w:hyperlink>
          </w:p>
        </w:tc>
      </w:tr>
      <w:tr w:rsidR="005F78FC" w:rsidTr="005F78FC">
        <w:tc>
          <w:tcPr>
            <w:tcW w:w="0" w:type="auto"/>
            <w:vAlign w:val="center"/>
          </w:tcPr>
          <w:p w:rsidR="005F78FC" w:rsidRDefault="00B42EF3">
            <w:pPr>
              <w:pStyle w:val="TableBodyText"/>
            </w:pPr>
            <w:r>
              <w:t>Downrev Storage</w:t>
            </w:r>
          </w:p>
        </w:tc>
        <w:tc>
          <w:tcPr>
            <w:tcW w:w="0" w:type="auto"/>
            <w:vAlign w:val="center"/>
          </w:tcPr>
          <w:p w:rsidR="005F78FC" w:rsidRDefault="00B42EF3">
            <w:pPr>
              <w:pStyle w:val="TableBodyText"/>
            </w:pPr>
            <w:r>
              <w:t>DrawingML Persistence Package</w:t>
            </w:r>
          </w:p>
        </w:tc>
        <w:tc>
          <w:tcPr>
            <w:tcW w:w="0" w:type="auto"/>
            <w:vAlign w:val="center"/>
          </w:tcPr>
          <w:p w:rsidR="005F78FC" w:rsidRDefault="00B42EF3">
            <w:pPr>
              <w:pStyle w:val="TableBodyText"/>
            </w:pPr>
            <w:r>
              <w:t>downRevStg</w:t>
            </w:r>
          </w:p>
        </w:tc>
        <w:tc>
          <w:tcPr>
            <w:tcW w:w="0" w:type="auto"/>
            <w:vAlign w:val="center"/>
          </w:tcPr>
          <w:p w:rsidR="005F78FC" w:rsidRDefault="00B42EF3">
            <w:pPr>
              <w:pStyle w:val="TableBodyText"/>
            </w:pPr>
            <w:hyperlink w:anchor="Section_28f2957da97840c8bc855a32ed0ae8e1">
              <w:r>
                <w:rPr>
                  <w:rStyle w:val="Hyperlink"/>
                </w:rPr>
                <w:t>§3.1.4.2.1.2, downRevStg</w:t>
              </w:r>
            </w:hyperlink>
          </w:p>
        </w:tc>
      </w:tr>
    </w:tbl>
    <w:p w:rsidR="005F78FC" w:rsidRDefault="005F78FC"/>
    <w:p w:rsidR="005F78FC" w:rsidRDefault="00B42EF3">
      <w:r>
        <w:t>end note]</w:t>
      </w:r>
    </w:p>
    <w:p w:rsidR="005F78FC" w:rsidRDefault="00B42EF3">
      <w:pPr>
        <w:pStyle w:val="Heading5"/>
      </w:pPr>
      <w:bookmarkStart w:id="3945" w:name="section_a76a4974881b4ca598fea758cda15e82"/>
      <w:bookmarkStart w:id="3946" w:name="_Toc69879745"/>
      <w:r>
        <w:t>Graphic Frame Doc</w:t>
      </w:r>
      <w:bookmarkEnd w:id="3945"/>
      <w:bookmarkEnd w:id="3946"/>
      <w:r>
        <w:fldChar w:fldCharType="begin"/>
      </w:r>
      <w:r>
        <w:instrText xml:space="preserve"> XE "Graphic Frame Doc" </w:instrText>
      </w:r>
      <w:r>
        <w:fldChar w:fldCharType="end"/>
      </w:r>
    </w:p>
    <w:p w:rsidR="005F78FC" w:rsidRDefault="00B42EF3">
      <w:r>
        <w:rPr>
          <w:b/>
          <w:i/>
        </w:rPr>
        <w:t>Content Type</w:t>
      </w:r>
    </w:p>
    <w:p w:rsidR="005F78FC" w:rsidRDefault="00B42EF3">
      <w:r>
        <w:rPr>
          <w:i/>
        </w:rPr>
        <w:t>application/vnd.ms-office.DrsE2oDoc+xml</w:t>
      </w:r>
    </w:p>
    <w:p w:rsidR="005F78FC" w:rsidRDefault="00B42EF3">
      <w:r>
        <w:rPr>
          <w:b/>
          <w:i/>
        </w:rPr>
        <w:t>Root Namespace</w:t>
      </w:r>
    </w:p>
    <w:p w:rsidR="005F78FC" w:rsidRDefault="00B42EF3">
      <w:r>
        <w:rPr>
          <w:i/>
        </w:rPr>
        <w:t>http://schemas.openxmlformats.org/drawingml/20</w:t>
      </w:r>
      <w:r>
        <w:rPr>
          <w:i/>
        </w:rPr>
        <w:t>06/wordprocessingDrawing</w:t>
      </w:r>
    </w:p>
    <w:p w:rsidR="005F78FC" w:rsidRDefault="00B42EF3">
      <w:r>
        <w:rPr>
          <w:b/>
          <w:i/>
        </w:rPr>
        <w:t>Source Relationship</w:t>
      </w:r>
    </w:p>
    <w:p w:rsidR="005F78FC" w:rsidRDefault="00B42EF3">
      <w:r>
        <w:rPr>
          <w:i/>
        </w:rPr>
        <w:t>http://schemas.microsoft.com/office/2006/relationships/graphicFrameDoc</w:t>
      </w:r>
    </w:p>
    <w:p w:rsidR="005F78FC" w:rsidRDefault="00B42EF3">
      <w:r>
        <w:t>An instance of this part type contains the information about an OfficeArt object and its effects.</w:t>
      </w:r>
    </w:p>
    <w:p w:rsidR="005F78FC" w:rsidRDefault="00B42EF3">
      <w:r>
        <w:t>A DrawingML Persistence Package shall cont</w:t>
      </w:r>
      <w:r>
        <w:t>ain only 1 Graphic Frame Doc part.</w:t>
      </w:r>
    </w:p>
    <w:p w:rsidR="005F78FC" w:rsidRDefault="00B42EF3">
      <w:r>
        <w:t>The root element for a Graphic Frame Doc part shall be e2oholder (</w:t>
      </w:r>
      <w:hyperlink w:anchor="Section_093801fe80854aaaa44a78583b640385">
        <w:r>
          <w:rPr>
            <w:rStyle w:val="Hyperlink"/>
          </w:rPr>
          <w:t>§3.1.4.3.1.1, e2oholder</w:t>
        </w:r>
      </w:hyperlink>
      <w:r>
        <w:t xml:space="preserve">). </w:t>
      </w:r>
    </w:p>
    <w:p w:rsidR="005F78FC" w:rsidRDefault="00B42EF3">
      <w:r>
        <w:t>[Example: The following Graphic Frame Doc part contains informati</w:t>
      </w:r>
      <w:r>
        <w:t>on about a Diagram Object</w:t>
      </w:r>
    </w:p>
    <w:p w:rsidR="005F78FC" w:rsidRDefault="00B42EF3">
      <w:pPr>
        <w:pStyle w:val="Code"/>
      </w:pPr>
      <w:r>
        <w:t>&lt;wp:e2oholder …&gt;</w:t>
      </w:r>
    </w:p>
    <w:p w:rsidR="005F78FC" w:rsidRDefault="00B42EF3">
      <w:pPr>
        <w:pStyle w:val="Code"/>
      </w:pPr>
      <w:r>
        <w:t xml:space="preserve">    &lt;wp:effectOffset l="18288" t="0" r="12887" b="0"/&gt;</w:t>
      </w:r>
    </w:p>
    <w:p w:rsidR="005F78FC" w:rsidRDefault="00B42EF3">
      <w:pPr>
        <w:pStyle w:val="Code"/>
      </w:pPr>
      <w:r>
        <w:t xml:space="preserve">    &lt;a:graphic …&gt;</w:t>
      </w:r>
    </w:p>
    <w:p w:rsidR="005F78FC" w:rsidRDefault="00B42EF3">
      <w:pPr>
        <w:pStyle w:val="Code"/>
      </w:pPr>
      <w:r>
        <w:t xml:space="preserve">        &lt;a:graphicData uri="http://schemas.openxmlformats.org/drawingml/2006/diagram"&gt;</w:t>
      </w:r>
    </w:p>
    <w:p w:rsidR="005F78FC" w:rsidRDefault="00B42EF3">
      <w:pPr>
        <w:pStyle w:val="Code"/>
      </w:pPr>
      <w:r>
        <w:t xml:space="preserve">            &lt;</w:t>
      </w:r>
      <w:r>
        <w:t>dgm:relIds r:dm="rId1" r:lo="rId2" r:qs="rId3" r:cs="rId4" …/&gt;</w:t>
      </w:r>
    </w:p>
    <w:p w:rsidR="005F78FC" w:rsidRDefault="00B42EF3">
      <w:pPr>
        <w:pStyle w:val="Code"/>
      </w:pPr>
      <w:r>
        <w:t xml:space="preserve">        &lt;/a:graphicData&gt;</w:t>
      </w:r>
    </w:p>
    <w:p w:rsidR="005F78FC" w:rsidRDefault="00B42EF3">
      <w:pPr>
        <w:pStyle w:val="Code"/>
      </w:pPr>
      <w:r>
        <w:t xml:space="preserve">    &lt;/a:graphic&gt;</w:t>
      </w:r>
    </w:p>
    <w:p w:rsidR="005F78FC" w:rsidRDefault="00B42EF3">
      <w:pPr>
        <w:pStyle w:val="Code"/>
      </w:pPr>
      <w:r>
        <w:lastRenderedPageBreak/>
        <w:t>&lt;/wp:e2oholder&gt;</w:t>
      </w:r>
    </w:p>
    <w:p w:rsidR="005F78FC" w:rsidRDefault="00B42EF3">
      <w:r>
        <w:t>end example]</w:t>
      </w:r>
    </w:p>
    <w:p w:rsidR="005F78FC" w:rsidRDefault="00B42EF3">
      <w:r>
        <w:t xml:space="preserve">A Graphic Frame Doc part is permitted to contain explicit relationships to the following parts defined by Office Open XML </w:t>
      </w:r>
      <w:r>
        <w:t xml:space="preserve">File Formats </w:t>
      </w:r>
      <w:hyperlink r:id="rId315">
        <w:r>
          <w:rPr>
            <w:rStyle w:val="Hyperlink"/>
          </w:rPr>
          <w:t>[ISO/IEC29500:2012]</w:t>
        </w:r>
      </w:hyperlink>
      <w:r>
        <w:t>:</w:t>
      </w:r>
    </w:p>
    <w:p w:rsidR="005F78FC" w:rsidRDefault="00B42EF3">
      <w:pPr>
        <w:pStyle w:val="ListParagraph"/>
        <w:numPr>
          <w:ilvl w:val="0"/>
          <w:numId w:val="205"/>
        </w:numPr>
        <w:contextualSpacing/>
      </w:pPr>
      <w:r>
        <w:t>Chart ("</w:t>
      </w:r>
      <w:hyperlink r:id="rId316">
        <w:r>
          <w:rPr>
            <w:rStyle w:val="Hyperlink"/>
          </w:rPr>
          <w:t>[ISO/IEC-29500-1]</w:t>
        </w:r>
      </w:hyperlink>
      <w:r>
        <w:t xml:space="preserve"> §14.2.1")</w:t>
      </w:r>
    </w:p>
    <w:p w:rsidR="005F78FC" w:rsidRDefault="00B42EF3">
      <w:pPr>
        <w:pStyle w:val="ListParagraph"/>
        <w:numPr>
          <w:ilvl w:val="0"/>
          <w:numId w:val="205"/>
        </w:numPr>
        <w:contextualSpacing/>
      </w:pPr>
      <w:r>
        <w:t>Diagrams: Diagram Colors ("[ISO/IEC-29500-1]</w:t>
      </w:r>
      <w:r>
        <w:t xml:space="preserve"> §14.2.3"), Diagram Data ("[ISO/IEC-29500-1] §14.2.4"), Diagram Layout Definition ("[ISO/IEC-29500-1] §14.2.5"), and Diagram Styles ("[ISO/IEC-29500-1] §14.2.6")</w:t>
      </w:r>
    </w:p>
    <w:p w:rsidR="005F78FC" w:rsidRDefault="00B42EF3">
      <w:pPr>
        <w:pStyle w:val="ListParagraph"/>
        <w:numPr>
          <w:ilvl w:val="0"/>
          <w:numId w:val="205"/>
        </w:numPr>
      </w:pPr>
      <w:r>
        <w:t>Images ("[ISO/IEC-29500-1] §15.2.13")</w:t>
      </w:r>
    </w:p>
    <w:p w:rsidR="005F78FC" w:rsidRDefault="00B42EF3">
      <w:r>
        <w:t xml:space="preserve">A Graphic Frame Doc part shall not have any implicit or </w:t>
      </w:r>
      <w:r>
        <w:t>explicit relationships to any other part defined by Office Open XML File Formats [ISO/IEC29500:2012].</w:t>
      </w:r>
    </w:p>
    <w:p w:rsidR="005F78FC" w:rsidRDefault="00B42EF3">
      <w:pPr>
        <w:pStyle w:val="Heading5"/>
      </w:pPr>
      <w:bookmarkStart w:id="3947" w:name="section_36f807adabe04525a208004943cb6847"/>
      <w:bookmarkStart w:id="3948" w:name="_Toc69879746"/>
      <w:r>
        <w:t>Downrev Storage</w:t>
      </w:r>
      <w:bookmarkEnd w:id="3947"/>
      <w:bookmarkEnd w:id="3948"/>
      <w:r>
        <w:fldChar w:fldCharType="begin"/>
      </w:r>
      <w:r>
        <w:instrText xml:space="preserve"> XE "Downrev Storage" </w:instrText>
      </w:r>
      <w:r>
        <w:fldChar w:fldCharType="end"/>
      </w:r>
    </w:p>
    <w:p w:rsidR="005F78FC" w:rsidRDefault="00B42EF3">
      <w:r>
        <w:rPr>
          <w:b/>
          <w:i/>
        </w:rPr>
        <w:t>Content Type</w:t>
      </w:r>
    </w:p>
    <w:p w:rsidR="005F78FC" w:rsidRDefault="00B42EF3">
      <w:r>
        <w:rPr>
          <w:i/>
        </w:rPr>
        <w:t>application/vnd.ms-office.DrsDownRev+xml</w:t>
      </w:r>
    </w:p>
    <w:p w:rsidR="005F78FC" w:rsidRDefault="00B42EF3">
      <w:r>
        <w:rPr>
          <w:b/>
          <w:i/>
        </w:rPr>
        <w:t>Root Namespace</w:t>
      </w:r>
    </w:p>
    <w:p w:rsidR="005F78FC" w:rsidRDefault="00B42EF3">
      <w:r>
        <w:rPr>
          <w:i/>
        </w:rPr>
        <w:t>http://schemas.openxmlformats.org/drawingml/2</w:t>
      </w:r>
      <w:r>
        <w:rPr>
          <w:i/>
        </w:rPr>
        <w:t>006/main</w:t>
      </w:r>
    </w:p>
    <w:p w:rsidR="005F78FC" w:rsidRDefault="00B42EF3">
      <w:r>
        <w:rPr>
          <w:b/>
          <w:i/>
        </w:rPr>
        <w:t>Source Relationship</w:t>
      </w:r>
    </w:p>
    <w:p w:rsidR="005F78FC" w:rsidRDefault="00B42EF3">
      <w:r>
        <w:rPr>
          <w:i/>
        </w:rPr>
        <w:t>http://schemas.microsoft.com/office/2006/relationships/downRev</w:t>
      </w:r>
    </w:p>
    <w:p w:rsidR="005F78FC" w:rsidRDefault="00B42EF3">
      <w:r>
        <w:t>An instance of this part type contains the information about an OfficeArt object’s bounds and checksum information for the original legacy shape representation of t</w:t>
      </w:r>
      <w:r>
        <w:t>he OfficeArt object represented in the Graphic Frame Doc part.</w:t>
      </w:r>
    </w:p>
    <w:p w:rsidR="005F78FC" w:rsidRDefault="00B42EF3">
      <w:r>
        <w:t>A DrawingML Persistence Package shall contain only 1 Downrev Storage part.</w:t>
      </w:r>
    </w:p>
    <w:p w:rsidR="005F78FC" w:rsidRDefault="00B42EF3">
      <w:r>
        <w:t>The root element for a Downrev Storage part shall be downRevStg (</w:t>
      </w:r>
      <w:hyperlink w:anchor="Section_28f2957da97840c8bc855a32ed0ae8e1">
        <w:r>
          <w:rPr>
            <w:rStyle w:val="Hyperlink"/>
          </w:rPr>
          <w:t>§3.1.4.2.1.2, downRevStg</w:t>
        </w:r>
      </w:hyperlink>
      <w:r>
        <w:t xml:space="preserve">). </w:t>
      </w:r>
    </w:p>
    <w:p w:rsidR="005F78FC" w:rsidRDefault="00B42EF3">
      <w:r>
        <w:t>[Example: The following Downrev Storage part contains information about a Diagram Object with no text</w:t>
      </w:r>
    </w:p>
    <w:p w:rsidR="005F78FC" w:rsidRDefault="00B42EF3">
      <w:pPr>
        <w:pStyle w:val="Code"/>
      </w:pPr>
      <w:r>
        <w:t>&lt;a:downRevStg shapeCheckSum="gcmnapp+jq1ZXL5rE1CguF==&amp;#xA;" textCheckSum="" ver="1" …&gt;</w:t>
      </w:r>
    </w:p>
    <w:p w:rsidR="005F78FC" w:rsidRDefault="00B42EF3">
      <w:pPr>
        <w:pStyle w:val="Code"/>
      </w:pPr>
      <w:r>
        <w:t xml:space="preserve">    &lt;a:bounds l="0" t="0" r="</w:t>
      </w:r>
      <w:r>
        <w:t>3405" b="3855"/&gt;</w:t>
      </w:r>
    </w:p>
    <w:p w:rsidR="005F78FC" w:rsidRDefault="00B42EF3">
      <w:pPr>
        <w:pStyle w:val="Code"/>
      </w:pPr>
      <w:r>
        <w:t>&lt;/a:downRevStg&gt;</w:t>
      </w:r>
    </w:p>
    <w:p w:rsidR="005F78FC" w:rsidRDefault="00B42EF3">
      <w:r>
        <w:t>end example]</w:t>
      </w:r>
    </w:p>
    <w:p w:rsidR="005F78FC" w:rsidRDefault="00B42EF3">
      <w:r>
        <w:t xml:space="preserve">A Downrev Storage part shall not have any implicit or explicit relationships to any parts defined by Office Open XML File Formats </w:t>
      </w:r>
      <w:hyperlink r:id="rId317">
        <w:r>
          <w:rPr>
            <w:rStyle w:val="Hyperlink"/>
          </w:rPr>
          <w:t>[ISO/IEC29500:</w:t>
        </w:r>
        <w:r>
          <w:rPr>
            <w:rStyle w:val="Hyperlink"/>
          </w:rPr>
          <w:t>2012]</w:t>
        </w:r>
      </w:hyperlink>
      <w:r>
        <w:t>.</w:t>
      </w:r>
    </w:p>
    <w:p w:rsidR="005F78FC" w:rsidRDefault="00B42EF3">
      <w:pPr>
        <w:pStyle w:val="Heading4"/>
      </w:pPr>
      <w:bookmarkStart w:id="3949" w:name="section_7ead7b1f2e7849cda5bd28b9560e7e71"/>
      <w:bookmarkStart w:id="3950" w:name="_Toc69879747"/>
      <w:r>
        <w:t>Additional DrawingML - Main Schema</w:t>
      </w:r>
      <w:bookmarkEnd w:id="3949"/>
      <w:bookmarkEnd w:id="3950"/>
    </w:p>
    <w:p w:rsidR="005F78FC" w:rsidRDefault="00B42EF3">
      <w:pPr>
        <w:pStyle w:val="Heading5"/>
      </w:pPr>
      <w:bookmarkStart w:id="3951" w:name="section_d822cddcbd7648b0911684c6009ebb96"/>
      <w:bookmarkStart w:id="3952" w:name="_Toc69879748"/>
      <w:r>
        <w:t>Additional Elements</w:t>
      </w:r>
      <w:bookmarkEnd w:id="3951"/>
      <w:bookmarkEnd w:id="3952"/>
      <w:r>
        <w:fldChar w:fldCharType="begin"/>
      </w:r>
      <w:r>
        <w:instrText xml:space="preserve"> XE "Additional Elements" </w:instrText>
      </w:r>
      <w:r>
        <w:fldChar w:fldCharType="end"/>
      </w:r>
    </w:p>
    <w:p w:rsidR="005F78FC" w:rsidRDefault="00B42EF3">
      <w:r>
        <w:t xml:space="preserve">This section specifies the structure of the VML embedded DrawingML (see also </w:t>
      </w:r>
      <w:r>
        <w:rPr>
          <w:b/>
        </w:rPr>
        <w:t>gfxdata</w:t>
      </w:r>
      <w:r>
        <w:t xml:space="preserve"> attribute ([ "</w:t>
      </w:r>
      <w:hyperlink r:id="rId318">
        <w:r>
          <w:rPr>
            <w:rStyle w:val="Hyperlink"/>
          </w:rPr>
          <w:t>[ISO/IEC-29500-4]</w:t>
        </w:r>
      </w:hyperlink>
      <w:r>
        <w:t xml:space="preserve"> §19.1.2.19; shape (Shape Definition)" ])).</w:t>
      </w:r>
    </w:p>
    <w:p w:rsidR="005F78FC" w:rsidRDefault="00B42EF3">
      <w:pPr>
        <w:pStyle w:val="Heading6"/>
      </w:pPr>
      <w:bookmarkStart w:id="3953" w:name="section_6c82f95eeec145d1ac3a8e4a19eb716f"/>
      <w:bookmarkStart w:id="3954" w:name="_Toc69879749"/>
      <w:r>
        <w:lastRenderedPageBreak/>
        <w:t>bounds (Bounds)</w:t>
      </w:r>
      <w:bookmarkEnd w:id="3953"/>
      <w:bookmarkEnd w:id="3954"/>
      <w:r>
        <w:fldChar w:fldCharType="begin"/>
      </w:r>
      <w:r>
        <w:instrText xml:space="preserve"> XE "bounds (Bounds)" </w:instrText>
      </w:r>
      <w:r>
        <w:fldChar w:fldCharType="end"/>
      </w:r>
    </w:p>
    <w:p w:rsidR="005F78FC" w:rsidRDefault="00B42EF3">
      <w:r>
        <w:t xml:space="preserve">This element defines the size and position of the DrawingML graphical object (OfficeArt object). If the OfficeArt object has an inline text wrapping mode, </w:t>
      </w:r>
      <w:r>
        <w:t>then the bounds shall be relative to the top-left corner of the OfficeArt object itself and the absolute position of the OfficeArt object is determined by its position in the text run. For floating text-wrapping modes, the bounds shall be relative to the t</w:t>
      </w:r>
      <w:r>
        <w:t xml:space="preserve">op-left corner of the page. </w:t>
      </w:r>
    </w:p>
    <w:p w:rsidR="005F78FC" w:rsidRDefault="00B42EF3">
      <w:r>
        <w:t>While the range of possible values is defined by the ST_Coordinate simple type, in Office the unit of measure for the attributes of this element is the twip. A twip is equivalent to 1/1440th of an inch (or one-twentieth of a po</w:t>
      </w:r>
      <w:r>
        <w:t>int).</w:t>
      </w:r>
    </w:p>
    <w:tbl>
      <w:tblPr>
        <w:tblStyle w:val="Table-ShadedHeader"/>
        <w:tblW w:w="0" w:type="auto"/>
        <w:tblLook w:val="04A0" w:firstRow="1" w:lastRow="0" w:firstColumn="1" w:lastColumn="0" w:noHBand="0" w:noVBand="1"/>
      </w:tblPr>
      <w:tblGrid>
        <w:gridCol w:w="3678"/>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Parent Elements</w:t>
            </w:r>
          </w:p>
        </w:tc>
      </w:tr>
      <w:tr w:rsidR="005F78FC" w:rsidTr="005F78FC">
        <w:tc>
          <w:tcPr>
            <w:tcW w:w="0" w:type="auto"/>
            <w:vAlign w:val="center"/>
          </w:tcPr>
          <w:p w:rsidR="005F78FC" w:rsidRDefault="00B42EF3">
            <w:pPr>
              <w:pStyle w:val="TableBodyText"/>
            </w:pPr>
            <w:r>
              <w:rPr>
                <w:b/>
              </w:rPr>
              <w:t>downRevStg</w:t>
            </w:r>
            <w:r>
              <w:t xml:space="preserve"> (§</w:t>
            </w:r>
            <w:hyperlink w:anchor="Section_28f2957da97840c8bc855a32ed0ae8e1">
              <w:r>
                <w:rPr>
                  <w:rStyle w:val="Hyperlink"/>
                </w:rPr>
                <w:t>3.1.4.2.1.2, downRevStg</w:t>
              </w:r>
            </w:hyperlink>
            <w:r>
              <w:t>)</w:t>
            </w:r>
          </w:p>
        </w:tc>
      </w:tr>
    </w:tbl>
    <w:p w:rsidR="005F78FC" w:rsidRDefault="005F78FC"/>
    <w:p w:rsidR="005F78FC" w:rsidRDefault="005F78FC"/>
    <w:tbl>
      <w:tblPr>
        <w:tblStyle w:val="Table-ShadedHeader"/>
        <w:tblW w:w="0" w:type="auto"/>
        <w:tblLook w:val="04A0" w:firstRow="1" w:lastRow="0" w:firstColumn="1" w:lastColumn="0" w:noHBand="0" w:noVBand="1"/>
      </w:tblPr>
      <w:tblGrid>
        <w:gridCol w:w="1135"/>
        <w:gridCol w:w="8340"/>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Attributes</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rPr>
                <w:b/>
              </w:rPr>
              <w:t>b</w:t>
            </w:r>
            <w:r>
              <w:t xml:space="preserve"> (Bottom)</w:t>
            </w:r>
          </w:p>
        </w:tc>
        <w:tc>
          <w:tcPr>
            <w:tcW w:w="0" w:type="auto"/>
            <w:vAlign w:val="center"/>
          </w:tcPr>
          <w:p w:rsidR="005F78FC" w:rsidRDefault="00B42EF3">
            <w:pPr>
              <w:pStyle w:val="TableBodyText"/>
            </w:pPr>
            <w:r>
              <w:t>The position of the bottom side of the OfficeArt object.</w:t>
            </w:r>
          </w:p>
          <w:p w:rsidR="005F78FC" w:rsidRDefault="005F78FC">
            <w:pPr>
              <w:pStyle w:val="TableBodyText"/>
            </w:pPr>
          </w:p>
          <w:p w:rsidR="005F78FC" w:rsidRDefault="00B42EF3">
            <w:pPr>
              <w:pStyle w:val="TableBodyText"/>
            </w:pPr>
            <w:r>
              <w:t xml:space="preserve">The possible values for this </w:t>
            </w:r>
            <w:r>
              <w:t>attribute are defined by the ST_CoordinateUnqualified simple type (§</w:t>
            </w:r>
            <w:hyperlink w:anchor="Section_afb7e140b25949018af4d4a514f50db9">
              <w:r>
                <w:rPr>
                  <w:rStyle w:val="Hyperlink"/>
                </w:rPr>
                <w:t>3.1.4.2.2.1, ST_CoordinateUnqualified</w:t>
              </w:r>
            </w:hyperlink>
            <w:r>
              <w:t>).</w:t>
            </w:r>
          </w:p>
        </w:tc>
      </w:tr>
      <w:tr w:rsidR="005F78FC" w:rsidTr="005F78FC">
        <w:tc>
          <w:tcPr>
            <w:tcW w:w="0" w:type="auto"/>
            <w:vAlign w:val="center"/>
          </w:tcPr>
          <w:p w:rsidR="005F78FC" w:rsidRDefault="00B42EF3">
            <w:pPr>
              <w:pStyle w:val="TableBodyText"/>
            </w:pPr>
            <w:r>
              <w:rPr>
                <w:b/>
              </w:rPr>
              <w:t>l</w:t>
            </w:r>
            <w:r>
              <w:t xml:space="preserve"> (Left)</w:t>
            </w:r>
          </w:p>
        </w:tc>
        <w:tc>
          <w:tcPr>
            <w:tcW w:w="0" w:type="auto"/>
            <w:vAlign w:val="center"/>
          </w:tcPr>
          <w:p w:rsidR="005F78FC" w:rsidRDefault="00B42EF3">
            <w:pPr>
              <w:pStyle w:val="TableBodyText"/>
            </w:pPr>
            <w:r>
              <w:t xml:space="preserve">The position of the left side of the OfficeArt object. </w:t>
            </w:r>
          </w:p>
          <w:p w:rsidR="005F78FC" w:rsidRDefault="005F78FC">
            <w:pPr>
              <w:pStyle w:val="TableBodyText"/>
            </w:pPr>
          </w:p>
          <w:p w:rsidR="005F78FC" w:rsidRDefault="00B42EF3">
            <w:pPr>
              <w:pStyle w:val="TableBodyText"/>
            </w:pPr>
            <w:r>
              <w:t>The possible value</w:t>
            </w:r>
            <w:r>
              <w:t>s for this attribute are defined by the ST_CoordinateUnqualified simple type (§3.1.4.2.2.1, ST_CoordinateUnqualified).</w:t>
            </w:r>
          </w:p>
        </w:tc>
      </w:tr>
      <w:tr w:rsidR="005F78FC" w:rsidTr="005F78FC">
        <w:tc>
          <w:tcPr>
            <w:tcW w:w="0" w:type="auto"/>
            <w:vAlign w:val="center"/>
          </w:tcPr>
          <w:p w:rsidR="005F78FC" w:rsidRDefault="00B42EF3">
            <w:pPr>
              <w:pStyle w:val="TableBodyText"/>
            </w:pPr>
            <w:r>
              <w:rPr>
                <w:b/>
              </w:rPr>
              <w:t>r</w:t>
            </w:r>
            <w:r>
              <w:t xml:space="preserve"> (Right)</w:t>
            </w:r>
          </w:p>
        </w:tc>
        <w:tc>
          <w:tcPr>
            <w:tcW w:w="0" w:type="auto"/>
            <w:vAlign w:val="center"/>
          </w:tcPr>
          <w:p w:rsidR="005F78FC" w:rsidRDefault="00B42EF3">
            <w:pPr>
              <w:pStyle w:val="TableBodyText"/>
            </w:pPr>
            <w:r>
              <w:t xml:space="preserve">The position of the right side of the OfficeArt object. </w:t>
            </w:r>
          </w:p>
          <w:p w:rsidR="005F78FC" w:rsidRDefault="005F78FC">
            <w:pPr>
              <w:pStyle w:val="TableBodyText"/>
            </w:pPr>
          </w:p>
          <w:p w:rsidR="005F78FC" w:rsidRDefault="00B42EF3">
            <w:pPr>
              <w:pStyle w:val="TableBodyText"/>
            </w:pPr>
            <w:r>
              <w:t>The possible values for this attribute are defined by the ST_Coordin</w:t>
            </w:r>
            <w:r>
              <w:t>ateUnqualified simple type (§3.1.4.2.2.1, ST_CoordinateUnqualified).</w:t>
            </w:r>
          </w:p>
        </w:tc>
      </w:tr>
      <w:tr w:rsidR="005F78FC" w:rsidTr="005F78FC">
        <w:tc>
          <w:tcPr>
            <w:tcW w:w="0" w:type="auto"/>
            <w:vAlign w:val="center"/>
          </w:tcPr>
          <w:p w:rsidR="005F78FC" w:rsidRDefault="00B42EF3">
            <w:pPr>
              <w:pStyle w:val="TableBodyText"/>
            </w:pPr>
            <w:r>
              <w:rPr>
                <w:b/>
              </w:rPr>
              <w:t>t</w:t>
            </w:r>
            <w:r>
              <w:t xml:space="preserve"> (Top)</w:t>
            </w:r>
          </w:p>
        </w:tc>
        <w:tc>
          <w:tcPr>
            <w:tcW w:w="0" w:type="auto"/>
            <w:vAlign w:val="center"/>
          </w:tcPr>
          <w:p w:rsidR="005F78FC" w:rsidRDefault="00B42EF3">
            <w:pPr>
              <w:pStyle w:val="TableBodyText"/>
            </w:pPr>
            <w:r>
              <w:t xml:space="preserve">The position of the top side of the OfficeArt object. </w:t>
            </w:r>
          </w:p>
          <w:p w:rsidR="005F78FC" w:rsidRDefault="005F78FC">
            <w:pPr>
              <w:pStyle w:val="TableBodyText"/>
            </w:pPr>
          </w:p>
          <w:p w:rsidR="005F78FC" w:rsidRDefault="00B42EF3">
            <w:pPr>
              <w:pStyle w:val="TableBodyText"/>
            </w:pPr>
            <w:r>
              <w:t>The possible values for this attribute are defined by the ST_CoordinateUnqualified simple type (§3.1.4.2.2.1, ST_Coordinat</w:t>
            </w:r>
            <w:r>
              <w:t>eUnqualified).</w:t>
            </w:r>
          </w:p>
        </w:tc>
      </w:tr>
    </w:tbl>
    <w:p w:rsidR="005F78FC" w:rsidRDefault="005F78FC"/>
    <w:p w:rsidR="005F78FC" w:rsidRDefault="00B42EF3">
      <w:r>
        <w:t>The following XML Schema fragment defines the contents of this element:</w:t>
      </w:r>
    </w:p>
    <w:p w:rsidR="005F78FC" w:rsidRDefault="00B42EF3">
      <w:pPr>
        <w:pStyle w:val="Code"/>
      </w:pPr>
      <w:r>
        <w:t>&lt;complexType name="CT_BoundRect"&gt;</w:t>
      </w:r>
    </w:p>
    <w:p w:rsidR="005F78FC" w:rsidRDefault="00B42EF3">
      <w:pPr>
        <w:pStyle w:val="Code"/>
      </w:pPr>
      <w:r>
        <w:t xml:space="preserve">  &lt;attribute name="l" type="ST_Coordinate" use="required"/&gt;</w:t>
      </w:r>
    </w:p>
    <w:p w:rsidR="005F78FC" w:rsidRDefault="00B42EF3">
      <w:pPr>
        <w:pStyle w:val="Code"/>
      </w:pPr>
      <w:r>
        <w:t xml:space="preserve">  &lt;attribute name="t" type="ST_Coordinate" use="required"/&gt;</w:t>
      </w:r>
    </w:p>
    <w:p w:rsidR="005F78FC" w:rsidRDefault="00B42EF3">
      <w:pPr>
        <w:pStyle w:val="Code"/>
      </w:pPr>
      <w:r>
        <w:t xml:space="preserve">  &lt;</w:t>
      </w:r>
      <w:r>
        <w:t>attribute name="r" type="ST_Coordinate" use="required"/&gt;</w:t>
      </w:r>
    </w:p>
    <w:p w:rsidR="005F78FC" w:rsidRDefault="00B42EF3">
      <w:pPr>
        <w:pStyle w:val="Code"/>
      </w:pPr>
      <w:r>
        <w:t xml:space="preserve">  &lt;attribute name="b" type="ST_Coordinate" use="required"/&gt;</w:t>
      </w:r>
    </w:p>
    <w:p w:rsidR="005F78FC" w:rsidRDefault="00B42EF3">
      <w:pPr>
        <w:pStyle w:val="Code"/>
      </w:pPr>
      <w:r>
        <w:t>&lt;/complexType&gt;</w:t>
      </w:r>
    </w:p>
    <w:p w:rsidR="005F78FC" w:rsidRDefault="00B42EF3">
      <w:pPr>
        <w:pStyle w:val="Heading6"/>
      </w:pPr>
      <w:bookmarkStart w:id="3955" w:name="section_28f2957da97840c8bc855a32ed0ae8e1"/>
      <w:bookmarkStart w:id="3956" w:name="_Toc69879750"/>
      <w:r>
        <w:t>downRevStg (DownRev Storage)</w:t>
      </w:r>
      <w:bookmarkEnd w:id="3955"/>
      <w:bookmarkEnd w:id="3956"/>
      <w:r>
        <w:fldChar w:fldCharType="begin"/>
      </w:r>
      <w:r>
        <w:instrText xml:space="preserve"> XE "downRevStg (DownRev Storage)" </w:instrText>
      </w:r>
      <w:r>
        <w:fldChar w:fldCharType="end"/>
      </w:r>
    </w:p>
    <w:p w:rsidR="005F78FC" w:rsidRDefault="00B42EF3">
      <w:r>
        <w:t>This is the root element of the VML embedded DrawingML, do</w:t>
      </w:r>
      <w:r>
        <w:t>wnrev part. It contains anchoring and other miscellaneous information for the embedded OfficeArt object.</w:t>
      </w:r>
    </w:p>
    <w:p w:rsidR="005F78FC" w:rsidRDefault="00B42EF3">
      <w:r>
        <w:lastRenderedPageBreak/>
        <w:t>All this information will be deleted in case the VML shape is modified after it is loaded by Office.</w:t>
      </w:r>
    </w:p>
    <w:tbl>
      <w:tblPr>
        <w:tblStyle w:val="Table-ShadedHeader"/>
        <w:tblW w:w="0" w:type="auto"/>
        <w:tblLook w:val="04A0" w:firstRow="1" w:lastRow="0" w:firstColumn="1" w:lastColumn="0" w:noHBand="0" w:noVBand="1"/>
      </w:tblPr>
      <w:tblGrid>
        <w:gridCol w:w="1681"/>
        <w:gridCol w:w="1930"/>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Child Elements</w:t>
            </w:r>
          </w:p>
        </w:tc>
        <w:tc>
          <w:tcPr>
            <w:tcW w:w="0" w:type="auto"/>
            <w:vAlign w:val="center"/>
          </w:tcPr>
          <w:p w:rsidR="005F78FC" w:rsidRDefault="00B42EF3">
            <w:pPr>
              <w:pStyle w:val="TableHeaderText"/>
            </w:pPr>
            <w:r>
              <w:t>Subclause</w:t>
            </w:r>
          </w:p>
        </w:tc>
      </w:tr>
      <w:tr w:rsidR="005F78FC" w:rsidTr="005F78FC">
        <w:tc>
          <w:tcPr>
            <w:tcW w:w="0" w:type="auto"/>
            <w:vAlign w:val="center"/>
          </w:tcPr>
          <w:p w:rsidR="005F78FC" w:rsidRDefault="00B42EF3">
            <w:pPr>
              <w:pStyle w:val="TableBodyText"/>
            </w:pPr>
            <w:r>
              <w:rPr>
                <w:b/>
              </w:rPr>
              <w:t>bounds</w:t>
            </w:r>
            <w:r>
              <w:t xml:space="preserve"> (Bounds)</w:t>
            </w:r>
          </w:p>
        </w:tc>
        <w:tc>
          <w:tcPr>
            <w:tcW w:w="0" w:type="auto"/>
            <w:vAlign w:val="center"/>
          </w:tcPr>
          <w:p w:rsidR="005F78FC" w:rsidRDefault="00B42EF3">
            <w:pPr>
              <w:pStyle w:val="TableBodyText"/>
            </w:pPr>
            <w:r>
              <w:t>§</w:t>
            </w:r>
            <w:hyperlink w:anchor="Section_6c82f95eeec145d1ac3a8e4a19eb716f">
              <w:r>
                <w:rPr>
                  <w:rStyle w:val="Hyperlink"/>
                </w:rPr>
                <w:t>3.1.4.2.1.1, bounds</w:t>
              </w:r>
            </w:hyperlink>
          </w:p>
        </w:tc>
      </w:tr>
    </w:tbl>
    <w:p w:rsidR="005F78FC" w:rsidRDefault="005F78FC"/>
    <w:p w:rsidR="005F78FC" w:rsidRDefault="005F78FC"/>
    <w:tbl>
      <w:tblPr>
        <w:tblStyle w:val="Table-ShadedHeader"/>
        <w:tblW w:w="0" w:type="auto"/>
        <w:tblLook w:val="04A0" w:firstRow="1" w:lastRow="0" w:firstColumn="1" w:lastColumn="0" w:noHBand="0" w:noVBand="1"/>
      </w:tblPr>
      <w:tblGrid>
        <w:gridCol w:w="2413"/>
        <w:gridCol w:w="7062"/>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Attributes</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rPr>
                <w:b/>
              </w:rPr>
              <w:t>shapeCheckSum</w:t>
            </w:r>
            <w:r>
              <w:t xml:space="preserve"> (Shape Checksum)</w:t>
            </w:r>
          </w:p>
        </w:tc>
        <w:tc>
          <w:tcPr>
            <w:tcW w:w="0" w:type="auto"/>
            <w:vAlign w:val="center"/>
          </w:tcPr>
          <w:p w:rsidR="005F78FC" w:rsidRDefault="00B42EF3">
            <w:pPr>
              <w:pStyle w:val="TableBodyText"/>
            </w:pPr>
            <w:r>
              <w:t xml:space="preserve">Contains a base-64 encoded value of the MD4 hash of the shape properties. This value can be used to determine whether the </w:t>
            </w:r>
            <w:r>
              <w:t>associated VML shape has been modified.</w:t>
            </w:r>
          </w:p>
          <w:p w:rsidR="005F78FC" w:rsidRDefault="005F78FC">
            <w:pPr>
              <w:pStyle w:val="TableBodyText"/>
            </w:pPr>
          </w:p>
          <w:p w:rsidR="005F78FC" w:rsidRDefault="00B42EF3">
            <w:pPr>
              <w:pStyle w:val="TableBodyText"/>
            </w:pPr>
            <w:r>
              <w:t>If shapeCheckSum is empty Office will ignore the VML shape.</w:t>
            </w:r>
          </w:p>
          <w:p w:rsidR="005F78FC" w:rsidRDefault="005F78FC">
            <w:pPr>
              <w:pStyle w:val="TableBodyText"/>
            </w:pPr>
          </w:p>
          <w:p w:rsidR="005F78FC" w:rsidRDefault="00B42EF3">
            <w:pPr>
              <w:pStyle w:val="TableBodyText"/>
            </w:pPr>
            <w:r>
              <w:t>The possible values for this attribute are defined by the XML Schema string datatype.</w:t>
            </w:r>
          </w:p>
        </w:tc>
      </w:tr>
      <w:tr w:rsidR="005F78FC" w:rsidTr="005F78FC">
        <w:tc>
          <w:tcPr>
            <w:tcW w:w="0" w:type="auto"/>
            <w:vAlign w:val="center"/>
          </w:tcPr>
          <w:p w:rsidR="005F78FC" w:rsidRDefault="00B42EF3">
            <w:pPr>
              <w:pStyle w:val="TableBodyText"/>
            </w:pPr>
            <w:r>
              <w:rPr>
                <w:b/>
              </w:rPr>
              <w:t>textCheckSum</w:t>
            </w:r>
            <w:r>
              <w:t xml:space="preserve"> (Text Checksum)</w:t>
            </w:r>
          </w:p>
        </w:tc>
        <w:tc>
          <w:tcPr>
            <w:tcW w:w="0" w:type="auto"/>
            <w:vAlign w:val="center"/>
          </w:tcPr>
          <w:p w:rsidR="005F78FC" w:rsidRDefault="00B42EF3">
            <w:pPr>
              <w:pStyle w:val="TableBodyText"/>
            </w:pPr>
            <w:r>
              <w:t>Contains a base-64 encoded value of th</w:t>
            </w:r>
            <w:r>
              <w:t>e MD4 hash of the text in the OfficeArt object.</w:t>
            </w:r>
          </w:p>
          <w:p w:rsidR="005F78FC" w:rsidRDefault="005F78FC">
            <w:pPr>
              <w:pStyle w:val="TableBodyText"/>
            </w:pPr>
          </w:p>
          <w:p w:rsidR="005F78FC" w:rsidRDefault="00B42EF3">
            <w:pPr>
              <w:pStyle w:val="TableBodyText"/>
            </w:pPr>
            <w:r>
              <w:t xml:space="preserve">Office always writes an empty string and ignores this attribute on load. </w:t>
            </w:r>
          </w:p>
          <w:p w:rsidR="005F78FC" w:rsidRDefault="005F78FC">
            <w:pPr>
              <w:pStyle w:val="TableBodyText"/>
            </w:pPr>
          </w:p>
          <w:p w:rsidR="005F78FC" w:rsidRDefault="00B42EF3">
            <w:pPr>
              <w:pStyle w:val="TableBodyText"/>
            </w:pPr>
            <w:r>
              <w:t>The possible values for this attribute are defined by the XML Schema string datatype.</w:t>
            </w:r>
          </w:p>
        </w:tc>
      </w:tr>
      <w:tr w:rsidR="005F78FC" w:rsidTr="005F78FC">
        <w:tc>
          <w:tcPr>
            <w:tcW w:w="0" w:type="auto"/>
            <w:vAlign w:val="center"/>
          </w:tcPr>
          <w:p w:rsidR="005F78FC" w:rsidRDefault="00B42EF3">
            <w:pPr>
              <w:pStyle w:val="TableBodyText"/>
            </w:pPr>
            <w:r>
              <w:rPr>
                <w:b/>
              </w:rPr>
              <w:t>ver</w:t>
            </w:r>
            <w:r>
              <w:t xml:space="preserve"> (Version Number)</w:t>
            </w:r>
          </w:p>
        </w:tc>
        <w:tc>
          <w:tcPr>
            <w:tcW w:w="0" w:type="auto"/>
            <w:vAlign w:val="center"/>
          </w:tcPr>
          <w:p w:rsidR="005F78FC" w:rsidRDefault="00B42EF3">
            <w:pPr>
              <w:pStyle w:val="TableBodyText"/>
            </w:pPr>
            <w:r>
              <w:t>Version number of this O</w:t>
            </w:r>
            <w:r>
              <w:t>fficeArt object. The value of this attribute is application-defined.</w:t>
            </w:r>
          </w:p>
          <w:p w:rsidR="005F78FC" w:rsidRDefault="005F78FC">
            <w:pPr>
              <w:pStyle w:val="TableBodyText"/>
            </w:pPr>
          </w:p>
          <w:p w:rsidR="005F78FC" w:rsidRDefault="00B42EF3">
            <w:pPr>
              <w:pStyle w:val="TableBodyText"/>
            </w:pPr>
            <w:r>
              <w:t xml:space="preserve">Office expects a value of 0 for Beta 2 files, and a value of 1 for RTM and subsequent versions. </w:t>
            </w:r>
          </w:p>
          <w:p w:rsidR="005F78FC" w:rsidRDefault="005F78FC">
            <w:pPr>
              <w:pStyle w:val="TableBodyText"/>
            </w:pPr>
          </w:p>
          <w:p w:rsidR="005F78FC" w:rsidRDefault="00B42EF3">
            <w:pPr>
              <w:pStyle w:val="TableBodyText"/>
            </w:pPr>
            <w:r>
              <w:t>The possible values for this attribute are defined by the XML Schema unsignedInt datatyp</w:t>
            </w:r>
            <w:r>
              <w:t>e.</w:t>
            </w:r>
          </w:p>
        </w:tc>
      </w:tr>
    </w:tbl>
    <w:p w:rsidR="005F78FC" w:rsidRDefault="005F78FC"/>
    <w:p w:rsidR="005F78FC" w:rsidRDefault="00B42EF3">
      <w:r>
        <w:t>The following XML Schema fragment defines the contents of this element:</w:t>
      </w:r>
    </w:p>
    <w:p w:rsidR="005F78FC" w:rsidRDefault="00B42EF3">
      <w:pPr>
        <w:pStyle w:val="Code"/>
      </w:pPr>
      <w:r>
        <w:t>&lt;complexType name="CT_DownRevStg"&gt;</w:t>
      </w:r>
    </w:p>
    <w:p w:rsidR="005F78FC" w:rsidRDefault="00B42EF3">
      <w:pPr>
        <w:pStyle w:val="Code"/>
      </w:pPr>
      <w:r>
        <w:t xml:space="preserve">  &lt;sequence&gt;</w:t>
      </w:r>
    </w:p>
    <w:p w:rsidR="005F78FC" w:rsidRDefault="00B42EF3">
      <w:pPr>
        <w:pStyle w:val="Code"/>
      </w:pPr>
      <w:r>
        <w:t xml:space="preserve">    &lt;choice minOccurs="0" maxOccurs="1"&gt;</w:t>
      </w:r>
    </w:p>
    <w:p w:rsidR="005F78FC" w:rsidRDefault="00B42EF3">
      <w:pPr>
        <w:pStyle w:val="Code"/>
      </w:pPr>
      <w:r>
        <w:t xml:space="preserve">      &lt;element name="bounds" type="CT_BoundRect"/&gt;</w:t>
      </w:r>
    </w:p>
    <w:p w:rsidR="005F78FC" w:rsidRDefault="00B42EF3">
      <w:pPr>
        <w:pStyle w:val="Code"/>
      </w:pPr>
      <w:r>
        <w:t xml:space="preserve">    &lt;/choice&gt;</w:t>
      </w:r>
    </w:p>
    <w:p w:rsidR="005F78FC" w:rsidRDefault="00B42EF3">
      <w:pPr>
        <w:pStyle w:val="Code"/>
      </w:pPr>
      <w:r>
        <w:t xml:space="preserve">  &lt;/sequence&gt;</w:t>
      </w:r>
    </w:p>
    <w:p w:rsidR="005F78FC" w:rsidRDefault="00B42EF3">
      <w:pPr>
        <w:pStyle w:val="Code"/>
      </w:pPr>
      <w:r>
        <w:t xml:space="preserve">  &lt;</w:t>
      </w:r>
      <w:r>
        <w:t>attribute name="shapeCheckSum" type="xsd:string" use="required"/&gt;</w:t>
      </w:r>
    </w:p>
    <w:p w:rsidR="005F78FC" w:rsidRDefault="00B42EF3">
      <w:pPr>
        <w:pStyle w:val="Code"/>
      </w:pPr>
      <w:r>
        <w:t xml:space="preserve">  &lt;attribute name="textCheckSum" type="xsd:string" use="optional"/&gt;</w:t>
      </w:r>
    </w:p>
    <w:p w:rsidR="005F78FC" w:rsidRDefault="00B42EF3">
      <w:pPr>
        <w:pStyle w:val="Code"/>
      </w:pPr>
      <w:r>
        <w:t xml:space="preserve">  &lt;attribute name="ver" type="xsd:unsignedInt" use="optional" default="0"/&gt;</w:t>
      </w:r>
    </w:p>
    <w:p w:rsidR="005F78FC" w:rsidRDefault="00B42EF3">
      <w:pPr>
        <w:pStyle w:val="Code"/>
      </w:pPr>
      <w:r>
        <w:t>&lt;/complexType&gt;</w:t>
      </w:r>
    </w:p>
    <w:p w:rsidR="005F78FC" w:rsidRDefault="00B42EF3">
      <w:pPr>
        <w:pStyle w:val="Heading5"/>
      </w:pPr>
      <w:bookmarkStart w:id="3957" w:name="section_a20f5177ac074c6292bf74b5c06124a7"/>
      <w:bookmarkStart w:id="3958" w:name="_Toc69879751"/>
      <w:r>
        <w:t>Simple Types</w:t>
      </w:r>
      <w:bookmarkEnd w:id="3957"/>
      <w:bookmarkEnd w:id="3958"/>
      <w:r>
        <w:fldChar w:fldCharType="begin"/>
      </w:r>
      <w:r>
        <w:instrText xml:space="preserve"> XE "Simple Types" </w:instrText>
      </w:r>
      <w:r>
        <w:fldChar w:fldCharType="end"/>
      </w:r>
    </w:p>
    <w:p w:rsidR="005F78FC" w:rsidRDefault="00B42EF3">
      <w:r>
        <w:t>This is the complete list of simple types in the http://schemas.openxmlformats.org/drawingml/2006/main namespace.</w:t>
      </w:r>
    </w:p>
    <w:p w:rsidR="005F78FC" w:rsidRDefault="00B42EF3">
      <w:pPr>
        <w:pStyle w:val="Heading6"/>
      </w:pPr>
      <w:bookmarkStart w:id="3959" w:name="section_afb7e140b25949018af4d4a514f50db9"/>
      <w:bookmarkStart w:id="3960" w:name="_Toc69879752"/>
      <w:r>
        <w:lastRenderedPageBreak/>
        <w:t>ST_CoordinateUnqualified (Coordinate)</w:t>
      </w:r>
      <w:bookmarkEnd w:id="3959"/>
      <w:bookmarkEnd w:id="3960"/>
      <w:r>
        <w:fldChar w:fldCharType="begin"/>
      </w:r>
      <w:r>
        <w:instrText xml:space="preserve"> XE "ST_CoordinateUnqualified (Coordinate)" </w:instrText>
      </w:r>
      <w:r>
        <w:fldChar w:fldCharType="end"/>
      </w:r>
    </w:p>
    <w:p w:rsidR="005F78FC" w:rsidRDefault="00B42EF3">
      <w:r>
        <w:t xml:space="preserve">This simple type represents a one dimensional position </w:t>
      </w:r>
      <w:r>
        <w:t>or length in EMUs. EMUs (English Metric Units) are a high precision coordinate space (914400 dpi / 360000 dpc).</w:t>
      </w:r>
    </w:p>
    <w:p w:rsidR="005F78FC" w:rsidRDefault="00B42EF3">
      <w:r>
        <w:t>The restrictions specified in the following section apply only to Excel® 2007. For Word 2007 and PowerPoint® 2007, the simple type has a minimum</w:t>
      </w:r>
      <w:r>
        <w:t xml:space="preserve"> value of greater than or equal to -2147483648 and a maximum value of less than or equal to 2147483647.</w:t>
      </w:r>
    </w:p>
    <w:p w:rsidR="005F78FC" w:rsidRDefault="00B42EF3">
      <w:r>
        <w:t>This simple type's contents are a restriction of the XML Schema long datatype.</w:t>
      </w:r>
    </w:p>
    <w:p w:rsidR="005F78FC" w:rsidRDefault="00B42EF3">
      <w:r>
        <w:t>This simple type also specifies the following restrictions:</w:t>
      </w:r>
    </w:p>
    <w:p w:rsidR="005F78FC" w:rsidRDefault="00B42EF3">
      <w:pPr>
        <w:pStyle w:val="ListParagraph"/>
        <w:numPr>
          <w:ilvl w:val="0"/>
          <w:numId w:val="206"/>
        </w:numPr>
        <w:contextualSpacing/>
      </w:pPr>
      <w:r>
        <w:t>This simple t</w:t>
      </w:r>
      <w:r>
        <w:t>ype has a minimum value of greater than or equal to -27273042329600.</w:t>
      </w:r>
    </w:p>
    <w:p w:rsidR="005F78FC" w:rsidRDefault="00B42EF3">
      <w:pPr>
        <w:pStyle w:val="ListParagraph"/>
        <w:numPr>
          <w:ilvl w:val="0"/>
          <w:numId w:val="206"/>
        </w:numPr>
      </w:pPr>
      <w:r>
        <w:t>This simple type has a maximum value of less than or equal to 27273042316900.</w:t>
      </w:r>
    </w:p>
    <w:tbl>
      <w:tblPr>
        <w:tblStyle w:val="Table-ShadedHeader"/>
        <w:tblW w:w="0" w:type="auto"/>
        <w:tblLook w:val="04A0" w:firstRow="1" w:lastRow="0" w:firstColumn="1" w:lastColumn="0" w:noHBand="0" w:noVBand="1"/>
      </w:tblPr>
      <w:tblGrid>
        <w:gridCol w:w="9475"/>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Referenced By</w:t>
            </w:r>
          </w:p>
        </w:tc>
      </w:tr>
      <w:tr w:rsidR="005F78FC" w:rsidTr="005F78FC">
        <w:tc>
          <w:tcPr>
            <w:tcW w:w="0" w:type="auto"/>
            <w:vAlign w:val="center"/>
          </w:tcPr>
          <w:p w:rsidR="005F78FC" w:rsidRDefault="00B42EF3">
            <w:pPr>
              <w:pStyle w:val="TableBodyText"/>
            </w:pPr>
            <w:r>
              <w:rPr>
                <w:b/>
              </w:rPr>
              <w:t>bounds@b</w:t>
            </w:r>
            <w:r>
              <w:t xml:space="preserve"> (§</w:t>
            </w:r>
            <w:hyperlink w:anchor="Section_6c82f95eeec145d1ac3a8e4a19eb716f">
              <w:r>
                <w:rPr>
                  <w:rStyle w:val="Hyperlink"/>
                </w:rPr>
                <w:t>3.1.4.2.1.1, bounds</w:t>
              </w:r>
            </w:hyperlink>
            <w:r>
              <w:t xml:space="preserve">); </w:t>
            </w:r>
            <w:r>
              <w:rPr>
                <w:b/>
              </w:rPr>
              <w:t>bounds@l</w:t>
            </w:r>
            <w:r>
              <w:t xml:space="preserve"> (§3.1.4.2.1.1, bounds); </w:t>
            </w:r>
            <w:r>
              <w:rPr>
                <w:b/>
              </w:rPr>
              <w:t>bounds@r</w:t>
            </w:r>
            <w:r>
              <w:t xml:space="preserve"> (§3.1.4.2.1.1, bounds); </w:t>
            </w:r>
            <w:r>
              <w:rPr>
                <w:b/>
              </w:rPr>
              <w:t>bounds@t</w:t>
            </w:r>
            <w:r>
              <w:t xml:space="preserve"> (§3.1.4.2.1.1, bounds); </w:t>
            </w:r>
            <w:r>
              <w:rPr>
                <w:b/>
              </w:rPr>
              <w:t>effectOffset@b</w:t>
            </w:r>
            <w:r>
              <w:t xml:space="preserve"> (§</w:t>
            </w:r>
            <w:hyperlink w:anchor="Section_597fd3303f3a4f689f1394e06acddbe0">
              <w:r>
                <w:rPr>
                  <w:rStyle w:val="Hyperlink"/>
                </w:rPr>
                <w:t>3.1.4.3.1.2, effectOffset</w:t>
              </w:r>
            </w:hyperlink>
            <w:r>
              <w:t xml:space="preserve">); </w:t>
            </w:r>
            <w:r>
              <w:rPr>
                <w:b/>
              </w:rPr>
              <w:t>effectOffset@l</w:t>
            </w:r>
            <w:r>
              <w:t xml:space="preserve"> (§3.1.4.3.1.2, effectOffset); </w:t>
            </w:r>
            <w:r>
              <w:rPr>
                <w:b/>
              </w:rPr>
              <w:t>e</w:t>
            </w:r>
            <w:r>
              <w:rPr>
                <w:b/>
              </w:rPr>
              <w:t>ffectOffset@r</w:t>
            </w:r>
            <w:r>
              <w:t xml:space="preserve"> (§3.1.4.3.1.2, effectOffset); </w:t>
            </w:r>
            <w:r>
              <w:rPr>
                <w:b/>
              </w:rPr>
              <w:t>effectOffset@t</w:t>
            </w:r>
            <w:r>
              <w:t xml:space="preserve"> (§3.1.4.3.1.2, effectOffset)</w:t>
            </w:r>
          </w:p>
        </w:tc>
      </w:tr>
    </w:tbl>
    <w:p w:rsidR="005F78FC" w:rsidRDefault="005F78FC"/>
    <w:p w:rsidR="005F78FC" w:rsidRDefault="00B42EF3">
      <w:r>
        <w:t>The following XML Schema fragment defines the contents of this simple type:</w:t>
      </w:r>
    </w:p>
    <w:p w:rsidR="005F78FC" w:rsidRDefault="00B42EF3">
      <w:pPr>
        <w:pStyle w:val="Code"/>
      </w:pPr>
      <w:r>
        <w:t>&lt;simpleType name="ST_Coordinate"&gt;</w:t>
      </w:r>
    </w:p>
    <w:p w:rsidR="005F78FC" w:rsidRDefault="00B42EF3">
      <w:pPr>
        <w:pStyle w:val="Code"/>
      </w:pPr>
      <w:r>
        <w:t xml:space="preserve">  &lt;restriction base="xsd:long"&gt;</w:t>
      </w:r>
    </w:p>
    <w:p w:rsidR="005F78FC" w:rsidRDefault="00B42EF3">
      <w:pPr>
        <w:pStyle w:val="Code"/>
      </w:pPr>
      <w:r>
        <w:t xml:space="preserve">    &lt;minInclusive value=</w:t>
      </w:r>
      <w:r>
        <w:t>"-27273042329600"/&gt;</w:t>
      </w:r>
    </w:p>
    <w:p w:rsidR="005F78FC" w:rsidRDefault="00B42EF3">
      <w:pPr>
        <w:pStyle w:val="Code"/>
      </w:pPr>
      <w:r>
        <w:t xml:space="preserve">    &lt;maxInclusive value="27273042316900"/&gt;</w:t>
      </w:r>
    </w:p>
    <w:p w:rsidR="005F78FC" w:rsidRDefault="00B42EF3">
      <w:pPr>
        <w:pStyle w:val="Code"/>
      </w:pPr>
      <w:r>
        <w:t xml:space="preserve">  &lt;/restriction&gt;</w:t>
      </w:r>
    </w:p>
    <w:p w:rsidR="005F78FC" w:rsidRDefault="00B42EF3">
      <w:pPr>
        <w:pStyle w:val="Code"/>
      </w:pPr>
      <w:r>
        <w:t>&lt;/simpleType&gt;</w:t>
      </w:r>
    </w:p>
    <w:p w:rsidR="005F78FC" w:rsidRDefault="00B42EF3">
      <w:pPr>
        <w:pStyle w:val="Heading4"/>
      </w:pPr>
      <w:bookmarkStart w:id="3961" w:name="section_40c407b0705f4b09a49472666a6e0d47"/>
      <w:bookmarkStart w:id="3962" w:name="_Toc69879753"/>
      <w:r>
        <w:t>Additional DrawingML - WordprocessingML Schema</w:t>
      </w:r>
      <w:bookmarkEnd w:id="3961"/>
      <w:bookmarkEnd w:id="3962"/>
    </w:p>
    <w:p w:rsidR="005F78FC" w:rsidRDefault="00B42EF3">
      <w:pPr>
        <w:pStyle w:val="Heading5"/>
      </w:pPr>
      <w:bookmarkStart w:id="3963" w:name="section_9835e3800b30448a98bdf016c6a8b8d7"/>
      <w:bookmarkStart w:id="3964" w:name="_Toc69879754"/>
      <w:r>
        <w:t>Additional Elements</w:t>
      </w:r>
      <w:bookmarkEnd w:id="3963"/>
      <w:bookmarkEnd w:id="3964"/>
      <w:r>
        <w:fldChar w:fldCharType="begin"/>
      </w:r>
      <w:r>
        <w:instrText xml:space="preserve"> XE "Additional Elements" </w:instrText>
      </w:r>
      <w:r>
        <w:fldChar w:fldCharType="end"/>
      </w:r>
    </w:p>
    <w:p w:rsidR="005F78FC" w:rsidRDefault="00B42EF3">
      <w:r>
        <w:t xml:space="preserve">This section specifies the structure of the VML embedded DrawingML </w:t>
      </w:r>
      <w:r>
        <w:t>(see also gfxdata attribute ("</w:t>
      </w:r>
      <w:hyperlink r:id="rId319">
        <w:r>
          <w:rPr>
            <w:rStyle w:val="Hyperlink"/>
          </w:rPr>
          <w:t>[ISO/IEC-29500-4]</w:t>
        </w:r>
      </w:hyperlink>
      <w:r>
        <w:t xml:space="preserve"> §19.1.2.19; shape (Shape Definition)").</w:t>
      </w:r>
    </w:p>
    <w:p w:rsidR="005F78FC" w:rsidRDefault="00B42EF3">
      <w:pPr>
        <w:pStyle w:val="Heading6"/>
      </w:pPr>
      <w:bookmarkStart w:id="3965" w:name="section_093801fe80854aaaa44a78583b640385"/>
      <w:bookmarkStart w:id="3966" w:name="_Toc69879755"/>
      <w:r>
        <w:t>e2oholder (E2o Holder)</w:t>
      </w:r>
      <w:bookmarkEnd w:id="3965"/>
      <w:bookmarkEnd w:id="3966"/>
      <w:r>
        <w:fldChar w:fldCharType="begin"/>
      </w:r>
      <w:r>
        <w:instrText xml:space="preserve"> XE "e2oholder (E2o Holder)" </w:instrText>
      </w:r>
      <w:r>
        <w:fldChar w:fldCharType="end"/>
      </w:r>
    </w:p>
    <w:p w:rsidR="005F78FC" w:rsidRDefault="00B42EF3">
      <w:r>
        <w:t xml:space="preserve">This is the root element of the VML embedded </w:t>
      </w:r>
      <w:r>
        <w:t>DrawingML, Graphic Frame Doc part. It contains the actual DrawingML graphical object (OfficeArt object) data.</w:t>
      </w:r>
    </w:p>
    <w:tbl>
      <w:tblPr>
        <w:tblStyle w:val="Table-ShadedHeader"/>
        <w:tblW w:w="0" w:type="auto"/>
        <w:tblLook w:val="04A0" w:firstRow="1" w:lastRow="0" w:firstColumn="1" w:lastColumn="0" w:noHBand="0" w:noVBand="1"/>
      </w:tblPr>
      <w:tblGrid>
        <w:gridCol w:w="2484"/>
        <w:gridCol w:w="3037"/>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Child Elements</w:t>
            </w:r>
          </w:p>
        </w:tc>
        <w:tc>
          <w:tcPr>
            <w:tcW w:w="0" w:type="auto"/>
            <w:vAlign w:val="center"/>
          </w:tcPr>
          <w:p w:rsidR="005F78FC" w:rsidRDefault="00B42EF3">
            <w:pPr>
              <w:pStyle w:val="TableHeaderText"/>
            </w:pPr>
            <w:r>
              <w:t>Subclause</w:t>
            </w:r>
          </w:p>
        </w:tc>
      </w:tr>
      <w:tr w:rsidR="005F78FC" w:rsidTr="005F78FC">
        <w:tc>
          <w:tcPr>
            <w:tcW w:w="0" w:type="auto"/>
            <w:vAlign w:val="center"/>
          </w:tcPr>
          <w:p w:rsidR="005F78FC" w:rsidRDefault="00B42EF3">
            <w:pPr>
              <w:pStyle w:val="TableBodyText"/>
            </w:pPr>
            <w:r>
              <w:rPr>
                <w:b/>
              </w:rPr>
              <w:t>effectOffset</w:t>
            </w:r>
            <w:r>
              <w:t xml:space="preserve"> (Effect Offset)</w:t>
            </w:r>
          </w:p>
        </w:tc>
        <w:tc>
          <w:tcPr>
            <w:tcW w:w="0" w:type="auto"/>
            <w:vAlign w:val="center"/>
          </w:tcPr>
          <w:p w:rsidR="005F78FC" w:rsidRDefault="00B42EF3">
            <w:pPr>
              <w:pStyle w:val="TableBodyText"/>
            </w:pPr>
            <w:r>
              <w:t>§</w:t>
            </w:r>
            <w:hyperlink w:anchor="Section_597fd3303f3a4f689f1394e06acddbe0">
              <w:r>
                <w:rPr>
                  <w:rStyle w:val="Hyperlink"/>
                </w:rPr>
                <w:t>3.1.4.3.1.2, effectOffset</w:t>
              </w:r>
            </w:hyperlink>
          </w:p>
        </w:tc>
      </w:tr>
      <w:tr w:rsidR="005F78FC" w:rsidTr="005F78FC">
        <w:tc>
          <w:tcPr>
            <w:tcW w:w="0" w:type="auto"/>
            <w:vAlign w:val="center"/>
          </w:tcPr>
          <w:p w:rsidR="005F78FC" w:rsidRDefault="00B42EF3">
            <w:pPr>
              <w:pStyle w:val="TableBodyText"/>
            </w:pPr>
            <w:r>
              <w:rPr>
                <w:b/>
              </w:rPr>
              <w:t>graphic</w:t>
            </w:r>
            <w:r>
              <w:t xml:space="preserve"> (Graphic Object)</w:t>
            </w:r>
          </w:p>
        </w:tc>
        <w:tc>
          <w:tcPr>
            <w:tcW w:w="0" w:type="auto"/>
            <w:vAlign w:val="center"/>
          </w:tcPr>
          <w:p w:rsidR="005F78FC" w:rsidRDefault="00B42EF3">
            <w:pPr>
              <w:pStyle w:val="TableBodyText"/>
            </w:pPr>
            <w:r>
              <w:t>"</w:t>
            </w:r>
            <w:hyperlink r:id="rId320">
              <w:r>
                <w:rPr>
                  <w:rStyle w:val="Hyperlink"/>
                </w:rPr>
                <w:t>[ISO/IEC-29500-1]</w:t>
              </w:r>
            </w:hyperlink>
            <w:r>
              <w:t xml:space="preserve"> §20.1.2.2.16"</w:t>
            </w:r>
          </w:p>
        </w:tc>
      </w:tr>
    </w:tbl>
    <w:p w:rsidR="005F78FC" w:rsidRDefault="005F78FC"/>
    <w:p w:rsidR="005F78FC" w:rsidRDefault="00B42EF3">
      <w:r>
        <w:t>The following XML Schema fragment defines the contents of this element:</w:t>
      </w:r>
    </w:p>
    <w:p w:rsidR="005F78FC" w:rsidRDefault="00B42EF3">
      <w:pPr>
        <w:pStyle w:val="Code"/>
      </w:pPr>
      <w:r>
        <w:t>&lt;complexType name="CT_GraphicalObjectWrapper"&gt;</w:t>
      </w:r>
    </w:p>
    <w:p w:rsidR="005F78FC" w:rsidRDefault="00B42EF3">
      <w:pPr>
        <w:pStyle w:val="Code"/>
      </w:pPr>
      <w:r>
        <w:t xml:space="preserve">  &lt;sequence</w:t>
      </w:r>
      <w:r>
        <w:t>&gt;</w:t>
      </w:r>
    </w:p>
    <w:p w:rsidR="005F78FC" w:rsidRDefault="00B42EF3">
      <w:pPr>
        <w:pStyle w:val="Code"/>
      </w:pPr>
      <w:r>
        <w:t xml:space="preserve">    &lt;element name="effectOffset" type="CT_EffectOffsetStg" minOccurs="1" maxOccurs="1"/&gt;</w:t>
      </w:r>
    </w:p>
    <w:p w:rsidR="005F78FC" w:rsidRDefault="00B42EF3">
      <w:pPr>
        <w:pStyle w:val="Code"/>
      </w:pPr>
      <w:r>
        <w:lastRenderedPageBreak/>
        <w:t xml:space="preserve">    &lt;element ref="a:graphic" minOccurs="1" maxOccurs="1"/&gt;</w:t>
      </w:r>
    </w:p>
    <w:p w:rsidR="005F78FC" w:rsidRDefault="00B42EF3">
      <w:pPr>
        <w:pStyle w:val="Code"/>
      </w:pPr>
      <w:r>
        <w:t xml:space="preserve">  &lt;/sequence&gt;</w:t>
      </w:r>
    </w:p>
    <w:p w:rsidR="005F78FC" w:rsidRDefault="00B42EF3">
      <w:pPr>
        <w:pStyle w:val="Code"/>
      </w:pPr>
      <w:r>
        <w:t>&lt;/complexType&gt;</w:t>
      </w:r>
    </w:p>
    <w:p w:rsidR="005F78FC" w:rsidRDefault="00B42EF3">
      <w:pPr>
        <w:pStyle w:val="Heading6"/>
      </w:pPr>
      <w:bookmarkStart w:id="3967" w:name="section_597fd3303f3a4f689f1394e06acddbe0"/>
      <w:bookmarkStart w:id="3968" w:name="_Toc69879756"/>
      <w:r>
        <w:t>effectOffset (Effect Offset)</w:t>
      </w:r>
      <w:bookmarkEnd w:id="3967"/>
      <w:bookmarkEnd w:id="3968"/>
      <w:r>
        <w:fldChar w:fldCharType="begin"/>
      </w:r>
      <w:r>
        <w:instrText xml:space="preserve"> XE "effectOffset (Effect Offset)" </w:instrText>
      </w:r>
      <w:r>
        <w:fldChar w:fldCharType="end"/>
      </w:r>
    </w:p>
    <w:p w:rsidR="005F78FC" w:rsidRDefault="00B42EF3">
      <w:r>
        <w:t>This elemen</w:t>
      </w:r>
      <w:r>
        <w:t xml:space="preserve">t specifies the offset between the OfficeArt object bounds and the bounds of the total area of its visual effects. </w:t>
      </w:r>
    </w:p>
    <w:tbl>
      <w:tblPr>
        <w:tblStyle w:val="Table-ShadedHeader"/>
        <w:tblW w:w="0" w:type="auto"/>
        <w:tblLook w:val="04A0" w:firstRow="1" w:lastRow="0" w:firstColumn="1" w:lastColumn="0" w:noHBand="0" w:noVBand="1"/>
      </w:tblPr>
      <w:tblGrid>
        <w:gridCol w:w="3255"/>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Parent Elements</w:t>
            </w:r>
          </w:p>
        </w:tc>
      </w:tr>
      <w:tr w:rsidR="005F78FC" w:rsidTr="005F78FC">
        <w:tc>
          <w:tcPr>
            <w:tcW w:w="0" w:type="auto"/>
            <w:vAlign w:val="center"/>
          </w:tcPr>
          <w:p w:rsidR="005F78FC" w:rsidRDefault="00B42EF3">
            <w:pPr>
              <w:pStyle w:val="TableBodyText"/>
            </w:pPr>
            <w:r>
              <w:rPr>
                <w:b/>
              </w:rPr>
              <w:t>e2oholder</w:t>
            </w:r>
            <w:r>
              <w:t xml:space="preserve"> (§</w:t>
            </w:r>
            <w:hyperlink w:anchor="Section_093801fe80854aaaa44a78583b640385">
              <w:r>
                <w:rPr>
                  <w:rStyle w:val="Hyperlink"/>
                </w:rPr>
                <w:t>3.1.4.3.1.1, e2oholder</w:t>
              </w:r>
            </w:hyperlink>
            <w:r>
              <w:t>)</w:t>
            </w:r>
          </w:p>
        </w:tc>
      </w:tr>
    </w:tbl>
    <w:p w:rsidR="005F78FC" w:rsidRDefault="005F78FC"/>
    <w:p w:rsidR="005F78FC" w:rsidRDefault="005F78FC"/>
    <w:tbl>
      <w:tblPr>
        <w:tblStyle w:val="Table-ShadedHeader"/>
        <w:tblW w:w="0" w:type="auto"/>
        <w:tblLook w:val="04A0" w:firstRow="1" w:lastRow="0" w:firstColumn="1" w:lastColumn="0" w:noHBand="0" w:noVBand="1"/>
      </w:tblPr>
      <w:tblGrid>
        <w:gridCol w:w="1488"/>
        <w:gridCol w:w="7987"/>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Attributes</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rPr>
                <w:b/>
              </w:rPr>
              <w:t>b</w:t>
            </w:r>
            <w:r>
              <w:t xml:space="preserve"> (Bottom Offset)</w:t>
            </w:r>
          </w:p>
        </w:tc>
        <w:tc>
          <w:tcPr>
            <w:tcW w:w="0" w:type="auto"/>
            <w:vAlign w:val="center"/>
          </w:tcPr>
          <w:p w:rsidR="005F78FC" w:rsidRDefault="00B42EF3">
            <w:pPr>
              <w:pStyle w:val="TableBodyText"/>
            </w:pPr>
            <w:r>
              <w:t>The difference between the bottom border of the effect area and the bottom border of the OfficeArt object.</w:t>
            </w:r>
          </w:p>
          <w:p w:rsidR="005F78FC" w:rsidRDefault="005F78FC">
            <w:pPr>
              <w:pStyle w:val="TableBodyText"/>
            </w:pPr>
          </w:p>
          <w:p w:rsidR="005F78FC" w:rsidRDefault="00B42EF3">
            <w:pPr>
              <w:pStyle w:val="TableBodyText"/>
            </w:pPr>
            <w:r>
              <w:t>The possible values for this attribute are defined by the ST_CoordinateUnqualified simple type ("</w:t>
            </w:r>
            <w:hyperlink r:id="rId321">
              <w:r>
                <w:rPr>
                  <w:rStyle w:val="Hyperlink"/>
                </w:rPr>
                <w:t>[ISO/IEC-29500-1]</w:t>
              </w:r>
            </w:hyperlink>
            <w:r>
              <w:t xml:space="preserve"> §20.1.10.19").</w:t>
            </w:r>
          </w:p>
        </w:tc>
      </w:tr>
      <w:tr w:rsidR="005F78FC" w:rsidTr="005F78FC">
        <w:tc>
          <w:tcPr>
            <w:tcW w:w="0" w:type="auto"/>
            <w:vAlign w:val="center"/>
          </w:tcPr>
          <w:p w:rsidR="005F78FC" w:rsidRDefault="00B42EF3">
            <w:pPr>
              <w:pStyle w:val="TableBodyText"/>
            </w:pPr>
            <w:r>
              <w:rPr>
                <w:b/>
              </w:rPr>
              <w:t>l</w:t>
            </w:r>
            <w:r>
              <w:t xml:space="preserve"> (Left Offset)</w:t>
            </w:r>
          </w:p>
        </w:tc>
        <w:tc>
          <w:tcPr>
            <w:tcW w:w="0" w:type="auto"/>
            <w:vAlign w:val="center"/>
          </w:tcPr>
          <w:p w:rsidR="005F78FC" w:rsidRDefault="00B42EF3">
            <w:pPr>
              <w:pStyle w:val="TableBodyText"/>
            </w:pPr>
            <w:r>
              <w:t>The difference between left border of the OfficeArt object and the left border of the effect area.</w:t>
            </w:r>
          </w:p>
          <w:p w:rsidR="005F78FC" w:rsidRDefault="005F78FC">
            <w:pPr>
              <w:pStyle w:val="TableBodyText"/>
            </w:pPr>
          </w:p>
          <w:p w:rsidR="005F78FC" w:rsidRDefault="00B42EF3">
            <w:pPr>
              <w:pStyle w:val="TableBodyText"/>
            </w:pPr>
            <w:r>
              <w:t xml:space="preserve">The possible values for this attribute are defined by the </w:t>
            </w:r>
            <w:r>
              <w:t>ST_CoordinateUnqualified simple type ("[ISO/IEC-29500-1] §20.1.10.19").</w:t>
            </w:r>
          </w:p>
        </w:tc>
      </w:tr>
      <w:tr w:rsidR="005F78FC" w:rsidTr="005F78FC">
        <w:tc>
          <w:tcPr>
            <w:tcW w:w="0" w:type="auto"/>
            <w:vAlign w:val="center"/>
          </w:tcPr>
          <w:p w:rsidR="005F78FC" w:rsidRDefault="00B42EF3">
            <w:pPr>
              <w:pStyle w:val="TableBodyText"/>
            </w:pPr>
            <w:r>
              <w:rPr>
                <w:b/>
              </w:rPr>
              <w:t>r</w:t>
            </w:r>
            <w:r>
              <w:t xml:space="preserve"> (Right Offset)</w:t>
            </w:r>
          </w:p>
        </w:tc>
        <w:tc>
          <w:tcPr>
            <w:tcW w:w="0" w:type="auto"/>
            <w:vAlign w:val="center"/>
          </w:tcPr>
          <w:p w:rsidR="005F78FC" w:rsidRDefault="00B42EF3">
            <w:pPr>
              <w:pStyle w:val="TableBodyText"/>
            </w:pPr>
            <w:r>
              <w:t>The difference between the right border of the effect area and the right border of the OfficeArt object.</w:t>
            </w:r>
          </w:p>
          <w:p w:rsidR="005F78FC" w:rsidRDefault="005F78FC">
            <w:pPr>
              <w:pStyle w:val="TableBodyText"/>
            </w:pPr>
          </w:p>
          <w:p w:rsidR="005F78FC" w:rsidRDefault="00B42EF3">
            <w:pPr>
              <w:pStyle w:val="TableBodyText"/>
            </w:pPr>
            <w:r>
              <w:t>The possible values for this attribute are defined by the ST</w:t>
            </w:r>
            <w:r>
              <w:t>_CoordinateUnqualified simple type ("[ISO/IEC-29500-1] §20.1.10.19").</w:t>
            </w:r>
          </w:p>
        </w:tc>
      </w:tr>
      <w:tr w:rsidR="005F78FC" w:rsidTr="005F78FC">
        <w:tc>
          <w:tcPr>
            <w:tcW w:w="0" w:type="auto"/>
            <w:vAlign w:val="center"/>
          </w:tcPr>
          <w:p w:rsidR="005F78FC" w:rsidRDefault="00B42EF3">
            <w:pPr>
              <w:pStyle w:val="TableBodyText"/>
            </w:pPr>
            <w:r>
              <w:rPr>
                <w:b/>
              </w:rPr>
              <w:t>t</w:t>
            </w:r>
            <w:r>
              <w:t xml:space="preserve"> (Top Offset)</w:t>
            </w:r>
          </w:p>
        </w:tc>
        <w:tc>
          <w:tcPr>
            <w:tcW w:w="0" w:type="auto"/>
            <w:vAlign w:val="center"/>
          </w:tcPr>
          <w:p w:rsidR="005F78FC" w:rsidRDefault="00B42EF3">
            <w:pPr>
              <w:pStyle w:val="TableBodyText"/>
            </w:pPr>
            <w:r>
              <w:t>The difference between the top border of the OfficeArt object and the top border of the effect area.</w:t>
            </w:r>
          </w:p>
          <w:p w:rsidR="005F78FC" w:rsidRDefault="005F78FC">
            <w:pPr>
              <w:pStyle w:val="TableBodyText"/>
            </w:pPr>
          </w:p>
          <w:p w:rsidR="005F78FC" w:rsidRDefault="00B42EF3">
            <w:pPr>
              <w:pStyle w:val="TableBodyText"/>
            </w:pPr>
            <w:r>
              <w:t>The possible values for this attribute are defined by the ST_Coordin</w:t>
            </w:r>
            <w:r>
              <w:t>ateUnqualified simple type ("[ISO/IEC-29500-1] §20.1.10.19").</w:t>
            </w:r>
          </w:p>
        </w:tc>
      </w:tr>
    </w:tbl>
    <w:p w:rsidR="005F78FC" w:rsidRDefault="005F78FC"/>
    <w:p w:rsidR="005F78FC" w:rsidRDefault="00B42EF3">
      <w:r>
        <w:t>The following XML Schema fragment defines the contents of this element:</w:t>
      </w:r>
    </w:p>
    <w:p w:rsidR="005F78FC" w:rsidRDefault="00B42EF3">
      <w:pPr>
        <w:pStyle w:val="Code"/>
      </w:pPr>
      <w:r>
        <w:t>&lt;complexType name="CT_EffectOffsetStg"&gt;</w:t>
      </w:r>
    </w:p>
    <w:p w:rsidR="005F78FC" w:rsidRDefault="00B42EF3">
      <w:pPr>
        <w:pStyle w:val="Code"/>
      </w:pPr>
      <w:r>
        <w:t xml:space="preserve">  &lt;attribute name="l" type="a:ST_Coordinate" use="required"/&gt;</w:t>
      </w:r>
    </w:p>
    <w:p w:rsidR="005F78FC" w:rsidRDefault="00B42EF3">
      <w:pPr>
        <w:pStyle w:val="Code"/>
      </w:pPr>
      <w:r>
        <w:t xml:space="preserve">  &lt;</w:t>
      </w:r>
      <w:r>
        <w:t>attribute name="t" type="a:ST_Coordinate" use="required"/&gt;</w:t>
      </w:r>
    </w:p>
    <w:p w:rsidR="005F78FC" w:rsidRDefault="00B42EF3">
      <w:pPr>
        <w:pStyle w:val="Code"/>
      </w:pPr>
      <w:r>
        <w:t xml:space="preserve">  &lt;attribute name="r" type="a:ST_Coordinate" use="required"/&gt;</w:t>
      </w:r>
    </w:p>
    <w:p w:rsidR="005F78FC" w:rsidRDefault="00B42EF3">
      <w:pPr>
        <w:pStyle w:val="Code"/>
      </w:pPr>
      <w:r>
        <w:t xml:space="preserve">  &lt;attribute name="b" type="a:ST_Coordinate" use="required"/&gt;</w:t>
      </w:r>
    </w:p>
    <w:p w:rsidR="005F78FC" w:rsidRDefault="00B42EF3">
      <w:pPr>
        <w:pStyle w:val="Code"/>
      </w:pPr>
      <w:r>
        <w:t>&lt;/complexType&gt;</w:t>
      </w:r>
    </w:p>
    <w:p w:rsidR="005F78FC" w:rsidRDefault="00B42EF3">
      <w:pPr>
        <w:pStyle w:val="Heading2"/>
      </w:pPr>
      <w:bookmarkStart w:id="3969" w:name="section_b1446808a7f94a6cac4a1ae8175a5705"/>
      <w:bookmarkStart w:id="3970" w:name="_Toc69879757"/>
      <w:r>
        <w:t>Excel</w:t>
      </w:r>
      <w:bookmarkEnd w:id="3969"/>
      <w:bookmarkEnd w:id="3970"/>
      <w:r>
        <w:fldChar w:fldCharType="begin"/>
      </w:r>
      <w:r>
        <w:instrText xml:space="preserve"> XE "Excel (Additional Information)" </w:instrText>
      </w:r>
      <w:r>
        <w:fldChar w:fldCharType="end"/>
      </w:r>
    </w:p>
    <w:p w:rsidR="005F78FC" w:rsidRDefault="00B42EF3">
      <w:r>
        <w:t xml:space="preserve">This section contains additional information used to more fully describe how Excel implements Office Open XML File Formats </w:t>
      </w:r>
      <w:hyperlink r:id="rId322">
        <w:r>
          <w:rPr>
            <w:rStyle w:val="Hyperlink"/>
          </w:rPr>
          <w:t>[ISO/IEC29500:2012]</w:t>
        </w:r>
      </w:hyperlink>
      <w:r>
        <w:t>.</w:t>
      </w:r>
    </w:p>
    <w:p w:rsidR="005F78FC" w:rsidRDefault="00B42EF3">
      <w:pPr>
        <w:pStyle w:val="Heading3"/>
      </w:pPr>
      <w:bookmarkStart w:id="3971" w:name="section_8ce3f967210d4181927892e3411ebfc7"/>
      <w:bookmarkStart w:id="3972" w:name="_Toc69879758"/>
      <w:r>
        <w:lastRenderedPageBreak/>
        <w:t>Additional Parts</w:t>
      </w:r>
      <w:bookmarkEnd w:id="3971"/>
      <w:bookmarkEnd w:id="3972"/>
      <w:r>
        <w:fldChar w:fldCharType="begin"/>
      </w:r>
      <w:r>
        <w:instrText xml:space="preserve"> XE "Additional Parts" </w:instrText>
      </w:r>
      <w:r>
        <w:fldChar w:fldCharType="end"/>
      </w:r>
    </w:p>
    <w:p w:rsidR="005F78FC" w:rsidRDefault="00B42EF3">
      <w:r>
        <w:t xml:space="preserve">The </w:t>
      </w:r>
      <w:r>
        <w:t>subclauses subordinate to this one describe in detail each of the part types specific to Excel in addition to those listed as part of Office Open XML File Formats ("</w:t>
      </w:r>
      <w:hyperlink r:id="rId323">
        <w:r>
          <w:rPr>
            <w:rStyle w:val="Hyperlink"/>
          </w:rPr>
          <w:t>[ISO/IEC-29500-1]</w:t>
        </w:r>
      </w:hyperlink>
      <w:r>
        <w:t xml:space="preserve"> §12").</w:t>
      </w:r>
    </w:p>
    <w:p w:rsidR="005F78FC" w:rsidRDefault="00B42EF3">
      <w:pPr>
        <w:pStyle w:val="Heading4"/>
      </w:pPr>
      <w:bookmarkStart w:id="3973" w:name="section_693389eed71540f89ef4055de69fd6a8"/>
      <w:bookmarkStart w:id="3974" w:name="_Toc69879759"/>
      <w:r>
        <w:t>Excel Attached Toolbars Part</w:t>
      </w:r>
      <w:bookmarkEnd w:id="3973"/>
      <w:bookmarkEnd w:id="3974"/>
      <w:r>
        <w:fldChar w:fldCharType="begin"/>
      </w:r>
      <w:r>
        <w:instrText xml:space="preserve"> XE "Excel Attached Toolbars Part" </w:instrText>
      </w:r>
      <w:r>
        <w:fldChar w:fldCharType="end"/>
      </w:r>
    </w:p>
    <w:p w:rsidR="005F78FC" w:rsidRDefault="00B42EF3">
      <w:r>
        <w:rPr>
          <w:b/>
          <w:i/>
        </w:rPr>
        <w:t>Content Type</w:t>
      </w:r>
    </w:p>
    <w:p w:rsidR="005F78FC" w:rsidRDefault="00B42EF3">
      <w:r>
        <w:rPr>
          <w:i/>
        </w:rPr>
        <w:t>application/vnd.ms-excel.attachedToolbars</w:t>
      </w:r>
    </w:p>
    <w:p w:rsidR="005F78FC" w:rsidRDefault="00B42EF3">
      <w:r>
        <w:rPr>
          <w:b/>
          <w:i/>
        </w:rPr>
        <w:t>Root Namespace</w:t>
      </w:r>
    </w:p>
    <w:p w:rsidR="005F78FC" w:rsidRDefault="00B42EF3">
      <w:r>
        <w:rPr>
          <w:i/>
        </w:rPr>
        <w:t>Not applicable</w:t>
      </w:r>
    </w:p>
    <w:p w:rsidR="005F78FC" w:rsidRDefault="00B42EF3">
      <w:r>
        <w:rPr>
          <w:b/>
          <w:i/>
        </w:rPr>
        <w:t>Source Relationship</w:t>
      </w:r>
    </w:p>
    <w:p w:rsidR="005F78FC" w:rsidRDefault="00B42EF3">
      <w:r>
        <w:rPr>
          <w:i/>
        </w:rPr>
        <w:t>http://schemas.microsoft.com/office/2006/relationships/attachedToolbars</w:t>
      </w:r>
    </w:p>
    <w:p w:rsidR="005F78FC" w:rsidRDefault="00B42EF3">
      <w:r>
        <w:t>This binary p</w:t>
      </w:r>
      <w:r>
        <w:t>art supports the storage of custom toolbars created by the user.</w:t>
      </w:r>
    </w:p>
    <w:p w:rsidR="005F78FC" w:rsidRDefault="00B42EF3">
      <w:r>
        <w:t>A package shall contain at most one Attached Toolbars part, and that part shall be the target of an implicit relationship from the Workbook part ("</w:t>
      </w:r>
      <w:hyperlink r:id="rId324">
        <w:r>
          <w:rPr>
            <w:rStyle w:val="Hyperlink"/>
          </w:rPr>
          <w:t>[ISO/IEC-29500-1]</w:t>
        </w:r>
      </w:hyperlink>
      <w:r>
        <w:t xml:space="preserve"> §12.3.23").</w:t>
      </w:r>
    </w:p>
    <w:p w:rsidR="005F78FC" w:rsidRDefault="00B42EF3">
      <w:r>
        <w:t>[Example: The following Workbook part-relationship item contains a relationship to the Attached Toolbars part, which is stored in the ZIP item attachedToolbars.bin:</w:t>
      </w:r>
    </w:p>
    <w:p w:rsidR="005F78FC" w:rsidRDefault="00B42EF3">
      <w:pPr>
        <w:pStyle w:val="Code"/>
      </w:pPr>
      <w:r>
        <w:t>&lt;Relationships xmlns="…"&gt;</w:t>
      </w:r>
    </w:p>
    <w:p w:rsidR="005F78FC" w:rsidRDefault="00B42EF3">
      <w:pPr>
        <w:pStyle w:val="Code"/>
      </w:pPr>
      <w:r>
        <w:t xml:space="preserve">  &lt;Relationsh</w:t>
      </w:r>
      <w:r>
        <w:t xml:space="preserve">ip Id="rId6" </w:t>
      </w:r>
    </w:p>
    <w:p w:rsidR="005F78FC" w:rsidRDefault="00B42EF3">
      <w:pPr>
        <w:pStyle w:val="Code"/>
      </w:pPr>
      <w:r>
        <w:t xml:space="preserve">    Type="http://…/attachedToolbars" Target="attachedToolbars.bin"/&gt;</w:t>
      </w:r>
    </w:p>
    <w:p w:rsidR="005F78FC" w:rsidRDefault="00B42EF3">
      <w:pPr>
        <w:pStyle w:val="Code"/>
      </w:pPr>
      <w:r>
        <w:t>&lt;/Relationships&gt;</w:t>
      </w:r>
    </w:p>
    <w:p w:rsidR="005F78FC" w:rsidRDefault="00B42EF3">
      <w:r>
        <w:t>end example]</w:t>
      </w:r>
    </w:p>
    <w:p w:rsidR="005F78FC" w:rsidRDefault="00B42EF3">
      <w:r>
        <w:t xml:space="preserve">An Attached Toolbars part shall be located within the package containing the source relationship (expressed syntactically, the </w:t>
      </w:r>
      <w:r>
        <w:rPr>
          <w:b/>
        </w:rPr>
        <w:t>TargetMode</w:t>
      </w:r>
      <w:r>
        <w:t xml:space="preserve"> attri</w:t>
      </w:r>
      <w:r>
        <w:t xml:space="preserve">bute of the </w:t>
      </w:r>
      <w:r>
        <w:rPr>
          <w:b/>
        </w:rPr>
        <w:t>Relationship</w:t>
      </w:r>
      <w:r>
        <w:t xml:space="preserve"> element shall be </w:t>
      </w:r>
      <w:r>
        <w:rPr>
          <w:i/>
        </w:rPr>
        <w:t>Internal</w:t>
      </w:r>
      <w:r>
        <w:t>).</w:t>
      </w:r>
    </w:p>
    <w:p w:rsidR="005F78FC" w:rsidRDefault="00B42EF3">
      <w:r>
        <w:t xml:space="preserve">An Attached Toolbars part shall not have implicit or explicit relationships to any part defined by Office Open XML File Formats </w:t>
      </w:r>
      <w:hyperlink r:id="rId325">
        <w:r>
          <w:rPr>
            <w:rStyle w:val="Hyperlink"/>
          </w:rPr>
          <w:t>[ISO/IEC2</w:t>
        </w:r>
        <w:r>
          <w:rPr>
            <w:rStyle w:val="Hyperlink"/>
          </w:rPr>
          <w:t>9500:2012]</w:t>
        </w:r>
      </w:hyperlink>
      <w:r>
        <w:t>.</w:t>
      </w:r>
    </w:p>
    <w:p w:rsidR="005F78FC" w:rsidRDefault="00B42EF3">
      <w:r>
        <w:t xml:space="preserve">The internal structure of the ZIP item attachedToolbars.bin is specified in the XCB section of the Excel 97-2003 Binary File Format (.xls) Structure Specification </w:t>
      </w:r>
      <w:hyperlink r:id="rId326" w:anchor="Section_cd03cb5fca024934a391bb674cb8aa06">
        <w:r>
          <w:rPr>
            <w:rStyle w:val="Hyperlink"/>
          </w:rPr>
          <w:t>[MS</w:t>
        </w:r>
        <w:r>
          <w:rPr>
            <w:rStyle w:val="Hyperlink"/>
          </w:rPr>
          <w:t>-XLS]</w:t>
        </w:r>
      </w:hyperlink>
      <w:r>
        <w:t xml:space="preserve"> book.</w:t>
      </w:r>
    </w:p>
    <w:p w:rsidR="005F78FC" w:rsidRDefault="00B42EF3">
      <w:pPr>
        <w:pStyle w:val="Heading4"/>
      </w:pPr>
      <w:bookmarkStart w:id="3975" w:name="section_c004bb57aaa44a8c9eca2cab3f574fe2"/>
      <w:bookmarkStart w:id="3976" w:name="_Toc69879760"/>
      <w:r>
        <w:t>Worksheet Sort Map Part</w:t>
      </w:r>
      <w:bookmarkEnd w:id="3975"/>
      <w:bookmarkEnd w:id="3976"/>
      <w:r>
        <w:fldChar w:fldCharType="begin"/>
      </w:r>
      <w:r>
        <w:instrText xml:space="preserve"> XE "Worksheet Sort Map Part" </w:instrText>
      </w:r>
      <w:r>
        <w:fldChar w:fldCharType="end"/>
      </w:r>
    </w:p>
    <w:p w:rsidR="005F78FC" w:rsidRDefault="00B42EF3">
      <w:r>
        <w:rPr>
          <w:b/>
          <w:i/>
        </w:rPr>
        <w:t>Content Type</w:t>
      </w:r>
    </w:p>
    <w:p w:rsidR="005F78FC" w:rsidRDefault="00B42EF3">
      <w:r>
        <w:rPr>
          <w:i/>
        </w:rPr>
        <w:t>application/vnd.ms-excel.wsSortMap+xml</w:t>
      </w:r>
    </w:p>
    <w:p w:rsidR="005F78FC" w:rsidRDefault="00B42EF3">
      <w:r>
        <w:rPr>
          <w:b/>
          <w:i/>
        </w:rPr>
        <w:t>Root Namespace</w:t>
      </w:r>
    </w:p>
    <w:p w:rsidR="005F78FC" w:rsidRDefault="00B42EF3">
      <w:r>
        <w:rPr>
          <w:i/>
        </w:rPr>
        <w:t>http://schemas.microsoft.com/office/excel/2006/main</w:t>
      </w:r>
    </w:p>
    <w:p w:rsidR="005F78FC" w:rsidRDefault="00B42EF3">
      <w:r>
        <w:rPr>
          <w:b/>
          <w:i/>
        </w:rPr>
        <w:t>Source Relationship</w:t>
      </w:r>
    </w:p>
    <w:p w:rsidR="005F78FC" w:rsidRDefault="00B42EF3">
      <w:r>
        <w:rPr>
          <w:i/>
        </w:rPr>
        <w:t>http://schemas.microsoft.com/office/2006/relationships/wsSortMap</w:t>
      </w:r>
    </w:p>
    <w:p w:rsidR="005F78FC" w:rsidRDefault="00B42EF3">
      <w:r>
        <w:lastRenderedPageBreak/>
        <w:t>An instance of this part contains information about a series of before and after row or column mapping to resolve different sort operations performed on the same range by different users when</w:t>
      </w:r>
      <w:r>
        <w:t xml:space="preserve"> the workbook is shared.</w:t>
      </w:r>
    </w:p>
    <w:p w:rsidR="005F78FC" w:rsidRDefault="00B42EF3">
      <w:r>
        <w:t>A package is permitted to contain zero or one Worksheet Sort Map part for each worksheet, and that part shall be the target of an implicit relationship from the Worksheet part ("</w:t>
      </w:r>
      <w:hyperlink r:id="rId327">
        <w:r>
          <w:rPr>
            <w:rStyle w:val="Hyperlink"/>
          </w:rPr>
          <w:t>[ISO/IEC-29500-1]</w:t>
        </w:r>
      </w:hyperlink>
      <w:r>
        <w:t xml:space="preserve"> §12.3.24").</w:t>
      </w:r>
    </w:p>
    <w:p w:rsidR="005F78FC" w:rsidRDefault="00B42EF3">
      <w:r>
        <w:t>[Example: The following Worksheet part-relationship item contains a relationship to the Worksheet Sort Map part, which is stored in the ZIP item wsSortMap1.xml:</w:t>
      </w:r>
    </w:p>
    <w:p w:rsidR="005F78FC" w:rsidRDefault="00B42EF3">
      <w:pPr>
        <w:pStyle w:val="Code"/>
      </w:pPr>
      <w:r>
        <w:t>&lt;Relationships xmlns="…"&gt;</w:t>
      </w:r>
    </w:p>
    <w:p w:rsidR="005F78FC" w:rsidRDefault="00B42EF3">
      <w:pPr>
        <w:pStyle w:val="Code"/>
      </w:pPr>
      <w:r>
        <w:t xml:space="preserve">  &lt;Relationship Id="rId1" </w:t>
      </w:r>
    </w:p>
    <w:p w:rsidR="005F78FC" w:rsidRDefault="00B42EF3">
      <w:pPr>
        <w:pStyle w:val="Code"/>
      </w:pPr>
      <w:r>
        <w:t xml:space="preserve">    Type="http://…/wsSortMap" Target="wsSortMap1.xml"/&gt;</w:t>
      </w:r>
    </w:p>
    <w:p w:rsidR="005F78FC" w:rsidRDefault="00B42EF3">
      <w:pPr>
        <w:pStyle w:val="Code"/>
      </w:pPr>
      <w:r>
        <w:t>&lt;/Relationships&gt;</w:t>
      </w:r>
    </w:p>
    <w:p w:rsidR="005F78FC" w:rsidRDefault="00B42EF3">
      <w:r>
        <w:t>end example]</w:t>
      </w:r>
    </w:p>
    <w:p w:rsidR="005F78FC" w:rsidRDefault="00B42EF3">
      <w:r>
        <w:t xml:space="preserve">The root element for a part of this content type shall be </w:t>
      </w:r>
      <w:r>
        <w:rPr>
          <w:b/>
        </w:rPr>
        <w:t>worksheetSortMap</w:t>
      </w:r>
      <w:r>
        <w:t>.</w:t>
      </w:r>
    </w:p>
    <w:p w:rsidR="005F78FC" w:rsidRDefault="00B42EF3">
      <w:r>
        <w:t>[Example: This Worksheet Sort Map part results from a row sort on a range containing 3 rows:</w:t>
      </w:r>
    </w:p>
    <w:p w:rsidR="005F78FC" w:rsidRDefault="00B42EF3">
      <w:pPr>
        <w:pStyle w:val="Code"/>
      </w:pPr>
      <w:r>
        <w:t>&lt;worksheetSortMap xmlns:st="…"&gt;</w:t>
      </w:r>
    </w:p>
    <w:p w:rsidR="005F78FC" w:rsidRDefault="00B42EF3">
      <w:pPr>
        <w:pStyle w:val="Code"/>
      </w:pPr>
      <w:r>
        <w:t xml:space="preserve">  &lt;rowSortMap ref="A1:XFD3" count="3"&gt;</w:t>
      </w:r>
    </w:p>
    <w:p w:rsidR="005F78FC" w:rsidRDefault="00B42EF3">
      <w:pPr>
        <w:pStyle w:val="Code"/>
      </w:pPr>
      <w:r>
        <w:t xml:space="preserve">    &lt;row newVal="0" oldVal="1"/&gt;</w:t>
      </w:r>
    </w:p>
    <w:p w:rsidR="005F78FC" w:rsidRDefault="00B42EF3">
      <w:pPr>
        <w:pStyle w:val="Code"/>
      </w:pPr>
      <w:r>
        <w:t xml:space="preserve">    &lt;row newVal="1" oldVal="2"/&gt;</w:t>
      </w:r>
    </w:p>
    <w:p w:rsidR="005F78FC" w:rsidRDefault="00B42EF3">
      <w:pPr>
        <w:pStyle w:val="Code"/>
      </w:pPr>
      <w:r>
        <w:t xml:space="preserve">    &lt;row newVal="2" oldVal="0"/&gt;</w:t>
      </w:r>
    </w:p>
    <w:p w:rsidR="005F78FC" w:rsidRDefault="00B42EF3">
      <w:pPr>
        <w:pStyle w:val="Code"/>
      </w:pPr>
      <w:r>
        <w:t xml:space="preserve">  &lt;/rowSortMap&gt;</w:t>
      </w:r>
    </w:p>
    <w:p w:rsidR="005F78FC" w:rsidRDefault="00B42EF3">
      <w:pPr>
        <w:pStyle w:val="Code"/>
      </w:pPr>
      <w:r>
        <w:t>&lt;/worksheetSortMap&gt;</w:t>
      </w:r>
    </w:p>
    <w:p w:rsidR="005F78FC" w:rsidRDefault="00B42EF3">
      <w:r>
        <w:t>end example]</w:t>
      </w:r>
    </w:p>
    <w:p w:rsidR="005F78FC" w:rsidRDefault="00B42EF3">
      <w:r>
        <w:t>A Worksheet Sort Map part shall be lo</w:t>
      </w:r>
      <w:r>
        <w:t xml:space="preserve">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5F78FC" w:rsidRDefault="00B42EF3">
      <w:r>
        <w:t>A Worksheet Sort Map part shall not have implicit or explicit relationships to any part defined b</w:t>
      </w:r>
      <w:r>
        <w:t xml:space="preserve">y Office Open XML File Formats </w:t>
      </w:r>
      <w:hyperlink r:id="rId328">
        <w:r>
          <w:rPr>
            <w:rStyle w:val="Hyperlink"/>
          </w:rPr>
          <w:t>[ISO/IEC29500:2012]</w:t>
        </w:r>
      </w:hyperlink>
      <w:r>
        <w:t xml:space="preserve">. </w:t>
      </w:r>
    </w:p>
    <w:p w:rsidR="005F78FC" w:rsidRDefault="00B42EF3">
      <w:pPr>
        <w:pStyle w:val="Heading3"/>
      </w:pPr>
      <w:bookmarkStart w:id="3977" w:name="section_a24b67311ed74c89ab5828431df113ee"/>
      <w:bookmarkStart w:id="3978" w:name="_Toc69879761"/>
      <w:r>
        <w:t>Microsoft Office Excel Sortmap</w:t>
      </w:r>
      <w:bookmarkEnd w:id="3977"/>
      <w:bookmarkEnd w:id="3978"/>
      <w:r>
        <w:fldChar w:fldCharType="begin"/>
      </w:r>
      <w:r>
        <w:instrText xml:space="preserve"> XE "Microsoft Office Excel Sortmap" </w:instrText>
      </w:r>
      <w:r>
        <w:fldChar w:fldCharType="end"/>
      </w:r>
    </w:p>
    <w:p w:rsidR="005F78FC" w:rsidRDefault="00B42EF3">
      <w:r>
        <w:t>This part specifies a Sort Map used by Excel to recalculate a share</w:t>
      </w:r>
      <w:r>
        <w:t>d workbook. This part is present only in files created by Excel SP1 and later.</w:t>
      </w:r>
    </w:p>
    <w:p w:rsidR="005F78FC" w:rsidRDefault="00B42EF3">
      <w:pPr>
        <w:pStyle w:val="Heading4"/>
      </w:pPr>
      <w:bookmarkStart w:id="3979" w:name="section_e69cb44829e64c02bc6be920b0c46513"/>
      <w:bookmarkStart w:id="3980" w:name="_Toc69879762"/>
      <w:r>
        <w:t>Sortmap Elements</w:t>
      </w:r>
      <w:bookmarkEnd w:id="3979"/>
      <w:bookmarkEnd w:id="3980"/>
      <w:r>
        <w:fldChar w:fldCharType="begin"/>
      </w:r>
      <w:r>
        <w:instrText xml:space="preserve"> XE "Sortmap Elements" </w:instrText>
      </w:r>
      <w:r>
        <w:fldChar w:fldCharType="end"/>
      </w:r>
    </w:p>
    <w:p w:rsidR="005F78FC" w:rsidRDefault="00B42EF3">
      <w:r>
        <w:t xml:space="preserve">This subclause specifies the elements and simple types that comprise the Sort Map. </w:t>
      </w:r>
    </w:p>
    <w:p w:rsidR="005F78FC" w:rsidRDefault="00B42EF3">
      <w:r>
        <w:t>A sort map is used in the context of a shared workb</w:t>
      </w:r>
      <w:r>
        <w:t>ook to record the sort order of a range of cells. This information is used to correctly update cells and formulas that depend on the sort order when revision information is applied. There is one sort map per worksheet.</w:t>
      </w:r>
    </w:p>
    <w:p w:rsidR="005F78FC" w:rsidRDefault="00B42EF3">
      <w:r>
        <w:t>The sort map consists of two componen</w:t>
      </w:r>
      <w:r>
        <w:t>ts:  The row sort map and the column sort map. The row sort map contains a list of row indices that need to be adjusted when revision information is applied. The row sort map is created when a range of cells is sorted top down or bottom up. The column sort</w:t>
      </w:r>
      <w:r>
        <w:t xml:space="preserve"> map contains a list of column indices that need to be adjusted when revision information is applied. The column sort map is created when a range of cells is sorted left to right or right to left.</w:t>
      </w:r>
    </w:p>
    <w:p w:rsidR="005F78FC" w:rsidRDefault="00B42EF3">
      <w:r>
        <w:t>[Example: Consider the following shared workbook:</w:t>
      </w:r>
    </w:p>
    <w:p w:rsidR="005F78FC" w:rsidRDefault="00B42EF3">
      <w:r>
        <w:rPr>
          <w:noProof/>
        </w:rPr>
        <w:lastRenderedPageBreak/>
        <w:drawing>
          <wp:inline distT="0" distB="0" distL="0" distR="0">
            <wp:extent cx="1428750" cy="1085850"/>
            <wp:effectExtent l="0" t="0" r="0" b="0"/>
            <wp:docPr id="342015725" name="Picture 1" descr="Table showing 4 unsorted rows of data in one column. Cell A2 contains number 5, A3 contains number 6, A4 contains number 7, A5 contains number 8" title="Table showing 4 unsorted rows of data in one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82bd3cf-0000-0000-0000-000000000000" descr="Table showing 4 unsorted rows of data in one column. Cell A2 contains number 5, A3 contains number 6, A4 contains number 7, A5 contains number 8" title="Table showing 4 unsorted rows of data in one column"/>
                    <pic:cNvPicPr>
                      <a:picLocks noChangeAspect="1" noChangeArrowheads="1"/>
                    </pic:cNvPicPr>
                  </pic:nvPicPr>
                  <pic:blipFill>
                    <a:blip r:embed="rId329" cstate="print"/>
                    <a:srcRect/>
                    <a:stretch>
                      <a:fillRect/>
                    </a:stretch>
                  </pic:blipFill>
                  <pic:spPr bwMode="auto">
                    <a:xfrm>
                      <a:off x="0" y="0"/>
                      <a:ext cx="1428750" cy="1085850"/>
                    </a:xfrm>
                    <a:prstGeom prst="rect">
                      <a:avLst/>
                    </a:prstGeom>
                    <a:noFill/>
                    <a:ln w="9525">
                      <a:noFill/>
                      <a:miter lim="800000"/>
                      <a:headEnd/>
                      <a:tailEnd/>
                    </a:ln>
                  </pic:spPr>
                </pic:pic>
              </a:graphicData>
            </a:graphic>
          </wp:inline>
        </w:drawing>
      </w:r>
    </w:p>
    <w:p w:rsidR="005F78FC" w:rsidRDefault="00B42EF3">
      <w:r>
        <w:t xml:space="preserve">The </w:t>
      </w:r>
      <w:r>
        <w:t>worksheet contains four rows of data. Once the data is sorted in descending order, the worksheet looks as follows:</w:t>
      </w:r>
    </w:p>
    <w:p w:rsidR="005F78FC" w:rsidRDefault="00B42EF3">
      <w:r>
        <w:rPr>
          <w:noProof/>
        </w:rPr>
        <w:drawing>
          <wp:inline distT="0" distB="0" distL="0" distR="0">
            <wp:extent cx="1485900" cy="1095375"/>
            <wp:effectExtent l="0" t="0" r="0" b="0"/>
            <wp:docPr id="342015726" name="Picture 1" descr="Table with 4 rows of data in one column sorted descending. Cell A2 contains number 8, cell A3 contains number 7, cell A4 contains num er 6, cell A6 contains number 5" title="Table with 4 rows of data in one column sorted desc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02231a0-0000-0000-0000-000000000000" descr="Table with 4 rows of data in one column sorted descending. Cell A2 contains number 8, cell A3 contains number 7, cell A4 contains num er 6, cell A6 contains number 5" title="Table with 4 rows of data in one column sorted descending"/>
                    <pic:cNvPicPr>
                      <a:picLocks noChangeAspect="1" noChangeArrowheads="1"/>
                    </pic:cNvPicPr>
                  </pic:nvPicPr>
                  <pic:blipFill>
                    <a:blip r:embed="rId330" cstate="print"/>
                    <a:srcRect/>
                    <a:stretch>
                      <a:fillRect/>
                    </a:stretch>
                  </pic:blipFill>
                  <pic:spPr bwMode="auto">
                    <a:xfrm>
                      <a:off x="0" y="0"/>
                      <a:ext cx="1485900" cy="1095375"/>
                    </a:xfrm>
                    <a:prstGeom prst="rect">
                      <a:avLst/>
                    </a:prstGeom>
                    <a:noFill/>
                    <a:ln w="9525">
                      <a:noFill/>
                      <a:miter lim="800000"/>
                      <a:headEnd/>
                      <a:tailEnd/>
                    </a:ln>
                  </pic:spPr>
                </pic:pic>
              </a:graphicData>
            </a:graphic>
          </wp:inline>
        </w:drawing>
      </w:r>
    </w:p>
    <w:p w:rsidR="005F78FC" w:rsidRDefault="00B42EF3">
      <w:r>
        <w:t>When this worksheet is saved, the following sort map should be created and saved to the file:</w:t>
      </w:r>
    </w:p>
    <w:p w:rsidR="005F78FC" w:rsidRDefault="00B42EF3">
      <w:pPr>
        <w:pStyle w:val="Code"/>
      </w:pPr>
      <w:r>
        <w:t xml:space="preserve">&lt;worksheetSortMap </w:t>
      </w:r>
      <w:r>
        <w:t>xmlns="http://schemas.microsoft.com/office/excel/2006/main"&gt;</w:t>
      </w:r>
    </w:p>
    <w:p w:rsidR="005F78FC" w:rsidRDefault="00B42EF3">
      <w:pPr>
        <w:pStyle w:val="Code"/>
      </w:pPr>
      <w:r>
        <w:t xml:space="preserve">   &lt;rowSortMap ref="A2:XFD5" count="4"&gt;</w:t>
      </w:r>
    </w:p>
    <w:p w:rsidR="005F78FC" w:rsidRDefault="00B42EF3">
      <w:pPr>
        <w:pStyle w:val="Code"/>
      </w:pPr>
      <w:r>
        <w:t xml:space="preserve">      &lt;row newVal="1" oldVal="4"/&gt;</w:t>
      </w:r>
    </w:p>
    <w:p w:rsidR="005F78FC" w:rsidRDefault="00B42EF3">
      <w:pPr>
        <w:pStyle w:val="Code"/>
      </w:pPr>
      <w:r>
        <w:t xml:space="preserve">      &lt;row newVal="2" oldVal="3"/&gt;</w:t>
      </w:r>
    </w:p>
    <w:p w:rsidR="005F78FC" w:rsidRDefault="00B42EF3">
      <w:pPr>
        <w:pStyle w:val="Code"/>
      </w:pPr>
      <w:r>
        <w:t xml:space="preserve">      &lt;row newVal="3" oldVal="2"/&gt;</w:t>
      </w:r>
    </w:p>
    <w:p w:rsidR="005F78FC" w:rsidRDefault="00B42EF3">
      <w:pPr>
        <w:pStyle w:val="Code"/>
      </w:pPr>
      <w:r>
        <w:t xml:space="preserve">      &lt;row newVal="4" oldVal="1"/&gt;</w:t>
      </w:r>
    </w:p>
    <w:p w:rsidR="005F78FC" w:rsidRDefault="00B42EF3">
      <w:pPr>
        <w:pStyle w:val="Code"/>
      </w:pPr>
      <w:r>
        <w:t xml:space="preserve">   &lt;/rowSortMap</w:t>
      </w:r>
      <w:r>
        <w:t>&gt;</w:t>
      </w:r>
    </w:p>
    <w:p w:rsidR="005F78FC" w:rsidRDefault="00B42EF3">
      <w:pPr>
        <w:pStyle w:val="Code"/>
      </w:pPr>
      <w:r>
        <w:t>&lt;/worksheetSortMap&gt;</w:t>
      </w:r>
    </w:p>
    <w:p w:rsidR="005F78FC" w:rsidRDefault="00B42EF3">
      <w:r>
        <w:t>In the context of this example, the sort map implies that the contents of the second row should be replaced with the contents of the fifth row; contents of the third row should be replaced with the contents of the fourth row; and so o</w:t>
      </w:r>
      <w:r>
        <w:t xml:space="preserve">n. </w:t>
      </w:r>
    </w:p>
    <w:p w:rsidR="005F78FC" w:rsidRDefault="00B42EF3">
      <w:r>
        <w:t>Now consider the following worksheet:</w:t>
      </w:r>
    </w:p>
    <w:p w:rsidR="005F78FC" w:rsidRDefault="00B42EF3">
      <w:r>
        <w:rPr>
          <w:noProof/>
        </w:rPr>
        <w:drawing>
          <wp:inline distT="0" distB="0" distL="0" distR="0">
            <wp:extent cx="2705100" cy="752475"/>
            <wp:effectExtent l="0" t="0" r="0" b="0"/>
            <wp:docPr id="342015727" name="Picture 1" descr="Table with 4 columns of data in one row. Cell A2 contains number 5, cell B2 contains number 6, cell C3 contains number 7, cell D2 contains number 8" title="Table with 4 columns of unsorted data in one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d7abd05-0000-0000-0000-000000000000" descr="Table with 4 columns of data in one row. Cell A2 contains number 5, cell B2 contains number 6, cell C3 contains number 7, cell D2 contains number 8" title="Table with 4 columns of unsorted data in one row"/>
                    <pic:cNvPicPr>
                      <a:picLocks noChangeAspect="1" noChangeArrowheads="1"/>
                    </pic:cNvPicPr>
                  </pic:nvPicPr>
                  <pic:blipFill>
                    <a:blip r:embed="rId331" cstate="print"/>
                    <a:srcRect/>
                    <a:stretch>
                      <a:fillRect/>
                    </a:stretch>
                  </pic:blipFill>
                  <pic:spPr bwMode="auto">
                    <a:xfrm>
                      <a:off x="0" y="0"/>
                      <a:ext cx="2705100" cy="752475"/>
                    </a:xfrm>
                    <a:prstGeom prst="rect">
                      <a:avLst/>
                    </a:prstGeom>
                    <a:noFill/>
                    <a:ln w="9525">
                      <a:noFill/>
                      <a:miter lim="800000"/>
                      <a:headEnd/>
                      <a:tailEnd/>
                    </a:ln>
                  </pic:spPr>
                </pic:pic>
              </a:graphicData>
            </a:graphic>
          </wp:inline>
        </w:drawing>
      </w:r>
    </w:p>
    <w:p w:rsidR="005F78FC" w:rsidRDefault="00B42EF3">
      <w:r>
        <w:t>This worksheet contains four columns of data. Once the data is sorted left to right in descending order, the worksheet looks as follows:</w:t>
      </w:r>
    </w:p>
    <w:p w:rsidR="005F78FC" w:rsidRDefault="00B42EF3">
      <w:r>
        <w:rPr>
          <w:noProof/>
        </w:rPr>
        <w:drawing>
          <wp:inline distT="0" distB="0" distL="0" distR="0">
            <wp:extent cx="2695575" cy="742950"/>
            <wp:effectExtent l="0" t="0" r="0" b="0"/>
            <wp:docPr id="342015728" name="Picture 1" descr="Table with 4 columns of data in one row sorted descending. Cell A2 contains number 8, cell B2 contains number 7, cell C2 contains number 6, cell D2 contains number 5" title="Table with 4 columns of data in one row sorted desc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03575fe-0000-0000-0000-000000000000" descr="Table with 4 columns of data in one row sorted descending. Cell A2 contains number 8, cell B2 contains number 7, cell C2 contains number 6, cell D2 contains number 5" title="Table with 4 columns of data in one row sorted descending"/>
                    <pic:cNvPicPr>
                      <a:picLocks noChangeAspect="1" noChangeArrowheads="1"/>
                    </pic:cNvPicPr>
                  </pic:nvPicPr>
                  <pic:blipFill>
                    <a:blip r:embed="rId332" cstate="print"/>
                    <a:srcRect/>
                    <a:stretch>
                      <a:fillRect/>
                    </a:stretch>
                  </pic:blipFill>
                  <pic:spPr bwMode="auto">
                    <a:xfrm>
                      <a:off x="0" y="0"/>
                      <a:ext cx="2695575" cy="742950"/>
                    </a:xfrm>
                    <a:prstGeom prst="rect">
                      <a:avLst/>
                    </a:prstGeom>
                    <a:noFill/>
                    <a:ln w="9525">
                      <a:noFill/>
                      <a:miter lim="800000"/>
                      <a:headEnd/>
                      <a:tailEnd/>
                    </a:ln>
                  </pic:spPr>
                </pic:pic>
              </a:graphicData>
            </a:graphic>
          </wp:inline>
        </w:drawing>
      </w:r>
    </w:p>
    <w:p w:rsidR="005F78FC" w:rsidRDefault="00B42EF3">
      <w:r>
        <w:t>When this worksheet is saved, the following sort map should be created an</w:t>
      </w:r>
      <w:r>
        <w:t>d saved to the file:</w:t>
      </w:r>
    </w:p>
    <w:p w:rsidR="005F78FC" w:rsidRDefault="00B42EF3">
      <w:pPr>
        <w:pStyle w:val="Code"/>
      </w:pPr>
      <w:r>
        <w:t>&lt;worksheetSortMap xmlns="http://schemas.microsoft.com/office/excel/2006/main"&gt;</w:t>
      </w:r>
    </w:p>
    <w:p w:rsidR="005F78FC" w:rsidRDefault="00B42EF3">
      <w:pPr>
        <w:pStyle w:val="Code"/>
      </w:pPr>
      <w:r>
        <w:t xml:space="preserve">   &lt;colSortMap ref="A1:D1048576" count="4"&gt;</w:t>
      </w:r>
    </w:p>
    <w:p w:rsidR="005F78FC" w:rsidRDefault="00B42EF3">
      <w:pPr>
        <w:pStyle w:val="Code"/>
      </w:pPr>
      <w:r>
        <w:t xml:space="preserve">      &lt;col newVal="0" oldVal="3"/&gt;</w:t>
      </w:r>
    </w:p>
    <w:p w:rsidR="005F78FC" w:rsidRDefault="00B42EF3">
      <w:pPr>
        <w:pStyle w:val="Code"/>
      </w:pPr>
      <w:r>
        <w:t xml:space="preserve">      &lt;col newVal="1" oldVal="2"/&gt;</w:t>
      </w:r>
    </w:p>
    <w:p w:rsidR="005F78FC" w:rsidRDefault="00B42EF3">
      <w:pPr>
        <w:pStyle w:val="Code"/>
      </w:pPr>
      <w:r>
        <w:lastRenderedPageBreak/>
        <w:t xml:space="preserve">      &lt;col newVal="2" oldVal="1"/&gt;</w:t>
      </w:r>
    </w:p>
    <w:p w:rsidR="005F78FC" w:rsidRDefault="00B42EF3">
      <w:pPr>
        <w:pStyle w:val="Code"/>
      </w:pPr>
      <w:r>
        <w:t xml:space="preserve">      &lt;</w:t>
      </w:r>
      <w:r>
        <w:t>col newVal="3" oldVal="0"/&gt;</w:t>
      </w:r>
    </w:p>
    <w:p w:rsidR="005F78FC" w:rsidRDefault="00B42EF3">
      <w:pPr>
        <w:pStyle w:val="Code"/>
      </w:pPr>
      <w:r>
        <w:t xml:space="preserve">   &lt;/colSortMap&gt;</w:t>
      </w:r>
    </w:p>
    <w:p w:rsidR="005F78FC" w:rsidRDefault="00B42EF3">
      <w:pPr>
        <w:pStyle w:val="Code"/>
      </w:pPr>
      <w:r>
        <w:t>&lt;/worksheetSortMap&gt;</w:t>
      </w:r>
    </w:p>
    <w:p w:rsidR="005F78FC" w:rsidRDefault="00B42EF3">
      <w:r>
        <w:t>In the context of this example, the sort map implies that the contents of the first column should be replaced with the contents of the fourth column; contents of the second column should be r</w:t>
      </w:r>
      <w:r>
        <w:t>eplaced with the contents of the third column; and so on.</w:t>
      </w:r>
    </w:p>
    <w:p w:rsidR="005F78FC" w:rsidRDefault="00B42EF3">
      <w:r>
        <w:t>End Example]</w:t>
      </w:r>
    </w:p>
    <w:p w:rsidR="005F78FC" w:rsidRDefault="00B42EF3">
      <w:pPr>
        <w:pStyle w:val="Heading5"/>
      </w:pPr>
      <w:bookmarkStart w:id="3981" w:name="section_c8cc77d990164b81bc5c3afbeb39d0c9"/>
      <w:bookmarkStart w:id="3982" w:name="_Toc69879763"/>
      <w:r>
        <w:t>col (Column)</w:t>
      </w:r>
      <w:bookmarkEnd w:id="3981"/>
      <w:bookmarkEnd w:id="3982"/>
      <w:r>
        <w:fldChar w:fldCharType="begin"/>
      </w:r>
      <w:r>
        <w:instrText xml:space="preserve"> XE "col (Column)" </w:instrText>
      </w:r>
      <w:r>
        <w:fldChar w:fldCharType="end"/>
      </w:r>
    </w:p>
    <w:p w:rsidR="005F78FC" w:rsidRDefault="00B42EF3">
      <w:r>
        <w:t>This element represents a single column mapping in the sort map.</w:t>
      </w:r>
    </w:p>
    <w:tbl>
      <w:tblPr>
        <w:tblStyle w:val="Table-ShadedHeader"/>
        <w:tblW w:w="0" w:type="auto"/>
        <w:tblLook w:val="04A0" w:firstRow="1" w:lastRow="0" w:firstColumn="1" w:lastColumn="0" w:noHBand="0" w:noVBand="1"/>
      </w:tblPr>
      <w:tblGrid>
        <w:gridCol w:w="3287"/>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Parent Elements</w:t>
            </w:r>
          </w:p>
        </w:tc>
      </w:tr>
      <w:tr w:rsidR="005F78FC" w:rsidTr="005F78FC">
        <w:tc>
          <w:tcPr>
            <w:tcW w:w="0" w:type="auto"/>
            <w:vAlign w:val="center"/>
          </w:tcPr>
          <w:p w:rsidR="005F78FC" w:rsidRDefault="00B42EF3">
            <w:pPr>
              <w:pStyle w:val="TableBodyText"/>
            </w:pPr>
            <w:r>
              <w:rPr>
                <w:b/>
              </w:rPr>
              <w:t>colSortMap</w:t>
            </w:r>
            <w:r>
              <w:t xml:space="preserve"> (§</w:t>
            </w:r>
            <w:hyperlink w:anchor="Section_73bbbbb0df814eccbc7a3e365fbe5fce">
              <w:r>
                <w:rPr>
                  <w:rStyle w:val="Hyperlink"/>
                </w:rPr>
                <w:t>3.2.2.1.2, colSortMap</w:t>
              </w:r>
            </w:hyperlink>
            <w:r>
              <w:t>)</w:t>
            </w:r>
          </w:p>
        </w:tc>
      </w:tr>
    </w:tbl>
    <w:p w:rsidR="005F78FC" w:rsidRDefault="005F78FC"/>
    <w:p w:rsidR="005F78FC" w:rsidRDefault="005F78FC"/>
    <w:tbl>
      <w:tblPr>
        <w:tblStyle w:val="Table-ShadedHeader"/>
        <w:tblW w:w="0" w:type="auto"/>
        <w:tblLook w:val="04A0" w:firstRow="1" w:lastRow="0" w:firstColumn="1" w:lastColumn="0" w:noHBand="0" w:noVBand="1"/>
      </w:tblPr>
      <w:tblGrid>
        <w:gridCol w:w="1900"/>
        <w:gridCol w:w="7575"/>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Attributes</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rPr>
                <w:b/>
              </w:rPr>
              <w:t>newVal</w:t>
            </w:r>
            <w:r>
              <w:t xml:space="preserve"> (New Value)</w:t>
            </w:r>
          </w:p>
        </w:tc>
        <w:tc>
          <w:tcPr>
            <w:tcW w:w="0" w:type="auto"/>
            <w:vAlign w:val="center"/>
          </w:tcPr>
          <w:p w:rsidR="005F78FC" w:rsidRDefault="00B42EF3">
            <w:pPr>
              <w:pStyle w:val="TableBodyText"/>
            </w:pPr>
            <w:r>
              <w:t>Specifies the zero-based index of the column or row that contains data after a sort operation.</w:t>
            </w:r>
          </w:p>
          <w:p w:rsidR="005F78FC" w:rsidRDefault="005F78FC">
            <w:pPr>
              <w:pStyle w:val="TableBodyText"/>
            </w:pPr>
          </w:p>
          <w:p w:rsidR="005F78FC" w:rsidRDefault="00B42EF3">
            <w:pPr>
              <w:pStyle w:val="TableBodyText"/>
            </w:pPr>
            <w:r>
              <w:t xml:space="preserve">In the context of a </w:t>
            </w:r>
            <w:r>
              <w:rPr>
                <w:b/>
              </w:rPr>
              <w:t>row</w:t>
            </w:r>
            <w:r>
              <w:t xml:space="preserve"> elemen</w:t>
            </w:r>
            <w:r>
              <w:t xml:space="preserve">t, the value of this attribute shall be less than </w:t>
            </w:r>
            <w:r>
              <w:rPr>
                <w:i/>
              </w:rPr>
              <w:t>1048576</w:t>
            </w:r>
            <w:r>
              <w:t>.</w:t>
            </w:r>
          </w:p>
          <w:p w:rsidR="005F78FC" w:rsidRDefault="005F78FC">
            <w:pPr>
              <w:pStyle w:val="TableBodyText"/>
            </w:pPr>
          </w:p>
          <w:p w:rsidR="005F78FC" w:rsidRDefault="00B42EF3">
            <w:pPr>
              <w:pStyle w:val="TableBodyText"/>
            </w:pPr>
            <w:r>
              <w:t xml:space="preserve">In the context of a </w:t>
            </w:r>
            <w:r>
              <w:rPr>
                <w:b/>
              </w:rPr>
              <w:t>col</w:t>
            </w:r>
            <w:r>
              <w:t xml:space="preserve"> element, the value of this attribute shall be less than </w:t>
            </w:r>
            <w:r>
              <w:rPr>
                <w:i/>
              </w:rPr>
              <w:t>16384</w:t>
            </w:r>
            <w:r>
              <w:t>.</w:t>
            </w:r>
          </w:p>
          <w:p w:rsidR="005F78FC" w:rsidRDefault="005F78FC">
            <w:pPr>
              <w:pStyle w:val="TableBodyText"/>
            </w:pPr>
          </w:p>
          <w:p w:rsidR="005F78FC" w:rsidRDefault="00B42EF3">
            <w:pPr>
              <w:pStyle w:val="TableBodyText"/>
            </w:pPr>
            <w:r>
              <w:t>The possible values for this attribute are defined by the XML Schema unsignedInt datatype.</w:t>
            </w:r>
          </w:p>
        </w:tc>
      </w:tr>
      <w:tr w:rsidR="005F78FC" w:rsidTr="005F78FC">
        <w:tc>
          <w:tcPr>
            <w:tcW w:w="0" w:type="auto"/>
            <w:vAlign w:val="center"/>
          </w:tcPr>
          <w:p w:rsidR="005F78FC" w:rsidRDefault="00B42EF3">
            <w:pPr>
              <w:pStyle w:val="TableBodyText"/>
            </w:pPr>
            <w:r>
              <w:rPr>
                <w:b/>
              </w:rPr>
              <w:t>oldVal</w:t>
            </w:r>
            <w:r>
              <w:t xml:space="preserve"> (Old Value)</w:t>
            </w:r>
          </w:p>
        </w:tc>
        <w:tc>
          <w:tcPr>
            <w:tcW w:w="0" w:type="auto"/>
            <w:vAlign w:val="center"/>
          </w:tcPr>
          <w:p w:rsidR="005F78FC" w:rsidRDefault="00B42EF3">
            <w:pPr>
              <w:pStyle w:val="TableBodyText"/>
            </w:pPr>
            <w:r>
              <w:t>Specifies the zero-based index of the column or row that contains data before a sort operation.</w:t>
            </w:r>
          </w:p>
          <w:p w:rsidR="005F78FC" w:rsidRDefault="005F78FC">
            <w:pPr>
              <w:pStyle w:val="TableBodyText"/>
            </w:pPr>
          </w:p>
          <w:p w:rsidR="005F78FC" w:rsidRDefault="00B42EF3">
            <w:pPr>
              <w:pStyle w:val="TableBodyText"/>
            </w:pPr>
            <w:r>
              <w:t xml:space="preserve">In the context of a </w:t>
            </w:r>
            <w:r>
              <w:rPr>
                <w:b/>
              </w:rPr>
              <w:t>row</w:t>
            </w:r>
            <w:r>
              <w:t xml:space="preserve"> element, the value of this attribute shall be less than </w:t>
            </w:r>
            <w:r>
              <w:rPr>
                <w:i/>
              </w:rPr>
              <w:t>1048576</w:t>
            </w:r>
            <w:r>
              <w:t>.</w:t>
            </w:r>
          </w:p>
          <w:p w:rsidR="005F78FC" w:rsidRDefault="005F78FC">
            <w:pPr>
              <w:pStyle w:val="TableBodyText"/>
            </w:pPr>
          </w:p>
          <w:p w:rsidR="005F78FC" w:rsidRDefault="00B42EF3">
            <w:pPr>
              <w:pStyle w:val="TableBodyText"/>
            </w:pPr>
            <w:r>
              <w:t xml:space="preserve">In the context of a </w:t>
            </w:r>
            <w:r>
              <w:rPr>
                <w:b/>
              </w:rPr>
              <w:t>col</w:t>
            </w:r>
            <w:r>
              <w:t xml:space="preserve"> element, the value of this attri</w:t>
            </w:r>
            <w:r>
              <w:t xml:space="preserve">bute shall be less than </w:t>
            </w:r>
            <w:r>
              <w:rPr>
                <w:i/>
              </w:rPr>
              <w:t>16384</w:t>
            </w:r>
            <w:r>
              <w:t>.</w:t>
            </w:r>
          </w:p>
          <w:p w:rsidR="005F78FC" w:rsidRDefault="005F78FC">
            <w:pPr>
              <w:pStyle w:val="TableBodyText"/>
            </w:pPr>
          </w:p>
          <w:p w:rsidR="005F78FC" w:rsidRDefault="00B42EF3">
            <w:pPr>
              <w:pStyle w:val="TableBodyText"/>
            </w:pPr>
            <w:r>
              <w:t>The possible values for this attribute are defined by the XML Schema unsignedInt datatype.</w:t>
            </w:r>
          </w:p>
        </w:tc>
      </w:tr>
    </w:tbl>
    <w:p w:rsidR="005F78FC" w:rsidRDefault="005F78FC"/>
    <w:p w:rsidR="005F78FC" w:rsidRDefault="00B42EF3">
      <w:r>
        <w:t>The following XML Schema fragment defines the contents of this element:</w:t>
      </w:r>
    </w:p>
    <w:p w:rsidR="005F78FC" w:rsidRDefault="00B42EF3">
      <w:pPr>
        <w:pStyle w:val="Code"/>
      </w:pPr>
      <w:r>
        <w:t>&lt;complexType name="CT_SortMapItem"&gt;</w:t>
      </w:r>
    </w:p>
    <w:p w:rsidR="005F78FC" w:rsidRDefault="00B42EF3">
      <w:pPr>
        <w:pStyle w:val="Code"/>
      </w:pPr>
      <w:r>
        <w:t xml:space="preserve">  &lt;attribute name="newV</w:t>
      </w:r>
      <w:r>
        <w:t>al" type="xsd:unsignedInt" use="required"/&gt;</w:t>
      </w:r>
    </w:p>
    <w:p w:rsidR="005F78FC" w:rsidRDefault="00B42EF3">
      <w:pPr>
        <w:pStyle w:val="Code"/>
      </w:pPr>
      <w:r>
        <w:t xml:space="preserve">  &lt;attribute name="oldVal" type="xsd:unsignedInt" use="required"/&gt;</w:t>
      </w:r>
    </w:p>
    <w:p w:rsidR="005F78FC" w:rsidRDefault="00B42EF3">
      <w:pPr>
        <w:pStyle w:val="Code"/>
      </w:pPr>
      <w:r>
        <w:t>&lt;/complexType&gt;</w:t>
      </w:r>
    </w:p>
    <w:p w:rsidR="005F78FC" w:rsidRDefault="00B42EF3">
      <w:pPr>
        <w:pStyle w:val="Heading5"/>
      </w:pPr>
      <w:bookmarkStart w:id="3983" w:name="section_73bbbbb0df814eccbc7a3e365fbe5fce"/>
      <w:bookmarkStart w:id="3984" w:name="_Toc69879764"/>
      <w:r>
        <w:t>colSortMap (Column Sort Map)</w:t>
      </w:r>
      <w:bookmarkEnd w:id="3983"/>
      <w:bookmarkEnd w:id="3984"/>
      <w:r>
        <w:fldChar w:fldCharType="begin"/>
      </w:r>
      <w:r>
        <w:instrText xml:space="preserve"> XE "colSortMap (Column Sort Map)" </w:instrText>
      </w:r>
      <w:r>
        <w:fldChar w:fldCharType="end"/>
      </w:r>
    </w:p>
    <w:p w:rsidR="005F78FC" w:rsidRDefault="00B42EF3">
      <w:r>
        <w:lastRenderedPageBreak/>
        <w:t xml:space="preserve">This element represents the list of column mappings of the sort </w:t>
      </w:r>
      <w:r>
        <w:t xml:space="preserve">map. </w:t>
      </w:r>
    </w:p>
    <w:tbl>
      <w:tblPr>
        <w:tblStyle w:val="Table-ShadedHeader"/>
        <w:tblW w:w="0" w:type="auto"/>
        <w:tblLook w:val="04A0" w:firstRow="1" w:lastRow="0" w:firstColumn="1" w:lastColumn="0" w:noHBand="0" w:noVBand="1"/>
      </w:tblPr>
      <w:tblGrid>
        <w:gridCol w:w="4581"/>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Parent Elements</w:t>
            </w:r>
          </w:p>
        </w:tc>
      </w:tr>
      <w:tr w:rsidR="005F78FC" w:rsidTr="005F78FC">
        <w:tc>
          <w:tcPr>
            <w:tcW w:w="0" w:type="auto"/>
            <w:vAlign w:val="center"/>
          </w:tcPr>
          <w:p w:rsidR="005F78FC" w:rsidRDefault="00B42EF3">
            <w:pPr>
              <w:pStyle w:val="TableBodyText"/>
            </w:pPr>
            <w:r>
              <w:rPr>
                <w:b/>
              </w:rPr>
              <w:t>worksheetSortMap</w:t>
            </w:r>
            <w:r>
              <w:t xml:space="preserve"> (§</w:t>
            </w:r>
            <w:hyperlink w:anchor="Section_04defc35b52c443181a649ed63fe943f">
              <w:r>
                <w:rPr>
                  <w:rStyle w:val="Hyperlink"/>
                </w:rPr>
                <w:t>3.2.2.1.5, worksheetSortMap</w:t>
              </w:r>
            </w:hyperlink>
            <w:r>
              <w:t>)</w:t>
            </w:r>
          </w:p>
        </w:tc>
      </w:tr>
    </w:tbl>
    <w:p w:rsidR="005F78FC" w:rsidRDefault="005F78FC"/>
    <w:p w:rsidR="005F78FC" w:rsidRDefault="005F78FC"/>
    <w:tbl>
      <w:tblPr>
        <w:tblStyle w:val="Table-ShadedHeader"/>
        <w:tblW w:w="0" w:type="auto"/>
        <w:tblLook w:val="04A0" w:firstRow="1" w:lastRow="0" w:firstColumn="1" w:lastColumn="0" w:noHBand="0" w:noVBand="1"/>
      </w:tblPr>
      <w:tblGrid>
        <w:gridCol w:w="1564"/>
        <w:gridCol w:w="1412"/>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Child Elements</w:t>
            </w:r>
          </w:p>
        </w:tc>
        <w:tc>
          <w:tcPr>
            <w:tcW w:w="0" w:type="auto"/>
            <w:vAlign w:val="center"/>
          </w:tcPr>
          <w:p w:rsidR="005F78FC" w:rsidRDefault="00B42EF3">
            <w:pPr>
              <w:pStyle w:val="TableHeaderText"/>
            </w:pPr>
            <w:r>
              <w:t>Subclause</w:t>
            </w:r>
          </w:p>
        </w:tc>
      </w:tr>
      <w:tr w:rsidR="005F78FC" w:rsidTr="005F78FC">
        <w:tc>
          <w:tcPr>
            <w:tcW w:w="0" w:type="auto"/>
            <w:vAlign w:val="center"/>
          </w:tcPr>
          <w:p w:rsidR="005F78FC" w:rsidRDefault="00B42EF3">
            <w:pPr>
              <w:pStyle w:val="TableBodyText"/>
            </w:pPr>
            <w:r>
              <w:rPr>
                <w:b/>
              </w:rPr>
              <w:t>col</w:t>
            </w:r>
            <w:r>
              <w:t xml:space="preserve"> (Column)</w:t>
            </w:r>
          </w:p>
        </w:tc>
        <w:tc>
          <w:tcPr>
            <w:tcW w:w="0" w:type="auto"/>
            <w:vAlign w:val="center"/>
          </w:tcPr>
          <w:p w:rsidR="005F78FC" w:rsidRDefault="00B42EF3">
            <w:pPr>
              <w:pStyle w:val="TableBodyText"/>
            </w:pPr>
            <w:r>
              <w:t>§</w:t>
            </w:r>
            <w:hyperlink w:anchor="Section_c8cc77d990164b81bc5c3afbeb39d0c9">
              <w:r>
                <w:rPr>
                  <w:rStyle w:val="Hyperlink"/>
                </w:rPr>
                <w:t>3.2.2.1.1, col</w:t>
              </w:r>
            </w:hyperlink>
          </w:p>
        </w:tc>
      </w:tr>
    </w:tbl>
    <w:p w:rsidR="005F78FC" w:rsidRDefault="005F78FC"/>
    <w:p w:rsidR="005F78FC" w:rsidRDefault="005F78FC"/>
    <w:tbl>
      <w:tblPr>
        <w:tblStyle w:val="Table-ShadedHeader"/>
        <w:tblW w:w="0" w:type="auto"/>
        <w:tblLook w:val="04A0" w:firstRow="1" w:lastRow="0" w:firstColumn="1" w:lastColumn="0" w:noHBand="0" w:noVBand="1"/>
      </w:tblPr>
      <w:tblGrid>
        <w:gridCol w:w="1417"/>
        <w:gridCol w:w="8058"/>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Attributes</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rPr>
                <w:b/>
              </w:rPr>
              <w:t>count</w:t>
            </w:r>
            <w:r>
              <w:t xml:space="preserve"> (Count)</w:t>
            </w:r>
          </w:p>
        </w:tc>
        <w:tc>
          <w:tcPr>
            <w:tcW w:w="0" w:type="auto"/>
            <w:vAlign w:val="center"/>
          </w:tcPr>
          <w:p w:rsidR="005F78FC" w:rsidRDefault="00B42EF3">
            <w:pPr>
              <w:pStyle w:val="TableBodyText"/>
            </w:pPr>
            <w:r>
              <w:t xml:space="preserve">Specifies the number of </w:t>
            </w:r>
            <w:r>
              <w:rPr>
                <w:b/>
              </w:rPr>
              <w:t>col</w:t>
            </w:r>
            <w:r>
              <w:t xml:space="preserve"> elements. The value of this attribute shall match the number of </w:t>
            </w:r>
            <w:r>
              <w:rPr>
                <w:b/>
              </w:rPr>
              <w:t>col</w:t>
            </w:r>
            <w:r>
              <w:t xml:space="preserve"> elements. </w:t>
            </w:r>
          </w:p>
          <w:p w:rsidR="005F78FC" w:rsidRDefault="005F78FC">
            <w:pPr>
              <w:pStyle w:val="TableBodyText"/>
            </w:pPr>
          </w:p>
          <w:p w:rsidR="005F78FC" w:rsidRDefault="00B42EF3">
            <w:pPr>
              <w:pStyle w:val="TableBodyText"/>
            </w:pPr>
            <w:r>
              <w:t>The possible values for this attribute are defined by the ST_SortMapCount simple type (§</w:t>
            </w:r>
            <w:hyperlink w:anchor="Section_7ed66a4ca69b4613b5fc70a7cd17e3ca">
              <w:r>
                <w:rPr>
                  <w:rStyle w:val="Hyperlink"/>
                </w:rPr>
                <w:t>3.2.2.2.1, ST_SortMapCount</w:t>
              </w:r>
            </w:hyperlink>
            <w:r>
              <w:t>).</w:t>
            </w:r>
          </w:p>
        </w:tc>
      </w:tr>
      <w:tr w:rsidR="005F78FC" w:rsidTr="005F78FC">
        <w:tc>
          <w:tcPr>
            <w:tcW w:w="0" w:type="auto"/>
            <w:vAlign w:val="center"/>
          </w:tcPr>
          <w:p w:rsidR="005F78FC" w:rsidRDefault="00B42EF3">
            <w:pPr>
              <w:pStyle w:val="TableBodyText"/>
            </w:pPr>
            <w:r>
              <w:rPr>
                <w:b/>
              </w:rPr>
              <w:t>ref</w:t>
            </w:r>
            <w:r>
              <w:t xml:space="preserve"> (Reference)</w:t>
            </w:r>
          </w:p>
        </w:tc>
        <w:tc>
          <w:tcPr>
            <w:tcW w:w="0" w:type="auto"/>
            <w:vAlign w:val="center"/>
          </w:tcPr>
          <w:p w:rsidR="005F78FC" w:rsidRDefault="00B42EF3">
            <w:pPr>
              <w:pStyle w:val="TableBodyText"/>
            </w:pPr>
            <w:r>
              <w:t>Specifies the row and column bounds of the sort map.</w:t>
            </w:r>
          </w:p>
          <w:p w:rsidR="005F78FC" w:rsidRDefault="005F78FC">
            <w:pPr>
              <w:pStyle w:val="TableBodyText"/>
            </w:pPr>
          </w:p>
          <w:p w:rsidR="005F78FC" w:rsidRDefault="00B42EF3">
            <w:pPr>
              <w:pStyle w:val="TableBodyText"/>
            </w:pPr>
            <w:r>
              <w:t>The possible values for this attribute are defined by the ST_Ref simple type ("</w:t>
            </w:r>
            <w:hyperlink r:id="rId333">
              <w:r>
                <w:rPr>
                  <w:rStyle w:val="Hyperlink"/>
                </w:rPr>
                <w:t>[ISO/IEC-29500-1]</w:t>
              </w:r>
            </w:hyperlink>
            <w:r>
              <w:t xml:space="preserve"> §18.18.62").</w:t>
            </w:r>
          </w:p>
        </w:tc>
      </w:tr>
    </w:tbl>
    <w:p w:rsidR="005F78FC" w:rsidRDefault="005F78FC"/>
    <w:p w:rsidR="005F78FC" w:rsidRDefault="00B42EF3">
      <w:r>
        <w:t>The following XML Schema fragment defines the contents of this element:</w:t>
      </w:r>
    </w:p>
    <w:p w:rsidR="005F78FC" w:rsidRDefault="00B42EF3">
      <w:pPr>
        <w:pStyle w:val="Code"/>
      </w:pPr>
      <w:r>
        <w:t>&lt;complexType name="CT_ColSortMap"&gt;</w:t>
      </w:r>
    </w:p>
    <w:p w:rsidR="005F78FC" w:rsidRDefault="00B42EF3">
      <w:pPr>
        <w:pStyle w:val="Code"/>
      </w:pPr>
      <w:r>
        <w:t xml:space="preserve">  &lt;sequence&gt;</w:t>
      </w:r>
    </w:p>
    <w:p w:rsidR="005F78FC" w:rsidRDefault="00B42EF3">
      <w:pPr>
        <w:pStyle w:val="Code"/>
      </w:pPr>
      <w:r>
        <w:t xml:space="preserve">    &lt;</w:t>
      </w:r>
      <w:r>
        <w:t>element name="col" type="CT_SortMapItem" minOccurs="1" maxOccurs="536870910"/&gt;</w:t>
      </w:r>
    </w:p>
    <w:p w:rsidR="005F78FC" w:rsidRDefault="00B42EF3">
      <w:pPr>
        <w:pStyle w:val="Code"/>
      </w:pPr>
      <w:r>
        <w:t xml:space="preserve">  &lt;/sequence&gt;</w:t>
      </w:r>
    </w:p>
    <w:p w:rsidR="005F78FC" w:rsidRDefault="00B42EF3">
      <w:pPr>
        <w:pStyle w:val="Code"/>
      </w:pPr>
      <w:r>
        <w:t xml:space="preserve">  &lt;attribute name="ref" type="x:ST_Ref" use="required"/&gt;</w:t>
      </w:r>
    </w:p>
    <w:p w:rsidR="005F78FC" w:rsidRDefault="00B42EF3">
      <w:pPr>
        <w:pStyle w:val="Code"/>
      </w:pPr>
      <w:r>
        <w:t xml:space="preserve">  &lt;attribute name="count" type="ST_SortMapCount" use="optional" default="20"/&gt;</w:t>
      </w:r>
    </w:p>
    <w:p w:rsidR="005F78FC" w:rsidRDefault="00B42EF3">
      <w:pPr>
        <w:pStyle w:val="Code"/>
      </w:pPr>
      <w:r>
        <w:t>&lt;/complexType&gt;</w:t>
      </w:r>
    </w:p>
    <w:p w:rsidR="005F78FC" w:rsidRDefault="00B42EF3">
      <w:pPr>
        <w:pStyle w:val="Heading5"/>
      </w:pPr>
      <w:bookmarkStart w:id="3985" w:name="section_4af995e554c94df0af2f9eeb39d61f58"/>
      <w:bookmarkStart w:id="3986" w:name="_Toc69879765"/>
      <w:r>
        <w:t>row (Row)</w:t>
      </w:r>
      <w:bookmarkEnd w:id="3985"/>
      <w:bookmarkEnd w:id="3986"/>
      <w:r>
        <w:fldChar w:fldCharType="begin"/>
      </w:r>
      <w:r>
        <w:instrText xml:space="preserve"> XE</w:instrText>
      </w:r>
      <w:r>
        <w:instrText xml:space="preserve"> "row (Row)" </w:instrText>
      </w:r>
      <w:r>
        <w:fldChar w:fldCharType="end"/>
      </w:r>
    </w:p>
    <w:p w:rsidR="005F78FC" w:rsidRDefault="00B42EF3">
      <w:r>
        <w:t>This element represents a single row mapping in the sort map.</w:t>
      </w:r>
    </w:p>
    <w:tbl>
      <w:tblPr>
        <w:tblStyle w:val="Table-ShadedHeader"/>
        <w:tblW w:w="0" w:type="auto"/>
        <w:tblLook w:val="04A0" w:firstRow="1" w:lastRow="0" w:firstColumn="1" w:lastColumn="0" w:noHBand="0" w:noVBand="1"/>
      </w:tblPr>
      <w:tblGrid>
        <w:gridCol w:w="3447"/>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Parent Elements</w:t>
            </w:r>
          </w:p>
        </w:tc>
      </w:tr>
      <w:tr w:rsidR="005F78FC" w:rsidTr="005F78FC">
        <w:tc>
          <w:tcPr>
            <w:tcW w:w="0" w:type="auto"/>
            <w:vAlign w:val="center"/>
          </w:tcPr>
          <w:p w:rsidR="005F78FC" w:rsidRDefault="00B42EF3">
            <w:pPr>
              <w:pStyle w:val="TableBodyText"/>
            </w:pPr>
            <w:r>
              <w:rPr>
                <w:b/>
              </w:rPr>
              <w:t>rowSortMap</w:t>
            </w:r>
            <w:r>
              <w:t xml:space="preserve"> (§</w:t>
            </w:r>
            <w:hyperlink w:anchor="Section_72e63f852b6b4fa1ad68fe0187826156">
              <w:r>
                <w:rPr>
                  <w:rStyle w:val="Hyperlink"/>
                </w:rPr>
                <w:t>3.2.2.1.4, rowSortMap</w:t>
              </w:r>
            </w:hyperlink>
            <w:r>
              <w:t>)</w:t>
            </w:r>
          </w:p>
        </w:tc>
      </w:tr>
    </w:tbl>
    <w:p w:rsidR="005F78FC" w:rsidRDefault="005F78FC"/>
    <w:p w:rsidR="005F78FC" w:rsidRDefault="005F78FC"/>
    <w:tbl>
      <w:tblPr>
        <w:tblStyle w:val="Table-ShadedHeader"/>
        <w:tblW w:w="0" w:type="auto"/>
        <w:tblLook w:val="04A0" w:firstRow="1" w:lastRow="0" w:firstColumn="1" w:lastColumn="0" w:noHBand="0" w:noVBand="1"/>
      </w:tblPr>
      <w:tblGrid>
        <w:gridCol w:w="1900"/>
        <w:gridCol w:w="7575"/>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lastRenderedPageBreak/>
              <w:t>Attributes</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rPr>
                <w:b/>
              </w:rPr>
              <w:t>newVal</w:t>
            </w:r>
            <w:r>
              <w:t xml:space="preserve"> (New Value)</w:t>
            </w:r>
          </w:p>
        </w:tc>
        <w:tc>
          <w:tcPr>
            <w:tcW w:w="0" w:type="auto"/>
            <w:vAlign w:val="center"/>
          </w:tcPr>
          <w:p w:rsidR="005F78FC" w:rsidRDefault="00B42EF3">
            <w:pPr>
              <w:pStyle w:val="TableBodyText"/>
            </w:pPr>
            <w:r>
              <w:t xml:space="preserve">Specifies the </w:t>
            </w:r>
            <w:r>
              <w:t>zero-based index of the column or row that contains data after a sort operation.</w:t>
            </w:r>
          </w:p>
          <w:p w:rsidR="005F78FC" w:rsidRDefault="005F78FC">
            <w:pPr>
              <w:pStyle w:val="TableBodyText"/>
            </w:pPr>
          </w:p>
          <w:p w:rsidR="005F78FC" w:rsidRDefault="00B42EF3">
            <w:pPr>
              <w:pStyle w:val="TableBodyText"/>
            </w:pPr>
            <w:r>
              <w:t xml:space="preserve">In the context of a </w:t>
            </w:r>
            <w:r>
              <w:rPr>
                <w:b/>
              </w:rPr>
              <w:t>row</w:t>
            </w:r>
            <w:r>
              <w:t xml:space="preserve"> element, the value of this attribute shall be less than </w:t>
            </w:r>
            <w:r>
              <w:rPr>
                <w:i/>
              </w:rPr>
              <w:t>1048576</w:t>
            </w:r>
            <w:r>
              <w:t>.</w:t>
            </w:r>
          </w:p>
          <w:p w:rsidR="005F78FC" w:rsidRDefault="005F78FC">
            <w:pPr>
              <w:pStyle w:val="TableBodyText"/>
            </w:pPr>
          </w:p>
          <w:p w:rsidR="005F78FC" w:rsidRDefault="00B42EF3">
            <w:pPr>
              <w:pStyle w:val="TableBodyText"/>
            </w:pPr>
            <w:r>
              <w:t xml:space="preserve">In the context of a </w:t>
            </w:r>
            <w:r>
              <w:rPr>
                <w:b/>
              </w:rPr>
              <w:t>col</w:t>
            </w:r>
            <w:r>
              <w:t xml:space="preserve"> element, the value of this attribute shall be less than </w:t>
            </w:r>
            <w:r>
              <w:rPr>
                <w:i/>
              </w:rPr>
              <w:t>1638</w:t>
            </w:r>
            <w:r>
              <w:rPr>
                <w:i/>
              </w:rPr>
              <w:t>4</w:t>
            </w:r>
            <w:r>
              <w:t>.</w:t>
            </w:r>
          </w:p>
          <w:p w:rsidR="005F78FC" w:rsidRDefault="005F78FC">
            <w:pPr>
              <w:pStyle w:val="TableBodyText"/>
            </w:pPr>
          </w:p>
          <w:p w:rsidR="005F78FC" w:rsidRDefault="00B42EF3">
            <w:pPr>
              <w:pStyle w:val="TableBodyText"/>
            </w:pPr>
            <w:r>
              <w:t>The possible values for this attribute are defined by the XML Schema unsignedInt datatype.</w:t>
            </w:r>
          </w:p>
        </w:tc>
      </w:tr>
      <w:tr w:rsidR="005F78FC" w:rsidTr="005F78FC">
        <w:tc>
          <w:tcPr>
            <w:tcW w:w="0" w:type="auto"/>
            <w:vAlign w:val="center"/>
          </w:tcPr>
          <w:p w:rsidR="005F78FC" w:rsidRDefault="00B42EF3">
            <w:pPr>
              <w:pStyle w:val="TableBodyText"/>
            </w:pPr>
            <w:r>
              <w:rPr>
                <w:b/>
              </w:rPr>
              <w:t>oldVal</w:t>
            </w:r>
            <w:r>
              <w:t xml:space="preserve"> (Old Value)</w:t>
            </w:r>
          </w:p>
        </w:tc>
        <w:tc>
          <w:tcPr>
            <w:tcW w:w="0" w:type="auto"/>
            <w:vAlign w:val="center"/>
          </w:tcPr>
          <w:p w:rsidR="005F78FC" w:rsidRDefault="00B42EF3">
            <w:pPr>
              <w:pStyle w:val="TableBodyText"/>
            </w:pPr>
            <w:r>
              <w:t>Specifies the zero-based index of the column or row that contains data before a sort operation.</w:t>
            </w:r>
          </w:p>
          <w:p w:rsidR="005F78FC" w:rsidRDefault="005F78FC">
            <w:pPr>
              <w:pStyle w:val="TableBodyText"/>
            </w:pPr>
          </w:p>
          <w:p w:rsidR="005F78FC" w:rsidRDefault="00B42EF3">
            <w:pPr>
              <w:pStyle w:val="TableBodyText"/>
            </w:pPr>
            <w:r>
              <w:t xml:space="preserve">In the context of a </w:t>
            </w:r>
            <w:r>
              <w:rPr>
                <w:b/>
              </w:rPr>
              <w:t>row</w:t>
            </w:r>
            <w:r>
              <w:t xml:space="preserve"> element, the value o</w:t>
            </w:r>
            <w:r>
              <w:t xml:space="preserve">f this attribute shall be less than </w:t>
            </w:r>
            <w:r>
              <w:rPr>
                <w:i/>
              </w:rPr>
              <w:t>1048576</w:t>
            </w:r>
            <w:r>
              <w:t>.</w:t>
            </w:r>
          </w:p>
          <w:p w:rsidR="005F78FC" w:rsidRDefault="005F78FC">
            <w:pPr>
              <w:pStyle w:val="TableBodyText"/>
            </w:pPr>
          </w:p>
          <w:p w:rsidR="005F78FC" w:rsidRDefault="00B42EF3">
            <w:pPr>
              <w:pStyle w:val="TableBodyText"/>
            </w:pPr>
            <w:r>
              <w:t xml:space="preserve">In the context of a </w:t>
            </w:r>
            <w:r>
              <w:rPr>
                <w:b/>
              </w:rPr>
              <w:t>col</w:t>
            </w:r>
            <w:r>
              <w:t xml:space="preserve"> element, the value of this attribute shall be less than </w:t>
            </w:r>
            <w:r>
              <w:rPr>
                <w:i/>
              </w:rPr>
              <w:t>16384</w:t>
            </w:r>
            <w:r>
              <w:t>.</w:t>
            </w:r>
          </w:p>
          <w:p w:rsidR="005F78FC" w:rsidRDefault="005F78FC">
            <w:pPr>
              <w:pStyle w:val="TableBodyText"/>
            </w:pPr>
          </w:p>
          <w:p w:rsidR="005F78FC" w:rsidRDefault="00B42EF3">
            <w:pPr>
              <w:pStyle w:val="TableBodyText"/>
            </w:pPr>
            <w:r>
              <w:t>The possible values for this attribute are defined by the XML Schema unsignedInt datatype.</w:t>
            </w:r>
          </w:p>
        </w:tc>
      </w:tr>
    </w:tbl>
    <w:p w:rsidR="005F78FC" w:rsidRDefault="005F78FC"/>
    <w:p w:rsidR="005F78FC" w:rsidRDefault="00B42EF3">
      <w:r>
        <w:t xml:space="preserve">The following XML Schema </w:t>
      </w:r>
      <w:r>
        <w:t>fragment defines the contents of this element:</w:t>
      </w:r>
    </w:p>
    <w:p w:rsidR="005F78FC" w:rsidRDefault="00B42EF3">
      <w:pPr>
        <w:pStyle w:val="Code"/>
      </w:pPr>
      <w:r>
        <w:t>&lt;complexType name="CT_SortMapItem"&gt;</w:t>
      </w:r>
    </w:p>
    <w:p w:rsidR="005F78FC" w:rsidRDefault="00B42EF3">
      <w:pPr>
        <w:pStyle w:val="Code"/>
      </w:pPr>
      <w:r>
        <w:t xml:space="preserve">  &lt;attribute name="newVal" type="xsd:unsignedInt" use="required"/&gt;</w:t>
      </w:r>
    </w:p>
    <w:p w:rsidR="005F78FC" w:rsidRDefault="00B42EF3">
      <w:pPr>
        <w:pStyle w:val="Code"/>
      </w:pPr>
      <w:r>
        <w:t xml:space="preserve">  &lt;attribute name="oldVal" type="xsd:unsignedInt" use="required"/&gt;</w:t>
      </w:r>
    </w:p>
    <w:p w:rsidR="005F78FC" w:rsidRDefault="00B42EF3">
      <w:pPr>
        <w:pStyle w:val="Code"/>
      </w:pPr>
      <w:r>
        <w:t>&lt;/complexType&gt;</w:t>
      </w:r>
    </w:p>
    <w:p w:rsidR="005F78FC" w:rsidRDefault="00B42EF3">
      <w:pPr>
        <w:pStyle w:val="Heading5"/>
      </w:pPr>
      <w:bookmarkStart w:id="3987" w:name="section_72e63f852b6b4fa1ad68fe0187826156"/>
      <w:bookmarkStart w:id="3988" w:name="_Toc69879766"/>
      <w:r>
        <w:t>rowSortMap (Row Sort Map</w:t>
      </w:r>
      <w:r>
        <w:t>)</w:t>
      </w:r>
      <w:bookmarkEnd w:id="3987"/>
      <w:bookmarkEnd w:id="3988"/>
      <w:r>
        <w:fldChar w:fldCharType="begin"/>
      </w:r>
      <w:r>
        <w:instrText xml:space="preserve"> XE "rowSortMap (Row Sort Map)" </w:instrText>
      </w:r>
      <w:r>
        <w:fldChar w:fldCharType="end"/>
      </w:r>
    </w:p>
    <w:p w:rsidR="005F78FC" w:rsidRDefault="00B42EF3">
      <w:r>
        <w:t>This element represents a list of row mappings of the sort map.</w:t>
      </w:r>
    </w:p>
    <w:tbl>
      <w:tblPr>
        <w:tblStyle w:val="Table-ShadedHeader"/>
        <w:tblW w:w="0" w:type="auto"/>
        <w:tblLook w:val="04A0" w:firstRow="1" w:lastRow="0" w:firstColumn="1" w:lastColumn="0" w:noHBand="0" w:noVBand="1"/>
      </w:tblPr>
      <w:tblGrid>
        <w:gridCol w:w="4581"/>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Parent Elements</w:t>
            </w:r>
          </w:p>
        </w:tc>
      </w:tr>
      <w:tr w:rsidR="005F78FC" w:rsidTr="005F78FC">
        <w:tc>
          <w:tcPr>
            <w:tcW w:w="0" w:type="auto"/>
            <w:vAlign w:val="center"/>
          </w:tcPr>
          <w:p w:rsidR="005F78FC" w:rsidRDefault="00B42EF3">
            <w:pPr>
              <w:pStyle w:val="TableBodyText"/>
            </w:pPr>
            <w:r>
              <w:rPr>
                <w:b/>
              </w:rPr>
              <w:t>worksheetSortMap</w:t>
            </w:r>
            <w:r>
              <w:t xml:space="preserve"> (§</w:t>
            </w:r>
            <w:hyperlink w:anchor="Section_04defc35b52c443181a649ed63fe943f">
              <w:r>
                <w:rPr>
                  <w:rStyle w:val="Hyperlink"/>
                </w:rPr>
                <w:t>3.2.2.1.5, worksheetSortMap</w:t>
              </w:r>
            </w:hyperlink>
            <w:r>
              <w:t>)</w:t>
            </w:r>
          </w:p>
        </w:tc>
      </w:tr>
    </w:tbl>
    <w:p w:rsidR="005F78FC" w:rsidRDefault="005F78FC"/>
    <w:p w:rsidR="005F78FC" w:rsidRDefault="005F78FC"/>
    <w:tbl>
      <w:tblPr>
        <w:tblStyle w:val="Table-ShadedHeader"/>
        <w:tblW w:w="0" w:type="auto"/>
        <w:tblLook w:val="04A0" w:firstRow="1" w:lastRow="0" w:firstColumn="1" w:lastColumn="0" w:noHBand="0" w:noVBand="1"/>
      </w:tblPr>
      <w:tblGrid>
        <w:gridCol w:w="1564"/>
        <w:gridCol w:w="1484"/>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Child Elements</w:t>
            </w:r>
          </w:p>
        </w:tc>
        <w:tc>
          <w:tcPr>
            <w:tcW w:w="0" w:type="auto"/>
            <w:vAlign w:val="center"/>
          </w:tcPr>
          <w:p w:rsidR="005F78FC" w:rsidRDefault="00B42EF3">
            <w:pPr>
              <w:pStyle w:val="TableHeaderText"/>
            </w:pPr>
            <w:r>
              <w:t>Subclause</w:t>
            </w:r>
          </w:p>
        </w:tc>
      </w:tr>
      <w:tr w:rsidR="005F78FC" w:rsidTr="005F78FC">
        <w:tc>
          <w:tcPr>
            <w:tcW w:w="0" w:type="auto"/>
            <w:vAlign w:val="center"/>
          </w:tcPr>
          <w:p w:rsidR="005F78FC" w:rsidRDefault="00B42EF3">
            <w:pPr>
              <w:pStyle w:val="TableBodyText"/>
            </w:pPr>
            <w:r>
              <w:rPr>
                <w:b/>
              </w:rPr>
              <w:t>row</w:t>
            </w:r>
            <w:r>
              <w:t xml:space="preserve"> (Row)</w:t>
            </w:r>
          </w:p>
        </w:tc>
        <w:tc>
          <w:tcPr>
            <w:tcW w:w="0" w:type="auto"/>
            <w:vAlign w:val="center"/>
          </w:tcPr>
          <w:p w:rsidR="005F78FC" w:rsidRDefault="00B42EF3">
            <w:pPr>
              <w:pStyle w:val="TableBodyText"/>
            </w:pPr>
            <w:r>
              <w:t>§</w:t>
            </w:r>
            <w:hyperlink w:anchor="Section_4af995e554c94df0af2f9eeb39d61f58">
              <w:r>
                <w:rPr>
                  <w:rStyle w:val="Hyperlink"/>
                </w:rPr>
                <w:t>3.2.2.1.3, row</w:t>
              </w:r>
            </w:hyperlink>
          </w:p>
        </w:tc>
      </w:tr>
    </w:tbl>
    <w:p w:rsidR="005F78FC" w:rsidRDefault="005F78FC"/>
    <w:p w:rsidR="005F78FC" w:rsidRDefault="005F78FC"/>
    <w:tbl>
      <w:tblPr>
        <w:tblStyle w:val="Table-ShadedHeader"/>
        <w:tblW w:w="0" w:type="auto"/>
        <w:tblLook w:val="04A0" w:firstRow="1" w:lastRow="0" w:firstColumn="1" w:lastColumn="0" w:noHBand="0" w:noVBand="1"/>
      </w:tblPr>
      <w:tblGrid>
        <w:gridCol w:w="1417"/>
        <w:gridCol w:w="8058"/>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Attributes</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rPr>
                <w:b/>
              </w:rPr>
              <w:t>count</w:t>
            </w:r>
            <w:r>
              <w:t xml:space="preserve"> (Count)</w:t>
            </w:r>
          </w:p>
        </w:tc>
        <w:tc>
          <w:tcPr>
            <w:tcW w:w="0" w:type="auto"/>
            <w:vAlign w:val="center"/>
          </w:tcPr>
          <w:p w:rsidR="005F78FC" w:rsidRDefault="00B42EF3">
            <w:pPr>
              <w:pStyle w:val="TableBodyText"/>
            </w:pPr>
            <w:r>
              <w:t xml:space="preserve">Specifies the number of </w:t>
            </w:r>
            <w:r>
              <w:rPr>
                <w:b/>
              </w:rPr>
              <w:t>row</w:t>
            </w:r>
            <w:r>
              <w:t xml:space="preserve"> elements. The value of this attribute shall match the number of </w:t>
            </w:r>
            <w:r>
              <w:rPr>
                <w:b/>
              </w:rPr>
              <w:t>row</w:t>
            </w:r>
            <w:r>
              <w:t xml:space="preserve"> elements.</w:t>
            </w:r>
          </w:p>
          <w:p w:rsidR="005F78FC" w:rsidRDefault="005F78FC">
            <w:pPr>
              <w:pStyle w:val="TableBodyText"/>
            </w:pPr>
          </w:p>
          <w:p w:rsidR="005F78FC" w:rsidRDefault="00B42EF3">
            <w:pPr>
              <w:pStyle w:val="TableBodyText"/>
            </w:pPr>
            <w:r>
              <w:t>The possible value</w:t>
            </w:r>
            <w:r>
              <w:t>s for this attribute are defined by the ST_SortMapCount simple type (§</w:t>
            </w:r>
            <w:hyperlink w:anchor="Section_7ed66a4ca69b4613b5fc70a7cd17e3ca">
              <w:r>
                <w:rPr>
                  <w:rStyle w:val="Hyperlink"/>
                </w:rPr>
                <w:t>3.2.2.2.1, ST_SortMapCount</w:t>
              </w:r>
            </w:hyperlink>
            <w:r>
              <w:t>).</w:t>
            </w:r>
          </w:p>
        </w:tc>
      </w:tr>
      <w:tr w:rsidR="005F78FC" w:rsidTr="005F78FC">
        <w:tc>
          <w:tcPr>
            <w:tcW w:w="0" w:type="auto"/>
            <w:vAlign w:val="center"/>
          </w:tcPr>
          <w:p w:rsidR="005F78FC" w:rsidRDefault="00B42EF3">
            <w:pPr>
              <w:pStyle w:val="TableBodyText"/>
            </w:pPr>
            <w:r>
              <w:rPr>
                <w:b/>
              </w:rPr>
              <w:lastRenderedPageBreak/>
              <w:t>ref</w:t>
            </w:r>
            <w:r>
              <w:t xml:space="preserve"> (Reference)</w:t>
            </w:r>
          </w:p>
        </w:tc>
        <w:tc>
          <w:tcPr>
            <w:tcW w:w="0" w:type="auto"/>
            <w:vAlign w:val="center"/>
          </w:tcPr>
          <w:p w:rsidR="005F78FC" w:rsidRDefault="00B42EF3">
            <w:pPr>
              <w:pStyle w:val="TableBodyText"/>
            </w:pPr>
            <w:r>
              <w:t>Specifies the row and column bounds of the sort map.</w:t>
            </w:r>
          </w:p>
          <w:p w:rsidR="005F78FC" w:rsidRDefault="005F78FC">
            <w:pPr>
              <w:pStyle w:val="TableBodyText"/>
            </w:pPr>
          </w:p>
          <w:p w:rsidR="005F78FC" w:rsidRDefault="00B42EF3">
            <w:pPr>
              <w:pStyle w:val="TableBodyText"/>
            </w:pPr>
            <w:r>
              <w:t>The possible values for</w:t>
            </w:r>
            <w:r>
              <w:t xml:space="preserve"> this attribute are defined by the ST_Ref simple type ("</w:t>
            </w:r>
            <w:hyperlink r:id="rId334">
              <w:r>
                <w:rPr>
                  <w:rStyle w:val="Hyperlink"/>
                </w:rPr>
                <w:t>[ISO/IEC-29500-1]</w:t>
              </w:r>
            </w:hyperlink>
            <w:r>
              <w:t xml:space="preserve"> §18.18.62").</w:t>
            </w:r>
          </w:p>
        </w:tc>
      </w:tr>
    </w:tbl>
    <w:p w:rsidR="005F78FC" w:rsidRDefault="005F78FC"/>
    <w:p w:rsidR="005F78FC" w:rsidRDefault="00B42EF3">
      <w:r>
        <w:t>The following XML Schema fragment defines the contents of this element:</w:t>
      </w:r>
    </w:p>
    <w:p w:rsidR="005F78FC" w:rsidRDefault="00B42EF3">
      <w:pPr>
        <w:pStyle w:val="Code"/>
      </w:pPr>
      <w:r>
        <w:t xml:space="preserve">&lt;complexType </w:t>
      </w:r>
      <w:r>
        <w:t>name="CT_RowSortMap"&gt;</w:t>
      </w:r>
    </w:p>
    <w:p w:rsidR="005F78FC" w:rsidRDefault="00B42EF3">
      <w:pPr>
        <w:pStyle w:val="Code"/>
      </w:pPr>
      <w:r>
        <w:t xml:space="preserve">  &lt;sequence&gt;</w:t>
      </w:r>
    </w:p>
    <w:p w:rsidR="005F78FC" w:rsidRDefault="00B42EF3">
      <w:pPr>
        <w:pStyle w:val="Code"/>
      </w:pPr>
      <w:r>
        <w:t xml:space="preserve">    &lt;element name="row" type="CT_SortMapItem" minOccurs="1" maxOccurs="536870910"/&gt;</w:t>
      </w:r>
    </w:p>
    <w:p w:rsidR="005F78FC" w:rsidRDefault="00B42EF3">
      <w:pPr>
        <w:pStyle w:val="Code"/>
      </w:pPr>
      <w:r>
        <w:t xml:space="preserve">  &lt;/sequence&gt;</w:t>
      </w:r>
    </w:p>
    <w:p w:rsidR="005F78FC" w:rsidRDefault="00B42EF3">
      <w:pPr>
        <w:pStyle w:val="Code"/>
      </w:pPr>
      <w:r>
        <w:t xml:space="preserve">  &lt;attribute name="ref" type="x:ST_Ref" use="required"/&gt;</w:t>
      </w:r>
    </w:p>
    <w:p w:rsidR="005F78FC" w:rsidRDefault="00B42EF3">
      <w:pPr>
        <w:pStyle w:val="Code"/>
      </w:pPr>
      <w:r>
        <w:t xml:space="preserve">  &lt;attribute name="count" type="ST_SortMapCount" use="optional" de</w:t>
      </w:r>
      <w:r>
        <w:t>fault="20"/&gt;</w:t>
      </w:r>
    </w:p>
    <w:p w:rsidR="005F78FC" w:rsidRDefault="00B42EF3">
      <w:pPr>
        <w:pStyle w:val="Code"/>
      </w:pPr>
      <w:r>
        <w:t>&lt;/complexType&gt;</w:t>
      </w:r>
    </w:p>
    <w:p w:rsidR="005F78FC" w:rsidRDefault="00B42EF3">
      <w:pPr>
        <w:pStyle w:val="Heading5"/>
      </w:pPr>
      <w:bookmarkStart w:id="3989" w:name="section_04defc35b52c443181a649ed63fe943f"/>
      <w:bookmarkStart w:id="3990" w:name="_Toc69879767"/>
      <w:r>
        <w:t>worksheetSortMap (Worksheet Sort Map)</w:t>
      </w:r>
      <w:bookmarkEnd w:id="3989"/>
      <w:bookmarkEnd w:id="3990"/>
      <w:r>
        <w:fldChar w:fldCharType="begin"/>
      </w:r>
      <w:r>
        <w:instrText xml:space="preserve"> XE "worksheetSortMap (Worksheet Sort Map)" </w:instrText>
      </w:r>
      <w:r>
        <w:fldChar w:fldCharType="end"/>
      </w:r>
    </w:p>
    <w:p w:rsidR="005F78FC" w:rsidRDefault="00B42EF3">
      <w:r>
        <w:t>This element represents the row and column sort mappings associated with a worksheet.</w:t>
      </w:r>
    </w:p>
    <w:tbl>
      <w:tblPr>
        <w:tblStyle w:val="Table-ShadedHeader"/>
        <w:tblW w:w="0" w:type="auto"/>
        <w:tblLook w:val="04A0" w:firstRow="1" w:lastRow="0" w:firstColumn="1" w:lastColumn="0" w:noHBand="0" w:noVBand="1"/>
      </w:tblPr>
      <w:tblGrid>
        <w:gridCol w:w="2829"/>
        <w:gridCol w:w="2153"/>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Child Elements</w:t>
            </w:r>
          </w:p>
        </w:tc>
        <w:tc>
          <w:tcPr>
            <w:tcW w:w="0" w:type="auto"/>
            <w:vAlign w:val="center"/>
          </w:tcPr>
          <w:p w:rsidR="005F78FC" w:rsidRDefault="00B42EF3">
            <w:pPr>
              <w:pStyle w:val="TableHeaderText"/>
            </w:pPr>
            <w:r>
              <w:t>Subclause</w:t>
            </w:r>
          </w:p>
        </w:tc>
      </w:tr>
      <w:tr w:rsidR="005F78FC" w:rsidTr="005F78FC">
        <w:tc>
          <w:tcPr>
            <w:tcW w:w="0" w:type="auto"/>
            <w:vAlign w:val="center"/>
          </w:tcPr>
          <w:p w:rsidR="005F78FC" w:rsidRDefault="00B42EF3">
            <w:pPr>
              <w:pStyle w:val="TableBodyText"/>
            </w:pPr>
            <w:r>
              <w:rPr>
                <w:b/>
              </w:rPr>
              <w:t>colSortMap</w:t>
            </w:r>
            <w:r>
              <w:t xml:space="preserve"> (Column Sort Map)</w:t>
            </w:r>
          </w:p>
        </w:tc>
        <w:tc>
          <w:tcPr>
            <w:tcW w:w="0" w:type="auto"/>
            <w:vAlign w:val="center"/>
          </w:tcPr>
          <w:p w:rsidR="005F78FC" w:rsidRDefault="00B42EF3">
            <w:pPr>
              <w:pStyle w:val="TableBodyText"/>
            </w:pPr>
            <w:r>
              <w:t>§</w:t>
            </w:r>
            <w:hyperlink w:anchor="Section_73bbbbb0df814eccbc7a3e365fbe5fce">
              <w:r>
                <w:rPr>
                  <w:rStyle w:val="Hyperlink"/>
                </w:rPr>
                <w:t>3.2.2.1.2, colSortMap</w:t>
              </w:r>
            </w:hyperlink>
          </w:p>
        </w:tc>
      </w:tr>
      <w:tr w:rsidR="005F78FC" w:rsidTr="005F78FC">
        <w:tc>
          <w:tcPr>
            <w:tcW w:w="0" w:type="auto"/>
            <w:vAlign w:val="center"/>
          </w:tcPr>
          <w:p w:rsidR="005F78FC" w:rsidRDefault="00B42EF3">
            <w:pPr>
              <w:pStyle w:val="TableBodyText"/>
            </w:pPr>
            <w:r>
              <w:rPr>
                <w:b/>
              </w:rPr>
              <w:t>rowSortMap</w:t>
            </w:r>
            <w:r>
              <w:t xml:space="preserve"> (Row Sort Map)</w:t>
            </w:r>
          </w:p>
        </w:tc>
        <w:tc>
          <w:tcPr>
            <w:tcW w:w="0" w:type="auto"/>
            <w:vAlign w:val="center"/>
          </w:tcPr>
          <w:p w:rsidR="005F78FC" w:rsidRDefault="00B42EF3">
            <w:pPr>
              <w:pStyle w:val="TableBodyText"/>
            </w:pPr>
            <w:r>
              <w:t>§</w:t>
            </w:r>
            <w:hyperlink w:anchor="Section_72e63f852b6b4fa1ad68fe0187826156">
              <w:r>
                <w:rPr>
                  <w:rStyle w:val="Hyperlink"/>
                </w:rPr>
                <w:t>3.2.2.1.4, rowSortMap</w:t>
              </w:r>
            </w:hyperlink>
          </w:p>
        </w:tc>
      </w:tr>
    </w:tbl>
    <w:p w:rsidR="005F78FC" w:rsidRDefault="005F78FC"/>
    <w:p w:rsidR="005F78FC" w:rsidRDefault="00B42EF3">
      <w:r>
        <w:t xml:space="preserve">The following XML Schema fragment defines the contents of </w:t>
      </w:r>
      <w:r>
        <w:t>this element:</w:t>
      </w:r>
    </w:p>
    <w:p w:rsidR="005F78FC" w:rsidRDefault="00B42EF3">
      <w:pPr>
        <w:pStyle w:val="Code"/>
      </w:pPr>
      <w:r>
        <w:t>&lt;complexType name="CT_WorksheetSortMap"&gt;</w:t>
      </w:r>
    </w:p>
    <w:p w:rsidR="005F78FC" w:rsidRDefault="00B42EF3">
      <w:pPr>
        <w:pStyle w:val="Code"/>
      </w:pPr>
      <w:r>
        <w:t xml:space="preserve">  &lt;sequence&gt;</w:t>
      </w:r>
    </w:p>
    <w:p w:rsidR="005F78FC" w:rsidRDefault="00B42EF3">
      <w:pPr>
        <w:pStyle w:val="Code"/>
      </w:pPr>
      <w:r>
        <w:t xml:space="preserve">    &lt;element name="rowSortMap" type="CT_RowSortMap" minOccurs="0" maxOccurs="1"/&gt;</w:t>
      </w:r>
    </w:p>
    <w:p w:rsidR="005F78FC" w:rsidRDefault="00B42EF3">
      <w:pPr>
        <w:pStyle w:val="Code"/>
      </w:pPr>
      <w:r>
        <w:t xml:space="preserve">    &lt;element name="colSortMap" type="CT_ColSortMap" minOccurs="0" maxOccurs="1"/&gt;</w:t>
      </w:r>
    </w:p>
    <w:p w:rsidR="005F78FC" w:rsidRDefault="00B42EF3">
      <w:pPr>
        <w:pStyle w:val="Code"/>
      </w:pPr>
      <w:r>
        <w:t xml:space="preserve">  &lt;/sequence&gt;</w:t>
      </w:r>
    </w:p>
    <w:p w:rsidR="005F78FC" w:rsidRDefault="00B42EF3">
      <w:pPr>
        <w:pStyle w:val="Code"/>
      </w:pPr>
      <w:r>
        <w:t>&lt;</w:t>
      </w:r>
      <w:r>
        <w:t>/complexType&gt;</w:t>
      </w:r>
    </w:p>
    <w:p w:rsidR="005F78FC" w:rsidRDefault="00B42EF3">
      <w:pPr>
        <w:pStyle w:val="Heading4"/>
      </w:pPr>
      <w:bookmarkStart w:id="3991" w:name="section_da76a61047af4705a9fd865189332ca7"/>
      <w:bookmarkStart w:id="3992" w:name="_Toc69879768"/>
      <w:r>
        <w:t>Simple Types</w:t>
      </w:r>
      <w:bookmarkEnd w:id="3991"/>
      <w:bookmarkEnd w:id="3992"/>
      <w:r>
        <w:fldChar w:fldCharType="begin"/>
      </w:r>
      <w:r>
        <w:instrText xml:space="preserve"> XE "Simple Types" </w:instrText>
      </w:r>
      <w:r>
        <w:fldChar w:fldCharType="end"/>
      </w:r>
    </w:p>
    <w:p w:rsidR="005F78FC" w:rsidRDefault="00B42EF3">
      <w:r>
        <w:t>This is the complete list of simple types in the http://schemas.microsoft.com/office/excel/2006/main namespace.</w:t>
      </w:r>
    </w:p>
    <w:p w:rsidR="005F78FC" w:rsidRDefault="00B42EF3">
      <w:pPr>
        <w:pStyle w:val="Heading5"/>
      </w:pPr>
      <w:bookmarkStart w:id="3993" w:name="section_7ed66a4ca69b4613b5fc70a7cd17e3ca"/>
      <w:bookmarkStart w:id="3994" w:name="_Toc69879769"/>
      <w:r>
        <w:t>ST_SortMapCount (Sort Map Count)</w:t>
      </w:r>
      <w:bookmarkEnd w:id="3993"/>
      <w:bookmarkEnd w:id="3994"/>
      <w:r>
        <w:fldChar w:fldCharType="begin"/>
      </w:r>
      <w:r>
        <w:instrText xml:space="preserve"> XE "ST_SortMapCount (Sort Map Count)" </w:instrText>
      </w:r>
      <w:r>
        <w:fldChar w:fldCharType="end"/>
      </w:r>
    </w:p>
    <w:p w:rsidR="005F78FC" w:rsidRDefault="00B42EF3">
      <w:r>
        <w:t>This simple type repre</w:t>
      </w:r>
      <w:r>
        <w:t>sents the count of row or column sort map entries.</w:t>
      </w:r>
    </w:p>
    <w:p w:rsidR="005F78FC" w:rsidRDefault="00B42EF3">
      <w:r>
        <w:t>This simple type's contents are a restriction of the XML Schema unsignedInt datatype.</w:t>
      </w:r>
    </w:p>
    <w:p w:rsidR="005F78FC" w:rsidRDefault="00B42EF3">
      <w:r>
        <w:t>This simple type also specifies the following restrictions:</w:t>
      </w:r>
    </w:p>
    <w:p w:rsidR="005F78FC" w:rsidRDefault="00B42EF3">
      <w:pPr>
        <w:pStyle w:val="ListParagraph"/>
        <w:numPr>
          <w:ilvl w:val="0"/>
          <w:numId w:val="207"/>
        </w:numPr>
      </w:pPr>
      <w:r>
        <w:t xml:space="preserve">This simple type has a maximum value of less than or equal </w:t>
      </w:r>
      <w:r>
        <w:t>to 536870910.</w:t>
      </w:r>
    </w:p>
    <w:tbl>
      <w:tblPr>
        <w:tblStyle w:val="Table-ShadedHeader"/>
        <w:tblW w:w="0" w:type="auto"/>
        <w:tblLook w:val="04A0" w:firstRow="1" w:lastRow="0" w:firstColumn="1" w:lastColumn="0" w:noHBand="0" w:noVBand="1"/>
      </w:tblPr>
      <w:tblGrid>
        <w:gridCol w:w="7951"/>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lastRenderedPageBreak/>
              <w:t>Referenced By</w:t>
            </w:r>
          </w:p>
        </w:tc>
      </w:tr>
      <w:tr w:rsidR="005F78FC" w:rsidTr="005F78FC">
        <w:tc>
          <w:tcPr>
            <w:tcW w:w="0" w:type="auto"/>
            <w:vAlign w:val="center"/>
          </w:tcPr>
          <w:p w:rsidR="005F78FC" w:rsidRDefault="00B42EF3">
            <w:pPr>
              <w:pStyle w:val="TableBodyText"/>
            </w:pPr>
            <w:r>
              <w:rPr>
                <w:b/>
              </w:rPr>
              <w:t>colSortMap@count</w:t>
            </w:r>
            <w:r>
              <w:t xml:space="preserve"> (§</w:t>
            </w:r>
            <w:hyperlink w:anchor="Section_73bbbbb0df814eccbc7a3e365fbe5fce">
              <w:r>
                <w:rPr>
                  <w:rStyle w:val="Hyperlink"/>
                </w:rPr>
                <w:t>3.2.2.1.2, colSortMap</w:t>
              </w:r>
            </w:hyperlink>
            <w:r>
              <w:t xml:space="preserve">); </w:t>
            </w:r>
            <w:r>
              <w:rPr>
                <w:b/>
              </w:rPr>
              <w:t>rowSortMap@count</w:t>
            </w:r>
            <w:r>
              <w:t xml:space="preserve"> (§</w:t>
            </w:r>
            <w:hyperlink w:anchor="Section_72e63f852b6b4fa1ad68fe0187826156">
              <w:r>
                <w:rPr>
                  <w:rStyle w:val="Hyperlink"/>
                </w:rPr>
                <w:t>3.2.2.1.4, rowSortMap</w:t>
              </w:r>
            </w:hyperlink>
            <w:r>
              <w:t>)</w:t>
            </w:r>
          </w:p>
        </w:tc>
      </w:tr>
    </w:tbl>
    <w:p w:rsidR="005F78FC" w:rsidRDefault="005F78FC"/>
    <w:p w:rsidR="005F78FC" w:rsidRDefault="00B42EF3">
      <w:r>
        <w:t xml:space="preserve">The following </w:t>
      </w:r>
      <w:r>
        <w:t>XML Schema fragment defines the contents of this simple type:</w:t>
      </w:r>
    </w:p>
    <w:p w:rsidR="005F78FC" w:rsidRDefault="00B42EF3">
      <w:pPr>
        <w:pStyle w:val="Code"/>
      </w:pPr>
      <w:r>
        <w:t>&lt;simpleType name="ST_SortMapCount"&gt;</w:t>
      </w:r>
    </w:p>
    <w:p w:rsidR="005F78FC" w:rsidRDefault="00B42EF3">
      <w:pPr>
        <w:pStyle w:val="Code"/>
      </w:pPr>
      <w:r>
        <w:t xml:space="preserve">  &lt;restriction base="xsd:unsignedInt"&gt;</w:t>
      </w:r>
    </w:p>
    <w:p w:rsidR="005F78FC" w:rsidRDefault="00B42EF3">
      <w:pPr>
        <w:pStyle w:val="Code"/>
      </w:pPr>
      <w:r>
        <w:t xml:space="preserve">    &lt;maxInclusive value="536870910"/&gt;</w:t>
      </w:r>
    </w:p>
    <w:p w:rsidR="005F78FC" w:rsidRDefault="00B42EF3">
      <w:pPr>
        <w:pStyle w:val="Code"/>
      </w:pPr>
      <w:r>
        <w:t xml:space="preserve">  &lt;/restriction&gt;</w:t>
      </w:r>
    </w:p>
    <w:p w:rsidR="005F78FC" w:rsidRDefault="00B42EF3">
      <w:pPr>
        <w:pStyle w:val="Code"/>
      </w:pPr>
      <w:r>
        <w:t>&lt;/simpleType&gt;</w:t>
      </w:r>
    </w:p>
    <w:p w:rsidR="005F78FC" w:rsidRDefault="00B42EF3">
      <w:pPr>
        <w:pStyle w:val="Heading3"/>
      </w:pPr>
      <w:bookmarkStart w:id="3995" w:name="section_96a4842c5e4940e1b9ac0c524e8b68e0"/>
      <w:bookmarkStart w:id="3996" w:name="_Toc69879770"/>
      <w:r>
        <w:t>Additional SpreadsheetML Schema</w:t>
      </w:r>
      <w:bookmarkEnd w:id="3995"/>
      <w:bookmarkEnd w:id="3996"/>
      <w:r>
        <w:fldChar w:fldCharType="begin"/>
      </w:r>
      <w:r>
        <w:instrText xml:space="preserve"> XE "Additional Spr</w:instrText>
      </w:r>
      <w:r>
        <w:instrText xml:space="preserve">eadsheetML Schema" </w:instrText>
      </w:r>
      <w:r>
        <w:fldChar w:fldCharType="end"/>
      </w:r>
    </w:p>
    <w:p w:rsidR="005F78FC" w:rsidRDefault="00B42EF3">
      <w:r>
        <w:t xml:space="preserve">The subordinate clauses define additional information in the SpreadsheetML schema used by Excel.  </w:t>
      </w:r>
    </w:p>
    <w:p w:rsidR="005F78FC" w:rsidRDefault="00B42EF3">
      <w:pPr>
        <w:pStyle w:val="Heading4"/>
      </w:pPr>
      <w:bookmarkStart w:id="3997" w:name="section_c53a9d05871f46f28ced6a59ab434fda"/>
      <w:bookmarkStart w:id="3998" w:name="_Toc69879771"/>
      <w:r>
        <w:t>Formulas</w:t>
      </w:r>
      <w:bookmarkEnd w:id="3997"/>
      <w:bookmarkEnd w:id="3998"/>
    </w:p>
    <w:p w:rsidR="005F78FC" w:rsidRDefault="00B42EF3">
      <w:pPr>
        <w:pStyle w:val="Heading5"/>
      </w:pPr>
      <w:bookmarkStart w:id="3999" w:name="section_089fbdefed494a149509794c95651b17"/>
      <w:bookmarkStart w:id="4000" w:name="_Toc69879772"/>
      <w:r>
        <w:t>Structure References</w:t>
      </w:r>
      <w:bookmarkEnd w:id="3999"/>
      <w:bookmarkEnd w:id="4000"/>
      <w:r>
        <w:fldChar w:fldCharType="begin"/>
      </w:r>
      <w:r>
        <w:instrText xml:space="preserve"> XE "Structure References" </w:instrText>
      </w:r>
      <w:r>
        <w:fldChar w:fldCharType="end"/>
      </w:r>
    </w:p>
    <w:p w:rsidR="005F78FC" w:rsidRDefault="00B42EF3">
      <w:r>
        <w:t xml:space="preserve">A structure reference has the following form: </w:t>
      </w:r>
    </w:p>
    <w:p w:rsidR="005F78FC" w:rsidRDefault="00B42EF3">
      <w:pPr>
        <w:pStyle w:val="Code"/>
      </w:pPr>
      <w:r>
        <w:t xml:space="preserve">structure-reference= </w:t>
      </w:r>
    </w:p>
    <w:p w:rsidR="005F78FC" w:rsidRDefault="00B42EF3">
      <w:pPr>
        <w:pStyle w:val="Code"/>
      </w:pPr>
      <w:r>
        <w:t>[table-</w:t>
      </w:r>
      <w:r>
        <w:t>identifier], intra-table-reference ;</w:t>
      </w:r>
    </w:p>
    <w:p w:rsidR="005F78FC" w:rsidRDefault="00B42EF3">
      <w:pPr>
        <w:pStyle w:val="Code"/>
      </w:pPr>
      <w:r>
        <w:t>table-identifier=</w:t>
      </w:r>
    </w:p>
    <w:p w:rsidR="005F78FC" w:rsidRDefault="00B42EF3">
      <w:pPr>
        <w:pStyle w:val="Code"/>
      </w:pPr>
      <w:r>
        <w:t>[book-prefix], table-name ;</w:t>
      </w:r>
    </w:p>
    <w:p w:rsidR="005F78FC" w:rsidRDefault="00B42EF3">
      <w:pPr>
        <w:pStyle w:val="Code"/>
      </w:pPr>
      <w:r>
        <w:t>table-name=</w:t>
      </w:r>
    </w:p>
    <w:p w:rsidR="005F78FC" w:rsidRDefault="00B42EF3">
      <w:pPr>
        <w:pStyle w:val="Code"/>
      </w:pPr>
      <w:r>
        <w:t>name ;</w:t>
      </w:r>
    </w:p>
    <w:p w:rsidR="005F78FC" w:rsidRDefault="00B42EF3">
      <w:pPr>
        <w:pStyle w:val="Code"/>
      </w:pPr>
      <w:r>
        <w:t>intra-table-reference=</w:t>
      </w:r>
    </w:p>
    <w:p w:rsidR="005F78FC" w:rsidRDefault="00B42EF3">
      <w:pPr>
        <w:pStyle w:val="Code"/>
      </w:pPr>
      <w:r>
        <w:t>spaced-lbracket, inner-reference, spaced-rbracket |</w:t>
      </w:r>
    </w:p>
    <w:p w:rsidR="005F78FC" w:rsidRDefault="00B42EF3">
      <w:pPr>
        <w:pStyle w:val="Code"/>
      </w:pPr>
      <w:r>
        <w:t>keyword |</w:t>
      </w:r>
    </w:p>
    <w:p w:rsidR="005F78FC" w:rsidRDefault="00B42EF3">
      <w:pPr>
        <w:pStyle w:val="Code"/>
      </w:pPr>
      <w:r>
        <w:t>'[', [simple-column-name], ']' ;</w:t>
      </w:r>
    </w:p>
    <w:p w:rsidR="005F78FC" w:rsidRDefault="00B42EF3">
      <w:pPr>
        <w:pStyle w:val="Code"/>
      </w:pPr>
      <w:r>
        <w:t>inner-reference=</w:t>
      </w:r>
    </w:p>
    <w:p w:rsidR="005F78FC" w:rsidRDefault="00B42EF3">
      <w:pPr>
        <w:pStyle w:val="Code"/>
      </w:pPr>
      <w:r>
        <w:t>keyword-list |</w:t>
      </w:r>
    </w:p>
    <w:p w:rsidR="005F78FC" w:rsidRDefault="00B42EF3">
      <w:pPr>
        <w:pStyle w:val="Code"/>
      </w:pPr>
      <w:r>
        <w:t>[keyword-list, spaced-comma], column-range ;</w:t>
      </w:r>
    </w:p>
    <w:p w:rsidR="005F78FC" w:rsidRDefault="00B42EF3">
      <w:pPr>
        <w:pStyle w:val="Code"/>
      </w:pPr>
      <w:r>
        <w:t>keyword=</w:t>
      </w:r>
    </w:p>
    <w:p w:rsidR="005F78FC" w:rsidRDefault="00B42EF3">
      <w:pPr>
        <w:pStyle w:val="Code"/>
      </w:pPr>
      <w:r>
        <w:t>"[#All]" | "[#Data]" | "[#Headers]" | "[#Totals]" | "[#This Row]" ;</w:t>
      </w:r>
    </w:p>
    <w:p w:rsidR="005F78FC" w:rsidRDefault="00B42EF3">
      <w:pPr>
        <w:pStyle w:val="Code"/>
      </w:pPr>
      <w:r>
        <w:t>keyword-list=</w:t>
      </w:r>
    </w:p>
    <w:p w:rsidR="005F78FC" w:rsidRDefault="00B42EF3">
      <w:pPr>
        <w:pStyle w:val="Code"/>
      </w:pPr>
      <w:r>
        <w:t>keyword |</w:t>
      </w:r>
    </w:p>
    <w:p w:rsidR="005F78FC" w:rsidRDefault="00B42EF3">
      <w:pPr>
        <w:pStyle w:val="Code"/>
      </w:pPr>
      <w:r>
        <w:t>"[#Headers]", spaced-comma, "[#Data]" |</w:t>
      </w:r>
    </w:p>
    <w:p w:rsidR="005F78FC" w:rsidRDefault="00B42EF3">
      <w:pPr>
        <w:pStyle w:val="Code"/>
      </w:pPr>
      <w:r>
        <w:t>"[#Data]", spaced-comma, "[#Totals]" ;</w:t>
      </w:r>
    </w:p>
    <w:p w:rsidR="005F78FC" w:rsidRDefault="00B42EF3">
      <w:pPr>
        <w:pStyle w:val="Code"/>
      </w:pPr>
      <w:r>
        <w:t>column-range=</w:t>
      </w:r>
    </w:p>
    <w:p w:rsidR="005F78FC" w:rsidRDefault="00B42EF3">
      <w:pPr>
        <w:pStyle w:val="Code"/>
      </w:pPr>
      <w:r>
        <w:t xml:space="preserve">column, [":", </w:t>
      </w:r>
      <w:r>
        <w:t>column] ;</w:t>
      </w:r>
    </w:p>
    <w:p w:rsidR="005F78FC" w:rsidRDefault="00B42EF3">
      <w:pPr>
        <w:pStyle w:val="Code"/>
      </w:pPr>
      <w:r>
        <w:t>column=</w:t>
      </w:r>
    </w:p>
    <w:p w:rsidR="005F78FC" w:rsidRDefault="00B42EF3">
      <w:pPr>
        <w:pStyle w:val="Code"/>
      </w:pPr>
      <w:r>
        <w:t>simple-column-name |</w:t>
      </w:r>
    </w:p>
    <w:p w:rsidR="005F78FC" w:rsidRDefault="00B42EF3">
      <w:pPr>
        <w:pStyle w:val="Code"/>
      </w:pPr>
      <w:r>
        <w:t>spaced-lbracket, {space}, simple-column-name, {space}, spaced-rbracket ;</w:t>
      </w:r>
    </w:p>
    <w:p w:rsidR="005F78FC" w:rsidRDefault="00B42EF3">
      <w:pPr>
        <w:pStyle w:val="Code"/>
      </w:pPr>
      <w:r>
        <w:t>simple-column-name=</w:t>
      </w:r>
    </w:p>
    <w:p w:rsidR="005F78FC" w:rsidRDefault="00B42EF3">
      <w:pPr>
        <w:pStyle w:val="Code"/>
      </w:pPr>
      <w:r>
        <w:t>[any-nospace-column-character, {any-column-character }], any-nospace-column-character ;</w:t>
      </w:r>
    </w:p>
    <w:p w:rsidR="005F78FC" w:rsidRDefault="00B42EF3">
      <w:pPr>
        <w:pStyle w:val="Code"/>
      </w:pPr>
      <w:r>
        <w:t>escape-column-character=</w:t>
      </w:r>
    </w:p>
    <w:p w:rsidR="005F78FC" w:rsidRDefault="00B42EF3">
      <w:pPr>
        <w:pStyle w:val="Code"/>
      </w:pPr>
      <w:r>
        <w:t>"'" | "[" |</w:t>
      </w:r>
      <w:r>
        <w:t xml:space="preserve"> "]" | "#" ;</w:t>
      </w:r>
    </w:p>
    <w:p w:rsidR="005F78FC" w:rsidRDefault="00B42EF3">
      <w:pPr>
        <w:pStyle w:val="Code"/>
      </w:pPr>
      <w:r>
        <w:t>any-column-character=</w:t>
      </w:r>
    </w:p>
    <w:p w:rsidR="005F78FC" w:rsidRDefault="00B42EF3">
      <w:pPr>
        <w:pStyle w:val="Code"/>
      </w:pPr>
      <w:r>
        <w:t xml:space="preserve">character - escape-column-character | </w:t>
      </w:r>
    </w:p>
    <w:p w:rsidR="005F78FC" w:rsidRDefault="00B42EF3">
      <w:pPr>
        <w:pStyle w:val="Code"/>
      </w:pPr>
      <w:r>
        <w:t>"'", escape-column-character ;</w:t>
      </w:r>
    </w:p>
    <w:p w:rsidR="005F78FC" w:rsidRDefault="00B42EF3">
      <w:pPr>
        <w:pStyle w:val="Code"/>
      </w:pPr>
      <w:r>
        <w:t>any-nospace-column-character=</w:t>
      </w:r>
    </w:p>
    <w:p w:rsidR="005F78FC" w:rsidRDefault="00B42EF3">
      <w:pPr>
        <w:pStyle w:val="Code"/>
      </w:pPr>
      <w:r>
        <w:t>any-column-character – space ;</w:t>
      </w:r>
    </w:p>
    <w:p w:rsidR="005F78FC" w:rsidRDefault="00B42EF3">
      <w:pPr>
        <w:pStyle w:val="Code"/>
      </w:pPr>
      <w:r>
        <w:t>spaced-comma=</w:t>
      </w:r>
    </w:p>
    <w:p w:rsidR="005F78FC" w:rsidRDefault="00B42EF3">
      <w:pPr>
        <w:pStyle w:val="Code"/>
      </w:pPr>
      <w:r>
        <w:t>[space], ",", [space] ;</w:t>
      </w:r>
    </w:p>
    <w:p w:rsidR="005F78FC" w:rsidRDefault="00B42EF3">
      <w:pPr>
        <w:pStyle w:val="Code"/>
      </w:pPr>
      <w:r>
        <w:t>spaced-lbracket=</w:t>
      </w:r>
    </w:p>
    <w:p w:rsidR="005F78FC" w:rsidRDefault="00B42EF3">
      <w:pPr>
        <w:pStyle w:val="Code"/>
      </w:pPr>
      <w:r>
        <w:t>"[", [space] ;</w:t>
      </w:r>
    </w:p>
    <w:p w:rsidR="005F78FC" w:rsidRDefault="00B42EF3">
      <w:pPr>
        <w:pStyle w:val="Code"/>
      </w:pPr>
      <w:r>
        <w:t>spaced-rbracket=</w:t>
      </w:r>
    </w:p>
    <w:p w:rsidR="005F78FC" w:rsidRDefault="00B42EF3">
      <w:pPr>
        <w:pStyle w:val="Code"/>
      </w:pPr>
      <w:r>
        <w:lastRenderedPageBreak/>
        <w:t>[space], "]" ;</w:t>
      </w:r>
    </w:p>
    <w:p w:rsidR="005F78FC" w:rsidRDefault="00B42EF3">
      <w:r>
        <w:t>Structure references define rectangular sections of tables using special syntax, table column names, and reserved keywords instead of relative or absolute references. Structure references do not need adjustment if tables they refer to have b</w:t>
      </w:r>
      <w:r>
        <w:t>een modified. They also provide a mechanism to define areas using meaningful table column names instead of less helpful cell references.</w:t>
      </w:r>
    </w:p>
    <w:p w:rsidR="005F78FC" w:rsidRDefault="00B42EF3">
      <w:r>
        <w:t>table-name is the name of the table the structure reference refers to. If it is missing, then the formula containing th</w:t>
      </w:r>
      <w:r>
        <w:t>e structure reference must be entered into a cell that belongs to a table, and that table’s name is used as the table-name. table-name must be a name of a table. It must not be any other user-defined name.</w:t>
      </w:r>
    </w:p>
    <w:p w:rsidR="005F78FC" w:rsidRDefault="00B42EF3">
      <w:r>
        <w:t>table-name[] refers to all cells in table-name exc</w:t>
      </w:r>
      <w:r>
        <w:t>ept Header Row and Total Row.</w:t>
      </w:r>
    </w:p>
    <w:p w:rsidR="005F78FC" w:rsidRDefault="00B42EF3">
      <w:r>
        <w:t>table-name[#Data] refers to all table-name’s cells except Header Row and Total Row. It is equivalent to the form table-name[].</w:t>
      </w:r>
    </w:p>
    <w:p w:rsidR="005F78FC" w:rsidRDefault="00B42EF3">
      <w:r>
        <w:t>table-name[#Headers] refers to all cells in table-name’s Header Row.</w:t>
      </w:r>
    </w:p>
    <w:p w:rsidR="005F78FC" w:rsidRDefault="00B42EF3">
      <w:r>
        <w:t xml:space="preserve">table-name[#Total Row] refers </w:t>
      </w:r>
      <w:r>
        <w:t>to all cells in the table-name’s Total Row</w:t>
      </w:r>
    </w:p>
    <w:p w:rsidR="005F78FC" w:rsidRDefault="00B42EF3">
      <w:r>
        <w:t>table-name[#All] refers to the entire table area. table-name[#All] is the union of table-name[#Headers], table-name[#Data], and table-name[#Total Row]</w:t>
      </w:r>
    </w:p>
    <w:p w:rsidR="005F78FC" w:rsidRDefault="00B42EF3">
      <w:r>
        <w:t>table-name[column-name] refers to all cells in the column name</w:t>
      </w:r>
      <w:r>
        <w:t>d column-name except the cells from Header Row and Total Row.</w:t>
      </w:r>
    </w:p>
    <w:p w:rsidR="005F78FC" w:rsidRDefault="00B42EF3">
      <w:r>
        <w:t>table-name[[column-name]] refers to all cells in the column named column-name except the cells from Header Row and Total Row.</w:t>
      </w:r>
    </w:p>
    <w:p w:rsidR="005F78FC" w:rsidRDefault="00B42EF3">
      <w:r>
        <w:t>table-name[[column-name1]:[column-name2]] refers to all cells from c</w:t>
      </w:r>
      <w:r>
        <w:t>olumn named column-name1 through column named column-name2 except the cells from Header Row and Total Row.</w:t>
      </w:r>
    </w:p>
    <w:p w:rsidR="005F78FC" w:rsidRDefault="00B42EF3">
      <w:r>
        <w:t>table-name[[keyword],[column-name]], where keyword is one of #Headers, #Total Row, #Data, #All, refers to the intersection of the area defined by tab</w:t>
      </w:r>
      <w:r>
        <w:t>le-name[keyword] and all cells from the column named column-name.</w:t>
      </w:r>
    </w:p>
    <w:p w:rsidR="005F78FC" w:rsidRDefault="00B42EF3">
      <w:r>
        <w:t>table-name[[#Data],[column-name]] is equivalent to table-name[column-name]</w:t>
      </w:r>
    </w:p>
    <w:p w:rsidR="005F78FC" w:rsidRDefault="00B42EF3">
      <w:r>
        <w:t>table-name[[keyword],[column-name1]:[column-name2]], where keyword is one of #Headers, #Total Row, #Data, #All, ref</w:t>
      </w:r>
      <w:r>
        <w:t>ers to the intersection of the area defined by table-name[keyword] and all cells from the table from column named column-name1 through column named coumn-name2.</w:t>
      </w:r>
    </w:p>
    <w:p w:rsidR="005F78FC" w:rsidRDefault="00B42EF3">
      <w:r>
        <w:t>table-name[[#Headers],[#Data],[column-name]] is the union of table-name[[#Headers],[column-name</w:t>
      </w:r>
      <w:r>
        <w:t>]] and table-name[[#Data],[column-name]]</w:t>
      </w:r>
    </w:p>
    <w:p w:rsidR="005F78FC" w:rsidRDefault="00B42EF3">
      <w:r>
        <w:t>table-name[[#Data],[#Total Row],[column-name]] is the union of table-name[[#Data],[column-name]] and table-name[[#Total Row],[column-name]]</w:t>
      </w:r>
    </w:p>
    <w:p w:rsidR="005F78FC" w:rsidRDefault="00B42EF3">
      <w:r>
        <w:t>table-name[[#Headers],[#Data],[column-name1]:[column-name2]] is the union o</w:t>
      </w:r>
      <w:r>
        <w:t>f table-name[[#Headers], [column-name1]:[column-name2]] and table-name[[#Data], [column-name1]:[column-name2]]</w:t>
      </w:r>
    </w:p>
    <w:p w:rsidR="005F78FC" w:rsidRDefault="00B42EF3">
      <w:r>
        <w:t>table-name[[#Data],[#Total Row], [column-name1]:[column-name2]] is the union of table-name[[#Data], [column-name1]:[column-name2]] and table-name</w:t>
      </w:r>
      <w:r>
        <w:t>[[#Total Row], [column-name1]:[column-name2]]</w:t>
      </w:r>
    </w:p>
    <w:p w:rsidR="005F78FC" w:rsidRDefault="00B42EF3">
      <w:r>
        <w:t xml:space="preserve">table-name[[#This Row],[column-name]] refers to the cell in the intersection of table-name[column-name] and the current row; for example, the row of the cell that contains the formula with the </w:t>
      </w:r>
      <w:r>
        <w:lastRenderedPageBreak/>
        <w:t>structure referen</w:t>
      </w:r>
      <w:r>
        <w:t>ce. table-name[[#This Row],[column-name1]:[column-name2]]refers to the cells in the intersection of table-name[[column-name]:[column-name2]] and the current row; for example, the row of the cell that contains the formula with such structure reference. Thes</w:t>
      </w:r>
      <w:r>
        <w:t xml:space="preserve">e two forms allow formulas to perform implicit intersection using structure references. </w:t>
      </w:r>
    </w:p>
    <w:p w:rsidR="005F78FC" w:rsidRDefault="00B42EF3">
      <w:r>
        <w:t>#This Row must not be combined with any of #Headers, #Total Row, #Data, #All.</w:t>
      </w:r>
    </w:p>
    <w:p w:rsidR="005F78FC" w:rsidRDefault="00B42EF3">
      <w:pPr>
        <w:pStyle w:val="Heading5"/>
      </w:pPr>
      <w:bookmarkStart w:id="4001" w:name="section_ed5fc677a2444bfca1488ac15a6a97db"/>
      <w:bookmarkStart w:id="4002" w:name="_Toc69879773"/>
      <w:r>
        <w:t>Conditional Formatting Formulas</w:t>
      </w:r>
      <w:bookmarkEnd w:id="4001"/>
      <w:bookmarkEnd w:id="4002"/>
      <w:r>
        <w:fldChar w:fldCharType="begin"/>
      </w:r>
      <w:r>
        <w:instrText xml:space="preserve"> XE "Conditional Formatting Formulas" </w:instrText>
      </w:r>
      <w:r>
        <w:fldChar w:fldCharType="end"/>
      </w:r>
    </w:p>
    <w:p w:rsidR="005F78FC" w:rsidRDefault="00B42EF3">
      <w:r>
        <w:t>Conditional forma</w:t>
      </w:r>
      <w:r>
        <w:t>tting formulas are part of conditional formatting rules.</w:t>
      </w:r>
    </w:p>
    <w:p w:rsidR="005F78FC" w:rsidRDefault="00B42EF3">
      <w:r>
        <w:t>A conditional formatting formula shall not use array constants.</w:t>
      </w:r>
    </w:p>
    <w:p w:rsidR="005F78FC" w:rsidRDefault="00B42EF3">
      <w:r>
        <w:t>A conditional formatting formula shall not use structure references.</w:t>
      </w:r>
    </w:p>
    <w:p w:rsidR="005F78FC" w:rsidRDefault="00B42EF3">
      <w:r>
        <w:t xml:space="preserve">A conditional formatting formula shall not use union and </w:t>
      </w:r>
      <w:r>
        <w:t>intersection binary operators.</w:t>
      </w:r>
    </w:p>
    <w:p w:rsidR="005F78FC" w:rsidRDefault="00B42EF3">
      <w:r>
        <w:t xml:space="preserve">A conditional formatting formula shall not use 3-D references. </w:t>
      </w:r>
    </w:p>
    <w:p w:rsidR="005F78FC" w:rsidRDefault="00B42EF3">
      <w:pPr>
        <w:pStyle w:val="Code"/>
      </w:pPr>
      <w:r>
        <w:t>CF-formula=</w:t>
      </w:r>
    </w:p>
    <w:p w:rsidR="005F78FC" w:rsidRDefault="00B42EF3">
      <w:pPr>
        <w:pStyle w:val="Code"/>
      </w:pPr>
      <w:r>
        <w:t>CF-expression ;</w:t>
      </w:r>
    </w:p>
    <w:p w:rsidR="005F78FC" w:rsidRDefault="00B42EF3">
      <w:pPr>
        <w:pStyle w:val="Code"/>
      </w:pPr>
      <w:r>
        <w:t>CF-expression= {space}, CF-nospace-expression, {space} ;</w:t>
      </w:r>
    </w:p>
    <w:p w:rsidR="005F78FC" w:rsidRDefault="00B42EF3">
      <w:pPr>
        <w:pStyle w:val="Code"/>
      </w:pPr>
      <w:r>
        <w:t xml:space="preserve">CF-nospace-expression= </w:t>
      </w:r>
    </w:p>
    <w:p w:rsidR="005F78FC" w:rsidRDefault="00B42EF3">
      <w:pPr>
        <w:pStyle w:val="Code"/>
      </w:pPr>
      <w:r>
        <w:t xml:space="preserve">"(", CF-expression, ")" | </w:t>
      </w:r>
    </w:p>
    <w:p w:rsidR="005F78FC" w:rsidRDefault="00B42EF3">
      <w:pPr>
        <w:pStyle w:val="Code"/>
      </w:pPr>
      <w:r>
        <w:t xml:space="preserve">CF-constant | </w:t>
      </w:r>
    </w:p>
    <w:p w:rsidR="005F78FC" w:rsidRDefault="00B42EF3">
      <w:pPr>
        <w:pStyle w:val="Code"/>
      </w:pPr>
      <w:r>
        <w:t xml:space="preserve">prefix-operator, CF-expression | </w:t>
      </w:r>
    </w:p>
    <w:p w:rsidR="005F78FC" w:rsidRDefault="00B42EF3">
      <w:pPr>
        <w:pStyle w:val="Code"/>
      </w:pPr>
      <w:r>
        <w:t xml:space="preserve">CF-expression, CF-infix-operator, CF-expression | </w:t>
      </w:r>
    </w:p>
    <w:p w:rsidR="005F78FC" w:rsidRDefault="00B42EF3">
      <w:pPr>
        <w:pStyle w:val="Code"/>
      </w:pPr>
      <w:r>
        <w:t xml:space="preserve">CF-expression, postfix-operator | </w:t>
      </w:r>
    </w:p>
    <w:p w:rsidR="005F78FC" w:rsidRDefault="00B42EF3">
      <w:pPr>
        <w:pStyle w:val="Code"/>
      </w:pPr>
      <w:r>
        <w:t>A1-reference |</w:t>
      </w:r>
    </w:p>
    <w:p w:rsidR="005F78FC" w:rsidRDefault="00B42EF3">
      <w:pPr>
        <w:pStyle w:val="Code"/>
      </w:pPr>
      <w:r>
        <w:t xml:space="preserve">CF-function-call | </w:t>
      </w:r>
    </w:p>
    <w:p w:rsidR="005F78FC" w:rsidRDefault="00B42EF3">
      <w:pPr>
        <w:pStyle w:val="Code"/>
      </w:pPr>
      <w:r>
        <w:t>name ;</w:t>
      </w:r>
    </w:p>
    <w:p w:rsidR="005F78FC" w:rsidRDefault="00B42EF3">
      <w:pPr>
        <w:pStyle w:val="Code"/>
      </w:pPr>
      <w:r>
        <w:t>CF-constant=</w:t>
      </w:r>
    </w:p>
    <w:p w:rsidR="005F78FC" w:rsidRDefault="00B42EF3">
      <w:pPr>
        <w:pStyle w:val="Code"/>
      </w:pPr>
      <w:r>
        <w:t xml:space="preserve">constant – array-constant ; </w:t>
      </w:r>
    </w:p>
    <w:p w:rsidR="005F78FC" w:rsidRDefault="00B42EF3">
      <w:pPr>
        <w:pStyle w:val="Code"/>
      </w:pPr>
      <w:r>
        <w:t>CF-infix-operator=</w:t>
      </w:r>
    </w:p>
    <w:p w:rsidR="005F78FC" w:rsidRDefault="00B42EF3">
      <w:pPr>
        <w:pStyle w:val="Code"/>
      </w:pPr>
      <w:r>
        <w:t>":" | "^" | "*" | "/" | "+" | "-"</w:t>
      </w:r>
      <w:r>
        <w:t xml:space="preserve"> | "&amp;"| </w:t>
      </w:r>
    </w:p>
    <w:p w:rsidR="005F78FC" w:rsidRDefault="00B42EF3">
      <w:pPr>
        <w:pStyle w:val="Code"/>
      </w:pPr>
      <w:r>
        <w:t>"=" | "&lt;&gt;" | "&lt;" | "&lt;=" | "&gt;" | "&gt;=" ;</w:t>
      </w:r>
    </w:p>
    <w:p w:rsidR="005F78FC" w:rsidRDefault="00B42EF3">
      <w:pPr>
        <w:pStyle w:val="Code"/>
      </w:pPr>
      <w:r>
        <w:t>CF-function-call=</w:t>
      </w:r>
    </w:p>
    <w:p w:rsidR="005F78FC" w:rsidRDefault="00B42EF3">
      <w:pPr>
        <w:pStyle w:val="Code"/>
      </w:pPr>
      <w:r>
        <w:t>CF-function-name, "(", CF-function-argument-list, ")" ;</w:t>
      </w:r>
    </w:p>
    <w:p w:rsidR="005F78FC" w:rsidRDefault="00B42EF3">
      <w:pPr>
        <w:pStyle w:val="Code"/>
      </w:pPr>
      <w:r>
        <w:t>CF-function-name=</w:t>
      </w:r>
    </w:p>
    <w:p w:rsidR="005F78FC" w:rsidRDefault="00B42EF3">
      <w:pPr>
        <w:pStyle w:val="Code"/>
      </w:pPr>
      <w:r>
        <w:t xml:space="preserve">predefined-function-name | </w:t>
      </w:r>
    </w:p>
    <w:p w:rsidR="005F78FC" w:rsidRDefault="00B42EF3">
      <w:pPr>
        <w:pStyle w:val="Code"/>
      </w:pPr>
      <w:r>
        <w:t>name ;</w:t>
      </w:r>
    </w:p>
    <w:p w:rsidR="005F78FC" w:rsidRDefault="00B42EF3">
      <w:pPr>
        <w:pStyle w:val="Code"/>
      </w:pPr>
      <w:r>
        <w:t>CF-function-argument-list =</w:t>
      </w:r>
    </w:p>
    <w:p w:rsidR="005F78FC" w:rsidRDefault="00B42EF3">
      <w:pPr>
        <w:pStyle w:val="Code"/>
      </w:pPr>
      <w:r>
        <w:t>[CF-expression], { comma, CF-function-argument-list }</w:t>
      </w:r>
      <w:r>
        <w:t xml:space="preserve"> ;</w:t>
      </w:r>
    </w:p>
    <w:p w:rsidR="005F78FC" w:rsidRDefault="00B42EF3">
      <w:pPr>
        <w:pStyle w:val="Heading5"/>
      </w:pPr>
      <w:bookmarkStart w:id="4003" w:name="section_26e0ceb25b9342dc838c9e15c1a8cd8b"/>
      <w:bookmarkStart w:id="4004" w:name="_Toc69879774"/>
      <w:r>
        <w:t>Data Validation Formulas</w:t>
      </w:r>
      <w:bookmarkEnd w:id="4003"/>
      <w:bookmarkEnd w:id="4004"/>
      <w:r>
        <w:fldChar w:fldCharType="begin"/>
      </w:r>
      <w:r>
        <w:instrText xml:space="preserve"> XE "Data Validation Formulas" </w:instrText>
      </w:r>
      <w:r>
        <w:fldChar w:fldCharType="end"/>
      </w:r>
    </w:p>
    <w:p w:rsidR="005F78FC" w:rsidRDefault="00B42EF3">
      <w:r>
        <w:t xml:space="preserve">Data validation formulas are part of Data Validation rules.  They shall not use array constants, structure references, or union or intersection binary operators. </w:t>
      </w:r>
    </w:p>
    <w:p w:rsidR="005F78FC" w:rsidRDefault="00B42EF3">
      <w:pPr>
        <w:pStyle w:val="Code"/>
      </w:pPr>
      <w:r>
        <w:t>DV-formula=</w:t>
      </w:r>
    </w:p>
    <w:p w:rsidR="005F78FC" w:rsidRDefault="00B42EF3">
      <w:pPr>
        <w:pStyle w:val="Code"/>
      </w:pPr>
      <w:r>
        <w:t>DV-expression ;</w:t>
      </w:r>
    </w:p>
    <w:p w:rsidR="005F78FC" w:rsidRDefault="00B42EF3">
      <w:pPr>
        <w:pStyle w:val="Code"/>
      </w:pPr>
      <w:r>
        <w:t>DV-expression= {space}, DV-nospace-expression, {space} ;</w:t>
      </w:r>
    </w:p>
    <w:p w:rsidR="005F78FC" w:rsidRDefault="00B42EF3">
      <w:pPr>
        <w:pStyle w:val="Code"/>
      </w:pPr>
      <w:r>
        <w:t>DV-nospace-expression=</w:t>
      </w:r>
    </w:p>
    <w:p w:rsidR="005F78FC" w:rsidRDefault="00B42EF3">
      <w:pPr>
        <w:pStyle w:val="Code"/>
      </w:pPr>
      <w:r>
        <w:t xml:space="preserve">"(", DV-expression, ")" | </w:t>
      </w:r>
    </w:p>
    <w:p w:rsidR="005F78FC" w:rsidRDefault="00B42EF3">
      <w:pPr>
        <w:pStyle w:val="Code"/>
      </w:pPr>
      <w:r>
        <w:t xml:space="preserve">DV-constant | </w:t>
      </w:r>
    </w:p>
    <w:p w:rsidR="005F78FC" w:rsidRDefault="00B42EF3">
      <w:pPr>
        <w:pStyle w:val="Code"/>
      </w:pPr>
      <w:r>
        <w:t xml:space="preserve">prefix-operator, DV-expression | </w:t>
      </w:r>
    </w:p>
    <w:p w:rsidR="005F78FC" w:rsidRDefault="00B42EF3">
      <w:pPr>
        <w:pStyle w:val="Code"/>
      </w:pPr>
      <w:r>
        <w:t xml:space="preserve">DV-expression, DV-infix-operator, DV-expression | </w:t>
      </w:r>
    </w:p>
    <w:p w:rsidR="005F78FC" w:rsidRDefault="00B42EF3">
      <w:pPr>
        <w:pStyle w:val="Code"/>
      </w:pPr>
      <w:r>
        <w:t xml:space="preserve">DV-expression, postfix-operator | </w:t>
      </w:r>
    </w:p>
    <w:p w:rsidR="005F78FC" w:rsidRDefault="00B42EF3">
      <w:pPr>
        <w:pStyle w:val="Code"/>
      </w:pPr>
      <w:r>
        <w:t>A1-reference |</w:t>
      </w:r>
    </w:p>
    <w:p w:rsidR="005F78FC" w:rsidRDefault="00B42EF3">
      <w:pPr>
        <w:pStyle w:val="Code"/>
      </w:pPr>
      <w:r>
        <w:t xml:space="preserve">function-call | </w:t>
      </w:r>
    </w:p>
    <w:p w:rsidR="005F78FC" w:rsidRDefault="00B42EF3">
      <w:pPr>
        <w:pStyle w:val="Code"/>
      </w:pPr>
      <w:r>
        <w:t>name ;</w:t>
      </w:r>
    </w:p>
    <w:p w:rsidR="005F78FC" w:rsidRDefault="00B42EF3">
      <w:pPr>
        <w:pStyle w:val="Code"/>
      </w:pPr>
      <w:r>
        <w:t>DV-constant=</w:t>
      </w:r>
    </w:p>
    <w:p w:rsidR="005F78FC" w:rsidRDefault="00B42EF3">
      <w:pPr>
        <w:pStyle w:val="Code"/>
      </w:pPr>
      <w:r>
        <w:t>constant – array-constant ;</w:t>
      </w:r>
    </w:p>
    <w:p w:rsidR="005F78FC" w:rsidRDefault="00B42EF3">
      <w:pPr>
        <w:pStyle w:val="Code"/>
      </w:pPr>
      <w:r>
        <w:t>DV-infix-operator=</w:t>
      </w:r>
    </w:p>
    <w:p w:rsidR="005F78FC" w:rsidRDefault="00B42EF3">
      <w:pPr>
        <w:pStyle w:val="Code"/>
      </w:pPr>
      <w:r>
        <w:lastRenderedPageBreak/>
        <w:t xml:space="preserve">":" | "^" | "*" | "/" | "+" | "-" | "&amp;"| </w:t>
      </w:r>
    </w:p>
    <w:p w:rsidR="005F78FC" w:rsidRDefault="00B42EF3">
      <w:pPr>
        <w:pStyle w:val="Code"/>
      </w:pPr>
      <w:r>
        <w:t xml:space="preserve">"=" | "&lt;&gt;" | "&lt;" | "&lt;=" | "&gt;" | "&gt;=" ; </w:t>
      </w:r>
    </w:p>
    <w:p w:rsidR="005F78FC" w:rsidRDefault="00B42EF3">
      <w:pPr>
        <w:pStyle w:val="Code"/>
      </w:pPr>
      <w:r>
        <w:t>DV-function-call=</w:t>
      </w:r>
    </w:p>
    <w:p w:rsidR="005F78FC" w:rsidRDefault="00B42EF3">
      <w:pPr>
        <w:pStyle w:val="Code"/>
      </w:pPr>
      <w:r>
        <w:t>DV-function-name, "(", DV-function-argument-list, ")" ;</w:t>
      </w:r>
    </w:p>
    <w:p w:rsidR="005F78FC" w:rsidRDefault="00B42EF3">
      <w:pPr>
        <w:pStyle w:val="Code"/>
      </w:pPr>
      <w:r>
        <w:t>DV-function-nam</w:t>
      </w:r>
      <w:r>
        <w:t>e=</w:t>
      </w:r>
    </w:p>
    <w:p w:rsidR="005F78FC" w:rsidRDefault="00B42EF3">
      <w:pPr>
        <w:pStyle w:val="Code"/>
      </w:pPr>
      <w:r>
        <w:t xml:space="preserve">predefined-function-name | </w:t>
      </w:r>
    </w:p>
    <w:p w:rsidR="005F78FC" w:rsidRDefault="00B42EF3">
      <w:pPr>
        <w:pStyle w:val="Code"/>
      </w:pPr>
      <w:r>
        <w:t>name ;</w:t>
      </w:r>
    </w:p>
    <w:p w:rsidR="005F78FC" w:rsidRDefault="00B42EF3">
      <w:pPr>
        <w:pStyle w:val="Code"/>
      </w:pPr>
      <w:r>
        <w:t>DV-function-argument-list=</w:t>
      </w:r>
    </w:p>
    <w:p w:rsidR="005F78FC" w:rsidRDefault="00B42EF3">
      <w:pPr>
        <w:pStyle w:val="Code"/>
      </w:pPr>
      <w:r>
        <w:t>[DV-expression], { comma, DV-function-argument-list } ;</w:t>
      </w:r>
    </w:p>
    <w:p w:rsidR="005F78FC" w:rsidRDefault="00B42EF3">
      <w:pPr>
        <w:pStyle w:val="Heading5"/>
      </w:pPr>
      <w:bookmarkStart w:id="4005" w:name="section_da7f42ad0083451a98cfb475b578d91d"/>
      <w:bookmarkStart w:id="4006" w:name="_Toc69879775"/>
      <w:r>
        <w:t>Name Formulas</w:t>
      </w:r>
      <w:bookmarkEnd w:id="4005"/>
      <w:bookmarkEnd w:id="4006"/>
      <w:r>
        <w:fldChar w:fldCharType="begin"/>
      </w:r>
      <w:r>
        <w:instrText xml:space="preserve"> XE "Name Formulas" </w:instrText>
      </w:r>
      <w:r>
        <w:fldChar w:fldCharType="end"/>
      </w:r>
    </w:p>
    <w:p w:rsidR="005F78FC" w:rsidRDefault="00B42EF3">
      <w:r>
        <w:t>If a name is defined as an alias for a formula then that formula shall contain 3-D references only.</w:t>
      </w:r>
    </w:p>
    <w:p w:rsidR="005F78FC" w:rsidRDefault="00B42EF3">
      <w:pPr>
        <w:pStyle w:val="Code"/>
      </w:pPr>
      <w:r>
        <w:t>name-formula=</w:t>
      </w:r>
    </w:p>
    <w:p w:rsidR="005F78FC" w:rsidRDefault="00B42EF3">
      <w:pPr>
        <w:pStyle w:val="Code"/>
      </w:pPr>
      <w:r>
        <w:t xml:space="preserve">name-expression ; </w:t>
      </w:r>
    </w:p>
    <w:p w:rsidR="005F78FC" w:rsidRDefault="00B42EF3">
      <w:pPr>
        <w:pStyle w:val="Code"/>
      </w:pPr>
      <w:r>
        <w:t>name-expression= {space}, name-nospace-expression, {space} ;</w:t>
      </w:r>
    </w:p>
    <w:p w:rsidR="005F78FC" w:rsidRDefault="00B42EF3">
      <w:pPr>
        <w:pStyle w:val="Code"/>
      </w:pPr>
      <w:r>
        <w:t>name-nospace-expression=</w:t>
      </w:r>
    </w:p>
    <w:p w:rsidR="005F78FC" w:rsidRDefault="00B42EF3">
      <w:pPr>
        <w:pStyle w:val="Code"/>
      </w:pPr>
      <w:r>
        <w:t xml:space="preserve">"(", name-expression, ")" | </w:t>
      </w:r>
    </w:p>
    <w:p w:rsidR="005F78FC" w:rsidRDefault="00B42EF3">
      <w:pPr>
        <w:pStyle w:val="Code"/>
      </w:pPr>
      <w:r>
        <w:t xml:space="preserve">constant | </w:t>
      </w:r>
    </w:p>
    <w:p w:rsidR="005F78FC" w:rsidRDefault="00B42EF3">
      <w:pPr>
        <w:pStyle w:val="Code"/>
      </w:pPr>
      <w:r>
        <w:t xml:space="preserve">prefix-operator, name-expression | </w:t>
      </w:r>
    </w:p>
    <w:p w:rsidR="005F78FC" w:rsidRDefault="00B42EF3">
      <w:pPr>
        <w:pStyle w:val="Code"/>
      </w:pPr>
      <w:r>
        <w:t xml:space="preserve">name-expression, infix-operator, name-expression | </w:t>
      </w:r>
    </w:p>
    <w:p w:rsidR="005F78FC" w:rsidRDefault="00B42EF3">
      <w:pPr>
        <w:pStyle w:val="Code"/>
      </w:pPr>
      <w:r>
        <w:t xml:space="preserve">name-expression, postfix-operator | </w:t>
      </w:r>
    </w:p>
    <w:p w:rsidR="005F78FC" w:rsidRDefault="00B42EF3">
      <w:pPr>
        <w:pStyle w:val="Code"/>
      </w:pPr>
      <w:r>
        <w:t>external-cell-reference |</w:t>
      </w:r>
    </w:p>
    <w:p w:rsidR="005F78FC" w:rsidRDefault="00B42EF3">
      <w:pPr>
        <w:pStyle w:val="Code"/>
      </w:pPr>
      <w:r>
        <w:t>"!", A1-reference |</w:t>
      </w:r>
    </w:p>
    <w:p w:rsidR="005F78FC" w:rsidRDefault="00B42EF3">
      <w:pPr>
        <w:pStyle w:val="Code"/>
      </w:pPr>
      <w:r>
        <w:t xml:space="preserve">name-function-call | </w:t>
      </w:r>
    </w:p>
    <w:p w:rsidR="005F78FC" w:rsidRDefault="00B42EF3">
      <w:pPr>
        <w:pStyle w:val="Code"/>
      </w:pPr>
      <w:r>
        <w:t>name-reference |</w:t>
      </w:r>
    </w:p>
    <w:p w:rsidR="005F78FC" w:rsidRDefault="00B42EF3">
      <w:pPr>
        <w:pStyle w:val="Code"/>
      </w:pPr>
      <w:r>
        <w:t>"!", name |</w:t>
      </w:r>
    </w:p>
    <w:p w:rsidR="005F78FC" w:rsidRDefault="00B42EF3">
      <w:pPr>
        <w:pStyle w:val="Code"/>
      </w:pPr>
      <w:r>
        <w:t>structure-reference ;</w:t>
      </w:r>
    </w:p>
    <w:p w:rsidR="005F78FC" w:rsidRDefault="00B42EF3">
      <w:pPr>
        <w:pStyle w:val="Code"/>
      </w:pPr>
      <w:r>
        <w:t>name-function-call=</w:t>
      </w:r>
    </w:p>
    <w:p w:rsidR="005F78FC" w:rsidRDefault="00B42EF3">
      <w:pPr>
        <w:pStyle w:val="Code"/>
      </w:pPr>
      <w:r>
        <w:t>function-name, "(", name-function-argument-list, ")" ;</w:t>
      </w:r>
    </w:p>
    <w:p w:rsidR="005F78FC" w:rsidRDefault="00B42EF3">
      <w:pPr>
        <w:pStyle w:val="Code"/>
      </w:pPr>
      <w:r>
        <w:t>name-function-argument-li</w:t>
      </w:r>
      <w:r>
        <w:t>st=</w:t>
      </w:r>
    </w:p>
    <w:p w:rsidR="005F78FC" w:rsidRDefault="00B42EF3">
      <w:pPr>
        <w:pStyle w:val="Code"/>
      </w:pPr>
      <w:r>
        <w:t>[name-expression], { comma, name-function-argument-list } ;</w:t>
      </w:r>
    </w:p>
    <w:p w:rsidR="005F78FC" w:rsidRDefault="00B42EF3">
      <w:pPr>
        <w:pStyle w:val="Heading5"/>
      </w:pPr>
      <w:bookmarkStart w:id="4007" w:name="section_8a1616b2936d416fa5dee155de223008"/>
      <w:bookmarkStart w:id="4008" w:name="_Toc69879776"/>
      <w:r>
        <w:t>External Name Formulas</w:t>
      </w:r>
      <w:bookmarkEnd w:id="4007"/>
      <w:bookmarkEnd w:id="4008"/>
      <w:r>
        <w:fldChar w:fldCharType="begin"/>
      </w:r>
      <w:r>
        <w:instrText xml:space="preserve"> XE "External Name Formulas" </w:instrText>
      </w:r>
      <w:r>
        <w:fldChar w:fldCharType="end"/>
      </w:r>
    </w:p>
    <w:p w:rsidR="005F78FC" w:rsidRDefault="00B42EF3">
      <w:r>
        <w:t>External name formulas are restricted to cell references within the same external book.</w:t>
      </w:r>
    </w:p>
    <w:p w:rsidR="005F78FC" w:rsidRDefault="00B42EF3">
      <w:pPr>
        <w:pStyle w:val="Code"/>
      </w:pPr>
      <w:r>
        <w:t>external-name-formula=</w:t>
      </w:r>
    </w:p>
    <w:p w:rsidR="005F78FC" w:rsidRDefault="00B42EF3">
      <w:pPr>
        <w:pStyle w:val="Code"/>
      </w:pPr>
      <w:r>
        <w:t>["="], external-name-expres</w:t>
      </w:r>
      <w:r>
        <w:t xml:space="preserve">sion ; </w:t>
      </w:r>
    </w:p>
    <w:p w:rsidR="005F78FC" w:rsidRDefault="00B42EF3">
      <w:pPr>
        <w:pStyle w:val="Code"/>
      </w:pPr>
      <w:r>
        <w:t>external-name-expression=</w:t>
      </w:r>
    </w:p>
    <w:p w:rsidR="005F78FC" w:rsidRDefault="00B42EF3">
      <w:pPr>
        <w:pStyle w:val="Code"/>
      </w:pPr>
      <w:r>
        <w:t>same-book-prefix, A1-reference |</w:t>
      </w:r>
    </w:p>
    <w:p w:rsidR="005F78FC" w:rsidRDefault="00B42EF3">
      <w:pPr>
        <w:pStyle w:val="Code"/>
      </w:pPr>
      <w:r>
        <w:t>external-name-error-constant ;</w:t>
      </w:r>
    </w:p>
    <w:p w:rsidR="005F78FC" w:rsidRDefault="00B42EF3">
      <w:pPr>
        <w:pStyle w:val="Code"/>
      </w:pPr>
      <w:r>
        <w:t>same-book-prefix= same-book-single-sheet, "!" |</w:t>
      </w:r>
    </w:p>
    <w:p w:rsidR="005F78FC" w:rsidRDefault="00B42EF3">
      <w:pPr>
        <w:pStyle w:val="Code"/>
      </w:pPr>
      <w:r>
        <w:t xml:space="preserve">  same-book-sheet-range, "!" ; </w:t>
      </w:r>
    </w:p>
    <w:p w:rsidR="005F78FC" w:rsidRDefault="00B42EF3">
      <w:pPr>
        <w:pStyle w:val="Code"/>
      </w:pPr>
      <w:r>
        <w:t>same-book-single-sheet= sheet-name |</w:t>
      </w:r>
    </w:p>
    <w:p w:rsidR="005F78FC" w:rsidRDefault="00B42EF3">
      <w:pPr>
        <w:pStyle w:val="Code"/>
      </w:pPr>
      <w:r>
        <w:t xml:space="preserve">  apostrophe,  sheet-name-special,  apost</w:t>
      </w:r>
      <w:r>
        <w:t>rophe ;</w:t>
      </w:r>
    </w:p>
    <w:p w:rsidR="005F78FC" w:rsidRDefault="00B42EF3">
      <w:pPr>
        <w:pStyle w:val="Code"/>
      </w:pPr>
      <w:r>
        <w:t>same-book-sheet-range= sheet-name, ":", sheet-name |</w:t>
      </w:r>
    </w:p>
    <w:p w:rsidR="005F78FC" w:rsidRDefault="00B42EF3">
      <w:pPr>
        <w:pStyle w:val="Code"/>
      </w:pPr>
      <w:r>
        <w:t xml:space="preserve">apostrophe, sheet-name-special, ":", sheet-name-special,  apostrophe ; </w:t>
      </w:r>
    </w:p>
    <w:p w:rsidR="005F78FC" w:rsidRDefault="005F78FC">
      <w:pPr>
        <w:pStyle w:val="Code"/>
      </w:pPr>
    </w:p>
    <w:p w:rsidR="005F78FC" w:rsidRDefault="00B42EF3">
      <w:pPr>
        <w:pStyle w:val="Code"/>
      </w:pPr>
      <w:r>
        <w:t>external-name-error-constant=</w:t>
      </w:r>
    </w:p>
    <w:p w:rsidR="005F78FC" w:rsidRDefault="00B42EF3">
      <w:pPr>
        <w:pStyle w:val="Code"/>
      </w:pPr>
      <w:r>
        <w:t>"#REF!" ;</w:t>
      </w:r>
    </w:p>
    <w:p w:rsidR="005F78FC" w:rsidRDefault="00B42EF3">
      <w:pPr>
        <w:pStyle w:val="Heading5"/>
      </w:pPr>
      <w:bookmarkStart w:id="4009" w:name="section_a7f5e690608d4293affbcbe334eb4b62"/>
      <w:bookmarkStart w:id="4010" w:name="_Toc69879777"/>
      <w:r>
        <w:t>Chart formulas</w:t>
      </w:r>
      <w:bookmarkEnd w:id="4009"/>
      <w:bookmarkEnd w:id="4010"/>
      <w:r>
        <w:fldChar w:fldCharType="begin"/>
      </w:r>
      <w:r>
        <w:instrText xml:space="preserve"> XE "Chart formulas" </w:instrText>
      </w:r>
      <w:r>
        <w:fldChar w:fldCharType="end"/>
      </w:r>
    </w:p>
    <w:p w:rsidR="005F78FC" w:rsidRDefault="00B42EF3">
      <w:r>
        <w:t>Chart formulas define data ranges and values</w:t>
      </w:r>
      <w:r>
        <w:t xml:space="preserve"> used by charts, such as chart ranges, series ranges, series titles, and axis titles.</w:t>
      </w:r>
    </w:p>
    <w:p w:rsidR="005F78FC" w:rsidRDefault="00B42EF3">
      <w:r>
        <w:t>A chart formula shall be either a 3-D reference or a constant.</w:t>
      </w:r>
    </w:p>
    <w:p w:rsidR="005F78FC" w:rsidRDefault="00B42EF3">
      <w:pPr>
        <w:pStyle w:val="Code"/>
      </w:pPr>
      <w:r>
        <w:lastRenderedPageBreak/>
        <w:t>chart-formula=</w:t>
      </w:r>
    </w:p>
    <w:p w:rsidR="005F78FC" w:rsidRDefault="00B42EF3">
      <w:pPr>
        <w:pStyle w:val="Code"/>
      </w:pPr>
      <w:r>
        <w:t>chart_ref |</w:t>
      </w:r>
    </w:p>
    <w:p w:rsidR="005F78FC" w:rsidRDefault="00B42EF3">
      <w:pPr>
        <w:pStyle w:val="Code"/>
      </w:pPr>
      <w:r>
        <w:t>"(", chart-ref, ",", chart-ref, {",", chart-ref}, ")"</w:t>
      </w:r>
    </w:p>
    <w:p w:rsidR="005F78FC" w:rsidRDefault="00B42EF3">
      <w:pPr>
        <w:pStyle w:val="Code"/>
      </w:pPr>
      <w:r>
        <w:t xml:space="preserve">chart_ref = </w:t>
      </w:r>
    </w:p>
    <w:p w:rsidR="005F78FC" w:rsidRDefault="00B42EF3">
      <w:pPr>
        <w:pStyle w:val="Code"/>
      </w:pPr>
      <w:r>
        <w:t>external-cell</w:t>
      </w:r>
      <w:r>
        <w:t>-reference |</w:t>
      </w:r>
    </w:p>
    <w:p w:rsidR="005F78FC" w:rsidRDefault="00B42EF3">
      <w:pPr>
        <w:pStyle w:val="Code"/>
      </w:pPr>
      <w:r>
        <w:t>external-name ;</w:t>
      </w:r>
    </w:p>
    <w:p w:rsidR="005F78FC" w:rsidRDefault="00B42EF3">
      <w:pPr>
        <w:pStyle w:val="Heading5"/>
      </w:pPr>
      <w:bookmarkStart w:id="4011" w:name="section_85f4d41ff3d649c987c1d570f55b03cb"/>
      <w:bookmarkStart w:id="4012" w:name="_Toc69879778"/>
      <w:r>
        <w:t>R1C1 formulas</w:t>
      </w:r>
      <w:bookmarkEnd w:id="4011"/>
      <w:bookmarkEnd w:id="4012"/>
      <w:r>
        <w:fldChar w:fldCharType="begin"/>
      </w:r>
      <w:r>
        <w:instrText xml:space="preserve"> XE "R1C1 formulas" </w:instrText>
      </w:r>
      <w:r>
        <w:fldChar w:fldCharType="end"/>
      </w:r>
    </w:p>
    <w:p w:rsidR="005F78FC" w:rsidRDefault="00B42EF3">
      <w:r>
        <w:t>In R1C1 formulas, R1C1-style references shall be used instead of A1-style references.</w:t>
      </w:r>
    </w:p>
    <w:p w:rsidR="005F78FC" w:rsidRDefault="00B42EF3">
      <w:r>
        <w:t>An R1C1 formula has the following form:</w:t>
      </w:r>
    </w:p>
    <w:p w:rsidR="005F78FC" w:rsidRDefault="00B42EF3">
      <w:pPr>
        <w:pStyle w:val="Code"/>
      </w:pPr>
      <w:r>
        <w:t>R1C1-formula=</w:t>
      </w:r>
    </w:p>
    <w:p w:rsidR="005F78FC" w:rsidRDefault="00B42EF3">
      <w:pPr>
        <w:pStyle w:val="Code"/>
      </w:pPr>
      <w:r>
        <w:t>R1C1-expression ;</w:t>
      </w:r>
    </w:p>
    <w:p w:rsidR="005F78FC" w:rsidRDefault="00B42EF3">
      <w:pPr>
        <w:pStyle w:val="Code"/>
      </w:pPr>
      <w:r>
        <w:t>R1C1-expression=</w:t>
      </w:r>
    </w:p>
    <w:p w:rsidR="005F78FC" w:rsidRDefault="00B42EF3">
      <w:pPr>
        <w:pStyle w:val="Code"/>
      </w:pPr>
      <w:r>
        <w:t xml:space="preserve">{space}, </w:t>
      </w:r>
      <w:r>
        <w:t>nospace-R1C1-expression, {space};</w:t>
      </w:r>
    </w:p>
    <w:p w:rsidR="005F78FC" w:rsidRDefault="00B42EF3">
      <w:pPr>
        <w:pStyle w:val="Code"/>
      </w:pPr>
      <w:r>
        <w:t>nospace-R1C1-expression=</w:t>
      </w:r>
    </w:p>
    <w:p w:rsidR="005F78FC" w:rsidRDefault="00B42EF3">
      <w:pPr>
        <w:pStyle w:val="Code"/>
      </w:pPr>
      <w:r>
        <w:t xml:space="preserve">"(", R1C1-expression,  ")"  | </w:t>
      </w:r>
    </w:p>
    <w:p w:rsidR="005F78FC" w:rsidRDefault="00B42EF3">
      <w:pPr>
        <w:pStyle w:val="Code"/>
      </w:pPr>
      <w:r>
        <w:t xml:space="preserve">constant  | </w:t>
      </w:r>
    </w:p>
    <w:p w:rsidR="005F78FC" w:rsidRDefault="00B42EF3">
      <w:pPr>
        <w:pStyle w:val="Code"/>
      </w:pPr>
      <w:r>
        <w:t xml:space="preserve">prefix-operator, R1C1-expression  | </w:t>
      </w:r>
    </w:p>
    <w:p w:rsidR="005F78FC" w:rsidRDefault="00B42EF3">
      <w:pPr>
        <w:pStyle w:val="Code"/>
      </w:pPr>
      <w:r>
        <w:t xml:space="preserve">R1C1-expression,  infix-operator, R1C1-expression  | </w:t>
      </w:r>
    </w:p>
    <w:p w:rsidR="005F78FC" w:rsidRDefault="00B42EF3">
      <w:pPr>
        <w:pStyle w:val="Code"/>
      </w:pPr>
      <w:r>
        <w:t xml:space="preserve">R1C1-expression,  postfix-operator  | </w:t>
      </w:r>
    </w:p>
    <w:p w:rsidR="005F78FC" w:rsidRDefault="00B42EF3">
      <w:pPr>
        <w:pStyle w:val="Code"/>
      </w:pPr>
      <w:r>
        <w:t>R1C1-cell-reference  |</w:t>
      </w:r>
    </w:p>
    <w:p w:rsidR="005F78FC" w:rsidRDefault="00B42EF3">
      <w:pPr>
        <w:pStyle w:val="Code"/>
      </w:pPr>
      <w:r>
        <w:t xml:space="preserve">R1C1-function-call  | </w:t>
      </w:r>
    </w:p>
    <w:p w:rsidR="005F78FC" w:rsidRDefault="00B42EF3">
      <w:pPr>
        <w:pStyle w:val="Code"/>
      </w:pPr>
      <w:r>
        <w:t>name-reference  |</w:t>
      </w:r>
    </w:p>
    <w:p w:rsidR="005F78FC" w:rsidRDefault="00B42EF3">
      <w:pPr>
        <w:pStyle w:val="Code"/>
      </w:pPr>
      <w:r>
        <w:t>structure-reference ;</w:t>
      </w:r>
    </w:p>
    <w:p w:rsidR="005F78FC" w:rsidRDefault="00B42EF3">
      <w:pPr>
        <w:pStyle w:val="Code"/>
      </w:pPr>
      <w:r>
        <w:t>R1C1-function-call=</w:t>
      </w:r>
    </w:p>
    <w:p w:rsidR="005F78FC" w:rsidRDefault="00B42EF3">
      <w:pPr>
        <w:pStyle w:val="Code"/>
      </w:pPr>
      <w:r>
        <w:t xml:space="preserve">  function-name,  "(",  R1C1-argument-list,  ")" ;</w:t>
      </w:r>
    </w:p>
    <w:p w:rsidR="005F78FC" w:rsidRDefault="00B42EF3">
      <w:pPr>
        <w:pStyle w:val="Code"/>
      </w:pPr>
      <w:r>
        <w:t>R1C1-argument-list=</w:t>
      </w:r>
    </w:p>
    <w:p w:rsidR="005F78FC" w:rsidRDefault="00B42EF3">
      <w:pPr>
        <w:pStyle w:val="Code"/>
      </w:pPr>
      <w:r>
        <w:t>R1C1-argument,  {  comma,  R1C1-argument  } ;</w:t>
      </w:r>
    </w:p>
    <w:p w:rsidR="005F78FC" w:rsidRDefault="00B42EF3">
      <w:pPr>
        <w:pStyle w:val="Code"/>
      </w:pPr>
      <w:r>
        <w:t>R1C1-argument=</w:t>
      </w:r>
    </w:p>
    <w:p w:rsidR="005F78FC" w:rsidRDefault="00B42EF3">
      <w:pPr>
        <w:pStyle w:val="Code"/>
      </w:pPr>
      <w:r>
        <w:t>[R1C1-expression] ;</w:t>
      </w:r>
    </w:p>
    <w:p w:rsidR="005F78FC" w:rsidRDefault="00B42EF3">
      <w:pPr>
        <w:pStyle w:val="Code"/>
      </w:pPr>
      <w:r>
        <w:t>R1C1-cell-reference=</w:t>
      </w:r>
    </w:p>
    <w:p w:rsidR="005F78FC" w:rsidRDefault="00B42EF3">
      <w:pPr>
        <w:pStyle w:val="Code"/>
      </w:pPr>
      <w:r>
        <w:t>[sheets-prefix]  R1C1-reference ;</w:t>
      </w:r>
    </w:p>
    <w:p w:rsidR="005F78FC" w:rsidRDefault="005F78FC">
      <w:pPr>
        <w:pStyle w:val="Code"/>
      </w:pPr>
    </w:p>
    <w:p w:rsidR="005F78FC" w:rsidRDefault="00B42EF3">
      <w:pPr>
        <w:pStyle w:val="Heading5"/>
      </w:pPr>
      <w:bookmarkStart w:id="4013" w:name="section_b23ed080d4e143a58259332e1bf85d08"/>
      <w:bookmarkStart w:id="4014" w:name="_Toc69879779"/>
      <w:r>
        <w:t>Pivot Formulas</w:t>
      </w:r>
      <w:bookmarkEnd w:id="4013"/>
      <w:bookmarkEnd w:id="4014"/>
      <w:r>
        <w:fldChar w:fldCharType="begin"/>
      </w:r>
      <w:r>
        <w:instrText xml:space="preserve"> XE "Pivot Formulas" </w:instrText>
      </w:r>
      <w:r>
        <w:fldChar w:fldCharType="end"/>
      </w:r>
    </w:p>
    <w:p w:rsidR="005F78FC" w:rsidRDefault="00B42EF3">
      <w:r>
        <w:t>Pivot formulas are used to define calculated items or calculated fields for PivotTables.</w:t>
      </w:r>
    </w:p>
    <w:p w:rsidR="005F78FC" w:rsidRDefault="00B42EF3">
      <w:r>
        <w:t xml:space="preserve">Pivot formulas shall not use user-defined names. </w:t>
      </w:r>
    </w:p>
    <w:p w:rsidR="005F78FC" w:rsidRDefault="00B42EF3">
      <w:r>
        <w:t>A pivot formula shall not use array constant</w:t>
      </w:r>
      <w:r>
        <w:t>s.</w:t>
      </w:r>
    </w:p>
    <w:p w:rsidR="005F78FC" w:rsidRDefault="00B42EF3">
      <w:r>
        <w:t>A pivot formula shall not use cell references.</w:t>
      </w:r>
    </w:p>
    <w:p w:rsidR="005F78FC" w:rsidRDefault="00B42EF3">
      <w:r>
        <w:t>A pivot formula shall not use structure references.</w:t>
      </w:r>
    </w:p>
    <w:p w:rsidR="005F78FC" w:rsidRDefault="00B42EF3">
      <w:r>
        <w:t>A pivot formula shall not use calls to the following worksheet functions: GETPIVOTDATA, DCOUNT, DCOUNTA, DSUM, DAVERAGE, DMIN, DMAX, DPRODUCT, DSTDEV, DST</w:t>
      </w:r>
      <w:r>
        <w:t xml:space="preserve">DEVP, DVAR, DVARP, INDEX, RAND, NOW, AREAS, ROWS, COLUMNS, OFFSET, CELL, INDIRECT, TODAY, INFO, and RANDBETWEEN. </w:t>
      </w:r>
    </w:p>
    <w:p w:rsidR="005F78FC" w:rsidRDefault="00B42EF3">
      <w:r>
        <w:t>A pivot formula shall not use calls to user-defined functions.</w:t>
      </w:r>
    </w:p>
    <w:p w:rsidR="005F78FC" w:rsidRDefault="00B42EF3">
      <w:pPr>
        <w:pStyle w:val="Heading6"/>
      </w:pPr>
      <w:bookmarkStart w:id="4015" w:name="section_4ab53f1cccd94ab282254a85dca99917"/>
      <w:bookmarkStart w:id="4016" w:name="_Toc69879780"/>
      <w:r>
        <w:t>Calculated Field Formulas</w:t>
      </w:r>
      <w:bookmarkEnd w:id="4015"/>
      <w:bookmarkEnd w:id="4016"/>
      <w:r>
        <w:fldChar w:fldCharType="begin"/>
      </w:r>
      <w:r>
        <w:instrText xml:space="preserve"> XE "Calculated Field Formulas" </w:instrText>
      </w:r>
      <w:r>
        <w:fldChar w:fldCharType="end"/>
      </w:r>
    </w:p>
    <w:p w:rsidR="005F78FC" w:rsidRDefault="00B42EF3">
      <w:r>
        <w:t xml:space="preserve">A calculated field </w:t>
      </w:r>
      <w:r>
        <w:t xml:space="preserve">formula defines calculations using the contents of fields in a PivotTable. </w:t>
      </w:r>
    </w:p>
    <w:p w:rsidR="005F78FC" w:rsidRDefault="00B42EF3">
      <w:r>
        <w:t>The only names a calculated field formula shall use are names of fields defined within the PivotTable the formula is used for.</w:t>
      </w:r>
    </w:p>
    <w:p w:rsidR="005F78FC" w:rsidRDefault="00B42EF3">
      <w:r>
        <w:lastRenderedPageBreak/>
        <w:t xml:space="preserve">A calculated field formula has the following form: </w:t>
      </w:r>
    </w:p>
    <w:p w:rsidR="005F78FC" w:rsidRDefault="00B42EF3">
      <w:pPr>
        <w:pStyle w:val="Code"/>
      </w:pPr>
      <w:r>
        <w:t>p</w:t>
      </w:r>
      <w:r>
        <w:t>ivot-field-formula=</w:t>
      </w:r>
    </w:p>
    <w:p w:rsidR="005F78FC" w:rsidRDefault="00B42EF3">
      <w:pPr>
        <w:pStyle w:val="Code"/>
      </w:pPr>
      <w:r>
        <w:t>pivot-field-expression ;</w:t>
      </w:r>
    </w:p>
    <w:p w:rsidR="005F78FC" w:rsidRDefault="00B42EF3">
      <w:pPr>
        <w:pStyle w:val="Code"/>
      </w:pPr>
      <w:r>
        <w:t xml:space="preserve">pivot-field-expression= </w:t>
      </w:r>
    </w:p>
    <w:p w:rsidR="005F78FC" w:rsidRDefault="00B42EF3">
      <w:pPr>
        <w:pStyle w:val="Code"/>
      </w:pPr>
      <w:r>
        <w:t>{space}, pivot-nospace-field-expression, {space} ;</w:t>
      </w:r>
    </w:p>
    <w:p w:rsidR="005F78FC" w:rsidRDefault="00B42EF3">
      <w:pPr>
        <w:pStyle w:val="Code"/>
      </w:pPr>
      <w:r>
        <w:t>pivot-nospace-field-expression=</w:t>
      </w:r>
    </w:p>
    <w:p w:rsidR="005F78FC" w:rsidRDefault="00B42EF3">
      <w:pPr>
        <w:pStyle w:val="Code"/>
      </w:pPr>
      <w:r>
        <w:t xml:space="preserve">"(", pivot-field-expression, ")" | </w:t>
      </w:r>
    </w:p>
    <w:p w:rsidR="005F78FC" w:rsidRDefault="00B42EF3">
      <w:pPr>
        <w:pStyle w:val="Code"/>
      </w:pPr>
      <w:r>
        <w:t xml:space="preserve">pivot-constant | </w:t>
      </w:r>
    </w:p>
    <w:p w:rsidR="005F78FC" w:rsidRDefault="00B42EF3">
      <w:pPr>
        <w:pStyle w:val="Code"/>
      </w:pPr>
      <w:r>
        <w:t xml:space="preserve">prefix-operator, pivot-field-expression | </w:t>
      </w:r>
    </w:p>
    <w:p w:rsidR="005F78FC" w:rsidRDefault="00B42EF3">
      <w:pPr>
        <w:pStyle w:val="Code"/>
      </w:pPr>
      <w:r>
        <w:t xml:space="preserve">pivot-field-expression, pivot-infix-operator, pivot-field-expression | </w:t>
      </w:r>
    </w:p>
    <w:p w:rsidR="005F78FC" w:rsidRDefault="00B42EF3">
      <w:pPr>
        <w:pStyle w:val="Code"/>
      </w:pPr>
      <w:r>
        <w:t xml:space="preserve">pivot-field-expression, postfix-operator | </w:t>
      </w:r>
    </w:p>
    <w:p w:rsidR="005F78FC" w:rsidRDefault="00B42EF3">
      <w:pPr>
        <w:pStyle w:val="Code"/>
      </w:pPr>
      <w:r>
        <w:t xml:space="preserve">pivot-field-function-call | </w:t>
      </w:r>
    </w:p>
    <w:p w:rsidR="005F78FC" w:rsidRDefault="00B42EF3">
      <w:pPr>
        <w:pStyle w:val="Code"/>
      </w:pPr>
      <w:r>
        <w:t>pivot-field-name ;</w:t>
      </w:r>
    </w:p>
    <w:p w:rsidR="005F78FC" w:rsidRDefault="00B42EF3">
      <w:pPr>
        <w:pStyle w:val="Code"/>
      </w:pPr>
      <w:r>
        <w:t>pivot-constant=</w:t>
      </w:r>
    </w:p>
    <w:p w:rsidR="005F78FC" w:rsidRDefault="00B42EF3">
      <w:pPr>
        <w:pStyle w:val="Code"/>
      </w:pPr>
      <w:r>
        <w:t>constant – array-constant ;</w:t>
      </w:r>
    </w:p>
    <w:p w:rsidR="005F78FC" w:rsidRDefault="00B42EF3">
      <w:pPr>
        <w:pStyle w:val="Code"/>
      </w:pPr>
      <w:r>
        <w:t>pivot-infix-operator=</w:t>
      </w:r>
    </w:p>
    <w:p w:rsidR="005F78FC" w:rsidRDefault="00B42EF3">
      <w:pPr>
        <w:pStyle w:val="Code"/>
      </w:pPr>
      <w:r>
        <w:t xml:space="preserve">"^" | "*" | "/" | "+" | "-" | "&amp;"| </w:t>
      </w:r>
    </w:p>
    <w:p w:rsidR="005F78FC" w:rsidRDefault="00B42EF3">
      <w:pPr>
        <w:pStyle w:val="Code"/>
      </w:pPr>
      <w:r>
        <w:t>"=" | "&lt;&gt;" | "&lt;" | "&lt;=" | "&gt;" | "&gt;=" ;</w:t>
      </w:r>
    </w:p>
    <w:p w:rsidR="005F78FC" w:rsidRDefault="00B42EF3">
      <w:pPr>
        <w:pStyle w:val="Code"/>
      </w:pPr>
      <w:r>
        <w:t>pivot-field-function-call=</w:t>
      </w:r>
    </w:p>
    <w:p w:rsidR="005F78FC" w:rsidRDefault="00B42EF3">
      <w:pPr>
        <w:pStyle w:val="Code"/>
      </w:pPr>
      <w:r>
        <w:t>pivot-function-name, "(", pivot-field-function-argument-list, ")" ;</w:t>
      </w:r>
    </w:p>
    <w:p w:rsidR="005F78FC" w:rsidRDefault="00B42EF3">
      <w:pPr>
        <w:pStyle w:val="Code"/>
      </w:pPr>
      <w:r>
        <w:t>pivot-field-function-argument-list =</w:t>
      </w:r>
    </w:p>
    <w:p w:rsidR="005F78FC" w:rsidRDefault="00B42EF3">
      <w:pPr>
        <w:pStyle w:val="Code"/>
      </w:pPr>
      <w:r>
        <w:t>[pivot-field-expression], { comma, pivot-field-fu</w:t>
      </w:r>
      <w:r>
        <w:t>nction-argument-list} ;</w:t>
      </w:r>
    </w:p>
    <w:p w:rsidR="005F78FC" w:rsidRDefault="00B42EF3">
      <w:pPr>
        <w:pStyle w:val="Code"/>
      </w:pPr>
      <w:r>
        <w:t xml:space="preserve">pivot-function-name= </w:t>
      </w:r>
    </w:p>
    <w:p w:rsidR="005F78FC" w:rsidRDefault="00B42EF3">
      <w:pPr>
        <w:pStyle w:val="Code"/>
      </w:pPr>
      <w:r>
        <w:t>predefined-function-name - pivot-function-invalid-name;</w:t>
      </w:r>
    </w:p>
    <w:p w:rsidR="005F78FC" w:rsidRDefault="00B42EF3">
      <w:pPr>
        <w:pStyle w:val="Code"/>
      </w:pPr>
      <w:r>
        <w:t>pivot-function-invalid-name=</w:t>
      </w:r>
    </w:p>
    <w:p w:rsidR="005F78FC" w:rsidRDefault="00B42EF3">
      <w:pPr>
        <w:pStyle w:val="Code"/>
      </w:pPr>
      <w:r>
        <w:t xml:space="preserve">"GETPIVOTDATA" | "DCOUNT" | "DCOUNTA" | "DSUM" | "DAVERAGE" | </w:t>
      </w:r>
    </w:p>
    <w:p w:rsidR="005F78FC" w:rsidRDefault="00B42EF3">
      <w:pPr>
        <w:pStyle w:val="Code"/>
      </w:pPr>
      <w:r>
        <w:t xml:space="preserve">"DMIN" | "MAX" | "DPRODUCT" | "DSTDEV" | "DSTDEVP" | "DVAR" | </w:t>
      </w:r>
    </w:p>
    <w:p w:rsidR="005F78FC" w:rsidRDefault="00B42EF3">
      <w:pPr>
        <w:pStyle w:val="Code"/>
      </w:pPr>
      <w:r>
        <w:t xml:space="preserve">"DVARP" | "INDEX" | "RAND" | "NOW" | "AREAS" | "ROWS" | "COLUMNS" | </w:t>
      </w:r>
    </w:p>
    <w:p w:rsidR="005F78FC" w:rsidRDefault="00B42EF3">
      <w:pPr>
        <w:pStyle w:val="Code"/>
      </w:pPr>
      <w:r>
        <w:t>"OFFSET" | "CELL" | "INDIRECT" | "TODAY" | "INFO" | "RANDBETWEEN" ;</w:t>
      </w:r>
    </w:p>
    <w:p w:rsidR="005F78FC" w:rsidRDefault="00B42EF3">
      <w:pPr>
        <w:pStyle w:val="Code"/>
      </w:pPr>
      <w:r>
        <w:t>pivot-field-name=</w:t>
      </w:r>
    </w:p>
    <w:p w:rsidR="005F78FC" w:rsidRDefault="00B42EF3">
      <w:pPr>
        <w:pStyle w:val="Code"/>
      </w:pPr>
      <w:r>
        <w:t>name – pivot-invalid-name |</w:t>
      </w:r>
    </w:p>
    <w:p w:rsidR="005F78FC" w:rsidRDefault="00B42EF3">
      <w:pPr>
        <w:pStyle w:val="Code"/>
      </w:pPr>
      <w:r>
        <w:t xml:space="preserve">"’" [pivot-field-string-chars] "’" ; </w:t>
      </w:r>
    </w:p>
    <w:p w:rsidR="005F78FC" w:rsidRDefault="00B42EF3">
      <w:pPr>
        <w:pStyle w:val="Code"/>
      </w:pPr>
      <w:r>
        <w:t>pivot-invalid-name=</w:t>
      </w:r>
    </w:p>
    <w:p w:rsidR="005F78FC" w:rsidRDefault="00B42EF3">
      <w:pPr>
        <w:pStyle w:val="Code"/>
      </w:pPr>
      <w:r>
        <w:t>"All" | "Blank</w:t>
      </w:r>
      <w:r>
        <w:t>" ;</w:t>
      </w:r>
    </w:p>
    <w:p w:rsidR="005F78FC" w:rsidRDefault="00B42EF3">
      <w:pPr>
        <w:pStyle w:val="Code"/>
      </w:pPr>
      <w:r>
        <w:t>pivot-field-string-chars=</w:t>
      </w:r>
    </w:p>
    <w:p w:rsidR="005F78FC" w:rsidRDefault="00B42EF3">
      <w:pPr>
        <w:pStyle w:val="Code"/>
      </w:pPr>
      <w:r>
        <w:t>pivot-field-string-char, { pivot-field-string-chars} ;</w:t>
      </w:r>
    </w:p>
    <w:p w:rsidR="005F78FC" w:rsidRDefault="00B42EF3">
      <w:pPr>
        <w:pStyle w:val="Code"/>
      </w:pPr>
      <w:r>
        <w:t>pivot-field-string-char=</w:t>
      </w:r>
    </w:p>
    <w:p w:rsidR="005F78FC" w:rsidRDefault="00B42EF3">
      <w:pPr>
        <w:pStyle w:val="Code"/>
      </w:pPr>
      <w:r>
        <w:t>"’’" |</w:t>
      </w:r>
    </w:p>
    <w:p w:rsidR="005F78FC" w:rsidRDefault="00B42EF3">
      <w:pPr>
        <w:pStyle w:val="Code"/>
      </w:pPr>
      <w:r>
        <w:t xml:space="preserve">character - "’" ; </w:t>
      </w:r>
    </w:p>
    <w:p w:rsidR="005F78FC" w:rsidRDefault="00B42EF3">
      <w:pPr>
        <w:pStyle w:val="Heading6"/>
      </w:pPr>
      <w:bookmarkStart w:id="4017" w:name="section_4f7eca6a309a4694aad918b5e4e30124"/>
      <w:bookmarkStart w:id="4018" w:name="_Toc69879781"/>
      <w:r>
        <w:t>Calculated Item Formulas</w:t>
      </w:r>
      <w:bookmarkEnd w:id="4017"/>
      <w:bookmarkEnd w:id="4018"/>
      <w:r>
        <w:fldChar w:fldCharType="begin"/>
      </w:r>
      <w:r>
        <w:instrText xml:space="preserve"> XE "Calculated Item Formulas" </w:instrText>
      </w:r>
      <w:r>
        <w:fldChar w:fldCharType="end"/>
      </w:r>
    </w:p>
    <w:p w:rsidR="005F78FC" w:rsidRDefault="00B42EF3">
      <w:r>
        <w:t xml:space="preserve">A calculated item formula defines calculations using the </w:t>
      </w:r>
      <w:r>
        <w:t>contents of items in a PivotTable.</w:t>
      </w:r>
    </w:p>
    <w:p w:rsidR="005F78FC" w:rsidRDefault="00B42EF3">
      <w:r>
        <w:t>The only names calculated item formula shall use are names of fields and items defined within the PivotTable the formula is used for.</w:t>
      </w:r>
    </w:p>
    <w:p w:rsidR="005F78FC" w:rsidRDefault="00B42EF3">
      <w:r>
        <w:t>A calculated item formula has the following form:</w:t>
      </w:r>
    </w:p>
    <w:p w:rsidR="005F78FC" w:rsidRDefault="00B42EF3">
      <w:pPr>
        <w:pStyle w:val="Code"/>
      </w:pPr>
      <w:r>
        <w:t>pivot-item-formula=</w:t>
      </w:r>
    </w:p>
    <w:p w:rsidR="005F78FC" w:rsidRDefault="00B42EF3">
      <w:pPr>
        <w:pStyle w:val="Code"/>
      </w:pPr>
      <w:r>
        <w:t>pivot-item-expres</w:t>
      </w:r>
      <w:r>
        <w:t>sion ;</w:t>
      </w:r>
    </w:p>
    <w:p w:rsidR="005F78FC" w:rsidRDefault="00B42EF3">
      <w:pPr>
        <w:pStyle w:val="Code"/>
      </w:pPr>
      <w:r>
        <w:t>pivot-item-expression= {space}, pivot-nospace-item-expression, {space} ;</w:t>
      </w:r>
    </w:p>
    <w:p w:rsidR="005F78FC" w:rsidRDefault="00B42EF3">
      <w:pPr>
        <w:pStyle w:val="Code"/>
      </w:pPr>
      <w:r>
        <w:t>pivot-nospace-item-expression=</w:t>
      </w:r>
    </w:p>
    <w:p w:rsidR="005F78FC" w:rsidRDefault="00B42EF3">
      <w:pPr>
        <w:pStyle w:val="Code"/>
      </w:pPr>
      <w:r>
        <w:t xml:space="preserve">"(", pivot-item-expression, ")" | </w:t>
      </w:r>
    </w:p>
    <w:p w:rsidR="005F78FC" w:rsidRDefault="00B42EF3">
      <w:pPr>
        <w:pStyle w:val="Code"/>
      </w:pPr>
      <w:r>
        <w:t xml:space="preserve">pivot-constant | </w:t>
      </w:r>
    </w:p>
    <w:p w:rsidR="005F78FC" w:rsidRDefault="00B42EF3">
      <w:pPr>
        <w:pStyle w:val="Code"/>
      </w:pPr>
      <w:r>
        <w:t xml:space="preserve">prefix-operator, pivot-item-expression | </w:t>
      </w:r>
    </w:p>
    <w:p w:rsidR="005F78FC" w:rsidRDefault="00B42EF3">
      <w:pPr>
        <w:pStyle w:val="Code"/>
      </w:pPr>
      <w:r>
        <w:t>pivot-item-expression, pivot-infix-operator, pivot</w:t>
      </w:r>
      <w:r>
        <w:t xml:space="preserve">-item-expression | </w:t>
      </w:r>
    </w:p>
    <w:p w:rsidR="005F78FC" w:rsidRDefault="00B42EF3">
      <w:pPr>
        <w:pStyle w:val="Code"/>
      </w:pPr>
      <w:r>
        <w:t xml:space="preserve">pivot-item-expression, postfix-operator | </w:t>
      </w:r>
    </w:p>
    <w:p w:rsidR="005F78FC" w:rsidRDefault="00B42EF3">
      <w:pPr>
        <w:pStyle w:val="Code"/>
      </w:pPr>
      <w:r>
        <w:t xml:space="preserve">pivot-item-function-call | </w:t>
      </w:r>
    </w:p>
    <w:p w:rsidR="005F78FC" w:rsidRDefault="00B42EF3">
      <w:pPr>
        <w:pStyle w:val="Code"/>
      </w:pPr>
      <w:r>
        <w:t>pivot-items ;</w:t>
      </w:r>
    </w:p>
    <w:p w:rsidR="005F78FC" w:rsidRDefault="00B42EF3">
      <w:pPr>
        <w:pStyle w:val="Code"/>
      </w:pPr>
      <w:r>
        <w:t>pivot-item-function-call=</w:t>
      </w:r>
    </w:p>
    <w:p w:rsidR="005F78FC" w:rsidRDefault="00B42EF3">
      <w:pPr>
        <w:pStyle w:val="Code"/>
      </w:pPr>
      <w:r>
        <w:t>pivot-function-name, "(", pivot-item-function-argument-list, ")" ;</w:t>
      </w:r>
    </w:p>
    <w:p w:rsidR="005F78FC" w:rsidRDefault="00B42EF3">
      <w:pPr>
        <w:pStyle w:val="Code"/>
      </w:pPr>
      <w:r>
        <w:t>pivot-item-function-argument-list=</w:t>
      </w:r>
    </w:p>
    <w:p w:rsidR="005F78FC" w:rsidRDefault="00B42EF3">
      <w:pPr>
        <w:pStyle w:val="Code"/>
      </w:pPr>
      <w:r>
        <w:t>[pivot-item-expression]</w:t>
      </w:r>
      <w:r>
        <w:t>, { comma, pivot-item-function-argument-list} ;</w:t>
      </w:r>
    </w:p>
    <w:p w:rsidR="005F78FC" w:rsidRDefault="00B42EF3">
      <w:pPr>
        <w:pStyle w:val="Code"/>
      </w:pPr>
      <w:r>
        <w:lastRenderedPageBreak/>
        <w:t>pivot-items=</w:t>
      </w:r>
    </w:p>
    <w:p w:rsidR="005F78FC" w:rsidRDefault="00B42EF3">
      <w:pPr>
        <w:pStyle w:val="Code"/>
      </w:pPr>
      <w:r>
        <w:t>pivot_item, [ space, {space}, pivot-items] ;</w:t>
      </w:r>
    </w:p>
    <w:p w:rsidR="005F78FC" w:rsidRDefault="00B42EF3">
      <w:pPr>
        <w:pStyle w:val="Code"/>
      </w:pPr>
      <w:r>
        <w:t>pivot-item=</w:t>
      </w:r>
    </w:p>
    <w:p w:rsidR="005F78FC" w:rsidRDefault="00B42EF3">
      <w:pPr>
        <w:pStyle w:val="Code"/>
      </w:pPr>
      <w:r>
        <w:t>pivot-item-name |</w:t>
      </w:r>
    </w:p>
    <w:p w:rsidR="005F78FC" w:rsidRDefault="00B42EF3">
      <w:pPr>
        <w:pStyle w:val="Code"/>
      </w:pPr>
      <w:r>
        <w:t>pivot-field-name, "[", pivot-item-value, "]" ;</w:t>
      </w:r>
    </w:p>
    <w:p w:rsidR="005F78FC" w:rsidRDefault="00B42EF3">
      <w:pPr>
        <w:pStyle w:val="Code"/>
      </w:pPr>
      <w:r>
        <w:t>pivot-item-name=</w:t>
      </w:r>
    </w:p>
    <w:p w:rsidR="005F78FC" w:rsidRDefault="00B42EF3">
      <w:pPr>
        <w:pStyle w:val="Code"/>
      </w:pPr>
      <w:r>
        <w:t>pivot-field-name</w:t>
      </w:r>
    </w:p>
    <w:p w:rsidR="005F78FC" w:rsidRDefault="00B42EF3">
      <w:pPr>
        <w:pStyle w:val="Code"/>
      </w:pPr>
      <w:r>
        <w:t>pivot-item-value=</w:t>
      </w:r>
    </w:p>
    <w:p w:rsidR="005F78FC" w:rsidRDefault="00B42EF3">
      <w:pPr>
        <w:pStyle w:val="Code"/>
      </w:pPr>
      <w:r>
        <w:t xml:space="preserve">pivot-item-name | </w:t>
      </w:r>
    </w:p>
    <w:p w:rsidR="005F78FC" w:rsidRDefault="00B42EF3">
      <w:pPr>
        <w:pStyle w:val="Code"/>
      </w:pPr>
      <w:r>
        <w:t>[sign], whole-number-part</w:t>
      </w:r>
    </w:p>
    <w:p w:rsidR="005F78FC" w:rsidRDefault="00B42EF3">
      <w:r>
        <w:t xml:space="preserve">pivot-item refers to an item either by its name or by position. </w:t>
      </w:r>
    </w:p>
    <w:p w:rsidR="005F78FC" w:rsidRDefault="00B42EF3">
      <w:r>
        <w:t>pivot-item-name refers to an item by its name.</w:t>
      </w:r>
    </w:p>
    <w:p w:rsidR="005F78FC" w:rsidRDefault="00B42EF3">
      <w:r>
        <w:t>pivot-field-name [pivot-item-name] refers to an item by its field name and its own name. This notation shall be used t</w:t>
      </w:r>
      <w:r>
        <w:t>o avoid #NAME? errors when two items in two different fields have the same name.</w:t>
      </w:r>
    </w:p>
    <w:p w:rsidR="005F78FC" w:rsidRDefault="00B42EF3">
      <w:r>
        <w:t>pivot-field-name[whole-number-part] refers to an item by its position in the PivotTable as currently sorted and displayed. The item referred to in this way can change whenever</w:t>
      </w:r>
      <w:r>
        <w:t xml:space="preserve"> the positions of items change or different items are displayed or hidden. Hidden items are not counted in this index. </w:t>
      </w:r>
    </w:p>
    <w:p w:rsidR="005F78FC" w:rsidRDefault="00B42EF3">
      <w:r>
        <w:t>pivot-field-name [sign whole-number-part] refers to an item using relative positions. The positions are determined relative to the calcu</w:t>
      </w:r>
      <w:r>
        <w:t xml:space="preserve">lated item that contains the formula. </w:t>
      </w:r>
    </w:p>
    <w:p w:rsidR="005F78FC" w:rsidRDefault="00B42EF3">
      <w:pPr>
        <w:pStyle w:val="Heading5"/>
      </w:pPr>
      <w:bookmarkStart w:id="4019" w:name="section_9892ca2173c94655b488f146c6dd5a94"/>
      <w:bookmarkStart w:id="4020" w:name="_Toc69879782"/>
      <w:r>
        <w:t>OLE Link Formulas</w:t>
      </w:r>
      <w:bookmarkEnd w:id="4019"/>
      <w:bookmarkEnd w:id="4020"/>
      <w:r>
        <w:fldChar w:fldCharType="begin"/>
      </w:r>
      <w:r>
        <w:instrText xml:space="preserve"> XE "OLE Link Formulas" </w:instrText>
      </w:r>
      <w:r>
        <w:fldChar w:fldCharType="end"/>
      </w:r>
    </w:p>
    <w:p w:rsidR="005F78FC" w:rsidRDefault="00B42EF3">
      <w:r>
        <w:t xml:space="preserve">An OLE Link formula is a </w:t>
      </w:r>
      <w:r>
        <w:rPr>
          <w:rStyle w:val="InlineCode"/>
        </w:rPr>
        <w:t>name-reference</w:t>
      </w:r>
      <w:r>
        <w:t xml:space="preserve"> to an </w:t>
      </w:r>
      <w:r>
        <w:rPr>
          <w:b/>
        </w:rPr>
        <w:t>oleItem</w:t>
      </w:r>
      <w:r>
        <w:t xml:space="preserve"> ("</w:t>
      </w:r>
      <w:hyperlink r:id="rId335">
        <w:r>
          <w:rPr>
            <w:rStyle w:val="Hyperlink"/>
          </w:rPr>
          <w:t>[ISO/IEC-29500-1]</w:t>
        </w:r>
      </w:hyperlink>
      <w:r>
        <w:t xml:space="preserve"> §18.14.9; oleItem"). The </w:t>
      </w:r>
      <w:r>
        <w:rPr>
          <w:b/>
        </w:rPr>
        <w:t>name</w:t>
      </w:r>
      <w:r>
        <w:t xml:space="preserve"> att</w:t>
      </w:r>
      <w:r>
        <w:t xml:space="preserve">ribute of the </w:t>
      </w:r>
      <w:r>
        <w:rPr>
          <w:b/>
        </w:rPr>
        <w:t>oleItem</w:t>
      </w:r>
      <w:r>
        <w:t xml:space="preserve"> element shall be "</w:t>
      </w:r>
      <w:r>
        <w:rPr>
          <w:i/>
        </w:rPr>
        <w:t>'</w:t>
      </w:r>
      <w:r>
        <w:t>" (apostrophe, 0x0027).</w:t>
      </w:r>
    </w:p>
    <w:p w:rsidR="005F78FC" w:rsidRDefault="00B42EF3">
      <w:pPr>
        <w:pStyle w:val="Code"/>
      </w:pPr>
      <w:r>
        <w:t>book-prefix, apostrophe, apostrophe, apostrophe, apostrophe ;</w:t>
      </w:r>
    </w:p>
    <w:p w:rsidR="005F78FC" w:rsidRDefault="00B42EF3">
      <w:r>
        <w:rPr>
          <w:rStyle w:val="InlineCode"/>
        </w:rPr>
        <w:t>book-prefix</w:t>
      </w:r>
      <w:r>
        <w:t xml:space="preserve"> refers to an </w:t>
      </w:r>
      <w:r>
        <w:rPr>
          <w:b/>
        </w:rPr>
        <w:t>externalLink</w:t>
      </w:r>
      <w:r>
        <w:t xml:space="preserve"> ("[ISO/IEC-29500-1] §18.14.8; externalLink") part containing the </w:t>
      </w:r>
      <w:r>
        <w:rPr>
          <w:b/>
        </w:rPr>
        <w:t>oleItem</w:t>
      </w:r>
      <w:r>
        <w:t xml:space="preserve"> element.</w:t>
      </w:r>
    </w:p>
    <w:p w:rsidR="005F78FC" w:rsidRDefault="00B42EF3">
      <w:pPr>
        <w:pStyle w:val="Heading2"/>
      </w:pPr>
      <w:bookmarkStart w:id="4021" w:name="section_e1dbdf0a99d84eb886db8675dfc45826"/>
      <w:bookmarkStart w:id="4022" w:name="_Toc69879783"/>
      <w:r>
        <w:t>PowerPoin</w:t>
      </w:r>
      <w:r>
        <w:t>t</w:t>
      </w:r>
      <w:bookmarkEnd w:id="4021"/>
      <w:bookmarkEnd w:id="4022"/>
      <w:r>
        <w:fldChar w:fldCharType="begin"/>
      </w:r>
      <w:r>
        <w:instrText xml:space="preserve"> XE "PowerPoint (Additional Information)" </w:instrText>
      </w:r>
      <w:r>
        <w:fldChar w:fldCharType="end"/>
      </w:r>
    </w:p>
    <w:p w:rsidR="005F78FC" w:rsidRDefault="00B42EF3">
      <w:r>
        <w:t xml:space="preserve">This section contains additional information used to more fully describe how PowerPoint implements Office Open XML File Formats </w:t>
      </w:r>
      <w:hyperlink r:id="rId336">
        <w:r>
          <w:rPr>
            <w:rStyle w:val="Hyperlink"/>
          </w:rPr>
          <w:t>[ISO/IEC29500:20</w:t>
        </w:r>
        <w:r>
          <w:rPr>
            <w:rStyle w:val="Hyperlink"/>
          </w:rPr>
          <w:t>12]</w:t>
        </w:r>
      </w:hyperlink>
      <w:r>
        <w:t>.</w:t>
      </w:r>
    </w:p>
    <w:p w:rsidR="005F78FC" w:rsidRDefault="00B42EF3">
      <w:pPr>
        <w:pStyle w:val="Heading3"/>
      </w:pPr>
      <w:bookmarkStart w:id="4023" w:name="section_f38134c7bd874b8fb4d48fc5c2b1ec2a"/>
      <w:bookmarkStart w:id="4024" w:name="_Toc69879784"/>
      <w:r>
        <w:t>Additional Parts</w:t>
      </w:r>
      <w:bookmarkEnd w:id="4023"/>
      <w:bookmarkEnd w:id="4024"/>
      <w:r>
        <w:fldChar w:fldCharType="begin"/>
      </w:r>
      <w:r>
        <w:instrText xml:space="preserve"> XE "Additional Parts" </w:instrText>
      </w:r>
      <w:r>
        <w:fldChar w:fldCharType="end"/>
      </w:r>
    </w:p>
    <w:p w:rsidR="005F78FC" w:rsidRDefault="00B42EF3">
      <w:r>
        <w:t>The subclauses subordinate to this one describe in detail each of the part types specific to PowerPoint in addition to those listed as part of Office Open XML File Formats ("</w:t>
      </w:r>
      <w:hyperlink r:id="rId337">
        <w:r>
          <w:rPr>
            <w:rStyle w:val="Hyperlink"/>
          </w:rPr>
          <w:t>[ISO/IEC-29500-1]</w:t>
        </w:r>
      </w:hyperlink>
      <w:r>
        <w:t xml:space="preserve"> §13").</w:t>
      </w:r>
    </w:p>
    <w:p w:rsidR="005F78FC" w:rsidRDefault="00B42EF3">
      <w:pPr>
        <w:pStyle w:val="Heading4"/>
      </w:pPr>
      <w:bookmarkStart w:id="4025" w:name="section_40b7fcb52a8347efb0a42ac4d13aa6e1"/>
      <w:bookmarkStart w:id="4026" w:name="_Toc69879785"/>
      <w:r>
        <w:t>Legacy Diagram Text part</w:t>
      </w:r>
      <w:bookmarkEnd w:id="4025"/>
      <w:bookmarkEnd w:id="4026"/>
      <w:r>
        <w:fldChar w:fldCharType="begin"/>
      </w:r>
      <w:r>
        <w:instrText xml:space="preserve"> XE "Legacy Diagram Text part" </w:instrText>
      </w:r>
      <w:r>
        <w:fldChar w:fldCharType="end"/>
      </w:r>
    </w:p>
    <w:p w:rsidR="005F78FC" w:rsidRDefault="00B42EF3">
      <w:r>
        <w:rPr>
          <w:b/>
          <w:i/>
        </w:rPr>
        <w:t>Content Type</w:t>
      </w:r>
    </w:p>
    <w:p w:rsidR="005F78FC" w:rsidRDefault="00B42EF3">
      <w:r>
        <w:rPr>
          <w:i/>
        </w:rPr>
        <w:t>application/vnd.ms-office.legacyDiagramText</w:t>
      </w:r>
    </w:p>
    <w:p w:rsidR="005F78FC" w:rsidRDefault="00B42EF3">
      <w:r>
        <w:rPr>
          <w:b/>
          <w:i/>
        </w:rPr>
        <w:t>Root Namespace</w:t>
      </w:r>
    </w:p>
    <w:p w:rsidR="005F78FC" w:rsidRDefault="00B42EF3">
      <w:r>
        <w:rPr>
          <w:i/>
        </w:rPr>
        <w:t>not applicable</w:t>
      </w:r>
    </w:p>
    <w:p w:rsidR="005F78FC" w:rsidRDefault="00B42EF3">
      <w:r>
        <w:rPr>
          <w:b/>
          <w:i/>
        </w:rPr>
        <w:t>Source Relationship</w:t>
      </w:r>
    </w:p>
    <w:p w:rsidR="005F78FC" w:rsidRDefault="00B42EF3">
      <w:r>
        <w:rPr>
          <w:i/>
        </w:rPr>
        <w:lastRenderedPageBreak/>
        <w:t>http://schemas.microsoft.com/office</w:t>
      </w:r>
      <w:r>
        <w:rPr>
          <w:i/>
        </w:rPr>
        <w:t>/2006/relationships/legacyDiagramText</w:t>
      </w:r>
    </w:p>
    <w:p w:rsidR="005F78FC" w:rsidRDefault="00B42EF3">
      <w:r>
        <w:t>An instance of this part type contains a portion of text within a legacy diagram. Each instance of this part type shall uniquely represent a portion of text within a single diagram contained within the presentation.</w:t>
      </w:r>
    </w:p>
    <w:p w:rsidR="005F78FC" w:rsidRDefault="00B42EF3">
      <w:r>
        <w:t xml:space="preserve">A </w:t>
      </w:r>
      <w:r>
        <w:t>package shall contain one Legacy Diagram Text part for each portion of legacy diagram text within the presentation. If they exist, those parts shall each be the target of an explicit relationship from the corresponding VML Drawing part ("</w:t>
      </w:r>
      <w:hyperlink r:id="rId338">
        <w:r>
          <w:rPr>
            <w:rStyle w:val="Hyperlink"/>
          </w:rPr>
          <w:t>[ISO/IEC-29500-4]</w:t>
        </w:r>
      </w:hyperlink>
      <w:r>
        <w:t xml:space="preserve"> §8.1; VML Drawing Part").</w:t>
      </w:r>
    </w:p>
    <w:p w:rsidR="005F78FC" w:rsidRDefault="00B42EF3">
      <w:r>
        <w:t>The Legacy Diagram Text part is binary information that is defined in the PowerPoint 97-2003 Binary File Format (.ppt) Structure Specification (“</w:t>
      </w:r>
      <w:hyperlink r:id="rId339" w:anchor="Section_6be79dde33c14c1b8ccc4b2301c08662">
        <w:r>
          <w:rPr>
            <w:rStyle w:val="Hyperlink"/>
          </w:rPr>
          <w:t>[MS-PPT]</w:t>
        </w:r>
      </w:hyperlink>
      <w:r>
        <w:t xml:space="preserve"> Section 2.9.76; OfficeArtClientTextbox”).</w:t>
      </w:r>
    </w:p>
    <w:p w:rsidR="005F78FC" w:rsidRDefault="00B42EF3">
      <w:r>
        <w:t xml:space="preserve">A Legacy Diagram Text part shall be located within the package containing the source relationship (expressed syntactically, the </w:t>
      </w:r>
      <w:r>
        <w:rPr>
          <w:b/>
        </w:rPr>
        <w:t>T</w:t>
      </w:r>
      <w:r>
        <w:rPr>
          <w:b/>
        </w:rPr>
        <w:t>argetMode</w:t>
      </w:r>
      <w:r>
        <w:t xml:space="preserve"> attribute of the </w:t>
      </w:r>
      <w:r>
        <w:rPr>
          <w:b/>
        </w:rPr>
        <w:t>Relationship</w:t>
      </w:r>
      <w:r>
        <w:t xml:space="preserve"> element shall be </w:t>
      </w:r>
      <w:r>
        <w:rPr>
          <w:i/>
        </w:rPr>
        <w:t>Internal</w:t>
      </w:r>
      <w:r>
        <w:t>).</w:t>
      </w:r>
    </w:p>
    <w:p w:rsidR="005F78FC" w:rsidRDefault="00B42EF3">
      <w:r>
        <w:t xml:space="preserve">A Legacy Diagram Text part shall not have implicit or explicit relationships to any other part defined by Office Open XML File Formats </w:t>
      </w:r>
      <w:hyperlink r:id="rId340">
        <w:r>
          <w:rPr>
            <w:rStyle w:val="Hyperlink"/>
          </w:rPr>
          <w:t>[ISO/IEC29500:2012]</w:t>
        </w:r>
      </w:hyperlink>
      <w:r>
        <w:t>.</w:t>
      </w:r>
    </w:p>
    <w:p w:rsidR="005F78FC" w:rsidRDefault="00B42EF3">
      <w:pPr>
        <w:pStyle w:val="Heading4"/>
      </w:pPr>
      <w:bookmarkStart w:id="4027" w:name="section_7add4897f6cd429f8e0504ad5a270def"/>
      <w:bookmarkStart w:id="4028" w:name="_Toc69879786"/>
      <w:r>
        <w:t>Legacy Diagram Text Info part</w:t>
      </w:r>
      <w:bookmarkEnd w:id="4027"/>
      <w:bookmarkEnd w:id="4028"/>
      <w:r>
        <w:fldChar w:fldCharType="begin"/>
      </w:r>
      <w:r>
        <w:instrText xml:space="preserve"> XE "Legacy Diagram Text Info part" </w:instrText>
      </w:r>
      <w:r>
        <w:fldChar w:fldCharType="end"/>
      </w:r>
    </w:p>
    <w:p w:rsidR="005F78FC" w:rsidRDefault="00B42EF3">
      <w:r>
        <w:rPr>
          <w:b/>
          <w:i/>
        </w:rPr>
        <w:t>Content Type</w:t>
      </w:r>
    </w:p>
    <w:p w:rsidR="005F78FC" w:rsidRDefault="00B42EF3">
      <w:r>
        <w:rPr>
          <w:i/>
        </w:rPr>
        <w:t>application/vnd.ms-office.legacyDocTextInfo</w:t>
      </w:r>
    </w:p>
    <w:p w:rsidR="005F78FC" w:rsidRDefault="00B42EF3">
      <w:r>
        <w:rPr>
          <w:b/>
          <w:i/>
        </w:rPr>
        <w:t>Root Namespace</w:t>
      </w:r>
    </w:p>
    <w:p w:rsidR="005F78FC" w:rsidRDefault="00B42EF3">
      <w:r>
        <w:rPr>
          <w:i/>
        </w:rPr>
        <w:t>not applicable</w:t>
      </w:r>
    </w:p>
    <w:p w:rsidR="005F78FC" w:rsidRDefault="00B42EF3">
      <w:r>
        <w:rPr>
          <w:b/>
          <w:i/>
        </w:rPr>
        <w:t>Source Relationship</w:t>
      </w:r>
    </w:p>
    <w:p w:rsidR="005F78FC" w:rsidRDefault="00B42EF3">
      <w:r>
        <w:rPr>
          <w:i/>
        </w:rPr>
        <w:t>http://schemas.microsoft.com/office/2006/relationships/legacyDocTextInfo</w:t>
      </w:r>
    </w:p>
    <w:p w:rsidR="005F78FC" w:rsidRDefault="00B42EF3">
      <w:r>
        <w:t>An instance of this part type contains the text styling information for all legacy diagram text contained within the presentation.</w:t>
      </w:r>
    </w:p>
    <w:p w:rsidR="005F78FC" w:rsidRDefault="00B42EF3">
      <w:r>
        <w:t>A package shall contain at most one Legacy Diagram T</w:t>
      </w:r>
      <w:r>
        <w:t>ext Info part, and that part shall be the target of an implicit relationship from the Presentation part ("</w:t>
      </w:r>
      <w:hyperlink r:id="rId341">
        <w:r>
          <w:rPr>
            <w:rStyle w:val="Hyperlink"/>
          </w:rPr>
          <w:t>[ISO/IEC-29500-1]</w:t>
        </w:r>
      </w:hyperlink>
      <w:r>
        <w:t xml:space="preserve"> §13.3.6").</w:t>
      </w:r>
    </w:p>
    <w:p w:rsidR="005F78FC" w:rsidRDefault="00B42EF3">
      <w:r>
        <w:t>The Legacy Diagram Text Info part is binary information</w:t>
      </w:r>
      <w:r>
        <w:t xml:space="preserve"> that is defined in the PowerPoint 97-2003 Binary File Format (.ppt) Structure Specification (“</w:t>
      </w:r>
      <w:hyperlink r:id="rId342" w:anchor="Section_6be79dde33c14c1b8ccc4b2301c08662">
        <w:r>
          <w:rPr>
            <w:rStyle w:val="Hyperlink"/>
          </w:rPr>
          <w:t>[MS-PPT]</w:t>
        </w:r>
      </w:hyperlink>
      <w:r>
        <w:t xml:space="preserve"> Section 2.9.1; DocumentTextInfoContainer”).</w:t>
      </w:r>
    </w:p>
    <w:p w:rsidR="005F78FC" w:rsidRDefault="00B42EF3">
      <w:r>
        <w:t>A Legacy Diagram Text part sha</w:t>
      </w:r>
      <w:r>
        <w:t xml:space="preserve">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5F78FC" w:rsidRDefault="00B42EF3">
      <w:r>
        <w:t>A Legacy Diagram Text part shall not have implicit or explicit relationships to any other</w:t>
      </w:r>
      <w:r>
        <w:t xml:space="preserve"> part defined by Office Open XML File Formats </w:t>
      </w:r>
      <w:hyperlink r:id="rId343">
        <w:r>
          <w:rPr>
            <w:rStyle w:val="Hyperlink"/>
          </w:rPr>
          <w:t>[ISO/IEC29500:2012]</w:t>
        </w:r>
      </w:hyperlink>
      <w:r>
        <w:t>.</w:t>
      </w:r>
    </w:p>
    <w:p w:rsidR="005F78FC" w:rsidRDefault="00B42EF3">
      <w:pPr>
        <w:pStyle w:val="Heading4"/>
      </w:pPr>
      <w:bookmarkStart w:id="4029" w:name="section_adb4ca1d99144d6aaf38755990ac9427"/>
      <w:bookmarkStart w:id="4030" w:name="_Toc69879787"/>
      <w:r>
        <w:t>SmartTags part</w:t>
      </w:r>
      <w:bookmarkEnd w:id="4029"/>
      <w:bookmarkEnd w:id="4030"/>
      <w:r>
        <w:fldChar w:fldCharType="begin"/>
      </w:r>
      <w:r>
        <w:instrText xml:space="preserve"> XE "SmartTags part" </w:instrText>
      </w:r>
      <w:r>
        <w:fldChar w:fldCharType="end"/>
      </w:r>
    </w:p>
    <w:p w:rsidR="005F78FC" w:rsidRDefault="00B42EF3">
      <w:r>
        <w:rPr>
          <w:b/>
          <w:i/>
        </w:rPr>
        <w:t>Content Type</w:t>
      </w:r>
    </w:p>
    <w:p w:rsidR="005F78FC" w:rsidRDefault="00B42EF3">
      <w:r>
        <w:rPr>
          <w:i/>
        </w:rPr>
        <w:t>application/vnd.ms-powerpoint.smartTags</w:t>
      </w:r>
    </w:p>
    <w:p w:rsidR="005F78FC" w:rsidRDefault="00B42EF3">
      <w:r>
        <w:rPr>
          <w:b/>
          <w:i/>
        </w:rPr>
        <w:t>Root Namespace</w:t>
      </w:r>
    </w:p>
    <w:p w:rsidR="005F78FC" w:rsidRDefault="00B42EF3">
      <w:r>
        <w:rPr>
          <w:i/>
        </w:rPr>
        <w:t>not applicable</w:t>
      </w:r>
    </w:p>
    <w:p w:rsidR="005F78FC" w:rsidRDefault="00B42EF3">
      <w:r>
        <w:rPr>
          <w:b/>
          <w:i/>
        </w:rPr>
        <w:t>So</w:t>
      </w:r>
      <w:r>
        <w:rPr>
          <w:b/>
          <w:i/>
        </w:rPr>
        <w:t>urce Relationship</w:t>
      </w:r>
    </w:p>
    <w:p w:rsidR="005F78FC" w:rsidRDefault="00B42EF3">
      <w:r>
        <w:rPr>
          <w:i/>
        </w:rPr>
        <w:lastRenderedPageBreak/>
        <w:t>http://schemas.microsoft.com/office/2006/relationships/smartTags</w:t>
      </w:r>
    </w:p>
    <w:p w:rsidR="005F78FC" w:rsidRDefault="00B42EF3">
      <w:r>
        <w:t>An instance of this part type contains the smart data information for all smart tag-referring text contained within the presentation.</w:t>
      </w:r>
    </w:p>
    <w:p w:rsidR="005F78FC" w:rsidRDefault="00B42EF3">
      <w:r>
        <w:t>A package shall contain at most one Sma</w:t>
      </w:r>
      <w:r>
        <w:t>rtTag part, and that part shall be the target of an explicit relationship from the Presentation part ("</w:t>
      </w:r>
      <w:hyperlink r:id="rId344">
        <w:r>
          <w:rPr>
            <w:rStyle w:val="Hyperlink"/>
          </w:rPr>
          <w:t>[ISO/IEC-29500-1]</w:t>
        </w:r>
      </w:hyperlink>
      <w:r>
        <w:t xml:space="preserve"> §13.3.6").</w:t>
      </w:r>
    </w:p>
    <w:p w:rsidR="005F78FC" w:rsidRDefault="00B42EF3">
      <w:r>
        <w:t xml:space="preserve">The SmartTags part is binary information that is defined </w:t>
      </w:r>
      <w:r>
        <w:t>in the PowerPoint 97-2003 Binary File Format (.ppt) Structure Specification (“</w:t>
      </w:r>
      <w:hyperlink r:id="rId345" w:anchor="Section_6be79dde33c14c1b8ccc4b2301c08662">
        <w:r>
          <w:rPr>
            <w:rStyle w:val="Hyperlink"/>
          </w:rPr>
          <w:t>[MS-PPT]</w:t>
        </w:r>
      </w:hyperlink>
      <w:r>
        <w:t xml:space="preserve"> Section 2.11.28; SmartTagStore11Container”).</w:t>
      </w:r>
    </w:p>
    <w:p w:rsidR="005F78FC" w:rsidRDefault="00B42EF3">
      <w:r>
        <w:t>A SmartTags part shall be located within the p</w:t>
      </w:r>
      <w:r>
        <w:t xml:space="preserve">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5F78FC" w:rsidRDefault="00B42EF3">
      <w:r>
        <w:t>A SmartTags part shall not have implicit or explicit relationships to any other part defined by Office Open XML Fil</w:t>
      </w:r>
      <w:r>
        <w:t xml:space="preserve">e Formats </w:t>
      </w:r>
      <w:hyperlink r:id="rId346">
        <w:r>
          <w:rPr>
            <w:rStyle w:val="Hyperlink"/>
          </w:rPr>
          <w:t>[ISO/IEC29500:2012]</w:t>
        </w:r>
      </w:hyperlink>
      <w:r>
        <w:t>.</w:t>
      </w:r>
    </w:p>
    <w:p w:rsidR="005F78FC" w:rsidRDefault="00B42EF3">
      <w:pPr>
        <w:pStyle w:val="Heading2"/>
      </w:pPr>
      <w:bookmarkStart w:id="4031" w:name="section_e06f6ba680494bd3ae632fa63cd0536c"/>
      <w:bookmarkStart w:id="4032" w:name="_Toc69879788"/>
      <w:r>
        <w:t>Shared</w:t>
      </w:r>
      <w:bookmarkEnd w:id="4031"/>
      <w:bookmarkEnd w:id="4032"/>
      <w:r>
        <w:fldChar w:fldCharType="begin"/>
      </w:r>
      <w:r>
        <w:instrText xml:space="preserve"> XE "Shared (Additional Information)" </w:instrText>
      </w:r>
      <w:r>
        <w:fldChar w:fldCharType="end"/>
      </w:r>
    </w:p>
    <w:p w:rsidR="005F78FC" w:rsidRDefault="00B42EF3">
      <w:r>
        <w:t>This section contains additional information used to more fully describe how Office implements Office Open XML F</w:t>
      </w:r>
      <w:r>
        <w:t xml:space="preserve">ile Formats </w:t>
      </w:r>
      <w:hyperlink r:id="rId347">
        <w:r>
          <w:rPr>
            <w:rStyle w:val="Hyperlink"/>
          </w:rPr>
          <w:t>[ISO/IEC29500:2012]</w:t>
        </w:r>
      </w:hyperlink>
      <w:r>
        <w:t>.</w:t>
      </w:r>
    </w:p>
    <w:p w:rsidR="005F78FC" w:rsidRDefault="00B42EF3">
      <w:pPr>
        <w:pStyle w:val="Heading3"/>
      </w:pPr>
      <w:bookmarkStart w:id="4033" w:name="section_5c1cca76e68e452b921dd7e83877de45"/>
      <w:bookmarkStart w:id="4034" w:name="_Toc69879789"/>
      <w:r>
        <w:t>Additional Parts</w:t>
      </w:r>
      <w:bookmarkEnd w:id="4033"/>
      <w:bookmarkEnd w:id="4034"/>
      <w:r>
        <w:fldChar w:fldCharType="begin"/>
      </w:r>
      <w:r>
        <w:instrText xml:space="preserve"> XE "Additional Parts" </w:instrText>
      </w:r>
      <w:r>
        <w:fldChar w:fldCharType="end"/>
      </w:r>
    </w:p>
    <w:p w:rsidR="005F78FC" w:rsidRDefault="00B42EF3">
      <w:r>
        <w:t>The subclauses subordinate to this one describe in detail each of the shared part types in addition to those listed</w:t>
      </w:r>
      <w:r>
        <w:t xml:space="preserve"> in Office Open XML File Formats ("</w:t>
      </w:r>
      <w:hyperlink r:id="rId348">
        <w:r>
          <w:rPr>
            <w:rStyle w:val="Hyperlink"/>
          </w:rPr>
          <w:t>[ISO/IEC-29500-1]</w:t>
        </w:r>
      </w:hyperlink>
      <w:r>
        <w:t xml:space="preserve"> §15").</w:t>
      </w:r>
    </w:p>
    <w:p w:rsidR="005F78FC" w:rsidRDefault="00B42EF3">
      <w:pPr>
        <w:pStyle w:val="Heading4"/>
      </w:pPr>
      <w:bookmarkStart w:id="4035" w:name="section_2c6688debe084ffaac5432d19ebc4ca3"/>
      <w:bookmarkStart w:id="4036" w:name="_Toc69879790"/>
      <w:r>
        <w:t>Embedded Control Persistence Binary Data Part</w:t>
      </w:r>
      <w:bookmarkEnd w:id="4035"/>
      <w:bookmarkEnd w:id="4036"/>
      <w:r>
        <w:fldChar w:fldCharType="begin"/>
      </w:r>
      <w:r>
        <w:instrText xml:space="preserve"> XE "Embedded Control Persistence Binary Data Part" </w:instrText>
      </w:r>
      <w:r>
        <w:fldChar w:fldCharType="end"/>
      </w:r>
    </w:p>
    <w:p w:rsidR="005F78FC" w:rsidRDefault="00B42EF3">
      <w:r>
        <w:rPr>
          <w:b/>
          <w:i/>
        </w:rPr>
        <w:t>Content Type</w:t>
      </w:r>
    </w:p>
    <w:p w:rsidR="005F78FC" w:rsidRDefault="00B42EF3">
      <w:r>
        <w:rPr>
          <w:i/>
        </w:rPr>
        <w:t xml:space="preserve">Binary data </w:t>
      </w:r>
      <w:r>
        <w:rPr>
          <w:i/>
        </w:rPr>
        <w:t>representing various properties of an ActiveX control, a standard COM picture object, or a standard COM font object which are persisted using persistStorage, persistStream, or persistStreamInit, as indicated by the persistence attribute of the correspondin</w:t>
      </w:r>
      <w:r>
        <w:rPr>
          <w:i/>
        </w:rPr>
        <w:t>g Embedded Control Persistence part ("</w:t>
      </w:r>
      <w:hyperlink r:id="rId349">
        <w:r>
          <w:rPr>
            <w:rStyle w:val="Hyperlink"/>
          </w:rPr>
          <w:t>[ISO/IEC-29500-1]</w:t>
        </w:r>
      </w:hyperlink>
      <w:r>
        <w:rPr>
          <w:i/>
        </w:rPr>
        <w:t xml:space="preserve"> §15.2.9").</w:t>
      </w:r>
    </w:p>
    <w:p w:rsidR="005F78FC" w:rsidRDefault="00B42EF3">
      <w:r>
        <w:rPr>
          <w:i/>
        </w:rPr>
        <w:t>[Note: The content of the binary data shall be solely determined by the corresponding object. end note]</w:t>
      </w:r>
    </w:p>
    <w:p w:rsidR="005F78FC" w:rsidRDefault="00B42EF3">
      <w:r>
        <w:rPr>
          <w:b/>
          <w:i/>
        </w:rPr>
        <w:t>Root Namespace</w:t>
      </w:r>
    </w:p>
    <w:p w:rsidR="005F78FC" w:rsidRDefault="00B42EF3">
      <w:r>
        <w:rPr>
          <w:i/>
        </w:rPr>
        <w:t xml:space="preserve">not </w:t>
      </w:r>
      <w:r>
        <w:rPr>
          <w:i/>
        </w:rPr>
        <w:t>applicable</w:t>
      </w:r>
    </w:p>
    <w:p w:rsidR="005F78FC" w:rsidRDefault="00B42EF3">
      <w:r>
        <w:rPr>
          <w:b/>
          <w:i/>
        </w:rPr>
        <w:t>Source Relationship</w:t>
      </w:r>
    </w:p>
    <w:p w:rsidR="005F78FC" w:rsidRDefault="00B42EF3">
      <w:r>
        <w:rPr>
          <w:i/>
        </w:rPr>
        <w:t>http://schemas.microsoft.com/office/2006/relationships/activeXControlBinary</w:t>
      </w:r>
    </w:p>
    <w:p w:rsidR="005F78FC" w:rsidRDefault="00B42EF3">
      <w:r>
        <w:t>An instance of this part contains information about an embedded control in the package. This information is provided by the specified control when as</w:t>
      </w:r>
      <w:r>
        <w:t>ked to persist.</w:t>
      </w:r>
    </w:p>
    <w:p w:rsidR="005F78FC" w:rsidRDefault="00B42EF3">
      <w:r>
        <w:t>A package is permitted to contain one or more Embedded Control Persistence Binary Data parts, and each such part shall be the target of an explicit relationship in an Embedded Control Persistence ("[ISO/IEC-29500-1] §15.2.9") part-relations</w:t>
      </w:r>
      <w:r>
        <w:t>hip item in a WordprocessingML package; a Worksheet part ("[ISO/IEC-29500-1] §12.3.24") in a SpreadsheetML package; or a Handout Master ("[ISO/IEC-29500-1] §13.3.3"), Notes Master ("[ISO/IEC-29500-1] §13.3.4"), Notes Slide ("[ISO/IEC-29500-1] §13.3.5"), Sl</w:t>
      </w:r>
      <w:r>
        <w:t>ide ("[ISO/IEC-29500-1] §13.3.8"), Slide Layout ("[ISO/IEC-29500-1] §13.3.9"), or Slide Master ("[ISO/IEC-29500-1] §13.3.10") part-relationship item in a PresentationML package.</w:t>
      </w:r>
    </w:p>
    <w:p w:rsidR="005F78FC" w:rsidRDefault="00B42EF3">
      <w:r>
        <w:lastRenderedPageBreak/>
        <w:t>The content type of this part shall determine the internal format and contents</w:t>
      </w:r>
      <w:r>
        <w:t xml:space="preserve"> of the embedded control.</w:t>
      </w:r>
    </w:p>
    <w:p w:rsidR="005F78FC" w:rsidRDefault="00B42EF3">
      <w:r>
        <w:t>[Example: The following example shows the persistence that could be used for an embedded ActiveX control within a WordprocessingML document:</w:t>
      </w:r>
    </w:p>
    <w:p w:rsidR="005F78FC" w:rsidRDefault="00B42EF3">
      <w:pPr>
        <w:pStyle w:val="Code"/>
      </w:pPr>
      <w:r>
        <w:t>&lt;ax:ocx ax:classid="{C74190B6-8589-11D1-B16A-00C0F0283628}" ax:license="9368265E-85FE-11d</w:t>
      </w:r>
      <w:r>
        <w:t>1-8BE3-0000F8754DA1" ax:persistence="persistStorage" r:id="rId1" xmlns:ax="http://schemas.microsoft.com/office/2006/activeX" xmlns:r="http://schemas.openxmlformats.org/officeDocument/2006/relationships"/&gt;</w:t>
      </w:r>
    </w:p>
    <w:p w:rsidR="005F78FC" w:rsidRDefault="00B42EF3">
      <w:r>
        <w:t xml:space="preserve"> The relationship type for rId1 is: </w:t>
      </w:r>
      <w:r>
        <w:rPr>
          <w:rStyle w:val="InlineCode"/>
        </w:rPr>
        <w:t>http://schemas.</w:t>
      </w:r>
      <w:r>
        <w:rPr>
          <w:rStyle w:val="InlineCode"/>
        </w:rPr>
        <w:t>microsoft.com/office/2006/relationships/activeXControlBinary</w:t>
      </w:r>
    </w:p>
    <w:p w:rsidR="005F78FC" w:rsidRDefault="00B42EF3">
      <w:r>
        <w:t>The content of the part referenced by rId1 could be any binary data that can be interpreted by the corresponding control. end example]</w:t>
      </w:r>
    </w:p>
    <w:p w:rsidR="005F78FC" w:rsidRDefault="00B42EF3">
      <w:r>
        <w:t>An Embedded Control Persistence Binary Data part shall be lo</w:t>
      </w:r>
      <w:r>
        <w:t xml:space="preserve">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5F78FC" w:rsidRDefault="00B42EF3">
      <w:r>
        <w:t>An Embedded Control Persistence Binary Data part shall not have any implicit or explicit relation</w:t>
      </w:r>
      <w:r>
        <w:t xml:space="preserve">ships to other parts defined by Office Open XML File Formats </w:t>
      </w:r>
      <w:hyperlink r:id="rId350">
        <w:r>
          <w:rPr>
            <w:rStyle w:val="Hyperlink"/>
          </w:rPr>
          <w:t>[ISO/IEC29500:2012]</w:t>
        </w:r>
      </w:hyperlink>
      <w:r>
        <w:t>.</w:t>
      </w:r>
    </w:p>
    <w:p w:rsidR="005F78FC" w:rsidRDefault="00B42EF3">
      <w:pPr>
        <w:pStyle w:val="Heading4"/>
      </w:pPr>
      <w:bookmarkStart w:id="4037" w:name="section_55d273e4770e48bc883fc66dc2816d30"/>
      <w:bookmarkStart w:id="4038" w:name="_Toc69879791"/>
      <w:r>
        <w:t>Quick Access Toolbar Customizations Part</w:t>
      </w:r>
      <w:bookmarkEnd w:id="4037"/>
      <w:bookmarkEnd w:id="4038"/>
      <w:r>
        <w:fldChar w:fldCharType="begin"/>
      </w:r>
      <w:r>
        <w:instrText xml:space="preserve"> XE "Quick Access Toolbar Customizations Part" </w:instrText>
      </w:r>
      <w:r>
        <w:fldChar w:fldCharType="end"/>
      </w:r>
    </w:p>
    <w:p w:rsidR="005F78FC" w:rsidRDefault="00B42EF3">
      <w:r>
        <w:rPr>
          <w:b/>
          <w:i/>
        </w:rPr>
        <w:t>Content Type</w:t>
      </w:r>
    </w:p>
    <w:p w:rsidR="005F78FC" w:rsidRDefault="00B42EF3">
      <w:r>
        <w:rPr>
          <w:i/>
        </w:rPr>
        <w:t>application/xml</w:t>
      </w:r>
    </w:p>
    <w:p w:rsidR="005F78FC" w:rsidRDefault="00B42EF3">
      <w:r>
        <w:rPr>
          <w:b/>
          <w:i/>
        </w:rPr>
        <w:t>Root Namespace</w:t>
      </w:r>
    </w:p>
    <w:p w:rsidR="005F78FC" w:rsidRDefault="00B42EF3">
      <w:r>
        <w:rPr>
          <w:i/>
        </w:rPr>
        <w:t>http://schemas.microsoft.com/office/2006/01/customui</w:t>
      </w:r>
    </w:p>
    <w:p w:rsidR="005F78FC" w:rsidRDefault="00B42EF3">
      <w:r>
        <w:rPr>
          <w:b/>
          <w:i/>
        </w:rPr>
        <w:t>Source Relationship</w:t>
      </w:r>
    </w:p>
    <w:p w:rsidR="005F78FC" w:rsidRDefault="00B42EF3">
      <w:r>
        <w:rPr>
          <w:i/>
        </w:rPr>
        <w:t>http://schemas.microsoft.com/office/2006/relationships/ui/userCustomization</w:t>
      </w:r>
    </w:p>
    <w:p w:rsidR="005F78FC" w:rsidRDefault="00B42EF3">
      <w:r>
        <w:t>An instance of this part type contains information about the quick access to</w:t>
      </w:r>
      <w:r>
        <w:t>olbar customizations (</w:t>
      </w:r>
      <w:hyperlink r:id="rId351" w:anchor="Section_31f152d62a5d4b50a8679dbc6d01aa43">
        <w:r>
          <w:rPr>
            <w:rStyle w:val="Hyperlink"/>
          </w:rPr>
          <w:t>[MS-CUSTOMUI]</w:t>
        </w:r>
      </w:hyperlink>
      <w:r>
        <w:t xml:space="preserve">) specific to this package. </w:t>
      </w:r>
    </w:p>
    <w:p w:rsidR="005F78FC" w:rsidRDefault="00B42EF3">
      <w:r>
        <w:t>[Example: A user customized the quick access toolbar for his WordProcessingML document to contain the UI cont</w:t>
      </w:r>
      <w:r>
        <w:t>rols that they commonly use. end example]</w:t>
      </w:r>
    </w:p>
    <w:p w:rsidR="005F78FC" w:rsidRDefault="00B42EF3">
      <w:r>
        <w:t>A package is permitted to contain at most one Quick Access Toolbar Customizations part, and that part shall be the target of a relationship in the package-relationship item for the document.</w:t>
      </w:r>
    </w:p>
    <w:p w:rsidR="005F78FC" w:rsidRDefault="00B42EF3">
      <w:r>
        <w:t>[Example: The following</w:t>
      </w:r>
      <w:r>
        <w:t xml:space="preserve"> package part-relationship item contains a relationship to a Quick Access Toolbar Customizations part, which is stored in the ZIP item /userCustomization/customUI.xml:</w:t>
      </w:r>
    </w:p>
    <w:p w:rsidR="005F78FC" w:rsidRDefault="00B42EF3">
      <w:pPr>
        <w:pStyle w:val="Code"/>
      </w:pPr>
      <w:r>
        <w:t>&lt;Relationships xmlns="…"&gt;</w:t>
      </w:r>
    </w:p>
    <w:p w:rsidR="005F78FC" w:rsidRDefault="00B42EF3">
      <w:pPr>
        <w:pStyle w:val="Code"/>
      </w:pPr>
      <w:r>
        <w:t xml:space="preserve">&lt;Relationship Id="rId2" </w:t>
      </w:r>
    </w:p>
    <w:p w:rsidR="005F78FC" w:rsidRDefault="00B42EF3">
      <w:pPr>
        <w:pStyle w:val="Code"/>
      </w:pPr>
      <w:r>
        <w:t>Type="http://…/2006/relationships/ui/</w:t>
      </w:r>
      <w:r>
        <w:t>userCustomization"</w:t>
      </w:r>
    </w:p>
    <w:p w:rsidR="005F78FC" w:rsidRDefault="00B42EF3">
      <w:pPr>
        <w:pStyle w:val="Code"/>
      </w:pPr>
      <w:r>
        <w:t>Target="/userCustomization/customUI.xml" /&gt;</w:t>
      </w:r>
    </w:p>
    <w:p w:rsidR="005F78FC" w:rsidRDefault="00B42EF3">
      <w:pPr>
        <w:pStyle w:val="Code"/>
      </w:pPr>
      <w:r>
        <w:t>&lt;/Relationships&gt;</w:t>
      </w:r>
    </w:p>
    <w:p w:rsidR="005F78FC" w:rsidRDefault="00B42EF3">
      <w:r>
        <w:t>end example]</w:t>
      </w:r>
    </w:p>
    <w:p w:rsidR="005F78FC" w:rsidRDefault="00B42EF3">
      <w:r>
        <w:t xml:space="preserve">The root element for a part of this content type shall be </w:t>
      </w:r>
      <w:r>
        <w:rPr>
          <w:b/>
        </w:rPr>
        <w:t>customUI</w:t>
      </w:r>
      <w:r>
        <w:t>.</w:t>
      </w:r>
    </w:p>
    <w:p w:rsidR="005F78FC" w:rsidRDefault="00B42EF3">
      <w:r>
        <w:lastRenderedPageBreak/>
        <w:t xml:space="preserve">[Example: The following Quick Access Toolbar Customizations content markup would specify that the control with ID </w:t>
      </w:r>
      <w:r>
        <w:rPr>
          <w:i/>
        </w:rPr>
        <w:t xml:space="preserve">SpellingAndGrammar </w:t>
      </w:r>
      <w:r>
        <w:t>should be added to the quick access toolbar for the package:</w:t>
      </w:r>
    </w:p>
    <w:p w:rsidR="005F78FC" w:rsidRDefault="00B42EF3">
      <w:pPr>
        <w:pStyle w:val="Code"/>
      </w:pPr>
      <w:r>
        <w:t>&lt;mso:customUI xmlns:mso="http://schemas.microsoft.com/office/2</w:t>
      </w:r>
      <w:r>
        <w:t>006/01/customui"&gt;</w:t>
      </w:r>
    </w:p>
    <w:p w:rsidR="005F78FC" w:rsidRDefault="00B42EF3">
      <w:pPr>
        <w:pStyle w:val="Code"/>
      </w:pPr>
      <w:r>
        <w:t>&lt;mso:ribbon&gt;</w:t>
      </w:r>
    </w:p>
    <w:p w:rsidR="005F78FC" w:rsidRDefault="00B42EF3">
      <w:pPr>
        <w:pStyle w:val="Code"/>
      </w:pPr>
      <w:r>
        <w:t>&lt;mso:qat&gt;</w:t>
      </w:r>
    </w:p>
    <w:p w:rsidR="005F78FC" w:rsidRDefault="00B42EF3">
      <w:pPr>
        <w:pStyle w:val="Code"/>
      </w:pPr>
      <w:r>
        <w:t>&lt;mso:documentControls&gt;</w:t>
      </w:r>
    </w:p>
    <w:p w:rsidR="005F78FC" w:rsidRDefault="00B42EF3">
      <w:pPr>
        <w:pStyle w:val="Code"/>
      </w:pPr>
      <w:r>
        <w:t>&lt;mso:control idQ="mso:SpellingAndGrammar" visible="true" /&gt;</w:t>
      </w:r>
    </w:p>
    <w:p w:rsidR="005F78FC" w:rsidRDefault="00B42EF3">
      <w:pPr>
        <w:pStyle w:val="Code"/>
      </w:pPr>
      <w:r>
        <w:t>&lt;/mso:documentControls&gt;</w:t>
      </w:r>
    </w:p>
    <w:p w:rsidR="005F78FC" w:rsidRDefault="00B42EF3">
      <w:pPr>
        <w:pStyle w:val="Code"/>
      </w:pPr>
      <w:r>
        <w:t>&lt;/mso:qat&gt;</w:t>
      </w:r>
    </w:p>
    <w:p w:rsidR="005F78FC" w:rsidRDefault="00B42EF3">
      <w:pPr>
        <w:pStyle w:val="Code"/>
      </w:pPr>
      <w:r>
        <w:t>&lt;/mso:ribbon&gt;</w:t>
      </w:r>
    </w:p>
    <w:p w:rsidR="005F78FC" w:rsidRDefault="00B42EF3">
      <w:pPr>
        <w:pStyle w:val="Code"/>
      </w:pPr>
      <w:r>
        <w:t>&lt;/mso:customUI&gt;</w:t>
      </w:r>
    </w:p>
    <w:p w:rsidR="005F78FC" w:rsidRDefault="00B42EF3">
      <w:r>
        <w:t>end example]</w:t>
      </w:r>
    </w:p>
    <w:p w:rsidR="005F78FC" w:rsidRDefault="00B42EF3">
      <w:r>
        <w:t>A Quick Access Toolbar Customizations part shall be lo</w:t>
      </w:r>
      <w:r>
        <w:t xml:space="preserve">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5F78FC" w:rsidRDefault="00B42EF3">
      <w:r>
        <w:t>A Quick Access Toolbar Customizations part shall not have implicit or explicit relationships to a</w:t>
      </w:r>
      <w:r>
        <w:t xml:space="preserve">ny other part defined by Office Open XML File Formats </w:t>
      </w:r>
      <w:hyperlink r:id="rId352">
        <w:r>
          <w:rPr>
            <w:rStyle w:val="Hyperlink"/>
          </w:rPr>
          <w:t>[ISO/IEC29500:2012]</w:t>
        </w:r>
      </w:hyperlink>
      <w:r>
        <w:t>.</w:t>
      </w:r>
    </w:p>
    <w:p w:rsidR="005F78FC" w:rsidRDefault="00B42EF3">
      <w:pPr>
        <w:pStyle w:val="Heading4"/>
      </w:pPr>
      <w:bookmarkStart w:id="4039" w:name="section_2d3ee2da8f774b08bc2b651e568af3ab"/>
      <w:bookmarkStart w:id="4040" w:name="_Toc69879792"/>
      <w:r>
        <w:t>CustomUI Part</w:t>
      </w:r>
      <w:bookmarkEnd w:id="4039"/>
      <w:bookmarkEnd w:id="4040"/>
      <w:r>
        <w:fldChar w:fldCharType="begin"/>
      </w:r>
      <w:r>
        <w:instrText xml:space="preserve"> XE "CustomUI Part" </w:instrText>
      </w:r>
      <w:r>
        <w:fldChar w:fldCharType="end"/>
      </w:r>
    </w:p>
    <w:p w:rsidR="005F78FC" w:rsidRDefault="00B42EF3">
      <w:r>
        <w:rPr>
          <w:b/>
          <w:i/>
        </w:rPr>
        <w:t>Content Type</w:t>
      </w:r>
    </w:p>
    <w:p w:rsidR="005F78FC" w:rsidRDefault="00B42EF3">
      <w:r>
        <w:rPr>
          <w:i/>
        </w:rPr>
        <w:t>application/xml</w:t>
      </w:r>
    </w:p>
    <w:p w:rsidR="005F78FC" w:rsidRDefault="00B42EF3">
      <w:r>
        <w:rPr>
          <w:b/>
          <w:i/>
        </w:rPr>
        <w:t>Root Namespace</w:t>
      </w:r>
    </w:p>
    <w:p w:rsidR="005F78FC" w:rsidRDefault="00B42EF3">
      <w:r>
        <w:rPr>
          <w:i/>
        </w:rPr>
        <w:t>http://schemas.microsoft.com/office/2006/01/customui</w:t>
      </w:r>
    </w:p>
    <w:p w:rsidR="005F78FC" w:rsidRDefault="00B42EF3">
      <w:r>
        <w:rPr>
          <w:b/>
          <w:i/>
        </w:rPr>
        <w:t>Source Relationship</w:t>
      </w:r>
    </w:p>
    <w:p w:rsidR="005F78FC" w:rsidRDefault="00B42EF3">
      <w:r>
        <w:rPr>
          <w:i/>
        </w:rPr>
        <w:t>http://schemas.microsoft.com/office/2006/relationships/ui/extensibility</w:t>
      </w:r>
    </w:p>
    <w:p w:rsidR="005F78FC" w:rsidRDefault="00B42EF3">
      <w:r>
        <w:t>An instance of this part type contains information about the Ribbon customizations (</w:t>
      </w:r>
      <w:hyperlink r:id="rId353" w:anchor="Section_31f152d62a5d4b50a8679dbc6d01aa43">
        <w:r>
          <w:rPr>
            <w:rStyle w:val="Hyperlink"/>
          </w:rPr>
          <w:t>[MS-CUSTOMUI]</w:t>
        </w:r>
      </w:hyperlink>
      <w:r>
        <w:t xml:space="preserve">) specific to this package. </w:t>
      </w:r>
    </w:p>
    <w:p w:rsidR="005F78FC" w:rsidRDefault="00B42EF3">
      <w:r>
        <w:t>[Example: A SpreadsheetML document that represents a timecard could contain custom UI controls to guide the user in filling out the timecard. end example]</w:t>
      </w:r>
    </w:p>
    <w:p w:rsidR="005F78FC" w:rsidRDefault="00B42EF3">
      <w:r>
        <w:t>A p</w:t>
      </w:r>
      <w:r>
        <w:t>ackage is permitted to contain at most one CustomUI part, and that part shall be the target of a relationship in the package-relationship item for the document.</w:t>
      </w:r>
    </w:p>
    <w:p w:rsidR="005F78FC" w:rsidRDefault="00B42EF3">
      <w:r>
        <w:t>[Example: The following package part-relationship item contains a relationship to a CustomUI pa</w:t>
      </w:r>
      <w:r>
        <w:t>rt, which is stored in the ZIP item /customUI/customUI.xml:</w:t>
      </w:r>
    </w:p>
    <w:p w:rsidR="005F78FC" w:rsidRDefault="00B42EF3">
      <w:pPr>
        <w:pStyle w:val="Code"/>
      </w:pPr>
      <w:r>
        <w:t>&lt;Relationships xmlns="…"&gt;</w:t>
      </w:r>
    </w:p>
    <w:p w:rsidR="005F78FC" w:rsidRDefault="00B42EF3">
      <w:pPr>
        <w:pStyle w:val="Code"/>
      </w:pPr>
      <w:r>
        <w:t xml:space="preserve">&lt;Relationship Id="rId5"  </w:t>
      </w:r>
    </w:p>
    <w:p w:rsidR="005F78FC" w:rsidRDefault="00B42EF3">
      <w:pPr>
        <w:pStyle w:val="Code"/>
      </w:pPr>
      <w:r>
        <w:t>Type="http://…/2006/relationships/ui/extensibility"</w:t>
      </w:r>
    </w:p>
    <w:p w:rsidR="005F78FC" w:rsidRDefault="00B42EF3">
      <w:pPr>
        <w:pStyle w:val="Code"/>
      </w:pPr>
      <w:r>
        <w:t>Target="/customUI/customUI.xml" /&gt;</w:t>
      </w:r>
    </w:p>
    <w:p w:rsidR="005F78FC" w:rsidRDefault="00B42EF3">
      <w:pPr>
        <w:pStyle w:val="Code"/>
      </w:pPr>
      <w:r>
        <w:t>&lt;/Relationships&gt;</w:t>
      </w:r>
    </w:p>
    <w:p w:rsidR="005F78FC" w:rsidRDefault="00B42EF3">
      <w:r>
        <w:t>end example]</w:t>
      </w:r>
    </w:p>
    <w:p w:rsidR="005F78FC" w:rsidRDefault="00B42EF3">
      <w:r>
        <w:t xml:space="preserve">The root element for a part of this content type shall be </w:t>
      </w:r>
      <w:r>
        <w:rPr>
          <w:b/>
        </w:rPr>
        <w:t>customUI</w:t>
      </w:r>
      <w:r>
        <w:t>.</w:t>
      </w:r>
    </w:p>
    <w:p w:rsidR="005F78FC" w:rsidRDefault="00B42EF3">
      <w:r>
        <w:lastRenderedPageBreak/>
        <w:t xml:space="preserve">[Example: The following CustomUI content markup would specify that the ribbon tab with ID </w:t>
      </w:r>
      <w:r>
        <w:rPr>
          <w:i/>
        </w:rPr>
        <w:t>TabHome</w:t>
      </w:r>
      <w:r>
        <w:t xml:space="preserve"> should be hidden for the containing package:</w:t>
      </w:r>
    </w:p>
    <w:p w:rsidR="005F78FC" w:rsidRDefault="00B42EF3">
      <w:pPr>
        <w:pStyle w:val="Code"/>
      </w:pPr>
      <w:r>
        <w:t>&lt;customUI xmlns="http://schemas.microsoft.com</w:t>
      </w:r>
      <w:r>
        <w:t>/office/2006/01/customui"&gt;</w:t>
      </w:r>
    </w:p>
    <w:p w:rsidR="005F78FC" w:rsidRDefault="00B42EF3">
      <w:pPr>
        <w:pStyle w:val="Code"/>
      </w:pPr>
      <w:r>
        <w:t>&lt;ribbon&gt;</w:t>
      </w:r>
    </w:p>
    <w:p w:rsidR="005F78FC" w:rsidRDefault="00B42EF3">
      <w:pPr>
        <w:pStyle w:val="Code"/>
      </w:pPr>
      <w:r>
        <w:t>&lt;tabs&gt;</w:t>
      </w:r>
    </w:p>
    <w:p w:rsidR="005F78FC" w:rsidRDefault="00B42EF3">
      <w:pPr>
        <w:pStyle w:val="Code"/>
      </w:pPr>
      <w:r>
        <w:t>&lt;tab idMso="TabHome" visible="false" /&gt;</w:t>
      </w:r>
    </w:p>
    <w:p w:rsidR="005F78FC" w:rsidRDefault="00B42EF3">
      <w:pPr>
        <w:pStyle w:val="Code"/>
      </w:pPr>
      <w:r>
        <w:t>&lt;/tabs&gt;</w:t>
      </w:r>
    </w:p>
    <w:p w:rsidR="005F78FC" w:rsidRDefault="00B42EF3">
      <w:pPr>
        <w:pStyle w:val="Code"/>
      </w:pPr>
      <w:r>
        <w:t>&lt;/ribbon&gt;</w:t>
      </w:r>
    </w:p>
    <w:p w:rsidR="005F78FC" w:rsidRDefault="00B42EF3">
      <w:pPr>
        <w:pStyle w:val="Code"/>
      </w:pPr>
      <w:r>
        <w:t>&lt;/customUI&gt;</w:t>
      </w:r>
    </w:p>
    <w:p w:rsidR="005F78FC" w:rsidRDefault="00B42EF3">
      <w:r>
        <w:t>end example]</w:t>
      </w:r>
    </w:p>
    <w:p w:rsidR="005F78FC" w:rsidRDefault="00B42EF3">
      <w:r>
        <w:t xml:space="preserve">A CustomUI part shall be located within the package containing the source relationship (expressed syntactically, the </w:t>
      </w:r>
      <w:r>
        <w:rPr>
          <w:b/>
        </w:rPr>
        <w:t>TargetMode</w:t>
      </w:r>
      <w:r>
        <w:t xml:space="preserve"> at</w:t>
      </w:r>
      <w:r>
        <w:t xml:space="preserve">tribute of the </w:t>
      </w:r>
      <w:r>
        <w:rPr>
          <w:b/>
        </w:rPr>
        <w:t>Relationship</w:t>
      </w:r>
      <w:r>
        <w:t xml:space="preserve"> element shall be </w:t>
      </w:r>
      <w:r>
        <w:rPr>
          <w:i/>
        </w:rPr>
        <w:t>Internal</w:t>
      </w:r>
      <w:r>
        <w:t>).</w:t>
      </w:r>
    </w:p>
    <w:p w:rsidR="005F78FC" w:rsidRDefault="00B42EF3">
      <w:r>
        <w:t xml:space="preserve">A CustomUI part is permitted to have explicit relationships to the following parts defined by Office Open XML File Formats </w:t>
      </w:r>
      <w:hyperlink r:id="rId354">
        <w:r>
          <w:rPr>
            <w:rStyle w:val="Hyperlink"/>
          </w:rPr>
          <w:t>[ISO/IEC295</w:t>
        </w:r>
        <w:r>
          <w:rPr>
            <w:rStyle w:val="Hyperlink"/>
          </w:rPr>
          <w:t>00:2012]</w:t>
        </w:r>
      </w:hyperlink>
      <w:r>
        <w:t>:</w:t>
      </w:r>
    </w:p>
    <w:p w:rsidR="005F78FC" w:rsidRDefault="00B42EF3">
      <w:pPr>
        <w:pStyle w:val="ListParagraph"/>
        <w:numPr>
          <w:ilvl w:val="0"/>
          <w:numId w:val="208"/>
        </w:numPr>
      </w:pPr>
      <w:r>
        <w:t>Image Part ("</w:t>
      </w:r>
      <w:hyperlink r:id="rId355">
        <w:r>
          <w:rPr>
            <w:rStyle w:val="Hyperlink"/>
          </w:rPr>
          <w:t>[ISO/IEC-29500-1]</w:t>
        </w:r>
      </w:hyperlink>
      <w:r>
        <w:t xml:space="preserve"> §15.2.14")</w:t>
      </w:r>
    </w:p>
    <w:p w:rsidR="005F78FC" w:rsidRDefault="00B42EF3">
      <w:pPr>
        <w:pStyle w:val="Heading4"/>
      </w:pPr>
      <w:bookmarkStart w:id="4041" w:name="section_12409b35ead94ff8a0815b6ffa64cc0f"/>
      <w:bookmarkStart w:id="4042" w:name="_Toc69879793"/>
      <w:r>
        <w:t>CustomUI2 Part</w:t>
      </w:r>
      <w:bookmarkEnd w:id="4041"/>
      <w:bookmarkEnd w:id="4042"/>
      <w:r>
        <w:fldChar w:fldCharType="begin"/>
      </w:r>
      <w:r>
        <w:instrText xml:space="preserve"> XE "CustomUI2 Part" </w:instrText>
      </w:r>
      <w:r>
        <w:fldChar w:fldCharType="end"/>
      </w:r>
    </w:p>
    <w:p w:rsidR="005F78FC" w:rsidRDefault="00B42EF3">
      <w:r>
        <w:rPr>
          <w:b/>
          <w:i/>
        </w:rPr>
        <w:t>Content Type</w:t>
      </w:r>
    </w:p>
    <w:p w:rsidR="005F78FC" w:rsidRDefault="00B42EF3">
      <w:r>
        <w:rPr>
          <w:i/>
        </w:rPr>
        <w:t>application/xml</w:t>
      </w:r>
    </w:p>
    <w:p w:rsidR="005F78FC" w:rsidRDefault="00B42EF3">
      <w:r>
        <w:rPr>
          <w:b/>
          <w:i/>
        </w:rPr>
        <w:t>Root Namespace</w:t>
      </w:r>
    </w:p>
    <w:p w:rsidR="005F78FC" w:rsidRDefault="00B42EF3">
      <w:r>
        <w:rPr>
          <w:i/>
        </w:rPr>
        <w:t>http://schemas.microsoft.com/office/2007/10/customui</w:t>
      </w:r>
    </w:p>
    <w:p w:rsidR="005F78FC" w:rsidRDefault="00B42EF3">
      <w:r>
        <w:rPr>
          <w:b/>
          <w:i/>
        </w:rPr>
        <w:t>Sou</w:t>
      </w:r>
      <w:r>
        <w:rPr>
          <w:b/>
          <w:i/>
        </w:rPr>
        <w:t>rce Relationship</w:t>
      </w:r>
    </w:p>
    <w:p w:rsidR="005F78FC" w:rsidRDefault="00B42EF3">
      <w:r>
        <w:rPr>
          <w:i/>
        </w:rPr>
        <w:t>http://schemas.microsoft.com/office/2007/relationships/ui/extensibility</w:t>
      </w:r>
    </w:p>
    <w:p w:rsidR="005F78FC" w:rsidRDefault="00B42EF3">
      <w:r>
        <w:t>An instance of this part type contains information about the Ribbon and Backstage(TM) view customizations (</w:t>
      </w:r>
      <w:hyperlink r:id="rId356" w:anchor="Section_bad56c217b1541bcaf328b5afe6e922e">
        <w:r>
          <w:rPr>
            <w:rStyle w:val="Hyperlink"/>
          </w:rPr>
          <w:t>[MS-CUSTOMUI2]</w:t>
        </w:r>
      </w:hyperlink>
      <w:r>
        <w:t xml:space="preserve">) specific to this package. </w:t>
      </w:r>
    </w:p>
    <w:p w:rsidR="005F78FC" w:rsidRDefault="00B42EF3">
      <w:r>
        <w:t xml:space="preserve">[Example: A SpreadsheetML document that is part of a document management system could contain Backstage controls to guide the user </w:t>
      </w:r>
      <w:r>
        <w:t>in the document workflow process. end example]</w:t>
      </w:r>
    </w:p>
    <w:p w:rsidR="005F78FC" w:rsidRDefault="00B42EF3">
      <w:r>
        <w:t>A package is permitted to contain at most one CustomUI2 part, and that part shall be the target of a relationship in the package-relationship item for the document.  If a package contains both a CustomUI and C</w:t>
      </w:r>
      <w:r>
        <w:t>ustomUI2 part then only the CustomUI2 part is applied.  If a package contains a CustomUI part and does not contain a CustomUI2 part then the CustomUI part is applied.</w:t>
      </w:r>
    </w:p>
    <w:p w:rsidR="005F78FC" w:rsidRDefault="00B42EF3">
      <w:r>
        <w:t xml:space="preserve">[Example: The following package part-relationship item contains a relationship to a </w:t>
      </w:r>
      <w:r>
        <w:t>CustomUI2 part, which is stored in the ZIP item /customUI/customUI2.xml:</w:t>
      </w:r>
    </w:p>
    <w:p w:rsidR="005F78FC" w:rsidRDefault="00B42EF3">
      <w:pPr>
        <w:pStyle w:val="Code"/>
      </w:pPr>
      <w:r>
        <w:t>&lt;Relationships xmlns="…"&gt;</w:t>
      </w:r>
    </w:p>
    <w:p w:rsidR="005F78FC" w:rsidRDefault="00B42EF3">
      <w:pPr>
        <w:pStyle w:val="Code"/>
      </w:pPr>
      <w:r>
        <w:t xml:space="preserve">&lt;Relationship Id="rId6"  </w:t>
      </w:r>
    </w:p>
    <w:p w:rsidR="005F78FC" w:rsidRDefault="00B42EF3">
      <w:pPr>
        <w:pStyle w:val="Code"/>
      </w:pPr>
      <w:r>
        <w:t>Type="http://…/2007/relationships/ui/extensibility"</w:t>
      </w:r>
    </w:p>
    <w:p w:rsidR="005F78FC" w:rsidRDefault="00B42EF3">
      <w:pPr>
        <w:pStyle w:val="Code"/>
      </w:pPr>
      <w:r>
        <w:t>Target="/customUI/customUI2.xml" /&gt;</w:t>
      </w:r>
    </w:p>
    <w:p w:rsidR="005F78FC" w:rsidRDefault="00B42EF3">
      <w:pPr>
        <w:pStyle w:val="Code"/>
      </w:pPr>
      <w:r>
        <w:t>&lt;/Relationships&gt;</w:t>
      </w:r>
    </w:p>
    <w:p w:rsidR="005F78FC" w:rsidRDefault="00B42EF3">
      <w:r>
        <w:t>end example]</w:t>
      </w:r>
    </w:p>
    <w:p w:rsidR="005F78FC" w:rsidRDefault="00B42EF3">
      <w:r>
        <w:t>The root elem</w:t>
      </w:r>
      <w:r>
        <w:t xml:space="preserve">ent for a part of this content type shall be </w:t>
      </w:r>
      <w:r>
        <w:rPr>
          <w:b/>
        </w:rPr>
        <w:t>customUI</w:t>
      </w:r>
      <w:r>
        <w:t>.</w:t>
      </w:r>
    </w:p>
    <w:p w:rsidR="005F78FC" w:rsidRDefault="00B42EF3">
      <w:r>
        <w:lastRenderedPageBreak/>
        <w:t xml:space="preserve">[Example: The following CustomUI2 content markup would specify that the print tab in the Backstage view with ID </w:t>
      </w:r>
      <w:r>
        <w:rPr>
          <w:i/>
        </w:rPr>
        <w:t>PlacePrint</w:t>
      </w:r>
      <w:r>
        <w:t xml:space="preserve"> should be hidden for the containing package:</w:t>
      </w:r>
    </w:p>
    <w:p w:rsidR="005F78FC" w:rsidRDefault="00B42EF3">
      <w:pPr>
        <w:pStyle w:val="Code"/>
      </w:pPr>
      <w:r>
        <w:t>&lt;customUI xmlns="http://schemas.m</w:t>
      </w:r>
      <w:r>
        <w:t>icrosoft.com/office/2007/10/customui"&gt;</w:t>
      </w:r>
    </w:p>
    <w:p w:rsidR="005F78FC" w:rsidRDefault="00B42EF3">
      <w:pPr>
        <w:pStyle w:val="Code"/>
      </w:pPr>
      <w:r>
        <w:t>&lt;outSpace&gt;</w:t>
      </w:r>
    </w:p>
    <w:p w:rsidR="005F78FC" w:rsidRDefault="00B42EF3">
      <w:pPr>
        <w:pStyle w:val="Code"/>
      </w:pPr>
      <w:r>
        <w:t>&lt;place idMso="PlacePrint" visible="false" /&gt;</w:t>
      </w:r>
    </w:p>
    <w:p w:rsidR="005F78FC" w:rsidRDefault="00B42EF3">
      <w:pPr>
        <w:pStyle w:val="Code"/>
      </w:pPr>
      <w:r>
        <w:t>&lt;/outSpace&gt;</w:t>
      </w:r>
    </w:p>
    <w:p w:rsidR="005F78FC" w:rsidRDefault="00B42EF3">
      <w:pPr>
        <w:pStyle w:val="Code"/>
      </w:pPr>
      <w:r>
        <w:t>&lt;/customUI&gt;</w:t>
      </w:r>
    </w:p>
    <w:p w:rsidR="005F78FC" w:rsidRDefault="00B42EF3">
      <w:r>
        <w:t>end example]</w:t>
      </w:r>
    </w:p>
    <w:p w:rsidR="005F78FC" w:rsidRDefault="00B42EF3">
      <w:r>
        <w:t xml:space="preserve">A CustomUI2 part shall be located within the package containing the source relationship (expressed syntactically, the </w:t>
      </w:r>
      <w:r>
        <w:rPr>
          <w:b/>
        </w:rPr>
        <w:t>Target</w:t>
      </w:r>
      <w:r>
        <w:rPr>
          <w:b/>
        </w:rPr>
        <w:t>Mode</w:t>
      </w:r>
      <w:r>
        <w:t xml:space="preserve"> attribute of the </w:t>
      </w:r>
      <w:r>
        <w:rPr>
          <w:b/>
        </w:rPr>
        <w:t>Relationship</w:t>
      </w:r>
      <w:r>
        <w:t xml:space="preserve"> element shall be </w:t>
      </w:r>
      <w:r>
        <w:rPr>
          <w:i/>
        </w:rPr>
        <w:t>Internal</w:t>
      </w:r>
      <w:r>
        <w:t>).</w:t>
      </w:r>
    </w:p>
    <w:p w:rsidR="005F78FC" w:rsidRDefault="00B42EF3">
      <w:r>
        <w:t xml:space="preserve">A CustomUI2 part is permitted to have explicit relationships to the following parts defined by Office Open XML File Formats </w:t>
      </w:r>
      <w:hyperlink r:id="rId357">
        <w:r>
          <w:rPr>
            <w:rStyle w:val="Hyperlink"/>
          </w:rPr>
          <w:t>[IS</w:t>
        </w:r>
        <w:r>
          <w:rPr>
            <w:rStyle w:val="Hyperlink"/>
          </w:rPr>
          <w:t>O/IEC29500:2012]</w:t>
        </w:r>
      </w:hyperlink>
      <w:r>
        <w:t>:</w:t>
      </w:r>
    </w:p>
    <w:p w:rsidR="005F78FC" w:rsidRDefault="00B42EF3">
      <w:pPr>
        <w:pStyle w:val="ListParagraph"/>
        <w:numPr>
          <w:ilvl w:val="0"/>
          <w:numId w:val="209"/>
        </w:numPr>
      </w:pPr>
      <w:r>
        <w:t>Image Part ("</w:t>
      </w:r>
      <w:hyperlink r:id="rId358">
        <w:r>
          <w:rPr>
            <w:rStyle w:val="Hyperlink"/>
          </w:rPr>
          <w:t>[ISO/IEC-29500-1]</w:t>
        </w:r>
      </w:hyperlink>
      <w:r>
        <w:t xml:space="preserve"> §15.2.14")</w:t>
      </w:r>
    </w:p>
    <w:p w:rsidR="005F78FC" w:rsidRDefault="00B42EF3">
      <w:pPr>
        <w:pStyle w:val="Heading4"/>
      </w:pPr>
      <w:bookmarkStart w:id="4043" w:name="section_c0599e21b77f475e99e0bd647f60bcbb"/>
      <w:bookmarkStart w:id="4044" w:name="_Toc69879794"/>
      <w:r>
        <w:t>Sensitivity Label Information Part</w:t>
      </w:r>
      <w:bookmarkEnd w:id="4043"/>
      <w:bookmarkEnd w:id="4044"/>
      <w:r>
        <w:fldChar w:fldCharType="begin"/>
      </w:r>
      <w:r>
        <w:instrText xml:space="preserve"> XE "Sensitivity Label Information Part" </w:instrText>
      </w:r>
      <w:r>
        <w:fldChar w:fldCharType="end"/>
      </w:r>
    </w:p>
    <w:p w:rsidR="005F78FC" w:rsidRDefault="00B42EF3">
      <w:r>
        <w:rPr>
          <w:b/>
          <w:i/>
        </w:rPr>
        <w:t>Content Type</w:t>
      </w:r>
    </w:p>
    <w:p w:rsidR="005F78FC" w:rsidRDefault="00B42EF3">
      <w:r>
        <w:rPr>
          <w:i/>
        </w:rPr>
        <w:t>application/xml</w:t>
      </w:r>
    </w:p>
    <w:p w:rsidR="005F78FC" w:rsidRDefault="00B42EF3">
      <w:r>
        <w:rPr>
          <w:b/>
          <w:i/>
        </w:rPr>
        <w:t>Root Namespace</w:t>
      </w:r>
    </w:p>
    <w:p w:rsidR="005F78FC" w:rsidRDefault="00B42EF3">
      <w:pPr>
        <w:rPr>
          <w:i/>
        </w:rPr>
      </w:pPr>
      <w:r>
        <w:rPr>
          <w:i/>
        </w:rPr>
        <w:t>http://s</w:t>
      </w:r>
      <w:r>
        <w:rPr>
          <w:i/>
        </w:rPr>
        <w:t>chemas.microsoft.com/office/2020/mipLabelMetadata</w:t>
      </w:r>
    </w:p>
    <w:p w:rsidR="005F78FC" w:rsidRDefault="00B42EF3">
      <w:r>
        <w:rPr>
          <w:b/>
          <w:i/>
        </w:rPr>
        <w:t>Source Relationship</w:t>
      </w:r>
    </w:p>
    <w:p w:rsidR="005F78FC" w:rsidRDefault="00B42EF3">
      <w:pPr>
        <w:rPr>
          <w:i/>
        </w:rPr>
      </w:pPr>
      <w:r>
        <w:rPr>
          <w:i/>
        </w:rPr>
        <w:t>http://schemas.microsoft.com/office/2020/02/relationships/classificationlabels</w:t>
      </w:r>
    </w:p>
    <w:p w:rsidR="005F78FC" w:rsidRDefault="00B42EF3">
      <w:r>
        <w:t xml:space="preserve">An instance of this part type contains </w:t>
      </w:r>
      <w:hyperlink w:anchor="gt_ae6b3334-fd18-48b8-81a1-70580357c7ea">
        <w:r>
          <w:rPr>
            <w:rStyle w:val="HyperlinkGreen"/>
            <w:b/>
          </w:rPr>
          <w:t>sensit</w:t>
        </w:r>
        <w:r>
          <w:rPr>
            <w:rStyle w:val="HyperlinkGreen"/>
            <w:b/>
          </w:rPr>
          <w:t>ivity label metadata</w:t>
        </w:r>
      </w:hyperlink>
      <w:r>
        <w:t xml:space="preserve"> specific to this package. </w:t>
      </w:r>
    </w:p>
    <w:p w:rsidR="005F78FC" w:rsidRDefault="00B42EF3">
      <w:r>
        <w:t>A package is permitted to contain at most one Sensitivity Label Information part, and that part shall be the target of a relationship in the package-relationship item for the document.  If a file contains bot</w:t>
      </w:r>
      <w:r>
        <w:t xml:space="preserve">h a LabelInfo </w:t>
      </w:r>
      <w:hyperlink w:anchor="gt_f3529cd8-50da-4f36-aa0b-66af455edbb6">
        <w:r>
          <w:rPr>
            <w:rStyle w:val="HyperlinkGreen"/>
            <w:b/>
          </w:rPr>
          <w:t>stream</w:t>
        </w:r>
      </w:hyperlink>
      <w:r>
        <w:t xml:space="preserve"> (</w:t>
      </w:r>
      <w:hyperlink r:id="rId359" w:anchor="Section_3c34d72a1a614b52a893196f9157f083">
        <w:r>
          <w:rPr>
            <w:rStyle w:val="Hyperlink"/>
          </w:rPr>
          <w:t>[MS-OFFCRYPTO]</w:t>
        </w:r>
      </w:hyperlink>
      <w:r>
        <w:t xml:space="preserve"> section 2.6.4) and Sensitivity Label Information part in the encrypted </w:t>
      </w:r>
      <w:r>
        <w:t xml:space="preserve">package ([MS-OFFCRYPTO] section 2.3.4.4) then only the LabelInfo stream ([MS-OFFCRYPTO] section 2.6.4) is applied.  If a package contains a Sensitivity Label Information part and the file is not encrypted with </w:t>
      </w:r>
      <w:hyperlink w:anchor="gt_ff35237a-a497-42aa-b0d5-7a0116328759">
        <w:r>
          <w:rPr>
            <w:rStyle w:val="HyperlinkGreen"/>
            <w:b/>
          </w:rPr>
          <w:t>Information Rights Management (IRM)</w:t>
        </w:r>
      </w:hyperlink>
      <w:r>
        <w:t xml:space="preserve"> ([MS-OFFCRYPTO]) then the Sensitivity Label Information part is applied.</w:t>
      </w:r>
    </w:p>
    <w:p w:rsidR="005F78FC" w:rsidRDefault="00B42EF3">
      <w:r>
        <w:t>[Example: The following package part-relationship item contains a relationship to a Sensitivity Label Information part, which is st</w:t>
      </w:r>
      <w:r>
        <w:t>ored in the ZIP item /docMetadata/LabelInfo.xml:</w:t>
      </w:r>
    </w:p>
    <w:p w:rsidR="005F78FC" w:rsidRDefault="00B42EF3">
      <w:pPr>
        <w:pStyle w:val="Code"/>
      </w:pPr>
      <w:r>
        <w:t>&lt;Relationships xmlns="..."&gt;</w:t>
      </w:r>
      <w:r>
        <w:br/>
        <w:t>&lt;Relationship Id="rId4" Type="http://schemas.microsoft.com/office/2020/02/relationships/classificationlabels" Target="docMetadata/LabelInfo.xml"/&gt;&lt;/Relationships&gt;</w:t>
      </w:r>
    </w:p>
    <w:p w:rsidR="005F78FC" w:rsidRDefault="00B42EF3">
      <w:r>
        <w:t>end example]</w:t>
      </w:r>
    </w:p>
    <w:p w:rsidR="005F78FC" w:rsidRDefault="00B42EF3">
      <w:r>
        <w:t xml:space="preserve">The root element for a part of this content type shall be </w:t>
      </w:r>
      <w:r>
        <w:rPr>
          <w:b/>
        </w:rPr>
        <w:t>labelList</w:t>
      </w:r>
      <w:r>
        <w:t xml:space="preserve"> ([MS-OFFCRYPTO] section 2.6.4.3).</w:t>
      </w:r>
    </w:p>
    <w:p w:rsidR="005F78FC" w:rsidRDefault="00B42EF3">
      <w:r>
        <w:t>Some workflows, for example advanced collaboration features using documents uploaded to Microsoft SharePoint Online, require that writers make the same ch</w:t>
      </w:r>
      <w:r>
        <w:t xml:space="preserve">ange to the document. Different implementations can lead to subtle syntactic differences between the files. Even though the data represented in the parts are identical (and would resolve as such if read with a standard XML reader), </w:t>
      </w:r>
      <w:r>
        <w:lastRenderedPageBreak/>
        <w:t>the files would nonethel</w:t>
      </w:r>
      <w:r>
        <w:t>ess fail to compare byte-for-byte. To solve this issue, the two writers involved must be written cooperatively to ensure stricter rules are followed to guarantee identical XML generation. These stricter rules are not a requirement of this schema, but rathe</w:t>
      </w:r>
      <w:r>
        <w:t>r in the cooperative generation of XML between two endpoints in this situation. The Microsoft Information Protection SDK version 1.7 (</w:t>
      </w:r>
      <w:hyperlink r:id="rId360">
        <w:r>
          <w:rPr>
            <w:rStyle w:val="Hyperlink"/>
          </w:rPr>
          <w:t>[MSFT-MIPSDK]</w:t>
        </w:r>
      </w:hyperlink>
      <w:r>
        <w:t xml:space="preserve"> see class PolicyEngine) implements these stricter writing requirem</w:t>
      </w:r>
      <w:r>
        <w:t>ents in order to implement the cooperative XML writing necessary to avoid false conflicts when SharePoint Online and a client implementation both need to make the same edit to the part in a file in parallel.</w:t>
      </w:r>
    </w:p>
    <w:p w:rsidR="005F78FC" w:rsidRDefault="00B42EF3">
      <w:pPr>
        <w:pStyle w:val="Heading2"/>
      </w:pPr>
      <w:bookmarkStart w:id="4045" w:name="section_b5ea004721194ae594a163c27af037dd"/>
      <w:bookmarkStart w:id="4046" w:name="_Toc69879795"/>
      <w:r>
        <w:t>Office Well Defined Custom XML Parts</w:t>
      </w:r>
      <w:bookmarkEnd w:id="4045"/>
      <w:bookmarkEnd w:id="4046"/>
      <w:r>
        <w:fldChar w:fldCharType="begin"/>
      </w:r>
      <w:r>
        <w:instrText xml:space="preserve"> XE "Office </w:instrText>
      </w:r>
      <w:r>
        <w:instrText xml:space="preserve">Well Defined Custom XML Parts (Additional Information)" </w:instrText>
      </w:r>
      <w:r>
        <w:fldChar w:fldCharType="end"/>
      </w:r>
    </w:p>
    <w:p w:rsidR="005F78FC" w:rsidRDefault="00B42EF3">
      <w:r>
        <w:t>Office reads and writes a set of well-defined Custom XML Parts.  Custom XML Parts, in general, are described in Custom XML Data Storage Part ("</w:t>
      </w:r>
      <w:hyperlink r:id="rId361">
        <w:r>
          <w:rPr>
            <w:rStyle w:val="Hyperlink"/>
          </w:rPr>
          <w:t>[ISO/IEC-29500-1]</w:t>
        </w:r>
      </w:hyperlink>
      <w:r>
        <w:t xml:space="preserve"> §15.2.5") and Custom XML Data Properties ("[ISO/IEC-29500-1] §22.5"). In addition to implementing the relevant portions of Office Open XML File Formats </w:t>
      </w:r>
      <w:hyperlink r:id="rId362">
        <w:r>
          <w:rPr>
            <w:rStyle w:val="Hyperlink"/>
          </w:rPr>
          <w:t>[ISO/IEC</w:t>
        </w:r>
        <w:r>
          <w:rPr>
            <w:rStyle w:val="Hyperlink"/>
          </w:rPr>
          <w:t>29500:2012]</w:t>
        </w:r>
      </w:hyperlink>
      <w:r>
        <w:t>, Office understands a predefined set of schemas when applied to Custom XML Parts.</w:t>
      </w:r>
    </w:p>
    <w:p w:rsidR="005F78FC" w:rsidRDefault="00B42EF3">
      <w:r>
        <w:t xml:space="preserve">This clause and its subordinate subclauses describe the structure and content of these well-defined parts.  </w:t>
      </w:r>
    </w:p>
    <w:p w:rsidR="005F78FC" w:rsidRDefault="00B42EF3">
      <w:r>
        <w:t>[Note: For convenience, information from those subcla</w:t>
      </w:r>
      <w:r>
        <w:t>uses is summarized in the following table:</w:t>
      </w:r>
    </w:p>
    <w:tbl>
      <w:tblPr>
        <w:tblStyle w:val="Table-ShadedHeader"/>
        <w:tblW w:w="0" w:type="auto"/>
        <w:tblLook w:val="04A0" w:firstRow="1" w:lastRow="0" w:firstColumn="1" w:lastColumn="0" w:noHBand="0" w:noVBand="1"/>
      </w:tblPr>
      <w:tblGrid>
        <w:gridCol w:w="1686"/>
        <w:gridCol w:w="2054"/>
        <w:gridCol w:w="3890"/>
        <w:gridCol w:w="1845"/>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Part</w:t>
            </w:r>
          </w:p>
        </w:tc>
        <w:tc>
          <w:tcPr>
            <w:tcW w:w="0" w:type="auto"/>
            <w:vAlign w:val="center"/>
          </w:tcPr>
          <w:p w:rsidR="005F78FC" w:rsidRDefault="00B42EF3">
            <w:pPr>
              <w:pStyle w:val="TableHeaderText"/>
            </w:pPr>
            <w:r>
              <w:t>Root Element</w:t>
            </w:r>
          </w:p>
        </w:tc>
        <w:tc>
          <w:tcPr>
            <w:tcW w:w="0" w:type="auto"/>
            <w:vAlign w:val="center"/>
          </w:tcPr>
          <w:p w:rsidR="005F78FC" w:rsidRDefault="00B42EF3">
            <w:pPr>
              <w:pStyle w:val="TableHeaderText"/>
            </w:pPr>
            <w:r>
              <w:t>Namespace</w:t>
            </w:r>
          </w:p>
        </w:tc>
        <w:tc>
          <w:tcPr>
            <w:tcW w:w="0" w:type="auto"/>
            <w:vAlign w:val="center"/>
          </w:tcPr>
          <w:p w:rsidR="005F78FC" w:rsidRDefault="00B42EF3">
            <w:pPr>
              <w:pStyle w:val="TableHeaderText"/>
            </w:pPr>
            <w:r>
              <w:t>Ref</w:t>
            </w:r>
          </w:p>
        </w:tc>
      </w:tr>
      <w:tr w:rsidR="005F78FC" w:rsidTr="005F78FC">
        <w:tc>
          <w:tcPr>
            <w:tcW w:w="0" w:type="auto"/>
            <w:vAlign w:val="center"/>
          </w:tcPr>
          <w:p w:rsidR="005F78FC" w:rsidRDefault="00B42EF3">
            <w:pPr>
              <w:pStyle w:val="TableBodyText"/>
            </w:pPr>
            <w:r>
              <w:t>Cover Page Properties</w:t>
            </w:r>
          </w:p>
        </w:tc>
        <w:tc>
          <w:tcPr>
            <w:tcW w:w="0" w:type="auto"/>
            <w:vAlign w:val="center"/>
          </w:tcPr>
          <w:p w:rsidR="005F78FC" w:rsidRDefault="00B42EF3">
            <w:pPr>
              <w:pStyle w:val="TableBodyText"/>
            </w:pPr>
            <w:r>
              <w:t>coverPageProperties</w:t>
            </w:r>
          </w:p>
        </w:tc>
        <w:tc>
          <w:tcPr>
            <w:tcW w:w="0" w:type="auto"/>
            <w:vAlign w:val="center"/>
          </w:tcPr>
          <w:p w:rsidR="005F78FC" w:rsidRDefault="00B42EF3">
            <w:pPr>
              <w:pStyle w:val="TableBodyText"/>
            </w:pPr>
            <w:r>
              <w:t>http://schemas.microsoft.com/‌office/‌2006/‌coverPageProps</w:t>
            </w:r>
          </w:p>
        </w:tc>
        <w:tc>
          <w:tcPr>
            <w:tcW w:w="0" w:type="auto"/>
            <w:vAlign w:val="center"/>
          </w:tcPr>
          <w:p w:rsidR="005F78FC" w:rsidRDefault="00B42EF3">
            <w:pPr>
              <w:pStyle w:val="TableBodyText"/>
            </w:pPr>
            <w:hyperlink w:anchor="Section_f13db469a7624a039fbbb4d0fc4affc7">
              <w:r>
                <w:rPr>
                  <w:rStyle w:val="Hyperlink"/>
                </w:rPr>
                <w:t>§3.5.1, Cover Pa</w:t>
              </w:r>
              <w:r>
                <w:rPr>
                  <w:rStyle w:val="Hyperlink"/>
                </w:rPr>
                <w:t>ge Properties</w:t>
              </w:r>
            </w:hyperlink>
          </w:p>
        </w:tc>
      </w:tr>
      <w:tr w:rsidR="005F78FC" w:rsidTr="005F78FC">
        <w:tc>
          <w:tcPr>
            <w:tcW w:w="0" w:type="auto"/>
            <w:vAlign w:val="center"/>
          </w:tcPr>
          <w:p w:rsidR="005F78FC" w:rsidRDefault="00B42EF3">
            <w:pPr>
              <w:pStyle w:val="TableBodyText"/>
            </w:pPr>
            <w:r>
              <w:t>Content Type Schema</w:t>
            </w:r>
          </w:p>
        </w:tc>
        <w:tc>
          <w:tcPr>
            <w:tcW w:w="0" w:type="auto"/>
            <w:vAlign w:val="center"/>
          </w:tcPr>
          <w:p w:rsidR="005F78FC" w:rsidRDefault="00B42EF3">
            <w:pPr>
              <w:pStyle w:val="TableBodyText"/>
            </w:pPr>
            <w:r>
              <w:t>contentTypeSchema</w:t>
            </w:r>
          </w:p>
        </w:tc>
        <w:tc>
          <w:tcPr>
            <w:tcW w:w="0" w:type="auto"/>
            <w:vAlign w:val="center"/>
          </w:tcPr>
          <w:p w:rsidR="005F78FC" w:rsidRDefault="00B42EF3">
            <w:pPr>
              <w:pStyle w:val="TableBodyText"/>
            </w:pPr>
            <w:r>
              <w:t>http://schemas.microsoft.com/‌office/‌2006/‌metadata/‌contentType</w:t>
            </w:r>
          </w:p>
        </w:tc>
        <w:tc>
          <w:tcPr>
            <w:tcW w:w="0" w:type="auto"/>
            <w:vAlign w:val="center"/>
          </w:tcPr>
          <w:p w:rsidR="005F78FC" w:rsidRDefault="00B42EF3">
            <w:pPr>
              <w:pStyle w:val="TableBodyText"/>
            </w:pPr>
            <w:hyperlink w:anchor="Section_ccefd82e29684f0ca2db6b109fe3353c">
              <w:r>
                <w:rPr>
                  <w:rStyle w:val="Hyperlink"/>
                </w:rPr>
                <w:t>§3.5.2, Content Type Schemas</w:t>
              </w:r>
            </w:hyperlink>
          </w:p>
        </w:tc>
      </w:tr>
      <w:tr w:rsidR="005F78FC" w:rsidTr="005F78FC">
        <w:tc>
          <w:tcPr>
            <w:tcW w:w="0" w:type="auto"/>
            <w:vAlign w:val="center"/>
          </w:tcPr>
          <w:p w:rsidR="005F78FC" w:rsidRDefault="00B42EF3">
            <w:pPr>
              <w:pStyle w:val="TableBodyText"/>
            </w:pPr>
            <w:r>
              <w:t>Custom Document Information Panel</w:t>
            </w:r>
          </w:p>
        </w:tc>
        <w:tc>
          <w:tcPr>
            <w:tcW w:w="0" w:type="auto"/>
            <w:vAlign w:val="center"/>
          </w:tcPr>
          <w:p w:rsidR="005F78FC" w:rsidRDefault="00B42EF3">
            <w:pPr>
              <w:pStyle w:val="TableBodyText"/>
            </w:pPr>
            <w:r>
              <w:t>customPropertyEditors</w:t>
            </w:r>
          </w:p>
        </w:tc>
        <w:tc>
          <w:tcPr>
            <w:tcW w:w="0" w:type="auto"/>
            <w:vAlign w:val="center"/>
          </w:tcPr>
          <w:p w:rsidR="005F78FC" w:rsidRDefault="00B42EF3">
            <w:pPr>
              <w:pStyle w:val="TableBodyText"/>
            </w:pPr>
            <w:r>
              <w:t>http://schemas.microsoft.com/‌office/‌2006/‌customDocumentInformationPanel</w:t>
            </w:r>
          </w:p>
        </w:tc>
        <w:tc>
          <w:tcPr>
            <w:tcW w:w="0" w:type="auto"/>
            <w:vAlign w:val="center"/>
          </w:tcPr>
          <w:p w:rsidR="005F78FC" w:rsidRDefault="00B42EF3">
            <w:pPr>
              <w:pStyle w:val="TableBodyText"/>
            </w:pPr>
            <w:hyperlink w:anchor="Section_115a2521c18a49df82edf87e7941c25f">
              <w:r>
                <w:rPr>
                  <w:rStyle w:val="Hyperlink"/>
                </w:rPr>
                <w:t>§3.5.3, Custom Document Information Panel</w:t>
              </w:r>
            </w:hyperlink>
          </w:p>
        </w:tc>
      </w:tr>
      <w:tr w:rsidR="005F78FC" w:rsidTr="005F78FC">
        <w:tc>
          <w:tcPr>
            <w:tcW w:w="0" w:type="auto"/>
            <w:vAlign w:val="center"/>
          </w:tcPr>
          <w:p w:rsidR="005F78FC" w:rsidRDefault="00B42EF3">
            <w:pPr>
              <w:pStyle w:val="TableBodyText"/>
            </w:pPr>
            <w:r>
              <w:t>Custom XSN</w:t>
            </w:r>
          </w:p>
        </w:tc>
        <w:tc>
          <w:tcPr>
            <w:tcW w:w="0" w:type="auto"/>
            <w:vAlign w:val="center"/>
          </w:tcPr>
          <w:p w:rsidR="005F78FC" w:rsidRDefault="00B42EF3">
            <w:pPr>
              <w:pStyle w:val="TableBodyText"/>
            </w:pPr>
            <w:r>
              <w:t>customXsn</w:t>
            </w:r>
          </w:p>
        </w:tc>
        <w:tc>
          <w:tcPr>
            <w:tcW w:w="0" w:type="auto"/>
            <w:vAlign w:val="center"/>
          </w:tcPr>
          <w:p w:rsidR="005F78FC" w:rsidRDefault="00B42EF3">
            <w:pPr>
              <w:pStyle w:val="TableBodyText"/>
            </w:pPr>
            <w:r>
              <w:t>http://schemas.microsoft.com/‌office/‌2006/‌metadata/‌customXsn</w:t>
            </w:r>
          </w:p>
        </w:tc>
        <w:tc>
          <w:tcPr>
            <w:tcW w:w="0" w:type="auto"/>
            <w:vAlign w:val="center"/>
          </w:tcPr>
          <w:p w:rsidR="005F78FC" w:rsidRDefault="00B42EF3">
            <w:pPr>
              <w:pStyle w:val="TableBodyText"/>
            </w:pPr>
            <w:hyperlink w:anchor="Section_c26a68bdb8164d2eb84258bc92e4f6a2">
              <w:r>
                <w:rPr>
                  <w:rStyle w:val="Hyperlink"/>
                </w:rPr>
                <w:t>§3.5.4, Custom XSN</w:t>
              </w:r>
            </w:hyperlink>
          </w:p>
        </w:tc>
      </w:tr>
      <w:tr w:rsidR="005F78FC" w:rsidTr="005F78FC">
        <w:tc>
          <w:tcPr>
            <w:tcW w:w="0" w:type="auto"/>
            <w:vAlign w:val="center"/>
          </w:tcPr>
          <w:p w:rsidR="005F78FC" w:rsidRDefault="00B42EF3">
            <w:pPr>
              <w:pStyle w:val="TableBodyText"/>
            </w:pPr>
            <w:r>
              <w:t>Long Properties</w:t>
            </w:r>
          </w:p>
        </w:tc>
        <w:tc>
          <w:tcPr>
            <w:tcW w:w="0" w:type="auto"/>
            <w:vAlign w:val="center"/>
          </w:tcPr>
          <w:p w:rsidR="005F78FC" w:rsidRDefault="00B42EF3">
            <w:pPr>
              <w:pStyle w:val="TableBodyText"/>
            </w:pPr>
            <w:r>
              <w:t>longProperties</w:t>
            </w:r>
          </w:p>
        </w:tc>
        <w:tc>
          <w:tcPr>
            <w:tcW w:w="0" w:type="auto"/>
            <w:vAlign w:val="center"/>
          </w:tcPr>
          <w:p w:rsidR="005F78FC" w:rsidRDefault="00B42EF3">
            <w:pPr>
              <w:pStyle w:val="TableBodyText"/>
            </w:pPr>
            <w:r>
              <w:t>http://schemas.microsoft.com/‌office/‌2006/‌metadata/longProperties</w:t>
            </w:r>
          </w:p>
        </w:tc>
        <w:tc>
          <w:tcPr>
            <w:tcW w:w="0" w:type="auto"/>
            <w:vAlign w:val="center"/>
          </w:tcPr>
          <w:p w:rsidR="005F78FC" w:rsidRDefault="00B42EF3">
            <w:pPr>
              <w:pStyle w:val="TableBodyText"/>
            </w:pPr>
            <w:hyperlink w:anchor="Section_78d73854b7934cd682ef994e57d303db">
              <w:r>
                <w:rPr>
                  <w:rStyle w:val="Hyperlink"/>
                </w:rPr>
                <w:t>§3.5.5, Long Properties</w:t>
              </w:r>
            </w:hyperlink>
          </w:p>
        </w:tc>
      </w:tr>
    </w:tbl>
    <w:p w:rsidR="005F78FC" w:rsidRDefault="005F78FC"/>
    <w:p w:rsidR="005F78FC" w:rsidRDefault="00B42EF3">
      <w:r>
        <w:t>end note]</w:t>
      </w:r>
    </w:p>
    <w:p w:rsidR="005F78FC" w:rsidRDefault="00B42EF3">
      <w:pPr>
        <w:pStyle w:val="Heading3"/>
      </w:pPr>
      <w:bookmarkStart w:id="4047" w:name="section_f13db469a7624a039fbbb4d0fc4affc7"/>
      <w:bookmarkStart w:id="4048" w:name="_Toc69879796"/>
      <w:r>
        <w:t>Cover Page Properties</w:t>
      </w:r>
      <w:bookmarkEnd w:id="4047"/>
      <w:bookmarkEnd w:id="4048"/>
      <w:r>
        <w:fldChar w:fldCharType="begin"/>
      </w:r>
      <w:r>
        <w:instrText xml:space="preserve"> XE "Cover Page Properties" </w:instrText>
      </w:r>
      <w:r>
        <w:fldChar w:fldCharType="end"/>
      </w:r>
    </w:p>
    <w:p w:rsidR="005F78FC" w:rsidRDefault="00B42EF3">
      <w:r>
        <w:t>The Cover Page Properties is comprised of a Custom XML Data Storage Part ("</w:t>
      </w:r>
      <w:hyperlink r:id="rId363">
        <w:r>
          <w:rPr>
            <w:rStyle w:val="Hyperlink"/>
          </w:rPr>
          <w:t>[ISO/IEC-29500-1]</w:t>
        </w:r>
      </w:hyperlink>
      <w:r>
        <w:t xml:space="preserve"> §15.2.5") which contains the Cover Page Properties information, and a Custom XML Data Storage Properties Part ("[ISO/IEC-29500-1] §15.2.6") which contains the set of properties for the custom XML data. </w:t>
      </w:r>
    </w:p>
    <w:p w:rsidR="005F78FC" w:rsidRDefault="00B42EF3">
      <w:r>
        <w:t xml:space="preserve"> The XML contents of the data storage part conform to the schema defined in Cover Page Properties Schema (</w:t>
      </w:r>
      <w:hyperlink w:anchor="Section_f4d50e0ddbdb493d9c1f5e94acf656a1">
        <w:r>
          <w:rPr>
            <w:rStyle w:val="Hyperlink"/>
          </w:rPr>
          <w:t>§3.5.1.1, Cover Page Properties Schema</w:t>
        </w:r>
      </w:hyperlink>
      <w:r>
        <w:t>).</w:t>
      </w:r>
    </w:p>
    <w:p w:rsidR="005F78FC" w:rsidRDefault="00B42EF3">
      <w:r>
        <w:t>The root element of the Custom XML Data Storag</w:t>
      </w:r>
      <w:r>
        <w:t>e Part shall be CoverPageProperties (</w:t>
      </w:r>
      <w:hyperlink w:anchor="Section_81e7ee1c4eea44838a713ae2974e2a74">
        <w:r>
          <w:rPr>
            <w:rStyle w:val="Hyperlink"/>
          </w:rPr>
          <w:t>§3.5.1.1.1.6, CoverPageProperties</w:t>
        </w:r>
      </w:hyperlink>
      <w:r>
        <w:t>).</w:t>
      </w:r>
    </w:p>
    <w:p w:rsidR="005F78FC" w:rsidRDefault="00B42EF3">
      <w:r>
        <w:t>The Associated XML Schema ("[ISO/IEC-29500-1] §22.5.2.2; schemaRef") for this Custom XML Data Storage Part shall be “htt</w:t>
      </w:r>
      <w:r>
        <w:t xml:space="preserve">p://schemas.microsoft.com/office/2006/coverPageProps”. </w:t>
      </w:r>
    </w:p>
    <w:p w:rsidR="005F78FC" w:rsidRDefault="00B42EF3">
      <w:pPr>
        <w:pStyle w:val="Heading4"/>
      </w:pPr>
      <w:bookmarkStart w:id="4049" w:name="section_f4d50e0ddbdb493d9c1f5e94acf656a1"/>
      <w:bookmarkStart w:id="4050" w:name="_Toc69879797"/>
      <w:r>
        <w:lastRenderedPageBreak/>
        <w:t>Cover Page Properties Schema</w:t>
      </w:r>
      <w:bookmarkEnd w:id="4049"/>
      <w:bookmarkEnd w:id="4050"/>
      <w:r>
        <w:fldChar w:fldCharType="begin"/>
      </w:r>
      <w:r>
        <w:instrText xml:space="preserve"> XE "Cover Page Properties Schema" </w:instrText>
      </w:r>
      <w:r>
        <w:fldChar w:fldCharType="end"/>
      </w:r>
    </w:p>
    <w:p w:rsidR="005F78FC" w:rsidRDefault="00B42EF3">
      <w:r>
        <w:t>Cover page properties define a set of document properties available for use on a Word cover page.</w:t>
      </w:r>
    </w:p>
    <w:p w:rsidR="005F78FC" w:rsidRDefault="00B42EF3">
      <w:pPr>
        <w:pStyle w:val="Heading5"/>
      </w:pPr>
      <w:bookmarkStart w:id="4051" w:name="section_38d5c877b2044464883f6498cb7bc3e6"/>
      <w:bookmarkStart w:id="4052" w:name="_Toc69879798"/>
      <w:r>
        <w:t>Elements</w:t>
      </w:r>
      <w:bookmarkEnd w:id="4051"/>
      <w:bookmarkEnd w:id="4052"/>
    </w:p>
    <w:p w:rsidR="005F78FC" w:rsidRDefault="00B42EF3">
      <w:pPr>
        <w:pStyle w:val="Heading6"/>
      </w:pPr>
      <w:bookmarkStart w:id="4053" w:name="section_93eba06791a84e518377d509424e042a"/>
      <w:bookmarkStart w:id="4054" w:name="_Toc69879799"/>
      <w:r>
        <w:t>Abstract (Document Abstract</w:t>
      </w:r>
      <w:r>
        <w:t>)</w:t>
      </w:r>
      <w:bookmarkEnd w:id="4053"/>
      <w:bookmarkEnd w:id="4054"/>
      <w:r>
        <w:fldChar w:fldCharType="begin"/>
      </w:r>
      <w:r>
        <w:instrText xml:space="preserve"> XE "Abstract (Document Abstract)" </w:instrText>
      </w:r>
      <w:r>
        <w:fldChar w:fldCharType="end"/>
      </w:r>
    </w:p>
    <w:p w:rsidR="005F78FC" w:rsidRDefault="00B42EF3">
      <w:r>
        <w:t>This element specifies an abstract of the document content.</w:t>
      </w:r>
    </w:p>
    <w:tbl>
      <w:tblPr>
        <w:tblStyle w:val="Table-ShadedHeader"/>
        <w:tblW w:w="0" w:type="auto"/>
        <w:tblLook w:val="04A0" w:firstRow="1" w:lastRow="0" w:firstColumn="1" w:lastColumn="0" w:noHBand="0" w:noVBand="1"/>
      </w:tblPr>
      <w:tblGrid>
        <w:gridCol w:w="5106"/>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Parent Elements</w:t>
            </w:r>
          </w:p>
        </w:tc>
      </w:tr>
      <w:tr w:rsidR="005F78FC" w:rsidTr="005F78FC">
        <w:tc>
          <w:tcPr>
            <w:tcW w:w="0" w:type="auto"/>
            <w:vAlign w:val="center"/>
          </w:tcPr>
          <w:p w:rsidR="005F78FC" w:rsidRDefault="00B42EF3">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5F78FC" w:rsidRDefault="005F78FC"/>
    <w:p w:rsidR="005F78FC" w:rsidRDefault="00B42EF3">
      <w:pPr>
        <w:pStyle w:val="Heading6"/>
      </w:pPr>
      <w:bookmarkStart w:id="4055" w:name="section_4c06a3856e234dcbad867332f5fe073b"/>
      <w:bookmarkStart w:id="4056" w:name="_Toc69879800"/>
      <w:r>
        <w:t>CompanyAddress (Com</w:t>
      </w:r>
      <w:r>
        <w:t>pany Address)</w:t>
      </w:r>
      <w:bookmarkEnd w:id="4055"/>
      <w:bookmarkEnd w:id="4056"/>
      <w:r>
        <w:fldChar w:fldCharType="begin"/>
      </w:r>
      <w:r>
        <w:instrText xml:space="preserve"> XE "CompanyAddress (Company Address)" </w:instrText>
      </w:r>
      <w:r>
        <w:fldChar w:fldCharType="end"/>
      </w:r>
    </w:p>
    <w:p w:rsidR="005F78FC" w:rsidRDefault="00B42EF3">
      <w:r>
        <w:t>This element specifies the address of the company to be used in the document.</w:t>
      </w:r>
    </w:p>
    <w:tbl>
      <w:tblPr>
        <w:tblStyle w:val="Table-ShadedHeader"/>
        <w:tblW w:w="0" w:type="auto"/>
        <w:tblLook w:val="04A0" w:firstRow="1" w:lastRow="0" w:firstColumn="1" w:lastColumn="0" w:noHBand="0" w:noVBand="1"/>
      </w:tblPr>
      <w:tblGrid>
        <w:gridCol w:w="5106"/>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Parent Elements</w:t>
            </w:r>
          </w:p>
        </w:tc>
      </w:tr>
      <w:tr w:rsidR="005F78FC" w:rsidTr="005F78FC">
        <w:tc>
          <w:tcPr>
            <w:tcW w:w="0" w:type="auto"/>
            <w:vAlign w:val="center"/>
          </w:tcPr>
          <w:p w:rsidR="005F78FC" w:rsidRDefault="00B42EF3">
            <w:pPr>
              <w:pStyle w:val="TableBodyText"/>
            </w:pPr>
            <w:r>
              <w:rPr>
                <w:b/>
              </w:rPr>
              <w:t>CoverPageProperties</w:t>
            </w:r>
            <w:r>
              <w:t xml:space="preserve"> (§</w:t>
            </w:r>
            <w:hyperlink w:anchor="Section_81e7ee1c4eea44838a713ae2974e2a74">
              <w:r>
                <w:rPr>
                  <w:rStyle w:val="Hyperlink"/>
                </w:rPr>
                <w:t>3.5.1.1.1.6, CoverPag</w:t>
              </w:r>
              <w:r>
                <w:rPr>
                  <w:rStyle w:val="Hyperlink"/>
                </w:rPr>
                <w:t>eProperties</w:t>
              </w:r>
            </w:hyperlink>
            <w:r>
              <w:t>)</w:t>
            </w:r>
          </w:p>
        </w:tc>
      </w:tr>
    </w:tbl>
    <w:p w:rsidR="005F78FC" w:rsidRDefault="005F78FC"/>
    <w:p w:rsidR="005F78FC" w:rsidRDefault="00B42EF3">
      <w:pPr>
        <w:pStyle w:val="Heading6"/>
      </w:pPr>
      <w:bookmarkStart w:id="4057" w:name="section_a8ab7bdd714d4758b667a5a5bed5ae28"/>
      <w:bookmarkStart w:id="4058" w:name="_Toc69879801"/>
      <w:r>
        <w:t>CompanyEmail (Company Email Address)</w:t>
      </w:r>
      <w:bookmarkEnd w:id="4057"/>
      <w:bookmarkEnd w:id="4058"/>
      <w:r>
        <w:fldChar w:fldCharType="begin"/>
      </w:r>
      <w:r>
        <w:instrText xml:space="preserve"> XE "CompanyEmail (Company Email Address)" </w:instrText>
      </w:r>
      <w:r>
        <w:fldChar w:fldCharType="end"/>
      </w:r>
    </w:p>
    <w:p w:rsidR="005F78FC" w:rsidRDefault="00B42EF3">
      <w:r>
        <w:t>This element specifies the e-mail address of the company to be used in the document.</w:t>
      </w:r>
    </w:p>
    <w:tbl>
      <w:tblPr>
        <w:tblStyle w:val="Table-ShadedHeader"/>
        <w:tblW w:w="0" w:type="auto"/>
        <w:tblLook w:val="04A0" w:firstRow="1" w:lastRow="0" w:firstColumn="1" w:lastColumn="0" w:noHBand="0" w:noVBand="1"/>
      </w:tblPr>
      <w:tblGrid>
        <w:gridCol w:w="5106"/>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Parent Elements</w:t>
            </w:r>
          </w:p>
        </w:tc>
      </w:tr>
      <w:tr w:rsidR="005F78FC" w:rsidTr="005F78FC">
        <w:tc>
          <w:tcPr>
            <w:tcW w:w="0" w:type="auto"/>
            <w:vAlign w:val="center"/>
          </w:tcPr>
          <w:p w:rsidR="005F78FC" w:rsidRDefault="00B42EF3">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5F78FC" w:rsidRDefault="005F78FC"/>
    <w:p w:rsidR="005F78FC" w:rsidRDefault="00B42EF3">
      <w:pPr>
        <w:pStyle w:val="Heading6"/>
      </w:pPr>
      <w:bookmarkStart w:id="4059" w:name="section_a0ebde1b8d544dbebcbc8276d74f784a"/>
      <w:bookmarkStart w:id="4060" w:name="_Toc69879802"/>
      <w:r>
        <w:t>CompanyFax (Company Fax Number)</w:t>
      </w:r>
      <w:bookmarkEnd w:id="4059"/>
      <w:bookmarkEnd w:id="4060"/>
      <w:r>
        <w:fldChar w:fldCharType="begin"/>
      </w:r>
      <w:r>
        <w:instrText xml:space="preserve"> XE "CompanyFax (Company Fax Number)" </w:instrText>
      </w:r>
      <w:r>
        <w:fldChar w:fldCharType="end"/>
      </w:r>
    </w:p>
    <w:p w:rsidR="005F78FC" w:rsidRDefault="00B42EF3">
      <w:r>
        <w:t>This element specifies the fax number of the company to be used in the document.</w:t>
      </w:r>
    </w:p>
    <w:tbl>
      <w:tblPr>
        <w:tblStyle w:val="Table-ShadedHeader"/>
        <w:tblW w:w="0" w:type="auto"/>
        <w:tblLook w:val="04A0" w:firstRow="1" w:lastRow="0" w:firstColumn="1" w:lastColumn="0" w:noHBand="0" w:noVBand="1"/>
      </w:tblPr>
      <w:tblGrid>
        <w:gridCol w:w="5106"/>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Parent</w:t>
            </w:r>
            <w:r>
              <w:t xml:space="preserve"> Elements</w:t>
            </w:r>
          </w:p>
        </w:tc>
      </w:tr>
      <w:tr w:rsidR="005F78FC" w:rsidTr="005F78FC">
        <w:tc>
          <w:tcPr>
            <w:tcW w:w="0" w:type="auto"/>
            <w:vAlign w:val="center"/>
          </w:tcPr>
          <w:p w:rsidR="005F78FC" w:rsidRDefault="00B42EF3">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5F78FC" w:rsidRDefault="005F78FC"/>
    <w:p w:rsidR="005F78FC" w:rsidRDefault="00B42EF3">
      <w:pPr>
        <w:pStyle w:val="Heading6"/>
      </w:pPr>
      <w:bookmarkStart w:id="4061" w:name="section_dc6bac686d824d31abafa4729eaba587"/>
      <w:bookmarkStart w:id="4062" w:name="_Toc69879803"/>
      <w:r>
        <w:t>CompanyPhone (Company Phone Number)</w:t>
      </w:r>
      <w:bookmarkEnd w:id="4061"/>
      <w:bookmarkEnd w:id="4062"/>
      <w:r>
        <w:fldChar w:fldCharType="begin"/>
      </w:r>
      <w:r>
        <w:instrText xml:space="preserve"> XE "CompanyPhone (Company Phone Number)" </w:instrText>
      </w:r>
      <w:r>
        <w:fldChar w:fldCharType="end"/>
      </w:r>
    </w:p>
    <w:p w:rsidR="005F78FC" w:rsidRDefault="00B42EF3">
      <w:r>
        <w:t>This element specifies the phone number of t</w:t>
      </w:r>
      <w:r>
        <w:t>he company to be used in the document.</w:t>
      </w:r>
    </w:p>
    <w:tbl>
      <w:tblPr>
        <w:tblStyle w:val="Table-ShadedHeader"/>
        <w:tblW w:w="0" w:type="auto"/>
        <w:tblLook w:val="04A0" w:firstRow="1" w:lastRow="0" w:firstColumn="1" w:lastColumn="0" w:noHBand="0" w:noVBand="1"/>
      </w:tblPr>
      <w:tblGrid>
        <w:gridCol w:w="5106"/>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Parent Elements</w:t>
            </w:r>
          </w:p>
        </w:tc>
      </w:tr>
      <w:tr w:rsidR="005F78FC" w:rsidTr="005F78FC">
        <w:tc>
          <w:tcPr>
            <w:tcW w:w="0" w:type="auto"/>
            <w:vAlign w:val="center"/>
          </w:tcPr>
          <w:p w:rsidR="005F78FC" w:rsidRDefault="00B42EF3">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5F78FC" w:rsidRDefault="005F78FC"/>
    <w:p w:rsidR="005F78FC" w:rsidRDefault="00B42EF3">
      <w:pPr>
        <w:pStyle w:val="Heading6"/>
      </w:pPr>
      <w:bookmarkStart w:id="4063" w:name="section_81e7ee1c4eea44838a713ae2974e2a74"/>
      <w:bookmarkStart w:id="4064" w:name="_Toc69879804"/>
      <w:r>
        <w:lastRenderedPageBreak/>
        <w:t>CoverPageProperties (Cover Page Properties)</w:t>
      </w:r>
      <w:bookmarkEnd w:id="4063"/>
      <w:bookmarkEnd w:id="4064"/>
      <w:r>
        <w:fldChar w:fldCharType="begin"/>
      </w:r>
      <w:r>
        <w:instrText xml:space="preserve"> XE "CoverPageProperties (Cover Page Properties)" </w:instrText>
      </w:r>
      <w:r>
        <w:fldChar w:fldCharType="end"/>
      </w:r>
    </w:p>
    <w:p w:rsidR="005F78FC" w:rsidRDefault="00B42EF3">
      <w:r>
        <w:t xml:space="preserve">This element is the parent element of properties that are typically used for a document cover page. </w:t>
      </w:r>
    </w:p>
    <w:tbl>
      <w:tblPr>
        <w:tblStyle w:val="Table-ShadedHeader"/>
        <w:tblW w:w="0" w:type="auto"/>
        <w:tblLook w:val="04A0" w:firstRow="1" w:lastRow="0" w:firstColumn="1" w:lastColumn="0" w:noHBand="0" w:noVBand="1"/>
      </w:tblPr>
      <w:tblGrid>
        <w:gridCol w:w="3825"/>
        <w:gridCol w:w="2743"/>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Child Elements</w:t>
            </w:r>
          </w:p>
        </w:tc>
        <w:tc>
          <w:tcPr>
            <w:tcW w:w="0" w:type="auto"/>
            <w:vAlign w:val="center"/>
          </w:tcPr>
          <w:p w:rsidR="005F78FC" w:rsidRDefault="00B42EF3">
            <w:pPr>
              <w:pStyle w:val="TableHeaderText"/>
            </w:pPr>
            <w:r>
              <w:t>Subclause</w:t>
            </w:r>
          </w:p>
        </w:tc>
      </w:tr>
      <w:tr w:rsidR="005F78FC" w:rsidTr="005F78FC">
        <w:tc>
          <w:tcPr>
            <w:tcW w:w="0" w:type="auto"/>
            <w:vAlign w:val="center"/>
          </w:tcPr>
          <w:p w:rsidR="005F78FC" w:rsidRDefault="00B42EF3">
            <w:pPr>
              <w:pStyle w:val="TableBodyText"/>
            </w:pPr>
            <w:r>
              <w:rPr>
                <w:b/>
              </w:rPr>
              <w:t>Abstract</w:t>
            </w:r>
            <w:r>
              <w:t xml:space="preserve"> (Document Abstract)</w:t>
            </w:r>
          </w:p>
        </w:tc>
        <w:tc>
          <w:tcPr>
            <w:tcW w:w="0" w:type="auto"/>
            <w:vAlign w:val="center"/>
          </w:tcPr>
          <w:p w:rsidR="005F78FC" w:rsidRDefault="00B42EF3">
            <w:pPr>
              <w:pStyle w:val="TableBodyText"/>
            </w:pPr>
            <w:r>
              <w:t>§</w:t>
            </w:r>
            <w:hyperlink w:anchor="Section_93eba06791a84e518377d509424e042a">
              <w:r>
                <w:rPr>
                  <w:rStyle w:val="Hyperlink"/>
                </w:rPr>
                <w:t>3.5.1.1.1.1, Abstract</w:t>
              </w:r>
            </w:hyperlink>
          </w:p>
        </w:tc>
      </w:tr>
      <w:tr w:rsidR="005F78FC" w:rsidTr="005F78FC">
        <w:tc>
          <w:tcPr>
            <w:tcW w:w="0" w:type="auto"/>
            <w:vAlign w:val="center"/>
          </w:tcPr>
          <w:p w:rsidR="005F78FC" w:rsidRDefault="00B42EF3">
            <w:pPr>
              <w:pStyle w:val="TableBodyText"/>
            </w:pPr>
            <w:r>
              <w:rPr>
                <w:b/>
              </w:rPr>
              <w:t>CompanyAddress</w:t>
            </w:r>
            <w:r>
              <w:t xml:space="preserve"> (Company Address)</w:t>
            </w:r>
          </w:p>
        </w:tc>
        <w:tc>
          <w:tcPr>
            <w:tcW w:w="0" w:type="auto"/>
            <w:vAlign w:val="center"/>
          </w:tcPr>
          <w:p w:rsidR="005F78FC" w:rsidRDefault="00B42EF3">
            <w:pPr>
              <w:pStyle w:val="TableBodyText"/>
            </w:pPr>
            <w:r>
              <w:t>§</w:t>
            </w:r>
            <w:hyperlink w:anchor="Section_4c06a3856e234dcbad867332f5fe073b">
              <w:r>
                <w:rPr>
                  <w:rStyle w:val="Hyperlink"/>
                </w:rPr>
                <w:t>3.5.1.1.1.2, CompanyAddress</w:t>
              </w:r>
            </w:hyperlink>
          </w:p>
        </w:tc>
      </w:tr>
      <w:tr w:rsidR="005F78FC" w:rsidTr="005F78FC">
        <w:tc>
          <w:tcPr>
            <w:tcW w:w="0" w:type="auto"/>
            <w:vAlign w:val="center"/>
          </w:tcPr>
          <w:p w:rsidR="005F78FC" w:rsidRDefault="00B42EF3">
            <w:pPr>
              <w:pStyle w:val="TableBodyText"/>
            </w:pPr>
            <w:r>
              <w:rPr>
                <w:b/>
              </w:rPr>
              <w:t>CompanyEmail</w:t>
            </w:r>
            <w:r>
              <w:t xml:space="preserve"> (Company Email Address)</w:t>
            </w:r>
          </w:p>
        </w:tc>
        <w:tc>
          <w:tcPr>
            <w:tcW w:w="0" w:type="auto"/>
            <w:vAlign w:val="center"/>
          </w:tcPr>
          <w:p w:rsidR="005F78FC" w:rsidRDefault="00B42EF3">
            <w:pPr>
              <w:pStyle w:val="TableBodyText"/>
            </w:pPr>
            <w:r>
              <w:t>§</w:t>
            </w:r>
            <w:hyperlink w:anchor="Section_a8ab7bdd714d4758b667a5a5bed5ae28">
              <w:r>
                <w:rPr>
                  <w:rStyle w:val="Hyperlink"/>
                </w:rPr>
                <w:t>3.5.1.1.1.3, CompanyEmail</w:t>
              </w:r>
            </w:hyperlink>
          </w:p>
        </w:tc>
      </w:tr>
      <w:tr w:rsidR="005F78FC" w:rsidTr="005F78FC">
        <w:tc>
          <w:tcPr>
            <w:tcW w:w="0" w:type="auto"/>
            <w:vAlign w:val="center"/>
          </w:tcPr>
          <w:p w:rsidR="005F78FC" w:rsidRDefault="00B42EF3">
            <w:pPr>
              <w:pStyle w:val="TableBodyText"/>
            </w:pPr>
            <w:r>
              <w:rPr>
                <w:b/>
              </w:rPr>
              <w:t>CompanyFax</w:t>
            </w:r>
            <w:r>
              <w:t xml:space="preserve"> (Company Fax Number)</w:t>
            </w:r>
          </w:p>
        </w:tc>
        <w:tc>
          <w:tcPr>
            <w:tcW w:w="0" w:type="auto"/>
            <w:vAlign w:val="center"/>
          </w:tcPr>
          <w:p w:rsidR="005F78FC" w:rsidRDefault="00B42EF3">
            <w:pPr>
              <w:pStyle w:val="TableBodyText"/>
            </w:pPr>
            <w:r>
              <w:t>§</w:t>
            </w:r>
            <w:hyperlink w:anchor="Section_a0ebde1b8d544dbebcbc8276d74f784a">
              <w:r>
                <w:rPr>
                  <w:rStyle w:val="Hyperlink"/>
                </w:rPr>
                <w:t>3.5.1.1.1.4, CompanyFax</w:t>
              </w:r>
            </w:hyperlink>
          </w:p>
        </w:tc>
      </w:tr>
      <w:tr w:rsidR="005F78FC" w:rsidTr="005F78FC">
        <w:tc>
          <w:tcPr>
            <w:tcW w:w="0" w:type="auto"/>
            <w:vAlign w:val="center"/>
          </w:tcPr>
          <w:p w:rsidR="005F78FC" w:rsidRDefault="00B42EF3">
            <w:pPr>
              <w:pStyle w:val="TableBodyText"/>
            </w:pPr>
            <w:r>
              <w:rPr>
                <w:b/>
              </w:rPr>
              <w:t>CompanyPhone</w:t>
            </w:r>
            <w:r>
              <w:t xml:space="preserve"> (Company Phone Number)</w:t>
            </w:r>
          </w:p>
        </w:tc>
        <w:tc>
          <w:tcPr>
            <w:tcW w:w="0" w:type="auto"/>
            <w:vAlign w:val="center"/>
          </w:tcPr>
          <w:p w:rsidR="005F78FC" w:rsidRDefault="00B42EF3">
            <w:pPr>
              <w:pStyle w:val="TableBodyText"/>
            </w:pPr>
            <w:r>
              <w:t>§</w:t>
            </w:r>
            <w:hyperlink w:anchor="Section_dc6bac686d824d31abafa4729eaba587">
              <w:r>
                <w:rPr>
                  <w:rStyle w:val="Hyperlink"/>
                </w:rPr>
                <w:t>3.5.1.1.1.5, CompanyPhone</w:t>
              </w:r>
            </w:hyperlink>
          </w:p>
        </w:tc>
      </w:tr>
      <w:tr w:rsidR="005F78FC" w:rsidTr="005F78FC">
        <w:tc>
          <w:tcPr>
            <w:tcW w:w="0" w:type="auto"/>
            <w:vAlign w:val="center"/>
          </w:tcPr>
          <w:p w:rsidR="005F78FC" w:rsidRDefault="00B42EF3">
            <w:pPr>
              <w:pStyle w:val="TableBodyText"/>
            </w:pPr>
            <w:r>
              <w:rPr>
                <w:b/>
              </w:rPr>
              <w:t>PublishDate</w:t>
            </w:r>
            <w:r>
              <w:t xml:space="preserve"> (Document Publish Date)</w:t>
            </w:r>
          </w:p>
        </w:tc>
        <w:tc>
          <w:tcPr>
            <w:tcW w:w="0" w:type="auto"/>
            <w:vAlign w:val="center"/>
          </w:tcPr>
          <w:p w:rsidR="005F78FC" w:rsidRDefault="00B42EF3">
            <w:pPr>
              <w:pStyle w:val="TableBodyText"/>
            </w:pPr>
            <w:r>
              <w:t>§</w:t>
            </w:r>
            <w:hyperlink w:anchor="Section_f7742a9e6b754404a61378ac041b7765">
              <w:r>
                <w:rPr>
                  <w:rStyle w:val="Hyperlink"/>
                </w:rPr>
                <w:t>3.5.1.1.1.7, PublishDate</w:t>
              </w:r>
            </w:hyperlink>
          </w:p>
        </w:tc>
      </w:tr>
    </w:tbl>
    <w:p w:rsidR="005F78FC" w:rsidRDefault="005F78FC"/>
    <w:p w:rsidR="005F78FC" w:rsidRDefault="00B42EF3">
      <w:r>
        <w:t xml:space="preserve">The following XML Schema fragment defines the </w:t>
      </w:r>
      <w:r>
        <w:t>contents of this element:</w:t>
      </w:r>
    </w:p>
    <w:p w:rsidR="005F78FC" w:rsidRDefault="00B42EF3">
      <w:pPr>
        <w:pStyle w:val="Code"/>
      </w:pPr>
      <w:r>
        <w:t>&lt;complexType name="CT_CoverPageProperties"&gt;</w:t>
      </w:r>
    </w:p>
    <w:p w:rsidR="005F78FC" w:rsidRDefault="00B42EF3">
      <w:pPr>
        <w:pStyle w:val="Code"/>
      </w:pPr>
      <w:r>
        <w:t xml:space="preserve">  &lt;sequence&gt;</w:t>
      </w:r>
    </w:p>
    <w:p w:rsidR="005F78FC" w:rsidRDefault="00B42EF3">
      <w:pPr>
        <w:pStyle w:val="Code"/>
      </w:pPr>
      <w:r>
        <w:t xml:space="preserve">    &lt;element name="PublishDate" type="ST_PublishDate"/&gt;</w:t>
      </w:r>
    </w:p>
    <w:p w:rsidR="005F78FC" w:rsidRDefault="00B42EF3">
      <w:pPr>
        <w:pStyle w:val="Code"/>
      </w:pPr>
      <w:r>
        <w:t xml:space="preserve">    &lt;element name="Abstract" type="xsd:string"/&gt;</w:t>
      </w:r>
    </w:p>
    <w:p w:rsidR="005F78FC" w:rsidRDefault="00B42EF3">
      <w:pPr>
        <w:pStyle w:val="Code"/>
      </w:pPr>
      <w:r>
        <w:t xml:space="preserve">    &lt;element name="CompanyAddress" type="xsd:string"/&gt;</w:t>
      </w:r>
    </w:p>
    <w:p w:rsidR="005F78FC" w:rsidRDefault="00B42EF3">
      <w:pPr>
        <w:pStyle w:val="Code"/>
      </w:pPr>
      <w:r>
        <w:t xml:space="preserve">    &lt;element </w:t>
      </w:r>
      <w:r>
        <w:t>name="CompanyPhone" type="xsd:string"/&gt;</w:t>
      </w:r>
    </w:p>
    <w:p w:rsidR="005F78FC" w:rsidRDefault="00B42EF3">
      <w:pPr>
        <w:pStyle w:val="Code"/>
      </w:pPr>
      <w:r>
        <w:t xml:space="preserve">    &lt;element name="CompanyFax" type="xsd:string"/&gt;</w:t>
      </w:r>
    </w:p>
    <w:p w:rsidR="005F78FC" w:rsidRDefault="00B42EF3">
      <w:pPr>
        <w:pStyle w:val="Code"/>
      </w:pPr>
      <w:r>
        <w:t xml:space="preserve">    &lt;element name="CompanyEmail" type="xsd:string"/&gt;</w:t>
      </w:r>
    </w:p>
    <w:p w:rsidR="005F78FC" w:rsidRDefault="00B42EF3">
      <w:pPr>
        <w:pStyle w:val="Code"/>
      </w:pPr>
      <w:r>
        <w:t xml:space="preserve">  &lt;/sequence&gt;</w:t>
      </w:r>
    </w:p>
    <w:p w:rsidR="005F78FC" w:rsidRDefault="00B42EF3">
      <w:pPr>
        <w:pStyle w:val="Code"/>
      </w:pPr>
      <w:r>
        <w:t>&lt;/complexType&gt;</w:t>
      </w:r>
    </w:p>
    <w:p w:rsidR="005F78FC" w:rsidRDefault="00B42EF3">
      <w:pPr>
        <w:pStyle w:val="Heading6"/>
      </w:pPr>
      <w:bookmarkStart w:id="4065" w:name="section_f7742a9e6b754404a61378ac041b7765"/>
      <w:bookmarkStart w:id="4066" w:name="_Toc69879805"/>
      <w:r>
        <w:t>PublishDate (Document Publish Date)</w:t>
      </w:r>
      <w:bookmarkEnd w:id="4065"/>
      <w:bookmarkEnd w:id="4066"/>
      <w:r>
        <w:fldChar w:fldCharType="begin"/>
      </w:r>
      <w:r>
        <w:instrText xml:space="preserve"> XE "PublishDate (Document Publish Date)" </w:instrText>
      </w:r>
      <w:r>
        <w:fldChar w:fldCharType="end"/>
      </w:r>
    </w:p>
    <w:p w:rsidR="005F78FC" w:rsidRDefault="00B42EF3">
      <w:r>
        <w:t xml:space="preserve">Specifies the date this document was published. </w:t>
      </w:r>
    </w:p>
    <w:p w:rsidR="005F78FC" w:rsidRDefault="00B42EF3">
      <w:r>
        <w:t>The possible values for this element are defined by the ST_PublishDate simple type (§</w:t>
      </w:r>
      <w:hyperlink w:anchor="Section_64a6c4180f5541f386f657565be81008">
        <w:r>
          <w:rPr>
            <w:rStyle w:val="Hyperlink"/>
          </w:rPr>
          <w:t>3.5.1.1.2.1, ST_PublishDate</w:t>
        </w:r>
      </w:hyperlink>
      <w:r>
        <w:t>).</w:t>
      </w:r>
    </w:p>
    <w:tbl>
      <w:tblPr>
        <w:tblStyle w:val="Table-ShadedHeader"/>
        <w:tblW w:w="0" w:type="auto"/>
        <w:tblLook w:val="04A0" w:firstRow="1" w:lastRow="0" w:firstColumn="1" w:lastColumn="0" w:noHBand="0" w:noVBand="1"/>
      </w:tblPr>
      <w:tblGrid>
        <w:gridCol w:w="5106"/>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Parent Elements</w:t>
            </w:r>
          </w:p>
        </w:tc>
      </w:tr>
      <w:tr w:rsidR="005F78FC" w:rsidTr="005F78FC">
        <w:tc>
          <w:tcPr>
            <w:tcW w:w="0" w:type="auto"/>
            <w:vAlign w:val="center"/>
          </w:tcPr>
          <w:p w:rsidR="005F78FC" w:rsidRDefault="00B42EF3">
            <w:pPr>
              <w:pStyle w:val="TableBodyText"/>
            </w:pPr>
            <w:r>
              <w:rPr>
                <w:b/>
              </w:rPr>
              <w:t>CoverPagePro</w:t>
            </w:r>
            <w:r>
              <w:rPr>
                <w:b/>
              </w:rPr>
              <w:t>perties</w:t>
            </w:r>
            <w:r>
              <w:t xml:space="preserve"> (§</w:t>
            </w:r>
            <w:hyperlink w:anchor="Section_81e7ee1c4eea44838a713ae2974e2a74">
              <w:r>
                <w:rPr>
                  <w:rStyle w:val="Hyperlink"/>
                </w:rPr>
                <w:t>3.5.1.1.1.6, CoverPageProperties</w:t>
              </w:r>
            </w:hyperlink>
            <w:r>
              <w:t>)</w:t>
            </w:r>
          </w:p>
        </w:tc>
      </w:tr>
    </w:tbl>
    <w:p w:rsidR="005F78FC" w:rsidRDefault="005F78FC"/>
    <w:p w:rsidR="005F78FC" w:rsidRDefault="00B42EF3">
      <w:r>
        <w:t>The following XML Schema fragment defines the contents of this element:</w:t>
      </w:r>
    </w:p>
    <w:p w:rsidR="005F78FC" w:rsidRDefault="00B42EF3">
      <w:pPr>
        <w:pStyle w:val="Code"/>
      </w:pPr>
      <w:r>
        <w:t>&lt;simpleType name="ST_PublishDate"&gt;</w:t>
      </w:r>
    </w:p>
    <w:p w:rsidR="005F78FC" w:rsidRDefault="00B42EF3">
      <w:pPr>
        <w:pStyle w:val="Code"/>
      </w:pPr>
      <w:r>
        <w:t xml:space="preserve">  &lt;union memberTypes="xsd:date xsd:dateT</w:t>
      </w:r>
      <w:r>
        <w:t>ime xsd:string"/&gt;</w:t>
      </w:r>
    </w:p>
    <w:p w:rsidR="005F78FC" w:rsidRDefault="00B42EF3">
      <w:pPr>
        <w:pStyle w:val="Code"/>
      </w:pPr>
      <w:r>
        <w:t>&lt;/simpleType&gt;</w:t>
      </w:r>
    </w:p>
    <w:p w:rsidR="005F78FC" w:rsidRDefault="00B42EF3">
      <w:pPr>
        <w:pStyle w:val="Heading5"/>
      </w:pPr>
      <w:bookmarkStart w:id="4067" w:name="section_e02f27204f8f4058bf5810a906dbfbdd"/>
      <w:bookmarkStart w:id="4068" w:name="_Toc69879806"/>
      <w:r>
        <w:t>Simple Types</w:t>
      </w:r>
      <w:bookmarkEnd w:id="4067"/>
      <w:bookmarkEnd w:id="4068"/>
      <w:r>
        <w:fldChar w:fldCharType="begin"/>
      </w:r>
      <w:r>
        <w:instrText xml:space="preserve"> XE "Simple Types" </w:instrText>
      </w:r>
      <w:r>
        <w:fldChar w:fldCharType="end"/>
      </w:r>
    </w:p>
    <w:p w:rsidR="005F78FC" w:rsidRDefault="00B42EF3">
      <w:r>
        <w:t>This is the complete list of simple types in the http://schemas.microsoft.com/office/2006/coverPageProps namespace.</w:t>
      </w:r>
    </w:p>
    <w:p w:rsidR="005F78FC" w:rsidRDefault="00B42EF3">
      <w:pPr>
        <w:pStyle w:val="Heading6"/>
      </w:pPr>
      <w:bookmarkStart w:id="4069" w:name="section_64a6c4180f5541f386f657565be81008"/>
      <w:bookmarkStart w:id="4070" w:name="_Toc69879807"/>
      <w:r>
        <w:t>ST_PublishDate (Publish Date Value)</w:t>
      </w:r>
      <w:bookmarkEnd w:id="4069"/>
      <w:bookmarkEnd w:id="4070"/>
      <w:r>
        <w:fldChar w:fldCharType="begin"/>
      </w:r>
      <w:r>
        <w:instrText xml:space="preserve"> XE "ST_PublishDate (Publish Date Value)" </w:instrText>
      </w:r>
      <w:r>
        <w:fldChar w:fldCharType="end"/>
      </w:r>
    </w:p>
    <w:p w:rsidR="005F78FC" w:rsidRDefault="00B42EF3">
      <w:r>
        <w:lastRenderedPageBreak/>
        <w:t>The publish date may be specified in either the XML Schema Date format, the XML Schema DateTime format, or simply as a string.</w:t>
      </w:r>
    </w:p>
    <w:p w:rsidR="005F78FC" w:rsidRDefault="00B42EF3">
      <w:r>
        <w:t>This simple type is a union of the following types:</w:t>
      </w:r>
    </w:p>
    <w:p w:rsidR="005F78FC" w:rsidRDefault="00B42EF3">
      <w:pPr>
        <w:pStyle w:val="ListParagraph"/>
        <w:numPr>
          <w:ilvl w:val="0"/>
          <w:numId w:val="210"/>
        </w:numPr>
        <w:contextualSpacing/>
      </w:pPr>
      <w:r>
        <w:t>The XML Schema date datatype.</w:t>
      </w:r>
    </w:p>
    <w:p w:rsidR="005F78FC" w:rsidRDefault="00B42EF3">
      <w:pPr>
        <w:pStyle w:val="ListParagraph"/>
        <w:numPr>
          <w:ilvl w:val="0"/>
          <w:numId w:val="210"/>
        </w:numPr>
        <w:contextualSpacing/>
      </w:pPr>
      <w:r>
        <w:t>Th</w:t>
      </w:r>
      <w:r>
        <w:t>e XML Schema dateTime datatype.</w:t>
      </w:r>
    </w:p>
    <w:p w:rsidR="005F78FC" w:rsidRDefault="00B42EF3">
      <w:pPr>
        <w:pStyle w:val="ListParagraph"/>
        <w:numPr>
          <w:ilvl w:val="0"/>
          <w:numId w:val="210"/>
        </w:numPr>
      </w:pPr>
      <w:r>
        <w:t>The XML Schema string datatype.</w:t>
      </w:r>
    </w:p>
    <w:tbl>
      <w:tblPr>
        <w:tblStyle w:val="Table-ShadedHeader"/>
        <w:tblW w:w="0" w:type="auto"/>
        <w:tblLook w:val="04A0" w:firstRow="1" w:lastRow="0" w:firstColumn="1" w:lastColumn="0" w:noHBand="0" w:noVBand="1"/>
      </w:tblPr>
      <w:tblGrid>
        <w:gridCol w:w="3577"/>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Referenced By</w:t>
            </w:r>
          </w:p>
        </w:tc>
      </w:tr>
      <w:tr w:rsidR="005F78FC" w:rsidTr="005F78FC">
        <w:tc>
          <w:tcPr>
            <w:tcW w:w="0" w:type="auto"/>
            <w:vAlign w:val="center"/>
          </w:tcPr>
          <w:p w:rsidR="005F78FC" w:rsidRDefault="00B42EF3">
            <w:pPr>
              <w:pStyle w:val="TableBodyText"/>
            </w:pPr>
            <w:r>
              <w:rPr>
                <w:b/>
              </w:rPr>
              <w:t>PublishDate</w:t>
            </w:r>
            <w:r>
              <w:t xml:space="preserve"> (§</w:t>
            </w:r>
            <w:hyperlink w:anchor="Section_f7742a9e6b754404a61378ac041b7765">
              <w:r>
                <w:rPr>
                  <w:rStyle w:val="Hyperlink"/>
                </w:rPr>
                <w:t>3.5.1.1.1.7, PublishDate</w:t>
              </w:r>
            </w:hyperlink>
            <w:r>
              <w:t>)</w:t>
            </w:r>
          </w:p>
        </w:tc>
      </w:tr>
    </w:tbl>
    <w:p w:rsidR="005F78FC" w:rsidRDefault="005F78FC"/>
    <w:p w:rsidR="005F78FC" w:rsidRDefault="00B42EF3">
      <w:r>
        <w:t>The following XML Schema fragment defines the contents of this simple ty</w:t>
      </w:r>
      <w:r>
        <w:t>pe:</w:t>
      </w:r>
    </w:p>
    <w:p w:rsidR="005F78FC" w:rsidRDefault="00B42EF3">
      <w:pPr>
        <w:pStyle w:val="Code"/>
      </w:pPr>
      <w:r>
        <w:t>&lt;simpleType name="ST_PublishDate"&gt;</w:t>
      </w:r>
    </w:p>
    <w:p w:rsidR="005F78FC" w:rsidRDefault="00B42EF3">
      <w:pPr>
        <w:pStyle w:val="Code"/>
      </w:pPr>
      <w:r>
        <w:t xml:space="preserve">  &lt;union memberTypes="xsd:date xsd:dateTime xsd:string"/&gt;</w:t>
      </w:r>
    </w:p>
    <w:p w:rsidR="005F78FC" w:rsidRDefault="00B42EF3">
      <w:pPr>
        <w:pStyle w:val="Code"/>
      </w:pPr>
      <w:r>
        <w:t>&lt;/simpleType&gt;</w:t>
      </w:r>
    </w:p>
    <w:p w:rsidR="005F78FC" w:rsidRDefault="00B42EF3">
      <w:pPr>
        <w:pStyle w:val="Heading3"/>
      </w:pPr>
      <w:bookmarkStart w:id="4071" w:name="section_ccefd82e29684f0ca2db6b109fe3353c"/>
      <w:bookmarkStart w:id="4072" w:name="_Toc69879808"/>
      <w:r>
        <w:t>Content Type Schemas</w:t>
      </w:r>
      <w:bookmarkEnd w:id="4071"/>
      <w:bookmarkEnd w:id="4072"/>
      <w:r>
        <w:fldChar w:fldCharType="begin"/>
      </w:r>
      <w:r>
        <w:instrText xml:space="preserve"> XE "Content Type Schemas" </w:instrText>
      </w:r>
      <w:r>
        <w:fldChar w:fldCharType="end"/>
      </w:r>
    </w:p>
    <w:p w:rsidR="005F78FC" w:rsidRDefault="00B42EF3">
      <w:r>
        <w:t>The Content Type Schemas is comprised of a Custom XML Data Storage Part ("</w:t>
      </w:r>
      <w:hyperlink r:id="rId364">
        <w:r>
          <w:rPr>
            <w:rStyle w:val="Hyperlink"/>
          </w:rPr>
          <w:t>[ISO/IEC-29500-1]</w:t>
        </w:r>
      </w:hyperlink>
      <w:r>
        <w:t xml:space="preserve"> §15.2.5") which contains the Content Type Schemas information, and a Custom XML Data Storage Properties Part ("[ISO/IEC-29500-1] §15.2.6") which contains the set of propertie</w:t>
      </w:r>
      <w:r>
        <w:t xml:space="preserve">s for the custom XML data. </w:t>
      </w:r>
    </w:p>
    <w:p w:rsidR="005F78FC" w:rsidRDefault="00B42EF3">
      <w:r>
        <w:t xml:space="preserve"> The XML contents of the data storage part conform to the schema defined in Content Type Schemas Schema (</w:t>
      </w:r>
      <w:hyperlink w:anchor="Section_acb43eb342e64ae998cacd04346b080a">
        <w:r>
          <w:rPr>
            <w:rStyle w:val="Hyperlink"/>
          </w:rPr>
          <w:t>§3.5.2.1, Content Type Schemas Schema</w:t>
        </w:r>
      </w:hyperlink>
      <w:r>
        <w:t>).</w:t>
      </w:r>
    </w:p>
    <w:p w:rsidR="005F78FC" w:rsidRDefault="00B42EF3">
      <w:r>
        <w:t xml:space="preserve">The root element of </w:t>
      </w:r>
      <w:r>
        <w:t>the Custom XML Data Storage Part shall be contentTypeSchema (</w:t>
      </w:r>
      <w:hyperlink w:anchor="Section_0365ee65da5b44769eaa73f1dda94db8">
        <w:r>
          <w:rPr>
            <w:rStyle w:val="Hyperlink"/>
          </w:rPr>
          <w:t>§3.5.2.1.1.1, contentTypeSchema</w:t>
        </w:r>
      </w:hyperlink>
      <w:r>
        <w:t>).</w:t>
      </w:r>
    </w:p>
    <w:p w:rsidR="005F78FC" w:rsidRDefault="00B42EF3">
      <w:r>
        <w:t>The Associated XML Schema ("[ISO/IEC-29500-1] §22.5.2.2; schemaRef") for this Custom XML Data Stor</w:t>
      </w:r>
      <w:r>
        <w:t xml:space="preserve">age Part shall be “http://schemas.microsoft.com/‌office/‌2006/‌metadata/‌contentType”. </w:t>
      </w:r>
    </w:p>
    <w:p w:rsidR="005F78FC" w:rsidRDefault="00B42EF3">
      <w:pPr>
        <w:pStyle w:val="Heading4"/>
      </w:pPr>
      <w:bookmarkStart w:id="4073" w:name="section_acb43eb342e64ae998cacd04346b080a"/>
      <w:bookmarkStart w:id="4074" w:name="_Toc69879809"/>
      <w:r>
        <w:t>Content Type Schemas Schema</w:t>
      </w:r>
      <w:bookmarkEnd w:id="4073"/>
      <w:bookmarkEnd w:id="4074"/>
      <w:r>
        <w:fldChar w:fldCharType="begin"/>
      </w:r>
      <w:r>
        <w:instrText xml:space="preserve"> XE "Content Type Schemas Schema" </w:instrText>
      </w:r>
      <w:r>
        <w:fldChar w:fldCharType="end"/>
      </w:r>
    </w:p>
    <w:p w:rsidR="005F78FC" w:rsidRDefault="00B42EF3">
      <w:r>
        <w:t>Content Type Schemas define the general look and composition of UI elements presented in a Document Info</w:t>
      </w:r>
      <w:r>
        <w:t>rmation Panel. Information in the content type schema is derived from a content type associated with documents on Windows SharePoint Services. A Content Type Schema is used in conjunction with a CustomXSN element (§</w:t>
      </w:r>
      <w:hyperlink w:anchor="Section_dff741e5b6874a57a0ea91144bd69a9c">
        <w:r>
          <w:rPr>
            <w:rStyle w:val="Hyperlink"/>
          </w:rPr>
          <w:t>3.5.4.1.1.2, customXsn</w:t>
        </w:r>
      </w:hyperlink>
      <w:r>
        <w:t>) data to fully define the behaviors of the Document Information Panel.</w:t>
      </w:r>
    </w:p>
    <w:p w:rsidR="005F78FC" w:rsidRDefault="00B42EF3">
      <w:pPr>
        <w:pStyle w:val="Heading5"/>
      </w:pPr>
      <w:bookmarkStart w:id="4075" w:name="section_21462389b3c94d13a07d6cf86d4fb4e5"/>
      <w:bookmarkStart w:id="4076" w:name="_Toc69879810"/>
      <w:r>
        <w:t>Elements</w:t>
      </w:r>
      <w:bookmarkEnd w:id="4075"/>
      <w:bookmarkEnd w:id="4076"/>
    </w:p>
    <w:p w:rsidR="005F78FC" w:rsidRDefault="00B42EF3">
      <w:pPr>
        <w:pStyle w:val="Heading6"/>
      </w:pPr>
      <w:bookmarkStart w:id="4077" w:name="section_0365ee65da5b44769eaa73f1dda94db8"/>
      <w:bookmarkStart w:id="4078" w:name="_Toc69879811"/>
      <w:r>
        <w:t>contentTypeSchema (Schema for Content Type)</w:t>
      </w:r>
      <w:bookmarkEnd w:id="4077"/>
      <w:bookmarkEnd w:id="4078"/>
      <w:r>
        <w:fldChar w:fldCharType="begin"/>
      </w:r>
      <w:r>
        <w:instrText xml:space="preserve"> XE "contentTypeSchema (Schema for Content Type)" </w:instrText>
      </w:r>
      <w:r>
        <w:fldChar w:fldCharType="end"/>
      </w:r>
    </w:p>
    <w:p w:rsidR="005F78FC" w:rsidRDefault="00B42EF3">
      <w:r>
        <w:t>The attributes and children of this</w:t>
      </w:r>
      <w:r>
        <w:t xml:space="preserve"> element collectively specify a schema for the custom XML data part that specifies properties related to the content type associated with the document on Windows SharePoint Services. Each child of this element is an xsd:schema element, possibly decorated w</w:t>
      </w:r>
      <w:r>
        <w:t xml:space="preserve">ith attributes from the http://schemas.microsoft.com/office/2006/metadata/properties/metaAttributes namespace, that describes one or more elements that appear in that custom XML data part. </w:t>
      </w:r>
    </w:p>
    <w:p w:rsidR="005F78FC" w:rsidRDefault="00B42EF3">
      <w:r>
        <w:lastRenderedPageBreak/>
        <w:t>In the following description, let the term 'content type' refer sp</w:t>
      </w:r>
      <w:r>
        <w:t>ecifically to the root element of the Content Type Definition Type as described in Collaborative Application Markup Language (CAML) Structure Specification (</w:t>
      </w:r>
      <w:hyperlink r:id="rId365" w:anchor="Section_8d6156fd646842949594644a946ed6a6">
        <w:r>
          <w:rPr>
            <w:rStyle w:val="Hyperlink"/>
          </w:rPr>
          <w:t>[MS-WSSCAML]</w:t>
        </w:r>
      </w:hyperlink>
      <w:r>
        <w:t xml:space="preserve"> Subc</w:t>
      </w:r>
      <w:r>
        <w:t>lause 2.4.1.1).</w:t>
      </w:r>
    </w:p>
    <w:p w:rsidR="005F78FC" w:rsidRDefault="00B42EF3">
      <w:r>
        <w:t xml:space="preserve">The </w:t>
      </w:r>
      <w:r>
        <w:rPr>
          <w:b/>
        </w:rPr>
        <w:t>contentTypeSchema</w:t>
      </w:r>
      <w:r>
        <w:t xml:space="preserve"> element shall contain an </w:t>
      </w:r>
      <w:r>
        <w:rPr>
          <w:b/>
        </w:rPr>
        <w:t>xsd:schema</w:t>
      </w:r>
      <w:r>
        <w:t xml:space="preserve"> child element which has an </w:t>
      </w:r>
      <w:r>
        <w:rPr>
          <w:b/>
        </w:rPr>
        <w:t>ma:root</w:t>
      </w:r>
      <w:r>
        <w:t xml:space="preserve"> attribute (</w:t>
      </w:r>
      <w:hyperlink w:anchor="Section_83c200b15a6944308fe6adc3583034a2">
        <w:r>
          <w:rPr>
            <w:rStyle w:val="Hyperlink"/>
          </w:rPr>
          <w:t>§3.5.2.2.1, Shared Attributes</w:t>
        </w:r>
      </w:hyperlink>
      <w:r>
        <w:t xml:space="preserve">) with a value of </w:t>
      </w:r>
      <w:r>
        <w:rPr>
          <w:i/>
        </w:rPr>
        <w:t>true</w:t>
      </w:r>
      <w:r>
        <w:t xml:space="preserve">. This </w:t>
      </w:r>
      <w:r>
        <w:rPr>
          <w:b/>
        </w:rPr>
        <w:t>xsd:schema</w:t>
      </w:r>
      <w:r>
        <w:t xml:space="preserve"> must</w:t>
      </w:r>
      <w:r>
        <w:t xml:space="preserve"> have a </w:t>
      </w:r>
      <w:r>
        <w:rPr>
          <w:b/>
        </w:rPr>
        <w:t>targetNamespace</w:t>
      </w:r>
      <w:r>
        <w:t xml:space="preserve"> attribute whose value is set to </w:t>
      </w:r>
      <w:r>
        <w:rPr>
          <w:i/>
        </w:rPr>
        <w:t>http://schemas.microsoft.com/office/2006/metadata/properties</w:t>
      </w:r>
      <w:r>
        <w:t xml:space="preserve">. The </w:t>
      </w:r>
      <w:r>
        <w:rPr>
          <w:b/>
        </w:rPr>
        <w:t>xsd:schema</w:t>
      </w:r>
      <w:r>
        <w:t xml:space="preserve"> must declare and import any namespaces used by its child elements. It must also have an </w:t>
      </w:r>
      <w:r>
        <w:rPr>
          <w:b/>
        </w:rPr>
        <w:t>ma:fieldsID</w:t>
      </w:r>
      <w:r>
        <w:t xml:space="preserve"> attribute (§3.5.2.2.1, </w:t>
      </w:r>
      <w:r>
        <w:t>Shared Attributes).</w:t>
      </w:r>
    </w:p>
    <w:p w:rsidR="005F78FC" w:rsidRDefault="00B42EF3">
      <w:r>
        <w:t xml:space="preserve">Additionally, this </w:t>
      </w:r>
      <w:r>
        <w:rPr>
          <w:b/>
        </w:rPr>
        <w:t>xsd:schema</w:t>
      </w:r>
      <w:r>
        <w:t xml:space="preserve"> element must declare an element with a </w:t>
      </w:r>
      <w:r>
        <w:rPr>
          <w:b/>
        </w:rPr>
        <w:t>name</w:t>
      </w:r>
      <w:r>
        <w:t xml:space="preserve"> attribute whose value is </w:t>
      </w:r>
      <w:r>
        <w:rPr>
          <w:i/>
        </w:rPr>
        <w:t>properties</w:t>
      </w:r>
      <w:r>
        <w:t xml:space="preserve"> and which uses the following structure. The children of the </w:t>
      </w:r>
      <w:r>
        <w:rPr>
          <w:b/>
        </w:rPr>
        <w:t>xsd:all</w:t>
      </w:r>
      <w:r>
        <w:t xml:space="preserve"> element are not shown, but instead described by the text t</w:t>
      </w:r>
      <w:r>
        <w:t>hat follows.</w:t>
      </w:r>
    </w:p>
    <w:p w:rsidR="005F78FC" w:rsidRDefault="00B42EF3">
      <w:pPr>
        <w:pStyle w:val="Code"/>
      </w:pPr>
      <w:r>
        <w:t>&lt;xsd:element name="properties"&gt;</w:t>
      </w:r>
    </w:p>
    <w:p w:rsidR="005F78FC" w:rsidRDefault="00B42EF3">
      <w:pPr>
        <w:pStyle w:val="Code"/>
      </w:pPr>
      <w:r>
        <w:t xml:space="preserve">  &lt;xsd:complexType&gt;</w:t>
      </w:r>
    </w:p>
    <w:p w:rsidR="005F78FC" w:rsidRDefault="00B42EF3">
      <w:pPr>
        <w:pStyle w:val="Code"/>
      </w:pPr>
      <w:r>
        <w:t xml:space="preserve">    &lt;xsd:sequence&gt;</w:t>
      </w:r>
    </w:p>
    <w:p w:rsidR="005F78FC" w:rsidRDefault="00B42EF3">
      <w:pPr>
        <w:pStyle w:val="Code"/>
      </w:pPr>
      <w:r>
        <w:t xml:space="preserve">      &lt;xsd:element name="documentManagement"&gt;</w:t>
      </w:r>
    </w:p>
    <w:p w:rsidR="005F78FC" w:rsidRDefault="00B42EF3">
      <w:pPr>
        <w:pStyle w:val="Code"/>
      </w:pPr>
      <w:r>
        <w:t xml:space="preserve">        &lt;xsd:complexType&gt;</w:t>
      </w:r>
    </w:p>
    <w:p w:rsidR="005F78FC" w:rsidRDefault="00B42EF3">
      <w:pPr>
        <w:pStyle w:val="Code"/>
      </w:pPr>
      <w:r>
        <w:t xml:space="preserve">          &lt;xsd:all&gt;</w:t>
      </w:r>
    </w:p>
    <w:p w:rsidR="005F78FC" w:rsidRDefault="00B42EF3">
      <w:pPr>
        <w:pStyle w:val="Code"/>
      </w:pPr>
      <w:r>
        <w:t xml:space="preserve">            ...</w:t>
      </w:r>
    </w:p>
    <w:p w:rsidR="005F78FC" w:rsidRDefault="00B42EF3">
      <w:pPr>
        <w:pStyle w:val="Code"/>
      </w:pPr>
      <w:r>
        <w:t xml:space="preserve">          &lt;/xsd:all&gt;</w:t>
      </w:r>
    </w:p>
    <w:p w:rsidR="005F78FC" w:rsidRDefault="00B42EF3">
      <w:pPr>
        <w:pStyle w:val="Code"/>
      </w:pPr>
      <w:r>
        <w:t xml:space="preserve">        &lt;/xsd:complexType&gt;</w:t>
      </w:r>
    </w:p>
    <w:p w:rsidR="005F78FC" w:rsidRDefault="00B42EF3">
      <w:pPr>
        <w:pStyle w:val="Code"/>
      </w:pPr>
      <w:r>
        <w:t xml:space="preserve">      &lt;</w:t>
      </w:r>
      <w:r>
        <w:t>/xsd:element&gt;</w:t>
      </w:r>
    </w:p>
    <w:p w:rsidR="005F78FC" w:rsidRDefault="00B42EF3">
      <w:pPr>
        <w:pStyle w:val="Code"/>
      </w:pPr>
      <w:r>
        <w:t xml:space="preserve">    &lt;/xsd:sequence&gt;</w:t>
      </w:r>
    </w:p>
    <w:p w:rsidR="005F78FC" w:rsidRDefault="00B42EF3">
      <w:pPr>
        <w:pStyle w:val="Code"/>
      </w:pPr>
      <w:r>
        <w:t xml:space="preserve">  &lt;/xsd:complexType&gt;</w:t>
      </w:r>
    </w:p>
    <w:p w:rsidR="005F78FC" w:rsidRDefault="00B42EF3">
      <w:pPr>
        <w:pStyle w:val="Code"/>
      </w:pPr>
      <w:r>
        <w:t>&lt;/xsd:element&gt;</w:t>
      </w:r>
    </w:p>
    <w:p w:rsidR="005F78FC" w:rsidRDefault="00B42EF3">
      <w:r>
        <w:t xml:space="preserve">Let the term "fields" denote the list of all </w:t>
      </w:r>
      <w:r>
        <w:rPr>
          <w:b/>
        </w:rPr>
        <w:t>Field</w:t>
      </w:r>
      <w:r>
        <w:t xml:space="preserve"> elements that are children of the </w:t>
      </w:r>
      <w:r>
        <w:rPr>
          <w:b/>
        </w:rPr>
        <w:t>Fields</w:t>
      </w:r>
      <w:r>
        <w:t xml:space="preserve"> element, which is in turn a child of the </w:t>
      </w:r>
      <w:r>
        <w:rPr>
          <w:b/>
        </w:rPr>
        <w:t>ContentType</w:t>
      </w:r>
      <w:r>
        <w:t xml:space="preserve"> element in the content type. The </w:t>
      </w:r>
      <w:r>
        <w:rPr>
          <w:b/>
        </w:rPr>
        <w:t>Field</w:t>
      </w:r>
      <w:r>
        <w:t xml:space="preserve"> el</w:t>
      </w:r>
      <w:r>
        <w:t>ements are the fields used in the content type, as described in Collaborative Application Markup Language (CAML) Structure Specification ([MS-WSSCAML] Subclause 2.3.2.6). Furthermore, let the term "filtered fields" denote the list of all filtered fields to</w:t>
      </w:r>
      <w:r>
        <w:t xml:space="preserve"> be those </w:t>
      </w:r>
      <w:r>
        <w:rPr>
          <w:b/>
        </w:rPr>
        <w:t>Field</w:t>
      </w:r>
      <w:r>
        <w:t xml:space="preserve"> elements from the fields that satisfy all of the following conditions:</w:t>
      </w:r>
    </w:p>
    <w:p w:rsidR="005F78FC" w:rsidRDefault="00B42EF3">
      <w:r>
        <w:t xml:space="preserve">The value of the </w:t>
      </w:r>
      <w:r>
        <w:rPr>
          <w:b/>
        </w:rPr>
        <w:t>Type</w:t>
      </w:r>
      <w:r>
        <w:t xml:space="preserve"> attribute is not </w:t>
      </w:r>
      <w:r>
        <w:rPr>
          <w:i/>
        </w:rPr>
        <w:t>Computed</w:t>
      </w:r>
      <w:r>
        <w:t xml:space="preserve">, </w:t>
      </w:r>
      <w:r>
        <w:rPr>
          <w:i/>
        </w:rPr>
        <w:t>Calculated</w:t>
      </w:r>
      <w:r>
        <w:t xml:space="preserve">, or </w:t>
      </w:r>
      <w:r>
        <w:rPr>
          <w:i/>
        </w:rPr>
        <w:t>WorkflowStatus</w:t>
      </w:r>
      <w:r>
        <w:t>.</w:t>
      </w:r>
    </w:p>
    <w:p w:rsidR="005F78FC" w:rsidRDefault="00B42EF3">
      <w:r>
        <w:t xml:space="preserve">The value of the </w:t>
      </w:r>
      <w:r>
        <w:rPr>
          <w:b/>
        </w:rPr>
        <w:t>Name</w:t>
      </w:r>
      <w:r>
        <w:t xml:space="preserve"> attribute is not </w:t>
      </w:r>
      <w:r>
        <w:rPr>
          <w:i/>
        </w:rPr>
        <w:t>Modified_x0020_By</w:t>
      </w:r>
      <w:r>
        <w:t xml:space="preserve">, </w:t>
      </w:r>
      <w:r>
        <w:rPr>
          <w:i/>
        </w:rPr>
        <w:t>Created_x0020_By</w:t>
      </w:r>
      <w:r>
        <w:t xml:space="preserve">, </w:t>
      </w:r>
      <w:r>
        <w:rPr>
          <w:i/>
        </w:rPr>
        <w:t>Modified</w:t>
      </w:r>
      <w:r>
        <w:t xml:space="preserve">, </w:t>
      </w:r>
      <w:r>
        <w:rPr>
          <w:i/>
        </w:rPr>
        <w:t>Cre</w:t>
      </w:r>
      <w:r>
        <w:rPr>
          <w:i/>
        </w:rPr>
        <w:t>ated</w:t>
      </w:r>
      <w:r>
        <w:t xml:space="preserve"> or </w:t>
      </w:r>
      <w:r>
        <w:rPr>
          <w:i/>
        </w:rPr>
        <w:t>FileLeafRef</w:t>
      </w:r>
      <w:r>
        <w:t>.</w:t>
      </w:r>
    </w:p>
    <w:p w:rsidR="005F78FC" w:rsidRDefault="00B42EF3">
      <w:r>
        <w:t xml:space="preserve">The value of the </w:t>
      </w:r>
      <w:r>
        <w:rPr>
          <w:b/>
        </w:rPr>
        <w:t>StaticName</w:t>
      </w:r>
      <w:r>
        <w:t xml:space="preserve"> attribute is not </w:t>
      </w:r>
      <w:r>
        <w:rPr>
          <w:i/>
        </w:rPr>
        <w:t>Title</w:t>
      </w:r>
      <w:r>
        <w:t xml:space="preserve">, </w:t>
      </w:r>
      <w:r>
        <w:rPr>
          <w:i/>
        </w:rPr>
        <w:t>Subject</w:t>
      </w:r>
      <w:r>
        <w:t xml:space="preserve">, </w:t>
      </w:r>
      <w:r>
        <w:rPr>
          <w:i/>
        </w:rPr>
        <w:t>_Author</w:t>
      </w:r>
      <w:r>
        <w:t xml:space="preserve">, </w:t>
      </w:r>
      <w:r>
        <w:rPr>
          <w:i/>
        </w:rPr>
        <w:t>Keywords</w:t>
      </w:r>
      <w:r>
        <w:t xml:space="preserve">, </w:t>
      </w:r>
      <w:r>
        <w:rPr>
          <w:i/>
        </w:rPr>
        <w:t>_Comments</w:t>
      </w:r>
      <w:r>
        <w:t xml:space="preserve">, </w:t>
      </w:r>
      <w:r>
        <w:rPr>
          <w:i/>
        </w:rPr>
        <w:t>_Category</w:t>
      </w:r>
      <w:r>
        <w:t xml:space="preserve">, or </w:t>
      </w:r>
      <w:r>
        <w:rPr>
          <w:i/>
        </w:rPr>
        <w:t>ContentType</w:t>
      </w:r>
      <w:r>
        <w:t xml:space="preserve">. </w:t>
      </w:r>
    </w:p>
    <w:p w:rsidR="005F78FC" w:rsidRDefault="00B42EF3">
      <w:r>
        <w:t xml:space="preserve">The xsd:all element from the preceding structure must contain an </w:t>
      </w:r>
      <w:r>
        <w:rPr>
          <w:b/>
        </w:rPr>
        <w:t>xsd:element</w:t>
      </w:r>
      <w:r>
        <w:t xml:space="preserve"> element for each </w:t>
      </w:r>
      <w:r>
        <w:rPr>
          <w:b/>
        </w:rPr>
        <w:t>Field</w:t>
      </w:r>
      <w:r>
        <w:t xml:space="preserve"> element in the filtered fields set. This </w:t>
      </w:r>
      <w:r>
        <w:rPr>
          <w:b/>
        </w:rPr>
        <w:t>xsd:element</w:t>
      </w:r>
      <w:r>
        <w:t xml:space="preserve"> must have a </w:t>
      </w:r>
      <w:r>
        <w:rPr>
          <w:b/>
        </w:rPr>
        <w:t>ref</w:t>
      </w:r>
      <w:r>
        <w:t xml:space="preserve"> attribute. The value of the </w:t>
      </w:r>
      <w:r>
        <w:rPr>
          <w:b/>
        </w:rPr>
        <w:t>ref</w:t>
      </w:r>
      <w:r>
        <w:t xml:space="preserve"> attribute must be a qualified reference to a type whose name is the value of the </w:t>
      </w:r>
      <w:r>
        <w:rPr>
          <w:b/>
        </w:rPr>
        <w:t>StaticName</w:t>
      </w:r>
      <w:r>
        <w:t xml:space="preserve"> attribute of the </w:t>
      </w:r>
      <w:r>
        <w:rPr>
          <w:b/>
        </w:rPr>
        <w:t>Field</w:t>
      </w:r>
      <w:r>
        <w:t xml:space="preserve"> element and which resides in the namesp</w:t>
      </w:r>
      <w:r>
        <w:t xml:space="preserve">ace identified by the SourceID attribute of the </w:t>
      </w:r>
      <w:r>
        <w:rPr>
          <w:b/>
        </w:rPr>
        <w:t>Field</w:t>
      </w:r>
      <w:r>
        <w:t xml:space="preserve"> element. Furthermore, if the </w:t>
      </w:r>
      <w:r>
        <w:rPr>
          <w:b/>
        </w:rPr>
        <w:t>Required</w:t>
      </w:r>
      <w:r>
        <w:t xml:space="preserve"> attribute is not present on the </w:t>
      </w:r>
      <w:r>
        <w:rPr>
          <w:b/>
        </w:rPr>
        <w:t>Field</w:t>
      </w:r>
      <w:r>
        <w:t xml:space="preserve"> element; or if the attribute is present but its value is not </w:t>
      </w:r>
      <w:r>
        <w:rPr>
          <w:i/>
        </w:rPr>
        <w:t>TRUE</w:t>
      </w:r>
      <w:r>
        <w:t xml:space="preserve">; or if the value of the Type attribute is </w:t>
      </w:r>
      <w:r>
        <w:rPr>
          <w:i/>
        </w:rPr>
        <w:t>MultiChoice</w:t>
      </w:r>
      <w:r>
        <w:t xml:space="preserve"> or </w:t>
      </w:r>
      <w:r>
        <w:rPr>
          <w:i/>
        </w:rPr>
        <w:t>Loo</w:t>
      </w:r>
      <w:r>
        <w:rPr>
          <w:i/>
        </w:rPr>
        <w:t>kupMulti</w:t>
      </w:r>
      <w:r>
        <w:t xml:space="preserve">, then a </w:t>
      </w:r>
      <w:r>
        <w:rPr>
          <w:b/>
        </w:rPr>
        <w:t>minOccurs</w:t>
      </w:r>
      <w:r>
        <w:t xml:space="preserve"> attribute with value of </w:t>
      </w:r>
      <w:r>
        <w:rPr>
          <w:i/>
        </w:rPr>
        <w:t>0</w:t>
      </w:r>
      <w:r>
        <w:t xml:space="preserve"> must be present on the </w:t>
      </w:r>
      <w:r>
        <w:rPr>
          <w:b/>
        </w:rPr>
        <w:t>xsd:element</w:t>
      </w:r>
      <w:r>
        <w:t xml:space="preserve"> element.</w:t>
      </w:r>
    </w:p>
    <w:p w:rsidR="005F78FC" w:rsidRDefault="00B42EF3">
      <w:r>
        <w:t xml:space="preserve">For each unique string that appears as the value of the </w:t>
      </w:r>
      <w:r>
        <w:rPr>
          <w:b/>
        </w:rPr>
        <w:t>SourceID</w:t>
      </w:r>
      <w:r>
        <w:t xml:space="preserve"> attribute on a </w:t>
      </w:r>
      <w:r>
        <w:rPr>
          <w:b/>
        </w:rPr>
        <w:t>Field</w:t>
      </w:r>
      <w:r>
        <w:t xml:space="preserve"> element in the fields, the </w:t>
      </w:r>
      <w:r>
        <w:rPr>
          <w:b/>
        </w:rPr>
        <w:t>contentTypeSchema</w:t>
      </w:r>
      <w:r>
        <w:t xml:space="preserve"> element must contain an </w:t>
      </w:r>
      <w:r>
        <w:rPr>
          <w:b/>
        </w:rPr>
        <w:t>xsd:schema</w:t>
      </w:r>
      <w:r>
        <w:t xml:space="preserve"> child whose </w:t>
      </w:r>
      <w:r>
        <w:rPr>
          <w:b/>
        </w:rPr>
        <w:t>targetNamespace</w:t>
      </w:r>
      <w:r>
        <w:t xml:space="preserve"> attribute has that same value. Each </w:t>
      </w:r>
      <w:r>
        <w:rPr>
          <w:b/>
        </w:rPr>
        <w:t>xsd:schema</w:t>
      </w:r>
      <w:r>
        <w:t xml:space="preserve"> must contain one </w:t>
      </w:r>
      <w:r>
        <w:rPr>
          <w:b/>
        </w:rPr>
        <w:t>xsd:element</w:t>
      </w:r>
      <w:r>
        <w:t xml:space="preserve"> element for each </w:t>
      </w:r>
      <w:r>
        <w:rPr>
          <w:b/>
        </w:rPr>
        <w:t>Field</w:t>
      </w:r>
      <w:r>
        <w:t xml:space="preserve"> whose </w:t>
      </w:r>
      <w:r>
        <w:rPr>
          <w:b/>
        </w:rPr>
        <w:t>SourceID</w:t>
      </w:r>
      <w:r>
        <w:t xml:space="preserve"> attribute matches the </w:t>
      </w:r>
      <w:r>
        <w:rPr>
          <w:b/>
        </w:rPr>
        <w:t>targetNamespace</w:t>
      </w:r>
      <w:r>
        <w:t xml:space="preserve"> attribute of the </w:t>
      </w:r>
      <w:r>
        <w:rPr>
          <w:b/>
        </w:rPr>
        <w:t>xsd:schema</w:t>
      </w:r>
      <w:r>
        <w:t xml:space="preserve">. </w:t>
      </w:r>
    </w:p>
    <w:p w:rsidR="005F78FC" w:rsidRDefault="00B42EF3">
      <w:r>
        <w:lastRenderedPageBreak/>
        <w:t xml:space="preserve">Each </w:t>
      </w:r>
      <w:r>
        <w:rPr>
          <w:b/>
        </w:rPr>
        <w:t>xsd:element</w:t>
      </w:r>
      <w:r>
        <w:t xml:space="preserve"> element must have </w:t>
      </w:r>
      <w:r>
        <w:t xml:space="preserve">a </w:t>
      </w:r>
      <w:r>
        <w:rPr>
          <w:b/>
        </w:rPr>
        <w:t>name</w:t>
      </w:r>
      <w:r>
        <w:t xml:space="preserve"> attribute whose value is the value of the </w:t>
      </w:r>
      <w:r>
        <w:rPr>
          <w:b/>
        </w:rPr>
        <w:t>StaticName</w:t>
      </w:r>
      <w:r>
        <w:t xml:space="preserve"> attribute on the corresponding </w:t>
      </w:r>
      <w:r>
        <w:rPr>
          <w:b/>
        </w:rPr>
        <w:t>Field</w:t>
      </w:r>
      <w:r>
        <w:t xml:space="preserve"> element. Each </w:t>
      </w:r>
      <w:r>
        <w:rPr>
          <w:b/>
        </w:rPr>
        <w:t>xsd:element</w:t>
      </w:r>
      <w:r>
        <w:t xml:space="preserve"> element must have an </w:t>
      </w:r>
      <w:r>
        <w:rPr>
          <w:b/>
        </w:rPr>
        <w:t>ma:index</w:t>
      </w:r>
      <w:r>
        <w:t xml:space="preserve"> attribute (§</w:t>
      </w:r>
      <w:hyperlink w:anchor="Section_e784c18d69eb486996da0afdd0001ef4">
        <w:r>
          <w:rPr>
            <w:rStyle w:val="Hyperlink"/>
          </w:rPr>
          <w:t>3.5.2.2, Metadata Attributes</w:t>
        </w:r>
      </w:hyperlink>
      <w:r>
        <w:t xml:space="preserve">) whose value is the number of </w:t>
      </w:r>
      <w:r>
        <w:rPr>
          <w:b/>
        </w:rPr>
        <w:t>Field</w:t>
      </w:r>
      <w:r>
        <w:t xml:space="preserve"> elements that appear before the corresponding </w:t>
      </w:r>
      <w:r>
        <w:rPr>
          <w:b/>
        </w:rPr>
        <w:t>Field</w:t>
      </w:r>
      <w:r>
        <w:t xml:space="preserve"> element within the </w:t>
      </w:r>
      <w:r>
        <w:rPr>
          <w:b/>
        </w:rPr>
        <w:t>Fields</w:t>
      </w:r>
      <w:r>
        <w:t xml:space="preserve"> element in the content type. If the </w:t>
      </w:r>
      <w:r>
        <w:rPr>
          <w:b/>
        </w:rPr>
        <w:t>Required</w:t>
      </w:r>
      <w:r>
        <w:t xml:space="preserve"> attribute is not present on the corresponding </w:t>
      </w:r>
      <w:r>
        <w:rPr>
          <w:b/>
        </w:rPr>
        <w:t>Field</w:t>
      </w:r>
      <w:r>
        <w:t xml:space="preserve"> element; the </w:t>
      </w:r>
      <w:r>
        <w:rPr>
          <w:b/>
        </w:rPr>
        <w:t>Required</w:t>
      </w:r>
      <w:r>
        <w:t xml:space="preserve"> attribute is present b</w:t>
      </w:r>
      <w:r>
        <w:t xml:space="preserve">ut its value is not </w:t>
      </w:r>
      <w:r>
        <w:rPr>
          <w:i/>
        </w:rPr>
        <w:t>TRUE</w:t>
      </w:r>
      <w:r>
        <w:t xml:space="preserve">; or the value of the </w:t>
      </w:r>
      <w:r>
        <w:rPr>
          <w:b/>
        </w:rPr>
        <w:t>Type</w:t>
      </w:r>
      <w:r>
        <w:t xml:space="preserve"> attribute is </w:t>
      </w:r>
      <w:r>
        <w:rPr>
          <w:i/>
        </w:rPr>
        <w:t>MultiChoice</w:t>
      </w:r>
      <w:r>
        <w:t xml:space="preserve"> or </w:t>
      </w:r>
      <w:r>
        <w:rPr>
          <w:i/>
        </w:rPr>
        <w:t>LookupMulti</w:t>
      </w:r>
      <w:r>
        <w:t xml:space="preserve">, then a nullable attribute with value of </w:t>
      </w:r>
      <w:r>
        <w:rPr>
          <w:i/>
        </w:rPr>
        <w:t>true</w:t>
      </w:r>
      <w:r>
        <w:t xml:space="preserve"> must be present on the </w:t>
      </w:r>
      <w:r>
        <w:rPr>
          <w:b/>
        </w:rPr>
        <w:t xml:space="preserve">xsd:element </w:t>
      </w:r>
      <w:r>
        <w:t xml:space="preserve">element. </w:t>
      </w:r>
    </w:p>
    <w:p w:rsidR="005F78FC" w:rsidRDefault="00B42EF3">
      <w:r>
        <w:t xml:space="preserve">The following attributes can appear on each </w:t>
      </w:r>
      <w:r>
        <w:rPr>
          <w:b/>
        </w:rPr>
        <w:t>xsd:element</w:t>
      </w:r>
      <w:r>
        <w:t xml:space="preserve"> element: </w:t>
      </w:r>
      <w:r>
        <w:rPr>
          <w:b/>
        </w:rPr>
        <w:t>ma:displa</w:t>
      </w:r>
      <w:r>
        <w:rPr>
          <w:b/>
        </w:rPr>
        <w:t>yName</w:t>
      </w:r>
      <w:r>
        <w:t xml:space="preserve"> (§3.5.2.2, Metadata Attributes); </w:t>
      </w:r>
      <w:r>
        <w:rPr>
          <w:b/>
        </w:rPr>
        <w:t>ma:decimals</w:t>
      </w:r>
      <w:r>
        <w:t xml:space="preserve"> (§3.5.2.2, Metadata Attributes); </w:t>
      </w:r>
      <w:r>
        <w:rPr>
          <w:b/>
        </w:rPr>
        <w:t>ma:default</w:t>
      </w:r>
      <w:r>
        <w:t xml:space="preserve"> (§3.5.2.2, Metadata Attributes); </w:t>
      </w:r>
      <w:r>
        <w:rPr>
          <w:b/>
        </w:rPr>
        <w:t>ma:description</w:t>
      </w:r>
      <w:r>
        <w:t xml:space="preserve"> (§3.5.2.2, Metadata Attributes); </w:t>
      </w:r>
      <w:r>
        <w:rPr>
          <w:b/>
        </w:rPr>
        <w:t>ma:format</w:t>
      </w:r>
      <w:r>
        <w:t xml:space="preserve"> (§3.5.2.2, Metadata Attributes); </w:t>
      </w:r>
      <w:r>
        <w:rPr>
          <w:b/>
        </w:rPr>
        <w:t>ma:hidden</w:t>
      </w:r>
      <w:r>
        <w:t xml:space="preserve"> (§3.5.2.2, Metadata Attribu</w:t>
      </w:r>
      <w:r>
        <w:t xml:space="preserve">tes); ma:LCID (§3.5.2.2, Metadata Attributes); ma:list (§3.5.2.2, Metadata Attributes); </w:t>
      </w:r>
      <w:r>
        <w:rPr>
          <w:b/>
        </w:rPr>
        <w:t>ma:internalName</w:t>
      </w:r>
      <w:r>
        <w:t xml:space="preserve"> (§3.5.2.2, Metadata Attributes); </w:t>
      </w:r>
      <w:r>
        <w:rPr>
          <w:b/>
        </w:rPr>
        <w:t>ma:readOnly</w:t>
      </w:r>
      <w:r>
        <w:t xml:space="preserve"> (§3.5.2.2, Metadata Attributes); </w:t>
      </w:r>
      <w:r>
        <w:rPr>
          <w:b/>
        </w:rPr>
        <w:t>ma:showField</w:t>
      </w:r>
      <w:r>
        <w:t xml:space="preserve"> (§3.5.2.2, Metadata Attributes); </w:t>
      </w:r>
      <w:r>
        <w:rPr>
          <w:b/>
        </w:rPr>
        <w:t>ma:percentage</w:t>
      </w:r>
      <w:r>
        <w:t xml:space="preserve"> (§3.5.2.2, Met</w:t>
      </w:r>
      <w:r>
        <w:t xml:space="preserve">adata Attributes); </w:t>
      </w:r>
      <w:r>
        <w:rPr>
          <w:b/>
        </w:rPr>
        <w:t>ma:web</w:t>
      </w:r>
      <w:r>
        <w:t xml:space="preserve"> (§3.5.2.2, Metadata Attributes); </w:t>
      </w:r>
      <w:r>
        <w:rPr>
          <w:b/>
        </w:rPr>
        <w:t>ma:requiredMultiChoice</w:t>
      </w:r>
      <w:r>
        <w:t xml:space="preserve"> (§3.5.2.2, Metadata Attributes).</w:t>
      </w:r>
    </w:p>
    <w:p w:rsidR="005F78FC" w:rsidRDefault="00B42EF3">
      <w:r>
        <w:t xml:space="preserve">The </w:t>
      </w:r>
      <w:r>
        <w:rPr>
          <w:b/>
        </w:rPr>
        <w:t>contentTypeSchema</w:t>
      </w:r>
      <w:r>
        <w:t xml:space="preserve"> element must have an </w:t>
      </w:r>
      <w:r>
        <w:rPr>
          <w:b/>
        </w:rPr>
        <w:t>xsd:schema</w:t>
      </w:r>
      <w:r>
        <w:t xml:space="preserve"> child whose </w:t>
      </w:r>
      <w:r>
        <w:rPr>
          <w:b/>
        </w:rPr>
        <w:t>targetNamespace</w:t>
      </w:r>
      <w:r>
        <w:t xml:space="preserve"> attribute has the value </w:t>
      </w:r>
      <w:r>
        <w:rPr>
          <w:i/>
        </w:rPr>
        <w:t>http://schemas.openxmlformats.org/package/2006/metadata/core-properties</w:t>
      </w:r>
      <w:r>
        <w:t xml:space="preserve">. </w:t>
      </w:r>
    </w:p>
    <w:tbl>
      <w:tblPr>
        <w:tblStyle w:val="Table-ShadedHeader"/>
        <w:tblW w:w="0" w:type="auto"/>
        <w:tblLook w:val="04A0" w:firstRow="1" w:lastRow="0" w:firstColumn="1" w:lastColumn="0" w:noHBand="0" w:noVBand="1"/>
      </w:tblPr>
      <w:tblGrid>
        <w:gridCol w:w="6693"/>
        <w:gridCol w:w="2782"/>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Attributes</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rPr>
                <w:b/>
              </w:rPr>
              <w:t>_</w:t>
            </w:r>
            <w:r>
              <w:t xml:space="preserve"> (Reserved)</w:t>
            </w:r>
          </w:p>
        </w:tc>
        <w:tc>
          <w:tcPr>
            <w:tcW w:w="0" w:type="auto"/>
            <w:vAlign w:val="center"/>
          </w:tcPr>
          <w:p w:rsidR="005F78FC" w:rsidRDefault="00B42EF3">
            <w:pPr>
              <w:pStyle w:val="TableBodyText"/>
            </w:pPr>
            <w:r>
              <w:t>Shall be empty.</w:t>
            </w:r>
          </w:p>
          <w:p w:rsidR="005F78FC" w:rsidRDefault="005F78FC">
            <w:pPr>
              <w:pStyle w:val="TableBodyText"/>
            </w:pPr>
          </w:p>
          <w:p w:rsidR="005F78FC" w:rsidRDefault="00B42EF3">
            <w:pPr>
              <w:pStyle w:val="TableBodyText"/>
            </w:pPr>
            <w:r>
              <w:t>The possible values for this attribute are defined by the XML Schema anySimpleType datatype.</w:t>
            </w:r>
          </w:p>
        </w:tc>
      </w:tr>
      <w:tr w:rsidR="005F78FC" w:rsidTr="005F78FC">
        <w:tc>
          <w:tcPr>
            <w:tcW w:w="0" w:type="auto"/>
            <w:vAlign w:val="center"/>
          </w:tcPr>
          <w:p w:rsidR="005F78FC" w:rsidRDefault="00B42EF3">
            <w:pPr>
              <w:pStyle w:val="TableBodyText"/>
            </w:pPr>
            <w:r>
              <w:rPr>
                <w:b/>
              </w:rPr>
              <w:t>_</w:t>
            </w:r>
            <w:r>
              <w:t xml:space="preserve"> (Reserved)</w:t>
            </w:r>
          </w:p>
          <w:p w:rsidR="005F78FC" w:rsidRDefault="005F78FC">
            <w:pPr>
              <w:pStyle w:val="TableBodyText"/>
            </w:pPr>
          </w:p>
          <w:p w:rsidR="005F78FC" w:rsidRDefault="00B42EF3">
            <w:pPr>
              <w:pStyle w:val="TableBodyText"/>
            </w:pPr>
            <w:r>
              <w:t>Namespace: http://sc</w:t>
            </w:r>
            <w:r>
              <w:t>hemas.microsoft.com/office/2006/metadata/properties/metaAttributes</w:t>
            </w:r>
          </w:p>
        </w:tc>
        <w:tc>
          <w:tcPr>
            <w:tcW w:w="0" w:type="auto"/>
            <w:vAlign w:val="center"/>
          </w:tcPr>
          <w:p w:rsidR="005F78FC" w:rsidRDefault="00B42EF3">
            <w:pPr>
              <w:pStyle w:val="TableBodyText"/>
            </w:pPr>
            <w:r>
              <w:t>Shall be empty.</w:t>
            </w:r>
          </w:p>
          <w:p w:rsidR="005F78FC" w:rsidRDefault="005F78FC">
            <w:pPr>
              <w:pStyle w:val="TableBodyText"/>
            </w:pPr>
          </w:p>
          <w:p w:rsidR="005F78FC" w:rsidRDefault="00B42EF3">
            <w:pPr>
              <w:pStyle w:val="TableBodyText"/>
            </w:pPr>
            <w:r>
              <w:t>The possible values for this attribute are defined by the XML Schema anySimpleType datatype.</w:t>
            </w:r>
          </w:p>
        </w:tc>
      </w:tr>
      <w:tr w:rsidR="005F78FC" w:rsidTr="005F78FC">
        <w:tc>
          <w:tcPr>
            <w:tcW w:w="0" w:type="auto"/>
            <w:vAlign w:val="center"/>
          </w:tcPr>
          <w:p w:rsidR="005F78FC" w:rsidRDefault="00B42EF3">
            <w:pPr>
              <w:pStyle w:val="TableBodyText"/>
            </w:pPr>
            <w:r>
              <w:rPr>
                <w:b/>
              </w:rPr>
              <w:t>contentTypeDescription</w:t>
            </w:r>
            <w:r>
              <w:t xml:space="preserve"> (Content Type Description)</w:t>
            </w:r>
          </w:p>
          <w:p w:rsidR="005F78FC" w:rsidRDefault="005F78FC">
            <w:pPr>
              <w:pStyle w:val="TableBodyText"/>
            </w:pPr>
          </w:p>
          <w:p w:rsidR="005F78FC" w:rsidRDefault="00B42EF3">
            <w:pPr>
              <w:pStyle w:val="TableBodyText"/>
            </w:pPr>
            <w:r>
              <w:t xml:space="preserve">Namespace: </w:t>
            </w:r>
            <w:r>
              <w:t>http://schemas.microsoft.com/office/2006/metadata/properties/metaAttributes</w:t>
            </w:r>
          </w:p>
        </w:tc>
        <w:tc>
          <w:tcPr>
            <w:tcW w:w="0" w:type="auto"/>
            <w:vAlign w:val="center"/>
          </w:tcPr>
          <w:p w:rsidR="005F78FC" w:rsidRDefault="00B42EF3">
            <w:pPr>
              <w:pStyle w:val="TableBodyText"/>
            </w:pPr>
            <w:r>
              <w:t xml:space="preserve">Shall be the same value as the </w:t>
            </w:r>
            <w:r>
              <w:rPr>
                <w:b/>
              </w:rPr>
              <w:t>Description</w:t>
            </w:r>
            <w:r>
              <w:t xml:space="preserve"> attribute of the </w:t>
            </w:r>
            <w:r>
              <w:rPr>
                <w:b/>
              </w:rPr>
              <w:t>ContentType</w:t>
            </w:r>
            <w:r>
              <w:t xml:space="preserve"> element (as described in Collaborative Application Markup Language (CAML) Structure Specification ([MS-WSSCA</w:t>
            </w:r>
            <w:r>
              <w:t>ML] Subclause 2.4.1.1) for the content type associated with this document.</w:t>
            </w:r>
          </w:p>
          <w:p w:rsidR="005F78FC" w:rsidRDefault="005F78FC">
            <w:pPr>
              <w:pStyle w:val="TableBodyText"/>
            </w:pPr>
          </w:p>
          <w:p w:rsidR="005F78FC" w:rsidRDefault="00B42EF3">
            <w:pPr>
              <w:pStyle w:val="TableBodyText"/>
            </w:pPr>
            <w:r>
              <w:t>The possible values for this attribute are defined by the XML Schema string datatype.</w:t>
            </w:r>
          </w:p>
        </w:tc>
      </w:tr>
      <w:tr w:rsidR="005F78FC" w:rsidTr="005F78FC">
        <w:tc>
          <w:tcPr>
            <w:tcW w:w="0" w:type="auto"/>
            <w:vAlign w:val="center"/>
          </w:tcPr>
          <w:p w:rsidR="005F78FC" w:rsidRDefault="00B42EF3">
            <w:pPr>
              <w:pStyle w:val="TableBodyText"/>
            </w:pPr>
            <w:r>
              <w:rPr>
                <w:b/>
              </w:rPr>
              <w:t>contentTypeID</w:t>
            </w:r>
            <w:r>
              <w:t xml:space="preserve"> (Content Type ID)</w:t>
            </w:r>
          </w:p>
          <w:p w:rsidR="005F78FC" w:rsidRDefault="005F78FC">
            <w:pPr>
              <w:pStyle w:val="TableBodyText"/>
            </w:pPr>
          </w:p>
          <w:p w:rsidR="005F78FC" w:rsidRDefault="00B42EF3">
            <w:pPr>
              <w:pStyle w:val="TableBodyText"/>
            </w:pPr>
            <w:r>
              <w:t>Namespace: http://schemas.microsoft.com/office/2006/metadata</w:t>
            </w:r>
            <w:r>
              <w:t>/properties/metaAttributes</w:t>
            </w:r>
          </w:p>
        </w:tc>
        <w:tc>
          <w:tcPr>
            <w:tcW w:w="0" w:type="auto"/>
            <w:vAlign w:val="center"/>
          </w:tcPr>
          <w:p w:rsidR="005F78FC" w:rsidRDefault="00B42EF3">
            <w:pPr>
              <w:pStyle w:val="TableBodyText"/>
            </w:pPr>
            <w:r>
              <w:t>Identifies the content type associated with this document.</w:t>
            </w:r>
          </w:p>
          <w:p w:rsidR="005F78FC" w:rsidRDefault="005F78FC">
            <w:pPr>
              <w:pStyle w:val="TableBodyText"/>
            </w:pPr>
          </w:p>
          <w:p w:rsidR="005F78FC" w:rsidRDefault="00B42EF3">
            <w:pPr>
              <w:pStyle w:val="TableBodyText"/>
            </w:pPr>
            <w:r>
              <w:t>The possible values for this attribute are defined by the ST_ContentTypeId simple type (§</w:t>
            </w:r>
            <w:hyperlink w:anchor="Section_786223f9b8ff46fdade3b42236e6297f">
              <w:r>
                <w:rPr>
                  <w:rStyle w:val="Hyperlink"/>
                </w:rPr>
                <w:t>3.5.2.2.2.1, ST_C</w:t>
              </w:r>
              <w:r>
                <w:rPr>
                  <w:rStyle w:val="Hyperlink"/>
                </w:rPr>
                <w:t>ontentTypeId</w:t>
              </w:r>
            </w:hyperlink>
            <w:r>
              <w:t>).</w:t>
            </w:r>
          </w:p>
        </w:tc>
      </w:tr>
      <w:tr w:rsidR="005F78FC" w:rsidTr="005F78FC">
        <w:tc>
          <w:tcPr>
            <w:tcW w:w="0" w:type="auto"/>
            <w:vAlign w:val="center"/>
          </w:tcPr>
          <w:p w:rsidR="005F78FC" w:rsidRDefault="00B42EF3">
            <w:pPr>
              <w:pStyle w:val="TableBodyText"/>
            </w:pPr>
            <w:r>
              <w:rPr>
                <w:b/>
              </w:rPr>
              <w:t>contentTypeName</w:t>
            </w:r>
            <w:r>
              <w:t xml:space="preserve"> (Content Type Name)</w:t>
            </w:r>
          </w:p>
          <w:p w:rsidR="005F78FC" w:rsidRDefault="005F78FC">
            <w:pPr>
              <w:pStyle w:val="TableBodyText"/>
            </w:pPr>
          </w:p>
          <w:p w:rsidR="005F78FC" w:rsidRDefault="00B42EF3">
            <w:pPr>
              <w:pStyle w:val="TableBodyText"/>
            </w:pPr>
            <w:r>
              <w:t>Namespace: http://schemas.microsoft.com/office/2006/metadata/properties/metaAttributes</w:t>
            </w:r>
          </w:p>
        </w:tc>
        <w:tc>
          <w:tcPr>
            <w:tcW w:w="0" w:type="auto"/>
            <w:vAlign w:val="center"/>
          </w:tcPr>
          <w:p w:rsidR="005F78FC" w:rsidRDefault="00B42EF3">
            <w:pPr>
              <w:pStyle w:val="TableBodyText"/>
            </w:pPr>
            <w:r>
              <w:lastRenderedPageBreak/>
              <w:t xml:space="preserve">Must be the same value as the </w:t>
            </w:r>
            <w:r>
              <w:rPr>
                <w:b/>
              </w:rPr>
              <w:lastRenderedPageBreak/>
              <w:t>Name</w:t>
            </w:r>
            <w:r>
              <w:t xml:space="preserve"> attribute of the </w:t>
            </w:r>
            <w:r>
              <w:rPr>
                <w:b/>
              </w:rPr>
              <w:t>ContentType</w:t>
            </w:r>
            <w:r>
              <w:t xml:space="preserve"> element (as described in Collaborative Application M</w:t>
            </w:r>
            <w:r>
              <w:t>arkup Language (CAML) Structure Specification ([MS-WSSCAML] Subclause 2.4.1.1)) for the content type associated with this document.</w:t>
            </w:r>
          </w:p>
          <w:p w:rsidR="005F78FC" w:rsidRDefault="005F78FC">
            <w:pPr>
              <w:pStyle w:val="TableBodyText"/>
            </w:pPr>
          </w:p>
          <w:p w:rsidR="005F78FC" w:rsidRDefault="00B42EF3">
            <w:pPr>
              <w:pStyle w:val="TableBodyText"/>
            </w:pPr>
            <w:r>
              <w:t>The possible values for this attribute are defined by the XML Schema string datatype.</w:t>
            </w:r>
          </w:p>
        </w:tc>
      </w:tr>
      <w:tr w:rsidR="005F78FC" w:rsidTr="005F78FC">
        <w:tc>
          <w:tcPr>
            <w:tcW w:w="0" w:type="auto"/>
            <w:vAlign w:val="center"/>
          </w:tcPr>
          <w:p w:rsidR="005F78FC" w:rsidRDefault="00B42EF3">
            <w:pPr>
              <w:pStyle w:val="TableBodyText"/>
            </w:pPr>
            <w:r>
              <w:rPr>
                <w:b/>
              </w:rPr>
              <w:lastRenderedPageBreak/>
              <w:t>contentTypeScope</w:t>
            </w:r>
            <w:r>
              <w:t xml:space="preserve"> (Content Type Scope)</w:t>
            </w:r>
          </w:p>
          <w:p w:rsidR="005F78FC" w:rsidRDefault="005F78FC">
            <w:pPr>
              <w:pStyle w:val="TableBodyText"/>
            </w:pPr>
          </w:p>
          <w:p w:rsidR="005F78FC" w:rsidRDefault="00B42EF3">
            <w:pPr>
              <w:pStyle w:val="TableBodyText"/>
            </w:pPr>
            <w:r>
              <w:t>Namespace: http://schemas.microsoft.com/office/2006/metadata/properties/metaAttributes</w:t>
            </w:r>
          </w:p>
        </w:tc>
        <w:tc>
          <w:tcPr>
            <w:tcW w:w="0" w:type="auto"/>
            <w:vAlign w:val="center"/>
          </w:tcPr>
          <w:p w:rsidR="005F78FC" w:rsidRDefault="00B42EF3">
            <w:pPr>
              <w:pStyle w:val="TableBodyText"/>
            </w:pPr>
            <w:r>
              <w:t>Shall be empty.</w:t>
            </w:r>
          </w:p>
          <w:p w:rsidR="005F78FC" w:rsidRDefault="005F78FC">
            <w:pPr>
              <w:pStyle w:val="TableBodyText"/>
            </w:pPr>
          </w:p>
          <w:p w:rsidR="005F78FC" w:rsidRDefault="00B42EF3">
            <w:pPr>
              <w:pStyle w:val="TableBodyText"/>
            </w:pPr>
            <w:r>
              <w:t>The possible values for this attribute are defined by the XML Schema string datatype.</w:t>
            </w:r>
          </w:p>
        </w:tc>
      </w:tr>
      <w:tr w:rsidR="005F78FC" w:rsidTr="005F78FC">
        <w:tc>
          <w:tcPr>
            <w:tcW w:w="0" w:type="auto"/>
            <w:vAlign w:val="center"/>
          </w:tcPr>
          <w:p w:rsidR="005F78FC" w:rsidRDefault="00B42EF3">
            <w:pPr>
              <w:pStyle w:val="TableBodyText"/>
            </w:pPr>
            <w:r>
              <w:rPr>
                <w:b/>
              </w:rPr>
              <w:t>contentTypeVersion</w:t>
            </w:r>
            <w:r>
              <w:t xml:space="preserve"> (Content Type Version)</w:t>
            </w:r>
          </w:p>
          <w:p w:rsidR="005F78FC" w:rsidRDefault="005F78FC">
            <w:pPr>
              <w:pStyle w:val="TableBodyText"/>
            </w:pPr>
          </w:p>
          <w:p w:rsidR="005F78FC" w:rsidRDefault="00B42EF3">
            <w:pPr>
              <w:pStyle w:val="TableBodyText"/>
            </w:pPr>
            <w:r>
              <w:t>Namespace: http://schemas.microsoft.com/office/2006/metadata/properties/metaAttributes</w:t>
            </w:r>
          </w:p>
        </w:tc>
        <w:tc>
          <w:tcPr>
            <w:tcW w:w="0" w:type="auto"/>
            <w:vAlign w:val="center"/>
          </w:tcPr>
          <w:p w:rsidR="005F78FC" w:rsidRDefault="00B42EF3">
            <w:pPr>
              <w:pStyle w:val="TableBodyText"/>
            </w:pPr>
            <w:r>
              <w:t xml:space="preserve">Shall be the same value as the </w:t>
            </w:r>
            <w:r>
              <w:rPr>
                <w:b/>
              </w:rPr>
              <w:t>Version</w:t>
            </w:r>
            <w:r>
              <w:t xml:space="preserve"> attribute of the </w:t>
            </w:r>
            <w:r>
              <w:rPr>
                <w:b/>
              </w:rPr>
              <w:t>ContentType</w:t>
            </w:r>
            <w:r>
              <w:t xml:space="preserve"> element (as described in Collaborative Application Markup Language (CAML) Structure Specification ([</w:t>
            </w:r>
            <w:r>
              <w:t>MS-WSSCAML] Subclause 2.4.1.1) for the content type associated with this document.</w:t>
            </w:r>
          </w:p>
          <w:p w:rsidR="005F78FC" w:rsidRDefault="005F78FC">
            <w:pPr>
              <w:pStyle w:val="TableBodyText"/>
            </w:pPr>
          </w:p>
          <w:p w:rsidR="005F78FC" w:rsidRDefault="00B42EF3">
            <w:pPr>
              <w:pStyle w:val="TableBodyText"/>
            </w:pPr>
            <w:r>
              <w:t>The possible values for this attribute are defined by the ST_IntNonNegative simple type (§</w:t>
            </w:r>
            <w:hyperlink w:anchor="Section_fc63ec620566496f8ec8cb3ee90bdd9a">
              <w:r>
                <w:rPr>
                  <w:rStyle w:val="Hyperlink"/>
                </w:rPr>
                <w:t xml:space="preserve">3.5.2.2.2.2, </w:t>
              </w:r>
              <w:r>
                <w:rPr>
                  <w:rStyle w:val="Hyperlink"/>
                </w:rPr>
                <w:t>ST_IntNonNegative</w:t>
              </w:r>
            </w:hyperlink>
            <w:r>
              <w:t>).</w:t>
            </w:r>
          </w:p>
        </w:tc>
      </w:tr>
      <w:tr w:rsidR="005F78FC" w:rsidTr="005F78FC">
        <w:tc>
          <w:tcPr>
            <w:tcW w:w="0" w:type="auto"/>
            <w:vAlign w:val="center"/>
          </w:tcPr>
          <w:p w:rsidR="005F78FC" w:rsidRDefault="00B42EF3">
            <w:pPr>
              <w:pStyle w:val="TableBodyText"/>
            </w:pPr>
            <w:r>
              <w:rPr>
                <w:b/>
              </w:rPr>
              <w:t>versionID</w:t>
            </w:r>
            <w:r>
              <w:t xml:space="preserve"> (Version ID)</w:t>
            </w:r>
          </w:p>
          <w:p w:rsidR="005F78FC" w:rsidRDefault="005F78FC">
            <w:pPr>
              <w:pStyle w:val="TableBodyText"/>
            </w:pPr>
          </w:p>
          <w:p w:rsidR="005F78FC" w:rsidRDefault="00B42EF3">
            <w:pPr>
              <w:pStyle w:val="TableBodyText"/>
            </w:pPr>
            <w:r>
              <w:t>Namespace: http://schemas.microsoft.com/office/2006/metadata/properties/metaAttributes</w:t>
            </w:r>
          </w:p>
        </w:tc>
        <w:tc>
          <w:tcPr>
            <w:tcW w:w="0" w:type="auto"/>
            <w:vAlign w:val="center"/>
          </w:tcPr>
          <w:p w:rsidR="005F78FC" w:rsidRDefault="00B42EF3">
            <w:pPr>
              <w:pStyle w:val="TableBodyText"/>
            </w:pPr>
            <w:r>
              <w:t>A string hash used to determine if the definition of the content type associated with this document has changed since the la</w:t>
            </w:r>
            <w:r>
              <w:t>st time the content type was applied to the document.</w:t>
            </w:r>
          </w:p>
          <w:p w:rsidR="005F78FC" w:rsidRDefault="005F78FC">
            <w:pPr>
              <w:pStyle w:val="TableBodyText"/>
            </w:pPr>
          </w:p>
          <w:p w:rsidR="005F78FC" w:rsidRDefault="00B42EF3">
            <w:pPr>
              <w:pStyle w:val="TableBodyText"/>
            </w:pPr>
            <w:r>
              <w:t xml:space="preserve">The value is computed as an MD5 hash of the substring that represents the </w:t>
            </w:r>
            <w:r>
              <w:rPr>
                <w:b/>
              </w:rPr>
              <w:t>ContentType</w:t>
            </w:r>
            <w:r>
              <w:t xml:space="preserve"> element (from </w:t>
            </w:r>
            <w:r>
              <w:rPr>
                <w:rStyle w:val="InlineCode"/>
              </w:rPr>
              <w:t>&lt;ContentType&gt;</w:t>
            </w:r>
            <w:r>
              <w:t xml:space="preserve"> to </w:t>
            </w:r>
            <w:r>
              <w:rPr>
                <w:rStyle w:val="InlineCode"/>
              </w:rPr>
              <w:t>&lt;/ContentType&gt;</w:t>
            </w:r>
            <w:r>
              <w:t>, inclusive) within the SOAP result of the GetListContentType Web serv</w:t>
            </w:r>
            <w:r>
              <w:t>ice request, as described in Lists Web Service Protocol Specification (</w:t>
            </w:r>
            <w:hyperlink r:id="rId366" w:anchor="Section_30b364cc38374e839ce81963292e2ee5">
              <w:r>
                <w:rPr>
                  <w:rStyle w:val="Hyperlink"/>
                </w:rPr>
                <w:t>[MS-LISTSWS]</w:t>
              </w:r>
            </w:hyperlink>
            <w:r>
              <w:t xml:space="preserve"> Subclause 3.1.4.17).</w:t>
            </w:r>
          </w:p>
          <w:p w:rsidR="005F78FC" w:rsidRDefault="005F78FC">
            <w:pPr>
              <w:pStyle w:val="TableBodyText"/>
            </w:pPr>
          </w:p>
          <w:p w:rsidR="005F78FC" w:rsidRDefault="00B42EF3">
            <w:pPr>
              <w:pStyle w:val="TableBodyText"/>
            </w:pPr>
            <w:r>
              <w:t>The possible values for this attribute are defined by the XML Schema</w:t>
            </w:r>
            <w:r>
              <w:t xml:space="preserve"> string datatype.</w:t>
            </w:r>
          </w:p>
        </w:tc>
      </w:tr>
    </w:tbl>
    <w:p w:rsidR="005F78FC" w:rsidRDefault="005F78FC"/>
    <w:p w:rsidR="005F78FC" w:rsidRDefault="00B42EF3">
      <w:r>
        <w:t>The following XML Schema fragment defines the contents of this element:</w:t>
      </w:r>
    </w:p>
    <w:p w:rsidR="005F78FC" w:rsidRDefault="00B42EF3">
      <w:pPr>
        <w:pStyle w:val="Code"/>
      </w:pPr>
      <w:r>
        <w:t>&lt;complexType name="CT_ContentTypeSchema"&gt;</w:t>
      </w:r>
    </w:p>
    <w:p w:rsidR="005F78FC" w:rsidRDefault="00B42EF3">
      <w:pPr>
        <w:pStyle w:val="Code"/>
      </w:pPr>
      <w:r>
        <w:t xml:space="preserve">  &lt;sequence&gt;</w:t>
      </w:r>
    </w:p>
    <w:p w:rsidR="005F78FC" w:rsidRDefault="00B42EF3">
      <w:pPr>
        <w:pStyle w:val="Code"/>
      </w:pPr>
      <w:r>
        <w:t xml:space="preserve">    &lt;element ref="xsd:schema" maxOccurs="unbounded"/&gt;</w:t>
      </w:r>
    </w:p>
    <w:p w:rsidR="005F78FC" w:rsidRDefault="00B42EF3">
      <w:pPr>
        <w:pStyle w:val="Code"/>
      </w:pPr>
      <w:r>
        <w:t xml:space="preserve">  &lt;/sequence&gt;</w:t>
      </w:r>
    </w:p>
    <w:p w:rsidR="005F78FC" w:rsidRDefault="00B42EF3">
      <w:pPr>
        <w:pStyle w:val="Code"/>
      </w:pPr>
      <w:r>
        <w:t xml:space="preserve">  &lt;attribute name="_"/&gt;</w:t>
      </w:r>
    </w:p>
    <w:p w:rsidR="005F78FC" w:rsidRDefault="00B42EF3">
      <w:pPr>
        <w:pStyle w:val="Code"/>
      </w:pPr>
      <w:r>
        <w:t xml:space="preserve">  &lt;</w:t>
      </w:r>
      <w:r>
        <w:t>attribute ref="ma:_"/&gt;</w:t>
      </w:r>
    </w:p>
    <w:p w:rsidR="005F78FC" w:rsidRDefault="00B42EF3">
      <w:pPr>
        <w:pStyle w:val="Code"/>
      </w:pPr>
      <w:r>
        <w:t xml:space="preserve">  &lt;attribute ref="ma:contentTypeName"/&gt;</w:t>
      </w:r>
    </w:p>
    <w:p w:rsidR="005F78FC" w:rsidRDefault="00B42EF3">
      <w:pPr>
        <w:pStyle w:val="Code"/>
      </w:pPr>
      <w:r>
        <w:t xml:space="preserve">  &lt;attribute ref="ma:contentTypeID"/&gt;</w:t>
      </w:r>
    </w:p>
    <w:p w:rsidR="005F78FC" w:rsidRDefault="00B42EF3">
      <w:pPr>
        <w:pStyle w:val="Code"/>
      </w:pPr>
      <w:r>
        <w:t xml:space="preserve">  &lt;attribute ref="ma:contentTypeVersion"/&gt;</w:t>
      </w:r>
    </w:p>
    <w:p w:rsidR="005F78FC" w:rsidRDefault="00B42EF3">
      <w:pPr>
        <w:pStyle w:val="Code"/>
      </w:pPr>
      <w:r>
        <w:t xml:space="preserve">  &lt;attribute ref="ma:contentTypeDescription"/&gt;</w:t>
      </w:r>
    </w:p>
    <w:p w:rsidR="005F78FC" w:rsidRDefault="00B42EF3">
      <w:pPr>
        <w:pStyle w:val="Code"/>
      </w:pPr>
      <w:r>
        <w:t xml:space="preserve">  &lt;attribute ref="ma:contentTypeScope"/&gt;</w:t>
      </w:r>
    </w:p>
    <w:p w:rsidR="005F78FC" w:rsidRDefault="00B42EF3">
      <w:pPr>
        <w:pStyle w:val="Code"/>
      </w:pPr>
      <w:r>
        <w:t xml:space="preserve">  &lt;attribute ref="ma:ver</w:t>
      </w:r>
      <w:r>
        <w:t>sionID"/&gt;</w:t>
      </w:r>
    </w:p>
    <w:p w:rsidR="005F78FC" w:rsidRDefault="00B42EF3">
      <w:pPr>
        <w:pStyle w:val="Code"/>
      </w:pPr>
      <w:r>
        <w:t>&lt;/complexType&gt;</w:t>
      </w:r>
    </w:p>
    <w:p w:rsidR="005F78FC" w:rsidRDefault="00B42EF3">
      <w:pPr>
        <w:pStyle w:val="Heading4"/>
      </w:pPr>
      <w:bookmarkStart w:id="4079" w:name="section_e784c18d69eb486996da0afdd0001ef4"/>
      <w:bookmarkStart w:id="4080" w:name="_Toc69879812"/>
      <w:r>
        <w:t>Metadata Attributes</w:t>
      </w:r>
      <w:bookmarkEnd w:id="4079"/>
      <w:bookmarkEnd w:id="4080"/>
      <w:r>
        <w:fldChar w:fldCharType="begin"/>
      </w:r>
      <w:r>
        <w:instrText xml:space="preserve"> XE "Metadata Attributes" </w:instrText>
      </w:r>
      <w:r>
        <w:fldChar w:fldCharType="end"/>
      </w:r>
    </w:p>
    <w:p w:rsidR="005F78FC" w:rsidRDefault="00B42EF3">
      <w:r>
        <w:t>Metadata attributes are used to provide additional information for each of the schema children of the Content Type Schemas (</w:t>
      </w:r>
      <w:hyperlink w:anchor="Section_acb43eb342e64ae998cacd04346b080a">
        <w:r>
          <w:rPr>
            <w:rStyle w:val="Hyperlink"/>
          </w:rPr>
          <w:t>§3.5.2.1, Content Type Schemas Schema</w:t>
        </w:r>
      </w:hyperlink>
      <w:r>
        <w:t>).</w:t>
      </w:r>
    </w:p>
    <w:p w:rsidR="005F78FC" w:rsidRDefault="00B42EF3">
      <w:pPr>
        <w:pStyle w:val="Heading5"/>
      </w:pPr>
      <w:bookmarkStart w:id="4081" w:name="section_83c200b15a6944308fe6adc3583034a2"/>
      <w:bookmarkStart w:id="4082" w:name="_Toc69879813"/>
      <w:r>
        <w:t>Shared Attributes (Content Type Schemas)</w:t>
      </w:r>
      <w:bookmarkEnd w:id="4081"/>
      <w:bookmarkEnd w:id="4082"/>
      <w:r>
        <w:fldChar w:fldCharType="begin"/>
      </w:r>
      <w:r>
        <w:instrText xml:space="preserve"> XE "Shared Attributes (Content Type Schemas)" </w:instrText>
      </w:r>
      <w:r>
        <w:fldChar w:fldCharType="end"/>
      </w:r>
    </w:p>
    <w:p w:rsidR="005F78FC" w:rsidRDefault="00B42EF3">
      <w:r>
        <w:t>The schemas referred to here (including the root schema and core schema) are the child schemas described in Content Type S</w:t>
      </w:r>
      <w:r>
        <w:t>chemas (§</w:t>
      </w:r>
      <w:hyperlink w:anchor="Section_acb43eb342e64ae998cacd04346b080a">
        <w:r>
          <w:rPr>
            <w:rStyle w:val="Hyperlink"/>
          </w:rPr>
          <w:t>3.5.2.1, Content Type Schemas Schema</w:t>
        </w:r>
      </w:hyperlink>
      <w:r>
        <w:t>, 3.5.2.1, Content Type Schemas Schema).</w:t>
      </w:r>
    </w:p>
    <w:tbl>
      <w:tblPr>
        <w:tblStyle w:val="Table-ShadedHeader"/>
        <w:tblW w:w="0" w:type="auto"/>
        <w:tblLook w:val="04A0" w:firstRow="1" w:lastRow="0" w:firstColumn="1" w:lastColumn="0" w:noHBand="0" w:noVBand="1"/>
      </w:tblPr>
      <w:tblGrid>
        <w:gridCol w:w="1989"/>
        <w:gridCol w:w="7486"/>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Attributes</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rPr>
                <w:b/>
              </w:rPr>
              <w:t>anchorId</w:t>
            </w:r>
            <w:r>
              <w:t xml:space="preserve"> (Anchor Term ID)</w:t>
            </w:r>
          </w:p>
        </w:tc>
        <w:tc>
          <w:tcPr>
            <w:tcW w:w="0" w:type="auto"/>
            <w:vAlign w:val="center"/>
          </w:tcPr>
          <w:p w:rsidR="005F78FC" w:rsidRDefault="00B42EF3">
            <w:pPr>
              <w:pStyle w:val="TableBodyText"/>
            </w:pPr>
            <w:r>
              <w:t xml:space="preserve">Specifies the term which parents all terms that may be </w:t>
            </w:r>
            <w:r>
              <w:t>selected as a valid value for the property corresponding to this xsd:element.</w:t>
            </w:r>
          </w:p>
          <w:p w:rsidR="005F78FC" w:rsidRDefault="005F78FC">
            <w:pPr>
              <w:pStyle w:val="TableBodyText"/>
            </w:pPr>
          </w:p>
          <w:p w:rsidR="005F78FC" w:rsidRDefault="00B42EF3">
            <w:pPr>
              <w:pStyle w:val="TableBodyText"/>
            </w:pPr>
            <w:r>
              <w:t xml:space="preserve">If set to "00000000-0000-0000-0000-000000000000", specifies that all terms in the term set specified by the termSetId attribute MUST be treated as valid values for the property </w:t>
            </w:r>
            <w:r>
              <w:t>corresponding to this xsd:element.</w:t>
            </w:r>
          </w:p>
          <w:p w:rsidR="005F78FC" w:rsidRDefault="005F78FC">
            <w:pPr>
              <w:pStyle w:val="TableBodyText"/>
            </w:pPr>
          </w:p>
          <w:p w:rsidR="005F78FC" w:rsidRDefault="00B42EF3">
            <w:pPr>
              <w:pStyle w:val="TableBodyText"/>
            </w:pPr>
            <w:r>
              <w:t>MUST be present on xsd:elements for which the taxonomy attribute is set to "true".</w:t>
            </w:r>
          </w:p>
          <w:p w:rsidR="005F78FC" w:rsidRDefault="00B42EF3">
            <w:pPr>
              <w:pStyle w:val="TableBodyText"/>
            </w:pPr>
            <w:r>
              <w:t xml:space="preserve">If applied to any other element, this attribute MUST be ignored. </w:t>
            </w:r>
          </w:p>
          <w:p w:rsidR="005F78FC" w:rsidRDefault="005F78FC">
            <w:pPr>
              <w:pStyle w:val="TableBodyText"/>
            </w:pPr>
          </w:p>
          <w:p w:rsidR="005F78FC" w:rsidRDefault="00B42EF3">
            <w:pPr>
              <w:pStyle w:val="TableBodyText"/>
            </w:pPr>
            <w:r>
              <w:t>The possible values for this attribute are defined by the ST_UniqueIde</w:t>
            </w:r>
            <w:r>
              <w:t>ntifierWithoutBraces simple type (§</w:t>
            </w:r>
            <w:hyperlink w:anchor="Section_ab99726155c24ba4b3b99819b200389d">
              <w:r>
                <w:rPr>
                  <w:rStyle w:val="Hyperlink"/>
                </w:rPr>
                <w:t>3.5.2.2.2.5, ST_UniqueIdentifierWithoutBraces</w:t>
              </w:r>
            </w:hyperlink>
            <w:r>
              <w:t>).</w:t>
            </w:r>
          </w:p>
        </w:tc>
      </w:tr>
      <w:tr w:rsidR="005F78FC" w:rsidTr="005F78FC">
        <w:tc>
          <w:tcPr>
            <w:tcW w:w="0" w:type="auto"/>
            <w:vAlign w:val="center"/>
          </w:tcPr>
          <w:p w:rsidR="005F78FC" w:rsidRDefault="00B42EF3">
            <w:pPr>
              <w:pStyle w:val="TableBodyText"/>
            </w:pPr>
            <w:r>
              <w:rPr>
                <w:b/>
              </w:rPr>
              <w:t>decimals</w:t>
            </w:r>
            <w:r>
              <w:t xml:space="preserve"> (Decimal Digits)</w:t>
            </w:r>
          </w:p>
        </w:tc>
        <w:tc>
          <w:tcPr>
            <w:tcW w:w="0" w:type="auto"/>
            <w:vAlign w:val="center"/>
          </w:tcPr>
          <w:p w:rsidR="005F78FC" w:rsidRDefault="00B42EF3">
            <w:pPr>
              <w:pStyle w:val="TableBodyText"/>
            </w:pPr>
            <w:r>
              <w:t xml:space="preserve">Specifies the number of fractional digits to display on the property editing surface for the property corresponding to an </w:t>
            </w:r>
            <w:r>
              <w:rPr>
                <w:b/>
              </w:rPr>
              <w:t>xsd:element</w:t>
            </w:r>
            <w:r>
              <w:t xml:space="preserve"> in a schema other than the root schema whose content model is an </w:t>
            </w:r>
            <w:r>
              <w:rPr>
                <w:b/>
              </w:rPr>
              <w:t>xsd:restriction</w:t>
            </w:r>
            <w:r>
              <w:t xml:space="preserve"> based on {http://schemas.microsoft.com/of</w:t>
            </w:r>
            <w:r>
              <w:t>fice/2006/documentManagement/types}Currency or {http://schemas.microsoft.com/office/2006/documentManagement/types}Number.</w:t>
            </w:r>
          </w:p>
          <w:p w:rsidR="005F78FC" w:rsidRDefault="005F78FC">
            <w:pPr>
              <w:pStyle w:val="TableBodyText"/>
            </w:pPr>
          </w:p>
          <w:p w:rsidR="005F78FC" w:rsidRDefault="00B42EF3">
            <w:pPr>
              <w:pStyle w:val="TableBodyText"/>
            </w:pPr>
            <w:r>
              <w:t xml:space="preserve">Office handles the integer values </w:t>
            </w:r>
            <w:r>
              <w:rPr>
                <w:i/>
              </w:rPr>
              <w:t>0</w:t>
            </w:r>
            <w:r>
              <w:t>-</w:t>
            </w:r>
            <w:r>
              <w:rPr>
                <w:i/>
              </w:rPr>
              <w:t>9</w:t>
            </w:r>
            <w:r>
              <w:t xml:space="preserve"> and </w:t>
            </w:r>
            <w:r>
              <w:rPr>
                <w:i/>
              </w:rPr>
              <w:t>auto</w:t>
            </w:r>
            <w:r>
              <w:t>.</w:t>
            </w:r>
          </w:p>
          <w:p w:rsidR="005F78FC" w:rsidRDefault="005F78FC">
            <w:pPr>
              <w:pStyle w:val="TableBodyText"/>
            </w:pPr>
          </w:p>
          <w:p w:rsidR="005F78FC" w:rsidRDefault="00B42EF3">
            <w:pPr>
              <w:pStyle w:val="TableBodyText"/>
            </w:pPr>
            <w:r>
              <w:t>If applied to any other element, this attribute should be ignored.</w:t>
            </w:r>
          </w:p>
          <w:p w:rsidR="005F78FC" w:rsidRDefault="005F78FC">
            <w:pPr>
              <w:pStyle w:val="TableBodyText"/>
            </w:pPr>
          </w:p>
          <w:p w:rsidR="005F78FC" w:rsidRDefault="00B42EF3">
            <w:pPr>
              <w:pStyle w:val="TableBodyText"/>
            </w:pPr>
            <w:r>
              <w:t>The possible val</w:t>
            </w:r>
            <w:r>
              <w:t>ues for this attribute are defined by the XML Schema string datatype.</w:t>
            </w:r>
          </w:p>
        </w:tc>
      </w:tr>
      <w:tr w:rsidR="005F78FC" w:rsidTr="005F78FC">
        <w:tc>
          <w:tcPr>
            <w:tcW w:w="0" w:type="auto"/>
            <w:vAlign w:val="center"/>
          </w:tcPr>
          <w:p w:rsidR="005F78FC" w:rsidRDefault="00B42EF3">
            <w:pPr>
              <w:pStyle w:val="TableBodyText"/>
            </w:pPr>
            <w:r>
              <w:rPr>
                <w:b/>
              </w:rPr>
              <w:t>default</w:t>
            </w:r>
            <w:r>
              <w:t xml:space="preserve"> (Default </w:t>
            </w:r>
            <w:r>
              <w:lastRenderedPageBreak/>
              <w:t>Value)</w:t>
            </w:r>
          </w:p>
        </w:tc>
        <w:tc>
          <w:tcPr>
            <w:tcW w:w="0" w:type="auto"/>
            <w:vAlign w:val="center"/>
          </w:tcPr>
          <w:p w:rsidR="005F78FC" w:rsidRDefault="00B42EF3">
            <w:pPr>
              <w:pStyle w:val="TableBodyText"/>
            </w:pPr>
            <w:r>
              <w:lastRenderedPageBreak/>
              <w:t xml:space="preserve">When applied to an </w:t>
            </w:r>
            <w:r>
              <w:rPr>
                <w:b/>
              </w:rPr>
              <w:t>xsd:element</w:t>
            </w:r>
            <w:r>
              <w:t xml:space="preserve"> in a schema other than the root schema or the core </w:t>
            </w:r>
            <w:r>
              <w:lastRenderedPageBreak/>
              <w:t xml:space="preserve">schema, specifies the initial value of the property corresponding to the </w:t>
            </w:r>
            <w:r>
              <w:rPr>
                <w:b/>
              </w:rPr>
              <w:t>xsd:el</w:t>
            </w:r>
            <w:r>
              <w:rPr>
                <w:b/>
              </w:rPr>
              <w:t>ement</w:t>
            </w:r>
            <w:r>
              <w:t>.</w:t>
            </w:r>
          </w:p>
          <w:p w:rsidR="005F78FC" w:rsidRDefault="005F78FC">
            <w:pPr>
              <w:pStyle w:val="TableBodyText"/>
            </w:pPr>
          </w:p>
          <w:p w:rsidR="005F78FC" w:rsidRDefault="00B42EF3">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{http://schemas.microsoft.com/office/2006/documentManagement/types}DateTime, if set to </w:t>
            </w:r>
            <w:r>
              <w:rPr>
                <w:i/>
              </w:rPr>
              <w:t>[today]</w:t>
            </w:r>
            <w:r>
              <w:t>, specifies that t</w:t>
            </w:r>
            <w:r>
              <w:t xml:space="preserve">he initial value of the property corresponding to the </w:t>
            </w:r>
            <w:r>
              <w:rPr>
                <w:b/>
              </w:rPr>
              <w:t>xsd:element</w:t>
            </w:r>
            <w:r>
              <w:t xml:space="preserve"> should be set to the current date and time. </w:t>
            </w:r>
          </w:p>
          <w:p w:rsidR="005F78FC" w:rsidRDefault="005F78FC">
            <w:pPr>
              <w:pStyle w:val="TableBodyText"/>
            </w:pPr>
          </w:p>
          <w:p w:rsidR="005F78FC" w:rsidRDefault="00B42EF3">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{http://schemas.microsoft.com/office/2006/documentManagement/types}Boolean, Office interprets </w:t>
            </w:r>
            <w:r>
              <w:rPr>
                <w:i/>
              </w:rPr>
              <w:t>1</w:t>
            </w:r>
            <w:r>
              <w:t xml:space="preserve"> as logical true and all other values as logical false in determining the initial value of the property corresponding to this xsd:element.</w:t>
            </w:r>
          </w:p>
          <w:p w:rsidR="005F78FC" w:rsidRDefault="005F78FC">
            <w:pPr>
              <w:pStyle w:val="TableBodyText"/>
            </w:pPr>
          </w:p>
          <w:p w:rsidR="005F78FC" w:rsidRDefault="00B42EF3">
            <w:pPr>
              <w:pStyle w:val="TableBodyText"/>
            </w:pPr>
            <w:r>
              <w:t xml:space="preserve">If applied </w:t>
            </w:r>
            <w:r>
              <w:t>to any other element, this attribute should be ignored.</w:t>
            </w:r>
          </w:p>
          <w:p w:rsidR="005F78FC" w:rsidRDefault="005F78FC">
            <w:pPr>
              <w:pStyle w:val="TableBodyText"/>
            </w:pPr>
          </w:p>
          <w:p w:rsidR="005F78FC" w:rsidRDefault="00B42EF3">
            <w:pPr>
              <w:pStyle w:val="TableBodyText"/>
            </w:pPr>
            <w:r>
              <w:t>The possible values for this attribute are defined by the XML Schema string datatype.</w:t>
            </w:r>
          </w:p>
        </w:tc>
      </w:tr>
      <w:tr w:rsidR="005F78FC" w:rsidTr="005F78FC">
        <w:tc>
          <w:tcPr>
            <w:tcW w:w="0" w:type="auto"/>
            <w:vAlign w:val="center"/>
          </w:tcPr>
          <w:p w:rsidR="005F78FC" w:rsidRDefault="00B42EF3">
            <w:pPr>
              <w:pStyle w:val="TableBodyText"/>
            </w:pPr>
            <w:r>
              <w:rPr>
                <w:b/>
              </w:rPr>
              <w:lastRenderedPageBreak/>
              <w:t>description</w:t>
            </w:r>
            <w:r>
              <w:t xml:space="preserve"> (Description)</w:t>
            </w:r>
          </w:p>
        </w:tc>
        <w:tc>
          <w:tcPr>
            <w:tcW w:w="0" w:type="auto"/>
            <w:vAlign w:val="center"/>
          </w:tcPr>
          <w:p w:rsidR="005F78FC" w:rsidRDefault="00B42EF3">
            <w:pPr>
              <w:pStyle w:val="TableBodyText"/>
            </w:pPr>
            <w:r>
              <w:t xml:space="preserve">When applied to an </w:t>
            </w:r>
            <w:r>
              <w:rPr>
                <w:b/>
              </w:rPr>
              <w:t>xsd:element</w:t>
            </w:r>
            <w:r>
              <w:t xml:space="preserve"> in a schema other than the root schema, specifies infor</w:t>
            </w:r>
            <w:r>
              <w:t xml:space="preserve">mation displayed as a part of the tooltip on the property editing surface for the property corresponding to this </w:t>
            </w:r>
            <w:r>
              <w:rPr>
                <w:b/>
              </w:rPr>
              <w:t>xsd:element</w:t>
            </w:r>
            <w:r>
              <w:t>.</w:t>
            </w:r>
          </w:p>
          <w:p w:rsidR="005F78FC" w:rsidRDefault="005F78FC">
            <w:pPr>
              <w:pStyle w:val="TableBodyText"/>
            </w:pPr>
          </w:p>
          <w:p w:rsidR="005F78FC" w:rsidRDefault="00B42EF3">
            <w:pPr>
              <w:pStyle w:val="TableBodyText"/>
            </w:pPr>
            <w:r>
              <w:t>Office displays the first 512 characters of the concatenation of the property name, the ": " delimiter, and the description as th</w:t>
            </w:r>
            <w:r>
              <w:t>e tooltip.</w:t>
            </w:r>
          </w:p>
          <w:p w:rsidR="005F78FC" w:rsidRDefault="005F78FC">
            <w:pPr>
              <w:pStyle w:val="TableBodyText"/>
            </w:pPr>
          </w:p>
          <w:p w:rsidR="005F78FC" w:rsidRDefault="00B42EF3">
            <w:pPr>
              <w:pStyle w:val="TableBodyText"/>
            </w:pPr>
            <w:r>
              <w:t>If applied to any other element, this attribute should be ignored.</w:t>
            </w:r>
          </w:p>
          <w:p w:rsidR="005F78FC" w:rsidRDefault="005F78FC">
            <w:pPr>
              <w:pStyle w:val="TableBodyText"/>
            </w:pPr>
          </w:p>
          <w:p w:rsidR="005F78FC" w:rsidRDefault="00B42EF3">
            <w:pPr>
              <w:pStyle w:val="TableBodyText"/>
            </w:pPr>
            <w:r>
              <w:t>The possible values for this attribute are defined by the XML Schema string datatype.</w:t>
            </w:r>
          </w:p>
        </w:tc>
      </w:tr>
      <w:tr w:rsidR="005F78FC" w:rsidTr="005F78FC">
        <w:tc>
          <w:tcPr>
            <w:tcW w:w="0" w:type="auto"/>
            <w:vAlign w:val="center"/>
          </w:tcPr>
          <w:p w:rsidR="005F78FC" w:rsidRDefault="00B42EF3">
            <w:pPr>
              <w:pStyle w:val="TableBodyText"/>
            </w:pPr>
            <w:r>
              <w:rPr>
                <w:b/>
              </w:rPr>
              <w:t>displayName</w:t>
            </w:r>
            <w:r>
              <w:t xml:space="preserve"> (Display Name)</w:t>
            </w:r>
          </w:p>
        </w:tc>
        <w:tc>
          <w:tcPr>
            <w:tcW w:w="0" w:type="auto"/>
            <w:vAlign w:val="center"/>
          </w:tcPr>
          <w:p w:rsidR="005F78FC" w:rsidRDefault="00B42EF3">
            <w:pPr>
              <w:pStyle w:val="TableBodyText"/>
            </w:pPr>
            <w:r>
              <w:t xml:space="preserve">When applied to an </w:t>
            </w:r>
            <w:r>
              <w:rPr>
                <w:b/>
              </w:rPr>
              <w:t>xsd:element</w:t>
            </w:r>
            <w:r>
              <w:t xml:space="preserve"> in a schema other than the root</w:t>
            </w:r>
            <w:r>
              <w:t xml:space="preserve"> schema or core schema, specifies the text displayed on the property editing surface and as a part of the tooltip for the property corresponding to the </w:t>
            </w:r>
            <w:r>
              <w:rPr>
                <w:b/>
              </w:rPr>
              <w:t>xsd:element</w:t>
            </w:r>
            <w:r>
              <w:t>.</w:t>
            </w:r>
          </w:p>
          <w:p w:rsidR="005F78FC" w:rsidRDefault="005F78FC">
            <w:pPr>
              <w:pStyle w:val="TableBodyText"/>
            </w:pPr>
          </w:p>
          <w:p w:rsidR="005F78FC" w:rsidRDefault="00B42EF3">
            <w:pPr>
              <w:pStyle w:val="TableBodyText"/>
            </w:pPr>
            <w:r>
              <w:t>If applied to any other element, this attribute should be ignored.</w:t>
            </w:r>
          </w:p>
          <w:p w:rsidR="005F78FC" w:rsidRDefault="005F78FC">
            <w:pPr>
              <w:pStyle w:val="TableBodyText"/>
            </w:pPr>
          </w:p>
          <w:p w:rsidR="005F78FC" w:rsidRDefault="00B42EF3">
            <w:pPr>
              <w:pStyle w:val="TableBodyText"/>
            </w:pPr>
            <w:r>
              <w:t>The possible values fo</w:t>
            </w:r>
            <w:r>
              <w:t>r this attribute are defined by the XML Schema string datatype.</w:t>
            </w:r>
          </w:p>
        </w:tc>
      </w:tr>
      <w:tr w:rsidR="005F78FC" w:rsidTr="005F78FC">
        <w:tc>
          <w:tcPr>
            <w:tcW w:w="0" w:type="auto"/>
            <w:vAlign w:val="center"/>
          </w:tcPr>
          <w:p w:rsidR="005F78FC" w:rsidRDefault="00B42EF3">
            <w:pPr>
              <w:pStyle w:val="TableBodyText"/>
            </w:pPr>
            <w:r>
              <w:rPr>
                <w:b/>
              </w:rPr>
              <w:t>fieldId</w:t>
            </w:r>
            <w:r>
              <w:t xml:space="preserve"> (Taxonomy Field ID)</w:t>
            </w:r>
          </w:p>
        </w:tc>
        <w:tc>
          <w:tcPr>
            <w:tcW w:w="0" w:type="auto"/>
            <w:vAlign w:val="center"/>
          </w:tcPr>
          <w:p w:rsidR="005F78FC" w:rsidRDefault="00B42EF3">
            <w:pPr>
              <w:pStyle w:val="TableBodyText"/>
            </w:pPr>
            <w:r>
              <w:t>Specifies a unique identifier for the field.</w:t>
            </w:r>
          </w:p>
          <w:p w:rsidR="005F78FC" w:rsidRDefault="005F78FC">
            <w:pPr>
              <w:pStyle w:val="TableBodyText"/>
            </w:pPr>
          </w:p>
          <w:p w:rsidR="005F78FC" w:rsidRDefault="00B42EF3">
            <w:pPr>
              <w:pStyle w:val="TableBodyText"/>
            </w:pPr>
            <w:r>
              <w:t>MUST be present on xsd:elements for which the taxonomy attribute is set to "true".</w:t>
            </w:r>
          </w:p>
          <w:p w:rsidR="005F78FC" w:rsidRDefault="005F78FC">
            <w:pPr>
              <w:pStyle w:val="TableBodyText"/>
            </w:pPr>
          </w:p>
          <w:p w:rsidR="005F78FC" w:rsidRDefault="00B42EF3">
            <w:pPr>
              <w:pStyle w:val="TableBodyText"/>
            </w:pPr>
            <w:r>
              <w:t xml:space="preserve">If applied to any other element, </w:t>
            </w:r>
            <w:r>
              <w:t>this attribute MUST be ignored.</w:t>
            </w:r>
          </w:p>
          <w:p w:rsidR="005F78FC" w:rsidRDefault="005F78FC">
            <w:pPr>
              <w:pStyle w:val="TableBodyText"/>
            </w:pPr>
          </w:p>
          <w:p w:rsidR="005F78FC" w:rsidRDefault="00B42EF3">
            <w:pPr>
              <w:pStyle w:val="TableBodyText"/>
            </w:pPr>
            <w:r>
              <w:t>The possible values for this attribute are defined by the ST_UniqueIdentifier simple type (§</w:t>
            </w:r>
            <w:hyperlink w:anchor="Section_248f1259824c4068a4ed5c90c1b17f5f">
              <w:r>
                <w:rPr>
                  <w:rStyle w:val="Hyperlink"/>
                </w:rPr>
                <w:t>3.5.2.2.2.4, ST_UniqueIdentifier ()</w:t>
              </w:r>
            </w:hyperlink>
            <w:r>
              <w:t>).</w:t>
            </w:r>
          </w:p>
        </w:tc>
      </w:tr>
      <w:tr w:rsidR="005F78FC" w:rsidTr="005F78FC">
        <w:tc>
          <w:tcPr>
            <w:tcW w:w="0" w:type="auto"/>
            <w:vAlign w:val="center"/>
          </w:tcPr>
          <w:p w:rsidR="005F78FC" w:rsidRDefault="00B42EF3">
            <w:pPr>
              <w:pStyle w:val="TableBodyText"/>
            </w:pPr>
            <w:r>
              <w:rPr>
                <w:b/>
              </w:rPr>
              <w:t>fieldsID</w:t>
            </w:r>
            <w:r>
              <w:t xml:space="preserve"> (Fields ID)</w:t>
            </w:r>
          </w:p>
        </w:tc>
        <w:tc>
          <w:tcPr>
            <w:tcW w:w="0" w:type="auto"/>
            <w:vAlign w:val="center"/>
          </w:tcPr>
          <w:p w:rsidR="005F78FC" w:rsidRDefault="00B42EF3">
            <w:pPr>
              <w:pStyle w:val="TableBodyText"/>
            </w:pPr>
            <w:r>
              <w:t xml:space="preserve">This </w:t>
            </w:r>
            <w:r>
              <w:t>attribute should be ignored.</w:t>
            </w:r>
          </w:p>
          <w:p w:rsidR="005F78FC" w:rsidRDefault="005F78FC">
            <w:pPr>
              <w:pStyle w:val="TableBodyText"/>
            </w:pPr>
          </w:p>
          <w:p w:rsidR="005F78FC" w:rsidRDefault="00B42EF3">
            <w:pPr>
              <w:pStyle w:val="TableBodyText"/>
            </w:pPr>
            <w:r>
              <w:t>The possible values for this attribute are defined by the XML Schema string datatype.</w:t>
            </w:r>
          </w:p>
        </w:tc>
      </w:tr>
      <w:tr w:rsidR="005F78FC" w:rsidTr="005F78FC">
        <w:tc>
          <w:tcPr>
            <w:tcW w:w="0" w:type="auto"/>
            <w:vAlign w:val="center"/>
          </w:tcPr>
          <w:p w:rsidR="005F78FC" w:rsidRDefault="00B42EF3">
            <w:pPr>
              <w:pStyle w:val="TableBodyText"/>
            </w:pPr>
            <w:r>
              <w:rPr>
                <w:b/>
              </w:rPr>
              <w:t>format</w:t>
            </w:r>
            <w:r>
              <w:t xml:space="preserve"> (Format)</w:t>
            </w:r>
          </w:p>
        </w:tc>
        <w:tc>
          <w:tcPr>
            <w:tcW w:w="0" w:type="auto"/>
            <w:vAlign w:val="center"/>
          </w:tcPr>
          <w:p w:rsidR="005F78FC" w:rsidRDefault="00B42EF3">
            <w:pPr>
              <w:pStyle w:val="TableBodyText"/>
            </w:pPr>
            <w:r>
              <w:t xml:space="preserve">When applied to an </w:t>
            </w:r>
            <w:r>
              <w:rPr>
                <w:b/>
              </w:rPr>
              <w:t>xsd:element</w:t>
            </w:r>
            <w:r>
              <w:t xml:space="preserve"> in a schema other than the root schema or core schema whose content model is an </w:t>
            </w:r>
            <w:r>
              <w:rPr>
                <w:b/>
              </w:rPr>
              <w:t>xsd:restrict</w:t>
            </w:r>
            <w:r>
              <w:rPr>
                <w:b/>
              </w:rPr>
              <w:t>ion</w:t>
            </w:r>
            <w:r>
              <w:t xml:space="preserve"> based on {http://schemas.microsoft.com/office/2006/documentManagement/types}DateTime, if set to </w:t>
            </w:r>
            <w:r>
              <w:rPr>
                <w:i/>
              </w:rPr>
              <w:t>DateTime</w:t>
            </w:r>
            <w:r>
              <w:t xml:space="preserve">, specifies that the property value displayed in the property editing surface for the property corresponding to this </w:t>
            </w:r>
            <w:r>
              <w:rPr>
                <w:b/>
              </w:rPr>
              <w:t>xsd:element</w:t>
            </w:r>
            <w:r>
              <w:t xml:space="preserve"> should include both</w:t>
            </w:r>
            <w:r>
              <w:t xml:space="preserve"> the date </w:t>
            </w:r>
            <w:r>
              <w:lastRenderedPageBreak/>
              <w:t xml:space="preserve">and time, and if not present or set to any other value, specifies that the property value displayed in the property editing surface for the property corresponding to this </w:t>
            </w:r>
            <w:r>
              <w:rPr>
                <w:b/>
              </w:rPr>
              <w:t>xsd:element</w:t>
            </w:r>
            <w:r>
              <w:t xml:space="preserve"> should include only the date. </w:t>
            </w:r>
          </w:p>
          <w:p w:rsidR="005F78FC" w:rsidRDefault="005F78FC">
            <w:pPr>
              <w:pStyle w:val="TableBodyText"/>
            </w:pPr>
          </w:p>
          <w:p w:rsidR="005F78FC" w:rsidRDefault="00B42EF3">
            <w:pPr>
              <w:pStyle w:val="TableBodyText"/>
            </w:pPr>
            <w:r>
              <w:t>If applied to any other element</w:t>
            </w:r>
            <w:r>
              <w:t>, this attribute should be ignored.</w:t>
            </w:r>
          </w:p>
          <w:p w:rsidR="005F78FC" w:rsidRDefault="005F78FC">
            <w:pPr>
              <w:pStyle w:val="TableBodyText"/>
            </w:pPr>
          </w:p>
          <w:p w:rsidR="005F78FC" w:rsidRDefault="00B42EF3">
            <w:pPr>
              <w:pStyle w:val="TableBodyText"/>
            </w:pPr>
            <w:r>
              <w:t>The possible values for this attribute are defined by the XML Schema string datatype.</w:t>
            </w:r>
          </w:p>
        </w:tc>
      </w:tr>
      <w:tr w:rsidR="005F78FC" w:rsidTr="005F78FC">
        <w:tc>
          <w:tcPr>
            <w:tcW w:w="0" w:type="auto"/>
            <w:vAlign w:val="center"/>
          </w:tcPr>
          <w:p w:rsidR="005F78FC" w:rsidRDefault="00B42EF3">
            <w:pPr>
              <w:pStyle w:val="TableBodyText"/>
            </w:pPr>
            <w:r>
              <w:rPr>
                <w:b/>
              </w:rPr>
              <w:lastRenderedPageBreak/>
              <w:t>hidden</w:t>
            </w:r>
            <w:r>
              <w:t xml:space="preserve"> (Hidden)</w:t>
            </w:r>
          </w:p>
        </w:tc>
        <w:tc>
          <w:tcPr>
            <w:tcW w:w="0" w:type="auto"/>
            <w:vAlign w:val="center"/>
          </w:tcPr>
          <w:p w:rsidR="005F78FC" w:rsidRDefault="00B42EF3">
            <w:pPr>
              <w:pStyle w:val="TableBodyText"/>
            </w:pPr>
            <w:r>
              <w:t xml:space="preserve">When applied to an </w:t>
            </w:r>
            <w:r>
              <w:rPr>
                <w:b/>
              </w:rPr>
              <w:t>xsd:element</w:t>
            </w:r>
            <w:r>
              <w:t xml:space="preserve"> in a schema other than the root schema or core schema, if set to </w:t>
            </w:r>
            <w:r>
              <w:rPr>
                <w:i/>
              </w:rPr>
              <w:t>true</w:t>
            </w:r>
            <w:r>
              <w:t>, specifies that</w:t>
            </w:r>
            <w:r>
              <w:t xml:space="preserve"> the property corresponding to this </w:t>
            </w:r>
            <w:r>
              <w:rPr>
                <w:b/>
              </w:rPr>
              <w:t>xsd:element</w:t>
            </w:r>
            <w:r>
              <w:t xml:space="preserve"> should not be presented for editing on the property editing surface.</w:t>
            </w:r>
          </w:p>
          <w:p w:rsidR="005F78FC" w:rsidRDefault="005F78FC">
            <w:pPr>
              <w:pStyle w:val="TableBodyText"/>
            </w:pPr>
          </w:p>
          <w:p w:rsidR="005F78FC" w:rsidRDefault="00B42EF3">
            <w:pPr>
              <w:pStyle w:val="TableBodyText"/>
            </w:pPr>
            <w:r>
              <w:t>If applied to any other element, this attribute should be ignored.</w:t>
            </w:r>
          </w:p>
          <w:p w:rsidR="005F78FC" w:rsidRDefault="005F78FC">
            <w:pPr>
              <w:pStyle w:val="TableBodyText"/>
            </w:pPr>
          </w:p>
          <w:p w:rsidR="005F78FC" w:rsidRDefault="00B42EF3">
            <w:pPr>
              <w:pStyle w:val="TableBodyText"/>
            </w:pPr>
            <w:r>
              <w:t xml:space="preserve">The possible values for this attribute are defined by the XML Schema </w:t>
            </w:r>
            <w:r>
              <w:t>string datatype.</w:t>
            </w:r>
          </w:p>
        </w:tc>
      </w:tr>
      <w:tr w:rsidR="005F78FC" w:rsidTr="005F78FC">
        <w:tc>
          <w:tcPr>
            <w:tcW w:w="0" w:type="auto"/>
            <w:vAlign w:val="center"/>
          </w:tcPr>
          <w:p w:rsidR="005F78FC" w:rsidRDefault="00B42EF3">
            <w:pPr>
              <w:pStyle w:val="TableBodyText"/>
            </w:pPr>
            <w:r>
              <w:rPr>
                <w:b/>
              </w:rPr>
              <w:t>index</w:t>
            </w:r>
            <w:r>
              <w:t xml:space="preserve"> (Ordering Index)</w:t>
            </w:r>
          </w:p>
        </w:tc>
        <w:tc>
          <w:tcPr>
            <w:tcW w:w="0" w:type="auto"/>
            <w:vAlign w:val="center"/>
          </w:tcPr>
          <w:p w:rsidR="005F78FC" w:rsidRDefault="00B42EF3">
            <w:pPr>
              <w:pStyle w:val="TableBodyText"/>
            </w:pPr>
            <w:r>
              <w:t xml:space="preserve">The value of this attribute is used to determine the ordering on a property editing surface of </w:t>
            </w:r>
            <w:r>
              <w:rPr>
                <w:b/>
              </w:rPr>
              <w:t>xsd:element</w:t>
            </w:r>
            <w:r>
              <w:t xml:space="preserve">s bearing this attribute from schemas other than the root schema. First, the </w:t>
            </w:r>
            <w:r>
              <w:rPr>
                <w:b/>
              </w:rPr>
              <w:t>xsd:element</w:t>
            </w:r>
            <w:r>
              <w:t>s are broken into gro</w:t>
            </w:r>
            <w:r>
              <w:t xml:space="preserve">ups, as follows. The first group is composed of any </w:t>
            </w:r>
            <w:r>
              <w:rPr>
                <w:b/>
              </w:rPr>
              <w:t>xsd:element</w:t>
            </w:r>
            <w:r>
              <w:t xml:space="preserve"> that:</w:t>
            </w:r>
          </w:p>
          <w:p w:rsidR="005F78FC" w:rsidRDefault="00B42EF3">
            <w:pPr>
              <w:pStyle w:val="ListParagraph"/>
              <w:numPr>
                <w:ilvl w:val="0"/>
                <w:numId w:val="211"/>
              </w:numPr>
            </w:pPr>
            <w:r>
              <w:t xml:space="preserve">is not the </w:t>
            </w:r>
            <w:r>
              <w:rPr>
                <w:b/>
              </w:rPr>
              <w:t>description</w:t>
            </w:r>
            <w:r>
              <w:t xml:space="preserve"> element in the core properties, and</w:t>
            </w:r>
          </w:p>
          <w:p w:rsidR="005F78FC" w:rsidRDefault="00B42EF3">
            <w:pPr>
              <w:pStyle w:val="ListParagraph"/>
              <w:numPr>
                <w:ilvl w:val="0"/>
                <w:numId w:val="212"/>
              </w:numPr>
            </w:pPr>
            <w:r>
              <w:t>is not a simpleType restriction based on {http://schemas.microsoft.com/office/2006/documentManagement/types}Note, and</w:t>
            </w:r>
          </w:p>
          <w:p w:rsidR="005F78FC" w:rsidRDefault="00B42EF3">
            <w:pPr>
              <w:pStyle w:val="ListParagraph"/>
              <w:numPr>
                <w:ilvl w:val="0"/>
                <w:numId w:val="213"/>
              </w:numPr>
            </w:pPr>
            <w:r>
              <w:t xml:space="preserve">is not a </w:t>
            </w:r>
            <w:r>
              <w:t>complex content based on any of {http://schemas.microsoft.com/office/2006/documentManagement/types}MultiChoice, {http://schemas.microsoft.com/office/2006/documentManagement/types}MultiChoiceFillIn, or {http://schemas.microsoft.com/office/2006/documentManag</w:t>
            </w:r>
            <w:r>
              <w:t>ement/types}MultiChoiceLookup.</w:t>
            </w:r>
          </w:p>
          <w:p w:rsidR="005F78FC" w:rsidRDefault="00B42EF3">
            <w:pPr>
              <w:pStyle w:val="TableBodyText"/>
            </w:pPr>
            <w:r>
              <w:t xml:space="preserve">The second group is composed of the remaining </w:t>
            </w:r>
            <w:r>
              <w:rPr>
                <w:b/>
              </w:rPr>
              <w:t>xsd:element</w:t>
            </w:r>
            <w:r>
              <w:t>s bearing this attribute from schemas other than the root schema. Within each group the order of the index attribute values is ascending.</w:t>
            </w:r>
          </w:p>
          <w:p w:rsidR="005F78FC" w:rsidRDefault="005F78FC">
            <w:pPr>
              <w:pStyle w:val="TableBodyText"/>
            </w:pPr>
          </w:p>
          <w:p w:rsidR="005F78FC" w:rsidRDefault="00B42EF3">
            <w:pPr>
              <w:pStyle w:val="TableBodyText"/>
            </w:pPr>
            <w:r>
              <w:t xml:space="preserve">If an </w:t>
            </w:r>
            <w:r>
              <w:rPr>
                <w:b/>
              </w:rPr>
              <w:t>xsd:element</w:t>
            </w:r>
            <w:r>
              <w:t xml:space="preserve"> in a schema</w:t>
            </w:r>
            <w:r>
              <w:t xml:space="preserve"> other than the root schema or core schema does not have this attribute, it will not be presented to the user for editing on the property editing surface.</w:t>
            </w:r>
          </w:p>
          <w:p w:rsidR="005F78FC" w:rsidRDefault="005F78FC">
            <w:pPr>
              <w:pStyle w:val="TableBodyText"/>
            </w:pPr>
          </w:p>
          <w:p w:rsidR="005F78FC" w:rsidRDefault="00B42EF3">
            <w:pPr>
              <w:pStyle w:val="TableBodyText"/>
            </w:pPr>
            <w:r>
              <w:t>If applied to any other element, this attribute should be ignored.</w:t>
            </w:r>
          </w:p>
          <w:p w:rsidR="005F78FC" w:rsidRDefault="005F78FC">
            <w:pPr>
              <w:pStyle w:val="TableBodyText"/>
            </w:pPr>
          </w:p>
          <w:p w:rsidR="005F78FC" w:rsidRDefault="00B42EF3">
            <w:pPr>
              <w:pStyle w:val="TableBodyText"/>
            </w:pPr>
            <w:r>
              <w:t>The possible values for this att</w:t>
            </w:r>
            <w:r>
              <w:t>ribute are defined by the ST_IntNonNegative simple type (§</w:t>
            </w:r>
            <w:hyperlink w:anchor="Section_fc63ec620566496f8ec8cb3ee90bdd9a">
              <w:r>
                <w:rPr>
                  <w:rStyle w:val="Hyperlink"/>
                </w:rPr>
                <w:t>3.5.2.2.2.2, ST_IntNonNegative</w:t>
              </w:r>
            </w:hyperlink>
            <w:r>
              <w:t>).</w:t>
            </w:r>
          </w:p>
        </w:tc>
      </w:tr>
      <w:tr w:rsidR="005F78FC" w:rsidTr="005F78FC">
        <w:tc>
          <w:tcPr>
            <w:tcW w:w="0" w:type="auto"/>
            <w:vAlign w:val="center"/>
          </w:tcPr>
          <w:p w:rsidR="005F78FC" w:rsidRDefault="00B42EF3">
            <w:pPr>
              <w:pStyle w:val="TableBodyText"/>
            </w:pPr>
            <w:r>
              <w:rPr>
                <w:b/>
              </w:rPr>
              <w:t>indexed</w:t>
            </w:r>
            <w:r>
              <w:t xml:space="preserve"> (Default Visibility of Taxonomy Field)</w:t>
            </w:r>
          </w:p>
        </w:tc>
        <w:tc>
          <w:tcPr>
            <w:tcW w:w="0" w:type="auto"/>
            <w:vAlign w:val="center"/>
          </w:tcPr>
          <w:p w:rsidR="005F78FC" w:rsidRDefault="00B42EF3">
            <w:pPr>
              <w:pStyle w:val="TableBodyText"/>
            </w:pPr>
            <w:r>
              <w:t>When applied to an xsd:element for which neither the h</w:t>
            </w:r>
            <w:r>
              <w:t>idden nor readOnly attributes are set to "true" in a schema other than the root schema or core schema, if set to "true”, specifies that the property corresponding to this xsd:element MUST be presented for editing.</w:t>
            </w:r>
          </w:p>
          <w:p w:rsidR="005F78FC" w:rsidRDefault="005F78FC">
            <w:pPr>
              <w:pStyle w:val="TableBodyText"/>
            </w:pPr>
          </w:p>
          <w:p w:rsidR="005F78FC" w:rsidRDefault="00B42EF3">
            <w:pPr>
              <w:pStyle w:val="TableBodyText"/>
            </w:pPr>
            <w:r>
              <w:t xml:space="preserve">If applied to any other element, this </w:t>
            </w:r>
            <w:r>
              <w:t>attribute MUST be ignored.</w:t>
            </w:r>
          </w:p>
          <w:p w:rsidR="005F78FC" w:rsidRDefault="005F78FC">
            <w:pPr>
              <w:pStyle w:val="TableBodyText"/>
            </w:pPr>
          </w:p>
          <w:p w:rsidR="005F78FC" w:rsidRDefault="00B42EF3">
            <w:pPr>
              <w:pStyle w:val="TableBodyText"/>
            </w:pPr>
            <w:r>
              <w:t>The possible values for this attribute are defined by the XML Schema string datatype.</w:t>
            </w:r>
          </w:p>
        </w:tc>
      </w:tr>
      <w:tr w:rsidR="005F78FC" w:rsidTr="005F78FC">
        <w:tc>
          <w:tcPr>
            <w:tcW w:w="0" w:type="auto"/>
            <w:vAlign w:val="center"/>
          </w:tcPr>
          <w:p w:rsidR="005F78FC" w:rsidRDefault="00B42EF3">
            <w:pPr>
              <w:pStyle w:val="TableBodyText"/>
            </w:pPr>
            <w:r>
              <w:rPr>
                <w:b/>
              </w:rPr>
              <w:t>internalName</w:t>
            </w:r>
            <w:r>
              <w:t xml:space="preserve"> </w:t>
            </w:r>
            <w:r>
              <w:lastRenderedPageBreak/>
              <w:t>(Internal Name)</w:t>
            </w:r>
          </w:p>
        </w:tc>
        <w:tc>
          <w:tcPr>
            <w:tcW w:w="0" w:type="auto"/>
            <w:vAlign w:val="center"/>
          </w:tcPr>
          <w:p w:rsidR="005F78FC" w:rsidRDefault="00B42EF3">
            <w:pPr>
              <w:pStyle w:val="TableBodyText"/>
            </w:pPr>
            <w:r>
              <w:lastRenderedPageBreak/>
              <w:t>Specifies an internal name.</w:t>
            </w:r>
          </w:p>
          <w:p w:rsidR="005F78FC" w:rsidRDefault="005F78FC">
            <w:pPr>
              <w:pStyle w:val="TableBodyText"/>
            </w:pPr>
          </w:p>
          <w:p w:rsidR="005F78FC" w:rsidRDefault="00B42EF3">
            <w:pPr>
              <w:pStyle w:val="TableBodyText"/>
            </w:pPr>
            <w:r>
              <w:t xml:space="preserve">This attribute shall be present on </w:t>
            </w:r>
            <w:r>
              <w:rPr>
                <w:b/>
              </w:rPr>
              <w:t>xsd:element</w:t>
            </w:r>
            <w:r>
              <w:t xml:space="preserve">s in a schema other than the root </w:t>
            </w:r>
            <w:r>
              <w:t>schema or core schema.  If applied to any other element, this attribute should be ignored.</w:t>
            </w:r>
          </w:p>
          <w:p w:rsidR="005F78FC" w:rsidRDefault="005F78FC">
            <w:pPr>
              <w:pStyle w:val="TableBodyText"/>
            </w:pPr>
          </w:p>
          <w:p w:rsidR="005F78FC" w:rsidRDefault="00B42EF3">
            <w:pPr>
              <w:pStyle w:val="TableBodyText"/>
            </w:pPr>
            <w:r>
              <w:t>The possible values for this attribute are defined by the XML Schema string datatype.</w:t>
            </w:r>
          </w:p>
        </w:tc>
      </w:tr>
      <w:tr w:rsidR="005F78FC" w:rsidTr="005F78FC">
        <w:tc>
          <w:tcPr>
            <w:tcW w:w="0" w:type="auto"/>
            <w:vAlign w:val="center"/>
          </w:tcPr>
          <w:p w:rsidR="005F78FC" w:rsidRDefault="00B42EF3">
            <w:pPr>
              <w:pStyle w:val="TableBodyText"/>
            </w:pPr>
            <w:r>
              <w:rPr>
                <w:b/>
              </w:rPr>
              <w:lastRenderedPageBreak/>
              <w:t>isKeyword</w:t>
            </w:r>
            <w:r>
              <w:t xml:space="preserve"> (Keyword Flag)</w:t>
            </w:r>
          </w:p>
        </w:tc>
        <w:tc>
          <w:tcPr>
            <w:tcW w:w="0" w:type="auto"/>
            <w:vAlign w:val="center"/>
          </w:tcPr>
          <w:p w:rsidR="005F78FC" w:rsidRDefault="00B42EF3">
            <w:pPr>
              <w:pStyle w:val="TableBodyText"/>
            </w:pPr>
            <w:r>
              <w:t>If set to "true", specifies that the property editin</w:t>
            </w:r>
            <w:r>
              <w:t xml:space="preserve">g UI for the property corresponding to this xsd:element uses all available term stores and term sets. If set to "false", specifies that the property editing UI for the property corresponding to this xsd:element uses the term set specified by the termSetId </w:t>
            </w:r>
            <w:r>
              <w:t>attribute.</w:t>
            </w:r>
          </w:p>
          <w:p w:rsidR="005F78FC" w:rsidRDefault="005F78FC">
            <w:pPr>
              <w:pStyle w:val="TableBodyText"/>
            </w:pPr>
          </w:p>
          <w:p w:rsidR="005F78FC" w:rsidRDefault="00B42EF3">
            <w:pPr>
              <w:pStyle w:val="TableBodyText"/>
            </w:pPr>
            <w:r>
              <w:t>MUST be present on xsd:elements for which the taxonomy attribute is set to "true".</w:t>
            </w:r>
          </w:p>
          <w:p w:rsidR="005F78FC" w:rsidRDefault="005F78FC">
            <w:pPr>
              <w:pStyle w:val="TableBodyText"/>
            </w:pPr>
          </w:p>
          <w:p w:rsidR="005F78FC" w:rsidRDefault="00B42EF3">
            <w:pPr>
              <w:pStyle w:val="TableBodyText"/>
            </w:pPr>
            <w:r>
              <w:t xml:space="preserve">If applied to any other element, this attribute MUST be ignored. </w:t>
            </w:r>
          </w:p>
          <w:p w:rsidR="005F78FC" w:rsidRDefault="005F78FC">
            <w:pPr>
              <w:pStyle w:val="TableBodyText"/>
            </w:pPr>
          </w:p>
          <w:p w:rsidR="005F78FC" w:rsidRDefault="00B42EF3">
            <w:pPr>
              <w:pStyle w:val="TableBodyText"/>
            </w:pPr>
            <w:r>
              <w:t>The possible values for this attribute are defined by the XML Schema string datatype.</w:t>
            </w:r>
          </w:p>
        </w:tc>
      </w:tr>
      <w:tr w:rsidR="005F78FC" w:rsidTr="005F78FC">
        <w:tc>
          <w:tcPr>
            <w:tcW w:w="0" w:type="auto"/>
            <w:vAlign w:val="center"/>
          </w:tcPr>
          <w:p w:rsidR="005F78FC" w:rsidRDefault="00B42EF3">
            <w:pPr>
              <w:pStyle w:val="TableBodyText"/>
            </w:pPr>
            <w:r>
              <w:rPr>
                <w:b/>
              </w:rPr>
              <w:t>LCID</w:t>
            </w:r>
            <w:r>
              <w:t xml:space="preserve"> (</w:t>
            </w:r>
            <w:r>
              <w:t>LCID)</w:t>
            </w:r>
          </w:p>
        </w:tc>
        <w:tc>
          <w:tcPr>
            <w:tcW w:w="0" w:type="auto"/>
            <w:vAlign w:val="center"/>
          </w:tcPr>
          <w:p w:rsidR="005F78FC" w:rsidRDefault="00B42EF3">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{http://schemas.microsoft.com/office/2006/documentManagement/types}Currency, specifies the locale identifier as sp</w:t>
            </w:r>
            <w:r>
              <w:t xml:space="preserve">ecified in the Windows Language Code Identifier (LCID) Reference </w:t>
            </w:r>
            <w:hyperlink r:id="rId367" w:anchor="Section_70feba9f294e491eb6eb56532684c37f">
              <w:r>
                <w:rPr>
                  <w:rStyle w:val="Hyperlink"/>
                </w:rPr>
                <w:t>[MS-LCID]</w:t>
              </w:r>
            </w:hyperlink>
            <w:r>
              <w:t xml:space="preserve"> to determine the currency symbol used in the display of the property corresponding to this </w:t>
            </w:r>
            <w:r>
              <w:rPr>
                <w:b/>
              </w:rPr>
              <w:t>xsd:element</w:t>
            </w:r>
            <w:r>
              <w:t xml:space="preserve"> in the property editing surface.</w:t>
            </w:r>
          </w:p>
          <w:p w:rsidR="005F78FC" w:rsidRDefault="005F78FC">
            <w:pPr>
              <w:pStyle w:val="TableBodyText"/>
            </w:pPr>
          </w:p>
          <w:p w:rsidR="005F78FC" w:rsidRDefault="00B42EF3">
            <w:pPr>
              <w:pStyle w:val="TableBodyText"/>
            </w:pPr>
            <w:r>
              <w:t>If applied to any other element, this attribute should be ignored.</w:t>
            </w:r>
          </w:p>
          <w:p w:rsidR="005F78FC" w:rsidRDefault="005F78FC">
            <w:pPr>
              <w:pStyle w:val="TableBodyText"/>
            </w:pPr>
          </w:p>
          <w:p w:rsidR="005F78FC" w:rsidRDefault="00B42EF3">
            <w:pPr>
              <w:pStyle w:val="TableBodyText"/>
            </w:pPr>
            <w:r>
              <w:t>The possible values for this attribute are defined by the XML Schema int datatype.</w:t>
            </w:r>
          </w:p>
        </w:tc>
      </w:tr>
      <w:tr w:rsidR="005F78FC" w:rsidTr="005F78FC">
        <w:tc>
          <w:tcPr>
            <w:tcW w:w="0" w:type="auto"/>
            <w:vAlign w:val="center"/>
          </w:tcPr>
          <w:p w:rsidR="005F78FC" w:rsidRDefault="00B42EF3">
            <w:pPr>
              <w:pStyle w:val="TableBodyText"/>
            </w:pPr>
            <w:r>
              <w:rPr>
                <w:b/>
              </w:rPr>
              <w:t>list</w:t>
            </w:r>
            <w:r>
              <w:t xml:space="preserve"> (List Identifier)</w:t>
            </w:r>
          </w:p>
        </w:tc>
        <w:tc>
          <w:tcPr>
            <w:tcW w:w="0" w:type="auto"/>
            <w:vAlign w:val="center"/>
          </w:tcPr>
          <w:p w:rsidR="005F78FC" w:rsidRDefault="00B42EF3">
            <w:pPr>
              <w:pStyle w:val="TableBodyText"/>
            </w:pPr>
            <w:r>
              <w:t xml:space="preserve">Shall be present on </w:t>
            </w:r>
            <w:r>
              <w:rPr>
                <w:b/>
              </w:rPr>
              <w:t>xsd:element</w:t>
            </w:r>
            <w:r>
              <w:t xml:space="preserve">s for which neither the hidden nor read-only attributes are set to </w:t>
            </w:r>
            <w:r>
              <w:rPr>
                <w:i/>
              </w:rPr>
              <w:t>true</w:t>
            </w:r>
            <w:r>
              <w:t xml:space="preserve"> in a schema other than the root schema or core schema whose content model is an </w:t>
            </w:r>
            <w:r>
              <w:rPr>
                <w:b/>
              </w:rPr>
              <w:t>xsd:restriction</w:t>
            </w:r>
            <w:r>
              <w:t xml:space="preserve"> based on {http://schemas.microsoft.com/office/2006/documentManagement/types}Lookup or {h</w:t>
            </w:r>
            <w:r>
              <w:t xml:space="preserve">ttp://schemas.microsoft.com/office/2006/documentManagement/types}MultiLookup.When present on such an element, specifies the list from which to get data for display of the property corresponding to this </w:t>
            </w:r>
            <w:r>
              <w:rPr>
                <w:b/>
              </w:rPr>
              <w:t>xsd:element</w:t>
            </w:r>
            <w:r>
              <w:t xml:space="preserve"> in the property editing surface.</w:t>
            </w:r>
          </w:p>
          <w:p w:rsidR="005F78FC" w:rsidRDefault="005F78FC">
            <w:pPr>
              <w:pStyle w:val="TableBodyText"/>
            </w:pPr>
          </w:p>
          <w:p w:rsidR="005F78FC" w:rsidRDefault="00B42EF3">
            <w:pPr>
              <w:pStyle w:val="TableBodyText"/>
            </w:pPr>
            <w:r>
              <w:t>Office w</w:t>
            </w:r>
            <w:r>
              <w:t xml:space="preserve">ill populate this data when the save location of the document is a site that implements the Lists Web Service Protocol Specification </w:t>
            </w:r>
            <w:hyperlink r:id="rId368" w:anchor="Section_30b364cc38374e839ce81963292e2ee5">
              <w:r>
                <w:rPr>
                  <w:rStyle w:val="Hyperlink"/>
                </w:rPr>
                <w:t>[MS-LISTSWS]</w:t>
              </w:r>
            </w:hyperlink>
            <w:r>
              <w:t xml:space="preserve"> and the value of this attrib</w:t>
            </w:r>
            <w:r>
              <w:t xml:space="preserve">ute is a valid GUID enclosed in braces corresponding to the ID of a list on the site. </w:t>
            </w:r>
          </w:p>
          <w:p w:rsidR="005F78FC" w:rsidRDefault="005F78FC">
            <w:pPr>
              <w:pStyle w:val="TableBodyText"/>
            </w:pPr>
          </w:p>
          <w:p w:rsidR="005F78FC" w:rsidRDefault="00B42EF3">
            <w:pPr>
              <w:pStyle w:val="TableBodyText"/>
            </w:pPr>
            <w:r>
              <w:t>If applied to any other element, this attribute should be ignored.</w:t>
            </w:r>
          </w:p>
          <w:p w:rsidR="005F78FC" w:rsidRDefault="005F78FC">
            <w:pPr>
              <w:pStyle w:val="TableBodyText"/>
            </w:pPr>
          </w:p>
          <w:p w:rsidR="005F78FC" w:rsidRDefault="00B42EF3">
            <w:pPr>
              <w:pStyle w:val="TableBodyText"/>
            </w:pPr>
            <w:r>
              <w:t>The possible values for this attribute are defined by the XML Schema string datatype.</w:t>
            </w:r>
          </w:p>
        </w:tc>
      </w:tr>
      <w:tr w:rsidR="005F78FC" w:rsidTr="005F78FC">
        <w:tc>
          <w:tcPr>
            <w:tcW w:w="0" w:type="auto"/>
            <w:vAlign w:val="center"/>
          </w:tcPr>
          <w:p w:rsidR="005F78FC" w:rsidRDefault="00B42EF3">
            <w:pPr>
              <w:pStyle w:val="TableBodyText"/>
            </w:pPr>
            <w:r>
              <w:rPr>
                <w:b/>
              </w:rPr>
              <w:t>open</w:t>
            </w:r>
            <w:r>
              <w:t xml:space="preserve"> (Term Se</w:t>
            </w:r>
            <w:r>
              <w:t>t Open for Addition Flag)</w:t>
            </w:r>
          </w:p>
        </w:tc>
        <w:tc>
          <w:tcPr>
            <w:tcW w:w="0" w:type="auto"/>
            <w:vAlign w:val="center"/>
          </w:tcPr>
          <w:p w:rsidR="005F78FC" w:rsidRDefault="00B42EF3">
            <w:pPr>
              <w:pStyle w:val="TableBodyText"/>
            </w:pPr>
            <w:r>
              <w:t xml:space="preserve">If set to "true", specifies that new terms are allowed to be added to the term set specified by the termSetId attribute. If set to "false", the property editing UI MUST NOT allow new terms to be added to the term set specified by </w:t>
            </w:r>
            <w:r>
              <w:t>the termSetId attribute.</w:t>
            </w:r>
          </w:p>
          <w:p w:rsidR="005F78FC" w:rsidRDefault="005F78FC">
            <w:pPr>
              <w:pStyle w:val="TableBodyText"/>
            </w:pPr>
          </w:p>
          <w:p w:rsidR="005F78FC" w:rsidRDefault="00B42EF3">
            <w:pPr>
              <w:pStyle w:val="TableBodyText"/>
            </w:pPr>
            <w:r>
              <w:t>MUST be present on xsd:elements for which the taxonomy attribute is set to "true", and MUST be set to "true" if new terms are allowed to be added to the term set specified by the termSetId attribute.  MUST be set to "false" otherw</w:t>
            </w:r>
            <w:r>
              <w:t>ise.</w:t>
            </w:r>
          </w:p>
          <w:p w:rsidR="005F78FC" w:rsidRDefault="005F78FC">
            <w:pPr>
              <w:pStyle w:val="TableBodyText"/>
            </w:pPr>
          </w:p>
          <w:p w:rsidR="005F78FC" w:rsidRDefault="00B42EF3">
            <w:pPr>
              <w:pStyle w:val="TableBodyText"/>
            </w:pPr>
            <w:r>
              <w:t>If applied to any other element, this attribute MUST be ignored.</w:t>
            </w:r>
          </w:p>
          <w:p w:rsidR="005F78FC" w:rsidRDefault="005F78FC">
            <w:pPr>
              <w:pStyle w:val="TableBodyText"/>
            </w:pPr>
          </w:p>
          <w:p w:rsidR="005F78FC" w:rsidRDefault="00B42EF3">
            <w:pPr>
              <w:pStyle w:val="TableBodyText"/>
            </w:pPr>
            <w:r>
              <w:lastRenderedPageBreak/>
              <w:t>The possible values for this attribute are defined by the XML Schema string datatype.</w:t>
            </w:r>
          </w:p>
        </w:tc>
      </w:tr>
      <w:tr w:rsidR="005F78FC" w:rsidTr="005F78FC">
        <w:tc>
          <w:tcPr>
            <w:tcW w:w="0" w:type="auto"/>
            <w:vAlign w:val="center"/>
          </w:tcPr>
          <w:p w:rsidR="005F78FC" w:rsidRDefault="00B42EF3">
            <w:pPr>
              <w:pStyle w:val="TableBodyText"/>
            </w:pPr>
            <w:r>
              <w:rPr>
                <w:b/>
              </w:rPr>
              <w:lastRenderedPageBreak/>
              <w:t>percentage</w:t>
            </w:r>
            <w:r>
              <w:t xml:space="preserve"> (Show as Percentage)</w:t>
            </w:r>
          </w:p>
        </w:tc>
        <w:tc>
          <w:tcPr>
            <w:tcW w:w="0" w:type="auto"/>
            <w:vAlign w:val="center"/>
          </w:tcPr>
          <w:p w:rsidR="005F78FC" w:rsidRDefault="00B42EF3">
            <w:pPr>
              <w:pStyle w:val="TableBodyText"/>
            </w:pPr>
            <w:r>
              <w:t xml:space="preserve">When applied to an </w:t>
            </w:r>
            <w:r>
              <w:rPr>
                <w:b/>
              </w:rPr>
              <w:t>xsd:element</w:t>
            </w:r>
            <w:r>
              <w:t xml:space="preserve"> in a schema other than the root sc</w:t>
            </w:r>
            <w:r>
              <w:t xml:space="preserve">hema or core schema whose content model is an </w:t>
            </w:r>
            <w:r>
              <w:rPr>
                <w:b/>
              </w:rPr>
              <w:t>xsd:restriction</w:t>
            </w:r>
            <w:r>
              <w:t xml:space="preserve"> based on {http://schemas.microsoft.com/office/2006/documentManagement/types}Currency or {http://schemas.microsoft.com/office/2006/documentManagement/types}Number, if set to </w:t>
            </w:r>
            <w:r>
              <w:rPr>
                <w:i/>
              </w:rPr>
              <w:t>TRUE</w:t>
            </w:r>
            <w:r>
              <w:t xml:space="preserve">, specifies that </w:t>
            </w:r>
            <w:r>
              <w:t xml:space="preserve">the property corresponding to this </w:t>
            </w:r>
            <w:r>
              <w:rPr>
                <w:b/>
              </w:rPr>
              <w:t>xsd:element</w:t>
            </w:r>
            <w:r>
              <w:t xml:space="preserve"> should be displayed as a percentage in the property editing surface, and if not present or set to any other value, specifies that the property corresponding to this </w:t>
            </w:r>
            <w:r>
              <w:rPr>
                <w:b/>
              </w:rPr>
              <w:t>xsd:element</w:t>
            </w:r>
            <w:r>
              <w:t xml:space="preserve"> should not be displayed as a per</w:t>
            </w:r>
            <w:r>
              <w:t>centage in the property editing surface.</w:t>
            </w:r>
          </w:p>
          <w:p w:rsidR="005F78FC" w:rsidRDefault="005F78FC">
            <w:pPr>
              <w:pStyle w:val="TableBodyText"/>
            </w:pPr>
          </w:p>
          <w:p w:rsidR="005F78FC" w:rsidRDefault="00B42EF3">
            <w:pPr>
              <w:pStyle w:val="TableBodyText"/>
            </w:pPr>
            <w:r>
              <w:t>If applied to any other element, this attribute should be ignored.</w:t>
            </w:r>
          </w:p>
          <w:p w:rsidR="005F78FC" w:rsidRDefault="005F78FC">
            <w:pPr>
              <w:pStyle w:val="TableBodyText"/>
            </w:pPr>
          </w:p>
          <w:p w:rsidR="005F78FC" w:rsidRDefault="00B42EF3">
            <w:pPr>
              <w:pStyle w:val="TableBodyText"/>
            </w:pPr>
            <w:r>
              <w:t>The possible values for this attribute are defined by the XML Schema string datatype.</w:t>
            </w:r>
          </w:p>
        </w:tc>
      </w:tr>
      <w:tr w:rsidR="005F78FC" w:rsidTr="005F78FC">
        <w:tc>
          <w:tcPr>
            <w:tcW w:w="0" w:type="auto"/>
            <w:vAlign w:val="center"/>
          </w:tcPr>
          <w:p w:rsidR="005F78FC" w:rsidRDefault="00B42EF3">
            <w:pPr>
              <w:pStyle w:val="TableBodyText"/>
            </w:pPr>
            <w:r>
              <w:rPr>
                <w:b/>
              </w:rPr>
              <w:t>readOnly</w:t>
            </w:r>
            <w:r>
              <w:t xml:space="preserve"> (Read Only)</w:t>
            </w:r>
          </w:p>
        </w:tc>
        <w:tc>
          <w:tcPr>
            <w:tcW w:w="0" w:type="auto"/>
            <w:vAlign w:val="center"/>
          </w:tcPr>
          <w:p w:rsidR="005F78FC" w:rsidRDefault="00B42EF3">
            <w:pPr>
              <w:pStyle w:val="TableBodyText"/>
            </w:pPr>
            <w:r>
              <w:t xml:space="preserve">When applied to an </w:t>
            </w:r>
            <w:r>
              <w:rPr>
                <w:b/>
              </w:rPr>
              <w:t>xsd:element</w:t>
            </w:r>
            <w:r>
              <w:t xml:space="preserve"> in a schema other than the root schema or core schema, if set to </w:t>
            </w:r>
            <w:r>
              <w:rPr>
                <w:i/>
              </w:rPr>
              <w:t>true</w:t>
            </w:r>
            <w:r>
              <w:t xml:space="preserve">, specifies that the property corresponding to this </w:t>
            </w:r>
            <w:r>
              <w:rPr>
                <w:b/>
              </w:rPr>
              <w:t>xsd:element</w:t>
            </w:r>
            <w:r>
              <w:t xml:space="preserve"> should not be presented for editing on the property editing surface.</w:t>
            </w:r>
          </w:p>
          <w:p w:rsidR="005F78FC" w:rsidRDefault="005F78FC">
            <w:pPr>
              <w:pStyle w:val="TableBodyText"/>
            </w:pPr>
          </w:p>
          <w:p w:rsidR="005F78FC" w:rsidRDefault="00B42EF3">
            <w:pPr>
              <w:pStyle w:val="TableBodyText"/>
            </w:pPr>
            <w:r>
              <w:t>If applied to any other element, this attribute shou</w:t>
            </w:r>
            <w:r>
              <w:t>ld be ignored.</w:t>
            </w:r>
          </w:p>
          <w:p w:rsidR="005F78FC" w:rsidRDefault="005F78FC">
            <w:pPr>
              <w:pStyle w:val="TableBodyText"/>
            </w:pPr>
          </w:p>
          <w:p w:rsidR="005F78FC" w:rsidRDefault="00B42EF3">
            <w:pPr>
              <w:pStyle w:val="TableBodyText"/>
            </w:pPr>
            <w:r>
              <w:t>The possible values for this attribute are defined by the XML Schema string datatype.</w:t>
            </w:r>
          </w:p>
        </w:tc>
      </w:tr>
      <w:tr w:rsidR="005F78FC" w:rsidTr="005F78FC">
        <w:tc>
          <w:tcPr>
            <w:tcW w:w="0" w:type="auto"/>
            <w:vAlign w:val="center"/>
          </w:tcPr>
          <w:p w:rsidR="005F78FC" w:rsidRDefault="00B42EF3">
            <w:pPr>
              <w:pStyle w:val="TableBodyText"/>
            </w:pPr>
            <w:r>
              <w:rPr>
                <w:b/>
              </w:rPr>
              <w:t>requiredMultiChoice</w:t>
            </w:r>
            <w:r>
              <w:t xml:space="preserve"> (Required Multiple Choice)</w:t>
            </w:r>
          </w:p>
        </w:tc>
        <w:tc>
          <w:tcPr>
            <w:tcW w:w="0" w:type="auto"/>
            <w:vAlign w:val="center"/>
          </w:tcPr>
          <w:p w:rsidR="005F78FC" w:rsidRDefault="00B42EF3">
            <w:pPr>
              <w:pStyle w:val="TableBodyText"/>
            </w:pPr>
            <w:r>
              <w:t xml:space="preserve">When applied to an </w:t>
            </w:r>
            <w:r>
              <w:rPr>
                <w:b/>
              </w:rPr>
              <w:t>xsd:element</w:t>
            </w:r>
            <w:r>
              <w:t xml:space="preserve"> in a schema other than the root schema or core schema whose content model i</w:t>
            </w:r>
            <w:r>
              <w:t xml:space="preserve">s an </w:t>
            </w:r>
            <w:r>
              <w:rPr>
                <w:b/>
              </w:rPr>
              <w:t>xsd:restriction</w:t>
            </w:r>
            <w:r>
              <w:t xml:space="preserve"> based on  {http://schemas.microsoft.com/office/2006/documentManagement/types}MultiChoice, {http://schemas.microsoft.com/office/2006/documentManagement/types}MultiChoiceFillIn, or {http://schemas.microsoft.com/office/2006/documentManage</w:t>
            </w:r>
            <w:r>
              <w:t xml:space="preserve">ment/types}MultiChoiceLookup, if set to true, specifies that the property editing surface should indicate an error if no choices are selected for the property corresponding to the </w:t>
            </w:r>
            <w:r>
              <w:rPr>
                <w:b/>
              </w:rPr>
              <w:t>xsd:element</w:t>
            </w:r>
            <w:r>
              <w:t>.</w:t>
            </w:r>
          </w:p>
          <w:p w:rsidR="005F78FC" w:rsidRDefault="005F78FC">
            <w:pPr>
              <w:pStyle w:val="TableBodyText"/>
            </w:pPr>
          </w:p>
          <w:p w:rsidR="005F78FC" w:rsidRDefault="00B42EF3">
            <w:pPr>
              <w:pStyle w:val="TableBodyText"/>
            </w:pPr>
            <w:r>
              <w:t>If applied to any other element, this attribute should be igno</w:t>
            </w:r>
            <w:r>
              <w:t>red.</w:t>
            </w:r>
          </w:p>
          <w:p w:rsidR="005F78FC" w:rsidRDefault="005F78FC">
            <w:pPr>
              <w:pStyle w:val="TableBodyText"/>
            </w:pPr>
          </w:p>
          <w:p w:rsidR="005F78FC" w:rsidRDefault="00B42EF3">
            <w:pPr>
              <w:pStyle w:val="TableBodyText"/>
            </w:pPr>
            <w:r>
              <w:t>The possible values for this attribute are defined by the XML Schema string datatype.</w:t>
            </w:r>
          </w:p>
        </w:tc>
      </w:tr>
      <w:tr w:rsidR="005F78FC" w:rsidTr="005F78FC">
        <w:tc>
          <w:tcPr>
            <w:tcW w:w="0" w:type="auto"/>
            <w:vAlign w:val="center"/>
          </w:tcPr>
          <w:p w:rsidR="005F78FC" w:rsidRDefault="00B42EF3">
            <w:pPr>
              <w:pStyle w:val="TableBodyText"/>
            </w:pPr>
            <w:r>
              <w:rPr>
                <w:b/>
              </w:rPr>
              <w:t>root</w:t>
            </w:r>
            <w:r>
              <w:t xml:space="preserve"> (Root Schema)</w:t>
            </w:r>
          </w:p>
        </w:tc>
        <w:tc>
          <w:tcPr>
            <w:tcW w:w="0" w:type="auto"/>
            <w:vAlign w:val="center"/>
          </w:tcPr>
          <w:p w:rsidR="005F78FC" w:rsidRDefault="00B42EF3">
            <w:pPr>
              <w:pStyle w:val="TableBodyText"/>
            </w:pPr>
            <w:r>
              <w:t xml:space="preserve">Shall be set to </w:t>
            </w:r>
            <w:r>
              <w:rPr>
                <w:i/>
              </w:rPr>
              <w:t>true</w:t>
            </w:r>
            <w:r>
              <w:t xml:space="preserve"> on the root schema element described in Content Type Schemas (§3.5.2.1, Content Type Schemas Schema, 3.5.2.1, Content Type </w:t>
            </w:r>
            <w:r>
              <w:t>Schemas Schema) for the http://schemas.microsoft.com/office/2006/contentTypeSchema namespace and shall not be applied to any other element.</w:t>
            </w:r>
          </w:p>
          <w:p w:rsidR="005F78FC" w:rsidRDefault="005F78FC">
            <w:pPr>
              <w:pStyle w:val="TableBodyText"/>
            </w:pPr>
          </w:p>
          <w:p w:rsidR="005F78FC" w:rsidRDefault="00B42EF3">
            <w:pPr>
              <w:pStyle w:val="TableBodyText"/>
            </w:pPr>
            <w:r>
              <w:t>The possible values for this attribute are defined by the ST_TrueOnly simple type (§</w:t>
            </w:r>
            <w:hyperlink w:anchor="Section_f2dd832362924b9bbc07123e1aad7cc1">
              <w:r>
                <w:rPr>
                  <w:rStyle w:val="Hyperlink"/>
                </w:rPr>
                <w:t>3.5.2.2.2.3, ST_TrueOnly</w:t>
              </w:r>
            </w:hyperlink>
            <w:r>
              <w:t>).</w:t>
            </w:r>
          </w:p>
        </w:tc>
      </w:tr>
      <w:tr w:rsidR="005F78FC" w:rsidTr="005F78FC">
        <w:tc>
          <w:tcPr>
            <w:tcW w:w="0" w:type="auto"/>
            <w:vAlign w:val="center"/>
          </w:tcPr>
          <w:p w:rsidR="005F78FC" w:rsidRDefault="00B42EF3">
            <w:pPr>
              <w:pStyle w:val="TableBodyText"/>
            </w:pPr>
            <w:r>
              <w:rPr>
                <w:b/>
              </w:rPr>
              <w:t>showField</w:t>
            </w:r>
            <w:r>
              <w:t xml:space="preserve"> (Displayed Field)</w:t>
            </w:r>
          </w:p>
        </w:tc>
        <w:tc>
          <w:tcPr>
            <w:tcW w:w="0" w:type="auto"/>
            <w:vAlign w:val="center"/>
          </w:tcPr>
          <w:p w:rsidR="005F78FC" w:rsidRDefault="00B42EF3">
            <w:pPr>
              <w:pStyle w:val="TableBodyText"/>
            </w:pPr>
            <w:r>
              <w:t xml:space="preserve">Shall be present on </w:t>
            </w:r>
            <w:r>
              <w:rPr>
                <w:b/>
              </w:rPr>
              <w:t>xsd:element</w:t>
            </w:r>
            <w:r>
              <w:t xml:space="preserve">s for which neither the hidden nor read-only attributes are set to </w:t>
            </w:r>
            <w:r>
              <w:rPr>
                <w:i/>
              </w:rPr>
              <w:t>true</w:t>
            </w:r>
            <w:r>
              <w:t xml:space="preserve"> in a schema other than the root schema or core schema whose content model is an </w:t>
            </w:r>
            <w:r>
              <w:rPr>
                <w:b/>
              </w:rPr>
              <w:t>xsd:restriction</w:t>
            </w:r>
            <w:r>
              <w:t xml:space="preserve"> based on {http://schemas.microsoft.com/office/2006/documentManagement/types}Lookup or {http://schemas.microsoft.com/office/2006/documentManagement/types}MultiL</w:t>
            </w:r>
            <w:r>
              <w:t xml:space="preserve">ookup. When applied to such an element, specifies the text displayed for the lookup options in the property editing surface for the property corresponding to the </w:t>
            </w:r>
            <w:r>
              <w:rPr>
                <w:b/>
              </w:rPr>
              <w:t>xsd:element</w:t>
            </w:r>
            <w:r>
              <w:t>.</w:t>
            </w:r>
          </w:p>
          <w:p w:rsidR="005F78FC" w:rsidRDefault="005F78FC">
            <w:pPr>
              <w:pStyle w:val="TableBodyText"/>
            </w:pPr>
          </w:p>
          <w:p w:rsidR="005F78FC" w:rsidRDefault="00B42EF3">
            <w:pPr>
              <w:pStyle w:val="TableBodyText"/>
            </w:pPr>
            <w:r>
              <w:t xml:space="preserve">Office handles values corresponding to the </w:t>
            </w:r>
            <w:r>
              <w:rPr>
                <w:b/>
              </w:rPr>
              <w:t>Name</w:t>
            </w:r>
            <w:r>
              <w:t xml:space="preserve"> attribute of a field as specifie</w:t>
            </w:r>
            <w:r>
              <w:t>d in the response from a GetList request as specified in the Lists Web Service Protocol Specification ([MS-LISTSWS] Subclause 3.1.4.14).</w:t>
            </w:r>
          </w:p>
          <w:p w:rsidR="005F78FC" w:rsidRDefault="005F78FC">
            <w:pPr>
              <w:pStyle w:val="TableBodyText"/>
            </w:pPr>
          </w:p>
          <w:p w:rsidR="005F78FC" w:rsidRDefault="00B42EF3">
            <w:pPr>
              <w:pStyle w:val="TableBodyText"/>
            </w:pPr>
            <w:r>
              <w:t>If applied to any other element, this attribute should be ignored.</w:t>
            </w:r>
          </w:p>
          <w:p w:rsidR="005F78FC" w:rsidRDefault="005F78FC">
            <w:pPr>
              <w:pStyle w:val="TableBodyText"/>
            </w:pPr>
          </w:p>
          <w:p w:rsidR="005F78FC" w:rsidRDefault="00B42EF3">
            <w:pPr>
              <w:pStyle w:val="TableBodyText"/>
            </w:pPr>
            <w:r>
              <w:t>The possible values for this attribute are defined</w:t>
            </w:r>
            <w:r>
              <w:t xml:space="preserve"> by the XML Schema string datatype.</w:t>
            </w:r>
          </w:p>
        </w:tc>
      </w:tr>
      <w:tr w:rsidR="005F78FC" w:rsidTr="005F78FC">
        <w:tc>
          <w:tcPr>
            <w:tcW w:w="0" w:type="auto"/>
            <w:vAlign w:val="center"/>
          </w:tcPr>
          <w:p w:rsidR="005F78FC" w:rsidRDefault="00B42EF3">
            <w:pPr>
              <w:pStyle w:val="TableBodyText"/>
            </w:pPr>
            <w:r>
              <w:rPr>
                <w:b/>
              </w:rPr>
              <w:lastRenderedPageBreak/>
              <w:t>sspId</w:t>
            </w:r>
            <w:r>
              <w:t xml:space="preserve"> (Term Store ID)</w:t>
            </w:r>
          </w:p>
        </w:tc>
        <w:tc>
          <w:tcPr>
            <w:tcW w:w="0" w:type="auto"/>
            <w:vAlign w:val="center"/>
          </w:tcPr>
          <w:p w:rsidR="005F78FC" w:rsidRDefault="00B42EF3">
            <w:pPr>
              <w:pStyle w:val="TableBodyText"/>
            </w:pPr>
            <w:r>
              <w:t>Specifies the term store partition used in the property editing UI for the property corresponding to this xsd:element.</w:t>
            </w:r>
          </w:p>
          <w:p w:rsidR="005F78FC" w:rsidRDefault="005F78FC">
            <w:pPr>
              <w:pStyle w:val="TableBodyText"/>
            </w:pPr>
          </w:p>
          <w:p w:rsidR="005F78FC" w:rsidRDefault="00B42EF3">
            <w:pPr>
              <w:pStyle w:val="TableBodyText"/>
            </w:pPr>
            <w:r>
              <w:t>MUST be present on xsd:elements for which the taxonomy attribute is set to "t</w:t>
            </w:r>
            <w:r>
              <w:t>rue", and MUST be set to "00000000-0000-0000-0000-000000000000" on xsd:elements for which the isKeyword attribute is set to "true".</w:t>
            </w:r>
          </w:p>
          <w:p w:rsidR="005F78FC" w:rsidRDefault="005F78FC">
            <w:pPr>
              <w:pStyle w:val="TableBodyText"/>
            </w:pPr>
          </w:p>
          <w:p w:rsidR="005F78FC" w:rsidRDefault="00B42EF3">
            <w:pPr>
              <w:pStyle w:val="TableBodyText"/>
            </w:pPr>
            <w:r>
              <w:t>If applied to any other element, this attribute MUST be ignored.</w:t>
            </w:r>
          </w:p>
          <w:p w:rsidR="005F78FC" w:rsidRDefault="005F78FC">
            <w:pPr>
              <w:pStyle w:val="TableBodyText"/>
            </w:pPr>
          </w:p>
          <w:p w:rsidR="005F78FC" w:rsidRDefault="00B42EF3">
            <w:pPr>
              <w:pStyle w:val="TableBodyText"/>
            </w:pPr>
            <w:r>
              <w:t>The possible values for this attribute are defined by the</w:t>
            </w:r>
            <w:r>
              <w:t xml:space="preserve"> ST_UniqueIdentifierWithoutBraces simple type (§3.5.2.2.2.5, ST_UniqueIdentifierWithoutBraces).</w:t>
            </w:r>
          </w:p>
        </w:tc>
      </w:tr>
      <w:tr w:rsidR="005F78FC" w:rsidTr="005F78FC">
        <w:tc>
          <w:tcPr>
            <w:tcW w:w="0" w:type="auto"/>
            <w:vAlign w:val="center"/>
          </w:tcPr>
          <w:p w:rsidR="005F78FC" w:rsidRDefault="00B42EF3">
            <w:pPr>
              <w:pStyle w:val="TableBodyText"/>
            </w:pPr>
            <w:r>
              <w:rPr>
                <w:b/>
              </w:rPr>
              <w:t>taxonomy</w:t>
            </w:r>
            <w:r>
              <w:t xml:space="preserve"> (Taxonomy Field Flag)</w:t>
            </w:r>
          </w:p>
        </w:tc>
        <w:tc>
          <w:tcPr>
            <w:tcW w:w="0" w:type="auto"/>
            <w:vAlign w:val="center"/>
          </w:tcPr>
          <w:p w:rsidR="005F78FC" w:rsidRDefault="00B42EF3">
            <w:pPr>
              <w:pStyle w:val="TableBodyText"/>
            </w:pPr>
            <w:r>
              <w:t>MUST be set to "true" on xsd:elements in a schema other than the root schema or core schema whose content model has the followin</w:t>
            </w:r>
            <w:r>
              <w:t>g structure.</w:t>
            </w:r>
          </w:p>
          <w:p w:rsidR="005F78FC" w:rsidRDefault="005F78FC">
            <w:pPr>
              <w:pStyle w:val="TableBodyText"/>
            </w:pPr>
          </w:p>
          <w:p w:rsidR="005F78FC" w:rsidRDefault="00B42EF3">
            <w:pPr>
              <w:pStyle w:val="TableBodyText"/>
            </w:pPr>
            <w:r>
              <w:t>&lt;xsd:complexType&gt;</w:t>
            </w:r>
          </w:p>
          <w:p w:rsidR="005F78FC" w:rsidRDefault="00B42EF3">
            <w:pPr>
              <w:pStyle w:val="TableBodyText"/>
            </w:pPr>
            <w:r>
              <w:t>&lt;xsd:sequence&gt;</w:t>
            </w:r>
          </w:p>
          <w:p w:rsidR="005F78FC" w:rsidRDefault="00B42EF3">
            <w:pPr>
              <w:pStyle w:val="TableBodyText"/>
            </w:pPr>
            <w:r>
              <w:t>&lt;xsd:element ref="pc:Terms" minOccurs="0" maxOccurs="1"&gt;</w:t>
            </w:r>
          </w:p>
          <w:p w:rsidR="005F78FC" w:rsidRDefault="00B42EF3">
            <w:pPr>
              <w:pStyle w:val="TableBodyText"/>
            </w:pPr>
            <w:r>
              <w:t>&lt;/xsd:element&gt;</w:t>
            </w:r>
          </w:p>
          <w:p w:rsidR="005F78FC" w:rsidRDefault="00B42EF3">
            <w:pPr>
              <w:pStyle w:val="TableBodyText"/>
            </w:pPr>
            <w:r>
              <w:t>&lt;/xsd:sequence&gt;</w:t>
            </w:r>
          </w:p>
          <w:p w:rsidR="005F78FC" w:rsidRDefault="00B42EF3">
            <w:pPr>
              <w:pStyle w:val="TableBodyText"/>
            </w:pPr>
            <w:r>
              <w:t>&lt;/xsd:complexType&gt;</w:t>
            </w:r>
          </w:p>
          <w:p w:rsidR="005F78FC" w:rsidRDefault="005F78FC">
            <w:pPr>
              <w:pStyle w:val="TableBodyText"/>
            </w:pPr>
          </w:p>
          <w:p w:rsidR="005F78FC" w:rsidRDefault="00B42EF3">
            <w:pPr>
              <w:pStyle w:val="TableBodyText"/>
            </w:pPr>
            <w:r>
              <w:t>It MUST NOT be applied to any other element.</w:t>
            </w:r>
          </w:p>
          <w:p w:rsidR="005F78FC" w:rsidRDefault="005F78FC">
            <w:pPr>
              <w:pStyle w:val="TableBodyText"/>
            </w:pPr>
          </w:p>
          <w:p w:rsidR="005F78FC" w:rsidRDefault="00B42EF3">
            <w:pPr>
              <w:pStyle w:val="TableBodyText"/>
            </w:pPr>
            <w:r>
              <w:t xml:space="preserve">The possible values for this attribute are defined by </w:t>
            </w:r>
            <w:r>
              <w:t>the XML Schema boolean datatype.</w:t>
            </w:r>
          </w:p>
        </w:tc>
      </w:tr>
      <w:tr w:rsidR="005F78FC" w:rsidTr="005F78FC">
        <w:tc>
          <w:tcPr>
            <w:tcW w:w="0" w:type="auto"/>
            <w:vAlign w:val="center"/>
          </w:tcPr>
          <w:p w:rsidR="005F78FC" w:rsidRDefault="00B42EF3">
            <w:pPr>
              <w:pStyle w:val="TableBodyText"/>
            </w:pPr>
            <w:r>
              <w:rPr>
                <w:b/>
              </w:rPr>
              <w:t>taxonomyFieldName</w:t>
            </w:r>
            <w:r>
              <w:t xml:space="preserve"> (Taxonomy Field Name)</w:t>
            </w:r>
          </w:p>
        </w:tc>
        <w:tc>
          <w:tcPr>
            <w:tcW w:w="0" w:type="auto"/>
            <w:vAlign w:val="center"/>
          </w:tcPr>
          <w:p w:rsidR="005F78FC" w:rsidRDefault="00B42EF3">
            <w:pPr>
              <w:pStyle w:val="TableBodyText"/>
            </w:pPr>
            <w:r>
              <w:t xml:space="preserve">Specifies the name of a taxonomy field. </w:t>
            </w:r>
          </w:p>
          <w:p w:rsidR="005F78FC" w:rsidRDefault="005F78FC">
            <w:pPr>
              <w:pStyle w:val="TableBodyText"/>
            </w:pPr>
          </w:p>
          <w:p w:rsidR="005F78FC" w:rsidRDefault="00B42EF3">
            <w:pPr>
              <w:pStyle w:val="TableBodyText"/>
            </w:pPr>
            <w:r>
              <w:t>MUST be present on xsd:elements for which the taxonomy attribute is set to "true".</w:t>
            </w:r>
          </w:p>
          <w:p w:rsidR="005F78FC" w:rsidRDefault="005F78FC">
            <w:pPr>
              <w:pStyle w:val="TableBodyText"/>
            </w:pPr>
          </w:p>
          <w:p w:rsidR="005F78FC" w:rsidRDefault="00B42EF3">
            <w:pPr>
              <w:pStyle w:val="TableBodyText"/>
            </w:pPr>
            <w:r>
              <w:t xml:space="preserve">If applied to any other element, this attribute MUST be </w:t>
            </w:r>
            <w:r>
              <w:t>ignored.</w:t>
            </w:r>
          </w:p>
          <w:p w:rsidR="005F78FC" w:rsidRDefault="005F78FC">
            <w:pPr>
              <w:pStyle w:val="TableBodyText"/>
            </w:pPr>
          </w:p>
          <w:p w:rsidR="005F78FC" w:rsidRDefault="00B42EF3">
            <w:pPr>
              <w:pStyle w:val="TableBodyText"/>
            </w:pPr>
            <w:r>
              <w:t>The possible values for this attribute are defined by the XML Schema string datatype.</w:t>
            </w:r>
          </w:p>
        </w:tc>
      </w:tr>
      <w:tr w:rsidR="005F78FC" w:rsidTr="005F78FC">
        <w:tc>
          <w:tcPr>
            <w:tcW w:w="0" w:type="auto"/>
            <w:vAlign w:val="center"/>
          </w:tcPr>
          <w:p w:rsidR="005F78FC" w:rsidRDefault="00B42EF3">
            <w:pPr>
              <w:pStyle w:val="TableBodyText"/>
            </w:pPr>
            <w:r>
              <w:rPr>
                <w:b/>
              </w:rPr>
              <w:t>taxonomyMulti</w:t>
            </w:r>
            <w:r>
              <w:t xml:space="preserve"> (Allow Multiple Value Flag)</w:t>
            </w:r>
          </w:p>
        </w:tc>
        <w:tc>
          <w:tcPr>
            <w:tcW w:w="0" w:type="auto"/>
            <w:vAlign w:val="center"/>
          </w:tcPr>
          <w:p w:rsidR="005F78FC" w:rsidRDefault="00B42EF3">
            <w:pPr>
              <w:pStyle w:val="TableBodyText"/>
            </w:pPr>
            <w:r>
              <w:t>If set to "false", specifies that only single values are displayed as valid in the property editing UI for the proper</w:t>
            </w:r>
            <w:r>
              <w:t>ty corresponding to this xsd:element.</w:t>
            </w:r>
          </w:p>
          <w:p w:rsidR="005F78FC" w:rsidRDefault="005F78FC">
            <w:pPr>
              <w:pStyle w:val="TableBodyText"/>
            </w:pPr>
          </w:p>
          <w:p w:rsidR="005F78FC" w:rsidRDefault="00B42EF3">
            <w:pPr>
              <w:pStyle w:val="TableBodyText"/>
            </w:pPr>
            <w:r>
              <w:t>MUST be present on xsd:elements for which the taxonomy attribute is set to "true".</w:t>
            </w:r>
          </w:p>
          <w:p w:rsidR="005F78FC" w:rsidRDefault="005F78FC">
            <w:pPr>
              <w:pStyle w:val="TableBodyText"/>
            </w:pPr>
          </w:p>
          <w:p w:rsidR="005F78FC" w:rsidRDefault="00B42EF3">
            <w:pPr>
              <w:pStyle w:val="TableBodyText"/>
            </w:pPr>
            <w:r>
              <w:t>If applied to any other element, this attribute MUST be ignored.</w:t>
            </w:r>
          </w:p>
          <w:p w:rsidR="005F78FC" w:rsidRDefault="005F78FC">
            <w:pPr>
              <w:pStyle w:val="TableBodyText"/>
            </w:pPr>
          </w:p>
          <w:p w:rsidR="005F78FC" w:rsidRDefault="00B42EF3">
            <w:pPr>
              <w:pStyle w:val="TableBodyText"/>
            </w:pPr>
            <w:r>
              <w:t>The possible values for this attribute are defined by the XML Schem</w:t>
            </w:r>
            <w:r>
              <w:t>a boolean datatype.</w:t>
            </w:r>
          </w:p>
        </w:tc>
      </w:tr>
      <w:tr w:rsidR="005F78FC" w:rsidTr="005F78FC">
        <w:tc>
          <w:tcPr>
            <w:tcW w:w="0" w:type="auto"/>
            <w:vAlign w:val="center"/>
          </w:tcPr>
          <w:p w:rsidR="005F78FC" w:rsidRDefault="00B42EF3">
            <w:pPr>
              <w:pStyle w:val="TableBodyText"/>
            </w:pPr>
            <w:r>
              <w:rPr>
                <w:b/>
              </w:rPr>
              <w:t>termSetId</w:t>
            </w:r>
            <w:r>
              <w:t xml:space="preserve"> (Term Set ID)</w:t>
            </w:r>
          </w:p>
        </w:tc>
        <w:tc>
          <w:tcPr>
            <w:tcW w:w="0" w:type="auto"/>
            <w:vAlign w:val="center"/>
          </w:tcPr>
          <w:p w:rsidR="005F78FC" w:rsidRDefault="00B42EF3">
            <w:pPr>
              <w:pStyle w:val="TableBodyText"/>
            </w:pPr>
            <w:r>
              <w:t>Specifies the term set used in the property editing UI for the property corresponding to this xsd:element.</w:t>
            </w:r>
          </w:p>
          <w:p w:rsidR="005F78FC" w:rsidRDefault="005F78FC">
            <w:pPr>
              <w:pStyle w:val="TableBodyText"/>
            </w:pPr>
          </w:p>
          <w:p w:rsidR="005F78FC" w:rsidRDefault="00B42EF3">
            <w:pPr>
              <w:pStyle w:val="TableBodyText"/>
            </w:pPr>
            <w:r>
              <w:t xml:space="preserve">MUST be present on xsd:elements for which the taxonomy attribute is set to "true", and MUST be set to </w:t>
            </w:r>
            <w:r>
              <w:t>"00000000-0000-0000-0000-000000000000" on xsd:elements for which the isKeyword attribute is set to "true".</w:t>
            </w:r>
          </w:p>
          <w:p w:rsidR="005F78FC" w:rsidRDefault="005F78FC">
            <w:pPr>
              <w:pStyle w:val="TableBodyText"/>
            </w:pPr>
          </w:p>
          <w:p w:rsidR="005F78FC" w:rsidRDefault="00B42EF3">
            <w:pPr>
              <w:pStyle w:val="TableBodyText"/>
            </w:pPr>
            <w:r>
              <w:t>If applied to any other element, this attribute MUST be ignored.</w:t>
            </w:r>
          </w:p>
          <w:p w:rsidR="005F78FC" w:rsidRDefault="005F78FC">
            <w:pPr>
              <w:pStyle w:val="TableBodyText"/>
            </w:pPr>
          </w:p>
          <w:p w:rsidR="005F78FC" w:rsidRDefault="00B42EF3">
            <w:pPr>
              <w:pStyle w:val="TableBodyText"/>
            </w:pPr>
            <w:r>
              <w:t>The possible values for this attribute are defined by the ST_UniqueIdentifierWitho</w:t>
            </w:r>
            <w:r>
              <w:t>utBraces simple type (§3.5.2.2.2.5, ST_UniqueIdentifierWithoutBraces).</w:t>
            </w:r>
          </w:p>
        </w:tc>
      </w:tr>
      <w:tr w:rsidR="005F78FC" w:rsidTr="005F78FC">
        <w:tc>
          <w:tcPr>
            <w:tcW w:w="0" w:type="auto"/>
            <w:vAlign w:val="center"/>
          </w:tcPr>
          <w:p w:rsidR="005F78FC" w:rsidRDefault="00B42EF3">
            <w:pPr>
              <w:pStyle w:val="TableBodyText"/>
            </w:pPr>
            <w:r>
              <w:rPr>
                <w:b/>
              </w:rPr>
              <w:lastRenderedPageBreak/>
              <w:t>web</w:t>
            </w:r>
            <w:r>
              <w:t xml:space="preserve"> (Site Identifier)</w:t>
            </w:r>
          </w:p>
        </w:tc>
        <w:tc>
          <w:tcPr>
            <w:tcW w:w="0" w:type="auto"/>
            <w:vAlign w:val="center"/>
          </w:tcPr>
          <w:p w:rsidR="005F78FC" w:rsidRDefault="00B42EF3">
            <w:pPr>
              <w:pStyle w:val="TableBodyText"/>
            </w:pPr>
            <w:r>
              <w:t xml:space="preserve">When applied to an </w:t>
            </w:r>
            <w:r>
              <w:rPr>
                <w:b/>
              </w:rPr>
              <w:t>xsd:element</w:t>
            </w:r>
            <w:r>
              <w:t xml:space="preserve"> for which neither the hidden nor read-only attributes are set to </w:t>
            </w:r>
            <w:r>
              <w:rPr>
                <w:i/>
              </w:rPr>
              <w:t>true</w:t>
            </w:r>
            <w:r>
              <w:t xml:space="preserve"> in a schema other than the root schema or core schema whose c</w:t>
            </w:r>
            <w:r>
              <w:t xml:space="preserve">ontent model is an </w:t>
            </w:r>
            <w:r>
              <w:rPr>
                <w:b/>
              </w:rPr>
              <w:t>xsd:restriction</w:t>
            </w:r>
            <w:r>
              <w:t xml:space="preserve"> based on {http://schemas.microsoft.com/office/2006/documentManagement/types}Lookup or {http://schemas.microsoft.com/office/2006/documentManagement/types}MultiLookup, specifies the site of the list from which to get data f</w:t>
            </w:r>
            <w:r>
              <w:t xml:space="preserve">or display of the property corresponding to this </w:t>
            </w:r>
            <w:r>
              <w:rPr>
                <w:b/>
              </w:rPr>
              <w:t>xsd:element</w:t>
            </w:r>
            <w:r>
              <w:t xml:space="preserve"> in the property editing surface.</w:t>
            </w:r>
          </w:p>
          <w:p w:rsidR="005F78FC" w:rsidRDefault="005F78FC">
            <w:pPr>
              <w:pStyle w:val="TableBodyText"/>
            </w:pPr>
          </w:p>
          <w:p w:rsidR="005F78FC" w:rsidRDefault="00B42EF3">
            <w:pPr>
              <w:pStyle w:val="TableBodyText"/>
            </w:pPr>
            <w:r>
              <w:t>If applied to any other element, this attribute should be ignored.</w:t>
            </w:r>
          </w:p>
          <w:p w:rsidR="005F78FC" w:rsidRDefault="005F78FC">
            <w:pPr>
              <w:pStyle w:val="TableBodyText"/>
            </w:pPr>
          </w:p>
          <w:p w:rsidR="005F78FC" w:rsidRDefault="00B42EF3">
            <w:pPr>
              <w:pStyle w:val="TableBodyText"/>
            </w:pPr>
            <w:r>
              <w:t>The possible values for this attribute are defined by the ST_UniqueIdentifierWithoutBraces si</w:t>
            </w:r>
            <w:r>
              <w:t>mple type (§3.5.2.2.2.5, ST_UniqueIdentifierWithoutBraces).</w:t>
            </w:r>
          </w:p>
        </w:tc>
      </w:tr>
    </w:tbl>
    <w:p w:rsidR="005F78FC" w:rsidRDefault="005F78FC"/>
    <w:p w:rsidR="005F78FC" w:rsidRDefault="00B42EF3">
      <w:r>
        <w:t>The following XML Schema fragment defines the contents of this element:</w:t>
      </w:r>
    </w:p>
    <w:p w:rsidR="005F78FC" w:rsidRDefault="00B42EF3">
      <w:pPr>
        <w:pStyle w:val="Code"/>
      </w:pPr>
      <w:r>
        <w:t>&lt;complexType name="CT_Dummy"&gt;</w:t>
      </w:r>
    </w:p>
    <w:p w:rsidR="005F78FC" w:rsidRDefault="00B42EF3">
      <w:pPr>
        <w:pStyle w:val="Code"/>
      </w:pPr>
      <w:r>
        <w:t xml:space="preserve">  &lt;attribute name="anchorId" type="ST_UniqueIdentifierWithoutBraces"/&gt;</w:t>
      </w:r>
    </w:p>
    <w:p w:rsidR="005F78FC" w:rsidRDefault="00B42EF3">
      <w:pPr>
        <w:pStyle w:val="Code"/>
      </w:pPr>
      <w:r>
        <w:t xml:space="preserve">  &lt;attribute name="de</w:t>
      </w:r>
      <w:r>
        <w:t>cimals" type="xsd:string"/&gt;</w:t>
      </w:r>
    </w:p>
    <w:p w:rsidR="005F78FC" w:rsidRDefault="00B42EF3">
      <w:pPr>
        <w:pStyle w:val="Code"/>
      </w:pPr>
      <w:r>
        <w:t xml:space="preserve">  &lt;attribute name="default" type="xsd:string"/&gt;</w:t>
      </w:r>
    </w:p>
    <w:p w:rsidR="005F78FC" w:rsidRDefault="00B42EF3">
      <w:pPr>
        <w:pStyle w:val="Code"/>
      </w:pPr>
      <w:r>
        <w:t xml:space="preserve">  &lt;attribute name="description" type="xsd:string"/&gt;</w:t>
      </w:r>
    </w:p>
    <w:p w:rsidR="005F78FC" w:rsidRDefault="00B42EF3">
      <w:pPr>
        <w:pStyle w:val="Code"/>
      </w:pPr>
      <w:r>
        <w:t xml:space="preserve">  &lt;attribute name="displayName" type="xsd:string"/&gt;</w:t>
      </w:r>
    </w:p>
    <w:p w:rsidR="005F78FC" w:rsidRDefault="00B42EF3">
      <w:pPr>
        <w:pStyle w:val="Code"/>
      </w:pPr>
      <w:r>
        <w:t xml:space="preserve">  &lt;attribute name="fieldId" type="ST_UniqueIdentifier"/&gt;</w:t>
      </w:r>
    </w:p>
    <w:p w:rsidR="005F78FC" w:rsidRDefault="00B42EF3">
      <w:pPr>
        <w:pStyle w:val="Code"/>
      </w:pPr>
      <w:r>
        <w:t xml:space="preserve">  &lt;</w:t>
      </w:r>
      <w:r>
        <w:t>attribute name="fieldsID" type="xsd:string"/&gt;</w:t>
      </w:r>
    </w:p>
    <w:p w:rsidR="005F78FC" w:rsidRDefault="00B42EF3">
      <w:pPr>
        <w:pStyle w:val="Code"/>
      </w:pPr>
      <w:r>
        <w:t xml:space="preserve">  &lt;attribute name="format" type="xsd:string"/&gt;</w:t>
      </w:r>
    </w:p>
    <w:p w:rsidR="005F78FC" w:rsidRDefault="00B42EF3">
      <w:pPr>
        <w:pStyle w:val="Code"/>
      </w:pPr>
      <w:r>
        <w:t xml:space="preserve">  &lt;attribute name="hidden" type="xsd:string"/&gt;</w:t>
      </w:r>
    </w:p>
    <w:p w:rsidR="005F78FC" w:rsidRDefault="00B42EF3">
      <w:pPr>
        <w:pStyle w:val="Code"/>
      </w:pPr>
      <w:r>
        <w:t xml:space="preserve">  &lt;attribute name="index" type="ST_IntNonNegative"/&gt;</w:t>
      </w:r>
    </w:p>
    <w:p w:rsidR="005F78FC" w:rsidRDefault="00B42EF3">
      <w:pPr>
        <w:pStyle w:val="Code"/>
      </w:pPr>
      <w:r>
        <w:t xml:space="preserve">  &lt;attribute name="indexed" type="xsd:string"/&gt;</w:t>
      </w:r>
    </w:p>
    <w:p w:rsidR="005F78FC" w:rsidRDefault="00B42EF3">
      <w:pPr>
        <w:pStyle w:val="Code"/>
      </w:pPr>
      <w:r>
        <w:t xml:space="preserve">  &lt;attribute na</w:t>
      </w:r>
      <w:r>
        <w:t>me="internalName" type="xsd:string"/&gt;</w:t>
      </w:r>
    </w:p>
    <w:p w:rsidR="005F78FC" w:rsidRDefault="00B42EF3">
      <w:pPr>
        <w:pStyle w:val="Code"/>
      </w:pPr>
      <w:r>
        <w:t xml:space="preserve">  &lt;attribute name="isKeyword" type="xsd:string"/&gt;</w:t>
      </w:r>
    </w:p>
    <w:p w:rsidR="005F78FC" w:rsidRDefault="00B42EF3">
      <w:pPr>
        <w:pStyle w:val="Code"/>
      </w:pPr>
      <w:r>
        <w:t xml:space="preserve">  &lt;attribute name="LCID" type="xsd:int"/&gt;</w:t>
      </w:r>
    </w:p>
    <w:p w:rsidR="005F78FC" w:rsidRDefault="00B42EF3">
      <w:pPr>
        <w:pStyle w:val="Code"/>
      </w:pPr>
      <w:r>
        <w:t xml:space="preserve">  &lt;attribute name="list" type="xsd:string"/&gt;</w:t>
      </w:r>
    </w:p>
    <w:p w:rsidR="005F78FC" w:rsidRDefault="00B42EF3">
      <w:pPr>
        <w:pStyle w:val="Code"/>
      </w:pPr>
      <w:r>
        <w:t xml:space="preserve">  &lt;attribute name="open" type="xsd:string"/&gt;</w:t>
      </w:r>
    </w:p>
    <w:p w:rsidR="005F78FC" w:rsidRDefault="00B42EF3">
      <w:pPr>
        <w:pStyle w:val="Code"/>
      </w:pPr>
      <w:r>
        <w:t xml:space="preserve">  &lt;attribute name="percentage" type=</w:t>
      </w:r>
      <w:r>
        <w:t>"xsd:string"/&gt;</w:t>
      </w:r>
    </w:p>
    <w:p w:rsidR="005F78FC" w:rsidRDefault="00B42EF3">
      <w:pPr>
        <w:pStyle w:val="Code"/>
      </w:pPr>
      <w:r>
        <w:t xml:space="preserve">  &lt;attribute name="readOnly" type="xsd:string"/&gt;</w:t>
      </w:r>
    </w:p>
    <w:p w:rsidR="005F78FC" w:rsidRDefault="00B42EF3">
      <w:pPr>
        <w:pStyle w:val="Code"/>
      </w:pPr>
      <w:r>
        <w:t xml:space="preserve">  &lt;attribute name="requiredMultiChoice" type="xsd:string"/&gt;</w:t>
      </w:r>
    </w:p>
    <w:p w:rsidR="005F78FC" w:rsidRDefault="00B42EF3">
      <w:pPr>
        <w:pStyle w:val="Code"/>
      </w:pPr>
      <w:r>
        <w:t xml:space="preserve">  &lt;attribute name="root" type="ST_TrueOnly"/&gt;</w:t>
      </w:r>
    </w:p>
    <w:p w:rsidR="005F78FC" w:rsidRDefault="00B42EF3">
      <w:pPr>
        <w:pStyle w:val="Code"/>
      </w:pPr>
      <w:r>
        <w:t xml:space="preserve">  &lt;attribute name="showField" type="xsd:string"/&gt;</w:t>
      </w:r>
    </w:p>
    <w:p w:rsidR="005F78FC" w:rsidRDefault="00B42EF3">
      <w:pPr>
        <w:pStyle w:val="Code"/>
      </w:pPr>
      <w:r>
        <w:t xml:space="preserve">  &lt;</w:t>
      </w:r>
      <w:r>
        <w:t>attribute name="sspId" type="ST_UniqueIdentifierWithoutBraces"/&gt;</w:t>
      </w:r>
    </w:p>
    <w:p w:rsidR="005F78FC" w:rsidRDefault="00B42EF3">
      <w:pPr>
        <w:pStyle w:val="Code"/>
      </w:pPr>
      <w:r>
        <w:t xml:space="preserve">  &lt;attribute name="taxonomy" type="xsd:boolean"/&gt;</w:t>
      </w:r>
    </w:p>
    <w:p w:rsidR="005F78FC" w:rsidRDefault="00B42EF3">
      <w:pPr>
        <w:pStyle w:val="Code"/>
      </w:pPr>
      <w:r>
        <w:t xml:space="preserve">  &lt;attribute name="taxonomyFieldName" type="xsd:string"/&gt;</w:t>
      </w:r>
    </w:p>
    <w:p w:rsidR="005F78FC" w:rsidRDefault="00B42EF3">
      <w:pPr>
        <w:pStyle w:val="Code"/>
      </w:pPr>
      <w:r>
        <w:t xml:space="preserve">  &lt;attribute name="taxonomyMulti" type="xsd:boolean"/&gt;</w:t>
      </w:r>
    </w:p>
    <w:p w:rsidR="005F78FC" w:rsidRDefault="00B42EF3">
      <w:pPr>
        <w:pStyle w:val="Code"/>
      </w:pPr>
      <w:r>
        <w:t xml:space="preserve">  &lt;attribute name="termSetId</w:t>
      </w:r>
      <w:r>
        <w:t>" type="ST_UniqueIdentifierWithoutBraces"/&gt;</w:t>
      </w:r>
    </w:p>
    <w:p w:rsidR="005F78FC" w:rsidRDefault="00B42EF3">
      <w:pPr>
        <w:pStyle w:val="Code"/>
      </w:pPr>
      <w:r>
        <w:t xml:space="preserve">  &lt;attribute name="web" type="ST_UniqueIdentifierWithoutBraces"/&gt;</w:t>
      </w:r>
    </w:p>
    <w:p w:rsidR="005F78FC" w:rsidRDefault="00B42EF3">
      <w:pPr>
        <w:pStyle w:val="Code"/>
      </w:pPr>
      <w:r>
        <w:t>&lt;/complexType&gt;</w:t>
      </w:r>
    </w:p>
    <w:p w:rsidR="005F78FC" w:rsidRDefault="00B42EF3">
      <w:pPr>
        <w:pStyle w:val="Heading5"/>
      </w:pPr>
      <w:bookmarkStart w:id="4083" w:name="section_93cad72f9088475cad522414313896bd"/>
      <w:bookmarkStart w:id="4084" w:name="_Toc69879814"/>
      <w:r>
        <w:t>Simple Types</w:t>
      </w:r>
      <w:bookmarkEnd w:id="4083"/>
      <w:bookmarkEnd w:id="4084"/>
      <w:r>
        <w:fldChar w:fldCharType="begin"/>
      </w:r>
      <w:r>
        <w:instrText xml:space="preserve"> XE "Simple Types" </w:instrText>
      </w:r>
      <w:r>
        <w:fldChar w:fldCharType="end"/>
      </w:r>
    </w:p>
    <w:p w:rsidR="005F78FC" w:rsidRDefault="00B42EF3">
      <w:r>
        <w:t>This is the complete list of simple types in the http://schemas.microsoft.com/office/2006/metadat</w:t>
      </w:r>
      <w:r>
        <w:t>a/properties/metaAttributes namespace.</w:t>
      </w:r>
    </w:p>
    <w:p w:rsidR="005F78FC" w:rsidRDefault="00B42EF3">
      <w:pPr>
        <w:pStyle w:val="Heading6"/>
      </w:pPr>
      <w:bookmarkStart w:id="4085" w:name="section_786223f9b8ff46fdade3b42236e6297f"/>
      <w:bookmarkStart w:id="4086" w:name="_Toc69879815"/>
      <w:r>
        <w:lastRenderedPageBreak/>
        <w:t>ST_ContentTypeId (Content Type ID)</w:t>
      </w:r>
      <w:bookmarkEnd w:id="4085"/>
      <w:bookmarkEnd w:id="4086"/>
      <w:r>
        <w:fldChar w:fldCharType="begin"/>
      </w:r>
      <w:r>
        <w:instrText xml:space="preserve"> XE "ST_ContentTypeId (Content Type ID)" </w:instrText>
      </w:r>
      <w:r>
        <w:fldChar w:fldCharType="end"/>
      </w:r>
    </w:p>
    <w:p w:rsidR="005F78FC" w:rsidRDefault="00B42EF3">
      <w:r>
        <w:t>This simple type's contents are a restriction of the XML Schema string datatype.</w:t>
      </w:r>
    </w:p>
    <w:p w:rsidR="005F78FC" w:rsidRDefault="00B42EF3">
      <w:r>
        <w:t xml:space="preserve">This simple type also specifies the following </w:t>
      </w:r>
      <w:r>
        <w:t>restrictions:</w:t>
      </w:r>
    </w:p>
    <w:p w:rsidR="005F78FC" w:rsidRDefault="00B42EF3">
      <w:pPr>
        <w:pStyle w:val="ListParagraph"/>
        <w:numPr>
          <w:ilvl w:val="0"/>
          <w:numId w:val="214"/>
        </w:numPr>
        <w:contextualSpacing/>
      </w:pPr>
      <w:r>
        <w:t>This simple type's contents shall match the following regular expression pattern: 0x([0-9A-Fa-f][1-9A-Fa-f]|[1-9A-Fa-f][0-9A-Fa-f]|00[0-9A-Fa-f]{32})*.</w:t>
      </w:r>
    </w:p>
    <w:p w:rsidR="005F78FC" w:rsidRDefault="00B42EF3">
      <w:pPr>
        <w:pStyle w:val="ListParagraph"/>
        <w:numPr>
          <w:ilvl w:val="0"/>
          <w:numId w:val="214"/>
        </w:numPr>
        <w:contextualSpacing/>
      </w:pPr>
      <w:r>
        <w:t>This simple type's contents have a maximum length of 1026 characters.</w:t>
      </w:r>
    </w:p>
    <w:p w:rsidR="005F78FC" w:rsidRDefault="00B42EF3">
      <w:pPr>
        <w:pStyle w:val="ListParagraph"/>
        <w:numPr>
          <w:ilvl w:val="0"/>
          <w:numId w:val="214"/>
        </w:numPr>
      </w:pPr>
      <w:r>
        <w:t>This simple type's c</w:t>
      </w:r>
      <w:r>
        <w:t>ontents have a minimum length of 2 characters.</w:t>
      </w:r>
    </w:p>
    <w:tbl>
      <w:tblPr>
        <w:tblStyle w:val="Table-ShadedHeader"/>
        <w:tblW w:w="0" w:type="auto"/>
        <w:tblLook w:val="04A0" w:firstRow="1" w:lastRow="0" w:firstColumn="1" w:lastColumn="0" w:noHBand="0" w:noVBand="1"/>
      </w:tblPr>
      <w:tblGrid>
        <w:gridCol w:w="6492"/>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Referenced By</w:t>
            </w:r>
          </w:p>
        </w:tc>
      </w:tr>
      <w:tr w:rsidR="005F78FC" w:rsidTr="005F78FC">
        <w:tc>
          <w:tcPr>
            <w:tcW w:w="0" w:type="auto"/>
            <w:vAlign w:val="center"/>
          </w:tcPr>
          <w:p w:rsidR="005F78FC" w:rsidRDefault="00B42EF3">
            <w:pPr>
              <w:pStyle w:val="TableBodyText"/>
            </w:pPr>
            <w:r>
              <w:rPr>
                <w:b/>
              </w:rPr>
              <w:t>contentTypeSchema@contentTypeID</w:t>
            </w:r>
            <w:r>
              <w:t xml:space="preserve"> (§</w:t>
            </w:r>
            <w:hyperlink w:anchor="Section_0365ee65da5b44769eaa73f1dda94db8">
              <w:r>
                <w:rPr>
                  <w:rStyle w:val="Hyperlink"/>
                </w:rPr>
                <w:t>3.5.2.1.1.1, contentTypeSchema</w:t>
              </w:r>
            </w:hyperlink>
            <w:r>
              <w:t>)</w:t>
            </w:r>
          </w:p>
        </w:tc>
      </w:tr>
    </w:tbl>
    <w:p w:rsidR="005F78FC" w:rsidRDefault="005F78FC"/>
    <w:p w:rsidR="005F78FC" w:rsidRDefault="00B42EF3">
      <w:r>
        <w:t xml:space="preserve">The following XML Schema fragment defines the contents of this </w:t>
      </w:r>
      <w:r>
        <w:t>simple type:</w:t>
      </w:r>
    </w:p>
    <w:p w:rsidR="005F78FC" w:rsidRDefault="00B42EF3">
      <w:pPr>
        <w:pStyle w:val="Code"/>
      </w:pPr>
      <w:r>
        <w:t>&lt;simpleType name="ST_ContentTypeId"&gt;</w:t>
      </w:r>
    </w:p>
    <w:p w:rsidR="005F78FC" w:rsidRDefault="00B42EF3">
      <w:pPr>
        <w:pStyle w:val="Code"/>
      </w:pPr>
      <w:r>
        <w:t xml:space="preserve">  &lt;restriction base="xsd:string"&gt;</w:t>
      </w:r>
    </w:p>
    <w:p w:rsidR="005F78FC" w:rsidRDefault="00B42EF3">
      <w:pPr>
        <w:pStyle w:val="Code"/>
      </w:pPr>
      <w:r>
        <w:t xml:space="preserve">    &lt;pattern value="0x([0-9A-Fa-f][1-9A-Fa-f]|[1-9A-Fa-f][0-9A-Fa-f]|00[0-9A-Fa-f]{32})*"/&gt;</w:t>
      </w:r>
    </w:p>
    <w:p w:rsidR="005F78FC" w:rsidRDefault="00B42EF3">
      <w:pPr>
        <w:pStyle w:val="Code"/>
      </w:pPr>
      <w:r>
        <w:t xml:space="preserve">    &lt;minLength value="2"/&gt;</w:t>
      </w:r>
    </w:p>
    <w:p w:rsidR="005F78FC" w:rsidRDefault="00B42EF3">
      <w:pPr>
        <w:pStyle w:val="Code"/>
      </w:pPr>
      <w:r>
        <w:t xml:space="preserve">    &lt;maxLength value="1026"/&gt;</w:t>
      </w:r>
    </w:p>
    <w:p w:rsidR="005F78FC" w:rsidRDefault="00B42EF3">
      <w:pPr>
        <w:pStyle w:val="Code"/>
      </w:pPr>
      <w:r>
        <w:t xml:space="preserve">  &lt;/restriction&gt;</w:t>
      </w:r>
    </w:p>
    <w:p w:rsidR="005F78FC" w:rsidRDefault="00B42EF3">
      <w:pPr>
        <w:pStyle w:val="Code"/>
      </w:pPr>
      <w:r>
        <w:t>&lt;</w:t>
      </w:r>
      <w:r>
        <w:t>/simpleType&gt;</w:t>
      </w:r>
    </w:p>
    <w:p w:rsidR="005F78FC" w:rsidRDefault="00B42EF3">
      <w:pPr>
        <w:pStyle w:val="Heading6"/>
      </w:pPr>
      <w:bookmarkStart w:id="4087" w:name="section_fc63ec620566496f8ec8cb3ee90bdd9a"/>
      <w:bookmarkStart w:id="4088" w:name="_Toc69879816"/>
      <w:r>
        <w:t>ST_IntNonNegative (Non-Negative Integer)</w:t>
      </w:r>
      <w:bookmarkEnd w:id="4087"/>
      <w:bookmarkEnd w:id="4088"/>
      <w:r>
        <w:fldChar w:fldCharType="begin"/>
      </w:r>
      <w:r>
        <w:instrText xml:space="preserve"> XE "ST_IntNonNegative (Non-Negative Integer)" </w:instrText>
      </w:r>
      <w:r>
        <w:fldChar w:fldCharType="end"/>
      </w:r>
    </w:p>
    <w:p w:rsidR="005F78FC" w:rsidRDefault="00B42EF3">
      <w:r>
        <w:t>This simple type's contents are a restriction of the XML Schema int datatype.</w:t>
      </w:r>
    </w:p>
    <w:p w:rsidR="005F78FC" w:rsidRDefault="00B42EF3">
      <w:r>
        <w:t>This simple type also specifies the following restrictions:</w:t>
      </w:r>
    </w:p>
    <w:p w:rsidR="005F78FC" w:rsidRDefault="00B42EF3">
      <w:pPr>
        <w:pStyle w:val="ListParagraph"/>
        <w:numPr>
          <w:ilvl w:val="0"/>
          <w:numId w:val="215"/>
        </w:numPr>
      </w:pPr>
      <w:r>
        <w:t>This simple typ</w:t>
      </w:r>
      <w:r>
        <w:t>e has a minimum value of greater than or equal to 0.</w:t>
      </w:r>
    </w:p>
    <w:tbl>
      <w:tblPr>
        <w:tblStyle w:val="Table-ShadedHeader"/>
        <w:tblW w:w="0" w:type="auto"/>
        <w:tblLook w:val="04A0" w:firstRow="1" w:lastRow="0" w:firstColumn="1" w:lastColumn="0" w:noHBand="0" w:noVBand="1"/>
      </w:tblPr>
      <w:tblGrid>
        <w:gridCol w:w="9475"/>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Referenced By</w:t>
            </w:r>
          </w:p>
        </w:tc>
      </w:tr>
      <w:tr w:rsidR="005F78FC" w:rsidTr="005F78FC">
        <w:tc>
          <w:tcPr>
            <w:tcW w:w="0" w:type="auto"/>
            <w:vAlign w:val="center"/>
          </w:tcPr>
          <w:p w:rsidR="005F78FC" w:rsidRDefault="00B42EF3">
            <w:pPr>
              <w:pStyle w:val="TableBodyText"/>
            </w:pPr>
            <w:r>
              <w:rPr>
                <w:b/>
              </w:rPr>
              <w:t>contentTypeSchema@contentTypeVersion</w:t>
            </w:r>
            <w:r>
              <w:t xml:space="preserve"> (§</w:t>
            </w:r>
            <w:hyperlink w:anchor="Section_0365ee65da5b44769eaa73f1dda94db8">
              <w:r>
                <w:rPr>
                  <w:rStyle w:val="Hyperlink"/>
                </w:rPr>
                <w:t>3.5.2.1.1.1, contentTypeSchema</w:t>
              </w:r>
            </w:hyperlink>
            <w:r>
              <w:t xml:space="preserve">); </w:t>
            </w:r>
            <w:r>
              <w:rPr>
                <w:b/>
              </w:rPr>
              <w:t>Shared Attributes@index</w:t>
            </w:r>
            <w:r>
              <w:t xml:space="preserve"> (§</w:t>
            </w:r>
            <w:hyperlink w:anchor="Section_83c200b15a6944308fe6adc3583034a2">
              <w:r>
                <w:rPr>
                  <w:rStyle w:val="Hyperlink"/>
                </w:rPr>
                <w:t>3.5.2.2.1, Shared Attributes</w:t>
              </w:r>
            </w:hyperlink>
            <w:r>
              <w:t>)</w:t>
            </w:r>
          </w:p>
        </w:tc>
      </w:tr>
    </w:tbl>
    <w:p w:rsidR="005F78FC" w:rsidRDefault="005F78FC"/>
    <w:p w:rsidR="005F78FC" w:rsidRDefault="00B42EF3">
      <w:r>
        <w:t>The following XML Schema fragment defines the contents of this simple type:</w:t>
      </w:r>
    </w:p>
    <w:p w:rsidR="005F78FC" w:rsidRDefault="00B42EF3">
      <w:pPr>
        <w:pStyle w:val="Code"/>
      </w:pPr>
      <w:r>
        <w:t>&lt;simpleType name="ST_IntNonNegative"&gt;</w:t>
      </w:r>
    </w:p>
    <w:p w:rsidR="005F78FC" w:rsidRDefault="00B42EF3">
      <w:pPr>
        <w:pStyle w:val="Code"/>
      </w:pPr>
      <w:r>
        <w:t xml:space="preserve">  &lt;restriction base="xsd:int"&gt;</w:t>
      </w:r>
    </w:p>
    <w:p w:rsidR="005F78FC" w:rsidRDefault="00B42EF3">
      <w:pPr>
        <w:pStyle w:val="Code"/>
      </w:pPr>
      <w:r>
        <w:t xml:space="preserve">    &lt;minInclusive value="0"/&gt;</w:t>
      </w:r>
    </w:p>
    <w:p w:rsidR="005F78FC" w:rsidRDefault="00B42EF3">
      <w:pPr>
        <w:pStyle w:val="Code"/>
      </w:pPr>
      <w:r>
        <w:t xml:space="preserve">  &lt;/restricti</w:t>
      </w:r>
      <w:r>
        <w:t>on&gt;</w:t>
      </w:r>
    </w:p>
    <w:p w:rsidR="005F78FC" w:rsidRDefault="00B42EF3">
      <w:pPr>
        <w:pStyle w:val="Code"/>
      </w:pPr>
      <w:r>
        <w:t>&lt;/simpleType&gt;</w:t>
      </w:r>
    </w:p>
    <w:p w:rsidR="005F78FC" w:rsidRDefault="00B42EF3">
      <w:pPr>
        <w:pStyle w:val="Heading6"/>
      </w:pPr>
      <w:bookmarkStart w:id="4089" w:name="section_f2dd832362924b9bbc07123e1aad7cc1"/>
      <w:bookmarkStart w:id="4090" w:name="_Toc69879817"/>
      <w:r>
        <w:t>ST_TrueOnly (True Only)</w:t>
      </w:r>
      <w:bookmarkEnd w:id="4089"/>
      <w:bookmarkEnd w:id="4090"/>
      <w:r>
        <w:fldChar w:fldCharType="begin"/>
      </w:r>
      <w:r>
        <w:instrText xml:space="preserve"> XE "ST_TrueOnly (True Only)" </w:instrText>
      </w:r>
      <w:r>
        <w:fldChar w:fldCharType="end"/>
      </w:r>
    </w:p>
    <w:p w:rsidR="005F78FC" w:rsidRDefault="00B42EF3">
      <w:r>
        <w:t>This simple type's contents are a restriction of the XML Schema string datatype.</w:t>
      </w:r>
    </w:p>
    <w:p w:rsidR="005F78FC" w:rsidRDefault="00B42EF3">
      <w:r>
        <w:t>The following are possible enumeration values for this type:</w:t>
      </w:r>
    </w:p>
    <w:tbl>
      <w:tblPr>
        <w:tblStyle w:val="Table-ShadedHeader"/>
        <w:tblW w:w="0" w:type="auto"/>
        <w:tblLook w:val="04A0" w:firstRow="1" w:lastRow="0" w:firstColumn="1" w:lastColumn="0" w:noHBand="0" w:noVBand="1"/>
      </w:tblPr>
      <w:tblGrid>
        <w:gridCol w:w="1940"/>
        <w:gridCol w:w="1256"/>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lastRenderedPageBreak/>
              <w:t>Enumeration Value</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rPr>
                <w:b/>
              </w:rPr>
              <w:t>true</w:t>
            </w:r>
            <w:r>
              <w:t xml:space="preserve"> ()</w:t>
            </w:r>
          </w:p>
        </w:tc>
        <w:tc>
          <w:tcPr>
            <w:tcW w:w="0" w:type="auto"/>
            <w:vAlign w:val="center"/>
          </w:tcPr>
          <w:p w:rsidR="005F78FC" w:rsidRDefault="005F78FC">
            <w:pPr>
              <w:pStyle w:val="TableBodyText"/>
            </w:pPr>
          </w:p>
        </w:tc>
      </w:tr>
    </w:tbl>
    <w:p w:rsidR="005F78FC" w:rsidRDefault="005F78FC"/>
    <w:p w:rsidR="005F78FC" w:rsidRDefault="005F78FC"/>
    <w:tbl>
      <w:tblPr>
        <w:tblStyle w:val="Table-ShadedHeader"/>
        <w:tblW w:w="0" w:type="auto"/>
        <w:tblLook w:val="04A0" w:firstRow="1" w:lastRow="0" w:firstColumn="1" w:lastColumn="0" w:noHBand="0" w:noVBand="1"/>
      </w:tblPr>
      <w:tblGrid>
        <w:gridCol w:w="4924"/>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Referenced By</w:t>
            </w:r>
          </w:p>
        </w:tc>
      </w:tr>
      <w:tr w:rsidR="005F78FC" w:rsidTr="005F78FC">
        <w:tc>
          <w:tcPr>
            <w:tcW w:w="0" w:type="auto"/>
            <w:vAlign w:val="center"/>
          </w:tcPr>
          <w:p w:rsidR="005F78FC" w:rsidRDefault="00B42EF3">
            <w:pPr>
              <w:pStyle w:val="TableBodyText"/>
            </w:pPr>
            <w:r>
              <w:rPr>
                <w:b/>
              </w:rPr>
              <w:t>Shared Attributes@root</w:t>
            </w:r>
            <w:r>
              <w:t xml:space="preserve"> (§</w:t>
            </w:r>
            <w:hyperlink w:anchor="Section_83c200b15a6944308fe6adc3583034a2">
              <w:r>
                <w:rPr>
                  <w:rStyle w:val="Hyperlink"/>
                </w:rPr>
                <w:t>3.5.2.2.1, Shared Attributes</w:t>
              </w:r>
            </w:hyperlink>
            <w:r>
              <w:t>)</w:t>
            </w:r>
          </w:p>
        </w:tc>
      </w:tr>
    </w:tbl>
    <w:p w:rsidR="005F78FC" w:rsidRDefault="005F78FC"/>
    <w:p w:rsidR="005F78FC" w:rsidRDefault="00B42EF3">
      <w:r>
        <w:t>The following XML Schema fragment defines the contents of this simple type:</w:t>
      </w:r>
    </w:p>
    <w:p w:rsidR="005F78FC" w:rsidRDefault="00B42EF3">
      <w:pPr>
        <w:pStyle w:val="Code"/>
      </w:pPr>
      <w:r>
        <w:t>&lt;simpleType name="ST_TrueOnly"&gt;</w:t>
      </w:r>
    </w:p>
    <w:p w:rsidR="005F78FC" w:rsidRDefault="00B42EF3">
      <w:pPr>
        <w:pStyle w:val="Code"/>
      </w:pPr>
      <w:r>
        <w:t xml:space="preserve">  &lt;</w:t>
      </w:r>
      <w:r>
        <w:t>restriction base="xsd:string"&gt;</w:t>
      </w:r>
    </w:p>
    <w:p w:rsidR="005F78FC" w:rsidRDefault="00B42EF3">
      <w:pPr>
        <w:pStyle w:val="Code"/>
      </w:pPr>
      <w:r>
        <w:t xml:space="preserve">    &lt;enumeration value="true"/&gt;</w:t>
      </w:r>
    </w:p>
    <w:p w:rsidR="005F78FC" w:rsidRDefault="00B42EF3">
      <w:pPr>
        <w:pStyle w:val="Code"/>
      </w:pPr>
      <w:r>
        <w:t xml:space="preserve">  &lt;/restriction&gt;</w:t>
      </w:r>
    </w:p>
    <w:p w:rsidR="005F78FC" w:rsidRDefault="00B42EF3">
      <w:pPr>
        <w:pStyle w:val="Code"/>
      </w:pPr>
      <w:r>
        <w:t>&lt;/simpleType&gt;</w:t>
      </w:r>
    </w:p>
    <w:p w:rsidR="005F78FC" w:rsidRDefault="00B42EF3">
      <w:pPr>
        <w:pStyle w:val="Heading6"/>
      </w:pPr>
      <w:bookmarkStart w:id="4091" w:name="section_248f1259824c4068a4ed5c90c1b17f5f"/>
      <w:bookmarkStart w:id="4092" w:name="_Toc69879818"/>
      <w:r>
        <w:t>ST_UniqueIdentifier ()</w:t>
      </w:r>
      <w:bookmarkEnd w:id="4091"/>
      <w:bookmarkEnd w:id="4092"/>
      <w:r>
        <w:fldChar w:fldCharType="begin"/>
      </w:r>
      <w:r>
        <w:instrText xml:space="preserve"> XE "ST_UniqueIdentifier ()" </w:instrText>
      </w:r>
      <w:r>
        <w:fldChar w:fldCharType="end"/>
      </w:r>
    </w:p>
    <w:p w:rsidR="005F78FC" w:rsidRDefault="00B42EF3">
      <w:r>
        <w:t>This simple type's contents are a restriction of the XML Schema string datatype.</w:t>
      </w:r>
    </w:p>
    <w:p w:rsidR="005F78FC" w:rsidRDefault="00B42EF3">
      <w:r>
        <w:t>This simple type also speci</w:t>
      </w:r>
      <w:r>
        <w:t>fies the following restrictions:</w:t>
      </w:r>
    </w:p>
    <w:p w:rsidR="005F78FC" w:rsidRDefault="00B42EF3">
      <w:pPr>
        <w:pStyle w:val="ListParagraph"/>
        <w:numPr>
          <w:ilvl w:val="0"/>
          <w:numId w:val="216"/>
        </w:numPr>
      </w:pPr>
      <w:r>
        <w:t>This simple type's contents shall match the following regular expression pattern: \{[0-9a-fA-F]{8}\-[0-9a-fA-F]{4}\-[0-9a-fA-F]{4}\-[0-9a-fA-F]{4}\-[0-9a-fA-F]{12}\}.</w:t>
      </w:r>
    </w:p>
    <w:tbl>
      <w:tblPr>
        <w:tblStyle w:val="Table-ShadedHeader"/>
        <w:tblW w:w="0" w:type="auto"/>
        <w:tblLook w:val="04A0" w:firstRow="1" w:lastRow="0" w:firstColumn="1" w:lastColumn="0" w:noHBand="0" w:noVBand="1"/>
      </w:tblPr>
      <w:tblGrid>
        <w:gridCol w:w="5146"/>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Referenced By</w:t>
            </w:r>
          </w:p>
        </w:tc>
      </w:tr>
      <w:tr w:rsidR="005F78FC" w:rsidTr="005F78FC">
        <w:tc>
          <w:tcPr>
            <w:tcW w:w="0" w:type="auto"/>
            <w:vAlign w:val="center"/>
          </w:tcPr>
          <w:p w:rsidR="005F78FC" w:rsidRDefault="00B42EF3">
            <w:pPr>
              <w:pStyle w:val="TableBodyText"/>
            </w:pPr>
            <w:r>
              <w:rPr>
                <w:b/>
              </w:rPr>
              <w:t>Shared Attributes@fieldId</w:t>
            </w:r>
            <w:r>
              <w:t xml:space="preserve"> (§</w:t>
            </w:r>
            <w:hyperlink w:anchor="Section_83c200b15a6944308fe6adc3583034a2">
              <w:r>
                <w:rPr>
                  <w:rStyle w:val="Hyperlink"/>
                </w:rPr>
                <w:t>3.5.2.2.1, Shared Attributes</w:t>
              </w:r>
            </w:hyperlink>
            <w:r>
              <w:t>)</w:t>
            </w:r>
          </w:p>
        </w:tc>
      </w:tr>
    </w:tbl>
    <w:p w:rsidR="005F78FC" w:rsidRDefault="005F78FC"/>
    <w:p w:rsidR="005F78FC" w:rsidRDefault="00B42EF3">
      <w:r>
        <w:t>The following XML Schema fragment defines the contents of this simple type:</w:t>
      </w:r>
    </w:p>
    <w:p w:rsidR="005F78FC" w:rsidRDefault="00B42EF3">
      <w:pPr>
        <w:pStyle w:val="Code"/>
      </w:pPr>
      <w:r>
        <w:t>&lt;simpleType name="ST_UniqueIdentifier"&gt;</w:t>
      </w:r>
    </w:p>
    <w:p w:rsidR="005F78FC" w:rsidRDefault="00B42EF3">
      <w:pPr>
        <w:pStyle w:val="Code"/>
      </w:pPr>
      <w:r>
        <w:t xml:space="preserve">  &lt;restriction base="xsd:string"&gt;</w:t>
      </w:r>
    </w:p>
    <w:p w:rsidR="005F78FC" w:rsidRDefault="00B42EF3">
      <w:pPr>
        <w:pStyle w:val="Code"/>
      </w:pPr>
      <w:r>
        <w:t xml:space="preserve">    &lt;</w:t>
      </w:r>
      <w:r>
        <w:t>pattern value="\{[0-9a-fA-F]{8}\-[0-9a-fA-F]{4}\-[0-9a-fA-F]{4}\-[0-9a-fA-F]{4}\-[0-9a-fA-F]{12}\}"/&gt;</w:t>
      </w:r>
    </w:p>
    <w:p w:rsidR="005F78FC" w:rsidRDefault="00B42EF3">
      <w:pPr>
        <w:pStyle w:val="Code"/>
      </w:pPr>
      <w:r>
        <w:t xml:space="preserve">  &lt;/restriction&gt;</w:t>
      </w:r>
    </w:p>
    <w:p w:rsidR="005F78FC" w:rsidRDefault="00B42EF3">
      <w:pPr>
        <w:pStyle w:val="Code"/>
      </w:pPr>
      <w:r>
        <w:t>&lt;/simpleType&gt;</w:t>
      </w:r>
    </w:p>
    <w:p w:rsidR="005F78FC" w:rsidRDefault="00B42EF3">
      <w:pPr>
        <w:pStyle w:val="Heading6"/>
      </w:pPr>
      <w:bookmarkStart w:id="4093" w:name="section_ab99726155c24ba4b3b99819b200389d"/>
      <w:bookmarkStart w:id="4094" w:name="_Toc69879819"/>
      <w:r>
        <w:t>ST_UniqueIdentifierWithoutBraces (Unique Identifier without Braces)</w:t>
      </w:r>
      <w:bookmarkEnd w:id="4093"/>
      <w:bookmarkEnd w:id="4094"/>
      <w:r>
        <w:fldChar w:fldCharType="begin"/>
      </w:r>
      <w:r>
        <w:instrText xml:space="preserve"> XE "ST_UniqueIdentifierWithoutBraces (Unique Identifier</w:instrText>
      </w:r>
      <w:r>
        <w:instrText xml:space="preserve"> without Braces)" </w:instrText>
      </w:r>
      <w:r>
        <w:fldChar w:fldCharType="end"/>
      </w:r>
    </w:p>
    <w:p w:rsidR="005F78FC" w:rsidRDefault="00B42EF3">
      <w:r>
        <w:t>This simple type's contents are a restriction of the XML Schema string datatype.</w:t>
      </w:r>
    </w:p>
    <w:p w:rsidR="005F78FC" w:rsidRDefault="00B42EF3">
      <w:r>
        <w:t>This simple type also specifies the following restrictions:</w:t>
      </w:r>
    </w:p>
    <w:p w:rsidR="005F78FC" w:rsidRDefault="00B42EF3">
      <w:pPr>
        <w:pStyle w:val="ListParagraph"/>
        <w:numPr>
          <w:ilvl w:val="0"/>
          <w:numId w:val="217"/>
        </w:numPr>
      </w:pPr>
      <w:r>
        <w:t>This simple type's contents shall match the following regular expression pattern: [0-9a-fA-F]{</w:t>
      </w:r>
      <w:r>
        <w:t>8}\-[0-9a-fA-F]{4}\-[0-9a-fA-F]{4}\-[0-9a-fA-F]{4}\-[0-9a-fA-F]{12}.</w:t>
      </w:r>
    </w:p>
    <w:tbl>
      <w:tblPr>
        <w:tblStyle w:val="Table-ShadedHeader"/>
        <w:tblW w:w="0" w:type="auto"/>
        <w:tblLook w:val="04A0" w:firstRow="1" w:lastRow="0" w:firstColumn="1" w:lastColumn="0" w:noHBand="0" w:noVBand="1"/>
      </w:tblPr>
      <w:tblGrid>
        <w:gridCol w:w="9475"/>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Referenced By</w:t>
            </w:r>
          </w:p>
        </w:tc>
      </w:tr>
      <w:tr w:rsidR="005F78FC" w:rsidTr="005F78FC">
        <w:tc>
          <w:tcPr>
            <w:tcW w:w="0" w:type="auto"/>
            <w:vAlign w:val="center"/>
          </w:tcPr>
          <w:p w:rsidR="005F78FC" w:rsidRDefault="00B42EF3">
            <w:pPr>
              <w:pStyle w:val="TableBodyText"/>
            </w:pPr>
            <w:r>
              <w:rPr>
                <w:b/>
              </w:rPr>
              <w:t>Shared Attributes@anchorId</w:t>
            </w:r>
            <w:r>
              <w:t xml:space="preserve"> (§</w:t>
            </w:r>
            <w:hyperlink w:anchor="Section_83c200b15a6944308fe6adc3583034a2">
              <w:r>
                <w:rPr>
                  <w:rStyle w:val="Hyperlink"/>
                </w:rPr>
                <w:t>3.5.2.2.1, Shared Attributes</w:t>
              </w:r>
            </w:hyperlink>
            <w:r>
              <w:t xml:space="preserve">); </w:t>
            </w:r>
            <w:r>
              <w:rPr>
                <w:b/>
              </w:rPr>
              <w:t>Shared Attributes@sspId</w:t>
            </w:r>
            <w:r>
              <w:t xml:space="preserve"> (§3.5.2.2.1, Shared </w:t>
            </w:r>
            <w:r>
              <w:lastRenderedPageBreak/>
              <w:t>Attri</w:t>
            </w:r>
            <w:r>
              <w:t xml:space="preserve">butes); </w:t>
            </w:r>
            <w:r>
              <w:rPr>
                <w:b/>
              </w:rPr>
              <w:t>Shared Attributes@termSetId</w:t>
            </w:r>
            <w:r>
              <w:t xml:space="preserve"> (§3.5.2.2.1, Shared Attributes); </w:t>
            </w:r>
            <w:r>
              <w:rPr>
                <w:b/>
              </w:rPr>
              <w:t>Shared Attributes@web</w:t>
            </w:r>
            <w:r>
              <w:t xml:space="preserve"> (§3.5.2.2.1, Shared Attributes)</w:t>
            </w:r>
          </w:p>
        </w:tc>
      </w:tr>
    </w:tbl>
    <w:p w:rsidR="005F78FC" w:rsidRDefault="005F78FC"/>
    <w:p w:rsidR="005F78FC" w:rsidRDefault="00B42EF3">
      <w:r>
        <w:t>The following XML Schema fragment defines the contents of this simple type:</w:t>
      </w:r>
    </w:p>
    <w:p w:rsidR="005F78FC" w:rsidRDefault="00B42EF3">
      <w:pPr>
        <w:pStyle w:val="Code"/>
      </w:pPr>
      <w:r>
        <w:t>&lt;simpleType name="ST_UniqueIdentifierWithoutBraces"&gt;</w:t>
      </w:r>
    </w:p>
    <w:p w:rsidR="005F78FC" w:rsidRDefault="00B42EF3">
      <w:pPr>
        <w:pStyle w:val="Code"/>
      </w:pPr>
      <w:r>
        <w:t xml:space="preserve">  </w:t>
      </w:r>
      <w:r>
        <w:t>&lt;restriction base="xsd:string"&gt;</w:t>
      </w:r>
    </w:p>
    <w:p w:rsidR="005F78FC" w:rsidRDefault="00B42EF3">
      <w:pPr>
        <w:pStyle w:val="Code"/>
      </w:pPr>
      <w:r>
        <w:t xml:space="preserve">    &lt;pattern value="[0-9a-fA-F]{8}\-[0-9a-fA-F]{4}\-[0-9a-fA-F]{4}\-[0-9a-fA-F]{4}\-[0-9a-fA-F]{12}"/&gt;</w:t>
      </w:r>
    </w:p>
    <w:p w:rsidR="005F78FC" w:rsidRDefault="00B42EF3">
      <w:pPr>
        <w:pStyle w:val="Code"/>
      </w:pPr>
      <w:r>
        <w:t xml:space="preserve">  &lt;/restriction&gt;</w:t>
      </w:r>
    </w:p>
    <w:p w:rsidR="005F78FC" w:rsidRDefault="00B42EF3">
      <w:pPr>
        <w:pStyle w:val="Code"/>
      </w:pPr>
      <w:r>
        <w:t>&lt;/simpleType&gt;</w:t>
      </w:r>
    </w:p>
    <w:p w:rsidR="005F78FC" w:rsidRDefault="00B42EF3">
      <w:pPr>
        <w:pStyle w:val="Heading3"/>
      </w:pPr>
      <w:bookmarkStart w:id="4095" w:name="section_115a2521c18a49df82edf87e7941c25f"/>
      <w:bookmarkStart w:id="4096" w:name="_Toc69879820"/>
      <w:r>
        <w:t>Custom Document Information Panel</w:t>
      </w:r>
      <w:bookmarkEnd w:id="4095"/>
      <w:bookmarkEnd w:id="4096"/>
      <w:r>
        <w:fldChar w:fldCharType="begin"/>
      </w:r>
      <w:r>
        <w:instrText xml:space="preserve"> XE "Custom Document Information Panel" </w:instrText>
      </w:r>
      <w:r>
        <w:fldChar w:fldCharType="end"/>
      </w:r>
    </w:p>
    <w:p w:rsidR="005F78FC" w:rsidRDefault="00B42EF3">
      <w:r>
        <w:t>The Custom Doc</w:t>
      </w:r>
      <w:r>
        <w:t>ument Information Panel is comprised of a Custom XML Data Storage Part ("</w:t>
      </w:r>
      <w:hyperlink r:id="rId369">
        <w:r>
          <w:rPr>
            <w:rStyle w:val="Hyperlink"/>
          </w:rPr>
          <w:t>[ISO/IEC-29500-1]</w:t>
        </w:r>
      </w:hyperlink>
      <w:r>
        <w:t xml:space="preserve"> §15.2.5") which contains the Custom Document Information Panel information, and a Custom XML Data S</w:t>
      </w:r>
      <w:r>
        <w:t xml:space="preserve">torage Properties Part ("[ISO/IEC-29500-1] §15.2.6") which contains the set of properties for the custom XML data. </w:t>
      </w:r>
    </w:p>
    <w:p w:rsidR="005F78FC" w:rsidRDefault="00B42EF3">
      <w:r>
        <w:t xml:space="preserve"> The XML contents of the data storage part conform to the schema defined in Custom Document Information Panel Schema (</w:t>
      </w:r>
      <w:hyperlink w:anchor="Section_471bacba8a3243149825ae9d444e1af9">
        <w:r>
          <w:rPr>
            <w:rStyle w:val="Hyperlink"/>
          </w:rPr>
          <w:t>§3.5.3.1, Custom Document Information Panel Schema</w:t>
        </w:r>
      </w:hyperlink>
      <w:r>
        <w:t>).</w:t>
      </w:r>
    </w:p>
    <w:p w:rsidR="005F78FC" w:rsidRDefault="00B42EF3">
      <w:r>
        <w:t>The root element of the Custom XML Data Storage Part shall be customPropertyEditors (</w:t>
      </w:r>
      <w:hyperlink w:anchor="Section_995299bfabca4268b73dcea9be1ff684">
        <w:r>
          <w:rPr>
            <w:rStyle w:val="Hyperlink"/>
          </w:rPr>
          <w:t xml:space="preserve">§3.5.3.1.1.2, </w:t>
        </w:r>
        <w:r>
          <w:rPr>
            <w:rStyle w:val="Hyperlink"/>
          </w:rPr>
          <w:t>customPropertyEditors</w:t>
        </w:r>
      </w:hyperlink>
      <w:r>
        <w:t>).</w:t>
      </w:r>
    </w:p>
    <w:p w:rsidR="005F78FC" w:rsidRDefault="00B42EF3">
      <w:r>
        <w:t xml:space="preserve">The Associated XML Schema ("[ISO/IEC-29500-1] §22.5.2.2; schemaRef") for this Custom XML Data Storage Part shall be “http://schemas.microsoft.com/‌office/‌2006/‌customDocumentInformationPanel”. </w:t>
      </w:r>
    </w:p>
    <w:p w:rsidR="005F78FC" w:rsidRDefault="00B42EF3">
      <w:pPr>
        <w:pStyle w:val="Heading4"/>
      </w:pPr>
      <w:bookmarkStart w:id="4097" w:name="section_471bacba8a3243149825ae9d444e1af9"/>
      <w:bookmarkStart w:id="4098" w:name="_Toc69879821"/>
      <w:r>
        <w:t>Custom Document Information Panel Sch</w:t>
      </w:r>
      <w:r>
        <w:t>ema</w:t>
      </w:r>
      <w:bookmarkEnd w:id="4097"/>
      <w:bookmarkEnd w:id="4098"/>
      <w:r>
        <w:fldChar w:fldCharType="begin"/>
      </w:r>
      <w:r>
        <w:instrText xml:space="preserve"> XE "Custom Document Information Panel Schema" </w:instrText>
      </w:r>
      <w:r>
        <w:fldChar w:fldCharType="end"/>
      </w:r>
    </w:p>
    <w:p w:rsidR="005F78FC" w:rsidRDefault="00B42EF3">
      <w:r>
        <w:t>Custom Document Information Panel information defines the location and behaviors for a customized Document Information Panel based on a standalone XSN file. Unlike a Document Information Panel defined by</w:t>
      </w:r>
      <w:r>
        <w:t xml:space="preserve"> a Content Type Schema (§</w:t>
      </w:r>
      <w:hyperlink w:anchor="Section_acb43eb342e64ae998cacd04346b080a">
        <w:r>
          <w:rPr>
            <w:rStyle w:val="Hyperlink"/>
          </w:rPr>
          <w:t>3.5.2.1, Content Type Schemas Schema</w:t>
        </w:r>
      </w:hyperlink>
      <w:r>
        <w:t>) and a CustomXSN (§</w:t>
      </w:r>
      <w:hyperlink w:anchor="Section_d9b4ba0ebe664084a162d0eac8fa85e9">
        <w:r>
          <w:rPr>
            <w:rStyle w:val="Hyperlink"/>
          </w:rPr>
          <w:t>3.5.4.1, Custom XSN Schema</w:t>
        </w:r>
      </w:hyperlink>
      <w:r>
        <w:t>), Custom Document Info</w:t>
      </w:r>
      <w:r>
        <w:t>rmation Panels need not be associated directly with a server.</w:t>
      </w:r>
    </w:p>
    <w:p w:rsidR="005F78FC" w:rsidRDefault="00B42EF3">
      <w:pPr>
        <w:pStyle w:val="Heading5"/>
      </w:pPr>
      <w:bookmarkStart w:id="4099" w:name="section_84dab41e82ce484c80c4da334e583c62"/>
      <w:bookmarkStart w:id="4100" w:name="_Toc69879822"/>
      <w:r>
        <w:t>Elements</w:t>
      </w:r>
      <w:bookmarkEnd w:id="4099"/>
      <w:bookmarkEnd w:id="4100"/>
    </w:p>
    <w:p w:rsidR="005F78FC" w:rsidRDefault="00B42EF3">
      <w:pPr>
        <w:pStyle w:val="Heading6"/>
      </w:pPr>
      <w:bookmarkStart w:id="4101" w:name="section_518b6e0dd6114ebbbc77dda2706b18fb"/>
      <w:bookmarkStart w:id="4102" w:name="_Toc69879823"/>
      <w:r>
        <w:t>customPropertyEditor (Custom Property Editor)</w:t>
      </w:r>
      <w:bookmarkEnd w:id="4101"/>
      <w:bookmarkEnd w:id="4102"/>
      <w:r>
        <w:fldChar w:fldCharType="begin"/>
      </w:r>
      <w:r>
        <w:instrText xml:space="preserve"> XE "customPropertyEditor (Custom Property Editor)" </w:instrText>
      </w:r>
      <w:r>
        <w:fldChar w:fldCharType="end"/>
      </w:r>
    </w:p>
    <w:p w:rsidR="005F78FC" w:rsidRDefault="00B42EF3">
      <w:r>
        <w:t>This element associates a namespace with the location of an XSN file (as specified by</w:t>
      </w:r>
      <w:r>
        <w:t xml:space="preserve"> InfoPath Form Template Format Structure Specification </w:t>
      </w:r>
      <w:hyperlink r:id="rId370" w:anchor="Section_93482ffc8be24c288de5324a835e66b1">
        <w:r>
          <w:rPr>
            <w:rStyle w:val="Hyperlink"/>
          </w:rPr>
          <w:t>[MS-IPFF]</w:t>
        </w:r>
      </w:hyperlink>
      <w:r>
        <w:t>). The specified XSN file can be used to visually edit the information in a custom XML data part in this document</w:t>
      </w:r>
      <w:r>
        <w:t xml:space="preserve">. The XMLNamespace child specifies which custom xml data parts are suitable for editing; the XSNLocation child specifies a path to the XSN file. </w:t>
      </w:r>
    </w:p>
    <w:tbl>
      <w:tblPr>
        <w:tblStyle w:val="Table-ShadedHeader"/>
        <w:tblW w:w="0" w:type="auto"/>
        <w:tblLook w:val="04A0" w:firstRow="1" w:lastRow="0" w:firstColumn="1" w:lastColumn="0" w:noHBand="0" w:noVBand="1"/>
      </w:tblPr>
      <w:tblGrid>
        <w:gridCol w:w="5442"/>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Parent Elements</w:t>
            </w:r>
          </w:p>
        </w:tc>
      </w:tr>
      <w:tr w:rsidR="005F78FC" w:rsidTr="005F78FC">
        <w:tc>
          <w:tcPr>
            <w:tcW w:w="0" w:type="auto"/>
            <w:vAlign w:val="center"/>
          </w:tcPr>
          <w:p w:rsidR="005F78FC" w:rsidRDefault="00B42EF3">
            <w:pPr>
              <w:pStyle w:val="TableBodyText"/>
            </w:pPr>
            <w:r>
              <w:rPr>
                <w:b/>
              </w:rPr>
              <w:t>customPropertyEditors</w:t>
            </w:r>
            <w:r>
              <w:t xml:space="preserve"> (§</w:t>
            </w:r>
            <w:hyperlink w:anchor="Section_995299bfabca4268b73dcea9be1ff684">
              <w:r>
                <w:rPr>
                  <w:rStyle w:val="Hyperlink"/>
                </w:rPr>
                <w:t>3.5.3.</w:t>
              </w:r>
              <w:r>
                <w:rPr>
                  <w:rStyle w:val="Hyperlink"/>
                </w:rPr>
                <w:t>1.1.2, customPropertyEditors</w:t>
              </w:r>
            </w:hyperlink>
            <w:r>
              <w:t>)</w:t>
            </w:r>
          </w:p>
        </w:tc>
      </w:tr>
    </w:tbl>
    <w:p w:rsidR="005F78FC" w:rsidRDefault="005F78FC"/>
    <w:p w:rsidR="005F78FC" w:rsidRDefault="005F78FC"/>
    <w:tbl>
      <w:tblPr>
        <w:tblStyle w:val="Table-ShadedHeader"/>
        <w:tblW w:w="0" w:type="auto"/>
        <w:tblLook w:val="04A0" w:firstRow="1" w:lastRow="0" w:firstColumn="1" w:lastColumn="0" w:noHBand="0" w:noVBand="1"/>
      </w:tblPr>
      <w:tblGrid>
        <w:gridCol w:w="4311"/>
        <w:gridCol w:w="2606"/>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lastRenderedPageBreak/>
              <w:t>Child Elements</w:t>
            </w:r>
          </w:p>
        </w:tc>
        <w:tc>
          <w:tcPr>
            <w:tcW w:w="0" w:type="auto"/>
            <w:vAlign w:val="center"/>
          </w:tcPr>
          <w:p w:rsidR="005F78FC" w:rsidRDefault="00B42EF3">
            <w:pPr>
              <w:pStyle w:val="TableHeaderText"/>
            </w:pPr>
            <w:r>
              <w:t>Subclause</w:t>
            </w:r>
          </w:p>
        </w:tc>
      </w:tr>
      <w:tr w:rsidR="005F78FC" w:rsidTr="005F78FC">
        <w:tc>
          <w:tcPr>
            <w:tcW w:w="0" w:type="auto"/>
            <w:vAlign w:val="center"/>
          </w:tcPr>
          <w:p w:rsidR="005F78FC" w:rsidRDefault="00B42EF3">
            <w:pPr>
              <w:pStyle w:val="TableBodyText"/>
            </w:pPr>
            <w:r>
              <w:rPr>
                <w:b/>
              </w:rPr>
              <w:t>XMLNamespace</w:t>
            </w:r>
            <w:r>
              <w:t xml:space="preserve"> (Namespace for Property Editor)</w:t>
            </w:r>
          </w:p>
        </w:tc>
        <w:tc>
          <w:tcPr>
            <w:tcW w:w="0" w:type="auto"/>
            <w:vAlign w:val="center"/>
          </w:tcPr>
          <w:p w:rsidR="005F78FC" w:rsidRDefault="00B42EF3">
            <w:pPr>
              <w:pStyle w:val="TableBodyText"/>
            </w:pPr>
            <w:r>
              <w:t>§</w:t>
            </w:r>
            <w:hyperlink w:anchor="Section_de9b88626c554161908f55ad7955eb6f">
              <w:r>
                <w:rPr>
                  <w:rStyle w:val="Hyperlink"/>
                </w:rPr>
                <w:t>3.5.3.1.1.5, XMLNamespace</w:t>
              </w:r>
            </w:hyperlink>
          </w:p>
        </w:tc>
      </w:tr>
      <w:tr w:rsidR="005F78FC" w:rsidTr="005F78FC">
        <w:tc>
          <w:tcPr>
            <w:tcW w:w="0" w:type="auto"/>
            <w:vAlign w:val="center"/>
          </w:tcPr>
          <w:p w:rsidR="005F78FC" w:rsidRDefault="00B42EF3">
            <w:pPr>
              <w:pStyle w:val="TableBodyText"/>
            </w:pPr>
            <w:r>
              <w:rPr>
                <w:b/>
              </w:rPr>
              <w:t>XSNLocation</w:t>
            </w:r>
            <w:r>
              <w:t xml:space="preserve"> (Location of XSN File)</w:t>
            </w:r>
          </w:p>
        </w:tc>
        <w:tc>
          <w:tcPr>
            <w:tcW w:w="0" w:type="auto"/>
            <w:vAlign w:val="center"/>
          </w:tcPr>
          <w:p w:rsidR="005F78FC" w:rsidRDefault="00B42EF3">
            <w:pPr>
              <w:pStyle w:val="TableBodyText"/>
            </w:pPr>
            <w:r>
              <w:t>§</w:t>
            </w:r>
            <w:hyperlink w:anchor="Section_60042665e00a4f749f86ad8bd478a614">
              <w:r>
                <w:rPr>
                  <w:rStyle w:val="Hyperlink"/>
                </w:rPr>
                <w:t>3.5.3.1.1.6, XSNLocation</w:t>
              </w:r>
            </w:hyperlink>
          </w:p>
        </w:tc>
      </w:tr>
    </w:tbl>
    <w:p w:rsidR="005F78FC" w:rsidRDefault="005F78FC"/>
    <w:p w:rsidR="005F78FC" w:rsidRDefault="00B42EF3">
      <w:r>
        <w:t>The following XML Schema fragment defines the contents of this element:</w:t>
      </w:r>
    </w:p>
    <w:p w:rsidR="005F78FC" w:rsidRDefault="00B42EF3">
      <w:pPr>
        <w:pStyle w:val="Code"/>
      </w:pPr>
      <w:r>
        <w:t>&lt;complexType name="CT_CustomPropertyEditor"&gt;</w:t>
      </w:r>
    </w:p>
    <w:p w:rsidR="005F78FC" w:rsidRDefault="00B42EF3">
      <w:pPr>
        <w:pStyle w:val="Code"/>
      </w:pPr>
      <w:r>
        <w:t xml:space="preserve">  &lt;sequence&gt;</w:t>
      </w:r>
    </w:p>
    <w:p w:rsidR="005F78FC" w:rsidRDefault="00B42EF3">
      <w:pPr>
        <w:pStyle w:val="Code"/>
      </w:pPr>
      <w:r>
        <w:t xml:space="preserve">    &lt;</w:t>
      </w:r>
      <w:r>
        <w:t>element name="XMLNamespace" type="xsd:anyURI"/&gt;</w:t>
      </w:r>
    </w:p>
    <w:p w:rsidR="005F78FC" w:rsidRDefault="00B42EF3">
      <w:pPr>
        <w:pStyle w:val="Code"/>
      </w:pPr>
      <w:r>
        <w:t xml:space="preserve">    &lt;element name="XSNLocation" type="xsd:string"/&gt;</w:t>
      </w:r>
    </w:p>
    <w:p w:rsidR="005F78FC" w:rsidRDefault="00B42EF3">
      <w:pPr>
        <w:pStyle w:val="Code"/>
      </w:pPr>
      <w:r>
        <w:t xml:space="preserve">  &lt;/sequence&gt;</w:t>
      </w:r>
    </w:p>
    <w:p w:rsidR="005F78FC" w:rsidRDefault="00B42EF3">
      <w:pPr>
        <w:pStyle w:val="Code"/>
      </w:pPr>
      <w:r>
        <w:t>&lt;/complexType&gt;</w:t>
      </w:r>
    </w:p>
    <w:p w:rsidR="005F78FC" w:rsidRDefault="00B42EF3">
      <w:pPr>
        <w:pStyle w:val="Heading6"/>
      </w:pPr>
      <w:bookmarkStart w:id="4103" w:name="section_995299bfabca4268b73dcea9be1ff684"/>
      <w:bookmarkStart w:id="4104" w:name="_Toc69879824"/>
      <w:r>
        <w:t>customPropertyEditors (Custom Property Editors List)</w:t>
      </w:r>
      <w:bookmarkEnd w:id="4103"/>
      <w:bookmarkEnd w:id="4104"/>
      <w:r>
        <w:fldChar w:fldCharType="begin"/>
      </w:r>
      <w:r>
        <w:instrText xml:space="preserve"> XE "customPropertyEditors (Custom Property Editors List)" </w:instrText>
      </w:r>
      <w:r>
        <w:fldChar w:fldCharType="end"/>
      </w:r>
    </w:p>
    <w:p w:rsidR="005F78FC" w:rsidRDefault="00B42EF3">
      <w:r>
        <w:t xml:space="preserve">This element </w:t>
      </w:r>
      <w:r>
        <w:t xml:space="preserve">specifies the list of (and settings for) any XSN files (as specified by InfoPath Form Template Format Structure Specification </w:t>
      </w:r>
      <w:hyperlink r:id="rId371" w:anchor="Section_93482ffc8be24c288de5324a835e66b1">
        <w:r>
          <w:rPr>
            <w:rStyle w:val="Hyperlink"/>
          </w:rPr>
          <w:t>[MS-IPFF]</w:t>
        </w:r>
      </w:hyperlink>
      <w:r>
        <w:t>) that may be associated with this documen</w:t>
      </w:r>
      <w:r>
        <w:t>t to edit information in its custom XML data parts.</w:t>
      </w:r>
    </w:p>
    <w:tbl>
      <w:tblPr>
        <w:tblStyle w:val="Table-ShadedHeader"/>
        <w:tblW w:w="0" w:type="auto"/>
        <w:tblLook w:val="04A0" w:firstRow="1" w:lastRow="0" w:firstColumn="1" w:lastColumn="0" w:noHBand="0" w:noVBand="1"/>
      </w:tblPr>
      <w:tblGrid>
        <w:gridCol w:w="4978"/>
        <w:gridCol w:w="3984"/>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Child Elements</w:t>
            </w:r>
          </w:p>
        </w:tc>
        <w:tc>
          <w:tcPr>
            <w:tcW w:w="0" w:type="auto"/>
            <w:vAlign w:val="center"/>
          </w:tcPr>
          <w:p w:rsidR="005F78FC" w:rsidRDefault="00B42EF3">
            <w:pPr>
              <w:pStyle w:val="TableHeaderText"/>
            </w:pPr>
            <w:r>
              <w:t>Subclause</w:t>
            </w:r>
          </w:p>
        </w:tc>
      </w:tr>
      <w:tr w:rsidR="005F78FC" w:rsidTr="005F78FC">
        <w:tc>
          <w:tcPr>
            <w:tcW w:w="0" w:type="auto"/>
            <w:vAlign w:val="center"/>
          </w:tcPr>
          <w:p w:rsidR="005F78FC" w:rsidRDefault="00B42EF3">
            <w:pPr>
              <w:pStyle w:val="TableBodyText"/>
            </w:pPr>
            <w:r>
              <w:rPr>
                <w:b/>
              </w:rPr>
              <w:t>customPropertyEditor</w:t>
            </w:r>
            <w:r>
              <w:t xml:space="preserve"> (Custom Property Editor)</w:t>
            </w:r>
          </w:p>
        </w:tc>
        <w:tc>
          <w:tcPr>
            <w:tcW w:w="0" w:type="auto"/>
            <w:vAlign w:val="center"/>
          </w:tcPr>
          <w:p w:rsidR="005F78FC" w:rsidRDefault="00B42EF3">
            <w:pPr>
              <w:pStyle w:val="TableBodyText"/>
            </w:pPr>
            <w:r>
              <w:t>§</w:t>
            </w:r>
            <w:hyperlink w:anchor="Section_518b6e0dd6114ebbbc77dda2706b18fb">
              <w:r>
                <w:rPr>
                  <w:rStyle w:val="Hyperlink"/>
                </w:rPr>
                <w:t>3.5.3.1.1.1, customPropertyEditor</w:t>
              </w:r>
            </w:hyperlink>
          </w:p>
        </w:tc>
      </w:tr>
      <w:tr w:rsidR="005F78FC" w:rsidTr="005F78FC">
        <w:tc>
          <w:tcPr>
            <w:tcW w:w="0" w:type="auto"/>
            <w:vAlign w:val="center"/>
          </w:tcPr>
          <w:p w:rsidR="005F78FC" w:rsidRDefault="00B42EF3">
            <w:pPr>
              <w:pStyle w:val="TableBodyText"/>
            </w:pPr>
            <w:r>
              <w:rPr>
                <w:b/>
              </w:rPr>
              <w:t>defaultPropertyEditorNamespace</w:t>
            </w:r>
            <w:r>
              <w:t xml:space="preserve"> (D</w:t>
            </w:r>
            <w:r>
              <w:t>efault Namespace)</w:t>
            </w:r>
          </w:p>
        </w:tc>
        <w:tc>
          <w:tcPr>
            <w:tcW w:w="0" w:type="auto"/>
            <w:vAlign w:val="center"/>
          </w:tcPr>
          <w:p w:rsidR="005F78FC" w:rsidRDefault="00B42EF3">
            <w:pPr>
              <w:pStyle w:val="TableBodyText"/>
            </w:pPr>
            <w:r>
              <w:t>§</w:t>
            </w:r>
            <w:hyperlink w:anchor="Section_38b8d62c52f54927aba536320bff74e8">
              <w:r>
                <w:rPr>
                  <w:rStyle w:val="Hyperlink"/>
                </w:rPr>
                <w:t>3.5.3.1.1.3, defaultPropertyEditorNamespace</w:t>
              </w:r>
            </w:hyperlink>
          </w:p>
        </w:tc>
      </w:tr>
      <w:tr w:rsidR="005F78FC" w:rsidTr="005F78FC">
        <w:tc>
          <w:tcPr>
            <w:tcW w:w="0" w:type="auto"/>
            <w:vAlign w:val="center"/>
          </w:tcPr>
          <w:p w:rsidR="005F78FC" w:rsidRDefault="00B42EF3">
            <w:pPr>
              <w:pStyle w:val="TableBodyText"/>
            </w:pPr>
            <w:r>
              <w:rPr>
                <w:b/>
              </w:rPr>
              <w:t>showOnOpen</w:t>
            </w:r>
            <w:r>
              <w:t xml:space="preserve"> (Show On Open)</w:t>
            </w:r>
          </w:p>
        </w:tc>
        <w:tc>
          <w:tcPr>
            <w:tcW w:w="0" w:type="auto"/>
            <w:vAlign w:val="center"/>
          </w:tcPr>
          <w:p w:rsidR="005F78FC" w:rsidRDefault="00B42EF3">
            <w:pPr>
              <w:pStyle w:val="TableBodyText"/>
            </w:pPr>
            <w:r>
              <w:t>§</w:t>
            </w:r>
            <w:hyperlink w:anchor="Section_d80518f15c614cbabc0b467b7b9cdd95">
              <w:r>
                <w:rPr>
                  <w:rStyle w:val="Hyperlink"/>
                </w:rPr>
                <w:t>3.5.3.1.1.4, showOnOpen</w:t>
              </w:r>
            </w:hyperlink>
          </w:p>
        </w:tc>
      </w:tr>
    </w:tbl>
    <w:p w:rsidR="005F78FC" w:rsidRDefault="005F78FC"/>
    <w:p w:rsidR="005F78FC" w:rsidRDefault="00B42EF3">
      <w:r>
        <w:t>The following</w:t>
      </w:r>
      <w:r>
        <w:t xml:space="preserve"> XML Schema fragment defines the contents of this element:</w:t>
      </w:r>
    </w:p>
    <w:p w:rsidR="005F78FC" w:rsidRDefault="00B42EF3">
      <w:pPr>
        <w:pStyle w:val="Code"/>
      </w:pPr>
      <w:r>
        <w:t>&lt;complexType name="CT_CustomPropertyEditors"&gt;</w:t>
      </w:r>
    </w:p>
    <w:p w:rsidR="005F78FC" w:rsidRDefault="00B42EF3">
      <w:pPr>
        <w:pStyle w:val="Code"/>
      </w:pPr>
      <w:r>
        <w:t xml:space="preserve">  &lt;sequence&gt;</w:t>
      </w:r>
    </w:p>
    <w:p w:rsidR="005F78FC" w:rsidRDefault="00B42EF3">
      <w:pPr>
        <w:pStyle w:val="Code"/>
      </w:pPr>
      <w:r>
        <w:t xml:space="preserve">    &lt;element name="showOnOpen" type="xsd:boolean"/&gt;</w:t>
      </w:r>
    </w:p>
    <w:p w:rsidR="005F78FC" w:rsidRDefault="00B42EF3">
      <w:pPr>
        <w:pStyle w:val="Code"/>
      </w:pPr>
      <w:r>
        <w:t xml:space="preserve">    &lt;element name="defaultPropertyEditorNamespace" type="xsd:anyURI"/&gt;</w:t>
      </w:r>
    </w:p>
    <w:p w:rsidR="005F78FC" w:rsidRDefault="00B42EF3">
      <w:pPr>
        <w:pStyle w:val="Code"/>
      </w:pPr>
      <w:r>
        <w:t xml:space="preserve">    &lt;element na</w:t>
      </w:r>
      <w:r>
        <w:t>me="customPropertyEditor" type="CT_CustomPropertyEditor" maxOccurs="unbounded"/&gt;</w:t>
      </w:r>
    </w:p>
    <w:p w:rsidR="005F78FC" w:rsidRDefault="00B42EF3">
      <w:pPr>
        <w:pStyle w:val="Code"/>
      </w:pPr>
      <w:r>
        <w:t xml:space="preserve">  &lt;/sequence&gt;</w:t>
      </w:r>
    </w:p>
    <w:p w:rsidR="005F78FC" w:rsidRDefault="00B42EF3">
      <w:pPr>
        <w:pStyle w:val="Code"/>
      </w:pPr>
      <w:r>
        <w:t>&lt;/complexType&gt;</w:t>
      </w:r>
    </w:p>
    <w:p w:rsidR="005F78FC" w:rsidRDefault="00B42EF3">
      <w:pPr>
        <w:pStyle w:val="Heading6"/>
      </w:pPr>
      <w:bookmarkStart w:id="4105" w:name="section_38b8d62c52f54927aba536320bff74e8"/>
      <w:bookmarkStart w:id="4106" w:name="_Toc69879825"/>
      <w:r>
        <w:t>defaultPropertyEditorNamespace (Default Namespace)</w:t>
      </w:r>
      <w:bookmarkEnd w:id="4105"/>
      <w:bookmarkEnd w:id="4106"/>
      <w:r>
        <w:fldChar w:fldCharType="begin"/>
      </w:r>
      <w:r>
        <w:instrText xml:space="preserve"> XE "defaultPropertyEditorNamespace (Default Namespace)" </w:instrText>
      </w:r>
      <w:r>
        <w:fldChar w:fldCharType="end"/>
      </w:r>
    </w:p>
    <w:p w:rsidR="005F78FC" w:rsidRDefault="00B42EF3">
      <w:r>
        <w:t>This element specifies the XML names</w:t>
      </w:r>
      <w:r>
        <w:t>pace that identifies which XSN is shown by default if the user chooses to edit properties contained in the custom XML data parts of this document. If this element is not present, or if the value of this element does not equal the namespace specified in the</w:t>
      </w:r>
      <w:r>
        <w:t xml:space="preserve"> XmlNamespace element (§</w:t>
      </w:r>
      <w:hyperlink w:anchor="Section_de9b88626c554161908f55ad7955eb6f">
        <w:r>
          <w:rPr>
            <w:rStyle w:val="Hyperlink"/>
          </w:rPr>
          <w:t>3.5.3.1.1.5, XMLNamespace</w:t>
        </w:r>
      </w:hyperlink>
      <w:r>
        <w:t xml:space="preserve">), the application may choose to display the core properties. </w:t>
      </w:r>
    </w:p>
    <w:tbl>
      <w:tblPr>
        <w:tblStyle w:val="Table-ShadedHeader"/>
        <w:tblW w:w="0" w:type="auto"/>
        <w:tblLook w:val="04A0" w:firstRow="1" w:lastRow="0" w:firstColumn="1" w:lastColumn="0" w:noHBand="0" w:noVBand="1"/>
      </w:tblPr>
      <w:tblGrid>
        <w:gridCol w:w="5442"/>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Parent Elements</w:t>
            </w:r>
          </w:p>
        </w:tc>
      </w:tr>
      <w:tr w:rsidR="005F78FC" w:rsidTr="005F78FC">
        <w:tc>
          <w:tcPr>
            <w:tcW w:w="0" w:type="auto"/>
            <w:vAlign w:val="center"/>
          </w:tcPr>
          <w:p w:rsidR="005F78FC" w:rsidRDefault="00B42EF3">
            <w:pPr>
              <w:pStyle w:val="TableBodyText"/>
            </w:pPr>
            <w:r>
              <w:rPr>
                <w:b/>
              </w:rPr>
              <w:t>customPropertyEditors</w:t>
            </w:r>
            <w:r>
              <w:t xml:space="preserve"> (§</w:t>
            </w:r>
            <w:hyperlink w:anchor="Section_995299bfabca4268b73dcea9be1ff684">
              <w:r>
                <w:rPr>
                  <w:rStyle w:val="Hyperlink"/>
                </w:rPr>
                <w:t>3.5.3.1.1.2, customPropertyEditors</w:t>
              </w:r>
            </w:hyperlink>
            <w:r>
              <w:t>)</w:t>
            </w:r>
          </w:p>
        </w:tc>
      </w:tr>
    </w:tbl>
    <w:p w:rsidR="005F78FC" w:rsidRDefault="005F78FC"/>
    <w:p w:rsidR="005F78FC" w:rsidRDefault="00B42EF3">
      <w:pPr>
        <w:pStyle w:val="Heading6"/>
      </w:pPr>
      <w:bookmarkStart w:id="4107" w:name="section_d80518f15c614cbabc0b467b7b9cdd95"/>
      <w:bookmarkStart w:id="4108" w:name="_Toc69879826"/>
      <w:r>
        <w:lastRenderedPageBreak/>
        <w:t>showOnOpen (Show On Open)</w:t>
      </w:r>
      <w:bookmarkEnd w:id="4107"/>
      <w:bookmarkEnd w:id="4108"/>
      <w:r>
        <w:fldChar w:fldCharType="begin"/>
      </w:r>
      <w:r>
        <w:instrText xml:space="preserve"> XE "showOnOpen (Show On Open)" </w:instrText>
      </w:r>
      <w:r>
        <w:fldChar w:fldCharType="end"/>
      </w:r>
    </w:p>
    <w:p w:rsidR="005F78FC" w:rsidRDefault="00B42EF3">
      <w:r>
        <w:t xml:space="preserve">This element specifies whether the user should be presented with a surface to edit either the core properties or properties in one of the custom xml data parts in this document, as informed by the defaultPropertyEditorNamespace. A value of </w:t>
      </w:r>
      <w:r>
        <w:rPr>
          <w:i/>
        </w:rPr>
        <w:t>true</w:t>
      </w:r>
      <w:r>
        <w:t xml:space="preserve"> indicates t</w:t>
      </w:r>
      <w:r>
        <w:t xml:space="preserve">hat such a surface shall be provided; any other value indicates such a surface shall not be provided. If this element is not present, a surface shall not be provided. </w:t>
      </w:r>
    </w:p>
    <w:tbl>
      <w:tblPr>
        <w:tblStyle w:val="Table-ShadedHeader"/>
        <w:tblW w:w="0" w:type="auto"/>
        <w:tblLook w:val="04A0" w:firstRow="1" w:lastRow="0" w:firstColumn="1" w:lastColumn="0" w:noHBand="0" w:noVBand="1"/>
      </w:tblPr>
      <w:tblGrid>
        <w:gridCol w:w="5442"/>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Parent Elements</w:t>
            </w:r>
          </w:p>
        </w:tc>
      </w:tr>
      <w:tr w:rsidR="005F78FC" w:rsidTr="005F78FC">
        <w:tc>
          <w:tcPr>
            <w:tcW w:w="0" w:type="auto"/>
            <w:vAlign w:val="center"/>
          </w:tcPr>
          <w:p w:rsidR="005F78FC" w:rsidRDefault="00B42EF3">
            <w:pPr>
              <w:pStyle w:val="TableBodyText"/>
            </w:pPr>
            <w:r>
              <w:rPr>
                <w:b/>
              </w:rPr>
              <w:t>customPropertyEditors</w:t>
            </w:r>
            <w:r>
              <w:t xml:space="preserve"> (§</w:t>
            </w:r>
            <w:hyperlink w:anchor="Section_995299bfabca4268b73dcea9be1ff684">
              <w:r>
                <w:rPr>
                  <w:rStyle w:val="Hyperlink"/>
                </w:rPr>
                <w:t>3.5.3.1.1.2, customPropertyEditors</w:t>
              </w:r>
            </w:hyperlink>
            <w:r>
              <w:t>)</w:t>
            </w:r>
          </w:p>
        </w:tc>
      </w:tr>
    </w:tbl>
    <w:p w:rsidR="005F78FC" w:rsidRDefault="005F78FC"/>
    <w:p w:rsidR="005F78FC" w:rsidRDefault="00B42EF3">
      <w:pPr>
        <w:pStyle w:val="Heading6"/>
      </w:pPr>
      <w:bookmarkStart w:id="4109" w:name="section_de9b88626c554161908f55ad7955eb6f"/>
      <w:bookmarkStart w:id="4110" w:name="_Toc69879827"/>
      <w:r>
        <w:t>XMLNamespace (Namespace for Property Editor)</w:t>
      </w:r>
      <w:bookmarkEnd w:id="4109"/>
      <w:bookmarkEnd w:id="4110"/>
      <w:r>
        <w:fldChar w:fldCharType="begin"/>
      </w:r>
      <w:r>
        <w:instrText xml:space="preserve"> XE "XMLNamespace (Namespace for Property Editor)" </w:instrText>
      </w:r>
      <w:r>
        <w:fldChar w:fldCharType="end"/>
      </w:r>
    </w:p>
    <w:p w:rsidR="005F78FC" w:rsidRDefault="00B42EF3">
      <w:r>
        <w:t xml:space="preserve">Specifies the root namespace of custom XML data parts that </w:t>
      </w:r>
      <w:r>
        <w:t>are appropriate for editing by the XSN specified in XSNLocation.</w:t>
      </w:r>
    </w:p>
    <w:tbl>
      <w:tblPr>
        <w:tblStyle w:val="Table-ShadedHeader"/>
        <w:tblW w:w="0" w:type="auto"/>
        <w:tblLook w:val="04A0" w:firstRow="1" w:lastRow="0" w:firstColumn="1" w:lastColumn="0" w:noHBand="0" w:noVBand="1"/>
      </w:tblPr>
      <w:tblGrid>
        <w:gridCol w:w="5264"/>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Parent Elements</w:t>
            </w:r>
          </w:p>
        </w:tc>
      </w:tr>
      <w:tr w:rsidR="005F78FC" w:rsidTr="005F78FC">
        <w:tc>
          <w:tcPr>
            <w:tcW w:w="0" w:type="auto"/>
            <w:vAlign w:val="center"/>
          </w:tcPr>
          <w:p w:rsidR="005F78FC" w:rsidRDefault="00B42EF3">
            <w:pPr>
              <w:pStyle w:val="TableBodyText"/>
            </w:pPr>
            <w:r>
              <w:rPr>
                <w:b/>
              </w:rPr>
              <w:t>customPropertyEditor</w:t>
            </w:r>
            <w:r>
              <w:t xml:space="preserve"> (§</w:t>
            </w:r>
            <w:hyperlink w:anchor="Section_518b6e0dd6114ebbbc77dda2706b18fb">
              <w:r>
                <w:rPr>
                  <w:rStyle w:val="Hyperlink"/>
                </w:rPr>
                <w:t>3.5.3.1.1.1, customPropertyEditor</w:t>
              </w:r>
            </w:hyperlink>
            <w:r>
              <w:t>)</w:t>
            </w:r>
          </w:p>
        </w:tc>
      </w:tr>
    </w:tbl>
    <w:p w:rsidR="005F78FC" w:rsidRDefault="005F78FC"/>
    <w:p w:rsidR="005F78FC" w:rsidRDefault="00B42EF3">
      <w:pPr>
        <w:pStyle w:val="Heading6"/>
      </w:pPr>
      <w:bookmarkStart w:id="4111" w:name="section_60042665e00a4f749f86ad8bd478a614"/>
      <w:bookmarkStart w:id="4112" w:name="_Toc69879828"/>
      <w:r>
        <w:t>XSNLocation (Location of XSN File)</w:t>
      </w:r>
      <w:bookmarkEnd w:id="4111"/>
      <w:bookmarkEnd w:id="4112"/>
      <w:r>
        <w:fldChar w:fldCharType="begin"/>
      </w:r>
      <w:r>
        <w:instrText xml:space="preserve"> XE "XSNLocation </w:instrText>
      </w:r>
      <w:r>
        <w:instrText xml:space="preserve">(Location of XSN File)" </w:instrText>
      </w:r>
      <w:r>
        <w:fldChar w:fldCharType="end"/>
      </w:r>
    </w:p>
    <w:p w:rsidR="005F78FC" w:rsidRDefault="00B42EF3">
      <w:r>
        <w:t>Specifies the path to the XSN file.</w:t>
      </w:r>
    </w:p>
    <w:tbl>
      <w:tblPr>
        <w:tblStyle w:val="Table-ShadedHeader"/>
        <w:tblW w:w="0" w:type="auto"/>
        <w:tblLook w:val="04A0" w:firstRow="1" w:lastRow="0" w:firstColumn="1" w:lastColumn="0" w:noHBand="0" w:noVBand="1"/>
      </w:tblPr>
      <w:tblGrid>
        <w:gridCol w:w="5264"/>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Parent Elements</w:t>
            </w:r>
          </w:p>
        </w:tc>
      </w:tr>
      <w:tr w:rsidR="005F78FC" w:rsidTr="005F78FC">
        <w:tc>
          <w:tcPr>
            <w:tcW w:w="0" w:type="auto"/>
            <w:vAlign w:val="center"/>
          </w:tcPr>
          <w:p w:rsidR="005F78FC" w:rsidRDefault="00B42EF3">
            <w:pPr>
              <w:pStyle w:val="TableBodyText"/>
            </w:pPr>
            <w:r>
              <w:rPr>
                <w:b/>
              </w:rPr>
              <w:t>customPropertyEditor</w:t>
            </w:r>
            <w:r>
              <w:t xml:space="preserve"> (§</w:t>
            </w:r>
            <w:hyperlink w:anchor="Section_518b6e0dd6114ebbbc77dda2706b18fb">
              <w:r>
                <w:rPr>
                  <w:rStyle w:val="Hyperlink"/>
                </w:rPr>
                <w:t>3.5.3.1.1.1, customPropertyEditor</w:t>
              </w:r>
            </w:hyperlink>
            <w:r>
              <w:t>)</w:t>
            </w:r>
          </w:p>
        </w:tc>
      </w:tr>
    </w:tbl>
    <w:p w:rsidR="005F78FC" w:rsidRDefault="005F78FC"/>
    <w:p w:rsidR="005F78FC" w:rsidRDefault="00B42EF3">
      <w:pPr>
        <w:pStyle w:val="Heading3"/>
      </w:pPr>
      <w:bookmarkStart w:id="4113" w:name="section_c26a68bdb8164d2eb84258bc92e4f6a2"/>
      <w:bookmarkStart w:id="4114" w:name="_Toc69879829"/>
      <w:r>
        <w:t>Custom XSN</w:t>
      </w:r>
      <w:bookmarkEnd w:id="4113"/>
      <w:bookmarkEnd w:id="4114"/>
      <w:r>
        <w:fldChar w:fldCharType="begin"/>
      </w:r>
      <w:r>
        <w:instrText xml:space="preserve"> XE "Custom XSN" </w:instrText>
      </w:r>
      <w:r>
        <w:fldChar w:fldCharType="end"/>
      </w:r>
    </w:p>
    <w:p w:rsidR="005F78FC" w:rsidRDefault="00B42EF3">
      <w:r>
        <w:t xml:space="preserve">The Custom XSN is </w:t>
      </w:r>
      <w:r>
        <w:t>comprised of a Custom XML Data Storage Part ("</w:t>
      </w:r>
      <w:hyperlink r:id="rId372">
        <w:r>
          <w:rPr>
            <w:rStyle w:val="Hyperlink"/>
          </w:rPr>
          <w:t>[ISO/IEC-29500-1]</w:t>
        </w:r>
      </w:hyperlink>
      <w:r>
        <w:t xml:space="preserve"> §15.2.5") which contains the Custom XSN information, and a Custom XML Data Storage Properties Part ("[ISO/IEC-29500-1] §15.2.6</w:t>
      </w:r>
      <w:r>
        <w:t xml:space="preserve">") which contains the set of properties for the custom XML data. </w:t>
      </w:r>
    </w:p>
    <w:p w:rsidR="005F78FC" w:rsidRDefault="00B42EF3">
      <w:r>
        <w:t xml:space="preserve"> The XML contents of the data storage part conform to the schema defined in Custom XSN Schema (</w:t>
      </w:r>
      <w:hyperlink w:anchor="Section_d9b4ba0ebe664084a162d0eac8fa85e9">
        <w:r>
          <w:rPr>
            <w:rStyle w:val="Hyperlink"/>
          </w:rPr>
          <w:t>§3.5.4.1, Custom XSN Schema</w:t>
        </w:r>
      </w:hyperlink>
      <w:r>
        <w:t>).</w:t>
      </w:r>
    </w:p>
    <w:p w:rsidR="005F78FC" w:rsidRDefault="00B42EF3">
      <w:r>
        <w:t>Th</w:t>
      </w:r>
      <w:r>
        <w:t>e root element of the Custom XML Data Storage Part shall be customXsn (</w:t>
      </w:r>
      <w:hyperlink w:anchor="Section_dff741e5b6874a57a0ea91144bd69a9c">
        <w:r>
          <w:rPr>
            <w:rStyle w:val="Hyperlink"/>
          </w:rPr>
          <w:t>§3.5.4.1.1.2, customXsn</w:t>
        </w:r>
      </w:hyperlink>
      <w:r>
        <w:t>).</w:t>
      </w:r>
    </w:p>
    <w:p w:rsidR="005F78FC" w:rsidRDefault="00B42EF3">
      <w:r>
        <w:t>The Associated XML Schema ("[ISO/IEC-29500-1] §22.5.2.2; schemaRef") for this Custom XML Data St</w:t>
      </w:r>
      <w:r>
        <w:t>orage Part shall be “http://schemas.microsoft.com/‌office/‌2006/‌metadata/‌customXsn”.</w:t>
      </w:r>
    </w:p>
    <w:p w:rsidR="005F78FC" w:rsidRDefault="00B42EF3">
      <w:pPr>
        <w:pStyle w:val="Heading4"/>
      </w:pPr>
      <w:bookmarkStart w:id="4115" w:name="section_d9b4ba0ebe664084a162d0eac8fa85e9"/>
      <w:bookmarkStart w:id="4116" w:name="_Toc69879830"/>
      <w:r>
        <w:t>Custom XSN Schema</w:t>
      </w:r>
      <w:bookmarkEnd w:id="4115"/>
      <w:bookmarkEnd w:id="4116"/>
      <w:r>
        <w:fldChar w:fldCharType="begin"/>
      </w:r>
      <w:r>
        <w:instrText xml:space="preserve"> XE "Custom XSN Schema" </w:instrText>
      </w:r>
      <w:r>
        <w:fldChar w:fldCharType="end"/>
      </w:r>
    </w:p>
    <w:p w:rsidR="005F78FC" w:rsidRDefault="00B42EF3">
      <w:r>
        <w:t>A CustomXSN defines the source location and Document Information Panel behaviors for the document. CustomXSN is used in conju</w:t>
      </w:r>
      <w:r>
        <w:t>nction with Content Type Schema (</w:t>
      </w:r>
      <w:hyperlink w:anchor="Section_acb43eb342e64ae998cacd04346b080a">
        <w:r>
          <w:rPr>
            <w:rStyle w:val="Hyperlink"/>
          </w:rPr>
          <w:t>§3.5.2.1, Content Type Schemas Schema</w:t>
        </w:r>
      </w:hyperlink>
      <w:r>
        <w:t>) to fully define the behaviors of the Document Information Panel.</w:t>
      </w:r>
    </w:p>
    <w:p w:rsidR="005F78FC" w:rsidRDefault="00B42EF3">
      <w:pPr>
        <w:pStyle w:val="Heading5"/>
      </w:pPr>
      <w:bookmarkStart w:id="4117" w:name="section_b5a5efac3fa447d881a473bad4c79d71"/>
      <w:bookmarkStart w:id="4118" w:name="_Toc69879831"/>
      <w:r>
        <w:t>Elements</w:t>
      </w:r>
      <w:bookmarkEnd w:id="4117"/>
      <w:bookmarkEnd w:id="4118"/>
    </w:p>
    <w:p w:rsidR="005F78FC" w:rsidRDefault="00B42EF3">
      <w:pPr>
        <w:pStyle w:val="Heading6"/>
      </w:pPr>
      <w:bookmarkStart w:id="4119" w:name="section_845c830c9d3b4d99be5cf95219b7e3ed"/>
      <w:bookmarkStart w:id="4120" w:name="_Toc69879832"/>
      <w:r>
        <w:lastRenderedPageBreak/>
        <w:t>cached (Cached View)</w:t>
      </w:r>
      <w:bookmarkEnd w:id="4119"/>
      <w:bookmarkEnd w:id="4120"/>
      <w:r>
        <w:fldChar w:fldCharType="begin"/>
      </w:r>
      <w:r>
        <w:instrText xml:space="preserve"> XE "cached (Cached View)" </w:instrText>
      </w:r>
      <w:r>
        <w:fldChar w:fldCharType="end"/>
      </w:r>
    </w:p>
    <w:p w:rsidR="005F78FC" w:rsidRDefault="00B42EF3">
      <w:r>
        <w:t xml:space="preserve">This element indicates whether the XSN specified by xsnLocation should be used to edit properties in this document. A value of </w:t>
      </w:r>
      <w:r>
        <w:rPr>
          <w:i/>
        </w:rPr>
        <w:t>true</w:t>
      </w:r>
      <w:r>
        <w:t xml:space="preserve"> indicates that the XSN shall not be used.</w:t>
      </w:r>
    </w:p>
    <w:tbl>
      <w:tblPr>
        <w:tblStyle w:val="Table-ShadedHeader"/>
        <w:tblW w:w="0" w:type="auto"/>
        <w:tblLook w:val="04A0" w:firstRow="1" w:lastRow="0" w:firstColumn="1" w:lastColumn="0" w:noHBand="0" w:noVBand="1"/>
      </w:tblPr>
      <w:tblGrid>
        <w:gridCol w:w="3414"/>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Parent Elements</w:t>
            </w:r>
          </w:p>
        </w:tc>
      </w:tr>
      <w:tr w:rsidR="005F78FC" w:rsidTr="005F78FC">
        <w:tc>
          <w:tcPr>
            <w:tcW w:w="0" w:type="auto"/>
            <w:vAlign w:val="center"/>
          </w:tcPr>
          <w:p w:rsidR="005F78FC" w:rsidRDefault="00B42EF3">
            <w:pPr>
              <w:pStyle w:val="TableBodyText"/>
            </w:pPr>
            <w:r>
              <w:rPr>
                <w:b/>
              </w:rPr>
              <w:t>customXsn</w:t>
            </w:r>
            <w:r>
              <w:t xml:space="preserve"> (§</w:t>
            </w:r>
            <w:hyperlink w:anchor="Section_dff741e5b6874a57a0ea91144bd69a9c">
              <w:r>
                <w:rPr>
                  <w:rStyle w:val="Hyperlink"/>
                </w:rPr>
                <w:t>3.5.4.1.1.2, customXsn</w:t>
              </w:r>
            </w:hyperlink>
            <w:r>
              <w:t>)</w:t>
            </w:r>
          </w:p>
        </w:tc>
      </w:tr>
    </w:tbl>
    <w:p w:rsidR="005F78FC" w:rsidRDefault="005F78FC"/>
    <w:p w:rsidR="005F78FC" w:rsidRDefault="00B42EF3">
      <w:pPr>
        <w:pStyle w:val="Heading6"/>
      </w:pPr>
      <w:bookmarkStart w:id="4121" w:name="section_dff741e5b6874a57a0ea91144bd69a9c"/>
      <w:bookmarkStart w:id="4122" w:name="_Toc69879833"/>
      <w:r>
        <w:t>customXsn (Custom XSN)</w:t>
      </w:r>
      <w:bookmarkEnd w:id="4121"/>
      <w:bookmarkEnd w:id="4122"/>
      <w:r>
        <w:fldChar w:fldCharType="begin"/>
      </w:r>
      <w:r>
        <w:instrText xml:space="preserve"> XE "customXsn (Custom XSN)" </w:instrText>
      </w:r>
      <w:r>
        <w:fldChar w:fldCharType="end"/>
      </w:r>
    </w:p>
    <w:p w:rsidR="005F78FC" w:rsidRDefault="00B42EF3">
      <w:r>
        <w:t xml:space="preserve">This element specifies that an XSN file (as specified by InfoPath Form Template Format Structure Specification </w:t>
      </w:r>
      <w:hyperlink r:id="rId373" w:anchor="Section_93482ffc8be24c288de5324a835e66b1">
        <w:r>
          <w:rPr>
            <w:rStyle w:val="Hyperlink"/>
          </w:rPr>
          <w:t>[MS-IPFF]</w:t>
        </w:r>
      </w:hyperlink>
      <w:r>
        <w:t xml:space="preserve">) should be presented to the user for editing properties of this document. </w:t>
      </w:r>
    </w:p>
    <w:tbl>
      <w:tblPr>
        <w:tblStyle w:val="Table-ShadedHeader"/>
        <w:tblW w:w="0" w:type="auto"/>
        <w:tblLook w:val="04A0" w:firstRow="1" w:lastRow="0" w:firstColumn="1" w:lastColumn="0" w:noHBand="0" w:noVBand="1"/>
      </w:tblPr>
      <w:tblGrid>
        <w:gridCol w:w="3073"/>
        <w:gridCol w:w="2525"/>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Child Elements</w:t>
            </w:r>
          </w:p>
        </w:tc>
        <w:tc>
          <w:tcPr>
            <w:tcW w:w="0" w:type="auto"/>
            <w:vAlign w:val="center"/>
          </w:tcPr>
          <w:p w:rsidR="005F78FC" w:rsidRDefault="00B42EF3">
            <w:pPr>
              <w:pStyle w:val="TableHeaderText"/>
            </w:pPr>
            <w:r>
              <w:t>Subclause</w:t>
            </w:r>
          </w:p>
        </w:tc>
      </w:tr>
      <w:tr w:rsidR="005F78FC" w:rsidTr="005F78FC">
        <w:tc>
          <w:tcPr>
            <w:tcW w:w="0" w:type="auto"/>
            <w:vAlign w:val="center"/>
          </w:tcPr>
          <w:p w:rsidR="005F78FC" w:rsidRDefault="00B42EF3">
            <w:pPr>
              <w:pStyle w:val="TableBodyText"/>
            </w:pPr>
            <w:r>
              <w:rPr>
                <w:b/>
              </w:rPr>
              <w:t>cached</w:t>
            </w:r>
            <w:r>
              <w:t xml:space="preserve"> (Cached View)</w:t>
            </w:r>
          </w:p>
        </w:tc>
        <w:tc>
          <w:tcPr>
            <w:tcW w:w="0" w:type="auto"/>
            <w:vAlign w:val="center"/>
          </w:tcPr>
          <w:p w:rsidR="005F78FC" w:rsidRDefault="00B42EF3">
            <w:pPr>
              <w:pStyle w:val="TableBodyText"/>
            </w:pPr>
            <w:r>
              <w:t>§</w:t>
            </w:r>
            <w:hyperlink w:anchor="Section_845c830c9d3b4d99be5cf95219b7e3ed">
              <w:r>
                <w:rPr>
                  <w:rStyle w:val="Hyperlink"/>
                </w:rPr>
                <w:t>3.5.4.1.1.1, cached</w:t>
              </w:r>
            </w:hyperlink>
          </w:p>
        </w:tc>
      </w:tr>
      <w:tr w:rsidR="005F78FC" w:rsidTr="005F78FC">
        <w:tc>
          <w:tcPr>
            <w:tcW w:w="0" w:type="auto"/>
            <w:vAlign w:val="center"/>
          </w:tcPr>
          <w:p w:rsidR="005F78FC" w:rsidRDefault="00B42EF3">
            <w:pPr>
              <w:pStyle w:val="TableBodyText"/>
            </w:pPr>
            <w:r>
              <w:rPr>
                <w:b/>
              </w:rPr>
              <w:t>openByDefault</w:t>
            </w:r>
            <w:r>
              <w:t xml:space="preserve"> (Open By Default)</w:t>
            </w:r>
          </w:p>
        </w:tc>
        <w:tc>
          <w:tcPr>
            <w:tcW w:w="0" w:type="auto"/>
            <w:vAlign w:val="center"/>
          </w:tcPr>
          <w:p w:rsidR="005F78FC" w:rsidRDefault="00B42EF3">
            <w:pPr>
              <w:pStyle w:val="TableBodyText"/>
            </w:pPr>
            <w:r>
              <w:t>§</w:t>
            </w:r>
            <w:hyperlink w:anchor="Section_a0fa9f9b49fb4e7198b7164aa6c8cb79">
              <w:r>
                <w:rPr>
                  <w:rStyle w:val="Hyperlink"/>
                </w:rPr>
                <w:t>3.5.4.1.1.3, openByDefault</w:t>
              </w:r>
            </w:hyperlink>
          </w:p>
        </w:tc>
      </w:tr>
      <w:tr w:rsidR="005F78FC" w:rsidTr="005F78FC">
        <w:tc>
          <w:tcPr>
            <w:tcW w:w="0" w:type="auto"/>
            <w:vAlign w:val="center"/>
          </w:tcPr>
          <w:p w:rsidR="005F78FC" w:rsidRDefault="00B42EF3">
            <w:pPr>
              <w:pStyle w:val="TableBodyText"/>
            </w:pPr>
            <w:r>
              <w:rPr>
                <w:b/>
              </w:rPr>
              <w:t>xsnLocation</w:t>
            </w:r>
            <w:r>
              <w:t xml:space="preserve"> (XSN Location)</w:t>
            </w:r>
          </w:p>
        </w:tc>
        <w:tc>
          <w:tcPr>
            <w:tcW w:w="0" w:type="auto"/>
            <w:vAlign w:val="center"/>
          </w:tcPr>
          <w:p w:rsidR="005F78FC" w:rsidRDefault="00B42EF3">
            <w:pPr>
              <w:pStyle w:val="TableBodyText"/>
            </w:pPr>
            <w:r>
              <w:t>§</w:t>
            </w:r>
            <w:hyperlink w:anchor="Section_1c088624367d43958dfe029913c009e8">
              <w:r>
                <w:rPr>
                  <w:rStyle w:val="Hyperlink"/>
                </w:rPr>
                <w:t>3.5.4.1.1.4, xsnLocation</w:t>
              </w:r>
            </w:hyperlink>
          </w:p>
        </w:tc>
      </w:tr>
      <w:tr w:rsidR="005F78FC" w:rsidTr="005F78FC">
        <w:tc>
          <w:tcPr>
            <w:tcW w:w="0" w:type="auto"/>
            <w:vAlign w:val="center"/>
          </w:tcPr>
          <w:p w:rsidR="005F78FC" w:rsidRDefault="00B42EF3">
            <w:pPr>
              <w:pStyle w:val="TableBodyText"/>
            </w:pPr>
            <w:r>
              <w:rPr>
                <w:b/>
              </w:rPr>
              <w:t>xsnScope</w:t>
            </w:r>
            <w:r>
              <w:t xml:space="preserve"> (Scope)</w:t>
            </w:r>
          </w:p>
        </w:tc>
        <w:tc>
          <w:tcPr>
            <w:tcW w:w="0" w:type="auto"/>
            <w:vAlign w:val="center"/>
          </w:tcPr>
          <w:p w:rsidR="005F78FC" w:rsidRDefault="00B42EF3">
            <w:pPr>
              <w:pStyle w:val="TableBodyText"/>
            </w:pPr>
            <w:r>
              <w:t>§</w:t>
            </w:r>
            <w:hyperlink w:anchor="Section_83b1d48efcc64adaaf9bba113335dc9c">
              <w:r>
                <w:rPr>
                  <w:rStyle w:val="Hyperlink"/>
                </w:rPr>
                <w:t>3.5.4.1.1.5, xsnScope</w:t>
              </w:r>
            </w:hyperlink>
          </w:p>
        </w:tc>
      </w:tr>
    </w:tbl>
    <w:p w:rsidR="005F78FC" w:rsidRDefault="005F78FC"/>
    <w:p w:rsidR="005F78FC" w:rsidRDefault="00B42EF3">
      <w:r>
        <w:t>The following XML Schema fragment defines the contents of this element:</w:t>
      </w:r>
    </w:p>
    <w:p w:rsidR="005F78FC" w:rsidRDefault="00B42EF3">
      <w:pPr>
        <w:pStyle w:val="Code"/>
      </w:pPr>
      <w:r>
        <w:t>&lt;complexType name="CT_CustomXsn"&gt;</w:t>
      </w:r>
    </w:p>
    <w:p w:rsidR="005F78FC" w:rsidRDefault="00B42EF3">
      <w:pPr>
        <w:pStyle w:val="Code"/>
      </w:pPr>
      <w:r>
        <w:t xml:space="preserve">  &lt;sequence&gt;</w:t>
      </w:r>
    </w:p>
    <w:p w:rsidR="005F78FC" w:rsidRDefault="00B42EF3">
      <w:pPr>
        <w:pStyle w:val="Code"/>
      </w:pPr>
      <w:r>
        <w:t xml:space="preserve">    &lt;e</w:t>
      </w:r>
      <w:r>
        <w:t>lement name="xsnLocation" type="xsd:string"/&gt;</w:t>
      </w:r>
    </w:p>
    <w:p w:rsidR="005F78FC" w:rsidRDefault="00B42EF3">
      <w:pPr>
        <w:pStyle w:val="Code"/>
      </w:pPr>
      <w:r>
        <w:t xml:space="preserve">    &lt;element name="cached" type="xsd:string"/&gt;</w:t>
      </w:r>
    </w:p>
    <w:p w:rsidR="005F78FC" w:rsidRDefault="00B42EF3">
      <w:pPr>
        <w:pStyle w:val="Code"/>
      </w:pPr>
      <w:r>
        <w:t xml:space="preserve">    &lt;element name="openByDefault" type="xsd:string"/&gt;</w:t>
      </w:r>
    </w:p>
    <w:p w:rsidR="005F78FC" w:rsidRDefault="00B42EF3">
      <w:pPr>
        <w:pStyle w:val="Code"/>
      </w:pPr>
      <w:r>
        <w:t xml:space="preserve">    &lt;element name="xsnScope" type="xsd:string"/&gt;</w:t>
      </w:r>
    </w:p>
    <w:p w:rsidR="005F78FC" w:rsidRDefault="00B42EF3">
      <w:pPr>
        <w:pStyle w:val="Code"/>
      </w:pPr>
      <w:r>
        <w:t xml:space="preserve">  &lt;/sequence&gt;</w:t>
      </w:r>
    </w:p>
    <w:p w:rsidR="005F78FC" w:rsidRDefault="00B42EF3">
      <w:pPr>
        <w:pStyle w:val="Code"/>
      </w:pPr>
      <w:r>
        <w:t>&lt;/complexType&gt;</w:t>
      </w:r>
    </w:p>
    <w:p w:rsidR="005F78FC" w:rsidRDefault="00B42EF3">
      <w:pPr>
        <w:pStyle w:val="Heading6"/>
      </w:pPr>
      <w:bookmarkStart w:id="4123" w:name="section_a0fa9f9b49fb4e7198b7164aa6c8cb79"/>
      <w:bookmarkStart w:id="4124" w:name="_Toc69879834"/>
      <w:r>
        <w:t>openByDefault (Open By Default)</w:t>
      </w:r>
      <w:bookmarkEnd w:id="4123"/>
      <w:bookmarkEnd w:id="4124"/>
      <w:r>
        <w:fldChar w:fldCharType="begin"/>
      </w:r>
      <w:r>
        <w:instrText xml:space="preserve"> XE "openByDefault (Open By Default)" </w:instrText>
      </w:r>
      <w:r>
        <w:fldChar w:fldCharType="end"/>
      </w:r>
    </w:p>
    <w:p w:rsidR="005F78FC" w:rsidRDefault="00B42EF3">
      <w:r>
        <w:t xml:space="preserve">This element specifies whether the user should be presented with a surface to edit properties of this document, immediately after opening it. A value of </w:t>
      </w:r>
      <w:r>
        <w:rPr>
          <w:i/>
        </w:rPr>
        <w:t>true</w:t>
      </w:r>
      <w:r>
        <w:t xml:space="preserve"> indicates that such a surface shall be provided; any othe</w:t>
      </w:r>
      <w:r>
        <w:t>r value indicates such a surface shall not be provided.  If this element is not present, a surface shall not be provided.</w:t>
      </w:r>
    </w:p>
    <w:tbl>
      <w:tblPr>
        <w:tblStyle w:val="Table-ShadedHeader"/>
        <w:tblW w:w="0" w:type="auto"/>
        <w:tblLook w:val="04A0" w:firstRow="1" w:lastRow="0" w:firstColumn="1" w:lastColumn="0" w:noHBand="0" w:noVBand="1"/>
      </w:tblPr>
      <w:tblGrid>
        <w:gridCol w:w="3414"/>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Parent Elements</w:t>
            </w:r>
          </w:p>
        </w:tc>
      </w:tr>
      <w:tr w:rsidR="005F78FC" w:rsidTr="005F78FC">
        <w:tc>
          <w:tcPr>
            <w:tcW w:w="0" w:type="auto"/>
            <w:vAlign w:val="center"/>
          </w:tcPr>
          <w:p w:rsidR="005F78FC" w:rsidRDefault="00B42EF3">
            <w:pPr>
              <w:pStyle w:val="TableBodyText"/>
            </w:pPr>
            <w:r>
              <w:rPr>
                <w:b/>
              </w:rPr>
              <w:t>customXsn</w:t>
            </w:r>
            <w:r>
              <w:t xml:space="preserve"> (§</w:t>
            </w:r>
            <w:hyperlink w:anchor="Section_dff741e5b6874a57a0ea91144bd69a9c">
              <w:r>
                <w:rPr>
                  <w:rStyle w:val="Hyperlink"/>
                </w:rPr>
                <w:t>3.5.4.1.1.2, customXsn</w:t>
              </w:r>
            </w:hyperlink>
            <w:r>
              <w:t>)</w:t>
            </w:r>
          </w:p>
        </w:tc>
      </w:tr>
    </w:tbl>
    <w:p w:rsidR="005F78FC" w:rsidRDefault="005F78FC"/>
    <w:p w:rsidR="005F78FC" w:rsidRDefault="00B42EF3">
      <w:pPr>
        <w:pStyle w:val="Heading6"/>
      </w:pPr>
      <w:bookmarkStart w:id="4125" w:name="section_1c088624367d43958dfe029913c009e8"/>
      <w:bookmarkStart w:id="4126" w:name="_Toc69879835"/>
      <w:r>
        <w:t>xsnLocation (XSN Location)</w:t>
      </w:r>
      <w:bookmarkEnd w:id="4125"/>
      <w:bookmarkEnd w:id="4126"/>
      <w:r>
        <w:fldChar w:fldCharType="begin"/>
      </w:r>
      <w:r>
        <w:instrText xml:space="preserve"> XE "xsnLocation (XSN Location)" </w:instrText>
      </w:r>
      <w:r>
        <w:fldChar w:fldCharType="end"/>
      </w:r>
    </w:p>
    <w:p w:rsidR="005F78FC" w:rsidRDefault="00B42EF3">
      <w:r>
        <w:t xml:space="preserve">This element specifies the location of an XSN file (as specified by InfoPath Form Template Format Structure Specification </w:t>
      </w:r>
      <w:hyperlink r:id="rId374" w:anchor="Section_93482ffc8be24c288de5324a835e66b1">
        <w:r>
          <w:rPr>
            <w:rStyle w:val="Hyperlink"/>
          </w:rPr>
          <w:t>[MS-IPFF]</w:t>
        </w:r>
      </w:hyperlink>
      <w:r>
        <w:t>) to use for editing properties of this document</w:t>
      </w:r>
    </w:p>
    <w:tbl>
      <w:tblPr>
        <w:tblStyle w:val="Table-ShadedHeader"/>
        <w:tblW w:w="0" w:type="auto"/>
        <w:tblLook w:val="04A0" w:firstRow="1" w:lastRow="0" w:firstColumn="1" w:lastColumn="0" w:noHBand="0" w:noVBand="1"/>
      </w:tblPr>
      <w:tblGrid>
        <w:gridCol w:w="3414"/>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lastRenderedPageBreak/>
              <w:t>Parent Elements</w:t>
            </w:r>
          </w:p>
        </w:tc>
      </w:tr>
      <w:tr w:rsidR="005F78FC" w:rsidTr="005F78FC">
        <w:tc>
          <w:tcPr>
            <w:tcW w:w="0" w:type="auto"/>
            <w:vAlign w:val="center"/>
          </w:tcPr>
          <w:p w:rsidR="005F78FC" w:rsidRDefault="00B42EF3">
            <w:pPr>
              <w:pStyle w:val="TableBodyText"/>
            </w:pPr>
            <w:r>
              <w:rPr>
                <w:b/>
              </w:rPr>
              <w:t>customXsn</w:t>
            </w:r>
            <w:r>
              <w:t xml:space="preserve"> (§</w:t>
            </w:r>
            <w:hyperlink w:anchor="Section_dff741e5b6874a57a0ea91144bd69a9c">
              <w:r>
                <w:rPr>
                  <w:rStyle w:val="Hyperlink"/>
                </w:rPr>
                <w:t>3.5.4.1.1.2, customXsn</w:t>
              </w:r>
            </w:hyperlink>
            <w:r>
              <w:t>)</w:t>
            </w:r>
          </w:p>
        </w:tc>
      </w:tr>
    </w:tbl>
    <w:p w:rsidR="005F78FC" w:rsidRDefault="005F78FC"/>
    <w:p w:rsidR="005F78FC" w:rsidRDefault="00B42EF3">
      <w:pPr>
        <w:pStyle w:val="Heading6"/>
      </w:pPr>
      <w:bookmarkStart w:id="4127" w:name="section_83b1d48efcc64adaaf9bba113335dc9c"/>
      <w:bookmarkStart w:id="4128" w:name="_Toc69879836"/>
      <w:r>
        <w:t>xsnScope (Scope)</w:t>
      </w:r>
      <w:bookmarkEnd w:id="4127"/>
      <w:bookmarkEnd w:id="4128"/>
      <w:r>
        <w:fldChar w:fldCharType="begin"/>
      </w:r>
      <w:r>
        <w:instrText xml:space="preserve"> XE "xsnScope (Scope)" </w:instrText>
      </w:r>
      <w:r>
        <w:fldChar w:fldCharType="end"/>
      </w:r>
    </w:p>
    <w:p w:rsidR="005F78FC" w:rsidRDefault="00B42EF3">
      <w:r>
        <w:t xml:space="preserve">Specifies a path to use when </w:t>
      </w:r>
      <w:r>
        <w:t>resolving any relative paths that appear within the specified XSN.</w:t>
      </w:r>
    </w:p>
    <w:tbl>
      <w:tblPr>
        <w:tblStyle w:val="Table-ShadedHeader"/>
        <w:tblW w:w="0" w:type="auto"/>
        <w:tblLook w:val="04A0" w:firstRow="1" w:lastRow="0" w:firstColumn="1" w:lastColumn="0" w:noHBand="0" w:noVBand="1"/>
      </w:tblPr>
      <w:tblGrid>
        <w:gridCol w:w="3414"/>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Parent Elements</w:t>
            </w:r>
          </w:p>
        </w:tc>
      </w:tr>
      <w:tr w:rsidR="005F78FC" w:rsidTr="005F78FC">
        <w:tc>
          <w:tcPr>
            <w:tcW w:w="0" w:type="auto"/>
            <w:vAlign w:val="center"/>
          </w:tcPr>
          <w:p w:rsidR="005F78FC" w:rsidRDefault="00B42EF3">
            <w:pPr>
              <w:pStyle w:val="TableBodyText"/>
            </w:pPr>
            <w:r>
              <w:rPr>
                <w:b/>
              </w:rPr>
              <w:t>customXsn</w:t>
            </w:r>
            <w:r>
              <w:t xml:space="preserve"> (§</w:t>
            </w:r>
            <w:hyperlink w:anchor="Section_dff741e5b6874a57a0ea91144bd69a9c">
              <w:r>
                <w:rPr>
                  <w:rStyle w:val="Hyperlink"/>
                </w:rPr>
                <w:t>3.5.4.1.1.2, customXsn</w:t>
              </w:r>
            </w:hyperlink>
            <w:r>
              <w:t>)</w:t>
            </w:r>
          </w:p>
        </w:tc>
      </w:tr>
    </w:tbl>
    <w:p w:rsidR="005F78FC" w:rsidRDefault="005F78FC"/>
    <w:p w:rsidR="005F78FC" w:rsidRDefault="00B42EF3">
      <w:pPr>
        <w:pStyle w:val="Heading3"/>
      </w:pPr>
      <w:bookmarkStart w:id="4129" w:name="section_78d73854b7934cd682ef994e57d303db"/>
      <w:bookmarkStart w:id="4130" w:name="_Toc69879837"/>
      <w:r>
        <w:t>Long Properties</w:t>
      </w:r>
      <w:bookmarkEnd w:id="4129"/>
      <w:bookmarkEnd w:id="4130"/>
      <w:r>
        <w:fldChar w:fldCharType="begin"/>
      </w:r>
      <w:r>
        <w:instrText xml:space="preserve"> XE "Long Properties" </w:instrText>
      </w:r>
      <w:r>
        <w:fldChar w:fldCharType="end"/>
      </w:r>
    </w:p>
    <w:p w:rsidR="005F78FC" w:rsidRDefault="00B42EF3">
      <w:r>
        <w:t xml:space="preserve">The Long Properties is </w:t>
      </w:r>
      <w:r>
        <w:t>comprised of a Custom XML Data Storage Part ("</w:t>
      </w:r>
      <w:hyperlink r:id="rId375">
        <w:r>
          <w:rPr>
            <w:rStyle w:val="Hyperlink"/>
          </w:rPr>
          <w:t>[ISO/IEC-29500-1]</w:t>
        </w:r>
      </w:hyperlink>
      <w:r>
        <w:t xml:space="preserve"> §15.2.5") which contains the Long Properties information, and a Custom XML Data Storage Properties Part ("[ISO/IEC-29500-1] §1</w:t>
      </w:r>
      <w:r>
        <w:t xml:space="preserve">5.2.6") which contains the set of properties for the custom XML data. </w:t>
      </w:r>
    </w:p>
    <w:p w:rsidR="005F78FC" w:rsidRDefault="00B42EF3">
      <w:r>
        <w:t xml:space="preserve"> The XML contents of the data storage part conform to the schema defined in Long Properties Schema (</w:t>
      </w:r>
      <w:hyperlink w:anchor="Section_03e16b150a6b4dc88574f27a056f37e5">
        <w:r>
          <w:rPr>
            <w:rStyle w:val="Hyperlink"/>
          </w:rPr>
          <w:t>§3.5.5.1, Long Propert</w:t>
        </w:r>
        <w:r>
          <w:rPr>
            <w:rStyle w:val="Hyperlink"/>
          </w:rPr>
          <w:t>ies Schema</w:t>
        </w:r>
      </w:hyperlink>
      <w:r>
        <w:t>).</w:t>
      </w:r>
    </w:p>
    <w:p w:rsidR="005F78FC" w:rsidRDefault="00B42EF3">
      <w:r>
        <w:t>The root element of the Custom XML Data Storage Part shall be LongProperties (</w:t>
      </w:r>
      <w:hyperlink w:anchor="Section_e142bd7e59954bcfaaa84317a6eb9396">
        <w:r>
          <w:rPr>
            <w:rStyle w:val="Hyperlink"/>
          </w:rPr>
          <w:t>§3.5.5.1.1.2, LongProperties</w:t>
        </w:r>
      </w:hyperlink>
      <w:r>
        <w:t>).</w:t>
      </w:r>
    </w:p>
    <w:p w:rsidR="005F78FC" w:rsidRDefault="00B42EF3">
      <w:r>
        <w:t>The Associated XML Schema ("[ISO/IEC-29500-1] §22.5.2.2; schemaRef") fo</w:t>
      </w:r>
      <w:r>
        <w:t>r this Custom XML Data Storage Part shall be “http://schemas.microsoft.com/‌office/‌2006/‌metadata/longProperties”.</w:t>
      </w:r>
    </w:p>
    <w:p w:rsidR="005F78FC" w:rsidRDefault="00B42EF3">
      <w:pPr>
        <w:pStyle w:val="Heading4"/>
      </w:pPr>
      <w:bookmarkStart w:id="4131" w:name="section_03e16b150a6b4dc88574f27a056f37e5"/>
      <w:bookmarkStart w:id="4132" w:name="_Toc69879838"/>
      <w:r>
        <w:t>Long Properties Schema</w:t>
      </w:r>
      <w:bookmarkEnd w:id="4131"/>
      <w:bookmarkEnd w:id="4132"/>
      <w:r>
        <w:fldChar w:fldCharType="begin"/>
      </w:r>
      <w:r>
        <w:instrText xml:space="preserve"> XE "Long Properties Schema" </w:instrText>
      </w:r>
      <w:r>
        <w:fldChar w:fldCharType="end"/>
      </w:r>
    </w:p>
    <w:p w:rsidR="005F78FC" w:rsidRDefault="00B42EF3">
      <w:r>
        <w:t>Long properties define a set of properties used to store server property values exceed</w:t>
      </w:r>
      <w:r>
        <w:t>ing 255 characters in length.</w:t>
      </w:r>
    </w:p>
    <w:p w:rsidR="005F78FC" w:rsidRDefault="00B42EF3">
      <w:pPr>
        <w:pStyle w:val="Heading5"/>
      </w:pPr>
      <w:bookmarkStart w:id="4133" w:name="section_d93aeb76c0144e47837cc9c7d33b5151"/>
      <w:bookmarkStart w:id="4134" w:name="_Toc69879839"/>
      <w:r>
        <w:t>Elements</w:t>
      </w:r>
      <w:bookmarkEnd w:id="4133"/>
      <w:bookmarkEnd w:id="4134"/>
    </w:p>
    <w:p w:rsidR="005F78FC" w:rsidRDefault="00B42EF3">
      <w:pPr>
        <w:pStyle w:val="Heading6"/>
      </w:pPr>
      <w:bookmarkStart w:id="4135" w:name="section_8f665f8d316b4f9b83d330a8520fb932"/>
      <w:bookmarkStart w:id="4136" w:name="_Toc69879840"/>
      <w:r>
        <w:t>LongProp (Custom XML Server Property - Long Property)</w:t>
      </w:r>
      <w:bookmarkEnd w:id="4135"/>
      <w:bookmarkEnd w:id="4136"/>
      <w:r>
        <w:fldChar w:fldCharType="begin"/>
      </w:r>
      <w:r>
        <w:instrText xml:space="preserve"> XE "LongProp (Custom XML Server Property - Long Property)" </w:instrText>
      </w:r>
      <w:r>
        <w:fldChar w:fldCharType="end"/>
      </w:r>
    </w:p>
    <w:p w:rsidR="005F78FC" w:rsidRDefault="00B42EF3">
      <w:r>
        <w:t>This element specifies the full value of a custom server property that exceeds 255 characters. This p</w:t>
      </w:r>
      <w:r>
        <w:t xml:space="preserve">roperty is written out when a document is roundtripped to binary and back, to ensure that the full value of the custom property is not lost. When the first 255 characters of the value of the </w:t>
      </w:r>
      <w:r>
        <w:rPr>
          <w:b/>
        </w:rPr>
        <w:t>LongProp</w:t>
      </w:r>
      <w:r>
        <w:t xml:space="preserve"> agrees with the value of the custom property with the co</w:t>
      </w:r>
      <w:r>
        <w:t xml:space="preserve">rresponding name, it is assumed that the custom property was not modified when roundtripped; in that case, the </w:t>
      </w:r>
      <w:r>
        <w:rPr>
          <w:b/>
        </w:rPr>
        <w:t>LongProp</w:t>
      </w:r>
      <w:r>
        <w:t xml:space="preserve"> is considered to contain the correct, full property value.  If instead the first 255 characters of the value of the </w:t>
      </w:r>
      <w:r>
        <w:rPr>
          <w:b/>
        </w:rPr>
        <w:t>LongProp</w:t>
      </w:r>
      <w:r>
        <w:t xml:space="preserve"> and the cus</w:t>
      </w:r>
      <w:r>
        <w:t>tom property of the same name differ, the custom property is assumed to have the more current (and therefore accurate) value for the property.</w:t>
      </w:r>
    </w:p>
    <w:tbl>
      <w:tblPr>
        <w:tblStyle w:val="Table-ShadedHeader"/>
        <w:tblW w:w="0" w:type="auto"/>
        <w:tblLook w:val="04A0" w:firstRow="1" w:lastRow="0" w:firstColumn="1" w:lastColumn="0" w:noHBand="0" w:noVBand="1"/>
      </w:tblPr>
      <w:tblGrid>
        <w:gridCol w:w="4118"/>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Parent Elements</w:t>
            </w:r>
          </w:p>
        </w:tc>
      </w:tr>
      <w:tr w:rsidR="005F78FC" w:rsidTr="005F78FC">
        <w:tc>
          <w:tcPr>
            <w:tcW w:w="0" w:type="auto"/>
            <w:vAlign w:val="center"/>
          </w:tcPr>
          <w:p w:rsidR="005F78FC" w:rsidRDefault="00B42EF3">
            <w:pPr>
              <w:pStyle w:val="TableBodyText"/>
            </w:pPr>
            <w:r>
              <w:rPr>
                <w:b/>
              </w:rPr>
              <w:t>LongProperties</w:t>
            </w:r>
            <w:r>
              <w:t xml:space="preserve"> (§</w:t>
            </w:r>
            <w:hyperlink w:anchor="Section_e142bd7e59954bcfaaa84317a6eb9396">
              <w:r>
                <w:rPr>
                  <w:rStyle w:val="Hyperlink"/>
                </w:rPr>
                <w:t>3.5.5.1.1.2, Lon</w:t>
              </w:r>
              <w:r>
                <w:rPr>
                  <w:rStyle w:val="Hyperlink"/>
                </w:rPr>
                <w:t>gProperties</w:t>
              </w:r>
            </w:hyperlink>
            <w:r>
              <w:t>)</w:t>
            </w:r>
          </w:p>
        </w:tc>
      </w:tr>
    </w:tbl>
    <w:p w:rsidR="005F78FC" w:rsidRDefault="005F78FC"/>
    <w:p w:rsidR="005F78FC" w:rsidRDefault="005F78FC"/>
    <w:tbl>
      <w:tblPr>
        <w:tblStyle w:val="Table-ShadedHeader"/>
        <w:tblW w:w="0" w:type="auto"/>
        <w:tblLook w:val="04A0" w:firstRow="1" w:lastRow="0" w:firstColumn="1" w:lastColumn="0" w:noHBand="0" w:noVBand="1"/>
      </w:tblPr>
      <w:tblGrid>
        <w:gridCol w:w="3334"/>
        <w:gridCol w:w="6141"/>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lastRenderedPageBreak/>
              <w:t>Attributes</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rPr>
                <w:b/>
              </w:rPr>
              <w:t>name</w:t>
            </w:r>
            <w:r>
              <w:t xml:space="preserve"> (Custom XML Server Property Name)</w:t>
            </w:r>
          </w:p>
        </w:tc>
        <w:tc>
          <w:tcPr>
            <w:tcW w:w="0" w:type="auto"/>
            <w:vAlign w:val="center"/>
          </w:tcPr>
          <w:p w:rsidR="005F78FC" w:rsidRDefault="00B42EF3">
            <w:pPr>
              <w:pStyle w:val="TableBodyText"/>
            </w:pPr>
            <w:r>
              <w:t>Specifies the name of the custom property.</w:t>
            </w:r>
          </w:p>
          <w:p w:rsidR="005F78FC" w:rsidRDefault="005F78FC">
            <w:pPr>
              <w:pStyle w:val="TableBodyText"/>
            </w:pPr>
          </w:p>
          <w:p w:rsidR="005F78FC" w:rsidRDefault="00B42EF3">
            <w:pPr>
              <w:pStyle w:val="TableBodyText"/>
            </w:pPr>
            <w:r>
              <w:t>The possible values for this attribute are defined by the XML Schema string datatype.</w:t>
            </w:r>
          </w:p>
        </w:tc>
      </w:tr>
    </w:tbl>
    <w:p w:rsidR="005F78FC" w:rsidRDefault="005F78FC"/>
    <w:p w:rsidR="005F78FC" w:rsidRDefault="00B42EF3">
      <w:pPr>
        <w:pStyle w:val="Heading6"/>
      </w:pPr>
      <w:bookmarkStart w:id="4137" w:name="section_e142bd7e59954bcfaaa84317a6eb9396"/>
      <w:bookmarkStart w:id="4138" w:name="_Toc69879841"/>
      <w:r>
        <w:t>LongProperties (Custom XML Server Properties - Long Properties)</w:t>
      </w:r>
      <w:bookmarkEnd w:id="4137"/>
      <w:bookmarkEnd w:id="4138"/>
      <w:r>
        <w:fldChar w:fldCharType="begin"/>
      </w:r>
      <w:r>
        <w:instrText xml:space="preserve"> XE "LongProperties (Custom XML Server Properties - Long Properties)" </w:instrText>
      </w:r>
      <w:r>
        <w:fldChar w:fldCharType="end"/>
      </w:r>
    </w:p>
    <w:p w:rsidR="005F78FC" w:rsidRDefault="00B42EF3">
      <w:r>
        <w:t>This element specifies the full content of custom server properties whose values exceed 255 characters.  When a document</w:t>
      </w:r>
      <w:r>
        <w:t xml:space="preserve"> containing custom server properties is roundtripped to binary and back, any server properties whose values exceed 255 characters can be written out as </w:t>
      </w:r>
      <w:r>
        <w:rPr>
          <w:b/>
        </w:rPr>
        <w:t>LongProperties</w:t>
      </w:r>
      <w:r>
        <w:t xml:space="preserve"> to ensure that no data are lost. These long properties are first written when the documen</w:t>
      </w:r>
      <w:r>
        <w:t>t is saved to binary (where the custom property values can be truncated).</w:t>
      </w:r>
    </w:p>
    <w:tbl>
      <w:tblPr>
        <w:tblStyle w:val="Table-ShadedHeader"/>
        <w:tblW w:w="0" w:type="auto"/>
        <w:tblLook w:val="04A0" w:firstRow="1" w:lastRow="0" w:firstColumn="1" w:lastColumn="0" w:noHBand="0" w:noVBand="1"/>
      </w:tblPr>
      <w:tblGrid>
        <w:gridCol w:w="4928"/>
        <w:gridCol w:w="2097"/>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Child Elements</w:t>
            </w:r>
          </w:p>
        </w:tc>
        <w:tc>
          <w:tcPr>
            <w:tcW w:w="0" w:type="auto"/>
            <w:vAlign w:val="center"/>
          </w:tcPr>
          <w:p w:rsidR="005F78FC" w:rsidRDefault="00B42EF3">
            <w:pPr>
              <w:pStyle w:val="TableHeaderText"/>
            </w:pPr>
            <w:r>
              <w:t>Subclause</w:t>
            </w:r>
          </w:p>
        </w:tc>
      </w:tr>
      <w:tr w:rsidR="005F78FC" w:rsidTr="005F78FC">
        <w:tc>
          <w:tcPr>
            <w:tcW w:w="0" w:type="auto"/>
            <w:vAlign w:val="center"/>
          </w:tcPr>
          <w:p w:rsidR="005F78FC" w:rsidRDefault="00B42EF3">
            <w:pPr>
              <w:pStyle w:val="TableBodyText"/>
            </w:pPr>
            <w:r>
              <w:rPr>
                <w:b/>
              </w:rPr>
              <w:t>LongProp</w:t>
            </w:r>
            <w:r>
              <w:t xml:space="preserve"> (Custom XML Server Property - Long Property)</w:t>
            </w:r>
          </w:p>
        </w:tc>
        <w:tc>
          <w:tcPr>
            <w:tcW w:w="0" w:type="auto"/>
            <w:vAlign w:val="center"/>
          </w:tcPr>
          <w:p w:rsidR="005F78FC" w:rsidRDefault="00B42EF3">
            <w:pPr>
              <w:pStyle w:val="TableBodyText"/>
            </w:pPr>
            <w:r>
              <w:t>§</w:t>
            </w:r>
            <w:hyperlink w:anchor="Section_8f665f8d316b4f9b83d330a8520fb932">
              <w:r>
                <w:rPr>
                  <w:rStyle w:val="Hyperlink"/>
                </w:rPr>
                <w:t>3.5.5.1.1.1, LongProp</w:t>
              </w:r>
            </w:hyperlink>
          </w:p>
        </w:tc>
      </w:tr>
    </w:tbl>
    <w:p w:rsidR="005F78FC" w:rsidRDefault="005F78FC"/>
    <w:p w:rsidR="005F78FC" w:rsidRDefault="00B42EF3">
      <w:r>
        <w:t xml:space="preserve">The following </w:t>
      </w:r>
      <w:r>
        <w:t>XML Schema fragment defines the contents of this element:</w:t>
      </w:r>
    </w:p>
    <w:p w:rsidR="005F78FC" w:rsidRDefault="00B42EF3">
      <w:pPr>
        <w:pStyle w:val="Code"/>
      </w:pPr>
      <w:r>
        <w:t>&lt;complexType name="CT_LongProperties"&gt;</w:t>
      </w:r>
    </w:p>
    <w:p w:rsidR="005F78FC" w:rsidRDefault="00B42EF3">
      <w:pPr>
        <w:pStyle w:val="Code"/>
      </w:pPr>
      <w:r>
        <w:t xml:space="preserve">  &lt;sequence&gt;</w:t>
      </w:r>
    </w:p>
    <w:p w:rsidR="005F78FC" w:rsidRDefault="00B42EF3">
      <w:pPr>
        <w:pStyle w:val="Code"/>
      </w:pPr>
      <w:r>
        <w:t xml:space="preserve">    &lt;element name="LongProp" minOccurs="0" maxOccurs="unbounded"&gt;</w:t>
      </w:r>
    </w:p>
    <w:p w:rsidR="005F78FC" w:rsidRDefault="00B42EF3">
      <w:pPr>
        <w:pStyle w:val="Code"/>
      </w:pPr>
      <w:r>
        <w:t xml:space="preserve">      &lt;complexType&gt;</w:t>
      </w:r>
    </w:p>
    <w:p w:rsidR="005F78FC" w:rsidRDefault="00B42EF3">
      <w:pPr>
        <w:pStyle w:val="Code"/>
      </w:pPr>
      <w:r>
        <w:t xml:space="preserve">        &lt;simpleContent&gt;</w:t>
      </w:r>
    </w:p>
    <w:p w:rsidR="005F78FC" w:rsidRDefault="00B42EF3">
      <w:pPr>
        <w:pStyle w:val="Code"/>
      </w:pPr>
      <w:r>
        <w:t xml:space="preserve">          &lt;</w:t>
      </w:r>
      <w:r>
        <w:t>extension base="xsd:string"&gt;</w:t>
      </w:r>
    </w:p>
    <w:p w:rsidR="005F78FC" w:rsidRDefault="00B42EF3">
      <w:pPr>
        <w:pStyle w:val="Code"/>
      </w:pPr>
      <w:r>
        <w:t xml:space="preserve">            &lt;attribute name="name" type="xsd:string"/&gt;</w:t>
      </w:r>
    </w:p>
    <w:p w:rsidR="005F78FC" w:rsidRDefault="00B42EF3">
      <w:pPr>
        <w:pStyle w:val="Code"/>
      </w:pPr>
      <w:r>
        <w:t xml:space="preserve">          &lt;/extension&gt;</w:t>
      </w:r>
    </w:p>
    <w:p w:rsidR="005F78FC" w:rsidRDefault="00B42EF3">
      <w:pPr>
        <w:pStyle w:val="Code"/>
      </w:pPr>
      <w:r>
        <w:t xml:space="preserve">        &lt;/simpleContent&gt;</w:t>
      </w:r>
    </w:p>
    <w:p w:rsidR="005F78FC" w:rsidRDefault="00B42EF3">
      <w:pPr>
        <w:pStyle w:val="Code"/>
      </w:pPr>
      <w:r>
        <w:t xml:space="preserve">      &lt;/complexType&gt;</w:t>
      </w:r>
    </w:p>
    <w:p w:rsidR="005F78FC" w:rsidRDefault="00B42EF3">
      <w:pPr>
        <w:pStyle w:val="Code"/>
      </w:pPr>
      <w:r>
        <w:t xml:space="preserve">    &lt;/element&gt;</w:t>
      </w:r>
    </w:p>
    <w:p w:rsidR="005F78FC" w:rsidRDefault="00B42EF3">
      <w:pPr>
        <w:pStyle w:val="Code"/>
      </w:pPr>
      <w:r>
        <w:t xml:space="preserve">  &lt;/sequence&gt;</w:t>
      </w:r>
    </w:p>
    <w:p w:rsidR="005F78FC" w:rsidRDefault="00B42EF3">
      <w:pPr>
        <w:pStyle w:val="Code"/>
      </w:pPr>
      <w:r>
        <w:t>&lt;/complexType&gt;</w:t>
      </w:r>
    </w:p>
    <w:p w:rsidR="005F78FC" w:rsidRDefault="00B42EF3">
      <w:pPr>
        <w:pStyle w:val="Heading2"/>
      </w:pPr>
      <w:bookmarkStart w:id="4139" w:name="section_346f264b6403401a899a6e0d513f7313"/>
      <w:bookmarkStart w:id="4140" w:name="_Toc69879842"/>
      <w:r>
        <w:t>Office ActiveX Supplemental Information</w:t>
      </w:r>
      <w:bookmarkEnd w:id="4139"/>
      <w:bookmarkEnd w:id="4140"/>
      <w:r>
        <w:fldChar w:fldCharType="begin"/>
      </w:r>
      <w:r>
        <w:instrText xml:space="preserve"> XE "Office ActiveX </w:instrText>
      </w:r>
      <w:r>
        <w:instrText xml:space="preserve">Supplemental Information (Additional Information)" </w:instrText>
      </w:r>
      <w:r>
        <w:fldChar w:fldCharType="end"/>
      </w:r>
    </w:p>
    <w:p w:rsidR="005F78FC" w:rsidRDefault="00B42EF3">
      <w:r>
        <w:t>The subordinate subclauses specify additional semantics written into the Embedded Control Persistence Part ("</w:t>
      </w:r>
      <w:hyperlink r:id="rId376">
        <w:r>
          <w:rPr>
            <w:rStyle w:val="Hyperlink"/>
          </w:rPr>
          <w:t>[ISO/IEC-29500-1]</w:t>
        </w:r>
      </w:hyperlink>
      <w:r>
        <w:t xml:space="preserve"> §15.2.9")</w:t>
      </w:r>
      <w:r>
        <w:t xml:space="preserve"> used to implement ActiveX controls in a Word document.</w:t>
      </w:r>
    </w:p>
    <w:p w:rsidR="005F78FC" w:rsidRDefault="00B42EF3">
      <w:pPr>
        <w:pStyle w:val="Heading3"/>
      </w:pPr>
      <w:bookmarkStart w:id="4141" w:name="section_c6c425b5812d4a51a2733da7f078c036"/>
      <w:bookmarkStart w:id="4142" w:name="_Toc69879843"/>
      <w:r>
        <w:t>Elements</w:t>
      </w:r>
      <w:bookmarkEnd w:id="4141"/>
      <w:bookmarkEnd w:id="4142"/>
    </w:p>
    <w:p w:rsidR="005F78FC" w:rsidRDefault="00B42EF3">
      <w:pPr>
        <w:pStyle w:val="Heading4"/>
      </w:pPr>
      <w:bookmarkStart w:id="4143" w:name="section_22725205d8b548e98079c6cf815e6213"/>
      <w:bookmarkStart w:id="4144" w:name="_Toc69879844"/>
      <w:r>
        <w:t>font (Standard COM Font Object)</w:t>
      </w:r>
      <w:bookmarkEnd w:id="4143"/>
      <w:bookmarkEnd w:id="4144"/>
      <w:r>
        <w:fldChar w:fldCharType="begin"/>
      </w:r>
      <w:r>
        <w:instrText xml:space="preserve"> XE "font (Standard COM Font Object)" </w:instrText>
      </w:r>
      <w:r>
        <w:fldChar w:fldCharType="end"/>
      </w:r>
    </w:p>
    <w:p w:rsidR="005F78FC" w:rsidRDefault="00B42EF3">
      <w:r>
        <w:t xml:space="preserve">This element specifies the details of StdFont object (classid CLSID_StdFont, interface IFont) embedded in the property </w:t>
      </w:r>
      <w:r>
        <w:t>bag (IPersistPropertyBag interface) of an ActiveX control.</w:t>
      </w:r>
    </w:p>
    <w:p w:rsidR="005F78FC" w:rsidRDefault="00B42EF3">
      <w:r>
        <w:t xml:space="preserve">[Example: Consider a font object named "FontPropName" embedded in an ActiveX control. </w:t>
      </w:r>
    </w:p>
    <w:p w:rsidR="005F78FC" w:rsidRDefault="00B42EF3">
      <w:r>
        <w:t>&lt;ax:ocx ....&gt;</w:t>
      </w:r>
    </w:p>
    <w:p w:rsidR="005F78FC" w:rsidRDefault="00B42EF3">
      <w:r>
        <w:t xml:space="preserve">    &lt;ax:ocxPr name="FontPropName"&gt;</w:t>
      </w:r>
    </w:p>
    <w:p w:rsidR="005F78FC" w:rsidRDefault="00B42EF3">
      <w:r>
        <w:lastRenderedPageBreak/>
        <w:t xml:space="preserve">        &lt;ax:font ax:persistence="persistPropertyBag"&gt;</w:t>
      </w:r>
    </w:p>
    <w:p w:rsidR="005F78FC" w:rsidRDefault="00B42EF3">
      <w:r>
        <w:t xml:space="preserve">       </w:t>
      </w:r>
      <w:r>
        <w:t xml:space="preserve">     &lt;ax:ocxPr ax:name="Name" ax:value="MS Shell Dlg"/&gt;</w:t>
      </w:r>
    </w:p>
    <w:p w:rsidR="005F78FC" w:rsidRDefault="00B42EF3">
      <w:r>
        <w:t xml:space="preserve">            &lt;ax:ocxPr ax:name="Size" ax:value="12"/&gt;</w:t>
      </w:r>
    </w:p>
    <w:p w:rsidR="005F78FC" w:rsidRDefault="00B42EF3">
      <w:r>
        <w:t xml:space="preserve">            &lt;ax:ocxPr ax:name="Charset" ax:value="0"/&gt;</w:t>
      </w:r>
    </w:p>
    <w:p w:rsidR="005F78FC" w:rsidRDefault="00B42EF3">
      <w:r>
        <w:t xml:space="preserve">            &lt;ax:ocxPr ax:name="Weight" ax:value="400"/&gt;</w:t>
      </w:r>
    </w:p>
    <w:p w:rsidR="005F78FC" w:rsidRDefault="00B42EF3">
      <w:r>
        <w:t xml:space="preserve">            &lt;ax:ocxPr ax:name="Under</w:t>
      </w:r>
      <w:r>
        <w:t>line" ax:value="0"/&gt;</w:t>
      </w:r>
    </w:p>
    <w:p w:rsidR="005F78FC" w:rsidRDefault="00B42EF3">
      <w:r>
        <w:t xml:space="preserve">            &lt;ax:ocxPr ax:name="Italic" ax:value="0"/&gt;</w:t>
      </w:r>
    </w:p>
    <w:p w:rsidR="005F78FC" w:rsidRDefault="00B42EF3">
      <w:r>
        <w:t xml:space="preserve">            &lt;ax:ocxPr ax:name="Strikethrough" ax:value="0"/&gt;</w:t>
      </w:r>
    </w:p>
    <w:p w:rsidR="005F78FC" w:rsidRDefault="00B42EF3">
      <w:r>
        <w:t xml:space="preserve">        &lt;/ax:font&gt;</w:t>
      </w:r>
    </w:p>
    <w:p w:rsidR="005F78FC" w:rsidRDefault="00B42EF3">
      <w:r>
        <w:t xml:space="preserve">    &lt;/ax:ocxPr&gt;    </w:t>
      </w:r>
    </w:p>
    <w:p w:rsidR="005F78FC" w:rsidRDefault="00B42EF3">
      <w:r>
        <w:t>&lt;/ax:ocx&gt;</w:t>
      </w:r>
    </w:p>
    <w:p w:rsidR="005F78FC" w:rsidRDefault="00B42EF3">
      <w:r>
        <w:t xml:space="preserve">In this example, the </w:t>
      </w:r>
      <w:r>
        <w:rPr>
          <w:b/>
        </w:rPr>
        <w:t>persistence</w:t>
      </w:r>
      <w:r>
        <w:t xml:space="preserve"> attribute specifies that various properties of the embedded font object are stored using the method persistPropertyBag. The property bag is stored as a collection of child </w:t>
      </w:r>
      <w:r>
        <w:rPr>
          <w:b/>
        </w:rPr>
        <w:t>ocxPr</w:t>
      </w:r>
      <w:r>
        <w:t xml:space="preserve"> elements. Each </w:t>
      </w:r>
      <w:r>
        <w:rPr>
          <w:b/>
        </w:rPr>
        <w:t>ocxPr</w:t>
      </w:r>
      <w:r>
        <w:t xml:space="preserve"> element contains a single property. end example]</w:t>
      </w:r>
    </w:p>
    <w:p w:rsidR="005F78FC" w:rsidRDefault="00B42EF3">
      <w:r>
        <w:t>More in</w:t>
      </w:r>
      <w:r>
        <w:t>formation about the details of StdFont object can be found in the Office Forms Binary File Format Structure Specification ("</w:t>
      </w:r>
      <w:hyperlink r:id="rId377" w:anchor="Section_9c79701a8c3e4429a139b60ac3a1d50a">
        <w:r>
          <w:rPr>
            <w:rStyle w:val="Hyperlink"/>
          </w:rPr>
          <w:t>[MS-OFORMS]</w:t>
        </w:r>
      </w:hyperlink>
      <w:r>
        <w:t xml:space="preserve"> Section 2.4.9").</w:t>
      </w:r>
    </w:p>
    <w:tbl>
      <w:tblPr>
        <w:tblStyle w:val="Table-ShadedHeader"/>
        <w:tblW w:w="0" w:type="auto"/>
        <w:tblLook w:val="04A0" w:firstRow="1" w:lastRow="0" w:firstColumn="1" w:lastColumn="0" w:noHBand="0" w:noVBand="1"/>
      </w:tblPr>
      <w:tblGrid>
        <w:gridCol w:w="2177"/>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Parent Elements</w:t>
            </w:r>
          </w:p>
        </w:tc>
      </w:tr>
      <w:tr w:rsidR="005F78FC" w:rsidTr="005F78FC">
        <w:tc>
          <w:tcPr>
            <w:tcW w:w="0" w:type="auto"/>
            <w:vAlign w:val="center"/>
          </w:tcPr>
          <w:p w:rsidR="005F78FC" w:rsidRDefault="00B42EF3">
            <w:pPr>
              <w:pStyle w:val="TableBodyText"/>
            </w:pPr>
            <w:r>
              <w:rPr>
                <w:b/>
              </w:rPr>
              <w:t>ocxPr</w:t>
            </w:r>
            <w:r>
              <w:t xml:space="preserve"> (§</w:t>
            </w:r>
            <w:hyperlink w:anchor="Section_8d4ab600549c4dc7922c46ece32123ed">
              <w:r>
                <w:rPr>
                  <w:rStyle w:val="Hyperlink"/>
                </w:rPr>
                <w:t>3.6.1.3, ocxPr</w:t>
              </w:r>
            </w:hyperlink>
            <w:r>
              <w:t>)</w:t>
            </w:r>
          </w:p>
        </w:tc>
      </w:tr>
    </w:tbl>
    <w:p w:rsidR="005F78FC" w:rsidRDefault="005F78FC"/>
    <w:p w:rsidR="005F78FC" w:rsidRDefault="005F78FC"/>
    <w:tbl>
      <w:tblPr>
        <w:tblStyle w:val="Table-ShadedHeader"/>
        <w:tblW w:w="0" w:type="auto"/>
        <w:tblLook w:val="04A0" w:firstRow="1" w:lastRow="0" w:firstColumn="1" w:lastColumn="0" w:noHBand="0" w:noVBand="1"/>
      </w:tblPr>
      <w:tblGrid>
        <w:gridCol w:w="2201"/>
        <w:gridCol w:w="1468"/>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Child Elements</w:t>
            </w:r>
          </w:p>
        </w:tc>
        <w:tc>
          <w:tcPr>
            <w:tcW w:w="0" w:type="auto"/>
            <w:vAlign w:val="center"/>
          </w:tcPr>
          <w:p w:rsidR="005F78FC" w:rsidRDefault="00B42EF3">
            <w:pPr>
              <w:pStyle w:val="TableHeaderText"/>
            </w:pPr>
            <w:r>
              <w:t>Subclause</w:t>
            </w:r>
          </w:p>
        </w:tc>
      </w:tr>
      <w:tr w:rsidR="005F78FC" w:rsidTr="005F78FC">
        <w:tc>
          <w:tcPr>
            <w:tcW w:w="0" w:type="auto"/>
            <w:vAlign w:val="center"/>
          </w:tcPr>
          <w:p w:rsidR="005F78FC" w:rsidRDefault="00B42EF3">
            <w:pPr>
              <w:pStyle w:val="TableBodyText"/>
            </w:pPr>
            <w:r>
              <w:rPr>
                <w:b/>
              </w:rPr>
              <w:t>ocxPr</w:t>
            </w:r>
            <w:r>
              <w:t xml:space="preserve"> (Object Property)</w:t>
            </w:r>
          </w:p>
        </w:tc>
        <w:tc>
          <w:tcPr>
            <w:tcW w:w="0" w:type="auto"/>
            <w:vAlign w:val="center"/>
          </w:tcPr>
          <w:p w:rsidR="005F78FC" w:rsidRDefault="00B42EF3">
            <w:pPr>
              <w:pStyle w:val="TableBodyText"/>
            </w:pPr>
            <w:r>
              <w:t>§3.6.1.3, ocxPr</w:t>
            </w:r>
          </w:p>
        </w:tc>
      </w:tr>
    </w:tbl>
    <w:p w:rsidR="005F78FC" w:rsidRDefault="005F78FC"/>
    <w:p w:rsidR="005F78FC" w:rsidRDefault="005F78FC"/>
    <w:tbl>
      <w:tblPr>
        <w:tblStyle w:val="Table-ShadedHeader"/>
        <w:tblW w:w="0" w:type="auto"/>
        <w:tblLook w:val="04A0" w:firstRow="1" w:lastRow="0" w:firstColumn="1" w:lastColumn="0" w:noHBand="0" w:noVBand="1"/>
      </w:tblPr>
      <w:tblGrid>
        <w:gridCol w:w="3175"/>
        <w:gridCol w:w="6300"/>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Attributes</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rPr>
                <w:b/>
              </w:rPr>
              <w:t>persistence</w:t>
            </w:r>
            <w:r>
              <w:t xml:space="preserve"> (Font Object Property Persistence Style (optional))</w:t>
            </w:r>
          </w:p>
        </w:tc>
        <w:tc>
          <w:tcPr>
            <w:tcW w:w="0" w:type="auto"/>
            <w:vAlign w:val="center"/>
          </w:tcPr>
          <w:p w:rsidR="005F78FC" w:rsidRDefault="00B42EF3">
            <w:pPr>
              <w:pStyle w:val="TableBodyText"/>
            </w:pPr>
            <w:r>
              <w:t xml:space="preserve">Specifies the </w:t>
            </w:r>
            <w:r>
              <w:t>method used to store properties of the parent element.</w:t>
            </w:r>
          </w:p>
          <w:p w:rsidR="005F78FC" w:rsidRDefault="005F78FC">
            <w:pPr>
              <w:pStyle w:val="TableBodyText"/>
            </w:pPr>
          </w:p>
          <w:p w:rsidR="005F78FC" w:rsidRDefault="00B42EF3">
            <w:pPr>
              <w:pStyle w:val="TableBodyText"/>
            </w:pPr>
            <w:r>
              <w:t>The possible values for this attribute are defined by the ST_Persistence simple type (§</w:t>
            </w:r>
            <w:hyperlink w:anchor="Section_6b964c2deff640fcbecc6116a4ad1458">
              <w:r>
                <w:rPr>
                  <w:rStyle w:val="Hyperlink"/>
                </w:rPr>
                <w:t>3.6.2.1, ST_Persistence</w:t>
              </w:r>
            </w:hyperlink>
            <w:r>
              <w:t>).</w:t>
            </w:r>
          </w:p>
        </w:tc>
      </w:tr>
      <w:tr w:rsidR="005F78FC" w:rsidTr="005F78FC">
        <w:tc>
          <w:tcPr>
            <w:tcW w:w="0" w:type="auto"/>
            <w:vAlign w:val="center"/>
          </w:tcPr>
          <w:p w:rsidR="005F78FC" w:rsidRDefault="00B42EF3">
            <w:pPr>
              <w:pStyle w:val="TableBodyText"/>
            </w:pPr>
            <w:r>
              <w:rPr>
                <w:b/>
              </w:rPr>
              <w:t>id</w:t>
            </w:r>
            <w:r>
              <w:t xml:space="preserve"> ()</w:t>
            </w:r>
          </w:p>
          <w:p w:rsidR="005F78FC" w:rsidRDefault="005F78FC">
            <w:pPr>
              <w:pStyle w:val="TableBodyText"/>
            </w:pPr>
          </w:p>
          <w:p w:rsidR="005F78FC" w:rsidRDefault="00B42EF3">
            <w:pPr>
              <w:pStyle w:val="TableBodyText"/>
            </w:pPr>
            <w:r>
              <w:t>Namespace: .../o</w:t>
            </w:r>
            <w:r>
              <w:t>fficeDocument/2006/relationships</w:t>
            </w:r>
          </w:p>
        </w:tc>
        <w:tc>
          <w:tcPr>
            <w:tcW w:w="0" w:type="auto"/>
            <w:vAlign w:val="center"/>
          </w:tcPr>
          <w:p w:rsidR="005F78FC" w:rsidRDefault="00B42EF3">
            <w:pPr>
              <w:pStyle w:val="TableBodyText"/>
            </w:pPr>
            <w:r>
              <w:t>Specifies the relationship ID of the relationship to the font object. The specified relationship shall be of type http://schemas.microsoft.com/office/2006/relationships/activeXControlBinary.</w:t>
            </w:r>
          </w:p>
          <w:p w:rsidR="005F78FC" w:rsidRDefault="005F78FC">
            <w:pPr>
              <w:pStyle w:val="TableBodyText"/>
            </w:pPr>
          </w:p>
          <w:p w:rsidR="005F78FC" w:rsidRDefault="00B42EF3">
            <w:pPr>
              <w:pStyle w:val="TableBodyText"/>
            </w:pPr>
            <w:r>
              <w:t xml:space="preserve">The target of the relationship points to the internal location where the persisted font data is stored using the IPersistStream, IPersistStreamInit, or IPersistStorage interface, as indicated by the </w:t>
            </w:r>
            <w:r>
              <w:rPr>
                <w:b/>
              </w:rPr>
              <w:t xml:space="preserve">persistence attribute or </w:t>
            </w:r>
            <w:r>
              <w:rPr>
                <w:b/>
              </w:rPr>
              <w:lastRenderedPageBreak/>
              <w:t>as determined by the default int</w:t>
            </w:r>
            <w:r>
              <w:rPr>
                <w:b/>
              </w:rPr>
              <w:t>erface query sequence.</w:t>
            </w:r>
          </w:p>
          <w:p w:rsidR="005F78FC" w:rsidRDefault="005F78FC">
            <w:pPr>
              <w:pStyle w:val="TableBodyText"/>
            </w:pPr>
          </w:p>
          <w:p w:rsidR="005F78FC" w:rsidRDefault="00B42EF3">
            <w:pPr>
              <w:pStyle w:val="TableBodyText"/>
            </w:pPr>
            <w:r>
              <w:t>The possible values for this attribute are defined by the ST_RelationshipId simple type ("</w:t>
            </w:r>
            <w:hyperlink r:id="rId378">
              <w:r>
                <w:rPr>
                  <w:rStyle w:val="Hyperlink"/>
                </w:rPr>
                <w:t>[ISO/IEC-29500-1]</w:t>
              </w:r>
            </w:hyperlink>
            <w:r>
              <w:t xml:space="preserve"> §22.8.2.1").</w:t>
            </w:r>
          </w:p>
        </w:tc>
      </w:tr>
    </w:tbl>
    <w:p w:rsidR="005F78FC" w:rsidRDefault="005F78FC"/>
    <w:p w:rsidR="005F78FC" w:rsidRDefault="00B42EF3">
      <w:r>
        <w:t>The following XML Schema fragment defines t</w:t>
      </w:r>
      <w:r>
        <w:t>he contents of this element:</w:t>
      </w:r>
    </w:p>
    <w:p w:rsidR="005F78FC" w:rsidRDefault="00B42EF3">
      <w:pPr>
        <w:pStyle w:val="Code"/>
      </w:pPr>
      <w:r>
        <w:t>&lt;complexType name="CT_Font"&gt;</w:t>
      </w:r>
    </w:p>
    <w:p w:rsidR="005F78FC" w:rsidRDefault="00B42EF3">
      <w:pPr>
        <w:pStyle w:val="Code"/>
      </w:pPr>
      <w:r>
        <w:t xml:space="preserve">  &lt;sequence&gt;</w:t>
      </w:r>
    </w:p>
    <w:p w:rsidR="005F78FC" w:rsidRDefault="00B42EF3">
      <w:pPr>
        <w:pStyle w:val="Code"/>
      </w:pPr>
      <w:r>
        <w:t xml:space="preserve">    &lt;element name="ocxPr" type="CT_OcxPr" minOccurs="0" maxOccurs="unbounded"/&gt;</w:t>
      </w:r>
    </w:p>
    <w:p w:rsidR="005F78FC" w:rsidRDefault="00B42EF3">
      <w:pPr>
        <w:pStyle w:val="Code"/>
      </w:pPr>
      <w:r>
        <w:t xml:space="preserve">  &lt;/sequence&gt;</w:t>
      </w:r>
    </w:p>
    <w:p w:rsidR="005F78FC" w:rsidRDefault="00B42EF3">
      <w:pPr>
        <w:pStyle w:val="Code"/>
      </w:pPr>
      <w:r>
        <w:t xml:space="preserve">  &lt;attribute name="persistence" type="ST_Persistence"/&gt;</w:t>
      </w:r>
    </w:p>
    <w:p w:rsidR="005F78FC" w:rsidRDefault="00B42EF3">
      <w:pPr>
        <w:pStyle w:val="Code"/>
      </w:pPr>
      <w:r>
        <w:t xml:space="preserve">  &lt;attribute ref="r:id" use="option</w:t>
      </w:r>
      <w:r>
        <w:t>al"/&gt;</w:t>
      </w:r>
    </w:p>
    <w:p w:rsidR="005F78FC" w:rsidRDefault="00B42EF3">
      <w:pPr>
        <w:pStyle w:val="Code"/>
      </w:pPr>
      <w:r>
        <w:t>&lt;/complexType&gt;</w:t>
      </w:r>
    </w:p>
    <w:p w:rsidR="005F78FC" w:rsidRDefault="00B42EF3">
      <w:pPr>
        <w:pStyle w:val="Heading4"/>
      </w:pPr>
      <w:bookmarkStart w:id="4145" w:name="section_48c990726cf74e6984b13bea64f0ee3a"/>
      <w:bookmarkStart w:id="4146" w:name="_Toc69879845"/>
      <w:r>
        <w:t>ocx (ActiveX Control Data)</w:t>
      </w:r>
      <w:bookmarkEnd w:id="4145"/>
      <w:bookmarkEnd w:id="4146"/>
      <w:r>
        <w:fldChar w:fldCharType="begin"/>
      </w:r>
      <w:r>
        <w:instrText xml:space="preserve"> XE "ocx (ActiveX Control Data)" </w:instrText>
      </w:r>
      <w:r>
        <w:fldChar w:fldCharType="end"/>
      </w:r>
    </w:p>
    <w:p w:rsidR="005F78FC" w:rsidRDefault="00B42EF3">
      <w:r>
        <w:t xml:space="preserve">This element specifies various information of an ActiveX control embedded in a document. </w:t>
      </w:r>
    </w:p>
    <w:p w:rsidR="005F78FC" w:rsidRDefault="00B42EF3">
      <w:r>
        <w:t xml:space="preserve">[Note: This element does not contain placement or application extended properties. </w:t>
      </w:r>
      <w:r>
        <w:t>The properties stored in this element are those that the ActiveX control can use regardless of container. end note]</w:t>
      </w:r>
    </w:p>
    <w:p w:rsidR="005F78FC" w:rsidRDefault="00B42EF3">
      <w:r>
        <w:t>[Example: Consider an ActiveX control embedded in a WordprocessingML. Various pieces of information about that control will be specified usi</w:t>
      </w:r>
      <w:r>
        <w:t>ng the following WordprocessingML:</w:t>
      </w:r>
    </w:p>
    <w:p w:rsidR="005F78FC" w:rsidRDefault="00B42EF3">
      <w:r>
        <w:t>&lt;ax:ocx ax:classid="{FDD0D569-5B7A-4E3D-820C-5C487DB7796C}" ax:persistence="persistPropertyBag" …&gt;</w:t>
      </w:r>
    </w:p>
    <w:p w:rsidR="005F78FC" w:rsidRDefault="00B42EF3">
      <w:r>
        <w:t xml:space="preserve">    &lt;ax:ocxPr ax:name="_Version" ax:value="65536"/&gt;</w:t>
      </w:r>
    </w:p>
    <w:p w:rsidR="005F78FC" w:rsidRDefault="00B42EF3">
      <w:r>
        <w:t xml:space="preserve">    &lt;ax:ocxPr ax:name="_ExtentX" ax:value="2646"/&gt;</w:t>
      </w:r>
    </w:p>
    <w:p w:rsidR="005F78FC" w:rsidRDefault="00B42EF3">
      <w:r>
        <w:t xml:space="preserve">    &lt;ax:ocxPr ax:na</w:t>
      </w:r>
      <w:r>
        <w:t>me="_ExtentY" ax:value="1323"/&gt;</w:t>
      </w:r>
    </w:p>
    <w:p w:rsidR="005F78FC" w:rsidRDefault="00B42EF3">
      <w:r>
        <w:t xml:space="preserve">    &lt;ax:ocxPr ax:name="_StockProps" ax:value="0"/&gt;</w:t>
      </w:r>
    </w:p>
    <w:p w:rsidR="005F78FC" w:rsidRDefault="00B42EF3">
      <w:r>
        <w:t xml:space="preserve">    …</w:t>
      </w:r>
    </w:p>
    <w:p w:rsidR="005F78FC" w:rsidRDefault="00B42EF3">
      <w:r>
        <w:t>&lt;/ax:ocx&gt;</w:t>
      </w:r>
    </w:p>
    <w:p w:rsidR="005F78FC" w:rsidRDefault="00B42EF3">
      <w:r>
        <w:t xml:space="preserve">Here, the </w:t>
      </w:r>
      <w:r>
        <w:rPr>
          <w:b/>
        </w:rPr>
        <w:t>classid</w:t>
      </w:r>
      <w:r>
        <w:t xml:space="preserve"> attribute holds the class ID of the ActiveX control, </w:t>
      </w:r>
      <w:r>
        <w:rPr>
          <w:i/>
        </w:rPr>
        <w:t>{FDD0D569-5B7A-4E3D-820C-5C487DB7796C}</w:t>
      </w:r>
      <w:r>
        <w:t xml:space="preserve">.  In this example, the </w:t>
      </w:r>
      <w:r>
        <w:rPr>
          <w:b/>
        </w:rPr>
        <w:t>persistence</w:t>
      </w:r>
      <w:r>
        <w:t xml:space="preserve"> attribute indicates the persistPropertyBag method for persisting various properties of the control. The property bag is stored as a collection of child </w:t>
      </w:r>
      <w:r>
        <w:rPr>
          <w:b/>
        </w:rPr>
        <w:t>ocxPr</w:t>
      </w:r>
      <w:r>
        <w:t xml:space="preserve"> elements. Each </w:t>
      </w:r>
      <w:r>
        <w:rPr>
          <w:b/>
        </w:rPr>
        <w:t>ocxPr</w:t>
      </w:r>
      <w:r>
        <w:t xml:space="preserve"> element contains a single property. end example]</w:t>
      </w:r>
    </w:p>
    <w:tbl>
      <w:tblPr>
        <w:tblStyle w:val="Table-ShadedHeader"/>
        <w:tblW w:w="0" w:type="auto"/>
        <w:tblLook w:val="04A0" w:firstRow="1" w:lastRow="0" w:firstColumn="1" w:lastColumn="0" w:noHBand="0" w:noVBand="1"/>
      </w:tblPr>
      <w:tblGrid>
        <w:gridCol w:w="2201"/>
        <w:gridCol w:w="1468"/>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Child Elements</w:t>
            </w:r>
          </w:p>
        </w:tc>
        <w:tc>
          <w:tcPr>
            <w:tcW w:w="0" w:type="auto"/>
            <w:vAlign w:val="center"/>
          </w:tcPr>
          <w:p w:rsidR="005F78FC" w:rsidRDefault="00B42EF3">
            <w:pPr>
              <w:pStyle w:val="TableHeaderText"/>
            </w:pPr>
            <w:r>
              <w:t>Subclause</w:t>
            </w:r>
          </w:p>
        </w:tc>
      </w:tr>
      <w:tr w:rsidR="005F78FC" w:rsidTr="005F78FC">
        <w:tc>
          <w:tcPr>
            <w:tcW w:w="0" w:type="auto"/>
            <w:vAlign w:val="center"/>
          </w:tcPr>
          <w:p w:rsidR="005F78FC" w:rsidRDefault="00B42EF3">
            <w:pPr>
              <w:pStyle w:val="TableBodyText"/>
            </w:pPr>
            <w:r>
              <w:rPr>
                <w:b/>
              </w:rPr>
              <w:t>o</w:t>
            </w:r>
            <w:r>
              <w:rPr>
                <w:b/>
              </w:rPr>
              <w:t>cxPr</w:t>
            </w:r>
            <w:r>
              <w:t xml:space="preserve"> (Object Property)</w:t>
            </w:r>
          </w:p>
        </w:tc>
        <w:tc>
          <w:tcPr>
            <w:tcW w:w="0" w:type="auto"/>
            <w:vAlign w:val="center"/>
          </w:tcPr>
          <w:p w:rsidR="005F78FC" w:rsidRDefault="00B42EF3">
            <w:pPr>
              <w:pStyle w:val="TableBodyText"/>
            </w:pPr>
            <w:r>
              <w:t>§</w:t>
            </w:r>
            <w:hyperlink w:anchor="Section_8d4ab600549c4dc7922c46ece32123ed">
              <w:r>
                <w:rPr>
                  <w:rStyle w:val="Hyperlink"/>
                </w:rPr>
                <w:t>3.6.1.3, ocxPr</w:t>
              </w:r>
            </w:hyperlink>
          </w:p>
        </w:tc>
      </w:tr>
    </w:tbl>
    <w:p w:rsidR="005F78FC" w:rsidRDefault="005F78FC"/>
    <w:p w:rsidR="005F78FC" w:rsidRDefault="005F78FC"/>
    <w:tbl>
      <w:tblPr>
        <w:tblStyle w:val="Table-ShadedHeader"/>
        <w:tblW w:w="0" w:type="auto"/>
        <w:tblLook w:val="04A0" w:firstRow="1" w:lastRow="0" w:firstColumn="1" w:lastColumn="0" w:noHBand="0" w:noVBand="1"/>
      </w:tblPr>
      <w:tblGrid>
        <w:gridCol w:w="3175"/>
        <w:gridCol w:w="6300"/>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lastRenderedPageBreak/>
              <w:t>Attributes</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rPr>
                <w:b/>
              </w:rPr>
              <w:t>classid</w:t>
            </w:r>
            <w:r>
              <w:t xml:space="preserve"> (ActiveX Control CLSID)</w:t>
            </w:r>
          </w:p>
        </w:tc>
        <w:tc>
          <w:tcPr>
            <w:tcW w:w="0" w:type="auto"/>
            <w:vAlign w:val="center"/>
          </w:tcPr>
          <w:p w:rsidR="005F78FC" w:rsidRDefault="00B42EF3">
            <w:pPr>
              <w:pStyle w:val="TableBodyText"/>
            </w:pPr>
            <w:r>
              <w:t>Specifies the GUID of the ClassID of the ActiveX control.</w:t>
            </w:r>
          </w:p>
          <w:p w:rsidR="005F78FC" w:rsidRDefault="005F78FC">
            <w:pPr>
              <w:pStyle w:val="TableBodyText"/>
            </w:pPr>
          </w:p>
          <w:p w:rsidR="005F78FC" w:rsidRDefault="00B42EF3">
            <w:pPr>
              <w:pStyle w:val="TableBodyText"/>
            </w:pPr>
            <w:r>
              <w:t>The possible values for this attribu</w:t>
            </w:r>
            <w:r>
              <w:t>te are defined by the ST_String simple type (§</w:t>
            </w:r>
            <w:hyperlink w:anchor="Section_41d18506311343d991c44b4bb652115c">
              <w:r>
                <w:rPr>
                  <w:rStyle w:val="Hyperlink"/>
                </w:rPr>
                <w:t>3.6.2.2, ST_String</w:t>
              </w:r>
            </w:hyperlink>
            <w:r>
              <w:t>).</w:t>
            </w:r>
          </w:p>
        </w:tc>
      </w:tr>
      <w:tr w:rsidR="005F78FC" w:rsidTr="005F78FC">
        <w:tc>
          <w:tcPr>
            <w:tcW w:w="0" w:type="auto"/>
            <w:vAlign w:val="center"/>
          </w:tcPr>
          <w:p w:rsidR="005F78FC" w:rsidRDefault="00B42EF3">
            <w:pPr>
              <w:pStyle w:val="TableBodyText"/>
            </w:pPr>
            <w:r>
              <w:rPr>
                <w:b/>
              </w:rPr>
              <w:t>license</w:t>
            </w:r>
            <w:r>
              <w:t xml:space="preserve"> (ActiveX Control License)</w:t>
            </w:r>
          </w:p>
        </w:tc>
        <w:tc>
          <w:tcPr>
            <w:tcW w:w="0" w:type="auto"/>
            <w:vAlign w:val="center"/>
          </w:tcPr>
          <w:p w:rsidR="005F78FC" w:rsidRDefault="00B42EF3">
            <w:pPr>
              <w:pStyle w:val="TableBodyText"/>
            </w:pPr>
            <w:r>
              <w:t xml:space="preserve">Specifies the license string for the ActiveX control. This string is retrieved from the </w:t>
            </w:r>
            <w:r>
              <w:t>IClassFactory2 interface of the control.</w:t>
            </w:r>
          </w:p>
          <w:p w:rsidR="005F78FC" w:rsidRDefault="005F78FC">
            <w:pPr>
              <w:pStyle w:val="TableBodyText"/>
            </w:pPr>
          </w:p>
          <w:p w:rsidR="005F78FC" w:rsidRDefault="00B42EF3">
            <w:pPr>
              <w:pStyle w:val="TableBodyText"/>
            </w:pPr>
            <w:r>
              <w:t>The possible values for this attribute are defined by the ST_String simple type (§3.6.2.2, ST_String).</w:t>
            </w:r>
          </w:p>
        </w:tc>
      </w:tr>
      <w:tr w:rsidR="005F78FC" w:rsidTr="005F78FC">
        <w:tc>
          <w:tcPr>
            <w:tcW w:w="0" w:type="auto"/>
            <w:vAlign w:val="center"/>
          </w:tcPr>
          <w:p w:rsidR="005F78FC" w:rsidRDefault="00B42EF3">
            <w:pPr>
              <w:pStyle w:val="TableBodyText"/>
            </w:pPr>
            <w:r>
              <w:rPr>
                <w:b/>
              </w:rPr>
              <w:t>persistence</w:t>
            </w:r>
            <w:r>
              <w:t xml:space="preserve"> (ActiveX Control Property Persistence Style)</w:t>
            </w:r>
          </w:p>
        </w:tc>
        <w:tc>
          <w:tcPr>
            <w:tcW w:w="0" w:type="auto"/>
            <w:vAlign w:val="center"/>
          </w:tcPr>
          <w:p w:rsidR="005F78FC" w:rsidRDefault="00B42EF3">
            <w:pPr>
              <w:pStyle w:val="TableBodyText"/>
            </w:pPr>
            <w:r>
              <w:t>Specifies the explicit method used to persist the pro</w:t>
            </w:r>
            <w:r>
              <w:t xml:space="preserve">perties of the ActiveX control. </w:t>
            </w:r>
          </w:p>
          <w:p w:rsidR="005F78FC" w:rsidRDefault="005F78FC">
            <w:pPr>
              <w:pStyle w:val="TableBodyText"/>
            </w:pPr>
          </w:p>
          <w:p w:rsidR="005F78FC" w:rsidRDefault="00B42EF3">
            <w:pPr>
              <w:pStyle w:val="TableBodyText"/>
            </w:pPr>
            <w:r>
              <w:t>The possible values for this attribute are defined by the ST_Persistence simple type (§</w:t>
            </w:r>
            <w:hyperlink w:anchor="Section_6b964c2deff640fcbecc6116a4ad1458">
              <w:r>
                <w:rPr>
                  <w:rStyle w:val="Hyperlink"/>
                </w:rPr>
                <w:t>3.6.2.1, ST_Persistence</w:t>
              </w:r>
            </w:hyperlink>
            <w:r>
              <w:t>).</w:t>
            </w:r>
          </w:p>
        </w:tc>
      </w:tr>
      <w:tr w:rsidR="005F78FC" w:rsidTr="005F78FC">
        <w:tc>
          <w:tcPr>
            <w:tcW w:w="0" w:type="auto"/>
            <w:vAlign w:val="center"/>
          </w:tcPr>
          <w:p w:rsidR="005F78FC" w:rsidRDefault="00B42EF3">
            <w:pPr>
              <w:pStyle w:val="TableBodyText"/>
            </w:pPr>
            <w:r>
              <w:rPr>
                <w:b/>
              </w:rPr>
              <w:t>id</w:t>
            </w:r>
            <w:r>
              <w:t xml:space="preserve"> (ActiveX Control Binary Data)</w:t>
            </w:r>
          </w:p>
          <w:p w:rsidR="005F78FC" w:rsidRDefault="005F78FC">
            <w:pPr>
              <w:pStyle w:val="TableBodyText"/>
            </w:pPr>
          </w:p>
          <w:p w:rsidR="005F78FC" w:rsidRDefault="00B42EF3">
            <w:pPr>
              <w:pStyle w:val="TableBodyText"/>
            </w:pPr>
            <w:r>
              <w:t xml:space="preserve">Namespace: </w:t>
            </w:r>
            <w:r>
              <w:t>.../officeDocument/2006/relationships</w:t>
            </w:r>
          </w:p>
        </w:tc>
        <w:tc>
          <w:tcPr>
            <w:tcW w:w="0" w:type="auto"/>
            <w:vAlign w:val="center"/>
          </w:tcPr>
          <w:p w:rsidR="005F78FC" w:rsidRDefault="00B42EF3">
            <w:pPr>
              <w:pStyle w:val="TableBodyText"/>
            </w:pPr>
            <w:r>
              <w:t xml:space="preserve">Specifies the relationship ID, the target of which points to the internal location where the binary data part representing various properties of the ActiveX control is persisted using the </w:t>
            </w:r>
            <w:r>
              <w:rPr>
                <w:b/>
              </w:rPr>
              <w:t>persistStorage,</w:t>
            </w:r>
            <w:r>
              <w:t xml:space="preserve"> </w:t>
            </w:r>
            <w:r>
              <w:rPr>
                <w:b/>
              </w:rPr>
              <w:t>persistStream,</w:t>
            </w:r>
            <w:r>
              <w:rPr>
                <w:b/>
              </w:rPr>
              <w:t xml:space="preserve"> or</w:t>
            </w:r>
            <w:r>
              <w:t xml:space="preserve"> </w:t>
            </w:r>
            <w:r>
              <w:rPr>
                <w:b/>
              </w:rPr>
              <w:t>persistStream</w:t>
            </w:r>
            <w:r>
              <w:t xml:space="preserve">Init method, as indicated by the </w:t>
            </w:r>
            <w:r>
              <w:rPr>
                <w:b/>
              </w:rPr>
              <w:t>persistence</w:t>
            </w:r>
            <w:r>
              <w:t xml:space="preserve"> attribute of the parent </w:t>
            </w:r>
            <w:r>
              <w:rPr>
                <w:b/>
              </w:rPr>
              <w:t>ocx</w:t>
            </w:r>
            <w:r>
              <w:t xml:space="preserve"> element.</w:t>
            </w:r>
          </w:p>
          <w:p w:rsidR="005F78FC" w:rsidRDefault="005F78FC">
            <w:pPr>
              <w:pStyle w:val="TableBodyText"/>
            </w:pPr>
          </w:p>
          <w:p w:rsidR="005F78FC" w:rsidRDefault="00B42EF3">
            <w:pPr>
              <w:pStyle w:val="TableBodyText"/>
            </w:pPr>
            <w:r>
              <w:t>The specified relationship shall be of type http://schemas.microsoft.com/office/2006/relationships/activeXControlBinary.</w:t>
            </w:r>
          </w:p>
          <w:p w:rsidR="005F78FC" w:rsidRDefault="005F78FC">
            <w:pPr>
              <w:pStyle w:val="TableBodyText"/>
            </w:pPr>
          </w:p>
          <w:p w:rsidR="005F78FC" w:rsidRDefault="00B42EF3">
            <w:pPr>
              <w:pStyle w:val="TableBodyText"/>
            </w:pPr>
            <w:r>
              <w:t>[Note: The use of this attribute i</w:t>
            </w:r>
            <w:r>
              <w:t xml:space="preserve">s mutually exclusive with the use of </w:t>
            </w:r>
            <w:r>
              <w:rPr>
                <w:b/>
              </w:rPr>
              <w:t>ocxPr</w:t>
            </w:r>
            <w:r>
              <w:t xml:space="preserve"> child elements. end note]</w:t>
            </w:r>
          </w:p>
          <w:p w:rsidR="005F78FC" w:rsidRDefault="005F78FC">
            <w:pPr>
              <w:pStyle w:val="TableBodyText"/>
            </w:pPr>
          </w:p>
          <w:p w:rsidR="005F78FC" w:rsidRDefault="00B42EF3">
            <w:pPr>
              <w:pStyle w:val="TableBodyText"/>
            </w:pPr>
            <w:r>
              <w:t>The possible values for this attribute are defined by the ST_RelationshipId simple type ("</w:t>
            </w:r>
            <w:hyperlink r:id="rId379">
              <w:r>
                <w:rPr>
                  <w:rStyle w:val="Hyperlink"/>
                </w:rPr>
                <w:t>[ISO/IEC-29500-1]</w:t>
              </w:r>
            </w:hyperlink>
            <w:r>
              <w:t xml:space="preserve"> §22.8.2.1").</w:t>
            </w:r>
          </w:p>
        </w:tc>
      </w:tr>
    </w:tbl>
    <w:p w:rsidR="005F78FC" w:rsidRDefault="005F78FC"/>
    <w:p w:rsidR="005F78FC" w:rsidRDefault="00B42EF3">
      <w:r>
        <w:t>The following XML Schema fragment defines the contents of this element:</w:t>
      </w:r>
    </w:p>
    <w:p w:rsidR="005F78FC" w:rsidRDefault="00B42EF3">
      <w:pPr>
        <w:pStyle w:val="Code"/>
      </w:pPr>
      <w:r>
        <w:t>&lt;complexType name="CT_Ocx"&gt;</w:t>
      </w:r>
    </w:p>
    <w:p w:rsidR="005F78FC" w:rsidRDefault="00B42EF3">
      <w:pPr>
        <w:pStyle w:val="Code"/>
      </w:pPr>
      <w:r>
        <w:t xml:space="preserve">  &lt;sequence&gt;</w:t>
      </w:r>
    </w:p>
    <w:p w:rsidR="005F78FC" w:rsidRDefault="00B42EF3">
      <w:pPr>
        <w:pStyle w:val="Code"/>
      </w:pPr>
      <w:r>
        <w:t xml:space="preserve">    &lt;element name="ocxPr" type="CT_OcxPr" minOccurs="0" maxOccurs="unbounded"/&gt;</w:t>
      </w:r>
    </w:p>
    <w:p w:rsidR="005F78FC" w:rsidRDefault="00B42EF3">
      <w:pPr>
        <w:pStyle w:val="Code"/>
      </w:pPr>
      <w:r>
        <w:t xml:space="preserve">  &lt;/sequence&gt;</w:t>
      </w:r>
    </w:p>
    <w:p w:rsidR="005F78FC" w:rsidRDefault="00B42EF3">
      <w:pPr>
        <w:pStyle w:val="Code"/>
      </w:pPr>
      <w:r>
        <w:t xml:space="preserve">  &lt;</w:t>
      </w:r>
      <w:r>
        <w:t>attribute name="classid" type="ST_String" use="required"/&gt;</w:t>
      </w:r>
    </w:p>
    <w:p w:rsidR="005F78FC" w:rsidRDefault="00B42EF3">
      <w:pPr>
        <w:pStyle w:val="Code"/>
      </w:pPr>
      <w:r>
        <w:t xml:space="preserve">  &lt;attribute name="license" type="ST_String"/&gt;</w:t>
      </w:r>
    </w:p>
    <w:p w:rsidR="005F78FC" w:rsidRDefault="00B42EF3">
      <w:pPr>
        <w:pStyle w:val="Code"/>
      </w:pPr>
      <w:r>
        <w:t xml:space="preserve">  &lt;attribute ref="r:id" use="optional"/&gt;</w:t>
      </w:r>
    </w:p>
    <w:p w:rsidR="005F78FC" w:rsidRDefault="00B42EF3">
      <w:pPr>
        <w:pStyle w:val="Code"/>
      </w:pPr>
      <w:r>
        <w:t xml:space="preserve">  &lt;attribute name="persistence" use="required" type="ST_Persistence"/&gt;</w:t>
      </w:r>
    </w:p>
    <w:p w:rsidR="005F78FC" w:rsidRDefault="00B42EF3">
      <w:pPr>
        <w:pStyle w:val="Code"/>
      </w:pPr>
      <w:r>
        <w:t>&lt;/complexType&gt;</w:t>
      </w:r>
    </w:p>
    <w:p w:rsidR="005F78FC" w:rsidRDefault="00B42EF3">
      <w:pPr>
        <w:pStyle w:val="Heading4"/>
      </w:pPr>
      <w:bookmarkStart w:id="4147" w:name="section_8d4ab600549c4dc7922c46ece32123ed"/>
      <w:bookmarkStart w:id="4148" w:name="_Toc69879846"/>
      <w:r>
        <w:t>ocxPr (Object Property)</w:t>
      </w:r>
      <w:bookmarkEnd w:id="4147"/>
      <w:bookmarkEnd w:id="4148"/>
      <w:r>
        <w:fldChar w:fldCharType="begin"/>
      </w:r>
      <w:r>
        <w:instrText xml:space="preserve"> XE "ocxPr (Object Property)" </w:instrText>
      </w:r>
      <w:r>
        <w:fldChar w:fldCharType="end"/>
      </w:r>
    </w:p>
    <w:p w:rsidR="005F78FC" w:rsidRDefault="00B42EF3">
      <w:r>
        <w:t xml:space="preserve">This element specifies the name and value of a persisting property of the parent object persisted using the method </w:t>
      </w:r>
      <w:r>
        <w:rPr>
          <w:b/>
        </w:rPr>
        <w:t>persistPropertyBag. Property values are converted into VT_BSTR using the Windows OLE API VariantChangeType()</w:t>
      </w:r>
      <w:r>
        <w:rPr>
          <w:b/>
        </w:rPr>
        <w:t xml:space="preserve"> before getting stored in this element. </w:t>
      </w:r>
    </w:p>
    <w:tbl>
      <w:tblPr>
        <w:tblStyle w:val="Table-ShadedHeader"/>
        <w:tblW w:w="0" w:type="auto"/>
        <w:tblLook w:val="04A0" w:firstRow="1" w:lastRow="0" w:firstColumn="1" w:lastColumn="0" w:noHBand="0" w:noVBand="1"/>
      </w:tblPr>
      <w:tblGrid>
        <w:gridCol w:w="3626"/>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lastRenderedPageBreak/>
              <w:t>Parent Elements</w:t>
            </w:r>
          </w:p>
        </w:tc>
      </w:tr>
      <w:tr w:rsidR="005F78FC" w:rsidTr="005F78FC">
        <w:tc>
          <w:tcPr>
            <w:tcW w:w="0" w:type="auto"/>
            <w:vAlign w:val="center"/>
          </w:tcPr>
          <w:p w:rsidR="005F78FC" w:rsidRDefault="00B42EF3">
            <w:pPr>
              <w:pStyle w:val="TableBodyText"/>
            </w:pPr>
            <w:r>
              <w:rPr>
                <w:b/>
              </w:rPr>
              <w:t>font</w:t>
            </w:r>
            <w:r>
              <w:t xml:space="preserve"> (§</w:t>
            </w:r>
            <w:hyperlink w:anchor="Section_22725205d8b548e98079c6cf815e6213">
              <w:r>
                <w:rPr>
                  <w:rStyle w:val="Hyperlink"/>
                </w:rPr>
                <w:t>3.6.1.1, font</w:t>
              </w:r>
            </w:hyperlink>
            <w:r>
              <w:t xml:space="preserve">); </w:t>
            </w:r>
            <w:r>
              <w:rPr>
                <w:b/>
              </w:rPr>
              <w:t>ocx</w:t>
            </w:r>
            <w:r>
              <w:t xml:space="preserve"> (§</w:t>
            </w:r>
            <w:hyperlink w:anchor="Section_48c990726cf74e6984b13bea64f0ee3a">
              <w:r>
                <w:rPr>
                  <w:rStyle w:val="Hyperlink"/>
                </w:rPr>
                <w:t>3.6.1.2, ocx</w:t>
              </w:r>
            </w:hyperlink>
            <w:r>
              <w:t>)</w:t>
            </w:r>
          </w:p>
        </w:tc>
      </w:tr>
    </w:tbl>
    <w:p w:rsidR="005F78FC" w:rsidRDefault="005F78FC"/>
    <w:p w:rsidR="005F78FC" w:rsidRDefault="005F78FC"/>
    <w:tbl>
      <w:tblPr>
        <w:tblStyle w:val="Table-ShadedHeader"/>
        <w:tblW w:w="0" w:type="auto"/>
        <w:tblLook w:val="04A0" w:firstRow="1" w:lastRow="0" w:firstColumn="1" w:lastColumn="0" w:noHBand="0" w:noVBand="1"/>
      </w:tblPr>
      <w:tblGrid>
        <w:gridCol w:w="3414"/>
        <w:gridCol w:w="1583"/>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Child Elements</w:t>
            </w:r>
          </w:p>
        </w:tc>
        <w:tc>
          <w:tcPr>
            <w:tcW w:w="0" w:type="auto"/>
            <w:vAlign w:val="center"/>
          </w:tcPr>
          <w:p w:rsidR="005F78FC" w:rsidRDefault="00B42EF3">
            <w:pPr>
              <w:pStyle w:val="TableHeaderText"/>
            </w:pPr>
            <w:r>
              <w:t>Subclause</w:t>
            </w:r>
          </w:p>
        </w:tc>
      </w:tr>
      <w:tr w:rsidR="005F78FC" w:rsidTr="005F78FC">
        <w:tc>
          <w:tcPr>
            <w:tcW w:w="0" w:type="auto"/>
            <w:vAlign w:val="center"/>
          </w:tcPr>
          <w:p w:rsidR="005F78FC" w:rsidRDefault="00B42EF3">
            <w:pPr>
              <w:pStyle w:val="TableBodyText"/>
            </w:pPr>
            <w:r>
              <w:rPr>
                <w:b/>
              </w:rPr>
              <w:t>font</w:t>
            </w:r>
            <w:r>
              <w:t xml:space="preserve"> (Standard COM Font Object)</w:t>
            </w:r>
          </w:p>
        </w:tc>
        <w:tc>
          <w:tcPr>
            <w:tcW w:w="0" w:type="auto"/>
            <w:vAlign w:val="center"/>
          </w:tcPr>
          <w:p w:rsidR="005F78FC" w:rsidRDefault="00B42EF3">
            <w:pPr>
              <w:pStyle w:val="TableBodyText"/>
            </w:pPr>
            <w:r>
              <w:t>§3.6.1.1, font</w:t>
            </w:r>
          </w:p>
        </w:tc>
      </w:tr>
      <w:tr w:rsidR="005F78FC" w:rsidTr="005F78FC">
        <w:tc>
          <w:tcPr>
            <w:tcW w:w="0" w:type="auto"/>
            <w:vAlign w:val="center"/>
          </w:tcPr>
          <w:p w:rsidR="005F78FC" w:rsidRDefault="00B42EF3">
            <w:pPr>
              <w:pStyle w:val="TableBodyText"/>
            </w:pPr>
            <w:r>
              <w:rPr>
                <w:b/>
              </w:rPr>
              <w:t>picture</w:t>
            </w:r>
            <w:r>
              <w:t xml:space="preserve"> (Standard COM Picture Object)</w:t>
            </w:r>
          </w:p>
        </w:tc>
        <w:tc>
          <w:tcPr>
            <w:tcW w:w="0" w:type="auto"/>
            <w:vAlign w:val="center"/>
          </w:tcPr>
          <w:p w:rsidR="005F78FC" w:rsidRDefault="00B42EF3">
            <w:pPr>
              <w:pStyle w:val="TableBodyText"/>
            </w:pPr>
            <w:r>
              <w:t>§</w:t>
            </w:r>
            <w:hyperlink w:anchor="Section_5499d4e25dcc4a22ab780ea8a5bb50ee">
              <w:r>
                <w:rPr>
                  <w:rStyle w:val="Hyperlink"/>
                </w:rPr>
                <w:t>3.6.1.4, picture</w:t>
              </w:r>
            </w:hyperlink>
          </w:p>
        </w:tc>
      </w:tr>
    </w:tbl>
    <w:p w:rsidR="005F78FC" w:rsidRDefault="005F78FC"/>
    <w:p w:rsidR="005F78FC" w:rsidRDefault="005F78FC"/>
    <w:tbl>
      <w:tblPr>
        <w:tblStyle w:val="Table-ShadedHeader"/>
        <w:tblW w:w="0" w:type="auto"/>
        <w:tblLook w:val="04A0" w:firstRow="1" w:lastRow="0" w:firstColumn="1" w:lastColumn="0" w:noHBand="0" w:noVBand="1"/>
      </w:tblPr>
      <w:tblGrid>
        <w:gridCol w:w="1828"/>
        <w:gridCol w:w="7647"/>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Attributes</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rPr>
                <w:b/>
              </w:rPr>
              <w:t>name</w:t>
            </w:r>
            <w:r>
              <w:t xml:space="preserve"> (ActiveX Control Property Name)</w:t>
            </w:r>
          </w:p>
        </w:tc>
        <w:tc>
          <w:tcPr>
            <w:tcW w:w="0" w:type="auto"/>
            <w:vAlign w:val="center"/>
          </w:tcPr>
          <w:p w:rsidR="005F78FC" w:rsidRDefault="00B42EF3">
            <w:pPr>
              <w:pStyle w:val="TableBodyText"/>
            </w:pPr>
            <w:r>
              <w:t>Specifies the name of the</w:t>
            </w:r>
            <w:r>
              <w:t xml:space="preserve"> property. This name shall be unique in its collection.</w:t>
            </w:r>
          </w:p>
          <w:p w:rsidR="005F78FC" w:rsidRDefault="005F78FC">
            <w:pPr>
              <w:pStyle w:val="TableBodyText"/>
            </w:pPr>
          </w:p>
          <w:p w:rsidR="005F78FC" w:rsidRDefault="00B42EF3">
            <w:pPr>
              <w:pStyle w:val="TableBodyText"/>
            </w:pPr>
            <w:r>
              <w:t>The possible values for this attribute are defined by the ST_String simple type (§</w:t>
            </w:r>
            <w:hyperlink w:anchor="Section_41d18506311343d991c44b4bb652115c">
              <w:r>
                <w:rPr>
                  <w:rStyle w:val="Hyperlink"/>
                </w:rPr>
                <w:t>3.6.2.2, ST_String</w:t>
              </w:r>
            </w:hyperlink>
            <w:r>
              <w:t>).</w:t>
            </w:r>
          </w:p>
        </w:tc>
      </w:tr>
      <w:tr w:rsidR="005F78FC" w:rsidTr="005F78FC">
        <w:tc>
          <w:tcPr>
            <w:tcW w:w="0" w:type="auto"/>
            <w:vAlign w:val="center"/>
          </w:tcPr>
          <w:p w:rsidR="005F78FC" w:rsidRDefault="00B42EF3">
            <w:pPr>
              <w:pStyle w:val="TableBodyText"/>
            </w:pPr>
            <w:r>
              <w:rPr>
                <w:b/>
              </w:rPr>
              <w:t>value</w:t>
            </w:r>
            <w:r>
              <w:t xml:space="preserve"> (ActiveX Control Property Value)</w:t>
            </w:r>
          </w:p>
        </w:tc>
        <w:tc>
          <w:tcPr>
            <w:tcW w:w="0" w:type="auto"/>
            <w:vAlign w:val="center"/>
          </w:tcPr>
          <w:p w:rsidR="005F78FC" w:rsidRDefault="00B42EF3">
            <w:pPr>
              <w:pStyle w:val="TableBodyText"/>
            </w:pPr>
            <w:r>
              <w:t>Specifies the value of the property. The actual p</w:t>
            </w:r>
            <w:r>
              <w:rPr>
                <w:b/>
              </w:rPr>
              <w:t>roperty values are converted into VT_BSTR using the Windows OLE API VariantChangeType() before getting stored in this element. And corresponding string is stored as the valu</w:t>
            </w:r>
            <w:r>
              <w:rPr>
                <w:b/>
              </w:rPr>
              <w:t>e.</w:t>
            </w:r>
          </w:p>
          <w:p w:rsidR="005F78FC" w:rsidRDefault="005F78FC">
            <w:pPr>
              <w:pStyle w:val="TableBodyText"/>
            </w:pPr>
          </w:p>
          <w:p w:rsidR="005F78FC" w:rsidRDefault="00B42EF3">
            <w:pPr>
              <w:pStyle w:val="TableBodyText"/>
            </w:pPr>
            <w:r>
              <w:t>This is attribute is only permitted for ocxPr elements (§3.6.1.3, ocxPr) without a font (§3.6.1.1, font) or picture sub-element (§3.6.1.4, picture).</w:t>
            </w:r>
          </w:p>
          <w:p w:rsidR="005F78FC" w:rsidRDefault="005F78FC">
            <w:pPr>
              <w:pStyle w:val="TableBodyText"/>
            </w:pPr>
          </w:p>
          <w:p w:rsidR="005F78FC" w:rsidRDefault="00B42EF3">
            <w:pPr>
              <w:pStyle w:val="TableBodyText"/>
            </w:pPr>
            <w:r>
              <w:t>The possible values for this attribute are defined by the ST_String simple type (§3.6.2.2, ST_String).</w:t>
            </w:r>
          </w:p>
        </w:tc>
      </w:tr>
    </w:tbl>
    <w:p w:rsidR="005F78FC" w:rsidRDefault="005F78FC"/>
    <w:p w:rsidR="005F78FC" w:rsidRDefault="00B42EF3">
      <w:r>
        <w:t>The following XML Schema fragment defines the contents of this element:</w:t>
      </w:r>
    </w:p>
    <w:p w:rsidR="005F78FC" w:rsidRDefault="00B42EF3">
      <w:pPr>
        <w:pStyle w:val="Code"/>
      </w:pPr>
      <w:r>
        <w:t>&lt;complexType name="CT_OcxPr"&gt;</w:t>
      </w:r>
    </w:p>
    <w:p w:rsidR="005F78FC" w:rsidRDefault="00B42EF3">
      <w:pPr>
        <w:pStyle w:val="Code"/>
      </w:pPr>
      <w:r>
        <w:t xml:space="preserve">  &lt;sequence&gt;</w:t>
      </w:r>
    </w:p>
    <w:p w:rsidR="005F78FC" w:rsidRDefault="00B42EF3">
      <w:pPr>
        <w:pStyle w:val="Code"/>
      </w:pPr>
      <w:r>
        <w:t xml:space="preserve">    &lt;choice&gt;</w:t>
      </w:r>
    </w:p>
    <w:p w:rsidR="005F78FC" w:rsidRDefault="00B42EF3">
      <w:pPr>
        <w:pStyle w:val="Code"/>
      </w:pPr>
      <w:r>
        <w:t xml:space="preserve">      &lt;element name="font" type="CT_Font" maxOccurs="1" minOccurs="0"/&gt;</w:t>
      </w:r>
    </w:p>
    <w:p w:rsidR="005F78FC" w:rsidRDefault="00B42EF3">
      <w:pPr>
        <w:pStyle w:val="Code"/>
      </w:pPr>
      <w:r>
        <w:t xml:space="preserve">      &lt;element name="picture" type="CT_Picture" maxOc</w:t>
      </w:r>
      <w:r>
        <w:t>curs="1" minOccurs="0"/&gt;</w:t>
      </w:r>
    </w:p>
    <w:p w:rsidR="005F78FC" w:rsidRDefault="00B42EF3">
      <w:pPr>
        <w:pStyle w:val="Code"/>
      </w:pPr>
      <w:r>
        <w:t xml:space="preserve">    &lt;/choice&gt;</w:t>
      </w:r>
    </w:p>
    <w:p w:rsidR="005F78FC" w:rsidRDefault="00B42EF3">
      <w:pPr>
        <w:pStyle w:val="Code"/>
      </w:pPr>
      <w:r>
        <w:t xml:space="preserve">  &lt;/sequence&gt;</w:t>
      </w:r>
    </w:p>
    <w:p w:rsidR="005F78FC" w:rsidRDefault="00B42EF3">
      <w:pPr>
        <w:pStyle w:val="Code"/>
      </w:pPr>
      <w:r>
        <w:t xml:space="preserve">  &lt;attribute name="name" type="ST_String" use="required"/&gt;</w:t>
      </w:r>
    </w:p>
    <w:p w:rsidR="005F78FC" w:rsidRDefault="00B42EF3">
      <w:pPr>
        <w:pStyle w:val="Code"/>
      </w:pPr>
      <w:r>
        <w:t xml:space="preserve">  &lt;attribute name="value" type="ST_String"/&gt;</w:t>
      </w:r>
    </w:p>
    <w:p w:rsidR="005F78FC" w:rsidRDefault="00B42EF3">
      <w:pPr>
        <w:pStyle w:val="Code"/>
      </w:pPr>
      <w:r>
        <w:t>&lt;/complexType&gt;</w:t>
      </w:r>
    </w:p>
    <w:p w:rsidR="005F78FC" w:rsidRDefault="00B42EF3">
      <w:pPr>
        <w:pStyle w:val="Heading4"/>
      </w:pPr>
      <w:bookmarkStart w:id="4149" w:name="section_5499d4e25dcc4a22ab780ea8a5bb50ee"/>
      <w:bookmarkStart w:id="4150" w:name="_Toc69879847"/>
      <w:r>
        <w:t>picture (Standard COM Picture Object)</w:t>
      </w:r>
      <w:bookmarkEnd w:id="4149"/>
      <w:bookmarkEnd w:id="4150"/>
      <w:r>
        <w:fldChar w:fldCharType="begin"/>
      </w:r>
      <w:r>
        <w:instrText xml:space="preserve"> XE "picture (Standard COM Picture Object)" </w:instrText>
      </w:r>
      <w:r>
        <w:fldChar w:fldCharType="end"/>
      </w:r>
    </w:p>
    <w:p w:rsidR="005F78FC" w:rsidRDefault="00B42EF3">
      <w:r>
        <w:t>This element specifies the properties of the StdPicture (classid CLSID_StdPicture, interface IPicture) object embedded in the property bag (IPersistPropertyBag interface) of an ActiveX control.</w:t>
      </w:r>
    </w:p>
    <w:p w:rsidR="005F78FC" w:rsidRDefault="00B42EF3">
      <w:r>
        <w:t xml:space="preserve"> [Example: Consider an embedded picture object named "PictureP</w:t>
      </w:r>
      <w:r>
        <w:t xml:space="preserve">ropName" embedded in an ActiveX control. </w:t>
      </w:r>
    </w:p>
    <w:p w:rsidR="005F78FC" w:rsidRDefault="00B42EF3">
      <w:r>
        <w:lastRenderedPageBreak/>
        <w:t>&lt;ax:ocx ...&gt;</w:t>
      </w:r>
    </w:p>
    <w:p w:rsidR="005F78FC" w:rsidRDefault="00B42EF3">
      <w:r>
        <w:t xml:space="preserve">    &lt;ax:ocxPr ax:name="PicturePropName"&gt;</w:t>
      </w:r>
    </w:p>
    <w:p w:rsidR="005F78FC" w:rsidRDefault="00B42EF3">
      <w:r>
        <w:t xml:space="preserve">        &lt;ax:picture r:id="rId1"/&gt;</w:t>
      </w:r>
    </w:p>
    <w:p w:rsidR="005F78FC" w:rsidRDefault="00B42EF3">
      <w:r>
        <w:t xml:space="preserve">    &lt;/ax:ocxPr&gt;</w:t>
      </w:r>
    </w:p>
    <w:p w:rsidR="005F78FC" w:rsidRDefault="00B42EF3">
      <w:r>
        <w:t>&lt;/ax:ocx&gt;</w:t>
      </w:r>
    </w:p>
    <w:p w:rsidR="005F78FC" w:rsidRDefault="00B42EF3">
      <w:r>
        <w:t xml:space="preserve">This example specifies that binary data representing the picture object can be found at the internal location pointed to by the relation </w:t>
      </w:r>
      <w:r>
        <w:rPr>
          <w:i/>
        </w:rPr>
        <w:t>rID1</w:t>
      </w:r>
      <w:r>
        <w:t>, and the data is persisted using an IPersist-derived interface. end example]</w:t>
      </w:r>
    </w:p>
    <w:p w:rsidR="005F78FC" w:rsidRDefault="00B42EF3">
      <w:r>
        <w:t>More information about the details of</w:t>
      </w:r>
      <w:r>
        <w:t xml:space="preserve"> the StdPicture object can be found in the Office Forms Binary File Format Structure Specification ("</w:t>
      </w:r>
      <w:hyperlink r:id="rId380" w:anchor="Section_9c79701a8c3e4429a139b60ac3a1d50a">
        <w:r>
          <w:rPr>
            <w:rStyle w:val="Hyperlink"/>
          </w:rPr>
          <w:t>[MS-OFORMS]</w:t>
        </w:r>
      </w:hyperlink>
      <w:r>
        <w:t xml:space="preserve"> Section 2.4.5").</w:t>
      </w:r>
    </w:p>
    <w:tbl>
      <w:tblPr>
        <w:tblStyle w:val="Table-ShadedHeader"/>
        <w:tblW w:w="0" w:type="auto"/>
        <w:tblLook w:val="04A0" w:firstRow="1" w:lastRow="0" w:firstColumn="1" w:lastColumn="0" w:noHBand="0" w:noVBand="1"/>
      </w:tblPr>
      <w:tblGrid>
        <w:gridCol w:w="2177"/>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Parent Elements</w:t>
            </w:r>
          </w:p>
        </w:tc>
      </w:tr>
      <w:tr w:rsidR="005F78FC" w:rsidTr="005F78FC">
        <w:tc>
          <w:tcPr>
            <w:tcW w:w="0" w:type="auto"/>
            <w:vAlign w:val="center"/>
          </w:tcPr>
          <w:p w:rsidR="005F78FC" w:rsidRDefault="00B42EF3">
            <w:pPr>
              <w:pStyle w:val="TableBodyText"/>
            </w:pPr>
            <w:r>
              <w:rPr>
                <w:b/>
              </w:rPr>
              <w:t>ocxPr</w:t>
            </w:r>
            <w:r>
              <w:t xml:space="preserve"> (§</w:t>
            </w:r>
            <w:hyperlink w:anchor="Section_8d4ab600549c4dc7922c46ece32123ed">
              <w:r>
                <w:rPr>
                  <w:rStyle w:val="Hyperlink"/>
                </w:rPr>
                <w:t>3.6.1.3, ocxPr</w:t>
              </w:r>
            </w:hyperlink>
            <w:r>
              <w:t>)</w:t>
            </w:r>
          </w:p>
        </w:tc>
      </w:tr>
    </w:tbl>
    <w:p w:rsidR="005F78FC" w:rsidRDefault="005F78FC"/>
    <w:p w:rsidR="005F78FC" w:rsidRDefault="005F78FC"/>
    <w:tbl>
      <w:tblPr>
        <w:tblStyle w:val="Table-ShadedHeader"/>
        <w:tblW w:w="0" w:type="auto"/>
        <w:tblLook w:val="04A0" w:firstRow="1" w:lastRow="0" w:firstColumn="1" w:lastColumn="0" w:noHBand="0" w:noVBand="1"/>
      </w:tblPr>
      <w:tblGrid>
        <w:gridCol w:w="3175"/>
        <w:gridCol w:w="6300"/>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Attributes</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rPr>
                <w:b/>
              </w:rPr>
              <w:t>id</w:t>
            </w:r>
            <w:r>
              <w:t xml:space="preserve"> ()</w:t>
            </w:r>
          </w:p>
          <w:p w:rsidR="005F78FC" w:rsidRDefault="005F78FC">
            <w:pPr>
              <w:pStyle w:val="TableBodyText"/>
            </w:pPr>
          </w:p>
          <w:p w:rsidR="005F78FC" w:rsidRDefault="00B42EF3">
            <w:pPr>
              <w:pStyle w:val="TableBodyText"/>
            </w:pPr>
            <w:r>
              <w:t>Namespace: .../officeDocument/2006/relationships</w:t>
            </w:r>
          </w:p>
        </w:tc>
        <w:tc>
          <w:tcPr>
            <w:tcW w:w="0" w:type="auto"/>
            <w:vAlign w:val="center"/>
          </w:tcPr>
          <w:p w:rsidR="005F78FC" w:rsidRDefault="00B42EF3">
            <w:pPr>
              <w:pStyle w:val="TableBodyText"/>
            </w:pPr>
            <w:r>
              <w:t xml:space="preserve">Specifies the relationship ID of the relationship to the picture. The specified relationship shall be of type </w:t>
            </w:r>
            <w:r>
              <w:t>http://schemas.microsoft.com/office/2006/relationships/activeXControlBinary.</w:t>
            </w:r>
          </w:p>
          <w:p w:rsidR="005F78FC" w:rsidRDefault="005F78FC">
            <w:pPr>
              <w:pStyle w:val="TableBodyText"/>
            </w:pPr>
          </w:p>
          <w:p w:rsidR="005F78FC" w:rsidRDefault="00B42EF3">
            <w:pPr>
              <w:pStyle w:val="TableBodyText"/>
            </w:pPr>
            <w:r>
              <w:t>The target of the relationship point to the internal location where the persisted picture data is stored using the IPersist interface.</w:t>
            </w:r>
          </w:p>
          <w:p w:rsidR="005F78FC" w:rsidRDefault="005F78FC">
            <w:pPr>
              <w:pStyle w:val="TableBodyText"/>
            </w:pPr>
          </w:p>
          <w:p w:rsidR="005F78FC" w:rsidRDefault="00B42EF3">
            <w:pPr>
              <w:pStyle w:val="TableBodyText"/>
            </w:pPr>
            <w:r>
              <w:t>The possible values for this attribute are</w:t>
            </w:r>
            <w:r>
              <w:t xml:space="preserve"> defined by the ST_RelationshipId simple type ("</w:t>
            </w:r>
            <w:hyperlink r:id="rId381">
              <w:r>
                <w:rPr>
                  <w:rStyle w:val="Hyperlink"/>
                </w:rPr>
                <w:t>[ISO/IEC-29500-1]</w:t>
              </w:r>
            </w:hyperlink>
            <w:r>
              <w:t xml:space="preserve"> §22.8.2.1").</w:t>
            </w:r>
          </w:p>
        </w:tc>
      </w:tr>
    </w:tbl>
    <w:p w:rsidR="005F78FC" w:rsidRDefault="005F78FC"/>
    <w:p w:rsidR="005F78FC" w:rsidRDefault="00B42EF3">
      <w:r>
        <w:t>The following XML Schema fragment defines the contents of this element:</w:t>
      </w:r>
    </w:p>
    <w:p w:rsidR="005F78FC" w:rsidRDefault="00B42EF3">
      <w:pPr>
        <w:pStyle w:val="Code"/>
      </w:pPr>
      <w:r>
        <w:t>&lt;complexType name="CT_Picture"&gt;</w:t>
      </w:r>
    </w:p>
    <w:p w:rsidR="005F78FC" w:rsidRDefault="00B42EF3">
      <w:pPr>
        <w:pStyle w:val="Code"/>
      </w:pPr>
      <w:r>
        <w:t xml:space="preserve">  &lt;at</w:t>
      </w:r>
      <w:r>
        <w:t>tribute ref="r:id"/&gt;</w:t>
      </w:r>
    </w:p>
    <w:p w:rsidR="005F78FC" w:rsidRDefault="00B42EF3">
      <w:pPr>
        <w:pStyle w:val="Code"/>
      </w:pPr>
      <w:r>
        <w:t>&lt;/complexType&gt;</w:t>
      </w:r>
    </w:p>
    <w:p w:rsidR="005F78FC" w:rsidRDefault="00B42EF3">
      <w:pPr>
        <w:pStyle w:val="Heading3"/>
      </w:pPr>
      <w:bookmarkStart w:id="4151" w:name="section_400616b7500d47efae7ea5970329dfe1"/>
      <w:bookmarkStart w:id="4152" w:name="_Toc69879848"/>
      <w:r>
        <w:t>Simple Types</w:t>
      </w:r>
      <w:bookmarkEnd w:id="4151"/>
      <w:bookmarkEnd w:id="4152"/>
      <w:r>
        <w:fldChar w:fldCharType="begin"/>
      </w:r>
      <w:r>
        <w:instrText xml:space="preserve"> XE "Simple Types" </w:instrText>
      </w:r>
      <w:r>
        <w:fldChar w:fldCharType="end"/>
      </w:r>
    </w:p>
    <w:p w:rsidR="005F78FC" w:rsidRDefault="00B42EF3">
      <w:r>
        <w:t>This is the complete list of simple types in the http://schemas.microsoft.com/office/2006/activeX namespace.</w:t>
      </w:r>
    </w:p>
    <w:p w:rsidR="005F78FC" w:rsidRDefault="00B42EF3">
      <w:pPr>
        <w:pStyle w:val="Heading4"/>
      </w:pPr>
      <w:bookmarkStart w:id="4153" w:name="section_6b964c2deff640fcbecc6116a4ad1458"/>
      <w:bookmarkStart w:id="4154" w:name="_Toc69879849"/>
      <w:r>
        <w:t>ST_Persistence (Control Persistence Attribute Contents)</w:t>
      </w:r>
      <w:bookmarkEnd w:id="4153"/>
      <w:bookmarkEnd w:id="4154"/>
      <w:r>
        <w:fldChar w:fldCharType="begin"/>
      </w:r>
      <w:r>
        <w:instrText xml:space="preserve"> XE "ST_Persistence (C</w:instrText>
      </w:r>
      <w:r>
        <w:instrText xml:space="preserve">ontrol Persistence Attribute Contents)" </w:instrText>
      </w:r>
      <w:r>
        <w:fldChar w:fldCharType="end"/>
      </w:r>
    </w:p>
    <w:p w:rsidR="005F78FC" w:rsidRDefault="00B42EF3">
      <w:r>
        <w:t>This simple type specifies the persistence method to persist an ActiveX control.</w:t>
      </w:r>
    </w:p>
    <w:p w:rsidR="005F78FC" w:rsidRDefault="00B42EF3">
      <w:r>
        <w:t>This simple type's contents are a restriction of the ST_String datatype (§</w:t>
      </w:r>
      <w:hyperlink w:anchor="Section_41d18506311343d991c44b4bb652115c">
        <w:r>
          <w:rPr>
            <w:rStyle w:val="Hyperlink"/>
          </w:rPr>
          <w:t>3.6.2.2, ST_String</w:t>
        </w:r>
      </w:hyperlink>
      <w:r>
        <w:t>).</w:t>
      </w:r>
    </w:p>
    <w:p w:rsidR="005F78FC" w:rsidRDefault="00B42EF3">
      <w:r>
        <w:t>The following are possible enumeration values for this type:</w:t>
      </w:r>
    </w:p>
    <w:tbl>
      <w:tblPr>
        <w:tblStyle w:val="Table-ShadedHeader"/>
        <w:tblW w:w="0" w:type="auto"/>
        <w:tblLook w:val="04A0" w:firstRow="1" w:lastRow="0" w:firstColumn="1" w:lastColumn="0" w:noHBand="0" w:noVBand="1"/>
      </w:tblPr>
      <w:tblGrid>
        <w:gridCol w:w="3413"/>
        <w:gridCol w:w="6062"/>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lastRenderedPageBreak/>
              <w:t>Enumeration Value</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rPr>
                <w:b/>
              </w:rPr>
              <w:t>persistPropertyBag</w:t>
            </w:r>
            <w:r>
              <w:t xml:space="preserve"> (Control uses IPersistPropertyBag)</w:t>
            </w:r>
          </w:p>
        </w:tc>
        <w:tc>
          <w:tcPr>
            <w:tcW w:w="0" w:type="auto"/>
            <w:vAlign w:val="center"/>
          </w:tcPr>
          <w:p w:rsidR="005F78FC" w:rsidRDefault="00B42EF3">
            <w:pPr>
              <w:pStyle w:val="TableBodyText"/>
            </w:pPr>
            <w:r>
              <w:t xml:space="preserve">Specifies that the data is </w:t>
            </w:r>
            <w:r>
              <w:t>stored using the IPersistPropertyBag interface.</w:t>
            </w:r>
          </w:p>
          <w:p w:rsidR="005F78FC" w:rsidRDefault="005F78FC">
            <w:pPr>
              <w:pStyle w:val="TableBodyText"/>
            </w:pPr>
          </w:p>
          <w:p w:rsidR="005F78FC" w:rsidRDefault="00B42EF3">
            <w:pPr>
              <w:pStyle w:val="TableBodyText"/>
            </w:pPr>
            <w:r>
              <w:t xml:space="preserve">If this value is used, then a child </w:t>
            </w:r>
            <w:r>
              <w:rPr>
                <w:b/>
              </w:rPr>
              <w:t>ocxPr</w:t>
            </w:r>
            <w:r>
              <w:t xml:space="preserve"> element shall appear within the parent element.</w:t>
            </w:r>
          </w:p>
        </w:tc>
      </w:tr>
      <w:tr w:rsidR="005F78FC" w:rsidTr="005F78FC">
        <w:tc>
          <w:tcPr>
            <w:tcW w:w="0" w:type="auto"/>
            <w:vAlign w:val="center"/>
          </w:tcPr>
          <w:p w:rsidR="005F78FC" w:rsidRDefault="00B42EF3">
            <w:pPr>
              <w:pStyle w:val="TableBodyText"/>
            </w:pPr>
            <w:r>
              <w:rPr>
                <w:b/>
              </w:rPr>
              <w:t>persistStorage</w:t>
            </w:r>
            <w:r>
              <w:t xml:space="preserve"> (Control uses IPersistStorage)</w:t>
            </w:r>
          </w:p>
        </w:tc>
        <w:tc>
          <w:tcPr>
            <w:tcW w:w="0" w:type="auto"/>
            <w:vAlign w:val="center"/>
          </w:tcPr>
          <w:p w:rsidR="005F78FC" w:rsidRDefault="00B42EF3">
            <w:pPr>
              <w:pStyle w:val="TableBodyText"/>
            </w:pPr>
            <w:r>
              <w:t>Specifies that the data is stored using the IPersistStorage interface.</w:t>
            </w:r>
          </w:p>
          <w:p w:rsidR="005F78FC" w:rsidRDefault="005F78FC">
            <w:pPr>
              <w:pStyle w:val="TableBodyText"/>
            </w:pPr>
          </w:p>
          <w:p w:rsidR="005F78FC" w:rsidRDefault="00B42EF3">
            <w:pPr>
              <w:pStyle w:val="TableBodyText"/>
            </w:pPr>
            <w:r>
              <w:t xml:space="preserve">If this value is used, then the parent element's </w:t>
            </w:r>
            <w:r>
              <w:rPr>
                <w:b/>
              </w:rPr>
              <w:t>id</w:t>
            </w:r>
            <w:r>
              <w:t xml:space="preserve"> attribute shall reference a relationship storing the necessary binary data. </w:t>
            </w:r>
          </w:p>
        </w:tc>
      </w:tr>
      <w:tr w:rsidR="005F78FC" w:rsidTr="005F78FC">
        <w:tc>
          <w:tcPr>
            <w:tcW w:w="0" w:type="auto"/>
            <w:vAlign w:val="center"/>
          </w:tcPr>
          <w:p w:rsidR="005F78FC" w:rsidRDefault="00B42EF3">
            <w:pPr>
              <w:pStyle w:val="TableBodyText"/>
            </w:pPr>
            <w:r>
              <w:rPr>
                <w:b/>
              </w:rPr>
              <w:t>persistStream</w:t>
            </w:r>
            <w:r>
              <w:t xml:space="preserve"> (Control uses IPersistStream)</w:t>
            </w:r>
          </w:p>
        </w:tc>
        <w:tc>
          <w:tcPr>
            <w:tcW w:w="0" w:type="auto"/>
            <w:vAlign w:val="center"/>
          </w:tcPr>
          <w:p w:rsidR="005F78FC" w:rsidRDefault="00B42EF3">
            <w:pPr>
              <w:pStyle w:val="TableBodyText"/>
            </w:pPr>
            <w:r>
              <w:t>Specifies that the data is stored using the IPersistStream interface.</w:t>
            </w:r>
          </w:p>
          <w:p w:rsidR="005F78FC" w:rsidRDefault="005F78FC">
            <w:pPr>
              <w:pStyle w:val="TableBodyText"/>
            </w:pPr>
          </w:p>
          <w:p w:rsidR="005F78FC" w:rsidRDefault="00B42EF3">
            <w:pPr>
              <w:pStyle w:val="TableBodyText"/>
            </w:pPr>
            <w:r>
              <w:t xml:space="preserve">If this value is used, then the parent element's </w:t>
            </w:r>
            <w:r>
              <w:rPr>
                <w:b/>
              </w:rPr>
              <w:t>id</w:t>
            </w:r>
            <w:r>
              <w:t xml:space="preserve"> attribute shall reference a relationship storing the necessary binary data.</w:t>
            </w:r>
          </w:p>
        </w:tc>
      </w:tr>
      <w:tr w:rsidR="005F78FC" w:rsidTr="005F78FC">
        <w:tc>
          <w:tcPr>
            <w:tcW w:w="0" w:type="auto"/>
            <w:vAlign w:val="center"/>
          </w:tcPr>
          <w:p w:rsidR="005F78FC" w:rsidRDefault="00B42EF3">
            <w:pPr>
              <w:pStyle w:val="TableBodyText"/>
            </w:pPr>
            <w:r>
              <w:rPr>
                <w:b/>
              </w:rPr>
              <w:t>persistStreamInit</w:t>
            </w:r>
            <w:r>
              <w:t xml:space="preserve"> (Control uses IPersistStreamInit)</w:t>
            </w:r>
          </w:p>
        </w:tc>
        <w:tc>
          <w:tcPr>
            <w:tcW w:w="0" w:type="auto"/>
            <w:vAlign w:val="center"/>
          </w:tcPr>
          <w:p w:rsidR="005F78FC" w:rsidRDefault="00B42EF3">
            <w:pPr>
              <w:pStyle w:val="TableBodyText"/>
            </w:pPr>
            <w:r>
              <w:t>Specifies that the data is stored using the IPersistStreamInit interface.</w:t>
            </w:r>
          </w:p>
          <w:p w:rsidR="005F78FC" w:rsidRDefault="005F78FC">
            <w:pPr>
              <w:pStyle w:val="TableBodyText"/>
            </w:pPr>
          </w:p>
          <w:p w:rsidR="005F78FC" w:rsidRDefault="00B42EF3">
            <w:pPr>
              <w:pStyle w:val="TableBodyText"/>
            </w:pPr>
            <w:r>
              <w:t xml:space="preserve">If this value is used, then the parent element's </w:t>
            </w:r>
            <w:r>
              <w:rPr>
                <w:b/>
              </w:rPr>
              <w:t>id</w:t>
            </w:r>
            <w:r>
              <w:t xml:space="preserve"> attribute shall reference a relationship storing the necessary binary data.</w:t>
            </w:r>
          </w:p>
        </w:tc>
      </w:tr>
    </w:tbl>
    <w:p w:rsidR="005F78FC" w:rsidRDefault="005F78FC"/>
    <w:p w:rsidR="005F78FC" w:rsidRDefault="005F78FC"/>
    <w:tbl>
      <w:tblPr>
        <w:tblStyle w:val="Table-ShadedHeader"/>
        <w:tblW w:w="0" w:type="auto"/>
        <w:tblLook w:val="04A0" w:firstRow="1" w:lastRow="0" w:firstColumn="1" w:lastColumn="0" w:noHBand="0" w:noVBand="1"/>
      </w:tblPr>
      <w:tblGrid>
        <w:gridCol w:w="6006"/>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Referenced By</w:t>
            </w:r>
          </w:p>
        </w:tc>
      </w:tr>
      <w:tr w:rsidR="005F78FC" w:rsidTr="005F78FC">
        <w:tc>
          <w:tcPr>
            <w:tcW w:w="0" w:type="auto"/>
            <w:vAlign w:val="center"/>
          </w:tcPr>
          <w:p w:rsidR="005F78FC" w:rsidRDefault="00B42EF3">
            <w:pPr>
              <w:pStyle w:val="TableBodyText"/>
            </w:pPr>
            <w:r>
              <w:rPr>
                <w:b/>
              </w:rPr>
              <w:t>font@persistence</w:t>
            </w:r>
            <w:r>
              <w:t xml:space="preserve"> (§</w:t>
            </w:r>
            <w:hyperlink w:anchor="Section_22725205d8b548e98079c6cf815e6213">
              <w:r>
                <w:rPr>
                  <w:rStyle w:val="Hyperlink"/>
                </w:rPr>
                <w:t>3.6.1.1, font</w:t>
              </w:r>
            </w:hyperlink>
            <w:r>
              <w:t xml:space="preserve">); </w:t>
            </w:r>
            <w:r>
              <w:rPr>
                <w:b/>
              </w:rPr>
              <w:t>ocx@persiste</w:t>
            </w:r>
            <w:r>
              <w:rPr>
                <w:b/>
              </w:rPr>
              <w:t>nce</w:t>
            </w:r>
            <w:r>
              <w:t xml:space="preserve"> (§</w:t>
            </w:r>
            <w:hyperlink w:anchor="Section_48c990726cf74e6984b13bea64f0ee3a">
              <w:r>
                <w:rPr>
                  <w:rStyle w:val="Hyperlink"/>
                </w:rPr>
                <w:t>3.6.1.2, ocx</w:t>
              </w:r>
            </w:hyperlink>
            <w:r>
              <w:t>)</w:t>
            </w:r>
          </w:p>
        </w:tc>
      </w:tr>
    </w:tbl>
    <w:p w:rsidR="005F78FC" w:rsidRDefault="005F78FC"/>
    <w:p w:rsidR="005F78FC" w:rsidRDefault="00B42EF3">
      <w:r>
        <w:t>The following XML Schema fragment defines the contents of this simple type:</w:t>
      </w:r>
    </w:p>
    <w:p w:rsidR="005F78FC" w:rsidRDefault="00B42EF3">
      <w:pPr>
        <w:pStyle w:val="Code"/>
      </w:pPr>
      <w:r>
        <w:t>&lt;simpleType name="ST_Persistence"&gt;</w:t>
      </w:r>
    </w:p>
    <w:p w:rsidR="005F78FC" w:rsidRDefault="00B42EF3">
      <w:pPr>
        <w:pStyle w:val="Code"/>
      </w:pPr>
      <w:r>
        <w:t xml:space="preserve">  &lt;restriction base="ST_String"&gt;</w:t>
      </w:r>
    </w:p>
    <w:p w:rsidR="005F78FC" w:rsidRDefault="00B42EF3">
      <w:pPr>
        <w:pStyle w:val="Code"/>
      </w:pPr>
      <w:r>
        <w:t xml:space="preserve">    &lt;</w:t>
      </w:r>
      <w:r>
        <w:t>enumeration value="persistPropertyBag"/&gt;</w:t>
      </w:r>
    </w:p>
    <w:p w:rsidR="005F78FC" w:rsidRDefault="00B42EF3">
      <w:pPr>
        <w:pStyle w:val="Code"/>
      </w:pPr>
      <w:r>
        <w:t xml:space="preserve">    &lt;enumeration value="persistStream"/&gt;</w:t>
      </w:r>
    </w:p>
    <w:p w:rsidR="005F78FC" w:rsidRDefault="00B42EF3">
      <w:pPr>
        <w:pStyle w:val="Code"/>
      </w:pPr>
      <w:r>
        <w:t xml:space="preserve">    &lt;enumeration value="persistStreamInit"/&gt;</w:t>
      </w:r>
    </w:p>
    <w:p w:rsidR="005F78FC" w:rsidRDefault="00B42EF3">
      <w:pPr>
        <w:pStyle w:val="Code"/>
      </w:pPr>
      <w:r>
        <w:t xml:space="preserve">    &lt;enumeration value="persistStorage"/&gt;</w:t>
      </w:r>
    </w:p>
    <w:p w:rsidR="005F78FC" w:rsidRDefault="00B42EF3">
      <w:pPr>
        <w:pStyle w:val="Code"/>
      </w:pPr>
      <w:r>
        <w:t xml:space="preserve">  &lt;/restriction&gt;</w:t>
      </w:r>
    </w:p>
    <w:p w:rsidR="005F78FC" w:rsidRDefault="00B42EF3">
      <w:pPr>
        <w:pStyle w:val="Code"/>
      </w:pPr>
      <w:r>
        <w:t>&lt;/simpleType&gt;</w:t>
      </w:r>
    </w:p>
    <w:p w:rsidR="005F78FC" w:rsidRDefault="00B42EF3">
      <w:pPr>
        <w:pStyle w:val="Heading4"/>
      </w:pPr>
      <w:bookmarkStart w:id="4155" w:name="section_41d18506311343d991c44b4bb652115c"/>
      <w:bookmarkStart w:id="4156" w:name="_Toc69879850"/>
      <w:r>
        <w:t>ST_String (String Type)</w:t>
      </w:r>
      <w:bookmarkEnd w:id="4155"/>
      <w:bookmarkEnd w:id="4156"/>
      <w:r>
        <w:fldChar w:fldCharType="begin"/>
      </w:r>
      <w:r>
        <w:instrText xml:space="preserve"> XE "ST_String (String Type)" </w:instrText>
      </w:r>
      <w:r>
        <w:fldChar w:fldCharType="end"/>
      </w:r>
    </w:p>
    <w:p w:rsidR="005F78FC" w:rsidRDefault="00B42EF3">
      <w:r>
        <w:t>This simple type specifies that its contents will contain a string. The contents of this string are interpreted based on the context of the parent XML element.</w:t>
      </w:r>
    </w:p>
    <w:p w:rsidR="005F78FC" w:rsidRDefault="00B42EF3">
      <w:r>
        <w:t>[Example: Consider the following WordprocessingML fragment:</w:t>
      </w:r>
    </w:p>
    <w:p w:rsidR="005F78FC" w:rsidRDefault="00B42EF3">
      <w:pPr>
        <w:pStyle w:val="Code"/>
      </w:pPr>
      <w:r>
        <w:t>&lt;w:pPr&gt;</w:t>
      </w:r>
    </w:p>
    <w:p w:rsidR="005F78FC" w:rsidRDefault="00B42EF3">
      <w:pPr>
        <w:pStyle w:val="Code"/>
      </w:pPr>
      <w:r>
        <w:t xml:space="preserve">  &lt;w:pStyle w:val="heading1"</w:t>
      </w:r>
      <w:r>
        <w:t xml:space="preserve"> /&gt; </w:t>
      </w:r>
    </w:p>
    <w:p w:rsidR="005F78FC" w:rsidRDefault="00B42EF3">
      <w:pPr>
        <w:pStyle w:val="Code"/>
      </w:pPr>
      <w:r>
        <w:t>&lt;/w:pPr&gt;</w:t>
      </w:r>
    </w:p>
    <w:p w:rsidR="005F78FC" w:rsidRDefault="00B42EF3">
      <w:r>
        <w:t xml:space="preserve">The value of the </w:t>
      </w:r>
      <w:r>
        <w:rPr>
          <w:b/>
        </w:rPr>
        <w:t>val</w:t>
      </w:r>
      <w:r>
        <w:t xml:space="preserve"> attribute is the ID of the associated paragraph style's </w:t>
      </w:r>
      <w:r>
        <w:rPr>
          <w:b/>
        </w:rPr>
        <w:t>styleId</w:t>
      </w:r>
      <w:r>
        <w:t>. However, consider the following fragment:</w:t>
      </w:r>
    </w:p>
    <w:p w:rsidR="005F78FC" w:rsidRDefault="00B42EF3">
      <w:pPr>
        <w:pStyle w:val="Code"/>
      </w:pPr>
      <w:r>
        <w:lastRenderedPageBreak/>
        <w:t>&lt;w:sdtPr&gt;</w:t>
      </w:r>
    </w:p>
    <w:p w:rsidR="005F78FC" w:rsidRDefault="00B42EF3">
      <w:pPr>
        <w:pStyle w:val="Code"/>
      </w:pPr>
      <w:r>
        <w:t xml:space="preserve">  &lt;w:alias w:val="SDT Title Example" /&gt;</w:t>
      </w:r>
    </w:p>
    <w:p w:rsidR="005F78FC" w:rsidRDefault="00B42EF3">
      <w:pPr>
        <w:pStyle w:val="Code"/>
      </w:pPr>
      <w:r>
        <w:t xml:space="preserve">  ...</w:t>
      </w:r>
    </w:p>
    <w:p w:rsidR="005F78FC" w:rsidRDefault="00B42EF3">
      <w:pPr>
        <w:pStyle w:val="Code"/>
      </w:pPr>
      <w:r>
        <w:t>&lt;/w:sdtPr&gt;</w:t>
      </w:r>
    </w:p>
    <w:p w:rsidR="005F78FC" w:rsidRDefault="00B42EF3">
      <w:r>
        <w:t xml:space="preserve">In this case, the decimal number in the </w:t>
      </w:r>
      <w:r>
        <w:rPr>
          <w:b/>
        </w:rPr>
        <w:t>val</w:t>
      </w:r>
      <w:r>
        <w:t xml:space="preserve"> attribute is the caption of the parent-structured document tag. In each case, the value is of type </w:t>
      </w:r>
      <w:r>
        <w:rPr>
          <w:b/>
        </w:rPr>
        <w:t>ST_String</w:t>
      </w:r>
      <w:r>
        <w:t>, and therefore must be interpreted in the context of the parent element. end example]</w:t>
      </w:r>
    </w:p>
    <w:p w:rsidR="005F78FC" w:rsidRDefault="00B42EF3">
      <w:r>
        <w:t>This simple type's contents are a restriction of the XML Sch</w:t>
      </w:r>
      <w:r>
        <w:t>ema string datatype.</w:t>
      </w:r>
    </w:p>
    <w:tbl>
      <w:tblPr>
        <w:tblStyle w:val="Table-ShadedHeader"/>
        <w:tblW w:w="0" w:type="auto"/>
        <w:tblLook w:val="04A0" w:firstRow="1" w:lastRow="0" w:firstColumn="1" w:lastColumn="0" w:noHBand="0" w:noVBand="1"/>
      </w:tblPr>
      <w:tblGrid>
        <w:gridCol w:w="9475"/>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Referenced By</w:t>
            </w:r>
          </w:p>
        </w:tc>
      </w:tr>
      <w:tr w:rsidR="005F78FC" w:rsidTr="005F78FC">
        <w:tc>
          <w:tcPr>
            <w:tcW w:w="0" w:type="auto"/>
            <w:vAlign w:val="center"/>
          </w:tcPr>
          <w:p w:rsidR="005F78FC" w:rsidRDefault="00B42EF3">
            <w:pPr>
              <w:pStyle w:val="TableBodyText"/>
            </w:pPr>
            <w:r>
              <w:rPr>
                <w:b/>
              </w:rPr>
              <w:t>ocx@classid</w:t>
            </w:r>
            <w:r>
              <w:t xml:space="preserve"> (§</w:t>
            </w:r>
            <w:hyperlink w:anchor="Section_48c990726cf74e6984b13bea64f0ee3a">
              <w:r>
                <w:rPr>
                  <w:rStyle w:val="Hyperlink"/>
                </w:rPr>
                <w:t>3.6.1.2, ocx</w:t>
              </w:r>
            </w:hyperlink>
            <w:r>
              <w:t xml:space="preserve">); </w:t>
            </w:r>
            <w:r>
              <w:rPr>
                <w:b/>
              </w:rPr>
              <w:t>ocx@license</w:t>
            </w:r>
            <w:r>
              <w:t xml:space="preserve"> (§3.6.1.2, ocx); </w:t>
            </w:r>
            <w:r>
              <w:rPr>
                <w:b/>
              </w:rPr>
              <w:t>ocxPr@name</w:t>
            </w:r>
            <w:r>
              <w:t xml:space="preserve"> (§</w:t>
            </w:r>
            <w:hyperlink w:anchor="Section_8d4ab600549c4dc7922c46ece32123ed">
              <w:r>
                <w:rPr>
                  <w:rStyle w:val="Hyperlink"/>
                </w:rPr>
                <w:t>3.6.1.3, ocxPr</w:t>
              </w:r>
            </w:hyperlink>
            <w:r>
              <w:t xml:space="preserve">); </w:t>
            </w:r>
            <w:r>
              <w:rPr>
                <w:b/>
              </w:rPr>
              <w:t>ocxPr@value</w:t>
            </w:r>
            <w:r>
              <w:t xml:space="preserve"> (§3.6.1.3, ocxPr); </w:t>
            </w:r>
            <w:r>
              <w:rPr>
                <w:b/>
              </w:rPr>
              <w:t>ST_Persistence</w:t>
            </w:r>
            <w:r>
              <w:t xml:space="preserve"> (§</w:t>
            </w:r>
            <w:hyperlink w:anchor="Section_6b964c2deff640fcbecc6116a4ad1458">
              <w:r>
                <w:rPr>
                  <w:rStyle w:val="Hyperlink"/>
                </w:rPr>
                <w:t>3.6.2.1, ST_Persistence</w:t>
              </w:r>
            </w:hyperlink>
            <w:r>
              <w:t>)</w:t>
            </w:r>
          </w:p>
        </w:tc>
      </w:tr>
    </w:tbl>
    <w:p w:rsidR="005F78FC" w:rsidRDefault="005F78FC"/>
    <w:p w:rsidR="005F78FC" w:rsidRDefault="00B42EF3">
      <w:r>
        <w:t>The following XML Schema fragment defines the contents of this simple type:</w:t>
      </w:r>
    </w:p>
    <w:p w:rsidR="005F78FC" w:rsidRDefault="00B42EF3">
      <w:pPr>
        <w:pStyle w:val="Code"/>
      </w:pPr>
      <w:r>
        <w:t>&lt;simpleType name="ST_String"&gt;</w:t>
      </w:r>
    </w:p>
    <w:p w:rsidR="005F78FC" w:rsidRDefault="00B42EF3">
      <w:pPr>
        <w:pStyle w:val="Code"/>
      </w:pPr>
      <w:r>
        <w:t xml:space="preserve">  &lt;restricti</w:t>
      </w:r>
      <w:r>
        <w:t>on base="xsd:string"/&gt;</w:t>
      </w:r>
    </w:p>
    <w:p w:rsidR="005F78FC" w:rsidRDefault="00B42EF3">
      <w:pPr>
        <w:pStyle w:val="Code"/>
      </w:pPr>
      <w:r>
        <w:t>&lt;/simpleType&gt;</w:t>
      </w:r>
    </w:p>
    <w:p w:rsidR="005F78FC" w:rsidRDefault="00B42EF3">
      <w:pPr>
        <w:pStyle w:val="Heading2"/>
      </w:pPr>
      <w:bookmarkStart w:id="4157" w:name="section_e8dafc63570a444fa0aedd1af1966d76"/>
      <w:bookmarkStart w:id="4158" w:name="_Toc69879851"/>
      <w:r>
        <w:t>Office Digital Signature</w:t>
      </w:r>
      <w:bookmarkEnd w:id="4157"/>
      <w:bookmarkEnd w:id="4158"/>
      <w:r>
        <w:fldChar w:fldCharType="begin"/>
      </w:r>
      <w:r>
        <w:instrText xml:space="preserve"> XE "Office Digital Signature (Additional Information)" </w:instrText>
      </w:r>
      <w:r>
        <w:fldChar w:fldCharType="end"/>
      </w:r>
    </w:p>
    <w:p w:rsidR="005F78FC" w:rsidRDefault="00B42EF3">
      <w:r>
        <w:t>The Office Digital Signature is a digital signature used by Office to certify the content of a document and to verify the authenticity o</w:t>
      </w:r>
      <w:r>
        <w:t>f its creator or sender.</w:t>
      </w:r>
    </w:p>
    <w:p w:rsidR="005F78FC" w:rsidRDefault="00B42EF3">
      <w:pPr>
        <w:pStyle w:val="Heading3"/>
      </w:pPr>
      <w:bookmarkStart w:id="4159" w:name="section_9b1199772ec9455a98aecb60f7bb0ed8"/>
      <w:bookmarkStart w:id="4160" w:name="_Toc69879852"/>
      <w:r>
        <w:t>Elements</w:t>
      </w:r>
      <w:bookmarkEnd w:id="4159"/>
      <w:bookmarkEnd w:id="4160"/>
      <w:r>
        <w:fldChar w:fldCharType="begin"/>
      </w:r>
      <w:r>
        <w:instrText xml:space="preserve"> XE "Elements" </w:instrText>
      </w:r>
      <w:r>
        <w:fldChar w:fldCharType="end"/>
      </w:r>
    </w:p>
    <w:p w:rsidR="005F78FC" w:rsidRDefault="00B42EF3">
      <w:r>
        <w:t xml:space="preserve">Office reserves the </w:t>
      </w:r>
      <w:r>
        <w:rPr>
          <w:b/>
        </w:rPr>
        <w:t>Object</w:t>
      </w:r>
      <w:r>
        <w:t xml:space="preserve"> </w:t>
      </w:r>
      <w:r>
        <w:rPr>
          <w:b/>
        </w:rPr>
        <w:t>Id</w:t>
      </w:r>
      <w:r>
        <w:t xml:space="preserve"> of </w:t>
      </w:r>
      <w:r>
        <w:rPr>
          <w:i/>
        </w:rPr>
        <w:t>idOfficeObject</w:t>
      </w:r>
      <w:r>
        <w:t xml:space="preserve"> for its digital signature.  The child of the </w:t>
      </w:r>
      <w:r>
        <w:rPr>
          <w:b/>
        </w:rPr>
        <w:t>SignatureProperty</w:t>
      </w:r>
      <w:r>
        <w:t xml:space="preserve"> in this object shall be a </w:t>
      </w:r>
      <w:r>
        <w:rPr>
          <w:b/>
        </w:rPr>
        <w:t>SignatureInfoV1</w:t>
      </w:r>
      <w:r>
        <w:t xml:space="preserve"> element.</w:t>
      </w:r>
    </w:p>
    <w:p w:rsidR="005F78FC" w:rsidRDefault="00B42EF3">
      <w:pPr>
        <w:pStyle w:val="Heading4"/>
      </w:pPr>
      <w:bookmarkStart w:id="4161" w:name="section_38917d35404040a79ad61d6b07d983f4"/>
      <w:bookmarkStart w:id="4162" w:name="_Toc69879853"/>
      <w:r>
        <w:t>ApplicationVersion (Application Version)</w:t>
      </w:r>
      <w:bookmarkEnd w:id="4161"/>
      <w:bookmarkEnd w:id="4162"/>
      <w:r>
        <w:fldChar w:fldCharType="begin"/>
      </w:r>
      <w:r>
        <w:instrText xml:space="preserve"> XE</w:instrText>
      </w:r>
      <w:r>
        <w:instrText xml:space="preserve"> "ApplicationVersion (Application Version)" </w:instrText>
      </w:r>
      <w:r>
        <w:fldChar w:fldCharType="end"/>
      </w:r>
    </w:p>
    <w:p w:rsidR="005F78FC" w:rsidRDefault="00B42EF3">
      <w:r>
        <w:t>Specifies the version of the application which created the digital signature.</w:t>
      </w:r>
    </w:p>
    <w:p w:rsidR="005F78FC" w:rsidRDefault="00B42EF3">
      <w:r>
        <w:t>The possible values for this element are defined by the ST_Version simple type (§</w:t>
      </w:r>
      <w:hyperlink w:anchor="Section_9c80c836e9844ac89c825d2d5bf63221">
        <w:r>
          <w:rPr>
            <w:rStyle w:val="Hyperlink"/>
          </w:rPr>
          <w:t>3.7.2.7, ST_Version</w:t>
        </w:r>
      </w:hyperlink>
      <w:r>
        <w:t>).</w:t>
      </w:r>
    </w:p>
    <w:tbl>
      <w:tblPr>
        <w:tblStyle w:val="Table-ShadedHeader"/>
        <w:tblW w:w="0" w:type="auto"/>
        <w:tblLook w:val="04A0" w:firstRow="1" w:lastRow="0" w:firstColumn="1" w:lastColumn="0" w:noHBand="0" w:noVBand="1"/>
      </w:tblPr>
      <w:tblGrid>
        <w:gridCol w:w="4131"/>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Parent Elements</w:t>
            </w:r>
          </w:p>
        </w:tc>
      </w:tr>
      <w:tr w:rsidR="005F78FC" w:rsidTr="005F78FC">
        <w:tc>
          <w:tcPr>
            <w:tcW w:w="0" w:type="auto"/>
            <w:vAlign w:val="center"/>
          </w:tcPr>
          <w:p w:rsidR="005F78FC" w:rsidRDefault="00B42EF3">
            <w:pPr>
              <w:pStyle w:val="TableBodyText"/>
            </w:pPr>
            <w:r>
              <w:rPr>
                <w:b/>
              </w:rPr>
              <w:t>SignatureInfoV1</w:t>
            </w:r>
            <w:r>
              <w:t xml:space="preserve"> (§</w:t>
            </w:r>
            <w:hyperlink w:anchor="Section_e1d590674b8849f19da10255d76b4ffa">
              <w:r>
                <w:rPr>
                  <w:rStyle w:val="Hyperlink"/>
                </w:rPr>
                <w:t>3.7.1.13, SignatureInfoV1</w:t>
              </w:r>
            </w:hyperlink>
            <w:r>
              <w:t>)</w:t>
            </w:r>
          </w:p>
        </w:tc>
      </w:tr>
    </w:tbl>
    <w:p w:rsidR="005F78FC" w:rsidRDefault="005F78FC"/>
    <w:p w:rsidR="005F78FC" w:rsidRDefault="00B42EF3">
      <w:r>
        <w:t>The following XML Schema fragment defines the contents of this element:</w:t>
      </w:r>
    </w:p>
    <w:p w:rsidR="005F78FC" w:rsidRDefault="00B42EF3">
      <w:pPr>
        <w:pStyle w:val="Code"/>
      </w:pPr>
      <w:r>
        <w:t xml:space="preserve">&lt;simpleType </w:t>
      </w:r>
      <w:r>
        <w:t>name="ST_Version"&gt;</w:t>
      </w:r>
    </w:p>
    <w:p w:rsidR="005F78FC" w:rsidRDefault="00B42EF3">
      <w:pPr>
        <w:pStyle w:val="Code"/>
      </w:pPr>
      <w:r>
        <w:t xml:space="preserve">  &lt;restriction base="xsd:string"&gt;</w:t>
      </w:r>
    </w:p>
    <w:p w:rsidR="005F78FC" w:rsidRDefault="00B42EF3">
      <w:pPr>
        <w:pStyle w:val="Code"/>
      </w:pPr>
      <w:r>
        <w:t xml:space="preserve">    &lt;maxLength value="64"/&gt;</w:t>
      </w:r>
    </w:p>
    <w:p w:rsidR="005F78FC" w:rsidRDefault="00B42EF3">
      <w:pPr>
        <w:pStyle w:val="Code"/>
      </w:pPr>
      <w:r>
        <w:t xml:space="preserve">  &lt;/restriction&gt;</w:t>
      </w:r>
    </w:p>
    <w:p w:rsidR="005F78FC" w:rsidRDefault="00B42EF3">
      <w:pPr>
        <w:pStyle w:val="Code"/>
      </w:pPr>
      <w:r>
        <w:t>&lt;/simpleType&gt;</w:t>
      </w:r>
    </w:p>
    <w:p w:rsidR="005F78FC" w:rsidRDefault="00B42EF3">
      <w:pPr>
        <w:pStyle w:val="Heading4"/>
      </w:pPr>
      <w:bookmarkStart w:id="4163" w:name="section_6011f8a6fcf4490385398e0bae26b7e7"/>
      <w:bookmarkStart w:id="4164" w:name="_Toc69879854"/>
      <w:r>
        <w:lastRenderedPageBreak/>
        <w:t>ColorDepth (Color Depth)</w:t>
      </w:r>
      <w:bookmarkEnd w:id="4163"/>
      <w:bookmarkEnd w:id="4164"/>
      <w:r>
        <w:fldChar w:fldCharType="begin"/>
      </w:r>
      <w:r>
        <w:instrText xml:space="preserve"> XE "ColorDepth (Color Depth)" </w:instrText>
      </w:r>
      <w:r>
        <w:fldChar w:fldCharType="end"/>
      </w:r>
    </w:p>
    <w:p w:rsidR="005F78FC" w:rsidRDefault="00B42EF3">
      <w:r>
        <w:t xml:space="preserve">Specifies the color depth of the primary monitor of the machine on which the digital </w:t>
      </w:r>
      <w:r>
        <w:t>signature was created.</w:t>
      </w:r>
    </w:p>
    <w:p w:rsidR="005F78FC" w:rsidRDefault="00B42EF3">
      <w:r>
        <w:t>The possible values for this element are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Parent Elements</w:t>
            </w:r>
          </w:p>
        </w:tc>
      </w:tr>
      <w:tr w:rsidR="005F78FC" w:rsidTr="005F78FC">
        <w:tc>
          <w:tcPr>
            <w:tcW w:w="0" w:type="auto"/>
            <w:vAlign w:val="center"/>
          </w:tcPr>
          <w:p w:rsidR="005F78FC" w:rsidRDefault="00B42EF3">
            <w:pPr>
              <w:pStyle w:val="TableBodyText"/>
            </w:pPr>
            <w:r>
              <w:rPr>
                <w:b/>
              </w:rPr>
              <w:t>SignatureInfoV1</w:t>
            </w:r>
            <w:r>
              <w:t xml:space="preserve"> (§</w:t>
            </w:r>
            <w:hyperlink w:anchor="Section_e1d590674b8849f19da10255d76b4ffa">
              <w:r>
                <w:rPr>
                  <w:rStyle w:val="Hyperlink"/>
                </w:rPr>
                <w:t>3.7.1.13, SignatureInfoV1</w:t>
              </w:r>
            </w:hyperlink>
            <w:r>
              <w:t>)</w:t>
            </w:r>
          </w:p>
        </w:tc>
      </w:tr>
    </w:tbl>
    <w:p w:rsidR="005F78FC" w:rsidRDefault="005F78FC"/>
    <w:p w:rsidR="005F78FC" w:rsidRDefault="00B42EF3">
      <w:r>
        <w:t>The following XML Schema fragment defines the contents of this element:</w:t>
      </w:r>
    </w:p>
    <w:p w:rsidR="005F78FC" w:rsidRDefault="00B42EF3">
      <w:pPr>
        <w:pStyle w:val="Code"/>
      </w:pPr>
      <w:r>
        <w:t>&lt;simpleType name="ST_PositiveInteger"&gt;</w:t>
      </w:r>
    </w:p>
    <w:p w:rsidR="005F78FC" w:rsidRDefault="00B42EF3">
      <w:pPr>
        <w:pStyle w:val="Code"/>
      </w:pPr>
      <w:r>
        <w:t xml:space="preserve">  &lt;restriction base="xsd:int"&gt;</w:t>
      </w:r>
    </w:p>
    <w:p w:rsidR="005F78FC" w:rsidRDefault="00B42EF3">
      <w:pPr>
        <w:pStyle w:val="Code"/>
      </w:pPr>
      <w:r>
        <w:t xml:space="preserve">    &lt;minExclusive value="0"/&gt;</w:t>
      </w:r>
    </w:p>
    <w:p w:rsidR="005F78FC" w:rsidRDefault="00B42EF3">
      <w:pPr>
        <w:pStyle w:val="Code"/>
      </w:pPr>
      <w:r>
        <w:t xml:space="preserve">  &lt;</w:t>
      </w:r>
      <w:r>
        <w:t>/restriction&gt;</w:t>
      </w:r>
    </w:p>
    <w:p w:rsidR="005F78FC" w:rsidRDefault="00B42EF3">
      <w:pPr>
        <w:pStyle w:val="Code"/>
      </w:pPr>
      <w:r>
        <w:t>&lt;/simpleType&gt;</w:t>
      </w:r>
    </w:p>
    <w:p w:rsidR="005F78FC" w:rsidRDefault="00B42EF3">
      <w:pPr>
        <w:pStyle w:val="Heading4"/>
      </w:pPr>
      <w:bookmarkStart w:id="4165" w:name="section_d88dc6d4480149dd842c429174b8837e"/>
      <w:bookmarkStart w:id="4166" w:name="_Toc69879855"/>
      <w:r>
        <w:t>DelegateSuggestedSigner (Delegate Suggested Signer)</w:t>
      </w:r>
      <w:bookmarkEnd w:id="4165"/>
      <w:bookmarkEnd w:id="4166"/>
      <w:r>
        <w:fldChar w:fldCharType="begin"/>
      </w:r>
      <w:r>
        <w:instrText xml:space="preserve"> XE "DelegateSuggestedSigner (Delegate Suggested Signer)" </w:instrText>
      </w:r>
      <w:r>
        <w:fldChar w:fldCharType="end"/>
      </w:r>
    </w:p>
    <w:p w:rsidR="005F78FC" w:rsidRDefault="00B42EF3">
      <w:r>
        <w:t>Specifies the name of a person to whom the signature has been delegated.</w:t>
      </w:r>
    </w:p>
    <w:tbl>
      <w:tblPr>
        <w:tblStyle w:val="Table-ShadedHeader"/>
        <w:tblW w:w="0" w:type="auto"/>
        <w:tblLook w:val="04A0" w:firstRow="1" w:lastRow="0" w:firstColumn="1" w:lastColumn="0" w:noHBand="0" w:noVBand="1"/>
      </w:tblPr>
      <w:tblGrid>
        <w:gridCol w:w="4131"/>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Parent Elements</w:t>
            </w:r>
          </w:p>
        </w:tc>
      </w:tr>
      <w:tr w:rsidR="005F78FC" w:rsidTr="005F78FC">
        <w:tc>
          <w:tcPr>
            <w:tcW w:w="0" w:type="auto"/>
            <w:vAlign w:val="center"/>
          </w:tcPr>
          <w:p w:rsidR="005F78FC" w:rsidRDefault="00B42EF3">
            <w:pPr>
              <w:pStyle w:val="TableBodyText"/>
            </w:pPr>
            <w:r>
              <w:rPr>
                <w:b/>
              </w:rPr>
              <w:t>SignatureInfoV1</w:t>
            </w:r>
            <w:r>
              <w:t xml:space="preserve"> (§</w:t>
            </w:r>
            <w:hyperlink w:anchor="Section_e1d590674b8849f19da10255d76b4ffa">
              <w:r>
                <w:rPr>
                  <w:rStyle w:val="Hyperlink"/>
                </w:rPr>
                <w:t>3.7.1.13, SignatureInfoV1</w:t>
              </w:r>
            </w:hyperlink>
            <w:r>
              <w:t>)</w:t>
            </w:r>
          </w:p>
        </w:tc>
      </w:tr>
    </w:tbl>
    <w:p w:rsidR="005F78FC" w:rsidRDefault="005F78FC"/>
    <w:p w:rsidR="005F78FC" w:rsidRDefault="00B42EF3">
      <w:pPr>
        <w:pStyle w:val="Heading4"/>
      </w:pPr>
      <w:bookmarkStart w:id="4167" w:name="section_841efc82d17b435cbc74a986769fdf50"/>
      <w:bookmarkStart w:id="4168" w:name="_Toc69879856"/>
      <w:r>
        <w:t>DelegateSuggestedSigner2 (Delegate Suggested Signer)</w:t>
      </w:r>
      <w:bookmarkEnd w:id="4167"/>
      <w:bookmarkEnd w:id="4168"/>
      <w:r>
        <w:fldChar w:fldCharType="begin"/>
      </w:r>
      <w:r>
        <w:instrText xml:space="preserve"> XE "DelegateSuggestedSigner2 (Delegate Suggested Signer)" </w:instrText>
      </w:r>
      <w:r>
        <w:fldChar w:fldCharType="end"/>
      </w:r>
    </w:p>
    <w:p w:rsidR="005F78FC" w:rsidRDefault="00B42EF3">
      <w:r>
        <w:t xml:space="preserve">Specifies the title of a person to whom the signature has </w:t>
      </w:r>
      <w:r>
        <w:t>been delegated.</w:t>
      </w:r>
    </w:p>
    <w:tbl>
      <w:tblPr>
        <w:tblStyle w:val="Table-ShadedHeader"/>
        <w:tblW w:w="0" w:type="auto"/>
        <w:tblLook w:val="04A0" w:firstRow="1" w:lastRow="0" w:firstColumn="1" w:lastColumn="0" w:noHBand="0" w:noVBand="1"/>
      </w:tblPr>
      <w:tblGrid>
        <w:gridCol w:w="4131"/>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Parent Elements</w:t>
            </w:r>
          </w:p>
        </w:tc>
      </w:tr>
      <w:tr w:rsidR="005F78FC" w:rsidTr="005F78FC">
        <w:tc>
          <w:tcPr>
            <w:tcW w:w="0" w:type="auto"/>
            <w:vAlign w:val="center"/>
          </w:tcPr>
          <w:p w:rsidR="005F78FC" w:rsidRDefault="00B42EF3">
            <w:pPr>
              <w:pStyle w:val="TableBodyText"/>
            </w:pPr>
            <w:r>
              <w:rPr>
                <w:b/>
              </w:rPr>
              <w:t>SignatureInfoV1</w:t>
            </w:r>
            <w:r>
              <w:t xml:space="preserve"> (§</w:t>
            </w:r>
            <w:hyperlink w:anchor="Section_e1d590674b8849f19da10255d76b4ffa">
              <w:r>
                <w:rPr>
                  <w:rStyle w:val="Hyperlink"/>
                </w:rPr>
                <w:t>3.7.1.13, SignatureInfoV1</w:t>
              </w:r>
            </w:hyperlink>
            <w:r>
              <w:t>)</w:t>
            </w:r>
          </w:p>
        </w:tc>
      </w:tr>
    </w:tbl>
    <w:p w:rsidR="005F78FC" w:rsidRDefault="005F78FC"/>
    <w:p w:rsidR="005F78FC" w:rsidRDefault="00B42EF3">
      <w:pPr>
        <w:pStyle w:val="Heading4"/>
      </w:pPr>
      <w:bookmarkStart w:id="4169" w:name="section_3615f32e2a2f49c7853b03b56fc48212"/>
      <w:bookmarkStart w:id="4170" w:name="_Toc69879857"/>
      <w:r>
        <w:t>DelegateSuggestedSignerEmail (Delegate Suggested Signer E-mail Address)</w:t>
      </w:r>
      <w:bookmarkEnd w:id="4169"/>
      <w:bookmarkEnd w:id="4170"/>
      <w:r>
        <w:fldChar w:fldCharType="begin"/>
      </w:r>
      <w:r>
        <w:instrText xml:space="preserve"> XE "DelegateSuggestedSignerEmail (Delegate Suggested Signer E-mail Address)" </w:instrText>
      </w:r>
      <w:r>
        <w:fldChar w:fldCharType="end"/>
      </w:r>
    </w:p>
    <w:p w:rsidR="005F78FC" w:rsidRDefault="00B42EF3">
      <w:r>
        <w:t>Specifies the e-mail address of a person to whom the signature has been delegated.</w:t>
      </w:r>
    </w:p>
    <w:tbl>
      <w:tblPr>
        <w:tblStyle w:val="Table-ShadedHeader"/>
        <w:tblW w:w="0" w:type="auto"/>
        <w:tblLook w:val="04A0" w:firstRow="1" w:lastRow="0" w:firstColumn="1" w:lastColumn="0" w:noHBand="0" w:noVBand="1"/>
      </w:tblPr>
      <w:tblGrid>
        <w:gridCol w:w="4131"/>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Parent Elements</w:t>
            </w:r>
          </w:p>
        </w:tc>
      </w:tr>
      <w:tr w:rsidR="005F78FC" w:rsidTr="005F78FC">
        <w:tc>
          <w:tcPr>
            <w:tcW w:w="0" w:type="auto"/>
            <w:vAlign w:val="center"/>
          </w:tcPr>
          <w:p w:rsidR="005F78FC" w:rsidRDefault="00B42EF3">
            <w:pPr>
              <w:pStyle w:val="TableBodyText"/>
            </w:pPr>
            <w:r>
              <w:rPr>
                <w:b/>
              </w:rPr>
              <w:t>SignatureInfoV1</w:t>
            </w:r>
            <w:r>
              <w:t xml:space="preserve"> (§</w:t>
            </w:r>
            <w:hyperlink w:anchor="Section_e1d590674b8849f19da10255d76b4ffa">
              <w:r>
                <w:rPr>
                  <w:rStyle w:val="Hyperlink"/>
                </w:rPr>
                <w:t>3.7.1.13, SignatureInfoV1</w:t>
              </w:r>
            </w:hyperlink>
            <w:r>
              <w:t>)</w:t>
            </w:r>
          </w:p>
        </w:tc>
      </w:tr>
    </w:tbl>
    <w:p w:rsidR="005F78FC" w:rsidRDefault="005F78FC"/>
    <w:p w:rsidR="005F78FC" w:rsidRDefault="00B42EF3">
      <w:pPr>
        <w:pStyle w:val="Heading4"/>
      </w:pPr>
      <w:bookmarkStart w:id="4171" w:name="section_ee1023c3257842ec982b0963e5328487"/>
      <w:bookmarkStart w:id="4172" w:name="_Toc69879858"/>
      <w:r>
        <w:t>HorizontalResolution (Horizontal Resolution)</w:t>
      </w:r>
      <w:bookmarkEnd w:id="4171"/>
      <w:bookmarkEnd w:id="4172"/>
      <w:r>
        <w:fldChar w:fldCharType="begin"/>
      </w:r>
      <w:r>
        <w:instrText xml:space="preserve"> XE "HorizontalResolution (Horizontal Resolution)" </w:instrText>
      </w:r>
      <w:r>
        <w:fldChar w:fldCharType="end"/>
      </w:r>
    </w:p>
    <w:p w:rsidR="005F78FC" w:rsidRDefault="00B42EF3">
      <w:r>
        <w:t xml:space="preserve">Specifies the horizontal resolution of the primary monitor of the machine on which the digital signature was created. </w:t>
      </w:r>
    </w:p>
    <w:p w:rsidR="005F78FC" w:rsidRDefault="00B42EF3">
      <w:r>
        <w:lastRenderedPageBreak/>
        <w:t xml:space="preserve">The </w:t>
      </w:r>
      <w:r>
        <w:t>possible values for this element are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Parent Elements</w:t>
            </w:r>
          </w:p>
        </w:tc>
      </w:tr>
      <w:tr w:rsidR="005F78FC" w:rsidTr="005F78FC">
        <w:tc>
          <w:tcPr>
            <w:tcW w:w="0" w:type="auto"/>
            <w:vAlign w:val="center"/>
          </w:tcPr>
          <w:p w:rsidR="005F78FC" w:rsidRDefault="00B42EF3">
            <w:pPr>
              <w:pStyle w:val="TableBodyText"/>
            </w:pPr>
            <w:r>
              <w:rPr>
                <w:b/>
              </w:rPr>
              <w:t>SignatureInfoV1</w:t>
            </w:r>
            <w:r>
              <w:t xml:space="preserve"> (§</w:t>
            </w:r>
            <w:hyperlink w:anchor="Section_e1d590674b8849f19da10255d76b4ffa">
              <w:r>
                <w:rPr>
                  <w:rStyle w:val="Hyperlink"/>
                </w:rPr>
                <w:t>3.7.1.13, SignatureInfoV1</w:t>
              </w:r>
            </w:hyperlink>
            <w:r>
              <w:t>)</w:t>
            </w:r>
          </w:p>
        </w:tc>
      </w:tr>
    </w:tbl>
    <w:p w:rsidR="005F78FC" w:rsidRDefault="005F78FC"/>
    <w:p w:rsidR="005F78FC" w:rsidRDefault="00B42EF3">
      <w:r>
        <w:t>The following XML Schema fragment defines the contents of this element:</w:t>
      </w:r>
    </w:p>
    <w:p w:rsidR="005F78FC" w:rsidRDefault="00B42EF3">
      <w:pPr>
        <w:pStyle w:val="Code"/>
      </w:pPr>
      <w:r>
        <w:t>&lt;simpleType name="ST_PositiveInteger"&gt;</w:t>
      </w:r>
    </w:p>
    <w:p w:rsidR="005F78FC" w:rsidRDefault="00B42EF3">
      <w:pPr>
        <w:pStyle w:val="Code"/>
      </w:pPr>
      <w:r>
        <w:t xml:space="preserve">  &lt;restriction base="xsd:int"&gt;</w:t>
      </w:r>
    </w:p>
    <w:p w:rsidR="005F78FC" w:rsidRDefault="00B42EF3">
      <w:pPr>
        <w:pStyle w:val="Code"/>
      </w:pPr>
      <w:r>
        <w:t xml:space="preserve">    &lt;</w:t>
      </w:r>
      <w:r>
        <w:t>minExclusive value="0"/&gt;</w:t>
      </w:r>
    </w:p>
    <w:p w:rsidR="005F78FC" w:rsidRDefault="00B42EF3">
      <w:pPr>
        <w:pStyle w:val="Code"/>
      </w:pPr>
      <w:r>
        <w:t xml:space="preserve">  &lt;/restriction&gt;</w:t>
      </w:r>
    </w:p>
    <w:p w:rsidR="005F78FC" w:rsidRDefault="00B42EF3">
      <w:pPr>
        <w:pStyle w:val="Code"/>
      </w:pPr>
      <w:r>
        <w:t>&lt;/simpleType&gt;</w:t>
      </w:r>
    </w:p>
    <w:p w:rsidR="005F78FC" w:rsidRDefault="00B42EF3">
      <w:pPr>
        <w:pStyle w:val="Heading4"/>
      </w:pPr>
      <w:bookmarkStart w:id="4173" w:name="section_72a51ea393964453ad0b70388cc87aaf"/>
      <w:bookmarkStart w:id="4174" w:name="_Toc69879859"/>
      <w:r>
        <w:t>ManifestHashAlgorithm (Manifest Hash Algorithm)</w:t>
      </w:r>
      <w:bookmarkEnd w:id="4173"/>
      <w:bookmarkEnd w:id="4174"/>
      <w:r>
        <w:fldChar w:fldCharType="begin"/>
      </w:r>
      <w:r>
        <w:instrText xml:space="preserve"> XE "ManifestHashAlgorithm (Manifest Hash Algorithm)" </w:instrText>
      </w:r>
      <w:r>
        <w:fldChar w:fldCharType="end"/>
      </w:r>
    </w:p>
    <w:p w:rsidR="005F78FC" w:rsidRDefault="00B42EF3">
      <w:r>
        <w:t>Specifies a URI that identifies the particular hash algorithm for the signature.  If the signatu</w:t>
      </w:r>
      <w:r>
        <w:t xml:space="preserve">re provider is Office, the algorithm shall be </w:t>
      </w:r>
      <w:r>
        <w:rPr>
          <w:i/>
        </w:rPr>
        <w:t>http://www.w3.org/2000/09/xmldsig#sha1</w:t>
      </w:r>
      <w:r>
        <w:t>.</w:t>
      </w:r>
    </w:p>
    <w:tbl>
      <w:tblPr>
        <w:tblStyle w:val="Table-ShadedHeader"/>
        <w:tblW w:w="0" w:type="auto"/>
        <w:tblLook w:val="04A0" w:firstRow="1" w:lastRow="0" w:firstColumn="1" w:lastColumn="0" w:noHBand="0" w:noVBand="1"/>
      </w:tblPr>
      <w:tblGrid>
        <w:gridCol w:w="4131"/>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Parent Elements</w:t>
            </w:r>
          </w:p>
        </w:tc>
      </w:tr>
      <w:tr w:rsidR="005F78FC" w:rsidTr="005F78FC">
        <w:tc>
          <w:tcPr>
            <w:tcW w:w="0" w:type="auto"/>
            <w:vAlign w:val="center"/>
          </w:tcPr>
          <w:p w:rsidR="005F78FC" w:rsidRDefault="00B42EF3">
            <w:pPr>
              <w:pStyle w:val="TableBodyText"/>
            </w:pPr>
            <w:r>
              <w:rPr>
                <w:b/>
              </w:rPr>
              <w:t>SignatureInfoV1</w:t>
            </w:r>
            <w:r>
              <w:t xml:space="preserve"> (§</w:t>
            </w:r>
            <w:hyperlink w:anchor="Section_e1d590674b8849f19da10255d76b4ffa">
              <w:r>
                <w:rPr>
                  <w:rStyle w:val="Hyperlink"/>
                </w:rPr>
                <w:t>3.7.1.13, SignatureInfoV1</w:t>
              </w:r>
            </w:hyperlink>
            <w:r>
              <w:t>)</w:t>
            </w:r>
          </w:p>
        </w:tc>
      </w:tr>
    </w:tbl>
    <w:p w:rsidR="005F78FC" w:rsidRDefault="005F78FC"/>
    <w:p w:rsidR="005F78FC" w:rsidRDefault="00B42EF3">
      <w:pPr>
        <w:pStyle w:val="Heading4"/>
      </w:pPr>
      <w:bookmarkStart w:id="4175" w:name="section_60d0016ce96e44b9907fad464b6d07c7"/>
      <w:bookmarkStart w:id="4176" w:name="_Toc69879860"/>
      <w:r>
        <w:t>Monitors (Monitor Count)</w:t>
      </w:r>
      <w:bookmarkEnd w:id="4175"/>
      <w:bookmarkEnd w:id="4176"/>
      <w:r>
        <w:fldChar w:fldCharType="begin"/>
      </w:r>
      <w:r>
        <w:instrText xml:space="preserve"> XE "Monitors (Moni</w:instrText>
      </w:r>
      <w:r>
        <w:instrText xml:space="preserve">tor Count)" </w:instrText>
      </w:r>
      <w:r>
        <w:fldChar w:fldCharType="end"/>
      </w:r>
    </w:p>
    <w:p w:rsidR="005F78FC" w:rsidRDefault="00B42EF3">
      <w:r>
        <w:t>Specifies the count of monitors on the machine where the digital signature was created.</w:t>
      </w:r>
    </w:p>
    <w:p w:rsidR="005F78FC" w:rsidRDefault="00B42EF3">
      <w:r>
        <w:t>The possible values for this element are defined by the ST_PositiveInteger simple type (§</w:t>
      </w:r>
      <w:hyperlink w:anchor="Section_03aa848c942d469c817522d4948e0eb2">
        <w:r>
          <w:rPr>
            <w:rStyle w:val="Hyperlink"/>
          </w:rPr>
          <w:t>3</w:t>
        </w:r>
        <w:r>
          <w:rPr>
            <w:rStyle w:val="Hyperlink"/>
          </w:rPr>
          <w:t>.7.2.1, ST_PositiveInteger</w:t>
        </w:r>
      </w:hyperlink>
      <w:r>
        <w:t>).</w:t>
      </w:r>
    </w:p>
    <w:tbl>
      <w:tblPr>
        <w:tblStyle w:val="Table-ShadedHeader"/>
        <w:tblW w:w="0" w:type="auto"/>
        <w:tblLook w:val="04A0" w:firstRow="1" w:lastRow="0" w:firstColumn="1" w:lastColumn="0" w:noHBand="0" w:noVBand="1"/>
      </w:tblPr>
      <w:tblGrid>
        <w:gridCol w:w="4131"/>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Parent Elements</w:t>
            </w:r>
          </w:p>
        </w:tc>
      </w:tr>
      <w:tr w:rsidR="005F78FC" w:rsidTr="005F78FC">
        <w:tc>
          <w:tcPr>
            <w:tcW w:w="0" w:type="auto"/>
            <w:vAlign w:val="center"/>
          </w:tcPr>
          <w:p w:rsidR="005F78FC" w:rsidRDefault="00B42EF3">
            <w:pPr>
              <w:pStyle w:val="TableBodyText"/>
            </w:pPr>
            <w:r>
              <w:rPr>
                <w:b/>
              </w:rPr>
              <w:t>SignatureInfoV1</w:t>
            </w:r>
            <w:r>
              <w:t xml:space="preserve"> (§</w:t>
            </w:r>
            <w:hyperlink w:anchor="Section_e1d590674b8849f19da10255d76b4ffa">
              <w:r>
                <w:rPr>
                  <w:rStyle w:val="Hyperlink"/>
                </w:rPr>
                <w:t>3.7.1.13, SignatureInfoV1</w:t>
              </w:r>
            </w:hyperlink>
            <w:r>
              <w:t>)</w:t>
            </w:r>
          </w:p>
        </w:tc>
      </w:tr>
    </w:tbl>
    <w:p w:rsidR="005F78FC" w:rsidRDefault="005F78FC"/>
    <w:p w:rsidR="005F78FC" w:rsidRDefault="00B42EF3">
      <w:r>
        <w:t>The following XML Schema fragment defines the contents of this element:</w:t>
      </w:r>
    </w:p>
    <w:p w:rsidR="005F78FC" w:rsidRDefault="00B42EF3">
      <w:pPr>
        <w:pStyle w:val="Code"/>
      </w:pPr>
      <w:r>
        <w:t xml:space="preserve">&lt;simpleType </w:t>
      </w:r>
      <w:r>
        <w:t>name="ST_PositiveInteger"&gt;</w:t>
      </w:r>
    </w:p>
    <w:p w:rsidR="005F78FC" w:rsidRDefault="00B42EF3">
      <w:pPr>
        <w:pStyle w:val="Code"/>
      </w:pPr>
      <w:r>
        <w:t xml:space="preserve">  &lt;restriction base="xsd:int"&gt;</w:t>
      </w:r>
    </w:p>
    <w:p w:rsidR="005F78FC" w:rsidRDefault="00B42EF3">
      <w:pPr>
        <w:pStyle w:val="Code"/>
      </w:pPr>
      <w:r>
        <w:t xml:space="preserve">    &lt;minExclusive value="0"/&gt;</w:t>
      </w:r>
    </w:p>
    <w:p w:rsidR="005F78FC" w:rsidRDefault="00B42EF3">
      <w:pPr>
        <w:pStyle w:val="Code"/>
      </w:pPr>
      <w:r>
        <w:t xml:space="preserve">  &lt;/restriction&gt;</w:t>
      </w:r>
    </w:p>
    <w:p w:rsidR="005F78FC" w:rsidRDefault="00B42EF3">
      <w:pPr>
        <w:pStyle w:val="Code"/>
      </w:pPr>
      <w:r>
        <w:t>&lt;/simpleType&gt;</w:t>
      </w:r>
    </w:p>
    <w:p w:rsidR="005F78FC" w:rsidRDefault="00B42EF3">
      <w:pPr>
        <w:pStyle w:val="Heading4"/>
      </w:pPr>
      <w:bookmarkStart w:id="4177" w:name="section_23222e735ee349129a22bfb0fc14d075"/>
      <w:bookmarkStart w:id="4178" w:name="_Toc69879861"/>
      <w:r>
        <w:t>OfficeVersion (Office Version)</w:t>
      </w:r>
      <w:bookmarkEnd w:id="4177"/>
      <w:bookmarkEnd w:id="4178"/>
      <w:r>
        <w:fldChar w:fldCharType="begin"/>
      </w:r>
      <w:r>
        <w:instrText xml:space="preserve"> XE "OfficeVersion (Office Version)" </w:instrText>
      </w:r>
      <w:r>
        <w:fldChar w:fldCharType="end"/>
      </w:r>
    </w:p>
    <w:p w:rsidR="005F78FC" w:rsidRDefault="00B42EF3">
      <w:r>
        <w:t>Specifies the version of the application suite which created the di</w:t>
      </w:r>
      <w:r>
        <w:t>gital signature.</w:t>
      </w:r>
    </w:p>
    <w:p w:rsidR="005F78FC" w:rsidRDefault="00B42EF3">
      <w:r>
        <w:t>The possible values for this element are defined by the ST_Version simple type (§</w:t>
      </w:r>
      <w:hyperlink w:anchor="Section_9c80c836e9844ac89c825d2d5bf63221">
        <w:r>
          <w:rPr>
            <w:rStyle w:val="Hyperlink"/>
          </w:rPr>
          <w:t>3.7.2.7, ST_Version</w:t>
        </w:r>
      </w:hyperlink>
      <w:r>
        <w:t>).</w:t>
      </w:r>
    </w:p>
    <w:tbl>
      <w:tblPr>
        <w:tblStyle w:val="Table-ShadedHeader"/>
        <w:tblW w:w="0" w:type="auto"/>
        <w:tblLook w:val="04A0" w:firstRow="1" w:lastRow="0" w:firstColumn="1" w:lastColumn="0" w:noHBand="0" w:noVBand="1"/>
      </w:tblPr>
      <w:tblGrid>
        <w:gridCol w:w="4131"/>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lastRenderedPageBreak/>
              <w:t>Parent Elements</w:t>
            </w:r>
          </w:p>
        </w:tc>
      </w:tr>
      <w:tr w:rsidR="005F78FC" w:rsidTr="005F78FC">
        <w:tc>
          <w:tcPr>
            <w:tcW w:w="0" w:type="auto"/>
            <w:vAlign w:val="center"/>
          </w:tcPr>
          <w:p w:rsidR="005F78FC" w:rsidRDefault="00B42EF3">
            <w:pPr>
              <w:pStyle w:val="TableBodyText"/>
            </w:pPr>
            <w:r>
              <w:rPr>
                <w:b/>
              </w:rPr>
              <w:t>SignatureInfoV1</w:t>
            </w:r>
            <w:r>
              <w:t xml:space="preserve"> (§</w:t>
            </w:r>
            <w:hyperlink w:anchor="Section_e1d590674b8849f19da10255d76b4ffa">
              <w:r>
                <w:rPr>
                  <w:rStyle w:val="Hyperlink"/>
                </w:rPr>
                <w:t>3.7.1.13, SignatureInfoV1</w:t>
              </w:r>
            </w:hyperlink>
            <w:r>
              <w:t>)</w:t>
            </w:r>
          </w:p>
        </w:tc>
      </w:tr>
    </w:tbl>
    <w:p w:rsidR="005F78FC" w:rsidRDefault="005F78FC"/>
    <w:p w:rsidR="005F78FC" w:rsidRDefault="00B42EF3">
      <w:r>
        <w:t>The following XML Schema fragment defines the contents of this element:</w:t>
      </w:r>
    </w:p>
    <w:p w:rsidR="005F78FC" w:rsidRDefault="00B42EF3">
      <w:pPr>
        <w:pStyle w:val="Code"/>
      </w:pPr>
      <w:r>
        <w:t>&lt;simpleType name="ST_Version"&gt;</w:t>
      </w:r>
    </w:p>
    <w:p w:rsidR="005F78FC" w:rsidRDefault="00B42EF3">
      <w:pPr>
        <w:pStyle w:val="Code"/>
      </w:pPr>
      <w:r>
        <w:t xml:space="preserve">  &lt;restriction base="xsd:string"&gt;</w:t>
      </w:r>
    </w:p>
    <w:p w:rsidR="005F78FC" w:rsidRDefault="00B42EF3">
      <w:pPr>
        <w:pStyle w:val="Code"/>
      </w:pPr>
      <w:r>
        <w:t xml:space="preserve">    &lt;maxLength value="64"/&gt;</w:t>
      </w:r>
    </w:p>
    <w:p w:rsidR="005F78FC" w:rsidRDefault="00B42EF3">
      <w:pPr>
        <w:pStyle w:val="Code"/>
      </w:pPr>
      <w:r>
        <w:t xml:space="preserve">  &lt;/restriction&gt;</w:t>
      </w:r>
    </w:p>
    <w:p w:rsidR="005F78FC" w:rsidRDefault="00B42EF3">
      <w:pPr>
        <w:pStyle w:val="Code"/>
      </w:pPr>
      <w:r>
        <w:t>&lt;/simpleType&gt;</w:t>
      </w:r>
    </w:p>
    <w:p w:rsidR="005F78FC" w:rsidRDefault="00B42EF3">
      <w:pPr>
        <w:pStyle w:val="Heading4"/>
      </w:pPr>
      <w:bookmarkStart w:id="4179" w:name="section_0bc6416855b2438bb0db2ffc5bb065de"/>
      <w:bookmarkStart w:id="4180" w:name="_Toc69879862"/>
      <w:r>
        <w:t>SetupID (Setup ID)</w:t>
      </w:r>
      <w:bookmarkEnd w:id="4179"/>
      <w:bookmarkEnd w:id="4180"/>
      <w:r>
        <w:fldChar w:fldCharType="begin"/>
      </w:r>
      <w:r>
        <w:instrText xml:space="preserve"> XE "SetupID (Setup ID)" </w:instrText>
      </w:r>
      <w:r>
        <w:fldChar w:fldCharType="end"/>
      </w:r>
    </w:p>
    <w:p w:rsidR="005F78FC" w:rsidRDefault="00B42EF3">
      <w:r>
        <w:t>Specifies a GUID which can be cross-referenced with the GUID of the signature line stored in the document content.</w:t>
      </w:r>
    </w:p>
    <w:p w:rsidR="005F78FC" w:rsidRDefault="00B42EF3">
      <w:r>
        <w:t>The possible values for this element are defined by the ST_Uniqu</w:t>
      </w:r>
      <w:r>
        <w:t>eIdentifierWithBraces simple type (§</w:t>
      </w:r>
      <w:hyperlink w:anchor="Section_6478af0db7b4409889c50d291a9cf0ce">
        <w:r>
          <w:rPr>
            <w:rStyle w:val="Hyperlink"/>
          </w:rPr>
          <w:t>3.7.2.6, ST_UniqueIdentifierWithBraces</w:t>
        </w:r>
      </w:hyperlink>
      <w:r>
        <w:t>).</w:t>
      </w:r>
    </w:p>
    <w:tbl>
      <w:tblPr>
        <w:tblStyle w:val="Table-ShadedHeader"/>
        <w:tblW w:w="0" w:type="auto"/>
        <w:tblLook w:val="04A0" w:firstRow="1" w:lastRow="0" w:firstColumn="1" w:lastColumn="0" w:noHBand="0" w:noVBand="1"/>
      </w:tblPr>
      <w:tblGrid>
        <w:gridCol w:w="4131"/>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Parent Elements</w:t>
            </w:r>
          </w:p>
        </w:tc>
      </w:tr>
      <w:tr w:rsidR="005F78FC" w:rsidTr="005F78FC">
        <w:tc>
          <w:tcPr>
            <w:tcW w:w="0" w:type="auto"/>
            <w:vAlign w:val="center"/>
          </w:tcPr>
          <w:p w:rsidR="005F78FC" w:rsidRDefault="00B42EF3">
            <w:pPr>
              <w:pStyle w:val="TableBodyText"/>
            </w:pPr>
            <w:r>
              <w:rPr>
                <w:b/>
              </w:rPr>
              <w:t>SignatureInfoV1</w:t>
            </w:r>
            <w:r>
              <w:t xml:space="preserve"> (§</w:t>
            </w:r>
            <w:hyperlink w:anchor="Section_e1d590674b8849f19da10255d76b4ffa">
              <w:r>
                <w:rPr>
                  <w:rStyle w:val="Hyperlink"/>
                </w:rPr>
                <w:t>3.7.1.13, Signatur</w:t>
              </w:r>
              <w:r>
                <w:rPr>
                  <w:rStyle w:val="Hyperlink"/>
                </w:rPr>
                <w:t>eInfoV1</w:t>
              </w:r>
            </w:hyperlink>
            <w:r>
              <w:t>)</w:t>
            </w:r>
          </w:p>
        </w:tc>
      </w:tr>
    </w:tbl>
    <w:p w:rsidR="005F78FC" w:rsidRDefault="005F78FC"/>
    <w:p w:rsidR="005F78FC" w:rsidRDefault="00B42EF3">
      <w:r>
        <w:t>The following XML Schema fragment defines the contents of this element:</w:t>
      </w:r>
    </w:p>
    <w:p w:rsidR="005F78FC" w:rsidRDefault="00B42EF3">
      <w:pPr>
        <w:pStyle w:val="Code"/>
      </w:pPr>
      <w:r>
        <w:t>&lt;simpleType name="ST_UniqueIdentifierWithBraces"&gt;</w:t>
      </w:r>
    </w:p>
    <w:p w:rsidR="005F78FC" w:rsidRDefault="00B42EF3">
      <w:pPr>
        <w:pStyle w:val="Code"/>
      </w:pPr>
      <w:r>
        <w:t xml:space="preserve">  &lt;restriction base="xsd:string"&gt;</w:t>
      </w:r>
    </w:p>
    <w:p w:rsidR="005F78FC" w:rsidRDefault="00B42EF3">
      <w:pPr>
        <w:pStyle w:val="Code"/>
      </w:pPr>
      <w:r>
        <w:t xml:space="preserve">    &lt;pattern value="\{[0-9a-fA-F]{8}\-[0-9a-fA-F]{4}\-[0-9a-fA-F]{4}\-[0-9a-fA-F]{4}\-[0-</w:t>
      </w:r>
      <w:r>
        <w:t>9a-fA-F]{12}\}|"/&gt;</w:t>
      </w:r>
    </w:p>
    <w:p w:rsidR="005F78FC" w:rsidRDefault="00B42EF3">
      <w:pPr>
        <w:pStyle w:val="Code"/>
      </w:pPr>
      <w:r>
        <w:t xml:space="preserve">  &lt;/restriction&gt;</w:t>
      </w:r>
    </w:p>
    <w:p w:rsidR="005F78FC" w:rsidRDefault="00B42EF3">
      <w:pPr>
        <w:pStyle w:val="Code"/>
      </w:pPr>
      <w:r>
        <w:t>&lt;/simpleType&gt;</w:t>
      </w:r>
    </w:p>
    <w:p w:rsidR="005F78FC" w:rsidRDefault="00B42EF3">
      <w:pPr>
        <w:pStyle w:val="Heading4"/>
      </w:pPr>
      <w:bookmarkStart w:id="4181" w:name="section_ccba739517034b508c1eecb83dfa792b"/>
      <w:bookmarkStart w:id="4182" w:name="_Toc69879863"/>
      <w:r>
        <w:t>SignatureComments (Signature Comments)</w:t>
      </w:r>
      <w:bookmarkEnd w:id="4181"/>
      <w:bookmarkEnd w:id="4182"/>
      <w:r>
        <w:fldChar w:fldCharType="begin"/>
      </w:r>
      <w:r>
        <w:instrText xml:space="preserve"> XE "SignatureComments (Signature Comments)" </w:instrText>
      </w:r>
      <w:r>
        <w:fldChar w:fldCharType="end"/>
      </w:r>
    </w:p>
    <w:p w:rsidR="005F78FC" w:rsidRDefault="00B42EF3">
      <w:r>
        <w:t>Specifies comments on the digital signature.</w:t>
      </w:r>
    </w:p>
    <w:p w:rsidR="005F78FC" w:rsidRDefault="00B42EF3">
      <w:r>
        <w:t xml:space="preserve">The possible values for this element are defined by the </w:t>
      </w:r>
      <w:r>
        <w:t>ST_SignatureComments simple type (§</w:t>
      </w:r>
      <w:hyperlink w:anchor="Section_4e92419771bc4dd7a396a223845eba27">
        <w:r>
          <w:rPr>
            <w:rStyle w:val="Hyperlink"/>
          </w:rPr>
          <w:t>3.7.2.2, ST_SignatureComments</w:t>
        </w:r>
      </w:hyperlink>
      <w:r>
        <w:t>).</w:t>
      </w:r>
    </w:p>
    <w:tbl>
      <w:tblPr>
        <w:tblStyle w:val="Table-ShadedHeader"/>
        <w:tblW w:w="0" w:type="auto"/>
        <w:tblLook w:val="04A0" w:firstRow="1" w:lastRow="0" w:firstColumn="1" w:lastColumn="0" w:noHBand="0" w:noVBand="1"/>
      </w:tblPr>
      <w:tblGrid>
        <w:gridCol w:w="4131"/>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Parent Elements</w:t>
            </w:r>
          </w:p>
        </w:tc>
      </w:tr>
      <w:tr w:rsidR="005F78FC" w:rsidTr="005F78FC">
        <w:tc>
          <w:tcPr>
            <w:tcW w:w="0" w:type="auto"/>
            <w:vAlign w:val="center"/>
          </w:tcPr>
          <w:p w:rsidR="005F78FC" w:rsidRDefault="00B42EF3">
            <w:pPr>
              <w:pStyle w:val="TableBodyText"/>
            </w:pPr>
            <w:r>
              <w:rPr>
                <w:b/>
              </w:rPr>
              <w:t>SignatureInfoV1</w:t>
            </w:r>
            <w:r>
              <w:t xml:space="preserve"> (§</w:t>
            </w:r>
            <w:hyperlink w:anchor="Section_e1d590674b8849f19da10255d76b4ffa">
              <w:r>
                <w:rPr>
                  <w:rStyle w:val="Hyperlink"/>
                </w:rPr>
                <w:t>3.7.1.13, SignatureInfoV1</w:t>
              </w:r>
            </w:hyperlink>
            <w:r>
              <w:t>)</w:t>
            </w:r>
          </w:p>
        </w:tc>
      </w:tr>
    </w:tbl>
    <w:p w:rsidR="005F78FC" w:rsidRDefault="005F78FC"/>
    <w:p w:rsidR="005F78FC" w:rsidRDefault="00B42EF3">
      <w:r>
        <w:t>The following XML Schema fragment defines the contents of this element:</w:t>
      </w:r>
    </w:p>
    <w:p w:rsidR="005F78FC" w:rsidRDefault="00B42EF3">
      <w:pPr>
        <w:pStyle w:val="Code"/>
      </w:pPr>
      <w:r>
        <w:t>&lt;simpleType name="ST_SignatureComments"&gt;</w:t>
      </w:r>
    </w:p>
    <w:p w:rsidR="005F78FC" w:rsidRDefault="00B42EF3">
      <w:pPr>
        <w:pStyle w:val="Code"/>
      </w:pPr>
      <w:r>
        <w:t xml:space="preserve">  &lt;restriction base="xsd:string"&gt;</w:t>
      </w:r>
    </w:p>
    <w:p w:rsidR="005F78FC" w:rsidRDefault="00B42EF3">
      <w:pPr>
        <w:pStyle w:val="Code"/>
      </w:pPr>
      <w:r>
        <w:t xml:space="preserve">    &lt;maxLength value="255"/&gt;</w:t>
      </w:r>
    </w:p>
    <w:p w:rsidR="005F78FC" w:rsidRDefault="00B42EF3">
      <w:pPr>
        <w:pStyle w:val="Code"/>
      </w:pPr>
      <w:r>
        <w:t xml:space="preserve">  &lt;/restriction&gt;</w:t>
      </w:r>
    </w:p>
    <w:p w:rsidR="005F78FC" w:rsidRDefault="00B42EF3">
      <w:pPr>
        <w:pStyle w:val="Code"/>
      </w:pPr>
      <w:r>
        <w:lastRenderedPageBreak/>
        <w:t>&lt;/simpleType&gt;</w:t>
      </w:r>
    </w:p>
    <w:p w:rsidR="005F78FC" w:rsidRDefault="00B42EF3">
      <w:pPr>
        <w:pStyle w:val="Heading4"/>
      </w:pPr>
      <w:bookmarkStart w:id="4183" w:name="section_0e70da4046be4ddab93009c8e7e5f116"/>
      <w:bookmarkStart w:id="4184" w:name="_Toc69879864"/>
      <w:r>
        <w:t>SignatureImage (Signature Image)</w:t>
      </w:r>
      <w:bookmarkEnd w:id="4183"/>
      <w:bookmarkEnd w:id="4184"/>
      <w:r>
        <w:fldChar w:fldCharType="begin"/>
      </w:r>
      <w:r>
        <w:instrText xml:space="preserve"> XE "SignatureIm</w:instrText>
      </w:r>
      <w:r>
        <w:instrText xml:space="preserve">age (Signature Image)" </w:instrText>
      </w:r>
      <w:r>
        <w:fldChar w:fldCharType="end"/>
      </w:r>
    </w:p>
    <w:p w:rsidR="005F78FC" w:rsidRDefault="00B42EF3">
      <w:r>
        <w:t>Specifies an image for the digital signature.</w:t>
      </w:r>
    </w:p>
    <w:tbl>
      <w:tblPr>
        <w:tblStyle w:val="Table-ShadedHeader"/>
        <w:tblW w:w="0" w:type="auto"/>
        <w:tblLook w:val="04A0" w:firstRow="1" w:lastRow="0" w:firstColumn="1" w:lastColumn="0" w:noHBand="0" w:noVBand="1"/>
      </w:tblPr>
      <w:tblGrid>
        <w:gridCol w:w="4131"/>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Parent Elements</w:t>
            </w:r>
          </w:p>
        </w:tc>
      </w:tr>
      <w:tr w:rsidR="005F78FC" w:rsidTr="005F78FC">
        <w:tc>
          <w:tcPr>
            <w:tcW w:w="0" w:type="auto"/>
            <w:vAlign w:val="center"/>
          </w:tcPr>
          <w:p w:rsidR="005F78FC" w:rsidRDefault="00B42EF3">
            <w:pPr>
              <w:pStyle w:val="TableBodyText"/>
            </w:pPr>
            <w:r>
              <w:rPr>
                <w:b/>
              </w:rPr>
              <w:t>SignatureInfoV1</w:t>
            </w:r>
            <w:r>
              <w:t xml:space="preserve"> (§</w:t>
            </w:r>
            <w:hyperlink w:anchor="Section_e1d590674b8849f19da10255d76b4ffa">
              <w:r>
                <w:rPr>
                  <w:rStyle w:val="Hyperlink"/>
                </w:rPr>
                <w:t>3.7.1.13, SignatureInfoV1</w:t>
              </w:r>
            </w:hyperlink>
            <w:r>
              <w:t>)</w:t>
            </w:r>
          </w:p>
        </w:tc>
      </w:tr>
    </w:tbl>
    <w:p w:rsidR="005F78FC" w:rsidRDefault="005F78FC"/>
    <w:p w:rsidR="005F78FC" w:rsidRDefault="00B42EF3">
      <w:pPr>
        <w:pStyle w:val="Heading4"/>
      </w:pPr>
      <w:bookmarkStart w:id="4185" w:name="section_e1d590674b8849f19da10255d76b4ffa"/>
      <w:bookmarkStart w:id="4186" w:name="_Toc69879865"/>
      <w:r>
        <w:t>SignatureInfoV1 (Office Digital Signature V1 Info)</w:t>
      </w:r>
      <w:bookmarkEnd w:id="4185"/>
      <w:bookmarkEnd w:id="4186"/>
      <w:r>
        <w:fldChar w:fldCharType="begin"/>
      </w:r>
      <w:r>
        <w:instrText xml:space="preserve"> XE "SignatureInfoV1 (Office Digital Signature V1 Info)" </w:instrText>
      </w:r>
      <w:r>
        <w:fldChar w:fldCharType="end"/>
      </w:r>
    </w:p>
    <w:p w:rsidR="005F78FC" w:rsidRDefault="00B42EF3">
      <w:r>
        <w:t>Provides details on a digital signature in a document.</w:t>
      </w:r>
    </w:p>
    <w:tbl>
      <w:tblPr>
        <w:tblStyle w:val="Table-ShadedHeader"/>
        <w:tblW w:w="0" w:type="auto"/>
        <w:tblLook w:val="04A0" w:firstRow="1" w:lastRow="0" w:firstColumn="1" w:lastColumn="0" w:noHBand="0" w:noVBand="1"/>
      </w:tblPr>
      <w:tblGrid>
        <w:gridCol w:w="6068"/>
        <w:gridCol w:w="3407"/>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Child Elements</w:t>
            </w:r>
          </w:p>
        </w:tc>
        <w:tc>
          <w:tcPr>
            <w:tcW w:w="0" w:type="auto"/>
            <w:vAlign w:val="center"/>
          </w:tcPr>
          <w:p w:rsidR="005F78FC" w:rsidRDefault="00B42EF3">
            <w:pPr>
              <w:pStyle w:val="TableHeaderText"/>
            </w:pPr>
            <w:r>
              <w:t>Subclause</w:t>
            </w:r>
          </w:p>
        </w:tc>
      </w:tr>
      <w:tr w:rsidR="005F78FC" w:rsidTr="005F78FC">
        <w:tc>
          <w:tcPr>
            <w:tcW w:w="0" w:type="auto"/>
            <w:vAlign w:val="center"/>
          </w:tcPr>
          <w:p w:rsidR="005F78FC" w:rsidRDefault="00B42EF3">
            <w:pPr>
              <w:pStyle w:val="TableBodyText"/>
            </w:pPr>
            <w:r>
              <w:rPr>
                <w:b/>
              </w:rPr>
              <w:t>ApplicationVersion</w:t>
            </w:r>
            <w:r>
              <w:t xml:space="preserve"> (Application Version)</w:t>
            </w:r>
          </w:p>
        </w:tc>
        <w:tc>
          <w:tcPr>
            <w:tcW w:w="0" w:type="auto"/>
            <w:vAlign w:val="center"/>
          </w:tcPr>
          <w:p w:rsidR="005F78FC" w:rsidRDefault="00B42EF3">
            <w:pPr>
              <w:pStyle w:val="TableBodyText"/>
            </w:pPr>
            <w:r>
              <w:t>§</w:t>
            </w:r>
            <w:hyperlink w:anchor="Section_38917d35404040a79ad61d6b07d983f4">
              <w:r>
                <w:rPr>
                  <w:rStyle w:val="Hyperlink"/>
                </w:rPr>
                <w:t>3.7.1.1, A</w:t>
              </w:r>
              <w:r>
                <w:rPr>
                  <w:rStyle w:val="Hyperlink"/>
                </w:rPr>
                <w:t>pplicationVersion</w:t>
              </w:r>
            </w:hyperlink>
          </w:p>
        </w:tc>
      </w:tr>
      <w:tr w:rsidR="005F78FC" w:rsidTr="005F78FC">
        <w:tc>
          <w:tcPr>
            <w:tcW w:w="0" w:type="auto"/>
            <w:vAlign w:val="center"/>
          </w:tcPr>
          <w:p w:rsidR="005F78FC" w:rsidRDefault="00B42EF3">
            <w:pPr>
              <w:pStyle w:val="TableBodyText"/>
            </w:pPr>
            <w:r>
              <w:rPr>
                <w:b/>
              </w:rPr>
              <w:t>ColorDepth</w:t>
            </w:r>
            <w:r>
              <w:t xml:space="preserve"> (Color Depth)</w:t>
            </w:r>
          </w:p>
        </w:tc>
        <w:tc>
          <w:tcPr>
            <w:tcW w:w="0" w:type="auto"/>
            <w:vAlign w:val="center"/>
          </w:tcPr>
          <w:p w:rsidR="005F78FC" w:rsidRDefault="00B42EF3">
            <w:pPr>
              <w:pStyle w:val="TableBodyText"/>
            </w:pPr>
            <w:r>
              <w:t>§</w:t>
            </w:r>
            <w:hyperlink w:anchor="Section_6011f8a6fcf4490385398e0bae26b7e7">
              <w:r>
                <w:rPr>
                  <w:rStyle w:val="Hyperlink"/>
                </w:rPr>
                <w:t>3.7.1.2, ColorDepth</w:t>
              </w:r>
            </w:hyperlink>
          </w:p>
        </w:tc>
      </w:tr>
      <w:tr w:rsidR="005F78FC" w:rsidTr="005F78FC">
        <w:tc>
          <w:tcPr>
            <w:tcW w:w="0" w:type="auto"/>
            <w:vAlign w:val="center"/>
          </w:tcPr>
          <w:p w:rsidR="005F78FC" w:rsidRDefault="00B42EF3">
            <w:pPr>
              <w:pStyle w:val="TableBodyText"/>
            </w:pPr>
            <w:r>
              <w:rPr>
                <w:b/>
              </w:rPr>
              <w:t>DelegateSuggestedSigner</w:t>
            </w:r>
            <w:r>
              <w:t xml:space="preserve"> (Delegate Suggested Signer)</w:t>
            </w:r>
          </w:p>
        </w:tc>
        <w:tc>
          <w:tcPr>
            <w:tcW w:w="0" w:type="auto"/>
            <w:vAlign w:val="center"/>
          </w:tcPr>
          <w:p w:rsidR="005F78FC" w:rsidRDefault="00B42EF3">
            <w:pPr>
              <w:pStyle w:val="TableBodyText"/>
            </w:pPr>
            <w:r>
              <w:t>§</w:t>
            </w:r>
            <w:hyperlink w:anchor="Section_d88dc6d4480149dd842c429174b8837e">
              <w:r>
                <w:rPr>
                  <w:rStyle w:val="Hyperlink"/>
                </w:rPr>
                <w:t xml:space="preserve">3.7.1.3, </w:t>
              </w:r>
              <w:r>
                <w:rPr>
                  <w:rStyle w:val="Hyperlink"/>
                </w:rPr>
                <w:t>DelegateSuggestedSigner</w:t>
              </w:r>
            </w:hyperlink>
          </w:p>
        </w:tc>
      </w:tr>
      <w:tr w:rsidR="005F78FC" w:rsidTr="005F78FC">
        <w:tc>
          <w:tcPr>
            <w:tcW w:w="0" w:type="auto"/>
            <w:vAlign w:val="center"/>
          </w:tcPr>
          <w:p w:rsidR="005F78FC" w:rsidRDefault="00B42EF3">
            <w:pPr>
              <w:pStyle w:val="TableBodyText"/>
            </w:pPr>
            <w:r>
              <w:rPr>
                <w:b/>
              </w:rPr>
              <w:t>DelegateSuggestedSigner2</w:t>
            </w:r>
            <w:r>
              <w:t xml:space="preserve"> (Delegate Suggested Signer)</w:t>
            </w:r>
          </w:p>
        </w:tc>
        <w:tc>
          <w:tcPr>
            <w:tcW w:w="0" w:type="auto"/>
            <w:vAlign w:val="center"/>
          </w:tcPr>
          <w:p w:rsidR="005F78FC" w:rsidRDefault="00B42EF3">
            <w:pPr>
              <w:pStyle w:val="TableBodyText"/>
            </w:pPr>
            <w:r>
              <w:t>§</w:t>
            </w:r>
            <w:hyperlink w:anchor="Section_841efc82d17b435cbc74a986769fdf50">
              <w:r>
                <w:rPr>
                  <w:rStyle w:val="Hyperlink"/>
                </w:rPr>
                <w:t>3.7.1.4, DelegateSuggestedSigner2</w:t>
              </w:r>
            </w:hyperlink>
          </w:p>
        </w:tc>
      </w:tr>
      <w:tr w:rsidR="005F78FC" w:rsidTr="005F78FC">
        <w:tc>
          <w:tcPr>
            <w:tcW w:w="0" w:type="auto"/>
            <w:vAlign w:val="center"/>
          </w:tcPr>
          <w:p w:rsidR="005F78FC" w:rsidRDefault="00B42EF3">
            <w:pPr>
              <w:pStyle w:val="TableBodyText"/>
            </w:pPr>
            <w:r>
              <w:rPr>
                <w:b/>
              </w:rPr>
              <w:t>DelegateSuggestedSignerEmail</w:t>
            </w:r>
            <w:r>
              <w:t xml:space="preserve"> (Delegate Suggested Signer E-mail Address)</w:t>
            </w:r>
          </w:p>
        </w:tc>
        <w:tc>
          <w:tcPr>
            <w:tcW w:w="0" w:type="auto"/>
            <w:vAlign w:val="center"/>
          </w:tcPr>
          <w:p w:rsidR="005F78FC" w:rsidRDefault="00B42EF3">
            <w:pPr>
              <w:pStyle w:val="TableBodyText"/>
            </w:pPr>
            <w:r>
              <w:t>§</w:t>
            </w:r>
            <w:hyperlink w:anchor="Section_3615f32e2a2f49c7853b03b56fc48212">
              <w:r>
                <w:rPr>
                  <w:rStyle w:val="Hyperlink"/>
                </w:rPr>
                <w:t>3.7.1.5, DelegateSuggestedSignerEmail</w:t>
              </w:r>
            </w:hyperlink>
          </w:p>
        </w:tc>
      </w:tr>
      <w:tr w:rsidR="005F78FC" w:rsidTr="005F78FC">
        <w:tc>
          <w:tcPr>
            <w:tcW w:w="0" w:type="auto"/>
            <w:vAlign w:val="center"/>
          </w:tcPr>
          <w:p w:rsidR="005F78FC" w:rsidRDefault="00B42EF3">
            <w:pPr>
              <w:pStyle w:val="TableBodyText"/>
            </w:pPr>
            <w:r>
              <w:rPr>
                <w:b/>
              </w:rPr>
              <w:t>HorizontalResolution</w:t>
            </w:r>
            <w:r>
              <w:t xml:space="preserve"> (Horizontal Resolution)</w:t>
            </w:r>
          </w:p>
        </w:tc>
        <w:tc>
          <w:tcPr>
            <w:tcW w:w="0" w:type="auto"/>
            <w:vAlign w:val="center"/>
          </w:tcPr>
          <w:p w:rsidR="005F78FC" w:rsidRDefault="00B42EF3">
            <w:pPr>
              <w:pStyle w:val="TableBodyText"/>
            </w:pPr>
            <w:r>
              <w:t>§</w:t>
            </w:r>
            <w:hyperlink w:anchor="Section_ee1023c3257842ec982b0963e5328487">
              <w:r>
                <w:rPr>
                  <w:rStyle w:val="Hyperlink"/>
                </w:rPr>
                <w:t>3.7.1.6, HorizontalResolution</w:t>
              </w:r>
            </w:hyperlink>
          </w:p>
        </w:tc>
      </w:tr>
      <w:tr w:rsidR="005F78FC" w:rsidTr="005F78FC">
        <w:tc>
          <w:tcPr>
            <w:tcW w:w="0" w:type="auto"/>
            <w:vAlign w:val="center"/>
          </w:tcPr>
          <w:p w:rsidR="005F78FC" w:rsidRDefault="00B42EF3">
            <w:pPr>
              <w:pStyle w:val="TableBodyText"/>
            </w:pPr>
            <w:r>
              <w:rPr>
                <w:b/>
              </w:rPr>
              <w:t>ManifestHashAlgorith</w:t>
            </w:r>
            <w:r>
              <w:rPr>
                <w:b/>
              </w:rPr>
              <w:t>m</w:t>
            </w:r>
            <w:r>
              <w:t xml:space="preserve"> (Manifest Hash Algorithm)</w:t>
            </w:r>
          </w:p>
        </w:tc>
        <w:tc>
          <w:tcPr>
            <w:tcW w:w="0" w:type="auto"/>
            <w:vAlign w:val="center"/>
          </w:tcPr>
          <w:p w:rsidR="005F78FC" w:rsidRDefault="00B42EF3">
            <w:pPr>
              <w:pStyle w:val="TableBodyText"/>
            </w:pPr>
            <w:r>
              <w:t>§</w:t>
            </w:r>
            <w:hyperlink w:anchor="Section_72a51ea393964453ad0b70388cc87aaf">
              <w:r>
                <w:rPr>
                  <w:rStyle w:val="Hyperlink"/>
                </w:rPr>
                <w:t>3.7.1.7, ManifestHashAlgorithm</w:t>
              </w:r>
            </w:hyperlink>
          </w:p>
        </w:tc>
      </w:tr>
      <w:tr w:rsidR="005F78FC" w:rsidTr="005F78FC">
        <w:tc>
          <w:tcPr>
            <w:tcW w:w="0" w:type="auto"/>
            <w:vAlign w:val="center"/>
          </w:tcPr>
          <w:p w:rsidR="005F78FC" w:rsidRDefault="00B42EF3">
            <w:pPr>
              <w:pStyle w:val="TableBodyText"/>
            </w:pPr>
            <w:r>
              <w:rPr>
                <w:b/>
              </w:rPr>
              <w:t>Monitors</w:t>
            </w:r>
            <w:r>
              <w:t xml:space="preserve"> (Monitor Count)</w:t>
            </w:r>
          </w:p>
        </w:tc>
        <w:tc>
          <w:tcPr>
            <w:tcW w:w="0" w:type="auto"/>
            <w:vAlign w:val="center"/>
          </w:tcPr>
          <w:p w:rsidR="005F78FC" w:rsidRDefault="00B42EF3">
            <w:pPr>
              <w:pStyle w:val="TableBodyText"/>
            </w:pPr>
            <w:r>
              <w:t>§</w:t>
            </w:r>
            <w:hyperlink w:anchor="Section_60d0016ce96e44b9907fad464b6d07c7">
              <w:r>
                <w:rPr>
                  <w:rStyle w:val="Hyperlink"/>
                </w:rPr>
                <w:t>3.7.1.8, Monitors</w:t>
              </w:r>
            </w:hyperlink>
          </w:p>
        </w:tc>
      </w:tr>
      <w:tr w:rsidR="005F78FC" w:rsidTr="005F78FC">
        <w:tc>
          <w:tcPr>
            <w:tcW w:w="0" w:type="auto"/>
            <w:vAlign w:val="center"/>
          </w:tcPr>
          <w:p w:rsidR="005F78FC" w:rsidRDefault="00B42EF3">
            <w:pPr>
              <w:pStyle w:val="TableBodyText"/>
            </w:pPr>
            <w:r>
              <w:rPr>
                <w:b/>
              </w:rPr>
              <w:t>OfficeVersion</w:t>
            </w:r>
            <w:r>
              <w:t xml:space="preserve"> (Office Ve</w:t>
            </w:r>
            <w:r>
              <w:t>rsion)</w:t>
            </w:r>
          </w:p>
        </w:tc>
        <w:tc>
          <w:tcPr>
            <w:tcW w:w="0" w:type="auto"/>
            <w:vAlign w:val="center"/>
          </w:tcPr>
          <w:p w:rsidR="005F78FC" w:rsidRDefault="00B42EF3">
            <w:pPr>
              <w:pStyle w:val="TableBodyText"/>
            </w:pPr>
            <w:r>
              <w:t>§</w:t>
            </w:r>
            <w:hyperlink w:anchor="Section_23222e735ee349129a22bfb0fc14d075">
              <w:r>
                <w:rPr>
                  <w:rStyle w:val="Hyperlink"/>
                </w:rPr>
                <w:t>3.7.1.9, OfficeVersion</w:t>
              </w:r>
            </w:hyperlink>
          </w:p>
        </w:tc>
      </w:tr>
      <w:tr w:rsidR="005F78FC" w:rsidTr="005F78FC">
        <w:tc>
          <w:tcPr>
            <w:tcW w:w="0" w:type="auto"/>
            <w:vAlign w:val="center"/>
          </w:tcPr>
          <w:p w:rsidR="005F78FC" w:rsidRDefault="00B42EF3">
            <w:pPr>
              <w:pStyle w:val="TableBodyText"/>
            </w:pPr>
            <w:r>
              <w:rPr>
                <w:b/>
              </w:rPr>
              <w:t>SetupID</w:t>
            </w:r>
            <w:r>
              <w:t xml:space="preserve"> (Setup ID)</w:t>
            </w:r>
          </w:p>
        </w:tc>
        <w:tc>
          <w:tcPr>
            <w:tcW w:w="0" w:type="auto"/>
            <w:vAlign w:val="center"/>
          </w:tcPr>
          <w:p w:rsidR="005F78FC" w:rsidRDefault="00B42EF3">
            <w:pPr>
              <w:pStyle w:val="TableBodyText"/>
            </w:pPr>
            <w:r>
              <w:t>§</w:t>
            </w:r>
            <w:hyperlink w:anchor="Section_0bc6416855b2438bb0db2ffc5bb065de">
              <w:r>
                <w:rPr>
                  <w:rStyle w:val="Hyperlink"/>
                </w:rPr>
                <w:t>3.7.1.10, SetupID</w:t>
              </w:r>
            </w:hyperlink>
          </w:p>
        </w:tc>
      </w:tr>
      <w:tr w:rsidR="005F78FC" w:rsidTr="005F78FC">
        <w:tc>
          <w:tcPr>
            <w:tcW w:w="0" w:type="auto"/>
            <w:vAlign w:val="center"/>
          </w:tcPr>
          <w:p w:rsidR="005F78FC" w:rsidRDefault="00B42EF3">
            <w:pPr>
              <w:pStyle w:val="TableBodyText"/>
            </w:pPr>
            <w:r>
              <w:rPr>
                <w:b/>
              </w:rPr>
              <w:t>SignatureComments</w:t>
            </w:r>
            <w:r>
              <w:t xml:space="preserve"> (Signature Comments)</w:t>
            </w:r>
          </w:p>
        </w:tc>
        <w:tc>
          <w:tcPr>
            <w:tcW w:w="0" w:type="auto"/>
            <w:vAlign w:val="center"/>
          </w:tcPr>
          <w:p w:rsidR="005F78FC" w:rsidRDefault="00B42EF3">
            <w:pPr>
              <w:pStyle w:val="TableBodyText"/>
            </w:pPr>
            <w:r>
              <w:t>§</w:t>
            </w:r>
            <w:hyperlink w:anchor="Section_ccba739517034b508c1eecb83dfa792b">
              <w:r>
                <w:rPr>
                  <w:rStyle w:val="Hyperlink"/>
                </w:rPr>
                <w:t>3.7.1.11, SignatureComments</w:t>
              </w:r>
            </w:hyperlink>
          </w:p>
        </w:tc>
      </w:tr>
      <w:tr w:rsidR="005F78FC" w:rsidTr="005F78FC">
        <w:tc>
          <w:tcPr>
            <w:tcW w:w="0" w:type="auto"/>
            <w:vAlign w:val="center"/>
          </w:tcPr>
          <w:p w:rsidR="005F78FC" w:rsidRDefault="00B42EF3">
            <w:pPr>
              <w:pStyle w:val="TableBodyText"/>
            </w:pPr>
            <w:r>
              <w:rPr>
                <w:b/>
              </w:rPr>
              <w:t>SignatureImage</w:t>
            </w:r>
            <w:r>
              <w:t xml:space="preserve"> (Signature Image)</w:t>
            </w:r>
          </w:p>
        </w:tc>
        <w:tc>
          <w:tcPr>
            <w:tcW w:w="0" w:type="auto"/>
            <w:vAlign w:val="center"/>
          </w:tcPr>
          <w:p w:rsidR="005F78FC" w:rsidRDefault="00B42EF3">
            <w:pPr>
              <w:pStyle w:val="TableBodyText"/>
            </w:pPr>
            <w:r>
              <w:t>§</w:t>
            </w:r>
            <w:hyperlink w:anchor="Section_0e70da4046be4ddab93009c8e7e5f116">
              <w:r>
                <w:rPr>
                  <w:rStyle w:val="Hyperlink"/>
                </w:rPr>
                <w:t>3.7.1.12, SignatureImage</w:t>
              </w:r>
            </w:hyperlink>
          </w:p>
        </w:tc>
      </w:tr>
      <w:tr w:rsidR="005F78FC" w:rsidTr="005F78FC">
        <w:tc>
          <w:tcPr>
            <w:tcW w:w="0" w:type="auto"/>
            <w:vAlign w:val="center"/>
          </w:tcPr>
          <w:p w:rsidR="005F78FC" w:rsidRDefault="00B42EF3">
            <w:pPr>
              <w:pStyle w:val="TableBodyText"/>
            </w:pPr>
            <w:r>
              <w:rPr>
                <w:b/>
              </w:rPr>
              <w:t>SignatureProviderDetails</w:t>
            </w:r>
            <w:r>
              <w:t xml:space="preserve"> (Signature Provide</w:t>
            </w:r>
            <w:r>
              <w:t>r Details)</w:t>
            </w:r>
          </w:p>
        </w:tc>
        <w:tc>
          <w:tcPr>
            <w:tcW w:w="0" w:type="auto"/>
            <w:vAlign w:val="center"/>
          </w:tcPr>
          <w:p w:rsidR="005F78FC" w:rsidRDefault="00B42EF3">
            <w:pPr>
              <w:pStyle w:val="TableBodyText"/>
            </w:pPr>
            <w:r>
              <w:t>§</w:t>
            </w:r>
            <w:hyperlink w:anchor="Section_817e07a284144dd8af897daef5636490">
              <w:r>
                <w:rPr>
                  <w:rStyle w:val="Hyperlink"/>
                </w:rPr>
                <w:t>3.7.1.14, SignatureProviderDetails</w:t>
              </w:r>
            </w:hyperlink>
          </w:p>
        </w:tc>
      </w:tr>
      <w:tr w:rsidR="005F78FC" w:rsidTr="005F78FC">
        <w:tc>
          <w:tcPr>
            <w:tcW w:w="0" w:type="auto"/>
            <w:vAlign w:val="center"/>
          </w:tcPr>
          <w:p w:rsidR="005F78FC" w:rsidRDefault="00B42EF3">
            <w:pPr>
              <w:pStyle w:val="TableBodyText"/>
            </w:pPr>
            <w:r>
              <w:rPr>
                <w:b/>
              </w:rPr>
              <w:t>SignatureProviderId</w:t>
            </w:r>
            <w:r>
              <w:t xml:space="preserve"> (Signature Provider ID)</w:t>
            </w:r>
          </w:p>
        </w:tc>
        <w:tc>
          <w:tcPr>
            <w:tcW w:w="0" w:type="auto"/>
            <w:vAlign w:val="center"/>
          </w:tcPr>
          <w:p w:rsidR="005F78FC" w:rsidRDefault="00B42EF3">
            <w:pPr>
              <w:pStyle w:val="TableBodyText"/>
            </w:pPr>
            <w:r>
              <w:t>§</w:t>
            </w:r>
            <w:hyperlink w:anchor="Section_67ad36eae0d24df6b7e1c3dc0d6b32ea">
              <w:r>
                <w:rPr>
                  <w:rStyle w:val="Hyperlink"/>
                </w:rPr>
                <w:t>3.7.1.15, SignatureProviderId</w:t>
              </w:r>
            </w:hyperlink>
          </w:p>
        </w:tc>
      </w:tr>
      <w:tr w:rsidR="005F78FC" w:rsidTr="005F78FC">
        <w:tc>
          <w:tcPr>
            <w:tcW w:w="0" w:type="auto"/>
            <w:vAlign w:val="center"/>
          </w:tcPr>
          <w:p w:rsidR="005F78FC" w:rsidRDefault="00B42EF3">
            <w:pPr>
              <w:pStyle w:val="TableBodyText"/>
            </w:pPr>
            <w:r>
              <w:rPr>
                <w:b/>
              </w:rPr>
              <w:t>Signat</w:t>
            </w:r>
            <w:r>
              <w:rPr>
                <w:b/>
              </w:rPr>
              <w:t>ureProviderUrl</w:t>
            </w:r>
            <w:r>
              <w:t xml:space="preserve"> (Signature Provider URL)</w:t>
            </w:r>
          </w:p>
        </w:tc>
        <w:tc>
          <w:tcPr>
            <w:tcW w:w="0" w:type="auto"/>
            <w:vAlign w:val="center"/>
          </w:tcPr>
          <w:p w:rsidR="005F78FC" w:rsidRDefault="00B42EF3">
            <w:pPr>
              <w:pStyle w:val="TableBodyText"/>
            </w:pPr>
            <w:r>
              <w:t>§</w:t>
            </w:r>
            <w:hyperlink w:anchor="Section_74b29f9a7df748178e172d784aadffe9">
              <w:r>
                <w:rPr>
                  <w:rStyle w:val="Hyperlink"/>
                </w:rPr>
                <w:t>3.7.1.16, SignatureProviderUrl</w:t>
              </w:r>
            </w:hyperlink>
          </w:p>
        </w:tc>
      </w:tr>
      <w:tr w:rsidR="005F78FC" w:rsidTr="005F78FC">
        <w:tc>
          <w:tcPr>
            <w:tcW w:w="0" w:type="auto"/>
            <w:vAlign w:val="center"/>
          </w:tcPr>
          <w:p w:rsidR="005F78FC" w:rsidRDefault="00B42EF3">
            <w:pPr>
              <w:pStyle w:val="TableBodyText"/>
            </w:pPr>
            <w:r>
              <w:rPr>
                <w:b/>
              </w:rPr>
              <w:t>SignatureText</w:t>
            </w:r>
            <w:r>
              <w:t xml:space="preserve"> (Signature Text)</w:t>
            </w:r>
          </w:p>
        </w:tc>
        <w:tc>
          <w:tcPr>
            <w:tcW w:w="0" w:type="auto"/>
            <w:vAlign w:val="center"/>
          </w:tcPr>
          <w:p w:rsidR="005F78FC" w:rsidRDefault="00B42EF3">
            <w:pPr>
              <w:pStyle w:val="TableBodyText"/>
            </w:pPr>
            <w:r>
              <w:t>§</w:t>
            </w:r>
            <w:hyperlink w:anchor="Section_1821e4f974df4c2f83261b8cfbf05832">
              <w:r>
                <w:rPr>
                  <w:rStyle w:val="Hyperlink"/>
                </w:rPr>
                <w:t>3.7.1.17, SignatureText</w:t>
              </w:r>
            </w:hyperlink>
          </w:p>
        </w:tc>
      </w:tr>
      <w:tr w:rsidR="005F78FC" w:rsidTr="005F78FC">
        <w:tc>
          <w:tcPr>
            <w:tcW w:w="0" w:type="auto"/>
            <w:vAlign w:val="center"/>
          </w:tcPr>
          <w:p w:rsidR="005F78FC" w:rsidRDefault="00B42EF3">
            <w:pPr>
              <w:pStyle w:val="TableBodyText"/>
            </w:pPr>
            <w:r>
              <w:rPr>
                <w:b/>
              </w:rPr>
              <w:t>SignatureType</w:t>
            </w:r>
            <w:r>
              <w:t xml:space="preserve"> (Signature Type)</w:t>
            </w:r>
          </w:p>
        </w:tc>
        <w:tc>
          <w:tcPr>
            <w:tcW w:w="0" w:type="auto"/>
            <w:vAlign w:val="center"/>
          </w:tcPr>
          <w:p w:rsidR="005F78FC" w:rsidRDefault="00B42EF3">
            <w:pPr>
              <w:pStyle w:val="TableBodyText"/>
            </w:pPr>
            <w:r>
              <w:t>§</w:t>
            </w:r>
            <w:hyperlink w:anchor="Section_f57f4e24eab6408c9e521bdd530a42f2">
              <w:r>
                <w:rPr>
                  <w:rStyle w:val="Hyperlink"/>
                </w:rPr>
                <w:t>3.7.1.18, SignatureType</w:t>
              </w:r>
            </w:hyperlink>
          </w:p>
        </w:tc>
      </w:tr>
      <w:tr w:rsidR="005F78FC" w:rsidTr="005F78FC">
        <w:tc>
          <w:tcPr>
            <w:tcW w:w="0" w:type="auto"/>
            <w:vAlign w:val="center"/>
          </w:tcPr>
          <w:p w:rsidR="005F78FC" w:rsidRDefault="00B42EF3">
            <w:pPr>
              <w:pStyle w:val="TableBodyText"/>
            </w:pPr>
            <w:r>
              <w:rPr>
                <w:b/>
              </w:rPr>
              <w:t>VerticalResolution</w:t>
            </w:r>
            <w:r>
              <w:t xml:space="preserve"> (Vertical Resolution)</w:t>
            </w:r>
          </w:p>
        </w:tc>
        <w:tc>
          <w:tcPr>
            <w:tcW w:w="0" w:type="auto"/>
            <w:vAlign w:val="center"/>
          </w:tcPr>
          <w:p w:rsidR="005F78FC" w:rsidRDefault="00B42EF3">
            <w:pPr>
              <w:pStyle w:val="TableBodyText"/>
            </w:pPr>
            <w:r>
              <w:t>§</w:t>
            </w:r>
            <w:hyperlink w:anchor="Section_893fb101ec9d4f8c9153f02e1ab6312b">
              <w:r>
                <w:rPr>
                  <w:rStyle w:val="Hyperlink"/>
                </w:rPr>
                <w:t>3.7.1.19, VerticalResolution</w:t>
              </w:r>
            </w:hyperlink>
          </w:p>
        </w:tc>
      </w:tr>
      <w:tr w:rsidR="005F78FC" w:rsidTr="005F78FC">
        <w:tc>
          <w:tcPr>
            <w:tcW w:w="0" w:type="auto"/>
            <w:vAlign w:val="center"/>
          </w:tcPr>
          <w:p w:rsidR="005F78FC" w:rsidRDefault="00B42EF3">
            <w:pPr>
              <w:pStyle w:val="TableBodyText"/>
            </w:pPr>
            <w:r>
              <w:rPr>
                <w:b/>
              </w:rPr>
              <w:t>W</w:t>
            </w:r>
            <w:r>
              <w:rPr>
                <w:b/>
              </w:rPr>
              <w:t>indowsVersion</w:t>
            </w:r>
            <w:r>
              <w:t xml:space="preserve"> (Windows Version)</w:t>
            </w:r>
          </w:p>
        </w:tc>
        <w:tc>
          <w:tcPr>
            <w:tcW w:w="0" w:type="auto"/>
            <w:vAlign w:val="center"/>
          </w:tcPr>
          <w:p w:rsidR="005F78FC" w:rsidRDefault="00B42EF3">
            <w:pPr>
              <w:pStyle w:val="TableBodyText"/>
            </w:pPr>
            <w:r>
              <w:t>§</w:t>
            </w:r>
            <w:hyperlink w:anchor="Section_ae87853684e54213896f28ec7f70b4aa">
              <w:r>
                <w:rPr>
                  <w:rStyle w:val="Hyperlink"/>
                </w:rPr>
                <w:t>3.7.1.20, WindowsVersion</w:t>
              </w:r>
            </w:hyperlink>
          </w:p>
        </w:tc>
      </w:tr>
    </w:tbl>
    <w:p w:rsidR="005F78FC" w:rsidRDefault="005F78FC"/>
    <w:p w:rsidR="005F78FC" w:rsidRDefault="00B42EF3">
      <w:r>
        <w:t>The following XML Schema fragment defines the contents of this element:</w:t>
      </w:r>
    </w:p>
    <w:p w:rsidR="005F78FC" w:rsidRDefault="00B42EF3">
      <w:pPr>
        <w:pStyle w:val="Code"/>
      </w:pPr>
      <w:r>
        <w:lastRenderedPageBreak/>
        <w:t>&lt;complexType name="CT_SignatureInfoV1"&gt;</w:t>
      </w:r>
    </w:p>
    <w:p w:rsidR="005F78FC" w:rsidRDefault="00B42EF3">
      <w:pPr>
        <w:pStyle w:val="Code"/>
      </w:pPr>
      <w:r>
        <w:t xml:space="preserve">  &lt;sequence&gt;</w:t>
      </w:r>
    </w:p>
    <w:p w:rsidR="005F78FC" w:rsidRDefault="00B42EF3">
      <w:pPr>
        <w:pStyle w:val="Code"/>
      </w:pPr>
      <w:r>
        <w:t xml:space="preserve">    &lt;</w:t>
      </w:r>
      <w:r>
        <w:t>group ref="EG_RequiredChildren"/&gt;</w:t>
      </w:r>
    </w:p>
    <w:p w:rsidR="005F78FC" w:rsidRDefault="00B42EF3">
      <w:pPr>
        <w:pStyle w:val="Code"/>
      </w:pPr>
      <w:r>
        <w:t xml:space="preserve">    &lt;group ref="EG_OptionalChildren" minOccurs="0"/&gt;</w:t>
      </w:r>
    </w:p>
    <w:p w:rsidR="005F78FC" w:rsidRDefault="00B42EF3">
      <w:pPr>
        <w:pStyle w:val="Code"/>
      </w:pPr>
      <w:r>
        <w:t xml:space="preserve">  &lt;/sequence&gt;</w:t>
      </w:r>
    </w:p>
    <w:p w:rsidR="005F78FC" w:rsidRDefault="00B42EF3">
      <w:pPr>
        <w:pStyle w:val="Code"/>
      </w:pPr>
      <w:r>
        <w:t>&lt;/complexType&gt;</w:t>
      </w:r>
    </w:p>
    <w:p w:rsidR="005F78FC" w:rsidRDefault="00B42EF3">
      <w:pPr>
        <w:pStyle w:val="Heading4"/>
      </w:pPr>
      <w:bookmarkStart w:id="4187" w:name="section_817e07a284144dd8af897daef5636490"/>
      <w:bookmarkStart w:id="4188" w:name="_Toc69879866"/>
      <w:r>
        <w:t>SignatureProviderDetails (Signature Provider Details)</w:t>
      </w:r>
      <w:bookmarkEnd w:id="4187"/>
      <w:bookmarkEnd w:id="4188"/>
      <w:r>
        <w:fldChar w:fldCharType="begin"/>
      </w:r>
      <w:r>
        <w:instrText xml:space="preserve"> XE "SignatureProviderDetails (Signature Provider Details)" </w:instrText>
      </w:r>
      <w:r>
        <w:fldChar w:fldCharType="end"/>
      </w:r>
    </w:p>
    <w:p w:rsidR="005F78FC" w:rsidRDefault="00B42EF3">
      <w:r>
        <w:t>Specifies details of the</w:t>
      </w:r>
      <w:r>
        <w:t xml:space="preserve"> signature provider.  The value shall be an integer computed from a bitmask of the following flags:</w:t>
      </w:r>
    </w:p>
    <w:tbl>
      <w:tblPr>
        <w:tblStyle w:val="Table-ShadedHeader"/>
        <w:tblW w:w="0" w:type="auto"/>
        <w:tblLook w:val="04A0" w:firstRow="1" w:lastRow="0" w:firstColumn="1" w:lastColumn="0" w:noHBand="0" w:noVBand="1"/>
      </w:tblPr>
      <w:tblGrid>
        <w:gridCol w:w="1241"/>
        <w:gridCol w:w="5799"/>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Value</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t>0x00000000</w:t>
            </w:r>
          </w:p>
        </w:tc>
        <w:tc>
          <w:tcPr>
            <w:tcW w:w="0" w:type="auto"/>
            <w:vAlign w:val="center"/>
          </w:tcPr>
          <w:p w:rsidR="005F78FC" w:rsidRDefault="00B42EF3">
            <w:pPr>
              <w:pStyle w:val="TableBodyText"/>
            </w:pPr>
            <w:r>
              <w:t>Specifies that there are no restrictions on the provider's usage.</w:t>
            </w:r>
          </w:p>
        </w:tc>
      </w:tr>
      <w:tr w:rsidR="005F78FC" w:rsidTr="005F78FC">
        <w:tc>
          <w:tcPr>
            <w:tcW w:w="0" w:type="auto"/>
            <w:vAlign w:val="center"/>
          </w:tcPr>
          <w:p w:rsidR="005F78FC" w:rsidRDefault="00B42EF3">
            <w:pPr>
              <w:pStyle w:val="TableBodyText"/>
            </w:pPr>
            <w:r>
              <w:t>0x00000001</w:t>
            </w:r>
          </w:p>
        </w:tc>
        <w:tc>
          <w:tcPr>
            <w:tcW w:w="0" w:type="auto"/>
            <w:vAlign w:val="center"/>
          </w:tcPr>
          <w:p w:rsidR="005F78FC" w:rsidRDefault="00B42EF3">
            <w:pPr>
              <w:pStyle w:val="TableBodyText"/>
            </w:pPr>
            <w:r>
              <w:t xml:space="preserve">Specifies that the provider shall only be used </w:t>
            </w:r>
            <w:r>
              <w:t>for the UI.</w:t>
            </w:r>
          </w:p>
        </w:tc>
      </w:tr>
      <w:tr w:rsidR="005F78FC" w:rsidTr="005F78FC">
        <w:tc>
          <w:tcPr>
            <w:tcW w:w="0" w:type="auto"/>
            <w:vAlign w:val="center"/>
          </w:tcPr>
          <w:p w:rsidR="005F78FC" w:rsidRDefault="00B42EF3">
            <w:pPr>
              <w:pStyle w:val="TableBodyText"/>
            </w:pPr>
            <w:r>
              <w:t>0x00000002</w:t>
            </w:r>
          </w:p>
        </w:tc>
        <w:tc>
          <w:tcPr>
            <w:tcW w:w="0" w:type="auto"/>
            <w:vAlign w:val="center"/>
          </w:tcPr>
          <w:p w:rsidR="005F78FC" w:rsidRDefault="00B42EF3">
            <w:pPr>
              <w:pStyle w:val="TableBodyText"/>
            </w:pPr>
            <w:r>
              <w:t xml:space="preserve">Specifies that the provider shall only be used for invisible signatures. </w:t>
            </w:r>
          </w:p>
        </w:tc>
      </w:tr>
      <w:tr w:rsidR="005F78FC" w:rsidTr="005F78FC">
        <w:tc>
          <w:tcPr>
            <w:tcW w:w="0" w:type="auto"/>
            <w:vAlign w:val="center"/>
          </w:tcPr>
          <w:p w:rsidR="005F78FC" w:rsidRDefault="00B42EF3">
            <w:pPr>
              <w:pStyle w:val="TableBodyText"/>
            </w:pPr>
            <w:r>
              <w:t>0x00000004</w:t>
            </w:r>
          </w:p>
        </w:tc>
        <w:tc>
          <w:tcPr>
            <w:tcW w:w="0" w:type="auto"/>
            <w:vAlign w:val="center"/>
          </w:tcPr>
          <w:p w:rsidR="005F78FC" w:rsidRDefault="00B42EF3">
            <w:pPr>
              <w:pStyle w:val="TableBodyText"/>
            </w:pPr>
            <w:r>
              <w:t>Specifies that the provider shall only be used for visible signatures.</w:t>
            </w:r>
          </w:p>
        </w:tc>
      </w:tr>
      <w:tr w:rsidR="005F78FC" w:rsidTr="005F78FC">
        <w:tc>
          <w:tcPr>
            <w:tcW w:w="0" w:type="auto"/>
            <w:vAlign w:val="center"/>
          </w:tcPr>
          <w:p w:rsidR="005F78FC" w:rsidRDefault="00B42EF3">
            <w:pPr>
              <w:pStyle w:val="TableBodyText"/>
            </w:pPr>
            <w:r>
              <w:t>0x00000008</w:t>
            </w:r>
          </w:p>
        </w:tc>
        <w:tc>
          <w:tcPr>
            <w:tcW w:w="0" w:type="auto"/>
            <w:vAlign w:val="center"/>
          </w:tcPr>
          <w:p w:rsidR="005F78FC" w:rsidRDefault="00B42EF3">
            <w:pPr>
              <w:pStyle w:val="TableBodyText"/>
            </w:pPr>
            <w:r>
              <w:t>Specifies that Office UI shall be used for the provider.</w:t>
            </w:r>
          </w:p>
        </w:tc>
      </w:tr>
      <w:tr w:rsidR="005F78FC" w:rsidTr="005F78FC">
        <w:tc>
          <w:tcPr>
            <w:tcW w:w="0" w:type="auto"/>
            <w:vAlign w:val="center"/>
          </w:tcPr>
          <w:p w:rsidR="005F78FC" w:rsidRDefault="00B42EF3">
            <w:pPr>
              <w:pStyle w:val="TableBodyText"/>
            </w:pPr>
            <w:r>
              <w:t>0x000</w:t>
            </w:r>
            <w:r>
              <w:t>00010</w:t>
            </w:r>
          </w:p>
        </w:tc>
        <w:tc>
          <w:tcPr>
            <w:tcW w:w="0" w:type="auto"/>
            <w:vAlign w:val="center"/>
          </w:tcPr>
          <w:p w:rsidR="005F78FC" w:rsidRDefault="00B42EF3">
            <w:pPr>
              <w:pStyle w:val="TableBodyText"/>
            </w:pPr>
            <w:r>
              <w:t>Specifies that Office stamp UI shall be used for the provider.</w:t>
            </w:r>
          </w:p>
        </w:tc>
      </w:tr>
    </w:tbl>
    <w:p w:rsidR="005F78FC" w:rsidRDefault="005F78FC"/>
    <w:p w:rsidR="005F78FC" w:rsidRDefault="005F78FC"/>
    <w:tbl>
      <w:tblPr>
        <w:tblStyle w:val="Table-ShadedHeader"/>
        <w:tblW w:w="0" w:type="auto"/>
        <w:tblLook w:val="04A0" w:firstRow="1" w:lastRow="0" w:firstColumn="1" w:lastColumn="0" w:noHBand="0" w:noVBand="1"/>
      </w:tblPr>
      <w:tblGrid>
        <w:gridCol w:w="4131"/>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Parent Elements</w:t>
            </w:r>
          </w:p>
        </w:tc>
      </w:tr>
      <w:tr w:rsidR="005F78FC" w:rsidTr="005F78FC">
        <w:tc>
          <w:tcPr>
            <w:tcW w:w="0" w:type="auto"/>
            <w:vAlign w:val="center"/>
          </w:tcPr>
          <w:p w:rsidR="005F78FC" w:rsidRDefault="00B42EF3">
            <w:pPr>
              <w:pStyle w:val="TableBodyText"/>
            </w:pPr>
            <w:r>
              <w:rPr>
                <w:b/>
              </w:rPr>
              <w:t>SignatureInfoV1</w:t>
            </w:r>
            <w:r>
              <w:t xml:space="preserve"> (§</w:t>
            </w:r>
            <w:hyperlink w:anchor="Section_e1d590674b8849f19da10255d76b4ffa">
              <w:r>
                <w:rPr>
                  <w:rStyle w:val="Hyperlink"/>
                </w:rPr>
                <w:t>3.7.1.13, SignatureInfoV1</w:t>
              </w:r>
            </w:hyperlink>
            <w:r>
              <w:t>)</w:t>
            </w:r>
          </w:p>
        </w:tc>
      </w:tr>
    </w:tbl>
    <w:p w:rsidR="005F78FC" w:rsidRDefault="005F78FC"/>
    <w:p w:rsidR="005F78FC" w:rsidRDefault="00B42EF3">
      <w:pPr>
        <w:pStyle w:val="Heading4"/>
      </w:pPr>
      <w:bookmarkStart w:id="4189" w:name="section_67ad36eae0d24df6b7e1c3dc0d6b32ea"/>
      <w:bookmarkStart w:id="4190" w:name="_Toc69879867"/>
      <w:r>
        <w:t>SignatureProviderId (Signature Provider ID)</w:t>
      </w:r>
      <w:bookmarkEnd w:id="4189"/>
      <w:bookmarkEnd w:id="4190"/>
      <w:r>
        <w:fldChar w:fldCharType="begin"/>
      </w:r>
      <w:r>
        <w:instrText xml:space="preserve"> XE "SignatureProviderId (Signature Provider ID)" </w:instrText>
      </w:r>
      <w:r>
        <w:fldChar w:fldCharType="end"/>
      </w:r>
    </w:p>
    <w:p w:rsidR="005F78FC" w:rsidRDefault="00B42EF3">
      <w:r>
        <w:t xml:space="preserve">Specifies the class ID of the signature provider. Office reserves the value of </w:t>
      </w:r>
      <w:r>
        <w:rPr>
          <w:i/>
        </w:rPr>
        <w:t xml:space="preserve">{00000000-0000-0000-0000-000000000000} </w:t>
      </w:r>
      <w:r>
        <w:t xml:space="preserve">for its default signature provider and </w:t>
      </w:r>
      <w:r>
        <w:rPr>
          <w:i/>
        </w:rPr>
        <w:t xml:space="preserve">{000CD6A4-0000-0000-C000-000000000046} </w:t>
      </w:r>
      <w:r>
        <w:t>for its</w:t>
      </w:r>
      <w:r>
        <w:t xml:space="preserve"> East Asian signature provider.</w:t>
      </w:r>
    </w:p>
    <w:p w:rsidR="005F78FC" w:rsidRDefault="00B42EF3">
      <w:r>
        <w:t>The possible values for this element are defined by the ST_UniqueIdentifierWithBraces simple type (§</w:t>
      </w:r>
      <w:hyperlink w:anchor="Section_6478af0db7b4409889c50d291a9cf0ce">
        <w:r>
          <w:rPr>
            <w:rStyle w:val="Hyperlink"/>
          </w:rPr>
          <w:t>3.7.2.6, ST_UniqueIdentifierWithBraces</w:t>
        </w:r>
      </w:hyperlink>
      <w:r>
        <w:t>).</w:t>
      </w:r>
    </w:p>
    <w:tbl>
      <w:tblPr>
        <w:tblStyle w:val="Table-ShadedHeader"/>
        <w:tblW w:w="0" w:type="auto"/>
        <w:tblLook w:val="04A0" w:firstRow="1" w:lastRow="0" w:firstColumn="1" w:lastColumn="0" w:noHBand="0" w:noVBand="1"/>
      </w:tblPr>
      <w:tblGrid>
        <w:gridCol w:w="4131"/>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Parent Elements</w:t>
            </w:r>
          </w:p>
        </w:tc>
      </w:tr>
      <w:tr w:rsidR="005F78FC" w:rsidTr="005F78FC">
        <w:tc>
          <w:tcPr>
            <w:tcW w:w="0" w:type="auto"/>
            <w:vAlign w:val="center"/>
          </w:tcPr>
          <w:p w:rsidR="005F78FC" w:rsidRDefault="00B42EF3">
            <w:pPr>
              <w:pStyle w:val="TableBodyText"/>
            </w:pPr>
            <w:r>
              <w:rPr>
                <w:b/>
              </w:rPr>
              <w:t>Sig</w:t>
            </w:r>
            <w:r>
              <w:rPr>
                <w:b/>
              </w:rPr>
              <w:t>natureInfoV1</w:t>
            </w:r>
            <w:r>
              <w:t xml:space="preserve"> (§</w:t>
            </w:r>
            <w:hyperlink w:anchor="Section_e1d590674b8849f19da10255d76b4ffa">
              <w:r>
                <w:rPr>
                  <w:rStyle w:val="Hyperlink"/>
                </w:rPr>
                <w:t>3.7.1.13, SignatureInfoV1</w:t>
              </w:r>
            </w:hyperlink>
            <w:r>
              <w:t>)</w:t>
            </w:r>
          </w:p>
        </w:tc>
      </w:tr>
    </w:tbl>
    <w:p w:rsidR="005F78FC" w:rsidRDefault="005F78FC"/>
    <w:p w:rsidR="005F78FC" w:rsidRDefault="00B42EF3">
      <w:r>
        <w:t>The following XML Schema fragment defines the contents of this element:</w:t>
      </w:r>
    </w:p>
    <w:p w:rsidR="005F78FC" w:rsidRDefault="00B42EF3">
      <w:pPr>
        <w:pStyle w:val="Code"/>
      </w:pPr>
      <w:r>
        <w:t>&lt;simpleType name="ST_UniqueIdentifierWithBraces"&gt;</w:t>
      </w:r>
    </w:p>
    <w:p w:rsidR="005F78FC" w:rsidRDefault="00B42EF3">
      <w:pPr>
        <w:pStyle w:val="Code"/>
      </w:pPr>
      <w:r>
        <w:t xml:space="preserve">  &lt;restriction base="xsd:st</w:t>
      </w:r>
      <w:r>
        <w:t>ring"&gt;</w:t>
      </w:r>
    </w:p>
    <w:p w:rsidR="005F78FC" w:rsidRDefault="00B42EF3">
      <w:pPr>
        <w:pStyle w:val="Code"/>
      </w:pPr>
      <w:r>
        <w:t xml:space="preserve">    &lt;pattern value="\{[0-9a-fA-F]{8}\-[0-9a-fA-F]{4}\-[0-9a-fA-F]{4}\-[0-9a-fA-F]{4}\-[0-9a-fA-F]{12}\}|"/&gt;</w:t>
      </w:r>
    </w:p>
    <w:p w:rsidR="005F78FC" w:rsidRDefault="00B42EF3">
      <w:pPr>
        <w:pStyle w:val="Code"/>
      </w:pPr>
      <w:r>
        <w:t xml:space="preserve">  &lt;/restriction&gt;</w:t>
      </w:r>
    </w:p>
    <w:p w:rsidR="005F78FC" w:rsidRDefault="00B42EF3">
      <w:pPr>
        <w:pStyle w:val="Code"/>
      </w:pPr>
      <w:r>
        <w:lastRenderedPageBreak/>
        <w:t>&lt;/simpleType&gt;</w:t>
      </w:r>
    </w:p>
    <w:p w:rsidR="005F78FC" w:rsidRDefault="00B42EF3">
      <w:pPr>
        <w:pStyle w:val="Heading4"/>
      </w:pPr>
      <w:bookmarkStart w:id="4191" w:name="section_74b29f9a7df748178e172d784aadffe9"/>
      <w:bookmarkStart w:id="4192" w:name="_Toc69879868"/>
      <w:r>
        <w:t>SignatureProviderUrl (Signature Provider URL)</w:t>
      </w:r>
      <w:bookmarkEnd w:id="4191"/>
      <w:bookmarkEnd w:id="4192"/>
      <w:r>
        <w:fldChar w:fldCharType="begin"/>
      </w:r>
      <w:r>
        <w:instrText xml:space="preserve"> XE "SignatureProviderUrl (Signature Provider URL)" </w:instrText>
      </w:r>
      <w:r>
        <w:fldChar w:fldCharType="end"/>
      </w:r>
    </w:p>
    <w:p w:rsidR="005F78FC" w:rsidRDefault="00B42EF3">
      <w:r>
        <w:t xml:space="preserve">Specifies </w:t>
      </w:r>
      <w:r>
        <w:t>the URL of the software used to generate the digital signature.</w:t>
      </w:r>
    </w:p>
    <w:p w:rsidR="005F78FC" w:rsidRDefault="00B42EF3">
      <w:r>
        <w:t>The possible values for this element are defined by the ST_SignatureProviderUrl simple type (§</w:t>
      </w:r>
      <w:hyperlink w:anchor="Section_2fdd7f10d23a40ee9431d04ec89bb73c">
        <w:r>
          <w:rPr>
            <w:rStyle w:val="Hyperlink"/>
          </w:rPr>
          <w:t>3.7.2.3, ST_SignatureProviderUrl</w:t>
        </w:r>
      </w:hyperlink>
      <w:r>
        <w:t>).</w:t>
      </w:r>
    </w:p>
    <w:tbl>
      <w:tblPr>
        <w:tblStyle w:val="Table-ShadedHeader"/>
        <w:tblW w:w="0" w:type="auto"/>
        <w:tblLook w:val="04A0" w:firstRow="1" w:lastRow="0" w:firstColumn="1" w:lastColumn="0" w:noHBand="0" w:noVBand="1"/>
      </w:tblPr>
      <w:tblGrid>
        <w:gridCol w:w="4131"/>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Parent Elements</w:t>
            </w:r>
          </w:p>
        </w:tc>
      </w:tr>
      <w:tr w:rsidR="005F78FC" w:rsidTr="005F78FC">
        <w:tc>
          <w:tcPr>
            <w:tcW w:w="0" w:type="auto"/>
            <w:vAlign w:val="center"/>
          </w:tcPr>
          <w:p w:rsidR="005F78FC" w:rsidRDefault="00B42EF3">
            <w:pPr>
              <w:pStyle w:val="TableBodyText"/>
            </w:pPr>
            <w:r>
              <w:rPr>
                <w:b/>
              </w:rPr>
              <w:t>SignatureInfoV1</w:t>
            </w:r>
            <w:r>
              <w:t xml:space="preserve"> (§</w:t>
            </w:r>
            <w:hyperlink w:anchor="Section_e1d590674b8849f19da10255d76b4ffa">
              <w:r>
                <w:rPr>
                  <w:rStyle w:val="Hyperlink"/>
                </w:rPr>
                <w:t>3.7.1.13, SignatureInfoV1</w:t>
              </w:r>
            </w:hyperlink>
            <w:r>
              <w:t>)</w:t>
            </w:r>
          </w:p>
        </w:tc>
      </w:tr>
    </w:tbl>
    <w:p w:rsidR="005F78FC" w:rsidRDefault="005F78FC"/>
    <w:p w:rsidR="005F78FC" w:rsidRDefault="00B42EF3">
      <w:r>
        <w:t>The following XML Schema fragment defines the contents of this element:</w:t>
      </w:r>
    </w:p>
    <w:p w:rsidR="005F78FC" w:rsidRDefault="00B42EF3">
      <w:pPr>
        <w:pStyle w:val="Code"/>
      </w:pPr>
      <w:r>
        <w:t>&lt;simpleType name="ST_SignatureProviderUrl"&gt;</w:t>
      </w:r>
    </w:p>
    <w:p w:rsidR="005F78FC" w:rsidRDefault="00B42EF3">
      <w:pPr>
        <w:pStyle w:val="Code"/>
      </w:pPr>
      <w:r>
        <w:t xml:space="preserve">  &lt;restrictio</w:t>
      </w:r>
      <w:r>
        <w:t>n base="xsd:string"&gt;</w:t>
      </w:r>
    </w:p>
    <w:p w:rsidR="005F78FC" w:rsidRDefault="00B42EF3">
      <w:pPr>
        <w:pStyle w:val="Code"/>
      </w:pPr>
      <w:r>
        <w:t xml:space="preserve">    &lt;maxLength value="2083"/&gt;</w:t>
      </w:r>
    </w:p>
    <w:p w:rsidR="005F78FC" w:rsidRDefault="00B42EF3">
      <w:pPr>
        <w:pStyle w:val="Code"/>
      </w:pPr>
      <w:r>
        <w:t xml:space="preserve">  &lt;/restriction&gt;</w:t>
      </w:r>
    </w:p>
    <w:p w:rsidR="005F78FC" w:rsidRDefault="00B42EF3">
      <w:pPr>
        <w:pStyle w:val="Code"/>
      </w:pPr>
      <w:r>
        <w:t>&lt;/simpleType&gt;</w:t>
      </w:r>
    </w:p>
    <w:p w:rsidR="005F78FC" w:rsidRDefault="00B42EF3">
      <w:pPr>
        <w:pStyle w:val="Heading4"/>
      </w:pPr>
      <w:bookmarkStart w:id="4193" w:name="section_1821e4f974df4c2f83261b8cfbf05832"/>
      <w:bookmarkStart w:id="4194" w:name="_Toc69879869"/>
      <w:r>
        <w:t>SignatureText (Signature Text)</w:t>
      </w:r>
      <w:bookmarkEnd w:id="4193"/>
      <w:bookmarkEnd w:id="4194"/>
      <w:r>
        <w:fldChar w:fldCharType="begin"/>
      </w:r>
      <w:r>
        <w:instrText xml:space="preserve"> XE "SignatureText (Signature Text)" </w:instrText>
      </w:r>
      <w:r>
        <w:fldChar w:fldCharType="end"/>
      </w:r>
    </w:p>
    <w:p w:rsidR="005F78FC" w:rsidRDefault="00B42EF3">
      <w:r>
        <w:t>Specifies the text of actual signature in the digital signature.</w:t>
      </w:r>
    </w:p>
    <w:p w:rsidR="005F78FC" w:rsidRDefault="00B42EF3">
      <w:r>
        <w:t>The possible values for this element ar</w:t>
      </w:r>
      <w:r>
        <w:t>e defined by the ST_SignatureText simple type (§</w:t>
      </w:r>
      <w:hyperlink w:anchor="Section_4bac229a77b34557aa4ce93641da133d">
        <w:r>
          <w:rPr>
            <w:rStyle w:val="Hyperlink"/>
          </w:rPr>
          <w:t>3.7.2.4, ST_SignatureText</w:t>
        </w:r>
      </w:hyperlink>
      <w:r>
        <w:t>).</w:t>
      </w:r>
    </w:p>
    <w:tbl>
      <w:tblPr>
        <w:tblStyle w:val="Table-ShadedHeader"/>
        <w:tblW w:w="0" w:type="auto"/>
        <w:tblLook w:val="04A0" w:firstRow="1" w:lastRow="0" w:firstColumn="1" w:lastColumn="0" w:noHBand="0" w:noVBand="1"/>
      </w:tblPr>
      <w:tblGrid>
        <w:gridCol w:w="4131"/>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Parent Elements</w:t>
            </w:r>
          </w:p>
        </w:tc>
      </w:tr>
      <w:tr w:rsidR="005F78FC" w:rsidTr="005F78FC">
        <w:tc>
          <w:tcPr>
            <w:tcW w:w="0" w:type="auto"/>
            <w:vAlign w:val="center"/>
          </w:tcPr>
          <w:p w:rsidR="005F78FC" w:rsidRDefault="00B42EF3">
            <w:pPr>
              <w:pStyle w:val="TableBodyText"/>
            </w:pPr>
            <w:r>
              <w:rPr>
                <w:b/>
              </w:rPr>
              <w:t>SignatureInfoV1</w:t>
            </w:r>
            <w:r>
              <w:t xml:space="preserve"> (§</w:t>
            </w:r>
            <w:hyperlink w:anchor="Section_e1d590674b8849f19da10255d76b4ffa">
              <w:r>
                <w:rPr>
                  <w:rStyle w:val="Hyperlink"/>
                </w:rPr>
                <w:t xml:space="preserve">3.7.1.13, </w:t>
              </w:r>
              <w:r>
                <w:rPr>
                  <w:rStyle w:val="Hyperlink"/>
                </w:rPr>
                <w:t>SignatureInfoV1</w:t>
              </w:r>
            </w:hyperlink>
            <w:r>
              <w:t>)</w:t>
            </w:r>
          </w:p>
        </w:tc>
      </w:tr>
    </w:tbl>
    <w:p w:rsidR="005F78FC" w:rsidRDefault="005F78FC"/>
    <w:p w:rsidR="005F78FC" w:rsidRDefault="00B42EF3">
      <w:r>
        <w:t>The following XML Schema fragment defines the contents of this element:</w:t>
      </w:r>
    </w:p>
    <w:p w:rsidR="005F78FC" w:rsidRDefault="00B42EF3">
      <w:pPr>
        <w:pStyle w:val="Code"/>
      </w:pPr>
      <w:r>
        <w:t>&lt;simpleType name="ST_SignatureText"&gt;</w:t>
      </w:r>
    </w:p>
    <w:p w:rsidR="005F78FC" w:rsidRDefault="00B42EF3">
      <w:pPr>
        <w:pStyle w:val="Code"/>
      </w:pPr>
      <w:r>
        <w:t xml:space="preserve">  &lt;restriction base="xsd:string"&gt;</w:t>
      </w:r>
    </w:p>
    <w:p w:rsidR="005F78FC" w:rsidRDefault="00B42EF3">
      <w:pPr>
        <w:pStyle w:val="Code"/>
      </w:pPr>
      <w:r>
        <w:t xml:space="preserve">    &lt;maxLength value="100"/&gt;</w:t>
      </w:r>
    </w:p>
    <w:p w:rsidR="005F78FC" w:rsidRDefault="00B42EF3">
      <w:pPr>
        <w:pStyle w:val="Code"/>
      </w:pPr>
      <w:r>
        <w:t xml:space="preserve">  &lt;/restriction&gt;</w:t>
      </w:r>
    </w:p>
    <w:p w:rsidR="005F78FC" w:rsidRDefault="00B42EF3">
      <w:pPr>
        <w:pStyle w:val="Code"/>
      </w:pPr>
      <w:r>
        <w:t>&lt;/simpleType&gt;</w:t>
      </w:r>
    </w:p>
    <w:p w:rsidR="005F78FC" w:rsidRDefault="00B42EF3">
      <w:pPr>
        <w:pStyle w:val="Heading4"/>
      </w:pPr>
      <w:bookmarkStart w:id="4195" w:name="section_f57f4e24eab6408c9e521bdd530a42f2"/>
      <w:bookmarkStart w:id="4196" w:name="_Toc69879870"/>
      <w:r>
        <w:t>SignatureType (Signature Type)</w:t>
      </w:r>
      <w:bookmarkEnd w:id="4195"/>
      <w:bookmarkEnd w:id="4196"/>
      <w:r>
        <w:fldChar w:fldCharType="begin"/>
      </w:r>
      <w:r>
        <w:instrText xml:space="preserve"> XE </w:instrText>
      </w:r>
      <w:r>
        <w:instrText xml:space="preserve">"SignatureType (Signature Type)" </w:instrText>
      </w:r>
      <w:r>
        <w:fldChar w:fldCharType="end"/>
      </w:r>
    </w:p>
    <w:p w:rsidR="005F78FC" w:rsidRDefault="00B42EF3">
      <w:r>
        <w:t>Specifies the type of the digital signature.</w:t>
      </w:r>
    </w:p>
    <w:p w:rsidR="005F78FC" w:rsidRDefault="00B42EF3">
      <w:r>
        <w:t xml:space="preserve">When this signature is of type </w:t>
      </w:r>
      <w:r>
        <w:rPr>
          <w:i/>
        </w:rPr>
        <w:t>2</w:t>
      </w:r>
      <w:r>
        <w:t xml:space="preserve"> (Signature Line), there shall be two additional objects in the signature:  One with an </w:t>
      </w:r>
      <w:r>
        <w:rPr>
          <w:b/>
        </w:rPr>
        <w:t xml:space="preserve">Id </w:t>
      </w:r>
      <w:r>
        <w:t xml:space="preserve">value of </w:t>
      </w:r>
      <w:r>
        <w:rPr>
          <w:i/>
        </w:rPr>
        <w:t>idValidSigLnImg</w:t>
      </w:r>
      <w:r>
        <w:t>, whose value shall define t</w:t>
      </w:r>
      <w:r>
        <w:t xml:space="preserve">he image of a valid signature; and one with an Id value of </w:t>
      </w:r>
      <w:r>
        <w:rPr>
          <w:i/>
        </w:rPr>
        <w:t>idInvalidSigLnImg</w:t>
      </w:r>
      <w:r>
        <w:t>, whose value shall define the image of an invalid signature.</w:t>
      </w:r>
    </w:p>
    <w:p w:rsidR="005F78FC" w:rsidRDefault="00B42EF3">
      <w:r>
        <w:t>The possible values for this element are defined by the ST_SignatureType simple type (§</w:t>
      </w:r>
      <w:hyperlink w:anchor="Section_65d1befb272a48f59a5b3896300299ee">
        <w:r>
          <w:rPr>
            <w:rStyle w:val="Hyperlink"/>
          </w:rPr>
          <w:t>3.7.2.5, ST_SignatureType</w:t>
        </w:r>
      </w:hyperlink>
      <w:r>
        <w:t>).</w:t>
      </w:r>
    </w:p>
    <w:tbl>
      <w:tblPr>
        <w:tblStyle w:val="Table-ShadedHeader"/>
        <w:tblW w:w="0" w:type="auto"/>
        <w:tblLook w:val="04A0" w:firstRow="1" w:lastRow="0" w:firstColumn="1" w:lastColumn="0" w:noHBand="0" w:noVBand="1"/>
      </w:tblPr>
      <w:tblGrid>
        <w:gridCol w:w="4131"/>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lastRenderedPageBreak/>
              <w:t>Parent Elements</w:t>
            </w:r>
          </w:p>
        </w:tc>
      </w:tr>
      <w:tr w:rsidR="005F78FC" w:rsidTr="005F78FC">
        <w:tc>
          <w:tcPr>
            <w:tcW w:w="0" w:type="auto"/>
            <w:vAlign w:val="center"/>
          </w:tcPr>
          <w:p w:rsidR="005F78FC" w:rsidRDefault="00B42EF3">
            <w:pPr>
              <w:pStyle w:val="TableBodyText"/>
            </w:pPr>
            <w:r>
              <w:rPr>
                <w:b/>
              </w:rPr>
              <w:t>SignatureInfoV1</w:t>
            </w:r>
            <w:r>
              <w:t xml:space="preserve"> (§</w:t>
            </w:r>
            <w:hyperlink w:anchor="Section_e1d590674b8849f19da10255d76b4ffa">
              <w:r>
                <w:rPr>
                  <w:rStyle w:val="Hyperlink"/>
                </w:rPr>
                <w:t>3.7.1.13, SignatureInfoV1</w:t>
              </w:r>
            </w:hyperlink>
            <w:r>
              <w:t>)</w:t>
            </w:r>
          </w:p>
        </w:tc>
      </w:tr>
    </w:tbl>
    <w:p w:rsidR="005F78FC" w:rsidRDefault="005F78FC"/>
    <w:p w:rsidR="005F78FC" w:rsidRDefault="00B42EF3">
      <w:r>
        <w:t xml:space="preserve">The following XML Schema fragment defines the contents of this </w:t>
      </w:r>
      <w:r>
        <w:t>element:</w:t>
      </w:r>
    </w:p>
    <w:p w:rsidR="005F78FC" w:rsidRDefault="00B42EF3">
      <w:pPr>
        <w:pStyle w:val="Code"/>
      </w:pPr>
      <w:r>
        <w:t>&lt;simpleType name="ST_SignatureType"&gt;</w:t>
      </w:r>
    </w:p>
    <w:p w:rsidR="005F78FC" w:rsidRDefault="00B42EF3">
      <w:pPr>
        <w:pStyle w:val="Code"/>
      </w:pPr>
      <w:r>
        <w:t xml:space="preserve">  &lt;restriction base="xsd:int"&gt;</w:t>
      </w:r>
    </w:p>
    <w:p w:rsidR="005F78FC" w:rsidRDefault="00B42EF3">
      <w:pPr>
        <w:pStyle w:val="Code"/>
      </w:pPr>
      <w:r>
        <w:t xml:space="preserve">    &lt;enumeration value="1"/&gt;</w:t>
      </w:r>
    </w:p>
    <w:p w:rsidR="005F78FC" w:rsidRDefault="00B42EF3">
      <w:pPr>
        <w:pStyle w:val="Code"/>
      </w:pPr>
      <w:r>
        <w:t xml:space="preserve">    &lt;enumeration value="2"/&gt;</w:t>
      </w:r>
    </w:p>
    <w:p w:rsidR="005F78FC" w:rsidRDefault="00B42EF3">
      <w:pPr>
        <w:pStyle w:val="Code"/>
      </w:pPr>
      <w:r>
        <w:t xml:space="preserve">  &lt;/restriction&gt;</w:t>
      </w:r>
    </w:p>
    <w:p w:rsidR="005F78FC" w:rsidRDefault="00B42EF3">
      <w:pPr>
        <w:pStyle w:val="Code"/>
      </w:pPr>
      <w:r>
        <w:t>&lt;/simpleType&gt;</w:t>
      </w:r>
    </w:p>
    <w:p w:rsidR="005F78FC" w:rsidRDefault="00B42EF3">
      <w:pPr>
        <w:pStyle w:val="Heading4"/>
      </w:pPr>
      <w:bookmarkStart w:id="4197" w:name="section_893fb101ec9d4f8c9153f02e1ab6312b"/>
      <w:bookmarkStart w:id="4198" w:name="_Toc69879871"/>
      <w:r>
        <w:t>VerticalResolution (Vertical Resolution)</w:t>
      </w:r>
      <w:bookmarkEnd w:id="4197"/>
      <w:bookmarkEnd w:id="4198"/>
      <w:r>
        <w:fldChar w:fldCharType="begin"/>
      </w:r>
      <w:r>
        <w:instrText xml:space="preserve"> XE "VerticalResolution (Vertical Resolution)" </w:instrText>
      </w:r>
      <w:r>
        <w:fldChar w:fldCharType="end"/>
      </w:r>
    </w:p>
    <w:p w:rsidR="005F78FC" w:rsidRDefault="00B42EF3">
      <w:r>
        <w:t>Specifies the vertical resolution of the primary monitor of the machine on which the digital signature was created.</w:t>
      </w:r>
    </w:p>
    <w:p w:rsidR="005F78FC" w:rsidRDefault="00B42EF3">
      <w:r>
        <w:t>The possible values for this element are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Parent Elements</w:t>
            </w:r>
          </w:p>
        </w:tc>
      </w:tr>
      <w:tr w:rsidR="005F78FC" w:rsidTr="005F78FC">
        <w:tc>
          <w:tcPr>
            <w:tcW w:w="0" w:type="auto"/>
            <w:vAlign w:val="center"/>
          </w:tcPr>
          <w:p w:rsidR="005F78FC" w:rsidRDefault="00B42EF3">
            <w:pPr>
              <w:pStyle w:val="TableBodyText"/>
            </w:pPr>
            <w:r>
              <w:rPr>
                <w:b/>
              </w:rPr>
              <w:t>SignatureInfoV1</w:t>
            </w:r>
            <w:r>
              <w:t xml:space="preserve"> (§</w:t>
            </w:r>
            <w:hyperlink w:anchor="Section_e1d590674b8849f19da10255d76b4ffa">
              <w:r>
                <w:rPr>
                  <w:rStyle w:val="Hyperlink"/>
                </w:rPr>
                <w:t>3.7.1.13, SignatureInfoV1</w:t>
              </w:r>
            </w:hyperlink>
            <w:r>
              <w:t>)</w:t>
            </w:r>
          </w:p>
        </w:tc>
      </w:tr>
    </w:tbl>
    <w:p w:rsidR="005F78FC" w:rsidRDefault="005F78FC"/>
    <w:p w:rsidR="005F78FC" w:rsidRDefault="00B42EF3">
      <w:r>
        <w:t>The following XML Schema fragment defines the contents of this element:</w:t>
      </w:r>
    </w:p>
    <w:p w:rsidR="005F78FC" w:rsidRDefault="00B42EF3">
      <w:pPr>
        <w:pStyle w:val="Code"/>
      </w:pPr>
      <w:r>
        <w:t>&lt;simpleType nam</w:t>
      </w:r>
      <w:r>
        <w:t>e="ST_PositiveInteger"&gt;</w:t>
      </w:r>
    </w:p>
    <w:p w:rsidR="005F78FC" w:rsidRDefault="00B42EF3">
      <w:pPr>
        <w:pStyle w:val="Code"/>
      </w:pPr>
      <w:r>
        <w:t xml:space="preserve">  &lt;restriction base="xsd:int"&gt;</w:t>
      </w:r>
    </w:p>
    <w:p w:rsidR="005F78FC" w:rsidRDefault="00B42EF3">
      <w:pPr>
        <w:pStyle w:val="Code"/>
      </w:pPr>
      <w:r>
        <w:t xml:space="preserve">    &lt;minExclusive value="0"/&gt;</w:t>
      </w:r>
    </w:p>
    <w:p w:rsidR="005F78FC" w:rsidRDefault="00B42EF3">
      <w:pPr>
        <w:pStyle w:val="Code"/>
      </w:pPr>
      <w:r>
        <w:t xml:space="preserve">  &lt;/restriction&gt;</w:t>
      </w:r>
    </w:p>
    <w:p w:rsidR="005F78FC" w:rsidRDefault="00B42EF3">
      <w:pPr>
        <w:pStyle w:val="Code"/>
      </w:pPr>
      <w:r>
        <w:t>&lt;/simpleType&gt;</w:t>
      </w:r>
    </w:p>
    <w:p w:rsidR="005F78FC" w:rsidRDefault="00B42EF3">
      <w:pPr>
        <w:pStyle w:val="Heading4"/>
      </w:pPr>
      <w:bookmarkStart w:id="4199" w:name="section_ae87853684e54213896f28ec7f70b4aa"/>
      <w:bookmarkStart w:id="4200" w:name="_Toc69879872"/>
      <w:r>
        <w:t>WindowsVersion (Windows Version)</w:t>
      </w:r>
      <w:bookmarkEnd w:id="4199"/>
      <w:bookmarkEnd w:id="4200"/>
      <w:r>
        <w:fldChar w:fldCharType="begin"/>
      </w:r>
      <w:r>
        <w:instrText xml:space="preserve"> XE "WindowsVersion (Windows Version)" </w:instrText>
      </w:r>
      <w:r>
        <w:fldChar w:fldCharType="end"/>
      </w:r>
    </w:p>
    <w:p w:rsidR="005F78FC" w:rsidRDefault="00B42EF3">
      <w:r>
        <w:t>Specifies the version of the operating system on which the digital</w:t>
      </w:r>
      <w:r>
        <w:t xml:space="preserve"> signature was created.</w:t>
      </w:r>
    </w:p>
    <w:p w:rsidR="005F78FC" w:rsidRDefault="00B42EF3">
      <w:r>
        <w:t>The possible values for this element are defined by the ST_Version simple type (§</w:t>
      </w:r>
      <w:hyperlink w:anchor="Section_9c80c836e9844ac89c825d2d5bf63221">
        <w:r>
          <w:rPr>
            <w:rStyle w:val="Hyperlink"/>
          </w:rPr>
          <w:t>3.7.2.7, ST_Version</w:t>
        </w:r>
      </w:hyperlink>
      <w:r>
        <w:t>).</w:t>
      </w:r>
    </w:p>
    <w:tbl>
      <w:tblPr>
        <w:tblStyle w:val="Table-ShadedHeader"/>
        <w:tblW w:w="0" w:type="auto"/>
        <w:tblLook w:val="04A0" w:firstRow="1" w:lastRow="0" w:firstColumn="1" w:lastColumn="0" w:noHBand="0" w:noVBand="1"/>
      </w:tblPr>
      <w:tblGrid>
        <w:gridCol w:w="4131"/>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Parent Elements</w:t>
            </w:r>
          </w:p>
        </w:tc>
      </w:tr>
      <w:tr w:rsidR="005F78FC" w:rsidTr="005F78FC">
        <w:tc>
          <w:tcPr>
            <w:tcW w:w="0" w:type="auto"/>
            <w:vAlign w:val="center"/>
          </w:tcPr>
          <w:p w:rsidR="005F78FC" w:rsidRDefault="00B42EF3">
            <w:pPr>
              <w:pStyle w:val="TableBodyText"/>
            </w:pPr>
            <w:r>
              <w:rPr>
                <w:b/>
              </w:rPr>
              <w:t>SignatureInfoV1</w:t>
            </w:r>
            <w:r>
              <w:t xml:space="preserve"> (§</w:t>
            </w:r>
            <w:hyperlink w:anchor="Section_e1d590674b8849f19da10255d76b4ffa">
              <w:r>
                <w:rPr>
                  <w:rStyle w:val="Hyperlink"/>
                </w:rPr>
                <w:t>3.7.1.13, SignatureInfoV1</w:t>
              </w:r>
            </w:hyperlink>
            <w:r>
              <w:t>)</w:t>
            </w:r>
          </w:p>
        </w:tc>
      </w:tr>
    </w:tbl>
    <w:p w:rsidR="005F78FC" w:rsidRDefault="005F78FC"/>
    <w:p w:rsidR="005F78FC" w:rsidRDefault="00B42EF3">
      <w:r>
        <w:t>The following XML Schema fragment defines the contents of this element:</w:t>
      </w:r>
    </w:p>
    <w:p w:rsidR="005F78FC" w:rsidRDefault="00B42EF3">
      <w:pPr>
        <w:pStyle w:val="Code"/>
      </w:pPr>
      <w:r>
        <w:t>&lt;simpleType name="ST_Version"&gt;</w:t>
      </w:r>
    </w:p>
    <w:p w:rsidR="005F78FC" w:rsidRDefault="00B42EF3">
      <w:pPr>
        <w:pStyle w:val="Code"/>
      </w:pPr>
      <w:r>
        <w:t xml:space="preserve">  &lt;restriction base="xsd:string"&gt;</w:t>
      </w:r>
    </w:p>
    <w:p w:rsidR="005F78FC" w:rsidRDefault="00B42EF3">
      <w:pPr>
        <w:pStyle w:val="Code"/>
      </w:pPr>
      <w:r>
        <w:t xml:space="preserve">    &lt;maxLength value="64"/&gt;</w:t>
      </w:r>
    </w:p>
    <w:p w:rsidR="005F78FC" w:rsidRDefault="00B42EF3">
      <w:pPr>
        <w:pStyle w:val="Code"/>
      </w:pPr>
      <w:r>
        <w:t xml:space="preserve">  &lt;/restriction&gt;</w:t>
      </w:r>
    </w:p>
    <w:p w:rsidR="005F78FC" w:rsidRDefault="00B42EF3">
      <w:pPr>
        <w:pStyle w:val="Code"/>
      </w:pPr>
      <w:r>
        <w:lastRenderedPageBreak/>
        <w:t>&lt;/simpleType&gt;</w:t>
      </w:r>
    </w:p>
    <w:p w:rsidR="005F78FC" w:rsidRDefault="00B42EF3">
      <w:pPr>
        <w:pStyle w:val="Heading3"/>
      </w:pPr>
      <w:bookmarkStart w:id="4201" w:name="section_b4881ca5844b40749239281e24d3de66"/>
      <w:bookmarkStart w:id="4202" w:name="_Toc69879873"/>
      <w:r>
        <w:t>Simple Types</w:t>
      </w:r>
      <w:bookmarkEnd w:id="4201"/>
      <w:bookmarkEnd w:id="4202"/>
      <w:r>
        <w:fldChar w:fldCharType="begin"/>
      </w:r>
      <w:r>
        <w:instrText xml:space="preserve"> XE "Simple Types" </w:instrText>
      </w:r>
      <w:r>
        <w:fldChar w:fldCharType="end"/>
      </w:r>
    </w:p>
    <w:p w:rsidR="005F78FC" w:rsidRDefault="00B42EF3">
      <w:r>
        <w:t>This is the complete list of simple types in the http://schemas.microsoft.com/office/2006/digsig namespace.</w:t>
      </w:r>
    </w:p>
    <w:p w:rsidR="005F78FC" w:rsidRDefault="00B42EF3">
      <w:pPr>
        <w:pStyle w:val="Heading4"/>
      </w:pPr>
      <w:bookmarkStart w:id="4203" w:name="section_03aa848c942d469c817522d4948e0eb2"/>
      <w:bookmarkStart w:id="4204" w:name="_Toc69879874"/>
      <w:r>
        <w:t>ST_PositiveInteger (Positive Integer)</w:t>
      </w:r>
      <w:bookmarkEnd w:id="4203"/>
      <w:bookmarkEnd w:id="4204"/>
      <w:r>
        <w:fldChar w:fldCharType="begin"/>
      </w:r>
      <w:r>
        <w:instrText xml:space="preserve"> XE "ST_PositiveInteger (Positive Integer)" </w:instrText>
      </w:r>
      <w:r>
        <w:fldChar w:fldCharType="end"/>
      </w:r>
    </w:p>
    <w:p w:rsidR="005F78FC" w:rsidRDefault="00B42EF3">
      <w:r>
        <w:t xml:space="preserve">This simple type's contents </w:t>
      </w:r>
      <w:r>
        <w:t>are a restriction of the XML Schema int datatype.</w:t>
      </w:r>
    </w:p>
    <w:p w:rsidR="005F78FC" w:rsidRDefault="00B42EF3">
      <w:r>
        <w:t>This simple type also specifies the following restrictions:</w:t>
      </w:r>
    </w:p>
    <w:p w:rsidR="005F78FC" w:rsidRDefault="00B42EF3">
      <w:pPr>
        <w:pStyle w:val="ListParagraph"/>
        <w:numPr>
          <w:ilvl w:val="0"/>
          <w:numId w:val="218"/>
        </w:numPr>
      </w:pPr>
      <w:r>
        <w:t>This simple type has a minimum value of greater than 0.</w:t>
      </w:r>
    </w:p>
    <w:tbl>
      <w:tblPr>
        <w:tblStyle w:val="Table-ShadedHeader"/>
        <w:tblW w:w="0" w:type="auto"/>
        <w:tblLook w:val="04A0" w:firstRow="1" w:lastRow="0" w:firstColumn="1" w:lastColumn="0" w:noHBand="0" w:noVBand="1"/>
      </w:tblPr>
      <w:tblGrid>
        <w:gridCol w:w="9475"/>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Referenced By</w:t>
            </w:r>
          </w:p>
        </w:tc>
      </w:tr>
      <w:tr w:rsidR="005F78FC" w:rsidTr="005F78FC">
        <w:tc>
          <w:tcPr>
            <w:tcW w:w="0" w:type="auto"/>
            <w:vAlign w:val="center"/>
          </w:tcPr>
          <w:p w:rsidR="005F78FC" w:rsidRDefault="00B42EF3">
            <w:pPr>
              <w:pStyle w:val="TableBodyText"/>
            </w:pPr>
            <w:r>
              <w:rPr>
                <w:b/>
              </w:rPr>
              <w:t>ColorDepth</w:t>
            </w:r>
            <w:r>
              <w:t xml:space="preserve"> (§</w:t>
            </w:r>
            <w:hyperlink w:anchor="Section_6011f8a6fcf4490385398e0bae26b7e7">
              <w:r>
                <w:rPr>
                  <w:rStyle w:val="Hyperlink"/>
                </w:rPr>
                <w:t>3.7.1.2, ColorDepth</w:t>
              </w:r>
            </w:hyperlink>
            <w:r>
              <w:t xml:space="preserve">); </w:t>
            </w:r>
            <w:r>
              <w:rPr>
                <w:b/>
              </w:rPr>
              <w:t>HorizontalResolution</w:t>
            </w:r>
            <w:r>
              <w:t xml:space="preserve"> (§</w:t>
            </w:r>
            <w:hyperlink w:anchor="Section_ee1023c3257842ec982b0963e5328487">
              <w:r>
                <w:rPr>
                  <w:rStyle w:val="Hyperlink"/>
                </w:rPr>
                <w:t>3.7.1.6, HorizontalResolution</w:t>
              </w:r>
            </w:hyperlink>
            <w:r>
              <w:t xml:space="preserve">); </w:t>
            </w:r>
            <w:r>
              <w:rPr>
                <w:b/>
              </w:rPr>
              <w:t>Monitors</w:t>
            </w:r>
            <w:r>
              <w:t xml:space="preserve"> (§</w:t>
            </w:r>
            <w:hyperlink w:anchor="Section_60d0016ce96e44b9907fad464b6d07c7">
              <w:r>
                <w:rPr>
                  <w:rStyle w:val="Hyperlink"/>
                </w:rPr>
                <w:t>3.7.1.8, Monitors</w:t>
              </w:r>
            </w:hyperlink>
            <w:r>
              <w:t xml:space="preserve">); </w:t>
            </w:r>
            <w:r>
              <w:rPr>
                <w:b/>
              </w:rPr>
              <w:t>VerticalResolution</w:t>
            </w:r>
            <w:r>
              <w:t xml:space="preserve"> (§</w:t>
            </w:r>
            <w:hyperlink w:anchor="Section_893fb101ec9d4f8c9153f02e1ab6312b">
              <w:r>
                <w:rPr>
                  <w:rStyle w:val="Hyperlink"/>
                </w:rPr>
                <w:t>3.7.1.19, VerticalResolution</w:t>
              </w:r>
            </w:hyperlink>
            <w:r>
              <w:t>)</w:t>
            </w:r>
          </w:p>
        </w:tc>
      </w:tr>
    </w:tbl>
    <w:p w:rsidR="005F78FC" w:rsidRDefault="005F78FC"/>
    <w:p w:rsidR="005F78FC" w:rsidRDefault="00B42EF3">
      <w:r>
        <w:t>The following XML Schema fragment defines the contents of this simple type:</w:t>
      </w:r>
    </w:p>
    <w:p w:rsidR="005F78FC" w:rsidRDefault="00B42EF3">
      <w:pPr>
        <w:pStyle w:val="Code"/>
      </w:pPr>
      <w:r>
        <w:t>&lt;simpleType name="ST_PositiveInteger"&gt;</w:t>
      </w:r>
    </w:p>
    <w:p w:rsidR="005F78FC" w:rsidRDefault="00B42EF3">
      <w:pPr>
        <w:pStyle w:val="Code"/>
      </w:pPr>
      <w:r>
        <w:t xml:space="preserve">  &lt;restriction base="xsd:int"&gt;</w:t>
      </w:r>
    </w:p>
    <w:p w:rsidR="005F78FC" w:rsidRDefault="00B42EF3">
      <w:pPr>
        <w:pStyle w:val="Code"/>
      </w:pPr>
      <w:r>
        <w:t xml:space="preserve">    &lt;minExclusi</w:t>
      </w:r>
      <w:r>
        <w:t>ve value="0"/&gt;</w:t>
      </w:r>
    </w:p>
    <w:p w:rsidR="005F78FC" w:rsidRDefault="00B42EF3">
      <w:pPr>
        <w:pStyle w:val="Code"/>
      </w:pPr>
      <w:r>
        <w:t xml:space="preserve">  &lt;/restriction&gt;</w:t>
      </w:r>
    </w:p>
    <w:p w:rsidR="005F78FC" w:rsidRDefault="00B42EF3">
      <w:pPr>
        <w:pStyle w:val="Code"/>
      </w:pPr>
      <w:r>
        <w:t>&lt;/simpleType&gt;</w:t>
      </w:r>
    </w:p>
    <w:p w:rsidR="005F78FC" w:rsidRDefault="00B42EF3">
      <w:pPr>
        <w:pStyle w:val="Heading4"/>
      </w:pPr>
      <w:bookmarkStart w:id="4205" w:name="section_4e92419771bc4dd7a396a223845eba27"/>
      <w:bookmarkStart w:id="4206" w:name="_Toc69879875"/>
      <w:r>
        <w:t>ST_SignatureComments (Signature Comments)</w:t>
      </w:r>
      <w:bookmarkEnd w:id="4205"/>
      <w:bookmarkEnd w:id="4206"/>
      <w:r>
        <w:fldChar w:fldCharType="begin"/>
      </w:r>
      <w:r>
        <w:instrText xml:space="preserve"> XE "ST_SignatureComments (Signature Comments)" </w:instrText>
      </w:r>
      <w:r>
        <w:fldChar w:fldCharType="end"/>
      </w:r>
    </w:p>
    <w:p w:rsidR="005F78FC" w:rsidRDefault="00B42EF3">
      <w:r>
        <w:t>This simple type's contents are a restriction of the XML Schema string datatype.</w:t>
      </w:r>
    </w:p>
    <w:p w:rsidR="005F78FC" w:rsidRDefault="00B42EF3">
      <w:r>
        <w:t xml:space="preserve">This simple type also specifies the </w:t>
      </w:r>
      <w:r>
        <w:t>following restrictions:</w:t>
      </w:r>
    </w:p>
    <w:p w:rsidR="005F78FC" w:rsidRDefault="00B42EF3">
      <w:pPr>
        <w:pStyle w:val="ListParagraph"/>
        <w:numPr>
          <w:ilvl w:val="0"/>
          <w:numId w:val="219"/>
        </w:numPr>
      </w:pPr>
      <w:r>
        <w:t>This simple type's contents have a maximum length of 255 characters.</w:t>
      </w:r>
    </w:p>
    <w:tbl>
      <w:tblPr>
        <w:tblStyle w:val="Table-ShadedHeader"/>
        <w:tblW w:w="0" w:type="auto"/>
        <w:tblLook w:val="04A0" w:firstRow="1" w:lastRow="0" w:firstColumn="1" w:lastColumn="0" w:noHBand="0" w:noVBand="1"/>
      </w:tblPr>
      <w:tblGrid>
        <w:gridCol w:w="4799"/>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Referenced By</w:t>
            </w:r>
          </w:p>
        </w:tc>
      </w:tr>
      <w:tr w:rsidR="005F78FC" w:rsidTr="005F78FC">
        <w:tc>
          <w:tcPr>
            <w:tcW w:w="0" w:type="auto"/>
            <w:vAlign w:val="center"/>
          </w:tcPr>
          <w:p w:rsidR="005F78FC" w:rsidRDefault="00B42EF3">
            <w:pPr>
              <w:pStyle w:val="TableBodyText"/>
            </w:pPr>
            <w:r>
              <w:rPr>
                <w:b/>
              </w:rPr>
              <w:t>SignatureComments</w:t>
            </w:r>
            <w:r>
              <w:t xml:space="preserve"> (§</w:t>
            </w:r>
            <w:hyperlink w:anchor="Section_ccba739517034b508c1eecb83dfa792b">
              <w:r>
                <w:rPr>
                  <w:rStyle w:val="Hyperlink"/>
                </w:rPr>
                <w:t>3.7.1.11, SignatureComments</w:t>
              </w:r>
            </w:hyperlink>
            <w:r>
              <w:t>)</w:t>
            </w:r>
          </w:p>
        </w:tc>
      </w:tr>
    </w:tbl>
    <w:p w:rsidR="005F78FC" w:rsidRDefault="005F78FC"/>
    <w:p w:rsidR="005F78FC" w:rsidRDefault="00B42EF3">
      <w:r>
        <w:t xml:space="preserve">The following XML Schema fragment </w:t>
      </w:r>
      <w:r>
        <w:t>defines the contents of this simple type:</w:t>
      </w:r>
    </w:p>
    <w:p w:rsidR="005F78FC" w:rsidRDefault="00B42EF3">
      <w:pPr>
        <w:pStyle w:val="Code"/>
      </w:pPr>
      <w:r>
        <w:t>&lt;simpleType name="ST_SignatureComments"&gt;</w:t>
      </w:r>
    </w:p>
    <w:p w:rsidR="005F78FC" w:rsidRDefault="00B42EF3">
      <w:pPr>
        <w:pStyle w:val="Code"/>
      </w:pPr>
      <w:r>
        <w:t xml:space="preserve">  &lt;restriction base="xsd:string"&gt;</w:t>
      </w:r>
    </w:p>
    <w:p w:rsidR="005F78FC" w:rsidRDefault="00B42EF3">
      <w:pPr>
        <w:pStyle w:val="Code"/>
      </w:pPr>
      <w:r>
        <w:t xml:space="preserve">    &lt;maxLength value="255"/&gt;</w:t>
      </w:r>
    </w:p>
    <w:p w:rsidR="005F78FC" w:rsidRDefault="00B42EF3">
      <w:pPr>
        <w:pStyle w:val="Code"/>
      </w:pPr>
      <w:r>
        <w:t xml:space="preserve">  &lt;/restriction&gt;</w:t>
      </w:r>
    </w:p>
    <w:p w:rsidR="005F78FC" w:rsidRDefault="00B42EF3">
      <w:pPr>
        <w:pStyle w:val="Code"/>
      </w:pPr>
      <w:r>
        <w:t>&lt;/simpleType&gt;</w:t>
      </w:r>
    </w:p>
    <w:p w:rsidR="005F78FC" w:rsidRDefault="00B42EF3">
      <w:pPr>
        <w:pStyle w:val="Heading4"/>
      </w:pPr>
      <w:bookmarkStart w:id="4207" w:name="section_2fdd7f10d23a40ee9431d04ec89bb73c"/>
      <w:bookmarkStart w:id="4208" w:name="_Toc69879876"/>
      <w:r>
        <w:t>ST_SignatureProviderUrl (Signature Provider URL)</w:t>
      </w:r>
      <w:bookmarkEnd w:id="4207"/>
      <w:bookmarkEnd w:id="4208"/>
      <w:r>
        <w:fldChar w:fldCharType="begin"/>
      </w:r>
      <w:r>
        <w:instrText xml:space="preserve"> XE "ST_SignatureProviderUrl (S</w:instrText>
      </w:r>
      <w:r>
        <w:instrText xml:space="preserve">ignature Provider URL)" </w:instrText>
      </w:r>
      <w:r>
        <w:fldChar w:fldCharType="end"/>
      </w:r>
    </w:p>
    <w:p w:rsidR="005F78FC" w:rsidRDefault="00B42EF3">
      <w:r>
        <w:t>This simple type's contents are a restriction of the XML Schema string datatype.</w:t>
      </w:r>
    </w:p>
    <w:p w:rsidR="005F78FC" w:rsidRDefault="00B42EF3">
      <w:r>
        <w:lastRenderedPageBreak/>
        <w:t>This simple type also specifies the following restrictions:</w:t>
      </w:r>
    </w:p>
    <w:p w:rsidR="005F78FC" w:rsidRDefault="00B42EF3">
      <w:pPr>
        <w:pStyle w:val="ListParagraph"/>
        <w:numPr>
          <w:ilvl w:val="0"/>
          <w:numId w:val="220"/>
        </w:numPr>
      </w:pPr>
      <w:r>
        <w:t>This simple type's contents have a maximum length of 2083 characters.</w:t>
      </w:r>
    </w:p>
    <w:tbl>
      <w:tblPr>
        <w:tblStyle w:val="Table-ShadedHeader"/>
        <w:tblW w:w="0" w:type="auto"/>
        <w:tblLook w:val="04A0" w:firstRow="1" w:lastRow="0" w:firstColumn="1" w:lastColumn="0" w:noHBand="0" w:noVBand="1"/>
      </w:tblPr>
      <w:tblGrid>
        <w:gridCol w:w="4904"/>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Referenced By</w:t>
            </w:r>
          </w:p>
        </w:tc>
      </w:tr>
      <w:tr w:rsidR="005F78FC" w:rsidTr="005F78FC">
        <w:tc>
          <w:tcPr>
            <w:tcW w:w="0" w:type="auto"/>
            <w:vAlign w:val="center"/>
          </w:tcPr>
          <w:p w:rsidR="005F78FC" w:rsidRDefault="00B42EF3">
            <w:pPr>
              <w:pStyle w:val="TableBodyText"/>
            </w:pPr>
            <w:r>
              <w:rPr>
                <w:b/>
              </w:rPr>
              <w:t>SignatureProviderUrl</w:t>
            </w:r>
            <w:r>
              <w:t xml:space="preserve"> (§</w:t>
            </w:r>
            <w:hyperlink w:anchor="Section_74b29f9a7df748178e172d784aadffe9">
              <w:r>
                <w:rPr>
                  <w:rStyle w:val="Hyperlink"/>
                </w:rPr>
                <w:t>3.7.1.16, SignatureProviderUrl</w:t>
              </w:r>
            </w:hyperlink>
            <w:r>
              <w:t>)</w:t>
            </w:r>
          </w:p>
        </w:tc>
      </w:tr>
    </w:tbl>
    <w:p w:rsidR="005F78FC" w:rsidRDefault="005F78FC"/>
    <w:p w:rsidR="005F78FC" w:rsidRDefault="00B42EF3">
      <w:r>
        <w:t>The following XML Schema fragment defines the contents of this simple type:</w:t>
      </w:r>
    </w:p>
    <w:p w:rsidR="005F78FC" w:rsidRDefault="00B42EF3">
      <w:pPr>
        <w:pStyle w:val="Code"/>
      </w:pPr>
      <w:r>
        <w:t>&lt;simpleType name="ST_SignatureProviderUrl"&gt;</w:t>
      </w:r>
    </w:p>
    <w:p w:rsidR="005F78FC" w:rsidRDefault="00B42EF3">
      <w:pPr>
        <w:pStyle w:val="Code"/>
      </w:pPr>
      <w:r>
        <w:t xml:space="preserve">  &lt;</w:t>
      </w:r>
      <w:r>
        <w:t>restriction base="xsd:string"&gt;</w:t>
      </w:r>
    </w:p>
    <w:p w:rsidR="005F78FC" w:rsidRDefault="00B42EF3">
      <w:pPr>
        <w:pStyle w:val="Code"/>
      </w:pPr>
      <w:r>
        <w:t xml:space="preserve">    &lt;maxLength value="2083"/&gt;</w:t>
      </w:r>
    </w:p>
    <w:p w:rsidR="005F78FC" w:rsidRDefault="00B42EF3">
      <w:pPr>
        <w:pStyle w:val="Code"/>
      </w:pPr>
      <w:r>
        <w:t xml:space="preserve">  &lt;/restriction&gt;</w:t>
      </w:r>
    </w:p>
    <w:p w:rsidR="005F78FC" w:rsidRDefault="00B42EF3">
      <w:pPr>
        <w:pStyle w:val="Code"/>
      </w:pPr>
      <w:r>
        <w:t>&lt;/simpleType&gt;</w:t>
      </w:r>
    </w:p>
    <w:p w:rsidR="005F78FC" w:rsidRDefault="00B42EF3">
      <w:pPr>
        <w:pStyle w:val="Heading4"/>
      </w:pPr>
      <w:bookmarkStart w:id="4209" w:name="section_4bac229a77b34557aa4ce93641da133d"/>
      <w:bookmarkStart w:id="4210" w:name="_Toc69879877"/>
      <w:r>
        <w:t>ST_SignatureText (Signature Text)</w:t>
      </w:r>
      <w:bookmarkEnd w:id="4209"/>
      <w:bookmarkEnd w:id="4210"/>
      <w:r>
        <w:fldChar w:fldCharType="begin"/>
      </w:r>
      <w:r>
        <w:instrText xml:space="preserve"> XE "ST_SignatureText (Signature Text)" </w:instrText>
      </w:r>
      <w:r>
        <w:fldChar w:fldCharType="end"/>
      </w:r>
    </w:p>
    <w:p w:rsidR="005F78FC" w:rsidRDefault="00B42EF3">
      <w:r>
        <w:t>This simple type's contents are a restriction of the XML Schema string datatype.</w:t>
      </w:r>
    </w:p>
    <w:p w:rsidR="005F78FC" w:rsidRDefault="00B42EF3">
      <w:r>
        <w:t>This si</w:t>
      </w:r>
      <w:r>
        <w:t>mple type also specifies the following restrictions:</w:t>
      </w:r>
    </w:p>
    <w:p w:rsidR="005F78FC" w:rsidRDefault="00B42EF3">
      <w:pPr>
        <w:pStyle w:val="ListParagraph"/>
        <w:numPr>
          <w:ilvl w:val="0"/>
          <w:numId w:val="221"/>
        </w:numPr>
      </w:pPr>
      <w:r>
        <w:t>This simple type's contents have a maximum length of 100 characters.</w:t>
      </w:r>
    </w:p>
    <w:tbl>
      <w:tblPr>
        <w:tblStyle w:val="Table-ShadedHeader"/>
        <w:tblW w:w="0" w:type="auto"/>
        <w:tblLook w:val="04A0" w:firstRow="1" w:lastRow="0" w:firstColumn="1" w:lastColumn="0" w:noHBand="0" w:noVBand="1"/>
      </w:tblPr>
      <w:tblGrid>
        <w:gridCol w:w="3730"/>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Referenced By</w:t>
            </w:r>
          </w:p>
        </w:tc>
      </w:tr>
      <w:tr w:rsidR="005F78FC" w:rsidTr="005F78FC">
        <w:tc>
          <w:tcPr>
            <w:tcW w:w="0" w:type="auto"/>
            <w:vAlign w:val="center"/>
          </w:tcPr>
          <w:p w:rsidR="005F78FC" w:rsidRDefault="00B42EF3">
            <w:pPr>
              <w:pStyle w:val="TableBodyText"/>
            </w:pPr>
            <w:r>
              <w:rPr>
                <w:b/>
              </w:rPr>
              <w:t>SignatureText</w:t>
            </w:r>
            <w:r>
              <w:t xml:space="preserve"> (§</w:t>
            </w:r>
            <w:hyperlink w:anchor="Section_1821e4f974df4c2f83261b8cfbf05832">
              <w:r>
                <w:rPr>
                  <w:rStyle w:val="Hyperlink"/>
                </w:rPr>
                <w:t>3.7.1.17, SignatureText</w:t>
              </w:r>
            </w:hyperlink>
            <w:r>
              <w:t>)</w:t>
            </w:r>
          </w:p>
        </w:tc>
      </w:tr>
    </w:tbl>
    <w:p w:rsidR="005F78FC" w:rsidRDefault="005F78FC"/>
    <w:p w:rsidR="005F78FC" w:rsidRDefault="00B42EF3">
      <w:r>
        <w:t>The following</w:t>
      </w:r>
      <w:r>
        <w:t xml:space="preserve"> XML Schema fragment defines the contents of this simple type:</w:t>
      </w:r>
    </w:p>
    <w:p w:rsidR="005F78FC" w:rsidRDefault="00B42EF3">
      <w:pPr>
        <w:pStyle w:val="Code"/>
      </w:pPr>
      <w:r>
        <w:t>&lt;simpleType name="ST_SignatureText"&gt;</w:t>
      </w:r>
    </w:p>
    <w:p w:rsidR="005F78FC" w:rsidRDefault="00B42EF3">
      <w:pPr>
        <w:pStyle w:val="Code"/>
      </w:pPr>
      <w:r>
        <w:t xml:space="preserve">  &lt;restriction base="xsd:string"&gt;</w:t>
      </w:r>
    </w:p>
    <w:p w:rsidR="005F78FC" w:rsidRDefault="00B42EF3">
      <w:pPr>
        <w:pStyle w:val="Code"/>
      </w:pPr>
      <w:r>
        <w:t xml:space="preserve">    &lt;maxLength value="100"/&gt;</w:t>
      </w:r>
    </w:p>
    <w:p w:rsidR="005F78FC" w:rsidRDefault="00B42EF3">
      <w:pPr>
        <w:pStyle w:val="Code"/>
      </w:pPr>
      <w:r>
        <w:t xml:space="preserve">  &lt;/restriction&gt;</w:t>
      </w:r>
    </w:p>
    <w:p w:rsidR="005F78FC" w:rsidRDefault="00B42EF3">
      <w:pPr>
        <w:pStyle w:val="Code"/>
      </w:pPr>
      <w:r>
        <w:t>&lt;/simpleType&gt;</w:t>
      </w:r>
    </w:p>
    <w:p w:rsidR="005F78FC" w:rsidRDefault="00B42EF3">
      <w:pPr>
        <w:pStyle w:val="Heading4"/>
      </w:pPr>
      <w:bookmarkStart w:id="4211" w:name="section_65d1befb272a48f59a5b3896300299ee"/>
      <w:bookmarkStart w:id="4212" w:name="_Toc69879878"/>
      <w:r>
        <w:t>ST_SignatureType (Signature Type)</w:t>
      </w:r>
      <w:bookmarkEnd w:id="4211"/>
      <w:bookmarkEnd w:id="4212"/>
      <w:r>
        <w:fldChar w:fldCharType="begin"/>
      </w:r>
      <w:r>
        <w:instrText xml:space="preserve"> XE "ST_SignatureType (Signat</w:instrText>
      </w:r>
      <w:r>
        <w:instrText xml:space="preserve">ure Type)" </w:instrText>
      </w:r>
      <w:r>
        <w:fldChar w:fldCharType="end"/>
      </w:r>
    </w:p>
    <w:p w:rsidR="005F78FC" w:rsidRDefault="00B42EF3">
      <w:r>
        <w:t>This simple type's contents are a restriction of the XML Schema int datatype.</w:t>
      </w:r>
    </w:p>
    <w:p w:rsidR="005F78FC" w:rsidRDefault="00B42EF3">
      <w:r>
        <w:t>The following are possible enumeration values for this type:</w:t>
      </w:r>
    </w:p>
    <w:tbl>
      <w:tblPr>
        <w:tblStyle w:val="Table-ShadedHeader"/>
        <w:tblW w:w="0" w:type="auto"/>
        <w:tblLook w:val="04A0" w:firstRow="1" w:lastRow="0" w:firstColumn="1" w:lastColumn="0" w:noHBand="0" w:noVBand="1"/>
      </w:tblPr>
      <w:tblGrid>
        <w:gridCol w:w="1598"/>
        <w:gridCol w:w="7877"/>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Enumeration Value</w:t>
            </w:r>
          </w:p>
        </w:tc>
        <w:tc>
          <w:tcPr>
            <w:tcW w:w="0" w:type="auto"/>
            <w:vAlign w:val="center"/>
          </w:tcPr>
          <w:p w:rsidR="005F78FC" w:rsidRDefault="00B42EF3">
            <w:pPr>
              <w:pStyle w:val="TableHeaderText"/>
            </w:pPr>
            <w:r>
              <w:t>Description</w:t>
            </w:r>
          </w:p>
        </w:tc>
      </w:tr>
      <w:tr w:rsidR="005F78FC" w:rsidTr="005F78FC">
        <w:tc>
          <w:tcPr>
            <w:tcW w:w="0" w:type="auto"/>
            <w:vAlign w:val="center"/>
          </w:tcPr>
          <w:p w:rsidR="005F78FC" w:rsidRDefault="00B42EF3">
            <w:pPr>
              <w:pStyle w:val="TableBodyText"/>
            </w:pPr>
            <w:r>
              <w:rPr>
                <w:b/>
              </w:rPr>
              <w:t>1</w:t>
            </w:r>
            <w:r>
              <w:t xml:space="preserve"> (Invisible)</w:t>
            </w:r>
          </w:p>
        </w:tc>
        <w:tc>
          <w:tcPr>
            <w:tcW w:w="0" w:type="auto"/>
            <w:vAlign w:val="center"/>
          </w:tcPr>
          <w:p w:rsidR="005F78FC" w:rsidRDefault="00B42EF3">
            <w:pPr>
              <w:pStyle w:val="TableBodyText"/>
            </w:pPr>
            <w:r>
              <w:t>Specifies that there shall not be a visible representation</w:t>
            </w:r>
            <w:r>
              <w:t xml:space="preserve"> of the digital signature.</w:t>
            </w:r>
          </w:p>
        </w:tc>
      </w:tr>
      <w:tr w:rsidR="005F78FC" w:rsidTr="005F78FC">
        <w:tc>
          <w:tcPr>
            <w:tcW w:w="0" w:type="auto"/>
            <w:vAlign w:val="center"/>
          </w:tcPr>
          <w:p w:rsidR="005F78FC" w:rsidRDefault="00B42EF3">
            <w:pPr>
              <w:pStyle w:val="TableBodyText"/>
            </w:pPr>
            <w:r>
              <w:rPr>
                <w:b/>
              </w:rPr>
              <w:t>2</w:t>
            </w:r>
            <w:r>
              <w:t xml:space="preserve"> (Signature Line)</w:t>
            </w:r>
          </w:p>
        </w:tc>
        <w:tc>
          <w:tcPr>
            <w:tcW w:w="0" w:type="auto"/>
            <w:vAlign w:val="center"/>
          </w:tcPr>
          <w:p w:rsidR="005F78FC" w:rsidRDefault="00B42EF3">
            <w:pPr>
              <w:pStyle w:val="TableBodyText"/>
            </w:pPr>
            <w:r>
              <w:t xml:space="preserve">Specifies that there shall be a visible representation of the digital signature, where the </w:t>
            </w:r>
            <w:r>
              <w:rPr>
                <w:b/>
              </w:rPr>
              <w:t xml:space="preserve">GUID </w:t>
            </w:r>
            <w:r>
              <w:t xml:space="preserve">of the visible representation (the signature line stored in the document content) shall match the value of the </w:t>
            </w:r>
            <w:r>
              <w:rPr>
                <w:b/>
              </w:rPr>
              <w:t>Se</w:t>
            </w:r>
            <w:r>
              <w:rPr>
                <w:b/>
              </w:rPr>
              <w:t>tupId</w:t>
            </w:r>
            <w:r>
              <w:t xml:space="preserve"> element.</w:t>
            </w:r>
          </w:p>
        </w:tc>
      </w:tr>
    </w:tbl>
    <w:p w:rsidR="005F78FC" w:rsidRDefault="005F78FC"/>
    <w:p w:rsidR="005F78FC" w:rsidRDefault="005F78FC"/>
    <w:tbl>
      <w:tblPr>
        <w:tblStyle w:val="Table-ShadedHeader"/>
        <w:tblW w:w="0" w:type="auto"/>
        <w:tblLook w:val="04A0" w:firstRow="1" w:lastRow="0" w:firstColumn="1" w:lastColumn="0" w:noHBand="0" w:noVBand="1"/>
      </w:tblPr>
      <w:tblGrid>
        <w:gridCol w:w="3803"/>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lastRenderedPageBreak/>
              <w:t>Referenced By</w:t>
            </w:r>
          </w:p>
        </w:tc>
      </w:tr>
      <w:tr w:rsidR="005F78FC" w:rsidTr="005F78FC">
        <w:tc>
          <w:tcPr>
            <w:tcW w:w="0" w:type="auto"/>
            <w:vAlign w:val="center"/>
          </w:tcPr>
          <w:p w:rsidR="005F78FC" w:rsidRDefault="00B42EF3">
            <w:pPr>
              <w:pStyle w:val="TableBodyText"/>
            </w:pPr>
            <w:r>
              <w:rPr>
                <w:b/>
              </w:rPr>
              <w:t>SignatureType</w:t>
            </w:r>
            <w:r>
              <w:t xml:space="preserve"> (§</w:t>
            </w:r>
            <w:hyperlink w:anchor="Section_f57f4e24eab6408c9e521bdd530a42f2">
              <w:r>
                <w:rPr>
                  <w:rStyle w:val="Hyperlink"/>
                </w:rPr>
                <w:t>3.7.1.18, SignatureType</w:t>
              </w:r>
            </w:hyperlink>
            <w:r>
              <w:t>)</w:t>
            </w:r>
          </w:p>
        </w:tc>
      </w:tr>
    </w:tbl>
    <w:p w:rsidR="005F78FC" w:rsidRDefault="005F78FC"/>
    <w:p w:rsidR="005F78FC" w:rsidRDefault="00B42EF3">
      <w:r>
        <w:t>The following XML Schema fragment defines the contents of this simple type:</w:t>
      </w:r>
    </w:p>
    <w:p w:rsidR="005F78FC" w:rsidRDefault="00B42EF3">
      <w:pPr>
        <w:pStyle w:val="Code"/>
      </w:pPr>
      <w:r>
        <w:t>&lt;simpleType name="ST_SignatureType"&gt;</w:t>
      </w:r>
    </w:p>
    <w:p w:rsidR="005F78FC" w:rsidRDefault="00B42EF3">
      <w:pPr>
        <w:pStyle w:val="Code"/>
      </w:pPr>
      <w:r>
        <w:t xml:space="preserve">  &lt;</w:t>
      </w:r>
      <w:r>
        <w:t>restriction base="xsd:int"&gt;</w:t>
      </w:r>
    </w:p>
    <w:p w:rsidR="005F78FC" w:rsidRDefault="00B42EF3">
      <w:pPr>
        <w:pStyle w:val="Code"/>
      </w:pPr>
      <w:r>
        <w:t xml:space="preserve">    &lt;enumeration value="1"/&gt;</w:t>
      </w:r>
    </w:p>
    <w:p w:rsidR="005F78FC" w:rsidRDefault="00B42EF3">
      <w:pPr>
        <w:pStyle w:val="Code"/>
      </w:pPr>
      <w:r>
        <w:t xml:space="preserve">    &lt;enumeration value="2"/&gt;</w:t>
      </w:r>
    </w:p>
    <w:p w:rsidR="005F78FC" w:rsidRDefault="00B42EF3">
      <w:pPr>
        <w:pStyle w:val="Code"/>
      </w:pPr>
      <w:r>
        <w:t xml:space="preserve">  &lt;/restriction&gt;</w:t>
      </w:r>
    </w:p>
    <w:p w:rsidR="005F78FC" w:rsidRDefault="00B42EF3">
      <w:pPr>
        <w:pStyle w:val="Code"/>
      </w:pPr>
      <w:r>
        <w:t>&lt;/simpleType&gt;</w:t>
      </w:r>
    </w:p>
    <w:p w:rsidR="005F78FC" w:rsidRDefault="00B42EF3">
      <w:pPr>
        <w:pStyle w:val="Heading4"/>
      </w:pPr>
      <w:bookmarkStart w:id="4213" w:name="section_6478af0db7b4409889c50d291a9cf0ce"/>
      <w:bookmarkStart w:id="4214" w:name="_Toc69879879"/>
      <w:r>
        <w:t>ST_UniqueIdentifierWithBraces (Unique Identifier with Braces)</w:t>
      </w:r>
      <w:bookmarkEnd w:id="4213"/>
      <w:bookmarkEnd w:id="4214"/>
      <w:r>
        <w:fldChar w:fldCharType="begin"/>
      </w:r>
      <w:r>
        <w:instrText xml:space="preserve"> XE "ST_UniqueIdentifierWithBraces (Unique Identifier with Braces)" </w:instrText>
      </w:r>
      <w:r>
        <w:fldChar w:fldCharType="end"/>
      </w:r>
    </w:p>
    <w:p w:rsidR="005F78FC" w:rsidRDefault="00B42EF3">
      <w:r>
        <w:t>This si</w:t>
      </w:r>
      <w:r>
        <w:t>mple type's contents are a restriction of the XML Schema string datatype.</w:t>
      </w:r>
    </w:p>
    <w:p w:rsidR="005F78FC" w:rsidRDefault="00B42EF3">
      <w:r>
        <w:t>This simple type also specifies the following restrictions:</w:t>
      </w:r>
    </w:p>
    <w:p w:rsidR="005F78FC" w:rsidRDefault="00B42EF3">
      <w:pPr>
        <w:pStyle w:val="ListParagraph"/>
        <w:numPr>
          <w:ilvl w:val="0"/>
          <w:numId w:val="222"/>
        </w:numPr>
      </w:pPr>
      <w:r>
        <w:t xml:space="preserve">This simple type's contents shall match the following regular expression pattern: </w:t>
      </w:r>
      <w:r>
        <w:t>\{[0-9a-fA-F]{8}\-[0-9a-fA-F]{4}\-[0-9a-fA-F]{4}\-[0-9a-fA-F]{4}\-[0-9a-fA-F]{12}\}|.</w:t>
      </w:r>
    </w:p>
    <w:tbl>
      <w:tblPr>
        <w:tblStyle w:val="Table-ShadedHeader"/>
        <w:tblW w:w="0" w:type="auto"/>
        <w:tblLook w:val="04A0" w:firstRow="1" w:lastRow="0" w:firstColumn="1" w:lastColumn="0" w:noHBand="0" w:noVBand="1"/>
      </w:tblPr>
      <w:tblGrid>
        <w:gridCol w:w="7404"/>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Referenced By</w:t>
            </w:r>
          </w:p>
        </w:tc>
      </w:tr>
      <w:tr w:rsidR="005F78FC" w:rsidTr="005F78FC">
        <w:tc>
          <w:tcPr>
            <w:tcW w:w="0" w:type="auto"/>
            <w:vAlign w:val="center"/>
          </w:tcPr>
          <w:p w:rsidR="005F78FC" w:rsidRDefault="00B42EF3">
            <w:pPr>
              <w:pStyle w:val="TableBodyText"/>
            </w:pPr>
            <w:r>
              <w:rPr>
                <w:b/>
              </w:rPr>
              <w:t>SetupID</w:t>
            </w:r>
            <w:r>
              <w:t xml:space="preserve"> (§</w:t>
            </w:r>
            <w:hyperlink w:anchor="Section_0bc6416855b2438bb0db2ffc5bb065de">
              <w:r>
                <w:rPr>
                  <w:rStyle w:val="Hyperlink"/>
                </w:rPr>
                <w:t>3.7.1.10, SetupID</w:t>
              </w:r>
            </w:hyperlink>
            <w:r>
              <w:t xml:space="preserve">); </w:t>
            </w:r>
            <w:r>
              <w:rPr>
                <w:b/>
              </w:rPr>
              <w:t>SignatureProviderId</w:t>
            </w:r>
            <w:r>
              <w:t xml:space="preserve"> (§</w:t>
            </w:r>
            <w:hyperlink w:anchor="Section_67ad36eae0d24df6b7e1c3dc0d6b32ea">
              <w:r>
                <w:rPr>
                  <w:rStyle w:val="Hyperlink"/>
                </w:rPr>
                <w:t>3.7.1.15, SignatureProviderId</w:t>
              </w:r>
            </w:hyperlink>
            <w:r>
              <w:t>)</w:t>
            </w:r>
          </w:p>
        </w:tc>
      </w:tr>
    </w:tbl>
    <w:p w:rsidR="005F78FC" w:rsidRDefault="005F78FC"/>
    <w:p w:rsidR="005F78FC" w:rsidRDefault="00B42EF3">
      <w:r>
        <w:t>The following XML Schema fragment defines the contents of this simple type:</w:t>
      </w:r>
    </w:p>
    <w:p w:rsidR="005F78FC" w:rsidRDefault="00B42EF3">
      <w:pPr>
        <w:pStyle w:val="Code"/>
      </w:pPr>
      <w:r>
        <w:t>&lt;simpleType name="ST_UniqueIdentifierWithBraces"&gt;</w:t>
      </w:r>
    </w:p>
    <w:p w:rsidR="005F78FC" w:rsidRDefault="00B42EF3">
      <w:pPr>
        <w:pStyle w:val="Code"/>
      </w:pPr>
      <w:r>
        <w:t xml:space="preserve">  &lt;restriction base="xsd:string"&gt;</w:t>
      </w:r>
    </w:p>
    <w:p w:rsidR="005F78FC" w:rsidRDefault="00B42EF3">
      <w:pPr>
        <w:pStyle w:val="Code"/>
      </w:pPr>
      <w:r>
        <w:t xml:space="preserve">    &lt;</w:t>
      </w:r>
      <w:r>
        <w:t>pattern value="\{[0-9a-fA-F]{8}\-[0-9a-fA-F]{4}\-[0-9a-fA-F]{4}\-[0-9a-fA-F]{4}\-[0-9a-fA-F]{12}\}|"/&gt;</w:t>
      </w:r>
    </w:p>
    <w:p w:rsidR="005F78FC" w:rsidRDefault="00B42EF3">
      <w:pPr>
        <w:pStyle w:val="Code"/>
      </w:pPr>
      <w:r>
        <w:t xml:space="preserve">  &lt;/restriction&gt;</w:t>
      </w:r>
    </w:p>
    <w:p w:rsidR="005F78FC" w:rsidRDefault="00B42EF3">
      <w:pPr>
        <w:pStyle w:val="Code"/>
      </w:pPr>
      <w:r>
        <w:t>&lt;/simpleType&gt;</w:t>
      </w:r>
    </w:p>
    <w:p w:rsidR="005F78FC" w:rsidRDefault="00B42EF3">
      <w:pPr>
        <w:pStyle w:val="Heading4"/>
      </w:pPr>
      <w:bookmarkStart w:id="4215" w:name="section_9c80c836e9844ac89c825d2d5bf63221"/>
      <w:bookmarkStart w:id="4216" w:name="_Toc69879880"/>
      <w:r>
        <w:t>ST_Version (Version)</w:t>
      </w:r>
      <w:bookmarkEnd w:id="4215"/>
      <w:bookmarkEnd w:id="4216"/>
      <w:r>
        <w:fldChar w:fldCharType="begin"/>
      </w:r>
      <w:r>
        <w:instrText xml:space="preserve"> XE "ST_Version (Version)" </w:instrText>
      </w:r>
      <w:r>
        <w:fldChar w:fldCharType="end"/>
      </w:r>
    </w:p>
    <w:p w:rsidR="005F78FC" w:rsidRDefault="00B42EF3">
      <w:r>
        <w:t xml:space="preserve">Specifies a version number in the form </w:t>
      </w:r>
      <w:r>
        <w:rPr>
          <w:i/>
        </w:rPr>
        <w:t>X.Y</w:t>
      </w:r>
      <w:r>
        <w:t xml:space="preserve">, where </w:t>
      </w:r>
      <w:r>
        <w:rPr>
          <w:i/>
        </w:rPr>
        <w:t>X</w:t>
      </w:r>
      <w:r>
        <w:t xml:space="preserve"> is the major version</w:t>
      </w:r>
      <w:r>
        <w:t xml:space="preserve"> number and </w:t>
      </w:r>
      <w:r>
        <w:rPr>
          <w:i/>
        </w:rPr>
        <w:t>Y</w:t>
      </w:r>
      <w:r>
        <w:t xml:space="preserve"> is the minor version number.</w:t>
      </w:r>
    </w:p>
    <w:p w:rsidR="005F78FC" w:rsidRDefault="00B42EF3">
      <w:r>
        <w:t>This simple type's contents are a restriction of the XML Schema string datatype.</w:t>
      </w:r>
    </w:p>
    <w:p w:rsidR="005F78FC" w:rsidRDefault="00B42EF3">
      <w:r>
        <w:t>This simple type also specifies the following restrictions:</w:t>
      </w:r>
    </w:p>
    <w:p w:rsidR="005F78FC" w:rsidRDefault="00B42EF3">
      <w:pPr>
        <w:pStyle w:val="ListParagraph"/>
        <w:numPr>
          <w:ilvl w:val="0"/>
          <w:numId w:val="223"/>
        </w:numPr>
      </w:pPr>
      <w:r>
        <w:t>This simple type's contents have a maximum length of 64 characters.</w:t>
      </w:r>
    </w:p>
    <w:tbl>
      <w:tblPr>
        <w:tblStyle w:val="Table-ShadedHeader"/>
        <w:tblW w:w="0" w:type="auto"/>
        <w:tblLook w:val="04A0" w:firstRow="1" w:lastRow="0" w:firstColumn="1" w:lastColumn="0" w:noHBand="0" w:noVBand="1"/>
      </w:tblPr>
      <w:tblGrid>
        <w:gridCol w:w="9475"/>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Refe</w:t>
            </w:r>
            <w:r>
              <w:t>renced By</w:t>
            </w:r>
          </w:p>
        </w:tc>
      </w:tr>
      <w:tr w:rsidR="005F78FC" w:rsidTr="005F78FC">
        <w:tc>
          <w:tcPr>
            <w:tcW w:w="0" w:type="auto"/>
            <w:vAlign w:val="center"/>
          </w:tcPr>
          <w:p w:rsidR="005F78FC" w:rsidRDefault="00B42EF3">
            <w:pPr>
              <w:pStyle w:val="TableBodyText"/>
            </w:pPr>
            <w:r>
              <w:rPr>
                <w:b/>
              </w:rPr>
              <w:t>ApplicationVersion</w:t>
            </w:r>
            <w:r>
              <w:t xml:space="preserve"> (§</w:t>
            </w:r>
            <w:hyperlink w:anchor="Section_38917d35404040a79ad61d6b07d983f4">
              <w:r>
                <w:rPr>
                  <w:rStyle w:val="Hyperlink"/>
                </w:rPr>
                <w:t>3.7.1.1, ApplicationVersion</w:t>
              </w:r>
            </w:hyperlink>
            <w:r>
              <w:t xml:space="preserve">); </w:t>
            </w:r>
            <w:r>
              <w:rPr>
                <w:b/>
              </w:rPr>
              <w:t>OfficeVersion</w:t>
            </w:r>
            <w:r>
              <w:t xml:space="preserve"> (§</w:t>
            </w:r>
            <w:hyperlink w:anchor="Section_23222e735ee349129a22bfb0fc14d075">
              <w:r>
                <w:rPr>
                  <w:rStyle w:val="Hyperlink"/>
                </w:rPr>
                <w:t>3.7.1.9, OfficeVersion</w:t>
              </w:r>
            </w:hyperlink>
            <w:r>
              <w:t xml:space="preserve">); </w:t>
            </w:r>
            <w:r>
              <w:rPr>
                <w:b/>
              </w:rPr>
              <w:t>WindowsVersion</w:t>
            </w:r>
            <w:r>
              <w:t xml:space="preserve"> (§</w:t>
            </w:r>
            <w:hyperlink w:anchor="Section_ae87853684e54213896f28ec7f70b4aa">
              <w:r>
                <w:rPr>
                  <w:rStyle w:val="Hyperlink"/>
                </w:rPr>
                <w:t>3.7.1.20, WindowsVersion</w:t>
              </w:r>
            </w:hyperlink>
            <w:r>
              <w:t>)</w:t>
            </w:r>
          </w:p>
        </w:tc>
      </w:tr>
    </w:tbl>
    <w:p w:rsidR="005F78FC" w:rsidRDefault="005F78FC"/>
    <w:p w:rsidR="005F78FC" w:rsidRDefault="00B42EF3">
      <w:r>
        <w:lastRenderedPageBreak/>
        <w:t>The following XML Schema fragment defines the contents of this simple type:</w:t>
      </w:r>
    </w:p>
    <w:p w:rsidR="005F78FC" w:rsidRDefault="00B42EF3">
      <w:pPr>
        <w:pStyle w:val="Code"/>
      </w:pPr>
      <w:r>
        <w:t>&lt;simpleType name="ST_Version"&gt;</w:t>
      </w:r>
    </w:p>
    <w:p w:rsidR="005F78FC" w:rsidRDefault="00B42EF3">
      <w:pPr>
        <w:pStyle w:val="Code"/>
      </w:pPr>
      <w:r>
        <w:t xml:space="preserve">  &lt;restriction base="xsd:string"&gt;</w:t>
      </w:r>
    </w:p>
    <w:p w:rsidR="005F78FC" w:rsidRDefault="00B42EF3">
      <w:pPr>
        <w:pStyle w:val="Code"/>
      </w:pPr>
      <w:r>
        <w:t xml:space="preserve">    &lt;maxLength value="64"/&gt;</w:t>
      </w:r>
    </w:p>
    <w:p w:rsidR="005F78FC" w:rsidRDefault="00B42EF3">
      <w:pPr>
        <w:pStyle w:val="Code"/>
      </w:pPr>
      <w:r>
        <w:t xml:space="preserve">  &lt;</w:t>
      </w:r>
      <w:r>
        <w:t>/restriction&gt;</w:t>
      </w:r>
    </w:p>
    <w:p w:rsidR="005F78FC" w:rsidRDefault="00B42EF3">
      <w:pPr>
        <w:pStyle w:val="Code"/>
      </w:pPr>
      <w:r>
        <w:t>&lt;/simpleType&gt;</w:t>
      </w:r>
    </w:p>
    <w:p w:rsidR="005F78FC" w:rsidRDefault="00B42EF3">
      <w:pPr>
        <w:pStyle w:val="Heading2"/>
      </w:pPr>
      <w:bookmarkStart w:id="4217" w:name="section_f6bb45e674ca4e37a30b13a40d6ea3ff"/>
      <w:bookmarkStart w:id="4218" w:name="_Toc69879881"/>
      <w:r>
        <w:t>Equation XML</w:t>
      </w:r>
      <w:bookmarkEnd w:id="4217"/>
      <w:bookmarkEnd w:id="4218"/>
    </w:p>
    <w:p w:rsidR="005F78FC" w:rsidRDefault="00B42EF3">
      <w:pPr>
        <w:pStyle w:val="Heading3"/>
      </w:pPr>
      <w:bookmarkStart w:id="4219" w:name="section_d107771466614178b6dfaa3272635214"/>
      <w:bookmarkStart w:id="4220" w:name="_Toc69879882"/>
      <w:r>
        <w:t>Introduction</w:t>
      </w:r>
      <w:bookmarkEnd w:id="4219"/>
      <w:bookmarkEnd w:id="4220"/>
      <w:r>
        <w:fldChar w:fldCharType="begin"/>
      </w:r>
      <w:r>
        <w:instrText xml:space="preserve"> XE "Introduction" </w:instrText>
      </w:r>
      <w:r>
        <w:fldChar w:fldCharType="end"/>
      </w:r>
    </w:p>
    <w:p w:rsidR="005F78FC" w:rsidRDefault="00B42EF3">
      <w:r>
        <w:t>Word supports a Compatibility Mode in which it disables functionality not compatible with earlier versions of Word. Versions of Word prior to Word 2007 do not have native support fo</w:t>
      </w:r>
      <w:r>
        <w:t>r displaying Office Open XML Math.  Instances of Office Open XML Math in Word documents are converted to pictures to preserve their visual fidelity when opened in versions of Word earlier than Word 2007. To do this, Word adds additional information to thos</w:t>
      </w:r>
      <w:r>
        <w:t xml:space="preserve">e pictures, using the </w:t>
      </w:r>
      <w:r>
        <w:rPr>
          <w:b/>
        </w:rPr>
        <w:t>equationxml</w:t>
      </w:r>
      <w:r>
        <w:t xml:space="preserve"> attribute present on the </w:t>
      </w:r>
      <w:r>
        <w:rPr>
          <w:b/>
        </w:rPr>
        <w:t>shape</w:t>
      </w:r>
      <w:r>
        <w:t xml:space="preserve"> element ("</w:t>
      </w:r>
      <w:hyperlink r:id="rId382">
        <w:r>
          <w:rPr>
            <w:rStyle w:val="Hyperlink"/>
          </w:rPr>
          <w:t>[ISO/IEC-29500-4]</w:t>
        </w:r>
      </w:hyperlink>
      <w:r>
        <w:t xml:space="preserve"> §19.1.2.19; shape (Shape Definition)"), to store the Office Open XML Math which represents the original equation/expression. If the document is removed from Compatibility Mode, the contents of this attribute are then used to replace the image with the spe</w:t>
      </w:r>
      <w:r>
        <w:t>cified equation/expression.</w:t>
      </w:r>
    </w:p>
    <w:p w:rsidR="005F78FC" w:rsidRDefault="00B42EF3">
      <w:r>
        <w:t xml:space="preserve">This document describes the format in which Word 2007, Word 2010, or earlier versions of Word with the Compatibility Pack, store Office Open XML Math content inside the </w:t>
      </w:r>
      <w:r>
        <w:rPr>
          <w:b/>
        </w:rPr>
        <w:t>equationxml</w:t>
      </w:r>
      <w:r>
        <w:t xml:space="preserve"> attribute.</w:t>
      </w:r>
    </w:p>
    <w:p w:rsidR="005F78FC" w:rsidRDefault="00B42EF3">
      <w:pPr>
        <w:pStyle w:val="Heading3"/>
      </w:pPr>
      <w:bookmarkStart w:id="4221" w:name="section_3c14676e4afc4b11a492ca6c326c60c6"/>
      <w:bookmarkStart w:id="4222" w:name="_Toc69879883"/>
      <w:r>
        <w:t>Basic Format</w:t>
      </w:r>
      <w:bookmarkEnd w:id="4221"/>
      <w:bookmarkEnd w:id="4222"/>
      <w:r>
        <w:fldChar w:fldCharType="begin"/>
      </w:r>
      <w:r>
        <w:instrText xml:space="preserve"> XE "Basic Format" </w:instrText>
      </w:r>
      <w:r>
        <w:fldChar w:fldCharType="end"/>
      </w:r>
    </w:p>
    <w:p w:rsidR="005F78FC" w:rsidRDefault="00B42EF3">
      <w:r>
        <w:t>Th</w:t>
      </w:r>
      <w:r>
        <w:t xml:space="preserve">e </w:t>
      </w:r>
      <w:r>
        <w:rPr>
          <w:b/>
        </w:rPr>
        <w:t>equationXml</w:t>
      </w:r>
      <w:r>
        <w:t xml:space="preserve"> attribute’s content is a complete Word 2003 XML document (defined here: http://msdn.microsoft.com/en-us/library/aa272680(office.11).aspx) containing Office Open XML Math elements ("</w:t>
      </w:r>
      <w:hyperlink r:id="rId383">
        <w:r>
          <w:rPr>
            <w:rStyle w:val="Hyperlink"/>
          </w:rPr>
          <w:t>[ISO/IEC-29500-1]</w:t>
        </w:r>
      </w:hyperlink>
      <w:r>
        <w:t xml:space="preserve"> §22.1"), and properly escaped as needed to be stored within an attribute value. </w:t>
      </w:r>
    </w:p>
    <w:p w:rsidR="005F78FC" w:rsidRDefault="00B42EF3">
      <w:r>
        <w:t>This document is subject to the following restrictions:</w:t>
      </w:r>
    </w:p>
    <w:p w:rsidR="005F78FC" w:rsidRDefault="00B42EF3">
      <w:pPr>
        <w:pStyle w:val="ListParagraph"/>
        <w:numPr>
          <w:ilvl w:val="0"/>
          <w:numId w:val="224"/>
        </w:numPr>
        <w:contextualSpacing/>
      </w:pPr>
      <w:r>
        <w:t>This Word 2003 XML document must not contain any comments, headers, footers, endnotes, footnotes</w:t>
      </w:r>
      <w:r>
        <w:t>, or textboxes.</w:t>
      </w:r>
    </w:p>
    <w:p w:rsidR="005F78FC" w:rsidRDefault="00B42EF3">
      <w:pPr>
        <w:pStyle w:val="ListParagraph"/>
        <w:numPr>
          <w:ilvl w:val="0"/>
          <w:numId w:val="224"/>
        </w:numPr>
      </w:pPr>
      <w:r>
        <w:t>This Word 2003 XML document must contains a single paragraph (</w:t>
      </w:r>
      <w:r>
        <w:rPr>
          <w:b/>
        </w:rPr>
        <w:t>p element</w:t>
      </w:r>
      <w:r>
        <w:t>).</w:t>
      </w:r>
    </w:p>
    <w:p w:rsidR="005F78FC" w:rsidRDefault="00B42EF3">
      <w:r>
        <w:t xml:space="preserve">That p element must contain a single </w:t>
      </w:r>
      <w:r>
        <w:rPr>
          <w:b/>
        </w:rPr>
        <w:t>oMathPara</w:t>
      </w:r>
      <w:r>
        <w:t xml:space="preserve"> element ("[ISO/IEC-29500-1] §22.1.2.78; oMathPara") which in turn must contain a single </w:t>
      </w:r>
      <w:r>
        <w:rPr>
          <w:b/>
        </w:rPr>
        <w:t>oMath</w:t>
      </w:r>
      <w:r>
        <w:t xml:space="preserve"> element ("[ISO/IEC-29500-</w:t>
      </w:r>
      <w:r>
        <w:t>1] §22.1.2.77; oMath").</w:t>
      </w:r>
    </w:p>
    <w:p w:rsidR="005F78FC" w:rsidRDefault="00B42EF3">
      <w:r>
        <w:t>The oMathPara element can contain any valid XML from the Office Open XML Math namespace, but must not contain any markup from any other Office Open XML namespace. Instead, it can contain various elements from the Word 2003 XML names</w:t>
      </w:r>
      <w:r>
        <w:t xml:space="preserve">pace (§3.8.5, Office Open XML Math elements which can contain Word </w:t>
      </w:r>
      <w:hyperlink w:anchor="Section_3919289d82cf4eea9be62c8b176a267e">
        <w:r>
          <w:rPr>
            <w:rStyle w:val="Hyperlink"/>
          </w:rPr>
          <w:t>2003</w:t>
        </w:r>
      </w:hyperlink>
      <w:r>
        <w:t xml:space="preserve"> XML elements).</w:t>
      </w:r>
    </w:p>
    <w:p w:rsidR="005F78FC" w:rsidRDefault="00B42EF3">
      <w:r>
        <w:t xml:space="preserve">[Example: The following string value represents the encoded contents of the </w:t>
      </w:r>
      <w:r>
        <w:rPr>
          <w:b/>
        </w:rPr>
        <w:t>equationXml</w:t>
      </w:r>
      <w:r>
        <w:t xml:space="preserve"> attribute when it </w:t>
      </w:r>
      <w:r>
        <w:t>contains a mathematic al expression containing only the character x:</w:t>
      </w:r>
    </w:p>
    <w:p w:rsidR="005F78FC" w:rsidRDefault="00B42EF3">
      <w:pPr>
        <w:pStyle w:val="Code"/>
      </w:pPr>
      <w:r>
        <w:t>&amp;lt;w:wordDocument xmlns:m= &amp;quot;http://schemas.openxmlformats.org/officeDocument/2006/math&amp;quot; xmlns:w=&amp;quot;http://schemas.microsoft.com/office/word/2003/wordml&amp;quot; &amp;gt;&amp;lt;w:body&amp;</w:t>
      </w:r>
      <w:r>
        <w:t xml:space="preserve">gt;&amp;lt;w:p&amp;gt;&amp;lt;m:oMathPara&amp;gt;&amp;lt;m:oMath&amp;gt;&amp;lt;m:r&amp;gt; &amp;lt;w:rPr&amp;gt;&amp;lt;w:rFonts w:ascii=&amp;quot;Cambria Math&amp;quot; w:h-ansi= &amp;quot;Cambria Math&amp;quot;/&amp;gt;&amp;lt;w:i/&amp;gt;&amp;lt;/w:rPr&amp;gt;&amp;lt;m:t&amp;gt;x&amp;lt;/m:t </w:t>
      </w:r>
      <w:r>
        <w:lastRenderedPageBreak/>
        <w:t>&amp;gt;&amp;lt;/m:r&amp;gt;&amp;lt;/m:oMath&amp;gt;&amp;lt;/m:oMathPara&amp;gt</w:t>
      </w:r>
      <w:r>
        <w:t>;&amp;lt;/w:p &amp;gt;&amp;lt;/w:body&amp;gt;&amp;lt;/w:wordDocument&amp;gt;</w:t>
      </w:r>
    </w:p>
    <w:p w:rsidR="005F78FC" w:rsidRDefault="00B42EF3">
      <w:r>
        <w:t>end example]</w:t>
      </w:r>
    </w:p>
    <w:p w:rsidR="005F78FC" w:rsidRDefault="00B42EF3">
      <w:r>
        <w:t>The syntax and semantics of elements from Word 2003 XML and of Office Open XML Math are those specified in the corresponding file formats, with the following exceptions:</w:t>
      </w:r>
    </w:p>
    <w:p w:rsidR="005F78FC" w:rsidRDefault="00B42EF3">
      <w:pPr>
        <w:pStyle w:val="ListParagraph"/>
        <w:numPr>
          <w:ilvl w:val="0"/>
          <w:numId w:val="225"/>
        </w:numPr>
        <w:contextualSpacing/>
      </w:pPr>
      <w:r>
        <w:t xml:space="preserve">There is a specific </w:t>
      </w:r>
      <w:r>
        <w:t xml:space="preserve">list of elements from Word 2003 XML which are each allowed to contain a specific set of elements from Office Open XML Math (§3.8.4, Word </w:t>
      </w:r>
      <w:hyperlink w:anchor="Section_bb90684b1471458ba752ef4f10560cfb">
        <w:r>
          <w:rPr>
            <w:rStyle w:val="Hyperlink"/>
          </w:rPr>
          <w:t>2003</w:t>
        </w:r>
      </w:hyperlink>
      <w:r>
        <w:t xml:space="preserve"> XML elements which can contain Office Open XML Math</w:t>
      </w:r>
      <w:r>
        <w:t xml:space="preserve"> elements).</w:t>
      </w:r>
    </w:p>
    <w:p w:rsidR="005F78FC" w:rsidRDefault="00B42EF3">
      <w:pPr>
        <w:pStyle w:val="ListParagraph"/>
        <w:numPr>
          <w:ilvl w:val="0"/>
          <w:numId w:val="225"/>
        </w:numPr>
      </w:pPr>
      <w:r>
        <w:t>Office Open XML Math elements are not allowed to contain any markup from any other Office Open XML namespace. Instead, a specific set of elements from Office Open XML Math are allowed to contain a specific set of elements from Word 2003 XML (§3</w:t>
      </w:r>
      <w:r>
        <w:t>.8.5, Office Open XML Math elements which can contain Word 2003 XML elements).</w:t>
      </w:r>
    </w:p>
    <w:p w:rsidR="005F78FC" w:rsidRDefault="00B42EF3">
      <w:pPr>
        <w:pStyle w:val="Heading3"/>
      </w:pPr>
      <w:bookmarkStart w:id="4223" w:name="section_4f1a80c7cc9d4b2f8b038d89bc95662a"/>
      <w:bookmarkStart w:id="4224" w:name="_Toc69879884"/>
      <w:r>
        <w:t>Reading the equationXml attribute</w:t>
      </w:r>
      <w:bookmarkEnd w:id="4223"/>
      <w:bookmarkEnd w:id="4224"/>
      <w:r>
        <w:fldChar w:fldCharType="begin"/>
      </w:r>
      <w:r>
        <w:instrText xml:space="preserve"> XE "Reading the equationXml attribute" </w:instrText>
      </w:r>
      <w:r>
        <w:fldChar w:fldCharType="end"/>
      </w:r>
    </w:p>
    <w:p w:rsidR="005F78FC" w:rsidRDefault="00B42EF3">
      <w:r>
        <w:t xml:space="preserve">The contents of the </w:t>
      </w:r>
      <w:r>
        <w:rPr>
          <w:b/>
        </w:rPr>
        <w:t>equationXml</w:t>
      </w:r>
      <w:r>
        <w:t xml:space="preserve"> attribute, as written by Word 2007, Word 2010, or earlier versions of</w:t>
      </w:r>
      <w:r>
        <w:t xml:space="preserve"> Word with the Compatibility Pack, can be read in two different ways to determine the mathematical equation associated with the image: </w:t>
      </w:r>
    </w:p>
    <w:p w:rsidR="005F78FC" w:rsidRDefault="00B42EF3">
      <w:r>
        <w:t>To determine the associated equation/expression, read only the Office Open XML Math elements and ignore all other elemen</w:t>
      </w:r>
      <w:r>
        <w:t>ts.</w:t>
      </w:r>
    </w:p>
    <w:p w:rsidR="005F78FC" w:rsidRDefault="00B42EF3">
      <w:r>
        <w:t>To determine the associated equation/expression including any additional WordprocessingML formatting (the addition of a bookmark, for example), read all elements.</w:t>
      </w:r>
    </w:p>
    <w:p w:rsidR="005F78FC" w:rsidRDefault="00B42EF3">
      <w:r>
        <w:t xml:space="preserve">[Example: The following XML represents the value of the </w:t>
      </w:r>
      <w:r>
        <w:rPr>
          <w:b/>
        </w:rPr>
        <w:t>equationXml</w:t>
      </w:r>
      <w:r>
        <w:t xml:space="preserve"> attribute representing a mathematical equation containing a fraction with numerator x and denominator y where the numerator is formatted red and the denominator is enclosed in a bookmark with the name “bookmark_name”:</w:t>
      </w:r>
    </w:p>
    <w:p w:rsidR="005F78FC" w:rsidRDefault="00B42EF3">
      <w:pPr>
        <w:pStyle w:val="Code"/>
      </w:pPr>
      <w:r>
        <w:t>&amp;lt;w:wordDocument xmlns:aml=&amp;quot;ht</w:t>
      </w:r>
      <w:r>
        <w:t>tp://schemas.microsoft.com/aml/2001/core&amp;quot; xmlns:m= &amp;quot;http://schemas.openxmlformats.org/officeDocument/2006/math&amp;quot; xmlns:w=&amp;quot;http://schemas.microsoft.com/office/word/2003/wordml&amp;quot; &amp;gt;&amp;lt;w:body&amp;gt;&amp;lt;w:p&amp;gt;&amp;lt;m:oMathPara&amp;gt;&amp;lt;m:oM</w:t>
      </w:r>
      <w:r>
        <w:t>ath&amp;gt;&amp;lt;m:f &amp;gt;&amp;lt;m:fPr&amp;gt;&amp;lt;m:ctrlPr&amp;gt;&amp;lt;w:rPr&amp;gt;&amp;lt;w:rFonts w:ascii=&amp;quot;Cambria Math&amp;quot; w:h-ansi=&amp;quot;Cambria Math&amp;quot;/&amp;gt;&amp;lt;w:i/&amp;gt;&amp;lt;/w:rPr&amp;gt;&amp;lt;/m:ctrlPr &amp;gt;&amp;lt;/m:fPr&amp;gt;&amp;lt;m:num&amp;gt;&amp;lt;m:r&amp;gt;&amp;lt;w:rPr &amp;gt;&amp;lt;w:rFonts w:</w:t>
      </w:r>
      <w:r>
        <w:t>ascii=&amp;quot;Cambria Math&amp;quot; w:h-ansi=&amp;quot;Cambria Math&amp;quot;/&amp;gt;&amp;lt;w:i/&amp;gt;&amp;lt;w:color w:val=&amp;quot;FF0000&amp;quot;/&amp;gt;&amp;lt;/w:rPr&amp;gt;&amp;lt;m:t&amp;gt;x&amp;lt;/m:t &amp;gt;&amp;lt;/m:r&amp;gt;&amp;lt;/m:num&amp;gt;&amp;lt;m:den&amp;gt;&amp;lt;aml:annotation aml:id=&amp;quot;0&amp;quot; w:type=&amp;quot;Wor</w:t>
      </w:r>
      <w:r>
        <w:t>d.Bookmark.Start&amp;quot; w:name=&amp;quot;bookmark_name&amp;quot;/&amp;gt;&amp;lt;m:r&amp;gt;&amp;lt;w:rPr &amp;gt;&amp;lt;w:rFonts w:ascii=&amp;quot;Cambria Math&amp;quot; w:h-ansi=&amp;quot;Cambria Math&amp;quot;/&amp;gt;&amp;lt;w:i/&amp;gt;&amp;lt;/w:rPr&amp;gt;&amp;lt;m:t&amp;gt;y&amp;lt;/m:t &amp;gt;&amp;lt;/m:r&amp;gt;&amp;lt;aml:annotation aml:i</w:t>
      </w:r>
      <w:r>
        <w:t>d=&amp;quot;0&amp;quot; w:type=&amp;quot;Word.Bookmark.End&amp;quot;/&amp;gt;&amp;lt;/m:den&amp;gt;&amp;lt;/m:f &amp;gt;&amp;lt;/m:oMath&amp;gt;&amp;lt;/m:oMathPara&amp;gt;&amp;lt;/w:p&amp;gt;&amp;lt;/w:body &amp;gt;&amp;lt;/w:wordDocument&amp;gt;</w:t>
      </w:r>
    </w:p>
    <w:p w:rsidR="005F78FC" w:rsidRDefault="00B42EF3">
      <w:r>
        <w:t>An application might choose to read just the Office Open XML math elements, in which</w:t>
      </w:r>
      <w:r>
        <w:t xml:space="preserve"> case it would display the fraction but would lose the font color applied to the numerator and the bookmark located in the denominator:</w:t>
      </w:r>
    </w:p>
    <w:p w:rsidR="005F78FC" w:rsidRDefault="00B42EF3">
      <w:r>
        <w:rPr>
          <w:noProof/>
        </w:rPr>
        <w:drawing>
          <wp:inline distT="0" distB="0" distL="0" distR="0">
            <wp:extent cx="76200" cy="304800"/>
            <wp:effectExtent l="0" t="0" r="0" b="0"/>
            <wp:docPr id="342015729" name="Picture 1" descr="X over Y" title="X over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82bd3c9-0000-0000-0000-000000000000" descr="X over Y" title="X over Y"/>
                    <pic:cNvPicPr>
                      <a:picLocks noChangeAspect="1" noChangeArrowheads="1"/>
                    </pic:cNvPicPr>
                  </pic:nvPicPr>
                  <pic:blipFill>
                    <a:blip r:embed="rId384" cstate="print"/>
                    <a:srcRect/>
                    <a:stretch>
                      <a:fillRect/>
                    </a:stretch>
                  </pic:blipFill>
                  <pic:spPr bwMode="auto">
                    <a:xfrm>
                      <a:off x="0" y="0"/>
                      <a:ext cx="76200" cy="304800"/>
                    </a:xfrm>
                    <a:prstGeom prst="rect">
                      <a:avLst/>
                    </a:prstGeom>
                    <a:noFill/>
                    <a:ln w="9525">
                      <a:noFill/>
                      <a:miter lim="800000"/>
                      <a:headEnd/>
                      <a:tailEnd/>
                    </a:ln>
                  </pic:spPr>
                </pic:pic>
              </a:graphicData>
            </a:graphic>
          </wp:inline>
        </w:drawing>
      </w:r>
    </w:p>
    <w:p w:rsidR="005F78FC" w:rsidRDefault="00B42EF3">
      <w:r>
        <w:t>On the other hand, the application might choose to read all elements in which case it would display the font color and</w:t>
      </w:r>
      <w:r>
        <w:t xml:space="preserve"> bookmark as well as the fraction:</w:t>
      </w:r>
    </w:p>
    <w:p w:rsidR="005F78FC" w:rsidRDefault="00B42EF3">
      <w:r>
        <w:rPr>
          <w:noProof/>
        </w:rPr>
        <w:lastRenderedPageBreak/>
        <w:drawing>
          <wp:inline distT="0" distB="0" distL="0" distR="0">
            <wp:extent cx="76200" cy="304800"/>
            <wp:effectExtent l="0" t="0" r="0" b="0"/>
            <wp:docPr id="342015730" name="Picture 1" descr="X over Y" title="X over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022319a-0000-0000-0000-000000000000" descr="X over Y" title="X over Y"/>
                    <pic:cNvPicPr>
                      <a:picLocks noChangeAspect="1" noChangeArrowheads="1"/>
                    </pic:cNvPicPr>
                  </pic:nvPicPr>
                  <pic:blipFill>
                    <a:blip r:embed="rId384" cstate="print"/>
                    <a:srcRect/>
                    <a:stretch>
                      <a:fillRect/>
                    </a:stretch>
                  </pic:blipFill>
                  <pic:spPr bwMode="auto">
                    <a:xfrm>
                      <a:off x="0" y="0"/>
                      <a:ext cx="76200" cy="304800"/>
                    </a:xfrm>
                    <a:prstGeom prst="rect">
                      <a:avLst/>
                    </a:prstGeom>
                    <a:noFill/>
                    <a:ln w="9525">
                      <a:noFill/>
                      <a:miter lim="800000"/>
                      <a:headEnd/>
                      <a:tailEnd/>
                    </a:ln>
                  </pic:spPr>
                </pic:pic>
              </a:graphicData>
            </a:graphic>
          </wp:inline>
        </w:drawing>
      </w:r>
    </w:p>
    <w:p w:rsidR="005F78FC" w:rsidRDefault="00B42EF3">
      <w:r>
        <w:t>end example]</w:t>
      </w:r>
    </w:p>
    <w:p w:rsidR="005F78FC" w:rsidRDefault="00B42EF3">
      <w:pPr>
        <w:pStyle w:val="Heading3"/>
      </w:pPr>
      <w:bookmarkStart w:id="4225" w:name="section_bb90684b1471458ba752ef4f10560cfb"/>
      <w:bookmarkStart w:id="4226" w:name="_Toc69879885"/>
      <w:r>
        <w:t>Word 2003 XML elements which can contain Office Open XML Math elements</w:t>
      </w:r>
      <w:bookmarkEnd w:id="4225"/>
      <w:bookmarkEnd w:id="4226"/>
    </w:p>
    <w:p w:rsidR="005F78FC" w:rsidRDefault="00B42EF3">
      <w:pPr>
        <w:pStyle w:val="Heading4"/>
      </w:pPr>
      <w:bookmarkStart w:id="4227" w:name="section_45d55a2a0f404d0f802b5cdc65650590"/>
      <w:bookmarkStart w:id="4228" w:name="_Toc69879886"/>
      <w:r>
        <w:t>Containment of the oMathPara element</w:t>
      </w:r>
      <w:bookmarkEnd w:id="4227"/>
      <w:bookmarkEnd w:id="4228"/>
      <w:r>
        <w:fldChar w:fldCharType="begin"/>
      </w:r>
      <w:r>
        <w:instrText xml:space="preserve"> XE "Containment of the oMathPara element" </w:instrText>
      </w:r>
      <w:r>
        <w:fldChar w:fldCharType="end"/>
      </w:r>
    </w:p>
    <w:p w:rsidR="005F78FC" w:rsidRDefault="00B42EF3">
      <w:r>
        <w:t xml:space="preserve">The Word 2003 XML document must contain a single </w:t>
      </w:r>
      <w:r>
        <w:rPr>
          <w:b/>
        </w:rPr>
        <w:t>p</w:t>
      </w:r>
      <w:r>
        <w:t xml:space="preserve"> element which contains a single </w:t>
      </w:r>
      <w:r>
        <w:rPr>
          <w:b/>
        </w:rPr>
        <w:t>oMathPara</w:t>
      </w:r>
      <w:r>
        <w:t xml:space="preserve"> element ("</w:t>
      </w:r>
      <w:hyperlink r:id="rId385">
        <w:r>
          <w:rPr>
            <w:rStyle w:val="Hyperlink"/>
          </w:rPr>
          <w:t>[ISO/IEC-29500-1]</w:t>
        </w:r>
      </w:hyperlink>
      <w:r>
        <w:t xml:space="preserve"> §22.1.2.78; oMathPara").</w:t>
      </w:r>
    </w:p>
    <w:p w:rsidR="005F78FC" w:rsidRDefault="00B42EF3">
      <w:pPr>
        <w:pStyle w:val="Heading4"/>
      </w:pPr>
      <w:bookmarkStart w:id="4229" w:name="section_9cf259ed1c6c441ca903066fc8955d64"/>
      <w:bookmarkStart w:id="4230" w:name="_Toc69879887"/>
      <w:r>
        <w:t>Containment of Math runs and Math functions and objects</w:t>
      </w:r>
      <w:bookmarkEnd w:id="4229"/>
      <w:bookmarkEnd w:id="4230"/>
      <w:r>
        <w:fldChar w:fldCharType="begin"/>
      </w:r>
      <w:r>
        <w:instrText xml:space="preserve"> XE "Containment of Math runs and Math </w:instrText>
      </w:r>
      <w:r>
        <w:instrText xml:space="preserve">functions and objects" </w:instrText>
      </w:r>
      <w:r>
        <w:fldChar w:fldCharType="end"/>
      </w:r>
    </w:p>
    <w:p w:rsidR="005F78FC" w:rsidRDefault="00B42EF3">
      <w:r>
        <w:t xml:space="preserve">The Word 2003 XML </w:t>
      </w:r>
      <w:r>
        <w:rPr>
          <w:b/>
        </w:rPr>
        <w:t>hlink</w:t>
      </w:r>
      <w:r>
        <w:t xml:space="preserve"> element and the AML </w:t>
      </w:r>
      <w:r>
        <w:rPr>
          <w:b/>
        </w:rPr>
        <w:t>content</w:t>
      </w:r>
      <w:r>
        <w:t xml:space="preserve"> element can each contain an unbounded number of Office Open XML Math elements from the following list, which includes the Office Open XML Math </w:t>
      </w:r>
      <w:r>
        <w:rPr>
          <w:b/>
        </w:rPr>
        <w:t>r</w:t>
      </w:r>
      <w:r>
        <w:t xml:space="preserve"> element and all Office Open XML M</w:t>
      </w:r>
      <w:r>
        <w:t>ath functions/objects:</w:t>
      </w:r>
    </w:p>
    <w:p w:rsidR="005F78FC" w:rsidRDefault="00B42EF3">
      <w:pPr>
        <w:pStyle w:val="ListParagraph"/>
        <w:numPr>
          <w:ilvl w:val="0"/>
          <w:numId w:val="226"/>
        </w:numPr>
        <w:contextualSpacing/>
      </w:pPr>
      <w:r>
        <w:rPr>
          <w:b/>
        </w:rPr>
        <w:t>acc</w:t>
      </w:r>
      <w:r>
        <w:t xml:space="preserve"> ("</w:t>
      </w:r>
      <w:hyperlink r:id="rId386">
        <w:r>
          <w:rPr>
            <w:rStyle w:val="Hyperlink"/>
          </w:rPr>
          <w:t>[ISO/IEC-29500-1]</w:t>
        </w:r>
      </w:hyperlink>
      <w:r>
        <w:t xml:space="preserve"> §22.1.2.1; acc")</w:t>
      </w:r>
    </w:p>
    <w:p w:rsidR="005F78FC" w:rsidRDefault="00B42EF3">
      <w:pPr>
        <w:pStyle w:val="ListParagraph"/>
        <w:numPr>
          <w:ilvl w:val="0"/>
          <w:numId w:val="226"/>
        </w:numPr>
        <w:contextualSpacing/>
      </w:pPr>
      <w:r>
        <w:rPr>
          <w:b/>
        </w:rPr>
        <w:t>bar</w:t>
      </w:r>
      <w:r>
        <w:t>("[ISO/IEC-29500-1] §22.1.2.7; bar")</w:t>
      </w:r>
    </w:p>
    <w:p w:rsidR="005F78FC" w:rsidRDefault="00B42EF3">
      <w:pPr>
        <w:pStyle w:val="ListParagraph"/>
        <w:numPr>
          <w:ilvl w:val="0"/>
          <w:numId w:val="226"/>
        </w:numPr>
        <w:contextualSpacing/>
      </w:pPr>
      <w:r>
        <w:rPr>
          <w:b/>
        </w:rPr>
        <w:t xml:space="preserve">borderBox </w:t>
      </w:r>
      <w:r>
        <w:t>("[ISO/IEC-29500-1] §22.1.2.11; borderBox")</w:t>
      </w:r>
    </w:p>
    <w:p w:rsidR="005F78FC" w:rsidRDefault="00B42EF3">
      <w:pPr>
        <w:pStyle w:val="ListParagraph"/>
        <w:numPr>
          <w:ilvl w:val="0"/>
          <w:numId w:val="226"/>
        </w:numPr>
        <w:contextualSpacing/>
      </w:pPr>
      <w:r>
        <w:rPr>
          <w:b/>
        </w:rPr>
        <w:t>box</w:t>
      </w:r>
      <w:r>
        <w:t xml:space="preserve"> ("[ISO/IEC-29500-1] §22.1.2.</w:t>
      </w:r>
      <w:r>
        <w:t>13; box")</w:t>
      </w:r>
    </w:p>
    <w:p w:rsidR="005F78FC" w:rsidRDefault="00B42EF3">
      <w:pPr>
        <w:pStyle w:val="ListParagraph"/>
        <w:numPr>
          <w:ilvl w:val="0"/>
          <w:numId w:val="226"/>
        </w:numPr>
        <w:contextualSpacing/>
      </w:pPr>
      <w:r>
        <w:rPr>
          <w:b/>
        </w:rPr>
        <w:t>d</w:t>
      </w:r>
      <w:r>
        <w:t xml:space="preserve"> ("[ISO/IEC-29500-1] §22.1.2.24; d")</w:t>
      </w:r>
    </w:p>
    <w:p w:rsidR="005F78FC" w:rsidRDefault="00B42EF3">
      <w:pPr>
        <w:pStyle w:val="ListParagraph"/>
        <w:numPr>
          <w:ilvl w:val="0"/>
          <w:numId w:val="226"/>
        </w:numPr>
        <w:contextualSpacing/>
      </w:pPr>
      <w:r>
        <w:rPr>
          <w:b/>
        </w:rPr>
        <w:t>eqArr</w:t>
      </w:r>
      <w:r>
        <w:t xml:space="preserve"> ("[ISO/IEC-29500-1] §22.1.2.34; eqArr")</w:t>
      </w:r>
    </w:p>
    <w:p w:rsidR="005F78FC" w:rsidRDefault="00B42EF3">
      <w:pPr>
        <w:pStyle w:val="ListParagraph"/>
        <w:numPr>
          <w:ilvl w:val="0"/>
          <w:numId w:val="226"/>
        </w:numPr>
        <w:contextualSpacing/>
      </w:pPr>
      <w:r>
        <w:rPr>
          <w:b/>
        </w:rPr>
        <w:t>f</w:t>
      </w:r>
      <w:r>
        <w:t xml:space="preserve"> ("[ISO/IEC-29500-1] §22.1.2.36; f")</w:t>
      </w:r>
    </w:p>
    <w:p w:rsidR="005F78FC" w:rsidRDefault="00B42EF3">
      <w:pPr>
        <w:pStyle w:val="ListParagraph"/>
        <w:numPr>
          <w:ilvl w:val="0"/>
          <w:numId w:val="226"/>
        </w:numPr>
        <w:contextualSpacing/>
      </w:pPr>
      <w:r>
        <w:rPr>
          <w:b/>
        </w:rPr>
        <w:t>func</w:t>
      </w:r>
      <w:r>
        <w:t xml:space="preserve"> ("[ISO/IEC-29500-1] §22.1.2.39; func")</w:t>
      </w:r>
    </w:p>
    <w:p w:rsidR="005F78FC" w:rsidRDefault="00B42EF3">
      <w:pPr>
        <w:pStyle w:val="ListParagraph"/>
        <w:numPr>
          <w:ilvl w:val="0"/>
          <w:numId w:val="226"/>
        </w:numPr>
        <w:contextualSpacing/>
      </w:pPr>
      <w:r>
        <w:rPr>
          <w:b/>
        </w:rPr>
        <w:t>groupChr</w:t>
      </w:r>
      <w:r>
        <w:t xml:space="preserve"> ("[ISO/IEC-29500-1] §22.1.2.41; groupChr")</w:t>
      </w:r>
    </w:p>
    <w:p w:rsidR="005F78FC" w:rsidRDefault="00B42EF3">
      <w:pPr>
        <w:pStyle w:val="ListParagraph"/>
        <w:numPr>
          <w:ilvl w:val="0"/>
          <w:numId w:val="226"/>
        </w:numPr>
        <w:contextualSpacing/>
      </w:pPr>
      <w:r>
        <w:rPr>
          <w:b/>
        </w:rPr>
        <w:t>limLow</w:t>
      </w:r>
      <w:r>
        <w:t xml:space="preserve"> ("[ISO/IEC-29500-1] §</w:t>
      </w:r>
      <w:r>
        <w:t xml:space="preserve">22.1.2.54; limLow") </w:t>
      </w:r>
    </w:p>
    <w:p w:rsidR="005F78FC" w:rsidRDefault="00B42EF3">
      <w:pPr>
        <w:pStyle w:val="ListParagraph"/>
        <w:numPr>
          <w:ilvl w:val="0"/>
          <w:numId w:val="226"/>
        </w:numPr>
        <w:contextualSpacing/>
      </w:pPr>
      <w:r>
        <w:rPr>
          <w:b/>
        </w:rPr>
        <w:t>limUpp</w:t>
      </w:r>
      <w:r>
        <w:t xml:space="preserve"> ("[ISO/IEC-29500-1] §22.1.2.56; limUpp") </w:t>
      </w:r>
    </w:p>
    <w:p w:rsidR="005F78FC" w:rsidRDefault="00B42EF3">
      <w:pPr>
        <w:pStyle w:val="ListParagraph"/>
        <w:numPr>
          <w:ilvl w:val="0"/>
          <w:numId w:val="226"/>
        </w:numPr>
        <w:contextualSpacing/>
      </w:pPr>
      <w:r>
        <w:rPr>
          <w:b/>
        </w:rPr>
        <w:t>m</w:t>
      </w:r>
      <w:r>
        <w:t xml:space="preserve"> ("[ISO/IEC-29500-1] §22.1.2.60; m") </w:t>
      </w:r>
    </w:p>
    <w:p w:rsidR="005F78FC" w:rsidRDefault="00B42EF3">
      <w:pPr>
        <w:pStyle w:val="ListParagraph"/>
        <w:numPr>
          <w:ilvl w:val="0"/>
          <w:numId w:val="226"/>
        </w:numPr>
        <w:contextualSpacing/>
      </w:pPr>
      <w:r>
        <w:rPr>
          <w:b/>
        </w:rPr>
        <w:t>nary</w:t>
      </w:r>
      <w:r>
        <w:t xml:space="preserve"> ("[ISO/IEC-29500-1] §22.1.2.70; nary") </w:t>
      </w:r>
    </w:p>
    <w:p w:rsidR="005F78FC" w:rsidRDefault="00B42EF3">
      <w:pPr>
        <w:pStyle w:val="ListParagraph"/>
        <w:numPr>
          <w:ilvl w:val="0"/>
          <w:numId w:val="226"/>
        </w:numPr>
        <w:contextualSpacing/>
      </w:pPr>
      <w:r>
        <w:rPr>
          <w:b/>
        </w:rPr>
        <w:t>phant</w:t>
      </w:r>
      <w:r>
        <w:t xml:space="preserve"> ("[ISO/IEC-29500-1] §22.1.2.81; phant") </w:t>
      </w:r>
    </w:p>
    <w:p w:rsidR="005F78FC" w:rsidRDefault="00B42EF3">
      <w:pPr>
        <w:pStyle w:val="ListParagraph"/>
        <w:numPr>
          <w:ilvl w:val="0"/>
          <w:numId w:val="226"/>
        </w:numPr>
        <w:contextualSpacing/>
      </w:pPr>
      <w:r>
        <w:rPr>
          <w:b/>
        </w:rPr>
        <w:t>r</w:t>
      </w:r>
      <w:r>
        <w:t xml:space="preserve"> ("[ISO/IEC-29500-1] §22.1.2.87; r") </w:t>
      </w:r>
    </w:p>
    <w:p w:rsidR="005F78FC" w:rsidRDefault="00B42EF3">
      <w:pPr>
        <w:pStyle w:val="ListParagraph"/>
        <w:numPr>
          <w:ilvl w:val="0"/>
          <w:numId w:val="226"/>
        </w:numPr>
        <w:contextualSpacing/>
      </w:pPr>
      <w:r>
        <w:rPr>
          <w:b/>
        </w:rPr>
        <w:t>rad</w:t>
      </w:r>
      <w:r>
        <w:t xml:space="preserve"> ("</w:t>
      </w:r>
      <w:r>
        <w:t xml:space="preserve">[ISO/IEC-29500-1] §22.1.2.88; rad") </w:t>
      </w:r>
    </w:p>
    <w:p w:rsidR="005F78FC" w:rsidRDefault="00B42EF3">
      <w:pPr>
        <w:pStyle w:val="ListParagraph"/>
        <w:numPr>
          <w:ilvl w:val="0"/>
          <w:numId w:val="226"/>
        </w:numPr>
        <w:contextualSpacing/>
      </w:pPr>
      <w:r>
        <w:rPr>
          <w:b/>
        </w:rPr>
        <w:t>sPre</w:t>
      </w:r>
      <w:r>
        <w:t xml:space="preserve"> ("[ISO/IEC-29500-1] §22.1.2.99; sPre") </w:t>
      </w:r>
    </w:p>
    <w:p w:rsidR="005F78FC" w:rsidRDefault="00B42EF3">
      <w:pPr>
        <w:pStyle w:val="ListParagraph"/>
        <w:numPr>
          <w:ilvl w:val="0"/>
          <w:numId w:val="226"/>
        </w:numPr>
        <w:contextualSpacing/>
      </w:pPr>
      <w:r>
        <w:rPr>
          <w:b/>
        </w:rPr>
        <w:t>sSub</w:t>
      </w:r>
      <w:r>
        <w:t xml:space="preserve"> ("[ISO/IEC-29500-1] §22.1.2.101; sSub") </w:t>
      </w:r>
    </w:p>
    <w:p w:rsidR="005F78FC" w:rsidRDefault="00B42EF3">
      <w:pPr>
        <w:pStyle w:val="ListParagraph"/>
        <w:numPr>
          <w:ilvl w:val="0"/>
          <w:numId w:val="226"/>
        </w:numPr>
        <w:contextualSpacing/>
      </w:pPr>
      <w:r>
        <w:rPr>
          <w:b/>
        </w:rPr>
        <w:t>sSubSup</w:t>
      </w:r>
      <w:r>
        <w:t xml:space="preserve"> ("[ISO/IEC-29500-1] §22.1.2.103; sSubSup") </w:t>
      </w:r>
    </w:p>
    <w:p w:rsidR="005F78FC" w:rsidRDefault="00B42EF3">
      <w:pPr>
        <w:pStyle w:val="ListParagraph"/>
        <w:numPr>
          <w:ilvl w:val="0"/>
          <w:numId w:val="226"/>
        </w:numPr>
      </w:pPr>
      <w:r>
        <w:rPr>
          <w:b/>
        </w:rPr>
        <w:t>sSup</w:t>
      </w:r>
      <w:r>
        <w:t xml:space="preserve"> ("[ISO/IEC-29500-1] §22.1.2.105; sSup")</w:t>
      </w:r>
    </w:p>
    <w:p w:rsidR="005F78FC" w:rsidRDefault="00B42EF3">
      <w:pPr>
        <w:pStyle w:val="Heading3"/>
      </w:pPr>
      <w:bookmarkStart w:id="4231" w:name="section_3919289d82cf4eea9be62c8b176a267e"/>
      <w:bookmarkStart w:id="4232" w:name="_Toc69879888"/>
      <w:r>
        <w:t>Office Open XML Math elements w</w:t>
      </w:r>
      <w:r>
        <w:t>hich can contain Word 2003 XML elements</w:t>
      </w:r>
      <w:bookmarkEnd w:id="4231"/>
      <w:bookmarkEnd w:id="4232"/>
    </w:p>
    <w:p w:rsidR="005F78FC" w:rsidRDefault="00B42EF3">
      <w:pPr>
        <w:pStyle w:val="Heading4"/>
      </w:pPr>
      <w:bookmarkStart w:id="4233" w:name="section_d54ad5fce66f473282072e69571b58c0"/>
      <w:bookmarkStart w:id="4234" w:name="_Toc69879889"/>
      <w:r>
        <w:t>Control Properties</w:t>
      </w:r>
      <w:bookmarkEnd w:id="4233"/>
      <w:bookmarkEnd w:id="4234"/>
      <w:r>
        <w:fldChar w:fldCharType="begin"/>
      </w:r>
      <w:r>
        <w:instrText xml:space="preserve"> XE "Control Properties" </w:instrText>
      </w:r>
      <w:r>
        <w:fldChar w:fldCharType="end"/>
      </w:r>
    </w:p>
    <w:p w:rsidR="005F78FC" w:rsidRDefault="00B42EF3">
      <w:r>
        <w:rPr>
          <w:b/>
        </w:rPr>
        <w:t>The ctrlPr</w:t>
      </w:r>
      <w:r>
        <w:t xml:space="preserve"> element ("</w:t>
      </w:r>
      <w:hyperlink r:id="rId387">
        <w:r>
          <w:rPr>
            <w:rStyle w:val="Hyperlink"/>
          </w:rPr>
          <w:t>[ISO/IEC-29500-1]</w:t>
        </w:r>
      </w:hyperlink>
      <w:r>
        <w:t xml:space="preserve"> §22.1.2.23; ctrlPr") can contain one of the following elements:</w:t>
      </w:r>
    </w:p>
    <w:p w:rsidR="005F78FC" w:rsidRDefault="00B42EF3">
      <w:pPr>
        <w:pStyle w:val="ListParagraph"/>
        <w:numPr>
          <w:ilvl w:val="0"/>
          <w:numId w:val="227"/>
        </w:numPr>
        <w:contextualSpacing/>
      </w:pPr>
      <w:r>
        <w:t xml:space="preserve">The AML </w:t>
      </w:r>
      <w:r>
        <w:rPr>
          <w:b/>
        </w:rPr>
        <w:t>annotation</w:t>
      </w:r>
      <w:r>
        <w:t xml:space="preserve"> element</w:t>
      </w:r>
    </w:p>
    <w:p w:rsidR="005F78FC" w:rsidRDefault="00B42EF3">
      <w:pPr>
        <w:pStyle w:val="ListParagraph"/>
        <w:numPr>
          <w:ilvl w:val="0"/>
          <w:numId w:val="227"/>
        </w:numPr>
      </w:pPr>
      <w:r>
        <w:t xml:space="preserve">The Word 2003 XML </w:t>
      </w:r>
      <w:r>
        <w:rPr>
          <w:b/>
        </w:rPr>
        <w:t>rPr</w:t>
      </w:r>
      <w:r>
        <w:t xml:space="preserve"> element</w:t>
      </w:r>
    </w:p>
    <w:p w:rsidR="005F78FC" w:rsidRDefault="00B42EF3">
      <w:pPr>
        <w:pStyle w:val="Heading4"/>
      </w:pPr>
      <w:bookmarkStart w:id="4235" w:name="section_dbc60737c3cb43b18fe8cd591fa4472d"/>
      <w:bookmarkStart w:id="4236" w:name="_Toc69879890"/>
      <w:r>
        <w:t>oMath and Math Arguments</w:t>
      </w:r>
      <w:bookmarkEnd w:id="4235"/>
      <w:bookmarkEnd w:id="4236"/>
      <w:r>
        <w:fldChar w:fldCharType="begin"/>
      </w:r>
      <w:r>
        <w:instrText xml:space="preserve"> XE "oMath and Math Arguments" </w:instrText>
      </w:r>
      <w:r>
        <w:fldChar w:fldCharType="end"/>
      </w:r>
    </w:p>
    <w:p w:rsidR="005F78FC" w:rsidRDefault="00B42EF3">
      <w:r>
        <w:t xml:space="preserve">The </w:t>
      </w:r>
      <w:r>
        <w:rPr>
          <w:b/>
        </w:rPr>
        <w:t>oMath</w:t>
      </w:r>
      <w:r>
        <w:t xml:space="preserve"> element ("</w:t>
      </w:r>
      <w:hyperlink r:id="rId388">
        <w:r>
          <w:rPr>
            <w:rStyle w:val="Hyperlink"/>
          </w:rPr>
          <w:t>[ISO/IEC-29500-1]</w:t>
        </w:r>
      </w:hyperlink>
      <w:r>
        <w:t xml:space="preserve"> §22.1.2.78; oMathPara") and the math </w:t>
      </w:r>
      <w:r>
        <w:t xml:space="preserve">argument elements </w:t>
      </w:r>
      <w:r>
        <w:rPr>
          <w:b/>
        </w:rPr>
        <w:t>deg</w:t>
      </w:r>
      <w:r>
        <w:t xml:space="preserve"> ("[ISO/IEC-29500-1] §22.1.2.26; deg"), </w:t>
      </w:r>
      <w:r>
        <w:rPr>
          <w:b/>
        </w:rPr>
        <w:t>den</w:t>
      </w:r>
      <w:r>
        <w:t xml:space="preserve"> ("[ISO/IEC-29500-1] §22.1.2.28; den"), </w:t>
      </w:r>
      <w:r>
        <w:rPr>
          <w:b/>
        </w:rPr>
        <w:t>e</w:t>
      </w:r>
      <w:r>
        <w:t xml:space="preserve"> ("[ISO/IEC-29500-1] §22.1.2.32; e"), </w:t>
      </w:r>
      <w:r>
        <w:rPr>
          <w:b/>
        </w:rPr>
        <w:t>fName</w:t>
      </w:r>
      <w:r>
        <w:t xml:space="preserve"> ("[ISO/IEC-29500-1] §22.1.2.37; fName"), </w:t>
      </w:r>
      <w:r>
        <w:rPr>
          <w:b/>
        </w:rPr>
        <w:t>lim</w:t>
      </w:r>
      <w:r>
        <w:t xml:space="preserve"> ("[ISO/IEC-29500-1] §22.1.2.52; lim"), </w:t>
      </w:r>
      <w:r>
        <w:rPr>
          <w:b/>
        </w:rPr>
        <w:t>num</w:t>
      </w:r>
      <w:r>
        <w:t xml:space="preserve"> ("[ISO/IEC-29500-1]</w:t>
      </w:r>
      <w:r>
        <w:t xml:space="preserve"> §22.1.2.75; num"), </w:t>
      </w:r>
      <w:r>
        <w:rPr>
          <w:b/>
        </w:rPr>
        <w:t>sub</w:t>
      </w:r>
      <w:r>
        <w:t xml:space="preserve"> </w:t>
      </w:r>
      <w:r>
        <w:lastRenderedPageBreak/>
        <w:t xml:space="preserve">("[ISO/IEC-29500-1] §22.1.2.112; sub"), and </w:t>
      </w:r>
      <w:r>
        <w:rPr>
          <w:b/>
        </w:rPr>
        <w:t>sup</w:t>
      </w:r>
      <w:r>
        <w:t xml:space="preserve"> ("[ISO/IEC-29500-1] §22.1.2.114; sup") can each contain an unbounded number of elements from the following list:</w:t>
      </w:r>
    </w:p>
    <w:p w:rsidR="005F78FC" w:rsidRDefault="00B42EF3">
      <w:pPr>
        <w:pStyle w:val="ListParagraph"/>
        <w:numPr>
          <w:ilvl w:val="0"/>
          <w:numId w:val="228"/>
        </w:numPr>
        <w:contextualSpacing/>
      </w:pPr>
      <w:r>
        <w:t xml:space="preserve">XML elements in any namespace not defined by Word 2003 XML (which can, </w:t>
      </w:r>
      <w:r>
        <w:t xml:space="preserve">in turn, hold any valid child element of the </w:t>
      </w:r>
      <w:r>
        <w:rPr>
          <w:b/>
        </w:rPr>
        <w:t>oMath</w:t>
      </w:r>
      <w:r>
        <w:t xml:space="preserve"> element ("[ISO/IEC-29500-1] §22.1.2.77; oMath"))</w:t>
      </w:r>
    </w:p>
    <w:p w:rsidR="005F78FC" w:rsidRDefault="00B42EF3">
      <w:pPr>
        <w:pStyle w:val="ListParagraph"/>
        <w:numPr>
          <w:ilvl w:val="0"/>
          <w:numId w:val="228"/>
        </w:numPr>
        <w:contextualSpacing/>
      </w:pPr>
      <w:r>
        <w:t xml:space="preserve">The AML </w:t>
      </w:r>
      <w:r>
        <w:rPr>
          <w:b/>
        </w:rPr>
        <w:t>annotation</w:t>
      </w:r>
      <w:r>
        <w:t xml:space="preserve"> element</w:t>
      </w:r>
    </w:p>
    <w:p w:rsidR="005F78FC" w:rsidRDefault="00B42EF3">
      <w:pPr>
        <w:pStyle w:val="ListParagraph"/>
        <w:numPr>
          <w:ilvl w:val="0"/>
          <w:numId w:val="228"/>
        </w:numPr>
        <w:contextualSpacing/>
      </w:pPr>
      <w:r>
        <w:t xml:space="preserve">The Word 2003 XML </w:t>
      </w:r>
      <w:r>
        <w:rPr>
          <w:b/>
        </w:rPr>
        <w:t>hlink</w:t>
      </w:r>
      <w:r>
        <w:t xml:space="preserve"> element</w:t>
      </w:r>
    </w:p>
    <w:p w:rsidR="005F78FC" w:rsidRDefault="00B42EF3">
      <w:pPr>
        <w:pStyle w:val="ListParagraph"/>
        <w:numPr>
          <w:ilvl w:val="0"/>
          <w:numId w:val="228"/>
        </w:numPr>
        <w:contextualSpacing/>
      </w:pPr>
      <w:r>
        <w:t xml:space="preserve">The Word 2003 XML </w:t>
      </w:r>
      <w:r>
        <w:rPr>
          <w:b/>
        </w:rPr>
        <w:t>permEnd</w:t>
      </w:r>
      <w:r>
        <w:t xml:space="preserve"> element</w:t>
      </w:r>
    </w:p>
    <w:p w:rsidR="005F78FC" w:rsidRDefault="00B42EF3">
      <w:pPr>
        <w:pStyle w:val="ListParagraph"/>
        <w:numPr>
          <w:ilvl w:val="0"/>
          <w:numId w:val="228"/>
        </w:numPr>
      </w:pPr>
      <w:r>
        <w:t xml:space="preserve">The Word 2003 XML </w:t>
      </w:r>
      <w:r>
        <w:rPr>
          <w:b/>
        </w:rPr>
        <w:t>permStart</w:t>
      </w:r>
      <w:r>
        <w:t xml:space="preserve"> element</w:t>
      </w:r>
    </w:p>
    <w:p w:rsidR="005F78FC" w:rsidRDefault="00B42EF3">
      <w:r>
        <w:t>When included as a child of</w:t>
      </w:r>
      <w:r>
        <w:t xml:space="preserve"> a math argument element, those elements must occur after any Office Open XML Math </w:t>
      </w:r>
      <w:r>
        <w:rPr>
          <w:b/>
        </w:rPr>
        <w:t>argPr</w:t>
      </w:r>
      <w:r>
        <w:t xml:space="preserve"> element ("[ISO/IEC-29500-1] §22.1.2.5; argPr") and before any Office Open XML Math </w:t>
      </w:r>
      <w:r>
        <w:rPr>
          <w:b/>
        </w:rPr>
        <w:t>ctrlPr</w:t>
      </w:r>
      <w:r>
        <w:t xml:space="preserve"> element ("[ISO/IEC-29500-1] §22.1.2.23; ctrlPr") which is also a child of tha</w:t>
      </w:r>
      <w:r>
        <w:t>t math argument element.</w:t>
      </w:r>
    </w:p>
    <w:p w:rsidR="005F78FC" w:rsidRDefault="00B42EF3">
      <w:pPr>
        <w:pStyle w:val="Heading4"/>
      </w:pPr>
      <w:bookmarkStart w:id="4237" w:name="section_7bae4fa0ce3448d19b24651606579b08"/>
      <w:bookmarkStart w:id="4238" w:name="_Toc69879891"/>
      <w:r>
        <w:t>Math Run</w:t>
      </w:r>
      <w:bookmarkEnd w:id="4237"/>
      <w:bookmarkEnd w:id="4238"/>
      <w:r>
        <w:fldChar w:fldCharType="begin"/>
      </w:r>
      <w:r>
        <w:instrText xml:space="preserve"> XE "Math Run" </w:instrText>
      </w:r>
      <w:r>
        <w:fldChar w:fldCharType="end"/>
      </w:r>
    </w:p>
    <w:p w:rsidR="005F78FC" w:rsidRDefault="00B42EF3">
      <w:r>
        <w:t>The Office Open XML math run element r ("</w:t>
      </w:r>
      <w:hyperlink r:id="rId389">
        <w:r>
          <w:rPr>
            <w:rStyle w:val="Hyperlink"/>
          </w:rPr>
          <w:t>[ISO/IEC-29500-1]</w:t>
        </w:r>
      </w:hyperlink>
      <w:r>
        <w:t xml:space="preserve"> §22.1.2.87; r") can contain:</w:t>
      </w:r>
    </w:p>
    <w:p w:rsidR="005F78FC" w:rsidRDefault="00B42EF3">
      <w:pPr>
        <w:pStyle w:val="ListParagraph"/>
        <w:numPr>
          <w:ilvl w:val="0"/>
          <w:numId w:val="229"/>
        </w:numPr>
      </w:pPr>
      <w:r>
        <w:t xml:space="preserve">A single Word 2003 XML </w:t>
      </w:r>
      <w:r>
        <w:rPr>
          <w:b/>
        </w:rPr>
        <w:t>rPr</w:t>
      </w:r>
      <w:r>
        <w:t xml:space="preserve"> element</w:t>
      </w:r>
    </w:p>
    <w:p w:rsidR="005F78FC" w:rsidRDefault="00B42EF3">
      <w:r>
        <w:t xml:space="preserve">If the math run </w:t>
      </w:r>
      <w:r>
        <w:t xml:space="preserve">contains both an Office Open XML Math </w:t>
      </w:r>
      <w:r>
        <w:rPr>
          <w:b/>
        </w:rPr>
        <w:t>rPr</w:t>
      </w:r>
      <w:r>
        <w:t xml:space="preserve"> element and a Word 2003 XML </w:t>
      </w:r>
      <w:r>
        <w:rPr>
          <w:b/>
        </w:rPr>
        <w:t>rPr</w:t>
      </w:r>
      <w:r>
        <w:t xml:space="preserve"> element, the Office Open XML Math </w:t>
      </w:r>
      <w:r>
        <w:rPr>
          <w:b/>
        </w:rPr>
        <w:t>rPr</w:t>
      </w:r>
      <w:r>
        <w:t xml:space="preserve"> element must occur first.</w:t>
      </w:r>
    </w:p>
    <w:p w:rsidR="005F78FC" w:rsidRDefault="00B42EF3">
      <w:r>
        <w:t xml:space="preserve">The Office Open XML math </w:t>
      </w:r>
      <w:r>
        <w:rPr>
          <w:b/>
        </w:rPr>
        <w:t>r</w:t>
      </w:r>
      <w:r>
        <w:t xml:space="preserve"> element can also contain an unbounded number of elements from the following list:</w:t>
      </w:r>
    </w:p>
    <w:p w:rsidR="005F78FC" w:rsidRDefault="00B42EF3">
      <w:pPr>
        <w:pStyle w:val="ListParagraph"/>
        <w:numPr>
          <w:ilvl w:val="0"/>
          <w:numId w:val="230"/>
        </w:numPr>
        <w:contextualSpacing/>
      </w:pPr>
      <w:r>
        <w:t xml:space="preserve">Word 2003 XML </w:t>
      </w:r>
      <w:r>
        <w:rPr>
          <w:b/>
        </w:rPr>
        <w:t>fldChar</w:t>
      </w:r>
      <w:r>
        <w:t xml:space="preserve"> element</w:t>
      </w:r>
    </w:p>
    <w:p w:rsidR="005F78FC" w:rsidRDefault="00B42EF3">
      <w:pPr>
        <w:pStyle w:val="ListParagraph"/>
        <w:numPr>
          <w:ilvl w:val="0"/>
          <w:numId w:val="230"/>
        </w:numPr>
        <w:contextualSpacing/>
      </w:pPr>
      <w:r>
        <w:t xml:space="preserve">Word 2003 XML </w:t>
      </w:r>
      <w:r>
        <w:rPr>
          <w:b/>
        </w:rPr>
        <w:t>noBreakHyphen</w:t>
      </w:r>
      <w:r>
        <w:t xml:space="preserve"> element</w:t>
      </w:r>
    </w:p>
    <w:p w:rsidR="005F78FC" w:rsidRDefault="00B42EF3">
      <w:pPr>
        <w:pStyle w:val="ListParagraph"/>
        <w:numPr>
          <w:ilvl w:val="0"/>
          <w:numId w:val="230"/>
        </w:numPr>
        <w:contextualSpacing/>
      </w:pPr>
      <w:r>
        <w:t xml:space="preserve">Word 2003 XML </w:t>
      </w:r>
      <w:r>
        <w:rPr>
          <w:b/>
        </w:rPr>
        <w:t>pgNum</w:t>
      </w:r>
      <w:r>
        <w:t xml:space="preserve"> element</w:t>
      </w:r>
    </w:p>
    <w:p w:rsidR="005F78FC" w:rsidRDefault="00B42EF3">
      <w:pPr>
        <w:pStyle w:val="ListParagraph"/>
        <w:numPr>
          <w:ilvl w:val="0"/>
          <w:numId w:val="230"/>
        </w:numPr>
      </w:pPr>
      <w:r>
        <w:t xml:space="preserve">Word 2003 XML </w:t>
      </w:r>
      <w:r>
        <w:rPr>
          <w:b/>
        </w:rPr>
        <w:t>pict</w:t>
      </w:r>
      <w:r>
        <w:t xml:space="preserve"> element.</w:t>
      </w:r>
    </w:p>
    <w:p w:rsidR="005F78FC" w:rsidRDefault="00B42EF3">
      <w:r>
        <w:t xml:space="preserve">Note: Word is unable to recover the contents of the </w:t>
      </w:r>
      <w:r>
        <w:rPr>
          <w:b/>
        </w:rPr>
        <w:t>equationxml</w:t>
      </w:r>
      <w:r>
        <w:t xml:space="preserve"> attribute if it includes a </w:t>
      </w:r>
      <w:r>
        <w:rPr>
          <w:b/>
        </w:rPr>
        <w:t>pict</w:t>
      </w:r>
      <w:r>
        <w:t xml:space="preserve"> element.</w:t>
      </w:r>
    </w:p>
    <w:p w:rsidR="005F78FC" w:rsidRDefault="00B42EF3">
      <w:pPr>
        <w:pStyle w:val="ListParagraph"/>
        <w:numPr>
          <w:ilvl w:val="0"/>
          <w:numId w:val="231"/>
        </w:numPr>
        <w:contextualSpacing/>
      </w:pPr>
      <w:r>
        <w:t xml:space="preserve">Word 2003 XML </w:t>
      </w:r>
      <w:r>
        <w:rPr>
          <w:b/>
        </w:rPr>
        <w:t>softHyphen</w:t>
      </w:r>
      <w:r>
        <w:t xml:space="preserve"> elem</w:t>
      </w:r>
      <w:r>
        <w:t>ent</w:t>
      </w:r>
    </w:p>
    <w:p w:rsidR="005F78FC" w:rsidRDefault="00B42EF3">
      <w:pPr>
        <w:pStyle w:val="ListParagraph"/>
        <w:numPr>
          <w:ilvl w:val="0"/>
          <w:numId w:val="231"/>
        </w:numPr>
        <w:contextualSpacing/>
      </w:pPr>
      <w:r>
        <w:t xml:space="preserve">Word 2003 XML </w:t>
      </w:r>
      <w:r>
        <w:rPr>
          <w:b/>
        </w:rPr>
        <w:t>sym</w:t>
      </w:r>
      <w:r>
        <w:t xml:space="preserve"> element</w:t>
      </w:r>
    </w:p>
    <w:p w:rsidR="005F78FC" w:rsidRDefault="00B42EF3">
      <w:pPr>
        <w:pStyle w:val="ListParagraph"/>
        <w:numPr>
          <w:ilvl w:val="0"/>
          <w:numId w:val="231"/>
        </w:numPr>
      </w:pPr>
      <w:r>
        <w:t xml:space="preserve">Word 2003 XML </w:t>
      </w:r>
      <w:r>
        <w:rPr>
          <w:b/>
        </w:rPr>
        <w:t>tab</w:t>
      </w:r>
      <w:r>
        <w:t xml:space="preserve"> element</w:t>
      </w:r>
    </w:p>
    <w:p w:rsidR="005F78FC" w:rsidRDefault="00B42EF3">
      <w:r>
        <w:t xml:space="preserve">Those elements must occur after any </w:t>
      </w:r>
      <w:r>
        <w:rPr>
          <w:b/>
        </w:rPr>
        <w:t>rPr</w:t>
      </w:r>
      <w:r>
        <w:t xml:space="preserve"> elements.</w:t>
      </w:r>
    </w:p>
    <w:p w:rsidR="005F78FC" w:rsidRDefault="00B42EF3">
      <w:pPr>
        <w:pStyle w:val="Heading3"/>
      </w:pPr>
      <w:bookmarkStart w:id="4239" w:name="section_1f2eecd829294f2bb182d99c88b23b50"/>
      <w:bookmarkStart w:id="4240" w:name="_Toc69879892"/>
      <w:r>
        <w:t>Limitations in Word</w:t>
      </w:r>
      <w:bookmarkEnd w:id="4239"/>
      <w:bookmarkEnd w:id="4240"/>
      <w:r>
        <w:fldChar w:fldCharType="begin"/>
      </w:r>
      <w:r>
        <w:instrText xml:space="preserve"> XE "Limitations in Word" </w:instrText>
      </w:r>
      <w:r>
        <w:fldChar w:fldCharType="end"/>
      </w:r>
    </w:p>
    <w:p w:rsidR="005F78FC" w:rsidRDefault="00B42EF3">
      <w:r>
        <w:t xml:space="preserve">Word ignores character styles, specified using the Word 2003 XML </w:t>
      </w:r>
      <w:r>
        <w:rPr>
          <w:b/>
        </w:rPr>
        <w:t>rStyle</w:t>
      </w:r>
      <w:r>
        <w:t xml:space="preserve"> element, when converting the c</w:t>
      </w:r>
      <w:r>
        <w:t xml:space="preserve">ontents of the </w:t>
      </w:r>
      <w:r>
        <w:rPr>
          <w:b/>
        </w:rPr>
        <w:t>equationxml</w:t>
      </w:r>
      <w:r>
        <w:t xml:space="preserve"> attribute to Office Open XML Math.</w:t>
      </w:r>
    </w:p>
    <w:p w:rsidR="005F78FC" w:rsidRDefault="00B42EF3">
      <w:r>
        <w:t xml:space="preserve">Word is unable to recover the contents of the </w:t>
      </w:r>
      <w:r>
        <w:rPr>
          <w:b/>
        </w:rPr>
        <w:t>equationxml</w:t>
      </w:r>
      <w:r>
        <w:t xml:space="preserve"> attribute if it includes the Word 2003 XML </w:t>
      </w:r>
      <w:r>
        <w:rPr>
          <w:b/>
        </w:rPr>
        <w:t>pict</w:t>
      </w:r>
      <w:r>
        <w:t xml:space="preserve"> element.</w:t>
      </w:r>
    </w:p>
    <w:p w:rsidR="005F78FC" w:rsidRDefault="00B42EF3">
      <w:r>
        <w:t xml:space="preserve">When Word recovers the contents of the </w:t>
      </w:r>
      <w:r>
        <w:rPr>
          <w:b/>
        </w:rPr>
        <w:t>equationxml</w:t>
      </w:r>
      <w:r>
        <w:t xml:space="preserve"> attribute and the picture wi</w:t>
      </w:r>
      <w:r>
        <w:t xml:space="preserve">th the </w:t>
      </w:r>
      <w:r>
        <w:rPr>
          <w:b/>
        </w:rPr>
        <w:t>equationxml</w:t>
      </w:r>
      <w:r>
        <w:t xml:space="preserve"> attribute is inside a </w:t>
      </w:r>
      <w:r>
        <w:rPr>
          <w:b/>
        </w:rPr>
        <w:t>QUOTE</w:t>
      </w:r>
      <w:r>
        <w:t xml:space="preserve"> field, Word will lose any bookmarks represented using AML annotation elements inside the </w:t>
      </w:r>
      <w:r>
        <w:rPr>
          <w:b/>
        </w:rPr>
        <w:t>equationxml attribute</w:t>
      </w:r>
      <w:r>
        <w:t>.</w:t>
      </w:r>
    </w:p>
    <w:p w:rsidR="005F78FC" w:rsidRDefault="00B42EF3">
      <w:pPr>
        <w:pStyle w:val="Heading2"/>
      </w:pPr>
      <w:bookmarkStart w:id="4241" w:name="section_9d3137ee53f64d7cb7e02f92cc2573a8"/>
      <w:bookmarkStart w:id="4242" w:name="_Toc69879893"/>
      <w:r>
        <w:t>Simple Types</w:t>
      </w:r>
      <w:bookmarkEnd w:id="4241"/>
      <w:bookmarkEnd w:id="4242"/>
      <w:r>
        <w:fldChar w:fldCharType="begin"/>
      </w:r>
      <w:r>
        <w:instrText xml:space="preserve"> XE "Simple Types (Additional Information)" </w:instrText>
      </w:r>
      <w:r>
        <w:fldChar w:fldCharType="end"/>
      </w:r>
    </w:p>
    <w:p w:rsidR="005F78FC" w:rsidRDefault="00B42EF3">
      <w:r>
        <w:t>The subordinate clauses describe XML s</w:t>
      </w:r>
      <w:r>
        <w:t>imple types that are used by Office to read and write Office Open XML files.</w:t>
      </w:r>
    </w:p>
    <w:p w:rsidR="005F78FC" w:rsidRDefault="00B42EF3">
      <w:pPr>
        <w:pStyle w:val="Heading3"/>
      </w:pPr>
      <w:bookmarkStart w:id="4243" w:name="section_c96929a126d44fe4819f37727a9492e8"/>
      <w:bookmarkStart w:id="4244" w:name="_Toc69879894"/>
      <w:r>
        <w:lastRenderedPageBreak/>
        <w:t>ST_Fraction (Fraction Type)</w:t>
      </w:r>
      <w:bookmarkEnd w:id="4243"/>
      <w:bookmarkEnd w:id="4244"/>
      <w:r>
        <w:fldChar w:fldCharType="begin"/>
      </w:r>
      <w:r>
        <w:instrText xml:space="preserve"> XE "ST_Fraction (Fraction Type)" </w:instrText>
      </w:r>
      <w:r>
        <w:fldChar w:fldCharType="end"/>
      </w:r>
    </w:p>
    <w:p w:rsidR="005F78FC" w:rsidRDefault="00B42EF3">
      <w:r>
        <w:t>This simple type specifies numerical, floating point data in one of three ways.</w:t>
      </w:r>
    </w:p>
    <w:p w:rsidR="005F78FC" w:rsidRDefault="00B42EF3">
      <w:r>
        <w:t>The first form is the standard deci</w:t>
      </w:r>
      <w:r>
        <w:t>mal form used by the XML Schema decimal datatype.  Valid values for this form are all decimals in the range [-32768, 32767].</w:t>
      </w:r>
    </w:p>
    <w:p w:rsidR="005F78FC" w:rsidRDefault="00B42EF3">
      <w:r>
        <w:t>The second form is an integer number with a postfixed “f” character.  Each integer represents 1/65536 so that a value of “65536f” e</w:t>
      </w:r>
      <w:r>
        <w:t>quates to a decimal value of 1.0.  Valid values for this form are all integers in the range [-2147483648, 2147418112] followed by the postfixed “f”.</w:t>
      </w:r>
    </w:p>
    <w:p w:rsidR="005F78FC" w:rsidRDefault="00B42EF3">
      <w:r>
        <w:t>The third form is equivalent to the second, except that the “f” postfixed character is replaced by the stri</w:t>
      </w:r>
      <w:r>
        <w:t>ng “fd”.  This is used when expressing angular measurements.</w:t>
      </w:r>
    </w:p>
    <w:p w:rsidR="005F78FC" w:rsidRDefault="00B42EF3">
      <w:r>
        <w:t>This simple type's contents are a restriction of the XML Schema string datatype.</w:t>
      </w:r>
    </w:p>
    <w:p w:rsidR="005F78FC" w:rsidRDefault="00B42EF3">
      <w:r>
        <w:t>The following XML Schema fragment defines the contents of this simple type:</w:t>
      </w:r>
    </w:p>
    <w:p w:rsidR="005F78FC" w:rsidRDefault="00B42EF3">
      <w:pPr>
        <w:pStyle w:val="Code"/>
      </w:pPr>
      <w:r>
        <w:t>&lt;simpleType name="ST_Fraction"&gt;</w:t>
      </w:r>
    </w:p>
    <w:p w:rsidR="005F78FC" w:rsidRDefault="00B42EF3">
      <w:pPr>
        <w:pStyle w:val="Code"/>
      </w:pPr>
      <w:r>
        <w:t xml:space="preserve">  &lt;res</w:t>
      </w:r>
      <w:r>
        <w:t>triction base="xsd:string"/&gt;</w:t>
      </w:r>
    </w:p>
    <w:p w:rsidR="005F78FC" w:rsidRDefault="00B42EF3">
      <w:pPr>
        <w:pStyle w:val="Code"/>
      </w:pPr>
      <w:r>
        <w:t>&lt;/simpleType&gt;</w:t>
      </w:r>
    </w:p>
    <w:p w:rsidR="005F78FC" w:rsidRDefault="00B42EF3">
      <w:pPr>
        <w:pStyle w:val="Heading3"/>
      </w:pPr>
      <w:bookmarkStart w:id="4245" w:name="section_3a025d97fe484df0a51d7ab3e024b866"/>
      <w:bookmarkStart w:id="4246" w:name="_Toc69879895"/>
      <w:r>
        <w:t>ST_Macro (Custom Function Name Type)</w:t>
      </w:r>
      <w:bookmarkEnd w:id="4245"/>
      <w:bookmarkEnd w:id="4246"/>
      <w:r>
        <w:fldChar w:fldCharType="begin"/>
      </w:r>
      <w:r>
        <w:instrText xml:space="preserve"> XE "ST_Macro (Custom Function Name Type)" </w:instrText>
      </w:r>
      <w:r>
        <w:fldChar w:fldCharType="end"/>
      </w:r>
    </w:p>
    <w:p w:rsidR="005F78FC" w:rsidRDefault="00B42EF3">
      <w:r>
        <w:t xml:space="preserve">This simple type specifies the name of a custom function associated with the object. This string shall follow the same grammar as </w:t>
      </w:r>
      <w:r>
        <w:t>name-reference in section "</w:t>
      </w:r>
      <w:hyperlink r:id="rId390">
        <w:r>
          <w:rPr>
            <w:rStyle w:val="Hyperlink"/>
          </w:rPr>
          <w:t>[ISO/IEC-29500-1]</w:t>
        </w:r>
      </w:hyperlink>
      <w:r>
        <w:t xml:space="preserve"> §18.17.2.5".</w:t>
      </w:r>
    </w:p>
    <w:p w:rsidR="005F78FC" w:rsidRDefault="00B42EF3">
      <w:r>
        <w:t>This simple type's contents are a restriction of the XML Schema string datatype.</w:t>
      </w:r>
    </w:p>
    <w:p w:rsidR="005F78FC" w:rsidRDefault="00B42EF3">
      <w:r>
        <w:t xml:space="preserve">This simple type also specifies the following </w:t>
      </w:r>
      <w:r>
        <w:t>restrictions:</w:t>
      </w:r>
    </w:p>
    <w:p w:rsidR="005F78FC" w:rsidRDefault="00B42EF3">
      <w:pPr>
        <w:pStyle w:val="ListParagraph"/>
        <w:numPr>
          <w:ilvl w:val="0"/>
          <w:numId w:val="232"/>
        </w:numPr>
        <w:contextualSpacing/>
      </w:pPr>
      <w:r>
        <w:t>This simple type's contents have a minimum length of 0 characters.</w:t>
      </w:r>
    </w:p>
    <w:p w:rsidR="005F78FC" w:rsidRDefault="00B42EF3">
      <w:pPr>
        <w:pStyle w:val="ListParagraph"/>
        <w:numPr>
          <w:ilvl w:val="0"/>
          <w:numId w:val="232"/>
        </w:numPr>
      </w:pPr>
      <w:r>
        <w:t>This simple type's contents have a maximum length of 256 characters.</w:t>
      </w:r>
    </w:p>
    <w:p w:rsidR="005F78FC" w:rsidRDefault="00B42EF3">
      <w:r>
        <w:t>The following XML Schema fragment defines the contents of this simple type:</w:t>
      </w:r>
    </w:p>
    <w:p w:rsidR="005F78FC" w:rsidRDefault="00B42EF3">
      <w:pPr>
        <w:pStyle w:val="Code"/>
      </w:pPr>
      <w:r>
        <w:t>&lt;simpleType name="ST_Macro"&gt;</w:t>
      </w:r>
    </w:p>
    <w:p w:rsidR="005F78FC" w:rsidRDefault="00B42EF3">
      <w:pPr>
        <w:pStyle w:val="Code"/>
      </w:pPr>
      <w:r>
        <w:t xml:space="preserve"> </w:t>
      </w:r>
      <w:r>
        <w:t xml:space="preserve"> &lt;restriction base="xsd:string"&gt;</w:t>
      </w:r>
    </w:p>
    <w:p w:rsidR="005F78FC" w:rsidRDefault="00B42EF3">
      <w:pPr>
        <w:pStyle w:val="Code"/>
      </w:pPr>
      <w:r>
        <w:t xml:space="preserve">    &lt;minLength value="0"/&gt;</w:t>
      </w:r>
    </w:p>
    <w:p w:rsidR="005F78FC" w:rsidRDefault="00B42EF3">
      <w:pPr>
        <w:pStyle w:val="Code"/>
      </w:pPr>
      <w:r>
        <w:t xml:space="preserve">    &lt;maxLength value="256"/&gt;</w:t>
      </w:r>
    </w:p>
    <w:p w:rsidR="005F78FC" w:rsidRDefault="00B42EF3">
      <w:pPr>
        <w:pStyle w:val="Code"/>
      </w:pPr>
      <w:r>
        <w:t xml:space="preserve">  &lt;/restriction&gt;</w:t>
      </w:r>
    </w:p>
    <w:p w:rsidR="005F78FC" w:rsidRDefault="00B42EF3">
      <w:pPr>
        <w:pStyle w:val="Code"/>
      </w:pPr>
      <w:r>
        <w:t>&lt;/simpleType&gt;</w:t>
      </w:r>
    </w:p>
    <w:p w:rsidR="005F78FC" w:rsidRDefault="00B42EF3">
      <w:pPr>
        <w:pStyle w:val="Heading3"/>
      </w:pPr>
      <w:bookmarkStart w:id="4247" w:name="section_bf23da8a2e1d4d268eb40ba002bd78f6"/>
      <w:bookmarkStart w:id="4248" w:name="_Toc69879896"/>
      <w:r>
        <w:t>ST_ObjID (Object ID)</w:t>
      </w:r>
      <w:bookmarkEnd w:id="4247"/>
      <w:bookmarkEnd w:id="4248"/>
      <w:r>
        <w:fldChar w:fldCharType="begin"/>
      </w:r>
      <w:r>
        <w:instrText xml:space="preserve"> XE "ST_ObjID (Object ID)" </w:instrText>
      </w:r>
      <w:r>
        <w:fldChar w:fldCharType="end"/>
      </w:r>
    </w:p>
    <w:p w:rsidR="005F78FC" w:rsidRDefault="00B42EF3">
      <w:r>
        <w:t xml:space="preserve">In Office 2007, Object IDs are either object names or an ID number. </w:t>
      </w:r>
    </w:p>
    <w:p w:rsidR="005F78FC" w:rsidRDefault="00B42EF3">
      <w:r>
        <w:t>An object name ha</w:t>
      </w:r>
      <w:r>
        <w:t>s the following characteristics:</w:t>
      </w:r>
    </w:p>
    <w:p w:rsidR="005F78FC" w:rsidRDefault="00B42EF3">
      <w:pPr>
        <w:pStyle w:val="ListParagraph"/>
        <w:numPr>
          <w:ilvl w:val="0"/>
          <w:numId w:val="233"/>
        </w:numPr>
        <w:contextualSpacing/>
      </w:pPr>
      <w:r>
        <w:t>It is not an ID number.</w:t>
      </w:r>
    </w:p>
    <w:p w:rsidR="005F78FC" w:rsidRDefault="00B42EF3">
      <w:pPr>
        <w:pStyle w:val="ListParagraph"/>
        <w:numPr>
          <w:ilvl w:val="0"/>
          <w:numId w:val="233"/>
        </w:numPr>
        <w:contextualSpacing/>
      </w:pPr>
      <w:r>
        <w:t>There is no shape with the same name in the:</w:t>
      </w:r>
    </w:p>
    <w:p w:rsidR="005F78FC" w:rsidRDefault="00B42EF3">
      <w:pPr>
        <w:pStyle w:val="ListParagraph"/>
        <w:numPr>
          <w:ilvl w:val="0"/>
          <w:numId w:val="233"/>
        </w:numPr>
        <w:contextualSpacing/>
      </w:pPr>
      <w:r>
        <w:t>same worksheet, for Excel.</w:t>
      </w:r>
    </w:p>
    <w:p w:rsidR="005F78FC" w:rsidRDefault="00B42EF3">
      <w:pPr>
        <w:pStyle w:val="ListParagraph"/>
        <w:numPr>
          <w:ilvl w:val="0"/>
          <w:numId w:val="233"/>
        </w:numPr>
        <w:contextualSpacing/>
      </w:pPr>
      <w:r>
        <w:t>same slide, for PowerPoint.</w:t>
      </w:r>
    </w:p>
    <w:p w:rsidR="005F78FC" w:rsidRDefault="00B42EF3">
      <w:pPr>
        <w:pStyle w:val="ListParagraph"/>
        <w:numPr>
          <w:ilvl w:val="0"/>
          <w:numId w:val="233"/>
        </w:numPr>
        <w:contextualSpacing/>
      </w:pPr>
      <w:r>
        <w:t>same document, for Word.</w:t>
      </w:r>
    </w:p>
    <w:p w:rsidR="005F78FC" w:rsidRDefault="00B42EF3">
      <w:pPr>
        <w:pStyle w:val="ListParagraph"/>
        <w:numPr>
          <w:ilvl w:val="0"/>
          <w:numId w:val="233"/>
        </w:numPr>
        <w:contextualSpacing/>
      </w:pPr>
      <w:r>
        <w:t>header, for Word.</w:t>
      </w:r>
    </w:p>
    <w:p w:rsidR="005F78FC" w:rsidRDefault="00B42EF3">
      <w:pPr>
        <w:pStyle w:val="ListParagraph"/>
        <w:numPr>
          <w:ilvl w:val="0"/>
          <w:numId w:val="233"/>
        </w:numPr>
      </w:pPr>
      <w:r>
        <w:t>It is not an embedded object, for Excel and Word.</w:t>
      </w:r>
    </w:p>
    <w:p w:rsidR="005F78FC" w:rsidRDefault="00B42EF3">
      <w:r>
        <w:lastRenderedPageBreak/>
        <w:t xml:space="preserve">If it </w:t>
      </w:r>
      <w:r>
        <w:t xml:space="preserve">is an object name and contains NCR (Numeric Character Reference) characters, they are escaped using the Unicode numerical character representation escape character format </w:t>
      </w:r>
      <w:r>
        <w:rPr>
          <w:rStyle w:val="InlineCode"/>
        </w:rPr>
        <w:t>_xHHHH_</w:t>
      </w:r>
      <w:r>
        <w:t>, where H represents a hexadecimal character. If the string already contains e</w:t>
      </w:r>
      <w:r>
        <w:t>scaped characters in this format, then the first underscore character (_) of the escape sequence shall be escaped.</w:t>
      </w:r>
    </w:p>
    <w:p w:rsidR="005F78FC" w:rsidRDefault="00B42EF3">
      <w:r>
        <w:t xml:space="preserve">An ID number is defined by the </w:t>
      </w:r>
      <w:r>
        <w:rPr>
          <w:b/>
        </w:rPr>
        <w:t>ST_SpId</w:t>
      </w:r>
      <w:r>
        <w:t xml:space="preserve"> simple type (</w:t>
      </w:r>
      <w:hyperlink w:anchor="Section_97429d90d53344dfb1334f7a0171cae4">
        <w:r>
          <w:rPr>
            <w:rStyle w:val="Hyperlink"/>
          </w:rPr>
          <w:t>§3.9.6, ST_SpId</w:t>
        </w:r>
      </w:hyperlink>
      <w:r>
        <w:t>).</w:t>
      </w:r>
    </w:p>
    <w:p w:rsidR="005F78FC" w:rsidRDefault="00B42EF3">
      <w:r>
        <w:t>This sim</w:t>
      </w:r>
      <w:r>
        <w:t>ple type's contents are a restriction of the XML Schema token datatype.</w:t>
      </w:r>
    </w:p>
    <w:p w:rsidR="005F78FC" w:rsidRDefault="00B42EF3">
      <w:r>
        <w:t>This simple type also specifies the following restrictions:</w:t>
      </w:r>
    </w:p>
    <w:p w:rsidR="005F78FC" w:rsidRDefault="00B42EF3">
      <w:pPr>
        <w:pStyle w:val="ListParagraph"/>
        <w:numPr>
          <w:ilvl w:val="0"/>
          <w:numId w:val="234"/>
        </w:numPr>
      </w:pPr>
      <w:r>
        <w:t>This simple type's contents have a maximum length of 255 characters.</w:t>
      </w:r>
    </w:p>
    <w:p w:rsidR="005F78FC" w:rsidRDefault="00B42EF3">
      <w:r>
        <w:t xml:space="preserve">The following XML Schema fragment defines the contents </w:t>
      </w:r>
      <w:r>
        <w:t>of this simple type:</w:t>
      </w:r>
    </w:p>
    <w:p w:rsidR="005F78FC" w:rsidRDefault="00B42EF3">
      <w:pPr>
        <w:pStyle w:val="Code"/>
      </w:pPr>
      <w:r>
        <w:t>&lt;simpleType name="ST_ObjID"&gt;</w:t>
      </w:r>
    </w:p>
    <w:p w:rsidR="005F78FC" w:rsidRDefault="00B42EF3">
      <w:pPr>
        <w:pStyle w:val="Code"/>
      </w:pPr>
      <w:r>
        <w:t xml:space="preserve">  &lt;restriction base="xsd:token"&gt;</w:t>
      </w:r>
    </w:p>
    <w:p w:rsidR="005F78FC" w:rsidRDefault="00B42EF3">
      <w:pPr>
        <w:pStyle w:val="Code"/>
      </w:pPr>
      <w:r>
        <w:t xml:space="preserve">    &lt;maxLength value="255"/&gt;</w:t>
      </w:r>
    </w:p>
    <w:p w:rsidR="005F78FC" w:rsidRDefault="00B42EF3">
      <w:pPr>
        <w:pStyle w:val="Code"/>
      </w:pPr>
      <w:r>
        <w:t xml:space="preserve">  &lt;/restriction&gt;</w:t>
      </w:r>
    </w:p>
    <w:p w:rsidR="005F78FC" w:rsidRDefault="00B42EF3">
      <w:pPr>
        <w:pStyle w:val="Code"/>
      </w:pPr>
      <w:r>
        <w:t>&lt;/simpleType&gt;</w:t>
      </w:r>
    </w:p>
    <w:p w:rsidR="005F78FC" w:rsidRDefault="00B42EF3">
      <w:pPr>
        <w:pStyle w:val="Heading3"/>
      </w:pPr>
      <w:bookmarkStart w:id="4249" w:name="section_9fa89b60c362417d97158382b70c6275"/>
      <w:bookmarkStart w:id="4250" w:name="_Toc69879897"/>
      <w:r>
        <w:t>ST_ObjIDRef (Object ID Reference)</w:t>
      </w:r>
      <w:bookmarkEnd w:id="4249"/>
      <w:bookmarkEnd w:id="4250"/>
      <w:r>
        <w:fldChar w:fldCharType="begin"/>
      </w:r>
      <w:r>
        <w:instrText xml:space="preserve"> XE "ST_ObjIDRef (Object ID Reference)" </w:instrText>
      </w:r>
      <w:r>
        <w:fldChar w:fldCharType="end"/>
      </w:r>
    </w:p>
    <w:p w:rsidR="005F78FC" w:rsidRDefault="00B42EF3">
      <w:r>
        <w:t>This simple type specifies a referenc</w:t>
      </w:r>
      <w:r>
        <w:t>e to an object ID.  It starts with an optional ‘#’ which is followed by an object ID number or an object name as described in the ST_ObjID simple type (</w:t>
      </w:r>
      <w:hyperlink w:anchor="Section_bf23da8a2e1d4d268eb40ba002bd78f6">
        <w:r>
          <w:rPr>
            <w:rStyle w:val="Hyperlink"/>
          </w:rPr>
          <w:t>§3.9.3, ST_ObjID</w:t>
        </w:r>
      </w:hyperlink>
      <w:r>
        <w:t>).</w:t>
      </w:r>
    </w:p>
    <w:p w:rsidR="005F78FC" w:rsidRDefault="00B42EF3">
      <w:r>
        <w:t>This simple type's con</w:t>
      </w:r>
      <w:r>
        <w:t>tents are a restriction of the XML Schema token datatype.</w:t>
      </w:r>
    </w:p>
    <w:p w:rsidR="005F78FC" w:rsidRDefault="00B42EF3">
      <w:r>
        <w:t>The following XML Schema fragment defines the contents of this simple type:</w:t>
      </w:r>
    </w:p>
    <w:p w:rsidR="005F78FC" w:rsidRDefault="00B42EF3">
      <w:pPr>
        <w:pStyle w:val="Code"/>
      </w:pPr>
      <w:r>
        <w:t>&lt;simpleType name="ST_ObjIDRef"&gt;</w:t>
      </w:r>
    </w:p>
    <w:p w:rsidR="005F78FC" w:rsidRDefault="00B42EF3">
      <w:pPr>
        <w:pStyle w:val="Code"/>
      </w:pPr>
      <w:r>
        <w:t xml:space="preserve">  &lt;restriction base="xsd:token"/&gt;</w:t>
      </w:r>
    </w:p>
    <w:p w:rsidR="005F78FC" w:rsidRDefault="00B42EF3">
      <w:pPr>
        <w:pStyle w:val="Code"/>
      </w:pPr>
      <w:r>
        <w:t>&lt;/simpleType&gt;</w:t>
      </w:r>
    </w:p>
    <w:p w:rsidR="005F78FC" w:rsidRDefault="00B42EF3">
      <w:pPr>
        <w:pStyle w:val="Heading3"/>
      </w:pPr>
      <w:bookmarkStart w:id="4251" w:name="section_d7f650a3a70647a88556121f9c7d0205"/>
      <w:bookmarkStart w:id="4252" w:name="_Toc69879898"/>
      <w:r>
        <w:t>ST_ShapeType (Shape Type)</w:t>
      </w:r>
      <w:bookmarkEnd w:id="4251"/>
      <w:bookmarkEnd w:id="4252"/>
      <w:r>
        <w:fldChar w:fldCharType="begin"/>
      </w:r>
      <w:r>
        <w:instrText xml:space="preserve"> XE "ST_ShapeType (Shape Type)" </w:instrText>
      </w:r>
      <w:r>
        <w:fldChar w:fldCharType="end"/>
      </w:r>
    </w:p>
    <w:p w:rsidR="005F78FC" w:rsidRDefault="00B42EF3">
      <w:r>
        <w:t>This simple type specifies the kinds of shapes a VML shape can represent.  [Rationale: An application may use this to indicate that a VML shape represents a particular conceptual shape type. end rationale]</w:t>
      </w:r>
    </w:p>
    <w:tbl>
      <w:tblPr>
        <w:tblStyle w:val="Table-ShadedHeader"/>
        <w:tblW w:w="0" w:type="auto"/>
        <w:tblLook w:val="04A0" w:firstRow="1" w:lastRow="0" w:firstColumn="1" w:lastColumn="0" w:noHBand="0" w:noVBand="1"/>
      </w:tblPr>
      <w:tblGrid>
        <w:gridCol w:w="913"/>
        <w:gridCol w:w="2999"/>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Value</w:t>
            </w:r>
          </w:p>
        </w:tc>
        <w:tc>
          <w:tcPr>
            <w:tcW w:w="0" w:type="auto"/>
            <w:vAlign w:val="center"/>
          </w:tcPr>
          <w:p w:rsidR="005F78FC" w:rsidRDefault="00B42EF3">
            <w:pPr>
              <w:pStyle w:val="TableHeaderText"/>
            </w:pPr>
            <w:r>
              <w:t>Descripti</w:t>
            </w:r>
            <w:r>
              <w:t>on</w:t>
            </w:r>
          </w:p>
        </w:tc>
      </w:tr>
      <w:tr w:rsidR="005F78FC" w:rsidTr="005F78FC">
        <w:tc>
          <w:tcPr>
            <w:tcW w:w="0" w:type="auto"/>
            <w:vAlign w:val="center"/>
          </w:tcPr>
          <w:p w:rsidR="005F78FC" w:rsidRDefault="00B42EF3">
            <w:pPr>
              <w:pStyle w:val="TableBodyText"/>
            </w:pPr>
            <w:r>
              <w:rPr>
                <w:i/>
              </w:rPr>
              <w:t>0</w:t>
            </w:r>
          </w:p>
        </w:tc>
        <w:tc>
          <w:tcPr>
            <w:tcW w:w="0" w:type="auto"/>
            <w:vAlign w:val="center"/>
          </w:tcPr>
          <w:p w:rsidR="005F78FC" w:rsidRDefault="00B42EF3">
            <w:pPr>
              <w:pStyle w:val="TableBodyText"/>
            </w:pPr>
            <w:r>
              <w:t>User-defined shape</w:t>
            </w:r>
          </w:p>
        </w:tc>
      </w:tr>
      <w:tr w:rsidR="005F78FC" w:rsidTr="005F78FC">
        <w:tc>
          <w:tcPr>
            <w:tcW w:w="0" w:type="auto"/>
            <w:vAlign w:val="center"/>
          </w:tcPr>
          <w:p w:rsidR="005F78FC" w:rsidRDefault="00B42EF3">
            <w:pPr>
              <w:pStyle w:val="TableBodyText"/>
            </w:pPr>
            <w:r>
              <w:rPr>
                <w:i/>
              </w:rPr>
              <w:t>1</w:t>
            </w:r>
          </w:p>
        </w:tc>
        <w:tc>
          <w:tcPr>
            <w:tcW w:w="0" w:type="auto"/>
            <w:vAlign w:val="center"/>
          </w:tcPr>
          <w:p w:rsidR="005F78FC" w:rsidRDefault="00B42EF3">
            <w:pPr>
              <w:pStyle w:val="TableBodyText"/>
            </w:pPr>
            <w:r>
              <w:t>Rectangle</w:t>
            </w:r>
          </w:p>
        </w:tc>
      </w:tr>
      <w:tr w:rsidR="005F78FC" w:rsidTr="005F78FC">
        <w:tc>
          <w:tcPr>
            <w:tcW w:w="0" w:type="auto"/>
            <w:vAlign w:val="center"/>
          </w:tcPr>
          <w:p w:rsidR="005F78FC" w:rsidRDefault="00B42EF3">
            <w:pPr>
              <w:pStyle w:val="TableBodyText"/>
            </w:pPr>
            <w:r>
              <w:rPr>
                <w:i/>
              </w:rPr>
              <w:t>2</w:t>
            </w:r>
          </w:p>
        </w:tc>
        <w:tc>
          <w:tcPr>
            <w:tcW w:w="0" w:type="auto"/>
            <w:vAlign w:val="center"/>
          </w:tcPr>
          <w:p w:rsidR="005F78FC" w:rsidRDefault="00B42EF3">
            <w:pPr>
              <w:pStyle w:val="TableBodyText"/>
            </w:pPr>
            <w:r>
              <w:t>Rounded Rectangle</w:t>
            </w:r>
          </w:p>
        </w:tc>
      </w:tr>
      <w:tr w:rsidR="005F78FC" w:rsidTr="005F78FC">
        <w:tc>
          <w:tcPr>
            <w:tcW w:w="0" w:type="auto"/>
            <w:vAlign w:val="center"/>
          </w:tcPr>
          <w:p w:rsidR="005F78FC" w:rsidRDefault="00B42EF3">
            <w:pPr>
              <w:pStyle w:val="TableBodyText"/>
            </w:pPr>
            <w:r>
              <w:rPr>
                <w:i/>
              </w:rPr>
              <w:t>3</w:t>
            </w:r>
          </w:p>
        </w:tc>
        <w:tc>
          <w:tcPr>
            <w:tcW w:w="0" w:type="auto"/>
            <w:vAlign w:val="center"/>
          </w:tcPr>
          <w:p w:rsidR="005F78FC" w:rsidRDefault="00B42EF3">
            <w:pPr>
              <w:pStyle w:val="TableBodyText"/>
            </w:pPr>
            <w:r>
              <w:t>Ellipse</w:t>
            </w:r>
          </w:p>
        </w:tc>
      </w:tr>
      <w:tr w:rsidR="005F78FC" w:rsidTr="005F78FC">
        <w:tc>
          <w:tcPr>
            <w:tcW w:w="0" w:type="auto"/>
            <w:vAlign w:val="center"/>
          </w:tcPr>
          <w:p w:rsidR="005F78FC" w:rsidRDefault="00B42EF3">
            <w:pPr>
              <w:pStyle w:val="TableBodyText"/>
            </w:pPr>
            <w:r>
              <w:rPr>
                <w:i/>
              </w:rPr>
              <w:t>4</w:t>
            </w:r>
          </w:p>
        </w:tc>
        <w:tc>
          <w:tcPr>
            <w:tcW w:w="0" w:type="auto"/>
            <w:vAlign w:val="center"/>
          </w:tcPr>
          <w:p w:rsidR="005F78FC" w:rsidRDefault="00B42EF3">
            <w:pPr>
              <w:pStyle w:val="TableBodyText"/>
            </w:pPr>
            <w:r>
              <w:t>Diamond</w:t>
            </w:r>
          </w:p>
        </w:tc>
      </w:tr>
      <w:tr w:rsidR="005F78FC" w:rsidTr="005F78FC">
        <w:tc>
          <w:tcPr>
            <w:tcW w:w="0" w:type="auto"/>
            <w:vAlign w:val="center"/>
          </w:tcPr>
          <w:p w:rsidR="005F78FC" w:rsidRDefault="00B42EF3">
            <w:pPr>
              <w:pStyle w:val="TableBodyText"/>
            </w:pPr>
            <w:r>
              <w:rPr>
                <w:i/>
              </w:rPr>
              <w:t>5</w:t>
            </w:r>
          </w:p>
        </w:tc>
        <w:tc>
          <w:tcPr>
            <w:tcW w:w="0" w:type="auto"/>
            <w:vAlign w:val="center"/>
          </w:tcPr>
          <w:p w:rsidR="005F78FC" w:rsidRDefault="00B42EF3">
            <w:pPr>
              <w:pStyle w:val="TableBodyText"/>
            </w:pPr>
            <w:r>
              <w:t>Isosceles Triangle</w:t>
            </w:r>
          </w:p>
        </w:tc>
      </w:tr>
      <w:tr w:rsidR="005F78FC" w:rsidTr="005F78FC">
        <w:tc>
          <w:tcPr>
            <w:tcW w:w="0" w:type="auto"/>
            <w:vAlign w:val="center"/>
          </w:tcPr>
          <w:p w:rsidR="005F78FC" w:rsidRDefault="00B42EF3">
            <w:pPr>
              <w:pStyle w:val="TableBodyText"/>
            </w:pPr>
            <w:r>
              <w:rPr>
                <w:i/>
              </w:rPr>
              <w:t>6</w:t>
            </w:r>
          </w:p>
        </w:tc>
        <w:tc>
          <w:tcPr>
            <w:tcW w:w="0" w:type="auto"/>
            <w:vAlign w:val="center"/>
          </w:tcPr>
          <w:p w:rsidR="005F78FC" w:rsidRDefault="00B42EF3">
            <w:pPr>
              <w:pStyle w:val="TableBodyText"/>
            </w:pPr>
            <w:r>
              <w:t>Right Triangle</w:t>
            </w:r>
          </w:p>
        </w:tc>
      </w:tr>
      <w:tr w:rsidR="005F78FC" w:rsidTr="005F78FC">
        <w:tc>
          <w:tcPr>
            <w:tcW w:w="0" w:type="auto"/>
            <w:vAlign w:val="center"/>
          </w:tcPr>
          <w:p w:rsidR="005F78FC" w:rsidRDefault="00B42EF3">
            <w:pPr>
              <w:pStyle w:val="TableBodyText"/>
            </w:pPr>
            <w:r>
              <w:rPr>
                <w:i/>
              </w:rPr>
              <w:t>7</w:t>
            </w:r>
          </w:p>
        </w:tc>
        <w:tc>
          <w:tcPr>
            <w:tcW w:w="0" w:type="auto"/>
            <w:vAlign w:val="center"/>
          </w:tcPr>
          <w:p w:rsidR="005F78FC" w:rsidRDefault="00B42EF3">
            <w:pPr>
              <w:pStyle w:val="TableBodyText"/>
            </w:pPr>
            <w:r>
              <w:t>Parallelogram</w:t>
            </w:r>
          </w:p>
        </w:tc>
      </w:tr>
      <w:tr w:rsidR="005F78FC" w:rsidTr="005F78FC">
        <w:tc>
          <w:tcPr>
            <w:tcW w:w="0" w:type="auto"/>
            <w:vAlign w:val="center"/>
          </w:tcPr>
          <w:p w:rsidR="005F78FC" w:rsidRDefault="00B42EF3">
            <w:pPr>
              <w:pStyle w:val="TableBodyText"/>
            </w:pPr>
            <w:r>
              <w:rPr>
                <w:i/>
              </w:rPr>
              <w:lastRenderedPageBreak/>
              <w:t>8</w:t>
            </w:r>
          </w:p>
        </w:tc>
        <w:tc>
          <w:tcPr>
            <w:tcW w:w="0" w:type="auto"/>
            <w:vAlign w:val="center"/>
          </w:tcPr>
          <w:p w:rsidR="005F78FC" w:rsidRDefault="00B42EF3">
            <w:pPr>
              <w:pStyle w:val="TableBodyText"/>
            </w:pPr>
            <w:r>
              <w:t>Trapezoid</w:t>
            </w:r>
          </w:p>
        </w:tc>
      </w:tr>
      <w:tr w:rsidR="005F78FC" w:rsidTr="005F78FC">
        <w:tc>
          <w:tcPr>
            <w:tcW w:w="0" w:type="auto"/>
            <w:vAlign w:val="center"/>
          </w:tcPr>
          <w:p w:rsidR="005F78FC" w:rsidRDefault="00B42EF3">
            <w:pPr>
              <w:pStyle w:val="TableBodyText"/>
            </w:pPr>
            <w:r>
              <w:rPr>
                <w:i/>
              </w:rPr>
              <w:t>9</w:t>
            </w:r>
          </w:p>
        </w:tc>
        <w:tc>
          <w:tcPr>
            <w:tcW w:w="0" w:type="auto"/>
            <w:vAlign w:val="center"/>
          </w:tcPr>
          <w:p w:rsidR="005F78FC" w:rsidRDefault="00B42EF3">
            <w:pPr>
              <w:pStyle w:val="TableBodyText"/>
            </w:pPr>
            <w:r>
              <w:t>Hexagon</w:t>
            </w:r>
          </w:p>
        </w:tc>
      </w:tr>
      <w:tr w:rsidR="005F78FC" w:rsidTr="005F78FC">
        <w:tc>
          <w:tcPr>
            <w:tcW w:w="0" w:type="auto"/>
            <w:vAlign w:val="center"/>
          </w:tcPr>
          <w:p w:rsidR="005F78FC" w:rsidRDefault="00B42EF3">
            <w:pPr>
              <w:pStyle w:val="TableBodyText"/>
            </w:pPr>
            <w:r>
              <w:rPr>
                <w:i/>
              </w:rPr>
              <w:t>10</w:t>
            </w:r>
          </w:p>
        </w:tc>
        <w:tc>
          <w:tcPr>
            <w:tcW w:w="0" w:type="auto"/>
            <w:vAlign w:val="center"/>
          </w:tcPr>
          <w:p w:rsidR="005F78FC" w:rsidRDefault="00B42EF3">
            <w:pPr>
              <w:pStyle w:val="TableBodyText"/>
            </w:pPr>
            <w:r>
              <w:t>Octagon</w:t>
            </w:r>
          </w:p>
        </w:tc>
      </w:tr>
      <w:tr w:rsidR="005F78FC" w:rsidTr="005F78FC">
        <w:tc>
          <w:tcPr>
            <w:tcW w:w="0" w:type="auto"/>
            <w:vAlign w:val="center"/>
          </w:tcPr>
          <w:p w:rsidR="005F78FC" w:rsidRDefault="00B42EF3">
            <w:pPr>
              <w:pStyle w:val="TableBodyText"/>
            </w:pPr>
            <w:r>
              <w:rPr>
                <w:i/>
              </w:rPr>
              <w:t>11</w:t>
            </w:r>
          </w:p>
        </w:tc>
        <w:tc>
          <w:tcPr>
            <w:tcW w:w="0" w:type="auto"/>
            <w:vAlign w:val="center"/>
          </w:tcPr>
          <w:p w:rsidR="005F78FC" w:rsidRDefault="00B42EF3">
            <w:pPr>
              <w:pStyle w:val="TableBodyText"/>
            </w:pPr>
            <w:r>
              <w:t>Plus Sign</w:t>
            </w:r>
          </w:p>
        </w:tc>
      </w:tr>
      <w:tr w:rsidR="005F78FC" w:rsidTr="005F78FC">
        <w:tc>
          <w:tcPr>
            <w:tcW w:w="0" w:type="auto"/>
            <w:vAlign w:val="center"/>
          </w:tcPr>
          <w:p w:rsidR="005F78FC" w:rsidRDefault="00B42EF3">
            <w:pPr>
              <w:pStyle w:val="TableBodyText"/>
            </w:pPr>
            <w:r>
              <w:rPr>
                <w:i/>
              </w:rPr>
              <w:t>12</w:t>
            </w:r>
          </w:p>
        </w:tc>
        <w:tc>
          <w:tcPr>
            <w:tcW w:w="0" w:type="auto"/>
            <w:vAlign w:val="center"/>
          </w:tcPr>
          <w:p w:rsidR="005F78FC" w:rsidRDefault="00B42EF3">
            <w:pPr>
              <w:pStyle w:val="TableBodyText"/>
            </w:pPr>
            <w:r>
              <w:t>Star</w:t>
            </w:r>
          </w:p>
        </w:tc>
      </w:tr>
      <w:tr w:rsidR="005F78FC" w:rsidTr="005F78FC">
        <w:tc>
          <w:tcPr>
            <w:tcW w:w="0" w:type="auto"/>
            <w:vAlign w:val="center"/>
          </w:tcPr>
          <w:p w:rsidR="005F78FC" w:rsidRDefault="00B42EF3">
            <w:pPr>
              <w:pStyle w:val="TableBodyText"/>
            </w:pPr>
            <w:r>
              <w:rPr>
                <w:i/>
              </w:rPr>
              <w:t>13</w:t>
            </w:r>
          </w:p>
        </w:tc>
        <w:tc>
          <w:tcPr>
            <w:tcW w:w="0" w:type="auto"/>
            <w:vAlign w:val="center"/>
          </w:tcPr>
          <w:p w:rsidR="005F78FC" w:rsidRDefault="00B42EF3">
            <w:pPr>
              <w:pStyle w:val="TableBodyText"/>
            </w:pPr>
            <w:r>
              <w:t>Arrow</w:t>
            </w:r>
          </w:p>
        </w:tc>
      </w:tr>
      <w:tr w:rsidR="005F78FC" w:rsidTr="005F78FC">
        <w:tc>
          <w:tcPr>
            <w:tcW w:w="0" w:type="auto"/>
            <w:vAlign w:val="center"/>
          </w:tcPr>
          <w:p w:rsidR="005F78FC" w:rsidRDefault="00B42EF3">
            <w:pPr>
              <w:pStyle w:val="TableBodyText"/>
            </w:pPr>
            <w:r>
              <w:rPr>
                <w:i/>
              </w:rPr>
              <w:t>14</w:t>
            </w:r>
          </w:p>
        </w:tc>
        <w:tc>
          <w:tcPr>
            <w:tcW w:w="0" w:type="auto"/>
            <w:vAlign w:val="center"/>
          </w:tcPr>
          <w:p w:rsidR="005F78FC" w:rsidRDefault="00B42EF3">
            <w:pPr>
              <w:pStyle w:val="TableBodyText"/>
            </w:pPr>
            <w:r>
              <w:t>Thick Arrow</w:t>
            </w:r>
          </w:p>
        </w:tc>
      </w:tr>
      <w:tr w:rsidR="005F78FC" w:rsidTr="005F78FC">
        <w:tc>
          <w:tcPr>
            <w:tcW w:w="0" w:type="auto"/>
            <w:vAlign w:val="center"/>
          </w:tcPr>
          <w:p w:rsidR="005F78FC" w:rsidRDefault="00B42EF3">
            <w:pPr>
              <w:pStyle w:val="TableBodyText"/>
            </w:pPr>
            <w:r>
              <w:rPr>
                <w:i/>
              </w:rPr>
              <w:t>15</w:t>
            </w:r>
          </w:p>
        </w:tc>
        <w:tc>
          <w:tcPr>
            <w:tcW w:w="0" w:type="auto"/>
            <w:vAlign w:val="center"/>
          </w:tcPr>
          <w:p w:rsidR="005F78FC" w:rsidRDefault="00B42EF3">
            <w:pPr>
              <w:pStyle w:val="TableBodyText"/>
            </w:pPr>
            <w:r>
              <w:t>Home Plate</w:t>
            </w:r>
          </w:p>
        </w:tc>
      </w:tr>
      <w:tr w:rsidR="005F78FC" w:rsidTr="005F78FC">
        <w:tc>
          <w:tcPr>
            <w:tcW w:w="0" w:type="auto"/>
            <w:vAlign w:val="center"/>
          </w:tcPr>
          <w:p w:rsidR="005F78FC" w:rsidRDefault="00B42EF3">
            <w:pPr>
              <w:pStyle w:val="TableBodyText"/>
            </w:pPr>
            <w:r>
              <w:rPr>
                <w:i/>
              </w:rPr>
              <w:t>16</w:t>
            </w:r>
          </w:p>
        </w:tc>
        <w:tc>
          <w:tcPr>
            <w:tcW w:w="0" w:type="auto"/>
            <w:vAlign w:val="center"/>
          </w:tcPr>
          <w:p w:rsidR="005F78FC" w:rsidRDefault="00B42EF3">
            <w:pPr>
              <w:pStyle w:val="TableBodyText"/>
            </w:pPr>
            <w:r>
              <w:t>Cube</w:t>
            </w:r>
          </w:p>
        </w:tc>
      </w:tr>
      <w:tr w:rsidR="005F78FC" w:rsidTr="005F78FC">
        <w:tc>
          <w:tcPr>
            <w:tcW w:w="0" w:type="auto"/>
            <w:vAlign w:val="center"/>
          </w:tcPr>
          <w:p w:rsidR="005F78FC" w:rsidRDefault="00B42EF3">
            <w:pPr>
              <w:pStyle w:val="TableBodyText"/>
            </w:pPr>
            <w:r>
              <w:rPr>
                <w:i/>
              </w:rPr>
              <w:t>17</w:t>
            </w:r>
          </w:p>
        </w:tc>
        <w:tc>
          <w:tcPr>
            <w:tcW w:w="0" w:type="auto"/>
            <w:vAlign w:val="center"/>
          </w:tcPr>
          <w:p w:rsidR="005F78FC" w:rsidRDefault="00B42EF3">
            <w:pPr>
              <w:pStyle w:val="TableBodyText"/>
            </w:pPr>
            <w:r>
              <w:t>Balloon</w:t>
            </w:r>
          </w:p>
        </w:tc>
      </w:tr>
      <w:tr w:rsidR="005F78FC" w:rsidTr="005F78FC">
        <w:tc>
          <w:tcPr>
            <w:tcW w:w="0" w:type="auto"/>
            <w:vAlign w:val="center"/>
          </w:tcPr>
          <w:p w:rsidR="005F78FC" w:rsidRDefault="00B42EF3">
            <w:pPr>
              <w:pStyle w:val="TableBodyText"/>
            </w:pPr>
            <w:r>
              <w:rPr>
                <w:i/>
              </w:rPr>
              <w:t>18</w:t>
            </w:r>
          </w:p>
        </w:tc>
        <w:tc>
          <w:tcPr>
            <w:tcW w:w="0" w:type="auto"/>
            <w:vAlign w:val="center"/>
          </w:tcPr>
          <w:p w:rsidR="005F78FC" w:rsidRDefault="00B42EF3">
            <w:pPr>
              <w:pStyle w:val="TableBodyText"/>
            </w:pPr>
            <w:r>
              <w:t>Seal</w:t>
            </w:r>
          </w:p>
        </w:tc>
      </w:tr>
      <w:tr w:rsidR="005F78FC" w:rsidTr="005F78FC">
        <w:tc>
          <w:tcPr>
            <w:tcW w:w="0" w:type="auto"/>
            <w:vAlign w:val="center"/>
          </w:tcPr>
          <w:p w:rsidR="005F78FC" w:rsidRDefault="00B42EF3">
            <w:pPr>
              <w:pStyle w:val="TableBodyText"/>
            </w:pPr>
            <w:r>
              <w:rPr>
                <w:i/>
              </w:rPr>
              <w:t>19</w:t>
            </w:r>
          </w:p>
        </w:tc>
        <w:tc>
          <w:tcPr>
            <w:tcW w:w="0" w:type="auto"/>
            <w:vAlign w:val="center"/>
          </w:tcPr>
          <w:p w:rsidR="005F78FC" w:rsidRDefault="00B42EF3">
            <w:pPr>
              <w:pStyle w:val="TableBodyText"/>
            </w:pPr>
            <w:r>
              <w:t>Arc</w:t>
            </w:r>
          </w:p>
        </w:tc>
      </w:tr>
      <w:tr w:rsidR="005F78FC" w:rsidTr="005F78FC">
        <w:tc>
          <w:tcPr>
            <w:tcW w:w="0" w:type="auto"/>
            <w:vAlign w:val="center"/>
          </w:tcPr>
          <w:p w:rsidR="005F78FC" w:rsidRDefault="00B42EF3">
            <w:pPr>
              <w:pStyle w:val="TableBodyText"/>
            </w:pPr>
            <w:r>
              <w:rPr>
                <w:i/>
              </w:rPr>
              <w:t>20</w:t>
            </w:r>
          </w:p>
        </w:tc>
        <w:tc>
          <w:tcPr>
            <w:tcW w:w="0" w:type="auto"/>
            <w:vAlign w:val="center"/>
          </w:tcPr>
          <w:p w:rsidR="005F78FC" w:rsidRDefault="00B42EF3">
            <w:pPr>
              <w:pStyle w:val="TableBodyText"/>
            </w:pPr>
            <w:r>
              <w:t>Line</w:t>
            </w:r>
          </w:p>
        </w:tc>
      </w:tr>
      <w:tr w:rsidR="005F78FC" w:rsidTr="005F78FC">
        <w:tc>
          <w:tcPr>
            <w:tcW w:w="0" w:type="auto"/>
            <w:vAlign w:val="center"/>
          </w:tcPr>
          <w:p w:rsidR="005F78FC" w:rsidRDefault="00B42EF3">
            <w:pPr>
              <w:pStyle w:val="TableBodyText"/>
            </w:pPr>
            <w:r>
              <w:rPr>
                <w:i/>
              </w:rPr>
              <w:t>21</w:t>
            </w:r>
          </w:p>
        </w:tc>
        <w:tc>
          <w:tcPr>
            <w:tcW w:w="0" w:type="auto"/>
            <w:vAlign w:val="center"/>
          </w:tcPr>
          <w:p w:rsidR="005F78FC" w:rsidRDefault="00B42EF3">
            <w:pPr>
              <w:pStyle w:val="TableBodyText"/>
            </w:pPr>
            <w:r>
              <w:t>Plaque</w:t>
            </w:r>
          </w:p>
        </w:tc>
      </w:tr>
      <w:tr w:rsidR="005F78FC" w:rsidTr="005F78FC">
        <w:tc>
          <w:tcPr>
            <w:tcW w:w="0" w:type="auto"/>
            <w:vAlign w:val="center"/>
          </w:tcPr>
          <w:p w:rsidR="005F78FC" w:rsidRDefault="00B42EF3">
            <w:pPr>
              <w:pStyle w:val="TableBodyText"/>
            </w:pPr>
            <w:r>
              <w:rPr>
                <w:i/>
              </w:rPr>
              <w:t>22</w:t>
            </w:r>
          </w:p>
        </w:tc>
        <w:tc>
          <w:tcPr>
            <w:tcW w:w="0" w:type="auto"/>
            <w:vAlign w:val="center"/>
          </w:tcPr>
          <w:p w:rsidR="005F78FC" w:rsidRDefault="00B42EF3">
            <w:pPr>
              <w:pStyle w:val="TableBodyText"/>
            </w:pPr>
            <w:r>
              <w:t>Can</w:t>
            </w:r>
          </w:p>
        </w:tc>
      </w:tr>
      <w:tr w:rsidR="005F78FC" w:rsidTr="005F78FC">
        <w:tc>
          <w:tcPr>
            <w:tcW w:w="0" w:type="auto"/>
            <w:vAlign w:val="center"/>
          </w:tcPr>
          <w:p w:rsidR="005F78FC" w:rsidRDefault="00B42EF3">
            <w:pPr>
              <w:pStyle w:val="TableBodyText"/>
            </w:pPr>
            <w:r>
              <w:rPr>
                <w:i/>
              </w:rPr>
              <w:t>23</w:t>
            </w:r>
          </w:p>
        </w:tc>
        <w:tc>
          <w:tcPr>
            <w:tcW w:w="0" w:type="auto"/>
            <w:vAlign w:val="center"/>
          </w:tcPr>
          <w:p w:rsidR="005F78FC" w:rsidRDefault="00B42EF3">
            <w:pPr>
              <w:pStyle w:val="TableBodyText"/>
            </w:pPr>
            <w:r>
              <w:t>Donut</w:t>
            </w:r>
          </w:p>
        </w:tc>
      </w:tr>
      <w:tr w:rsidR="005F78FC" w:rsidTr="005F78FC">
        <w:tc>
          <w:tcPr>
            <w:tcW w:w="0" w:type="auto"/>
            <w:vAlign w:val="center"/>
          </w:tcPr>
          <w:p w:rsidR="005F78FC" w:rsidRDefault="00B42EF3">
            <w:pPr>
              <w:pStyle w:val="TableBodyText"/>
            </w:pPr>
            <w:r>
              <w:rPr>
                <w:i/>
              </w:rPr>
              <w:t>32</w:t>
            </w:r>
          </w:p>
        </w:tc>
        <w:tc>
          <w:tcPr>
            <w:tcW w:w="0" w:type="auto"/>
            <w:vAlign w:val="center"/>
          </w:tcPr>
          <w:p w:rsidR="005F78FC" w:rsidRDefault="00B42EF3">
            <w:pPr>
              <w:pStyle w:val="TableBodyText"/>
            </w:pPr>
            <w:r>
              <w:t>Straight Connector</w:t>
            </w:r>
          </w:p>
        </w:tc>
      </w:tr>
      <w:tr w:rsidR="005F78FC" w:rsidTr="005F78FC">
        <w:tc>
          <w:tcPr>
            <w:tcW w:w="0" w:type="auto"/>
            <w:vAlign w:val="center"/>
          </w:tcPr>
          <w:p w:rsidR="005F78FC" w:rsidRDefault="00B42EF3">
            <w:pPr>
              <w:pStyle w:val="TableBodyText"/>
            </w:pPr>
            <w:r>
              <w:rPr>
                <w:i/>
              </w:rPr>
              <w:t>33-36</w:t>
            </w:r>
          </w:p>
        </w:tc>
        <w:tc>
          <w:tcPr>
            <w:tcW w:w="0" w:type="auto"/>
            <w:vAlign w:val="center"/>
          </w:tcPr>
          <w:p w:rsidR="005F78FC" w:rsidRDefault="00B42EF3">
            <w:pPr>
              <w:pStyle w:val="TableBodyText"/>
            </w:pPr>
            <w:r>
              <w:t>Bent Connector</w:t>
            </w:r>
          </w:p>
        </w:tc>
      </w:tr>
      <w:tr w:rsidR="005F78FC" w:rsidTr="005F78FC">
        <w:tc>
          <w:tcPr>
            <w:tcW w:w="0" w:type="auto"/>
            <w:vAlign w:val="center"/>
          </w:tcPr>
          <w:p w:rsidR="005F78FC" w:rsidRDefault="00B42EF3">
            <w:pPr>
              <w:pStyle w:val="TableBodyText"/>
            </w:pPr>
            <w:r>
              <w:rPr>
                <w:i/>
              </w:rPr>
              <w:t>37-40</w:t>
            </w:r>
          </w:p>
        </w:tc>
        <w:tc>
          <w:tcPr>
            <w:tcW w:w="0" w:type="auto"/>
            <w:vAlign w:val="center"/>
          </w:tcPr>
          <w:p w:rsidR="005F78FC" w:rsidRDefault="00B42EF3">
            <w:pPr>
              <w:pStyle w:val="TableBodyText"/>
            </w:pPr>
            <w:r>
              <w:t>Curved Connector</w:t>
            </w:r>
          </w:p>
        </w:tc>
      </w:tr>
      <w:tr w:rsidR="005F78FC" w:rsidTr="005F78FC">
        <w:tc>
          <w:tcPr>
            <w:tcW w:w="0" w:type="auto"/>
            <w:vAlign w:val="center"/>
          </w:tcPr>
          <w:p w:rsidR="005F78FC" w:rsidRDefault="00B42EF3">
            <w:pPr>
              <w:pStyle w:val="TableBodyText"/>
            </w:pPr>
            <w:r>
              <w:rPr>
                <w:i/>
              </w:rPr>
              <w:t>41-43</w:t>
            </w:r>
          </w:p>
        </w:tc>
        <w:tc>
          <w:tcPr>
            <w:tcW w:w="0" w:type="auto"/>
            <w:vAlign w:val="center"/>
          </w:tcPr>
          <w:p w:rsidR="005F78FC" w:rsidRDefault="00B42EF3">
            <w:pPr>
              <w:pStyle w:val="TableBodyText"/>
            </w:pPr>
            <w:r>
              <w:t>Callout</w:t>
            </w:r>
          </w:p>
        </w:tc>
      </w:tr>
      <w:tr w:rsidR="005F78FC" w:rsidTr="005F78FC">
        <w:tc>
          <w:tcPr>
            <w:tcW w:w="0" w:type="auto"/>
            <w:vAlign w:val="center"/>
          </w:tcPr>
          <w:p w:rsidR="005F78FC" w:rsidRDefault="00B42EF3">
            <w:pPr>
              <w:pStyle w:val="TableBodyText"/>
            </w:pPr>
            <w:r>
              <w:rPr>
                <w:i/>
              </w:rPr>
              <w:t>44-46</w:t>
            </w:r>
          </w:p>
        </w:tc>
        <w:tc>
          <w:tcPr>
            <w:tcW w:w="0" w:type="auto"/>
            <w:vAlign w:val="center"/>
          </w:tcPr>
          <w:p w:rsidR="005F78FC" w:rsidRDefault="00B42EF3">
            <w:pPr>
              <w:pStyle w:val="TableBodyText"/>
            </w:pPr>
            <w:r>
              <w:t>Accent Callout</w:t>
            </w:r>
          </w:p>
        </w:tc>
      </w:tr>
      <w:tr w:rsidR="005F78FC" w:rsidTr="005F78FC">
        <w:tc>
          <w:tcPr>
            <w:tcW w:w="0" w:type="auto"/>
            <w:vAlign w:val="center"/>
          </w:tcPr>
          <w:p w:rsidR="005F78FC" w:rsidRDefault="00B42EF3">
            <w:pPr>
              <w:pStyle w:val="TableBodyText"/>
            </w:pPr>
            <w:r>
              <w:rPr>
                <w:i/>
              </w:rPr>
              <w:t>47-49</w:t>
            </w:r>
          </w:p>
        </w:tc>
        <w:tc>
          <w:tcPr>
            <w:tcW w:w="0" w:type="auto"/>
            <w:vAlign w:val="center"/>
          </w:tcPr>
          <w:p w:rsidR="005F78FC" w:rsidRDefault="00B42EF3">
            <w:pPr>
              <w:pStyle w:val="TableBodyText"/>
            </w:pPr>
            <w:r>
              <w:t>Border Callout</w:t>
            </w:r>
          </w:p>
        </w:tc>
      </w:tr>
      <w:tr w:rsidR="005F78FC" w:rsidTr="005F78FC">
        <w:tc>
          <w:tcPr>
            <w:tcW w:w="0" w:type="auto"/>
            <w:vAlign w:val="center"/>
          </w:tcPr>
          <w:p w:rsidR="005F78FC" w:rsidRDefault="00B42EF3">
            <w:pPr>
              <w:pStyle w:val="TableBodyText"/>
            </w:pPr>
            <w:r>
              <w:rPr>
                <w:i/>
              </w:rPr>
              <w:t>50-52</w:t>
            </w:r>
          </w:p>
        </w:tc>
        <w:tc>
          <w:tcPr>
            <w:tcW w:w="0" w:type="auto"/>
            <w:vAlign w:val="center"/>
          </w:tcPr>
          <w:p w:rsidR="005F78FC" w:rsidRDefault="00B42EF3">
            <w:pPr>
              <w:pStyle w:val="TableBodyText"/>
            </w:pPr>
            <w:r>
              <w:t>Accent Border Callout</w:t>
            </w:r>
          </w:p>
        </w:tc>
      </w:tr>
      <w:tr w:rsidR="005F78FC" w:rsidTr="005F78FC">
        <w:tc>
          <w:tcPr>
            <w:tcW w:w="0" w:type="auto"/>
            <w:vAlign w:val="center"/>
          </w:tcPr>
          <w:p w:rsidR="005F78FC" w:rsidRDefault="00B42EF3">
            <w:pPr>
              <w:pStyle w:val="TableBodyText"/>
            </w:pPr>
            <w:r>
              <w:rPr>
                <w:i/>
              </w:rPr>
              <w:t>53-54</w:t>
            </w:r>
          </w:p>
        </w:tc>
        <w:tc>
          <w:tcPr>
            <w:tcW w:w="0" w:type="auto"/>
            <w:vAlign w:val="center"/>
          </w:tcPr>
          <w:p w:rsidR="005F78FC" w:rsidRDefault="00B42EF3">
            <w:pPr>
              <w:pStyle w:val="TableBodyText"/>
            </w:pPr>
            <w:r>
              <w:t>Ribbon</w:t>
            </w:r>
          </w:p>
        </w:tc>
      </w:tr>
      <w:tr w:rsidR="005F78FC" w:rsidTr="005F78FC">
        <w:tc>
          <w:tcPr>
            <w:tcW w:w="0" w:type="auto"/>
            <w:vAlign w:val="center"/>
          </w:tcPr>
          <w:p w:rsidR="005F78FC" w:rsidRDefault="00B42EF3">
            <w:pPr>
              <w:pStyle w:val="TableBodyText"/>
            </w:pPr>
            <w:r>
              <w:rPr>
                <w:i/>
              </w:rPr>
              <w:t>55</w:t>
            </w:r>
          </w:p>
        </w:tc>
        <w:tc>
          <w:tcPr>
            <w:tcW w:w="0" w:type="auto"/>
            <w:vAlign w:val="center"/>
          </w:tcPr>
          <w:p w:rsidR="005F78FC" w:rsidRDefault="00B42EF3">
            <w:pPr>
              <w:pStyle w:val="TableBodyText"/>
            </w:pPr>
            <w:r>
              <w:t>Chevron</w:t>
            </w:r>
          </w:p>
        </w:tc>
      </w:tr>
      <w:tr w:rsidR="005F78FC" w:rsidTr="005F78FC">
        <w:tc>
          <w:tcPr>
            <w:tcW w:w="0" w:type="auto"/>
            <w:vAlign w:val="center"/>
          </w:tcPr>
          <w:p w:rsidR="005F78FC" w:rsidRDefault="00B42EF3">
            <w:pPr>
              <w:pStyle w:val="TableBodyText"/>
            </w:pPr>
            <w:r>
              <w:rPr>
                <w:i/>
              </w:rPr>
              <w:t>56</w:t>
            </w:r>
          </w:p>
        </w:tc>
        <w:tc>
          <w:tcPr>
            <w:tcW w:w="0" w:type="auto"/>
            <w:vAlign w:val="center"/>
          </w:tcPr>
          <w:p w:rsidR="005F78FC" w:rsidRDefault="00B42EF3">
            <w:pPr>
              <w:pStyle w:val="TableBodyText"/>
            </w:pPr>
            <w:r>
              <w:t>Pentagon</w:t>
            </w:r>
          </w:p>
        </w:tc>
      </w:tr>
      <w:tr w:rsidR="005F78FC" w:rsidTr="005F78FC">
        <w:tc>
          <w:tcPr>
            <w:tcW w:w="0" w:type="auto"/>
            <w:vAlign w:val="center"/>
          </w:tcPr>
          <w:p w:rsidR="005F78FC" w:rsidRDefault="00B42EF3">
            <w:pPr>
              <w:pStyle w:val="TableBodyText"/>
            </w:pPr>
            <w:r>
              <w:rPr>
                <w:i/>
              </w:rPr>
              <w:t>57</w:t>
            </w:r>
          </w:p>
        </w:tc>
        <w:tc>
          <w:tcPr>
            <w:tcW w:w="0" w:type="auto"/>
            <w:vAlign w:val="center"/>
          </w:tcPr>
          <w:p w:rsidR="005F78FC" w:rsidRDefault="00B42EF3">
            <w:pPr>
              <w:pStyle w:val="TableBodyText"/>
            </w:pPr>
            <w:r>
              <w:t>No Smoking</w:t>
            </w:r>
          </w:p>
        </w:tc>
      </w:tr>
      <w:tr w:rsidR="005F78FC" w:rsidTr="005F78FC">
        <w:tc>
          <w:tcPr>
            <w:tcW w:w="0" w:type="auto"/>
            <w:vAlign w:val="center"/>
          </w:tcPr>
          <w:p w:rsidR="005F78FC" w:rsidRDefault="00B42EF3">
            <w:pPr>
              <w:pStyle w:val="TableBodyText"/>
            </w:pPr>
            <w:r>
              <w:rPr>
                <w:i/>
              </w:rPr>
              <w:t>58</w:t>
            </w:r>
          </w:p>
        </w:tc>
        <w:tc>
          <w:tcPr>
            <w:tcW w:w="0" w:type="auto"/>
            <w:vAlign w:val="center"/>
          </w:tcPr>
          <w:p w:rsidR="005F78FC" w:rsidRDefault="00B42EF3">
            <w:pPr>
              <w:pStyle w:val="TableBodyText"/>
            </w:pPr>
            <w:r>
              <w:t>8 Pointed Seal</w:t>
            </w:r>
          </w:p>
        </w:tc>
      </w:tr>
      <w:tr w:rsidR="005F78FC" w:rsidTr="005F78FC">
        <w:tc>
          <w:tcPr>
            <w:tcW w:w="0" w:type="auto"/>
            <w:vAlign w:val="center"/>
          </w:tcPr>
          <w:p w:rsidR="005F78FC" w:rsidRDefault="00B42EF3">
            <w:pPr>
              <w:pStyle w:val="TableBodyText"/>
            </w:pPr>
            <w:r>
              <w:rPr>
                <w:i/>
              </w:rPr>
              <w:t>59</w:t>
            </w:r>
          </w:p>
        </w:tc>
        <w:tc>
          <w:tcPr>
            <w:tcW w:w="0" w:type="auto"/>
            <w:vAlign w:val="center"/>
          </w:tcPr>
          <w:p w:rsidR="005F78FC" w:rsidRDefault="00B42EF3">
            <w:pPr>
              <w:pStyle w:val="TableBodyText"/>
            </w:pPr>
            <w:r>
              <w:t>16 Pointed Seal</w:t>
            </w:r>
          </w:p>
        </w:tc>
      </w:tr>
      <w:tr w:rsidR="005F78FC" w:rsidTr="005F78FC">
        <w:tc>
          <w:tcPr>
            <w:tcW w:w="0" w:type="auto"/>
            <w:vAlign w:val="center"/>
          </w:tcPr>
          <w:p w:rsidR="005F78FC" w:rsidRDefault="00B42EF3">
            <w:pPr>
              <w:pStyle w:val="TableBodyText"/>
            </w:pPr>
            <w:r>
              <w:rPr>
                <w:i/>
              </w:rPr>
              <w:t>60</w:t>
            </w:r>
          </w:p>
        </w:tc>
        <w:tc>
          <w:tcPr>
            <w:tcW w:w="0" w:type="auto"/>
            <w:vAlign w:val="center"/>
          </w:tcPr>
          <w:p w:rsidR="005F78FC" w:rsidRDefault="00B42EF3">
            <w:pPr>
              <w:pStyle w:val="TableBodyText"/>
            </w:pPr>
            <w:r>
              <w:t>32 Pointed Seal</w:t>
            </w:r>
          </w:p>
        </w:tc>
      </w:tr>
      <w:tr w:rsidR="005F78FC" w:rsidTr="005F78FC">
        <w:tc>
          <w:tcPr>
            <w:tcW w:w="0" w:type="auto"/>
            <w:vAlign w:val="center"/>
          </w:tcPr>
          <w:p w:rsidR="005F78FC" w:rsidRDefault="00B42EF3">
            <w:pPr>
              <w:pStyle w:val="TableBodyText"/>
            </w:pPr>
            <w:r>
              <w:rPr>
                <w:i/>
              </w:rPr>
              <w:t>61</w:t>
            </w:r>
          </w:p>
        </w:tc>
        <w:tc>
          <w:tcPr>
            <w:tcW w:w="0" w:type="auto"/>
            <w:vAlign w:val="center"/>
          </w:tcPr>
          <w:p w:rsidR="005F78FC" w:rsidRDefault="00B42EF3">
            <w:pPr>
              <w:pStyle w:val="TableBodyText"/>
            </w:pPr>
            <w:r>
              <w:t>Wedge Rectangle Callout</w:t>
            </w:r>
          </w:p>
        </w:tc>
      </w:tr>
      <w:tr w:rsidR="005F78FC" w:rsidTr="005F78FC">
        <w:tc>
          <w:tcPr>
            <w:tcW w:w="0" w:type="auto"/>
            <w:vAlign w:val="center"/>
          </w:tcPr>
          <w:p w:rsidR="005F78FC" w:rsidRDefault="00B42EF3">
            <w:pPr>
              <w:pStyle w:val="TableBodyText"/>
            </w:pPr>
            <w:r>
              <w:rPr>
                <w:i/>
              </w:rPr>
              <w:t>62</w:t>
            </w:r>
          </w:p>
        </w:tc>
        <w:tc>
          <w:tcPr>
            <w:tcW w:w="0" w:type="auto"/>
            <w:vAlign w:val="center"/>
          </w:tcPr>
          <w:p w:rsidR="005F78FC" w:rsidRDefault="00B42EF3">
            <w:pPr>
              <w:pStyle w:val="TableBodyText"/>
            </w:pPr>
            <w:r>
              <w:t>Wedge Rounded Rectangle Callout</w:t>
            </w:r>
          </w:p>
        </w:tc>
      </w:tr>
      <w:tr w:rsidR="005F78FC" w:rsidTr="005F78FC">
        <w:tc>
          <w:tcPr>
            <w:tcW w:w="0" w:type="auto"/>
            <w:vAlign w:val="center"/>
          </w:tcPr>
          <w:p w:rsidR="005F78FC" w:rsidRDefault="00B42EF3">
            <w:pPr>
              <w:pStyle w:val="TableBodyText"/>
            </w:pPr>
            <w:r>
              <w:rPr>
                <w:i/>
              </w:rPr>
              <w:lastRenderedPageBreak/>
              <w:t>63</w:t>
            </w:r>
          </w:p>
        </w:tc>
        <w:tc>
          <w:tcPr>
            <w:tcW w:w="0" w:type="auto"/>
            <w:vAlign w:val="center"/>
          </w:tcPr>
          <w:p w:rsidR="005F78FC" w:rsidRDefault="00B42EF3">
            <w:pPr>
              <w:pStyle w:val="TableBodyText"/>
            </w:pPr>
            <w:r>
              <w:t>Wedge Ellipse Callout</w:t>
            </w:r>
          </w:p>
        </w:tc>
      </w:tr>
      <w:tr w:rsidR="005F78FC" w:rsidTr="005F78FC">
        <w:tc>
          <w:tcPr>
            <w:tcW w:w="0" w:type="auto"/>
            <w:vAlign w:val="center"/>
          </w:tcPr>
          <w:p w:rsidR="005F78FC" w:rsidRDefault="00B42EF3">
            <w:pPr>
              <w:pStyle w:val="TableBodyText"/>
            </w:pPr>
            <w:r>
              <w:rPr>
                <w:i/>
              </w:rPr>
              <w:t>64</w:t>
            </w:r>
          </w:p>
        </w:tc>
        <w:tc>
          <w:tcPr>
            <w:tcW w:w="0" w:type="auto"/>
            <w:vAlign w:val="center"/>
          </w:tcPr>
          <w:p w:rsidR="005F78FC" w:rsidRDefault="00B42EF3">
            <w:pPr>
              <w:pStyle w:val="TableBodyText"/>
            </w:pPr>
            <w:r>
              <w:t>Wave</w:t>
            </w:r>
          </w:p>
        </w:tc>
      </w:tr>
      <w:tr w:rsidR="005F78FC" w:rsidTr="005F78FC">
        <w:tc>
          <w:tcPr>
            <w:tcW w:w="0" w:type="auto"/>
            <w:vAlign w:val="center"/>
          </w:tcPr>
          <w:p w:rsidR="005F78FC" w:rsidRDefault="00B42EF3">
            <w:pPr>
              <w:pStyle w:val="TableBodyText"/>
            </w:pPr>
            <w:r>
              <w:rPr>
                <w:i/>
              </w:rPr>
              <w:t>65</w:t>
            </w:r>
          </w:p>
        </w:tc>
        <w:tc>
          <w:tcPr>
            <w:tcW w:w="0" w:type="auto"/>
            <w:vAlign w:val="center"/>
          </w:tcPr>
          <w:p w:rsidR="005F78FC" w:rsidRDefault="00B42EF3">
            <w:pPr>
              <w:pStyle w:val="TableBodyText"/>
            </w:pPr>
            <w:r>
              <w:t>Folded Corner</w:t>
            </w:r>
          </w:p>
        </w:tc>
      </w:tr>
      <w:tr w:rsidR="005F78FC" w:rsidTr="005F78FC">
        <w:tc>
          <w:tcPr>
            <w:tcW w:w="0" w:type="auto"/>
            <w:vAlign w:val="center"/>
          </w:tcPr>
          <w:p w:rsidR="005F78FC" w:rsidRDefault="00B42EF3">
            <w:pPr>
              <w:pStyle w:val="TableBodyText"/>
            </w:pPr>
            <w:r>
              <w:rPr>
                <w:i/>
              </w:rPr>
              <w:t>66</w:t>
            </w:r>
          </w:p>
        </w:tc>
        <w:tc>
          <w:tcPr>
            <w:tcW w:w="0" w:type="auto"/>
            <w:vAlign w:val="center"/>
          </w:tcPr>
          <w:p w:rsidR="005F78FC" w:rsidRDefault="00B42EF3">
            <w:pPr>
              <w:pStyle w:val="TableBodyText"/>
            </w:pPr>
            <w:r>
              <w:t>Left Arrow</w:t>
            </w:r>
          </w:p>
        </w:tc>
      </w:tr>
      <w:tr w:rsidR="005F78FC" w:rsidTr="005F78FC">
        <w:tc>
          <w:tcPr>
            <w:tcW w:w="0" w:type="auto"/>
            <w:vAlign w:val="center"/>
          </w:tcPr>
          <w:p w:rsidR="005F78FC" w:rsidRDefault="00B42EF3">
            <w:pPr>
              <w:pStyle w:val="TableBodyText"/>
            </w:pPr>
            <w:r>
              <w:rPr>
                <w:i/>
              </w:rPr>
              <w:t>67</w:t>
            </w:r>
          </w:p>
        </w:tc>
        <w:tc>
          <w:tcPr>
            <w:tcW w:w="0" w:type="auto"/>
            <w:vAlign w:val="center"/>
          </w:tcPr>
          <w:p w:rsidR="005F78FC" w:rsidRDefault="00B42EF3">
            <w:pPr>
              <w:pStyle w:val="TableBodyText"/>
            </w:pPr>
            <w:r>
              <w:t>Down Arrow</w:t>
            </w:r>
          </w:p>
        </w:tc>
      </w:tr>
      <w:tr w:rsidR="005F78FC" w:rsidTr="005F78FC">
        <w:tc>
          <w:tcPr>
            <w:tcW w:w="0" w:type="auto"/>
            <w:vAlign w:val="center"/>
          </w:tcPr>
          <w:p w:rsidR="005F78FC" w:rsidRDefault="00B42EF3">
            <w:pPr>
              <w:pStyle w:val="TableBodyText"/>
            </w:pPr>
            <w:r>
              <w:rPr>
                <w:i/>
              </w:rPr>
              <w:t>68</w:t>
            </w:r>
          </w:p>
        </w:tc>
        <w:tc>
          <w:tcPr>
            <w:tcW w:w="0" w:type="auto"/>
            <w:vAlign w:val="center"/>
          </w:tcPr>
          <w:p w:rsidR="005F78FC" w:rsidRDefault="00B42EF3">
            <w:pPr>
              <w:pStyle w:val="TableBodyText"/>
            </w:pPr>
            <w:r>
              <w:t>Up Arrow</w:t>
            </w:r>
          </w:p>
        </w:tc>
      </w:tr>
      <w:tr w:rsidR="005F78FC" w:rsidTr="005F78FC">
        <w:tc>
          <w:tcPr>
            <w:tcW w:w="0" w:type="auto"/>
            <w:vAlign w:val="center"/>
          </w:tcPr>
          <w:p w:rsidR="005F78FC" w:rsidRDefault="00B42EF3">
            <w:pPr>
              <w:pStyle w:val="TableBodyText"/>
            </w:pPr>
            <w:r>
              <w:rPr>
                <w:i/>
              </w:rPr>
              <w:t>69</w:t>
            </w:r>
          </w:p>
        </w:tc>
        <w:tc>
          <w:tcPr>
            <w:tcW w:w="0" w:type="auto"/>
            <w:vAlign w:val="center"/>
          </w:tcPr>
          <w:p w:rsidR="005F78FC" w:rsidRDefault="00B42EF3">
            <w:pPr>
              <w:pStyle w:val="TableBodyText"/>
            </w:pPr>
            <w:r>
              <w:t>Left-Right Arrow</w:t>
            </w:r>
          </w:p>
        </w:tc>
      </w:tr>
      <w:tr w:rsidR="005F78FC" w:rsidTr="005F78FC">
        <w:tc>
          <w:tcPr>
            <w:tcW w:w="0" w:type="auto"/>
            <w:vAlign w:val="center"/>
          </w:tcPr>
          <w:p w:rsidR="005F78FC" w:rsidRDefault="00B42EF3">
            <w:pPr>
              <w:pStyle w:val="TableBodyText"/>
            </w:pPr>
            <w:r>
              <w:rPr>
                <w:i/>
              </w:rPr>
              <w:t>70</w:t>
            </w:r>
          </w:p>
        </w:tc>
        <w:tc>
          <w:tcPr>
            <w:tcW w:w="0" w:type="auto"/>
            <w:vAlign w:val="center"/>
          </w:tcPr>
          <w:p w:rsidR="005F78FC" w:rsidRDefault="00B42EF3">
            <w:pPr>
              <w:pStyle w:val="TableBodyText"/>
            </w:pPr>
            <w:r>
              <w:t>Up-Down Arrow</w:t>
            </w:r>
          </w:p>
        </w:tc>
      </w:tr>
      <w:tr w:rsidR="005F78FC" w:rsidTr="005F78FC">
        <w:tc>
          <w:tcPr>
            <w:tcW w:w="0" w:type="auto"/>
            <w:vAlign w:val="center"/>
          </w:tcPr>
          <w:p w:rsidR="005F78FC" w:rsidRDefault="00B42EF3">
            <w:pPr>
              <w:pStyle w:val="TableBodyText"/>
            </w:pPr>
            <w:r>
              <w:rPr>
                <w:i/>
              </w:rPr>
              <w:t>71-72</w:t>
            </w:r>
          </w:p>
        </w:tc>
        <w:tc>
          <w:tcPr>
            <w:tcW w:w="0" w:type="auto"/>
            <w:vAlign w:val="center"/>
          </w:tcPr>
          <w:p w:rsidR="005F78FC" w:rsidRDefault="00B42EF3">
            <w:pPr>
              <w:pStyle w:val="TableBodyText"/>
            </w:pPr>
            <w:r>
              <w:t>Irregular Seal</w:t>
            </w:r>
          </w:p>
        </w:tc>
      </w:tr>
      <w:tr w:rsidR="005F78FC" w:rsidTr="005F78FC">
        <w:tc>
          <w:tcPr>
            <w:tcW w:w="0" w:type="auto"/>
            <w:vAlign w:val="center"/>
          </w:tcPr>
          <w:p w:rsidR="005F78FC" w:rsidRDefault="00B42EF3">
            <w:pPr>
              <w:pStyle w:val="TableBodyText"/>
            </w:pPr>
            <w:r>
              <w:rPr>
                <w:i/>
              </w:rPr>
              <w:t>73</w:t>
            </w:r>
          </w:p>
        </w:tc>
        <w:tc>
          <w:tcPr>
            <w:tcW w:w="0" w:type="auto"/>
            <w:vAlign w:val="center"/>
          </w:tcPr>
          <w:p w:rsidR="005F78FC" w:rsidRDefault="00B42EF3">
            <w:pPr>
              <w:pStyle w:val="TableBodyText"/>
            </w:pPr>
            <w:r>
              <w:t>Lightning Bolt</w:t>
            </w:r>
          </w:p>
        </w:tc>
      </w:tr>
      <w:tr w:rsidR="005F78FC" w:rsidTr="005F78FC">
        <w:tc>
          <w:tcPr>
            <w:tcW w:w="0" w:type="auto"/>
            <w:vAlign w:val="center"/>
          </w:tcPr>
          <w:p w:rsidR="005F78FC" w:rsidRDefault="00B42EF3">
            <w:pPr>
              <w:pStyle w:val="TableBodyText"/>
            </w:pPr>
            <w:r>
              <w:rPr>
                <w:i/>
              </w:rPr>
              <w:t>74</w:t>
            </w:r>
          </w:p>
        </w:tc>
        <w:tc>
          <w:tcPr>
            <w:tcW w:w="0" w:type="auto"/>
            <w:vAlign w:val="center"/>
          </w:tcPr>
          <w:p w:rsidR="005F78FC" w:rsidRDefault="00B42EF3">
            <w:pPr>
              <w:pStyle w:val="TableBodyText"/>
            </w:pPr>
            <w:r>
              <w:t>Heart</w:t>
            </w:r>
          </w:p>
        </w:tc>
      </w:tr>
      <w:tr w:rsidR="005F78FC" w:rsidTr="005F78FC">
        <w:tc>
          <w:tcPr>
            <w:tcW w:w="0" w:type="auto"/>
            <w:vAlign w:val="center"/>
          </w:tcPr>
          <w:p w:rsidR="005F78FC" w:rsidRDefault="00B42EF3">
            <w:pPr>
              <w:pStyle w:val="TableBodyText"/>
            </w:pPr>
            <w:r>
              <w:rPr>
                <w:i/>
              </w:rPr>
              <w:t>75</w:t>
            </w:r>
          </w:p>
        </w:tc>
        <w:tc>
          <w:tcPr>
            <w:tcW w:w="0" w:type="auto"/>
            <w:vAlign w:val="center"/>
          </w:tcPr>
          <w:p w:rsidR="005F78FC" w:rsidRDefault="00B42EF3">
            <w:pPr>
              <w:pStyle w:val="TableBodyText"/>
            </w:pPr>
            <w:r>
              <w:t>Picture Frame</w:t>
            </w:r>
          </w:p>
        </w:tc>
      </w:tr>
      <w:tr w:rsidR="005F78FC" w:rsidTr="005F78FC">
        <w:tc>
          <w:tcPr>
            <w:tcW w:w="0" w:type="auto"/>
            <w:vAlign w:val="center"/>
          </w:tcPr>
          <w:p w:rsidR="005F78FC" w:rsidRDefault="00B42EF3">
            <w:pPr>
              <w:pStyle w:val="TableBodyText"/>
            </w:pPr>
            <w:r>
              <w:rPr>
                <w:i/>
              </w:rPr>
              <w:t>76</w:t>
            </w:r>
          </w:p>
        </w:tc>
        <w:tc>
          <w:tcPr>
            <w:tcW w:w="0" w:type="auto"/>
            <w:vAlign w:val="center"/>
          </w:tcPr>
          <w:p w:rsidR="005F78FC" w:rsidRDefault="00B42EF3">
            <w:pPr>
              <w:pStyle w:val="TableBodyText"/>
            </w:pPr>
            <w:r>
              <w:t>Quad Arrow</w:t>
            </w:r>
          </w:p>
        </w:tc>
      </w:tr>
      <w:tr w:rsidR="005F78FC" w:rsidTr="005F78FC">
        <w:tc>
          <w:tcPr>
            <w:tcW w:w="0" w:type="auto"/>
            <w:vAlign w:val="center"/>
          </w:tcPr>
          <w:p w:rsidR="005F78FC" w:rsidRDefault="00B42EF3">
            <w:pPr>
              <w:pStyle w:val="TableBodyText"/>
            </w:pPr>
            <w:r>
              <w:rPr>
                <w:i/>
              </w:rPr>
              <w:t>77</w:t>
            </w:r>
          </w:p>
        </w:tc>
        <w:tc>
          <w:tcPr>
            <w:tcW w:w="0" w:type="auto"/>
            <w:vAlign w:val="center"/>
          </w:tcPr>
          <w:p w:rsidR="005F78FC" w:rsidRDefault="00B42EF3">
            <w:pPr>
              <w:pStyle w:val="TableBodyText"/>
            </w:pPr>
            <w:r>
              <w:t>Left Arrow Callout</w:t>
            </w:r>
          </w:p>
        </w:tc>
      </w:tr>
      <w:tr w:rsidR="005F78FC" w:rsidTr="005F78FC">
        <w:tc>
          <w:tcPr>
            <w:tcW w:w="0" w:type="auto"/>
            <w:vAlign w:val="center"/>
          </w:tcPr>
          <w:p w:rsidR="005F78FC" w:rsidRDefault="00B42EF3">
            <w:pPr>
              <w:pStyle w:val="TableBodyText"/>
            </w:pPr>
            <w:r>
              <w:rPr>
                <w:i/>
              </w:rPr>
              <w:t>78</w:t>
            </w:r>
          </w:p>
        </w:tc>
        <w:tc>
          <w:tcPr>
            <w:tcW w:w="0" w:type="auto"/>
            <w:vAlign w:val="center"/>
          </w:tcPr>
          <w:p w:rsidR="005F78FC" w:rsidRDefault="00B42EF3">
            <w:pPr>
              <w:pStyle w:val="TableBodyText"/>
            </w:pPr>
            <w:r>
              <w:t>Right Arrow Callout</w:t>
            </w:r>
          </w:p>
        </w:tc>
      </w:tr>
      <w:tr w:rsidR="005F78FC" w:rsidTr="005F78FC">
        <w:tc>
          <w:tcPr>
            <w:tcW w:w="0" w:type="auto"/>
            <w:vAlign w:val="center"/>
          </w:tcPr>
          <w:p w:rsidR="005F78FC" w:rsidRDefault="00B42EF3">
            <w:pPr>
              <w:pStyle w:val="TableBodyText"/>
            </w:pPr>
            <w:r>
              <w:rPr>
                <w:i/>
              </w:rPr>
              <w:t>79</w:t>
            </w:r>
          </w:p>
        </w:tc>
        <w:tc>
          <w:tcPr>
            <w:tcW w:w="0" w:type="auto"/>
            <w:vAlign w:val="center"/>
          </w:tcPr>
          <w:p w:rsidR="005F78FC" w:rsidRDefault="00B42EF3">
            <w:pPr>
              <w:pStyle w:val="TableBodyText"/>
            </w:pPr>
            <w:r>
              <w:t>Up Arrow Callout</w:t>
            </w:r>
          </w:p>
        </w:tc>
      </w:tr>
      <w:tr w:rsidR="005F78FC" w:rsidTr="005F78FC">
        <w:tc>
          <w:tcPr>
            <w:tcW w:w="0" w:type="auto"/>
            <w:vAlign w:val="center"/>
          </w:tcPr>
          <w:p w:rsidR="005F78FC" w:rsidRDefault="00B42EF3">
            <w:pPr>
              <w:pStyle w:val="TableBodyText"/>
            </w:pPr>
            <w:r>
              <w:rPr>
                <w:i/>
              </w:rPr>
              <w:t>80</w:t>
            </w:r>
          </w:p>
        </w:tc>
        <w:tc>
          <w:tcPr>
            <w:tcW w:w="0" w:type="auto"/>
            <w:vAlign w:val="center"/>
          </w:tcPr>
          <w:p w:rsidR="005F78FC" w:rsidRDefault="00B42EF3">
            <w:pPr>
              <w:pStyle w:val="TableBodyText"/>
            </w:pPr>
            <w:r>
              <w:t>Down Arrow Callout</w:t>
            </w:r>
          </w:p>
        </w:tc>
      </w:tr>
      <w:tr w:rsidR="005F78FC" w:rsidTr="005F78FC">
        <w:tc>
          <w:tcPr>
            <w:tcW w:w="0" w:type="auto"/>
            <w:vAlign w:val="center"/>
          </w:tcPr>
          <w:p w:rsidR="005F78FC" w:rsidRDefault="00B42EF3">
            <w:pPr>
              <w:pStyle w:val="TableBodyText"/>
            </w:pPr>
            <w:r>
              <w:rPr>
                <w:i/>
              </w:rPr>
              <w:t>81</w:t>
            </w:r>
          </w:p>
        </w:tc>
        <w:tc>
          <w:tcPr>
            <w:tcW w:w="0" w:type="auto"/>
            <w:vAlign w:val="center"/>
          </w:tcPr>
          <w:p w:rsidR="005F78FC" w:rsidRDefault="00B42EF3">
            <w:pPr>
              <w:pStyle w:val="TableBodyText"/>
            </w:pPr>
            <w:r>
              <w:t>Left-Right Arrow Callout</w:t>
            </w:r>
          </w:p>
        </w:tc>
      </w:tr>
      <w:tr w:rsidR="005F78FC" w:rsidTr="005F78FC">
        <w:tc>
          <w:tcPr>
            <w:tcW w:w="0" w:type="auto"/>
            <w:vAlign w:val="center"/>
          </w:tcPr>
          <w:p w:rsidR="005F78FC" w:rsidRDefault="00B42EF3">
            <w:pPr>
              <w:pStyle w:val="TableBodyText"/>
            </w:pPr>
            <w:r>
              <w:rPr>
                <w:i/>
              </w:rPr>
              <w:t>82</w:t>
            </w:r>
          </w:p>
        </w:tc>
        <w:tc>
          <w:tcPr>
            <w:tcW w:w="0" w:type="auto"/>
            <w:vAlign w:val="center"/>
          </w:tcPr>
          <w:p w:rsidR="005F78FC" w:rsidRDefault="00B42EF3">
            <w:pPr>
              <w:pStyle w:val="TableBodyText"/>
            </w:pPr>
            <w:r>
              <w:t>Up-Down Arrow</w:t>
            </w:r>
            <w:r>
              <w:t xml:space="preserve"> Callout</w:t>
            </w:r>
          </w:p>
        </w:tc>
      </w:tr>
      <w:tr w:rsidR="005F78FC" w:rsidTr="005F78FC">
        <w:tc>
          <w:tcPr>
            <w:tcW w:w="0" w:type="auto"/>
            <w:vAlign w:val="center"/>
          </w:tcPr>
          <w:p w:rsidR="005F78FC" w:rsidRDefault="00B42EF3">
            <w:pPr>
              <w:pStyle w:val="TableBodyText"/>
            </w:pPr>
            <w:r>
              <w:rPr>
                <w:i/>
              </w:rPr>
              <w:t>83</w:t>
            </w:r>
          </w:p>
        </w:tc>
        <w:tc>
          <w:tcPr>
            <w:tcW w:w="0" w:type="auto"/>
            <w:vAlign w:val="center"/>
          </w:tcPr>
          <w:p w:rsidR="005F78FC" w:rsidRDefault="00B42EF3">
            <w:pPr>
              <w:pStyle w:val="TableBodyText"/>
            </w:pPr>
            <w:r>
              <w:t>Quad Arrow Callout</w:t>
            </w:r>
          </w:p>
        </w:tc>
      </w:tr>
      <w:tr w:rsidR="005F78FC" w:rsidTr="005F78FC">
        <w:tc>
          <w:tcPr>
            <w:tcW w:w="0" w:type="auto"/>
            <w:vAlign w:val="center"/>
          </w:tcPr>
          <w:p w:rsidR="005F78FC" w:rsidRDefault="00B42EF3">
            <w:pPr>
              <w:pStyle w:val="TableBodyText"/>
            </w:pPr>
            <w:r>
              <w:rPr>
                <w:i/>
              </w:rPr>
              <w:t>84</w:t>
            </w:r>
          </w:p>
        </w:tc>
        <w:tc>
          <w:tcPr>
            <w:tcW w:w="0" w:type="auto"/>
            <w:vAlign w:val="center"/>
          </w:tcPr>
          <w:p w:rsidR="005F78FC" w:rsidRDefault="00B42EF3">
            <w:pPr>
              <w:pStyle w:val="TableBodyText"/>
            </w:pPr>
            <w:r>
              <w:t>Bevel</w:t>
            </w:r>
          </w:p>
        </w:tc>
      </w:tr>
      <w:tr w:rsidR="005F78FC" w:rsidTr="005F78FC">
        <w:tc>
          <w:tcPr>
            <w:tcW w:w="0" w:type="auto"/>
            <w:vAlign w:val="center"/>
          </w:tcPr>
          <w:p w:rsidR="005F78FC" w:rsidRDefault="00B42EF3">
            <w:pPr>
              <w:pStyle w:val="TableBodyText"/>
            </w:pPr>
            <w:r>
              <w:rPr>
                <w:i/>
              </w:rPr>
              <w:t>85</w:t>
            </w:r>
          </w:p>
        </w:tc>
        <w:tc>
          <w:tcPr>
            <w:tcW w:w="0" w:type="auto"/>
            <w:vAlign w:val="center"/>
          </w:tcPr>
          <w:p w:rsidR="005F78FC" w:rsidRDefault="00B42EF3">
            <w:pPr>
              <w:pStyle w:val="TableBodyText"/>
            </w:pPr>
            <w:r>
              <w:t>Left Bracket</w:t>
            </w:r>
          </w:p>
        </w:tc>
      </w:tr>
      <w:tr w:rsidR="005F78FC" w:rsidTr="005F78FC">
        <w:tc>
          <w:tcPr>
            <w:tcW w:w="0" w:type="auto"/>
            <w:vAlign w:val="center"/>
          </w:tcPr>
          <w:p w:rsidR="005F78FC" w:rsidRDefault="00B42EF3">
            <w:pPr>
              <w:pStyle w:val="TableBodyText"/>
            </w:pPr>
            <w:r>
              <w:rPr>
                <w:i/>
              </w:rPr>
              <w:t>86</w:t>
            </w:r>
          </w:p>
        </w:tc>
        <w:tc>
          <w:tcPr>
            <w:tcW w:w="0" w:type="auto"/>
            <w:vAlign w:val="center"/>
          </w:tcPr>
          <w:p w:rsidR="005F78FC" w:rsidRDefault="00B42EF3">
            <w:pPr>
              <w:pStyle w:val="TableBodyText"/>
            </w:pPr>
            <w:r>
              <w:t>Right Bracket</w:t>
            </w:r>
          </w:p>
        </w:tc>
      </w:tr>
      <w:tr w:rsidR="005F78FC" w:rsidTr="005F78FC">
        <w:tc>
          <w:tcPr>
            <w:tcW w:w="0" w:type="auto"/>
            <w:vAlign w:val="center"/>
          </w:tcPr>
          <w:p w:rsidR="005F78FC" w:rsidRDefault="00B42EF3">
            <w:pPr>
              <w:pStyle w:val="TableBodyText"/>
            </w:pPr>
            <w:r>
              <w:rPr>
                <w:i/>
              </w:rPr>
              <w:t>87</w:t>
            </w:r>
          </w:p>
        </w:tc>
        <w:tc>
          <w:tcPr>
            <w:tcW w:w="0" w:type="auto"/>
            <w:vAlign w:val="center"/>
          </w:tcPr>
          <w:p w:rsidR="005F78FC" w:rsidRDefault="00B42EF3">
            <w:pPr>
              <w:pStyle w:val="TableBodyText"/>
            </w:pPr>
            <w:r>
              <w:t>Left Brace</w:t>
            </w:r>
          </w:p>
        </w:tc>
      </w:tr>
      <w:tr w:rsidR="005F78FC" w:rsidTr="005F78FC">
        <w:tc>
          <w:tcPr>
            <w:tcW w:w="0" w:type="auto"/>
            <w:vAlign w:val="center"/>
          </w:tcPr>
          <w:p w:rsidR="005F78FC" w:rsidRDefault="00B42EF3">
            <w:pPr>
              <w:pStyle w:val="TableBodyText"/>
            </w:pPr>
            <w:r>
              <w:rPr>
                <w:i/>
              </w:rPr>
              <w:t>88</w:t>
            </w:r>
          </w:p>
        </w:tc>
        <w:tc>
          <w:tcPr>
            <w:tcW w:w="0" w:type="auto"/>
            <w:vAlign w:val="center"/>
          </w:tcPr>
          <w:p w:rsidR="005F78FC" w:rsidRDefault="00B42EF3">
            <w:pPr>
              <w:pStyle w:val="TableBodyText"/>
            </w:pPr>
            <w:r>
              <w:t>Right Brace</w:t>
            </w:r>
          </w:p>
        </w:tc>
      </w:tr>
      <w:tr w:rsidR="005F78FC" w:rsidTr="005F78FC">
        <w:tc>
          <w:tcPr>
            <w:tcW w:w="0" w:type="auto"/>
            <w:vAlign w:val="center"/>
          </w:tcPr>
          <w:p w:rsidR="005F78FC" w:rsidRDefault="00B42EF3">
            <w:pPr>
              <w:pStyle w:val="TableBodyText"/>
            </w:pPr>
            <w:r>
              <w:rPr>
                <w:i/>
              </w:rPr>
              <w:t>89</w:t>
            </w:r>
          </w:p>
        </w:tc>
        <w:tc>
          <w:tcPr>
            <w:tcW w:w="0" w:type="auto"/>
            <w:vAlign w:val="center"/>
          </w:tcPr>
          <w:p w:rsidR="005F78FC" w:rsidRDefault="00B42EF3">
            <w:pPr>
              <w:pStyle w:val="TableBodyText"/>
            </w:pPr>
            <w:r>
              <w:t>Left-Up Arrow</w:t>
            </w:r>
          </w:p>
        </w:tc>
      </w:tr>
      <w:tr w:rsidR="005F78FC" w:rsidTr="005F78FC">
        <w:tc>
          <w:tcPr>
            <w:tcW w:w="0" w:type="auto"/>
            <w:vAlign w:val="center"/>
          </w:tcPr>
          <w:p w:rsidR="005F78FC" w:rsidRDefault="00B42EF3">
            <w:pPr>
              <w:pStyle w:val="TableBodyText"/>
            </w:pPr>
            <w:r>
              <w:rPr>
                <w:i/>
              </w:rPr>
              <w:t>90</w:t>
            </w:r>
          </w:p>
        </w:tc>
        <w:tc>
          <w:tcPr>
            <w:tcW w:w="0" w:type="auto"/>
            <w:vAlign w:val="center"/>
          </w:tcPr>
          <w:p w:rsidR="005F78FC" w:rsidRDefault="00B42EF3">
            <w:pPr>
              <w:pStyle w:val="TableBodyText"/>
            </w:pPr>
            <w:r>
              <w:t>Bent Up Arrow</w:t>
            </w:r>
          </w:p>
        </w:tc>
      </w:tr>
      <w:tr w:rsidR="005F78FC" w:rsidTr="005F78FC">
        <w:tc>
          <w:tcPr>
            <w:tcW w:w="0" w:type="auto"/>
            <w:vAlign w:val="center"/>
          </w:tcPr>
          <w:p w:rsidR="005F78FC" w:rsidRDefault="00B42EF3">
            <w:pPr>
              <w:pStyle w:val="TableBodyText"/>
            </w:pPr>
            <w:r>
              <w:rPr>
                <w:i/>
              </w:rPr>
              <w:t>91</w:t>
            </w:r>
          </w:p>
        </w:tc>
        <w:tc>
          <w:tcPr>
            <w:tcW w:w="0" w:type="auto"/>
            <w:vAlign w:val="center"/>
          </w:tcPr>
          <w:p w:rsidR="005F78FC" w:rsidRDefault="00B42EF3">
            <w:pPr>
              <w:pStyle w:val="TableBodyText"/>
            </w:pPr>
            <w:r>
              <w:t>Bent Arrow</w:t>
            </w:r>
          </w:p>
        </w:tc>
      </w:tr>
      <w:tr w:rsidR="005F78FC" w:rsidTr="005F78FC">
        <w:tc>
          <w:tcPr>
            <w:tcW w:w="0" w:type="auto"/>
            <w:vAlign w:val="center"/>
          </w:tcPr>
          <w:p w:rsidR="005F78FC" w:rsidRDefault="00B42EF3">
            <w:pPr>
              <w:pStyle w:val="TableBodyText"/>
            </w:pPr>
            <w:r>
              <w:rPr>
                <w:i/>
              </w:rPr>
              <w:t>92</w:t>
            </w:r>
          </w:p>
        </w:tc>
        <w:tc>
          <w:tcPr>
            <w:tcW w:w="0" w:type="auto"/>
            <w:vAlign w:val="center"/>
          </w:tcPr>
          <w:p w:rsidR="005F78FC" w:rsidRDefault="00B42EF3">
            <w:pPr>
              <w:pStyle w:val="TableBodyText"/>
            </w:pPr>
            <w:r>
              <w:t>24 Pointed Seal</w:t>
            </w:r>
          </w:p>
        </w:tc>
      </w:tr>
      <w:tr w:rsidR="005F78FC" w:rsidTr="005F78FC">
        <w:tc>
          <w:tcPr>
            <w:tcW w:w="0" w:type="auto"/>
            <w:vAlign w:val="center"/>
          </w:tcPr>
          <w:p w:rsidR="005F78FC" w:rsidRDefault="00B42EF3">
            <w:pPr>
              <w:pStyle w:val="TableBodyText"/>
            </w:pPr>
            <w:r>
              <w:rPr>
                <w:i/>
              </w:rPr>
              <w:t>93</w:t>
            </w:r>
          </w:p>
        </w:tc>
        <w:tc>
          <w:tcPr>
            <w:tcW w:w="0" w:type="auto"/>
            <w:vAlign w:val="center"/>
          </w:tcPr>
          <w:p w:rsidR="005F78FC" w:rsidRDefault="00B42EF3">
            <w:pPr>
              <w:pStyle w:val="TableBodyText"/>
            </w:pPr>
            <w:r>
              <w:t>Striped Right Arrow</w:t>
            </w:r>
          </w:p>
        </w:tc>
      </w:tr>
      <w:tr w:rsidR="005F78FC" w:rsidTr="005F78FC">
        <w:tc>
          <w:tcPr>
            <w:tcW w:w="0" w:type="auto"/>
            <w:vAlign w:val="center"/>
          </w:tcPr>
          <w:p w:rsidR="005F78FC" w:rsidRDefault="00B42EF3">
            <w:pPr>
              <w:pStyle w:val="TableBodyText"/>
            </w:pPr>
            <w:r>
              <w:rPr>
                <w:i/>
              </w:rPr>
              <w:t>94</w:t>
            </w:r>
          </w:p>
        </w:tc>
        <w:tc>
          <w:tcPr>
            <w:tcW w:w="0" w:type="auto"/>
            <w:vAlign w:val="center"/>
          </w:tcPr>
          <w:p w:rsidR="005F78FC" w:rsidRDefault="00B42EF3">
            <w:pPr>
              <w:pStyle w:val="TableBodyText"/>
            </w:pPr>
            <w:r>
              <w:t>Notched Right Arrow</w:t>
            </w:r>
          </w:p>
        </w:tc>
      </w:tr>
      <w:tr w:rsidR="005F78FC" w:rsidTr="005F78FC">
        <w:tc>
          <w:tcPr>
            <w:tcW w:w="0" w:type="auto"/>
            <w:vAlign w:val="center"/>
          </w:tcPr>
          <w:p w:rsidR="005F78FC" w:rsidRDefault="00B42EF3">
            <w:pPr>
              <w:pStyle w:val="TableBodyText"/>
            </w:pPr>
            <w:r>
              <w:rPr>
                <w:i/>
              </w:rPr>
              <w:t>95</w:t>
            </w:r>
          </w:p>
        </w:tc>
        <w:tc>
          <w:tcPr>
            <w:tcW w:w="0" w:type="auto"/>
            <w:vAlign w:val="center"/>
          </w:tcPr>
          <w:p w:rsidR="005F78FC" w:rsidRDefault="00B42EF3">
            <w:pPr>
              <w:pStyle w:val="TableBodyText"/>
            </w:pPr>
            <w:r>
              <w:t>Block Arc</w:t>
            </w:r>
          </w:p>
        </w:tc>
      </w:tr>
      <w:tr w:rsidR="005F78FC" w:rsidTr="005F78FC">
        <w:tc>
          <w:tcPr>
            <w:tcW w:w="0" w:type="auto"/>
            <w:vAlign w:val="center"/>
          </w:tcPr>
          <w:p w:rsidR="005F78FC" w:rsidRDefault="00B42EF3">
            <w:pPr>
              <w:pStyle w:val="TableBodyText"/>
            </w:pPr>
            <w:r>
              <w:rPr>
                <w:i/>
              </w:rPr>
              <w:lastRenderedPageBreak/>
              <w:t>96</w:t>
            </w:r>
          </w:p>
        </w:tc>
        <w:tc>
          <w:tcPr>
            <w:tcW w:w="0" w:type="auto"/>
            <w:vAlign w:val="center"/>
          </w:tcPr>
          <w:p w:rsidR="005F78FC" w:rsidRDefault="00B42EF3">
            <w:pPr>
              <w:pStyle w:val="TableBodyText"/>
            </w:pPr>
            <w:r>
              <w:t>Smiley Face</w:t>
            </w:r>
          </w:p>
        </w:tc>
      </w:tr>
      <w:tr w:rsidR="005F78FC" w:rsidTr="005F78FC">
        <w:tc>
          <w:tcPr>
            <w:tcW w:w="0" w:type="auto"/>
            <w:vAlign w:val="center"/>
          </w:tcPr>
          <w:p w:rsidR="005F78FC" w:rsidRDefault="00B42EF3">
            <w:pPr>
              <w:pStyle w:val="TableBodyText"/>
            </w:pPr>
            <w:r>
              <w:rPr>
                <w:i/>
              </w:rPr>
              <w:t>97</w:t>
            </w:r>
          </w:p>
        </w:tc>
        <w:tc>
          <w:tcPr>
            <w:tcW w:w="0" w:type="auto"/>
            <w:vAlign w:val="center"/>
          </w:tcPr>
          <w:p w:rsidR="005F78FC" w:rsidRDefault="00B42EF3">
            <w:pPr>
              <w:pStyle w:val="TableBodyText"/>
            </w:pPr>
            <w:r>
              <w:t>Vertical Scroll</w:t>
            </w:r>
          </w:p>
        </w:tc>
      </w:tr>
      <w:tr w:rsidR="005F78FC" w:rsidTr="005F78FC">
        <w:tc>
          <w:tcPr>
            <w:tcW w:w="0" w:type="auto"/>
            <w:vAlign w:val="center"/>
          </w:tcPr>
          <w:p w:rsidR="005F78FC" w:rsidRDefault="00B42EF3">
            <w:pPr>
              <w:pStyle w:val="TableBodyText"/>
            </w:pPr>
            <w:r>
              <w:rPr>
                <w:i/>
              </w:rPr>
              <w:t>98</w:t>
            </w:r>
          </w:p>
        </w:tc>
        <w:tc>
          <w:tcPr>
            <w:tcW w:w="0" w:type="auto"/>
            <w:vAlign w:val="center"/>
          </w:tcPr>
          <w:p w:rsidR="005F78FC" w:rsidRDefault="00B42EF3">
            <w:pPr>
              <w:pStyle w:val="TableBodyText"/>
            </w:pPr>
            <w:r>
              <w:t>Horizontal Scroll</w:t>
            </w:r>
          </w:p>
        </w:tc>
      </w:tr>
      <w:tr w:rsidR="005F78FC" w:rsidTr="005F78FC">
        <w:tc>
          <w:tcPr>
            <w:tcW w:w="0" w:type="auto"/>
            <w:vAlign w:val="center"/>
          </w:tcPr>
          <w:p w:rsidR="005F78FC" w:rsidRDefault="00B42EF3">
            <w:pPr>
              <w:pStyle w:val="TableBodyText"/>
            </w:pPr>
            <w:r>
              <w:rPr>
                <w:i/>
              </w:rPr>
              <w:t>99</w:t>
            </w:r>
          </w:p>
        </w:tc>
        <w:tc>
          <w:tcPr>
            <w:tcW w:w="0" w:type="auto"/>
            <w:vAlign w:val="center"/>
          </w:tcPr>
          <w:p w:rsidR="005F78FC" w:rsidRDefault="00B42EF3">
            <w:pPr>
              <w:pStyle w:val="TableBodyText"/>
            </w:pPr>
            <w:r>
              <w:t>Circular Arrow</w:t>
            </w:r>
          </w:p>
        </w:tc>
      </w:tr>
      <w:tr w:rsidR="005F78FC" w:rsidTr="005F78FC">
        <w:tc>
          <w:tcPr>
            <w:tcW w:w="0" w:type="auto"/>
            <w:vAlign w:val="center"/>
          </w:tcPr>
          <w:p w:rsidR="005F78FC" w:rsidRDefault="00B42EF3">
            <w:pPr>
              <w:pStyle w:val="TableBodyText"/>
            </w:pPr>
            <w:r>
              <w:rPr>
                <w:i/>
              </w:rPr>
              <w:t>100</w:t>
            </w:r>
          </w:p>
        </w:tc>
        <w:tc>
          <w:tcPr>
            <w:tcW w:w="0" w:type="auto"/>
            <w:vAlign w:val="center"/>
          </w:tcPr>
          <w:p w:rsidR="005F78FC" w:rsidRDefault="00B42EF3">
            <w:pPr>
              <w:pStyle w:val="TableBodyText"/>
            </w:pPr>
            <w:r>
              <w:t>Notched Circular Arrow</w:t>
            </w:r>
          </w:p>
        </w:tc>
      </w:tr>
      <w:tr w:rsidR="005F78FC" w:rsidTr="005F78FC">
        <w:tc>
          <w:tcPr>
            <w:tcW w:w="0" w:type="auto"/>
            <w:vAlign w:val="center"/>
          </w:tcPr>
          <w:p w:rsidR="005F78FC" w:rsidRDefault="00B42EF3">
            <w:pPr>
              <w:pStyle w:val="TableBodyText"/>
            </w:pPr>
            <w:r>
              <w:rPr>
                <w:i/>
              </w:rPr>
              <w:t>101</w:t>
            </w:r>
          </w:p>
        </w:tc>
        <w:tc>
          <w:tcPr>
            <w:tcW w:w="0" w:type="auto"/>
            <w:vAlign w:val="center"/>
          </w:tcPr>
          <w:p w:rsidR="005F78FC" w:rsidRDefault="00B42EF3">
            <w:pPr>
              <w:pStyle w:val="TableBodyText"/>
            </w:pPr>
            <w:r>
              <w:t>U-Turn Arrow</w:t>
            </w:r>
          </w:p>
        </w:tc>
      </w:tr>
      <w:tr w:rsidR="005F78FC" w:rsidTr="005F78FC">
        <w:tc>
          <w:tcPr>
            <w:tcW w:w="0" w:type="auto"/>
            <w:vAlign w:val="center"/>
          </w:tcPr>
          <w:p w:rsidR="005F78FC" w:rsidRDefault="00B42EF3">
            <w:pPr>
              <w:pStyle w:val="TableBodyText"/>
            </w:pPr>
            <w:r>
              <w:rPr>
                <w:i/>
              </w:rPr>
              <w:t>102</w:t>
            </w:r>
          </w:p>
        </w:tc>
        <w:tc>
          <w:tcPr>
            <w:tcW w:w="0" w:type="auto"/>
            <w:vAlign w:val="center"/>
          </w:tcPr>
          <w:p w:rsidR="005F78FC" w:rsidRDefault="00B42EF3">
            <w:pPr>
              <w:pStyle w:val="TableBodyText"/>
            </w:pPr>
            <w:r>
              <w:t>Curved Right Arrow</w:t>
            </w:r>
          </w:p>
        </w:tc>
      </w:tr>
      <w:tr w:rsidR="005F78FC" w:rsidTr="005F78FC">
        <w:tc>
          <w:tcPr>
            <w:tcW w:w="0" w:type="auto"/>
            <w:vAlign w:val="center"/>
          </w:tcPr>
          <w:p w:rsidR="005F78FC" w:rsidRDefault="00B42EF3">
            <w:pPr>
              <w:pStyle w:val="TableBodyText"/>
            </w:pPr>
            <w:r>
              <w:rPr>
                <w:i/>
              </w:rPr>
              <w:t>103</w:t>
            </w:r>
          </w:p>
        </w:tc>
        <w:tc>
          <w:tcPr>
            <w:tcW w:w="0" w:type="auto"/>
            <w:vAlign w:val="center"/>
          </w:tcPr>
          <w:p w:rsidR="005F78FC" w:rsidRDefault="00B42EF3">
            <w:pPr>
              <w:pStyle w:val="TableBodyText"/>
            </w:pPr>
            <w:r>
              <w:t>Curved Left arrow</w:t>
            </w:r>
          </w:p>
        </w:tc>
      </w:tr>
      <w:tr w:rsidR="005F78FC" w:rsidTr="005F78FC">
        <w:tc>
          <w:tcPr>
            <w:tcW w:w="0" w:type="auto"/>
            <w:vAlign w:val="center"/>
          </w:tcPr>
          <w:p w:rsidR="005F78FC" w:rsidRDefault="00B42EF3">
            <w:pPr>
              <w:pStyle w:val="TableBodyText"/>
            </w:pPr>
            <w:r>
              <w:rPr>
                <w:i/>
              </w:rPr>
              <w:t>104</w:t>
            </w:r>
          </w:p>
        </w:tc>
        <w:tc>
          <w:tcPr>
            <w:tcW w:w="0" w:type="auto"/>
            <w:vAlign w:val="center"/>
          </w:tcPr>
          <w:p w:rsidR="005F78FC" w:rsidRDefault="00B42EF3">
            <w:pPr>
              <w:pStyle w:val="TableBodyText"/>
            </w:pPr>
            <w:r>
              <w:t>Curved Up Arrow</w:t>
            </w:r>
          </w:p>
        </w:tc>
      </w:tr>
      <w:tr w:rsidR="005F78FC" w:rsidTr="005F78FC">
        <w:tc>
          <w:tcPr>
            <w:tcW w:w="0" w:type="auto"/>
            <w:vAlign w:val="center"/>
          </w:tcPr>
          <w:p w:rsidR="005F78FC" w:rsidRDefault="00B42EF3">
            <w:pPr>
              <w:pStyle w:val="TableBodyText"/>
            </w:pPr>
            <w:r>
              <w:rPr>
                <w:i/>
              </w:rPr>
              <w:t>105</w:t>
            </w:r>
          </w:p>
        </w:tc>
        <w:tc>
          <w:tcPr>
            <w:tcW w:w="0" w:type="auto"/>
            <w:vAlign w:val="center"/>
          </w:tcPr>
          <w:p w:rsidR="005F78FC" w:rsidRDefault="00B42EF3">
            <w:pPr>
              <w:pStyle w:val="TableBodyText"/>
            </w:pPr>
            <w:r>
              <w:t>Curved Down Arrow</w:t>
            </w:r>
          </w:p>
        </w:tc>
      </w:tr>
      <w:tr w:rsidR="005F78FC" w:rsidTr="005F78FC">
        <w:tc>
          <w:tcPr>
            <w:tcW w:w="0" w:type="auto"/>
            <w:vAlign w:val="center"/>
          </w:tcPr>
          <w:p w:rsidR="005F78FC" w:rsidRDefault="00B42EF3">
            <w:pPr>
              <w:pStyle w:val="TableBodyText"/>
            </w:pPr>
            <w:r>
              <w:rPr>
                <w:i/>
              </w:rPr>
              <w:t>106</w:t>
            </w:r>
          </w:p>
        </w:tc>
        <w:tc>
          <w:tcPr>
            <w:tcW w:w="0" w:type="auto"/>
            <w:vAlign w:val="center"/>
          </w:tcPr>
          <w:p w:rsidR="005F78FC" w:rsidRDefault="00B42EF3">
            <w:pPr>
              <w:pStyle w:val="TableBodyText"/>
            </w:pPr>
            <w:r>
              <w:t>Cloud Callout</w:t>
            </w:r>
          </w:p>
        </w:tc>
      </w:tr>
      <w:tr w:rsidR="005F78FC" w:rsidTr="005F78FC">
        <w:tc>
          <w:tcPr>
            <w:tcW w:w="0" w:type="auto"/>
            <w:vAlign w:val="center"/>
          </w:tcPr>
          <w:p w:rsidR="005F78FC" w:rsidRDefault="00B42EF3">
            <w:pPr>
              <w:pStyle w:val="TableBodyText"/>
            </w:pPr>
            <w:r>
              <w:rPr>
                <w:i/>
              </w:rPr>
              <w:t>107-108</w:t>
            </w:r>
          </w:p>
        </w:tc>
        <w:tc>
          <w:tcPr>
            <w:tcW w:w="0" w:type="auto"/>
            <w:vAlign w:val="center"/>
          </w:tcPr>
          <w:p w:rsidR="005F78FC" w:rsidRDefault="00B42EF3">
            <w:pPr>
              <w:pStyle w:val="TableBodyText"/>
            </w:pPr>
            <w:r>
              <w:t>Ellipse Ribbon</w:t>
            </w:r>
          </w:p>
        </w:tc>
      </w:tr>
      <w:tr w:rsidR="005F78FC" w:rsidTr="005F78FC">
        <w:tc>
          <w:tcPr>
            <w:tcW w:w="0" w:type="auto"/>
            <w:vAlign w:val="center"/>
          </w:tcPr>
          <w:p w:rsidR="005F78FC" w:rsidRDefault="00B42EF3">
            <w:pPr>
              <w:pStyle w:val="TableBodyText"/>
            </w:pPr>
            <w:r>
              <w:rPr>
                <w:i/>
              </w:rPr>
              <w:t>109</w:t>
            </w:r>
          </w:p>
        </w:tc>
        <w:tc>
          <w:tcPr>
            <w:tcW w:w="0" w:type="auto"/>
            <w:vAlign w:val="center"/>
          </w:tcPr>
          <w:p w:rsidR="005F78FC" w:rsidRDefault="00B42EF3">
            <w:pPr>
              <w:pStyle w:val="TableBodyText"/>
            </w:pPr>
            <w:r>
              <w:t xml:space="preserve">Flow </w:t>
            </w:r>
            <w:r>
              <w:t>Chart Process</w:t>
            </w:r>
          </w:p>
        </w:tc>
      </w:tr>
      <w:tr w:rsidR="005F78FC" w:rsidTr="005F78FC">
        <w:tc>
          <w:tcPr>
            <w:tcW w:w="0" w:type="auto"/>
            <w:vAlign w:val="center"/>
          </w:tcPr>
          <w:p w:rsidR="005F78FC" w:rsidRDefault="00B42EF3">
            <w:pPr>
              <w:pStyle w:val="TableBodyText"/>
            </w:pPr>
            <w:r>
              <w:rPr>
                <w:i/>
              </w:rPr>
              <w:t>110</w:t>
            </w:r>
          </w:p>
        </w:tc>
        <w:tc>
          <w:tcPr>
            <w:tcW w:w="0" w:type="auto"/>
            <w:vAlign w:val="center"/>
          </w:tcPr>
          <w:p w:rsidR="005F78FC" w:rsidRDefault="00B42EF3">
            <w:pPr>
              <w:pStyle w:val="TableBodyText"/>
            </w:pPr>
            <w:r>
              <w:t>Flow Chart Decision</w:t>
            </w:r>
          </w:p>
        </w:tc>
      </w:tr>
      <w:tr w:rsidR="005F78FC" w:rsidTr="005F78FC">
        <w:tc>
          <w:tcPr>
            <w:tcW w:w="0" w:type="auto"/>
            <w:vAlign w:val="center"/>
          </w:tcPr>
          <w:p w:rsidR="005F78FC" w:rsidRDefault="00B42EF3">
            <w:pPr>
              <w:pStyle w:val="TableBodyText"/>
            </w:pPr>
            <w:r>
              <w:rPr>
                <w:i/>
              </w:rPr>
              <w:t>111</w:t>
            </w:r>
          </w:p>
        </w:tc>
        <w:tc>
          <w:tcPr>
            <w:tcW w:w="0" w:type="auto"/>
            <w:vAlign w:val="center"/>
          </w:tcPr>
          <w:p w:rsidR="005F78FC" w:rsidRDefault="00B42EF3">
            <w:pPr>
              <w:pStyle w:val="TableBodyText"/>
            </w:pPr>
            <w:r>
              <w:t>Flow Chart Input/Output</w:t>
            </w:r>
          </w:p>
        </w:tc>
      </w:tr>
      <w:tr w:rsidR="005F78FC" w:rsidTr="005F78FC">
        <w:tc>
          <w:tcPr>
            <w:tcW w:w="0" w:type="auto"/>
            <w:vAlign w:val="center"/>
          </w:tcPr>
          <w:p w:rsidR="005F78FC" w:rsidRDefault="00B42EF3">
            <w:pPr>
              <w:pStyle w:val="TableBodyText"/>
            </w:pPr>
            <w:r>
              <w:rPr>
                <w:i/>
              </w:rPr>
              <w:t>112</w:t>
            </w:r>
          </w:p>
        </w:tc>
        <w:tc>
          <w:tcPr>
            <w:tcW w:w="0" w:type="auto"/>
            <w:vAlign w:val="center"/>
          </w:tcPr>
          <w:p w:rsidR="005F78FC" w:rsidRDefault="00B42EF3">
            <w:pPr>
              <w:pStyle w:val="TableBodyText"/>
            </w:pPr>
            <w:r>
              <w:t>Flow Chart Predefined Process</w:t>
            </w:r>
          </w:p>
        </w:tc>
      </w:tr>
      <w:tr w:rsidR="005F78FC" w:rsidTr="005F78FC">
        <w:tc>
          <w:tcPr>
            <w:tcW w:w="0" w:type="auto"/>
            <w:vAlign w:val="center"/>
          </w:tcPr>
          <w:p w:rsidR="005F78FC" w:rsidRDefault="00B42EF3">
            <w:pPr>
              <w:pStyle w:val="TableBodyText"/>
            </w:pPr>
            <w:r>
              <w:rPr>
                <w:i/>
              </w:rPr>
              <w:t>113</w:t>
            </w:r>
          </w:p>
        </w:tc>
        <w:tc>
          <w:tcPr>
            <w:tcW w:w="0" w:type="auto"/>
            <w:vAlign w:val="center"/>
          </w:tcPr>
          <w:p w:rsidR="005F78FC" w:rsidRDefault="00B42EF3">
            <w:pPr>
              <w:pStyle w:val="TableBodyText"/>
            </w:pPr>
            <w:r>
              <w:t>Flow Chart Internal Storage</w:t>
            </w:r>
          </w:p>
        </w:tc>
      </w:tr>
      <w:tr w:rsidR="005F78FC" w:rsidTr="005F78FC">
        <w:tc>
          <w:tcPr>
            <w:tcW w:w="0" w:type="auto"/>
            <w:vAlign w:val="center"/>
          </w:tcPr>
          <w:p w:rsidR="005F78FC" w:rsidRDefault="00B42EF3">
            <w:pPr>
              <w:pStyle w:val="TableBodyText"/>
            </w:pPr>
            <w:r>
              <w:rPr>
                <w:i/>
              </w:rPr>
              <w:t>114</w:t>
            </w:r>
          </w:p>
        </w:tc>
        <w:tc>
          <w:tcPr>
            <w:tcW w:w="0" w:type="auto"/>
            <w:vAlign w:val="center"/>
          </w:tcPr>
          <w:p w:rsidR="005F78FC" w:rsidRDefault="00B42EF3">
            <w:pPr>
              <w:pStyle w:val="TableBodyText"/>
            </w:pPr>
            <w:r>
              <w:t>Flow Chart Document</w:t>
            </w:r>
          </w:p>
        </w:tc>
      </w:tr>
      <w:tr w:rsidR="005F78FC" w:rsidTr="005F78FC">
        <w:tc>
          <w:tcPr>
            <w:tcW w:w="0" w:type="auto"/>
            <w:vAlign w:val="center"/>
          </w:tcPr>
          <w:p w:rsidR="005F78FC" w:rsidRDefault="00B42EF3">
            <w:pPr>
              <w:pStyle w:val="TableBodyText"/>
            </w:pPr>
            <w:r>
              <w:rPr>
                <w:i/>
              </w:rPr>
              <w:t>115</w:t>
            </w:r>
          </w:p>
        </w:tc>
        <w:tc>
          <w:tcPr>
            <w:tcW w:w="0" w:type="auto"/>
            <w:vAlign w:val="center"/>
          </w:tcPr>
          <w:p w:rsidR="005F78FC" w:rsidRDefault="00B42EF3">
            <w:pPr>
              <w:pStyle w:val="TableBodyText"/>
            </w:pPr>
            <w:r>
              <w:t>Flow Chart Multi-Document</w:t>
            </w:r>
          </w:p>
        </w:tc>
      </w:tr>
      <w:tr w:rsidR="005F78FC" w:rsidTr="005F78FC">
        <w:tc>
          <w:tcPr>
            <w:tcW w:w="0" w:type="auto"/>
            <w:vAlign w:val="center"/>
          </w:tcPr>
          <w:p w:rsidR="005F78FC" w:rsidRDefault="00B42EF3">
            <w:pPr>
              <w:pStyle w:val="TableBodyText"/>
            </w:pPr>
            <w:r>
              <w:rPr>
                <w:i/>
              </w:rPr>
              <w:t>116</w:t>
            </w:r>
          </w:p>
        </w:tc>
        <w:tc>
          <w:tcPr>
            <w:tcW w:w="0" w:type="auto"/>
            <w:vAlign w:val="center"/>
          </w:tcPr>
          <w:p w:rsidR="005F78FC" w:rsidRDefault="00B42EF3">
            <w:pPr>
              <w:pStyle w:val="TableBodyText"/>
            </w:pPr>
            <w:r>
              <w:t>Flow Chart Terminator</w:t>
            </w:r>
          </w:p>
        </w:tc>
      </w:tr>
      <w:tr w:rsidR="005F78FC" w:rsidTr="005F78FC">
        <w:tc>
          <w:tcPr>
            <w:tcW w:w="0" w:type="auto"/>
            <w:vAlign w:val="center"/>
          </w:tcPr>
          <w:p w:rsidR="005F78FC" w:rsidRDefault="00B42EF3">
            <w:pPr>
              <w:pStyle w:val="TableBodyText"/>
            </w:pPr>
            <w:r>
              <w:rPr>
                <w:i/>
              </w:rPr>
              <w:t>117</w:t>
            </w:r>
          </w:p>
        </w:tc>
        <w:tc>
          <w:tcPr>
            <w:tcW w:w="0" w:type="auto"/>
            <w:vAlign w:val="center"/>
          </w:tcPr>
          <w:p w:rsidR="005F78FC" w:rsidRDefault="00B42EF3">
            <w:pPr>
              <w:pStyle w:val="TableBodyText"/>
            </w:pPr>
            <w:r>
              <w:t>Flow Chart Preparation</w:t>
            </w:r>
          </w:p>
        </w:tc>
      </w:tr>
      <w:tr w:rsidR="005F78FC" w:rsidTr="005F78FC">
        <w:tc>
          <w:tcPr>
            <w:tcW w:w="0" w:type="auto"/>
            <w:vAlign w:val="center"/>
          </w:tcPr>
          <w:p w:rsidR="005F78FC" w:rsidRDefault="00B42EF3">
            <w:pPr>
              <w:pStyle w:val="TableBodyText"/>
            </w:pPr>
            <w:r>
              <w:rPr>
                <w:i/>
              </w:rPr>
              <w:t>118</w:t>
            </w:r>
          </w:p>
        </w:tc>
        <w:tc>
          <w:tcPr>
            <w:tcW w:w="0" w:type="auto"/>
            <w:vAlign w:val="center"/>
          </w:tcPr>
          <w:p w:rsidR="005F78FC" w:rsidRDefault="00B42EF3">
            <w:pPr>
              <w:pStyle w:val="TableBodyText"/>
            </w:pPr>
            <w:r>
              <w:t>Flow</w:t>
            </w:r>
            <w:r>
              <w:t xml:space="preserve"> Chart Manual Input</w:t>
            </w:r>
          </w:p>
        </w:tc>
      </w:tr>
      <w:tr w:rsidR="005F78FC" w:rsidTr="005F78FC">
        <w:tc>
          <w:tcPr>
            <w:tcW w:w="0" w:type="auto"/>
            <w:vAlign w:val="center"/>
          </w:tcPr>
          <w:p w:rsidR="005F78FC" w:rsidRDefault="00B42EF3">
            <w:pPr>
              <w:pStyle w:val="TableBodyText"/>
            </w:pPr>
            <w:r>
              <w:rPr>
                <w:i/>
              </w:rPr>
              <w:t>119</w:t>
            </w:r>
          </w:p>
        </w:tc>
        <w:tc>
          <w:tcPr>
            <w:tcW w:w="0" w:type="auto"/>
            <w:vAlign w:val="center"/>
          </w:tcPr>
          <w:p w:rsidR="005F78FC" w:rsidRDefault="00B42EF3">
            <w:pPr>
              <w:pStyle w:val="TableBodyText"/>
            </w:pPr>
            <w:r>
              <w:t>Flow Chart Manual Operation</w:t>
            </w:r>
          </w:p>
        </w:tc>
      </w:tr>
      <w:tr w:rsidR="005F78FC" w:rsidTr="005F78FC">
        <w:tc>
          <w:tcPr>
            <w:tcW w:w="0" w:type="auto"/>
            <w:vAlign w:val="center"/>
          </w:tcPr>
          <w:p w:rsidR="005F78FC" w:rsidRDefault="00B42EF3">
            <w:pPr>
              <w:pStyle w:val="TableBodyText"/>
            </w:pPr>
            <w:r>
              <w:rPr>
                <w:i/>
              </w:rPr>
              <w:t>120</w:t>
            </w:r>
          </w:p>
        </w:tc>
        <w:tc>
          <w:tcPr>
            <w:tcW w:w="0" w:type="auto"/>
            <w:vAlign w:val="center"/>
          </w:tcPr>
          <w:p w:rsidR="005F78FC" w:rsidRDefault="00B42EF3">
            <w:pPr>
              <w:pStyle w:val="TableBodyText"/>
            </w:pPr>
            <w:r>
              <w:t>Flow Chart Connector</w:t>
            </w:r>
          </w:p>
        </w:tc>
      </w:tr>
      <w:tr w:rsidR="005F78FC" w:rsidTr="005F78FC">
        <w:tc>
          <w:tcPr>
            <w:tcW w:w="0" w:type="auto"/>
            <w:vAlign w:val="center"/>
          </w:tcPr>
          <w:p w:rsidR="005F78FC" w:rsidRDefault="00B42EF3">
            <w:pPr>
              <w:pStyle w:val="TableBodyText"/>
            </w:pPr>
            <w:r>
              <w:rPr>
                <w:i/>
              </w:rPr>
              <w:t>121</w:t>
            </w:r>
          </w:p>
        </w:tc>
        <w:tc>
          <w:tcPr>
            <w:tcW w:w="0" w:type="auto"/>
            <w:vAlign w:val="center"/>
          </w:tcPr>
          <w:p w:rsidR="005F78FC" w:rsidRDefault="00B42EF3">
            <w:pPr>
              <w:pStyle w:val="TableBodyText"/>
            </w:pPr>
            <w:r>
              <w:t>Flow Chart Punched Card</w:t>
            </w:r>
          </w:p>
        </w:tc>
      </w:tr>
      <w:tr w:rsidR="005F78FC" w:rsidTr="005F78FC">
        <w:tc>
          <w:tcPr>
            <w:tcW w:w="0" w:type="auto"/>
            <w:vAlign w:val="center"/>
          </w:tcPr>
          <w:p w:rsidR="005F78FC" w:rsidRDefault="00B42EF3">
            <w:pPr>
              <w:pStyle w:val="TableBodyText"/>
            </w:pPr>
            <w:r>
              <w:rPr>
                <w:i/>
              </w:rPr>
              <w:t>122</w:t>
            </w:r>
          </w:p>
        </w:tc>
        <w:tc>
          <w:tcPr>
            <w:tcW w:w="0" w:type="auto"/>
            <w:vAlign w:val="center"/>
          </w:tcPr>
          <w:p w:rsidR="005F78FC" w:rsidRDefault="00B42EF3">
            <w:pPr>
              <w:pStyle w:val="TableBodyText"/>
            </w:pPr>
            <w:r>
              <w:t>Flow Chart Punched Tape</w:t>
            </w:r>
          </w:p>
        </w:tc>
      </w:tr>
      <w:tr w:rsidR="005F78FC" w:rsidTr="005F78FC">
        <w:tc>
          <w:tcPr>
            <w:tcW w:w="0" w:type="auto"/>
            <w:vAlign w:val="center"/>
          </w:tcPr>
          <w:p w:rsidR="005F78FC" w:rsidRDefault="00B42EF3">
            <w:pPr>
              <w:pStyle w:val="TableBodyText"/>
            </w:pPr>
            <w:r>
              <w:rPr>
                <w:i/>
              </w:rPr>
              <w:t>123</w:t>
            </w:r>
          </w:p>
        </w:tc>
        <w:tc>
          <w:tcPr>
            <w:tcW w:w="0" w:type="auto"/>
            <w:vAlign w:val="center"/>
          </w:tcPr>
          <w:p w:rsidR="005F78FC" w:rsidRDefault="00B42EF3">
            <w:pPr>
              <w:pStyle w:val="TableBodyText"/>
            </w:pPr>
            <w:r>
              <w:t>Flow Chart Summing Junction</w:t>
            </w:r>
          </w:p>
        </w:tc>
      </w:tr>
      <w:tr w:rsidR="005F78FC" w:rsidTr="005F78FC">
        <w:tc>
          <w:tcPr>
            <w:tcW w:w="0" w:type="auto"/>
            <w:vAlign w:val="center"/>
          </w:tcPr>
          <w:p w:rsidR="005F78FC" w:rsidRDefault="00B42EF3">
            <w:pPr>
              <w:pStyle w:val="TableBodyText"/>
            </w:pPr>
            <w:r>
              <w:rPr>
                <w:i/>
              </w:rPr>
              <w:t>124</w:t>
            </w:r>
          </w:p>
        </w:tc>
        <w:tc>
          <w:tcPr>
            <w:tcW w:w="0" w:type="auto"/>
            <w:vAlign w:val="center"/>
          </w:tcPr>
          <w:p w:rsidR="005F78FC" w:rsidRDefault="00B42EF3">
            <w:pPr>
              <w:pStyle w:val="TableBodyText"/>
            </w:pPr>
            <w:r>
              <w:t>Flow Chart Or</w:t>
            </w:r>
          </w:p>
        </w:tc>
      </w:tr>
      <w:tr w:rsidR="005F78FC" w:rsidTr="005F78FC">
        <w:tc>
          <w:tcPr>
            <w:tcW w:w="0" w:type="auto"/>
            <w:vAlign w:val="center"/>
          </w:tcPr>
          <w:p w:rsidR="005F78FC" w:rsidRDefault="00B42EF3">
            <w:pPr>
              <w:pStyle w:val="TableBodyText"/>
            </w:pPr>
            <w:r>
              <w:rPr>
                <w:i/>
              </w:rPr>
              <w:t>125</w:t>
            </w:r>
          </w:p>
        </w:tc>
        <w:tc>
          <w:tcPr>
            <w:tcW w:w="0" w:type="auto"/>
            <w:vAlign w:val="center"/>
          </w:tcPr>
          <w:p w:rsidR="005F78FC" w:rsidRDefault="00B42EF3">
            <w:pPr>
              <w:pStyle w:val="TableBodyText"/>
            </w:pPr>
            <w:r>
              <w:t>Flow Chart Collate</w:t>
            </w:r>
          </w:p>
        </w:tc>
      </w:tr>
      <w:tr w:rsidR="005F78FC" w:rsidTr="005F78FC">
        <w:tc>
          <w:tcPr>
            <w:tcW w:w="0" w:type="auto"/>
            <w:vAlign w:val="center"/>
          </w:tcPr>
          <w:p w:rsidR="005F78FC" w:rsidRDefault="00B42EF3">
            <w:pPr>
              <w:pStyle w:val="TableBodyText"/>
            </w:pPr>
            <w:r>
              <w:rPr>
                <w:i/>
              </w:rPr>
              <w:t>126</w:t>
            </w:r>
          </w:p>
        </w:tc>
        <w:tc>
          <w:tcPr>
            <w:tcW w:w="0" w:type="auto"/>
            <w:vAlign w:val="center"/>
          </w:tcPr>
          <w:p w:rsidR="005F78FC" w:rsidRDefault="00B42EF3">
            <w:pPr>
              <w:pStyle w:val="TableBodyText"/>
            </w:pPr>
            <w:r>
              <w:t>Flow Chart Sort</w:t>
            </w:r>
          </w:p>
        </w:tc>
      </w:tr>
      <w:tr w:rsidR="005F78FC" w:rsidTr="005F78FC">
        <w:tc>
          <w:tcPr>
            <w:tcW w:w="0" w:type="auto"/>
            <w:vAlign w:val="center"/>
          </w:tcPr>
          <w:p w:rsidR="005F78FC" w:rsidRDefault="00B42EF3">
            <w:pPr>
              <w:pStyle w:val="TableBodyText"/>
            </w:pPr>
            <w:r>
              <w:rPr>
                <w:i/>
              </w:rPr>
              <w:t>127</w:t>
            </w:r>
          </w:p>
        </w:tc>
        <w:tc>
          <w:tcPr>
            <w:tcW w:w="0" w:type="auto"/>
            <w:vAlign w:val="center"/>
          </w:tcPr>
          <w:p w:rsidR="005F78FC" w:rsidRDefault="00B42EF3">
            <w:pPr>
              <w:pStyle w:val="TableBodyText"/>
            </w:pPr>
            <w:r>
              <w:t xml:space="preserve">Flow Chart </w:t>
            </w:r>
            <w:r>
              <w:t>Extract</w:t>
            </w:r>
          </w:p>
        </w:tc>
      </w:tr>
      <w:tr w:rsidR="005F78FC" w:rsidTr="005F78FC">
        <w:tc>
          <w:tcPr>
            <w:tcW w:w="0" w:type="auto"/>
            <w:vAlign w:val="center"/>
          </w:tcPr>
          <w:p w:rsidR="005F78FC" w:rsidRDefault="00B42EF3">
            <w:pPr>
              <w:pStyle w:val="TableBodyText"/>
            </w:pPr>
            <w:r>
              <w:rPr>
                <w:i/>
              </w:rPr>
              <w:t>128</w:t>
            </w:r>
          </w:p>
        </w:tc>
        <w:tc>
          <w:tcPr>
            <w:tcW w:w="0" w:type="auto"/>
            <w:vAlign w:val="center"/>
          </w:tcPr>
          <w:p w:rsidR="005F78FC" w:rsidRDefault="00B42EF3">
            <w:pPr>
              <w:pStyle w:val="TableBodyText"/>
            </w:pPr>
            <w:r>
              <w:t>Flow Chart Merge</w:t>
            </w:r>
          </w:p>
        </w:tc>
      </w:tr>
      <w:tr w:rsidR="005F78FC" w:rsidTr="005F78FC">
        <w:tc>
          <w:tcPr>
            <w:tcW w:w="0" w:type="auto"/>
            <w:vAlign w:val="center"/>
          </w:tcPr>
          <w:p w:rsidR="005F78FC" w:rsidRDefault="00B42EF3">
            <w:pPr>
              <w:pStyle w:val="TableBodyText"/>
            </w:pPr>
            <w:r>
              <w:rPr>
                <w:i/>
              </w:rPr>
              <w:lastRenderedPageBreak/>
              <w:t>129</w:t>
            </w:r>
          </w:p>
        </w:tc>
        <w:tc>
          <w:tcPr>
            <w:tcW w:w="0" w:type="auto"/>
            <w:vAlign w:val="center"/>
          </w:tcPr>
          <w:p w:rsidR="005F78FC" w:rsidRDefault="00B42EF3">
            <w:pPr>
              <w:pStyle w:val="TableBodyText"/>
            </w:pPr>
            <w:r>
              <w:t>Flow Chart Offline Storage</w:t>
            </w:r>
          </w:p>
        </w:tc>
      </w:tr>
      <w:tr w:rsidR="005F78FC" w:rsidTr="005F78FC">
        <w:tc>
          <w:tcPr>
            <w:tcW w:w="0" w:type="auto"/>
            <w:vAlign w:val="center"/>
          </w:tcPr>
          <w:p w:rsidR="005F78FC" w:rsidRDefault="00B42EF3">
            <w:pPr>
              <w:pStyle w:val="TableBodyText"/>
            </w:pPr>
            <w:r>
              <w:rPr>
                <w:i/>
              </w:rPr>
              <w:t>130</w:t>
            </w:r>
          </w:p>
        </w:tc>
        <w:tc>
          <w:tcPr>
            <w:tcW w:w="0" w:type="auto"/>
            <w:vAlign w:val="center"/>
          </w:tcPr>
          <w:p w:rsidR="005F78FC" w:rsidRDefault="00B42EF3">
            <w:pPr>
              <w:pStyle w:val="TableBodyText"/>
            </w:pPr>
            <w:r>
              <w:t>Flow Chart Online Storage</w:t>
            </w:r>
          </w:p>
        </w:tc>
      </w:tr>
      <w:tr w:rsidR="005F78FC" w:rsidTr="005F78FC">
        <w:tc>
          <w:tcPr>
            <w:tcW w:w="0" w:type="auto"/>
            <w:vAlign w:val="center"/>
          </w:tcPr>
          <w:p w:rsidR="005F78FC" w:rsidRDefault="00B42EF3">
            <w:pPr>
              <w:pStyle w:val="TableBodyText"/>
            </w:pPr>
            <w:r>
              <w:rPr>
                <w:i/>
              </w:rPr>
              <w:t>131</w:t>
            </w:r>
          </w:p>
        </w:tc>
        <w:tc>
          <w:tcPr>
            <w:tcW w:w="0" w:type="auto"/>
            <w:vAlign w:val="center"/>
          </w:tcPr>
          <w:p w:rsidR="005F78FC" w:rsidRDefault="00B42EF3">
            <w:pPr>
              <w:pStyle w:val="TableBodyText"/>
            </w:pPr>
            <w:r>
              <w:t>Flow Chart Magnetic Tape</w:t>
            </w:r>
          </w:p>
        </w:tc>
      </w:tr>
      <w:tr w:rsidR="005F78FC" w:rsidTr="005F78FC">
        <w:tc>
          <w:tcPr>
            <w:tcW w:w="0" w:type="auto"/>
            <w:vAlign w:val="center"/>
          </w:tcPr>
          <w:p w:rsidR="005F78FC" w:rsidRDefault="00B42EF3">
            <w:pPr>
              <w:pStyle w:val="TableBodyText"/>
            </w:pPr>
            <w:r>
              <w:rPr>
                <w:i/>
              </w:rPr>
              <w:t>132</w:t>
            </w:r>
          </w:p>
        </w:tc>
        <w:tc>
          <w:tcPr>
            <w:tcW w:w="0" w:type="auto"/>
            <w:vAlign w:val="center"/>
          </w:tcPr>
          <w:p w:rsidR="005F78FC" w:rsidRDefault="00B42EF3">
            <w:pPr>
              <w:pStyle w:val="TableBodyText"/>
            </w:pPr>
            <w:r>
              <w:t>Flow Chart Magnetic Disk</w:t>
            </w:r>
          </w:p>
        </w:tc>
      </w:tr>
      <w:tr w:rsidR="005F78FC" w:rsidTr="005F78FC">
        <w:tc>
          <w:tcPr>
            <w:tcW w:w="0" w:type="auto"/>
            <w:vAlign w:val="center"/>
          </w:tcPr>
          <w:p w:rsidR="005F78FC" w:rsidRDefault="00B42EF3">
            <w:pPr>
              <w:pStyle w:val="TableBodyText"/>
            </w:pPr>
            <w:r>
              <w:rPr>
                <w:i/>
              </w:rPr>
              <w:t>133</w:t>
            </w:r>
          </w:p>
        </w:tc>
        <w:tc>
          <w:tcPr>
            <w:tcW w:w="0" w:type="auto"/>
            <w:vAlign w:val="center"/>
          </w:tcPr>
          <w:p w:rsidR="005F78FC" w:rsidRDefault="00B42EF3">
            <w:pPr>
              <w:pStyle w:val="TableBodyText"/>
            </w:pPr>
            <w:r>
              <w:t>Flow Chart Magnetic Drum</w:t>
            </w:r>
          </w:p>
        </w:tc>
      </w:tr>
      <w:tr w:rsidR="005F78FC" w:rsidTr="005F78FC">
        <w:tc>
          <w:tcPr>
            <w:tcW w:w="0" w:type="auto"/>
            <w:vAlign w:val="center"/>
          </w:tcPr>
          <w:p w:rsidR="005F78FC" w:rsidRDefault="00B42EF3">
            <w:pPr>
              <w:pStyle w:val="TableBodyText"/>
            </w:pPr>
            <w:r>
              <w:rPr>
                <w:i/>
              </w:rPr>
              <w:t>134</w:t>
            </w:r>
          </w:p>
        </w:tc>
        <w:tc>
          <w:tcPr>
            <w:tcW w:w="0" w:type="auto"/>
            <w:vAlign w:val="center"/>
          </w:tcPr>
          <w:p w:rsidR="005F78FC" w:rsidRDefault="00B42EF3">
            <w:pPr>
              <w:pStyle w:val="TableBodyText"/>
            </w:pPr>
            <w:r>
              <w:t>Flow Chart Display</w:t>
            </w:r>
          </w:p>
        </w:tc>
      </w:tr>
      <w:tr w:rsidR="005F78FC" w:rsidTr="005F78FC">
        <w:tc>
          <w:tcPr>
            <w:tcW w:w="0" w:type="auto"/>
            <w:vAlign w:val="center"/>
          </w:tcPr>
          <w:p w:rsidR="005F78FC" w:rsidRDefault="00B42EF3">
            <w:pPr>
              <w:pStyle w:val="TableBodyText"/>
            </w:pPr>
            <w:r>
              <w:rPr>
                <w:i/>
              </w:rPr>
              <w:t>135</w:t>
            </w:r>
          </w:p>
        </w:tc>
        <w:tc>
          <w:tcPr>
            <w:tcW w:w="0" w:type="auto"/>
            <w:vAlign w:val="center"/>
          </w:tcPr>
          <w:p w:rsidR="005F78FC" w:rsidRDefault="00B42EF3">
            <w:pPr>
              <w:pStyle w:val="TableBodyText"/>
            </w:pPr>
            <w:r>
              <w:t>Flow Chart Delay</w:t>
            </w:r>
          </w:p>
        </w:tc>
      </w:tr>
      <w:tr w:rsidR="005F78FC" w:rsidTr="005F78FC">
        <w:tc>
          <w:tcPr>
            <w:tcW w:w="0" w:type="auto"/>
            <w:vAlign w:val="center"/>
          </w:tcPr>
          <w:p w:rsidR="005F78FC" w:rsidRDefault="00B42EF3">
            <w:pPr>
              <w:pStyle w:val="TableBodyText"/>
            </w:pPr>
            <w:r>
              <w:rPr>
                <w:i/>
              </w:rPr>
              <w:t>176</w:t>
            </w:r>
          </w:p>
        </w:tc>
        <w:tc>
          <w:tcPr>
            <w:tcW w:w="0" w:type="auto"/>
            <w:vAlign w:val="center"/>
          </w:tcPr>
          <w:p w:rsidR="005F78FC" w:rsidRDefault="00B42EF3">
            <w:pPr>
              <w:pStyle w:val="TableBodyText"/>
            </w:pPr>
            <w:r>
              <w:t xml:space="preserve">Flow Chart Alternate </w:t>
            </w:r>
            <w:r>
              <w:t>Process</w:t>
            </w:r>
          </w:p>
        </w:tc>
      </w:tr>
      <w:tr w:rsidR="005F78FC" w:rsidTr="005F78FC">
        <w:tc>
          <w:tcPr>
            <w:tcW w:w="0" w:type="auto"/>
            <w:vAlign w:val="center"/>
          </w:tcPr>
          <w:p w:rsidR="005F78FC" w:rsidRDefault="00B42EF3">
            <w:pPr>
              <w:pStyle w:val="TableBodyText"/>
            </w:pPr>
            <w:r>
              <w:rPr>
                <w:i/>
              </w:rPr>
              <w:t>177</w:t>
            </w:r>
          </w:p>
        </w:tc>
        <w:tc>
          <w:tcPr>
            <w:tcW w:w="0" w:type="auto"/>
            <w:vAlign w:val="center"/>
          </w:tcPr>
          <w:p w:rsidR="005F78FC" w:rsidRDefault="00B42EF3">
            <w:pPr>
              <w:pStyle w:val="TableBodyText"/>
            </w:pPr>
            <w:r>
              <w:t>Flow Chart Offpage Connector</w:t>
            </w:r>
          </w:p>
        </w:tc>
      </w:tr>
      <w:tr w:rsidR="005F78FC" w:rsidTr="005F78FC">
        <w:tc>
          <w:tcPr>
            <w:tcW w:w="0" w:type="auto"/>
            <w:vAlign w:val="center"/>
          </w:tcPr>
          <w:p w:rsidR="005F78FC" w:rsidRDefault="00B42EF3">
            <w:pPr>
              <w:pStyle w:val="TableBodyText"/>
            </w:pPr>
            <w:r>
              <w:rPr>
                <w:i/>
              </w:rPr>
              <w:t>178</w:t>
            </w:r>
          </w:p>
        </w:tc>
        <w:tc>
          <w:tcPr>
            <w:tcW w:w="0" w:type="auto"/>
            <w:vAlign w:val="center"/>
          </w:tcPr>
          <w:p w:rsidR="005F78FC" w:rsidRDefault="00B42EF3">
            <w:pPr>
              <w:pStyle w:val="TableBodyText"/>
            </w:pPr>
            <w:r>
              <w:t>Callout 90</w:t>
            </w:r>
          </w:p>
        </w:tc>
      </w:tr>
      <w:tr w:rsidR="005F78FC" w:rsidTr="005F78FC">
        <w:tc>
          <w:tcPr>
            <w:tcW w:w="0" w:type="auto"/>
            <w:vAlign w:val="center"/>
          </w:tcPr>
          <w:p w:rsidR="005F78FC" w:rsidRDefault="00B42EF3">
            <w:pPr>
              <w:pStyle w:val="TableBodyText"/>
            </w:pPr>
            <w:r>
              <w:rPr>
                <w:i/>
              </w:rPr>
              <w:t>179</w:t>
            </w:r>
          </w:p>
        </w:tc>
        <w:tc>
          <w:tcPr>
            <w:tcW w:w="0" w:type="auto"/>
            <w:vAlign w:val="center"/>
          </w:tcPr>
          <w:p w:rsidR="005F78FC" w:rsidRDefault="00B42EF3">
            <w:pPr>
              <w:pStyle w:val="TableBodyText"/>
            </w:pPr>
            <w:r>
              <w:t>Accent Callout 90</w:t>
            </w:r>
          </w:p>
        </w:tc>
      </w:tr>
      <w:tr w:rsidR="005F78FC" w:rsidTr="005F78FC">
        <w:tc>
          <w:tcPr>
            <w:tcW w:w="0" w:type="auto"/>
            <w:vAlign w:val="center"/>
          </w:tcPr>
          <w:p w:rsidR="005F78FC" w:rsidRDefault="00B42EF3">
            <w:pPr>
              <w:pStyle w:val="TableBodyText"/>
            </w:pPr>
            <w:r>
              <w:rPr>
                <w:i/>
              </w:rPr>
              <w:t>180</w:t>
            </w:r>
          </w:p>
        </w:tc>
        <w:tc>
          <w:tcPr>
            <w:tcW w:w="0" w:type="auto"/>
            <w:vAlign w:val="center"/>
          </w:tcPr>
          <w:p w:rsidR="005F78FC" w:rsidRDefault="00B42EF3">
            <w:pPr>
              <w:pStyle w:val="TableBodyText"/>
            </w:pPr>
            <w:r>
              <w:t>Border Callout 90</w:t>
            </w:r>
          </w:p>
        </w:tc>
      </w:tr>
      <w:tr w:rsidR="005F78FC" w:rsidTr="005F78FC">
        <w:tc>
          <w:tcPr>
            <w:tcW w:w="0" w:type="auto"/>
            <w:vAlign w:val="center"/>
          </w:tcPr>
          <w:p w:rsidR="005F78FC" w:rsidRDefault="00B42EF3">
            <w:pPr>
              <w:pStyle w:val="TableBodyText"/>
            </w:pPr>
            <w:r>
              <w:rPr>
                <w:i/>
              </w:rPr>
              <w:t>181</w:t>
            </w:r>
          </w:p>
        </w:tc>
        <w:tc>
          <w:tcPr>
            <w:tcW w:w="0" w:type="auto"/>
            <w:vAlign w:val="center"/>
          </w:tcPr>
          <w:p w:rsidR="005F78FC" w:rsidRDefault="00B42EF3">
            <w:pPr>
              <w:pStyle w:val="TableBodyText"/>
            </w:pPr>
            <w:r>
              <w:t>Accent Border Callout 90</w:t>
            </w:r>
          </w:p>
        </w:tc>
      </w:tr>
      <w:tr w:rsidR="005F78FC" w:rsidTr="005F78FC">
        <w:tc>
          <w:tcPr>
            <w:tcW w:w="0" w:type="auto"/>
            <w:vAlign w:val="center"/>
          </w:tcPr>
          <w:p w:rsidR="005F78FC" w:rsidRDefault="00B42EF3">
            <w:pPr>
              <w:pStyle w:val="TableBodyText"/>
            </w:pPr>
            <w:r>
              <w:rPr>
                <w:i/>
              </w:rPr>
              <w:t>182</w:t>
            </w:r>
          </w:p>
        </w:tc>
        <w:tc>
          <w:tcPr>
            <w:tcW w:w="0" w:type="auto"/>
            <w:vAlign w:val="center"/>
          </w:tcPr>
          <w:p w:rsidR="005F78FC" w:rsidRDefault="00B42EF3">
            <w:pPr>
              <w:pStyle w:val="TableBodyText"/>
            </w:pPr>
            <w:r>
              <w:t>Left-Right-Up Arrow</w:t>
            </w:r>
          </w:p>
        </w:tc>
      </w:tr>
      <w:tr w:rsidR="005F78FC" w:rsidTr="005F78FC">
        <w:tc>
          <w:tcPr>
            <w:tcW w:w="0" w:type="auto"/>
            <w:vAlign w:val="center"/>
          </w:tcPr>
          <w:p w:rsidR="005F78FC" w:rsidRDefault="00B42EF3">
            <w:pPr>
              <w:pStyle w:val="TableBodyText"/>
            </w:pPr>
            <w:r>
              <w:rPr>
                <w:i/>
              </w:rPr>
              <w:t>183</w:t>
            </w:r>
          </w:p>
        </w:tc>
        <w:tc>
          <w:tcPr>
            <w:tcW w:w="0" w:type="auto"/>
            <w:vAlign w:val="center"/>
          </w:tcPr>
          <w:p w:rsidR="005F78FC" w:rsidRDefault="00B42EF3">
            <w:pPr>
              <w:pStyle w:val="TableBodyText"/>
            </w:pPr>
            <w:r>
              <w:t>Sun</w:t>
            </w:r>
          </w:p>
        </w:tc>
      </w:tr>
      <w:tr w:rsidR="005F78FC" w:rsidTr="005F78FC">
        <w:tc>
          <w:tcPr>
            <w:tcW w:w="0" w:type="auto"/>
            <w:vAlign w:val="center"/>
          </w:tcPr>
          <w:p w:rsidR="005F78FC" w:rsidRDefault="00B42EF3">
            <w:pPr>
              <w:pStyle w:val="TableBodyText"/>
            </w:pPr>
            <w:r>
              <w:rPr>
                <w:i/>
              </w:rPr>
              <w:t>184</w:t>
            </w:r>
          </w:p>
        </w:tc>
        <w:tc>
          <w:tcPr>
            <w:tcW w:w="0" w:type="auto"/>
            <w:vAlign w:val="center"/>
          </w:tcPr>
          <w:p w:rsidR="005F78FC" w:rsidRDefault="00B42EF3">
            <w:pPr>
              <w:pStyle w:val="TableBodyText"/>
            </w:pPr>
            <w:r>
              <w:t>Moon</w:t>
            </w:r>
          </w:p>
        </w:tc>
      </w:tr>
      <w:tr w:rsidR="005F78FC" w:rsidTr="005F78FC">
        <w:tc>
          <w:tcPr>
            <w:tcW w:w="0" w:type="auto"/>
            <w:vAlign w:val="center"/>
          </w:tcPr>
          <w:p w:rsidR="005F78FC" w:rsidRDefault="00B42EF3">
            <w:pPr>
              <w:pStyle w:val="TableBodyText"/>
            </w:pPr>
            <w:r>
              <w:rPr>
                <w:i/>
              </w:rPr>
              <w:t>185</w:t>
            </w:r>
          </w:p>
        </w:tc>
        <w:tc>
          <w:tcPr>
            <w:tcW w:w="0" w:type="auto"/>
            <w:vAlign w:val="center"/>
          </w:tcPr>
          <w:p w:rsidR="005F78FC" w:rsidRDefault="00B42EF3">
            <w:pPr>
              <w:pStyle w:val="TableBodyText"/>
            </w:pPr>
            <w:r>
              <w:t>Bracket Pair</w:t>
            </w:r>
          </w:p>
        </w:tc>
      </w:tr>
      <w:tr w:rsidR="005F78FC" w:rsidTr="005F78FC">
        <w:tc>
          <w:tcPr>
            <w:tcW w:w="0" w:type="auto"/>
            <w:vAlign w:val="center"/>
          </w:tcPr>
          <w:p w:rsidR="005F78FC" w:rsidRDefault="00B42EF3">
            <w:pPr>
              <w:pStyle w:val="TableBodyText"/>
            </w:pPr>
            <w:r>
              <w:rPr>
                <w:i/>
              </w:rPr>
              <w:t>186</w:t>
            </w:r>
          </w:p>
        </w:tc>
        <w:tc>
          <w:tcPr>
            <w:tcW w:w="0" w:type="auto"/>
            <w:vAlign w:val="center"/>
          </w:tcPr>
          <w:p w:rsidR="005F78FC" w:rsidRDefault="00B42EF3">
            <w:pPr>
              <w:pStyle w:val="TableBodyText"/>
            </w:pPr>
            <w:r>
              <w:t>Brace Pair</w:t>
            </w:r>
          </w:p>
        </w:tc>
      </w:tr>
      <w:tr w:rsidR="005F78FC" w:rsidTr="005F78FC">
        <w:tc>
          <w:tcPr>
            <w:tcW w:w="0" w:type="auto"/>
            <w:vAlign w:val="center"/>
          </w:tcPr>
          <w:p w:rsidR="005F78FC" w:rsidRDefault="00B42EF3">
            <w:pPr>
              <w:pStyle w:val="TableBodyText"/>
            </w:pPr>
            <w:r>
              <w:rPr>
                <w:i/>
              </w:rPr>
              <w:t>187</w:t>
            </w:r>
          </w:p>
        </w:tc>
        <w:tc>
          <w:tcPr>
            <w:tcW w:w="0" w:type="auto"/>
            <w:vAlign w:val="center"/>
          </w:tcPr>
          <w:p w:rsidR="005F78FC" w:rsidRDefault="00B42EF3">
            <w:pPr>
              <w:pStyle w:val="TableBodyText"/>
            </w:pPr>
            <w:r>
              <w:t>4 Pointed Seal</w:t>
            </w:r>
          </w:p>
        </w:tc>
      </w:tr>
      <w:tr w:rsidR="005F78FC" w:rsidTr="005F78FC">
        <w:tc>
          <w:tcPr>
            <w:tcW w:w="0" w:type="auto"/>
            <w:vAlign w:val="center"/>
          </w:tcPr>
          <w:p w:rsidR="005F78FC" w:rsidRDefault="00B42EF3">
            <w:pPr>
              <w:pStyle w:val="TableBodyText"/>
            </w:pPr>
            <w:r>
              <w:rPr>
                <w:i/>
              </w:rPr>
              <w:t>188</w:t>
            </w:r>
          </w:p>
        </w:tc>
        <w:tc>
          <w:tcPr>
            <w:tcW w:w="0" w:type="auto"/>
            <w:vAlign w:val="center"/>
          </w:tcPr>
          <w:p w:rsidR="005F78FC" w:rsidRDefault="00B42EF3">
            <w:pPr>
              <w:pStyle w:val="TableBodyText"/>
            </w:pPr>
            <w:r>
              <w:t>Double Wave</w:t>
            </w:r>
          </w:p>
        </w:tc>
      </w:tr>
      <w:tr w:rsidR="005F78FC" w:rsidTr="005F78FC">
        <w:tc>
          <w:tcPr>
            <w:tcW w:w="0" w:type="auto"/>
            <w:vAlign w:val="center"/>
          </w:tcPr>
          <w:p w:rsidR="005F78FC" w:rsidRDefault="00B42EF3">
            <w:pPr>
              <w:pStyle w:val="TableBodyText"/>
            </w:pPr>
            <w:r>
              <w:rPr>
                <w:i/>
              </w:rPr>
              <w:t>189</w:t>
            </w:r>
          </w:p>
        </w:tc>
        <w:tc>
          <w:tcPr>
            <w:tcW w:w="0" w:type="auto"/>
            <w:vAlign w:val="center"/>
          </w:tcPr>
          <w:p w:rsidR="005F78FC" w:rsidRDefault="00B42EF3">
            <w:pPr>
              <w:pStyle w:val="TableBodyText"/>
            </w:pPr>
            <w:r>
              <w:t>Action Button Blank</w:t>
            </w:r>
          </w:p>
        </w:tc>
      </w:tr>
      <w:tr w:rsidR="005F78FC" w:rsidTr="005F78FC">
        <w:tc>
          <w:tcPr>
            <w:tcW w:w="0" w:type="auto"/>
            <w:vAlign w:val="center"/>
          </w:tcPr>
          <w:p w:rsidR="005F78FC" w:rsidRDefault="00B42EF3">
            <w:pPr>
              <w:pStyle w:val="TableBodyText"/>
            </w:pPr>
            <w:r>
              <w:rPr>
                <w:i/>
              </w:rPr>
              <w:t>190</w:t>
            </w:r>
          </w:p>
        </w:tc>
        <w:tc>
          <w:tcPr>
            <w:tcW w:w="0" w:type="auto"/>
            <w:vAlign w:val="center"/>
          </w:tcPr>
          <w:p w:rsidR="005F78FC" w:rsidRDefault="00B42EF3">
            <w:pPr>
              <w:pStyle w:val="TableBodyText"/>
            </w:pPr>
            <w:r>
              <w:t>Action Button Home</w:t>
            </w:r>
          </w:p>
        </w:tc>
      </w:tr>
      <w:tr w:rsidR="005F78FC" w:rsidTr="005F78FC">
        <w:tc>
          <w:tcPr>
            <w:tcW w:w="0" w:type="auto"/>
            <w:vAlign w:val="center"/>
          </w:tcPr>
          <w:p w:rsidR="005F78FC" w:rsidRDefault="00B42EF3">
            <w:pPr>
              <w:pStyle w:val="TableBodyText"/>
            </w:pPr>
            <w:r>
              <w:rPr>
                <w:i/>
              </w:rPr>
              <w:t>191</w:t>
            </w:r>
          </w:p>
        </w:tc>
        <w:tc>
          <w:tcPr>
            <w:tcW w:w="0" w:type="auto"/>
            <w:vAlign w:val="center"/>
          </w:tcPr>
          <w:p w:rsidR="005F78FC" w:rsidRDefault="00B42EF3">
            <w:pPr>
              <w:pStyle w:val="TableBodyText"/>
            </w:pPr>
            <w:r>
              <w:t>Action Button Help</w:t>
            </w:r>
          </w:p>
        </w:tc>
      </w:tr>
      <w:tr w:rsidR="005F78FC" w:rsidTr="005F78FC">
        <w:tc>
          <w:tcPr>
            <w:tcW w:w="0" w:type="auto"/>
            <w:vAlign w:val="center"/>
          </w:tcPr>
          <w:p w:rsidR="005F78FC" w:rsidRDefault="00B42EF3">
            <w:pPr>
              <w:pStyle w:val="TableBodyText"/>
            </w:pPr>
            <w:r>
              <w:rPr>
                <w:i/>
              </w:rPr>
              <w:t>192</w:t>
            </w:r>
          </w:p>
        </w:tc>
        <w:tc>
          <w:tcPr>
            <w:tcW w:w="0" w:type="auto"/>
            <w:vAlign w:val="center"/>
          </w:tcPr>
          <w:p w:rsidR="005F78FC" w:rsidRDefault="00B42EF3">
            <w:pPr>
              <w:pStyle w:val="TableBodyText"/>
            </w:pPr>
            <w:r>
              <w:t>Action Button Information</w:t>
            </w:r>
          </w:p>
        </w:tc>
      </w:tr>
      <w:tr w:rsidR="005F78FC" w:rsidTr="005F78FC">
        <w:tc>
          <w:tcPr>
            <w:tcW w:w="0" w:type="auto"/>
            <w:vAlign w:val="center"/>
          </w:tcPr>
          <w:p w:rsidR="005F78FC" w:rsidRDefault="00B42EF3">
            <w:pPr>
              <w:pStyle w:val="TableBodyText"/>
            </w:pPr>
            <w:r>
              <w:rPr>
                <w:i/>
              </w:rPr>
              <w:t>193</w:t>
            </w:r>
          </w:p>
        </w:tc>
        <w:tc>
          <w:tcPr>
            <w:tcW w:w="0" w:type="auto"/>
            <w:vAlign w:val="center"/>
          </w:tcPr>
          <w:p w:rsidR="005F78FC" w:rsidRDefault="00B42EF3">
            <w:pPr>
              <w:pStyle w:val="TableBodyText"/>
            </w:pPr>
            <w:r>
              <w:t>Action Button Forward/Next</w:t>
            </w:r>
          </w:p>
        </w:tc>
      </w:tr>
      <w:tr w:rsidR="005F78FC" w:rsidTr="005F78FC">
        <w:tc>
          <w:tcPr>
            <w:tcW w:w="0" w:type="auto"/>
            <w:vAlign w:val="center"/>
          </w:tcPr>
          <w:p w:rsidR="005F78FC" w:rsidRDefault="00B42EF3">
            <w:pPr>
              <w:pStyle w:val="TableBodyText"/>
            </w:pPr>
            <w:r>
              <w:rPr>
                <w:i/>
              </w:rPr>
              <w:t>194</w:t>
            </w:r>
          </w:p>
        </w:tc>
        <w:tc>
          <w:tcPr>
            <w:tcW w:w="0" w:type="auto"/>
            <w:vAlign w:val="center"/>
          </w:tcPr>
          <w:p w:rsidR="005F78FC" w:rsidRDefault="00B42EF3">
            <w:pPr>
              <w:pStyle w:val="TableBodyText"/>
            </w:pPr>
            <w:r>
              <w:t>Action Button Back/Previous</w:t>
            </w:r>
          </w:p>
        </w:tc>
      </w:tr>
      <w:tr w:rsidR="005F78FC" w:rsidTr="005F78FC">
        <w:tc>
          <w:tcPr>
            <w:tcW w:w="0" w:type="auto"/>
            <w:vAlign w:val="center"/>
          </w:tcPr>
          <w:p w:rsidR="005F78FC" w:rsidRDefault="00B42EF3">
            <w:pPr>
              <w:pStyle w:val="TableBodyText"/>
            </w:pPr>
            <w:r>
              <w:rPr>
                <w:i/>
              </w:rPr>
              <w:t>195</w:t>
            </w:r>
          </w:p>
        </w:tc>
        <w:tc>
          <w:tcPr>
            <w:tcW w:w="0" w:type="auto"/>
            <w:vAlign w:val="center"/>
          </w:tcPr>
          <w:p w:rsidR="005F78FC" w:rsidRDefault="00B42EF3">
            <w:pPr>
              <w:pStyle w:val="TableBodyText"/>
            </w:pPr>
            <w:r>
              <w:t>Action Button End</w:t>
            </w:r>
          </w:p>
        </w:tc>
      </w:tr>
      <w:tr w:rsidR="005F78FC" w:rsidTr="005F78FC">
        <w:tc>
          <w:tcPr>
            <w:tcW w:w="0" w:type="auto"/>
            <w:vAlign w:val="center"/>
          </w:tcPr>
          <w:p w:rsidR="005F78FC" w:rsidRDefault="00B42EF3">
            <w:pPr>
              <w:pStyle w:val="TableBodyText"/>
            </w:pPr>
            <w:r>
              <w:rPr>
                <w:i/>
              </w:rPr>
              <w:t>196</w:t>
            </w:r>
          </w:p>
        </w:tc>
        <w:tc>
          <w:tcPr>
            <w:tcW w:w="0" w:type="auto"/>
            <w:vAlign w:val="center"/>
          </w:tcPr>
          <w:p w:rsidR="005F78FC" w:rsidRDefault="00B42EF3">
            <w:pPr>
              <w:pStyle w:val="TableBodyText"/>
            </w:pPr>
            <w:r>
              <w:t>Action Button Beginning</w:t>
            </w:r>
          </w:p>
        </w:tc>
      </w:tr>
      <w:tr w:rsidR="005F78FC" w:rsidTr="005F78FC">
        <w:tc>
          <w:tcPr>
            <w:tcW w:w="0" w:type="auto"/>
            <w:vAlign w:val="center"/>
          </w:tcPr>
          <w:p w:rsidR="005F78FC" w:rsidRDefault="00B42EF3">
            <w:pPr>
              <w:pStyle w:val="TableBodyText"/>
            </w:pPr>
            <w:r>
              <w:rPr>
                <w:i/>
              </w:rPr>
              <w:t>197</w:t>
            </w:r>
          </w:p>
        </w:tc>
        <w:tc>
          <w:tcPr>
            <w:tcW w:w="0" w:type="auto"/>
            <w:vAlign w:val="center"/>
          </w:tcPr>
          <w:p w:rsidR="005F78FC" w:rsidRDefault="00B42EF3">
            <w:pPr>
              <w:pStyle w:val="TableBodyText"/>
            </w:pPr>
            <w:r>
              <w:t>Action Button Return</w:t>
            </w:r>
          </w:p>
        </w:tc>
      </w:tr>
      <w:tr w:rsidR="005F78FC" w:rsidTr="005F78FC">
        <w:tc>
          <w:tcPr>
            <w:tcW w:w="0" w:type="auto"/>
            <w:vAlign w:val="center"/>
          </w:tcPr>
          <w:p w:rsidR="005F78FC" w:rsidRDefault="00B42EF3">
            <w:pPr>
              <w:pStyle w:val="TableBodyText"/>
            </w:pPr>
            <w:r>
              <w:rPr>
                <w:i/>
              </w:rPr>
              <w:t>198</w:t>
            </w:r>
          </w:p>
        </w:tc>
        <w:tc>
          <w:tcPr>
            <w:tcW w:w="0" w:type="auto"/>
            <w:vAlign w:val="center"/>
          </w:tcPr>
          <w:p w:rsidR="005F78FC" w:rsidRDefault="00B42EF3">
            <w:pPr>
              <w:pStyle w:val="TableBodyText"/>
            </w:pPr>
            <w:r>
              <w:t xml:space="preserve">Action </w:t>
            </w:r>
            <w:r>
              <w:t>Button Document</w:t>
            </w:r>
          </w:p>
        </w:tc>
      </w:tr>
      <w:tr w:rsidR="005F78FC" w:rsidTr="005F78FC">
        <w:tc>
          <w:tcPr>
            <w:tcW w:w="0" w:type="auto"/>
            <w:vAlign w:val="center"/>
          </w:tcPr>
          <w:p w:rsidR="005F78FC" w:rsidRDefault="00B42EF3">
            <w:pPr>
              <w:pStyle w:val="TableBodyText"/>
            </w:pPr>
            <w:r>
              <w:rPr>
                <w:i/>
              </w:rPr>
              <w:t>199</w:t>
            </w:r>
          </w:p>
        </w:tc>
        <w:tc>
          <w:tcPr>
            <w:tcW w:w="0" w:type="auto"/>
            <w:vAlign w:val="center"/>
          </w:tcPr>
          <w:p w:rsidR="005F78FC" w:rsidRDefault="00B42EF3">
            <w:pPr>
              <w:pStyle w:val="TableBodyText"/>
            </w:pPr>
            <w:r>
              <w:t>Action Button Sound</w:t>
            </w:r>
          </w:p>
        </w:tc>
      </w:tr>
      <w:tr w:rsidR="005F78FC" w:rsidTr="005F78FC">
        <w:tc>
          <w:tcPr>
            <w:tcW w:w="0" w:type="auto"/>
            <w:vAlign w:val="center"/>
          </w:tcPr>
          <w:p w:rsidR="005F78FC" w:rsidRDefault="00B42EF3">
            <w:pPr>
              <w:pStyle w:val="TableBodyText"/>
            </w:pPr>
            <w:r>
              <w:rPr>
                <w:i/>
              </w:rPr>
              <w:t>200</w:t>
            </w:r>
          </w:p>
        </w:tc>
        <w:tc>
          <w:tcPr>
            <w:tcW w:w="0" w:type="auto"/>
            <w:vAlign w:val="center"/>
          </w:tcPr>
          <w:p w:rsidR="005F78FC" w:rsidRDefault="00B42EF3">
            <w:pPr>
              <w:pStyle w:val="TableBodyText"/>
            </w:pPr>
            <w:r>
              <w:t>Action Button Movie</w:t>
            </w:r>
          </w:p>
        </w:tc>
      </w:tr>
      <w:tr w:rsidR="005F78FC" w:rsidTr="005F78FC">
        <w:tc>
          <w:tcPr>
            <w:tcW w:w="0" w:type="auto"/>
            <w:vAlign w:val="center"/>
          </w:tcPr>
          <w:p w:rsidR="005F78FC" w:rsidRDefault="00B42EF3">
            <w:pPr>
              <w:pStyle w:val="TableBodyText"/>
            </w:pPr>
            <w:r>
              <w:rPr>
                <w:i/>
              </w:rPr>
              <w:lastRenderedPageBreak/>
              <w:t>201</w:t>
            </w:r>
          </w:p>
        </w:tc>
        <w:tc>
          <w:tcPr>
            <w:tcW w:w="0" w:type="auto"/>
            <w:vAlign w:val="center"/>
          </w:tcPr>
          <w:p w:rsidR="005F78FC" w:rsidRDefault="00B42EF3">
            <w:pPr>
              <w:pStyle w:val="TableBodyText"/>
            </w:pPr>
            <w:r>
              <w:t>Host Control</w:t>
            </w:r>
          </w:p>
        </w:tc>
      </w:tr>
      <w:tr w:rsidR="005F78FC" w:rsidTr="005F78FC">
        <w:tc>
          <w:tcPr>
            <w:tcW w:w="0" w:type="auto"/>
            <w:vAlign w:val="center"/>
          </w:tcPr>
          <w:p w:rsidR="005F78FC" w:rsidRDefault="00B42EF3">
            <w:pPr>
              <w:pStyle w:val="TableBodyText"/>
            </w:pPr>
            <w:r>
              <w:rPr>
                <w:i/>
              </w:rPr>
              <w:t>202</w:t>
            </w:r>
          </w:p>
        </w:tc>
        <w:tc>
          <w:tcPr>
            <w:tcW w:w="0" w:type="auto"/>
            <w:vAlign w:val="center"/>
          </w:tcPr>
          <w:p w:rsidR="005F78FC" w:rsidRDefault="00B42EF3">
            <w:pPr>
              <w:pStyle w:val="TableBodyText"/>
            </w:pPr>
            <w:r>
              <w:t>Text Box</w:t>
            </w:r>
          </w:p>
        </w:tc>
      </w:tr>
    </w:tbl>
    <w:p w:rsidR="005F78FC" w:rsidRDefault="005F78FC"/>
    <w:p w:rsidR="005F78FC" w:rsidRDefault="00B42EF3">
      <w:r>
        <w:t>This simple type's contents are a restriction of the XML Schema int datatype.</w:t>
      </w:r>
    </w:p>
    <w:p w:rsidR="005F78FC" w:rsidRDefault="00B42EF3">
      <w:r>
        <w:t>This simple type also specifies the following restrictions:</w:t>
      </w:r>
    </w:p>
    <w:p w:rsidR="005F78FC" w:rsidRDefault="00B42EF3">
      <w:pPr>
        <w:pStyle w:val="ListParagraph"/>
        <w:numPr>
          <w:ilvl w:val="0"/>
          <w:numId w:val="235"/>
        </w:numPr>
        <w:contextualSpacing/>
      </w:pPr>
      <w:r>
        <w:t xml:space="preserve">This simple type </w:t>
      </w:r>
      <w:r>
        <w:t>has a minimum value of greater than or equal to 0.</w:t>
      </w:r>
    </w:p>
    <w:p w:rsidR="005F78FC" w:rsidRDefault="00B42EF3">
      <w:pPr>
        <w:pStyle w:val="ListParagraph"/>
        <w:numPr>
          <w:ilvl w:val="0"/>
          <w:numId w:val="235"/>
        </w:numPr>
      </w:pPr>
      <w:r>
        <w:t>This simple type has a maximum value of less than or equal to 202.</w:t>
      </w:r>
    </w:p>
    <w:p w:rsidR="005F78FC" w:rsidRDefault="00B42EF3">
      <w:r>
        <w:t>The following XML Schema fragment defines the contents of this simple type:</w:t>
      </w:r>
    </w:p>
    <w:p w:rsidR="005F78FC" w:rsidRDefault="00B42EF3">
      <w:pPr>
        <w:pStyle w:val="Code"/>
      </w:pPr>
      <w:r>
        <w:t>&lt;simpleType name="ST_ShapeType"&gt;</w:t>
      </w:r>
    </w:p>
    <w:p w:rsidR="005F78FC" w:rsidRDefault="00B42EF3">
      <w:pPr>
        <w:pStyle w:val="Code"/>
      </w:pPr>
      <w:r>
        <w:t xml:space="preserve">  &lt;restriction base="xsd:int"</w:t>
      </w:r>
      <w:r>
        <w:t>&gt;</w:t>
      </w:r>
    </w:p>
    <w:p w:rsidR="005F78FC" w:rsidRDefault="00B42EF3">
      <w:pPr>
        <w:pStyle w:val="Code"/>
      </w:pPr>
      <w:r>
        <w:t xml:space="preserve">    &lt;minInclusive value="0"/&gt;</w:t>
      </w:r>
    </w:p>
    <w:p w:rsidR="005F78FC" w:rsidRDefault="00B42EF3">
      <w:pPr>
        <w:pStyle w:val="Code"/>
      </w:pPr>
      <w:r>
        <w:t xml:space="preserve">    &lt;maxInclusive value="202"/&gt;</w:t>
      </w:r>
    </w:p>
    <w:p w:rsidR="005F78FC" w:rsidRDefault="00B42EF3">
      <w:pPr>
        <w:pStyle w:val="Code"/>
      </w:pPr>
      <w:r>
        <w:t xml:space="preserve">  &lt;/restriction&gt;</w:t>
      </w:r>
    </w:p>
    <w:p w:rsidR="005F78FC" w:rsidRDefault="00B42EF3">
      <w:pPr>
        <w:pStyle w:val="Code"/>
      </w:pPr>
      <w:r>
        <w:t>&lt;/simpleType&gt;</w:t>
      </w:r>
    </w:p>
    <w:p w:rsidR="005F78FC" w:rsidRDefault="00B42EF3">
      <w:pPr>
        <w:pStyle w:val="Heading3"/>
      </w:pPr>
      <w:bookmarkStart w:id="4253" w:name="section_97429d90d53344dfb1334f7a0171cae4"/>
      <w:bookmarkStart w:id="4254" w:name="_Toc69879899"/>
      <w:r>
        <w:t>ST_SpId (Shape ID Type)</w:t>
      </w:r>
      <w:bookmarkEnd w:id="4253"/>
      <w:bookmarkEnd w:id="4254"/>
      <w:r>
        <w:fldChar w:fldCharType="begin"/>
      </w:r>
      <w:r>
        <w:instrText xml:space="preserve"> XE "ST_SpId (Shape ID Type)" </w:instrText>
      </w:r>
      <w:r>
        <w:fldChar w:fldCharType="end"/>
      </w:r>
    </w:p>
    <w:p w:rsidR="005F78FC" w:rsidRDefault="00B42EF3">
      <w:r>
        <w:t>A shape ID has the following characteristics:</w:t>
      </w:r>
    </w:p>
    <w:p w:rsidR="005F78FC" w:rsidRDefault="00B42EF3">
      <w:pPr>
        <w:pStyle w:val="ListParagraph"/>
        <w:numPr>
          <w:ilvl w:val="0"/>
          <w:numId w:val="236"/>
        </w:numPr>
        <w:contextualSpacing/>
      </w:pPr>
      <w:r>
        <w:t>It begins with “</w:t>
      </w:r>
      <w:r>
        <w:rPr>
          <w:rStyle w:val="InlineCode"/>
        </w:rPr>
        <w:t>_x0000_</w:t>
      </w:r>
      <w:r>
        <w:t xml:space="preserve">” followed by 1 character and a </w:t>
      </w:r>
      <w:r>
        <w:t>number: _x0000_[c]&lt;num&gt;</w:t>
      </w:r>
    </w:p>
    <w:p w:rsidR="005F78FC" w:rsidRDefault="00B42EF3">
      <w:pPr>
        <w:pStyle w:val="ListParagraph"/>
        <w:numPr>
          <w:ilvl w:val="0"/>
          <w:numId w:val="236"/>
        </w:numPr>
        <w:contextualSpacing/>
      </w:pPr>
      <w:r>
        <w:t>The character [c] is:</w:t>
      </w:r>
    </w:p>
    <w:p w:rsidR="005F78FC" w:rsidRDefault="00B42EF3">
      <w:pPr>
        <w:pStyle w:val="ListParagraph"/>
        <w:numPr>
          <w:ilvl w:val="0"/>
          <w:numId w:val="236"/>
        </w:numPr>
        <w:contextualSpacing/>
      </w:pPr>
      <w:r>
        <w:t xml:space="preserve"> ‘</w:t>
      </w:r>
      <w:r>
        <w:rPr>
          <w:rStyle w:val="InlineCode"/>
        </w:rPr>
        <w:t>t</w:t>
      </w:r>
      <w:r>
        <w:t>’ or ‘</w:t>
      </w:r>
      <w:r>
        <w:rPr>
          <w:rStyle w:val="InlineCode"/>
        </w:rPr>
        <w:t>m</w:t>
      </w:r>
      <w:r>
        <w:t xml:space="preserve">’ when used for a </w:t>
      </w:r>
      <w:r>
        <w:rPr>
          <w:b/>
        </w:rPr>
        <w:t>shapetype</w:t>
      </w:r>
      <w:r>
        <w:t xml:space="preserve"> element ("</w:t>
      </w:r>
      <w:hyperlink r:id="rId391">
        <w:r>
          <w:rPr>
            <w:rStyle w:val="Hyperlink"/>
          </w:rPr>
          <w:t>[ISO/IEC-29500-4]</w:t>
        </w:r>
      </w:hyperlink>
      <w:r>
        <w:t xml:space="preserve"> §19.1.2.20; shapetype (Shape Template)").</w:t>
      </w:r>
    </w:p>
    <w:p w:rsidR="005F78FC" w:rsidRDefault="00B42EF3">
      <w:pPr>
        <w:pStyle w:val="ListParagraph"/>
        <w:numPr>
          <w:ilvl w:val="0"/>
          <w:numId w:val="236"/>
        </w:numPr>
        <w:contextualSpacing/>
      </w:pPr>
      <w:r>
        <w:t>‘</w:t>
      </w:r>
      <w:r>
        <w:rPr>
          <w:rStyle w:val="InlineCode"/>
        </w:rPr>
        <w:t>s</w:t>
      </w:r>
      <w:r>
        <w:t>’ when used for a shape.</w:t>
      </w:r>
    </w:p>
    <w:p w:rsidR="005F78FC" w:rsidRDefault="00B42EF3">
      <w:pPr>
        <w:pStyle w:val="ListParagraph"/>
        <w:numPr>
          <w:ilvl w:val="0"/>
          <w:numId w:val="236"/>
        </w:numPr>
        <w:contextualSpacing/>
      </w:pPr>
      <w:r>
        <w:t>Shape IDs</w:t>
      </w:r>
      <w:r>
        <w:t xml:space="preserve"> always start at 1025.</w:t>
      </w:r>
    </w:p>
    <w:p w:rsidR="005F78FC" w:rsidRDefault="00B42EF3">
      <w:pPr>
        <w:pStyle w:val="ListParagraph"/>
        <w:numPr>
          <w:ilvl w:val="0"/>
          <w:numId w:val="236"/>
        </w:numPr>
        <w:contextualSpacing/>
      </w:pPr>
      <w:r>
        <w:t>Shape IDs are clustered together, and each cluster has 1024 values.  The first cluster ranges from 1025 to 2048.</w:t>
      </w:r>
    </w:p>
    <w:p w:rsidR="005F78FC" w:rsidRDefault="00B42EF3">
      <w:pPr>
        <w:pStyle w:val="ListParagraph"/>
        <w:numPr>
          <w:ilvl w:val="0"/>
          <w:numId w:val="236"/>
        </w:numPr>
        <w:contextualSpacing/>
      </w:pPr>
      <w:r>
        <w:t>Shape IDs within the same cluster may only exist in:</w:t>
      </w:r>
    </w:p>
    <w:p w:rsidR="005F78FC" w:rsidRDefault="00B42EF3">
      <w:pPr>
        <w:pStyle w:val="ListParagraph"/>
        <w:numPr>
          <w:ilvl w:val="0"/>
          <w:numId w:val="236"/>
        </w:numPr>
        <w:contextualSpacing/>
      </w:pPr>
      <w:r>
        <w:t>one worksheet, for Excel.</w:t>
      </w:r>
    </w:p>
    <w:p w:rsidR="005F78FC" w:rsidRDefault="00B42EF3">
      <w:pPr>
        <w:pStyle w:val="ListParagraph"/>
        <w:numPr>
          <w:ilvl w:val="0"/>
          <w:numId w:val="236"/>
        </w:numPr>
        <w:contextualSpacing/>
      </w:pPr>
      <w:r>
        <w:t>one slide, for PowerPoint.</w:t>
      </w:r>
    </w:p>
    <w:p w:rsidR="005F78FC" w:rsidRDefault="00B42EF3">
      <w:pPr>
        <w:pStyle w:val="ListParagraph"/>
        <w:numPr>
          <w:ilvl w:val="0"/>
          <w:numId w:val="236"/>
        </w:numPr>
        <w:contextualSpacing/>
      </w:pPr>
      <w:r>
        <w:t xml:space="preserve">one document, </w:t>
      </w:r>
      <w:r>
        <w:t>for Word.</w:t>
      </w:r>
    </w:p>
    <w:p w:rsidR="005F78FC" w:rsidRDefault="00B42EF3">
      <w:pPr>
        <w:pStyle w:val="ListParagraph"/>
        <w:numPr>
          <w:ilvl w:val="0"/>
          <w:numId w:val="236"/>
        </w:numPr>
        <w:contextualSpacing/>
      </w:pPr>
      <w:r>
        <w:t>the header, for Word.</w:t>
      </w:r>
    </w:p>
    <w:p w:rsidR="005F78FC" w:rsidRDefault="00B42EF3">
      <w:pPr>
        <w:pStyle w:val="ListParagraph"/>
        <w:numPr>
          <w:ilvl w:val="0"/>
          <w:numId w:val="236"/>
        </w:numPr>
        <w:contextualSpacing/>
      </w:pPr>
      <w:r>
        <w:t>‘</w:t>
      </w:r>
      <w:r>
        <w:rPr>
          <w:rStyle w:val="InlineCode"/>
        </w:rPr>
        <w:t>s</w:t>
      </w:r>
      <w:r>
        <w:t>’ or ‘</w:t>
      </w:r>
      <w:r>
        <w:rPr>
          <w:rStyle w:val="InlineCode"/>
        </w:rPr>
        <w:t>i</w:t>
      </w:r>
      <w:r>
        <w:t>’ for shapes that are inline (not floating) in Word.</w:t>
      </w:r>
    </w:p>
    <w:p w:rsidR="005F78FC" w:rsidRDefault="00B42EF3">
      <w:pPr>
        <w:pStyle w:val="ListParagraph"/>
        <w:numPr>
          <w:ilvl w:val="0"/>
          <w:numId w:val="236"/>
        </w:numPr>
        <w:contextualSpacing/>
      </w:pPr>
      <w:r>
        <w:t xml:space="preserve">&lt;num&gt; shall be between </w:t>
      </w:r>
      <w:r>
        <w:rPr>
          <w:rStyle w:val="InlineCode"/>
        </w:rPr>
        <w:t>1</w:t>
      </w:r>
      <w:r>
        <w:t xml:space="preserve"> and </w:t>
      </w:r>
      <w:r>
        <w:rPr>
          <w:rStyle w:val="InlineCode"/>
        </w:rPr>
        <w:t>268435456</w:t>
      </w:r>
      <w:r>
        <w:t>.</w:t>
      </w:r>
    </w:p>
    <w:p w:rsidR="005F78FC" w:rsidRDefault="00B42EF3">
      <w:pPr>
        <w:pStyle w:val="ListParagraph"/>
        <w:numPr>
          <w:ilvl w:val="0"/>
          <w:numId w:val="236"/>
        </w:numPr>
      </w:pPr>
      <w:r>
        <w:t>It does not contain NCR (Numeric Character Reference) characters.</w:t>
      </w:r>
    </w:p>
    <w:p w:rsidR="005F78FC" w:rsidRDefault="00B42EF3">
      <w:r>
        <w:t>Office 2007 does not guarantee that the same shape ID th</w:t>
      </w:r>
      <w:r>
        <w:t>at is loaded is preserved on file save.</w:t>
      </w:r>
    </w:p>
    <w:p w:rsidR="005F78FC" w:rsidRDefault="00B42EF3">
      <w:r>
        <w:t>This simple type's contents are a restriction of the XML Schema string datatype.</w:t>
      </w:r>
    </w:p>
    <w:p w:rsidR="005F78FC" w:rsidRDefault="00B42EF3">
      <w:r>
        <w:t>The following XML Schema fragment defines the contents of this simple type:</w:t>
      </w:r>
    </w:p>
    <w:p w:rsidR="005F78FC" w:rsidRDefault="00B42EF3">
      <w:pPr>
        <w:pStyle w:val="Code"/>
      </w:pPr>
      <w:r>
        <w:t>&lt;simpleType name="ST_SpId"&gt;</w:t>
      </w:r>
    </w:p>
    <w:p w:rsidR="005F78FC" w:rsidRDefault="00B42EF3">
      <w:pPr>
        <w:pStyle w:val="Code"/>
      </w:pPr>
      <w:r>
        <w:t xml:space="preserve">  &lt;restriction base="xsd:string</w:t>
      </w:r>
      <w:r>
        <w:t>"/&gt;</w:t>
      </w:r>
    </w:p>
    <w:p w:rsidR="005F78FC" w:rsidRDefault="00B42EF3">
      <w:pPr>
        <w:pStyle w:val="Code"/>
      </w:pPr>
      <w:r>
        <w:t>&lt;/simpleType&gt;</w:t>
      </w:r>
    </w:p>
    <w:p w:rsidR="005F78FC" w:rsidRDefault="00B42EF3">
      <w:pPr>
        <w:pStyle w:val="Heading1"/>
      </w:pPr>
      <w:bookmarkStart w:id="4255" w:name="section_e4474de8f3b14dfeb6475bef678743ca"/>
      <w:bookmarkStart w:id="4256" w:name="_Toc69879900"/>
      <w:r>
        <w:lastRenderedPageBreak/>
        <w:t>Change Tracking</w:t>
      </w:r>
      <w:bookmarkEnd w:id="4255"/>
      <w:bookmarkEnd w:id="4256"/>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B42EF3" w:rsidP="00380B90">
      <w:r w:rsidRPr="00F6169D">
        <w:t xml:space="preserve">This section identifies changes that were made to this document since the last release. Changes are classified as Major, Minor, or None. </w:t>
      </w:r>
    </w:p>
    <w:p w:rsidR="00380B90" w:rsidRDefault="00B42EF3" w:rsidP="00380B90">
      <w:r>
        <w:t xml:space="preserve">The revision class </w:t>
      </w:r>
      <w:r w:rsidRPr="00F6169D">
        <w:rPr>
          <w:b/>
        </w:rPr>
        <w:t>Major</w:t>
      </w:r>
      <w:r>
        <w:t xml:space="preserve"> means that</w:t>
      </w:r>
      <w:r>
        <w:t xml:space="preserve"> the technical content in the document was significantly revised. Major changes affect protocol interoperability or implementation. Examples of major changes are:</w:t>
      </w:r>
    </w:p>
    <w:p w:rsidR="00380B90" w:rsidRDefault="00B42EF3" w:rsidP="00380B90">
      <w:pPr>
        <w:pStyle w:val="ListParagraph"/>
        <w:numPr>
          <w:ilvl w:val="0"/>
          <w:numId w:val="242"/>
        </w:numPr>
        <w:contextualSpacing/>
      </w:pPr>
      <w:r>
        <w:t>A document revision that incorporates changes to interoperability requirements.</w:t>
      </w:r>
    </w:p>
    <w:p w:rsidR="00380B90" w:rsidRDefault="00B42EF3" w:rsidP="00380B90">
      <w:pPr>
        <w:pStyle w:val="ListParagraph"/>
        <w:numPr>
          <w:ilvl w:val="0"/>
          <w:numId w:val="242"/>
        </w:numPr>
        <w:contextualSpacing/>
      </w:pPr>
      <w:r>
        <w:t>A document re</w:t>
      </w:r>
      <w:r>
        <w:t>vision that captures changes to protocol functionality.</w:t>
      </w:r>
    </w:p>
    <w:p w:rsidR="00380B90" w:rsidRDefault="00B42EF3" w:rsidP="00380B90">
      <w:r>
        <w:t xml:space="preserve">The revision class </w:t>
      </w:r>
      <w:r w:rsidRPr="00F6169D">
        <w:rPr>
          <w:b/>
        </w:rPr>
        <w:t>Minor</w:t>
      </w:r>
      <w:r>
        <w:t xml:space="preserve"> means that the meaning of the technical content was clarified. Minor changes do not affect protocol interoperability or implementation. Examples of minor changes are updates t</w:t>
      </w:r>
      <w:r>
        <w:t>o clarify ambiguity at the sentence, paragraph, or table level.</w:t>
      </w:r>
    </w:p>
    <w:p w:rsidR="00380B90" w:rsidRDefault="00B42EF3"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identical to the l</w:t>
      </w:r>
      <w:r>
        <w:t>ast released version.</w:t>
      </w:r>
    </w:p>
    <w:p w:rsidR="005F78FC" w:rsidRDefault="00B42EF3">
      <w:r>
        <w:t xml:space="preserve">The changes made to this document are listed in the following table. For more information, please contact </w:t>
      </w:r>
      <w:hyperlink r:id="rId392"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3563"/>
        <w:gridCol w:w="4257"/>
        <w:gridCol w:w="1295"/>
      </w:tblGrid>
      <w:tr w:rsidR="005F78FC" w:rsidTr="005F78F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8FC" w:rsidRDefault="00B42EF3">
            <w:pPr>
              <w:pStyle w:val="TableHeaderText"/>
            </w:pPr>
            <w:r>
              <w:t>Section</w:t>
            </w:r>
          </w:p>
        </w:tc>
        <w:tc>
          <w:tcPr>
            <w:tcW w:w="0" w:type="auto"/>
            <w:vAlign w:val="center"/>
          </w:tcPr>
          <w:p w:rsidR="005F78FC" w:rsidRDefault="00B42EF3">
            <w:pPr>
              <w:pStyle w:val="TableHeaderText"/>
            </w:pPr>
            <w:r>
              <w:t>Description</w:t>
            </w:r>
          </w:p>
        </w:tc>
        <w:tc>
          <w:tcPr>
            <w:tcW w:w="0" w:type="auto"/>
            <w:vAlign w:val="center"/>
          </w:tcPr>
          <w:p w:rsidR="005F78FC" w:rsidRDefault="00B42EF3">
            <w:pPr>
              <w:pStyle w:val="TableHeaderText"/>
            </w:pPr>
            <w:r>
              <w:t>Revision class</w:t>
            </w:r>
          </w:p>
        </w:tc>
      </w:tr>
      <w:tr w:rsidR="005F78FC" w:rsidTr="005F78FC">
        <w:tc>
          <w:tcPr>
            <w:tcW w:w="0" w:type="auto"/>
            <w:vAlign w:val="center"/>
          </w:tcPr>
          <w:p w:rsidR="005F78FC" w:rsidRDefault="00B42EF3">
            <w:pPr>
              <w:pStyle w:val="TableBodyText"/>
            </w:pPr>
            <w:hyperlink w:anchor="Section_21a135a0df4f404dad43ba943b828c63">
              <w:r>
                <w:rPr>
                  <w:rStyle w:val="Hyperlink"/>
                </w:rPr>
                <w:t>1.3</w:t>
              </w:r>
            </w:hyperlink>
            <w:r>
              <w:t xml:space="preserve"> Microsoft Implementations</w:t>
            </w:r>
          </w:p>
        </w:tc>
        <w:tc>
          <w:tcPr>
            <w:tcW w:w="0" w:type="auto"/>
            <w:vAlign w:val="center"/>
          </w:tcPr>
          <w:p w:rsidR="005F78FC" w:rsidRDefault="00B42EF3">
            <w:pPr>
              <w:pStyle w:val="TableBodyText"/>
            </w:pPr>
            <w:r>
              <w:t>Updated list of supported products.</w:t>
            </w:r>
          </w:p>
        </w:tc>
        <w:tc>
          <w:tcPr>
            <w:tcW w:w="0" w:type="auto"/>
            <w:vAlign w:val="center"/>
          </w:tcPr>
          <w:p w:rsidR="005F78FC" w:rsidRDefault="00B42EF3">
            <w:pPr>
              <w:pStyle w:val="TableBodyText"/>
            </w:pPr>
            <w:r>
              <w:t>Major</w:t>
            </w:r>
          </w:p>
        </w:tc>
      </w:tr>
      <w:tr w:rsidR="005F78FC" w:rsidTr="005F78FC">
        <w:tc>
          <w:tcPr>
            <w:tcW w:w="0" w:type="auto"/>
            <w:vAlign w:val="center"/>
          </w:tcPr>
          <w:p w:rsidR="005F78FC" w:rsidRDefault="00B42EF3">
            <w:pPr>
              <w:pStyle w:val="TableBodyText"/>
            </w:pPr>
            <w:hyperlink w:anchor="Section_bd9e8289844a42e2980966c7005bd9e2">
              <w:r>
                <w:rPr>
                  <w:rStyle w:val="Hyperlink"/>
                </w:rPr>
                <w:t>2</w:t>
              </w:r>
            </w:hyperlink>
            <w:r>
              <w:t xml:space="preserve"> Conformance Statements</w:t>
            </w:r>
          </w:p>
        </w:tc>
        <w:tc>
          <w:tcPr>
            <w:tcW w:w="0" w:type="auto"/>
            <w:vAlign w:val="center"/>
          </w:tcPr>
          <w:p w:rsidR="005F78FC" w:rsidRDefault="00B42EF3">
            <w:pPr>
              <w:pStyle w:val="TableBodyText"/>
            </w:pPr>
            <w:r>
              <w:t>Clarified references to ISO-IEC st</w:t>
            </w:r>
            <w:r>
              <w:t>andards.</w:t>
            </w:r>
          </w:p>
        </w:tc>
        <w:tc>
          <w:tcPr>
            <w:tcW w:w="0" w:type="auto"/>
            <w:vAlign w:val="center"/>
          </w:tcPr>
          <w:p w:rsidR="005F78FC" w:rsidRDefault="00B42EF3">
            <w:pPr>
              <w:pStyle w:val="TableBodyText"/>
            </w:pPr>
            <w:r>
              <w:t>Minor</w:t>
            </w:r>
          </w:p>
        </w:tc>
      </w:tr>
      <w:tr w:rsidR="005F78FC" w:rsidTr="005F78FC">
        <w:tc>
          <w:tcPr>
            <w:tcW w:w="0" w:type="auto"/>
            <w:vAlign w:val="center"/>
          </w:tcPr>
          <w:p w:rsidR="005F78FC" w:rsidRDefault="00B42EF3">
            <w:pPr>
              <w:pStyle w:val="TableBodyText"/>
            </w:pPr>
            <w:hyperlink w:anchor="Section_f20aa1bd46a84833bf1cee47082e12ba">
              <w:r>
                <w:rPr>
                  <w:rStyle w:val="Hyperlink"/>
                </w:rPr>
                <w:t>2.1.229</w:t>
              </w:r>
            </w:hyperlink>
            <w:r>
              <w:t xml:space="preserve"> Part 1 Section 17.7.2, Style Hierarchy</w:t>
            </w:r>
          </w:p>
        </w:tc>
        <w:tc>
          <w:tcPr>
            <w:tcW w:w="0" w:type="auto"/>
            <w:vAlign w:val="center"/>
          </w:tcPr>
          <w:p w:rsidR="005F78FC" w:rsidRDefault="00B42EF3">
            <w:pPr>
              <w:pStyle w:val="TableBodyText"/>
            </w:pPr>
            <w:r>
              <w:t>Clarified how Word applies numbering on paragraphs in terms of ordering.</w:t>
            </w:r>
          </w:p>
        </w:tc>
        <w:tc>
          <w:tcPr>
            <w:tcW w:w="0" w:type="auto"/>
            <w:vAlign w:val="center"/>
          </w:tcPr>
          <w:p w:rsidR="005F78FC" w:rsidRDefault="00B42EF3">
            <w:pPr>
              <w:pStyle w:val="TableBodyText"/>
            </w:pPr>
            <w:r>
              <w:t>Minor</w:t>
            </w:r>
          </w:p>
        </w:tc>
      </w:tr>
      <w:tr w:rsidR="005F78FC" w:rsidTr="005F78FC">
        <w:tc>
          <w:tcPr>
            <w:tcW w:w="0" w:type="auto"/>
            <w:vAlign w:val="center"/>
          </w:tcPr>
          <w:p w:rsidR="005F78FC" w:rsidRDefault="00B42EF3">
            <w:pPr>
              <w:pStyle w:val="TableBodyText"/>
            </w:pPr>
            <w:hyperlink w:anchor="Section_f43f30dfc82941f3ba6f52e9ac3b4e20">
              <w:r>
                <w:rPr>
                  <w:rStyle w:val="Hyperlink"/>
                </w:rPr>
                <w:t>2.1.1296</w:t>
              </w:r>
            </w:hyperlink>
            <w:r>
              <w:t xml:space="preserve"> Part 1 Section 20.1.8.33, gradFill (Gradient Fill)</w:t>
            </w:r>
          </w:p>
        </w:tc>
        <w:tc>
          <w:tcPr>
            <w:tcW w:w="0" w:type="auto"/>
            <w:vAlign w:val="center"/>
          </w:tcPr>
          <w:p w:rsidR="005F78FC" w:rsidRDefault="00B42EF3">
            <w:pPr>
              <w:pStyle w:val="TableBodyText"/>
            </w:pPr>
            <w:r>
              <w:t>Clarified how the area of a gradFill is calculated.</w:t>
            </w:r>
          </w:p>
        </w:tc>
        <w:tc>
          <w:tcPr>
            <w:tcW w:w="0" w:type="auto"/>
            <w:vAlign w:val="center"/>
          </w:tcPr>
          <w:p w:rsidR="005F78FC" w:rsidRDefault="00B42EF3">
            <w:pPr>
              <w:pStyle w:val="TableBodyText"/>
            </w:pPr>
            <w:r>
              <w:t>Minor</w:t>
            </w:r>
          </w:p>
        </w:tc>
      </w:tr>
    </w:tbl>
    <w:p w:rsidR="005F78FC" w:rsidRDefault="00B42EF3">
      <w:pPr>
        <w:pStyle w:val="Heading1"/>
        <w:sectPr w:rsidR="005F78FC">
          <w:headerReference w:type="even" r:id="rId393"/>
          <w:headerReference w:type="default" r:id="rId394"/>
          <w:footerReference w:type="default" r:id="rId395"/>
          <w:headerReference w:type="first" r:id="rId396"/>
          <w:endnotePr>
            <w:numFmt w:val="decimal"/>
          </w:endnotePr>
          <w:type w:val="continuous"/>
          <w:pgSz w:w="12240" w:h="15840"/>
          <w:pgMar w:top="1080" w:right="1440" w:bottom="2016" w:left="1440" w:header="720" w:footer="720" w:gutter="0"/>
          <w:cols w:space="720"/>
          <w:docGrid w:linePitch="360"/>
        </w:sectPr>
      </w:pPr>
      <w:bookmarkStart w:id="4257" w:name="section_a92471268b234297b15bfef61d56a43d"/>
      <w:bookmarkStart w:id="4258" w:name="_Toc69879901"/>
      <w:r>
        <w:lastRenderedPageBreak/>
        <w:t>Index</w:t>
      </w:r>
      <w:bookmarkEnd w:id="4257"/>
      <w:bookmarkEnd w:id="4258"/>
    </w:p>
    <w:p w:rsidR="005F78FC" w:rsidRDefault="00B42EF3">
      <w:pPr>
        <w:pStyle w:val="indexheader"/>
      </w:pPr>
      <w:r>
        <w:t>A</w:t>
      </w:r>
    </w:p>
    <w:p w:rsidR="005F78FC" w:rsidRDefault="005F78FC">
      <w:pPr>
        <w:spacing w:before="0" w:after="0"/>
        <w:rPr>
          <w:sz w:val="16"/>
        </w:rPr>
      </w:pPr>
    </w:p>
    <w:p w:rsidR="005F78FC" w:rsidRDefault="00B42EF3">
      <w:pPr>
        <w:pStyle w:val="indexentry0"/>
      </w:pPr>
      <w:hyperlink w:anchor="section_3b539277da4f49d094d484d9256afb36">
        <w:r>
          <w:rPr>
            <w:rStyle w:val="Hyperlink"/>
          </w:rPr>
          <w:t>A1-Style Cell References</w:t>
        </w:r>
      </w:hyperlink>
      <w:r>
        <w:t xml:space="preserve"> </w:t>
      </w:r>
      <w:r>
        <w:fldChar w:fldCharType="begin"/>
      </w:r>
      <w:r>
        <w:instrText>PAGEREF section_3b539277da4f49d094d484d9256afb36</w:instrText>
      </w:r>
      <w:r>
        <w:fldChar w:fldCharType="separate"/>
      </w:r>
      <w:r>
        <w:rPr>
          <w:noProof/>
        </w:rPr>
        <w:t>396</w:t>
      </w:r>
      <w:r>
        <w:fldChar w:fldCharType="end"/>
      </w:r>
    </w:p>
    <w:p w:rsidR="005F78FC" w:rsidRDefault="00B42EF3">
      <w:pPr>
        <w:pStyle w:val="indexentry0"/>
      </w:pPr>
      <w:hyperlink w:anchor="section_903cbc0e390846ebb260471913fcab40">
        <w:r>
          <w:rPr>
            <w:rStyle w:val="Hyperlink"/>
          </w:rPr>
          <w:t>absSizeAnchor (Absolute Anchor Shape Size)</w:t>
        </w:r>
      </w:hyperlink>
      <w:r>
        <w:t xml:space="preserve"> </w:t>
      </w:r>
      <w:r>
        <w:fldChar w:fldCharType="begin"/>
      </w:r>
      <w:r>
        <w:instrText>PAGEREF section_903cbc0e390846ebb260471913fcab40</w:instrText>
      </w:r>
      <w:r>
        <w:fldChar w:fldCharType="separate"/>
      </w:r>
      <w:r>
        <w:rPr>
          <w:noProof/>
        </w:rPr>
        <w:t>583</w:t>
      </w:r>
      <w:r>
        <w:fldChar w:fldCharType="end"/>
      </w:r>
    </w:p>
    <w:p w:rsidR="005F78FC" w:rsidRDefault="00B42EF3">
      <w:pPr>
        <w:pStyle w:val="indexentry0"/>
      </w:pPr>
      <w:hyperlink w:anchor="section_93eba06791a84e518377d509424e042a">
        <w:r>
          <w:rPr>
            <w:rStyle w:val="Hyperlink"/>
          </w:rPr>
          <w:t>Abstract (Document Abstract)</w:t>
        </w:r>
      </w:hyperlink>
      <w:r>
        <w:t xml:space="preserve"> </w:t>
      </w:r>
      <w:r>
        <w:fldChar w:fldCharType="begin"/>
      </w:r>
      <w:r>
        <w:instrText>PAGEREF section_93eba06791a84e518377d509424e042a</w:instrText>
      </w:r>
      <w:r>
        <w:fldChar w:fldCharType="separate"/>
      </w:r>
      <w:r>
        <w:rPr>
          <w:noProof/>
        </w:rPr>
        <w:t>857</w:t>
      </w:r>
      <w:r>
        <w:fldChar w:fldCharType="end"/>
      </w:r>
    </w:p>
    <w:p w:rsidR="005F78FC" w:rsidRDefault="00B42EF3">
      <w:pPr>
        <w:pStyle w:val="indexentry0"/>
      </w:pPr>
      <w:hyperlink w:anchor="section_3140e0b043d54c06a42da8f1a6ad9b75">
        <w:r>
          <w:rPr>
            <w:rStyle w:val="Hyperlink"/>
          </w:rPr>
          <w:t>abstractNum (Abstract Numbering Definition)</w:t>
        </w:r>
      </w:hyperlink>
      <w:r>
        <w:t xml:space="preserve"> </w:t>
      </w:r>
      <w:r>
        <w:fldChar w:fldCharType="begin"/>
      </w:r>
      <w:r>
        <w:instrText>PAGEREF section_3140e0b043d54c06a42da8f1a6ad9b75</w:instrText>
      </w:r>
      <w:r>
        <w:fldChar w:fldCharType="separate"/>
      </w:r>
      <w:r>
        <w:rPr>
          <w:noProof/>
        </w:rPr>
        <w:t>126</w:t>
      </w:r>
      <w:r>
        <w:fldChar w:fldCharType="end"/>
      </w:r>
    </w:p>
    <w:p w:rsidR="005F78FC" w:rsidRDefault="00B42EF3">
      <w:pPr>
        <w:pStyle w:val="indexentry0"/>
      </w:pPr>
      <w:hyperlink w:anchor="section_48305a09a4c548faa6d9aa87a8d229bb">
        <w:r>
          <w:rPr>
            <w:rStyle w:val="Hyperlink"/>
          </w:rPr>
          <w:t>abstractNumId (Abstract Numbering Definition Reference)</w:t>
        </w:r>
      </w:hyperlink>
      <w:r>
        <w:t xml:space="preserve"> </w:t>
      </w:r>
      <w:r>
        <w:fldChar w:fldCharType="begin"/>
      </w:r>
      <w:r>
        <w:instrText>PAGEREF section_48305a09a4c548faa6d9aa87a8d229bb</w:instrText>
      </w:r>
      <w:r>
        <w:fldChar w:fldCharType="separate"/>
      </w:r>
      <w:r>
        <w:rPr>
          <w:noProof/>
        </w:rPr>
        <w:t>126</w:t>
      </w:r>
      <w:r>
        <w:fldChar w:fldCharType="end"/>
      </w:r>
    </w:p>
    <w:p w:rsidR="005F78FC" w:rsidRDefault="00B42EF3">
      <w:pPr>
        <w:pStyle w:val="indexentry0"/>
      </w:pPr>
      <w:hyperlink w:anchor="section_292bbf0129d446e3953eacb4ebd8d097">
        <w:r>
          <w:rPr>
            <w:rStyle w:val="Hyperlink"/>
          </w:rPr>
          <w:t>acc (Accent)</w:t>
        </w:r>
      </w:hyperlink>
      <w:r>
        <w:t xml:space="preserve"> </w:t>
      </w:r>
      <w:r>
        <w:fldChar w:fldCharType="begin"/>
      </w:r>
      <w:r>
        <w:instrText xml:space="preserve">PAGEREF </w:instrText>
      </w:r>
      <w:r>
        <w:instrText>section_292bbf0129d446e3953eacb4ebd8d097</w:instrText>
      </w:r>
      <w:r>
        <w:fldChar w:fldCharType="separate"/>
      </w:r>
      <w:r>
        <w:rPr>
          <w:noProof/>
        </w:rPr>
        <w:t>596</w:t>
      </w:r>
      <w:r>
        <w:fldChar w:fldCharType="end"/>
      </w:r>
    </w:p>
    <w:p w:rsidR="005F78FC" w:rsidRDefault="00B42EF3">
      <w:pPr>
        <w:pStyle w:val="indexentry0"/>
      </w:pPr>
      <w:hyperlink w:anchor="section_e5f8531be5344502a1ef1280e78edf19">
        <w:r>
          <w:rPr>
            <w:rStyle w:val="Hyperlink"/>
          </w:rPr>
          <w:t>Accel (Primary Keyboard Accelerator)</w:t>
        </w:r>
      </w:hyperlink>
      <w:r>
        <w:t xml:space="preserve"> </w:t>
      </w:r>
      <w:r>
        <w:fldChar w:fldCharType="begin"/>
      </w:r>
      <w:r>
        <w:instrText>PAGEREF section_e5f8531be5344502a1ef1280e78edf19</w:instrText>
      </w:r>
      <w:r>
        <w:fldChar w:fldCharType="separate"/>
      </w:r>
      <w:r>
        <w:rPr>
          <w:noProof/>
        </w:rPr>
        <w:t>678</w:t>
      </w:r>
      <w:r>
        <w:fldChar w:fldCharType="end"/>
      </w:r>
    </w:p>
    <w:p w:rsidR="005F78FC" w:rsidRDefault="00B42EF3">
      <w:pPr>
        <w:pStyle w:val="indexentry0"/>
      </w:pPr>
      <w:hyperlink w:anchor="section_deb182c9a9c0495e80688c51887faf02">
        <w:r>
          <w:rPr>
            <w:rStyle w:val="Hyperlink"/>
          </w:rPr>
          <w:t>Accel2 (Secondary Keyboard Accelerator)</w:t>
        </w:r>
      </w:hyperlink>
      <w:r>
        <w:t xml:space="preserve"> </w:t>
      </w:r>
      <w:r>
        <w:fldChar w:fldCharType="begin"/>
      </w:r>
      <w:r>
        <w:instrText>PAGEREF section_deb182c9a9c0495e80688c51887faf02</w:instrText>
      </w:r>
      <w:r>
        <w:fldChar w:fldCharType="separate"/>
      </w:r>
      <w:r>
        <w:rPr>
          <w:noProof/>
        </w:rPr>
        <w:t>678</w:t>
      </w:r>
      <w:r>
        <w:fldChar w:fldCharType="end"/>
      </w:r>
    </w:p>
    <w:p w:rsidR="005F78FC" w:rsidRDefault="00B42EF3">
      <w:pPr>
        <w:pStyle w:val="indexentry0"/>
      </w:pPr>
      <w:hyperlink w:anchor="section_200a8e888d524d2a82f76383fea2caea">
        <w:r>
          <w:rPr>
            <w:rStyle w:val="Hyperlink"/>
          </w:rPr>
          <w:t>accent1 (Accent 1)</w:t>
        </w:r>
      </w:hyperlink>
      <w:r>
        <w:t xml:space="preserve"> </w:t>
      </w:r>
      <w:r>
        <w:fldChar w:fldCharType="begin"/>
      </w:r>
      <w:r>
        <w:instrText>PAGEREF section_200a8e888d524d2a82f76383fea2caea</w:instrText>
      </w:r>
      <w:r>
        <w:fldChar w:fldCharType="separate"/>
      </w:r>
      <w:r>
        <w:rPr>
          <w:noProof/>
        </w:rPr>
        <w:t>507</w:t>
      </w:r>
      <w:r>
        <w:fldChar w:fldCharType="end"/>
      </w:r>
    </w:p>
    <w:p w:rsidR="005F78FC" w:rsidRDefault="00B42EF3">
      <w:pPr>
        <w:pStyle w:val="indexentry0"/>
      </w:pPr>
      <w:hyperlink w:anchor="section_ec6649f3feb54cbe86ad01f9e1778091">
        <w:r>
          <w:rPr>
            <w:rStyle w:val="Hyperlink"/>
          </w:rPr>
          <w:t>accent2 (Accent 2)</w:t>
        </w:r>
      </w:hyperlink>
      <w:r>
        <w:t xml:space="preserve"> </w:t>
      </w:r>
      <w:r>
        <w:fldChar w:fldCharType="begin"/>
      </w:r>
      <w:r>
        <w:instrText>PAGEREF section_ec6649f3feb54cbe86ad01f9e1778091</w:instrText>
      </w:r>
      <w:r>
        <w:fldChar w:fldCharType="separate"/>
      </w:r>
      <w:r>
        <w:rPr>
          <w:noProof/>
        </w:rPr>
        <w:t>507</w:t>
      </w:r>
      <w:r>
        <w:fldChar w:fldCharType="end"/>
      </w:r>
    </w:p>
    <w:p w:rsidR="005F78FC" w:rsidRDefault="00B42EF3">
      <w:pPr>
        <w:pStyle w:val="indexentry0"/>
      </w:pPr>
      <w:hyperlink w:anchor="section_10b90b6cd8764335961999f0786d0eab">
        <w:r>
          <w:rPr>
            <w:rStyle w:val="Hyperlink"/>
          </w:rPr>
          <w:t>accent3 (Accent 3)</w:t>
        </w:r>
      </w:hyperlink>
      <w:r>
        <w:t xml:space="preserve"> </w:t>
      </w:r>
      <w:r>
        <w:fldChar w:fldCharType="begin"/>
      </w:r>
      <w:r>
        <w:instrText>PAGEREF section_10b90b6cd8764335961999f0786d0eab</w:instrText>
      </w:r>
      <w:r>
        <w:fldChar w:fldCharType="separate"/>
      </w:r>
      <w:r>
        <w:rPr>
          <w:noProof/>
        </w:rPr>
        <w:t>508</w:t>
      </w:r>
      <w:r>
        <w:fldChar w:fldCharType="end"/>
      </w:r>
    </w:p>
    <w:p w:rsidR="005F78FC" w:rsidRDefault="00B42EF3">
      <w:pPr>
        <w:pStyle w:val="indexentry0"/>
      </w:pPr>
      <w:hyperlink w:anchor="section_637470bc3bf64eb087c9f25e1a35cef4">
        <w:r>
          <w:rPr>
            <w:rStyle w:val="Hyperlink"/>
          </w:rPr>
          <w:t>accent4 (Accent 4)</w:t>
        </w:r>
      </w:hyperlink>
      <w:r>
        <w:t xml:space="preserve"> </w:t>
      </w:r>
      <w:r>
        <w:fldChar w:fldCharType="begin"/>
      </w:r>
      <w:r>
        <w:instrText>PAGEREF section_637470bc3bf64eb087c9f25e1a35cef4</w:instrText>
      </w:r>
      <w:r>
        <w:fldChar w:fldCharType="separate"/>
      </w:r>
      <w:r>
        <w:rPr>
          <w:noProof/>
        </w:rPr>
        <w:t>508</w:t>
      </w:r>
      <w:r>
        <w:fldChar w:fldCharType="end"/>
      </w:r>
    </w:p>
    <w:p w:rsidR="005F78FC" w:rsidRDefault="00B42EF3">
      <w:pPr>
        <w:pStyle w:val="indexentry0"/>
      </w:pPr>
      <w:hyperlink w:anchor="section_1687400204664c2ba60db62f9d42590a">
        <w:r>
          <w:rPr>
            <w:rStyle w:val="Hyperlink"/>
          </w:rPr>
          <w:t>accent5 (Accent 5)</w:t>
        </w:r>
      </w:hyperlink>
      <w:r>
        <w:t xml:space="preserve"> </w:t>
      </w:r>
      <w:r>
        <w:fldChar w:fldCharType="begin"/>
      </w:r>
      <w:r>
        <w:instrText>PAGEREF section_1687400204664c2ba60db62f</w:instrText>
      </w:r>
      <w:r>
        <w:instrText>9d42590a</w:instrText>
      </w:r>
      <w:r>
        <w:fldChar w:fldCharType="separate"/>
      </w:r>
      <w:r>
        <w:rPr>
          <w:noProof/>
        </w:rPr>
        <w:t>508</w:t>
      </w:r>
      <w:r>
        <w:fldChar w:fldCharType="end"/>
      </w:r>
    </w:p>
    <w:p w:rsidR="005F78FC" w:rsidRDefault="00B42EF3">
      <w:pPr>
        <w:pStyle w:val="indexentry0"/>
      </w:pPr>
      <w:hyperlink w:anchor="section_c92f3b2e902f44ef9760d39d261e1d5b">
        <w:r>
          <w:rPr>
            <w:rStyle w:val="Hyperlink"/>
          </w:rPr>
          <w:t>accent6 (Accent 6)</w:t>
        </w:r>
      </w:hyperlink>
      <w:r>
        <w:t xml:space="preserve"> </w:t>
      </w:r>
      <w:r>
        <w:fldChar w:fldCharType="begin"/>
      </w:r>
      <w:r>
        <w:instrText>PAGEREF section_c92f3b2e902f44ef9760d39d261e1d5b</w:instrText>
      </w:r>
      <w:r>
        <w:fldChar w:fldCharType="separate"/>
      </w:r>
      <w:r>
        <w:rPr>
          <w:noProof/>
        </w:rPr>
        <w:t>508</w:t>
      </w:r>
      <w:r>
        <w:fldChar w:fldCharType="end"/>
      </w:r>
    </w:p>
    <w:p w:rsidR="005F78FC" w:rsidRDefault="00B42EF3">
      <w:pPr>
        <w:pStyle w:val="indexentry0"/>
      </w:pPr>
      <w:hyperlink w:anchor="section_e32cd66ea03543389e6ea75929aaa73f">
        <w:r>
          <w:rPr>
            <w:rStyle w:val="Hyperlink"/>
          </w:rPr>
          <w:t>ACCRINT</w:t>
        </w:r>
      </w:hyperlink>
      <w:r>
        <w:t xml:space="preserve"> </w:t>
      </w:r>
      <w:r>
        <w:fldChar w:fldCharType="begin"/>
      </w:r>
      <w:r>
        <w:instrText>PAGEREF section_e32cd66ea03543389e6ea75</w:instrText>
      </w:r>
      <w:r>
        <w:instrText>929aaa73f</w:instrText>
      </w:r>
      <w:r>
        <w:fldChar w:fldCharType="separate"/>
      </w:r>
      <w:r>
        <w:rPr>
          <w:noProof/>
        </w:rPr>
        <w:t>399</w:t>
      </w:r>
      <w:r>
        <w:fldChar w:fldCharType="end"/>
      </w:r>
    </w:p>
    <w:p w:rsidR="005F78FC" w:rsidRDefault="00B42EF3">
      <w:pPr>
        <w:pStyle w:val="indexentry0"/>
      </w:pPr>
      <w:hyperlink w:anchor="section_5c30913f91804772969fed116b8166ce">
        <w:r>
          <w:rPr>
            <w:rStyle w:val="Hyperlink"/>
          </w:rPr>
          <w:t>ACCRINTM</w:t>
        </w:r>
      </w:hyperlink>
      <w:r>
        <w:t xml:space="preserve"> </w:t>
      </w:r>
      <w:r>
        <w:fldChar w:fldCharType="begin"/>
      </w:r>
      <w:r>
        <w:instrText>PAGEREF section_5c30913f91804772969fed116b8166ce</w:instrText>
      </w:r>
      <w:r>
        <w:fldChar w:fldCharType="separate"/>
      </w:r>
      <w:r>
        <w:rPr>
          <w:noProof/>
        </w:rPr>
        <w:t>400</w:t>
      </w:r>
      <w:r>
        <w:fldChar w:fldCharType="end"/>
      </w:r>
    </w:p>
    <w:p w:rsidR="005F78FC" w:rsidRDefault="00B42EF3">
      <w:pPr>
        <w:pStyle w:val="indexentry0"/>
      </w:pPr>
      <w:hyperlink w:anchor="section_03e658016a2147d093503528064826ad">
        <w:r>
          <w:rPr>
            <w:rStyle w:val="Hyperlink"/>
          </w:rPr>
          <w:t>acd (Allocated Command Keyboard Customization Action)</w:t>
        </w:r>
      </w:hyperlink>
      <w:r>
        <w:t xml:space="preserve"> </w:t>
      </w:r>
      <w:r>
        <w:fldChar w:fldCharType="begin"/>
      </w:r>
      <w:r>
        <w:instrText>PA</w:instrText>
      </w:r>
      <w:r>
        <w:instrText>GEREF section_03e658016a2147d093503528064826ad</w:instrText>
      </w:r>
      <w:r>
        <w:fldChar w:fldCharType="separate"/>
      </w:r>
      <w:r>
        <w:rPr>
          <w:noProof/>
        </w:rPr>
        <w:t>695</w:t>
      </w:r>
      <w:r>
        <w:fldChar w:fldCharType="end"/>
      </w:r>
    </w:p>
    <w:p w:rsidR="005F78FC" w:rsidRDefault="00B42EF3">
      <w:pPr>
        <w:pStyle w:val="indexentry0"/>
      </w:pPr>
      <w:hyperlink w:anchor="section_9bd9f7443f3a4ce88c48371c1bb6cd67">
        <w:r>
          <w:rPr>
            <w:rStyle w:val="Hyperlink"/>
          </w:rPr>
          <w:t>acd (Allocated Command)</w:t>
        </w:r>
      </w:hyperlink>
      <w:r>
        <w:t xml:space="preserve"> </w:t>
      </w:r>
      <w:r>
        <w:fldChar w:fldCharType="begin"/>
      </w:r>
      <w:r>
        <w:instrText>PAGEREF section_9bd9f7443f3a4ce88c48371c1bb6cd67</w:instrText>
      </w:r>
      <w:r>
        <w:fldChar w:fldCharType="separate"/>
      </w:r>
      <w:r>
        <w:rPr>
          <w:noProof/>
        </w:rPr>
        <w:t>694</w:t>
      </w:r>
      <w:r>
        <w:fldChar w:fldCharType="end"/>
      </w:r>
    </w:p>
    <w:p w:rsidR="005F78FC" w:rsidRDefault="00B42EF3">
      <w:pPr>
        <w:pStyle w:val="indexentry0"/>
      </w:pPr>
      <w:hyperlink w:anchor="section_030e50dc59a54f3f8f6c41168047f641">
        <w:r>
          <w:rPr>
            <w:rStyle w:val="Hyperlink"/>
          </w:rPr>
          <w:t>acdEnt</w:t>
        </w:r>
        <w:r>
          <w:rPr>
            <w:rStyle w:val="Hyperlink"/>
          </w:rPr>
          <w:t>ry (Allocated Command Manifest Entry)</w:t>
        </w:r>
      </w:hyperlink>
      <w:r>
        <w:t xml:space="preserve"> </w:t>
      </w:r>
      <w:r>
        <w:fldChar w:fldCharType="begin"/>
      </w:r>
      <w:r>
        <w:instrText>PAGEREF section_030e50dc59a54f3f8f6c41168047f641</w:instrText>
      </w:r>
      <w:r>
        <w:fldChar w:fldCharType="separate"/>
      </w:r>
      <w:r>
        <w:rPr>
          <w:noProof/>
        </w:rPr>
        <w:t>696</w:t>
      </w:r>
      <w:r>
        <w:fldChar w:fldCharType="end"/>
      </w:r>
    </w:p>
    <w:p w:rsidR="005F78FC" w:rsidRDefault="00B42EF3">
      <w:pPr>
        <w:pStyle w:val="indexentry0"/>
      </w:pPr>
      <w:hyperlink w:anchor="section_196c6a38f97a4a93a3a1121090157f0b">
        <w:r>
          <w:rPr>
            <w:rStyle w:val="Hyperlink"/>
          </w:rPr>
          <w:t>acdManifest (Allocated Command Manifest)</w:t>
        </w:r>
      </w:hyperlink>
      <w:r>
        <w:t xml:space="preserve"> </w:t>
      </w:r>
      <w:r>
        <w:fldChar w:fldCharType="begin"/>
      </w:r>
      <w:r>
        <w:instrText>PAGEREF section_196c6a38f97a4a93a3a1121090157f0b</w:instrText>
      </w:r>
      <w:r>
        <w:fldChar w:fldCharType="separate"/>
      </w:r>
      <w:r>
        <w:rPr>
          <w:noProof/>
        </w:rPr>
        <w:t>696</w:t>
      </w:r>
      <w:r>
        <w:fldChar w:fldCharType="end"/>
      </w:r>
    </w:p>
    <w:p w:rsidR="005F78FC" w:rsidRDefault="00B42EF3">
      <w:pPr>
        <w:pStyle w:val="indexentry0"/>
      </w:pPr>
      <w:hyperlink w:anchor="section_83ec8315581b46899d5e9db1d95ec41f">
        <w:r>
          <w:rPr>
            <w:rStyle w:val="Hyperlink"/>
          </w:rPr>
          <w:t>acds (Allocated Commands)</w:t>
        </w:r>
      </w:hyperlink>
      <w:r>
        <w:t xml:space="preserve"> </w:t>
      </w:r>
      <w:r>
        <w:fldChar w:fldCharType="begin"/>
      </w:r>
      <w:r>
        <w:instrText>PAGEREF section_83ec8315581b46899d5e9db1d95ec41f</w:instrText>
      </w:r>
      <w:r>
        <w:fldChar w:fldCharType="separate"/>
      </w:r>
      <w:r>
        <w:rPr>
          <w:noProof/>
        </w:rPr>
        <w:t>697</w:t>
      </w:r>
      <w:r>
        <w:fldChar w:fldCharType="end"/>
      </w:r>
    </w:p>
    <w:p w:rsidR="005F78FC" w:rsidRDefault="00B42EF3">
      <w:pPr>
        <w:pStyle w:val="indexentry0"/>
      </w:pPr>
      <w:hyperlink w:anchor="section_dc05ff6aa42f42b8b07434cc2c0d28c3">
        <w:r>
          <w:rPr>
            <w:rStyle w:val="Hyperlink"/>
          </w:rPr>
          <w:t>ACOS</w:t>
        </w:r>
      </w:hyperlink>
      <w:r>
        <w:t xml:space="preserve"> </w:t>
      </w:r>
      <w:r>
        <w:fldChar w:fldCharType="begin"/>
      </w:r>
      <w:r>
        <w:instrText>PAGEREF section_dc05ff6aa42f42b8b07434cc2c0d28c3</w:instrText>
      </w:r>
      <w:r>
        <w:fldChar w:fldCharType="separate"/>
      </w:r>
      <w:r>
        <w:rPr>
          <w:noProof/>
        </w:rPr>
        <w:t>401</w:t>
      </w:r>
      <w:r>
        <w:fldChar w:fldCharType="end"/>
      </w:r>
    </w:p>
    <w:p w:rsidR="005F78FC" w:rsidRDefault="00B42EF3">
      <w:pPr>
        <w:pStyle w:val="indexentry0"/>
      </w:pPr>
      <w:hyperlink w:anchor="section_7bbd9fb16181481db29c63842301455d">
        <w:r>
          <w:rPr>
            <w:rStyle w:val="Hyperlink"/>
          </w:rPr>
          <w:t>active (Record Is Included in Mail Merge)</w:t>
        </w:r>
      </w:hyperlink>
      <w:r>
        <w:t xml:space="preserve"> </w:t>
      </w:r>
      <w:r>
        <w:fldChar w:fldCharType="begin"/>
      </w:r>
      <w:r>
        <w:instrText>PAGEREF section_7bbd9fb16181481db29c63842301455d</w:instrText>
      </w:r>
      <w:r>
        <w:fldChar w:fldCharType="separate"/>
      </w:r>
      <w:r>
        <w:rPr>
          <w:noProof/>
        </w:rPr>
        <w:t>698</w:t>
      </w:r>
      <w:r>
        <w:fldChar w:fldCharType="end"/>
      </w:r>
    </w:p>
    <w:p w:rsidR="005F78FC" w:rsidRDefault="00B42EF3">
      <w:pPr>
        <w:pStyle w:val="indexentry0"/>
      </w:pPr>
      <w:hyperlink w:anchor="section_501412c497b647ea897fa4ba36e50324">
        <w:r>
          <w:rPr>
            <w:rStyle w:val="Hyperlink"/>
          </w:rPr>
          <w:t>activeRecord (Record Currently Display</w:t>
        </w:r>
        <w:r>
          <w:rPr>
            <w:rStyle w:val="Hyperlink"/>
          </w:rPr>
          <w:t>ed In Merged Document)</w:t>
        </w:r>
      </w:hyperlink>
      <w:r>
        <w:t xml:space="preserve"> </w:t>
      </w:r>
      <w:r>
        <w:fldChar w:fldCharType="begin"/>
      </w:r>
      <w:r>
        <w:instrText>PAGEREF section_501412c497b647ea897fa4ba36e50324</w:instrText>
      </w:r>
      <w:r>
        <w:fldChar w:fldCharType="separate"/>
      </w:r>
      <w:r>
        <w:rPr>
          <w:noProof/>
        </w:rPr>
        <w:t>144</w:t>
      </w:r>
      <w:r>
        <w:fldChar w:fldCharType="end"/>
      </w:r>
    </w:p>
    <w:p w:rsidR="005F78FC" w:rsidRDefault="00B42EF3">
      <w:pPr>
        <w:pStyle w:val="indexentry0"/>
      </w:pPr>
      <w:hyperlink w:anchor="section_8d8cee16e3b646348d9d57d84acbc399">
        <w:r>
          <w:rPr>
            <w:rStyle w:val="Hyperlink"/>
          </w:rPr>
          <w:t>activeWritingStyle (Grammar Checking Settings)</w:t>
        </w:r>
      </w:hyperlink>
      <w:r>
        <w:t xml:space="preserve"> </w:t>
      </w:r>
      <w:r>
        <w:fldChar w:fldCharType="begin"/>
      </w:r>
      <w:r>
        <w:instrText>PAGEREF section_8d8cee16e3b646348d9d57d84acbc399</w:instrText>
      </w:r>
      <w:r>
        <w:fldChar w:fldCharType="separate"/>
      </w:r>
      <w:r>
        <w:rPr>
          <w:noProof/>
        </w:rPr>
        <w:t>150</w:t>
      </w:r>
      <w:r>
        <w:fldChar w:fldCharType="end"/>
      </w:r>
    </w:p>
    <w:p w:rsidR="005F78FC" w:rsidRDefault="00B42EF3">
      <w:pPr>
        <w:pStyle w:val="indexentry0"/>
      </w:pPr>
      <w:hyperlink w:anchor="section_2dbabd7b5bac4dea9f5477f6dc6e6707">
        <w:r>
          <w:rPr>
            <w:rStyle w:val="Hyperlink"/>
          </w:rPr>
          <w:t>Additional attribute for cnfStyle element (Part 1 - 17.3.1.8)</w:t>
        </w:r>
      </w:hyperlink>
      <w:r>
        <w:t xml:space="preserve"> </w:t>
      </w:r>
      <w:r>
        <w:fldChar w:fldCharType="begin"/>
      </w:r>
      <w:r>
        <w:instrText>PAGEREF section_2dbabd7b5bac4dea9f5477f6dc6e6707</w:instrText>
      </w:r>
      <w:r>
        <w:fldChar w:fldCharType="separate"/>
      </w:r>
      <w:r>
        <w:rPr>
          <w:noProof/>
        </w:rPr>
        <w:t>625</w:t>
      </w:r>
      <w:r>
        <w:fldChar w:fldCharType="end"/>
      </w:r>
    </w:p>
    <w:p w:rsidR="005F78FC" w:rsidRDefault="00B42EF3">
      <w:pPr>
        <w:pStyle w:val="indexentry0"/>
      </w:pPr>
      <w:hyperlink w:anchor="section_7da8cf6a641d47a7994a16b593ddabef">
        <w:r>
          <w:rPr>
            <w:rStyle w:val="Hyperlink"/>
          </w:rPr>
          <w:t>Additional attribute for cnfStyle e</w:t>
        </w:r>
        <w:r>
          <w:rPr>
            <w:rStyle w:val="Hyperlink"/>
          </w:rPr>
          <w:t>lement (Part 1 - 17.4.7)</w:t>
        </w:r>
      </w:hyperlink>
      <w:r>
        <w:t xml:space="preserve"> </w:t>
      </w:r>
      <w:r>
        <w:fldChar w:fldCharType="begin"/>
      </w:r>
      <w:r>
        <w:instrText>PAGEREF section_7da8cf6a641d47a7994a16b593ddabef</w:instrText>
      </w:r>
      <w:r>
        <w:fldChar w:fldCharType="separate"/>
      </w:r>
      <w:r>
        <w:rPr>
          <w:noProof/>
        </w:rPr>
        <w:t>627</w:t>
      </w:r>
      <w:r>
        <w:fldChar w:fldCharType="end"/>
      </w:r>
    </w:p>
    <w:p w:rsidR="005F78FC" w:rsidRDefault="00B42EF3">
      <w:pPr>
        <w:pStyle w:val="indexentry0"/>
      </w:pPr>
      <w:hyperlink w:anchor="section_ae9b02e2eea54af1825aaaae9e79496c">
        <w:r>
          <w:rPr>
            <w:rStyle w:val="Hyperlink"/>
          </w:rPr>
          <w:t>Additional attribute for cnfStyle element (Part 1 - 17.4.8)</w:t>
        </w:r>
      </w:hyperlink>
      <w:r>
        <w:t xml:space="preserve"> </w:t>
      </w:r>
      <w:r>
        <w:fldChar w:fldCharType="begin"/>
      </w:r>
      <w:r>
        <w:instrText>PAGEREF section_ae9b02e2eea54af1825aaaae9e79496c</w:instrText>
      </w:r>
      <w:r>
        <w:fldChar w:fldCharType="separate"/>
      </w:r>
      <w:r>
        <w:rPr>
          <w:noProof/>
        </w:rPr>
        <w:t>627</w:t>
      </w:r>
      <w:r>
        <w:fldChar w:fldCharType="end"/>
      </w:r>
    </w:p>
    <w:p w:rsidR="005F78FC" w:rsidRDefault="00B42EF3">
      <w:pPr>
        <w:pStyle w:val="indexentry0"/>
      </w:pPr>
      <w:hyperlink w:anchor="section_effb5b24826144ae9742ccf290c462ac">
        <w:r>
          <w:rPr>
            <w:rStyle w:val="Hyperlink"/>
          </w:rPr>
          <w:t>Additional attributes for writeProtection element (Part 1 - 17.15.1.93)</w:t>
        </w:r>
      </w:hyperlink>
      <w:r>
        <w:t xml:space="preserve"> </w:t>
      </w:r>
      <w:r>
        <w:fldChar w:fldCharType="begin"/>
      </w:r>
      <w:r>
        <w:instrText>PAGEREF section_effb5b24826144ae9742ccf290c462ac</w:instrText>
      </w:r>
      <w:r>
        <w:fldChar w:fldCharType="separate"/>
      </w:r>
      <w:r>
        <w:rPr>
          <w:noProof/>
        </w:rPr>
        <w:t>631</w:t>
      </w:r>
      <w:r>
        <w:fldChar w:fldCharType="end"/>
      </w:r>
    </w:p>
    <w:p w:rsidR="005F78FC" w:rsidRDefault="00B42EF3">
      <w:pPr>
        <w:pStyle w:val="indexentry0"/>
      </w:pPr>
      <w:r>
        <w:t>Additional Elements (</w:t>
      </w:r>
      <w:hyperlink w:anchor="section_d822cddcbd7648b0911684c6009ebb96">
        <w:r>
          <w:rPr>
            <w:rStyle w:val="Hyperlink"/>
          </w:rPr>
          <w:t>section 3.1.4.2.1</w:t>
        </w:r>
      </w:hyperlink>
      <w:r>
        <w:t xml:space="preserve"> </w:t>
      </w:r>
      <w:r>
        <w:fldChar w:fldCharType="begin"/>
      </w:r>
      <w:r>
        <w:instrText>PAGEREF section_d822cddcbd7648b0911684c6009ebb96</w:instrText>
      </w:r>
      <w:r>
        <w:fldChar w:fldCharType="separate"/>
      </w:r>
      <w:r>
        <w:rPr>
          <w:noProof/>
        </w:rPr>
        <w:t>832</w:t>
      </w:r>
      <w:r>
        <w:fldChar w:fldCharType="end"/>
      </w:r>
      <w:r>
        <w:t xml:space="preserve">, </w:t>
      </w:r>
      <w:hyperlink w:anchor="section_9835e3800b30448a98bdf016c6a8b8d7">
        <w:r>
          <w:rPr>
            <w:rStyle w:val="Hyperlink"/>
          </w:rPr>
          <w:t>section 3.1.4.3.1</w:t>
        </w:r>
      </w:hyperlink>
      <w:r>
        <w:t xml:space="preserve"> </w:t>
      </w:r>
      <w:r>
        <w:fldChar w:fldCharType="begin"/>
      </w:r>
      <w:r>
        <w:instrText>PAGEREF section_9835e3800b30448a98bdf016c6a8b8d7</w:instrText>
      </w:r>
      <w:r>
        <w:fldChar w:fldCharType="separate"/>
      </w:r>
      <w:r>
        <w:rPr>
          <w:noProof/>
        </w:rPr>
        <w:t>834</w:t>
      </w:r>
      <w:r>
        <w:fldChar w:fldCharType="end"/>
      </w:r>
      <w:r>
        <w:t>)</w:t>
      </w:r>
    </w:p>
    <w:p w:rsidR="005F78FC" w:rsidRDefault="00B42EF3">
      <w:pPr>
        <w:pStyle w:val="indexentry0"/>
      </w:pPr>
      <w:hyperlink w:anchor="section_97a71be93d2143dbb1e3fe122b650d3b">
        <w:r>
          <w:rPr>
            <w:rStyle w:val="Hyperlink"/>
          </w:rPr>
          <w:t>Additional enumeration values for ST_StyleSort (Part 1 - 17.18.82)</w:t>
        </w:r>
      </w:hyperlink>
      <w:r>
        <w:t xml:space="preserve"> </w:t>
      </w:r>
      <w:r>
        <w:fldChar w:fldCharType="begin"/>
      </w:r>
      <w:r>
        <w:instrText>PAGEREF section_97a71be93d2143dbb1e3fe122b650d3b</w:instrText>
      </w:r>
      <w:r>
        <w:fldChar w:fldCharType="separate"/>
      </w:r>
      <w:r>
        <w:rPr>
          <w:noProof/>
        </w:rPr>
        <w:t>634</w:t>
      </w:r>
      <w:r>
        <w:fldChar w:fldCharType="end"/>
      </w:r>
    </w:p>
    <w:p w:rsidR="005F78FC" w:rsidRDefault="00B42EF3">
      <w:pPr>
        <w:pStyle w:val="indexentry0"/>
      </w:pPr>
      <w:r>
        <w:t>Additional Parts (</w:t>
      </w:r>
      <w:hyperlink w:anchor="section_cc2c9f8989204c0f94e5bbb8e3b48b52">
        <w:r>
          <w:rPr>
            <w:rStyle w:val="Hyperlink"/>
          </w:rPr>
          <w:t>section 3.1.1</w:t>
        </w:r>
      </w:hyperlink>
      <w:r>
        <w:t xml:space="preserve"> </w:t>
      </w:r>
      <w:r>
        <w:fldChar w:fldCharType="begin"/>
      </w:r>
      <w:r>
        <w:instrText>PAGEREF section_cc2c9f8989204c0f94e5bbb8e3b48b52</w:instrText>
      </w:r>
      <w:r>
        <w:fldChar w:fldCharType="separate"/>
      </w:r>
      <w:r>
        <w:rPr>
          <w:noProof/>
        </w:rPr>
        <w:t>691</w:t>
      </w:r>
      <w:r>
        <w:fldChar w:fldCharType="end"/>
      </w:r>
      <w:r>
        <w:t xml:space="preserve">, </w:t>
      </w:r>
      <w:hyperlink w:anchor="section_8ce3f967210d4181927892e3411ebfc7">
        <w:r>
          <w:rPr>
            <w:rStyle w:val="Hyperlink"/>
          </w:rPr>
          <w:t>section 3.2.1</w:t>
        </w:r>
      </w:hyperlink>
      <w:r>
        <w:t xml:space="preserve"> </w:t>
      </w:r>
      <w:r>
        <w:fldChar w:fldCharType="begin"/>
      </w:r>
      <w:r>
        <w:instrText>PAGEREF section_8ce3f967210d4181927892e3411ebfc7</w:instrText>
      </w:r>
      <w:r>
        <w:fldChar w:fldCharType="separate"/>
      </w:r>
      <w:r>
        <w:rPr>
          <w:noProof/>
        </w:rPr>
        <w:t>836</w:t>
      </w:r>
      <w:r>
        <w:fldChar w:fldCharType="end"/>
      </w:r>
      <w:r>
        <w:t xml:space="preserve">, </w:t>
      </w:r>
      <w:hyperlink w:anchor="section_f38134c7bd874b8fb4d48fc5c2b1ec2a">
        <w:r>
          <w:rPr>
            <w:rStyle w:val="Hyperlink"/>
          </w:rPr>
          <w:t>section 3.3.</w:t>
        </w:r>
        <w:r>
          <w:rPr>
            <w:rStyle w:val="Hyperlink"/>
          </w:rPr>
          <w:t>1</w:t>
        </w:r>
      </w:hyperlink>
      <w:r>
        <w:t xml:space="preserve"> </w:t>
      </w:r>
      <w:r>
        <w:fldChar w:fldCharType="begin"/>
      </w:r>
      <w:r>
        <w:instrText>PAGEREF section_f38134c7bd874b8fb4d48fc5c2b1ec2a</w:instrText>
      </w:r>
      <w:r>
        <w:fldChar w:fldCharType="separate"/>
      </w:r>
      <w:r>
        <w:rPr>
          <w:noProof/>
        </w:rPr>
        <w:t>849</w:t>
      </w:r>
      <w:r>
        <w:fldChar w:fldCharType="end"/>
      </w:r>
      <w:r>
        <w:t xml:space="preserve">, </w:t>
      </w:r>
      <w:hyperlink w:anchor="section_5c1cca76e68e452b921dd7e83877de45">
        <w:r>
          <w:rPr>
            <w:rStyle w:val="Hyperlink"/>
          </w:rPr>
          <w:t>section 3.4.1</w:t>
        </w:r>
      </w:hyperlink>
      <w:r>
        <w:t xml:space="preserve"> </w:t>
      </w:r>
      <w:r>
        <w:fldChar w:fldCharType="begin"/>
      </w:r>
      <w:r>
        <w:instrText>PAGEREF section_5c1cca76e68e452b921dd7e83877de45</w:instrText>
      </w:r>
      <w:r>
        <w:fldChar w:fldCharType="separate"/>
      </w:r>
      <w:r>
        <w:rPr>
          <w:noProof/>
        </w:rPr>
        <w:t>851</w:t>
      </w:r>
      <w:r>
        <w:fldChar w:fldCharType="end"/>
      </w:r>
      <w:r>
        <w:t>)</w:t>
      </w:r>
    </w:p>
    <w:p w:rsidR="005F78FC" w:rsidRDefault="00B42EF3">
      <w:pPr>
        <w:pStyle w:val="indexentry0"/>
      </w:pPr>
      <w:hyperlink w:anchor="section_96a4842c5e4940e1b9ac0c524e8b68e0">
        <w:r>
          <w:rPr>
            <w:rStyle w:val="Hyperlink"/>
          </w:rPr>
          <w:t>Addition</w:t>
        </w:r>
        <w:r>
          <w:rPr>
            <w:rStyle w:val="Hyperlink"/>
          </w:rPr>
          <w:t>al SpreadsheetML Schema</w:t>
        </w:r>
      </w:hyperlink>
      <w:r>
        <w:t xml:space="preserve"> </w:t>
      </w:r>
      <w:r>
        <w:fldChar w:fldCharType="begin"/>
      </w:r>
      <w:r>
        <w:instrText>PAGEREF section_96a4842c5e4940e1b9ac0c524e8b68e0</w:instrText>
      </w:r>
      <w:r>
        <w:fldChar w:fldCharType="separate"/>
      </w:r>
      <w:r>
        <w:rPr>
          <w:noProof/>
        </w:rPr>
        <w:t>843</w:t>
      </w:r>
      <w:r>
        <w:fldChar w:fldCharType="end"/>
      </w:r>
    </w:p>
    <w:p w:rsidR="005F78FC" w:rsidRDefault="00B42EF3">
      <w:pPr>
        <w:pStyle w:val="indexentry0"/>
      </w:pPr>
      <w:hyperlink w:anchor="section_f8e3c239322c488594094c0acc06b609">
        <w:r>
          <w:rPr>
            <w:rStyle w:val="Hyperlink"/>
          </w:rPr>
          <w:t>Additional WordprocessingML Schema</w:t>
        </w:r>
      </w:hyperlink>
      <w:r>
        <w:t xml:space="preserve"> </w:t>
      </w:r>
      <w:r>
        <w:fldChar w:fldCharType="begin"/>
      </w:r>
      <w:r>
        <w:instrText>PAGEREF section_f8e3c239322c488594094c0acc06b609</w:instrText>
      </w:r>
      <w:r>
        <w:fldChar w:fldCharType="separate"/>
      </w:r>
      <w:r>
        <w:rPr>
          <w:noProof/>
        </w:rPr>
        <w:t>792</w:t>
      </w:r>
      <w:r>
        <w:fldChar w:fldCharType="end"/>
      </w:r>
    </w:p>
    <w:p w:rsidR="005F78FC" w:rsidRDefault="00B42EF3">
      <w:pPr>
        <w:pStyle w:val="indexentry0"/>
      </w:pPr>
      <w:hyperlink w:anchor="section_c18d21bc2f664b928717db472acd27c7">
        <w:r>
          <w:rPr>
            <w:rStyle w:val="Hyperlink"/>
          </w:rPr>
          <w:t>ADDRESS</w:t>
        </w:r>
      </w:hyperlink>
      <w:r>
        <w:t xml:space="preserve"> </w:t>
      </w:r>
      <w:r>
        <w:fldChar w:fldCharType="begin"/>
      </w:r>
      <w:r>
        <w:instrText>PAGEREF section_c18d21bc2f664b928717db472acd27c7</w:instrText>
      </w:r>
      <w:r>
        <w:fldChar w:fldCharType="separate"/>
      </w:r>
      <w:r>
        <w:rPr>
          <w:noProof/>
        </w:rPr>
        <w:t>401</w:t>
      </w:r>
      <w:r>
        <w:fldChar w:fldCharType="end"/>
      </w:r>
    </w:p>
    <w:p w:rsidR="005F78FC" w:rsidRDefault="00B42EF3">
      <w:pPr>
        <w:pStyle w:val="indexentry0"/>
      </w:pPr>
      <w:hyperlink w:anchor="section_9ca3f9d657da45608daac53116a60fa3">
        <w:r>
          <w:rPr>
            <w:rStyle w:val="Hyperlink"/>
          </w:rPr>
          <w:t>ADDRESSBLOCK</w:t>
        </w:r>
      </w:hyperlink>
      <w:r>
        <w:t xml:space="preserve"> </w:t>
      </w:r>
      <w:r>
        <w:fldChar w:fldCharType="begin"/>
      </w:r>
      <w:r>
        <w:instrText>PAGEREF section_9ca3f9d657da45608daac53116a60fa3</w:instrText>
      </w:r>
      <w:r>
        <w:fldChar w:fldCharType="separate"/>
      </w:r>
      <w:r>
        <w:rPr>
          <w:noProof/>
        </w:rPr>
        <w:t>169</w:t>
      </w:r>
      <w:r>
        <w:fldChar w:fldCharType="end"/>
      </w:r>
    </w:p>
    <w:p w:rsidR="005F78FC" w:rsidRDefault="00B42EF3">
      <w:pPr>
        <w:pStyle w:val="indexentry0"/>
      </w:pPr>
      <w:hyperlink w:anchor="section_a9b2a24bc8f94d7c90adfd2fda3d0aa1">
        <w:r>
          <w:rPr>
            <w:rStyle w:val="Hyperlink"/>
          </w:rPr>
          <w:t>adj (Shape Adjust)</w:t>
        </w:r>
      </w:hyperlink>
      <w:r>
        <w:t xml:space="preserve"> </w:t>
      </w:r>
      <w:r>
        <w:fldChar w:fldCharType="begin"/>
      </w:r>
      <w:r>
        <w:instrText>PAGEREF section_a9b2a24bc8f94d7c90adfd2fda3d0aa1</w:instrText>
      </w:r>
      <w:r>
        <w:fldChar w:fldCharType="separate"/>
      </w:r>
      <w:r>
        <w:rPr>
          <w:noProof/>
        </w:rPr>
        <w:t>586</w:t>
      </w:r>
      <w:r>
        <w:fldChar w:fldCharType="end"/>
      </w:r>
    </w:p>
    <w:p w:rsidR="005F78FC" w:rsidRDefault="00B42EF3">
      <w:pPr>
        <w:pStyle w:val="indexentry0"/>
      </w:pPr>
      <w:hyperlink w:anchor="section_fc652f822fbf477887ff9b52fab9d600">
        <w:r>
          <w:rPr>
            <w:rStyle w:val="Hyperlink"/>
          </w:rPr>
          <w:t>ADVANCE</w:t>
        </w:r>
      </w:hyperlink>
      <w:r>
        <w:t xml:space="preserve"> </w:t>
      </w:r>
      <w:r>
        <w:fldChar w:fldCharType="begin"/>
      </w:r>
      <w:r>
        <w:instrText>PAGEREF section_fc652f822fbf477887ff9b52fab9d600</w:instrText>
      </w:r>
      <w:r>
        <w:fldChar w:fldCharType="separate"/>
      </w:r>
      <w:r>
        <w:rPr>
          <w:noProof/>
        </w:rPr>
        <w:t>188</w:t>
      </w:r>
      <w:r>
        <w:fldChar w:fldCharType="end"/>
      </w:r>
    </w:p>
    <w:p w:rsidR="005F78FC" w:rsidRDefault="00B42EF3">
      <w:pPr>
        <w:pStyle w:val="indexentry0"/>
      </w:pPr>
      <w:hyperlink w:anchor="section_91ba9f43deb345f58a1a196afa07e776">
        <w:r>
          <w:rPr>
            <w:rStyle w:val="Hyperlink"/>
          </w:rPr>
          <w:t>ahPolar (PolarAdjustHandle)</w:t>
        </w:r>
      </w:hyperlink>
      <w:r>
        <w:t xml:space="preserve"> </w:t>
      </w:r>
      <w:r>
        <w:fldChar w:fldCharType="begin"/>
      </w:r>
      <w:r>
        <w:instrText>PAGEREF section_91ba9f43deb345f58a1a196afa07e776</w:instrText>
      </w:r>
      <w:r>
        <w:fldChar w:fldCharType="separate"/>
      </w:r>
      <w:r>
        <w:rPr>
          <w:noProof/>
        </w:rPr>
        <w:t>689</w:t>
      </w:r>
      <w:r>
        <w:fldChar w:fldCharType="end"/>
      </w:r>
    </w:p>
    <w:p w:rsidR="005F78FC" w:rsidRDefault="00B42EF3">
      <w:pPr>
        <w:pStyle w:val="indexentry0"/>
      </w:pPr>
      <w:hyperlink w:anchor="section_2e54916a4038416dbe4f887efb6f72de">
        <w:r>
          <w:rPr>
            <w:rStyle w:val="Hyperlink"/>
          </w:rPr>
          <w:t>ahXY (XYAdjustHandle)</w:t>
        </w:r>
      </w:hyperlink>
      <w:r>
        <w:t xml:space="preserve"> </w:t>
      </w:r>
      <w:r>
        <w:fldChar w:fldCharType="begin"/>
      </w:r>
      <w:r>
        <w:instrText>PAGEREF section_2e54916a4038</w:instrText>
      </w:r>
      <w:r>
        <w:instrText>416dbe4f887efb6f72de</w:instrText>
      </w:r>
      <w:r>
        <w:fldChar w:fldCharType="separate"/>
      </w:r>
      <w:r>
        <w:rPr>
          <w:noProof/>
        </w:rPr>
        <w:t>689</w:t>
      </w:r>
      <w:r>
        <w:fldChar w:fldCharType="end"/>
      </w:r>
    </w:p>
    <w:p w:rsidR="005F78FC" w:rsidRDefault="00B42EF3">
      <w:pPr>
        <w:pStyle w:val="indexentry0"/>
      </w:pPr>
      <w:hyperlink w:anchor="section_a8bca340ed81482c84ca7f105a1a11cf">
        <w:r>
          <w:rPr>
            <w:rStyle w:val="Hyperlink"/>
          </w:rPr>
          <w:t>aliases (Alternate Style Names)</w:t>
        </w:r>
      </w:hyperlink>
      <w:r>
        <w:t xml:space="preserve"> </w:t>
      </w:r>
      <w:r>
        <w:fldChar w:fldCharType="begin"/>
      </w:r>
      <w:r>
        <w:instrText>PAGEREF section_a8bca340ed81482c84ca7f105a1a11cf</w:instrText>
      </w:r>
      <w:r>
        <w:fldChar w:fldCharType="separate"/>
      </w:r>
      <w:r>
        <w:rPr>
          <w:noProof/>
        </w:rPr>
        <w:t>108</w:t>
      </w:r>
      <w:r>
        <w:fldChar w:fldCharType="end"/>
      </w:r>
    </w:p>
    <w:p w:rsidR="005F78FC" w:rsidRDefault="00B42EF3">
      <w:pPr>
        <w:pStyle w:val="indexentry0"/>
      </w:pPr>
      <w:hyperlink w:anchor="section_e4ad6e3e77024dbe8c44f5a4c686c440">
        <w:r>
          <w:rPr>
            <w:rStyle w:val="Hyperlink"/>
          </w:rPr>
          <w:t>alignment (Alignment)</w:t>
        </w:r>
      </w:hyperlink>
      <w:r>
        <w:t xml:space="preserve"> </w:t>
      </w:r>
      <w:r>
        <w:fldChar w:fldCharType="begin"/>
      </w:r>
      <w:r>
        <w:instrText>PAGEREF section_e4ad6e3e77024dbe8c44f5a4c686c440</w:instrText>
      </w:r>
      <w:r>
        <w:fldChar w:fldCharType="separate"/>
      </w:r>
      <w:r>
        <w:rPr>
          <w:noProof/>
        </w:rPr>
        <w:t>299</w:t>
      </w:r>
      <w:r>
        <w:fldChar w:fldCharType="end"/>
      </w:r>
    </w:p>
    <w:p w:rsidR="005F78FC" w:rsidRDefault="00B42EF3">
      <w:pPr>
        <w:pStyle w:val="indexentry0"/>
      </w:pPr>
      <w:hyperlink w:anchor="section_c2ec4940906f489c8ae252b0ac885207">
        <w:r>
          <w:rPr>
            <w:rStyle w:val="Hyperlink"/>
          </w:rPr>
          <w:t>allowPNG (Allow PNG as Graphic Format)</w:t>
        </w:r>
      </w:hyperlink>
      <w:r>
        <w:t xml:space="preserve"> </w:t>
      </w:r>
      <w:r>
        <w:fldChar w:fldCharType="begin"/>
      </w:r>
      <w:r>
        <w:instrText>PAGEREF section_c2ec4940906f489c8ae252b0ac885207</w:instrText>
      </w:r>
      <w:r>
        <w:fldChar w:fldCharType="separate"/>
      </w:r>
      <w:r>
        <w:rPr>
          <w:noProof/>
        </w:rPr>
        <w:t>164</w:t>
      </w:r>
      <w:r>
        <w:fldChar w:fldCharType="end"/>
      </w:r>
    </w:p>
    <w:p w:rsidR="005F78FC" w:rsidRDefault="00B42EF3">
      <w:pPr>
        <w:pStyle w:val="indexentry0"/>
      </w:pPr>
      <w:hyperlink w:anchor="section_2325459a45fc4ed481f209cf0696c03f">
        <w:r>
          <w:rPr>
            <w:rStyle w:val="Hyperlink"/>
          </w:rPr>
          <w:t>aln (Alignment)</w:t>
        </w:r>
      </w:hyperlink>
      <w:r>
        <w:t xml:space="preserve"> </w:t>
      </w:r>
      <w:r>
        <w:fldChar w:fldCharType="begin"/>
      </w:r>
      <w:r>
        <w:instrText>PAGEREF section_2325459a45fc4ed481f209cf0696c03f</w:instrText>
      </w:r>
      <w:r>
        <w:fldChar w:fldCharType="separate"/>
      </w:r>
      <w:r>
        <w:rPr>
          <w:noProof/>
        </w:rPr>
        <w:t>597</w:t>
      </w:r>
      <w:r>
        <w:fldChar w:fldCharType="end"/>
      </w:r>
    </w:p>
    <w:p w:rsidR="005F78FC" w:rsidRDefault="00B42EF3">
      <w:pPr>
        <w:pStyle w:val="indexentry0"/>
      </w:pPr>
      <w:hyperlink w:anchor="section_8d11d27322a648b8a2122b60910659bd">
        <w:r>
          <w:rPr>
            <w:rStyle w:val="Hyperlink"/>
          </w:rPr>
          <w:t>alpha (Alpha)</w:t>
        </w:r>
      </w:hyperlink>
      <w:r>
        <w:t xml:space="preserve"> </w:t>
      </w:r>
      <w:r>
        <w:fldChar w:fldCharType="begin"/>
      </w:r>
      <w:r>
        <w:instrText>PAGEREF section_8d11d27322a648b8a2122b60910659bd</w:instrText>
      </w:r>
      <w:r>
        <w:fldChar w:fldCharType="separate"/>
      </w:r>
      <w:r>
        <w:rPr>
          <w:noProof/>
        </w:rPr>
        <w:t>502</w:t>
      </w:r>
      <w:r>
        <w:fldChar w:fldCharType="end"/>
      </w:r>
    </w:p>
    <w:p w:rsidR="005F78FC" w:rsidRDefault="00B42EF3">
      <w:pPr>
        <w:pStyle w:val="indexentry0"/>
      </w:pPr>
      <w:hyperlink w:anchor="section_88c6f94c01654e828f963694069f6361">
        <w:r>
          <w:rPr>
            <w:rStyle w:val="Hyperlink"/>
          </w:rPr>
          <w:t>alphaInv (Alpha Inverse Effect)</w:t>
        </w:r>
      </w:hyperlink>
      <w:r>
        <w:t xml:space="preserve"> </w:t>
      </w:r>
      <w:r>
        <w:fldChar w:fldCharType="begin"/>
      </w:r>
      <w:r>
        <w:instrText>PAGEREF section_88c6f94c01654e828f963694069f6361</w:instrText>
      </w:r>
      <w:r>
        <w:fldChar w:fldCharType="separate"/>
      </w:r>
      <w:r>
        <w:rPr>
          <w:noProof/>
        </w:rPr>
        <w:t>514</w:t>
      </w:r>
      <w:r>
        <w:fldChar w:fldCharType="end"/>
      </w:r>
    </w:p>
    <w:p w:rsidR="005F78FC" w:rsidRDefault="00B42EF3">
      <w:pPr>
        <w:pStyle w:val="indexentry0"/>
      </w:pPr>
      <w:hyperlink w:anchor="section_afb64210f4af4f608f94b2c51fd1bda7">
        <w:r>
          <w:rPr>
            <w:rStyle w:val="Hyperlink"/>
          </w:rPr>
          <w:t>alphaMod (Alpha Modulate Effect)</w:t>
        </w:r>
      </w:hyperlink>
      <w:r>
        <w:t xml:space="preserve"> </w:t>
      </w:r>
      <w:r>
        <w:fldChar w:fldCharType="begin"/>
      </w:r>
      <w:r>
        <w:instrText>PAGEREF section_afb64210f4af4f608f94b2c51fd1bda7</w:instrText>
      </w:r>
      <w:r>
        <w:fldChar w:fldCharType="separate"/>
      </w:r>
      <w:r>
        <w:rPr>
          <w:noProof/>
        </w:rPr>
        <w:t>514</w:t>
      </w:r>
      <w:r>
        <w:fldChar w:fldCharType="end"/>
      </w:r>
    </w:p>
    <w:p w:rsidR="005F78FC" w:rsidRDefault="00B42EF3">
      <w:pPr>
        <w:pStyle w:val="indexentry0"/>
      </w:pPr>
      <w:hyperlink w:anchor="section_82fa840c591d48d5b9300146192f4142">
        <w:r>
          <w:rPr>
            <w:rStyle w:val="Hyperlink"/>
          </w:rPr>
          <w:t>alphaMod (Alpha Modulation)</w:t>
        </w:r>
      </w:hyperlink>
      <w:r>
        <w:t xml:space="preserve"> </w:t>
      </w:r>
      <w:r>
        <w:fldChar w:fldCharType="begin"/>
      </w:r>
      <w:r>
        <w:instrText>PAGEREF section_82fa840c591d48d5b9300146192f4142</w:instrText>
      </w:r>
      <w:r>
        <w:fldChar w:fldCharType="separate"/>
      </w:r>
      <w:r>
        <w:rPr>
          <w:noProof/>
        </w:rPr>
        <w:t>502</w:t>
      </w:r>
      <w:r>
        <w:fldChar w:fldCharType="end"/>
      </w:r>
    </w:p>
    <w:p w:rsidR="005F78FC" w:rsidRDefault="00B42EF3">
      <w:pPr>
        <w:pStyle w:val="indexentry0"/>
      </w:pPr>
      <w:hyperlink w:anchor="section_1c2204d50c7240caa3c489b803883e90">
        <w:r>
          <w:rPr>
            <w:rStyle w:val="Hyperlink"/>
          </w:rPr>
          <w:t>alphaModFix (Alpha Modulate Fixed Effect)</w:t>
        </w:r>
      </w:hyperlink>
      <w:r>
        <w:t xml:space="preserve"> </w:t>
      </w:r>
      <w:r>
        <w:fldChar w:fldCharType="begin"/>
      </w:r>
      <w:r>
        <w:instrText>PAGEREF section_1c2204d50c7240caa3c489b803883e90</w:instrText>
      </w:r>
      <w:r>
        <w:fldChar w:fldCharType="separate"/>
      </w:r>
      <w:r>
        <w:rPr>
          <w:noProof/>
        </w:rPr>
        <w:t>514</w:t>
      </w:r>
      <w:r>
        <w:fldChar w:fldCharType="end"/>
      </w:r>
    </w:p>
    <w:p w:rsidR="005F78FC" w:rsidRDefault="00B42EF3">
      <w:pPr>
        <w:pStyle w:val="indexentry0"/>
      </w:pPr>
      <w:hyperlink w:anchor="section_7ed8e6ffd6914d92ad9b73ec0a519eef">
        <w:r>
          <w:rPr>
            <w:rStyle w:val="Hyperlink"/>
          </w:rPr>
          <w:t>alphaOff (Alpha Offset)</w:t>
        </w:r>
      </w:hyperlink>
      <w:r>
        <w:t xml:space="preserve"> </w:t>
      </w:r>
      <w:r>
        <w:fldChar w:fldCharType="begin"/>
      </w:r>
      <w:r>
        <w:instrText>PAGEREF section_7ed8e6ffd6914d92ad9b73ec0a519eef</w:instrText>
      </w:r>
      <w:r>
        <w:fldChar w:fldCharType="separate"/>
      </w:r>
      <w:r>
        <w:rPr>
          <w:noProof/>
        </w:rPr>
        <w:t>502</w:t>
      </w:r>
      <w:r>
        <w:fldChar w:fldCharType="end"/>
      </w:r>
    </w:p>
    <w:p w:rsidR="005F78FC" w:rsidRDefault="00B42EF3">
      <w:pPr>
        <w:pStyle w:val="indexentry0"/>
      </w:pPr>
      <w:hyperlink w:anchor="section_c391c28f1b034a21a4f84d9cddd4a95c">
        <w:r>
          <w:rPr>
            <w:rStyle w:val="Hyperlink"/>
          </w:rPr>
          <w:t>altC</w:t>
        </w:r>
        <w:r>
          <w:rPr>
            <w:rStyle w:val="Hyperlink"/>
          </w:rPr>
          <w:t>hunk (Anchor for Imported External Content)</w:t>
        </w:r>
      </w:hyperlink>
      <w:r>
        <w:t xml:space="preserve"> </w:t>
      </w:r>
      <w:r>
        <w:fldChar w:fldCharType="begin"/>
      </w:r>
      <w:r>
        <w:instrText>PAGEREF section_c391c28f1b034a21a4f84d9cddd4a95c</w:instrText>
      </w:r>
      <w:r>
        <w:fldChar w:fldCharType="separate"/>
      </w:r>
      <w:r>
        <w:rPr>
          <w:noProof/>
        </w:rPr>
        <w:t>230</w:t>
      </w:r>
      <w:r>
        <w:fldChar w:fldCharType="end"/>
      </w:r>
    </w:p>
    <w:p w:rsidR="005F78FC" w:rsidRDefault="00B42EF3">
      <w:pPr>
        <w:pStyle w:val="indexentry0"/>
      </w:pPr>
      <w:hyperlink w:anchor="section_f7c44a603d384925893457d77c277e84">
        <w:r>
          <w:rPr>
            <w:rStyle w:val="Hyperlink"/>
          </w:rPr>
          <w:t>altName (Alternate Names for Font)</w:t>
        </w:r>
      </w:hyperlink>
      <w:r>
        <w:t xml:space="preserve"> </w:t>
      </w:r>
      <w:r>
        <w:fldChar w:fldCharType="begin"/>
      </w:r>
      <w:r>
        <w:instrText>PAGEREF section_f7c44a603d384925893457d77c277e84</w:instrText>
      </w:r>
      <w:r>
        <w:fldChar w:fldCharType="separate"/>
      </w:r>
      <w:r>
        <w:rPr>
          <w:noProof/>
        </w:rPr>
        <w:t>124</w:t>
      </w:r>
      <w:r>
        <w:fldChar w:fldCharType="end"/>
      </w:r>
    </w:p>
    <w:p w:rsidR="005F78FC" w:rsidRDefault="00B42EF3">
      <w:pPr>
        <w:pStyle w:val="indexentry0"/>
      </w:pPr>
      <w:hyperlink w:anchor="section_9f6e8efb597047108b6a26e75256d593">
        <w:r>
          <w:rPr>
            <w:rStyle w:val="Hyperlink"/>
          </w:rPr>
          <w:t>alwaysMergeEmptyNamespace (Do Not Mark Custom XML Elements With No Namespace As Invalid)</w:t>
        </w:r>
      </w:hyperlink>
      <w:r>
        <w:t xml:space="preserve"> </w:t>
      </w:r>
      <w:r>
        <w:fldChar w:fldCharType="begin"/>
      </w:r>
      <w:r>
        <w:instrText>PAGEREF section_9f6e8efb597047108b6a26e75256d593</w:instrText>
      </w:r>
      <w:r>
        <w:fldChar w:fldCharType="separate"/>
      </w:r>
      <w:r>
        <w:rPr>
          <w:noProof/>
        </w:rPr>
        <w:t>150</w:t>
      </w:r>
      <w:r>
        <w:fldChar w:fldCharType="end"/>
      </w:r>
    </w:p>
    <w:p w:rsidR="005F78FC" w:rsidRDefault="00B42EF3">
      <w:pPr>
        <w:pStyle w:val="indexentry0"/>
      </w:pPr>
      <w:hyperlink w:anchor="section_de52a81e371a46f5a1041dec10fc3df2">
        <w:r>
          <w:rPr>
            <w:rStyle w:val="Hyperlink"/>
          </w:rPr>
          <w:t>AMORDEGRC</w:t>
        </w:r>
      </w:hyperlink>
      <w:r>
        <w:t xml:space="preserve"> </w:t>
      </w:r>
      <w:r>
        <w:fldChar w:fldCharType="begin"/>
      </w:r>
      <w:r>
        <w:instrText>PAGEREF section_de52a81e371a46f5a1041dec10fc3df2</w:instrText>
      </w:r>
      <w:r>
        <w:fldChar w:fldCharType="separate"/>
      </w:r>
      <w:r>
        <w:rPr>
          <w:noProof/>
        </w:rPr>
        <w:t>401</w:t>
      </w:r>
      <w:r>
        <w:fldChar w:fldCharType="end"/>
      </w:r>
    </w:p>
    <w:p w:rsidR="005F78FC" w:rsidRDefault="00B42EF3">
      <w:pPr>
        <w:pStyle w:val="indexentry0"/>
      </w:pPr>
      <w:hyperlink w:anchor="section_98cfb234d00a4cfc899757d8f282dd28">
        <w:r>
          <w:rPr>
            <w:rStyle w:val="Hyperlink"/>
          </w:rPr>
          <w:t>AMORLINC</w:t>
        </w:r>
      </w:hyperlink>
      <w:r>
        <w:t xml:space="preserve"> </w:t>
      </w:r>
      <w:r>
        <w:fldChar w:fldCharType="begin"/>
      </w:r>
      <w:r>
        <w:instrText>PAGEREF section_98cfb234d00a4cfc899757d8f282dd28</w:instrText>
      </w:r>
      <w:r>
        <w:fldChar w:fldCharType="separate"/>
      </w:r>
      <w:r>
        <w:rPr>
          <w:noProof/>
        </w:rPr>
        <w:t>402</w:t>
      </w:r>
      <w:r>
        <w:fldChar w:fldCharType="end"/>
      </w:r>
    </w:p>
    <w:p w:rsidR="005F78FC" w:rsidRDefault="00B42EF3">
      <w:pPr>
        <w:pStyle w:val="indexentry0"/>
      </w:pPr>
      <w:hyperlink w:anchor="section_21286105b705441b9cc5d423121ec06a">
        <w:r>
          <w:rPr>
            <w:rStyle w:val="Hyperlink"/>
          </w:rPr>
          <w:t>anchor</w:t>
        </w:r>
        <w:r>
          <w:rPr>
            <w:rStyle w:val="Hyperlink"/>
          </w:rPr>
          <w:t xml:space="preserve"> (Anchor for Floating DrawingML Object)</w:t>
        </w:r>
      </w:hyperlink>
      <w:r>
        <w:t xml:space="preserve"> </w:t>
      </w:r>
      <w:r>
        <w:fldChar w:fldCharType="begin"/>
      </w:r>
      <w:r>
        <w:instrText>PAGEREF section_21286105b705441b9cc5d423121ec06a</w:instrText>
      </w:r>
      <w:r>
        <w:fldChar w:fldCharType="separate"/>
      </w:r>
      <w:r>
        <w:rPr>
          <w:noProof/>
        </w:rPr>
        <w:t>527</w:t>
      </w:r>
      <w:r>
        <w:fldChar w:fldCharType="end"/>
      </w:r>
    </w:p>
    <w:p w:rsidR="005F78FC" w:rsidRDefault="00B42EF3">
      <w:pPr>
        <w:pStyle w:val="indexentry0"/>
      </w:pPr>
      <w:hyperlink w:anchor="section_c5e5dc5ad9924b18b4a2b4772bf3c102">
        <w:r>
          <w:rPr>
            <w:rStyle w:val="Hyperlink"/>
          </w:rPr>
          <w:t>anchor (Anchor Point)</w:t>
        </w:r>
      </w:hyperlink>
      <w:r>
        <w:t xml:space="preserve"> </w:t>
      </w:r>
      <w:r>
        <w:fldChar w:fldCharType="begin"/>
      </w:r>
      <w:r>
        <w:instrText>PAGEREF section_c5e5dc5ad9924b18b4a2b4772bf3c102</w:instrText>
      </w:r>
      <w:r>
        <w:fldChar w:fldCharType="separate"/>
      </w:r>
      <w:r>
        <w:rPr>
          <w:noProof/>
        </w:rPr>
        <w:t>510</w:t>
      </w:r>
      <w:r>
        <w:fldChar w:fldCharType="end"/>
      </w:r>
    </w:p>
    <w:p w:rsidR="005F78FC" w:rsidRDefault="00B42EF3">
      <w:pPr>
        <w:pStyle w:val="indexentry0"/>
      </w:pPr>
      <w:hyperlink w:anchor="section_200aa15e618e45e491d6daba55597a7d">
        <w:r>
          <w:rPr>
            <w:rStyle w:val="Hyperlink"/>
          </w:rPr>
          <w:t>Anchor (Anchor)</w:t>
        </w:r>
      </w:hyperlink>
      <w:r>
        <w:t xml:space="preserve"> </w:t>
      </w:r>
      <w:r>
        <w:fldChar w:fldCharType="begin"/>
      </w:r>
      <w:r>
        <w:instrText>PAGEREF section_200aa15e618e45e491d6daba55597a7d</w:instrText>
      </w:r>
      <w:r>
        <w:fldChar w:fldCharType="separate"/>
      </w:r>
      <w:r>
        <w:rPr>
          <w:noProof/>
        </w:rPr>
        <w:t>679</w:t>
      </w:r>
      <w:r>
        <w:fldChar w:fldCharType="end"/>
      </w:r>
    </w:p>
    <w:p w:rsidR="005F78FC" w:rsidRDefault="00B42EF3">
      <w:pPr>
        <w:pStyle w:val="indexentry0"/>
      </w:pPr>
      <w:hyperlink w:anchor="section_2a1eea2d377344f7ab3b51dd9a427f79">
        <w:r>
          <w:rPr>
            <w:rStyle w:val="Hyperlink"/>
          </w:rPr>
          <w:t>anchor (Object Cell Anchor)</w:t>
        </w:r>
      </w:hyperlink>
      <w:r>
        <w:t xml:space="preserve"> </w:t>
      </w:r>
      <w:r>
        <w:fldChar w:fldCharType="begin"/>
      </w:r>
      <w:r>
        <w:instrText>PAGEREF section_2a1eea2d377344f7ab3b51dd9a427f79</w:instrText>
      </w:r>
      <w:r>
        <w:fldChar w:fldCharType="separate"/>
      </w:r>
      <w:r>
        <w:rPr>
          <w:noProof/>
        </w:rPr>
        <w:t>253</w:t>
      </w:r>
      <w:r>
        <w:fldChar w:fldCharType="end"/>
      </w:r>
    </w:p>
    <w:p w:rsidR="005F78FC" w:rsidRDefault="00B42EF3">
      <w:pPr>
        <w:pStyle w:val="indexentry0"/>
      </w:pPr>
      <w:hyperlink w:anchor="section_e9355b9351844ffe842863a08858da2f">
        <w:r>
          <w:rPr>
            <w:rStyle w:val="Hyperlink"/>
          </w:rPr>
          <w:t>anim (Animate)</w:t>
        </w:r>
      </w:hyperlink>
      <w:r>
        <w:t xml:space="preserve"> </w:t>
      </w:r>
      <w:r>
        <w:fldChar w:fldCharType="begin"/>
      </w:r>
      <w:r>
        <w:instrText>PAGEREF section_e9355b9351844ffe842863a08858da2f</w:instrText>
      </w:r>
      <w:r>
        <w:fldChar w:fldCharType="separate"/>
      </w:r>
      <w:r>
        <w:rPr>
          <w:noProof/>
        </w:rPr>
        <w:t>474</w:t>
      </w:r>
      <w:r>
        <w:fldChar w:fldCharType="end"/>
      </w:r>
    </w:p>
    <w:p w:rsidR="005F78FC" w:rsidRDefault="00B42EF3">
      <w:pPr>
        <w:pStyle w:val="indexentry0"/>
      </w:pPr>
      <w:hyperlink w:anchor="section_9636f7f358e3408d9880d0799fb26b0f">
        <w:r>
          <w:rPr>
            <w:rStyle w:val="Hyperlink"/>
          </w:rPr>
          <w:t>animClr (Animate Color Behavior)</w:t>
        </w:r>
      </w:hyperlink>
      <w:r>
        <w:t xml:space="preserve"> </w:t>
      </w:r>
      <w:r>
        <w:fldChar w:fldCharType="begin"/>
      </w:r>
      <w:r>
        <w:instrText>PAGEREF section_9636f7f358e340</w:instrText>
      </w:r>
      <w:r>
        <w:instrText>8d9880d0799fb26b0f</w:instrText>
      </w:r>
      <w:r>
        <w:fldChar w:fldCharType="separate"/>
      </w:r>
      <w:r>
        <w:rPr>
          <w:noProof/>
        </w:rPr>
        <w:t>475</w:t>
      </w:r>
      <w:r>
        <w:fldChar w:fldCharType="end"/>
      </w:r>
    </w:p>
    <w:p w:rsidR="005F78FC" w:rsidRDefault="00B42EF3">
      <w:pPr>
        <w:pStyle w:val="indexentry0"/>
      </w:pPr>
      <w:hyperlink w:anchor="section_33e6ed593ef1404fb137ad2c503f16ac">
        <w:r>
          <w:rPr>
            <w:rStyle w:val="Hyperlink"/>
          </w:rPr>
          <w:t>animEffect (Animate Effect)</w:t>
        </w:r>
      </w:hyperlink>
      <w:r>
        <w:t xml:space="preserve"> </w:t>
      </w:r>
      <w:r>
        <w:fldChar w:fldCharType="begin"/>
      </w:r>
      <w:r>
        <w:instrText>PAGEREF section_33e6ed593ef1404fb137ad2c503f16ac</w:instrText>
      </w:r>
      <w:r>
        <w:fldChar w:fldCharType="separate"/>
      </w:r>
      <w:r>
        <w:rPr>
          <w:noProof/>
        </w:rPr>
        <w:t>475</w:t>
      </w:r>
      <w:r>
        <w:fldChar w:fldCharType="end"/>
      </w:r>
    </w:p>
    <w:p w:rsidR="005F78FC" w:rsidRDefault="00B42EF3">
      <w:pPr>
        <w:pStyle w:val="indexentry0"/>
      </w:pPr>
      <w:hyperlink w:anchor="section_498c3cfa652c49b3a82c33fd94468af8">
        <w:r>
          <w:rPr>
            <w:rStyle w:val="Hyperlink"/>
          </w:rPr>
          <w:t>animMotion (Animate Motion)</w:t>
        </w:r>
      </w:hyperlink>
      <w:r>
        <w:t xml:space="preserve"> </w:t>
      </w:r>
      <w:r>
        <w:fldChar w:fldCharType="begin"/>
      </w:r>
      <w:r>
        <w:instrText>PAGEREF section_498c3cfa652c49b3a82c33fd94468af8</w:instrText>
      </w:r>
      <w:r>
        <w:fldChar w:fldCharType="separate"/>
      </w:r>
      <w:r>
        <w:rPr>
          <w:noProof/>
        </w:rPr>
        <w:t>476</w:t>
      </w:r>
      <w:r>
        <w:fldChar w:fldCharType="end"/>
      </w:r>
    </w:p>
    <w:p w:rsidR="005F78FC" w:rsidRDefault="00B42EF3">
      <w:pPr>
        <w:pStyle w:val="indexentry0"/>
      </w:pPr>
      <w:hyperlink w:anchor="section_39903f1afcb44aee81e266f4fc7493fd">
        <w:r>
          <w:rPr>
            <w:rStyle w:val="Hyperlink"/>
          </w:rPr>
          <w:t>animRot (Animate Rotation)</w:t>
        </w:r>
      </w:hyperlink>
      <w:r>
        <w:t xml:space="preserve"> </w:t>
      </w:r>
      <w:r>
        <w:fldChar w:fldCharType="begin"/>
      </w:r>
      <w:r>
        <w:instrText>PAGEREF section_39903f1afcb44aee81e266f4fc7493fd</w:instrText>
      </w:r>
      <w:r>
        <w:fldChar w:fldCharType="separate"/>
      </w:r>
      <w:r>
        <w:rPr>
          <w:noProof/>
        </w:rPr>
        <w:t>477</w:t>
      </w:r>
      <w:r>
        <w:fldChar w:fldCharType="end"/>
      </w:r>
    </w:p>
    <w:p w:rsidR="005F78FC" w:rsidRDefault="00B42EF3">
      <w:pPr>
        <w:pStyle w:val="indexentry0"/>
      </w:pPr>
      <w:hyperlink w:anchor="section_358c6de32cd7459b8eb9b90f3721fd12">
        <w:r>
          <w:rPr>
            <w:rStyle w:val="Hyperlink"/>
          </w:rPr>
          <w:t>a</w:t>
        </w:r>
        <w:r>
          <w:rPr>
            <w:rStyle w:val="Hyperlink"/>
          </w:rPr>
          <w:t>nimScale (Animate Scale)</w:t>
        </w:r>
      </w:hyperlink>
      <w:r>
        <w:t xml:space="preserve"> </w:t>
      </w:r>
      <w:r>
        <w:fldChar w:fldCharType="begin"/>
      </w:r>
      <w:r>
        <w:instrText>PAGEREF section_358c6de32cd7459b8eb9b90f3721fd12</w:instrText>
      </w:r>
      <w:r>
        <w:fldChar w:fldCharType="separate"/>
      </w:r>
      <w:r>
        <w:rPr>
          <w:noProof/>
        </w:rPr>
        <w:t>478</w:t>
      </w:r>
      <w:r>
        <w:fldChar w:fldCharType="end"/>
      </w:r>
    </w:p>
    <w:p w:rsidR="005F78FC" w:rsidRDefault="00B42EF3">
      <w:pPr>
        <w:pStyle w:val="indexentry0"/>
      </w:pPr>
      <w:hyperlink w:anchor="section_4893beff89e44326a9c3a89ddf80f063">
        <w:r>
          <w:rPr>
            <w:rStyle w:val="Hyperlink"/>
          </w:rPr>
          <w:t>Application Conformance</w:t>
        </w:r>
      </w:hyperlink>
      <w:r>
        <w:t xml:space="preserve"> </w:t>
      </w:r>
      <w:r>
        <w:fldChar w:fldCharType="begin"/>
      </w:r>
      <w:r>
        <w:instrText>PAGEREF section_4893beff89e44326a9c3a89ddf80f063</w:instrText>
      </w:r>
      <w:r>
        <w:fldChar w:fldCharType="separate"/>
      </w:r>
      <w:r>
        <w:rPr>
          <w:noProof/>
        </w:rPr>
        <w:t>48</w:t>
      </w:r>
      <w:r>
        <w:fldChar w:fldCharType="end"/>
      </w:r>
    </w:p>
    <w:p w:rsidR="005F78FC" w:rsidRDefault="00B42EF3">
      <w:pPr>
        <w:pStyle w:val="indexentry0"/>
      </w:pPr>
      <w:hyperlink w:anchor="section_38917d35404040a79ad61d6b07d983f4">
        <w:r>
          <w:rPr>
            <w:rStyle w:val="Hyperlink"/>
          </w:rPr>
          <w:t>ApplicationVersion (Application Version)</w:t>
        </w:r>
      </w:hyperlink>
      <w:r>
        <w:t xml:space="preserve"> </w:t>
      </w:r>
      <w:r>
        <w:fldChar w:fldCharType="begin"/>
      </w:r>
      <w:r>
        <w:instrText>PAGEREF section_38917d35404040a79ad61d6b07d983f4</w:instrText>
      </w:r>
      <w:r>
        <w:fldChar w:fldCharType="separate"/>
      </w:r>
      <w:r>
        <w:rPr>
          <w:noProof/>
        </w:rPr>
        <w:t>884</w:t>
      </w:r>
      <w:r>
        <w:fldChar w:fldCharType="end"/>
      </w:r>
    </w:p>
    <w:p w:rsidR="005F78FC" w:rsidRDefault="00B42EF3">
      <w:pPr>
        <w:pStyle w:val="indexentry0"/>
      </w:pPr>
      <w:hyperlink w:anchor="section_61e2927d6fad483d9e933a00bb8620fb">
        <w:r>
          <w:rPr>
            <w:rStyle w:val="Hyperlink"/>
          </w:rPr>
          <w:t>applyBreakingRules (Use Legacy Ethiopic and Amharic Line Breaking Rules)</w:t>
        </w:r>
      </w:hyperlink>
      <w:r>
        <w:t xml:space="preserve"> </w:t>
      </w:r>
      <w:r>
        <w:fldChar w:fldCharType="begin"/>
      </w:r>
      <w:r>
        <w:instrText>PA</w:instrText>
      </w:r>
      <w:r>
        <w:instrText>GEREF section_61e2927d6fad483d9e933a00bb8620fb</w:instrText>
      </w:r>
      <w:r>
        <w:fldChar w:fldCharType="separate"/>
      </w:r>
      <w:r>
        <w:rPr>
          <w:noProof/>
        </w:rPr>
        <w:t>167</w:t>
      </w:r>
      <w:r>
        <w:fldChar w:fldCharType="end"/>
      </w:r>
    </w:p>
    <w:p w:rsidR="005F78FC" w:rsidRDefault="00B42EF3">
      <w:pPr>
        <w:pStyle w:val="indexentry0"/>
      </w:pPr>
      <w:hyperlink w:anchor="section_1b1344e7a00944f5aa3a4cbb4f752c80">
        <w:r>
          <w:rPr>
            <w:rStyle w:val="Hyperlink"/>
          </w:rPr>
          <w:t>applyToFront (Apply To Front)</w:t>
        </w:r>
      </w:hyperlink>
      <w:r>
        <w:t xml:space="preserve"> </w:t>
      </w:r>
      <w:r>
        <w:fldChar w:fldCharType="begin"/>
      </w:r>
      <w:r>
        <w:instrText>PAGEREF section_1b1344e7a00944f5aa3a4cbb4f752c80</w:instrText>
      </w:r>
      <w:r>
        <w:fldChar w:fldCharType="separate"/>
      </w:r>
      <w:r>
        <w:rPr>
          <w:noProof/>
        </w:rPr>
        <w:t>546</w:t>
      </w:r>
      <w:r>
        <w:fldChar w:fldCharType="end"/>
      </w:r>
    </w:p>
    <w:p w:rsidR="005F78FC" w:rsidRDefault="00B42EF3">
      <w:pPr>
        <w:pStyle w:val="indexentry0"/>
      </w:pPr>
      <w:hyperlink w:anchor="section_82ee2e510df44d6a86c46529093bae80">
        <w:r>
          <w:rPr>
            <w:rStyle w:val="Hyperlink"/>
          </w:rPr>
          <w:t>applyToSides (Apply To Sides)</w:t>
        </w:r>
      </w:hyperlink>
      <w:r>
        <w:t xml:space="preserve"> </w:t>
      </w:r>
      <w:r>
        <w:fldChar w:fldCharType="begin"/>
      </w:r>
      <w:r>
        <w:instrText>PAGEREF section_82ee2e510df44d6a86c46529093bae80</w:instrText>
      </w:r>
      <w:r>
        <w:fldChar w:fldCharType="separate"/>
      </w:r>
      <w:r>
        <w:rPr>
          <w:noProof/>
        </w:rPr>
        <w:t>546</w:t>
      </w:r>
      <w:r>
        <w:fldChar w:fldCharType="end"/>
      </w:r>
    </w:p>
    <w:p w:rsidR="005F78FC" w:rsidRDefault="00B42EF3">
      <w:pPr>
        <w:pStyle w:val="indexentry0"/>
      </w:pPr>
      <w:hyperlink w:anchor="section_6575023bde01441fa9da8cc9d3b73e99">
        <w:r>
          <w:rPr>
            <w:rStyle w:val="Hyperlink"/>
          </w:rPr>
          <w:t>AppVersion (Application Version)</w:t>
        </w:r>
      </w:hyperlink>
      <w:r>
        <w:t xml:space="preserve"> </w:t>
      </w:r>
      <w:r>
        <w:fldChar w:fldCharType="begin"/>
      </w:r>
      <w:r>
        <w:instrText>PAGEREF section_6575023bde01441fa9da8cc9d3b73e99</w:instrText>
      </w:r>
      <w:r>
        <w:fldChar w:fldCharType="separate"/>
      </w:r>
      <w:r>
        <w:rPr>
          <w:noProof/>
        </w:rPr>
        <w:t>608</w:t>
      </w:r>
      <w:r>
        <w:fldChar w:fldCharType="end"/>
      </w:r>
    </w:p>
    <w:p w:rsidR="005F78FC" w:rsidRDefault="00B42EF3">
      <w:pPr>
        <w:pStyle w:val="indexentry0"/>
      </w:pPr>
      <w:hyperlink w:anchor="section_d019f23f597743d8b46399ba8f6784eb">
        <w:r>
          <w:rPr>
            <w:rStyle w:val="Hyperlink"/>
          </w:rPr>
          <w:t>arc (Arc Segment)</w:t>
        </w:r>
      </w:hyperlink>
      <w:r>
        <w:t xml:space="preserve"> </w:t>
      </w:r>
      <w:r>
        <w:fldChar w:fldCharType="begin"/>
      </w:r>
      <w:r>
        <w:instrText>PAGEREF section_d019f23f597743d8b46399ba8f6784eb</w:instrText>
      </w:r>
      <w:r>
        <w:fldChar w:fldCharType="separate"/>
      </w:r>
      <w:r>
        <w:rPr>
          <w:noProof/>
        </w:rPr>
        <w:t>635</w:t>
      </w:r>
      <w:r>
        <w:fldChar w:fldCharType="end"/>
      </w:r>
    </w:p>
    <w:p w:rsidR="005F78FC" w:rsidRDefault="00B42EF3">
      <w:pPr>
        <w:pStyle w:val="indexentry0"/>
      </w:pPr>
      <w:hyperlink w:anchor="section_29ab25d35428484cb2a3ec691a0bf49f">
        <w:r>
          <w:rPr>
            <w:rStyle w:val="Hyperlink"/>
          </w:rPr>
          <w:t>areaChart (Area Charts)</w:t>
        </w:r>
      </w:hyperlink>
      <w:r>
        <w:t xml:space="preserve"> </w:t>
      </w:r>
      <w:r>
        <w:fldChar w:fldCharType="begin"/>
      </w:r>
      <w:r>
        <w:instrText>PAGEREF section_29ab25d35428484cb2a3ec691a0bf49f</w:instrText>
      </w:r>
      <w:r>
        <w:fldChar w:fldCharType="separate"/>
      </w:r>
      <w:r>
        <w:rPr>
          <w:noProof/>
        </w:rPr>
        <w:t>546</w:t>
      </w:r>
      <w:r>
        <w:fldChar w:fldCharType="end"/>
      </w:r>
    </w:p>
    <w:p w:rsidR="005F78FC" w:rsidRDefault="00B42EF3">
      <w:pPr>
        <w:pStyle w:val="indexentry0"/>
      </w:pPr>
      <w:hyperlink w:anchor="section_336b8f05a2344e46bd4e1f94b673f6f5">
        <w:r>
          <w:rPr>
            <w:rStyle w:val="Hyperlink"/>
          </w:rPr>
          <w:t>AREAS</w:t>
        </w:r>
      </w:hyperlink>
      <w:r>
        <w:t xml:space="preserve"> </w:t>
      </w:r>
      <w:r>
        <w:fldChar w:fldCharType="begin"/>
      </w:r>
      <w:r>
        <w:instrText>PAGEREF section_336b8f05a2344e46bd4e1f94b673f6f5</w:instrText>
      </w:r>
      <w:r>
        <w:fldChar w:fldCharType="separate"/>
      </w:r>
      <w:r>
        <w:rPr>
          <w:noProof/>
        </w:rPr>
        <w:t>403</w:t>
      </w:r>
      <w:r>
        <w:fldChar w:fldCharType="end"/>
      </w:r>
    </w:p>
    <w:p w:rsidR="005F78FC" w:rsidRDefault="00B42EF3">
      <w:pPr>
        <w:pStyle w:val="indexentry0"/>
      </w:pPr>
      <w:hyperlink w:anchor="section_9fcc6242217f4882b52a7907a0ba0aaa">
        <w:r>
          <w:rPr>
            <w:rStyle w:val="Hyperlink"/>
          </w:rPr>
          <w:t>array (Array)</w:t>
        </w:r>
      </w:hyperlink>
      <w:r>
        <w:t xml:space="preserve"> </w:t>
      </w:r>
      <w:r>
        <w:fldChar w:fldCharType="begin"/>
      </w:r>
      <w:r>
        <w:instrText>PAGEREF section_9fcc6242217f4882b52a7907a0ba0aaa</w:instrText>
      </w:r>
      <w:r>
        <w:fldChar w:fldCharType="separate"/>
      </w:r>
      <w:r>
        <w:rPr>
          <w:noProof/>
        </w:rPr>
        <w:t>613</w:t>
      </w:r>
      <w:r>
        <w:fldChar w:fldCharType="end"/>
      </w:r>
    </w:p>
    <w:p w:rsidR="005F78FC" w:rsidRDefault="00B42EF3">
      <w:pPr>
        <w:pStyle w:val="indexentry0"/>
      </w:pPr>
      <w:hyperlink w:anchor="section_b2400668ba0d40b38365416d843e5aa4">
        <w:r>
          <w:rPr>
            <w:rStyle w:val="Hyperlink"/>
          </w:rPr>
          <w:t>Array Formulas</w:t>
        </w:r>
      </w:hyperlink>
      <w:r>
        <w:t xml:space="preserve"> </w:t>
      </w:r>
      <w:r>
        <w:fldChar w:fldCharType="begin"/>
      </w:r>
      <w:r>
        <w:instrText>PAGEREF section_b2400668ba0d40b38365416d843e5aa4</w:instrText>
      </w:r>
      <w:r>
        <w:fldChar w:fldCharType="separate"/>
      </w:r>
      <w:r>
        <w:rPr>
          <w:noProof/>
        </w:rPr>
        <w:t>399</w:t>
      </w:r>
      <w:r>
        <w:fldChar w:fldCharType="end"/>
      </w:r>
    </w:p>
    <w:p w:rsidR="005F78FC" w:rsidRDefault="00B42EF3">
      <w:pPr>
        <w:pStyle w:val="indexentry0"/>
      </w:pPr>
      <w:hyperlink w:anchor="section_55c9ba7b44644f9a99cc7fbeda431238">
        <w:r>
          <w:rPr>
            <w:rStyle w:val="Hyperlink"/>
          </w:rPr>
          <w:t>ASIN</w:t>
        </w:r>
      </w:hyperlink>
      <w:r>
        <w:t xml:space="preserve"> </w:t>
      </w:r>
      <w:r>
        <w:fldChar w:fldCharType="begin"/>
      </w:r>
      <w:r>
        <w:instrText>PAGEREF section_55c9ba7b44644f9a99cc7fbeda431238</w:instrText>
      </w:r>
      <w:r>
        <w:fldChar w:fldCharType="separate"/>
      </w:r>
      <w:r>
        <w:rPr>
          <w:noProof/>
        </w:rPr>
        <w:t>403</w:t>
      </w:r>
      <w:r>
        <w:fldChar w:fldCharType="end"/>
      </w:r>
    </w:p>
    <w:p w:rsidR="005F78FC" w:rsidRDefault="00B42EF3">
      <w:pPr>
        <w:pStyle w:val="indexentry0"/>
      </w:pPr>
      <w:hyperlink w:anchor="section_d07bdd52dae64d1c829af210f455c857">
        <w:r>
          <w:rPr>
            <w:rStyle w:val="Hyperlink"/>
          </w:rPr>
          <w:t>ASINH</w:t>
        </w:r>
      </w:hyperlink>
      <w:r>
        <w:t xml:space="preserve"> </w:t>
      </w:r>
      <w:r>
        <w:fldChar w:fldCharType="begin"/>
      </w:r>
      <w:r>
        <w:instrText>PAGEREF section_d07bdd52dae64d1c829af210f455c857</w:instrText>
      </w:r>
      <w:r>
        <w:fldChar w:fldCharType="separate"/>
      </w:r>
      <w:r>
        <w:rPr>
          <w:noProof/>
        </w:rPr>
        <w:t>403</w:t>
      </w:r>
      <w:r>
        <w:fldChar w:fldCharType="end"/>
      </w:r>
    </w:p>
    <w:p w:rsidR="005F78FC" w:rsidRDefault="00B42EF3">
      <w:pPr>
        <w:pStyle w:val="indexentry0"/>
      </w:pPr>
      <w:hyperlink w:anchor="section_170ad2311e1048408355f52ca577c938">
        <w:r>
          <w:rPr>
            <w:rStyle w:val="Hyperlink"/>
          </w:rPr>
          <w:t>ATAN</w:t>
        </w:r>
      </w:hyperlink>
      <w:r>
        <w:t xml:space="preserve"> </w:t>
      </w:r>
      <w:r>
        <w:fldChar w:fldCharType="begin"/>
      </w:r>
      <w:r>
        <w:instrText>PAGEREF section_170ad2311e1048408355f52ca577c938</w:instrText>
      </w:r>
      <w:r>
        <w:fldChar w:fldCharType="separate"/>
      </w:r>
      <w:r>
        <w:rPr>
          <w:noProof/>
        </w:rPr>
        <w:t>403</w:t>
      </w:r>
      <w:r>
        <w:fldChar w:fldCharType="end"/>
      </w:r>
    </w:p>
    <w:p w:rsidR="005F78FC" w:rsidRDefault="00B42EF3">
      <w:pPr>
        <w:pStyle w:val="indexentry0"/>
      </w:pPr>
      <w:hyperlink w:anchor="section_ddf1af4005c3432881aa629658ddfbde">
        <w:r>
          <w:rPr>
            <w:rStyle w:val="Hyperlink"/>
          </w:rPr>
          <w:t>ATAN2</w:t>
        </w:r>
      </w:hyperlink>
      <w:r>
        <w:t xml:space="preserve"> </w:t>
      </w:r>
      <w:r>
        <w:fldChar w:fldCharType="begin"/>
      </w:r>
      <w:r>
        <w:instrText>PAGEREF section_ddf1af4005c3432881aa629658ddfbde</w:instrText>
      </w:r>
      <w:r>
        <w:fldChar w:fldCharType="separate"/>
      </w:r>
      <w:r>
        <w:rPr>
          <w:noProof/>
        </w:rPr>
        <w:t>403</w:t>
      </w:r>
      <w:r>
        <w:fldChar w:fldCharType="end"/>
      </w:r>
    </w:p>
    <w:p w:rsidR="005F78FC" w:rsidRDefault="00B42EF3">
      <w:pPr>
        <w:pStyle w:val="indexentry0"/>
      </w:pPr>
      <w:hyperlink w:anchor="section_55e01b00ed934498b4e5b0bc0abdf97d">
        <w:r>
          <w:rPr>
            <w:rStyle w:val="Hyperlink"/>
          </w:rPr>
          <w:t>attachedTemplate (Attached Document Template)</w:t>
        </w:r>
      </w:hyperlink>
      <w:r>
        <w:t xml:space="preserve"> </w:t>
      </w:r>
      <w:r>
        <w:fldChar w:fldCharType="begin"/>
      </w:r>
      <w:r>
        <w:instrText>PAGEREF section_55e01b00ed934498b4e5b0bc0abdf97d</w:instrText>
      </w:r>
      <w:r>
        <w:fldChar w:fldCharType="separate"/>
      </w:r>
      <w:r>
        <w:rPr>
          <w:noProof/>
        </w:rPr>
        <w:t>151</w:t>
      </w:r>
      <w:r>
        <w:fldChar w:fldCharType="end"/>
      </w:r>
    </w:p>
    <w:p w:rsidR="005F78FC" w:rsidRDefault="00B42EF3">
      <w:pPr>
        <w:pStyle w:val="indexentry0"/>
      </w:pPr>
      <w:hyperlink w:anchor="section_e006e9091e854c368d77cf9b67ea3ed4">
        <w:r>
          <w:rPr>
            <w:rStyle w:val="Hyperlink"/>
          </w:rPr>
          <w:t>attr (Custom XML Attribute)</w:t>
        </w:r>
      </w:hyperlink>
      <w:r>
        <w:t xml:space="preserve"> </w:t>
      </w:r>
      <w:r>
        <w:fldChar w:fldCharType="begin"/>
      </w:r>
      <w:r>
        <w:instrText>PAGEREF section_e006e9091e854c368d77cf9b67ea3ed4</w:instrText>
      </w:r>
      <w:r>
        <w:fldChar w:fldCharType="separate"/>
      </w:r>
      <w:r>
        <w:rPr>
          <w:noProof/>
        </w:rPr>
        <w:t>99</w:t>
      </w:r>
      <w:r>
        <w:fldChar w:fldCharType="end"/>
      </w:r>
    </w:p>
    <w:p w:rsidR="005F78FC" w:rsidRDefault="00B42EF3">
      <w:pPr>
        <w:pStyle w:val="indexentry0"/>
      </w:pPr>
      <w:hyperlink w:anchor="section_ea1b29f078d34ebdbc039dfcde093719">
        <w:r>
          <w:rPr>
            <w:rStyle w:val="Hyperlink"/>
          </w:rPr>
          <w:t>attr (Smart Tag Property)</w:t>
        </w:r>
      </w:hyperlink>
      <w:r>
        <w:t xml:space="preserve"> </w:t>
      </w:r>
      <w:r>
        <w:fldChar w:fldCharType="begin"/>
      </w:r>
      <w:r>
        <w:instrText>PAGEREF section_ea1b29f0</w:instrText>
      </w:r>
      <w:r>
        <w:instrText>78d34ebdbc039dfcde093719</w:instrText>
      </w:r>
      <w:r>
        <w:fldChar w:fldCharType="separate"/>
      </w:r>
      <w:r>
        <w:rPr>
          <w:noProof/>
        </w:rPr>
        <w:t>99</w:t>
      </w:r>
      <w:r>
        <w:fldChar w:fldCharType="end"/>
      </w:r>
    </w:p>
    <w:p w:rsidR="005F78FC" w:rsidRDefault="00B42EF3">
      <w:pPr>
        <w:pStyle w:val="indexentry0"/>
      </w:pPr>
      <w:hyperlink w:anchor="section_05a36e72bcdd46a6874e2eb1fa7573b4">
        <w:r>
          <w:rPr>
            <w:rStyle w:val="Hyperlink"/>
          </w:rPr>
          <w:t>attrName (Attribute Name)</w:t>
        </w:r>
      </w:hyperlink>
      <w:r>
        <w:t xml:space="preserve"> </w:t>
      </w:r>
      <w:r>
        <w:fldChar w:fldCharType="begin"/>
      </w:r>
      <w:r>
        <w:instrText>PAGEREF section_05a36e72bcdd46a6874e2eb1fa7573b4</w:instrText>
      </w:r>
      <w:r>
        <w:fldChar w:fldCharType="separate"/>
      </w:r>
      <w:r>
        <w:rPr>
          <w:noProof/>
        </w:rPr>
        <w:t>478</w:t>
      </w:r>
      <w:r>
        <w:fldChar w:fldCharType="end"/>
      </w:r>
    </w:p>
    <w:p w:rsidR="005F78FC" w:rsidRDefault="00B42EF3">
      <w:pPr>
        <w:pStyle w:val="indexentry0"/>
      </w:pPr>
      <w:hyperlink w:anchor="section_4a1209e295d54d5ba857218466d24576">
        <w:r>
          <w:rPr>
            <w:rStyle w:val="Hyperlink"/>
          </w:rPr>
          <w:t>audio (Audio)</w:t>
        </w:r>
      </w:hyperlink>
      <w:r>
        <w:t xml:space="preserve"> </w:t>
      </w:r>
      <w:r>
        <w:fldChar w:fldCharType="begin"/>
      </w:r>
      <w:r>
        <w:instrText>PAGEREF se</w:instrText>
      </w:r>
      <w:r>
        <w:instrText>ction_4a1209e295d54d5ba857218466d24576</w:instrText>
      </w:r>
      <w:r>
        <w:fldChar w:fldCharType="separate"/>
      </w:r>
      <w:r>
        <w:rPr>
          <w:noProof/>
        </w:rPr>
        <w:t>479</w:t>
      </w:r>
      <w:r>
        <w:fldChar w:fldCharType="end"/>
      </w:r>
    </w:p>
    <w:p w:rsidR="005F78FC" w:rsidRDefault="00B42EF3">
      <w:pPr>
        <w:pStyle w:val="indexentry0"/>
      </w:pPr>
      <w:hyperlink w:anchor="section_04a1b8020388451d8a1adc77e7b6e7fb">
        <w:r>
          <w:rPr>
            <w:rStyle w:val="Hyperlink"/>
          </w:rPr>
          <w:t>audioFile (Audio from File)</w:t>
        </w:r>
      </w:hyperlink>
      <w:r>
        <w:t xml:space="preserve"> </w:t>
      </w:r>
      <w:r>
        <w:fldChar w:fldCharType="begin"/>
      </w:r>
      <w:r>
        <w:instrText>PAGEREF section_04a1b8020388451d8a1adc77e7b6e7fb</w:instrText>
      </w:r>
      <w:r>
        <w:fldChar w:fldCharType="separate"/>
      </w:r>
      <w:r>
        <w:rPr>
          <w:noProof/>
        </w:rPr>
        <w:t>507</w:t>
      </w:r>
      <w:r>
        <w:fldChar w:fldCharType="end"/>
      </w:r>
    </w:p>
    <w:p w:rsidR="005F78FC" w:rsidRDefault="00B42EF3">
      <w:pPr>
        <w:pStyle w:val="indexentry0"/>
      </w:pPr>
      <w:hyperlink w:anchor="section_dc04613da39c452b8c1088e60dd06752">
        <w:r>
          <w:rPr>
            <w:rStyle w:val="Hyperlink"/>
          </w:rPr>
          <w:t>AUTHOR</w:t>
        </w:r>
      </w:hyperlink>
      <w:r>
        <w:t xml:space="preserve"> </w:t>
      </w:r>
      <w:r>
        <w:fldChar w:fldCharType="begin"/>
      </w:r>
      <w:r>
        <w:instrText>P</w:instrText>
      </w:r>
      <w:r>
        <w:instrText>AGEREF section_dc04613da39c452b8c1088e60dd06752</w:instrText>
      </w:r>
      <w:r>
        <w:fldChar w:fldCharType="separate"/>
      </w:r>
      <w:r>
        <w:rPr>
          <w:noProof/>
        </w:rPr>
        <w:t>188</w:t>
      </w:r>
      <w:r>
        <w:fldChar w:fldCharType="end"/>
      </w:r>
    </w:p>
    <w:p w:rsidR="005F78FC" w:rsidRDefault="00B42EF3">
      <w:pPr>
        <w:pStyle w:val="indexentry0"/>
      </w:pPr>
      <w:hyperlink w:anchor="section_ae3bd10a0ef44b559ee681b26f8229b0">
        <w:r>
          <w:rPr>
            <w:rStyle w:val="Hyperlink"/>
          </w:rPr>
          <w:t>author (Author)</w:t>
        </w:r>
      </w:hyperlink>
      <w:r>
        <w:t xml:space="preserve"> </w:t>
      </w:r>
      <w:r>
        <w:fldChar w:fldCharType="begin"/>
      </w:r>
      <w:r>
        <w:instrText>PAGEREF section_ae3bd10a0ef44b559ee681b26f8229b0</w:instrText>
      </w:r>
      <w:r>
        <w:fldChar w:fldCharType="separate"/>
      </w:r>
      <w:r>
        <w:rPr>
          <w:noProof/>
        </w:rPr>
        <w:t>298</w:t>
      </w:r>
      <w:r>
        <w:fldChar w:fldCharType="end"/>
      </w:r>
    </w:p>
    <w:p w:rsidR="005F78FC" w:rsidRDefault="00B42EF3">
      <w:pPr>
        <w:pStyle w:val="indexentry0"/>
      </w:pPr>
      <w:hyperlink w:anchor="section_d28cd33776744dc087ae1050611b4c38">
        <w:r>
          <w:rPr>
            <w:rStyle w:val="Hyperlink"/>
          </w:rPr>
          <w:t>Author (Contr</w:t>
        </w:r>
        <w:r>
          <w:rPr>
            <w:rStyle w:val="Hyperlink"/>
          </w:rPr>
          <w:t>ibutors List)</w:t>
        </w:r>
      </w:hyperlink>
      <w:r>
        <w:t xml:space="preserve"> </w:t>
      </w:r>
      <w:r>
        <w:fldChar w:fldCharType="begin"/>
      </w:r>
      <w:r>
        <w:instrText>PAGEREF section_d28cd33776744dc087ae1050611b4c38</w:instrText>
      </w:r>
      <w:r>
        <w:fldChar w:fldCharType="separate"/>
      </w:r>
      <w:r>
        <w:rPr>
          <w:noProof/>
        </w:rPr>
        <w:t>615</w:t>
      </w:r>
      <w:r>
        <w:fldChar w:fldCharType="end"/>
      </w:r>
    </w:p>
    <w:p w:rsidR="005F78FC" w:rsidRDefault="00B42EF3">
      <w:pPr>
        <w:pStyle w:val="indexentry0"/>
      </w:pPr>
      <w:hyperlink w:anchor="section_362f7de5917646c1aff7c3e44bc9566b">
        <w:r>
          <w:rPr>
            <w:rStyle w:val="Hyperlink"/>
          </w:rPr>
          <w:t>autoCaption (Single Automatic Captioning Setting)</w:t>
        </w:r>
      </w:hyperlink>
      <w:r>
        <w:t xml:space="preserve"> </w:t>
      </w:r>
      <w:r>
        <w:fldChar w:fldCharType="begin"/>
      </w:r>
      <w:r>
        <w:instrText>PAGEREF section_362f7de5917646c1aff7c3e44bc9566b</w:instrText>
      </w:r>
      <w:r>
        <w:fldChar w:fldCharType="separate"/>
      </w:r>
      <w:r>
        <w:rPr>
          <w:noProof/>
        </w:rPr>
        <w:t>151</w:t>
      </w:r>
      <w:r>
        <w:fldChar w:fldCharType="end"/>
      </w:r>
    </w:p>
    <w:p w:rsidR="005F78FC" w:rsidRDefault="00B42EF3">
      <w:pPr>
        <w:pStyle w:val="indexentry0"/>
      </w:pPr>
      <w:hyperlink w:anchor="section_908fbb07b5d74019b3ca50db0007af8f">
        <w:r>
          <w:rPr>
            <w:rStyle w:val="Hyperlink"/>
          </w:rPr>
          <w:t>autoCaptions (Automatic Captioning Settings)</w:t>
        </w:r>
      </w:hyperlink>
      <w:r>
        <w:t xml:space="preserve"> </w:t>
      </w:r>
      <w:r>
        <w:fldChar w:fldCharType="begin"/>
      </w:r>
      <w:r>
        <w:instrText>PAGEREF section_908fbb07b5d74019b3ca50db0007af8f</w:instrText>
      </w:r>
      <w:r>
        <w:fldChar w:fldCharType="separate"/>
      </w:r>
      <w:r>
        <w:rPr>
          <w:noProof/>
        </w:rPr>
        <w:t>151</w:t>
      </w:r>
      <w:r>
        <w:fldChar w:fldCharType="end"/>
      </w:r>
    </w:p>
    <w:p w:rsidR="005F78FC" w:rsidRDefault="00B42EF3">
      <w:pPr>
        <w:pStyle w:val="indexentry0"/>
      </w:pPr>
      <w:hyperlink w:anchor="section_63d742473a6643a9a08a3e59be0fdb06">
        <w:r>
          <w:rPr>
            <w:rStyle w:val="Hyperlink"/>
          </w:rPr>
          <w:t>AutoFill (AutoFill)</w:t>
        </w:r>
      </w:hyperlink>
      <w:r>
        <w:t xml:space="preserve"> </w:t>
      </w:r>
      <w:r>
        <w:fldChar w:fldCharType="begin"/>
      </w:r>
      <w:r>
        <w:instrText>PAGEREF section_63d742473a6643a9a08a3e59be0fdb06</w:instrText>
      </w:r>
      <w:r>
        <w:fldChar w:fldCharType="separate"/>
      </w:r>
      <w:r>
        <w:rPr>
          <w:noProof/>
        </w:rPr>
        <w:t>679</w:t>
      </w:r>
      <w:r>
        <w:fldChar w:fldCharType="end"/>
      </w:r>
    </w:p>
    <w:p w:rsidR="005F78FC" w:rsidRDefault="00B42EF3">
      <w:pPr>
        <w:pStyle w:val="indexentry0"/>
      </w:pPr>
      <w:hyperlink w:anchor="section_bea4050c46424a089c462b323e796a19">
        <w:r>
          <w:rPr>
            <w:rStyle w:val="Hyperlink"/>
          </w:rPr>
          <w:t>autoFormatOverride (Allow Automatic Formatting to Override Formatting Protection Settings)</w:t>
        </w:r>
      </w:hyperlink>
      <w:r>
        <w:t xml:space="preserve"> </w:t>
      </w:r>
      <w:r>
        <w:fldChar w:fldCharType="begin"/>
      </w:r>
      <w:r>
        <w:instrText>PAGEREF section_bea4050c46424a089c462b323e796a19</w:instrText>
      </w:r>
      <w:r>
        <w:fldChar w:fldCharType="separate"/>
      </w:r>
      <w:r>
        <w:rPr>
          <w:noProof/>
        </w:rPr>
        <w:t>151</w:t>
      </w:r>
      <w:r>
        <w:fldChar w:fldCharType="end"/>
      </w:r>
    </w:p>
    <w:p w:rsidR="005F78FC" w:rsidRDefault="00B42EF3">
      <w:pPr>
        <w:pStyle w:val="indexentry0"/>
      </w:pPr>
      <w:hyperlink w:anchor="section_fb34f55c3cd4489eab45e117e443347c">
        <w:r>
          <w:rPr>
            <w:rStyle w:val="Hyperlink"/>
          </w:rPr>
          <w:t>AutoLine (AutoLine)</w:t>
        </w:r>
      </w:hyperlink>
      <w:r>
        <w:t xml:space="preserve"> </w:t>
      </w:r>
      <w:r>
        <w:fldChar w:fldCharType="begin"/>
      </w:r>
      <w:r>
        <w:instrText>PAGEREF section_fb34f55c3cd4489eab45e117e443347c</w:instrText>
      </w:r>
      <w:r>
        <w:fldChar w:fldCharType="separate"/>
      </w:r>
      <w:r>
        <w:rPr>
          <w:noProof/>
        </w:rPr>
        <w:t>679</w:t>
      </w:r>
      <w:r>
        <w:fldChar w:fldCharType="end"/>
      </w:r>
    </w:p>
    <w:p w:rsidR="005F78FC" w:rsidRDefault="00B42EF3">
      <w:pPr>
        <w:pStyle w:val="indexentry0"/>
      </w:pPr>
      <w:hyperlink w:anchor="section_ab0c2ca5b61542639ea03377b5329517">
        <w:r>
          <w:rPr>
            <w:rStyle w:val="Hyperlink"/>
          </w:rPr>
          <w:t>AUTONUM</w:t>
        </w:r>
      </w:hyperlink>
      <w:r>
        <w:t xml:space="preserve"> </w:t>
      </w:r>
      <w:r>
        <w:fldChar w:fldCharType="begin"/>
      </w:r>
      <w:r>
        <w:instrText>PAGEREF section_ab0c2ca5b61542639ea03377b5329517</w:instrText>
      </w:r>
      <w:r>
        <w:fldChar w:fldCharType="separate"/>
      </w:r>
      <w:r>
        <w:rPr>
          <w:noProof/>
        </w:rPr>
        <w:t>632</w:t>
      </w:r>
      <w:r>
        <w:fldChar w:fldCharType="end"/>
      </w:r>
    </w:p>
    <w:p w:rsidR="005F78FC" w:rsidRDefault="00B42EF3">
      <w:pPr>
        <w:pStyle w:val="indexentry0"/>
      </w:pPr>
      <w:hyperlink w:anchor="section_35f9f6146f2f473e8f68b51ac0246a53">
        <w:r>
          <w:rPr>
            <w:rStyle w:val="Hyperlink"/>
          </w:rPr>
          <w:t>AUTONUMLGL</w:t>
        </w:r>
      </w:hyperlink>
      <w:r>
        <w:t xml:space="preserve"> </w:t>
      </w:r>
      <w:r>
        <w:fldChar w:fldCharType="begin"/>
      </w:r>
      <w:r>
        <w:instrText>PAGEREF section_35f9f6146f2f473e8f68b51ac0246a53</w:instrText>
      </w:r>
      <w:r>
        <w:fldChar w:fldCharType="separate"/>
      </w:r>
      <w:r>
        <w:rPr>
          <w:noProof/>
        </w:rPr>
        <w:t>632</w:t>
      </w:r>
      <w:r>
        <w:fldChar w:fldCharType="end"/>
      </w:r>
    </w:p>
    <w:p w:rsidR="005F78FC" w:rsidRDefault="00B42EF3">
      <w:pPr>
        <w:pStyle w:val="indexentry0"/>
      </w:pPr>
      <w:hyperlink w:anchor="section_092c97b32d3444398583365f6a1bd7bf">
        <w:r>
          <w:rPr>
            <w:rStyle w:val="Hyperlink"/>
          </w:rPr>
          <w:t>AUTONUMOUT</w:t>
        </w:r>
      </w:hyperlink>
      <w:r>
        <w:t xml:space="preserve"> </w:t>
      </w:r>
      <w:r>
        <w:fldChar w:fldCharType="begin"/>
      </w:r>
      <w:r>
        <w:instrText>PAGEREF section_092c97b32d3444398583365f6a1bd7bf</w:instrText>
      </w:r>
      <w:r>
        <w:fldChar w:fldCharType="separate"/>
      </w:r>
      <w:r>
        <w:rPr>
          <w:noProof/>
        </w:rPr>
        <w:t>632</w:t>
      </w:r>
      <w:r>
        <w:fldChar w:fldCharType="end"/>
      </w:r>
    </w:p>
    <w:p w:rsidR="005F78FC" w:rsidRDefault="00B42EF3">
      <w:pPr>
        <w:pStyle w:val="indexentry0"/>
      </w:pPr>
      <w:hyperlink w:anchor="section_97f8900f7cbd47c5878b7b80c8599cb3">
        <w:r>
          <w:rPr>
            <w:rStyle w:val="Hyperlink"/>
          </w:rPr>
          <w:t>autoRedefine (Automatically Merge User Formatting Into Style Definition)</w:t>
        </w:r>
      </w:hyperlink>
      <w:r>
        <w:t xml:space="preserve"> </w:t>
      </w:r>
      <w:r>
        <w:fldChar w:fldCharType="begin"/>
      </w:r>
      <w:r>
        <w:instrText>PAGEREF section_97f8900f7cbd47c5878b7b80c8599cb3</w:instrText>
      </w:r>
      <w:r>
        <w:fldChar w:fldCharType="separate"/>
      </w:r>
      <w:r>
        <w:rPr>
          <w:noProof/>
        </w:rPr>
        <w:t>109</w:t>
      </w:r>
      <w:r>
        <w:fldChar w:fldCharType="end"/>
      </w:r>
    </w:p>
    <w:p w:rsidR="005F78FC" w:rsidRDefault="00B42EF3">
      <w:pPr>
        <w:pStyle w:val="indexentry0"/>
      </w:pPr>
      <w:hyperlink w:anchor="section_cb3929d36f594f6198a7bdf1698a2001">
        <w:r>
          <w:rPr>
            <w:rStyle w:val="Hyperlink"/>
          </w:rPr>
          <w:t>AutoScale (Font AutoScale)</w:t>
        </w:r>
      </w:hyperlink>
      <w:r>
        <w:t xml:space="preserve"> </w:t>
      </w:r>
      <w:r>
        <w:fldChar w:fldCharType="begin"/>
      </w:r>
      <w:r>
        <w:instrText>PAGEREF section_cb3929d36f594f6198a7bdf1698a2001</w:instrText>
      </w:r>
      <w:r>
        <w:fldChar w:fldCharType="separate"/>
      </w:r>
      <w:r>
        <w:rPr>
          <w:noProof/>
        </w:rPr>
        <w:t>679</w:t>
      </w:r>
      <w:r>
        <w:fldChar w:fldCharType="end"/>
      </w:r>
    </w:p>
    <w:p w:rsidR="005F78FC" w:rsidRDefault="00B42EF3">
      <w:pPr>
        <w:pStyle w:val="indexentry0"/>
      </w:pPr>
      <w:hyperlink w:anchor="section_b5a44a1cafab4a5dbc8d46ab2edc18fc">
        <w:r>
          <w:rPr>
            <w:rStyle w:val="Hyperlink"/>
          </w:rPr>
          <w:t>autoSortScope (AutoSort Scope)</w:t>
        </w:r>
      </w:hyperlink>
      <w:r>
        <w:t xml:space="preserve"> </w:t>
      </w:r>
      <w:r>
        <w:fldChar w:fldCharType="begin"/>
      </w:r>
      <w:r>
        <w:instrText>PAGEREF section_b5a44a1cafab4a5dbc8d46ab2edc18fc</w:instrText>
      </w:r>
      <w:r>
        <w:fldChar w:fldCharType="separate"/>
      </w:r>
      <w:r>
        <w:rPr>
          <w:noProof/>
        </w:rPr>
        <w:t>329</w:t>
      </w:r>
      <w:r>
        <w:fldChar w:fldCharType="end"/>
      </w:r>
    </w:p>
    <w:p w:rsidR="005F78FC" w:rsidRDefault="00B42EF3">
      <w:pPr>
        <w:pStyle w:val="indexentry0"/>
      </w:pPr>
      <w:hyperlink w:anchor="section_94796dcb15124541b4d09514d4070913">
        <w:r>
          <w:rPr>
            <w:rStyle w:val="Hyperlink"/>
          </w:rPr>
          <w:t>autoTitleDeleted (Auto Title Is Deleted)</w:t>
        </w:r>
      </w:hyperlink>
      <w:r>
        <w:t xml:space="preserve"> </w:t>
      </w:r>
      <w:r>
        <w:fldChar w:fldCharType="begin"/>
      </w:r>
      <w:r>
        <w:instrText>PAGEREF section_94796dcb15124541b4d09514d4070913</w:instrText>
      </w:r>
      <w:r>
        <w:fldChar w:fldCharType="separate"/>
      </w:r>
      <w:r>
        <w:rPr>
          <w:noProof/>
        </w:rPr>
        <w:t>546</w:t>
      </w:r>
      <w:r>
        <w:fldChar w:fldCharType="end"/>
      </w:r>
    </w:p>
    <w:p w:rsidR="005F78FC" w:rsidRDefault="00B42EF3">
      <w:pPr>
        <w:pStyle w:val="indexentry0"/>
      </w:pPr>
      <w:hyperlink w:anchor="section_87e066baf82f46a8b339df874e598d8b">
        <w:r>
          <w:rPr>
            <w:rStyle w:val="Hyperlink"/>
          </w:rPr>
          <w:t>AVEDEV</w:t>
        </w:r>
      </w:hyperlink>
      <w:r>
        <w:t xml:space="preserve"> </w:t>
      </w:r>
      <w:r>
        <w:fldChar w:fldCharType="begin"/>
      </w:r>
      <w:r>
        <w:instrText>PAGEREF section_87e066baf82f46a8b339df874e598d8b</w:instrText>
      </w:r>
      <w:r>
        <w:fldChar w:fldCharType="separate"/>
      </w:r>
      <w:r>
        <w:rPr>
          <w:noProof/>
        </w:rPr>
        <w:t>404</w:t>
      </w:r>
      <w:r>
        <w:fldChar w:fldCharType="end"/>
      </w:r>
    </w:p>
    <w:p w:rsidR="005F78FC" w:rsidRDefault="00B42EF3">
      <w:pPr>
        <w:pStyle w:val="indexentry0"/>
      </w:pPr>
      <w:hyperlink w:anchor="section_5a181518d30945439a4ab4b2742e7e3e">
        <w:r>
          <w:rPr>
            <w:rStyle w:val="Hyperlink"/>
          </w:rPr>
          <w:t>AVERAGEA</w:t>
        </w:r>
      </w:hyperlink>
      <w:r>
        <w:t xml:space="preserve"> </w:t>
      </w:r>
      <w:r>
        <w:fldChar w:fldCharType="begin"/>
      </w:r>
      <w:r>
        <w:instrText>PAGEREF section_5a181518d30945439a4ab4b2742e7e3e</w:instrText>
      </w:r>
      <w:r>
        <w:fldChar w:fldCharType="separate"/>
      </w:r>
      <w:r>
        <w:rPr>
          <w:noProof/>
        </w:rPr>
        <w:t>404</w:t>
      </w:r>
      <w:r>
        <w:fldChar w:fldCharType="end"/>
      </w:r>
    </w:p>
    <w:p w:rsidR="005F78FC" w:rsidRDefault="00B42EF3">
      <w:pPr>
        <w:pStyle w:val="indexentry0"/>
      </w:pPr>
      <w:hyperlink w:anchor="section_f1017281c95349629dde313dfc64d4c9">
        <w:r>
          <w:rPr>
            <w:rStyle w:val="Hyperlink"/>
          </w:rPr>
          <w:t>AVERAGEIF</w:t>
        </w:r>
      </w:hyperlink>
      <w:r>
        <w:t xml:space="preserve"> </w:t>
      </w:r>
      <w:r>
        <w:fldChar w:fldCharType="begin"/>
      </w:r>
      <w:r>
        <w:instrText>PAGEREF section_f1017281c95349629dde313dfc64d4c9</w:instrText>
      </w:r>
      <w:r>
        <w:fldChar w:fldCharType="separate"/>
      </w:r>
      <w:r>
        <w:rPr>
          <w:noProof/>
        </w:rPr>
        <w:t>404</w:t>
      </w:r>
      <w:r>
        <w:fldChar w:fldCharType="end"/>
      </w:r>
    </w:p>
    <w:p w:rsidR="005F78FC" w:rsidRDefault="00B42EF3">
      <w:pPr>
        <w:pStyle w:val="indexentry0"/>
      </w:pPr>
      <w:hyperlink w:anchor="section_fa2b6805c3cd4386866483d1635cd18e">
        <w:r>
          <w:rPr>
            <w:rStyle w:val="Hyperlink"/>
          </w:rPr>
          <w:t>AVERAGEIFS</w:t>
        </w:r>
      </w:hyperlink>
      <w:r>
        <w:t xml:space="preserve"> </w:t>
      </w:r>
      <w:r>
        <w:fldChar w:fldCharType="begin"/>
      </w:r>
      <w:r>
        <w:instrText>PAGEREF section_fa2b6805c3cd4386866483d1635cd18e</w:instrText>
      </w:r>
      <w:r>
        <w:fldChar w:fldCharType="separate"/>
      </w:r>
      <w:r>
        <w:rPr>
          <w:noProof/>
        </w:rPr>
        <w:t>404</w:t>
      </w:r>
      <w:r>
        <w:fldChar w:fldCharType="end"/>
      </w:r>
    </w:p>
    <w:p w:rsidR="005F78FC" w:rsidRDefault="00B42EF3">
      <w:pPr>
        <w:pStyle w:val="indexentry0"/>
      </w:pPr>
      <w:hyperlink w:anchor="section_089f849ffcd64fa0a28135aa6a432a16">
        <w:r>
          <w:rPr>
            <w:rStyle w:val="Hyperlink"/>
          </w:rPr>
          <w:t>axId (Axis ID)</w:t>
        </w:r>
      </w:hyperlink>
      <w:r>
        <w:t xml:space="preserve"> </w:t>
      </w:r>
      <w:r>
        <w:fldChar w:fldCharType="begin"/>
      </w:r>
      <w:r>
        <w:instrText>PAGEREF section_089f849ffcd64fa0a28135aa6a432a16</w:instrText>
      </w:r>
      <w:r>
        <w:fldChar w:fldCharType="separate"/>
      </w:r>
      <w:r>
        <w:rPr>
          <w:noProof/>
        </w:rPr>
        <w:t>547</w:t>
      </w:r>
      <w:r>
        <w:fldChar w:fldCharType="end"/>
      </w:r>
    </w:p>
    <w:p w:rsidR="005F78FC" w:rsidRDefault="00B42EF3">
      <w:pPr>
        <w:pStyle w:val="indexentry0"/>
      </w:pPr>
      <w:hyperlink w:anchor="section_5989881ed2de44f387928dbded2e2b00">
        <w:r>
          <w:rPr>
            <w:rStyle w:val="Hyperlink"/>
          </w:rPr>
          <w:t>axPos (Axis Position)</w:t>
        </w:r>
      </w:hyperlink>
      <w:r>
        <w:t xml:space="preserve"> </w:t>
      </w:r>
      <w:r>
        <w:fldChar w:fldCharType="begin"/>
      </w:r>
      <w:r>
        <w:instrText>PAGEREF section_5989881ed2de44f387928dbded2e2b00</w:instrText>
      </w:r>
      <w:r>
        <w:fldChar w:fldCharType="separate"/>
      </w:r>
      <w:r>
        <w:rPr>
          <w:noProof/>
        </w:rPr>
        <w:t>547</w:t>
      </w:r>
      <w:r>
        <w:fldChar w:fldCharType="end"/>
      </w:r>
    </w:p>
    <w:p w:rsidR="005F78FC" w:rsidRDefault="005F78FC">
      <w:pPr>
        <w:spacing w:before="0" w:after="0"/>
        <w:rPr>
          <w:sz w:val="16"/>
        </w:rPr>
      </w:pPr>
    </w:p>
    <w:p w:rsidR="005F78FC" w:rsidRDefault="00B42EF3">
      <w:pPr>
        <w:pStyle w:val="indexheader"/>
      </w:pPr>
      <w:r>
        <w:t>B</w:t>
      </w:r>
    </w:p>
    <w:p w:rsidR="005F78FC" w:rsidRDefault="005F78FC">
      <w:pPr>
        <w:spacing w:before="0" w:after="0"/>
        <w:rPr>
          <w:sz w:val="16"/>
        </w:rPr>
      </w:pPr>
    </w:p>
    <w:p w:rsidR="005F78FC" w:rsidRDefault="00B42EF3">
      <w:pPr>
        <w:pStyle w:val="indexentry0"/>
      </w:pPr>
      <w:hyperlink w:anchor="section_03b9695ffd69435d90e6b1069aadf291">
        <w:r>
          <w:rPr>
            <w:rStyle w:val="Hyperlink"/>
          </w:rPr>
          <w:t>b (Bold)</w:t>
        </w:r>
      </w:hyperlink>
      <w:r>
        <w:t xml:space="preserve"> </w:t>
      </w:r>
      <w:r>
        <w:fldChar w:fldCharType="begin"/>
      </w:r>
      <w:r>
        <w:instrText>PAGEREF section_03b9695ffd69435d90e6b1069aadf291</w:instrText>
      </w:r>
      <w:r>
        <w:fldChar w:fldCharType="separate"/>
      </w:r>
      <w:r>
        <w:rPr>
          <w:noProof/>
        </w:rPr>
        <w:t>71</w:t>
      </w:r>
      <w:r>
        <w:fldChar w:fldCharType="end"/>
      </w:r>
    </w:p>
    <w:p w:rsidR="005F78FC" w:rsidRDefault="00B42EF3">
      <w:pPr>
        <w:pStyle w:val="indexentry0"/>
      </w:pPr>
      <w:hyperlink w:anchor="section_514d639a764c4e05bdc894b684557d40">
        <w:r>
          <w:rPr>
            <w:rStyle w:val="Hyperlink"/>
          </w:rPr>
          <w:t>b (Boolean)</w:t>
        </w:r>
      </w:hyperlink>
      <w:r>
        <w:t xml:space="preserve"> </w:t>
      </w:r>
      <w:r>
        <w:fldChar w:fldCharType="begin"/>
      </w:r>
      <w:r>
        <w:instrText>PAGEREF section_514d639a764c4e05bdc894b684557d40</w:instrText>
      </w:r>
      <w:r>
        <w:fldChar w:fldCharType="separate"/>
      </w:r>
      <w:r>
        <w:rPr>
          <w:noProof/>
        </w:rPr>
        <w:t>329</w:t>
      </w:r>
      <w:r>
        <w:fldChar w:fldCharType="end"/>
      </w:r>
    </w:p>
    <w:p w:rsidR="005F78FC" w:rsidRDefault="00B42EF3">
      <w:pPr>
        <w:pStyle w:val="indexentry0"/>
      </w:pPr>
      <w:hyperlink w:anchor="section_b46805cae0154353ae88e595d03e6249">
        <w:r>
          <w:rPr>
            <w:rStyle w:val="Hyperlink"/>
          </w:rPr>
          <w:t>backdrop (Backdrop Plane)</w:t>
        </w:r>
      </w:hyperlink>
      <w:r>
        <w:t xml:space="preserve"> </w:t>
      </w:r>
      <w:r>
        <w:fldChar w:fldCharType="begin"/>
      </w:r>
      <w:r>
        <w:instrText>PAGEREF section_b46805cae0154353ae88e5</w:instrText>
      </w:r>
      <w:r>
        <w:instrText>95d03e6249</w:instrText>
      </w:r>
      <w:r>
        <w:fldChar w:fldCharType="separate"/>
      </w:r>
      <w:r>
        <w:rPr>
          <w:noProof/>
        </w:rPr>
        <w:t>510</w:t>
      </w:r>
      <w:r>
        <w:fldChar w:fldCharType="end"/>
      </w:r>
    </w:p>
    <w:p w:rsidR="005F78FC" w:rsidRDefault="00B42EF3">
      <w:pPr>
        <w:pStyle w:val="indexentry0"/>
      </w:pPr>
      <w:r>
        <w:t>background (Document Background) (</w:t>
      </w:r>
      <w:hyperlink w:anchor="section_1e504bbc5f604aa1a4c0f8f3a925e6f7">
        <w:r>
          <w:rPr>
            <w:rStyle w:val="Hyperlink"/>
          </w:rPr>
          <w:t>section 2.1.35</w:t>
        </w:r>
      </w:hyperlink>
      <w:r>
        <w:t xml:space="preserve"> </w:t>
      </w:r>
      <w:r>
        <w:fldChar w:fldCharType="begin"/>
      </w:r>
      <w:r>
        <w:instrText>PAGEREF section_1e504bbc5f604aa1a4c0f8f3a925e6f7</w:instrText>
      </w:r>
      <w:r>
        <w:fldChar w:fldCharType="separate"/>
      </w:r>
      <w:r>
        <w:rPr>
          <w:noProof/>
        </w:rPr>
        <w:t>65</w:t>
      </w:r>
      <w:r>
        <w:fldChar w:fldCharType="end"/>
      </w:r>
      <w:r>
        <w:t xml:space="preserve">, </w:t>
      </w:r>
      <w:hyperlink w:anchor="section_96eb7103c6714831928122e64798c2e5">
        <w:r>
          <w:rPr>
            <w:rStyle w:val="Hyperlink"/>
          </w:rPr>
          <w:t>section 2.1.1786</w:t>
        </w:r>
      </w:hyperlink>
      <w:r>
        <w:t xml:space="preserve"> </w:t>
      </w:r>
      <w:r>
        <w:fldChar w:fldCharType="begin"/>
      </w:r>
      <w:r>
        <w:instrText>PAGEREF section_96eb7103c6714831928122e64798c2e5</w:instrText>
      </w:r>
      <w:r>
        <w:fldChar w:fldCharType="separate"/>
      </w:r>
      <w:r>
        <w:rPr>
          <w:noProof/>
        </w:rPr>
        <w:t>643</w:t>
      </w:r>
      <w:r>
        <w:fldChar w:fldCharType="end"/>
      </w:r>
      <w:r>
        <w:t>)</w:t>
      </w:r>
    </w:p>
    <w:p w:rsidR="005F78FC" w:rsidRDefault="00B42EF3">
      <w:pPr>
        <w:pStyle w:val="indexentry0"/>
      </w:pPr>
      <w:hyperlink w:anchor="section_51f8d9b9d15b478a91c5e8b09907af84">
        <w:r>
          <w:rPr>
            <w:rStyle w:val="Hyperlink"/>
          </w:rPr>
          <w:t>backWall (Back Wall)</w:t>
        </w:r>
      </w:hyperlink>
      <w:r>
        <w:t xml:space="preserve"> </w:t>
      </w:r>
      <w:r>
        <w:fldChar w:fldCharType="begin"/>
      </w:r>
      <w:r>
        <w:instrText>PAGEREF section_51f8d9b9d15b478a91c5e8b09907af84</w:instrText>
      </w:r>
      <w:r>
        <w:fldChar w:fldCharType="separate"/>
      </w:r>
      <w:r>
        <w:rPr>
          <w:noProof/>
        </w:rPr>
        <w:t>547</w:t>
      </w:r>
      <w:r>
        <w:fldChar w:fldCharType="end"/>
      </w:r>
    </w:p>
    <w:p w:rsidR="005F78FC" w:rsidRDefault="00B42EF3">
      <w:pPr>
        <w:pStyle w:val="indexentry0"/>
      </w:pPr>
      <w:hyperlink w:anchor="section_69fafe694f3e42d888d53955a6e9be2e">
        <w:r>
          <w:rPr>
            <w:rStyle w:val="Hyperlink"/>
          </w:rPr>
          <w:t>bac</w:t>
        </w:r>
        <w:r>
          <w:rPr>
            <w:rStyle w:val="Hyperlink"/>
          </w:rPr>
          <w:t>kward (Backward)</w:t>
        </w:r>
      </w:hyperlink>
      <w:r>
        <w:t xml:space="preserve"> </w:t>
      </w:r>
      <w:r>
        <w:fldChar w:fldCharType="begin"/>
      </w:r>
      <w:r>
        <w:instrText>PAGEREF section_69fafe694f3e42d888d53955a6e9be2e</w:instrText>
      </w:r>
      <w:r>
        <w:fldChar w:fldCharType="separate"/>
      </w:r>
      <w:r>
        <w:rPr>
          <w:noProof/>
        </w:rPr>
        <w:t>547</w:t>
      </w:r>
      <w:r>
        <w:fldChar w:fldCharType="end"/>
      </w:r>
    </w:p>
    <w:p w:rsidR="005F78FC" w:rsidRDefault="00B42EF3">
      <w:pPr>
        <w:pStyle w:val="indexentry0"/>
      </w:pPr>
      <w:hyperlink w:anchor="section_0d2ec861539b4f569674d3fe690db170">
        <w:r>
          <w:rPr>
            <w:rStyle w:val="Hyperlink"/>
          </w:rPr>
          <w:t>band1V (Band 1 Vertical)</w:t>
        </w:r>
      </w:hyperlink>
      <w:r>
        <w:t xml:space="preserve"> </w:t>
      </w:r>
      <w:r>
        <w:fldChar w:fldCharType="begin"/>
      </w:r>
      <w:r>
        <w:instrText>PAGEREF section_0d2ec861539b4f569674d3fe690db170</w:instrText>
      </w:r>
      <w:r>
        <w:fldChar w:fldCharType="separate"/>
      </w:r>
      <w:r>
        <w:rPr>
          <w:noProof/>
        </w:rPr>
        <w:t>509</w:t>
      </w:r>
      <w:r>
        <w:fldChar w:fldCharType="end"/>
      </w:r>
    </w:p>
    <w:p w:rsidR="005F78FC" w:rsidRDefault="00B42EF3">
      <w:pPr>
        <w:pStyle w:val="indexentry0"/>
      </w:pPr>
      <w:hyperlink w:anchor="section_4e29decef19447f18182fe86ecd01c53">
        <w:r>
          <w:rPr>
            <w:rStyle w:val="Hyperlink"/>
          </w:rPr>
          <w:t>band2V (Band 2 Vertical)</w:t>
        </w:r>
      </w:hyperlink>
      <w:r>
        <w:t xml:space="preserve"> </w:t>
      </w:r>
      <w:r>
        <w:fldChar w:fldCharType="begin"/>
      </w:r>
      <w:r>
        <w:instrText>PAGEREF section_4e29decef19447f18182fe86ecd01c53</w:instrText>
      </w:r>
      <w:r>
        <w:fldChar w:fldCharType="separate"/>
      </w:r>
      <w:r>
        <w:rPr>
          <w:noProof/>
        </w:rPr>
        <w:t>509</w:t>
      </w:r>
      <w:r>
        <w:fldChar w:fldCharType="end"/>
      </w:r>
    </w:p>
    <w:p w:rsidR="005F78FC" w:rsidRDefault="00B42EF3">
      <w:pPr>
        <w:pStyle w:val="indexentry0"/>
      </w:pPr>
      <w:hyperlink w:anchor="section_7bcd4b6150c64a1a88cf5a29bdeb03cc">
        <w:r>
          <w:rPr>
            <w:rStyle w:val="Hyperlink"/>
          </w:rPr>
          <w:t>bandFmts (Band Formats)</w:t>
        </w:r>
      </w:hyperlink>
      <w:r>
        <w:t xml:space="preserve"> </w:t>
      </w:r>
      <w:r>
        <w:fldChar w:fldCharType="begin"/>
      </w:r>
      <w:r>
        <w:instrText>PAGEREF section_7bcd4b6150c64a1a88cf5a29bdeb03cc</w:instrText>
      </w:r>
      <w:r>
        <w:fldChar w:fldCharType="separate"/>
      </w:r>
      <w:r>
        <w:rPr>
          <w:noProof/>
        </w:rPr>
        <w:t>547</w:t>
      </w:r>
      <w:r>
        <w:fldChar w:fldCharType="end"/>
      </w:r>
    </w:p>
    <w:p w:rsidR="005F78FC" w:rsidRDefault="00B42EF3">
      <w:pPr>
        <w:pStyle w:val="indexentry0"/>
      </w:pPr>
      <w:hyperlink w:anchor="section_2d093a56814f4f548b5d6551356e7636">
        <w:r>
          <w:rPr>
            <w:rStyle w:val="Hyperlink"/>
          </w:rPr>
          <w:t>bar (Bar)</w:t>
        </w:r>
      </w:hyperlink>
      <w:r>
        <w:t xml:space="preserve"> </w:t>
      </w:r>
      <w:r>
        <w:fldChar w:fldCharType="begin"/>
      </w:r>
      <w:r>
        <w:instrText>PAGEREF section_2d093a56814f4f548b5d6551356e7636</w:instrText>
      </w:r>
      <w:r>
        <w:fldChar w:fldCharType="separate"/>
      </w:r>
      <w:r>
        <w:rPr>
          <w:noProof/>
        </w:rPr>
        <w:t>597</w:t>
      </w:r>
      <w:r>
        <w:fldChar w:fldCharType="end"/>
      </w:r>
    </w:p>
    <w:p w:rsidR="005F78FC" w:rsidRDefault="00B42EF3">
      <w:pPr>
        <w:pStyle w:val="indexentry0"/>
      </w:pPr>
      <w:hyperlink w:anchor="section_c2a35f2312704ca699140fa440d56fdf">
        <w:r>
          <w:rPr>
            <w:rStyle w:val="Hyperlink"/>
          </w:rPr>
          <w:t>bar (Paragraph Border Between Facing Pages)</w:t>
        </w:r>
      </w:hyperlink>
      <w:r>
        <w:t xml:space="preserve"> </w:t>
      </w:r>
      <w:r>
        <w:fldChar w:fldCharType="begin"/>
      </w:r>
      <w:r>
        <w:instrText>PAGEREF section_c2a35f2312704ca699140fa440d56f</w:instrText>
      </w:r>
      <w:r>
        <w:instrText>df</w:instrText>
      </w:r>
      <w:r>
        <w:fldChar w:fldCharType="separate"/>
      </w:r>
      <w:r>
        <w:rPr>
          <w:noProof/>
        </w:rPr>
        <w:t>65</w:t>
      </w:r>
      <w:r>
        <w:fldChar w:fldCharType="end"/>
      </w:r>
    </w:p>
    <w:p w:rsidR="005F78FC" w:rsidRDefault="00B42EF3">
      <w:pPr>
        <w:pStyle w:val="indexentry0"/>
      </w:pPr>
      <w:hyperlink w:anchor="section_46a9db165bfa4d0f86ad196bf11c9230">
        <w:r>
          <w:rPr>
            <w:rStyle w:val="Hyperlink"/>
          </w:rPr>
          <w:t>bar3DChart (3D Bar Charts)</w:t>
        </w:r>
      </w:hyperlink>
      <w:r>
        <w:t xml:space="preserve"> </w:t>
      </w:r>
      <w:r>
        <w:fldChar w:fldCharType="begin"/>
      </w:r>
      <w:r>
        <w:instrText>PAGEREF section_46a9db165bfa4d0f86ad196bf11c9230</w:instrText>
      </w:r>
      <w:r>
        <w:fldChar w:fldCharType="separate"/>
      </w:r>
      <w:r>
        <w:rPr>
          <w:noProof/>
        </w:rPr>
        <w:t>547</w:t>
      </w:r>
      <w:r>
        <w:fldChar w:fldCharType="end"/>
      </w:r>
    </w:p>
    <w:p w:rsidR="005F78FC" w:rsidRDefault="00B42EF3">
      <w:pPr>
        <w:pStyle w:val="indexentry0"/>
      </w:pPr>
      <w:hyperlink w:anchor="section_4f86580b39ca45558ef844b2f35f3648">
        <w:r>
          <w:rPr>
            <w:rStyle w:val="Hyperlink"/>
          </w:rPr>
          <w:t>barChart (Bar Charts)</w:t>
        </w:r>
      </w:hyperlink>
      <w:r>
        <w:t xml:space="preserve"> </w:t>
      </w:r>
      <w:r>
        <w:fldChar w:fldCharType="begin"/>
      </w:r>
      <w:r>
        <w:instrText>PAGEREF section_4f86580b39ca45558ef844b2f35f3648</w:instrText>
      </w:r>
      <w:r>
        <w:fldChar w:fldCharType="separate"/>
      </w:r>
      <w:r>
        <w:rPr>
          <w:noProof/>
        </w:rPr>
        <w:t>548</w:t>
      </w:r>
      <w:r>
        <w:fldChar w:fldCharType="end"/>
      </w:r>
    </w:p>
    <w:p w:rsidR="005F78FC" w:rsidRDefault="00B42EF3">
      <w:pPr>
        <w:pStyle w:val="indexentry0"/>
      </w:pPr>
      <w:hyperlink w:anchor="section_76e151b8985a4d058301dbf681ba84d1">
        <w:r>
          <w:rPr>
            <w:rStyle w:val="Hyperlink"/>
          </w:rPr>
          <w:t>BARCODE</w:t>
        </w:r>
      </w:hyperlink>
      <w:r>
        <w:t xml:space="preserve"> </w:t>
      </w:r>
      <w:r>
        <w:fldChar w:fldCharType="begin"/>
      </w:r>
      <w:r>
        <w:instrText>PAGEREF section_76e151b8985a4d058301dbf681ba84d1</w:instrText>
      </w:r>
      <w:r>
        <w:fldChar w:fldCharType="separate"/>
      </w:r>
      <w:r>
        <w:rPr>
          <w:noProof/>
        </w:rPr>
        <w:t>633</w:t>
      </w:r>
      <w:r>
        <w:fldChar w:fldCharType="end"/>
      </w:r>
    </w:p>
    <w:p w:rsidR="005F78FC" w:rsidRDefault="00B42EF3">
      <w:pPr>
        <w:pStyle w:val="indexentry0"/>
      </w:pPr>
      <w:hyperlink w:anchor="section_e99b822aa75c4a268b420136b3acee5b">
        <w:r>
          <w:rPr>
            <w:rStyle w:val="Hyperlink"/>
          </w:rPr>
          <w:t>barDir (Bar Directio</w:t>
        </w:r>
        <w:r>
          <w:rPr>
            <w:rStyle w:val="Hyperlink"/>
          </w:rPr>
          <w:t>n)</w:t>
        </w:r>
      </w:hyperlink>
      <w:r>
        <w:t xml:space="preserve"> </w:t>
      </w:r>
      <w:r>
        <w:fldChar w:fldCharType="begin"/>
      </w:r>
      <w:r>
        <w:instrText>PAGEREF section_e99b822aa75c4a268b420136b3acee5b</w:instrText>
      </w:r>
      <w:r>
        <w:fldChar w:fldCharType="separate"/>
      </w:r>
      <w:r>
        <w:rPr>
          <w:noProof/>
        </w:rPr>
        <w:t>548</w:t>
      </w:r>
      <w:r>
        <w:fldChar w:fldCharType="end"/>
      </w:r>
    </w:p>
    <w:p w:rsidR="005F78FC" w:rsidRDefault="00B42EF3">
      <w:pPr>
        <w:pStyle w:val="indexentry0"/>
      </w:pPr>
      <w:hyperlink w:anchor="section_fdb9a8e819b248e78ba1f39f9f5e7e0f">
        <w:r>
          <w:rPr>
            <w:rStyle w:val="Hyperlink"/>
          </w:rPr>
          <w:t>barPr (Bar Properties)</w:t>
        </w:r>
      </w:hyperlink>
      <w:r>
        <w:t xml:space="preserve"> </w:t>
      </w:r>
      <w:r>
        <w:fldChar w:fldCharType="begin"/>
      </w:r>
      <w:r>
        <w:instrText>PAGEREF section_fdb9a8e819b248e78ba1f39f9f5e7e0f</w:instrText>
      </w:r>
      <w:r>
        <w:fldChar w:fldCharType="separate"/>
      </w:r>
      <w:r>
        <w:rPr>
          <w:noProof/>
        </w:rPr>
        <w:t>597</w:t>
      </w:r>
      <w:r>
        <w:fldChar w:fldCharType="end"/>
      </w:r>
    </w:p>
    <w:p w:rsidR="005F78FC" w:rsidRDefault="00B42EF3">
      <w:pPr>
        <w:pStyle w:val="indexentry0"/>
      </w:pPr>
      <w:hyperlink w:anchor="section_51a9f19520db446fa805e9860978c28d">
        <w:r>
          <w:rPr>
            <w:rStyle w:val="Hyperlink"/>
          </w:rPr>
          <w:t>basedOn (Parent Style ID)</w:t>
        </w:r>
      </w:hyperlink>
      <w:r>
        <w:t xml:space="preserve"> </w:t>
      </w:r>
      <w:r>
        <w:fldChar w:fldCharType="begin"/>
      </w:r>
      <w:r>
        <w:instrText>PAGEREF section_51a9f19520db446fa805e9860978c28d</w:instrText>
      </w:r>
      <w:r>
        <w:fldChar w:fldCharType="separate"/>
      </w:r>
      <w:r>
        <w:rPr>
          <w:noProof/>
        </w:rPr>
        <w:t>109</w:t>
      </w:r>
      <w:r>
        <w:fldChar w:fldCharType="end"/>
      </w:r>
    </w:p>
    <w:p w:rsidR="005F78FC" w:rsidRDefault="00B42EF3">
      <w:pPr>
        <w:pStyle w:val="indexentry0"/>
      </w:pPr>
      <w:hyperlink w:anchor="section_db8d16282e6c46e4962ed25e9bab147f">
        <w:r>
          <w:rPr>
            <w:rStyle w:val="Hyperlink"/>
          </w:rPr>
          <w:t>baseJc (Matrix Base Justification)</w:t>
        </w:r>
      </w:hyperlink>
      <w:r>
        <w:t xml:space="preserve"> </w:t>
      </w:r>
      <w:r>
        <w:fldChar w:fldCharType="begin"/>
      </w:r>
      <w:r>
        <w:instrText>PAGEREF section_db8d16282e6c46e4962ed25e9bab147f</w:instrText>
      </w:r>
      <w:r>
        <w:fldChar w:fldCharType="separate"/>
      </w:r>
      <w:r>
        <w:rPr>
          <w:noProof/>
        </w:rPr>
        <w:t>597</w:t>
      </w:r>
      <w:r>
        <w:fldChar w:fldCharType="end"/>
      </w:r>
    </w:p>
    <w:p w:rsidR="005F78FC" w:rsidRDefault="00B42EF3">
      <w:pPr>
        <w:pStyle w:val="indexentry0"/>
      </w:pPr>
      <w:hyperlink w:anchor="section_3c14676e4afc4b11a492ca6c326c60c6">
        <w:r>
          <w:rPr>
            <w:rStyle w:val="Hyperlink"/>
          </w:rPr>
          <w:t>Basic Format</w:t>
        </w:r>
      </w:hyperlink>
      <w:r>
        <w:t xml:space="preserve"> </w:t>
      </w:r>
      <w:r>
        <w:fldChar w:fldCharType="begin"/>
      </w:r>
      <w:r>
        <w:instrText>PAGEREF section_3c14676e4afc4b11a492ca6c326c60c6</w:instrText>
      </w:r>
      <w:r>
        <w:fldChar w:fldCharType="separate"/>
      </w:r>
      <w:r>
        <w:rPr>
          <w:noProof/>
        </w:rPr>
        <w:t>895</w:t>
      </w:r>
      <w:r>
        <w:fldChar w:fldCharType="end"/>
      </w:r>
    </w:p>
    <w:p w:rsidR="005F78FC" w:rsidRDefault="00B42EF3">
      <w:pPr>
        <w:pStyle w:val="indexentry0"/>
      </w:pPr>
      <w:hyperlink w:anchor="section_264d37471f124370b25cee2a812acf68">
        <w:r>
          <w:rPr>
            <w:rStyle w:val="Hyperlink"/>
          </w:rPr>
          <w:t>bCs (Complex Script Bold)</w:t>
        </w:r>
      </w:hyperlink>
      <w:r>
        <w:t xml:space="preserve"> </w:t>
      </w:r>
      <w:r>
        <w:fldChar w:fldCharType="begin"/>
      </w:r>
      <w:r>
        <w:instrText>PAGEREF section_264d37471f124370b25cee2a812acf68</w:instrText>
      </w:r>
      <w:r>
        <w:fldChar w:fldCharType="separate"/>
      </w:r>
      <w:r>
        <w:rPr>
          <w:noProof/>
        </w:rPr>
        <w:t>71</w:t>
      </w:r>
      <w:r>
        <w:fldChar w:fldCharType="end"/>
      </w:r>
    </w:p>
    <w:p w:rsidR="005F78FC" w:rsidRDefault="00B42EF3">
      <w:pPr>
        <w:pStyle w:val="indexentry0"/>
      </w:pPr>
      <w:hyperlink w:anchor="section_c8b2f58e1a33450e982faa321cad291c">
        <w:r>
          <w:rPr>
            <w:rStyle w:val="Hyperlink"/>
          </w:rPr>
          <w:t>bdo (Bidirectional Override)</w:t>
        </w:r>
      </w:hyperlink>
      <w:r>
        <w:t xml:space="preserve"> </w:t>
      </w:r>
      <w:r>
        <w:fldChar w:fldCharType="begin"/>
      </w:r>
      <w:r>
        <w:instrText>PAGEREF section_c8b2f58e1a33450e982faa321cad291c</w:instrText>
      </w:r>
      <w:r>
        <w:fldChar w:fldCharType="separate"/>
      </w:r>
      <w:r>
        <w:rPr>
          <w:noProof/>
        </w:rPr>
        <w:t>71</w:t>
      </w:r>
      <w:r>
        <w:fldChar w:fldCharType="end"/>
      </w:r>
    </w:p>
    <w:p w:rsidR="005F78FC" w:rsidRDefault="00B42EF3">
      <w:pPr>
        <w:pStyle w:val="indexentry0"/>
      </w:pPr>
      <w:hyperlink w:anchor="section_f38eb4e2d0424a4eb8633fac712e250a">
        <w:r>
          <w:rPr>
            <w:rStyle w:val="Hyperlink"/>
          </w:rPr>
          <w:t>bdr (Text Border)</w:t>
        </w:r>
      </w:hyperlink>
      <w:r>
        <w:t xml:space="preserve"> </w:t>
      </w:r>
      <w:r>
        <w:fldChar w:fldCharType="begin"/>
      </w:r>
      <w:r>
        <w:instrText>PAGEREF section_f38eb4e2d0424a4eb8633fac712e</w:instrText>
      </w:r>
      <w:r>
        <w:instrText>250a</w:instrText>
      </w:r>
      <w:r>
        <w:fldChar w:fldCharType="separate"/>
      </w:r>
      <w:r>
        <w:rPr>
          <w:noProof/>
        </w:rPr>
        <w:t>71</w:t>
      </w:r>
      <w:r>
        <w:fldChar w:fldCharType="end"/>
      </w:r>
    </w:p>
    <w:p w:rsidR="005F78FC" w:rsidRDefault="00B42EF3">
      <w:pPr>
        <w:pStyle w:val="indexentry0"/>
      </w:pPr>
      <w:hyperlink w:anchor="section_70f9e4b103cb4ed981b041d3f00b784a">
        <w:r>
          <w:rPr>
            <w:rStyle w:val="Hyperlink"/>
          </w:rPr>
          <w:t>BESSELI</w:t>
        </w:r>
      </w:hyperlink>
      <w:r>
        <w:t xml:space="preserve"> </w:t>
      </w:r>
      <w:r>
        <w:fldChar w:fldCharType="begin"/>
      </w:r>
      <w:r>
        <w:instrText>PAGEREF section_70f9e4b103cb4ed981b041d3f00b784a</w:instrText>
      </w:r>
      <w:r>
        <w:fldChar w:fldCharType="separate"/>
      </w:r>
      <w:r>
        <w:rPr>
          <w:noProof/>
        </w:rPr>
        <w:t>404</w:t>
      </w:r>
      <w:r>
        <w:fldChar w:fldCharType="end"/>
      </w:r>
    </w:p>
    <w:p w:rsidR="005F78FC" w:rsidRDefault="00B42EF3">
      <w:pPr>
        <w:pStyle w:val="indexentry0"/>
      </w:pPr>
      <w:hyperlink w:anchor="section_cba98ecda06642cd986df3c9e3fd1065">
        <w:r>
          <w:rPr>
            <w:rStyle w:val="Hyperlink"/>
          </w:rPr>
          <w:t>BESSELJ</w:t>
        </w:r>
      </w:hyperlink>
      <w:r>
        <w:t xml:space="preserve"> </w:t>
      </w:r>
      <w:r>
        <w:fldChar w:fldCharType="begin"/>
      </w:r>
      <w:r>
        <w:instrText>PAGEREF section_cba98ecda06642cd986df3c9e3fd1065</w:instrText>
      </w:r>
      <w:r>
        <w:fldChar w:fldCharType="separate"/>
      </w:r>
      <w:r>
        <w:rPr>
          <w:noProof/>
        </w:rPr>
        <w:t>404</w:t>
      </w:r>
      <w:r>
        <w:fldChar w:fldCharType="end"/>
      </w:r>
    </w:p>
    <w:p w:rsidR="005F78FC" w:rsidRDefault="00B42EF3">
      <w:pPr>
        <w:pStyle w:val="indexentry0"/>
      </w:pPr>
      <w:hyperlink w:anchor="section_509516a4b37541f59aee9361ecba272e">
        <w:r>
          <w:rPr>
            <w:rStyle w:val="Hyperlink"/>
          </w:rPr>
          <w:t>BESSELK</w:t>
        </w:r>
      </w:hyperlink>
      <w:r>
        <w:t xml:space="preserve"> </w:t>
      </w:r>
      <w:r>
        <w:fldChar w:fldCharType="begin"/>
      </w:r>
      <w:r>
        <w:instrText>PAGEREF section_509516a4b37541f59aee9361ecba272e</w:instrText>
      </w:r>
      <w:r>
        <w:fldChar w:fldCharType="separate"/>
      </w:r>
      <w:r>
        <w:rPr>
          <w:noProof/>
        </w:rPr>
        <w:t>405</w:t>
      </w:r>
      <w:r>
        <w:fldChar w:fldCharType="end"/>
      </w:r>
    </w:p>
    <w:p w:rsidR="005F78FC" w:rsidRDefault="00B42EF3">
      <w:pPr>
        <w:pStyle w:val="indexentry0"/>
      </w:pPr>
      <w:hyperlink w:anchor="section_29abcd8bb4a4493eb205654196e8be98">
        <w:r>
          <w:rPr>
            <w:rStyle w:val="Hyperlink"/>
          </w:rPr>
          <w:t>BESSELY</w:t>
        </w:r>
      </w:hyperlink>
      <w:r>
        <w:t xml:space="preserve"> </w:t>
      </w:r>
      <w:r>
        <w:fldChar w:fldCharType="begin"/>
      </w:r>
      <w:r>
        <w:instrText>PAGEREF section_29abcd8bb4a4493eb205654196e8be98</w:instrText>
      </w:r>
      <w:r>
        <w:fldChar w:fldCharType="separate"/>
      </w:r>
      <w:r>
        <w:rPr>
          <w:noProof/>
        </w:rPr>
        <w:t>405</w:t>
      </w:r>
      <w:r>
        <w:fldChar w:fldCharType="end"/>
      </w:r>
    </w:p>
    <w:p w:rsidR="005F78FC" w:rsidRDefault="00B42EF3">
      <w:pPr>
        <w:pStyle w:val="indexentry0"/>
      </w:pPr>
      <w:hyperlink w:anchor="section_bd7ec0e8c2c84ca7a9d3866ff5d30380">
        <w:r>
          <w:rPr>
            <w:rStyle w:val="Hyperlink"/>
          </w:rPr>
          <w:t>BETAINV</w:t>
        </w:r>
      </w:hyperlink>
      <w:r>
        <w:t xml:space="preserve"> </w:t>
      </w:r>
      <w:r>
        <w:fldChar w:fldCharType="begin"/>
      </w:r>
      <w:r>
        <w:instrText>PAGEREF section_bd7ec0e8c2c84ca7a9d3866ff5d30380</w:instrText>
      </w:r>
      <w:r>
        <w:fldChar w:fldCharType="separate"/>
      </w:r>
      <w:r>
        <w:rPr>
          <w:noProof/>
        </w:rPr>
        <w:t>405</w:t>
      </w:r>
      <w:r>
        <w:fldChar w:fldCharType="end"/>
      </w:r>
    </w:p>
    <w:p w:rsidR="005F78FC" w:rsidRDefault="00B42EF3">
      <w:pPr>
        <w:pStyle w:val="indexentry0"/>
      </w:pPr>
      <w:hyperlink w:anchor="section_d8f1b25b44f64d97a3de49aae9bc6e25">
        <w:r>
          <w:rPr>
            <w:rStyle w:val="Hyperlink"/>
          </w:rPr>
          <w:t>between (Paragraph Border Between Identical Paragraphs)</w:t>
        </w:r>
      </w:hyperlink>
      <w:r>
        <w:t xml:space="preserve"> </w:t>
      </w:r>
      <w:r>
        <w:fldChar w:fldCharType="begin"/>
      </w:r>
      <w:r>
        <w:instrText>PAGEREF section_d8f1b25b</w:instrText>
      </w:r>
      <w:r>
        <w:instrText>44f64d97a3de49aae9bc6e25</w:instrText>
      </w:r>
      <w:r>
        <w:fldChar w:fldCharType="separate"/>
      </w:r>
      <w:r>
        <w:rPr>
          <w:noProof/>
        </w:rPr>
        <w:t>66</w:t>
      </w:r>
      <w:r>
        <w:fldChar w:fldCharType="end"/>
      </w:r>
    </w:p>
    <w:p w:rsidR="005F78FC" w:rsidRDefault="00B42EF3">
      <w:pPr>
        <w:pStyle w:val="indexentry0"/>
      </w:pPr>
      <w:hyperlink w:anchor="section_906e0084f87a40fbac4d2202269203a5">
        <w:r>
          <w:rPr>
            <w:rStyle w:val="Hyperlink"/>
          </w:rPr>
          <w:t>bevelB (Bottom Bevel)</w:t>
        </w:r>
      </w:hyperlink>
      <w:r>
        <w:t xml:space="preserve"> </w:t>
      </w:r>
      <w:r>
        <w:fldChar w:fldCharType="begin"/>
      </w:r>
      <w:r>
        <w:instrText>PAGEREF section_906e0084f87a40fbac4d2202269203a5</w:instrText>
      </w:r>
      <w:r>
        <w:fldChar w:fldCharType="separate"/>
      </w:r>
      <w:r>
        <w:rPr>
          <w:noProof/>
        </w:rPr>
        <w:t>510</w:t>
      </w:r>
      <w:r>
        <w:fldChar w:fldCharType="end"/>
      </w:r>
    </w:p>
    <w:p w:rsidR="005F78FC" w:rsidRDefault="00B42EF3">
      <w:pPr>
        <w:pStyle w:val="indexentry0"/>
      </w:pPr>
      <w:hyperlink w:anchor="section_2dfb75cddd064bbe8baa2ac80ebd13b3">
        <w:r>
          <w:rPr>
            <w:rStyle w:val="Hyperlink"/>
          </w:rPr>
          <w:t>bevelT (Top Bevel)</w:t>
        </w:r>
      </w:hyperlink>
      <w:r>
        <w:t xml:space="preserve"> </w:t>
      </w:r>
      <w:r>
        <w:fldChar w:fldCharType="begin"/>
      </w:r>
      <w:r>
        <w:instrText>PAGEREF s</w:instrText>
      </w:r>
      <w:r>
        <w:instrText>ection_2dfb75cddd064bbe8baa2ac80ebd13b3</w:instrText>
      </w:r>
      <w:r>
        <w:fldChar w:fldCharType="separate"/>
      </w:r>
      <w:r>
        <w:rPr>
          <w:noProof/>
        </w:rPr>
        <w:t>510</w:t>
      </w:r>
      <w:r>
        <w:fldChar w:fldCharType="end"/>
      </w:r>
    </w:p>
    <w:p w:rsidR="005F78FC" w:rsidRDefault="00B42EF3">
      <w:pPr>
        <w:pStyle w:val="indexentry0"/>
      </w:pPr>
      <w:hyperlink w:anchor="section_71e8b4e0e70d416aa249c870d41e6d5e">
        <w:r>
          <w:rPr>
            <w:rStyle w:val="Hyperlink"/>
          </w:rPr>
          <w:t>bg (Slide Background)</w:t>
        </w:r>
      </w:hyperlink>
      <w:r>
        <w:t xml:space="preserve"> </w:t>
      </w:r>
      <w:r>
        <w:fldChar w:fldCharType="begin"/>
      </w:r>
      <w:r>
        <w:instrText>PAGEREF section_71e8b4e0e70d416aa249c870d41e6d5e</w:instrText>
      </w:r>
      <w:r>
        <w:fldChar w:fldCharType="separate"/>
      </w:r>
      <w:r>
        <w:rPr>
          <w:noProof/>
        </w:rPr>
        <w:t>470</w:t>
      </w:r>
      <w:r>
        <w:fldChar w:fldCharType="end"/>
      </w:r>
    </w:p>
    <w:p w:rsidR="005F78FC" w:rsidRDefault="00B42EF3">
      <w:pPr>
        <w:pStyle w:val="indexentry0"/>
      </w:pPr>
      <w:hyperlink w:anchor="section_2b0a8b9d392f46c1b3c1c5a5f98f8e69">
        <w:r>
          <w:rPr>
            <w:rStyle w:val="Hyperlink"/>
          </w:rPr>
          <w:t>bgColor (Backgr</w:t>
        </w:r>
        <w:r>
          <w:rPr>
            <w:rStyle w:val="Hyperlink"/>
          </w:rPr>
          <w:t>ound Color)</w:t>
        </w:r>
      </w:hyperlink>
      <w:r>
        <w:t xml:space="preserve"> </w:t>
      </w:r>
      <w:r>
        <w:fldChar w:fldCharType="begin"/>
      </w:r>
      <w:r>
        <w:instrText>PAGEREF section_2b0a8b9d392f46c1b3c1c5a5f98f8e69</w:instrText>
      </w:r>
      <w:r>
        <w:fldChar w:fldCharType="separate"/>
      </w:r>
      <w:r>
        <w:rPr>
          <w:noProof/>
        </w:rPr>
        <w:t>299</w:t>
      </w:r>
      <w:r>
        <w:fldChar w:fldCharType="end"/>
      </w:r>
    </w:p>
    <w:p w:rsidR="005F78FC" w:rsidRDefault="00B42EF3">
      <w:pPr>
        <w:pStyle w:val="indexentry0"/>
      </w:pPr>
      <w:hyperlink w:anchor="section_c1fadbc6d06348b9b57ea043969cf6c5">
        <w:r>
          <w:rPr>
            <w:rStyle w:val="Hyperlink"/>
          </w:rPr>
          <w:t>bgPr (Background Properties)</w:t>
        </w:r>
      </w:hyperlink>
      <w:r>
        <w:t xml:space="preserve"> </w:t>
      </w:r>
      <w:r>
        <w:fldChar w:fldCharType="begin"/>
      </w:r>
      <w:r>
        <w:instrText>PAGEREF section_c1fadbc6d06348b9b57ea043969cf6c5</w:instrText>
      </w:r>
      <w:r>
        <w:fldChar w:fldCharType="separate"/>
      </w:r>
      <w:r>
        <w:rPr>
          <w:noProof/>
        </w:rPr>
        <w:t>470</w:t>
      </w:r>
      <w:r>
        <w:fldChar w:fldCharType="end"/>
      </w:r>
    </w:p>
    <w:p w:rsidR="005F78FC" w:rsidRDefault="00B42EF3">
      <w:pPr>
        <w:pStyle w:val="indexentry0"/>
      </w:pPr>
      <w:hyperlink w:anchor="section_1aed887d26154119b901ce3ec798cccf">
        <w:r>
          <w:rPr>
            <w:rStyle w:val="Hyperlink"/>
          </w:rPr>
          <w:t>BIBLIOGRAPHY</w:t>
        </w:r>
      </w:hyperlink>
      <w:r>
        <w:t xml:space="preserve"> </w:t>
      </w:r>
      <w:r>
        <w:fldChar w:fldCharType="begin"/>
      </w:r>
      <w:r>
        <w:instrText>PAGEREF section_1aed887d26154119b901ce3ec798cccf</w:instrText>
      </w:r>
      <w:r>
        <w:fldChar w:fldCharType="separate"/>
      </w:r>
      <w:r>
        <w:rPr>
          <w:noProof/>
        </w:rPr>
        <w:t>188</w:t>
      </w:r>
      <w:r>
        <w:fldChar w:fldCharType="end"/>
      </w:r>
    </w:p>
    <w:p w:rsidR="005F78FC" w:rsidRDefault="00B42EF3">
      <w:pPr>
        <w:pStyle w:val="indexentry0"/>
      </w:pPr>
      <w:hyperlink w:anchor="section_0180f12be6a54c2e8b69af24f35f9cb0">
        <w:r>
          <w:rPr>
            <w:rStyle w:val="Hyperlink"/>
          </w:rPr>
          <w:t>BIDIOUTLINE</w:t>
        </w:r>
      </w:hyperlink>
      <w:r>
        <w:t xml:space="preserve"> </w:t>
      </w:r>
      <w:r>
        <w:fldChar w:fldCharType="begin"/>
      </w:r>
      <w:r>
        <w:instrText>PAGEREF section_0180f12be6a54c2e8b69af24f35f9cb0</w:instrText>
      </w:r>
      <w:r>
        <w:fldChar w:fldCharType="separate"/>
      </w:r>
      <w:r>
        <w:rPr>
          <w:noProof/>
        </w:rPr>
        <w:t>633</w:t>
      </w:r>
      <w:r>
        <w:fldChar w:fldCharType="end"/>
      </w:r>
    </w:p>
    <w:p w:rsidR="005F78FC" w:rsidRDefault="00B42EF3">
      <w:pPr>
        <w:pStyle w:val="indexentry0"/>
      </w:pPr>
      <w:hyperlink w:anchor="section_233dfa68d1f34d56a781bfef71cc74fa">
        <w:r>
          <w:rPr>
            <w:rStyle w:val="Hyperlink"/>
          </w:rPr>
          <w:t>bidiVisual (Visually Right to Left Table)</w:t>
        </w:r>
      </w:hyperlink>
      <w:r>
        <w:t xml:space="preserve"> </w:t>
      </w:r>
      <w:r>
        <w:fldChar w:fldCharType="begin"/>
      </w:r>
      <w:r>
        <w:instrText>PAGEREF section_233dfa68d1f34d56a781bfef71cc74fa</w:instrText>
      </w:r>
      <w:r>
        <w:fldChar w:fldCharType="separate"/>
      </w:r>
      <w:r>
        <w:rPr>
          <w:noProof/>
        </w:rPr>
        <w:t>84</w:t>
      </w:r>
      <w:r>
        <w:fldChar w:fldCharType="end"/>
      </w:r>
    </w:p>
    <w:p w:rsidR="005F78FC" w:rsidRDefault="00B42EF3">
      <w:pPr>
        <w:pStyle w:val="indexentry0"/>
      </w:pPr>
      <w:hyperlink w:anchor="section_10bf48e80594494d914363d48d91036b">
        <w:r>
          <w:rPr>
            <w:rStyle w:val="Hyperlink"/>
          </w:rPr>
          <w:t>BIN2DEC</w:t>
        </w:r>
      </w:hyperlink>
      <w:r>
        <w:t xml:space="preserve"> </w:t>
      </w:r>
      <w:r>
        <w:fldChar w:fldCharType="begin"/>
      </w:r>
      <w:r>
        <w:instrText>PAGEREF section_10bf48e80594</w:instrText>
      </w:r>
      <w:r>
        <w:instrText>494d914363d48d91036b</w:instrText>
      </w:r>
      <w:r>
        <w:fldChar w:fldCharType="separate"/>
      </w:r>
      <w:r>
        <w:rPr>
          <w:noProof/>
        </w:rPr>
        <w:t>405</w:t>
      </w:r>
      <w:r>
        <w:fldChar w:fldCharType="end"/>
      </w:r>
    </w:p>
    <w:p w:rsidR="005F78FC" w:rsidRDefault="00B42EF3">
      <w:pPr>
        <w:pStyle w:val="indexentry0"/>
      </w:pPr>
      <w:hyperlink w:anchor="section_46da4c4114864b60a733c76cd8bd821a">
        <w:r>
          <w:rPr>
            <w:rStyle w:val="Hyperlink"/>
          </w:rPr>
          <w:t>bk (Metadata Block)</w:t>
        </w:r>
      </w:hyperlink>
      <w:r>
        <w:t xml:space="preserve"> </w:t>
      </w:r>
      <w:r>
        <w:fldChar w:fldCharType="begin"/>
      </w:r>
      <w:r>
        <w:instrText>PAGEREF section_46da4c4114864b60a733c76cd8bd821a</w:instrText>
      </w:r>
      <w:r>
        <w:fldChar w:fldCharType="separate"/>
      </w:r>
      <w:r>
        <w:rPr>
          <w:noProof/>
        </w:rPr>
        <w:t>316</w:t>
      </w:r>
      <w:r>
        <w:fldChar w:fldCharType="end"/>
      </w:r>
    </w:p>
    <w:p w:rsidR="005F78FC" w:rsidRDefault="00B42EF3">
      <w:pPr>
        <w:pStyle w:val="indexentry0"/>
      </w:pPr>
      <w:hyperlink w:anchor="section_24e1116b01e942b49a606ec7c266790d">
        <w:r>
          <w:rPr>
            <w:rStyle w:val="Hyperlink"/>
          </w:rPr>
          <w:t>bldChart (Build Chart)</w:t>
        </w:r>
      </w:hyperlink>
      <w:r>
        <w:t xml:space="preserve"> </w:t>
      </w:r>
      <w:r>
        <w:fldChar w:fldCharType="begin"/>
      </w:r>
      <w:r>
        <w:instrText>PAGEREF sec</w:instrText>
      </w:r>
      <w:r>
        <w:instrText>tion_24e1116b01e942b49a606ec7c266790d</w:instrText>
      </w:r>
      <w:r>
        <w:fldChar w:fldCharType="separate"/>
      </w:r>
      <w:r>
        <w:rPr>
          <w:noProof/>
        </w:rPr>
        <w:t>498</w:t>
      </w:r>
      <w:r>
        <w:fldChar w:fldCharType="end"/>
      </w:r>
    </w:p>
    <w:p w:rsidR="005F78FC" w:rsidRDefault="00B42EF3">
      <w:pPr>
        <w:pStyle w:val="indexentry0"/>
      </w:pPr>
      <w:r>
        <w:t>bldDgm (Build Diagram) (</w:t>
      </w:r>
      <w:hyperlink w:anchor="section_da3302a59997444fbb688ed15c696eba">
        <w:r>
          <w:rPr>
            <w:rStyle w:val="Hyperlink"/>
          </w:rPr>
          <w:t>section 2.1.1145</w:t>
        </w:r>
      </w:hyperlink>
      <w:r>
        <w:t xml:space="preserve"> </w:t>
      </w:r>
      <w:r>
        <w:fldChar w:fldCharType="begin"/>
      </w:r>
      <w:r>
        <w:instrText>PAGEREF section_da3302a59997444fbb688ed15c696eba</w:instrText>
      </w:r>
      <w:r>
        <w:fldChar w:fldCharType="separate"/>
      </w:r>
      <w:r>
        <w:rPr>
          <w:noProof/>
        </w:rPr>
        <w:t>480</w:t>
      </w:r>
      <w:r>
        <w:fldChar w:fldCharType="end"/>
      </w:r>
      <w:r>
        <w:t xml:space="preserve">, </w:t>
      </w:r>
      <w:hyperlink w:anchor="section_b2f238f84a034f4bb63bfe1f3eac7f47">
        <w:r>
          <w:rPr>
            <w:rStyle w:val="Hyperlink"/>
          </w:rPr>
          <w:t>section 2.1.1198</w:t>
        </w:r>
      </w:hyperlink>
      <w:r>
        <w:t xml:space="preserve"> </w:t>
      </w:r>
      <w:r>
        <w:fldChar w:fldCharType="begin"/>
      </w:r>
      <w:r>
        <w:instrText>PAGEREF section_b2f238f84a034f4bb63bfe1f3eac7f47</w:instrText>
      </w:r>
      <w:r>
        <w:fldChar w:fldCharType="separate"/>
      </w:r>
      <w:r>
        <w:rPr>
          <w:noProof/>
        </w:rPr>
        <w:t>498</w:t>
      </w:r>
      <w:r>
        <w:fldChar w:fldCharType="end"/>
      </w:r>
      <w:r>
        <w:t>)</w:t>
      </w:r>
    </w:p>
    <w:p w:rsidR="005F78FC" w:rsidRDefault="00B42EF3">
      <w:pPr>
        <w:pStyle w:val="indexentry0"/>
      </w:pPr>
      <w:hyperlink w:anchor="section_ec82ed17db494761afc3d8e7d2930646">
        <w:r>
          <w:rPr>
            <w:rStyle w:val="Hyperlink"/>
          </w:rPr>
          <w:t>bldGraphic (Build Graphics)</w:t>
        </w:r>
      </w:hyperlink>
      <w:r>
        <w:t xml:space="preserve"> </w:t>
      </w:r>
      <w:r>
        <w:fldChar w:fldCharType="begin"/>
      </w:r>
      <w:r>
        <w:instrText>PAGEREF section_ec82ed17db494761afc3d8e7d2930646</w:instrText>
      </w:r>
      <w:r>
        <w:fldChar w:fldCharType="separate"/>
      </w:r>
      <w:r>
        <w:rPr>
          <w:noProof/>
        </w:rPr>
        <w:t>480</w:t>
      </w:r>
      <w:r>
        <w:fldChar w:fldCharType="end"/>
      </w:r>
    </w:p>
    <w:p w:rsidR="005F78FC" w:rsidRDefault="00B42EF3">
      <w:pPr>
        <w:pStyle w:val="indexentry0"/>
      </w:pPr>
      <w:hyperlink w:anchor="section_5c0177b6c316482abf5923cb56a51534">
        <w:r>
          <w:rPr>
            <w:rStyle w:val="Hyperlink"/>
          </w:rPr>
          <w:t>bldOleChart (Build Embedded Chart)</w:t>
        </w:r>
      </w:hyperlink>
      <w:r>
        <w:t xml:space="preserve"> </w:t>
      </w:r>
      <w:r>
        <w:fldChar w:fldCharType="begin"/>
      </w:r>
      <w:r>
        <w:instrText>PAGEREF section_5c0177b6c316482abf5923cb56a51534</w:instrText>
      </w:r>
      <w:r>
        <w:fldChar w:fldCharType="separate"/>
      </w:r>
      <w:r>
        <w:rPr>
          <w:noProof/>
        </w:rPr>
        <w:t>480</w:t>
      </w:r>
      <w:r>
        <w:fldChar w:fldCharType="end"/>
      </w:r>
    </w:p>
    <w:p w:rsidR="005F78FC" w:rsidRDefault="00B42EF3">
      <w:pPr>
        <w:pStyle w:val="indexentry0"/>
      </w:pPr>
      <w:hyperlink w:anchor="section_2936b07f699e42a7a89870122183e0a2">
        <w:r>
          <w:rPr>
            <w:rStyle w:val="Hyperlink"/>
          </w:rPr>
          <w:t>bldP (Build Paragraph)</w:t>
        </w:r>
      </w:hyperlink>
      <w:r>
        <w:t xml:space="preserve"> </w:t>
      </w:r>
      <w:r>
        <w:fldChar w:fldCharType="begin"/>
      </w:r>
      <w:r>
        <w:instrText>PAGEREF section_2936b07f699e42a7a89870122183e0a2</w:instrText>
      </w:r>
      <w:r>
        <w:fldChar w:fldCharType="separate"/>
      </w:r>
      <w:r>
        <w:rPr>
          <w:noProof/>
        </w:rPr>
        <w:t>481</w:t>
      </w:r>
      <w:r>
        <w:fldChar w:fldCharType="end"/>
      </w:r>
    </w:p>
    <w:p w:rsidR="005F78FC" w:rsidRDefault="00B42EF3">
      <w:pPr>
        <w:pStyle w:val="indexentry0"/>
      </w:pPr>
      <w:hyperlink w:anchor="section_cfa661aede3a4d16b06d06e35e721b89">
        <w:r>
          <w:rPr>
            <w:rStyle w:val="Hyperlink"/>
          </w:rPr>
          <w:t>bldSub (Build Sub Elements)</w:t>
        </w:r>
      </w:hyperlink>
      <w:r>
        <w:t xml:space="preserve"> </w:t>
      </w:r>
      <w:r>
        <w:fldChar w:fldCharType="begin"/>
      </w:r>
      <w:r>
        <w:instrText>PAGEREF section_cfa661aede3a4d16b06d06e35e721b89</w:instrText>
      </w:r>
      <w:r>
        <w:fldChar w:fldCharType="separate"/>
      </w:r>
      <w:r>
        <w:rPr>
          <w:noProof/>
        </w:rPr>
        <w:t>481</w:t>
      </w:r>
      <w:r>
        <w:fldChar w:fldCharType="end"/>
      </w:r>
    </w:p>
    <w:p w:rsidR="005F78FC" w:rsidRDefault="00B42EF3">
      <w:pPr>
        <w:pStyle w:val="indexentry0"/>
      </w:pPr>
      <w:r>
        <w:t>blipFill (Picture Fill) (</w:t>
      </w:r>
      <w:hyperlink w:anchor="section_17c4667a47c248f69f112565d029009c">
        <w:r>
          <w:rPr>
            <w:rStyle w:val="Hyperlink"/>
          </w:rPr>
          <w:t>section 2.1.1119</w:t>
        </w:r>
      </w:hyperlink>
      <w:r>
        <w:t xml:space="preserve"> </w:t>
      </w:r>
      <w:r>
        <w:fldChar w:fldCharType="begin"/>
      </w:r>
      <w:r>
        <w:instrText xml:space="preserve">PAGEREF </w:instrText>
      </w:r>
      <w:r>
        <w:instrText>section_17c4667a47c248f69f112565d029009c</w:instrText>
      </w:r>
      <w:r>
        <w:fldChar w:fldCharType="separate"/>
      </w:r>
      <w:r>
        <w:rPr>
          <w:noProof/>
        </w:rPr>
        <w:t>470</w:t>
      </w:r>
      <w:r>
        <w:fldChar w:fldCharType="end"/>
      </w:r>
      <w:r>
        <w:t xml:space="preserve">, </w:t>
      </w:r>
      <w:hyperlink w:anchor="section_1cc844f4520f48d58ceb74e15342ab24">
        <w:r>
          <w:rPr>
            <w:rStyle w:val="Hyperlink"/>
          </w:rPr>
          <w:t>section 2.1.1287</w:t>
        </w:r>
      </w:hyperlink>
      <w:r>
        <w:t xml:space="preserve"> </w:t>
      </w:r>
      <w:r>
        <w:fldChar w:fldCharType="begin"/>
      </w:r>
      <w:r>
        <w:instrText>PAGEREF section_1cc844f4520f48d58ceb74e15342ab24</w:instrText>
      </w:r>
      <w:r>
        <w:fldChar w:fldCharType="separate"/>
      </w:r>
      <w:r>
        <w:rPr>
          <w:noProof/>
        </w:rPr>
        <w:t>515</w:t>
      </w:r>
      <w:r>
        <w:fldChar w:fldCharType="end"/>
      </w:r>
      <w:r>
        <w:t xml:space="preserve">, </w:t>
      </w:r>
      <w:hyperlink w:anchor="section_7a3dbb2768c744d2bf351eb7a2490a01">
        <w:r>
          <w:rPr>
            <w:rStyle w:val="Hyperlink"/>
          </w:rPr>
          <w:t>section 2.1.1343</w:t>
        </w:r>
      </w:hyperlink>
      <w:r>
        <w:t xml:space="preserve"> </w:t>
      </w:r>
      <w:r>
        <w:fldChar w:fldCharType="begin"/>
      </w:r>
      <w:r>
        <w:instrText>PAGEREF section_7a3dbb2768c744d2bf351eb7a2490a01</w:instrText>
      </w:r>
      <w:r>
        <w:fldChar w:fldCharType="separate"/>
      </w:r>
      <w:r>
        <w:rPr>
          <w:noProof/>
        </w:rPr>
        <w:t>526</w:t>
      </w:r>
      <w:r>
        <w:fldChar w:fldCharType="end"/>
      </w:r>
      <w:r>
        <w:t xml:space="preserve">, </w:t>
      </w:r>
      <w:hyperlink w:anchor="section_402ec9e26e424ba9a866742937152087">
        <w:r>
          <w:rPr>
            <w:rStyle w:val="Hyperlink"/>
          </w:rPr>
          <w:t>section 2.1.1353</w:t>
        </w:r>
      </w:hyperlink>
      <w:r>
        <w:t xml:space="preserve"> </w:t>
      </w:r>
      <w:r>
        <w:fldChar w:fldCharType="begin"/>
      </w:r>
      <w:r>
        <w:instrText>PAGEREF section_402ec9e26e424ba9a866742937152087</w:instrText>
      </w:r>
      <w:r>
        <w:fldChar w:fldCharType="separate"/>
      </w:r>
      <w:r>
        <w:rPr>
          <w:noProof/>
        </w:rPr>
        <w:t>528</w:t>
      </w:r>
      <w:r>
        <w:fldChar w:fldCharType="end"/>
      </w:r>
      <w:r>
        <w:t xml:space="preserve">, </w:t>
      </w:r>
      <w:hyperlink w:anchor="section_0329492820b44cdd9ecdac4d63dc4674">
        <w:r>
          <w:rPr>
            <w:rStyle w:val="Hyperlink"/>
          </w:rPr>
          <w:t>section</w:t>
        </w:r>
        <w:r>
          <w:rPr>
            <w:rStyle w:val="Hyperlink"/>
          </w:rPr>
          <w:t xml:space="preserve"> 2.1.1596</w:t>
        </w:r>
      </w:hyperlink>
      <w:r>
        <w:t xml:space="preserve"> </w:t>
      </w:r>
      <w:r>
        <w:fldChar w:fldCharType="begin"/>
      </w:r>
      <w:r>
        <w:instrText>PAGEREF section_0329492820b44cdd9ecdac4d63dc4674</w:instrText>
      </w:r>
      <w:r>
        <w:fldChar w:fldCharType="separate"/>
      </w:r>
      <w:r>
        <w:rPr>
          <w:noProof/>
        </w:rPr>
        <w:t>583</w:t>
      </w:r>
      <w:r>
        <w:fldChar w:fldCharType="end"/>
      </w:r>
      <w:r>
        <w:t>)</w:t>
      </w:r>
    </w:p>
    <w:p w:rsidR="005F78FC" w:rsidRDefault="00B42EF3">
      <w:pPr>
        <w:pStyle w:val="indexentry0"/>
      </w:pPr>
      <w:hyperlink w:anchor="section_1be1db766f44442eb9d1acc7a2bb0e71">
        <w:r>
          <w:rPr>
            <w:rStyle w:val="Hyperlink"/>
          </w:rPr>
          <w:t>blockQuote (Data for HTML blockquote Element)</w:t>
        </w:r>
      </w:hyperlink>
      <w:r>
        <w:t xml:space="preserve"> </w:t>
      </w:r>
      <w:r>
        <w:fldChar w:fldCharType="begin"/>
      </w:r>
      <w:r>
        <w:instrText>PAGEREF section_1be1db766f44442eb9d1acc7a2bb0e71</w:instrText>
      </w:r>
      <w:r>
        <w:fldChar w:fldCharType="separate"/>
      </w:r>
      <w:r>
        <w:rPr>
          <w:noProof/>
        </w:rPr>
        <w:t>164</w:t>
      </w:r>
      <w:r>
        <w:fldChar w:fldCharType="end"/>
      </w:r>
    </w:p>
    <w:p w:rsidR="005F78FC" w:rsidRDefault="00B42EF3">
      <w:pPr>
        <w:pStyle w:val="indexentry0"/>
      </w:pPr>
      <w:hyperlink w:anchor="section_609636d541304679b9b8eebaa8424ae7">
        <w:r>
          <w:rPr>
            <w:rStyle w:val="Hyperlink"/>
          </w:rPr>
          <w:t>blue (Blue)</w:t>
        </w:r>
      </w:hyperlink>
      <w:r>
        <w:t xml:space="preserve"> </w:t>
      </w:r>
      <w:r>
        <w:fldChar w:fldCharType="begin"/>
      </w:r>
      <w:r>
        <w:instrText>PAGEREF section_609636d541304679b9b8eebaa8424ae7</w:instrText>
      </w:r>
      <w:r>
        <w:fldChar w:fldCharType="separate"/>
      </w:r>
      <w:r>
        <w:rPr>
          <w:noProof/>
        </w:rPr>
        <w:t>502</w:t>
      </w:r>
      <w:r>
        <w:fldChar w:fldCharType="end"/>
      </w:r>
    </w:p>
    <w:p w:rsidR="005F78FC" w:rsidRDefault="00B42EF3">
      <w:pPr>
        <w:pStyle w:val="indexentry0"/>
      </w:pPr>
      <w:hyperlink w:anchor="section_fd5b54b2e28a4e6091986cffa60a0e77">
        <w:r>
          <w:rPr>
            <w:rStyle w:val="Hyperlink"/>
          </w:rPr>
          <w:t>blueMod (Blue Modification)</w:t>
        </w:r>
      </w:hyperlink>
      <w:r>
        <w:t xml:space="preserve"> </w:t>
      </w:r>
      <w:r>
        <w:fldChar w:fldCharType="begin"/>
      </w:r>
      <w:r>
        <w:instrText>PAGEREF section_fd5b54b2e28a4e6091986c</w:instrText>
      </w:r>
      <w:r>
        <w:instrText>ffa60a0e77</w:instrText>
      </w:r>
      <w:r>
        <w:fldChar w:fldCharType="separate"/>
      </w:r>
      <w:r>
        <w:rPr>
          <w:noProof/>
        </w:rPr>
        <w:t>502</w:t>
      </w:r>
      <w:r>
        <w:fldChar w:fldCharType="end"/>
      </w:r>
    </w:p>
    <w:p w:rsidR="005F78FC" w:rsidRDefault="00B42EF3">
      <w:pPr>
        <w:pStyle w:val="indexentry0"/>
      </w:pPr>
      <w:hyperlink w:anchor="section_c5764e71705243ca8d5cd69caac0e480">
        <w:r>
          <w:rPr>
            <w:rStyle w:val="Hyperlink"/>
          </w:rPr>
          <w:t>blueOff (Blue Offset)</w:t>
        </w:r>
      </w:hyperlink>
      <w:r>
        <w:t xml:space="preserve"> </w:t>
      </w:r>
      <w:r>
        <w:fldChar w:fldCharType="begin"/>
      </w:r>
      <w:r>
        <w:instrText>PAGEREF section_c5764e71705243ca8d5cd69caac0e480</w:instrText>
      </w:r>
      <w:r>
        <w:fldChar w:fldCharType="separate"/>
      </w:r>
      <w:r>
        <w:rPr>
          <w:noProof/>
        </w:rPr>
        <w:t>503</w:t>
      </w:r>
      <w:r>
        <w:fldChar w:fldCharType="end"/>
      </w:r>
    </w:p>
    <w:p w:rsidR="005F78FC" w:rsidRDefault="00B42EF3">
      <w:pPr>
        <w:pStyle w:val="indexentry0"/>
      </w:pPr>
      <w:hyperlink w:anchor="section_9847db85c8ee40f08c7ecdca7563544b">
        <w:r>
          <w:rPr>
            <w:rStyle w:val="Hyperlink"/>
          </w:rPr>
          <w:t>blur (Blur Effect)</w:t>
        </w:r>
      </w:hyperlink>
      <w:r>
        <w:t xml:space="preserve"> </w:t>
      </w:r>
      <w:r>
        <w:fldChar w:fldCharType="begin"/>
      </w:r>
      <w:r>
        <w:instrText>PAGEREF section_9847db85c8ee40f08c7ecdca7563544b</w:instrText>
      </w:r>
      <w:r>
        <w:fldChar w:fldCharType="separate"/>
      </w:r>
      <w:r>
        <w:rPr>
          <w:noProof/>
        </w:rPr>
        <w:t>515</w:t>
      </w:r>
      <w:r>
        <w:fldChar w:fldCharType="end"/>
      </w:r>
    </w:p>
    <w:p w:rsidR="005F78FC" w:rsidRDefault="00B42EF3">
      <w:pPr>
        <w:pStyle w:val="indexentry0"/>
      </w:pPr>
      <w:hyperlink w:anchor="section_8d43fabb714e4c4c9d9d854d046f1857">
        <w:r>
          <w:rPr>
            <w:rStyle w:val="Hyperlink"/>
          </w:rPr>
          <w:t>body (Document Body)</w:t>
        </w:r>
      </w:hyperlink>
      <w:r>
        <w:t xml:space="preserve"> </w:t>
      </w:r>
      <w:r>
        <w:fldChar w:fldCharType="begin"/>
      </w:r>
      <w:r>
        <w:instrText>PAGEREF section_8d43fabb714e4c4c9d9d854d046f1857</w:instrText>
      </w:r>
      <w:r>
        <w:fldChar w:fldCharType="separate"/>
      </w:r>
      <w:r>
        <w:rPr>
          <w:noProof/>
        </w:rPr>
        <w:t>65</w:t>
      </w:r>
      <w:r>
        <w:fldChar w:fldCharType="end"/>
      </w:r>
    </w:p>
    <w:p w:rsidR="005F78FC" w:rsidRDefault="00B42EF3">
      <w:pPr>
        <w:pStyle w:val="indexentry0"/>
      </w:pPr>
      <w:hyperlink w:anchor="section_72855a96a6b84efb89ed82550c7768c7">
        <w:r>
          <w:rPr>
            <w:rStyle w:val="Hyperlink"/>
          </w:rPr>
          <w:t>Body Fo</w:t>
        </w:r>
        <w:r>
          <w:rPr>
            <w:rStyle w:val="Hyperlink"/>
          </w:rPr>
          <w:t>rmatting</w:t>
        </w:r>
      </w:hyperlink>
      <w:r>
        <w:t xml:space="preserve"> </w:t>
      </w:r>
      <w:r>
        <w:fldChar w:fldCharType="begin"/>
      </w:r>
      <w:r>
        <w:instrText>PAGEREF section_72855a96a6b84efb89ed82550c7768c7</w:instrText>
      </w:r>
      <w:r>
        <w:fldChar w:fldCharType="separate"/>
      </w:r>
      <w:r>
        <w:rPr>
          <w:noProof/>
        </w:rPr>
        <w:t>531</w:t>
      </w:r>
      <w:r>
        <w:fldChar w:fldCharType="end"/>
      </w:r>
    </w:p>
    <w:p w:rsidR="005F78FC" w:rsidRDefault="00B42EF3">
      <w:pPr>
        <w:pStyle w:val="indexentry0"/>
      </w:pPr>
      <w:hyperlink w:anchor="section_848d73bb8eec4704bcd5ba25de573e9a">
        <w:r>
          <w:rPr>
            <w:rStyle w:val="Hyperlink"/>
          </w:rPr>
          <w:t>bodyDiv (Data for HTML body Element)</w:t>
        </w:r>
      </w:hyperlink>
      <w:r>
        <w:t xml:space="preserve"> </w:t>
      </w:r>
      <w:r>
        <w:fldChar w:fldCharType="begin"/>
      </w:r>
      <w:r>
        <w:instrText>PAGEREF section_848d73bb8eec4704bcd5ba25de573e9a</w:instrText>
      </w:r>
      <w:r>
        <w:fldChar w:fldCharType="separate"/>
      </w:r>
      <w:r>
        <w:rPr>
          <w:noProof/>
        </w:rPr>
        <w:t>164</w:t>
      </w:r>
      <w:r>
        <w:fldChar w:fldCharType="end"/>
      </w:r>
    </w:p>
    <w:p w:rsidR="005F78FC" w:rsidRDefault="00B42EF3">
      <w:pPr>
        <w:pStyle w:val="indexentry0"/>
      </w:pPr>
      <w:hyperlink w:anchor="section_b3da041fd56f464ba9b32e3274de9caf">
        <w:r>
          <w:rPr>
            <w:rStyle w:val="Hyperlink"/>
          </w:rPr>
          <w:t>bodyPr (Body Properties)</w:t>
        </w:r>
      </w:hyperlink>
      <w:r>
        <w:t xml:space="preserve"> </w:t>
      </w:r>
      <w:r>
        <w:fldChar w:fldCharType="begin"/>
      </w:r>
      <w:r>
        <w:instrText>PAGEREF section_b3da041fd56f464ba9b32e3274de9caf</w:instrText>
      </w:r>
      <w:r>
        <w:fldChar w:fldCharType="separate"/>
      </w:r>
      <w:r>
        <w:rPr>
          <w:noProof/>
        </w:rPr>
        <w:t>531</w:t>
      </w:r>
      <w:r>
        <w:fldChar w:fldCharType="end"/>
      </w:r>
    </w:p>
    <w:p w:rsidR="005F78FC" w:rsidRDefault="00B42EF3">
      <w:pPr>
        <w:pStyle w:val="indexentry0"/>
      </w:pPr>
      <w:hyperlink w:anchor="section_a3f96a731cad4a64a7e3cf18ad747708">
        <w:r>
          <w:rPr>
            <w:rStyle w:val="Hyperlink"/>
          </w:rPr>
          <w:t>bookFoldPrinting (Book Fold Printing)</w:t>
        </w:r>
      </w:hyperlink>
      <w:r>
        <w:t xml:space="preserve"> </w:t>
      </w:r>
      <w:r>
        <w:fldChar w:fldCharType="begin"/>
      </w:r>
      <w:r>
        <w:instrText>PAGEREF section_a3f96a731cad4a64a7e3cf18ad747708</w:instrText>
      </w:r>
      <w:r>
        <w:fldChar w:fldCharType="separate"/>
      </w:r>
      <w:r>
        <w:rPr>
          <w:noProof/>
        </w:rPr>
        <w:t>152</w:t>
      </w:r>
      <w:r>
        <w:fldChar w:fldCharType="end"/>
      </w:r>
    </w:p>
    <w:p w:rsidR="005F78FC" w:rsidRDefault="00B42EF3">
      <w:pPr>
        <w:pStyle w:val="indexentry0"/>
      </w:pPr>
      <w:hyperlink w:anchor="section_54ddf37e03b84d0391a4755fb2c6695a">
        <w:r>
          <w:rPr>
            <w:rStyle w:val="Hyperlink"/>
          </w:rPr>
          <w:t>bookFoldPrintingSheets (Number of Pages Per Booklet)</w:t>
        </w:r>
      </w:hyperlink>
      <w:r>
        <w:t xml:space="preserve"> </w:t>
      </w:r>
      <w:r>
        <w:fldChar w:fldCharType="begin"/>
      </w:r>
      <w:r>
        <w:instrText>PAGEREF section_54ddf37e03b84d0391a4755fb2c6695a</w:instrText>
      </w:r>
      <w:r>
        <w:fldChar w:fldCharType="separate"/>
      </w:r>
      <w:r>
        <w:rPr>
          <w:noProof/>
        </w:rPr>
        <w:t>152</w:t>
      </w:r>
      <w:r>
        <w:fldChar w:fldCharType="end"/>
      </w:r>
    </w:p>
    <w:p w:rsidR="005F78FC" w:rsidRDefault="00B42EF3">
      <w:pPr>
        <w:pStyle w:val="indexentry0"/>
      </w:pPr>
      <w:hyperlink w:anchor="section_4a4ba7698bc142b3b66208b23bd8e953">
        <w:r>
          <w:rPr>
            <w:rStyle w:val="Hyperlink"/>
          </w:rPr>
          <w:t>bookFoldRevPrinting (Reverse Bo</w:t>
        </w:r>
        <w:r>
          <w:rPr>
            <w:rStyle w:val="Hyperlink"/>
          </w:rPr>
          <w:t>ok Fold Printing)</w:t>
        </w:r>
      </w:hyperlink>
      <w:r>
        <w:t xml:space="preserve"> </w:t>
      </w:r>
      <w:r>
        <w:fldChar w:fldCharType="begin"/>
      </w:r>
      <w:r>
        <w:instrText>PAGEREF section_4a4ba7698bc142b3b66208b23bd8e953</w:instrText>
      </w:r>
      <w:r>
        <w:fldChar w:fldCharType="separate"/>
      </w:r>
      <w:r>
        <w:rPr>
          <w:noProof/>
        </w:rPr>
        <w:t>152</w:t>
      </w:r>
      <w:r>
        <w:fldChar w:fldCharType="end"/>
      </w:r>
    </w:p>
    <w:p w:rsidR="005F78FC" w:rsidRDefault="00B42EF3">
      <w:pPr>
        <w:pStyle w:val="indexentry0"/>
      </w:pPr>
      <w:hyperlink w:anchor="section_fa51f4d3bb2a4fac845f8368432e3174">
        <w:r>
          <w:rPr>
            <w:rStyle w:val="Hyperlink"/>
          </w:rPr>
          <w:t>bookmarkEnd (Bookmark End)</w:t>
        </w:r>
      </w:hyperlink>
      <w:r>
        <w:t xml:space="preserve"> </w:t>
      </w:r>
      <w:r>
        <w:fldChar w:fldCharType="begin"/>
      </w:r>
      <w:r>
        <w:instrText>PAGEREF section_fa51f4d3bb2a4fac845f8368432e3174</w:instrText>
      </w:r>
      <w:r>
        <w:fldChar w:fldCharType="separate"/>
      </w:r>
      <w:r>
        <w:rPr>
          <w:noProof/>
        </w:rPr>
        <w:t>143</w:t>
      </w:r>
      <w:r>
        <w:fldChar w:fldCharType="end"/>
      </w:r>
    </w:p>
    <w:p w:rsidR="005F78FC" w:rsidRDefault="00B42EF3">
      <w:pPr>
        <w:pStyle w:val="indexentry0"/>
      </w:pPr>
      <w:r>
        <w:t>Bookmarks (</w:t>
      </w:r>
      <w:hyperlink w:anchor="section_a790410f43e742a89105776a6c661fdd">
        <w:r>
          <w:rPr>
            <w:rStyle w:val="Hyperlink"/>
          </w:rPr>
          <w:t>section 2.1.354</w:t>
        </w:r>
      </w:hyperlink>
      <w:r>
        <w:t xml:space="preserve"> </w:t>
      </w:r>
      <w:r>
        <w:fldChar w:fldCharType="begin"/>
      </w:r>
      <w:r>
        <w:instrText>PAGEREF section_a790410f43e742a89105776a6c661fdd</w:instrText>
      </w:r>
      <w:r>
        <w:fldChar w:fldCharType="separate"/>
      </w:r>
      <w:r>
        <w:rPr>
          <w:noProof/>
        </w:rPr>
        <w:t>143</w:t>
      </w:r>
      <w:r>
        <w:fldChar w:fldCharType="end"/>
      </w:r>
      <w:r>
        <w:t xml:space="preserve">, </w:t>
      </w:r>
      <w:hyperlink w:anchor="section_0e7a01caa5cd40aea9c6248bfda82221">
        <w:r>
          <w:rPr>
            <w:rStyle w:val="Hyperlink"/>
          </w:rPr>
          <w:t>section 2.1.455</w:t>
        </w:r>
      </w:hyperlink>
      <w:r>
        <w:t xml:space="preserve"> </w:t>
      </w:r>
      <w:r>
        <w:fldChar w:fldCharType="begin"/>
      </w:r>
      <w:r>
        <w:instrText>PAGEREF section_0e7a01caa5cd40aea9c6248bfda82221</w:instrText>
      </w:r>
      <w:r>
        <w:fldChar w:fldCharType="separate"/>
      </w:r>
      <w:r>
        <w:rPr>
          <w:noProof/>
        </w:rPr>
        <w:t>168</w:t>
      </w:r>
      <w:r>
        <w:fldChar w:fldCharType="end"/>
      </w:r>
      <w:r>
        <w:t>)</w:t>
      </w:r>
    </w:p>
    <w:p w:rsidR="005F78FC" w:rsidRDefault="00B42EF3">
      <w:pPr>
        <w:pStyle w:val="indexentry0"/>
      </w:pPr>
      <w:hyperlink w:anchor="section_da8b8f592af149d98553f0c1ff2fb18d">
        <w:r>
          <w:rPr>
            <w:rStyle w:val="Hyperlink"/>
          </w:rPr>
          <w:t>bookmarkStart (Bookmark Start)</w:t>
        </w:r>
      </w:hyperlink>
      <w:r>
        <w:t xml:space="preserve"> </w:t>
      </w:r>
      <w:r>
        <w:fldChar w:fldCharType="begin"/>
      </w:r>
      <w:r>
        <w:instrText>PAGEREF section_da8b8f592af149d98553f0c1ff2fb18d</w:instrText>
      </w:r>
      <w:r>
        <w:fldChar w:fldCharType="separate"/>
      </w:r>
      <w:r>
        <w:rPr>
          <w:noProof/>
        </w:rPr>
        <w:t>143</w:t>
      </w:r>
      <w:r>
        <w:fldChar w:fldCharType="end"/>
      </w:r>
    </w:p>
    <w:p w:rsidR="005F78FC" w:rsidRDefault="00B42EF3">
      <w:pPr>
        <w:pStyle w:val="indexentry0"/>
      </w:pPr>
      <w:hyperlink w:anchor="section_b48d891444844a4f843315a9a24c3dc9">
        <w:r>
          <w:rPr>
            <w:rStyle w:val="Hyperlink"/>
          </w:rPr>
          <w:t>bookViews (Workbook Views)</w:t>
        </w:r>
      </w:hyperlink>
      <w:r>
        <w:t xml:space="preserve"> </w:t>
      </w:r>
      <w:r>
        <w:fldChar w:fldCharType="begin"/>
      </w:r>
      <w:r>
        <w:instrText>PAGEREF section_b48d</w:instrText>
      </w:r>
      <w:r>
        <w:instrText>891444844a4f843315a9a24c3dc9</w:instrText>
      </w:r>
      <w:r>
        <w:fldChar w:fldCharType="separate"/>
      </w:r>
      <w:r>
        <w:rPr>
          <w:noProof/>
        </w:rPr>
        <w:t>240</w:t>
      </w:r>
      <w:r>
        <w:fldChar w:fldCharType="end"/>
      </w:r>
    </w:p>
    <w:p w:rsidR="005F78FC" w:rsidRDefault="00B42EF3">
      <w:pPr>
        <w:pStyle w:val="indexentry0"/>
      </w:pPr>
      <w:hyperlink w:anchor="section_e9bf10bfee5749fa9c1baece23e733cb">
        <w:r>
          <w:rPr>
            <w:rStyle w:val="Hyperlink"/>
          </w:rPr>
          <w:t>border (Border)</w:t>
        </w:r>
      </w:hyperlink>
      <w:r>
        <w:t xml:space="preserve"> </w:t>
      </w:r>
      <w:r>
        <w:fldChar w:fldCharType="begin"/>
      </w:r>
      <w:r>
        <w:instrText>PAGEREF section_e9bf10bfee5749fa9c1baece23e733cb</w:instrText>
      </w:r>
      <w:r>
        <w:fldChar w:fldCharType="separate"/>
      </w:r>
      <w:r>
        <w:rPr>
          <w:noProof/>
        </w:rPr>
        <w:t>300</w:t>
      </w:r>
      <w:r>
        <w:fldChar w:fldCharType="end"/>
      </w:r>
    </w:p>
    <w:p w:rsidR="005F78FC" w:rsidRDefault="00B42EF3">
      <w:pPr>
        <w:pStyle w:val="indexentry0"/>
      </w:pPr>
      <w:hyperlink w:anchor="section_d0a2b96f99034c8289c27e34cc52d020">
        <w:r>
          <w:rPr>
            <w:rStyle w:val="Hyperlink"/>
          </w:rPr>
          <w:t>borderbottom (Bottom Border)</w:t>
        </w:r>
      </w:hyperlink>
      <w:r>
        <w:t xml:space="preserve"> </w:t>
      </w:r>
      <w:r>
        <w:fldChar w:fldCharType="begin"/>
      </w:r>
      <w:r>
        <w:instrText>P</w:instrText>
      </w:r>
      <w:r>
        <w:instrText>AGEREF section_d0a2b96f99034c8289c27e34cc52d020</w:instrText>
      </w:r>
      <w:r>
        <w:fldChar w:fldCharType="separate"/>
      </w:r>
      <w:r>
        <w:rPr>
          <w:noProof/>
        </w:rPr>
        <w:t>678</w:t>
      </w:r>
      <w:r>
        <w:fldChar w:fldCharType="end"/>
      </w:r>
    </w:p>
    <w:p w:rsidR="005F78FC" w:rsidRDefault="00B42EF3">
      <w:pPr>
        <w:pStyle w:val="indexentry0"/>
      </w:pPr>
      <w:hyperlink w:anchor="section_04b9c6a86b734659894e9b43618ee281">
        <w:r>
          <w:rPr>
            <w:rStyle w:val="Hyperlink"/>
          </w:rPr>
          <w:t>borderBox (Border-Box Object)</w:t>
        </w:r>
      </w:hyperlink>
      <w:r>
        <w:t xml:space="preserve"> </w:t>
      </w:r>
      <w:r>
        <w:fldChar w:fldCharType="begin"/>
      </w:r>
      <w:r>
        <w:instrText>PAGEREF section_04b9c6a86b734659894e9b43618ee281</w:instrText>
      </w:r>
      <w:r>
        <w:fldChar w:fldCharType="separate"/>
      </w:r>
      <w:r>
        <w:rPr>
          <w:noProof/>
        </w:rPr>
        <w:t>597</w:t>
      </w:r>
      <w:r>
        <w:fldChar w:fldCharType="end"/>
      </w:r>
    </w:p>
    <w:p w:rsidR="005F78FC" w:rsidRDefault="00B42EF3">
      <w:pPr>
        <w:pStyle w:val="indexentry0"/>
      </w:pPr>
      <w:hyperlink w:anchor="section_50efd17939e4450bb66ae0dd74d98853">
        <w:r>
          <w:rPr>
            <w:rStyle w:val="Hyperlink"/>
          </w:rPr>
          <w:t>borderleft (Left Border)</w:t>
        </w:r>
      </w:hyperlink>
      <w:r>
        <w:t xml:space="preserve"> </w:t>
      </w:r>
      <w:r>
        <w:fldChar w:fldCharType="begin"/>
      </w:r>
      <w:r>
        <w:instrText>PAGEREF section_50efd17939e4450bb66ae0dd74d98853</w:instrText>
      </w:r>
      <w:r>
        <w:fldChar w:fldCharType="separate"/>
      </w:r>
      <w:r>
        <w:rPr>
          <w:noProof/>
        </w:rPr>
        <w:t>678</w:t>
      </w:r>
      <w:r>
        <w:fldChar w:fldCharType="end"/>
      </w:r>
    </w:p>
    <w:p w:rsidR="005F78FC" w:rsidRDefault="00B42EF3">
      <w:pPr>
        <w:pStyle w:val="indexentry0"/>
      </w:pPr>
      <w:hyperlink w:anchor="section_6e4d3dcfc0e3410a84fa7a1ea06c6256">
        <w:r>
          <w:rPr>
            <w:rStyle w:val="Hyperlink"/>
          </w:rPr>
          <w:t>borderright (Right Border)</w:t>
        </w:r>
      </w:hyperlink>
      <w:r>
        <w:t xml:space="preserve"> </w:t>
      </w:r>
      <w:r>
        <w:fldChar w:fldCharType="begin"/>
      </w:r>
      <w:r>
        <w:instrText>PAGEREF section_6e4d3dcfc0e3410a84fa7a1ea06c6256</w:instrText>
      </w:r>
      <w:r>
        <w:fldChar w:fldCharType="separate"/>
      </w:r>
      <w:r>
        <w:rPr>
          <w:noProof/>
        </w:rPr>
        <w:t>678</w:t>
      </w:r>
      <w:r>
        <w:fldChar w:fldCharType="end"/>
      </w:r>
    </w:p>
    <w:p w:rsidR="005F78FC" w:rsidRDefault="00B42EF3">
      <w:pPr>
        <w:pStyle w:val="indexentry0"/>
      </w:pPr>
      <w:hyperlink w:anchor="section_c3c609ef965745b98a9f023bf50268df">
        <w:r>
          <w:rPr>
            <w:rStyle w:val="Hyperlink"/>
          </w:rPr>
          <w:t>borders (Borders)</w:t>
        </w:r>
      </w:hyperlink>
      <w:r>
        <w:t xml:space="preserve"> </w:t>
      </w:r>
      <w:r>
        <w:fldChar w:fldCharType="begin"/>
      </w:r>
      <w:r>
        <w:instrText>PAGEREF section_c3c609ef965745b98a9f023bf50268df</w:instrText>
      </w:r>
      <w:r>
        <w:fldChar w:fldCharType="separate"/>
      </w:r>
      <w:r>
        <w:rPr>
          <w:noProof/>
        </w:rPr>
        <w:t>300</w:t>
      </w:r>
      <w:r>
        <w:fldChar w:fldCharType="end"/>
      </w:r>
    </w:p>
    <w:p w:rsidR="005F78FC" w:rsidRDefault="00B42EF3">
      <w:pPr>
        <w:pStyle w:val="indexentry0"/>
      </w:pPr>
      <w:hyperlink w:anchor="section_81843e90dc284502a2a4ec384c2f60b5">
        <w:r>
          <w:rPr>
            <w:rStyle w:val="Hyperlink"/>
          </w:rPr>
          <w:t>bordertop (Top Border)</w:t>
        </w:r>
      </w:hyperlink>
      <w:r>
        <w:t xml:space="preserve"> </w:t>
      </w:r>
      <w:r>
        <w:fldChar w:fldCharType="begin"/>
      </w:r>
      <w:r>
        <w:instrText>PAGEREF section_81843e90dc284502a2a4ec384c2f60b5</w:instrText>
      </w:r>
      <w:r>
        <w:fldChar w:fldCharType="separate"/>
      </w:r>
      <w:r>
        <w:rPr>
          <w:noProof/>
        </w:rPr>
        <w:t>678</w:t>
      </w:r>
      <w:r>
        <w:fldChar w:fldCharType="end"/>
      </w:r>
    </w:p>
    <w:p w:rsidR="005F78FC" w:rsidRDefault="00B42EF3">
      <w:pPr>
        <w:pStyle w:val="indexentry0"/>
      </w:pPr>
      <w:hyperlink w:anchor="section_629fcc767cc14e55b9b3b6354b20116a">
        <w:r>
          <w:rPr>
            <w:rStyle w:val="Hyperlink"/>
          </w:rPr>
          <w:t>bottom (Bottom Border for HTML div)</w:t>
        </w:r>
      </w:hyperlink>
      <w:r>
        <w:t xml:space="preserve"> </w:t>
      </w:r>
      <w:r>
        <w:fldChar w:fldCharType="begin"/>
      </w:r>
      <w:r>
        <w:instrText>PAGEREF section_629fcc767cc14e55b9b3b6354b20116a</w:instrText>
      </w:r>
      <w:r>
        <w:fldChar w:fldCharType="separate"/>
      </w:r>
      <w:r>
        <w:rPr>
          <w:noProof/>
        </w:rPr>
        <w:t>164</w:t>
      </w:r>
      <w:r>
        <w:fldChar w:fldCharType="end"/>
      </w:r>
    </w:p>
    <w:p w:rsidR="005F78FC" w:rsidRDefault="00B42EF3">
      <w:pPr>
        <w:pStyle w:val="indexentry0"/>
      </w:pPr>
      <w:hyperlink w:anchor="section_98ca3cc91270454bbd1c41a7afc55ffc">
        <w:r>
          <w:rPr>
            <w:rStyle w:val="Hyperlink"/>
          </w:rPr>
          <w:t>bottom (Bottom Border)</w:t>
        </w:r>
      </w:hyperlink>
      <w:r>
        <w:t xml:space="preserve"> </w:t>
      </w:r>
      <w:r>
        <w:fldChar w:fldCharType="begin"/>
      </w:r>
      <w:r>
        <w:instrText>PAGEREF section_98ca3cc91270454bbd1c41a7afc55ffc</w:instrText>
      </w:r>
      <w:r>
        <w:fldChar w:fldCharType="separate"/>
      </w:r>
      <w:r>
        <w:rPr>
          <w:noProof/>
        </w:rPr>
        <w:t>104</w:t>
      </w:r>
      <w:r>
        <w:fldChar w:fldCharType="end"/>
      </w:r>
    </w:p>
    <w:p w:rsidR="005F78FC" w:rsidRDefault="00B42EF3">
      <w:pPr>
        <w:pStyle w:val="indexentry0"/>
      </w:pPr>
      <w:hyperlink w:anchor="section_51e18657b7924721833351f4e3aba8bf">
        <w:r>
          <w:rPr>
            <w:rStyle w:val="Hyperlink"/>
          </w:rPr>
          <w:t>bottom (Paragraph Border Below Identical Paragraphs)</w:t>
        </w:r>
      </w:hyperlink>
      <w:r>
        <w:t xml:space="preserve"> </w:t>
      </w:r>
      <w:r>
        <w:fldChar w:fldCharType="begin"/>
      </w:r>
      <w:r>
        <w:instrText>PAGEREF section_51e18657b7924721833351f4e3aba8bf</w:instrText>
      </w:r>
      <w:r>
        <w:fldChar w:fldCharType="separate"/>
      </w:r>
      <w:r>
        <w:rPr>
          <w:noProof/>
        </w:rPr>
        <w:t>66</w:t>
      </w:r>
      <w:r>
        <w:fldChar w:fldCharType="end"/>
      </w:r>
    </w:p>
    <w:p w:rsidR="005F78FC" w:rsidRDefault="00B42EF3">
      <w:pPr>
        <w:pStyle w:val="indexentry0"/>
      </w:pPr>
      <w:hyperlink w:anchor="section_ae7dd4da0bda48e69d365645b9c35ce6">
        <w:r>
          <w:rPr>
            <w:rStyle w:val="Hyperlink"/>
          </w:rPr>
          <w:t>bottom (Table Bottom Border)</w:t>
        </w:r>
      </w:hyperlink>
      <w:r>
        <w:t xml:space="preserve"> </w:t>
      </w:r>
      <w:r>
        <w:fldChar w:fldCharType="begin"/>
      </w:r>
      <w:r>
        <w:instrText>PAGEREF section_ae7dd4da0bda48e69d365645b9c35ce6</w:instrText>
      </w:r>
      <w:r>
        <w:fldChar w:fldCharType="separate"/>
      </w:r>
      <w:r>
        <w:rPr>
          <w:noProof/>
        </w:rPr>
        <w:t>84</w:t>
      </w:r>
      <w:r>
        <w:fldChar w:fldCharType="end"/>
      </w:r>
    </w:p>
    <w:p w:rsidR="005F78FC" w:rsidRDefault="00B42EF3">
      <w:pPr>
        <w:pStyle w:val="indexentry0"/>
      </w:pPr>
      <w:hyperlink w:anchor="section_a24ca39e7f694a89a30e13abea010529">
        <w:r>
          <w:rPr>
            <w:rStyle w:val="Hyperlink"/>
          </w:rPr>
          <w:t>bottom (Table Cell Bottom Border)</w:t>
        </w:r>
      </w:hyperlink>
      <w:r>
        <w:t xml:space="preserve"> </w:t>
      </w:r>
      <w:r>
        <w:fldChar w:fldCharType="begin"/>
      </w:r>
      <w:r>
        <w:instrText>PAGEREF section_a24ca39e7f694a89a30e13abea010529</w:instrText>
      </w:r>
      <w:r>
        <w:fldChar w:fldCharType="separate"/>
      </w:r>
      <w:r>
        <w:rPr>
          <w:noProof/>
        </w:rPr>
        <w:t>84</w:t>
      </w:r>
      <w:r>
        <w:fldChar w:fldCharType="end"/>
      </w:r>
    </w:p>
    <w:p w:rsidR="005F78FC" w:rsidRDefault="00B42EF3">
      <w:pPr>
        <w:pStyle w:val="indexentry0"/>
      </w:pPr>
      <w:hyperlink w:anchor="section_0dd57f39232e42649600a0075f27b8b4">
        <w:r>
          <w:rPr>
            <w:rStyle w:val="Hyperlink"/>
          </w:rPr>
          <w:t>bottom (Table Cell Bottom Margin Default)</w:t>
        </w:r>
      </w:hyperlink>
      <w:r>
        <w:t xml:space="preserve"> </w:t>
      </w:r>
      <w:r>
        <w:fldChar w:fldCharType="begin"/>
      </w:r>
      <w:r>
        <w:instrText>PAGEREF section_0dd57f39232e42649600a0075f27b8b4</w:instrText>
      </w:r>
      <w:r>
        <w:fldChar w:fldCharType="separate"/>
      </w:r>
      <w:r>
        <w:rPr>
          <w:noProof/>
        </w:rPr>
        <w:t>84</w:t>
      </w:r>
      <w:r>
        <w:fldChar w:fldCharType="end"/>
      </w:r>
    </w:p>
    <w:p w:rsidR="005F78FC" w:rsidRDefault="00B42EF3">
      <w:pPr>
        <w:pStyle w:val="indexentry0"/>
      </w:pPr>
      <w:hyperlink w:anchor="section_8301b45dae9045f18fcaf3e3bd7d9c49">
        <w:r>
          <w:rPr>
            <w:rStyle w:val="Hyperlink"/>
          </w:rPr>
          <w:t>bottom (Table Cell Bottom Margin Exception)</w:t>
        </w:r>
      </w:hyperlink>
      <w:r>
        <w:t xml:space="preserve"> </w:t>
      </w:r>
      <w:r>
        <w:fldChar w:fldCharType="begin"/>
      </w:r>
      <w:r>
        <w:instrText>PAGEREF section_8301b45dae9045f18fcaf3e3bd7d9c49</w:instrText>
      </w:r>
      <w:r>
        <w:fldChar w:fldCharType="separate"/>
      </w:r>
      <w:r>
        <w:rPr>
          <w:noProof/>
        </w:rPr>
        <w:t>84</w:t>
      </w:r>
      <w:r>
        <w:fldChar w:fldCharType="end"/>
      </w:r>
    </w:p>
    <w:p w:rsidR="005F78FC" w:rsidRDefault="00B42EF3">
      <w:pPr>
        <w:pStyle w:val="indexentry0"/>
      </w:pPr>
      <w:hyperlink w:anchor="section_584b988653c243efa8577c5d7041a8db">
        <w:r>
          <w:rPr>
            <w:rStyle w:val="Hyperlink"/>
          </w:rPr>
          <w:t>bottom (Text Box Bottom Stroke)</w:t>
        </w:r>
      </w:hyperlink>
      <w:r>
        <w:t xml:space="preserve"> </w:t>
      </w:r>
      <w:r>
        <w:fldChar w:fldCharType="begin"/>
      </w:r>
      <w:r>
        <w:instrText>PAGEREF section_584b988653c243efa8577c5d7041a8db</w:instrText>
      </w:r>
      <w:r>
        <w:fldChar w:fldCharType="separate"/>
      </w:r>
      <w:r>
        <w:rPr>
          <w:noProof/>
        </w:rPr>
        <w:t>662</w:t>
      </w:r>
      <w:r>
        <w:fldChar w:fldCharType="end"/>
      </w:r>
    </w:p>
    <w:p w:rsidR="005F78FC" w:rsidRDefault="00B42EF3">
      <w:pPr>
        <w:pStyle w:val="indexentry0"/>
      </w:pPr>
      <w:hyperlink w:anchor="section_6c82f95eeec145d1ac3a8e4a19eb716f">
        <w:r>
          <w:rPr>
            <w:rStyle w:val="Hyperlink"/>
          </w:rPr>
          <w:t>bounds (Bounds)</w:t>
        </w:r>
      </w:hyperlink>
      <w:r>
        <w:t xml:space="preserve"> </w:t>
      </w:r>
      <w:r>
        <w:fldChar w:fldCharType="begin"/>
      </w:r>
      <w:r>
        <w:instrText>PAGEREF section_6c82f95eeec145d1ac3a8e4a19eb716f</w:instrText>
      </w:r>
      <w:r>
        <w:fldChar w:fldCharType="separate"/>
      </w:r>
      <w:r>
        <w:rPr>
          <w:noProof/>
        </w:rPr>
        <w:t>832</w:t>
      </w:r>
      <w:r>
        <w:fldChar w:fldCharType="end"/>
      </w:r>
    </w:p>
    <w:p w:rsidR="005F78FC" w:rsidRDefault="00B42EF3">
      <w:pPr>
        <w:pStyle w:val="indexentry0"/>
      </w:pPr>
      <w:hyperlink w:anchor="section_63c8849f1c244a1b94b3e987f4a20e54">
        <w:r>
          <w:rPr>
            <w:rStyle w:val="Hyperlink"/>
          </w:rPr>
          <w:t>box (Box Object)</w:t>
        </w:r>
      </w:hyperlink>
      <w:r>
        <w:t xml:space="preserve"> </w:t>
      </w:r>
      <w:r>
        <w:fldChar w:fldCharType="begin"/>
      </w:r>
      <w:r>
        <w:instrText>PAGEREF section_63c8849f1c244a1b94b3e987f4a20e54</w:instrText>
      </w:r>
      <w:r>
        <w:fldChar w:fldCharType="separate"/>
      </w:r>
      <w:r>
        <w:rPr>
          <w:noProof/>
        </w:rPr>
        <w:t>597</w:t>
      </w:r>
      <w:r>
        <w:fldChar w:fldCharType="end"/>
      </w:r>
    </w:p>
    <w:p w:rsidR="005F78FC" w:rsidRDefault="00B42EF3">
      <w:pPr>
        <w:pStyle w:val="indexentry0"/>
      </w:pPr>
      <w:r>
        <w:t>brk (B</w:t>
      </w:r>
      <w:r>
        <w:t>reak) (</w:t>
      </w:r>
      <w:hyperlink w:anchor="section_77730f137af942e096c70b349853617e">
        <w:r>
          <w:rPr>
            <w:rStyle w:val="Hyperlink"/>
          </w:rPr>
          <w:t>section 2.1.588</w:t>
        </w:r>
      </w:hyperlink>
      <w:r>
        <w:t xml:space="preserve"> </w:t>
      </w:r>
      <w:r>
        <w:fldChar w:fldCharType="begin"/>
      </w:r>
      <w:r>
        <w:instrText>PAGEREF section_77730f137af942e096c70b349853617e</w:instrText>
      </w:r>
      <w:r>
        <w:fldChar w:fldCharType="separate"/>
      </w:r>
      <w:r>
        <w:rPr>
          <w:noProof/>
        </w:rPr>
        <w:t>254</w:t>
      </w:r>
      <w:r>
        <w:fldChar w:fldCharType="end"/>
      </w:r>
      <w:r>
        <w:t xml:space="preserve">, </w:t>
      </w:r>
      <w:hyperlink w:anchor="section_9742c999b0654a7091b509d6a6cf99f7">
        <w:r>
          <w:rPr>
            <w:rStyle w:val="Hyperlink"/>
          </w:rPr>
          <w:t>section 2.1.1645</w:t>
        </w:r>
      </w:hyperlink>
      <w:r>
        <w:t xml:space="preserve"> </w:t>
      </w:r>
      <w:r>
        <w:fldChar w:fldCharType="begin"/>
      </w:r>
      <w:r>
        <w:instrText>PAGEREF section_9742c999b0654a7091b509d6a6cf99f7</w:instrText>
      </w:r>
      <w:r>
        <w:fldChar w:fldCharType="separate"/>
      </w:r>
      <w:r>
        <w:rPr>
          <w:noProof/>
        </w:rPr>
        <w:t>597</w:t>
      </w:r>
      <w:r>
        <w:fldChar w:fldCharType="end"/>
      </w:r>
      <w:r>
        <w:t>)</w:t>
      </w:r>
    </w:p>
    <w:p w:rsidR="005F78FC" w:rsidRDefault="00B42EF3">
      <w:pPr>
        <w:pStyle w:val="indexentry0"/>
      </w:pPr>
      <w:hyperlink w:anchor="section_b8441f8d1013434e8d86ba06b64e4d92">
        <w:r>
          <w:rPr>
            <w:rStyle w:val="Hyperlink"/>
          </w:rPr>
          <w:t>bubble3D (3D Bubble)</w:t>
        </w:r>
      </w:hyperlink>
      <w:r>
        <w:t xml:space="preserve"> </w:t>
      </w:r>
      <w:r>
        <w:fldChar w:fldCharType="begin"/>
      </w:r>
      <w:r>
        <w:instrText>PAGEREF section_b8441f8d1013434e8d86ba06b64e4d92</w:instrText>
      </w:r>
      <w:r>
        <w:fldChar w:fldCharType="separate"/>
      </w:r>
      <w:r>
        <w:rPr>
          <w:noProof/>
        </w:rPr>
        <w:t>548</w:t>
      </w:r>
      <w:r>
        <w:fldChar w:fldCharType="end"/>
      </w:r>
    </w:p>
    <w:p w:rsidR="005F78FC" w:rsidRDefault="00B42EF3">
      <w:pPr>
        <w:pStyle w:val="indexentry0"/>
      </w:pPr>
      <w:hyperlink w:anchor="section_c99aee60a26e465486070e0411ea81eb">
        <w:r>
          <w:rPr>
            <w:rStyle w:val="Hyperlink"/>
          </w:rPr>
          <w:t>bubble</w:t>
        </w:r>
        <w:r>
          <w:rPr>
            <w:rStyle w:val="Hyperlink"/>
          </w:rPr>
          <w:t>Chart (Bubble Charts)</w:t>
        </w:r>
      </w:hyperlink>
      <w:r>
        <w:t xml:space="preserve"> </w:t>
      </w:r>
      <w:r>
        <w:fldChar w:fldCharType="begin"/>
      </w:r>
      <w:r>
        <w:instrText>PAGEREF section_c99aee60a26e465486070e0411ea81eb</w:instrText>
      </w:r>
      <w:r>
        <w:fldChar w:fldCharType="separate"/>
      </w:r>
      <w:r>
        <w:rPr>
          <w:noProof/>
        </w:rPr>
        <w:t>548</w:t>
      </w:r>
      <w:r>
        <w:fldChar w:fldCharType="end"/>
      </w:r>
    </w:p>
    <w:p w:rsidR="005F78FC" w:rsidRDefault="00B42EF3">
      <w:pPr>
        <w:pStyle w:val="indexentry0"/>
      </w:pPr>
      <w:hyperlink w:anchor="section_123e703d328a48d08dfa6f364e02e166">
        <w:r>
          <w:rPr>
            <w:rStyle w:val="Hyperlink"/>
          </w:rPr>
          <w:t>buFont (Specified)</w:t>
        </w:r>
      </w:hyperlink>
      <w:r>
        <w:t xml:space="preserve"> </w:t>
      </w:r>
      <w:r>
        <w:fldChar w:fldCharType="begin"/>
      </w:r>
      <w:r>
        <w:instrText>PAGEREF section_123e703d328a48d08dfa6f364e02e166</w:instrText>
      </w:r>
      <w:r>
        <w:fldChar w:fldCharType="separate"/>
      </w:r>
      <w:r>
        <w:rPr>
          <w:noProof/>
        </w:rPr>
        <w:t>542</w:t>
      </w:r>
      <w:r>
        <w:fldChar w:fldCharType="end"/>
      </w:r>
    </w:p>
    <w:p w:rsidR="005F78FC" w:rsidRDefault="00B42EF3">
      <w:pPr>
        <w:pStyle w:val="indexentry0"/>
      </w:pPr>
      <w:hyperlink w:anchor="section_cce3b3b3a43d4e95b9771428b377e670">
        <w:r>
          <w:rPr>
            <w:rStyle w:val="Hyperlink"/>
          </w:rPr>
          <w:t>builtInUnit (Built in Display Unit Value)</w:t>
        </w:r>
      </w:hyperlink>
      <w:r>
        <w:t xml:space="preserve"> </w:t>
      </w:r>
      <w:r>
        <w:fldChar w:fldCharType="begin"/>
      </w:r>
      <w:r>
        <w:instrText>PAGEREF section_cce3b3b3a43d4e95b9771428b377e670</w:instrText>
      </w:r>
      <w:r>
        <w:fldChar w:fldCharType="separate"/>
      </w:r>
      <w:r>
        <w:rPr>
          <w:noProof/>
        </w:rPr>
        <w:t>548</w:t>
      </w:r>
      <w:r>
        <w:fldChar w:fldCharType="end"/>
      </w:r>
    </w:p>
    <w:p w:rsidR="005F78FC" w:rsidRDefault="00B42EF3">
      <w:pPr>
        <w:pStyle w:val="indexentry0"/>
      </w:pPr>
      <w:hyperlink w:anchor="section_7d31ebc1a52e4e29975b99e32babe803">
        <w:r>
          <w:rPr>
            <w:rStyle w:val="Hyperlink"/>
          </w:rPr>
          <w:t>buSzPct (Bullet Size Percentage)</w:t>
        </w:r>
      </w:hyperlink>
      <w:r>
        <w:t xml:space="preserve"> </w:t>
      </w:r>
      <w:r>
        <w:fldChar w:fldCharType="begin"/>
      </w:r>
      <w:r>
        <w:instrText>PAGEREF section_7d31ebc1a52e4e29975b99e32babe803</w:instrText>
      </w:r>
      <w:r>
        <w:fldChar w:fldCharType="separate"/>
      </w:r>
      <w:r>
        <w:rPr>
          <w:noProof/>
        </w:rPr>
        <w:t>542</w:t>
      </w:r>
      <w:r>
        <w:fldChar w:fldCharType="end"/>
      </w:r>
    </w:p>
    <w:p w:rsidR="005F78FC" w:rsidRDefault="00B42EF3">
      <w:pPr>
        <w:pStyle w:val="indexentry0"/>
      </w:pPr>
      <w:hyperlink w:anchor="section_1da3efd797b349a096ea8377e149177f">
        <w:r>
          <w:rPr>
            <w:rStyle w:val="Hyperlink"/>
          </w:rPr>
          <w:t>buSzPts (Bullet Size Points)</w:t>
        </w:r>
      </w:hyperlink>
      <w:r>
        <w:t xml:space="preserve"> </w:t>
      </w:r>
      <w:r>
        <w:fldChar w:fldCharType="begin"/>
      </w:r>
      <w:r>
        <w:instrText>PAGEREF section_1da3efd797b349a096ea8377e149177f</w:instrText>
      </w:r>
      <w:r>
        <w:fldChar w:fldCharType="separate"/>
      </w:r>
      <w:r>
        <w:rPr>
          <w:noProof/>
        </w:rPr>
        <w:t>542</w:t>
      </w:r>
      <w:r>
        <w:fldChar w:fldCharType="end"/>
      </w:r>
    </w:p>
    <w:p w:rsidR="005F78FC" w:rsidRDefault="00B42EF3">
      <w:pPr>
        <w:pStyle w:val="indexentry0"/>
      </w:pPr>
      <w:hyperlink w:anchor="section_f8515cce689b42c6aaa1816d25c1fd7b">
        <w:r>
          <w:rPr>
            <w:rStyle w:val="Hyperlink"/>
          </w:rPr>
          <w:t>by (By)</w:t>
        </w:r>
      </w:hyperlink>
      <w:r>
        <w:t xml:space="preserve"> </w:t>
      </w:r>
      <w:r>
        <w:fldChar w:fldCharType="begin"/>
      </w:r>
      <w:r>
        <w:instrText>PAGEREF section_f8515cce689b42c6aaa181</w:instrText>
      </w:r>
      <w:r>
        <w:instrText>6d25c1fd7b</w:instrText>
      </w:r>
      <w:r>
        <w:fldChar w:fldCharType="separate"/>
      </w:r>
      <w:r>
        <w:rPr>
          <w:noProof/>
        </w:rPr>
        <w:t>481</w:t>
      </w:r>
      <w:r>
        <w:fldChar w:fldCharType="end"/>
      </w:r>
    </w:p>
    <w:p w:rsidR="005F78FC" w:rsidRDefault="005F78FC">
      <w:pPr>
        <w:spacing w:before="0" w:after="0"/>
        <w:rPr>
          <w:sz w:val="16"/>
        </w:rPr>
      </w:pPr>
    </w:p>
    <w:p w:rsidR="005F78FC" w:rsidRDefault="00B42EF3">
      <w:pPr>
        <w:pStyle w:val="indexheader"/>
      </w:pPr>
      <w:r>
        <w:t>C</w:t>
      </w:r>
    </w:p>
    <w:p w:rsidR="005F78FC" w:rsidRDefault="005F78FC">
      <w:pPr>
        <w:spacing w:before="0" w:after="0"/>
        <w:rPr>
          <w:sz w:val="16"/>
        </w:rPr>
      </w:pPr>
    </w:p>
    <w:p w:rsidR="005F78FC" w:rsidRDefault="00B42EF3">
      <w:pPr>
        <w:pStyle w:val="indexentry0"/>
      </w:pPr>
      <w:r>
        <w:t>c (Cell) (</w:t>
      </w:r>
      <w:hyperlink w:anchor="section_2fd4e47f09654c6095bdcff980b6c325">
        <w:r>
          <w:rPr>
            <w:rStyle w:val="Hyperlink"/>
          </w:rPr>
          <w:t>section 2.1.589</w:t>
        </w:r>
      </w:hyperlink>
      <w:r>
        <w:t xml:space="preserve"> </w:t>
      </w:r>
      <w:r>
        <w:fldChar w:fldCharType="begin"/>
      </w:r>
      <w:r>
        <w:instrText>PAGEREF section_2fd4e47f09654c6095bdcff980b6c325</w:instrText>
      </w:r>
      <w:r>
        <w:fldChar w:fldCharType="separate"/>
      </w:r>
      <w:r>
        <w:rPr>
          <w:noProof/>
        </w:rPr>
        <w:t>254</w:t>
      </w:r>
      <w:r>
        <w:fldChar w:fldCharType="end"/>
      </w:r>
      <w:r>
        <w:t xml:space="preserve">, </w:t>
      </w:r>
      <w:hyperlink w:anchor="section_67a432a81f584198aec477849c1684fd">
        <w:r>
          <w:rPr>
            <w:rStyle w:val="Hyperlink"/>
          </w:rPr>
          <w:t>section 2.1.687</w:t>
        </w:r>
      </w:hyperlink>
      <w:r>
        <w:t xml:space="preserve"> </w:t>
      </w:r>
      <w:r>
        <w:fldChar w:fldCharType="begin"/>
      </w:r>
      <w:r>
        <w:instrText>PAGEREF section_67a432a81f584198aec477849c1684fd</w:instrText>
      </w:r>
      <w:r>
        <w:fldChar w:fldCharType="separate"/>
      </w:r>
      <w:r>
        <w:rPr>
          <w:noProof/>
        </w:rPr>
        <w:t>297</w:t>
      </w:r>
      <w:r>
        <w:fldChar w:fldCharType="end"/>
      </w:r>
      <w:r>
        <w:t>)</w:t>
      </w:r>
    </w:p>
    <w:p w:rsidR="005F78FC" w:rsidRDefault="00B42EF3">
      <w:pPr>
        <w:pStyle w:val="indexentry0"/>
      </w:pPr>
      <w:hyperlink w:anchor="section_845c830c9d3b4d99be5cf95219b7e3ed">
        <w:r>
          <w:rPr>
            <w:rStyle w:val="Hyperlink"/>
          </w:rPr>
          <w:t>cached (Cached View)</w:t>
        </w:r>
      </w:hyperlink>
      <w:r>
        <w:t xml:space="preserve"> </w:t>
      </w:r>
      <w:r>
        <w:fldChar w:fldCharType="begin"/>
      </w:r>
      <w:r>
        <w:instrText>PAGEREF section_845c830c9d3b4d99be5cf95219b7e3ed</w:instrText>
      </w:r>
      <w:r>
        <w:fldChar w:fldCharType="separate"/>
      </w:r>
      <w:r>
        <w:rPr>
          <w:noProof/>
        </w:rPr>
        <w:t>875</w:t>
      </w:r>
      <w:r>
        <w:fldChar w:fldCharType="end"/>
      </w:r>
    </w:p>
    <w:p w:rsidR="005F78FC" w:rsidRDefault="00B42EF3">
      <w:pPr>
        <w:pStyle w:val="indexentry0"/>
      </w:pPr>
      <w:hyperlink w:anchor="section_a49a42d4fc784030ae6099400cba9912">
        <w:r>
          <w:rPr>
            <w:rStyle w:val="Hyperlink"/>
          </w:rPr>
          <w:t>cacheF</w:t>
        </w:r>
        <w:r>
          <w:rPr>
            <w:rStyle w:val="Hyperlink"/>
          </w:rPr>
          <w:t>ield (PivotCache Field)</w:t>
        </w:r>
      </w:hyperlink>
      <w:r>
        <w:t xml:space="preserve"> </w:t>
      </w:r>
      <w:r>
        <w:fldChar w:fldCharType="begin"/>
      </w:r>
      <w:r>
        <w:instrText>PAGEREF section_a49a42d4fc784030ae6099400cba9912</w:instrText>
      </w:r>
      <w:r>
        <w:fldChar w:fldCharType="separate"/>
      </w:r>
      <w:r>
        <w:rPr>
          <w:noProof/>
        </w:rPr>
        <w:t>329</w:t>
      </w:r>
      <w:r>
        <w:fldChar w:fldCharType="end"/>
      </w:r>
    </w:p>
    <w:p w:rsidR="005F78FC" w:rsidRDefault="00B42EF3">
      <w:pPr>
        <w:pStyle w:val="indexentry0"/>
      </w:pPr>
      <w:hyperlink w:anchor="section_f4b94667953e402280d4ca58568e6e05">
        <w:r>
          <w:rPr>
            <w:rStyle w:val="Hyperlink"/>
          </w:rPr>
          <w:t>cacheFields (PivotCache Fields)</w:t>
        </w:r>
      </w:hyperlink>
      <w:r>
        <w:t xml:space="preserve"> </w:t>
      </w:r>
      <w:r>
        <w:fldChar w:fldCharType="begin"/>
      </w:r>
      <w:r>
        <w:instrText>PAGEREF section_f4b94667953e402280d4ca58568e6e05</w:instrText>
      </w:r>
      <w:r>
        <w:fldChar w:fldCharType="separate"/>
      </w:r>
      <w:r>
        <w:rPr>
          <w:noProof/>
        </w:rPr>
        <w:t>330</w:t>
      </w:r>
      <w:r>
        <w:fldChar w:fldCharType="end"/>
      </w:r>
    </w:p>
    <w:p w:rsidR="005F78FC" w:rsidRDefault="00B42EF3">
      <w:pPr>
        <w:pStyle w:val="indexentry0"/>
      </w:pPr>
      <w:hyperlink w:anchor="section_ce3dcffc9d464d52a8817969baf5c473">
        <w:r>
          <w:rPr>
            <w:rStyle w:val="Hyperlink"/>
          </w:rPr>
          <w:t>cacheHierarchies (PivotCache Hierarchies)</w:t>
        </w:r>
      </w:hyperlink>
      <w:r>
        <w:t xml:space="preserve"> </w:t>
      </w:r>
      <w:r>
        <w:fldChar w:fldCharType="begin"/>
      </w:r>
      <w:r>
        <w:instrText>PAGEREF section_ce3dcffc9d464d52a8817969baf5c473</w:instrText>
      </w:r>
      <w:r>
        <w:fldChar w:fldCharType="separate"/>
      </w:r>
      <w:r>
        <w:rPr>
          <w:noProof/>
        </w:rPr>
        <w:t>331</w:t>
      </w:r>
      <w:r>
        <w:fldChar w:fldCharType="end"/>
      </w:r>
    </w:p>
    <w:p w:rsidR="005F78FC" w:rsidRDefault="00B42EF3">
      <w:pPr>
        <w:pStyle w:val="indexentry0"/>
      </w:pPr>
      <w:hyperlink w:anchor="section_f8e3fe8da78d4f5bb970f9f5b0fa6d35">
        <w:r>
          <w:rPr>
            <w:rStyle w:val="Hyperlink"/>
          </w:rPr>
          <w:t>cacheHierarchy (PivotCache Hierarchy)</w:t>
        </w:r>
      </w:hyperlink>
      <w:r>
        <w:t xml:space="preserve"> </w:t>
      </w:r>
      <w:r>
        <w:fldChar w:fldCharType="begin"/>
      </w:r>
      <w:r>
        <w:instrText>PAGEREF section_f8e3fe8da78d4</w:instrText>
      </w:r>
      <w:r>
        <w:instrText>f5bb970f9f5b0fa6d35</w:instrText>
      </w:r>
      <w:r>
        <w:fldChar w:fldCharType="separate"/>
      </w:r>
      <w:r>
        <w:rPr>
          <w:noProof/>
        </w:rPr>
        <w:t>331</w:t>
      </w:r>
      <w:r>
        <w:fldChar w:fldCharType="end"/>
      </w:r>
    </w:p>
    <w:p w:rsidR="005F78FC" w:rsidRDefault="00B42EF3">
      <w:pPr>
        <w:pStyle w:val="indexentry0"/>
      </w:pPr>
      <w:hyperlink w:anchor="section_4aff486b66ff4a1ea8529ea51026f79f">
        <w:r>
          <w:rPr>
            <w:rStyle w:val="Hyperlink"/>
          </w:rPr>
          <w:t>cacheSource (PivotCache Source Description)</w:t>
        </w:r>
      </w:hyperlink>
      <w:r>
        <w:t xml:space="preserve"> </w:t>
      </w:r>
      <w:r>
        <w:fldChar w:fldCharType="begin"/>
      </w:r>
      <w:r>
        <w:instrText>PAGEREF section_4aff486b66ff4a1ea8529ea51026f79f</w:instrText>
      </w:r>
      <w:r>
        <w:fldChar w:fldCharType="separate"/>
      </w:r>
      <w:r>
        <w:rPr>
          <w:noProof/>
        </w:rPr>
        <w:t>332</w:t>
      </w:r>
      <w:r>
        <w:fldChar w:fldCharType="end"/>
      </w:r>
    </w:p>
    <w:p w:rsidR="005F78FC" w:rsidRDefault="00B42EF3">
      <w:pPr>
        <w:pStyle w:val="indexentry0"/>
      </w:pPr>
      <w:hyperlink w:anchor="section_9a86ba923c7d4538a7ae4c262aab614d">
        <w:r>
          <w:rPr>
            <w:rStyle w:val="Hyperlink"/>
          </w:rPr>
          <w:t>calcPr (Calcu</w:t>
        </w:r>
        <w:r>
          <w:rPr>
            <w:rStyle w:val="Hyperlink"/>
          </w:rPr>
          <w:t>lation Properties)</w:t>
        </w:r>
      </w:hyperlink>
      <w:r>
        <w:t xml:space="preserve"> </w:t>
      </w:r>
      <w:r>
        <w:fldChar w:fldCharType="begin"/>
      </w:r>
      <w:r>
        <w:instrText>PAGEREF section_9a86ba923c7d4538a7ae4c262aab614d</w:instrText>
      </w:r>
      <w:r>
        <w:fldChar w:fldCharType="separate"/>
      </w:r>
      <w:r>
        <w:rPr>
          <w:noProof/>
        </w:rPr>
        <w:t>240</w:t>
      </w:r>
      <w:r>
        <w:fldChar w:fldCharType="end"/>
      </w:r>
    </w:p>
    <w:p w:rsidR="005F78FC" w:rsidRDefault="00B42EF3">
      <w:pPr>
        <w:pStyle w:val="indexentry0"/>
      </w:pPr>
      <w:hyperlink w:anchor="section_4ab53f1cccd94ab282254a85dca99917">
        <w:r>
          <w:rPr>
            <w:rStyle w:val="Hyperlink"/>
          </w:rPr>
          <w:t>Calculated Field Formulas</w:t>
        </w:r>
      </w:hyperlink>
      <w:r>
        <w:t xml:space="preserve"> </w:t>
      </w:r>
      <w:r>
        <w:fldChar w:fldCharType="begin"/>
      </w:r>
      <w:r>
        <w:instrText>PAGEREF section_4ab53f1cccd94ab282254a85dca99917</w:instrText>
      </w:r>
      <w:r>
        <w:fldChar w:fldCharType="separate"/>
      </w:r>
      <w:r>
        <w:rPr>
          <w:noProof/>
        </w:rPr>
        <w:t>848</w:t>
      </w:r>
      <w:r>
        <w:fldChar w:fldCharType="end"/>
      </w:r>
    </w:p>
    <w:p w:rsidR="005F78FC" w:rsidRDefault="00B42EF3">
      <w:pPr>
        <w:pStyle w:val="indexentry0"/>
      </w:pPr>
      <w:hyperlink w:anchor="section_4f7eca6a309a4694aad918b5e4e30124">
        <w:r>
          <w:rPr>
            <w:rStyle w:val="Hyperlink"/>
          </w:rPr>
          <w:t>Calculated Item Formulas</w:t>
        </w:r>
      </w:hyperlink>
      <w:r>
        <w:t xml:space="preserve"> </w:t>
      </w:r>
      <w:r>
        <w:fldChar w:fldCharType="begin"/>
      </w:r>
      <w:r>
        <w:instrText>PAGEREF section_4f7eca6a309a4694aad918b5e4e30124</w:instrText>
      </w:r>
      <w:r>
        <w:fldChar w:fldCharType="separate"/>
      </w:r>
      <w:r>
        <w:rPr>
          <w:noProof/>
        </w:rPr>
        <w:t>848</w:t>
      </w:r>
      <w:r>
        <w:fldChar w:fldCharType="end"/>
      </w:r>
    </w:p>
    <w:p w:rsidR="005F78FC" w:rsidRDefault="00B42EF3">
      <w:pPr>
        <w:pStyle w:val="indexentry0"/>
      </w:pPr>
      <w:hyperlink w:anchor="section_128d23b57cee4fdf9d4f94103e1bc48f">
        <w:r>
          <w:rPr>
            <w:rStyle w:val="Hyperlink"/>
          </w:rPr>
          <w:t>calculatedColumnFormula (Calculated Column Formula)</w:t>
        </w:r>
      </w:hyperlink>
      <w:r>
        <w:t xml:space="preserve"> </w:t>
      </w:r>
      <w:r>
        <w:fldChar w:fldCharType="begin"/>
      </w:r>
      <w:r>
        <w:instrText>PAGEREF section_128d23b57cee4fdf9d4f94103e1bc48f</w:instrText>
      </w:r>
      <w:r>
        <w:fldChar w:fldCharType="separate"/>
      </w:r>
      <w:r>
        <w:rPr>
          <w:noProof/>
        </w:rPr>
        <w:t>294</w:t>
      </w:r>
      <w:r>
        <w:fldChar w:fldCharType="end"/>
      </w:r>
    </w:p>
    <w:p w:rsidR="005F78FC" w:rsidRDefault="00B42EF3">
      <w:pPr>
        <w:pStyle w:val="indexentry0"/>
      </w:pPr>
      <w:hyperlink w:anchor="section_25596798a09d4c18a407e55532fb09f9">
        <w:r>
          <w:rPr>
            <w:rStyle w:val="Hyperlink"/>
          </w:rPr>
          <w:t>calculatedItem (Calculated Item)</w:t>
        </w:r>
      </w:hyperlink>
      <w:r>
        <w:t xml:space="preserve"> </w:t>
      </w:r>
      <w:r>
        <w:fldChar w:fldCharType="begin"/>
      </w:r>
      <w:r>
        <w:instrText>PAGEREF section_25596798a09d4c18a407e55532fb09f9</w:instrText>
      </w:r>
      <w:r>
        <w:fldChar w:fldCharType="separate"/>
      </w:r>
      <w:r>
        <w:rPr>
          <w:noProof/>
        </w:rPr>
        <w:t>332</w:t>
      </w:r>
      <w:r>
        <w:fldChar w:fldCharType="end"/>
      </w:r>
    </w:p>
    <w:p w:rsidR="005F78FC" w:rsidRDefault="00B42EF3">
      <w:pPr>
        <w:pStyle w:val="indexentry0"/>
      </w:pPr>
      <w:hyperlink w:anchor="section_6e081fece42441c1be2e8f97ec01cf18">
        <w:r>
          <w:rPr>
            <w:rStyle w:val="Hyperlink"/>
          </w:rPr>
          <w:t>calculatedMember (Calculated Member)</w:t>
        </w:r>
      </w:hyperlink>
      <w:r>
        <w:t xml:space="preserve"> </w:t>
      </w:r>
      <w:r>
        <w:fldChar w:fldCharType="begin"/>
      </w:r>
      <w:r>
        <w:instrText>PAGEREF section_6e081fece42441c1be2e8f97ec01cf18</w:instrText>
      </w:r>
      <w:r>
        <w:fldChar w:fldCharType="separate"/>
      </w:r>
      <w:r>
        <w:rPr>
          <w:noProof/>
        </w:rPr>
        <w:t>333</w:t>
      </w:r>
      <w:r>
        <w:fldChar w:fldCharType="end"/>
      </w:r>
    </w:p>
    <w:p w:rsidR="005F78FC" w:rsidRDefault="00B42EF3">
      <w:pPr>
        <w:pStyle w:val="indexentry0"/>
      </w:pPr>
      <w:hyperlink w:anchor="section_079e8828cbc545a482a8afb3558d35de">
        <w:r>
          <w:rPr>
            <w:rStyle w:val="Hyperlink"/>
          </w:rPr>
          <w:t>callout (Callout)</w:t>
        </w:r>
      </w:hyperlink>
      <w:r>
        <w:t xml:space="preserve"> </w:t>
      </w:r>
      <w:r>
        <w:fldChar w:fldCharType="begin"/>
      </w:r>
      <w:r>
        <w:instrText>PAGEREF section_079e8828cbc545a482a8afb3558d35de</w:instrText>
      </w:r>
      <w:r>
        <w:fldChar w:fldCharType="separate"/>
      </w:r>
      <w:r>
        <w:rPr>
          <w:noProof/>
        </w:rPr>
        <w:t>664</w:t>
      </w:r>
      <w:r>
        <w:fldChar w:fldCharType="end"/>
      </w:r>
    </w:p>
    <w:p w:rsidR="005F78FC" w:rsidRDefault="00B42EF3">
      <w:pPr>
        <w:pStyle w:val="indexentry0"/>
      </w:pPr>
      <w:hyperlink w:anchor="section_7bd8939081b34e18b4c296d9f5c67c34">
        <w:r>
          <w:rPr>
            <w:rStyle w:val="Hyperlink"/>
          </w:rPr>
          <w:t>Camera (Camera Tool)</w:t>
        </w:r>
      </w:hyperlink>
      <w:r>
        <w:t xml:space="preserve"> </w:t>
      </w:r>
      <w:r>
        <w:fldChar w:fldCharType="begin"/>
      </w:r>
      <w:r>
        <w:instrText>PAGEREF section_7bd8939081b34e18b4c296d9f5c67c34</w:instrText>
      </w:r>
      <w:r>
        <w:fldChar w:fldCharType="separate"/>
      </w:r>
      <w:r>
        <w:rPr>
          <w:noProof/>
        </w:rPr>
        <w:t>679</w:t>
      </w:r>
      <w:r>
        <w:fldChar w:fldCharType="end"/>
      </w:r>
    </w:p>
    <w:p w:rsidR="005F78FC" w:rsidRDefault="00B42EF3">
      <w:pPr>
        <w:pStyle w:val="indexentry0"/>
      </w:pPr>
      <w:hyperlink w:anchor="section_6c1de672ac3d4387a01d6788aa7f34fa">
        <w:r>
          <w:rPr>
            <w:rStyle w:val="Hyperlink"/>
          </w:rPr>
          <w:t>camera (Camera)</w:t>
        </w:r>
      </w:hyperlink>
      <w:r>
        <w:t xml:space="preserve"> </w:t>
      </w:r>
      <w:r>
        <w:fldChar w:fldCharType="begin"/>
      </w:r>
      <w:r>
        <w:instrText>PAGEREF section_6c1de672ac3d4387a01d6788a</w:instrText>
      </w:r>
      <w:r>
        <w:instrText>a7f34fa</w:instrText>
      </w:r>
      <w:r>
        <w:fldChar w:fldCharType="separate"/>
      </w:r>
      <w:r>
        <w:rPr>
          <w:noProof/>
        </w:rPr>
        <w:t>510</w:t>
      </w:r>
      <w:r>
        <w:fldChar w:fldCharType="end"/>
      </w:r>
    </w:p>
    <w:p w:rsidR="005F78FC" w:rsidRDefault="00B42EF3">
      <w:pPr>
        <w:pStyle w:val="indexentry0"/>
      </w:pPr>
      <w:hyperlink w:anchor="section_a55188f724434c17ba5a75999085bab4">
        <w:r>
          <w:rPr>
            <w:rStyle w:val="Hyperlink"/>
          </w:rPr>
          <w:t>cantSplit (Table Row Cannot Break Across Pages)</w:t>
        </w:r>
      </w:hyperlink>
      <w:r>
        <w:t xml:space="preserve"> </w:t>
      </w:r>
      <w:r>
        <w:fldChar w:fldCharType="begin"/>
      </w:r>
      <w:r>
        <w:instrText>PAGEREF section_a55188f724434c17ba5a75999085bab4</w:instrText>
      </w:r>
      <w:r>
        <w:fldChar w:fldCharType="separate"/>
      </w:r>
      <w:r>
        <w:rPr>
          <w:noProof/>
        </w:rPr>
        <w:t>85</w:t>
      </w:r>
      <w:r>
        <w:fldChar w:fldCharType="end"/>
      </w:r>
    </w:p>
    <w:p w:rsidR="005F78FC" w:rsidRDefault="00B42EF3">
      <w:pPr>
        <w:pStyle w:val="indexentry0"/>
      </w:pPr>
      <w:hyperlink w:anchor="section_5ac3ac4fcfc24a6ab6f30bb1ce1e0628">
        <w:r>
          <w:rPr>
            <w:rStyle w:val="Hyperlink"/>
          </w:rPr>
          <w:t>caption (Single Capti</w:t>
        </w:r>
        <w:r>
          <w:rPr>
            <w:rStyle w:val="Hyperlink"/>
          </w:rPr>
          <w:t>on Type Definition)</w:t>
        </w:r>
      </w:hyperlink>
      <w:r>
        <w:t xml:space="preserve"> </w:t>
      </w:r>
      <w:r>
        <w:fldChar w:fldCharType="begin"/>
      </w:r>
      <w:r>
        <w:instrText>PAGEREF section_5ac3ac4fcfc24a6ab6f30bb1ce1e0628</w:instrText>
      </w:r>
      <w:r>
        <w:fldChar w:fldCharType="separate"/>
      </w:r>
      <w:r>
        <w:rPr>
          <w:noProof/>
        </w:rPr>
        <w:t>153</w:t>
      </w:r>
      <w:r>
        <w:fldChar w:fldCharType="end"/>
      </w:r>
    </w:p>
    <w:p w:rsidR="005F78FC" w:rsidRDefault="00B42EF3">
      <w:pPr>
        <w:pStyle w:val="indexentry0"/>
      </w:pPr>
      <w:hyperlink w:anchor="section_6bef7b68188f4b29b696d9676810e906">
        <w:r>
          <w:rPr>
            <w:rStyle w:val="Hyperlink"/>
          </w:rPr>
          <w:t>captions (Caption Settings)</w:t>
        </w:r>
      </w:hyperlink>
      <w:r>
        <w:t xml:space="preserve"> </w:t>
      </w:r>
      <w:r>
        <w:fldChar w:fldCharType="begin"/>
      </w:r>
      <w:r>
        <w:instrText>PAGEREF section_6bef7b68188f4b29b696d9676810e906</w:instrText>
      </w:r>
      <w:r>
        <w:fldChar w:fldCharType="separate"/>
      </w:r>
      <w:r>
        <w:rPr>
          <w:noProof/>
        </w:rPr>
        <w:t>153</w:t>
      </w:r>
      <w:r>
        <w:fldChar w:fldCharType="end"/>
      </w:r>
    </w:p>
    <w:p w:rsidR="005F78FC" w:rsidRDefault="00B42EF3">
      <w:pPr>
        <w:pStyle w:val="indexentry0"/>
      </w:pPr>
      <w:hyperlink w:anchor="section_ea16141cf0bc469ca1a0214e200eda61">
        <w:r>
          <w:rPr>
            <w:rStyle w:val="Hyperlink"/>
          </w:rPr>
          <w:t>cat (Category Axis Data)</w:t>
        </w:r>
      </w:hyperlink>
      <w:r>
        <w:t xml:space="preserve"> </w:t>
      </w:r>
      <w:r>
        <w:fldChar w:fldCharType="begin"/>
      </w:r>
      <w:r>
        <w:instrText>PAGEREF section_ea16141cf0bc469ca1a0214e200eda61</w:instrText>
      </w:r>
      <w:r>
        <w:fldChar w:fldCharType="separate"/>
      </w:r>
      <w:r>
        <w:rPr>
          <w:noProof/>
        </w:rPr>
        <w:t>548</w:t>
      </w:r>
      <w:r>
        <w:fldChar w:fldCharType="end"/>
      </w:r>
    </w:p>
    <w:p w:rsidR="005F78FC" w:rsidRDefault="00B42EF3">
      <w:pPr>
        <w:pStyle w:val="indexentry0"/>
      </w:pPr>
      <w:hyperlink w:anchor="section_c6aec8b1cbe34239ba00b837970abc14">
        <w:r>
          <w:rPr>
            <w:rStyle w:val="Hyperlink"/>
          </w:rPr>
          <w:t>catAx (Category Axis Data)</w:t>
        </w:r>
      </w:hyperlink>
      <w:r>
        <w:t xml:space="preserve"> </w:t>
      </w:r>
      <w:r>
        <w:fldChar w:fldCharType="begin"/>
      </w:r>
      <w:r>
        <w:instrText>PAGEREF section_c6aec8b1cbe34239ba00b837970abc14</w:instrText>
      </w:r>
      <w:r>
        <w:fldChar w:fldCharType="separate"/>
      </w:r>
      <w:r>
        <w:rPr>
          <w:noProof/>
        </w:rPr>
        <w:t>548</w:t>
      </w:r>
      <w:r>
        <w:fldChar w:fldCharType="end"/>
      </w:r>
    </w:p>
    <w:p w:rsidR="005F78FC" w:rsidRDefault="00B42EF3">
      <w:pPr>
        <w:pStyle w:val="indexentry0"/>
      </w:pPr>
      <w:hyperlink w:anchor="section_b9a20a7864014a8b8ca9b31ead409132">
        <w:r>
          <w:rPr>
            <w:rStyle w:val="Hyperlink"/>
          </w:rPr>
          <w:t>cBhvr (Common Behavior)</w:t>
        </w:r>
      </w:hyperlink>
      <w:r>
        <w:t xml:space="preserve"> </w:t>
      </w:r>
      <w:r>
        <w:fldChar w:fldCharType="begin"/>
      </w:r>
      <w:r>
        <w:instrText>PAGEREF section_b9a20a7864014a8b8ca9b31ead409132</w:instrText>
      </w:r>
      <w:r>
        <w:fldChar w:fldCharType="separate"/>
      </w:r>
      <w:r>
        <w:rPr>
          <w:noProof/>
        </w:rPr>
        <w:t>482</w:t>
      </w:r>
      <w:r>
        <w:fldChar w:fldCharType="end"/>
      </w:r>
    </w:p>
    <w:p w:rsidR="005F78FC" w:rsidRDefault="00B42EF3">
      <w:pPr>
        <w:pStyle w:val="indexentry0"/>
      </w:pPr>
      <w:hyperlink w:anchor="section_7e24f68ff81d4fa3852f9c7fe2152ea9">
        <w:r>
          <w:rPr>
            <w:rStyle w:val="Hyperlink"/>
          </w:rPr>
          <w:t>CEILING</w:t>
        </w:r>
      </w:hyperlink>
      <w:r>
        <w:t xml:space="preserve"> </w:t>
      </w:r>
      <w:r>
        <w:fldChar w:fldCharType="begin"/>
      </w:r>
      <w:r>
        <w:instrText>PAGEREF section_7e24f68ff81d4fa3852f9c7fe2152e</w:instrText>
      </w:r>
      <w:r>
        <w:instrText>a9</w:instrText>
      </w:r>
      <w:r>
        <w:fldChar w:fldCharType="separate"/>
      </w:r>
      <w:r>
        <w:rPr>
          <w:noProof/>
        </w:rPr>
        <w:t>405</w:t>
      </w:r>
      <w:r>
        <w:fldChar w:fldCharType="end"/>
      </w:r>
    </w:p>
    <w:p w:rsidR="005F78FC" w:rsidRDefault="00B42EF3">
      <w:pPr>
        <w:pStyle w:val="indexentry0"/>
      </w:pPr>
      <w:hyperlink w:anchor="section_286f442f1e6b427da03b5aefc05bd879">
        <w:r>
          <w:rPr>
            <w:rStyle w:val="Hyperlink"/>
          </w:rPr>
          <w:t>CELL</w:t>
        </w:r>
      </w:hyperlink>
      <w:r>
        <w:t xml:space="preserve"> </w:t>
      </w:r>
      <w:r>
        <w:fldChar w:fldCharType="begin"/>
      </w:r>
      <w:r>
        <w:instrText>PAGEREF section_286f442f1e6b427da03b5aefc05bd879</w:instrText>
      </w:r>
      <w:r>
        <w:fldChar w:fldCharType="separate"/>
      </w:r>
      <w:r>
        <w:rPr>
          <w:noProof/>
        </w:rPr>
        <w:t>405</w:t>
      </w:r>
      <w:r>
        <w:fldChar w:fldCharType="end"/>
      </w:r>
    </w:p>
    <w:p w:rsidR="005F78FC" w:rsidRDefault="00B42EF3">
      <w:pPr>
        <w:pStyle w:val="indexentry0"/>
      </w:pPr>
      <w:hyperlink w:anchor="section_8c8d962a5d154229a28f2ebf88bdd6fc">
        <w:r>
          <w:rPr>
            <w:rStyle w:val="Hyperlink"/>
          </w:rPr>
          <w:t>cell (External Cell Data)</w:t>
        </w:r>
      </w:hyperlink>
      <w:r>
        <w:t xml:space="preserve"> </w:t>
      </w:r>
      <w:r>
        <w:fldChar w:fldCharType="begin"/>
      </w:r>
      <w:r>
        <w:instrText>PAGEREF section_8c8d962a5d154229a28f2ebf8</w:instrText>
      </w:r>
      <w:r>
        <w:instrText>8bdd6fc</w:instrText>
      </w:r>
      <w:r>
        <w:fldChar w:fldCharType="separate"/>
      </w:r>
      <w:r>
        <w:rPr>
          <w:noProof/>
        </w:rPr>
        <w:t>382</w:t>
      </w:r>
      <w:r>
        <w:fldChar w:fldCharType="end"/>
      </w:r>
    </w:p>
    <w:p w:rsidR="005F78FC" w:rsidRDefault="00B42EF3">
      <w:pPr>
        <w:pStyle w:val="indexentry0"/>
      </w:pPr>
      <w:hyperlink w:anchor="section_3c420ebb6ef14b0d959d76e88c841c3e">
        <w:r>
          <w:rPr>
            <w:rStyle w:val="Hyperlink"/>
          </w:rPr>
          <w:t>Cell References</w:t>
        </w:r>
      </w:hyperlink>
      <w:r>
        <w:t xml:space="preserve"> </w:t>
      </w:r>
      <w:r>
        <w:fldChar w:fldCharType="begin"/>
      </w:r>
      <w:r>
        <w:instrText>PAGEREF section_3c420ebb6ef14b0d959d76e88c841c3e</w:instrText>
      </w:r>
      <w:r>
        <w:fldChar w:fldCharType="separate"/>
      </w:r>
      <w:r>
        <w:rPr>
          <w:noProof/>
        </w:rPr>
        <w:t>395</w:t>
      </w:r>
      <w:r>
        <w:fldChar w:fldCharType="end"/>
      </w:r>
    </w:p>
    <w:p w:rsidR="005F78FC" w:rsidRDefault="00B42EF3">
      <w:pPr>
        <w:pStyle w:val="indexentry0"/>
      </w:pPr>
      <w:hyperlink w:anchor="section_04b8093a565e4c3c93f6496fd8601311">
        <w:r>
          <w:rPr>
            <w:rStyle w:val="Hyperlink"/>
          </w:rPr>
          <w:t>cell3D (Cell 3-D)</w:t>
        </w:r>
      </w:hyperlink>
      <w:r>
        <w:t xml:space="preserve"> </w:t>
      </w:r>
      <w:r>
        <w:fldChar w:fldCharType="begin"/>
      </w:r>
      <w:r>
        <w:instrText>PAGEREF section_04b8093a565e4c3c9</w:instrText>
      </w:r>
      <w:r>
        <w:instrText>3f6496fd8601311</w:instrText>
      </w:r>
      <w:r>
        <w:fldChar w:fldCharType="separate"/>
      </w:r>
      <w:r>
        <w:rPr>
          <w:noProof/>
        </w:rPr>
        <w:t>543</w:t>
      </w:r>
      <w:r>
        <w:fldChar w:fldCharType="end"/>
      </w:r>
    </w:p>
    <w:p w:rsidR="005F78FC" w:rsidRDefault="00B42EF3">
      <w:pPr>
        <w:pStyle w:val="indexentry0"/>
      </w:pPr>
      <w:hyperlink w:anchor="section_cf861d389d024d8e8fe7450a01f33d40">
        <w:r>
          <w:rPr>
            <w:rStyle w:val="Hyperlink"/>
          </w:rPr>
          <w:t>cellDel (Table Cell Deletion)</w:t>
        </w:r>
      </w:hyperlink>
      <w:r>
        <w:t xml:space="preserve"> </w:t>
      </w:r>
      <w:r>
        <w:fldChar w:fldCharType="begin"/>
      </w:r>
      <w:r>
        <w:instrText>PAGEREF section_cf861d389d024d8e8fe7450a01f33d40</w:instrText>
      </w:r>
      <w:r>
        <w:fldChar w:fldCharType="separate"/>
      </w:r>
      <w:r>
        <w:rPr>
          <w:noProof/>
        </w:rPr>
        <w:t>135</w:t>
      </w:r>
      <w:r>
        <w:fldChar w:fldCharType="end"/>
      </w:r>
    </w:p>
    <w:p w:rsidR="005F78FC" w:rsidRDefault="00B42EF3">
      <w:pPr>
        <w:pStyle w:val="indexentry0"/>
      </w:pPr>
      <w:hyperlink w:anchor="section_f444e7c398fb4b75808aedcb36852e28">
        <w:r>
          <w:rPr>
            <w:rStyle w:val="Hyperlink"/>
          </w:rPr>
          <w:t>cellIns (Table Cell Insertion)</w:t>
        </w:r>
      </w:hyperlink>
      <w:r>
        <w:t xml:space="preserve"> </w:t>
      </w:r>
      <w:r>
        <w:fldChar w:fldCharType="begin"/>
      </w:r>
      <w:r>
        <w:instrText>PAGEREF section_f444e7c398fb4b75808aedcb36852e28</w:instrText>
      </w:r>
      <w:r>
        <w:fldChar w:fldCharType="separate"/>
      </w:r>
      <w:r>
        <w:rPr>
          <w:noProof/>
        </w:rPr>
        <w:t>135</w:t>
      </w:r>
      <w:r>
        <w:fldChar w:fldCharType="end"/>
      </w:r>
    </w:p>
    <w:p w:rsidR="005F78FC" w:rsidRDefault="00B42EF3">
      <w:pPr>
        <w:pStyle w:val="indexentry0"/>
      </w:pPr>
      <w:hyperlink w:anchor="section_bc72271d4fa2406eb84a000c6dcce4dd">
        <w:r>
          <w:rPr>
            <w:rStyle w:val="Hyperlink"/>
          </w:rPr>
          <w:t>cellMerge (Vertically Merged/Split Table Cells)</w:t>
        </w:r>
      </w:hyperlink>
      <w:r>
        <w:t xml:space="preserve"> </w:t>
      </w:r>
      <w:r>
        <w:fldChar w:fldCharType="begin"/>
      </w:r>
      <w:r>
        <w:instrText>PAGEREF section_bc72271d4fa2406eb84a000c6dcce4dd</w:instrText>
      </w:r>
      <w:r>
        <w:fldChar w:fldCharType="separate"/>
      </w:r>
      <w:r>
        <w:rPr>
          <w:noProof/>
        </w:rPr>
        <w:t>136</w:t>
      </w:r>
      <w:r>
        <w:fldChar w:fldCharType="end"/>
      </w:r>
    </w:p>
    <w:p w:rsidR="005F78FC" w:rsidRDefault="00B42EF3">
      <w:pPr>
        <w:pStyle w:val="indexentry0"/>
      </w:pPr>
      <w:hyperlink w:anchor="section_4b58be005a134a4786a265cfd44f3209">
        <w:r>
          <w:rPr>
            <w:rStyle w:val="Hyperlink"/>
          </w:rPr>
          <w:t>cellMetadata (Cell Metadata)</w:t>
        </w:r>
      </w:hyperlink>
      <w:r>
        <w:t xml:space="preserve"> </w:t>
      </w:r>
      <w:r>
        <w:fldChar w:fldCharType="begin"/>
      </w:r>
      <w:r>
        <w:instrText>PAGEREF section_4b58be005a134a4786a265cfd44f3209</w:instrText>
      </w:r>
      <w:r>
        <w:fldChar w:fldCharType="separate"/>
      </w:r>
      <w:r>
        <w:rPr>
          <w:noProof/>
        </w:rPr>
        <w:t>316</w:t>
      </w:r>
      <w:r>
        <w:fldChar w:fldCharType="end"/>
      </w:r>
    </w:p>
    <w:p w:rsidR="005F78FC" w:rsidRDefault="00B42EF3">
      <w:pPr>
        <w:pStyle w:val="indexentry0"/>
      </w:pPr>
      <w:hyperlink w:anchor="section_ec10569c1caf4285a98fce0872fe0fc2">
        <w:r>
          <w:rPr>
            <w:rStyle w:val="Hyperlink"/>
          </w:rPr>
          <w:t>cellSmartTag (Cell Smart Tag)</w:t>
        </w:r>
      </w:hyperlink>
      <w:r>
        <w:t xml:space="preserve"> </w:t>
      </w:r>
      <w:r>
        <w:fldChar w:fldCharType="begin"/>
      </w:r>
      <w:r>
        <w:instrText>PAGEREF section_ec10569c1caf4285a98fce0872fe0fc2</w:instrText>
      </w:r>
      <w:r>
        <w:fldChar w:fldCharType="separate"/>
      </w:r>
      <w:r>
        <w:rPr>
          <w:noProof/>
        </w:rPr>
        <w:t>255</w:t>
      </w:r>
      <w:r>
        <w:fldChar w:fldCharType="end"/>
      </w:r>
    </w:p>
    <w:p w:rsidR="005F78FC" w:rsidRDefault="00B42EF3">
      <w:pPr>
        <w:pStyle w:val="indexentry0"/>
      </w:pPr>
      <w:hyperlink w:anchor="section_f23f28336cf64bef83540b7f3e486b9b">
        <w:r>
          <w:rPr>
            <w:rStyle w:val="Hyperlink"/>
          </w:rPr>
          <w:t>cellSmartTagPr (Smart Tag Properties)</w:t>
        </w:r>
      </w:hyperlink>
      <w:r>
        <w:t xml:space="preserve"> </w:t>
      </w:r>
      <w:r>
        <w:fldChar w:fldCharType="begin"/>
      </w:r>
      <w:r>
        <w:instrText>PAGEREF section_f23f28336cf64bef83540b7f3e486b9b</w:instrText>
      </w:r>
      <w:r>
        <w:fldChar w:fldCharType="separate"/>
      </w:r>
      <w:r>
        <w:rPr>
          <w:noProof/>
        </w:rPr>
        <w:t>255</w:t>
      </w:r>
      <w:r>
        <w:fldChar w:fldCharType="end"/>
      </w:r>
    </w:p>
    <w:p w:rsidR="005F78FC" w:rsidRDefault="00B42EF3">
      <w:pPr>
        <w:pStyle w:val="indexentry0"/>
      </w:pPr>
      <w:hyperlink w:anchor="section_600a8463ba1f481cb30668cf2e39c541">
        <w:r>
          <w:rPr>
            <w:rStyle w:val="Hyperlink"/>
          </w:rPr>
          <w:t>cellSmartTags (Cell Smart Tags)</w:t>
        </w:r>
      </w:hyperlink>
      <w:r>
        <w:t xml:space="preserve"> </w:t>
      </w:r>
      <w:r>
        <w:fldChar w:fldCharType="begin"/>
      </w:r>
      <w:r>
        <w:instrText xml:space="preserve">PAGEREF </w:instrText>
      </w:r>
      <w:r>
        <w:instrText>section_600a8463ba1f481cb30668cf2e39c541</w:instrText>
      </w:r>
      <w:r>
        <w:fldChar w:fldCharType="separate"/>
      </w:r>
      <w:r>
        <w:rPr>
          <w:noProof/>
        </w:rPr>
        <w:t>255</w:t>
      </w:r>
      <w:r>
        <w:fldChar w:fldCharType="end"/>
      </w:r>
    </w:p>
    <w:p w:rsidR="005F78FC" w:rsidRDefault="00B42EF3">
      <w:pPr>
        <w:pStyle w:val="indexentry0"/>
      </w:pPr>
      <w:hyperlink w:anchor="section_dff6242bddbe4a768d6567496b074576">
        <w:r>
          <w:rPr>
            <w:rStyle w:val="Hyperlink"/>
          </w:rPr>
          <w:t>cellStyle (Cell Style)</w:t>
        </w:r>
      </w:hyperlink>
      <w:r>
        <w:t xml:space="preserve"> </w:t>
      </w:r>
      <w:r>
        <w:fldChar w:fldCharType="begin"/>
      </w:r>
      <w:r>
        <w:instrText>PAGEREF section_dff6242bddbe4a768d6567496b074576</w:instrText>
      </w:r>
      <w:r>
        <w:fldChar w:fldCharType="separate"/>
      </w:r>
      <w:r>
        <w:rPr>
          <w:noProof/>
        </w:rPr>
        <w:t>300</w:t>
      </w:r>
      <w:r>
        <w:fldChar w:fldCharType="end"/>
      </w:r>
    </w:p>
    <w:p w:rsidR="005F78FC" w:rsidRDefault="00B42EF3">
      <w:pPr>
        <w:pStyle w:val="indexentry0"/>
      </w:pPr>
      <w:hyperlink w:anchor="section_991dac4a9f954af2af5a8cf088522ec1">
        <w:r>
          <w:rPr>
            <w:rStyle w:val="Hyperlink"/>
          </w:rPr>
          <w:t>cellStyles (C</w:t>
        </w:r>
        <w:r>
          <w:rPr>
            <w:rStyle w:val="Hyperlink"/>
          </w:rPr>
          <w:t>ell Styles)</w:t>
        </w:r>
      </w:hyperlink>
      <w:r>
        <w:t xml:space="preserve"> </w:t>
      </w:r>
      <w:r>
        <w:fldChar w:fldCharType="begin"/>
      </w:r>
      <w:r>
        <w:instrText>PAGEREF section_991dac4a9f954af2af5a8cf088522ec1</w:instrText>
      </w:r>
      <w:r>
        <w:fldChar w:fldCharType="separate"/>
      </w:r>
      <w:r>
        <w:rPr>
          <w:noProof/>
        </w:rPr>
        <w:t>300</w:t>
      </w:r>
      <w:r>
        <w:fldChar w:fldCharType="end"/>
      </w:r>
    </w:p>
    <w:p w:rsidR="005F78FC" w:rsidRDefault="00B42EF3">
      <w:pPr>
        <w:pStyle w:val="indexentry0"/>
      </w:pPr>
      <w:hyperlink w:anchor="section_5c2f48dfe9034d4692bcf67d2f25ecb0">
        <w:r>
          <w:rPr>
            <w:rStyle w:val="Hyperlink"/>
          </w:rPr>
          <w:t>cellStyleXfs (Formatting Records)</w:t>
        </w:r>
      </w:hyperlink>
      <w:r>
        <w:t xml:space="preserve"> </w:t>
      </w:r>
      <w:r>
        <w:fldChar w:fldCharType="begin"/>
      </w:r>
      <w:r>
        <w:instrText>PAGEREF section_5c2f48dfe9034d4692bcf67d2f25ecb0</w:instrText>
      </w:r>
      <w:r>
        <w:fldChar w:fldCharType="separate"/>
      </w:r>
      <w:r>
        <w:rPr>
          <w:noProof/>
        </w:rPr>
        <w:t>301</w:t>
      </w:r>
      <w:r>
        <w:fldChar w:fldCharType="end"/>
      </w:r>
    </w:p>
    <w:p w:rsidR="005F78FC" w:rsidRDefault="00B42EF3">
      <w:pPr>
        <w:pStyle w:val="indexentry0"/>
      </w:pPr>
      <w:hyperlink w:anchor="section_92990fe314d9435495cf5c413adeecf1">
        <w:r>
          <w:rPr>
            <w:rStyle w:val="Hyperlink"/>
          </w:rPr>
          <w:t>cellWatch (Cell Watch Item)</w:t>
        </w:r>
      </w:hyperlink>
      <w:r>
        <w:t xml:space="preserve"> </w:t>
      </w:r>
      <w:r>
        <w:fldChar w:fldCharType="begin"/>
      </w:r>
      <w:r>
        <w:instrText>PAGEREF section_92990fe314d9435495cf5c413adeecf1</w:instrText>
      </w:r>
      <w:r>
        <w:fldChar w:fldCharType="separate"/>
      </w:r>
      <w:r>
        <w:rPr>
          <w:noProof/>
        </w:rPr>
        <w:t>255</w:t>
      </w:r>
      <w:r>
        <w:fldChar w:fldCharType="end"/>
      </w:r>
    </w:p>
    <w:p w:rsidR="005F78FC" w:rsidRDefault="00B42EF3">
      <w:pPr>
        <w:pStyle w:val="indexentry0"/>
      </w:pPr>
      <w:hyperlink w:anchor="section_d0f88a45c7c3456b9e212fd5577e9898">
        <w:r>
          <w:rPr>
            <w:rStyle w:val="Hyperlink"/>
          </w:rPr>
          <w:t>cellXfs (Cell Formats)</w:t>
        </w:r>
      </w:hyperlink>
      <w:r>
        <w:t xml:space="preserve"> </w:t>
      </w:r>
      <w:r>
        <w:fldChar w:fldCharType="begin"/>
      </w:r>
      <w:r>
        <w:instrText>PAGEREF section_d0f88a45c7c3456b9e212fd5577e9898</w:instrText>
      </w:r>
      <w:r>
        <w:fldChar w:fldCharType="separate"/>
      </w:r>
      <w:r>
        <w:rPr>
          <w:noProof/>
        </w:rPr>
        <w:t>301</w:t>
      </w:r>
      <w:r>
        <w:fldChar w:fldCharType="end"/>
      </w:r>
    </w:p>
    <w:p w:rsidR="005F78FC" w:rsidRDefault="00B42EF3">
      <w:pPr>
        <w:pStyle w:val="indexentry0"/>
      </w:pPr>
      <w:hyperlink w:anchor="section_4f8a3b1473d348f682a935925673f4d1">
        <w:r>
          <w:rPr>
            <w:rStyle w:val="Hyperlink"/>
          </w:rPr>
          <w:t>CF (Clipboard Format)</w:t>
        </w:r>
      </w:hyperlink>
      <w:r>
        <w:t xml:space="preserve"> </w:t>
      </w:r>
      <w:r>
        <w:fldChar w:fldCharType="begin"/>
      </w:r>
      <w:r>
        <w:instrText>PAGEREF section_4f8a3b1473d348f682a935925673f4d1</w:instrText>
      </w:r>
      <w:r>
        <w:fldChar w:fldCharType="separate"/>
      </w:r>
      <w:r>
        <w:rPr>
          <w:noProof/>
        </w:rPr>
        <w:t>680</w:t>
      </w:r>
      <w:r>
        <w:fldChar w:fldCharType="end"/>
      </w:r>
    </w:p>
    <w:p w:rsidR="005F78FC" w:rsidRDefault="00B42EF3">
      <w:pPr>
        <w:pStyle w:val="indexentry0"/>
      </w:pPr>
      <w:hyperlink w:anchor="section_afe8b75e7f524999a2b8ad3255257de5">
        <w:r>
          <w:rPr>
            <w:rStyle w:val="Hyperlink"/>
          </w:rPr>
          <w:t>cfRule (Conditional Formatting Rule)</w:t>
        </w:r>
      </w:hyperlink>
      <w:r>
        <w:t xml:space="preserve"> </w:t>
      </w:r>
      <w:r>
        <w:fldChar w:fldCharType="begin"/>
      </w:r>
      <w:r>
        <w:instrText>PAGEREF section_afe8b75e7f524999a2b</w:instrText>
      </w:r>
      <w:r>
        <w:instrText>8ad3255257de5</w:instrText>
      </w:r>
      <w:r>
        <w:fldChar w:fldCharType="separate"/>
      </w:r>
      <w:r>
        <w:rPr>
          <w:noProof/>
        </w:rPr>
        <w:t>255</w:t>
      </w:r>
      <w:r>
        <w:fldChar w:fldCharType="end"/>
      </w:r>
    </w:p>
    <w:p w:rsidR="005F78FC" w:rsidRDefault="00B42EF3">
      <w:pPr>
        <w:pStyle w:val="indexentry0"/>
      </w:pPr>
      <w:hyperlink w:anchor="section_cce7de7460434b7d87e59b763f19fb81">
        <w:r>
          <w:rPr>
            <w:rStyle w:val="Hyperlink"/>
          </w:rPr>
          <w:t>cfvo (Conditional Format Value Object)</w:t>
        </w:r>
      </w:hyperlink>
      <w:r>
        <w:t xml:space="preserve"> </w:t>
      </w:r>
      <w:r>
        <w:fldChar w:fldCharType="begin"/>
      </w:r>
      <w:r>
        <w:instrText>PAGEREF section_cce7de7460434b7d87e59b763f19fb81</w:instrText>
      </w:r>
      <w:r>
        <w:fldChar w:fldCharType="separate"/>
      </w:r>
      <w:r>
        <w:rPr>
          <w:noProof/>
        </w:rPr>
        <w:t>256</w:t>
      </w:r>
      <w:r>
        <w:fldChar w:fldCharType="end"/>
      </w:r>
    </w:p>
    <w:p w:rsidR="005F78FC" w:rsidRDefault="00B42EF3">
      <w:pPr>
        <w:pStyle w:val="indexentry0"/>
      </w:pPr>
      <w:hyperlink w:anchor="section_3c0b4f327702471e8ffe325a915481b3">
        <w:r>
          <w:rPr>
            <w:rStyle w:val="Hyperlink"/>
          </w:rPr>
          <w:t>cGp (Matrix Column Gap)</w:t>
        </w:r>
      </w:hyperlink>
      <w:r>
        <w:t xml:space="preserve"> </w:t>
      </w:r>
      <w:r>
        <w:fldChar w:fldCharType="begin"/>
      </w:r>
      <w:r>
        <w:instrText>PAGEREF section_3c0b4f327702471e8ffe325a915481b3</w:instrText>
      </w:r>
      <w:r>
        <w:fldChar w:fldCharType="separate"/>
      </w:r>
      <w:r>
        <w:rPr>
          <w:noProof/>
        </w:rPr>
        <w:t>598</w:t>
      </w:r>
      <w:r>
        <w:fldChar w:fldCharType="end"/>
      </w:r>
    </w:p>
    <w:p w:rsidR="005F78FC" w:rsidRDefault="00B42EF3">
      <w:pPr>
        <w:pStyle w:val="indexentry0"/>
      </w:pPr>
      <w:hyperlink w:anchor="section_371c0b7677f1445f8546de0c5b1ada0d">
        <w:r>
          <w:rPr>
            <w:rStyle w:val="Hyperlink"/>
          </w:rPr>
          <w:t>cGpRule (Matrix Column Gap Rule)</w:t>
        </w:r>
      </w:hyperlink>
      <w:r>
        <w:t xml:space="preserve"> </w:t>
      </w:r>
      <w:r>
        <w:fldChar w:fldCharType="begin"/>
      </w:r>
      <w:r>
        <w:instrText>PAGEREF section_371c0b7677f1445f8546de0c5b1ada0d</w:instrText>
      </w:r>
      <w:r>
        <w:fldChar w:fldCharType="separate"/>
      </w:r>
      <w:r>
        <w:rPr>
          <w:noProof/>
        </w:rPr>
        <w:t>598</w:t>
      </w:r>
      <w:r>
        <w:fldChar w:fldCharType="end"/>
      </w:r>
    </w:p>
    <w:p w:rsidR="005F78FC" w:rsidRDefault="00B42EF3">
      <w:pPr>
        <w:pStyle w:val="indexentry0"/>
      </w:pPr>
      <w:hyperlink w:anchor="section_e4474de8f3b14dfeb6475bef678743ca">
        <w:r>
          <w:rPr>
            <w:rStyle w:val="Hyperlink"/>
          </w:rPr>
          <w:t>Change tracking</w:t>
        </w:r>
      </w:hyperlink>
      <w:r>
        <w:t xml:space="preserve"> </w:t>
      </w:r>
      <w:r>
        <w:fldChar w:fldCharType="begin"/>
      </w:r>
      <w:r>
        <w:instrText>PAGEREF section_e4474de8f3b14dfeb6475bef678743ca</w:instrText>
      </w:r>
      <w:r>
        <w:fldChar w:fldCharType="separate"/>
      </w:r>
      <w:r>
        <w:rPr>
          <w:noProof/>
        </w:rPr>
        <w:t>907</w:t>
      </w:r>
      <w:r>
        <w:fldChar w:fldCharType="end"/>
      </w:r>
    </w:p>
    <w:p w:rsidR="005F78FC" w:rsidRDefault="00B42EF3">
      <w:pPr>
        <w:pStyle w:val="indexentry0"/>
      </w:pPr>
      <w:hyperlink w:anchor="section_d0b4598cf4e147ff91b08fb5abb708f3">
        <w:r>
          <w:rPr>
            <w:rStyle w:val="Hyperlink"/>
          </w:rPr>
          <w:t>charRg (Character Range)</w:t>
        </w:r>
      </w:hyperlink>
      <w:r>
        <w:t xml:space="preserve"> </w:t>
      </w:r>
      <w:r>
        <w:fldChar w:fldCharType="begin"/>
      </w:r>
      <w:r>
        <w:instrText>PAGEREF section_d0b4598cf4e147ff91b08fb5abb708f3</w:instrText>
      </w:r>
      <w:r>
        <w:fldChar w:fldCharType="separate"/>
      </w:r>
      <w:r>
        <w:rPr>
          <w:noProof/>
        </w:rPr>
        <w:t>483</w:t>
      </w:r>
      <w:r>
        <w:fldChar w:fldCharType="end"/>
      </w:r>
    </w:p>
    <w:p w:rsidR="005F78FC" w:rsidRDefault="00B42EF3">
      <w:pPr>
        <w:pStyle w:val="indexentry0"/>
      </w:pPr>
      <w:hyperlink w:anchor="section_52357dd845fc4d83b9aa87787d22666a">
        <w:r>
          <w:rPr>
            <w:rStyle w:val="Hyperlink"/>
          </w:rPr>
          <w:t>charset (Character Set Supported By Font)</w:t>
        </w:r>
      </w:hyperlink>
      <w:r>
        <w:t xml:space="preserve"> </w:t>
      </w:r>
      <w:r>
        <w:fldChar w:fldCharType="begin"/>
      </w:r>
      <w:r>
        <w:instrText>PAGEREF section_52357dd845fc4d83b9aa87787d22666a</w:instrText>
      </w:r>
      <w:r>
        <w:fldChar w:fldCharType="separate"/>
      </w:r>
      <w:r>
        <w:rPr>
          <w:noProof/>
        </w:rPr>
        <w:t>124</w:t>
      </w:r>
      <w:r>
        <w:fldChar w:fldCharType="end"/>
      </w:r>
    </w:p>
    <w:p w:rsidR="005F78FC" w:rsidRDefault="00B42EF3">
      <w:pPr>
        <w:pStyle w:val="indexentry0"/>
      </w:pPr>
      <w:hyperlink w:anchor="section_3a29b98ed48f444fa30ce872a4ebc349">
        <w:r>
          <w:rPr>
            <w:rStyle w:val="Hyperlink"/>
          </w:rPr>
          <w:t>Chart Drawing Part</w:t>
        </w:r>
      </w:hyperlink>
      <w:r>
        <w:t xml:space="preserve"> </w:t>
      </w:r>
      <w:r>
        <w:fldChar w:fldCharType="begin"/>
      </w:r>
      <w:r>
        <w:instrText>PAGEREF section_3a29b98ed48f444fa30ce872a4ebc349</w:instrText>
      </w:r>
      <w:r>
        <w:fldChar w:fldCharType="separate"/>
      </w:r>
      <w:r>
        <w:rPr>
          <w:noProof/>
        </w:rPr>
        <w:t>58</w:t>
      </w:r>
      <w:r>
        <w:fldChar w:fldCharType="end"/>
      </w:r>
    </w:p>
    <w:p w:rsidR="005F78FC" w:rsidRDefault="00B42EF3">
      <w:pPr>
        <w:pStyle w:val="indexentry0"/>
      </w:pPr>
      <w:hyperlink w:anchor="section_a7f5e690608d4293affbcbe334eb4b62">
        <w:r>
          <w:rPr>
            <w:rStyle w:val="Hyperlink"/>
          </w:rPr>
          <w:t>Chart formulas</w:t>
        </w:r>
      </w:hyperlink>
      <w:r>
        <w:t xml:space="preserve"> </w:t>
      </w:r>
      <w:r>
        <w:fldChar w:fldCharType="begin"/>
      </w:r>
      <w:r>
        <w:instrText>PAGEREF section_a7f5e690608d4293affbcbe334eb4b62</w:instrText>
      </w:r>
      <w:r>
        <w:fldChar w:fldCharType="separate"/>
      </w:r>
      <w:r>
        <w:rPr>
          <w:noProof/>
        </w:rPr>
        <w:t>847</w:t>
      </w:r>
      <w:r>
        <w:fldChar w:fldCharType="end"/>
      </w:r>
    </w:p>
    <w:p w:rsidR="005F78FC" w:rsidRDefault="00B42EF3">
      <w:pPr>
        <w:pStyle w:val="indexentry0"/>
      </w:pPr>
      <w:hyperlink w:anchor="section_9d6cf39365424a73a890ee66e3e0dad7">
        <w:r>
          <w:rPr>
            <w:rStyle w:val="Hyperlink"/>
          </w:rPr>
          <w:t>Chart Part</w:t>
        </w:r>
      </w:hyperlink>
      <w:r>
        <w:t xml:space="preserve"> </w:t>
      </w:r>
      <w:r>
        <w:fldChar w:fldCharType="begin"/>
      </w:r>
      <w:r>
        <w:instrText>PAGEREF section_9d6cf39365424a73a890ee66e3e0dad7</w:instrText>
      </w:r>
      <w:r>
        <w:fldChar w:fldCharType="separate"/>
      </w:r>
      <w:r>
        <w:rPr>
          <w:noProof/>
        </w:rPr>
        <w:t>57</w:t>
      </w:r>
      <w:r>
        <w:fldChar w:fldCharType="end"/>
      </w:r>
    </w:p>
    <w:p w:rsidR="005F78FC" w:rsidRDefault="00B42EF3">
      <w:pPr>
        <w:pStyle w:val="indexentry0"/>
      </w:pPr>
      <w:hyperlink w:anchor="section_9e183000e99d4de69b77a628dda03422">
        <w:r>
          <w:rPr>
            <w:rStyle w:val="Hyperlink"/>
          </w:rPr>
          <w:t>chartFormat (PivotChart Format)</w:t>
        </w:r>
      </w:hyperlink>
      <w:r>
        <w:t xml:space="preserve"> </w:t>
      </w:r>
      <w:r>
        <w:fldChar w:fldCharType="begin"/>
      </w:r>
      <w:r>
        <w:instrText>PAGEREF section_9e183000e99d4de69b77a628dda03422</w:instrText>
      </w:r>
      <w:r>
        <w:fldChar w:fldCharType="separate"/>
      </w:r>
      <w:r>
        <w:rPr>
          <w:noProof/>
        </w:rPr>
        <w:t>333</w:t>
      </w:r>
      <w:r>
        <w:fldChar w:fldCharType="end"/>
      </w:r>
    </w:p>
    <w:p w:rsidR="005F78FC" w:rsidRDefault="00B42EF3">
      <w:pPr>
        <w:pStyle w:val="indexentry0"/>
      </w:pPr>
      <w:hyperlink w:anchor="section_f0443747f6a14f2bb35a3b4159cf25f9">
        <w:r>
          <w:rPr>
            <w:rStyle w:val="Hyperlink"/>
          </w:rPr>
          <w:t>chartObject (Chart Object)</w:t>
        </w:r>
      </w:hyperlink>
      <w:r>
        <w:t xml:space="preserve"> </w:t>
      </w:r>
      <w:r>
        <w:fldChar w:fldCharType="begin"/>
      </w:r>
      <w:r>
        <w:instrText>PAGEREF section_f044374</w:instrText>
      </w:r>
      <w:r>
        <w:instrText>7f6a14f2bb35a3b4159cf25f9</w:instrText>
      </w:r>
      <w:r>
        <w:fldChar w:fldCharType="separate"/>
      </w:r>
      <w:r>
        <w:rPr>
          <w:noProof/>
        </w:rPr>
        <w:t>549</w:t>
      </w:r>
      <w:r>
        <w:fldChar w:fldCharType="end"/>
      </w:r>
    </w:p>
    <w:p w:rsidR="005F78FC" w:rsidRDefault="00B42EF3">
      <w:pPr>
        <w:pStyle w:val="indexentry0"/>
      </w:pPr>
      <w:hyperlink w:anchor="section_8689ba908b1f43409eb3e48fc9c391e2">
        <w:r>
          <w:rPr>
            <w:rStyle w:val="Hyperlink"/>
          </w:rPr>
          <w:t>chartsheet (Chart Sheet)</w:t>
        </w:r>
      </w:hyperlink>
      <w:r>
        <w:t xml:space="preserve"> </w:t>
      </w:r>
      <w:r>
        <w:fldChar w:fldCharType="begin"/>
      </w:r>
      <w:r>
        <w:instrText>PAGEREF section_8689ba908b1f43409eb3e48fc9c391e2</w:instrText>
      </w:r>
      <w:r>
        <w:fldChar w:fldCharType="separate"/>
      </w:r>
      <w:r>
        <w:rPr>
          <w:noProof/>
        </w:rPr>
        <w:t>256</w:t>
      </w:r>
      <w:r>
        <w:fldChar w:fldCharType="end"/>
      </w:r>
    </w:p>
    <w:p w:rsidR="005F78FC" w:rsidRDefault="00B42EF3">
      <w:pPr>
        <w:pStyle w:val="indexentry0"/>
      </w:pPr>
      <w:hyperlink w:anchor="section_ad7b4b63522f4b6191bc56ec1602b872">
        <w:r>
          <w:rPr>
            <w:rStyle w:val="Hyperlink"/>
          </w:rPr>
          <w:t>Chartsheet Part</w:t>
        </w:r>
      </w:hyperlink>
      <w:r>
        <w:t xml:space="preserve"> </w:t>
      </w:r>
      <w:r>
        <w:fldChar w:fldCharType="begin"/>
      </w:r>
      <w:r>
        <w:instrText>PAGEREF section_ad7b4b63522f4b6191bc56ec1602b872</w:instrText>
      </w:r>
      <w:r>
        <w:fldChar w:fldCharType="separate"/>
      </w:r>
      <w:r>
        <w:rPr>
          <w:noProof/>
        </w:rPr>
        <w:t>49</w:t>
      </w:r>
      <w:r>
        <w:fldChar w:fldCharType="end"/>
      </w:r>
    </w:p>
    <w:p w:rsidR="005F78FC" w:rsidRDefault="00B42EF3">
      <w:pPr>
        <w:pStyle w:val="indexentry0"/>
      </w:pPr>
      <w:hyperlink w:anchor="section_82e2e7bd829d475881e6caf57fea72d4">
        <w:r>
          <w:rPr>
            <w:rStyle w:val="Hyperlink"/>
          </w:rPr>
          <w:t>checkErrors (Mail Merge Error Reporting Setting)</w:t>
        </w:r>
      </w:hyperlink>
      <w:r>
        <w:t xml:space="preserve"> </w:t>
      </w:r>
      <w:r>
        <w:fldChar w:fldCharType="begin"/>
      </w:r>
      <w:r>
        <w:instrText>PAGEREF section_82e2e7bd829d475881e6caf57fea72d4</w:instrText>
      </w:r>
      <w:r>
        <w:fldChar w:fldCharType="separate"/>
      </w:r>
      <w:r>
        <w:rPr>
          <w:noProof/>
        </w:rPr>
        <w:t>145</w:t>
      </w:r>
      <w:r>
        <w:fldChar w:fldCharType="end"/>
      </w:r>
    </w:p>
    <w:p w:rsidR="005F78FC" w:rsidRDefault="00B42EF3">
      <w:pPr>
        <w:pStyle w:val="indexentry0"/>
      </w:pPr>
      <w:hyperlink w:anchor="section_f8503f451cbd45bdb570375c5a029720">
        <w:r>
          <w:rPr>
            <w:rStyle w:val="Hyperlink"/>
          </w:rPr>
          <w:t>chExt (Child Extents)</w:t>
        </w:r>
      </w:hyperlink>
      <w:r>
        <w:t xml:space="preserve"> </w:t>
      </w:r>
      <w:r>
        <w:fldChar w:fldCharType="begin"/>
      </w:r>
      <w:r>
        <w:instrText>PAGEREF section_f8503f451cbd45bdb570375c5a029720</w:instrText>
      </w:r>
      <w:r>
        <w:fldChar w:fldCharType="separate"/>
      </w:r>
      <w:r>
        <w:rPr>
          <w:noProof/>
        </w:rPr>
        <w:t>511</w:t>
      </w:r>
      <w:r>
        <w:fldChar w:fldCharType="end"/>
      </w:r>
    </w:p>
    <w:p w:rsidR="005F78FC" w:rsidRDefault="00B42EF3">
      <w:pPr>
        <w:pStyle w:val="indexentry0"/>
      </w:pPr>
      <w:hyperlink w:anchor="section_ea535fffeba54b7eb9d5875c916ad0a9">
        <w:r>
          <w:rPr>
            <w:rStyle w:val="Hyperlink"/>
          </w:rPr>
          <w:t>CHIINV</w:t>
        </w:r>
      </w:hyperlink>
      <w:r>
        <w:t xml:space="preserve"> </w:t>
      </w:r>
      <w:r>
        <w:fldChar w:fldCharType="begin"/>
      </w:r>
      <w:r>
        <w:instrText>PAGEREF section_ea535fffeba54b7eb9d5875c916ad0a9</w:instrText>
      </w:r>
      <w:r>
        <w:fldChar w:fldCharType="separate"/>
      </w:r>
      <w:r>
        <w:rPr>
          <w:noProof/>
        </w:rPr>
        <w:t>410</w:t>
      </w:r>
      <w:r>
        <w:fldChar w:fldCharType="end"/>
      </w:r>
    </w:p>
    <w:p w:rsidR="005F78FC" w:rsidRDefault="00B42EF3">
      <w:pPr>
        <w:pStyle w:val="indexentry0"/>
      </w:pPr>
      <w:hyperlink w:anchor="section_bb0ea49131314a6aadc803f173655076">
        <w:r>
          <w:rPr>
            <w:rStyle w:val="Hyperlink"/>
          </w:rPr>
          <w:t>chOff (Child Offset)</w:t>
        </w:r>
      </w:hyperlink>
      <w:r>
        <w:t xml:space="preserve"> </w:t>
      </w:r>
      <w:r>
        <w:fldChar w:fldCharType="begin"/>
      </w:r>
      <w:r>
        <w:instrText>PAGEREF section_bb0ea49131314a6aadc803f173655076</w:instrText>
      </w:r>
      <w:r>
        <w:fldChar w:fldCharType="separate"/>
      </w:r>
      <w:r>
        <w:rPr>
          <w:noProof/>
        </w:rPr>
        <w:t>512</w:t>
      </w:r>
      <w:r>
        <w:fldChar w:fldCharType="end"/>
      </w:r>
    </w:p>
    <w:p w:rsidR="005F78FC" w:rsidRDefault="00B42EF3">
      <w:pPr>
        <w:pStyle w:val="indexentry0"/>
      </w:pPr>
      <w:hyperlink w:anchor="section_706517631bd24fa2ae94420b4a980998">
        <w:r>
          <w:rPr>
            <w:rStyle w:val="Hyperlink"/>
          </w:rPr>
          <w:t>CITATION</w:t>
        </w:r>
      </w:hyperlink>
      <w:r>
        <w:t xml:space="preserve"> </w:t>
      </w:r>
      <w:r>
        <w:fldChar w:fldCharType="begin"/>
      </w:r>
      <w:r>
        <w:instrText>PAGEREF section_706517631bd24fa2ae94420b4a980998</w:instrText>
      </w:r>
      <w:r>
        <w:fldChar w:fldCharType="separate"/>
      </w:r>
      <w:r>
        <w:rPr>
          <w:noProof/>
        </w:rPr>
        <w:t>188</w:t>
      </w:r>
      <w:r>
        <w:fldChar w:fldCharType="end"/>
      </w:r>
    </w:p>
    <w:p w:rsidR="005F78FC" w:rsidRDefault="00B42EF3">
      <w:pPr>
        <w:pStyle w:val="indexentry0"/>
      </w:pPr>
      <w:hyperlink w:anchor="section_6b555c7bc86744e48241299daf41f91f">
        <w:r>
          <w:rPr>
            <w:rStyle w:val="Hyperlink"/>
          </w:rPr>
          <w:t>CLEAN</w:t>
        </w:r>
      </w:hyperlink>
      <w:r>
        <w:t xml:space="preserve"> </w:t>
      </w:r>
      <w:r>
        <w:fldChar w:fldCharType="begin"/>
      </w:r>
      <w:r>
        <w:instrText>PAGEREF section_6b555c7bc86744e48241299daf41f91f</w:instrText>
      </w:r>
      <w:r>
        <w:fldChar w:fldCharType="separate"/>
      </w:r>
      <w:r>
        <w:rPr>
          <w:noProof/>
        </w:rPr>
        <w:t>410</w:t>
      </w:r>
      <w:r>
        <w:fldChar w:fldCharType="end"/>
      </w:r>
    </w:p>
    <w:p w:rsidR="005F78FC" w:rsidRDefault="00B42EF3">
      <w:pPr>
        <w:pStyle w:val="indexentry0"/>
      </w:pPr>
      <w:hyperlink w:anchor="section_a388debef4624d05aac2e61c2edeb110">
        <w:r>
          <w:rPr>
            <w:rStyle w:val="Hyperlink"/>
          </w:rPr>
          <w:t>clickAndTypeStyle (Paragraph Style Applied to Automatically Generated Paragraphs)</w:t>
        </w:r>
      </w:hyperlink>
      <w:r>
        <w:t xml:space="preserve"> </w:t>
      </w:r>
      <w:r>
        <w:fldChar w:fldCharType="begin"/>
      </w:r>
      <w:r>
        <w:instrText>PAGEREF section_a388deb</w:instrText>
      </w:r>
      <w:r>
        <w:instrText>ef4624d05aac2e61c2edeb110</w:instrText>
      </w:r>
      <w:r>
        <w:fldChar w:fldCharType="separate"/>
      </w:r>
      <w:r>
        <w:rPr>
          <w:noProof/>
        </w:rPr>
        <w:t>153</w:t>
      </w:r>
      <w:r>
        <w:fldChar w:fldCharType="end"/>
      </w:r>
    </w:p>
    <w:p w:rsidR="005F78FC" w:rsidRDefault="00B42EF3">
      <w:pPr>
        <w:pStyle w:val="indexentry0"/>
      </w:pPr>
      <w:hyperlink w:anchor="section_4ed4ba3ad2844c2f954abeeb4c0b45cf">
        <w:r>
          <w:rPr>
            <w:rStyle w:val="Hyperlink"/>
          </w:rPr>
          <w:t>ClientData (Attached Object Data)</w:t>
        </w:r>
      </w:hyperlink>
      <w:r>
        <w:t xml:space="preserve"> </w:t>
      </w:r>
      <w:r>
        <w:fldChar w:fldCharType="begin"/>
      </w:r>
      <w:r>
        <w:instrText>PAGEREF section_4ed4ba3ad2844c2f954abeeb4c0b45cf</w:instrText>
      </w:r>
      <w:r>
        <w:fldChar w:fldCharType="separate"/>
      </w:r>
      <w:r>
        <w:rPr>
          <w:noProof/>
        </w:rPr>
        <w:t>680</w:t>
      </w:r>
      <w:r>
        <w:fldChar w:fldCharType="end"/>
      </w:r>
    </w:p>
    <w:p w:rsidR="005F78FC" w:rsidRDefault="00B42EF3">
      <w:pPr>
        <w:pStyle w:val="indexentry0"/>
      </w:pPr>
      <w:hyperlink w:anchor="section_38d8fc638f7340688de735a4b20b55e3">
        <w:r>
          <w:rPr>
            <w:rStyle w:val="Hyperlink"/>
          </w:rPr>
          <w:t>clippath (Shape C</w:t>
        </w:r>
        <w:r>
          <w:rPr>
            <w:rStyle w:val="Hyperlink"/>
          </w:rPr>
          <w:t>lipping Path)</w:t>
        </w:r>
      </w:hyperlink>
      <w:r>
        <w:t xml:space="preserve"> </w:t>
      </w:r>
      <w:r>
        <w:fldChar w:fldCharType="begin"/>
      </w:r>
      <w:r>
        <w:instrText>PAGEREF section_38d8fc638f7340688de735a4b20b55e3</w:instrText>
      </w:r>
      <w:r>
        <w:fldChar w:fldCharType="separate"/>
      </w:r>
      <w:r>
        <w:rPr>
          <w:noProof/>
        </w:rPr>
        <w:t>666</w:t>
      </w:r>
      <w:r>
        <w:fldChar w:fldCharType="end"/>
      </w:r>
    </w:p>
    <w:p w:rsidR="005F78FC" w:rsidRDefault="00B42EF3">
      <w:pPr>
        <w:pStyle w:val="indexentry0"/>
      </w:pPr>
      <w:hyperlink w:anchor="section_5860f81613d34a839e63bcd1e0808404">
        <w:r>
          <w:rPr>
            <w:rStyle w:val="Hyperlink"/>
          </w:rPr>
          <w:t>clrChange (Color Change Effect)</w:t>
        </w:r>
      </w:hyperlink>
      <w:r>
        <w:t xml:space="preserve"> </w:t>
      </w:r>
      <w:r>
        <w:fldChar w:fldCharType="begin"/>
      </w:r>
      <w:r>
        <w:instrText>PAGEREF section_5860f81613d34a839e63bcd1e0808404</w:instrText>
      </w:r>
      <w:r>
        <w:fldChar w:fldCharType="separate"/>
      </w:r>
      <w:r>
        <w:rPr>
          <w:noProof/>
        </w:rPr>
        <w:t>515</w:t>
      </w:r>
      <w:r>
        <w:fldChar w:fldCharType="end"/>
      </w:r>
    </w:p>
    <w:p w:rsidR="005F78FC" w:rsidRDefault="00B42EF3">
      <w:pPr>
        <w:pStyle w:val="indexentry0"/>
      </w:pPr>
      <w:hyperlink w:anchor="section_c5fa41c376e24122a014ef3257b4e280">
        <w:r>
          <w:rPr>
            <w:rStyle w:val="Hyperlink"/>
          </w:rPr>
          <w:t>clrData (Color Transform Sample Data)</w:t>
        </w:r>
      </w:hyperlink>
      <w:r>
        <w:t xml:space="preserve"> </w:t>
      </w:r>
      <w:r>
        <w:fldChar w:fldCharType="begin"/>
      </w:r>
      <w:r>
        <w:instrText>PAGEREF section_c5fa41c376e24122a014ef3257b4e280</w:instrText>
      </w:r>
      <w:r>
        <w:fldChar w:fldCharType="separate"/>
      </w:r>
      <w:r>
        <w:rPr>
          <w:noProof/>
        </w:rPr>
        <w:t>586</w:t>
      </w:r>
      <w:r>
        <w:fldChar w:fldCharType="end"/>
      </w:r>
    </w:p>
    <w:p w:rsidR="005F78FC" w:rsidRDefault="00B42EF3">
      <w:pPr>
        <w:pStyle w:val="indexentry0"/>
      </w:pPr>
      <w:hyperlink w:anchor="section_1be239133f8840ab9cb22790be8c549d">
        <w:r>
          <w:rPr>
            <w:rStyle w:val="Hyperlink"/>
          </w:rPr>
          <w:t>clrSchemeMapping (Theme Color Mappings)</w:t>
        </w:r>
      </w:hyperlink>
      <w:r>
        <w:t xml:space="preserve"> </w:t>
      </w:r>
      <w:r>
        <w:fldChar w:fldCharType="begin"/>
      </w:r>
      <w:r>
        <w:instrText>PAGEREF section_1be239133f8840ab9cb22790be8c549d</w:instrText>
      </w:r>
      <w:r>
        <w:fldChar w:fldCharType="separate"/>
      </w:r>
      <w:r>
        <w:rPr>
          <w:noProof/>
        </w:rPr>
        <w:t>153</w:t>
      </w:r>
      <w:r>
        <w:fldChar w:fldCharType="end"/>
      </w:r>
    </w:p>
    <w:p w:rsidR="005F78FC" w:rsidRDefault="00B42EF3">
      <w:pPr>
        <w:pStyle w:val="indexentry0"/>
      </w:pPr>
      <w:hyperlink w:anchor="section_b8e078b34b5c4f0db94ffb4bb16bf5a8">
        <w:r>
          <w:rPr>
            <w:rStyle w:val="Hyperlink"/>
          </w:rPr>
          <w:t>clsid (Class ID)</w:t>
        </w:r>
      </w:hyperlink>
      <w:r>
        <w:t xml:space="preserve"> </w:t>
      </w:r>
      <w:r>
        <w:fldChar w:fldCharType="begin"/>
      </w:r>
      <w:r>
        <w:instrText>PAGEREF section_b8e078b34b5c4f0db94ffb4bb16bf5a8</w:instrText>
      </w:r>
      <w:r>
        <w:fldChar w:fldCharType="separate"/>
      </w:r>
      <w:r>
        <w:rPr>
          <w:noProof/>
        </w:rPr>
        <w:t>614</w:t>
      </w:r>
      <w:r>
        <w:fldChar w:fldCharType="end"/>
      </w:r>
    </w:p>
    <w:p w:rsidR="005F78FC" w:rsidRDefault="00B42EF3">
      <w:pPr>
        <w:pStyle w:val="indexentry0"/>
      </w:pPr>
      <w:hyperlink w:anchor="section_c171db8d5e194fbbb38d379bca4fa451">
        <w:r>
          <w:rPr>
            <w:rStyle w:val="Hyperlink"/>
          </w:rPr>
          <w:t>cm (Comment</w:t>
        </w:r>
        <w:r>
          <w:rPr>
            <w:rStyle w:val="Hyperlink"/>
          </w:rPr>
          <w:t>)</w:t>
        </w:r>
      </w:hyperlink>
      <w:r>
        <w:t xml:space="preserve"> </w:t>
      </w:r>
      <w:r>
        <w:fldChar w:fldCharType="begin"/>
      </w:r>
      <w:r>
        <w:instrText>PAGEREF section_c171db8d5e194fbbb38d379bca4fa451</w:instrText>
      </w:r>
      <w:r>
        <w:fldChar w:fldCharType="separate"/>
      </w:r>
      <w:r>
        <w:rPr>
          <w:noProof/>
        </w:rPr>
        <w:t>473</w:t>
      </w:r>
      <w:r>
        <w:fldChar w:fldCharType="end"/>
      </w:r>
    </w:p>
    <w:p w:rsidR="005F78FC" w:rsidRDefault="00B42EF3">
      <w:pPr>
        <w:pStyle w:val="indexentry0"/>
      </w:pPr>
      <w:hyperlink w:anchor="section_df47e7534a9149aab3417f3c92cb9878">
        <w:r>
          <w:rPr>
            <w:rStyle w:val="Hyperlink"/>
          </w:rPr>
          <w:t>cmd (Command)</w:t>
        </w:r>
      </w:hyperlink>
      <w:r>
        <w:t xml:space="preserve"> </w:t>
      </w:r>
      <w:r>
        <w:fldChar w:fldCharType="begin"/>
      </w:r>
      <w:r>
        <w:instrText>PAGEREF section_df47e7534a9149aab3417f3c92cb9878</w:instrText>
      </w:r>
      <w:r>
        <w:fldChar w:fldCharType="separate"/>
      </w:r>
      <w:r>
        <w:rPr>
          <w:noProof/>
        </w:rPr>
        <w:t>483</w:t>
      </w:r>
      <w:r>
        <w:fldChar w:fldCharType="end"/>
      </w:r>
    </w:p>
    <w:p w:rsidR="005F78FC" w:rsidRDefault="00B42EF3">
      <w:pPr>
        <w:pStyle w:val="indexentry0"/>
      </w:pPr>
      <w:hyperlink w:anchor="section_9fb1b81dd5a14aae911fd0be67f559f3">
        <w:r>
          <w:rPr>
            <w:rStyle w:val="Hyperlink"/>
          </w:rPr>
          <w:t>cMediaNode</w:t>
        </w:r>
        <w:r>
          <w:rPr>
            <w:rStyle w:val="Hyperlink"/>
          </w:rPr>
          <w:t xml:space="preserve"> (Common Media Node Properties)</w:t>
        </w:r>
      </w:hyperlink>
      <w:r>
        <w:t xml:space="preserve"> </w:t>
      </w:r>
      <w:r>
        <w:fldChar w:fldCharType="begin"/>
      </w:r>
      <w:r>
        <w:instrText>PAGEREF section_9fb1b81dd5a14aae911fd0be67f559f3</w:instrText>
      </w:r>
      <w:r>
        <w:fldChar w:fldCharType="separate"/>
      </w:r>
      <w:r>
        <w:rPr>
          <w:noProof/>
        </w:rPr>
        <w:t>484</w:t>
      </w:r>
      <w:r>
        <w:fldChar w:fldCharType="end"/>
      </w:r>
    </w:p>
    <w:p w:rsidR="005F78FC" w:rsidRDefault="00B42EF3">
      <w:pPr>
        <w:pStyle w:val="indexentry0"/>
      </w:pPr>
      <w:hyperlink w:anchor="section_2a155d8805864ebead3f635ec13a691b">
        <w:r>
          <w:rPr>
            <w:rStyle w:val="Hyperlink"/>
          </w:rPr>
          <w:t>cnfStyle (Paragraph Conditional Formatting)</w:t>
        </w:r>
      </w:hyperlink>
      <w:r>
        <w:t xml:space="preserve"> </w:t>
      </w:r>
      <w:r>
        <w:fldChar w:fldCharType="begin"/>
      </w:r>
      <w:r>
        <w:instrText>PAGEREF section_2a155d8805864ebead3f635ec13a691b</w:instrText>
      </w:r>
      <w:r>
        <w:fldChar w:fldCharType="separate"/>
      </w:r>
      <w:r>
        <w:rPr>
          <w:noProof/>
        </w:rPr>
        <w:t>66</w:t>
      </w:r>
      <w:r>
        <w:fldChar w:fldCharType="end"/>
      </w:r>
    </w:p>
    <w:p w:rsidR="005F78FC" w:rsidRDefault="00B42EF3">
      <w:pPr>
        <w:pStyle w:val="indexentry0"/>
      </w:pPr>
      <w:hyperlink w:anchor="section_0a28293f8ae14ef889f29e0f11b6281f">
        <w:r>
          <w:rPr>
            <w:rStyle w:val="Hyperlink"/>
          </w:rPr>
          <w:t>cnfStyle (Table Cell Conditional Formatting)</w:t>
        </w:r>
      </w:hyperlink>
      <w:r>
        <w:t xml:space="preserve"> </w:t>
      </w:r>
      <w:r>
        <w:fldChar w:fldCharType="begin"/>
      </w:r>
      <w:r>
        <w:instrText>PAGEREF section_0a28293f8ae14ef889f29e0f11b6281f</w:instrText>
      </w:r>
      <w:r>
        <w:fldChar w:fldCharType="separate"/>
      </w:r>
      <w:r>
        <w:rPr>
          <w:noProof/>
        </w:rPr>
        <w:t>85</w:t>
      </w:r>
      <w:r>
        <w:fldChar w:fldCharType="end"/>
      </w:r>
    </w:p>
    <w:p w:rsidR="005F78FC" w:rsidRDefault="00B42EF3">
      <w:pPr>
        <w:pStyle w:val="indexentry0"/>
      </w:pPr>
      <w:hyperlink w:anchor="section_00d36f3922a349eb925e84c7bba02c37">
        <w:r>
          <w:rPr>
            <w:rStyle w:val="Hyperlink"/>
          </w:rPr>
          <w:t>cnfStyle (Table Row Conditional For</w:t>
        </w:r>
        <w:r>
          <w:rPr>
            <w:rStyle w:val="Hyperlink"/>
          </w:rPr>
          <w:t>matting)</w:t>
        </w:r>
      </w:hyperlink>
      <w:r>
        <w:t xml:space="preserve"> </w:t>
      </w:r>
      <w:r>
        <w:fldChar w:fldCharType="begin"/>
      </w:r>
      <w:r>
        <w:instrText>PAGEREF section_00d36f3922a349eb925e84c7bba02c37</w:instrText>
      </w:r>
      <w:r>
        <w:fldChar w:fldCharType="separate"/>
      </w:r>
      <w:r>
        <w:rPr>
          <w:noProof/>
        </w:rPr>
        <w:t>85</w:t>
      </w:r>
      <w:r>
        <w:fldChar w:fldCharType="end"/>
      </w:r>
    </w:p>
    <w:p w:rsidR="005F78FC" w:rsidRDefault="00B42EF3">
      <w:pPr>
        <w:pStyle w:val="indexentry0"/>
      </w:pPr>
      <w:hyperlink w:anchor="section_b27c7603f2c646ed85f31ca87fc85510">
        <w:r>
          <w:rPr>
            <w:rStyle w:val="Hyperlink"/>
          </w:rPr>
          <w:t>cNvCxnSpPr (Non-Visual Connector Shape Drawing Properties)</w:t>
        </w:r>
      </w:hyperlink>
      <w:r>
        <w:t xml:space="preserve"> </w:t>
      </w:r>
      <w:r>
        <w:fldChar w:fldCharType="begin"/>
      </w:r>
      <w:r>
        <w:instrText>PAGEREF section_b27c7603f2c646ed85f31ca87fc85510</w:instrText>
      </w:r>
      <w:r>
        <w:fldChar w:fldCharType="separate"/>
      </w:r>
      <w:r>
        <w:rPr>
          <w:noProof/>
        </w:rPr>
        <w:t>498</w:t>
      </w:r>
      <w:r>
        <w:fldChar w:fldCharType="end"/>
      </w:r>
    </w:p>
    <w:p w:rsidR="005F78FC" w:rsidRDefault="00B42EF3">
      <w:pPr>
        <w:pStyle w:val="indexentry0"/>
      </w:pPr>
      <w:hyperlink w:anchor="section_bc12d6f013324416aecd30dfeb62091b">
        <w:r>
          <w:rPr>
            <w:rStyle w:val="Hyperlink"/>
          </w:rPr>
          <w:t>cNvGraphicFramePr (Non-Visual Graphic Frame Drawing Properties)</w:t>
        </w:r>
      </w:hyperlink>
      <w:r>
        <w:t xml:space="preserve"> </w:t>
      </w:r>
      <w:r>
        <w:fldChar w:fldCharType="begin"/>
      </w:r>
      <w:r>
        <w:instrText>PAGEREF section_bc12d6f013324416aecd30dfeb62091b</w:instrText>
      </w:r>
      <w:r>
        <w:fldChar w:fldCharType="separate"/>
      </w:r>
      <w:r>
        <w:rPr>
          <w:noProof/>
        </w:rPr>
        <w:t>498</w:t>
      </w:r>
      <w:r>
        <w:fldChar w:fldCharType="end"/>
      </w:r>
    </w:p>
    <w:p w:rsidR="005F78FC" w:rsidRDefault="00B42EF3">
      <w:pPr>
        <w:pStyle w:val="indexentry0"/>
      </w:pPr>
      <w:hyperlink w:anchor="section_58cd5b4217c74759959b4c5a2f6bf763">
        <w:r>
          <w:rPr>
            <w:rStyle w:val="Hyperlink"/>
          </w:rPr>
          <w:t>cNvGrpSpPr (Non-</w:t>
        </w:r>
        <w:r>
          <w:rPr>
            <w:rStyle w:val="Hyperlink"/>
          </w:rPr>
          <w:t>Visual Group Shape Drawing Properties)</w:t>
        </w:r>
      </w:hyperlink>
      <w:r>
        <w:t xml:space="preserve"> </w:t>
      </w:r>
      <w:r>
        <w:fldChar w:fldCharType="begin"/>
      </w:r>
      <w:r>
        <w:instrText>PAGEREF section_58cd5b4217c74759959b4c5a2f6bf763</w:instrText>
      </w:r>
      <w:r>
        <w:fldChar w:fldCharType="separate"/>
      </w:r>
      <w:r>
        <w:rPr>
          <w:noProof/>
        </w:rPr>
        <w:t>498</w:t>
      </w:r>
      <w:r>
        <w:fldChar w:fldCharType="end"/>
      </w:r>
    </w:p>
    <w:p w:rsidR="005F78FC" w:rsidRDefault="00B42EF3">
      <w:pPr>
        <w:pStyle w:val="indexentry0"/>
      </w:pPr>
      <w:r>
        <w:t>cNvPr (Non-Visual Drawing Properties) (</w:t>
      </w:r>
      <w:hyperlink w:anchor="section_3d4d8b5b07bd48f588194c8adae68ad3">
        <w:r>
          <w:rPr>
            <w:rStyle w:val="Hyperlink"/>
          </w:rPr>
          <w:t>section 2.1.1354</w:t>
        </w:r>
      </w:hyperlink>
      <w:r>
        <w:t xml:space="preserve"> </w:t>
      </w:r>
      <w:r>
        <w:fldChar w:fldCharType="begin"/>
      </w:r>
      <w:r>
        <w:instrText>PAGEREF section_3d4d8b5b07bd48f588194c8adae6</w:instrText>
      </w:r>
      <w:r>
        <w:instrText>8ad3</w:instrText>
      </w:r>
      <w:r>
        <w:fldChar w:fldCharType="separate"/>
      </w:r>
      <w:r>
        <w:rPr>
          <w:noProof/>
        </w:rPr>
        <w:t>528</w:t>
      </w:r>
      <w:r>
        <w:fldChar w:fldCharType="end"/>
      </w:r>
      <w:r>
        <w:t xml:space="preserve">, </w:t>
      </w:r>
      <w:hyperlink w:anchor="section_dd2a08189ba74ba58a8c85431cac913f">
        <w:r>
          <w:rPr>
            <w:rStyle w:val="Hyperlink"/>
          </w:rPr>
          <w:t>section 2.1.1597</w:t>
        </w:r>
      </w:hyperlink>
      <w:r>
        <w:t xml:space="preserve"> </w:t>
      </w:r>
      <w:r>
        <w:fldChar w:fldCharType="begin"/>
      </w:r>
      <w:r>
        <w:instrText>PAGEREF section_dd2a08189ba74ba58a8c85431cac913f</w:instrText>
      </w:r>
      <w:r>
        <w:fldChar w:fldCharType="separate"/>
      </w:r>
      <w:r>
        <w:rPr>
          <w:noProof/>
        </w:rPr>
        <w:t>583</w:t>
      </w:r>
      <w:r>
        <w:fldChar w:fldCharType="end"/>
      </w:r>
      <w:r>
        <w:t>)</w:t>
      </w:r>
    </w:p>
    <w:p w:rsidR="005F78FC" w:rsidRDefault="00B42EF3">
      <w:pPr>
        <w:pStyle w:val="indexentry0"/>
      </w:pPr>
      <w:hyperlink w:anchor="section_bbed63eb85914393833e85b7e01a40df">
        <w:r>
          <w:rPr>
            <w:rStyle w:val="Hyperlink"/>
          </w:rPr>
          <w:t>cNvSpPr (Connection Non-Visual Shape Properties)</w:t>
        </w:r>
      </w:hyperlink>
      <w:r>
        <w:t xml:space="preserve"> </w:t>
      </w:r>
      <w:r>
        <w:fldChar w:fldCharType="begin"/>
      </w:r>
      <w:r>
        <w:instrText>PA</w:instrText>
      </w:r>
      <w:r>
        <w:instrText>GEREF section_bbed63eb85914393833e85b7e01a40df</w:instrText>
      </w:r>
      <w:r>
        <w:fldChar w:fldCharType="separate"/>
      </w:r>
      <w:r>
        <w:rPr>
          <w:noProof/>
        </w:rPr>
        <w:t>528</w:t>
      </w:r>
      <w:r>
        <w:fldChar w:fldCharType="end"/>
      </w:r>
    </w:p>
    <w:p w:rsidR="005F78FC" w:rsidRDefault="00B42EF3">
      <w:pPr>
        <w:pStyle w:val="indexentry0"/>
      </w:pPr>
      <w:hyperlink w:anchor="section_727f47366cba40e3b4d3ce319885780e">
        <w:r>
          <w:rPr>
            <w:rStyle w:val="Hyperlink"/>
          </w:rPr>
          <w:t>col (Column Width &amp; Formatting)</w:t>
        </w:r>
      </w:hyperlink>
      <w:r>
        <w:t xml:space="preserve"> </w:t>
      </w:r>
      <w:r>
        <w:fldChar w:fldCharType="begin"/>
      </w:r>
      <w:r>
        <w:instrText>PAGEREF section_727f47366cba40e3b4d3ce319885780e</w:instrText>
      </w:r>
      <w:r>
        <w:fldChar w:fldCharType="separate"/>
      </w:r>
      <w:r>
        <w:rPr>
          <w:noProof/>
        </w:rPr>
        <w:t>256</w:t>
      </w:r>
      <w:r>
        <w:fldChar w:fldCharType="end"/>
      </w:r>
    </w:p>
    <w:p w:rsidR="005F78FC" w:rsidRDefault="00B42EF3">
      <w:pPr>
        <w:pStyle w:val="indexentry0"/>
      </w:pPr>
      <w:hyperlink w:anchor="section_c8cc77d990164b81bc5c3afbeb39d0c9">
        <w:r>
          <w:rPr>
            <w:rStyle w:val="Hyperlink"/>
          </w:rPr>
          <w:t>col (Column)</w:t>
        </w:r>
      </w:hyperlink>
      <w:r>
        <w:t xml:space="preserve"> </w:t>
      </w:r>
      <w:r>
        <w:fldChar w:fldCharType="begin"/>
      </w:r>
      <w:r>
        <w:instrText>PAGEREF section_c8cc77d990164b81bc5c3afbeb39d0c9</w:instrText>
      </w:r>
      <w:r>
        <w:fldChar w:fldCharType="separate"/>
      </w:r>
      <w:r>
        <w:rPr>
          <w:noProof/>
        </w:rPr>
        <w:t>839</w:t>
      </w:r>
      <w:r>
        <w:fldChar w:fldCharType="end"/>
      </w:r>
    </w:p>
    <w:p w:rsidR="005F78FC" w:rsidRDefault="00B42EF3">
      <w:pPr>
        <w:pStyle w:val="indexentry0"/>
      </w:pPr>
      <w:hyperlink w:anchor="section_dd4af5b20e014bc08c6bce9ac6611646">
        <w:r>
          <w:rPr>
            <w:rStyle w:val="Hyperlink"/>
          </w:rPr>
          <w:t>col (Column))</w:t>
        </w:r>
      </w:hyperlink>
      <w:r>
        <w:t xml:space="preserve"> </w:t>
      </w:r>
      <w:r>
        <w:fldChar w:fldCharType="begin"/>
      </w:r>
      <w:r>
        <w:instrText>PAGEREF section_dd4af5b20e014bc08c6bce9ac6611646</w:instrText>
      </w:r>
      <w:r>
        <w:fldChar w:fldCharType="separate"/>
      </w:r>
      <w:r>
        <w:rPr>
          <w:noProof/>
        </w:rPr>
        <w:t>528</w:t>
      </w:r>
      <w:r>
        <w:fldChar w:fldCharType="end"/>
      </w:r>
    </w:p>
    <w:p w:rsidR="005F78FC" w:rsidRDefault="00B42EF3">
      <w:pPr>
        <w:pStyle w:val="indexentry0"/>
      </w:pPr>
      <w:hyperlink w:anchor="section_d6035671f6764755b101c4de68de62ed">
        <w:r>
          <w:rPr>
            <w:rStyle w:val="Hyperlink"/>
          </w:rPr>
          <w:t>col (Single Column Definition)</w:t>
        </w:r>
      </w:hyperlink>
      <w:r>
        <w:t xml:space="preserve"> </w:t>
      </w:r>
      <w:r>
        <w:fldChar w:fldCharType="begin"/>
      </w:r>
      <w:r>
        <w:instrText>PAGEREF section_d6035671f6764755b101c4de68de62ed</w:instrText>
      </w:r>
      <w:r>
        <w:fldChar w:fldCharType="separate"/>
      </w:r>
      <w:r>
        <w:rPr>
          <w:noProof/>
        </w:rPr>
        <w:t>104</w:t>
      </w:r>
      <w:r>
        <w:fldChar w:fldCharType="end"/>
      </w:r>
    </w:p>
    <w:p w:rsidR="005F78FC" w:rsidRDefault="00B42EF3">
      <w:pPr>
        <w:pStyle w:val="indexentry0"/>
      </w:pPr>
      <w:hyperlink w:anchor="section_3d92605334c84ee091157bc5858ef579">
        <w:r>
          <w:rPr>
            <w:rStyle w:val="Hyperlink"/>
          </w:rPr>
          <w:t>colBreaks (Vertical Page Breaks)</w:t>
        </w:r>
      </w:hyperlink>
      <w:r>
        <w:t xml:space="preserve"> </w:t>
      </w:r>
      <w:r>
        <w:fldChar w:fldCharType="begin"/>
      </w:r>
      <w:r>
        <w:instrText>PAGEREF section_3d92605334c84ee091157bc5858ef579</w:instrText>
      </w:r>
      <w:r>
        <w:fldChar w:fldCharType="separate"/>
      </w:r>
      <w:r>
        <w:rPr>
          <w:noProof/>
        </w:rPr>
        <w:t>257</w:t>
      </w:r>
      <w:r>
        <w:fldChar w:fldCharType="end"/>
      </w:r>
    </w:p>
    <w:p w:rsidR="005F78FC" w:rsidRDefault="00B42EF3">
      <w:pPr>
        <w:pStyle w:val="indexentry0"/>
      </w:pPr>
      <w:hyperlink w:anchor="section_b1596bd84ac9480e816125dc616c61d7">
        <w:r>
          <w:rPr>
            <w:rStyle w:val="Hyperlink"/>
          </w:rPr>
          <w:t>colDelim (Column Delimiter for Data Source)</w:t>
        </w:r>
      </w:hyperlink>
      <w:r>
        <w:t xml:space="preserve"> </w:t>
      </w:r>
      <w:r>
        <w:fldChar w:fldCharType="begin"/>
      </w:r>
      <w:r>
        <w:instrText>PAGEREF section_b1596bd84ac9480e816125dc616c61d7</w:instrText>
      </w:r>
      <w:r>
        <w:fldChar w:fldCharType="separate"/>
      </w:r>
      <w:r>
        <w:rPr>
          <w:noProof/>
        </w:rPr>
        <w:t>145</w:t>
      </w:r>
      <w:r>
        <w:fldChar w:fldCharType="end"/>
      </w:r>
    </w:p>
    <w:p w:rsidR="005F78FC" w:rsidRDefault="00B42EF3">
      <w:pPr>
        <w:pStyle w:val="indexentry0"/>
      </w:pPr>
      <w:hyperlink w:anchor="section_c360ff36c63047a69a3c94164b365fba">
        <w:r>
          <w:rPr>
            <w:rStyle w:val="Hyperlink"/>
          </w:rPr>
          <w:t>ColHidden (Comment's Column is Hidde</w:t>
        </w:r>
        <w:r>
          <w:rPr>
            <w:rStyle w:val="Hyperlink"/>
          </w:rPr>
          <w:t>n)</w:t>
        </w:r>
      </w:hyperlink>
      <w:r>
        <w:t xml:space="preserve"> </w:t>
      </w:r>
      <w:r>
        <w:fldChar w:fldCharType="begin"/>
      </w:r>
      <w:r>
        <w:instrText>PAGEREF section_c360ff36c63047a69a3c94164b365fba</w:instrText>
      </w:r>
      <w:r>
        <w:fldChar w:fldCharType="separate"/>
      </w:r>
      <w:r>
        <w:rPr>
          <w:noProof/>
        </w:rPr>
        <w:t>680</w:t>
      </w:r>
      <w:r>
        <w:fldChar w:fldCharType="end"/>
      </w:r>
    </w:p>
    <w:p w:rsidR="005F78FC" w:rsidRDefault="00B42EF3">
      <w:pPr>
        <w:pStyle w:val="indexentry0"/>
      </w:pPr>
      <w:hyperlink w:anchor="section_751c37c0b03a4a0ab471094850b9faab">
        <w:r>
          <w:rPr>
            <w:rStyle w:val="Hyperlink"/>
          </w:rPr>
          <w:t>colHierarchiesUsage (Column OLAP Hierarchy References)</w:t>
        </w:r>
      </w:hyperlink>
      <w:r>
        <w:t xml:space="preserve"> </w:t>
      </w:r>
      <w:r>
        <w:fldChar w:fldCharType="begin"/>
      </w:r>
      <w:r>
        <w:instrText>PAGEREF section_751c37c0b03a4a0ab471094850b9faab</w:instrText>
      </w:r>
      <w:r>
        <w:fldChar w:fldCharType="separate"/>
      </w:r>
      <w:r>
        <w:rPr>
          <w:noProof/>
        </w:rPr>
        <w:t>334</w:t>
      </w:r>
      <w:r>
        <w:fldChar w:fldCharType="end"/>
      </w:r>
    </w:p>
    <w:p w:rsidR="005F78FC" w:rsidRDefault="00B42EF3">
      <w:pPr>
        <w:pStyle w:val="indexentry0"/>
      </w:pPr>
      <w:hyperlink w:anchor="section_af9607e8ee2e46b1b90f57aea205bec7">
        <w:r>
          <w:rPr>
            <w:rStyle w:val="Hyperlink"/>
          </w:rPr>
          <w:t>colHierarchyUsage (Column OLAP Hierarchies)</w:t>
        </w:r>
      </w:hyperlink>
      <w:r>
        <w:t xml:space="preserve"> </w:t>
      </w:r>
      <w:r>
        <w:fldChar w:fldCharType="begin"/>
      </w:r>
      <w:r>
        <w:instrText>PAGEREF section_af9607e8ee2e46b1b90f57aea205bec7</w:instrText>
      </w:r>
      <w:r>
        <w:fldChar w:fldCharType="separate"/>
      </w:r>
      <w:r>
        <w:rPr>
          <w:noProof/>
        </w:rPr>
        <w:t>334</w:t>
      </w:r>
      <w:r>
        <w:fldChar w:fldCharType="end"/>
      </w:r>
    </w:p>
    <w:p w:rsidR="005F78FC" w:rsidRDefault="00B42EF3">
      <w:pPr>
        <w:pStyle w:val="indexentry0"/>
      </w:pPr>
      <w:hyperlink w:anchor="section_857d7ed2fdba4c2a9f3c33a6229a342d">
        <w:r>
          <w:rPr>
            <w:rStyle w:val="Hyperlink"/>
          </w:rPr>
          <w:t>colItems (Column Items)</w:t>
        </w:r>
      </w:hyperlink>
      <w:r>
        <w:t xml:space="preserve"> </w:t>
      </w:r>
      <w:r>
        <w:fldChar w:fldCharType="begin"/>
      </w:r>
      <w:r>
        <w:instrText>PAGEREF section_857d7ed2fdba4c2a9f3c33a</w:instrText>
      </w:r>
      <w:r>
        <w:instrText>6229a342d</w:instrText>
      </w:r>
      <w:r>
        <w:fldChar w:fldCharType="separate"/>
      </w:r>
      <w:r>
        <w:rPr>
          <w:noProof/>
        </w:rPr>
        <w:t>334</w:t>
      </w:r>
      <w:r>
        <w:fldChar w:fldCharType="end"/>
      </w:r>
    </w:p>
    <w:p w:rsidR="005F78FC" w:rsidRDefault="00B42EF3">
      <w:pPr>
        <w:pStyle w:val="indexentry0"/>
      </w:pPr>
      <w:hyperlink w:anchor="section_f7105a1c34964b13952237af2be9823d">
        <w:r>
          <w:rPr>
            <w:rStyle w:val="Hyperlink"/>
          </w:rPr>
          <w:t>colOff (Column Offset)</w:t>
        </w:r>
      </w:hyperlink>
      <w:r>
        <w:t xml:space="preserve"> </w:t>
      </w:r>
      <w:r>
        <w:fldChar w:fldCharType="begin"/>
      </w:r>
      <w:r>
        <w:instrText>PAGEREF section_f7105a1c34964b13952237af2be9823d</w:instrText>
      </w:r>
      <w:r>
        <w:fldChar w:fldCharType="separate"/>
      </w:r>
      <w:r>
        <w:rPr>
          <w:noProof/>
        </w:rPr>
        <w:t>528</w:t>
      </w:r>
      <w:r>
        <w:fldChar w:fldCharType="end"/>
      </w:r>
    </w:p>
    <w:p w:rsidR="005F78FC" w:rsidRDefault="00B42EF3">
      <w:pPr>
        <w:pStyle w:val="indexentry0"/>
      </w:pPr>
      <w:hyperlink w:anchor="section_903e02250adb44a3864f59cacf639a76">
        <w:r>
          <w:rPr>
            <w:rStyle w:val="Hyperlink"/>
          </w:rPr>
          <w:t>color (Data Bar Color)</w:t>
        </w:r>
      </w:hyperlink>
      <w:r>
        <w:t xml:space="preserve"> </w:t>
      </w:r>
      <w:r>
        <w:fldChar w:fldCharType="begin"/>
      </w:r>
      <w:r>
        <w:instrText>PAGEREF section_903</w:instrText>
      </w:r>
      <w:r>
        <w:instrText>e02250adb44a3864f59cacf639a76</w:instrText>
      </w:r>
      <w:r>
        <w:fldChar w:fldCharType="separate"/>
      </w:r>
      <w:r>
        <w:rPr>
          <w:noProof/>
        </w:rPr>
        <w:t>257</w:t>
      </w:r>
      <w:r>
        <w:fldChar w:fldCharType="end"/>
      </w:r>
    </w:p>
    <w:p w:rsidR="005F78FC" w:rsidRDefault="00B42EF3">
      <w:pPr>
        <w:pStyle w:val="indexentry0"/>
      </w:pPr>
      <w:hyperlink w:anchor="section_9a2a00db9248454d9f81952c27658324">
        <w:r>
          <w:rPr>
            <w:rStyle w:val="Hyperlink"/>
          </w:rPr>
          <w:t>color (Frameset Splitter Color)</w:t>
        </w:r>
      </w:hyperlink>
      <w:r>
        <w:t xml:space="preserve"> </w:t>
      </w:r>
      <w:r>
        <w:fldChar w:fldCharType="begin"/>
      </w:r>
      <w:r>
        <w:instrText>PAGEREF section_9a2a00db9248454d9f81952c27658324</w:instrText>
      </w:r>
      <w:r>
        <w:fldChar w:fldCharType="separate"/>
      </w:r>
      <w:r>
        <w:rPr>
          <w:noProof/>
        </w:rPr>
        <w:t>164</w:t>
      </w:r>
      <w:r>
        <w:fldChar w:fldCharType="end"/>
      </w:r>
    </w:p>
    <w:p w:rsidR="005F78FC" w:rsidRDefault="00B42EF3">
      <w:pPr>
        <w:pStyle w:val="indexentry0"/>
      </w:pPr>
      <w:hyperlink w:anchor="section_8229a0777fc84fba96ccc77b6a4fc768">
        <w:r>
          <w:rPr>
            <w:rStyle w:val="Hyperlink"/>
          </w:rPr>
          <w:t>color (Run Cont</w:t>
        </w:r>
        <w:r>
          <w:rPr>
            <w:rStyle w:val="Hyperlink"/>
          </w:rPr>
          <w:t>ent Color)</w:t>
        </w:r>
      </w:hyperlink>
      <w:r>
        <w:t xml:space="preserve"> </w:t>
      </w:r>
      <w:r>
        <w:fldChar w:fldCharType="begin"/>
      </w:r>
      <w:r>
        <w:instrText>PAGEREF section_8229a0777fc84fba96ccc77b6a4fc768</w:instrText>
      </w:r>
      <w:r>
        <w:fldChar w:fldCharType="separate"/>
      </w:r>
      <w:r>
        <w:rPr>
          <w:noProof/>
        </w:rPr>
        <w:t>71</w:t>
      </w:r>
      <w:r>
        <w:fldChar w:fldCharType="end"/>
      </w:r>
    </w:p>
    <w:p w:rsidR="005F78FC" w:rsidRDefault="00B42EF3">
      <w:pPr>
        <w:pStyle w:val="indexentry0"/>
      </w:pPr>
      <w:hyperlink w:anchor="section_6011f8a6fcf4490385398e0bae26b7e7">
        <w:r>
          <w:rPr>
            <w:rStyle w:val="Hyperlink"/>
          </w:rPr>
          <w:t>ColorDepth (Color Depth)</w:t>
        </w:r>
      </w:hyperlink>
      <w:r>
        <w:t xml:space="preserve"> </w:t>
      </w:r>
      <w:r>
        <w:fldChar w:fldCharType="begin"/>
      </w:r>
      <w:r>
        <w:instrText>PAGEREF section_6011f8a6fcf4490385398e0bae26b7e7</w:instrText>
      </w:r>
      <w:r>
        <w:fldChar w:fldCharType="separate"/>
      </w:r>
      <w:r>
        <w:rPr>
          <w:noProof/>
        </w:rPr>
        <w:t>885</w:t>
      </w:r>
      <w:r>
        <w:fldChar w:fldCharType="end"/>
      </w:r>
    </w:p>
    <w:p w:rsidR="005F78FC" w:rsidRDefault="00B42EF3">
      <w:pPr>
        <w:pStyle w:val="indexentry0"/>
      </w:pPr>
      <w:hyperlink w:anchor="section_5bdf911798a04345a493b8b2d6ae2fbb">
        <w:r>
          <w:rPr>
            <w:rStyle w:val="Hyperlink"/>
          </w:rPr>
          <w:t>Colored (Dropdown Color Toggle)</w:t>
        </w:r>
      </w:hyperlink>
      <w:r>
        <w:t xml:space="preserve"> </w:t>
      </w:r>
      <w:r>
        <w:fldChar w:fldCharType="begin"/>
      </w:r>
      <w:r>
        <w:instrText>PAGEREF section_5bdf911798a04345a493b8b2d6ae2fbb</w:instrText>
      </w:r>
      <w:r>
        <w:fldChar w:fldCharType="separate"/>
      </w:r>
      <w:r>
        <w:rPr>
          <w:noProof/>
        </w:rPr>
        <w:t>680</w:t>
      </w:r>
      <w:r>
        <w:fldChar w:fldCharType="end"/>
      </w:r>
    </w:p>
    <w:p w:rsidR="005F78FC" w:rsidRDefault="00B42EF3">
      <w:pPr>
        <w:pStyle w:val="indexentry0"/>
      </w:pPr>
      <w:hyperlink w:anchor="section_00d10ae34a454065822a7472be383126">
        <w:r>
          <w:rPr>
            <w:rStyle w:val="Hyperlink"/>
          </w:rPr>
          <w:t>colorFilter (Color Filter Criteria)</w:t>
        </w:r>
      </w:hyperlink>
      <w:r>
        <w:t xml:space="preserve"> </w:t>
      </w:r>
      <w:r>
        <w:fldChar w:fldCharType="begin"/>
      </w:r>
      <w:r>
        <w:instrText>PAGEREF se</w:instrText>
      </w:r>
      <w:r>
        <w:instrText>ction_00d10ae34a454065822a7472be383126</w:instrText>
      </w:r>
      <w:r>
        <w:fldChar w:fldCharType="separate"/>
      </w:r>
      <w:r>
        <w:rPr>
          <w:noProof/>
        </w:rPr>
        <w:t>291</w:t>
      </w:r>
      <w:r>
        <w:fldChar w:fldCharType="end"/>
      </w:r>
    </w:p>
    <w:p w:rsidR="005F78FC" w:rsidRDefault="00B42EF3">
      <w:pPr>
        <w:pStyle w:val="indexentry0"/>
      </w:pPr>
      <w:hyperlink w:anchor="section_d1e014a8724a4aeab72dff663c3620c3">
        <w:r>
          <w:rPr>
            <w:rStyle w:val="Hyperlink"/>
          </w:rPr>
          <w:t>colormenu (UI Default Colors)</w:t>
        </w:r>
      </w:hyperlink>
      <w:r>
        <w:t xml:space="preserve"> </w:t>
      </w:r>
      <w:r>
        <w:fldChar w:fldCharType="begin"/>
      </w:r>
      <w:r>
        <w:instrText>PAGEREF section_d1e014a8724a4aeab72dff663c3620c3</w:instrText>
      </w:r>
      <w:r>
        <w:fldChar w:fldCharType="separate"/>
      </w:r>
      <w:r>
        <w:rPr>
          <w:noProof/>
        </w:rPr>
        <w:t>666</w:t>
      </w:r>
      <w:r>
        <w:fldChar w:fldCharType="end"/>
      </w:r>
    </w:p>
    <w:p w:rsidR="005F78FC" w:rsidRDefault="00B42EF3">
      <w:pPr>
        <w:pStyle w:val="indexentry0"/>
      </w:pPr>
      <w:hyperlink w:anchor="section_62acf3ab86d0498faa7b266e0ef527dd">
        <w:r>
          <w:rPr>
            <w:rStyle w:val="Hyperlink"/>
          </w:rPr>
          <w:t>colormru</w:t>
        </w:r>
        <w:r>
          <w:rPr>
            <w:rStyle w:val="Hyperlink"/>
          </w:rPr>
          <w:t xml:space="preserve"> (Most Recently Used Colors)</w:t>
        </w:r>
      </w:hyperlink>
      <w:r>
        <w:t xml:space="preserve"> </w:t>
      </w:r>
      <w:r>
        <w:fldChar w:fldCharType="begin"/>
      </w:r>
      <w:r>
        <w:instrText>PAGEREF section_62acf3ab86d0498faa7b266e0ef527dd</w:instrText>
      </w:r>
      <w:r>
        <w:fldChar w:fldCharType="separate"/>
      </w:r>
      <w:r>
        <w:rPr>
          <w:noProof/>
        </w:rPr>
        <w:t>666</w:t>
      </w:r>
      <w:r>
        <w:fldChar w:fldCharType="end"/>
      </w:r>
    </w:p>
    <w:p w:rsidR="005F78FC" w:rsidRDefault="00B42EF3">
      <w:pPr>
        <w:pStyle w:val="indexentry0"/>
      </w:pPr>
      <w:hyperlink w:anchor="section_6f3c3ad9dd02428c9fc960b13ef0da08">
        <w:r>
          <w:rPr>
            <w:rStyle w:val="Hyperlink"/>
          </w:rPr>
          <w:t>colorScale (Color Scale)</w:t>
        </w:r>
      </w:hyperlink>
      <w:r>
        <w:t xml:space="preserve"> </w:t>
      </w:r>
      <w:r>
        <w:fldChar w:fldCharType="begin"/>
      </w:r>
      <w:r>
        <w:instrText>PAGEREF section_6f3c3ad9dd02428c9fc960b13ef0da08</w:instrText>
      </w:r>
      <w:r>
        <w:fldChar w:fldCharType="separate"/>
      </w:r>
      <w:r>
        <w:rPr>
          <w:noProof/>
        </w:rPr>
        <w:t>257</w:t>
      </w:r>
      <w:r>
        <w:fldChar w:fldCharType="end"/>
      </w:r>
    </w:p>
    <w:p w:rsidR="005F78FC" w:rsidRDefault="00B42EF3">
      <w:pPr>
        <w:pStyle w:val="indexentry0"/>
      </w:pPr>
      <w:hyperlink w:anchor="section_159e85d0568f49d2b6e9a0b97ff50a0d">
        <w:r>
          <w:rPr>
            <w:rStyle w:val="Hyperlink"/>
          </w:rPr>
          <w:t>colorsDef (Color Transform Definitions)</w:t>
        </w:r>
      </w:hyperlink>
      <w:r>
        <w:t xml:space="preserve"> </w:t>
      </w:r>
      <w:r>
        <w:fldChar w:fldCharType="begin"/>
      </w:r>
      <w:r>
        <w:instrText>PAGEREF section_159e85d0568f49d2b6e9a0b97ff50a0d</w:instrText>
      </w:r>
      <w:r>
        <w:fldChar w:fldCharType="separate"/>
      </w:r>
      <w:r>
        <w:rPr>
          <w:noProof/>
        </w:rPr>
        <w:t>588</w:t>
      </w:r>
      <w:r>
        <w:fldChar w:fldCharType="end"/>
      </w:r>
    </w:p>
    <w:p w:rsidR="005F78FC" w:rsidRDefault="00B42EF3">
      <w:pPr>
        <w:pStyle w:val="indexentry0"/>
      </w:pPr>
      <w:hyperlink w:anchor="section_ef7027d4e05d473b8777dcc2aee91935">
        <w:r>
          <w:rPr>
            <w:rStyle w:val="Hyperlink"/>
          </w:rPr>
          <w:t>cols (Column Definitions)</w:t>
        </w:r>
      </w:hyperlink>
      <w:r>
        <w:t xml:space="preserve"> </w:t>
      </w:r>
      <w:r>
        <w:fldChar w:fldCharType="begin"/>
      </w:r>
      <w:r>
        <w:instrText>PAGEREF section_ef7027d4e05d473b8777dcc2aee91</w:instrText>
      </w:r>
      <w:r>
        <w:instrText>935</w:instrText>
      </w:r>
      <w:r>
        <w:fldChar w:fldCharType="separate"/>
      </w:r>
      <w:r>
        <w:rPr>
          <w:noProof/>
        </w:rPr>
        <w:t>105</w:t>
      </w:r>
      <w:r>
        <w:fldChar w:fldCharType="end"/>
      </w:r>
    </w:p>
    <w:p w:rsidR="005F78FC" w:rsidRDefault="00B42EF3">
      <w:pPr>
        <w:pStyle w:val="indexentry0"/>
      </w:pPr>
      <w:hyperlink w:anchor="section_73bbbbb0df814eccbc7a3e365fbe5fce">
        <w:r>
          <w:rPr>
            <w:rStyle w:val="Hyperlink"/>
          </w:rPr>
          <w:t>colSortMap (Column Sort Map)</w:t>
        </w:r>
      </w:hyperlink>
      <w:r>
        <w:t xml:space="preserve"> </w:t>
      </w:r>
      <w:r>
        <w:fldChar w:fldCharType="begin"/>
      </w:r>
      <w:r>
        <w:instrText>PAGEREF section_73bbbbb0df814eccbc7a3e365fbe5fce</w:instrText>
      </w:r>
      <w:r>
        <w:fldChar w:fldCharType="separate"/>
      </w:r>
      <w:r>
        <w:rPr>
          <w:noProof/>
        </w:rPr>
        <w:t>840</w:t>
      </w:r>
      <w:r>
        <w:fldChar w:fldCharType="end"/>
      </w:r>
    </w:p>
    <w:p w:rsidR="005F78FC" w:rsidRDefault="00B42EF3">
      <w:pPr>
        <w:pStyle w:val="indexentry0"/>
      </w:pPr>
      <w:hyperlink w:anchor="section_d9083bc9de704df5bd4cf32c81e3118d">
        <w:r>
          <w:rPr>
            <w:rStyle w:val="Hyperlink"/>
          </w:rPr>
          <w:t>column (Index of Column Being Mapped)</w:t>
        </w:r>
      </w:hyperlink>
      <w:r>
        <w:t xml:space="preserve"> </w:t>
      </w:r>
      <w:r>
        <w:fldChar w:fldCharType="begin"/>
      </w:r>
      <w:r>
        <w:instrText>PAGEREF section_d9083bc9de704df5bd4cf32c81e3118d</w:instrText>
      </w:r>
      <w:r>
        <w:fldChar w:fldCharType="separate"/>
      </w:r>
      <w:r>
        <w:rPr>
          <w:noProof/>
        </w:rPr>
        <w:t>145</w:t>
      </w:r>
      <w:r>
        <w:fldChar w:fldCharType="end"/>
      </w:r>
    </w:p>
    <w:p w:rsidR="005F78FC" w:rsidRDefault="00B42EF3">
      <w:pPr>
        <w:pStyle w:val="indexentry0"/>
      </w:pPr>
      <w:hyperlink w:anchor="section_10f201d6b7ae4a629a4e7a0397026467">
        <w:r>
          <w:rPr>
            <w:rStyle w:val="Hyperlink"/>
          </w:rPr>
          <w:t>column (Index of Column Containing Unique Values for Record)</w:t>
        </w:r>
      </w:hyperlink>
      <w:r>
        <w:t xml:space="preserve"> </w:t>
      </w:r>
      <w:r>
        <w:fldChar w:fldCharType="begin"/>
      </w:r>
      <w:r>
        <w:instrText>PAGEREF section_10f201d6b7ae4a629a4e7a0397026467</w:instrText>
      </w:r>
      <w:r>
        <w:fldChar w:fldCharType="separate"/>
      </w:r>
      <w:r>
        <w:rPr>
          <w:noProof/>
        </w:rPr>
        <w:t>145</w:t>
      </w:r>
      <w:r>
        <w:fldChar w:fldCharType="end"/>
      </w:r>
    </w:p>
    <w:p w:rsidR="005F78FC" w:rsidRDefault="00B42EF3">
      <w:pPr>
        <w:pStyle w:val="indexentry0"/>
      </w:pPr>
      <w:hyperlink w:anchor="section_7c2c12cffc6b476ca8bc3206fdc1ea78">
        <w:r>
          <w:rPr>
            <w:rStyle w:val="Hyperlink"/>
          </w:rPr>
          <w:t>column (Text Box Interior Stroke)</w:t>
        </w:r>
      </w:hyperlink>
      <w:r>
        <w:t xml:space="preserve"> </w:t>
      </w:r>
      <w:r>
        <w:fldChar w:fldCharType="begin"/>
      </w:r>
      <w:r>
        <w:instrText>PAGEREF section_7c2c12cffc6b476ca8bc3206fdc1ea78</w:instrText>
      </w:r>
      <w:r>
        <w:fldChar w:fldCharType="separate"/>
      </w:r>
      <w:r>
        <w:rPr>
          <w:noProof/>
        </w:rPr>
        <w:t>667</w:t>
      </w:r>
      <w:r>
        <w:fldChar w:fldCharType="end"/>
      </w:r>
    </w:p>
    <w:p w:rsidR="005F78FC" w:rsidRDefault="00B42EF3">
      <w:pPr>
        <w:pStyle w:val="indexentry0"/>
      </w:pPr>
      <w:hyperlink w:anchor="section_2f42e7a6a0144392846153a493241d28">
        <w:r>
          <w:rPr>
            <w:rStyle w:val="Hyperlink"/>
          </w:rPr>
          <w:t>comment (Comment Content)</w:t>
        </w:r>
      </w:hyperlink>
      <w:r>
        <w:t xml:space="preserve"> </w:t>
      </w:r>
      <w:r>
        <w:fldChar w:fldCharType="begin"/>
      </w:r>
      <w:r>
        <w:instrText>PAGEREF section_2f42e7a6a0144392846153a493241d28</w:instrText>
      </w:r>
      <w:r>
        <w:fldChar w:fldCharType="separate"/>
      </w:r>
      <w:r>
        <w:rPr>
          <w:noProof/>
        </w:rPr>
        <w:t>133</w:t>
      </w:r>
      <w:r>
        <w:fldChar w:fldCharType="end"/>
      </w:r>
    </w:p>
    <w:p w:rsidR="005F78FC" w:rsidRDefault="00B42EF3">
      <w:pPr>
        <w:pStyle w:val="indexentry0"/>
      </w:pPr>
      <w:hyperlink w:anchor="section_894596a2886444408e7e51c339d8e665">
        <w:r>
          <w:rPr>
            <w:rStyle w:val="Hyperlink"/>
          </w:rPr>
          <w:t>comment (Comment)</w:t>
        </w:r>
      </w:hyperlink>
      <w:r>
        <w:t xml:space="preserve"> </w:t>
      </w:r>
      <w:r>
        <w:fldChar w:fldCharType="begin"/>
      </w:r>
      <w:r>
        <w:instrText>PAGEREF section_894596a2886444408e7e51c339d8e665</w:instrText>
      </w:r>
      <w:r>
        <w:fldChar w:fldCharType="separate"/>
      </w:r>
      <w:r>
        <w:rPr>
          <w:noProof/>
        </w:rPr>
        <w:t>298</w:t>
      </w:r>
      <w:r>
        <w:fldChar w:fldCharType="end"/>
      </w:r>
    </w:p>
    <w:p w:rsidR="005F78FC" w:rsidRDefault="00B42EF3">
      <w:pPr>
        <w:pStyle w:val="indexentry0"/>
      </w:pPr>
      <w:hyperlink w:anchor="section_e9edd17d6abd4eb4809926c53991de54">
        <w:r>
          <w:rPr>
            <w:rStyle w:val="Hyperlink"/>
          </w:rPr>
          <w:t xml:space="preserve">commentPr </w:t>
        </w:r>
        <w:r>
          <w:rPr>
            <w:rStyle w:val="Hyperlink"/>
          </w:rPr>
          <w:t>(Comment Properties)</w:t>
        </w:r>
      </w:hyperlink>
      <w:r>
        <w:t xml:space="preserve"> </w:t>
      </w:r>
      <w:r>
        <w:fldChar w:fldCharType="begin"/>
      </w:r>
      <w:r>
        <w:instrText>PAGEREF section_e9edd17d6abd4eb4809926c53991de54</w:instrText>
      </w:r>
      <w:r>
        <w:fldChar w:fldCharType="separate"/>
      </w:r>
      <w:r>
        <w:rPr>
          <w:noProof/>
        </w:rPr>
        <w:t>298</w:t>
      </w:r>
      <w:r>
        <w:fldChar w:fldCharType="end"/>
      </w:r>
    </w:p>
    <w:p w:rsidR="005F78FC" w:rsidRDefault="00B42EF3">
      <w:pPr>
        <w:pStyle w:val="indexentry0"/>
      </w:pPr>
      <w:hyperlink w:anchor="section_f9692dfcfc0f4f63847275907af12ade">
        <w:r>
          <w:rPr>
            <w:rStyle w:val="Hyperlink"/>
          </w:rPr>
          <w:t>commentRangeEnd (Comment Anchor Range End)</w:t>
        </w:r>
      </w:hyperlink>
      <w:r>
        <w:t xml:space="preserve"> </w:t>
      </w:r>
      <w:r>
        <w:fldChar w:fldCharType="begin"/>
      </w:r>
      <w:r>
        <w:instrText>PAGEREF section_f9692dfcfc0f4f63847275907af12ade</w:instrText>
      </w:r>
      <w:r>
        <w:fldChar w:fldCharType="separate"/>
      </w:r>
      <w:r>
        <w:rPr>
          <w:noProof/>
        </w:rPr>
        <w:t>134</w:t>
      </w:r>
      <w:r>
        <w:fldChar w:fldCharType="end"/>
      </w:r>
    </w:p>
    <w:p w:rsidR="005F78FC" w:rsidRDefault="00B42EF3">
      <w:pPr>
        <w:pStyle w:val="indexentry0"/>
      </w:pPr>
      <w:hyperlink w:anchor="section_64b95366980f4c759519b745345ded9a">
        <w:r>
          <w:rPr>
            <w:rStyle w:val="Hyperlink"/>
          </w:rPr>
          <w:t>commentRangeStart (Comment Anchor Range Start)</w:t>
        </w:r>
      </w:hyperlink>
      <w:r>
        <w:t xml:space="preserve"> </w:t>
      </w:r>
      <w:r>
        <w:fldChar w:fldCharType="begin"/>
      </w:r>
      <w:r>
        <w:instrText>PAGEREF section_64b95366980f4c759519b745345ded9a</w:instrText>
      </w:r>
      <w:r>
        <w:fldChar w:fldCharType="separate"/>
      </w:r>
      <w:r>
        <w:rPr>
          <w:noProof/>
        </w:rPr>
        <w:t>135</w:t>
      </w:r>
      <w:r>
        <w:fldChar w:fldCharType="end"/>
      </w:r>
    </w:p>
    <w:p w:rsidR="005F78FC" w:rsidRDefault="00B42EF3">
      <w:pPr>
        <w:pStyle w:val="indexentry0"/>
      </w:pPr>
      <w:hyperlink w:anchor="section_84a35ef39c124b59ab4c4a88f520d06c">
        <w:r>
          <w:rPr>
            <w:rStyle w:val="Hyperlink"/>
          </w:rPr>
          <w:t>commentReference (Comment Content Reference Mark)</w:t>
        </w:r>
      </w:hyperlink>
      <w:r>
        <w:t xml:space="preserve"> </w:t>
      </w:r>
      <w:r>
        <w:fldChar w:fldCharType="begin"/>
      </w:r>
      <w:r>
        <w:instrText>PAGE</w:instrText>
      </w:r>
      <w:r>
        <w:instrText>REF section_84a35ef39c124b59ab4c4a88f520d06c</w:instrText>
      </w:r>
      <w:r>
        <w:fldChar w:fldCharType="separate"/>
      </w:r>
      <w:r>
        <w:rPr>
          <w:noProof/>
        </w:rPr>
        <w:t>135</w:t>
      </w:r>
      <w:r>
        <w:fldChar w:fldCharType="end"/>
      </w:r>
    </w:p>
    <w:p w:rsidR="005F78FC" w:rsidRDefault="00B42EF3">
      <w:pPr>
        <w:pStyle w:val="indexentry0"/>
      </w:pPr>
      <w:hyperlink w:anchor="section_6662898652f04e7687cd532773d73936">
        <w:r>
          <w:rPr>
            <w:rStyle w:val="Hyperlink"/>
          </w:rPr>
          <w:t>COMMENTS</w:t>
        </w:r>
      </w:hyperlink>
      <w:r>
        <w:t xml:space="preserve"> </w:t>
      </w:r>
      <w:r>
        <w:fldChar w:fldCharType="begin"/>
      </w:r>
      <w:r>
        <w:instrText>PAGEREF section_6662898652f04e7687cd532773d73936</w:instrText>
      </w:r>
      <w:r>
        <w:fldChar w:fldCharType="separate"/>
      </w:r>
      <w:r>
        <w:rPr>
          <w:noProof/>
        </w:rPr>
        <w:t>188</w:t>
      </w:r>
      <w:r>
        <w:fldChar w:fldCharType="end"/>
      </w:r>
    </w:p>
    <w:p w:rsidR="005F78FC" w:rsidRDefault="00B42EF3">
      <w:pPr>
        <w:pStyle w:val="indexentry0"/>
      </w:pPr>
      <w:hyperlink w:anchor="section_4c06a3856e234dcbad867332f5fe073b">
        <w:r>
          <w:rPr>
            <w:rStyle w:val="Hyperlink"/>
          </w:rPr>
          <w:t>CompanyAddress (Company</w:t>
        </w:r>
        <w:r>
          <w:rPr>
            <w:rStyle w:val="Hyperlink"/>
          </w:rPr>
          <w:t xml:space="preserve"> Address)</w:t>
        </w:r>
      </w:hyperlink>
      <w:r>
        <w:t xml:space="preserve"> </w:t>
      </w:r>
      <w:r>
        <w:fldChar w:fldCharType="begin"/>
      </w:r>
      <w:r>
        <w:instrText>PAGEREF section_4c06a3856e234dcbad867332f5fe073b</w:instrText>
      </w:r>
      <w:r>
        <w:fldChar w:fldCharType="separate"/>
      </w:r>
      <w:r>
        <w:rPr>
          <w:noProof/>
        </w:rPr>
        <w:t>857</w:t>
      </w:r>
      <w:r>
        <w:fldChar w:fldCharType="end"/>
      </w:r>
    </w:p>
    <w:p w:rsidR="005F78FC" w:rsidRDefault="00B42EF3">
      <w:pPr>
        <w:pStyle w:val="indexentry0"/>
      </w:pPr>
      <w:hyperlink w:anchor="section_a8ab7bdd714d4758b667a5a5bed5ae28">
        <w:r>
          <w:rPr>
            <w:rStyle w:val="Hyperlink"/>
          </w:rPr>
          <w:t>CompanyEmail (Company Email Address)</w:t>
        </w:r>
      </w:hyperlink>
      <w:r>
        <w:t xml:space="preserve"> </w:t>
      </w:r>
      <w:r>
        <w:fldChar w:fldCharType="begin"/>
      </w:r>
      <w:r>
        <w:instrText>PAGEREF section_a8ab7bdd714d4758b667a5a5bed5ae28</w:instrText>
      </w:r>
      <w:r>
        <w:fldChar w:fldCharType="separate"/>
      </w:r>
      <w:r>
        <w:rPr>
          <w:noProof/>
        </w:rPr>
        <w:t>857</w:t>
      </w:r>
      <w:r>
        <w:fldChar w:fldCharType="end"/>
      </w:r>
    </w:p>
    <w:p w:rsidR="005F78FC" w:rsidRDefault="00B42EF3">
      <w:pPr>
        <w:pStyle w:val="indexentry0"/>
      </w:pPr>
      <w:hyperlink w:anchor="section_a0ebde1b8d544dbebcbc8276d74f784a">
        <w:r>
          <w:rPr>
            <w:rStyle w:val="Hyperlink"/>
          </w:rPr>
          <w:t>CompanyFax (Company Fax Number)</w:t>
        </w:r>
      </w:hyperlink>
      <w:r>
        <w:t xml:space="preserve"> </w:t>
      </w:r>
      <w:r>
        <w:fldChar w:fldCharType="begin"/>
      </w:r>
      <w:r>
        <w:instrText>PAGEREF section_a0ebde1b8d544dbebcbc8276d74f784a</w:instrText>
      </w:r>
      <w:r>
        <w:fldChar w:fldCharType="separate"/>
      </w:r>
      <w:r>
        <w:rPr>
          <w:noProof/>
        </w:rPr>
        <w:t>857</w:t>
      </w:r>
      <w:r>
        <w:fldChar w:fldCharType="end"/>
      </w:r>
    </w:p>
    <w:p w:rsidR="005F78FC" w:rsidRDefault="00B42EF3">
      <w:pPr>
        <w:pStyle w:val="indexentry0"/>
      </w:pPr>
      <w:hyperlink w:anchor="section_dc6bac686d824d31abafa4729eaba587">
        <w:r>
          <w:rPr>
            <w:rStyle w:val="Hyperlink"/>
          </w:rPr>
          <w:t>CompanyPhone (Company Phone Number)</w:t>
        </w:r>
      </w:hyperlink>
      <w:r>
        <w:t xml:space="preserve"> </w:t>
      </w:r>
      <w:r>
        <w:fldChar w:fldCharType="begin"/>
      </w:r>
      <w:r>
        <w:instrText>PAGEREF section_dc6bac686d824d31abafa4729eaba587</w:instrText>
      </w:r>
      <w:r>
        <w:fldChar w:fldCharType="separate"/>
      </w:r>
      <w:r>
        <w:rPr>
          <w:noProof/>
        </w:rPr>
        <w:t>858</w:t>
      </w:r>
      <w:r>
        <w:fldChar w:fldCharType="end"/>
      </w:r>
    </w:p>
    <w:p w:rsidR="005F78FC" w:rsidRDefault="00B42EF3">
      <w:pPr>
        <w:pStyle w:val="indexentry0"/>
      </w:pPr>
      <w:hyperlink w:anchor="section_efc903893bb0477795d2f3479d5109e7">
        <w:r>
          <w:rPr>
            <w:rStyle w:val="Hyperlink"/>
          </w:rPr>
          <w:t>COMPARE</w:t>
        </w:r>
      </w:hyperlink>
      <w:r>
        <w:t xml:space="preserve"> </w:t>
      </w:r>
      <w:r>
        <w:fldChar w:fldCharType="begin"/>
      </w:r>
      <w:r>
        <w:instrText>PAGEREF section_efc903893bb0477795d2f3479d5109e7</w:instrText>
      </w:r>
      <w:r>
        <w:fldChar w:fldCharType="separate"/>
      </w:r>
      <w:r>
        <w:rPr>
          <w:noProof/>
        </w:rPr>
        <w:t>189</w:t>
      </w:r>
      <w:r>
        <w:fldChar w:fldCharType="end"/>
      </w:r>
    </w:p>
    <w:p w:rsidR="005F78FC" w:rsidRDefault="00B42EF3">
      <w:pPr>
        <w:pStyle w:val="indexentry0"/>
      </w:pPr>
      <w:hyperlink w:anchor="section_fde89d007c2b42478077d9d923e7c804">
        <w:r>
          <w:rPr>
            <w:rStyle w:val="Hyperlink"/>
          </w:rPr>
          <w:t>COMPLEX</w:t>
        </w:r>
      </w:hyperlink>
      <w:r>
        <w:t xml:space="preserve"> </w:t>
      </w:r>
      <w:r>
        <w:fldChar w:fldCharType="begin"/>
      </w:r>
      <w:r>
        <w:instrText>PAGEREF section_fde89d007c2b42478077d9d923e7c804</w:instrText>
      </w:r>
      <w:r>
        <w:fldChar w:fldCharType="separate"/>
      </w:r>
      <w:r>
        <w:rPr>
          <w:noProof/>
        </w:rPr>
        <w:t>411</w:t>
      </w:r>
      <w:r>
        <w:fldChar w:fldCharType="end"/>
      </w:r>
    </w:p>
    <w:p w:rsidR="005F78FC" w:rsidRDefault="00B42EF3">
      <w:pPr>
        <w:pStyle w:val="indexentry0"/>
      </w:pPr>
      <w:hyperlink w:anchor="section_71df303d34714cf5bb582d71e8fecea4">
        <w:r>
          <w:rPr>
            <w:rStyle w:val="Hyperlink"/>
          </w:rPr>
          <w:t>complex (Complex)</w:t>
        </w:r>
      </w:hyperlink>
      <w:r>
        <w:t xml:space="preserve"> </w:t>
      </w:r>
      <w:r>
        <w:fldChar w:fldCharType="begin"/>
      </w:r>
      <w:r>
        <w:instrText>PAGEREF section_71df303d34714cf5bb582d71e8fecea4</w:instrText>
      </w:r>
      <w:r>
        <w:fldChar w:fldCharType="separate"/>
      </w:r>
      <w:r>
        <w:rPr>
          <w:noProof/>
        </w:rPr>
        <w:t>667</w:t>
      </w:r>
      <w:r>
        <w:fldChar w:fldCharType="end"/>
      </w:r>
    </w:p>
    <w:p w:rsidR="005F78FC" w:rsidRDefault="00B42EF3">
      <w:pPr>
        <w:pStyle w:val="indexentry0"/>
      </w:pPr>
      <w:hyperlink w:anchor="section_4e694ff4c1d6437e9c0f99bdd419c427">
        <w:r>
          <w:rPr>
            <w:rStyle w:val="Hyperlink"/>
          </w:rPr>
          <w:t>cond (Condition)</w:t>
        </w:r>
      </w:hyperlink>
      <w:r>
        <w:t xml:space="preserve"> </w:t>
      </w:r>
      <w:r>
        <w:fldChar w:fldCharType="begin"/>
      </w:r>
      <w:r>
        <w:instrText>PAGEREF section_4e694ff4c1d6437e9c0f99bdd419c427</w:instrText>
      </w:r>
      <w:r>
        <w:fldChar w:fldCharType="separate"/>
      </w:r>
      <w:r>
        <w:rPr>
          <w:noProof/>
        </w:rPr>
        <w:t>484</w:t>
      </w:r>
      <w:r>
        <w:fldChar w:fldCharType="end"/>
      </w:r>
    </w:p>
    <w:p w:rsidR="005F78FC" w:rsidRDefault="00B42EF3">
      <w:pPr>
        <w:pStyle w:val="indexentry0"/>
      </w:pPr>
      <w:hyperlink w:anchor="section_ed5fc677a2444bfca1488ac15a6a97db">
        <w:r>
          <w:rPr>
            <w:rStyle w:val="Hyperlink"/>
          </w:rPr>
          <w:t>Conditional Formatting Formulas</w:t>
        </w:r>
      </w:hyperlink>
      <w:r>
        <w:t xml:space="preserve"> </w:t>
      </w:r>
      <w:r>
        <w:fldChar w:fldCharType="begin"/>
      </w:r>
      <w:r>
        <w:instrText>PAGEREF section_ed5fc677a2444bfca1488ac15a6a97db</w:instrText>
      </w:r>
      <w:r>
        <w:fldChar w:fldCharType="separate"/>
      </w:r>
      <w:r>
        <w:rPr>
          <w:noProof/>
        </w:rPr>
        <w:t>845</w:t>
      </w:r>
      <w:r>
        <w:fldChar w:fldCharType="end"/>
      </w:r>
    </w:p>
    <w:p w:rsidR="005F78FC" w:rsidRDefault="00B42EF3">
      <w:pPr>
        <w:pStyle w:val="indexentry0"/>
      </w:pPr>
      <w:hyperlink w:anchor="section_70202dcd0bd140e1ab4ef468dd42dc0e">
        <w:r>
          <w:rPr>
            <w:rStyle w:val="Hyperlink"/>
          </w:rPr>
          <w:t>conditionalFormat (Conditional Formatting)</w:t>
        </w:r>
      </w:hyperlink>
      <w:r>
        <w:t xml:space="preserve"> </w:t>
      </w:r>
      <w:r>
        <w:fldChar w:fldCharType="begin"/>
      </w:r>
      <w:r>
        <w:instrText>PA</w:instrText>
      </w:r>
      <w:r>
        <w:instrText>GEREF section_70202dcd0bd140e1ab4ef468dd42dc0e</w:instrText>
      </w:r>
      <w:r>
        <w:fldChar w:fldCharType="separate"/>
      </w:r>
      <w:r>
        <w:rPr>
          <w:noProof/>
        </w:rPr>
        <w:t>334</w:t>
      </w:r>
      <w:r>
        <w:fldChar w:fldCharType="end"/>
      </w:r>
    </w:p>
    <w:p w:rsidR="005F78FC" w:rsidRDefault="00B42EF3">
      <w:pPr>
        <w:pStyle w:val="indexentry0"/>
      </w:pPr>
      <w:hyperlink w:anchor="section_a876bb76a6c348569232028b4d575aa2">
        <w:r>
          <w:rPr>
            <w:rStyle w:val="Hyperlink"/>
          </w:rPr>
          <w:t>conditionalFormatting (Conditional Formatting)</w:t>
        </w:r>
      </w:hyperlink>
      <w:r>
        <w:t xml:space="preserve"> </w:t>
      </w:r>
      <w:r>
        <w:fldChar w:fldCharType="begin"/>
      </w:r>
      <w:r>
        <w:instrText>PAGEREF section_a876bb76a6c348569232028b4d575aa2</w:instrText>
      </w:r>
      <w:r>
        <w:fldChar w:fldCharType="separate"/>
      </w:r>
      <w:r>
        <w:rPr>
          <w:noProof/>
        </w:rPr>
        <w:t>257</w:t>
      </w:r>
      <w:r>
        <w:fldChar w:fldCharType="end"/>
      </w:r>
    </w:p>
    <w:p w:rsidR="005F78FC" w:rsidRDefault="00B42EF3">
      <w:pPr>
        <w:pStyle w:val="indexentry0"/>
      </w:pPr>
      <w:hyperlink w:anchor="section_aa6808c815784fff8c5fd2005b48dbda">
        <w:r>
          <w:rPr>
            <w:rStyle w:val="Hyperlink"/>
          </w:rPr>
          <w:t>CONFIDENCE</w:t>
        </w:r>
      </w:hyperlink>
      <w:r>
        <w:t xml:space="preserve"> </w:t>
      </w:r>
      <w:r>
        <w:fldChar w:fldCharType="begin"/>
      </w:r>
      <w:r>
        <w:instrText>PAGEREF section_aa6808c815784fff8c5fd2005b48dbda</w:instrText>
      </w:r>
      <w:r>
        <w:fldChar w:fldCharType="separate"/>
      </w:r>
      <w:r>
        <w:rPr>
          <w:noProof/>
        </w:rPr>
        <w:t>411</w:t>
      </w:r>
      <w:r>
        <w:fldChar w:fldCharType="end"/>
      </w:r>
    </w:p>
    <w:p w:rsidR="005F78FC" w:rsidRDefault="00B42EF3">
      <w:pPr>
        <w:pStyle w:val="indexentry0"/>
      </w:pPr>
      <w:hyperlink w:anchor="section_248127ad505d4b14839ca425b8821352">
        <w:r>
          <w:rPr>
            <w:rStyle w:val="Hyperlink"/>
          </w:rPr>
          <w:t>connection (Connection)</w:t>
        </w:r>
      </w:hyperlink>
      <w:r>
        <w:t xml:space="preserve"> </w:t>
      </w:r>
      <w:r>
        <w:fldChar w:fldCharType="begin"/>
      </w:r>
      <w:r>
        <w:instrText>PAGEREF section_248127ad505d4b14839ca425b8821352</w:instrText>
      </w:r>
      <w:r>
        <w:fldChar w:fldCharType="separate"/>
      </w:r>
      <w:r>
        <w:rPr>
          <w:noProof/>
        </w:rPr>
        <w:t>379</w:t>
      </w:r>
      <w:r>
        <w:fldChar w:fldCharType="end"/>
      </w:r>
    </w:p>
    <w:p w:rsidR="005F78FC" w:rsidRDefault="00B42EF3">
      <w:pPr>
        <w:pStyle w:val="indexentry0"/>
      </w:pPr>
      <w:hyperlink w:anchor="section_f68636b8b56d4a0c918d596752081e79">
        <w:r>
          <w:rPr>
            <w:rStyle w:val="Hyperlink"/>
          </w:rPr>
          <w:t>consecutiveHyphenLimit (Maximum Number of Consecutively Hyphenated Lines)</w:t>
        </w:r>
      </w:hyperlink>
      <w:r>
        <w:t xml:space="preserve"> </w:t>
      </w:r>
      <w:r>
        <w:fldChar w:fldCharType="begin"/>
      </w:r>
      <w:r>
        <w:instrText>PAGEREF section_f68636b8b56d4a0c918d596752081e79</w:instrText>
      </w:r>
      <w:r>
        <w:fldChar w:fldCharType="separate"/>
      </w:r>
      <w:r>
        <w:rPr>
          <w:noProof/>
        </w:rPr>
        <w:t>154</w:t>
      </w:r>
      <w:r>
        <w:fldChar w:fldCharType="end"/>
      </w:r>
    </w:p>
    <w:p w:rsidR="005F78FC" w:rsidRDefault="00B42EF3">
      <w:pPr>
        <w:pStyle w:val="indexentry0"/>
      </w:pPr>
      <w:hyperlink w:anchor="section_e7502ecf232e44a084eb1d391ff386b5">
        <w:r>
          <w:rPr>
            <w:rStyle w:val="Hyperlink"/>
          </w:rPr>
          <w:t>Constants</w:t>
        </w:r>
      </w:hyperlink>
      <w:r>
        <w:t xml:space="preserve"> </w:t>
      </w:r>
      <w:r>
        <w:fldChar w:fldCharType="begin"/>
      </w:r>
      <w:r>
        <w:instrText>PAGEREF section_e7502ecf232e44a084eb1d391ff386b5</w:instrText>
      </w:r>
      <w:r>
        <w:fldChar w:fldCharType="separate"/>
      </w:r>
      <w:r>
        <w:rPr>
          <w:noProof/>
        </w:rPr>
        <w:t>393</w:t>
      </w:r>
      <w:r>
        <w:fldChar w:fldCharType="end"/>
      </w:r>
    </w:p>
    <w:p w:rsidR="005F78FC" w:rsidRDefault="00B42EF3">
      <w:pPr>
        <w:pStyle w:val="indexentry0"/>
      </w:pPr>
      <w:hyperlink w:anchor="section_b319fbdd87f44a23833d175e9b2b6539">
        <w:r>
          <w:rPr>
            <w:rStyle w:val="Hyperlink"/>
          </w:rPr>
          <w:t>cont (Effect Container)</w:t>
        </w:r>
      </w:hyperlink>
      <w:r>
        <w:t xml:space="preserve"> </w:t>
      </w:r>
      <w:r>
        <w:fldChar w:fldCharType="begin"/>
      </w:r>
      <w:r>
        <w:instrText>PAGEREF section_b319fbdd87f44a23833d175e9b2b6539</w:instrText>
      </w:r>
      <w:r>
        <w:fldChar w:fldCharType="separate"/>
      </w:r>
      <w:r>
        <w:rPr>
          <w:noProof/>
        </w:rPr>
        <w:t>515</w:t>
      </w:r>
      <w:r>
        <w:fldChar w:fldCharType="end"/>
      </w:r>
    </w:p>
    <w:p w:rsidR="005F78FC" w:rsidRDefault="00B42EF3">
      <w:pPr>
        <w:pStyle w:val="indexentry0"/>
      </w:pPr>
      <w:hyperlink w:anchor="section_9cf259ed1c6c441ca903066fc8955d64">
        <w:r>
          <w:rPr>
            <w:rStyle w:val="Hyperlink"/>
          </w:rPr>
          <w:t>Cont</w:t>
        </w:r>
        <w:r>
          <w:rPr>
            <w:rStyle w:val="Hyperlink"/>
          </w:rPr>
          <w:t>ainment of Math runs and Math functions and objects</w:t>
        </w:r>
      </w:hyperlink>
      <w:r>
        <w:t xml:space="preserve"> </w:t>
      </w:r>
      <w:r>
        <w:fldChar w:fldCharType="begin"/>
      </w:r>
      <w:r>
        <w:instrText>PAGEREF section_9cf259ed1c6c441ca903066fc8955d64</w:instrText>
      </w:r>
      <w:r>
        <w:fldChar w:fldCharType="separate"/>
      </w:r>
      <w:r>
        <w:rPr>
          <w:noProof/>
        </w:rPr>
        <w:t>897</w:t>
      </w:r>
      <w:r>
        <w:fldChar w:fldCharType="end"/>
      </w:r>
    </w:p>
    <w:p w:rsidR="005F78FC" w:rsidRDefault="00B42EF3">
      <w:pPr>
        <w:pStyle w:val="indexentry0"/>
      </w:pPr>
      <w:hyperlink w:anchor="section_45d55a2a0f404d0f802b5cdc65650590">
        <w:r>
          <w:rPr>
            <w:rStyle w:val="Hyperlink"/>
          </w:rPr>
          <w:t>Containment of the oMathPara element</w:t>
        </w:r>
      </w:hyperlink>
      <w:r>
        <w:t xml:space="preserve"> </w:t>
      </w:r>
      <w:r>
        <w:fldChar w:fldCharType="begin"/>
      </w:r>
      <w:r>
        <w:instrText>PAGEREF section_45d55a2a0f404d0f802b5cdc65650590</w:instrText>
      </w:r>
      <w:r>
        <w:fldChar w:fldCharType="separate"/>
      </w:r>
      <w:r>
        <w:rPr>
          <w:noProof/>
        </w:rPr>
        <w:t>897</w:t>
      </w:r>
      <w:r>
        <w:fldChar w:fldCharType="end"/>
      </w:r>
    </w:p>
    <w:p w:rsidR="005F78FC" w:rsidRDefault="00B42EF3">
      <w:pPr>
        <w:pStyle w:val="indexentry0"/>
      </w:pPr>
      <w:hyperlink w:anchor="section_ccefd82e29684f0ca2db6b109fe3353c">
        <w:r>
          <w:rPr>
            <w:rStyle w:val="Hyperlink"/>
          </w:rPr>
          <w:t>Content Type Schemas</w:t>
        </w:r>
      </w:hyperlink>
      <w:r>
        <w:t xml:space="preserve"> </w:t>
      </w:r>
      <w:r>
        <w:fldChar w:fldCharType="begin"/>
      </w:r>
      <w:r>
        <w:instrText>PAGEREF section_ccefd82e29684f0ca2db6b109fe3353c</w:instrText>
      </w:r>
      <w:r>
        <w:fldChar w:fldCharType="separate"/>
      </w:r>
      <w:r>
        <w:rPr>
          <w:noProof/>
        </w:rPr>
        <w:t>859</w:t>
      </w:r>
      <w:r>
        <w:fldChar w:fldCharType="end"/>
      </w:r>
    </w:p>
    <w:p w:rsidR="005F78FC" w:rsidRDefault="00B42EF3">
      <w:pPr>
        <w:pStyle w:val="indexentry0"/>
      </w:pPr>
      <w:hyperlink w:anchor="section_acb43eb342e64ae998cacd04346b080a">
        <w:r>
          <w:rPr>
            <w:rStyle w:val="Hyperlink"/>
          </w:rPr>
          <w:t>Content Type Schemas Schema</w:t>
        </w:r>
      </w:hyperlink>
      <w:r>
        <w:t xml:space="preserve"> </w:t>
      </w:r>
      <w:r>
        <w:fldChar w:fldCharType="begin"/>
      </w:r>
      <w:r>
        <w:instrText>PAGEREF section_acb43eb342e</w:instrText>
      </w:r>
      <w:r>
        <w:instrText>64ae998cacd04346b080a</w:instrText>
      </w:r>
      <w:r>
        <w:fldChar w:fldCharType="separate"/>
      </w:r>
      <w:r>
        <w:rPr>
          <w:noProof/>
        </w:rPr>
        <w:t>859</w:t>
      </w:r>
      <w:r>
        <w:fldChar w:fldCharType="end"/>
      </w:r>
    </w:p>
    <w:p w:rsidR="005F78FC" w:rsidRDefault="00B42EF3">
      <w:pPr>
        <w:pStyle w:val="indexentry0"/>
      </w:pPr>
      <w:hyperlink w:anchor="section_7e9860bb2b3d469aa3ea08a692df6507">
        <w:r>
          <w:rPr>
            <w:rStyle w:val="Hyperlink"/>
          </w:rPr>
          <w:t>contentPart (Content Part)</w:t>
        </w:r>
      </w:hyperlink>
      <w:r>
        <w:t xml:space="preserve"> </w:t>
      </w:r>
      <w:r>
        <w:fldChar w:fldCharType="begin"/>
      </w:r>
      <w:r>
        <w:instrText>PAGEREF section_7e9860bb2b3d469aa3ea08a692df6507</w:instrText>
      </w:r>
      <w:r>
        <w:fldChar w:fldCharType="separate"/>
      </w:r>
      <w:r>
        <w:rPr>
          <w:noProof/>
        </w:rPr>
        <w:t>82</w:t>
      </w:r>
      <w:r>
        <w:fldChar w:fldCharType="end"/>
      </w:r>
    </w:p>
    <w:p w:rsidR="005F78FC" w:rsidRDefault="00B42EF3">
      <w:pPr>
        <w:pStyle w:val="indexentry0"/>
      </w:pPr>
      <w:hyperlink w:anchor="section_0365ee65da5b44769eaa73f1dda94db8">
        <w:r>
          <w:rPr>
            <w:rStyle w:val="Hyperlink"/>
          </w:rPr>
          <w:t>contentTypeSchema (Schema fo</w:t>
        </w:r>
        <w:r>
          <w:rPr>
            <w:rStyle w:val="Hyperlink"/>
          </w:rPr>
          <w:t>r Content Type)</w:t>
        </w:r>
      </w:hyperlink>
      <w:r>
        <w:t xml:space="preserve"> </w:t>
      </w:r>
      <w:r>
        <w:fldChar w:fldCharType="begin"/>
      </w:r>
      <w:r>
        <w:instrText>PAGEREF section_0365ee65da5b44769eaa73f1dda94db8</w:instrText>
      </w:r>
      <w:r>
        <w:fldChar w:fldCharType="separate"/>
      </w:r>
      <w:r>
        <w:rPr>
          <w:noProof/>
        </w:rPr>
        <w:t>860</w:t>
      </w:r>
      <w:r>
        <w:fldChar w:fldCharType="end"/>
      </w:r>
    </w:p>
    <w:p w:rsidR="005F78FC" w:rsidRDefault="00B42EF3">
      <w:pPr>
        <w:pStyle w:val="indexentry0"/>
      </w:pPr>
      <w:hyperlink w:anchor="section_b3abb6555c644f3aae3d26cf0dbc9081">
        <w:r>
          <w:rPr>
            <w:rStyle w:val="Hyperlink"/>
          </w:rPr>
          <w:t>contourClr (Contour Color)</w:t>
        </w:r>
      </w:hyperlink>
      <w:r>
        <w:t xml:space="preserve"> </w:t>
      </w:r>
      <w:r>
        <w:fldChar w:fldCharType="begin"/>
      </w:r>
      <w:r>
        <w:instrText>PAGEREF section_b3abb6555c644f3aae3d26cf0dbc9081</w:instrText>
      </w:r>
      <w:r>
        <w:fldChar w:fldCharType="separate"/>
      </w:r>
      <w:r>
        <w:rPr>
          <w:noProof/>
        </w:rPr>
        <w:t>510</w:t>
      </w:r>
      <w:r>
        <w:fldChar w:fldCharType="end"/>
      </w:r>
    </w:p>
    <w:p w:rsidR="005F78FC" w:rsidRDefault="00B42EF3">
      <w:pPr>
        <w:pStyle w:val="indexentry0"/>
      </w:pPr>
      <w:r>
        <w:t>control (Embedded Control) (</w:t>
      </w:r>
      <w:hyperlink w:anchor="section_4dd24eb05f974935875aba6fb4a1ea6d">
        <w:r>
          <w:rPr>
            <w:rStyle w:val="Hyperlink"/>
          </w:rPr>
          <w:t>section 2.1.103</w:t>
        </w:r>
      </w:hyperlink>
      <w:r>
        <w:t xml:space="preserve"> </w:t>
      </w:r>
      <w:r>
        <w:fldChar w:fldCharType="begin"/>
      </w:r>
      <w:r>
        <w:instrText>PAGEREF section_4dd24eb05f974935875aba6fb4a1ea6d</w:instrText>
      </w:r>
      <w:r>
        <w:fldChar w:fldCharType="separate"/>
      </w:r>
      <w:r>
        <w:rPr>
          <w:noProof/>
        </w:rPr>
        <w:t>82</w:t>
      </w:r>
      <w:r>
        <w:fldChar w:fldCharType="end"/>
      </w:r>
      <w:r>
        <w:t xml:space="preserve">, </w:t>
      </w:r>
      <w:hyperlink w:anchor="section_191c4c0c89ac45619cbf5b27a753beee">
        <w:r>
          <w:rPr>
            <w:rStyle w:val="Hyperlink"/>
          </w:rPr>
          <w:t>section 2.1.602</w:t>
        </w:r>
      </w:hyperlink>
      <w:r>
        <w:t xml:space="preserve"> </w:t>
      </w:r>
      <w:r>
        <w:fldChar w:fldCharType="begin"/>
      </w:r>
      <w:r>
        <w:instrText>PAGEREF section_191c4c0c89ac45619cbf5b27a753beee</w:instrText>
      </w:r>
      <w:r>
        <w:fldChar w:fldCharType="separate"/>
      </w:r>
      <w:r>
        <w:rPr>
          <w:noProof/>
        </w:rPr>
        <w:t>258</w:t>
      </w:r>
      <w:r>
        <w:fldChar w:fldCharType="end"/>
      </w:r>
      <w:r>
        <w:t xml:space="preserve">, </w:t>
      </w:r>
      <w:hyperlink w:anchor="section_4a7566a1d53e40df8b001876715deeec">
        <w:r>
          <w:rPr>
            <w:rStyle w:val="Hyperlink"/>
          </w:rPr>
          <w:t>section 2.1.1130</w:t>
        </w:r>
      </w:hyperlink>
      <w:r>
        <w:t xml:space="preserve"> </w:t>
      </w:r>
      <w:r>
        <w:fldChar w:fldCharType="begin"/>
      </w:r>
      <w:r>
        <w:instrText>PAGEREF section_4a7566a1d53e40df8b001876715deeec</w:instrText>
      </w:r>
      <w:r>
        <w:fldChar w:fldCharType="separate"/>
      </w:r>
      <w:r>
        <w:rPr>
          <w:noProof/>
        </w:rPr>
        <w:t>472</w:t>
      </w:r>
      <w:r>
        <w:fldChar w:fldCharType="end"/>
      </w:r>
      <w:r>
        <w:t>)</w:t>
      </w:r>
    </w:p>
    <w:p w:rsidR="005F78FC" w:rsidRDefault="00B42EF3">
      <w:pPr>
        <w:pStyle w:val="indexentry0"/>
      </w:pPr>
      <w:hyperlink w:anchor="section_6fb2a0fdd9af44a4a0ed5dd4ad286134">
        <w:r>
          <w:rPr>
            <w:rStyle w:val="Hyperlink"/>
          </w:rPr>
          <w:t>control (Floating Embedded Control)</w:t>
        </w:r>
      </w:hyperlink>
      <w:r>
        <w:t xml:space="preserve"> </w:t>
      </w:r>
      <w:r>
        <w:fldChar w:fldCharType="begin"/>
      </w:r>
      <w:r>
        <w:instrText>PAGEREF section_6fb2a0fd</w:instrText>
      </w:r>
      <w:r>
        <w:instrText>d9af44a4a0ed5dd4ad286134</w:instrText>
      </w:r>
      <w:r>
        <w:fldChar w:fldCharType="separate"/>
      </w:r>
      <w:r>
        <w:rPr>
          <w:noProof/>
        </w:rPr>
        <w:t>625</w:t>
      </w:r>
      <w:r>
        <w:fldChar w:fldCharType="end"/>
      </w:r>
    </w:p>
    <w:p w:rsidR="005F78FC" w:rsidRDefault="00B42EF3">
      <w:pPr>
        <w:pStyle w:val="indexentry0"/>
      </w:pPr>
      <w:hyperlink w:anchor="section_d54ad5fce66f473282072e69571b58c0">
        <w:r>
          <w:rPr>
            <w:rStyle w:val="Hyperlink"/>
          </w:rPr>
          <w:t>Control Properties</w:t>
        </w:r>
      </w:hyperlink>
      <w:r>
        <w:t xml:space="preserve"> </w:t>
      </w:r>
      <w:r>
        <w:fldChar w:fldCharType="begin"/>
      </w:r>
      <w:r>
        <w:instrText>PAGEREF section_d54ad5fce66f473282072e69571b58c0</w:instrText>
      </w:r>
      <w:r>
        <w:fldChar w:fldCharType="separate"/>
      </w:r>
      <w:r>
        <w:rPr>
          <w:noProof/>
        </w:rPr>
        <w:t>898</w:t>
      </w:r>
      <w:r>
        <w:fldChar w:fldCharType="end"/>
      </w:r>
    </w:p>
    <w:p w:rsidR="005F78FC" w:rsidRDefault="00B42EF3">
      <w:pPr>
        <w:pStyle w:val="indexentry0"/>
      </w:pPr>
      <w:hyperlink w:anchor="section_ee6983cc1d544770b179a332e5bb8ffa">
        <w:r>
          <w:rPr>
            <w:rStyle w:val="Hyperlink"/>
          </w:rPr>
          <w:t>controlPr (Embedded Control Prope</w:t>
        </w:r>
        <w:r>
          <w:rPr>
            <w:rStyle w:val="Hyperlink"/>
          </w:rPr>
          <w:t>rties)</w:t>
        </w:r>
      </w:hyperlink>
      <w:r>
        <w:t xml:space="preserve"> </w:t>
      </w:r>
      <w:r>
        <w:fldChar w:fldCharType="begin"/>
      </w:r>
      <w:r>
        <w:instrText>PAGEREF section_ee6983cc1d544770b179a332e5bb8ffa</w:instrText>
      </w:r>
      <w:r>
        <w:fldChar w:fldCharType="separate"/>
      </w:r>
      <w:r>
        <w:rPr>
          <w:noProof/>
        </w:rPr>
        <w:t>258</w:t>
      </w:r>
      <w:r>
        <w:fldChar w:fldCharType="end"/>
      </w:r>
    </w:p>
    <w:p w:rsidR="005F78FC" w:rsidRDefault="00B42EF3">
      <w:pPr>
        <w:pStyle w:val="indexentry0"/>
      </w:pPr>
      <w:hyperlink w:anchor="section_10f45a7e53934ea2b0f7dac31d426fea">
        <w:r>
          <w:rPr>
            <w:rStyle w:val="Hyperlink"/>
          </w:rPr>
          <w:t>controls (Embedded Controls)</w:t>
        </w:r>
      </w:hyperlink>
      <w:r>
        <w:t xml:space="preserve"> </w:t>
      </w:r>
      <w:r>
        <w:fldChar w:fldCharType="begin"/>
      </w:r>
      <w:r>
        <w:instrText>PAGEREF section_10f45a7e53934ea2b0f7dac31d426fea</w:instrText>
      </w:r>
      <w:r>
        <w:fldChar w:fldCharType="separate"/>
      </w:r>
      <w:r>
        <w:rPr>
          <w:noProof/>
        </w:rPr>
        <w:t>258</w:t>
      </w:r>
      <w:r>
        <w:fldChar w:fldCharType="end"/>
      </w:r>
    </w:p>
    <w:p w:rsidR="005F78FC" w:rsidRDefault="00B42EF3">
      <w:pPr>
        <w:pStyle w:val="indexentry0"/>
      </w:pPr>
      <w:hyperlink w:anchor="section_fd31bfcbc9464f1a88e258d40cde169e">
        <w:r>
          <w:rPr>
            <w:rStyle w:val="Hyperlink"/>
          </w:rPr>
          <w:t>CONVERT</w:t>
        </w:r>
      </w:hyperlink>
      <w:r>
        <w:t xml:space="preserve"> </w:t>
      </w:r>
      <w:r>
        <w:fldChar w:fldCharType="begin"/>
      </w:r>
      <w:r>
        <w:instrText>PAGEREF section_fd31bfcbc9464f1a88e258d40cde169e</w:instrText>
      </w:r>
      <w:r>
        <w:fldChar w:fldCharType="separate"/>
      </w:r>
      <w:r>
        <w:rPr>
          <w:noProof/>
        </w:rPr>
        <w:t>411</w:t>
      </w:r>
      <w:r>
        <w:fldChar w:fldCharType="end"/>
      </w:r>
    </w:p>
    <w:p w:rsidR="005F78FC" w:rsidRDefault="00B42EF3">
      <w:pPr>
        <w:pStyle w:val="indexentry0"/>
      </w:pPr>
      <w:hyperlink w:anchor="section_69facb4b222641c0a77ad9fcabebd0ea">
        <w:r>
          <w:rPr>
            <w:rStyle w:val="Hyperlink"/>
          </w:rPr>
          <w:t>convMailMergeEsc (Treat Backslash Quotation Delimiter as Two Quotation Marks)</w:t>
        </w:r>
      </w:hyperlink>
      <w:r>
        <w:t xml:space="preserve"> </w:t>
      </w:r>
      <w:r>
        <w:fldChar w:fldCharType="begin"/>
      </w:r>
      <w:r>
        <w:instrText>PAGEREF section_69facb4b222641c0a77ad9fcabe</w:instrText>
      </w:r>
      <w:r>
        <w:instrText>bd0ea</w:instrText>
      </w:r>
      <w:r>
        <w:fldChar w:fldCharType="separate"/>
      </w:r>
      <w:r>
        <w:rPr>
          <w:noProof/>
        </w:rPr>
        <w:t>631</w:t>
      </w:r>
      <w:r>
        <w:fldChar w:fldCharType="end"/>
      </w:r>
    </w:p>
    <w:p w:rsidR="005F78FC" w:rsidRDefault="00B42EF3">
      <w:pPr>
        <w:pStyle w:val="indexentry0"/>
      </w:pPr>
      <w:hyperlink w:anchor="section_28beaa8f42ce41e6820d4d7af34457a5">
        <w:r>
          <w:rPr>
            <w:rStyle w:val="Hyperlink"/>
          </w:rPr>
          <w:t>Core File Properties Part</w:t>
        </w:r>
      </w:hyperlink>
      <w:r>
        <w:t xml:space="preserve"> </w:t>
      </w:r>
      <w:r>
        <w:fldChar w:fldCharType="begin"/>
      </w:r>
      <w:r>
        <w:instrText>PAGEREF section_28beaa8f42ce41e6820d4d7af34457a5</w:instrText>
      </w:r>
      <w:r>
        <w:fldChar w:fldCharType="separate"/>
      </w:r>
      <w:r>
        <w:rPr>
          <w:noProof/>
        </w:rPr>
        <w:t>59</w:t>
      </w:r>
      <w:r>
        <w:fldChar w:fldCharType="end"/>
      </w:r>
    </w:p>
    <w:p w:rsidR="005F78FC" w:rsidRDefault="00B42EF3">
      <w:pPr>
        <w:pStyle w:val="indexentry0"/>
      </w:pPr>
      <w:hyperlink w:anchor="section_291e6d2a9ff949229a763771528eda9d">
        <w:r>
          <w:rPr>
            <w:rStyle w:val="Hyperlink"/>
          </w:rPr>
          <w:t>Core Properties</w:t>
        </w:r>
      </w:hyperlink>
      <w:r>
        <w:t xml:space="preserve"> </w:t>
      </w:r>
      <w:r>
        <w:fldChar w:fldCharType="begin"/>
      </w:r>
      <w:r>
        <w:instrText>PAGEREF section_291e6d2a9ff</w:instrText>
      </w:r>
      <w:r>
        <w:instrText>949229a763771528eda9d</w:instrText>
      </w:r>
      <w:r>
        <w:fldChar w:fldCharType="separate"/>
      </w:r>
      <w:r>
        <w:rPr>
          <w:noProof/>
        </w:rPr>
        <w:t>625</w:t>
      </w:r>
      <w:r>
        <w:fldChar w:fldCharType="end"/>
      </w:r>
    </w:p>
    <w:p w:rsidR="005F78FC" w:rsidRDefault="00B42EF3">
      <w:pPr>
        <w:pStyle w:val="indexentry0"/>
      </w:pPr>
      <w:hyperlink w:anchor="section_7864edd9d4b74cf0bc4f6c50985e22ce">
        <w:r>
          <w:rPr>
            <w:rStyle w:val="Hyperlink"/>
          </w:rPr>
          <w:t>CORREL</w:t>
        </w:r>
      </w:hyperlink>
      <w:r>
        <w:t xml:space="preserve"> </w:t>
      </w:r>
      <w:r>
        <w:fldChar w:fldCharType="begin"/>
      </w:r>
      <w:r>
        <w:instrText>PAGEREF section_7864edd9d4b74cf0bc4f6c50985e22ce</w:instrText>
      </w:r>
      <w:r>
        <w:fldChar w:fldCharType="separate"/>
      </w:r>
      <w:r>
        <w:rPr>
          <w:noProof/>
        </w:rPr>
        <w:t>411</w:t>
      </w:r>
      <w:r>
        <w:fldChar w:fldCharType="end"/>
      </w:r>
    </w:p>
    <w:p w:rsidR="005F78FC" w:rsidRDefault="00B42EF3">
      <w:pPr>
        <w:pStyle w:val="indexentry0"/>
      </w:pPr>
      <w:hyperlink w:anchor="section_fe40154b9eac4223a8660a77432aa3e5">
        <w:r>
          <w:rPr>
            <w:rStyle w:val="Hyperlink"/>
          </w:rPr>
          <w:t>COS</w:t>
        </w:r>
      </w:hyperlink>
      <w:r>
        <w:t xml:space="preserve"> </w:t>
      </w:r>
      <w:r>
        <w:fldChar w:fldCharType="begin"/>
      </w:r>
      <w:r>
        <w:instrText>PAGEREF section_fe40154b9eac4223a8660a77432aa3e5</w:instrText>
      </w:r>
      <w:r>
        <w:fldChar w:fldCharType="separate"/>
      </w:r>
      <w:r>
        <w:rPr>
          <w:noProof/>
        </w:rPr>
        <w:t>411</w:t>
      </w:r>
      <w:r>
        <w:fldChar w:fldCharType="end"/>
      </w:r>
    </w:p>
    <w:p w:rsidR="005F78FC" w:rsidRDefault="00B42EF3">
      <w:pPr>
        <w:pStyle w:val="indexentry0"/>
      </w:pPr>
      <w:hyperlink w:anchor="section_130b7fae1db946df83cfd6d3174fe06d">
        <w:r>
          <w:rPr>
            <w:rStyle w:val="Hyperlink"/>
          </w:rPr>
          <w:t>COUNT</w:t>
        </w:r>
      </w:hyperlink>
      <w:r>
        <w:t xml:space="preserve"> </w:t>
      </w:r>
      <w:r>
        <w:fldChar w:fldCharType="begin"/>
      </w:r>
      <w:r>
        <w:instrText>PAGEREF section_130b7fae1db946df83cfd6d3174fe06d</w:instrText>
      </w:r>
      <w:r>
        <w:fldChar w:fldCharType="separate"/>
      </w:r>
      <w:r>
        <w:rPr>
          <w:noProof/>
        </w:rPr>
        <w:t>411</w:t>
      </w:r>
      <w:r>
        <w:fldChar w:fldCharType="end"/>
      </w:r>
    </w:p>
    <w:p w:rsidR="005F78FC" w:rsidRDefault="00B42EF3">
      <w:pPr>
        <w:pStyle w:val="indexentry0"/>
      </w:pPr>
      <w:hyperlink w:anchor="section_905f41bbce9847e0ad41446ce9012042">
        <w:r>
          <w:rPr>
            <w:rStyle w:val="Hyperlink"/>
          </w:rPr>
          <w:t>count (Matrix Column C</w:t>
        </w:r>
        <w:r>
          <w:rPr>
            <w:rStyle w:val="Hyperlink"/>
          </w:rPr>
          <w:t>ount)</w:t>
        </w:r>
      </w:hyperlink>
      <w:r>
        <w:t xml:space="preserve"> </w:t>
      </w:r>
      <w:r>
        <w:fldChar w:fldCharType="begin"/>
      </w:r>
      <w:r>
        <w:instrText>PAGEREF section_905f41bbce9847e0ad41446ce9012042</w:instrText>
      </w:r>
      <w:r>
        <w:fldChar w:fldCharType="separate"/>
      </w:r>
      <w:r>
        <w:rPr>
          <w:noProof/>
        </w:rPr>
        <w:t>598</w:t>
      </w:r>
      <w:r>
        <w:fldChar w:fldCharType="end"/>
      </w:r>
    </w:p>
    <w:p w:rsidR="005F78FC" w:rsidRDefault="00B42EF3">
      <w:pPr>
        <w:pStyle w:val="indexentry0"/>
      </w:pPr>
      <w:hyperlink w:anchor="section_3f3a26fbc07a43f1bea6d6c0e00c54d5">
        <w:r>
          <w:rPr>
            <w:rStyle w:val="Hyperlink"/>
          </w:rPr>
          <w:t>COUNTA</w:t>
        </w:r>
      </w:hyperlink>
      <w:r>
        <w:t xml:space="preserve"> </w:t>
      </w:r>
      <w:r>
        <w:fldChar w:fldCharType="begin"/>
      </w:r>
      <w:r>
        <w:instrText>PAGEREF section_3f3a26fbc07a43f1bea6d6c0e00c54d5</w:instrText>
      </w:r>
      <w:r>
        <w:fldChar w:fldCharType="separate"/>
      </w:r>
      <w:r>
        <w:rPr>
          <w:noProof/>
        </w:rPr>
        <w:t>412</w:t>
      </w:r>
      <w:r>
        <w:fldChar w:fldCharType="end"/>
      </w:r>
    </w:p>
    <w:p w:rsidR="005F78FC" w:rsidRDefault="00B42EF3">
      <w:pPr>
        <w:pStyle w:val="indexentry0"/>
      </w:pPr>
      <w:hyperlink w:anchor="section_e5e3e0c53ee54c0da41d171441efc56d">
        <w:r>
          <w:rPr>
            <w:rStyle w:val="Hyperlink"/>
          </w:rPr>
          <w:t>COUNTIFS</w:t>
        </w:r>
      </w:hyperlink>
      <w:r>
        <w:t xml:space="preserve"> </w:t>
      </w:r>
      <w:r>
        <w:fldChar w:fldCharType="begin"/>
      </w:r>
      <w:r>
        <w:instrText>PA</w:instrText>
      </w:r>
      <w:r>
        <w:instrText>GEREF section_e5e3e0c53ee54c0da41d171441efc56d</w:instrText>
      </w:r>
      <w:r>
        <w:fldChar w:fldCharType="separate"/>
      </w:r>
      <w:r>
        <w:rPr>
          <w:noProof/>
        </w:rPr>
        <w:t>412</w:t>
      </w:r>
      <w:r>
        <w:fldChar w:fldCharType="end"/>
      </w:r>
    </w:p>
    <w:p w:rsidR="005F78FC" w:rsidRDefault="00B42EF3">
      <w:pPr>
        <w:pStyle w:val="indexentry0"/>
      </w:pPr>
      <w:hyperlink w:anchor="section_0dd5776bedf5474082fbf4bd600a803c">
        <w:r>
          <w:rPr>
            <w:rStyle w:val="Hyperlink"/>
          </w:rPr>
          <w:t>COUPDAYBS</w:t>
        </w:r>
      </w:hyperlink>
      <w:r>
        <w:t xml:space="preserve"> </w:t>
      </w:r>
      <w:r>
        <w:fldChar w:fldCharType="begin"/>
      </w:r>
      <w:r>
        <w:instrText>PAGEREF section_0dd5776bedf5474082fbf4bd600a803c</w:instrText>
      </w:r>
      <w:r>
        <w:fldChar w:fldCharType="separate"/>
      </w:r>
      <w:r>
        <w:rPr>
          <w:noProof/>
        </w:rPr>
        <w:t>412</w:t>
      </w:r>
      <w:r>
        <w:fldChar w:fldCharType="end"/>
      </w:r>
    </w:p>
    <w:p w:rsidR="005F78FC" w:rsidRDefault="00B42EF3">
      <w:pPr>
        <w:pStyle w:val="indexentry0"/>
      </w:pPr>
      <w:hyperlink w:anchor="section_220caf3eaaf3483f844a454abcf07bd2">
        <w:r>
          <w:rPr>
            <w:rStyle w:val="Hyperlink"/>
          </w:rPr>
          <w:t>COUPDAYS</w:t>
        </w:r>
      </w:hyperlink>
      <w:r>
        <w:t xml:space="preserve"> </w:t>
      </w:r>
      <w:r>
        <w:fldChar w:fldCharType="begin"/>
      </w:r>
      <w:r>
        <w:instrText>PAGEREF s</w:instrText>
      </w:r>
      <w:r>
        <w:instrText>ection_220caf3eaaf3483f844a454abcf07bd2</w:instrText>
      </w:r>
      <w:r>
        <w:fldChar w:fldCharType="separate"/>
      </w:r>
      <w:r>
        <w:rPr>
          <w:noProof/>
        </w:rPr>
        <w:t>413</w:t>
      </w:r>
      <w:r>
        <w:fldChar w:fldCharType="end"/>
      </w:r>
    </w:p>
    <w:p w:rsidR="005F78FC" w:rsidRDefault="00B42EF3">
      <w:pPr>
        <w:pStyle w:val="indexentry0"/>
      </w:pPr>
      <w:hyperlink w:anchor="section_03a8b66dce9d43d8a75117c0b018f0c3">
        <w:r>
          <w:rPr>
            <w:rStyle w:val="Hyperlink"/>
          </w:rPr>
          <w:t>COUPDAYSNC</w:t>
        </w:r>
      </w:hyperlink>
      <w:r>
        <w:t xml:space="preserve"> </w:t>
      </w:r>
      <w:r>
        <w:fldChar w:fldCharType="begin"/>
      </w:r>
      <w:r>
        <w:instrText>PAGEREF section_03a8b66dce9d43d8a75117c0b018f0c3</w:instrText>
      </w:r>
      <w:r>
        <w:fldChar w:fldCharType="separate"/>
      </w:r>
      <w:r>
        <w:rPr>
          <w:noProof/>
        </w:rPr>
        <w:t>413</w:t>
      </w:r>
      <w:r>
        <w:fldChar w:fldCharType="end"/>
      </w:r>
    </w:p>
    <w:p w:rsidR="005F78FC" w:rsidRDefault="00B42EF3">
      <w:pPr>
        <w:pStyle w:val="indexentry0"/>
      </w:pPr>
      <w:hyperlink w:anchor="section_b48d56a6c03446c2acbb0ea61547b4b8">
        <w:r>
          <w:rPr>
            <w:rStyle w:val="Hyperlink"/>
          </w:rPr>
          <w:t>COUPNCD</w:t>
        </w:r>
      </w:hyperlink>
      <w:r>
        <w:t xml:space="preserve"> </w:t>
      </w:r>
      <w:r>
        <w:fldChar w:fldCharType="begin"/>
      </w:r>
      <w:r>
        <w:instrText>PAGEREF section_</w:instrText>
      </w:r>
      <w:r>
        <w:instrText>b48d56a6c03446c2acbb0ea61547b4b8</w:instrText>
      </w:r>
      <w:r>
        <w:fldChar w:fldCharType="separate"/>
      </w:r>
      <w:r>
        <w:rPr>
          <w:noProof/>
        </w:rPr>
        <w:t>414</w:t>
      </w:r>
      <w:r>
        <w:fldChar w:fldCharType="end"/>
      </w:r>
    </w:p>
    <w:p w:rsidR="005F78FC" w:rsidRDefault="00B42EF3">
      <w:pPr>
        <w:pStyle w:val="indexentry0"/>
      </w:pPr>
      <w:hyperlink w:anchor="section_cb1a2b1ece6241f0aa54baf09de7379c">
        <w:r>
          <w:rPr>
            <w:rStyle w:val="Hyperlink"/>
          </w:rPr>
          <w:t>COUPNUM</w:t>
        </w:r>
      </w:hyperlink>
      <w:r>
        <w:t xml:space="preserve"> </w:t>
      </w:r>
      <w:r>
        <w:fldChar w:fldCharType="begin"/>
      </w:r>
      <w:r>
        <w:instrText>PAGEREF section_cb1a2b1ece6241f0aa54baf09de7379c</w:instrText>
      </w:r>
      <w:r>
        <w:fldChar w:fldCharType="separate"/>
      </w:r>
      <w:r>
        <w:rPr>
          <w:noProof/>
        </w:rPr>
        <w:t>415</w:t>
      </w:r>
      <w:r>
        <w:fldChar w:fldCharType="end"/>
      </w:r>
    </w:p>
    <w:p w:rsidR="005F78FC" w:rsidRDefault="00B42EF3">
      <w:pPr>
        <w:pStyle w:val="indexentry0"/>
      </w:pPr>
      <w:hyperlink w:anchor="section_c1984310e77840939b4d90e00b44ce89">
        <w:r>
          <w:rPr>
            <w:rStyle w:val="Hyperlink"/>
          </w:rPr>
          <w:t>COUPPCD</w:t>
        </w:r>
      </w:hyperlink>
      <w:r>
        <w:t xml:space="preserve"> </w:t>
      </w:r>
      <w:r>
        <w:fldChar w:fldCharType="begin"/>
      </w:r>
      <w:r>
        <w:instrText>PAGEREF section_c1984310e77840939b4d90e00b44ce89</w:instrText>
      </w:r>
      <w:r>
        <w:fldChar w:fldCharType="separate"/>
      </w:r>
      <w:r>
        <w:rPr>
          <w:noProof/>
        </w:rPr>
        <w:t>416</w:t>
      </w:r>
      <w:r>
        <w:fldChar w:fldCharType="end"/>
      </w:r>
    </w:p>
    <w:p w:rsidR="005F78FC" w:rsidRDefault="00B42EF3">
      <w:pPr>
        <w:pStyle w:val="indexentry0"/>
      </w:pPr>
      <w:hyperlink w:anchor="section_f13db469a7624a039fbbb4d0fc4affc7">
        <w:r>
          <w:rPr>
            <w:rStyle w:val="Hyperlink"/>
          </w:rPr>
          <w:t>Cover Page Properties</w:t>
        </w:r>
      </w:hyperlink>
      <w:r>
        <w:t xml:space="preserve"> </w:t>
      </w:r>
      <w:r>
        <w:fldChar w:fldCharType="begin"/>
      </w:r>
      <w:r>
        <w:instrText>PAGEREF section_f13db469a7624a039fbbb4d0fc4affc7</w:instrText>
      </w:r>
      <w:r>
        <w:fldChar w:fldCharType="separate"/>
      </w:r>
      <w:r>
        <w:rPr>
          <w:noProof/>
        </w:rPr>
        <w:t>857</w:t>
      </w:r>
      <w:r>
        <w:fldChar w:fldCharType="end"/>
      </w:r>
    </w:p>
    <w:p w:rsidR="005F78FC" w:rsidRDefault="00B42EF3">
      <w:pPr>
        <w:pStyle w:val="indexentry0"/>
      </w:pPr>
      <w:hyperlink w:anchor="section_f4d50e0ddbdb493d9c1f5e94acf656a1">
        <w:r>
          <w:rPr>
            <w:rStyle w:val="Hyperlink"/>
          </w:rPr>
          <w:t xml:space="preserve">Cover </w:t>
        </w:r>
        <w:r>
          <w:rPr>
            <w:rStyle w:val="Hyperlink"/>
          </w:rPr>
          <w:t>Page Properties Schema</w:t>
        </w:r>
      </w:hyperlink>
      <w:r>
        <w:t xml:space="preserve"> </w:t>
      </w:r>
      <w:r>
        <w:fldChar w:fldCharType="begin"/>
      </w:r>
      <w:r>
        <w:instrText>PAGEREF section_f4d50e0ddbdb493d9c1f5e94acf656a1</w:instrText>
      </w:r>
      <w:r>
        <w:fldChar w:fldCharType="separate"/>
      </w:r>
      <w:r>
        <w:rPr>
          <w:noProof/>
        </w:rPr>
        <w:t>857</w:t>
      </w:r>
      <w:r>
        <w:fldChar w:fldCharType="end"/>
      </w:r>
    </w:p>
    <w:p w:rsidR="005F78FC" w:rsidRDefault="00B42EF3">
      <w:pPr>
        <w:pStyle w:val="indexentry0"/>
      </w:pPr>
      <w:hyperlink w:anchor="section_81e7ee1c4eea44838a713ae2974e2a74">
        <w:r>
          <w:rPr>
            <w:rStyle w:val="Hyperlink"/>
          </w:rPr>
          <w:t>CoverPageProperties (Cover Page Properties)</w:t>
        </w:r>
      </w:hyperlink>
      <w:r>
        <w:t xml:space="preserve"> </w:t>
      </w:r>
      <w:r>
        <w:fldChar w:fldCharType="begin"/>
      </w:r>
      <w:r>
        <w:instrText>PAGEREF section_81e7ee1c4eea44838a713ae2974e2a74</w:instrText>
      </w:r>
      <w:r>
        <w:fldChar w:fldCharType="separate"/>
      </w:r>
      <w:r>
        <w:rPr>
          <w:noProof/>
        </w:rPr>
        <w:t>858</w:t>
      </w:r>
      <w:r>
        <w:fldChar w:fldCharType="end"/>
      </w:r>
    </w:p>
    <w:p w:rsidR="005F78FC" w:rsidRDefault="00B42EF3">
      <w:pPr>
        <w:pStyle w:val="indexentry0"/>
      </w:pPr>
      <w:hyperlink w:anchor="section_ab4095f610eb4826a70e9e92fcfeb5b3">
        <w:r>
          <w:rPr>
            <w:rStyle w:val="Hyperlink"/>
          </w:rPr>
          <w:t>CREATEDATE</w:t>
        </w:r>
      </w:hyperlink>
      <w:r>
        <w:t xml:space="preserve"> </w:t>
      </w:r>
      <w:r>
        <w:fldChar w:fldCharType="begin"/>
      </w:r>
      <w:r>
        <w:instrText>PAGEREF section_ab4095f610eb4826a70e9e92fcfeb5b3</w:instrText>
      </w:r>
      <w:r>
        <w:fldChar w:fldCharType="separate"/>
      </w:r>
      <w:r>
        <w:rPr>
          <w:noProof/>
        </w:rPr>
        <w:t>189</w:t>
      </w:r>
      <w:r>
        <w:fldChar w:fldCharType="end"/>
      </w:r>
    </w:p>
    <w:p w:rsidR="005F78FC" w:rsidRDefault="00B42EF3">
      <w:pPr>
        <w:pStyle w:val="indexentry0"/>
      </w:pPr>
      <w:hyperlink w:anchor="section_253c6fac2aa2405bb389f8b813d20428">
        <w:r>
          <w:rPr>
            <w:rStyle w:val="Hyperlink"/>
          </w:rPr>
          <w:t>CRITBINOM</w:t>
        </w:r>
      </w:hyperlink>
      <w:r>
        <w:t xml:space="preserve"> </w:t>
      </w:r>
      <w:r>
        <w:fldChar w:fldCharType="begin"/>
      </w:r>
      <w:r>
        <w:instrText>PAGEREF section_253c6fac2aa2405bb389f8b813d20428</w:instrText>
      </w:r>
      <w:r>
        <w:fldChar w:fldCharType="separate"/>
      </w:r>
      <w:r>
        <w:rPr>
          <w:noProof/>
        </w:rPr>
        <w:t>417</w:t>
      </w:r>
      <w:r>
        <w:fldChar w:fldCharType="end"/>
      </w:r>
    </w:p>
    <w:p w:rsidR="005F78FC" w:rsidRDefault="00B42EF3">
      <w:pPr>
        <w:pStyle w:val="indexentry0"/>
      </w:pPr>
      <w:hyperlink w:anchor="section_195a0d2d3977477a86ded88b14745e13">
        <w:r>
          <w:rPr>
            <w:rStyle w:val="Hyperlink"/>
          </w:rPr>
          <w:t>crossAx (Crossing Axis ID)</w:t>
        </w:r>
      </w:hyperlink>
      <w:r>
        <w:t xml:space="preserve"> </w:t>
      </w:r>
      <w:r>
        <w:fldChar w:fldCharType="begin"/>
      </w:r>
      <w:r>
        <w:instrText>PAGEREF section_195a0d2d3977477a86ded88b14745e13</w:instrText>
      </w:r>
      <w:r>
        <w:fldChar w:fldCharType="separate"/>
      </w:r>
      <w:r>
        <w:rPr>
          <w:noProof/>
        </w:rPr>
        <w:t>549</w:t>
      </w:r>
      <w:r>
        <w:fldChar w:fldCharType="end"/>
      </w:r>
    </w:p>
    <w:p w:rsidR="005F78FC" w:rsidRDefault="00B42EF3">
      <w:pPr>
        <w:pStyle w:val="indexentry0"/>
      </w:pPr>
      <w:hyperlink w:anchor="section_c5ba9569da3445309743b040df140552">
        <w:r>
          <w:rPr>
            <w:rStyle w:val="Hyperlink"/>
          </w:rPr>
          <w:t>crossesAt (Crossing Value)</w:t>
        </w:r>
      </w:hyperlink>
      <w:r>
        <w:t xml:space="preserve"> </w:t>
      </w:r>
      <w:r>
        <w:fldChar w:fldCharType="begin"/>
      </w:r>
      <w:r>
        <w:instrText>PAGEREF section_c5ba9569da344</w:instrText>
      </w:r>
      <w:r>
        <w:instrText>5309743b040df140552</w:instrText>
      </w:r>
      <w:r>
        <w:fldChar w:fldCharType="separate"/>
      </w:r>
      <w:r>
        <w:rPr>
          <w:noProof/>
        </w:rPr>
        <w:t>549</w:t>
      </w:r>
      <w:r>
        <w:fldChar w:fldCharType="end"/>
      </w:r>
    </w:p>
    <w:p w:rsidR="005F78FC" w:rsidRDefault="00B42EF3">
      <w:pPr>
        <w:pStyle w:val="indexentry0"/>
      </w:pPr>
      <w:hyperlink w:anchor="section_ea47d4567ab64103a0e600afc4917ce3">
        <w:r>
          <w:rPr>
            <w:rStyle w:val="Hyperlink"/>
          </w:rPr>
          <w:t>cs (Complex Script Font)</w:t>
        </w:r>
      </w:hyperlink>
      <w:r>
        <w:t xml:space="preserve"> </w:t>
      </w:r>
      <w:r>
        <w:fldChar w:fldCharType="begin"/>
      </w:r>
      <w:r>
        <w:instrText>PAGEREF section_ea47d4567ab64103a0e600afc4917ce3</w:instrText>
      </w:r>
      <w:r>
        <w:fldChar w:fldCharType="separate"/>
      </w:r>
      <w:r>
        <w:rPr>
          <w:noProof/>
        </w:rPr>
        <w:t>536</w:t>
      </w:r>
      <w:r>
        <w:fldChar w:fldCharType="end"/>
      </w:r>
    </w:p>
    <w:p w:rsidR="005F78FC" w:rsidRDefault="00B42EF3">
      <w:pPr>
        <w:pStyle w:val="indexentry0"/>
      </w:pPr>
      <w:hyperlink w:anchor="section_4f50ceb9013d4affa66144e88c4ae009">
        <w:r>
          <w:rPr>
            <w:rStyle w:val="Hyperlink"/>
          </w:rPr>
          <w:t>cs (Use Complex Script Formattin</w:t>
        </w:r>
        <w:r>
          <w:rPr>
            <w:rStyle w:val="Hyperlink"/>
          </w:rPr>
          <w:t>g on Run)</w:t>
        </w:r>
      </w:hyperlink>
      <w:r>
        <w:t xml:space="preserve"> </w:t>
      </w:r>
      <w:r>
        <w:fldChar w:fldCharType="begin"/>
      </w:r>
      <w:r>
        <w:instrText>PAGEREF section_4f50ceb9013d4affa66144e88c4ae009</w:instrText>
      </w:r>
      <w:r>
        <w:fldChar w:fldCharType="separate"/>
      </w:r>
      <w:r>
        <w:rPr>
          <w:noProof/>
        </w:rPr>
        <w:t>73</w:t>
      </w:r>
      <w:r>
        <w:fldChar w:fldCharType="end"/>
      </w:r>
    </w:p>
    <w:p w:rsidR="005F78FC" w:rsidRDefault="00B42EF3">
      <w:pPr>
        <w:pStyle w:val="indexentry0"/>
      </w:pPr>
      <w:hyperlink w:anchor="section_27570db3ce3e4a0693da4c8f1b7552ed">
        <w:r>
          <w:rPr>
            <w:rStyle w:val="Hyperlink"/>
          </w:rPr>
          <w:t>cSld (Common Slide Data)</w:t>
        </w:r>
      </w:hyperlink>
      <w:r>
        <w:t xml:space="preserve"> </w:t>
      </w:r>
      <w:r>
        <w:fldChar w:fldCharType="begin"/>
      </w:r>
      <w:r>
        <w:instrText>PAGEREF section_27570db3ce3e4a0693da4c8f1b7552ed</w:instrText>
      </w:r>
      <w:r>
        <w:fldChar w:fldCharType="separate"/>
      </w:r>
      <w:r>
        <w:rPr>
          <w:noProof/>
        </w:rPr>
        <w:t>470</w:t>
      </w:r>
      <w:r>
        <w:fldChar w:fldCharType="end"/>
      </w:r>
    </w:p>
    <w:p w:rsidR="005F78FC" w:rsidRDefault="00B42EF3">
      <w:pPr>
        <w:pStyle w:val="indexentry0"/>
      </w:pPr>
      <w:hyperlink w:anchor="section_8c4a5c5e7e6349dd99fdfa57af3ab910">
        <w:r>
          <w:rPr>
            <w:rStyle w:val="Hyperlink"/>
          </w:rPr>
          <w:t>cSp (Minimum Matrix Column Width)</w:t>
        </w:r>
      </w:hyperlink>
      <w:r>
        <w:t xml:space="preserve"> </w:t>
      </w:r>
      <w:r>
        <w:fldChar w:fldCharType="begin"/>
      </w:r>
      <w:r>
        <w:instrText>PAGEREF section_8c4a5c5e7e6349dd99fdfa57af3ab910</w:instrText>
      </w:r>
      <w:r>
        <w:fldChar w:fldCharType="separate"/>
      </w:r>
      <w:r>
        <w:rPr>
          <w:noProof/>
        </w:rPr>
        <w:t>598</w:t>
      </w:r>
      <w:r>
        <w:fldChar w:fldCharType="end"/>
      </w:r>
    </w:p>
    <w:p w:rsidR="005F78FC" w:rsidRDefault="00B42EF3">
      <w:pPr>
        <w:pStyle w:val="indexentry0"/>
      </w:pPr>
      <w:hyperlink w:anchor="section_02b2312e970042e08a19b2af1ba83a20">
        <w:r>
          <w:rPr>
            <w:rStyle w:val="Hyperlink"/>
          </w:rPr>
          <w:t>cTn (Common Time Node Properties)</w:t>
        </w:r>
      </w:hyperlink>
      <w:r>
        <w:t xml:space="preserve"> </w:t>
      </w:r>
      <w:r>
        <w:fldChar w:fldCharType="begin"/>
      </w:r>
      <w:r>
        <w:instrText>PAGEREF se</w:instrText>
      </w:r>
      <w:r>
        <w:instrText>ction_02b2312e970042e08a19b2af1ba83a20</w:instrText>
      </w:r>
      <w:r>
        <w:fldChar w:fldCharType="separate"/>
      </w:r>
      <w:r>
        <w:rPr>
          <w:noProof/>
        </w:rPr>
        <w:t>484</w:t>
      </w:r>
      <w:r>
        <w:fldChar w:fldCharType="end"/>
      </w:r>
    </w:p>
    <w:p w:rsidR="005F78FC" w:rsidRDefault="00B42EF3">
      <w:pPr>
        <w:pStyle w:val="indexentry0"/>
      </w:pPr>
      <w:hyperlink w:anchor="section_93f2186763064c8b8aa9390d0adc4e3f">
        <w:r>
          <w:rPr>
            <w:rStyle w:val="Hyperlink"/>
          </w:rPr>
          <w:t>ctrlPr (Control Properties)</w:t>
        </w:r>
      </w:hyperlink>
      <w:r>
        <w:t xml:space="preserve"> </w:t>
      </w:r>
      <w:r>
        <w:fldChar w:fldCharType="begin"/>
      </w:r>
      <w:r>
        <w:instrText>PAGEREF section_93f2186763064c8b8aa9390d0adc4e3f</w:instrText>
      </w:r>
      <w:r>
        <w:fldChar w:fldCharType="separate"/>
      </w:r>
      <w:r>
        <w:rPr>
          <w:noProof/>
        </w:rPr>
        <w:t>598</w:t>
      </w:r>
      <w:r>
        <w:fldChar w:fldCharType="end"/>
      </w:r>
    </w:p>
    <w:p w:rsidR="005F78FC" w:rsidRDefault="00B42EF3">
      <w:pPr>
        <w:pStyle w:val="indexentry0"/>
      </w:pPr>
      <w:hyperlink w:anchor="section_340546969f524105914397bccd1e9366">
        <w:r>
          <w:rPr>
            <w:rStyle w:val="Hyperlink"/>
          </w:rPr>
          <w:t>CUBEKPIMEM</w:t>
        </w:r>
        <w:r>
          <w:rPr>
            <w:rStyle w:val="Hyperlink"/>
          </w:rPr>
          <w:t>BER</w:t>
        </w:r>
      </w:hyperlink>
      <w:r>
        <w:t xml:space="preserve"> </w:t>
      </w:r>
      <w:r>
        <w:fldChar w:fldCharType="begin"/>
      </w:r>
      <w:r>
        <w:instrText>PAGEREF section_340546969f524105914397bccd1e9366</w:instrText>
      </w:r>
      <w:r>
        <w:fldChar w:fldCharType="separate"/>
      </w:r>
      <w:r>
        <w:rPr>
          <w:noProof/>
        </w:rPr>
        <w:t>417</w:t>
      </w:r>
      <w:r>
        <w:fldChar w:fldCharType="end"/>
      </w:r>
    </w:p>
    <w:p w:rsidR="005F78FC" w:rsidRDefault="00B42EF3">
      <w:pPr>
        <w:pStyle w:val="indexentry0"/>
      </w:pPr>
      <w:hyperlink w:anchor="section_22a502a9d3384459bd878a18d9037bc3">
        <w:r>
          <w:rPr>
            <w:rStyle w:val="Hyperlink"/>
          </w:rPr>
          <w:t>CUBESET</w:t>
        </w:r>
      </w:hyperlink>
      <w:r>
        <w:t xml:space="preserve"> </w:t>
      </w:r>
      <w:r>
        <w:fldChar w:fldCharType="begin"/>
      </w:r>
      <w:r>
        <w:instrText>PAGEREF section_22a502a9d3384459bd878a18d9037bc3</w:instrText>
      </w:r>
      <w:r>
        <w:fldChar w:fldCharType="separate"/>
      </w:r>
      <w:r>
        <w:rPr>
          <w:noProof/>
        </w:rPr>
        <w:t>417</w:t>
      </w:r>
      <w:r>
        <w:fldChar w:fldCharType="end"/>
      </w:r>
    </w:p>
    <w:p w:rsidR="005F78FC" w:rsidRDefault="00B42EF3">
      <w:pPr>
        <w:pStyle w:val="indexentry0"/>
      </w:pPr>
      <w:hyperlink w:anchor="section_7b300f59520b4394976ae6e747a90f79">
        <w:r>
          <w:rPr>
            <w:rStyle w:val="Hyperlink"/>
          </w:rPr>
          <w:t>CUBESETCOUNT</w:t>
        </w:r>
      </w:hyperlink>
      <w:r>
        <w:t xml:space="preserve"> </w:t>
      </w:r>
      <w:r>
        <w:fldChar w:fldCharType="begin"/>
      </w:r>
      <w:r>
        <w:instrText>PAGEREF section_7b300f59520b4394976ae6e747a90f79</w:instrText>
      </w:r>
      <w:r>
        <w:fldChar w:fldCharType="separate"/>
      </w:r>
      <w:r>
        <w:rPr>
          <w:noProof/>
        </w:rPr>
        <w:t>417</w:t>
      </w:r>
      <w:r>
        <w:fldChar w:fldCharType="end"/>
      </w:r>
    </w:p>
    <w:p w:rsidR="005F78FC" w:rsidRDefault="00B42EF3">
      <w:pPr>
        <w:pStyle w:val="indexentry0"/>
      </w:pPr>
      <w:hyperlink w:anchor="section_66332a3d99bf4eea80038f4bad1f8752">
        <w:r>
          <w:rPr>
            <w:rStyle w:val="Hyperlink"/>
          </w:rPr>
          <w:t>CUMIPMT</w:t>
        </w:r>
      </w:hyperlink>
      <w:r>
        <w:t xml:space="preserve"> </w:t>
      </w:r>
      <w:r>
        <w:fldChar w:fldCharType="begin"/>
      </w:r>
      <w:r>
        <w:instrText>PAGEREF section_66332a3d99bf4eea80038f4bad1f8752</w:instrText>
      </w:r>
      <w:r>
        <w:fldChar w:fldCharType="separate"/>
      </w:r>
      <w:r>
        <w:rPr>
          <w:noProof/>
        </w:rPr>
        <w:t>417</w:t>
      </w:r>
      <w:r>
        <w:fldChar w:fldCharType="end"/>
      </w:r>
    </w:p>
    <w:p w:rsidR="005F78FC" w:rsidRDefault="00B42EF3">
      <w:pPr>
        <w:pStyle w:val="indexentry0"/>
      </w:pPr>
      <w:hyperlink w:anchor="section_3449459a0e834a19b4029642a5ea36ff">
        <w:r>
          <w:rPr>
            <w:rStyle w:val="Hyperlink"/>
          </w:rPr>
          <w:t>CUMPRINC</w:t>
        </w:r>
      </w:hyperlink>
      <w:r>
        <w:t xml:space="preserve"> </w:t>
      </w:r>
      <w:r>
        <w:fldChar w:fldCharType="begin"/>
      </w:r>
      <w:r>
        <w:instrText xml:space="preserve">PAGEREF </w:instrText>
      </w:r>
      <w:r>
        <w:instrText>section_3449459a0e834a19b4029642a5ea36ff</w:instrText>
      </w:r>
      <w:r>
        <w:fldChar w:fldCharType="separate"/>
      </w:r>
      <w:r>
        <w:rPr>
          <w:noProof/>
        </w:rPr>
        <w:t>418</w:t>
      </w:r>
      <w:r>
        <w:fldChar w:fldCharType="end"/>
      </w:r>
    </w:p>
    <w:p w:rsidR="005F78FC" w:rsidRDefault="00B42EF3">
      <w:pPr>
        <w:pStyle w:val="indexentry0"/>
      </w:pPr>
      <w:hyperlink w:anchor="section_f5d19ada9960486786e99c187b7c8744">
        <w:r>
          <w:rPr>
            <w:rStyle w:val="Hyperlink"/>
          </w:rPr>
          <w:t>curve (Bezier Curve)</w:t>
        </w:r>
      </w:hyperlink>
      <w:r>
        <w:t xml:space="preserve"> </w:t>
      </w:r>
      <w:r>
        <w:fldChar w:fldCharType="begin"/>
      </w:r>
      <w:r>
        <w:instrText>PAGEREF section_f5d19ada9960486786e99c187b7c8744</w:instrText>
      </w:r>
      <w:r>
        <w:fldChar w:fldCharType="separate"/>
      </w:r>
      <w:r>
        <w:rPr>
          <w:noProof/>
        </w:rPr>
        <w:t>643</w:t>
      </w:r>
      <w:r>
        <w:fldChar w:fldCharType="end"/>
      </w:r>
    </w:p>
    <w:p w:rsidR="005F78FC" w:rsidRDefault="00B42EF3">
      <w:pPr>
        <w:pStyle w:val="indexentry0"/>
      </w:pPr>
      <w:hyperlink w:anchor="section_ded574023d5740a88662fa25bfffe329">
        <w:r>
          <w:rPr>
            <w:rStyle w:val="Hyperlink"/>
          </w:rPr>
          <w:t>custData (Customer Data)</w:t>
        </w:r>
      </w:hyperlink>
      <w:r>
        <w:t xml:space="preserve"> </w:t>
      </w:r>
      <w:r>
        <w:fldChar w:fldCharType="begin"/>
      </w:r>
      <w:r>
        <w:instrText>PAGEREF section_ded574023d5740a88662fa25bfffe329</w:instrText>
      </w:r>
      <w:r>
        <w:fldChar w:fldCharType="separate"/>
      </w:r>
      <w:r>
        <w:rPr>
          <w:noProof/>
        </w:rPr>
        <w:t>470</w:t>
      </w:r>
      <w:r>
        <w:fldChar w:fldCharType="end"/>
      </w:r>
    </w:p>
    <w:p w:rsidR="005F78FC" w:rsidRDefault="00B42EF3">
      <w:pPr>
        <w:pStyle w:val="indexentry0"/>
      </w:pPr>
      <w:hyperlink w:anchor="section_115a2521c18a49df82edf87e7941c25f">
        <w:r>
          <w:rPr>
            <w:rStyle w:val="Hyperlink"/>
          </w:rPr>
          <w:t>Custom Document Information Panel</w:t>
        </w:r>
      </w:hyperlink>
      <w:r>
        <w:t xml:space="preserve"> </w:t>
      </w:r>
      <w:r>
        <w:fldChar w:fldCharType="begin"/>
      </w:r>
      <w:r>
        <w:instrText>PAGEREF section_115a2521c18a49df82edf87e7941c25f</w:instrText>
      </w:r>
      <w:r>
        <w:fldChar w:fldCharType="separate"/>
      </w:r>
      <w:r>
        <w:rPr>
          <w:noProof/>
        </w:rPr>
        <w:t>872</w:t>
      </w:r>
      <w:r>
        <w:fldChar w:fldCharType="end"/>
      </w:r>
    </w:p>
    <w:p w:rsidR="005F78FC" w:rsidRDefault="00B42EF3">
      <w:pPr>
        <w:pStyle w:val="indexentry0"/>
      </w:pPr>
      <w:hyperlink w:anchor="section_471bacba8a3243149825ae9d444e1af9">
        <w:r>
          <w:rPr>
            <w:rStyle w:val="Hyperlink"/>
          </w:rPr>
          <w:t>Custom Document Information Panel Schema</w:t>
        </w:r>
      </w:hyperlink>
      <w:r>
        <w:t xml:space="preserve"> </w:t>
      </w:r>
      <w:r>
        <w:fldChar w:fldCharType="begin"/>
      </w:r>
      <w:r>
        <w:instrText>PAGEREF section_471bacba8a3243149825ae9d444e1af9</w:instrText>
      </w:r>
      <w:r>
        <w:fldChar w:fldCharType="separate"/>
      </w:r>
      <w:r>
        <w:rPr>
          <w:noProof/>
        </w:rPr>
        <w:t>872</w:t>
      </w:r>
      <w:r>
        <w:fldChar w:fldCharType="end"/>
      </w:r>
    </w:p>
    <w:p w:rsidR="005F78FC" w:rsidRDefault="00B42EF3">
      <w:pPr>
        <w:pStyle w:val="indexentry0"/>
      </w:pPr>
      <w:hyperlink w:anchor="section_329b6ef35848403b97e9069503df5e3a">
        <w:r>
          <w:rPr>
            <w:rStyle w:val="Hyperlink"/>
          </w:rPr>
          <w:t>Custom File Properties Part</w:t>
        </w:r>
      </w:hyperlink>
      <w:r>
        <w:t xml:space="preserve"> </w:t>
      </w:r>
      <w:r>
        <w:fldChar w:fldCharType="begin"/>
      </w:r>
      <w:r>
        <w:instrText>PAGEREF section_329b6ef35848403b97e90</w:instrText>
      </w:r>
      <w:r>
        <w:instrText>69503df5e3a</w:instrText>
      </w:r>
      <w:r>
        <w:fldChar w:fldCharType="separate"/>
      </w:r>
      <w:r>
        <w:rPr>
          <w:noProof/>
        </w:rPr>
        <w:t>59</w:t>
      </w:r>
      <w:r>
        <w:fldChar w:fldCharType="end"/>
      </w:r>
    </w:p>
    <w:p w:rsidR="005F78FC" w:rsidRDefault="00B42EF3">
      <w:pPr>
        <w:pStyle w:val="indexentry0"/>
      </w:pPr>
      <w:hyperlink w:anchor="section_59d313b6b9a8485083f1e87ad9abd509">
        <w:r>
          <w:rPr>
            <w:rStyle w:val="Hyperlink"/>
          </w:rPr>
          <w:t>Custom XML Data Storage Part</w:t>
        </w:r>
      </w:hyperlink>
      <w:r>
        <w:t xml:space="preserve"> </w:t>
      </w:r>
      <w:r>
        <w:fldChar w:fldCharType="begin"/>
      </w:r>
      <w:r>
        <w:instrText>PAGEREF section_59d313b6b9a8485083f1e87ad9abd509</w:instrText>
      </w:r>
      <w:r>
        <w:fldChar w:fldCharType="separate"/>
      </w:r>
      <w:r>
        <w:rPr>
          <w:noProof/>
        </w:rPr>
        <w:t>58</w:t>
      </w:r>
      <w:r>
        <w:fldChar w:fldCharType="end"/>
      </w:r>
    </w:p>
    <w:p w:rsidR="005F78FC" w:rsidRDefault="00B42EF3">
      <w:pPr>
        <w:pStyle w:val="indexentry0"/>
      </w:pPr>
      <w:hyperlink w:anchor="section_af4b5f43ab984970bd5ae569ff550042">
        <w:r>
          <w:rPr>
            <w:rStyle w:val="Hyperlink"/>
          </w:rPr>
          <w:t>Custom XML Mappings Part</w:t>
        </w:r>
      </w:hyperlink>
      <w:r>
        <w:t xml:space="preserve"> </w:t>
      </w:r>
      <w:r>
        <w:fldChar w:fldCharType="begin"/>
      </w:r>
      <w:r>
        <w:instrText>PAGEREF s</w:instrText>
      </w:r>
      <w:r>
        <w:instrText>ection_af4b5f43ab984970bd5ae569ff550042</w:instrText>
      </w:r>
      <w:r>
        <w:fldChar w:fldCharType="separate"/>
      </w:r>
      <w:r>
        <w:rPr>
          <w:noProof/>
        </w:rPr>
        <w:t>50</w:t>
      </w:r>
      <w:r>
        <w:fldChar w:fldCharType="end"/>
      </w:r>
    </w:p>
    <w:p w:rsidR="005F78FC" w:rsidRDefault="00B42EF3">
      <w:pPr>
        <w:pStyle w:val="indexentry0"/>
      </w:pPr>
      <w:hyperlink w:anchor="section_c26a68bdb8164d2eb84258bc92e4f6a2">
        <w:r>
          <w:rPr>
            <w:rStyle w:val="Hyperlink"/>
          </w:rPr>
          <w:t>Custom XSN</w:t>
        </w:r>
      </w:hyperlink>
      <w:r>
        <w:t xml:space="preserve"> </w:t>
      </w:r>
      <w:r>
        <w:fldChar w:fldCharType="begin"/>
      </w:r>
      <w:r>
        <w:instrText>PAGEREF section_c26a68bdb8164d2eb84258bc92e4f6a2</w:instrText>
      </w:r>
      <w:r>
        <w:fldChar w:fldCharType="separate"/>
      </w:r>
      <w:r>
        <w:rPr>
          <w:noProof/>
        </w:rPr>
        <w:t>875</w:t>
      </w:r>
      <w:r>
        <w:fldChar w:fldCharType="end"/>
      </w:r>
    </w:p>
    <w:p w:rsidR="005F78FC" w:rsidRDefault="00B42EF3">
      <w:pPr>
        <w:pStyle w:val="indexentry0"/>
      </w:pPr>
      <w:hyperlink w:anchor="section_d9b4ba0ebe664084a162d0eac8fa85e9">
        <w:r>
          <w:rPr>
            <w:rStyle w:val="Hyperlink"/>
          </w:rPr>
          <w:t>Custom XSN Schema</w:t>
        </w:r>
      </w:hyperlink>
      <w:r>
        <w:t xml:space="preserve"> </w:t>
      </w:r>
      <w:r>
        <w:fldChar w:fldCharType="begin"/>
      </w:r>
      <w:r>
        <w:instrText>PAGERE</w:instrText>
      </w:r>
      <w:r>
        <w:instrText>F section_d9b4ba0ebe664084a162d0eac8fa85e9</w:instrText>
      </w:r>
      <w:r>
        <w:fldChar w:fldCharType="separate"/>
      </w:r>
      <w:r>
        <w:rPr>
          <w:noProof/>
        </w:rPr>
        <w:t>875</w:t>
      </w:r>
      <w:r>
        <w:fldChar w:fldCharType="end"/>
      </w:r>
    </w:p>
    <w:p w:rsidR="005F78FC" w:rsidRDefault="00B42EF3">
      <w:pPr>
        <w:pStyle w:val="indexentry0"/>
      </w:pPr>
      <w:hyperlink w:anchor="section_25472ee1074b4741b3bd5d72b5a55bdc">
        <w:r>
          <w:rPr>
            <w:rStyle w:val="Hyperlink"/>
          </w:rPr>
          <w:t>Customizations Part</w:t>
        </w:r>
      </w:hyperlink>
      <w:r>
        <w:t xml:space="preserve"> </w:t>
      </w:r>
      <w:r>
        <w:fldChar w:fldCharType="begin"/>
      </w:r>
      <w:r>
        <w:instrText>PAGEREF section_25472ee1074b4741b3bd5d72b5a55bdc</w:instrText>
      </w:r>
      <w:r>
        <w:fldChar w:fldCharType="separate"/>
      </w:r>
      <w:r>
        <w:rPr>
          <w:noProof/>
        </w:rPr>
        <w:t>691</w:t>
      </w:r>
      <w:r>
        <w:fldChar w:fldCharType="end"/>
      </w:r>
    </w:p>
    <w:p w:rsidR="005F78FC" w:rsidRDefault="00B42EF3">
      <w:pPr>
        <w:pStyle w:val="indexentry0"/>
      </w:pPr>
      <w:hyperlink w:anchor="section_8657e06740fd46f987172bab6fea07aa">
        <w:r>
          <w:rPr>
            <w:rStyle w:val="Hyperlink"/>
          </w:rPr>
          <w:t>customPr (Cust</w:t>
        </w:r>
        <w:r>
          <w:rPr>
            <w:rStyle w:val="Hyperlink"/>
          </w:rPr>
          <w:t>om Property)</w:t>
        </w:r>
      </w:hyperlink>
      <w:r>
        <w:t xml:space="preserve"> </w:t>
      </w:r>
      <w:r>
        <w:fldChar w:fldCharType="begin"/>
      </w:r>
      <w:r>
        <w:instrText>PAGEREF section_8657e06740fd46f987172bab6fea07aa</w:instrText>
      </w:r>
      <w:r>
        <w:fldChar w:fldCharType="separate"/>
      </w:r>
      <w:r>
        <w:rPr>
          <w:noProof/>
        </w:rPr>
        <w:t>258</w:t>
      </w:r>
      <w:r>
        <w:fldChar w:fldCharType="end"/>
      </w:r>
    </w:p>
    <w:p w:rsidR="005F78FC" w:rsidRDefault="00B42EF3">
      <w:pPr>
        <w:pStyle w:val="indexentry0"/>
      </w:pPr>
      <w:hyperlink w:anchor="section_518b6e0dd6114ebbbc77dda2706b18fb">
        <w:r>
          <w:rPr>
            <w:rStyle w:val="Hyperlink"/>
          </w:rPr>
          <w:t>customPropertyEditor (Custom Property Editor)</w:t>
        </w:r>
      </w:hyperlink>
      <w:r>
        <w:t xml:space="preserve"> </w:t>
      </w:r>
      <w:r>
        <w:fldChar w:fldCharType="begin"/>
      </w:r>
      <w:r>
        <w:instrText>PAGEREF section_518b6e0dd6114ebbbc77dda2706b18fb</w:instrText>
      </w:r>
      <w:r>
        <w:fldChar w:fldCharType="separate"/>
      </w:r>
      <w:r>
        <w:rPr>
          <w:noProof/>
        </w:rPr>
        <w:t>873</w:t>
      </w:r>
      <w:r>
        <w:fldChar w:fldCharType="end"/>
      </w:r>
    </w:p>
    <w:p w:rsidR="005F78FC" w:rsidRDefault="00B42EF3">
      <w:pPr>
        <w:pStyle w:val="indexentry0"/>
      </w:pPr>
      <w:hyperlink w:anchor="section_995299bfabca4268b73dcea9be1ff684">
        <w:r>
          <w:rPr>
            <w:rStyle w:val="Hyperlink"/>
          </w:rPr>
          <w:t>customPropertyEditors (Custom Property Editors List)</w:t>
        </w:r>
      </w:hyperlink>
      <w:r>
        <w:t xml:space="preserve"> </w:t>
      </w:r>
      <w:r>
        <w:fldChar w:fldCharType="begin"/>
      </w:r>
      <w:r>
        <w:instrText>PAGEREF section_995299bfabca4268b73dcea9be1ff684</w:instrText>
      </w:r>
      <w:r>
        <w:fldChar w:fldCharType="separate"/>
      </w:r>
      <w:r>
        <w:rPr>
          <w:noProof/>
        </w:rPr>
        <w:t>873</w:t>
      </w:r>
      <w:r>
        <w:fldChar w:fldCharType="end"/>
      </w:r>
    </w:p>
    <w:p w:rsidR="005F78FC" w:rsidRDefault="00B42EF3">
      <w:pPr>
        <w:pStyle w:val="indexentry0"/>
      </w:pPr>
      <w:hyperlink w:anchor="section_13ee020779e148b5b0ed333a3a7dbb81">
        <w:r>
          <w:rPr>
            <w:rStyle w:val="Hyperlink"/>
          </w:rPr>
          <w:t>customSheetView (Custom Cha</w:t>
        </w:r>
        <w:r>
          <w:rPr>
            <w:rStyle w:val="Hyperlink"/>
          </w:rPr>
          <w:t>rt Sheet View)</w:t>
        </w:r>
      </w:hyperlink>
      <w:r>
        <w:t xml:space="preserve"> </w:t>
      </w:r>
      <w:r>
        <w:fldChar w:fldCharType="begin"/>
      </w:r>
      <w:r>
        <w:instrText>PAGEREF section_13ee020779e148b5b0ed333a3a7dbb81</w:instrText>
      </w:r>
      <w:r>
        <w:fldChar w:fldCharType="separate"/>
      </w:r>
      <w:r>
        <w:rPr>
          <w:noProof/>
        </w:rPr>
        <w:t>258</w:t>
      </w:r>
      <w:r>
        <w:fldChar w:fldCharType="end"/>
      </w:r>
    </w:p>
    <w:p w:rsidR="005F78FC" w:rsidRDefault="00B42EF3">
      <w:pPr>
        <w:pStyle w:val="indexentry0"/>
      </w:pPr>
      <w:hyperlink w:anchor="section_2d575d4956e24adf8f4713c09a3a8628">
        <w:r>
          <w:rPr>
            <w:rStyle w:val="Hyperlink"/>
          </w:rPr>
          <w:t>customSheetView (Custom Sheet View)</w:t>
        </w:r>
      </w:hyperlink>
      <w:r>
        <w:t xml:space="preserve"> </w:t>
      </w:r>
      <w:r>
        <w:fldChar w:fldCharType="begin"/>
      </w:r>
      <w:r>
        <w:instrText>PAGEREF section_2d575d4956e24adf8f4713c09a3a8628</w:instrText>
      </w:r>
      <w:r>
        <w:fldChar w:fldCharType="separate"/>
      </w:r>
      <w:r>
        <w:rPr>
          <w:noProof/>
        </w:rPr>
        <w:t>258</w:t>
      </w:r>
      <w:r>
        <w:fldChar w:fldCharType="end"/>
      </w:r>
    </w:p>
    <w:p w:rsidR="005F78FC" w:rsidRDefault="00B42EF3">
      <w:pPr>
        <w:pStyle w:val="indexentry0"/>
      </w:pPr>
      <w:hyperlink w:anchor="section_648369e29fdb434b810c4b1ce737ea8a">
        <w:r>
          <w:rPr>
            <w:rStyle w:val="Hyperlink"/>
          </w:rPr>
          <w:t>customSheetViews (Custom Chart Sheet Views)</w:t>
        </w:r>
      </w:hyperlink>
      <w:r>
        <w:t xml:space="preserve"> </w:t>
      </w:r>
      <w:r>
        <w:fldChar w:fldCharType="begin"/>
      </w:r>
      <w:r>
        <w:instrText>PAGEREF section_648369e29fdb434b810c4b1ce737ea8a</w:instrText>
      </w:r>
      <w:r>
        <w:fldChar w:fldCharType="separate"/>
      </w:r>
      <w:r>
        <w:rPr>
          <w:noProof/>
        </w:rPr>
        <w:t>259</w:t>
      </w:r>
      <w:r>
        <w:fldChar w:fldCharType="end"/>
      </w:r>
    </w:p>
    <w:p w:rsidR="005F78FC" w:rsidRDefault="00B42EF3">
      <w:pPr>
        <w:pStyle w:val="indexentry0"/>
      </w:pPr>
      <w:hyperlink w:anchor="section_0c2fcd3d6c2d4e039e64366e977e6d5a">
        <w:r>
          <w:rPr>
            <w:rStyle w:val="Hyperlink"/>
          </w:rPr>
          <w:t>customSheetViews (Custom Sheet Views</w:t>
        </w:r>
        <w:r>
          <w:rPr>
            <w:rStyle w:val="Hyperlink"/>
          </w:rPr>
          <w:t>)</w:t>
        </w:r>
      </w:hyperlink>
      <w:r>
        <w:t xml:space="preserve"> </w:t>
      </w:r>
      <w:r>
        <w:fldChar w:fldCharType="begin"/>
      </w:r>
      <w:r>
        <w:instrText>PAGEREF section_0c2fcd3d6c2d4e039e64366e977e6d5a</w:instrText>
      </w:r>
      <w:r>
        <w:fldChar w:fldCharType="separate"/>
      </w:r>
      <w:r>
        <w:rPr>
          <w:noProof/>
        </w:rPr>
        <w:t>259</w:t>
      </w:r>
      <w:r>
        <w:fldChar w:fldCharType="end"/>
      </w:r>
    </w:p>
    <w:p w:rsidR="005F78FC" w:rsidRDefault="00B42EF3">
      <w:pPr>
        <w:pStyle w:val="indexentry0"/>
      </w:pPr>
      <w:hyperlink w:anchor="section_2d3ee2da8f774b08bc2b651e568af3ab">
        <w:r>
          <w:rPr>
            <w:rStyle w:val="Hyperlink"/>
          </w:rPr>
          <w:t>CustomUI Part</w:t>
        </w:r>
      </w:hyperlink>
      <w:r>
        <w:t xml:space="preserve"> </w:t>
      </w:r>
      <w:r>
        <w:fldChar w:fldCharType="begin"/>
      </w:r>
      <w:r>
        <w:instrText>PAGEREF section_2d3ee2da8f774b08bc2b651e568af3ab</w:instrText>
      </w:r>
      <w:r>
        <w:fldChar w:fldCharType="separate"/>
      </w:r>
      <w:r>
        <w:rPr>
          <w:noProof/>
        </w:rPr>
        <w:t>853</w:t>
      </w:r>
      <w:r>
        <w:fldChar w:fldCharType="end"/>
      </w:r>
    </w:p>
    <w:p w:rsidR="005F78FC" w:rsidRDefault="00B42EF3">
      <w:pPr>
        <w:pStyle w:val="indexentry0"/>
      </w:pPr>
      <w:hyperlink w:anchor="section_12409b35ead94ff8a0815b6ffa64cc0f">
        <w:r>
          <w:rPr>
            <w:rStyle w:val="Hyperlink"/>
          </w:rPr>
          <w:t xml:space="preserve">CustomUI2 </w:t>
        </w:r>
        <w:r>
          <w:rPr>
            <w:rStyle w:val="Hyperlink"/>
          </w:rPr>
          <w:t>Part</w:t>
        </w:r>
      </w:hyperlink>
      <w:r>
        <w:t xml:space="preserve"> </w:t>
      </w:r>
      <w:r>
        <w:fldChar w:fldCharType="begin"/>
      </w:r>
      <w:r>
        <w:instrText>PAGEREF section_12409b35ead94ff8a0815b6ffa64cc0f</w:instrText>
      </w:r>
      <w:r>
        <w:fldChar w:fldCharType="separate"/>
      </w:r>
      <w:r>
        <w:rPr>
          <w:noProof/>
        </w:rPr>
        <w:t>854</w:t>
      </w:r>
      <w:r>
        <w:fldChar w:fldCharType="end"/>
      </w:r>
    </w:p>
    <w:p w:rsidR="005F78FC" w:rsidRDefault="00B42EF3">
      <w:pPr>
        <w:pStyle w:val="indexentry0"/>
      </w:pPr>
      <w:hyperlink w:anchor="section_4a1279ef49db44dab7a7f88b371cdc89">
        <w:r>
          <w:rPr>
            <w:rStyle w:val="Hyperlink"/>
          </w:rPr>
          <w:t>customWorkbookView (Custom Workbook View)</w:t>
        </w:r>
      </w:hyperlink>
      <w:r>
        <w:t xml:space="preserve"> </w:t>
      </w:r>
      <w:r>
        <w:fldChar w:fldCharType="begin"/>
      </w:r>
      <w:r>
        <w:instrText>PAGEREF section_4a1279ef49db44dab7a7f88b371cdc89</w:instrText>
      </w:r>
      <w:r>
        <w:fldChar w:fldCharType="separate"/>
      </w:r>
      <w:r>
        <w:rPr>
          <w:noProof/>
        </w:rPr>
        <w:t>240</w:t>
      </w:r>
      <w:r>
        <w:fldChar w:fldCharType="end"/>
      </w:r>
    </w:p>
    <w:p w:rsidR="005F78FC" w:rsidRDefault="00B42EF3">
      <w:pPr>
        <w:pStyle w:val="indexentry0"/>
      </w:pPr>
      <w:hyperlink w:anchor="section_e3436d35a07349779c97c4c5cd78ddab">
        <w:r>
          <w:rPr>
            <w:rStyle w:val="Hyperlink"/>
          </w:rPr>
          <w:t>customWorkbookViews (Custom Workbook Views)</w:t>
        </w:r>
      </w:hyperlink>
      <w:r>
        <w:t xml:space="preserve"> </w:t>
      </w:r>
      <w:r>
        <w:fldChar w:fldCharType="begin"/>
      </w:r>
      <w:r>
        <w:instrText>PAGEREF section_e3436d35a07349779c97c4c5cd78ddab</w:instrText>
      </w:r>
      <w:r>
        <w:fldChar w:fldCharType="separate"/>
      </w:r>
      <w:r>
        <w:rPr>
          <w:noProof/>
        </w:rPr>
        <w:t>241</w:t>
      </w:r>
      <w:r>
        <w:fldChar w:fldCharType="end"/>
      </w:r>
    </w:p>
    <w:p w:rsidR="005F78FC" w:rsidRDefault="00B42EF3">
      <w:pPr>
        <w:pStyle w:val="indexentry0"/>
      </w:pPr>
      <w:hyperlink w:anchor="section_cad2d3a17f3446278a9750e04d47fc2f">
        <w:r>
          <w:rPr>
            <w:rStyle w:val="Hyperlink"/>
          </w:rPr>
          <w:t>customXml (Block-Level Custom XML Element)</w:t>
        </w:r>
      </w:hyperlink>
      <w:r>
        <w:t xml:space="preserve"> </w:t>
      </w:r>
      <w:r>
        <w:fldChar w:fldCharType="begin"/>
      </w:r>
      <w:r>
        <w:instrText>PAGEREF section_cad2d3a17f34462</w:instrText>
      </w:r>
      <w:r>
        <w:instrText>78a9750e04d47fc2f</w:instrText>
      </w:r>
      <w:r>
        <w:fldChar w:fldCharType="separate"/>
      </w:r>
      <w:r>
        <w:rPr>
          <w:noProof/>
        </w:rPr>
        <w:t>100</w:t>
      </w:r>
      <w:r>
        <w:fldChar w:fldCharType="end"/>
      </w:r>
    </w:p>
    <w:p w:rsidR="005F78FC" w:rsidRDefault="00B42EF3">
      <w:pPr>
        <w:pStyle w:val="indexentry0"/>
      </w:pPr>
      <w:hyperlink w:anchor="section_d46901cef70f439fbc173f020a8cbb0a">
        <w:r>
          <w:rPr>
            <w:rStyle w:val="Hyperlink"/>
          </w:rPr>
          <w:t>customXml (Cell-Level Custom XML Element)</w:t>
        </w:r>
      </w:hyperlink>
      <w:r>
        <w:t xml:space="preserve"> </w:t>
      </w:r>
      <w:r>
        <w:fldChar w:fldCharType="begin"/>
      </w:r>
      <w:r>
        <w:instrText>PAGEREF section_d46901cef70f439fbc173f020a8cbb0a</w:instrText>
      </w:r>
      <w:r>
        <w:fldChar w:fldCharType="separate"/>
      </w:r>
      <w:r>
        <w:rPr>
          <w:noProof/>
        </w:rPr>
        <w:t>99</w:t>
      </w:r>
      <w:r>
        <w:fldChar w:fldCharType="end"/>
      </w:r>
    </w:p>
    <w:p w:rsidR="005F78FC" w:rsidRDefault="00B42EF3">
      <w:pPr>
        <w:pStyle w:val="indexentry0"/>
      </w:pPr>
      <w:hyperlink w:anchor="section_fb39493214a94ebcbf3fabfe9d946a61">
        <w:r>
          <w:rPr>
            <w:rStyle w:val="Hyperlink"/>
          </w:rPr>
          <w:t>customXml (Inline-Level Custom XML Element)</w:t>
        </w:r>
      </w:hyperlink>
      <w:r>
        <w:t xml:space="preserve"> </w:t>
      </w:r>
      <w:r>
        <w:fldChar w:fldCharType="begin"/>
      </w:r>
      <w:r>
        <w:instrText>PAGEREF section_fb39493214a94ebcbf3fabfe9d946a61</w:instrText>
      </w:r>
      <w:r>
        <w:fldChar w:fldCharType="separate"/>
      </w:r>
      <w:r>
        <w:rPr>
          <w:noProof/>
        </w:rPr>
        <w:t>99</w:t>
      </w:r>
      <w:r>
        <w:fldChar w:fldCharType="end"/>
      </w:r>
    </w:p>
    <w:p w:rsidR="005F78FC" w:rsidRDefault="00B42EF3">
      <w:pPr>
        <w:pStyle w:val="indexentry0"/>
      </w:pPr>
      <w:hyperlink w:anchor="section_3188c7db7968430db14806b88ecc8038">
        <w:r>
          <w:rPr>
            <w:rStyle w:val="Hyperlink"/>
          </w:rPr>
          <w:t>customXml (Row-Level Custom XML Element)</w:t>
        </w:r>
      </w:hyperlink>
      <w:r>
        <w:t xml:space="preserve"> </w:t>
      </w:r>
      <w:r>
        <w:fldChar w:fldCharType="begin"/>
      </w:r>
      <w:r>
        <w:instrText>PAGEREF section_3188c7db7968430db14806b88ecc8038</w:instrText>
      </w:r>
      <w:r>
        <w:fldChar w:fldCharType="separate"/>
      </w:r>
      <w:r>
        <w:rPr>
          <w:noProof/>
        </w:rPr>
        <w:t>100</w:t>
      </w:r>
      <w:r>
        <w:fldChar w:fldCharType="end"/>
      </w:r>
    </w:p>
    <w:p w:rsidR="005F78FC" w:rsidRDefault="00B42EF3">
      <w:pPr>
        <w:pStyle w:val="indexentry0"/>
      </w:pPr>
      <w:hyperlink w:anchor="section_d188da3eb34b4445b3a0118155f75ff3">
        <w:r>
          <w:rPr>
            <w:rStyle w:val="Hyperlink"/>
          </w:rPr>
          <w:t>customXml (Ruby Inline-Level Custom XML Element)</w:t>
        </w:r>
      </w:hyperlink>
      <w:r>
        <w:t xml:space="preserve"> </w:t>
      </w:r>
      <w:r>
        <w:fldChar w:fldCharType="begin"/>
      </w:r>
      <w:r>
        <w:instrText>PAGEREF section_d188da3eb34b4445b3a0118155f75ff3</w:instrText>
      </w:r>
      <w:r>
        <w:fldChar w:fldCharType="separate"/>
      </w:r>
      <w:r>
        <w:rPr>
          <w:noProof/>
        </w:rPr>
        <w:t>792</w:t>
      </w:r>
      <w:r>
        <w:fldChar w:fldCharType="end"/>
      </w:r>
    </w:p>
    <w:p w:rsidR="005F78FC" w:rsidRDefault="00B42EF3">
      <w:pPr>
        <w:pStyle w:val="indexentry0"/>
      </w:pPr>
      <w:hyperlink w:anchor="section_09390857bdfc41548f0d3a034116fc17">
        <w:r>
          <w:rPr>
            <w:rStyle w:val="Hyperlink"/>
          </w:rPr>
          <w:t xml:space="preserve">customXmlDelRangeEnd (Custom XML </w:t>
        </w:r>
        <w:r>
          <w:rPr>
            <w:rStyle w:val="Hyperlink"/>
          </w:rPr>
          <w:t>Markup Deletion End)</w:t>
        </w:r>
      </w:hyperlink>
      <w:r>
        <w:t xml:space="preserve"> </w:t>
      </w:r>
      <w:r>
        <w:fldChar w:fldCharType="begin"/>
      </w:r>
      <w:r>
        <w:instrText>PAGEREF section_09390857bdfc41548f0d3a034116fc17</w:instrText>
      </w:r>
      <w:r>
        <w:fldChar w:fldCharType="separate"/>
      </w:r>
      <w:r>
        <w:rPr>
          <w:noProof/>
        </w:rPr>
        <w:t>136</w:t>
      </w:r>
      <w:r>
        <w:fldChar w:fldCharType="end"/>
      </w:r>
    </w:p>
    <w:p w:rsidR="005F78FC" w:rsidRDefault="00B42EF3">
      <w:pPr>
        <w:pStyle w:val="indexentry0"/>
      </w:pPr>
      <w:hyperlink w:anchor="section_01c325f9222f41cea66dfa32c38aa598">
        <w:r>
          <w:rPr>
            <w:rStyle w:val="Hyperlink"/>
          </w:rPr>
          <w:t>customXmlDelRangeStart (Custom XML Markup Deletion Start)</w:t>
        </w:r>
      </w:hyperlink>
      <w:r>
        <w:t xml:space="preserve"> </w:t>
      </w:r>
      <w:r>
        <w:fldChar w:fldCharType="begin"/>
      </w:r>
      <w:r>
        <w:instrText>PAGEREF section_01c325f9222f41cea66dfa32c38aa598</w:instrText>
      </w:r>
      <w:r>
        <w:fldChar w:fldCharType="separate"/>
      </w:r>
      <w:r>
        <w:rPr>
          <w:noProof/>
        </w:rPr>
        <w:t>136</w:t>
      </w:r>
      <w:r>
        <w:fldChar w:fldCharType="end"/>
      </w:r>
    </w:p>
    <w:p w:rsidR="005F78FC" w:rsidRDefault="00B42EF3">
      <w:pPr>
        <w:pStyle w:val="indexentry0"/>
      </w:pPr>
      <w:hyperlink w:anchor="section_66213ef21f7b4e3092edf96e46b5b5cc">
        <w:r>
          <w:rPr>
            <w:rStyle w:val="Hyperlink"/>
          </w:rPr>
          <w:t>customXmlInsRangeEnd (Custom XML Markup Insertion End)</w:t>
        </w:r>
      </w:hyperlink>
      <w:r>
        <w:t xml:space="preserve"> </w:t>
      </w:r>
      <w:r>
        <w:fldChar w:fldCharType="begin"/>
      </w:r>
      <w:r>
        <w:instrText>PAGEREF section_66213ef21f7b4e3092edf96e46b5b5cc</w:instrText>
      </w:r>
      <w:r>
        <w:fldChar w:fldCharType="separate"/>
      </w:r>
      <w:r>
        <w:rPr>
          <w:noProof/>
        </w:rPr>
        <w:t>136</w:t>
      </w:r>
      <w:r>
        <w:fldChar w:fldCharType="end"/>
      </w:r>
    </w:p>
    <w:p w:rsidR="005F78FC" w:rsidRDefault="00B42EF3">
      <w:pPr>
        <w:pStyle w:val="indexentry0"/>
      </w:pPr>
      <w:hyperlink w:anchor="section_ca13fff5ae694458a26a848e9709382d">
        <w:r>
          <w:rPr>
            <w:rStyle w:val="Hyperlink"/>
          </w:rPr>
          <w:t>customXmlInsRangeStart (Custom XM</w:t>
        </w:r>
        <w:r>
          <w:rPr>
            <w:rStyle w:val="Hyperlink"/>
          </w:rPr>
          <w:t>L Markup Insertion Start)</w:t>
        </w:r>
      </w:hyperlink>
      <w:r>
        <w:t xml:space="preserve"> </w:t>
      </w:r>
      <w:r>
        <w:fldChar w:fldCharType="begin"/>
      </w:r>
      <w:r>
        <w:instrText>PAGEREF section_ca13fff5ae694458a26a848e9709382d</w:instrText>
      </w:r>
      <w:r>
        <w:fldChar w:fldCharType="separate"/>
      </w:r>
      <w:r>
        <w:rPr>
          <w:noProof/>
        </w:rPr>
        <w:t>137</w:t>
      </w:r>
      <w:r>
        <w:fldChar w:fldCharType="end"/>
      </w:r>
    </w:p>
    <w:p w:rsidR="005F78FC" w:rsidRDefault="00B42EF3">
      <w:pPr>
        <w:pStyle w:val="indexentry0"/>
      </w:pPr>
      <w:hyperlink w:anchor="section_7174721fd51b496cb4e40a629713bef3">
        <w:r>
          <w:rPr>
            <w:rStyle w:val="Hyperlink"/>
          </w:rPr>
          <w:t>customXmlMoveFromRangeEnd (Custom XML Markup Move Source End)</w:t>
        </w:r>
      </w:hyperlink>
      <w:r>
        <w:t xml:space="preserve"> </w:t>
      </w:r>
      <w:r>
        <w:fldChar w:fldCharType="begin"/>
      </w:r>
      <w:r>
        <w:instrText>PAGEREF section_7174721fd51b496cb4e40a629713bef3</w:instrText>
      </w:r>
      <w:r>
        <w:fldChar w:fldCharType="separate"/>
      </w:r>
      <w:r>
        <w:rPr>
          <w:noProof/>
        </w:rPr>
        <w:t>137</w:t>
      </w:r>
      <w:r>
        <w:fldChar w:fldCharType="end"/>
      </w:r>
    </w:p>
    <w:p w:rsidR="005F78FC" w:rsidRDefault="00B42EF3">
      <w:pPr>
        <w:pStyle w:val="indexentry0"/>
      </w:pPr>
      <w:hyperlink w:anchor="section_6e5e1e9d76ce40febad6bb846b2ce6e9">
        <w:r>
          <w:rPr>
            <w:rStyle w:val="Hyperlink"/>
          </w:rPr>
          <w:t>customXmlMoveFromRangeStart (Custom XML Markup Move Source Start)</w:t>
        </w:r>
      </w:hyperlink>
      <w:r>
        <w:t xml:space="preserve"> </w:t>
      </w:r>
      <w:r>
        <w:fldChar w:fldCharType="begin"/>
      </w:r>
      <w:r>
        <w:instrText>PAGEREF section_6e5e1e9d76ce40febad6bb846b2ce6e9</w:instrText>
      </w:r>
      <w:r>
        <w:fldChar w:fldCharType="separate"/>
      </w:r>
      <w:r>
        <w:rPr>
          <w:noProof/>
        </w:rPr>
        <w:t>137</w:t>
      </w:r>
      <w:r>
        <w:fldChar w:fldCharType="end"/>
      </w:r>
    </w:p>
    <w:p w:rsidR="005F78FC" w:rsidRDefault="00B42EF3">
      <w:pPr>
        <w:pStyle w:val="indexentry0"/>
      </w:pPr>
      <w:hyperlink w:anchor="section_f8238e0f99bf44689124e828a849cc16">
        <w:r>
          <w:rPr>
            <w:rStyle w:val="Hyperlink"/>
          </w:rPr>
          <w:t>customXmlMove</w:t>
        </w:r>
        <w:r>
          <w:rPr>
            <w:rStyle w:val="Hyperlink"/>
          </w:rPr>
          <w:t>ToRangeEnd (Custom XML Markup Move Destination Location End)</w:t>
        </w:r>
      </w:hyperlink>
      <w:r>
        <w:t xml:space="preserve"> </w:t>
      </w:r>
      <w:r>
        <w:fldChar w:fldCharType="begin"/>
      </w:r>
      <w:r>
        <w:instrText>PAGEREF section_f8238e0f99bf44689124e828a849cc16</w:instrText>
      </w:r>
      <w:r>
        <w:fldChar w:fldCharType="separate"/>
      </w:r>
      <w:r>
        <w:rPr>
          <w:noProof/>
        </w:rPr>
        <w:t>138</w:t>
      </w:r>
      <w:r>
        <w:fldChar w:fldCharType="end"/>
      </w:r>
    </w:p>
    <w:p w:rsidR="005F78FC" w:rsidRDefault="00B42EF3">
      <w:pPr>
        <w:pStyle w:val="indexentry0"/>
      </w:pPr>
      <w:hyperlink w:anchor="section_5aad40547dc943e0927ee80dd560511b">
        <w:r>
          <w:rPr>
            <w:rStyle w:val="Hyperlink"/>
          </w:rPr>
          <w:t>customXmlMoveToRangeStart (Custom XML Markup Move Destination Location Start)</w:t>
        </w:r>
      </w:hyperlink>
      <w:r>
        <w:t xml:space="preserve"> </w:t>
      </w:r>
      <w:r>
        <w:fldChar w:fldCharType="begin"/>
      </w:r>
      <w:r>
        <w:instrText>PAGEREF section_5aad40547dc943e0927ee80dd560511b</w:instrText>
      </w:r>
      <w:r>
        <w:fldChar w:fldCharType="separate"/>
      </w:r>
      <w:r>
        <w:rPr>
          <w:noProof/>
        </w:rPr>
        <w:t>138</w:t>
      </w:r>
      <w:r>
        <w:fldChar w:fldCharType="end"/>
      </w:r>
    </w:p>
    <w:p w:rsidR="005F78FC" w:rsidRDefault="00B42EF3">
      <w:pPr>
        <w:pStyle w:val="indexentry0"/>
      </w:pPr>
      <w:hyperlink w:anchor="section_dff741e5b6874a57a0ea91144bd69a9c">
        <w:r>
          <w:rPr>
            <w:rStyle w:val="Hyperlink"/>
          </w:rPr>
          <w:t>customXsn (Custom XSN)</w:t>
        </w:r>
      </w:hyperlink>
      <w:r>
        <w:t xml:space="preserve"> </w:t>
      </w:r>
      <w:r>
        <w:fldChar w:fldCharType="begin"/>
      </w:r>
      <w:r>
        <w:instrText>PAGEREF section_dff741e5b6874a57a0ea91144bd69a9c</w:instrText>
      </w:r>
      <w:r>
        <w:fldChar w:fldCharType="separate"/>
      </w:r>
      <w:r>
        <w:rPr>
          <w:noProof/>
        </w:rPr>
        <w:t>875</w:t>
      </w:r>
      <w:r>
        <w:fldChar w:fldCharType="end"/>
      </w:r>
    </w:p>
    <w:p w:rsidR="005F78FC" w:rsidRDefault="00B42EF3">
      <w:pPr>
        <w:pStyle w:val="indexentry0"/>
      </w:pPr>
      <w:r>
        <w:t>custShow (Custom Show) (</w:t>
      </w:r>
      <w:hyperlink w:anchor="section_054574864bf84e099d276f74fcf68562">
        <w:r>
          <w:rPr>
            <w:rStyle w:val="Hyperlink"/>
          </w:rPr>
          <w:t>section 2.1.1097</w:t>
        </w:r>
      </w:hyperlink>
      <w:r>
        <w:t xml:space="preserve"> </w:t>
      </w:r>
      <w:r>
        <w:fldChar w:fldCharType="begin"/>
      </w:r>
      <w:r>
        <w:instrText>PAGEREF section_054574864bf84e099d276f74fcf68562</w:instrText>
      </w:r>
      <w:r>
        <w:fldChar w:fldCharType="separate"/>
      </w:r>
      <w:r>
        <w:rPr>
          <w:noProof/>
        </w:rPr>
        <w:t>463</w:t>
      </w:r>
      <w:r>
        <w:fldChar w:fldCharType="end"/>
      </w:r>
      <w:r>
        <w:t xml:space="preserve">, </w:t>
      </w:r>
      <w:hyperlink w:anchor="section_41eb94ad9a8e4f7fb17eed9cc54b5fd7">
        <w:r>
          <w:rPr>
            <w:rStyle w:val="Hyperlink"/>
          </w:rPr>
          <w:t>section 2.1.1098</w:t>
        </w:r>
      </w:hyperlink>
      <w:r>
        <w:t xml:space="preserve"> </w:t>
      </w:r>
      <w:r>
        <w:fldChar w:fldCharType="begin"/>
      </w:r>
      <w:r>
        <w:instrText>PAGEREF section_41eb94ad9a8e4f7fb17eed9cc54b5fd7</w:instrText>
      </w:r>
      <w:r>
        <w:fldChar w:fldCharType="separate"/>
      </w:r>
      <w:r>
        <w:rPr>
          <w:noProof/>
        </w:rPr>
        <w:t>463</w:t>
      </w:r>
      <w:r>
        <w:fldChar w:fldCharType="end"/>
      </w:r>
      <w:r>
        <w:t>)</w:t>
      </w:r>
    </w:p>
    <w:p w:rsidR="005F78FC" w:rsidRDefault="00B42EF3">
      <w:pPr>
        <w:pStyle w:val="indexentry0"/>
      </w:pPr>
      <w:hyperlink w:anchor="section_c9de0cf2f9d5416aabe6f1b160b4e823">
        <w:r>
          <w:rPr>
            <w:rStyle w:val="Hyperlink"/>
          </w:rPr>
          <w:t>custUnit (Custom Display Unit)</w:t>
        </w:r>
      </w:hyperlink>
      <w:r>
        <w:t xml:space="preserve"> </w:t>
      </w:r>
      <w:r>
        <w:fldChar w:fldCharType="begin"/>
      </w:r>
      <w:r>
        <w:instrText>PAGEREF section_c9de0cf2f9d5416aabe6f1b160b4e823</w:instrText>
      </w:r>
      <w:r>
        <w:fldChar w:fldCharType="separate"/>
      </w:r>
      <w:r>
        <w:rPr>
          <w:noProof/>
        </w:rPr>
        <w:t>549</w:t>
      </w:r>
      <w:r>
        <w:fldChar w:fldCharType="end"/>
      </w:r>
    </w:p>
    <w:p w:rsidR="005F78FC" w:rsidRDefault="00B42EF3">
      <w:pPr>
        <w:pStyle w:val="indexentry0"/>
      </w:pPr>
      <w:hyperlink w:anchor="section_f1f030c79c8a418db6e52ae4c675d0e9">
        <w:r>
          <w:rPr>
            <w:rStyle w:val="Hyperlink"/>
          </w:rPr>
          <w:t>cxn (Connection)</w:t>
        </w:r>
      </w:hyperlink>
      <w:r>
        <w:t xml:space="preserve"> </w:t>
      </w:r>
      <w:r>
        <w:fldChar w:fldCharType="begin"/>
      </w:r>
      <w:r>
        <w:instrText>PAGEREF section_f1f030c79c8a418db6e52ae4c675d0e9</w:instrText>
      </w:r>
      <w:r>
        <w:fldChar w:fldCharType="separate"/>
      </w:r>
      <w:r>
        <w:rPr>
          <w:noProof/>
        </w:rPr>
        <w:t>587</w:t>
      </w:r>
      <w:r>
        <w:fldChar w:fldCharType="end"/>
      </w:r>
    </w:p>
    <w:p w:rsidR="005F78FC" w:rsidRDefault="00B42EF3">
      <w:pPr>
        <w:pStyle w:val="indexentry0"/>
      </w:pPr>
      <w:r>
        <w:t>cxnSp (Conne</w:t>
      </w:r>
      <w:r>
        <w:t>ction Shape) (</w:t>
      </w:r>
      <w:hyperlink w:anchor="section_c39b2737700f49d68c31f480ac51f5c6">
        <w:r>
          <w:rPr>
            <w:rStyle w:val="Hyperlink"/>
          </w:rPr>
          <w:t>section 2.1.1358</w:t>
        </w:r>
      </w:hyperlink>
      <w:r>
        <w:t xml:space="preserve"> </w:t>
      </w:r>
      <w:r>
        <w:fldChar w:fldCharType="begin"/>
      </w:r>
      <w:r>
        <w:instrText>PAGEREF section_c39b2737700f49d68c31f480ac51f5c6</w:instrText>
      </w:r>
      <w:r>
        <w:fldChar w:fldCharType="separate"/>
      </w:r>
      <w:r>
        <w:rPr>
          <w:noProof/>
        </w:rPr>
        <w:t>528</w:t>
      </w:r>
      <w:r>
        <w:fldChar w:fldCharType="end"/>
      </w:r>
      <w:r>
        <w:t xml:space="preserve">, </w:t>
      </w:r>
      <w:hyperlink w:anchor="section_1bfa7d2ded0848e8a2f023c93755d1da">
        <w:r>
          <w:rPr>
            <w:rStyle w:val="Hyperlink"/>
          </w:rPr>
          <w:t>section 2.1.1598</w:t>
        </w:r>
      </w:hyperlink>
      <w:r>
        <w:t xml:space="preserve"> </w:t>
      </w:r>
      <w:r>
        <w:fldChar w:fldCharType="begin"/>
      </w:r>
      <w:r>
        <w:instrText>PAGEREF section_1bfa7d2ded0</w:instrText>
      </w:r>
      <w:r>
        <w:instrText>848e8a2f023c93755d1da</w:instrText>
      </w:r>
      <w:r>
        <w:fldChar w:fldCharType="separate"/>
      </w:r>
      <w:r>
        <w:rPr>
          <w:noProof/>
        </w:rPr>
        <w:t>583</w:t>
      </w:r>
      <w:r>
        <w:fldChar w:fldCharType="end"/>
      </w:r>
      <w:r>
        <w:t>)</w:t>
      </w:r>
    </w:p>
    <w:p w:rsidR="005F78FC" w:rsidRDefault="00B42EF3">
      <w:pPr>
        <w:pStyle w:val="indexentry0"/>
      </w:pPr>
      <w:hyperlink w:anchor="section_f34157f3cc864c16b62cc636d8a9e361">
        <w:r>
          <w:rPr>
            <w:rStyle w:val="Hyperlink"/>
          </w:rPr>
          <w:t>cxnSpLocks (Connection Shape Locks)</w:t>
        </w:r>
      </w:hyperlink>
      <w:r>
        <w:t xml:space="preserve"> </w:t>
      </w:r>
      <w:r>
        <w:fldChar w:fldCharType="begin"/>
      </w:r>
      <w:r>
        <w:instrText>PAGEREF section_f34157f3cc864c16b62cc636d8a9e361</w:instrText>
      </w:r>
      <w:r>
        <w:fldChar w:fldCharType="separate"/>
      </w:r>
      <w:r>
        <w:rPr>
          <w:noProof/>
        </w:rPr>
        <w:t>498</w:t>
      </w:r>
      <w:r>
        <w:fldChar w:fldCharType="end"/>
      </w:r>
    </w:p>
    <w:p w:rsidR="005F78FC" w:rsidRDefault="005F78FC">
      <w:pPr>
        <w:spacing w:before="0" w:after="0"/>
        <w:rPr>
          <w:sz w:val="16"/>
        </w:rPr>
      </w:pPr>
    </w:p>
    <w:p w:rsidR="005F78FC" w:rsidRDefault="00B42EF3">
      <w:pPr>
        <w:pStyle w:val="indexheader"/>
      </w:pPr>
      <w:r>
        <w:t>D</w:t>
      </w:r>
    </w:p>
    <w:p w:rsidR="005F78FC" w:rsidRDefault="005F78FC">
      <w:pPr>
        <w:spacing w:before="0" w:after="0"/>
        <w:rPr>
          <w:sz w:val="16"/>
        </w:rPr>
      </w:pPr>
    </w:p>
    <w:p w:rsidR="005F78FC" w:rsidRDefault="00B42EF3">
      <w:pPr>
        <w:pStyle w:val="indexentry0"/>
      </w:pPr>
      <w:hyperlink w:anchor="section_11e2ac2dcf0a4db3b3f69bfae45fbce6">
        <w:r>
          <w:rPr>
            <w:rStyle w:val="Hyperlink"/>
          </w:rPr>
          <w:t>d (Date Time)</w:t>
        </w:r>
      </w:hyperlink>
      <w:r>
        <w:t xml:space="preserve"> </w:t>
      </w:r>
      <w:r>
        <w:fldChar w:fldCharType="begin"/>
      </w:r>
      <w:r>
        <w:instrText>PAGEREF section_11e2ac2dcf0a4db3b3f69bfae45fbce6</w:instrText>
      </w:r>
      <w:r>
        <w:fldChar w:fldCharType="separate"/>
      </w:r>
      <w:r>
        <w:rPr>
          <w:noProof/>
        </w:rPr>
        <w:t>334</w:t>
      </w:r>
      <w:r>
        <w:fldChar w:fldCharType="end"/>
      </w:r>
    </w:p>
    <w:p w:rsidR="005F78FC" w:rsidRDefault="00B42EF3">
      <w:pPr>
        <w:pStyle w:val="indexentry0"/>
      </w:pPr>
      <w:hyperlink w:anchor="section_191498ba6db5457c8a5b9fd82726c180">
        <w:r>
          <w:rPr>
            <w:rStyle w:val="Hyperlink"/>
          </w:rPr>
          <w:t>d (Delimiter Object)</w:t>
        </w:r>
      </w:hyperlink>
      <w:r>
        <w:t xml:space="preserve"> </w:t>
      </w:r>
      <w:r>
        <w:fldChar w:fldCharType="begin"/>
      </w:r>
      <w:r>
        <w:instrText>PAGEREF section_191498ba6db5457c8a5b9fd82726c180</w:instrText>
      </w:r>
      <w:r>
        <w:fldChar w:fldCharType="separate"/>
      </w:r>
      <w:r>
        <w:rPr>
          <w:noProof/>
        </w:rPr>
        <w:t>598</w:t>
      </w:r>
      <w:r>
        <w:fldChar w:fldCharType="end"/>
      </w:r>
    </w:p>
    <w:p w:rsidR="005F78FC" w:rsidRDefault="00B42EF3">
      <w:pPr>
        <w:pStyle w:val="indexentry0"/>
      </w:pPr>
      <w:hyperlink w:anchor="section_1ddb29af9f9949ddb02407491c8d02ef">
        <w:r>
          <w:rPr>
            <w:rStyle w:val="Hyperlink"/>
          </w:rPr>
          <w:t xml:space="preserve">data </w:t>
        </w:r>
        <w:r>
          <w:rPr>
            <w:rStyle w:val="Hyperlink"/>
          </w:rPr>
          <w:t>(Data Cannot Be Changed)</w:t>
        </w:r>
      </w:hyperlink>
      <w:r>
        <w:t xml:space="preserve"> </w:t>
      </w:r>
      <w:r>
        <w:fldChar w:fldCharType="begin"/>
      </w:r>
      <w:r>
        <w:instrText>PAGEREF section_1ddb29af9f9949ddb02407491c8d02ef</w:instrText>
      </w:r>
      <w:r>
        <w:fldChar w:fldCharType="separate"/>
      </w:r>
      <w:r>
        <w:rPr>
          <w:noProof/>
        </w:rPr>
        <w:t>550</w:t>
      </w:r>
      <w:r>
        <w:fldChar w:fldCharType="end"/>
      </w:r>
    </w:p>
    <w:p w:rsidR="005F78FC" w:rsidRDefault="00B42EF3">
      <w:pPr>
        <w:pStyle w:val="indexentry0"/>
      </w:pPr>
      <w:hyperlink w:anchor="section_26e0ceb25b9342dc838c9e15c1a8cd8b">
        <w:r>
          <w:rPr>
            <w:rStyle w:val="Hyperlink"/>
          </w:rPr>
          <w:t>Data Validation Formulas</w:t>
        </w:r>
      </w:hyperlink>
      <w:r>
        <w:t xml:space="preserve"> </w:t>
      </w:r>
      <w:r>
        <w:fldChar w:fldCharType="begin"/>
      </w:r>
      <w:r>
        <w:instrText>PAGEREF section_26e0ceb25b9342dc838c9e15c1a8cd8b</w:instrText>
      </w:r>
      <w:r>
        <w:fldChar w:fldCharType="separate"/>
      </w:r>
      <w:r>
        <w:rPr>
          <w:noProof/>
        </w:rPr>
        <w:t>845</w:t>
      </w:r>
      <w:r>
        <w:fldChar w:fldCharType="end"/>
      </w:r>
    </w:p>
    <w:p w:rsidR="005F78FC" w:rsidRDefault="00B42EF3">
      <w:pPr>
        <w:pStyle w:val="indexentry0"/>
      </w:pPr>
      <w:hyperlink w:anchor="section_ba8574f369804425b7e366b533340783">
        <w:r>
          <w:rPr>
            <w:rStyle w:val="Hyperlink"/>
          </w:rPr>
          <w:t>dataBar (Data Bar)</w:t>
        </w:r>
      </w:hyperlink>
      <w:r>
        <w:t xml:space="preserve"> </w:t>
      </w:r>
      <w:r>
        <w:fldChar w:fldCharType="begin"/>
      </w:r>
      <w:r>
        <w:instrText>PAGEREF section_ba8574f369804425b7e366b533340783</w:instrText>
      </w:r>
      <w:r>
        <w:fldChar w:fldCharType="separate"/>
      </w:r>
      <w:r>
        <w:rPr>
          <w:noProof/>
        </w:rPr>
        <w:t>259</w:t>
      </w:r>
      <w:r>
        <w:fldChar w:fldCharType="end"/>
      </w:r>
    </w:p>
    <w:p w:rsidR="005F78FC" w:rsidRDefault="00B42EF3">
      <w:pPr>
        <w:pStyle w:val="indexentry0"/>
      </w:pPr>
      <w:hyperlink w:anchor="section_6870342f637e45b2a66303c99dcff328">
        <w:r>
          <w:rPr>
            <w:rStyle w:val="Hyperlink"/>
          </w:rPr>
          <w:t>DATABASE</w:t>
        </w:r>
      </w:hyperlink>
      <w:r>
        <w:t xml:space="preserve"> </w:t>
      </w:r>
      <w:r>
        <w:fldChar w:fldCharType="begin"/>
      </w:r>
      <w:r>
        <w:instrText>PAGEREF section_6870342f637e45b2a66303c99dcff328</w:instrText>
      </w:r>
      <w:r>
        <w:fldChar w:fldCharType="separate"/>
      </w:r>
      <w:r>
        <w:rPr>
          <w:noProof/>
        </w:rPr>
        <w:t>189</w:t>
      </w:r>
      <w:r>
        <w:fldChar w:fldCharType="end"/>
      </w:r>
    </w:p>
    <w:p w:rsidR="005F78FC" w:rsidRDefault="00B42EF3">
      <w:pPr>
        <w:pStyle w:val="indexentry0"/>
      </w:pPr>
      <w:r>
        <w:t>dataBinding (XML Mapping) (</w:t>
      </w:r>
      <w:hyperlink w:anchor="section_7108b87e0dbb44c79a68e915b14a8392">
        <w:r>
          <w:rPr>
            <w:rStyle w:val="Hyperlink"/>
          </w:rPr>
          <w:t>section 2.1.193</w:t>
        </w:r>
      </w:hyperlink>
      <w:r>
        <w:t xml:space="preserve"> </w:t>
      </w:r>
      <w:r>
        <w:fldChar w:fldCharType="begin"/>
      </w:r>
      <w:r>
        <w:instrText>PAGEREF section_7108b87e0dbb44c79a68e915b14a8392</w:instrText>
      </w:r>
      <w:r>
        <w:fldChar w:fldCharType="separate"/>
      </w:r>
      <w:r>
        <w:rPr>
          <w:noProof/>
        </w:rPr>
        <w:t>100</w:t>
      </w:r>
      <w:r>
        <w:fldChar w:fldCharType="end"/>
      </w:r>
      <w:r>
        <w:t xml:space="preserve">, </w:t>
      </w:r>
      <w:hyperlink w:anchor="section_e46452807ae048c0b82ef72096eaca48">
        <w:r>
          <w:rPr>
            <w:rStyle w:val="Hyperlink"/>
          </w:rPr>
          <w:t>section 2.1.855</w:t>
        </w:r>
      </w:hyperlink>
      <w:r>
        <w:t xml:space="preserve"> </w:t>
      </w:r>
      <w:r>
        <w:fldChar w:fldCharType="begin"/>
      </w:r>
      <w:r>
        <w:instrText>PAGEREF section_e46452807ae048c0b82ef72096eaca48</w:instrText>
      </w:r>
      <w:r>
        <w:fldChar w:fldCharType="separate"/>
      </w:r>
      <w:r>
        <w:rPr>
          <w:noProof/>
        </w:rPr>
        <w:t>386</w:t>
      </w:r>
      <w:r>
        <w:fldChar w:fldCharType="end"/>
      </w:r>
      <w:r>
        <w:t>)</w:t>
      </w:r>
    </w:p>
    <w:p w:rsidR="005F78FC" w:rsidRDefault="00B42EF3">
      <w:pPr>
        <w:pStyle w:val="indexentry0"/>
      </w:pPr>
      <w:hyperlink w:anchor="section_387d25855753451ca29b686ce0a01acc">
        <w:r>
          <w:rPr>
            <w:rStyle w:val="Hyperlink"/>
          </w:rPr>
          <w:t>dataConsolidate (Data Consolidate)</w:t>
        </w:r>
      </w:hyperlink>
      <w:r>
        <w:t xml:space="preserve"> </w:t>
      </w:r>
      <w:r>
        <w:fldChar w:fldCharType="begin"/>
      </w:r>
      <w:r>
        <w:instrText>PAGEREF section_387d25855753451ca29b686ce0a01acc</w:instrText>
      </w:r>
      <w:r>
        <w:fldChar w:fldCharType="separate"/>
      </w:r>
      <w:r>
        <w:rPr>
          <w:noProof/>
        </w:rPr>
        <w:t>259</w:t>
      </w:r>
      <w:r>
        <w:fldChar w:fldCharType="end"/>
      </w:r>
    </w:p>
    <w:p w:rsidR="005F78FC" w:rsidRDefault="00B42EF3">
      <w:pPr>
        <w:pStyle w:val="indexentry0"/>
      </w:pPr>
      <w:hyperlink w:anchor="section_0736556bddde42e4ba5940410c5735c2">
        <w:r>
          <w:rPr>
            <w:rStyle w:val="Hyperlink"/>
          </w:rPr>
          <w:t>dataField (Data Field Item)</w:t>
        </w:r>
      </w:hyperlink>
      <w:r>
        <w:t xml:space="preserve"> </w:t>
      </w:r>
      <w:r>
        <w:fldChar w:fldCharType="begin"/>
      </w:r>
      <w:r>
        <w:instrText>PAGEREF section</w:instrText>
      </w:r>
      <w:r>
        <w:instrText>_0736556bddde42e4ba5940410c5735c2</w:instrText>
      </w:r>
      <w:r>
        <w:fldChar w:fldCharType="separate"/>
      </w:r>
      <w:r>
        <w:rPr>
          <w:noProof/>
        </w:rPr>
        <w:t>335</w:t>
      </w:r>
      <w:r>
        <w:fldChar w:fldCharType="end"/>
      </w:r>
    </w:p>
    <w:p w:rsidR="005F78FC" w:rsidRDefault="00B42EF3">
      <w:pPr>
        <w:pStyle w:val="indexentry0"/>
      </w:pPr>
      <w:hyperlink w:anchor="section_39eec3e0a78f44529f4046407e0247de">
        <w:r>
          <w:rPr>
            <w:rStyle w:val="Hyperlink"/>
          </w:rPr>
          <w:t>dataSource (Data Source File Path)</w:t>
        </w:r>
      </w:hyperlink>
      <w:r>
        <w:t xml:space="preserve"> </w:t>
      </w:r>
      <w:r>
        <w:fldChar w:fldCharType="begin"/>
      </w:r>
      <w:r>
        <w:instrText>PAGEREF section_39eec3e0a78f44529f4046407e0247de</w:instrText>
      </w:r>
      <w:r>
        <w:fldChar w:fldCharType="separate"/>
      </w:r>
      <w:r>
        <w:rPr>
          <w:noProof/>
        </w:rPr>
        <w:t>145</w:t>
      </w:r>
      <w:r>
        <w:fldChar w:fldCharType="end"/>
      </w:r>
    </w:p>
    <w:p w:rsidR="005F78FC" w:rsidRDefault="00B42EF3">
      <w:pPr>
        <w:pStyle w:val="indexentry0"/>
      </w:pPr>
      <w:hyperlink w:anchor="section_0114969a4859443eae3e0c1fdebfcc64">
        <w:r>
          <w:rPr>
            <w:rStyle w:val="Hyperlink"/>
          </w:rPr>
          <w:t>dataValidation (Data Validation)</w:t>
        </w:r>
      </w:hyperlink>
      <w:r>
        <w:t xml:space="preserve"> </w:t>
      </w:r>
      <w:r>
        <w:fldChar w:fldCharType="begin"/>
      </w:r>
      <w:r>
        <w:instrText>PAGEREF section_0114969a4859443eae3e0c1fdebfcc64</w:instrText>
      </w:r>
      <w:r>
        <w:fldChar w:fldCharType="separate"/>
      </w:r>
      <w:r>
        <w:rPr>
          <w:noProof/>
        </w:rPr>
        <w:t>259</w:t>
      </w:r>
      <w:r>
        <w:fldChar w:fldCharType="end"/>
      </w:r>
    </w:p>
    <w:p w:rsidR="005F78FC" w:rsidRDefault="00B42EF3">
      <w:pPr>
        <w:pStyle w:val="indexentry0"/>
      </w:pPr>
      <w:hyperlink w:anchor="section_0e5b9bebd59d45c5be218c82c275c705">
        <w:r>
          <w:rPr>
            <w:rStyle w:val="Hyperlink"/>
          </w:rPr>
          <w:t>dataValidations (Data Validations)</w:t>
        </w:r>
      </w:hyperlink>
      <w:r>
        <w:t xml:space="preserve"> </w:t>
      </w:r>
      <w:r>
        <w:fldChar w:fldCharType="begin"/>
      </w:r>
      <w:r>
        <w:instrText>PAGEREF section_0e5b9bebd59d45c5be218c82c275c705</w:instrText>
      </w:r>
      <w:r>
        <w:fldChar w:fldCharType="separate"/>
      </w:r>
      <w:r>
        <w:rPr>
          <w:noProof/>
        </w:rPr>
        <w:t>260</w:t>
      </w:r>
      <w:r>
        <w:fldChar w:fldCharType="end"/>
      </w:r>
    </w:p>
    <w:p w:rsidR="005F78FC" w:rsidRDefault="00B42EF3">
      <w:pPr>
        <w:pStyle w:val="indexentry0"/>
      </w:pPr>
      <w:r>
        <w:t>DATE (</w:t>
      </w:r>
      <w:hyperlink w:anchor="section_a5654a9f5dda4ec7bc38e48f50e4b435">
        <w:r>
          <w:rPr>
            <w:rStyle w:val="Hyperlink"/>
          </w:rPr>
          <w:t>section 2.1.469</w:t>
        </w:r>
      </w:hyperlink>
      <w:r>
        <w:t xml:space="preserve"> </w:t>
      </w:r>
      <w:r>
        <w:fldChar w:fldCharType="begin"/>
      </w:r>
      <w:r>
        <w:instrText>PAGEREF section_a5654a9f5dda4ec7bc38e48f50e4b435</w:instrText>
      </w:r>
      <w:r>
        <w:fldChar w:fldCharType="separate"/>
      </w:r>
      <w:r>
        <w:rPr>
          <w:noProof/>
        </w:rPr>
        <w:t>216</w:t>
      </w:r>
      <w:r>
        <w:fldChar w:fldCharType="end"/>
      </w:r>
      <w:r>
        <w:t xml:space="preserve">, </w:t>
      </w:r>
      <w:hyperlink w:anchor="section_4bbbb410cf9c45ecb96d8aa62d0d8cfa">
        <w:r>
          <w:rPr>
            <w:rStyle w:val="Hyperlink"/>
          </w:rPr>
          <w:t>section 2.1.918</w:t>
        </w:r>
      </w:hyperlink>
      <w:r>
        <w:t xml:space="preserve"> </w:t>
      </w:r>
      <w:r>
        <w:fldChar w:fldCharType="begin"/>
      </w:r>
      <w:r>
        <w:instrText>PAGEREF section_4bbbb410cf9c45ecb96d8aa62d0d8cfa</w:instrText>
      </w:r>
      <w:r>
        <w:fldChar w:fldCharType="separate"/>
      </w:r>
      <w:r>
        <w:rPr>
          <w:noProof/>
        </w:rPr>
        <w:t>418</w:t>
      </w:r>
      <w:r>
        <w:fldChar w:fldCharType="end"/>
      </w:r>
      <w:r>
        <w:t>)</w:t>
      </w:r>
    </w:p>
    <w:p w:rsidR="005F78FC" w:rsidRDefault="00B42EF3">
      <w:pPr>
        <w:pStyle w:val="indexentry0"/>
      </w:pPr>
      <w:hyperlink w:anchor="section_8e9fc0381cf24482b0cc8d2158d56d9e">
        <w:r>
          <w:rPr>
            <w:rStyle w:val="Hyperlink"/>
          </w:rPr>
          <w:t>date (Date and Time)</w:t>
        </w:r>
      </w:hyperlink>
      <w:r>
        <w:t xml:space="preserve"> </w:t>
      </w:r>
      <w:r>
        <w:fldChar w:fldCharType="begin"/>
      </w:r>
      <w:r>
        <w:instrText>PAGEREF section_8e9fc0381cf24482b0cc8d2158d56d9e</w:instrText>
      </w:r>
      <w:r>
        <w:fldChar w:fldCharType="separate"/>
      </w:r>
      <w:r>
        <w:rPr>
          <w:noProof/>
        </w:rPr>
        <w:t>614</w:t>
      </w:r>
      <w:r>
        <w:fldChar w:fldCharType="end"/>
      </w:r>
    </w:p>
    <w:p w:rsidR="005F78FC" w:rsidRDefault="00B42EF3">
      <w:pPr>
        <w:pStyle w:val="indexentry0"/>
      </w:pPr>
      <w:hyperlink w:anchor="section_5869560232ea4f2baca18c805192d742">
        <w:r>
          <w:rPr>
            <w:rStyle w:val="Hyperlink"/>
          </w:rPr>
          <w:t>date (Date Structured Document Tag)</w:t>
        </w:r>
      </w:hyperlink>
      <w:r>
        <w:t xml:space="preserve"> </w:t>
      </w:r>
      <w:r>
        <w:fldChar w:fldCharType="begin"/>
      </w:r>
      <w:r>
        <w:instrText>PAGEREF section_5869560232</w:instrText>
      </w:r>
      <w:r>
        <w:instrText>ea4f2baca18c805192d742</w:instrText>
      </w:r>
      <w:r>
        <w:fldChar w:fldCharType="separate"/>
      </w:r>
      <w:r>
        <w:rPr>
          <w:noProof/>
        </w:rPr>
        <w:t>100</w:t>
      </w:r>
      <w:r>
        <w:fldChar w:fldCharType="end"/>
      </w:r>
    </w:p>
    <w:p w:rsidR="005F78FC" w:rsidRDefault="00B42EF3">
      <w:pPr>
        <w:pStyle w:val="indexentry0"/>
      </w:pPr>
      <w:hyperlink w:anchor="section_b4bc44db20704cee8793f96817dd4985">
        <w:r>
          <w:rPr>
            <w:rStyle w:val="Hyperlink"/>
          </w:rPr>
          <w:t>Date and time formatting</w:t>
        </w:r>
      </w:hyperlink>
      <w:r>
        <w:t xml:space="preserve"> </w:t>
      </w:r>
      <w:r>
        <w:fldChar w:fldCharType="begin"/>
      </w:r>
      <w:r>
        <w:instrText>PAGEREF section_b4bc44db20704cee8793f96817dd4985</w:instrText>
      </w:r>
      <w:r>
        <w:fldChar w:fldCharType="separate"/>
      </w:r>
      <w:r>
        <w:rPr>
          <w:noProof/>
        </w:rPr>
        <w:t>169</w:t>
      </w:r>
      <w:r>
        <w:fldChar w:fldCharType="end"/>
      </w:r>
    </w:p>
    <w:p w:rsidR="005F78FC" w:rsidRDefault="00B42EF3">
      <w:pPr>
        <w:pStyle w:val="indexentry0"/>
      </w:pPr>
      <w:hyperlink w:anchor="section_6ef956354ff54794a80e60decf3acac7">
        <w:r>
          <w:rPr>
            <w:rStyle w:val="Hyperlink"/>
          </w:rPr>
          <w:t>dateAx (Date Axis)</w:t>
        </w:r>
      </w:hyperlink>
      <w:r>
        <w:t xml:space="preserve"> </w:t>
      </w:r>
      <w:r>
        <w:fldChar w:fldCharType="begin"/>
      </w:r>
      <w:r>
        <w:instrText xml:space="preserve">PAGEREF </w:instrText>
      </w:r>
      <w:r>
        <w:instrText>section_6ef956354ff54794a80e60decf3acac7</w:instrText>
      </w:r>
      <w:r>
        <w:fldChar w:fldCharType="separate"/>
      </w:r>
      <w:r>
        <w:rPr>
          <w:noProof/>
        </w:rPr>
        <w:t>550</w:t>
      </w:r>
      <w:r>
        <w:fldChar w:fldCharType="end"/>
      </w:r>
    </w:p>
    <w:p w:rsidR="005F78FC" w:rsidRDefault="00B42EF3">
      <w:pPr>
        <w:pStyle w:val="indexentry0"/>
      </w:pPr>
      <w:hyperlink w:anchor="section_94154f47b251489fbe160bbf4bd183dd">
        <w:r>
          <w:rPr>
            <w:rStyle w:val="Hyperlink"/>
          </w:rPr>
          <w:t>dateGroupItem (Date Grouping)</w:t>
        </w:r>
      </w:hyperlink>
      <w:r>
        <w:t xml:space="preserve"> </w:t>
      </w:r>
      <w:r>
        <w:fldChar w:fldCharType="begin"/>
      </w:r>
      <w:r>
        <w:instrText>PAGEREF section_94154f47b251489fbe160bbf4bd183dd</w:instrText>
      </w:r>
      <w:r>
        <w:fldChar w:fldCharType="separate"/>
      </w:r>
      <w:r>
        <w:rPr>
          <w:noProof/>
        </w:rPr>
        <w:t>291</w:t>
      </w:r>
      <w:r>
        <w:fldChar w:fldCharType="end"/>
      </w:r>
    </w:p>
    <w:p w:rsidR="005F78FC" w:rsidRDefault="00B42EF3">
      <w:pPr>
        <w:pStyle w:val="indexentry0"/>
      </w:pPr>
      <w:hyperlink w:anchor="section_d7d842ece9424a95933c7f514858422e">
        <w:r>
          <w:rPr>
            <w:rStyle w:val="Hyperlink"/>
          </w:rPr>
          <w:t>DATEVALUE</w:t>
        </w:r>
      </w:hyperlink>
      <w:r>
        <w:t xml:space="preserve"> </w:t>
      </w:r>
      <w:r>
        <w:fldChar w:fldCharType="begin"/>
      </w:r>
      <w:r>
        <w:instrText>PAGEREF section_d7d842ece9424a95933c7f514858422e</w:instrText>
      </w:r>
      <w:r>
        <w:fldChar w:fldCharType="separate"/>
      </w:r>
      <w:r>
        <w:rPr>
          <w:noProof/>
        </w:rPr>
        <w:t>418</w:t>
      </w:r>
      <w:r>
        <w:fldChar w:fldCharType="end"/>
      </w:r>
    </w:p>
    <w:p w:rsidR="005F78FC" w:rsidRDefault="00B42EF3">
      <w:pPr>
        <w:pStyle w:val="indexentry0"/>
      </w:pPr>
      <w:hyperlink w:anchor="section_772b35329d4d4cc999f47fc8e6f7cbee">
        <w:r>
          <w:rPr>
            <w:rStyle w:val="Hyperlink"/>
          </w:rPr>
          <w:t>DAVERAGE</w:t>
        </w:r>
      </w:hyperlink>
      <w:r>
        <w:t xml:space="preserve"> </w:t>
      </w:r>
      <w:r>
        <w:fldChar w:fldCharType="begin"/>
      </w:r>
      <w:r>
        <w:instrText>PAGEREF section_772b35329d4d4cc999f47fc8e6f7cbee</w:instrText>
      </w:r>
      <w:r>
        <w:fldChar w:fldCharType="separate"/>
      </w:r>
      <w:r>
        <w:rPr>
          <w:noProof/>
        </w:rPr>
        <w:t>419</w:t>
      </w:r>
      <w:r>
        <w:fldChar w:fldCharType="end"/>
      </w:r>
    </w:p>
    <w:p w:rsidR="005F78FC" w:rsidRDefault="00B42EF3">
      <w:pPr>
        <w:pStyle w:val="indexentry0"/>
      </w:pPr>
      <w:hyperlink w:anchor="section_0a57025c61144f1fab1e82504edb7859">
        <w:r>
          <w:rPr>
            <w:rStyle w:val="Hyperlink"/>
          </w:rPr>
          <w:t>DAY</w:t>
        </w:r>
      </w:hyperlink>
      <w:r>
        <w:t xml:space="preserve"> </w:t>
      </w:r>
      <w:r>
        <w:fldChar w:fldCharType="begin"/>
      </w:r>
      <w:r>
        <w:instrText>P</w:instrText>
      </w:r>
      <w:r>
        <w:instrText>AGEREF section_0a57025c61144f1fab1e82504edb7859</w:instrText>
      </w:r>
      <w:r>
        <w:fldChar w:fldCharType="separate"/>
      </w:r>
      <w:r>
        <w:rPr>
          <w:noProof/>
        </w:rPr>
        <w:t>419</w:t>
      </w:r>
      <w:r>
        <w:fldChar w:fldCharType="end"/>
      </w:r>
    </w:p>
    <w:p w:rsidR="005F78FC" w:rsidRDefault="00B42EF3">
      <w:pPr>
        <w:pStyle w:val="indexentry0"/>
      </w:pPr>
      <w:hyperlink w:anchor="section_1eeeff014a644d04909fa65156b0a515">
        <w:r>
          <w:rPr>
            <w:rStyle w:val="Hyperlink"/>
          </w:rPr>
          <w:t>DAYS360</w:t>
        </w:r>
      </w:hyperlink>
      <w:r>
        <w:t xml:space="preserve"> </w:t>
      </w:r>
      <w:r>
        <w:fldChar w:fldCharType="begin"/>
      </w:r>
      <w:r>
        <w:instrText>PAGEREF section_1eeeff014a644d04909fa65156b0a515</w:instrText>
      </w:r>
      <w:r>
        <w:fldChar w:fldCharType="separate"/>
      </w:r>
      <w:r>
        <w:rPr>
          <w:noProof/>
        </w:rPr>
        <w:t>419</w:t>
      </w:r>
      <w:r>
        <w:fldChar w:fldCharType="end"/>
      </w:r>
    </w:p>
    <w:p w:rsidR="005F78FC" w:rsidRDefault="00B42EF3">
      <w:pPr>
        <w:pStyle w:val="indexentry0"/>
      </w:pPr>
      <w:hyperlink w:anchor="section_7600adb286b144e9afc75ff91d70a281">
        <w:r>
          <w:rPr>
            <w:rStyle w:val="Hyperlink"/>
          </w:rPr>
          <w:t>DB</w:t>
        </w:r>
      </w:hyperlink>
      <w:r>
        <w:t xml:space="preserve"> </w:t>
      </w:r>
      <w:r>
        <w:fldChar w:fldCharType="begin"/>
      </w:r>
      <w:r>
        <w:instrText>PAGEREF section_</w:instrText>
      </w:r>
      <w:r>
        <w:instrText>7600adb286b144e9afc75ff91d70a281</w:instrText>
      </w:r>
      <w:r>
        <w:fldChar w:fldCharType="separate"/>
      </w:r>
      <w:r>
        <w:rPr>
          <w:noProof/>
        </w:rPr>
        <w:t>419</w:t>
      </w:r>
      <w:r>
        <w:fldChar w:fldCharType="end"/>
      </w:r>
    </w:p>
    <w:p w:rsidR="005F78FC" w:rsidRDefault="00B42EF3">
      <w:pPr>
        <w:pStyle w:val="indexentry0"/>
      </w:pPr>
      <w:hyperlink w:anchor="section_200d01b9e9474e61a6551aae98327daa">
        <w:r>
          <w:rPr>
            <w:rStyle w:val="Hyperlink"/>
          </w:rPr>
          <w:t>dbPr (Database Properties)</w:t>
        </w:r>
      </w:hyperlink>
      <w:r>
        <w:t xml:space="preserve"> </w:t>
      </w:r>
      <w:r>
        <w:fldChar w:fldCharType="begin"/>
      </w:r>
      <w:r>
        <w:instrText>PAGEREF section_200d01b9e9474e61a6551aae98327daa</w:instrText>
      </w:r>
      <w:r>
        <w:fldChar w:fldCharType="separate"/>
      </w:r>
      <w:r>
        <w:rPr>
          <w:noProof/>
        </w:rPr>
        <w:t>380</w:t>
      </w:r>
      <w:r>
        <w:fldChar w:fldCharType="end"/>
      </w:r>
    </w:p>
    <w:p w:rsidR="005F78FC" w:rsidRDefault="00B42EF3">
      <w:pPr>
        <w:pStyle w:val="indexentry0"/>
      </w:pPr>
      <w:hyperlink w:anchor="section_49ad2a8386a24125a4b94c7feef6a0ba">
        <w:r>
          <w:rPr>
            <w:rStyle w:val="Hyperlink"/>
          </w:rPr>
          <w:t>DCOUNT</w:t>
        </w:r>
      </w:hyperlink>
      <w:r>
        <w:t xml:space="preserve"> </w:t>
      </w:r>
      <w:r>
        <w:fldChar w:fldCharType="begin"/>
      </w:r>
      <w:r>
        <w:instrText xml:space="preserve">PAGEREF </w:instrText>
      </w:r>
      <w:r>
        <w:instrText>section_49ad2a8386a24125a4b94c7feef6a0ba</w:instrText>
      </w:r>
      <w:r>
        <w:fldChar w:fldCharType="separate"/>
      </w:r>
      <w:r>
        <w:rPr>
          <w:noProof/>
        </w:rPr>
        <w:t>419</w:t>
      </w:r>
      <w:r>
        <w:fldChar w:fldCharType="end"/>
      </w:r>
    </w:p>
    <w:p w:rsidR="005F78FC" w:rsidRDefault="00B42EF3">
      <w:pPr>
        <w:pStyle w:val="indexentry0"/>
      </w:pPr>
      <w:hyperlink w:anchor="section_9d863f40e03744bf958bdc158baf3397">
        <w:r>
          <w:rPr>
            <w:rStyle w:val="Hyperlink"/>
          </w:rPr>
          <w:t>DCOUNTA</w:t>
        </w:r>
      </w:hyperlink>
      <w:r>
        <w:t xml:space="preserve"> </w:t>
      </w:r>
      <w:r>
        <w:fldChar w:fldCharType="begin"/>
      </w:r>
      <w:r>
        <w:instrText>PAGEREF section_9d863f40e03744bf958bdc158baf3397</w:instrText>
      </w:r>
      <w:r>
        <w:fldChar w:fldCharType="separate"/>
      </w:r>
      <w:r>
        <w:rPr>
          <w:noProof/>
        </w:rPr>
        <w:t>419</w:t>
      </w:r>
      <w:r>
        <w:fldChar w:fldCharType="end"/>
      </w:r>
    </w:p>
    <w:p w:rsidR="005F78FC" w:rsidRDefault="00B42EF3">
      <w:pPr>
        <w:pStyle w:val="indexentry0"/>
      </w:pPr>
      <w:hyperlink w:anchor="section_23d8e559f4544723822a8e219ab9992e">
        <w:r>
          <w:rPr>
            <w:rStyle w:val="Hyperlink"/>
          </w:rPr>
          <w:t>DDB</w:t>
        </w:r>
      </w:hyperlink>
      <w:r>
        <w:t xml:space="preserve"> </w:t>
      </w:r>
      <w:r>
        <w:fldChar w:fldCharType="begin"/>
      </w:r>
      <w:r>
        <w:instrText>PAGEREF section_23d8e5</w:instrText>
      </w:r>
      <w:r>
        <w:instrText>59f4544723822a8e219ab9992e</w:instrText>
      </w:r>
      <w:r>
        <w:fldChar w:fldCharType="separate"/>
      </w:r>
      <w:r>
        <w:rPr>
          <w:noProof/>
        </w:rPr>
        <w:t>420</w:t>
      </w:r>
      <w:r>
        <w:fldChar w:fldCharType="end"/>
      </w:r>
    </w:p>
    <w:p w:rsidR="005F78FC" w:rsidRDefault="00B42EF3">
      <w:pPr>
        <w:pStyle w:val="indexentry0"/>
      </w:pPr>
      <w:hyperlink w:anchor="section_a2c3a25a1dba40dabe7a47cf63c78d55">
        <w:r>
          <w:rPr>
            <w:rStyle w:val="Hyperlink"/>
          </w:rPr>
          <w:t>DDE</w:t>
        </w:r>
      </w:hyperlink>
      <w:r>
        <w:t xml:space="preserve"> </w:t>
      </w:r>
      <w:r>
        <w:fldChar w:fldCharType="begin"/>
      </w:r>
      <w:r>
        <w:instrText>PAGEREF section_a2c3a25a1dba40dabe7a47cf63c78d55</w:instrText>
      </w:r>
      <w:r>
        <w:fldChar w:fldCharType="separate"/>
      </w:r>
      <w:r>
        <w:rPr>
          <w:noProof/>
        </w:rPr>
        <w:t>816</w:t>
      </w:r>
      <w:r>
        <w:fldChar w:fldCharType="end"/>
      </w:r>
    </w:p>
    <w:p w:rsidR="005F78FC" w:rsidRDefault="00B42EF3">
      <w:pPr>
        <w:pStyle w:val="indexentry0"/>
      </w:pPr>
      <w:hyperlink w:anchor="section_073d7aaad7674a96b4b2761737225ec1">
        <w:r>
          <w:rPr>
            <w:rStyle w:val="Hyperlink"/>
          </w:rPr>
          <w:t>DDE (Dynamic Data Exchange)</w:t>
        </w:r>
      </w:hyperlink>
      <w:r>
        <w:t xml:space="preserve"> </w:t>
      </w:r>
      <w:r>
        <w:fldChar w:fldCharType="begin"/>
      </w:r>
      <w:r>
        <w:instrText>PAGEREF section_073d7aaad7674a96b4b2761737225ec1</w:instrText>
      </w:r>
      <w:r>
        <w:fldChar w:fldCharType="separate"/>
      </w:r>
      <w:r>
        <w:rPr>
          <w:noProof/>
        </w:rPr>
        <w:t>680</w:t>
      </w:r>
      <w:r>
        <w:fldChar w:fldCharType="end"/>
      </w:r>
    </w:p>
    <w:p w:rsidR="005F78FC" w:rsidRDefault="00B42EF3">
      <w:pPr>
        <w:pStyle w:val="indexentry0"/>
      </w:pPr>
      <w:hyperlink w:anchor="section_4fe6d033f0d44d73ac81a7128522c5ff">
        <w:r>
          <w:rPr>
            <w:rStyle w:val="Hyperlink"/>
          </w:rPr>
          <w:t>DDEAUTO</w:t>
        </w:r>
      </w:hyperlink>
      <w:r>
        <w:t xml:space="preserve"> </w:t>
      </w:r>
      <w:r>
        <w:fldChar w:fldCharType="begin"/>
      </w:r>
      <w:r>
        <w:instrText>PAGEREF section_4fe6d033f0d44d73ac81a7128522c5ff</w:instrText>
      </w:r>
      <w:r>
        <w:fldChar w:fldCharType="separate"/>
      </w:r>
      <w:r>
        <w:rPr>
          <w:noProof/>
        </w:rPr>
        <w:t>817</w:t>
      </w:r>
      <w:r>
        <w:fldChar w:fldCharType="end"/>
      </w:r>
    </w:p>
    <w:p w:rsidR="005F78FC" w:rsidRDefault="00B42EF3">
      <w:pPr>
        <w:pStyle w:val="indexentry0"/>
      </w:pPr>
      <w:hyperlink w:anchor="section_3de0d6c7878a401d996a9620685ac333">
        <w:r>
          <w:rPr>
            <w:rStyle w:val="Hyperlink"/>
          </w:rPr>
          <w:t>ddeItem (DDE Item de</w:t>
        </w:r>
        <w:r>
          <w:rPr>
            <w:rStyle w:val="Hyperlink"/>
          </w:rPr>
          <w:t>finition)</w:t>
        </w:r>
      </w:hyperlink>
      <w:r>
        <w:t xml:space="preserve"> </w:t>
      </w:r>
      <w:r>
        <w:fldChar w:fldCharType="begin"/>
      </w:r>
      <w:r>
        <w:instrText>PAGEREF section_3de0d6c7878a401d996a9620685ac333</w:instrText>
      </w:r>
      <w:r>
        <w:fldChar w:fldCharType="separate"/>
      </w:r>
      <w:r>
        <w:rPr>
          <w:noProof/>
        </w:rPr>
        <w:t>383</w:t>
      </w:r>
      <w:r>
        <w:fldChar w:fldCharType="end"/>
      </w:r>
    </w:p>
    <w:p w:rsidR="005F78FC" w:rsidRDefault="00B42EF3">
      <w:pPr>
        <w:pStyle w:val="indexentry0"/>
      </w:pPr>
      <w:hyperlink w:anchor="section_9d35fcee49904fa78953e6a3ea450dd8">
        <w:r>
          <w:rPr>
            <w:rStyle w:val="Hyperlink"/>
          </w:rPr>
          <w:t>ddeLink (DDE Connection)</w:t>
        </w:r>
      </w:hyperlink>
      <w:r>
        <w:t xml:space="preserve"> </w:t>
      </w:r>
      <w:r>
        <w:fldChar w:fldCharType="begin"/>
      </w:r>
      <w:r>
        <w:instrText>PAGEREF section_9d35fcee49904fa78953e6a3ea450dd8</w:instrText>
      </w:r>
      <w:r>
        <w:fldChar w:fldCharType="separate"/>
      </w:r>
      <w:r>
        <w:rPr>
          <w:noProof/>
        </w:rPr>
        <w:t>383</w:t>
      </w:r>
      <w:r>
        <w:fldChar w:fldCharType="end"/>
      </w:r>
    </w:p>
    <w:p w:rsidR="005F78FC" w:rsidRDefault="00B42EF3">
      <w:pPr>
        <w:pStyle w:val="indexentry0"/>
      </w:pPr>
      <w:hyperlink w:anchor="section_91ca872a6a9444138c1471025fb0a08a">
        <w:r>
          <w:rPr>
            <w:rStyle w:val="Hyperlink"/>
          </w:rPr>
          <w:t>ddList (Drop-Down List Form Field Properties)</w:t>
        </w:r>
      </w:hyperlink>
      <w:r>
        <w:t xml:space="preserve"> </w:t>
      </w:r>
      <w:r>
        <w:fldChar w:fldCharType="begin"/>
      </w:r>
      <w:r>
        <w:instrText>PAGEREF section_91ca872a6a9444138c1471025fb0a08a</w:instrText>
      </w:r>
      <w:r>
        <w:fldChar w:fldCharType="separate"/>
      </w:r>
      <w:r>
        <w:rPr>
          <w:noProof/>
        </w:rPr>
        <w:t>228</w:t>
      </w:r>
      <w:r>
        <w:fldChar w:fldCharType="end"/>
      </w:r>
    </w:p>
    <w:p w:rsidR="005F78FC" w:rsidRDefault="00B42EF3">
      <w:pPr>
        <w:pStyle w:val="indexentry0"/>
      </w:pPr>
      <w:hyperlink w:anchor="section_7cfe0e73dd0844b981fdc615f73ce6af">
        <w:r>
          <w:rPr>
            <w:rStyle w:val="Hyperlink"/>
          </w:rPr>
          <w:t>DEC2BIN</w:t>
        </w:r>
      </w:hyperlink>
      <w:r>
        <w:t xml:space="preserve"> </w:t>
      </w:r>
      <w:r>
        <w:fldChar w:fldCharType="begin"/>
      </w:r>
      <w:r>
        <w:instrText>PAGEREF section_7cfe0e73dd0844b981fdc615f73ce6af</w:instrText>
      </w:r>
      <w:r>
        <w:fldChar w:fldCharType="separate"/>
      </w:r>
      <w:r>
        <w:rPr>
          <w:noProof/>
        </w:rPr>
        <w:t>420</w:t>
      </w:r>
      <w:r>
        <w:fldChar w:fldCharType="end"/>
      </w:r>
    </w:p>
    <w:p w:rsidR="005F78FC" w:rsidRDefault="00B42EF3">
      <w:pPr>
        <w:pStyle w:val="indexentry0"/>
      </w:pPr>
      <w:hyperlink w:anchor="section_bc120263421b490faae7da0c6026ca7a">
        <w:r>
          <w:rPr>
            <w:rStyle w:val="Hyperlink"/>
          </w:rPr>
          <w:t>DEC2HEX</w:t>
        </w:r>
      </w:hyperlink>
      <w:r>
        <w:t xml:space="preserve"> </w:t>
      </w:r>
      <w:r>
        <w:fldChar w:fldCharType="begin"/>
      </w:r>
      <w:r>
        <w:instrText>PAGEREF section_bc120263421b490faae7da0c6026ca7a</w:instrText>
      </w:r>
      <w:r>
        <w:fldChar w:fldCharType="separate"/>
      </w:r>
      <w:r>
        <w:rPr>
          <w:noProof/>
        </w:rPr>
        <w:t>420</w:t>
      </w:r>
      <w:r>
        <w:fldChar w:fldCharType="end"/>
      </w:r>
    </w:p>
    <w:p w:rsidR="005F78FC" w:rsidRDefault="00B42EF3">
      <w:pPr>
        <w:pStyle w:val="indexentry0"/>
      </w:pPr>
      <w:hyperlink w:anchor="section_7556f95cd5e84ceca3354ace0aa5ef09">
        <w:r>
          <w:rPr>
            <w:rStyle w:val="Hyperlink"/>
          </w:rPr>
          <w:t>DEC2OCT</w:t>
        </w:r>
      </w:hyperlink>
      <w:r>
        <w:t xml:space="preserve"> </w:t>
      </w:r>
      <w:r>
        <w:fldChar w:fldCharType="begin"/>
      </w:r>
      <w:r>
        <w:instrText>PAGEREF section_7556f95cd5e84ceca3354ace0aa5ef09</w:instrText>
      </w:r>
      <w:r>
        <w:fldChar w:fldCharType="separate"/>
      </w:r>
      <w:r>
        <w:rPr>
          <w:noProof/>
        </w:rPr>
        <w:t>420</w:t>
      </w:r>
      <w:r>
        <w:fldChar w:fldCharType="end"/>
      </w:r>
    </w:p>
    <w:p w:rsidR="005F78FC" w:rsidRDefault="00B42EF3">
      <w:pPr>
        <w:pStyle w:val="indexentry0"/>
      </w:pPr>
      <w:hyperlink w:anchor="section_fdae3e41bf9549de8c194dfc98f3ddf4">
        <w:r>
          <w:rPr>
            <w:rStyle w:val="Hyperlink"/>
          </w:rPr>
          <w:t>decimalSymbol (Radix Point for Field Code Evaluation)</w:t>
        </w:r>
      </w:hyperlink>
      <w:r>
        <w:t xml:space="preserve"> </w:t>
      </w:r>
      <w:r>
        <w:fldChar w:fldCharType="begin"/>
      </w:r>
      <w:r>
        <w:instrText>PAGEREF section_fdae3e41bf9549de8c194dfc98f3ddf4</w:instrText>
      </w:r>
      <w:r>
        <w:fldChar w:fldCharType="separate"/>
      </w:r>
      <w:r>
        <w:rPr>
          <w:noProof/>
        </w:rPr>
        <w:t>154</w:t>
      </w:r>
      <w:r>
        <w:fldChar w:fldCharType="end"/>
      </w:r>
    </w:p>
    <w:p w:rsidR="005F78FC" w:rsidRDefault="00B42EF3">
      <w:pPr>
        <w:pStyle w:val="indexentry0"/>
      </w:pPr>
      <w:hyperlink w:anchor="section_f18e21fcb8d848a383b9c369bb3880b6">
        <w:r>
          <w:rPr>
            <w:rStyle w:val="Hyperlink"/>
          </w:rPr>
          <w:t>default (Default Checkbox Form Field State)</w:t>
        </w:r>
      </w:hyperlink>
      <w:r>
        <w:t xml:space="preserve"> </w:t>
      </w:r>
      <w:r>
        <w:fldChar w:fldCharType="begin"/>
      </w:r>
      <w:r>
        <w:instrText>PAGEREF sectio</w:instrText>
      </w:r>
      <w:r>
        <w:instrText>n_f18e21fcb8d848a383b9c369bb3880b6</w:instrText>
      </w:r>
      <w:r>
        <w:fldChar w:fldCharType="separate"/>
      </w:r>
      <w:r>
        <w:rPr>
          <w:noProof/>
        </w:rPr>
        <w:t>228</w:t>
      </w:r>
      <w:r>
        <w:fldChar w:fldCharType="end"/>
      </w:r>
    </w:p>
    <w:p w:rsidR="005F78FC" w:rsidRDefault="00B42EF3">
      <w:pPr>
        <w:pStyle w:val="indexentry0"/>
      </w:pPr>
      <w:hyperlink w:anchor="section_7d6df51b2b874d34b9e2d8943ea6e2b4">
        <w:r>
          <w:rPr>
            <w:rStyle w:val="Hyperlink"/>
          </w:rPr>
          <w:t>default (Default Drop-Down List Item Index)</w:t>
        </w:r>
      </w:hyperlink>
      <w:r>
        <w:t xml:space="preserve"> </w:t>
      </w:r>
      <w:r>
        <w:fldChar w:fldCharType="begin"/>
      </w:r>
      <w:r>
        <w:instrText>PAGEREF section_7d6df51b2b874d34b9e2d8943ea6e2b4</w:instrText>
      </w:r>
      <w:r>
        <w:fldChar w:fldCharType="separate"/>
      </w:r>
      <w:r>
        <w:rPr>
          <w:noProof/>
        </w:rPr>
        <w:t>228</w:t>
      </w:r>
      <w:r>
        <w:fldChar w:fldCharType="end"/>
      </w:r>
    </w:p>
    <w:p w:rsidR="005F78FC" w:rsidRDefault="00B42EF3">
      <w:pPr>
        <w:pStyle w:val="indexentry0"/>
      </w:pPr>
      <w:hyperlink w:anchor="section_26de22b70cc44053bdea8cc6c6543413">
        <w:r>
          <w:rPr>
            <w:rStyle w:val="Hyperlink"/>
          </w:rPr>
          <w:t>default (Default Text Box Form Field String)</w:t>
        </w:r>
      </w:hyperlink>
      <w:r>
        <w:t xml:space="preserve"> </w:t>
      </w:r>
      <w:r>
        <w:fldChar w:fldCharType="begin"/>
      </w:r>
      <w:r>
        <w:instrText>PAGEREF section_26de22b70cc44053bdea8cc6c6543413</w:instrText>
      </w:r>
      <w:r>
        <w:fldChar w:fldCharType="separate"/>
      </w:r>
      <w:r>
        <w:rPr>
          <w:noProof/>
        </w:rPr>
        <w:t>228</w:t>
      </w:r>
      <w:r>
        <w:fldChar w:fldCharType="end"/>
      </w:r>
    </w:p>
    <w:p w:rsidR="005F78FC" w:rsidRDefault="00B42EF3">
      <w:pPr>
        <w:pStyle w:val="indexentry0"/>
      </w:pPr>
      <w:hyperlink w:anchor="section_38b8d62c52f54927aba536320bff74e8">
        <w:r>
          <w:rPr>
            <w:rStyle w:val="Hyperlink"/>
          </w:rPr>
          <w:t>defaultPropertyEditorNamespace (Def</w:t>
        </w:r>
        <w:r>
          <w:rPr>
            <w:rStyle w:val="Hyperlink"/>
          </w:rPr>
          <w:t>ault Namespace)</w:t>
        </w:r>
      </w:hyperlink>
      <w:r>
        <w:t xml:space="preserve"> </w:t>
      </w:r>
      <w:r>
        <w:fldChar w:fldCharType="begin"/>
      </w:r>
      <w:r>
        <w:instrText>PAGEREF section_38b8d62c52f54927aba536320bff74e8</w:instrText>
      </w:r>
      <w:r>
        <w:fldChar w:fldCharType="separate"/>
      </w:r>
      <w:r>
        <w:rPr>
          <w:noProof/>
        </w:rPr>
        <w:t>874</w:t>
      </w:r>
      <w:r>
        <w:fldChar w:fldCharType="end"/>
      </w:r>
    </w:p>
    <w:p w:rsidR="005F78FC" w:rsidRDefault="00B42EF3">
      <w:pPr>
        <w:pStyle w:val="indexentry0"/>
      </w:pPr>
      <w:hyperlink w:anchor="section_ce3122b7a1ad43e2a271f8e7fac1ae5f">
        <w:r>
          <w:rPr>
            <w:rStyle w:val="Hyperlink"/>
          </w:rPr>
          <w:t>DefaultSize (Default Size Toggle)</w:t>
        </w:r>
      </w:hyperlink>
      <w:r>
        <w:t xml:space="preserve"> </w:t>
      </w:r>
      <w:r>
        <w:fldChar w:fldCharType="begin"/>
      </w:r>
      <w:r>
        <w:instrText>PAGEREF section_ce3122b7a1ad43e2a271f8e7fac1ae5f</w:instrText>
      </w:r>
      <w:r>
        <w:fldChar w:fldCharType="separate"/>
      </w:r>
      <w:r>
        <w:rPr>
          <w:noProof/>
        </w:rPr>
        <w:t>680</w:t>
      </w:r>
      <w:r>
        <w:fldChar w:fldCharType="end"/>
      </w:r>
    </w:p>
    <w:p w:rsidR="005F78FC" w:rsidRDefault="00B42EF3">
      <w:pPr>
        <w:pStyle w:val="indexentry0"/>
      </w:pPr>
      <w:hyperlink w:anchor="section_fd6deb8c493a454fb4eb266ce809595a">
        <w:r>
          <w:rPr>
            <w:rStyle w:val="Hyperlink"/>
          </w:rPr>
          <w:t>defaultTableStyle (Default Table Style for Newly Inserted Tables)</w:t>
        </w:r>
      </w:hyperlink>
      <w:r>
        <w:t xml:space="preserve"> </w:t>
      </w:r>
      <w:r>
        <w:fldChar w:fldCharType="begin"/>
      </w:r>
      <w:r>
        <w:instrText>PAGEREF section_fd6deb8c493a454fb4eb266ce809595a</w:instrText>
      </w:r>
      <w:r>
        <w:fldChar w:fldCharType="separate"/>
      </w:r>
      <w:r>
        <w:rPr>
          <w:noProof/>
        </w:rPr>
        <w:t>154</w:t>
      </w:r>
      <w:r>
        <w:fldChar w:fldCharType="end"/>
      </w:r>
    </w:p>
    <w:p w:rsidR="005F78FC" w:rsidRDefault="00B42EF3">
      <w:pPr>
        <w:pStyle w:val="indexentry0"/>
      </w:pPr>
      <w:hyperlink w:anchor="section_d09bfc71d0d249729275bc0edf849558">
        <w:r>
          <w:rPr>
            <w:rStyle w:val="Hyperlink"/>
          </w:rPr>
          <w:t>defaultTabStop (Distance Between Automatic Tab Stop</w:t>
        </w:r>
        <w:r>
          <w:rPr>
            <w:rStyle w:val="Hyperlink"/>
          </w:rPr>
          <w:t>s)</w:t>
        </w:r>
      </w:hyperlink>
      <w:r>
        <w:t xml:space="preserve"> </w:t>
      </w:r>
      <w:r>
        <w:fldChar w:fldCharType="begin"/>
      </w:r>
      <w:r>
        <w:instrText>PAGEREF section_d09bfc71d0d249729275bc0edf849558</w:instrText>
      </w:r>
      <w:r>
        <w:fldChar w:fldCharType="separate"/>
      </w:r>
      <w:r>
        <w:rPr>
          <w:noProof/>
        </w:rPr>
        <w:t>154</w:t>
      </w:r>
      <w:r>
        <w:fldChar w:fldCharType="end"/>
      </w:r>
    </w:p>
    <w:p w:rsidR="005F78FC" w:rsidRDefault="00B42EF3">
      <w:pPr>
        <w:pStyle w:val="indexentry0"/>
      </w:pPr>
      <w:r>
        <w:t>definedName (Defined Name) (</w:t>
      </w:r>
      <w:hyperlink w:anchor="section_16c3c118f358493da99f4c85ca834c00">
        <w:r>
          <w:rPr>
            <w:rStyle w:val="Hyperlink"/>
          </w:rPr>
          <w:t>section 2.1.567</w:t>
        </w:r>
      </w:hyperlink>
      <w:r>
        <w:t xml:space="preserve"> </w:t>
      </w:r>
      <w:r>
        <w:fldChar w:fldCharType="begin"/>
      </w:r>
      <w:r>
        <w:instrText>PAGEREF section_16c3c118f358493da99f4c85ca834c00</w:instrText>
      </w:r>
      <w:r>
        <w:fldChar w:fldCharType="separate"/>
      </w:r>
      <w:r>
        <w:rPr>
          <w:noProof/>
        </w:rPr>
        <w:t>241</w:t>
      </w:r>
      <w:r>
        <w:fldChar w:fldCharType="end"/>
      </w:r>
      <w:r>
        <w:t xml:space="preserve">, </w:t>
      </w:r>
      <w:hyperlink w:anchor="section_74770f15dc8b4cc0bf1a4fbcefdee941">
        <w:r>
          <w:rPr>
            <w:rStyle w:val="Hyperlink"/>
          </w:rPr>
          <w:t>section 2.1.840</w:t>
        </w:r>
      </w:hyperlink>
      <w:r>
        <w:t xml:space="preserve"> </w:t>
      </w:r>
      <w:r>
        <w:fldChar w:fldCharType="begin"/>
      </w:r>
      <w:r>
        <w:instrText>PAGEREF section_74770f15dc8b4cc0bf1a4fbcefdee941</w:instrText>
      </w:r>
      <w:r>
        <w:fldChar w:fldCharType="separate"/>
      </w:r>
      <w:r>
        <w:rPr>
          <w:noProof/>
        </w:rPr>
        <w:t>383</w:t>
      </w:r>
      <w:r>
        <w:fldChar w:fldCharType="end"/>
      </w:r>
      <w:r>
        <w:t>)</w:t>
      </w:r>
    </w:p>
    <w:p w:rsidR="005F78FC" w:rsidRDefault="00B42EF3">
      <w:pPr>
        <w:pStyle w:val="indexentry0"/>
      </w:pPr>
      <w:hyperlink w:anchor="section_1aea93a7b20844b2a2e583dc2b635b41">
        <w:r>
          <w:rPr>
            <w:rStyle w:val="Hyperlink"/>
          </w:rPr>
          <w:t>definedNames (Defined Names)</w:t>
        </w:r>
      </w:hyperlink>
      <w:r>
        <w:t xml:space="preserve"> </w:t>
      </w:r>
      <w:r>
        <w:fldChar w:fldCharType="begin"/>
      </w:r>
      <w:r>
        <w:instrText>PAGEREF section_1aea93a7b20844b2a2e583dc2b635b41</w:instrText>
      </w:r>
      <w:r>
        <w:fldChar w:fldCharType="separate"/>
      </w:r>
      <w:r>
        <w:rPr>
          <w:noProof/>
        </w:rPr>
        <w:t>243</w:t>
      </w:r>
      <w:r>
        <w:fldChar w:fldCharType="end"/>
      </w:r>
    </w:p>
    <w:p w:rsidR="005F78FC" w:rsidRDefault="00B42EF3">
      <w:pPr>
        <w:pStyle w:val="indexentry0"/>
      </w:pPr>
      <w:hyperlink w:anchor="section_947f769620974abcb24160d3b70c0911">
        <w:r>
          <w:rPr>
            <w:rStyle w:val="Hyperlink"/>
          </w:rPr>
          <w:t>defJc (Default Justification)</w:t>
        </w:r>
      </w:hyperlink>
      <w:r>
        <w:t xml:space="preserve"> </w:t>
      </w:r>
      <w:r>
        <w:fldChar w:fldCharType="begin"/>
      </w:r>
      <w:r>
        <w:instrText>PAGEREF section_947f769620974abcb24160d3b70c0911</w:instrText>
      </w:r>
      <w:r>
        <w:fldChar w:fldCharType="separate"/>
      </w:r>
      <w:r>
        <w:rPr>
          <w:noProof/>
        </w:rPr>
        <w:t>598</w:t>
      </w:r>
      <w:r>
        <w:fldChar w:fldCharType="end"/>
      </w:r>
    </w:p>
    <w:p w:rsidR="005F78FC" w:rsidRDefault="00B42EF3">
      <w:pPr>
        <w:pStyle w:val="indexentry0"/>
      </w:pPr>
      <w:hyperlink w:anchor="section_182923767677479284228024b97ec52f">
        <w:r>
          <w:rPr>
            <w:rStyle w:val="Hyperlink"/>
          </w:rPr>
          <w:t>defPPr (Default Paragraph Style)</w:t>
        </w:r>
      </w:hyperlink>
      <w:r>
        <w:t xml:space="preserve"> </w:t>
      </w:r>
      <w:r>
        <w:fldChar w:fldCharType="begin"/>
      </w:r>
      <w:r>
        <w:instrText>PAGEREF section_182923767677479284</w:instrText>
      </w:r>
      <w:r>
        <w:instrText>228024b97ec52f</w:instrText>
      </w:r>
      <w:r>
        <w:fldChar w:fldCharType="separate"/>
      </w:r>
      <w:r>
        <w:rPr>
          <w:noProof/>
        </w:rPr>
        <w:t>532</w:t>
      </w:r>
      <w:r>
        <w:fldChar w:fldCharType="end"/>
      </w:r>
    </w:p>
    <w:p w:rsidR="005F78FC" w:rsidRDefault="00B42EF3">
      <w:pPr>
        <w:pStyle w:val="indexentry0"/>
      </w:pPr>
      <w:hyperlink w:anchor="section_0bce0eae61a547dfa1c3c10b2f446fb5">
        <w:r>
          <w:rPr>
            <w:rStyle w:val="Hyperlink"/>
          </w:rPr>
          <w:t>defRPr (Default Text Run Properties)</w:t>
        </w:r>
      </w:hyperlink>
      <w:r>
        <w:t xml:space="preserve"> </w:t>
      </w:r>
      <w:r>
        <w:fldChar w:fldCharType="begin"/>
      </w:r>
      <w:r>
        <w:instrText>PAGEREF section_0bce0eae61a547dfa1c3c10b2f446fb5</w:instrText>
      </w:r>
      <w:r>
        <w:fldChar w:fldCharType="separate"/>
      </w:r>
      <w:r>
        <w:rPr>
          <w:noProof/>
        </w:rPr>
        <w:t>536</w:t>
      </w:r>
      <w:r>
        <w:fldChar w:fldCharType="end"/>
      </w:r>
    </w:p>
    <w:p w:rsidR="005F78FC" w:rsidRDefault="00B42EF3">
      <w:pPr>
        <w:pStyle w:val="indexentry0"/>
      </w:pPr>
      <w:hyperlink w:anchor="section_a71a37c5c6a148fb9a65ae541c4f878d">
        <w:r>
          <w:rPr>
            <w:rStyle w:val="Hyperlink"/>
          </w:rPr>
          <w:t>deg (Degree)</w:t>
        </w:r>
      </w:hyperlink>
      <w:r>
        <w:t xml:space="preserve"> </w:t>
      </w:r>
      <w:r>
        <w:fldChar w:fldCharType="begin"/>
      </w:r>
      <w:r>
        <w:instrText>PAGEREF section_a71a37c5c6a148fb9a65ae541c4f878d</w:instrText>
      </w:r>
      <w:r>
        <w:fldChar w:fldCharType="separate"/>
      </w:r>
      <w:r>
        <w:rPr>
          <w:noProof/>
        </w:rPr>
        <w:t>599</w:t>
      </w:r>
      <w:r>
        <w:fldChar w:fldCharType="end"/>
      </w:r>
    </w:p>
    <w:p w:rsidR="005F78FC" w:rsidRDefault="00B42EF3">
      <w:pPr>
        <w:pStyle w:val="indexentry0"/>
      </w:pPr>
      <w:hyperlink w:anchor="section_d60fa15bb1d24088bfffc1a7ea5740cd">
        <w:r>
          <w:rPr>
            <w:rStyle w:val="Hyperlink"/>
          </w:rPr>
          <w:t>degHide (Hide Degree)</w:t>
        </w:r>
      </w:hyperlink>
      <w:r>
        <w:t xml:space="preserve"> </w:t>
      </w:r>
      <w:r>
        <w:fldChar w:fldCharType="begin"/>
      </w:r>
      <w:r>
        <w:instrText>PAGEREF section_d60fa15bb1d24088bfffc1a7ea5740cd</w:instrText>
      </w:r>
      <w:r>
        <w:fldChar w:fldCharType="separate"/>
      </w:r>
      <w:r>
        <w:rPr>
          <w:noProof/>
        </w:rPr>
        <w:t>599</w:t>
      </w:r>
      <w:r>
        <w:fldChar w:fldCharType="end"/>
      </w:r>
    </w:p>
    <w:p w:rsidR="005F78FC" w:rsidRDefault="00B42EF3">
      <w:pPr>
        <w:pStyle w:val="indexentry0"/>
      </w:pPr>
      <w:hyperlink w:anchor="section_0a4ccd31153b4a47b3ffc070a3743a70">
        <w:r>
          <w:rPr>
            <w:rStyle w:val="Hyperlink"/>
          </w:rPr>
          <w:t>del (D</w:t>
        </w:r>
        <w:r>
          <w:rPr>
            <w:rStyle w:val="Hyperlink"/>
          </w:rPr>
          <w:t>eleted Math Control Character)</w:t>
        </w:r>
      </w:hyperlink>
      <w:r>
        <w:t xml:space="preserve"> </w:t>
      </w:r>
      <w:r>
        <w:fldChar w:fldCharType="begin"/>
      </w:r>
      <w:r>
        <w:instrText>PAGEREF section_0a4ccd31153b4a47b3ffc070a3743a70</w:instrText>
      </w:r>
      <w:r>
        <w:fldChar w:fldCharType="separate"/>
      </w:r>
      <w:r>
        <w:rPr>
          <w:noProof/>
        </w:rPr>
        <w:t>139</w:t>
      </w:r>
      <w:r>
        <w:fldChar w:fldCharType="end"/>
      </w:r>
    </w:p>
    <w:p w:rsidR="005F78FC" w:rsidRDefault="00B42EF3">
      <w:pPr>
        <w:pStyle w:val="indexentry0"/>
      </w:pPr>
      <w:hyperlink w:anchor="section_8b5f240eeddd4650923cca36a8c37094">
        <w:r>
          <w:rPr>
            <w:rStyle w:val="Hyperlink"/>
          </w:rPr>
          <w:t>del (Deleted Paragraph)</w:t>
        </w:r>
      </w:hyperlink>
      <w:r>
        <w:t xml:space="preserve"> </w:t>
      </w:r>
      <w:r>
        <w:fldChar w:fldCharType="begin"/>
      </w:r>
      <w:r>
        <w:instrText>PAGEREF section_8b5f240eeddd4650923cca36a8c37094</w:instrText>
      </w:r>
      <w:r>
        <w:fldChar w:fldCharType="separate"/>
      </w:r>
      <w:r>
        <w:rPr>
          <w:noProof/>
        </w:rPr>
        <w:t>139</w:t>
      </w:r>
      <w:r>
        <w:fldChar w:fldCharType="end"/>
      </w:r>
    </w:p>
    <w:p w:rsidR="005F78FC" w:rsidRDefault="00B42EF3">
      <w:pPr>
        <w:pStyle w:val="indexentry0"/>
      </w:pPr>
      <w:hyperlink w:anchor="section_97b1a91213164dcbba0d45f59f6662f9">
        <w:r>
          <w:rPr>
            <w:rStyle w:val="Hyperlink"/>
          </w:rPr>
          <w:t>del (Deleted Run Content)</w:t>
        </w:r>
      </w:hyperlink>
      <w:r>
        <w:t xml:space="preserve"> </w:t>
      </w:r>
      <w:r>
        <w:fldChar w:fldCharType="begin"/>
      </w:r>
      <w:r>
        <w:instrText>PAGEREF section_97b1a91213164dcbba0d45f59f6662f9</w:instrText>
      </w:r>
      <w:r>
        <w:fldChar w:fldCharType="separate"/>
      </w:r>
      <w:r>
        <w:rPr>
          <w:noProof/>
        </w:rPr>
        <w:t>139</w:t>
      </w:r>
      <w:r>
        <w:fldChar w:fldCharType="end"/>
      </w:r>
    </w:p>
    <w:p w:rsidR="005F78FC" w:rsidRDefault="00B42EF3">
      <w:pPr>
        <w:pStyle w:val="indexentry0"/>
      </w:pPr>
      <w:hyperlink w:anchor="section_ee129f764bdb46c7be1ad1c7d2bf7ad3">
        <w:r>
          <w:rPr>
            <w:rStyle w:val="Hyperlink"/>
          </w:rPr>
          <w:t>del (Deleted Table Row)</w:t>
        </w:r>
      </w:hyperlink>
      <w:r>
        <w:t xml:space="preserve"> </w:t>
      </w:r>
      <w:r>
        <w:fldChar w:fldCharType="begin"/>
      </w:r>
      <w:r>
        <w:instrText>PAGEREF section_ee129f764bdb46c7be1ad1c7d2bf7ad3</w:instrText>
      </w:r>
      <w:r>
        <w:fldChar w:fldCharType="separate"/>
      </w:r>
      <w:r>
        <w:rPr>
          <w:noProof/>
        </w:rPr>
        <w:t>139</w:t>
      </w:r>
      <w:r>
        <w:fldChar w:fldCharType="end"/>
      </w:r>
    </w:p>
    <w:p w:rsidR="005F78FC" w:rsidRDefault="00B42EF3">
      <w:pPr>
        <w:pStyle w:val="indexentry0"/>
      </w:pPr>
      <w:hyperlink w:anchor="section_d88dc6d4480149dd842c429174b8837e">
        <w:r>
          <w:rPr>
            <w:rStyle w:val="Hyperlink"/>
          </w:rPr>
          <w:t>DelegateSuggestedSigner (Delegate Suggested Signer)</w:t>
        </w:r>
      </w:hyperlink>
      <w:r>
        <w:t xml:space="preserve"> </w:t>
      </w:r>
      <w:r>
        <w:fldChar w:fldCharType="begin"/>
      </w:r>
      <w:r>
        <w:instrText>PAGEREF section_d88dc6d4480149dd842c429174b8837e</w:instrText>
      </w:r>
      <w:r>
        <w:fldChar w:fldCharType="separate"/>
      </w:r>
      <w:r>
        <w:rPr>
          <w:noProof/>
        </w:rPr>
        <w:t>885</w:t>
      </w:r>
      <w:r>
        <w:fldChar w:fldCharType="end"/>
      </w:r>
    </w:p>
    <w:p w:rsidR="005F78FC" w:rsidRDefault="00B42EF3">
      <w:pPr>
        <w:pStyle w:val="indexentry0"/>
      </w:pPr>
      <w:hyperlink w:anchor="section_841efc82d17b435cbc74a986769fdf50">
        <w:r>
          <w:rPr>
            <w:rStyle w:val="Hyperlink"/>
          </w:rPr>
          <w:t>DelegateSuggestedSigner2 (Delegate Suggested Signer)</w:t>
        </w:r>
      </w:hyperlink>
      <w:r>
        <w:t xml:space="preserve"> </w:t>
      </w:r>
      <w:r>
        <w:fldChar w:fldCharType="begin"/>
      </w:r>
      <w:r>
        <w:instrText>PAGEREF section_841efc82d17b435cbc74a986769fdf50</w:instrText>
      </w:r>
      <w:r>
        <w:fldChar w:fldCharType="separate"/>
      </w:r>
      <w:r>
        <w:rPr>
          <w:noProof/>
        </w:rPr>
        <w:t>885</w:t>
      </w:r>
      <w:r>
        <w:fldChar w:fldCharType="end"/>
      </w:r>
    </w:p>
    <w:p w:rsidR="005F78FC" w:rsidRDefault="00B42EF3">
      <w:pPr>
        <w:pStyle w:val="indexentry0"/>
      </w:pPr>
      <w:hyperlink w:anchor="section_3615f32e2a2f49c7853b03b56fc48212">
        <w:r>
          <w:rPr>
            <w:rStyle w:val="Hyperlink"/>
          </w:rPr>
          <w:t>DelegateSuggestedSignerEmail (Delegate Suggested Signer E-mail Address)</w:t>
        </w:r>
      </w:hyperlink>
      <w:r>
        <w:t xml:space="preserve"> </w:t>
      </w:r>
      <w:r>
        <w:fldChar w:fldCharType="begin"/>
      </w:r>
      <w:r>
        <w:instrText>PAGEREF sectio</w:instrText>
      </w:r>
      <w:r>
        <w:instrText>n_3615f32e2a2f49c7853b03b56fc48212</w:instrText>
      </w:r>
      <w:r>
        <w:fldChar w:fldCharType="separate"/>
      </w:r>
      <w:r>
        <w:rPr>
          <w:noProof/>
        </w:rPr>
        <w:t>886</w:t>
      </w:r>
      <w:r>
        <w:fldChar w:fldCharType="end"/>
      </w:r>
    </w:p>
    <w:p w:rsidR="005F78FC" w:rsidRDefault="00B42EF3">
      <w:pPr>
        <w:pStyle w:val="indexentry0"/>
      </w:pPr>
      <w:hyperlink w:anchor="section_77da14e2b4ea44a8af58622a93fa3abf">
        <w:r>
          <w:rPr>
            <w:rStyle w:val="Hyperlink"/>
          </w:rPr>
          <w:t>deletedField (Deleted Field)</w:t>
        </w:r>
      </w:hyperlink>
      <w:r>
        <w:t xml:space="preserve"> </w:t>
      </w:r>
      <w:r>
        <w:fldChar w:fldCharType="begin"/>
      </w:r>
      <w:r>
        <w:instrText>PAGEREF section_77da14e2b4ea44a8af58622a93fa3abf</w:instrText>
      </w:r>
      <w:r>
        <w:fldChar w:fldCharType="separate"/>
      </w:r>
      <w:r>
        <w:rPr>
          <w:noProof/>
        </w:rPr>
        <w:t>377</w:t>
      </w:r>
      <w:r>
        <w:fldChar w:fldCharType="end"/>
      </w:r>
    </w:p>
    <w:p w:rsidR="005F78FC" w:rsidRDefault="00B42EF3">
      <w:pPr>
        <w:pStyle w:val="indexentry0"/>
      </w:pPr>
      <w:hyperlink w:anchor="section_e36aa76793f24537bb6a04ec27a2603d">
        <w:r>
          <w:rPr>
            <w:rStyle w:val="Hyperlink"/>
          </w:rPr>
          <w:t>den (Denominator)</w:t>
        </w:r>
      </w:hyperlink>
      <w:r>
        <w:t xml:space="preserve"> </w:t>
      </w:r>
      <w:r>
        <w:fldChar w:fldCharType="begin"/>
      </w:r>
      <w:r>
        <w:instrText>PAGEREF section_e36aa76793f24537bb6a04ec27a2603d</w:instrText>
      </w:r>
      <w:r>
        <w:fldChar w:fldCharType="separate"/>
      </w:r>
      <w:r>
        <w:rPr>
          <w:noProof/>
        </w:rPr>
        <w:t>599</w:t>
      </w:r>
      <w:r>
        <w:fldChar w:fldCharType="end"/>
      </w:r>
    </w:p>
    <w:p w:rsidR="005F78FC" w:rsidRDefault="00B42EF3">
      <w:pPr>
        <w:pStyle w:val="indexentry0"/>
      </w:pPr>
      <w:hyperlink w:anchor="section_2643b6345b714371b8d9b25715fe3ebb">
        <w:r>
          <w:rPr>
            <w:rStyle w:val="Hyperlink"/>
          </w:rPr>
          <w:t>depthPercent (Depth Percent)</w:t>
        </w:r>
      </w:hyperlink>
      <w:r>
        <w:t xml:space="preserve"> </w:t>
      </w:r>
      <w:r>
        <w:fldChar w:fldCharType="begin"/>
      </w:r>
      <w:r>
        <w:instrText>PAGEREF section_2643b6345b714371b8d9b25715fe3ebb</w:instrText>
      </w:r>
      <w:r>
        <w:fldChar w:fldCharType="separate"/>
      </w:r>
      <w:r>
        <w:rPr>
          <w:noProof/>
        </w:rPr>
        <w:t>550</w:t>
      </w:r>
      <w:r>
        <w:fldChar w:fldCharType="end"/>
      </w:r>
    </w:p>
    <w:p w:rsidR="005F78FC" w:rsidRDefault="00B42EF3">
      <w:pPr>
        <w:pStyle w:val="indexentry0"/>
      </w:pPr>
      <w:hyperlink w:anchor="section_380b2e0778094280a39e0eec38e2e71d">
        <w:r>
          <w:rPr>
            <w:rStyle w:val="Hyperlink"/>
          </w:rPr>
          <w:t>DEVSQ</w:t>
        </w:r>
      </w:hyperlink>
      <w:r>
        <w:t xml:space="preserve"> </w:t>
      </w:r>
      <w:r>
        <w:fldChar w:fldCharType="begin"/>
      </w:r>
      <w:r>
        <w:instrText>PAGEREF section_380b2e0778094280a39e0eec38e2e71d</w:instrText>
      </w:r>
      <w:r>
        <w:fldChar w:fldCharType="separate"/>
      </w:r>
      <w:r>
        <w:rPr>
          <w:noProof/>
        </w:rPr>
        <w:t>420</w:t>
      </w:r>
      <w:r>
        <w:fldChar w:fldCharType="end"/>
      </w:r>
    </w:p>
    <w:p w:rsidR="005F78FC" w:rsidRDefault="00B42EF3">
      <w:pPr>
        <w:pStyle w:val="indexentry0"/>
      </w:pPr>
      <w:hyperlink w:anchor="section_53cd50963b4d41f8bb3566dd020960bb">
        <w:r>
          <w:rPr>
            <w:rStyle w:val="Hyperlink"/>
          </w:rPr>
          <w:t>DGET</w:t>
        </w:r>
      </w:hyperlink>
      <w:r>
        <w:t xml:space="preserve"> </w:t>
      </w:r>
      <w:r>
        <w:fldChar w:fldCharType="begin"/>
      </w:r>
      <w:r>
        <w:instrText>PAGEREF section_53cd50963b4d41f8bb3566dd020960bb</w:instrText>
      </w:r>
      <w:r>
        <w:fldChar w:fldCharType="separate"/>
      </w:r>
      <w:r>
        <w:rPr>
          <w:noProof/>
        </w:rPr>
        <w:t>420</w:t>
      </w:r>
      <w:r>
        <w:fldChar w:fldCharType="end"/>
      </w:r>
    </w:p>
    <w:p w:rsidR="005F78FC" w:rsidRDefault="00B42EF3">
      <w:pPr>
        <w:pStyle w:val="indexentry0"/>
      </w:pPr>
      <w:hyperlink w:anchor="section_c3622cf30c724b1bbaa875630639082d">
        <w:r>
          <w:rPr>
            <w:rStyle w:val="Hyperlink"/>
          </w:rPr>
          <w:t>dgm (Diagram to Animate)</w:t>
        </w:r>
      </w:hyperlink>
      <w:r>
        <w:t xml:space="preserve"> </w:t>
      </w:r>
      <w:r>
        <w:fldChar w:fldCharType="begin"/>
      </w:r>
      <w:r>
        <w:instrText>PAGEREF section_c3622cf30c724b1bbaa875630639082d</w:instrText>
      </w:r>
      <w:r>
        <w:fldChar w:fldCharType="separate"/>
      </w:r>
      <w:r>
        <w:rPr>
          <w:noProof/>
        </w:rPr>
        <w:t>499</w:t>
      </w:r>
      <w:r>
        <w:fldChar w:fldCharType="end"/>
      </w:r>
    </w:p>
    <w:p w:rsidR="005F78FC" w:rsidRDefault="00B42EF3">
      <w:pPr>
        <w:pStyle w:val="indexentry0"/>
      </w:pPr>
      <w:hyperlink w:anchor="section_d7ad8107054040ab96a6b62610ad55ce">
        <w:r>
          <w:rPr>
            <w:rStyle w:val="Hyperlink"/>
          </w:rPr>
          <w:t>diagram (VML Diagram)</w:t>
        </w:r>
      </w:hyperlink>
      <w:r>
        <w:t xml:space="preserve"> </w:t>
      </w:r>
      <w:r>
        <w:fldChar w:fldCharType="begin"/>
      </w:r>
      <w:r>
        <w:instrText>PAGEREF section_d7ad8107054040ab96a6b62610ad55ce</w:instrText>
      </w:r>
      <w:r>
        <w:fldChar w:fldCharType="separate"/>
      </w:r>
      <w:r>
        <w:rPr>
          <w:noProof/>
        </w:rPr>
        <w:t>667</w:t>
      </w:r>
      <w:r>
        <w:fldChar w:fldCharType="end"/>
      </w:r>
    </w:p>
    <w:p w:rsidR="005F78FC" w:rsidRDefault="00B42EF3">
      <w:pPr>
        <w:pStyle w:val="indexentry0"/>
      </w:pPr>
      <w:hyperlink w:anchor="section_d8ea1093c53b4135ab674a51a0b6fe7e">
        <w:r>
          <w:rPr>
            <w:rStyle w:val="Hyperlink"/>
          </w:rPr>
          <w:t>Diagram Colors Part</w:t>
        </w:r>
      </w:hyperlink>
      <w:r>
        <w:t xml:space="preserve"> </w:t>
      </w:r>
      <w:r>
        <w:fldChar w:fldCharType="begin"/>
      </w:r>
      <w:r>
        <w:instrText>PAGEREF section_d8ea1093c53b4135ab674a51a0b6fe7e</w:instrText>
      </w:r>
      <w:r>
        <w:fldChar w:fldCharType="separate"/>
      </w:r>
      <w:r>
        <w:rPr>
          <w:noProof/>
        </w:rPr>
        <w:t>58</w:t>
      </w:r>
      <w:r>
        <w:fldChar w:fldCharType="end"/>
      </w:r>
    </w:p>
    <w:p w:rsidR="005F78FC" w:rsidRDefault="00B42EF3">
      <w:pPr>
        <w:pStyle w:val="indexentry0"/>
      </w:pPr>
      <w:hyperlink w:anchor="section_fbaa1e283676408f8e241c31101d4de7">
        <w:r>
          <w:rPr>
            <w:rStyle w:val="Hyperlink"/>
          </w:rPr>
          <w:t>Diagram Data Part</w:t>
        </w:r>
      </w:hyperlink>
      <w:r>
        <w:t xml:space="preserve"> </w:t>
      </w:r>
      <w:r>
        <w:fldChar w:fldCharType="begin"/>
      </w:r>
      <w:r>
        <w:instrText>PAGEREF section_fbaa1e283676408f8e241c31101d4de7</w:instrText>
      </w:r>
      <w:r>
        <w:fldChar w:fldCharType="separate"/>
      </w:r>
      <w:r>
        <w:rPr>
          <w:noProof/>
        </w:rPr>
        <w:t>58</w:t>
      </w:r>
      <w:r>
        <w:fldChar w:fldCharType="end"/>
      </w:r>
    </w:p>
    <w:p w:rsidR="005F78FC" w:rsidRDefault="00B42EF3">
      <w:pPr>
        <w:pStyle w:val="indexentry0"/>
      </w:pPr>
      <w:hyperlink w:anchor="section_40af1ca11a054f24aad1190f60d7965e">
        <w:r>
          <w:rPr>
            <w:rStyle w:val="Hyperlink"/>
          </w:rPr>
          <w:t>dialogsheet (Dialog Sheet)</w:t>
        </w:r>
      </w:hyperlink>
      <w:r>
        <w:t xml:space="preserve"> </w:t>
      </w:r>
      <w:r>
        <w:fldChar w:fldCharType="begin"/>
      </w:r>
      <w:r>
        <w:instrText>PAGEREF section_40af1ca11a054f24aad1190f60d7965e</w:instrText>
      </w:r>
      <w:r>
        <w:fldChar w:fldCharType="separate"/>
      </w:r>
      <w:r>
        <w:rPr>
          <w:noProof/>
        </w:rPr>
        <w:t>260</w:t>
      </w:r>
      <w:r>
        <w:fldChar w:fldCharType="end"/>
      </w:r>
    </w:p>
    <w:p w:rsidR="005F78FC" w:rsidRDefault="00B42EF3">
      <w:pPr>
        <w:pStyle w:val="indexentry0"/>
      </w:pPr>
      <w:hyperlink w:anchor="section_df608f0d3ef3449a98cd7319467fa01e">
        <w:r>
          <w:rPr>
            <w:rStyle w:val="Hyperlink"/>
          </w:rPr>
          <w:t>Dialogsheet Part</w:t>
        </w:r>
      </w:hyperlink>
      <w:r>
        <w:t xml:space="preserve"> </w:t>
      </w:r>
      <w:r>
        <w:fldChar w:fldCharType="begin"/>
      </w:r>
      <w:r>
        <w:instrText>PAGEREF section_df608f0d3ef3449a98cd7319467fa01e</w:instrText>
      </w:r>
      <w:r>
        <w:fldChar w:fldCharType="separate"/>
      </w:r>
      <w:r>
        <w:rPr>
          <w:noProof/>
        </w:rPr>
        <w:t>50</w:t>
      </w:r>
      <w:r>
        <w:fldChar w:fldCharType="end"/>
      </w:r>
    </w:p>
    <w:p w:rsidR="005F78FC" w:rsidRDefault="00B42EF3">
      <w:pPr>
        <w:pStyle w:val="indexentry0"/>
      </w:pPr>
      <w:hyperlink w:anchor="section_360e6b06a67f44faa5bf8ade7fbe7212">
        <w:r>
          <w:rPr>
            <w:rStyle w:val="Hyperlink"/>
          </w:rPr>
          <w:t>DigSig (Digital Signature)</w:t>
        </w:r>
      </w:hyperlink>
      <w:r>
        <w:t xml:space="preserve"> </w:t>
      </w:r>
      <w:r>
        <w:fldChar w:fldCharType="begin"/>
      </w:r>
      <w:r>
        <w:instrText>PAGEREF section_360e6b06a67f44faa5bf8ade7fbe7212</w:instrText>
      </w:r>
      <w:r>
        <w:fldChar w:fldCharType="separate"/>
      </w:r>
      <w:r>
        <w:rPr>
          <w:noProof/>
        </w:rPr>
        <w:t>608</w:t>
      </w:r>
      <w:r>
        <w:fldChar w:fldCharType="end"/>
      </w:r>
    </w:p>
    <w:p w:rsidR="005F78FC" w:rsidRDefault="00B42EF3">
      <w:pPr>
        <w:pStyle w:val="indexentry0"/>
      </w:pPr>
      <w:hyperlink w:anchor="section_f0f7a394d036412ca0811bb4aadc00ce">
        <w:r>
          <w:rPr>
            <w:rStyle w:val="Hyperlink"/>
          </w:rPr>
          <w:t>dimension (OLAP Dimension)</w:t>
        </w:r>
      </w:hyperlink>
      <w:r>
        <w:t xml:space="preserve"> </w:t>
      </w:r>
      <w:r>
        <w:fldChar w:fldCharType="begin"/>
      </w:r>
      <w:r>
        <w:instrText>PAGEREF section_f0f7a394</w:instrText>
      </w:r>
      <w:r>
        <w:instrText>d036412ca0811bb4aadc00ce</w:instrText>
      </w:r>
      <w:r>
        <w:fldChar w:fldCharType="separate"/>
      </w:r>
      <w:r>
        <w:rPr>
          <w:noProof/>
        </w:rPr>
        <w:t>335</w:t>
      </w:r>
      <w:r>
        <w:fldChar w:fldCharType="end"/>
      </w:r>
    </w:p>
    <w:p w:rsidR="005F78FC" w:rsidRDefault="00B42EF3">
      <w:pPr>
        <w:pStyle w:val="indexentry0"/>
      </w:pPr>
      <w:hyperlink w:anchor="section_0c2fbdfee3c442339e5874bee9eac813">
        <w:r>
          <w:rPr>
            <w:rStyle w:val="Hyperlink"/>
          </w:rPr>
          <w:t>dir (Bidirectional Embedding Level)</w:t>
        </w:r>
      </w:hyperlink>
      <w:r>
        <w:t xml:space="preserve"> </w:t>
      </w:r>
      <w:r>
        <w:fldChar w:fldCharType="begin"/>
      </w:r>
      <w:r>
        <w:instrText>PAGEREF section_0c2fbdfee3c442339e5874bee9eac813</w:instrText>
      </w:r>
      <w:r>
        <w:fldChar w:fldCharType="separate"/>
      </w:r>
      <w:r>
        <w:rPr>
          <w:noProof/>
        </w:rPr>
        <w:t>73</w:t>
      </w:r>
      <w:r>
        <w:fldChar w:fldCharType="end"/>
      </w:r>
    </w:p>
    <w:p w:rsidR="005F78FC" w:rsidRDefault="00B42EF3">
      <w:pPr>
        <w:pStyle w:val="indexentry0"/>
      </w:pPr>
      <w:hyperlink w:anchor="section_e0c10da50878451da411270f6f96ef6e">
        <w:r>
          <w:rPr>
            <w:rStyle w:val="Hyperlink"/>
          </w:rPr>
          <w:t>DISC</w:t>
        </w:r>
      </w:hyperlink>
      <w:r>
        <w:t xml:space="preserve"> </w:t>
      </w:r>
      <w:r>
        <w:fldChar w:fldCharType="begin"/>
      </w:r>
      <w:r>
        <w:instrText>PAGEREF s</w:instrText>
      </w:r>
      <w:r>
        <w:instrText>ection_e0c10da50878451da411270f6f96ef6e</w:instrText>
      </w:r>
      <w:r>
        <w:fldChar w:fldCharType="separate"/>
      </w:r>
      <w:r>
        <w:rPr>
          <w:noProof/>
        </w:rPr>
        <w:t>420</w:t>
      </w:r>
      <w:r>
        <w:fldChar w:fldCharType="end"/>
      </w:r>
    </w:p>
    <w:p w:rsidR="005F78FC" w:rsidRDefault="00B42EF3">
      <w:pPr>
        <w:pStyle w:val="indexentry0"/>
      </w:pPr>
      <w:hyperlink w:anchor="section_9cd9d70220324faa8243174a28700755">
        <w:r>
          <w:rPr>
            <w:rStyle w:val="Hyperlink"/>
          </w:rPr>
          <w:t>discretePr (Discrete Grouping Properties)</w:t>
        </w:r>
      </w:hyperlink>
      <w:r>
        <w:t xml:space="preserve"> </w:t>
      </w:r>
      <w:r>
        <w:fldChar w:fldCharType="begin"/>
      </w:r>
      <w:r>
        <w:instrText>PAGEREF section_9cd9d70220324faa8243174a28700755</w:instrText>
      </w:r>
      <w:r>
        <w:fldChar w:fldCharType="separate"/>
      </w:r>
      <w:r>
        <w:rPr>
          <w:noProof/>
        </w:rPr>
        <w:t>336</w:t>
      </w:r>
      <w:r>
        <w:fldChar w:fldCharType="end"/>
      </w:r>
    </w:p>
    <w:p w:rsidR="005F78FC" w:rsidRDefault="00B42EF3">
      <w:pPr>
        <w:pStyle w:val="indexentry0"/>
      </w:pPr>
      <w:hyperlink w:anchor="section_1942c0283c4e4dd9a379b12a9b7914df">
        <w:r>
          <w:rPr>
            <w:rStyle w:val="Hyperlink"/>
          </w:rPr>
          <w:t>dispBlanksAs (Display Blanks As)</w:t>
        </w:r>
      </w:hyperlink>
      <w:r>
        <w:t xml:space="preserve"> </w:t>
      </w:r>
      <w:r>
        <w:fldChar w:fldCharType="begin"/>
      </w:r>
      <w:r>
        <w:instrText>PAGEREF section_1942c0283c4e4dd9a379b12a9b7914df</w:instrText>
      </w:r>
      <w:r>
        <w:fldChar w:fldCharType="separate"/>
      </w:r>
      <w:r>
        <w:rPr>
          <w:noProof/>
        </w:rPr>
        <w:t>550</w:t>
      </w:r>
      <w:r>
        <w:fldChar w:fldCharType="end"/>
      </w:r>
    </w:p>
    <w:p w:rsidR="005F78FC" w:rsidRDefault="00B42EF3">
      <w:pPr>
        <w:pStyle w:val="indexentry0"/>
      </w:pPr>
      <w:hyperlink w:anchor="section_3fdde0be3b4d443db3821e648d7219c4">
        <w:r>
          <w:rPr>
            <w:rStyle w:val="Hyperlink"/>
          </w:rPr>
          <w:t>dispDef (Use Display Math Defaults)</w:t>
        </w:r>
      </w:hyperlink>
      <w:r>
        <w:t xml:space="preserve"> </w:t>
      </w:r>
      <w:r>
        <w:fldChar w:fldCharType="begin"/>
      </w:r>
      <w:r>
        <w:instrText>PAGEREF section_3fdde0be3b4d443db3821e648d7219c4</w:instrText>
      </w:r>
      <w:r>
        <w:fldChar w:fldCharType="separate"/>
      </w:r>
      <w:r>
        <w:rPr>
          <w:noProof/>
        </w:rPr>
        <w:t>599</w:t>
      </w:r>
      <w:r>
        <w:fldChar w:fldCharType="end"/>
      </w:r>
    </w:p>
    <w:p w:rsidR="005F78FC" w:rsidRDefault="00B42EF3">
      <w:pPr>
        <w:pStyle w:val="indexentry0"/>
      </w:pPr>
      <w:hyperlink w:anchor="section_a025f35c26614dd18afdcc79c9784163">
        <w:r>
          <w:rPr>
            <w:rStyle w:val="Hyperlink"/>
          </w:rPr>
          <w:t>dispEq (Display Equation)</w:t>
        </w:r>
      </w:hyperlink>
      <w:r>
        <w:t xml:space="preserve"> </w:t>
      </w:r>
      <w:r>
        <w:fldChar w:fldCharType="begin"/>
      </w:r>
      <w:r>
        <w:instrText>PAGEREF section_a025f35c26614dd18afdcc79c9784163</w:instrText>
      </w:r>
      <w:r>
        <w:fldChar w:fldCharType="separate"/>
      </w:r>
      <w:r>
        <w:rPr>
          <w:noProof/>
        </w:rPr>
        <w:t>551</w:t>
      </w:r>
      <w:r>
        <w:fldChar w:fldCharType="end"/>
      </w:r>
    </w:p>
    <w:p w:rsidR="005F78FC" w:rsidRDefault="00B42EF3">
      <w:pPr>
        <w:pStyle w:val="indexentry0"/>
      </w:pPr>
      <w:hyperlink w:anchor="section_cbc893c09683416d84c6407a92451c19">
        <w:r>
          <w:rPr>
            <w:rStyle w:val="Hyperlink"/>
          </w:rPr>
          <w:t>DISPLAYBARCODE</w:t>
        </w:r>
      </w:hyperlink>
      <w:r>
        <w:t xml:space="preserve"> </w:t>
      </w:r>
      <w:r>
        <w:fldChar w:fldCharType="begin"/>
      </w:r>
      <w:r>
        <w:instrText>PAGEREF section_cbc893c09683416d84c6407a92451c19</w:instrText>
      </w:r>
      <w:r>
        <w:fldChar w:fldCharType="separate"/>
      </w:r>
      <w:r>
        <w:rPr>
          <w:noProof/>
        </w:rPr>
        <w:t>820</w:t>
      </w:r>
      <w:r>
        <w:fldChar w:fldCharType="end"/>
      </w:r>
    </w:p>
    <w:p w:rsidR="005F78FC" w:rsidRDefault="00B42EF3">
      <w:pPr>
        <w:pStyle w:val="indexentry0"/>
      </w:pPr>
      <w:hyperlink w:anchor="section_3556936a408d4c088893a61fd0754f5c">
        <w:r>
          <w:rPr>
            <w:rStyle w:val="Hyperlink"/>
          </w:rPr>
          <w:t>displayHorizontalDrawingGridEvery (Distance between Horizontal Gridlines)</w:t>
        </w:r>
      </w:hyperlink>
      <w:r>
        <w:t xml:space="preserve"> </w:t>
      </w:r>
      <w:r>
        <w:fldChar w:fldCharType="begin"/>
      </w:r>
      <w:r>
        <w:instrText>PAGEREF section_3556936a408d4c088893a61fd0754f5c</w:instrText>
      </w:r>
      <w:r>
        <w:fldChar w:fldCharType="separate"/>
      </w:r>
      <w:r>
        <w:rPr>
          <w:noProof/>
        </w:rPr>
        <w:t>154</w:t>
      </w:r>
      <w:r>
        <w:fldChar w:fldCharType="end"/>
      </w:r>
    </w:p>
    <w:p w:rsidR="005F78FC" w:rsidRDefault="00B42EF3">
      <w:pPr>
        <w:pStyle w:val="indexentry0"/>
      </w:pPr>
      <w:hyperlink w:anchor="section_73f2c4bc60754f1fa1f308a250abbdba">
        <w:r>
          <w:rPr>
            <w:rStyle w:val="Hyperlink"/>
          </w:rPr>
          <w:t>disp</w:t>
        </w:r>
        <w:r>
          <w:rPr>
            <w:rStyle w:val="Hyperlink"/>
          </w:rPr>
          <w:t>layVerticalDrawingGridEvery (Distance between Vertical Gridlines)</w:t>
        </w:r>
      </w:hyperlink>
      <w:r>
        <w:t xml:space="preserve"> </w:t>
      </w:r>
      <w:r>
        <w:fldChar w:fldCharType="begin"/>
      </w:r>
      <w:r>
        <w:instrText>PAGEREF section_73f2c4bc60754f1fa1f308a250abbdba</w:instrText>
      </w:r>
      <w:r>
        <w:fldChar w:fldCharType="separate"/>
      </w:r>
      <w:r>
        <w:rPr>
          <w:noProof/>
        </w:rPr>
        <w:t>155</w:t>
      </w:r>
      <w:r>
        <w:fldChar w:fldCharType="end"/>
      </w:r>
    </w:p>
    <w:p w:rsidR="005F78FC" w:rsidRDefault="00B42EF3">
      <w:pPr>
        <w:pStyle w:val="indexentry0"/>
      </w:pPr>
      <w:hyperlink w:anchor="section_e70f0d892989462194257749106adbe1">
        <w:r>
          <w:rPr>
            <w:rStyle w:val="Hyperlink"/>
          </w:rPr>
          <w:t>dispRSqr (Display R Squared Value)</w:t>
        </w:r>
      </w:hyperlink>
      <w:r>
        <w:t xml:space="preserve"> </w:t>
      </w:r>
      <w:r>
        <w:fldChar w:fldCharType="begin"/>
      </w:r>
      <w:r>
        <w:instrText>PAGEREF section_e70f0d892989462194257749106adbe1</w:instrText>
      </w:r>
      <w:r>
        <w:fldChar w:fldCharType="separate"/>
      </w:r>
      <w:r>
        <w:rPr>
          <w:noProof/>
        </w:rPr>
        <w:t>551</w:t>
      </w:r>
      <w:r>
        <w:fldChar w:fldCharType="end"/>
      </w:r>
    </w:p>
    <w:p w:rsidR="005F78FC" w:rsidRDefault="00B42EF3">
      <w:pPr>
        <w:pStyle w:val="indexentry0"/>
      </w:pPr>
      <w:hyperlink w:anchor="section_2740ab5f3c2b41ef954aff6f642e140f">
        <w:r>
          <w:rPr>
            <w:rStyle w:val="Hyperlink"/>
          </w:rPr>
          <w:t>div (Information About Single HTML div Element)</w:t>
        </w:r>
      </w:hyperlink>
      <w:r>
        <w:t xml:space="preserve"> </w:t>
      </w:r>
      <w:r>
        <w:fldChar w:fldCharType="begin"/>
      </w:r>
      <w:r>
        <w:instrText>PAGEREF section_2740ab5f3c2b41ef954aff6f642e140f</w:instrText>
      </w:r>
      <w:r>
        <w:fldChar w:fldCharType="separate"/>
      </w:r>
      <w:r>
        <w:rPr>
          <w:noProof/>
        </w:rPr>
        <w:t>164</w:t>
      </w:r>
      <w:r>
        <w:fldChar w:fldCharType="end"/>
      </w:r>
    </w:p>
    <w:p w:rsidR="005F78FC" w:rsidRDefault="00B42EF3">
      <w:pPr>
        <w:pStyle w:val="indexentry0"/>
      </w:pPr>
      <w:r>
        <w:t>divId (Associated HTML div ID) (</w:t>
      </w:r>
      <w:hyperlink w:anchor="section_5ff84bc9d5b747c7bcd53bebf540efb0">
        <w:r>
          <w:rPr>
            <w:rStyle w:val="Hyperlink"/>
          </w:rPr>
          <w:t>section 2.1.42</w:t>
        </w:r>
      </w:hyperlink>
      <w:r>
        <w:t xml:space="preserve"> </w:t>
      </w:r>
      <w:r>
        <w:fldChar w:fldCharType="begin"/>
      </w:r>
      <w:r>
        <w:instrText>PAGEREF section_5ff84bc9d5b747c7bcd53bebf540efb0</w:instrText>
      </w:r>
      <w:r>
        <w:fldChar w:fldCharType="separate"/>
      </w:r>
      <w:r>
        <w:rPr>
          <w:noProof/>
        </w:rPr>
        <w:t>66</w:t>
      </w:r>
      <w:r>
        <w:fldChar w:fldCharType="end"/>
      </w:r>
      <w:r>
        <w:t xml:space="preserve">, </w:t>
      </w:r>
      <w:hyperlink w:anchor="section_818e7ab5d66642ad8111cd3898c6d53b">
        <w:r>
          <w:rPr>
            <w:rStyle w:val="Hyperlink"/>
          </w:rPr>
          <w:t>section 2.1.123</w:t>
        </w:r>
      </w:hyperlink>
      <w:r>
        <w:t xml:space="preserve"> </w:t>
      </w:r>
      <w:r>
        <w:fldChar w:fldCharType="begin"/>
      </w:r>
      <w:r>
        <w:instrText>PAGEREF section_818e7ab5d66642ad8111cd3898c6d53b</w:instrText>
      </w:r>
      <w:r>
        <w:fldChar w:fldCharType="separate"/>
      </w:r>
      <w:r>
        <w:rPr>
          <w:noProof/>
        </w:rPr>
        <w:t>85</w:t>
      </w:r>
      <w:r>
        <w:fldChar w:fldCharType="end"/>
      </w:r>
      <w:r>
        <w:t>)</w:t>
      </w:r>
    </w:p>
    <w:p w:rsidR="005F78FC" w:rsidRDefault="00B42EF3">
      <w:pPr>
        <w:pStyle w:val="indexentry0"/>
      </w:pPr>
      <w:hyperlink w:anchor="section_0efe93f6a9914b0285c5bba4619e7d25">
        <w:r>
          <w:rPr>
            <w:rStyle w:val="Hyperlink"/>
          </w:rPr>
          <w:t>dk1 (Dark 1)</w:t>
        </w:r>
      </w:hyperlink>
      <w:r>
        <w:t xml:space="preserve"> </w:t>
      </w:r>
      <w:r>
        <w:fldChar w:fldCharType="begin"/>
      </w:r>
      <w:r>
        <w:instrText>PAGEREF section_0efe93f6a9914b0285c5bba4619e7d25</w:instrText>
      </w:r>
      <w:r>
        <w:fldChar w:fldCharType="separate"/>
      </w:r>
      <w:r>
        <w:rPr>
          <w:noProof/>
        </w:rPr>
        <w:t>508</w:t>
      </w:r>
      <w:r>
        <w:fldChar w:fldCharType="end"/>
      </w:r>
    </w:p>
    <w:p w:rsidR="005F78FC" w:rsidRDefault="00B42EF3">
      <w:pPr>
        <w:pStyle w:val="indexentry0"/>
      </w:pPr>
      <w:hyperlink w:anchor="section_46c7a3ca42274b368bef211aa750ef6e">
        <w:r>
          <w:rPr>
            <w:rStyle w:val="Hyperlink"/>
          </w:rPr>
          <w:t>dk2 (Dark 2)</w:t>
        </w:r>
      </w:hyperlink>
      <w:r>
        <w:t xml:space="preserve"> </w:t>
      </w:r>
      <w:r>
        <w:fldChar w:fldCharType="begin"/>
      </w:r>
      <w:r>
        <w:instrText>PAGEREF section_46c7a3ca42274b368bef211aa750ef6e</w:instrText>
      </w:r>
      <w:r>
        <w:fldChar w:fldCharType="separate"/>
      </w:r>
      <w:r>
        <w:rPr>
          <w:noProof/>
        </w:rPr>
        <w:t>508</w:t>
      </w:r>
      <w:r>
        <w:fldChar w:fldCharType="end"/>
      </w:r>
    </w:p>
    <w:p w:rsidR="005F78FC" w:rsidRDefault="00B42EF3">
      <w:pPr>
        <w:pStyle w:val="indexentry0"/>
      </w:pPr>
      <w:hyperlink w:anchor="section_f4264e4b7a40405da32ce804b2fcaac3">
        <w:r>
          <w:rPr>
            <w:rStyle w:val="Hyperlink"/>
          </w:rPr>
          <w:t>dLbl (Data Label)</w:t>
        </w:r>
      </w:hyperlink>
      <w:r>
        <w:t xml:space="preserve"> </w:t>
      </w:r>
      <w:r>
        <w:fldChar w:fldCharType="begin"/>
      </w:r>
      <w:r>
        <w:instrText>PAGEREF section_f4264e4b7a40405da32ce804b2fcaac3</w:instrText>
      </w:r>
      <w:r>
        <w:fldChar w:fldCharType="separate"/>
      </w:r>
      <w:r>
        <w:rPr>
          <w:noProof/>
        </w:rPr>
        <w:t>551</w:t>
      </w:r>
      <w:r>
        <w:fldChar w:fldCharType="end"/>
      </w:r>
    </w:p>
    <w:p w:rsidR="005F78FC" w:rsidRDefault="00B42EF3">
      <w:pPr>
        <w:pStyle w:val="indexentry0"/>
      </w:pPr>
      <w:hyperlink w:anchor="section_e2b1697c7adc463d90813daef72f656f">
        <w:r>
          <w:rPr>
            <w:rStyle w:val="Hyperlink"/>
          </w:rPr>
          <w:t>dLblPos (Data Label Position)</w:t>
        </w:r>
      </w:hyperlink>
      <w:r>
        <w:t xml:space="preserve"> </w:t>
      </w:r>
      <w:r>
        <w:fldChar w:fldCharType="begin"/>
      </w:r>
      <w:r>
        <w:instrText>PAGEREF section_e2b1697c7adc46</w:instrText>
      </w:r>
      <w:r>
        <w:instrText>3d90813daef72f656f</w:instrText>
      </w:r>
      <w:r>
        <w:fldChar w:fldCharType="separate"/>
      </w:r>
      <w:r>
        <w:rPr>
          <w:noProof/>
        </w:rPr>
        <w:t>552</w:t>
      </w:r>
      <w:r>
        <w:fldChar w:fldCharType="end"/>
      </w:r>
    </w:p>
    <w:p w:rsidR="005F78FC" w:rsidRDefault="00B42EF3">
      <w:pPr>
        <w:pStyle w:val="indexentry0"/>
      </w:pPr>
      <w:hyperlink w:anchor="section_953e587980084d14a8bcfbe39d848e0a">
        <w:r>
          <w:rPr>
            <w:rStyle w:val="Hyperlink"/>
          </w:rPr>
          <w:t>dLbls (Data Labels)</w:t>
        </w:r>
      </w:hyperlink>
      <w:r>
        <w:t xml:space="preserve"> </w:t>
      </w:r>
      <w:r>
        <w:fldChar w:fldCharType="begin"/>
      </w:r>
      <w:r>
        <w:instrText>PAGEREF section_953e587980084d14a8bcfbe39d848e0a</w:instrText>
      </w:r>
      <w:r>
        <w:fldChar w:fldCharType="separate"/>
      </w:r>
      <w:r>
        <w:rPr>
          <w:noProof/>
        </w:rPr>
        <w:t>552</w:t>
      </w:r>
      <w:r>
        <w:fldChar w:fldCharType="end"/>
      </w:r>
    </w:p>
    <w:p w:rsidR="005F78FC" w:rsidRDefault="00B42EF3">
      <w:pPr>
        <w:pStyle w:val="indexentry0"/>
      </w:pPr>
      <w:hyperlink w:anchor="section_aa3e1f3eb51c4330af60fdcf8e8f943c">
        <w:r>
          <w:rPr>
            <w:rStyle w:val="Hyperlink"/>
          </w:rPr>
          <w:t>DMAX</w:t>
        </w:r>
      </w:hyperlink>
      <w:r>
        <w:t xml:space="preserve"> </w:t>
      </w:r>
      <w:r>
        <w:fldChar w:fldCharType="begin"/>
      </w:r>
      <w:r>
        <w:instrText>PAGEREF section_aa3e1f3eb51c433</w:instrText>
      </w:r>
      <w:r>
        <w:instrText>0af60fdcf8e8f943c</w:instrText>
      </w:r>
      <w:r>
        <w:fldChar w:fldCharType="separate"/>
      </w:r>
      <w:r>
        <w:rPr>
          <w:noProof/>
        </w:rPr>
        <w:t>421</w:t>
      </w:r>
      <w:r>
        <w:fldChar w:fldCharType="end"/>
      </w:r>
    </w:p>
    <w:p w:rsidR="005F78FC" w:rsidRDefault="00B42EF3">
      <w:pPr>
        <w:pStyle w:val="indexentry0"/>
      </w:pPr>
      <w:hyperlink w:anchor="section_24c5d4171ace4d9fafce3baa0a6bde27">
        <w:r>
          <w:rPr>
            <w:rStyle w:val="Hyperlink"/>
          </w:rPr>
          <w:t>DMIN</w:t>
        </w:r>
      </w:hyperlink>
      <w:r>
        <w:t xml:space="preserve"> </w:t>
      </w:r>
      <w:r>
        <w:fldChar w:fldCharType="begin"/>
      </w:r>
      <w:r>
        <w:instrText>PAGEREF section_24c5d4171ace4d9fafce3baa0a6bde27</w:instrText>
      </w:r>
      <w:r>
        <w:fldChar w:fldCharType="separate"/>
      </w:r>
      <w:r>
        <w:rPr>
          <w:noProof/>
        </w:rPr>
        <w:t>421</w:t>
      </w:r>
      <w:r>
        <w:fldChar w:fldCharType="end"/>
      </w:r>
    </w:p>
    <w:p w:rsidR="005F78FC" w:rsidRDefault="00B42EF3">
      <w:pPr>
        <w:pStyle w:val="indexentry0"/>
      </w:pPr>
      <w:hyperlink w:anchor="section_3a5e135e0986496c90a772bf5238d43d">
        <w:r>
          <w:rPr>
            <w:rStyle w:val="Hyperlink"/>
          </w:rPr>
          <w:t>docPart (Document Part Reference)</w:t>
        </w:r>
      </w:hyperlink>
      <w:r>
        <w:t xml:space="preserve"> </w:t>
      </w:r>
      <w:r>
        <w:fldChar w:fldCharType="begin"/>
      </w:r>
      <w:r>
        <w:instrText>PAGEREF section_3a5e135e0986496c90a772bf5238d43d</w:instrText>
      </w:r>
      <w:r>
        <w:fldChar w:fldCharType="separate"/>
      </w:r>
      <w:r>
        <w:rPr>
          <w:noProof/>
        </w:rPr>
        <w:t>100</w:t>
      </w:r>
      <w:r>
        <w:fldChar w:fldCharType="end"/>
      </w:r>
    </w:p>
    <w:p w:rsidR="005F78FC" w:rsidRDefault="00B42EF3">
      <w:pPr>
        <w:pStyle w:val="indexentry0"/>
      </w:pPr>
      <w:hyperlink w:anchor="section_120023b2ce194bc79f3d619ff7e1d81e">
        <w:r>
          <w:rPr>
            <w:rStyle w:val="Hyperlink"/>
          </w:rPr>
          <w:t>docPartBody (Contents of Glossary Document Entry)</w:t>
        </w:r>
      </w:hyperlink>
      <w:r>
        <w:t xml:space="preserve"> </w:t>
      </w:r>
      <w:r>
        <w:fldChar w:fldCharType="begin"/>
      </w:r>
      <w:r>
        <w:instrText>PAGEREF section_120023b2ce194bc79f3d619ff7e1d81e</w:instrText>
      </w:r>
      <w:r>
        <w:fldChar w:fldCharType="separate"/>
      </w:r>
      <w:r>
        <w:rPr>
          <w:noProof/>
        </w:rPr>
        <w:t>132</w:t>
      </w:r>
      <w:r>
        <w:fldChar w:fldCharType="end"/>
      </w:r>
    </w:p>
    <w:p w:rsidR="005F78FC" w:rsidRDefault="00B42EF3">
      <w:pPr>
        <w:pStyle w:val="indexentry0"/>
      </w:pPr>
      <w:hyperlink w:anchor="section_c6dde08d044443058e44c23a0a66aab0">
        <w:r>
          <w:rPr>
            <w:rStyle w:val="Hyperlink"/>
          </w:rPr>
          <w:t>docPartPr (Glossary Document Entry Properties)</w:t>
        </w:r>
      </w:hyperlink>
      <w:r>
        <w:t xml:space="preserve"> </w:t>
      </w:r>
      <w:r>
        <w:fldChar w:fldCharType="begin"/>
      </w:r>
      <w:r>
        <w:instrText>PAGEREF section_c6dde08d044443058e44c23a0a66aab0</w:instrText>
      </w:r>
      <w:r>
        <w:fldChar w:fldCharType="separate"/>
      </w:r>
      <w:r>
        <w:rPr>
          <w:noProof/>
        </w:rPr>
        <w:t>132</w:t>
      </w:r>
      <w:r>
        <w:fldChar w:fldCharType="end"/>
      </w:r>
    </w:p>
    <w:p w:rsidR="005F78FC" w:rsidRDefault="00B42EF3">
      <w:pPr>
        <w:pStyle w:val="indexentry0"/>
      </w:pPr>
      <w:hyperlink w:anchor="section_14fb7c6771444eb1baab7076dfd03d90">
        <w:r>
          <w:rPr>
            <w:rStyle w:val="Hyperlink"/>
          </w:rPr>
          <w:t>docParts (List of Glossary Document Entries)</w:t>
        </w:r>
      </w:hyperlink>
      <w:r>
        <w:t xml:space="preserve"> </w:t>
      </w:r>
      <w:r>
        <w:fldChar w:fldCharType="begin"/>
      </w:r>
      <w:r>
        <w:instrText>PAGEREF section_14fb7c677</w:instrText>
      </w:r>
      <w:r>
        <w:instrText>1444eb1baab7076dfd03d90</w:instrText>
      </w:r>
      <w:r>
        <w:fldChar w:fldCharType="separate"/>
      </w:r>
      <w:r>
        <w:rPr>
          <w:noProof/>
        </w:rPr>
        <w:t>133</w:t>
      </w:r>
      <w:r>
        <w:fldChar w:fldCharType="end"/>
      </w:r>
    </w:p>
    <w:p w:rsidR="005F78FC" w:rsidRDefault="00B42EF3">
      <w:pPr>
        <w:pStyle w:val="indexentry0"/>
      </w:pPr>
      <w:hyperlink w:anchor="section_e7d7aeab16eb4963933839953b8fee37">
        <w:r>
          <w:rPr>
            <w:rStyle w:val="Hyperlink"/>
          </w:rPr>
          <w:t>docPr (Drawing Object Non-Visual Properties)</w:t>
        </w:r>
      </w:hyperlink>
      <w:r>
        <w:t xml:space="preserve"> </w:t>
      </w:r>
      <w:r>
        <w:fldChar w:fldCharType="begin"/>
      </w:r>
      <w:r>
        <w:instrText>PAGEREF section_e7d7aeab16eb4963933839953b8fee37</w:instrText>
      </w:r>
      <w:r>
        <w:fldChar w:fldCharType="separate"/>
      </w:r>
      <w:r>
        <w:rPr>
          <w:noProof/>
        </w:rPr>
        <w:t>527</w:t>
      </w:r>
      <w:r>
        <w:fldChar w:fldCharType="end"/>
      </w:r>
    </w:p>
    <w:p w:rsidR="005F78FC" w:rsidRDefault="00B42EF3">
      <w:pPr>
        <w:pStyle w:val="indexentry0"/>
      </w:pPr>
      <w:hyperlink w:anchor="section_e4275abe6a7542c2b2f0eb8f9f7cbe2c">
        <w:r>
          <w:rPr>
            <w:rStyle w:val="Hyperlink"/>
          </w:rPr>
          <w:t>DOCPROPE</w:t>
        </w:r>
        <w:r>
          <w:rPr>
            <w:rStyle w:val="Hyperlink"/>
          </w:rPr>
          <w:t>RTY</w:t>
        </w:r>
      </w:hyperlink>
      <w:r>
        <w:t xml:space="preserve"> </w:t>
      </w:r>
      <w:r>
        <w:fldChar w:fldCharType="begin"/>
      </w:r>
      <w:r>
        <w:instrText>PAGEREF section_e4275abe6a7542c2b2f0eb8f9f7cbe2c</w:instrText>
      </w:r>
      <w:r>
        <w:fldChar w:fldCharType="separate"/>
      </w:r>
      <w:r>
        <w:rPr>
          <w:noProof/>
        </w:rPr>
        <w:t>216</w:t>
      </w:r>
      <w:r>
        <w:fldChar w:fldCharType="end"/>
      </w:r>
    </w:p>
    <w:p w:rsidR="005F78FC" w:rsidRDefault="00B42EF3">
      <w:pPr>
        <w:pStyle w:val="indexentry0"/>
      </w:pPr>
      <w:hyperlink w:anchor="section_f0f1a882555d4c3db7514fe6cd1011af">
        <w:r>
          <w:rPr>
            <w:rStyle w:val="Hyperlink"/>
          </w:rPr>
          <w:t>DocSecurity (Document Security)</w:t>
        </w:r>
      </w:hyperlink>
      <w:r>
        <w:t xml:space="preserve"> </w:t>
      </w:r>
      <w:r>
        <w:fldChar w:fldCharType="begin"/>
      </w:r>
      <w:r>
        <w:instrText>PAGEREF section_f0f1a882555d4c3db7514fe6cd1011af</w:instrText>
      </w:r>
      <w:r>
        <w:fldChar w:fldCharType="separate"/>
      </w:r>
      <w:r>
        <w:rPr>
          <w:noProof/>
        </w:rPr>
        <w:t>609</w:t>
      </w:r>
      <w:r>
        <w:fldChar w:fldCharType="end"/>
      </w:r>
    </w:p>
    <w:p w:rsidR="005F78FC" w:rsidRDefault="00B42EF3">
      <w:pPr>
        <w:pStyle w:val="indexentry0"/>
      </w:pPr>
      <w:hyperlink w:anchor="section_1a464df4e60c4d648582d2d29478a887">
        <w:r>
          <w:rPr>
            <w:rStyle w:val="Hyperlink"/>
          </w:rPr>
          <w:t>document (Document)</w:t>
        </w:r>
      </w:hyperlink>
      <w:r>
        <w:t xml:space="preserve"> </w:t>
      </w:r>
      <w:r>
        <w:fldChar w:fldCharType="begin"/>
      </w:r>
      <w:r>
        <w:instrText>PAGEREF section_1a464df4e60c4d648582d2d29478a887</w:instrText>
      </w:r>
      <w:r>
        <w:fldChar w:fldCharType="separate"/>
      </w:r>
      <w:r>
        <w:rPr>
          <w:noProof/>
        </w:rPr>
        <w:t>65</w:t>
      </w:r>
      <w:r>
        <w:fldChar w:fldCharType="end"/>
      </w:r>
    </w:p>
    <w:p w:rsidR="005F78FC" w:rsidRDefault="00B42EF3">
      <w:pPr>
        <w:pStyle w:val="indexentry0"/>
      </w:pPr>
      <w:hyperlink w:anchor="section_e12d2773e2d045bfb1c2b8f0548e156d">
        <w:r>
          <w:rPr>
            <w:rStyle w:val="Hyperlink"/>
          </w:rPr>
          <w:t>documentProtection (Document Editing Restrictions)</w:t>
        </w:r>
      </w:hyperlink>
      <w:r>
        <w:t xml:space="preserve"> </w:t>
      </w:r>
      <w:r>
        <w:fldChar w:fldCharType="begin"/>
      </w:r>
      <w:r>
        <w:instrText>PAGEREF section_e12d2773e2d045bfb1c2b8f0548e156d</w:instrText>
      </w:r>
      <w:r>
        <w:fldChar w:fldCharType="separate"/>
      </w:r>
      <w:r>
        <w:rPr>
          <w:noProof/>
        </w:rPr>
        <w:t>155</w:t>
      </w:r>
      <w:r>
        <w:fldChar w:fldCharType="end"/>
      </w:r>
    </w:p>
    <w:p w:rsidR="005F78FC" w:rsidRDefault="00B42EF3">
      <w:pPr>
        <w:pStyle w:val="indexentry0"/>
      </w:pPr>
      <w:hyperlink w:anchor="section_db557c47a6d844cba1d1e00b81720be2">
        <w:r>
          <w:rPr>
            <w:rStyle w:val="Hyperlink"/>
          </w:rPr>
          <w:t>docVar (Single Document Variable)</w:t>
        </w:r>
      </w:hyperlink>
      <w:r>
        <w:t xml:space="preserve"> </w:t>
      </w:r>
      <w:r>
        <w:fldChar w:fldCharType="begin"/>
      </w:r>
      <w:r>
        <w:instrText>PAGEREF section_db557c47a6d844cba1d1e00b81720be2</w:instrText>
      </w:r>
      <w:r>
        <w:fldChar w:fldCharType="separate"/>
      </w:r>
      <w:r>
        <w:rPr>
          <w:noProof/>
        </w:rPr>
        <w:t>157</w:t>
      </w:r>
      <w:r>
        <w:fldChar w:fldCharType="end"/>
      </w:r>
    </w:p>
    <w:p w:rsidR="005F78FC" w:rsidRDefault="00B42EF3">
      <w:pPr>
        <w:pStyle w:val="indexentry0"/>
      </w:pPr>
      <w:hyperlink w:anchor="section_8c4980c3abb244b887910b5b00c8546a">
        <w:r>
          <w:rPr>
            <w:rStyle w:val="Hyperlink"/>
          </w:rPr>
          <w:t>DOLLAR</w:t>
        </w:r>
      </w:hyperlink>
      <w:r>
        <w:t xml:space="preserve"> </w:t>
      </w:r>
      <w:r>
        <w:fldChar w:fldCharType="begin"/>
      </w:r>
      <w:r>
        <w:instrText>PAGEREF section_8c4980c3abb244b887910b5b00c8546a</w:instrText>
      </w:r>
      <w:r>
        <w:fldChar w:fldCharType="separate"/>
      </w:r>
      <w:r>
        <w:rPr>
          <w:noProof/>
        </w:rPr>
        <w:t>422</w:t>
      </w:r>
      <w:r>
        <w:fldChar w:fldCharType="end"/>
      </w:r>
    </w:p>
    <w:p w:rsidR="005F78FC" w:rsidRDefault="00B42EF3">
      <w:pPr>
        <w:pStyle w:val="indexentry0"/>
      </w:pPr>
      <w:hyperlink w:anchor="section_9db144490d4049699ce7de5c45e6f786">
        <w:r>
          <w:rPr>
            <w:rStyle w:val="Hyperlink"/>
          </w:rPr>
          <w:t>DOLLARDE</w:t>
        </w:r>
      </w:hyperlink>
      <w:r>
        <w:t xml:space="preserve"> </w:t>
      </w:r>
      <w:r>
        <w:fldChar w:fldCharType="begin"/>
      </w:r>
      <w:r>
        <w:instrText>PAGEREF section_9db144490d4049699ce7de5c45e6f786</w:instrText>
      </w:r>
      <w:r>
        <w:fldChar w:fldCharType="separate"/>
      </w:r>
      <w:r>
        <w:rPr>
          <w:noProof/>
        </w:rPr>
        <w:t>422</w:t>
      </w:r>
      <w:r>
        <w:fldChar w:fldCharType="end"/>
      </w:r>
    </w:p>
    <w:p w:rsidR="005F78FC" w:rsidRDefault="00B42EF3">
      <w:pPr>
        <w:pStyle w:val="indexentry0"/>
      </w:pPr>
      <w:hyperlink w:anchor="section_ecddd7b509c9434a845ef520c6384747">
        <w:r>
          <w:rPr>
            <w:rStyle w:val="Hyperlink"/>
          </w:rPr>
          <w:t>DOLLARFR</w:t>
        </w:r>
      </w:hyperlink>
      <w:r>
        <w:t xml:space="preserve"> </w:t>
      </w:r>
      <w:r>
        <w:fldChar w:fldCharType="begin"/>
      </w:r>
      <w:r>
        <w:instrText xml:space="preserve">PAGEREF </w:instrText>
      </w:r>
      <w:r>
        <w:instrText>section_ecddd7b509c9434a845ef520c6384747</w:instrText>
      </w:r>
      <w:r>
        <w:fldChar w:fldCharType="separate"/>
      </w:r>
      <w:r>
        <w:rPr>
          <w:noProof/>
        </w:rPr>
        <w:t>422</w:t>
      </w:r>
      <w:r>
        <w:fldChar w:fldCharType="end"/>
      </w:r>
    </w:p>
    <w:p w:rsidR="005F78FC" w:rsidRDefault="00B42EF3">
      <w:pPr>
        <w:pStyle w:val="indexentry0"/>
      </w:pPr>
      <w:hyperlink w:anchor="section_491140ac216d46eda8797b430b295e95">
        <w:r>
          <w:rPr>
            <w:rStyle w:val="Hyperlink"/>
          </w:rPr>
          <w:t>doNotAutofitConstrainedTables (Do Not AutoFit Tables To Fit Next To Wrapped Objects)</w:t>
        </w:r>
      </w:hyperlink>
      <w:r>
        <w:t xml:space="preserve"> </w:t>
      </w:r>
      <w:r>
        <w:fldChar w:fldCharType="begin"/>
      </w:r>
      <w:r>
        <w:instrText>PAGEREF section_491140ac216d46eda8797b430b295e95</w:instrText>
      </w:r>
      <w:r>
        <w:fldChar w:fldCharType="separate"/>
      </w:r>
      <w:r>
        <w:rPr>
          <w:noProof/>
        </w:rPr>
        <w:t>631</w:t>
      </w:r>
      <w:r>
        <w:fldChar w:fldCharType="end"/>
      </w:r>
    </w:p>
    <w:p w:rsidR="005F78FC" w:rsidRDefault="00B42EF3">
      <w:pPr>
        <w:pStyle w:val="indexentry0"/>
      </w:pPr>
      <w:hyperlink w:anchor="section_ef7c006b0a794542aea8687f9a5275fc">
        <w:r>
          <w:rPr>
            <w:rStyle w:val="Hyperlink"/>
          </w:rPr>
          <w:t>doNotLeaveBackslashAlone (Display Backslash As Yen Sign)</w:t>
        </w:r>
      </w:hyperlink>
      <w:r>
        <w:t xml:space="preserve"> </w:t>
      </w:r>
      <w:r>
        <w:fldChar w:fldCharType="begin"/>
      </w:r>
      <w:r>
        <w:instrText>PAGEREF section_ef7c006b0a794542aea8687f9a5275fc</w:instrText>
      </w:r>
      <w:r>
        <w:fldChar w:fldCharType="separate"/>
      </w:r>
      <w:r>
        <w:rPr>
          <w:noProof/>
        </w:rPr>
        <w:t>167</w:t>
      </w:r>
      <w:r>
        <w:fldChar w:fldCharType="end"/>
      </w:r>
    </w:p>
    <w:p w:rsidR="005F78FC" w:rsidRDefault="00B42EF3">
      <w:pPr>
        <w:pStyle w:val="indexentry0"/>
      </w:pPr>
      <w:hyperlink w:anchor="section_12c70bad8a3c48ab9451a184aa79471b">
        <w:r>
          <w:rPr>
            <w:rStyle w:val="Hyperlink"/>
          </w:rPr>
          <w:t>doNotOrganizeInFolder (Do Not Place</w:t>
        </w:r>
        <w:r>
          <w:rPr>
            <w:rStyle w:val="Hyperlink"/>
          </w:rPr>
          <w:t xml:space="preserve"> Supporting Files in Subdirectory)</w:t>
        </w:r>
      </w:hyperlink>
      <w:r>
        <w:t xml:space="preserve"> </w:t>
      </w:r>
      <w:r>
        <w:fldChar w:fldCharType="begin"/>
      </w:r>
      <w:r>
        <w:instrText>PAGEREF section_12c70bad8a3c48ab9451a184aa79471b</w:instrText>
      </w:r>
      <w:r>
        <w:fldChar w:fldCharType="separate"/>
      </w:r>
      <w:r>
        <w:rPr>
          <w:noProof/>
        </w:rPr>
        <w:t>164</w:t>
      </w:r>
      <w:r>
        <w:fldChar w:fldCharType="end"/>
      </w:r>
    </w:p>
    <w:p w:rsidR="005F78FC" w:rsidRDefault="00B42EF3">
      <w:pPr>
        <w:pStyle w:val="indexentry0"/>
      </w:pPr>
      <w:hyperlink w:anchor="section_e66cb7aa8ce74144a087a6cbae1d32e0">
        <w:r>
          <w:rPr>
            <w:rStyle w:val="Hyperlink"/>
          </w:rPr>
          <w:t>doNotSuppressBlankLines (Remove Blank Lines from Merged Documents)</w:t>
        </w:r>
      </w:hyperlink>
      <w:r>
        <w:t xml:space="preserve"> </w:t>
      </w:r>
      <w:r>
        <w:fldChar w:fldCharType="begin"/>
      </w:r>
      <w:r>
        <w:instrText>PAGEREF section_e66cb7aa8ce74144a087a</w:instrText>
      </w:r>
      <w:r>
        <w:instrText>6cbae1d32e0</w:instrText>
      </w:r>
      <w:r>
        <w:fldChar w:fldCharType="separate"/>
      </w:r>
      <w:r>
        <w:rPr>
          <w:noProof/>
        </w:rPr>
        <w:t>145</w:t>
      </w:r>
      <w:r>
        <w:fldChar w:fldCharType="end"/>
      </w:r>
    </w:p>
    <w:p w:rsidR="005F78FC" w:rsidRDefault="00B42EF3">
      <w:pPr>
        <w:pStyle w:val="indexentry0"/>
      </w:pPr>
      <w:hyperlink w:anchor="section_22d6975fb6c24b2f95a821369e8deaa7">
        <w:r>
          <w:rPr>
            <w:rStyle w:val="Hyperlink"/>
          </w:rPr>
          <w:t>doNotSuppressParagraphBorders (Do Not Suppress Paragraph Borders Next To Frames)</w:t>
        </w:r>
      </w:hyperlink>
      <w:r>
        <w:t xml:space="preserve"> </w:t>
      </w:r>
      <w:r>
        <w:fldChar w:fldCharType="begin"/>
      </w:r>
      <w:r>
        <w:instrText>PAGEREF section_22d6975fb6c24b2f95a821369e8deaa7</w:instrText>
      </w:r>
      <w:r>
        <w:fldChar w:fldCharType="separate"/>
      </w:r>
      <w:r>
        <w:rPr>
          <w:noProof/>
        </w:rPr>
        <w:t>632</w:t>
      </w:r>
      <w:r>
        <w:fldChar w:fldCharType="end"/>
      </w:r>
    </w:p>
    <w:p w:rsidR="005F78FC" w:rsidRDefault="00B42EF3">
      <w:pPr>
        <w:pStyle w:val="indexentry0"/>
      </w:pPr>
      <w:hyperlink w:anchor="section_54ee14414d034f27a278fdc84825d1a4">
        <w:r>
          <w:rPr>
            <w:rStyle w:val="Hyperlink"/>
          </w:rPr>
          <w:t>doNotUseMarginsForDrawingGridOrigin (Do Not Use Margins for Drawing Grid Origin)</w:t>
        </w:r>
      </w:hyperlink>
      <w:r>
        <w:t xml:space="preserve"> </w:t>
      </w:r>
      <w:r>
        <w:fldChar w:fldCharType="begin"/>
      </w:r>
      <w:r>
        <w:instrText>PAGEREF section_54ee14414d034f27a278fdc84825d1a4</w:instrText>
      </w:r>
      <w:r>
        <w:fldChar w:fldCharType="separate"/>
      </w:r>
      <w:r>
        <w:rPr>
          <w:noProof/>
        </w:rPr>
        <w:t>157</w:t>
      </w:r>
      <w:r>
        <w:fldChar w:fldCharType="end"/>
      </w:r>
    </w:p>
    <w:p w:rsidR="005F78FC" w:rsidRDefault="00B42EF3">
      <w:pPr>
        <w:pStyle w:val="indexentry0"/>
      </w:pPr>
      <w:hyperlink w:anchor="section_715e20be5789467db9ec5a39ae8a307b">
        <w:r>
          <w:rPr>
            <w:rStyle w:val="Hyperlink"/>
          </w:rPr>
          <w:t>doughnutChart (Doughnut Charts)</w:t>
        </w:r>
      </w:hyperlink>
      <w:r>
        <w:t xml:space="preserve"> </w:t>
      </w:r>
      <w:r>
        <w:fldChar w:fldCharType="begin"/>
      </w:r>
      <w:r>
        <w:instrText>PAGEREF section_715e20be5789467db9ec5a39ae8a307b</w:instrText>
      </w:r>
      <w:r>
        <w:fldChar w:fldCharType="separate"/>
      </w:r>
      <w:r>
        <w:rPr>
          <w:noProof/>
        </w:rPr>
        <w:t>553</w:t>
      </w:r>
      <w:r>
        <w:fldChar w:fldCharType="end"/>
      </w:r>
    </w:p>
    <w:p w:rsidR="005F78FC" w:rsidRDefault="00B42EF3">
      <w:pPr>
        <w:pStyle w:val="indexentry0"/>
      </w:pPr>
      <w:hyperlink w:anchor="section_36f807adabe04525a208004943cb6847">
        <w:r>
          <w:rPr>
            <w:rStyle w:val="Hyperlink"/>
          </w:rPr>
          <w:t>Downrev Storage</w:t>
        </w:r>
      </w:hyperlink>
      <w:r>
        <w:t xml:space="preserve"> </w:t>
      </w:r>
      <w:r>
        <w:fldChar w:fldCharType="begin"/>
      </w:r>
      <w:r>
        <w:instrText>PAGEREF section_36f807adabe04525a208004943cb6847</w:instrText>
      </w:r>
      <w:r>
        <w:fldChar w:fldCharType="separate"/>
      </w:r>
      <w:r>
        <w:rPr>
          <w:noProof/>
        </w:rPr>
        <w:t>831</w:t>
      </w:r>
      <w:r>
        <w:fldChar w:fldCharType="end"/>
      </w:r>
    </w:p>
    <w:p w:rsidR="005F78FC" w:rsidRDefault="00B42EF3">
      <w:pPr>
        <w:pStyle w:val="indexentry0"/>
      </w:pPr>
      <w:hyperlink w:anchor="section_28f2957da97840c8bc855a32ed0ae8e1">
        <w:r>
          <w:rPr>
            <w:rStyle w:val="Hyperlink"/>
          </w:rPr>
          <w:t>downRevStg (</w:t>
        </w:r>
        <w:r>
          <w:rPr>
            <w:rStyle w:val="Hyperlink"/>
          </w:rPr>
          <w:t>DownRev Storage)</w:t>
        </w:r>
      </w:hyperlink>
      <w:r>
        <w:t xml:space="preserve"> </w:t>
      </w:r>
      <w:r>
        <w:fldChar w:fldCharType="begin"/>
      </w:r>
      <w:r>
        <w:instrText>PAGEREF section_28f2957da97840c8bc855a32ed0ae8e1</w:instrText>
      </w:r>
      <w:r>
        <w:fldChar w:fldCharType="separate"/>
      </w:r>
      <w:r>
        <w:rPr>
          <w:noProof/>
        </w:rPr>
        <w:t>833</w:t>
      </w:r>
      <w:r>
        <w:fldChar w:fldCharType="end"/>
      </w:r>
    </w:p>
    <w:p w:rsidR="005F78FC" w:rsidRDefault="00B42EF3">
      <w:pPr>
        <w:pStyle w:val="indexentry0"/>
      </w:pPr>
      <w:hyperlink w:anchor="section_10229973494b4cf4bcdbe6e1d4f7dff4">
        <w:r>
          <w:rPr>
            <w:rStyle w:val="Hyperlink"/>
          </w:rPr>
          <w:t>DPRODUCT</w:t>
        </w:r>
      </w:hyperlink>
      <w:r>
        <w:t xml:space="preserve"> </w:t>
      </w:r>
      <w:r>
        <w:fldChar w:fldCharType="begin"/>
      </w:r>
      <w:r>
        <w:instrText>PAGEREF section_10229973494b4cf4bcdbe6e1d4f7dff4</w:instrText>
      </w:r>
      <w:r>
        <w:fldChar w:fldCharType="separate"/>
      </w:r>
      <w:r>
        <w:rPr>
          <w:noProof/>
        </w:rPr>
        <w:t>422</w:t>
      </w:r>
      <w:r>
        <w:fldChar w:fldCharType="end"/>
      </w:r>
    </w:p>
    <w:p w:rsidR="005F78FC" w:rsidRDefault="00B42EF3">
      <w:pPr>
        <w:pStyle w:val="indexentry0"/>
      </w:pPr>
      <w:hyperlink w:anchor="section_efcc9c90877d48d4947f5194629db949">
        <w:r>
          <w:rPr>
            <w:rStyle w:val="Hyperlink"/>
          </w:rPr>
          <w:t>drawing (Drawing)</w:t>
        </w:r>
      </w:hyperlink>
      <w:r>
        <w:t xml:space="preserve"> </w:t>
      </w:r>
      <w:r>
        <w:fldChar w:fldCharType="begin"/>
      </w:r>
      <w:r>
        <w:instrText>PAGEREF section_efcc9c90877d48d4947f5194629db949</w:instrText>
      </w:r>
      <w:r>
        <w:fldChar w:fldCharType="separate"/>
      </w:r>
      <w:r>
        <w:rPr>
          <w:noProof/>
        </w:rPr>
        <w:t>261</w:t>
      </w:r>
      <w:r>
        <w:fldChar w:fldCharType="end"/>
      </w:r>
    </w:p>
    <w:p w:rsidR="005F78FC" w:rsidRDefault="00B42EF3">
      <w:pPr>
        <w:pStyle w:val="indexentry0"/>
      </w:pPr>
      <w:hyperlink w:anchor="section_a1c3e0e5f5544b71b9cc950db18ec0f2">
        <w:r>
          <w:rPr>
            <w:rStyle w:val="Hyperlink"/>
          </w:rPr>
          <w:t>drawing (DrawingML Object)</w:t>
        </w:r>
      </w:hyperlink>
      <w:r>
        <w:t xml:space="preserve"> </w:t>
      </w:r>
      <w:r>
        <w:fldChar w:fldCharType="begin"/>
      </w:r>
      <w:r>
        <w:instrText>PAGEREF section_a1c3e0e5f5544b71b9cc950db18ec0f2</w:instrText>
      </w:r>
      <w:r>
        <w:fldChar w:fldCharType="separate"/>
      </w:r>
      <w:r>
        <w:rPr>
          <w:noProof/>
        </w:rPr>
        <w:t>82</w:t>
      </w:r>
      <w:r>
        <w:fldChar w:fldCharType="end"/>
      </w:r>
    </w:p>
    <w:p w:rsidR="005F78FC" w:rsidRDefault="00B42EF3">
      <w:pPr>
        <w:pStyle w:val="indexentry0"/>
      </w:pPr>
      <w:hyperlink w:anchor="section_8fb48b7d2afc4228bcebccf65ace2627">
        <w:r>
          <w:rPr>
            <w:rStyle w:val="Hyperlink"/>
          </w:rPr>
          <w:t>drawingGridHorizontalOrigin (Drawing Grid Horizontal Origin Point)</w:t>
        </w:r>
      </w:hyperlink>
      <w:r>
        <w:t xml:space="preserve"> </w:t>
      </w:r>
      <w:r>
        <w:fldChar w:fldCharType="begin"/>
      </w:r>
      <w:r>
        <w:instrText>PAGEREF section_8fb48b7d2afc4228bcebccf65ace2627</w:instrText>
      </w:r>
      <w:r>
        <w:fldChar w:fldCharType="separate"/>
      </w:r>
      <w:r>
        <w:rPr>
          <w:noProof/>
        </w:rPr>
        <w:t>157</w:t>
      </w:r>
      <w:r>
        <w:fldChar w:fldCharType="end"/>
      </w:r>
    </w:p>
    <w:p w:rsidR="005F78FC" w:rsidRDefault="00B42EF3">
      <w:pPr>
        <w:pStyle w:val="indexentry0"/>
      </w:pPr>
      <w:hyperlink w:anchor="section_6f3978f5d2b14c05852f0a7002cb7e48">
        <w:r>
          <w:rPr>
            <w:rStyle w:val="Hyperlink"/>
          </w:rPr>
          <w:t>drawingGridVe</w:t>
        </w:r>
        <w:r>
          <w:rPr>
            <w:rStyle w:val="Hyperlink"/>
          </w:rPr>
          <w:t>rticalOrigin (Drawing Grid Vertical Origin Point)</w:t>
        </w:r>
      </w:hyperlink>
      <w:r>
        <w:t xml:space="preserve"> </w:t>
      </w:r>
      <w:r>
        <w:fldChar w:fldCharType="begin"/>
      </w:r>
      <w:r>
        <w:instrText>PAGEREF section_6f3978f5d2b14c05852f0a7002cb7e48</w:instrText>
      </w:r>
      <w:r>
        <w:fldChar w:fldCharType="separate"/>
      </w:r>
      <w:r>
        <w:rPr>
          <w:noProof/>
        </w:rPr>
        <w:t>158</w:t>
      </w:r>
      <w:r>
        <w:fldChar w:fldCharType="end"/>
      </w:r>
    </w:p>
    <w:p w:rsidR="005F78FC" w:rsidRDefault="00B42EF3">
      <w:pPr>
        <w:pStyle w:val="indexentry0"/>
      </w:pPr>
      <w:hyperlink w:anchor="section_654ae6202cb44d9caa31e2ae86f121fc">
        <w:r>
          <w:rPr>
            <w:rStyle w:val="Hyperlink"/>
          </w:rPr>
          <w:t>drawingHF (Drawing Reference in Header Footer)</w:t>
        </w:r>
      </w:hyperlink>
      <w:r>
        <w:t xml:space="preserve"> </w:t>
      </w:r>
      <w:r>
        <w:fldChar w:fldCharType="begin"/>
      </w:r>
      <w:r>
        <w:instrText>PAGEREF section_654ae6202cb44d9caa31e2ae86</w:instrText>
      </w:r>
      <w:r>
        <w:instrText>f121fc</w:instrText>
      </w:r>
      <w:r>
        <w:fldChar w:fldCharType="separate"/>
      </w:r>
      <w:r>
        <w:rPr>
          <w:noProof/>
        </w:rPr>
        <w:t>261</w:t>
      </w:r>
      <w:r>
        <w:fldChar w:fldCharType="end"/>
      </w:r>
    </w:p>
    <w:p w:rsidR="005F78FC" w:rsidRDefault="00B42EF3">
      <w:pPr>
        <w:pStyle w:val="indexentry0"/>
      </w:pPr>
      <w:hyperlink w:anchor="section_5f22f80d39f24ed6a6eb2dd92581ef97">
        <w:r>
          <w:rPr>
            <w:rStyle w:val="Hyperlink"/>
          </w:rPr>
          <w:t>DrawingML Persistence Part</w:t>
        </w:r>
      </w:hyperlink>
      <w:r>
        <w:t xml:space="preserve"> </w:t>
      </w:r>
      <w:r>
        <w:fldChar w:fldCharType="begin"/>
      </w:r>
      <w:r>
        <w:instrText>PAGEREF section_5f22f80d39f24ed6a6eb2dd92581ef97</w:instrText>
      </w:r>
      <w:r>
        <w:fldChar w:fldCharType="separate"/>
      </w:r>
      <w:r>
        <w:rPr>
          <w:noProof/>
        </w:rPr>
        <w:t>830</w:t>
      </w:r>
      <w:r>
        <w:fldChar w:fldCharType="end"/>
      </w:r>
    </w:p>
    <w:p w:rsidR="005F78FC" w:rsidRDefault="00B42EF3">
      <w:pPr>
        <w:pStyle w:val="indexentry0"/>
      </w:pPr>
      <w:hyperlink w:anchor="section_c98431745ffc464f8a9e408fcacb65b5">
        <w:r>
          <w:rPr>
            <w:rStyle w:val="Hyperlink"/>
          </w:rPr>
          <w:t>DrawingML Persistence Parts</w:t>
        </w:r>
      </w:hyperlink>
      <w:r>
        <w:t xml:space="preserve"> </w:t>
      </w:r>
      <w:r>
        <w:fldChar w:fldCharType="begin"/>
      </w:r>
      <w:r>
        <w:instrText>PAGEREF secti</w:instrText>
      </w:r>
      <w:r>
        <w:instrText>on_c98431745ffc464f8a9e408fcacb65b5</w:instrText>
      </w:r>
      <w:r>
        <w:fldChar w:fldCharType="separate"/>
      </w:r>
      <w:r>
        <w:rPr>
          <w:noProof/>
        </w:rPr>
        <w:t>830</w:t>
      </w:r>
      <w:r>
        <w:fldChar w:fldCharType="end"/>
      </w:r>
    </w:p>
    <w:p w:rsidR="005F78FC" w:rsidRDefault="00B42EF3">
      <w:pPr>
        <w:pStyle w:val="indexentry0"/>
      </w:pPr>
      <w:hyperlink w:anchor="section_be4c7afa1a9848fdac817039f3bf3a19">
        <w:r>
          <w:rPr>
            <w:rStyle w:val="Hyperlink"/>
          </w:rPr>
          <w:t>DropLines (Dropdown Maximum Lines)</w:t>
        </w:r>
      </w:hyperlink>
      <w:r>
        <w:t xml:space="preserve"> </w:t>
      </w:r>
      <w:r>
        <w:fldChar w:fldCharType="begin"/>
      </w:r>
      <w:r>
        <w:instrText>PAGEREF section_be4c7afa1a9848fdac817039f3bf3a19</w:instrText>
      </w:r>
      <w:r>
        <w:fldChar w:fldCharType="separate"/>
      </w:r>
      <w:r>
        <w:rPr>
          <w:noProof/>
        </w:rPr>
        <w:t>680</w:t>
      </w:r>
      <w:r>
        <w:fldChar w:fldCharType="end"/>
      </w:r>
    </w:p>
    <w:p w:rsidR="005F78FC" w:rsidRDefault="00B42EF3">
      <w:pPr>
        <w:pStyle w:val="indexentry0"/>
      </w:pPr>
      <w:hyperlink w:anchor="section_d07238816fbc49ac99b0668c3f56ae05">
        <w:r>
          <w:rPr>
            <w:rStyle w:val="Hyperlink"/>
          </w:rPr>
          <w:t>DropStyle (Dropdown Style)</w:t>
        </w:r>
      </w:hyperlink>
      <w:r>
        <w:t xml:space="preserve"> </w:t>
      </w:r>
      <w:r>
        <w:fldChar w:fldCharType="begin"/>
      </w:r>
      <w:r>
        <w:instrText>PAGEREF section_d07238816fbc49ac99b0668c3f56ae05</w:instrText>
      </w:r>
      <w:r>
        <w:fldChar w:fldCharType="separate"/>
      </w:r>
      <w:r>
        <w:rPr>
          <w:noProof/>
        </w:rPr>
        <w:t>680</w:t>
      </w:r>
      <w:r>
        <w:fldChar w:fldCharType="end"/>
      </w:r>
    </w:p>
    <w:p w:rsidR="005F78FC" w:rsidRDefault="00B42EF3">
      <w:pPr>
        <w:pStyle w:val="indexentry0"/>
      </w:pPr>
      <w:hyperlink w:anchor="section_90e88cb8509b42fa9de0733a7fe14161">
        <w:r>
          <w:rPr>
            <w:rStyle w:val="Hyperlink"/>
          </w:rPr>
          <w:t>ds (Dash Stop)</w:t>
        </w:r>
      </w:hyperlink>
      <w:r>
        <w:t xml:space="preserve"> </w:t>
      </w:r>
      <w:r>
        <w:fldChar w:fldCharType="begin"/>
      </w:r>
      <w:r>
        <w:instrText>PAGEREF section_90e88cb8509b42fa9de0733a7fe14161</w:instrText>
      </w:r>
      <w:r>
        <w:fldChar w:fldCharType="separate"/>
      </w:r>
      <w:r>
        <w:rPr>
          <w:noProof/>
        </w:rPr>
        <w:t>515</w:t>
      </w:r>
      <w:r>
        <w:fldChar w:fldCharType="end"/>
      </w:r>
    </w:p>
    <w:p w:rsidR="005F78FC" w:rsidRDefault="00B42EF3">
      <w:pPr>
        <w:pStyle w:val="indexentry0"/>
      </w:pPr>
      <w:hyperlink w:anchor="section_f4583c0d8f87480793ccf7144bb4901e">
        <w:r>
          <w:rPr>
            <w:rStyle w:val="Hyperlink"/>
          </w:rPr>
          <w:t>DSTDEV</w:t>
        </w:r>
      </w:hyperlink>
      <w:r>
        <w:t xml:space="preserve"> </w:t>
      </w:r>
      <w:r>
        <w:fldChar w:fldCharType="begin"/>
      </w:r>
      <w:r>
        <w:instrText>PAGEREF section_f4583c0d8f87480793ccf7144bb4901e</w:instrText>
      </w:r>
      <w:r>
        <w:fldChar w:fldCharType="separate"/>
      </w:r>
      <w:r>
        <w:rPr>
          <w:noProof/>
        </w:rPr>
        <w:t>422</w:t>
      </w:r>
      <w:r>
        <w:fldChar w:fldCharType="end"/>
      </w:r>
    </w:p>
    <w:p w:rsidR="005F78FC" w:rsidRDefault="00B42EF3">
      <w:pPr>
        <w:pStyle w:val="indexentry0"/>
      </w:pPr>
      <w:hyperlink w:anchor="section_c516d215cc2a472f98e9a3e4d454084a">
        <w:r>
          <w:rPr>
            <w:rStyle w:val="Hyperlink"/>
          </w:rPr>
          <w:t>DSTDEVP</w:t>
        </w:r>
      </w:hyperlink>
      <w:r>
        <w:t xml:space="preserve"> </w:t>
      </w:r>
      <w:r>
        <w:fldChar w:fldCharType="begin"/>
      </w:r>
      <w:r>
        <w:instrText>PAGEREF section_c516d215cc2a472f98e9a3e4d454084a</w:instrText>
      </w:r>
      <w:r>
        <w:fldChar w:fldCharType="separate"/>
      </w:r>
      <w:r>
        <w:rPr>
          <w:noProof/>
        </w:rPr>
        <w:t>422</w:t>
      </w:r>
      <w:r>
        <w:fldChar w:fldCharType="end"/>
      </w:r>
    </w:p>
    <w:p w:rsidR="005F78FC" w:rsidRDefault="00B42EF3">
      <w:pPr>
        <w:pStyle w:val="indexentry0"/>
      </w:pPr>
      <w:hyperlink w:anchor="section_b9002f2fcbd749a7b93fef03eb167d0c">
        <w:r>
          <w:rPr>
            <w:rStyle w:val="Hyperlink"/>
          </w:rPr>
          <w:t>DSUM</w:t>
        </w:r>
      </w:hyperlink>
      <w:r>
        <w:t xml:space="preserve"> </w:t>
      </w:r>
      <w:r>
        <w:fldChar w:fldCharType="begin"/>
      </w:r>
      <w:r>
        <w:instrText>PAGEREF section_b9002f2fcbd749a7b93fef03eb167d0c</w:instrText>
      </w:r>
      <w:r>
        <w:fldChar w:fldCharType="separate"/>
      </w:r>
      <w:r>
        <w:rPr>
          <w:noProof/>
        </w:rPr>
        <w:t>423</w:t>
      </w:r>
      <w:r>
        <w:fldChar w:fldCharType="end"/>
      </w:r>
    </w:p>
    <w:p w:rsidR="005F78FC" w:rsidRDefault="00B42EF3">
      <w:pPr>
        <w:pStyle w:val="indexentry0"/>
      </w:pPr>
      <w:hyperlink w:anchor="section_c4fb5e6e431f415291d23b48831d77af">
        <w:r>
          <w:rPr>
            <w:rStyle w:val="Hyperlink"/>
          </w:rPr>
          <w:t>duotone (Duotone Effect)</w:t>
        </w:r>
      </w:hyperlink>
      <w:r>
        <w:t xml:space="preserve"> </w:t>
      </w:r>
      <w:r>
        <w:fldChar w:fldCharType="begin"/>
      </w:r>
      <w:r>
        <w:instrText>PAGEREF section_c4fb5e6e431f415291d23b48831d77af</w:instrText>
      </w:r>
      <w:r>
        <w:fldChar w:fldCharType="separate"/>
      </w:r>
      <w:r>
        <w:rPr>
          <w:noProof/>
        </w:rPr>
        <w:t>515</w:t>
      </w:r>
      <w:r>
        <w:fldChar w:fldCharType="end"/>
      </w:r>
    </w:p>
    <w:p w:rsidR="005F78FC" w:rsidRDefault="00B42EF3">
      <w:pPr>
        <w:pStyle w:val="indexentry0"/>
      </w:pPr>
      <w:hyperlink w:anchor="section_68f1329a6d8f49d6ad141af208658265">
        <w:r>
          <w:rPr>
            <w:rStyle w:val="Hyperlink"/>
          </w:rPr>
          <w:t>DURATION</w:t>
        </w:r>
      </w:hyperlink>
      <w:r>
        <w:t xml:space="preserve"> </w:t>
      </w:r>
      <w:r>
        <w:fldChar w:fldCharType="begin"/>
      </w:r>
      <w:r>
        <w:instrText>PAGEREF section_68f1329a6d8f49d6ad141af208658265</w:instrText>
      </w:r>
      <w:r>
        <w:fldChar w:fldCharType="separate"/>
      </w:r>
      <w:r>
        <w:rPr>
          <w:noProof/>
        </w:rPr>
        <w:t>423</w:t>
      </w:r>
      <w:r>
        <w:fldChar w:fldCharType="end"/>
      </w:r>
    </w:p>
    <w:p w:rsidR="005F78FC" w:rsidRDefault="00B42EF3">
      <w:pPr>
        <w:pStyle w:val="indexentry0"/>
      </w:pPr>
      <w:hyperlink w:anchor="section_4c431026aee849dcb59333e886fa11a5">
        <w:r>
          <w:rPr>
            <w:rStyle w:val="Hyperlink"/>
          </w:rPr>
          <w:t>DVAR</w:t>
        </w:r>
      </w:hyperlink>
      <w:r>
        <w:t xml:space="preserve"> </w:t>
      </w:r>
      <w:r>
        <w:fldChar w:fldCharType="begin"/>
      </w:r>
      <w:r>
        <w:instrText>PAGEREF section_4c431026aee849dcb59333e886fa11a5</w:instrText>
      </w:r>
      <w:r>
        <w:fldChar w:fldCharType="separate"/>
      </w:r>
      <w:r>
        <w:rPr>
          <w:noProof/>
        </w:rPr>
        <w:t>424</w:t>
      </w:r>
      <w:r>
        <w:fldChar w:fldCharType="end"/>
      </w:r>
    </w:p>
    <w:p w:rsidR="005F78FC" w:rsidRDefault="00B42EF3">
      <w:pPr>
        <w:pStyle w:val="indexentry0"/>
      </w:pPr>
      <w:hyperlink w:anchor="section_4ff3283999cf4feab83bf5b2e4a6f0f4">
        <w:r>
          <w:rPr>
            <w:rStyle w:val="Hyperlink"/>
          </w:rPr>
          <w:t>DVA</w:t>
        </w:r>
        <w:r>
          <w:rPr>
            <w:rStyle w:val="Hyperlink"/>
          </w:rPr>
          <w:t>RP</w:t>
        </w:r>
      </w:hyperlink>
      <w:r>
        <w:t xml:space="preserve"> </w:t>
      </w:r>
      <w:r>
        <w:fldChar w:fldCharType="begin"/>
      </w:r>
      <w:r>
        <w:instrText>PAGEREF section_4ff3283999cf4feab83bf5b2e4a6f0f4</w:instrText>
      </w:r>
      <w:r>
        <w:fldChar w:fldCharType="separate"/>
      </w:r>
      <w:r>
        <w:rPr>
          <w:noProof/>
        </w:rPr>
        <w:t>424</w:t>
      </w:r>
      <w:r>
        <w:fldChar w:fldCharType="end"/>
      </w:r>
    </w:p>
    <w:p w:rsidR="005F78FC" w:rsidRDefault="00B42EF3">
      <w:pPr>
        <w:pStyle w:val="indexentry0"/>
      </w:pPr>
      <w:hyperlink w:anchor="section_7d806fa038a14b96908dbd982340949a">
        <w:r>
          <w:rPr>
            <w:rStyle w:val="Hyperlink"/>
          </w:rPr>
          <w:t>Dx (Scroll Bar Width)</w:t>
        </w:r>
      </w:hyperlink>
      <w:r>
        <w:t xml:space="preserve"> </w:t>
      </w:r>
      <w:r>
        <w:fldChar w:fldCharType="begin"/>
      </w:r>
      <w:r>
        <w:instrText>PAGEREF section_7d806fa038a14b96908dbd982340949a</w:instrText>
      </w:r>
      <w:r>
        <w:fldChar w:fldCharType="separate"/>
      </w:r>
      <w:r>
        <w:rPr>
          <w:noProof/>
        </w:rPr>
        <w:t>681</w:t>
      </w:r>
      <w:r>
        <w:fldChar w:fldCharType="end"/>
      </w:r>
    </w:p>
    <w:p w:rsidR="005F78FC" w:rsidRDefault="00B42EF3">
      <w:pPr>
        <w:pStyle w:val="indexentry0"/>
      </w:pPr>
      <w:hyperlink w:anchor="section_c9e9313d99ba4a11aeb1d390477d6163">
        <w:r>
          <w:rPr>
            <w:rStyle w:val="Hyperlink"/>
          </w:rPr>
          <w:t>dxfs (Formats)</w:t>
        </w:r>
      </w:hyperlink>
      <w:r>
        <w:t xml:space="preserve"> </w:t>
      </w:r>
      <w:r>
        <w:fldChar w:fldCharType="begin"/>
      </w:r>
      <w:r>
        <w:instrText>PAGEREF section_c9e9313d99ba4a11aeb1d390477d6163</w:instrText>
      </w:r>
      <w:r>
        <w:fldChar w:fldCharType="separate"/>
      </w:r>
      <w:r>
        <w:rPr>
          <w:noProof/>
        </w:rPr>
        <w:t>301</w:t>
      </w:r>
      <w:r>
        <w:fldChar w:fldCharType="end"/>
      </w:r>
    </w:p>
    <w:p w:rsidR="005F78FC" w:rsidRDefault="00B42EF3">
      <w:pPr>
        <w:pStyle w:val="indexentry0"/>
      </w:pPr>
      <w:hyperlink w:anchor="section_02dec7e2a50549b3aa72334570ecbf26">
        <w:r>
          <w:rPr>
            <w:rStyle w:val="Hyperlink"/>
          </w:rPr>
          <w:t>dynamicAddress (Use Country-Based Address Field Ordering)</w:t>
        </w:r>
      </w:hyperlink>
      <w:r>
        <w:t xml:space="preserve"> </w:t>
      </w:r>
      <w:r>
        <w:fldChar w:fldCharType="begin"/>
      </w:r>
      <w:r>
        <w:instrText>PAGEREF section_02dec7e2a50549b3aa72334570ecbf26</w:instrText>
      </w:r>
      <w:r>
        <w:fldChar w:fldCharType="separate"/>
      </w:r>
      <w:r>
        <w:rPr>
          <w:noProof/>
        </w:rPr>
        <w:t>145</w:t>
      </w:r>
      <w:r>
        <w:fldChar w:fldCharType="end"/>
      </w:r>
    </w:p>
    <w:p w:rsidR="005F78FC" w:rsidRDefault="00B42EF3">
      <w:pPr>
        <w:pStyle w:val="indexentry0"/>
      </w:pPr>
      <w:hyperlink w:anchor="section_d118f1d4878c4db69f4a63dba6e56158">
        <w:r>
          <w:rPr>
            <w:rStyle w:val="Hyperlink"/>
          </w:rPr>
          <w:t>dynamicFilter (Dynamic Filter)</w:t>
        </w:r>
      </w:hyperlink>
      <w:r>
        <w:t xml:space="preserve"> </w:t>
      </w:r>
      <w:r>
        <w:fldChar w:fldCharType="begin"/>
      </w:r>
      <w:r>
        <w:instrText>PAGEREF section_d118f1d4878c4db69f4a63dba6e56158</w:instrText>
      </w:r>
      <w:r>
        <w:fldChar w:fldCharType="separate"/>
      </w:r>
      <w:r>
        <w:rPr>
          <w:noProof/>
        </w:rPr>
        <w:t>291</w:t>
      </w:r>
      <w:r>
        <w:fldChar w:fldCharType="end"/>
      </w:r>
    </w:p>
    <w:p w:rsidR="005F78FC" w:rsidRDefault="005F78FC">
      <w:pPr>
        <w:spacing w:before="0" w:after="0"/>
        <w:rPr>
          <w:sz w:val="16"/>
        </w:rPr>
      </w:pPr>
    </w:p>
    <w:p w:rsidR="005F78FC" w:rsidRDefault="00B42EF3">
      <w:pPr>
        <w:pStyle w:val="indexheader"/>
      </w:pPr>
      <w:r>
        <w:t>E</w:t>
      </w:r>
    </w:p>
    <w:p w:rsidR="005F78FC" w:rsidRDefault="005F78FC">
      <w:pPr>
        <w:spacing w:before="0" w:after="0"/>
        <w:rPr>
          <w:sz w:val="16"/>
        </w:rPr>
      </w:pPr>
    </w:p>
    <w:p w:rsidR="005F78FC" w:rsidRDefault="00B42EF3">
      <w:pPr>
        <w:pStyle w:val="indexentry0"/>
      </w:pPr>
      <w:hyperlink w:anchor="section_c48a2b6342e34d6ab754b47422049f56">
        <w:r>
          <w:rPr>
            <w:rStyle w:val="Hyperlink"/>
          </w:rPr>
          <w:t>e (Element (Argument))</w:t>
        </w:r>
      </w:hyperlink>
      <w:r>
        <w:t xml:space="preserve"> </w:t>
      </w:r>
      <w:r>
        <w:fldChar w:fldCharType="begin"/>
      </w:r>
      <w:r>
        <w:instrText>PAGEREF section_c48a2b6342e34d6ab7</w:instrText>
      </w:r>
      <w:r>
        <w:instrText>54b47422049f56</w:instrText>
      </w:r>
      <w:r>
        <w:fldChar w:fldCharType="separate"/>
      </w:r>
      <w:r>
        <w:rPr>
          <w:noProof/>
        </w:rPr>
        <w:t>599</w:t>
      </w:r>
      <w:r>
        <w:fldChar w:fldCharType="end"/>
      </w:r>
    </w:p>
    <w:p w:rsidR="005F78FC" w:rsidRDefault="00B42EF3">
      <w:pPr>
        <w:pStyle w:val="indexentry0"/>
      </w:pPr>
      <w:hyperlink w:anchor="section_7fcc8aec5f1f443399032a30573dfc5d">
        <w:r>
          <w:rPr>
            <w:rStyle w:val="Hyperlink"/>
          </w:rPr>
          <w:t>e (Error Value)</w:t>
        </w:r>
      </w:hyperlink>
      <w:r>
        <w:t xml:space="preserve"> </w:t>
      </w:r>
      <w:r>
        <w:fldChar w:fldCharType="begin"/>
      </w:r>
      <w:r>
        <w:instrText>PAGEREF section_7fcc8aec5f1f443399032a30573dfc5d</w:instrText>
      </w:r>
      <w:r>
        <w:fldChar w:fldCharType="separate"/>
      </w:r>
      <w:r>
        <w:rPr>
          <w:noProof/>
        </w:rPr>
        <w:t>336</w:t>
      </w:r>
      <w:r>
        <w:fldChar w:fldCharType="end"/>
      </w:r>
    </w:p>
    <w:p w:rsidR="005F78FC" w:rsidRDefault="00B42EF3">
      <w:pPr>
        <w:pStyle w:val="indexentry0"/>
      </w:pPr>
      <w:hyperlink w:anchor="section_093801fe80854aaaa44a78583b640385">
        <w:r>
          <w:rPr>
            <w:rStyle w:val="Hyperlink"/>
          </w:rPr>
          <w:t>e2oholder (E2o Holder)</w:t>
        </w:r>
      </w:hyperlink>
      <w:r>
        <w:t xml:space="preserve"> </w:t>
      </w:r>
      <w:r>
        <w:fldChar w:fldCharType="begin"/>
      </w:r>
      <w:r>
        <w:instrText>PAGEREF section_09380</w:instrText>
      </w:r>
      <w:r>
        <w:instrText>1fe80854aaaa44a78583b640385</w:instrText>
      </w:r>
      <w:r>
        <w:fldChar w:fldCharType="separate"/>
      </w:r>
      <w:r>
        <w:rPr>
          <w:noProof/>
        </w:rPr>
        <w:t>834</w:t>
      </w:r>
      <w:r>
        <w:fldChar w:fldCharType="end"/>
      </w:r>
    </w:p>
    <w:p w:rsidR="005F78FC" w:rsidRDefault="00B42EF3">
      <w:pPr>
        <w:pStyle w:val="indexentry0"/>
      </w:pPr>
      <w:hyperlink w:anchor="section_0805d87ac1c945c0905e342f9b3a4473">
        <w:r>
          <w:rPr>
            <w:rStyle w:val="Hyperlink"/>
          </w:rPr>
          <w:t>ea (East Asian Font)</w:t>
        </w:r>
      </w:hyperlink>
      <w:r>
        <w:t xml:space="preserve"> </w:t>
      </w:r>
      <w:r>
        <w:fldChar w:fldCharType="begin"/>
      </w:r>
      <w:r>
        <w:instrText>PAGEREF section_0805d87ac1c945c0905e342f9b3a4473</w:instrText>
      </w:r>
      <w:r>
        <w:fldChar w:fldCharType="separate"/>
      </w:r>
      <w:r>
        <w:rPr>
          <w:noProof/>
        </w:rPr>
        <w:t>536</w:t>
      </w:r>
      <w:r>
        <w:fldChar w:fldCharType="end"/>
      </w:r>
    </w:p>
    <w:p w:rsidR="005F78FC" w:rsidRDefault="00B42EF3">
      <w:pPr>
        <w:pStyle w:val="indexentry0"/>
      </w:pPr>
      <w:hyperlink w:anchor="section_efbc3ed11349457293a0a4e0f71e2a8b">
        <w:r>
          <w:rPr>
            <w:rStyle w:val="Hyperlink"/>
          </w:rPr>
          <w:t xml:space="preserve">eastAsianLayout (East Asian </w:t>
        </w:r>
        <w:r>
          <w:rPr>
            <w:rStyle w:val="Hyperlink"/>
          </w:rPr>
          <w:t>Typography Settings)</w:t>
        </w:r>
      </w:hyperlink>
      <w:r>
        <w:t xml:space="preserve"> </w:t>
      </w:r>
      <w:r>
        <w:fldChar w:fldCharType="begin"/>
      </w:r>
      <w:r>
        <w:instrText>PAGEREF section_efbc3ed11349457293a0a4e0f71e2a8b</w:instrText>
      </w:r>
      <w:r>
        <w:fldChar w:fldCharType="separate"/>
      </w:r>
      <w:r>
        <w:rPr>
          <w:noProof/>
        </w:rPr>
        <w:t>73</w:t>
      </w:r>
      <w:r>
        <w:fldChar w:fldCharType="end"/>
      </w:r>
    </w:p>
    <w:p w:rsidR="005F78FC" w:rsidRDefault="00B42EF3">
      <w:pPr>
        <w:pStyle w:val="indexentry0"/>
      </w:pPr>
      <w:hyperlink w:anchor="section_0e6c5c298bbf496d9494aaed1fcd59d7">
        <w:r>
          <w:rPr>
            <w:rStyle w:val="Hyperlink"/>
          </w:rPr>
          <w:t>EDATE</w:t>
        </w:r>
      </w:hyperlink>
      <w:r>
        <w:t xml:space="preserve"> </w:t>
      </w:r>
      <w:r>
        <w:fldChar w:fldCharType="begin"/>
      </w:r>
      <w:r>
        <w:instrText>PAGEREF section_0e6c5c298bbf496d9494aaed1fcd59d7</w:instrText>
      </w:r>
      <w:r>
        <w:fldChar w:fldCharType="separate"/>
      </w:r>
      <w:r>
        <w:rPr>
          <w:noProof/>
        </w:rPr>
        <w:t>424</w:t>
      </w:r>
      <w:r>
        <w:fldChar w:fldCharType="end"/>
      </w:r>
    </w:p>
    <w:p w:rsidR="005F78FC" w:rsidRDefault="00B42EF3">
      <w:pPr>
        <w:pStyle w:val="indexentry0"/>
      </w:pPr>
      <w:hyperlink w:anchor="section_be63571bd1204e6c87935326f06cba49">
        <w:r>
          <w:rPr>
            <w:rStyle w:val="Hyperlink"/>
          </w:rPr>
          <w:t>effect (Animated Text Effect)</w:t>
        </w:r>
      </w:hyperlink>
      <w:r>
        <w:t xml:space="preserve"> </w:t>
      </w:r>
      <w:r>
        <w:fldChar w:fldCharType="begin"/>
      </w:r>
      <w:r>
        <w:instrText>PAGEREF section_be63571bd1204e6c87935326f06cba49</w:instrText>
      </w:r>
      <w:r>
        <w:fldChar w:fldCharType="separate"/>
      </w:r>
      <w:r>
        <w:rPr>
          <w:noProof/>
        </w:rPr>
        <w:t>74</w:t>
      </w:r>
      <w:r>
        <w:fldChar w:fldCharType="end"/>
      </w:r>
    </w:p>
    <w:p w:rsidR="005F78FC" w:rsidRDefault="00B42EF3">
      <w:pPr>
        <w:pStyle w:val="indexentry0"/>
      </w:pPr>
      <w:hyperlink w:anchor="section_ebe8f712db08467bb271aa447682cb84">
        <w:r>
          <w:rPr>
            <w:rStyle w:val="Hyperlink"/>
          </w:rPr>
          <w:t>effect (Effect)</w:t>
        </w:r>
      </w:hyperlink>
      <w:r>
        <w:t xml:space="preserve"> </w:t>
      </w:r>
      <w:r>
        <w:fldChar w:fldCharType="begin"/>
      </w:r>
      <w:r>
        <w:instrText>PAGEREF section_ebe8f712db08467bb271aa447682cb84</w:instrText>
      </w:r>
      <w:r>
        <w:fldChar w:fldCharType="separate"/>
      </w:r>
      <w:r>
        <w:rPr>
          <w:noProof/>
        </w:rPr>
        <w:t>516</w:t>
      </w:r>
      <w:r>
        <w:fldChar w:fldCharType="end"/>
      </w:r>
    </w:p>
    <w:p w:rsidR="005F78FC" w:rsidRDefault="00B42EF3">
      <w:pPr>
        <w:pStyle w:val="indexentry0"/>
      </w:pPr>
      <w:hyperlink w:anchor="section_4012c5a0ae0041ed9248616ef4442075">
        <w:r>
          <w:rPr>
            <w:rStyle w:val="Hyperlink"/>
          </w:rPr>
          <w:t>effectClrLst (Effect Color List)</w:t>
        </w:r>
      </w:hyperlink>
      <w:r>
        <w:t xml:space="preserve"> </w:t>
      </w:r>
      <w:r>
        <w:fldChar w:fldCharType="begin"/>
      </w:r>
      <w:r>
        <w:instrText>PAGEREF section_4012c5a0ae0041ed9248616ef4442075</w:instrText>
      </w:r>
      <w:r>
        <w:fldChar w:fldCharType="separate"/>
      </w:r>
      <w:r>
        <w:rPr>
          <w:noProof/>
        </w:rPr>
        <w:t>588</w:t>
      </w:r>
      <w:r>
        <w:fldChar w:fldCharType="end"/>
      </w:r>
    </w:p>
    <w:p w:rsidR="005F78FC" w:rsidRDefault="00B42EF3">
      <w:pPr>
        <w:pStyle w:val="indexentry0"/>
      </w:pPr>
      <w:hyperlink w:anchor="section_3e0414ed4af14d09bdd7cf791c064cea">
        <w:r>
          <w:rPr>
            <w:rStyle w:val="Hyperlink"/>
          </w:rPr>
          <w:t>effectDag (Effect Container)</w:t>
        </w:r>
      </w:hyperlink>
      <w:r>
        <w:t xml:space="preserve"> </w:t>
      </w:r>
      <w:r>
        <w:fldChar w:fldCharType="begin"/>
      </w:r>
      <w:r>
        <w:instrText>PAGEREF section_3e0414ed4af14d09bdd7cf791c064cea</w:instrText>
      </w:r>
      <w:r>
        <w:fldChar w:fldCharType="separate"/>
      </w:r>
      <w:r>
        <w:rPr>
          <w:noProof/>
        </w:rPr>
        <w:t>516</w:t>
      </w:r>
      <w:r>
        <w:fldChar w:fldCharType="end"/>
      </w:r>
    </w:p>
    <w:p w:rsidR="005F78FC" w:rsidRDefault="00B42EF3">
      <w:pPr>
        <w:pStyle w:val="indexentry0"/>
      </w:pPr>
      <w:hyperlink w:anchor="section_f1c2e75590484bdb96b5a6bf36caafcf">
        <w:r>
          <w:rPr>
            <w:rStyle w:val="Hyperlink"/>
          </w:rPr>
          <w:t>effectExtent (Object Extents Including Effects)</w:t>
        </w:r>
      </w:hyperlink>
      <w:r>
        <w:t xml:space="preserve"> </w:t>
      </w:r>
      <w:r>
        <w:fldChar w:fldCharType="begin"/>
      </w:r>
      <w:r>
        <w:instrText>PAGEREF section_f1c2e75590484bdb96b5a6bf36caafcf</w:instrText>
      </w:r>
      <w:r>
        <w:fldChar w:fldCharType="separate"/>
      </w:r>
      <w:r>
        <w:rPr>
          <w:noProof/>
        </w:rPr>
        <w:t>527</w:t>
      </w:r>
      <w:r>
        <w:fldChar w:fldCharType="end"/>
      </w:r>
    </w:p>
    <w:p w:rsidR="005F78FC" w:rsidRDefault="00B42EF3">
      <w:pPr>
        <w:pStyle w:val="indexentry0"/>
      </w:pPr>
      <w:hyperlink w:anchor="section_597fd3303f3a4f689f1394e06acddbe0">
        <w:r>
          <w:rPr>
            <w:rStyle w:val="Hyperlink"/>
          </w:rPr>
          <w:t>effectOffset (Effect Offset)</w:t>
        </w:r>
      </w:hyperlink>
      <w:r>
        <w:t xml:space="preserve"> </w:t>
      </w:r>
      <w:r>
        <w:fldChar w:fldCharType="begin"/>
      </w:r>
      <w:r>
        <w:instrText>PAGER</w:instrText>
      </w:r>
      <w:r>
        <w:instrText>EF section_597fd3303f3a4f689f1394e06acddbe0</w:instrText>
      </w:r>
      <w:r>
        <w:fldChar w:fldCharType="separate"/>
      </w:r>
      <w:r>
        <w:rPr>
          <w:noProof/>
        </w:rPr>
        <w:t>835</w:t>
      </w:r>
      <w:r>
        <w:fldChar w:fldCharType="end"/>
      </w:r>
    </w:p>
    <w:p w:rsidR="005F78FC" w:rsidRDefault="00B42EF3">
      <w:pPr>
        <w:pStyle w:val="indexentry0"/>
      </w:pPr>
      <w:hyperlink w:anchor="section_9b1199772ec9455a98aecb60f7bb0ed8">
        <w:r>
          <w:rPr>
            <w:rStyle w:val="Hyperlink"/>
          </w:rPr>
          <w:t>Elements</w:t>
        </w:r>
      </w:hyperlink>
      <w:r>
        <w:t xml:space="preserve"> </w:t>
      </w:r>
      <w:r>
        <w:fldChar w:fldCharType="begin"/>
      </w:r>
      <w:r>
        <w:instrText>PAGEREF section_9b1199772ec9455a98aecb60f7bb0ed8</w:instrText>
      </w:r>
      <w:r>
        <w:fldChar w:fldCharType="separate"/>
      </w:r>
      <w:r>
        <w:rPr>
          <w:noProof/>
        </w:rPr>
        <w:t>884</w:t>
      </w:r>
      <w:r>
        <w:fldChar w:fldCharType="end"/>
      </w:r>
    </w:p>
    <w:p w:rsidR="005F78FC" w:rsidRDefault="00B42EF3">
      <w:pPr>
        <w:pStyle w:val="indexentry0"/>
      </w:pPr>
      <w:hyperlink w:anchor="section_31c096fd0b5c4a08baf1480296df51b3">
        <w:r>
          <w:rPr>
            <w:rStyle w:val="Hyperlink"/>
          </w:rPr>
          <w:t>embed (Embedded Object o</w:t>
        </w:r>
        <w:r>
          <w:rPr>
            <w:rStyle w:val="Hyperlink"/>
          </w:rPr>
          <w:t>r Control)</w:t>
        </w:r>
      </w:hyperlink>
      <w:r>
        <w:t xml:space="preserve"> </w:t>
      </w:r>
      <w:r>
        <w:fldChar w:fldCharType="begin"/>
      </w:r>
      <w:r>
        <w:instrText>PAGEREF section_31c096fd0b5c4a08baf1480296df51b3</w:instrText>
      </w:r>
      <w:r>
        <w:fldChar w:fldCharType="separate"/>
      </w:r>
      <w:r>
        <w:rPr>
          <w:noProof/>
        </w:rPr>
        <w:t>472</w:t>
      </w:r>
      <w:r>
        <w:fldChar w:fldCharType="end"/>
      </w:r>
    </w:p>
    <w:p w:rsidR="005F78FC" w:rsidRDefault="00B42EF3">
      <w:pPr>
        <w:pStyle w:val="indexentry0"/>
      </w:pPr>
      <w:hyperlink w:anchor="section_6fbd8de94638407883b94c7a065baa9c">
        <w:r>
          <w:rPr>
            <w:rStyle w:val="Hyperlink"/>
          </w:rPr>
          <w:t>embedBold (Bold Style Font Style Embedding)</w:t>
        </w:r>
      </w:hyperlink>
      <w:r>
        <w:t xml:space="preserve"> </w:t>
      </w:r>
      <w:r>
        <w:fldChar w:fldCharType="begin"/>
      </w:r>
      <w:r>
        <w:instrText>PAGEREF section_6fbd8de94638407883b94c7a065baa9c</w:instrText>
      </w:r>
      <w:r>
        <w:fldChar w:fldCharType="separate"/>
      </w:r>
      <w:r>
        <w:rPr>
          <w:noProof/>
        </w:rPr>
        <w:t>124</w:t>
      </w:r>
      <w:r>
        <w:fldChar w:fldCharType="end"/>
      </w:r>
    </w:p>
    <w:p w:rsidR="005F78FC" w:rsidRDefault="00B42EF3">
      <w:pPr>
        <w:pStyle w:val="indexentry0"/>
      </w:pPr>
      <w:hyperlink w:anchor="section_dbbfc4ff54c04dbcaebae872109c43e8">
        <w:r>
          <w:rPr>
            <w:rStyle w:val="Hyperlink"/>
          </w:rPr>
          <w:t>embedBoldItalic (Bold Italic Font Style Embedding)</w:t>
        </w:r>
      </w:hyperlink>
      <w:r>
        <w:t xml:space="preserve"> </w:t>
      </w:r>
      <w:r>
        <w:fldChar w:fldCharType="begin"/>
      </w:r>
      <w:r>
        <w:instrText>PAGEREF section_dbbfc4ff54c04dbcaebae872109c43e8</w:instrText>
      </w:r>
      <w:r>
        <w:fldChar w:fldCharType="separate"/>
      </w:r>
      <w:r>
        <w:rPr>
          <w:noProof/>
        </w:rPr>
        <w:t>124</w:t>
      </w:r>
      <w:r>
        <w:fldChar w:fldCharType="end"/>
      </w:r>
    </w:p>
    <w:p w:rsidR="005F78FC" w:rsidRDefault="00B42EF3">
      <w:pPr>
        <w:pStyle w:val="indexentry0"/>
      </w:pPr>
      <w:hyperlink w:anchor="section_2c6688debe084ffaac5432d19ebc4ca3">
        <w:r>
          <w:rPr>
            <w:rStyle w:val="Hyperlink"/>
          </w:rPr>
          <w:t>Embedded Control Persistence Binary Data Part</w:t>
        </w:r>
      </w:hyperlink>
      <w:r>
        <w:t xml:space="preserve"> </w:t>
      </w:r>
      <w:r>
        <w:fldChar w:fldCharType="begin"/>
      </w:r>
      <w:r>
        <w:instrText>PAGEREF section_2c6688debe084ffaac5432d19ebc4ca3</w:instrText>
      </w:r>
      <w:r>
        <w:fldChar w:fldCharType="separate"/>
      </w:r>
      <w:r>
        <w:rPr>
          <w:noProof/>
        </w:rPr>
        <w:t>851</w:t>
      </w:r>
      <w:r>
        <w:fldChar w:fldCharType="end"/>
      </w:r>
    </w:p>
    <w:p w:rsidR="005F78FC" w:rsidRDefault="00B42EF3">
      <w:pPr>
        <w:pStyle w:val="indexentry0"/>
      </w:pPr>
      <w:hyperlink w:anchor="section_754c8ac1923d412f8fefc85862e9124a">
        <w:r>
          <w:rPr>
            <w:rStyle w:val="Hyperlink"/>
          </w:rPr>
          <w:t>Embedded Control Persistence Part</w:t>
        </w:r>
      </w:hyperlink>
      <w:r>
        <w:t xml:space="preserve"> </w:t>
      </w:r>
      <w:r>
        <w:fldChar w:fldCharType="begin"/>
      </w:r>
      <w:r>
        <w:instrText>PAGEREF section_754c8ac1923d412f8fefc85862e9124a</w:instrText>
      </w:r>
      <w:r>
        <w:fldChar w:fldCharType="separate"/>
      </w:r>
      <w:r>
        <w:rPr>
          <w:noProof/>
        </w:rPr>
        <w:t>59</w:t>
      </w:r>
      <w:r>
        <w:fldChar w:fldCharType="end"/>
      </w:r>
    </w:p>
    <w:p w:rsidR="005F78FC" w:rsidRDefault="00B42EF3">
      <w:pPr>
        <w:pStyle w:val="indexentry0"/>
      </w:pPr>
      <w:hyperlink w:anchor="section_fb2ecab117a14552bac38df949321ba8">
        <w:r>
          <w:rPr>
            <w:rStyle w:val="Hyperlink"/>
          </w:rPr>
          <w:t>embeddedFontLst (Embedded Font List)</w:t>
        </w:r>
      </w:hyperlink>
      <w:r>
        <w:t xml:space="preserve"> </w:t>
      </w:r>
      <w:r>
        <w:fldChar w:fldCharType="begin"/>
      </w:r>
      <w:r>
        <w:instrText>PAGEREF section_fb2ecab117a14552bac38df949321ba8</w:instrText>
      </w:r>
      <w:r>
        <w:fldChar w:fldCharType="separate"/>
      </w:r>
      <w:r>
        <w:rPr>
          <w:noProof/>
        </w:rPr>
        <w:t>463</w:t>
      </w:r>
      <w:r>
        <w:fldChar w:fldCharType="end"/>
      </w:r>
    </w:p>
    <w:p w:rsidR="005F78FC" w:rsidRDefault="00B42EF3">
      <w:pPr>
        <w:pStyle w:val="indexentry0"/>
      </w:pPr>
      <w:hyperlink w:anchor="section_6da0671b0642486684113e94da64d2d8">
        <w:r>
          <w:rPr>
            <w:rStyle w:val="Hyperlink"/>
          </w:rPr>
          <w:t>embedItalic (Italic Font Style Embedding)</w:t>
        </w:r>
      </w:hyperlink>
      <w:r>
        <w:t xml:space="preserve"> </w:t>
      </w:r>
      <w:r>
        <w:fldChar w:fldCharType="begin"/>
      </w:r>
      <w:r>
        <w:instrText>PAGEREF section_6da0671b0642486684113e94da64d2d8</w:instrText>
      </w:r>
      <w:r>
        <w:fldChar w:fldCharType="separate"/>
      </w:r>
      <w:r>
        <w:rPr>
          <w:noProof/>
        </w:rPr>
        <w:t>125</w:t>
      </w:r>
      <w:r>
        <w:fldChar w:fldCharType="end"/>
      </w:r>
    </w:p>
    <w:p w:rsidR="005F78FC" w:rsidRDefault="00B42EF3">
      <w:pPr>
        <w:pStyle w:val="indexentry0"/>
      </w:pPr>
      <w:hyperlink w:anchor="section_10b5df87a73f4b55ada6222da4780aba">
        <w:r>
          <w:rPr>
            <w:rStyle w:val="Hyperlink"/>
          </w:rPr>
          <w:t>embedRegular (Regular Font Style Embedding)</w:t>
        </w:r>
      </w:hyperlink>
      <w:r>
        <w:t xml:space="preserve"> </w:t>
      </w:r>
      <w:r>
        <w:fldChar w:fldCharType="begin"/>
      </w:r>
      <w:r>
        <w:instrText>PAGEREF section_10b5df87a73f4b55ada6222da4780aba</w:instrText>
      </w:r>
      <w:r>
        <w:fldChar w:fldCharType="separate"/>
      </w:r>
      <w:r>
        <w:rPr>
          <w:noProof/>
        </w:rPr>
        <w:t>125</w:t>
      </w:r>
      <w:r>
        <w:fldChar w:fldCharType="end"/>
      </w:r>
    </w:p>
    <w:p w:rsidR="005F78FC" w:rsidRDefault="00B42EF3">
      <w:pPr>
        <w:pStyle w:val="indexentry0"/>
      </w:pPr>
      <w:hyperlink w:anchor="section_8c385d066c29470b89cf3c2bab8633e6">
        <w:r>
          <w:rPr>
            <w:rStyle w:val="Hyperlink"/>
          </w:rPr>
          <w:t>embedTrueTypeFonts (Embed TrueType Fon</w:t>
        </w:r>
        <w:r>
          <w:rPr>
            <w:rStyle w:val="Hyperlink"/>
          </w:rPr>
          <w:t>ts)</w:t>
        </w:r>
      </w:hyperlink>
      <w:r>
        <w:t xml:space="preserve"> </w:t>
      </w:r>
      <w:r>
        <w:fldChar w:fldCharType="begin"/>
      </w:r>
      <w:r>
        <w:instrText>PAGEREF section_8c385d066c29470b89cf3c2bab8633e6</w:instrText>
      </w:r>
      <w:r>
        <w:fldChar w:fldCharType="separate"/>
      </w:r>
      <w:r>
        <w:rPr>
          <w:noProof/>
        </w:rPr>
        <w:t>125</w:t>
      </w:r>
      <w:r>
        <w:fldChar w:fldCharType="end"/>
      </w:r>
    </w:p>
    <w:p w:rsidR="005F78FC" w:rsidRDefault="00B42EF3">
      <w:pPr>
        <w:pStyle w:val="indexentry0"/>
      </w:pPr>
      <w:hyperlink w:anchor="section_ee04d38668c14e8dbce4f4250173ca21">
        <w:r>
          <w:rPr>
            <w:rStyle w:val="Hyperlink"/>
          </w:rPr>
          <w:t>emboss (Embossing)</w:t>
        </w:r>
      </w:hyperlink>
      <w:r>
        <w:t xml:space="preserve"> </w:t>
      </w:r>
      <w:r>
        <w:fldChar w:fldCharType="begin"/>
      </w:r>
      <w:r>
        <w:instrText>PAGEREF section_ee04d38668c14e8dbce4f4250173ca21</w:instrText>
      </w:r>
      <w:r>
        <w:fldChar w:fldCharType="separate"/>
      </w:r>
      <w:r>
        <w:rPr>
          <w:noProof/>
        </w:rPr>
        <w:t>74</w:t>
      </w:r>
      <w:r>
        <w:fldChar w:fldCharType="end"/>
      </w:r>
    </w:p>
    <w:p w:rsidR="005F78FC" w:rsidRDefault="00B42EF3">
      <w:pPr>
        <w:pStyle w:val="indexentry0"/>
      </w:pPr>
      <w:hyperlink w:anchor="section_829e3c8a5e294f0b9b384d4ab414818c">
        <w:r>
          <w:rPr>
            <w:rStyle w:val="Hyperlink"/>
          </w:rPr>
          <w:t>enc</w:t>
        </w:r>
        <w:r>
          <w:rPr>
            <w:rStyle w:val="Hyperlink"/>
          </w:rPr>
          <w:t>oding (Output Encoding When Saving as Web Page)</w:t>
        </w:r>
      </w:hyperlink>
      <w:r>
        <w:t xml:space="preserve"> </w:t>
      </w:r>
      <w:r>
        <w:fldChar w:fldCharType="begin"/>
      </w:r>
      <w:r>
        <w:instrText>PAGEREF section_829e3c8a5e294f0b9b384d4ab414818c</w:instrText>
      </w:r>
      <w:r>
        <w:fldChar w:fldCharType="separate"/>
      </w:r>
      <w:r>
        <w:rPr>
          <w:noProof/>
        </w:rPr>
        <w:t>165</w:t>
      </w:r>
      <w:r>
        <w:fldChar w:fldCharType="end"/>
      </w:r>
    </w:p>
    <w:p w:rsidR="005F78FC" w:rsidRDefault="00B42EF3">
      <w:pPr>
        <w:pStyle w:val="indexentry0"/>
      </w:pPr>
      <w:hyperlink w:anchor="section_2c068059663f4dd795aa2cbc325caff6">
        <w:r>
          <w:rPr>
            <w:rStyle w:val="Hyperlink"/>
          </w:rPr>
          <w:t>end (Audio End Time)</w:t>
        </w:r>
      </w:hyperlink>
      <w:r>
        <w:t xml:space="preserve"> </w:t>
      </w:r>
      <w:r>
        <w:fldChar w:fldCharType="begin"/>
      </w:r>
      <w:r>
        <w:instrText>PAGEREF section_2c068059663f4dd795aa2cbc325caff6</w:instrText>
      </w:r>
      <w:r>
        <w:fldChar w:fldCharType="separate"/>
      </w:r>
      <w:r>
        <w:rPr>
          <w:noProof/>
        </w:rPr>
        <w:t>507</w:t>
      </w:r>
      <w:r>
        <w:fldChar w:fldCharType="end"/>
      </w:r>
    </w:p>
    <w:p w:rsidR="005F78FC" w:rsidRDefault="00B42EF3">
      <w:pPr>
        <w:pStyle w:val="indexentry0"/>
      </w:pPr>
      <w:hyperlink w:anchor="section_5afd726060ff42518744b0ed5d826f54">
        <w:r>
          <w:rPr>
            <w:rStyle w:val="Hyperlink"/>
          </w:rPr>
          <w:t>end (Table Cell Trailing Edge Border)</w:t>
        </w:r>
      </w:hyperlink>
      <w:r>
        <w:t xml:space="preserve"> </w:t>
      </w:r>
      <w:r>
        <w:fldChar w:fldCharType="begin"/>
      </w:r>
      <w:r>
        <w:instrText>PAGEREF section_5afd726060ff42518744b0ed5d826f54</w:instrText>
      </w:r>
      <w:r>
        <w:fldChar w:fldCharType="separate"/>
      </w:r>
      <w:r>
        <w:rPr>
          <w:noProof/>
        </w:rPr>
        <w:t>85</w:t>
      </w:r>
      <w:r>
        <w:fldChar w:fldCharType="end"/>
      </w:r>
    </w:p>
    <w:p w:rsidR="005F78FC" w:rsidRDefault="00B42EF3">
      <w:pPr>
        <w:pStyle w:val="indexentry0"/>
      </w:pPr>
      <w:hyperlink w:anchor="section_922e778f0e234947a0e4b52508651f6f">
        <w:r>
          <w:rPr>
            <w:rStyle w:val="Hyperlink"/>
          </w:rPr>
          <w:t>end (Table Cell Trailing Margin Default)</w:t>
        </w:r>
      </w:hyperlink>
      <w:r>
        <w:t xml:space="preserve"> </w:t>
      </w:r>
      <w:r>
        <w:fldChar w:fldCharType="begin"/>
      </w:r>
      <w:r>
        <w:instrText>PAGEREF section_9</w:instrText>
      </w:r>
      <w:r>
        <w:instrText>22e778f0e234947a0e4b52508651f6f</w:instrText>
      </w:r>
      <w:r>
        <w:fldChar w:fldCharType="separate"/>
      </w:r>
      <w:r>
        <w:rPr>
          <w:noProof/>
        </w:rPr>
        <w:t>85</w:t>
      </w:r>
      <w:r>
        <w:fldChar w:fldCharType="end"/>
      </w:r>
    </w:p>
    <w:p w:rsidR="005F78FC" w:rsidRDefault="00B42EF3">
      <w:pPr>
        <w:pStyle w:val="indexentry0"/>
      </w:pPr>
      <w:hyperlink w:anchor="section_4c92f707926044458881c728fd0988ca">
        <w:r>
          <w:rPr>
            <w:rStyle w:val="Hyperlink"/>
          </w:rPr>
          <w:t>end (Table Cell Trailing Margin Exception)</w:t>
        </w:r>
      </w:hyperlink>
      <w:r>
        <w:t xml:space="preserve"> </w:t>
      </w:r>
      <w:r>
        <w:fldChar w:fldCharType="begin"/>
      </w:r>
      <w:r>
        <w:instrText>PAGEREF section_4c92f707926044458881c728fd0988ca</w:instrText>
      </w:r>
      <w:r>
        <w:fldChar w:fldCharType="separate"/>
      </w:r>
      <w:r>
        <w:rPr>
          <w:noProof/>
        </w:rPr>
        <w:t>85</w:t>
      </w:r>
      <w:r>
        <w:fldChar w:fldCharType="end"/>
      </w:r>
    </w:p>
    <w:p w:rsidR="005F78FC" w:rsidRDefault="00B42EF3">
      <w:pPr>
        <w:pStyle w:val="indexentry0"/>
      </w:pPr>
      <w:hyperlink w:anchor="section_38d238ef408a4e128032b243fb47247b">
        <w:r>
          <w:rPr>
            <w:rStyle w:val="Hyperlink"/>
          </w:rPr>
          <w:t>end (Table Trailing Edge Border)</w:t>
        </w:r>
      </w:hyperlink>
      <w:r>
        <w:t xml:space="preserve"> </w:t>
      </w:r>
      <w:r>
        <w:fldChar w:fldCharType="begin"/>
      </w:r>
      <w:r>
        <w:instrText>PAGEREF section_38d238ef408a4e128032b243fb47247b</w:instrText>
      </w:r>
      <w:r>
        <w:fldChar w:fldCharType="separate"/>
      </w:r>
      <w:r>
        <w:rPr>
          <w:noProof/>
        </w:rPr>
        <w:t>85</w:t>
      </w:r>
      <w:r>
        <w:fldChar w:fldCharType="end"/>
      </w:r>
    </w:p>
    <w:p w:rsidR="005F78FC" w:rsidRDefault="00B42EF3">
      <w:pPr>
        <w:pStyle w:val="indexentry0"/>
      </w:pPr>
      <w:hyperlink w:anchor="section_adcd81b4377b4c819ebd670b0fab6704">
        <w:r>
          <w:rPr>
            <w:rStyle w:val="Hyperlink"/>
          </w:rPr>
          <w:t>end (Trailing Edge Border)</w:t>
        </w:r>
      </w:hyperlink>
      <w:r>
        <w:t xml:space="preserve"> </w:t>
      </w:r>
      <w:r>
        <w:fldChar w:fldCharType="begin"/>
      </w:r>
      <w:r>
        <w:instrText>PAGEREF section_adcd81b4377b4c819ebd670b0fab6704</w:instrText>
      </w:r>
      <w:r>
        <w:fldChar w:fldCharType="separate"/>
      </w:r>
      <w:r>
        <w:rPr>
          <w:noProof/>
        </w:rPr>
        <w:t>301</w:t>
      </w:r>
      <w:r>
        <w:fldChar w:fldCharType="end"/>
      </w:r>
    </w:p>
    <w:p w:rsidR="005F78FC" w:rsidRDefault="00B42EF3">
      <w:pPr>
        <w:pStyle w:val="indexentry0"/>
      </w:pPr>
      <w:hyperlink w:anchor="section_5e8ab39f0beb40b1bfb11aea60ce7e2b">
        <w:r>
          <w:rPr>
            <w:rStyle w:val="Hyperlink"/>
          </w:rPr>
          <w:t>endCxn (Connection End)</w:t>
        </w:r>
      </w:hyperlink>
      <w:r>
        <w:t xml:space="preserve"> </w:t>
      </w:r>
      <w:r>
        <w:fldChar w:fldCharType="begin"/>
      </w:r>
      <w:r>
        <w:instrText>PAGEREF section_5e8ab39f0beb40b1bfb11aea60ce7e2b</w:instrText>
      </w:r>
      <w:r>
        <w:fldChar w:fldCharType="separate"/>
      </w:r>
      <w:r>
        <w:rPr>
          <w:noProof/>
        </w:rPr>
        <w:t>499</w:t>
      </w:r>
      <w:r>
        <w:fldChar w:fldCharType="end"/>
      </w:r>
    </w:p>
    <w:p w:rsidR="005F78FC" w:rsidRDefault="00B42EF3">
      <w:pPr>
        <w:pStyle w:val="indexentry0"/>
      </w:pPr>
      <w:hyperlink w:anchor="section_9a1dbfc1962449af810efbfd0922949c">
        <w:r>
          <w:rPr>
            <w:rStyle w:val="Hyperlink"/>
          </w:rPr>
          <w:t>endnote (Endnote Content)</w:t>
        </w:r>
      </w:hyperlink>
      <w:r>
        <w:t xml:space="preserve"> </w:t>
      </w:r>
      <w:r>
        <w:fldChar w:fldCharType="begin"/>
      </w:r>
      <w:r>
        <w:instrText>PAGEREF section_9a1dbfc1962449af810efbfd0922949c</w:instrText>
      </w:r>
      <w:r>
        <w:fldChar w:fldCharType="separate"/>
      </w:r>
      <w:r>
        <w:rPr>
          <w:noProof/>
        </w:rPr>
        <w:t>131</w:t>
      </w:r>
      <w:r>
        <w:fldChar w:fldCharType="end"/>
      </w:r>
    </w:p>
    <w:p w:rsidR="005F78FC" w:rsidRDefault="00B42EF3">
      <w:pPr>
        <w:pStyle w:val="indexentry0"/>
      </w:pPr>
      <w:hyperlink w:anchor="section_35d669a8a0a04176acf26f206cac5d4d">
        <w:r>
          <w:rPr>
            <w:rStyle w:val="Hyperlink"/>
          </w:rPr>
          <w:t>endnote (Special Endnote List)</w:t>
        </w:r>
      </w:hyperlink>
      <w:r>
        <w:t xml:space="preserve"> </w:t>
      </w:r>
      <w:r>
        <w:fldChar w:fldCharType="begin"/>
      </w:r>
      <w:r>
        <w:instrText>PAGEREF section_35d669a8a0a04176acf26f206cac5d4d</w:instrText>
      </w:r>
      <w:r>
        <w:fldChar w:fldCharType="separate"/>
      </w:r>
      <w:r>
        <w:rPr>
          <w:noProof/>
        </w:rPr>
        <w:t>131</w:t>
      </w:r>
      <w:r>
        <w:fldChar w:fldCharType="end"/>
      </w:r>
    </w:p>
    <w:p w:rsidR="005F78FC" w:rsidRDefault="00B42EF3">
      <w:pPr>
        <w:pStyle w:val="indexentry0"/>
      </w:pPr>
      <w:hyperlink w:anchor="section_540efde2e14f4ab0b0aa7961a41fe10b">
        <w:r>
          <w:rPr>
            <w:rStyle w:val="Hyperlink"/>
          </w:rPr>
          <w:t>endnoteReference (Endnote Reference)</w:t>
        </w:r>
      </w:hyperlink>
      <w:r>
        <w:t xml:space="preserve"> </w:t>
      </w:r>
      <w:r>
        <w:fldChar w:fldCharType="begin"/>
      </w:r>
      <w:r>
        <w:instrText>PAGEREF secti</w:instrText>
      </w:r>
      <w:r>
        <w:instrText>on_540efde2e14f4ab0b0aa7961a41fe10b</w:instrText>
      </w:r>
      <w:r>
        <w:fldChar w:fldCharType="separate"/>
      </w:r>
      <w:r>
        <w:rPr>
          <w:noProof/>
        </w:rPr>
        <w:t>131</w:t>
      </w:r>
      <w:r>
        <w:fldChar w:fldCharType="end"/>
      </w:r>
    </w:p>
    <w:p w:rsidR="005F78FC" w:rsidRDefault="00B42EF3">
      <w:pPr>
        <w:pStyle w:val="indexentry0"/>
      </w:pPr>
      <w:hyperlink w:anchor="section_1df959fe2871407da864f6cb7dc4b748">
        <w:r>
          <w:rPr>
            <w:rStyle w:val="Hyperlink"/>
          </w:rPr>
          <w:t>endParaRPr (End Paragraph Run Properties)</w:t>
        </w:r>
      </w:hyperlink>
      <w:r>
        <w:t xml:space="preserve"> </w:t>
      </w:r>
      <w:r>
        <w:fldChar w:fldCharType="begin"/>
      </w:r>
      <w:r>
        <w:instrText>PAGEREF section_1df959fe2871407da864f6cb7dc4b748</w:instrText>
      </w:r>
      <w:r>
        <w:fldChar w:fldCharType="separate"/>
      </w:r>
      <w:r>
        <w:rPr>
          <w:noProof/>
        </w:rPr>
        <w:t>533</w:t>
      </w:r>
      <w:r>
        <w:fldChar w:fldCharType="end"/>
      </w:r>
    </w:p>
    <w:p w:rsidR="005F78FC" w:rsidRDefault="00B42EF3">
      <w:pPr>
        <w:pStyle w:val="indexentry0"/>
      </w:pPr>
      <w:hyperlink w:anchor="section_7f6da715ef45439db125c955433cf354">
        <w:r>
          <w:rPr>
            <w:rStyle w:val="Hyperlink"/>
          </w:rPr>
          <w:t>endSync (EndSync)</w:t>
        </w:r>
      </w:hyperlink>
      <w:r>
        <w:t xml:space="preserve"> </w:t>
      </w:r>
      <w:r>
        <w:fldChar w:fldCharType="begin"/>
      </w:r>
      <w:r>
        <w:instrText>PAGEREF section_7f6da715ef45439db125c955433cf354</w:instrText>
      </w:r>
      <w:r>
        <w:fldChar w:fldCharType="separate"/>
      </w:r>
      <w:r>
        <w:rPr>
          <w:noProof/>
        </w:rPr>
        <w:t>485</w:t>
      </w:r>
      <w:r>
        <w:fldChar w:fldCharType="end"/>
      </w:r>
    </w:p>
    <w:p w:rsidR="005F78FC" w:rsidRDefault="00B42EF3">
      <w:pPr>
        <w:pStyle w:val="indexentry0"/>
      </w:pPr>
      <w:hyperlink w:anchor="section_1116487233dd4c56b88f1fefc6858094">
        <w:r>
          <w:rPr>
            <w:rStyle w:val="Hyperlink"/>
          </w:rPr>
          <w:t>EQ</w:t>
        </w:r>
      </w:hyperlink>
      <w:r>
        <w:t xml:space="preserve"> </w:t>
      </w:r>
      <w:r>
        <w:fldChar w:fldCharType="begin"/>
      </w:r>
      <w:r>
        <w:instrText>PAGEREF section_1116487233dd4c56b88f1fefc6858094</w:instrText>
      </w:r>
      <w:r>
        <w:fldChar w:fldCharType="separate"/>
      </w:r>
      <w:r>
        <w:rPr>
          <w:noProof/>
        </w:rPr>
        <w:t>633</w:t>
      </w:r>
      <w:r>
        <w:fldChar w:fldCharType="end"/>
      </w:r>
    </w:p>
    <w:p w:rsidR="005F78FC" w:rsidRDefault="00B42EF3">
      <w:pPr>
        <w:pStyle w:val="indexentry0"/>
      </w:pPr>
      <w:hyperlink w:anchor="section_8f2b9c9aaf81400db9d2d86813102b3d">
        <w:r>
          <w:rPr>
            <w:rStyle w:val="Hyperlink"/>
          </w:rPr>
          <w:t>eqAr</w:t>
        </w:r>
        <w:r>
          <w:rPr>
            <w:rStyle w:val="Hyperlink"/>
          </w:rPr>
          <w:t>r (Array Object)</w:t>
        </w:r>
      </w:hyperlink>
      <w:r>
        <w:t xml:space="preserve"> </w:t>
      </w:r>
      <w:r>
        <w:fldChar w:fldCharType="begin"/>
      </w:r>
      <w:r>
        <w:instrText>PAGEREF section_8f2b9c9aaf81400db9d2d86813102b3d</w:instrText>
      </w:r>
      <w:r>
        <w:fldChar w:fldCharType="separate"/>
      </w:r>
      <w:r>
        <w:rPr>
          <w:noProof/>
        </w:rPr>
        <w:t>599</w:t>
      </w:r>
      <w:r>
        <w:fldChar w:fldCharType="end"/>
      </w:r>
    </w:p>
    <w:p w:rsidR="005F78FC" w:rsidRDefault="00B42EF3">
      <w:pPr>
        <w:pStyle w:val="indexentry0"/>
      </w:pPr>
      <w:hyperlink w:anchor="section_31ffd3e4140e44dca59bf5545b511558">
        <w:r>
          <w:rPr>
            <w:rStyle w:val="Hyperlink"/>
          </w:rPr>
          <w:t>ERF</w:t>
        </w:r>
      </w:hyperlink>
      <w:r>
        <w:t xml:space="preserve"> </w:t>
      </w:r>
      <w:r>
        <w:fldChar w:fldCharType="begin"/>
      </w:r>
      <w:r>
        <w:instrText>PAGEREF section_31ffd3e4140e44dca59bf5545b511558</w:instrText>
      </w:r>
      <w:r>
        <w:fldChar w:fldCharType="separate"/>
      </w:r>
      <w:r>
        <w:rPr>
          <w:noProof/>
        </w:rPr>
        <w:t>424</w:t>
      </w:r>
      <w:r>
        <w:fldChar w:fldCharType="end"/>
      </w:r>
    </w:p>
    <w:p w:rsidR="005F78FC" w:rsidRDefault="00B42EF3">
      <w:pPr>
        <w:pStyle w:val="indexentry0"/>
      </w:pPr>
      <w:hyperlink w:anchor="section_b90dd1d8dd354137b8a059312734a7e2">
        <w:r>
          <w:rPr>
            <w:rStyle w:val="Hyperlink"/>
          </w:rPr>
          <w:t>ERFC</w:t>
        </w:r>
      </w:hyperlink>
      <w:r>
        <w:t xml:space="preserve"> </w:t>
      </w:r>
      <w:r>
        <w:fldChar w:fldCharType="begin"/>
      </w:r>
      <w:r>
        <w:instrText>PAGEREF section_b90dd1d8dd354137b8a059312734a7e2</w:instrText>
      </w:r>
      <w:r>
        <w:fldChar w:fldCharType="separate"/>
      </w:r>
      <w:r>
        <w:rPr>
          <w:noProof/>
        </w:rPr>
        <w:t>424</w:t>
      </w:r>
      <w:r>
        <w:fldChar w:fldCharType="end"/>
      </w:r>
    </w:p>
    <w:p w:rsidR="005F78FC" w:rsidRDefault="00B42EF3">
      <w:pPr>
        <w:pStyle w:val="indexentry0"/>
      </w:pPr>
      <w:hyperlink w:anchor="section_31439ccabd5c45fa9c75a12b55c1d15f">
        <w:r>
          <w:rPr>
            <w:rStyle w:val="Hyperlink"/>
          </w:rPr>
          <w:t>errBars (Error Bars)</w:t>
        </w:r>
      </w:hyperlink>
      <w:r>
        <w:t xml:space="preserve"> </w:t>
      </w:r>
      <w:r>
        <w:fldChar w:fldCharType="begin"/>
      </w:r>
      <w:r>
        <w:instrText>PAGEREF section_31439ccabd5c45fa9c75a12b55c1d15f</w:instrText>
      </w:r>
      <w:r>
        <w:fldChar w:fldCharType="separate"/>
      </w:r>
      <w:r>
        <w:rPr>
          <w:noProof/>
        </w:rPr>
        <w:t>553</w:t>
      </w:r>
      <w:r>
        <w:fldChar w:fldCharType="end"/>
      </w:r>
    </w:p>
    <w:p w:rsidR="005F78FC" w:rsidRDefault="00B42EF3">
      <w:pPr>
        <w:pStyle w:val="indexentry0"/>
      </w:pPr>
      <w:hyperlink w:anchor="section_761c5fad51b2473984b9087b034ff117">
        <w:r>
          <w:rPr>
            <w:rStyle w:val="Hyperlink"/>
          </w:rPr>
          <w:t>errBa</w:t>
        </w:r>
        <w:r>
          <w:rPr>
            <w:rStyle w:val="Hyperlink"/>
          </w:rPr>
          <w:t>rType (Error Bar Type)</w:t>
        </w:r>
      </w:hyperlink>
      <w:r>
        <w:t xml:space="preserve"> </w:t>
      </w:r>
      <w:r>
        <w:fldChar w:fldCharType="begin"/>
      </w:r>
      <w:r>
        <w:instrText>PAGEREF section_761c5fad51b2473984b9087b034ff117</w:instrText>
      </w:r>
      <w:r>
        <w:fldChar w:fldCharType="separate"/>
      </w:r>
      <w:r>
        <w:rPr>
          <w:noProof/>
        </w:rPr>
        <w:t>553</w:t>
      </w:r>
      <w:r>
        <w:fldChar w:fldCharType="end"/>
      </w:r>
    </w:p>
    <w:p w:rsidR="005F78FC" w:rsidRDefault="00B42EF3">
      <w:pPr>
        <w:pStyle w:val="indexentry0"/>
      </w:pPr>
      <w:hyperlink w:anchor="section_d68b40e07ab7477d986d84201e67a2d0">
        <w:r>
          <w:rPr>
            <w:rStyle w:val="Hyperlink"/>
          </w:rPr>
          <w:t>errDir (Error Bar Direction)</w:t>
        </w:r>
      </w:hyperlink>
      <w:r>
        <w:t xml:space="preserve"> </w:t>
      </w:r>
      <w:r>
        <w:fldChar w:fldCharType="begin"/>
      </w:r>
      <w:r>
        <w:instrText>PAGEREF section_d68b40e07ab7477d986d84201e67a2d0</w:instrText>
      </w:r>
      <w:r>
        <w:fldChar w:fldCharType="separate"/>
      </w:r>
      <w:r>
        <w:rPr>
          <w:noProof/>
        </w:rPr>
        <w:t>553</w:t>
      </w:r>
      <w:r>
        <w:fldChar w:fldCharType="end"/>
      </w:r>
    </w:p>
    <w:p w:rsidR="005F78FC" w:rsidRDefault="00B42EF3">
      <w:pPr>
        <w:pStyle w:val="indexentry0"/>
      </w:pPr>
      <w:hyperlink w:anchor="section_965edd08dd794418946b83294ec25770">
        <w:r>
          <w:rPr>
            <w:rStyle w:val="Hyperlink"/>
          </w:rPr>
          <w:t>Error values</w:t>
        </w:r>
      </w:hyperlink>
      <w:r>
        <w:t xml:space="preserve"> </w:t>
      </w:r>
      <w:r>
        <w:fldChar w:fldCharType="begin"/>
      </w:r>
      <w:r>
        <w:instrText>PAGEREF section_965edd08dd794418946b83294ec25770</w:instrText>
      </w:r>
      <w:r>
        <w:fldChar w:fldCharType="separate"/>
      </w:r>
      <w:r>
        <w:rPr>
          <w:noProof/>
        </w:rPr>
        <w:t>398</w:t>
      </w:r>
      <w:r>
        <w:fldChar w:fldCharType="end"/>
      </w:r>
    </w:p>
    <w:p w:rsidR="005F78FC" w:rsidRDefault="00B42EF3">
      <w:pPr>
        <w:pStyle w:val="indexentry0"/>
      </w:pPr>
      <w:hyperlink w:anchor="section_f3689539eb2b4392b05c936b871c4557">
        <w:r>
          <w:rPr>
            <w:rStyle w:val="Hyperlink"/>
          </w:rPr>
          <w:t>ERROR.TYPE</w:t>
        </w:r>
      </w:hyperlink>
      <w:r>
        <w:t xml:space="preserve"> </w:t>
      </w:r>
      <w:r>
        <w:fldChar w:fldCharType="begin"/>
      </w:r>
      <w:r>
        <w:instrText>PAGEREF section_f3689539eb2b4392b05c936b871c4557</w:instrText>
      </w:r>
      <w:r>
        <w:fldChar w:fldCharType="separate"/>
      </w:r>
      <w:r>
        <w:rPr>
          <w:noProof/>
        </w:rPr>
        <w:t>424</w:t>
      </w:r>
      <w:r>
        <w:fldChar w:fldCharType="end"/>
      </w:r>
    </w:p>
    <w:p w:rsidR="005F78FC" w:rsidRDefault="00B42EF3">
      <w:pPr>
        <w:pStyle w:val="indexentry0"/>
      </w:pPr>
      <w:hyperlink w:anchor="section_a8d73708564d4e71ba083b7b1f405ea8">
        <w:r>
          <w:rPr>
            <w:rStyle w:val="Hyperlink"/>
          </w:rPr>
          <w:t>errValType (Error Bar Value Type)</w:t>
        </w:r>
      </w:hyperlink>
      <w:r>
        <w:t xml:space="preserve"> </w:t>
      </w:r>
      <w:r>
        <w:fldChar w:fldCharType="begin"/>
      </w:r>
      <w:r>
        <w:instrText>PAGEREF section_a8d73708564d4e71ba083b7b1f405ea8</w:instrText>
      </w:r>
      <w:r>
        <w:fldChar w:fldCharType="separate"/>
      </w:r>
      <w:r>
        <w:rPr>
          <w:noProof/>
        </w:rPr>
        <w:t>553</w:t>
      </w:r>
      <w:r>
        <w:fldChar w:fldCharType="end"/>
      </w:r>
    </w:p>
    <w:p w:rsidR="005F78FC" w:rsidRDefault="00B42EF3">
      <w:pPr>
        <w:pStyle w:val="indexentry0"/>
      </w:pPr>
      <w:hyperlink w:anchor="section_e95359624cf342799367637241e4b195">
        <w:r>
          <w:rPr>
            <w:rStyle w:val="Hyperlink"/>
          </w:rPr>
          <w:t>evenAndOddHeaders (Different Even/Odd Page Headers and Footers)</w:t>
        </w:r>
      </w:hyperlink>
      <w:r>
        <w:t xml:space="preserve"> </w:t>
      </w:r>
      <w:r>
        <w:fldChar w:fldCharType="begin"/>
      </w:r>
      <w:r>
        <w:instrText>PAGEREF section_e</w:instrText>
      </w:r>
      <w:r>
        <w:instrText>95359624cf342799367637241e4b195</w:instrText>
      </w:r>
      <w:r>
        <w:fldChar w:fldCharType="separate"/>
      </w:r>
      <w:r>
        <w:rPr>
          <w:noProof/>
        </w:rPr>
        <w:t>129</w:t>
      </w:r>
      <w:r>
        <w:fldChar w:fldCharType="end"/>
      </w:r>
    </w:p>
    <w:p w:rsidR="005F78FC" w:rsidRDefault="00B42EF3">
      <w:pPr>
        <w:pStyle w:val="indexentry0"/>
      </w:pPr>
      <w:hyperlink w:anchor="section_0564e12cacce44e9bbda4dd76edd2f07">
        <w:r>
          <w:rPr>
            <w:rStyle w:val="Hyperlink"/>
          </w:rPr>
          <w:t>evenFooter (Even Footer)</w:t>
        </w:r>
      </w:hyperlink>
      <w:r>
        <w:t xml:space="preserve"> </w:t>
      </w:r>
      <w:r>
        <w:fldChar w:fldCharType="begin"/>
      </w:r>
      <w:r>
        <w:instrText>PAGEREF section_0564e12cacce44e9bbda4dd76edd2f07</w:instrText>
      </w:r>
      <w:r>
        <w:fldChar w:fldCharType="separate"/>
      </w:r>
      <w:r>
        <w:rPr>
          <w:noProof/>
        </w:rPr>
        <w:t>553</w:t>
      </w:r>
      <w:r>
        <w:fldChar w:fldCharType="end"/>
      </w:r>
    </w:p>
    <w:p w:rsidR="005F78FC" w:rsidRDefault="00B42EF3">
      <w:pPr>
        <w:pStyle w:val="indexentry0"/>
      </w:pPr>
      <w:hyperlink w:anchor="section_7843ab18de4c4bf18c84b20a414d6e4f">
        <w:r>
          <w:rPr>
            <w:rStyle w:val="Hyperlink"/>
          </w:rPr>
          <w:t>evenFooter (Even Page Footer)</w:t>
        </w:r>
      </w:hyperlink>
      <w:r>
        <w:t xml:space="preserve"> </w:t>
      </w:r>
      <w:r>
        <w:fldChar w:fldCharType="begin"/>
      </w:r>
      <w:r>
        <w:instrText>PAGEREF section_7843ab18de4c4bf18c84b20a414d6e4f</w:instrText>
      </w:r>
      <w:r>
        <w:fldChar w:fldCharType="separate"/>
      </w:r>
      <w:r>
        <w:rPr>
          <w:noProof/>
        </w:rPr>
        <w:t>261</w:t>
      </w:r>
      <w:r>
        <w:fldChar w:fldCharType="end"/>
      </w:r>
    </w:p>
    <w:p w:rsidR="005F78FC" w:rsidRDefault="00B42EF3">
      <w:pPr>
        <w:pStyle w:val="indexentry0"/>
      </w:pPr>
      <w:hyperlink w:anchor="section_0b142db5aa0143b6b2282cd3f8ac3c1a">
        <w:r>
          <w:rPr>
            <w:rStyle w:val="Hyperlink"/>
          </w:rPr>
          <w:t>evenHeader (Even Header)</w:t>
        </w:r>
      </w:hyperlink>
      <w:r>
        <w:t xml:space="preserve"> </w:t>
      </w:r>
      <w:r>
        <w:fldChar w:fldCharType="begin"/>
      </w:r>
      <w:r>
        <w:instrText>PAGEREF section_0b142db5aa0143b6b2282cd3f8ac3c1a</w:instrText>
      </w:r>
      <w:r>
        <w:fldChar w:fldCharType="separate"/>
      </w:r>
      <w:r>
        <w:rPr>
          <w:noProof/>
        </w:rPr>
        <w:t>554</w:t>
      </w:r>
      <w:r>
        <w:fldChar w:fldCharType="end"/>
      </w:r>
    </w:p>
    <w:p w:rsidR="005F78FC" w:rsidRDefault="00B42EF3">
      <w:pPr>
        <w:pStyle w:val="indexentry0"/>
      </w:pPr>
      <w:hyperlink w:anchor="section_c167a24345ad4def816e7032fb1adf5c">
        <w:r>
          <w:rPr>
            <w:rStyle w:val="Hyperlink"/>
          </w:rPr>
          <w:t>evenHeader (Even Page Header)</w:t>
        </w:r>
      </w:hyperlink>
      <w:r>
        <w:t xml:space="preserve"> </w:t>
      </w:r>
      <w:r>
        <w:fldChar w:fldCharType="begin"/>
      </w:r>
      <w:r>
        <w:instrText>PAGEREF section_c167a24345ad4def816e7032fb1adf5c</w:instrText>
      </w:r>
      <w:r>
        <w:fldChar w:fldCharType="separate"/>
      </w:r>
      <w:r>
        <w:rPr>
          <w:noProof/>
        </w:rPr>
        <w:t>261</w:t>
      </w:r>
      <w:r>
        <w:fldChar w:fldCharType="end"/>
      </w:r>
    </w:p>
    <w:p w:rsidR="005F78FC" w:rsidRDefault="00B42EF3">
      <w:pPr>
        <w:pStyle w:val="indexentry0"/>
      </w:pPr>
      <w:hyperlink w:anchor="section_b1446808a7f94a6cac4a1ae8175a5705">
        <w:r>
          <w:rPr>
            <w:rStyle w:val="Hyperlink"/>
          </w:rPr>
          <w:t>Excel (Additional Information)</w:t>
        </w:r>
      </w:hyperlink>
      <w:r>
        <w:t xml:space="preserve"> </w:t>
      </w:r>
      <w:r>
        <w:fldChar w:fldCharType="begin"/>
      </w:r>
      <w:r>
        <w:instrText>PAGEREF section_b1446808a7f94a6cac4a1ae8175a5705</w:instrText>
      </w:r>
      <w:r>
        <w:fldChar w:fldCharType="separate"/>
      </w:r>
      <w:r>
        <w:rPr>
          <w:noProof/>
        </w:rPr>
        <w:t>836</w:t>
      </w:r>
      <w:r>
        <w:fldChar w:fldCharType="end"/>
      </w:r>
    </w:p>
    <w:p w:rsidR="005F78FC" w:rsidRDefault="00B42EF3">
      <w:pPr>
        <w:pStyle w:val="indexentry0"/>
      </w:pPr>
      <w:hyperlink w:anchor="section_693389eed71540f89ef4055de69fd6a8">
        <w:r>
          <w:rPr>
            <w:rStyle w:val="Hyperlink"/>
          </w:rPr>
          <w:t>Excel Attached Toolbars Part</w:t>
        </w:r>
      </w:hyperlink>
      <w:r>
        <w:t xml:space="preserve"> </w:t>
      </w:r>
      <w:r>
        <w:fldChar w:fldCharType="begin"/>
      </w:r>
      <w:r>
        <w:instrText>PAGEREF section_693389eed71540f89ef4055de69fd6a8</w:instrText>
      </w:r>
      <w:r>
        <w:fldChar w:fldCharType="separate"/>
      </w:r>
      <w:r>
        <w:rPr>
          <w:noProof/>
        </w:rPr>
        <w:t>836</w:t>
      </w:r>
      <w:r>
        <w:fldChar w:fldCharType="end"/>
      </w:r>
    </w:p>
    <w:p w:rsidR="005F78FC" w:rsidRDefault="00B42EF3">
      <w:pPr>
        <w:pStyle w:val="indexentry0"/>
      </w:pPr>
      <w:hyperlink w:anchor="section_f9503e589cfb47889dccc494550faea9">
        <w:r>
          <w:rPr>
            <w:rStyle w:val="Hyperlink"/>
          </w:rPr>
          <w:t>excl (Exclusive)</w:t>
        </w:r>
      </w:hyperlink>
      <w:r>
        <w:t xml:space="preserve"> </w:t>
      </w:r>
      <w:r>
        <w:fldChar w:fldCharType="begin"/>
      </w:r>
      <w:r>
        <w:instrText>PAGEREF section_f9503e589cfb4</w:instrText>
      </w:r>
      <w:r>
        <w:instrText>7889dccc494550faea9</w:instrText>
      </w:r>
      <w:r>
        <w:fldChar w:fldCharType="separate"/>
      </w:r>
      <w:r>
        <w:rPr>
          <w:noProof/>
        </w:rPr>
        <w:t>485</w:t>
      </w:r>
      <w:r>
        <w:fldChar w:fldCharType="end"/>
      </w:r>
    </w:p>
    <w:p w:rsidR="005F78FC" w:rsidRDefault="00B42EF3">
      <w:pPr>
        <w:pStyle w:val="indexentry0"/>
      </w:pPr>
      <w:hyperlink w:anchor="section_cd1772e1ff694c5881e1793baa9fe54c">
        <w:r>
          <w:rPr>
            <w:rStyle w:val="Hyperlink"/>
          </w:rPr>
          <w:t>explosion (Explosion)</w:t>
        </w:r>
      </w:hyperlink>
      <w:r>
        <w:t xml:space="preserve"> </w:t>
      </w:r>
      <w:r>
        <w:fldChar w:fldCharType="begin"/>
      </w:r>
      <w:r>
        <w:instrText>PAGEREF section_cd1772e1ff694c5881e1793baa9fe54c</w:instrText>
      </w:r>
      <w:r>
        <w:fldChar w:fldCharType="separate"/>
      </w:r>
      <w:r>
        <w:rPr>
          <w:noProof/>
        </w:rPr>
        <w:t>554</w:t>
      </w:r>
      <w:r>
        <w:fldChar w:fldCharType="end"/>
      </w:r>
    </w:p>
    <w:p w:rsidR="005F78FC" w:rsidRDefault="00B42EF3">
      <w:pPr>
        <w:pStyle w:val="indexentry0"/>
      </w:pPr>
      <w:r>
        <w:t>ext (Extension) (</w:t>
      </w:r>
      <w:hyperlink w:anchor="section_acddb526fd6c4835a83cbdc9f0924045">
        <w:r>
          <w:rPr>
            <w:rStyle w:val="Hyperlink"/>
          </w:rPr>
          <w:t>section 2.1.569</w:t>
        </w:r>
      </w:hyperlink>
      <w:r>
        <w:t xml:space="preserve"> </w:t>
      </w:r>
      <w:r>
        <w:fldChar w:fldCharType="begin"/>
      </w:r>
      <w:r>
        <w:instrText>PAGEREF section_acddb526fd6c4835a83cbdc9f0924045</w:instrText>
      </w:r>
      <w:r>
        <w:fldChar w:fldCharType="separate"/>
      </w:r>
      <w:r>
        <w:rPr>
          <w:noProof/>
        </w:rPr>
        <w:t>243</w:t>
      </w:r>
      <w:r>
        <w:fldChar w:fldCharType="end"/>
      </w:r>
      <w:r>
        <w:t xml:space="preserve">, </w:t>
      </w:r>
      <w:hyperlink w:anchor="section_5d37fa53ccfe40c2b255c6aecc584a0f">
        <w:r>
          <w:rPr>
            <w:rStyle w:val="Hyperlink"/>
          </w:rPr>
          <w:t>section 2.1.1100</w:t>
        </w:r>
      </w:hyperlink>
      <w:r>
        <w:t xml:space="preserve"> </w:t>
      </w:r>
      <w:r>
        <w:fldChar w:fldCharType="begin"/>
      </w:r>
      <w:r>
        <w:instrText>PAGEREF section_5d37fa53ccfe40c2b255c6aecc584a0f</w:instrText>
      </w:r>
      <w:r>
        <w:fldChar w:fldCharType="separate"/>
      </w:r>
      <w:r>
        <w:rPr>
          <w:noProof/>
        </w:rPr>
        <w:t>463</w:t>
      </w:r>
      <w:r>
        <w:fldChar w:fldCharType="end"/>
      </w:r>
      <w:r>
        <w:t xml:space="preserve">, </w:t>
      </w:r>
      <w:hyperlink w:anchor="section_eb76ce70bb7c4714b266be157ebbf2a3">
        <w:r>
          <w:rPr>
            <w:rStyle w:val="Hyperlink"/>
          </w:rPr>
          <w:t>section 2</w:t>
        </w:r>
        <w:r>
          <w:rPr>
            <w:rStyle w:val="Hyperlink"/>
          </w:rPr>
          <w:t>.1.1205</w:t>
        </w:r>
      </w:hyperlink>
      <w:r>
        <w:t xml:space="preserve"> </w:t>
      </w:r>
      <w:r>
        <w:fldChar w:fldCharType="begin"/>
      </w:r>
      <w:r>
        <w:instrText>PAGEREF section_eb76ce70bb7c4714b266be157ebbf2a3</w:instrText>
      </w:r>
      <w:r>
        <w:fldChar w:fldCharType="separate"/>
      </w:r>
      <w:r>
        <w:rPr>
          <w:noProof/>
        </w:rPr>
        <w:t>499</w:t>
      </w:r>
      <w:r>
        <w:fldChar w:fldCharType="end"/>
      </w:r>
      <w:r>
        <w:t>)</w:t>
      </w:r>
    </w:p>
    <w:p w:rsidR="005F78FC" w:rsidRDefault="00B42EF3">
      <w:pPr>
        <w:pStyle w:val="indexentry0"/>
      </w:pPr>
      <w:hyperlink w:anchor="section_9e4a12191d6848e683413379366befad">
        <w:r>
          <w:rPr>
            <w:rStyle w:val="Hyperlink"/>
          </w:rPr>
          <w:t>ext (Extents)</w:t>
        </w:r>
      </w:hyperlink>
      <w:r>
        <w:t xml:space="preserve"> </w:t>
      </w:r>
      <w:r>
        <w:fldChar w:fldCharType="begin"/>
      </w:r>
      <w:r>
        <w:instrText>PAGEREF section_9e4a12191d6848e683413379366befad</w:instrText>
      </w:r>
      <w:r>
        <w:fldChar w:fldCharType="separate"/>
      </w:r>
      <w:r>
        <w:rPr>
          <w:noProof/>
        </w:rPr>
        <w:t>512</w:t>
      </w:r>
      <w:r>
        <w:fldChar w:fldCharType="end"/>
      </w:r>
    </w:p>
    <w:p w:rsidR="005F78FC" w:rsidRDefault="00B42EF3">
      <w:pPr>
        <w:pStyle w:val="indexentry0"/>
      </w:pPr>
      <w:r>
        <w:t>ext (Shape Extent) (</w:t>
      </w:r>
      <w:hyperlink w:anchor="section_d0cb27de1bb348c392d04ce443c8073a">
        <w:r>
          <w:rPr>
            <w:rStyle w:val="Hyperlink"/>
          </w:rPr>
          <w:t>section 2.1.1359</w:t>
        </w:r>
      </w:hyperlink>
      <w:r>
        <w:t xml:space="preserve"> </w:t>
      </w:r>
      <w:r>
        <w:fldChar w:fldCharType="begin"/>
      </w:r>
      <w:r>
        <w:instrText>PAGEREF section_d0cb27de1bb348c392d04ce443c8073a</w:instrText>
      </w:r>
      <w:r>
        <w:fldChar w:fldCharType="separate"/>
      </w:r>
      <w:r>
        <w:rPr>
          <w:noProof/>
        </w:rPr>
        <w:t>528</w:t>
      </w:r>
      <w:r>
        <w:fldChar w:fldCharType="end"/>
      </w:r>
      <w:r>
        <w:t xml:space="preserve">, </w:t>
      </w:r>
      <w:hyperlink w:anchor="section_0e03e978d5d44dc1b3ada77bbb361cfe">
        <w:r>
          <w:rPr>
            <w:rStyle w:val="Hyperlink"/>
          </w:rPr>
          <w:t>section 2.1.1599</w:t>
        </w:r>
      </w:hyperlink>
      <w:r>
        <w:t xml:space="preserve"> </w:t>
      </w:r>
      <w:r>
        <w:fldChar w:fldCharType="begin"/>
      </w:r>
      <w:r>
        <w:instrText>PAGEREF section_0e03e978d5d44dc1b3ada77bbb3</w:instrText>
      </w:r>
      <w:r>
        <w:instrText>61cfe</w:instrText>
      </w:r>
      <w:r>
        <w:fldChar w:fldCharType="separate"/>
      </w:r>
      <w:r>
        <w:rPr>
          <w:noProof/>
        </w:rPr>
        <w:t>583</w:t>
      </w:r>
      <w:r>
        <w:fldChar w:fldCharType="end"/>
      </w:r>
      <w:r>
        <w:t>)</w:t>
      </w:r>
    </w:p>
    <w:p w:rsidR="005F78FC" w:rsidRDefault="00B42EF3">
      <w:pPr>
        <w:pStyle w:val="indexentry0"/>
      </w:pPr>
      <w:hyperlink w:anchor="section_bb6c413fe6294c9c8fdc22b1138be12e">
        <w:r>
          <w:rPr>
            <w:rStyle w:val="Hyperlink"/>
          </w:rPr>
          <w:t>extent (Drawing Object Size)</w:t>
        </w:r>
      </w:hyperlink>
      <w:r>
        <w:t xml:space="preserve"> </w:t>
      </w:r>
      <w:r>
        <w:fldChar w:fldCharType="begin"/>
      </w:r>
      <w:r>
        <w:instrText>PAGEREF section_bb6c413fe6294c9c8fdc22b1138be12e</w:instrText>
      </w:r>
      <w:r>
        <w:fldChar w:fldCharType="separate"/>
      </w:r>
      <w:r>
        <w:rPr>
          <w:noProof/>
        </w:rPr>
        <w:t>527</w:t>
      </w:r>
      <w:r>
        <w:fldChar w:fldCharType="end"/>
      </w:r>
    </w:p>
    <w:p w:rsidR="005F78FC" w:rsidRDefault="00B42EF3">
      <w:pPr>
        <w:pStyle w:val="indexentry0"/>
      </w:pPr>
      <w:hyperlink w:anchor="section_8a1616b2936d416fa5dee155de223008">
        <w:r>
          <w:rPr>
            <w:rStyle w:val="Hyperlink"/>
          </w:rPr>
          <w:t>External Name Formulas</w:t>
        </w:r>
      </w:hyperlink>
      <w:r>
        <w:t xml:space="preserve"> </w:t>
      </w:r>
      <w:r>
        <w:fldChar w:fldCharType="begin"/>
      </w:r>
      <w:r>
        <w:instrText>PAGEREF section_</w:instrText>
      </w:r>
      <w:r>
        <w:instrText>8a1616b2936d416fa5dee155de223008</w:instrText>
      </w:r>
      <w:r>
        <w:fldChar w:fldCharType="separate"/>
      </w:r>
      <w:r>
        <w:rPr>
          <w:noProof/>
        </w:rPr>
        <w:t>846</w:t>
      </w:r>
      <w:r>
        <w:fldChar w:fldCharType="end"/>
      </w:r>
    </w:p>
    <w:p w:rsidR="005F78FC" w:rsidRDefault="00B42EF3">
      <w:pPr>
        <w:pStyle w:val="indexentry0"/>
      </w:pPr>
      <w:hyperlink w:anchor="section_69a5e5d3789449c299d7db87b61f4302">
        <w:r>
          <w:rPr>
            <w:rStyle w:val="Hyperlink"/>
          </w:rPr>
          <w:t>External Workbooks</w:t>
        </w:r>
      </w:hyperlink>
      <w:r>
        <w:t xml:space="preserve"> </w:t>
      </w:r>
      <w:r>
        <w:fldChar w:fldCharType="begin"/>
      </w:r>
      <w:r>
        <w:instrText>PAGEREF section_69a5e5d3789449c299d7db87b61f4302</w:instrText>
      </w:r>
      <w:r>
        <w:fldChar w:fldCharType="separate"/>
      </w:r>
      <w:r>
        <w:rPr>
          <w:noProof/>
        </w:rPr>
        <w:t>51</w:t>
      </w:r>
      <w:r>
        <w:fldChar w:fldCharType="end"/>
      </w:r>
    </w:p>
    <w:p w:rsidR="005F78FC" w:rsidRDefault="00B42EF3">
      <w:pPr>
        <w:pStyle w:val="indexentry0"/>
      </w:pPr>
      <w:hyperlink w:anchor="section_3749a6907ce74cf0897acb98f767dd91">
        <w:r>
          <w:rPr>
            <w:rStyle w:val="Hyperlink"/>
          </w:rPr>
          <w:t>externalData (External Da</w:t>
        </w:r>
        <w:r>
          <w:rPr>
            <w:rStyle w:val="Hyperlink"/>
          </w:rPr>
          <w:t>ta Relationship)</w:t>
        </w:r>
      </w:hyperlink>
      <w:r>
        <w:t xml:space="preserve"> </w:t>
      </w:r>
      <w:r>
        <w:fldChar w:fldCharType="begin"/>
      </w:r>
      <w:r>
        <w:instrText>PAGEREF section_3749a6907ce74cf0897acb98f767dd91</w:instrText>
      </w:r>
      <w:r>
        <w:fldChar w:fldCharType="separate"/>
      </w:r>
      <w:r>
        <w:rPr>
          <w:noProof/>
        </w:rPr>
        <w:t>554</w:t>
      </w:r>
      <w:r>
        <w:fldChar w:fldCharType="end"/>
      </w:r>
    </w:p>
    <w:p w:rsidR="005F78FC" w:rsidRDefault="00B42EF3">
      <w:pPr>
        <w:pStyle w:val="indexentry0"/>
      </w:pPr>
      <w:hyperlink w:anchor="section_f529ffb15f1f4b838626d53767553c27">
        <w:r>
          <w:rPr>
            <w:rStyle w:val="Hyperlink"/>
          </w:rPr>
          <w:t>externalLink (External Reference)</w:t>
        </w:r>
      </w:hyperlink>
      <w:r>
        <w:t xml:space="preserve"> </w:t>
      </w:r>
      <w:r>
        <w:fldChar w:fldCharType="begin"/>
      </w:r>
      <w:r>
        <w:instrText>PAGEREF section_f529ffb15f1f4b838626d53767553c27</w:instrText>
      </w:r>
      <w:r>
        <w:fldChar w:fldCharType="separate"/>
      </w:r>
      <w:r>
        <w:rPr>
          <w:noProof/>
        </w:rPr>
        <w:t>384</w:t>
      </w:r>
      <w:r>
        <w:fldChar w:fldCharType="end"/>
      </w:r>
    </w:p>
    <w:p w:rsidR="005F78FC" w:rsidRDefault="00B42EF3">
      <w:pPr>
        <w:pStyle w:val="indexentry0"/>
      </w:pPr>
      <w:hyperlink w:anchor="section_5cc825ef81d54aae9f101106494252e6">
        <w:r>
          <w:rPr>
            <w:rStyle w:val="Hyperlink"/>
          </w:rPr>
          <w:t>externalReferences (External References)</w:t>
        </w:r>
      </w:hyperlink>
      <w:r>
        <w:t xml:space="preserve"> </w:t>
      </w:r>
      <w:r>
        <w:fldChar w:fldCharType="begin"/>
      </w:r>
      <w:r>
        <w:instrText>PAGEREF section_5cc825ef81d54aae9f101106494252e6</w:instrText>
      </w:r>
      <w:r>
        <w:fldChar w:fldCharType="separate"/>
      </w:r>
      <w:r>
        <w:rPr>
          <w:noProof/>
        </w:rPr>
        <w:t>243</w:t>
      </w:r>
      <w:r>
        <w:fldChar w:fldCharType="end"/>
      </w:r>
    </w:p>
    <w:p w:rsidR="005F78FC" w:rsidRDefault="00B42EF3">
      <w:pPr>
        <w:pStyle w:val="indexentry0"/>
      </w:pPr>
      <w:hyperlink w:anchor="section_0523e379c86b46ecb61f82d5b35c518d">
        <w:r>
          <w:rPr>
            <w:rStyle w:val="Hyperlink"/>
          </w:rPr>
          <w:t>extLst (Extension List)</w:t>
        </w:r>
      </w:hyperlink>
      <w:r>
        <w:t xml:space="preserve"> </w:t>
      </w:r>
      <w:r>
        <w:fldChar w:fldCharType="begin"/>
      </w:r>
      <w:r>
        <w:instrText>PAGEREF secti</w:instrText>
      </w:r>
      <w:r>
        <w:instrText>on_0523e379c86b46ecb61f82d5b35c518d</w:instrText>
      </w:r>
      <w:r>
        <w:fldChar w:fldCharType="separate"/>
      </w:r>
      <w:r>
        <w:rPr>
          <w:noProof/>
        </w:rPr>
        <w:t>586</w:t>
      </w:r>
      <w:r>
        <w:fldChar w:fldCharType="end"/>
      </w:r>
    </w:p>
    <w:p w:rsidR="005F78FC" w:rsidRDefault="00B42EF3">
      <w:pPr>
        <w:pStyle w:val="indexentry0"/>
      </w:pPr>
      <w:hyperlink w:anchor="section_7dd065e56a594b118acc376dad8fdfcb">
        <w:r>
          <w:rPr>
            <w:rStyle w:val="Hyperlink"/>
          </w:rPr>
          <w:t>extrusion (3D Extrusion)</w:t>
        </w:r>
      </w:hyperlink>
      <w:r>
        <w:t xml:space="preserve"> </w:t>
      </w:r>
      <w:r>
        <w:fldChar w:fldCharType="begin"/>
      </w:r>
      <w:r>
        <w:instrText>PAGEREF section_7dd065e56a594b118acc376dad8fdfcb</w:instrText>
      </w:r>
      <w:r>
        <w:fldChar w:fldCharType="separate"/>
      </w:r>
      <w:r>
        <w:rPr>
          <w:noProof/>
        </w:rPr>
        <w:t>668</w:t>
      </w:r>
      <w:r>
        <w:fldChar w:fldCharType="end"/>
      </w:r>
    </w:p>
    <w:p w:rsidR="005F78FC" w:rsidRDefault="00B42EF3">
      <w:pPr>
        <w:pStyle w:val="indexentry0"/>
      </w:pPr>
      <w:hyperlink w:anchor="section_eafb568b9dd04f2ea337b163dc1080df">
        <w:r>
          <w:rPr>
            <w:rStyle w:val="Hyperlink"/>
          </w:rPr>
          <w:t>extrusionClr (Extrusion Color)</w:t>
        </w:r>
      </w:hyperlink>
      <w:r>
        <w:t xml:space="preserve"> </w:t>
      </w:r>
      <w:r>
        <w:fldChar w:fldCharType="begin"/>
      </w:r>
      <w:r>
        <w:instrText>PAGEREF section_eafb568b9dd04f2ea337b163dc1080df</w:instrText>
      </w:r>
      <w:r>
        <w:fldChar w:fldCharType="separate"/>
      </w:r>
      <w:r>
        <w:rPr>
          <w:noProof/>
        </w:rPr>
        <w:t>510</w:t>
      </w:r>
      <w:r>
        <w:fldChar w:fldCharType="end"/>
      </w:r>
    </w:p>
    <w:p w:rsidR="005F78FC" w:rsidRDefault="005F78FC">
      <w:pPr>
        <w:spacing w:before="0" w:after="0"/>
        <w:rPr>
          <w:sz w:val="16"/>
        </w:rPr>
      </w:pPr>
    </w:p>
    <w:p w:rsidR="005F78FC" w:rsidRDefault="00B42EF3">
      <w:pPr>
        <w:pStyle w:val="indexheader"/>
      </w:pPr>
      <w:r>
        <w:t>F</w:t>
      </w:r>
    </w:p>
    <w:p w:rsidR="005F78FC" w:rsidRDefault="005F78FC">
      <w:pPr>
        <w:spacing w:before="0" w:after="0"/>
        <w:rPr>
          <w:sz w:val="16"/>
        </w:rPr>
      </w:pPr>
    </w:p>
    <w:p w:rsidR="005F78FC" w:rsidRDefault="00B42EF3">
      <w:pPr>
        <w:pStyle w:val="indexentry0"/>
      </w:pPr>
      <w:r>
        <w:t>f (Formula) (</w:t>
      </w:r>
      <w:hyperlink w:anchor="section_b5d1f58cb1a14fcdaaa0ee7f4e8af9de">
        <w:r>
          <w:rPr>
            <w:rStyle w:val="Hyperlink"/>
          </w:rPr>
          <w:t>section 2.1.619</w:t>
        </w:r>
      </w:hyperlink>
      <w:r>
        <w:t xml:space="preserve"> </w:t>
      </w:r>
      <w:r>
        <w:fldChar w:fldCharType="begin"/>
      </w:r>
      <w:r>
        <w:instrText>PAGEREF section_b5d1f58cb1a14fcdaaa0ee7f4e8af9de</w:instrText>
      </w:r>
      <w:r>
        <w:fldChar w:fldCharType="separate"/>
      </w:r>
      <w:r>
        <w:rPr>
          <w:noProof/>
        </w:rPr>
        <w:t>264</w:t>
      </w:r>
      <w:r>
        <w:fldChar w:fldCharType="end"/>
      </w:r>
      <w:r>
        <w:t xml:space="preserve">, </w:t>
      </w:r>
      <w:hyperlink w:anchor="section_49f95e2f04914f4cb552091b1fb6d822">
        <w:r>
          <w:rPr>
            <w:rStyle w:val="Hyperlink"/>
          </w:rPr>
          <w:t>section 2.1.1462</w:t>
        </w:r>
      </w:hyperlink>
      <w:r>
        <w:t xml:space="preserve"> </w:t>
      </w:r>
      <w:r>
        <w:fldChar w:fldCharType="begin"/>
      </w:r>
      <w:r>
        <w:instrText>PAGEREF section_49f95e2f04914f4cb552091b1fb6d822</w:instrText>
      </w:r>
      <w:r>
        <w:fldChar w:fldCharType="separate"/>
      </w:r>
      <w:r>
        <w:rPr>
          <w:noProof/>
        </w:rPr>
        <w:t>554</w:t>
      </w:r>
      <w:r>
        <w:fldChar w:fldCharType="end"/>
      </w:r>
      <w:r>
        <w:t>)</w:t>
      </w:r>
    </w:p>
    <w:p w:rsidR="005F78FC" w:rsidRDefault="00B42EF3">
      <w:pPr>
        <w:pStyle w:val="indexentry0"/>
      </w:pPr>
      <w:hyperlink w:anchor="section_7c29cbd83f0c4281ae04fc97a81be129">
        <w:r>
          <w:rPr>
            <w:rStyle w:val="Hyperlink"/>
          </w:rPr>
          <w:t>f (Fraction Object)</w:t>
        </w:r>
      </w:hyperlink>
      <w:r>
        <w:t xml:space="preserve"> </w:t>
      </w:r>
      <w:r>
        <w:fldChar w:fldCharType="begin"/>
      </w:r>
      <w:r>
        <w:instrText>PAGEREF section_7c29cbd83f0c4281ae04fc97a81be129</w:instrText>
      </w:r>
      <w:r>
        <w:fldChar w:fldCharType="separate"/>
      </w:r>
      <w:r>
        <w:rPr>
          <w:noProof/>
        </w:rPr>
        <w:t>599</w:t>
      </w:r>
      <w:r>
        <w:fldChar w:fldCharType="end"/>
      </w:r>
    </w:p>
    <w:p w:rsidR="005F78FC" w:rsidRDefault="00B42EF3">
      <w:pPr>
        <w:pStyle w:val="indexentry0"/>
      </w:pPr>
      <w:hyperlink w:anchor="section_d0bb89e5efb44aeab0185307847172e1">
        <w:r>
          <w:rPr>
            <w:rStyle w:val="Hyperlink"/>
          </w:rPr>
          <w:t>f (Single Formula)</w:t>
        </w:r>
      </w:hyperlink>
      <w:r>
        <w:t xml:space="preserve"> </w:t>
      </w:r>
      <w:r>
        <w:fldChar w:fldCharType="begin"/>
      </w:r>
      <w:r>
        <w:instrText>PAGEREF section_d0bb89e5efb44aeab0185307847172e1</w:instrText>
      </w:r>
      <w:r>
        <w:fldChar w:fldCharType="separate"/>
      </w:r>
      <w:r>
        <w:rPr>
          <w:noProof/>
        </w:rPr>
        <w:t>644</w:t>
      </w:r>
      <w:r>
        <w:fldChar w:fldCharType="end"/>
      </w:r>
    </w:p>
    <w:p w:rsidR="005F78FC" w:rsidRDefault="00B42EF3">
      <w:pPr>
        <w:pStyle w:val="indexentry0"/>
      </w:pPr>
      <w:r>
        <w:t>family (Font Family) (</w:t>
      </w:r>
      <w:hyperlink w:anchor="section_d78baa1b850d4aeb91cc254c814a4cba">
        <w:r>
          <w:rPr>
            <w:rStyle w:val="Hyperlink"/>
          </w:rPr>
          <w:t>section 2.1.269</w:t>
        </w:r>
      </w:hyperlink>
      <w:r>
        <w:t xml:space="preserve"> </w:t>
      </w:r>
      <w:r>
        <w:fldChar w:fldCharType="begin"/>
      </w:r>
      <w:r>
        <w:instrText>PAGEREF section_d78baa1b850d4ae</w:instrText>
      </w:r>
      <w:r>
        <w:instrText>b91cc254c814a4cba</w:instrText>
      </w:r>
      <w:r>
        <w:fldChar w:fldCharType="separate"/>
      </w:r>
      <w:r>
        <w:rPr>
          <w:noProof/>
        </w:rPr>
        <w:t>125</w:t>
      </w:r>
      <w:r>
        <w:fldChar w:fldCharType="end"/>
      </w:r>
      <w:r>
        <w:t xml:space="preserve">, </w:t>
      </w:r>
      <w:hyperlink w:anchor="section_2b2b6126757449f8bbcf6335bb1f7026">
        <w:r>
          <w:rPr>
            <w:rStyle w:val="Hyperlink"/>
          </w:rPr>
          <w:t>section 2.1.702</w:t>
        </w:r>
      </w:hyperlink>
      <w:r>
        <w:t xml:space="preserve"> </w:t>
      </w:r>
      <w:r>
        <w:fldChar w:fldCharType="begin"/>
      </w:r>
      <w:r>
        <w:instrText>PAGEREF section_2b2b6126757449f8bbcf6335bb1f7026</w:instrText>
      </w:r>
      <w:r>
        <w:fldChar w:fldCharType="separate"/>
      </w:r>
      <w:r>
        <w:rPr>
          <w:noProof/>
        </w:rPr>
        <w:t>301</w:t>
      </w:r>
      <w:r>
        <w:fldChar w:fldCharType="end"/>
      </w:r>
      <w:r>
        <w:t>)</w:t>
      </w:r>
    </w:p>
    <w:p w:rsidR="005F78FC" w:rsidRDefault="00B42EF3">
      <w:pPr>
        <w:pStyle w:val="indexentry0"/>
      </w:pPr>
      <w:hyperlink w:anchor="section_e7fbfaec48a0443e91cc16c53cefbd44">
        <w:r>
          <w:rPr>
            <w:rStyle w:val="Hyperlink"/>
          </w:rPr>
          <w:t>fci (Fixed Command Keyboard Customization</w:t>
        </w:r>
        <w:r>
          <w:rPr>
            <w:rStyle w:val="Hyperlink"/>
          </w:rPr>
          <w:t xml:space="preserve"> Action)</w:t>
        </w:r>
      </w:hyperlink>
      <w:r>
        <w:t xml:space="preserve"> </w:t>
      </w:r>
      <w:r>
        <w:fldChar w:fldCharType="begin"/>
      </w:r>
      <w:r>
        <w:instrText>PAGEREF section_e7fbfaec48a0443e91cc16c53cefbd44</w:instrText>
      </w:r>
      <w:r>
        <w:fldChar w:fldCharType="separate"/>
      </w:r>
      <w:r>
        <w:rPr>
          <w:noProof/>
        </w:rPr>
        <w:t>699</w:t>
      </w:r>
      <w:r>
        <w:fldChar w:fldCharType="end"/>
      </w:r>
    </w:p>
    <w:p w:rsidR="005F78FC" w:rsidRDefault="00B42EF3">
      <w:pPr>
        <w:pStyle w:val="indexentry0"/>
      </w:pPr>
      <w:hyperlink w:anchor="section_0d5f6b5ce8ae4cd3a79f5d4a6b364db7">
        <w:r>
          <w:rPr>
            <w:rStyle w:val="Hyperlink"/>
          </w:rPr>
          <w:t>ffData (Form Field Properties)</w:t>
        </w:r>
      </w:hyperlink>
      <w:r>
        <w:t xml:space="preserve"> </w:t>
      </w:r>
      <w:r>
        <w:fldChar w:fldCharType="begin"/>
      </w:r>
      <w:r>
        <w:instrText>PAGEREF section_0d5f6b5ce8ae4cd3a79f5d4a6b364db7</w:instrText>
      </w:r>
      <w:r>
        <w:fldChar w:fldCharType="separate"/>
      </w:r>
      <w:r>
        <w:rPr>
          <w:noProof/>
        </w:rPr>
        <w:t>228</w:t>
      </w:r>
      <w:r>
        <w:fldChar w:fldCharType="end"/>
      </w:r>
    </w:p>
    <w:p w:rsidR="005F78FC" w:rsidRDefault="00B42EF3">
      <w:pPr>
        <w:pStyle w:val="indexentry0"/>
      </w:pPr>
      <w:hyperlink w:anchor="section_df550c30b35c42d29914f3011ba1f2e6">
        <w:r>
          <w:rPr>
            <w:rStyle w:val="Hyperlink"/>
          </w:rPr>
          <w:t>fgColor (Foreground Color)</w:t>
        </w:r>
      </w:hyperlink>
      <w:r>
        <w:t xml:space="preserve"> </w:t>
      </w:r>
      <w:r>
        <w:fldChar w:fldCharType="begin"/>
      </w:r>
      <w:r>
        <w:instrText>PAGEREF section_df550c30b35c42d29914f3011ba1f2e6</w:instrText>
      </w:r>
      <w:r>
        <w:fldChar w:fldCharType="separate"/>
      </w:r>
      <w:r>
        <w:rPr>
          <w:noProof/>
        </w:rPr>
        <w:t>302</w:t>
      </w:r>
      <w:r>
        <w:fldChar w:fldCharType="end"/>
      </w:r>
    </w:p>
    <w:p w:rsidR="005F78FC" w:rsidRDefault="00B42EF3">
      <w:pPr>
        <w:pStyle w:val="indexentry0"/>
      </w:pPr>
      <w:hyperlink w:anchor="section_bdee1e1f1cb94cd7a7e2e4339f0b8cd2">
        <w:r>
          <w:rPr>
            <w:rStyle w:val="Hyperlink"/>
          </w:rPr>
          <w:t>fHdr (First Row of Data Source Contains Column Names)</w:t>
        </w:r>
      </w:hyperlink>
      <w:r>
        <w:t xml:space="preserve"> </w:t>
      </w:r>
      <w:r>
        <w:fldChar w:fldCharType="begin"/>
      </w:r>
      <w:r>
        <w:instrText>PAGEREF section_bdee1e1f1cb94cd7a7e2e4339f0b8cd2</w:instrText>
      </w:r>
      <w:r>
        <w:fldChar w:fldCharType="separate"/>
      </w:r>
      <w:r>
        <w:rPr>
          <w:noProof/>
        </w:rPr>
        <w:t>146</w:t>
      </w:r>
      <w:r>
        <w:fldChar w:fldCharType="end"/>
      </w:r>
    </w:p>
    <w:p w:rsidR="005F78FC" w:rsidRDefault="00B42EF3">
      <w:pPr>
        <w:pStyle w:val="indexentry0"/>
      </w:pPr>
      <w:hyperlink w:anchor="section_d7eb83632269495ca763121660facbbc">
        <w:r>
          <w:rPr>
            <w:rStyle w:val="Hyperlink"/>
          </w:rPr>
          <w:t>field (Field)</w:t>
        </w:r>
      </w:hyperlink>
      <w:r>
        <w:t xml:space="preserve"> </w:t>
      </w:r>
      <w:r>
        <w:fldChar w:fldCharType="begin"/>
      </w:r>
      <w:r>
        <w:instrText>PAGEREF section_d7eb83632269495ca763121660facbbc</w:instrText>
      </w:r>
      <w:r>
        <w:fldChar w:fldCharType="separate"/>
      </w:r>
      <w:r>
        <w:rPr>
          <w:noProof/>
        </w:rPr>
        <w:t>337</w:t>
      </w:r>
      <w:r>
        <w:fldChar w:fldCharType="end"/>
      </w:r>
    </w:p>
    <w:p w:rsidR="005F78FC" w:rsidRDefault="00B42EF3">
      <w:pPr>
        <w:pStyle w:val="indexentry0"/>
      </w:pPr>
      <w:hyperlink w:anchor="section_093a3ca886ad4a0d89216b37ba1d2ce1">
        <w:r>
          <w:rPr>
            <w:rStyle w:val="Hyperlink"/>
          </w:rPr>
          <w:t xml:space="preserve">FieldCodes </w:t>
        </w:r>
        <w:r>
          <w:rPr>
            <w:rStyle w:val="Hyperlink"/>
          </w:rPr>
          <w:t>(WordprocessingML Field Switches)</w:t>
        </w:r>
      </w:hyperlink>
      <w:r>
        <w:t xml:space="preserve"> </w:t>
      </w:r>
      <w:r>
        <w:fldChar w:fldCharType="begin"/>
      </w:r>
      <w:r>
        <w:instrText>PAGEREF section_093a3ca886ad4a0d89216b37ba1d2ce1</w:instrText>
      </w:r>
      <w:r>
        <w:fldChar w:fldCharType="separate"/>
      </w:r>
      <w:r>
        <w:rPr>
          <w:noProof/>
        </w:rPr>
        <w:t>670</w:t>
      </w:r>
      <w:r>
        <w:fldChar w:fldCharType="end"/>
      </w:r>
    </w:p>
    <w:p w:rsidR="005F78FC" w:rsidRDefault="00B42EF3">
      <w:pPr>
        <w:pStyle w:val="indexentry0"/>
      </w:pPr>
      <w:hyperlink w:anchor="section_98b3cb48ba2d410889aab8ea451e0d93">
        <w:r>
          <w:rPr>
            <w:rStyle w:val="Hyperlink"/>
          </w:rPr>
          <w:t>fieldGroup (Field Group Properties)</w:t>
        </w:r>
      </w:hyperlink>
      <w:r>
        <w:t xml:space="preserve"> </w:t>
      </w:r>
      <w:r>
        <w:fldChar w:fldCharType="begin"/>
      </w:r>
      <w:r>
        <w:instrText>PAGEREF section_98b3cb48ba2d410889aab8ea451e0d93</w:instrText>
      </w:r>
      <w:r>
        <w:fldChar w:fldCharType="separate"/>
      </w:r>
      <w:r>
        <w:rPr>
          <w:noProof/>
        </w:rPr>
        <w:t>337</w:t>
      </w:r>
      <w:r>
        <w:fldChar w:fldCharType="end"/>
      </w:r>
    </w:p>
    <w:p w:rsidR="005F78FC" w:rsidRDefault="00B42EF3">
      <w:pPr>
        <w:pStyle w:val="indexentry0"/>
      </w:pPr>
      <w:hyperlink w:anchor="section_df0bbd4bc5e44836a65cf956185a0f8d">
        <w:r>
          <w:rPr>
            <w:rStyle w:val="Hyperlink"/>
          </w:rPr>
          <w:t>fieldMapData (External Data Source to Merge Field Mapping)</w:t>
        </w:r>
      </w:hyperlink>
      <w:r>
        <w:t xml:space="preserve"> </w:t>
      </w:r>
      <w:r>
        <w:fldChar w:fldCharType="begin"/>
      </w:r>
      <w:r>
        <w:instrText>PAGEREF section_df0bbd4bc5e44836a65cf956185a0f8d</w:instrText>
      </w:r>
      <w:r>
        <w:fldChar w:fldCharType="separate"/>
      </w:r>
      <w:r>
        <w:rPr>
          <w:noProof/>
        </w:rPr>
        <w:t>146</w:t>
      </w:r>
      <w:r>
        <w:fldChar w:fldCharType="end"/>
      </w:r>
    </w:p>
    <w:p w:rsidR="005F78FC" w:rsidRDefault="00B42EF3">
      <w:pPr>
        <w:pStyle w:val="indexentry0"/>
      </w:pPr>
      <w:hyperlink w:anchor="section_e3e39bfa42ef489a95f05a5b79682144">
        <w:r>
          <w:rPr>
            <w:rStyle w:val="Hyperlink"/>
          </w:rPr>
          <w:t>fieldsUsage (Fields Usage)</w:t>
        </w:r>
      </w:hyperlink>
      <w:r>
        <w:t xml:space="preserve"> </w:t>
      </w:r>
      <w:r>
        <w:fldChar w:fldCharType="begin"/>
      </w:r>
      <w:r>
        <w:instrText>PAGEREF s</w:instrText>
      </w:r>
      <w:r>
        <w:instrText>ection_e3e39bfa42ef489a95f05a5b79682144</w:instrText>
      </w:r>
      <w:r>
        <w:fldChar w:fldCharType="separate"/>
      </w:r>
      <w:r>
        <w:rPr>
          <w:noProof/>
        </w:rPr>
        <w:t>337</w:t>
      </w:r>
      <w:r>
        <w:fldChar w:fldCharType="end"/>
      </w:r>
    </w:p>
    <w:p w:rsidR="005F78FC" w:rsidRDefault="00B42EF3">
      <w:pPr>
        <w:pStyle w:val="indexentry0"/>
      </w:pPr>
      <w:hyperlink w:anchor="section_cee4d9c4c5d84b4ba4f6a26f52d0024f">
        <w:r>
          <w:rPr>
            <w:rStyle w:val="Hyperlink"/>
          </w:rPr>
          <w:t>fieldUsage (PivotCache Field Id)</w:t>
        </w:r>
      </w:hyperlink>
      <w:r>
        <w:t xml:space="preserve"> </w:t>
      </w:r>
      <w:r>
        <w:fldChar w:fldCharType="begin"/>
      </w:r>
      <w:r>
        <w:instrText>PAGEREF section_cee4d9c4c5d84b4ba4f6a26f52d0024f</w:instrText>
      </w:r>
      <w:r>
        <w:fldChar w:fldCharType="separate"/>
      </w:r>
      <w:r>
        <w:rPr>
          <w:noProof/>
        </w:rPr>
        <w:t>338</w:t>
      </w:r>
      <w:r>
        <w:fldChar w:fldCharType="end"/>
      </w:r>
    </w:p>
    <w:p w:rsidR="005F78FC" w:rsidRDefault="00B42EF3">
      <w:pPr>
        <w:pStyle w:val="indexentry0"/>
      </w:pPr>
      <w:hyperlink w:anchor="section_784e4943f18a405e8483182e618231a2">
        <w:r>
          <w:rPr>
            <w:rStyle w:val="Hyperlink"/>
          </w:rPr>
          <w:t>FILE</w:t>
        </w:r>
        <w:r>
          <w:rPr>
            <w:rStyle w:val="Hyperlink"/>
          </w:rPr>
          <w:t>NAME</w:t>
        </w:r>
      </w:hyperlink>
      <w:r>
        <w:t xml:space="preserve"> </w:t>
      </w:r>
      <w:r>
        <w:fldChar w:fldCharType="begin"/>
      </w:r>
      <w:r>
        <w:instrText>PAGEREF section_784e4943f18a405e8483182e618231a2</w:instrText>
      </w:r>
      <w:r>
        <w:fldChar w:fldCharType="separate"/>
      </w:r>
      <w:r>
        <w:rPr>
          <w:noProof/>
        </w:rPr>
        <w:t>216</w:t>
      </w:r>
      <w:r>
        <w:fldChar w:fldCharType="end"/>
      </w:r>
    </w:p>
    <w:p w:rsidR="005F78FC" w:rsidRDefault="00B42EF3">
      <w:pPr>
        <w:pStyle w:val="indexentry0"/>
      </w:pPr>
      <w:hyperlink w:anchor="section_edcec9df5b19418eb91708b7fd2c4bda">
        <w:r>
          <w:rPr>
            <w:rStyle w:val="Hyperlink"/>
          </w:rPr>
          <w:t>fileRecoveryPr (File Recovery Properties)</w:t>
        </w:r>
      </w:hyperlink>
      <w:r>
        <w:t xml:space="preserve"> </w:t>
      </w:r>
      <w:r>
        <w:fldChar w:fldCharType="begin"/>
      </w:r>
      <w:r>
        <w:instrText>PAGEREF section_edcec9df5b19418eb91708b7fd2c4bda</w:instrText>
      </w:r>
      <w:r>
        <w:fldChar w:fldCharType="separate"/>
      </w:r>
      <w:r>
        <w:rPr>
          <w:noProof/>
        </w:rPr>
        <w:t>243</w:t>
      </w:r>
      <w:r>
        <w:fldChar w:fldCharType="end"/>
      </w:r>
    </w:p>
    <w:p w:rsidR="005F78FC" w:rsidRDefault="00B42EF3">
      <w:pPr>
        <w:pStyle w:val="indexentry0"/>
      </w:pPr>
      <w:hyperlink w:anchor="section_2faf54e798054ca5a4e7e74f85d96201">
        <w:r>
          <w:rPr>
            <w:rStyle w:val="Hyperlink"/>
          </w:rPr>
          <w:t>fileSharing (File Sharing)</w:t>
        </w:r>
      </w:hyperlink>
      <w:r>
        <w:t xml:space="preserve"> </w:t>
      </w:r>
      <w:r>
        <w:fldChar w:fldCharType="begin"/>
      </w:r>
      <w:r>
        <w:instrText>PAGEREF section_2faf54e798054ca5a4e7e74f85d96201</w:instrText>
      </w:r>
      <w:r>
        <w:fldChar w:fldCharType="separate"/>
      </w:r>
      <w:r>
        <w:rPr>
          <w:noProof/>
        </w:rPr>
        <w:t>243</w:t>
      </w:r>
      <w:r>
        <w:fldChar w:fldCharType="end"/>
      </w:r>
    </w:p>
    <w:p w:rsidR="005F78FC" w:rsidRDefault="00B42EF3">
      <w:pPr>
        <w:pStyle w:val="indexentry0"/>
      </w:pPr>
      <w:hyperlink w:anchor="section_25aa9afa28e246f0871e6dfdff199b11">
        <w:r>
          <w:rPr>
            <w:rStyle w:val="Hyperlink"/>
          </w:rPr>
          <w:t>FILESIZE</w:t>
        </w:r>
      </w:hyperlink>
      <w:r>
        <w:t xml:space="preserve"> </w:t>
      </w:r>
      <w:r>
        <w:fldChar w:fldCharType="begin"/>
      </w:r>
      <w:r>
        <w:instrText>PAGEREF section_25aa9afa28e246f0871e6dfdff</w:instrText>
      </w:r>
      <w:r>
        <w:instrText>199b11</w:instrText>
      </w:r>
      <w:r>
        <w:fldChar w:fldCharType="separate"/>
      </w:r>
      <w:r>
        <w:rPr>
          <w:noProof/>
        </w:rPr>
        <w:t>217</w:t>
      </w:r>
      <w:r>
        <w:fldChar w:fldCharType="end"/>
      </w:r>
    </w:p>
    <w:p w:rsidR="005F78FC" w:rsidRDefault="00B42EF3">
      <w:pPr>
        <w:pStyle w:val="indexentry0"/>
      </w:pPr>
      <w:hyperlink w:anchor="section_50a9e454253c4156b3699b29fe34570d">
        <w:r>
          <w:rPr>
            <w:rStyle w:val="Hyperlink"/>
          </w:rPr>
          <w:t>filetime (File Time)</w:t>
        </w:r>
      </w:hyperlink>
      <w:r>
        <w:t xml:space="preserve"> </w:t>
      </w:r>
      <w:r>
        <w:fldChar w:fldCharType="begin"/>
      </w:r>
      <w:r>
        <w:instrText>PAGEREF section_50a9e454253c4156b3699b29fe34570d</w:instrText>
      </w:r>
      <w:r>
        <w:fldChar w:fldCharType="separate"/>
      </w:r>
      <w:r>
        <w:rPr>
          <w:noProof/>
        </w:rPr>
        <w:t>614</w:t>
      </w:r>
      <w:r>
        <w:fldChar w:fldCharType="end"/>
      </w:r>
    </w:p>
    <w:p w:rsidR="005F78FC" w:rsidRDefault="00B42EF3">
      <w:pPr>
        <w:pStyle w:val="indexentry0"/>
      </w:pPr>
      <w:hyperlink w:anchor="section_d27109432add493cb42a58667e060146">
        <w:r>
          <w:rPr>
            <w:rStyle w:val="Hyperlink"/>
          </w:rPr>
          <w:t>fileVersion (File Version)</w:t>
        </w:r>
      </w:hyperlink>
      <w:r>
        <w:t xml:space="preserve"> </w:t>
      </w:r>
      <w:r>
        <w:fldChar w:fldCharType="begin"/>
      </w:r>
      <w:r>
        <w:instrText>PAGEREF section_d271</w:instrText>
      </w:r>
      <w:r>
        <w:instrText>09432add493cb42a58667e060146</w:instrText>
      </w:r>
      <w:r>
        <w:fldChar w:fldCharType="separate"/>
      </w:r>
      <w:r>
        <w:rPr>
          <w:noProof/>
        </w:rPr>
        <w:t>245</w:t>
      </w:r>
      <w:r>
        <w:fldChar w:fldCharType="end"/>
      </w:r>
    </w:p>
    <w:p w:rsidR="005F78FC" w:rsidRDefault="00B42EF3">
      <w:pPr>
        <w:pStyle w:val="indexentry0"/>
      </w:pPr>
      <w:hyperlink w:anchor="section_ffba6058673243de986fea4e686a2f86">
        <w:r>
          <w:rPr>
            <w:rStyle w:val="Hyperlink"/>
          </w:rPr>
          <w:t>fill (Fill)</w:t>
        </w:r>
      </w:hyperlink>
      <w:r>
        <w:t xml:space="preserve"> </w:t>
      </w:r>
      <w:r>
        <w:fldChar w:fldCharType="begin"/>
      </w:r>
      <w:r>
        <w:instrText>PAGEREF section_ffba6058673243de986fea4e686a2f86</w:instrText>
      </w:r>
      <w:r>
        <w:fldChar w:fldCharType="separate"/>
      </w:r>
      <w:r>
        <w:rPr>
          <w:noProof/>
        </w:rPr>
        <w:t>509</w:t>
      </w:r>
      <w:r>
        <w:fldChar w:fldCharType="end"/>
      </w:r>
    </w:p>
    <w:p w:rsidR="005F78FC" w:rsidRDefault="00B42EF3">
      <w:pPr>
        <w:pStyle w:val="indexentry0"/>
      </w:pPr>
      <w:hyperlink w:anchor="section_88fe143befc34d2394b1bf137c015388">
        <w:r>
          <w:rPr>
            <w:rStyle w:val="Hyperlink"/>
          </w:rPr>
          <w:t>fill (Shape Fill Extended Properties)</w:t>
        </w:r>
      </w:hyperlink>
      <w:r>
        <w:t xml:space="preserve"> </w:t>
      </w:r>
      <w:r>
        <w:fldChar w:fldCharType="begin"/>
      </w:r>
      <w:r>
        <w:instrText>PAGEREF section_88fe143befc34d2394b1bf137c015388</w:instrText>
      </w:r>
      <w:r>
        <w:fldChar w:fldCharType="separate"/>
      </w:r>
      <w:r>
        <w:rPr>
          <w:noProof/>
        </w:rPr>
        <w:t>670</w:t>
      </w:r>
      <w:r>
        <w:fldChar w:fldCharType="end"/>
      </w:r>
    </w:p>
    <w:p w:rsidR="005F78FC" w:rsidRDefault="00B42EF3">
      <w:pPr>
        <w:pStyle w:val="indexentry0"/>
      </w:pPr>
      <w:hyperlink w:anchor="section_98273a75a1e646669936485b682353ca">
        <w:r>
          <w:rPr>
            <w:rStyle w:val="Hyperlink"/>
          </w:rPr>
          <w:t>fill (Shape Fill Properties)</w:t>
        </w:r>
      </w:hyperlink>
      <w:r>
        <w:t xml:space="preserve"> </w:t>
      </w:r>
      <w:r>
        <w:fldChar w:fldCharType="begin"/>
      </w:r>
      <w:r>
        <w:instrText>PAGEREF section_98273a75a1e646669936485b682353ca</w:instrText>
      </w:r>
      <w:r>
        <w:fldChar w:fldCharType="separate"/>
      </w:r>
      <w:r>
        <w:rPr>
          <w:noProof/>
        </w:rPr>
        <w:t>644</w:t>
      </w:r>
      <w:r>
        <w:fldChar w:fldCharType="end"/>
      </w:r>
    </w:p>
    <w:p w:rsidR="005F78FC" w:rsidRDefault="00B42EF3">
      <w:pPr>
        <w:pStyle w:val="indexentry0"/>
      </w:pPr>
      <w:hyperlink w:anchor="section_3e717d5315f14e0883322aa16e60798c">
        <w:r>
          <w:rPr>
            <w:rStyle w:val="Hyperlink"/>
          </w:rPr>
          <w:t>fillClrLst (Fill Color List)</w:t>
        </w:r>
      </w:hyperlink>
      <w:r>
        <w:t xml:space="preserve"> </w:t>
      </w:r>
      <w:r>
        <w:fldChar w:fldCharType="begin"/>
      </w:r>
      <w:r>
        <w:instrText>PAGEREF section_3e717d5315f14e0883322aa16e60798c</w:instrText>
      </w:r>
      <w:r>
        <w:fldChar w:fldCharType="separate"/>
      </w:r>
      <w:r>
        <w:rPr>
          <w:noProof/>
        </w:rPr>
        <w:t>588</w:t>
      </w:r>
      <w:r>
        <w:fldChar w:fldCharType="end"/>
      </w:r>
    </w:p>
    <w:p w:rsidR="005F78FC" w:rsidRDefault="00B42EF3">
      <w:pPr>
        <w:pStyle w:val="indexentry0"/>
      </w:pPr>
      <w:hyperlink w:anchor="section_79949711feab4cdba73477cad7a95735">
        <w:r>
          <w:rPr>
            <w:rStyle w:val="Hyperlink"/>
          </w:rPr>
          <w:t>fills (Fills)</w:t>
        </w:r>
      </w:hyperlink>
      <w:r>
        <w:t xml:space="preserve"> </w:t>
      </w:r>
      <w:r>
        <w:fldChar w:fldCharType="begin"/>
      </w:r>
      <w:r>
        <w:instrText>PAGEREF section_79949711feab4cdba73477cad7a95735</w:instrText>
      </w:r>
      <w:r>
        <w:fldChar w:fldCharType="separate"/>
      </w:r>
      <w:r>
        <w:rPr>
          <w:noProof/>
        </w:rPr>
        <w:t>302</w:t>
      </w:r>
      <w:r>
        <w:fldChar w:fldCharType="end"/>
      </w:r>
    </w:p>
    <w:p w:rsidR="005F78FC" w:rsidRDefault="00B42EF3">
      <w:pPr>
        <w:pStyle w:val="indexentry0"/>
      </w:pPr>
      <w:hyperlink w:anchor="section_64e56679ddda4bd9a96ae5a17dd569e8">
        <w:r>
          <w:rPr>
            <w:rStyle w:val="Hyperlink"/>
          </w:rPr>
          <w:t>fillToRect (Fill To Rectangle)</w:t>
        </w:r>
      </w:hyperlink>
      <w:r>
        <w:t xml:space="preserve"> </w:t>
      </w:r>
      <w:r>
        <w:fldChar w:fldCharType="begin"/>
      </w:r>
      <w:r>
        <w:instrText>PAGEREF section_64e56679ddda4bd9a96ae5a17dd569e8</w:instrText>
      </w:r>
      <w:r>
        <w:fldChar w:fldCharType="separate"/>
      </w:r>
      <w:r>
        <w:rPr>
          <w:noProof/>
        </w:rPr>
        <w:t>516</w:t>
      </w:r>
      <w:r>
        <w:fldChar w:fldCharType="end"/>
      </w:r>
    </w:p>
    <w:p w:rsidR="005F78FC" w:rsidRDefault="00B42EF3">
      <w:pPr>
        <w:pStyle w:val="indexentry0"/>
      </w:pPr>
      <w:hyperlink w:anchor="section_2d4504f3c3044e20b7542e0595c1d917">
        <w:r>
          <w:rPr>
            <w:rStyle w:val="Hyperlink"/>
          </w:rPr>
          <w:t>filter (Filter)</w:t>
        </w:r>
      </w:hyperlink>
      <w:r>
        <w:t xml:space="preserve"> </w:t>
      </w:r>
      <w:r>
        <w:fldChar w:fldCharType="begin"/>
      </w:r>
      <w:r>
        <w:instrText>PAGEREF section_2d4504f3c3044e20b7542e0595c1d917</w:instrText>
      </w:r>
      <w:r>
        <w:fldChar w:fldCharType="separate"/>
      </w:r>
      <w:r>
        <w:rPr>
          <w:noProof/>
        </w:rPr>
        <w:t>292</w:t>
      </w:r>
      <w:r>
        <w:fldChar w:fldCharType="end"/>
      </w:r>
    </w:p>
    <w:p w:rsidR="005F78FC" w:rsidRDefault="00B42EF3">
      <w:pPr>
        <w:pStyle w:val="indexentry0"/>
      </w:pPr>
      <w:hyperlink w:anchor="section_ac8bc22cf207485897f477b1be34ebfb">
        <w:r>
          <w:rPr>
            <w:rStyle w:val="Hyperlink"/>
          </w:rPr>
          <w:t>filter (PivotTable Advanced Filter)</w:t>
        </w:r>
      </w:hyperlink>
      <w:r>
        <w:t xml:space="preserve"> </w:t>
      </w:r>
      <w:r>
        <w:fldChar w:fldCharType="begin"/>
      </w:r>
      <w:r>
        <w:instrText>PAGEREF section_ac8bc22cf207485897f477b1be34ebfb</w:instrText>
      </w:r>
      <w:r>
        <w:fldChar w:fldCharType="separate"/>
      </w:r>
      <w:r>
        <w:rPr>
          <w:noProof/>
        </w:rPr>
        <w:t>338</w:t>
      </w:r>
      <w:r>
        <w:fldChar w:fldCharType="end"/>
      </w:r>
    </w:p>
    <w:p w:rsidR="005F78FC" w:rsidRDefault="00B42EF3">
      <w:pPr>
        <w:pStyle w:val="indexentry0"/>
      </w:pPr>
      <w:hyperlink w:anchor="section_fa72fc954ca54476bce45d0b756e667d">
        <w:r>
          <w:rPr>
            <w:rStyle w:val="Hyperlink"/>
          </w:rPr>
          <w:t>filterColumn (AutoFilter Column)</w:t>
        </w:r>
      </w:hyperlink>
      <w:r>
        <w:t xml:space="preserve"> </w:t>
      </w:r>
      <w:r>
        <w:fldChar w:fldCharType="begin"/>
      </w:r>
      <w:r>
        <w:instrText>PAGEREF section_fa72fc954ca54476bce45d0b756e667d</w:instrText>
      </w:r>
      <w:r>
        <w:fldChar w:fldCharType="separate"/>
      </w:r>
      <w:r>
        <w:rPr>
          <w:noProof/>
        </w:rPr>
        <w:t>292</w:t>
      </w:r>
      <w:r>
        <w:fldChar w:fldCharType="end"/>
      </w:r>
    </w:p>
    <w:p w:rsidR="005F78FC" w:rsidRDefault="00B42EF3">
      <w:pPr>
        <w:pStyle w:val="indexentry0"/>
      </w:pPr>
      <w:hyperlink w:anchor="section_24c0f8b91ce6447dae7cf2d69e0727b0">
        <w:r>
          <w:rPr>
            <w:rStyle w:val="Hyperlink"/>
          </w:rPr>
          <w:t>filters (Filter Criteria)</w:t>
        </w:r>
      </w:hyperlink>
      <w:r>
        <w:t xml:space="preserve"> </w:t>
      </w:r>
      <w:r>
        <w:fldChar w:fldCharType="begin"/>
      </w:r>
      <w:r>
        <w:instrText>PAGEREF section_24c0f8b91ce6447dae7cf2d69e0727b0</w:instrText>
      </w:r>
      <w:r>
        <w:fldChar w:fldCharType="separate"/>
      </w:r>
      <w:r>
        <w:rPr>
          <w:noProof/>
        </w:rPr>
        <w:t>292</w:t>
      </w:r>
      <w:r>
        <w:fldChar w:fldCharType="end"/>
      </w:r>
    </w:p>
    <w:p w:rsidR="005F78FC" w:rsidRDefault="00B42EF3">
      <w:pPr>
        <w:pStyle w:val="indexentry0"/>
      </w:pPr>
      <w:hyperlink w:anchor="section_43520b959fff46bb88a6b7b1e177de47">
        <w:r>
          <w:rPr>
            <w:rStyle w:val="Hyperlink"/>
          </w:rPr>
          <w:t>FIND</w:t>
        </w:r>
      </w:hyperlink>
      <w:r>
        <w:t xml:space="preserve"> </w:t>
      </w:r>
      <w:r>
        <w:fldChar w:fldCharType="begin"/>
      </w:r>
      <w:r>
        <w:instrText>PAGEREF section_43520b959fff46bb88a6b7b1e177de47</w:instrText>
      </w:r>
      <w:r>
        <w:fldChar w:fldCharType="separate"/>
      </w:r>
      <w:r>
        <w:rPr>
          <w:noProof/>
        </w:rPr>
        <w:t>424</w:t>
      </w:r>
      <w:r>
        <w:fldChar w:fldCharType="end"/>
      </w:r>
    </w:p>
    <w:p w:rsidR="005F78FC" w:rsidRDefault="00B42EF3">
      <w:pPr>
        <w:pStyle w:val="indexentry0"/>
      </w:pPr>
      <w:hyperlink w:anchor="section_dca5abf4bf0a4de4aaa87057c9962f5f">
        <w:r>
          <w:rPr>
            <w:rStyle w:val="Hyperlink"/>
          </w:rPr>
          <w:t>FINDB</w:t>
        </w:r>
      </w:hyperlink>
      <w:r>
        <w:t xml:space="preserve"> </w:t>
      </w:r>
      <w:r>
        <w:fldChar w:fldCharType="begin"/>
      </w:r>
      <w:r>
        <w:instrText>PAGEREF section_dca5abf4bf0a4de4aaa87057c9962f5f</w:instrText>
      </w:r>
      <w:r>
        <w:fldChar w:fldCharType="separate"/>
      </w:r>
      <w:r>
        <w:rPr>
          <w:noProof/>
        </w:rPr>
        <w:t>425</w:t>
      </w:r>
      <w:r>
        <w:fldChar w:fldCharType="end"/>
      </w:r>
    </w:p>
    <w:p w:rsidR="005F78FC" w:rsidRDefault="00B42EF3">
      <w:pPr>
        <w:pStyle w:val="indexentry0"/>
      </w:pPr>
      <w:hyperlink w:anchor="section_19702fccfd174d3dbe7cfb98aab067a1">
        <w:r>
          <w:rPr>
            <w:rStyle w:val="Hyperlink"/>
          </w:rPr>
          <w:t>FINV</w:t>
        </w:r>
      </w:hyperlink>
      <w:r>
        <w:t xml:space="preserve"> </w:t>
      </w:r>
      <w:r>
        <w:fldChar w:fldCharType="begin"/>
      </w:r>
      <w:r>
        <w:instrText>PAGEREF section_19702fccfd174d3dbe7cfb98aab067a1</w:instrText>
      </w:r>
      <w:r>
        <w:fldChar w:fldCharType="separate"/>
      </w:r>
      <w:r>
        <w:rPr>
          <w:noProof/>
        </w:rPr>
        <w:t>425</w:t>
      </w:r>
      <w:r>
        <w:fldChar w:fldCharType="end"/>
      </w:r>
    </w:p>
    <w:p w:rsidR="005F78FC" w:rsidRDefault="00B42EF3">
      <w:pPr>
        <w:pStyle w:val="indexentry0"/>
      </w:pPr>
      <w:hyperlink w:anchor="section_ffa6e78afedd422e8521050dd540543f">
        <w:r>
          <w:rPr>
            <w:rStyle w:val="Hyperlink"/>
          </w:rPr>
          <w:t>firstFooter (First Footer)</w:t>
        </w:r>
      </w:hyperlink>
      <w:r>
        <w:t xml:space="preserve"> </w:t>
      </w:r>
      <w:r>
        <w:fldChar w:fldCharType="begin"/>
      </w:r>
      <w:r>
        <w:instrText>PAGEREF section_ffa6e78afedd422e8521050dd540543f</w:instrText>
      </w:r>
      <w:r>
        <w:fldChar w:fldCharType="separate"/>
      </w:r>
      <w:r>
        <w:rPr>
          <w:noProof/>
        </w:rPr>
        <w:t>554</w:t>
      </w:r>
      <w:r>
        <w:fldChar w:fldCharType="end"/>
      </w:r>
    </w:p>
    <w:p w:rsidR="005F78FC" w:rsidRDefault="00B42EF3">
      <w:pPr>
        <w:pStyle w:val="indexentry0"/>
      </w:pPr>
      <w:hyperlink w:anchor="section_18f72dee69094641812773fff1ce7be4">
        <w:r>
          <w:rPr>
            <w:rStyle w:val="Hyperlink"/>
          </w:rPr>
          <w:t>firstFooter (First Page Footer)</w:t>
        </w:r>
      </w:hyperlink>
      <w:r>
        <w:t xml:space="preserve"> </w:t>
      </w:r>
      <w:r>
        <w:fldChar w:fldCharType="begin"/>
      </w:r>
      <w:r>
        <w:instrText>PAGEREF section_18f72dee69094641812773fff1ce7be4</w:instrText>
      </w:r>
      <w:r>
        <w:fldChar w:fldCharType="separate"/>
      </w:r>
      <w:r>
        <w:rPr>
          <w:noProof/>
        </w:rPr>
        <w:t>265</w:t>
      </w:r>
      <w:r>
        <w:fldChar w:fldCharType="end"/>
      </w:r>
    </w:p>
    <w:p w:rsidR="005F78FC" w:rsidRDefault="00B42EF3">
      <w:pPr>
        <w:pStyle w:val="indexentry0"/>
      </w:pPr>
      <w:hyperlink w:anchor="section_040fa40f5c914e65be97a7b64d744fcf">
        <w:r>
          <w:rPr>
            <w:rStyle w:val="Hyperlink"/>
          </w:rPr>
          <w:t>firstHeader (First Header)</w:t>
        </w:r>
      </w:hyperlink>
      <w:r>
        <w:t xml:space="preserve"> </w:t>
      </w:r>
      <w:r>
        <w:fldChar w:fldCharType="begin"/>
      </w:r>
      <w:r>
        <w:instrText>PAGEREF section_040fa40f5c914e65be97a7b64d744fcf</w:instrText>
      </w:r>
      <w:r>
        <w:fldChar w:fldCharType="separate"/>
      </w:r>
      <w:r>
        <w:rPr>
          <w:noProof/>
        </w:rPr>
        <w:t>554</w:t>
      </w:r>
      <w:r>
        <w:fldChar w:fldCharType="end"/>
      </w:r>
    </w:p>
    <w:p w:rsidR="005F78FC" w:rsidRDefault="00B42EF3">
      <w:pPr>
        <w:pStyle w:val="indexentry0"/>
      </w:pPr>
      <w:hyperlink w:anchor="section_9ec6794e9c71422da396ac2934bb3a35">
        <w:r>
          <w:rPr>
            <w:rStyle w:val="Hyperlink"/>
          </w:rPr>
          <w:t>firstHeader (First Page Header)</w:t>
        </w:r>
      </w:hyperlink>
      <w:r>
        <w:t xml:space="preserve"> </w:t>
      </w:r>
      <w:r>
        <w:fldChar w:fldCharType="begin"/>
      </w:r>
      <w:r>
        <w:instrText>PAGEREF section_9ec6794e9c71422da396ac2934bb3a35</w:instrText>
      </w:r>
      <w:r>
        <w:fldChar w:fldCharType="separate"/>
      </w:r>
      <w:r>
        <w:rPr>
          <w:noProof/>
        </w:rPr>
        <w:t>265</w:t>
      </w:r>
      <w:r>
        <w:fldChar w:fldCharType="end"/>
      </w:r>
    </w:p>
    <w:p w:rsidR="005F78FC" w:rsidRDefault="00B42EF3">
      <w:pPr>
        <w:pStyle w:val="indexentry0"/>
      </w:pPr>
      <w:hyperlink w:anchor="section_aec278824aa1491c9c00fbc9bb00c9f7">
        <w:r>
          <w:rPr>
            <w:rStyle w:val="Hyperlink"/>
          </w:rPr>
          <w:t>fitText (Manual Run Width)</w:t>
        </w:r>
      </w:hyperlink>
      <w:r>
        <w:t xml:space="preserve"> </w:t>
      </w:r>
      <w:r>
        <w:fldChar w:fldCharType="begin"/>
      </w:r>
      <w:r>
        <w:instrText>PAGEREF section_aec278824aa1491c9c00fbc9bb00c9f7</w:instrText>
      </w:r>
      <w:r>
        <w:fldChar w:fldCharType="separate"/>
      </w:r>
      <w:r>
        <w:rPr>
          <w:noProof/>
        </w:rPr>
        <w:t>74</w:t>
      </w:r>
      <w:r>
        <w:fldChar w:fldCharType="end"/>
      </w:r>
    </w:p>
    <w:p w:rsidR="005F78FC" w:rsidRDefault="00B42EF3">
      <w:pPr>
        <w:pStyle w:val="indexentry0"/>
      </w:pPr>
      <w:hyperlink w:anchor="section_a27a9affa6634ea586c8c21105f12564">
        <w:r>
          <w:rPr>
            <w:rStyle w:val="Hyperlink"/>
          </w:rPr>
          <w:t>FIXED</w:t>
        </w:r>
      </w:hyperlink>
      <w:r>
        <w:t xml:space="preserve"> </w:t>
      </w:r>
      <w:r>
        <w:fldChar w:fldCharType="begin"/>
      </w:r>
      <w:r>
        <w:instrText>PAGEREF section_a27a9affa6634ea586c8c21105f12564</w:instrText>
      </w:r>
      <w:r>
        <w:fldChar w:fldCharType="separate"/>
      </w:r>
      <w:r>
        <w:rPr>
          <w:noProof/>
        </w:rPr>
        <w:t>425</w:t>
      </w:r>
      <w:r>
        <w:fldChar w:fldCharType="end"/>
      </w:r>
    </w:p>
    <w:p w:rsidR="005F78FC" w:rsidRDefault="00B42EF3">
      <w:pPr>
        <w:pStyle w:val="indexentry0"/>
      </w:pPr>
      <w:hyperlink w:anchor="section_1ecf33cf360145f089fb0ab824739343">
        <w:r>
          <w:rPr>
            <w:rStyle w:val="Hyperlink"/>
          </w:rPr>
          <w:t>Fixed Commands</w:t>
        </w:r>
      </w:hyperlink>
      <w:r>
        <w:t xml:space="preserve"> </w:t>
      </w:r>
      <w:r>
        <w:fldChar w:fldCharType="begin"/>
      </w:r>
      <w:r>
        <w:instrText>PAGER</w:instrText>
      </w:r>
      <w:r>
        <w:instrText>EF section_1ecf33cf360145f089fb0ab824739343</w:instrText>
      </w:r>
      <w:r>
        <w:fldChar w:fldCharType="separate"/>
      </w:r>
      <w:r>
        <w:rPr>
          <w:noProof/>
        </w:rPr>
        <w:t>709</w:t>
      </w:r>
      <w:r>
        <w:fldChar w:fldCharType="end"/>
      </w:r>
    </w:p>
    <w:p w:rsidR="005F78FC" w:rsidRDefault="00B42EF3">
      <w:pPr>
        <w:pStyle w:val="indexentry0"/>
      </w:pPr>
      <w:hyperlink w:anchor="section_4869d0aa50814fa19fb797cb9123eb45">
        <w:r>
          <w:rPr>
            <w:rStyle w:val="Hyperlink"/>
          </w:rPr>
          <w:t>flatTx (No text in 3D scene)</w:t>
        </w:r>
      </w:hyperlink>
      <w:r>
        <w:t xml:space="preserve"> </w:t>
      </w:r>
      <w:r>
        <w:fldChar w:fldCharType="begin"/>
      </w:r>
      <w:r>
        <w:instrText>PAGEREF section_4869d0aa50814fa19fb797cb9123eb45</w:instrText>
      </w:r>
      <w:r>
        <w:fldChar w:fldCharType="separate"/>
      </w:r>
      <w:r>
        <w:rPr>
          <w:noProof/>
        </w:rPr>
        <w:t>511</w:t>
      </w:r>
      <w:r>
        <w:fldChar w:fldCharType="end"/>
      </w:r>
    </w:p>
    <w:p w:rsidR="005F78FC" w:rsidRDefault="00B42EF3">
      <w:pPr>
        <w:pStyle w:val="indexentry0"/>
      </w:pPr>
      <w:hyperlink w:anchor="section_209a8afb4ce64ad9ad6bf18da263502e">
        <w:r>
          <w:rPr>
            <w:rStyle w:val="Hyperlink"/>
          </w:rPr>
          <w:t xml:space="preserve">fld </w:t>
        </w:r>
        <w:r>
          <w:rPr>
            <w:rStyle w:val="Hyperlink"/>
          </w:rPr>
          <w:t>(Text Field)</w:t>
        </w:r>
      </w:hyperlink>
      <w:r>
        <w:t xml:space="preserve"> </w:t>
      </w:r>
      <w:r>
        <w:fldChar w:fldCharType="begin"/>
      </w:r>
      <w:r>
        <w:instrText>PAGEREF section_209a8afb4ce64ad9ad6bf18da263502e</w:instrText>
      </w:r>
      <w:r>
        <w:fldChar w:fldCharType="separate"/>
      </w:r>
      <w:r>
        <w:rPr>
          <w:noProof/>
        </w:rPr>
        <w:t>533</w:t>
      </w:r>
      <w:r>
        <w:fldChar w:fldCharType="end"/>
      </w:r>
    </w:p>
    <w:p w:rsidR="005F78FC" w:rsidRDefault="00B42EF3">
      <w:pPr>
        <w:pStyle w:val="indexentry0"/>
      </w:pPr>
      <w:hyperlink w:anchor="section_34477fff355a497ea2bf4b9c3f80b093">
        <w:r>
          <w:rPr>
            <w:rStyle w:val="Hyperlink"/>
          </w:rPr>
          <w:t>fldSimple (Ruby Simple Field)</w:t>
        </w:r>
      </w:hyperlink>
      <w:r>
        <w:t xml:space="preserve"> </w:t>
      </w:r>
      <w:r>
        <w:fldChar w:fldCharType="begin"/>
      </w:r>
      <w:r>
        <w:instrText>PAGEREF section_34477fff355a497ea2bf4b9c3f80b093</w:instrText>
      </w:r>
      <w:r>
        <w:fldChar w:fldCharType="separate"/>
      </w:r>
      <w:r>
        <w:rPr>
          <w:noProof/>
        </w:rPr>
        <w:t>796</w:t>
      </w:r>
      <w:r>
        <w:fldChar w:fldCharType="end"/>
      </w:r>
    </w:p>
    <w:p w:rsidR="005F78FC" w:rsidRDefault="00B42EF3">
      <w:pPr>
        <w:pStyle w:val="indexentry0"/>
      </w:pPr>
      <w:hyperlink w:anchor="section_3ef1ff9c08084ef8a90c45eae43aa729">
        <w:r>
          <w:rPr>
            <w:rStyle w:val="Hyperlink"/>
          </w:rPr>
          <w:t>fldSimple (Simple Field)</w:t>
        </w:r>
      </w:hyperlink>
      <w:r>
        <w:t xml:space="preserve"> </w:t>
      </w:r>
      <w:r>
        <w:fldChar w:fldCharType="begin"/>
      </w:r>
      <w:r>
        <w:instrText>PAGEREF section_3ef1ff9c08084ef8a90c45eae43aa729</w:instrText>
      </w:r>
      <w:r>
        <w:fldChar w:fldCharType="separate"/>
      </w:r>
      <w:r>
        <w:rPr>
          <w:noProof/>
        </w:rPr>
        <w:t>229</w:t>
      </w:r>
      <w:r>
        <w:fldChar w:fldCharType="end"/>
      </w:r>
    </w:p>
    <w:p w:rsidR="005F78FC" w:rsidRDefault="00B42EF3">
      <w:pPr>
        <w:pStyle w:val="indexentry0"/>
      </w:pPr>
      <w:hyperlink w:anchor="section_534f018290984b228583bd0f8c2cc5f8">
        <w:r>
          <w:rPr>
            <w:rStyle w:val="Hyperlink"/>
          </w:rPr>
          <w:t>FLOOR</w:t>
        </w:r>
      </w:hyperlink>
      <w:r>
        <w:t xml:space="preserve"> </w:t>
      </w:r>
      <w:r>
        <w:fldChar w:fldCharType="begin"/>
      </w:r>
      <w:r>
        <w:instrText>PAGEREF section_534f018290984b228583bd0f8c2cc5f8</w:instrText>
      </w:r>
      <w:r>
        <w:fldChar w:fldCharType="separate"/>
      </w:r>
      <w:r>
        <w:rPr>
          <w:noProof/>
        </w:rPr>
        <w:t>425</w:t>
      </w:r>
      <w:r>
        <w:fldChar w:fldCharType="end"/>
      </w:r>
    </w:p>
    <w:p w:rsidR="005F78FC" w:rsidRDefault="00B42EF3">
      <w:pPr>
        <w:pStyle w:val="indexentry0"/>
      </w:pPr>
      <w:hyperlink w:anchor="section_14a18d6f56794a50bd05b4dfbc77d851">
        <w:r>
          <w:rPr>
            <w:rStyle w:val="Hyperlink"/>
          </w:rPr>
          <w:t>floor (Floor)</w:t>
        </w:r>
      </w:hyperlink>
      <w:r>
        <w:t xml:space="preserve"> </w:t>
      </w:r>
      <w:r>
        <w:fldChar w:fldCharType="begin"/>
      </w:r>
      <w:r>
        <w:instrText>PAGEREF section_14a18d6f56794a50bd05b4dfbc77d851</w:instrText>
      </w:r>
      <w:r>
        <w:fldChar w:fldCharType="separate"/>
      </w:r>
      <w:r>
        <w:rPr>
          <w:noProof/>
        </w:rPr>
        <w:t>555</w:t>
      </w:r>
      <w:r>
        <w:fldChar w:fldCharType="end"/>
      </w:r>
    </w:p>
    <w:p w:rsidR="005F78FC" w:rsidRDefault="00B42EF3">
      <w:pPr>
        <w:pStyle w:val="indexentry0"/>
      </w:pPr>
      <w:hyperlink w:anchor="section_b260750bc7564ba289a782ab03ca77df">
        <w:r>
          <w:rPr>
            <w:rStyle w:val="Hyperlink"/>
          </w:rPr>
          <w:t>FmlaGroup (Linked Formula - Group Box)</w:t>
        </w:r>
      </w:hyperlink>
      <w:r>
        <w:t xml:space="preserve"> </w:t>
      </w:r>
      <w:r>
        <w:fldChar w:fldCharType="begin"/>
      </w:r>
      <w:r>
        <w:instrText>PAGEREF section_b260750bc7564ba289a782ab03ca77df</w:instrText>
      </w:r>
      <w:r>
        <w:fldChar w:fldCharType="separate"/>
      </w:r>
      <w:r>
        <w:rPr>
          <w:noProof/>
        </w:rPr>
        <w:t>681</w:t>
      </w:r>
      <w:r>
        <w:fldChar w:fldCharType="end"/>
      </w:r>
    </w:p>
    <w:p w:rsidR="005F78FC" w:rsidRDefault="00B42EF3">
      <w:pPr>
        <w:pStyle w:val="indexentry0"/>
      </w:pPr>
      <w:hyperlink w:anchor="section_fdd835077a574bf1b84466f551ee55b9">
        <w:r>
          <w:rPr>
            <w:rStyle w:val="Hyperlink"/>
          </w:rPr>
          <w:t>FmlaMacro (Reference to Custom Function)</w:t>
        </w:r>
      </w:hyperlink>
      <w:r>
        <w:t xml:space="preserve"> </w:t>
      </w:r>
      <w:r>
        <w:fldChar w:fldCharType="begin"/>
      </w:r>
      <w:r>
        <w:instrText>PAGEREF section_fdd835077a574bf1b84466f551ee55b9</w:instrText>
      </w:r>
      <w:r>
        <w:fldChar w:fldCharType="separate"/>
      </w:r>
      <w:r>
        <w:rPr>
          <w:noProof/>
        </w:rPr>
        <w:t>681</w:t>
      </w:r>
      <w:r>
        <w:fldChar w:fldCharType="end"/>
      </w:r>
    </w:p>
    <w:p w:rsidR="005F78FC" w:rsidRDefault="00B42EF3">
      <w:pPr>
        <w:pStyle w:val="indexentry0"/>
      </w:pPr>
      <w:hyperlink w:anchor="section_3d0c971688c54af3b63afeef60b8ebd8">
        <w:r>
          <w:rPr>
            <w:rStyle w:val="Hyperlink"/>
          </w:rPr>
          <w:t>FmlaRange (List Items Source Range)</w:t>
        </w:r>
      </w:hyperlink>
      <w:r>
        <w:t xml:space="preserve"> </w:t>
      </w:r>
      <w:r>
        <w:fldChar w:fldCharType="begin"/>
      </w:r>
      <w:r>
        <w:instrText>PAGEREF section_3d0c971688c54af3b63afeef60b8ebd8</w:instrText>
      </w:r>
      <w:r>
        <w:fldChar w:fldCharType="separate"/>
      </w:r>
      <w:r>
        <w:rPr>
          <w:noProof/>
        </w:rPr>
        <w:t>681</w:t>
      </w:r>
      <w:r>
        <w:fldChar w:fldCharType="end"/>
      </w:r>
    </w:p>
    <w:p w:rsidR="005F78FC" w:rsidRDefault="00B42EF3">
      <w:pPr>
        <w:pStyle w:val="indexentry0"/>
      </w:pPr>
      <w:hyperlink w:anchor="section_53586a4091834fb9a0dc2d0c48f92e2a">
        <w:r>
          <w:rPr>
            <w:rStyle w:val="Hyperlink"/>
          </w:rPr>
          <w:t>FmlaTxbx (Text Formula)</w:t>
        </w:r>
      </w:hyperlink>
      <w:r>
        <w:t xml:space="preserve"> </w:t>
      </w:r>
      <w:r>
        <w:fldChar w:fldCharType="begin"/>
      </w:r>
      <w:r>
        <w:instrText>PAGEREF section_53586a4091834fb9a0dc2d0c48f92e2a</w:instrText>
      </w:r>
      <w:r>
        <w:fldChar w:fldCharType="separate"/>
      </w:r>
      <w:r>
        <w:rPr>
          <w:noProof/>
        </w:rPr>
        <w:t>681</w:t>
      </w:r>
      <w:r>
        <w:fldChar w:fldCharType="end"/>
      </w:r>
    </w:p>
    <w:p w:rsidR="005F78FC" w:rsidRDefault="00B42EF3">
      <w:pPr>
        <w:pStyle w:val="indexentry0"/>
      </w:pPr>
      <w:hyperlink w:anchor="section_b1f80d650055495797e699d84ef6398a">
        <w:r>
          <w:rPr>
            <w:rStyle w:val="Hyperlink"/>
          </w:rPr>
          <w:t>fmtId (Format ID)</w:t>
        </w:r>
      </w:hyperlink>
      <w:r>
        <w:t xml:space="preserve"> </w:t>
      </w:r>
      <w:r>
        <w:fldChar w:fldCharType="begin"/>
      </w:r>
      <w:r>
        <w:instrText>PAGEREF section_b1f80d650055495797e699d84ef6398a</w:instrText>
      </w:r>
      <w:r>
        <w:fldChar w:fldCharType="separate"/>
      </w:r>
      <w:r>
        <w:rPr>
          <w:noProof/>
        </w:rPr>
        <w:t>555</w:t>
      </w:r>
      <w:r>
        <w:fldChar w:fldCharType="end"/>
      </w:r>
    </w:p>
    <w:p w:rsidR="005F78FC" w:rsidRDefault="00B42EF3">
      <w:pPr>
        <w:pStyle w:val="indexentry0"/>
      </w:pPr>
      <w:hyperlink w:anchor="section_a9e1349479034e899e2592bccc61e724">
        <w:r>
          <w:rPr>
            <w:rStyle w:val="Hyperlink"/>
          </w:rPr>
          <w:t>fName (Function Name)</w:t>
        </w:r>
      </w:hyperlink>
      <w:r>
        <w:t xml:space="preserve"> </w:t>
      </w:r>
      <w:r>
        <w:fldChar w:fldCharType="begin"/>
      </w:r>
      <w:r>
        <w:instrText>PAGEREF section_a9e1349479034e899e2592bccc61e724</w:instrText>
      </w:r>
      <w:r>
        <w:fldChar w:fldCharType="separate"/>
      </w:r>
      <w:r>
        <w:rPr>
          <w:noProof/>
        </w:rPr>
        <w:t>599</w:t>
      </w:r>
      <w:r>
        <w:fldChar w:fldCharType="end"/>
      </w:r>
    </w:p>
    <w:p w:rsidR="005F78FC" w:rsidRDefault="00B42EF3">
      <w:pPr>
        <w:pStyle w:val="indexentry0"/>
      </w:pPr>
      <w:hyperlink w:anchor="section_af9c792be9254afcbef47f031163f0f7">
        <w:r>
          <w:rPr>
            <w:rStyle w:val="Hyperlink"/>
          </w:rPr>
          <w:t>folHlink (Followed Hyperlink)</w:t>
        </w:r>
      </w:hyperlink>
      <w:r>
        <w:t xml:space="preserve"> </w:t>
      </w:r>
      <w:r>
        <w:fldChar w:fldCharType="begin"/>
      </w:r>
      <w:r>
        <w:instrText>PAGEREF section_af9c792be9254afcbef47f031163f0f7</w:instrText>
      </w:r>
      <w:r>
        <w:fldChar w:fldCharType="separate"/>
      </w:r>
      <w:r>
        <w:rPr>
          <w:noProof/>
        </w:rPr>
        <w:t>508</w:t>
      </w:r>
      <w:r>
        <w:fldChar w:fldCharType="end"/>
      </w:r>
    </w:p>
    <w:p w:rsidR="005F78FC" w:rsidRDefault="00B42EF3">
      <w:pPr>
        <w:pStyle w:val="indexentry0"/>
      </w:pPr>
      <w:hyperlink w:anchor="section_2799f9b3d0b84e5f949480ecda8934e7">
        <w:r>
          <w:rPr>
            <w:rStyle w:val="Hyperlink"/>
          </w:rPr>
          <w:t>font (Embedded Font Name)</w:t>
        </w:r>
      </w:hyperlink>
      <w:r>
        <w:t xml:space="preserve"> </w:t>
      </w:r>
      <w:r>
        <w:fldChar w:fldCharType="begin"/>
      </w:r>
      <w:r>
        <w:instrText>PAGEREF section_2799f9b3d0b84e5f949480ecda8934e7</w:instrText>
      </w:r>
      <w:r>
        <w:fldChar w:fldCharType="separate"/>
      </w:r>
      <w:r>
        <w:rPr>
          <w:noProof/>
        </w:rPr>
        <w:t>463</w:t>
      </w:r>
      <w:r>
        <w:fldChar w:fldCharType="end"/>
      </w:r>
    </w:p>
    <w:p w:rsidR="005F78FC" w:rsidRDefault="00B42EF3">
      <w:pPr>
        <w:pStyle w:val="indexentry0"/>
      </w:pPr>
      <w:hyperlink w:anchor="section_6bb22ec6338141d69df3a1f4d588b39a">
        <w:r>
          <w:rPr>
            <w:rStyle w:val="Hyperlink"/>
          </w:rPr>
          <w:t>font (Font)</w:t>
        </w:r>
      </w:hyperlink>
      <w:r>
        <w:t xml:space="preserve"> </w:t>
      </w:r>
      <w:r>
        <w:fldChar w:fldCharType="begin"/>
      </w:r>
      <w:r>
        <w:instrText>PAGEREF section_6bb22ec6338141d69df3a1f4d588b39a</w:instrText>
      </w:r>
      <w:r>
        <w:fldChar w:fldCharType="separate"/>
      </w:r>
      <w:r>
        <w:rPr>
          <w:noProof/>
        </w:rPr>
        <w:t>302</w:t>
      </w:r>
      <w:r>
        <w:fldChar w:fldCharType="end"/>
      </w:r>
    </w:p>
    <w:p w:rsidR="005F78FC" w:rsidRDefault="00B42EF3">
      <w:pPr>
        <w:pStyle w:val="indexentry0"/>
      </w:pPr>
      <w:hyperlink w:anchor="section_140b01ad31f04eafbf45c2121fee0dc6">
        <w:r>
          <w:rPr>
            <w:rStyle w:val="Hyperlink"/>
          </w:rPr>
          <w:t>font (Properties for a Single Font)</w:t>
        </w:r>
      </w:hyperlink>
      <w:r>
        <w:t xml:space="preserve"> </w:t>
      </w:r>
      <w:r>
        <w:fldChar w:fldCharType="begin"/>
      </w:r>
      <w:r>
        <w:instrText>PAGEREF section_140b01ad31f04eafbf45c2121fee0dc</w:instrText>
      </w:r>
      <w:r>
        <w:instrText>6</w:instrText>
      </w:r>
      <w:r>
        <w:fldChar w:fldCharType="separate"/>
      </w:r>
      <w:r>
        <w:rPr>
          <w:noProof/>
        </w:rPr>
        <w:t>125</w:t>
      </w:r>
      <w:r>
        <w:fldChar w:fldCharType="end"/>
      </w:r>
    </w:p>
    <w:p w:rsidR="005F78FC" w:rsidRDefault="00B42EF3">
      <w:pPr>
        <w:pStyle w:val="indexentry0"/>
      </w:pPr>
      <w:hyperlink w:anchor="section_22725205d8b548e98079c6cf815e6213">
        <w:r>
          <w:rPr>
            <w:rStyle w:val="Hyperlink"/>
          </w:rPr>
          <w:t>font (Standard COM Font Object)</w:t>
        </w:r>
      </w:hyperlink>
      <w:r>
        <w:t xml:space="preserve"> </w:t>
      </w:r>
      <w:r>
        <w:fldChar w:fldCharType="begin"/>
      </w:r>
      <w:r>
        <w:instrText>PAGEREF section_22725205d8b548e98079c6cf815e6213</w:instrText>
      </w:r>
      <w:r>
        <w:fldChar w:fldCharType="separate"/>
      </w:r>
      <w:r>
        <w:rPr>
          <w:noProof/>
        </w:rPr>
        <w:t>878</w:t>
      </w:r>
      <w:r>
        <w:fldChar w:fldCharType="end"/>
      </w:r>
    </w:p>
    <w:p w:rsidR="005F78FC" w:rsidRDefault="00B42EF3">
      <w:pPr>
        <w:pStyle w:val="indexentry0"/>
      </w:pPr>
      <w:hyperlink w:anchor="section_ea097c5757944624b08e017b47051b1d">
        <w:r>
          <w:rPr>
            <w:rStyle w:val="Hyperlink"/>
          </w:rPr>
          <w:t>Font Part</w:t>
        </w:r>
      </w:hyperlink>
      <w:r>
        <w:t xml:space="preserve"> </w:t>
      </w:r>
      <w:r>
        <w:fldChar w:fldCharType="begin"/>
      </w:r>
      <w:r>
        <w:instrText>PAGEREF section_ea097c575794462</w:instrText>
      </w:r>
      <w:r>
        <w:instrText>4b08e017b47051b1d</w:instrText>
      </w:r>
      <w:r>
        <w:fldChar w:fldCharType="separate"/>
      </w:r>
      <w:r>
        <w:rPr>
          <w:noProof/>
        </w:rPr>
        <w:t>64</w:t>
      </w:r>
      <w:r>
        <w:fldChar w:fldCharType="end"/>
      </w:r>
    </w:p>
    <w:p w:rsidR="005F78FC" w:rsidRDefault="00B42EF3">
      <w:pPr>
        <w:pStyle w:val="indexentry0"/>
      </w:pPr>
      <w:hyperlink w:anchor="section_dda195888971454cb18f0282065f95a3">
        <w:r>
          <w:rPr>
            <w:rStyle w:val="Hyperlink"/>
          </w:rPr>
          <w:t>fontRef (Font Reference)</w:t>
        </w:r>
      </w:hyperlink>
      <w:r>
        <w:t xml:space="preserve"> </w:t>
      </w:r>
      <w:r>
        <w:fldChar w:fldCharType="begin"/>
      </w:r>
      <w:r>
        <w:instrText>PAGEREF section_dda195888971454cb18f0282065f95a3</w:instrText>
      </w:r>
      <w:r>
        <w:fldChar w:fldCharType="separate"/>
      </w:r>
      <w:r>
        <w:rPr>
          <w:noProof/>
        </w:rPr>
        <w:t>508</w:t>
      </w:r>
      <w:r>
        <w:fldChar w:fldCharType="end"/>
      </w:r>
    </w:p>
    <w:p w:rsidR="005F78FC" w:rsidRDefault="00B42EF3">
      <w:pPr>
        <w:pStyle w:val="indexentry0"/>
      </w:pPr>
      <w:hyperlink w:anchor="section_09b83e1530de481d8ddf777107d4122e">
        <w:r>
          <w:rPr>
            <w:rStyle w:val="Hyperlink"/>
          </w:rPr>
          <w:t>Fonts</w:t>
        </w:r>
      </w:hyperlink>
      <w:r>
        <w:t xml:space="preserve"> </w:t>
      </w:r>
      <w:r>
        <w:fldChar w:fldCharType="begin"/>
      </w:r>
      <w:r>
        <w:instrText>PAGEREF section_09b83e1530de481d8ddf777107d4122e</w:instrText>
      </w:r>
      <w:r>
        <w:fldChar w:fldCharType="separate"/>
      </w:r>
      <w:r>
        <w:rPr>
          <w:noProof/>
        </w:rPr>
        <w:t>123</w:t>
      </w:r>
      <w:r>
        <w:fldChar w:fldCharType="end"/>
      </w:r>
    </w:p>
    <w:p w:rsidR="005F78FC" w:rsidRDefault="00B42EF3">
      <w:pPr>
        <w:pStyle w:val="indexentry0"/>
      </w:pPr>
      <w:hyperlink w:anchor="section_5e6b826f1abf496a8c7faf58b5312aaf">
        <w:r>
          <w:rPr>
            <w:rStyle w:val="Hyperlink"/>
          </w:rPr>
          <w:t>fonts (Fonts)</w:t>
        </w:r>
      </w:hyperlink>
      <w:r>
        <w:t xml:space="preserve"> </w:t>
      </w:r>
      <w:r>
        <w:fldChar w:fldCharType="begin"/>
      </w:r>
      <w:r>
        <w:instrText>PAGEREF section_5e6b826f1abf496a8c7faf58b5312aaf</w:instrText>
      </w:r>
      <w:r>
        <w:fldChar w:fldCharType="separate"/>
      </w:r>
      <w:r>
        <w:rPr>
          <w:noProof/>
        </w:rPr>
        <w:t>302</w:t>
      </w:r>
      <w:r>
        <w:fldChar w:fldCharType="end"/>
      </w:r>
    </w:p>
    <w:p w:rsidR="005F78FC" w:rsidRDefault="00B42EF3">
      <w:pPr>
        <w:pStyle w:val="indexentry0"/>
      </w:pPr>
      <w:hyperlink w:anchor="section_02af532c67914f63b4b2cd20e58dce91">
        <w:r>
          <w:rPr>
            <w:rStyle w:val="Hyperlink"/>
          </w:rPr>
          <w:t>footerReferenc</w:t>
        </w:r>
        <w:r>
          <w:rPr>
            <w:rStyle w:val="Hyperlink"/>
          </w:rPr>
          <w:t>e (Footer Reference)</w:t>
        </w:r>
      </w:hyperlink>
      <w:r>
        <w:t xml:space="preserve"> </w:t>
      </w:r>
      <w:r>
        <w:fldChar w:fldCharType="begin"/>
      </w:r>
      <w:r>
        <w:instrText>PAGEREF section_02af532c67914f63b4b2cd20e58dce91</w:instrText>
      </w:r>
      <w:r>
        <w:fldChar w:fldCharType="separate"/>
      </w:r>
      <w:r>
        <w:rPr>
          <w:noProof/>
        </w:rPr>
        <w:t>130</w:t>
      </w:r>
      <w:r>
        <w:fldChar w:fldCharType="end"/>
      </w:r>
    </w:p>
    <w:p w:rsidR="005F78FC" w:rsidRDefault="00B42EF3">
      <w:pPr>
        <w:pStyle w:val="indexentry0"/>
      </w:pPr>
      <w:hyperlink w:anchor="section_d5931152c596463d931edb02b303844b">
        <w:r>
          <w:rPr>
            <w:rStyle w:val="Hyperlink"/>
          </w:rPr>
          <w:t>footnote (Footnote Content)</w:t>
        </w:r>
      </w:hyperlink>
      <w:r>
        <w:t xml:space="preserve"> </w:t>
      </w:r>
      <w:r>
        <w:fldChar w:fldCharType="begin"/>
      </w:r>
      <w:r>
        <w:instrText>PAGEREF section_d5931152c596463d931edb02b303844b</w:instrText>
      </w:r>
      <w:r>
        <w:fldChar w:fldCharType="separate"/>
      </w:r>
      <w:r>
        <w:rPr>
          <w:noProof/>
        </w:rPr>
        <w:t>131</w:t>
      </w:r>
      <w:r>
        <w:fldChar w:fldCharType="end"/>
      </w:r>
    </w:p>
    <w:p w:rsidR="005F78FC" w:rsidRDefault="00B42EF3">
      <w:pPr>
        <w:pStyle w:val="indexentry0"/>
      </w:pPr>
      <w:hyperlink w:anchor="section_568c6fabc68e4100a369804243c54d56">
        <w:r>
          <w:rPr>
            <w:rStyle w:val="Hyperlink"/>
          </w:rPr>
          <w:t>footnote (Special Footnote List)</w:t>
        </w:r>
      </w:hyperlink>
      <w:r>
        <w:t xml:space="preserve"> </w:t>
      </w:r>
      <w:r>
        <w:fldChar w:fldCharType="begin"/>
      </w:r>
      <w:r>
        <w:instrText>PAGEREF section_568c6fabc68e4100a369804243c54d56</w:instrText>
      </w:r>
      <w:r>
        <w:fldChar w:fldCharType="separate"/>
      </w:r>
      <w:r>
        <w:rPr>
          <w:noProof/>
        </w:rPr>
        <w:t>131</w:t>
      </w:r>
      <w:r>
        <w:fldChar w:fldCharType="end"/>
      </w:r>
    </w:p>
    <w:p w:rsidR="005F78FC" w:rsidRDefault="00B42EF3">
      <w:pPr>
        <w:pStyle w:val="indexentry0"/>
      </w:pPr>
      <w:hyperlink w:anchor="section_d399b2b668ad4c7faba00d1b77a5aa60">
        <w:r>
          <w:rPr>
            <w:rStyle w:val="Hyperlink"/>
          </w:rPr>
          <w:t>footnoteReference (Footnote Reference)</w:t>
        </w:r>
      </w:hyperlink>
      <w:r>
        <w:t xml:space="preserve"> </w:t>
      </w:r>
      <w:r>
        <w:fldChar w:fldCharType="begin"/>
      </w:r>
      <w:r>
        <w:instrText>PAGEREF section_d399b2b668ad4c7faba00d1b77a5</w:instrText>
      </w:r>
      <w:r>
        <w:instrText>aa60</w:instrText>
      </w:r>
      <w:r>
        <w:fldChar w:fldCharType="separate"/>
      </w:r>
      <w:r>
        <w:rPr>
          <w:noProof/>
        </w:rPr>
        <w:t>131</w:t>
      </w:r>
      <w:r>
        <w:fldChar w:fldCharType="end"/>
      </w:r>
    </w:p>
    <w:p w:rsidR="005F78FC" w:rsidRDefault="00B42EF3">
      <w:pPr>
        <w:pStyle w:val="indexentry0"/>
      </w:pPr>
      <w:hyperlink w:anchor="section_9089ac8522124002b759a9b6bcbdfdc3">
        <w:r>
          <w:rPr>
            <w:rStyle w:val="Hyperlink"/>
          </w:rPr>
          <w:t>forEach (For Each)</w:t>
        </w:r>
      </w:hyperlink>
      <w:r>
        <w:t xml:space="preserve"> </w:t>
      </w:r>
      <w:r>
        <w:fldChar w:fldCharType="begin"/>
      </w:r>
      <w:r>
        <w:instrText>PAGEREF section_9089ac8522124002b759a9b6bcbdfdc3</w:instrText>
      </w:r>
      <w:r>
        <w:fldChar w:fldCharType="separate"/>
      </w:r>
      <w:r>
        <w:rPr>
          <w:noProof/>
        </w:rPr>
        <w:t>586</w:t>
      </w:r>
      <w:r>
        <w:fldChar w:fldCharType="end"/>
      </w:r>
    </w:p>
    <w:p w:rsidR="005F78FC" w:rsidRDefault="00B42EF3">
      <w:pPr>
        <w:pStyle w:val="indexentry0"/>
      </w:pPr>
      <w:hyperlink w:anchor="section_b5664c5839084645bb1ad88250c33aa2">
        <w:r>
          <w:rPr>
            <w:rStyle w:val="Hyperlink"/>
          </w:rPr>
          <w:t>FORECAST</w:t>
        </w:r>
      </w:hyperlink>
      <w:r>
        <w:t xml:space="preserve"> </w:t>
      </w:r>
      <w:r>
        <w:fldChar w:fldCharType="begin"/>
      </w:r>
      <w:r>
        <w:instrText>PAGEREF section_b5664c5839084645bb1ad88250</w:instrText>
      </w:r>
      <w:r>
        <w:instrText>c33aa2</w:instrText>
      </w:r>
      <w:r>
        <w:fldChar w:fldCharType="separate"/>
      </w:r>
      <w:r>
        <w:rPr>
          <w:noProof/>
        </w:rPr>
        <w:t>425</w:t>
      </w:r>
      <w:r>
        <w:fldChar w:fldCharType="end"/>
      </w:r>
    </w:p>
    <w:p w:rsidR="005F78FC" w:rsidRDefault="00B42EF3">
      <w:pPr>
        <w:pStyle w:val="indexentry0"/>
      </w:pPr>
      <w:hyperlink w:anchor="section_f296125e31a94a82b171bb7c38652aa3">
        <w:r>
          <w:rPr>
            <w:rStyle w:val="Hyperlink"/>
          </w:rPr>
          <w:t>format (PivotTable Format)</w:t>
        </w:r>
      </w:hyperlink>
      <w:r>
        <w:t xml:space="preserve"> </w:t>
      </w:r>
      <w:r>
        <w:fldChar w:fldCharType="begin"/>
      </w:r>
      <w:r>
        <w:instrText>PAGEREF section_f296125e31a94a82b171bb7c38652aa3</w:instrText>
      </w:r>
      <w:r>
        <w:fldChar w:fldCharType="separate"/>
      </w:r>
      <w:r>
        <w:rPr>
          <w:noProof/>
        </w:rPr>
        <w:t>338</w:t>
      </w:r>
      <w:r>
        <w:fldChar w:fldCharType="end"/>
      </w:r>
    </w:p>
    <w:p w:rsidR="005F78FC" w:rsidRDefault="00B42EF3">
      <w:pPr>
        <w:pStyle w:val="indexentry0"/>
      </w:pPr>
      <w:hyperlink w:anchor="section_345db88e99a24102ab5eab85f1c4b3d9">
        <w:r>
          <w:rPr>
            <w:rStyle w:val="Hyperlink"/>
          </w:rPr>
          <w:t>format (Text Box Form Field Formatting)</w:t>
        </w:r>
      </w:hyperlink>
      <w:r>
        <w:t xml:space="preserve"> </w:t>
      </w:r>
      <w:r>
        <w:fldChar w:fldCharType="begin"/>
      </w:r>
      <w:r>
        <w:instrText>PAGEREF section_345db88e99a24102ab5eab85f1c4b3d9</w:instrText>
      </w:r>
      <w:r>
        <w:fldChar w:fldCharType="separate"/>
      </w:r>
      <w:r>
        <w:rPr>
          <w:noProof/>
        </w:rPr>
        <w:t>229</w:t>
      </w:r>
      <w:r>
        <w:fldChar w:fldCharType="end"/>
      </w:r>
    </w:p>
    <w:p w:rsidR="005F78FC" w:rsidRDefault="00B42EF3">
      <w:pPr>
        <w:pStyle w:val="indexentry0"/>
      </w:pPr>
      <w:hyperlink w:anchor="section_1a0d07f9ff1b4373ae2afdc4610c6c36">
        <w:r>
          <w:rPr>
            <w:rStyle w:val="Hyperlink"/>
          </w:rPr>
          <w:t>formatting (Formatting)</w:t>
        </w:r>
      </w:hyperlink>
      <w:r>
        <w:t xml:space="preserve"> </w:t>
      </w:r>
      <w:r>
        <w:fldChar w:fldCharType="begin"/>
      </w:r>
      <w:r>
        <w:instrText>PAGEREF section_1a0d07f9ff1b4373ae2afdc4610c6c36</w:instrText>
      </w:r>
      <w:r>
        <w:fldChar w:fldCharType="separate"/>
      </w:r>
      <w:r>
        <w:rPr>
          <w:noProof/>
        </w:rPr>
        <w:t>555</w:t>
      </w:r>
      <w:r>
        <w:fldChar w:fldCharType="end"/>
      </w:r>
    </w:p>
    <w:p w:rsidR="005F78FC" w:rsidRDefault="00B42EF3">
      <w:pPr>
        <w:pStyle w:val="indexentry0"/>
      </w:pPr>
      <w:hyperlink w:anchor="section_dc94db725d5f4aceae06e7bd722a3dab">
        <w:r>
          <w:rPr>
            <w:rStyle w:val="Hyperlink"/>
          </w:rPr>
          <w:t>FORM</w:t>
        </w:r>
        <w:r>
          <w:rPr>
            <w:rStyle w:val="Hyperlink"/>
          </w:rPr>
          <w:t>CHECKBOX</w:t>
        </w:r>
      </w:hyperlink>
      <w:r>
        <w:t xml:space="preserve"> </w:t>
      </w:r>
      <w:r>
        <w:fldChar w:fldCharType="begin"/>
      </w:r>
      <w:r>
        <w:instrText>PAGEREF section_dc94db725d5f4aceae06e7bd722a3dab</w:instrText>
      </w:r>
      <w:r>
        <w:fldChar w:fldCharType="separate"/>
      </w:r>
      <w:r>
        <w:rPr>
          <w:noProof/>
        </w:rPr>
        <w:t>217</w:t>
      </w:r>
      <w:r>
        <w:fldChar w:fldCharType="end"/>
      </w:r>
    </w:p>
    <w:p w:rsidR="005F78FC" w:rsidRDefault="00B42EF3">
      <w:pPr>
        <w:pStyle w:val="indexentry0"/>
      </w:pPr>
      <w:hyperlink w:anchor="section_3e69c23d9a6b4689b9a8c3d77e39567e">
        <w:r>
          <w:rPr>
            <w:rStyle w:val="Hyperlink"/>
          </w:rPr>
          <w:t>FORMDROPDOWN</w:t>
        </w:r>
      </w:hyperlink>
      <w:r>
        <w:t xml:space="preserve"> </w:t>
      </w:r>
      <w:r>
        <w:fldChar w:fldCharType="begin"/>
      </w:r>
      <w:r>
        <w:instrText>PAGEREF section_3e69c23d9a6b4689b9a8c3d77e39567e</w:instrText>
      </w:r>
      <w:r>
        <w:fldChar w:fldCharType="separate"/>
      </w:r>
      <w:r>
        <w:rPr>
          <w:noProof/>
        </w:rPr>
        <w:t>217</w:t>
      </w:r>
      <w:r>
        <w:fldChar w:fldCharType="end"/>
      </w:r>
    </w:p>
    <w:p w:rsidR="005F78FC" w:rsidRDefault="00B42EF3">
      <w:pPr>
        <w:pStyle w:val="indexentry0"/>
      </w:pPr>
      <w:hyperlink w:anchor="section_d0e6b3688e66420c94c4e9f9b23c6fba">
        <w:r>
          <w:rPr>
            <w:rStyle w:val="Hyperlink"/>
          </w:rPr>
          <w:t>form</w:t>
        </w:r>
        <w:r>
          <w:rPr>
            <w:rStyle w:val="Hyperlink"/>
          </w:rPr>
          <w:t>ula (Formula)</w:t>
        </w:r>
      </w:hyperlink>
      <w:r>
        <w:t xml:space="preserve"> </w:t>
      </w:r>
      <w:r>
        <w:fldChar w:fldCharType="begin"/>
      </w:r>
      <w:r>
        <w:instrText>PAGEREF section_d0e6b3688e66420c94c4e9f9b23c6fba</w:instrText>
      </w:r>
      <w:r>
        <w:fldChar w:fldCharType="separate"/>
      </w:r>
      <w:r>
        <w:rPr>
          <w:noProof/>
        </w:rPr>
        <w:t>265</w:t>
      </w:r>
      <w:r>
        <w:fldChar w:fldCharType="end"/>
      </w:r>
    </w:p>
    <w:p w:rsidR="005F78FC" w:rsidRDefault="00B42EF3">
      <w:pPr>
        <w:pStyle w:val="indexentry0"/>
      </w:pPr>
      <w:hyperlink w:anchor="section_a8f97422b8d24692af51a4dd1750c66e">
        <w:r>
          <w:rPr>
            <w:rStyle w:val="Hyperlink"/>
          </w:rPr>
          <w:t>formula1 (Formula 1)</w:t>
        </w:r>
      </w:hyperlink>
      <w:r>
        <w:t xml:space="preserve"> </w:t>
      </w:r>
      <w:r>
        <w:fldChar w:fldCharType="begin"/>
      </w:r>
      <w:r>
        <w:instrText>PAGEREF section_a8f97422b8d24692af51a4dd1750c66e</w:instrText>
      </w:r>
      <w:r>
        <w:fldChar w:fldCharType="separate"/>
      </w:r>
      <w:r>
        <w:rPr>
          <w:noProof/>
        </w:rPr>
        <w:t>266</w:t>
      </w:r>
      <w:r>
        <w:fldChar w:fldCharType="end"/>
      </w:r>
    </w:p>
    <w:p w:rsidR="005F78FC" w:rsidRDefault="00B42EF3">
      <w:pPr>
        <w:pStyle w:val="indexentry0"/>
      </w:pPr>
      <w:hyperlink w:anchor="section_8636b952cceb43d6bc9b6b381cba0ea6">
        <w:r>
          <w:rPr>
            <w:rStyle w:val="Hyperlink"/>
          </w:rPr>
          <w:t>formula2 (Formula 2)</w:t>
        </w:r>
      </w:hyperlink>
      <w:r>
        <w:t xml:space="preserve"> </w:t>
      </w:r>
      <w:r>
        <w:fldChar w:fldCharType="begin"/>
      </w:r>
      <w:r>
        <w:instrText>PAGEREF section_8636b952cceb43d6bc9b6b381cba0ea6</w:instrText>
      </w:r>
      <w:r>
        <w:fldChar w:fldCharType="separate"/>
      </w:r>
      <w:r>
        <w:rPr>
          <w:noProof/>
        </w:rPr>
        <w:t>266</w:t>
      </w:r>
      <w:r>
        <w:fldChar w:fldCharType="end"/>
      </w:r>
    </w:p>
    <w:p w:rsidR="005F78FC" w:rsidRDefault="00B42EF3">
      <w:pPr>
        <w:pStyle w:val="indexentry0"/>
      </w:pPr>
      <w:hyperlink w:anchor="section_8a3a109cd76943aca4498526a2ea40dc">
        <w:r>
          <w:rPr>
            <w:rStyle w:val="Hyperlink"/>
          </w:rPr>
          <w:t>Formulas</w:t>
        </w:r>
      </w:hyperlink>
      <w:r>
        <w:t xml:space="preserve"> </w:t>
      </w:r>
      <w:r>
        <w:fldChar w:fldCharType="begin"/>
      </w:r>
      <w:r>
        <w:instrText>PAGEREF section_8a3a109cd76943aca4498526a2ea40dc</w:instrText>
      </w:r>
      <w:r>
        <w:fldChar w:fldCharType="separate"/>
      </w:r>
      <w:r>
        <w:rPr>
          <w:noProof/>
        </w:rPr>
        <w:t>388</w:t>
      </w:r>
      <w:r>
        <w:fldChar w:fldCharType="end"/>
      </w:r>
    </w:p>
    <w:p w:rsidR="005F78FC" w:rsidRDefault="00B42EF3">
      <w:pPr>
        <w:pStyle w:val="indexentry0"/>
      </w:pPr>
      <w:hyperlink w:anchor="section_b017fac7da0b4cdf821cff5f03d17238">
        <w:r>
          <w:rPr>
            <w:rStyle w:val="Hyperlink"/>
          </w:rPr>
          <w:t>formulas (Set of Formulas)</w:t>
        </w:r>
      </w:hyperlink>
      <w:r>
        <w:t xml:space="preserve"> </w:t>
      </w:r>
      <w:r>
        <w:fldChar w:fldCharType="begin"/>
      </w:r>
      <w:r>
        <w:instrText>PAGEREF section_b017fac7da0b4cdf821cff5f03d17238</w:instrText>
      </w:r>
      <w:r>
        <w:fldChar w:fldCharType="separate"/>
      </w:r>
      <w:r>
        <w:rPr>
          <w:noProof/>
        </w:rPr>
        <w:t>646</w:t>
      </w:r>
      <w:r>
        <w:fldChar w:fldCharType="end"/>
      </w:r>
    </w:p>
    <w:p w:rsidR="005F78FC" w:rsidRDefault="00B42EF3">
      <w:pPr>
        <w:pStyle w:val="indexentry0"/>
      </w:pPr>
      <w:hyperlink w:anchor="section_bd4e4652e4ee46e59d88b730b2233e20">
        <w:r>
          <w:rPr>
            <w:rStyle w:val="Hyperlink"/>
          </w:rPr>
          <w:t>forward (Forward)</w:t>
        </w:r>
      </w:hyperlink>
      <w:r>
        <w:t xml:space="preserve"> </w:t>
      </w:r>
      <w:r>
        <w:fldChar w:fldCharType="begin"/>
      </w:r>
      <w:r>
        <w:instrText>PAGEREF section_bd4e4652e4ee46e59d88b730b2233e20</w:instrText>
      </w:r>
      <w:r>
        <w:fldChar w:fldCharType="separate"/>
      </w:r>
      <w:r>
        <w:rPr>
          <w:noProof/>
        </w:rPr>
        <w:t>555</w:t>
      </w:r>
      <w:r>
        <w:fldChar w:fldCharType="end"/>
      </w:r>
    </w:p>
    <w:p w:rsidR="005F78FC" w:rsidRDefault="00B42EF3">
      <w:pPr>
        <w:pStyle w:val="indexentry0"/>
      </w:pPr>
      <w:hyperlink w:anchor="section_3c6fa2ad817947adb6a0f55e3b4a67ca">
        <w:r>
          <w:rPr>
            <w:rStyle w:val="Hyperlink"/>
          </w:rPr>
          <w:t>frameLayout (Frameset Layout)</w:t>
        </w:r>
      </w:hyperlink>
      <w:r>
        <w:t xml:space="preserve"> </w:t>
      </w:r>
      <w:r>
        <w:fldChar w:fldCharType="begin"/>
      </w:r>
      <w:r>
        <w:instrText>PAGEREF section_3c6fa2ad817947adb6a0f55e3b4a67ca</w:instrText>
      </w:r>
      <w:r>
        <w:fldChar w:fldCharType="separate"/>
      </w:r>
      <w:r>
        <w:rPr>
          <w:noProof/>
        </w:rPr>
        <w:t>165</w:t>
      </w:r>
      <w:r>
        <w:fldChar w:fldCharType="end"/>
      </w:r>
    </w:p>
    <w:p w:rsidR="005F78FC" w:rsidRDefault="00B42EF3">
      <w:pPr>
        <w:pStyle w:val="indexentry0"/>
      </w:pPr>
      <w:hyperlink w:anchor="section_cc9a5828bc534a188b66416b4509f4b9">
        <w:r>
          <w:rPr>
            <w:rStyle w:val="Hyperlink"/>
          </w:rPr>
          <w:t>framePr (Text Frame Properties)</w:t>
        </w:r>
      </w:hyperlink>
      <w:r>
        <w:t xml:space="preserve"> </w:t>
      </w:r>
      <w:r>
        <w:fldChar w:fldCharType="begin"/>
      </w:r>
      <w:r>
        <w:instrText>PAGEREF section_cc9a5828bc534a188b66416b4509f4b9</w:instrText>
      </w:r>
      <w:r>
        <w:fldChar w:fldCharType="separate"/>
      </w:r>
      <w:r>
        <w:rPr>
          <w:noProof/>
        </w:rPr>
        <w:t>66</w:t>
      </w:r>
      <w:r>
        <w:fldChar w:fldCharType="end"/>
      </w:r>
    </w:p>
    <w:p w:rsidR="005F78FC" w:rsidRDefault="00B42EF3">
      <w:pPr>
        <w:pStyle w:val="indexentry0"/>
      </w:pPr>
      <w:hyperlink w:anchor="section_24552affdfd2441fa559cc592469a966">
        <w:r>
          <w:rPr>
            <w:rStyle w:val="Hyperlink"/>
          </w:rPr>
          <w:t>frameset (Nested Frameset Definition)</w:t>
        </w:r>
      </w:hyperlink>
      <w:r>
        <w:t xml:space="preserve"> </w:t>
      </w:r>
      <w:r>
        <w:fldChar w:fldCharType="begin"/>
      </w:r>
      <w:r>
        <w:instrText>PAGEREF section_24552affdfd2441fa559cc592469a966</w:instrText>
      </w:r>
      <w:r>
        <w:fldChar w:fldCharType="separate"/>
      </w:r>
      <w:r>
        <w:rPr>
          <w:noProof/>
        </w:rPr>
        <w:t>165</w:t>
      </w:r>
      <w:r>
        <w:fldChar w:fldCharType="end"/>
      </w:r>
    </w:p>
    <w:p w:rsidR="005F78FC" w:rsidRDefault="00B42EF3">
      <w:pPr>
        <w:pStyle w:val="indexentry0"/>
      </w:pPr>
      <w:hyperlink w:anchor="section_f7970f138896405eae5e7775aa04a053">
        <w:r>
          <w:rPr>
            <w:rStyle w:val="Hyperlink"/>
          </w:rPr>
          <w:t>frameset (Root Frameset Definition)</w:t>
        </w:r>
      </w:hyperlink>
      <w:r>
        <w:t xml:space="preserve"> </w:t>
      </w:r>
      <w:r>
        <w:fldChar w:fldCharType="begin"/>
      </w:r>
      <w:r>
        <w:instrText>PAGEREF section_f7970f138896405eae5e7775aa04a053</w:instrText>
      </w:r>
      <w:r>
        <w:fldChar w:fldCharType="separate"/>
      </w:r>
      <w:r>
        <w:rPr>
          <w:noProof/>
        </w:rPr>
        <w:t>165</w:t>
      </w:r>
      <w:r>
        <w:fldChar w:fldCharType="end"/>
      </w:r>
    </w:p>
    <w:p w:rsidR="005F78FC" w:rsidRDefault="00B42EF3">
      <w:pPr>
        <w:pStyle w:val="indexentry0"/>
      </w:pPr>
      <w:r>
        <w:t>from (From) (</w:t>
      </w:r>
      <w:hyperlink w:anchor="section_9223eaea7e2540e7ba8af68d1796d48e">
        <w:r>
          <w:rPr>
            <w:rStyle w:val="Hyperlink"/>
          </w:rPr>
          <w:t>section 2.1.1159</w:t>
        </w:r>
      </w:hyperlink>
      <w:r>
        <w:t xml:space="preserve"> </w:t>
      </w:r>
      <w:r>
        <w:fldChar w:fldCharType="begin"/>
      </w:r>
      <w:r>
        <w:instrText>PAGEREF section_9223eaea7e2540e7ba8af68d1796d48e</w:instrText>
      </w:r>
      <w:r>
        <w:fldChar w:fldCharType="separate"/>
      </w:r>
      <w:r>
        <w:rPr>
          <w:noProof/>
        </w:rPr>
        <w:t>485</w:t>
      </w:r>
      <w:r>
        <w:fldChar w:fldCharType="end"/>
      </w:r>
      <w:r>
        <w:t xml:space="preserve">, </w:t>
      </w:r>
      <w:hyperlink w:anchor="section_0ce2da92a86343f5be088a600f8ba222">
        <w:r>
          <w:rPr>
            <w:rStyle w:val="Hyperlink"/>
          </w:rPr>
          <w:t>section 2.1.1160</w:t>
        </w:r>
      </w:hyperlink>
      <w:r>
        <w:t xml:space="preserve"> </w:t>
      </w:r>
      <w:r>
        <w:fldChar w:fldCharType="begin"/>
      </w:r>
      <w:r>
        <w:instrText>PAGEREF section_0ce2da92a86343f5be088a600f8ba222</w:instrText>
      </w:r>
      <w:r>
        <w:fldChar w:fldCharType="separate"/>
      </w:r>
      <w:r>
        <w:rPr>
          <w:noProof/>
        </w:rPr>
        <w:t>486</w:t>
      </w:r>
      <w:r>
        <w:fldChar w:fldCharType="end"/>
      </w:r>
      <w:r>
        <w:t>)</w:t>
      </w:r>
    </w:p>
    <w:p w:rsidR="005F78FC" w:rsidRDefault="00B42EF3">
      <w:pPr>
        <w:pStyle w:val="indexentry0"/>
      </w:pPr>
      <w:hyperlink w:anchor="section_e1dfdbace29c4c9e94769f52adaacd00">
        <w:r>
          <w:rPr>
            <w:rStyle w:val="Hyperlink"/>
          </w:rPr>
          <w:t>from (Starting Anchor Point)</w:t>
        </w:r>
      </w:hyperlink>
      <w:r>
        <w:t xml:space="preserve"> </w:t>
      </w:r>
      <w:r>
        <w:fldChar w:fldCharType="begin"/>
      </w:r>
      <w:r>
        <w:instrText>PAGEREF section_e1dfdbace29c4c9e94769f52a</w:instrText>
      </w:r>
      <w:r>
        <w:instrText>daacd00</w:instrText>
      </w:r>
      <w:r>
        <w:fldChar w:fldCharType="separate"/>
      </w:r>
      <w:r>
        <w:rPr>
          <w:noProof/>
        </w:rPr>
        <w:t>529</w:t>
      </w:r>
      <w:r>
        <w:fldChar w:fldCharType="end"/>
      </w:r>
    </w:p>
    <w:p w:rsidR="005F78FC" w:rsidRDefault="00B42EF3">
      <w:pPr>
        <w:pStyle w:val="indexentry0"/>
      </w:pPr>
      <w:hyperlink w:anchor="section_f9aa4dbcf5274fd6a115527aae5f7881">
        <w:r>
          <w:rPr>
            <w:rStyle w:val="Hyperlink"/>
          </w:rPr>
          <w:t>ftr (Footer)</w:t>
        </w:r>
      </w:hyperlink>
      <w:r>
        <w:t xml:space="preserve"> </w:t>
      </w:r>
      <w:r>
        <w:fldChar w:fldCharType="begin"/>
      </w:r>
      <w:r>
        <w:instrText>PAGEREF section_f9aa4dbcf5274fd6a115527aae5f7881</w:instrText>
      </w:r>
      <w:r>
        <w:fldChar w:fldCharType="separate"/>
      </w:r>
      <w:r>
        <w:rPr>
          <w:noProof/>
        </w:rPr>
        <w:t>130</w:t>
      </w:r>
      <w:r>
        <w:fldChar w:fldCharType="end"/>
      </w:r>
    </w:p>
    <w:p w:rsidR="005F78FC" w:rsidRDefault="00B42EF3">
      <w:pPr>
        <w:pStyle w:val="indexentry0"/>
      </w:pPr>
      <w:hyperlink w:anchor="section_762ae7b5f1cd472aa836ebd7158c79ce">
        <w:r>
          <w:rPr>
            <w:rStyle w:val="Hyperlink"/>
          </w:rPr>
          <w:t>func (Function Apply Object)</w:t>
        </w:r>
      </w:hyperlink>
      <w:r>
        <w:t xml:space="preserve"> </w:t>
      </w:r>
      <w:r>
        <w:fldChar w:fldCharType="begin"/>
      </w:r>
      <w:r>
        <w:instrText>PAGEREF section_762ae7b5f</w:instrText>
      </w:r>
      <w:r>
        <w:instrText>1cd472aa836ebd7158c79ce</w:instrText>
      </w:r>
      <w:r>
        <w:fldChar w:fldCharType="separate"/>
      </w:r>
      <w:r>
        <w:rPr>
          <w:noProof/>
        </w:rPr>
        <w:t>599</w:t>
      </w:r>
      <w:r>
        <w:fldChar w:fldCharType="end"/>
      </w:r>
    </w:p>
    <w:p w:rsidR="005F78FC" w:rsidRDefault="00B42EF3">
      <w:pPr>
        <w:pStyle w:val="indexentry0"/>
      </w:pPr>
      <w:hyperlink w:anchor="section_729549d888934b56b6597bd3dbada57e">
        <w:r>
          <w:rPr>
            <w:rStyle w:val="Hyperlink"/>
          </w:rPr>
          <w:t>functionGroup (Function Group)</w:t>
        </w:r>
      </w:hyperlink>
      <w:r>
        <w:t xml:space="preserve"> </w:t>
      </w:r>
      <w:r>
        <w:fldChar w:fldCharType="begin"/>
      </w:r>
      <w:r>
        <w:instrText>PAGEREF section_729549d888934b56b6597bd3dbada57e</w:instrText>
      </w:r>
      <w:r>
        <w:fldChar w:fldCharType="separate"/>
      </w:r>
      <w:r>
        <w:rPr>
          <w:noProof/>
        </w:rPr>
        <w:t>246</w:t>
      </w:r>
      <w:r>
        <w:fldChar w:fldCharType="end"/>
      </w:r>
    </w:p>
    <w:p w:rsidR="005F78FC" w:rsidRDefault="00B42EF3">
      <w:pPr>
        <w:pStyle w:val="indexentry0"/>
      </w:pPr>
      <w:hyperlink w:anchor="section_6b54db2cbdb048d79ff72aeda743c8d2">
        <w:r>
          <w:rPr>
            <w:rStyle w:val="Hyperlink"/>
          </w:rPr>
          <w:t>functionGroups (Functi</w:t>
        </w:r>
        <w:r>
          <w:rPr>
            <w:rStyle w:val="Hyperlink"/>
          </w:rPr>
          <w:t>on Groups)</w:t>
        </w:r>
      </w:hyperlink>
      <w:r>
        <w:t xml:space="preserve"> </w:t>
      </w:r>
      <w:r>
        <w:fldChar w:fldCharType="begin"/>
      </w:r>
      <w:r>
        <w:instrText>PAGEREF section_6b54db2cbdb048d79ff72aeda743c8d2</w:instrText>
      </w:r>
      <w:r>
        <w:fldChar w:fldCharType="separate"/>
      </w:r>
      <w:r>
        <w:rPr>
          <w:noProof/>
        </w:rPr>
        <w:t>246</w:t>
      </w:r>
      <w:r>
        <w:fldChar w:fldCharType="end"/>
      </w:r>
    </w:p>
    <w:p w:rsidR="005F78FC" w:rsidRDefault="00B42EF3">
      <w:pPr>
        <w:pStyle w:val="indexentry0"/>
      </w:pPr>
      <w:hyperlink w:anchor="section_364a891349b546aa9cd5bc8180948a2a">
        <w:r>
          <w:rPr>
            <w:rStyle w:val="Hyperlink"/>
          </w:rPr>
          <w:t>Functions</w:t>
        </w:r>
      </w:hyperlink>
      <w:r>
        <w:t xml:space="preserve"> </w:t>
      </w:r>
      <w:r>
        <w:fldChar w:fldCharType="begin"/>
      </w:r>
      <w:r>
        <w:instrText>PAGEREF section_364a891349b546aa9cd5bc8180948a2a</w:instrText>
      </w:r>
      <w:r>
        <w:fldChar w:fldCharType="separate"/>
      </w:r>
      <w:r>
        <w:rPr>
          <w:noProof/>
        </w:rPr>
        <w:t>397</w:t>
      </w:r>
      <w:r>
        <w:fldChar w:fldCharType="end"/>
      </w:r>
    </w:p>
    <w:p w:rsidR="005F78FC" w:rsidRDefault="00B42EF3">
      <w:pPr>
        <w:pStyle w:val="indexentry0"/>
      </w:pPr>
      <w:hyperlink w:anchor="section_345477a385564e6c8ad0895a79f9048b">
        <w:r>
          <w:rPr>
            <w:rStyle w:val="Hyperlink"/>
          </w:rPr>
          <w:t>futureMetadata (Future Metadata)</w:t>
        </w:r>
      </w:hyperlink>
      <w:r>
        <w:t xml:space="preserve"> </w:t>
      </w:r>
      <w:r>
        <w:fldChar w:fldCharType="begin"/>
      </w:r>
      <w:r>
        <w:instrText>PAGEREF section_345477a385564e6c8ad0895a79f9048b</w:instrText>
      </w:r>
      <w:r>
        <w:fldChar w:fldCharType="separate"/>
      </w:r>
      <w:r>
        <w:rPr>
          <w:noProof/>
        </w:rPr>
        <w:t>316</w:t>
      </w:r>
      <w:r>
        <w:fldChar w:fldCharType="end"/>
      </w:r>
    </w:p>
    <w:p w:rsidR="005F78FC" w:rsidRDefault="00B42EF3">
      <w:pPr>
        <w:pStyle w:val="indexentry0"/>
      </w:pPr>
      <w:hyperlink w:anchor="section_7eb63416dfd44087b2076372769e91d0">
        <w:r>
          <w:rPr>
            <w:rStyle w:val="Hyperlink"/>
          </w:rPr>
          <w:t>FV</w:t>
        </w:r>
      </w:hyperlink>
      <w:r>
        <w:t xml:space="preserve"> </w:t>
      </w:r>
      <w:r>
        <w:fldChar w:fldCharType="begin"/>
      </w:r>
      <w:r>
        <w:instrText>PAGEREF section_7eb63416dfd44087b2076372769e91d0</w:instrText>
      </w:r>
      <w:r>
        <w:fldChar w:fldCharType="separate"/>
      </w:r>
      <w:r>
        <w:rPr>
          <w:noProof/>
        </w:rPr>
        <w:t>426</w:t>
      </w:r>
      <w:r>
        <w:fldChar w:fldCharType="end"/>
      </w:r>
    </w:p>
    <w:p w:rsidR="005F78FC" w:rsidRDefault="005F78FC">
      <w:pPr>
        <w:spacing w:before="0" w:after="0"/>
        <w:rPr>
          <w:sz w:val="16"/>
        </w:rPr>
      </w:pPr>
    </w:p>
    <w:p w:rsidR="005F78FC" w:rsidRDefault="00B42EF3">
      <w:pPr>
        <w:pStyle w:val="indexheader"/>
      </w:pPr>
      <w:r>
        <w:t>G</w:t>
      </w:r>
    </w:p>
    <w:p w:rsidR="005F78FC" w:rsidRDefault="005F78FC">
      <w:pPr>
        <w:spacing w:before="0" w:after="0"/>
        <w:rPr>
          <w:sz w:val="16"/>
        </w:rPr>
      </w:pPr>
    </w:p>
    <w:p w:rsidR="005F78FC" w:rsidRDefault="00B42EF3">
      <w:pPr>
        <w:pStyle w:val="indexentry0"/>
      </w:pPr>
      <w:hyperlink w:anchor="section_82dbbad19eb54458b41d462e746c465e">
        <w:r>
          <w:rPr>
            <w:rStyle w:val="Hyperlink"/>
          </w:rPr>
          <w:t>GAMMAINV</w:t>
        </w:r>
      </w:hyperlink>
      <w:r>
        <w:t xml:space="preserve"> </w:t>
      </w:r>
      <w:r>
        <w:fldChar w:fldCharType="begin"/>
      </w:r>
      <w:r>
        <w:instrText>PAGEREF section_82dbbad19eb54458b41d462e746c465e</w:instrText>
      </w:r>
      <w:r>
        <w:fldChar w:fldCharType="separate"/>
      </w:r>
      <w:r>
        <w:rPr>
          <w:noProof/>
        </w:rPr>
        <w:t>426</w:t>
      </w:r>
      <w:r>
        <w:fldChar w:fldCharType="end"/>
      </w:r>
    </w:p>
    <w:p w:rsidR="005F78FC" w:rsidRDefault="00B42EF3">
      <w:pPr>
        <w:pStyle w:val="indexentry0"/>
      </w:pPr>
      <w:hyperlink w:anchor="section_012f5622abbb48448368833b087789e4">
        <w:r>
          <w:rPr>
            <w:rStyle w:val="Hyperlink"/>
          </w:rPr>
          <w:t>gapDepth (Gap Depth)</w:t>
        </w:r>
      </w:hyperlink>
      <w:r>
        <w:t xml:space="preserve"> </w:t>
      </w:r>
      <w:r>
        <w:fldChar w:fldCharType="begin"/>
      </w:r>
      <w:r>
        <w:instrText>PAGEREF section_012f5622abbb48448368833b087789e4</w:instrText>
      </w:r>
      <w:r>
        <w:fldChar w:fldCharType="separate"/>
      </w:r>
      <w:r>
        <w:rPr>
          <w:noProof/>
        </w:rPr>
        <w:t>555</w:t>
      </w:r>
      <w:r>
        <w:fldChar w:fldCharType="end"/>
      </w:r>
    </w:p>
    <w:p w:rsidR="005F78FC" w:rsidRDefault="00B42EF3">
      <w:pPr>
        <w:pStyle w:val="indexentry0"/>
      </w:pPr>
      <w:hyperlink w:anchor="section_2f482e396b114a3ba3c43c46edfb3fc9">
        <w:r>
          <w:rPr>
            <w:rStyle w:val="Hyperlink"/>
          </w:rPr>
          <w:t>gapWidth (Gap Width)</w:t>
        </w:r>
      </w:hyperlink>
      <w:r>
        <w:t xml:space="preserve"> </w:t>
      </w:r>
      <w:r>
        <w:fldChar w:fldCharType="begin"/>
      </w:r>
      <w:r>
        <w:instrText>PAGEREF section_2f482e396b114a3ba3c43c46edfb3fc9</w:instrText>
      </w:r>
      <w:r>
        <w:fldChar w:fldCharType="separate"/>
      </w:r>
      <w:r>
        <w:rPr>
          <w:noProof/>
        </w:rPr>
        <w:t>555</w:t>
      </w:r>
      <w:r>
        <w:fldChar w:fldCharType="end"/>
      </w:r>
    </w:p>
    <w:p w:rsidR="005F78FC" w:rsidRDefault="00B42EF3">
      <w:pPr>
        <w:pStyle w:val="indexentry0"/>
      </w:pPr>
      <w:hyperlink w:anchor="section_851cc3e8ab224f5e86d123b0b06d5edd">
        <w:r>
          <w:rPr>
            <w:rStyle w:val="Hyperlink"/>
          </w:rPr>
          <w:t>gd (Shape Guide)</w:t>
        </w:r>
      </w:hyperlink>
      <w:r>
        <w:t xml:space="preserve"> </w:t>
      </w:r>
      <w:r>
        <w:fldChar w:fldCharType="begin"/>
      </w:r>
      <w:r>
        <w:instrText>PAGEREF section_851cc3e8ab224f5e86d123b0b06d5edd</w:instrText>
      </w:r>
      <w:r>
        <w:fldChar w:fldCharType="separate"/>
      </w:r>
      <w:r>
        <w:rPr>
          <w:noProof/>
        </w:rPr>
        <w:t>519</w:t>
      </w:r>
      <w:r>
        <w:fldChar w:fldCharType="end"/>
      </w:r>
    </w:p>
    <w:p w:rsidR="005F78FC" w:rsidRDefault="00B42EF3">
      <w:pPr>
        <w:pStyle w:val="indexentry0"/>
      </w:pPr>
      <w:hyperlink w:anchor="section_77bace381a5343a19598684246b14b62">
        <w:r>
          <w:rPr>
            <w:rStyle w:val="Hyperlink"/>
          </w:rPr>
          <w:t>General formatting</w:t>
        </w:r>
      </w:hyperlink>
      <w:r>
        <w:t xml:space="preserve"> </w:t>
      </w:r>
      <w:r>
        <w:fldChar w:fldCharType="begin"/>
      </w:r>
      <w:r>
        <w:instrText>PAGEREF section_77bace381a5343a19598684246b14b62</w:instrText>
      </w:r>
      <w:r>
        <w:fldChar w:fldCharType="separate"/>
      </w:r>
      <w:r>
        <w:rPr>
          <w:noProof/>
        </w:rPr>
        <w:t>169</w:t>
      </w:r>
      <w:r>
        <w:fldChar w:fldCharType="end"/>
      </w:r>
    </w:p>
    <w:p w:rsidR="005F78FC" w:rsidRDefault="00B42EF3">
      <w:pPr>
        <w:pStyle w:val="indexentry0"/>
      </w:pPr>
      <w:hyperlink w:anchor="section_82f90d9017f9441d82eb47b5167e9757">
        <w:r>
          <w:rPr>
            <w:rStyle w:val="Hyperlink"/>
          </w:rPr>
          <w:t>GEOMEAN</w:t>
        </w:r>
      </w:hyperlink>
      <w:r>
        <w:t xml:space="preserve"> </w:t>
      </w:r>
      <w:r>
        <w:fldChar w:fldCharType="begin"/>
      </w:r>
      <w:r>
        <w:instrText>PAGEREF section_82f90d9017f9441d82eb47b5167e9757</w:instrText>
      </w:r>
      <w:r>
        <w:fldChar w:fldCharType="separate"/>
      </w:r>
      <w:r>
        <w:rPr>
          <w:noProof/>
        </w:rPr>
        <w:t>426</w:t>
      </w:r>
      <w:r>
        <w:fldChar w:fldCharType="end"/>
      </w:r>
    </w:p>
    <w:p w:rsidR="005F78FC" w:rsidRDefault="00B42EF3">
      <w:pPr>
        <w:pStyle w:val="indexentry0"/>
      </w:pPr>
      <w:hyperlink w:anchor="section_dad1aeafe2be4fbca86419ac8dba4ac9">
        <w:r>
          <w:rPr>
            <w:rStyle w:val="Hyperlink"/>
          </w:rPr>
          <w:t>GETPIVOTDATA</w:t>
        </w:r>
      </w:hyperlink>
      <w:r>
        <w:t xml:space="preserve"> </w:t>
      </w:r>
      <w:r>
        <w:fldChar w:fldCharType="begin"/>
      </w:r>
      <w:r>
        <w:instrText>PAGEREF section_dad1aeafe2be4fbca86419ac8dba4ac9</w:instrText>
      </w:r>
      <w:r>
        <w:fldChar w:fldCharType="separate"/>
      </w:r>
      <w:r>
        <w:rPr>
          <w:noProof/>
        </w:rPr>
        <w:t>426</w:t>
      </w:r>
      <w:r>
        <w:fldChar w:fldCharType="end"/>
      </w:r>
    </w:p>
    <w:p w:rsidR="005F78FC" w:rsidRDefault="00B42EF3">
      <w:pPr>
        <w:pStyle w:val="indexentry0"/>
      </w:pPr>
      <w:r>
        <w:t>Glossary (</w:t>
      </w:r>
      <w:hyperlink w:anchor="section_844a3afe7f7f4ff8bcd759e7a6a4b1ea">
        <w:r>
          <w:rPr>
            <w:rStyle w:val="Hyperlink"/>
          </w:rPr>
          <w:t>section 1.1</w:t>
        </w:r>
      </w:hyperlink>
      <w:r>
        <w:t xml:space="preserve"> </w:t>
      </w:r>
      <w:r>
        <w:fldChar w:fldCharType="begin"/>
      </w:r>
      <w:r>
        <w:instrText>PAGEREF section_844a3afe7f7f4ff8bcd759e7a6a4b1ea</w:instrText>
      </w:r>
      <w:r>
        <w:fldChar w:fldCharType="separate"/>
      </w:r>
      <w:r>
        <w:rPr>
          <w:noProof/>
        </w:rPr>
        <w:t>44</w:t>
      </w:r>
      <w:r>
        <w:fldChar w:fldCharType="end"/>
      </w:r>
      <w:r>
        <w:t xml:space="preserve">, </w:t>
      </w:r>
      <w:hyperlink w:anchor="section_911a353b274e487b86d29c8271f7a2b5">
        <w:r>
          <w:rPr>
            <w:rStyle w:val="Hyperlink"/>
          </w:rPr>
          <w:t>section 3.1.3.2.3</w:t>
        </w:r>
      </w:hyperlink>
      <w:r>
        <w:t xml:space="preserve"> </w:t>
      </w:r>
      <w:r>
        <w:fldChar w:fldCharType="begin"/>
      </w:r>
      <w:r>
        <w:instrText>PAGEREF section_911a353b274e487b86d29c8271f7a2b5</w:instrText>
      </w:r>
      <w:r>
        <w:fldChar w:fldCharType="separate"/>
      </w:r>
      <w:r>
        <w:rPr>
          <w:noProof/>
        </w:rPr>
        <w:t>818</w:t>
      </w:r>
      <w:r>
        <w:fldChar w:fldCharType="end"/>
      </w:r>
      <w:r>
        <w:t>)</w:t>
      </w:r>
    </w:p>
    <w:p w:rsidR="005F78FC" w:rsidRDefault="00B42EF3">
      <w:pPr>
        <w:pStyle w:val="indexentry0"/>
      </w:pPr>
      <w:hyperlink w:anchor="section_88d009e20f714add9d1efd0bc02d9ca2">
        <w:r>
          <w:rPr>
            <w:rStyle w:val="Hyperlink"/>
          </w:rPr>
          <w:t>GOTOBUTTON</w:t>
        </w:r>
      </w:hyperlink>
      <w:r>
        <w:t xml:space="preserve"> </w:t>
      </w:r>
      <w:r>
        <w:fldChar w:fldCharType="begin"/>
      </w:r>
      <w:r>
        <w:instrText>PAGEREF section_88d009e20f714add9d1efd0bc02d9ca2</w:instrText>
      </w:r>
      <w:r>
        <w:fldChar w:fldCharType="separate"/>
      </w:r>
      <w:r>
        <w:rPr>
          <w:noProof/>
        </w:rPr>
        <w:t>217</w:t>
      </w:r>
      <w:r>
        <w:fldChar w:fldCharType="end"/>
      </w:r>
    </w:p>
    <w:p w:rsidR="005F78FC" w:rsidRDefault="00B42EF3">
      <w:pPr>
        <w:pStyle w:val="indexentry0"/>
      </w:pPr>
      <w:hyperlink w:anchor="section_f43f30dfc82941f3ba6f52e9ac3b4e20">
        <w:r>
          <w:rPr>
            <w:rStyle w:val="Hyperlink"/>
          </w:rPr>
          <w:t>gradFill (Gradient Fill)</w:t>
        </w:r>
      </w:hyperlink>
      <w:r>
        <w:t xml:space="preserve"> </w:t>
      </w:r>
      <w:r>
        <w:fldChar w:fldCharType="begin"/>
      </w:r>
      <w:r>
        <w:instrText>PAGEREF section_f43f30dfc82941f3ba6f52e9ac3b4e20</w:instrText>
      </w:r>
      <w:r>
        <w:fldChar w:fldCharType="separate"/>
      </w:r>
      <w:r>
        <w:rPr>
          <w:noProof/>
        </w:rPr>
        <w:t>516</w:t>
      </w:r>
      <w:r>
        <w:fldChar w:fldCharType="end"/>
      </w:r>
    </w:p>
    <w:p w:rsidR="005F78FC" w:rsidRDefault="00B42EF3">
      <w:pPr>
        <w:pStyle w:val="indexentry0"/>
      </w:pPr>
      <w:hyperlink w:anchor="section_93eecc5015504cbe911ca2aad70cbbd5">
        <w:r>
          <w:rPr>
            <w:rStyle w:val="Hyperlink"/>
          </w:rPr>
          <w:t>gradientFill (Gradient)</w:t>
        </w:r>
      </w:hyperlink>
      <w:r>
        <w:t xml:space="preserve"> </w:t>
      </w:r>
      <w:r>
        <w:fldChar w:fldCharType="begin"/>
      </w:r>
      <w:r>
        <w:instrText>PAGEREF section_93eecc501</w:instrText>
      </w:r>
      <w:r>
        <w:instrText>5504cbe911ca2aad70cbbd5</w:instrText>
      </w:r>
      <w:r>
        <w:fldChar w:fldCharType="separate"/>
      </w:r>
      <w:r>
        <w:rPr>
          <w:noProof/>
        </w:rPr>
        <w:t>302</w:t>
      </w:r>
      <w:r>
        <w:fldChar w:fldCharType="end"/>
      </w:r>
    </w:p>
    <w:p w:rsidR="005F78FC" w:rsidRDefault="00B42EF3">
      <w:pPr>
        <w:pStyle w:val="indexentry0"/>
      </w:pPr>
      <w:hyperlink w:anchor="section_a76a4974881b4ca598fea758cda15e82">
        <w:r>
          <w:rPr>
            <w:rStyle w:val="Hyperlink"/>
          </w:rPr>
          <w:t>Graphic Frame Doc</w:t>
        </w:r>
      </w:hyperlink>
      <w:r>
        <w:t xml:space="preserve"> </w:t>
      </w:r>
      <w:r>
        <w:fldChar w:fldCharType="begin"/>
      </w:r>
      <w:r>
        <w:instrText>PAGEREF section_a76a4974881b4ca598fea758cda15e82</w:instrText>
      </w:r>
      <w:r>
        <w:fldChar w:fldCharType="separate"/>
      </w:r>
      <w:r>
        <w:rPr>
          <w:noProof/>
        </w:rPr>
        <w:t>830</w:t>
      </w:r>
      <w:r>
        <w:fldChar w:fldCharType="end"/>
      </w:r>
    </w:p>
    <w:p w:rsidR="005F78FC" w:rsidRDefault="00B42EF3">
      <w:pPr>
        <w:pStyle w:val="indexentry0"/>
      </w:pPr>
      <w:hyperlink w:anchor="section_05d4382cb474457198bc227f8c917033">
        <w:r>
          <w:rPr>
            <w:rStyle w:val="Hyperlink"/>
          </w:rPr>
          <w:t>graphicData (Graphic Object Data)</w:t>
        </w:r>
      </w:hyperlink>
      <w:r>
        <w:t xml:space="preserve"> </w:t>
      </w:r>
      <w:r>
        <w:fldChar w:fldCharType="begin"/>
      </w:r>
      <w:r>
        <w:instrText>PAGEREF section_05d4382cb474457198bc227f8c917033</w:instrText>
      </w:r>
      <w:r>
        <w:fldChar w:fldCharType="separate"/>
      </w:r>
      <w:r>
        <w:rPr>
          <w:noProof/>
        </w:rPr>
        <w:t>499</w:t>
      </w:r>
      <w:r>
        <w:fldChar w:fldCharType="end"/>
      </w:r>
    </w:p>
    <w:p w:rsidR="005F78FC" w:rsidRDefault="00B42EF3">
      <w:pPr>
        <w:pStyle w:val="indexentry0"/>
      </w:pPr>
      <w:hyperlink w:anchor="section_34777b76de124a3381f75a9e2605d34f">
        <w:r>
          <w:rPr>
            <w:rStyle w:val="Hyperlink"/>
          </w:rPr>
          <w:t>graphicEl (Graphic Element)</w:t>
        </w:r>
      </w:hyperlink>
      <w:r>
        <w:t xml:space="preserve"> </w:t>
      </w:r>
      <w:r>
        <w:fldChar w:fldCharType="begin"/>
      </w:r>
      <w:r>
        <w:instrText>PAGEREF section_34777b76de124a3381f75a9e2605d34f</w:instrText>
      </w:r>
      <w:r>
        <w:fldChar w:fldCharType="separate"/>
      </w:r>
      <w:r>
        <w:rPr>
          <w:noProof/>
        </w:rPr>
        <w:t>486</w:t>
      </w:r>
      <w:r>
        <w:fldChar w:fldCharType="end"/>
      </w:r>
    </w:p>
    <w:p w:rsidR="005F78FC" w:rsidRDefault="00B42EF3">
      <w:pPr>
        <w:pStyle w:val="indexentry0"/>
      </w:pPr>
      <w:r>
        <w:t>graphicFrame (Graphic Frame) (</w:t>
      </w:r>
      <w:hyperlink w:anchor="section_a64e434cd5194cec945b0cc428546308">
        <w:r>
          <w:rPr>
            <w:rStyle w:val="Hyperlink"/>
          </w:rPr>
          <w:t>section 2.1.1361</w:t>
        </w:r>
      </w:hyperlink>
      <w:r>
        <w:t xml:space="preserve"> </w:t>
      </w:r>
      <w:r>
        <w:fldChar w:fldCharType="begin"/>
      </w:r>
      <w:r>
        <w:instrText>PAGEREF section_a64e434cd5194cec945b0cc428546308</w:instrText>
      </w:r>
      <w:r>
        <w:fldChar w:fldCharType="separate"/>
      </w:r>
      <w:r>
        <w:rPr>
          <w:noProof/>
        </w:rPr>
        <w:t>529</w:t>
      </w:r>
      <w:r>
        <w:fldChar w:fldCharType="end"/>
      </w:r>
      <w:r>
        <w:t xml:space="preserve">, </w:t>
      </w:r>
      <w:hyperlink w:anchor="section_0cebfe7e9b5a4b468ee5cbaa422259da">
        <w:r>
          <w:rPr>
            <w:rStyle w:val="Hyperlink"/>
          </w:rPr>
          <w:t>section 2.1.1600</w:t>
        </w:r>
      </w:hyperlink>
      <w:r>
        <w:t xml:space="preserve"> </w:t>
      </w:r>
      <w:r>
        <w:fldChar w:fldCharType="begin"/>
      </w:r>
      <w:r>
        <w:instrText>PAGEREF section_0cebfe7e9b5a4b468ee5cbaa422</w:instrText>
      </w:r>
      <w:r>
        <w:instrText>259da</w:instrText>
      </w:r>
      <w:r>
        <w:fldChar w:fldCharType="separate"/>
      </w:r>
      <w:r>
        <w:rPr>
          <w:noProof/>
        </w:rPr>
        <w:t>583</w:t>
      </w:r>
      <w:r>
        <w:fldChar w:fldCharType="end"/>
      </w:r>
      <w:r>
        <w:t>)</w:t>
      </w:r>
    </w:p>
    <w:p w:rsidR="005F78FC" w:rsidRDefault="00B42EF3">
      <w:pPr>
        <w:pStyle w:val="indexentry0"/>
      </w:pPr>
      <w:hyperlink w:anchor="section_68cd339693e94244b7286ac467d7f626">
        <w:r>
          <w:rPr>
            <w:rStyle w:val="Hyperlink"/>
          </w:rPr>
          <w:t>graphicFrameLocks (Graphic Frame Locks)</w:t>
        </w:r>
      </w:hyperlink>
      <w:r>
        <w:t xml:space="preserve"> </w:t>
      </w:r>
      <w:r>
        <w:fldChar w:fldCharType="begin"/>
      </w:r>
      <w:r>
        <w:instrText>PAGEREF section_68cd339693e94244b7286ac467d7f626</w:instrText>
      </w:r>
      <w:r>
        <w:fldChar w:fldCharType="separate"/>
      </w:r>
      <w:r>
        <w:rPr>
          <w:noProof/>
        </w:rPr>
        <w:t>500</w:t>
      </w:r>
      <w:r>
        <w:fldChar w:fldCharType="end"/>
      </w:r>
    </w:p>
    <w:p w:rsidR="005F78FC" w:rsidRDefault="00B42EF3">
      <w:pPr>
        <w:pStyle w:val="indexentry0"/>
      </w:pPr>
      <w:hyperlink w:anchor="section_918cbe28c0504ca2ab4a9fdf9e656a6f">
        <w:r>
          <w:rPr>
            <w:rStyle w:val="Hyperlink"/>
          </w:rPr>
          <w:t>green (Green)</w:t>
        </w:r>
      </w:hyperlink>
      <w:r>
        <w:t xml:space="preserve"> </w:t>
      </w:r>
      <w:r>
        <w:fldChar w:fldCharType="begin"/>
      </w:r>
      <w:r>
        <w:instrText>PAGEREF section_918cbe28c0504ca2ab4a9fdf9e656a6f</w:instrText>
      </w:r>
      <w:r>
        <w:fldChar w:fldCharType="separate"/>
      </w:r>
      <w:r>
        <w:rPr>
          <w:noProof/>
        </w:rPr>
        <w:t>503</w:t>
      </w:r>
      <w:r>
        <w:fldChar w:fldCharType="end"/>
      </w:r>
    </w:p>
    <w:p w:rsidR="005F78FC" w:rsidRDefault="00B42EF3">
      <w:pPr>
        <w:pStyle w:val="indexentry0"/>
      </w:pPr>
      <w:hyperlink w:anchor="section_e372eb222ed34f6bbdc455f4c3379d83">
        <w:r>
          <w:rPr>
            <w:rStyle w:val="Hyperlink"/>
          </w:rPr>
          <w:t>greenMod (Green Modification)</w:t>
        </w:r>
      </w:hyperlink>
      <w:r>
        <w:t xml:space="preserve"> </w:t>
      </w:r>
      <w:r>
        <w:fldChar w:fldCharType="begin"/>
      </w:r>
      <w:r>
        <w:instrText>PAGEREF section_e372eb222ed34f6bbdc455f4c3379d83</w:instrText>
      </w:r>
      <w:r>
        <w:fldChar w:fldCharType="separate"/>
      </w:r>
      <w:r>
        <w:rPr>
          <w:noProof/>
        </w:rPr>
        <w:t>503</w:t>
      </w:r>
      <w:r>
        <w:fldChar w:fldCharType="end"/>
      </w:r>
    </w:p>
    <w:p w:rsidR="005F78FC" w:rsidRDefault="00B42EF3">
      <w:pPr>
        <w:pStyle w:val="indexentry0"/>
      </w:pPr>
      <w:hyperlink w:anchor="section_6608a2d4e5c74de28aa64977e614c1c5">
        <w:r>
          <w:rPr>
            <w:rStyle w:val="Hyperlink"/>
          </w:rPr>
          <w:t>greenOff (Green Offset)</w:t>
        </w:r>
      </w:hyperlink>
      <w:r>
        <w:t xml:space="preserve"> </w:t>
      </w:r>
      <w:r>
        <w:fldChar w:fldCharType="begin"/>
      </w:r>
      <w:r>
        <w:instrText>PAGEREF section_6608a2d4e5c74de28aa64977e614c1c5</w:instrText>
      </w:r>
      <w:r>
        <w:fldChar w:fldCharType="separate"/>
      </w:r>
      <w:r>
        <w:rPr>
          <w:noProof/>
        </w:rPr>
        <w:t>503</w:t>
      </w:r>
      <w:r>
        <w:fldChar w:fldCharType="end"/>
      </w:r>
    </w:p>
    <w:p w:rsidR="005F78FC" w:rsidRDefault="00B42EF3">
      <w:pPr>
        <w:pStyle w:val="indexentry0"/>
      </w:pPr>
      <w:hyperlink w:anchor="section_7c6c5a820257412fb723ee973a8febe9">
        <w:r>
          <w:rPr>
            <w:rStyle w:val="Hyperlink"/>
          </w:rPr>
          <w:t>GREETINGLINE</w:t>
        </w:r>
      </w:hyperlink>
      <w:r>
        <w:t xml:space="preserve"> </w:t>
      </w:r>
      <w:r>
        <w:fldChar w:fldCharType="begin"/>
      </w:r>
      <w:r>
        <w:instrText>PAGEREF section_7c6c5a820257412fb723ee973a8febe9</w:instrText>
      </w:r>
      <w:r>
        <w:fldChar w:fldCharType="separate"/>
      </w:r>
      <w:r>
        <w:rPr>
          <w:noProof/>
        </w:rPr>
        <w:t>217</w:t>
      </w:r>
      <w:r>
        <w:fldChar w:fldCharType="end"/>
      </w:r>
    </w:p>
    <w:p w:rsidR="005F78FC" w:rsidRDefault="00B42EF3">
      <w:pPr>
        <w:pStyle w:val="indexentry0"/>
      </w:pPr>
      <w:hyperlink w:anchor="section_12e40cc181624abf985e412e9324e57c">
        <w:r>
          <w:rPr>
            <w:rStyle w:val="Hyperlink"/>
          </w:rPr>
          <w:t>gridAfter (Grid Columns After Last Cell)</w:t>
        </w:r>
      </w:hyperlink>
      <w:r>
        <w:t xml:space="preserve"> </w:t>
      </w:r>
      <w:r>
        <w:fldChar w:fldCharType="begin"/>
      </w:r>
      <w:r>
        <w:instrText>PAGEREF section_12e40cc181624abf985e412e9324e57c</w:instrText>
      </w:r>
      <w:r>
        <w:fldChar w:fldCharType="separate"/>
      </w:r>
      <w:r>
        <w:rPr>
          <w:noProof/>
        </w:rPr>
        <w:t>86</w:t>
      </w:r>
      <w:r>
        <w:fldChar w:fldCharType="end"/>
      </w:r>
    </w:p>
    <w:p w:rsidR="005F78FC" w:rsidRDefault="00B42EF3">
      <w:pPr>
        <w:pStyle w:val="indexentry0"/>
      </w:pPr>
      <w:hyperlink w:anchor="section_c0d7a13166d24bee8df8e5bae148119f">
        <w:r>
          <w:rPr>
            <w:rStyle w:val="Hyperlink"/>
          </w:rPr>
          <w:t>gridBefore (Grid Columns Before First Cell)</w:t>
        </w:r>
      </w:hyperlink>
      <w:r>
        <w:t xml:space="preserve"> </w:t>
      </w:r>
      <w:r>
        <w:fldChar w:fldCharType="begin"/>
      </w:r>
      <w:r>
        <w:instrText>PAGEREF section_c0d7a13166d24bee8df8e5bae</w:instrText>
      </w:r>
      <w:r>
        <w:instrText>148119f</w:instrText>
      </w:r>
      <w:r>
        <w:fldChar w:fldCharType="separate"/>
      </w:r>
      <w:r>
        <w:rPr>
          <w:noProof/>
        </w:rPr>
        <w:t>86</w:t>
      </w:r>
      <w:r>
        <w:fldChar w:fldCharType="end"/>
      </w:r>
    </w:p>
    <w:p w:rsidR="005F78FC" w:rsidRDefault="00B42EF3">
      <w:pPr>
        <w:pStyle w:val="indexentry0"/>
      </w:pPr>
      <w:hyperlink w:anchor="section_8de3b402ef354ebaac7fcae720425b2a">
        <w:r>
          <w:rPr>
            <w:rStyle w:val="Hyperlink"/>
          </w:rPr>
          <w:t>gridCol (Table Grid Column)</w:t>
        </w:r>
      </w:hyperlink>
      <w:r>
        <w:t xml:space="preserve"> </w:t>
      </w:r>
      <w:r>
        <w:fldChar w:fldCharType="begin"/>
      </w:r>
      <w:r>
        <w:instrText>PAGEREF section_8de3b402ef354ebaac7fcae720425b2a</w:instrText>
      </w:r>
      <w:r>
        <w:fldChar w:fldCharType="separate"/>
      </w:r>
      <w:r>
        <w:rPr>
          <w:noProof/>
        </w:rPr>
        <w:t>544</w:t>
      </w:r>
      <w:r>
        <w:fldChar w:fldCharType="end"/>
      </w:r>
    </w:p>
    <w:p w:rsidR="005F78FC" w:rsidRDefault="00B42EF3">
      <w:pPr>
        <w:pStyle w:val="indexentry0"/>
      </w:pPr>
      <w:hyperlink w:anchor="section_01bfc2007b7d40c0bb1045afd2f72c8f">
        <w:r>
          <w:rPr>
            <w:rStyle w:val="Hyperlink"/>
          </w:rPr>
          <w:t>gridSpan (Grid Columns Spanned by Current</w:t>
        </w:r>
        <w:r>
          <w:rPr>
            <w:rStyle w:val="Hyperlink"/>
          </w:rPr>
          <w:t xml:space="preserve"> Table Cell)</w:t>
        </w:r>
      </w:hyperlink>
      <w:r>
        <w:t xml:space="preserve"> </w:t>
      </w:r>
      <w:r>
        <w:fldChar w:fldCharType="begin"/>
      </w:r>
      <w:r>
        <w:instrText>PAGEREF section_01bfc2007b7d40c0bb1045afd2f72c8f</w:instrText>
      </w:r>
      <w:r>
        <w:fldChar w:fldCharType="separate"/>
      </w:r>
      <w:r>
        <w:rPr>
          <w:noProof/>
        </w:rPr>
        <w:t>86</w:t>
      </w:r>
      <w:r>
        <w:fldChar w:fldCharType="end"/>
      </w:r>
    </w:p>
    <w:p w:rsidR="005F78FC" w:rsidRDefault="00B42EF3">
      <w:pPr>
        <w:pStyle w:val="indexentry0"/>
      </w:pPr>
      <w:hyperlink w:anchor="section_a7ba5505eafb40878616d3f706eccbb1">
        <w:r>
          <w:rPr>
            <w:rStyle w:val="Hyperlink"/>
          </w:rPr>
          <w:t>group (OLAP Group)</w:t>
        </w:r>
      </w:hyperlink>
      <w:r>
        <w:t xml:space="preserve"> </w:t>
      </w:r>
      <w:r>
        <w:fldChar w:fldCharType="begin"/>
      </w:r>
      <w:r>
        <w:instrText>PAGEREF section_a7ba5505eafb40878616d3f706eccbb1</w:instrText>
      </w:r>
      <w:r>
        <w:fldChar w:fldCharType="separate"/>
      </w:r>
      <w:r>
        <w:rPr>
          <w:noProof/>
        </w:rPr>
        <w:t>338</w:t>
      </w:r>
      <w:r>
        <w:fldChar w:fldCharType="end"/>
      </w:r>
    </w:p>
    <w:p w:rsidR="005F78FC" w:rsidRDefault="00B42EF3">
      <w:pPr>
        <w:pStyle w:val="indexentry0"/>
      </w:pPr>
      <w:hyperlink w:anchor="section_5dab8b917bfb495a9ed59068ef74998d">
        <w:r>
          <w:rPr>
            <w:rStyle w:val="Hyperlink"/>
          </w:rPr>
          <w:t>group (Shape Group)</w:t>
        </w:r>
      </w:hyperlink>
      <w:r>
        <w:t xml:space="preserve"> </w:t>
      </w:r>
      <w:r>
        <w:fldChar w:fldCharType="begin"/>
      </w:r>
      <w:r>
        <w:instrText>PAGEREF section_5dab8b917bfb495a9ed59068ef74998d</w:instrText>
      </w:r>
      <w:r>
        <w:fldChar w:fldCharType="separate"/>
      </w:r>
      <w:r>
        <w:rPr>
          <w:noProof/>
        </w:rPr>
        <w:t>646</w:t>
      </w:r>
      <w:r>
        <w:fldChar w:fldCharType="end"/>
      </w:r>
    </w:p>
    <w:p w:rsidR="005F78FC" w:rsidRDefault="00B42EF3">
      <w:pPr>
        <w:pStyle w:val="indexentry0"/>
      </w:pPr>
      <w:hyperlink w:anchor="section_db588d6af7ca414ab301cefba8fd3e79">
        <w:r>
          <w:rPr>
            <w:rStyle w:val="Hyperlink"/>
          </w:rPr>
          <w:t>groupChr (Group-Character Object)</w:t>
        </w:r>
      </w:hyperlink>
      <w:r>
        <w:t xml:space="preserve"> </w:t>
      </w:r>
      <w:r>
        <w:fldChar w:fldCharType="begin"/>
      </w:r>
      <w:r>
        <w:instrText>PAGEREF section_db588d6a</w:instrText>
      </w:r>
      <w:r>
        <w:instrText>f7ca414ab301cefba8fd3e79</w:instrText>
      </w:r>
      <w:r>
        <w:fldChar w:fldCharType="separate"/>
      </w:r>
      <w:r>
        <w:rPr>
          <w:noProof/>
        </w:rPr>
        <w:t>600</w:t>
      </w:r>
      <w:r>
        <w:fldChar w:fldCharType="end"/>
      </w:r>
    </w:p>
    <w:p w:rsidR="005F78FC" w:rsidRDefault="00B42EF3">
      <w:pPr>
        <w:pStyle w:val="indexentry0"/>
      </w:pPr>
      <w:hyperlink w:anchor="section_8fd06fa97194482caa15286409552ac5">
        <w:r>
          <w:rPr>
            <w:rStyle w:val="Hyperlink"/>
          </w:rPr>
          <w:t>grouping (Grouping)</w:t>
        </w:r>
      </w:hyperlink>
      <w:r>
        <w:t xml:space="preserve"> </w:t>
      </w:r>
      <w:r>
        <w:fldChar w:fldCharType="begin"/>
      </w:r>
      <w:r>
        <w:instrText>PAGEREF section_8fd06fa97194482caa15286409552ac5</w:instrText>
      </w:r>
      <w:r>
        <w:fldChar w:fldCharType="separate"/>
      </w:r>
      <w:r>
        <w:rPr>
          <w:noProof/>
        </w:rPr>
        <w:t>556</w:t>
      </w:r>
      <w:r>
        <w:fldChar w:fldCharType="end"/>
      </w:r>
    </w:p>
    <w:p w:rsidR="005F78FC" w:rsidRDefault="00B42EF3">
      <w:pPr>
        <w:pStyle w:val="indexentry0"/>
      </w:pPr>
      <w:hyperlink w:anchor="section_2036ae8e2a23494b89987f8f6400f5a7">
        <w:r>
          <w:rPr>
            <w:rStyle w:val="Hyperlink"/>
          </w:rPr>
          <w:t>groupItems (OLAP Group Items)</w:t>
        </w:r>
      </w:hyperlink>
      <w:r>
        <w:t xml:space="preserve"> </w:t>
      </w:r>
      <w:r>
        <w:fldChar w:fldCharType="begin"/>
      </w:r>
      <w:r>
        <w:instrText>PAGEREF section_2036ae8e2a23494b89987f8f6400f5a7</w:instrText>
      </w:r>
      <w:r>
        <w:fldChar w:fldCharType="separate"/>
      </w:r>
      <w:r>
        <w:rPr>
          <w:noProof/>
        </w:rPr>
        <w:t>339</w:t>
      </w:r>
      <w:r>
        <w:fldChar w:fldCharType="end"/>
      </w:r>
    </w:p>
    <w:p w:rsidR="005F78FC" w:rsidRDefault="00B42EF3">
      <w:pPr>
        <w:pStyle w:val="indexentry0"/>
      </w:pPr>
      <w:hyperlink w:anchor="section_81b11533f75341848ef6d40b5d9fe67a">
        <w:r>
          <w:rPr>
            <w:rStyle w:val="Hyperlink"/>
          </w:rPr>
          <w:t>groupLevel (OLAP Grouping Levels)</w:t>
        </w:r>
      </w:hyperlink>
      <w:r>
        <w:t xml:space="preserve"> </w:t>
      </w:r>
      <w:r>
        <w:fldChar w:fldCharType="begin"/>
      </w:r>
      <w:r>
        <w:instrText>PAGEREF section_81b11533f75341848ef6d40b5d9fe67a</w:instrText>
      </w:r>
      <w:r>
        <w:fldChar w:fldCharType="separate"/>
      </w:r>
      <w:r>
        <w:rPr>
          <w:noProof/>
        </w:rPr>
        <w:t>339</w:t>
      </w:r>
      <w:r>
        <w:fldChar w:fldCharType="end"/>
      </w:r>
    </w:p>
    <w:p w:rsidR="005F78FC" w:rsidRDefault="00B42EF3">
      <w:pPr>
        <w:pStyle w:val="indexentry0"/>
      </w:pPr>
      <w:hyperlink w:anchor="section_f03cfcd582bc4feeb7b7b539677a55bf">
        <w:r>
          <w:rPr>
            <w:rStyle w:val="Hyperlink"/>
          </w:rPr>
          <w:t>groupMember (OLAP Group Member)</w:t>
        </w:r>
      </w:hyperlink>
      <w:r>
        <w:t xml:space="preserve"> </w:t>
      </w:r>
      <w:r>
        <w:fldChar w:fldCharType="begin"/>
      </w:r>
      <w:r>
        <w:instrText>PAGEREF section_f03cfcd582bc4feeb7b7b539677a55bf</w:instrText>
      </w:r>
      <w:r>
        <w:fldChar w:fldCharType="separate"/>
      </w:r>
      <w:r>
        <w:rPr>
          <w:noProof/>
        </w:rPr>
        <w:t>339</w:t>
      </w:r>
      <w:r>
        <w:fldChar w:fldCharType="end"/>
      </w:r>
    </w:p>
    <w:p w:rsidR="005F78FC" w:rsidRDefault="00B42EF3">
      <w:pPr>
        <w:pStyle w:val="indexentry0"/>
      </w:pPr>
      <w:hyperlink w:anchor="section_9700c97afe254445b04a4d3604e64334">
        <w:r>
          <w:rPr>
            <w:rStyle w:val="Hyperlink"/>
          </w:rPr>
          <w:t>grow (n-ary Grow)</w:t>
        </w:r>
      </w:hyperlink>
      <w:r>
        <w:t xml:space="preserve"> </w:t>
      </w:r>
      <w:r>
        <w:fldChar w:fldCharType="begin"/>
      </w:r>
      <w:r>
        <w:instrText>PAGEREF section_9700c97afe254445b04a4d3604e64334</w:instrText>
      </w:r>
      <w:r>
        <w:fldChar w:fldCharType="separate"/>
      </w:r>
      <w:r>
        <w:rPr>
          <w:noProof/>
        </w:rPr>
        <w:t>600</w:t>
      </w:r>
      <w:r>
        <w:fldChar w:fldCharType="end"/>
      </w:r>
    </w:p>
    <w:p w:rsidR="005F78FC" w:rsidRDefault="00B42EF3">
      <w:pPr>
        <w:pStyle w:val="indexentry0"/>
      </w:pPr>
      <w:hyperlink w:anchor="section_a3122f27c66143ce90b49d9ab7459565">
        <w:r>
          <w:rPr>
            <w:rStyle w:val="Hyperlink"/>
          </w:rPr>
          <w:t>grpFill (Group Fill)</w:t>
        </w:r>
      </w:hyperlink>
      <w:r>
        <w:t xml:space="preserve"> </w:t>
      </w:r>
      <w:r>
        <w:fldChar w:fldCharType="begin"/>
      </w:r>
      <w:r>
        <w:instrText>PAGEREF section_a3122f27c66143ce90b49d9ab7459565</w:instrText>
      </w:r>
      <w:r>
        <w:fldChar w:fldCharType="separate"/>
      </w:r>
      <w:r>
        <w:rPr>
          <w:noProof/>
        </w:rPr>
        <w:t>517</w:t>
      </w:r>
      <w:r>
        <w:fldChar w:fldCharType="end"/>
      </w:r>
    </w:p>
    <w:p w:rsidR="005F78FC" w:rsidRDefault="00B42EF3">
      <w:pPr>
        <w:pStyle w:val="indexentry0"/>
      </w:pPr>
      <w:hyperlink w:anchor="section_aeb0946131ca4e03b47b279d8705c69c">
        <w:r>
          <w:rPr>
            <w:rStyle w:val="Hyperlink"/>
          </w:rPr>
          <w:t>grpSpLocks (Group Shape Locks)</w:t>
        </w:r>
      </w:hyperlink>
      <w:r>
        <w:t xml:space="preserve"> </w:t>
      </w:r>
      <w:r>
        <w:fldChar w:fldCharType="begin"/>
      </w:r>
      <w:r>
        <w:instrText>PAGEREF section_aeb0946131ca4e03b47b279d8705c69c</w:instrText>
      </w:r>
      <w:r>
        <w:fldChar w:fldCharType="separate"/>
      </w:r>
      <w:r>
        <w:rPr>
          <w:noProof/>
        </w:rPr>
        <w:t>500</w:t>
      </w:r>
      <w:r>
        <w:fldChar w:fldCharType="end"/>
      </w:r>
    </w:p>
    <w:p w:rsidR="005F78FC" w:rsidRDefault="00B42EF3">
      <w:pPr>
        <w:pStyle w:val="indexentry0"/>
      </w:pPr>
      <w:r>
        <w:t>grpSpPr</w:t>
      </w:r>
      <w:r>
        <w:t xml:space="preserve"> (Group Shape Properties) (</w:t>
      </w:r>
      <w:hyperlink w:anchor="section_9ddba7fd39a643d3b232fb6d0de0047b">
        <w:r>
          <w:rPr>
            <w:rStyle w:val="Hyperlink"/>
          </w:rPr>
          <w:t>section 2.1.1122</w:t>
        </w:r>
      </w:hyperlink>
      <w:r>
        <w:t xml:space="preserve"> </w:t>
      </w:r>
      <w:r>
        <w:fldChar w:fldCharType="begin"/>
      </w:r>
      <w:r>
        <w:instrText>PAGEREF section_9ddba7fd39a643d3b232fb6d0de0047b</w:instrText>
      </w:r>
      <w:r>
        <w:fldChar w:fldCharType="separate"/>
      </w:r>
      <w:r>
        <w:rPr>
          <w:noProof/>
        </w:rPr>
        <w:t>470</w:t>
      </w:r>
      <w:r>
        <w:fldChar w:fldCharType="end"/>
      </w:r>
      <w:r>
        <w:t xml:space="preserve">, </w:t>
      </w:r>
      <w:hyperlink w:anchor="section_0b7e3dab028b4c2285e631bc3dc52e04">
        <w:r>
          <w:rPr>
            <w:rStyle w:val="Hyperlink"/>
          </w:rPr>
          <w:t>section 2.1.1362</w:t>
        </w:r>
      </w:hyperlink>
      <w:r>
        <w:t xml:space="preserve"> </w:t>
      </w:r>
      <w:r>
        <w:fldChar w:fldCharType="begin"/>
      </w:r>
      <w:r>
        <w:instrText>PAGEREF section_0b7e3dab028b4c2285e631bc3dc52e04</w:instrText>
      </w:r>
      <w:r>
        <w:fldChar w:fldCharType="separate"/>
      </w:r>
      <w:r>
        <w:rPr>
          <w:noProof/>
        </w:rPr>
        <w:t>529</w:t>
      </w:r>
      <w:r>
        <w:fldChar w:fldCharType="end"/>
      </w:r>
      <w:r>
        <w:t xml:space="preserve">, </w:t>
      </w:r>
      <w:hyperlink w:anchor="section_1c32c2fb9e614f02ad31b56fcf112462">
        <w:r>
          <w:rPr>
            <w:rStyle w:val="Hyperlink"/>
          </w:rPr>
          <w:t>section 2.1.1601</w:t>
        </w:r>
      </w:hyperlink>
      <w:r>
        <w:t xml:space="preserve"> </w:t>
      </w:r>
      <w:r>
        <w:fldChar w:fldCharType="begin"/>
      </w:r>
      <w:r>
        <w:instrText>PAGEREF section_1c32c2fb9e614f02ad31b56fcf112462</w:instrText>
      </w:r>
      <w:r>
        <w:fldChar w:fldCharType="separate"/>
      </w:r>
      <w:r>
        <w:rPr>
          <w:noProof/>
        </w:rPr>
        <w:t>584</w:t>
      </w:r>
      <w:r>
        <w:fldChar w:fldCharType="end"/>
      </w:r>
      <w:r>
        <w:t>)</w:t>
      </w:r>
    </w:p>
    <w:p w:rsidR="005F78FC" w:rsidRDefault="00B42EF3">
      <w:pPr>
        <w:pStyle w:val="indexentry0"/>
      </w:pPr>
      <w:hyperlink w:anchor="section_414983b3f7b64cd7aec65edc6328026e">
        <w:r>
          <w:rPr>
            <w:rStyle w:val="Hyperlink"/>
          </w:rPr>
          <w:t>grpSpPr (</w:t>
        </w:r>
        <w:r>
          <w:rPr>
            <w:rStyle w:val="Hyperlink"/>
          </w:rPr>
          <w:t>Visual Group Shape Properties)</w:t>
        </w:r>
      </w:hyperlink>
      <w:r>
        <w:t xml:space="preserve"> </w:t>
      </w:r>
      <w:r>
        <w:fldChar w:fldCharType="begin"/>
      </w:r>
      <w:r>
        <w:instrText>PAGEREF section_414983b3f7b64cd7aec65edc6328026e</w:instrText>
      </w:r>
      <w:r>
        <w:fldChar w:fldCharType="separate"/>
      </w:r>
      <w:r>
        <w:rPr>
          <w:noProof/>
        </w:rPr>
        <w:t>500</w:t>
      </w:r>
      <w:r>
        <w:fldChar w:fldCharType="end"/>
      </w:r>
    </w:p>
    <w:p w:rsidR="005F78FC" w:rsidRDefault="00B42EF3">
      <w:pPr>
        <w:pStyle w:val="indexentry0"/>
      </w:pPr>
      <w:hyperlink w:anchor="section_309a71616dc747118a12d15a81e9214b">
        <w:r>
          <w:rPr>
            <w:rStyle w:val="Hyperlink"/>
          </w:rPr>
          <w:t>Guid (GUID)</w:t>
        </w:r>
      </w:hyperlink>
      <w:r>
        <w:t xml:space="preserve"> </w:t>
      </w:r>
      <w:r>
        <w:fldChar w:fldCharType="begin"/>
      </w:r>
      <w:r>
        <w:instrText>PAGEREF section_309a71616dc747118a12d15a81e9214b</w:instrText>
      </w:r>
      <w:r>
        <w:fldChar w:fldCharType="separate"/>
      </w:r>
      <w:r>
        <w:rPr>
          <w:noProof/>
        </w:rPr>
        <w:t>615</w:t>
      </w:r>
      <w:r>
        <w:fldChar w:fldCharType="end"/>
      </w:r>
    </w:p>
    <w:p w:rsidR="005F78FC" w:rsidRDefault="00B42EF3">
      <w:pPr>
        <w:pStyle w:val="indexentry0"/>
      </w:pPr>
      <w:hyperlink w:anchor="section_dfb28ce5885d4193957c8ae93866b92e">
        <w:r>
          <w:rPr>
            <w:rStyle w:val="Hyperlink"/>
          </w:rPr>
          <w:t>guide (A Guide)</w:t>
        </w:r>
      </w:hyperlink>
      <w:r>
        <w:t xml:space="preserve"> </w:t>
      </w:r>
      <w:r>
        <w:fldChar w:fldCharType="begin"/>
      </w:r>
      <w:r>
        <w:instrText>PAGEREF section_dfb28ce5885d4193957c8ae93866b92e</w:instrText>
      </w:r>
      <w:r>
        <w:fldChar w:fldCharType="separate"/>
      </w:r>
      <w:r>
        <w:rPr>
          <w:noProof/>
        </w:rPr>
        <w:t>469</w:t>
      </w:r>
      <w:r>
        <w:fldChar w:fldCharType="end"/>
      </w:r>
    </w:p>
    <w:p w:rsidR="005F78FC" w:rsidRDefault="005F78FC">
      <w:pPr>
        <w:spacing w:before="0" w:after="0"/>
        <w:rPr>
          <w:sz w:val="16"/>
        </w:rPr>
      </w:pPr>
    </w:p>
    <w:p w:rsidR="005F78FC" w:rsidRDefault="00B42EF3">
      <w:pPr>
        <w:pStyle w:val="indexheader"/>
      </w:pPr>
      <w:r>
        <w:t>H</w:t>
      </w:r>
    </w:p>
    <w:p w:rsidR="005F78FC" w:rsidRDefault="005F78FC">
      <w:pPr>
        <w:spacing w:before="0" w:after="0"/>
        <w:rPr>
          <w:sz w:val="16"/>
        </w:rPr>
      </w:pPr>
    </w:p>
    <w:p w:rsidR="005F78FC" w:rsidRDefault="00B42EF3">
      <w:pPr>
        <w:pStyle w:val="indexentry0"/>
      </w:pPr>
      <w:hyperlink w:anchor="section_2492a099586a4b7599a539bb273e5c0a">
        <w:r>
          <w:rPr>
            <w:rStyle w:val="Hyperlink"/>
          </w:rPr>
          <w:t>h (Height)</w:t>
        </w:r>
      </w:hyperlink>
      <w:r>
        <w:t xml:space="preserve"> </w:t>
      </w:r>
      <w:r>
        <w:fldChar w:fldCharType="begin"/>
      </w:r>
      <w:r>
        <w:instrText>PAGEREF section_2492a099586a4b7599a539bb273e5c0a</w:instrText>
      </w:r>
      <w:r>
        <w:fldChar w:fldCharType="separate"/>
      </w:r>
      <w:r>
        <w:rPr>
          <w:noProof/>
        </w:rPr>
        <w:t>556</w:t>
      </w:r>
      <w:r>
        <w:fldChar w:fldCharType="end"/>
      </w:r>
    </w:p>
    <w:p w:rsidR="005F78FC" w:rsidRDefault="00B42EF3">
      <w:pPr>
        <w:pStyle w:val="indexentry0"/>
      </w:pPr>
      <w:hyperlink w:anchor="section_ffc30069fa76457da36a9aeb0c1747c6">
        <w:r>
          <w:rPr>
            <w:rStyle w:val="Hyperlink"/>
          </w:rPr>
          <w:t>h (Shape Handle)</w:t>
        </w:r>
      </w:hyperlink>
      <w:r>
        <w:t xml:space="preserve"> </w:t>
      </w:r>
      <w:r>
        <w:fldChar w:fldCharType="begin"/>
      </w:r>
      <w:r>
        <w:instrText>PAGEREF section_ffc30069fa76457da36a9aeb0c1747c6</w:instrText>
      </w:r>
      <w:r>
        <w:fldChar w:fldCharType="separate"/>
      </w:r>
      <w:r>
        <w:rPr>
          <w:noProof/>
        </w:rPr>
        <w:t>646</w:t>
      </w:r>
      <w:r>
        <w:fldChar w:fldCharType="end"/>
      </w:r>
    </w:p>
    <w:p w:rsidR="005F78FC" w:rsidRDefault="00B42EF3">
      <w:pPr>
        <w:pStyle w:val="indexentry0"/>
      </w:pPr>
      <w:hyperlink w:anchor="section_2ab456f168374f4fabf9ba30693c31a1">
        <w:r>
          <w:rPr>
            <w:rStyle w:val="Hyperlink"/>
          </w:rPr>
          <w:t>handles (Set of Handles)</w:t>
        </w:r>
      </w:hyperlink>
      <w:r>
        <w:t xml:space="preserve"> </w:t>
      </w:r>
      <w:r>
        <w:fldChar w:fldCharType="begin"/>
      </w:r>
      <w:r>
        <w:instrText>PAGEREF section_2ab456f168374f4fabf9</w:instrText>
      </w:r>
      <w:r>
        <w:instrText>ba30693c31a1</w:instrText>
      </w:r>
      <w:r>
        <w:fldChar w:fldCharType="separate"/>
      </w:r>
      <w:r>
        <w:rPr>
          <w:noProof/>
        </w:rPr>
        <w:t>647</w:t>
      </w:r>
      <w:r>
        <w:fldChar w:fldCharType="end"/>
      </w:r>
    </w:p>
    <w:p w:rsidR="005F78FC" w:rsidRDefault="00B42EF3">
      <w:pPr>
        <w:pStyle w:val="indexentry0"/>
      </w:pPr>
      <w:hyperlink w:anchor="section_6edd755f569e4d1dad791a16230b4fd8">
        <w:r>
          <w:rPr>
            <w:rStyle w:val="Hyperlink"/>
          </w:rPr>
          <w:t>Handout Master Part</w:t>
        </w:r>
      </w:hyperlink>
      <w:r>
        <w:t xml:space="preserve"> </w:t>
      </w:r>
      <w:r>
        <w:fldChar w:fldCharType="begin"/>
      </w:r>
      <w:r>
        <w:instrText>PAGEREF section_6edd755f569e4d1dad791a16230b4fd8</w:instrText>
      </w:r>
      <w:r>
        <w:fldChar w:fldCharType="separate"/>
      </w:r>
      <w:r>
        <w:rPr>
          <w:noProof/>
        </w:rPr>
        <w:t>53</w:t>
      </w:r>
      <w:r>
        <w:fldChar w:fldCharType="end"/>
      </w:r>
    </w:p>
    <w:p w:rsidR="005F78FC" w:rsidRDefault="00B42EF3">
      <w:pPr>
        <w:pStyle w:val="indexentry0"/>
      </w:pPr>
      <w:hyperlink w:anchor="section_0de78b6e776c4f608c4c92eeb6a8ca56">
        <w:r>
          <w:rPr>
            <w:rStyle w:val="Hyperlink"/>
          </w:rPr>
          <w:t>HARMEAN</w:t>
        </w:r>
      </w:hyperlink>
      <w:r>
        <w:t xml:space="preserve"> </w:t>
      </w:r>
      <w:r>
        <w:fldChar w:fldCharType="begin"/>
      </w:r>
      <w:r>
        <w:instrText>PAGEREF section_0de78b6e776c4f608c</w:instrText>
      </w:r>
      <w:r>
        <w:instrText>4c92eeb6a8ca56</w:instrText>
      </w:r>
      <w:r>
        <w:fldChar w:fldCharType="separate"/>
      </w:r>
      <w:r>
        <w:rPr>
          <w:noProof/>
        </w:rPr>
        <w:t>426</w:t>
      </w:r>
      <w:r>
        <w:fldChar w:fldCharType="end"/>
      </w:r>
    </w:p>
    <w:p w:rsidR="005F78FC" w:rsidRDefault="00B42EF3">
      <w:pPr>
        <w:pStyle w:val="indexentry0"/>
      </w:pPr>
      <w:hyperlink w:anchor="section_b1588c0913964016a2ea78ce84a81a8e">
        <w:r>
          <w:rPr>
            <w:rStyle w:val="Hyperlink"/>
          </w:rPr>
          <w:t>hash (Hash Code for Record)</w:t>
        </w:r>
      </w:hyperlink>
      <w:r>
        <w:t xml:space="preserve"> </w:t>
      </w:r>
      <w:r>
        <w:fldChar w:fldCharType="begin"/>
      </w:r>
      <w:r>
        <w:instrText>PAGEREF section_b1588c0913964016a2ea78ce84a81a8e</w:instrText>
      </w:r>
      <w:r>
        <w:fldChar w:fldCharType="separate"/>
      </w:r>
      <w:r>
        <w:rPr>
          <w:noProof/>
        </w:rPr>
        <w:t>784</w:t>
      </w:r>
      <w:r>
        <w:fldChar w:fldCharType="end"/>
      </w:r>
    </w:p>
    <w:p w:rsidR="005F78FC" w:rsidRDefault="00B42EF3">
      <w:pPr>
        <w:pStyle w:val="indexentry0"/>
      </w:pPr>
      <w:hyperlink w:anchor="section_1b8a330cd8ca44a3b28ddb59f4203a66">
        <w:r>
          <w:rPr>
            <w:rStyle w:val="Hyperlink"/>
          </w:rPr>
          <w:t>hdr (Header)</w:t>
        </w:r>
      </w:hyperlink>
      <w:r>
        <w:t xml:space="preserve"> </w:t>
      </w:r>
      <w:r>
        <w:fldChar w:fldCharType="begin"/>
      </w:r>
      <w:r>
        <w:instrText>PAGEREF section_1b8a330cd8ca44a3b28ddb59f4203a66</w:instrText>
      </w:r>
      <w:r>
        <w:fldChar w:fldCharType="separate"/>
      </w:r>
      <w:r>
        <w:rPr>
          <w:noProof/>
        </w:rPr>
        <w:t>130</w:t>
      </w:r>
      <w:r>
        <w:fldChar w:fldCharType="end"/>
      </w:r>
    </w:p>
    <w:p w:rsidR="005F78FC" w:rsidRDefault="00B42EF3">
      <w:pPr>
        <w:pStyle w:val="indexentry0"/>
      </w:pPr>
      <w:hyperlink w:anchor="section_b1d3a78aad5a41ed917f29cbeaa2c9bc">
        <w:r>
          <w:rPr>
            <w:rStyle w:val="Hyperlink"/>
          </w:rPr>
          <w:t>hdrShapeDefaults (Default Properties for VML Objects in Header and Footer)</w:t>
        </w:r>
      </w:hyperlink>
      <w:r>
        <w:t xml:space="preserve"> </w:t>
      </w:r>
      <w:r>
        <w:fldChar w:fldCharType="begin"/>
      </w:r>
      <w:r>
        <w:instrText>PAGEREF section_b1d3a78aad5a41ed917f29cbeaa2c9bc</w:instrText>
      </w:r>
      <w:r>
        <w:fldChar w:fldCharType="separate"/>
      </w:r>
      <w:r>
        <w:rPr>
          <w:noProof/>
        </w:rPr>
        <w:t>631</w:t>
      </w:r>
      <w:r>
        <w:fldChar w:fldCharType="end"/>
      </w:r>
    </w:p>
    <w:p w:rsidR="005F78FC" w:rsidRDefault="00B42EF3">
      <w:pPr>
        <w:pStyle w:val="indexentry0"/>
      </w:pPr>
      <w:hyperlink w:anchor="section_1d65167f972c46138b475f43053a1989">
        <w:r>
          <w:rPr>
            <w:rStyle w:val="Hyperlink"/>
          </w:rPr>
          <w:t>header (Header Cell Reference)</w:t>
        </w:r>
      </w:hyperlink>
      <w:r>
        <w:t xml:space="preserve"> </w:t>
      </w:r>
      <w:r>
        <w:fldChar w:fldCharType="begin"/>
      </w:r>
      <w:r>
        <w:instrText>PAGEREF section_1d65167f972c46138b475f43053a1989</w:instrText>
      </w:r>
      <w:r>
        <w:fldChar w:fldCharType="separate"/>
      </w:r>
      <w:r>
        <w:rPr>
          <w:noProof/>
        </w:rPr>
        <w:t>86</w:t>
      </w:r>
      <w:r>
        <w:fldChar w:fldCharType="end"/>
      </w:r>
    </w:p>
    <w:p w:rsidR="005F78FC" w:rsidRDefault="00B42EF3">
      <w:pPr>
        <w:pStyle w:val="indexentry0"/>
      </w:pPr>
      <w:hyperlink w:anchor="section_854db427e1714e5996a93cdd08117c36">
        <w:r>
          <w:rPr>
            <w:rStyle w:val="Hyperlink"/>
          </w:rPr>
          <w:t>header (Header)</w:t>
        </w:r>
      </w:hyperlink>
      <w:r>
        <w:t xml:space="preserve"> </w:t>
      </w:r>
      <w:r>
        <w:fldChar w:fldCharType="begin"/>
      </w:r>
      <w:r>
        <w:instrText>PAGEREF section_854db427e1714e5996a93cdd08117</w:instrText>
      </w:r>
      <w:r>
        <w:instrText>c36</w:instrText>
      </w:r>
      <w:r>
        <w:fldChar w:fldCharType="separate"/>
      </w:r>
      <w:r>
        <w:rPr>
          <w:noProof/>
        </w:rPr>
        <w:t>371</w:t>
      </w:r>
      <w:r>
        <w:fldChar w:fldCharType="end"/>
      </w:r>
    </w:p>
    <w:p w:rsidR="005F78FC" w:rsidRDefault="00B42EF3">
      <w:pPr>
        <w:pStyle w:val="indexentry0"/>
      </w:pPr>
      <w:hyperlink w:anchor="section_0c9d02eca22c49aeb335f2a4f1d2dd8e">
        <w:r>
          <w:rPr>
            <w:rStyle w:val="Hyperlink"/>
          </w:rPr>
          <w:t>headerFooter (Header and Footer)</w:t>
        </w:r>
      </w:hyperlink>
      <w:r>
        <w:t xml:space="preserve"> </w:t>
      </w:r>
      <w:r>
        <w:fldChar w:fldCharType="begin"/>
      </w:r>
      <w:r>
        <w:instrText>PAGEREF section_0c9d02eca22c49aeb335f2a4f1d2dd8e</w:instrText>
      </w:r>
      <w:r>
        <w:fldChar w:fldCharType="separate"/>
      </w:r>
      <w:r>
        <w:rPr>
          <w:noProof/>
        </w:rPr>
        <w:t>556</w:t>
      </w:r>
      <w:r>
        <w:fldChar w:fldCharType="end"/>
      </w:r>
    </w:p>
    <w:p w:rsidR="005F78FC" w:rsidRDefault="00B42EF3">
      <w:pPr>
        <w:pStyle w:val="indexentry0"/>
      </w:pPr>
      <w:hyperlink w:anchor="section_5de15e593ec14f80aa4d00bdd447b86f">
        <w:r>
          <w:rPr>
            <w:rStyle w:val="Hyperlink"/>
          </w:rPr>
          <w:t>headerReference (Header Reference)</w:t>
        </w:r>
      </w:hyperlink>
      <w:r>
        <w:t xml:space="preserve"> </w:t>
      </w:r>
      <w:r>
        <w:fldChar w:fldCharType="begin"/>
      </w:r>
      <w:r>
        <w:instrText>PAG</w:instrText>
      </w:r>
      <w:r>
        <w:instrText>EREF section_5de15e593ec14f80aa4d00bdd447b86f</w:instrText>
      </w:r>
      <w:r>
        <w:fldChar w:fldCharType="separate"/>
      </w:r>
      <w:r>
        <w:rPr>
          <w:noProof/>
        </w:rPr>
        <w:t>130</w:t>
      </w:r>
      <w:r>
        <w:fldChar w:fldCharType="end"/>
      </w:r>
    </w:p>
    <w:p w:rsidR="005F78FC" w:rsidRDefault="00B42EF3">
      <w:pPr>
        <w:pStyle w:val="indexentry0"/>
      </w:pPr>
      <w:hyperlink w:anchor="section_89821d899e9048f38b136c6f025b6657">
        <w:r>
          <w:rPr>
            <w:rStyle w:val="Hyperlink"/>
          </w:rPr>
          <w:t>headers (Header Cells Associated With Table Cell)</w:t>
        </w:r>
      </w:hyperlink>
      <w:r>
        <w:t xml:space="preserve"> </w:t>
      </w:r>
      <w:r>
        <w:fldChar w:fldCharType="begin"/>
      </w:r>
      <w:r>
        <w:instrText>PAGEREF section_89821d899e9048f38b136c6f025b6657</w:instrText>
      </w:r>
      <w:r>
        <w:fldChar w:fldCharType="separate"/>
      </w:r>
      <w:r>
        <w:rPr>
          <w:noProof/>
        </w:rPr>
        <w:t>86</w:t>
      </w:r>
      <w:r>
        <w:fldChar w:fldCharType="end"/>
      </w:r>
    </w:p>
    <w:p w:rsidR="005F78FC" w:rsidRDefault="00B42EF3">
      <w:pPr>
        <w:pStyle w:val="indexentry0"/>
      </w:pPr>
      <w:hyperlink w:anchor="section_dfc65cb606c74ce3922b2d3cecde9852">
        <w:r>
          <w:rPr>
            <w:rStyle w:val="Hyperlink"/>
          </w:rPr>
          <w:t>headers (Revision Headers)</w:t>
        </w:r>
      </w:hyperlink>
      <w:r>
        <w:t xml:space="preserve"> </w:t>
      </w:r>
      <w:r>
        <w:fldChar w:fldCharType="begin"/>
      </w:r>
      <w:r>
        <w:instrText>PAGEREF section_dfc65cb606c74ce3922b2d3cecde9852</w:instrText>
      </w:r>
      <w:r>
        <w:fldChar w:fldCharType="separate"/>
      </w:r>
      <w:r>
        <w:rPr>
          <w:noProof/>
        </w:rPr>
        <w:t>371</w:t>
      </w:r>
      <w:r>
        <w:fldChar w:fldCharType="end"/>
      </w:r>
    </w:p>
    <w:p w:rsidR="005F78FC" w:rsidRDefault="00B42EF3">
      <w:pPr>
        <w:pStyle w:val="indexentry0"/>
      </w:pPr>
      <w:hyperlink w:anchor="section_6dce24e56a194a6798fbd2f301658523">
        <w:r>
          <w:rPr>
            <w:rStyle w:val="Hyperlink"/>
          </w:rPr>
          <w:t>headerSource (Header Definition File Path)</w:t>
        </w:r>
      </w:hyperlink>
      <w:r>
        <w:t xml:space="preserve"> </w:t>
      </w:r>
      <w:r>
        <w:fldChar w:fldCharType="begin"/>
      </w:r>
      <w:r>
        <w:instrText>PAGEREF section_6dce24e56a194a6798fbd2f301658523</w:instrText>
      </w:r>
      <w:r>
        <w:fldChar w:fldCharType="separate"/>
      </w:r>
      <w:r>
        <w:rPr>
          <w:noProof/>
        </w:rPr>
        <w:t>147</w:t>
      </w:r>
      <w:r>
        <w:fldChar w:fldCharType="end"/>
      </w:r>
    </w:p>
    <w:p w:rsidR="005F78FC" w:rsidRDefault="00B42EF3">
      <w:pPr>
        <w:pStyle w:val="indexentry0"/>
      </w:pPr>
      <w:hyperlink w:anchor="section_7bbab4664477424b9c52cc9800547d7b">
        <w:r>
          <w:rPr>
            <w:rStyle w:val="Hyperlink"/>
          </w:rPr>
          <w:t>HeadingPairs (Heading Pairs)</w:t>
        </w:r>
      </w:hyperlink>
      <w:r>
        <w:t xml:space="preserve"> </w:t>
      </w:r>
      <w:r>
        <w:fldChar w:fldCharType="begin"/>
      </w:r>
      <w:r>
        <w:instrText>PAGEREF section_7bbab4664477424b9c52cc9800547d7b</w:instrText>
      </w:r>
      <w:r>
        <w:fldChar w:fldCharType="separate"/>
      </w:r>
      <w:r>
        <w:rPr>
          <w:noProof/>
        </w:rPr>
        <w:t>609</w:t>
      </w:r>
      <w:r>
        <w:fldChar w:fldCharType="end"/>
      </w:r>
    </w:p>
    <w:p w:rsidR="005F78FC" w:rsidRDefault="00B42EF3">
      <w:pPr>
        <w:pStyle w:val="indexentry0"/>
      </w:pPr>
      <w:hyperlink w:anchor="section_be9bdcbbf5ff45f9912044d8a545773b">
        <w:r>
          <w:rPr>
            <w:rStyle w:val="Hyperlink"/>
          </w:rPr>
          <w:t>hidden (Hidden Table Row Marker)</w:t>
        </w:r>
      </w:hyperlink>
      <w:r>
        <w:t xml:space="preserve"> </w:t>
      </w:r>
      <w:r>
        <w:fldChar w:fldCharType="begin"/>
      </w:r>
      <w:r>
        <w:instrText>PAGEREF section_be9bdcbbf5ff45f9912044d8a545773b</w:instrText>
      </w:r>
      <w:r>
        <w:fldChar w:fldCharType="separate"/>
      </w:r>
      <w:r>
        <w:rPr>
          <w:noProof/>
        </w:rPr>
        <w:t>86</w:t>
      </w:r>
      <w:r>
        <w:fldChar w:fldCharType="end"/>
      </w:r>
    </w:p>
    <w:p w:rsidR="005F78FC" w:rsidRDefault="00B42EF3">
      <w:pPr>
        <w:pStyle w:val="indexentry0"/>
      </w:pPr>
      <w:hyperlink w:anchor="section_c0865addb937497b8bea368b654b6329">
        <w:r>
          <w:rPr>
            <w:rStyle w:val="Hyperlink"/>
          </w:rPr>
          <w:t>hideMark (Ignore End Of Cell Marker In Row Height Calculation)</w:t>
        </w:r>
      </w:hyperlink>
      <w:r>
        <w:t xml:space="preserve"> </w:t>
      </w:r>
      <w:r>
        <w:fldChar w:fldCharType="begin"/>
      </w:r>
      <w:r>
        <w:instrText>PAGEREF section_c0865addb937497b8bea368b654b6329</w:instrText>
      </w:r>
      <w:r>
        <w:fldChar w:fldCharType="separate"/>
      </w:r>
      <w:r>
        <w:rPr>
          <w:noProof/>
        </w:rPr>
        <w:t>87</w:t>
      </w:r>
      <w:r>
        <w:fldChar w:fldCharType="end"/>
      </w:r>
    </w:p>
    <w:p w:rsidR="005F78FC" w:rsidRDefault="00B42EF3">
      <w:pPr>
        <w:pStyle w:val="indexentry0"/>
      </w:pPr>
      <w:hyperlink w:anchor="section_e07a90e276b547dd8bf4668a806177c7">
        <w:r>
          <w:rPr>
            <w:rStyle w:val="Hyperlink"/>
          </w:rPr>
          <w:t>highlight (Text Highlighting)</w:t>
        </w:r>
      </w:hyperlink>
      <w:r>
        <w:t xml:space="preserve"> </w:t>
      </w:r>
      <w:r>
        <w:fldChar w:fldCharType="begin"/>
      </w:r>
      <w:r>
        <w:instrText>PAGEREF section_e07a90e276b547dd8bf4668a806177c7</w:instrText>
      </w:r>
      <w:r>
        <w:fldChar w:fldCharType="separate"/>
      </w:r>
      <w:r>
        <w:rPr>
          <w:noProof/>
        </w:rPr>
        <w:t>74</w:t>
      </w:r>
      <w:r>
        <w:fldChar w:fldCharType="end"/>
      </w:r>
    </w:p>
    <w:p w:rsidR="005F78FC" w:rsidRDefault="00B42EF3">
      <w:pPr>
        <w:pStyle w:val="indexentry0"/>
      </w:pPr>
      <w:hyperlink w:anchor="section_b3ef6d7b692d497c8c88e6cff3558e47">
        <w:r>
          <w:rPr>
            <w:rStyle w:val="Hyperlink"/>
          </w:rPr>
          <w:t>hlink (Hyperlink)</w:t>
        </w:r>
      </w:hyperlink>
      <w:r>
        <w:t xml:space="preserve"> </w:t>
      </w:r>
      <w:r>
        <w:fldChar w:fldCharType="begin"/>
      </w:r>
      <w:r>
        <w:instrText>PAGEREF section_b3ef6d7b692d497c8c88e6cff3558e47</w:instrText>
      </w:r>
      <w:r>
        <w:fldChar w:fldCharType="separate"/>
      </w:r>
      <w:r>
        <w:rPr>
          <w:noProof/>
        </w:rPr>
        <w:t>508</w:t>
      </w:r>
      <w:r>
        <w:fldChar w:fldCharType="end"/>
      </w:r>
    </w:p>
    <w:p w:rsidR="005F78FC" w:rsidRDefault="00B42EF3">
      <w:pPr>
        <w:pStyle w:val="indexentry0"/>
      </w:pPr>
      <w:hyperlink w:anchor="section_a65b76db6abc49898cd1baa9a3500f6f">
        <w:r>
          <w:rPr>
            <w:rStyle w:val="Hyperlink"/>
          </w:rPr>
          <w:t>hlinkClick (Click Hyperlink)</w:t>
        </w:r>
      </w:hyperlink>
      <w:r>
        <w:t xml:space="preserve"> </w:t>
      </w:r>
      <w:r>
        <w:fldChar w:fldCharType="begin"/>
      </w:r>
      <w:r>
        <w:instrText>PAGEREF section_a65b76db6abc49898cd1baa9a3500f6f</w:instrText>
      </w:r>
      <w:r>
        <w:fldChar w:fldCharType="separate"/>
      </w:r>
      <w:r>
        <w:rPr>
          <w:noProof/>
        </w:rPr>
        <w:t>536</w:t>
      </w:r>
      <w:r>
        <w:fldChar w:fldCharType="end"/>
      </w:r>
    </w:p>
    <w:p w:rsidR="005F78FC" w:rsidRDefault="00B42EF3">
      <w:pPr>
        <w:pStyle w:val="indexentry0"/>
      </w:pPr>
      <w:hyperlink w:anchor="section_9ed01f1809cb47df94f37968e6f48bbf">
        <w:r>
          <w:rPr>
            <w:rStyle w:val="Hyperlink"/>
          </w:rPr>
          <w:t>hlinkHover (Hyperlink for Hover)</w:t>
        </w:r>
      </w:hyperlink>
      <w:r>
        <w:t xml:space="preserve"> </w:t>
      </w:r>
      <w:r>
        <w:fldChar w:fldCharType="begin"/>
      </w:r>
      <w:r>
        <w:instrText>PAGEREF section_9ed0</w:instrText>
      </w:r>
      <w:r>
        <w:instrText>1f1809cb47df94f37968e6f48bbf</w:instrText>
      </w:r>
      <w:r>
        <w:fldChar w:fldCharType="separate"/>
      </w:r>
      <w:r>
        <w:rPr>
          <w:noProof/>
        </w:rPr>
        <w:t>500</w:t>
      </w:r>
      <w:r>
        <w:fldChar w:fldCharType="end"/>
      </w:r>
    </w:p>
    <w:p w:rsidR="005F78FC" w:rsidRDefault="00B42EF3">
      <w:pPr>
        <w:pStyle w:val="indexentry0"/>
      </w:pPr>
      <w:hyperlink w:anchor="section_98300ab2307b45f49a00b98df349c87b">
        <w:r>
          <w:rPr>
            <w:rStyle w:val="Hyperlink"/>
          </w:rPr>
          <w:t>hlinkMouseOver (Mouse-Over Hyperlink)</w:t>
        </w:r>
      </w:hyperlink>
      <w:r>
        <w:t xml:space="preserve"> </w:t>
      </w:r>
      <w:r>
        <w:fldChar w:fldCharType="begin"/>
      </w:r>
      <w:r>
        <w:instrText>PAGEREF section_98300ab2307b45f49a00b98df349c87b</w:instrText>
      </w:r>
      <w:r>
        <w:fldChar w:fldCharType="separate"/>
      </w:r>
      <w:r>
        <w:rPr>
          <w:noProof/>
        </w:rPr>
        <w:t>538</w:t>
      </w:r>
      <w:r>
        <w:fldChar w:fldCharType="end"/>
      </w:r>
    </w:p>
    <w:p w:rsidR="005F78FC" w:rsidRDefault="00B42EF3">
      <w:pPr>
        <w:pStyle w:val="indexentry0"/>
      </w:pPr>
      <w:hyperlink w:anchor="section_17baf0f7f34b45789bf7ad584c5474c8">
        <w:r>
          <w:rPr>
            <w:rStyle w:val="Hyperlink"/>
          </w:rPr>
          <w:t>HLinks (Hy</w:t>
        </w:r>
        <w:r>
          <w:rPr>
            <w:rStyle w:val="Hyperlink"/>
          </w:rPr>
          <w:t>perlink List)</w:t>
        </w:r>
      </w:hyperlink>
      <w:r>
        <w:t xml:space="preserve"> </w:t>
      </w:r>
      <w:r>
        <w:fldChar w:fldCharType="begin"/>
      </w:r>
      <w:r>
        <w:instrText>PAGEREF section_17baf0f7f34b45789bf7ad584c5474c8</w:instrText>
      </w:r>
      <w:r>
        <w:fldChar w:fldCharType="separate"/>
      </w:r>
      <w:r>
        <w:rPr>
          <w:noProof/>
        </w:rPr>
        <w:t>609</w:t>
      </w:r>
      <w:r>
        <w:fldChar w:fldCharType="end"/>
      </w:r>
    </w:p>
    <w:p w:rsidR="005F78FC" w:rsidRDefault="00B42EF3">
      <w:pPr>
        <w:pStyle w:val="indexentry0"/>
      </w:pPr>
      <w:hyperlink w:anchor="section_a29a20868a8c4281ab65217dc7d563a4">
        <w:r>
          <w:rPr>
            <w:rStyle w:val="Hyperlink"/>
          </w:rPr>
          <w:t>HLOOKUP</w:t>
        </w:r>
      </w:hyperlink>
      <w:r>
        <w:t xml:space="preserve"> </w:t>
      </w:r>
      <w:r>
        <w:fldChar w:fldCharType="begin"/>
      </w:r>
      <w:r>
        <w:instrText>PAGEREF section_a29a20868a8c4281ab65217dc7d563a4</w:instrText>
      </w:r>
      <w:r>
        <w:fldChar w:fldCharType="separate"/>
      </w:r>
      <w:r>
        <w:rPr>
          <w:noProof/>
        </w:rPr>
        <w:t>426</w:t>
      </w:r>
      <w:r>
        <w:fldChar w:fldCharType="end"/>
      </w:r>
    </w:p>
    <w:p w:rsidR="005F78FC" w:rsidRDefault="00B42EF3">
      <w:pPr>
        <w:pStyle w:val="indexentry0"/>
      </w:pPr>
      <w:hyperlink w:anchor="section_49f64ef9632440b794adff5fe6d444a7">
        <w:r>
          <w:rPr>
            <w:rStyle w:val="Hyperlink"/>
          </w:rPr>
          <w:t>hMer</w:t>
        </w:r>
        <w:r>
          <w:rPr>
            <w:rStyle w:val="Hyperlink"/>
          </w:rPr>
          <w:t>ge (Horizontally Merged Cell)</w:t>
        </w:r>
      </w:hyperlink>
      <w:r>
        <w:t xml:space="preserve"> </w:t>
      </w:r>
      <w:r>
        <w:fldChar w:fldCharType="begin"/>
      </w:r>
      <w:r>
        <w:instrText>PAGEREF section_49f64ef9632440b794adff5fe6d444a7</w:instrText>
      </w:r>
      <w:r>
        <w:fldChar w:fldCharType="separate"/>
      </w:r>
      <w:r>
        <w:rPr>
          <w:noProof/>
        </w:rPr>
        <w:t>627</w:t>
      </w:r>
      <w:r>
        <w:fldChar w:fldCharType="end"/>
      </w:r>
    </w:p>
    <w:p w:rsidR="005F78FC" w:rsidRDefault="00B42EF3">
      <w:pPr>
        <w:pStyle w:val="indexentry0"/>
      </w:pPr>
      <w:hyperlink w:anchor="section_4d59213a27af49019006ff11f30589b4">
        <w:r>
          <w:rPr>
            <w:rStyle w:val="Hyperlink"/>
          </w:rPr>
          <w:t>hMode (Height Mode)</w:t>
        </w:r>
      </w:hyperlink>
      <w:r>
        <w:t xml:space="preserve"> </w:t>
      </w:r>
      <w:r>
        <w:fldChar w:fldCharType="begin"/>
      </w:r>
      <w:r>
        <w:instrText>PAGEREF section_4d59213a27af49019006ff11f30589b4</w:instrText>
      </w:r>
      <w:r>
        <w:fldChar w:fldCharType="separate"/>
      </w:r>
      <w:r>
        <w:rPr>
          <w:noProof/>
        </w:rPr>
        <w:t>556</w:t>
      </w:r>
      <w:r>
        <w:fldChar w:fldCharType="end"/>
      </w:r>
    </w:p>
    <w:p w:rsidR="005F78FC" w:rsidRDefault="00B42EF3">
      <w:pPr>
        <w:pStyle w:val="indexentry0"/>
      </w:pPr>
      <w:hyperlink w:anchor="section_21355c07074d42ba8c5e37e6f33692ac">
        <w:r>
          <w:rPr>
            <w:rStyle w:val="Hyperlink"/>
          </w:rPr>
          <w:t>holeSize (Hole Size)</w:t>
        </w:r>
      </w:hyperlink>
      <w:r>
        <w:t xml:space="preserve"> </w:t>
      </w:r>
      <w:r>
        <w:fldChar w:fldCharType="begin"/>
      </w:r>
      <w:r>
        <w:instrText>PAGEREF section_21355c07074d42ba8c5e37e6f33692ac</w:instrText>
      </w:r>
      <w:r>
        <w:fldChar w:fldCharType="separate"/>
      </w:r>
      <w:r>
        <w:rPr>
          <w:noProof/>
        </w:rPr>
        <w:t>556</w:t>
      </w:r>
      <w:r>
        <w:fldChar w:fldCharType="end"/>
      </w:r>
    </w:p>
    <w:p w:rsidR="005F78FC" w:rsidRDefault="00B42EF3">
      <w:pPr>
        <w:pStyle w:val="indexentry0"/>
      </w:pPr>
      <w:hyperlink w:anchor="section_a22736e370b841dfb203534630e5e253">
        <w:r>
          <w:rPr>
            <w:rStyle w:val="Hyperlink"/>
          </w:rPr>
          <w:t>Horiz (Scroll Bar Orientation)</w:t>
        </w:r>
      </w:hyperlink>
      <w:r>
        <w:t xml:space="preserve"> </w:t>
      </w:r>
      <w:r>
        <w:fldChar w:fldCharType="begin"/>
      </w:r>
      <w:r>
        <w:instrText>PAGEREF section_a22736e370</w:instrText>
      </w:r>
      <w:r>
        <w:instrText>b841dfb203534630e5e253</w:instrText>
      </w:r>
      <w:r>
        <w:fldChar w:fldCharType="separate"/>
      </w:r>
      <w:r>
        <w:rPr>
          <w:noProof/>
        </w:rPr>
        <w:t>681</w:t>
      </w:r>
      <w:r>
        <w:fldChar w:fldCharType="end"/>
      </w:r>
    </w:p>
    <w:p w:rsidR="005F78FC" w:rsidRDefault="00B42EF3">
      <w:pPr>
        <w:pStyle w:val="indexentry0"/>
      </w:pPr>
      <w:hyperlink w:anchor="section_ee1023c3257842ec982b0963e5328487">
        <w:r>
          <w:rPr>
            <w:rStyle w:val="Hyperlink"/>
          </w:rPr>
          <w:t>HorizontalResolution (Horizontal Resolution)</w:t>
        </w:r>
      </w:hyperlink>
      <w:r>
        <w:t xml:space="preserve"> </w:t>
      </w:r>
      <w:r>
        <w:fldChar w:fldCharType="begin"/>
      </w:r>
      <w:r>
        <w:instrText>PAGEREF section_ee1023c3257842ec982b0963e5328487</w:instrText>
      </w:r>
      <w:r>
        <w:fldChar w:fldCharType="separate"/>
      </w:r>
      <w:r>
        <w:rPr>
          <w:noProof/>
        </w:rPr>
        <w:t>886</w:t>
      </w:r>
      <w:r>
        <w:fldChar w:fldCharType="end"/>
      </w:r>
    </w:p>
    <w:p w:rsidR="005F78FC" w:rsidRDefault="00B42EF3">
      <w:pPr>
        <w:pStyle w:val="indexentry0"/>
      </w:pPr>
      <w:hyperlink w:anchor="section_dec36d7c644e4622821ef9e00c33e4ee">
        <w:r>
          <w:rPr>
            <w:rStyle w:val="Hyperlink"/>
          </w:rPr>
          <w:t>HOUR</w:t>
        </w:r>
      </w:hyperlink>
      <w:r>
        <w:t xml:space="preserve"> </w:t>
      </w:r>
      <w:r>
        <w:fldChar w:fldCharType="begin"/>
      </w:r>
      <w:r>
        <w:instrText>PAGEREF section_dec36d7c644e4622821ef9e00c33e4ee</w:instrText>
      </w:r>
      <w:r>
        <w:fldChar w:fldCharType="separate"/>
      </w:r>
      <w:r>
        <w:rPr>
          <w:noProof/>
        </w:rPr>
        <w:t>426</w:t>
      </w:r>
      <w:r>
        <w:fldChar w:fldCharType="end"/>
      </w:r>
    </w:p>
    <w:p w:rsidR="005F78FC" w:rsidRDefault="00B42EF3">
      <w:pPr>
        <w:pStyle w:val="indexentry0"/>
      </w:pPr>
      <w:hyperlink w:anchor="section_efdfd9b1197c426ba356d35c55a14eae">
        <w:r>
          <w:rPr>
            <w:rStyle w:val="Hyperlink"/>
          </w:rPr>
          <w:t>hPercent (Height Percent)</w:t>
        </w:r>
      </w:hyperlink>
      <w:r>
        <w:t xml:space="preserve"> </w:t>
      </w:r>
      <w:r>
        <w:fldChar w:fldCharType="begin"/>
      </w:r>
      <w:r>
        <w:instrText>PAGEREF section_efdfd9b1197c426ba356d35c55a14eae</w:instrText>
      </w:r>
      <w:r>
        <w:fldChar w:fldCharType="separate"/>
      </w:r>
      <w:r>
        <w:rPr>
          <w:noProof/>
        </w:rPr>
        <w:t>557</w:t>
      </w:r>
      <w:r>
        <w:fldChar w:fldCharType="end"/>
      </w:r>
    </w:p>
    <w:p w:rsidR="005F78FC" w:rsidRDefault="00B42EF3">
      <w:pPr>
        <w:pStyle w:val="indexentry0"/>
      </w:pPr>
      <w:hyperlink w:anchor="section_22f2ace97cdb4742a9ffcaf620a17baa">
        <w:r>
          <w:rPr>
            <w:rStyle w:val="Hyperlink"/>
          </w:rPr>
          <w:t>hp</w:t>
        </w:r>
        <w:r>
          <w:rPr>
            <w:rStyle w:val="Hyperlink"/>
          </w:rPr>
          <w:t>sRaise (Distance Between Phonetic Guide Text and Phonetic Guide Base Text)</w:t>
        </w:r>
      </w:hyperlink>
      <w:r>
        <w:t xml:space="preserve"> </w:t>
      </w:r>
      <w:r>
        <w:fldChar w:fldCharType="begin"/>
      </w:r>
      <w:r>
        <w:instrText>PAGEREF section_22f2ace97cdb4742a9ffcaf620a17baa</w:instrText>
      </w:r>
      <w:r>
        <w:fldChar w:fldCharType="separate"/>
      </w:r>
      <w:r>
        <w:rPr>
          <w:noProof/>
        </w:rPr>
        <w:t>82</w:t>
      </w:r>
      <w:r>
        <w:fldChar w:fldCharType="end"/>
      </w:r>
    </w:p>
    <w:p w:rsidR="005F78FC" w:rsidRDefault="00B42EF3">
      <w:pPr>
        <w:pStyle w:val="indexentry0"/>
      </w:pPr>
      <w:hyperlink w:anchor="section_83fd63d248604f1dbaa1a56f47841220">
        <w:r>
          <w:rPr>
            <w:rStyle w:val="Hyperlink"/>
          </w:rPr>
          <w:t>hsl (HSL)</w:t>
        </w:r>
      </w:hyperlink>
      <w:r>
        <w:t xml:space="preserve"> </w:t>
      </w:r>
      <w:r>
        <w:fldChar w:fldCharType="begin"/>
      </w:r>
      <w:r>
        <w:instrText>PAGEREF section_83fd63d248604f1dbaa1a56f47841220</w:instrText>
      </w:r>
      <w:r>
        <w:fldChar w:fldCharType="separate"/>
      </w:r>
      <w:r>
        <w:rPr>
          <w:noProof/>
        </w:rPr>
        <w:t>486</w:t>
      </w:r>
      <w:r>
        <w:fldChar w:fldCharType="end"/>
      </w:r>
    </w:p>
    <w:p w:rsidR="005F78FC" w:rsidRDefault="00B42EF3">
      <w:pPr>
        <w:pStyle w:val="indexentry0"/>
      </w:pPr>
      <w:hyperlink w:anchor="section_d5976d9d9727403c8c483560f8a6f016">
        <w:r>
          <w:rPr>
            <w:rStyle w:val="Hyperlink"/>
          </w:rPr>
          <w:t>hsl (Hue Saturation Luminance Effect)</w:t>
        </w:r>
      </w:hyperlink>
      <w:r>
        <w:t xml:space="preserve"> </w:t>
      </w:r>
      <w:r>
        <w:fldChar w:fldCharType="begin"/>
      </w:r>
      <w:r>
        <w:instrText>PAGEREF section_d5976d9d9727403c8c483560f8a6f016</w:instrText>
      </w:r>
      <w:r>
        <w:fldChar w:fldCharType="separate"/>
      </w:r>
      <w:r>
        <w:rPr>
          <w:noProof/>
        </w:rPr>
        <w:t>517</w:t>
      </w:r>
      <w:r>
        <w:fldChar w:fldCharType="end"/>
      </w:r>
    </w:p>
    <w:p w:rsidR="005F78FC" w:rsidRDefault="00B42EF3">
      <w:pPr>
        <w:pStyle w:val="indexentry0"/>
      </w:pPr>
      <w:hyperlink w:anchor="section_3b541eefc2ea41349e73932962cedf9f">
        <w:r>
          <w:rPr>
            <w:rStyle w:val="Hyperlink"/>
          </w:rPr>
          <w:t>hslClr (Hue - Saturation - Luminance Color M</w:t>
        </w:r>
        <w:r>
          <w:rPr>
            <w:rStyle w:val="Hyperlink"/>
          </w:rPr>
          <w:t>odel)</w:t>
        </w:r>
      </w:hyperlink>
      <w:r>
        <w:t xml:space="preserve"> </w:t>
      </w:r>
      <w:r>
        <w:fldChar w:fldCharType="begin"/>
      </w:r>
      <w:r>
        <w:instrText>PAGEREF section_3b541eefc2ea41349e73932962cedf9f</w:instrText>
      </w:r>
      <w:r>
        <w:fldChar w:fldCharType="separate"/>
      </w:r>
      <w:r>
        <w:rPr>
          <w:noProof/>
        </w:rPr>
        <w:t>503</w:t>
      </w:r>
      <w:r>
        <w:fldChar w:fldCharType="end"/>
      </w:r>
    </w:p>
    <w:p w:rsidR="005F78FC" w:rsidRDefault="00B42EF3">
      <w:pPr>
        <w:pStyle w:val="indexentry0"/>
      </w:pPr>
      <w:hyperlink w:anchor="section_6b2abb5b132d435c88e84f9c0294885f">
        <w:r>
          <w:rPr>
            <w:rStyle w:val="Hyperlink"/>
          </w:rPr>
          <w:t>hue (Hue)</w:t>
        </w:r>
      </w:hyperlink>
      <w:r>
        <w:t xml:space="preserve"> </w:t>
      </w:r>
      <w:r>
        <w:fldChar w:fldCharType="begin"/>
      </w:r>
      <w:r>
        <w:instrText>PAGEREF section_6b2abb5b132d435c88e84f9c0294885f</w:instrText>
      </w:r>
      <w:r>
        <w:fldChar w:fldCharType="separate"/>
      </w:r>
      <w:r>
        <w:rPr>
          <w:noProof/>
        </w:rPr>
        <w:t>504</w:t>
      </w:r>
      <w:r>
        <w:fldChar w:fldCharType="end"/>
      </w:r>
    </w:p>
    <w:p w:rsidR="005F78FC" w:rsidRDefault="00B42EF3">
      <w:pPr>
        <w:pStyle w:val="indexentry0"/>
      </w:pPr>
      <w:hyperlink w:anchor="section_bb6242e7b6c5458c97a46e01f8544fbc">
        <w:r>
          <w:rPr>
            <w:rStyle w:val="Hyperlink"/>
          </w:rPr>
          <w:t>hueMod (Hue Modulate)</w:t>
        </w:r>
      </w:hyperlink>
      <w:r>
        <w:t xml:space="preserve"> </w:t>
      </w:r>
      <w:r>
        <w:fldChar w:fldCharType="begin"/>
      </w:r>
      <w:r>
        <w:instrText>PAGEREF section_bb6242e7b6c5458c97a46e01f8544fbc</w:instrText>
      </w:r>
      <w:r>
        <w:fldChar w:fldCharType="separate"/>
      </w:r>
      <w:r>
        <w:rPr>
          <w:noProof/>
        </w:rPr>
        <w:t>504</w:t>
      </w:r>
      <w:r>
        <w:fldChar w:fldCharType="end"/>
      </w:r>
    </w:p>
    <w:p w:rsidR="005F78FC" w:rsidRDefault="00B42EF3">
      <w:pPr>
        <w:pStyle w:val="indexentry0"/>
      </w:pPr>
      <w:hyperlink w:anchor="section_2c21486a21e446728ef2c1a741771549">
        <w:r>
          <w:rPr>
            <w:rStyle w:val="Hyperlink"/>
          </w:rPr>
          <w:t>hueOff (Hue Offset)</w:t>
        </w:r>
      </w:hyperlink>
      <w:r>
        <w:t xml:space="preserve"> </w:t>
      </w:r>
      <w:r>
        <w:fldChar w:fldCharType="begin"/>
      </w:r>
      <w:r>
        <w:instrText>PAGEREF section_2c21486a21e446728ef2c1a741771549</w:instrText>
      </w:r>
      <w:r>
        <w:fldChar w:fldCharType="separate"/>
      </w:r>
      <w:r>
        <w:rPr>
          <w:noProof/>
        </w:rPr>
        <w:t>504</w:t>
      </w:r>
      <w:r>
        <w:fldChar w:fldCharType="end"/>
      </w:r>
    </w:p>
    <w:p w:rsidR="005F78FC" w:rsidRDefault="00B42EF3">
      <w:pPr>
        <w:pStyle w:val="indexentry0"/>
      </w:pPr>
      <w:hyperlink w:anchor="section_18b8b8de874c46dda4983ce5335d430a">
        <w:r>
          <w:rPr>
            <w:rStyle w:val="Hyperlink"/>
          </w:rPr>
          <w:t>HYPERLINK</w:t>
        </w:r>
      </w:hyperlink>
      <w:r>
        <w:t xml:space="preserve"> </w:t>
      </w:r>
      <w:r>
        <w:fldChar w:fldCharType="begin"/>
      </w:r>
      <w:r>
        <w:instrText>PAGEREF section_18b8b8de874c46dda4983ce5335d430a</w:instrText>
      </w:r>
      <w:r>
        <w:fldChar w:fldCharType="separate"/>
      </w:r>
      <w:r>
        <w:rPr>
          <w:noProof/>
        </w:rPr>
        <w:t>219</w:t>
      </w:r>
      <w:r>
        <w:fldChar w:fldCharType="end"/>
      </w:r>
    </w:p>
    <w:p w:rsidR="005F78FC" w:rsidRDefault="00B42EF3">
      <w:pPr>
        <w:pStyle w:val="indexentry0"/>
      </w:pPr>
      <w:r>
        <w:t>hyperlink (Hyperlink) (</w:t>
      </w:r>
      <w:hyperlink w:anchor="section_df06e42311a64a36bfb382139e531781">
        <w:r>
          <w:rPr>
            <w:rStyle w:val="Hyperlink"/>
          </w:rPr>
          <w:t>section 2.1.521</w:t>
        </w:r>
      </w:hyperlink>
      <w:r>
        <w:t xml:space="preserve"> </w:t>
      </w:r>
      <w:r>
        <w:fldChar w:fldCharType="begin"/>
      </w:r>
      <w:r>
        <w:instrText>PAGEREF section_df06e42311a64a36bfb382139e531781</w:instrText>
      </w:r>
      <w:r>
        <w:fldChar w:fldCharType="separate"/>
      </w:r>
      <w:r>
        <w:rPr>
          <w:noProof/>
        </w:rPr>
        <w:t>229</w:t>
      </w:r>
      <w:r>
        <w:fldChar w:fldCharType="end"/>
      </w:r>
      <w:r>
        <w:t xml:space="preserve">, </w:t>
      </w:r>
      <w:hyperlink w:anchor="section_842e6c5ecfaf4d168395a64547b5e22b">
        <w:r>
          <w:rPr>
            <w:rStyle w:val="Hyperlink"/>
          </w:rPr>
          <w:t>section 2.1.625</w:t>
        </w:r>
      </w:hyperlink>
      <w:r>
        <w:t xml:space="preserve"> </w:t>
      </w:r>
      <w:r>
        <w:fldChar w:fldCharType="begin"/>
      </w:r>
      <w:r>
        <w:instrText>PAGEREF section_842e6c5ecfaf4d168395a64547b5e22b</w:instrText>
      </w:r>
      <w:r>
        <w:fldChar w:fldCharType="separate"/>
      </w:r>
      <w:r>
        <w:rPr>
          <w:noProof/>
        </w:rPr>
        <w:t>266</w:t>
      </w:r>
      <w:r>
        <w:fldChar w:fldCharType="end"/>
      </w:r>
      <w:r>
        <w:t>)</w:t>
      </w:r>
    </w:p>
    <w:p w:rsidR="005F78FC" w:rsidRDefault="00B42EF3">
      <w:pPr>
        <w:pStyle w:val="indexentry0"/>
      </w:pPr>
      <w:hyperlink w:anchor="section_cc9e4bbd134f4d35b2c795fde8c633a7">
        <w:r>
          <w:rPr>
            <w:rStyle w:val="Hyperlink"/>
          </w:rPr>
          <w:t>hyperlink (Ruby Hyperlink)</w:t>
        </w:r>
      </w:hyperlink>
      <w:r>
        <w:t xml:space="preserve"> </w:t>
      </w:r>
      <w:r>
        <w:fldChar w:fldCharType="begin"/>
      </w:r>
      <w:r>
        <w:instrText>PAGEREF section_cc9e4bbd134f4d35b2c795fde8c633a7</w:instrText>
      </w:r>
      <w:r>
        <w:fldChar w:fldCharType="separate"/>
      </w:r>
      <w:r>
        <w:rPr>
          <w:noProof/>
        </w:rPr>
        <w:t>800</w:t>
      </w:r>
      <w:r>
        <w:fldChar w:fldCharType="end"/>
      </w:r>
    </w:p>
    <w:p w:rsidR="005F78FC" w:rsidRDefault="00B42EF3">
      <w:pPr>
        <w:pStyle w:val="indexentry0"/>
      </w:pPr>
      <w:hyperlink w:anchor="section_678b19e3244248e8968a61d46a51d2e0">
        <w:r>
          <w:rPr>
            <w:rStyle w:val="Hyperlink"/>
          </w:rPr>
          <w:t>hyphenationZone (Hyphenation Zone)</w:t>
        </w:r>
      </w:hyperlink>
      <w:r>
        <w:t xml:space="preserve"> </w:t>
      </w:r>
      <w:r>
        <w:fldChar w:fldCharType="begin"/>
      </w:r>
      <w:r>
        <w:instrText>PAGEREF section_678b19e3244248e8968a61d46a51d2e0</w:instrText>
      </w:r>
      <w:r>
        <w:fldChar w:fldCharType="separate"/>
      </w:r>
      <w:r>
        <w:rPr>
          <w:noProof/>
        </w:rPr>
        <w:t>158</w:t>
      </w:r>
      <w:r>
        <w:fldChar w:fldCharType="end"/>
      </w:r>
    </w:p>
    <w:p w:rsidR="005F78FC" w:rsidRDefault="005F78FC">
      <w:pPr>
        <w:spacing w:before="0" w:after="0"/>
        <w:rPr>
          <w:sz w:val="16"/>
        </w:rPr>
      </w:pPr>
    </w:p>
    <w:p w:rsidR="005F78FC" w:rsidRDefault="00B42EF3">
      <w:pPr>
        <w:pStyle w:val="indexheader"/>
      </w:pPr>
      <w:r>
        <w:t>I</w:t>
      </w:r>
    </w:p>
    <w:p w:rsidR="005F78FC" w:rsidRDefault="005F78FC">
      <w:pPr>
        <w:spacing w:before="0" w:after="0"/>
        <w:rPr>
          <w:sz w:val="16"/>
        </w:rPr>
      </w:pPr>
    </w:p>
    <w:p w:rsidR="005F78FC" w:rsidRDefault="00B42EF3">
      <w:pPr>
        <w:pStyle w:val="indexentry0"/>
      </w:pPr>
      <w:hyperlink w:anchor="section_1288dac9291e4330b7cd020a392632c4">
        <w:r>
          <w:rPr>
            <w:rStyle w:val="Hyperlink"/>
          </w:rPr>
          <w:t>i (Italics)</w:t>
        </w:r>
      </w:hyperlink>
      <w:r>
        <w:t xml:space="preserve"> </w:t>
      </w:r>
      <w:r>
        <w:fldChar w:fldCharType="begin"/>
      </w:r>
      <w:r>
        <w:instrText>PAGEREF section_1288dac9291e43</w:instrText>
      </w:r>
      <w:r>
        <w:instrText>30b7cd020a392632c4</w:instrText>
      </w:r>
      <w:r>
        <w:fldChar w:fldCharType="separate"/>
      </w:r>
      <w:r>
        <w:rPr>
          <w:noProof/>
        </w:rPr>
        <w:t>74</w:t>
      </w:r>
      <w:r>
        <w:fldChar w:fldCharType="end"/>
      </w:r>
    </w:p>
    <w:p w:rsidR="005F78FC" w:rsidRDefault="00B42EF3">
      <w:pPr>
        <w:pStyle w:val="indexentry0"/>
      </w:pPr>
      <w:hyperlink w:anchor="section_9ddef91206834190bad8456a7ddfca85">
        <w:r>
          <w:rPr>
            <w:rStyle w:val="Hyperlink"/>
          </w:rPr>
          <w:t>i (Row Items)</w:t>
        </w:r>
      </w:hyperlink>
      <w:r>
        <w:t xml:space="preserve"> </w:t>
      </w:r>
      <w:r>
        <w:fldChar w:fldCharType="begin"/>
      </w:r>
      <w:r>
        <w:instrText>PAGEREF section_9ddef91206834190bad8456a7ddfca85</w:instrText>
      </w:r>
      <w:r>
        <w:fldChar w:fldCharType="separate"/>
      </w:r>
      <w:r>
        <w:rPr>
          <w:noProof/>
        </w:rPr>
        <w:t>339</w:t>
      </w:r>
      <w:r>
        <w:fldChar w:fldCharType="end"/>
      </w:r>
    </w:p>
    <w:p w:rsidR="005F78FC" w:rsidRDefault="00B42EF3">
      <w:pPr>
        <w:pStyle w:val="indexentry0"/>
      </w:pPr>
      <w:hyperlink w:anchor="section_05446a4887db4862bbb94fbf551e51e1">
        <w:r>
          <w:rPr>
            <w:rStyle w:val="Hyperlink"/>
          </w:rPr>
          <w:t>iconFilter (Icon Filter)</w:t>
        </w:r>
      </w:hyperlink>
      <w:r>
        <w:t xml:space="preserve"> </w:t>
      </w:r>
      <w:r>
        <w:fldChar w:fldCharType="begin"/>
      </w:r>
      <w:r>
        <w:instrText>PAGEREF section_05446a4887db4862bbb94fbf551e51e1</w:instrText>
      </w:r>
      <w:r>
        <w:fldChar w:fldCharType="separate"/>
      </w:r>
      <w:r>
        <w:rPr>
          <w:noProof/>
        </w:rPr>
        <w:t>292</w:t>
      </w:r>
      <w:r>
        <w:fldChar w:fldCharType="end"/>
      </w:r>
    </w:p>
    <w:p w:rsidR="005F78FC" w:rsidRDefault="00B42EF3">
      <w:pPr>
        <w:pStyle w:val="indexentry0"/>
      </w:pPr>
      <w:hyperlink w:anchor="section_22f74ff1babf4b338095058fc001c105">
        <w:r>
          <w:rPr>
            <w:rStyle w:val="Hyperlink"/>
          </w:rPr>
          <w:t>iCs (Complex Script Italics)</w:t>
        </w:r>
      </w:hyperlink>
      <w:r>
        <w:t xml:space="preserve"> </w:t>
      </w:r>
      <w:r>
        <w:fldChar w:fldCharType="begin"/>
      </w:r>
      <w:r>
        <w:instrText>PAGEREF section_22f74ff1babf4b338095058fc001c105</w:instrText>
      </w:r>
      <w:r>
        <w:fldChar w:fldCharType="separate"/>
      </w:r>
      <w:r>
        <w:rPr>
          <w:noProof/>
        </w:rPr>
        <w:t>75</w:t>
      </w:r>
      <w:r>
        <w:fldChar w:fldCharType="end"/>
      </w:r>
    </w:p>
    <w:p w:rsidR="005F78FC" w:rsidRDefault="00B42EF3">
      <w:pPr>
        <w:pStyle w:val="indexentry0"/>
      </w:pPr>
      <w:hyperlink w:anchor="section_1bc668d079434affb0ab5debbec78e1d">
        <w:r>
          <w:rPr>
            <w:rStyle w:val="Hyperlink"/>
          </w:rPr>
          <w:t>id (Unique ID)</w:t>
        </w:r>
      </w:hyperlink>
      <w:r>
        <w:t xml:space="preserve"> </w:t>
      </w:r>
      <w:r>
        <w:fldChar w:fldCharType="begin"/>
      </w:r>
      <w:r>
        <w:instrText>PAGEREF section_1bc668d079434affb0ab5debbec78e1d</w:instrText>
      </w:r>
      <w:r>
        <w:fldChar w:fldCharType="separate"/>
      </w:r>
      <w:r>
        <w:rPr>
          <w:noProof/>
        </w:rPr>
        <w:t>101</w:t>
      </w:r>
      <w:r>
        <w:fldChar w:fldCharType="end"/>
      </w:r>
    </w:p>
    <w:p w:rsidR="005F78FC" w:rsidRDefault="00B42EF3">
      <w:pPr>
        <w:pStyle w:val="indexentry0"/>
      </w:pPr>
      <w:hyperlink w:anchor="section_d6a35fd178c64d449ee9d71317adf673">
        <w:r>
          <w:rPr>
            <w:rStyle w:val="Hyperlink"/>
          </w:rPr>
          <w:t>idmap (Shape ID Map)</w:t>
        </w:r>
      </w:hyperlink>
      <w:r>
        <w:t xml:space="preserve"> </w:t>
      </w:r>
      <w:r>
        <w:fldChar w:fldCharType="begin"/>
      </w:r>
      <w:r>
        <w:instrText>PAGEREF section_d6a35fd178c64d449ee9d71317adf673</w:instrText>
      </w:r>
      <w:r>
        <w:fldChar w:fldCharType="separate"/>
      </w:r>
      <w:r>
        <w:rPr>
          <w:noProof/>
        </w:rPr>
        <w:t>671</w:t>
      </w:r>
      <w:r>
        <w:fldChar w:fldCharType="end"/>
      </w:r>
    </w:p>
    <w:p w:rsidR="005F78FC" w:rsidRDefault="00B42EF3">
      <w:pPr>
        <w:pStyle w:val="indexentry0"/>
      </w:pPr>
      <w:hyperlink w:anchor="section_6ceb7cd840d84c6695fa130240a4a22a">
        <w:r>
          <w:rPr>
            <w:rStyle w:val="Hyperlink"/>
          </w:rPr>
          <w:t>idx (Index)</w:t>
        </w:r>
      </w:hyperlink>
      <w:r>
        <w:t xml:space="preserve"> </w:t>
      </w:r>
      <w:r>
        <w:fldChar w:fldCharType="begin"/>
      </w:r>
      <w:r>
        <w:instrText>PAGEREF section_6ceb7cd840d84c6695fa130240a4a22a</w:instrText>
      </w:r>
      <w:r>
        <w:fldChar w:fldCharType="separate"/>
      </w:r>
      <w:r>
        <w:rPr>
          <w:noProof/>
        </w:rPr>
        <w:t>557</w:t>
      </w:r>
      <w:r>
        <w:fldChar w:fldCharType="end"/>
      </w:r>
    </w:p>
    <w:p w:rsidR="005F78FC" w:rsidRDefault="00B42EF3">
      <w:pPr>
        <w:pStyle w:val="indexentry0"/>
      </w:pPr>
      <w:r>
        <w:t>IF (</w:t>
      </w:r>
      <w:hyperlink w:anchor="section_e7feed5302724346ac5c26342d8dfdf5">
        <w:r>
          <w:rPr>
            <w:rStyle w:val="Hyperlink"/>
          </w:rPr>
          <w:t>section 2.1.478</w:t>
        </w:r>
      </w:hyperlink>
      <w:r>
        <w:t xml:space="preserve"> </w:t>
      </w:r>
      <w:r>
        <w:fldChar w:fldCharType="begin"/>
      </w:r>
      <w:r>
        <w:instrText>PAGEREF section_e7feed5302724346ac5c26342d8dfdf5</w:instrText>
      </w:r>
      <w:r>
        <w:fldChar w:fldCharType="separate"/>
      </w:r>
      <w:r>
        <w:rPr>
          <w:noProof/>
        </w:rPr>
        <w:t>219</w:t>
      </w:r>
      <w:r>
        <w:fldChar w:fldCharType="end"/>
      </w:r>
      <w:r>
        <w:t xml:space="preserve">, </w:t>
      </w:r>
      <w:hyperlink w:anchor="section_10cbd87900d34a2e9f3234b7ecab1d49">
        <w:r>
          <w:rPr>
            <w:rStyle w:val="Hyperlink"/>
          </w:rPr>
          <w:t>section 2.1.962</w:t>
        </w:r>
      </w:hyperlink>
      <w:r>
        <w:t xml:space="preserve"> </w:t>
      </w:r>
      <w:r>
        <w:fldChar w:fldCharType="begin"/>
      </w:r>
      <w:r>
        <w:instrText>PAGEREF section_10cbd87900d34a2e9f3234b7ecab1d49</w:instrText>
      </w:r>
      <w:r>
        <w:fldChar w:fldCharType="separate"/>
      </w:r>
      <w:r>
        <w:rPr>
          <w:noProof/>
        </w:rPr>
        <w:t>427</w:t>
      </w:r>
      <w:r>
        <w:fldChar w:fldCharType="end"/>
      </w:r>
      <w:r>
        <w:t>)</w:t>
      </w:r>
    </w:p>
    <w:p w:rsidR="005F78FC" w:rsidRDefault="00B42EF3">
      <w:pPr>
        <w:pStyle w:val="indexentry0"/>
      </w:pPr>
      <w:hyperlink w:anchor="section_7311ea9061a4418aa67ac5a29a456273">
        <w:r>
          <w:rPr>
            <w:rStyle w:val="Hyperlink"/>
          </w:rPr>
          <w:t>IFERROR</w:t>
        </w:r>
      </w:hyperlink>
      <w:r>
        <w:t xml:space="preserve"> </w:t>
      </w:r>
      <w:r>
        <w:fldChar w:fldCharType="begin"/>
      </w:r>
      <w:r>
        <w:instrText>PAGEREF section_7311ea9061a4418aa67ac5a29a456273</w:instrText>
      </w:r>
      <w:r>
        <w:fldChar w:fldCharType="separate"/>
      </w:r>
      <w:r>
        <w:rPr>
          <w:noProof/>
        </w:rPr>
        <w:t>427</w:t>
      </w:r>
      <w:r>
        <w:fldChar w:fldCharType="end"/>
      </w:r>
    </w:p>
    <w:p w:rsidR="005F78FC" w:rsidRDefault="00B42EF3">
      <w:pPr>
        <w:pStyle w:val="indexentry0"/>
      </w:pPr>
      <w:hyperlink w:anchor="section_68d330fe5d134f51a64f8fea06399023">
        <w:r>
          <w:rPr>
            <w:rStyle w:val="Hyperlink"/>
          </w:rPr>
          <w:t>ignoredError (Ignored Error)</w:t>
        </w:r>
      </w:hyperlink>
      <w:r>
        <w:t xml:space="preserve"> </w:t>
      </w:r>
      <w:r>
        <w:fldChar w:fldCharType="begin"/>
      </w:r>
      <w:r>
        <w:instrText>PAGEREF section_68d330fe5d134f51a64f8fea06399023</w:instrText>
      </w:r>
      <w:r>
        <w:fldChar w:fldCharType="separate"/>
      </w:r>
      <w:r>
        <w:rPr>
          <w:noProof/>
        </w:rPr>
        <w:t>266</w:t>
      </w:r>
      <w:r>
        <w:fldChar w:fldCharType="end"/>
      </w:r>
    </w:p>
    <w:p w:rsidR="005F78FC" w:rsidRDefault="00B42EF3">
      <w:pPr>
        <w:pStyle w:val="indexentry0"/>
      </w:pPr>
      <w:hyperlink w:anchor="section_cdd4f652cf064ebcad4ba9d647ff7888">
        <w:r>
          <w:rPr>
            <w:rStyle w:val="Hyperlink"/>
          </w:rPr>
          <w:t>ignoredErrors (Ignored Errors)</w:t>
        </w:r>
      </w:hyperlink>
      <w:r>
        <w:t xml:space="preserve"> </w:t>
      </w:r>
      <w:r>
        <w:fldChar w:fldCharType="begin"/>
      </w:r>
      <w:r>
        <w:instrText>PAGEREF section_cdd4f652cf064ebcad4ba9d647ff7888</w:instrText>
      </w:r>
      <w:r>
        <w:fldChar w:fldCharType="separate"/>
      </w:r>
      <w:r>
        <w:rPr>
          <w:noProof/>
        </w:rPr>
        <w:t>267</w:t>
      </w:r>
      <w:r>
        <w:fldChar w:fldCharType="end"/>
      </w:r>
    </w:p>
    <w:p w:rsidR="005F78FC" w:rsidRDefault="00B42EF3">
      <w:pPr>
        <w:pStyle w:val="indexentry0"/>
      </w:pPr>
      <w:hyperlink w:anchor="section_b7139e3b7f1f43d18df72022ec0c2c2d">
        <w:r>
          <w:rPr>
            <w:rStyle w:val="Hyperlink"/>
          </w:rPr>
          <w:t>ilvl (Numbering Level Reference)</w:t>
        </w:r>
      </w:hyperlink>
      <w:r>
        <w:t xml:space="preserve"> </w:t>
      </w:r>
      <w:r>
        <w:fldChar w:fldCharType="begin"/>
      </w:r>
      <w:r>
        <w:instrText>PAGEREF section_b7139e3b7f1f43d18df72022ec0c2c2d</w:instrText>
      </w:r>
      <w:r>
        <w:fldChar w:fldCharType="separate"/>
      </w:r>
      <w:r>
        <w:rPr>
          <w:noProof/>
        </w:rPr>
        <w:t>126</w:t>
      </w:r>
      <w:r>
        <w:fldChar w:fldCharType="end"/>
      </w:r>
    </w:p>
    <w:p w:rsidR="005F78FC" w:rsidRDefault="00B42EF3">
      <w:pPr>
        <w:pStyle w:val="indexentry0"/>
      </w:pPr>
      <w:hyperlink w:anchor="section_65100e2931e94e27972d9bf589fea5be">
        <w:r>
          <w:rPr>
            <w:rStyle w:val="Hyperlink"/>
          </w:rPr>
          <w:t>image (Image File)</w:t>
        </w:r>
      </w:hyperlink>
      <w:r>
        <w:t xml:space="preserve"> </w:t>
      </w:r>
      <w:r>
        <w:fldChar w:fldCharType="begin"/>
      </w:r>
      <w:r>
        <w:instrText>PAGEREF section_65100e2931</w:instrText>
      </w:r>
      <w:r>
        <w:instrText>e94e27972d9bf589fea5be</w:instrText>
      </w:r>
      <w:r>
        <w:fldChar w:fldCharType="separate"/>
      </w:r>
      <w:r>
        <w:rPr>
          <w:noProof/>
        </w:rPr>
        <w:t>647</w:t>
      </w:r>
      <w:r>
        <w:fldChar w:fldCharType="end"/>
      </w:r>
    </w:p>
    <w:p w:rsidR="005F78FC" w:rsidRDefault="00B42EF3">
      <w:pPr>
        <w:pStyle w:val="indexentry0"/>
      </w:pPr>
      <w:hyperlink w:anchor="section_bc8ed1a051414dbcbc98d7bb41712df8">
        <w:r>
          <w:rPr>
            <w:rStyle w:val="Hyperlink"/>
          </w:rPr>
          <w:t>Image Part</w:t>
        </w:r>
      </w:hyperlink>
      <w:r>
        <w:t xml:space="preserve"> </w:t>
      </w:r>
      <w:r>
        <w:fldChar w:fldCharType="begin"/>
      </w:r>
      <w:r>
        <w:instrText>PAGEREF section_bc8ed1a051414dbcbc98d7bb41712df8</w:instrText>
      </w:r>
      <w:r>
        <w:fldChar w:fldCharType="separate"/>
      </w:r>
      <w:r>
        <w:rPr>
          <w:noProof/>
        </w:rPr>
        <w:t>64</w:t>
      </w:r>
      <w:r>
        <w:fldChar w:fldCharType="end"/>
      </w:r>
    </w:p>
    <w:p w:rsidR="005F78FC" w:rsidRDefault="00B42EF3">
      <w:pPr>
        <w:pStyle w:val="indexentry0"/>
      </w:pPr>
      <w:hyperlink w:anchor="section_eba6e7671fa143e3b8ae7ea30c1f4972">
        <w:r>
          <w:rPr>
            <w:rStyle w:val="Hyperlink"/>
          </w:rPr>
          <w:t>imagedata (Image Data)</w:t>
        </w:r>
      </w:hyperlink>
      <w:r>
        <w:t xml:space="preserve"> </w:t>
      </w:r>
      <w:r>
        <w:fldChar w:fldCharType="begin"/>
      </w:r>
      <w:r>
        <w:instrText>PAGEREF section_eb</w:instrText>
      </w:r>
      <w:r>
        <w:instrText>a6e7671fa143e3b8ae7ea30c1f4972</w:instrText>
      </w:r>
      <w:r>
        <w:fldChar w:fldCharType="separate"/>
      </w:r>
      <w:r>
        <w:rPr>
          <w:noProof/>
        </w:rPr>
        <w:t>648</w:t>
      </w:r>
      <w:r>
        <w:fldChar w:fldCharType="end"/>
      </w:r>
    </w:p>
    <w:p w:rsidR="005F78FC" w:rsidRDefault="00B42EF3">
      <w:pPr>
        <w:pStyle w:val="indexentry0"/>
      </w:pPr>
      <w:hyperlink w:anchor="section_2367967f202d49569278f2ba1e5afe7f">
        <w:r>
          <w:rPr>
            <w:rStyle w:val="Hyperlink"/>
          </w:rPr>
          <w:t>IMARGUMENT</w:t>
        </w:r>
      </w:hyperlink>
      <w:r>
        <w:t xml:space="preserve"> </w:t>
      </w:r>
      <w:r>
        <w:fldChar w:fldCharType="begin"/>
      </w:r>
      <w:r>
        <w:instrText>PAGEREF section_2367967f202d49569278f2ba1e5afe7f</w:instrText>
      </w:r>
      <w:r>
        <w:fldChar w:fldCharType="separate"/>
      </w:r>
      <w:r>
        <w:rPr>
          <w:noProof/>
        </w:rPr>
        <w:t>427</w:t>
      </w:r>
      <w:r>
        <w:fldChar w:fldCharType="end"/>
      </w:r>
    </w:p>
    <w:p w:rsidR="005F78FC" w:rsidRDefault="00B42EF3">
      <w:pPr>
        <w:pStyle w:val="indexentry0"/>
      </w:pPr>
      <w:hyperlink w:anchor="section_bd714073b3d34e4da8ab9ae68871d9d6">
        <w:r>
          <w:rPr>
            <w:rStyle w:val="Hyperlink"/>
          </w:rPr>
          <w:t>IMDIV</w:t>
        </w:r>
      </w:hyperlink>
      <w:r>
        <w:t xml:space="preserve"> </w:t>
      </w:r>
      <w:r>
        <w:fldChar w:fldCharType="begin"/>
      </w:r>
      <w:r>
        <w:instrText>PAGEREF section_bd714073b3d</w:instrText>
      </w:r>
      <w:r>
        <w:instrText>34e4da8ab9ae68871d9d6</w:instrText>
      </w:r>
      <w:r>
        <w:fldChar w:fldCharType="separate"/>
      </w:r>
      <w:r>
        <w:rPr>
          <w:noProof/>
        </w:rPr>
        <w:t>427</w:t>
      </w:r>
      <w:r>
        <w:fldChar w:fldCharType="end"/>
      </w:r>
    </w:p>
    <w:p w:rsidR="005F78FC" w:rsidRDefault="00B42EF3">
      <w:pPr>
        <w:pStyle w:val="indexentry0"/>
      </w:pPr>
      <w:hyperlink w:anchor="section_b1fb964ee5ea4e10ad72e10986208e92">
        <w:r>
          <w:rPr>
            <w:rStyle w:val="Hyperlink"/>
          </w:rPr>
          <w:t>IMLN</w:t>
        </w:r>
      </w:hyperlink>
      <w:r>
        <w:t xml:space="preserve"> </w:t>
      </w:r>
      <w:r>
        <w:fldChar w:fldCharType="begin"/>
      </w:r>
      <w:r>
        <w:instrText>PAGEREF section_b1fb964ee5ea4e10ad72e10986208e92</w:instrText>
      </w:r>
      <w:r>
        <w:fldChar w:fldCharType="separate"/>
      </w:r>
      <w:r>
        <w:rPr>
          <w:noProof/>
        </w:rPr>
        <w:t>427</w:t>
      </w:r>
      <w:r>
        <w:fldChar w:fldCharType="end"/>
      </w:r>
    </w:p>
    <w:p w:rsidR="005F78FC" w:rsidRDefault="00B42EF3">
      <w:pPr>
        <w:pStyle w:val="indexentry0"/>
      </w:pPr>
      <w:hyperlink w:anchor="section_2395740104484810972b2832c8918aaa">
        <w:r>
          <w:rPr>
            <w:rStyle w:val="Hyperlink"/>
          </w:rPr>
          <w:t>IMLOG10</w:t>
        </w:r>
      </w:hyperlink>
      <w:r>
        <w:t xml:space="preserve"> </w:t>
      </w:r>
      <w:r>
        <w:fldChar w:fldCharType="begin"/>
      </w:r>
      <w:r>
        <w:instrText>PAGEREF section_2395740104484810972b2832</w:instrText>
      </w:r>
      <w:r>
        <w:instrText>c8918aaa</w:instrText>
      </w:r>
      <w:r>
        <w:fldChar w:fldCharType="separate"/>
      </w:r>
      <w:r>
        <w:rPr>
          <w:noProof/>
        </w:rPr>
        <w:t>427</w:t>
      </w:r>
      <w:r>
        <w:fldChar w:fldCharType="end"/>
      </w:r>
    </w:p>
    <w:p w:rsidR="005F78FC" w:rsidRDefault="00B42EF3">
      <w:pPr>
        <w:pStyle w:val="indexentry0"/>
      </w:pPr>
      <w:hyperlink w:anchor="section_53a80498b5bf4e9391ce44621001750c">
        <w:r>
          <w:rPr>
            <w:rStyle w:val="Hyperlink"/>
          </w:rPr>
          <w:t>IMLOG2</w:t>
        </w:r>
      </w:hyperlink>
      <w:r>
        <w:t xml:space="preserve"> </w:t>
      </w:r>
      <w:r>
        <w:fldChar w:fldCharType="begin"/>
      </w:r>
      <w:r>
        <w:instrText>PAGEREF section_53a80498b5bf4e9391ce44621001750c</w:instrText>
      </w:r>
      <w:r>
        <w:fldChar w:fldCharType="separate"/>
      </w:r>
      <w:r>
        <w:rPr>
          <w:noProof/>
        </w:rPr>
        <w:t>428</w:t>
      </w:r>
      <w:r>
        <w:fldChar w:fldCharType="end"/>
      </w:r>
    </w:p>
    <w:p w:rsidR="005F78FC" w:rsidRDefault="00B42EF3">
      <w:pPr>
        <w:pStyle w:val="indexentry0"/>
      </w:pPr>
      <w:hyperlink w:anchor="section_abc02456ec344da29bd1fccd0bee1ee0">
        <w:r>
          <w:rPr>
            <w:rStyle w:val="Hyperlink"/>
          </w:rPr>
          <w:t>IMPORT</w:t>
        </w:r>
      </w:hyperlink>
      <w:r>
        <w:t xml:space="preserve"> </w:t>
      </w:r>
      <w:r>
        <w:fldChar w:fldCharType="begin"/>
      </w:r>
      <w:r>
        <w:instrText>PAGEREF section_abc02456ec344da29bd1fccd0bee1ee0</w:instrText>
      </w:r>
      <w:r>
        <w:fldChar w:fldCharType="separate"/>
      </w:r>
      <w:r>
        <w:rPr>
          <w:noProof/>
        </w:rPr>
        <w:t>819</w:t>
      </w:r>
      <w:r>
        <w:fldChar w:fldCharType="end"/>
      </w:r>
    </w:p>
    <w:p w:rsidR="005F78FC" w:rsidRDefault="00B42EF3">
      <w:pPr>
        <w:pStyle w:val="indexentry0"/>
      </w:pPr>
      <w:hyperlink w:anchor="section_316e6d911f1645cd9ef2b7b817e30f9f">
        <w:r>
          <w:rPr>
            <w:rStyle w:val="Hyperlink"/>
          </w:rPr>
          <w:t>IMPOWER</w:t>
        </w:r>
      </w:hyperlink>
      <w:r>
        <w:t xml:space="preserve"> </w:t>
      </w:r>
      <w:r>
        <w:fldChar w:fldCharType="begin"/>
      </w:r>
      <w:r>
        <w:instrText>PAGEREF section_316e6d911f1645cd9ef2b7b817e30f9f</w:instrText>
      </w:r>
      <w:r>
        <w:fldChar w:fldCharType="separate"/>
      </w:r>
      <w:r>
        <w:rPr>
          <w:noProof/>
        </w:rPr>
        <w:t>428</w:t>
      </w:r>
      <w:r>
        <w:fldChar w:fldCharType="end"/>
      </w:r>
    </w:p>
    <w:p w:rsidR="005F78FC" w:rsidRDefault="00B42EF3">
      <w:pPr>
        <w:pStyle w:val="indexentry0"/>
      </w:pPr>
      <w:hyperlink w:anchor="section_1b1a3ab800294944aa76f1e7188c9447">
        <w:r>
          <w:rPr>
            <w:rStyle w:val="Hyperlink"/>
          </w:rPr>
          <w:t>imprint (Imprinting)</w:t>
        </w:r>
      </w:hyperlink>
      <w:r>
        <w:t xml:space="preserve"> </w:t>
      </w:r>
      <w:r>
        <w:fldChar w:fldCharType="begin"/>
      </w:r>
      <w:r>
        <w:instrText>PAGEREF section_1b1a3ab800294944aa76f1e7188c9447</w:instrText>
      </w:r>
      <w:r>
        <w:fldChar w:fldCharType="separate"/>
      </w:r>
      <w:r>
        <w:rPr>
          <w:noProof/>
        </w:rPr>
        <w:t>75</w:t>
      </w:r>
      <w:r>
        <w:fldChar w:fldCharType="end"/>
      </w:r>
    </w:p>
    <w:p w:rsidR="005F78FC" w:rsidRDefault="00B42EF3">
      <w:pPr>
        <w:pStyle w:val="indexentry0"/>
      </w:pPr>
      <w:hyperlink w:anchor="section_d62977af731d4533a681028c97121b2b">
        <w:r>
          <w:rPr>
            <w:rStyle w:val="Hyperlink"/>
          </w:rPr>
          <w:t>IMSIN</w:t>
        </w:r>
      </w:hyperlink>
      <w:r>
        <w:t xml:space="preserve"> </w:t>
      </w:r>
      <w:r>
        <w:fldChar w:fldCharType="begin"/>
      </w:r>
      <w:r>
        <w:instrText>PAGEREF section_d62977af731d4533a681028c97121b2b</w:instrText>
      </w:r>
      <w:r>
        <w:fldChar w:fldCharType="separate"/>
      </w:r>
      <w:r>
        <w:rPr>
          <w:noProof/>
        </w:rPr>
        <w:t>428</w:t>
      </w:r>
      <w:r>
        <w:fldChar w:fldCharType="end"/>
      </w:r>
    </w:p>
    <w:p w:rsidR="005F78FC" w:rsidRDefault="00B42EF3">
      <w:pPr>
        <w:pStyle w:val="indexentry0"/>
      </w:pPr>
      <w:hyperlink w:anchor="section_eef4f9053db747d085bdf4e3634e9cee">
        <w:r>
          <w:rPr>
            <w:rStyle w:val="Hyperlink"/>
          </w:rPr>
          <w:t>IMSQRT</w:t>
        </w:r>
      </w:hyperlink>
      <w:r>
        <w:t xml:space="preserve"> </w:t>
      </w:r>
      <w:r>
        <w:fldChar w:fldCharType="begin"/>
      </w:r>
      <w:r>
        <w:instrText>PAGEREF section_eef4f9053db747d085bdf4e3634e9cee</w:instrText>
      </w:r>
      <w:r>
        <w:fldChar w:fldCharType="separate"/>
      </w:r>
      <w:r>
        <w:rPr>
          <w:noProof/>
        </w:rPr>
        <w:t>428</w:t>
      </w:r>
      <w:r>
        <w:fldChar w:fldCharType="end"/>
      </w:r>
    </w:p>
    <w:p w:rsidR="005F78FC" w:rsidRDefault="00B42EF3">
      <w:pPr>
        <w:pStyle w:val="indexentry0"/>
      </w:pPr>
      <w:hyperlink w:anchor="section_ccda6c59abc6448f9609c5514582b169">
        <w:r>
          <w:rPr>
            <w:rStyle w:val="Hyperlink"/>
          </w:rPr>
          <w:t>Inc (Scroll Bar Increment)</w:t>
        </w:r>
      </w:hyperlink>
      <w:r>
        <w:t xml:space="preserve"> </w:t>
      </w:r>
      <w:r>
        <w:fldChar w:fldCharType="begin"/>
      </w:r>
      <w:r>
        <w:instrText>PAGEREF section_ccda6c59abc6448f9609c5514582b169</w:instrText>
      </w:r>
      <w:r>
        <w:fldChar w:fldCharType="separate"/>
      </w:r>
      <w:r>
        <w:rPr>
          <w:noProof/>
        </w:rPr>
        <w:t>681</w:t>
      </w:r>
      <w:r>
        <w:fldChar w:fldCharType="end"/>
      </w:r>
    </w:p>
    <w:p w:rsidR="005F78FC" w:rsidRDefault="00B42EF3">
      <w:pPr>
        <w:pStyle w:val="indexentry0"/>
      </w:pPr>
      <w:hyperlink w:anchor="section_163bafc130cd4c6bb324326da7b283c7">
        <w:r>
          <w:rPr>
            <w:rStyle w:val="Hyperlink"/>
          </w:rPr>
          <w:t>INCLUDE</w:t>
        </w:r>
      </w:hyperlink>
      <w:r>
        <w:t xml:space="preserve"> </w:t>
      </w:r>
      <w:r>
        <w:fldChar w:fldCharType="begin"/>
      </w:r>
      <w:r>
        <w:instrText>PAGEREF section_163bafc130cd4c6bb324326da7b283c7</w:instrText>
      </w:r>
      <w:r>
        <w:fldChar w:fldCharType="separate"/>
      </w:r>
      <w:r>
        <w:rPr>
          <w:noProof/>
        </w:rPr>
        <w:t>819</w:t>
      </w:r>
      <w:r>
        <w:fldChar w:fldCharType="end"/>
      </w:r>
    </w:p>
    <w:p w:rsidR="005F78FC" w:rsidRDefault="00B42EF3">
      <w:pPr>
        <w:pStyle w:val="indexentry0"/>
      </w:pPr>
      <w:hyperlink w:anchor="section_dc700ec9797b4edb9bdf9338fc93d797">
        <w:r>
          <w:rPr>
            <w:rStyle w:val="Hyperlink"/>
          </w:rPr>
          <w:t>INCLUDETEXT</w:t>
        </w:r>
      </w:hyperlink>
      <w:r>
        <w:t xml:space="preserve"> </w:t>
      </w:r>
      <w:r>
        <w:fldChar w:fldCharType="begin"/>
      </w:r>
      <w:r>
        <w:instrText>PAGEREF section_dc700ec9797b4edb9bdf9338fc93d797</w:instrText>
      </w:r>
      <w:r>
        <w:fldChar w:fldCharType="separate"/>
      </w:r>
      <w:r>
        <w:rPr>
          <w:noProof/>
        </w:rPr>
        <w:t>219</w:t>
      </w:r>
      <w:r>
        <w:fldChar w:fldCharType="end"/>
      </w:r>
    </w:p>
    <w:p w:rsidR="005F78FC" w:rsidRDefault="00B42EF3">
      <w:pPr>
        <w:pStyle w:val="indexentry0"/>
      </w:pPr>
      <w:hyperlink w:anchor="section_138732dc507a4164af66808c2fd9f2f9">
        <w:r>
          <w:rPr>
            <w:rStyle w:val="Hyperlink"/>
          </w:rPr>
          <w:t>ind (Paragraph Indentation)</w:t>
        </w:r>
      </w:hyperlink>
      <w:r>
        <w:t xml:space="preserve"> </w:t>
      </w:r>
      <w:r>
        <w:fldChar w:fldCharType="begin"/>
      </w:r>
      <w:r>
        <w:instrText>PAGEREF section_138732dc507a4164af66808</w:instrText>
      </w:r>
      <w:r>
        <w:instrText>c2fd9f2f9</w:instrText>
      </w:r>
      <w:r>
        <w:fldChar w:fldCharType="separate"/>
      </w:r>
      <w:r>
        <w:rPr>
          <w:noProof/>
        </w:rPr>
        <w:t>67</w:t>
      </w:r>
      <w:r>
        <w:fldChar w:fldCharType="end"/>
      </w:r>
    </w:p>
    <w:p w:rsidR="005F78FC" w:rsidRDefault="00B42EF3">
      <w:pPr>
        <w:pStyle w:val="indexentry0"/>
      </w:pPr>
      <w:r>
        <w:t>INDEX (</w:t>
      </w:r>
      <w:hyperlink w:anchor="section_9986087533d546d68d5276e0cdcd5da3">
        <w:r>
          <w:rPr>
            <w:rStyle w:val="Hyperlink"/>
          </w:rPr>
          <w:t>section 2.1.480</w:t>
        </w:r>
      </w:hyperlink>
      <w:r>
        <w:t xml:space="preserve"> </w:t>
      </w:r>
      <w:r>
        <w:fldChar w:fldCharType="begin"/>
      </w:r>
      <w:r>
        <w:instrText>PAGEREF section_9986087533d546d68d5276e0cdcd5da3</w:instrText>
      </w:r>
      <w:r>
        <w:fldChar w:fldCharType="separate"/>
      </w:r>
      <w:r>
        <w:rPr>
          <w:noProof/>
        </w:rPr>
        <w:t>219</w:t>
      </w:r>
      <w:r>
        <w:fldChar w:fldCharType="end"/>
      </w:r>
      <w:r>
        <w:t xml:space="preserve">, </w:t>
      </w:r>
      <w:hyperlink w:anchor="section_8a9e8a05d0934fe185658f8f6671995b">
        <w:r>
          <w:rPr>
            <w:rStyle w:val="Hyperlink"/>
          </w:rPr>
          <w:t>section 2.1.972</w:t>
        </w:r>
      </w:hyperlink>
      <w:r>
        <w:t xml:space="preserve"> </w:t>
      </w:r>
      <w:r>
        <w:fldChar w:fldCharType="begin"/>
      </w:r>
      <w:r>
        <w:instrText>PAGEREF section_8a9e8a05d</w:instrText>
      </w:r>
      <w:r>
        <w:instrText>0934fe185658f8f6671995b</w:instrText>
      </w:r>
      <w:r>
        <w:fldChar w:fldCharType="separate"/>
      </w:r>
      <w:r>
        <w:rPr>
          <w:noProof/>
        </w:rPr>
        <w:t>428</w:t>
      </w:r>
      <w:r>
        <w:fldChar w:fldCharType="end"/>
      </w:r>
      <w:r>
        <w:t>)</w:t>
      </w:r>
    </w:p>
    <w:p w:rsidR="005F78FC" w:rsidRDefault="00B42EF3">
      <w:pPr>
        <w:pStyle w:val="indexentry0"/>
      </w:pPr>
      <w:hyperlink w:anchor="section_96467cf3991545d8b9979183e29b29e4">
        <w:r>
          <w:rPr>
            <w:rStyle w:val="Hyperlink"/>
          </w:rPr>
          <w:t>indexedColors (Color Indexes)</w:t>
        </w:r>
      </w:hyperlink>
      <w:r>
        <w:t xml:space="preserve"> </w:t>
      </w:r>
      <w:r>
        <w:fldChar w:fldCharType="begin"/>
      </w:r>
      <w:r>
        <w:instrText>PAGEREF section_96467cf3991545d8b9979183e29b29e4</w:instrText>
      </w:r>
      <w:r>
        <w:fldChar w:fldCharType="separate"/>
      </w:r>
      <w:r>
        <w:rPr>
          <w:noProof/>
        </w:rPr>
        <w:t>302</w:t>
      </w:r>
      <w:r>
        <w:fldChar w:fldCharType="end"/>
      </w:r>
    </w:p>
    <w:p w:rsidR="005F78FC" w:rsidRDefault="00B42EF3">
      <w:pPr>
        <w:pStyle w:val="indexentry0"/>
      </w:pPr>
      <w:hyperlink w:anchor="section_dcedecc22b68492e8802a5885866703b">
        <w:r>
          <w:rPr>
            <w:rStyle w:val="Hyperlink"/>
          </w:rPr>
          <w:t>INDIRECT</w:t>
        </w:r>
      </w:hyperlink>
      <w:r>
        <w:t xml:space="preserve"> </w:t>
      </w:r>
      <w:r>
        <w:fldChar w:fldCharType="begin"/>
      </w:r>
      <w:r>
        <w:instrText>PAGEREF section_dcedecc22b68492e8802a5885866703b</w:instrText>
      </w:r>
      <w:r>
        <w:fldChar w:fldCharType="separate"/>
      </w:r>
      <w:r>
        <w:rPr>
          <w:noProof/>
        </w:rPr>
        <w:t>428</w:t>
      </w:r>
      <w:r>
        <w:fldChar w:fldCharType="end"/>
      </w:r>
    </w:p>
    <w:p w:rsidR="005F78FC" w:rsidRDefault="00B42EF3">
      <w:pPr>
        <w:pStyle w:val="indexentry0"/>
      </w:pPr>
      <w:hyperlink w:anchor="section_ed33866d5a02492e87a6a1aca55d9d16">
        <w:r>
          <w:rPr>
            <w:rStyle w:val="Hyperlink"/>
          </w:rPr>
          <w:t>INFO</w:t>
        </w:r>
      </w:hyperlink>
      <w:r>
        <w:t xml:space="preserve"> </w:t>
      </w:r>
      <w:r>
        <w:fldChar w:fldCharType="begin"/>
      </w:r>
      <w:r>
        <w:instrText>PAGEREF section_ed33866d5a02492e87a6a1aca55d9d16</w:instrText>
      </w:r>
      <w:r>
        <w:fldChar w:fldCharType="separate"/>
      </w:r>
      <w:r>
        <w:rPr>
          <w:noProof/>
        </w:rPr>
        <w:t>429</w:t>
      </w:r>
      <w:r>
        <w:fldChar w:fldCharType="end"/>
      </w:r>
    </w:p>
    <w:p w:rsidR="005F78FC" w:rsidRDefault="00B42EF3">
      <w:pPr>
        <w:pStyle w:val="indexentry0"/>
      </w:pPr>
      <w:hyperlink w:anchor="section_94d2b16ecf4446248c7be2f0afe1a072">
        <w:r>
          <w:rPr>
            <w:rStyle w:val="Hyperlink"/>
          </w:rPr>
          <w:t>Informative references</w:t>
        </w:r>
      </w:hyperlink>
      <w:r>
        <w:t xml:space="preserve"> </w:t>
      </w:r>
      <w:r>
        <w:fldChar w:fldCharType="begin"/>
      </w:r>
      <w:r>
        <w:instrText>PAGEREF section_94d2b16ecf4446248c7be2f0afe1a072</w:instrText>
      </w:r>
      <w:r>
        <w:fldChar w:fldCharType="separate"/>
      </w:r>
      <w:r>
        <w:rPr>
          <w:noProof/>
        </w:rPr>
        <w:t>46</w:t>
      </w:r>
      <w:r>
        <w:fldChar w:fldCharType="end"/>
      </w:r>
    </w:p>
    <w:p w:rsidR="005F78FC" w:rsidRDefault="00B42EF3">
      <w:pPr>
        <w:pStyle w:val="indexentry0"/>
      </w:pPr>
      <w:hyperlink w:anchor="section_05ab37aee14e424c808e6748b131c121">
        <w:r>
          <w:rPr>
            <w:rStyle w:val="Hyperlink"/>
          </w:rPr>
          <w:t>ink (Ink)</w:t>
        </w:r>
      </w:hyperlink>
      <w:r>
        <w:t xml:space="preserve"> </w:t>
      </w:r>
      <w:r>
        <w:fldChar w:fldCharType="begin"/>
      </w:r>
      <w:r>
        <w:instrText>PAGEREF section_05ab37aee14e424c808e6748b131c121</w:instrText>
      </w:r>
      <w:r>
        <w:fldChar w:fldCharType="separate"/>
      </w:r>
      <w:r>
        <w:rPr>
          <w:noProof/>
        </w:rPr>
        <w:t>671</w:t>
      </w:r>
      <w:r>
        <w:fldChar w:fldCharType="end"/>
      </w:r>
    </w:p>
    <w:p w:rsidR="005F78FC" w:rsidRDefault="00B42EF3">
      <w:pPr>
        <w:pStyle w:val="indexentry0"/>
      </w:pPr>
      <w:hyperlink w:anchor="section_06a5cea1078b41cd8c26ef1db3ed3733">
        <w:r>
          <w:rPr>
            <w:rStyle w:val="Hyperlink"/>
          </w:rPr>
          <w:t>inkTgt (Ink Targ</w:t>
        </w:r>
        <w:r>
          <w:rPr>
            <w:rStyle w:val="Hyperlink"/>
          </w:rPr>
          <w:t>et)</w:t>
        </w:r>
      </w:hyperlink>
      <w:r>
        <w:t xml:space="preserve"> </w:t>
      </w:r>
      <w:r>
        <w:fldChar w:fldCharType="begin"/>
      </w:r>
      <w:r>
        <w:instrText>PAGEREF section_06a5cea1078b41cd8c26ef1db3ed3733</w:instrText>
      </w:r>
      <w:r>
        <w:fldChar w:fldCharType="separate"/>
      </w:r>
      <w:r>
        <w:rPr>
          <w:noProof/>
        </w:rPr>
        <w:t>486</w:t>
      </w:r>
      <w:r>
        <w:fldChar w:fldCharType="end"/>
      </w:r>
    </w:p>
    <w:p w:rsidR="005F78FC" w:rsidRDefault="00B42EF3">
      <w:pPr>
        <w:pStyle w:val="indexentry0"/>
      </w:pPr>
      <w:hyperlink w:anchor="section_40e26c9bb6f64409b138d7f40b112d15">
        <w:r>
          <w:rPr>
            <w:rStyle w:val="Hyperlink"/>
          </w:rPr>
          <w:t>innerShdw (Inner Shadow Effect)</w:t>
        </w:r>
      </w:hyperlink>
      <w:r>
        <w:t xml:space="preserve"> </w:t>
      </w:r>
      <w:r>
        <w:fldChar w:fldCharType="begin"/>
      </w:r>
      <w:r>
        <w:instrText>PAGEREF section_40e26c9bb6f64409b138d7f40b112d15</w:instrText>
      </w:r>
      <w:r>
        <w:fldChar w:fldCharType="separate"/>
      </w:r>
      <w:r>
        <w:rPr>
          <w:noProof/>
        </w:rPr>
        <w:t>518</w:t>
      </w:r>
      <w:r>
        <w:fldChar w:fldCharType="end"/>
      </w:r>
    </w:p>
    <w:p w:rsidR="005F78FC" w:rsidRDefault="00B42EF3">
      <w:pPr>
        <w:pStyle w:val="indexentry0"/>
      </w:pPr>
      <w:hyperlink w:anchor="section_2682468cc87f48c5a82bb5f915749eb0">
        <w:r>
          <w:rPr>
            <w:rStyle w:val="Hyperlink"/>
          </w:rPr>
          <w:t>inputCells (Input Cells)</w:t>
        </w:r>
      </w:hyperlink>
      <w:r>
        <w:t xml:space="preserve"> </w:t>
      </w:r>
      <w:r>
        <w:fldChar w:fldCharType="begin"/>
      </w:r>
      <w:r>
        <w:instrText>PAGEREF section_2682468cc87f48c5a82bb5f915749eb0</w:instrText>
      </w:r>
      <w:r>
        <w:fldChar w:fldCharType="separate"/>
      </w:r>
      <w:r>
        <w:rPr>
          <w:noProof/>
        </w:rPr>
        <w:t>267</w:t>
      </w:r>
      <w:r>
        <w:fldChar w:fldCharType="end"/>
      </w:r>
    </w:p>
    <w:p w:rsidR="005F78FC" w:rsidRDefault="00B42EF3">
      <w:pPr>
        <w:pStyle w:val="indexentry0"/>
      </w:pPr>
      <w:hyperlink w:anchor="section_e0eecaacdbe94cb8a4914ad994c6976f">
        <w:r>
          <w:rPr>
            <w:rStyle w:val="Hyperlink"/>
          </w:rPr>
          <w:t>ins (Inserted Math Control Character)</w:t>
        </w:r>
      </w:hyperlink>
      <w:r>
        <w:t xml:space="preserve"> </w:t>
      </w:r>
      <w:r>
        <w:fldChar w:fldCharType="begin"/>
      </w:r>
      <w:r>
        <w:instrText>PAGEREF section_e0eecaacdbe94cb8a4914ad994c6976f</w:instrText>
      </w:r>
      <w:r>
        <w:fldChar w:fldCharType="separate"/>
      </w:r>
      <w:r>
        <w:rPr>
          <w:noProof/>
        </w:rPr>
        <w:t>139</w:t>
      </w:r>
      <w:r>
        <w:fldChar w:fldCharType="end"/>
      </w:r>
    </w:p>
    <w:p w:rsidR="005F78FC" w:rsidRDefault="00B42EF3">
      <w:pPr>
        <w:pStyle w:val="indexentry0"/>
      </w:pPr>
      <w:hyperlink w:anchor="section_2e24b3f2b745464e8194e4e074058b0c">
        <w:r>
          <w:rPr>
            <w:rStyle w:val="Hyperlink"/>
          </w:rPr>
          <w:t>ins (Inserted Numbering Properties)</w:t>
        </w:r>
      </w:hyperlink>
      <w:r>
        <w:t xml:space="preserve"> </w:t>
      </w:r>
      <w:r>
        <w:fldChar w:fldCharType="begin"/>
      </w:r>
      <w:r>
        <w:instrText>PAGEREF section_2e24b3f2b745464e8194e4e074058b0c</w:instrText>
      </w:r>
      <w:r>
        <w:fldChar w:fldCharType="separate"/>
      </w:r>
      <w:r>
        <w:rPr>
          <w:noProof/>
        </w:rPr>
        <w:t>140</w:t>
      </w:r>
      <w:r>
        <w:fldChar w:fldCharType="end"/>
      </w:r>
    </w:p>
    <w:p w:rsidR="005F78FC" w:rsidRDefault="00B42EF3">
      <w:pPr>
        <w:pStyle w:val="indexentry0"/>
      </w:pPr>
      <w:hyperlink w:anchor="section_1d66ba8a1eeb4cffab8aeaa79113cc89">
        <w:r>
          <w:rPr>
            <w:rStyle w:val="Hyperlink"/>
          </w:rPr>
          <w:t>ins (Inserted Paragraph)</w:t>
        </w:r>
      </w:hyperlink>
      <w:r>
        <w:t xml:space="preserve"> </w:t>
      </w:r>
      <w:r>
        <w:fldChar w:fldCharType="begin"/>
      </w:r>
      <w:r>
        <w:instrText>PAGEREF section_1d66ba8a1eeb4cffab8aeaa79113cc89</w:instrText>
      </w:r>
      <w:r>
        <w:fldChar w:fldCharType="separate"/>
      </w:r>
      <w:r>
        <w:rPr>
          <w:noProof/>
        </w:rPr>
        <w:t>140</w:t>
      </w:r>
      <w:r>
        <w:fldChar w:fldCharType="end"/>
      </w:r>
    </w:p>
    <w:p w:rsidR="005F78FC" w:rsidRDefault="00B42EF3">
      <w:pPr>
        <w:pStyle w:val="indexentry0"/>
      </w:pPr>
      <w:hyperlink w:anchor="section_960dd70180364eedb52a774caf7075d2">
        <w:r>
          <w:rPr>
            <w:rStyle w:val="Hyperlink"/>
          </w:rPr>
          <w:t>ins (Inserted Run Content)</w:t>
        </w:r>
      </w:hyperlink>
      <w:r>
        <w:t xml:space="preserve"> </w:t>
      </w:r>
      <w:r>
        <w:fldChar w:fldCharType="begin"/>
      </w:r>
      <w:r>
        <w:instrText>PAGEREF section_960dd70180364eedb52a774caf7075d2</w:instrText>
      </w:r>
      <w:r>
        <w:fldChar w:fldCharType="separate"/>
      </w:r>
      <w:r>
        <w:rPr>
          <w:noProof/>
        </w:rPr>
        <w:t>139</w:t>
      </w:r>
      <w:r>
        <w:fldChar w:fldCharType="end"/>
      </w:r>
    </w:p>
    <w:p w:rsidR="005F78FC" w:rsidRDefault="00B42EF3">
      <w:pPr>
        <w:pStyle w:val="indexentry0"/>
      </w:pPr>
      <w:hyperlink w:anchor="section_70498abcdc0b4c418e8dd1bd5044ebe6">
        <w:r>
          <w:rPr>
            <w:rStyle w:val="Hyperlink"/>
          </w:rPr>
          <w:t>ins (Inserted Table Row)</w:t>
        </w:r>
      </w:hyperlink>
      <w:r>
        <w:t xml:space="preserve"> </w:t>
      </w:r>
      <w:r>
        <w:fldChar w:fldCharType="begin"/>
      </w:r>
      <w:r>
        <w:instrText>PAGEREF section_70498abcdc0b4c418e8dd1bd5044ebe6</w:instrText>
      </w:r>
      <w:r>
        <w:fldChar w:fldCharType="separate"/>
      </w:r>
      <w:r>
        <w:rPr>
          <w:noProof/>
        </w:rPr>
        <w:t>139</w:t>
      </w:r>
      <w:r>
        <w:fldChar w:fldCharType="end"/>
      </w:r>
    </w:p>
    <w:p w:rsidR="005F78FC" w:rsidRDefault="00B42EF3">
      <w:pPr>
        <w:pStyle w:val="indexentry0"/>
      </w:pPr>
      <w:hyperlink w:anchor="section_5185d2f77b5c4e9884ff5efb17b43913">
        <w:r>
          <w:rPr>
            <w:rStyle w:val="Hyperlink"/>
          </w:rPr>
          <w:t>insideH (Table Cell Inside Horizontal Edges Border)</w:t>
        </w:r>
      </w:hyperlink>
      <w:r>
        <w:t xml:space="preserve"> </w:t>
      </w:r>
      <w:r>
        <w:fldChar w:fldCharType="begin"/>
      </w:r>
      <w:r>
        <w:instrText>PAGEREF section_5185d2f77b5c4e9884ff5efb17b43913</w:instrText>
      </w:r>
      <w:r>
        <w:fldChar w:fldCharType="separate"/>
      </w:r>
      <w:r>
        <w:rPr>
          <w:noProof/>
        </w:rPr>
        <w:t>87</w:t>
      </w:r>
      <w:r>
        <w:fldChar w:fldCharType="end"/>
      </w:r>
    </w:p>
    <w:p w:rsidR="005F78FC" w:rsidRDefault="00B42EF3">
      <w:pPr>
        <w:pStyle w:val="indexentry0"/>
      </w:pPr>
      <w:hyperlink w:anchor="section_6afd824014e0455da0b3c6c90e2cde22">
        <w:r>
          <w:rPr>
            <w:rStyle w:val="Hyperlink"/>
          </w:rPr>
          <w:t>insideH (Table Inside Horizontal Edges Border)</w:t>
        </w:r>
      </w:hyperlink>
      <w:r>
        <w:t xml:space="preserve"> </w:t>
      </w:r>
      <w:r>
        <w:fldChar w:fldCharType="begin"/>
      </w:r>
      <w:r>
        <w:instrText>PAGEREF section_6afd824014e0455da0b3c6c90e2cde22</w:instrText>
      </w:r>
      <w:r>
        <w:fldChar w:fldCharType="separate"/>
      </w:r>
      <w:r>
        <w:rPr>
          <w:noProof/>
        </w:rPr>
        <w:t>87</w:t>
      </w:r>
      <w:r>
        <w:fldChar w:fldCharType="end"/>
      </w:r>
    </w:p>
    <w:p w:rsidR="005F78FC" w:rsidRDefault="00B42EF3">
      <w:pPr>
        <w:pStyle w:val="indexentry0"/>
      </w:pPr>
      <w:hyperlink w:anchor="section_f1da490f467b4fb4bfd63e97f4752417">
        <w:r>
          <w:rPr>
            <w:rStyle w:val="Hyperlink"/>
          </w:rPr>
          <w:t>insideV (Table Cell Inside Vertical Edges B</w:t>
        </w:r>
        <w:r>
          <w:rPr>
            <w:rStyle w:val="Hyperlink"/>
          </w:rPr>
          <w:t>order)</w:t>
        </w:r>
      </w:hyperlink>
      <w:r>
        <w:t xml:space="preserve"> </w:t>
      </w:r>
      <w:r>
        <w:fldChar w:fldCharType="begin"/>
      </w:r>
      <w:r>
        <w:instrText>PAGEREF section_f1da490f467b4fb4bfd63e97f4752417</w:instrText>
      </w:r>
      <w:r>
        <w:fldChar w:fldCharType="separate"/>
      </w:r>
      <w:r>
        <w:rPr>
          <w:noProof/>
        </w:rPr>
        <w:t>87</w:t>
      </w:r>
      <w:r>
        <w:fldChar w:fldCharType="end"/>
      </w:r>
    </w:p>
    <w:p w:rsidR="005F78FC" w:rsidRDefault="00B42EF3">
      <w:pPr>
        <w:pStyle w:val="indexentry0"/>
      </w:pPr>
      <w:hyperlink w:anchor="section_1225ff9613a84d70a653beb61ffebd0e">
        <w:r>
          <w:rPr>
            <w:rStyle w:val="Hyperlink"/>
          </w:rPr>
          <w:t>insideV (Table Inside Vertical Edges Border)</w:t>
        </w:r>
      </w:hyperlink>
      <w:r>
        <w:t xml:space="preserve"> </w:t>
      </w:r>
      <w:r>
        <w:fldChar w:fldCharType="begin"/>
      </w:r>
      <w:r>
        <w:instrText>PAGEREF section_1225ff9613a84d70a653beb61ffebd0e</w:instrText>
      </w:r>
      <w:r>
        <w:fldChar w:fldCharType="separate"/>
      </w:r>
      <w:r>
        <w:rPr>
          <w:noProof/>
        </w:rPr>
        <w:t>87</w:t>
      </w:r>
      <w:r>
        <w:fldChar w:fldCharType="end"/>
      </w:r>
    </w:p>
    <w:p w:rsidR="005F78FC" w:rsidRDefault="00B42EF3">
      <w:pPr>
        <w:pStyle w:val="indexentry0"/>
      </w:pPr>
      <w:hyperlink w:anchor="section_fbe8422bbec94cfa872a1f0b66b534ca">
        <w:r>
          <w:rPr>
            <w:rStyle w:val="Hyperlink"/>
          </w:rPr>
          <w:t>INTERCEPT</w:t>
        </w:r>
      </w:hyperlink>
      <w:r>
        <w:t xml:space="preserve"> </w:t>
      </w:r>
      <w:r>
        <w:fldChar w:fldCharType="begin"/>
      </w:r>
      <w:r>
        <w:instrText>PAGEREF section_fbe8422bbec94cfa872a1f0b66b534ca</w:instrText>
      </w:r>
      <w:r>
        <w:fldChar w:fldCharType="separate"/>
      </w:r>
      <w:r>
        <w:rPr>
          <w:noProof/>
        </w:rPr>
        <w:t>429</w:t>
      </w:r>
      <w:r>
        <w:fldChar w:fldCharType="end"/>
      </w:r>
    </w:p>
    <w:p w:rsidR="005F78FC" w:rsidRDefault="00B42EF3">
      <w:pPr>
        <w:pStyle w:val="indexentry0"/>
      </w:pPr>
      <w:hyperlink w:anchor="section_ecb7cd155c46458b9f7c016272458527">
        <w:r>
          <w:rPr>
            <w:rStyle w:val="Hyperlink"/>
          </w:rPr>
          <w:t>intercept (Intercept)</w:t>
        </w:r>
      </w:hyperlink>
      <w:r>
        <w:t xml:space="preserve"> </w:t>
      </w:r>
      <w:r>
        <w:fldChar w:fldCharType="begin"/>
      </w:r>
      <w:r>
        <w:instrText>PAGEREF section_ecb7cd155c46458b9f7c016272458527</w:instrText>
      </w:r>
      <w:r>
        <w:fldChar w:fldCharType="separate"/>
      </w:r>
      <w:r>
        <w:rPr>
          <w:noProof/>
        </w:rPr>
        <w:t>557</w:t>
      </w:r>
      <w:r>
        <w:fldChar w:fldCharType="end"/>
      </w:r>
    </w:p>
    <w:p w:rsidR="005F78FC" w:rsidRDefault="00B42EF3">
      <w:pPr>
        <w:pStyle w:val="indexentry0"/>
      </w:pPr>
      <w:hyperlink w:anchor="section_d5e9192c66724b44892ca05686abc4b0">
        <w:r>
          <w:rPr>
            <w:rStyle w:val="Hyperlink"/>
          </w:rPr>
          <w:t>Interpretation</w:t>
        </w:r>
      </w:hyperlink>
      <w:r>
        <w:t xml:space="preserve"> </w:t>
      </w:r>
      <w:r>
        <w:fldChar w:fldCharType="begin"/>
      </w:r>
      <w:r>
        <w:instrText>PAGEREF section_d5e9192c66724b44892ca05686abc4b0</w:instrText>
      </w:r>
      <w:r>
        <w:fldChar w:fldCharType="separate"/>
      </w:r>
      <w:r>
        <w:rPr>
          <w:noProof/>
        </w:rPr>
        <w:t>398</w:t>
      </w:r>
      <w:r>
        <w:fldChar w:fldCharType="end"/>
      </w:r>
    </w:p>
    <w:p w:rsidR="005F78FC" w:rsidRDefault="00B42EF3">
      <w:pPr>
        <w:pStyle w:val="indexentry0"/>
      </w:pPr>
      <w:hyperlink w:anchor="section_ac1def597ec641b0b012430cbf3d235b">
        <w:r>
          <w:rPr>
            <w:rStyle w:val="Hyperlink"/>
          </w:rPr>
          <w:t>interSp (Inter-Equation Spacing)</w:t>
        </w:r>
      </w:hyperlink>
      <w:r>
        <w:t xml:space="preserve"> </w:t>
      </w:r>
      <w:r>
        <w:fldChar w:fldCharType="begin"/>
      </w:r>
      <w:r>
        <w:instrText>PAGEREF section_ac1def597ec641b0b012430cbf3d235b</w:instrText>
      </w:r>
      <w:r>
        <w:fldChar w:fldCharType="separate"/>
      </w:r>
      <w:r>
        <w:rPr>
          <w:noProof/>
        </w:rPr>
        <w:t>600</w:t>
      </w:r>
      <w:r>
        <w:fldChar w:fldCharType="end"/>
      </w:r>
    </w:p>
    <w:p w:rsidR="005F78FC" w:rsidRDefault="00B42EF3">
      <w:pPr>
        <w:pStyle w:val="indexentry0"/>
      </w:pPr>
      <w:hyperlink w:anchor="section_e300be7298e0421cb1c6a8d380e511a4">
        <w:r>
          <w:rPr>
            <w:rStyle w:val="Hyperlink"/>
          </w:rPr>
          <w:t>intLim (Integral Limit Locations)</w:t>
        </w:r>
      </w:hyperlink>
      <w:r>
        <w:t xml:space="preserve"> </w:t>
      </w:r>
      <w:r>
        <w:fldChar w:fldCharType="begin"/>
      </w:r>
      <w:r>
        <w:instrText>PAGEREF section_e300be7298e0421cb1c6a8d380e511a4</w:instrText>
      </w:r>
      <w:r>
        <w:fldChar w:fldCharType="separate"/>
      </w:r>
      <w:r>
        <w:rPr>
          <w:noProof/>
        </w:rPr>
        <w:t>600</w:t>
      </w:r>
      <w:r>
        <w:fldChar w:fldCharType="end"/>
      </w:r>
    </w:p>
    <w:p w:rsidR="005F78FC" w:rsidRDefault="00B42EF3">
      <w:pPr>
        <w:pStyle w:val="indexentry0"/>
      </w:pPr>
      <w:hyperlink w:anchor="section_0a68ce910df044e48b4807dc432a7dee">
        <w:r>
          <w:rPr>
            <w:rStyle w:val="Hyperlink"/>
          </w:rPr>
          <w:t>intraSp (Intra-Equation Spacing)</w:t>
        </w:r>
      </w:hyperlink>
      <w:r>
        <w:t xml:space="preserve"> </w:t>
      </w:r>
      <w:r>
        <w:fldChar w:fldCharType="begin"/>
      </w:r>
      <w:r>
        <w:instrText>PAGEREF section_0a68ce910df044e48b4807dc432a7dee</w:instrText>
      </w:r>
      <w:r>
        <w:fldChar w:fldCharType="separate"/>
      </w:r>
      <w:r>
        <w:rPr>
          <w:noProof/>
        </w:rPr>
        <w:t>600</w:t>
      </w:r>
      <w:r>
        <w:fldChar w:fldCharType="end"/>
      </w:r>
    </w:p>
    <w:p w:rsidR="005F78FC" w:rsidRDefault="00B42EF3">
      <w:pPr>
        <w:pStyle w:val="indexentry0"/>
      </w:pPr>
      <w:hyperlink w:anchor="section_d8b43e5eef264b6582cb73f006020a2e">
        <w:r>
          <w:rPr>
            <w:rStyle w:val="Hyperlink"/>
          </w:rPr>
          <w:t>INTRATE</w:t>
        </w:r>
      </w:hyperlink>
      <w:r>
        <w:t xml:space="preserve"> </w:t>
      </w:r>
      <w:r>
        <w:fldChar w:fldCharType="begin"/>
      </w:r>
      <w:r>
        <w:instrText>PAGEREF section_d8b43e5eef264b6582cb73f006020a2e</w:instrText>
      </w:r>
      <w:r>
        <w:fldChar w:fldCharType="separate"/>
      </w:r>
      <w:r>
        <w:rPr>
          <w:noProof/>
        </w:rPr>
        <w:t>429</w:t>
      </w:r>
      <w:r>
        <w:fldChar w:fldCharType="end"/>
      </w:r>
    </w:p>
    <w:p w:rsidR="005F78FC" w:rsidRDefault="00B42EF3">
      <w:pPr>
        <w:pStyle w:val="indexentry0"/>
      </w:pPr>
      <w:r>
        <w:t>Introduction (</w:t>
      </w:r>
      <w:hyperlink w:anchor="section_cc8df712c9b7445087ba208fd1079a2a">
        <w:r>
          <w:rPr>
            <w:rStyle w:val="Hyperlink"/>
          </w:rPr>
          <w:t>sectio</w:t>
        </w:r>
        <w:r>
          <w:rPr>
            <w:rStyle w:val="Hyperlink"/>
          </w:rPr>
          <w:t>n 1</w:t>
        </w:r>
      </w:hyperlink>
      <w:r>
        <w:t xml:space="preserve"> </w:t>
      </w:r>
      <w:r>
        <w:fldChar w:fldCharType="begin"/>
      </w:r>
      <w:r>
        <w:instrText>PAGEREF section_cc8df712c9b7445087ba208fd1079a2a</w:instrText>
      </w:r>
      <w:r>
        <w:fldChar w:fldCharType="separate"/>
      </w:r>
      <w:r>
        <w:rPr>
          <w:noProof/>
        </w:rPr>
        <w:t>44</w:t>
      </w:r>
      <w:r>
        <w:fldChar w:fldCharType="end"/>
      </w:r>
      <w:r>
        <w:t xml:space="preserve">, </w:t>
      </w:r>
      <w:hyperlink w:anchor="section_d107771466614178b6dfaa3272635214">
        <w:r>
          <w:rPr>
            <w:rStyle w:val="Hyperlink"/>
          </w:rPr>
          <w:t>section 3.8.1</w:t>
        </w:r>
      </w:hyperlink>
      <w:r>
        <w:t xml:space="preserve"> </w:t>
      </w:r>
      <w:r>
        <w:fldChar w:fldCharType="begin"/>
      </w:r>
      <w:r>
        <w:instrText>PAGEREF section_d107771466614178b6dfaa3272635214</w:instrText>
      </w:r>
      <w:r>
        <w:fldChar w:fldCharType="separate"/>
      </w:r>
      <w:r>
        <w:rPr>
          <w:noProof/>
        </w:rPr>
        <w:t>895</w:t>
      </w:r>
      <w:r>
        <w:fldChar w:fldCharType="end"/>
      </w:r>
      <w:r>
        <w:t>)</w:t>
      </w:r>
    </w:p>
    <w:p w:rsidR="005F78FC" w:rsidRDefault="00B42EF3">
      <w:pPr>
        <w:pStyle w:val="indexentry0"/>
      </w:pPr>
      <w:hyperlink w:anchor="section_c26d486fa3ba4b87bcc18e10062f4c2f">
        <w:r>
          <w:rPr>
            <w:rStyle w:val="Hyperlink"/>
          </w:rPr>
          <w:t>invert</w:t>
        </w:r>
        <w:r>
          <w:rPr>
            <w:rStyle w:val="Hyperlink"/>
          </w:rPr>
          <w:t>IfNegative (Invert if Negative)</w:t>
        </w:r>
      </w:hyperlink>
      <w:r>
        <w:t xml:space="preserve"> </w:t>
      </w:r>
      <w:r>
        <w:fldChar w:fldCharType="begin"/>
      </w:r>
      <w:r>
        <w:instrText>PAGEREF section_c26d486fa3ba4b87bcc18e10062f4c2f</w:instrText>
      </w:r>
      <w:r>
        <w:fldChar w:fldCharType="separate"/>
      </w:r>
      <w:r>
        <w:rPr>
          <w:noProof/>
        </w:rPr>
        <w:t>557</w:t>
      </w:r>
      <w:r>
        <w:fldChar w:fldCharType="end"/>
      </w:r>
    </w:p>
    <w:p w:rsidR="005F78FC" w:rsidRDefault="00B42EF3">
      <w:pPr>
        <w:pStyle w:val="indexentry0"/>
      </w:pPr>
      <w:hyperlink w:anchor="section_5c0583c254594b569657c94fb48dc600">
        <w:r>
          <w:rPr>
            <w:rStyle w:val="Hyperlink"/>
          </w:rPr>
          <w:t>IPMT</w:t>
        </w:r>
      </w:hyperlink>
      <w:r>
        <w:t xml:space="preserve"> </w:t>
      </w:r>
      <w:r>
        <w:fldChar w:fldCharType="begin"/>
      </w:r>
      <w:r>
        <w:instrText>PAGEREF section_5c0583c254594b569657c94fb48dc600</w:instrText>
      </w:r>
      <w:r>
        <w:fldChar w:fldCharType="separate"/>
      </w:r>
      <w:r>
        <w:rPr>
          <w:noProof/>
        </w:rPr>
        <w:t>430</w:t>
      </w:r>
      <w:r>
        <w:fldChar w:fldCharType="end"/>
      </w:r>
    </w:p>
    <w:p w:rsidR="005F78FC" w:rsidRDefault="00B42EF3">
      <w:pPr>
        <w:pStyle w:val="indexentry0"/>
      </w:pPr>
      <w:hyperlink w:anchor="section_992887335f9f42e68e61ab6cea01a0d3">
        <w:r>
          <w:rPr>
            <w:rStyle w:val="Hyperlink"/>
          </w:rPr>
          <w:t>IRR</w:t>
        </w:r>
      </w:hyperlink>
      <w:r>
        <w:t xml:space="preserve"> </w:t>
      </w:r>
      <w:r>
        <w:fldChar w:fldCharType="begin"/>
      </w:r>
      <w:r>
        <w:instrText>PAGEREF section_992887335f9f42e68e61ab6cea01a0d3</w:instrText>
      </w:r>
      <w:r>
        <w:fldChar w:fldCharType="separate"/>
      </w:r>
      <w:r>
        <w:rPr>
          <w:noProof/>
        </w:rPr>
        <w:t>431</w:t>
      </w:r>
      <w:r>
        <w:fldChar w:fldCharType="end"/>
      </w:r>
    </w:p>
    <w:p w:rsidR="005F78FC" w:rsidRDefault="00B42EF3">
      <w:pPr>
        <w:pStyle w:val="indexentry0"/>
      </w:pPr>
      <w:hyperlink w:anchor="section_76b69cb6d97e4dd28106a823c4e65d0c">
        <w:r>
          <w:rPr>
            <w:rStyle w:val="Hyperlink"/>
          </w:rPr>
          <w:t>is (Rich Text Inline)</w:t>
        </w:r>
      </w:hyperlink>
      <w:r>
        <w:t xml:space="preserve"> </w:t>
      </w:r>
      <w:r>
        <w:fldChar w:fldCharType="begin"/>
      </w:r>
      <w:r>
        <w:instrText>PAGEREF section_76b69cb6d97e4dd28106a823c4e65d0c</w:instrText>
      </w:r>
      <w:r>
        <w:fldChar w:fldCharType="separate"/>
      </w:r>
      <w:r>
        <w:rPr>
          <w:noProof/>
        </w:rPr>
        <w:t>267</w:t>
      </w:r>
      <w:r>
        <w:fldChar w:fldCharType="end"/>
      </w:r>
    </w:p>
    <w:p w:rsidR="005F78FC" w:rsidRDefault="00B42EF3">
      <w:pPr>
        <w:pStyle w:val="indexentry0"/>
      </w:pPr>
      <w:hyperlink w:anchor="section_0953b25e15cc4461a50ecc5d8585f6ff">
        <w:r>
          <w:rPr>
            <w:rStyle w:val="Hyperlink"/>
          </w:rPr>
          <w:t>isLgl (Display All Levels Using Arabic Numerals)</w:t>
        </w:r>
      </w:hyperlink>
      <w:r>
        <w:t xml:space="preserve"> </w:t>
      </w:r>
      <w:r>
        <w:fldChar w:fldCharType="begin"/>
      </w:r>
      <w:r>
        <w:instrText>PAGEREF section_0953b25e15cc4461a50ecc5d8585f6ff</w:instrText>
      </w:r>
      <w:r>
        <w:fldChar w:fldCharType="separate"/>
      </w:r>
      <w:r>
        <w:rPr>
          <w:noProof/>
        </w:rPr>
        <w:t>126</w:t>
      </w:r>
      <w:r>
        <w:fldChar w:fldCharType="end"/>
      </w:r>
    </w:p>
    <w:p w:rsidR="005F78FC" w:rsidRDefault="00B42EF3">
      <w:pPr>
        <w:pStyle w:val="indexentry0"/>
      </w:pPr>
      <w:hyperlink w:anchor="section_6edcb9784bd74a0f9e33b455b813dfa7">
        <w:r>
          <w:rPr>
            <w:rStyle w:val="Hyperlink"/>
          </w:rPr>
          <w:t>ISPMT</w:t>
        </w:r>
      </w:hyperlink>
      <w:r>
        <w:t xml:space="preserve"> </w:t>
      </w:r>
      <w:r>
        <w:fldChar w:fldCharType="begin"/>
      </w:r>
      <w:r>
        <w:instrText>PAGEREF section_6edcb9784bd74a0f9e33b455b813dfa7</w:instrText>
      </w:r>
      <w:r>
        <w:fldChar w:fldCharType="separate"/>
      </w:r>
      <w:r>
        <w:rPr>
          <w:noProof/>
        </w:rPr>
        <w:t>431</w:t>
      </w:r>
      <w:r>
        <w:fldChar w:fldCharType="end"/>
      </w:r>
    </w:p>
    <w:p w:rsidR="005F78FC" w:rsidRDefault="00B42EF3">
      <w:pPr>
        <w:pStyle w:val="indexentry0"/>
      </w:pPr>
      <w:hyperlink w:anchor="section_ff55420d79e34576a52022578daf0e91">
        <w:r>
          <w:rPr>
            <w:rStyle w:val="Hyperlink"/>
          </w:rPr>
          <w:t>item (PivotTable Field Item)</w:t>
        </w:r>
      </w:hyperlink>
      <w:r>
        <w:t xml:space="preserve"> </w:t>
      </w:r>
      <w:r>
        <w:fldChar w:fldCharType="begin"/>
      </w:r>
      <w:r>
        <w:instrText>PAGEREF section_ff55420d79e34576a52022578daf0e91</w:instrText>
      </w:r>
      <w:r>
        <w:fldChar w:fldCharType="separate"/>
      </w:r>
      <w:r>
        <w:rPr>
          <w:noProof/>
        </w:rPr>
        <w:t>340</w:t>
      </w:r>
      <w:r>
        <w:fldChar w:fldCharType="end"/>
      </w:r>
    </w:p>
    <w:p w:rsidR="005F78FC" w:rsidRDefault="00B42EF3">
      <w:pPr>
        <w:pStyle w:val="indexentry0"/>
      </w:pPr>
      <w:hyperlink w:anchor="section_8c5ed3f97cb44debb3b968dd78fc4177">
        <w:r>
          <w:rPr>
            <w:rStyle w:val="Hyperlink"/>
          </w:rPr>
          <w:t>items (Field Items)</w:t>
        </w:r>
      </w:hyperlink>
      <w:r>
        <w:t xml:space="preserve"> </w:t>
      </w:r>
      <w:r>
        <w:fldChar w:fldCharType="begin"/>
      </w:r>
      <w:r>
        <w:instrText>PAGEREF section_8c5ed3f97cb44</w:instrText>
      </w:r>
      <w:r>
        <w:instrText>debb3b968dd78fc4177</w:instrText>
      </w:r>
      <w:r>
        <w:fldChar w:fldCharType="separate"/>
      </w:r>
      <w:r>
        <w:rPr>
          <w:noProof/>
        </w:rPr>
        <w:t>341</w:t>
      </w:r>
      <w:r>
        <w:fldChar w:fldCharType="end"/>
      </w:r>
    </w:p>
    <w:p w:rsidR="005F78FC" w:rsidRDefault="00B42EF3">
      <w:pPr>
        <w:pStyle w:val="indexentry0"/>
      </w:pPr>
      <w:hyperlink w:anchor="section_b0d3dac175dd42128c7daf9f432b5c24">
        <w:r>
          <w:rPr>
            <w:rStyle w:val="Hyperlink"/>
          </w:rPr>
          <w:t>iterate (Iterate)</w:t>
        </w:r>
      </w:hyperlink>
      <w:r>
        <w:t xml:space="preserve"> </w:t>
      </w:r>
      <w:r>
        <w:fldChar w:fldCharType="begin"/>
      </w:r>
      <w:r>
        <w:instrText>PAGEREF section_b0d3dac175dd42128c7daf9f432b5c24</w:instrText>
      </w:r>
      <w:r>
        <w:fldChar w:fldCharType="separate"/>
      </w:r>
      <w:r>
        <w:rPr>
          <w:noProof/>
        </w:rPr>
        <w:t>487</w:t>
      </w:r>
      <w:r>
        <w:fldChar w:fldCharType="end"/>
      </w:r>
    </w:p>
    <w:p w:rsidR="005F78FC" w:rsidRDefault="005F78FC">
      <w:pPr>
        <w:spacing w:before="0" w:after="0"/>
        <w:rPr>
          <w:sz w:val="16"/>
        </w:rPr>
      </w:pPr>
    </w:p>
    <w:p w:rsidR="005F78FC" w:rsidRDefault="00B42EF3">
      <w:pPr>
        <w:pStyle w:val="indexheader"/>
      </w:pPr>
      <w:r>
        <w:t>J</w:t>
      </w:r>
    </w:p>
    <w:p w:rsidR="005F78FC" w:rsidRDefault="005F78FC">
      <w:pPr>
        <w:spacing w:before="0" w:after="0"/>
        <w:rPr>
          <w:sz w:val="16"/>
        </w:rPr>
      </w:pPr>
    </w:p>
    <w:p w:rsidR="005F78FC" w:rsidRDefault="00B42EF3">
      <w:pPr>
        <w:pStyle w:val="indexentry0"/>
      </w:pPr>
      <w:hyperlink w:anchor="section_6d78a918a0224b93b9a3e4f85ff43e00">
        <w:r>
          <w:rPr>
            <w:rStyle w:val="Hyperlink"/>
          </w:rPr>
          <w:t>jc (Justification)</w:t>
        </w:r>
      </w:hyperlink>
      <w:r>
        <w:t xml:space="preserve"> </w:t>
      </w:r>
      <w:r>
        <w:fldChar w:fldCharType="begin"/>
      </w:r>
      <w:r>
        <w:instrText>PAGEREF sectio</w:instrText>
      </w:r>
      <w:r>
        <w:instrText>n_6d78a918a0224b93b9a3e4f85ff43e00</w:instrText>
      </w:r>
      <w:r>
        <w:fldChar w:fldCharType="separate"/>
      </w:r>
      <w:r>
        <w:rPr>
          <w:noProof/>
        </w:rPr>
        <w:t>600</w:t>
      </w:r>
      <w:r>
        <w:fldChar w:fldCharType="end"/>
      </w:r>
    </w:p>
    <w:p w:rsidR="005F78FC" w:rsidRDefault="00B42EF3">
      <w:pPr>
        <w:pStyle w:val="indexentry0"/>
      </w:pPr>
      <w:hyperlink w:anchor="section_7e29304230364d9baaaa1cc714554db0">
        <w:r>
          <w:rPr>
            <w:rStyle w:val="Hyperlink"/>
          </w:rPr>
          <w:t>jc (Paragraph Alignment)</w:t>
        </w:r>
      </w:hyperlink>
      <w:r>
        <w:t xml:space="preserve"> </w:t>
      </w:r>
      <w:r>
        <w:fldChar w:fldCharType="begin"/>
      </w:r>
      <w:r>
        <w:instrText>PAGEREF section_7e29304230364d9baaaa1cc714554db0</w:instrText>
      </w:r>
      <w:r>
        <w:fldChar w:fldCharType="separate"/>
      </w:r>
      <w:r>
        <w:rPr>
          <w:noProof/>
        </w:rPr>
        <w:t>67</w:t>
      </w:r>
      <w:r>
        <w:fldChar w:fldCharType="end"/>
      </w:r>
    </w:p>
    <w:p w:rsidR="005F78FC" w:rsidRDefault="00B42EF3">
      <w:pPr>
        <w:pStyle w:val="indexentry0"/>
      </w:pPr>
      <w:hyperlink w:anchor="section_965040fb3191460bb92da50fa1e5d441">
        <w:r>
          <w:rPr>
            <w:rStyle w:val="Hyperlink"/>
          </w:rPr>
          <w:t>jc (Table Alignment Exception)</w:t>
        </w:r>
      </w:hyperlink>
      <w:r>
        <w:t xml:space="preserve"> </w:t>
      </w:r>
      <w:r>
        <w:fldChar w:fldCharType="begin"/>
      </w:r>
      <w:r>
        <w:instrText>PAGEREF section_965040fb3191460bb92da50fa1e5d441</w:instrText>
      </w:r>
      <w:r>
        <w:fldChar w:fldCharType="separate"/>
      </w:r>
      <w:r>
        <w:rPr>
          <w:noProof/>
        </w:rPr>
        <w:t>87</w:t>
      </w:r>
      <w:r>
        <w:fldChar w:fldCharType="end"/>
      </w:r>
    </w:p>
    <w:p w:rsidR="005F78FC" w:rsidRDefault="00B42EF3">
      <w:pPr>
        <w:pStyle w:val="indexentry0"/>
      </w:pPr>
      <w:hyperlink w:anchor="section_ae3c5af0e77f4428ba4162f8fd5fc7c6">
        <w:r>
          <w:rPr>
            <w:rStyle w:val="Hyperlink"/>
          </w:rPr>
          <w:t>jc (Table Alignment)</w:t>
        </w:r>
      </w:hyperlink>
      <w:r>
        <w:t xml:space="preserve"> </w:t>
      </w:r>
      <w:r>
        <w:fldChar w:fldCharType="begin"/>
      </w:r>
      <w:r>
        <w:instrText>PAGEREF section_ae3c5af0e77f4428ba4162f8fd5fc7c6</w:instrText>
      </w:r>
      <w:r>
        <w:fldChar w:fldCharType="separate"/>
      </w:r>
      <w:r>
        <w:rPr>
          <w:noProof/>
        </w:rPr>
        <w:t>87</w:t>
      </w:r>
      <w:r>
        <w:fldChar w:fldCharType="end"/>
      </w:r>
    </w:p>
    <w:p w:rsidR="005F78FC" w:rsidRDefault="00B42EF3">
      <w:pPr>
        <w:pStyle w:val="indexentry0"/>
      </w:pPr>
      <w:hyperlink w:anchor="section_e28be190a4304bd5a38b7145b3d6afe5">
        <w:r>
          <w:rPr>
            <w:rStyle w:val="Hyperlink"/>
          </w:rPr>
          <w:t>jc (Table Row Alignment)</w:t>
        </w:r>
      </w:hyperlink>
      <w:r>
        <w:t xml:space="preserve"> </w:t>
      </w:r>
      <w:r>
        <w:fldChar w:fldCharType="begin"/>
      </w:r>
      <w:r>
        <w:instrText>PAGEREF section_e28be190a4304bd5a38b7145b3d6afe5</w:instrText>
      </w:r>
      <w:r>
        <w:fldChar w:fldCharType="separate"/>
      </w:r>
      <w:r>
        <w:rPr>
          <w:noProof/>
        </w:rPr>
        <w:t>87</w:t>
      </w:r>
      <w:r>
        <w:fldChar w:fldCharType="end"/>
      </w:r>
    </w:p>
    <w:p w:rsidR="005F78FC" w:rsidRDefault="005F78FC">
      <w:pPr>
        <w:spacing w:before="0" w:after="0"/>
        <w:rPr>
          <w:sz w:val="16"/>
        </w:rPr>
      </w:pPr>
    </w:p>
    <w:p w:rsidR="005F78FC" w:rsidRDefault="00B42EF3">
      <w:pPr>
        <w:pStyle w:val="indexheader"/>
      </w:pPr>
      <w:r>
        <w:t>K</w:t>
      </w:r>
    </w:p>
    <w:p w:rsidR="005F78FC" w:rsidRDefault="005F78FC">
      <w:pPr>
        <w:spacing w:before="0" w:after="0"/>
        <w:rPr>
          <w:sz w:val="16"/>
        </w:rPr>
      </w:pPr>
    </w:p>
    <w:p w:rsidR="005F78FC" w:rsidRDefault="00B42EF3">
      <w:pPr>
        <w:pStyle w:val="indexentry0"/>
      </w:pPr>
      <w:hyperlink w:anchor="section_72e746c537b0480d9e663a179f03e108">
        <w:r>
          <w:rPr>
            <w:rStyle w:val="Hyperlink"/>
          </w:rPr>
          <w:t>k (KPI MDX Metadata)</w:t>
        </w:r>
      </w:hyperlink>
      <w:r>
        <w:t xml:space="preserve"> </w:t>
      </w:r>
      <w:r>
        <w:fldChar w:fldCharType="begin"/>
      </w:r>
      <w:r>
        <w:instrText>PAGEREF section_72e746c537b0480d9e663a179f03e108</w:instrText>
      </w:r>
      <w:r>
        <w:fldChar w:fldCharType="separate"/>
      </w:r>
      <w:r>
        <w:rPr>
          <w:noProof/>
        </w:rPr>
        <w:t>317</w:t>
      </w:r>
      <w:r>
        <w:fldChar w:fldCharType="end"/>
      </w:r>
    </w:p>
    <w:p w:rsidR="005F78FC" w:rsidRDefault="00B42EF3">
      <w:pPr>
        <w:pStyle w:val="indexentry0"/>
      </w:pPr>
      <w:hyperlink w:anchor="section_6229412bf0c64019aabd260ee2f4145f">
        <w:r>
          <w:rPr>
            <w:rStyle w:val="Hyperlink"/>
          </w:rPr>
          <w:t>keepLines (Keep All Lines On One Page)</w:t>
        </w:r>
      </w:hyperlink>
      <w:r>
        <w:t xml:space="preserve"> </w:t>
      </w:r>
      <w:r>
        <w:fldChar w:fldCharType="begin"/>
      </w:r>
      <w:r>
        <w:instrText>PAGEREF section_6229412bf0c64019aabd260ee2f4145f</w:instrText>
      </w:r>
      <w:r>
        <w:fldChar w:fldCharType="separate"/>
      </w:r>
      <w:r>
        <w:rPr>
          <w:noProof/>
        </w:rPr>
        <w:t>67</w:t>
      </w:r>
      <w:r>
        <w:fldChar w:fldCharType="end"/>
      </w:r>
    </w:p>
    <w:p w:rsidR="005F78FC" w:rsidRDefault="00B42EF3">
      <w:pPr>
        <w:pStyle w:val="indexentry0"/>
      </w:pPr>
      <w:hyperlink w:anchor="section_f04d9c4e29ef45e18de4de8701e7b796">
        <w:r>
          <w:rPr>
            <w:rStyle w:val="Hyperlink"/>
          </w:rPr>
          <w:t>kern (Font Kerning)</w:t>
        </w:r>
      </w:hyperlink>
      <w:r>
        <w:t xml:space="preserve"> </w:t>
      </w:r>
      <w:r>
        <w:fldChar w:fldCharType="begin"/>
      </w:r>
      <w:r>
        <w:instrText>PAGEREF section_f04</w:instrText>
      </w:r>
      <w:r>
        <w:instrText>d9c4e29ef45e18de4de8701e7b796</w:instrText>
      </w:r>
      <w:r>
        <w:fldChar w:fldCharType="separate"/>
      </w:r>
      <w:r>
        <w:rPr>
          <w:noProof/>
        </w:rPr>
        <w:t>75</w:t>
      </w:r>
      <w:r>
        <w:fldChar w:fldCharType="end"/>
      </w:r>
    </w:p>
    <w:p w:rsidR="005F78FC" w:rsidRDefault="00B42EF3">
      <w:pPr>
        <w:pStyle w:val="indexentry0"/>
      </w:pPr>
      <w:hyperlink w:anchor="section_c4ba3f99a9684ad8ad70e7c38fa2e504">
        <w:r>
          <w:rPr>
            <w:rStyle w:val="Hyperlink"/>
          </w:rPr>
          <w:t>Keyboard and Toolbar Customizations</w:t>
        </w:r>
      </w:hyperlink>
      <w:r>
        <w:t xml:space="preserve"> </w:t>
      </w:r>
      <w:r>
        <w:fldChar w:fldCharType="begin"/>
      </w:r>
      <w:r>
        <w:instrText>PAGEREF section_c4ba3f99a9684ad8ad70e7c38fa2e504</w:instrText>
      </w:r>
      <w:r>
        <w:fldChar w:fldCharType="separate"/>
      </w:r>
      <w:r>
        <w:rPr>
          <w:noProof/>
        </w:rPr>
        <w:t>694</w:t>
      </w:r>
      <w:r>
        <w:fldChar w:fldCharType="end"/>
      </w:r>
    </w:p>
    <w:p w:rsidR="005F78FC" w:rsidRDefault="00B42EF3">
      <w:pPr>
        <w:pStyle w:val="indexentry0"/>
      </w:pPr>
      <w:hyperlink w:anchor="section_d44dbd45cbbb4efba0903a85141d00fc">
        <w:r>
          <w:rPr>
            <w:rStyle w:val="Hyperlink"/>
          </w:rPr>
          <w:t>keymap (Key</w:t>
        </w:r>
        <w:r>
          <w:rPr>
            <w:rStyle w:val="Hyperlink"/>
          </w:rPr>
          <w:t xml:space="preserve"> Map Entry)</w:t>
        </w:r>
      </w:hyperlink>
      <w:r>
        <w:t xml:space="preserve"> </w:t>
      </w:r>
      <w:r>
        <w:fldChar w:fldCharType="begin"/>
      </w:r>
      <w:r>
        <w:instrText>PAGEREF section_d44dbd45cbbb4efba0903a85141d00fc</w:instrText>
      </w:r>
      <w:r>
        <w:fldChar w:fldCharType="separate"/>
      </w:r>
      <w:r>
        <w:rPr>
          <w:noProof/>
        </w:rPr>
        <w:t>700</w:t>
      </w:r>
      <w:r>
        <w:fldChar w:fldCharType="end"/>
      </w:r>
    </w:p>
    <w:p w:rsidR="005F78FC" w:rsidRDefault="00B42EF3">
      <w:pPr>
        <w:pStyle w:val="indexentry0"/>
      </w:pPr>
      <w:hyperlink w:anchor="section_3e58e134a06a484aa45fd1bf83668891">
        <w:r>
          <w:rPr>
            <w:rStyle w:val="Hyperlink"/>
          </w:rPr>
          <w:t>keymaps (Key Map Customizations)</w:t>
        </w:r>
      </w:hyperlink>
      <w:r>
        <w:t xml:space="preserve"> </w:t>
      </w:r>
      <w:r>
        <w:fldChar w:fldCharType="begin"/>
      </w:r>
      <w:r>
        <w:instrText>PAGEREF section_3e58e134a06a484aa45fd1bf83668891</w:instrText>
      </w:r>
      <w:r>
        <w:fldChar w:fldCharType="separate"/>
      </w:r>
      <w:r>
        <w:rPr>
          <w:noProof/>
        </w:rPr>
        <w:t>703</w:t>
      </w:r>
      <w:r>
        <w:fldChar w:fldCharType="end"/>
      </w:r>
    </w:p>
    <w:p w:rsidR="005F78FC" w:rsidRDefault="00B42EF3">
      <w:pPr>
        <w:pStyle w:val="indexentry0"/>
      </w:pPr>
      <w:hyperlink w:anchor="section_c29a6b7a6315489f855aa807e12b712d">
        <w:r>
          <w:rPr>
            <w:rStyle w:val="Hyperlink"/>
          </w:rPr>
          <w:t>keymapsBad (Key Map Customizations for Mismatched Keyboards)</w:t>
        </w:r>
      </w:hyperlink>
      <w:r>
        <w:t xml:space="preserve"> </w:t>
      </w:r>
      <w:r>
        <w:fldChar w:fldCharType="begin"/>
      </w:r>
      <w:r>
        <w:instrText>PAGEREF section_c29a6b7a6315489f855aa807e12b712d</w:instrText>
      </w:r>
      <w:r>
        <w:fldChar w:fldCharType="separate"/>
      </w:r>
      <w:r>
        <w:rPr>
          <w:noProof/>
        </w:rPr>
        <w:t>704</w:t>
      </w:r>
      <w:r>
        <w:fldChar w:fldCharType="end"/>
      </w:r>
    </w:p>
    <w:p w:rsidR="005F78FC" w:rsidRDefault="00B42EF3">
      <w:pPr>
        <w:pStyle w:val="indexentry0"/>
      </w:pPr>
      <w:hyperlink w:anchor="section_20e5dd1b37474a47b717c2c69ecc77db">
        <w:r>
          <w:rPr>
            <w:rStyle w:val="Hyperlink"/>
          </w:rPr>
          <w:t>KEYWORDS</w:t>
        </w:r>
      </w:hyperlink>
      <w:r>
        <w:t xml:space="preserve"> </w:t>
      </w:r>
      <w:r>
        <w:fldChar w:fldCharType="begin"/>
      </w:r>
      <w:r>
        <w:instrText>PAGEREF section_20e5dd1b37474a47b717c2c69ecc77db</w:instrText>
      </w:r>
      <w:r>
        <w:fldChar w:fldCharType="separate"/>
      </w:r>
      <w:r>
        <w:rPr>
          <w:noProof/>
        </w:rPr>
        <w:t>220</w:t>
      </w:r>
      <w:r>
        <w:fldChar w:fldCharType="end"/>
      </w:r>
    </w:p>
    <w:p w:rsidR="005F78FC" w:rsidRDefault="00B42EF3">
      <w:pPr>
        <w:pStyle w:val="indexentry0"/>
      </w:pPr>
      <w:hyperlink w:anchor="section_c02a5399b3584f4e8e42ad4fbb0e5261">
        <w:r>
          <w:rPr>
            <w:rStyle w:val="Hyperlink"/>
          </w:rPr>
          <w:t>kinsoku (Kinsoku Settings)</w:t>
        </w:r>
      </w:hyperlink>
      <w:r>
        <w:t xml:space="preserve"> </w:t>
      </w:r>
      <w:r>
        <w:fldChar w:fldCharType="begin"/>
      </w:r>
      <w:r>
        <w:instrText>PAGEREF section_c02a5399b3584f4e8e42ad4fbb0e5261</w:instrText>
      </w:r>
      <w:r>
        <w:fldChar w:fldCharType="separate"/>
      </w:r>
      <w:r>
        <w:rPr>
          <w:noProof/>
        </w:rPr>
        <w:t>464</w:t>
      </w:r>
      <w:r>
        <w:fldChar w:fldCharType="end"/>
      </w:r>
    </w:p>
    <w:p w:rsidR="005F78FC" w:rsidRDefault="00B42EF3">
      <w:pPr>
        <w:pStyle w:val="indexentry0"/>
      </w:pPr>
      <w:hyperlink w:anchor="section_84486937c3e44d37867268892080944d">
        <w:r>
          <w:rPr>
            <w:rStyle w:val="Hyperlink"/>
          </w:rPr>
          <w:t xml:space="preserve">kinsoku (Use East Asian Typography Rules for First </w:t>
        </w:r>
        <w:r>
          <w:rPr>
            <w:rStyle w:val="Hyperlink"/>
          </w:rPr>
          <w:t>and Last Character per Line)</w:t>
        </w:r>
      </w:hyperlink>
      <w:r>
        <w:t xml:space="preserve"> </w:t>
      </w:r>
      <w:r>
        <w:fldChar w:fldCharType="begin"/>
      </w:r>
      <w:r>
        <w:instrText>PAGEREF section_84486937c3e44d37867268892080944d</w:instrText>
      </w:r>
      <w:r>
        <w:fldChar w:fldCharType="separate"/>
      </w:r>
      <w:r>
        <w:rPr>
          <w:noProof/>
        </w:rPr>
        <w:t>67</w:t>
      </w:r>
      <w:r>
        <w:fldChar w:fldCharType="end"/>
      </w:r>
    </w:p>
    <w:p w:rsidR="005F78FC" w:rsidRDefault="00B42EF3">
      <w:pPr>
        <w:pStyle w:val="indexentry0"/>
      </w:pPr>
      <w:hyperlink w:anchor="section_e047f66586f44768a4b69bc5bda62613">
        <w:r>
          <w:rPr>
            <w:rStyle w:val="Hyperlink"/>
          </w:rPr>
          <w:t>kpi (OLAP KPI)</w:t>
        </w:r>
      </w:hyperlink>
      <w:r>
        <w:t xml:space="preserve"> </w:t>
      </w:r>
      <w:r>
        <w:fldChar w:fldCharType="begin"/>
      </w:r>
      <w:r>
        <w:instrText>PAGEREF section_e047f66586f44768a4b69bc5bda62613</w:instrText>
      </w:r>
      <w:r>
        <w:fldChar w:fldCharType="separate"/>
      </w:r>
      <w:r>
        <w:rPr>
          <w:noProof/>
        </w:rPr>
        <w:t>341</w:t>
      </w:r>
      <w:r>
        <w:fldChar w:fldCharType="end"/>
      </w:r>
    </w:p>
    <w:p w:rsidR="005F78FC" w:rsidRDefault="005F78FC">
      <w:pPr>
        <w:spacing w:before="0" w:after="0"/>
        <w:rPr>
          <w:sz w:val="16"/>
        </w:rPr>
      </w:pPr>
    </w:p>
    <w:p w:rsidR="005F78FC" w:rsidRDefault="00B42EF3">
      <w:pPr>
        <w:pStyle w:val="indexheader"/>
      </w:pPr>
      <w:r>
        <w:t>L</w:t>
      </w:r>
    </w:p>
    <w:p w:rsidR="005F78FC" w:rsidRDefault="005F78FC">
      <w:pPr>
        <w:spacing w:before="0" w:after="0"/>
        <w:rPr>
          <w:sz w:val="16"/>
        </w:rPr>
      </w:pPr>
    </w:p>
    <w:p w:rsidR="005F78FC" w:rsidRDefault="00B42EF3">
      <w:pPr>
        <w:pStyle w:val="indexentry0"/>
      </w:pPr>
      <w:hyperlink w:anchor="section_3e1acc92ae7a4b3db0f756fc7fb20389">
        <w:r>
          <w:rPr>
            <w:rStyle w:val="Hyperlink"/>
          </w:rPr>
          <w:t>label (Form Field Label)</w:t>
        </w:r>
      </w:hyperlink>
      <w:r>
        <w:t xml:space="preserve"> </w:t>
      </w:r>
      <w:r>
        <w:fldChar w:fldCharType="begin"/>
      </w:r>
      <w:r>
        <w:instrText>PAGEREF section_3e1acc92ae7a4b3db0f756fc7fb20389</w:instrText>
      </w:r>
      <w:r>
        <w:fldChar w:fldCharType="separate"/>
      </w:r>
      <w:r>
        <w:rPr>
          <w:noProof/>
        </w:rPr>
        <w:t>229</w:t>
      </w:r>
      <w:r>
        <w:fldChar w:fldCharType="end"/>
      </w:r>
    </w:p>
    <w:p w:rsidR="005F78FC" w:rsidRDefault="00B42EF3">
      <w:pPr>
        <w:pStyle w:val="indexentry0"/>
      </w:pPr>
      <w:hyperlink w:anchor="section_9105ab06e3984c73a1484b3b02dc0a3f">
        <w:r>
          <w:rPr>
            <w:rStyle w:val="Hyperlink"/>
          </w:rPr>
          <w:t>label (Structured Document Tag Label)</w:t>
        </w:r>
      </w:hyperlink>
      <w:r>
        <w:t xml:space="preserve"> </w:t>
      </w:r>
      <w:r>
        <w:fldChar w:fldCharType="begin"/>
      </w:r>
      <w:r>
        <w:instrText>PAGEREF section</w:instrText>
      </w:r>
      <w:r>
        <w:instrText>_9105ab06e3984c73a1484b3b02dc0a3f</w:instrText>
      </w:r>
      <w:r>
        <w:fldChar w:fldCharType="separate"/>
      </w:r>
      <w:r>
        <w:rPr>
          <w:noProof/>
        </w:rPr>
        <w:t>101</w:t>
      </w:r>
      <w:r>
        <w:fldChar w:fldCharType="end"/>
      </w:r>
    </w:p>
    <w:p w:rsidR="005F78FC" w:rsidRDefault="00B42EF3">
      <w:pPr>
        <w:pStyle w:val="indexentry0"/>
      </w:pPr>
      <w:hyperlink w:anchor="section_40c5a8d11e3e43dca5b0f324ea36bac1">
        <w:r>
          <w:rPr>
            <w:rStyle w:val="Hyperlink"/>
          </w:rPr>
          <w:t>lang (Languages for Run Content)</w:t>
        </w:r>
      </w:hyperlink>
      <w:r>
        <w:t xml:space="preserve"> </w:t>
      </w:r>
      <w:r>
        <w:fldChar w:fldCharType="begin"/>
      </w:r>
      <w:r>
        <w:instrText>PAGEREF section_40c5a8d11e3e43dca5b0f324ea36bac1</w:instrText>
      </w:r>
      <w:r>
        <w:fldChar w:fldCharType="separate"/>
      </w:r>
      <w:r>
        <w:rPr>
          <w:noProof/>
        </w:rPr>
        <w:t>75</w:t>
      </w:r>
      <w:r>
        <w:fldChar w:fldCharType="end"/>
      </w:r>
    </w:p>
    <w:p w:rsidR="005F78FC" w:rsidRDefault="00B42EF3">
      <w:pPr>
        <w:pStyle w:val="indexentry0"/>
      </w:pPr>
      <w:hyperlink w:anchor="section_e0d0fc0796bb4248a832dd0e8e42f001">
        <w:r>
          <w:rPr>
            <w:rStyle w:val="Hyperlink"/>
          </w:rPr>
          <w:t>lastRender</w:t>
        </w:r>
        <w:r>
          <w:rPr>
            <w:rStyle w:val="Hyperlink"/>
          </w:rPr>
          <w:t>edPageBreak (Position of Last Calculated Page Break)</w:t>
        </w:r>
      </w:hyperlink>
      <w:r>
        <w:t xml:space="preserve"> </w:t>
      </w:r>
      <w:r>
        <w:fldChar w:fldCharType="begin"/>
      </w:r>
      <w:r>
        <w:instrText>PAGEREF section_e0d0fc0796bb4248a832dd0e8e42f001</w:instrText>
      </w:r>
      <w:r>
        <w:fldChar w:fldCharType="separate"/>
      </w:r>
      <w:r>
        <w:rPr>
          <w:noProof/>
        </w:rPr>
        <w:t>82</w:t>
      </w:r>
      <w:r>
        <w:fldChar w:fldCharType="end"/>
      </w:r>
    </w:p>
    <w:p w:rsidR="005F78FC" w:rsidRDefault="00B42EF3">
      <w:pPr>
        <w:pStyle w:val="indexentry0"/>
      </w:pPr>
      <w:hyperlink w:anchor="section_9bd6ce8277ae4615a46920fd41e88e8c">
        <w:r>
          <w:rPr>
            <w:rStyle w:val="Hyperlink"/>
          </w:rPr>
          <w:t>LASTSAVEDBY</w:t>
        </w:r>
      </w:hyperlink>
      <w:r>
        <w:t xml:space="preserve"> </w:t>
      </w:r>
      <w:r>
        <w:fldChar w:fldCharType="begin"/>
      </w:r>
      <w:r>
        <w:instrText>PAGEREF section_9bd6ce8277ae4615a46920fd41e88e8c</w:instrText>
      </w:r>
      <w:r>
        <w:fldChar w:fldCharType="separate"/>
      </w:r>
      <w:r>
        <w:rPr>
          <w:noProof/>
        </w:rPr>
        <w:t>220</w:t>
      </w:r>
      <w:r>
        <w:fldChar w:fldCharType="end"/>
      </w:r>
    </w:p>
    <w:p w:rsidR="005F78FC" w:rsidRDefault="00B42EF3">
      <w:pPr>
        <w:pStyle w:val="indexentry0"/>
      </w:pPr>
      <w:hyperlink w:anchor="section_08608911e4574cbd8a3001b9433dc849">
        <w:r>
          <w:rPr>
            <w:rStyle w:val="Hyperlink"/>
          </w:rPr>
          <w:t>latentStyles (Latent Style Information)</w:t>
        </w:r>
      </w:hyperlink>
      <w:r>
        <w:t xml:space="preserve"> </w:t>
      </w:r>
      <w:r>
        <w:fldChar w:fldCharType="begin"/>
      </w:r>
      <w:r>
        <w:instrText>PAGEREF section_08608911e4574cbd8a3001b9433dc849</w:instrText>
      </w:r>
      <w:r>
        <w:fldChar w:fldCharType="separate"/>
      </w:r>
      <w:r>
        <w:rPr>
          <w:noProof/>
        </w:rPr>
        <w:t>109</w:t>
      </w:r>
      <w:r>
        <w:fldChar w:fldCharType="end"/>
      </w:r>
    </w:p>
    <w:p w:rsidR="005F78FC" w:rsidRDefault="00B42EF3">
      <w:pPr>
        <w:pStyle w:val="indexentry0"/>
      </w:pPr>
      <w:hyperlink w:anchor="section_e6784cb715474ee5addc730cac8b4d00">
        <w:r>
          <w:rPr>
            <w:rStyle w:val="Hyperlink"/>
          </w:rPr>
          <w:t>latin (Latin Font)</w:t>
        </w:r>
      </w:hyperlink>
      <w:r>
        <w:t xml:space="preserve"> </w:t>
      </w:r>
      <w:r>
        <w:fldChar w:fldCharType="begin"/>
      </w:r>
      <w:r>
        <w:instrText>PAGEREF section_e6784cb715474ee5addc730ca</w:instrText>
      </w:r>
      <w:r>
        <w:instrText>c8b4d00</w:instrText>
      </w:r>
      <w:r>
        <w:fldChar w:fldCharType="separate"/>
      </w:r>
      <w:r>
        <w:rPr>
          <w:noProof/>
        </w:rPr>
        <w:t>538</w:t>
      </w:r>
      <w:r>
        <w:fldChar w:fldCharType="end"/>
      </w:r>
    </w:p>
    <w:p w:rsidR="005F78FC" w:rsidRDefault="00B42EF3">
      <w:pPr>
        <w:pStyle w:val="indexentry0"/>
      </w:pPr>
      <w:hyperlink w:anchor="section_103a45d564c44e46b972658f87b24c63">
        <w:r>
          <w:rPr>
            <w:rStyle w:val="Hyperlink"/>
          </w:rPr>
          <w:t>layout (Layout)</w:t>
        </w:r>
      </w:hyperlink>
      <w:r>
        <w:t xml:space="preserve"> </w:t>
      </w:r>
      <w:r>
        <w:fldChar w:fldCharType="begin"/>
      </w:r>
      <w:r>
        <w:instrText>PAGEREF section_103a45d564c44e46b972658f87b24c63</w:instrText>
      </w:r>
      <w:r>
        <w:fldChar w:fldCharType="separate"/>
      </w:r>
      <w:r>
        <w:rPr>
          <w:noProof/>
        </w:rPr>
        <w:t>557</w:t>
      </w:r>
      <w:r>
        <w:fldChar w:fldCharType="end"/>
      </w:r>
    </w:p>
    <w:p w:rsidR="005F78FC" w:rsidRDefault="00B42EF3">
      <w:pPr>
        <w:pStyle w:val="indexentry0"/>
      </w:pPr>
      <w:hyperlink w:anchor="section_63d53b16d3cf4361b04875462a9a40e7">
        <w:r>
          <w:rPr>
            <w:rStyle w:val="Hyperlink"/>
          </w:rPr>
          <w:t>layoutTarget (Layout Target)</w:t>
        </w:r>
      </w:hyperlink>
      <w:r>
        <w:t xml:space="preserve"> </w:t>
      </w:r>
      <w:r>
        <w:fldChar w:fldCharType="begin"/>
      </w:r>
      <w:r>
        <w:instrText>PAGEREF section_63d53b16d3cf4361b04875462a9a40e7</w:instrText>
      </w:r>
      <w:r>
        <w:fldChar w:fldCharType="separate"/>
      </w:r>
      <w:r>
        <w:rPr>
          <w:noProof/>
        </w:rPr>
        <w:t>557</w:t>
      </w:r>
      <w:r>
        <w:fldChar w:fldCharType="end"/>
      </w:r>
    </w:p>
    <w:p w:rsidR="005F78FC" w:rsidRDefault="00B42EF3">
      <w:pPr>
        <w:pStyle w:val="indexentry0"/>
      </w:pPr>
      <w:hyperlink w:anchor="section_63ae8c94327f45afaafd773999103ec5">
        <w:r>
          <w:rPr>
            <w:rStyle w:val="Hyperlink"/>
          </w:rPr>
          <w:t>LCID (Locale ID)</w:t>
        </w:r>
      </w:hyperlink>
      <w:r>
        <w:t xml:space="preserve"> </w:t>
      </w:r>
      <w:r>
        <w:fldChar w:fldCharType="begin"/>
      </w:r>
      <w:r>
        <w:instrText>PAGEREF section_63ae8c94327f45afaafd773999103ec5</w:instrText>
      </w:r>
      <w:r>
        <w:fldChar w:fldCharType="separate"/>
      </w:r>
      <w:r>
        <w:rPr>
          <w:noProof/>
        </w:rPr>
        <w:t>615</w:t>
      </w:r>
      <w:r>
        <w:fldChar w:fldCharType="end"/>
      </w:r>
    </w:p>
    <w:p w:rsidR="005F78FC" w:rsidRDefault="00B42EF3">
      <w:pPr>
        <w:pStyle w:val="indexentry0"/>
      </w:pPr>
      <w:hyperlink w:anchor="section_08b9c240a1da41ef867f74c008a367f9">
        <w:r>
          <w:rPr>
            <w:rStyle w:val="Hyperlink"/>
          </w:rPr>
          <w:t>LCT (Callback Type)</w:t>
        </w:r>
      </w:hyperlink>
      <w:r>
        <w:t xml:space="preserve"> </w:t>
      </w:r>
      <w:r>
        <w:fldChar w:fldCharType="begin"/>
      </w:r>
      <w:r>
        <w:instrText>PAGEREF section_08b9c240a1da41ef867f74c008a367f9</w:instrText>
      </w:r>
      <w:r>
        <w:fldChar w:fldCharType="separate"/>
      </w:r>
      <w:r>
        <w:rPr>
          <w:noProof/>
        </w:rPr>
        <w:t>682</w:t>
      </w:r>
      <w:r>
        <w:fldChar w:fldCharType="end"/>
      </w:r>
    </w:p>
    <w:p w:rsidR="005F78FC" w:rsidRDefault="00B42EF3">
      <w:pPr>
        <w:pStyle w:val="indexentry0"/>
      </w:pPr>
      <w:hyperlink w:anchor="section_3536abf10a574a15a1976b56b3f4616f">
        <w:r>
          <w:rPr>
            <w:rStyle w:val="Hyperlink"/>
          </w:rPr>
          <w:t>leaderLines (Leader Lines)</w:t>
        </w:r>
      </w:hyperlink>
      <w:r>
        <w:t xml:space="preserve"> </w:t>
      </w:r>
      <w:r>
        <w:fldChar w:fldCharType="begin"/>
      </w:r>
      <w:r>
        <w:instrText>PAGEREF section_3536abf10a574a15a1976b56b3f4616f</w:instrText>
      </w:r>
      <w:r>
        <w:fldChar w:fldCharType="separate"/>
      </w:r>
      <w:r>
        <w:rPr>
          <w:noProof/>
        </w:rPr>
        <w:t>558</w:t>
      </w:r>
      <w:r>
        <w:fldChar w:fldCharType="end"/>
      </w:r>
    </w:p>
    <w:p w:rsidR="005F78FC" w:rsidRDefault="00B42EF3">
      <w:pPr>
        <w:pStyle w:val="indexentry0"/>
      </w:pPr>
      <w:hyperlink w:anchor="section_e695b5596b384df9927a6077fff4f888">
        <w:r>
          <w:rPr>
            <w:rStyle w:val="Hyperlink"/>
          </w:rPr>
          <w:t>LEFT</w:t>
        </w:r>
      </w:hyperlink>
      <w:r>
        <w:t xml:space="preserve"> </w:t>
      </w:r>
      <w:r>
        <w:fldChar w:fldCharType="begin"/>
      </w:r>
      <w:r>
        <w:instrText>PAGEREF section_e695b5596b384df9927a6077fff4f888</w:instrText>
      </w:r>
      <w:r>
        <w:fldChar w:fldCharType="separate"/>
      </w:r>
      <w:r>
        <w:rPr>
          <w:noProof/>
        </w:rPr>
        <w:t>431</w:t>
      </w:r>
      <w:r>
        <w:fldChar w:fldCharType="end"/>
      </w:r>
    </w:p>
    <w:p w:rsidR="005F78FC" w:rsidRDefault="00B42EF3">
      <w:pPr>
        <w:pStyle w:val="indexentry0"/>
      </w:pPr>
      <w:hyperlink w:anchor="section_88086db0881a462fafb3fad01a9b1be3">
        <w:r>
          <w:rPr>
            <w:rStyle w:val="Hyperlink"/>
          </w:rPr>
          <w:t>left (Left Border for HTML div)</w:t>
        </w:r>
      </w:hyperlink>
      <w:r>
        <w:t xml:space="preserve"> </w:t>
      </w:r>
      <w:r>
        <w:fldChar w:fldCharType="begin"/>
      </w:r>
      <w:r>
        <w:instrText>PAGEREF section_88086db0881a462fafb3fad01a9b1be3</w:instrText>
      </w:r>
      <w:r>
        <w:fldChar w:fldCharType="separate"/>
      </w:r>
      <w:r>
        <w:rPr>
          <w:noProof/>
        </w:rPr>
        <w:t>165</w:t>
      </w:r>
      <w:r>
        <w:fldChar w:fldCharType="end"/>
      </w:r>
    </w:p>
    <w:p w:rsidR="005F78FC" w:rsidRDefault="00B42EF3">
      <w:pPr>
        <w:pStyle w:val="indexentry0"/>
      </w:pPr>
      <w:hyperlink w:anchor="section_94d7cfde2a8847babe9615860e86d40f">
        <w:r>
          <w:rPr>
            <w:rStyle w:val="Hyperlink"/>
          </w:rPr>
          <w:t>left (Left Border)</w:t>
        </w:r>
      </w:hyperlink>
      <w:r>
        <w:t xml:space="preserve"> </w:t>
      </w:r>
      <w:r>
        <w:fldChar w:fldCharType="begin"/>
      </w:r>
      <w:r>
        <w:instrText>PAGEREF section_94d7cfde2a8847babe9615860e86d40f</w:instrText>
      </w:r>
      <w:r>
        <w:fldChar w:fldCharType="separate"/>
      </w:r>
      <w:r>
        <w:rPr>
          <w:noProof/>
        </w:rPr>
        <w:t>105</w:t>
      </w:r>
      <w:r>
        <w:fldChar w:fldCharType="end"/>
      </w:r>
    </w:p>
    <w:p w:rsidR="005F78FC" w:rsidRDefault="00B42EF3">
      <w:pPr>
        <w:pStyle w:val="indexentry0"/>
      </w:pPr>
      <w:hyperlink w:anchor="section_357112b6a39c472a92df956d518d4aa8">
        <w:r>
          <w:rPr>
            <w:rStyle w:val="Hyperlink"/>
          </w:rPr>
          <w:t>left (Left Paragraph Border)</w:t>
        </w:r>
      </w:hyperlink>
      <w:r>
        <w:t xml:space="preserve"> </w:t>
      </w:r>
      <w:r>
        <w:fldChar w:fldCharType="begin"/>
      </w:r>
      <w:r>
        <w:instrText>PAGEREF section_357112b6a39c472a92df956d518d4aa8</w:instrText>
      </w:r>
      <w:r>
        <w:fldChar w:fldCharType="separate"/>
      </w:r>
      <w:r>
        <w:rPr>
          <w:noProof/>
        </w:rPr>
        <w:t>68</w:t>
      </w:r>
      <w:r>
        <w:fldChar w:fldCharType="end"/>
      </w:r>
    </w:p>
    <w:p w:rsidR="005F78FC" w:rsidRDefault="00B42EF3">
      <w:pPr>
        <w:pStyle w:val="indexentry0"/>
      </w:pPr>
      <w:hyperlink w:anchor="section_95b4a3c3bcd641ad976129b98779e979">
        <w:r>
          <w:rPr>
            <w:rStyle w:val="Hyperlink"/>
          </w:rPr>
          <w:t>left (Table Cell Leading Edge Border)</w:t>
        </w:r>
      </w:hyperlink>
      <w:r>
        <w:t xml:space="preserve"> </w:t>
      </w:r>
      <w:r>
        <w:fldChar w:fldCharType="begin"/>
      </w:r>
      <w:r>
        <w:instrText>PAGEREF section_95b4a3c3bcd641ad976129b98779e979</w:instrText>
      </w:r>
      <w:r>
        <w:fldChar w:fldCharType="separate"/>
      </w:r>
      <w:r>
        <w:rPr>
          <w:noProof/>
        </w:rPr>
        <w:t>626</w:t>
      </w:r>
      <w:r>
        <w:fldChar w:fldCharType="end"/>
      </w:r>
    </w:p>
    <w:p w:rsidR="005F78FC" w:rsidRDefault="00B42EF3">
      <w:pPr>
        <w:pStyle w:val="indexentry0"/>
      </w:pPr>
      <w:hyperlink w:anchor="section_94be0b2982844099b9c60df1e3988a08">
        <w:r>
          <w:rPr>
            <w:rStyle w:val="Hyperlink"/>
          </w:rPr>
          <w:t>left (Table Cell Leading Margin Default)</w:t>
        </w:r>
      </w:hyperlink>
      <w:r>
        <w:t xml:space="preserve"> </w:t>
      </w:r>
      <w:r>
        <w:fldChar w:fldCharType="begin"/>
      </w:r>
      <w:r>
        <w:instrText>PAGERE</w:instrText>
      </w:r>
      <w:r>
        <w:instrText>F section_94be0b2982844099b9c60df1e3988a08</w:instrText>
      </w:r>
      <w:r>
        <w:fldChar w:fldCharType="separate"/>
      </w:r>
      <w:r>
        <w:rPr>
          <w:noProof/>
        </w:rPr>
        <w:t>626</w:t>
      </w:r>
      <w:r>
        <w:fldChar w:fldCharType="end"/>
      </w:r>
    </w:p>
    <w:p w:rsidR="005F78FC" w:rsidRDefault="00B42EF3">
      <w:pPr>
        <w:pStyle w:val="indexentry0"/>
      </w:pPr>
      <w:hyperlink w:anchor="section_13455a85a26f4dc4978af315b8d9afa7">
        <w:r>
          <w:rPr>
            <w:rStyle w:val="Hyperlink"/>
          </w:rPr>
          <w:t>left (Table Cell Leading Margin Exception)</w:t>
        </w:r>
      </w:hyperlink>
      <w:r>
        <w:t xml:space="preserve"> </w:t>
      </w:r>
      <w:r>
        <w:fldChar w:fldCharType="begin"/>
      </w:r>
      <w:r>
        <w:instrText>PAGEREF section_13455a85a26f4dc4978af315b8d9afa7</w:instrText>
      </w:r>
      <w:r>
        <w:fldChar w:fldCharType="separate"/>
      </w:r>
      <w:r>
        <w:rPr>
          <w:noProof/>
        </w:rPr>
        <w:t>626</w:t>
      </w:r>
      <w:r>
        <w:fldChar w:fldCharType="end"/>
      </w:r>
    </w:p>
    <w:p w:rsidR="005F78FC" w:rsidRDefault="00B42EF3">
      <w:pPr>
        <w:pStyle w:val="indexentry0"/>
      </w:pPr>
      <w:hyperlink w:anchor="section_6333f5cc79f94100b4c0709626bbb551">
        <w:r>
          <w:rPr>
            <w:rStyle w:val="Hyperlink"/>
          </w:rPr>
          <w:t>left (Table Leading Edge Border)</w:t>
        </w:r>
      </w:hyperlink>
      <w:r>
        <w:t xml:space="preserve"> </w:t>
      </w:r>
      <w:r>
        <w:fldChar w:fldCharType="begin"/>
      </w:r>
      <w:r>
        <w:instrText>PAGEREF section_6333f5cc79f94100b4c0709626bbb551</w:instrText>
      </w:r>
      <w:r>
        <w:fldChar w:fldCharType="separate"/>
      </w:r>
      <w:r>
        <w:rPr>
          <w:noProof/>
        </w:rPr>
        <w:t>626</w:t>
      </w:r>
      <w:r>
        <w:fldChar w:fldCharType="end"/>
      </w:r>
    </w:p>
    <w:p w:rsidR="005F78FC" w:rsidRDefault="00B42EF3">
      <w:pPr>
        <w:pStyle w:val="indexentry0"/>
      </w:pPr>
      <w:hyperlink w:anchor="section_a3049fb58be6431ea81f2e81535c0f0c">
        <w:r>
          <w:rPr>
            <w:rStyle w:val="Hyperlink"/>
          </w:rPr>
          <w:t>left (Text Box Left Stroke)</w:t>
        </w:r>
      </w:hyperlink>
      <w:r>
        <w:t xml:space="preserve"> </w:t>
      </w:r>
      <w:r>
        <w:fldChar w:fldCharType="begin"/>
      </w:r>
      <w:r>
        <w:instrText>PAGEREF section_a3049fb58be6431ea81f2e81535c0f0c</w:instrText>
      </w:r>
      <w:r>
        <w:fldChar w:fldCharType="separate"/>
      </w:r>
      <w:r>
        <w:rPr>
          <w:noProof/>
        </w:rPr>
        <w:t>671</w:t>
      </w:r>
      <w:r>
        <w:fldChar w:fldCharType="end"/>
      </w:r>
    </w:p>
    <w:p w:rsidR="005F78FC" w:rsidRDefault="00B42EF3">
      <w:pPr>
        <w:pStyle w:val="indexentry0"/>
      </w:pPr>
      <w:hyperlink w:anchor="section_1ff4777a2b164eedaea6bca9ee46e38f">
        <w:r>
          <w:rPr>
            <w:rStyle w:val="Hyperlink"/>
          </w:rPr>
          <w:t>LEFTB</w:t>
        </w:r>
      </w:hyperlink>
      <w:r>
        <w:t xml:space="preserve"> </w:t>
      </w:r>
      <w:r>
        <w:fldChar w:fldCharType="begin"/>
      </w:r>
      <w:r>
        <w:instrText>PAGEREF section_1ff4777a2b164eedaea6bca9ee46e38f</w:instrText>
      </w:r>
      <w:r>
        <w:fldChar w:fldCharType="separate"/>
      </w:r>
      <w:r>
        <w:rPr>
          <w:noProof/>
        </w:rPr>
        <w:t>431</w:t>
      </w:r>
      <w:r>
        <w:fldChar w:fldCharType="end"/>
      </w:r>
    </w:p>
    <w:p w:rsidR="005F78FC" w:rsidRDefault="00B42EF3">
      <w:pPr>
        <w:pStyle w:val="indexentry0"/>
      </w:pPr>
      <w:hyperlink w:anchor="section_2bbc626e33b649f69ce6a5b08386e37c">
        <w:r>
          <w:rPr>
            <w:rStyle w:val="Hyperlink"/>
          </w:rPr>
          <w:t>legacy (Legacy Numbering Level Properties)</w:t>
        </w:r>
      </w:hyperlink>
      <w:r>
        <w:t xml:space="preserve"> </w:t>
      </w:r>
      <w:r>
        <w:fldChar w:fldCharType="begin"/>
      </w:r>
      <w:r>
        <w:instrText>PAGEREF section_2bbc626e33b64</w:instrText>
      </w:r>
      <w:r>
        <w:instrText>9f69ce6a5b08386e37c</w:instrText>
      </w:r>
      <w:r>
        <w:fldChar w:fldCharType="separate"/>
      </w:r>
      <w:r>
        <w:rPr>
          <w:noProof/>
        </w:rPr>
        <w:t>628</w:t>
      </w:r>
      <w:r>
        <w:fldChar w:fldCharType="end"/>
      </w:r>
    </w:p>
    <w:p w:rsidR="005F78FC" w:rsidRDefault="00B42EF3">
      <w:pPr>
        <w:pStyle w:val="indexentry0"/>
      </w:pPr>
      <w:hyperlink w:anchor="section_7add4897f6cd429f8e0504ad5a270def">
        <w:r>
          <w:rPr>
            <w:rStyle w:val="Hyperlink"/>
          </w:rPr>
          <w:t>Legacy Diagram Text Info part</w:t>
        </w:r>
      </w:hyperlink>
      <w:r>
        <w:t xml:space="preserve"> </w:t>
      </w:r>
      <w:r>
        <w:fldChar w:fldCharType="begin"/>
      </w:r>
      <w:r>
        <w:instrText>PAGEREF section_7add4897f6cd429f8e0504ad5a270def</w:instrText>
      </w:r>
      <w:r>
        <w:fldChar w:fldCharType="separate"/>
      </w:r>
      <w:r>
        <w:rPr>
          <w:noProof/>
        </w:rPr>
        <w:t>850</w:t>
      </w:r>
      <w:r>
        <w:fldChar w:fldCharType="end"/>
      </w:r>
    </w:p>
    <w:p w:rsidR="005F78FC" w:rsidRDefault="00B42EF3">
      <w:pPr>
        <w:pStyle w:val="indexentry0"/>
      </w:pPr>
      <w:hyperlink w:anchor="section_40b7fcb52a8347efb0a42ac4d13aa6e1">
        <w:r>
          <w:rPr>
            <w:rStyle w:val="Hyperlink"/>
          </w:rPr>
          <w:t>Legacy Diagram Text part</w:t>
        </w:r>
      </w:hyperlink>
      <w:r>
        <w:t xml:space="preserve"> </w:t>
      </w:r>
      <w:r>
        <w:fldChar w:fldCharType="begin"/>
      </w:r>
      <w:r>
        <w:instrText>PAGEREF section_40b7fcb52a8347efb0a42ac4d13aa6e1</w:instrText>
      </w:r>
      <w:r>
        <w:fldChar w:fldCharType="separate"/>
      </w:r>
      <w:r>
        <w:rPr>
          <w:noProof/>
        </w:rPr>
        <w:t>850</w:t>
      </w:r>
      <w:r>
        <w:fldChar w:fldCharType="end"/>
      </w:r>
    </w:p>
    <w:p w:rsidR="005F78FC" w:rsidRDefault="00B42EF3">
      <w:pPr>
        <w:pStyle w:val="indexentry0"/>
      </w:pPr>
      <w:hyperlink w:anchor="section_8314e929129a4991a7f99f37010521e5">
        <w:r>
          <w:rPr>
            <w:rStyle w:val="Hyperlink"/>
          </w:rPr>
          <w:t>legendPos (Legend Position)</w:t>
        </w:r>
      </w:hyperlink>
      <w:r>
        <w:t xml:space="preserve"> </w:t>
      </w:r>
      <w:r>
        <w:fldChar w:fldCharType="begin"/>
      </w:r>
      <w:r>
        <w:instrText>PAGEREF section_8314e929129a4991a7f99f37010521e5</w:instrText>
      </w:r>
      <w:r>
        <w:fldChar w:fldCharType="separate"/>
      </w:r>
      <w:r>
        <w:rPr>
          <w:noProof/>
        </w:rPr>
        <w:t>558</w:t>
      </w:r>
      <w:r>
        <w:fldChar w:fldCharType="end"/>
      </w:r>
    </w:p>
    <w:p w:rsidR="005F78FC" w:rsidRDefault="00B42EF3">
      <w:pPr>
        <w:pStyle w:val="indexentry0"/>
      </w:pPr>
      <w:hyperlink w:anchor="section_d6a74eba0eff4bb6bfc68d69fc7c6aac">
        <w:r>
          <w:rPr>
            <w:rStyle w:val="Hyperlink"/>
          </w:rPr>
          <w:t>LEN</w:t>
        </w:r>
      </w:hyperlink>
      <w:r>
        <w:t xml:space="preserve"> </w:t>
      </w:r>
      <w:r>
        <w:fldChar w:fldCharType="begin"/>
      </w:r>
      <w:r>
        <w:instrText>PAGEREF section_d6a74eba0eff4bb6bfc68d69fc7c6aac</w:instrText>
      </w:r>
      <w:r>
        <w:fldChar w:fldCharType="separate"/>
      </w:r>
      <w:r>
        <w:rPr>
          <w:noProof/>
        </w:rPr>
        <w:t>431</w:t>
      </w:r>
      <w:r>
        <w:fldChar w:fldCharType="end"/>
      </w:r>
    </w:p>
    <w:p w:rsidR="005F78FC" w:rsidRDefault="00B42EF3">
      <w:pPr>
        <w:pStyle w:val="indexentry0"/>
      </w:pPr>
      <w:hyperlink w:anchor="section_3603d0a308ca4280ab15d97c69cb47b6">
        <w:r>
          <w:rPr>
            <w:rStyle w:val="Hyperlink"/>
          </w:rPr>
          <w:t>LENB</w:t>
        </w:r>
      </w:hyperlink>
      <w:r>
        <w:t xml:space="preserve"> </w:t>
      </w:r>
      <w:r>
        <w:fldChar w:fldCharType="begin"/>
      </w:r>
      <w:r>
        <w:instrText>PAGEREF section_3603d0a308ca4280ab15d97c69cb47b6</w:instrText>
      </w:r>
      <w:r>
        <w:fldChar w:fldCharType="separate"/>
      </w:r>
      <w:r>
        <w:rPr>
          <w:noProof/>
        </w:rPr>
        <w:t>432</w:t>
      </w:r>
      <w:r>
        <w:fldChar w:fldCharType="end"/>
      </w:r>
    </w:p>
    <w:p w:rsidR="005F78FC" w:rsidRDefault="00B42EF3">
      <w:pPr>
        <w:pStyle w:val="indexentry0"/>
      </w:pPr>
      <w:hyperlink w:anchor="section_1871b640e0af43cd8bb29ac3ed938a57">
        <w:r>
          <w:rPr>
            <w:rStyle w:val="Hyperlink"/>
          </w:rPr>
          <w:t xml:space="preserve">lid (Date Picker </w:t>
        </w:r>
        <w:r>
          <w:rPr>
            <w:rStyle w:val="Hyperlink"/>
          </w:rPr>
          <w:t>Language ID)</w:t>
        </w:r>
      </w:hyperlink>
      <w:r>
        <w:t xml:space="preserve"> </w:t>
      </w:r>
      <w:r>
        <w:fldChar w:fldCharType="begin"/>
      </w:r>
      <w:r>
        <w:instrText>PAGEREF section_1871b640e0af43cd8bb29ac3ed938a57</w:instrText>
      </w:r>
      <w:r>
        <w:fldChar w:fldCharType="separate"/>
      </w:r>
      <w:r>
        <w:rPr>
          <w:noProof/>
        </w:rPr>
        <w:t>101</w:t>
      </w:r>
      <w:r>
        <w:fldChar w:fldCharType="end"/>
      </w:r>
    </w:p>
    <w:p w:rsidR="005F78FC" w:rsidRDefault="00B42EF3">
      <w:pPr>
        <w:pStyle w:val="indexentry0"/>
      </w:pPr>
      <w:hyperlink w:anchor="section_22af890dc1be4b36939a8608ea5b01ae">
        <w:r>
          <w:rPr>
            <w:rStyle w:val="Hyperlink"/>
          </w:rPr>
          <w:t>lid (Language ID for Phonetic Guide)</w:t>
        </w:r>
      </w:hyperlink>
      <w:r>
        <w:t xml:space="preserve"> </w:t>
      </w:r>
      <w:r>
        <w:fldChar w:fldCharType="begin"/>
      </w:r>
      <w:r>
        <w:instrText>PAGEREF section_22af890dc1be4b36939a8608ea5b01ae</w:instrText>
      </w:r>
      <w:r>
        <w:fldChar w:fldCharType="separate"/>
      </w:r>
      <w:r>
        <w:rPr>
          <w:noProof/>
        </w:rPr>
        <w:t>83</w:t>
      </w:r>
      <w:r>
        <w:fldChar w:fldCharType="end"/>
      </w:r>
    </w:p>
    <w:p w:rsidR="005F78FC" w:rsidRDefault="00B42EF3">
      <w:pPr>
        <w:pStyle w:val="indexentry0"/>
      </w:pPr>
      <w:hyperlink w:anchor="section_c73305a2b02643f9846307203a71f773">
        <w:r>
          <w:rPr>
            <w:rStyle w:val="Hyperlink"/>
          </w:rPr>
          <w:t>lid (Merge Field Name Language ID)</w:t>
        </w:r>
      </w:hyperlink>
      <w:r>
        <w:t xml:space="preserve"> </w:t>
      </w:r>
      <w:r>
        <w:fldChar w:fldCharType="begin"/>
      </w:r>
      <w:r>
        <w:instrText>PAGEREF section_c73305a2b02643f9846307203a71f773</w:instrText>
      </w:r>
      <w:r>
        <w:fldChar w:fldCharType="separate"/>
      </w:r>
      <w:r>
        <w:rPr>
          <w:noProof/>
        </w:rPr>
        <w:t>147</w:t>
      </w:r>
      <w:r>
        <w:fldChar w:fldCharType="end"/>
      </w:r>
    </w:p>
    <w:p w:rsidR="005F78FC" w:rsidRDefault="00B42EF3">
      <w:pPr>
        <w:pStyle w:val="indexentry0"/>
      </w:pPr>
      <w:hyperlink w:anchor="section_592fc3bd3e7d4045b36b62910679ae09">
        <w:r>
          <w:rPr>
            <w:rStyle w:val="Hyperlink"/>
          </w:rPr>
          <w:t>lightRig (Light Rig)</w:t>
        </w:r>
      </w:hyperlink>
      <w:r>
        <w:t xml:space="preserve"> </w:t>
      </w:r>
      <w:r>
        <w:fldChar w:fldCharType="begin"/>
      </w:r>
      <w:r>
        <w:instrText>PAGEREF section_592fc3bd3e7d4045b36b62910679ae09</w:instrText>
      </w:r>
      <w:r>
        <w:fldChar w:fldCharType="separate"/>
      </w:r>
      <w:r>
        <w:rPr>
          <w:noProof/>
        </w:rPr>
        <w:t>511</w:t>
      </w:r>
      <w:r>
        <w:fldChar w:fldCharType="end"/>
      </w:r>
    </w:p>
    <w:p w:rsidR="005F78FC" w:rsidRDefault="00B42EF3">
      <w:pPr>
        <w:pStyle w:val="indexentry0"/>
      </w:pPr>
      <w:hyperlink w:anchor="section_76f92d20f41e48d9a6fc0de5733f477a">
        <w:r>
          <w:rPr>
            <w:rStyle w:val="Hyperlink"/>
          </w:rPr>
          <w:t>lim (Limit)</w:t>
        </w:r>
      </w:hyperlink>
      <w:r>
        <w:t xml:space="preserve"> </w:t>
      </w:r>
      <w:r>
        <w:fldChar w:fldCharType="begin"/>
      </w:r>
      <w:r>
        <w:instrText>PAGEREF section_76f92d20f41e48d9a6fc0de5733f477a</w:instrText>
      </w:r>
      <w:r>
        <w:fldChar w:fldCharType="separate"/>
      </w:r>
      <w:r>
        <w:rPr>
          <w:noProof/>
        </w:rPr>
        <w:t>600</w:t>
      </w:r>
      <w:r>
        <w:fldChar w:fldCharType="end"/>
      </w:r>
    </w:p>
    <w:p w:rsidR="005F78FC" w:rsidRDefault="00B42EF3">
      <w:pPr>
        <w:pStyle w:val="indexentry0"/>
      </w:pPr>
      <w:hyperlink w:anchor="section_1f2eecd829294f2bb182d99c88b23b50">
        <w:r>
          <w:rPr>
            <w:rStyle w:val="Hyperlink"/>
          </w:rPr>
          <w:t>Limitations in Word</w:t>
        </w:r>
      </w:hyperlink>
      <w:r>
        <w:t xml:space="preserve"> </w:t>
      </w:r>
      <w:r>
        <w:fldChar w:fldCharType="begin"/>
      </w:r>
      <w:r>
        <w:instrText>PAGEREF section_1f2eecd829294f2bb182d99c88b23b</w:instrText>
      </w:r>
      <w:r>
        <w:instrText>50</w:instrText>
      </w:r>
      <w:r>
        <w:fldChar w:fldCharType="separate"/>
      </w:r>
      <w:r>
        <w:rPr>
          <w:noProof/>
        </w:rPr>
        <w:t>899</w:t>
      </w:r>
      <w:r>
        <w:fldChar w:fldCharType="end"/>
      </w:r>
    </w:p>
    <w:p w:rsidR="005F78FC" w:rsidRDefault="00B42EF3">
      <w:pPr>
        <w:pStyle w:val="indexentry0"/>
      </w:pPr>
      <w:hyperlink w:anchor="section_d4e1a069839f40fa8010281af148c209">
        <w:r>
          <w:rPr>
            <w:rStyle w:val="Hyperlink"/>
          </w:rPr>
          <w:t>limLow (Lower-Limit Object)</w:t>
        </w:r>
      </w:hyperlink>
      <w:r>
        <w:t xml:space="preserve"> </w:t>
      </w:r>
      <w:r>
        <w:fldChar w:fldCharType="begin"/>
      </w:r>
      <w:r>
        <w:instrText>PAGEREF section_d4e1a069839f40fa8010281af148c209</w:instrText>
      </w:r>
      <w:r>
        <w:fldChar w:fldCharType="separate"/>
      </w:r>
      <w:r>
        <w:rPr>
          <w:noProof/>
        </w:rPr>
        <w:t>601</w:t>
      </w:r>
      <w:r>
        <w:fldChar w:fldCharType="end"/>
      </w:r>
    </w:p>
    <w:p w:rsidR="005F78FC" w:rsidRDefault="00B42EF3">
      <w:pPr>
        <w:pStyle w:val="indexentry0"/>
      </w:pPr>
      <w:hyperlink w:anchor="section_ea84aac10fc148abbcb96b67689d0a1a">
        <w:r>
          <w:rPr>
            <w:rStyle w:val="Hyperlink"/>
          </w:rPr>
          <w:t>limUpp (Upper-Limit Object)</w:t>
        </w:r>
      </w:hyperlink>
      <w:r>
        <w:t xml:space="preserve"> </w:t>
      </w:r>
      <w:r>
        <w:fldChar w:fldCharType="begin"/>
      </w:r>
      <w:r>
        <w:instrText>PAGEREF section_</w:instrText>
      </w:r>
      <w:r>
        <w:instrText>ea84aac10fc148abbcb96b67689d0a1a</w:instrText>
      </w:r>
      <w:r>
        <w:fldChar w:fldCharType="separate"/>
      </w:r>
      <w:r>
        <w:rPr>
          <w:noProof/>
        </w:rPr>
        <w:t>601</w:t>
      </w:r>
      <w:r>
        <w:fldChar w:fldCharType="end"/>
      </w:r>
    </w:p>
    <w:p w:rsidR="005F78FC" w:rsidRDefault="00B42EF3">
      <w:pPr>
        <w:pStyle w:val="indexentry0"/>
      </w:pPr>
      <w:hyperlink w:anchor="section_c5f7cef6299c497aade49242eec0032b">
        <w:r>
          <w:rPr>
            <w:rStyle w:val="Hyperlink"/>
          </w:rPr>
          <w:t>linClrLst (Line Color List)</w:t>
        </w:r>
      </w:hyperlink>
      <w:r>
        <w:t xml:space="preserve"> </w:t>
      </w:r>
      <w:r>
        <w:fldChar w:fldCharType="begin"/>
      </w:r>
      <w:r>
        <w:instrText>PAGEREF section_c5f7cef6299c497aade49242eec0032b</w:instrText>
      </w:r>
      <w:r>
        <w:fldChar w:fldCharType="separate"/>
      </w:r>
      <w:r>
        <w:rPr>
          <w:noProof/>
        </w:rPr>
        <w:t>588</w:t>
      </w:r>
      <w:r>
        <w:fldChar w:fldCharType="end"/>
      </w:r>
    </w:p>
    <w:p w:rsidR="005F78FC" w:rsidRDefault="00B42EF3">
      <w:pPr>
        <w:pStyle w:val="indexentry0"/>
      </w:pPr>
      <w:hyperlink w:anchor="section_2b6707526d64462a824f275717267aa9">
        <w:r>
          <w:rPr>
            <w:rStyle w:val="Hyperlink"/>
          </w:rPr>
          <w:t>line (Line)</w:t>
        </w:r>
      </w:hyperlink>
      <w:r>
        <w:t xml:space="preserve"> </w:t>
      </w:r>
      <w:r>
        <w:fldChar w:fldCharType="begin"/>
      </w:r>
      <w:r>
        <w:instrText>PAGEREF section_2b6707526d64462a824f275717267aa9</w:instrText>
      </w:r>
      <w:r>
        <w:fldChar w:fldCharType="separate"/>
      </w:r>
      <w:r>
        <w:rPr>
          <w:noProof/>
        </w:rPr>
        <w:t>649</w:t>
      </w:r>
      <w:r>
        <w:fldChar w:fldCharType="end"/>
      </w:r>
    </w:p>
    <w:p w:rsidR="005F78FC" w:rsidRDefault="00B42EF3">
      <w:pPr>
        <w:pStyle w:val="indexentry0"/>
      </w:pPr>
      <w:hyperlink w:anchor="section_7bcdf1d23b754a548fb87af678555e39">
        <w:r>
          <w:rPr>
            <w:rStyle w:val="Hyperlink"/>
          </w:rPr>
          <w:t>line3DChart (3D Line Charts)</w:t>
        </w:r>
      </w:hyperlink>
      <w:r>
        <w:t xml:space="preserve"> </w:t>
      </w:r>
      <w:r>
        <w:fldChar w:fldCharType="begin"/>
      </w:r>
      <w:r>
        <w:instrText>PAGEREF section_7bcdf1d23b754a548fb87af678555e39</w:instrText>
      </w:r>
      <w:r>
        <w:fldChar w:fldCharType="separate"/>
      </w:r>
      <w:r>
        <w:rPr>
          <w:noProof/>
        </w:rPr>
        <w:t>558</w:t>
      </w:r>
      <w:r>
        <w:fldChar w:fldCharType="end"/>
      </w:r>
    </w:p>
    <w:p w:rsidR="005F78FC" w:rsidRDefault="00B42EF3">
      <w:pPr>
        <w:pStyle w:val="indexentry0"/>
      </w:pPr>
      <w:hyperlink w:anchor="section_28cc58e871c2454c9c4eef78fa758552">
        <w:r>
          <w:rPr>
            <w:rStyle w:val="Hyperlink"/>
          </w:rPr>
          <w:t>lineChart (Line Charts)</w:t>
        </w:r>
      </w:hyperlink>
      <w:r>
        <w:t xml:space="preserve"> </w:t>
      </w:r>
      <w:r>
        <w:fldChar w:fldCharType="begin"/>
      </w:r>
      <w:r>
        <w:instrText>PAGEREF section_28cc58e871c2454c9c4eef78fa758552</w:instrText>
      </w:r>
      <w:r>
        <w:fldChar w:fldCharType="separate"/>
      </w:r>
      <w:r>
        <w:rPr>
          <w:noProof/>
        </w:rPr>
        <w:t>558</w:t>
      </w:r>
      <w:r>
        <w:fldChar w:fldCharType="end"/>
      </w:r>
    </w:p>
    <w:p w:rsidR="005F78FC" w:rsidRDefault="00B42EF3">
      <w:pPr>
        <w:pStyle w:val="indexentry0"/>
      </w:pPr>
      <w:hyperlink w:anchor="section_85a7e2ec196140b4ad596f91de000cf7">
        <w:r>
          <w:rPr>
            <w:rStyle w:val="Hyperlink"/>
          </w:rPr>
          <w:t>LINEST</w:t>
        </w:r>
      </w:hyperlink>
      <w:r>
        <w:t xml:space="preserve"> </w:t>
      </w:r>
      <w:r>
        <w:fldChar w:fldCharType="begin"/>
      </w:r>
      <w:r>
        <w:instrText>PAGEREF section_85a7e2ec196140b4ad596f91de000cf7</w:instrText>
      </w:r>
      <w:r>
        <w:fldChar w:fldCharType="separate"/>
      </w:r>
      <w:r>
        <w:rPr>
          <w:noProof/>
        </w:rPr>
        <w:t>432</w:t>
      </w:r>
      <w:r>
        <w:fldChar w:fldCharType="end"/>
      </w:r>
    </w:p>
    <w:p w:rsidR="005F78FC" w:rsidRDefault="00B42EF3">
      <w:pPr>
        <w:pStyle w:val="indexentry0"/>
      </w:pPr>
      <w:hyperlink w:anchor="section_351591f1308643f6ae05df9d004e653c">
        <w:r>
          <w:rPr>
            <w:rStyle w:val="Hyperlink"/>
          </w:rPr>
          <w:t>lineTo (Wrapping Polygon Line End Position)</w:t>
        </w:r>
      </w:hyperlink>
      <w:r>
        <w:t xml:space="preserve"> </w:t>
      </w:r>
      <w:r>
        <w:fldChar w:fldCharType="begin"/>
      </w:r>
      <w:r>
        <w:instrText>PAGEREF section_351591f1308643f6ae05df9d004e653c</w:instrText>
      </w:r>
      <w:r>
        <w:fldChar w:fldCharType="separate"/>
      </w:r>
      <w:r>
        <w:rPr>
          <w:noProof/>
        </w:rPr>
        <w:t>527</w:t>
      </w:r>
      <w:r>
        <w:fldChar w:fldCharType="end"/>
      </w:r>
    </w:p>
    <w:p w:rsidR="005F78FC" w:rsidRDefault="00B42EF3">
      <w:pPr>
        <w:pStyle w:val="indexentry0"/>
      </w:pPr>
      <w:hyperlink w:anchor="section_9264f074a348415da2243c1576083ffb">
        <w:r>
          <w:rPr>
            <w:rStyle w:val="Hyperlink"/>
          </w:rPr>
          <w:t>LINK</w:t>
        </w:r>
      </w:hyperlink>
      <w:r>
        <w:t xml:space="preserve"> </w:t>
      </w:r>
      <w:r>
        <w:fldChar w:fldCharType="begin"/>
      </w:r>
      <w:r>
        <w:instrText>PAGEREF section_9264f074a348415da2243c1576083ffb</w:instrText>
      </w:r>
      <w:r>
        <w:fldChar w:fldCharType="separate"/>
      </w:r>
      <w:r>
        <w:rPr>
          <w:noProof/>
        </w:rPr>
        <w:t>220</w:t>
      </w:r>
      <w:r>
        <w:fldChar w:fldCharType="end"/>
      </w:r>
    </w:p>
    <w:p w:rsidR="005F78FC" w:rsidRDefault="00B42EF3">
      <w:pPr>
        <w:pStyle w:val="indexentry0"/>
      </w:pPr>
      <w:hyperlink w:anchor="section_7abe11b8b25046bc877dd4490aa3d1ff">
        <w:r>
          <w:rPr>
            <w:rStyle w:val="Hyperlink"/>
          </w:rPr>
          <w:t>link (Linked Object or Control)</w:t>
        </w:r>
      </w:hyperlink>
      <w:r>
        <w:t xml:space="preserve"> </w:t>
      </w:r>
      <w:r>
        <w:fldChar w:fldCharType="begin"/>
      </w:r>
      <w:r>
        <w:instrText>PAGEREF section_7abe11b8b25046bc877dd4490aa3d1ff</w:instrText>
      </w:r>
      <w:r>
        <w:fldChar w:fldCharType="separate"/>
      </w:r>
      <w:r>
        <w:rPr>
          <w:noProof/>
        </w:rPr>
        <w:t>472</w:t>
      </w:r>
      <w:r>
        <w:fldChar w:fldCharType="end"/>
      </w:r>
    </w:p>
    <w:p w:rsidR="005F78FC" w:rsidRDefault="00B42EF3">
      <w:pPr>
        <w:pStyle w:val="indexentry0"/>
      </w:pPr>
      <w:hyperlink w:anchor="section_a1ed4f25b4cf446a89352c1579325c94">
        <w:r>
          <w:rPr>
            <w:rStyle w:val="Hyperlink"/>
          </w:rPr>
          <w:t>link (Linked Style Reference)</w:t>
        </w:r>
      </w:hyperlink>
      <w:r>
        <w:t xml:space="preserve"> </w:t>
      </w:r>
      <w:r>
        <w:fldChar w:fldCharType="begin"/>
      </w:r>
      <w:r>
        <w:instrText>PAGEREF section_</w:instrText>
      </w:r>
      <w:r>
        <w:instrText>a1ed4f25b4cf446a89352c1579325c94</w:instrText>
      </w:r>
      <w:r>
        <w:fldChar w:fldCharType="separate"/>
      </w:r>
      <w:r>
        <w:rPr>
          <w:noProof/>
        </w:rPr>
        <w:t>109</w:t>
      </w:r>
      <w:r>
        <w:fldChar w:fldCharType="end"/>
      </w:r>
    </w:p>
    <w:p w:rsidR="005F78FC" w:rsidRDefault="00B42EF3">
      <w:pPr>
        <w:pStyle w:val="indexentry0"/>
      </w:pPr>
      <w:hyperlink w:anchor="section_a0916d92e8be4cd398c08d58842a4b67">
        <w:r>
          <w:rPr>
            <w:rStyle w:val="Hyperlink"/>
          </w:rPr>
          <w:t>linkToQuery (Query Contains Link to External Query File)</w:t>
        </w:r>
      </w:hyperlink>
      <w:r>
        <w:t xml:space="preserve"> </w:t>
      </w:r>
      <w:r>
        <w:fldChar w:fldCharType="begin"/>
      </w:r>
      <w:r>
        <w:instrText>PAGEREF section_a0916d92e8be4cd398c08d58842a4b67</w:instrText>
      </w:r>
      <w:r>
        <w:fldChar w:fldCharType="separate"/>
      </w:r>
      <w:r>
        <w:rPr>
          <w:noProof/>
        </w:rPr>
        <w:t>147</w:t>
      </w:r>
      <w:r>
        <w:fldChar w:fldCharType="end"/>
      </w:r>
    </w:p>
    <w:p w:rsidR="005F78FC" w:rsidRDefault="00B42EF3">
      <w:pPr>
        <w:pStyle w:val="indexentry0"/>
      </w:pPr>
      <w:hyperlink w:anchor="section_74bbd2fc5f9d4456940afe7b4aa5b4c2">
        <w:r>
          <w:rPr>
            <w:rStyle w:val="Hyperlink"/>
          </w:rPr>
          <w:t>LinkType (Embedded Object Alternate Image Request)</w:t>
        </w:r>
      </w:hyperlink>
      <w:r>
        <w:t xml:space="preserve"> </w:t>
      </w:r>
      <w:r>
        <w:fldChar w:fldCharType="begin"/>
      </w:r>
      <w:r>
        <w:instrText>PAGEREF section_74bbd2fc5f9d4456940afe7b4aa5b4c2</w:instrText>
      </w:r>
      <w:r>
        <w:fldChar w:fldCharType="separate"/>
      </w:r>
      <w:r>
        <w:rPr>
          <w:noProof/>
        </w:rPr>
        <w:t>672</w:t>
      </w:r>
      <w:r>
        <w:fldChar w:fldCharType="end"/>
      </w:r>
    </w:p>
    <w:p w:rsidR="005F78FC" w:rsidRDefault="00B42EF3">
      <w:pPr>
        <w:pStyle w:val="indexentry0"/>
      </w:pPr>
      <w:hyperlink w:anchor="section_4e781457da074e9faf1ddd0cec4763f3">
        <w:r>
          <w:rPr>
            <w:rStyle w:val="Hyperlink"/>
          </w:rPr>
          <w:t>listEntry (Drop-Down List Entry)</w:t>
        </w:r>
      </w:hyperlink>
      <w:r>
        <w:t xml:space="preserve"> </w:t>
      </w:r>
      <w:r>
        <w:fldChar w:fldCharType="begin"/>
      </w:r>
      <w:r>
        <w:instrText>PAGEREF section_4e781457da074e9faf1ddd0cec</w:instrText>
      </w:r>
      <w:r>
        <w:instrText>4763f3</w:instrText>
      </w:r>
      <w:r>
        <w:fldChar w:fldCharType="separate"/>
      </w:r>
      <w:r>
        <w:rPr>
          <w:noProof/>
        </w:rPr>
        <w:t>229</w:t>
      </w:r>
      <w:r>
        <w:fldChar w:fldCharType="end"/>
      </w:r>
    </w:p>
    <w:p w:rsidR="005F78FC" w:rsidRDefault="00B42EF3">
      <w:pPr>
        <w:pStyle w:val="indexentry0"/>
      </w:pPr>
      <w:hyperlink w:anchor="section_41fab666731c4a82985af55d31ea2df4">
        <w:r>
          <w:rPr>
            <w:rStyle w:val="Hyperlink"/>
          </w:rPr>
          <w:t>ListItem (Non-linked List Item)</w:t>
        </w:r>
      </w:hyperlink>
      <w:r>
        <w:t xml:space="preserve"> </w:t>
      </w:r>
      <w:r>
        <w:fldChar w:fldCharType="begin"/>
      </w:r>
      <w:r>
        <w:instrText>PAGEREF section_41fab666731c4a82985af55d31ea2df4</w:instrText>
      </w:r>
      <w:r>
        <w:fldChar w:fldCharType="separate"/>
      </w:r>
      <w:r>
        <w:rPr>
          <w:noProof/>
        </w:rPr>
        <w:t>682</w:t>
      </w:r>
      <w:r>
        <w:fldChar w:fldCharType="end"/>
      </w:r>
    </w:p>
    <w:p w:rsidR="005F78FC" w:rsidRDefault="00B42EF3">
      <w:pPr>
        <w:pStyle w:val="indexentry0"/>
      </w:pPr>
      <w:hyperlink w:anchor="section_da16701c070d4425961f496394df6d8a">
        <w:r>
          <w:rPr>
            <w:rStyle w:val="Hyperlink"/>
          </w:rPr>
          <w:t>LISTNUM</w:t>
        </w:r>
      </w:hyperlink>
      <w:r>
        <w:t xml:space="preserve"> </w:t>
      </w:r>
      <w:r>
        <w:fldChar w:fldCharType="begin"/>
      </w:r>
      <w:r>
        <w:instrText>PAGEREF section_da16701c070d</w:instrText>
      </w:r>
      <w:r>
        <w:instrText>4425961f496394df6d8a</w:instrText>
      </w:r>
      <w:r>
        <w:fldChar w:fldCharType="separate"/>
      </w:r>
      <w:r>
        <w:rPr>
          <w:noProof/>
        </w:rPr>
        <w:t>220</w:t>
      </w:r>
      <w:r>
        <w:fldChar w:fldCharType="end"/>
      </w:r>
    </w:p>
    <w:p w:rsidR="005F78FC" w:rsidRDefault="00B42EF3">
      <w:pPr>
        <w:pStyle w:val="indexentry0"/>
      </w:pPr>
      <w:hyperlink w:anchor="section_090d9b057d914871b6324ec1e7035e22">
        <w:r>
          <w:rPr>
            <w:rStyle w:val="Hyperlink"/>
          </w:rPr>
          <w:t>listSeparator (List Separator for Field Code Evaluation)</w:t>
        </w:r>
      </w:hyperlink>
      <w:r>
        <w:t xml:space="preserve"> </w:t>
      </w:r>
      <w:r>
        <w:fldChar w:fldCharType="begin"/>
      </w:r>
      <w:r>
        <w:instrText>PAGEREF section_090d9b057d914871b6324ec1e7035e22</w:instrText>
      </w:r>
      <w:r>
        <w:fldChar w:fldCharType="separate"/>
      </w:r>
      <w:r>
        <w:rPr>
          <w:noProof/>
        </w:rPr>
        <w:t>158</w:t>
      </w:r>
      <w:r>
        <w:fldChar w:fldCharType="end"/>
      </w:r>
    </w:p>
    <w:p w:rsidR="005F78FC" w:rsidRDefault="00B42EF3">
      <w:pPr>
        <w:pStyle w:val="indexentry0"/>
      </w:pPr>
      <w:hyperlink w:anchor="section_5564035f88ff4ab8bbfbd2998a83324d">
        <w:r>
          <w:rPr>
            <w:rStyle w:val="Hyperlink"/>
          </w:rPr>
          <w:t>ln (Outline)</w:t>
        </w:r>
      </w:hyperlink>
      <w:r>
        <w:t xml:space="preserve"> </w:t>
      </w:r>
      <w:r>
        <w:fldChar w:fldCharType="begin"/>
      </w:r>
      <w:r>
        <w:instrText>PAGEREF section_5564035f88ff4ab8bbfbd2998a83324d</w:instrText>
      </w:r>
      <w:r>
        <w:fldChar w:fldCharType="separate"/>
      </w:r>
      <w:r>
        <w:rPr>
          <w:noProof/>
        </w:rPr>
        <w:t>500</w:t>
      </w:r>
      <w:r>
        <w:fldChar w:fldCharType="end"/>
      </w:r>
    </w:p>
    <w:p w:rsidR="005F78FC" w:rsidRDefault="00B42EF3">
      <w:pPr>
        <w:pStyle w:val="indexentry0"/>
      </w:pPr>
      <w:hyperlink w:anchor="section_083e148ba921420fa6d2d6d19f38e4bb">
        <w:r>
          <w:rPr>
            <w:rStyle w:val="Hyperlink"/>
          </w:rPr>
          <w:t>lnB (Bottom Border Line Properties)</w:t>
        </w:r>
      </w:hyperlink>
      <w:r>
        <w:t xml:space="preserve"> </w:t>
      </w:r>
      <w:r>
        <w:fldChar w:fldCharType="begin"/>
      </w:r>
      <w:r>
        <w:instrText>PAGEREF section_083e148ba921420fa6d2d6d19f38e4bb</w:instrText>
      </w:r>
      <w:r>
        <w:fldChar w:fldCharType="separate"/>
      </w:r>
      <w:r>
        <w:rPr>
          <w:noProof/>
        </w:rPr>
        <w:t>544</w:t>
      </w:r>
      <w:r>
        <w:fldChar w:fldCharType="end"/>
      </w:r>
    </w:p>
    <w:p w:rsidR="005F78FC" w:rsidRDefault="00B42EF3">
      <w:pPr>
        <w:pStyle w:val="indexentry0"/>
      </w:pPr>
      <w:hyperlink w:anchor="section_82c8360cfceb4649bc5d06b6bd03628e">
        <w:r>
          <w:rPr>
            <w:rStyle w:val="Hyperlink"/>
          </w:rPr>
          <w:t>lnBlToTr (Bottom-Left to Top-Right Border Line Properties)</w:t>
        </w:r>
      </w:hyperlink>
      <w:r>
        <w:t xml:space="preserve"> </w:t>
      </w:r>
      <w:r>
        <w:fldChar w:fldCharType="begin"/>
      </w:r>
      <w:r>
        <w:instrText>PAGEREF section_82c8360cfceb4649bc5d06b6bd03628e</w:instrText>
      </w:r>
      <w:r>
        <w:fldChar w:fldCharType="separate"/>
      </w:r>
      <w:r>
        <w:rPr>
          <w:noProof/>
        </w:rPr>
        <w:t>544</w:t>
      </w:r>
      <w:r>
        <w:fldChar w:fldCharType="end"/>
      </w:r>
    </w:p>
    <w:p w:rsidR="005F78FC" w:rsidRDefault="00B42EF3">
      <w:pPr>
        <w:pStyle w:val="indexentry0"/>
      </w:pPr>
      <w:hyperlink w:anchor="section_80b6e2e172d245cbba1619312feb1a61">
        <w:r>
          <w:rPr>
            <w:rStyle w:val="Hyperlink"/>
          </w:rPr>
          <w:t>lnL (Left Border Line</w:t>
        </w:r>
        <w:r>
          <w:rPr>
            <w:rStyle w:val="Hyperlink"/>
          </w:rPr>
          <w:t xml:space="preserve"> Properties)</w:t>
        </w:r>
      </w:hyperlink>
      <w:r>
        <w:t xml:space="preserve"> </w:t>
      </w:r>
      <w:r>
        <w:fldChar w:fldCharType="begin"/>
      </w:r>
      <w:r>
        <w:instrText>PAGEREF section_80b6e2e172d245cbba1619312feb1a61</w:instrText>
      </w:r>
      <w:r>
        <w:fldChar w:fldCharType="separate"/>
      </w:r>
      <w:r>
        <w:rPr>
          <w:noProof/>
        </w:rPr>
        <w:t>544</w:t>
      </w:r>
      <w:r>
        <w:fldChar w:fldCharType="end"/>
      </w:r>
    </w:p>
    <w:p w:rsidR="005F78FC" w:rsidRDefault="00B42EF3">
      <w:pPr>
        <w:pStyle w:val="indexentry0"/>
      </w:pPr>
      <w:hyperlink w:anchor="section_c4252e1348d24ac99fb53b276d02be30">
        <w:r>
          <w:rPr>
            <w:rStyle w:val="Hyperlink"/>
          </w:rPr>
          <w:t>lnNumType (Line Numbering Settings)</w:t>
        </w:r>
      </w:hyperlink>
      <w:r>
        <w:t xml:space="preserve"> </w:t>
      </w:r>
      <w:r>
        <w:fldChar w:fldCharType="begin"/>
      </w:r>
      <w:r>
        <w:instrText>PAGEREF section_c4252e1348d24ac99fb53b276d02be30</w:instrText>
      </w:r>
      <w:r>
        <w:fldChar w:fldCharType="separate"/>
      </w:r>
      <w:r>
        <w:rPr>
          <w:noProof/>
        </w:rPr>
        <w:t>105</w:t>
      </w:r>
      <w:r>
        <w:fldChar w:fldCharType="end"/>
      </w:r>
    </w:p>
    <w:p w:rsidR="005F78FC" w:rsidRDefault="00B42EF3">
      <w:pPr>
        <w:pStyle w:val="indexentry0"/>
      </w:pPr>
      <w:hyperlink w:anchor="section_fce0907fd2fe4f4caad2511fbf56d166">
        <w:r>
          <w:rPr>
            <w:rStyle w:val="Hyperlink"/>
          </w:rPr>
          <w:t>lnR (Right Border Line Properties)</w:t>
        </w:r>
      </w:hyperlink>
      <w:r>
        <w:t xml:space="preserve"> </w:t>
      </w:r>
      <w:r>
        <w:fldChar w:fldCharType="begin"/>
      </w:r>
      <w:r>
        <w:instrText>PAGEREF section_fce0907fd2fe4f4caad2511fbf56d166</w:instrText>
      </w:r>
      <w:r>
        <w:fldChar w:fldCharType="separate"/>
      </w:r>
      <w:r>
        <w:rPr>
          <w:noProof/>
        </w:rPr>
        <w:t>544</w:t>
      </w:r>
      <w:r>
        <w:fldChar w:fldCharType="end"/>
      </w:r>
    </w:p>
    <w:p w:rsidR="005F78FC" w:rsidRDefault="00B42EF3">
      <w:pPr>
        <w:pStyle w:val="indexentry0"/>
      </w:pPr>
      <w:hyperlink w:anchor="section_8d5ec0aa8760486991f461466ba43e52">
        <w:r>
          <w:rPr>
            <w:rStyle w:val="Hyperlink"/>
          </w:rPr>
          <w:t>lnRef (Line Reference)</w:t>
        </w:r>
      </w:hyperlink>
      <w:r>
        <w:t xml:space="preserve"> </w:t>
      </w:r>
      <w:r>
        <w:fldChar w:fldCharType="begin"/>
      </w:r>
      <w:r>
        <w:instrText>PAGEREF section_8d5ec0aa8760486991f461466ba43e52</w:instrText>
      </w:r>
      <w:r>
        <w:fldChar w:fldCharType="separate"/>
      </w:r>
      <w:r>
        <w:rPr>
          <w:noProof/>
        </w:rPr>
        <w:t>509</w:t>
      </w:r>
      <w:r>
        <w:fldChar w:fldCharType="end"/>
      </w:r>
    </w:p>
    <w:p w:rsidR="005F78FC" w:rsidRDefault="00B42EF3">
      <w:pPr>
        <w:pStyle w:val="indexentry0"/>
      </w:pPr>
      <w:hyperlink w:anchor="section_4e0431052ae44b85baa84324ca7a6367">
        <w:r>
          <w:rPr>
            <w:rStyle w:val="Hyperlink"/>
          </w:rPr>
          <w:t>lnSpc (Line Spacing)</w:t>
        </w:r>
      </w:hyperlink>
      <w:r>
        <w:t xml:space="preserve"> </w:t>
      </w:r>
      <w:r>
        <w:fldChar w:fldCharType="begin"/>
      </w:r>
      <w:r>
        <w:instrText>PAGEREF section_4e0431052ae44b85baa84324ca7a6367</w:instrText>
      </w:r>
      <w:r>
        <w:fldChar w:fldCharType="separate"/>
      </w:r>
      <w:r>
        <w:rPr>
          <w:noProof/>
        </w:rPr>
        <w:t>535</w:t>
      </w:r>
      <w:r>
        <w:fldChar w:fldCharType="end"/>
      </w:r>
    </w:p>
    <w:p w:rsidR="005F78FC" w:rsidRDefault="00B42EF3">
      <w:pPr>
        <w:pStyle w:val="indexentry0"/>
      </w:pPr>
      <w:hyperlink w:anchor="section_90f6fa1482574c82ad53be75e8dcbb8f">
        <w:r>
          <w:rPr>
            <w:rStyle w:val="Hyperlink"/>
          </w:rPr>
          <w:t>lnT (Top Border Line Properties)</w:t>
        </w:r>
      </w:hyperlink>
      <w:r>
        <w:t xml:space="preserve"> </w:t>
      </w:r>
      <w:r>
        <w:fldChar w:fldCharType="begin"/>
      </w:r>
      <w:r>
        <w:instrText>PAGEREF section_90f6fa1482574c</w:instrText>
      </w:r>
      <w:r>
        <w:instrText>82ad53be75e8dcbb8f</w:instrText>
      </w:r>
      <w:r>
        <w:fldChar w:fldCharType="separate"/>
      </w:r>
      <w:r>
        <w:rPr>
          <w:noProof/>
        </w:rPr>
        <w:t>544</w:t>
      </w:r>
      <w:r>
        <w:fldChar w:fldCharType="end"/>
      </w:r>
    </w:p>
    <w:p w:rsidR="005F78FC" w:rsidRDefault="00B42EF3">
      <w:pPr>
        <w:pStyle w:val="indexentry0"/>
      </w:pPr>
      <w:hyperlink w:anchor="section_7dd0124fcd92478a95c79c2307151088">
        <w:r>
          <w:rPr>
            <w:rStyle w:val="Hyperlink"/>
          </w:rPr>
          <w:t>lnTlToBr (Top-Left to Bottom-Right Border Line Properties)</w:t>
        </w:r>
      </w:hyperlink>
      <w:r>
        <w:t xml:space="preserve"> </w:t>
      </w:r>
      <w:r>
        <w:fldChar w:fldCharType="begin"/>
      </w:r>
      <w:r>
        <w:instrText>PAGEREF section_7dd0124fcd92478a95c79c2307151088</w:instrText>
      </w:r>
      <w:r>
        <w:fldChar w:fldCharType="separate"/>
      </w:r>
      <w:r>
        <w:rPr>
          <w:noProof/>
        </w:rPr>
        <w:t>544</w:t>
      </w:r>
      <w:r>
        <w:fldChar w:fldCharType="end"/>
      </w:r>
    </w:p>
    <w:p w:rsidR="005F78FC" w:rsidRDefault="00B42EF3">
      <w:pPr>
        <w:pStyle w:val="indexentry0"/>
      </w:pPr>
      <w:hyperlink w:anchor="section_fa78de5c80bd45c2b90fc99e77c58627">
        <w:r>
          <w:rPr>
            <w:rStyle w:val="Hyperlink"/>
          </w:rPr>
          <w:t>location (PivotTable Location)</w:t>
        </w:r>
      </w:hyperlink>
      <w:r>
        <w:t xml:space="preserve"> </w:t>
      </w:r>
      <w:r>
        <w:fldChar w:fldCharType="begin"/>
      </w:r>
      <w:r>
        <w:instrText>PAGEREF section_fa78de5c80bd45c2b90fc99e77c58627</w:instrText>
      </w:r>
      <w:r>
        <w:fldChar w:fldCharType="separate"/>
      </w:r>
      <w:r>
        <w:rPr>
          <w:noProof/>
        </w:rPr>
        <w:t>343</w:t>
      </w:r>
      <w:r>
        <w:fldChar w:fldCharType="end"/>
      </w:r>
    </w:p>
    <w:p w:rsidR="005F78FC" w:rsidRDefault="00B42EF3">
      <w:pPr>
        <w:pStyle w:val="indexentry0"/>
      </w:pPr>
      <w:hyperlink w:anchor="section_33f39c87412e4b50991fc876c605b026">
        <w:r>
          <w:rPr>
            <w:rStyle w:val="Hyperlink"/>
          </w:rPr>
          <w:t>lock (Shape Protections)</w:t>
        </w:r>
      </w:hyperlink>
      <w:r>
        <w:t xml:space="preserve"> </w:t>
      </w:r>
      <w:r>
        <w:fldChar w:fldCharType="begin"/>
      </w:r>
      <w:r>
        <w:instrText>PAGEREF section_33f39c87412e4b50991fc876c605b026</w:instrText>
      </w:r>
      <w:r>
        <w:fldChar w:fldCharType="separate"/>
      </w:r>
      <w:r>
        <w:rPr>
          <w:noProof/>
        </w:rPr>
        <w:t>672</w:t>
      </w:r>
      <w:r>
        <w:fldChar w:fldCharType="end"/>
      </w:r>
    </w:p>
    <w:p w:rsidR="005F78FC" w:rsidRDefault="00B42EF3">
      <w:pPr>
        <w:pStyle w:val="indexentry0"/>
      </w:pPr>
      <w:hyperlink w:anchor="section_4dc6867741fa4e15a3af9aecb84e03c9">
        <w:r>
          <w:rPr>
            <w:rStyle w:val="Hyperlink"/>
          </w:rPr>
          <w:t>LockedField (Embedded Object Cannot Be Refreshed)</w:t>
        </w:r>
      </w:hyperlink>
      <w:r>
        <w:t xml:space="preserve"> </w:t>
      </w:r>
      <w:r>
        <w:fldChar w:fldCharType="begin"/>
      </w:r>
      <w:r>
        <w:instrText>PAGEREF section_4dc6867741fa4e15a3af9aecb84e03c9</w:instrText>
      </w:r>
      <w:r>
        <w:fldChar w:fldCharType="separate"/>
      </w:r>
      <w:r>
        <w:rPr>
          <w:noProof/>
        </w:rPr>
        <w:t>672</w:t>
      </w:r>
      <w:r>
        <w:fldChar w:fldCharType="end"/>
      </w:r>
    </w:p>
    <w:p w:rsidR="005F78FC" w:rsidRDefault="00B42EF3">
      <w:pPr>
        <w:pStyle w:val="indexentry0"/>
      </w:pPr>
      <w:hyperlink w:anchor="section_9e06359058a34e4c8a15b9cfb1bc1b88">
        <w:r>
          <w:rPr>
            <w:rStyle w:val="Hyperlink"/>
          </w:rPr>
          <w:t>LOG</w:t>
        </w:r>
      </w:hyperlink>
      <w:r>
        <w:t xml:space="preserve"> </w:t>
      </w:r>
      <w:r>
        <w:fldChar w:fldCharType="begin"/>
      </w:r>
      <w:r>
        <w:instrText>PAGEREF section_9e063590</w:instrText>
      </w:r>
      <w:r>
        <w:instrText>58a34e4c8a15b9cfb1bc1b88</w:instrText>
      </w:r>
      <w:r>
        <w:fldChar w:fldCharType="separate"/>
      </w:r>
      <w:r>
        <w:rPr>
          <w:noProof/>
        </w:rPr>
        <w:t>432</w:t>
      </w:r>
      <w:r>
        <w:fldChar w:fldCharType="end"/>
      </w:r>
    </w:p>
    <w:p w:rsidR="005F78FC" w:rsidRDefault="00B42EF3">
      <w:pPr>
        <w:pStyle w:val="indexentry0"/>
      </w:pPr>
      <w:hyperlink w:anchor="section_bd605e24aefa4f038aaefb389ffea52c">
        <w:r>
          <w:rPr>
            <w:rStyle w:val="Hyperlink"/>
          </w:rPr>
          <w:t>LOGEST</w:t>
        </w:r>
      </w:hyperlink>
      <w:r>
        <w:t xml:space="preserve"> </w:t>
      </w:r>
      <w:r>
        <w:fldChar w:fldCharType="begin"/>
      </w:r>
      <w:r>
        <w:instrText>PAGEREF section_bd605e24aefa4f038aaefb389ffea52c</w:instrText>
      </w:r>
      <w:r>
        <w:fldChar w:fldCharType="separate"/>
      </w:r>
      <w:r>
        <w:rPr>
          <w:noProof/>
        </w:rPr>
        <w:t>433</w:t>
      </w:r>
      <w:r>
        <w:fldChar w:fldCharType="end"/>
      </w:r>
    </w:p>
    <w:p w:rsidR="005F78FC" w:rsidRDefault="00B42EF3">
      <w:pPr>
        <w:pStyle w:val="indexentry0"/>
      </w:pPr>
      <w:hyperlink w:anchor="section_30e516d248dd4052be896aae823b298e">
        <w:r>
          <w:rPr>
            <w:rStyle w:val="Hyperlink"/>
          </w:rPr>
          <w:t>LOGINV</w:t>
        </w:r>
      </w:hyperlink>
      <w:r>
        <w:t xml:space="preserve"> </w:t>
      </w:r>
      <w:r>
        <w:fldChar w:fldCharType="begin"/>
      </w:r>
      <w:r>
        <w:instrText>PAGEREF section_30e516d248dd4052be896aae823b298e</w:instrText>
      </w:r>
      <w:r>
        <w:fldChar w:fldCharType="separate"/>
      </w:r>
      <w:r>
        <w:rPr>
          <w:noProof/>
        </w:rPr>
        <w:t>433</w:t>
      </w:r>
      <w:r>
        <w:fldChar w:fldCharType="end"/>
      </w:r>
    </w:p>
    <w:p w:rsidR="005F78FC" w:rsidRDefault="00B42EF3">
      <w:pPr>
        <w:pStyle w:val="indexentry0"/>
      </w:pPr>
      <w:hyperlink w:anchor="section_572fe441c59643d68a9f2a5baeae54a4">
        <w:r>
          <w:rPr>
            <w:rStyle w:val="Hyperlink"/>
          </w:rPr>
          <w:t>LOGNORMDIST</w:t>
        </w:r>
      </w:hyperlink>
      <w:r>
        <w:t xml:space="preserve"> </w:t>
      </w:r>
      <w:r>
        <w:fldChar w:fldCharType="begin"/>
      </w:r>
      <w:r>
        <w:instrText>PAGEREF section_572fe441c59643d68a9f2a5baeae54a4</w:instrText>
      </w:r>
      <w:r>
        <w:fldChar w:fldCharType="separate"/>
      </w:r>
      <w:r>
        <w:rPr>
          <w:noProof/>
        </w:rPr>
        <w:t>433</w:t>
      </w:r>
      <w:r>
        <w:fldChar w:fldCharType="end"/>
      </w:r>
    </w:p>
    <w:p w:rsidR="005F78FC" w:rsidRDefault="00B42EF3">
      <w:pPr>
        <w:pStyle w:val="indexentry0"/>
      </w:pPr>
      <w:hyperlink w:anchor="section_78d73854b7934cd682ef994e57d303db">
        <w:r>
          <w:rPr>
            <w:rStyle w:val="Hyperlink"/>
          </w:rPr>
          <w:t>Long Properties</w:t>
        </w:r>
      </w:hyperlink>
      <w:r>
        <w:t xml:space="preserve"> </w:t>
      </w:r>
      <w:r>
        <w:fldChar w:fldCharType="begin"/>
      </w:r>
      <w:r>
        <w:instrText>PAGEREF section_78d73854b7934cd682ef994e57d303db</w:instrText>
      </w:r>
      <w:r>
        <w:fldChar w:fldCharType="separate"/>
      </w:r>
      <w:r>
        <w:rPr>
          <w:noProof/>
        </w:rPr>
        <w:t>876</w:t>
      </w:r>
      <w:r>
        <w:fldChar w:fldCharType="end"/>
      </w:r>
    </w:p>
    <w:p w:rsidR="005F78FC" w:rsidRDefault="00B42EF3">
      <w:pPr>
        <w:pStyle w:val="indexentry0"/>
      </w:pPr>
      <w:hyperlink w:anchor="section_03e16b150a6b4dc88574f27a056f37e5">
        <w:r>
          <w:rPr>
            <w:rStyle w:val="Hyperlink"/>
          </w:rPr>
          <w:t>Long Properties Schema</w:t>
        </w:r>
      </w:hyperlink>
      <w:r>
        <w:t xml:space="preserve"> </w:t>
      </w:r>
      <w:r>
        <w:fldChar w:fldCharType="begin"/>
      </w:r>
      <w:r>
        <w:instrText>PAGEREF section_03e16b150a6b4dc88574f27a056f37e5</w:instrText>
      </w:r>
      <w:r>
        <w:fldChar w:fldCharType="separate"/>
      </w:r>
      <w:r>
        <w:rPr>
          <w:noProof/>
        </w:rPr>
        <w:t>876</w:t>
      </w:r>
      <w:r>
        <w:fldChar w:fldCharType="end"/>
      </w:r>
    </w:p>
    <w:p w:rsidR="005F78FC" w:rsidRDefault="00B42EF3">
      <w:pPr>
        <w:pStyle w:val="indexentry0"/>
      </w:pPr>
      <w:hyperlink w:anchor="section_a29af684e8d2433685bb33f038481e2c">
        <w:r>
          <w:rPr>
            <w:rStyle w:val="Hyperlink"/>
          </w:rPr>
          <w:t>lon</w:t>
        </w:r>
        <w:r>
          <w:rPr>
            <w:rStyle w:val="Hyperlink"/>
          </w:rPr>
          <w:t>gDesc (Frame Long Description)</w:t>
        </w:r>
      </w:hyperlink>
      <w:r>
        <w:t xml:space="preserve"> </w:t>
      </w:r>
      <w:r>
        <w:fldChar w:fldCharType="begin"/>
      </w:r>
      <w:r>
        <w:instrText>PAGEREF section_a29af684e8d2433685bb33f038481e2c</w:instrText>
      </w:r>
      <w:r>
        <w:fldChar w:fldCharType="separate"/>
      </w:r>
      <w:r>
        <w:rPr>
          <w:noProof/>
        </w:rPr>
        <w:t>165</w:t>
      </w:r>
      <w:r>
        <w:fldChar w:fldCharType="end"/>
      </w:r>
    </w:p>
    <w:p w:rsidR="005F78FC" w:rsidRDefault="00B42EF3">
      <w:pPr>
        <w:pStyle w:val="indexentry0"/>
      </w:pPr>
      <w:hyperlink w:anchor="section_8f665f8d316b4f9b83d330a8520fb932">
        <w:r>
          <w:rPr>
            <w:rStyle w:val="Hyperlink"/>
          </w:rPr>
          <w:t>LongProp (Custom XML Server Property - Long Property)</w:t>
        </w:r>
      </w:hyperlink>
      <w:r>
        <w:t xml:space="preserve"> </w:t>
      </w:r>
      <w:r>
        <w:fldChar w:fldCharType="begin"/>
      </w:r>
      <w:r>
        <w:instrText>PAGEREF section_8f665f8d316b4f9b83d330a8520fb932</w:instrText>
      </w:r>
      <w:r>
        <w:fldChar w:fldCharType="separate"/>
      </w:r>
      <w:r>
        <w:rPr>
          <w:noProof/>
        </w:rPr>
        <w:t>877</w:t>
      </w:r>
      <w:r>
        <w:fldChar w:fldCharType="end"/>
      </w:r>
    </w:p>
    <w:p w:rsidR="005F78FC" w:rsidRDefault="00B42EF3">
      <w:pPr>
        <w:pStyle w:val="indexentry0"/>
      </w:pPr>
      <w:hyperlink w:anchor="section_e142bd7e59954bcfaaa84317a6eb9396">
        <w:r>
          <w:rPr>
            <w:rStyle w:val="Hyperlink"/>
          </w:rPr>
          <w:t>LongProperties (Custom XML Server Properties - Long Properties)</w:t>
        </w:r>
      </w:hyperlink>
      <w:r>
        <w:t xml:space="preserve"> </w:t>
      </w:r>
      <w:r>
        <w:fldChar w:fldCharType="begin"/>
      </w:r>
      <w:r>
        <w:instrText>PAGEREF section_e142bd7e59954bcfaaa84317a6eb9396</w:instrText>
      </w:r>
      <w:r>
        <w:fldChar w:fldCharType="separate"/>
      </w:r>
      <w:r>
        <w:rPr>
          <w:noProof/>
        </w:rPr>
        <w:t>877</w:t>
      </w:r>
      <w:r>
        <w:fldChar w:fldCharType="end"/>
      </w:r>
    </w:p>
    <w:p w:rsidR="005F78FC" w:rsidRDefault="00B42EF3">
      <w:pPr>
        <w:pStyle w:val="indexentry0"/>
      </w:pPr>
      <w:hyperlink w:anchor="section_2e117ead5ede4f1bb2d9bf4a463da221">
        <w:r>
          <w:rPr>
            <w:rStyle w:val="Hyperlink"/>
          </w:rPr>
          <w:t>lsdException (Latent Style Exception)</w:t>
        </w:r>
      </w:hyperlink>
      <w:r>
        <w:t xml:space="preserve"> </w:t>
      </w:r>
      <w:r>
        <w:fldChar w:fldCharType="begin"/>
      </w:r>
      <w:r>
        <w:instrText>PAGEREF section_2e117ead5ede4f1bb2d9bf4a463da221</w:instrText>
      </w:r>
      <w:r>
        <w:fldChar w:fldCharType="separate"/>
      </w:r>
      <w:r>
        <w:rPr>
          <w:noProof/>
        </w:rPr>
        <w:t>110</w:t>
      </w:r>
      <w:r>
        <w:fldChar w:fldCharType="end"/>
      </w:r>
    </w:p>
    <w:p w:rsidR="005F78FC" w:rsidRDefault="00B42EF3">
      <w:pPr>
        <w:pStyle w:val="indexentry0"/>
      </w:pPr>
      <w:hyperlink w:anchor="section_95b65bea5318441eb941f8b8b47c6ff8">
        <w:r>
          <w:rPr>
            <w:rStyle w:val="Hyperlink"/>
          </w:rPr>
          <w:t>lt1 (Light 1)</w:t>
        </w:r>
      </w:hyperlink>
      <w:r>
        <w:t xml:space="preserve"> </w:t>
      </w:r>
      <w:r>
        <w:fldChar w:fldCharType="begin"/>
      </w:r>
      <w:r>
        <w:instrText>PAGEREF section_95b65bea5318441eb941f8b8b47c6ff8</w:instrText>
      </w:r>
      <w:r>
        <w:fldChar w:fldCharType="separate"/>
      </w:r>
      <w:r>
        <w:rPr>
          <w:noProof/>
        </w:rPr>
        <w:t>509</w:t>
      </w:r>
      <w:r>
        <w:fldChar w:fldCharType="end"/>
      </w:r>
    </w:p>
    <w:p w:rsidR="005F78FC" w:rsidRDefault="00B42EF3">
      <w:pPr>
        <w:pStyle w:val="indexentry0"/>
      </w:pPr>
      <w:hyperlink w:anchor="section_06a16974a53649de992d0576550cfa06">
        <w:r>
          <w:rPr>
            <w:rStyle w:val="Hyperlink"/>
          </w:rPr>
          <w:t>lt2 (Light 2)</w:t>
        </w:r>
      </w:hyperlink>
      <w:r>
        <w:t xml:space="preserve"> </w:t>
      </w:r>
      <w:r>
        <w:fldChar w:fldCharType="begin"/>
      </w:r>
      <w:r>
        <w:instrText>PAGEREF section_06a16974a53649de992d0576550cfa06</w:instrText>
      </w:r>
      <w:r>
        <w:fldChar w:fldCharType="separate"/>
      </w:r>
      <w:r>
        <w:rPr>
          <w:noProof/>
        </w:rPr>
        <w:t>509</w:t>
      </w:r>
      <w:r>
        <w:fldChar w:fldCharType="end"/>
      </w:r>
    </w:p>
    <w:p w:rsidR="005F78FC" w:rsidRDefault="00B42EF3">
      <w:pPr>
        <w:pStyle w:val="indexentry0"/>
      </w:pPr>
      <w:hyperlink w:anchor="section_52c3867f20ad47b1b0c988082bf94676">
        <w:r>
          <w:rPr>
            <w:rStyle w:val="Hyperlink"/>
          </w:rPr>
          <w:t>lum (Luminance Effect)</w:t>
        </w:r>
      </w:hyperlink>
      <w:r>
        <w:t xml:space="preserve"> </w:t>
      </w:r>
      <w:r>
        <w:fldChar w:fldCharType="begin"/>
      </w:r>
      <w:r>
        <w:instrText>PAGEREF section_52c3867f20ad47b1b0c988082bf94676</w:instrText>
      </w:r>
      <w:r>
        <w:fldChar w:fldCharType="separate"/>
      </w:r>
      <w:r>
        <w:rPr>
          <w:noProof/>
        </w:rPr>
        <w:t>518</w:t>
      </w:r>
      <w:r>
        <w:fldChar w:fldCharType="end"/>
      </w:r>
    </w:p>
    <w:p w:rsidR="005F78FC" w:rsidRDefault="00B42EF3">
      <w:pPr>
        <w:pStyle w:val="indexentry0"/>
      </w:pPr>
      <w:hyperlink w:anchor="section_a71c29ec88db4dcc8e5ac4d216d68ea3">
        <w:r>
          <w:rPr>
            <w:rStyle w:val="Hyperlink"/>
          </w:rPr>
          <w:t>lum (Luminance)</w:t>
        </w:r>
      </w:hyperlink>
      <w:r>
        <w:t xml:space="preserve"> </w:t>
      </w:r>
      <w:r>
        <w:fldChar w:fldCharType="begin"/>
      </w:r>
      <w:r>
        <w:instrText>PAGEREF section_a71c29ec88db4dcc8e5ac4d216d68ea3</w:instrText>
      </w:r>
      <w:r>
        <w:fldChar w:fldCharType="separate"/>
      </w:r>
      <w:r>
        <w:rPr>
          <w:noProof/>
        </w:rPr>
        <w:t>504</w:t>
      </w:r>
      <w:r>
        <w:fldChar w:fldCharType="end"/>
      </w:r>
    </w:p>
    <w:p w:rsidR="005F78FC" w:rsidRDefault="00B42EF3">
      <w:pPr>
        <w:pStyle w:val="indexentry0"/>
      </w:pPr>
      <w:hyperlink w:anchor="section_bbae891601d748acae07ff5d30130967">
        <w:r>
          <w:rPr>
            <w:rStyle w:val="Hyperlink"/>
          </w:rPr>
          <w:t>lumMod (Luminance Modulation)</w:t>
        </w:r>
      </w:hyperlink>
      <w:r>
        <w:t xml:space="preserve"> </w:t>
      </w:r>
      <w:r>
        <w:fldChar w:fldCharType="begin"/>
      </w:r>
      <w:r>
        <w:instrText>PAGEREF section_bbae891601d748acae07ff5d30130967</w:instrText>
      </w:r>
      <w:r>
        <w:fldChar w:fldCharType="separate"/>
      </w:r>
      <w:r>
        <w:rPr>
          <w:noProof/>
        </w:rPr>
        <w:t>504</w:t>
      </w:r>
      <w:r>
        <w:fldChar w:fldCharType="end"/>
      </w:r>
    </w:p>
    <w:p w:rsidR="005F78FC" w:rsidRDefault="00B42EF3">
      <w:pPr>
        <w:pStyle w:val="indexentry0"/>
      </w:pPr>
      <w:hyperlink w:anchor="section_fa8c6409ddd046bdb9950b00342d9aeb">
        <w:r>
          <w:rPr>
            <w:rStyle w:val="Hyperlink"/>
          </w:rPr>
          <w:t>lumOff (Luminance Offset)</w:t>
        </w:r>
      </w:hyperlink>
      <w:r>
        <w:t xml:space="preserve"> </w:t>
      </w:r>
      <w:r>
        <w:fldChar w:fldCharType="begin"/>
      </w:r>
      <w:r>
        <w:instrText>PAGEREF section_fa8c6409ddd046bdb9950b00342d9aeb</w:instrText>
      </w:r>
      <w:r>
        <w:fldChar w:fldCharType="separate"/>
      </w:r>
      <w:r>
        <w:rPr>
          <w:noProof/>
        </w:rPr>
        <w:t>505</w:t>
      </w:r>
      <w:r>
        <w:fldChar w:fldCharType="end"/>
      </w:r>
    </w:p>
    <w:p w:rsidR="005F78FC" w:rsidRDefault="00B42EF3">
      <w:pPr>
        <w:pStyle w:val="indexentry0"/>
      </w:pPr>
      <w:hyperlink w:anchor="section_f6d3a915d0354a95b1668a66c55ff8a4">
        <w:r>
          <w:rPr>
            <w:rStyle w:val="Hyperlink"/>
          </w:rPr>
          <w:t>lvl (Level)</w:t>
        </w:r>
      </w:hyperlink>
      <w:r>
        <w:t xml:space="preserve"> </w:t>
      </w:r>
      <w:r>
        <w:fldChar w:fldCharType="begin"/>
      </w:r>
      <w:r>
        <w:instrText>PAGEREF section_f6d3a915d0354a95b1668a66c55f</w:instrText>
      </w:r>
      <w:r>
        <w:instrText>f8a4</w:instrText>
      </w:r>
      <w:r>
        <w:fldChar w:fldCharType="separate"/>
      </w:r>
      <w:r>
        <w:rPr>
          <w:noProof/>
        </w:rPr>
        <w:t>558</w:t>
      </w:r>
      <w:r>
        <w:fldChar w:fldCharType="end"/>
      </w:r>
    </w:p>
    <w:p w:rsidR="005F78FC" w:rsidRDefault="00B42EF3">
      <w:pPr>
        <w:pStyle w:val="indexentry0"/>
      </w:pPr>
      <w:hyperlink w:anchor="section_895f4d8b0bff4f5ba8fe36595d6ca794">
        <w:r>
          <w:rPr>
            <w:rStyle w:val="Hyperlink"/>
          </w:rPr>
          <w:t>lvl (Numbering Level Definition)</w:t>
        </w:r>
      </w:hyperlink>
      <w:r>
        <w:t xml:space="preserve"> </w:t>
      </w:r>
      <w:r>
        <w:fldChar w:fldCharType="begin"/>
      </w:r>
      <w:r>
        <w:instrText>PAGEREF section_895f4d8b0bff4f5ba8fe36595d6ca794</w:instrText>
      </w:r>
      <w:r>
        <w:fldChar w:fldCharType="separate"/>
      </w:r>
      <w:r>
        <w:rPr>
          <w:noProof/>
        </w:rPr>
        <w:t>127</w:t>
      </w:r>
      <w:r>
        <w:fldChar w:fldCharType="end"/>
      </w:r>
    </w:p>
    <w:p w:rsidR="005F78FC" w:rsidRDefault="00B42EF3">
      <w:pPr>
        <w:pStyle w:val="indexentry0"/>
      </w:pPr>
      <w:hyperlink w:anchor="section_aab4583bf1ec4ae18c5d314f27742479">
        <w:r>
          <w:rPr>
            <w:rStyle w:val="Hyperlink"/>
          </w:rPr>
          <w:t>lvl (Numbering Level Override Definitio</w:t>
        </w:r>
        <w:r>
          <w:rPr>
            <w:rStyle w:val="Hyperlink"/>
          </w:rPr>
          <w:t>n)</w:t>
        </w:r>
      </w:hyperlink>
      <w:r>
        <w:t xml:space="preserve"> </w:t>
      </w:r>
      <w:r>
        <w:fldChar w:fldCharType="begin"/>
      </w:r>
      <w:r>
        <w:instrText>PAGEREF section_aab4583bf1ec4ae18c5d314f27742479</w:instrText>
      </w:r>
      <w:r>
        <w:fldChar w:fldCharType="separate"/>
      </w:r>
      <w:r>
        <w:rPr>
          <w:noProof/>
        </w:rPr>
        <w:t>127</w:t>
      </w:r>
      <w:r>
        <w:fldChar w:fldCharType="end"/>
      </w:r>
    </w:p>
    <w:p w:rsidR="005F78FC" w:rsidRDefault="00B42EF3">
      <w:pPr>
        <w:pStyle w:val="indexentry0"/>
      </w:pPr>
      <w:hyperlink w:anchor="section_9b34280e538e48118af9761d34f88f20">
        <w:r>
          <w:rPr>
            <w:rStyle w:val="Hyperlink"/>
          </w:rPr>
          <w:t>lvl1pPr (List Level 1 Text Style)</w:t>
        </w:r>
      </w:hyperlink>
      <w:r>
        <w:t xml:space="preserve"> </w:t>
      </w:r>
      <w:r>
        <w:fldChar w:fldCharType="begin"/>
      </w:r>
      <w:r>
        <w:instrText>PAGEREF section_9b34280e538e48118af9761d34f88f20</w:instrText>
      </w:r>
      <w:r>
        <w:fldChar w:fldCharType="separate"/>
      </w:r>
      <w:r>
        <w:rPr>
          <w:noProof/>
        </w:rPr>
        <w:t>542</w:t>
      </w:r>
      <w:r>
        <w:fldChar w:fldCharType="end"/>
      </w:r>
    </w:p>
    <w:p w:rsidR="005F78FC" w:rsidRDefault="00B42EF3">
      <w:pPr>
        <w:pStyle w:val="indexentry0"/>
      </w:pPr>
      <w:hyperlink w:anchor="section_b38501622477401f850f1df6753a0f6a">
        <w:r>
          <w:rPr>
            <w:rStyle w:val="Hyperlink"/>
          </w:rPr>
          <w:t>lvl2pPr (List Level 2 Text Style)</w:t>
        </w:r>
      </w:hyperlink>
      <w:r>
        <w:t xml:space="preserve"> </w:t>
      </w:r>
      <w:r>
        <w:fldChar w:fldCharType="begin"/>
      </w:r>
      <w:r>
        <w:instrText>PAGEREF section_b38501622477401f850f1df6753a0f6a</w:instrText>
      </w:r>
      <w:r>
        <w:fldChar w:fldCharType="separate"/>
      </w:r>
      <w:r>
        <w:rPr>
          <w:noProof/>
        </w:rPr>
        <w:t>543</w:t>
      </w:r>
      <w:r>
        <w:fldChar w:fldCharType="end"/>
      </w:r>
    </w:p>
    <w:p w:rsidR="005F78FC" w:rsidRDefault="00B42EF3">
      <w:pPr>
        <w:pStyle w:val="indexentry0"/>
      </w:pPr>
      <w:hyperlink w:anchor="section_d4a8333066814a558325a854e9678e28">
        <w:r>
          <w:rPr>
            <w:rStyle w:val="Hyperlink"/>
          </w:rPr>
          <w:t>lvl3pPr (List Level 3 Text Style)</w:t>
        </w:r>
      </w:hyperlink>
      <w:r>
        <w:t xml:space="preserve"> </w:t>
      </w:r>
      <w:r>
        <w:fldChar w:fldCharType="begin"/>
      </w:r>
      <w:r>
        <w:instrText>PAGEREF se</w:instrText>
      </w:r>
      <w:r>
        <w:instrText>ction_d4a8333066814a558325a854e9678e28</w:instrText>
      </w:r>
      <w:r>
        <w:fldChar w:fldCharType="separate"/>
      </w:r>
      <w:r>
        <w:rPr>
          <w:noProof/>
        </w:rPr>
        <w:t>543</w:t>
      </w:r>
      <w:r>
        <w:fldChar w:fldCharType="end"/>
      </w:r>
    </w:p>
    <w:p w:rsidR="005F78FC" w:rsidRDefault="00B42EF3">
      <w:pPr>
        <w:pStyle w:val="indexentry0"/>
      </w:pPr>
      <w:hyperlink w:anchor="section_142246b5277945a4b8a49a03defc916a">
        <w:r>
          <w:rPr>
            <w:rStyle w:val="Hyperlink"/>
          </w:rPr>
          <w:t>lvl4pPr (List Level 4 Text Style)</w:t>
        </w:r>
      </w:hyperlink>
      <w:r>
        <w:t xml:space="preserve"> </w:t>
      </w:r>
      <w:r>
        <w:fldChar w:fldCharType="begin"/>
      </w:r>
      <w:r>
        <w:instrText>PAGEREF section_142246b5277945a4b8a49a03defc916a</w:instrText>
      </w:r>
      <w:r>
        <w:fldChar w:fldCharType="separate"/>
      </w:r>
      <w:r>
        <w:rPr>
          <w:noProof/>
        </w:rPr>
        <w:t>543</w:t>
      </w:r>
      <w:r>
        <w:fldChar w:fldCharType="end"/>
      </w:r>
    </w:p>
    <w:p w:rsidR="005F78FC" w:rsidRDefault="00B42EF3">
      <w:pPr>
        <w:pStyle w:val="indexentry0"/>
      </w:pPr>
      <w:hyperlink w:anchor="section_e5ca15241c834a9689ad5c13442ac84e">
        <w:r>
          <w:rPr>
            <w:rStyle w:val="Hyperlink"/>
          </w:rPr>
          <w:t>lvl5</w:t>
        </w:r>
        <w:r>
          <w:rPr>
            <w:rStyle w:val="Hyperlink"/>
          </w:rPr>
          <w:t>pPr (List Level 5 Text Style)</w:t>
        </w:r>
      </w:hyperlink>
      <w:r>
        <w:t xml:space="preserve"> </w:t>
      </w:r>
      <w:r>
        <w:fldChar w:fldCharType="begin"/>
      </w:r>
      <w:r>
        <w:instrText>PAGEREF section_e5ca15241c834a9689ad5c13442ac84e</w:instrText>
      </w:r>
      <w:r>
        <w:fldChar w:fldCharType="separate"/>
      </w:r>
      <w:r>
        <w:rPr>
          <w:noProof/>
        </w:rPr>
        <w:t>543</w:t>
      </w:r>
      <w:r>
        <w:fldChar w:fldCharType="end"/>
      </w:r>
    </w:p>
    <w:p w:rsidR="005F78FC" w:rsidRDefault="00B42EF3">
      <w:pPr>
        <w:pStyle w:val="indexentry0"/>
      </w:pPr>
      <w:hyperlink w:anchor="section_228bd71e50624343972ec687ef5c6c49">
        <w:r>
          <w:rPr>
            <w:rStyle w:val="Hyperlink"/>
          </w:rPr>
          <w:t>lvl6pPr (List Level 6 Text Style)</w:t>
        </w:r>
      </w:hyperlink>
      <w:r>
        <w:t xml:space="preserve"> </w:t>
      </w:r>
      <w:r>
        <w:fldChar w:fldCharType="begin"/>
      </w:r>
      <w:r>
        <w:instrText>PAGEREF section_228bd71e50624343972ec687ef5c6c49</w:instrText>
      </w:r>
      <w:r>
        <w:fldChar w:fldCharType="separate"/>
      </w:r>
      <w:r>
        <w:rPr>
          <w:noProof/>
        </w:rPr>
        <w:t>543</w:t>
      </w:r>
      <w:r>
        <w:fldChar w:fldCharType="end"/>
      </w:r>
    </w:p>
    <w:p w:rsidR="005F78FC" w:rsidRDefault="00B42EF3">
      <w:pPr>
        <w:pStyle w:val="indexentry0"/>
      </w:pPr>
      <w:hyperlink w:anchor="section_c33ec6fdf6bf4c52bfcbf79c46f75940">
        <w:r>
          <w:rPr>
            <w:rStyle w:val="Hyperlink"/>
          </w:rPr>
          <w:t>lvl7pPr (List Level 7 Text Style)</w:t>
        </w:r>
      </w:hyperlink>
      <w:r>
        <w:t xml:space="preserve"> </w:t>
      </w:r>
      <w:r>
        <w:fldChar w:fldCharType="begin"/>
      </w:r>
      <w:r>
        <w:instrText>PAGEREF section_c33ec6fdf6bf4c52bfcbf79c46f75940</w:instrText>
      </w:r>
      <w:r>
        <w:fldChar w:fldCharType="separate"/>
      </w:r>
      <w:r>
        <w:rPr>
          <w:noProof/>
        </w:rPr>
        <w:t>543</w:t>
      </w:r>
      <w:r>
        <w:fldChar w:fldCharType="end"/>
      </w:r>
    </w:p>
    <w:p w:rsidR="005F78FC" w:rsidRDefault="00B42EF3">
      <w:pPr>
        <w:pStyle w:val="indexentry0"/>
      </w:pPr>
      <w:hyperlink w:anchor="section_fad8b55fc4384af283ae8d18980a3409">
        <w:r>
          <w:rPr>
            <w:rStyle w:val="Hyperlink"/>
          </w:rPr>
          <w:t>lvl8pPr (List Level 8 Text Style)</w:t>
        </w:r>
      </w:hyperlink>
      <w:r>
        <w:t xml:space="preserve"> </w:t>
      </w:r>
      <w:r>
        <w:fldChar w:fldCharType="begin"/>
      </w:r>
      <w:r>
        <w:instrText>PAGEREF section_fad8b55fc4384af28</w:instrText>
      </w:r>
      <w:r>
        <w:instrText>3ae8d18980a3409</w:instrText>
      </w:r>
      <w:r>
        <w:fldChar w:fldCharType="separate"/>
      </w:r>
      <w:r>
        <w:rPr>
          <w:noProof/>
        </w:rPr>
        <w:t>543</w:t>
      </w:r>
      <w:r>
        <w:fldChar w:fldCharType="end"/>
      </w:r>
    </w:p>
    <w:p w:rsidR="005F78FC" w:rsidRDefault="00B42EF3">
      <w:pPr>
        <w:pStyle w:val="indexentry0"/>
      </w:pPr>
      <w:hyperlink w:anchor="section_07edd2dd19594af5b4464964a45d4168">
        <w:r>
          <w:rPr>
            <w:rStyle w:val="Hyperlink"/>
          </w:rPr>
          <w:t>lvl9pPr (List Level 9 Text Style)</w:t>
        </w:r>
      </w:hyperlink>
      <w:r>
        <w:t xml:space="preserve"> </w:t>
      </w:r>
      <w:r>
        <w:fldChar w:fldCharType="begin"/>
      </w:r>
      <w:r>
        <w:instrText>PAGEREF section_07edd2dd19594af5b4464964a45d4168</w:instrText>
      </w:r>
      <w:r>
        <w:fldChar w:fldCharType="separate"/>
      </w:r>
      <w:r>
        <w:rPr>
          <w:noProof/>
        </w:rPr>
        <w:t>543</w:t>
      </w:r>
      <w:r>
        <w:fldChar w:fldCharType="end"/>
      </w:r>
    </w:p>
    <w:p w:rsidR="005F78FC" w:rsidRDefault="00B42EF3">
      <w:pPr>
        <w:pStyle w:val="indexentry0"/>
      </w:pPr>
      <w:hyperlink w:anchor="section_182e6a3c70ea4ba1bcd001caa609fcdf">
        <w:r>
          <w:rPr>
            <w:rStyle w:val="Hyperlink"/>
          </w:rPr>
          <w:t>lvlJc (Justification)</w:t>
        </w:r>
      </w:hyperlink>
      <w:r>
        <w:t xml:space="preserve"> </w:t>
      </w:r>
      <w:r>
        <w:fldChar w:fldCharType="begin"/>
      </w:r>
      <w:r>
        <w:instrText>PAG</w:instrText>
      </w:r>
      <w:r>
        <w:instrText>EREF section_182e6a3c70ea4ba1bcd001caa609fcdf</w:instrText>
      </w:r>
      <w:r>
        <w:fldChar w:fldCharType="separate"/>
      </w:r>
      <w:r>
        <w:rPr>
          <w:noProof/>
        </w:rPr>
        <w:t>127</w:t>
      </w:r>
      <w:r>
        <w:fldChar w:fldCharType="end"/>
      </w:r>
    </w:p>
    <w:p w:rsidR="005F78FC" w:rsidRDefault="00B42EF3">
      <w:pPr>
        <w:pStyle w:val="indexentry0"/>
      </w:pPr>
      <w:hyperlink w:anchor="section_140a2cd92f26456d9760ae6ecef4e8b5">
        <w:r>
          <w:rPr>
            <w:rStyle w:val="Hyperlink"/>
          </w:rPr>
          <w:t>lvlRestart (Restart Numbering Level Symbol)</w:t>
        </w:r>
      </w:hyperlink>
      <w:r>
        <w:t xml:space="preserve"> </w:t>
      </w:r>
      <w:r>
        <w:fldChar w:fldCharType="begin"/>
      </w:r>
      <w:r>
        <w:instrText>PAGEREF section_140a2cd92f26456d9760ae6ecef4e8b5</w:instrText>
      </w:r>
      <w:r>
        <w:fldChar w:fldCharType="separate"/>
      </w:r>
      <w:r>
        <w:rPr>
          <w:noProof/>
        </w:rPr>
        <w:t>127</w:t>
      </w:r>
      <w:r>
        <w:fldChar w:fldCharType="end"/>
      </w:r>
    </w:p>
    <w:p w:rsidR="005F78FC" w:rsidRDefault="00B42EF3">
      <w:pPr>
        <w:pStyle w:val="indexentry0"/>
      </w:pPr>
      <w:hyperlink w:anchor="section_74f54646dbe040ea90c95ec70107e91d">
        <w:r>
          <w:rPr>
            <w:rStyle w:val="Hyperlink"/>
          </w:rPr>
          <w:t>lvlText (Numbering Level Text)</w:t>
        </w:r>
      </w:hyperlink>
      <w:r>
        <w:t xml:space="preserve"> </w:t>
      </w:r>
      <w:r>
        <w:fldChar w:fldCharType="begin"/>
      </w:r>
      <w:r>
        <w:instrText>PAGEREF section_74f54646dbe040ea90c95ec70107e91d</w:instrText>
      </w:r>
      <w:r>
        <w:fldChar w:fldCharType="separate"/>
      </w:r>
      <w:r>
        <w:rPr>
          <w:noProof/>
        </w:rPr>
        <w:t>127</w:t>
      </w:r>
      <w:r>
        <w:fldChar w:fldCharType="end"/>
      </w:r>
    </w:p>
    <w:p w:rsidR="005F78FC" w:rsidRDefault="005F78FC">
      <w:pPr>
        <w:spacing w:before="0" w:after="0"/>
        <w:rPr>
          <w:sz w:val="16"/>
        </w:rPr>
      </w:pPr>
    </w:p>
    <w:p w:rsidR="005F78FC" w:rsidRDefault="00B42EF3">
      <w:pPr>
        <w:pStyle w:val="indexheader"/>
      </w:pPr>
      <w:r>
        <w:t>M</w:t>
      </w:r>
    </w:p>
    <w:p w:rsidR="005F78FC" w:rsidRDefault="005F78FC">
      <w:pPr>
        <w:spacing w:before="0" w:after="0"/>
        <w:rPr>
          <w:sz w:val="16"/>
        </w:rPr>
      </w:pPr>
    </w:p>
    <w:p w:rsidR="005F78FC" w:rsidRDefault="00B42EF3">
      <w:pPr>
        <w:pStyle w:val="indexentry0"/>
      </w:pPr>
      <w:hyperlink w:anchor="section_5ebe64dcdfd043959169450bd428ae63">
        <w:r>
          <w:rPr>
            <w:rStyle w:val="Hyperlink"/>
          </w:rPr>
          <w:t>m (Matrix Object)</w:t>
        </w:r>
      </w:hyperlink>
      <w:r>
        <w:t xml:space="preserve"> </w:t>
      </w:r>
      <w:r>
        <w:fldChar w:fldCharType="begin"/>
      </w:r>
      <w:r>
        <w:instrText>PAGEREF section_5ebe64dcd</w:instrText>
      </w:r>
      <w:r>
        <w:instrText>fd043959169450bd428ae63</w:instrText>
      </w:r>
      <w:r>
        <w:fldChar w:fldCharType="separate"/>
      </w:r>
      <w:r>
        <w:rPr>
          <w:noProof/>
        </w:rPr>
        <w:t>601</w:t>
      </w:r>
      <w:r>
        <w:fldChar w:fldCharType="end"/>
      </w:r>
    </w:p>
    <w:p w:rsidR="005F78FC" w:rsidRDefault="00B42EF3">
      <w:pPr>
        <w:pStyle w:val="indexentry0"/>
      </w:pPr>
      <w:hyperlink w:anchor="section_148814680d094701a500d97e5d61c8a2">
        <w:r>
          <w:rPr>
            <w:rStyle w:val="Hyperlink"/>
          </w:rPr>
          <w:t>m (No Value)</w:t>
        </w:r>
      </w:hyperlink>
      <w:r>
        <w:t xml:space="preserve"> </w:t>
      </w:r>
      <w:r>
        <w:fldChar w:fldCharType="begin"/>
      </w:r>
      <w:r>
        <w:instrText>PAGEREF section_148814680d094701a500d97e5d61c8a2</w:instrText>
      </w:r>
      <w:r>
        <w:fldChar w:fldCharType="separate"/>
      </w:r>
      <w:r>
        <w:rPr>
          <w:noProof/>
        </w:rPr>
        <w:t>343</w:t>
      </w:r>
      <w:r>
        <w:fldChar w:fldCharType="end"/>
      </w:r>
    </w:p>
    <w:p w:rsidR="005F78FC" w:rsidRDefault="00B42EF3">
      <w:pPr>
        <w:pStyle w:val="indexentry0"/>
      </w:pPr>
      <w:hyperlink w:anchor="section_0ab7a8b6842d4bda8c7262ac9dd16b0d">
        <w:r>
          <w:rPr>
            <w:rStyle w:val="Hyperlink"/>
          </w:rPr>
          <w:t>macro (Macro Keyboard Customization Acti</w:t>
        </w:r>
        <w:r>
          <w:rPr>
            <w:rStyle w:val="Hyperlink"/>
          </w:rPr>
          <w:t>on)</w:t>
        </w:r>
      </w:hyperlink>
      <w:r>
        <w:t xml:space="preserve"> </w:t>
      </w:r>
      <w:r>
        <w:fldChar w:fldCharType="begin"/>
      </w:r>
      <w:r>
        <w:instrText>PAGEREF section_0ab7a8b6842d4bda8c7262ac9dd16b0d</w:instrText>
      </w:r>
      <w:r>
        <w:fldChar w:fldCharType="separate"/>
      </w:r>
      <w:r>
        <w:rPr>
          <w:noProof/>
        </w:rPr>
        <w:t>705</w:t>
      </w:r>
      <w:r>
        <w:fldChar w:fldCharType="end"/>
      </w:r>
    </w:p>
    <w:p w:rsidR="005F78FC" w:rsidRDefault="00B42EF3">
      <w:pPr>
        <w:pStyle w:val="indexentry0"/>
      </w:pPr>
      <w:hyperlink w:anchor="section_d5aea26dd1a440c8abb93040566385fd">
        <w:r>
          <w:rPr>
            <w:rStyle w:val="Hyperlink"/>
          </w:rPr>
          <w:t>MACROBUTTON</w:t>
        </w:r>
      </w:hyperlink>
      <w:r>
        <w:t xml:space="preserve"> </w:t>
      </w:r>
      <w:r>
        <w:fldChar w:fldCharType="begin"/>
      </w:r>
      <w:r>
        <w:instrText>PAGEREF section_d5aea26dd1a440c8abb93040566385fd</w:instrText>
      </w:r>
      <w:r>
        <w:fldChar w:fldCharType="separate"/>
      </w:r>
      <w:r>
        <w:rPr>
          <w:noProof/>
        </w:rPr>
        <w:t>221</w:t>
      </w:r>
      <w:r>
        <w:fldChar w:fldCharType="end"/>
      </w:r>
    </w:p>
    <w:p w:rsidR="005F78FC" w:rsidRDefault="00B42EF3">
      <w:pPr>
        <w:pStyle w:val="indexentry0"/>
      </w:pPr>
      <w:r>
        <w:t>Mail Merge (</w:t>
      </w:r>
      <w:hyperlink w:anchor="section_70b993e7519d4c62a55257ff1f7cceac">
        <w:r>
          <w:rPr>
            <w:rStyle w:val="Hyperlink"/>
          </w:rPr>
          <w:t>section 2.1.359</w:t>
        </w:r>
      </w:hyperlink>
      <w:r>
        <w:t xml:space="preserve"> </w:t>
      </w:r>
      <w:r>
        <w:fldChar w:fldCharType="begin"/>
      </w:r>
      <w:r>
        <w:instrText>PAGEREF section_70b993e7519d4c62a55257ff1f7cceac</w:instrText>
      </w:r>
      <w:r>
        <w:fldChar w:fldCharType="separate"/>
      </w:r>
      <w:r>
        <w:rPr>
          <w:noProof/>
        </w:rPr>
        <w:t>144</w:t>
      </w:r>
      <w:r>
        <w:fldChar w:fldCharType="end"/>
      </w:r>
      <w:r>
        <w:t xml:space="preserve">, </w:t>
      </w:r>
      <w:hyperlink w:anchor="section_f6ef0c485e3542599919c0351df4ad37">
        <w:r>
          <w:rPr>
            <w:rStyle w:val="Hyperlink"/>
          </w:rPr>
          <w:t>section 3.1.2.2</w:t>
        </w:r>
      </w:hyperlink>
      <w:r>
        <w:t xml:space="preserve"> </w:t>
      </w:r>
      <w:r>
        <w:fldChar w:fldCharType="begin"/>
      </w:r>
      <w:r>
        <w:instrText>PAGEREF section_f6ef0c485e3542599919c0351df4ad37</w:instrText>
      </w:r>
      <w:r>
        <w:fldChar w:fldCharType="separate"/>
      </w:r>
      <w:r>
        <w:rPr>
          <w:noProof/>
        </w:rPr>
        <w:t>784</w:t>
      </w:r>
      <w:r>
        <w:fldChar w:fldCharType="end"/>
      </w:r>
      <w:r>
        <w:t>)</w:t>
      </w:r>
    </w:p>
    <w:p w:rsidR="005F78FC" w:rsidRDefault="00B42EF3">
      <w:pPr>
        <w:pStyle w:val="indexentry0"/>
      </w:pPr>
      <w:hyperlink w:anchor="section_af3dc9138c084843ab40495a92170b96">
        <w:r>
          <w:rPr>
            <w:rStyle w:val="Hyperlink"/>
          </w:rPr>
          <w:t>Mail Merge Recipient Data Part</w:t>
        </w:r>
      </w:hyperlink>
      <w:r>
        <w:t xml:space="preserve"> </w:t>
      </w:r>
      <w:r>
        <w:fldChar w:fldCharType="begin"/>
      </w:r>
      <w:r>
        <w:instrText>PAGEREF section_af3dc9138c084843ab40495a92170b96</w:instrText>
      </w:r>
      <w:r>
        <w:fldChar w:fldCharType="separate"/>
      </w:r>
      <w:r>
        <w:rPr>
          <w:noProof/>
        </w:rPr>
        <w:t>692</w:t>
      </w:r>
      <w:r>
        <w:fldChar w:fldCharType="end"/>
      </w:r>
    </w:p>
    <w:p w:rsidR="005F78FC" w:rsidRDefault="00B42EF3">
      <w:pPr>
        <w:pStyle w:val="indexentry0"/>
      </w:pPr>
      <w:hyperlink w:anchor="section_86d70704e1464242bbbe719a8e663c4b">
        <w:r>
          <w:rPr>
            <w:rStyle w:val="Hyperlink"/>
          </w:rPr>
          <w:t>mailMerge (Mail Merge Settings)</w:t>
        </w:r>
      </w:hyperlink>
      <w:r>
        <w:t xml:space="preserve"> </w:t>
      </w:r>
      <w:r>
        <w:fldChar w:fldCharType="begin"/>
      </w:r>
      <w:r>
        <w:instrText>PAGEREF section_86d70704e1464242bbbe719a8e663c4b</w:instrText>
      </w:r>
      <w:r>
        <w:fldChar w:fldCharType="separate"/>
      </w:r>
      <w:r>
        <w:rPr>
          <w:noProof/>
        </w:rPr>
        <w:t>147</w:t>
      </w:r>
      <w:r>
        <w:fldChar w:fldCharType="end"/>
      </w:r>
    </w:p>
    <w:p w:rsidR="005F78FC" w:rsidRDefault="00B42EF3">
      <w:pPr>
        <w:pStyle w:val="indexentry0"/>
      </w:pPr>
      <w:hyperlink w:anchor="section_e57228cfd6724d27a0b2305886693f3c">
        <w:r>
          <w:rPr>
            <w:rStyle w:val="Hyperlink"/>
          </w:rPr>
          <w:t>main (Main)</w:t>
        </w:r>
      </w:hyperlink>
      <w:r>
        <w:t xml:space="preserve"> </w:t>
      </w:r>
      <w:r>
        <w:fldChar w:fldCharType="begin"/>
      </w:r>
      <w:r>
        <w:instrText>PAGEREF section_e57228cfd6724d27a0b2305886693f3c</w:instrText>
      </w:r>
      <w:r>
        <w:fldChar w:fldCharType="separate"/>
      </w:r>
      <w:r>
        <w:rPr>
          <w:noProof/>
        </w:rPr>
        <w:t>385</w:t>
      </w:r>
      <w:r>
        <w:fldChar w:fldCharType="end"/>
      </w:r>
    </w:p>
    <w:p w:rsidR="005F78FC" w:rsidRDefault="00B42EF3">
      <w:pPr>
        <w:pStyle w:val="indexentry0"/>
      </w:pPr>
      <w:hyperlink w:anchor="section_c1126f5e88c844d3b6cd3bcfc7368bea">
        <w:r>
          <w:rPr>
            <w:rStyle w:val="Hyperlink"/>
          </w:rPr>
          <w:t>majorTickMark (Major Tick Mark)</w:t>
        </w:r>
      </w:hyperlink>
      <w:r>
        <w:t xml:space="preserve"> </w:t>
      </w:r>
      <w:r>
        <w:fldChar w:fldCharType="begin"/>
      </w:r>
      <w:r>
        <w:instrText>PAGEREF section_c1126f5e88c844d3b6</w:instrText>
      </w:r>
      <w:r>
        <w:instrText>cd3bcfc7368bea</w:instrText>
      </w:r>
      <w:r>
        <w:fldChar w:fldCharType="separate"/>
      </w:r>
      <w:r>
        <w:rPr>
          <w:noProof/>
        </w:rPr>
        <w:t>558</w:t>
      </w:r>
      <w:r>
        <w:fldChar w:fldCharType="end"/>
      </w:r>
    </w:p>
    <w:p w:rsidR="005F78FC" w:rsidRDefault="00B42EF3">
      <w:pPr>
        <w:pStyle w:val="indexentry0"/>
      </w:pPr>
      <w:hyperlink w:anchor="section_8268861e15c944fa9982632c6f2d6987">
        <w:r>
          <w:rPr>
            <w:rStyle w:val="Hyperlink"/>
          </w:rPr>
          <w:t>majorUnit (Major Unit)</w:t>
        </w:r>
      </w:hyperlink>
      <w:r>
        <w:t xml:space="preserve"> </w:t>
      </w:r>
      <w:r>
        <w:fldChar w:fldCharType="begin"/>
      </w:r>
      <w:r>
        <w:instrText>PAGEREF section_8268861e15c944fa9982632c6f2d6987</w:instrText>
      </w:r>
      <w:r>
        <w:fldChar w:fldCharType="separate"/>
      </w:r>
      <w:r>
        <w:rPr>
          <w:noProof/>
        </w:rPr>
        <w:t>558</w:t>
      </w:r>
      <w:r>
        <w:fldChar w:fldCharType="end"/>
      </w:r>
    </w:p>
    <w:p w:rsidR="005F78FC" w:rsidRDefault="00B42EF3">
      <w:pPr>
        <w:pStyle w:val="indexentry0"/>
      </w:pPr>
      <w:hyperlink w:anchor="section_72a51ea393964453ad0b70388cc87aaf">
        <w:r>
          <w:rPr>
            <w:rStyle w:val="Hyperlink"/>
          </w:rPr>
          <w:t>ManifestHashAlgorithm (Manifest Hash Al</w:t>
        </w:r>
        <w:r>
          <w:rPr>
            <w:rStyle w:val="Hyperlink"/>
          </w:rPr>
          <w:t>gorithm)</w:t>
        </w:r>
      </w:hyperlink>
      <w:r>
        <w:t xml:space="preserve"> </w:t>
      </w:r>
      <w:r>
        <w:fldChar w:fldCharType="begin"/>
      </w:r>
      <w:r>
        <w:instrText>PAGEREF section_72a51ea393964453ad0b70388cc87aaf</w:instrText>
      </w:r>
      <w:r>
        <w:fldChar w:fldCharType="separate"/>
      </w:r>
      <w:r>
        <w:rPr>
          <w:noProof/>
        </w:rPr>
        <w:t>886</w:t>
      </w:r>
      <w:r>
        <w:fldChar w:fldCharType="end"/>
      </w:r>
    </w:p>
    <w:p w:rsidR="005F78FC" w:rsidRDefault="00B42EF3">
      <w:pPr>
        <w:pStyle w:val="indexentry0"/>
      </w:pPr>
      <w:hyperlink w:anchor="section_8ef048666150457e9997509ec5a80cf5">
        <w:r>
          <w:rPr>
            <w:rStyle w:val="Hyperlink"/>
          </w:rPr>
          <w:t>manualLayout (Manual Layout)</w:t>
        </w:r>
      </w:hyperlink>
      <w:r>
        <w:t xml:space="preserve"> </w:t>
      </w:r>
      <w:r>
        <w:fldChar w:fldCharType="begin"/>
      </w:r>
      <w:r>
        <w:instrText>PAGEREF section_8ef048666150457e9997509ec5a80cf5</w:instrText>
      </w:r>
      <w:r>
        <w:fldChar w:fldCharType="separate"/>
      </w:r>
      <w:r>
        <w:rPr>
          <w:noProof/>
        </w:rPr>
        <w:t>559</w:t>
      </w:r>
      <w:r>
        <w:fldChar w:fldCharType="end"/>
      </w:r>
    </w:p>
    <w:p w:rsidR="005F78FC" w:rsidRDefault="00B42EF3">
      <w:pPr>
        <w:pStyle w:val="indexentry0"/>
      </w:pPr>
      <w:hyperlink w:anchor="section_402db8a4378941b1a621df9fe88402ad">
        <w:r>
          <w:rPr>
            <w:rStyle w:val="Hyperlink"/>
          </w:rPr>
          <w:t>map (OLAP Measure Group)</w:t>
        </w:r>
      </w:hyperlink>
      <w:r>
        <w:t xml:space="preserve"> </w:t>
      </w:r>
      <w:r>
        <w:fldChar w:fldCharType="begin"/>
      </w:r>
      <w:r>
        <w:instrText>PAGEREF section_402db8a4378941b1a621df9fe88402ad</w:instrText>
      </w:r>
      <w:r>
        <w:fldChar w:fldCharType="separate"/>
      </w:r>
      <w:r>
        <w:rPr>
          <w:noProof/>
        </w:rPr>
        <w:t>344</w:t>
      </w:r>
      <w:r>
        <w:fldChar w:fldCharType="end"/>
      </w:r>
    </w:p>
    <w:p w:rsidR="005F78FC" w:rsidRDefault="00B42EF3">
      <w:pPr>
        <w:pStyle w:val="indexentry0"/>
      </w:pPr>
      <w:hyperlink w:anchor="section_b99c81f1268a460a96cc4bbbe2ddf7c5">
        <w:r>
          <w:rPr>
            <w:rStyle w:val="Hyperlink"/>
          </w:rPr>
          <w:t>Map (XML Mapping Properties)</w:t>
        </w:r>
      </w:hyperlink>
      <w:r>
        <w:t xml:space="preserve"> </w:t>
      </w:r>
      <w:r>
        <w:fldChar w:fldCharType="begin"/>
      </w:r>
      <w:r>
        <w:instrText>PAGEREF section_b99c81f1268a460a96cc4bbbe2ddf7c5</w:instrText>
      </w:r>
      <w:r>
        <w:fldChar w:fldCharType="separate"/>
      </w:r>
      <w:r>
        <w:rPr>
          <w:noProof/>
        </w:rPr>
        <w:t>387</w:t>
      </w:r>
      <w:r>
        <w:fldChar w:fldCharType="end"/>
      </w:r>
    </w:p>
    <w:p w:rsidR="005F78FC" w:rsidRDefault="00B42EF3">
      <w:pPr>
        <w:pStyle w:val="indexentry0"/>
      </w:pPr>
      <w:hyperlink w:anchor="section_65e8cdb15d92405ba16b6aab39f3f150">
        <w:r>
          <w:rPr>
            <w:rStyle w:val="Hyperlink"/>
          </w:rPr>
          <w:t>mappedName (Predefined Merge Field Name)</w:t>
        </w:r>
      </w:hyperlink>
      <w:r>
        <w:t xml:space="preserve"> </w:t>
      </w:r>
      <w:r>
        <w:fldChar w:fldCharType="begin"/>
      </w:r>
      <w:r>
        <w:instrText>PAGEREF section_65e8cdb15d92405ba16b6aab39f3f150</w:instrText>
      </w:r>
      <w:r>
        <w:fldChar w:fldCharType="separate"/>
      </w:r>
      <w:r>
        <w:rPr>
          <w:noProof/>
        </w:rPr>
        <w:t>148</w:t>
      </w:r>
      <w:r>
        <w:fldChar w:fldCharType="end"/>
      </w:r>
    </w:p>
    <w:p w:rsidR="005F78FC" w:rsidRDefault="00B42EF3">
      <w:pPr>
        <w:pStyle w:val="indexentry0"/>
      </w:pPr>
      <w:hyperlink w:anchor="section_c42ddf7df72d4cb69f3513e6e30d7d25">
        <w:r>
          <w:rPr>
            <w:rStyle w:val="Hyperlink"/>
          </w:rPr>
          <w:t>marker (Marker)</w:t>
        </w:r>
      </w:hyperlink>
      <w:r>
        <w:t xml:space="preserve"> </w:t>
      </w:r>
      <w:r>
        <w:fldChar w:fldCharType="begin"/>
      </w:r>
      <w:r>
        <w:instrText>PAGEREF section_c42ddf7df72d4cb69f3513e6e3</w:instrText>
      </w:r>
      <w:r>
        <w:instrText>0d7d25</w:instrText>
      </w:r>
      <w:r>
        <w:fldChar w:fldCharType="separate"/>
      </w:r>
      <w:r>
        <w:rPr>
          <w:noProof/>
        </w:rPr>
        <w:t>559</w:t>
      </w:r>
      <w:r>
        <w:fldChar w:fldCharType="end"/>
      </w:r>
    </w:p>
    <w:p w:rsidR="005F78FC" w:rsidRDefault="00B42EF3">
      <w:pPr>
        <w:pStyle w:val="indexentry0"/>
      </w:pPr>
      <w:hyperlink w:anchor="section_72be69072aa4474da8e29b5fb073bd8a">
        <w:r>
          <w:rPr>
            <w:rStyle w:val="Hyperlink"/>
          </w:rPr>
          <w:t>marker (Show Marker)</w:t>
        </w:r>
      </w:hyperlink>
      <w:r>
        <w:t xml:space="preserve"> </w:t>
      </w:r>
      <w:r>
        <w:fldChar w:fldCharType="begin"/>
      </w:r>
      <w:r>
        <w:instrText>PAGEREF section_72be69072aa4474da8e29b5fb073bd8a</w:instrText>
      </w:r>
      <w:r>
        <w:fldChar w:fldCharType="separate"/>
      </w:r>
      <w:r>
        <w:rPr>
          <w:noProof/>
        </w:rPr>
        <w:t>559</w:t>
      </w:r>
      <w:r>
        <w:fldChar w:fldCharType="end"/>
      </w:r>
    </w:p>
    <w:p w:rsidR="005F78FC" w:rsidRDefault="00B42EF3">
      <w:pPr>
        <w:pStyle w:val="indexentry0"/>
      </w:pPr>
      <w:hyperlink w:anchor="section_786223f8442d48c9917706e8cd54c027">
        <w:r>
          <w:rPr>
            <w:rStyle w:val="Hyperlink"/>
          </w:rPr>
          <w:t>Markup Compatibility Attributes and Elements</w:t>
        </w:r>
      </w:hyperlink>
      <w:r>
        <w:t xml:space="preserve"> </w:t>
      </w:r>
      <w:r>
        <w:fldChar w:fldCharType="begin"/>
      </w:r>
      <w:r>
        <w:instrText>PAGEREF section_786223f8442d48c9917706e8cd54c027</w:instrText>
      </w:r>
      <w:r>
        <w:fldChar w:fldCharType="separate"/>
      </w:r>
      <w:r>
        <w:rPr>
          <w:noProof/>
        </w:rPr>
        <w:t>625</w:t>
      </w:r>
      <w:r>
        <w:fldChar w:fldCharType="end"/>
      </w:r>
    </w:p>
    <w:p w:rsidR="005F78FC" w:rsidRDefault="00B42EF3">
      <w:pPr>
        <w:pStyle w:val="indexentry0"/>
      </w:pPr>
      <w:hyperlink w:anchor="section_19f20aeb5ca84a59acd8b01ba6e8ed07">
        <w:r>
          <w:rPr>
            <w:rStyle w:val="Hyperlink"/>
          </w:rPr>
          <w:t>MATCH</w:t>
        </w:r>
      </w:hyperlink>
      <w:r>
        <w:t xml:space="preserve"> </w:t>
      </w:r>
      <w:r>
        <w:fldChar w:fldCharType="begin"/>
      </w:r>
      <w:r>
        <w:instrText>PAGEREF section_19f20aeb5ca84a59acd8b01ba6e8ed07</w:instrText>
      </w:r>
      <w:r>
        <w:fldChar w:fldCharType="separate"/>
      </w:r>
      <w:r>
        <w:rPr>
          <w:noProof/>
        </w:rPr>
        <w:t>433</w:t>
      </w:r>
      <w:r>
        <w:fldChar w:fldCharType="end"/>
      </w:r>
    </w:p>
    <w:p w:rsidR="005F78FC" w:rsidRDefault="00B42EF3">
      <w:pPr>
        <w:pStyle w:val="indexentry0"/>
      </w:pPr>
      <w:hyperlink w:anchor="section_9c37e55bcb804086b754a2822a74fe98">
        <w:r>
          <w:rPr>
            <w:rStyle w:val="Hyperlink"/>
          </w:rPr>
          <w:t>Math</w:t>
        </w:r>
      </w:hyperlink>
      <w:r>
        <w:t xml:space="preserve"> </w:t>
      </w:r>
      <w:r>
        <w:fldChar w:fldCharType="begin"/>
      </w:r>
      <w:r>
        <w:instrText>PAGEREF section</w:instrText>
      </w:r>
      <w:r>
        <w:instrText>_9c37e55bcb804086b754a2822a74fe98</w:instrText>
      </w:r>
      <w:r>
        <w:fldChar w:fldCharType="separate"/>
      </w:r>
      <w:r>
        <w:rPr>
          <w:noProof/>
        </w:rPr>
        <w:t>596</w:t>
      </w:r>
      <w:r>
        <w:fldChar w:fldCharType="end"/>
      </w:r>
    </w:p>
    <w:p w:rsidR="005F78FC" w:rsidRDefault="00B42EF3">
      <w:pPr>
        <w:pStyle w:val="indexentry0"/>
      </w:pPr>
      <w:hyperlink w:anchor="section_7bae4fa0ce3448d19b24651606579b08">
        <w:r>
          <w:rPr>
            <w:rStyle w:val="Hyperlink"/>
          </w:rPr>
          <w:t>Math Run</w:t>
        </w:r>
      </w:hyperlink>
      <w:r>
        <w:t xml:space="preserve"> </w:t>
      </w:r>
      <w:r>
        <w:fldChar w:fldCharType="begin"/>
      </w:r>
      <w:r>
        <w:instrText>PAGEREF section_7bae4fa0ce3448d19b24651606579b08</w:instrText>
      </w:r>
      <w:r>
        <w:fldChar w:fldCharType="separate"/>
      </w:r>
      <w:r>
        <w:rPr>
          <w:noProof/>
        </w:rPr>
        <w:t>898</w:t>
      </w:r>
      <w:r>
        <w:fldChar w:fldCharType="end"/>
      </w:r>
    </w:p>
    <w:p w:rsidR="005F78FC" w:rsidRDefault="00B42EF3">
      <w:pPr>
        <w:pStyle w:val="indexentry0"/>
      </w:pPr>
      <w:hyperlink w:anchor="section_859a8ba5a34c4eacbfbed0f7049d52d7">
        <w:r>
          <w:rPr>
            <w:rStyle w:val="Hyperlink"/>
          </w:rPr>
          <w:t>mathFont (Math Font)</w:t>
        </w:r>
      </w:hyperlink>
      <w:r>
        <w:t xml:space="preserve"> </w:t>
      </w:r>
      <w:r>
        <w:fldChar w:fldCharType="begin"/>
      </w:r>
      <w:r>
        <w:instrText>PAGEREF sec</w:instrText>
      </w:r>
      <w:r>
        <w:instrText>tion_859a8ba5a34c4eacbfbed0f7049d52d7</w:instrText>
      </w:r>
      <w:r>
        <w:fldChar w:fldCharType="separate"/>
      </w:r>
      <w:r>
        <w:rPr>
          <w:noProof/>
        </w:rPr>
        <w:t>601</w:t>
      </w:r>
      <w:r>
        <w:fldChar w:fldCharType="end"/>
      </w:r>
    </w:p>
    <w:p w:rsidR="005F78FC" w:rsidRDefault="00B42EF3">
      <w:pPr>
        <w:pStyle w:val="indexentry0"/>
      </w:pPr>
      <w:hyperlink w:anchor="section_652d488b12c641ba9cca59a8e954102b">
        <w:r>
          <w:rPr>
            <w:rStyle w:val="Hyperlink"/>
          </w:rPr>
          <w:t>max (Maximum)</w:t>
        </w:r>
      </w:hyperlink>
      <w:r>
        <w:t xml:space="preserve"> </w:t>
      </w:r>
      <w:r>
        <w:fldChar w:fldCharType="begin"/>
      </w:r>
      <w:r>
        <w:instrText>PAGEREF section_652d488b12c641ba9cca59a8e954102b</w:instrText>
      </w:r>
      <w:r>
        <w:fldChar w:fldCharType="separate"/>
      </w:r>
      <w:r>
        <w:rPr>
          <w:noProof/>
        </w:rPr>
        <w:t>559</w:t>
      </w:r>
      <w:r>
        <w:fldChar w:fldCharType="end"/>
      </w:r>
    </w:p>
    <w:p w:rsidR="005F78FC" w:rsidRDefault="00B42EF3">
      <w:pPr>
        <w:pStyle w:val="indexentry0"/>
      </w:pPr>
      <w:hyperlink w:anchor="section_d3fababa849446e59d8c22b7b113dc40">
        <w:r>
          <w:rPr>
            <w:rStyle w:val="Hyperlink"/>
          </w:rPr>
          <w:t>Max (Scroll Bar Maximum)</w:t>
        </w:r>
      </w:hyperlink>
      <w:r>
        <w:t xml:space="preserve"> </w:t>
      </w:r>
      <w:r>
        <w:fldChar w:fldCharType="begin"/>
      </w:r>
      <w:r>
        <w:instrText>PAGEREF section_d3fababa849446e59d8c22b7b113dc40</w:instrText>
      </w:r>
      <w:r>
        <w:fldChar w:fldCharType="separate"/>
      </w:r>
      <w:r>
        <w:rPr>
          <w:noProof/>
        </w:rPr>
        <w:t>682</w:t>
      </w:r>
      <w:r>
        <w:fldChar w:fldCharType="end"/>
      </w:r>
    </w:p>
    <w:p w:rsidR="005F78FC" w:rsidRDefault="00B42EF3">
      <w:pPr>
        <w:pStyle w:val="indexentry0"/>
      </w:pPr>
      <w:hyperlink w:anchor="section_4a8c035cc9304e87aabf32715949ba48">
        <w:r>
          <w:rPr>
            <w:rStyle w:val="Hyperlink"/>
          </w:rPr>
          <w:t>maxDist (Maximum Distribution)</w:t>
        </w:r>
      </w:hyperlink>
      <w:r>
        <w:t xml:space="preserve"> </w:t>
      </w:r>
      <w:r>
        <w:fldChar w:fldCharType="begin"/>
      </w:r>
      <w:r>
        <w:instrText>PAGEREF section_4a8c035cc9304e87aabf32715949ba48</w:instrText>
      </w:r>
      <w:r>
        <w:fldChar w:fldCharType="separate"/>
      </w:r>
      <w:r>
        <w:rPr>
          <w:noProof/>
        </w:rPr>
        <w:t>601</w:t>
      </w:r>
      <w:r>
        <w:fldChar w:fldCharType="end"/>
      </w:r>
    </w:p>
    <w:p w:rsidR="005F78FC" w:rsidRDefault="00B42EF3">
      <w:pPr>
        <w:pStyle w:val="indexentry0"/>
      </w:pPr>
      <w:hyperlink w:anchor="section_e6ea592afffb4630a06894e9d7139d4f">
        <w:r>
          <w:rPr>
            <w:rStyle w:val="Hyperlink"/>
          </w:rPr>
          <w:t>maxLength (Text Box Form Field Maximum Length)</w:t>
        </w:r>
      </w:hyperlink>
      <w:r>
        <w:t xml:space="preserve"> </w:t>
      </w:r>
      <w:r>
        <w:fldChar w:fldCharType="begin"/>
      </w:r>
      <w:r>
        <w:instrText>PAGEREF section_e6ea592afffb4630a06894e9d7139d4f</w:instrText>
      </w:r>
      <w:r>
        <w:fldChar w:fldCharType="separate"/>
      </w:r>
      <w:r>
        <w:rPr>
          <w:noProof/>
        </w:rPr>
        <w:t>229</w:t>
      </w:r>
      <w:r>
        <w:fldChar w:fldCharType="end"/>
      </w:r>
    </w:p>
    <w:p w:rsidR="005F78FC" w:rsidRDefault="00B42EF3">
      <w:pPr>
        <w:pStyle w:val="indexentry0"/>
      </w:pPr>
      <w:hyperlink w:anchor="section_764aed492a6b41daa4db13eebd3baac1">
        <w:r>
          <w:rPr>
            <w:rStyle w:val="Hyperlink"/>
          </w:rPr>
          <w:t>mc (Matrix Column)</w:t>
        </w:r>
      </w:hyperlink>
      <w:r>
        <w:t xml:space="preserve"> </w:t>
      </w:r>
      <w:r>
        <w:fldChar w:fldCharType="begin"/>
      </w:r>
      <w:r>
        <w:instrText>PAGEREF sect</w:instrText>
      </w:r>
      <w:r>
        <w:instrText>ion_764aed492a6b41daa4db13eebd3baac1</w:instrText>
      </w:r>
      <w:r>
        <w:fldChar w:fldCharType="separate"/>
      </w:r>
      <w:r>
        <w:rPr>
          <w:noProof/>
        </w:rPr>
        <w:t>601</w:t>
      </w:r>
      <w:r>
        <w:fldChar w:fldCharType="end"/>
      </w:r>
    </w:p>
    <w:p w:rsidR="005F78FC" w:rsidRDefault="00B42EF3">
      <w:pPr>
        <w:pStyle w:val="indexentry0"/>
      </w:pPr>
      <w:hyperlink w:anchor="section_57fe4ac077a449f09ade51e4ce4cd6f5">
        <w:r>
          <w:rPr>
            <w:rStyle w:val="Hyperlink"/>
          </w:rPr>
          <w:t>mcs (Matrix Columns)</w:t>
        </w:r>
      </w:hyperlink>
      <w:r>
        <w:t xml:space="preserve"> </w:t>
      </w:r>
      <w:r>
        <w:fldChar w:fldCharType="begin"/>
      </w:r>
      <w:r>
        <w:instrText>PAGEREF section_57fe4ac077a449f09ade51e4ce4cd6f5</w:instrText>
      </w:r>
      <w:r>
        <w:fldChar w:fldCharType="separate"/>
      </w:r>
      <w:r>
        <w:rPr>
          <w:noProof/>
        </w:rPr>
        <w:t>601</w:t>
      </w:r>
      <w:r>
        <w:fldChar w:fldCharType="end"/>
      </w:r>
    </w:p>
    <w:p w:rsidR="005F78FC" w:rsidRDefault="00B42EF3">
      <w:pPr>
        <w:pStyle w:val="indexentry0"/>
      </w:pPr>
      <w:hyperlink w:anchor="section_785ab22f8b1f4137a3c10f7627cb4be2">
        <w:r>
          <w:rPr>
            <w:rStyle w:val="Hyperlink"/>
          </w:rPr>
          <w:t>MDURATION</w:t>
        </w:r>
      </w:hyperlink>
      <w:r>
        <w:t xml:space="preserve"> </w:t>
      </w:r>
      <w:r>
        <w:fldChar w:fldCharType="begin"/>
      </w:r>
      <w:r>
        <w:instrText>PAGEREF section_785ab22f8b1f4137a3c10f7627cb4be2</w:instrText>
      </w:r>
      <w:r>
        <w:fldChar w:fldCharType="separate"/>
      </w:r>
      <w:r>
        <w:rPr>
          <w:noProof/>
        </w:rPr>
        <w:t>433</w:t>
      </w:r>
      <w:r>
        <w:fldChar w:fldCharType="end"/>
      </w:r>
    </w:p>
    <w:p w:rsidR="005F78FC" w:rsidRDefault="00B42EF3">
      <w:pPr>
        <w:pStyle w:val="indexentry0"/>
      </w:pPr>
      <w:hyperlink w:anchor="section_81b51cf7164b4891954ecb4e39ee088d">
        <w:r>
          <w:rPr>
            <w:rStyle w:val="Hyperlink"/>
          </w:rPr>
          <w:t>mdx (MDX Metadata Record)</w:t>
        </w:r>
      </w:hyperlink>
      <w:r>
        <w:t xml:space="preserve"> </w:t>
      </w:r>
      <w:r>
        <w:fldChar w:fldCharType="begin"/>
      </w:r>
      <w:r>
        <w:instrText>PAGEREF section_81b51cf7164b4891954ecb4e39ee088d</w:instrText>
      </w:r>
      <w:r>
        <w:fldChar w:fldCharType="separate"/>
      </w:r>
      <w:r>
        <w:rPr>
          <w:noProof/>
        </w:rPr>
        <w:t>317</w:t>
      </w:r>
      <w:r>
        <w:fldChar w:fldCharType="end"/>
      </w:r>
    </w:p>
    <w:p w:rsidR="005F78FC" w:rsidRDefault="00B42EF3">
      <w:pPr>
        <w:pStyle w:val="indexentry0"/>
      </w:pPr>
      <w:hyperlink w:anchor="section_d374e3ff60bd40e1baf558234957b0af">
        <w:r>
          <w:rPr>
            <w:rStyle w:val="Hyperlink"/>
          </w:rPr>
          <w:t>md</w:t>
        </w:r>
        <w:r>
          <w:rPr>
            <w:rStyle w:val="Hyperlink"/>
          </w:rPr>
          <w:t>xMetadata (MDX Metadata Information)</w:t>
        </w:r>
      </w:hyperlink>
      <w:r>
        <w:t xml:space="preserve"> </w:t>
      </w:r>
      <w:r>
        <w:fldChar w:fldCharType="begin"/>
      </w:r>
      <w:r>
        <w:instrText>PAGEREF section_d374e3ff60bd40e1baf558234957b0af</w:instrText>
      </w:r>
      <w:r>
        <w:fldChar w:fldCharType="separate"/>
      </w:r>
      <w:r>
        <w:rPr>
          <w:noProof/>
        </w:rPr>
        <w:t>317</w:t>
      </w:r>
      <w:r>
        <w:fldChar w:fldCharType="end"/>
      </w:r>
    </w:p>
    <w:p w:rsidR="005F78FC" w:rsidRDefault="00B42EF3">
      <w:pPr>
        <w:pStyle w:val="indexentry0"/>
      </w:pPr>
      <w:hyperlink w:anchor="section_cfecb95860864d0c90767301fa40250e">
        <w:r>
          <w:rPr>
            <w:rStyle w:val="Hyperlink"/>
          </w:rPr>
          <w:t>measureGroup (OLAP Measure Group)</w:t>
        </w:r>
      </w:hyperlink>
      <w:r>
        <w:t xml:space="preserve"> </w:t>
      </w:r>
      <w:r>
        <w:fldChar w:fldCharType="begin"/>
      </w:r>
      <w:r>
        <w:instrText>PAGEREF section_cfecb95860864d0c90767301fa40250e</w:instrText>
      </w:r>
      <w:r>
        <w:fldChar w:fldCharType="separate"/>
      </w:r>
      <w:r>
        <w:rPr>
          <w:noProof/>
        </w:rPr>
        <w:t>344</w:t>
      </w:r>
      <w:r>
        <w:fldChar w:fldCharType="end"/>
      </w:r>
    </w:p>
    <w:p w:rsidR="005F78FC" w:rsidRDefault="00B42EF3">
      <w:pPr>
        <w:pStyle w:val="indexentry0"/>
      </w:pPr>
      <w:hyperlink w:anchor="section_1bef1665e5ea43e6aa806382ef735c9f">
        <w:r>
          <w:rPr>
            <w:rStyle w:val="Hyperlink"/>
          </w:rPr>
          <w:t>member (Member)</w:t>
        </w:r>
      </w:hyperlink>
      <w:r>
        <w:t xml:space="preserve"> </w:t>
      </w:r>
      <w:r>
        <w:fldChar w:fldCharType="begin"/>
      </w:r>
      <w:r>
        <w:instrText>PAGEREF section_1bef1665e5ea43e6aa806382ef735c9f</w:instrText>
      </w:r>
      <w:r>
        <w:fldChar w:fldCharType="separate"/>
      </w:r>
      <w:r>
        <w:rPr>
          <w:noProof/>
        </w:rPr>
        <w:t>344</w:t>
      </w:r>
      <w:r>
        <w:fldChar w:fldCharType="end"/>
      </w:r>
    </w:p>
    <w:p w:rsidR="005F78FC" w:rsidRDefault="00B42EF3">
      <w:pPr>
        <w:pStyle w:val="indexentry0"/>
      </w:pPr>
      <w:hyperlink w:anchor="section_29bfbcf811e64151a3b3abb4825c9160">
        <w:r>
          <w:rPr>
            <w:rStyle w:val="Hyperlink"/>
          </w:rPr>
          <w:t>members (Members)</w:t>
        </w:r>
      </w:hyperlink>
      <w:r>
        <w:t xml:space="preserve"> </w:t>
      </w:r>
      <w:r>
        <w:fldChar w:fldCharType="begin"/>
      </w:r>
      <w:r>
        <w:instrText>PAGEREF section_29bfbcf811e64151a3b3abb4825c9160</w:instrText>
      </w:r>
      <w:r>
        <w:fldChar w:fldCharType="separate"/>
      </w:r>
      <w:r>
        <w:rPr>
          <w:noProof/>
        </w:rPr>
        <w:t>345</w:t>
      </w:r>
      <w:r>
        <w:fldChar w:fldCharType="end"/>
      </w:r>
    </w:p>
    <w:p w:rsidR="005F78FC" w:rsidRDefault="00B42EF3">
      <w:pPr>
        <w:pStyle w:val="indexentry0"/>
      </w:pPr>
      <w:hyperlink w:anchor="section_cc4b13c2c09b4545a6ae4509d943233e">
        <w:r>
          <w:rPr>
            <w:rStyle w:val="Hyperlink"/>
          </w:rPr>
          <w:t>MERGEBARCODE</w:t>
        </w:r>
      </w:hyperlink>
      <w:r>
        <w:t xml:space="preserve"> </w:t>
      </w:r>
      <w:r>
        <w:fldChar w:fldCharType="begin"/>
      </w:r>
      <w:r>
        <w:instrText>PAGEREF section_cc4b13c2c09b4545a6ae4509d943233e</w:instrText>
      </w:r>
      <w:r>
        <w:fldChar w:fldCharType="separate"/>
      </w:r>
      <w:r>
        <w:rPr>
          <w:noProof/>
        </w:rPr>
        <w:t>822</w:t>
      </w:r>
      <w:r>
        <w:fldChar w:fldCharType="end"/>
      </w:r>
    </w:p>
    <w:p w:rsidR="005F78FC" w:rsidRDefault="00B42EF3">
      <w:pPr>
        <w:pStyle w:val="indexentry0"/>
      </w:pPr>
      <w:hyperlink w:anchor="section_8a2a99c9bfc54d448d003046b75af83c">
        <w:r>
          <w:rPr>
            <w:rStyle w:val="Hyperlink"/>
          </w:rPr>
          <w:t>mergeCells (Merge Cells)</w:t>
        </w:r>
      </w:hyperlink>
      <w:r>
        <w:t xml:space="preserve"> </w:t>
      </w:r>
      <w:r>
        <w:fldChar w:fldCharType="begin"/>
      </w:r>
      <w:r>
        <w:instrText>PAGEREF section_8a2a99c9bfc54d448d003046b75af83c</w:instrText>
      </w:r>
      <w:r>
        <w:fldChar w:fldCharType="separate"/>
      </w:r>
      <w:r>
        <w:rPr>
          <w:noProof/>
        </w:rPr>
        <w:t>267</w:t>
      </w:r>
      <w:r>
        <w:fldChar w:fldCharType="end"/>
      </w:r>
    </w:p>
    <w:p w:rsidR="005F78FC" w:rsidRDefault="00B42EF3">
      <w:pPr>
        <w:pStyle w:val="indexentry0"/>
      </w:pPr>
      <w:hyperlink w:anchor="section_bbe3b9853afb4e7bbf46585f77f5da21">
        <w:r>
          <w:rPr>
            <w:rStyle w:val="Hyperlink"/>
          </w:rPr>
          <w:t>MERGEFIELD</w:t>
        </w:r>
      </w:hyperlink>
      <w:r>
        <w:t xml:space="preserve"> </w:t>
      </w:r>
      <w:r>
        <w:fldChar w:fldCharType="begin"/>
      </w:r>
      <w:r>
        <w:instrText>PAGEREF section_bbe3b9853afb4e7bbf46585f77f5da21</w:instrText>
      </w:r>
      <w:r>
        <w:fldChar w:fldCharType="separate"/>
      </w:r>
      <w:r>
        <w:rPr>
          <w:noProof/>
        </w:rPr>
        <w:t>221</w:t>
      </w:r>
      <w:r>
        <w:fldChar w:fldCharType="end"/>
      </w:r>
    </w:p>
    <w:p w:rsidR="005F78FC" w:rsidRDefault="00B42EF3">
      <w:pPr>
        <w:pStyle w:val="indexentry0"/>
      </w:pPr>
      <w:hyperlink w:anchor="section_e784c18d69eb486996da0afdd0001ef4">
        <w:r>
          <w:rPr>
            <w:rStyle w:val="Hyperlink"/>
          </w:rPr>
          <w:t>Metadata Attributes</w:t>
        </w:r>
      </w:hyperlink>
      <w:r>
        <w:t xml:space="preserve"> </w:t>
      </w:r>
      <w:r>
        <w:fldChar w:fldCharType="begin"/>
      </w:r>
      <w:r>
        <w:instrText>PAGEREF section_e784c18d69eb486996da0afdd00</w:instrText>
      </w:r>
      <w:r>
        <w:instrText>01ef4</w:instrText>
      </w:r>
      <w:r>
        <w:fldChar w:fldCharType="separate"/>
      </w:r>
      <w:r>
        <w:rPr>
          <w:noProof/>
        </w:rPr>
        <w:t>863</w:t>
      </w:r>
      <w:r>
        <w:fldChar w:fldCharType="end"/>
      </w:r>
    </w:p>
    <w:p w:rsidR="005F78FC" w:rsidRDefault="00B42EF3">
      <w:pPr>
        <w:pStyle w:val="indexentry0"/>
      </w:pPr>
      <w:hyperlink w:anchor="section_b8398e62febd49e984731b829a8dae62">
        <w:r>
          <w:rPr>
            <w:rStyle w:val="Hyperlink"/>
          </w:rPr>
          <w:t>metadataStrings (Metadata String Store)</w:t>
        </w:r>
      </w:hyperlink>
      <w:r>
        <w:t xml:space="preserve"> </w:t>
      </w:r>
      <w:r>
        <w:fldChar w:fldCharType="begin"/>
      </w:r>
      <w:r>
        <w:instrText>PAGEREF section_b8398e62febd49e984731b829a8dae62</w:instrText>
      </w:r>
      <w:r>
        <w:fldChar w:fldCharType="separate"/>
      </w:r>
      <w:r>
        <w:rPr>
          <w:noProof/>
        </w:rPr>
        <w:t>317</w:t>
      </w:r>
      <w:r>
        <w:fldChar w:fldCharType="end"/>
      </w:r>
    </w:p>
    <w:p w:rsidR="005F78FC" w:rsidRDefault="00B42EF3">
      <w:pPr>
        <w:pStyle w:val="indexentry0"/>
      </w:pPr>
      <w:hyperlink w:anchor="section_130fa123a3b942f5adf52f44067facf5">
        <w:r>
          <w:rPr>
            <w:rStyle w:val="Hyperlink"/>
          </w:rPr>
          <w:t>metadataType (Metadata Type Information)</w:t>
        </w:r>
      </w:hyperlink>
      <w:r>
        <w:t xml:space="preserve"> </w:t>
      </w:r>
      <w:r>
        <w:fldChar w:fldCharType="begin"/>
      </w:r>
      <w:r>
        <w:instrText>PAGEREF section_130fa123a3b942f5adf52f44067facf5</w:instrText>
      </w:r>
      <w:r>
        <w:fldChar w:fldCharType="separate"/>
      </w:r>
      <w:r>
        <w:rPr>
          <w:noProof/>
        </w:rPr>
        <w:t>317</w:t>
      </w:r>
      <w:r>
        <w:fldChar w:fldCharType="end"/>
      </w:r>
    </w:p>
    <w:p w:rsidR="005F78FC" w:rsidRDefault="00B42EF3">
      <w:pPr>
        <w:pStyle w:val="indexentry0"/>
      </w:pPr>
      <w:hyperlink w:anchor="section_05e9eaad291e4fa1886e5ce683c43048">
        <w:r>
          <w:rPr>
            <w:rStyle w:val="Hyperlink"/>
          </w:rPr>
          <w:t>metadataTypes (Metadata Types Collection)</w:t>
        </w:r>
      </w:hyperlink>
      <w:r>
        <w:t xml:space="preserve"> </w:t>
      </w:r>
      <w:r>
        <w:fldChar w:fldCharType="begin"/>
      </w:r>
      <w:r>
        <w:instrText>PAGEREF section_05e9eaad291e4fa1886e5ce683c43048</w:instrText>
      </w:r>
      <w:r>
        <w:fldChar w:fldCharType="separate"/>
      </w:r>
      <w:r>
        <w:rPr>
          <w:noProof/>
        </w:rPr>
        <w:t>321</w:t>
      </w:r>
      <w:r>
        <w:fldChar w:fldCharType="end"/>
      </w:r>
    </w:p>
    <w:p w:rsidR="005F78FC" w:rsidRDefault="00B42EF3">
      <w:pPr>
        <w:pStyle w:val="indexentry0"/>
      </w:pPr>
      <w:hyperlink w:anchor="section_a24b67311ed74c89ab5828431df113ee">
        <w:r>
          <w:rPr>
            <w:rStyle w:val="Hyperlink"/>
          </w:rPr>
          <w:t>Microsoft Office Excel Sortmap</w:t>
        </w:r>
      </w:hyperlink>
      <w:r>
        <w:t xml:space="preserve"> </w:t>
      </w:r>
      <w:r>
        <w:fldChar w:fldCharType="begin"/>
      </w:r>
      <w:r>
        <w:instrText>PAGEREF section_a24b67311ed74c89ab5828431df113ee</w:instrText>
      </w:r>
      <w:r>
        <w:fldChar w:fldCharType="separate"/>
      </w:r>
      <w:r>
        <w:rPr>
          <w:noProof/>
        </w:rPr>
        <w:t>837</w:t>
      </w:r>
      <w:r>
        <w:fldChar w:fldCharType="end"/>
      </w:r>
    </w:p>
    <w:p w:rsidR="005F78FC" w:rsidRDefault="00B42EF3">
      <w:pPr>
        <w:pStyle w:val="indexentry0"/>
      </w:pPr>
      <w:hyperlink w:anchor="section_612ff32d2b6b45d58904f41a2bd7fcd6">
        <w:r>
          <w:rPr>
            <w:rStyle w:val="Hyperlink"/>
          </w:rPr>
          <w:t>MID</w:t>
        </w:r>
      </w:hyperlink>
      <w:r>
        <w:t xml:space="preserve"> </w:t>
      </w:r>
      <w:r>
        <w:fldChar w:fldCharType="begin"/>
      </w:r>
      <w:r>
        <w:instrText>PAGEREF section_612ff32d2b6b45d58904f41a2bd7fcd</w:instrText>
      </w:r>
      <w:r>
        <w:instrText>6</w:instrText>
      </w:r>
      <w:r>
        <w:fldChar w:fldCharType="separate"/>
      </w:r>
      <w:r>
        <w:rPr>
          <w:noProof/>
        </w:rPr>
        <w:t>434</w:t>
      </w:r>
      <w:r>
        <w:fldChar w:fldCharType="end"/>
      </w:r>
    </w:p>
    <w:p w:rsidR="005F78FC" w:rsidRDefault="00B42EF3">
      <w:pPr>
        <w:pStyle w:val="indexentry0"/>
      </w:pPr>
      <w:hyperlink w:anchor="section_b4f02a916d4b4713aba9c99ba6abdb52">
        <w:r>
          <w:rPr>
            <w:rStyle w:val="Hyperlink"/>
          </w:rPr>
          <w:t>MIDB</w:t>
        </w:r>
      </w:hyperlink>
      <w:r>
        <w:t xml:space="preserve"> </w:t>
      </w:r>
      <w:r>
        <w:fldChar w:fldCharType="begin"/>
      </w:r>
      <w:r>
        <w:instrText>PAGEREF section_b4f02a916d4b4713aba9c99ba6abdb52</w:instrText>
      </w:r>
      <w:r>
        <w:fldChar w:fldCharType="separate"/>
      </w:r>
      <w:r>
        <w:rPr>
          <w:noProof/>
        </w:rPr>
        <w:t>435</w:t>
      </w:r>
      <w:r>
        <w:fldChar w:fldCharType="end"/>
      </w:r>
    </w:p>
    <w:p w:rsidR="005F78FC" w:rsidRDefault="00B42EF3">
      <w:pPr>
        <w:pStyle w:val="indexentry0"/>
      </w:pPr>
      <w:hyperlink w:anchor="section_04d93d19a68d4a4e82d7d61afbf4dea1">
        <w:r>
          <w:rPr>
            <w:rStyle w:val="Hyperlink"/>
          </w:rPr>
          <w:t>MIN</w:t>
        </w:r>
      </w:hyperlink>
      <w:r>
        <w:t xml:space="preserve"> </w:t>
      </w:r>
      <w:r>
        <w:fldChar w:fldCharType="begin"/>
      </w:r>
      <w:r>
        <w:instrText>PAGEREF section_04d93d19a68d4a4e82d7d61afbf4dea1</w:instrText>
      </w:r>
      <w:r>
        <w:fldChar w:fldCharType="separate"/>
      </w:r>
      <w:r>
        <w:rPr>
          <w:noProof/>
        </w:rPr>
        <w:t>435</w:t>
      </w:r>
      <w:r>
        <w:fldChar w:fldCharType="end"/>
      </w:r>
    </w:p>
    <w:p w:rsidR="005F78FC" w:rsidRDefault="00B42EF3">
      <w:pPr>
        <w:pStyle w:val="indexentry0"/>
      </w:pPr>
      <w:hyperlink w:anchor="section_8066396fad5d4ee18d3fbc72fe7b589d">
        <w:r>
          <w:rPr>
            <w:rStyle w:val="Hyperlink"/>
          </w:rPr>
          <w:t>min (Minimum)</w:t>
        </w:r>
      </w:hyperlink>
      <w:r>
        <w:t xml:space="preserve"> </w:t>
      </w:r>
      <w:r>
        <w:fldChar w:fldCharType="begin"/>
      </w:r>
      <w:r>
        <w:instrText>PAGEREF section_8066396fad5d4ee18d3fbc72fe7b589d</w:instrText>
      </w:r>
      <w:r>
        <w:fldChar w:fldCharType="separate"/>
      </w:r>
      <w:r>
        <w:rPr>
          <w:noProof/>
        </w:rPr>
        <w:t>559</w:t>
      </w:r>
      <w:r>
        <w:fldChar w:fldCharType="end"/>
      </w:r>
    </w:p>
    <w:p w:rsidR="005F78FC" w:rsidRDefault="00B42EF3">
      <w:pPr>
        <w:pStyle w:val="indexentry0"/>
      </w:pPr>
      <w:hyperlink w:anchor="section_d46c6a1b604842ff83d335bc1055b689">
        <w:r>
          <w:rPr>
            <w:rStyle w:val="Hyperlink"/>
          </w:rPr>
          <w:t>Min (Scroll Bar Minimum)</w:t>
        </w:r>
      </w:hyperlink>
      <w:r>
        <w:t xml:space="preserve"> </w:t>
      </w:r>
      <w:r>
        <w:fldChar w:fldCharType="begin"/>
      </w:r>
      <w:r>
        <w:instrText>PAGEREF section_d46c6a1b604842ff83d335bc1055b689</w:instrText>
      </w:r>
      <w:r>
        <w:fldChar w:fldCharType="separate"/>
      </w:r>
      <w:r>
        <w:rPr>
          <w:noProof/>
        </w:rPr>
        <w:t>682</w:t>
      </w:r>
      <w:r>
        <w:fldChar w:fldCharType="end"/>
      </w:r>
    </w:p>
    <w:p w:rsidR="005F78FC" w:rsidRDefault="00B42EF3">
      <w:pPr>
        <w:pStyle w:val="indexentry0"/>
      </w:pPr>
      <w:hyperlink w:anchor="section_cea49501521c41829539fb0d19c8c732">
        <w:r>
          <w:rPr>
            <w:rStyle w:val="Hyperlink"/>
          </w:rPr>
          <w:t>MINA</w:t>
        </w:r>
      </w:hyperlink>
      <w:r>
        <w:t xml:space="preserve"> </w:t>
      </w:r>
      <w:r>
        <w:fldChar w:fldCharType="begin"/>
      </w:r>
      <w:r>
        <w:instrText>PAGEREF section_cea49501521c41829539fb0d19c8c732</w:instrText>
      </w:r>
      <w:r>
        <w:fldChar w:fldCharType="separate"/>
      </w:r>
      <w:r>
        <w:rPr>
          <w:noProof/>
        </w:rPr>
        <w:t>435</w:t>
      </w:r>
      <w:r>
        <w:fldChar w:fldCharType="end"/>
      </w:r>
    </w:p>
    <w:p w:rsidR="005F78FC" w:rsidRDefault="00B42EF3">
      <w:pPr>
        <w:pStyle w:val="indexentry0"/>
      </w:pPr>
      <w:hyperlink w:anchor="section_8c28df63f35244b9bdf634dcd4faaa84">
        <w:r>
          <w:rPr>
            <w:rStyle w:val="Hyperlink"/>
          </w:rPr>
          <w:t>minorUnit (Minor Unit)</w:t>
        </w:r>
      </w:hyperlink>
      <w:r>
        <w:t xml:space="preserve"> </w:t>
      </w:r>
      <w:r>
        <w:fldChar w:fldCharType="begin"/>
      </w:r>
      <w:r>
        <w:instrText>PAGEREF section_8c28df63f35244b9bdf634dcd4faaa84</w:instrText>
      </w:r>
      <w:r>
        <w:fldChar w:fldCharType="separate"/>
      </w:r>
      <w:r>
        <w:rPr>
          <w:noProof/>
        </w:rPr>
        <w:t>559</w:t>
      </w:r>
      <w:r>
        <w:fldChar w:fldCharType="end"/>
      </w:r>
    </w:p>
    <w:p w:rsidR="005F78FC" w:rsidRDefault="00B42EF3">
      <w:pPr>
        <w:pStyle w:val="indexentry0"/>
      </w:pPr>
      <w:hyperlink w:anchor="section_f9019fcff51d4d9589c4e9267f846bdb">
        <w:r>
          <w:rPr>
            <w:rStyle w:val="Hyperlink"/>
          </w:rPr>
          <w:t>minus (Minus)</w:t>
        </w:r>
      </w:hyperlink>
      <w:r>
        <w:t xml:space="preserve"> </w:t>
      </w:r>
      <w:r>
        <w:fldChar w:fldCharType="begin"/>
      </w:r>
      <w:r>
        <w:instrText>PAGEREF section_f9019fcff51d4d9589c4e9267f846bdb</w:instrText>
      </w:r>
      <w:r>
        <w:fldChar w:fldCharType="separate"/>
      </w:r>
      <w:r>
        <w:rPr>
          <w:noProof/>
        </w:rPr>
        <w:t>559</w:t>
      </w:r>
      <w:r>
        <w:fldChar w:fldCharType="end"/>
      </w:r>
    </w:p>
    <w:p w:rsidR="005F78FC" w:rsidRDefault="00B42EF3">
      <w:pPr>
        <w:pStyle w:val="indexentry0"/>
      </w:pPr>
      <w:hyperlink w:anchor="section_3ce4055731a94b8a8f0f38f73c07c844">
        <w:r>
          <w:rPr>
            <w:rStyle w:val="Hyperlink"/>
          </w:rPr>
          <w:t>MINVERSE</w:t>
        </w:r>
      </w:hyperlink>
      <w:r>
        <w:t xml:space="preserve"> </w:t>
      </w:r>
      <w:r>
        <w:fldChar w:fldCharType="begin"/>
      </w:r>
      <w:r>
        <w:instrText>PAGEREF section_3ce4055731a94b8a8f0f38f73c07c844</w:instrText>
      </w:r>
      <w:r>
        <w:fldChar w:fldCharType="separate"/>
      </w:r>
      <w:r>
        <w:rPr>
          <w:noProof/>
        </w:rPr>
        <w:t>436</w:t>
      </w:r>
      <w:r>
        <w:fldChar w:fldCharType="end"/>
      </w:r>
    </w:p>
    <w:p w:rsidR="005F78FC" w:rsidRDefault="00B42EF3">
      <w:pPr>
        <w:pStyle w:val="indexentry0"/>
      </w:pPr>
      <w:hyperlink w:anchor="section_7d70ca688cbe48b7b3c34e19a9a7ee5a">
        <w:r>
          <w:rPr>
            <w:rStyle w:val="Hyperlink"/>
          </w:rPr>
          <w:t>mirrorIndents (Use Left/Right Indents as Inside/Outside Indents)</w:t>
        </w:r>
      </w:hyperlink>
      <w:r>
        <w:t xml:space="preserve"> </w:t>
      </w:r>
      <w:r>
        <w:fldChar w:fldCharType="begin"/>
      </w:r>
      <w:r>
        <w:instrText>PAGEREF section_7d70ca688cbe48b7b3c34e19a9a7ee5a</w:instrText>
      </w:r>
      <w:r>
        <w:fldChar w:fldCharType="separate"/>
      </w:r>
      <w:r>
        <w:rPr>
          <w:noProof/>
        </w:rPr>
        <w:t>68</w:t>
      </w:r>
      <w:r>
        <w:fldChar w:fldCharType="end"/>
      </w:r>
    </w:p>
    <w:p w:rsidR="005F78FC" w:rsidRDefault="00B42EF3">
      <w:pPr>
        <w:pStyle w:val="indexentry0"/>
      </w:pPr>
      <w:hyperlink w:anchor="section_7bd817fb79cf4789b7334a29f032f5b7">
        <w:r>
          <w:rPr>
            <w:rStyle w:val="Hyperlink"/>
          </w:rPr>
          <w:t>miter (Miter Li</w:t>
        </w:r>
        <w:r>
          <w:rPr>
            <w:rStyle w:val="Hyperlink"/>
          </w:rPr>
          <w:t>ne Join)</w:t>
        </w:r>
      </w:hyperlink>
      <w:r>
        <w:t xml:space="preserve"> </w:t>
      </w:r>
      <w:r>
        <w:fldChar w:fldCharType="begin"/>
      </w:r>
      <w:r>
        <w:instrText>PAGEREF section_7bd817fb79cf4789b7334a29f032f5b7</w:instrText>
      </w:r>
      <w:r>
        <w:fldChar w:fldCharType="separate"/>
      </w:r>
      <w:r>
        <w:rPr>
          <w:noProof/>
        </w:rPr>
        <w:t>518</w:t>
      </w:r>
      <w:r>
        <w:fldChar w:fldCharType="end"/>
      </w:r>
    </w:p>
    <w:p w:rsidR="005F78FC" w:rsidRDefault="00B42EF3">
      <w:pPr>
        <w:pStyle w:val="indexentry0"/>
      </w:pPr>
      <w:hyperlink w:anchor="section_236b7423470948f98b928617074bb197">
        <w:r>
          <w:rPr>
            <w:rStyle w:val="Hyperlink"/>
          </w:rPr>
          <w:t>modifyVerifier (Modification Verifier)</w:t>
        </w:r>
      </w:hyperlink>
      <w:r>
        <w:t xml:space="preserve"> </w:t>
      </w:r>
      <w:r>
        <w:fldChar w:fldCharType="begin"/>
      </w:r>
      <w:r>
        <w:instrText>PAGEREF section_236b7423470948f98b928617074bb197</w:instrText>
      </w:r>
      <w:r>
        <w:fldChar w:fldCharType="separate"/>
      </w:r>
      <w:r>
        <w:rPr>
          <w:noProof/>
        </w:rPr>
        <w:t>464</w:t>
      </w:r>
      <w:r>
        <w:fldChar w:fldCharType="end"/>
      </w:r>
    </w:p>
    <w:p w:rsidR="005F78FC" w:rsidRDefault="00B42EF3">
      <w:pPr>
        <w:pStyle w:val="indexentry0"/>
      </w:pPr>
      <w:hyperlink w:anchor="section_60d0016ce96e44b9907fad464b6d07c7">
        <w:r>
          <w:rPr>
            <w:rStyle w:val="Hyperlink"/>
          </w:rPr>
          <w:t>Monitors (Monitor Count)</w:t>
        </w:r>
      </w:hyperlink>
      <w:r>
        <w:t xml:space="preserve"> </w:t>
      </w:r>
      <w:r>
        <w:fldChar w:fldCharType="begin"/>
      </w:r>
      <w:r>
        <w:instrText>PAGEREF section_60d0016ce96e44b9907fad464b6d07c7</w:instrText>
      </w:r>
      <w:r>
        <w:fldChar w:fldCharType="separate"/>
      </w:r>
      <w:r>
        <w:rPr>
          <w:noProof/>
        </w:rPr>
        <w:t>886</w:t>
      </w:r>
      <w:r>
        <w:fldChar w:fldCharType="end"/>
      </w:r>
    </w:p>
    <w:p w:rsidR="005F78FC" w:rsidRDefault="00B42EF3">
      <w:pPr>
        <w:pStyle w:val="indexentry0"/>
      </w:pPr>
      <w:hyperlink w:anchor="section_dcbcb32823db42abbb8081992b8e429e">
        <w:r>
          <w:rPr>
            <w:rStyle w:val="Hyperlink"/>
          </w:rPr>
          <w:t>moveFrom (Move Source Math Control Character)</w:t>
        </w:r>
      </w:hyperlink>
      <w:r>
        <w:t xml:space="preserve"> </w:t>
      </w:r>
      <w:r>
        <w:fldChar w:fldCharType="begin"/>
      </w:r>
      <w:r>
        <w:instrText>PAGEREF</w:instrText>
      </w:r>
      <w:r>
        <w:instrText xml:space="preserve"> section_dcbcb32823db42abbb8081992b8e429e</w:instrText>
      </w:r>
      <w:r>
        <w:fldChar w:fldCharType="separate"/>
      </w:r>
      <w:r>
        <w:rPr>
          <w:noProof/>
        </w:rPr>
        <w:t>807</w:t>
      </w:r>
      <w:r>
        <w:fldChar w:fldCharType="end"/>
      </w:r>
    </w:p>
    <w:p w:rsidR="005F78FC" w:rsidRDefault="00B42EF3">
      <w:pPr>
        <w:pStyle w:val="indexentry0"/>
      </w:pPr>
      <w:hyperlink w:anchor="section_123328dcd0324adcbdd39388ff472ea2">
        <w:r>
          <w:rPr>
            <w:rStyle w:val="Hyperlink"/>
          </w:rPr>
          <w:t>moveFrom (Move Source Paragraph)</w:t>
        </w:r>
      </w:hyperlink>
      <w:r>
        <w:t xml:space="preserve"> </w:t>
      </w:r>
      <w:r>
        <w:fldChar w:fldCharType="begin"/>
      </w:r>
      <w:r>
        <w:instrText>PAGEREF section_123328dcd0324adcbdd39388ff472ea2</w:instrText>
      </w:r>
      <w:r>
        <w:fldChar w:fldCharType="separate"/>
      </w:r>
      <w:r>
        <w:rPr>
          <w:noProof/>
        </w:rPr>
        <w:t>140</w:t>
      </w:r>
      <w:r>
        <w:fldChar w:fldCharType="end"/>
      </w:r>
    </w:p>
    <w:p w:rsidR="005F78FC" w:rsidRDefault="00B42EF3">
      <w:pPr>
        <w:pStyle w:val="indexentry0"/>
      </w:pPr>
      <w:hyperlink w:anchor="section_70a0803b276e4570a179bc29869d6701">
        <w:r>
          <w:rPr>
            <w:rStyle w:val="Hyperlink"/>
          </w:rPr>
          <w:t>mo</w:t>
        </w:r>
        <w:r>
          <w:rPr>
            <w:rStyle w:val="Hyperlink"/>
          </w:rPr>
          <w:t>veFrom (Move Source Run Content)</w:t>
        </w:r>
      </w:hyperlink>
      <w:r>
        <w:t xml:space="preserve"> </w:t>
      </w:r>
      <w:r>
        <w:fldChar w:fldCharType="begin"/>
      </w:r>
      <w:r>
        <w:instrText>PAGEREF section_70a0803b276e4570a179bc29869d6701</w:instrText>
      </w:r>
      <w:r>
        <w:fldChar w:fldCharType="separate"/>
      </w:r>
      <w:r>
        <w:rPr>
          <w:noProof/>
        </w:rPr>
        <w:t>140</w:t>
      </w:r>
      <w:r>
        <w:fldChar w:fldCharType="end"/>
      </w:r>
    </w:p>
    <w:p w:rsidR="005F78FC" w:rsidRDefault="00B42EF3">
      <w:pPr>
        <w:pStyle w:val="indexentry0"/>
      </w:pPr>
      <w:hyperlink w:anchor="section_f90cd8b7925d4d049a0385f33bc74843">
        <w:r>
          <w:rPr>
            <w:rStyle w:val="Hyperlink"/>
          </w:rPr>
          <w:t>moveFromRangeEnd (Move Source Location Container - End)</w:t>
        </w:r>
      </w:hyperlink>
      <w:r>
        <w:t xml:space="preserve"> </w:t>
      </w:r>
      <w:r>
        <w:fldChar w:fldCharType="begin"/>
      </w:r>
      <w:r>
        <w:instrText>PAGEREF section_f90cd8b7925d4d049a0385f33bc74843</w:instrText>
      </w:r>
      <w:r>
        <w:fldChar w:fldCharType="separate"/>
      </w:r>
      <w:r>
        <w:rPr>
          <w:noProof/>
        </w:rPr>
        <w:t>140</w:t>
      </w:r>
      <w:r>
        <w:fldChar w:fldCharType="end"/>
      </w:r>
    </w:p>
    <w:p w:rsidR="005F78FC" w:rsidRDefault="00B42EF3">
      <w:pPr>
        <w:pStyle w:val="indexentry0"/>
      </w:pPr>
      <w:hyperlink w:anchor="section_5214839b61db423aa618a375b90fd0a8">
        <w:r>
          <w:rPr>
            <w:rStyle w:val="Hyperlink"/>
          </w:rPr>
          <w:t>moveFromRangeStart (Move Source Location Container - Start)</w:t>
        </w:r>
      </w:hyperlink>
      <w:r>
        <w:t xml:space="preserve"> </w:t>
      </w:r>
      <w:r>
        <w:fldChar w:fldCharType="begin"/>
      </w:r>
      <w:r>
        <w:instrText>PAGEREF section_5214839b61db423aa618a375b90fd0a8</w:instrText>
      </w:r>
      <w:r>
        <w:fldChar w:fldCharType="separate"/>
      </w:r>
      <w:r>
        <w:rPr>
          <w:noProof/>
        </w:rPr>
        <w:t>141</w:t>
      </w:r>
      <w:r>
        <w:fldChar w:fldCharType="end"/>
      </w:r>
    </w:p>
    <w:p w:rsidR="005F78FC" w:rsidRDefault="00B42EF3">
      <w:pPr>
        <w:pStyle w:val="indexentry0"/>
      </w:pPr>
      <w:hyperlink w:anchor="section_9d27b8e63f8f4cf7a6e356e2fbf140b8">
        <w:r>
          <w:rPr>
            <w:rStyle w:val="Hyperlink"/>
          </w:rPr>
          <w:t>moveTo (Move Destination Math Control Character)</w:t>
        </w:r>
      </w:hyperlink>
      <w:r>
        <w:t xml:space="preserve"> </w:t>
      </w:r>
      <w:r>
        <w:fldChar w:fldCharType="begin"/>
      </w:r>
      <w:r>
        <w:instrText>PAGEREF section_9d27b8e63f8f4cf7a6e356e2fbf140b8</w:instrText>
      </w:r>
      <w:r>
        <w:fldChar w:fldCharType="separate"/>
      </w:r>
      <w:r>
        <w:rPr>
          <w:noProof/>
        </w:rPr>
        <w:t>809</w:t>
      </w:r>
      <w:r>
        <w:fldChar w:fldCharType="end"/>
      </w:r>
    </w:p>
    <w:p w:rsidR="005F78FC" w:rsidRDefault="00B42EF3">
      <w:pPr>
        <w:pStyle w:val="indexentry0"/>
      </w:pPr>
      <w:hyperlink w:anchor="section_dafb64ea058d4c1fa592c3c6c8df91c6">
        <w:r>
          <w:rPr>
            <w:rStyle w:val="Hyperlink"/>
          </w:rPr>
          <w:t>moveTo (Move Destination Paragraph)</w:t>
        </w:r>
      </w:hyperlink>
      <w:r>
        <w:t xml:space="preserve"> </w:t>
      </w:r>
      <w:r>
        <w:fldChar w:fldCharType="begin"/>
      </w:r>
      <w:r>
        <w:instrText>PAGEREF section_dafb64ea058d4c1fa592c3c6c8df91c6</w:instrText>
      </w:r>
      <w:r>
        <w:fldChar w:fldCharType="separate"/>
      </w:r>
      <w:r>
        <w:rPr>
          <w:noProof/>
        </w:rPr>
        <w:t>141</w:t>
      </w:r>
      <w:r>
        <w:fldChar w:fldCharType="end"/>
      </w:r>
    </w:p>
    <w:p w:rsidR="005F78FC" w:rsidRDefault="00B42EF3">
      <w:pPr>
        <w:pStyle w:val="indexentry0"/>
      </w:pPr>
      <w:hyperlink w:anchor="section_4fffb314e0bf4947af2079d7ca0448d5">
        <w:r>
          <w:rPr>
            <w:rStyle w:val="Hyperlink"/>
          </w:rPr>
          <w:t>moveTo (Move Destination Run Content)</w:t>
        </w:r>
      </w:hyperlink>
      <w:r>
        <w:t xml:space="preserve"> </w:t>
      </w:r>
      <w:r>
        <w:fldChar w:fldCharType="begin"/>
      </w:r>
      <w:r>
        <w:instrText>PAGEREF section_4fffb314e0bf4947af2079d7ca0448d5</w:instrText>
      </w:r>
      <w:r>
        <w:fldChar w:fldCharType="separate"/>
      </w:r>
      <w:r>
        <w:rPr>
          <w:noProof/>
        </w:rPr>
        <w:t>141</w:t>
      </w:r>
      <w:r>
        <w:fldChar w:fldCharType="end"/>
      </w:r>
    </w:p>
    <w:p w:rsidR="005F78FC" w:rsidRDefault="00B42EF3">
      <w:pPr>
        <w:pStyle w:val="indexentry0"/>
      </w:pPr>
      <w:hyperlink w:anchor="section_8e9341b0a75f40009e2209c559e8a4ce">
        <w:r>
          <w:rPr>
            <w:rStyle w:val="Hyperlink"/>
          </w:rPr>
          <w:t>moveToRangeEnd (Move Destination Location Co</w:t>
        </w:r>
        <w:r>
          <w:rPr>
            <w:rStyle w:val="Hyperlink"/>
          </w:rPr>
          <w:t>ntainer - End)</w:t>
        </w:r>
      </w:hyperlink>
      <w:r>
        <w:t xml:space="preserve"> </w:t>
      </w:r>
      <w:r>
        <w:fldChar w:fldCharType="begin"/>
      </w:r>
      <w:r>
        <w:instrText>PAGEREF section_8e9341b0a75f40009e2209c559e8a4ce</w:instrText>
      </w:r>
      <w:r>
        <w:fldChar w:fldCharType="separate"/>
      </w:r>
      <w:r>
        <w:rPr>
          <w:noProof/>
        </w:rPr>
        <w:t>141</w:t>
      </w:r>
      <w:r>
        <w:fldChar w:fldCharType="end"/>
      </w:r>
    </w:p>
    <w:p w:rsidR="005F78FC" w:rsidRDefault="00B42EF3">
      <w:pPr>
        <w:pStyle w:val="indexentry0"/>
      </w:pPr>
      <w:hyperlink w:anchor="section_03c98d1c57d84c05bd1b76e79d3673a4">
        <w:r>
          <w:rPr>
            <w:rStyle w:val="Hyperlink"/>
          </w:rPr>
          <w:t>moveToRangeStart (Move Destination Location Container - Start)</w:t>
        </w:r>
      </w:hyperlink>
      <w:r>
        <w:t xml:space="preserve"> </w:t>
      </w:r>
      <w:r>
        <w:fldChar w:fldCharType="begin"/>
      </w:r>
      <w:r>
        <w:instrText>PAGEREF section_03c98d1c57d84c05bd1b76e79d3673a4</w:instrText>
      </w:r>
      <w:r>
        <w:fldChar w:fldCharType="separate"/>
      </w:r>
      <w:r>
        <w:rPr>
          <w:noProof/>
        </w:rPr>
        <w:t>141</w:t>
      </w:r>
      <w:r>
        <w:fldChar w:fldCharType="end"/>
      </w:r>
    </w:p>
    <w:p w:rsidR="005F78FC" w:rsidRDefault="00B42EF3">
      <w:pPr>
        <w:pStyle w:val="indexentry0"/>
      </w:pPr>
      <w:hyperlink w:anchor="section_40158516bf2346b1b809063618265082">
        <w:r>
          <w:rPr>
            <w:rStyle w:val="Hyperlink"/>
          </w:rPr>
          <w:t>MoveWithCells (Move with Cells)</w:t>
        </w:r>
      </w:hyperlink>
      <w:r>
        <w:t xml:space="preserve"> </w:t>
      </w:r>
      <w:r>
        <w:fldChar w:fldCharType="begin"/>
      </w:r>
      <w:r>
        <w:instrText>PAGEREF section_40158516bf2346b1b809063618265082</w:instrText>
      </w:r>
      <w:r>
        <w:fldChar w:fldCharType="separate"/>
      </w:r>
      <w:r>
        <w:rPr>
          <w:noProof/>
        </w:rPr>
        <w:t>682</w:t>
      </w:r>
      <w:r>
        <w:fldChar w:fldCharType="end"/>
      </w:r>
    </w:p>
    <w:p w:rsidR="005F78FC" w:rsidRDefault="00B42EF3">
      <w:pPr>
        <w:pStyle w:val="indexentry0"/>
      </w:pPr>
      <w:hyperlink w:anchor="section_ef061fe2ceaa4fc29574c941845977c7">
        <w:r>
          <w:rPr>
            <w:rStyle w:val="Hyperlink"/>
          </w:rPr>
          <w:t>movie (Embedded Video)</w:t>
        </w:r>
      </w:hyperlink>
      <w:r>
        <w:t xml:space="preserve"> </w:t>
      </w:r>
      <w:r>
        <w:fldChar w:fldCharType="begin"/>
      </w:r>
      <w:r>
        <w:instrText>PAGEREF section_ef061fe2ceaa4fc2</w:instrText>
      </w:r>
      <w:r>
        <w:instrText>9574c941845977c7</w:instrText>
      </w:r>
      <w:r>
        <w:fldChar w:fldCharType="separate"/>
      </w:r>
      <w:r>
        <w:rPr>
          <w:noProof/>
        </w:rPr>
        <w:t>83</w:t>
      </w:r>
      <w:r>
        <w:fldChar w:fldCharType="end"/>
      </w:r>
    </w:p>
    <w:p w:rsidR="005F78FC" w:rsidRDefault="00B42EF3">
      <w:pPr>
        <w:pStyle w:val="indexentry0"/>
      </w:pPr>
      <w:hyperlink w:anchor="section_71f10955d10148acb9bb4fefc73cdb96">
        <w:r>
          <w:rPr>
            <w:rStyle w:val="Hyperlink"/>
          </w:rPr>
          <w:t>mp (OLAP Member Property)</w:t>
        </w:r>
      </w:hyperlink>
      <w:r>
        <w:t xml:space="preserve"> </w:t>
      </w:r>
      <w:r>
        <w:fldChar w:fldCharType="begin"/>
      </w:r>
      <w:r>
        <w:instrText>PAGEREF section_71f10955d10148acb9bb4fefc73cdb96</w:instrText>
      </w:r>
      <w:r>
        <w:fldChar w:fldCharType="separate"/>
      </w:r>
      <w:r>
        <w:rPr>
          <w:noProof/>
        </w:rPr>
        <w:t>345</w:t>
      </w:r>
      <w:r>
        <w:fldChar w:fldCharType="end"/>
      </w:r>
    </w:p>
    <w:p w:rsidR="005F78FC" w:rsidRDefault="00B42EF3">
      <w:pPr>
        <w:pStyle w:val="indexentry0"/>
      </w:pPr>
      <w:hyperlink w:anchor="section_b4dc42bf1fd54fac8d83fb17156bdcd2">
        <w:r>
          <w:rPr>
            <w:rStyle w:val="Hyperlink"/>
          </w:rPr>
          <w:t>mpMap (Member Properties Map)</w:t>
        </w:r>
      </w:hyperlink>
      <w:r>
        <w:t xml:space="preserve"> </w:t>
      </w:r>
      <w:r>
        <w:fldChar w:fldCharType="begin"/>
      </w:r>
      <w:r>
        <w:instrText>PA</w:instrText>
      </w:r>
      <w:r>
        <w:instrText>GEREF section_b4dc42bf1fd54fac8d83fb17156bdcd2</w:instrText>
      </w:r>
      <w:r>
        <w:fldChar w:fldCharType="separate"/>
      </w:r>
      <w:r>
        <w:rPr>
          <w:noProof/>
        </w:rPr>
        <w:t>346</w:t>
      </w:r>
      <w:r>
        <w:fldChar w:fldCharType="end"/>
      </w:r>
    </w:p>
    <w:p w:rsidR="005F78FC" w:rsidRDefault="00B42EF3">
      <w:pPr>
        <w:pStyle w:val="indexentry0"/>
      </w:pPr>
      <w:hyperlink w:anchor="section_8888801c0ecc48cb8ca4b1b34a8970a3">
        <w:r>
          <w:rPr>
            <w:rStyle w:val="Hyperlink"/>
          </w:rPr>
          <w:t>mr (Matrix Row)</w:t>
        </w:r>
      </w:hyperlink>
      <w:r>
        <w:t xml:space="preserve"> </w:t>
      </w:r>
      <w:r>
        <w:fldChar w:fldCharType="begin"/>
      </w:r>
      <w:r>
        <w:instrText>PAGEREF section_8888801c0ecc48cb8ca4b1b34a8970a3</w:instrText>
      </w:r>
      <w:r>
        <w:fldChar w:fldCharType="separate"/>
      </w:r>
      <w:r>
        <w:rPr>
          <w:noProof/>
        </w:rPr>
        <w:t>602</w:t>
      </w:r>
      <w:r>
        <w:fldChar w:fldCharType="end"/>
      </w:r>
    </w:p>
    <w:p w:rsidR="005F78FC" w:rsidRDefault="00B42EF3">
      <w:pPr>
        <w:pStyle w:val="indexentry0"/>
      </w:pPr>
      <w:hyperlink w:anchor="section_236b2ae9ee2841ec9cb9e9085bba3100">
        <w:r>
          <w:rPr>
            <w:rStyle w:val="Hyperlink"/>
          </w:rPr>
          <w:t>mruColors (MRU Colors)</w:t>
        </w:r>
      </w:hyperlink>
      <w:r>
        <w:t xml:space="preserve"> </w:t>
      </w:r>
      <w:r>
        <w:fldChar w:fldCharType="begin"/>
      </w:r>
      <w:r>
        <w:instrText>PAGEREF section_236b2ae9ee2841ec9cb9e9085bba3100</w:instrText>
      </w:r>
      <w:r>
        <w:fldChar w:fldCharType="separate"/>
      </w:r>
      <w:r>
        <w:rPr>
          <w:noProof/>
        </w:rPr>
        <w:t>302</w:t>
      </w:r>
      <w:r>
        <w:fldChar w:fldCharType="end"/>
      </w:r>
    </w:p>
    <w:p w:rsidR="005F78FC" w:rsidRDefault="00B42EF3">
      <w:pPr>
        <w:pStyle w:val="indexentry0"/>
      </w:pPr>
      <w:hyperlink w:anchor="section_6612d3346b3a463893d847b28879a01f">
        <w:r>
          <w:rPr>
            <w:rStyle w:val="Hyperlink"/>
          </w:rPr>
          <w:t>ms (Set MDX Metadata)</w:t>
        </w:r>
      </w:hyperlink>
      <w:r>
        <w:t xml:space="preserve"> </w:t>
      </w:r>
      <w:r>
        <w:fldChar w:fldCharType="begin"/>
      </w:r>
      <w:r>
        <w:instrText>PAGEREF section_6612d3346b3a463893d847b28879a01f</w:instrText>
      </w:r>
      <w:r>
        <w:fldChar w:fldCharType="separate"/>
      </w:r>
      <w:r>
        <w:rPr>
          <w:noProof/>
        </w:rPr>
        <w:t>321</w:t>
      </w:r>
      <w:r>
        <w:fldChar w:fldCharType="end"/>
      </w:r>
    </w:p>
    <w:p w:rsidR="005F78FC" w:rsidRDefault="00B42EF3">
      <w:pPr>
        <w:pStyle w:val="indexentry0"/>
      </w:pPr>
      <w:hyperlink w:anchor="section_c18a957f2c2c4f6cb25a6b7e733cc52e">
        <w:r>
          <w:rPr>
            <w:rStyle w:val="Hyperlink"/>
          </w:rPr>
          <w:t>multiLvlStrCache (Multi Level String Cache)</w:t>
        </w:r>
      </w:hyperlink>
      <w:r>
        <w:t xml:space="preserve"> </w:t>
      </w:r>
      <w:r>
        <w:fldChar w:fldCharType="begin"/>
      </w:r>
      <w:r>
        <w:instrText>PAGEREF section_c18a957f2c2c4f6cb25a6b7e733cc52e</w:instrText>
      </w:r>
      <w:r>
        <w:fldChar w:fldCharType="separate"/>
      </w:r>
      <w:r>
        <w:rPr>
          <w:noProof/>
        </w:rPr>
        <w:t>559</w:t>
      </w:r>
      <w:r>
        <w:fldChar w:fldCharType="end"/>
      </w:r>
    </w:p>
    <w:p w:rsidR="005F78FC" w:rsidRDefault="00B42EF3">
      <w:pPr>
        <w:pStyle w:val="indexentry0"/>
      </w:pPr>
      <w:hyperlink w:anchor="section_5a37b2e1a0914137b7fabf136bc9b3c5">
        <w:r>
          <w:rPr>
            <w:rStyle w:val="Hyperlink"/>
          </w:rPr>
          <w:t>multiLvlStrRef (Multi Level String Reference)</w:t>
        </w:r>
      </w:hyperlink>
      <w:r>
        <w:t xml:space="preserve"> </w:t>
      </w:r>
      <w:r>
        <w:fldChar w:fldCharType="begin"/>
      </w:r>
      <w:r>
        <w:instrText>PAGEREF section_5a37b2e1a09141</w:instrText>
      </w:r>
      <w:r>
        <w:instrText>37b7fabf136bc9b3c5</w:instrText>
      </w:r>
      <w:r>
        <w:fldChar w:fldCharType="separate"/>
      </w:r>
      <w:r>
        <w:rPr>
          <w:noProof/>
        </w:rPr>
        <w:t>560</w:t>
      </w:r>
      <w:r>
        <w:fldChar w:fldCharType="end"/>
      </w:r>
    </w:p>
    <w:p w:rsidR="005F78FC" w:rsidRDefault="00B42EF3">
      <w:pPr>
        <w:pStyle w:val="indexentry0"/>
      </w:pPr>
      <w:hyperlink w:anchor="section_2cd7e0b4d9d1491c92c6c271203af29a">
        <w:r>
          <w:rPr>
            <w:rStyle w:val="Hyperlink"/>
          </w:rPr>
          <w:t>MULTINOMIAL</w:t>
        </w:r>
      </w:hyperlink>
      <w:r>
        <w:t xml:space="preserve"> </w:t>
      </w:r>
      <w:r>
        <w:fldChar w:fldCharType="begin"/>
      </w:r>
      <w:r>
        <w:instrText>PAGEREF section_2cd7e0b4d9d1491c92c6c271203af29a</w:instrText>
      </w:r>
      <w:r>
        <w:fldChar w:fldCharType="separate"/>
      </w:r>
      <w:r>
        <w:rPr>
          <w:noProof/>
        </w:rPr>
        <w:t>436</w:t>
      </w:r>
      <w:r>
        <w:fldChar w:fldCharType="end"/>
      </w:r>
    </w:p>
    <w:p w:rsidR="005F78FC" w:rsidRDefault="005F78FC">
      <w:pPr>
        <w:spacing w:before="0" w:after="0"/>
        <w:rPr>
          <w:sz w:val="16"/>
        </w:rPr>
      </w:pPr>
    </w:p>
    <w:p w:rsidR="005F78FC" w:rsidRDefault="00B42EF3">
      <w:pPr>
        <w:pStyle w:val="indexheader"/>
      </w:pPr>
      <w:r>
        <w:t>N</w:t>
      </w:r>
    </w:p>
    <w:p w:rsidR="005F78FC" w:rsidRDefault="005F78FC">
      <w:pPr>
        <w:spacing w:before="0" w:after="0"/>
        <w:rPr>
          <w:sz w:val="16"/>
        </w:rPr>
      </w:pPr>
    </w:p>
    <w:p w:rsidR="005F78FC" w:rsidRDefault="00B42EF3">
      <w:pPr>
        <w:pStyle w:val="indexentry0"/>
      </w:pPr>
      <w:hyperlink w:anchor="section_9fe99a43b15e40eea2cc9318cb945451">
        <w:r>
          <w:rPr>
            <w:rStyle w:val="Hyperlink"/>
          </w:rPr>
          <w:t>N</w:t>
        </w:r>
      </w:hyperlink>
      <w:r>
        <w:t xml:space="preserve"> </w:t>
      </w:r>
      <w:r>
        <w:fldChar w:fldCharType="begin"/>
      </w:r>
      <w:r>
        <w:instrText>PAGEREF section_9fe99a43b15e40eea2cc93</w:instrText>
      </w:r>
      <w:r>
        <w:instrText>18cb945451</w:instrText>
      </w:r>
      <w:r>
        <w:fldChar w:fldCharType="separate"/>
      </w:r>
      <w:r>
        <w:rPr>
          <w:noProof/>
        </w:rPr>
        <w:t>436</w:t>
      </w:r>
      <w:r>
        <w:fldChar w:fldCharType="end"/>
      </w:r>
    </w:p>
    <w:p w:rsidR="005F78FC" w:rsidRDefault="00B42EF3">
      <w:pPr>
        <w:pStyle w:val="indexentry0"/>
      </w:pPr>
      <w:hyperlink w:anchor="section_e15c9df90ad44f7c979ad268c7ac9e3e">
        <w:r>
          <w:rPr>
            <w:rStyle w:val="Hyperlink"/>
          </w:rPr>
          <w:t>n (Member Unique Name Index)</w:t>
        </w:r>
      </w:hyperlink>
      <w:r>
        <w:t xml:space="preserve"> </w:t>
      </w:r>
      <w:r>
        <w:fldChar w:fldCharType="begin"/>
      </w:r>
      <w:r>
        <w:instrText>PAGEREF section_e15c9df90ad44f7c979ad268c7ac9e3e</w:instrText>
      </w:r>
      <w:r>
        <w:fldChar w:fldCharType="separate"/>
      </w:r>
      <w:r>
        <w:rPr>
          <w:noProof/>
        </w:rPr>
        <w:t>321</w:t>
      </w:r>
      <w:r>
        <w:fldChar w:fldCharType="end"/>
      </w:r>
    </w:p>
    <w:p w:rsidR="005F78FC" w:rsidRDefault="00B42EF3">
      <w:pPr>
        <w:pStyle w:val="indexentry0"/>
      </w:pPr>
      <w:hyperlink w:anchor="section_7dc71bdcc6a048ce87fd58bc9aa6ca0e">
        <w:r>
          <w:rPr>
            <w:rStyle w:val="Hyperlink"/>
          </w:rPr>
          <w:t>n (Numeric)</w:t>
        </w:r>
      </w:hyperlink>
      <w:r>
        <w:t xml:space="preserve"> </w:t>
      </w:r>
      <w:r>
        <w:fldChar w:fldCharType="begin"/>
      </w:r>
      <w:r>
        <w:instrText>PAGEREF section_7dc71bd</w:instrText>
      </w:r>
      <w:r>
        <w:instrText>cc6a048ce87fd58bc9aa6ca0e</w:instrText>
      </w:r>
      <w:r>
        <w:fldChar w:fldCharType="separate"/>
      </w:r>
      <w:r>
        <w:rPr>
          <w:noProof/>
        </w:rPr>
        <w:t>346</w:t>
      </w:r>
      <w:r>
        <w:fldChar w:fldCharType="end"/>
      </w:r>
    </w:p>
    <w:p w:rsidR="005F78FC" w:rsidRDefault="00B42EF3">
      <w:pPr>
        <w:pStyle w:val="indexentry0"/>
      </w:pPr>
      <w:hyperlink w:anchor="section_f64ffe252900401eba6e8f0459bd63c6">
        <w:r>
          <w:rPr>
            <w:rStyle w:val="Hyperlink"/>
          </w:rPr>
          <w:t>name (Abstract Numbering Definition Name)</w:t>
        </w:r>
      </w:hyperlink>
      <w:r>
        <w:t xml:space="preserve"> </w:t>
      </w:r>
      <w:r>
        <w:fldChar w:fldCharType="begin"/>
      </w:r>
      <w:r>
        <w:instrText>PAGEREF section_f64ffe252900401eba6e8f0459bd63c6</w:instrText>
      </w:r>
      <w:r>
        <w:fldChar w:fldCharType="separate"/>
      </w:r>
      <w:r>
        <w:rPr>
          <w:noProof/>
        </w:rPr>
        <w:t>128</w:t>
      </w:r>
      <w:r>
        <w:fldChar w:fldCharType="end"/>
      </w:r>
    </w:p>
    <w:p w:rsidR="005F78FC" w:rsidRDefault="00B42EF3">
      <w:pPr>
        <w:pStyle w:val="indexentry0"/>
      </w:pPr>
      <w:hyperlink w:anchor="section_51a7812ca4d047cba9ad3369db15bff2">
        <w:r>
          <w:rPr>
            <w:rStyle w:val="Hyperlink"/>
          </w:rPr>
          <w:t>name (Data Source Name for Column)</w:t>
        </w:r>
      </w:hyperlink>
      <w:r>
        <w:t xml:space="preserve"> </w:t>
      </w:r>
      <w:r>
        <w:fldChar w:fldCharType="begin"/>
      </w:r>
      <w:r>
        <w:instrText>PAGEREF section_51a7812ca4d047cba9ad3369db15bff2</w:instrText>
      </w:r>
      <w:r>
        <w:fldChar w:fldCharType="separate"/>
      </w:r>
      <w:r>
        <w:rPr>
          <w:noProof/>
        </w:rPr>
        <w:t>148</w:t>
      </w:r>
      <w:r>
        <w:fldChar w:fldCharType="end"/>
      </w:r>
    </w:p>
    <w:p w:rsidR="005F78FC" w:rsidRDefault="00B42EF3">
      <w:pPr>
        <w:pStyle w:val="indexentry0"/>
      </w:pPr>
      <w:hyperlink w:anchor="section_0e286ffd189c4df8a44f3879af50a4a2">
        <w:r>
          <w:rPr>
            <w:rStyle w:val="Hyperlink"/>
          </w:rPr>
          <w:t>name (Font Name)</w:t>
        </w:r>
      </w:hyperlink>
      <w:r>
        <w:t xml:space="preserve"> </w:t>
      </w:r>
      <w:r>
        <w:fldChar w:fldCharType="begin"/>
      </w:r>
      <w:r>
        <w:instrText>PAGEREF section_0e286ffd189c4df8a44f3879af50a4a2</w:instrText>
      </w:r>
      <w:r>
        <w:fldChar w:fldCharType="separate"/>
      </w:r>
      <w:r>
        <w:rPr>
          <w:noProof/>
        </w:rPr>
        <w:t>302</w:t>
      </w:r>
      <w:r>
        <w:fldChar w:fldCharType="end"/>
      </w:r>
    </w:p>
    <w:p w:rsidR="005F78FC" w:rsidRDefault="00B42EF3">
      <w:pPr>
        <w:pStyle w:val="indexentry0"/>
      </w:pPr>
      <w:hyperlink w:anchor="section_d1915b52a64a4e87a89e66bb610cbfad">
        <w:r>
          <w:rPr>
            <w:rStyle w:val="Hyperlink"/>
          </w:rPr>
          <w:t>name (Frame Name)</w:t>
        </w:r>
      </w:hyperlink>
      <w:r>
        <w:t xml:space="preserve"> </w:t>
      </w:r>
      <w:r>
        <w:fldChar w:fldCharType="begin"/>
      </w:r>
      <w:r>
        <w:instrText>PAGEREF section_d1915b52a64a4e87a89e66bb610cbfad</w:instrText>
      </w:r>
      <w:r>
        <w:fldChar w:fldCharType="separate"/>
      </w:r>
      <w:r>
        <w:rPr>
          <w:noProof/>
        </w:rPr>
        <w:t>165</w:t>
      </w:r>
      <w:r>
        <w:fldChar w:fldCharType="end"/>
      </w:r>
    </w:p>
    <w:p w:rsidR="005F78FC" w:rsidRDefault="00B42EF3">
      <w:pPr>
        <w:pStyle w:val="indexentry0"/>
      </w:pPr>
      <w:hyperlink w:anchor="section_3a82b89e726440c1a09fd569374fe6a9">
        <w:r>
          <w:rPr>
            <w:rStyle w:val="Hyperlink"/>
          </w:rPr>
          <w:t>name (Pivot Name)</w:t>
        </w:r>
      </w:hyperlink>
      <w:r>
        <w:t xml:space="preserve"> </w:t>
      </w:r>
      <w:r>
        <w:fldChar w:fldCharType="begin"/>
      </w:r>
      <w:r>
        <w:instrText>PAGEREF section_3a82b89e726440c1a09fd569374fe6a9</w:instrText>
      </w:r>
      <w:r>
        <w:fldChar w:fldCharType="separate"/>
      </w:r>
      <w:r>
        <w:rPr>
          <w:noProof/>
        </w:rPr>
        <w:t>560</w:t>
      </w:r>
      <w:r>
        <w:fldChar w:fldCharType="end"/>
      </w:r>
    </w:p>
    <w:p w:rsidR="005F78FC" w:rsidRDefault="00B42EF3">
      <w:pPr>
        <w:pStyle w:val="indexentry0"/>
      </w:pPr>
      <w:hyperlink w:anchor="section_716e4d7c3b23421096172b8324486a3b">
        <w:r>
          <w:rPr>
            <w:rStyle w:val="Hyperlink"/>
          </w:rPr>
          <w:t>name (Primary Style Name)</w:t>
        </w:r>
      </w:hyperlink>
      <w:r>
        <w:t xml:space="preserve"> </w:t>
      </w:r>
      <w:r>
        <w:fldChar w:fldCharType="begin"/>
      </w:r>
      <w:r>
        <w:instrText>PAGEREF section_716e4d7c3b23421096172b8324486a3b</w:instrText>
      </w:r>
      <w:r>
        <w:fldChar w:fldCharType="separate"/>
      </w:r>
      <w:r>
        <w:rPr>
          <w:noProof/>
        </w:rPr>
        <w:t>110</w:t>
      </w:r>
      <w:r>
        <w:fldChar w:fldCharType="end"/>
      </w:r>
    </w:p>
    <w:p w:rsidR="005F78FC" w:rsidRDefault="00B42EF3">
      <w:pPr>
        <w:pStyle w:val="indexentry0"/>
      </w:pPr>
      <w:hyperlink w:anchor="section_da7f42ad0083451a98cfb475b578d91d">
        <w:r>
          <w:rPr>
            <w:rStyle w:val="Hyperlink"/>
          </w:rPr>
          <w:t>Name Formulas</w:t>
        </w:r>
      </w:hyperlink>
      <w:r>
        <w:t xml:space="preserve"> </w:t>
      </w:r>
      <w:r>
        <w:fldChar w:fldCharType="begin"/>
      </w:r>
      <w:r>
        <w:instrText>PAGEREF section_da7f42ad0083451a98cfb475b578d91d</w:instrText>
      </w:r>
      <w:r>
        <w:fldChar w:fldCharType="separate"/>
      </w:r>
      <w:r>
        <w:rPr>
          <w:noProof/>
        </w:rPr>
        <w:t>846</w:t>
      </w:r>
      <w:r>
        <w:fldChar w:fldCharType="end"/>
      </w:r>
    </w:p>
    <w:p w:rsidR="005F78FC" w:rsidRDefault="00B42EF3">
      <w:pPr>
        <w:pStyle w:val="indexentry0"/>
      </w:pPr>
      <w:hyperlink w:anchor="section_3b91dece249a4d57953d8068dbdaeb62">
        <w:r>
          <w:rPr>
            <w:rStyle w:val="Hyperlink"/>
          </w:rPr>
          <w:t>Name Representation</w:t>
        </w:r>
      </w:hyperlink>
      <w:r>
        <w:t xml:space="preserve"> </w:t>
      </w:r>
      <w:r>
        <w:fldChar w:fldCharType="begin"/>
      </w:r>
      <w:r>
        <w:instrText>PAGEREF section_3b91dece249a4d57953d8068dbdaeb62</w:instrText>
      </w:r>
      <w:r>
        <w:fldChar w:fldCharType="separate"/>
      </w:r>
      <w:r>
        <w:rPr>
          <w:noProof/>
        </w:rPr>
        <w:t>399</w:t>
      </w:r>
      <w:r>
        <w:fldChar w:fldCharType="end"/>
      </w:r>
    </w:p>
    <w:p w:rsidR="005F78FC" w:rsidRDefault="00B42EF3">
      <w:pPr>
        <w:pStyle w:val="indexentry0"/>
      </w:pPr>
      <w:hyperlink w:anchor="section_1399f3cb927c461196ee666143a8be35">
        <w:r>
          <w:rPr>
            <w:rStyle w:val="Hyperlink"/>
          </w:rPr>
          <w:t>Names</w:t>
        </w:r>
      </w:hyperlink>
      <w:r>
        <w:t xml:space="preserve"> </w:t>
      </w:r>
      <w:r>
        <w:fldChar w:fldCharType="begin"/>
      </w:r>
      <w:r>
        <w:instrText>PAGEREF section_1399f3cb927c461196ee666143a8be35</w:instrText>
      </w:r>
      <w:r>
        <w:fldChar w:fldCharType="separate"/>
      </w:r>
      <w:r>
        <w:rPr>
          <w:noProof/>
        </w:rPr>
        <w:t>397</w:t>
      </w:r>
      <w:r>
        <w:fldChar w:fldCharType="end"/>
      </w:r>
    </w:p>
    <w:p w:rsidR="005F78FC" w:rsidRDefault="00B42EF3">
      <w:pPr>
        <w:pStyle w:val="indexentry0"/>
      </w:pPr>
      <w:hyperlink w:anchor="section_4eec8366f20a41f9b8fa79d5b669c971">
        <w:r>
          <w:rPr>
            <w:rStyle w:val="Hyperlink"/>
          </w:rPr>
          <w:t>nary (n-ary Operator Object)</w:t>
        </w:r>
      </w:hyperlink>
      <w:r>
        <w:t xml:space="preserve"> </w:t>
      </w:r>
      <w:r>
        <w:fldChar w:fldCharType="begin"/>
      </w:r>
      <w:r>
        <w:instrText>PAGEREF section_4eec8366f20a41f9b8fa79d5b669c971</w:instrText>
      </w:r>
      <w:r>
        <w:fldChar w:fldCharType="separate"/>
      </w:r>
      <w:r>
        <w:rPr>
          <w:noProof/>
        </w:rPr>
        <w:t>602</w:t>
      </w:r>
      <w:r>
        <w:fldChar w:fldCharType="end"/>
      </w:r>
    </w:p>
    <w:p w:rsidR="005F78FC" w:rsidRDefault="00B42EF3">
      <w:pPr>
        <w:pStyle w:val="indexentry0"/>
      </w:pPr>
      <w:hyperlink w:anchor="section_49f4978c47a149b3916e5f5dd126a221">
        <w:r>
          <w:rPr>
            <w:rStyle w:val="Hyperlink"/>
          </w:rPr>
          <w:t>naryLim (n-ary Limit Location)</w:t>
        </w:r>
      </w:hyperlink>
      <w:r>
        <w:t xml:space="preserve"> </w:t>
      </w:r>
      <w:r>
        <w:fldChar w:fldCharType="begin"/>
      </w:r>
      <w:r>
        <w:instrText>PAGEREF section_49f4978c47a14</w:instrText>
      </w:r>
      <w:r>
        <w:instrText>9b3916e5f5dd126a221</w:instrText>
      </w:r>
      <w:r>
        <w:fldChar w:fldCharType="separate"/>
      </w:r>
      <w:r>
        <w:rPr>
          <w:noProof/>
        </w:rPr>
        <w:t>602</w:t>
      </w:r>
      <w:r>
        <w:fldChar w:fldCharType="end"/>
      </w:r>
    </w:p>
    <w:p w:rsidR="005F78FC" w:rsidRDefault="00B42EF3">
      <w:pPr>
        <w:pStyle w:val="indexentry0"/>
      </w:pPr>
      <w:hyperlink w:anchor="section_c9d4ffcff09b48b4b65e844f2281d2e0">
        <w:r>
          <w:rPr>
            <w:rStyle w:val="Hyperlink"/>
          </w:rPr>
          <w:t>nc (New Cell Data)</w:t>
        </w:r>
      </w:hyperlink>
      <w:r>
        <w:t xml:space="preserve"> </w:t>
      </w:r>
      <w:r>
        <w:fldChar w:fldCharType="begin"/>
      </w:r>
      <w:r>
        <w:instrText>PAGEREF section_c9d4ffcff09b48b4b65e844f2281d2e0</w:instrText>
      </w:r>
      <w:r>
        <w:fldChar w:fldCharType="separate"/>
      </w:r>
      <w:r>
        <w:rPr>
          <w:noProof/>
        </w:rPr>
        <w:t>372</w:t>
      </w:r>
      <w:r>
        <w:fldChar w:fldCharType="end"/>
      </w:r>
    </w:p>
    <w:p w:rsidR="005F78FC" w:rsidRDefault="00B42EF3">
      <w:pPr>
        <w:pStyle w:val="indexentry0"/>
      </w:pPr>
      <w:hyperlink w:anchor="section_7302498fd72c4dbe9bc66a0bac98cca4">
        <w:r>
          <w:rPr>
            <w:rStyle w:val="Hyperlink"/>
          </w:rPr>
          <w:t>NEGBINOMDIST</w:t>
        </w:r>
      </w:hyperlink>
      <w:r>
        <w:t xml:space="preserve"> </w:t>
      </w:r>
      <w:r>
        <w:fldChar w:fldCharType="begin"/>
      </w:r>
      <w:r>
        <w:instrText>PAGEREF section_7302498fd72c4dbe9bc66a0bac98cca4</w:instrText>
      </w:r>
      <w:r>
        <w:fldChar w:fldCharType="separate"/>
      </w:r>
      <w:r>
        <w:rPr>
          <w:noProof/>
        </w:rPr>
        <w:t>436</w:t>
      </w:r>
      <w:r>
        <w:fldChar w:fldCharType="end"/>
      </w:r>
    </w:p>
    <w:p w:rsidR="005F78FC" w:rsidRDefault="00B42EF3">
      <w:pPr>
        <w:pStyle w:val="indexentry0"/>
      </w:pPr>
      <w:hyperlink w:anchor="section_214494b323134c20bbcba4bc9768aaf7">
        <w:r>
          <w:rPr>
            <w:rStyle w:val="Hyperlink"/>
          </w:rPr>
          <w:t>NETWORKDAYS</w:t>
        </w:r>
      </w:hyperlink>
      <w:r>
        <w:t xml:space="preserve"> </w:t>
      </w:r>
      <w:r>
        <w:fldChar w:fldCharType="begin"/>
      </w:r>
      <w:r>
        <w:instrText>PAGEREF section_214494b323134c20bbcba4bc9768aaf7</w:instrText>
      </w:r>
      <w:r>
        <w:fldChar w:fldCharType="separate"/>
      </w:r>
      <w:r>
        <w:rPr>
          <w:noProof/>
        </w:rPr>
        <w:t>436</w:t>
      </w:r>
      <w:r>
        <w:fldChar w:fldCharType="end"/>
      </w:r>
    </w:p>
    <w:p w:rsidR="005F78FC" w:rsidRDefault="00B42EF3">
      <w:pPr>
        <w:pStyle w:val="indexentry0"/>
      </w:pPr>
      <w:hyperlink w:anchor="section_dd6e5f4e0b3a4d329ca1f6d5a8c1b41b">
        <w:r>
          <w:rPr>
            <w:rStyle w:val="Hyperlink"/>
          </w:rPr>
          <w:t xml:space="preserve">next (Style For </w:t>
        </w:r>
        <w:r>
          <w:rPr>
            <w:rStyle w:val="Hyperlink"/>
          </w:rPr>
          <w:t>Next Paragraph)</w:t>
        </w:r>
      </w:hyperlink>
      <w:r>
        <w:t xml:space="preserve"> </w:t>
      </w:r>
      <w:r>
        <w:fldChar w:fldCharType="begin"/>
      </w:r>
      <w:r>
        <w:instrText>PAGEREF section_dd6e5f4e0b3a4d329ca1f6d5a8c1b41b</w:instrText>
      </w:r>
      <w:r>
        <w:fldChar w:fldCharType="separate"/>
      </w:r>
      <w:r>
        <w:rPr>
          <w:noProof/>
        </w:rPr>
        <w:t>118</w:t>
      </w:r>
      <w:r>
        <w:fldChar w:fldCharType="end"/>
      </w:r>
    </w:p>
    <w:p w:rsidR="005F78FC" w:rsidRDefault="00B42EF3">
      <w:pPr>
        <w:pStyle w:val="indexentry0"/>
      </w:pPr>
      <w:hyperlink w:anchor="section_a5b47f269eb64d45acd6e7183453307a">
        <w:r>
          <w:rPr>
            <w:rStyle w:val="Hyperlink"/>
          </w:rPr>
          <w:t>nextCondLst (Next Conditions List)</w:t>
        </w:r>
      </w:hyperlink>
      <w:r>
        <w:t xml:space="preserve"> </w:t>
      </w:r>
      <w:r>
        <w:fldChar w:fldCharType="begin"/>
      </w:r>
      <w:r>
        <w:instrText>PAGEREF section_a5b47f269eb64d45acd6e7183453307a</w:instrText>
      </w:r>
      <w:r>
        <w:fldChar w:fldCharType="separate"/>
      </w:r>
      <w:r>
        <w:rPr>
          <w:noProof/>
        </w:rPr>
        <w:t>487</w:t>
      </w:r>
      <w:r>
        <w:fldChar w:fldCharType="end"/>
      </w:r>
    </w:p>
    <w:p w:rsidR="005F78FC" w:rsidRDefault="00B42EF3">
      <w:pPr>
        <w:pStyle w:val="indexentry0"/>
      </w:pPr>
      <w:hyperlink w:anchor="section_1a3c2c96a9914239a39bdcfe05dd6b7c">
        <w:r>
          <w:rPr>
            <w:rStyle w:val="Hyperlink"/>
          </w:rPr>
          <w:t>NEXTIF</w:t>
        </w:r>
      </w:hyperlink>
      <w:r>
        <w:t xml:space="preserve"> </w:t>
      </w:r>
      <w:r>
        <w:fldChar w:fldCharType="begin"/>
      </w:r>
      <w:r>
        <w:instrText>PAGEREF section_1a3c2c96a9914239a39bdcfe05dd6b7c</w:instrText>
      </w:r>
      <w:r>
        <w:fldChar w:fldCharType="separate"/>
      </w:r>
      <w:r>
        <w:rPr>
          <w:noProof/>
        </w:rPr>
        <w:t>221</w:t>
      </w:r>
      <w:r>
        <w:fldChar w:fldCharType="end"/>
      </w:r>
    </w:p>
    <w:p w:rsidR="005F78FC" w:rsidRDefault="00B42EF3">
      <w:pPr>
        <w:pStyle w:val="indexentry0"/>
      </w:pPr>
      <w:hyperlink w:anchor="section_56ab6d152c9a4d77bc6b3d8a7d98ebf3">
        <w:r>
          <w:rPr>
            <w:rStyle w:val="Hyperlink"/>
          </w:rPr>
          <w:t>noAutofit (No AutoFit)</w:t>
        </w:r>
      </w:hyperlink>
      <w:r>
        <w:t xml:space="preserve"> </w:t>
      </w:r>
      <w:r>
        <w:fldChar w:fldCharType="begin"/>
      </w:r>
      <w:r>
        <w:instrText>PAGEREF section_56ab6d152c9a4d77bc6b3d8a7d98ebf3</w:instrText>
      </w:r>
      <w:r>
        <w:fldChar w:fldCharType="separate"/>
      </w:r>
      <w:r>
        <w:rPr>
          <w:noProof/>
        </w:rPr>
        <w:t>532</w:t>
      </w:r>
      <w:r>
        <w:fldChar w:fldCharType="end"/>
      </w:r>
    </w:p>
    <w:p w:rsidR="005F78FC" w:rsidRDefault="00B42EF3">
      <w:pPr>
        <w:pStyle w:val="indexentry0"/>
      </w:pPr>
      <w:hyperlink w:anchor="section_34d6d2894a044b19ac438b261bf034e1">
        <w:r>
          <w:rPr>
            <w:rStyle w:val="Hyperlink"/>
          </w:rPr>
          <w:t>noBreak (No Break)</w:t>
        </w:r>
      </w:hyperlink>
      <w:r>
        <w:t xml:space="preserve"> </w:t>
      </w:r>
      <w:r>
        <w:fldChar w:fldCharType="begin"/>
      </w:r>
      <w:r>
        <w:instrText>PAGEREF section_34d6d2894a044b19ac438b261bf034e1</w:instrText>
      </w:r>
      <w:r>
        <w:fldChar w:fldCharType="separate"/>
      </w:r>
      <w:r>
        <w:rPr>
          <w:noProof/>
        </w:rPr>
        <w:t>602</w:t>
      </w:r>
      <w:r>
        <w:fldChar w:fldCharType="end"/>
      </w:r>
    </w:p>
    <w:p w:rsidR="005F78FC" w:rsidRDefault="00B42EF3">
      <w:pPr>
        <w:pStyle w:val="indexentry0"/>
      </w:pPr>
      <w:hyperlink w:anchor="section_b86a56c0b34c41cb905ee041eb3d021f">
        <w:r>
          <w:rPr>
            <w:rStyle w:val="Hyperlink"/>
          </w:rPr>
          <w:t>noLineBreaksAfter (Custom Set of Characters Which Cannot End a Line)</w:t>
        </w:r>
      </w:hyperlink>
      <w:r>
        <w:t xml:space="preserve"> </w:t>
      </w:r>
      <w:r>
        <w:fldChar w:fldCharType="begin"/>
      </w:r>
      <w:r>
        <w:instrText>PAGEREF section_b86a56</w:instrText>
      </w:r>
      <w:r>
        <w:instrText>c0b34c41cb905ee041eb3d021f</w:instrText>
      </w:r>
      <w:r>
        <w:fldChar w:fldCharType="separate"/>
      </w:r>
      <w:r>
        <w:rPr>
          <w:noProof/>
        </w:rPr>
        <w:t>158</w:t>
      </w:r>
      <w:r>
        <w:fldChar w:fldCharType="end"/>
      </w:r>
    </w:p>
    <w:p w:rsidR="005F78FC" w:rsidRDefault="00B42EF3">
      <w:pPr>
        <w:pStyle w:val="indexentry0"/>
      </w:pPr>
      <w:hyperlink w:anchor="section_e6744d01fb9b4f54bc2551359980589c">
        <w:r>
          <w:rPr>
            <w:rStyle w:val="Hyperlink"/>
          </w:rPr>
          <w:t>noLineBreaksBefore (Custom Set Of Characters Which Cannot Begin A Line)</w:t>
        </w:r>
      </w:hyperlink>
      <w:r>
        <w:t xml:space="preserve"> </w:t>
      </w:r>
      <w:r>
        <w:fldChar w:fldCharType="begin"/>
      </w:r>
      <w:r>
        <w:instrText>PAGEREF section_e6744d01fb9b4f54bc2551359980589c</w:instrText>
      </w:r>
      <w:r>
        <w:fldChar w:fldCharType="separate"/>
      </w:r>
      <w:r>
        <w:rPr>
          <w:noProof/>
        </w:rPr>
        <w:t>158</w:t>
      </w:r>
      <w:r>
        <w:fldChar w:fldCharType="end"/>
      </w:r>
    </w:p>
    <w:p w:rsidR="005F78FC" w:rsidRDefault="00B42EF3">
      <w:pPr>
        <w:pStyle w:val="indexentry0"/>
      </w:pPr>
      <w:hyperlink w:anchor="section_c79fa63fc83f4f3cacd9979af05ae4fd">
        <w:r>
          <w:rPr>
            <w:rStyle w:val="Hyperlink"/>
          </w:rPr>
          <w:t>noProof (Do Not Check Spelling or Grammar)</w:t>
        </w:r>
      </w:hyperlink>
      <w:r>
        <w:t xml:space="preserve"> </w:t>
      </w:r>
      <w:r>
        <w:fldChar w:fldCharType="begin"/>
      </w:r>
      <w:r>
        <w:instrText>PAGEREF section_c79fa63fc83f4f3cacd9979af05ae4fd</w:instrText>
      </w:r>
      <w:r>
        <w:fldChar w:fldCharType="separate"/>
      </w:r>
      <w:r>
        <w:rPr>
          <w:noProof/>
        </w:rPr>
        <w:t>75</w:t>
      </w:r>
      <w:r>
        <w:fldChar w:fldCharType="end"/>
      </w:r>
    </w:p>
    <w:p w:rsidR="005F78FC" w:rsidRDefault="00B42EF3">
      <w:pPr>
        <w:pStyle w:val="indexentry0"/>
      </w:pPr>
      <w:hyperlink w:anchor="section_8802f662d621416eb4562b7843c90a3b">
        <w:r>
          <w:rPr>
            <w:rStyle w:val="Hyperlink"/>
          </w:rPr>
          <w:t>noPunctuationKerning (Never Kern Punctuation Characters)</w:t>
        </w:r>
      </w:hyperlink>
      <w:r>
        <w:t xml:space="preserve"> </w:t>
      </w:r>
      <w:r>
        <w:fldChar w:fldCharType="begin"/>
      </w:r>
      <w:r>
        <w:instrText>PAGEREF section_8802f662d621416eb4562b7843c90a3b</w:instrText>
      </w:r>
      <w:r>
        <w:fldChar w:fldCharType="separate"/>
      </w:r>
      <w:r>
        <w:rPr>
          <w:noProof/>
        </w:rPr>
        <w:t>158</w:t>
      </w:r>
      <w:r>
        <w:fldChar w:fldCharType="end"/>
      </w:r>
    </w:p>
    <w:p w:rsidR="005F78FC" w:rsidRDefault="00B42EF3">
      <w:pPr>
        <w:pStyle w:val="indexentry0"/>
      </w:pPr>
      <w:hyperlink w:anchor="section_32748302650a42e1ac582c72704f2a51">
        <w:r>
          <w:rPr>
            <w:rStyle w:val="Hyperlink"/>
          </w:rPr>
          <w:t>norm (Normal)</w:t>
        </w:r>
      </w:hyperlink>
      <w:r>
        <w:t xml:space="preserve"> </w:t>
      </w:r>
      <w:r>
        <w:fldChar w:fldCharType="begin"/>
      </w:r>
      <w:r>
        <w:instrText>PAGEREF section_32748302650a42e1ac582c72704f2a51</w:instrText>
      </w:r>
      <w:r>
        <w:fldChar w:fldCharType="separate"/>
      </w:r>
      <w:r>
        <w:rPr>
          <w:noProof/>
        </w:rPr>
        <w:t>511</w:t>
      </w:r>
      <w:r>
        <w:fldChar w:fldCharType="end"/>
      </w:r>
    </w:p>
    <w:p w:rsidR="005F78FC" w:rsidRDefault="00B42EF3">
      <w:pPr>
        <w:pStyle w:val="indexentry0"/>
      </w:pPr>
      <w:hyperlink w:anchor="section_9163cc39baea4093980bafc28546324d">
        <w:r>
          <w:rPr>
            <w:rStyle w:val="Hyperlink"/>
          </w:rPr>
          <w:t>normalViewPr (</w:t>
        </w:r>
        <w:r>
          <w:rPr>
            <w:rStyle w:val="Hyperlink"/>
          </w:rPr>
          <w:t>Normal View Properties)</w:t>
        </w:r>
      </w:hyperlink>
      <w:r>
        <w:t xml:space="preserve"> </w:t>
      </w:r>
      <w:r>
        <w:fldChar w:fldCharType="begin"/>
      </w:r>
      <w:r>
        <w:instrText>PAGEREF section_9163cc39baea4093980bafc28546324d</w:instrText>
      </w:r>
      <w:r>
        <w:fldChar w:fldCharType="separate"/>
      </w:r>
      <w:r>
        <w:rPr>
          <w:noProof/>
        </w:rPr>
        <w:t>469</w:t>
      </w:r>
      <w:r>
        <w:fldChar w:fldCharType="end"/>
      </w:r>
    </w:p>
    <w:p w:rsidR="005F78FC" w:rsidRDefault="00B42EF3">
      <w:pPr>
        <w:pStyle w:val="indexentry0"/>
      </w:pPr>
      <w:hyperlink w:anchor="section_d4b9098aeabb46c4a334260d55267084">
        <w:r>
          <w:rPr>
            <w:rStyle w:val="Hyperlink"/>
          </w:rPr>
          <w:t>Normative references</w:t>
        </w:r>
      </w:hyperlink>
      <w:r>
        <w:t xml:space="preserve"> </w:t>
      </w:r>
      <w:r>
        <w:fldChar w:fldCharType="begin"/>
      </w:r>
      <w:r>
        <w:instrText>PAGEREF section_d4b9098aeabb46c4a334260d55267084</w:instrText>
      </w:r>
      <w:r>
        <w:fldChar w:fldCharType="separate"/>
      </w:r>
      <w:r>
        <w:rPr>
          <w:noProof/>
        </w:rPr>
        <w:t>44</w:t>
      </w:r>
      <w:r>
        <w:fldChar w:fldCharType="end"/>
      </w:r>
    </w:p>
    <w:p w:rsidR="005F78FC" w:rsidRDefault="00B42EF3">
      <w:pPr>
        <w:pStyle w:val="indexentry0"/>
      </w:pPr>
      <w:hyperlink w:anchor="section_d39a452875c3454288aadb874e68085c">
        <w:r>
          <w:rPr>
            <w:rStyle w:val="Hyperlink"/>
          </w:rPr>
          <w:t>normAutofit (Normal AutoFit)</w:t>
        </w:r>
      </w:hyperlink>
      <w:r>
        <w:t xml:space="preserve"> </w:t>
      </w:r>
      <w:r>
        <w:fldChar w:fldCharType="begin"/>
      </w:r>
      <w:r>
        <w:instrText>PAGEREF section_d39a452875c3454288aadb874e68085c</w:instrText>
      </w:r>
      <w:r>
        <w:fldChar w:fldCharType="separate"/>
      </w:r>
      <w:r>
        <w:rPr>
          <w:noProof/>
        </w:rPr>
        <w:t>532</w:t>
      </w:r>
      <w:r>
        <w:fldChar w:fldCharType="end"/>
      </w:r>
    </w:p>
    <w:p w:rsidR="005F78FC" w:rsidRDefault="00B42EF3">
      <w:pPr>
        <w:pStyle w:val="indexentry0"/>
      </w:pPr>
      <w:hyperlink w:anchor="section_0b65cfbebb2849b898f831a78913406f">
        <w:r>
          <w:rPr>
            <w:rStyle w:val="Hyperlink"/>
          </w:rPr>
          <w:t>NORMINV</w:t>
        </w:r>
      </w:hyperlink>
      <w:r>
        <w:t xml:space="preserve"> </w:t>
      </w:r>
      <w:r>
        <w:fldChar w:fldCharType="begin"/>
      </w:r>
      <w:r>
        <w:instrText>PAGEREF section_0b65cfbebb2849b898f831a78913406f</w:instrText>
      </w:r>
      <w:r>
        <w:fldChar w:fldCharType="separate"/>
      </w:r>
      <w:r>
        <w:rPr>
          <w:noProof/>
        </w:rPr>
        <w:t>436</w:t>
      </w:r>
      <w:r>
        <w:fldChar w:fldCharType="end"/>
      </w:r>
    </w:p>
    <w:p w:rsidR="005F78FC" w:rsidRDefault="00B42EF3">
      <w:pPr>
        <w:pStyle w:val="indexentry0"/>
      </w:pPr>
      <w:hyperlink w:anchor="section_7af45ac4859542ccb71393fe1446217d">
        <w:r>
          <w:rPr>
            <w:rStyle w:val="Hyperlink"/>
          </w:rPr>
          <w:t>NORMSDIST</w:t>
        </w:r>
      </w:hyperlink>
      <w:r>
        <w:t xml:space="preserve"> </w:t>
      </w:r>
      <w:r>
        <w:fldChar w:fldCharType="begin"/>
      </w:r>
      <w:r>
        <w:instrText>PAGEREF section_7af45ac4859542ccb71393fe1446217d</w:instrText>
      </w:r>
      <w:r>
        <w:fldChar w:fldCharType="separate"/>
      </w:r>
      <w:r>
        <w:rPr>
          <w:noProof/>
        </w:rPr>
        <w:t>437</w:t>
      </w:r>
      <w:r>
        <w:fldChar w:fldCharType="end"/>
      </w:r>
    </w:p>
    <w:p w:rsidR="005F78FC" w:rsidRDefault="00B42EF3">
      <w:pPr>
        <w:pStyle w:val="indexentry0"/>
      </w:pPr>
      <w:hyperlink w:anchor="section_22c8b401b1dc4d3d936df76298dd2c0d">
        <w:r>
          <w:rPr>
            <w:rStyle w:val="Hyperlink"/>
          </w:rPr>
          <w:t>NORMSINV</w:t>
        </w:r>
      </w:hyperlink>
      <w:r>
        <w:t xml:space="preserve"> </w:t>
      </w:r>
      <w:r>
        <w:fldChar w:fldCharType="begin"/>
      </w:r>
      <w:r>
        <w:instrText>PAGEREF section_22c8b401b1dc4d3d936df76298dd2c0d</w:instrText>
      </w:r>
      <w:r>
        <w:fldChar w:fldCharType="separate"/>
      </w:r>
      <w:r>
        <w:rPr>
          <w:noProof/>
        </w:rPr>
        <w:t>437</w:t>
      </w:r>
      <w:r>
        <w:fldChar w:fldCharType="end"/>
      </w:r>
    </w:p>
    <w:p w:rsidR="005F78FC" w:rsidRDefault="00B42EF3">
      <w:pPr>
        <w:pStyle w:val="indexentry0"/>
      </w:pPr>
      <w:hyperlink w:anchor="section_13f129e31cac476787c074c302db67fa">
        <w:r>
          <w:rPr>
            <w:rStyle w:val="Hyperlink"/>
          </w:rPr>
          <w:t>NOTEREF</w:t>
        </w:r>
      </w:hyperlink>
      <w:r>
        <w:t xml:space="preserve"> </w:t>
      </w:r>
      <w:r>
        <w:fldChar w:fldCharType="begin"/>
      </w:r>
      <w:r>
        <w:instrText>PAGEREF section_13f129e31cac476787c074c302db67fa</w:instrText>
      </w:r>
      <w:r>
        <w:fldChar w:fldCharType="separate"/>
      </w:r>
      <w:r>
        <w:rPr>
          <w:noProof/>
        </w:rPr>
        <w:t>221</w:t>
      </w:r>
      <w:r>
        <w:fldChar w:fldCharType="end"/>
      </w:r>
    </w:p>
    <w:p w:rsidR="005F78FC" w:rsidRDefault="00B42EF3">
      <w:pPr>
        <w:pStyle w:val="indexentry0"/>
      </w:pPr>
      <w:hyperlink w:anchor="section_7722a188d62f4451921616b75f29d22f">
        <w:r>
          <w:rPr>
            <w:rStyle w:val="Hyperlink"/>
          </w:rPr>
          <w:t>Notes Master Part</w:t>
        </w:r>
      </w:hyperlink>
      <w:r>
        <w:t xml:space="preserve"> </w:t>
      </w:r>
      <w:r>
        <w:fldChar w:fldCharType="begin"/>
      </w:r>
      <w:r>
        <w:instrText>PAGEREF section_7722a188d62f4451921616b75f29d22f</w:instrText>
      </w:r>
      <w:r>
        <w:fldChar w:fldCharType="separate"/>
      </w:r>
      <w:r>
        <w:rPr>
          <w:noProof/>
        </w:rPr>
        <w:t>53</w:t>
      </w:r>
      <w:r>
        <w:fldChar w:fldCharType="end"/>
      </w:r>
    </w:p>
    <w:p w:rsidR="005F78FC" w:rsidRDefault="00B42EF3">
      <w:pPr>
        <w:pStyle w:val="indexentry0"/>
      </w:pPr>
      <w:hyperlink w:anchor="section_4241f073467b4245a44f947b96e88325">
        <w:r>
          <w:rPr>
            <w:rStyle w:val="Hyperlink"/>
          </w:rPr>
          <w:t>Notes Slide Part</w:t>
        </w:r>
      </w:hyperlink>
      <w:r>
        <w:t xml:space="preserve"> </w:t>
      </w:r>
      <w:r>
        <w:fldChar w:fldCharType="begin"/>
      </w:r>
      <w:r>
        <w:instrText>PAGEREF section_4241f073467b4245a44f947b96e88325</w:instrText>
      </w:r>
      <w:r>
        <w:fldChar w:fldCharType="separate"/>
      </w:r>
      <w:r>
        <w:rPr>
          <w:noProof/>
        </w:rPr>
        <w:t>54</w:t>
      </w:r>
      <w:r>
        <w:fldChar w:fldCharType="end"/>
      </w:r>
    </w:p>
    <w:p w:rsidR="005F78FC" w:rsidRDefault="00B42EF3">
      <w:pPr>
        <w:pStyle w:val="indexentry0"/>
      </w:pPr>
      <w:hyperlink w:anchor="section_8951fadae9e043209013222984368104">
        <w:r>
          <w:rPr>
            <w:rStyle w:val="Hyperlink"/>
          </w:rPr>
          <w:t>notesMaster (Notes Master)</w:t>
        </w:r>
      </w:hyperlink>
      <w:r>
        <w:t xml:space="preserve"> </w:t>
      </w:r>
      <w:r>
        <w:fldChar w:fldCharType="begin"/>
      </w:r>
      <w:r>
        <w:instrText>PAGEREF section_8951fadae9e043209013222984368104</w:instrText>
      </w:r>
      <w:r>
        <w:fldChar w:fldCharType="separate"/>
      </w:r>
      <w:r>
        <w:rPr>
          <w:noProof/>
        </w:rPr>
        <w:t>471</w:t>
      </w:r>
      <w:r>
        <w:fldChar w:fldCharType="end"/>
      </w:r>
    </w:p>
    <w:p w:rsidR="005F78FC" w:rsidRDefault="00B42EF3">
      <w:pPr>
        <w:pStyle w:val="indexentry0"/>
      </w:pPr>
      <w:hyperlink w:anchor="section_714b0f8f82e346b0a46d91c29471c19e">
        <w:r>
          <w:rPr>
            <w:rStyle w:val="Hyperlink"/>
          </w:rPr>
          <w:t>notesStyle (Notes Text Style)</w:t>
        </w:r>
      </w:hyperlink>
      <w:r>
        <w:t xml:space="preserve"> </w:t>
      </w:r>
      <w:r>
        <w:fldChar w:fldCharType="begin"/>
      </w:r>
      <w:r>
        <w:instrText>PAGEREF section_714b0f8f82e346b0a46d91c29471c19e</w:instrText>
      </w:r>
      <w:r>
        <w:fldChar w:fldCharType="separate"/>
      </w:r>
      <w:r>
        <w:rPr>
          <w:noProof/>
        </w:rPr>
        <w:t>471</w:t>
      </w:r>
      <w:r>
        <w:fldChar w:fldCharType="end"/>
      </w:r>
    </w:p>
    <w:p w:rsidR="005F78FC" w:rsidRDefault="00B42EF3">
      <w:pPr>
        <w:pStyle w:val="indexentry0"/>
      </w:pPr>
      <w:hyperlink w:anchor="section_9fa0cdca54df40ccb4b49952bca09eb5">
        <w:r>
          <w:rPr>
            <w:rStyle w:val="Hyperlink"/>
          </w:rPr>
          <w:t>notesSz (Notes Slide Size)</w:t>
        </w:r>
      </w:hyperlink>
      <w:r>
        <w:t xml:space="preserve"> </w:t>
      </w:r>
      <w:r>
        <w:fldChar w:fldCharType="begin"/>
      </w:r>
      <w:r>
        <w:instrText>PAGEREF section_9fa0cdca54df40ccb4b49952bca09eb5</w:instrText>
      </w:r>
      <w:r>
        <w:fldChar w:fldCharType="separate"/>
      </w:r>
      <w:r>
        <w:rPr>
          <w:noProof/>
        </w:rPr>
        <w:t>466</w:t>
      </w:r>
      <w:r>
        <w:fldChar w:fldCharType="end"/>
      </w:r>
    </w:p>
    <w:p w:rsidR="005F78FC" w:rsidRDefault="00B42EF3">
      <w:pPr>
        <w:pStyle w:val="indexentry0"/>
      </w:pPr>
      <w:hyperlink w:anchor="section_d4169e9a85cc4cb98354faf0f1551b0c">
        <w:r>
          <w:rPr>
            <w:rStyle w:val="Hyperlink"/>
          </w:rPr>
          <w:t>NoThreeD (Disable 3D)</w:t>
        </w:r>
      </w:hyperlink>
      <w:r>
        <w:t xml:space="preserve"> </w:t>
      </w:r>
      <w:r>
        <w:fldChar w:fldCharType="begin"/>
      </w:r>
      <w:r>
        <w:instrText>PAGEREF section_d4169e9a85cc4cb98354faf0f1551b0c</w:instrText>
      </w:r>
      <w:r>
        <w:fldChar w:fldCharType="separate"/>
      </w:r>
      <w:r>
        <w:rPr>
          <w:noProof/>
        </w:rPr>
        <w:t>682</w:t>
      </w:r>
      <w:r>
        <w:fldChar w:fldCharType="end"/>
      </w:r>
    </w:p>
    <w:p w:rsidR="005F78FC" w:rsidRDefault="00B42EF3">
      <w:pPr>
        <w:pStyle w:val="indexentry0"/>
      </w:pPr>
      <w:hyperlink w:anchor="section_1edea166fbb741cf8d573fb2d2979a6e">
        <w:r>
          <w:rPr>
            <w:rStyle w:val="Hyperlink"/>
          </w:rPr>
          <w:t>notTrueType (Raster or Vector Font)</w:t>
        </w:r>
      </w:hyperlink>
      <w:r>
        <w:t xml:space="preserve"> </w:t>
      </w:r>
      <w:r>
        <w:fldChar w:fldCharType="begin"/>
      </w:r>
      <w:r>
        <w:instrText>PAGEREF section_1edea166fbb741cf8d573fb2d2979a6e</w:instrText>
      </w:r>
      <w:r>
        <w:fldChar w:fldCharType="separate"/>
      </w:r>
      <w:r>
        <w:rPr>
          <w:noProof/>
        </w:rPr>
        <w:t>125</w:t>
      </w:r>
      <w:r>
        <w:fldChar w:fldCharType="end"/>
      </w:r>
    </w:p>
    <w:p w:rsidR="005F78FC" w:rsidRDefault="00B42EF3">
      <w:pPr>
        <w:pStyle w:val="indexentry0"/>
      </w:pPr>
      <w:hyperlink w:anchor="section_822f4b9fbb6749abb48bdf59acf1a21f">
        <w:r>
          <w:rPr>
            <w:rStyle w:val="Hyperlink"/>
          </w:rPr>
          <w:t>NPER</w:t>
        </w:r>
      </w:hyperlink>
      <w:r>
        <w:t xml:space="preserve"> </w:t>
      </w:r>
      <w:r>
        <w:fldChar w:fldCharType="begin"/>
      </w:r>
      <w:r>
        <w:instrText>PAGEREF section_822f4b9fbb6749abb48bdf59acf1a21f</w:instrText>
      </w:r>
      <w:r>
        <w:fldChar w:fldCharType="separate"/>
      </w:r>
      <w:r>
        <w:rPr>
          <w:noProof/>
        </w:rPr>
        <w:t>437</w:t>
      </w:r>
      <w:r>
        <w:fldChar w:fldCharType="end"/>
      </w:r>
    </w:p>
    <w:p w:rsidR="005F78FC" w:rsidRDefault="00B42EF3">
      <w:pPr>
        <w:pStyle w:val="indexentry0"/>
      </w:pPr>
      <w:hyperlink w:anchor="section_989b9d25033d4717b74760218531c618">
        <w:r>
          <w:rPr>
            <w:rStyle w:val="Hyperlink"/>
          </w:rPr>
          <w:t>NPV</w:t>
        </w:r>
      </w:hyperlink>
      <w:r>
        <w:t xml:space="preserve"> </w:t>
      </w:r>
      <w:r>
        <w:fldChar w:fldCharType="begin"/>
      </w:r>
      <w:r>
        <w:instrText>PAGEREF section_989b9d25033d4717b74760218531c618</w:instrText>
      </w:r>
      <w:r>
        <w:fldChar w:fldCharType="separate"/>
      </w:r>
      <w:r>
        <w:rPr>
          <w:noProof/>
        </w:rPr>
        <w:t>437</w:t>
      </w:r>
      <w:r>
        <w:fldChar w:fldCharType="end"/>
      </w:r>
    </w:p>
    <w:p w:rsidR="005F78FC" w:rsidRDefault="00B42EF3">
      <w:pPr>
        <w:pStyle w:val="indexentry0"/>
      </w:pPr>
      <w:hyperlink w:anchor="section_f9791871899f4d5e8b7004333779d5a6">
        <w:r>
          <w:rPr>
            <w:rStyle w:val="Hyperlink"/>
          </w:rPr>
          <w:t>null (Null)</w:t>
        </w:r>
      </w:hyperlink>
      <w:r>
        <w:t xml:space="preserve"> </w:t>
      </w:r>
      <w:r>
        <w:fldChar w:fldCharType="begin"/>
      </w:r>
      <w:r>
        <w:instrText>PAGEREF section_f9791871899f4d5e8b7004333779d5a6</w:instrText>
      </w:r>
      <w:r>
        <w:fldChar w:fldCharType="separate"/>
      </w:r>
      <w:r>
        <w:rPr>
          <w:noProof/>
        </w:rPr>
        <w:t>614</w:t>
      </w:r>
      <w:r>
        <w:fldChar w:fldCharType="end"/>
      </w:r>
    </w:p>
    <w:p w:rsidR="005F78FC" w:rsidRDefault="00B42EF3">
      <w:pPr>
        <w:pStyle w:val="indexentry0"/>
      </w:pPr>
      <w:hyperlink w:anchor="section_c70e89b2bfc44e608dbc3371635ebec7">
        <w:r>
          <w:rPr>
            <w:rStyle w:val="Hyperlink"/>
          </w:rPr>
          <w:t>num (Numbering Definition Instance)</w:t>
        </w:r>
      </w:hyperlink>
      <w:r>
        <w:t xml:space="preserve"> </w:t>
      </w:r>
      <w:r>
        <w:fldChar w:fldCharType="begin"/>
      </w:r>
      <w:r>
        <w:instrText>PAGEREF section_c70e89b2bfc44e608dbc3371635ebec7</w:instrText>
      </w:r>
      <w:r>
        <w:fldChar w:fldCharType="separate"/>
      </w:r>
      <w:r>
        <w:rPr>
          <w:noProof/>
        </w:rPr>
        <w:t>128</w:t>
      </w:r>
      <w:r>
        <w:fldChar w:fldCharType="end"/>
      </w:r>
    </w:p>
    <w:p w:rsidR="005F78FC" w:rsidRDefault="00B42EF3">
      <w:pPr>
        <w:pStyle w:val="indexentry0"/>
      </w:pPr>
      <w:hyperlink w:anchor="section_8408084a607344fda563d45afe2b0430">
        <w:r>
          <w:rPr>
            <w:rStyle w:val="Hyperlink"/>
          </w:rPr>
          <w:t>num (Numerator)</w:t>
        </w:r>
      </w:hyperlink>
      <w:r>
        <w:t xml:space="preserve"> </w:t>
      </w:r>
      <w:r>
        <w:fldChar w:fldCharType="begin"/>
      </w:r>
      <w:r>
        <w:instrText>PAGEREF section_8408084a607344fda563d45afe2b0430</w:instrText>
      </w:r>
      <w:r>
        <w:fldChar w:fldCharType="separate"/>
      </w:r>
      <w:r>
        <w:rPr>
          <w:noProof/>
        </w:rPr>
        <w:t>602</w:t>
      </w:r>
      <w:r>
        <w:fldChar w:fldCharType="end"/>
      </w:r>
    </w:p>
    <w:p w:rsidR="005F78FC" w:rsidRDefault="00B42EF3">
      <w:pPr>
        <w:pStyle w:val="indexentry0"/>
      </w:pPr>
      <w:hyperlink w:anchor="section_15555914707f4b1f9d0c38c05eb20139">
        <w:r>
          <w:rPr>
            <w:rStyle w:val="Hyperlink"/>
          </w:rPr>
          <w:t>numberingChange (Previous Numbering Field Properties)</w:t>
        </w:r>
      </w:hyperlink>
      <w:r>
        <w:t xml:space="preserve"> </w:t>
      </w:r>
      <w:r>
        <w:fldChar w:fldCharType="begin"/>
      </w:r>
      <w:r>
        <w:instrText>PAGEREF section_15555914707f4b1f9d0c38c05eb20139</w:instrText>
      </w:r>
      <w:r>
        <w:fldChar w:fldCharType="separate"/>
      </w:r>
      <w:r>
        <w:rPr>
          <w:noProof/>
        </w:rPr>
        <w:t>628</w:t>
      </w:r>
      <w:r>
        <w:fldChar w:fldCharType="end"/>
      </w:r>
    </w:p>
    <w:p w:rsidR="005F78FC" w:rsidRDefault="00B42EF3">
      <w:pPr>
        <w:pStyle w:val="indexentry0"/>
      </w:pPr>
      <w:hyperlink w:anchor="section_c87674b0833c4019a21d9f99dac53178">
        <w:r>
          <w:rPr>
            <w:rStyle w:val="Hyperlink"/>
          </w:rPr>
          <w:t xml:space="preserve">numberingChange (Previous </w:t>
        </w:r>
        <w:r>
          <w:rPr>
            <w:rStyle w:val="Hyperlink"/>
          </w:rPr>
          <w:t>Paragraph Numbering Properties)</w:t>
        </w:r>
      </w:hyperlink>
      <w:r>
        <w:t xml:space="preserve"> </w:t>
      </w:r>
      <w:r>
        <w:fldChar w:fldCharType="begin"/>
      </w:r>
      <w:r>
        <w:instrText>PAGEREF section_c87674b0833c4019a21d9f99dac53178</w:instrText>
      </w:r>
      <w:r>
        <w:fldChar w:fldCharType="separate"/>
      </w:r>
      <w:r>
        <w:rPr>
          <w:noProof/>
        </w:rPr>
        <w:t>628</w:t>
      </w:r>
      <w:r>
        <w:fldChar w:fldCharType="end"/>
      </w:r>
    </w:p>
    <w:p w:rsidR="005F78FC" w:rsidRDefault="00B42EF3">
      <w:pPr>
        <w:pStyle w:val="indexentry0"/>
      </w:pPr>
      <w:hyperlink w:anchor="section_a910e9f7f95f49adad2368ea9a7922cd">
        <w:r>
          <w:rPr>
            <w:rStyle w:val="Hyperlink"/>
          </w:rPr>
          <w:t>numFmt (Endnote Numbering Format)</w:t>
        </w:r>
      </w:hyperlink>
      <w:r>
        <w:t xml:space="preserve"> </w:t>
      </w:r>
      <w:r>
        <w:fldChar w:fldCharType="begin"/>
      </w:r>
      <w:r>
        <w:instrText>PAGEREF section_a910e9f7f95f49adad2368ea9a7922cd</w:instrText>
      </w:r>
      <w:r>
        <w:fldChar w:fldCharType="separate"/>
      </w:r>
      <w:r>
        <w:rPr>
          <w:noProof/>
        </w:rPr>
        <w:t>132</w:t>
      </w:r>
      <w:r>
        <w:fldChar w:fldCharType="end"/>
      </w:r>
    </w:p>
    <w:p w:rsidR="005F78FC" w:rsidRDefault="00B42EF3">
      <w:pPr>
        <w:pStyle w:val="indexentry0"/>
      </w:pPr>
      <w:hyperlink w:anchor="section_5101925a4b134c999081b00a1eb63ac4">
        <w:r>
          <w:rPr>
            <w:rStyle w:val="Hyperlink"/>
          </w:rPr>
          <w:t>numFmt (Footnote Numbering Format)</w:t>
        </w:r>
      </w:hyperlink>
      <w:r>
        <w:t xml:space="preserve"> </w:t>
      </w:r>
      <w:r>
        <w:fldChar w:fldCharType="begin"/>
      </w:r>
      <w:r>
        <w:instrText>PAGEREF section_5101925a4b134c999081b00a1eb63ac4</w:instrText>
      </w:r>
      <w:r>
        <w:fldChar w:fldCharType="separate"/>
      </w:r>
      <w:r>
        <w:rPr>
          <w:noProof/>
        </w:rPr>
        <w:t>132</w:t>
      </w:r>
      <w:r>
        <w:fldChar w:fldCharType="end"/>
      </w:r>
    </w:p>
    <w:p w:rsidR="005F78FC" w:rsidRDefault="00B42EF3">
      <w:pPr>
        <w:pStyle w:val="indexentry0"/>
      </w:pPr>
      <w:r>
        <w:t>numFmt (Number Format) (</w:t>
      </w:r>
      <w:hyperlink w:anchor="section_17d11129219b4e2c88db45844d21e528">
        <w:r>
          <w:rPr>
            <w:rStyle w:val="Hyperlink"/>
          </w:rPr>
          <w:t>section 2.1.711</w:t>
        </w:r>
      </w:hyperlink>
      <w:r>
        <w:t xml:space="preserve"> </w:t>
      </w:r>
      <w:r>
        <w:fldChar w:fldCharType="begin"/>
      </w:r>
      <w:r>
        <w:instrText>PAGEREF section_17d11129</w:instrText>
      </w:r>
      <w:r>
        <w:instrText>219b4e2c88db45844d21e528</w:instrText>
      </w:r>
      <w:r>
        <w:fldChar w:fldCharType="separate"/>
      </w:r>
      <w:r>
        <w:rPr>
          <w:noProof/>
        </w:rPr>
        <w:t>303</w:t>
      </w:r>
      <w:r>
        <w:fldChar w:fldCharType="end"/>
      </w:r>
      <w:r>
        <w:t xml:space="preserve">, </w:t>
      </w:r>
      <w:hyperlink w:anchor="section_0539ffcc9bd2430daea017400f7f532f">
        <w:r>
          <w:rPr>
            <w:rStyle w:val="Hyperlink"/>
          </w:rPr>
          <w:t>section 2.1.1499</w:t>
        </w:r>
      </w:hyperlink>
      <w:r>
        <w:t xml:space="preserve"> </w:t>
      </w:r>
      <w:r>
        <w:fldChar w:fldCharType="begin"/>
      </w:r>
      <w:r>
        <w:instrText>PAGEREF section_0539ffcc9bd2430daea017400f7f532f</w:instrText>
      </w:r>
      <w:r>
        <w:fldChar w:fldCharType="separate"/>
      </w:r>
      <w:r>
        <w:rPr>
          <w:noProof/>
        </w:rPr>
        <w:t>560</w:t>
      </w:r>
      <w:r>
        <w:fldChar w:fldCharType="end"/>
      </w:r>
      <w:r>
        <w:t>)</w:t>
      </w:r>
    </w:p>
    <w:p w:rsidR="005F78FC" w:rsidRDefault="00B42EF3">
      <w:pPr>
        <w:pStyle w:val="indexentry0"/>
      </w:pPr>
      <w:hyperlink w:anchor="section_9f8357d1a09944a3bc1888b33bae4eab">
        <w:r>
          <w:rPr>
            <w:rStyle w:val="Hyperlink"/>
          </w:rPr>
          <w:t>numFmt (Numbering Format)</w:t>
        </w:r>
      </w:hyperlink>
      <w:r>
        <w:t xml:space="preserve"> </w:t>
      </w:r>
      <w:r>
        <w:fldChar w:fldCharType="begin"/>
      </w:r>
      <w:r>
        <w:instrText>PAGER</w:instrText>
      </w:r>
      <w:r>
        <w:instrText>EF section_9f8357d1a09944a3bc1888b33bae4eab</w:instrText>
      </w:r>
      <w:r>
        <w:fldChar w:fldCharType="separate"/>
      </w:r>
      <w:r>
        <w:rPr>
          <w:noProof/>
        </w:rPr>
        <w:t>128</w:t>
      </w:r>
      <w:r>
        <w:fldChar w:fldCharType="end"/>
      </w:r>
    </w:p>
    <w:p w:rsidR="005F78FC" w:rsidRDefault="00B42EF3">
      <w:pPr>
        <w:pStyle w:val="indexentry0"/>
      </w:pPr>
      <w:hyperlink w:anchor="section_c6046ec6f96d460998e40dd549292955">
        <w:r>
          <w:rPr>
            <w:rStyle w:val="Hyperlink"/>
          </w:rPr>
          <w:t>numFmts (Number Formats)</w:t>
        </w:r>
      </w:hyperlink>
      <w:r>
        <w:t xml:space="preserve"> </w:t>
      </w:r>
      <w:r>
        <w:fldChar w:fldCharType="begin"/>
      </w:r>
      <w:r>
        <w:instrText>PAGEREF section_c6046ec6f96d460998e40dd549292955</w:instrText>
      </w:r>
      <w:r>
        <w:fldChar w:fldCharType="separate"/>
      </w:r>
      <w:r>
        <w:rPr>
          <w:noProof/>
        </w:rPr>
        <w:t>313</w:t>
      </w:r>
      <w:r>
        <w:fldChar w:fldCharType="end"/>
      </w:r>
    </w:p>
    <w:p w:rsidR="005F78FC" w:rsidRDefault="00B42EF3">
      <w:pPr>
        <w:pStyle w:val="indexentry0"/>
      </w:pPr>
      <w:hyperlink w:anchor="section_d131c48e4fc941bfa6c720823510d636">
        <w:r>
          <w:rPr>
            <w:rStyle w:val="Hyperlink"/>
          </w:rPr>
          <w:t>numId (N</w:t>
        </w:r>
        <w:r>
          <w:rPr>
            <w:rStyle w:val="Hyperlink"/>
          </w:rPr>
          <w:t>umbering Definition Instance Reference)</w:t>
        </w:r>
      </w:hyperlink>
      <w:r>
        <w:t xml:space="preserve"> </w:t>
      </w:r>
      <w:r>
        <w:fldChar w:fldCharType="begin"/>
      </w:r>
      <w:r>
        <w:instrText>PAGEREF section_d131c48e4fc941bfa6c720823510d636</w:instrText>
      </w:r>
      <w:r>
        <w:fldChar w:fldCharType="separate"/>
      </w:r>
      <w:r>
        <w:rPr>
          <w:noProof/>
        </w:rPr>
        <w:t>128</w:t>
      </w:r>
      <w:r>
        <w:fldChar w:fldCharType="end"/>
      </w:r>
    </w:p>
    <w:p w:rsidR="005F78FC" w:rsidRDefault="00B42EF3">
      <w:pPr>
        <w:pStyle w:val="indexentry0"/>
      </w:pPr>
      <w:hyperlink w:anchor="section_6a8f14ffdf9041549bc9e0e88ae5e641">
        <w:r>
          <w:rPr>
            <w:rStyle w:val="Hyperlink"/>
          </w:rPr>
          <w:t>numPr (Numbering Definition Instance Reference)</w:t>
        </w:r>
      </w:hyperlink>
      <w:r>
        <w:t xml:space="preserve"> </w:t>
      </w:r>
      <w:r>
        <w:fldChar w:fldCharType="begin"/>
      </w:r>
      <w:r>
        <w:instrText>PAGEREF section_6a8f14ffdf9041549bc9e0e88ae5e641</w:instrText>
      </w:r>
      <w:r>
        <w:fldChar w:fldCharType="separate"/>
      </w:r>
      <w:r>
        <w:rPr>
          <w:noProof/>
        </w:rPr>
        <w:t>68</w:t>
      </w:r>
      <w:r>
        <w:fldChar w:fldCharType="end"/>
      </w:r>
    </w:p>
    <w:p w:rsidR="005F78FC" w:rsidRDefault="00B42EF3">
      <w:pPr>
        <w:pStyle w:val="indexentry0"/>
      </w:pPr>
      <w:hyperlink w:anchor="section_3d4f2605895d43f79d2ae695b1062787">
        <w:r>
          <w:rPr>
            <w:rStyle w:val="Hyperlink"/>
          </w:rPr>
          <w:t>numStart (Footnote and Endnote Numbering Starting Value)</w:t>
        </w:r>
      </w:hyperlink>
      <w:r>
        <w:t xml:space="preserve"> </w:t>
      </w:r>
      <w:r>
        <w:fldChar w:fldCharType="begin"/>
      </w:r>
      <w:r>
        <w:instrText>PAGEREF section_3d4f2605895d43f79d2ae695b1062787</w:instrText>
      </w:r>
      <w:r>
        <w:fldChar w:fldCharType="separate"/>
      </w:r>
      <w:r>
        <w:rPr>
          <w:noProof/>
        </w:rPr>
        <w:t>132</w:t>
      </w:r>
      <w:r>
        <w:fldChar w:fldCharType="end"/>
      </w:r>
    </w:p>
    <w:p w:rsidR="005F78FC" w:rsidRDefault="00B42EF3">
      <w:pPr>
        <w:pStyle w:val="indexentry0"/>
      </w:pPr>
      <w:hyperlink w:anchor="section_1e273b9e816940a691aaf9ebd083e0b8">
        <w:r>
          <w:rPr>
            <w:rStyle w:val="Hyperlink"/>
          </w:rPr>
          <w:t>numStyleLink (Numbering Style Reference)</w:t>
        </w:r>
      </w:hyperlink>
      <w:r>
        <w:t xml:space="preserve"> </w:t>
      </w:r>
      <w:r>
        <w:fldChar w:fldCharType="begin"/>
      </w:r>
      <w:r>
        <w:instrText>PAGEREF section_1e273b9e816940a691aaf9ebd083e0b8</w:instrText>
      </w:r>
      <w:r>
        <w:fldChar w:fldCharType="separate"/>
      </w:r>
      <w:r>
        <w:rPr>
          <w:noProof/>
        </w:rPr>
        <w:t>128</w:t>
      </w:r>
      <w:r>
        <w:fldChar w:fldCharType="end"/>
      </w:r>
    </w:p>
    <w:p w:rsidR="005F78FC" w:rsidRDefault="00B42EF3">
      <w:pPr>
        <w:pStyle w:val="indexentry0"/>
      </w:pPr>
      <w:hyperlink w:anchor="section_df435a6d5e4b4d95b0e273276d70cc5b">
        <w:r>
          <w:rPr>
            <w:rStyle w:val="Hyperlink"/>
          </w:rPr>
          <w:t>nvPr (Non-Visual Properties)</w:t>
        </w:r>
      </w:hyperlink>
      <w:r>
        <w:t xml:space="preserve"> </w:t>
      </w:r>
      <w:r>
        <w:fldChar w:fldCharType="begin"/>
      </w:r>
      <w:r>
        <w:instrText>PAGEREF section_df435a6d5e4b4d95b0e273276d70cc5b</w:instrText>
      </w:r>
      <w:r>
        <w:fldChar w:fldCharType="separate"/>
      </w:r>
      <w:r>
        <w:rPr>
          <w:noProof/>
        </w:rPr>
        <w:t>471</w:t>
      </w:r>
      <w:r>
        <w:fldChar w:fldCharType="end"/>
      </w:r>
    </w:p>
    <w:p w:rsidR="005F78FC" w:rsidRDefault="005F78FC">
      <w:pPr>
        <w:spacing w:before="0" w:after="0"/>
        <w:rPr>
          <w:sz w:val="16"/>
        </w:rPr>
      </w:pPr>
    </w:p>
    <w:p w:rsidR="005F78FC" w:rsidRDefault="00B42EF3">
      <w:pPr>
        <w:pStyle w:val="indexheader"/>
      </w:pPr>
      <w:r>
        <w:t>O</w:t>
      </w:r>
    </w:p>
    <w:p w:rsidR="005F78FC" w:rsidRDefault="005F78FC">
      <w:pPr>
        <w:spacing w:before="0" w:after="0"/>
        <w:rPr>
          <w:sz w:val="16"/>
        </w:rPr>
      </w:pPr>
    </w:p>
    <w:p w:rsidR="005F78FC" w:rsidRDefault="00B42EF3">
      <w:pPr>
        <w:pStyle w:val="indexentry0"/>
      </w:pPr>
      <w:hyperlink w:anchor="section_cc2cef5ce8074c91bfe6f6004a01e935">
        <w:r>
          <w:rPr>
            <w:rStyle w:val="Hyperlink"/>
          </w:rPr>
          <w:t>objDist (Object Distribution)</w:t>
        </w:r>
      </w:hyperlink>
      <w:r>
        <w:t xml:space="preserve"> </w:t>
      </w:r>
      <w:r>
        <w:fldChar w:fldCharType="begin"/>
      </w:r>
      <w:r>
        <w:instrText>PAGEREF section_cc2cef5ce8074c91bfe6f6004a01e935</w:instrText>
      </w:r>
      <w:r>
        <w:fldChar w:fldCharType="separate"/>
      </w:r>
      <w:r>
        <w:rPr>
          <w:noProof/>
        </w:rPr>
        <w:t>602</w:t>
      </w:r>
      <w:r>
        <w:fldChar w:fldCharType="end"/>
      </w:r>
    </w:p>
    <w:p w:rsidR="005F78FC" w:rsidRDefault="00B42EF3">
      <w:pPr>
        <w:pStyle w:val="indexentry0"/>
      </w:pPr>
      <w:hyperlink w:anchor="section_a30a56e7e4d24c1a808f318292fbb4a4">
        <w:r>
          <w:rPr>
            <w:rStyle w:val="Hyperlink"/>
          </w:rPr>
          <w:t>object (Embedded Object)</w:t>
        </w:r>
      </w:hyperlink>
      <w:r>
        <w:t xml:space="preserve"> </w:t>
      </w:r>
      <w:r>
        <w:fldChar w:fldCharType="begin"/>
      </w:r>
      <w:r>
        <w:instrText>PAGEREF section_a30a56e</w:instrText>
      </w:r>
      <w:r>
        <w:instrText>7e4d24c1a808f318292fbb4a4</w:instrText>
      </w:r>
      <w:r>
        <w:fldChar w:fldCharType="separate"/>
      </w:r>
      <w:r>
        <w:rPr>
          <w:noProof/>
        </w:rPr>
        <w:t>83</w:t>
      </w:r>
      <w:r>
        <w:fldChar w:fldCharType="end"/>
      </w:r>
    </w:p>
    <w:p w:rsidR="005F78FC" w:rsidRDefault="00B42EF3">
      <w:pPr>
        <w:pStyle w:val="indexentry0"/>
      </w:pPr>
      <w:hyperlink w:anchor="section_80584e929ba74ac4a2e6babf3221caf4">
        <w:r>
          <w:rPr>
            <w:rStyle w:val="Hyperlink"/>
          </w:rPr>
          <w:t>objectEmbed (Embedded Object Properties)</w:t>
        </w:r>
      </w:hyperlink>
      <w:r>
        <w:t xml:space="preserve"> </w:t>
      </w:r>
      <w:r>
        <w:fldChar w:fldCharType="begin"/>
      </w:r>
      <w:r>
        <w:instrText>PAGEREF section_80584e929ba74ac4a2e6babf3221caf4</w:instrText>
      </w:r>
      <w:r>
        <w:fldChar w:fldCharType="separate"/>
      </w:r>
      <w:r>
        <w:rPr>
          <w:noProof/>
        </w:rPr>
        <w:t>83</w:t>
      </w:r>
      <w:r>
        <w:fldChar w:fldCharType="end"/>
      </w:r>
    </w:p>
    <w:p w:rsidR="005F78FC" w:rsidRDefault="00B42EF3">
      <w:pPr>
        <w:pStyle w:val="indexentry0"/>
      </w:pPr>
      <w:hyperlink w:anchor="section_8f7f48e70926447782e24eead69938c5">
        <w:r>
          <w:rPr>
            <w:rStyle w:val="Hyperlink"/>
          </w:rPr>
          <w:t>objectLink</w:t>
        </w:r>
        <w:r>
          <w:rPr>
            <w:rStyle w:val="Hyperlink"/>
          </w:rPr>
          <w:t xml:space="preserve"> (Linked Object Properties)</w:t>
        </w:r>
      </w:hyperlink>
      <w:r>
        <w:t xml:space="preserve"> </w:t>
      </w:r>
      <w:r>
        <w:fldChar w:fldCharType="begin"/>
      </w:r>
      <w:r>
        <w:instrText>PAGEREF section_8f7f48e70926447782e24eead69938c5</w:instrText>
      </w:r>
      <w:r>
        <w:fldChar w:fldCharType="separate"/>
      </w:r>
      <w:r>
        <w:rPr>
          <w:noProof/>
        </w:rPr>
        <w:t>83</w:t>
      </w:r>
      <w:r>
        <w:fldChar w:fldCharType="end"/>
      </w:r>
    </w:p>
    <w:p w:rsidR="005F78FC" w:rsidRDefault="00B42EF3">
      <w:pPr>
        <w:pStyle w:val="indexentry0"/>
      </w:pPr>
      <w:hyperlink w:anchor="section_0c52058fe8c545a5802053ab9fb28d21">
        <w:r>
          <w:rPr>
            <w:rStyle w:val="Hyperlink"/>
          </w:rPr>
          <w:t>objectPr (Embedded Object Properties)</w:t>
        </w:r>
      </w:hyperlink>
      <w:r>
        <w:t xml:space="preserve"> </w:t>
      </w:r>
      <w:r>
        <w:fldChar w:fldCharType="begin"/>
      </w:r>
      <w:r>
        <w:instrText>PAGEREF section_0c52058fe8c545a5802053ab9fb28d21</w:instrText>
      </w:r>
      <w:r>
        <w:fldChar w:fldCharType="separate"/>
      </w:r>
      <w:r>
        <w:rPr>
          <w:noProof/>
        </w:rPr>
        <w:t>267</w:t>
      </w:r>
      <w:r>
        <w:fldChar w:fldCharType="end"/>
      </w:r>
    </w:p>
    <w:p w:rsidR="005F78FC" w:rsidRDefault="00B42EF3">
      <w:pPr>
        <w:pStyle w:val="indexentry0"/>
      </w:pPr>
      <w:hyperlink w:anchor="section_e054c87cccdf456191b158928b880f73">
        <w:r>
          <w:rPr>
            <w:rStyle w:val="Hyperlink"/>
          </w:rPr>
          <w:t>oc (Old Cell Data)</w:t>
        </w:r>
      </w:hyperlink>
      <w:r>
        <w:t xml:space="preserve"> </w:t>
      </w:r>
      <w:r>
        <w:fldChar w:fldCharType="begin"/>
      </w:r>
      <w:r>
        <w:instrText>PAGEREF section_e054c87cccdf456191b158928b880f73</w:instrText>
      </w:r>
      <w:r>
        <w:fldChar w:fldCharType="separate"/>
      </w:r>
      <w:r>
        <w:rPr>
          <w:noProof/>
        </w:rPr>
        <w:t>372</w:t>
      </w:r>
      <w:r>
        <w:fldChar w:fldCharType="end"/>
      </w:r>
    </w:p>
    <w:p w:rsidR="005F78FC" w:rsidRDefault="00B42EF3">
      <w:pPr>
        <w:pStyle w:val="indexentry0"/>
      </w:pPr>
      <w:hyperlink w:anchor="section_9c8802df529e465d8a0faa139394890e">
        <w:r>
          <w:rPr>
            <w:rStyle w:val="Hyperlink"/>
          </w:rPr>
          <w:t>OCT2BIN</w:t>
        </w:r>
      </w:hyperlink>
      <w:r>
        <w:t xml:space="preserve"> </w:t>
      </w:r>
      <w:r>
        <w:fldChar w:fldCharType="begin"/>
      </w:r>
      <w:r>
        <w:instrText>PAGEREF section_9c8802df529e465d8a0faa139394890e</w:instrText>
      </w:r>
      <w:r>
        <w:fldChar w:fldCharType="separate"/>
      </w:r>
      <w:r>
        <w:rPr>
          <w:noProof/>
        </w:rPr>
        <w:t>438</w:t>
      </w:r>
      <w:r>
        <w:fldChar w:fldCharType="end"/>
      </w:r>
    </w:p>
    <w:p w:rsidR="005F78FC" w:rsidRDefault="00B42EF3">
      <w:pPr>
        <w:pStyle w:val="indexentry0"/>
      </w:pPr>
      <w:hyperlink w:anchor="section_567697347d764b0fbaf497c735d5d7df">
        <w:r>
          <w:rPr>
            <w:rStyle w:val="Hyperlink"/>
          </w:rPr>
          <w:t>OCT2DEC</w:t>
        </w:r>
      </w:hyperlink>
      <w:r>
        <w:t xml:space="preserve"> </w:t>
      </w:r>
      <w:r>
        <w:fldChar w:fldCharType="begin"/>
      </w:r>
      <w:r>
        <w:instrText>PAGEREF section_567697347d764b0fbaf497c735d5d7df</w:instrText>
      </w:r>
      <w:r>
        <w:fldChar w:fldCharType="separate"/>
      </w:r>
      <w:r>
        <w:rPr>
          <w:noProof/>
        </w:rPr>
        <w:t>438</w:t>
      </w:r>
      <w:r>
        <w:fldChar w:fldCharType="end"/>
      </w:r>
    </w:p>
    <w:p w:rsidR="005F78FC" w:rsidRDefault="00B42EF3">
      <w:pPr>
        <w:pStyle w:val="indexentry0"/>
      </w:pPr>
      <w:hyperlink w:anchor="section_48c990726cf74e6984b13bea64f0ee3a">
        <w:r>
          <w:rPr>
            <w:rStyle w:val="Hyperlink"/>
          </w:rPr>
          <w:t>ocx (ActiveX Control Data)</w:t>
        </w:r>
      </w:hyperlink>
      <w:r>
        <w:t xml:space="preserve"> </w:t>
      </w:r>
      <w:r>
        <w:fldChar w:fldCharType="begin"/>
      </w:r>
      <w:r>
        <w:instrText>PAGEREF section_48c990726cf74e6984b13bea64f</w:instrText>
      </w:r>
      <w:r>
        <w:instrText>0ee3a</w:instrText>
      </w:r>
      <w:r>
        <w:fldChar w:fldCharType="separate"/>
      </w:r>
      <w:r>
        <w:rPr>
          <w:noProof/>
        </w:rPr>
        <w:t>879</w:t>
      </w:r>
      <w:r>
        <w:fldChar w:fldCharType="end"/>
      </w:r>
    </w:p>
    <w:p w:rsidR="005F78FC" w:rsidRDefault="00B42EF3">
      <w:pPr>
        <w:pStyle w:val="indexentry0"/>
      </w:pPr>
      <w:hyperlink w:anchor="section_8d4ab600549c4dc7922c46ece32123ed">
        <w:r>
          <w:rPr>
            <w:rStyle w:val="Hyperlink"/>
          </w:rPr>
          <w:t>ocxPr (Object Property)</w:t>
        </w:r>
      </w:hyperlink>
      <w:r>
        <w:t xml:space="preserve"> </w:t>
      </w:r>
      <w:r>
        <w:fldChar w:fldCharType="begin"/>
      </w:r>
      <w:r>
        <w:instrText>PAGEREF section_8d4ab600549c4dc7922c46ece32123ed</w:instrText>
      </w:r>
      <w:r>
        <w:fldChar w:fldCharType="separate"/>
      </w:r>
      <w:r>
        <w:rPr>
          <w:noProof/>
        </w:rPr>
        <w:t>881</w:t>
      </w:r>
      <w:r>
        <w:fldChar w:fldCharType="end"/>
      </w:r>
    </w:p>
    <w:p w:rsidR="005F78FC" w:rsidRDefault="00B42EF3">
      <w:pPr>
        <w:pStyle w:val="indexentry0"/>
      </w:pPr>
      <w:hyperlink w:anchor="section_756b76a3434e4616b00ea5ee62ca85ba">
        <w:r>
          <w:rPr>
            <w:rStyle w:val="Hyperlink"/>
          </w:rPr>
          <w:t>oddFooter (Odd Footer)</w:t>
        </w:r>
      </w:hyperlink>
      <w:r>
        <w:t xml:space="preserve"> </w:t>
      </w:r>
      <w:r>
        <w:fldChar w:fldCharType="begin"/>
      </w:r>
      <w:r>
        <w:instrText>PAGEREF section_756b76</w:instrText>
      </w:r>
      <w:r>
        <w:instrText>a3434e4616b00ea5ee62ca85ba</w:instrText>
      </w:r>
      <w:r>
        <w:fldChar w:fldCharType="separate"/>
      </w:r>
      <w:r>
        <w:rPr>
          <w:noProof/>
        </w:rPr>
        <w:t>560</w:t>
      </w:r>
      <w:r>
        <w:fldChar w:fldCharType="end"/>
      </w:r>
    </w:p>
    <w:p w:rsidR="005F78FC" w:rsidRDefault="00B42EF3">
      <w:pPr>
        <w:pStyle w:val="indexentry0"/>
      </w:pPr>
      <w:hyperlink w:anchor="section_18a8d65524df4375aa1133c30b9ee92c">
        <w:r>
          <w:rPr>
            <w:rStyle w:val="Hyperlink"/>
          </w:rPr>
          <w:t>oddFooter (Odd Page Footer)</w:t>
        </w:r>
      </w:hyperlink>
      <w:r>
        <w:t xml:space="preserve"> </w:t>
      </w:r>
      <w:r>
        <w:fldChar w:fldCharType="begin"/>
      </w:r>
      <w:r>
        <w:instrText>PAGEREF section_18a8d65524df4375aa1133c30b9ee92c</w:instrText>
      </w:r>
      <w:r>
        <w:fldChar w:fldCharType="separate"/>
      </w:r>
      <w:r>
        <w:rPr>
          <w:noProof/>
        </w:rPr>
        <w:t>267</w:t>
      </w:r>
      <w:r>
        <w:fldChar w:fldCharType="end"/>
      </w:r>
    </w:p>
    <w:p w:rsidR="005F78FC" w:rsidRDefault="00B42EF3">
      <w:pPr>
        <w:pStyle w:val="indexentry0"/>
      </w:pPr>
      <w:hyperlink w:anchor="section_30c159a8b7a04a6080f800e0bef2d1db">
        <w:r>
          <w:rPr>
            <w:rStyle w:val="Hyperlink"/>
          </w:rPr>
          <w:t>ODDFPRICE</w:t>
        </w:r>
      </w:hyperlink>
      <w:r>
        <w:t xml:space="preserve"> </w:t>
      </w:r>
      <w:r>
        <w:fldChar w:fldCharType="begin"/>
      </w:r>
      <w:r>
        <w:instrText>PAGEREF se</w:instrText>
      </w:r>
      <w:r>
        <w:instrText>ction_30c159a8b7a04a6080f800e0bef2d1db</w:instrText>
      </w:r>
      <w:r>
        <w:fldChar w:fldCharType="separate"/>
      </w:r>
      <w:r>
        <w:rPr>
          <w:noProof/>
        </w:rPr>
        <w:t>438</w:t>
      </w:r>
      <w:r>
        <w:fldChar w:fldCharType="end"/>
      </w:r>
    </w:p>
    <w:p w:rsidR="005F78FC" w:rsidRDefault="00B42EF3">
      <w:pPr>
        <w:pStyle w:val="indexentry0"/>
      </w:pPr>
      <w:hyperlink w:anchor="section_61a69b8c4bdc4a5db748206b84c5013b">
        <w:r>
          <w:rPr>
            <w:rStyle w:val="Hyperlink"/>
          </w:rPr>
          <w:t>ODDFYIELD</w:t>
        </w:r>
      </w:hyperlink>
      <w:r>
        <w:t xml:space="preserve"> </w:t>
      </w:r>
      <w:r>
        <w:fldChar w:fldCharType="begin"/>
      </w:r>
      <w:r>
        <w:instrText>PAGEREF section_61a69b8c4bdc4a5db748206b84c5013b</w:instrText>
      </w:r>
      <w:r>
        <w:fldChar w:fldCharType="separate"/>
      </w:r>
      <w:r>
        <w:rPr>
          <w:noProof/>
        </w:rPr>
        <w:t>439</w:t>
      </w:r>
      <w:r>
        <w:fldChar w:fldCharType="end"/>
      </w:r>
    </w:p>
    <w:p w:rsidR="005F78FC" w:rsidRDefault="00B42EF3">
      <w:pPr>
        <w:pStyle w:val="indexentry0"/>
      </w:pPr>
      <w:r>
        <w:t>oddHeader (Odd Header) (</w:t>
      </w:r>
      <w:hyperlink w:anchor="section_f477f387b8614166b8494e35f8cc5a95">
        <w:r>
          <w:rPr>
            <w:rStyle w:val="Hyperlink"/>
          </w:rPr>
          <w:t>sect</w:t>
        </w:r>
        <w:r>
          <w:rPr>
            <w:rStyle w:val="Hyperlink"/>
          </w:rPr>
          <w:t>ion 2.1.633</w:t>
        </w:r>
      </w:hyperlink>
      <w:r>
        <w:t xml:space="preserve"> </w:t>
      </w:r>
      <w:r>
        <w:fldChar w:fldCharType="begin"/>
      </w:r>
      <w:r>
        <w:instrText>PAGEREF section_f477f387b8614166b8494e35f8cc5a95</w:instrText>
      </w:r>
      <w:r>
        <w:fldChar w:fldCharType="separate"/>
      </w:r>
      <w:r>
        <w:rPr>
          <w:noProof/>
        </w:rPr>
        <w:t>268</w:t>
      </w:r>
      <w:r>
        <w:fldChar w:fldCharType="end"/>
      </w:r>
      <w:r>
        <w:t xml:space="preserve">, </w:t>
      </w:r>
      <w:hyperlink w:anchor="section_80313181681845dcacc66357c2366ddc">
        <w:r>
          <w:rPr>
            <w:rStyle w:val="Hyperlink"/>
          </w:rPr>
          <w:t>section 2.1.1501</w:t>
        </w:r>
      </w:hyperlink>
      <w:r>
        <w:t xml:space="preserve"> </w:t>
      </w:r>
      <w:r>
        <w:fldChar w:fldCharType="begin"/>
      </w:r>
      <w:r>
        <w:instrText>PAGEREF section_80313181681845dcacc66357c2366ddc</w:instrText>
      </w:r>
      <w:r>
        <w:fldChar w:fldCharType="separate"/>
      </w:r>
      <w:r>
        <w:rPr>
          <w:noProof/>
        </w:rPr>
        <w:t>560</w:t>
      </w:r>
      <w:r>
        <w:fldChar w:fldCharType="end"/>
      </w:r>
      <w:r>
        <w:t>)</w:t>
      </w:r>
    </w:p>
    <w:p w:rsidR="005F78FC" w:rsidRDefault="00B42EF3">
      <w:pPr>
        <w:pStyle w:val="indexentry0"/>
      </w:pPr>
      <w:hyperlink w:anchor="section_d8ac59055dd14c3a8b540cc16b6f8c14">
        <w:r>
          <w:rPr>
            <w:rStyle w:val="Hyperlink"/>
          </w:rPr>
          <w:t>ODDLPRICE</w:t>
        </w:r>
      </w:hyperlink>
      <w:r>
        <w:t xml:space="preserve"> </w:t>
      </w:r>
      <w:r>
        <w:fldChar w:fldCharType="begin"/>
      </w:r>
      <w:r>
        <w:instrText>PAGEREF section_d8ac59055dd14c3a8b540cc16b6f8c14</w:instrText>
      </w:r>
      <w:r>
        <w:fldChar w:fldCharType="separate"/>
      </w:r>
      <w:r>
        <w:rPr>
          <w:noProof/>
        </w:rPr>
        <w:t>440</w:t>
      </w:r>
      <w:r>
        <w:fldChar w:fldCharType="end"/>
      </w:r>
    </w:p>
    <w:p w:rsidR="005F78FC" w:rsidRDefault="00B42EF3">
      <w:pPr>
        <w:pStyle w:val="indexentry0"/>
      </w:pPr>
      <w:hyperlink w:anchor="section_3f0b46b39db74c8f9648c98178acff40">
        <w:r>
          <w:rPr>
            <w:rStyle w:val="Hyperlink"/>
          </w:rPr>
          <w:t>ODDLYIELD</w:t>
        </w:r>
      </w:hyperlink>
      <w:r>
        <w:t xml:space="preserve"> </w:t>
      </w:r>
      <w:r>
        <w:fldChar w:fldCharType="begin"/>
      </w:r>
      <w:r>
        <w:instrText>PAGEREF section_3f0b46b39db74c8f9648c98178acff40</w:instrText>
      </w:r>
      <w:r>
        <w:fldChar w:fldCharType="separate"/>
      </w:r>
      <w:r>
        <w:rPr>
          <w:noProof/>
        </w:rPr>
        <w:t>440</w:t>
      </w:r>
      <w:r>
        <w:fldChar w:fldCharType="end"/>
      </w:r>
    </w:p>
    <w:p w:rsidR="005F78FC" w:rsidRDefault="00B42EF3">
      <w:pPr>
        <w:pStyle w:val="indexentry0"/>
      </w:pPr>
      <w:hyperlink w:anchor="section_9a5c99b84476437893dced42b0e4457a">
        <w:r>
          <w:rPr>
            <w:rStyle w:val="Hyperlink"/>
          </w:rPr>
          <w:t>odso (Office Data Source Object Settings)</w:t>
        </w:r>
      </w:hyperlink>
      <w:r>
        <w:t xml:space="preserve"> </w:t>
      </w:r>
      <w:r>
        <w:fldChar w:fldCharType="begin"/>
      </w:r>
      <w:r>
        <w:instrText>PAGEREF section_9a5c99b84476437893dced42b0e4457a</w:instrText>
      </w:r>
      <w:r>
        <w:fldChar w:fldCharType="separate"/>
      </w:r>
      <w:r>
        <w:rPr>
          <w:noProof/>
        </w:rPr>
        <w:t>148</w:t>
      </w:r>
      <w:r>
        <w:fldChar w:fldCharType="end"/>
      </w:r>
    </w:p>
    <w:p w:rsidR="005F78FC" w:rsidRDefault="00B42EF3">
      <w:pPr>
        <w:pStyle w:val="indexentry0"/>
      </w:pPr>
      <w:hyperlink w:anchor="section_55f6dcf88ab84a2999bfe36ee955647f">
        <w:r>
          <w:rPr>
            <w:rStyle w:val="Hyperlink"/>
          </w:rPr>
          <w:t>off (Offset)</w:t>
        </w:r>
      </w:hyperlink>
      <w:r>
        <w:t xml:space="preserve"> </w:t>
      </w:r>
      <w:r>
        <w:fldChar w:fldCharType="begin"/>
      </w:r>
      <w:r>
        <w:instrText>PAGEREF section_55f6dcf88ab84a2999bfe36ee955647f</w:instrText>
      </w:r>
      <w:r>
        <w:fldChar w:fldCharType="separate"/>
      </w:r>
      <w:r>
        <w:rPr>
          <w:noProof/>
        </w:rPr>
        <w:t>512</w:t>
      </w:r>
      <w:r>
        <w:fldChar w:fldCharType="end"/>
      </w:r>
    </w:p>
    <w:p w:rsidR="005F78FC" w:rsidRDefault="00B42EF3">
      <w:pPr>
        <w:pStyle w:val="indexentry0"/>
      </w:pPr>
      <w:hyperlink w:anchor="section_346f264b6403401a899a6e0d513f7313">
        <w:r>
          <w:rPr>
            <w:rStyle w:val="Hyperlink"/>
          </w:rPr>
          <w:t>Office ActiveX Supplemental Information (Additional Information)</w:t>
        </w:r>
      </w:hyperlink>
      <w:r>
        <w:t xml:space="preserve"> </w:t>
      </w:r>
      <w:r>
        <w:fldChar w:fldCharType="begin"/>
      </w:r>
      <w:r>
        <w:instrText>PAGEREF section_346f264b6403401a899a6e0d513f7313</w:instrText>
      </w:r>
      <w:r>
        <w:fldChar w:fldCharType="separate"/>
      </w:r>
      <w:r>
        <w:rPr>
          <w:noProof/>
        </w:rPr>
        <w:t>878</w:t>
      </w:r>
      <w:r>
        <w:fldChar w:fldCharType="end"/>
      </w:r>
    </w:p>
    <w:p w:rsidR="005F78FC" w:rsidRDefault="00B42EF3">
      <w:pPr>
        <w:pStyle w:val="indexentry0"/>
      </w:pPr>
      <w:hyperlink w:anchor="section_e8dafc63570a444fa0aedd1af1966d76">
        <w:r>
          <w:rPr>
            <w:rStyle w:val="Hyperlink"/>
          </w:rPr>
          <w:t>Office Digital Signature (Additional Informatio</w:t>
        </w:r>
        <w:r>
          <w:rPr>
            <w:rStyle w:val="Hyperlink"/>
          </w:rPr>
          <w:t>n)</w:t>
        </w:r>
      </w:hyperlink>
      <w:r>
        <w:t xml:space="preserve"> </w:t>
      </w:r>
      <w:r>
        <w:fldChar w:fldCharType="begin"/>
      </w:r>
      <w:r>
        <w:instrText>PAGEREF section_e8dafc63570a444fa0aedd1af1966d76</w:instrText>
      </w:r>
      <w:r>
        <w:fldChar w:fldCharType="separate"/>
      </w:r>
      <w:r>
        <w:rPr>
          <w:noProof/>
        </w:rPr>
        <w:t>884</w:t>
      </w:r>
      <w:r>
        <w:fldChar w:fldCharType="end"/>
      </w:r>
    </w:p>
    <w:p w:rsidR="005F78FC" w:rsidRDefault="00B42EF3">
      <w:pPr>
        <w:pStyle w:val="indexentry0"/>
      </w:pPr>
      <w:hyperlink w:anchor="section_b5ea004721194ae594a163c27af037dd">
        <w:r>
          <w:rPr>
            <w:rStyle w:val="Hyperlink"/>
          </w:rPr>
          <w:t>Office Well Defined Custom XML Parts (Additional Information)</w:t>
        </w:r>
      </w:hyperlink>
      <w:r>
        <w:t xml:space="preserve"> </w:t>
      </w:r>
      <w:r>
        <w:fldChar w:fldCharType="begin"/>
      </w:r>
      <w:r>
        <w:instrText>PAGEREF section_b5ea004721194ae594a163c27af037dd</w:instrText>
      </w:r>
      <w:r>
        <w:fldChar w:fldCharType="separate"/>
      </w:r>
      <w:r>
        <w:rPr>
          <w:noProof/>
        </w:rPr>
        <w:t>856</w:t>
      </w:r>
      <w:r>
        <w:fldChar w:fldCharType="end"/>
      </w:r>
    </w:p>
    <w:p w:rsidR="005F78FC" w:rsidRDefault="00B42EF3">
      <w:pPr>
        <w:pStyle w:val="indexentry0"/>
      </w:pPr>
      <w:hyperlink w:anchor="section_23222e735ee349129a22bfb0fc14d075">
        <w:r>
          <w:rPr>
            <w:rStyle w:val="Hyperlink"/>
          </w:rPr>
          <w:t>OfficeVersion (Office Version)</w:t>
        </w:r>
      </w:hyperlink>
      <w:r>
        <w:t xml:space="preserve"> </w:t>
      </w:r>
      <w:r>
        <w:fldChar w:fldCharType="begin"/>
      </w:r>
      <w:r>
        <w:instrText>PAGEREF section_23222e735ee349129a22bfb0fc14d075</w:instrText>
      </w:r>
      <w:r>
        <w:fldChar w:fldCharType="separate"/>
      </w:r>
      <w:r>
        <w:rPr>
          <w:noProof/>
        </w:rPr>
        <w:t>887</w:t>
      </w:r>
      <w:r>
        <w:fldChar w:fldCharType="end"/>
      </w:r>
    </w:p>
    <w:p w:rsidR="005F78FC" w:rsidRDefault="00B42EF3">
      <w:pPr>
        <w:pStyle w:val="indexentry0"/>
      </w:pPr>
      <w:hyperlink w:anchor="section_0ff7e6c2c09e403781452c21b7e55f9b">
        <w:r>
          <w:rPr>
            <w:rStyle w:val="Hyperlink"/>
          </w:rPr>
          <w:t>OFFSET</w:t>
        </w:r>
      </w:hyperlink>
      <w:r>
        <w:t xml:space="preserve"> </w:t>
      </w:r>
      <w:r>
        <w:fldChar w:fldCharType="begin"/>
      </w:r>
      <w:r>
        <w:instrText>PAGEREF section_0ff7e6c2c09e403781452c21b7e55f9b</w:instrText>
      </w:r>
      <w:r>
        <w:fldChar w:fldCharType="separate"/>
      </w:r>
      <w:r>
        <w:rPr>
          <w:noProof/>
        </w:rPr>
        <w:t>441</w:t>
      </w:r>
      <w:r>
        <w:fldChar w:fldCharType="end"/>
      </w:r>
    </w:p>
    <w:p w:rsidR="005F78FC" w:rsidRDefault="00B42EF3">
      <w:pPr>
        <w:pStyle w:val="indexentry0"/>
      </w:pPr>
      <w:hyperlink w:anchor="section_8bff8328f5ee483c84214df869d8f741">
        <w:r>
          <w:rPr>
            <w:rStyle w:val="Hyperlink"/>
          </w:rPr>
          <w:t>ofPieChart (Pie of Pie or Bar of Pie Charts)</w:t>
        </w:r>
      </w:hyperlink>
      <w:r>
        <w:t xml:space="preserve"> </w:t>
      </w:r>
      <w:r>
        <w:fldChar w:fldCharType="begin"/>
      </w:r>
      <w:r>
        <w:instrText>PAGEREF section_8bff8328f5ee483c84214df869d8f741</w:instrText>
      </w:r>
      <w:r>
        <w:fldChar w:fldCharType="separate"/>
      </w:r>
      <w:r>
        <w:rPr>
          <w:noProof/>
        </w:rPr>
        <w:t>561</w:t>
      </w:r>
      <w:r>
        <w:fldChar w:fldCharType="end"/>
      </w:r>
    </w:p>
    <w:p w:rsidR="005F78FC" w:rsidRDefault="00B42EF3">
      <w:pPr>
        <w:pStyle w:val="indexentry0"/>
      </w:pPr>
      <w:hyperlink w:anchor="section_c444df6ef827424b88b38411bcb3e799">
        <w:r>
          <w:rPr>
            <w:rStyle w:val="Hyperlink"/>
          </w:rPr>
          <w:t>ofPieType (Pie of Pie or Bar of Pie Type)</w:t>
        </w:r>
      </w:hyperlink>
      <w:r>
        <w:t xml:space="preserve"> </w:t>
      </w:r>
      <w:r>
        <w:fldChar w:fldCharType="begin"/>
      </w:r>
      <w:r>
        <w:instrText>P</w:instrText>
      </w:r>
      <w:r>
        <w:instrText>AGEREF section_c444df6ef827424b88b38411bcb3e799</w:instrText>
      </w:r>
      <w:r>
        <w:fldChar w:fldCharType="separate"/>
      </w:r>
      <w:r>
        <w:rPr>
          <w:noProof/>
        </w:rPr>
        <w:t>561</w:t>
      </w:r>
      <w:r>
        <w:fldChar w:fldCharType="end"/>
      </w:r>
    </w:p>
    <w:p w:rsidR="005F78FC" w:rsidRDefault="00B42EF3">
      <w:pPr>
        <w:pStyle w:val="indexentry0"/>
      </w:pPr>
      <w:hyperlink w:anchor="section_8ad37bc593b249a6bfdc6dd280f6ace9">
        <w:r>
          <w:rPr>
            <w:rStyle w:val="Hyperlink"/>
          </w:rPr>
          <w:t>olapPr (OLAP Properties)</w:t>
        </w:r>
      </w:hyperlink>
      <w:r>
        <w:t xml:space="preserve"> </w:t>
      </w:r>
      <w:r>
        <w:fldChar w:fldCharType="begin"/>
      </w:r>
      <w:r>
        <w:instrText>PAGEREF section_8ad37bc593b249a6bfdc6dd280f6ace9</w:instrText>
      </w:r>
      <w:r>
        <w:fldChar w:fldCharType="separate"/>
      </w:r>
      <w:r>
        <w:rPr>
          <w:noProof/>
        </w:rPr>
        <w:t>380</w:t>
      </w:r>
      <w:r>
        <w:fldChar w:fldCharType="end"/>
      </w:r>
    </w:p>
    <w:p w:rsidR="005F78FC" w:rsidRDefault="00B42EF3">
      <w:pPr>
        <w:pStyle w:val="indexentry0"/>
      </w:pPr>
      <w:hyperlink w:anchor="section_4a386293993e42ffae8f541aed32c43e">
        <w:r>
          <w:rPr>
            <w:rStyle w:val="Hyperlink"/>
          </w:rPr>
          <w:t>oldFormula (Old Formula)</w:t>
        </w:r>
      </w:hyperlink>
      <w:r>
        <w:t xml:space="preserve"> </w:t>
      </w:r>
      <w:r>
        <w:fldChar w:fldCharType="begin"/>
      </w:r>
      <w:r>
        <w:instrText>PAGEREF section_4a386293993e42ffae8f541aed32c43e</w:instrText>
      </w:r>
      <w:r>
        <w:fldChar w:fldCharType="separate"/>
      </w:r>
      <w:r>
        <w:rPr>
          <w:noProof/>
        </w:rPr>
        <w:t>372</w:t>
      </w:r>
      <w:r>
        <w:fldChar w:fldCharType="end"/>
      </w:r>
    </w:p>
    <w:p w:rsidR="005F78FC" w:rsidRDefault="00B42EF3">
      <w:pPr>
        <w:pStyle w:val="indexentry0"/>
      </w:pPr>
      <w:hyperlink w:anchor="section_9892ca2173c94655b488f146c6dd5a94">
        <w:r>
          <w:rPr>
            <w:rStyle w:val="Hyperlink"/>
          </w:rPr>
          <w:t>OLE Link Formulas</w:t>
        </w:r>
      </w:hyperlink>
      <w:r>
        <w:t xml:space="preserve"> </w:t>
      </w:r>
      <w:r>
        <w:fldChar w:fldCharType="begin"/>
      </w:r>
      <w:r>
        <w:instrText>PAGEREF section_9892ca2173c94655b488f146c6dd5a94</w:instrText>
      </w:r>
      <w:r>
        <w:fldChar w:fldCharType="separate"/>
      </w:r>
      <w:r>
        <w:rPr>
          <w:noProof/>
        </w:rPr>
        <w:t>849</w:t>
      </w:r>
      <w:r>
        <w:fldChar w:fldCharType="end"/>
      </w:r>
    </w:p>
    <w:p w:rsidR="005F78FC" w:rsidRDefault="00B42EF3">
      <w:pPr>
        <w:pStyle w:val="indexentry0"/>
      </w:pPr>
      <w:hyperlink w:anchor="section_7bb53b9eb4f54c85b5aed814279ecbc3">
        <w:r>
          <w:rPr>
            <w:rStyle w:val="Hyperlink"/>
          </w:rPr>
          <w:t>oleChartEl (Embedded Chart Element)</w:t>
        </w:r>
      </w:hyperlink>
      <w:r>
        <w:t xml:space="preserve"> </w:t>
      </w:r>
      <w:r>
        <w:fldChar w:fldCharType="begin"/>
      </w:r>
      <w:r>
        <w:instrText>PAGEREF section_7bb53b9eb4f54c85b5aed814279ecbc3</w:instrText>
      </w:r>
      <w:r>
        <w:fldChar w:fldCharType="separate"/>
      </w:r>
      <w:r>
        <w:rPr>
          <w:noProof/>
        </w:rPr>
        <w:t>487</w:t>
      </w:r>
      <w:r>
        <w:fldChar w:fldCharType="end"/>
      </w:r>
    </w:p>
    <w:p w:rsidR="005F78FC" w:rsidRDefault="00B42EF3">
      <w:pPr>
        <w:pStyle w:val="indexentry0"/>
      </w:pPr>
      <w:hyperlink w:anchor="section_e7c6f0e39e194cb3ba0e483ef7d89728">
        <w:r>
          <w:rPr>
            <w:rStyle w:val="Hyperlink"/>
          </w:rPr>
          <w:t>oleItem (Object Link Item)</w:t>
        </w:r>
      </w:hyperlink>
      <w:r>
        <w:t xml:space="preserve"> </w:t>
      </w:r>
      <w:r>
        <w:fldChar w:fldCharType="begin"/>
      </w:r>
      <w:r>
        <w:instrText>PAGEREF section_e7c6f0e39e194cb3ba0e483ef7d89728</w:instrText>
      </w:r>
      <w:r>
        <w:fldChar w:fldCharType="separate"/>
      </w:r>
      <w:r>
        <w:rPr>
          <w:noProof/>
        </w:rPr>
        <w:t>384</w:t>
      </w:r>
      <w:r>
        <w:fldChar w:fldCharType="end"/>
      </w:r>
    </w:p>
    <w:p w:rsidR="005F78FC" w:rsidRDefault="00B42EF3">
      <w:pPr>
        <w:pStyle w:val="indexentry0"/>
      </w:pPr>
      <w:hyperlink w:anchor="section_83cecf06377145969e2c9b70cdd07db9">
        <w:r>
          <w:rPr>
            <w:rStyle w:val="Hyperlink"/>
          </w:rPr>
          <w:t>oleLink (Generic Object Link Connection)</w:t>
        </w:r>
      </w:hyperlink>
      <w:r>
        <w:t xml:space="preserve"> </w:t>
      </w:r>
      <w:r>
        <w:fldChar w:fldCharType="begin"/>
      </w:r>
      <w:r>
        <w:instrText>PAGEREF section_83cecf06377145969e2c9b70cdd07db9</w:instrText>
      </w:r>
      <w:r>
        <w:fldChar w:fldCharType="separate"/>
      </w:r>
      <w:r>
        <w:rPr>
          <w:noProof/>
        </w:rPr>
        <w:t>384</w:t>
      </w:r>
      <w:r>
        <w:fldChar w:fldCharType="end"/>
      </w:r>
    </w:p>
    <w:p w:rsidR="005F78FC" w:rsidRDefault="00B42EF3">
      <w:pPr>
        <w:pStyle w:val="indexentry0"/>
      </w:pPr>
      <w:hyperlink w:anchor="section_3301d159111e4ccf9211af5d1f4a0a03">
        <w:r>
          <w:rPr>
            <w:rStyle w:val="Hyperlink"/>
          </w:rPr>
          <w:t>oleObj (Global Element for Embedded objects an</w:t>
        </w:r>
        <w:r>
          <w:rPr>
            <w:rStyle w:val="Hyperlink"/>
          </w:rPr>
          <w:t>d Controls)</w:t>
        </w:r>
      </w:hyperlink>
      <w:r>
        <w:t xml:space="preserve"> </w:t>
      </w:r>
      <w:r>
        <w:fldChar w:fldCharType="begin"/>
      </w:r>
      <w:r>
        <w:instrText>PAGEREF section_3301d159111e4ccf9211af5d1f4a0a03</w:instrText>
      </w:r>
      <w:r>
        <w:fldChar w:fldCharType="separate"/>
      </w:r>
      <w:r>
        <w:rPr>
          <w:noProof/>
        </w:rPr>
        <w:t>472</w:t>
      </w:r>
      <w:r>
        <w:fldChar w:fldCharType="end"/>
      </w:r>
    </w:p>
    <w:p w:rsidR="005F78FC" w:rsidRDefault="00B42EF3">
      <w:pPr>
        <w:pStyle w:val="indexentry0"/>
      </w:pPr>
      <w:hyperlink w:anchor="section_19190ae3573448eba919b89d0b3ce114">
        <w:r>
          <w:rPr>
            <w:rStyle w:val="Hyperlink"/>
          </w:rPr>
          <w:t>oleObject (Embedded Object)</w:t>
        </w:r>
      </w:hyperlink>
      <w:r>
        <w:t xml:space="preserve"> </w:t>
      </w:r>
      <w:r>
        <w:fldChar w:fldCharType="begin"/>
      </w:r>
      <w:r>
        <w:instrText>PAGEREF section_19190ae3573448eba919b89d0b3ce114</w:instrText>
      </w:r>
      <w:r>
        <w:fldChar w:fldCharType="separate"/>
      </w:r>
      <w:r>
        <w:rPr>
          <w:noProof/>
        </w:rPr>
        <w:t>268</w:t>
      </w:r>
      <w:r>
        <w:fldChar w:fldCharType="end"/>
      </w:r>
    </w:p>
    <w:p w:rsidR="005F78FC" w:rsidRDefault="00B42EF3">
      <w:pPr>
        <w:pStyle w:val="indexentry0"/>
      </w:pPr>
      <w:hyperlink w:anchor="section_c9af80fa3ee44a79ace64fd46ff83957">
        <w:r>
          <w:rPr>
            <w:rStyle w:val="Hyperlink"/>
          </w:rPr>
          <w:t>OLEObject (Embedded OLE Object)</w:t>
        </w:r>
      </w:hyperlink>
      <w:r>
        <w:t xml:space="preserve"> </w:t>
      </w:r>
      <w:r>
        <w:fldChar w:fldCharType="begin"/>
      </w:r>
      <w:r>
        <w:instrText>PAGEREF section_c9af80fa3ee44a79ace64fd46ff83957</w:instrText>
      </w:r>
      <w:r>
        <w:fldChar w:fldCharType="separate"/>
      </w:r>
      <w:r>
        <w:rPr>
          <w:noProof/>
        </w:rPr>
        <w:t>673</w:t>
      </w:r>
      <w:r>
        <w:fldChar w:fldCharType="end"/>
      </w:r>
    </w:p>
    <w:p w:rsidR="005F78FC" w:rsidRDefault="00B42EF3">
      <w:pPr>
        <w:pStyle w:val="indexentry0"/>
      </w:pPr>
      <w:hyperlink w:anchor="section_c2c6f13ea41a49cd88ab3beb4da0b875">
        <w:r>
          <w:rPr>
            <w:rStyle w:val="Hyperlink"/>
          </w:rPr>
          <w:t>oleObjects (Embedded Objects)</w:t>
        </w:r>
      </w:hyperlink>
      <w:r>
        <w:t xml:space="preserve"> </w:t>
      </w:r>
      <w:r>
        <w:fldChar w:fldCharType="begin"/>
      </w:r>
      <w:r>
        <w:instrText>PAGEREF section_c2c6f13ea41a49cd88ab3beb4da0b875</w:instrText>
      </w:r>
      <w:r>
        <w:fldChar w:fldCharType="separate"/>
      </w:r>
      <w:r>
        <w:rPr>
          <w:noProof/>
        </w:rPr>
        <w:t>268</w:t>
      </w:r>
      <w:r>
        <w:fldChar w:fldCharType="end"/>
      </w:r>
    </w:p>
    <w:p w:rsidR="005F78FC" w:rsidRDefault="00B42EF3">
      <w:pPr>
        <w:pStyle w:val="indexentry0"/>
      </w:pPr>
      <w:hyperlink w:anchor="section_170f8575e90e4b76b95209242531771f">
        <w:r>
          <w:rPr>
            <w:rStyle w:val="Hyperlink"/>
          </w:rPr>
          <w:t>oleSize (Embedded Object Size)</w:t>
        </w:r>
      </w:hyperlink>
      <w:r>
        <w:t xml:space="preserve"> </w:t>
      </w:r>
      <w:r>
        <w:fldChar w:fldCharType="begin"/>
      </w:r>
      <w:r>
        <w:instrText>PAGEREF section_170f8575e90e4b76b95209242531771f</w:instrText>
      </w:r>
      <w:r>
        <w:fldChar w:fldCharType="separate"/>
      </w:r>
      <w:r>
        <w:rPr>
          <w:noProof/>
        </w:rPr>
        <w:t>246</w:t>
      </w:r>
      <w:r>
        <w:fldChar w:fldCharType="end"/>
      </w:r>
    </w:p>
    <w:p w:rsidR="005F78FC" w:rsidRDefault="00B42EF3">
      <w:pPr>
        <w:pStyle w:val="indexentry0"/>
      </w:pPr>
      <w:hyperlink w:anchor="section_ab7a0345712e4eef9bcc80c37e68d9bb">
        <w:r>
          <w:rPr>
            <w:rStyle w:val="Hyperlink"/>
          </w:rPr>
          <w:t>oMath (Office Math)</w:t>
        </w:r>
      </w:hyperlink>
      <w:r>
        <w:t xml:space="preserve"> </w:t>
      </w:r>
      <w:r>
        <w:fldChar w:fldCharType="begin"/>
      </w:r>
      <w:r>
        <w:instrText>PAGEREF section_ab7a0345712e4eef9bcc80c37e68d9bb</w:instrText>
      </w:r>
      <w:r>
        <w:fldChar w:fldCharType="separate"/>
      </w:r>
      <w:r>
        <w:rPr>
          <w:noProof/>
        </w:rPr>
        <w:t>602</w:t>
      </w:r>
      <w:r>
        <w:fldChar w:fldCharType="end"/>
      </w:r>
    </w:p>
    <w:p w:rsidR="005F78FC" w:rsidRDefault="00B42EF3">
      <w:pPr>
        <w:pStyle w:val="indexentry0"/>
      </w:pPr>
      <w:hyperlink w:anchor="section_94590ec4e4c14f7ab967abe6bf8658b2">
        <w:r>
          <w:rPr>
            <w:rStyle w:val="Hyperlink"/>
          </w:rPr>
          <w:t>oMath (Office Open XML Math)</w:t>
        </w:r>
      </w:hyperlink>
      <w:r>
        <w:t xml:space="preserve"> </w:t>
      </w:r>
      <w:r>
        <w:fldChar w:fldCharType="begin"/>
      </w:r>
      <w:r>
        <w:instrText>PAGEREF section_94590ec4e4c14f7ab967abe6bf8658b2</w:instrText>
      </w:r>
      <w:r>
        <w:fldChar w:fldCharType="separate"/>
      </w:r>
      <w:r>
        <w:rPr>
          <w:noProof/>
        </w:rPr>
        <w:t>75</w:t>
      </w:r>
      <w:r>
        <w:fldChar w:fldCharType="end"/>
      </w:r>
    </w:p>
    <w:p w:rsidR="005F78FC" w:rsidRDefault="00B42EF3">
      <w:pPr>
        <w:pStyle w:val="indexentry0"/>
      </w:pPr>
      <w:hyperlink w:anchor="section_dbc60737c3cb43b18fe8cd591fa4472d">
        <w:r>
          <w:rPr>
            <w:rStyle w:val="Hyperlink"/>
          </w:rPr>
          <w:t>oMath and Math Arguments</w:t>
        </w:r>
      </w:hyperlink>
      <w:r>
        <w:t xml:space="preserve"> </w:t>
      </w:r>
      <w:r>
        <w:fldChar w:fldCharType="begin"/>
      </w:r>
      <w:r>
        <w:instrText>PAGEREF section_dbc60737c3cb43b18fe8cd591fa4472d</w:instrText>
      </w:r>
      <w:r>
        <w:fldChar w:fldCharType="separate"/>
      </w:r>
      <w:r>
        <w:rPr>
          <w:noProof/>
        </w:rPr>
        <w:t>898</w:t>
      </w:r>
      <w:r>
        <w:fldChar w:fldCharType="end"/>
      </w:r>
    </w:p>
    <w:p w:rsidR="005F78FC" w:rsidRDefault="00B42EF3">
      <w:pPr>
        <w:pStyle w:val="indexentry0"/>
      </w:pPr>
      <w:hyperlink w:anchor="section_23e0c1c94abb4c75acc27583040e774d">
        <w:r>
          <w:rPr>
            <w:rStyle w:val="Hyperlink"/>
          </w:rPr>
          <w:t>oMathPara (Office Math Paragraph)</w:t>
        </w:r>
      </w:hyperlink>
      <w:r>
        <w:t xml:space="preserve"> </w:t>
      </w:r>
      <w:r>
        <w:fldChar w:fldCharType="begin"/>
      </w:r>
      <w:r>
        <w:instrText>PAGEREF section_23e0c1c94abb4c75acc27583040e774d</w:instrText>
      </w:r>
      <w:r>
        <w:fldChar w:fldCharType="separate"/>
      </w:r>
      <w:r>
        <w:rPr>
          <w:noProof/>
        </w:rPr>
        <w:t>603</w:t>
      </w:r>
      <w:r>
        <w:fldChar w:fldCharType="end"/>
      </w:r>
    </w:p>
    <w:p w:rsidR="005F78FC" w:rsidRDefault="00B42EF3">
      <w:pPr>
        <w:pStyle w:val="indexentry0"/>
      </w:pPr>
      <w:hyperlink w:anchor="section_b810c563f4594ca799f047e871e1ab73">
        <w:r>
          <w:rPr>
            <w:rStyle w:val="Hyperlink"/>
          </w:rPr>
          <w:t>opEmu (Operator Emulator)</w:t>
        </w:r>
      </w:hyperlink>
      <w:r>
        <w:t xml:space="preserve"> </w:t>
      </w:r>
      <w:r>
        <w:fldChar w:fldCharType="begin"/>
      </w:r>
      <w:r>
        <w:instrText>PAGEREF section_b810c563f4594ca799f047e871e1ab73</w:instrText>
      </w:r>
      <w:r>
        <w:fldChar w:fldCharType="separate"/>
      </w:r>
      <w:r>
        <w:rPr>
          <w:noProof/>
        </w:rPr>
        <w:t>603</w:t>
      </w:r>
      <w:r>
        <w:fldChar w:fldCharType="end"/>
      </w:r>
    </w:p>
    <w:p w:rsidR="005F78FC" w:rsidRDefault="00B42EF3">
      <w:pPr>
        <w:pStyle w:val="indexentry0"/>
      </w:pPr>
      <w:hyperlink w:anchor="section_a0fa9f9b49fb4e7198b7164aa6c8cb79">
        <w:r>
          <w:rPr>
            <w:rStyle w:val="Hyperlink"/>
          </w:rPr>
          <w:t>openByDefault (Open By Default)</w:t>
        </w:r>
      </w:hyperlink>
      <w:r>
        <w:t xml:space="preserve"> </w:t>
      </w:r>
      <w:r>
        <w:fldChar w:fldCharType="begin"/>
      </w:r>
      <w:r>
        <w:instrText>PAGEREF section_a0fa9f9b49fb4e7198b7164aa6c8cb7</w:instrText>
      </w:r>
      <w:r>
        <w:instrText>9</w:instrText>
      </w:r>
      <w:r>
        <w:fldChar w:fldCharType="separate"/>
      </w:r>
      <w:r>
        <w:rPr>
          <w:noProof/>
        </w:rPr>
        <w:t>876</w:t>
      </w:r>
      <w:r>
        <w:fldChar w:fldCharType="end"/>
      </w:r>
    </w:p>
    <w:p w:rsidR="005F78FC" w:rsidRDefault="00B42EF3">
      <w:pPr>
        <w:pStyle w:val="indexentry0"/>
      </w:pPr>
      <w:r>
        <w:t>Operators (</w:t>
      </w:r>
      <w:hyperlink w:anchor="section_85aca241958e4d6f8c8081258ea5ca60">
        <w:r>
          <w:rPr>
            <w:rStyle w:val="Hyperlink"/>
          </w:rPr>
          <w:t>section 2.1.456</w:t>
        </w:r>
      </w:hyperlink>
      <w:r>
        <w:t xml:space="preserve"> </w:t>
      </w:r>
      <w:r>
        <w:fldChar w:fldCharType="begin"/>
      </w:r>
      <w:r>
        <w:instrText>PAGEREF section_85aca241958e4d6f8c8081258ea5ca60</w:instrText>
      </w:r>
      <w:r>
        <w:fldChar w:fldCharType="separate"/>
      </w:r>
      <w:r>
        <w:rPr>
          <w:noProof/>
        </w:rPr>
        <w:t>169</w:t>
      </w:r>
      <w:r>
        <w:fldChar w:fldCharType="end"/>
      </w:r>
      <w:r>
        <w:t xml:space="preserve">, </w:t>
      </w:r>
      <w:hyperlink w:anchor="section_caae6c6efc424f27ad8f91002f4e56ac">
        <w:r>
          <w:rPr>
            <w:rStyle w:val="Hyperlink"/>
          </w:rPr>
          <w:t>section 2.1.861</w:t>
        </w:r>
      </w:hyperlink>
      <w:r>
        <w:t xml:space="preserve"> </w:t>
      </w:r>
      <w:r>
        <w:fldChar w:fldCharType="begin"/>
      </w:r>
      <w:r>
        <w:instrText>PAGEREF section_caae6c6efc424</w:instrText>
      </w:r>
      <w:r>
        <w:instrText>f27ad8f91002f4e56ac</w:instrText>
      </w:r>
      <w:r>
        <w:fldChar w:fldCharType="separate"/>
      </w:r>
      <w:r>
        <w:rPr>
          <w:noProof/>
        </w:rPr>
        <w:t>394</w:t>
      </w:r>
      <w:r>
        <w:fldChar w:fldCharType="end"/>
      </w:r>
      <w:r>
        <w:t>)</w:t>
      </w:r>
    </w:p>
    <w:p w:rsidR="005F78FC" w:rsidRDefault="00B42EF3">
      <w:pPr>
        <w:pStyle w:val="indexentry0"/>
      </w:pPr>
      <w:hyperlink w:anchor="section_1a4436e36c77480184e063d913cb56a8">
        <w:r>
          <w:rPr>
            <w:rStyle w:val="Hyperlink"/>
          </w:rPr>
          <w:t>optimizeForBrowser (Disable Features Not Supported by Target Web Profile)</w:t>
        </w:r>
      </w:hyperlink>
      <w:r>
        <w:t xml:space="preserve"> </w:t>
      </w:r>
      <w:r>
        <w:fldChar w:fldCharType="begin"/>
      </w:r>
      <w:r>
        <w:instrText>PAGEREF section_1a4436e36c77480184e063d913cb56a8</w:instrText>
      </w:r>
      <w:r>
        <w:fldChar w:fldCharType="separate"/>
      </w:r>
      <w:r>
        <w:rPr>
          <w:noProof/>
        </w:rPr>
        <w:t>166</w:t>
      </w:r>
      <w:r>
        <w:fldChar w:fldCharType="end"/>
      </w:r>
    </w:p>
    <w:p w:rsidR="005F78FC" w:rsidRDefault="00B42EF3">
      <w:pPr>
        <w:pStyle w:val="indexentry0"/>
      </w:pPr>
      <w:hyperlink w:anchor="section_3bb9ee04625a48d98462c6b25dc8a319">
        <w:r>
          <w:rPr>
            <w:rStyle w:val="Hyperlink"/>
          </w:rPr>
          <w:t>order (Order)</w:t>
        </w:r>
      </w:hyperlink>
      <w:r>
        <w:t xml:space="preserve"> </w:t>
      </w:r>
      <w:r>
        <w:fldChar w:fldCharType="begin"/>
      </w:r>
      <w:r>
        <w:instrText>PAGEREF section_3bb9ee04625a48d98462c6b25dc8a319</w:instrText>
      </w:r>
      <w:r>
        <w:fldChar w:fldCharType="separate"/>
      </w:r>
      <w:r>
        <w:rPr>
          <w:noProof/>
        </w:rPr>
        <w:t>561</w:t>
      </w:r>
      <w:r>
        <w:fldChar w:fldCharType="end"/>
      </w:r>
    </w:p>
    <w:p w:rsidR="005F78FC" w:rsidRDefault="00B42EF3">
      <w:pPr>
        <w:pStyle w:val="indexentry0"/>
      </w:pPr>
      <w:hyperlink w:anchor="section_4370285e4d97454ca63a23336f48f90c">
        <w:r>
          <w:rPr>
            <w:rStyle w:val="Hyperlink"/>
          </w:rPr>
          <w:t>order (Polynomial Trendline Order)</w:t>
        </w:r>
      </w:hyperlink>
      <w:r>
        <w:t xml:space="preserve"> </w:t>
      </w:r>
      <w:r>
        <w:fldChar w:fldCharType="begin"/>
      </w:r>
      <w:r>
        <w:instrText>PAGEREF section_4370285e4d97454ca63a23336f48f90c</w:instrText>
      </w:r>
      <w:r>
        <w:fldChar w:fldCharType="separate"/>
      </w:r>
      <w:r>
        <w:rPr>
          <w:noProof/>
        </w:rPr>
        <w:t>561</w:t>
      </w:r>
      <w:r>
        <w:fldChar w:fldCharType="end"/>
      </w:r>
    </w:p>
    <w:p w:rsidR="005F78FC" w:rsidRDefault="00B42EF3">
      <w:pPr>
        <w:pStyle w:val="indexentry0"/>
      </w:pPr>
      <w:hyperlink w:anchor="section_85891d6c7ab54abb8e369a770c5ed9f7">
        <w:r>
          <w:rPr>
            <w:rStyle w:val="Hyperlink"/>
          </w:rPr>
          <w:t>orientation (Axis Orientation)</w:t>
        </w:r>
      </w:hyperlink>
      <w:r>
        <w:t xml:space="preserve"> </w:t>
      </w:r>
      <w:r>
        <w:fldChar w:fldCharType="begin"/>
      </w:r>
      <w:r>
        <w:instrText>PAGEREF section_85891d6c7ab54abb8e369a770c5ed9f7</w:instrText>
      </w:r>
      <w:r>
        <w:fldChar w:fldCharType="separate"/>
      </w:r>
      <w:r>
        <w:rPr>
          <w:noProof/>
        </w:rPr>
        <w:t>561</w:t>
      </w:r>
      <w:r>
        <w:fldChar w:fldCharType="end"/>
      </w:r>
    </w:p>
    <w:p w:rsidR="005F78FC" w:rsidRDefault="00B42EF3">
      <w:pPr>
        <w:pStyle w:val="indexentry0"/>
      </w:pPr>
      <w:hyperlink w:anchor="section_b0d10d875aa74b37b2caea9cc2705984">
        <w:r>
          <w:rPr>
            <w:rStyle w:val="Hyperlink"/>
          </w:rPr>
          <w:t>origin (View Origin)</w:t>
        </w:r>
      </w:hyperlink>
      <w:r>
        <w:t xml:space="preserve"> </w:t>
      </w:r>
      <w:r>
        <w:fldChar w:fldCharType="begin"/>
      </w:r>
      <w:r>
        <w:instrText>PAGEREF section_b0d10d875a</w:instrText>
      </w:r>
      <w:r>
        <w:instrText>a74b37b2caea9cc2705984</w:instrText>
      </w:r>
      <w:r>
        <w:fldChar w:fldCharType="separate"/>
      </w:r>
      <w:r>
        <w:rPr>
          <w:noProof/>
        </w:rPr>
        <w:t>469</w:t>
      </w:r>
      <w:r>
        <w:fldChar w:fldCharType="end"/>
      </w:r>
    </w:p>
    <w:p w:rsidR="005F78FC" w:rsidRDefault="00B42EF3">
      <w:pPr>
        <w:pStyle w:val="indexentry0"/>
      </w:pPr>
      <w:hyperlink w:anchor="section_c82f70414e024b7e9df60a29258a6a7e">
        <w:r>
          <w:rPr>
            <w:rStyle w:val="Hyperlink"/>
          </w:rPr>
          <w:t>ostorage (Binary Storage Object)</w:t>
        </w:r>
      </w:hyperlink>
      <w:r>
        <w:t xml:space="preserve"> </w:t>
      </w:r>
      <w:r>
        <w:fldChar w:fldCharType="begin"/>
      </w:r>
      <w:r>
        <w:instrText>PAGEREF section_c82f70414e024b7e9df60a29258a6a7e</w:instrText>
      </w:r>
      <w:r>
        <w:fldChar w:fldCharType="separate"/>
      </w:r>
      <w:r>
        <w:rPr>
          <w:noProof/>
        </w:rPr>
        <w:t>614</w:t>
      </w:r>
      <w:r>
        <w:fldChar w:fldCharType="end"/>
      </w:r>
    </w:p>
    <w:p w:rsidR="005F78FC" w:rsidRDefault="00B42EF3">
      <w:pPr>
        <w:pStyle w:val="indexentry0"/>
      </w:pPr>
      <w:hyperlink w:anchor="section_a3d8cb72c704433b8d5adefc6f0700be">
        <w:r>
          <w:rPr>
            <w:rStyle w:val="Hyperlink"/>
          </w:rPr>
          <w:t>outerShdw (Outer Shad</w:t>
        </w:r>
        <w:r>
          <w:rPr>
            <w:rStyle w:val="Hyperlink"/>
          </w:rPr>
          <w:t>ow Effect)</w:t>
        </w:r>
      </w:hyperlink>
      <w:r>
        <w:t xml:space="preserve"> </w:t>
      </w:r>
      <w:r>
        <w:fldChar w:fldCharType="begin"/>
      </w:r>
      <w:r>
        <w:instrText>PAGEREF section_a3d8cb72c704433b8d5adefc6f0700be</w:instrText>
      </w:r>
      <w:r>
        <w:fldChar w:fldCharType="separate"/>
      </w:r>
      <w:r>
        <w:rPr>
          <w:noProof/>
        </w:rPr>
        <w:t>518</w:t>
      </w:r>
      <w:r>
        <w:fldChar w:fldCharType="end"/>
      </w:r>
    </w:p>
    <w:p w:rsidR="005F78FC" w:rsidRDefault="00B42EF3">
      <w:pPr>
        <w:pStyle w:val="indexentry0"/>
      </w:pPr>
      <w:hyperlink w:anchor="section_d102191b957b471ab0627af071ec8e52">
        <w:r>
          <w:rPr>
            <w:rStyle w:val="Hyperlink"/>
          </w:rPr>
          <w:t>outlineLvl (Associated Outline Level)</w:t>
        </w:r>
      </w:hyperlink>
      <w:r>
        <w:t xml:space="preserve"> </w:t>
      </w:r>
      <w:r>
        <w:fldChar w:fldCharType="begin"/>
      </w:r>
      <w:r>
        <w:instrText>PAGEREF section_d102191b957b471ab0627af071ec8e52</w:instrText>
      </w:r>
      <w:r>
        <w:fldChar w:fldCharType="separate"/>
      </w:r>
      <w:r>
        <w:rPr>
          <w:noProof/>
        </w:rPr>
        <w:t>68</w:t>
      </w:r>
      <w:r>
        <w:fldChar w:fldCharType="end"/>
      </w:r>
    </w:p>
    <w:p w:rsidR="005F78FC" w:rsidRDefault="00B42EF3">
      <w:pPr>
        <w:pStyle w:val="indexentry0"/>
      </w:pPr>
      <w:hyperlink w:anchor="section_bd6bc36a9e8f489dafb305827fbf0b14">
        <w:r>
          <w:rPr>
            <w:rStyle w:val="Hyperlink"/>
          </w:rPr>
          <w:t>oval (Oval)</w:t>
        </w:r>
      </w:hyperlink>
      <w:r>
        <w:t xml:space="preserve"> </w:t>
      </w:r>
      <w:r>
        <w:fldChar w:fldCharType="begin"/>
      </w:r>
      <w:r>
        <w:instrText>PAGEREF section_bd6bc36a9e8f489dafb305827fbf0b14</w:instrText>
      </w:r>
      <w:r>
        <w:fldChar w:fldCharType="separate"/>
      </w:r>
      <w:r>
        <w:rPr>
          <w:noProof/>
        </w:rPr>
        <w:t>650</w:t>
      </w:r>
      <w:r>
        <w:fldChar w:fldCharType="end"/>
      </w:r>
    </w:p>
    <w:p w:rsidR="005F78FC" w:rsidRDefault="00B42EF3">
      <w:pPr>
        <w:pStyle w:val="indexentry0"/>
      </w:pPr>
      <w:hyperlink w:anchor="section_879a1ee25d6c41818fd57b4b1b55949f">
        <w:r>
          <w:rPr>
            <w:rStyle w:val="Hyperlink"/>
          </w:rPr>
          <w:t>overflowPunct (Allow Punctuation to Extend Past Text Extents)</w:t>
        </w:r>
      </w:hyperlink>
      <w:r>
        <w:t xml:space="preserve"> </w:t>
      </w:r>
      <w:r>
        <w:fldChar w:fldCharType="begin"/>
      </w:r>
      <w:r>
        <w:instrText>PAGEREF section_879a1ee25d6c41818fd57b4b1b</w:instrText>
      </w:r>
      <w:r>
        <w:instrText>55949f</w:instrText>
      </w:r>
      <w:r>
        <w:fldChar w:fldCharType="separate"/>
      </w:r>
      <w:r>
        <w:rPr>
          <w:noProof/>
        </w:rPr>
        <w:t>68</w:t>
      </w:r>
      <w:r>
        <w:fldChar w:fldCharType="end"/>
      </w:r>
    </w:p>
    <w:p w:rsidR="005F78FC" w:rsidRDefault="00B42EF3">
      <w:pPr>
        <w:pStyle w:val="indexentry0"/>
      </w:pPr>
      <w:hyperlink w:anchor="section_4abcc4474ee3422cb12f0eb93ab89779">
        <w:r>
          <w:rPr>
            <w:rStyle w:val="Hyperlink"/>
          </w:rPr>
          <w:t>overlap (Overlap)</w:t>
        </w:r>
      </w:hyperlink>
      <w:r>
        <w:t xml:space="preserve"> </w:t>
      </w:r>
      <w:r>
        <w:fldChar w:fldCharType="begin"/>
      </w:r>
      <w:r>
        <w:instrText>PAGEREF section_4abcc4474ee3422cb12f0eb93ab89779</w:instrText>
      </w:r>
      <w:r>
        <w:fldChar w:fldCharType="separate"/>
      </w:r>
      <w:r>
        <w:rPr>
          <w:noProof/>
        </w:rPr>
        <w:t>561</w:t>
      </w:r>
      <w:r>
        <w:fldChar w:fldCharType="end"/>
      </w:r>
    </w:p>
    <w:p w:rsidR="005F78FC" w:rsidRDefault="005F78FC">
      <w:pPr>
        <w:spacing w:before="0" w:after="0"/>
        <w:rPr>
          <w:sz w:val="16"/>
        </w:rPr>
      </w:pPr>
    </w:p>
    <w:p w:rsidR="005F78FC" w:rsidRDefault="00B42EF3">
      <w:pPr>
        <w:pStyle w:val="indexheader"/>
      </w:pPr>
      <w:r>
        <w:t>P</w:t>
      </w:r>
    </w:p>
    <w:p w:rsidR="005F78FC" w:rsidRDefault="005F78FC">
      <w:pPr>
        <w:spacing w:before="0" w:after="0"/>
        <w:rPr>
          <w:sz w:val="16"/>
        </w:rPr>
      </w:pPr>
    </w:p>
    <w:p w:rsidR="005F78FC" w:rsidRDefault="00B42EF3">
      <w:pPr>
        <w:pStyle w:val="indexentry0"/>
      </w:pPr>
      <w:hyperlink w:anchor="section_920bba5747714fc3a39c9e6307c798e1">
        <w:r>
          <w:rPr>
            <w:rStyle w:val="Hyperlink"/>
          </w:rPr>
          <w:t>p (Member Property MDX Metadata)</w:t>
        </w:r>
      </w:hyperlink>
      <w:r>
        <w:t xml:space="preserve"> </w:t>
      </w:r>
      <w:r>
        <w:fldChar w:fldCharType="begin"/>
      </w:r>
      <w:r>
        <w:instrText>PAGEREF section_920bba5747714fc3a39c9e6307c798e1</w:instrText>
      </w:r>
      <w:r>
        <w:fldChar w:fldCharType="separate"/>
      </w:r>
      <w:r>
        <w:rPr>
          <w:noProof/>
        </w:rPr>
        <w:t>321</w:t>
      </w:r>
      <w:r>
        <w:fldChar w:fldCharType="end"/>
      </w:r>
    </w:p>
    <w:p w:rsidR="005F78FC" w:rsidRDefault="00B42EF3">
      <w:pPr>
        <w:pStyle w:val="indexentry0"/>
      </w:pPr>
      <w:hyperlink w:anchor="section_926783638af840998a4a44fa944c04ea">
        <w:r>
          <w:rPr>
            <w:rStyle w:val="Hyperlink"/>
          </w:rPr>
          <w:t>p (Paragraph)</w:t>
        </w:r>
      </w:hyperlink>
      <w:r>
        <w:t xml:space="preserve"> </w:t>
      </w:r>
      <w:r>
        <w:fldChar w:fldCharType="begin"/>
      </w:r>
      <w:r>
        <w:instrText>PAGEREF section_926783638af840998a4a44fa944c04ea</w:instrText>
      </w:r>
      <w:r>
        <w:fldChar w:fldCharType="separate"/>
      </w:r>
      <w:r>
        <w:rPr>
          <w:noProof/>
        </w:rPr>
        <w:t>69</w:t>
      </w:r>
      <w:r>
        <w:fldChar w:fldCharType="end"/>
      </w:r>
    </w:p>
    <w:p w:rsidR="005F78FC" w:rsidRDefault="00B42EF3">
      <w:pPr>
        <w:pStyle w:val="indexentry0"/>
      </w:pPr>
      <w:hyperlink w:anchor="section_de16a8a159de48a5b3c08d155229b609">
        <w:r>
          <w:rPr>
            <w:rStyle w:val="Hyperlink"/>
          </w:rPr>
          <w:t>p (Text Paragraphs)</w:t>
        </w:r>
      </w:hyperlink>
      <w:r>
        <w:t xml:space="preserve"> </w:t>
      </w:r>
      <w:r>
        <w:fldChar w:fldCharType="begin"/>
      </w:r>
      <w:r>
        <w:instrText>PAGEREF section_de16a8a159de48a5b3c08d155229b609</w:instrText>
      </w:r>
      <w:r>
        <w:fldChar w:fldCharType="separate"/>
      </w:r>
      <w:r>
        <w:rPr>
          <w:noProof/>
        </w:rPr>
        <w:t>535</w:t>
      </w:r>
      <w:r>
        <w:fldChar w:fldCharType="end"/>
      </w:r>
    </w:p>
    <w:p w:rsidR="005F78FC" w:rsidRDefault="00B42EF3">
      <w:pPr>
        <w:pStyle w:val="indexentry0"/>
      </w:pPr>
      <w:hyperlink w:anchor="section_245fab239fe44f6f9b45e6d17e5ccadf">
        <w:r>
          <w:rPr>
            <w:rStyle w:val="Hyperlink"/>
          </w:rPr>
          <w:t>Packages</w:t>
        </w:r>
      </w:hyperlink>
      <w:r>
        <w:t xml:space="preserve"> </w:t>
      </w:r>
      <w:r>
        <w:fldChar w:fldCharType="begin"/>
      </w:r>
      <w:r>
        <w:instrText>PAGEREF section_245fab239fe44f6f9b45e6d17e5ccadf</w:instrText>
      </w:r>
      <w:r>
        <w:fldChar w:fldCharType="separate"/>
      </w:r>
      <w:r>
        <w:rPr>
          <w:noProof/>
        </w:rPr>
        <w:t>48</w:t>
      </w:r>
      <w:r>
        <w:fldChar w:fldCharType="end"/>
      </w:r>
    </w:p>
    <w:p w:rsidR="005F78FC" w:rsidRDefault="00B42EF3">
      <w:pPr>
        <w:pStyle w:val="indexentry0"/>
      </w:pPr>
      <w:hyperlink w:anchor="section_9f43de269a174e698ce2d61e66016310">
        <w:r>
          <w:rPr>
            <w:rStyle w:val="Hyperlink"/>
          </w:rPr>
          <w:t>Page (Scroll Bar Page Increment)</w:t>
        </w:r>
      </w:hyperlink>
      <w:r>
        <w:t xml:space="preserve"> </w:t>
      </w:r>
      <w:r>
        <w:fldChar w:fldCharType="begin"/>
      </w:r>
      <w:r>
        <w:instrText>PAGEREF section_9f43de269a174e698ce2d61e66016310</w:instrText>
      </w:r>
      <w:r>
        <w:fldChar w:fldCharType="separate"/>
      </w:r>
      <w:r>
        <w:rPr>
          <w:noProof/>
        </w:rPr>
        <w:t>682</w:t>
      </w:r>
      <w:r>
        <w:fldChar w:fldCharType="end"/>
      </w:r>
    </w:p>
    <w:p w:rsidR="005F78FC" w:rsidRDefault="00B42EF3">
      <w:pPr>
        <w:pStyle w:val="indexentry0"/>
      </w:pPr>
      <w:hyperlink w:anchor="section_87cd92562a8c462c805a1e489575afd0">
        <w:r>
          <w:rPr>
            <w:rStyle w:val="Hyperlink"/>
          </w:rPr>
          <w:t>pageField (Page Field)</w:t>
        </w:r>
      </w:hyperlink>
      <w:r>
        <w:t xml:space="preserve"> </w:t>
      </w:r>
      <w:r>
        <w:fldChar w:fldCharType="begin"/>
      </w:r>
      <w:r>
        <w:instrText>PAGEREF section_87cd92562a8c462c805a1e489575afd0</w:instrText>
      </w:r>
      <w:r>
        <w:fldChar w:fldCharType="separate"/>
      </w:r>
      <w:r>
        <w:rPr>
          <w:noProof/>
        </w:rPr>
        <w:t>347</w:t>
      </w:r>
      <w:r>
        <w:fldChar w:fldCharType="end"/>
      </w:r>
    </w:p>
    <w:p w:rsidR="005F78FC" w:rsidRDefault="00B42EF3">
      <w:pPr>
        <w:pStyle w:val="indexentry0"/>
      </w:pPr>
      <w:hyperlink w:anchor="section_14b39f7e6d054a8a8cbc7fb18850a82a">
        <w:r>
          <w:rPr>
            <w:rStyle w:val="Hyperlink"/>
          </w:rPr>
          <w:t>pageFields (Page Field Items)</w:t>
        </w:r>
      </w:hyperlink>
      <w:r>
        <w:t xml:space="preserve"> </w:t>
      </w:r>
      <w:r>
        <w:fldChar w:fldCharType="begin"/>
      </w:r>
      <w:r>
        <w:instrText>PAGEREF section_14b39f7e6d054a8a8cbc7fb18850a82a</w:instrText>
      </w:r>
      <w:r>
        <w:fldChar w:fldCharType="separate"/>
      </w:r>
      <w:r>
        <w:rPr>
          <w:noProof/>
        </w:rPr>
        <w:t>348</w:t>
      </w:r>
      <w:r>
        <w:fldChar w:fldCharType="end"/>
      </w:r>
    </w:p>
    <w:p w:rsidR="005F78FC" w:rsidRDefault="00B42EF3">
      <w:pPr>
        <w:pStyle w:val="indexentry0"/>
      </w:pPr>
      <w:hyperlink w:anchor="section_4027d9f9ded64b99a6141ebec23feece">
        <w:r>
          <w:rPr>
            <w:rStyle w:val="Hyperlink"/>
          </w:rPr>
          <w:t>pageItem (Page Item)</w:t>
        </w:r>
      </w:hyperlink>
      <w:r>
        <w:t xml:space="preserve"> </w:t>
      </w:r>
      <w:r>
        <w:fldChar w:fldCharType="begin"/>
      </w:r>
      <w:r>
        <w:instrText>PAGEREF section_4027d9f9ded64b99a6141ebec23feece</w:instrText>
      </w:r>
      <w:r>
        <w:fldChar w:fldCharType="separate"/>
      </w:r>
      <w:r>
        <w:rPr>
          <w:noProof/>
        </w:rPr>
        <w:t>348</w:t>
      </w:r>
      <w:r>
        <w:fldChar w:fldCharType="end"/>
      </w:r>
    </w:p>
    <w:p w:rsidR="005F78FC" w:rsidRDefault="00B42EF3">
      <w:pPr>
        <w:pStyle w:val="indexentry0"/>
      </w:pPr>
      <w:r>
        <w:t>pageM</w:t>
      </w:r>
      <w:r>
        <w:t>argins (Page Margins) (</w:t>
      </w:r>
      <w:hyperlink w:anchor="section_261571d7a2234a99a584daab0bb4196c">
        <w:r>
          <w:rPr>
            <w:rStyle w:val="Hyperlink"/>
          </w:rPr>
          <w:t>section 2.1.636</w:t>
        </w:r>
      </w:hyperlink>
      <w:r>
        <w:t xml:space="preserve"> </w:t>
      </w:r>
      <w:r>
        <w:fldChar w:fldCharType="begin"/>
      </w:r>
      <w:r>
        <w:instrText>PAGEREF section_261571d7a2234a99a584daab0bb4196c</w:instrText>
      </w:r>
      <w:r>
        <w:fldChar w:fldCharType="separate"/>
      </w:r>
      <w:r>
        <w:rPr>
          <w:noProof/>
        </w:rPr>
        <w:t>269</w:t>
      </w:r>
      <w:r>
        <w:fldChar w:fldCharType="end"/>
      </w:r>
      <w:r>
        <w:t xml:space="preserve">, </w:t>
      </w:r>
      <w:hyperlink w:anchor="section_b030ac610cab41f3a9396a5c193f33f3">
        <w:r>
          <w:rPr>
            <w:rStyle w:val="Hyperlink"/>
          </w:rPr>
          <w:t>section 2.1.1508</w:t>
        </w:r>
      </w:hyperlink>
      <w:r>
        <w:t xml:space="preserve"> </w:t>
      </w:r>
      <w:r>
        <w:fldChar w:fldCharType="begin"/>
      </w:r>
      <w:r>
        <w:instrText>PAGEREF section_b03</w:instrText>
      </w:r>
      <w:r>
        <w:instrText>0ac610cab41f3a9396a5c193f33f3</w:instrText>
      </w:r>
      <w:r>
        <w:fldChar w:fldCharType="separate"/>
      </w:r>
      <w:r>
        <w:rPr>
          <w:noProof/>
        </w:rPr>
        <w:t>562</w:t>
      </w:r>
      <w:r>
        <w:fldChar w:fldCharType="end"/>
      </w:r>
      <w:r>
        <w:t>)</w:t>
      </w:r>
    </w:p>
    <w:p w:rsidR="005F78FC" w:rsidRDefault="00B42EF3">
      <w:pPr>
        <w:pStyle w:val="indexentry0"/>
      </w:pPr>
      <w:hyperlink w:anchor="section_819d2fe99c1445e5a35321c13c2ff1f4">
        <w:r>
          <w:rPr>
            <w:rStyle w:val="Hyperlink"/>
          </w:rPr>
          <w:t>PAGEREF</w:t>
        </w:r>
      </w:hyperlink>
      <w:r>
        <w:t xml:space="preserve"> </w:t>
      </w:r>
      <w:r>
        <w:fldChar w:fldCharType="begin"/>
      </w:r>
      <w:r>
        <w:instrText>PAGEREF section_819d2fe99c1445e5a35321c13c2ff1f4</w:instrText>
      </w:r>
      <w:r>
        <w:fldChar w:fldCharType="separate"/>
      </w:r>
      <w:r>
        <w:rPr>
          <w:noProof/>
        </w:rPr>
        <w:t>221</w:t>
      </w:r>
      <w:r>
        <w:fldChar w:fldCharType="end"/>
      </w:r>
    </w:p>
    <w:p w:rsidR="005F78FC" w:rsidRDefault="00B42EF3">
      <w:pPr>
        <w:pStyle w:val="indexentry0"/>
      </w:pPr>
      <w:hyperlink w:anchor="section_a3f0dcd307ed4e7bb08374ce6de5f195">
        <w:r>
          <w:rPr>
            <w:rStyle w:val="Hyperlink"/>
          </w:rPr>
          <w:t>pageSetup (Chart Sheet Page Setup)</w:t>
        </w:r>
      </w:hyperlink>
      <w:r>
        <w:t xml:space="preserve"> </w:t>
      </w:r>
      <w:r>
        <w:fldChar w:fldCharType="begin"/>
      </w:r>
      <w:r>
        <w:instrText>PAGEREF section_a3f0dcd307ed4e7bb08374ce6de5f195</w:instrText>
      </w:r>
      <w:r>
        <w:fldChar w:fldCharType="separate"/>
      </w:r>
      <w:r>
        <w:rPr>
          <w:noProof/>
        </w:rPr>
        <w:t>274</w:t>
      </w:r>
      <w:r>
        <w:fldChar w:fldCharType="end"/>
      </w:r>
    </w:p>
    <w:p w:rsidR="005F78FC" w:rsidRDefault="00B42EF3">
      <w:pPr>
        <w:pStyle w:val="indexentry0"/>
      </w:pPr>
      <w:hyperlink w:anchor="section_7d79dcced8fb43daa189f0e46658da62">
        <w:r>
          <w:rPr>
            <w:rStyle w:val="Hyperlink"/>
          </w:rPr>
          <w:t>pageSetup (Page Setup Settings)</w:t>
        </w:r>
      </w:hyperlink>
      <w:r>
        <w:t xml:space="preserve"> </w:t>
      </w:r>
      <w:r>
        <w:fldChar w:fldCharType="begin"/>
      </w:r>
      <w:r>
        <w:instrText>PAGEREF section_7d79dcced8fb43daa189f0e46658da62</w:instrText>
      </w:r>
      <w:r>
        <w:fldChar w:fldCharType="separate"/>
      </w:r>
      <w:r>
        <w:rPr>
          <w:noProof/>
        </w:rPr>
        <w:t>269</w:t>
      </w:r>
      <w:r>
        <w:fldChar w:fldCharType="end"/>
      </w:r>
    </w:p>
    <w:p w:rsidR="005F78FC" w:rsidRDefault="00B42EF3">
      <w:pPr>
        <w:pStyle w:val="indexentry0"/>
      </w:pPr>
      <w:hyperlink w:anchor="section_8ffbeaeb0d294ab783603f7b61509929">
        <w:r>
          <w:rPr>
            <w:rStyle w:val="Hyperlink"/>
          </w:rPr>
          <w:t>pageSetup (Page Setup)</w:t>
        </w:r>
      </w:hyperlink>
      <w:r>
        <w:t xml:space="preserve"> </w:t>
      </w:r>
      <w:r>
        <w:fldChar w:fldCharType="begin"/>
      </w:r>
      <w:r>
        <w:instrText>PAGEREF section_8ffbeaeb0d294ab783603f7b61509929</w:instrText>
      </w:r>
      <w:r>
        <w:fldChar w:fldCharType="separate"/>
      </w:r>
      <w:r>
        <w:rPr>
          <w:noProof/>
        </w:rPr>
        <w:t>562</w:t>
      </w:r>
      <w:r>
        <w:fldChar w:fldCharType="end"/>
      </w:r>
    </w:p>
    <w:p w:rsidR="005F78FC" w:rsidRDefault="00B42EF3">
      <w:pPr>
        <w:pStyle w:val="indexentry0"/>
      </w:pPr>
      <w:hyperlink w:anchor="section_ec58171895fa49388a746b840a7044ec">
        <w:r>
          <w:rPr>
            <w:rStyle w:val="Hyperlink"/>
          </w:rPr>
          <w:t>pane (View Pane)</w:t>
        </w:r>
      </w:hyperlink>
      <w:r>
        <w:t xml:space="preserve"> </w:t>
      </w:r>
      <w:r>
        <w:fldChar w:fldCharType="begin"/>
      </w:r>
      <w:r>
        <w:instrText>PAGEREF section_ec58171895fa49388a746b840a7044ec</w:instrText>
      </w:r>
      <w:r>
        <w:fldChar w:fldCharType="separate"/>
      </w:r>
      <w:r>
        <w:rPr>
          <w:noProof/>
        </w:rPr>
        <w:t>278</w:t>
      </w:r>
      <w:r>
        <w:fldChar w:fldCharType="end"/>
      </w:r>
    </w:p>
    <w:p w:rsidR="005F78FC" w:rsidRDefault="00B42EF3">
      <w:pPr>
        <w:pStyle w:val="indexentry0"/>
      </w:pPr>
      <w:hyperlink w:anchor="section_9d27324fe2a94774a3b30eb04da5170f">
        <w:r>
          <w:rPr>
            <w:rStyle w:val="Hyperlink"/>
          </w:rPr>
          <w:t>panose1 (Panose-1 Typeface Classification Number)</w:t>
        </w:r>
      </w:hyperlink>
      <w:r>
        <w:t xml:space="preserve"> </w:t>
      </w:r>
      <w:r>
        <w:fldChar w:fldCharType="begin"/>
      </w:r>
      <w:r>
        <w:instrText>PAGEREF section_9d27324fe2a94774a3b30eb04da5170f</w:instrText>
      </w:r>
      <w:r>
        <w:fldChar w:fldCharType="separate"/>
      </w:r>
      <w:r>
        <w:rPr>
          <w:noProof/>
        </w:rPr>
        <w:t>125</w:t>
      </w:r>
      <w:r>
        <w:fldChar w:fldCharType="end"/>
      </w:r>
    </w:p>
    <w:p w:rsidR="005F78FC" w:rsidRDefault="00B42EF3">
      <w:pPr>
        <w:pStyle w:val="indexentry0"/>
      </w:pPr>
      <w:hyperlink w:anchor="section_9702ba00325540d0901640f8b1da3f57">
        <w:r>
          <w:rPr>
            <w:rStyle w:val="Hyperlink"/>
          </w:rPr>
          <w:t>paperSrc (Paper Source Information)</w:t>
        </w:r>
      </w:hyperlink>
      <w:r>
        <w:t xml:space="preserve"> </w:t>
      </w:r>
      <w:r>
        <w:fldChar w:fldCharType="begin"/>
      </w:r>
      <w:r>
        <w:instrText>PAGEREF section_9702ba00325540d0901</w:instrText>
      </w:r>
      <w:r>
        <w:instrText>640f8b1da3f57</w:instrText>
      </w:r>
      <w:r>
        <w:fldChar w:fldCharType="separate"/>
      </w:r>
      <w:r>
        <w:rPr>
          <w:noProof/>
        </w:rPr>
        <w:t>105</w:t>
      </w:r>
      <w:r>
        <w:fldChar w:fldCharType="end"/>
      </w:r>
    </w:p>
    <w:p w:rsidR="005F78FC" w:rsidRDefault="00B42EF3">
      <w:pPr>
        <w:pStyle w:val="indexentry0"/>
      </w:pPr>
      <w:hyperlink w:anchor="section_bd62641d7786473f872d4b3205e91a82">
        <w:r>
          <w:rPr>
            <w:rStyle w:val="Hyperlink"/>
          </w:rPr>
          <w:t>Paragraph Styles</w:t>
        </w:r>
      </w:hyperlink>
      <w:r>
        <w:t xml:space="preserve"> </w:t>
      </w:r>
      <w:r>
        <w:fldChar w:fldCharType="begin"/>
      </w:r>
      <w:r>
        <w:instrText>PAGEREF section_bd62641d7786473f872d4b3205e91a82</w:instrText>
      </w:r>
      <w:r>
        <w:fldChar w:fldCharType="separate"/>
      </w:r>
      <w:r>
        <w:rPr>
          <w:noProof/>
        </w:rPr>
        <w:t>123</w:t>
      </w:r>
      <w:r>
        <w:fldChar w:fldCharType="end"/>
      </w:r>
    </w:p>
    <w:p w:rsidR="005F78FC" w:rsidRDefault="00B42EF3">
      <w:pPr>
        <w:pStyle w:val="indexentry0"/>
      </w:pPr>
      <w:hyperlink w:anchor="section_d2c9fd05dde64a48b4b7ef75f301b630">
        <w:r>
          <w:rPr>
            <w:rStyle w:val="Hyperlink"/>
          </w:rPr>
          <w:t>param (Parameter)</w:t>
        </w:r>
      </w:hyperlink>
      <w:r>
        <w:t xml:space="preserve"> </w:t>
      </w:r>
      <w:r>
        <w:fldChar w:fldCharType="begin"/>
      </w:r>
      <w:r>
        <w:instrText>PAGEREF section_d2c9fd05dd</w:instrText>
      </w:r>
      <w:r>
        <w:instrText>e64a48b4b7ef75f301b630</w:instrText>
      </w:r>
      <w:r>
        <w:fldChar w:fldCharType="separate"/>
      </w:r>
      <w:r>
        <w:rPr>
          <w:noProof/>
        </w:rPr>
        <w:t>586</w:t>
      </w:r>
      <w:r>
        <w:fldChar w:fldCharType="end"/>
      </w:r>
    </w:p>
    <w:p w:rsidR="005F78FC" w:rsidRDefault="00B42EF3">
      <w:pPr>
        <w:pStyle w:val="indexentry0"/>
      </w:pPr>
      <w:hyperlink w:anchor="section_26f1dd202d7b429fa0694235248a851a">
        <w:r>
          <w:rPr>
            <w:rStyle w:val="Hyperlink"/>
          </w:rPr>
          <w:t>parameter (Parameter Properties)</w:t>
        </w:r>
      </w:hyperlink>
      <w:r>
        <w:t xml:space="preserve"> </w:t>
      </w:r>
      <w:r>
        <w:fldChar w:fldCharType="begin"/>
      </w:r>
      <w:r>
        <w:instrText>PAGEREF section_26f1dd202d7b429fa0694235248a851a</w:instrText>
      </w:r>
      <w:r>
        <w:fldChar w:fldCharType="separate"/>
      </w:r>
      <w:r>
        <w:rPr>
          <w:noProof/>
        </w:rPr>
        <w:t>380</w:t>
      </w:r>
      <w:r>
        <w:fldChar w:fldCharType="end"/>
      </w:r>
    </w:p>
    <w:p w:rsidR="005F78FC" w:rsidRDefault="00B42EF3">
      <w:pPr>
        <w:pStyle w:val="indexentry0"/>
      </w:pPr>
      <w:hyperlink w:anchor="section_50fbe8538b614690ae6ccea5bbec5015">
        <w:r>
          <w:rPr>
            <w:rStyle w:val="Hyperlink"/>
          </w:rPr>
          <w:t>Part Name Syntax</w:t>
        </w:r>
      </w:hyperlink>
      <w:r>
        <w:t xml:space="preserve"> </w:t>
      </w:r>
      <w:r>
        <w:fldChar w:fldCharType="begin"/>
      </w:r>
      <w:r>
        <w:instrText>PA</w:instrText>
      </w:r>
      <w:r>
        <w:instrText>GEREF section_50fbe8538b614690ae6ccea5bbec5015</w:instrText>
      </w:r>
      <w:r>
        <w:fldChar w:fldCharType="separate"/>
      </w:r>
      <w:r>
        <w:rPr>
          <w:noProof/>
        </w:rPr>
        <w:t>624</w:t>
      </w:r>
      <w:r>
        <w:fldChar w:fldCharType="end"/>
      </w:r>
    </w:p>
    <w:p w:rsidR="005F78FC" w:rsidRDefault="00B42EF3">
      <w:pPr>
        <w:pStyle w:val="indexentry0"/>
      </w:pPr>
      <w:r>
        <w:t>Part Summary (</w:t>
      </w:r>
      <w:hyperlink w:anchor="section_c3233670f36446ed8ddf853d74c2bbc1">
        <w:r>
          <w:rPr>
            <w:rStyle w:val="Hyperlink"/>
          </w:rPr>
          <w:t>section 2.1.5</w:t>
        </w:r>
      </w:hyperlink>
      <w:r>
        <w:t xml:space="preserve"> </w:t>
      </w:r>
      <w:r>
        <w:fldChar w:fldCharType="begin"/>
      </w:r>
      <w:r>
        <w:instrText>PAGEREF section_c3233670f36446ed8ddf853d74c2bbc1</w:instrText>
      </w:r>
      <w:r>
        <w:fldChar w:fldCharType="separate"/>
      </w:r>
      <w:r>
        <w:rPr>
          <w:noProof/>
        </w:rPr>
        <w:t>48</w:t>
      </w:r>
      <w:r>
        <w:fldChar w:fldCharType="end"/>
      </w:r>
      <w:r>
        <w:t xml:space="preserve">, </w:t>
      </w:r>
      <w:hyperlink w:anchor="section_559aaaa9dbea49feaeebcd2aeb99f924">
        <w:r>
          <w:rPr>
            <w:rStyle w:val="Hyperlink"/>
          </w:rPr>
          <w:t>section 2.1.6</w:t>
        </w:r>
      </w:hyperlink>
      <w:r>
        <w:t xml:space="preserve"> </w:t>
      </w:r>
      <w:r>
        <w:fldChar w:fldCharType="begin"/>
      </w:r>
      <w:r>
        <w:instrText>PAGEREF section_559aaaa9dbea49feaeebcd2aeb99f924</w:instrText>
      </w:r>
      <w:r>
        <w:fldChar w:fldCharType="separate"/>
      </w:r>
      <w:r>
        <w:rPr>
          <w:noProof/>
        </w:rPr>
        <w:t>49</w:t>
      </w:r>
      <w:r>
        <w:fldChar w:fldCharType="end"/>
      </w:r>
      <w:r>
        <w:t xml:space="preserve">, </w:t>
      </w:r>
      <w:hyperlink w:anchor="section_861755efd1fe4366859cb88bab7810f4">
        <w:r>
          <w:rPr>
            <w:rStyle w:val="Hyperlink"/>
          </w:rPr>
          <w:t>section 2.1.14</w:t>
        </w:r>
      </w:hyperlink>
      <w:r>
        <w:t xml:space="preserve"> </w:t>
      </w:r>
      <w:r>
        <w:fldChar w:fldCharType="begin"/>
      </w:r>
      <w:r>
        <w:instrText>PAGEREF section_861755efd1fe4366859cb88bab7810f4</w:instrText>
      </w:r>
      <w:r>
        <w:fldChar w:fldCharType="separate"/>
      </w:r>
      <w:r>
        <w:rPr>
          <w:noProof/>
        </w:rPr>
        <w:t>52</w:t>
      </w:r>
      <w:r>
        <w:fldChar w:fldCharType="end"/>
      </w:r>
      <w:r>
        <w:t xml:space="preserve">, </w:t>
      </w:r>
      <w:hyperlink w:anchor="section_542685d1b8f8426ba15a6e179e8e8643">
        <w:r>
          <w:rPr>
            <w:rStyle w:val="Hyperlink"/>
          </w:rPr>
          <w:t>section 2.1.27</w:t>
        </w:r>
      </w:hyperlink>
      <w:r>
        <w:t xml:space="preserve"> </w:t>
      </w:r>
      <w:r>
        <w:fldChar w:fldCharType="begin"/>
      </w:r>
      <w:r>
        <w:instrText>PAGEREF section_542685d1b8f8426ba15a6e179e8e8643</w:instrText>
      </w:r>
      <w:r>
        <w:fldChar w:fldCharType="separate"/>
      </w:r>
      <w:r>
        <w:rPr>
          <w:noProof/>
        </w:rPr>
        <w:t>58</w:t>
      </w:r>
      <w:r>
        <w:fldChar w:fldCharType="end"/>
      </w:r>
      <w:r>
        <w:t>)</w:t>
      </w:r>
    </w:p>
    <w:p w:rsidR="005F78FC" w:rsidRDefault="00B42EF3">
      <w:pPr>
        <w:pStyle w:val="indexentry0"/>
      </w:pPr>
      <w:r>
        <w:t>path (Shape Path) (</w:t>
      </w:r>
      <w:hyperlink w:anchor="section_767f312ee0f5471cbbd8dc5181a9bda4">
        <w:r>
          <w:rPr>
            <w:rStyle w:val="Hyperlink"/>
          </w:rPr>
          <w:t>section 2.1.1309</w:t>
        </w:r>
      </w:hyperlink>
      <w:r>
        <w:t xml:space="preserve"> </w:t>
      </w:r>
      <w:r>
        <w:fldChar w:fldCharType="begin"/>
      </w:r>
      <w:r>
        <w:instrText>PAGEREF section_767f312ee0f5471cbbd8dc5181a9bda4</w:instrText>
      </w:r>
      <w:r>
        <w:fldChar w:fldCharType="separate"/>
      </w:r>
      <w:r>
        <w:rPr>
          <w:noProof/>
        </w:rPr>
        <w:t>519</w:t>
      </w:r>
      <w:r>
        <w:fldChar w:fldCharType="end"/>
      </w:r>
      <w:r>
        <w:t xml:space="preserve">, </w:t>
      </w:r>
      <w:hyperlink w:anchor="section_eaa61e5c76e94291aac648b1618eb395">
        <w:r>
          <w:rPr>
            <w:rStyle w:val="Hyperlink"/>
          </w:rPr>
          <w:t>section 2.1.1798</w:t>
        </w:r>
      </w:hyperlink>
      <w:r>
        <w:t xml:space="preserve"> </w:t>
      </w:r>
      <w:r>
        <w:fldChar w:fldCharType="begin"/>
      </w:r>
      <w:r>
        <w:instrText>PAGEREF section_eaa61e5c76e94291aac648b1618eb395</w:instrText>
      </w:r>
      <w:r>
        <w:fldChar w:fldCharType="separate"/>
      </w:r>
      <w:r>
        <w:rPr>
          <w:noProof/>
        </w:rPr>
        <w:t>650</w:t>
      </w:r>
      <w:r>
        <w:fldChar w:fldCharType="end"/>
      </w:r>
      <w:r>
        <w:t>)</w:t>
      </w:r>
    </w:p>
    <w:p w:rsidR="005F78FC" w:rsidRDefault="00B42EF3">
      <w:pPr>
        <w:pStyle w:val="indexentry0"/>
      </w:pPr>
      <w:hyperlink w:anchor="section_1bef1e6aca8a4f4c9d452a4d84daf079">
        <w:r>
          <w:rPr>
            <w:rStyle w:val="Hyperlink"/>
          </w:rPr>
          <w:t>PEARSON</w:t>
        </w:r>
      </w:hyperlink>
      <w:r>
        <w:t xml:space="preserve"> </w:t>
      </w:r>
      <w:r>
        <w:fldChar w:fldCharType="begin"/>
      </w:r>
      <w:r>
        <w:instrText>PAGEREF section_1bef1e6aca8a4f4c9d452a4d84daf079</w:instrText>
      </w:r>
      <w:r>
        <w:fldChar w:fldCharType="separate"/>
      </w:r>
      <w:r>
        <w:rPr>
          <w:noProof/>
        </w:rPr>
        <w:t>441</w:t>
      </w:r>
      <w:r>
        <w:fldChar w:fldCharType="end"/>
      </w:r>
    </w:p>
    <w:p w:rsidR="005F78FC" w:rsidRDefault="00B42EF3">
      <w:pPr>
        <w:pStyle w:val="indexentry0"/>
      </w:pPr>
      <w:hyperlink w:anchor="section_c7d5519620ea494ebc189f54df3eaca6">
        <w:r>
          <w:rPr>
            <w:rStyle w:val="Hyperlink"/>
          </w:rPr>
          <w:t>PERCENTILE</w:t>
        </w:r>
      </w:hyperlink>
      <w:r>
        <w:t xml:space="preserve"> </w:t>
      </w:r>
      <w:r>
        <w:fldChar w:fldCharType="begin"/>
      </w:r>
      <w:r>
        <w:instrText>PAGEREF section_c7d5519620ea494ebc189f54df3eaca6</w:instrText>
      </w:r>
      <w:r>
        <w:fldChar w:fldCharType="separate"/>
      </w:r>
      <w:r>
        <w:rPr>
          <w:noProof/>
        </w:rPr>
        <w:t>442</w:t>
      </w:r>
      <w:r>
        <w:fldChar w:fldCharType="end"/>
      </w:r>
    </w:p>
    <w:p w:rsidR="005F78FC" w:rsidRDefault="00B42EF3">
      <w:pPr>
        <w:pStyle w:val="indexentry0"/>
      </w:pPr>
      <w:hyperlink w:anchor="section_ee517e537e4049ca8431f184ad2cd716">
        <w:r>
          <w:rPr>
            <w:rStyle w:val="Hyperlink"/>
          </w:rPr>
          <w:t>PERCENTRANK</w:t>
        </w:r>
      </w:hyperlink>
      <w:r>
        <w:t xml:space="preserve"> </w:t>
      </w:r>
      <w:r>
        <w:fldChar w:fldCharType="begin"/>
      </w:r>
      <w:r>
        <w:instrText>PAGEREF section_ee517e537e4049ca8431f184ad2cd716</w:instrText>
      </w:r>
      <w:r>
        <w:fldChar w:fldCharType="separate"/>
      </w:r>
      <w:r>
        <w:rPr>
          <w:noProof/>
        </w:rPr>
        <w:t>442</w:t>
      </w:r>
      <w:r>
        <w:fldChar w:fldCharType="end"/>
      </w:r>
    </w:p>
    <w:p w:rsidR="005F78FC" w:rsidRDefault="00B42EF3">
      <w:pPr>
        <w:pStyle w:val="indexentry0"/>
      </w:pPr>
      <w:hyperlink w:anchor="section_1a9be881a8fa4b3f95461bef22ea3b41">
        <w:r>
          <w:rPr>
            <w:rStyle w:val="Hyperlink"/>
          </w:rPr>
          <w:t>period (Period)</w:t>
        </w:r>
      </w:hyperlink>
      <w:r>
        <w:t xml:space="preserve"> </w:t>
      </w:r>
      <w:r>
        <w:fldChar w:fldCharType="begin"/>
      </w:r>
      <w:r>
        <w:instrText>PAGEREF section_1a9be881a8fa4b3f95461bef22ea3b41</w:instrText>
      </w:r>
      <w:r>
        <w:fldChar w:fldCharType="separate"/>
      </w:r>
      <w:r>
        <w:rPr>
          <w:noProof/>
        </w:rPr>
        <w:t>566</w:t>
      </w:r>
      <w:r>
        <w:fldChar w:fldCharType="end"/>
      </w:r>
    </w:p>
    <w:p w:rsidR="005F78FC" w:rsidRDefault="00B42EF3">
      <w:pPr>
        <w:pStyle w:val="indexentry0"/>
      </w:pPr>
      <w:hyperlink w:anchor="section_d3f13602f1564b7f928a9afd1eccafd5">
        <w:r>
          <w:rPr>
            <w:rStyle w:val="Hyperlink"/>
          </w:rPr>
          <w:t>permEnd (Range Permission End)</w:t>
        </w:r>
      </w:hyperlink>
      <w:r>
        <w:t xml:space="preserve"> </w:t>
      </w:r>
      <w:r>
        <w:fldChar w:fldCharType="begin"/>
      </w:r>
      <w:r>
        <w:instrText>PAGEREF section_d3f13602f1564b7f928a9afd1eccafd5</w:instrText>
      </w:r>
      <w:r>
        <w:fldChar w:fldCharType="separate"/>
      </w:r>
      <w:r>
        <w:rPr>
          <w:noProof/>
        </w:rPr>
        <w:t>144</w:t>
      </w:r>
      <w:r>
        <w:fldChar w:fldCharType="end"/>
      </w:r>
    </w:p>
    <w:p w:rsidR="005F78FC" w:rsidRDefault="00B42EF3">
      <w:pPr>
        <w:pStyle w:val="indexentry0"/>
      </w:pPr>
      <w:hyperlink w:anchor="section_25f91d1968a2419086112d804a821d10">
        <w:r>
          <w:rPr>
            <w:rStyle w:val="Hyperlink"/>
          </w:rPr>
          <w:t>permStart (Range Permission Start)</w:t>
        </w:r>
      </w:hyperlink>
      <w:r>
        <w:t xml:space="preserve"> </w:t>
      </w:r>
      <w:r>
        <w:fldChar w:fldCharType="begin"/>
      </w:r>
      <w:r>
        <w:instrText>PAGEREF section_25f91d1968a2419086112d804a821d10</w:instrText>
      </w:r>
      <w:r>
        <w:fldChar w:fldCharType="separate"/>
      </w:r>
      <w:r>
        <w:rPr>
          <w:noProof/>
        </w:rPr>
        <w:t>144</w:t>
      </w:r>
      <w:r>
        <w:fldChar w:fldCharType="end"/>
      </w:r>
    </w:p>
    <w:p w:rsidR="005F78FC" w:rsidRDefault="00B42EF3">
      <w:pPr>
        <w:pStyle w:val="indexentry0"/>
      </w:pPr>
      <w:hyperlink w:anchor="section_c631f4afc4c64edd9bc0608602943ea2">
        <w:r>
          <w:rPr>
            <w:rStyle w:val="Hyperlink"/>
          </w:rPr>
          <w:t>Person (Person)</w:t>
        </w:r>
      </w:hyperlink>
      <w:r>
        <w:t xml:space="preserve"> </w:t>
      </w:r>
      <w:r>
        <w:fldChar w:fldCharType="begin"/>
      </w:r>
      <w:r>
        <w:instrText>PAGEREF section_c631f4afc4c64edd9bc0608602943ea2</w:instrText>
      </w:r>
      <w:r>
        <w:fldChar w:fldCharType="separate"/>
      </w:r>
      <w:r>
        <w:rPr>
          <w:noProof/>
        </w:rPr>
        <w:t>615</w:t>
      </w:r>
      <w:r>
        <w:fldChar w:fldCharType="end"/>
      </w:r>
    </w:p>
    <w:p w:rsidR="005F78FC" w:rsidRDefault="00B42EF3">
      <w:pPr>
        <w:pStyle w:val="indexentry0"/>
      </w:pPr>
      <w:hyperlink w:anchor="section_8214eaf1a8b14e1a99543a5068b6d3ce">
        <w:r>
          <w:rPr>
            <w:rStyle w:val="Hyperlink"/>
          </w:rPr>
          <w:t>personal (E-Mail Message Text Style)</w:t>
        </w:r>
      </w:hyperlink>
      <w:r>
        <w:t xml:space="preserve"> </w:t>
      </w:r>
      <w:r>
        <w:fldChar w:fldCharType="begin"/>
      </w:r>
      <w:r>
        <w:instrText>PAGEREF section_8214eaf1a8b14e1a99543a5068b6d3ce</w:instrText>
      </w:r>
      <w:r>
        <w:fldChar w:fldCharType="separate"/>
      </w:r>
      <w:r>
        <w:rPr>
          <w:noProof/>
        </w:rPr>
        <w:t>119</w:t>
      </w:r>
      <w:r>
        <w:fldChar w:fldCharType="end"/>
      </w:r>
    </w:p>
    <w:p w:rsidR="005F78FC" w:rsidRDefault="00B42EF3">
      <w:pPr>
        <w:pStyle w:val="indexentry0"/>
      </w:pPr>
      <w:hyperlink w:anchor="section_ed224d8374a34499ac0b58e27f0f8474">
        <w:r>
          <w:rPr>
            <w:rStyle w:val="Hyperlink"/>
          </w:rPr>
          <w:t>personalCompose (E-Mail Message Composition Style)</w:t>
        </w:r>
      </w:hyperlink>
      <w:r>
        <w:t xml:space="preserve"> </w:t>
      </w:r>
      <w:r>
        <w:fldChar w:fldCharType="begin"/>
      </w:r>
      <w:r>
        <w:instrText>PAGEREF section_ed224d8374a34499ac0b58e27f0f8474</w:instrText>
      </w:r>
      <w:r>
        <w:fldChar w:fldCharType="separate"/>
      </w:r>
      <w:r>
        <w:rPr>
          <w:noProof/>
        </w:rPr>
        <w:t>119</w:t>
      </w:r>
      <w:r>
        <w:fldChar w:fldCharType="end"/>
      </w:r>
    </w:p>
    <w:p w:rsidR="005F78FC" w:rsidRDefault="00B42EF3">
      <w:pPr>
        <w:pStyle w:val="indexentry0"/>
      </w:pPr>
      <w:hyperlink w:anchor="section_a0c391fe1c0e40a3b97dfb9edcb61a83">
        <w:r>
          <w:rPr>
            <w:rStyle w:val="Hyperlink"/>
          </w:rPr>
          <w:t>personalReply (E-Mail Message Reply Style)</w:t>
        </w:r>
      </w:hyperlink>
      <w:r>
        <w:t xml:space="preserve"> </w:t>
      </w:r>
      <w:r>
        <w:fldChar w:fldCharType="begin"/>
      </w:r>
      <w:r>
        <w:instrText>PAGEREF sec</w:instrText>
      </w:r>
      <w:r>
        <w:instrText>tion_a0c391fe1c0e40a3b97dfb9edcb61a83</w:instrText>
      </w:r>
      <w:r>
        <w:fldChar w:fldCharType="separate"/>
      </w:r>
      <w:r>
        <w:rPr>
          <w:noProof/>
        </w:rPr>
        <w:t>119</w:t>
      </w:r>
      <w:r>
        <w:fldChar w:fldCharType="end"/>
      </w:r>
    </w:p>
    <w:p w:rsidR="005F78FC" w:rsidRDefault="00B42EF3">
      <w:pPr>
        <w:pStyle w:val="indexentry0"/>
      </w:pPr>
      <w:hyperlink w:anchor="section_6aa1047e4bc04a228292385d1f45a437">
        <w:r>
          <w:rPr>
            <w:rStyle w:val="Hyperlink"/>
          </w:rPr>
          <w:t>perspective (Perspective)</w:t>
        </w:r>
      </w:hyperlink>
      <w:r>
        <w:t xml:space="preserve"> </w:t>
      </w:r>
      <w:r>
        <w:fldChar w:fldCharType="begin"/>
      </w:r>
      <w:r>
        <w:instrText>PAGEREF section_6aa1047e4bc04a228292385d1f45a437</w:instrText>
      </w:r>
      <w:r>
        <w:fldChar w:fldCharType="separate"/>
      </w:r>
      <w:r>
        <w:rPr>
          <w:noProof/>
        </w:rPr>
        <w:t>567</w:t>
      </w:r>
      <w:r>
        <w:fldChar w:fldCharType="end"/>
      </w:r>
    </w:p>
    <w:p w:rsidR="005F78FC" w:rsidRDefault="00B42EF3">
      <w:pPr>
        <w:pStyle w:val="indexentry0"/>
      </w:pPr>
      <w:hyperlink w:anchor="section_5307147fa81a42d2b84c3a2b50576876">
        <w:r>
          <w:rPr>
            <w:rStyle w:val="Hyperlink"/>
          </w:rPr>
          <w:t>pgBorders (Pa</w:t>
        </w:r>
        <w:r>
          <w:rPr>
            <w:rStyle w:val="Hyperlink"/>
          </w:rPr>
          <w:t>ge Borders)</w:t>
        </w:r>
      </w:hyperlink>
      <w:r>
        <w:t xml:space="preserve"> </w:t>
      </w:r>
      <w:r>
        <w:fldChar w:fldCharType="begin"/>
      </w:r>
      <w:r>
        <w:instrText>PAGEREF section_5307147fa81a42d2b84c3a2b50576876</w:instrText>
      </w:r>
      <w:r>
        <w:fldChar w:fldCharType="separate"/>
      </w:r>
      <w:r>
        <w:rPr>
          <w:noProof/>
        </w:rPr>
        <w:t>105</w:t>
      </w:r>
      <w:r>
        <w:fldChar w:fldCharType="end"/>
      </w:r>
    </w:p>
    <w:p w:rsidR="005F78FC" w:rsidRDefault="00B42EF3">
      <w:pPr>
        <w:pStyle w:val="indexentry0"/>
      </w:pPr>
      <w:hyperlink w:anchor="section_c13857a66aa54b53a2a8a8498e62085b">
        <w:r>
          <w:rPr>
            <w:rStyle w:val="Hyperlink"/>
          </w:rPr>
          <w:t>pgMar (Page Margins)</w:t>
        </w:r>
      </w:hyperlink>
      <w:r>
        <w:t xml:space="preserve"> </w:t>
      </w:r>
      <w:r>
        <w:fldChar w:fldCharType="begin"/>
      </w:r>
      <w:r>
        <w:instrText>PAGEREF section_c13857a66aa54b53a2a8a8498e62085b</w:instrText>
      </w:r>
      <w:r>
        <w:fldChar w:fldCharType="separate"/>
      </w:r>
      <w:r>
        <w:rPr>
          <w:noProof/>
        </w:rPr>
        <w:t>106</w:t>
      </w:r>
      <w:r>
        <w:fldChar w:fldCharType="end"/>
      </w:r>
    </w:p>
    <w:p w:rsidR="005F78FC" w:rsidRDefault="00B42EF3">
      <w:pPr>
        <w:pStyle w:val="indexentry0"/>
      </w:pPr>
      <w:hyperlink w:anchor="section_a3bbd1887d1e400c9ea71d8f96eb62c4">
        <w:r>
          <w:rPr>
            <w:rStyle w:val="Hyperlink"/>
          </w:rPr>
          <w:t>pgNumType (Page Numbering Settings)</w:t>
        </w:r>
      </w:hyperlink>
      <w:r>
        <w:t xml:space="preserve"> </w:t>
      </w:r>
      <w:r>
        <w:fldChar w:fldCharType="begin"/>
      </w:r>
      <w:r>
        <w:instrText>PAGEREF section_a3bbd1887d1e400c9ea71d8f96eb62c4</w:instrText>
      </w:r>
      <w:r>
        <w:fldChar w:fldCharType="separate"/>
      </w:r>
      <w:r>
        <w:rPr>
          <w:noProof/>
        </w:rPr>
        <w:t>106</w:t>
      </w:r>
      <w:r>
        <w:fldChar w:fldCharType="end"/>
      </w:r>
    </w:p>
    <w:p w:rsidR="005F78FC" w:rsidRDefault="00B42EF3">
      <w:pPr>
        <w:pStyle w:val="indexentry0"/>
      </w:pPr>
      <w:hyperlink w:anchor="section_e701752006b4438f97d23e49f247ca9f">
        <w:r>
          <w:rPr>
            <w:rStyle w:val="Hyperlink"/>
          </w:rPr>
          <w:t>pgSz (Page Size)</w:t>
        </w:r>
      </w:hyperlink>
      <w:r>
        <w:t xml:space="preserve"> </w:t>
      </w:r>
      <w:r>
        <w:fldChar w:fldCharType="begin"/>
      </w:r>
      <w:r>
        <w:instrText>PAGEREF section_e701752006b4438f97d23e49f247ca9f</w:instrText>
      </w:r>
      <w:r>
        <w:fldChar w:fldCharType="separate"/>
      </w:r>
      <w:r>
        <w:rPr>
          <w:noProof/>
        </w:rPr>
        <w:t>106</w:t>
      </w:r>
      <w:r>
        <w:fldChar w:fldCharType="end"/>
      </w:r>
    </w:p>
    <w:p w:rsidR="005F78FC" w:rsidRDefault="00B42EF3">
      <w:pPr>
        <w:pStyle w:val="indexentry0"/>
      </w:pPr>
      <w:hyperlink w:anchor="section_3ec954b237a641da897304a592c91fb2">
        <w:r>
          <w:rPr>
            <w:rStyle w:val="Hyperlink"/>
          </w:rPr>
          <w:t>ph (Placeholder Shape)</w:t>
        </w:r>
      </w:hyperlink>
      <w:r>
        <w:t xml:space="preserve"> </w:t>
      </w:r>
      <w:r>
        <w:fldChar w:fldCharType="begin"/>
      </w:r>
      <w:r>
        <w:instrText>PAGEREF section_3ec954b237a641da897304a592c91fb2</w:instrText>
      </w:r>
      <w:r>
        <w:fldChar w:fldCharType="separate"/>
      </w:r>
      <w:r>
        <w:rPr>
          <w:noProof/>
        </w:rPr>
        <w:t>471</w:t>
      </w:r>
      <w:r>
        <w:fldChar w:fldCharType="end"/>
      </w:r>
    </w:p>
    <w:p w:rsidR="005F78FC" w:rsidRDefault="00B42EF3">
      <w:pPr>
        <w:pStyle w:val="indexentry0"/>
      </w:pPr>
      <w:hyperlink w:anchor="section_74064828dc594db8a64240356809ec71">
        <w:r>
          <w:rPr>
            <w:rStyle w:val="Hyperlink"/>
          </w:rPr>
          <w:t>phant (Phantom Object)</w:t>
        </w:r>
      </w:hyperlink>
      <w:r>
        <w:t xml:space="preserve"> </w:t>
      </w:r>
      <w:r>
        <w:fldChar w:fldCharType="begin"/>
      </w:r>
      <w:r>
        <w:instrText>PAGEREF section_74064828dc594db8</w:instrText>
      </w:r>
      <w:r>
        <w:instrText>a64240356809ec71</w:instrText>
      </w:r>
      <w:r>
        <w:fldChar w:fldCharType="separate"/>
      </w:r>
      <w:r>
        <w:rPr>
          <w:noProof/>
        </w:rPr>
        <w:t>603</w:t>
      </w:r>
      <w:r>
        <w:fldChar w:fldCharType="end"/>
      </w:r>
    </w:p>
    <w:p w:rsidR="005F78FC" w:rsidRDefault="00B42EF3">
      <w:pPr>
        <w:pStyle w:val="indexentry0"/>
      </w:pPr>
      <w:hyperlink w:anchor="section_90eb53d6da854c0280cf509eeec5124a">
        <w:r>
          <w:rPr>
            <w:rStyle w:val="Hyperlink"/>
          </w:rPr>
          <w:t>phoneticPr (Phonetic Properties)</w:t>
        </w:r>
      </w:hyperlink>
      <w:r>
        <w:t xml:space="preserve"> </w:t>
      </w:r>
      <w:r>
        <w:fldChar w:fldCharType="begin"/>
      </w:r>
      <w:r>
        <w:instrText>PAGEREF section_90eb53d6da854c0280cf509eeec5124a</w:instrText>
      </w:r>
      <w:r>
        <w:fldChar w:fldCharType="separate"/>
      </w:r>
      <w:r>
        <w:rPr>
          <w:noProof/>
        </w:rPr>
        <w:t>292</w:t>
      </w:r>
      <w:r>
        <w:fldChar w:fldCharType="end"/>
      </w:r>
    </w:p>
    <w:p w:rsidR="005F78FC" w:rsidRDefault="00B42EF3">
      <w:pPr>
        <w:pStyle w:val="indexentry0"/>
      </w:pPr>
      <w:hyperlink w:anchor="section_e80b4fafba5943169c8e0bb6dddcf9f9">
        <w:r>
          <w:rPr>
            <w:rStyle w:val="Hyperlink"/>
          </w:rPr>
          <w:t>photoAlbum (Photo Album Inf</w:t>
        </w:r>
        <w:r>
          <w:rPr>
            <w:rStyle w:val="Hyperlink"/>
          </w:rPr>
          <w:t>ormation)</w:t>
        </w:r>
      </w:hyperlink>
      <w:r>
        <w:t xml:space="preserve"> </w:t>
      </w:r>
      <w:r>
        <w:fldChar w:fldCharType="begin"/>
      </w:r>
      <w:r>
        <w:instrText>PAGEREF section_e80b4fafba5943169c8e0bb6dddcf9f9</w:instrText>
      </w:r>
      <w:r>
        <w:fldChar w:fldCharType="separate"/>
      </w:r>
      <w:r>
        <w:rPr>
          <w:noProof/>
        </w:rPr>
        <w:t>467</w:t>
      </w:r>
      <w:r>
        <w:fldChar w:fldCharType="end"/>
      </w:r>
    </w:p>
    <w:p w:rsidR="005F78FC" w:rsidRDefault="00B42EF3">
      <w:pPr>
        <w:pStyle w:val="indexentry0"/>
      </w:pPr>
      <w:r>
        <w:t>pic (Picture) (</w:t>
      </w:r>
      <w:hyperlink w:anchor="section_40e963da7d5241599f8632ae4a5576e4">
        <w:r>
          <w:rPr>
            <w:rStyle w:val="Hyperlink"/>
          </w:rPr>
          <w:t>section 2.1.1363</w:t>
        </w:r>
      </w:hyperlink>
      <w:r>
        <w:t xml:space="preserve"> </w:t>
      </w:r>
      <w:r>
        <w:fldChar w:fldCharType="begin"/>
      </w:r>
      <w:r>
        <w:instrText>PAGEREF section_40e963da7d5241599f8632ae4a5576e4</w:instrText>
      </w:r>
      <w:r>
        <w:fldChar w:fldCharType="separate"/>
      </w:r>
      <w:r>
        <w:rPr>
          <w:noProof/>
        </w:rPr>
        <w:t>529</w:t>
      </w:r>
      <w:r>
        <w:fldChar w:fldCharType="end"/>
      </w:r>
      <w:r>
        <w:t xml:space="preserve">, </w:t>
      </w:r>
      <w:hyperlink w:anchor="section_7b4add6c9a8b4db2ad3c60b251768118">
        <w:r>
          <w:rPr>
            <w:rStyle w:val="Hyperlink"/>
          </w:rPr>
          <w:t>section 2.1.1602</w:t>
        </w:r>
      </w:hyperlink>
      <w:r>
        <w:t xml:space="preserve"> </w:t>
      </w:r>
      <w:r>
        <w:fldChar w:fldCharType="begin"/>
      </w:r>
      <w:r>
        <w:instrText>PAGEREF section_7b4add6c9a8b4db2ad3c60b251768118</w:instrText>
      </w:r>
      <w:r>
        <w:fldChar w:fldCharType="separate"/>
      </w:r>
      <w:r>
        <w:rPr>
          <w:noProof/>
        </w:rPr>
        <w:t>584</w:t>
      </w:r>
      <w:r>
        <w:fldChar w:fldCharType="end"/>
      </w:r>
      <w:r>
        <w:t>)</w:t>
      </w:r>
    </w:p>
    <w:p w:rsidR="005F78FC" w:rsidRDefault="00B42EF3">
      <w:pPr>
        <w:pStyle w:val="indexentry0"/>
      </w:pPr>
      <w:hyperlink w:anchor="section_57e0125f979847efbc6e53ffae4f6c28">
        <w:r>
          <w:rPr>
            <w:rStyle w:val="Hyperlink"/>
          </w:rPr>
          <w:t>picLocks (Picture Locks)</w:t>
        </w:r>
      </w:hyperlink>
      <w:r>
        <w:t xml:space="preserve"> </w:t>
      </w:r>
      <w:r>
        <w:fldChar w:fldCharType="begin"/>
      </w:r>
      <w:r>
        <w:instrText>PAGEREF section_57e0125f979847efbc6e53ffae4f6c28</w:instrText>
      </w:r>
      <w:r>
        <w:fldChar w:fldCharType="separate"/>
      </w:r>
      <w:r>
        <w:rPr>
          <w:noProof/>
        </w:rPr>
        <w:t>501</w:t>
      </w:r>
      <w:r>
        <w:fldChar w:fldCharType="end"/>
      </w:r>
    </w:p>
    <w:p w:rsidR="005F78FC" w:rsidRDefault="00B42EF3">
      <w:pPr>
        <w:pStyle w:val="indexentry0"/>
      </w:pPr>
      <w:hyperlink w:anchor="section_48d0ff08ee0344979165e3416d733d48">
        <w:r>
          <w:rPr>
            <w:rStyle w:val="Hyperlink"/>
          </w:rPr>
          <w:t>pict (Picture Numbering Symbol Properties)</w:t>
        </w:r>
      </w:hyperlink>
      <w:r>
        <w:t xml:space="preserve"> </w:t>
      </w:r>
      <w:r>
        <w:fldChar w:fldCharType="begin"/>
      </w:r>
      <w:r>
        <w:instrText>PAGEREF section_48d0ff08ee0344979165e3416d733d48</w:instrText>
      </w:r>
      <w:r>
        <w:fldChar w:fldCharType="separate"/>
      </w:r>
      <w:r>
        <w:rPr>
          <w:noProof/>
        </w:rPr>
        <w:t>627</w:t>
      </w:r>
      <w:r>
        <w:fldChar w:fldCharType="end"/>
      </w:r>
    </w:p>
    <w:p w:rsidR="005F78FC" w:rsidRDefault="00B42EF3">
      <w:pPr>
        <w:pStyle w:val="indexentry0"/>
      </w:pPr>
      <w:hyperlink w:anchor="section_fe001c421c534ef1ba7fddc9fa651a5d">
        <w:r>
          <w:rPr>
            <w:rStyle w:val="Hyperlink"/>
          </w:rPr>
          <w:t>pict (VML Object)</w:t>
        </w:r>
      </w:hyperlink>
      <w:r>
        <w:t xml:space="preserve"> </w:t>
      </w:r>
      <w:r>
        <w:fldChar w:fldCharType="begin"/>
      </w:r>
      <w:r>
        <w:instrText>PAGEREF section_fe001c421c534ef1ba7fddc9fa65</w:instrText>
      </w:r>
      <w:r>
        <w:instrText>1a5d</w:instrText>
      </w:r>
      <w:r>
        <w:fldChar w:fldCharType="separate"/>
      </w:r>
      <w:r>
        <w:rPr>
          <w:noProof/>
        </w:rPr>
        <w:t>626</w:t>
      </w:r>
      <w:r>
        <w:fldChar w:fldCharType="end"/>
      </w:r>
    </w:p>
    <w:p w:rsidR="005F78FC" w:rsidRDefault="00B42EF3">
      <w:pPr>
        <w:pStyle w:val="indexentry0"/>
      </w:pPr>
      <w:hyperlink w:anchor="section_5499d4e25dcc4a22ab780ea8a5bb50ee">
        <w:r>
          <w:rPr>
            <w:rStyle w:val="Hyperlink"/>
          </w:rPr>
          <w:t>picture (Standard COM Picture Object)</w:t>
        </w:r>
      </w:hyperlink>
      <w:r>
        <w:t xml:space="preserve"> </w:t>
      </w:r>
      <w:r>
        <w:fldChar w:fldCharType="begin"/>
      </w:r>
      <w:r>
        <w:instrText>PAGEREF section_5499d4e25dcc4a22ab780ea8a5bb50ee</w:instrText>
      </w:r>
      <w:r>
        <w:fldChar w:fldCharType="separate"/>
      </w:r>
      <w:r>
        <w:rPr>
          <w:noProof/>
        </w:rPr>
        <w:t>882</w:t>
      </w:r>
      <w:r>
        <w:fldChar w:fldCharType="end"/>
      </w:r>
    </w:p>
    <w:p w:rsidR="005F78FC" w:rsidRDefault="00B42EF3">
      <w:pPr>
        <w:pStyle w:val="indexentry0"/>
      </w:pPr>
      <w:hyperlink w:anchor="section_49556f620f364dc08a71075a46b62142">
        <w:r>
          <w:rPr>
            <w:rStyle w:val="Hyperlink"/>
          </w:rPr>
          <w:t>pictureOptions (Picture Options)</w:t>
        </w:r>
      </w:hyperlink>
      <w:r>
        <w:t xml:space="preserve"> </w:t>
      </w:r>
      <w:r>
        <w:fldChar w:fldCharType="begin"/>
      </w:r>
      <w:r>
        <w:instrText>PAGEREF section_49556f620f364dc08a71075a46b62142</w:instrText>
      </w:r>
      <w:r>
        <w:fldChar w:fldCharType="separate"/>
      </w:r>
      <w:r>
        <w:rPr>
          <w:noProof/>
        </w:rPr>
        <w:t>567</w:t>
      </w:r>
      <w:r>
        <w:fldChar w:fldCharType="end"/>
      </w:r>
    </w:p>
    <w:p w:rsidR="005F78FC" w:rsidRDefault="00B42EF3">
      <w:pPr>
        <w:pStyle w:val="indexentry0"/>
      </w:pPr>
      <w:hyperlink w:anchor="section_06c618921ab34e35a09dee70b3a3c704">
        <w:r>
          <w:rPr>
            <w:rStyle w:val="Hyperlink"/>
          </w:rPr>
          <w:t>pie3DChart (3D Pie Charts)</w:t>
        </w:r>
      </w:hyperlink>
      <w:r>
        <w:t xml:space="preserve"> </w:t>
      </w:r>
      <w:r>
        <w:fldChar w:fldCharType="begin"/>
      </w:r>
      <w:r>
        <w:instrText>PAGEREF section_06c618921ab34e35a09dee70b3a3c704</w:instrText>
      </w:r>
      <w:r>
        <w:fldChar w:fldCharType="separate"/>
      </w:r>
      <w:r>
        <w:rPr>
          <w:noProof/>
        </w:rPr>
        <w:t>567</w:t>
      </w:r>
      <w:r>
        <w:fldChar w:fldCharType="end"/>
      </w:r>
    </w:p>
    <w:p w:rsidR="005F78FC" w:rsidRDefault="00B42EF3">
      <w:pPr>
        <w:pStyle w:val="indexentry0"/>
      </w:pPr>
      <w:hyperlink w:anchor="section_f2797eb13b5e4a40be3e344faa60f3dc">
        <w:r>
          <w:rPr>
            <w:rStyle w:val="Hyperlink"/>
          </w:rPr>
          <w:t>pieChart (Pie Charts)</w:t>
        </w:r>
      </w:hyperlink>
      <w:r>
        <w:t xml:space="preserve"> </w:t>
      </w:r>
      <w:r>
        <w:fldChar w:fldCharType="begin"/>
      </w:r>
      <w:r>
        <w:instrText>PAGEREF section_f2797eb13b5e4a40be3e344faa60f3dc</w:instrText>
      </w:r>
      <w:r>
        <w:fldChar w:fldCharType="separate"/>
      </w:r>
      <w:r>
        <w:rPr>
          <w:noProof/>
        </w:rPr>
        <w:t>567</w:t>
      </w:r>
      <w:r>
        <w:fldChar w:fldCharType="end"/>
      </w:r>
    </w:p>
    <w:p w:rsidR="005F78FC" w:rsidRDefault="00B42EF3">
      <w:pPr>
        <w:pStyle w:val="indexentry0"/>
      </w:pPr>
      <w:hyperlink w:anchor="section_108821f5262d491b87a2d6861913882e">
        <w:r>
          <w:rPr>
            <w:rStyle w:val="Hyperlink"/>
          </w:rPr>
          <w:t>pitch (Font Pitch)</w:t>
        </w:r>
      </w:hyperlink>
      <w:r>
        <w:t xml:space="preserve"> </w:t>
      </w:r>
      <w:r>
        <w:fldChar w:fldCharType="begin"/>
      </w:r>
      <w:r>
        <w:instrText>PAGEREF section_108821f5262d491b87a2d6861913882e</w:instrText>
      </w:r>
      <w:r>
        <w:fldChar w:fldCharType="separate"/>
      </w:r>
      <w:r>
        <w:rPr>
          <w:noProof/>
        </w:rPr>
        <w:t>126</w:t>
      </w:r>
      <w:r>
        <w:fldChar w:fldCharType="end"/>
      </w:r>
    </w:p>
    <w:p w:rsidR="005F78FC" w:rsidRDefault="00B42EF3">
      <w:pPr>
        <w:pStyle w:val="indexentry0"/>
      </w:pPr>
      <w:hyperlink w:anchor="section_b23ed080d4e143a58259332e1bf85d08">
        <w:r>
          <w:rPr>
            <w:rStyle w:val="Hyperlink"/>
          </w:rPr>
          <w:t>Pivot Formulas</w:t>
        </w:r>
      </w:hyperlink>
      <w:r>
        <w:t xml:space="preserve"> </w:t>
      </w:r>
      <w:r>
        <w:fldChar w:fldCharType="begin"/>
      </w:r>
      <w:r>
        <w:instrText>PAGEREF section_b23ed080d4e143a58259332e1bf85d08</w:instrText>
      </w:r>
      <w:r>
        <w:fldChar w:fldCharType="separate"/>
      </w:r>
      <w:r>
        <w:rPr>
          <w:noProof/>
        </w:rPr>
        <w:t>847</w:t>
      </w:r>
      <w:r>
        <w:fldChar w:fldCharType="end"/>
      </w:r>
    </w:p>
    <w:p w:rsidR="005F78FC" w:rsidRDefault="00B42EF3">
      <w:pPr>
        <w:pStyle w:val="indexentry0"/>
      </w:pPr>
      <w:hyperlink w:anchor="section_0258cf3b6fa44c229af13f8983d3a381">
        <w:r>
          <w:rPr>
            <w:rStyle w:val="Hyperlink"/>
          </w:rPr>
          <w:t>pivotArea (Pivot Area)</w:t>
        </w:r>
      </w:hyperlink>
      <w:r>
        <w:t xml:space="preserve"> </w:t>
      </w:r>
      <w:r>
        <w:fldChar w:fldCharType="begin"/>
      </w:r>
      <w:r>
        <w:instrText>PAGEREF section_0258cf3b6fa44c229af13f8983d3a381</w:instrText>
      </w:r>
      <w:r>
        <w:fldChar w:fldCharType="separate"/>
      </w:r>
      <w:r>
        <w:rPr>
          <w:noProof/>
        </w:rPr>
        <w:t>279</w:t>
      </w:r>
      <w:r>
        <w:fldChar w:fldCharType="end"/>
      </w:r>
    </w:p>
    <w:p w:rsidR="005F78FC" w:rsidRDefault="00B42EF3">
      <w:pPr>
        <w:pStyle w:val="indexentry0"/>
      </w:pPr>
      <w:hyperlink w:anchor="section_e51aae59add04998811379ab9f8c9a4d">
        <w:r>
          <w:rPr>
            <w:rStyle w:val="Hyperlink"/>
          </w:rPr>
          <w:t>pivotCacheDefinition (PivotCache Definition)</w:t>
        </w:r>
      </w:hyperlink>
      <w:r>
        <w:t xml:space="preserve"> </w:t>
      </w:r>
      <w:r>
        <w:fldChar w:fldCharType="begin"/>
      </w:r>
      <w:r>
        <w:instrText>PAGEREF section_e51aae59add04998811379ab9f8c9a4d</w:instrText>
      </w:r>
      <w:r>
        <w:fldChar w:fldCharType="separate"/>
      </w:r>
      <w:r>
        <w:rPr>
          <w:noProof/>
        </w:rPr>
        <w:t>348</w:t>
      </w:r>
      <w:r>
        <w:fldChar w:fldCharType="end"/>
      </w:r>
    </w:p>
    <w:p w:rsidR="005F78FC" w:rsidRDefault="00B42EF3">
      <w:pPr>
        <w:pStyle w:val="indexentry0"/>
      </w:pPr>
      <w:hyperlink w:anchor="section_991b9d727f544454ac7801c6f4e5249b">
        <w:r>
          <w:rPr>
            <w:rStyle w:val="Hyperlink"/>
          </w:rPr>
          <w:t>pivotField (PivotTable Field)</w:t>
        </w:r>
      </w:hyperlink>
      <w:r>
        <w:t xml:space="preserve"> </w:t>
      </w:r>
      <w:r>
        <w:fldChar w:fldCharType="begin"/>
      </w:r>
      <w:r>
        <w:instrText>PAGEREF section_991b9d727f544454ac780</w:instrText>
      </w:r>
      <w:r>
        <w:instrText>1c6f4e5249b</w:instrText>
      </w:r>
      <w:r>
        <w:fldChar w:fldCharType="separate"/>
      </w:r>
      <w:r>
        <w:rPr>
          <w:noProof/>
        </w:rPr>
        <w:t>349</w:t>
      </w:r>
      <w:r>
        <w:fldChar w:fldCharType="end"/>
      </w:r>
    </w:p>
    <w:p w:rsidR="005F78FC" w:rsidRDefault="00B42EF3">
      <w:pPr>
        <w:pStyle w:val="indexentry0"/>
      </w:pPr>
      <w:hyperlink w:anchor="section_5f2cb624bb19425584b50ccc3694063f">
        <w:r>
          <w:rPr>
            <w:rStyle w:val="Hyperlink"/>
          </w:rPr>
          <w:t>pivotFields (PivotTable Fields)</w:t>
        </w:r>
      </w:hyperlink>
      <w:r>
        <w:t xml:space="preserve"> </w:t>
      </w:r>
      <w:r>
        <w:fldChar w:fldCharType="begin"/>
      </w:r>
      <w:r>
        <w:instrText>PAGEREF section_5f2cb624bb19425584b50ccc3694063f</w:instrText>
      </w:r>
      <w:r>
        <w:fldChar w:fldCharType="separate"/>
      </w:r>
      <w:r>
        <w:rPr>
          <w:noProof/>
        </w:rPr>
        <w:t>353</w:t>
      </w:r>
      <w:r>
        <w:fldChar w:fldCharType="end"/>
      </w:r>
    </w:p>
    <w:p w:rsidR="005F78FC" w:rsidRDefault="00B42EF3">
      <w:pPr>
        <w:pStyle w:val="indexentry0"/>
      </w:pPr>
      <w:hyperlink w:anchor="section_c670152e08494bcf962e35ea83fc42de">
        <w:r>
          <w:rPr>
            <w:rStyle w:val="Hyperlink"/>
          </w:rPr>
          <w:t>pivotFmt (Pivot Format)</w:t>
        </w:r>
      </w:hyperlink>
      <w:r>
        <w:t xml:space="preserve"> </w:t>
      </w:r>
      <w:r>
        <w:fldChar w:fldCharType="begin"/>
      </w:r>
      <w:r>
        <w:instrText>PAGEREF section_c670152e08494bcf962e35ea83fc42de</w:instrText>
      </w:r>
      <w:r>
        <w:fldChar w:fldCharType="separate"/>
      </w:r>
      <w:r>
        <w:rPr>
          <w:noProof/>
        </w:rPr>
        <w:t>568</w:t>
      </w:r>
      <w:r>
        <w:fldChar w:fldCharType="end"/>
      </w:r>
    </w:p>
    <w:p w:rsidR="005F78FC" w:rsidRDefault="00B42EF3">
      <w:pPr>
        <w:pStyle w:val="indexentry0"/>
      </w:pPr>
      <w:hyperlink w:anchor="section_07298e0eed82488f9575e43bc37b2fd3">
        <w:r>
          <w:rPr>
            <w:rStyle w:val="Hyperlink"/>
          </w:rPr>
          <w:t>pivotFmts (Pivot Formats)</w:t>
        </w:r>
      </w:hyperlink>
      <w:r>
        <w:t xml:space="preserve"> </w:t>
      </w:r>
      <w:r>
        <w:fldChar w:fldCharType="begin"/>
      </w:r>
      <w:r>
        <w:instrText>PAGEREF section_07298e0eed82488f9575e43bc37b2fd3</w:instrText>
      </w:r>
      <w:r>
        <w:fldChar w:fldCharType="separate"/>
      </w:r>
      <w:r>
        <w:rPr>
          <w:noProof/>
        </w:rPr>
        <w:t>568</w:t>
      </w:r>
      <w:r>
        <w:fldChar w:fldCharType="end"/>
      </w:r>
    </w:p>
    <w:p w:rsidR="005F78FC" w:rsidRDefault="00B42EF3">
      <w:pPr>
        <w:pStyle w:val="indexentry0"/>
      </w:pPr>
      <w:hyperlink w:anchor="section_7deb007e8c6e420a8c1f12c46f901bad">
        <w:r>
          <w:rPr>
            <w:rStyle w:val="Hyperlink"/>
          </w:rPr>
          <w:t>pivotHierarchies (PivotTable OLAP Hierarchies)</w:t>
        </w:r>
      </w:hyperlink>
      <w:r>
        <w:t xml:space="preserve"> </w:t>
      </w:r>
      <w:r>
        <w:fldChar w:fldCharType="begin"/>
      </w:r>
      <w:r>
        <w:instrText>PAGEREF section_7deb007e8c6e420a8c1f12c46f901bad</w:instrText>
      </w:r>
      <w:r>
        <w:fldChar w:fldCharType="separate"/>
      </w:r>
      <w:r>
        <w:rPr>
          <w:noProof/>
        </w:rPr>
        <w:t>353</w:t>
      </w:r>
      <w:r>
        <w:fldChar w:fldCharType="end"/>
      </w:r>
    </w:p>
    <w:p w:rsidR="005F78FC" w:rsidRDefault="00B42EF3">
      <w:pPr>
        <w:pStyle w:val="indexentry0"/>
      </w:pPr>
      <w:hyperlink w:anchor="section_70f0f8e6ea974c19a60c296040c6245b">
        <w:r>
          <w:rPr>
            <w:rStyle w:val="Hyperlink"/>
          </w:rPr>
          <w:t>pivotHierarchy (OLAP Hierarchy)</w:t>
        </w:r>
      </w:hyperlink>
      <w:r>
        <w:t xml:space="preserve"> </w:t>
      </w:r>
      <w:r>
        <w:fldChar w:fldCharType="begin"/>
      </w:r>
      <w:r>
        <w:instrText>PAGEREF section_70f0f8e6ea974c19a60c296040c6245b</w:instrText>
      </w:r>
      <w:r>
        <w:fldChar w:fldCharType="separate"/>
      </w:r>
      <w:r>
        <w:rPr>
          <w:noProof/>
        </w:rPr>
        <w:t>353</w:t>
      </w:r>
      <w:r>
        <w:fldChar w:fldCharType="end"/>
      </w:r>
    </w:p>
    <w:p w:rsidR="005F78FC" w:rsidRDefault="00B42EF3">
      <w:pPr>
        <w:pStyle w:val="indexentry0"/>
      </w:pPr>
      <w:hyperlink w:anchor="section_fc90ed3545804a84aba88bdde70ebbf8">
        <w:r>
          <w:rPr>
            <w:rStyle w:val="Hyperlink"/>
          </w:rPr>
          <w:t>pivotSelection (PivotTable Selection)</w:t>
        </w:r>
      </w:hyperlink>
      <w:r>
        <w:t xml:space="preserve"> </w:t>
      </w:r>
      <w:r>
        <w:fldChar w:fldCharType="begin"/>
      </w:r>
      <w:r>
        <w:instrText>PAGEREF section_fc90ed3545804a84aba88bdde70ebbf8</w:instrText>
      </w:r>
      <w:r>
        <w:fldChar w:fldCharType="separate"/>
      </w:r>
      <w:r>
        <w:rPr>
          <w:noProof/>
        </w:rPr>
        <w:t>279</w:t>
      </w:r>
      <w:r>
        <w:fldChar w:fldCharType="end"/>
      </w:r>
    </w:p>
    <w:p w:rsidR="005F78FC" w:rsidRDefault="00B42EF3">
      <w:pPr>
        <w:pStyle w:val="indexentry0"/>
      </w:pPr>
      <w:hyperlink w:anchor="section_e2f9906d924645d1817b796d5cc91dac">
        <w:r>
          <w:rPr>
            <w:rStyle w:val="Hyperlink"/>
          </w:rPr>
          <w:t>pivotSource (Pivot Source)</w:t>
        </w:r>
      </w:hyperlink>
      <w:r>
        <w:t xml:space="preserve"> </w:t>
      </w:r>
      <w:r>
        <w:fldChar w:fldCharType="begin"/>
      </w:r>
      <w:r>
        <w:instrText>PAGEREF section_e2f99</w:instrText>
      </w:r>
      <w:r>
        <w:instrText>06d924645d1817b796d5cc91dac</w:instrText>
      </w:r>
      <w:r>
        <w:fldChar w:fldCharType="separate"/>
      </w:r>
      <w:r>
        <w:rPr>
          <w:noProof/>
        </w:rPr>
        <w:t>568</w:t>
      </w:r>
      <w:r>
        <w:fldChar w:fldCharType="end"/>
      </w:r>
    </w:p>
    <w:p w:rsidR="005F78FC" w:rsidRDefault="00B42EF3">
      <w:pPr>
        <w:pStyle w:val="indexentry0"/>
      </w:pPr>
      <w:hyperlink w:anchor="section_7b6c9fe631584a228a8abbf584ecf45f">
        <w:r>
          <w:rPr>
            <w:rStyle w:val="Hyperlink"/>
          </w:rPr>
          <w:t>pivotTableDefinition (PivotTable Definition)</w:t>
        </w:r>
      </w:hyperlink>
      <w:r>
        <w:t xml:space="preserve"> </w:t>
      </w:r>
      <w:r>
        <w:fldChar w:fldCharType="begin"/>
      </w:r>
      <w:r>
        <w:instrText>PAGEREF section_7b6c9fe631584a228a8abbf584ecf45f</w:instrText>
      </w:r>
      <w:r>
        <w:fldChar w:fldCharType="separate"/>
      </w:r>
      <w:r>
        <w:rPr>
          <w:noProof/>
        </w:rPr>
        <w:t>354</w:t>
      </w:r>
      <w:r>
        <w:fldChar w:fldCharType="end"/>
      </w:r>
    </w:p>
    <w:p w:rsidR="005F78FC" w:rsidRDefault="00B42EF3">
      <w:pPr>
        <w:pStyle w:val="indexentry0"/>
      </w:pPr>
      <w:hyperlink w:anchor="section_320febb51cfe47b3ae76f2eaad735193">
        <w:r>
          <w:rPr>
            <w:rStyle w:val="Hyperlink"/>
          </w:rPr>
          <w:t>pivo</w:t>
        </w:r>
        <w:r>
          <w:rPr>
            <w:rStyle w:val="Hyperlink"/>
          </w:rPr>
          <w:t>tTableStyleInfo (PivotTable Style)</w:t>
        </w:r>
      </w:hyperlink>
      <w:r>
        <w:t xml:space="preserve"> </w:t>
      </w:r>
      <w:r>
        <w:fldChar w:fldCharType="begin"/>
      </w:r>
      <w:r>
        <w:instrText>PAGEREF section_320febb51cfe47b3ae76f2eaad735193</w:instrText>
      </w:r>
      <w:r>
        <w:fldChar w:fldCharType="separate"/>
      </w:r>
      <w:r>
        <w:rPr>
          <w:noProof/>
        </w:rPr>
        <w:t>356</w:t>
      </w:r>
      <w:r>
        <w:fldChar w:fldCharType="end"/>
      </w:r>
    </w:p>
    <w:p w:rsidR="005F78FC" w:rsidRDefault="00B42EF3">
      <w:pPr>
        <w:pStyle w:val="indexentry0"/>
      </w:pPr>
      <w:hyperlink w:anchor="section_47933ae0e3be4fc1b04924347180a89f">
        <w:r>
          <w:rPr>
            <w:rStyle w:val="Hyperlink"/>
          </w:rPr>
          <w:t>pixelsPerInch (Pixels per Inch for Graphics/Images)</w:t>
        </w:r>
      </w:hyperlink>
      <w:r>
        <w:t xml:space="preserve"> </w:t>
      </w:r>
      <w:r>
        <w:fldChar w:fldCharType="begin"/>
      </w:r>
      <w:r>
        <w:instrText>PAGEREF section_47933ae0e3be4fc1b04924347180a89f</w:instrText>
      </w:r>
      <w:r>
        <w:fldChar w:fldCharType="separate"/>
      </w:r>
      <w:r>
        <w:rPr>
          <w:noProof/>
        </w:rPr>
        <w:t>166</w:t>
      </w:r>
      <w:r>
        <w:fldChar w:fldCharType="end"/>
      </w:r>
    </w:p>
    <w:p w:rsidR="005F78FC" w:rsidRDefault="00B42EF3">
      <w:pPr>
        <w:pStyle w:val="indexentry0"/>
      </w:pPr>
      <w:hyperlink w:anchor="section_99ab35907a1e4b41bb584e0c1c535215">
        <w:r>
          <w:rPr>
            <w:rStyle w:val="Hyperlink"/>
          </w:rPr>
          <w:t>placeholder (Structured Document Tag Placeholder Text)</w:t>
        </w:r>
      </w:hyperlink>
      <w:r>
        <w:t xml:space="preserve"> </w:t>
      </w:r>
      <w:r>
        <w:fldChar w:fldCharType="begin"/>
      </w:r>
      <w:r>
        <w:instrText>PAGEREF section_99ab35907a1e4b41bb584e0c1c535215</w:instrText>
      </w:r>
      <w:r>
        <w:fldChar w:fldCharType="separate"/>
      </w:r>
      <w:r>
        <w:rPr>
          <w:noProof/>
        </w:rPr>
        <w:t>101</w:t>
      </w:r>
      <w:r>
        <w:fldChar w:fldCharType="end"/>
      </w:r>
    </w:p>
    <w:p w:rsidR="005F78FC" w:rsidRDefault="00B42EF3">
      <w:pPr>
        <w:pStyle w:val="indexentry0"/>
      </w:pPr>
      <w:hyperlink w:anchor="section_83596c29eda74a40a24d721aa7b23b3f">
        <w:r>
          <w:rPr>
            <w:rStyle w:val="Hyperlink"/>
          </w:rPr>
          <w:t>plotArea (Plot Area)</w:t>
        </w:r>
      </w:hyperlink>
      <w:r>
        <w:t xml:space="preserve"> </w:t>
      </w:r>
      <w:r>
        <w:fldChar w:fldCharType="begin"/>
      </w:r>
      <w:r>
        <w:instrText>PA</w:instrText>
      </w:r>
      <w:r>
        <w:instrText>GEREF section_83596c29eda74a40a24d721aa7b23b3f</w:instrText>
      </w:r>
      <w:r>
        <w:fldChar w:fldCharType="separate"/>
      </w:r>
      <w:r>
        <w:rPr>
          <w:noProof/>
        </w:rPr>
        <w:t>568</w:t>
      </w:r>
      <w:r>
        <w:fldChar w:fldCharType="end"/>
      </w:r>
    </w:p>
    <w:p w:rsidR="005F78FC" w:rsidRDefault="00B42EF3">
      <w:pPr>
        <w:pStyle w:val="indexentry0"/>
      </w:pPr>
      <w:hyperlink w:anchor="section_ddc60b4262be4617bf284372f3fa3422">
        <w:r>
          <w:rPr>
            <w:rStyle w:val="Hyperlink"/>
          </w:rPr>
          <w:t>plus (Plus)</w:t>
        </w:r>
      </w:hyperlink>
      <w:r>
        <w:t xml:space="preserve"> </w:t>
      </w:r>
      <w:r>
        <w:fldChar w:fldCharType="begin"/>
      </w:r>
      <w:r>
        <w:instrText>PAGEREF section_ddc60b4262be4617bf284372f3fa3422</w:instrText>
      </w:r>
      <w:r>
        <w:fldChar w:fldCharType="separate"/>
      </w:r>
      <w:r>
        <w:rPr>
          <w:noProof/>
        </w:rPr>
        <w:t>568</w:t>
      </w:r>
      <w:r>
        <w:fldChar w:fldCharType="end"/>
      </w:r>
    </w:p>
    <w:p w:rsidR="005F78FC" w:rsidRDefault="00B42EF3">
      <w:pPr>
        <w:pStyle w:val="indexentry0"/>
      </w:pPr>
      <w:hyperlink w:anchor="section_77902b0ad44f4b40bf1fd73167a47f39">
        <w:r>
          <w:rPr>
            <w:rStyle w:val="Hyperlink"/>
          </w:rPr>
          <w:t>PMT</w:t>
        </w:r>
      </w:hyperlink>
      <w:r>
        <w:t xml:space="preserve"> </w:t>
      </w:r>
      <w:r>
        <w:fldChar w:fldCharType="begin"/>
      </w:r>
      <w:r>
        <w:instrText>PAGEREF section_77902b0ad44f4b40bf1fd73167a47f39</w:instrText>
      </w:r>
      <w:r>
        <w:fldChar w:fldCharType="separate"/>
      </w:r>
      <w:r>
        <w:rPr>
          <w:noProof/>
        </w:rPr>
        <w:t>442</w:t>
      </w:r>
      <w:r>
        <w:fldChar w:fldCharType="end"/>
      </w:r>
    </w:p>
    <w:p w:rsidR="005F78FC" w:rsidRDefault="00B42EF3">
      <w:pPr>
        <w:pStyle w:val="indexentry0"/>
      </w:pPr>
      <w:hyperlink w:anchor="section_0001645b75344016ae4bf913658dd855">
        <w:r>
          <w:rPr>
            <w:rStyle w:val="Hyperlink"/>
          </w:rPr>
          <w:t>POISSON</w:t>
        </w:r>
      </w:hyperlink>
      <w:r>
        <w:t xml:space="preserve"> </w:t>
      </w:r>
      <w:r>
        <w:fldChar w:fldCharType="begin"/>
      </w:r>
      <w:r>
        <w:instrText>PAGEREF section_0001645b75344016ae4bf913658dd855</w:instrText>
      </w:r>
      <w:r>
        <w:fldChar w:fldCharType="separate"/>
      </w:r>
      <w:r>
        <w:rPr>
          <w:noProof/>
        </w:rPr>
        <w:t>442</w:t>
      </w:r>
      <w:r>
        <w:fldChar w:fldCharType="end"/>
      </w:r>
    </w:p>
    <w:p w:rsidR="005F78FC" w:rsidRDefault="00B42EF3">
      <w:pPr>
        <w:pStyle w:val="indexentry0"/>
      </w:pPr>
      <w:hyperlink w:anchor="section_02fe18eb74dc4eab9007ea8b2c3f8b48">
        <w:r>
          <w:rPr>
            <w:rStyle w:val="Hyperlink"/>
          </w:rPr>
          <w:t>polyline (Multiple P</w:t>
        </w:r>
        <w:r>
          <w:rPr>
            <w:rStyle w:val="Hyperlink"/>
          </w:rPr>
          <w:t>ath Line)</w:t>
        </w:r>
      </w:hyperlink>
      <w:r>
        <w:t xml:space="preserve"> </w:t>
      </w:r>
      <w:r>
        <w:fldChar w:fldCharType="begin"/>
      </w:r>
      <w:r>
        <w:instrText>PAGEREF section_02fe18eb74dc4eab9007ea8b2c3f8b48</w:instrText>
      </w:r>
      <w:r>
        <w:fldChar w:fldCharType="separate"/>
      </w:r>
      <w:r>
        <w:rPr>
          <w:noProof/>
        </w:rPr>
        <w:t>653</w:t>
      </w:r>
      <w:r>
        <w:fldChar w:fldCharType="end"/>
      </w:r>
    </w:p>
    <w:p w:rsidR="005F78FC" w:rsidRDefault="00B42EF3">
      <w:pPr>
        <w:pStyle w:val="indexentry0"/>
      </w:pPr>
      <w:hyperlink w:anchor="section_34ada90e9cb84efbb20e027eed8c75e3">
        <w:r>
          <w:rPr>
            <w:rStyle w:val="Hyperlink"/>
          </w:rPr>
          <w:t>pos (Comment Position)</w:t>
        </w:r>
      </w:hyperlink>
      <w:r>
        <w:t xml:space="preserve"> </w:t>
      </w:r>
      <w:r>
        <w:fldChar w:fldCharType="begin"/>
      </w:r>
      <w:r>
        <w:instrText>PAGEREF section_34ada90e9cb84efbb20e027eed8c75e3</w:instrText>
      </w:r>
      <w:r>
        <w:fldChar w:fldCharType="separate"/>
      </w:r>
      <w:r>
        <w:rPr>
          <w:noProof/>
        </w:rPr>
        <w:t>474</w:t>
      </w:r>
      <w:r>
        <w:fldChar w:fldCharType="end"/>
      </w:r>
    </w:p>
    <w:p w:rsidR="005F78FC" w:rsidRDefault="00B42EF3">
      <w:pPr>
        <w:pStyle w:val="indexentry0"/>
      </w:pPr>
      <w:hyperlink w:anchor="section_5e9e5e99e0434691baec1b732916259b">
        <w:r>
          <w:rPr>
            <w:rStyle w:val="Hyperlink"/>
          </w:rPr>
          <w:t>pos (Footnote Placement)</w:t>
        </w:r>
      </w:hyperlink>
      <w:r>
        <w:t xml:space="preserve"> </w:t>
      </w:r>
      <w:r>
        <w:fldChar w:fldCharType="begin"/>
      </w:r>
      <w:r>
        <w:instrText>PAGEREF section_5e9e5e99e0434691baec1b732916259b</w:instrText>
      </w:r>
      <w:r>
        <w:fldChar w:fldCharType="separate"/>
      </w:r>
      <w:r>
        <w:rPr>
          <w:noProof/>
        </w:rPr>
        <w:t>132</w:t>
      </w:r>
      <w:r>
        <w:fldChar w:fldCharType="end"/>
      </w:r>
    </w:p>
    <w:p w:rsidR="005F78FC" w:rsidRDefault="00B42EF3">
      <w:pPr>
        <w:pStyle w:val="indexentry0"/>
      </w:pPr>
      <w:r>
        <w:t>pos (Position) (</w:t>
      </w:r>
      <w:hyperlink w:anchor="section_44d97ef766e5453ea58681cf80c0c3a0">
        <w:r>
          <w:rPr>
            <w:rStyle w:val="Hyperlink"/>
          </w:rPr>
          <w:t>section 2.1.1364</w:t>
        </w:r>
      </w:hyperlink>
      <w:r>
        <w:t xml:space="preserve"> </w:t>
      </w:r>
      <w:r>
        <w:fldChar w:fldCharType="begin"/>
      </w:r>
      <w:r>
        <w:instrText>PAGEREF section_44d97ef766e5453ea58681cf80c0c3a0</w:instrText>
      </w:r>
      <w:r>
        <w:fldChar w:fldCharType="separate"/>
      </w:r>
      <w:r>
        <w:rPr>
          <w:noProof/>
        </w:rPr>
        <w:t>529</w:t>
      </w:r>
      <w:r>
        <w:fldChar w:fldCharType="end"/>
      </w:r>
      <w:r>
        <w:t xml:space="preserve">, </w:t>
      </w:r>
      <w:hyperlink w:anchor="section_36d53a31567044a1b0d76b9e8a79b3f0">
        <w:r>
          <w:rPr>
            <w:rStyle w:val="Hyperlink"/>
          </w:rPr>
          <w:t>section 2.1.1686</w:t>
        </w:r>
      </w:hyperlink>
      <w:r>
        <w:t xml:space="preserve"> </w:t>
      </w:r>
      <w:r>
        <w:fldChar w:fldCharType="begin"/>
      </w:r>
      <w:r>
        <w:instrText>PAGEREF section_36d53a31567044a1b0d76b9e8a79b3f0</w:instrText>
      </w:r>
      <w:r>
        <w:fldChar w:fldCharType="separate"/>
      </w:r>
      <w:r>
        <w:rPr>
          <w:noProof/>
        </w:rPr>
        <w:t>603</w:t>
      </w:r>
      <w:r>
        <w:fldChar w:fldCharType="end"/>
      </w:r>
      <w:r>
        <w:t>)</w:t>
      </w:r>
    </w:p>
    <w:p w:rsidR="005F78FC" w:rsidRDefault="00B42EF3">
      <w:pPr>
        <w:pStyle w:val="indexentry0"/>
      </w:pPr>
      <w:hyperlink w:anchor="section_779d2a7535884516aa765d3aed61ed27">
        <w:r>
          <w:rPr>
            <w:rStyle w:val="Hyperlink"/>
          </w:rPr>
          <w:t>pos (Shape Position Coordinate)</w:t>
        </w:r>
      </w:hyperlink>
      <w:r>
        <w:t xml:space="preserve"> </w:t>
      </w:r>
      <w:r>
        <w:fldChar w:fldCharType="begin"/>
      </w:r>
      <w:r>
        <w:instrText>PAGEREF section_779d2a7535884516aa765d3aed61ed27</w:instrText>
      </w:r>
      <w:r>
        <w:fldChar w:fldCharType="separate"/>
      </w:r>
      <w:r>
        <w:rPr>
          <w:noProof/>
        </w:rPr>
        <w:t>520</w:t>
      </w:r>
      <w:r>
        <w:fldChar w:fldCharType="end"/>
      </w:r>
    </w:p>
    <w:p w:rsidR="005F78FC" w:rsidRDefault="00B42EF3">
      <w:pPr>
        <w:pStyle w:val="indexentry0"/>
      </w:pPr>
      <w:hyperlink w:anchor="section_8aee936cdf55410c88707cb257d71f26">
        <w:r>
          <w:rPr>
            <w:rStyle w:val="Hyperlink"/>
          </w:rPr>
          <w:t>positionV (Vertical Positioning)</w:t>
        </w:r>
      </w:hyperlink>
      <w:r>
        <w:t xml:space="preserve"> </w:t>
      </w:r>
      <w:r>
        <w:fldChar w:fldCharType="begin"/>
      </w:r>
      <w:r>
        <w:instrText>PAGEREF section_8aee936cdf55410c88707cb257d71f26</w:instrText>
      </w:r>
      <w:r>
        <w:fldChar w:fldCharType="separate"/>
      </w:r>
      <w:r>
        <w:rPr>
          <w:noProof/>
        </w:rPr>
        <w:t>527</w:t>
      </w:r>
      <w:r>
        <w:fldChar w:fldCharType="end"/>
      </w:r>
    </w:p>
    <w:p w:rsidR="005F78FC" w:rsidRDefault="00B42EF3">
      <w:pPr>
        <w:pStyle w:val="indexentry0"/>
      </w:pPr>
      <w:hyperlink w:anchor="section_a1bbb51243c1422a892bc9da46b1f4bf">
        <w:r>
          <w:rPr>
            <w:rStyle w:val="Hyperlink"/>
          </w:rPr>
          <w:t>postSp (Post-Paragraph Spacing)</w:t>
        </w:r>
      </w:hyperlink>
      <w:r>
        <w:t xml:space="preserve"> </w:t>
      </w:r>
      <w:r>
        <w:fldChar w:fldCharType="begin"/>
      </w:r>
      <w:r>
        <w:instrText>PAGEREF se</w:instrText>
      </w:r>
      <w:r>
        <w:instrText>ction_a1bbb51243c1422a892bc9da46b1f4bf</w:instrText>
      </w:r>
      <w:r>
        <w:fldChar w:fldCharType="separate"/>
      </w:r>
      <w:r>
        <w:rPr>
          <w:noProof/>
        </w:rPr>
        <w:t>604</w:t>
      </w:r>
      <w:r>
        <w:fldChar w:fldCharType="end"/>
      </w:r>
    </w:p>
    <w:p w:rsidR="005F78FC" w:rsidRDefault="00B42EF3">
      <w:pPr>
        <w:pStyle w:val="indexentry0"/>
      </w:pPr>
      <w:hyperlink w:anchor="section_a2ea85f8876e4587958008fc856b67ab">
        <w:r>
          <w:rPr>
            <w:rStyle w:val="Hyperlink"/>
          </w:rPr>
          <w:t>POWER</w:t>
        </w:r>
      </w:hyperlink>
      <w:r>
        <w:t xml:space="preserve"> </w:t>
      </w:r>
      <w:r>
        <w:fldChar w:fldCharType="begin"/>
      </w:r>
      <w:r>
        <w:instrText>PAGEREF section_a2ea85f8876e4587958008fc856b67ab</w:instrText>
      </w:r>
      <w:r>
        <w:fldChar w:fldCharType="separate"/>
      </w:r>
      <w:r>
        <w:rPr>
          <w:noProof/>
        </w:rPr>
        <w:t>442</w:t>
      </w:r>
      <w:r>
        <w:fldChar w:fldCharType="end"/>
      </w:r>
    </w:p>
    <w:p w:rsidR="005F78FC" w:rsidRDefault="00B42EF3">
      <w:pPr>
        <w:pStyle w:val="indexentry0"/>
      </w:pPr>
      <w:hyperlink w:anchor="section_e1dbdf0a99d84eb886db8675dfc45826">
        <w:r>
          <w:rPr>
            <w:rStyle w:val="Hyperlink"/>
          </w:rPr>
          <w:t>PowerPoint (Additional Information)</w:t>
        </w:r>
      </w:hyperlink>
      <w:r>
        <w:t xml:space="preserve"> </w:t>
      </w:r>
      <w:r>
        <w:fldChar w:fldCharType="begin"/>
      </w:r>
      <w:r>
        <w:instrText>PAGEREF section_e1dbdf0a99d84eb886db8675dfc45826</w:instrText>
      </w:r>
      <w:r>
        <w:fldChar w:fldCharType="separate"/>
      </w:r>
      <w:r>
        <w:rPr>
          <w:noProof/>
        </w:rPr>
        <w:t>849</w:t>
      </w:r>
      <w:r>
        <w:fldChar w:fldCharType="end"/>
      </w:r>
    </w:p>
    <w:p w:rsidR="005F78FC" w:rsidRDefault="00B42EF3">
      <w:pPr>
        <w:pStyle w:val="indexentry0"/>
      </w:pPr>
      <w:hyperlink w:anchor="section_e6f17fb3cf2542c5817dd67f8c6241e3">
        <w:r>
          <w:rPr>
            <w:rStyle w:val="Hyperlink"/>
          </w:rPr>
          <w:t>PPMT</w:t>
        </w:r>
      </w:hyperlink>
      <w:r>
        <w:t xml:space="preserve"> </w:t>
      </w:r>
      <w:r>
        <w:fldChar w:fldCharType="begin"/>
      </w:r>
      <w:r>
        <w:instrText>PAGEREF section_e6f17fb3cf2542c5817dd67f8c6241e3</w:instrText>
      </w:r>
      <w:r>
        <w:fldChar w:fldCharType="separate"/>
      </w:r>
      <w:r>
        <w:rPr>
          <w:noProof/>
        </w:rPr>
        <w:t>442</w:t>
      </w:r>
      <w:r>
        <w:fldChar w:fldCharType="end"/>
      </w:r>
    </w:p>
    <w:p w:rsidR="005F78FC" w:rsidRDefault="00B42EF3">
      <w:pPr>
        <w:pStyle w:val="indexentry0"/>
      </w:pPr>
      <w:hyperlink w:anchor="section_e0f793ec25174bd792363bd6a7f828b7">
        <w:r>
          <w:rPr>
            <w:rStyle w:val="Hyperlink"/>
          </w:rPr>
          <w:t>pPr (Numbering Level Associated Paragraph Properties)</w:t>
        </w:r>
      </w:hyperlink>
      <w:r>
        <w:t xml:space="preserve"> </w:t>
      </w:r>
      <w:r>
        <w:fldChar w:fldCharType="begin"/>
      </w:r>
      <w:r>
        <w:instrText>PAGEREF section_e0f793ec25174bd792363bd6a7f828b7</w:instrText>
      </w:r>
      <w:r>
        <w:fldChar w:fldCharType="separate"/>
      </w:r>
      <w:r>
        <w:rPr>
          <w:noProof/>
        </w:rPr>
        <w:t>128</w:t>
      </w:r>
      <w:r>
        <w:fldChar w:fldCharType="end"/>
      </w:r>
    </w:p>
    <w:p w:rsidR="005F78FC" w:rsidRDefault="00B42EF3">
      <w:pPr>
        <w:pStyle w:val="indexentry0"/>
      </w:pPr>
      <w:hyperlink w:anchor="section_1b4958bf2fcf4db89a967f553494276b">
        <w:r>
          <w:rPr>
            <w:rStyle w:val="Hyperlink"/>
          </w:rPr>
          <w:t>pPr (Paragraph Properties)</w:t>
        </w:r>
      </w:hyperlink>
      <w:r>
        <w:t xml:space="preserve"> </w:t>
      </w:r>
      <w:r>
        <w:fldChar w:fldCharType="begin"/>
      </w:r>
      <w:r>
        <w:instrText>PAGEREF section_1b4958bf2fcf4db89a967f55349</w:instrText>
      </w:r>
      <w:r>
        <w:instrText>4276b</w:instrText>
      </w:r>
      <w:r>
        <w:fldChar w:fldCharType="separate"/>
      </w:r>
      <w:r>
        <w:rPr>
          <w:noProof/>
        </w:rPr>
        <w:t>120</w:t>
      </w:r>
      <w:r>
        <w:fldChar w:fldCharType="end"/>
      </w:r>
    </w:p>
    <w:p w:rsidR="005F78FC" w:rsidRDefault="00B42EF3">
      <w:pPr>
        <w:pStyle w:val="indexentry0"/>
      </w:pPr>
      <w:hyperlink w:anchor="section_cb186a0b98ee403f9d0623629e9cb647">
        <w:r>
          <w:rPr>
            <w:rStyle w:val="Hyperlink"/>
          </w:rPr>
          <w:t>pPr (Previous Paragraph Properties)</w:t>
        </w:r>
      </w:hyperlink>
      <w:r>
        <w:t xml:space="preserve"> </w:t>
      </w:r>
      <w:r>
        <w:fldChar w:fldCharType="begin"/>
      </w:r>
      <w:r>
        <w:instrText>PAGEREF section_cb186a0b98ee403f9d0623629e9cb647</w:instrText>
      </w:r>
      <w:r>
        <w:fldChar w:fldCharType="separate"/>
      </w:r>
      <w:r>
        <w:rPr>
          <w:noProof/>
        </w:rPr>
        <w:t>69</w:t>
      </w:r>
      <w:r>
        <w:fldChar w:fldCharType="end"/>
      </w:r>
    </w:p>
    <w:p w:rsidR="005F78FC" w:rsidRDefault="00B42EF3">
      <w:pPr>
        <w:pStyle w:val="indexentry0"/>
      </w:pPr>
      <w:hyperlink w:anchor="section_03bd6b70ee1a457885a1b4207bbb34ce">
        <w:r>
          <w:rPr>
            <w:rStyle w:val="Hyperlink"/>
          </w:rPr>
          <w:t>pPr (Style Paragraph Properties)</w:t>
        </w:r>
      </w:hyperlink>
      <w:r>
        <w:t xml:space="preserve"> </w:t>
      </w:r>
      <w:r>
        <w:fldChar w:fldCharType="begin"/>
      </w:r>
      <w:r>
        <w:instrText>PAGEREF section_03bd6b70ee1a457885a1b4207bbb34ce</w:instrText>
      </w:r>
      <w:r>
        <w:fldChar w:fldCharType="separate"/>
      </w:r>
      <w:r>
        <w:rPr>
          <w:noProof/>
        </w:rPr>
        <w:t>123</w:t>
      </w:r>
      <w:r>
        <w:fldChar w:fldCharType="end"/>
      </w:r>
    </w:p>
    <w:p w:rsidR="005F78FC" w:rsidRDefault="00B42EF3">
      <w:pPr>
        <w:pStyle w:val="indexentry0"/>
      </w:pPr>
      <w:hyperlink w:anchor="section_e6cd172f23d344d9942bcf3ffaed67fc">
        <w:r>
          <w:rPr>
            <w:rStyle w:val="Hyperlink"/>
          </w:rPr>
          <w:t>pPr (Table Style Conditional Formatting Paragraph Properties)</w:t>
        </w:r>
      </w:hyperlink>
      <w:r>
        <w:t xml:space="preserve"> </w:t>
      </w:r>
      <w:r>
        <w:fldChar w:fldCharType="begin"/>
      </w:r>
      <w:r>
        <w:instrText>PAGEREF section_e6cd172f23d344d9942bcf3ffaed67fc</w:instrText>
      </w:r>
      <w:r>
        <w:fldChar w:fldCharType="separate"/>
      </w:r>
      <w:r>
        <w:rPr>
          <w:noProof/>
        </w:rPr>
        <w:t>120</w:t>
      </w:r>
      <w:r>
        <w:fldChar w:fldCharType="end"/>
      </w:r>
    </w:p>
    <w:p w:rsidR="005F78FC" w:rsidRDefault="00B42EF3">
      <w:pPr>
        <w:pStyle w:val="indexentry0"/>
      </w:pPr>
      <w:hyperlink w:anchor="section_3bf4b4b9d1cd4610be569427e22c5fb4">
        <w:r>
          <w:rPr>
            <w:rStyle w:val="Hyperlink"/>
          </w:rPr>
          <w:t>pPr (Text Paragraph Properties)</w:t>
        </w:r>
      </w:hyperlink>
      <w:r>
        <w:t xml:space="preserve"> </w:t>
      </w:r>
      <w:r>
        <w:fldChar w:fldCharType="begin"/>
      </w:r>
      <w:r>
        <w:instrText>PAGEREF section_3bf4b4b9d1cd4610be569427e22c5fb4</w:instrText>
      </w:r>
      <w:r>
        <w:fldChar w:fldCharType="separate"/>
      </w:r>
      <w:r>
        <w:rPr>
          <w:noProof/>
        </w:rPr>
        <w:t>535</w:t>
      </w:r>
      <w:r>
        <w:fldChar w:fldCharType="end"/>
      </w:r>
    </w:p>
    <w:p w:rsidR="005F78FC" w:rsidRDefault="00B42EF3">
      <w:pPr>
        <w:pStyle w:val="indexentry0"/>
      </w:pPr>
      <w:hyperlink w:anchor="section_ca8a2548c37b4d7bbf3f4531b6309281">
        <w:r>
          <w:rPr>
            <w:rStyle w:val="Hyperlink"/>
          </w:rPr>
          <w:t>pPrChange (Revision Information for Paragraph Pr</w:t>
        </w:r>
        <w:r>
          <w:rPr>
            <w:rStyle w:val="Hyperlink"/>
          </w:rPr>
          <w:t>operties)</w:t>
        </w:r>
      </w:hyperlink>
      <w:r>
        <w:t xml:space="preserve"> </w:t>
      </w:r>
      <w:r>
        <w:fldChar w:fldCharType="begin"/>
      </w:r>
      <w:r>
        <w:instrText>PAGEREF section_ca8a2548c37b4d7bbf3f4531b6309281</w:instrText>
      </w:r>
      <w:r>
        <w:fldChar w:fldCharType="separate"/>
      </w:r>
      <w:r>
        <w:rPr>
          <w:noProof/>
        </w:rPr>
        <w:t>142</w:t>
      </w:r>
      <w:r>
        <w:fldChar w:fldCharType="end"/>
      </w:r>
    </w:p>
    <w:p w:rsidR="005F78FC" w:rsidRDefault="00B42EF3">
      <w:pPr>
        <w:pStyle w:val="indexentry0"/>
      </w:pPr>
      <w:hyperlink w:anchor="section_286bceb73e02476c8ee91e06dd3f9636">
        <w:r>
          <w:rPr>
            <w:rStyle w:val="Hyperlink"/>
          </w:rPr>
          <w:t>Precision</w:t>
        </w:r>
      </w:hyperlink>
      <w:r>
        <w:t xml:space="preserve"> </w:t>
      </w:r>
      <w:r>
        <w:fldChar w:fldCharType="begin"/>
      </w:r>
      <w:r>
        <w:instrText>PAGEREF section_286bceb73e02476c8ee91e06dd3f9636</w:instrText>
      </w:r>
      <w:r>
        <w:fldChar w:fldCharType="separate"/>
      </w:r>
      <w:r>
        <w:rPr>
          <w:noProof/>
        </w:rPr>
        <w:t>398</w:t>
      </w:r>
      <w:r>
        <w:fldChar w:fldCharType="end"/>
      </w:r>
    </w:p>
    <w:p w:rsidR="005F78FC" w:rsidRDefault="00B42EF3">
      <w:pPr>
        <w:pStyle w:val="indexentry0"/>
      </w:pPr>
      <w:hyperlink w:anchor="section_cce7a3040e914fa490bdf3a0f4f58f95">
        <w:r>
          <w:rPr>
            <w:rStyle w:val="Hyperlink"/>
          </w:rPr>
          <w:t>present (Presenter Slide Show Mode)</w:t>
        </w:r>
      </w:hyperlink>
      <w:r>
        <w:t xml:space="preserve"> </w:t>
      </w:r>
      <w:r>
        <w:fldChar w:fldCharType="begin"/>
      </w:r>
      <w:r>
        <w:instrText>PAGEREF section_cce7a3040e914fa490bdf3a0f4f58f95</w:instrText>
      </w:r>
      <w:r>
        <w:fldChar w:fldCharType="separate"/>
      </w:r>
      <w:r>
        <w:rPr>
          <w:noProof/>
        </w:rPr>
        <w:t>467</w:t>
      </w:r>
      <w:r>
        <w:fldChar w:fldCharType="end"/>
      </w:r>
    </w:p>
    <w:p w:rsidR="005F78FC" w:rsidRDefault="00B42EF3">
      <w:pPr>
        <w:pStyle w:val="indexentry0"/>
      </w:pPr>
      <w:hyperlink w:anchor="section_5cc61456aa4e4c48a1153efed3e57d95">
        <w:r>
          <w:rPr>
            <w:rStyle w:val="Hyperlink"/>
          </w:rPr>
          <w:t>presentation (Presentation)</w:t>
        </w:r>
      </w:hyperlink>
      <w:r>
        <w:t xml:space="preserve"> </w:t>
      </w:r>
      <w:r>
        <w:fldChar w:fldCharType="begin"/>
      </w:r>
      <w:r>
        <w:instrText>PAGEREF section_5cc61456aa4e4c48a1153efed3e57d95</w:instrText>
      </w:r>
      <w:r>
        <w:fldChar w:fldCharType="separate"/>
      </w:r>
      <w:r>
        <w:rPr>
          <w:noProof/>
        </w:rPr>
        <w:t>467</w:t>
      </w:r>
      <w:r>
        <w:fldChar w:fldCharType="end"/>
      </w:r>
    </w:p>
    <w:p w:rsidR="005F78FC" w:rsidRDefault="00B42EF3">
      <w:pPr>
        <w:pStyle w:val="indexentry0"/>
      </w:pPr>
      <w:hyperlink w:anchor="section_878e09616c044b579a6d9bebc1ac3be3">
        <w:r>
          <w:rPr>
            <w:rStyle w:val="Hyperlink"/>
          </w:rPr>
          <w:t>Presentation Part</w:t>
        </w:r>
      </w:hyperlink>
      <w:r>
        <w:t xml:space="preserve"> </w:t>
      </w:r>
      <w:r>
        <w:fldChar w:fldCharType="begin"/>
      </w:r>
      <w:r>
        <w:instrText>PAGEREF section_878e09616c044b579a6d9bebc1ac3be3</w:instrText>
      </w:r>
      <w:r>
        <w:fldChar w:fldCharType="separate"/>
      </w:r>
      <w:r>
        <w:rPr>
          <w:noProof/>
        </w:rPr>
        <w:t>55</w:t>
      </w:r>
      <w:r>
        <w:fldChar w:fldCharType="end"/>
      </w:r>
    </w:p>
    <w:p w:rsidR="005F78FC" w:rsidRDefault="00B42EF3">
      <w:pPr>
        <w:pStyle w:val="indexentry0"/>
      </w:pPr>
      <w:hyperlink w:anchor="section_a63cebe0eca5492db580bdc59f618639">
        <w:r>
          <w:rPr>
            <w:rStyle w:val="Hyperlink"/>
          </w:rPr>
          <w:t>Presentation Properties Part</w:t>
        </w:r>
      </w:hyperlink>
      <w:r>
        <w:t xml:space="preserve"> </w:t>
      </w:r>
      <w:r>
        <w:fldChar w:fldCharType="begin"/>
      </w:r>
      <w:r>
        <w:instrText>PAGEREF section_a63cebe0eca5492db580bdc59f618639</w:instrText>
      </w:r>
      <w:r>
        <w:fldChar w:fldCharType="separate"/>
      </w:r>
      <w:r>
        <w:rPr>
          <w:noProof/>
        </w:rPr>
        <w:t>56</w:t>
      </w:r>
      <w:r>
        <w:fldChar w:fldCharType="end"/>
      </w:r>
    </w:p>
    <w:p w:rsidR="005F78FC" w:rsidRDefault="00B42EF3">
      <w:pPr>
        <w:pStyle w:val="indexentry0"/>
      </w:pPr>
      <w:hyperlink w:anchor="section_fa1be7cffc314bb698c9fd1db9cede94">
        <w:r>
          <w:rPr>
            <w:rStyle w:val="Hyperlink"/>
          </w:rPr>
          <w:t>PresentationML</w:t>
        </w:r>
      </w:hyperlink>
      <w:r>
        <w:t xml:space="preserve"> </w:t>
      </w:r>
      <w:r>
        <w:fldChar w:fldCharType="begin"/>
      </w:r>
      <w:r>
        <w:instrText>PAGEREF section_fa1be7cffc314bb698c9fd1db9cede94</w:instrText>
      </w:r>
      <w:r>
        <w:fldChar w:fldCharType="separate"/>
      </w:r>
      <w:r>
        <w:rPr>
          <w:noProof/>
        </w:rPr>
        <w:t>48</w:t>
      </w:r>
      <w:r>
        <w:fldChar w:fldCharType="end"/>
      </w:r>
    </w:p>
    <w:p w:rsidR="005F78FC" w:rsidRDefault="00B42EF3">
      <w:pPr>
        <w:pStyle w:val="indexentry0"/>
      </w:pPr>
      <w:hyperlink w:anchor="section_381cf08152f546318f61be16f4b7f9f0">
        <w:r>
          <w:rPr>
            <w:rStyle w:val="Hyperlink"/>
          </w:rPr>
          <w:t>preSp (Pre-Paragraph Spacing)</w:t>
        </w:r>
      </w:hyperlink>
      <w:r>
        <w:t xml:space="preserve"> </w:t>
      </w:r>
      <w:r>
        <w:fldChar w:fldCharType="begin"/>
      </w:r>
      <w:r>
        <w:instrText>PAGEREF section_381cf08152f546318f6</w:instrText>
      </w:r>
      <w:r>
        <w:instrText>1be16f4b7f9f0</w:instrText>
      </w:r>
      <w:r>
        <w:fldChar w:fldCharType="separate"/>
      </w:r>
      <w:r>
        <w:rPr>
          <w:noProof/>
        </w:rPr>
        <w:t>604</w:t>
      </w:r>
      <w:r>
        <w:fldChar w:fldCharType="end"/>
      </w:r>
    </w:p>
    <w:p w:rsidR="005F78FC" w:rsidRDefault="00B42EF3">
      <w:pPr>
        <w:pStyle w:val="indexentry0"/>
      </w:pPr>
      <w:hyperlink w:anchor="section_31d28bcdcca242ea95afeb32b797e869">
        <w:r>
          <w:rPr>
            <w:rStyle w:val="Hyperlink"/>
          </w:rPr>
          <w:t>prevCondLst (Previous Conditions List)</w:t>
        </w:r>
      </w:hyperlink>
      <w:r>
        <w:t xml:space="preserve"> </w:t>
      </w:r>
      <w:r>
        <w:fldChar w:fldCharType="begin"/>
      </w:r>
      <w:r>
        <w:instrText>PAGEREF section_31d28bcdcca242ea95afeb32b797e869</w:instrText>
      </w:r>
      <w:r>
        <w:fldChar w:fldCharType="separate"/>
      </w:r>
      <w:r>
        <w:rPr>
          <w:noProof/>
        </w:rPr>
        <w:t>487</w:t>
      </w:r>
      <w:r>
        <w:fldChar w:fldCharType="end"/>
      </w:r>
    </w:p>
    <w:p w:rsidR="005F78FC" w:rsidRDefault="00B42EF3">
      <w:pPr>
        <w:pStyle w:val="indexentry0"/>
      </w:pPr>
      <w:hyperlink w:anchor="section_05f6a62df7db400e9ae497a6d422ac5b">
        <w:r>
          <w:rPr>
            <w:rStyle w:val="Hyperlink"/>
          </w:rPr>
          <w:t>pRg (Paragraph Text Rang</w:t>
        </w:r>
        <w:r>
          <w:rPr>
            <w:rStyle w:val="Hyperlink"/>
          </w:rPr>
          <w:t>e)</w:t>
        </w:r>
      </w:hyperlink>
      <w:r>
        <w:t xml:space="preserve"> </w:t>
      </w:r>
      <w:r>
        <w:fldChar w:fldCharType="begin"/>
      </w:r>
      <w:r>
        <w:instrText>PAGEREF section_05f6a62df7db400e9ae497a6d422ac5b</w:instrText>
      </w:r>
      <w:r>
        <w:fldChar w:fldCharType="separate"/>
      </w:r>
      <w:r>
        <w:rPr>
          <w:noProof/>
        </w:rPr>
        <w:t>487</w:t>
      </w:r>
      <w:r>
        <w:fldChar w:fldCharType="end"/>
      </w:r>
    </w:p>
    <w:p w:rsidR="005F78FC" w:rsidRDefault="00B42EF3">
      <w:pPr>
        <w:pStyle w:val="indexentry0"/>
      </w:pPr>
      <w:hyperlink w:anchor="section_43bbf55ba3b7457da526450e4bd8f136">
        <w:r>
          <w:rPr>
            <w:rStyle w:val="Hyperlink"/>
          </w:rPr>
          <w:t>PRICE</w:t>
        </w:r>
      </w:hyperlink>
      <w:r>
        <w:t xml:space="preserve"> </w:t>
      </w:r>
      <w:r>
        <w:fldChar w:fldCharType="begin"/>
      </w:r>
      <w:r>
        <w:instrText>PAGEREF section_43bbf55ba3b7457da526450e4bd8f136</w:instrText>
      </w:r>
      <w:r>
        <w:fldChar w:fldCharType="separate"/>
      </w:r>
      <w:r>
        <w:rPr>
          <w:noProof/>
        </w:rPr>
        <w:t>443</w:t>
      </w:r>
      <w:r>
        <w:fldChar w:fldCharType="end"/>
      </w:r>
    </w:p>
    <w:p w:rsidR="005F78FC" w:rsidRDefault="00B42EF3">
      <w:pPr>
        <w:pStyle w:val="indexentry0"/>
      </w:pPr>
      <w:hyperlink w:anchor="section_cef504a96c0343388a35811de77e59b2">
        <w:r>
          <w:rPr>
            <w:rStyle w:val="Hyperlink"/>
          </w:rPr>
          <w:t>PRICEDISC</w:t>
        </w:r>
      </w:hyperlink>
      <w:r>
        <w:t xml:space="preserve"> </w:t>
      </w:r>
      <w:r>
        <w:fldChar w:fldCharType="begin"/>
      </w:r>
      <w:r>
        <w:instrText>PAGER</w:instrText>
      </w:r>
      <w:r>
        <w:instrText>EF section_cef504a96c0343388a35811de77e59b2</w:instrText>
      </w:r>
      <w:r>
        <w:fldChar w:fldCharType="separate"/>
      </w:r>
      <w:r>
        <w:rPr>
          <w:noProof/>
        </w:rPr>
        <w:t>444</w:t>
      </w:r>
      <w:r>
        <w:fldChar w:fldCharType="end"/>
      </w:r>
    </w:p>
    <w:p w:rsidR="005F78FC" w:rsidRDefault="00B42EF3">
      <w:pPr>
        <w:pStyle w:val="indexentry0"/>
      </w:pPr>
      <w:hyperlink w:anchor="section_acdfd09dc4814c74a1cd90697c9d987e">
        <w:r>
          <w:rPr>
            <w:rStyle w:val="Hyperlink"/>
          </w:rPr>
          <w:t>PRICEMAT</w:t>
        </w:r>
      </w:hyperlink>
      <w:r>
        <w:t xml:space="preserve"> </w:t>
      </w:r>
      <w:r>
        <w:fldChar w:fldCharType="begin"/>
      </w:r>
      <w:r>
        <w:instrText>PAGEREF section_acdfd09dc4814c74a1cd90697c9d987e</w:instrText>
      </w:r>
      <w:r>
        <w:fldChar w:fldCharType="separate"/>
      </w:r>
      <w:r>
        <w:rPr>
          <w:noProof/>
        </w:rPr>
        <w:t>444</w:t>
      </w:r>
      <w:r>
        <w:fldChar w:fldCharType="end"/>
      </w:r>
    </w:p>
    <w:p w:rsidR="005F78FC" w:rsidRDefault="00B42EF3">
      <w:pPr>
        <w:pStyle w:val="indexentry0"/>
      </w:pPr>
      <w:hyperlink w:anchor="section_b42eda12a66849169fd22fc2deda2359">
        <w:r>
          <w:rPr>
            <w:rStyle w:val="Hyperlink"/>
          </w:rPr>
          <w:t>PRINT</w:t>
        </w:r>
      </w:hyperlink>
      <w:r>
        <w:t xml:space="preserve"> </w:t>
      </w:r>
      <w:r>
        <w:fldChar w:fldCharType="begin"/>
      </w:r>
      <w:r>
        <w:instrText>PAGEREF section_b42eda12a66849169fd22fc2deda2359</w:instrText>
      </w:r>
      <w:r>
        <w:fldChar w:fldCharType="separate"/>
      </w:r>
      <w:r>
        <w:rPr>
          <w:noProof/>
        </w:rPr>
        <w:t>222</w:t>
      </w:r>
      <w:r>
        <w:fldChar w:fldCharType="end"/>
      </w:r>
    </w:p>
    <w:p w:rsidR="005F78FC" w:rsidRDefault="00B42EF3">
      <w:pPr>
        <w:pStyle w:val="indexentry0"/>
      </w:pPr>
      <w:hyperlink w:anchor="section_5f6bf1e3a9cf46c69ad63d8bcdb21a92">
        <w:r>
          <w:rPr>
            <w:rStyle w:val="Hyperlink"/>
          </w:rPr>
          <w:t>PRINTDATE</w:t>
        </w:r>
      </w:hyperlink>
      <w:r>
        <w:t xml:space="preserve"> </w:t>
      </w:r>
      <w:r>
        <w:fldChar w:fldCharType="begin"/>
      </w:r>
      <w:r>
        <w:instrText>PAGEREF section_5f6bf1e3a9cf46c69ad63d8bcdb21a92</w:instrText>
      </w:r>
      <w:r>
        <w:fldChar w:fldCharType="separate"/>
      </w:r>
      <w:r>
        <w:rPr>
          <w:noProof/>
        </w:rPr>
        <w:t>222</w:t>
      </w:r>
      <w:r>
        <w:fldChar w:fldCharType="end"/>
      </w:r>
    </w:p>
    <w:p w:rsidR="005F78FC" w:rsidRDefault="00B42EF3">
      <w:pPr>
        <w:pStyle w:val="indexentry0"/>
      </w:pPr>
      <w:hyperlink w:anchor="section_6eda3d446cdc430ebe6ebb2327e747ad">
        <w:r>
          <w:rPr>
            <w:rStyle w:val="Hyperlink"/>
          </w:rPr>
          <w:t>Printer Settings P</w:t>
        </w:r>
        <w:r>
          <w:rPr>
            <w:rStyle w:val="Hyperlink"/>
          </w:rPr>
          <w:t>art</w:t>
        </w:r>
      </w:hyperlink>
      <w:r>
        <w:t xml:space="preserve"> </w:t>
      </w:r>
      <w:r>
        <w:fldChar w:fldCharType="begin"/>
      </w:r>
      <w:r>
        <w:instrText>PAGEREF section_6eda3d446cdc430ebe6ebb2327e747ad</w:instrText>
      </w:r>
      <w:r>
        <w:fldChar w:fldCharType="separate"/>
      </w:r>
      <w:r>
        <w:rPr>
          <w:noProof/>
        </w:rPr>
        <w:t>65</w:t>
      </w:r>
      <w:r>
        <w:fldChar w:fldCharType="end"/>
      </w:r>
    </w:p>
    <w:p w:rsidR="005F78FC" w:rsidRDefault="00B42EF3">
      <w:pPr>
        <w:pStyle w:val="indexentry0"/>
      </w:pPr>
      <w:hyperlink w:anchor="section_5e58b73274f34537b4b6be33958bd32f">
        <w:r>
          <w:rPr>
            <w:rStyle w:val="Hyperlink"/>
          </w:rPr>
          <w:t>printerSettings (Reference to Printer Settings Data)</w:t>
        </w:r>
      </w:hyperlink>
      <w:r>
        <w:t xml:space="preserve"> </w:t>
      </w:r>
      <w:r>
        <w:fldChar w:fldCharType="begin"/>
      </w:r>
      <w:r>
        <w:instrText>PAGEREF section_5e58b73274f34537b4b6be33958bd32f</w:instrText>
      </w:r>
      <w:r>
        <w:fldChar w:fldCharType="separate"/>
      </w:r>
      <w:r>
        <w:rPr>
          <w:noProof/>
        </w:rPr>
        <w:t>106</w:t>
      </w:r>
      <w:r>
        <w:fldChar w:fldCharType="end"/>
      </w:r>
    </w:p>
    <w:p w:rsidR="005F78FC" w:rsidRDefault="00B42EF3">
      <w:pPr>
        <w:pStyle w:val="indexentry0"/>
      </w:pPr>
      <w:hyperlink w:anchor="section_efb3ba595ce5401a8de162bf62a2d89d">
        <w:r>
          <w:rPr>
            <w:rStyle w:val="Hyperlink"/>
          </w:rPr>
          <w:t>printFractionalCharacterWidth (Print Fractional Character Widths)</w:t>
        </w:r>
      </w:hyperlink>
      <w:r>
        <w:t xml:space="preserve"> </w:t>
      </w:r>
      <w:r>
        <w:fldChar w:fldCharType="begin"/>
      </w:r>
      <w:r>
        <w:instrText>PAGEREF section_efb3ba595ce5401a8de162bf62a2d89d</w:instrText>
      </w:r>
      <w:r>
        <w:fldChar w:fldCharType="separate"/>
      </w:r>
      <w:r>
        <w:rPr>
          <w:noProof/>
        </w:rPr>
        <w:t>159</w:t>
      </w:r>
      <w:r>
        <w:fldChar w:fldCharType="end"/>
      </w:r>
    </w:p>
    <w:p w:rsidR="005F78FC" w:rsidRDefault="00B42EF3">
      <w:pPr>
        <w:pStyle w:val="indexentry0"/>
      </w:pPr>
      <w:hyperlink w:anchor="section_9b0dce269f9e4536ba8337b34eb3f536">
        <w:r>
          <w:rPr>
            <w:rStyle w:val="Hyperlink"/>
          </w:rPr>
          <w:t>printPostScriptOverText (Print PostScript Co</w:t>
        </w:r>
        <w:r>
          <w:rPr>
            <w:rStyle w:val="Hyperlink"/>
          </w:rPr>
          <w:t>des With Document Text)</w:t>
        </w:r>
      </w:hyperlink>
      <w:r>
        <w:t xml:space="preserve"> </w:t>
      </w:r>
      <w:r>
        <w:fldChar w:fldCharType="begin"/>
      </w:r>
      <w:r>
        <w:instrText>PAGEREF section_9b0dce269f9e4536ba8337b34eb3f536</w:instrText>
      </w:r>
      <w:r>
        <w:fldChar w:fldCharType="separate"/>
      </w:r>
      <w:r>
        <w:rPr>
          <w:noProof/>
        </w:rPr>
        <w:t>159</w:t>
      </w:r>
      <w:r>
        <w:fldChar w:fldCharType="end"/>
      </w:r>
    </w:p>
    <w:p w:rsidR="005F78FC" w:rsidRDefault="00B42EF3">
      <w:pPr>
        <w:pStyle w:val="indexentry0"/>
      </w:pPr>
      <w:hyperlink w:anchor="section_ed56b005235b41308db9602e08a13b96">
        <w:r>
          <w:rPr>
            <w:rStyle w:val="Hyperlink"/>
          </w:rPr>
          <w:t>printSettings (Print Settings)</w:t>
        </w:r>
      </w:hyperlink>
      <w:r>
        <w:t xml:space="preserve"> </w:t>
      </w:r>
      <w:r>
        <w:fldChar w:fldCharType="begin"/>
      </w:r>
      <w:r>
        <w:instrText>PAGEREF section_ed56b005235b41308db9602e08a13b96</w:instrText>
      </w:r>
      <w:r>
        <w:fldChar w:fldCharType="separate"/>
      </w:r>
      <w:r>
        <w:rPr>
          <w:noProof/>
        </w:rPr>
        <w:t>568</w:t>
      </w:r>
      <w:r>
        <w:fldChar w:fldCharType="end"/>
      </w:r>
    </w:p>
    <w:p w:rsidR="005F78FC" w:rsidRDefault="00B42EF3">
      <w:pPr>
        <w:pStyle w:val="indexentry0"/>
      </w:pPr>
      <w:hyperlink w:anchor="section_6ab73e31403a4d83a90a2e0eb900f906">
        <w:r>
          <w:rPr>
            <w:rStyle w:val="Hyperlink"/>
          </w:rPr>
          <w:t>PROB</w:t>
        </w:r>
      </w:hyperlink>
      <w:r>
        <w:t xml:space="preserve"> </w:t>
      </w:r>
      <w:r>
        <w:fldChar w:fldCharType="begin"/>
      </w:r>
      <w:r>
        <w:instrText>PAGEREF section_6ab73e31403a4d83a90a2e0eb900f906</w:instrText>
      </w:r>
      <w:r>
        <w:fldChar w:fldCharType="separate"/>
      </w:r>
      <w:r>
        <w:rPr>
          <w:noProof/>
        </w:rPr>
        <w:t>445</w:t>
      </w:r>
      <w:r>
        <w:fldChar w:fldCharType="end"/>
      </w:r>
    </w:p>
    <w:p w:rsidR="005F78FC" w:rsidRDefault="00B42EF3">
      <w:pPr>
        <w:pStyle w:val="indexentry0"/>
      </w:pPr>
      <w:hyperlink w:anchor="section_2198fc993b4945a2bbb8f68a85adb7fe">
        <w:r>
          <w:rPr>
            <w:rStyle w:val="Hyperlink"/>
          </w:rPr>
          <w:t>PRODUCT</w:t>
        </w:r>
      </w:hyperlink>
      <w:r>
        <w:t xml:space="preserve"> </w:t>
      </w:r>
      <w:r>
        <w:fldChar w:fldCharType="begin"/>
      </w:r>
      <w:r>
        <w:instrText>PAGEREF section_2198fc993b4945a2bbb8f68a85adb7fe</w:instrText>
      </w:r>
      <w:r>
        <w:fldChar w:fldCharType="separate"/>
      </w:r>
      <w:r>
        <w:rPr>
          <w:noProof/>
        </w:rPr>
        <w:t>445</w:t>
      </w:r>
      <w:r>
        <w:fldChar w:fldCharType="end"/>
      </w:r>
    </w:p>
    <w:p w:rsidR="005F78FC" w:rsidRDefault="00B42EF3">
      <w:pPr>
        <w:pStyle w:val="indexentry0"/>
      </w:pPr>
      <w:hyperlink w:anchor="section_c6c5c46f909640e595f4cf70e7265ad9">
        <w:r>
          <w:rPr>
            <w:rStyle w:val="Hyperlink"/>
          </w:rPr>
          <w:t>progress (Progress)</w:t>
        </w:r>
      </w:hyperlink>
      <w:r>
        <w:t xml:space="preserve"> </w:t>
      </w:r>
      <w:r>
        <w:fldChar w:fldCharType="begin"/>
      </w:r>
      <w:r>
        <w:instrText>PAGEREF section_c6c5c46f909640e595f4cf70e7265ad9</w:instrText>
      </w:r>
      <w:r>
        <w:fldChar w:fldCharType="separate"/>
      </w:r>
      <w:r>
        <w:rPr>
          <w:noProof/>
        </w:rPr>
        <w:t>487</w:t>
      </w:r>
      <w:r>
        <w:fldChar w:fldCharType="end"/>
      </w:r>
    </w:p>
    <w:p w:rsidR="005F78FC" w:rsidRDefault="00B42EF3">
      <w:pPr>
        <w:pStyle w:val="indexentry0"/>
      </w:pPr>
      <w:hyperlink w:anchor="section_dd236d155c664553b1bbcdbf1680bf1b">
        <w:r>
          <w:rPr>
            <w:rStyle w:val="Hyperlink"/>
          </w:rPr>
          <w:t>property (Custom File Property)</w:t>
        </w:r>
      </w:hyperlink>
      <w:r>
        <w:t xml:space="preserve"> </w:t>
      </w:r>
      <w:r>
        <w:fldChar w:fldCharType="begin"/>
      </w:r>
      <w:r>
        <w:instrText>PAGEREF section_dd236d155c664553b1bbcdbf1680bf1b</w:instrText>
      </w:r>
      <w:r>
        <w:fldChar w:fldCharType="separate"/>
      </w:r>
      <w:r>
        <w:rPr>
          <w:noProof/>
        </w:rPr>
        <w:t>611</w:t>
      </w:r>
      <w:r>
        <w:fldChar w:fldCharType="end"/>
      </w:r>
    </w:p>
    <w:p w:rsidR="005F78FC" w:rsidRDefault="00B42EF3">
      <w:pPr>
        <w:pStyle w:val="indexentry0"/>
      </w:pPr>
      <w:hyperlink w:anchor="section_d162cec20b0d4de48edce1641a455d05">
        <w:r>
          <w:rPr>
            <w:rStyle w:val="Hyperlink"/>
          </w:rPr>
          <w:t>protectedRange (Protected Range)</w:t>
        </w:r>
      </w:hyperlink>
      <w:r>
        <w:t xml:space="preserve"> </w:t>
      </w:r>
      <w:r>
        <w:fldChar w:fldCharType="begin"/>
      </w:r>
      <w:r>
        <w:instrText>PAGEREF section_d162cec20b0d4de48edce1641a455d05</w:instrText>
      </w:r>
      <w:r>
        <w:fldChar w:fldCharType="separate"/>
      </w:r>
      <w:r>
        <w:rPr>
          <w:noProof/>
        </w:rPr>
        <w:t>281</w:t>
      </w:r>
      <w:r>
        <w:fldChar w:fldCharType="end"/>
      </w:r>
    </w:p>
    <w:p w:rsidR="005F78FC" w:rsidRDefault="00B42EF3">
      <w:pPr>
        <w:pStyle w:val="indexentry0"/>
      </w:pPr>
      <w:hyperlink w:anchor="section_21ce5bfcf7c345cf9b7b6e46a34745c1">
        <w:r>
          <w:rPr>
            <w:rStyle w:val="Hyperlink"/>
          </w:rPr>
          <w:t>protection (Protection Properties)</w:t>
        </w:r>
      </w:hyperlink>
      <w:r>
        <w:t xml:space="preserve"> </w:t>
      </w:r>
      <w:r>
        <w:fldChar w:fldCharType="begin"/>
      </w:r>
      <w:r>
        <w:instrText>PAGEREF se</w:instrText>
      </w:r>
      <w:r>
        <w:instrText>ction_21ce5bfcf7c345cf9b7b6e46a34745c1</w:instrText>
      </w:r>
      <w:r>
        <w:fldChar w:fldCharType="separate"/>
      </w:r>
      <w:r>
        <w:rPr>
          <w:noProof/>
        </w:rPr>
        <w:t>314</w:t>
      </w:r>
      <w:r>
        <w:fldChar w:fldCharType="end"/>
      </w:r>
    </w:p>
    <w:p w:rsidR="005F78FC" w:rsidRDefault="00B42EF3">
      <w:pPr>
        <w:pStyle w:val="indexentry0"/>
      </w:pPr>
      <w:hyperlink w:anchor="section_8c074063cd93473991fdec17d2bfa679">
        <w:r>
          <w:rPr>
            <w:rStyle w:val="Hyperlink"/>
          </w:rPr>
          <w:t>protection (Protection)</w:t>
        </w:r>
      </w:hyperlink>
      <w:r>
        <w:t xml:space="preserve"> </w:t>
      </w:r>
      <w:r>
        <w:fldChar w:fldCharType="begin"/>
      </w:r>
      <w:r>
        <w:instrText>PAGEREF section_8c074063cd93473991fdec17d2bfa679</w:instrText>
      </w:r>
      <w:r>
        <w:fldChar w:fldCharType="separate"/>
      </w:r>
      <w:r>
        <w:rPr>
          <w:noProof/>
        </w:rPr>
        <w:t>568</w:t>
      </w:r>
      <w:r>
        <w:fldChar w:fldCharType="end"/>
      </w:r>
    </w:p>
    <w:p w:rsidR="005F78FC" w:rsidRDefault="00B42EF3">
      <w:pPr>
        <w:pStyle w:val="indexentry0"/>
      </w:pPr>
      <w:hyperlink w:anchor="section_5f6781486eee4abda61051e4240cbe7d">
        <w:r>
          <w:rPr>
            <w:rStyle w:val="Hyperlink"/>
          </w:rPr>
          <w:t>proxy (Shape Reference)</w:t>
        </w:r>
      </w:hyperlink>
      <w:r>
        <w:t xml:space="preserve"> </w:t>
      </w:r>
      <w:r>
        <w:fldChar w:fldCharType="begin"/>
      </w:r>
      <w:r>
        <w:instrText>PAGEREF section_5f6781486eee4abda61051e4240cbe7d</w:instrText>
      </w:r>
      <w:r>
        <w:fldChar w:fldCharType="separate"/>
      </w:r>
      <w:r>
        <w:rPr>
          <w:noProof/>
        </w:rPr>
        <w:t>673</w:t>
      </w:r>
      <w:r>
        <w:fldChar w:fldCharType="end"/>
      </w:r>
    </w:p>
    <w:p w:rsidR="005F78FC" w:rsidRDefault="00B42EF3">
      <w:pPr>
        <w:pStyle w:val="indexentry0"/>
      </w:pPr>
      <w:hyperlink w:anchor="section_5a38b917dcd14a5d8788ae1f29d60b07">
        <w:r>
          <w:rPr>
            <w:rStyle w:val="Hyperlink"/>
          </w:rPr>
          <w:t>prSet (Property Set)</w:t>
        </w:r>
      </w:hyperlink>
      <w:r>
        <w:t xml:space="preserve"> </w:t>
      </w:r>
      <w:r>
        <w:fldChar w:fldCharType="begin"/>
      </w:r>
      <w:r>
        <w:instrText>PAGEREF section_5a38b917dcd14a5d8788ae1f29d60b07</w:instrText>
      </w:r>
      <w:r>
        <w:fldChar w:fldCharType="separate"/>
      </w:r>
      <w:r>
        <w:rPr>
          <w:noProof/>
        </w:rPr>
        <w:t>587</w:t>
      </w:r>
      <w:r>
        <w:fldChar w:fldCharType="end"/>
      </w:r>
    </w:p>
    <w:p w:rsidR="005F78FC" w:rsidRDefault="00B42EF3">
      <w:pPr>
        <w:pStyle w:val="indexentry0"/>
      </w:pPr>
      <w:hyperlink w:anchor="section_848c9693a3484120b597e50b34988b5a">
        <w:r>
          <w:rPr>
            <w:rStyle w:val="Hyperlink"/>
          </w:rPr>
          <w:t>prstClr (Preset Color)</w:t>
        </w:r>
      </w:hyperlink>
      <w:r>
        <w:t xml:space="preserve"> </w:t>
      </w:r>
      <w:r>
        <w:fldChar w:fldCharType="begin"/>
      </w:r>
      <w:r>
        <w:instrText>PAGEREF section_848c9693a3484120b597e50b34988b5a</w:instrText>
      </w:r>
      <w:r>
        <w:fldChar w:fldCharType="separate"/>
      </w:r>
      <w:r>
        <w:rPr>
          <w:noProof/>
        </w:rPr>
        <w:t>505</w:t>
      </w:r>
      <w:r>
        <w:fldChar w:fldCharType="end"/>
      </w:r>
    </w:p>
    <w:p w:rsidR="005F78FC" w:rsidRDefault="00B42EF3">
      <w:pPr>
        <w:pStyle w:val="indexentry0"/>
      </w:pPr>
      <w:hyperlink w:anchor="section_97207d86e4564bd9bffa527cca14613e">
        <w:r>
          <w:rPr>
            <w:rStyle w:val="Hyperlink"/>
          </w:rPr>
          <w:t>pStyle (Paragraph Style's Associated Numbering Level)</w:t>
        </w:r>
      </w:hyperlink>
      <w:r>
        <w:t xml:space="preserve"> </w:t>
      </w:r>
      <w:r>
        <w:fldChar w:fldCharType="begin"/>
      </w:r>
      <w:r>
        <w:instrText>PAGEREF section_97207d86e4564bd9bffa527cca1</w:instrText>
      </w:r>
      <w:r>
        <w:instrText>4613e</w:instrText>
      </w:r>
      <w:r>
        <w:fldChar w:fldCharType="separate"/>
      </w:r>
      <w:r>
        <w:rPr>
          <w:noProof/>
        </w:rPr>
        <w:t>129</w:t>
      </w:r>
      <w:r>
        <w:fldChar w:fldCharType="end"/>
      </w:r>
    </w:p>
    <w:p w:rsidR="005F78FC" w:rsidRDefault="00B42EF3">
      <w:pPr>
        <w:pStyle w:val="indexentry0"/>
      </w:pPr>
      <w:hyperlink w:anchor="section_116e5d7e734943748adbe53a78afa7cc">
        <w:r>
          <w:rPr>
            <w:rStyle w:val="Hyperlink"/>
          </w:rPr>
          <w:t>pStyle (Referenced Paragraph Style)</w:t>
        </w:r>
      </w:hyperlink>
      <w:r>
        <w:t xml:space="preserve"> </w:t>
      </w:r>
      <w:r>
        <w:fldChar w:fldCharType="begin"/>
      </w:r>
      <w:r>
        <w:instrText>PAGEREF section_116e5d7e734943748adbe53a78afa7cc</w:instrText>
      </w:r>
      <w:r>
        <w:fldChar w:fldCharType="separate"/>
      </w:r>
      <w:r>
        <w:rPr>
          <w:noProof/>
        </w:rPr>
        <w:t>69</w:t>
      </w:r>
      <w:r>
        <w:fldChar w:fldCharType="end"/>
      </w:r>
    </w:p>
    <w:p w:rsidR="005F78FC" w:rsidRDefault="00B42EF3">
      <w:pPr>
        <w:pStyle w:val="indexentry0"/>
      </w:pPr>
      <w:hyperlink w:anchor="section_21771f8836944e2b9df27e0165525383">
        <w:r>
          <w:rPr>
            <w:rStyle w:val="Hyperlink"/>
          </w:rPr>
          <w:t>pt (Numeric Point)</w:t>
        </w:r>
      </w:hyperlink>
      <w:r>
        <w:t xml:space="preserve"> </w:t>
      </w:r>
      <w:r>
        <w:fldChar w:fldCharType="begin"/>
      </w:r>
      <w:r>
        <w:instrText>PAGEREF sectio</w:instrText>
      </w:r>
      <w:r>
        <w:instrText>n_21771f8836944e2b9df27e0165525383</w:instrText>
      </w:r>
      <w:r>
        <w:fldChar w:fldCharType="separate"/>
      </w:r>
      <w:r>
        <w:rPr>
          <w:noProof/>
        </w:rPr>
        <w:t>569</w:t>
      </w:r>
      <w:r>
        <w:fldChar w:fldCharType="end"/>
      </w:r>
    </w:p>
    <w:p w:rsidR="005F78FC" w:rsidRDefault="00B42EF3">
      <w:pPr>
        <w:pStyle w:val="indexentry0"/>
      </w:pPr>
      <w:hyperlink w:anchor="section_bb6cb160531d4452a00d2870294901c8">
        <w:r>
          <w:rPr>
            <w:rStyle w:val="Hyperlink"/>
          </w:rPr>
          <w:t>pt (Point)</w:t>
        </w:r>
      </w:hyperlink>
      <w:r>
        <w:t xml:space="preserve"> </w:t>
      </w:r>
      <w:r>
        <w:fldChar w:fldCharType="begin"/>
      </w:r>
      <w:r>
        <w:instrText>PAGEREF section_bb6cb160531d4452a00d2870294901c8</w:instrText>
      </w:r>
      <w:r>
        <w:fldChar w:fldCharType="separate"/>
      </w:r>
      <w:r>
        <w:rPr>
          <w:noProof/>
        </w:rPr>
        <w:t>587</w:t>
      </w:r>
      <w:r>
        <w:fldChar w:fldCharType="end"/>
      </w:r>
    </w:p>
    <w:p w:rsidR="005F78FC" w:rsidRDefault="00B42EF3">
      <w:pPr>
        <w:pStyle w:val="indexentry0"/>
      </w:pPr>
      <w:hyperlink w:anchor="section_10ef747bd3a848b8873e665640b6415c">
        <w:r>
          <w:rPr>
            <w:rStyle w:val="Hyperlink"/>
          </w:rPr>
          <w:t>pt (Shape Path Point)</w:t>
        </w:r>
      </w:hyperlink>
      <w:r>
        <w:t xml:space="preserve"> </w:t>
      </w:r>
      <w:r>
        <w:fldChar w:fldCharType="begin"/>
      </w:r>
      <w:r>
        <w:instrText>PAGEREF section_10ef747bd3a848b8873e665640b6415c</w:instrText>
      </w:r>
      <w:r>
        <w:fldChar w:fldCharType="separate"/>
      </w:r>
      <w:r>
        <w:rPr>
          <w:noProof/>
        </w:rPr>
        <w:t>520</w:t>
      </w:r>
      <w:r>
        <w:fldChar w:fldCharType="end"/>
      </w:r>
    </w:p>
    <w:p w:rsidR="005F78FC" w:rsidRDefault="00B42EF3">
      <w:pPr>
        <w:pStyle w:val="indexentry0"/>
      </w:pPr>
      <w:hyperlink w:anchor="section_a73d668fe5e64f209740a419ea6e4ea3">
        <w:r>
          <w:rPr>
            <w:rStyle w:val="Hyperlink"/>
          </w:rPr>
          <w:t>pt (String Point)</w:t>
        </w:r>
      </w:hyperlink>
      <w:r>
        <w:t xml:space="preserve"> </w:t>
      </w:r>
      <w:r>
        <w:fldChar w:fldCharType="begin"/>
      </w:r>
      <w:r>
        <w:instrText>PAGEREF section_a73d668fe5e64f209740a419ea6e4ea3</w:instrText>
      </w:r>
      <w:r>
        <w:fldChar w:fldCharType="separate"/>
      </w:r>
      <w:r>
        <w:rPr>
          <w:noProof/>
        </w:rPr>
        <w:t>569</w:t>
      </w:r>
      <w:r>
        <w:fldChar w:fldCharType="end"/>
      </w:r>
    </w:p>
    <w:p w:rsidR="005F78FC" w:rsidRDefault="00B42EF3">
      <w:pPr>
        <w:pStyle w:val="indexentry0"/>
      </w:pPr>
      <w:hyperlink w:anchor="section_cc0514b40c864b5493dbb549ef487ce6">
        <w:r>
          <w:rPr>
            <w:rStyle w:val="Hyperlink"/>
          </w:rPr>
          <w:t>ptCount (P</w:t>
        </w:r>
        <w:r>
          <w:rPr>
            <w:rStyle w:val="Hyperlink"/>
          </w:rPr>
          <w:t>oint Count)</w:t>
        </w:r>
      </w:hyperlink>
      <w:r>
        <w:t xml:space="preserve"> </w:t>
      </w:r>
      <w:r>
        <w:fldChar w:fldCharType="begin"/>
      </w:r>
      <w:r>
        <w:instrText>PAGEREF section_cc0514b40c864b5493dbb549ef487ce6</w:instrText>
      </w:r>
      <w:r>
        <w:fldChar w:fldCharType="separate"/>
      </w:r>
      <w:r>
        <w:rPr>
          <w:noProof/>
        </w:rPr>
        <w:t>569</w:t>
      </w:r>
      <w:r>
        <w:fldChar w:fldCharType="end"/>
      </w:r>
    </w:p>
    <w:p w:rsidR="005F78FC" w:rsidRDefault="00B42EF3">
      <w:pPr>
        <w:pStyle w:val="indexentry0"/>
      </w:pPr>
      <w:hyperlink w:anchor="section_f7742a9e6b754404a61378ac041b7765">
        <w:r>
          <w:rPr>
            <w:rStyle w:val="Hyperlink"/>
          </w:rPr>
          <w:t>PublishDate (Document Publish Date)</w:t>
        </w:r>
      </w:hyperlink>
      <w:r>
        <w:t xml:space="preserve"> </w:t>
      </w:r>
      <w:r>
        <w:fldChar w:fldCharType="begin"/>
      </w:r>
      <w:r>
        <w:instrText>PAGEREF section_f7742a9e6b754404a61378ac041b7765</w:instrText>
      </w:r>
      <w:r>
        <w:fldChar w:fldCharType="separate"/>
      </w:r>
      <w:r>
        <w:rPr>
          <w:noProof/>
        </w:rPr>
        <w:t>858</w:t>
      </w:r>
      <w:r>
        <w:fldChar w:fldCharType="end"/>
      </w:r>
    </w:p>
    <w:p w:rsidR="005F78FC" w:rsidRDefault="00B42EF3">
      <w:pPr>
        <w:pStyle w:val="indexentry0"/>
      </w:pPr>
      <w:hyperlink w:anchor="section_dec0bdefb97a4de69df1c5ed7f74e150">
        <w:r>
          <w:rPr>
            <w:rStyle w:val="Hyperlink"/>
          </w:rPr>
          <w:t>PV</w:t>
        </w:r>
      </w:hyperlink>
      <w:r>
        <w:t xml:space="preserve"> </w:t>
      </w:r>
      <w:r>
        <w:fldChar w:fldCharType="begin"/>
      </w:r>
      <w:r>
        <w:instrText>PAGEREF section_dec0bdefb97a4de69df1c5ed7f74e150</w:instrText>
      </w:r>
      <w:r>
        <w:fldChar w:fldCharType="separate"/>
      </w:r>
      <w:r>
        <w:rPr>
          <w:noProof/>
        </w:rPr>
        <w:t>446</w:t>
      </w:r>
      <w:r>
        <w:fldChar w:fldCharType="end"/>
      </w:r>
    </w:p>
    <w:p w:rsidR="005F78FC" w:rsidRDefault="005F78FC">
      <w:pPr>
        <w:spacing w:before="0" w:after="0"/>
        <w:rPr>
          <w:sz w:val="16"/>
        </w:rPr>
      </w:pPr>
    </w:p>
    <w:p w:rsidR="005F78FC" w:rsidRDefault="00B42EF3">
      <w:pPr>
        <w:pStyle w:val="indexheader"/>
      </w:pPr>
      <w:r>
        <w:t>Q</w:t>
      </w:r>
    </w:p>
    <w:p w:rsidR="005F78FC" w:rsidRDefault="005F78FC">
      <w:pPr>
        <w:spacing w:before="0" w:after="0"/>
        <w:rPr>
          <w:sz w:val="16"/>
        </w:rPr>
      </w:pPr>
    </w:p>
    <w:p w:rsidR="005F78FC" w:rsidRDefault="00B42EF3">
      <w:pPr>
        <w:pStyle w:val="indexentry0"/>
      </w:pPr>
      <w:hyperlink w:anchor="section_a9c31b5313cd44a29b23ed04ed2aa79b">
        <w:r>
          <w:rPr>
            <w:rStyle w:val="Hyperlink"/>
          </w:rPr>
          <w:t>query (Query For Data Source Records To Merge)</w:t>
        </w:r>
      </w:hyperlink>
      <w:r>
        <w:t xml:space="preserve"> </w:t>
      </w:r>
      <w:r>
        <w:fldChar w:fldCharType="begin"/>
      </w:r>
      <w:r>
        <w:instrText>PAGEREF section_a9c31b5313cd44a29b23ed04ed2aa79b</w:instrText>
      </w:r>
      <w:r>
        <w:fldChar w:fldCharType="separate"/>
      </w:r>
      <w:r>
        <w:rPr>
          <w:noProof/>
        </w:rPr>
        <w:t>148</w:t>
      </w:r>
      <w:r>
        <w:fldChar w:fldCharType="end"/>
      </w:r>
    </w:p>
    <w:p w:rsidR="005F78FC" w:rsidRDefault="00B42EF3">
      <w:pPr>
        <w:pStyle w:val="indexentry0"/>
      </w:pPr>
      <w:hyperlink w:anchor="section_17df2d7dd5bd4329906b1d4b4adc0c02">
        <w:r>
          <w:rPr>
            <w:rStyle w:val="Hyperlink"/>
          </w:rPr>
          <w:t>query (Query)</w:t>
        </w:r>
      </w:hyperlink>
      <w:r>
        <w:t xml:space="preserve"> </w:t>
      </w:r>
      <w:r>
        <w:fldChar w:fldCharType="begin"/>
      </w:r>
      <w:r>
        <w:instrText>PAGEREF section_17df2d7dd5bd4329906b1d4b4adc0c02</w:instrText>
      </w:r>
      <w:r>
        <w:fldChar w:fldCharType="separate"/>
      </w:r>
      <w:r>
        <w:rPr>
          <w:noProof/>
        </w:rPr>
        <w:t>357</w:t>
      </w:r>
      <w:r>
        <w:fldChar w:fldCharType="end"/>
      </w:r>
    </w:p>
    <w:p w:rsidR="005F78FC" w:rsidRDefault="00B42EF3">
      <w:pPr>
        <w:pStyle w:val="indexentry0"/>
      </w:pPr>
      <w:hyperlink w:anchor="section_ad7e94cbf93d40629e7059f03c10f5cb">
        <w:r>
          <w:rPr>
            <w:rStyle w:val="Hyperlink"/>
          </w:rPr>
          <w:t>queryTable (Query Table)</w:t>
        </w:r>
      </w:hyperlink>
      <w:r>
        <w:t xml:space="preserve"> </w:t>
      </w:r>
      <w:r>
        <w:fldChar w:fldCharType="begin"/>
      </w:r>
      <w:r>
        <w:instrText>PAGEREF section_ad7e94cbf93d40629e7059f03c10f5cb</w:instrText>
      </w:r>
      <w:r>
        <w:fldChar w:fldCharType="separate"/>
      </w:r>
      <w:r>
        <w:rPr>
          <w:noProof/>
        </w:rPr>
        <w:t>377</w:t>
      </w:r>
      <w:r>
        <w:fldChar w:fldCharType="end"/>
      </w:r>
    </w:p>
    <w:p w:rsidR="005F78FC" w:rsidRDefault="00B42EF3">
      <w:pPr>
        <w:pStyle w:val="indexentry0"/>
      </w:pPr>
      <w:hyperlink w:anchor="section_fef88e81fa6046b09fd98578a18088b2">
        <w:r>
          <w:rPr>
            <w:rStyle w:val="Hyperlink"/>
          </w:rPr>
          <w:t>queryTableField (QueryTable Field)</w:t>
        </w:r>
      </w:hyperlink>
      <w:r>
        <w:t xml:space="preserve"> </w:t>
      </w:r>
      <w:r>
        <w:fldChar w:fldCharType="begin"/>
      </w:r>
      <w:r>
        <w:instrText>PAGEREF section_fef88e81fa6046b09fd98578a18088b2</w:instrText>
      </w:r>
      <w:r>
        <w:fldChar w:fldCharType="separate"/>
      </w:r>
      <w:r>
        <w:rPr>
          <w:noProof/>
        </w:rPr>
        <w:t>378</w:t>
      </w:r>
      <w:r>
        <w:fldChar w:fldCharType="end"/>
      </w:r>
    </w:p>
    <w:p w:rsidR="005F78FC" w:rsidRDefault="00B42EF3">
      <w:pPr>
        <w:pStyle w:val="indexentry0"/>
      </w:pPr>
      <w:hyperlink w:anchor="section_cd1089f6b04b458f8077489b116b61ba">
        <w:r>
          <w:rPr>
            <w:rStyle w:val="Hyperlink"/>
          </w:rPr>
          <w:t>queryTableRefresh (QueryTable Refresh Information)</w:t>
        </w:r>
      </w:hyperlink>
      <w:r>
        <w:t xml:space="preserve"> </w:t>
      </w:r>
      <w:r>
        <w:fldChar w:fldCharType="begin"/>
      </w:r>
      <w:r>
        <w:instrText>PAGEREF section_cd1089f6b04b458f8077489b116b61ba</w:instrText>
      </w:r>
      <w:r>
        <w:fldChar w:fldCharType="separate"/>
      </w:r>
      <w:r>
        <w:rPr>
          <w:noProof/>
        </w:rPr>
        <w:t>378</w:t>
      </w:r>
      <w:r>
        <w:fldChar w:fldCharType="end"/>
      </w:r>
    </w:p>
    <w:p w:rsidR="005F78FC" w:rsidRDefault="00B42EF3">
      <w:pPr>
        <w:pStyle w:val="indexentry0"/>
      </w:pPr>
      <w:hyperlink w:anchor="section_55d273e4770e48bc883fc66dc2816d30">
        <w:r>
          <w:rPr>
            <w:rStyle w:val="Hyperlink"/>
          </w:rPr>
          <w:t>Quick Access Toolbar Customizations Part</w:t>
        </w:r>
      </w:hyperlink>
      <w:r>
        <w:t xml:space="preserve"> </w:t>
      </w:r>
      <w:r>
        <w:fldChar w:fldCharType="begin"/>
      </w:r>
      <w:r>
        <w:instrText>PAGEREF section_55d273e4770e48bc883fc66dc2816d3</w:instrText>
      </w:r>
      <w:r>
        <w:instrText>0</w:instrText>
      </w:r>
      <w:r>
        <w:fldChar w:fldCharType="separate"/>
      </w:r>
      <w:r>
        <w:rPr>
          <w:noProof/>
        </w:rPr>
        <w:t>852</w:t>
      </w:r>
      <w:r>
        <w:fldChar w:fldCharType="end"/>
      </w:r>
    </w:p>
    <w:p w:rsidR="005F78FC" w:rsidRDefault="00B42EF3">
      <w:pPr>
        <w:pStyle w:val="indexentry0"/>
      </w:pPr>
      <w:hyperlink w:anchor="section_f4b4975ae97c41cd8461fe1b08714aaa">
        <w:r>
          <w:rPr>
            <w:rStyle w:val="Hyperlink"/>
          </w:rPr>
          <w:t>QUOTE</w:t>
        </w:r>
      </w:hyperlink>
      <w:r>
        <w:t xml:space="preserve"> </w:t>
      </w:r>
      <w:r>
        <w:fldChar w:fldCharType="begin"/>
      </w:r>
      <w:r>
        <w:instrText>PAGEREF section_f4b4975ae97c41cd8461fe1b08714aaa</w:instrText>
      </w:r>
      <w:r>
        <w:fldChar w:fldCharType="separate"/>
      </w:r>
      <w:r>
        <w:rPr>
          <w:noProof/>
        </w:rPr>
        <w:t>223</w:t>
      </w:r>
      <w:r>
        <w:fldChar w:fldCharType="end"/>
      </w:r>
    </w:p>
    <w:p w:rsidR="005F78FC" w:rsidRDefault="005F78FC">
      <w:pPr>
        <w:spacing w:before="0" w:after="0"/>
        <w:rPr>
          <w:sz w:val="16"/>
        </w:rPr>
      </w:pPr>
    </w:p>
    <w:p w:rsidR="005F78FC" w:rsidRDefault="00B42EF3">
      <w:pPr>
        <w:pStyle w:val="indexheader"/>
      </w:pPr>
      <w:r>
        <w:t>R</w:t>
      </w:r>
    </w:p>
    <w:p w:rsidR="005F78FC" w:rsidRDefault="005F78FC">
      <w:pPr>
        <w:spacing w:before="0" w:after="0"/>
        <w:rPr>
          <w:sz w:val="16"/>
        </w:rPr>
      </w:pPr>
    </w:p>
    <w:p w:rsidR="005F78FC" w:rsidRDefault="00B42EF3">
      <w:pPr>
        <w:pStyle w:val="indexentry0"/>
      </w:pPr>
      <w:hyperlink w:anchor="section_f1a0020af88a4f86b0d6cc59f8332454">
        <w:r>
          <w:rPr>
            <w:rStyle w:val="Hyperlink"/>
          </w:rPr>
          <w:t>r (PivotCache Record)</w:t>
        </w:r>
      </w:hyperlink>
      <w:r>
        <w:t xml:space="preserve"> </w:t>
      </w:r>
      <w:r>
        <w:fldChar w:fldCharType="begin"/>
      </w:r>
      <w:r>
        <w:instrText>PAGEREF section_f1a0020af88a4f86b0d6cc59f</w:instrText>
      </w:r>
      <w:r>
        <w:instrText>8332454</w:instrText>
      </w:r>
      <w:r>
        <w:fldChar w:fldCharType="separate"/>
      </w:r>
      <w:r>
        <w:rPr>
          <w:noProof/>
        </w:rPr>
        <w:t>357</w:t>
      </w:r>
      <w:r>
        <w:fldChar w:fldCharType="end"/>
      </w:r>
    </w:p>
    <w:p w:rsidR="005F78FC" w:rsidRDefault="00B42EF3">
      <w:pPr>
        <w:pStyle w:val="indexentry0"/>
      </w:pPr>
      <w:hyperlink w:anchor="section_2f8d7b7c53824e9e9365120a88a1eb5f">
        <w:r>
          <w:rPr>
            <w:rStyle w:val="Hyperlink"/>
          </w:rPr>
          <w:t>r (Rule)</w:t>
        </w:r>
      </w:hyperlink>
      <w:r>
        <w:t xml:space="preserve"> </w:t>
      </w:r>
      <w:r>
        <w:fldChar w:fldCharType="begin"/>
      </w:r>
      <w:r>
        <w:instrText>PAGEREF section_2f8d7b7c53824e9e9365120a88a1eb5f</w:instrText>
      </w:r>
      <w:r>
        <w:fldChar w:fldCharType="separate"/>
      </w:r>
      <w:r>
        <w:rPr>
          <w:noProof/>
        </w:rPr>
        <w:t>674</w:t>
      </w:r>
      <w:r>
        <w:fldChar w:fldCharType="end"/>
      </w:r>
    </w:p>
    <w:p w:rsidR="005F78FC" w:rsidRDefault="00B42EF3">
      <w:pPr>
        <w:pStyle w:val="indexentry0"/>
      </w:pPr>
      <w:hyperlink w:anchor="section_a3a6444b11de4ac581bafe03b07f8a45">
        <w:r>
          <w:rPr>
            <w:rStyle w:val="Hyperlink"/>
          </w:rPr>
          <w:t>r (Run)</w:t>
        </w:r>
      </w:hyperlink>
      <w:r>
        <w:t xml:space="preserve"> </w:t>
      </w:r>
      <w:r>
        <w:fldChar w:fldCharType="begin"/>
      </w:r>
      <w:r>
        <w:instrText>PAGEREF section_a3a6444b11de4ac581bafe03b07f8a45</w:instrText>
      </w:r>
      <w:r>
        <w:fldChar w:fldCharType="separate"/>
      </w:r>
      <w:r>
        <w:rPr>
          <w:noProof/>
        </w:rPr>
        <w:t>604</w:t>
      </w:r>
      <w:r>
        <w:fldChar w:fldCharType="end"/>
      </w:r>
    </w:p>
    <w:p w:rsidR="005F78FC" w:rsidRDefault="00B42EF3">
      <w:pPr>
        <w:pStyle w:val="indexentry0"/>
      </w:pPr>
      <w:r>
        <w:t>r (Text Run) (</w:t>
      </w:r>
      <w:hyperlink w:anchor="section_f2e9836a5ffa4c5d87420c7a0637b277">
        <w:r>
          <w:rPr>
            <w:rStyle w:val="Hyperlink"/>
          </w:rPr>
          <w:t>section 2.1.87</w:t>
        </w:r>
      </w:hyperlink>
      <w:r>
        <w:t xml:space="preserve"> </w:t>
      </w:r>
      <w:r>
        <w:fldChar w:fldCharType="begin"/>
      </w:r>
      <w:r>
        <w:instrText>PAGEREF section_f2e9836a5ffa4c5d87420c7a0637b277</w:instrText>
      </w:r>
      <w:r>
        <w:fldChar w:fldCharType="separate"/>
      </w:r>
      <w:r>
        <w:rPr>
          <w:noProof/>
        </w:rPr>
        <w:t>75</w:t>
      </w:r>
      <w:r>
        <w:fldChar w:fldCharType="end"/>
      </w:r>
      <w:r>
        <w:t xml:space="preserve">, </w:t>
      </w:r>
      <w:hyperlink w:anchor="section_a58bef0cc9b542ca9bb3ebd6657a1a94">
        <w:r>
          <w:rPr>
            <w:rStyle w:val="Hyperlink"/>
          </w:rPr>
          <w:t>section 2.1.1393</w:t>
        </w:r>
      </w:hyperlink>
      <w:r>
        <w:t xml:space="preserve"> </w:t>
      </w:r>
      <w:r>
        <w:fldChar w:fldCharType="begin"/>
      </w:r>
      <w:r>
        <w:instrText>PAGEREF section_a58bef0cc9b54</w:instrText>
      </w:r>
      <w:r>
        <w:instrText>2ca9bb3ebd6657a1a94</w:instrText>
      </w:r>
      <w:r>
        <w:fldChar w:fldCharType="separate"/>
      </w:r>
      <w:r>
        <w:rPr>
          <w:noProof/>
        </w:rPr>
        <w:t>540</w:t>
      </w:r>
      <w:r>
        <w:fldChar w:fldCharType="end"/>
      </w:r>
      <w:r>
        <w:t>)</w:t>
      </w:r>
    </w:p>
    <w:p w:rsidR="005F78FC" w:rsidRDefault="00B42EF3">
      <w:pPr>
        <w:pStyle w:val="indexentry0"/>
      </w:pPr>
      <w:hyperlink w:anchor="section_85f4d41ff3d649c987c1d570f55b03cb">
        <w:r>
          <w:rPr>
            <w:rStyle w:val="Hyperlink"/>
          </w:rPr>
          <w:t>R1C1 formulas</w:t>
        </w:r>
      </w:hyperlink>
      <w:r>
        <w:t xml:space="preserve"> </w:t>
      </w:r>
      <w:r>
        <w:fldChar w:fldCharType="begin"/>
      </w:r>
      <w:r>
        <w:instrText>PAGEREF section_85f4d41ff3d649c987c1d570f55b03cb</w:instrText>
      </w:r>
      <w:r>
        <w:fldChar w:fldCharType="separate"/>
      </w:r>
      <w:r>
        <w:rPr>
          <w:noProof/>
        </w:rPr>
        <w:t>847</w:t>
      </w:r>
      <w:r>
        <w:fldChar w:fldCharType="end"/>
      </w:r>
    </w:p>
    <w:p w:rsidR="005F78FC" w:rsidRDefault="00B42EF3">
      <w:pPr>
        <w:pStyle w:val="indexentry0"/>
      </w:pPr>
      <w:hyperlink w:anchor="section_8d68c790057144f68583f837e72635ed">
        <w:r>
          <w:rPr>
            <w:rStyle w:val="Hyperlink"/>
          </w:rPr>
          <w:t>R1C1-Style Cell Reference</w:t>
        </w:r>
      </w:hyperlink>
      <w:r>
        <w:t xml:space="preserve"> </w:t>
      </w:r>
      <w:r>
        <w:fldChar w:fldCharType="begin"/>
      </w:r>
      <w:r>
        <w:instrText>PAGEREF section_8d68c790057144f68583f837e72635ed</w:instrText>
      </w:r>
      <w:r>
        <w:fldChar w:fldCharType="separate"/>
      </w:r>
      <w:r>
        <w:rPr>
          <w:noProof/>
        </w:rPr>
        <w:t>396</w:t>
      </w:r>
      <w:r>
        <w:fldChar w:fldCharType="end"/>
      </w:r>
    </w:p>
    <w:p w:rsidR="005F78FC" w:rsidRDefault="00B42EF3">
      <w:pPr>
        <w:pStyle w:val="indexentry0"/>
      </w:pPr>
      <w:hyperlink w:anchor="section_2fa23caf92704a7691eafb97223fb074">
        <w:r>
          <w:rPr>
            <w:rStyle w:val="Hyperlink"/>
          </w:rPr>
          <w:t>rad (Radical Object)</w:t>
        </w:r>
      </w:hyperlink>
      <w:r>
        <w:t xml:space="preserve"> </w:t>
      </w:r>
      <w:r>
        <w:fldChar w:fldCharType="begin"/>
      </w:r>
      <w:r>
        <w:instrText>PAGEREF section_2fa23caf92704a7691eafb97223fb074</w:instrText>
      </w:r>
      <w:r>
        <w:fldChar w:fldCharType="separate"/>
      </w:r>
      <w:r>
        <w:rPr>
          <w:noProof/>
        </w:rPr>
        <w:t>604</w:t>
      </w:r>
      <w:r>
        <w:fldChar w:fldCharType="end"/>
      </w:r>
    </w:p>
    <w:p w:rsidR="005F78FC" w:rsidRDefault="00B42EF3">
      <w:pPr>
        <w:pStyle w:val="indexentry0"/>
      </w:pPr>
      <w:hyperlink w:anchor="section_0cd74246587c4969aa8c705f633ff3d9">
        <w:r>
          <w:rPr>
            <w:rStyle w:val="Hyperlink"/>
          </w:rPr>
          <w:t>radarCh</w:t>
        </w:r>
        <w:r>
          <w:rPr>
            <w:rStyle w:val="Hyperlink"/>
          </w:rPr>
          <w:t>art (Radar Charts)</w:t>
        </w:r>
      </w:hyperlink>
      <w:r>
        <w:t xml:space="preserve"> </w:t>
      </w:r>
      <w:r>
        <w:fldChar w:fldCharType="begin"/>
      </w:r>
      <w:r>
        <w:instrText>PAGEREF section_0cd74246587c4969aa8c705f633ff3d9</w:instrText>
      </w:r>
      <w:r>
        <w:fldChar w:fldCharType="separate"/>
      </w:r>
      <w:r>
        <w:rPr>
          <w:noProof/>
        </w:rPr>
        <w:t>569</w:t>
      </w:r>
      <w:r>
        <w:fldChar w:fldCharType="end"/>
      </w:r>
    </w:p>
    <w:p w:rsidR="005F78FC" w:rsidRDefault="00B42EF3">
      <w:pPr>
        <w:pStyle w:val="indexentry0"/>
      </w:pPr>
      <w:hyperlink w:anchor="section_b303418c8a0746d5b1dee6905c3b589c">
        <w:r>
          <w:rPr>
            <w:rStyle w:val="Hyperlink"/>
          </w:rPr>
          <w:t>radarStyle (Radar Style)</w:t>
        </w:r>
      </w:hyperlink>
      <w:r>
        <w:t xml:space="preserve"> </w:t>
      </w:r>
      <w:r>
        <w:fldChar w:fldCharType="begin"/>
      </w:r>
      <w:r>
        <w:instrText>PAGEREF section_b303418c8a0746d5b1dee6905c3b589c</w:instrText>
      </w:r>
      <w:r>
        <w:fldChar w:fldCharType="separate"/>
      </w:r>
      <w:r>
        <w:rPr>
          <w:noProof/>
        </w:rPr>
        <w:t>569</w:t>
      </w:r>
      <w:r>
        <w:fldChar w:fldCharType="end"/>
      </w:r>
    </w:p>
    <w:p w:rsidR="005F78FC" w:rsidRDefault="00B42EF3">
      <w:pPr>
        <w:pStyle w:val="indexentry0"/>
      </w:pPr>
      <w:hyperlink w:anchor="section_c204cff307be4db39524f802d03fa17c">
        <w:r>
          <w:rPr>
            <w:rStyle w:val="Hyperlink"/>
          </w:rPr>
          <w:t>raf (Revision AutoFormat)</w:t>
        </w:r>
      </w:hyperlink>
      <w:r>
        <w:t xml:space="preserve"> </w:t>
      </w:r>
      <w:r>
        <w:fldChar w:fldCharType="begin"/>
      </w:r>
      <w:r>
        <w:instrText>PAGEREF section_c204cff307be4db39524f802d03fa17c</w:instrText>
      </w:r>
      <w:r>
        <w:fldChar w:fldCharType="separate"/>
      </w:r>
      <w:r>
        <w:rPr>
          <w:noProof/>
        </w:rPr>
        <w:t>373</w:t>
      </w:r>
      <w:r>
        <w:fldChar w:fldCharType="end"/>
      </w:r>
    </w:p>
    <w:p w:rsidR="005F78FC" w:rsidRDefault="00B42EF3">
      <w:pPr>
        <w:pStyle w:val="indexentry0"/>
      </w:pPr>
      <w:hyperlink w:anchor="section_c7d20cb511c9401ab29a03574828cd25">
        <w:r>
          <w:rPr>
            <w:rStyle w:val="Hyperlink"/>
          </w:rPr>
          <w:t>rAngAx (Right Angle Axes)</w:t>
        </w:r>
      </w:hyperlink>
      <w:r>
        <w:t xml:space="preserve"> </w:t>
      </w:r>
      <w:r>
        <w:fldChar w:fldCharType="begin"/>
      </w:r>
      <w:r>
        <w:instrText>PAGEREF section_c7d20cb511c9401ab29a03574828cd25</w:instrText>
      </w:r>
      <w:r>
        <w:fldChar w:fldCharType="separate"/>
      </w:r>
      <w:r>
        <w:rPr>
          <w:noProof/>
        </w:rPr>
        <w:t>569</w:t>
      </w:r>
      <w:r>
        <w:fldChar w:fldCharType="end"/>
      </w:r>
    </w:p>
    <w:p w:rsidR="005F78FC" w:rsidRDefault="00B42EF3">
      <w:pPr>
        <w:pStyle w:val="indexentry0"/>
      </w:pPr>
      <w:hyperlink w:anchor="section_26ccde017f1e47eb997380dad81e6e0e">
        <w:r>
          <w:rPr>
            <w:rStyle w:val="Hyperlink"/>
          </w:rPr>
          <w:t>rangePr (Range Grouping Properties)</w:t>
        </w:r>
      </w:hyperlink>
      <w:r>
        <w:t xml:space="preserve"> </w:t>
      </w:r>
      <w:r>
        <w:fldChar w:fldCharType="begin"/>
      </w:r>
      <w:r>
        <w:instrText>PAGEREF section_26ccde017f1e47eb997380dad81e6e0e</w:instrText>
      </w:r>
      <w:r>
        <w:fldChar w:fldCharType="separate"/>
      </w:r>
      <w:r>
        <w:rPr>
          <w:noProof/>
        </w:rPr>
        <w:t>357</w:t>
      </w:r>
      <w:r>
        <w:fldChar w:fldCharType="end"/>
      </w:r>
    </w:p>
    <w:p w:rsidR="005F78FC" w:rsidRDefault="00B42EF3">
      <w:pPr>
        <w:pStyle w:val="indexentry0"/>
      </w:pPr>
      <w:hyperlink w:anchor="section_a9b7cdf864e547c9950debe253c5c82e">
        <w:r>
          <w:rPr>
            <w:rStyle w:val="Hyperlink"/>
          </w:rPr>
          <w:t>rangeSet (Range Set)</w:t>
        </w:r>
      </w:hyperlink>
      <w:r>
        <w:t xml:space="preserve"> </w:t>
      </w:r>
      <w:r>
        <w:fldChar w:fldCharType="begin"/>
      </w:r>
      <w:r>
        <w:instrText>PAGEREF section_a9b7cdf864e547c9950deb</w:instrText>
      </w:r>
      <w:r>
        <w:instrText>e253c5c82e</w:instrText>
      </w:r>
      <w:r>
        <w:fldChar w:fldCharType="separate"/>
      </w:r>
      <w:r>
        <w:rPr>
          <w:noProof/>
        </w:rPr>
        <w:t>358</w:t>
      </w:r>
      <w:r>
        <w:fldChar w:fldCharType="end"/>
      </w:r>
    </w:p>
    <w:p w:rsidR="005F78FC" w:rsidRDefault="00B42EF3">
      <w:pPr>
        <w:pStyle w:val="indexentry0"/>
      </w:pPr>
      <w:hyperlink w:anchor="section_cdea6da968434689976deed0f25b764f">
        <w:r>
          <w:rPr>
            <w:rStyle w:val="Hyperlink"/>
          </w:rPr>
          <w:t>RANK</w:t>
        </w:r>
      </w:hyperlink>
      <w:r>
        <w:t xml:space="preserve"> </w:t>
      </w:r>
      <w:r>
        <w:fldChar w:fldCharType="begin"/>
      </w:r>
      <w:r>
        <w:instrText>PAGEREF section_cdea6da968434689976deed0f25b764f</w:instrText>
      </w:r>
      <w:r>
        <w:fldChar w:fldCharType="separate"/>
      </w:r>
      <w:r>
        <w:rPr>
          <w:noProof/>
        </w:rPr>
        <w:t>446</w:t>
      </w:r>
      <w:r>
        <w:fldChar w:fldCharType="end"/>
      </w:r>
    </w:p>
    <w:p w:rsidR="005F78FC" w:rsidRDefault="00B42EF3">
      <w:pPr>
        <w:pStyle w:val="indexentry0"/>
      </w:pPr>
      <w:hyperlink w:anchor="section_6bf7d39525104a2cb31878717aecd437">
        <w:r>
          <w:rPr>
            <w:rStyle w:val="Hyperlink"/>
          </w:rPr>
          <w:t>RATE</w:t>
        </w:r>
      </w:hyperlink>
      <w:r>
        <w:t xml:space="preserve"> </w:t>
      </w:r>
      <w:r>
        <w:fldChar w:fldCharType="begin"/>
      </w:r>
      <w:r>
        <w:instrText>PAGEREF section_6bf7d39525104a2cb31878717aecd437</w:instrText>
      </w:r>
      <w:r>
        <w:fldChar w:fldCharType="separate"/>
      </w:r>
      <w:r>
        <w:rPr>
          <w:noProof/>
        </w:rPr>
        <w:t>446</w:t>
      </w:r>
      <w:r>
        <w:fldChar w:fldCharType="end"/>
      </w:r>
    </w:p>
    <w:p w:rsidR="005F78FC" w:rsidRDefault="00B42EF3">
      <w:pPr>
        <w:pStyle w:val="indexentry0"/>
      </w:pPr>
      <w:hyperlink w:anchor="section_068a1e33b87d49c3b92406cf6033b8cc">
        <w:r>
          <w:rPr>
            <w:rStyle w:val="Hyperlink"/>
          </w:rPr>
          <w:t>rc (Metadata Record)</w:t>
        </w:r>
      </w:hyperlink>
      <w:r>
        <w:t xml:space="preserve"> </w:t>
      </w:r>
      <w:r>
        <w:fldChar w:fldCharType="begin"/>
      </w:r>
      <w:r>
        <w:instrText>PAGEREF section_068a1e33b87d49c3b92406cf6033b8cc</w:instrText>
      </w:r>
      <w:r>
        <w:fldChar w:fldCharType="separate"/>
      </w:r>
      <w:r>
        <w:rPr>
          <w:noProof/>
        </w:rPr>
        <w:t>321</w:t>
      </w:r>
      <w:r>
        <w:fldChar w:fldCharType="end"/>
      </w:r>
    </w:p>
    <w:p w:rsidR="005F78FC" w:rsidRDefault="00B42EF3">
      <w:pPr>
        <w:pStyle w:val="indexentry0"/>
      </w:pPr>
      <w:hyperlink w:anchor="section_93a010b3df434cd4833aebacc1a80517">
        <w:r>
          <w:rPr>
            <w:rStyle w:val="Hyperlink"/>
          </w:rPr>
          <w:t>rcc (Revision Cell Change)</w:t>
        </w:r>
      </w:hyperlink>
      <w:r>
        <w:t xml:space="preserve"> </w:t>
      </w:r>
      <w:r>
        <w:fldChar w:fldCharType="begin"/>
      </w:r>
      <w:r>
        <w:instrText>PAGEREF section_93a010b3df434cd4833aebacc1a80517</w:instrText>
      </w:r>
      <w:r>
        <w:fldChar w:fldCharType="separate"/>
      </w:r>
      <w:r>
        <w:rPr>
          <w:noProof/>
        </w:rPr>
        <w:t>373</w:t>
      </w:r>
      <w:r>
        <w:fldChar w:fldCharType="end"/>
      </w:r>
    </w:p>
    <w:p w:rsidR="005F78FC" w:rsidRDefault="00B42EF3">
      <w:pPr>
        <w:pStyle w:val="indexentry0"/>
      </w:pPr>
      <w:hyperlink w:anchor="section_b551f264a701421c9a934fd7b5202aaf">
        <w:r>
          <w:rPr>
            <w:rStyle w:val="Hyperlink"/>
          </w:rPr>
          <w:t>rcft (Revision Merge Conflict)</w:t>
        </w:r>
      </w:hyperlink>
      <w:r>
        <w:t xml:space="preserve"> </w:t>
      </w:r>
      <w:r>
        <w:fldChar w:fldCharType="begin"/>
      </w:r>
      <w:r>
        <w:instrText>PAGEREF section_b551f264a701421c9a934fd7b5202aaf</w:instrText>
      </w:r>
      <w:r>
        <w:fldChar w:fldCharType="separate"/>
      </w:r>
      <w:r>
        <w:rPr>
          <w:noProof/>
        </w:rPr>
        <w:t>373</w:t>
      </w:r>
      <w:r>
        <w:fldChar w:fldCharType="end"/>
      </w:r>
    </w:p>
    <w:p w:rsidR="005F78FC" w:rsidRDefault="00B42EF3">
      <w:pPr>
        <w:pStyle w:val="indexentry0"/>
      </w:pPr>
      <w:hyperlink w:anchor="section_71c2defd91e4428192ce402908c9a57d">
        <w:r>
          <w:rPr>
            <w:rStyle w:val="Hyperlink"/>
          </w:rPr>
          <w:t>rcmt (Revision Cell Comment)</w:t>
        </w:r>
      </w:hyperlink>
      <w:r>
        <w:t xml:space="preserve"> </w:t>
      </w:r>
      <w:r>
        <w:fldChar w:fldCharType="begin"/>
      </w:r>
      <w:r>
        <w:instrText>PAGEREF section_71c2defd91e4428192ce402908c9a57d</w:instrText>
      </w:r>
      <w:r>
        <w:fldChar w:fldCharType="separate"/>
      </w:r>
      <w:r>
        <w:rPr>
          <w:noProof/>
        </w:rPr>
        <w:t>373</w:t>
      </w:r>
      <w:r>
        <w:fldChar w:fldCharType="end"/>
      </w:r>
    </w:p>
    <w:p w:rsidR="005F78FC" w:rsidRDefault="00B42EF3">
      <w:pPr>
        <w:pStyle w:val="indexentry0"/>
      </w:pPr>
      <w:hyperlink w:anchor="section_376276c2d99a446084d99a1a45b2bd14">
        <w:r>
          <w:rPr>
            <w:rStyle w:val="Hyperlink"/>
          </w:rPr>
          <w:t>rCtr (Rotation Center)</w:t>
        </w:r>
      </w:hyperlink>
      <w:r>
        <w:t xml:space="preserve"> </w:t>
      </w:r>
      <w:r>
        <w:fldChar w:fldCharType="begin"/>
      </w:r>
      <w:r>
        <w:instrText>PAGEREF section_376276c2d99a446084d99a1a45b2bd14</w:instrText>
      </w:r>
      <w:r>
        <w:fldChar w:fldCharType="separate"/>
      </w:r>
      <w:r>
        <w:rPr>
          <w:noProof/>
        </w:rPr>
        <w:t>488</w:t>
      </w:r>
      <w:r>
        <w:fldChar w:fldCharType="end"/>
      </w:r>
    </w:p>
    <w:p w:rsidR="005F78FC" w:rsidRDefault="00B42EF3">
      <w:pPr>
        <w:pStyle w:val="indexentry0"/>
      </w:pPr>
      <w:hyperlink w:anchor="section_a56b965194d24733b5d57c9135e298cc">
        <w:r>
          <w:rPr>
            <w:rStyle w:val="Hyperlink"/>
          </w:rPr>
          <w:t>RD</w:t>
        </w:r>
      </w:hyperlink>
      <w:r>
        <w:t xml:space="preserve"> </w:t>
      </w:r>
      <w:r>
        <w:fldChar w:fldCharType="begin"/>
      </w:r>
      <w:r>
        <w:instrText>PAGEREF section_a56b965194d24733b5d57c9135e298cc</w:instrText>
      </w:r>
      <w:r>
        <w:fldChar w:fldCharType="separate"/>
      </w:r>
      <w:r>
        <w:rPr>
          <w:noProof/>
        </w:rPr>
        <w:t>223</w:t>
      </w:r>
      <w:r>
        <w:fldChar w:fldCharType="end"/>
      </w:r>
    </w:p>
    <w:p w:rsidR="005F78FC" w:rsidRDefault="00B42EF3">
      <w:pPr>
        <w:pStyle w:val="indexentry0"/>
      </w:pPr>
      <w:hyperlink w:anchor="section_3c60e3058f99460abca886e39ebb0e49">
        <w:r>
          <w:rPr>
            <w:rStyle w:val="Hyperlink"/>
          </w:rPr>
          <w:t>rdn (Revision Defined Name)</w:t>
        </w:r>
      </w:hyperlink>
      <w:r>
        <w:t xml:space="preserve"> </w:t>
      </w:r>
      <w:r>
        <w:fldChar w:fldCharType="begin"/>
      </w:r>
      <w:r>
        <w:instrText>PAGEREF section_3c60e3058f99460abca886e39ebb0e49</w:instrText>
      </w:r>
      <w:r>
        <w:fldChar w:fldCharType="separate"/>
      </w:r>
      <w:r>
        <w:rPr>
          <w:noProof/>
        </w:rPr>
        <w:t>374</w:t>
      </w:r>
      <w:r>
        <w:fldChar w:fldCharType="end"/>
      </w:r>
    </w:p>
    <w:p w:rsidR="005F78FC" w:rsidRDefault="00B42EF3">
      <w:pPr>
        <w:pStyle w:val="indexentry0"/>
      </w:pPr>
      <w:hyperlink w:anchor="section_4f1a80c7cc9d4b2f8b038d89bc95662a">
        <w:r>
          <w:rPr>
            <w:rStyle w:val="Hyperlink"/>
          </w:rPr>
          <w:t>Reading the equationXml attribute</w:t>
        </w:r>
      </w:hyperlink>
      <w:r>
        <w:t xml:space="preserve"> </w:t>
      </w:r>
      <w:r>
        <w:fldChar w:fldCharType="begin"/>
      </w:r>
      <w:r>
        <w:instrText>PAGEREF section_4f1a80c7cc9d4b2f8b038d89bc95662a</w:instrText>
      </w:r>
      <w:r>
        <w:fldChar w:fldCharType="separate"/>
      </w:r>
      <w:r>
        <w:rPr>
          <w:noProof/>
        </w:rPr>
        <w:t>896</w:t>
      </w:r>
      <w:r>
        <w:fldChar w:fldCharType="end"/>
      </w:r>
    </w:p>
    <w:p w:rsidR="005F78FC" w:rsidRDefault="00B42EF3">
      <w:pPr>
        <w:pStyle w:val="indexentry0"/>
      </w:pPr>
      <w:hyperlink w:anchor="section_20689dc60d9142edabc07fb4976027dc">
        <w:r>
          <w:rPr>
            <w:rStyle w:val="Hyperlink"/>
          </w:rPr>
          <w:t>RecalcAlways (Recalculation Toggle)</w:t>
        </w:r>
      </w:hyperlink>
      <w:r>
        <w:t xml:space="preserve"> </w:t>
      </w:r>
      <w:r>
        <w:fldChar w:fldCharType="begin"/>
      </w:r>
      <w:r>
        <w:instrText>PAGEREF section_20689dc60d9142edabc</w:instrText>
      </w:r>
      <w:r>
        <w:instrText>07fb4976027dc</w:instrText>
      </w:r>
      <w:r>
        <w:fldChar w:fldCharType="separate"/>
      </w:r>
      <w:r>
        <w:rPr>
          <w:noProof/>
        </w:rPr>
        <w:t>682</w:t>
      </w:r>
      <w:r>
        <w:fldChar w:fldCharType="end"/>
      </w:r>
    </w:p>
    <w:p w:rsidR="005F78FC" w:rsidRDefault="00B42EF3">
      <w:pPr>
        <w:pStyle w:val="indexentry0"/>
      </w:pPr>
      <w:hyperlink w:anchor="section_f087c56b2adf4e548719047179937cb5">
        <w:r>
          <w:rPr>
            <w:rStyle w:val="Hyperlink"/>
          </w:rPr>
          <w:t>RECEIVED</w:t>
        </w:r>
      </w:hyperlink>
      <w:r>
        <w:t xml:space="preserve"> </w:t>
      </w:r>
      <w:r>
        <w:fldChar w:fldCharType="begin"/>
      </w:r>
      <w:r>
        <w:instrText>PAGEREF section_f087c56b2adf4e548719047179937cb5</w:instrText>
      </w:r>
      <w:r>
        <w:fldChar w:fldCharType="separate"/>
      </w:r>
      <w:r>
        <w:rPr>
          <w:noProof/>
        </w:rPr>
        <w:t>446</w:t>
      </w:r>
      <w:r>
        <w:fldChar w:fldCharType="end"/>
      </w:r>
    </w:p>
    <w:p w:rsidR="005F78FC" w:rsidRDefault="00B42EF3">
      <w:pPr>
        <w:pStyle w:val="indexentry0"/>
      </w:pPr>
      <w:hyperlink w:anchor="section_cae9abfd7956464e9f841af5c3c4433d">
        <w:r>
          <w:rPr>
            <w:rStyle w:val="Hyperlink"/>
          </w:rPr>
          <w:t>recipientData (Data About Single Data Source Record)</w:t>
        </w:r>
      </w:hyperlink>
      <w:r>
        <w:t xml:space="preserve"> </w:t>
      </w:r>
      <w:r>
        <w:fldChar w:fldCharType="begin"/>
      </w:r>
      <w:r>
        <w:instrText>PAGEREF section_cae9abfd7956464e9f841af5c3c4433d</w:instrText>
      </w:r>
      <w:r>
        <w:fldChar w:fldCharType="separate"/>
      </w:r>
      <w:r>
        <w:rPr>
          <w:noProof/>
        </w:rPr>
        <w:t>786</w:t>
      </w:r>
      <w:r>
        <w:fldChar w:fldCharType="end"/>
      </w:r>
    </w:p>
    <w:p w:rsidR="005F78FC" w:rsidRDefault="00B42EF3">
      <w:pPr>
        <w:pStyle w:val="indexentry0"/>
      </w:pPr>
      <w:hyperlink w:anchor="section_b05d3137d2c64c6e9afaeb92d7ccf317">
        <w:r>
          <w:rPr>
            <w:rStyle w:val="Hyperlink"/>
          </w:rPr>
          <w:t>recipientData (Reference to Inclusion/Exclusion Data for Data Source)</w:t>
        </w:r>
      </w:hyperlink>
      <w:r>
        <w:t xml:space="preserve"> </w:t>
      </w:r>
      <w:r>
        <w:fldChar w:fldCharType="begin"/>
      </w:r>
      <w:r>
        <w:instrText>PAGEREF section_b05d3137d2c64c6e9afaeb92d7ccf317</w:instrText>
      </w:r>
      <w:r>
        <w:fldChar w:fldCharType="separate"/>
      </w:r>
      <w:r>
        <w:rPr>
          <w:noProof/>
        </w:rPr>
        <w:t>148</w:t>
      </w:r>
      <w:r>
        <w:fldChar w:fldCharType="end"/>
      </w:r>
    </w:p>
    <w:p w:rsidR="005F78FC" w:rsidRDefault="00B42EF3">
      <w:pPr>
        <w:pStyle w:val="indexentry0"/>
      </w:pPr>
      <w:hyperlink w:anchor="section_bf48d2d283e747cfa5e797caf8346fd8">
        <w:r>
          <w:rPr>
            <w:rStyle w:val="Hyperlink"/>
          </w:rPr>
          <w:t>recipients (Inclusion/Exclusion Data for Data Source)</w:t>
        </w:r>
      </w:hyperlink>
      <w:r>
        <w:t xml:space="preserve"> </w:t>
      </w:r>
      <w:r>
        <w:fldChar w:fldCharType="begin"/>
      </w:r>
      <w:r>
        <w:instrText>PAGEREF section_bf48d2d283e747cfa5e797caf8346fd8</w:instrText>
      </w:r>
      <w:r>
        <w:fldChar w:fldCharType="separate"/>
      </w:r>
      <w:r>
        <w:rPr>
          <w:noProof/>
        </w:rPr>
        <w:t>787</w:t>
      </w:r>
      <w:r>
        <w:fldChar w:fldCharType="end"/>
      </w:r>
    </w:p>
    <w:p w:rsidR="005F78FC" w:rsidRDefault="00B42EF3">
      <w:pPr>
        <w:pStyle w:val="indexentry0"/>
      </w:pPr>
      <w:hyperlink w:anchor="section_0049c89078764cd1bd6f449f22879f24">
        <w:r>
          <w:rPr>
            <w:rStyle w:val="Hyperlink"/>
          </w:rPr>
          <w:t>rect (Rectangle)</w:t>
        </w:r>
      </w:hyperlink>
      <w:r>
        <w:t xml:space="preserve"> </w:t>
      </w:r>
      <w:r>
        <w:fldChar w:fldCharType="begin"/>
      </w:r>
      <w:r>
        <w:instrText>PAGEREF</w:instrText>
      </w:r>
      <w:r>
        <w:instrText xml:space="preserve"> section_0049c89078764cd1bd6f449f22879f24</w:instrText>
      </w:r>
      <w:r>
        <w:fldChar w:fldCharType="separate"/>
      </w:r>
      <w:r>
        <w:rPr>
          <w:noProof/>
        </w:rPr>
        <w:t>653</w:t>
      </w:r>
      <w:r>
        <w:fldChar w:fldCharType="end"/>
      </w:r>
    </w:p>
    <w:p w:rsidR="005F78FC" w:rsidRDefault="00B42EF3">
      <w:pPr>
        <w:pStyle w:val="indexentry0"/>
      </w:pPr>
      <w:hyperlink w:anchor="section_454329d47342475a945f2a7e23e740dd">
        <w:r>
          <w:rPr>
            <w:rStyle w:val="Hyperlink"/>
          </w:rPr>
          <w:t>Rect (Shape Text Rectangle)</w:t>
        </w:r>
      </w:hyperlink>
      <w:r>
        <w:t xml:space="preserve"> </w:t>
      </w:r>
      <w:r>
        <w:fldChar w:fldCharType="begin"/>
      </w:r>
      <w:r>
        <w:instrText>PAGEREF section_454329d47342475a945f2a7e23e740dd</w:instrText>
      </w:r>
      <w:r>
        <w:fldChar w:fldCharType="separate"/>
      </w:r>
      <w:r>
        <w:rPr>
          <w:noProof/>
        </w:rPr>
        <w:t>690</w:t>
      </w:r>
      <w:r>
        <w:fldChar w:fldCharType="end"/>
      </w:r>
    </w:p>
    <w:p w:rsidR="005F78FC" w:rsidRDefault="00B42EF3">
      <w:pPr>
        <w:pStyle w:val="indexentry0"/>
      </w:pPr>
      <w:hyperlink w:anchor="section_b7378f270ccb4534905a6b72f3629e84">
        <w:r>
          <w:rPr>
            <w:rStyle w:val="Hyperlink"/>
          </w:rPr>
          <w:t>red (Re</w:t>
        </w:r>
        <w:r>
          <w:rPr>
            <w:rStyle w:val="Hyperlink"/>
          </w:rPr>
          <w:t>d)</w:t>
        </w:r>
      </w:hyperlink>
      <w:r>
        <w:t xml:space="preserve"> </w:t>
      </w:r>
      <w:r>
        <w:fldChar w:fldCharType="begin"/>
      </w:r>
      <w:r>
        <w:instrText>PAGEREF section_b7378f270ccb4534905a6b72f3629e84</w:instrText>
      </w:r>
      <w:r>
        <w:fldChar w:fldCharType="separate"/>
      </w:r>
      <w:r>
        <w:rPr>
          <w:noProof/>
        </w:rPr>
        <w:t>505</w:t>
      </w:r>
      <w:r>
        <w:fldChar w:fldCharType="end"/>
      </w:r>
    </w:p>
    <w:p w:rsidR="005F78FC" w:rsidRDefault="00B42EF3">
      <w:pPr>
        <w:pStyle w:val="indexentry0"/>
      </w:pPr>
      <w:hyperlink w:anchor="section_3bbe53b4cdef4500a740b6d7db05ff8d">
        <w:r>
          <w:rPr>
            <w:rStyle w:val="Hyperlink"/>
          </w:rPr>
          <w:t>redMod (Red Modulation)</w:t>
        </w:r>
      </w:hyperlink>
      <w:r>
        <w:t xml:space="preserve"> </w:t>
      </w:r>
      <w:r>
        <w:fldChar w:fldCharType="begin"/>
      </w:r>
      <w:r>
        <w:instrText>PAGEREF section_3bbe53b4cdef4500a740b6d7db05ff8d</w:instrText>
      </w:r>
      <w:r>
        <w:fldChar w:fldCharType="separate"/>
      </w:r>
      <w:r>
        <w:rPr>
          <w:noProof/>
        </w:rPr>
        <w:t>505</w:t>
      </w:r>
      <w:r>
        <w:fldChar w:fldCharType="end"/>
      </w:r>
    </w:p>
    <w:p w:rsidR="005F78FC" w:rsidRDefault="00B42EF3">
      <w:pPr>
        <w:pStyle w:val="indexentry0"/>
      </w:pPr>
      <w:hyperlink w:anchor="section_7324b5d8d9cb4b22b0a1bb247e1b9244">
        <w:r>
          <w:rPr>
            <w:rStyle w:val="Hyperlink"/>
          </w:rPr>
          <w:t>redOff (Red Offset)</w:t>
        </w:r>
      </w:hyperlink>
      <w:r>
        <w:t xml:space="preserve"> </w:t>
      </w:r>
      <w:r>
        <w:fldChar w:fldCharType="begin"/>
      </w:r>
      <w:r>
        <w:instrText>PAGEREF section_7324b5d8d9cb4b22b0a1bb247e1b9244</w:instrText>
      </w:r>
      <w:r>
        <w:fldChar w:fldCharType="separate"/>
      </w:r>
      <w:r>
        <w:rPr>
          <w:noProof/>
        </w:rPr>
        <w:t>505</w:t>
      </w:r>
      <w:r>
        <w:fldChar w:fldCharType="end"/>
      </w:r>
    </w:p>
    <w:p w:rsidR="005F78FC" w:rsidRDefault="00B42EF3">
      <w:pPr>
        <w:pStyle w:val="indexentry0"/>
      </w:pPr>
      <w:hyperlink w:anchor="section_7088a8cee78449d494b8cba6ef8fce78">
        <w:r>
          <w:rPr>
            <w:rStyle w:val="Hyperlink"/>
          </w:rPr>
          <w:t>REF</w:t>
        </w:r>
      </w:hyperlink>
      <w:r>
        <w:t xml:space="preserve"> </w:t>
      </w:r>
      <w:r>
        <w:fldChar w:fldCharType="begin"/>
      </w:r>
      <w:r>
        <w:instrText>PAGEREF section_7088a8cee78449d494b8cba6ef8fce78</w:instrText>
      </w:r>
      <w:r>
        <w:fldChar w:fldCharType="separate"/>
      </w:r>
      <w:r>
        <w:rPr>
          <w:noProof/>
        </w:rPr>
        <w:t>223</w:t>
      </w:r>
      <w:r>
        <w:fldChar w:fldCharType="end"/>
      </w:r>
    </w:p>
    <w:p w:rsidR="005F78FC" w:rsidRDefault="00B42EF3">
      <w:pPr>
        <w:pStyle w:val="indexentry0"/>
      </w:pPr>
      <w:hyperlink w:anchor="section_8e92a8162bb449389f1c1a9800714ede">
        <w:r>
          <w:rPr>
            <w:rStyle w:val="Hyperlink"/>
          </w:rPr>
          <w:t>r</w:t>
        </w:r>
        <w:r>
          <w:rPr>
            <w:rStyle w:val="Hyperlink"/>
          </w:rPr>
          <w:t>eference (Reference)</w:t>
        </w:r>
      </w:hyperlink>
      <w:r>
        <w:t xml:space="preserve"> </w:t>
      </w:r>
      <w:r>
        <w:fldChar w:fldCharType="begin"/>
      </w:r>
      <w:r>
        <w:instrText>PAGEREF section_8e92a8162bb449389f1c1a9800714ede</w:instrText>
      </w:r>
      <w:r>
        <w:fldChar w:fldCharType="separate"/>
      </w:r>
      <w:r>
        <w:rPr>
          <w:noProof/>
        </w:rPr>
        <w:t>370</w:t>
      </w:r>
      <w:r>
        <w:fldChar w:fldCharType="end"/>
      </w:r>
    </w:p>
    <w:p w:rsidR="005F78FC" w:rsidRDefault="00B42EF3">
      <w:pPr>
        <w:pStyle w:val="indexentry0"/>
      </w:pPr>
      <w:r>
        <w:t>References</w:t>
      </w:r>
    </w:p>
    <w:p w:rsidR="005F78FC" w:rsidRDefault="00B42EF3">
      <w:pPr>
        <w:pStyle w:val="indexentry0"/>
      </w:pPr>
      <w:r>
        <w:t xml:space="preserve">   </w:t>
      </w:r>
      <w:hyperlink w:anchor="section_94d2b16ecf4446248c7be2f0afe1a072">
        <w:r>
          <w:rPr>
            <w:rStyle w:val="Hyperlink"/>
          </w:rPr>
          <w:t>informative</w:t>
        </w:r>
      </w:hyperlink>
      <w:r>
        <w:t xml:space="preserve"> </w:t>
      </w:r>
      <w:r>
        <w:fldChar w:fldCharType="begin"/>
      </w:r>
      <w:r>
        <w:instrText>PAGEREF section_94d2b16ecf4446248c7be2f0afe1a072</w:instrText>
      </w:r>
      <w:r>
        <w:fldChar w:fldCharType="separate"/>
      </w:r>
      <w:r>
        <w:rPr>
          <w:noProof/>
        </w:rPr>
        <w:t>46</w:t>
      </w:r>
      <w:r>
        <w:fldChar w:fldCharType="end"/>
      </w:r>
    </w:p>
    <w:p w:rsidR="005F78FC" w:rsidRDefault="00B42EF3">
      <w:pPr>
        <w:pStyle w:val="indexentry0"/>
      </w:pPr>
      <w:r>
        <w:t xml:space="preserve">   </w:t>
      </w:r>
      <w:hyperlink w:anchor="section_d4b9098aeabb46c4a334260d55267084">
        <w:r>
          <w:rPr>
            <w:rStyle w:val="Hyperlink"/>
          </w:rPr>
          <w:t>normative</w:t>
        </w:r>
      </w:hyperlink>
      <w:r>
        <w:t xml:space="preserve"> </w:t>
      </w:r>
      <w:r>
        <w:fldChar w:fldCharType="begin"/>
      </w:r>
      <w:r>
        <w:instrText>PAGEREF section_d4b9098aeabb46c4a334260d55267084</w:instrText>
      </w:r>
      <w:r>
        <w:fldChar w:fldCharType="separate"/>
      </w:r>
      <w:r>
        <w:rPr>
          <w:noProof/>
        </w:rPr>
        <w:t>44</w:t>
      </w:r>
      <w:r>
        <w:fldChar w:fldCharType="end"/>
      </w:r>
    </w:p>
    <w:p w:rsidR="005F78FC" w:rsidRDefault="00B42EF3">
      <w:pPr>
        <w:pStyle w:val="indexentry0"/>
      </w:pPr>
      <w:hyperlink w:anchor="section_aa27ed208fbb4d95b9c53427cabd38e0">
        <w:r>
          <w:rPr>
            <w:rStyle w:val="Hyperlink"/>
          </w:rPr>
          <w:t>reflection (Reflection Effect)</w:t>
        </w:r>
      </w:hyperlink>
      <w:r>
        <w:t xml:space="preserve"> </w:t>
      </w:r>
      <w:r>
        <w:fldChar w:fldCharType="begin"/>
      </w:r>
      <w:r>
        <w:instrText>PAGEREF section_aa27ed208fbb4d95b9c53</w:instrText>
      </w:r>
      <w:r>
        <w:instrText>427cabd38e0</w:instrText>
      </w:r>
      <w:r>
        <w:fldChar w:fldCharType="separate"/>
      </w:r>
      <w:r>
        <w:rPr>
          <w:noProof/>
        </w:rPr>
        <w:t>518</w:t>
      </w:r>
      <w:r>
        <w:fldChar w:fldCharType="end"/>
      </w:r>
    </w:p>
    <w:p w:rsidR="005F78FC" w:rsidRDefault="00B42EF3">
      <w:pPr>
        <w:pStyle w:val="indexentry0"/>
      </w:pPr>
      <w:hyperlink w:anchor="section_ae0cc08c38484098b29166f68bb21916">
        <w:r>
          <w:rPr>
            <w:rStyle w:val="Hyperlink"/>
          </w:rPr>
          <w:t>rel (Diagram Relationship)</w:t>
        </w:r>
      </w:hyperlink>
      <w:r>
        <w:t xml:space="preserve"> </w:t>
      </w:r>
      <w:r>
        <w:fldChar w:fldCharType="begin"/>
      </w:r>
      <w:r>
        <w:instrText>PAGEREF section_ae0cc08c38484098b29166f68bb21916</w:instrText>
      </w:r>
      <w:r>
        <w:fldChar w:fldCharType="separate"/>
      </w:r>
      <w:r>
        <w:rPr>
          <w:noProof/>
        </w:rPr>
        <w:t>674</w:t>
      </w:r>
      <w:r>
        <w:fldChar w:fldCharType="end"/>
      </w:r>
    </w:p>
    <w:p w:rsidR="005F78FC" w:rsidRDefault="00B42EF3">
      <w:pPr>
        <w:pStyle w:val="indexentry0"/>
      </w:pPr>
      <w:hyperlink w:anchor="section_a185de173253409bbf9395b1f78516ef">
        <w:r>
          <w:rPr>
            <w:rStyle w:val="Hyperlink"/>
          </w:rPr>
          <w:t>Relationships Transform Algorithm</w:t>
        </w:r>
      </w:hyperlink>
      <w:r>
        <w:t xml:space="preserve"> </w:t>
      </w:r>
      <w:r>
        <w:fldChar w:fldCharType="begin"/>
      </w:r>
      <w:r>
        <w:instrText>PA</w:instrText>
      </w:r>
      <w:r>
        <w:instrText>GEREF section_a185de173253409bbf9395b1f78516ef</w:instrText>
      </w:r>
      <w:r>
        <w:fldChar w:fldCharType="separate"/>
      </w:r>
      <w:r>
        <w:rPr>
          <w:noProof/>
        </w:rPr>
        <w:t>625</w:t>
      </w:r>
      <w:r>
        <w:fldChar w:fldCharType="end"/>
      </w:r>
    </w:p>
    <w:p w:rsidR="005F78FC" w:rsidRDefault="00B42EF3">
      <w:pPr>
        <w:pStyle w:val="indexentry0"/>
      </w:pPr>
      <w:hyperlink w:anchor="section_d5b937831c53410d860c57119b5ebcad">
        <w:r>
          <w:rPr>
            <w:rStyle w:val="Hyperlink"/>
          </w:rPr>
          <w:t>relSizeAnchor (Relative Anchor Shape Size)</w:t>
        </w:r>
      </w:hyperlink>
      <w:r>
        <w:t xml:space="preserve"> </w:t>
      </w:r>
      <w:r>
        <w:fldChar w:fldCharType="begin"/>
      </w:r>
      <w:r>
        <w:instrText>PAGEREF section_d5b937831c53410d860c57119b5ebcad</w:instrText>
      </w:r>
      <w:r>
        <w:fldChar w:fldCharType="separate"/>
      </w:r>
      <w:r>
        <w:rPr>
          <w:noProof/>
        </w:rPr>
        <w:t>584</w:t>
      </w:r>
      <w:r>
        <w:fldChar w:fldCharType="end"/>
      </w:r>
    </w:p>
    <w:p w:rsidR="005F78FC" w:rsidRDefault="00B42EF3">
      <w:pPr>
        <w:pStyle w:val="indexentry0"/>
      </w:pPr>
      <w:hyperlink w:anchor="section_d1d151f6ea8249cea3714df6ff22cd9d">
        <w:r>
          <w:rPr>
            <w:rStyle w:val="Hyperlink"/>
          </w:rPr>
          <w:t>REPLACE</w:t>
        </w:r>
      </w:hyperlink>
      <w:r>
        <w:t xml:space="preserve"> </w:t>
      </w:r>
      <w:r>
        <w:fldChar w:fldCharType="begin"/>
      </w:r>
      <w:r>
        <w:instrText>PAGEREF section_d1d151f6ea8249cea3714df6ff22cd9d</w:instrText>
      </w:r>
      <w:r>
        <w:fldChar w:fldCharType="separate"/>
      </w:r>
      <w:r>
        <w:rPr>
          <w:noProof/>
        </w:rPr>
        <w:t>447</w:t>
      </w:r>
      <w:r>
        <w:fldChar w:fldCharType="end"/>
      </w:r>
    </w:p>
    <w:p w:rsidR="005F78FC" w:rsidRDefault="00B42EF3">
      <w:pPr>
        <w:pStyle w:val="indexentry0"/>
      </w:pPr>
      <w:hyperlink w:anchor="section_96ce77b13cab4619a54e1d57cea2592f">
        <w:r>
          <w:rPr>
            <w:rStyle w:val="Hyperlink"/>
          </w:rPr>
          <w:t>REPLACEB</w:t>
        </w:r>
      </w:hyperlink>
      <w:r>
        <w:t xml:space="preserve"> </w:t>
      </w:r>
      <w:r>
        <w:fldChar w:fldCharType="begin"/>
      </w:r>
      <w:r>
        <w:instrText>PAGEREF section_96ce77b13cab4619a54e1d57cea2592f</w:instrText>
      </w:r>
      <w:r>
        <w:fldChar w:fldCharType="separate"/>
      </w:r>
      <w:r>
        <w:rPr>
          <w:noProof/>
        </w:rPr>
        <w:t>447</w:t>
      </w:r>
      <w:r>
        <w:fldChar w:fldCharType="end"/>
      </w:r>
    </w:p>
    <w:p w:rsidR="005F78FC" w:rsidRDefault="00B42EF3">
      <w:pPr>
        <w:pStyle w:val="indexentry0"/>
      </w:pPr>
      <w:hyperlink w:anchor="section_6551673052ab49638c4ccfb2127809ab">
        <w:r>
          <w:rPr>
            <w:rStyle w:val="Hyperlink"/>
          </w:rPr>
          <w:t>restoredLeft (Normal View Restored Left Properties)</w:t>
        </w:r>
      </w:hyperlink>
      <w:r>
        <w:t xml:space="preserve"> </w:t>
      </w:r>
      <w:r>
        <w:fldChar w:fldCharType="begin"/>
      </w:r>
      <w:r>
        <w:instrText>PAGEREF section_6551673052ab49638c4ccfb2127809ab</w:instrText>
      </w:r>
      <w:r>
        <w:fldChar w:fldCharType="separate"/>
      </w:r>
      <w:r>
        <w:rPr>
          <w:noProof/>
        </w:rPr>
        <w:t>469</w:t>
      </w:r>
      <w:r>
        <w:fldChar w:fldCharType="end"/>
      </w:r>
    </w:p>
    <w:p w:rsidR="005F78FC" w:rsidRDefault="00B42EF3">
      <w:pPr>
        <w:pStyle w:val="indexentry0"/>
      </w:pPr>
      <w:hyperlink w:anchor="section_53ceb85bfb0c40f4af1d9feecfb64502">
        <w:r>
          <w:rPr>
            <w:rStyle w:val="Hyperlink"/>
          </w:rPr>
          <w:t>restoredTop (Normal View Restored Top Properties)</w:t>
        </w:r>
      </w:hyperlink>
      <w:r>
        <w:t xml:space="preserve"> </w:t>
      </w:r>
      <w:r>
        <w:fldChar w:fldCharType="begin"/>
      </w:r>
      <w:r>
        <w:instrText>PAGEREF section_53ceb85bfb0c40f4a</w:instrText>
      </w:r>
      <w:r>
        <w:instrText>f1d9feecfb64502</w:instrText>
      </w:r>
      <w:r>
        <w:fldChar w:fldCharType="separate"/>
      </w:r>
      <w:r>
        <w:rPr>
          <w:noProof/>
        </w:rPr>
        <w:t>469</w:t>
      </w:r>
      <w:r>
        <w:fldChar w:fldCharType="end"/>
      </w:r>
    </w:p>
    <w:p w:rsidR="005F78FC" w:rsidRDefault="00B42EF3">
      <w:pPr>
        <w:pStyle w:val="indexentry0"/>
      </w:pPr>
      <w:hyperlink w:anchor="section_91b38086b27c4d3fb6aee7d37845d2cd">
        <w:r>
          <w:rPr>
            <w:rStyle w:val="Hyperlink"/>
          </w:rPr>
          <w:t>reviewed (Reviewed)</w:t>
        </w:r>
      </w:hyperlink>
      <w:r>
        <w:t xml:space="preserve"> </w:t>
      </w:r>
      <w:r>
        <w:fldChar w:fldCharType="begin"/>
      </w:r>
      <w:r>
        <w:instrText>PAGEREF section_91b38086b27c4d3fb6aee7d37845d2cd</w:instrText>
      </w:r>
      <w:r>
        <w:fldChar w:fldCharType="separate"/>
      </w:r>
      <w:r>
        <w:rPr>
          <w:noProof/>
        </w:rPr>
        <w:t>375</w:t>
      </w:r>
      <w:r>
        <w:fldChar w:fldCharType="end"/>
      </w:r>
    </w:p>
    <w:p w:rsidR="005F78FC" w:rsidRDefault="00B42EF3">
      <w:pPr>
        <w:pStyle w:val="indexentry0"/>
      </w:pPr>
      <w:hyperlink w:anchor="section_6138f7fcba1740f692cb8ed961619ebf">
        <w:r>
          <w:rPr>
            <w:rStyle w:val="Hyperlink"/>
          </w:rPr>
          <w:t>revisionView (Visibility of Annotation Ty</w:t>
        </w:r>
        <w:r>
          <w:rPr>
            <w:rStyle w:val="Hyperlink"/>
          </w:rPr>
          <w:t>pes)</w:t>
        </w:r>
      </w:hyperlink>
      <w:r>
        <w:t xml:space="preserve"> </w:t>
      </w:r>
      <w:r>
        <w:fldChar w:fldCharType="begin"/>
      </w:r>
      <w:r>
        <w:instrText>PAGEREF section_6138f7fcba1740f692cb8ed961619ebf</w:instrText>
      </w:r>
      <w:r>
        <w:fldChar w:fldCharType="separate"/>
      </w:r>
      <w:r>
        <w:rPr>
          <w:noProof/>
        </w:rPr>
        <w:t>159</w:t>
      </w:r>
      <w:r>
        <w:fldChar w:fldCharType="end"/>
      </w:r>
    </w:p>
    <w:p w:rsidR="005F78FC" w:rsidRDefault="00B42EF3">
      <w:pPr>
        <w:pStyle w:val="indexentry0"/>
      </w:pPr>
      <w:hyperlink w:anchor="section_a39e60af18344a42b64717ae5c794732">
        <w:r>
          <w:rPr>
            <w:rStyle w:val="Hyperlink"/>
          </w:rPr>
          <w:t>REVNUM</w:t>
        </w:r>
      </w:hyperlink>
      <w:r>
        <w:t xml:space="preserve"> </w:t>
      </w:r>
      <w:r>
        <w:fldChar w:fldCharType="begin"/>
      </w:r>
      <w:r>
        <w:instrText>PAGEREF section_a39e60af18344a42b64717ae5c794732</w:instrText>
      </w:r>
      <w:r>
        <w:fldChar w:fldCharType="separate"/>
      </w:r>
      <w:r>
        <w:rPr>
          <w:noProof/>
        </w:rPr>
        <w:t>224</w:t>
      </w:r>
      <w:r>
        <w:fldChar w:fldCharType="end"/>
      </w:r>
    </w:p>
    <w:p w:rsidR="005F78FC" w:rsidRDefault="00B42EF3">
      <w:pPr>
        <w:pStyle w:val="indexentry0"/>
      </w:pPr>
      <w:hyperlink w:anchor="section_d814f876102941be95e9eb6997794b91">
        <w:r>
          <w:rPr>
            <w:rStyle w:val="Hyperlink"/>
          </w:rPr>
          <w:t>rfmt (Revision Format)</w:t>
        </w:r>
      </w:hyperlink>
      <w:r>
        <w:t xml:space="preserve"> </w:t>
      </w:r>
      <w:r>
        <w:fldChar w:fldCharType="begin"/>
      </w:r>
      <w:r>
        <w:instrText>PAGEREF section_d814f876102941be95e9eb6997794b91</w:instrText>
      </w:r>
      <w:r>
        <w:fldChar w:fldCharType="separate"/>
      </w:r>
      <w:r>
        <w:rPr>
          <w:noProof/>
        </w:rPr>
        <w:t>375</w:t>
      </w:r>
      <w:r>
        <w:fldChar w:fldCharType="end"/>
      </w:r>
    </w:p>
    <w:p w:rsidR="005F78FC" w:rsidRDefault="00B42EF3">
      <w:pPr>
        <w:pStyle w:val="indexentry0"/>
      </w:pPr>
      <w:hyperlink w:anchor="section_00d5905375314caaa1e4be1838a69013">
        <w:r>
          <w:rPr>
            <w:rStyle w:val="Hyperlink"/>
          </w:rPr>
          <w:t>rFont (Font)</w:t>
        </w:r>
      </w:hyperlink>
      <w:r>
        <w:t xml:space="preserve"> </w:t>
      </w:r>
      <w:r>
        <w:fldChar w:fldCharType="begin"/>
      </w:r>
      <w:r>
        <w:instrText>PAGEREF section_00d5905375314caaa1e4be1838a69013</w:instrText>
      </w:r>
      <w:r>
        <w:fldChar w:fldCharType="separate"/>
      </w:r>
      <w:r>
        <w:rPr>
          <w:noProof/>
        </w:rPr>
        <w:t>293</w:t>
      </w:r>
      <w:r>
        <w:fldChar w:fldCharType="end"/>
      </w:r>
    </w:p>
    <w:p w:rsidR="005F78FC" w:rsidRDefault="00B42EF3">
      <w:pPr>
        <w:pStyle w:val="indexentry0"/>
      </w:pPr>
      <w:hyperlink w:anchor="section_aef3c9a65d6c434b90b785e761fd8e62">
        <w:r>
          <w:rPr>
            <w:rStyle w:val="Hyperlink"/>
          </w:rPr>
          <w:t>rFonts (Run Fonts)</w:t>
        </w:r>
      </w:hyperlink>
      <w:r>
        <w:t xml:space="preserve"> </w:t>
      </w:r>
      <w:r>
        <w:fldChar w:fldCharType="begin"/>
      </w:r>
      <w:r>
        <w:instrText>PAGEREF section_aef3c9a65d6c434b90b785e761fd8e62</w:instrText>
      </w:r>
      <w:r>
        <w:fldChar w:fldCharType="separate"/>
      </w:r>
      <w:r>
        <w:rPr>
          <w:noProof/>
        </w:rPr>
        <w:t>76</w:t>
      </w:r>
      <w:r>
        <w:fldChar w:fldCharType="end"/>
      </w:r>
    </w:p>
    <w:p w:rsidR="005F78FC" w:rsidRDefault="00B42EF3">
      <w:pPr>
        <w:pStyle w:val="indexentry0"/>
      </w:pPr>
      <w:hyperlink w:anchor="section_1ab29481720e44548836b5dc27669415">
        <w:r>
          <w:rPr>
            <w:rStyle w:val="Hyperlink"/>
          </w:rPr>
          <w:t>rgb (RGB)</w:t>
        </w:r>
      </w:hyperlink>
      <w:r>
        <w:t xml:space="preserve"> </w:t>
      </w:r>
      <w:r>
        <w:fldChar w:fldCharType="begin"/>
      </w:r>
      <w:r>
        <w:instrText>PAGEREF section_1ab29481720e44548836b5dc27669415</w:instrText>
      </w:r>
      <w:r>
        <w:fldChar w:fldCharType="separate"/>
      </w:r>
      <w:r>
        <w:rPr>
          <w:noProof/>
        </w:rPr>
        <w:t>488</w:t>
      </w:r>
      <w:r>
        <w:fldChar w:fldCharType="end"/>
      </w:r>
    </w:p>
    <w:p w:rsidR="005F78FC" w:rsidRDefault="00B42EF3">
      <w:pPr>
        <w:pStyle w:val="indexentry0"/>
      </w:pPr>
      <w:hyperlink w:anchor="section_6f6e05f38a224170a467b859506d76c7">
        <w:r>
          <w:rPr>
            <w:rStyle w:val="Hyperlink"/>
          </w:rPr>
          <w:t>rich (Rich Text)</w:t>
        </w:r>
      </w:hyperlink>
      <w:r>
        <w:t xml:space="preserve"> </w:t>
      </w:r>
      <w:r>
        <w:fldChar w:fldCharType="begin"/>
      </w:r>
      <w:r>
        <w:instrText>PAGEREF section_6f6e05f38a224170a467b859506d76c7</w:instrText>
      </w:r>
      <w:r>
        <w:fldChar w:fldCharType="separate"/>
      </w:r>
      <w:r>
        <w:rPr>
          <w:noProof/>
        </w:rPr>
        <w:t>570</w:t>
      </w:r>
      <w:r>
        <w:fldChar w:fldCharType="end"/>
      </w:r>
    </w:p>
    <w:p w:rsidR="005F78FC" w:rsidRDefault="00B42EF3">
      <w:pPr>
        <w:pStyle w:val="indexentry0"/>
      </w:pPr>
      <w:hyperlink w:anchor="section_a6a6184fcd8d481facbd8d3c4accd982">
        <w:r>
          <w:rPr>
            <w:rStyle w:val="Hyperlink"/>
          </w:rPr>
          <w:t>RIGHT</w:t>
        </w:r>
      </w:hyperlink>
      <w:r>
        <w:t xml:space="preserve"> </w:t>
      </w:r>
      <w:r>
        <w:fldChar w:fldCharType="begin"/>
      </w:r>
      <w:r>
        <w:instrText>PAGEREF section_a6a6184fcd8d481facbd8d3c4accd982</w:instrText>
      </w:r>
      <w:r>
        <w:fldChar w:fldCharType="separate"/>
      </w:r>
      <w:r>
        <w:rPr>
          <w:noProof/>
        </w:rPr>
        <w:t>448</w:t>
      </w:r>
      <w:r>
        <w:fldChar w:fldCharType="end"/>
      </w:r>
    </w:p>
    <w:p w:rsidR="005F78FC" w:rsidRDefault="00B42EF3">
      <w:pPr>
        <w:pStyle w:val="indexentry0"/>
      </w:pPr>
      <w:hyperlink w:anchor="section_e15940e2d10546e3901ecc38b9773f7f">
        <w:r>
          <w:rPr>
            <w:rStyle w:val="Hyperlink"/>
          </w:rPr>
          <w:t>right (Right Border for HTML div)</w:t>
        </w:r>
      </w:hyperlink>
      <w:r>
        <w:t xml:space="preserve"> </w:t>
      </w:r>
      <w:r>
        <w:fldChar w:fldCharType="begin"/>
      </w:r>
      <w:r>
        <w:instrText>PAGEREF section_e15940e2d10546e3901ecc38b9773f7f</w:instrText>
      </w:r>
      <w:r>
        <w:fldChar w:fldCharType="separate"/>
      </w:r>
      <w:r>
        <w:rPr>
          <w:noProof/>
        </w:rPr>
        <w:t>166</w:t>
      </w:r>
      <w:r>
        <w:fldChar w:fldCharType="end"/>
      </w:r>
    </w:p>
    <w:p w:rsidR="005F78FC" w:rsidRDefault="00B42EF3">
      <w:pPr>
        <w:pStyle w:val="indexentry0"/>
      </w:pPr>
      <w:hyperlink w:anchor="section_0f1da753bf8a44e1a4a7ed7d1d0ba7b1">
        <w:r>
          <w:rPr>
            <w:rStyle w:val="Hyperlink"/>
          </w:rPr>
          <w:t>right (Right Border)</w:t>
        </w:r>
      </w:hyperlink>
      <w:r>
        <w:t xml:space="preserve"> </w:t>
      </w:r>
      <w:r>
        <w:fldChar w:fldCharType="begin"/>
      </w:r>
      <w:r>
        <w:instrText>PAGEREF section_0f1da753bf8a44e1a4a7ed7d1d0ba7b1</w:instrText>
      </w:r>
      <w:r>
        <w:fldChar w:fldCharType="separate"/>
      </w:r>
      <w:r>
        <w:rPr>
          <w:noProof/>
        </w:rPr>
        <w:t>107</w:t>
      </w:r>
      <w:r>
        <w:fldChar w:fldCharType="end"/>
      </w:r>
    </w:p>
    <w:p w:rsidR="005F78FC" w:rsidRDefault="00B42EF3">
      <w:pPr>
        <w:pStyle w:val="indexentry0"/>
      </w:pPr>
      <w:hyperlink w:anchor="section_689ac9029287469ca73337206ae40ea7">
        <w:r>
          <w:rPr>
            <w:rStyle w:val="Hyperlink"/>
          </w:rPr>
          <w:t>right (Right Paragraph Border)</w:t>
        </w:r>
      </w:hyperlink>
      <w:r>
        <w:t xml:space="preserve"> </w:t>
      </w:r>
      <w:r>
        <w:fldChar w:fldCharType="begin"/>
      </w:r>
      <w:r>
        <w:instrText>PAGEREF section_689ac9029287469ca73337206ae40ea7</w:instrText>
      </w:r>
      <w:r>
        <w:fldChar w:fldCharType="separate"/>
      </w:r>
      <w:r>
        <w:rPr>
          <w:noProof/>
        </w:rPr>
        <w:t>69</w:t>
      </w:r>
      <w:r>
        <w:fldChar w:fldCharType="end"/>
      </w:r>
    </w:p>
    <w:p w:rsidR="005F78FC" w:rsidRDefault="00B42EF3">
      <w:pPr>
        <w:pStyle w:val="indexentry0"/>
      </w:pPr>
      <w:hyperlink w:anchor="section_3b5300f256af4d0d8d26821c7ef0c47c">
        <w:r>
          <w:rPr>
            <w:rStyle w:val="Hyperlink"/>
          </w:rPr>
          <w:t>right (Table Cell Trailing Edge Border)</w:t>
        </w:r>
      </w:hyperlink>
      <w:r>
        <w:t xml:space="preserve"> </w:t>
      </w:r>
      <w:r>
        <w:fldChar w:fldCharType="begin"/>
      </w:r>
      <w:r>
        <w:instrText>PAGEREF section_3b5300f256af4d0d8d26821c7ef0c47c</w:instrText>
      </w:r>
      <w:r>
        <w:fldChar w:fldCharType="separate"/>
      </w:r>
      <w:r>
        <w:rPr>
          <w:noProof/>
        </w:rPr>
        <w:t>626</w:t>
      </w:r>
      <w:r>
        <w:fldChar w:fldCharType="end"/>
      </w:r>
    </w:p>
    <w:p w:rsidR="005F78FC" w:rsidRDefault="00B42EF3">
      <w:pPr>
        <w:pStyle w:val="indexentry0"/>
      </w:pPr>
      <w:hyperlink w:anchor="section_58fd425e362646b383ba92c961d26c88">
        <w:r>
          <w:rPr>
            <w:rStyle w:val="Hyperlink"/>
          </w:rPr>
          <w:t>right (Table Cell Trailing Margin Default)</w:t>
        </w:r>
      </w:hyperlink>
      <w:r>
        <w:t xml:space="preserve"> </w:t>
      </w:r>
      <w:r>
        <w:fldChar w:fldCharType="begin"/>
      </w:r>
      <w:r>
        <w:instrText>PAGEREF section_58fd425e362646b383ba92c961d26c88</w:instrText>
      </w:r>
      <w:r>
        <w:fldChar w:fldCharType="separate"/>
      </w:r>
      <w:r>
        <w:rPr>
          <w:noProof/>
        </w:rPr>
        <w:t>627</w:t>
      </w:r>
      <w:r>
        <w:fldChar w:fldCharType="end"/>
      </w:r>
    </w:p>
    <w:p w:rsidR="005F78FC" w:rsidRDefault="00B42EF3">
      <w:pPr>
        <w:pStyle w:val="indexentry0"/>
      </w:pPr>
      <w:hyperlink w:anchor="section_8e23887d29304089a2ff62be9c11a23b">
        <w:r>
          <w:rPr>
            <w:rStyle w:val="Hyperlink"/>
          </w:rPr>
          <w:t>right (Table Cell Trailing Margin Exception)</w:t>
        </w:r>
      </w:hyperlink>
      <w:r>
        <w:t xml:space="preserve"> </w:t>
      </w:r>
      <w:r>
        <w:fldChar w:fldCharType="begin"/>
      </w:r>
      <w:r>
        <w:instrText>PAGEREF section_8e23887d29304089a2ff62be9c11a23b</w:instrText>
      </w:r>
      <w:r>
        <w:fldChar w:fldCharType="separate"/>
      </w:r>
      <w:r>
        <w:rPr>
          <w:noProof/>
        </w:rPr>
        <w:t>627</w:t>
      </w:r>
      <w:r>
        <w:fldChar w:fldCharType="end"/>
      </w:r>
    </w:p>
    <w:p w:rsidR="005F78FC" w:rsidRDefault="00B42EF3">
      <w:pPr>
        <w:pStyle w:val="indexentry0"/>
      </w:pPr>
      <w:hyperlink w:anchor="section_0b241c18839a41a3919405f7c1f0876a">
        <w:r>
          <w:rPr>
            <w:rStyle w:val="Hyperlink"/>
          </w:rPr>
          <w:t>right (Table Trailing Edge Border)</w:t>
        </w:r>
      </w:hyperlink>
      <w:r>
        <w:t xml:space="preserve"> </w:t>
      </w:r>
      <w:r>
        <w:fldChar w:fldCharType="begin"/>
      </w:r>
      <w:r>
        <w:instrText>PAGEREF section_0b241c18839a41a3919405f7c1f0876a</w:instrText>
      </w:r>
      <w:r>
        <w:fldChar w:fldCharType="separate"/>
      </w:r>
      <w:r>
        <w:rPr>
          <w:noProof/>
        </w:rPr>
        <w:t>627</w:t>
      </w:r>
      <w:r>
        <w:fldChar w:fldCharType="end"/>
      </w:r>
    </w:p>
    <w:p w:rsidR="005F78FC" w:rsidRDefault="00B42EF3">
      <w:pPr>
        <w:pStyle w:val="indexentry0"/>
      </w:pPr>
      <w:hyperlink w:anchor="section_713e0d91289e4e45bf52a792848206c3">
        <w:r>
          <w:rPr>
            <w:rStyle w:val="Hyperlink"/>
          </w:rPr>
          <w:t>right (Text Box Right Stroke)</w:t>
        </w:r>
      </w:hyperlink>
      <w:r>
        <w:t xml:space="preserve"> </w:t>
      </w:r>
      <w:r>
        <w:fldChar w:fldCharType="begin"/>
      </w:r>
      <w:r>
        <w:instrText>PAGEREF section_713e0d91289e4e45bf52a792848206c3</w:instrText>
      </w:r>
      <w:r>
        <w:fldChar w:fldCharType="separate"/>
      </w:r>
      <w:r>
        <w:rPr>
          <w:noProof/>
        </w:rPr>
        <w:t>674</w:t>
      </w:r>
      <w:r>
        <w:fldChar w:fldCharType="end"/>
      </w:r>
    </w:p>
    <w:p w:rsidR="005F78FC" w:rsidRDefault="00B42EF3">
      <w:pPr>
        <w:pStyle w:val="indexentry0"/>
      </w:pPr>
      <w:hyperlink w:anchor="section_eb12d10c702b4d9d938d34d55b9099a4">
        <w:r>
          <w:rPr>
            <w:rStyle w:val="Hyperlink"/>
          </w:rPr>
          <w:t>RIGHTB</w:t>
        </w:r>
      </w:hyperlink>
      <w:r>
        <w:t xml:space="preserve"> </w:t>
      </w:r>
      <w:r>
        <w:fldChar w:fldCharType="begin"/>
      </w:r>
      <w:r>
        <w:instrText>PAGEREF section_eb12d10c702b4d9d938d34d55b9099a4</w:instrText>
      </w:r>
      <w:r>
        <w:fldChar w:fldCharType="separate"/>
      </w:r>
      <w:r>
        <w:rPr>
          <w:noProof/>
        </w:rPr>
        <w:t>448</w:t>
      </w:r>
      <w:r>
        <w:fldChar w:fldCharType="end"/>
      </w:r>
    </w:p>
    <w:p w:rsidR="005F78FC" w:rsidRDefault="00B42EF3">
      <w:pPr>
        <w:pStyle w:val="indexentry0"/>
      </w:pPr>
      <w:hyperlink w:anchor="section_7b5212ccf081484f85d66b5129ee8d61">
        <w:r>
          <w:rPr>
            <w:rStyle w:val="Hyperlink"/>
          </w:rPr>
          <w:t>ris (Revision Insert Sheet)</w:t>
        </w:r>
      </w:hyperlink>
      <w:r>
        <w:t xml:space="preserve"> </w:t>
      </w:r>
      <w:r>
        <w:fldChar w:fldCharType="begin"/>
      </w:r>
      <w:r>
        <w:instrText>PAGEREF section_7b5212ccf081484f85d66b5129ee8d61</w:instrText>
      </w:r>
      <w:r>
        <w:fldChar w:fldCharType="separate"/>
      </w:r>
      <w:r>
        <w:rPr>
          <w:noProof/>
        </w:rPr>
        <w:t>375</w:t>
      </w:r>
      <w:r>
        <w:fldChar w:fldCharType="end"/>
      </w:r>
    </w:p>
    <w:p w:rsidR="005F78FC" w:rsidRDefault="00B42EF3">
      <w:pPr>
        <w:pStyle w:val="indexentry0"/>
      </w:pPr>
      <w:hyperlink w:anchor="section_3759ca9c7212429dbd9f58df2db63036">
        <w:r>
          <w:rPr>
            <w:rStyle w:val="Hyperlink"/>
          </w:rPr>
          <w:t>rm (Revision Cell Move)</w:t>
        </w:r>
      </w:hyperlink>
      <w:r>
        <w:t xml:space="preserve"> </w:t>
      </w:r>
      <w:r>
        <w:fldChar w:fldCharType="begin"/>
      </w:r>
      <w:r>
        <w:instrText>PAGEREF section_3759ca9c7212429dbd9f58df2db63036</w:instrText>
      </w:r>
      <w:r>
        <w:fldChar w:fldCharType="separate"/>
      </w:r>
      <w:r>
        <w:rPr>
          <w:noProof/>
        </w:rPr>
        <w:t>375</w:t>
      </w:r>
      <w:r>
        <w:fldChar w:fldCharType="end"/>
      </w:r>
    </w:p>
    <w:p w:rsidR="005F78FC" w:rsidRDefault="00B42EF3">
      <w:pPr>
        <w:pStyle w:val="indexentry0"/>
      </w:pPr>
      <w:hyperlink w:anchor="section_58cc2461256744ea87c39358c542b0c8">
        <w:r>
          <w:rPr>
            <w:rStyle w:val="Hyperlink"/>
          </w:rPr>
          <w:t>ROMAN</w:t>
        </w:r>
      </w:hyperlink>
      <w:r>
        <w:t xml:space="preserve"> </w:t>
      </w:r>
      <w:r>
        <w:fldChar w:fldCharType="begin"/>
      </w:r>
      <w:r>
        <w:instrText>PAGEREF section_58cc2461256744ea87c39358c542b0c8</w:instrText>
      </w:r>
      <w:r>
        <w:fldChar w:fldCharType="separate"/>
      </w:r>
      <w:r>
        <w:rPr>
          <w:noProof/>
        </w:rPr>
        <w:t>448</w:t>
      </w:r>
      <w:r>
        <w:fldChar w:fldCharType="end"/>
      </w:r>
    </w:p>
    <w:p w:rsidR="005F78FC" w:rsidRDefault="00B42EF3">
      <w:pPr>
        <w:pStyle w:val="indexentry0"/>
      </w:pPr>
      <w:hyperlink w:anchor="section_e702ec419f9f41fcb62c24c38274e331">
        <w:r>
          <w:rPr>
            <w:rStyle w:val="Hyperlink"/>
          </w:rPr>
          <w:t>ROUND</w:t>
        </w:r>
      </w:hyperlink>
      <w:r>
        <w:t xml:space="preserve"> </w:t>
      </w:r>
      <w:r>
        <w:fldChar w:fldCharType="begin"/>
      </w:r>
      <w:r>
        <w:instrText>PAGEREF section_e702ec419f9f41fcb62c24c38274e331</w:instrText>
      </w:r>
      <w:r>
        <w:fldChar w:fldCharType="separate"/>
      </w:r>
      <w:r>
        <w:rPr>
          <w:noProof/>
        </w:rPr>
        <w:t>448</w:t>
      </w:r>
      <w:r>
        <w:fldChar w:fldCharType="end"/>
      </w:r>
    </w:p>
    <w:p w:rsidR="005F78FC" w:rsidRDefault="00B42EF3">
      <w:pPr>
        <w:pStyle w:val="indexentry0"/>
      </w:pPr>
      <w:hyperlink w:anchor="section_562a55eece0a42b9a8ef9df10db1a07e">
        <w:r>
          <w:rPr>
            <w:rStyle w:val="Hyperlink"/>
          </w:rPr>
          <w:t>round (Round Line Join)</w:t>
        </w:r>
      </w:hyperlink>
      <w:r>
        <w:t xml:space="preserve"> </w:t>
      </w:r>
      <w:r>
        <w:fldChar w:fldCharType="begin"/>
      </w:r>
      <w:r>
        <w:instrText>PAGEREF section_562a55eece0a42b9a8ef9df10db1a07e</w:instrText>
      </w:r>
      <w:r>
        <w:fldChar w:fldCharType="separate"/>
      </w:r>
      <w:r>
        <w:rPr>
          <w:noProof/>
        </w:rPr>
        <w:t>518</w:t>
      </w:r>
      <w:r>
        <w:fldChar w:fldCharType="end"/>
      </w:r>
    </w:p>
    <w:p w:rsidR="005F78FC" w:rsidRDefault="00B42EF3">
      <w:pPr>
        <w:pStyle w:val="indexentry0"/>
      </w:pPr>
      <w:hyperlink w:anchor="section_ad5503cd7f9344d6ae270940131156f6">
        <w:r>
          <w:rPr>
            <w:rStyle w:val="Hyperlink"/>
          </w:rPr>
          <w:t>roundrect (Rounded Rectangle)</w:t>
        </w:r>
      </w:hyperlink>
      <w:r>
        <w:t xml:space="preserve"> </w:t>
      </w:r>
      <w:r>
        <w:fldChar w:fldCharType="begin"/>
      </w:r>
      <w:r>
        <w:instrText>PAGEREF section_ad5503cd7f9344d6ae270940131156f6</w:instrText>
      </w:r>
      <w:r>
        <w:fldChar w:fldCharType="separate"/>
      </w:r>
      <w:r>
        <w:rPr>
          <w:noProof/>
        </w:rPr>
        <w:t>654</w:t>
      </w:r>
      <w:r>
        <w:fldChar w:fldCharType="end"/>
      </w:r>
    </w:p>
    <w:p w:rsidR="005F78FC" w:rsidRDefault="00B42EF3">
      <w:pPr>
        <w:pStyle w:val="indexentry0"/>
      </w:pPr>
      <w:r>
        <w:t>row (Row) (</w:t>
      </w:r>
      <w:hyperlink w:anchor="section_5cf07e3168684d0cb0e86de69c57569f">
        <w:r>
          <w:rPr>
            <w:rStyle w:val="Hyperlink"/>
          </w:rPr>
          <w:t>section 2.1.643</w:t>
        </w:r>
      </w:hyperlink>
      <w:r>
        <w:t xml:space="preserve"> </w:t>
      </w:r>
      <w:r>
        <w:fldChar w:fldCharType="begin"/>
      </w:r>
      <w:r>
        <w:instrText>PAGEREF section_5cf07</w:instrText>
      </w:r>
      <w:r>
        <w:instrText>e3168684d0cb0e86de69c57569f</w:instrText>
      </w:r>
      <w:r>
        <w:fldChar w:fldCharType="separate"/>
      </w:r>
      <w:r>
        <w:rPr>
          <w:noProof/>
        </w:rPr>
        <w:t>283</w:t>
      </w:r>
      <w:r>
        <w:fldChar w:fldCharType="end"/>
      </w:r>
      <w:r>
        <w:t xml:space="preserve">, </w:t>
      </w:r>
      <w:hyperlink w:anchor="section_29d2ff1c1057491992a959229862218c">
        <w:r>
          <w:rPr>
            <w:rStyle w:val="Hyperlink"/>
          </w:rPr>
          <w:t>section 2.1.844</w:t>
        </w:r>
      </w:hyperlink>
      <w:r>
        <w:t xml:space="preserve"> </w:t>
      </w:r>
      <w:r>
        <w:fldChar w:fldCharType="begin"/>
      </w:r>
      <w:r>
        <w:instrText>PAGEREF section_29d2ff1c1057491992a959229862218c</w:instrText>
      </w:r>
      <w:r>
        <w:fldChar w:fldCharType="separate"/>
      </w:r>
      <w:r>
        <w:rPr>
          <w:noProof/>
        </w:rPr>
        <w:t>384</w:t>
      </w:r>
      <w:r>
        <w:fldChar w:fldCharType="end"/>
      </w:r>
      <w:r>
        <w:t xml:space="preserve">, </w:t>
      </w:r>
      <w:hyperlink w:anchor="section_049c8b2ba9994b97ace28d521d73d00c">
        <w:r>
          <w:rPr>
            <w:rStyle w:val="Hyperlink"/>
          </w:rPr>
          <w:t>section 2.1.1365</w:t>
        </w:r>
      </w:hyperlink>
      <w:r>
        <w:t xml:space="preserve"> </w:t>
      </w:r>
      <w:r>
        <w:fldChar w:fldCharType="begin"/>
      </w:r>
      <w:r>
        <w:instrText>PAGEREF sect</w:instrText>
      </w:r>
      <w:r>
        <w:instrText>ion_049c8b2ba9994b97ace28d521d73d00c</w:instrText>
      </w:r>
      <w:r>
        <w:fldChar w:fldCharType="separate"/>
      </w:r>
      <w:r>
        <w:rPr>
          <w:noProof/>
        </w:rPr>
        <w:t>529</w:t>
      </w:r>
      <w:r>
        <w:fldChar w:fldCharType="end"/>
      </w:r>
      <w:r>
        <w:t xml:space="preserve">, </w:t>
      </w:r>
      <w:hyperlink w:anchor="section_4af995e554c94df0af2f9eeb39d61f58">
        <w:r>
          <w:rPr>
            <w:rStyle w:val="Hyperlink"/>
          </w:rPr>
          <w:t>section 3.2.2.1.3</w:t>
        </w:r>
      </w:hyperlink>
      <w:r>
        <w:t xml:space="preserve"> </w:t>
      </w:r>
      <w:r>
        <w:fldChar w:fldCharType="begin"/>
      </w:r>
      <w:r>
        <w:instrText>PAGEREF section_4af995e554c94df0af2f9eeb39d61f58</w:instrText>
      </w:r>
      <w:r>
        <w:fldChar w:fldCharType="separate"/>
      </w:r>
      <w:r>
        <w:rPr>
          <w:noProof/>
        </w:rPr>
        <w:t>841</w:t>
      </w:r>
      <w:r>
        <w:fldChar w:fldCharType="end"/>
      </w:r>
      <w:r>
        <w:t>)</w:t>
      </w:r>
    </w:p>
    <w:p w:rsidR="005F78FC" w:rsidRDefault="00B42EF3">
      <w:pPr>
        <w:pStyle w:val="indexentry0"/>
      </w:pPr>
      <w:hyperlink w:anchor="section_09d193ae5f884f098bc2a744a755c881">
        <w:r>
          <w:rPr>
            <w:rStyle w:val="Hyperlink"/>
          </w:rPr>
          <w:t>rowBreaks (Horizonta</w:t>
        </w:r>
        <w:r>
          <w:rPr>
            <w:rStyle w:val="Hyperlink"/>
          </w:rPr>
          <w:t>l Page Breaks (Row))</w:t>
        </w:r>
      </w:hyperlink>
      <w:r>
        <w:t xml:space="preserve"> </w:t>
      </w:r>
      <w:r>
        <w:fldChar w:fldCharType="begin"/>
      </w:r>
      <w:r>
        <w:instrText>PAGEREF section_09d193ae5f884f098bc2a744a755c881</w:instrText>
      </w:r>
      <w:r>
        <w:fldChar w:fldCharType="separate"/>
      </w:r>
      <w:r>
        <w:rPr>
          <w:noProof/>
        </w:rPr>
        <w:t>283</w:t>
      </w:r>
      <w:r>
        <w:fldChar w:fldCharType="end"/>
      </w:r>
    </w:p>
    <w:p w:rsidR="005F78FC" w:rsidRDefault="00B42EF3">
      <w:pPr>
        <w:pStyle w:val="indexentry0"/>
      </w:pPr>
      <w:hyperlink w:anchor="section_b74ed70b64c94ef4b19cb45e971224e3">
        <w:r>
          <w:rPr>
            <w:rStyle w:val="Hyperlink"/>
          </w:rPr>
          <w:t>RowHidden (Comment's Row is Hidden)</w:t>
        </w:r>
      </w:hyperlink>
      <w:r>
        <w:t xml:space="preserve"> </w:t>
      </w:r>
      <w:r>
        <w:fldChar w:fldCharType="begin"/>
      </w:r>
      <w:r>
        <w:instrText>PAGEREF section_b74ed70b64c94ef4b19cb45e971224e3</w:instrText>
      </w:r>
      <w:r>
        <w:fldChar w:fldCharType="separate"/>
      </w:r>
      <w:r>
        <w:rPr>
          <w:noProof/>
        </w:rPr>
        <w:t>683</w:t>
      </w:r>
      <w:r>
        <w:fldChar w:fldCharType="end"/>
      </w:r>
    </w:p>
    <w:p w:rsidR="005F78FC" w:rsidRDefault="00B42EF3">
      <w:pPr>
        <w:pStyle w:val="indexentry0"/>
      </w:pPr>
      <w:hyperlink w:anchor="section_506e2fc983ba464099f6ef157679b97d">
        <w:r>
          <w:rPr>
            <w:rStyle w:val="Hyperlink"/>
          </w:rPr>
          <w:t>rowHierarchyUsage (Row OLAP Hierarchies)</w:t>
        </w:r>
      </w:hyperlink>
      <w:r>
        <w:t xml:space="preserve"> </w:t>
      </w:r>
      <w:r>
        <w:fldChar w:fldCharType="begin"/>
      </w:r>
      <w:r>
        <w:instrText>PAGEREF section_506e2fc983ba464099f6ef157679b97d</w:instrText>
      </w:r>
      <w:r>
        <w:fldChar w:fldCharType="separate"/>
      </w:r>
      <w:r>
        <w:rPr>
          <w:noProof/>
        </w:rPr>
        <w:t>359</w:t>
      </w:r>
      <w:r>
        <w:fldChar w:fldCharType="end"/>
      </w:r>
    </w:p>
    <w:p w:rsidR="005F78FC" w:rsidRDefault="00B42EF3">
      <w:pPr>
        <w:pStyle w:val="indexentry0"/>
      </w:pPr>
      <w:hyperlink w:anchor="section_2022337ea5034115b0da146bdcfa7a76">
        <w:r>
          <w:rPr>
            <w:rStyle w:val="Hyperlink"/>
          </w:rPr>
          <w:t>rowOff (Row Offset)</w:t>
        </w:r>
      </w:hyperlink>
      <w:r>
        <w:t xml:space="preserve"> </w:t>
      </w:r>
      <w:r>
        <w:fldChar w:fldCharType="begin"/>
      </w:r>
      <w:r>
        <w:instrText>PAGEREF section_2022337ea5034115b0da146bdcfa7a7</w:instrText>
      </w:r>
      <w:r>
        <w:instrText>6</w:instrText>
      </w:r>
      <w:r>
        <w:fldChar w:fldCharType="separate"/>
      </w:r>
      <w:r>
        <w:rPr>
          <w:noProof/>
        </w:rPr>
        <w:t>529</w:t>
      </w:r>
      <w:r>
        <w:fldChar w:fldCharType="end"/>
      </w:r>
    </w:p>
    <w:p w:rsidR="005F78FC" w:rsidRDefault="00B42EF3">
      <w:pPr>
        <w:pStyle w:val="indexentry0"/>
      </w:pPr>
      <w:hyperlink w:anchor="section_3cd2aea4797d42fc80de1a4ed0e01932">
        <w:r>
          <w:rPr>
            <w:rStyle w:val="Hyperlink"/>
          </w:rPr>
          <w:t>ROWS</w:t>
        </w:r>
      </w:hyperlink>
      <w:r>
        <w:t xml:space="preserve"> </w:t>
      </w:r>
      <w:r>
        <w:fldChar w:fldCharType="begin"/>
      </w:r>
      <w:r>
        <w:instrText>PAGEREF section_3cd2aea4797d42fc80de1a4ed0e01932</w:instrText>
      </w:r>
      <w:r>
        <w:fldChar w:fldCharType="separate"/>
      </w:r>
      <w:r>
        <w:rPr>
          <w:noProof/>
        </w:rPr>
        <w:t>448</w:t>
      </w:r>
      <w:r>
        <w:fldChar w:fldCharType="end"/>
      </w:r>
    </w:p>
    <w:p w:rsidR="005F78FC" w:rsidRDefault="00B42EF3">
      <w:pPr>
        <w:pStyle w:val="indexentry0"/>
      </w:pPr>
      <w:hyperlink w:anchor="section_72e63f852b6b4fa1ad68fe0187826156">
        <w:r>
          <w:rPr>
            <w:rStyle w:val="Hyperlink"/>
          </w:rPr>
          <w:t>rowSortMap (Row Sort Map)</w:t>
        </w:r>
      </w:hyperlink>
      <w:r>
        <w:t xml:space="preserve"> </w:t>
      </w:r>
      <w:r>
        <w:fldChar w:fldCharType="begin"/>
      </w:r>
      <w:r>
        <w:instrText>PAGEREF section_72e63f852b6b4fa1ad68fe0187826156</w:instrText>
      </w:r>
      <w:r>
        <w:fldChar w:fldCharType="separate"/>
      </w:r>
      <w:r>
        <w:rPr>
          <w:noProof/>
        </w:rPr>
        <w:t>841</w:t>
      </w:r>
      <w:r>
        <w:fldChar w:fldCharType="end"/>
      </w:r>
    </w:p>
    <w:p w:rsidR="005F78FC" w:rsidRDefault="00B42EF3">
      <w:pPr>
        <w:pStyle w:val="indexentry0"/>
      </w:pPr>
      <w:hyperlink w:anchor="section_7a3b21a4906947cfbf05b777e6d2078d">
        <w:r>
          <w:rPr>
            <w:rStyle w:val="Hyperlink"/>
          </w:rPr>
          <w:t>rPh (Phonetic Run)</w:t>
        </w:r>
      </w:hyperlink>
      <w:r>
        <w:t xml:space="preserve"> </w:t>
      </w:r>
      <w:r>
        <w:fldChar w:fldCharType="begin"/>
      </w:r>
      <w:r>
        <w:instrText>PAGEREF section_7a3b21a4906947cfbf05b777e6d2078d</w:instrText>
      </w:r>
      <w:r>
        <w:fldChar w:fldCharType="separate"/>
      </w:r>
      <w:r>
        <w:rPr>
          <w:noProof/>
        </w:rPr>
        <w:t>293</w:t>
      </w:r>
      <w:r>
        <w:fldChar w:fldCharType="end"/>
      </w:r>
    </w:p>
    <w:p w:rsidR="005F78FC" w:rsidRDefault="00B42EF3">
      <w:pPr>
        <w:pStyle w:val="indexentry0"/>
      </w:pPr>
      <w:hyperlink w:anchor="section_ffb4a990b46f4e388db396fc13d0b0f6">
        <w:r>
          <w:rPr>
            <w:rStyle w:val="Hyperlink"/>
          </w:rPr>
          <w:t>rPr (Numb</w:t>
        </w:r>
        <w:r>
          <w:rPr>
            <w:rStyle w:val="Hyperlink"/>
          </w:rPr>
          <w:t>ering Symbol Run Properties)</w:t>
        </w:r>
      </w:hyperlink>
      <w:r>
        <w:t xml:space="preserve"> </w:t>
      </w:r>
      <w:r>
        <w:fldChar w:fldCharType="begin"/>
      </w:r>
      <w:r>
        <w:instrText>PAGEREF section_ffb4a990b46f4e388db396fc13d0b0f6</w:instrText>
      </w:r>
      <w:r>
        <w:fldChar w:fldCharType="separate"/>
      </w:r>
      <w:r>
        <w:rPr>
          <w:noProof/>
        </w:rPr>
        <w:t>129</w:t>
      </w:r>
      <w:r>
        <w:fldChar w:fldCharType="end"/>
      </w:r>
    </w:p>
    <w:p w:rsidR="005F78FC" w:rsidRDefault="00B42EF3">
      <w:pPr>
        <w:pStyle w:val="indexentry0"/>
      </w:pPr>
      <w:hyperlink w:anchor="section_4b5ea5ae6acf4e6cb5fdc540b5d024ba">
        <w:r>
          <w:rPr>
            <w:rStyle w:val="Hyperlink"/>
          </w:rPr>
          <w:t>rPr (Previous Run Properties for the Paragraph Mark)</w:t>
        </w:r>
      </w:hyperlink>
      <w:r>
        <w:t xml:space="preserve"> </w:t>
      </w:r>
      <w:r>
        <w:fldChar w:fldCharType="begin"/>
      </w:r>
      <w:r>
        <w:instrText>PAGEREF section_4b5ea5ae6acf4e6cb5fdc540b5d024ba</w:instrText>
      </w:r>
      <w:r>
        <w:fldChar w:fldCharType="separate"/>
      </w:r>
      <w:r>
        <w:rPr>
          <w:noProof/>
        </w:rPr>
        <w:t>69</w:t>
      </w:r>
      <w:r>
        <w:fldChar w:fldCharType="end"/>
      </w:r>
    </w:p>
    <w:p w:rsidR="005F78FC" w:rsidRDefault="00B42EF3">
      <w:pPr>
        <w:pStyle w:val="indexentry0"/>
      </w:pPr>
      <w:hyperlink w:anchor="section_db26e22195ca499589a2087f606df11f">
        <w:r>
          <w:rPr>
            <w:rStyle w:val="Hyperlink"/>
          </w:rPr>
          <w:t>rPr (Previous Run Properties)</w:t>
        </w:r>
      </w:hyperlink>
      <w:r>
        <w:t xml:space="preserve"> </w:t>
      </w:r>
      <w:r>
        <w:fldChar w:fldCharType="begin"/>
      </w:r>
      <w:r>
        <w:instrText>PAGEREF section_db26e22195ca499589a2087f606df11f</w:instrText>
      </w:r>
      <w:r>
        <w:fldChar w:fldCharType="separate"/>
      </w:r>
      <w:r>
        <w:rPr>
          <w:noProof/>
        </w:rPr>
        <w:t>80</w:t>
      </w:r>
      <w:r>
        <w:fldChar w:fldCharType="end"/>
      </w:r>
    </w:p>
    <w:p w:rsidR="005F78FC" w:rsidRDefault="00B42EF3">
      <w:pPr>
        <w:pStyle w:val="indexentry0"/>
      </w:pPr>
      <w:hyperlink w:anchor="section_6bd198dd11e345f39c350fb448216a02">
        <w:r>
          <w:rPr>
            <w:rStyle w:val="Hyperlink"/>
          </w:rPr>
          <w:t>rPr (Run Properties For Structured Document Tag Content</w:t>
        </w:r>
        <w:r>
          <w:rPr>
            <w:rStyle w:val="Hyperlink"/>
          </w:rPr>
          <w:t>s)</w:t>
        </w:r>
      </w:hyperlink>
      <w:r>
        <w:t xml:space="preserve"> </w:t>
      </w:r>
      <w:r>
        <w:fldChar w:fldCharType="begin"/>
      </w:r>
      <w:r>
        <w:instrText>PAGEREF section_6bd198dd11e345f39c350fb448216a02</w:instrText>
      </w:r>
      <w:r>
        <w:fldChar w:fldCharType="separate"/>
      </w:r>
      <w:r>
        <w:rPr>
          <w:noProof/>
        </w:rPr>
        <w:t>101</w:t>
      </w:r>
      <w:r>
        <w:fldChar w:fldCharType="end"/>
      </w:r>
    </w:p>
    <w:p w:rsidR="005F78FC" w:rsidRDefault="00B42EF3">
      <w:pPr>
        <w:pStyle w:val="indexentry0"/>
      </w:pPr>
      <w:hyperlink w:anchor="section_de7e18425f80491599253bf0b4fe84bf">
        <w:r>
          <w:rPr>
            <w:rStyle w:val="Hyperlink"/>
          </w:rPr>
          <w:t>rPr (Run Properties for the Paragraph Mark)</w:t>
        </w:r>
      </w:hyperlink>
      <w:r>
        <w:t xml:space="preserve"> </w:t>
      </w:r>
      <w:r>
        <w:fldChar w:fldCharType="begin"/>
      </w:r>
      <w:r>
        <w:instrText>PAGEREF section_de7e18425f80491599253bf0b4fe84bf</w:instrText>
      </w:r>
      <w:r>
        <w:fldChar w:fldCharType="separate"/>
      </w:r>
      <w:r>
        <w:rPr>
          <w:noProof/>
        </w:rPr>
        <w:t>69</w:t>
      </w:r>
      <w:r>
        <w:fldChar w:fldCharType="end"/>
      </w:r>
    </w:p>
    <w:p w:rsidR="005F78FC" w:rsidRDefault="00B42EF3">
      <w:pPr>
        <w:pStyle w:val="indexentry0"/>
      </w:pPr>
      <w:r>
        <w:t>rPr (Run Properties) (</w:t>
      </w:r>
      <w:hyperlink w:anchor="section_09fdbd6fad184a3392a6d948e65b8f1b">
        <w:r>
          <w:rPr>
            <w:rStyle w:val="Hyperlink"/>
          </w:rPr>
          <w:t>section 2.1.90</w:t>
        </w:r>
      </w:hyperlink>
      <w:r>
        <w:t xml:space="preserve"> </w:t>
      </w:r>
      <w:r>
        <w:fldChar w:fldCharType="begin"/>
      </w:r>
      <w:r>
        <w:instrText>PAGEREF section_09fdbd6fad184a3392a6d948e65b8f1b</w:instrText>
      </w:r>
      <w:r>
        <w:fldChar w:fldCharType="separate"/>
      </w:r>
      <w:r>
        <w:rPr>
          <w:noProof/>
        </w:rPr>
        <w:t>80</w:t>
      </w:r>
      <w:r>
        <w:fldChar w:fldCharType="end"/>
      </w:r>
      <w:r>
        <w:t xml:space="preserve">, </w:t>
      </w:r>
      <w:hyperlink w:anchor="section_9f0ca7a05e6a487ebb522b74d4bb614a">
        <w:r>
          <w:rPr>
            <w:rStyle w:val="Hyperlink"/>
          </w:rPr>
          <w:t>section 2.1.245</w:t>
        </w:r>
      </w:hyperlink>
      <w:r>
        <w:t xml:space="preserve"> </w:t>
      </w:r>
      <w:r>
        <w:fldChar w:fldCharType="begin"/>
      </w:r>
      <w:r>
        <w:instrText>PAGEREF section_9f0ca7a05e6a487ebb522b74d4bb614a</w:instrText>
      </w:r>
      <w:r>
        <w:fldChar w:fldCharType="separate"/>
      </w:r>
      <w:r>
        <w:rPr>
          <w:noProof/>
        </w:rPr>
        <w:t>120</w:t>
      </w:r>
      <w:r>
        <w:fldChar w:fldCharType="end"/>
      </w:r>
      <w:r>
        <w:t xml:space="preserve">, </w:t>
      </w:r>
      <w:hyperlink w:anchor="section_0f36799f599e449b8d9dcd42c9c6e41f">
        <w:r>
          <w:rPr>
            <w:rStyle w:val="Hyperlink"/>
          </w:rPr>
          <w:t>section 2.1.260</w:t>
        </w:r>
      </w:hyperlink>
      <w:r>
        <w:t xml:space="preserve"> </w:t>
      </w:r>
      <w:r>
        <w:fldChar w:fldCharType="begin"/>
      </w:r>
      <w:r>
        <w:instrText>PAGEREF section_0f36799f599e449b8d9dcd42c9c6e41f</w:instrText>
      </w:r>
      <w:r>
        <w:fldChar w:fldCharType="separate"/>
      </w:r>
      <w:r>
        <w:rPr>
          <w:noProof/>
        </w:rPr>
        <w:t>123</w:t>
      </w:r>
      <w:r>
        <w:fldChar w:fldCharType="end"/>
      </w:r>
      <w:r>
        <w:t xml:space="preserve">, </w:t>
      </w:r>
      <w:hyperlink w:anchor="section_29f6b8095f1a4b2bb65a0286a0758460">
        <w:r>
          <w:rPr>
            <w:rStyle w:val="Hyperlink"/>
          </w:rPr>
          <w:t>section 2.1.673</w:t>
        </w:r>
      </w:hyperlink>
      <w:r>
        <w:t xml:space="preserve"> </w:t>
      </w:r>
      <w:r>
        <w:fldChar w:fldCharType="begin"/>
      </w:r>
      <w:r>
        <w:instrText>PAGEREF section_29f6b8095f1a4b2bb65a0286a0758460</w:instrText>
      </w:r>
      <w:r>
        <w:fldChar w:fldCharType="separate"/>
      </w:r>
      <w:r>
        <w:rPr>
          <w:noProof/>
        </w:rPr>
        <w:t>293</w:t>
      </w:r>
      <w:r>
        <w:fldChar w:fldCharType="end"/>
      </w:r>
      <w:r>
        <w:t>)</w:t>
      </w:r>
    </w:p>
    <w:p w:rsidR="005F78FC" w:rsidRDefault="00B42EF3">
      <w:pPr>
        <w:pStyle w:val="indexentry0"/>
      </w:pPr>
      <w:hyperlink w:anchor="section_8099cfe74fb24c51acf499ff0f09a2f4">
        <w:r>
          <w:rPr>
            <w:rStyle w:val="Hyperlink"/>
          </w:rPr>
          <w:t>rPr (Structured Document Tag End Character Run Properties)</w:t>
        </w:r>
      </w:hyperlink>
      <w:r>
        <w:t xml:space="preserve"> </w:t>
      </w:r>
      <w:r>
        <w:fldChar w:fldCharType="begin"/>
      </w:r>
      <w:r>
        <w:instrText>PAGEREF section_8099cfe74fb24c51acf499ff0f09a2f4</w:instrText>
      </w:r>
      <w:r>
        <w:fldChar w:fldCharType="separate"/>
      </w:r>
      <w:r>
        <w:rPr>
          <w:noProof/>
        </w:rPr>
        <w:t>101</w:t>
      </w:r>
      <w:r>
        <w:fldChar w:fldCharType="end"/>
      </w:r>
    </w:p>
    <w:p w:rsidR="005F78FC" w:rsidRDefault="00B42EF3">
      <w:pPr>
        <w:pStyle w:val="indexentry0"/>
      </w:pPr>
      <w:hyperlink w:anchor="section_d0244b61fd9645f0ac847380d2b6d663">
        <w:r>
          <w:rPr>
            <w:rStyle w:val="Hyperlink"/>
          </w:rPr>
          <w:t>rPr (Table Style Cond</w:t>
        </w:r>
        <w:r>
          <w:rPr>
            <w:rStyle w:val="Hyperlink"/>
          </w:rPr>
          <w:t>itional Formatting Run Properties)</w:t>
        </w:r>
      </w:hyperlink>
      <w:r>
        <w:t xml:space="preserve"> </w:t>
      </w:r>
      <w:r>
        <w:fldChar w:fldCharType="begin"/>
      </w:r>
      <w:r>
        <w:instrText>PAGEREF section_d0244b61fd9645f0ac847380d2b6d663</w:instrText>
      </w:r>
      <w:r>
        <w:fldChar w:fldCharType="separate"/>
      </w:r>
      <w:r>
        <w:rPr>
          <w:noProof/>
        </w:rPr>
        <w:t>121</w:t>
      </w:r>
      <w:r>
        <w:fldChar w:fldCharType="end"/>
      </w:r>
    </w:p>
    <w:p w:rsidR="005F78FC" w:rsidRDefault="00B42EF3">
      <w:pPr>
        <w:pStyle w:val="indexentry0"/>
      </w:pPr>
      <w:hyperlink w:anchor="section_953e072cf2344373b0173f1f71eac93b">
        <w:r>
          <w:rPr>
            <w:rStyle w:val="Hyperlink"/>
          </w:rPr>
          <w:t>rPr (Text Run Properties)</w:t>
        </w:r>
      </w:hyperlink>
      <w:r>
        <w:t xml:space="preserve"> </w:t>
      </w:r>
      <w:r>
        <w:fldChar w:fldCharType="begin"/>
      </w:r>
      <w:r>
        <w:instrText>PAGEREF section_953e072cf2344373b0173f1f71eac93b</w:instrText>
      </w:r>
      <w:r>
        <w:fldChar w:fldCharType="separate"/>
      </w:r>
      <w:r>
        <w:rPr>
          <w:noProof/>
        </w:rPr>
        <w:t>540</w:t>
      </w:r>
      <w:r>
        <w:fldChar w:fldCharType="end"/>
      </w:r>
    </w:p>
    <w:p w:rsidR="005F78FC" w:rsidRDefault="00B42EF3">
      <w:pPr>
        <w:pStyle w:val="indexentry0"/>
      </w:pPr>
      <w:hyperlink w:anchor="section_7fec6f90a2ff40dcba8df45db391f716">
        <w:r>
          <w:rPr>
            <w:rStyle w:val="Hyperlink"/>
          </w:rPr>
          <w:t>rPrChange (Revision Information for Run Properties on the Paragraph Mark)</w:t>
        </w:r>
      </w:hyperlink>
      <w:r>
        <w:t xml:space="preserve"> </w:t>
      </w:r>
      <w:r>
        <w:fldChar w:fldCharType="begin"/>
      </w:r>
      <w:r>
        <w:instrText>PAGEREF section_7fec6f90a2ff40dcba8df45db391f716</w:instrText>
      </w:r>
      <w:r>
        <w:fldChar w:fldCharType="separate"/>
      </w:r>
      <w:r>
        <w:rPr>
          <w:noProof/>
        </w:rPr>
        <w:t>142</w:t>
      </w:r>
      <w:r>
        <w:fldChar w:fldCharType="end"/>
      </w:r>
    </w:p>
    <w:p w:rsidR="005F78FC" w:rsidRDefault="00B42EF3">
      <w:pPr>
        <w:pStyle w:val="indexentry0"/>
      </w:pPr>
      <w:hyperlink w:anchor="section_d12848504d134d5eb6cd167c00942216">
        <w:r>
          <w:rPr>
            <w:rStyle w:val="Hyperlink"/>
          </w:rPr>
          <w:t xml:space="preserve">rPrChange (Revision Information </w:t>
        </w:r>
        <w:r>
          <w:rPr>
            <w:rStyle w:val="Hyperlink"/>
          </w:rPr>
          <w:t>for Run Properties)</w:t>
        </w:r>
      </w:hyperlink>
      <w:r>
        <w:t xml:space="preserve"> </w:t>
      </w:r>
      <w:r>
        <w:fldChar w:fldCharType="begin"/>
      </w:r>
      <w:r>
        <w:instrText>PAGEREF section_d12848504d134d5eb6cd167c00942216</w:instrText>
      </w:r>
      <w:r>
        <w:fldChar w:fldCharType="separate"/>
      </w:r>
      <w:r>
        <w:rPr>
          <w:noProof/>
        </w:rPr>
        <w:t>142</w:t>
      </w:r>
      <w:r>
        <w:fldChar w:fldCharType="end"/>
      </w:r>
    </w:p>
    <w:p w:rsidR="005F78FC" w:rsidRDefault="00B42EF3">
      <w:pPr>
        <w:pStyle w:val="indexentry0"/>
      </w:pPr>
      <w:hyperlink w:anchor="section_47f7f4b3b75e4e2c8a17a5b2508a76f3">
        <w:r>
          <w:rPr>
            <w:rStyle w:val="Hyperlink"/>
          </w:rPr>
          <w:t>rqt (Revision Query Table)</w:t>
        </w:r>
      </w:hyperlink>
      <w:r>
        <w:t xml:space="preserve"> </w:t>
      </w:r>
      <w:r>
        <w:fldChar w:fldCharType="begin"/>
      </w:r>
      <w:r>
        <w:instrText>PAGEREF section_47f7f4b3b75e4e2c8a17a5b2508a76f3</w:instrText>
      </w:r>
      <w:r>
        <w:fldChar w:fldCharType="separate"/>
      </w:r>
      <w:r>
        <w:rPr>
          <w:noProof/>
        </w:rPr>
        <w:t>376</w:t>
      </w:r>
      <w:r>
        <w:fldChar w:fldCharType="end"/>
      </w:r>
    </w:p>
    <w:p w:rsidR="005F78FC" w:rsidRDefault="00B42EF3">
      <w:pPr>
        <w:pStyle w:val="indexentry0"/>
      </w:pPr>
      <w:hyperlink w:anchor="section_8aa1a35f152949af865abb4ba51645b5">
        <w:r>
          <w:rPr>
            <w:rStyle w:val="Hyperlink"/>
          </w:rPr>
          <w:t>rrc (Revision Row Column Insert Delete)</w:t>
        </w:r>
      </w:hyperlink>
      <w:r>
        <w:t xml:space="preserve"> </w:t>
      </w:r>
      <w:r>
        <w:fldChar w:fldCharType="begin"/>
      </w:r>
      <w:r>
        <w:instrText>PAGEREF section_8aa1a35f152949af865abb4ba51645b5</w:instrText>
      </w:r>
      <w:r>
        <w:fldChar w:fldCharType="separate"/>
      </w:r>
      <w:r>
        <w:rPr>
          <w:noProof/>
        </w:rPr>
        <w:t>376</w:t>
      </w:r>
      <w:r>
        <w:fldChar w:fldCharType="end"/>
      </w:r>
    </w:p>
    <w:p w:rsidR="005F78FC" w:rsidRDefault="00B42EF3">
      <w:pPr>
        <w:pStyle w:val="indexentry0"/>
      </w:pPr>
      <w:hyperlink w:anchor="section_9e7cca9a56a74c999e307aeedfa4c995">
        <w:r>
          <w:rPr>
            <w:rStyle w:val="Hyperlink"/>
          </w:rPr>
          <w:t>rsid (Single Session Revision Save ID)</w:t>
        </w:r>
      </w:hyperlink>
      <w:r>
        <w:t xml:space="preserve"> </w:t>
      </w:r>
      <w:r>
        <w:fldChar w:fldCharType="begin"/>
      </w:r>
      <w:r>
        <w:instrText>PAGEREF section_9e7cca9a56a74c999e307aeedfa4c995</w:instrText>
      </w:r>
      <w:r>
        <w:fldChar w:fldCharType="separate"/>
      </w:r>
      <w:r>
        <w:rPr>
          <w:noProof/>
        </w:rPr>
        <w:t>159</w:t>
      </w:r>
      <w:r>
        <w:fldChar w:fldCharType="end"/>
      </w:r>
    </w:p>
    <w:p w:rsidR="005F78FC" w:rsidRDefault="00B42EF3">
      <w:pPr>
        <w:pStyle w:val="indexentry0"/>
      </w:pPr>
      <w:hyperlink w:anchor="section_ca21574c0dfb4e9ba0e39cf9c855e9bb">
        <w:r>
          <w:rPr>
            <w:rStyle w:val="Hyperlink"/>
          </w:rPr>
          <w:t>rsnm (Revision Sheet Name)</w:t>
        </w:r>
      </w:hyperlink>
      <w:r>
        <w:t xml:space="preserve"> </w:t>
      </w:r>
      <w:r>
        <w:fldChar w:fldCharType="begin"/>
      </w:r>
      <w:r>
        <w:instrText>PAGEREF section_ca21574c0dfb4e9ba0e39cf9c855e9bb</w:instrText>
      </w:r>
      <w:r>
        <w:fldChar w:fldCharType="separate"/>
      </w:r>
      <w:r>
        <w:rPr>
          <w:noProof/>
        </w:rPr>
        <w:t>376</w:t>
      </w:r>
      <w:r>
        <w:fldChar w:fldCharType="end"/>
      </w:r>
    </w:p>
    <w:p w:rsidR="005F78FC" w:rsidRDefault="00B42EF3">
      <w:pPr>
        <w:pStyle w:val="indexentry0"/>
      </w:pPr>
      <w:hyperlink w:anchor="section_6895cb10962648be96906579da8c41a4">
        <w:r>
          <w:rPr>
            <w:rStyle w:val="Hyperlink"/>
          </w:rPr>
          <w:t>rSp (Row Spacing (Array))</w:t>
        </w:r>
      </w:hyperlink>
      <w:r>
        <w:t xml:space="preserve"> </w:t>
      </w:r>
      <w:r>
        <w:fldChar w:fldCharType="begin"/>
      </w:r>
      <w:r>
        <w:instrText>PAGEREF section_6895cb10962648be96906579da8c41a4</w:instrText>
      </w:r>
      <w:r>
        <w:fldChar w:fldCharType="separate"/>
      </w:r>
      <w:r>
        <w:rPr>
          <w:noProof/>
        </w:rPr>
        <w:t>604</w:t>
      </w:r>
      <w:r>
        <w:fldChar w:fldCharType="end"/>
      </w:r>
    </w:p>
    <w:p w:rsidR="005F78FC" w:rsidRDefault="00B42EF3">
      <w:pPr>
        <w:pStyle w:val="indexentry0"/>
      </w:pPr>
      <w:hyperlink w:anchor="section_bc0219213f1f402abccba4d59be53942">
        <w:r>
          <w:rPr>
            <w:rStyle w:val="Hyperlink"/>
          </w:rPr>
          <w:t>rSpRule (Row Spacing Rule)</w:t>
        </w:r>
      </w:hyperlink>
      <w:r>
        <w:t xml:space="preserve"> </w:t>
      </w:r>
      <w:r>
        <w:fldChar w:fldCharType="begin"/>
      </w:r>
      <w:r>
        <w:instrText>PAGEREF section_bc0219213f1f402abccba4d59be53942</w:instrText>
      </w:r>
      <w:r>
        <w:fldChar w:fldCharType="separate"/>
      </w:r>
      <w:r>
        <w:rPr>
          <w:noProof/>
        </w:rPr>
        <w:t>605</w:t>
      </w:r>
      <w:r>
        <w:fldChar w:fldCharType="end"/>
      </w:r>
    </w:p>
    <w:p w:rsidR="005F78FC" w:rsidRDefault="00B42EF3">
      <w:pPr>
        <w:pStyle w:val="indexentry0"/>
      </w:pPr>
      <w:hyperlink w:anchor="section_73fcb2a52673440c8be215a35a93346e">
        <w:r>
          <w:rPr>
            <w:rStyle w:val="Hyperlink"/>
          </w:rPr>
          <w:t>rStyle (Referenced Character Style)</w:t>
        </w:r>
      </w:hyperlink>
      <w:r>
        <w:t xml:space="preserve"> </w:t>
      </w:r>
      <w:r>
        <w:fldChar w:fldCharType="begin"/>
      </w:r>
      <w:r>
        <w:instrText>PAGEREF section_73fcb2a52673440c8be215a35a93346e</w:instrText>
      </w:r>
      <w:r>
        <w:fldChar w:fldCharType="separate"/>
      </w:r>
      <w:r>
        <w:rPr>
          <w:noProof/>
        </w:rPr>
        <w:t>80</w:t>
      </w:r>
      <w:r>
        <w:fldChar w:fldCharType="end"/>
      </w:r>
    </w:p>
    <w:p w:rsidR="005F78FC" w:rsidRDefault="00B42EF3">
      <w:pPr>
        <w:pStyle w:val="indexentry0"/>
      </w:pPr>
      <w:hyperlink w:anchor="section_af021f39c8864571a52f70966013513b">
        <w:r>
          <w:rPr>
            <w:rStyle w:val="Hyperlink"/>
          </w:rPr>
          <w:t>rt (Phonetic Guide Text)</w:t>
        </w:r>
      </w:hyperlink>
      <w:r>
        <w:t xml:space="preserve"> </w:t>
      </w:r>
      <w:r>
        <w:fldChar w:fldCharType="begin"/>
      </w:r>
      <w:r>
        <w:instrText>PAGEREF section_af021f39c8864571a52f70966013513b</w:instrText>
      </w:r>
      <w:r>
        <w:fldChar w:fldCharType="separate"/>
      </w:r>
      <w:r>
        <w:rPr>
          <w:noProof/>
        </w:rPr>
        <w:t>83</w:t>
      </w:r>
      <w:r>
        <w:fldChar w:fldCharType="end"/>
      </w:r>
    </w:p>
    <w:p w:rsidR="005F78FC" w:rsidRDefault="00B42EF3">
      <w:pPr>
        <w:pStyle w:val="indexentry0"/>
      </w:pPr>
      <w:hyperlink w:anchor="section_70a4382f51c64640851dd8612b038217">
        <w:r>
          <w:rPr>
            <w:rStyle w:val="Hyperlink"/>
          </w:rPr>
          <w:t>RTD</w:t>
        </w:r>
      </w:hyperlink>
      <w:r>
        <w:t xml:space="preserve"> </w:t>
      </w:r>
      <w:r>
        <w:fldChar w:fldCharType="begin"/>
      </w:r>
      <w:r>
        <w:instrText>PAGEREF section_70a4382f51c64640851dd8612b038217</w:instrText>
      </w:r>
      <w:r>
        <w:fldChar w:fldCharType="separate"/>
      </w:r>
      <w:r>
        <w:rPr>
          <w:noProof/>
        </w:rPr>
        <w:t>448</w:t>
      </w:r>
      <w:r>
        <w:fldChar w:fldCharType="end"/>
      </w:r>
    </w:p>
    <w:p w:rsidR="005F78FC" w:rsidRDefault="00B42EF3">
      <w:pPr>
        <w:pStyle w:val="indexentry0"/>
      </w:pPr>
      <w:hyperlink w:anchor="section_da2e20e23a5748c094fc7e7bc05831a2">
        <w:r>
          <w:rPr>
            <w:rStyle w:val="Hyperlink"/>
          </w:rPr>
          <w:t>rtl (Right To Left Text)</w:t>
        </w:r>
      </w:hyperlink>
      <w:r>
        <w:t xml:space="preserve"> </w:t>
      </w:r>
      <w:r>
        <w:fldChar w:fldCharType="begin"/>
      </w:r>
      <w:r>
        <w:instrText>PAGEREF section_da2e20e23a5748c094fc7e7bc05831a2</w:instrText>
      </w:r>
      <w:r>
        <w:fldChar w:fldCharType="separate"/>
      </w:r>
      <w:r>
        <w:rPr>
          <w:noProof/>
        </w:rPr>
        <w:t>80</w:t>
      </w:r>
      <w:r>
        <w:fldChar w:fldCharType="end"/>
      </w:r>
    </w:p>
    <w:p w:rsidR="005F78FC" w:rsidRDefault="00B42EF3">
      <w:pPr>
        <w:pStyle w:val="indexentry0"/>
      </w:pPr>
      <w:hyperlink w:anchor="section_7fe9debd14844460b600621fc119b521">
        <w:r>
          <w:rPr>
            <w:rStyle w:val="Hyperlink"/>
          </w:rPr>
          <w:t>rubyBase (Phonetic Guide Base Text)</w:t>
        </w:r>
      </w:hyperlink>
      <w:r>
        <w:t xml:space="preserve"> </w:t>
      </w:r>
      <w:r>
        <w:fldChar w:fldCharType="begin"/>
      </w:r>
      <w:r>
        <w:instrText>PAGEREF section_7fe9debd14844460b600621fc119b521</w:instrText>
      </w:r>
      <w:r>
        <w:fldChar w:fldCharType="separate"/>
      </w:r>
      <w:r>
        <w:rPr>
          <w:noProof/>
        </w:rPr>
        <w:t>83</w:t>
      </w:r>
      <w:r>
        <w:fldChar w:fldCharType="end"/>
      </w:r>
    </w:p>
    <w:p w:rsidR="005F78FC" w:rsidRDefault="005F78FC">
      <w:pPr>
        <w:spacing w:before="0" w:after="0"/>
        <w:rPr>
          <w:sz w:val="16"/>
        </w:rPr>
      </w:pPr>
    </w:p>
    <w:p w:rsidR="005F78FC" w:rsidRDefault="00B42EF3">
      <w:pPr>
        <w:pStyle w:val="indexheader"/>
      </w:pPr>
      <w:r>
        <w:t>S</w:t>
      </w:r>
    </w:p>
    <w:p w:rsidR="005F78FC" w:rsidRDefault="005F78FC">
      <w:pPr>
        <w:spacing w:before="0" w:after="0"/>
        <w:rPr>
          <w:sz w:val="16"/>
        </w:rPr>
      </w:pPr>
    </w:p>
    <w:p w:rsidR="005F78FC" w:rsidRDefault="00B42EF3">
      <w:pPr>
        <w:pStyle w:val="indexentry0"/>
      </w:pPr>
      <w:r>
        <w:t>s (Character Value) (</w:t>
      </w:r>
      <w:hyperlink w:anchor="section_666f1692575a4f56a5dd705e766fdf96">
        <w:r>
          <w:rPr>
            <w:rStyle w:val="Hyperlink"/>
          </w:rPr>
          <w:t>section 2.1.793</w:t>
        </w:r>
      </w:hyperlink>
      <w:r>
        <w:t xml:space="preserve"> </w:t>
      </w:r>
      <w:r>
        <w:fldChar w:fldCharType="begin"/>
      </w:r>
      <w:r>
        <w:instrText>PAGEREF section_666f1692575a4f56a5dd705e766fdf96</w:instrText>
      </w:r>
      <w:r>
        <w:fldChar w:fldCharType="separate"/>
      </w:r>
      <w:r>
        <w:rPr>
          <w:noProof/>
        </w:rPr>
        <w:t>359</w:t>
      </w:r>
      <w:r>
        <w:fldChar w:fldCharType="end"/>
      </w:r>
      <w:r>
        <w:t xml:space="preserve">, </w:t>
      </w:r>
      <w:hyperlink w:anchor="section_a88f22503afe4d50bec546158f10b928">
        <w:r>
          <w:rPr>
            <w:rStyle w:val="Hyperlink"/>
          </w:rPr>
          <w:t>section 2.1.832</w:t>
        </w:r>
      </w:hyperlink>
      <w:r>
        <w:t xml:space="preserve"> </w:t>
      </w:r>
      <w:r>
        <w:fldChar w:fldCharType="begin"/>
      </w:r>
      <w:r>
        <w:instrText>PAGEREF section_a88f22503afe4d50bec546158f10b928</w:instrText>
      </w:r>
      <w:r>
        <w:fldChar w:fldCharType="separate"/>
      </w:r>
      <w:r>
        <w:rPr>
          <w:noProof/>
        </w:rPr>
        <w:t>381</w:t>
      </w:r>
      <w:r>
        <w:fldChar w:fldCharType="end"/>
      </w:r>
      <w:r>
        <w:t>)</w:t>
      </w:r>
    </w:p>
    <w:p w:rsidR="005F78FC" w:rsidRDefault="00B42EF3">
      <w:pPr>
        <w:pStyle w:val="indexentry0"/>
      </w:pPr>
      <w:hyperlink w:anchor="section_03602c0c4e48496a96881c9f8d446fd0">
        <w:r>
          <w:rPr>
            <w:rStyle w:val="Hyperlink"/>
          </w:rPr>
          <w:t>sampDat</w:t>
        </w:r>
        <w:r>
          <w:rPr>
            <w:rStyle w:val="Hyperlink"/>
          </w:rPr>
          <w:t>a (Sample Data)</w:t>
        </w:r>
      </w:hyperlink>
      <w:r>
        <w:t xml:space="preserve"> </w:t>
      </w:r>
      <w:r>
        <w:fldChar w:fldCharType="begin"/>
      </w:r>
      <w:r>
        <w:instrText>PAGEREF section_03602c0c4e48496a96881c9f8d446fd0</w:instrText>
      </w:r>
      <w:r>
        <w:fldChar w:fldCharType="separate"/>
      </w:r>
      <w:r>
        <w:rPr>
          <w:noProof/>
        </w:rPr>
        <w:t>587</w:t>
      </w:r>
      <w:r>
        <w:fldChar w:fldCharType="end"/>
      </w:r>
    </w:p>
    <w:p w:rsidR="005F78FC" w:rsidRDefault="00B42EF3">
      <w:pPr>
        <w:pStyle w:val="indexentry0"/>
      </w:pPr>
      <w:hyperlink w:anchor="section_6e285ca361b94a4093beaf70277dcd71">
        <w:r>
          <w:rPr>
            <w:rStyle w:val="Hyperlink"/>
          </w:rPr>
          <w:t>sat (Saturation)</w:t>
        </w:r>
      </w:hyperlink>
      <w:r>
        <w:t xml:space="preserve"> </w:t>
      </w:r>
      <w:r>
        <w:fldChar w:fldCharType="begin"/>
      </w:r>
      <w:r>
        <w:instrText>PAGEREF section_6e285ca361b94a4093beaf70277dcd71</w:instrText>
      </w:r>
      <w:r>
        <w:fldChar w:fldCharType="separate"/>
      </w:r>
      <w:r>
        <w:rPr>
          <w:noProof/>
        </w:rPr>
        <w:t>506</w:t>
      </w:r>
      <w:r>
        <w:fldChar w:fldCharType="end"/>
      </w:r>
    </w:p>
    <w:p w:rsidR="005F78FC" w:rsidRDefault="00B42EF3">
      <w:pPr>
        <w:pStyle w:val="indexentry0"/>
      </w:pPr>
      <w:hyperlink w:anchor="section_157e57919c514251ae907dd58ae69778">
        <w:r>
          <w:rPr>
            <w:rStyle w:val="Hyperlink"/>
          </w:rPr>
          <w:t>satMod (Saturation Modulation)</w:t>
        </w:r>
      </w:hyperlink>
      <w:r>
        <w:t xml:space="preserve"> </w:t>
      </w:r>
      <w:r>
        <w:fldChar w:fldCharType="begin"/>
      </w:r>
      <w:r>
        <w:instrText>PAGEREF section_157e57919c514251ae907dd58ae69778</w:instrText>
      </w:r>
      <w:r>
        <w:fldChar w:fldCharType="separate"/>
      </w:r>
      <w:r>
        <w:rPr>
          <w:noProof/>
        </w:rPr>
        <w:t>506</w:t>
      </w:r>
      <w:r>
        <w:fldChar w:fldCharType="end"/>
      </w:r>
    </w:p>
    <w:p w:rsidR="005F78FC" w:rsidRDefault="00B42EF3">
      <w:pPr>
        <w:pStyle w:val="indexentry0"/>
      </w:pPr>
      <w:hyperlink w:anchor="section_4739545ec381406d9f092fcbe7d8e3af">
        <w:r>
          <w:rPr>
            <w:rStyle w:val="Hyperlink"/>
          </w:rPr>
          <w:t>satOff (Saturation Offset)</w:t>
        </w:r>
      </w:hyperlink>
      <w:r>
        <w:t xml:space="preserve"> </w:t>
      </w:r>
      <w:r>
        <w:fldChar w:fldCharType="begin"/>
      </w:r>
      <w:r>
        <w:instrText>PAGEREF section_4739</w:instrText>
      </w:r>
      <w:r>
        <w:instrText>545ec381406d9f092fcbe7d8e3af</w:instrText>
      </w:r>
      <w:r>
        <w:fldChar w:fldCharType="separate"/>
      </w:r>
      <w:r>
        <w:rPr>
          <w:noProof/>
        </w:rPr>
        <w:t>506</w:t>
      </w:r>
      <w:r>
        <w:fldChar w:fldCharType="end"/>
      </w:r>
    </w:p>
    <w:p w:rsidR="005F78FC" w:rsidRDefault="00B42EF3">
      <w:pPr>
        <w:pStyle w:val="indexentry0"/>
      </w:pPr>
      <w:hyperlink w:anchor="section_ec6ce3a5b5c94683af962367fbcd9d08">
        <w:r>
          <w:rPr>
            <w:rStyle w:val="Hyperlink"/>
          </w:rPr>
          <w:t>SAVEDATE</w:t>
        </w:r>
      </w:hyperlink>
      <w:r>
        <w:t xml:space="preserve"> </w:t>
      </w:r>
      <w:r>
        <w:fldChar w:fldCharType="begin"/>
      </w:r>
      <w:r>
        <w:instrText>PAGEREF section_ec6ce3a5b5c94683af962367fbcd9d08</w:instrText>
      </w:r>
      <w:r>
        <w:fldChar w:fldCharType="separate"/>
      </w:r>
      <w:r>
        <w:rPr>
          <w:noProof/>
        </w:rPr>
        <w:t>224</w:t>
      </w:r>
      <w:r>
        <w:fldChar w:fldCharType="end"/>
      </w:r>
    </w:p>
    <w:p w:rsidR="005F78FC" w:rsidRDefault="00B42EF3">
      <w:pPr>
        <w:pStyle w:val="indexentry0"/>
      </w:pPr>
      <w:hyperlink w:anchor="section_5530b6b16de7404188adf0c784df4781">
        <w:r>
          <w:rPr>
            <w:rStyle w:val="Hyperlink"/>
          </w:rPr>
          <w:t>saveInvalidXml (Allow Saving Document A</w:t>
        </w:r>
        <w:r>
          <w:rPr>
            <w:rStyle w:val="Hyperlink"/>
          </w:rPr>
          <w:t>s XML File When Custom XML Markup Is Invalid)</w:t>
        </w:r>
      </w:hyperlink>
      <w:r>
        <w:t xml:space="preserve"> </w:t>
      </w:r>
      <w:r>
        <w:fldChar w:fldCharType="begin"/>
      </w:r>
      <w:r>
        <w:instrText>PAGEREF section_5530b6b16de7404188adf0c784df4781</w:instrText>
      </w:r>
      <w:r>
        <w:fldChar w:fldCharType="separate"/>
      </w:r>
      <w:r>
        <w:rPr>
          <w:noProof/>
        </w:rPr>
        <w:t>159</w:t>
      </w:r>
      <w:r>
        <w:fldChar w:fldCharType="end"/>
      </w:r>
    </w:p>
    <w:p w:rsidR="005F78FC" w:rsidRDefault="00B42EF3">
      <w:pPr>
        <w:pStyle w:val="indexentry0"/>
      </w:pPr>
      <w:hyperlink w:anchor="section_4b47b239faff4088bad3808500ee9c0f">
        <w:r>
          <w:rPr>
            <w:rStyle w:val="Hyperlink"/>
          </w:rPr>
          <w:t>saveThroughXslt (Custom XSL Transform To Use When Saving As XML File)</w:t>
        </w:r>
      </w:hyperlink>
      <w:r>
        <w:t xml:space="preserve"> </w:t>
      </w:r>
      <w:r>
        <w:fldChar w:fldCharType="begin"/>
      </w:r>
      <w:r>
        <w:instrText>PAGEREF section_4b47b23</w:instrText>
      </w:r>
      <w:r>
        <w:instrText>9faff4088bad3808500ee9c0f</w:instrText>
      </w:r>
      <w:r>
        <w:fldChar w:fldCharType="separate"/>
      </w:r>
      <w:r>
        <w:rPr>
          <w:noProof/>
        </w:rPr>
        <w:t>160</w:t>
      </w:r>
      <w:r>
        <w:fldChar w:fldCharType="end"/>
      </w:r>
    </w:p>
    <w:p w:rsidR="005F78FC" w:rsidRDefault="00B42EF3">
      <w:pPr>
        <w:pStyle w:val="indexentry0"/>
      </w:pPr>
      <w:hyperlink w:anchor="section_467128baa9144fe8a022184922a47c21">
        <w:r>
          <w:rPr>
            <w:rStyle w:val="Hyperlink"/>
          </w:rPr>
          <w:t>scale (View Scale)</w:t>
        </w:r>
      </w:hyperlink>
      <w:r>
        <w:t xml:space="preserve"> </w:t>
      </w:r>
      <w:r>
        <w:fldChar w:fldCharType="begin"/>
      </w:r>
      <w:r>
        <w:instrText>PAGEREF section_467128baa9144fe8a022184922a47c21</w:instrText>
      </w:r>
      <w:r>
        <w:fldChar w:fldCharType="separate"/>
      </w:r>
      <w:r>
        <w:rPr>
          <w:noProof/>
        </w:rPr>
        <w:t>470</w:t>
      </w:r>
      <w:r>
        <w:fldChar w:fldCharType="end"/>
      </w:r>
    </w:p>
    <w:p w:rsidR="005F78FC" w:rsidRDefault="00B42EF3">
      <w:pPr>
        <w:pStyle w:val="indexentry0"/>
      </w:pPr>
      <w:hyperlink w:anchor="section_3a25f022e56d4b758361c2d5beab1060">
        <w:r>
          <w:rPr>
            <w:rStyle w:val="Hyperlink"/>
          </w:rPr>
          <w:t>scatterChart (Scatter Charts)</w:t>
        </w:r>
      </w:hyperlink>
      <w:r>
        <w:t xml:space="preserve"> </w:t>
      </w:r>
      <w:r>
        <w:fldChar w:fldCharType="begin"/>
      </w:r>
      <w:r>
        <w:instrText>PAGEREF section_3a25f022e56d4b758361c2d5beab1060</w:instrText>
      </w:r>
      <w:r>
        <w:fldChar w:fldCharType="separate"/>
      </w:r>
      <w:r>
        <w:rPr>
          <w:noProof/>
        </w:rPr>
        <w:t>570</w:t>
      </w:r>
      <w:r>
        <w:fldChar w:fldCharType="end"/>
      </w:r>
    </w:p>
    <w:p w:rsidR="005F78FC" w:rsidRDefault="00B42EF3">
      <w:pPr>
        <w:pStyle w:val="indexentry0"/>
      </w:pPr>
      <w:hyperlink w:anchor="section_44a549a0150b49d0bb6be02bc5122381">
        <w:r>
          <w:rPr>
            <w:rStyle w:val="Hyperlink"/>
          </w:rPr>
          <w:t>scenario (Scenario)</w:t>
        </w:r>
      </w:hyperlink>
      <w:r>
        <w:t xml:space="preserve"> </w:t>
      </w:r>
      <w:r>
        <w:fldChar w:fldCharType="begin"/>
      </w:r>
      <w:r>
        <w:instrText>PAGEREF section_44a549a0150b49d0bb6be02bc5122381</w:instrText>
      </w:r>
      <w:r>
        <w:fldChar w:fldCharType="separate"/>
      </w:r>
      <w:r>
        <w:rPr>
          <w:noProof/>
        </w:rPr>
        <w:t>283</w:t>
      </w:r>
      <w:r>
        <w:fldChar w:fldCharType="end"/>
      </w:r>
    </w:p>
    <w:p w:rsidR="005F78FC" w:rsidRDefault="00B42EF3">
      <w:pPr>
        <w:pStyle w:val="indexentry0"/>
      </w:pPr>
      <w:hyperlink w:anchor="section_340d24aef870491180380cb886c4aa1c">
        <w:r>
          <w:rPr>
            <w:rStyle w:val="Hyperlink"/>
          </w:rPr>
          <w:t>scenario</w:t>
        </w:r>
        <w:r>
          <w:rPr>
            <w:rStyle w:val="Hyperlink"/>
          </w:rPr>
          <w:t>s (Scenarios)</w:t>
        </w:r>
      </w:hyperlink>
      <w:r>
        <w:t xml:space="preserve"> </w:t>
      </w:r>
      <w:r>
        <w:fldChar w:fldCharType="begin"/>
      </w:r>
      <w:r>
        <w:instrText>PAGEREF section_340d24aef870491180380cb886c4aa1c</w:instrText>
      </w:r>
      <w:r>
        <w:fldChar w:fldCharType="separate"/>
      </w:r>
      <w:r>
        <w:rPr>
          <w:noProof/>
        </w:rPr>
        <w:t>284</w:t>
      </w:r>
      <w:r>
        <w:fldChar w:fldCharType="end"/>
      </w:r>
    </w:p>
    <w:p w:rsidR="005F78FC" w:rsidRDefault="00B42EF3">
      <w:pPr>
        <w:pStyle w:val="indexentry0"/>
      </w:pPr>
      <w:hyperlink w:anchor="section_11175c3547a14d24a5f6b100ac0a1742">
        <w:r>
          <w:rPr>
            <w:rStyle w:val="Hyperlink"/>
          </w:rPr>
          <w:t>schema (Custom XML Schema Reference)</w:t>
        </w:r>
      </w:hyperlink>
      <w:r>
        <w:t xml:space="preserve"> </w:t>
      </w:r>
      <w:r>
        <w:fldChar w:fldCharType="begin"/>
      </w:r>
      <w:r>
        <w:instrText>PAGEREF section_11175c3547a14d24a5f6b100ac0a1742</w:instrText>
      </w:r>
      <w:r>
        <w:fldChar w:fldCharType="separate"/>
      </w:r>
      <w:r>
        <w:rPr>
          <w:noProof/>
        </w:rPr>
        <w:t>624</w:t>
      </w:r>
      <w:r>
        <w:fldChar w:fldCharType="end"/>
      </w:r>
    </w:p>
    <w:p w:rsidR="005F78FC" w:rsidRDefault="00B42EF3">
      <w:pPr>
        <w:pStyle w:val="indexentry0"/>
      </w:pPr>
      <w:hyperlink w:anchor="section_472cffc122ad47cdba49f24a14e565fe">
        <w:r>
          <w:rPr>
            <w:rStyle w:val="Hyperlink"/>
          </w:rPr>
          <w:t>Schema (XML Schema)</w:t>
        </w:r>
      </w:hyperlink>
      <w:r>
        <w:t xml:space="preserve"> </w:t>
      </w:r>
      <w:r>
        <w:fldChar w:fldCharType="begin"/>
      </w:r>
      <w:r>
        <w:instrText>PAGEREF section_472cffc122ad47cdba49f24a14e565fe</w:instrText>
      </w:r>
      <w:r>
        <w:fldChar w:fldCharType="separate"/>
      </w:r>
      <w:r>
        <w:rPr>
          <w:noProof/>
        </w:rPr>
        <w:t>387</w:t>
      </w:r>
      <w:r>
        <w:fldChar w:fldCharType="end"/>
      </w:r>
    </w:p>
    <w:p w:rsidR="005F78FC" w:rsidRDefault="00B42EF3">
      <w:pPr>
        <w:pStyle w:val="indexentry0"/>
      </w:pPr>
      <w:hyperlink w:anchor="section_8ddc42b073c6455bb83b9e612b5ab0a6">
        <w:r>
          <w:rPr>
            <w:rStyle w:val="Hyperlink"/>
          </w:rPr>
          <w:t>scr (Script)</w:t>
        </w:r>
      </w:hyperlink>
      <w:r>
        <w:t xml:space="preserve"> </w:t>
      </w:r>
      <w:r>
        <w:fldChar w:fldCharType="begin"/>
      </w:r>
      <w:r>
        <w:instrText>PAGEREF section_8ddc42b073c6455bb83b9e612b5ab</w:instrText>
      </w:r>
      <w:r>
        <w:instrText>0a6</w:instrText>
      </w:r>
      <w:r>
        <w:fldChar w:fldCharType="separate"/>
      </w:r>
      <w:r>
        <w:rPr>
          <w:noProof/>
        </w:rPr>
        <w:t>605</w:t>
      </w:r>
      <w:r>
        <w:fldChar w:fldCharType="end"/>
      </w:r>
    </w:p>
    <w:p w:rsidR="005F78FC" w:rsidRDefault="00B42EF3">
      <w:pPr>
        <w:pStyle w:val="indexentry0"/>
      </w:pPr>
      <w:hyperlink w:anchor="section_4232a2561a874a59af30a23a5f2d3e59">
        <w:r>
          <w:rPr>
            <w:rStyle w:val="Hyperlink"/>
          </w:rPr>
          <w:t>sdt (Cell-Level Structured Document Tag)</w:t>
        </w:r>
      </w:hyperlink>
      <w:r>
        <w:t xml:space="preserve"> </w:t>
      </w:r>
      <w:r>
        <w:fldChar w:fldCharType="begin"/>
      </w:r>
      <w:r>
        <w:instrText>PAGEREF section_4232a2561a874a59af30a23a5f2d3e59</w:instrText>
      </w:r>
      <w:r>
        <w:fldChar w:fldCharType="separate"/>
      </w:r>
      <w:r>
        <w:rPr>
          <w:noProof/>
        </w:rPr>
        <w:t>103</w:t>
      </w:r>
      <w:r>
        <w:fldChar w:fldCharType="end"/>
      </w:r>
    </w:p>
    <w:p w:rsidR="005F78FC" w:rsidRDefault="00B42EF3">
      <w:pPr>
        <w:pStyle w:val="indexentry0"/>
      </w:pPr>
      <w:hyperlink w:anchor="section_85def6dbd37f460ea39e7417858aec50">
        <w:r>
          <w:rPr>
            <w:rStyle w:val="Hyperlink"/>
          </w:rPr>
          <w:t>sdt (Inline-Level Structured Document Tag)</w:t>
        </w:r>
      </w:hyperlink>
      <w:r>
        <w:t xml:space="preserve"> </w:t>
      </w:r>
      <w:r>
        <w:fldChar w:fldCharType="begin"/>
      </w:r>
      <w:r>
        <w:instrText>PAGEREF section_85def6dbd37f460ea39e7417858aec50</w:instrText>
      </w:r>
      <w:r>
        <w:fldChar w:fldCharType="separate"/>
      </w:r>
      <w:r>
        <w:rPr>
          <w:noProof/>
        </w:rPr>
        <w:t>102</w:t>
      </w:r>
      <w:r>
        <w:fldChar w:fldCharType="end"/>
      </w:r>
    </w:p>
    <w:p w:rsidR="005F78FC" w:rsidRDefault="00B42EF3">
      <w:pPr>
        <w:pStyle w:val="indexentry0"/>
      </w:pPr>
      <w:hyperlink w:anchor="section_e395604b15d9406089b7acdc18864414">
        <w:r>
          <w:rPr>
            <w:rStyle w:val="Hyperlink"/>
          </w:rPr>
          <w:t>sdt (Row-Level Structured Document Tag)</w:t>
        </w:r>
      </w:hyperlink>
      <w:r>
        <w:t xml:space="preserve"> </w:t>
      </w:r>
      <w:r>
        <w:fldChar w:fldCharType="begin"/>
      </w:r>
      <w:r>
        <w:instrText>PAGEREF section_e395604b15d9406089b7acdc18864414</w:instrText>
      </w:r>
      <w:r>
        <w:fldChar w:fldCharType="separate"/>
      </w:r>
      <w:r>
        <w:rPr>
          <w:noProof/>
        </w:rPr>
        <w:t>101</w:t>
      </w:r>
      <w:r>
        <w:fldChar w:fldCharType="end"/>
      </w:r>
    </w:p>
    <w:p w:rsidR="005F78FC" w:rsidRDefault="00B42EF3">
      <w:pPr>
        <w:pStyle w:val="indexentry0"/>
      </w:pPr>
      <w:hyperlink w:anchor="section_808b32d8ad644c849fb585ad68be54b9">
        <w:r>
          <w:rPr>
            <w:rStyle w:val="Hyperlink"/>
          </w:rPr>
          <w:t>sdt (Ruby Inline-Level Structured Document Tag)</w:t>
        </w:r>
      </w:hyperlink>
      <w:r>
        <w:t xml:space="preserve"> </w:t>
      </w:r>
      <w:r>
        <w:fldChar w:fldCharType="begin"/>
      </w:r>
      <w:r>
        <w:instrText>PAGEREF section_808b32d8ad644c849fb585ad68be54b9</w:instrText>
      </w:r>
      <w:r>
        <w:fldChar w:fldCharType="separate"/>
      </w:r>
      <w:r>
        <w:rPr>
          <w:noProof/>
        </w:rPr>
        <w:t>810</w:t>
      </w:r>
      <w:r>
        <w:fldChar w:fldCharType="end"/>
      </w:r>
    </w:p>
    <w:p w:rsidR="005F78FC" w:rsidRDefault="00B42EF3">
      <w:pPr>
        <w:pStyle w:val="indexentry0"/>
      </w:pPr>
      <w:hyperlink w:anchor="section_6be4f41f2dba418e9586a427af43e12e">
        <w:r>
          <w:rPr>
            <w:rStyle w:val="Hyperlink"/>
          </w:rPr>
          <w:t>sdtContent (Block-Level Structured D</w:t>
        </w:r>
        <w:r>
          <w:rPr>
            <w:rStyle w:val="Hyperlink"/>
          </w:rPr>
          <w:t>ocument Tag Content)</w:t>
        </w:r>
      </w:hyperlink>
      <w:r>
        <w:t xml:space="preserve"> </w:t>
      </w:r>
      <w:r>
        <w:fldChar w:fldCharType="begin"/>
      </w:r>
      <w:r>
        <w:instrText>PAGEREF section_6be4f41f2dba418e9586a427af43e12e</w:instrText>
      </w:r>
      <w:r>
        <w:fldChar w:fldCharType="separate"/>
      </w:r>
      <w:r>
        <w:rPr>
          <w:noProof/>
        </w:rPr>
        <w:t>104</w:t>
      </w:r>
      <w:r>
        <w:fldChar w:fldCharType="end"/>
      </w:r>
    </w:p>
    <w:p w:rsidR="005F78FC" w:rsidRDefault="00B42EF3">
      <w:pPr>
        <w:pStyle w:val="indexentry0"/>
      </w:pPr>
      <w:hyperlink w:anchor="section_7f335d09bee1415e9a2bb867cdfd17bc">
        <w:r>
          <w:rPr>
            <w:rStyle w:val="Hyperlink"/>
          </w:rPr>
          <w:t>sdtContent (Cell-Level Structured Document Tag Content)</w:t>
        </w:r>
      </w:hyperlink>
      <w:r>
        <w:t xml:space="preserve"> </w:t>
      </w:r>
      <w:r>
        <w:fldChar w:fldCharType="begin"/>
      </w:r>
      <w:r>
        <w:instrText>PAGEREF section_7f335d09bee1415e9a2bb867cdfd17bc</w:instrText>
      </w:r>
      <w:r>
        <w:fldChar w:fldCharType="separate"/>
      </w:r>
      <w:r>
        <w:rPr>
          <w:noProof/>
        </w:rPr>
        <w:t>103</w:t>
      </w:r>
      <w:r>
        <w:fldChar w:fldCharType="end"/>
      </w:r>
    </w:p>
    <w:p w:rsidR="005F78FC" w:rsidRDefault="00B42EF3">
      <w:pPr>
        <w:pStyle w:val="indexentry0"/>
      </w:pPr>
      <w:hyperlink w:anchor="section_bc8e1043bdc24731aea36e6b045a6471">
        <w:r>
          <w:rPr>
            <w:rStyle w:val="Hyperlink"/>
          </w:rPr>
          <w:t>sdtContent (Inline-Level Structured Document Tag Content)</w:t>
        </w:r>
      </w:hyperlink>
      <w:r>
        <w:t xml:space="preserve"> </w:t>
      </w:r>
      <w:r>
        <w:fldChar w:fldCharType="begin"/>
      </w:r>
      <w:r>
        <w:instrText>PAGEREF section_bc8e1043bdc24731aea36e6b045a6471</w:instrText>
      </w:r>
      <w:r>
        <w:fldChar w:fldCharType="separate"/>
      </w:r>
      <w:r>
        <w:rPr>
          <w:noProof/>
        </w:rPr>
        <w:t>104</w:t>
      </w:r>
      <w:r>
        <w:fldChar w:fldCharType="end"/>
      </w:r>
    </w:p>
    <w:p w:rsidR="005F78FC" w:rsidRDefault="00B42EF3">
      <w:pPr>
        <w:pStyle w:val="indexentry0"/>
      </w:pPr>
      <w:hyperlink w:anchor="section_e620584d36d841cda011ded3f5c84e3a">
        <w:r>
          <w:rPr>
            <w:rStyle w:val="Hyperlink"/>
          </w:rPr>
          <w:t>sdtContent (Row-Level Structured</w:t>
        </w:r>
        <w:r>
          <w:rPr>
            <w:rStyle w:val="Hyperlink"/>
          </w:rPr>
          <w:t xml:space="preserve"> Document Tag Content)</w:t>
        </w:r>
      </w:hyperlink>
      <w:r>
        <w:t xml:space="preserve"> </w:t>
      </w:r>
      <w:r>
        <w:fldChar w:fldCharType="begin"/>
      </w:r>
      <w:r>
        <w:instrText>PAGEREF section_e620584d36d841cda011ded3f5c84e3a</w:instrText>
      </w:r>
      <w:r>
        <w:fldChar w:fldCharType="separate"/>
      </w:r>
      <w:r>
        <w:rPr>
          <w:noProof/>
        </w:rPr>
        <w:t>104</w:t>
      </w:r>
      <w:r>
        <w:fldChar w:fldCharType="end"/>
      </w:r>
    </w:p>
    <w:p w:rsidR="005F78FC" w:rsidRDefault="00B42EF3">
      <w:pPr>
        <w:pStyle w:val="indexentry0"/>
      </w:pPr>
      <w:hyperlink w:anchor="section_a3757e691f9b4322b17edee4d308d29e">
        <w:r>
          <w:rPr>
            <w:rStyle w:val="Hyperlink"/>
          </w:rPr>
          <w:t>sdtContent (Ruby Inline-Level Structured Document Tag Content)</w:t>
        </w:r>
      </w:hyperlink>
      <w:r>
        <w:t xml:space="preserve"> </w:t>
      </w:r>
      <w:r>
        <w:fldChar w:fldCharType="begin"/>
      </w:r>
      <w:r>
        <w:instrText>PAGEREF section_a3757e691f9b4322b17edee4d308d29e</w:instrText>
      </w:r>
      <w:r>
        <w:fldChar w:fldCharType="separate"/>
      </w:r>
      <w:r>
        <w:rPr>
          <w:noProof/>
        </w:rPr>
        <w:t>812</w:t>
      </w:r>
      <w:r>
        <w:fldChar w:fldCharType="end"/>
      </w:r>
    </w:p>
    <w:p w:rsidR="005F78FC" w:rsidRDefault="00B42EF3">
      <w:pPr>
        <w:pStyle w:val="indexentry0"/>
      </w:pPr>
      <w:hyperlink w:anchor="section_18d08c10e8554b85bcdd66dc1cd44673">
        <w:r>
          <w:rPr>
            <w:rStyle w:val="Hyperlink"/>
          </w:rPr>
          <w:t>SEARCH</w:t>
        </w:r>
      </w:hyperlink>
      <w:r>
        <w:t xml:space="preserve"> </w:t>
      </w:r>
      <w:r>
        <w:fldChar w:fldCharType="begin"/>
      </w:r>
      <w:r>
        <w:instrText>PAGEREF section_18d08c10e8554b85bcdd66dc1cd44673</w:instrText>
      </w:r>
      <w:r>
        <w:fldChar w:fldCharType="separate"/>
      </w:r>
      <w:r>
        <w:rPr>
          <w:noProof/>
        </w:rPr>
        <w:t>449</w:t>
      </w:r>
      <w:r>
        <w:fldChar w:fldCharType="end"/>
      </w:r>
    </w:p>
    <w:p w:rsidR="005F78FC" w:rsidRDefault="00B42EF3">
      <w:pPr>
        <w:pStyle w:val="indexentry0"/>
      </w:pPr>
      <w:hyperlink w:anchor="section_62b11e5620d741298c09837a45147585">
        <w:r>
          <w:rPr>
            <w:rStyle w:val="Hyperlink"/>
          </w:rPr>
          <w:t>SEARCHB</w:t>
        </w:r>
      </w:hyperlink>
      <w:r>
        <w:t xml:space="preserve"> </w:t>
      </w:r>
      <w:r>
        <w:fldChar w:fldCharType="begin"/>
      </w:r>
      <w:r>
        <w:instrText>PAGEREF section_62b11e5620d741298c09837a45147585</w:instrText>
      </w:r>
      <w:r>
        <w:fldChar w:fldCharType="separate"/>
      </w:r>
      <w:r>
        <w:rPr>
          <w:noProof/>
        </w:rPr>
        <w:t>449</w:t>
      </w:r>
      <w:r>
        <w:fldChar w:fldCharType="end"/>
      </w:r>
    </w:p>
    <w:p w:rsidR="005F78FC" w:rsidRDefault="00B42EF3">
      <w:pPr>
        <w:pStyle w:val="indexentry0"/>
      </w:pPr>
      <w:hyperlink w:anchor="section_ada73b7e3161426f89b3ecbcc68eace0">
        <w:r>
          <w:rPr>
            <w:rStyle w:val="Hyperlink"/>
          </w:rPr>
          <w:t>secondPiePt (Second Pie Point)</w:t>
        </w:r>
      </w:hyperlink>
      <w:r>
        <w:t xml:space="preserve"> </w:t>
      </w:r>
      <w:r>
        <w:fldChar w:fldCharType="begin"/>
      </w:r>
      <w:r>
        <w:instrText>PAGEREF section_ada73b7e3161426f89b3ecbcc68eace0</w:instrText>
      </w:r>
      <w:r>
        <w:fldChar w:fldCharType="separate"/>
      </w:r>
      <w:r>
        <w:rPr>
          <w:noProof/>
        </w:rPr>
        <w:t>570</w:t>
      </w:r>
      <w:r>
        <w:fldChar w:fldCharType="end"/>
      </w:r>
    </w:p>
    <w:p w:rsidR="005F78FC" w:rsidRDefault="00B42EF3">
      <w:pPr>
        <w:pStyle w:val="indexentry0"/>
      </w:pPr>
      <w:hyperlink w:anchor="section_c4afd4cb3be247439ef6e730081add8e">
        <w:r>
          <w:rPr>
            <w:rStyle w:val="Hyperlink"/>
          </w:rPr>
          <w:t>SECTION</w:t>
        </w:r>
      </w:hyperlink>
      <w:r>
        <w:t xml:space="preserve"> </w:t>
      </w:r>
      <w:r>
        <w:fldChar w:fldCharType="begin"/>
      </w:r>
      <w:r>
        <w:instrText>PAGEREF section_c4afd4cb3be247439ef6e730081add8e</w:instrText>
      </w:r>
      <w:r>
        <w:fldChar w:fldCharType="separate"/>
      </w:r>
      <w:r>
        <w:rPr>
          <w:noProof/>
        </w:rPr>
        <w:t>224</w:t>
      </w:r>
      <w:r>
        <w:fldChar w:fldCharType="end"/>
      </w:r>
    </w:p>
    <w:p w:rsidR="005F78FC" w:rsidRDefault="00B42EF3">
      <w:pPr>
        <w:pStyle w:val="indexentry0"/>
      </w:pPr>
      <w:hyperlink w:anchor="section_a5a21cd9a4b7494cac6b5006b7772c3f">
        <w:r>
          <w:rPr>
            <w:rStyle w:val="Hyperlink"/>
          </w:rPr>
          <w:t>SECTIONPAGES</w:t>
        </w:r>
      </w:hyperlink>
      <w:r>
        <w:t xml:space="preserve"> </w:t>
      </w:r>
      <w:r>
        <w:fldChar w:fldCharType="begin"/>
      </w:r>
      <w:r>
        <w:instrText>PAGEREF section_a5a21cd9a4b7494cac6b5006b7772c3f</w:instrText>
      </w:r>
      <w:r>
        <w:fldChar w:fldCharType="separate"/>
      </w:r>
      <w:r>
        <w:rPr>
          <w:noProof/>
        </w:rPr>
        <w:t>225</w:t>
      </w:r>
      <w:r>
        <w:fldChar w:fldCharType="end"/>
      </w:r>
    </w:p>
    <w:p w:rsidR="005F78FC" w:rsidRDefault="00B42EF3">
      <w:pPr>
        <w:pStyle w:val="indexentry0"/>
      </w:pPr>
      <w:hyperlink w:anchor="section_ce8217a61aad45fb8e56b8c3fe411fe1">
        <w:r>
          <w:rPr>
            <w:rStyle w:val="Hyperlink"/>
          </w:rPr>
          <w:t>sectPr (Document Final Section Properties)</w:t>
        </w:r>
      </w:hyperlink>
      <w:r>
        <w:t xml:space="preserve"> </w:t>
      </w:r>
      <w:r>
        <w:fldChar w:fldCharType="begin"/>
      </w:r>
      <w:r>
        <w:instrText>PAGEREF section_ce82</w:instrText>
      </w:r>
      <w:r>
        <w:instrText>17a61aad45fb8e56b8c3fe411fe1</w:instrText>
      </w:r>
      <w:r>
        <w:fldChar w:fldCharType="separate"/>
      </w:r>
      <w:r>
        <w:rPr>
          <w:noProof/>
        </w:rPr>
        <w:t>107</w:t>
      </w:r>
      <w:r>
        <w:fldChar w:fldCharType="end"/>
      </w:r>
    </w:p>
    <w:p w:rsidR="005F78FC" w:rsidRDefault="00B42EF3">
      <w:pPr>
        <w:pStyle w:val="indexentry0"/>
      </w:pPr>
      <w:hyperlink w:anchor="section_24ff9b7e6fea433ba934bd70c6c24d1e">
        <w:r>
          <w:rPr>
            <w:rStyle w:val="Hyperlink"/>
          </w:rPr>
          <w:t>sectPr (Previous Section Properties)</w:t>
        </w:r>
      </w:hyperlink>
      <w:r>
        <w:t xml:space="preserve"> </w:t>
      </w:r>
      <w:r>
        <w:fldChar w:fldCharType="begin"/>
      </w:r>
      <w:r>
        <w:instrText>PAGEREF section_24ff9b7e6fea433ba934bd70c6c24d1e</w:instrText>
      </w:r>
      <w:r>
        <w:fldChar w:fldCharType="separate"/>
      </w:r>
      <w:r>
        <w:rPr>
          <w:noProof/>
        </w:rPr>
        <w:t>107</w:t>
      </w:r>
      <w:r>
        <w:fldChar w:fldCharType="end"/>
      </w:r>
    </w:p>
    <w:p w:rsidR="005F78FC" w:rsidRDefault="00B42EF3">
      <w:pPr>
        <w:pStyle w:val="indexentry0"/>
      </w:pPr>
      <w:hyperlink w:anchor="section_b6dd3f0a901b4698a7d1a1be4c1eb3f5">
        <w:r>
          <w:rPr>
            <w:rStyle w:val="Hyperlink"/>
          </w:rPr>
          <w:t>sectPr (Sec</w:t>
        </w:r>
        <w:r>
          <w:rPr>
            <w:rStyle w:val="Hyperlink"/>
          </w:rPr>
          <w:t>tion Properties)</w:t>
        </w:r>
      </w:hyperlink>
      <w:r>
        <w:t xml:space="preserve"> </w:t>
      </w:r>
      <w:r>
        <w:fldChar w:fldCharType="begin"/>
      </w:r>
      <w:r>
        <w:instrText>PAGEREF section_b6dd3f0a901b4698a7d1a1be4c1eb3f5</w:instrText>
      </w:r>
      <w:r>
        <w:fldChar w:fldCharType="separate"/>
      </w:r>
      <w:r>
        <w:rPr>
          <w:noProof/>
        </w:rPr>
        <w:t>107</w:t>
      </w:r>
      <w:r>
        <w:fldChar w:fldCharType="end"/>
      </w:r>
    </w:p>
    <w:p w:rsidR="005F78FC" w:rsidRDefault="00B42EF3">
      <w:pPr>
        <w:pStyle w:val="indexentry0"/>
      </w:pPr>
      <w:hyperlink w:anchor="section_ab7b2013909a41d795d945a910802bd7">
        <w:r>
          <w:rPr>
            <w:rStyle w:val="Hyperlink"/>
          </w:rPr>
          <w:t>sectPrChange (Revision Information for Section Properties)</w:t>
        </w:r>
      </w:hyperlink>
      <w:r>
        <w:t xml:space="preserve"> </w:t>
      </w:r>
      <w:r>
        <w:fldChar w:fldCharType="begin"/>
      </w:r>
      <w:r>
        <w:instrText>PAGEREF section_ab7b2013909a41d795d945a910802bd7</w:instrText>
      </w:r>
      <w:r>
        <w:fldChar w:fldCharType="separate"/>
      </w:r>
      <w:r>
        <w:rPr>
          <w:noProof/>
        </w:rPr>
        <w:t>142</w:t>
      </w:r>
      <w:r>
        <w:fldChar w:fldCharType="end"/>
      </w:r>
    </w:p>
    <w:p w:rsidR="005F78FC" w:rsidRDefault="00B42EF3">
      <w:pPr>
        <w:pStyle w:val="indexentry0"/>
      </w:pPr>
      <w:hyperlink w:anchor="section_91bb957fbae645d7a45f8dcbf898ad70">
        <w:r>
          <w:rPr>
            <w:rStyle w:val="Hyperlink"/>
          </w:rPr>
          <w:t>securityDescriptor (Security Descriptor)</w:t>
        </w:r>
      </w:hyperlink>
      <w:r>
        <w:t xml:space="preserve"> </w:t>
      </w:r>
      <w:r>
        <w:fldChar w:fldCharType="begin"/>
      </w:r>
      <w:r>
        <w:instrText>PAGEREF section_91bb957fbae645d7a45f8dcbf898ad70</w:instrText>
      </w:r>
      <w:r>
        <w:fldChar w:fldCharType="separate"/>
      </w:r>
      <w:r>
        <w:rPr>
          <w:noProof/>
        </w:rPr>
        <w:t>284</w:t>
      </w:r>
      <w:r>
        <w:fldChar w:fldCharType="end"/>
      </w:r>
    </w:p>
    <w:p w:rsidR="005F78FC" w:rsidRDefault="00B42EF3">
      <w:pPr>
        <w:pStyle w:val="indexentry0"/>
      </w:pPr>
      <w:hyperlink w:anchor="section_d958b467c9464f32aecf9f7b27a28fc5">
        <w:r>
          <w:rPr>
            <w:rStyle w:val="Hyperlink"/>
          </w:rPr>
          <w:t>selection (Selection)</w:t>
        </w:r>
      </w:hyperlink>
      <w:r>
        <w:t xml:space="preserve"> </w:t>
      </w:r>
      <w:r>
        <w:fldChar w:fldCharType="begin"/>
      </w:r>
      <w:r>
        <w:instrText>PAGEREF section</w:instrText>
      </w:r>
      <w:r>
        <w:instrText>_d958b467c9464f32aecf9f7b27a28fc5</w:instrText>
      </w:r>
      <w:r>
        <w:fldChar w:fldCharType="separate"/>
      </w:r>
      <w:r>
        <w:rPr>
          <w:noProof/>
        </w:rPr>
        <w:t>284</w:t>
      </w:r>
      <w:r>
        <w:fldChar w:fldCharType="end"/>
      </w:r>
    </w:p>
    <w:p w:rsidR="005F78FC" w:rsidRDefault="00B42EF3">
      <w:pPr>
        <w:pStyle w:val="indexentry0"/>
      </w:pPr>
      <w:hyperlink w:anchor="section_c0599e21b77f475e99e0bd647f60bcbb">
        <w:r>
          <w:rPr>
            <w:rStyle w:val="Hyperlink"/>
          </w:rPr>
          <w:t>Sensitivity Label Information Part</w:t>
        </w:r>
      </w:hyperlink>
      <w:r>
        <w:t xml:space="preserve"> </w:t>
      </w:r>
      <w:r>
        <w:fldChar w:fldCharType="begin"/>
      </w:r>
      <w:r>
        <w:instrText>PAGEREF section_c0599e21b77f475e99e0bd647f60bcbb</w:instrText>
      </w:r>
      <w:r>
        <w:fldChar w:fldCharType="separate"/>
      </w:r>
      <w:r>
        <w:rPr>
          <w:noProof/>
        </w:rPr>
        <w:t>855</w:t>
      </w:r>
      <w:r>
        <w:fldChar w:fldCharType="end"/>
      </w:r>
    </w:p>
    <w:p w:rsidR="005F78FC" w:rsidRDefault="00B42EF3">
      <w:pPr>
        <w:pStyle w:val="indexentry0"/>
      </w:pPr>
      <w:hyperlink w:anchor="section_172cb24b16a94bc48a94aa447afb2486">
        <w:r>
          <w:rPr>
            <w:rStyle w:val="Hyperlink"/>
          </w:rPr>
          <w:t>separato</w:t>
        </w:r>
        <w:r>
          <w:rPr>
            <w:rStyle w:val="Hyperlink"/>
          </w:rPr>
          <w:t>r (Separator)</w:t>
        </w:r>
      </w:hyperlink>
      <w:r>
        <w:t xml:space="preserve"> </w:t>
      </w:r>
      <w:r>
        <w:fldChar w:fldCharType="begin"/>
      </w:r>
      <w:r>
        <w:instrText>PAGEREF section_172cb24b16a94bc48a94aa447afb2486</w:instrText>
      </w:r>
      <w:r>
        <w:fldChar w:fldCharType="separate"/>
      </w:r>
      <w:r>
        <w:rPr>
          <w:noProof/>
        </w:rPr>
        <w:t>570</w:t>
      </w:r>
      <w:r>
        <w:fldChar w:fldCharType="end"/>
      </w:r>
    </w:p>
    <w:p w:rsidR="005F78FC" w:rsidRDefault="00B42EF3">
      <w:pPr>
        <w:pStyle w:val="indexentry0"/>
      </w:pPr>
      <w:hyperlink w:anchor="section_a591c06028004699b1f4dbb0c4374557">
        <w:r>
          <w:rPr>
            <w:rStyle w:val="Hyperlink"/>
          </w:rPr>
          <w:t>SEQ</w:t>
        </w:r>
      </w:hyperlink>
      <w:r>
        <w:t xml:space="preserve"> </w:t>
      </w:r>
      <w:r>
        <w:fldChar w:fldCharType="begin"/>
      </w:r>
      <w:r>
        <w:instrText>PAGEREF section_a591c06028004699b1f4dbb0c4374557</w:instrText>
      </w:r>
      <w:r>
        <w:fldChar w:fldCharType="separate"/>
      </w:r>
      <w:r>
        <w:rPr>
          <w:noProof/>
        </w:rPr>
        <w:t>225</w:t>
      </w:r>
      <w:r>
        <w:fldChar w:fldCharType="end"/>
      </w:r>
    </w:p>
    <w:p w:rsidR="005F78FC" w:rsidRDefault="00B42EF3">
      <w:pPr>
        <w:pStyle w:val="indexentry0"/>
      </w:pPr>
      <w:hyperlink w:anchor="section_3247e7a595254e6b9ec29b598a8b2f4a">
        <w:r>
          <w:rPr>
            <w:rStyle w:val="Hyperlink"/>
          </w:rPr>
          <w:t>seq (Seq</w:t>
        </w:r>
        <w:r>
          <w:rPr>
            <w:rStyle w:val="Hyperlink"/>
          </w:rPr>
          <w:t>uence Time Node)</w:t>
        </w:r>
      </w:hyperlink>
      <w:r>
        <w:t xml:space="preserve"> </w:t>
      </w:r>
      <w:r>
        <w:fldChar w:fldCharType="begin"/>
      </w:r>
      <w:r>
        <w:instrText>PAGEREF section_3247e7a595254e6b9ec29b598a8b2f4a</w:instrText>
      </w:r>
      <w:r>
        <w:fldChar w:fldCharType="separate"/>
      </w:r>
      <w:r>
        <w:rPr>
          <w:noProof/>
        </w:rPr>
        <w:t>488</w:t>
      </w:r>
      <w:r>
        <w:fldChar w:fldCharType="end"/>
      </w:r>
    </w:p>
    <w:p w:rsidR="005F78FC" w:rsidRDefault="00B42EF3">
      <w:pPr>
        <w:pStyle w:val="indexentry0"/>
      </w:pPr>
      <w:hyperlink w:anchor="section_3eecdd275cd04745bf738025f834a3bd">
        <w:r>
          <w:rPr>
            <w:rStyle w:val="Hyperlink"/>
          </w:rPr>
          <w:t>ser (Area Chart Series)</w:t>
        </w:r>
      </w:hyperlink>
      <w:r>
        <w:t xml:space="preserve"> </w:t>
      </w:r>
      <w:r>
        <w:fldChar w:fldCharType="begin"/>
      </w:r>
      <w:r>
        <w:instrText>PAGEREF section_3eecdd275cd04745bf738025f834a3bd</w:instrText>
      </w:r>
      <w:r>
        <w:fldChar w:fldCharType="separate"/>
      </w:r>
      <w:r>
        <w:rPr>
          <w:noProof/>
        </w:rPr>
        <w:t>570</w:t>
      </w:r>
      <w:r>
        <w:fldChar w:fldCharType="end"/>
      </w:r>
    </w:p>
    <w:p w:rsidR="005F78FC" w:rsidRDefault="00B42EF3">
      <w:pPr>
        <w:pStyle w:val="indexentry0"/>
      </w:pPr>
      <w:hyperlink w:anchor="section_22c33bf427ac4854bedac6bd361820d7">
        <w:r>
          <w:rPr>
            <w:rStyle w:val="Hyperlink"/>
          </w:rPr>
          <w:t>ser (Bar Chart Series)</w:t>
        </w:r>
      </w:hyperlink>
      <w:r>
        <w:t xml:space="preserve"> </w:t>
      </w:r>
      <w:r>
        <w:fldChar w:fldCharType="begin"/>
      </w:r>
      <w:r>
        <w:instrText>PAGEREF section_22c33bf427ac4854bedac6bd361820d7</w:instrText>
      </w:r>
      <w:r>
        <w:fldChar w:fldCharType="separate"/>
      </w:r>
      <w:r>
        <w:rPr>
          <w:noProof/>
        </w:rPr>
        <w:t>571</w:t>
      </w:r>
      <w:r>
        <w:fldChar w:fldCharType="end"/>
      </w:r>
    </w:p>
    <w:p w:rsidR="005F78FC" w:rsidRDefault="00B42EF3">
      <w:pPr>
        <w:pStyle w:val="indexentry0"/>
      </w:pPr>
      <w:hyperlink w:anchor="section_f1c2a0708b434ac8a91fc7fcfada5506">
        <w:r>
          <w:rPr>
            <w:rStyle w:val="Hyperlink"/>
          </w:rPr>
          <w:t>ser (Bubble Chart Series)</w:t>
        </w:r>
      </w:hyperlink>
      <w:r>
        <w:t xml:space="preserve"> </w:t>
      </w:r>
      <w:r>
        <w:fldChar w:fldCharType="begin"/>
      </w:r>
      <w:r>
        <w:instrText>PAGEREF section_f1c2a0708b434ac8a91fc7fcfada5506</w:instrText>
      </w:r>
      <w:r>
        <w:fldChar w:fldCharType="separate"/>
      </w:r>
      <w:r>
        <w:rPr>
          <w:noProof/>
        </w:rPr>
        <w:t>571</w:t>
      </w:r>
      <w:r>
        <w:fldChar w:fldCharType="end"/>
      </w:r>
    </w:p>
    <w:p w:rsidR="005F78FC" w:rsidRDefault="00B42EF3">
      <w:pPr>
        <w:pStyle w:val="indexentry0"/>
      </w:pPr>
      <w:hyperlink w:anchor="section_578d597b6a684e39a980bc2897aa728e">
        <w:r>
          <w:rPr>
            <w:rStyle w:val="Hyperlink"/>
          </w:rPr>
          <w:t>ser (Line Chart Series)</w:t>
        </w:r>
      </w:hyperlink>
      <w:r>
        <w:t xml:space="preserve"> </w:t>
      </w:r>
      <w:r>
        <w:fldChar w:fldCharType="begin"/>
      </w:r>
      <w:r>
        <w:instrText>PAGEREF section_578d597b6a684e39a980bc2897aa728e</w:instrText>
      </w:r>
      <w:r>
        <w:fldChar w:fldCharType="separate"/>
      </w:r>
      <w:r>
        <w:rPr>
          <w:noProof/>
        </w:rPr>
        <w:t>571</w:t>
      </w:r>
      <w:r>
        <w:fldChar w:fldCharType="end"/>
      </w:r>
    </w:p>
    <w:p w:rsidR="005F78FC" w:rsidRDefault="00B42EF3">
      <w:pPr>
        <w:pStyle w:val="indexentry0"/>
      </w:pPr>
      <w:hyperlink w:anchor="section_b585b8c605e644d9998ff52943ad40ef">
        <w:r>
          <w:rPr>
            <w:rStyle w:val="Hyperlink"/>
          </w:rPr>
          <w:t>ser (Pie Chart Series)</w:t>
        </w:r>
      </w:hyperlink>
      <w:r>
        <w:t xml:space="preserve"> </w:t>
      </w:r>
      <w:r>
        <w:fldChar w:fldCharType="begin"/>
      </w:r>
      <w:r>
        <w:instrText>PAGEREF section_b585b8c605e644d9998ff52943ad40ef</w:instrText>
      </w:r>
      <w:r>
        <w:fldChar w:fldCharType="separate"/>
      </w:r>
      <w:r>
        <w:rPr>
          <w:noProof/>
        </w:rPr>
        <w:t>571</w:t>
      </w:r>
      <w:r>
        <w:fldChar w:fldCharType="end"/>
      </w:r>
    </w:p>
    <w:p w:rsidR="005F78FC" w:rsidRDefault="00B42EF3">
      <w:pPr>
        <w:pStyle w:val="indexentry0"/>
      </w:pPr>
      <w:hyperlink w:anchor="section_5dd6d57728244f22939485f6c5e4ab13">
        <w:r>
          <w:rPr>
            <w:rStyle w:val="Hyperlink"/>
          </w:rPr>
          <w:t>ser (Radar Chart Series)</w:t>
        </w:r>
      </w:hyperlink>
      <w:r>
        <w:t xml:space="preserve"> </w:t>
      </w:r>
      <w:r>
        <w:fldChar w:fldCharType="begin"/>
      </w:r>
      <w:r>
        <w:instrText>PAGEREF section_5dd6d57728244f22939485f6c5e4ab13</w:instrText>
      </w:r>
      <w:r>
        <w:fldChar w:fldCharType="separate"/>
      </w:r>
      <w:r>
        <w:rPr>
          <w:noProof/>
        </w:rPr>
        <w:t>571</w:t>
      </w:r>
      <w:r>
        <w:fldChar w:fldCharType="end"/>
      </w:r>
    </w:p>
    <w:p w:rsidR="005F78FC" w:rsidRDefault="00B42EF3">
      <w:pPr>
        <w:pStyle w:val="indexentry0"/>
      </w:pPr>
      <w:hyperlink w:anchor="section_8d3e50cd20d74a88b682fa2e521d61b3">
        <w:r>
          <w:rPr>
            <w:rStyle w:val="Hyperlink"/>
          </w:rPr>
          <w:t>ser (Scatter Chart Series)</w:t>
        </w:r>
      </w:hyperlink>
      <w:r>
        <w:t xml:space="preserve"> </w:t>
      </w:r>
      <w:r>
        <w:fldChar w:fldCharType="begin"/>
      </w:r>
      <w:r>
        <w:instrText>PAGEREF section_8d3e50cd20</w:instrText>
      </w:r>
      <w:r>
        <w:instrText>d74a88b682fa2e521d61b3</w:instrText>
      </w:r>
      <w:r>
        <w:fldChar w:fldCharType="separate"/>
      </w:r>
      <w:r>
        <w:rPr>
          <w:noProof/>
        </w:rPr>
        <w:t>570</w:t>
      </w:r>
      <w:r>
        <w:fldChar w:fldCharType="end"/>
      </w:r>
    </w:p>
    <w:p w:rsidR="005F78FC" w:rsidRDefault="00B42EF3">
      <w:pPr>
        <w:pStyle w:val="indexentry0"/>
      </w:pPr>
      <w:hyperlink w:anchor="section_148a97b98f4e4289bbf9e01ca98276fd">
        <w:r>
          <w:rPr>
            <w:rStyle w:val="Hyperlink"/>
          </w:rPr>
          <w:t>serAx (Series Axis)</w:t>
        </w:r>
      </w:hyperlink>
      <w:r>
        <w:t xml:space="preserve"> </w:t>
      </w:r>
      <w:r>
        <w:fldChar w:fldCharType="begin"/>
      </w:r>
      <w:r>
        <w:instrText>PAGEREF section_148a97b98f4e4289bbf9e01ca98276fd</w:instrText>
      </w:r>
      <w:r>
        <w:fldChar w:fldCharType="separate"/>
      </w:r>
      <w:r>
        <w:rPr>
          <w:noProof/>
        </w:rPr>
        <w:t>571</w:t>
      </w:r>
      <w:r>
        <w:fldChar w:fldCharType="end"/>
      </w:r>
    </w:p>
    <w:p w:rsidR="005F78FC" w:rsidRDefault="00B42EF3">
      <w:pPr>
        <w:pStyle w:val="indexentry0"/>
      </w:pPr>
      <w:hyperlink w:anchor="section_990788fe5bd443d6813b1bf3c7644848">
        <w:r>
          <w:rPr>
            <w:rStyle w:val="Hyperlink"/>
          </w:rPr>
          <w:t>SERIESSUM</w:t>
        </w:r>
      </w:hyperlink>
      <w:r>
        <w:t xml:space="preserve"> </w:t>
      </w:r>
      <w:r>
        <w:fldChar w:fldCharType="begin"/>
      </w:r>
      <w:r>
        <w:instrText>PAGEREF section_990788</w:instrText>
      </w:r>
      <w:r>
        <w:instrText>fe5bd443d6813b1bf3c7644848</w:instrText>
      </w:r>
      <w:r>
        <w:fldChar w:fldCharType="separate"/>
      </w:r>
      <w:r>
        <w:rPr>
          <w:noProof/>
        </w:rPr>
        <w:t>449</w:t>
      </w:r>
      <w:r>
        <w:fldChar w:fldCharType="end"/>
      </w:r>
    </w:p>
    <w:p w:rsidR="005F78FC" w:rsidRDefault="00B42EF3">
      <w:pPr>
        <w:pStyle w:val="indexentry0"/>
      </w:pPr>
      <w:hyperlink w:anchor="section_446ec2e628874179aa9c4c4e8ff79873">
        <w:r>
          <w:rPr>
            <w:rStyle w:val="Hyperlink"/>
          </w:rPr>
          <w:t>serLines (Series Lines)</w:t>
        </w:r>
      </w:hyperlink>
      <w:r>
        <w:t xml:space="preserve"> </w:t>
      </w:r>
      <w:r>
        <w:fldChar w:fldCharType="begin"/>
      </w:r>
      <w:r>
        <w:instrText>PAGEREF section_446ec2e628874179aa9c4c4e8ff79873</w:instrText>
      </w:r>
      <w:r>
        <w:fldChar w:fldCharType="separate"/>
      </w:r>
      <w:r>
        <w:rPr>
          <w:noProof/>
        </w:rPr>
        <w:t>572</w:t>
      </w:r>
      <w:r>
        <w:fldChar w:fldCharType="end"/>
      </w:r>
    </w:p>
    <w:p w:rsidR="005F78FC" w:rsidRDefault="00B42EF3">
      <w:pPr>
        <w:pStyle w:val="indexentry0"/>
      </w:pPr>
      <w:hyperlink w:anchor="section_19b9ace7dba048ac9112554150c1563a">
        <w:r>
          <w:rPr>
            <w:rStyle w:val="Hyperlink"/>
          </w:rPr>
          <w:t>serverFormat (Server Forma</w:t>
        </w:r>
        <w:r>
          <w:rPr>
            <w:rStyle w:val="Hyperlink"/>
          </w:rPr>
          <w:t>t)</w:t>
        </w:r>
      </w:hyperlink>
      <w:r>
        <w:t xml:space="preserve"> </w:t>
      </w:r>
      <w:r>
        <w:fldChar w:fldCharType="begin"/>
      </w:r>
      <w:r>
        <w:instrText>PAGEREF section_19b9ace7dba048ac9112554150c1563a</w:instrText>
      </w:r>
      <w:r>
        <w:fldChar w:fldCharType="separate"/>
      </w:r>
      <w:r>
        <w:rPr>
          <w:noProof/>
        </w:rPr>
        <w:t>360</w:t>
      </w:r>
      <w:r>
        <w:fldChar w:fldCharType="end"/>
      </w:r>
    </w:p>
    <w:p w:rsidR="005F78FC" w:rsidRDefault="00B42EF3">
      <w:pPr>
        <w:pStyle w:val="indexentry0"/>
      </w:pPr>
      <w:hyperlink w:anchor="section_3590372544d74cb08faf96d3d3dc0463">
        <w:r>
          <w:rPr>
            <w:rStyle w:val="Hyperlink"/>
          </w:rPr>
          <w:t>set (OLAP Set)</w:t>
        </w:r>
      </w:hyperlink>
      <w:r>
        <w:t xml:space="preserve"> </w:t>
      </w:r>
      <w:r>
        <w:fldChar w:fldCharType="begin"/>
      </w:r>
      <w:r>
        <w:instrText>PAGEREF section_3590372544d74cb08faf96d3d3dc0463</w:instrText>
      </w:r>
      <w:r>
        <w:fldChar w:fldCharType="separate"/>
      </w:r>
      <w:r>
        <w:rPr>
          <w:noProof/>
        </w:rPr>
        <w:t>367</w:t>
      </w:r>
      <w:r>
        <w:fldChar w:fldCharType="end"/>
      </w:r>
    </w:p>
    <w:p w:rsidR="005F78FC" w:rsidRDefault="00B42EF3">
      <w:pPr>
        <w:pStyle w:val="indexentry0"/>
      </w:pPr>
      <w:hyperlink w:anchor="section_10aa6fad89594041bd8c5e4fd918008f">
        <w:r>
          <w:rPr>
            <w:rStyle w:val="Hyperlink"/>
          </w:rPr>
          <w:t>set (Set</w:t>
        </w:r>
        <w:r>
          <w:rPr>
            <w:rStyle w:val="Hyperlink"/>
          </w:rPr>
          <w:t xml:space="preserve"> Time Node Behavior)</w:t>
        </w:r>
      </w:hyperlink>
      <w:r>
        <w:t xml:space="preserve"> </w:t>
      </w:r>
      <w:r>
        <w:fldChar w:fldCharType="begin"/>
      </w:r>
      <w:r>
        <w:instrText>PAGEREF section_10aa6fad89594041bd8c5e4fd918008f</w:instrText>
      </w:r>
      <w:r>
        <w:fldChar w:fldCharType="separate"/>
      </w:r>
      <w:r>
        <w:rPr>
          <w:noProof/>
        </w:rPr>
        <w:t>488</w:t>
      </w:r>
      <w:r>
        <w:fldChar w:fldCharType="end"/>
      </w:r>
    </w:p>
    <w:p w:rsidR="005F78FC" w:rsidRDefault="00B42EF3">
      <w:pPr>
        <w:pStyle w:val="indexentry0"/>
      </w:pPr>
      <w:hyperlink w:anchor="section_0bc6416855b2438bb0db2ffc5bb065de">
        <w:r>
          <w:rPr>
            <w:rStyle w:val="Hyperlink"/>
          </w:rPr>
          <w:t>SetupID (Setup ID)</w:t>
        </w:r>
      </w:hyperlink>
      <w:r>
        <w:t xml:space="preserve"> </w:t>
      </w:r>
      <w:r>
        <w:fldChar w:fldCharType="begin"/>
      </w:r>
      <w:r>
        <w:instrText>PAGEREF section_0bc6416855b2438bb0db2ffc5bb065de</w:instrText>
      </w:r>
      <w:r>
        <w:fldChar w:fldCharType="separate"/>
      </w:r>
      <w:r>
        <w:rPr>
          <w:noProof/>
        </w:rPr>
        <w:t>887</w:t>
      </w:r>
      <w:r>
        <w:fldChar w:fldCharType="end"/>
      </w:r>
    </w:p>
    <w:p w:rsidR="005F78FC" w:rsidRDefault="00B42EF3">
      <w:pPr>
        <w:pStyle w:val="indexentry0"/>
      </w:pPr>
      <w:hyperlink w:anchor="section_948409b090f74b6a85ee2e3eefa3d0fd">
        <w:r>
          <w:rPr>
            <w:rStyle w:val="Hyperlink"/>
          </w:rPr>
          <w:t>shade (Shade)</w:t>
        </w:r>
      </w:hyperlink>
      <w:r>
        <w:t xml:space="preserve"> </w:t>
      </w:r>
      <w:r>
        <w:fldChar w:fldCharType="begin"/>
      </w:r>
      <w:r>
        <w:instrText>PAGEREF section_948409b090f74b6a85ee2e3eefa3d0fd</w:instrText>
      </w:r>
      <w:r>
        <w:fldChar w:fldCharType="separate"/>
      </w:r>
      <w:r>
        <w:rPr>
          <w:noProof/>
        </w:rPr>
        <w:t>506</w:t>
      </w:r>
      <w:r>
        <w:fldChar w:fldCharType="end"/>
      </w:r>
    </w:p>
    <w:p w:rsidR="005F78FC" w:rsidRDefault="00B42EF3">
      <w:pPr>
        <w:pStyle w:val="indexentry0"/>
      </w:pPr>
      <w:hyperlink w:anchor="section_abf1cdb8e21044c2b758683db8ee1bbb">
        <w:r>
          <w:rPr>
            <w:rStyle w:val="Hyperlink"/>
          </w:rPr>
          <w:t>shadow (Shadow Effect)</w:t>
        </w:r>
      </w:hyperlink>
      <w:r>
        <w:t xml:space="preserve"> </w:t>
      </w:r>
      <w:r>
        <w:fldChar w:fldCharType="begin"/>
      </w:r>
      <w:r>
        <w:instrText>PAGEREF section_abf1cdb8e21044c2b758683db8ee1bbb</w:instrText>
      </w:r>
      <w:r>
        <w:fldChar w:fldCharType="separate"/>
      </w:r>
      <w:r>
        <w:rPr>
          <w:noProof/>
        </w:rPr>
        <w:t>654</w:t>
      </w:r>
      <w:r>
        <w:fldChar w:fldCharType="end"/>
      </w:r>
    </w:p>
    <w:p w:rsidR="005F78FC" w:rsidRDefault="00B42EF3">
      <w:pPr>
        <w:pStyle w:val="indexentry0"/>
      </w:pPr>
      <w:hyperlink w:anchor="section_3b963a5d814141b09dab75b578400861">
        <w:r>
          <w:rPr>
            <w:rStyle w:val="Hyperlink"/>
          </w:rPr>
          <w:t>shadow (Shadow)</w:t>
        </w:r>
      </w:hyperlink>
      <w:r>
        <w:t xml:space="preserve"> </w:t>
      </w:r>
      <w:r>
        <w:fldChar w:fldCharType="begin"/>
      </w:r>
      <w:r>
        <w:instrText>PAGEREF section_3b963a5d814141b09dab75b578400861</w:instrText>
      </w:r>
      <w:r>
        <w:fldChar w:fldCharType="separate"/>
      </w:r>
      <w:r>
        <w:rPr>
          <w:noProof/>
        </w:rPr>
        <w:t>80</w:t>
      </w:r>
      <w:r>
        <w:fldChar w:fldCharType="end"/>
      </w:r>
    </w:p>
    <w:p w:rsidR="005F78FC" w:rsidRDefault="00B42EF3">
      <w:pPr>
        <w:pStyle w:val="indexentry0"/>
      </w:pPr>
      <w:hyperlink w:anchor="section_a93caf1bfbe84ab38e3631b069f35d60">
        <w:r>
          <w:rPr>
            <w:rStyle w:val="Hyperlink"/>
          </w:rPr>
          <w:t>SHAPE</w:t>
        </w:r>
      </w:hyperlink>
      <w:r>
        <w:t xml:space="preserve"> </w:t>
      </w:r>
      <w:r>
        <w:fldChar w:fldCharType="begin"/>
      </w:r>
      <w:r>
        <w:instrText>PAGEREF section_a93caf1bfbe84ab38e3631b069f35d60</w:instrText>
      </w:r>
      <w:r>
        <w:fldChar w:fldCharType="separate"/>
      </w:r>
      <w:r>
        <w:rPr>
          <w:noProof/>
        </w:rPr>
        <w:t>820</w:t>
      </w:r>
      <w:r>
        <w:fldChar w:fldCharType="end"/>
      </w:r>
    </w:p>
    <w:p w:rsidR="005F78FC" w:rsidRDefault="00B42EF3">
      <w:pPr>
        <w:pStyle w:val="indexentry0"/>
      </w:pPr>
      <w:hyperlink w:anchor="section_c0c046eca61d405d88fe74d8487a37d7">
        <w:r>
          <w:rPr>
            <w:rStyle w:val="Hyperlink"/>
          </w:rPr>
          <w:t>Shape - Fills - Effects and Line Properties</w:t>
        </w:r>
      </w:hyperlink>
      <w:r>
        <w:t xml:space="preserve"> </w:t>
      </w:r>
      <w:r>
        <w:fldChar w:fldCharType="begin"/>
      </w:r>
      <w:r>
        <w:instrText>PAGEREF section_c0c046eca61d405d88fe74d8487a37d7</w:instrText>
      </w:r>
      <w:r>
        <w:fldChar w:fldCharType="separate"/>
      </w:r>
      <w:r>
        <w:rPr>
          <w:noProof/>
        </w:rPr>
        <w:t>513</w:t>
      </w:r>
      <w:r>
        <w:fldChar w:fldCharType="end"/>
      </w:r>
    </w:p>
    <w:p w:rsidR="005F78FC" w:rsidRDefault="00B42EF3">
      <w:pPr>
        <w:pStyle w:val="indexentry0"/>
      </w:pPr>
      <w:hyperlink w:anchor="section_edfd844dbf1a410981cd4caa788f1449">
        <w:r>
          <w:rPr>
            <w:rStyle w:val="Hyperlink"/>
          </w:rPr>
          <w:t>shape (Shape Definition)</w:t>
        </w:r>
      </w:hyperlink>
      <w:r>
        <w:t xml:space="preserve"> </w:t>
      </w:r>
      <w:r>
        <w:fldChar w:fldCharType="begin"/>
      </w:r>
      <w:r>
        <w:instrText>PAGEREF secti</w:instrText>
      </w:r>
      <w:r>
        <w:instrText>on_edfd844dbf1a410981cd4caa788f1449</w:instrText>
      </w:r>
      <w:r>
        <w:fldChar w:fldCharType="separate"/>
      </w:r>
      <w:r>
        <w:rPr>
          <w:noProof/>
        </w:rPr>
        <w:t>655</w:t>
      </w:r>
      <w:r>
        <w:fldChar w:fldCharType="end"/>
      </w:r>
    </w:p>
    <w:p w:rsidR="005F78FC" w:rsidRDefault="00B42EF3">
      <w:pPr>
        <w:pStyle w:val="indexentry0"/>
      </w:pPr>
      <w:r>
        <w:t>shape (Shape) (</w:t>
      </w:r>
      <w:hyperlink w:anchor="section_064f48d37de64d57ac6b6deec7c01b6c">
        <w:r>
          <w:rPr>
            <w:rStyle w:val="Hyperlink"/>
          </w:rPr>
          <w:t>section 2.1.1541</w:t>
        </w:r>
      </w:hyperlink>
      <w:r>
        <w:t xml:space="preserve"> </w:t>
      </w:r>
      <w:r>
        <w:fldChar w:fldCharType="begin"/>
      </w:r>
      <w:r>
        <w:instrText>PAGEREF section_064f48d37de64d57ac6b6deec7c01b6c</w:instrText>
      </w:r>
      <w:r>
        <w:fldChar w:fldCharType="separate"/>
      </w:r>
      <w:r>
        <w:rPr>
          <w:noProof/>
        </w:rPr>
        <w:t>572</w:t>
      </w:r>
      <w:r>
        <w:fldChar w:fldCharType="end"/>
      </w:r>
      <w:r>
        <w:t xml:space="preserve">, </w:t>
      </w:r>
      <w:hyperlink w:anchor="section_448f4ba77be242509af1a1e80d2cfc02">
        <w:r>
          <w:rPr>
            <w:rStyle w:val="Hyperlink"/>
          </w:rPr>
          <w:t xml:space="preserve">section </w:t>
        </w:r>
        <w:r>
          <w:rPr>
            <w:rStyle w:val="Hyperlink"/>
          </w:rPr>
          <w:t>2.1.1616</w:t>
        </w:r>
      </w:hyperlink>
      <w:r>
        <w:t xml:space="preserve"> </w:t>
      </w:r>
      <w:r>
        <w:fldChar w:fldCharType="begin"/>
      </w:r>
      <w:r>
        <w:instrText>PAGEREF section_448f4ba77be242509af1a1e80d2cfc02</w:instrText>
      </w:r>
      <w:r>
        <w:fldChar w:fldCharType="separate"/>
      </w:r>
      <w:r>
        <w:rPr>
          <w:noProof/>
        </w:rPr>
        <w:t>587</w:t>
      </w:r>
      <w:r>
        <w:fldChar w:fldCharType="end"/>
      </w:r>
      <w:r>
        <w:t>)</w:t>
      </w:r>
    </w:p>
    <w:p w:rsidR="005F78FC" w:rsidRDefault="00B42EF3">
      <w:pPr>
        <w:pStyle w:val="indexentry0"/>
      </w:pPr>
      <w:hyperlink w:anchor="section_8721f65882524c32965b4c04fdc5a2eb">
        <w:r>
          <w:rPr>
            <w:rStyle w:val="Hyperlink"/>
          </w:rPr>
          <w:t>shapeDefaults (Default Properties for VML Objects in Main Document)</w:t>
        </w:r>
      </w:hyperlink>
      <w:r>
        <w:t xml:space="preserve"> </w:t>
      </w:r>
      <w:r>
        <w:fldChar w:fldCharType="begin"/>
      </w:r>
      <w:r>
        <w:instrText>PAGEREF section_8721f65882524c32965b4c04fdc5a2eb</w:instrText>
      </w:r>
      <w:r>
        <w:fldChar w:fldCharType="separate"/>
      </w:r>
      <w:r>
        <w:rPr>
          <w:noProof/>
        </w:rPr>
        <w:t>631</w:t>
      </w:r>
      <w:r>
        <w:fldChar w:fldCharType="end"/>
      </w:r>
    </w:p>
    <w:p w:rsidR="005F78FC" w:rsidRDefault="00B42EF3">
      <w:pPr>
        <w:pStyle w:val="indexentry0"/>
      </w:pPr>
      <w:hyperlink w:anchor="section_30394e5a5c7e41c08891b4d803b59bb5">
        <w:r>
          <w:rPr>
            <w:rStyle w:val="Hyperlink"/>
          </w:rPr>
          <w:t>shapedefaults (New Shape Defaults)</w:t>
        </w:r>
      </w:hyperlink>
      <w:r>
        <w:t xml:space="preserve"> </w:t>
      </w:r>
      <w:r>
        <w:fldChar w:fldCharType="begin"/>
      </w:r>
      <w:r>
        <w:instrText>PAGEREF section_30394e5a5c7e41c08891b4d803b59bb5</w:instrText>
      </w:r>
      <w:r>
        <w:fldChar w:fldCharType="separate"/>
      </w:r>
      <w:r>
        <w:rPr>
          <w:noProof/>
        </w:rPr>
        <w:t>675</w:t>
      </w:r>
      <w:r>
        <w:fldChar w:fldCharType="end"/>
      </w:r>
    </w:p>
    <w:p w:rsidR="005F78FC" w:rsidRDefault="00B42EF3">
      <w:pPr>
        <w:pStyle w:val="indexentry0"/>
      </w:pPr>
      <w:hyperlink w:anchor="section_a836922427e94270a02db1c710aa8bcb">
        <w:r>
          <w:rPr>
            <w:rStyle w:val="Hyperlink"/>
          </w:rPr>
          <w:t>shapelayout (Shape Layout Properties)</w:t>
        </w:r>
      </w:hyperlink>
      <w:r>
        <w:t xml:space="preserve"> </w:t>
      </w:r>
      <w:r>
        <w:fldChar w:fldCharType="begin"/>
      </w:r>
      <w:r>
        <w:instrText>PAGEREF sectio</w:instrText>
      </w:r>
      <w:r>
        <w:instrText>n_a836922427e94270a02db1c710aa8bcb</w:instrText>
      </w:r>
      <w:r>
        <w:fldChar w:fldCharType="separate"/>
      </w:r>
      <w:r>
        <w:rPr>
          <w:noProof/>
        </w:rPr>
        <w:t>675</w:t>
      </w:r>
      <w:r>
        <w:fldChar w:fldCharType="end"/>
      </w:r>
    </w:p>
    <w:p w:rsidR="005F78FC" w:rsidRDefault="00B42EF3">
      <w:pPr>
        <w:pStyle w:val="indexentry0"/>
      </w:pPr>
      <w:hyperlink w:anchor="section_caa8931e192d43fc8eefff9e2fe60991">
        <w:r>
          <w:rPr>
            <w:rStyle w:val="Hyperlink"/>
          </w:rPr>
          <w:t>shapetype (Shape Template)</w:t>
        </w:r>
      </w:hyperlink>
      <w:r>
        <w:t xml:space="preserve"> </w:t>
      </w:r>
      <w:r>
        <w:fldChar w:fldCharType="begin"/>
      </w:r>
      <w:r>
        <w:instrText>PAGEREF section_caa8931e192d43fc8eefff9e2fe60991</w:instrText>
      </w:r>
      <w:r>
        <w:fldChar w:fldCharType="separate"/>
      </w:r>
      <w:r>
        <w:rPr>
          <w:noProof/>
        </w:rPr>
        <w:t>657</w:t>
      </w:r>
      <w:r>
        <w:fldChar w:fldCharType="end"/>
      </w:r>
    </w:p>
    <w:p w:rsidR="005F78FC" w:rsidRDefault="00B42EF3">
      <w:pPr>
        <w:pStyle w:val="indexentry0"/>
      </w:pPr>
      <w:hyperlink w:anchor="section_e06f6ba680494bd3ae632fa63cd0536c">
        <w:r>
          <w:rPr>
            <w:rStyle w:val="Hyperlink"/>
          </w:rPr>
          <w:t>Shared (Additional Information)</w:t>
        </w:r>
      </w:hyperlink>
      <w:r>
        <w:t xml:space="preserve"> </w:t>
      </w:r>
      <w:r>
        <w:fldChar w:fldCharType="begin"/>
      </w:r>
      <w:r>
        <w:instrText>PAGEREF section_e06f6ba680494bd3ae632fa63cd0536c</w:instrText>
      </w:r>
      <w:r>
        <w:fldChar w:fldCharType="separate"/>
      </w:r>
      <w:r>
        <w:rPr>
          <w:noProof/>
        </w:rPr>
        <w:t>851</w:t>
      </w:r>
      <w:r>
        <w:fldChar w:fldCharType="end"/>
      </w:r>
    </w:p>
    <w:p w:rsidR="005F78FC" w:rsidRDefault="00B42EF3">
      <w:pPr>
        <w:pStyle w:val="indexentry0"/>
      </w:pPr>
      <w:hyperlink w:anchor="section_83c200b15a6944308fe6adc3583034a2">
        <w:r>
          <w:rPr>
            <w:rStyle w:val="Hyperlink"/>
          </w:rPr>
          <w:t>Shared Attributes (Content Type Schemas)</w:t>
        </w:r>
      </w:hyperlink>
      <w:r>
        <w:t xml:space="preserve"> </w:t>
      </w:r>
      <w:r>
        <w:fldChar w:fldCharType="begin"/>
      </w:r>
      <w:r>
        <w:instrText>PAGEREF section_83c200b15a6944308fe6adc3583034a2</w:instrText>
      </w:r>
      <w:r>
        <w:fldChar w:fldCharType="separate"/>
      </w:r>
      <w:r>
        <w:rPr>
          <w:noProof/>
        </w:rPr>
        <w:t>863</w:t>
      </w:r>
      <w:r>
        <w:fldChar w:fldCharType="end"/>
      </w:r>
    </w:p>
    <w:p w:rsidR="005F78FC" w:rsidRDefault="00B42EF3">
      <w:pPr>
        <w:pStyle w:val="indexentry0"/>
      </w:pPr>
      <w:hyperlink w:anchor="section_e6bf5eddaa4c40b58f43b3da6b664823">
        <w:r>
          <w:rPr>
            <w:rStyle w:val="Hyperlink"/>
          </w:rPr>
          <w:t>sharedItems (Shared Items)</w:t>
        </w:r>
      </w:hyperlink>
      <w:r>
        <w:t xml:space="preserve"> </w:t>
      </w:r>
      <w:r>
        <w:fldChar w:fldCharType="begin"/>
      </w:r>
      <w:r>
        <w:instrText>PAGEREF section_e6bf5eddaa4c40b58f43b3da6b664823</w:instrText>
      </w:r>
      <w:r>
        <w:fldChar w:fldCharType="separate"/>
      </w:r>
      <w:r>
        <w:rPr>
          <w:noProof/>
        </w:rPr>
        <w:t>367</w:t>
      </w:r>
      <w:r>
        <w:fldChar w:fldCharType="end"/>
      </w:r>
    </w:p>
    <w:p w:rsidR="005F78FC" w:rsidRDefault="00B42EF3">
      <w:pPr>
        <w:pStyle w:val="indexentry0"/>
      </w:pPr>
      <w:hyperlink w:anchor="section_0401ba7548d24372a50f7726fe318b65">
        <w:r>
          <w:rPr>
            <w:rStyle w:val="Hyperlink"/>
          </w:rPr>
          <w:t>shd (Paragraph Shading)</w:t>
        </w:r>
      </w:hyperlink>
      <w:r>
        <w:t xml:space="preserve"> </w:t>
      </w:r>
      <w:r>
        <w:fldChar w:fldCharType="begin"/>
      </w:r>
      <w:r>
        <w:instrText>PAGEREF section_0401ba7548d24372a50f7726f</w:instrText>
      </w:r>
      <w:r>
        <w:instrText>e318b65</w:instrText>
      </w:r>
      <w:r>
        <w:fldChar w:fldCharType="separate"/>
      </w:r>
      <w:r>
        <w:rPr>
          <w:noProof/>
        </w:rPr>
        <w:t>69</w:t>
      </w:r>
      <w:r>
        <w:fldChar w:fldCharType="end"/>
      </w:r>
    </w:p>
    <w:p w:rsidR="005F78FC" w:rsidRDefault="00B42EF3">
      <w:pPr>
        <w:pStyle w:val="indexentry0"/>
      </w:pPr>
      <w:hyperlink w:anchor="section_9eaa0715d38f4c548f1ff1e0d5eb6cdb">
        <w:r>
          <w:rPr>
            <w:rStyle w:val="Hyperlink"/>
          </w:rPr>
          <w:t>shd (Run Shading)</w:t>
        </w:r>
      </w:hyperlink>
      <w:r>
        <w:t xml:space="preserve"> </w:t>
      </w:r>
      <w:r>
        <w:fldChar w:fldCharType="begin"/>
      </w:r>
      <w:r>
        <w:instrText>PAGEREF section_9eaa0715d38f4c548f1ff1e0d5eb6cdb</w:instrText>
      </w:r>
      <w:r>
        <w:fldChar w:fldCharType="separate"/>
      </w:r>
      <w:r>
        <w:rPr>
          <w:noProof/>
        </w:rPr>
        <w:t>80</w:t>
      </w:r>
      <w:r>
        <w:fldChar w:fldCharType="end"/>
      </w:r>
    </w:p>
    <w:p w:rsidR="005F78FC" w:rsidRDefault="00B42EF3">
      <w:pPr>
        <w:pStyle w:val="indexentry0"/>
      </w:pPr>
      <w:hyperlink w:anchor="section_4f0cccae70c2492abc943ccc39172119">
        <w:r>
          <w:rPr>
            <w:rStyle w:val="Hyperlink"/>
          </w:rPr>
          <w:t>shd (Table Cell Shading)</w:t>
        </w:r>
      </w:hyperlink>
      <w:r>
        <w:t xml:space="preserve"> </w:t>
      </w:r>
      <w:r>
        <w:fldChar w:fldCharType="begin"/>
      </w:r>
      <w:r>
        <w:instrText>PAGEREF section_4f0cccae</w:instrText>
      </w:r>
      <w:r>
        <w:instrText>70c2492abc943ccc39172119</w:instrText>
      </w:r>
      <w:r>
        <w:fldChar w:fldCharType="separate"/>
      </w:r>
      <w:r>
        <w:rPr>
          <w:noProof/>
        </w:rPr>
        <w:t>88</w:t>
      </w:r>
      <w:r>
        <w:fldChar w:fldCharType="end"/>
      </w:r>
    </w:p>
    <w:p w:rsidR="005F78FC" w:rsidRDefault="00B42EF3">
      <w:pPr>
        <w:pStyle w:val="indexentry0"/>
      </w:pPr>
      <w:hyperlink w:anchor="section_a7c8261dea1c4fc6a131fc0e48c5176e">
        <w:r>
          <w:rPr>
            <w:rStyle w:val="Hyperlink"/>
          </w:rPr>
          <w:t>shd (Table Shading Exception)</w:t>
        </w:r>
      </w:hyperlink>
      <w:r>
        <w:t xml:space="preserve"> </w:t>
      </w:r>
      <w:r>
        <w:fldChar w:fldCharType="begin"/>
      </w:r>
      <w:r>
        <w:instrText>PAGEREF section_a7c8261dea1c4fc6a131fc0e48c5176e</w:instrText>
      </w:r>
      <w:r>
        <w:fldChar w:fldCharType="separate"/>
      </w:r>
      <w:r>
        <w:rPr>
          <w:noProof/>
        </w:rPr>
        <w:t>88</w:t>
      </w:r>
      <w:r>
        <w:fldChar w:fldCharType="end"/>
      </w:r>
    </w:p>
    <w:p w:rsidR="005F78FC" w:rsidRDefault="00B42EF3">
      <w:pPr>
        <w:pStyle w:val="indexentry0"/>
      </w:pPr>
      <w:hyperlink w:anchor="section_ee110ab2af6a4ee8923d9a12a2fe65ab">
        <w:r>
          <w:rPr>
            <w:rStyle w:val="Hyperlink"/>
          </w:rPr>
          <w:t>shd (Table Shading)</w:t>
        </w:r>
      </w:hyperlink>
      <w:r>
        <w:t xml:space="preserve"> </w:t>
      </w:r>
      <w:r>
        <w:fldChar w:fldCharType="begin"/>
      </w:r>
      <w:r>
        <w:instrText>PAGEREF section_ee110ab2af6a4ee8923d9a12a2fe65ab</w:instrText>
      </w:r>
      <w:r>
        <w:fldChar w:fldCharType="separate"/>
      </w:r>
      <w:r>
        <w:rPr>
          <w:noProof/>
        </w:rPr>
        <w:t>88</w:t>
      </w:r>
      <w:r>
        <w:fldChar w:fldCharType="end"/>
      </w:r>
    </w:p>
    <w:p w:rsidR="005F78FC" w:rsidRDefault="00B42EF3">
      <w:pPr>
        <w:pStyle w:val="indexentry0"/>
      </w:pPr>
      <w:hyperlink w:anchor="section_ebf12ea52bb44af5ab26563f22d3f895">
        <w:r>
          <w:rPr>
            <w:rStyle w:val="Hyperlink"/>
          </w:rPr>
          <w:t>sheet (Sheet Information)</w:t>
        </w:r>
      </w:hyperlink>
      <w:r>
        <w:t xml:space="preserve"> </w:t>
      </w:r>
      <w:r>
        <w:fldChar w:fldCharType="begin"/>
      </w:r>
      <w:r>
        <w:instrText>PAGEREF section_ebf12ea52bb44af5ab26563f22d3f895</w:instrText>
      </w:r>
      <w:r>
        <w:fldChar w:fldCharType="separate"/>
      </w:r>
      <w:r>
        <w:rPr>
          <w:noProof/>
        </w:rPr>
        <w:t>246</w:t>
      </w:r>
      <w:r>
        <w:fldChar w:fldCharType="end"/>
      </w:r>
    </w:p>
    <w:p w:rsidR="005F78FC" w:rsidRDefault="00B42EF3">
      <w:pPr>
        <w:pStyle w:val="indexentry0"/>
      </w:pPr>
      <w:hyperlink w:anchor="section_ea6eca83ef44428c8d91968009edc496">
        <w:r>
          <w:rPr>
            <w:rStyle w:val="Hyperlink"/>
          </w:rPr>
          <w:t>sheetData (External Sheet Data Set)</w:t>
        </w:r>
      </w:hyperlink>
      <w:r>
        <w:t xml:space="preserve"> </w:t>
      </w:r>
      <w:r>
        <w:fldChar w:fldCharType="begin"/>
      </w:r>
      <w:r>
        <w:instrText>PAGEREF section_ea6eca83ef44428c8d91968009edc496</w:instrText>
      </w:r>
      <w:r>
        <w:fldChar w:fldCharType="separate"/>
      </w:r>
      <w:r>
        <w:rPr>
          <w:noProof/>
        </w:rPr>
        <w:t>384</w:t>
      </w:r>
      <w:r>
        <w:fldChar w:fldCharType="end"/>
      </w:r>
    </w:p>
    <w:p w:rsidR="005F78FC" w:rsidRDefault="00B42EF3">
      <w:pPr>
        <w:pStyle w:val="indexentry0"/>
      </w:pPr>
      <w:hyperlink w:anchor="section_1d47296a5b004fc2b4d7c7efc8fff0fc">
        <w:r>
          <w:rPr>
            <w:rStyle w:val="Hyperlink"/>
          </w:rPr>
          <w:t>sheetFormatPr (Sheet Format Properties)</w:t>
        </w:r>
      </w:hyperlink>
      <w:r>
        <w:t xml:space="preserve"> </w:t>
      </w:r>
      <w:r>
        <w:fldChar w:fldCharType="begin"/>
      </w:r>
      <w:r>
        <w:instrText>PAGEREF section_1d47296a5b004fc2b4d7c7efc8fff0fc</w:instrText>
      </w:r>
      <w:r>
        <w:fldChar w:fldCharType="separate"/>
      </w:r>
      <w:r>
        <w:rPr>
          <w:noProof/>
        </w:rPr>
        <w:t>284</w:t>
      </w:r>
      <w:r>
        <w:fldChar w:fldCharType="end"/>
      </w:r>
    </w:p>
    <w:p w:rsidR="005F78FC" w:rsidRDefault="00B42EF3">
      <w:pPr>
        <w:pStyle w:val="indexentry0"/>
      </w:pPr>
      <w:hyperlink w:anchor="section_98e3f568bac74abfbdc04eed2cd91ae8">
        <w:r>
          <w:rPr>
            <w:rStyle w:val="Hyperlink"/>
          </w:rPr>
          <w:t>sheetId (Sheet Id)</w:t>
        </w:r>
      </w:hyperlink>
      <w:r>
        <w:t xml:space="preserve"> </w:t>
      </w:r>
      <w:r>
        <w:fldChar w:fldCharType="begin"/>
      </w:r>
      <w:r>
        <w:instrText>PAGEREF section_98e3f568bac74abfbdc04eed2cd91ae8</w:instrText>
      </w:r>
      <w:r>
        <w:fldChar w:fldCharType="separate"/>
      </w:r>
      <w:r>
        <w:rPr>
          <w:noProof/>
        </w:rPr>
        <w:t>376</w:t>
      </w:r>
      <w:r>
        <w:fldChar w:fldCharType="end"/>
      </w:r>
    </w:p>
    <w:p w:rsidR="005F78FC" w:rsidRDefault="00B42EF3">
      <w:pPr>
        <w:pStyle w:val="indexentry0"/>
      </w:pPr>
      <w:hyperlink w:anchor="section_b76122d4802144cbadad1bb478e483e2">
        <w:r>
          <w:rPr>
            <w:rStyle w:val="Hyperlink"/>
          </w:rPr>
          <w:t>sheetIdMap (Sheet Id Map)</w:t>
        </w:r>
      </w:hyperlink>
      <w:r>
        <w:t xml:space="preserve"> </w:t>
      </w:r>
      <w:r>
        <w:fldChar w:fldCharType="begin"/>
      </w:r>
      <w:r>
        <w:instrText>PAGEREF section_b76122d4802144cba</w:instrText>
      </w:r>
      <w:r>
        <w:instrText>dad1bb478e483e2</w:instrText>
      </w:r>
      <w:r>
        <w:fldChar w:fldCharType="separate"/>
      </w:r>
      <w:r>
        <w:rPr>
          <w:noProof/>
        </w:rPr>
        <w:t>376</w:t>
      </w:r>
      <w:r>
        <w:fldChar w:fldCharType="end"/>
      </w:r>
    </w:p>
    <w:p w:rsidR="005F78FC" w:rsidRDefault="00B42EF3">
      <w:pPr>
        <w:pStyle w:val="indexentry0"/>
      </w:pPr>
      <w:hyperlink w:anchor="section_2f06c253c63240b3b2cc4c7b0fe2bad4">
        <w:r>
          <w:rPr>
            <w:rStyle w:val="Hyperlink"/>
          </w:rPr>
          <w:t>sheetName (Sheet Name)</w:t>
        </w:r>
      </w:hyperlink>
      <w:r>
        <w:t xml:space="preserve"> </w:t>
      </w:r>
      <w:r>
        <w:fldChar w:fldCharType="begin"/>
      </w:r>
      <w:r>
        <w:instrText>PAGEREF section_2f06c253c63240b3b2cc4c7b0fe2bad4</w:instrText>
      </w:r>
      <w:r>
        <w:fldChar w:fldCharType="separate"/>
      </w:r>
      <w:r>
        <w:rPr>
          <w:noProof/>
        </w:rPr>
        <w:t>385</w:t>
      </w:r>
      <w:r>
        <w:fldChar w:fldCharType="end"/>
      </w:r>
    </w:p>
    <w:p w:rsidR="005F78FC" w:rsidRDefault="00B42EF3">
      <w:pPr>
        <w:pStyle w:val="indexentry0"/>
      </w:pPr>
      <w:hyperlink w:anchor="section_43554bcee58a45b5aa0770029f56dc91">
        <w:r>
          <w:rPr>
            <w:rStyle w:val="Hyperlink"/>
          </w:rPr>
          <w:t xml:space="preserve">sheetNames (Supporting Workbook Sheet </w:t>
        </w:r>
        <w:r>
          <w:rPr>
            <w:rStyle w:val="Hyperlink"/>
          </w:rPr>
          <w:t>Names)</w:t>
        </w:r>
      </w:hyperlink>
      <w:r>
        <w:t xml:space="preserve"> </w:t>
      </w:r>
      <w:r>
        <w:fldChar w:fldCharType="begin"/>
      </w:r>
      <w:r>
        <w:instrText>PAGEREF section_43554bcee58a45b5aa0770029f56dc91</w:instrText>
      </w:r>
      <w:r>
        <w:fldChar w:fldCharType="separate"/>
      </w:r>
      <w:r>
        <w:rPr>
          <w:noProof/>
        </w:rPr>
        <w:t>385</w:t>
      </w:r>
      <w:r>
        <w:fldChar w:fldCharType="end"/>
      </w:r>
    </w:p>
    <w:p w:rsidR="005F78FC" w:rsidRDefault="00B42EF3">
      <w:pPr>
        <w:pStyle w:val="indexentry0"/>
      </w:pPr>
      <w:hyperlink w:anchor="section_6f37d5b810364318a35b22d5899c0a23">
        <w:r>
          <w:rPr>
            <w:rStyle w:val="Hyperlink"/>
          </w:rPr>
          <w:t>sheetPr (Chart Sheet Properties)</w:t>
        </w:r>
      </w:hyperlink>
      <w:r>
        <w:t xml:space="preserve"> </w:t>
      </w:r>
      <w:r>
        <w:fldChar w:fldCharType="begin"/>
      </w:r>
      <w:r>
        <w:instrText>PAGEREF section_6f37d5b810364318a35b22d5899c0a23</w:instrText>
      </w:r>
      <w:r>
        <w:fldChar w:fldCharType="separate"/>
      </w:r>
      <w:r>
        <w:rPr>
          <w:noProof/>
        </w:rPr>
        <w:t>285</w:t>
      </w:r>
      <w:r>
        <w:fldChar w:fldCharType="end"/>
      </w:r>
    </w:p>
    <w:p w:rsidR="005F78FC" w:rsidRDefault="00B42EF3">
      <w:pPr>
        <w:pStyle w:val="indexentry0"/>
      </w:pPr>
      <w:hyperlink w:anchor="section_e2b7325c912947e1abc73cc75ca1e2d8">
        <w:r>
          <w:rPr>
            <w:rStyle w:val="Hyperlink"/>
          </w:rPr>
          <w:t>sheetPr (Sheet Properties)</w:t>
        </w:r>
      </w:hyperlink>
      <w:r>
        <w:t xml:space="preserve"> </w:t>
      </w:r>
      <w:r>
        <w:fldChar w:fldCharType="begin"/>
      </w:r>
      <w:r>
        <w:instrText>PAGEREF section_e2b7325c912947e1abc73cc75ca1e2d8</w:instrText>
      </w:r>
      <w:r>
        <w:fldChar w:fldCharType="separate"/>
      </w:r>
      <w:r>
        <w:rPr>
          <w:noProof/>
        </w:rPr>
        <w:t>284</w:t>
      </w:r>
      <w:r>
        <w:fldChar w:fldCharType="end"/>
      </w:r>
    </w:p>
    <w:p w:rsidR="005F78FC" w:rsidRDefault="00B42EF3">
      <w:pPr>
        <w:pStyle w:val="indexentry0"/>
      </w:pPr>
      <w:hyperlink w:anchor="section_fcf4108f555a4d3ba9ca85fcfec97d1b">
        <w:r>
          <w:rPr>
            <w:rStyle w:val="Hyperlink"/>
          </w:rPr>
          <w:t>sheetProtection (Chart Sheet Protection)</w:t>
        </w:r>
      </w:hyperlink>
      <w:r>
        <w:t xml:space="preserve"> </w:t>
      </w:r>
      <w:r>
        <w:fldChar w:fldCharType="begin"/>
      </w:r>
      <w:r>
        <w:instrText>PAGEREF section_fcf4108f555a4d3ba9ca85fcfec97d1b</w:instrText>
      </w:r>
      <w:r>
        <w:fldChar w:fldCharType="separate"/>
      </w:r>
      <w:r>
        <w:rPr>
          <w:noProof/>
        </w:rPr>
        <w:t>285</w:t>
      </w:r>
      <w:r>
        <w:fldChar w:fldCharType="end"/>
      </w:r>
    </w:p>
    <w:p w:rsidR="005F78FC" w:rsidRDefault="00B42EF3">
      <w:pPr>
        <w:pStyle w:val="indexentry0"/>
      </w:pPr>
      <w:hyperlink w:anchor="section_15197a0226f74a37ab9c7de4d4894ea5">
        <w:r>
          <w:rPr>
            <w:rStyle w:val="Hyperlink"/>
          </w:rPr>
          <w:t>sheetProtection (Sheet Protection Options)</w:t>
        </w:r>
      </w:hyperlink>
      <w:r>
        <w:t xml:space="preserve"> </w:t>
      </w:r>
      <w:r>
        <w:fldChar w:fldCharType="begin"/>
      </w:r>
      <w:r>
        <w:instrText>PAGEREF section_15197a0226f74a37ab9c7de4d4894ea5</w:instrText>
      </w:r>
      <w:r>
        <w:fldChar w:fldCharType="separate"/>
      </w:r>
      <w:r>
        <w:rPr>
          <w:noProof/>
        </w:rPr>
        <w:t>287</w:t>
      </w:r>
      <w:r>
        <w:fldChar w:fldCharType="end"/>
      </w:r>
    </w:p>
    <w:p w:rsidR="005F78FC" w:rsidRDefault="00B42EF3">
      <w:pPr>
        <w:pStyle w:val="indexentry0"/>
      </w:pPr>
      <w:hyperlink w:anchor="section_c9766f83abdd4351aeff90859c90c9f7">
        <w:r>
          <w:rPr>
            <w:rStyle w:val="Hyperlink"/>
          </w:rPr>
          <w:t>sheets (Sheets)</w:t>
        </w:r>
      </w:hyperlink>
      <w:r>
        <w:t xml:space="preserve"> </w:t>
      </w:r>
      <w:r>
        <w:fldChar w:fldCharType="begin"/>
      </w:r>
      <w:r>
        <w:instrText>PAGEREF section_c9766f83</w:instrText>
      </w:r>
      <w:r>
        <w:instrText>abdd4351aeff90859c90c9f7</w:instrText>
      </w:r>
      <w:r>
        <w:fldChar w:fldCharType="separate"/>
      </w:r>
      <w:r>
        <w:rPr>
          <w:noProof/>
        </w:rPr>
        <w:t>247</w:t>
      </w:r>
      <w:r>
        <w:fldChar w:fldCharType="end"/>
      </w:r>
    </w:p>
    <w:p w:rsidR="005F78FC" w:rsidRDefault="00B42EF3">
      <w:pPr>
        <w:pStyle w:val="indexentry0"/>
      </w:pPr>
      <w:hyperlink w:anchor="section_f68f7a75f8714844974dd2cc226334e8">
        <w:r>
          <w:rPr>
            <w:rStyle w:val="Hyperlink"/>
          </w:rPr>
          <w:t>sheetView (Worksheet View)</w:t>
        </w:r>
      </w:hyperlink>
      <w:r>
        <w:t xml:space="preserve"> </w:t>
      </w:r>
      <w:r>
        <w:fldChar w:fldCharType="begin"/>
      </w:r>
      <w:r>
        <w:instrText>PAGEREF section_f68f7a75f8714844974dd2cc226334e8</w:instrText>
      </w:r>
      <w:r>
        <w:fldChar w:fldCharType="separate"/>
      </w:r>
      <w:r>
        <w:rPr>
          <w:noProof/>
        </w:rPr>
        <w:t>289</w:t>
      </w:r>
      <w:r>
        <w:fldChar w:fldCharType="end"/>
      </w:r>
    </w:p>
    <w:p w:rsidR="005F78FC" w:rsidRDefault="00B42EF3">
      <w:pPr>
        <w:pStyle w:val="indexentry0"/>
      </w:pPr>
      <w:hyperlink w:anchor="section_b60b7e029a9e47a28424e973bc811108">
        <w:r>
          <w:rPr>
            <w:rStyle w:val="Hyperlink"/>
          </w:rPr>
          <w:t>sheetViews (Chart Sheet Views)</w:t>
        </w:r>
      </w:hyperlink>
      <w:r>
        <w:t xml:space="preserve"> </w:t>
      </w:r>
      <w:r>
        <w:fldChar w:fldCharType="begin"/>
      </w:r>
      <w:r>
        <w:instrText>PAGEREF section_b60b7e029a9e47a28424e973bc811108</w:instrText>
      </w:r>
      <w:r>
        <w:fldChar w:fldCharType="separate"/>
      </w:r>
      <w:r>
        <w:rPr>
          <w:noProof/>
        </w:rPr>
        <w:t>289</w:t>
      </w:r>
      <w:r>
        <w:fldChar w:fldCharType="end"/>
      </w:r>
    </w:p>
    <w:p w:rsidR="005F78FC" w:rsidRDefault="00B42EF3">
      <w:pPr>
        <w:pStyle w:val="indexentry0"/>
      </w:pPr>
      <w:hyperlink w:anchor="section_81d680f217234cffb82b64b52efd2b72">
        <w:r>
          <w:rPr>
            <w:rStyle w:val="Hyperlink"/>
          </w:rPr>
          <w:t>sheetViews (Sheet Views)</w:t>
        </w:r>
      </w:hyperlink>
      <w:r>
        <w:t xml:space="preserve"> </w:t>
      </w:r>
      <w:r>
        <w:fldChar w:fldCharType="begin"/>
      </w:r>
      <w:r>
        <w:instrText>PAGEREF section_81d680f217234cffb82b64b52efd2b72</w:instrText>
      </w:r>
      <w:r>
        <w:fldChar w:fldCharType="separate"/>
      </w:r>
      <w:r>
        <w:rPr>
          <w:noProof/>
        </w:rPr>
        <w:t>289</w:t>
      </w:r>
      <w:r>
        <w:fldChar w:fldCharType="end"/>
      </w:r>
    </w:p>
    <w:p w:rsidR="005F78FC" w:rsidRDefault="00B42EF3">
      <w:pPr>
        <w:pStyle w:val="indexentry0"/>
      </w:pPr>
      <w:hyperlink w:anchor="section_8d4ce2eacc594f7691712ea85c07e463">
        <w:r>
          <w:rPr>
            <w:rStyle w:val="Hyperlink"/>
          </w:rPr>
          <w:t>showBubbleSize (Show Bubble Size)</w:t>
        </w:r>
      </w:hyperlink>
      <w:r>
        <w:t xml:space="preserve"> </w:t>
      </w:r>
      <w:r>
        <w:fldChar w:fldCharType="begin"/>
      </w:r>
      <w:r>
        <w:instrText>PAGEREF section_8d4ce2eacc594f7691712ea85c07e463</w:instrText>
      </w:r>
      <w:r>
        <w:fldChar w:fldCharType="separate"/>
      </w:r>
      <w:r>
        <w:rPr>
          <w:noProof/>
        </w:rPr>
        <w:t>572</w:t>
      </w:r>
      <w:r>
        <w:fldChar w:fldCharType="end"/>
      </w:r>
    </w:p>
    <w:p w:rsidR="005F78FC" w:rsidRDefault="00B42EF3">
      <w:pPr>
        <w:pStyle w:val="indexentry0"/>
      </w:pPr>
      <w:hyperlink w:anchor="section_2285918b950e4befa710d7b9588c59c0">
        <w:r>
          <w:rPr>
            <w:rStyle w:val="Hyperlink"/>
          </w:rPr>
          <w:t>showDLblsOverMax (Show Data Labels over Maximum)</w:t>
        </w:r>
      </w:hyperlink>
      <w:r>
        <w:t xml:space="preserve"> </w:t>
      </w:r>
      <w:r>
        <w:fldChar w:fldCharType="begin"/>
      </w:r>
      <w:r>
        <w:instrText>PAGEREF section_2285918b95</w:instrText>
      </w:r>
      <w:r>
        <w:instrText>0e4befa710d7b9588c59c0</w:instrText>
      </w:r>
      <w:r>
        <w:fldChar w:fldCharType="separate"/>
      </w:r>
      <w:r>
        <w:rPr>
          <w:noProof/>
        </w:rPr>
        <w:t>572</w:t>
      </w:r>
      <w:r>
        <w:fldChar w:fldCharType="end"/>
      </w:r>
    </w:p>
    <w:p w:rsidR="005F78FC" w:rsidRDefault="00B42EF3">
      <w:pPr>
        <w:pStyle w:val="indexentry0"/>
      </w:pPr>
      <w:hyperlink w:anchor="section_52830fc380684e699e0e9fdb4d45e7ee">
        <w:r>
          <w:rPr>
            <w:rStyle w:val="Hyperlink"/>
          </w:rPr>
          <w:t>showLeaderLines (Show Leader Lines)</w:t>
        </w:r>
      </w:hyperlink>
      <w:r>
        <w:t xml:space="preserve"> </w:t>
      </w:r>
      <w:r>
        <w:fldChar w:fldCharType="begin"/>
      </w:r>
      <w:r>
        <w:instrText>PAGEREF section_52830fc380684e699e0e9fdb4d45e7ee</w:instrText>
      </w:r>
      <w:r>
        <w:fldChar w:fldCharType="separate"/>
      </w:r>
      <w:r>
        <w:rPr>
          <w:noProof/>
        </w:rPr>
        <w:t>572</w:t>
      </w:r>
      <w:r>
        <w:fldChar w:fldCharType="end"/>
      </w:r>
    </w:p>
    <w:p w:rsidR="005F78FC" w:rsidRDefault="00B42EF3">
      <w:pPr>
        <w:pStyle w:val="indexentry0"/>
      </w:pPr>
      <w:hyperlink w:anchor="section_b0d0713fac9844b4b4ee2a490237c3ac">
        <w:r>
          <w:rPr>
            <w:rStyle w:val="Hyperlink"/>
          </w:rPr>
          <w:t>showLegendKey (Sho</w:t>
        </w:r>
        <w:r>
          <w:rPr>
            <w:rStyle w:val="Hyperlink"/>
          </w:rPr>
          <w:t>w Legend Key)</w:t>
        </w:r>
      </w:hyperlink>
      <w:r>
        <w:t xml:space="preserve"> </w:t>
      </w:r>
      <w:r>
        <w:fldChar w:fldCharType="begin"/>
      </w:r>
      <w:r>
        <w:instrText>PAGEREF section_b0d0713fac9844b4b4ee2a490237c3ac</w:instrText>
      </w:r>
      <w:r>
        <w:fldChar w:fldCharType="separate"/>
      </w:r>
      <w:r>
        <w:rPr>
          <w:noProof/>
        </w:rPr>
        <w:t>573</w:t>
      </w:r>
      <w:r>
        <w:fldChar w:fldCharType="end"/>
      </w:r>
    </w:p>
    <w:p w:rsidR="005F78FC" w:rsidRDefault="00B42EF3">
      <w:pPr>
        <w:pStyle w:val="indexentry0"/>
      </w:pPr>
      <w:hyperlink w:anchor="section_d80518f15c614cbabc0b467b7b9cdd95">
        <w:r>
          <w:rPr>
            <w:rStyle w:val="Hyperlink"/>
          </w:rPr>
          <w:t>showOnOpen (Show On Open)</w:t>
        </w:r>
      </w:hyperlink>
      <w:r>
        <w:t xml:space="preserve"> </w:t>
      </w:r>
      <w:r>
        <w:fldChar w:fldCharType="begin"/>
      </w:r>
      <w:r>
        <w:instrText>PAGEREF section_d80518f15c614cbabc0b467b7b9cdd95</w:instrText>
      </w:r>
      <w:r>
        <w:fldChar w:fldCharType="separate"/>
      </w:r>
      <w:r>
        <w:rPr>
          <w:noProof/>
        </w:rPr>
        <w:t>874</w:t>
      </w:r>
      <w:r>
        <w:fldChar w:fldCharType="end"/>
      </w:r>
    </w:p>
    <w:p w:rsidR="005F78FC" w:rsidRDefault="00B42EF3">
      <w:pPr>
        <w:pStyle w:val="indexentry0"/>
      </w:pPr>
      <w:hyperlink w:anchor="section_5ab67be775d9474c8104d1167f77b169">
        <w:r>
          <w:rPr>
            <w:rStyle w:val="Hyperlink"/>
          </w:rPr>
          <w:t>showPercent (Show Percent)</w:t>
        </w:r>
      </w:hyperlink>
      <w:r>
        <w:t xml:space="preserve"> </w:t>
      </w:r>
      <w:r>
        <w:fldChar w:fldCharType="begin"/>
      </w:r>
      <w:r>
        <w:instrText>PAGEREF section_5ab67be775d9474c8104d1167f77b169</w:instrText>
      </w:r>
      <w:r>
        <w:fldChar w:fldCharType="separate"/>
      </w:r>
      <w:r>
        <w:rPr>
          <w:noProof/>
        </w:rPr>
        <w:t>573</w:t>
      </w:r>
      <w:r>
        <w:fldChar w:fldCharType="end"/>
      </w:r>
    </w:p>
    <w:p w:rsidR="005F78FC" w:rsidRDefault="00B42EF3">
      <w:pPr>
        <w:pStyle w:val="indexentry0"/>
      </w:pPr>
      <w:hyperlink w:anchor="section_80f71dda5cee4b6b8c0a199fd8a8e206">
        <w:r>
          <w:rPr>
            <w:rStyle w:val="Hyperlink"/>
          </w:rPr>
          <w:t>showXMLTags (Show Visual Indicators for Custom XML Markup Start/End Locations)</w:t>
        </w:r>
      </w:hyperlink>
      <w:r>
        <w:t xml:space="preserve"> </w:t>
      </w:r>
      <w:r>
        <w:fldChar w:fldCharType="begin"/>
      </w:r>
      <w:r>
        <w:instrText>PAGEREF section_80f</w:instrText>
      </w:r>
      <w:r>
        <w:instrText>71dda5cee4b6b8c0a199fd8a8e206</w:instrText>
      </w:r>
      <w:r>
        <w:fldChar w:fldCharType="separate"/>
      </w:r>
      <w:r>
        <w:rPr>
          <w:noProof/>
        </w:rPr>
        <w:t>160</w:t>
      </w:r>
      <w:r>
        <w:fldChar w:fldCharType="end"/>
      </w:r>
    </w:p>
    <w:p w:rsidR="005F78FC" w:rsidRDefault="00B42EF3">
      <w:pPr>
        <w:pStyle w:val="indexentry0"/>
      </w:pPr>
      <w:hyperlink w:anchor="section_122e796dc2c746eaa308121affc847f9">
        <w:r>
          <w:rPr>
            <w:rStyle w:val="Hyperlink"/>
          </w:rPr>
          <w:t>shp (Shape (Delimiters))</w:t>
        </w:r>
      </w:hyperlink>
      <w:r>
        <w:t xml:space="preserve"> </w:t>
      </w:r>
      <w:r>
        <w:fldChar w:fldCharType="begin"/>
      </w:r>
      <w:r>
        <w:instrText>PAGEREF section_122e796dc2c746eaa308121affc847f9</w:instrText>
      </w:r>
      <w:r>
        <w:fldChar w:fldCharType="separate"/>
      </w:r>
      <w:r>
        <w:rPr>
          <w:noProof/>
        </w:rPr>
        <w:t>605</w:t>
      </w:r>
      <w:r>
        <w:fldChar w:fldCharType="end"/>
      </w:r>
    </w:p>
    <w:p w:rsidR="005F78FC" w:rsidRDefault="00B42EF3">
      <w:pPr>
        <w:pStyle w:val="indexentry0"/>
      </w:pPr>
      <w:hyperlink w:anchor="section_7265d89c907745b5826fffa7a10811ae">
        <w:r>
          <w:rPr>
            <w:rStyle w:val="Hyperlink"/>
          </w:rPr>
          <w:t>si (String Item)</w:t>
        </w:r>
      </w:hyperlink>
      <w:r>
        <w:t xml:space="preserve"> </w:t>
      </w:r>
      <w:r>
        <w:fldChar w:fldCharType="begin"/>
      </w:r>
      <w:r>
        <w:instrText>PAGEREF section_7265d89c907745b5826fffa7a10811ae</w:instrText>
      </w:r>
      <w:r>
        <w:fldChar w:fldCharType="separate"/>
      </w:r>
      <w:r>
        <w:rPr>
          <w:noProof/>
        </w:rPr>
        <w:t>293</w:t>
      </w:r>
      <w:r>
        <w:fldChar w:fldCharType="end"/>
      </w:r>
    </w:p>
    <w:p w:rsidR="005F78FC" w:rsidRDefault="00B42EF3">
      <w:pPr>
        <w:pStyle w:val="indexentry0"/>
      </w:pPr>
      <w:hyperlink w:anchor="section_a0cfce2cbcc6459ab1af121b9b2453bf">
        <w:r>
          <w:rPr>
            <w:rStyle w:val="Hyperlink"/>
          </w:rPr>
          <w:t>sideWall (Side Wall)</w:t>
        </w:r>
      </w:hyperlink>
      <w:r>
        <w:t xml:space="preserve"> </w:t>
      </w:r>
      <w:r>
        <w:fldChar w:fldCharType="begin"/>
      </w:r>
      <w:r>
        <w:instrText>PAGEREF section_a0cfce2cbcc6459ab1af121b9b2453bf</w:instrText>
      </w:r>
      <w:r>
        <w:fldChar w:fldCharType="separate"/>
      </w:r>
      <w:r>
        <w:rPr>
          <w:noProof/>
        </w:rPr>
        <w:t>573</w:t>
      </w:r>
      <w:r>
        <w:fldChar w:fldCharType="end"/>
      </w:r>
    </w:p>
    <w:p w:rsidR="005F78FC" w:rsidRDefault="00B42EF3">
      <w:pPr>
        <w:pStyle w:val="indexentry0"/>
      </w:pPr>
      <w:hyperlink w:anchor="section_b66d6f1254b749ddbe00148ca16a9bdf">
        <w:r>
          <w:rPr>
            <w:rStyle w:val="Hyperlink"/>
          </w:rPr>
          <w:t>sig (Su</w:t>
        </w:r>
        <w:r>
          <w:rPr>
            <w:rStyle w:val="Hyperlink"/>
          </w:rPr>
          <w:t>pported Unicode Subranges and Code Pages)</w:t>
        </w:r>
      </w:hyperlink>
      <w:r>
        <w:t xml:space="preserve"> </w:t>
      </w:r>
      <w:r>
        <w:fldChar w:fldCharType="begin"/>
      </w:r>
      <w:r>
        <w:instrText>PAGEREF section_b66d6f1254b749ddbe00148ca16a9bdf</w:instrText>
      </w:r>
      <w:r>
        <w:fldChar w:fldCharType="separate"/>
      </w:r>
      <w:r>
        <w:rPr>
          <w:noProof/>
        </w:rPr>
        <w:t>126</w:t>
      </w:r>
      <w:r>
        <w:fldChar w:fldCharType="end"/>
      </w:r>
    </w:p>
    <w:p w:rsidR="005F78FC" w:rsidRDefault="00B42EF3">
      <w:pPr>
        <w:pStyle w:val="indexentry0"/>
      </w:pPr>
      <w:hyperlink w:anchor="section_ccba739517034b508c1eecb83dfa792b">
        <w:r>
          <w:rPr>
            <w:rStyle w:val="Hyperlink"/>
          </w:rPr>
          <w:t>SignatureComments (Signature Comments)</w:t>
        </w:r>
      </w:hyperlink>
      <w:r>
        <w:t xml:space="preserve"> </w:t>
      </w:r>
      <w:r>
        <w:fldChar w:fldCharType="begin"/>
      </w:r>
      <w:r>
        <w:instrText>PAGEREF section_ccba739517034b508c1eecb83dfa792b</w:instrText>
      </w:r>
      <w:r>
        <w:fldChar w:fldCharType="separate"/>
      </w:r>
      <w:r>
        <w:rPr>
          <w:noProof/>
        </w:rPr>
        <w:t>888</w:t>
      </w:r>
      <w:r>
        <w:fldChar w:fldCharType="end"/>
      </w:r>
    </w:p>
    <w:p w:rsidR="005F78FC" w:rsidRDefault="00B42EF3">
      <w:pPr>
        <w:pStyle w:val="indexentry0"/>
      </w:pPr>
      <w:hyperlink w:anchor="section_0e70da4046be4ddab93009c8e7e5f116">
        <w:r>
          <w:rPr>
            <w:rStyle w:val="Hyperlink"/>
          </w:rPr>
          <w:t>SignatureImage (Signature Image)</w:t>
        </w:r>
      </w:hyperlink>
      <w:r>
        <w:t xml:space="preserve"> </w:t>
      </w:r>
      <w:r>
        <w:fldChar w:fldCharType="begin"/>
      </w:r>
      <w:r>
        <w:instrText>PAGEREF section_0e70da4046be4ddab93009c8e7e5f116</w:instrText>
      </w:r>
      <w:r>
        <w:fldChar w:fldCharType="separate"/>
      </w:r>
      <w:r>
        <w:rPr>
          <w:noProof/>
        </w:rPr>
        <w:t>888</w:t>
      </w:r>
      <w:r>
        <w:fldChar w:fldCharType="end"/>
      </w:r>
    </w:p>
    <w:p w:rsidR="005F78FC" w:rsidRDefault="00B42EF3">
      <w:pPr>
        <w:pStyle w:val="indexentry0"/>
      </w:pPr>
      <w:hyperlink w:anchor="section_e1d590674b8849f19da10255d76b4ffa">
        <w:r>
          <w:rPr>
            <w:rStyle w:val="Hyperlink"/>
          </w:rPr>
          <w:t>SignatureInfoV1 (Office Digital Signature V1 Info)</w:t>
        </w:r>
      </w:hyperlink>
      <w:r>
        <w:t xml:space="preserve"> </w:t>
      </w:r>
      <w:r>
        <w:fldChar w:fldCharType="begin"/>
      </w:r>
      <w:r>
        <w:instrText>PAGEREF section_e1d590674b8849f19da10255d76b4ffa</w:instrText>
      </w:r>
      <w:r>
        <w:fldChar w:fldCharType="separate"/>
      </w:r>
      <w:r>
        <w:rPr>
          <w:noProof/>
        </w:rPr>
        <w:t>888</w:t>
      </w:r>
      <w:r>
        <w:fldChar w:fldCharType="end"/>
      </w:r>
    </w:p>
    <w:p w:rsidR="005F78FC" w:rsidRDefault="00B42EF3">
      <w:pPr>
        <w:pStyle w:val="indexentry0"/>
      </w:pPr>
      <w:hyperlink w:anchor="section_16a6934dddaf47e99b2ade1f45ded0f9">
        <w:r>
          <w:rPr>
            <w:rStyle w:val="Hyperlink"/>
          </w:rPr>
          <w:t>signatureline (Digital Signature Line)</w:t>
        </w:r>
      </w:hyperlink>
      <w:r>
        <w:t xml:space="preserve"> </w:t>
      </w:r>
      <w:r>
        <w:fldChar w:fldCharType="begin"/>
      </w:r>
      <w:r>
        <w:instrText>PAGEREF section_16a6934dddaf47e99b2ade1f45ded0f9</w:instrText>
      </w:r>
      <w:r>
        <w:fldChar w:fldCharType="separate"/>
      </w:r>
      <w:r>
        <w:rPr>
          <w:noProof/>
        </w:rPr>
        <w:t>675</w:t>
      </w:r>
      <w:r>
        <w:fldChar w:fldCharType="end"/>
      </w:r>
    </w:p>
    <w:p w:rsidR="005F78FC" w:rsidRDefault="00B42EF3">
      <w:pPr>
        <w:pStyle w:val="indexentry0"/>
      </w:pPr>
      <w:hyperlink w:anchor="section_817e07a284144dd8af897daef5636490">
        <w:r>
          <w:rPr>
            <w:rStyle w:val="Hyperlink"/>
          </w:rPr>
          <w:t>SignatureProviderDetails (Signature Provider Details)</w:t>
        </w:r>
      </w:hyperlink>
      <w:r>
        <w:t xml:space="preserve"> </w:t>
      </w:r>
      <w:r>
        <w:fldChar w:fldCharType="begin"/>
      </w:r>
      <w:r>
        <w:instrText>PAGEREF section_817e07a284144dd8af897daef5636490</w:instrText>
      </w:r>
      <w:r>
        <w:fldChar w:fldCharType="separate"/>
      </w:r>
      <w:r>
        <w:rPr>
          <w:noProof/>
        </w:rPr>
        <w:t>889</w:t>
      </w:r>
      <w:r>
        <w:fldChar w:fldCharType="end"/>
      </w:r>
    </w:p>
    <w:p w:rsidR="005F78FC" w:rsidRDefault="00B42EF3">
      <w:pPr>
        <w:pStyle w:val="indexentry0"/>
      </w:pPr>
      <w:hyperlink w:anchor="section_67ad36eae0d24df6b7e1c3dc0d6b32ea">
        <w:r>
          <w:rPr>
            <w:rStyle w:val="Hyperlink"/>
          </w:rPr>
          <w:t>SignatureProviderId (Signa</w:t>
        </w:r>
        <w:r>
          <w:rPr>
            <w:rStyle w:val="Hyperlink"/>
          </w:rPr>
          <w:t>ture Provider ID)</w:t>
        </w:r>
      </w:hyperlink>
      <w:r>
        <w:t xml:space="preserve"> </w:t>
      </w:r>
      <w:r>
        <w:fldChar w:fldCharType="begin"/>
      </w:r>
      <w:r>
        <w:instrText>PAGEREF section_67ad36eae0d24df6b7e1c3dc0d6b32ea</w:instrText>
      </w:r>
      <w:r>
        <w:fldChar w:fldCharType="separate"/>
      </w:r>
      <w:r>
        <w:rPr>
          <w:noProof/>
        </w:rPr>
        <w:t>890</w:t>
      </w:r>
      <w:r>
        <w:fldChar w:fldCharType="end"/>
      </w:r>
    </w:p>
    <w:p w:rsidR="005F78FC" w:rsidRDefault="00B42EF3">
      <w:pPr>
        <w:pStyle w:val="indexentry0"/>
      </w:pPr>
      <w:hyperlink w:anchor="section_74b29f9a7df748178e172d784aadffe9">
        <w:r>
          <w:rPr>
            <w:rStyle w:val="Hyperlink"/>
          </w:rPr>
          <w:t>SignatureProviderUrl (Signature Provider URL)</w:t>
        </w:r>
      </w:hyperlink>
      <w:r>
        <w:t xml:space="preserve"> </w:t>
      </w:r>
      <w:r>
        <w:fldChar w:fldCharType="begin"/>
      </w:r>
      <w:r>
        <w:instrText>PAGEREF section_74b29f9a7df748178e172d784aadffe9</w:instrText>
      </w:r>
      <w:r>
        <w:fldChar w:fldCharType="separate"/>
      </w:r>
      <w:r>
        <w:rPr>
          <w:noProof/>
        </w:rPr>
        <w:t>890</w:t>
      </w:r>
      <w:r>
        <w:fldChar w:fldCharType="end"/>
      </w:r>
    </w:p>
    <w:p w:rsidR="005F78FC" w:rsidRDefault="00B42EF3">
      <w:pPr>
        <w:pStyle w:val="indexentry0"/>
      </w:pPr>
      <w:hyperlink w:anchor="section_1821e4f974df4c2f83261b8cfbf05832">
        <w:r>
          <w:rPr>
            <w:rStyle w:val="Hyperlink"/>
          </w:rPr>
          <w:t>SignatureText (Signature Text)</w:t>
        </w:r>
      </w:hyperlink>
      <w:r>
        <w:t xml:space="preserve"> </w:t>
      </w:r>
      <w:r>
        <w:fldChar w:fldCharType="begin"/>
      </w:r>
      <w:r>
        <w:instrText>PAGEREF section_1821e4f974df4c2f83261b8cfbf05832</w:instrText>
      </w:r>
      <w:r>
        <w:fldChar w:fldCharType="separate"/>
      </w:r>
      <w:r>
        <w:rPr>
          <w:noProof/>
        </w:rPr>
        <w:t>890</w:t>
      </w:r>
      <w:r>
        <w:fldChar w:fldCharType="end"/>
      </w:r>
    </w:p>
    <w:p w:rsidR="005F78FC" w:rsidRDefault="00B42EF3">
      <w:pPr>
        <w:pStyle w:val="indexentry0"/>
      </w:pPr>
      <w:hyperlink w:anchor="section_f57f4e24eab6408c9e521bdd530a42f2">
        <w:r>
          <w:rPr>
            <w:rStyle w:val="Hyperlink"/>
          </w:rPr>
          <w:t>SignatureType (Signature Type)</w:t>
        </w:r>
      </w:hyperlink>
      <w:r>
        <w:t xml:space="preserve"> </w:t>
      </w:r>
      <w:r>
        <w:fldChar w:fldCharType="begin"/>
      </w:r>
      <w:r>
        <w:instrText>PAGEREF section_</w:instrText>
      </w:r>
      <w:r>
        <w:instrText>f57f4e24eab6408c9e521bdd530a42f2</w:instrText>
      </w:r>
      <w:r>
        <w:fldChar w:fldCharType="separate"/>
      </w:r>
      <w:r>
        <w:rPr>
          <w:noProof/>
        </w:rPr>
        <w:t>891</w:t>
      </w:r>
      <w:r>
        <w:fldChar w:fldCharType="end"/>
      </w:r>
    </w:p>
    <w:p w:rsidR="005F78FC" w:rsidRDefault="00B42EF3">
      <w:pPr>
        <w:pStyle w:val="indexentry0"/>
      </w:pPr>
      <w:r>
        <w:t>Simple Types (</w:t>
      </w:r>
      <w:hyperlink w:anchor="section_176bd1fdfd4a4524a75256b44c1e2eac">
        <w:r>
          <w:rPr>
            <w:rStyle w:val="Hyperlink"/>
          </w:rPr>
          <w:t>section 3.1.2.3</w:t>
        </w:r>
      </w:hyperlink>
      <w:r>
        <w:t xml:space="preserve"> </w:t>
      </w:r>
      <w:r>
        <w:fldChar w:fldCharType="begin"/>
      </w:r>
      <w:r>
        <w:instrText>PAGEREF section_176bd1fdfd4a4524a75256b44c1e2eac</w:instrText>
      </w:r>
      <w:r>
        <w:fldChar w:fldCharType="separate"/>
      </w:r>
      <w:r>
        <w:rPr>
          <w:noProof/>
        </w:rPr>
        <w:t>788</w:t>
      </w:r>
      <w:r>
        <w:fldChar w:fldCharType="end"/>
      </w:r>
      <w:r>
        <w:t xml:space="preserve">, </w:t>
      </w:r>
      <w:hyperlink w:anchor="section_86f6d7c756104b598a6be11314b01c3c">
        <w:r>
          <w:rPr>
            <w:rStyle w:val="Hyperlink"/>
          </w:rPr>
          <w:t>section 3.1.3</w:t>
        </w:r>
        <w:r>
          <w:rPr>
            <w:rStyle w:val="Hyperlink"/>
          </w:rPr>
          <w:t>.3</w:t>
        </w:r>
      </w:hyperlink>
      <w:r>
        <w:t xml:space="preserve"> </w:t>
      </w:r>
      <w:r>
        <w:fldChar w:fldCharType="begin"/>
      </w:r>
      <w:r>
        <w:instrText>PAGEREF section_86f6d7c756104b598a6be11314b01c3c</w:instrText>
      </w:r>
      <w:r>
        <w:fldChar w:fldCharType="separate"/>
      </w:r>
      <w:r>
        <w:rPr>
          <w:noProof/>
        </w:rPr>
        <w:t>825</w:t>
      </w:r>
      <w:r>
        <w:fldChar w:fldCharType="end"/>
      </w:r>
      <w:r>
        <w:t xml:space="preserve">, </w:t>
      </w:r>
      <w:hyperlink w:anchor="section_a20f5177ac074c6292bf74b5c06124a7">
        <w:r>
          <w:rPr>
            <w:rStyle w:val="Hyperlink"/>
          </w:rPr>
          <w:t>section 3.1.4.2.2</w:t>
        </w:r>
      </w:hyperlink>
      <w:r>
        <w:t xml:space="preserve"> </w:t>
      </w:r>
      <w:r>
        <w:fldChar w:fldCharType="begin"/>
      </w:r>
      <w:r>
        <w:instrText>PAGEREF section_a20f5177ac074c6292bf74b5c06124a7</w:instrText>
      </w:r>
      <w:r>
        <w:fldChar w:fldCharType="separate"/>
      </w:r>
      <w:r>
        <w:rPr>
          <w:noProof/>
        </w:rPr>
        <w:t>834</w:t>
      </w:r>
      <w:r>
        <w:fldChar w:fldCharType="end"/>
      </w:r>
      <w:r>
        <w:t xml:space="preserve">, </w:t>
      </w:r>
      <w:hyperlink w:anchor="section_da76a61047af4705a9fd865189332ca7">
        <w:r>
          <w:rPr>
            <w:rStyle w:val="Hyperlink"/>
          </w:rPr>
          <w:t>sec</w:t>
        </w:r>
        <w:r>
          <w:rPr>
            <w:rStyle w:val="Hyperlink"/>
          </w:rPr>
          <w:t>tion 3.2.2.2</w:t>
        </w:r>
      </w:hyperlink>
      <w:r>
        <w:t xml:space="preserve"> </w:t>
      </w:r>
      <w:r>
        <w:fldChar w:fldCharType="begin"/>
      </w:r>
      <w:r>
        <w:instrText>PAGEREF section_da76a61047af4705a9fd865189332ca7</w:instrText>
      </w:r>
      <w:r>
        <w:fldChar w:fldCharType="separate"/>
      </w:r>
      <w:r>
        <w:rPr>
          <w:noProof/>
        </w:rPr>
        <w:t>843</w:t>
      </w:r>
      <w:r>
        <w:fldChar w:fldCharType="end"/>
      </w:r>
      <w:r>
        <w:t xml:space="preserve">, </w:t>
      </w:r>
      <w:hyperlink w:anchor="section_e02f27204f8f4058bf5810a906dbfbdd">
        <w:r>
          <w:rPr>
            <w:rStyle w:val="Hyperlink"/>
          </w:rPr>
          <w:t>section 3.5.1.1.2</w:t>
        </w:r>
      </w:hyperlink>
      <w:r>
        <w:t xml:space="preserve"> </w:t>
      </w:r>
      <w:r>
        <w:fldChar w:fldCharType="begin"/>
      </w:r>
      <w:r>
        <w:instrText>PAGEREF section_e02f27204f8f4058bf5810a906dbfbdd</w:instrText>
      </w:r>
      <w:r>
        <w:fldChar w:fldCharType="separate"/>
      </w:r>
      <w:r>
        <w:rPr>
          <w:noProof/>
        </w:rPr>
        <w:t>859</w:t>
      </w:r>
      <w:r>
        <w:fldChar w:fldCharType="end"/>
      </w:r>
      <w:r>
        <w:t xml:space="preserve">, </w:t>
      </w:r>
      <w:hyperlink w:anchor="section_93cad72f9088475cad522414313896bd">
        <w:r>
          <w:rPr>
            <w:rStyle w:val="Hyperlink"/>
          </w:rPr>
          <w:t>section 3.5.2.2.2</w:t>
        </w:r>
      </w:hyperlink>
      <w:r>
        <w:t xml:space="preserve"> </w:t>
      </w:r>
      <w:r>
        <w:fldChar w:fldCharType="begin"/>
      </w:r>
      <w:r>
        <w:instrText>PAGEREF section_93cad72f9088475cad522414313896bd</w:instrText>
      </w:r>
      <w:r>
        <w:fldChar w:fldCharType="separate"/>
      </w:r>
      <w:r>
        <w:rPr>
          <w:noProof/>
        </w:rPr>
        <w:t>870</w:t>
      </w:r>
      <w:r>
        <w:fldChar w:fldCharType="end"/>
      </w:r>
      <w:r>
        <w:t xml:space="preserve">, </w:t>
      </w:r>
      <w:hyperlink w:anchor="section_400616b7500d47efae7ea5970329dfe1">
        <w:r>
          <w:rPr>
            <w:rStyle w:val="Hyperlink"/>
          </w:rPr>
          <w:t>section 3.6.2</w:t>
        </w:r>
      </w:hyperlink>
      <w:r>
        <w:t xml:space="preserve"> </w:t>
      </w:r>
      <w:r>
        <w:fldChar w:fldCharType="begin"/>
      </w:r>
      <w:r>
        <w:instrText>PAGEREF section_400616b7500d47efae7ea5970329dfe1</w:instrText>
      </w:r>
      <w:r>
        <w:fldChar w:fldCharType="separate"/>
      </w:r>
      <w:r>
        <w:rPr>
          <w:noProof/>
        </w:rPr>
        <w:t>883</w:t>
      </w:r>
      <w:r>
        <w:fldChar w:fldCharType="end"/>
      </w:r>
      <w:r>
        <w:t xml:space="preserve">, </w:t>
      </w:r>
      <w:hyperlink w:anchor="section_b4881ca5844b40749239281e24d3de66">
        <w:r>
          <w:rPr>
            <w:rStyle w:val="Hyperlink"/>
          </w:rPr>
          <w:t>section 3.7.2</w:t>
        </w:r>
      </w:hyperlink>
      <w:r>
        <w:t xml:space="preserve"> </w:t>
      </w:r>
      <w:r>
        <w:fldChar w:fldCharType="begin"/>
      </w:r>
      <w:r>
        <w:instrText>PAGEREF section_b4881ca5844b40749239281e24d3de66</w:instrText>
      </w:r>
      <w:r>
        <w:fldChar w:fldCharType="separate"/>
      </w:r>
      <w:r>
        <w:rPr>
          <w:noProof/>
        </w:rPr>
        <w:t>892</w:t>
      </w:r>
      <w:r>
        <w:fldChar w:fldCharType="end"/>
      </w:r>
      <w:r>
        <w:t>)</w:t>
      </w:r>
    </w:p>
    <w:p w:rsidR="005F78FC" w:rsidRDefault="00B42EF3">
      <w:pPr>
        <w:pStyle w:val="indexentry0"/>
      </w:pPr>
      <w:hyperlink w:anchor="section_9d3137ee53f64d7cb7e02f92cc2573a8">
        <w:r>
          <w:rPr>
            <w:rStyle w:val="Hyperlink"/>
          </w:rPr>
          <w:t>Simple Types (Additional Information)</w:t>
        </w:r>
      </w:hyperlink>
      <w:r>
        <w:t xml:space="preserve"> </w:t>
      </w:r>
      <w:r>
        <w:fldChar w:fldCharType="begin"/>
      </w:r>
      <w:r>
        <w:instrText>PAGEREF section_9d3137ee53f64d7cb7e02f92cc2573a8</w:instrText>
      </w:r>
      <w:r>
        <w:fldChar w:fldCharType="separate"/>
      </w:r>
      <w:r>
        <w:rPr>
          <w:noProof/>
        </w:rPr>
        <w:t>899</w:t>
      </w:r>
      <w:r>
        <w:fldChar w:fldCharType="end"/>
      </w:r>
    </w:p>
    <w:p w:rsidR="005F78FC" w:rsidRDefault="00B42EF3">
      <w:pPr>
        <w:pStyle w:val="indexentry0"/>
      </w:pPr>
      <w:hyperlink w:anchor="section_2897355e41e04be5a27ea94fe8c6de66">
        <w:r>
          <w:rPr>
            <w:rStyle w:val="Hyperlink"/>
          </w:rPr>
          <w:t>simplePos (Simple Positioning Coordinates)</w:t>
        </w:r>
      </w:hyperlink>
      <w:r>
        <w:t xml:space="preserve"> </w:t>
      </w:r>
      <w:r>
        <w:fldChar w:fldCharType="begin"/>
      </w:r>
      <w:r>
        <w:instrText>PAGEREF section_2897355e41e04be5a27ea94fe8c6de66</w:instrText>
      </w:r>
      <w:r>
        <w:fldChar w:fldCharType="separate"/>
      </w:r>
      <w:r>
        <w:rPr>
          <w:noProof/>
        </w:rPr>
        <w:t>527</w:t>
      </w:r>
      <w:r>
        <w:fldChar w:fldCharType="end"/>
      </w:r>
    </w:p>
    <w:p w:rsidR="005F78FC" w:rsidRDefault="00B42EF3">
      <w:pPr>
        <w:pStyle w:val="indexentry0"/>
      </w:pPr>
      <w:hyperlink w:anchor="section_75fa1301c60a407b953d83f5eb3abbb9">
        <w:r>
          <w:rPr>
            <w:rStyle w:val="Hyperlink"/>
          </w:rPr>
          <w:t>SIN</w:t>
        </w:r>
      </w:hyperlink>
      <w:r>
        <w:t xml:space="preserve"> </w:t>
      </w:r>
      <w:r>
        <w:fldChar w:fldCharType="begin"/>
      </w:r>
      <w:r>
        <w:instrText>PAGEREF section_75fa1301c60a407</w:instrText>
      </w:r>
      <w:r>
        <w:instrText>b953d83f5eb3abbb9</w:instrText>
      </w:r>
      <w:r>
        <w:fldChar w:fldCharType="separate"/>
      </w:r>
      <w:r>
        <w:rPr>
          <w:noProof/>
        </w:rPr>
        <w:t>450</w:t>
      </w:r>
      <w:r>
        <w:fldChar w:fldCharType="end"/>
      </w:r>
    </w:p>
    <w:p w:rsidR="005F78FC" w:rsidRDefault="00B42EF3">
      <w:pPr>
        <w:pStyle w:val="indexentry0"/>
      </w:pPr>
      <w:hyperlink w:anchor="section_739cf85bb45b4850ba8f6f7b737607be">
        <w:r>
          <w:rPr>
            <w:rStyle w:val="Hyperlink"/>
          </w:rPr>
          <w:t>Single Cell Table Definitions Part</w:t>
        </w:r>
      </w:hyperlink>
      <w:r>
        <w:t xml:space="preserve"> </w:t>
      </w:r>
      <w:r>
        <w:fldChar w:fldCharType="begin"/>
      </w:r>
      <w:r>
        <w:instrText>PAGEREF section_739cf85bb45b4850ba8f6f7b737607be</w:instrText>
      </w:r>
      <w:r>
        <w:fldChar w:fldCharType="separate"/>
      </w:r>
      <w:r>
        <w:rPr>
          <w:noProof/>
        </w:rPr>
        <w:t>50</w:t>
      </w:r>
      <w:r>
        <w:fldChar w:fldCharType="end"/>
      </w:r>
    </w:p>
    <w:p w:rsidR="005F78FC" w:rsidRDefault="00B42EF3">
      <w:pPr>
        <w:pStyle w:val="indexentry0"/>
      </w:pPr>
      <w:hyperlink w:anchor="section_5da2bd53cc8540b2821cdcb841fe740e">
        <w:r>
          <w:rPr>
            <w:rStyle w:val="Hyperlink"/>
          </w:rPr>
          <w:t>singleXmlCell (Table Pro</w:t>
        </w:r>
        <w:r>
          <w:rPr>
            <w:rStyle w:val="Hyperlink"/>
          </w:rPr>
          <w:t>perties)</w:t>
        </w:r>
      </w:hyperlink>
      <w:r>
        <w:t xml:space="preserve"> </w:t>
      </w:r>
      <w:r>
        <w:fldChar w:fldCharType="begin"/>
      </w:r>
      <w:r>
        <w:instrText>PAGEREF section_5da2bd53cc8540b2821cdcb841fe740e</w:instrText>
      </w:r>
      <w:r>
        <w:fldChar w:fldCharType="separate"/>
      </w:r>
      <w:r>
        <w:rPr>
          <w:noProof/>
        </w:rPr>
        <w:t>297</w:t>
      </w:r>
      <w:r>
        <w:fldChar w:fldCharType="end"/>
      </w:r>
    </w:p>
    <w:p w:rsidR="005F78FC" w:rsidRDefault="00B42EF3">
      <w:pPr>
        <w:pStyle w:val="indexentry0"/>
      </w:pPr>
      <w:hyperlink w:anchor="section_f73499992b8b434ba3ca650b7c61f2b5">
        <w:r>
          <w:rPr>
            <w:rStyle w:val="Hyperlink"/>
          </w:rPr>
          <w:t>SizeWithCells (Resize with Cells)</w:t>
        </w:r>
      </w:hyperlink>
      <w:r>
        <w:t xml:space="preserve"> </w:t>
      </w:r>
      <w:r>
        <w:fldChar w:fldCharType="begin"/>
      </w:r>
      <w:r>
        <w:instrText>PAGEREF section_f73499992b8b434ba3ca650b7c61f2b5</w:instrText>
      </w:r>
      <w:r>
        <w:fldChar w:fldCharType="separate"/>
      </w:r>
      <w:r>
        <w:rPr>
          <w:noProof/>
        </w:rPr>
        <w:t>683</w:t>
      </w:r>
      <w:r>
        <w:fldChar w:fldCharType="end"/>
      </w:r>
    </w:p>
    <w:p w:rsidR="005F78FC" w:rsidRDefault="00B42EF3">
      <w:pPr>
        <w:pStyle w:val="indexentry0"/>
      </w:pPr>
      <w:hyperlink w:anchor="section_c35e498b1fca43f89b79e7646cb54ddf">
        <w:r>
          <w:rPr>
            <w:rStyle w:val="Hyperlink"/>
          </w:rPr>
          <w:t>skew (Skew Transform)</w:t>
        </w:r>
      </w:hyperlink>
      <w:r>
        <w:t xml:space="preserve"> </w:t>
      </w:r>
      <w:r>
        <w:fldChar w:fldCharType="begin"/>
      </w:r>
      <w:r>
        <w:instrText>PAGEREF section_c35e498b1fca43f89b79e7646cb54ddf</w:instrText>
      </w:r>
      <w:r>
        <w:fldChar w:fldCharType="separate"/>
      </w:r>
      <w:r>
        <w:rPr>
          <w:noProof/>
        </w:rPr>
        <w:t>676</w:t>
      </w:r>
      <w:r>
        <w:fldChar w:fldCharType="end"/>
      </w:r>
    </w:p>
    <w:p w:rsidR="005F78FC" w:rsidRDefault="00B42EF3">
      <w:pPr>
        <w:pStyle w:val="indexentry0"/>
      </w:pPr>
      <w:hyperlink w:anchor="section_7ceafbd6ebba4a17865bb88d5a6b0930">
        <w:r>
          <w:rPr>
            <w:rStyle w:val="Hyperlink"/>
          </w:rPr>
          <w:t>SKIPIF</w:t>
        </w:r>
      </w:hyperlink>
      <w:r>
        <w:t xml:space="preserve"> </w:t>
      </w:r>
      <w:r>
        <w:fldChar w:fldCharType="begin"/>
      </w:r>
      <w:r>
        <w:instrText>PAGEREF section_7ceafbd6ebba4a17865bb88d5a6b0930</w:instrText>
      </w:r>
      <w:r>
        <w:fldChar w:fldCharType="separate"/>
      </w:r>
      <w:r>
        <w:rPr>
          <w:noProof/>
        </w:rPr>
        <w:t>225</w:t>
      </w:r>
      <w:r>
        <w:fldChar w:fldCharType="end"/>
      </w:r>
    </w:p>
    <w:p w:rsidR="005F78FC" w:rsidRDefault="00B42EF3">
      <w:pPr>
        <w:pStyle w:val="indexentry0"/>
      </w:pPr>
      <w:hyperlink w:anchor="section_ba458354c051419ea68e0027cbac03bc">
        <w:r>
          <w:rPr>
            <w:rStyle w:val="Hyperlink"/>
          </w:rPr>
          <w:t>sld (Presentation Slide)</w:t>
        </w:r>
      </w:hyperlink>
      <w:r>
        <w:t xml:space="preserve"> </w:t>
      </w:r>
      <w:r>
        <w:fldChar w:fldCharType="begin"/>
      </w:r>
      <w:r>
        <w:instrText>PAGEREF section_ba458354c051419ea68e0027cbac03bc</w:instrText>
      </w:r>
      <w:r>
        <w:fldChar w:fldCharType="separate"/>
      </w:r>
      <w:r>
        <w:rPr>
          <w:noProof/>
        </w:rPr>
        <w:t>471</w:t>
      </w:r>
      <w:r>
        <w:fldChar w:fldCharType="end"/>
      </w:r>
    </w:p>
    <w:p w:rsidR="005F78FC" w:rsidRDefault="00B42EF3">
      <w:pPr>
        <w:pStyle w:val="indexentry0"/>
      </w:pPr>
      <w:hyperlink w:anchor="section_e1331a7584dc46d29e5551afd9f38af8">
        <w:r>
          <w:rPr>
            <w:rStyle w:val="Hyperlink"/>
          </w:rPr>
          <w:t>sldRg (Slide Range)</w:t>
        </w:r>
      </w:hyperlink>
      <w:r>
        <w:t xml:space="preserve"> </w:t>
      </w:r>
      <w:r>
        <w:fldChar w:fldCharType="begin"/>
      </w:r>
      <w:r>
        <w:instrText>PAGEREF section_e1331a7584dc46d29e5551afd9f38af8</w:instrText>
      </w:r>
      <w:r>
        <w:fldChar w:fldCharType="separate"/>
      </w:r>
      <w:r>
        <w:rPr>
          <w:noProof/>
        </w:rPr>
        <w:t>468</w:t>
      </w:r>
      <w:r>
        <w:fldChar w:fldCharType="end"/>
      </w:r>
    </w:p>
    <w:p w:rsidR="005F78FC" w:rsidRDefault="00B42EF3">
      <w:pPr>
        <w:pStyle w:val="indexentry0"/>
      </w:pPr>
      <w:hyperlink w:anchor="section_de4053e1e1ca4cc2a810aa2da4cc43a0">
        <w:r>
          <w:rPr>
            <w:rStyle w:val="Hyperlink"/>
          </w:rPr>
          <w:t>sldSz (Presentation Slide Size)</w:t>
        </w:r>
      </w:hyperlink>
      <w:r>
        <w:t xml:space="preserve"> </w:t>
      </w:r>
      <w:r>
        <w:fldChar w:fldCharType="begin"/>
      </w:r>
      <w:r>
        <w:instrText>PAGEREF section_de4053e1e1ca4cc2a810aa2da4cc43a0</w:instrText>
      </w:r>
      <w:r>
        <w:fldChar w:fldCharType="separate"/>
      </w:r>
      <w:r>
        <w:rPr>
          <w:noProof/>
        </w:rPr>
        <w:t>468</w:t>
      </w:r>
      <w:r>
        <w:fldChar w:fldCharType="end"/>
      </w:r>
    </w:p>
    <w:p w:rsidR="005F78FC" w:rsidRDefault="00B42EF3">
      <w:pPr>
        <w:pStyle w:val="indexentry0"/>
      </w:pPr>
      <w:hyperlink w:anchor="section_97031c34d08441cabd6bd861582b1ba4">
        <w:r>
          <w:rPr>
            <w:rStyle w:val="Hyperlink"/>
          </w:rPr>
          <w:t>sldTgt (Slide Target)</w:t>
        </w:r>
      </w:hyperlink>
      <w:r>
        <w:t xml:space="preserve"> </w:t>
      </w:r>
      <w:r>
        <w:fldChar w:fldCharType="begin"/>
      </w:r>
      <w:r>
        <w:instrText>PAGEREF section_97031c34d08441cabd6bd861582b1ba4</w:instrText>
      </w:r>
      <w:r>
        <w:fldChar w:fldCharType="separate"/>
      </w:r>
      <w:r>
        <w:rPr>
          <w:noProof/>
        </w:rPr>
        <w:t>488</w:t>
      </w:r>
      <w:r>
        <w:fldChar w:fldCharType="end"/>
      </w:r>
    </w:p>
    <w:p w:rsidR="005F78FC" w:rsidRDefault="00B42EF3">
      <w:pPr>
        <w:pStyle w:val="indexentry0"/>
      </w:pPr>
      <w:hyperlink w:anchor="section_0e96b521bd75493cbec627b7784d46c7">
        <w:r>
          <w:rPr>
            <w:rStyle w:val="Hyperlink"/>
          </w:rPr>
          <w:t>Slide Layout Part</w:t>
        </w:r>
      </w:hyperlink>
      <w:r>
        <w:t xml:space="preserve"> </w:t>
      </w:r>
      <w:r>
        <w:fldChar w:fldCharType="begin"/>
      </w:r>
      <w:r>
        <w:instrText>PAGEREF section_0e96b521bd75493cbec627b7784d46c7</w:instrText>
      </w:r>
      <w:r>
        <w:fldChar w:fldCharType="separate"/>
      </w:r>
      <w:r>
        <w:rPr>
          <w:noProof/>
        </w:rPr>
        <w:t>56</w:t>
      </w:r>
      <w:r>
        <w:fldChar w:fldCharType="end"/>
      </w:r>
    </w:p>
    <w:p w:rsidR="005F78FC" w:rsidRDefault="00B42EF3">
      <w:pPr>
        <w:pStyle w:val="indexentry0"/>
      </w:pPr>
      <w:hyperlink w:anchor="section_ce80d3db31664d82981a77c01473a7f6">
        <w:r>
          <w:rPr>
            <w:rStyle w:val="Hyperlink"/>
          </w:rPr>
          <w:t>Slide Mast</w:t>
        </w:r>
        <w:r>
          <w:rPr>
            <w:rStyle w:val="Hyperlink"/>
          </w:rPr>
          <w:t>er Part</w:t>
        </w:r>
      </w:hyperlink>
      <w:r>
        <w:t xml:space="preserve"> </w:t>
      </w:r>
      <w:r>
        <w:fldChar w:fldCharType="begin"/>
      </w:r>
      <w:r>
        <w:instrText>PAGEREF section_ce80d3db31664d82981a77c01473a7f6</w:instrText>
      </w:r>
      <w:r>
        <w:fldChar w:fldCharType="separate"/>
      </w:r>
      <w:r>
        <w:rPr>
          <w:noProof/>
        </w:rPr>
        <w:t>57</w:t>
      </w:r>
      <w:r>
        <w:fldChar w:fldCharType="end"/>
      </w:r>
    </w:p>
    <w:p w:rsidR="005F78FC" w:rsidRDefault="00B42EF3">
      <w:pPr>
        <w:pStyle w:val="indexentry0"/>
      </w:pPr>
      <w:hyperlink w:anchor="section_709d622fc25e488c820de04e3be537c6">
        <w:r>
          <w:rPr>
            <w:rStyle w:val="Hyperlink"/>
          </w:rPr>
          <w:t>Slide Part</w:t>
        </w:r>
      </w:hyperlink>
      <w:r>
        <w:t xml:space="preserve"> </w:t>
      </w:r>
      <w:r>
        <w:fldChar w:fldCharType="begin"/>
      </w:r>
      <w:r>
        <w:instrText>PAGEREF section_709d622fc25e488c820de04e3be537c6</w:instrText>
      </w:r>
      <w:r>
        <w:fldChar w:fldCharType="separate"/>
      </w:r>
      <w:r>
        <w:rPr>
          <w:noProof/>
        </w:rPr>
        <w:t>56</w:t>
      </w:r>
      <w:r>
        <w:fldChar w:fldCharType="end"/>
      </w:r>
    </w:p>
    <w:p w:rsidR="005F78FC" w:rsidRDefault="00B42EF3">
      <w:pPr>
        <w:pStyle w:val="indexentry0"/>
      </w:pPr>
      <w:hyperlink w:anchor="section_fe5372708bd24348885bc6d159cfccc1">
        <w:r>
          <w:rPr>
            <w:rStyle w:val="Hyperlink"/>
          </w:rPr>
          <w:t>SLOPE</w:t>
        </w:r>
      </w:hyperlink>
      <w:r>
        <w:t xml:space="preserve"> </w:t>
      </w:r>
      <w:r>
        <w:fldChar w:fldCharType="begin"/>
      </w:r>
      <w:r>
        <w:instrText>PAGEREF section_fe5372708bd24348885bc6d159cfccc1</w:instrText>
      </w:r>
      <w:r>
        <w:fldChar w:fldCharType="separate"/>
      </w:r>
      <w:r>
        <w:rPr>
          <w:noProof/>
        </w:rPr>
        <w:t>450</w:t>
      </w:r>
      <w:r>
        <w:fldChar w:fldCharType="end"/>
      </w:r>
    </w:p>
    <w:p w:rsidR="005F78FC" w:rsidRDefault="00B42EF3">
      <w:pPr>
        <w:pStyle w:val="indexentry0"/>
      </w:pPr>
      <w:hyperlink w:anchor="section_94e629161ec0494486039f3162b6ccbd">
        <w:r>
          <w:rPr>
            <w:rStyle w:val="Hyperlink"/>
          </w:rPr>
          <w:t>smallCaps (Small Caps)</w:t>
        </w:r>
      </w:hyperlink>
      <w:r>
        <w:t xml:space="preserve"> </w:t>
      </w:r>
      <w:r>
        <w:fldChar w:fldCharType="begin"/>
      </w:r>
      <w:r>
        <w:instrText>PAGEREF section_94e629161ec0494486039f3162b6ccbd</w:instrText>
      </w:r>
      <w:r>
        <w:fldChar w:fldCharType="separate"/>
      </w:r>
      <w:r>
        <w:rPr>
          <w:noProof/>
        </w:rPr>
        <w:t>80</w:t>
      </w:r>
      <w:r>
        <w:fldChar w:fldCharType="end"/>
      </w:r>
    </w:p>
    <w:p w:rsidR="005F78FC" w:rsidRDefault="00B42EF3">
      <w:pPr>
        <w:pStyle w:val="indexentry0"/>
      </w:pPr>
      <w:hyperlink w:anchor="section_59065a5881844e19a1ab713b4ddaf6d3">
        <w:r>
          <w:rPr>
            <w:rStyle w:val="Hyperlink"/>
          </w:rPr>
          <w:t>smal</w:t>
        </w:r>
        <w:r>
          <w:rPr>
            <w:rStyle w:val="Hyperlink"/>
          </w:rPr>
          <w:t>lFrac (Small Fraction)</w:t>
        </w:r>
      </w:hyperlink>
      <w:r>
        <w:t xml:space="preserve"> </w:t>
      </w:r>
      <w:r>
        <w:fldChar w:fldCharType="begin"/>
      </w:r>
      <w:r>
        <w:instrText>PAGEREF section_59065a5881844e19a1ab713b4ddaf6d3</w:instrText>
      </w:r>
      <w:r>
        <w:fldChar w:fldCharType="separate"/>
      </w:r>
      <w:r>
        <w:rPr>
          <w:noProof/>
        </w:rPr>
        <w:t>605</w:t>
      </w:r>
      <w:r>
        <w:fldChar w:fldCharType="end"/>
      </w:r>
    </w:p>
    <w:p w:rsidR="005F78FC" w:rsidRDefault="00B42EF3">
      <w:pPr>
        <w:pStyle w:val="indexentry0"/>
      </w:pPr>
      <w:hyperlink w:anchor="section_d7860fab7e4e4c1da712d9d5326bff13">
        <w:r>
          <w:rPr>
            <w:rStyle w:val="Hyperlink"/>
          </w:rPr>
          <w:t>smartTag (Inline-Level Smart Tag)</w:t>
        </w:r>
      </w:hyperlink>
      <w:r>
        <w:t xml:space="preserve"> </w:t>
      </w:r>
      <w:r>
        <w:fldChar w:fldCharType="begin"/>
      </w:r>
      <w:r>
        <w:instrText>PAGEREF section_d7860fab7e4e4c1da712d9d5326bff13</w:instrText>
      </w:r>
      <w:r>
        <w:fldChar w:fldCharType="separate"/>
      </w:r>
      <w:r>
        <w:rPr>
          <w:noProof/>
        </w:rPr>
        <w:t>100</w:t>
      </w:r>
      <w:r>
        <w:fldChar w:fldCharType="end"/>
      </w:r>
    </w:p>
    <w:p w:rsidR="005F78FC" w:rsidRDefault="00B42EF3">
      <w:pPr>
        <w:pStyle w:val="indexentry0"/>
      </w:pPr>
      <w:hyperlink w:anchor="section_5d1dbc83b5204c20b60b219211294901">
        <w:r>
          <w:rPr>
            <w:rStyle w:val="Hyperlink"/>
          </w:rPr>
          <w:t>smartTags (Smart Tags)</w:t>
        </w:r>
      </w:hyperlink>
      <w:r>
        <w:t xml:space="preserve"> </w:t>
      </w:r>
      <w:r>
        <w:fldChar w:fldCharType="begin"/>
      </w:r>
      <w:r>
        <w:instrText>PAGEREF section_5d1dbc83b5204c20b60b219211294901</w:instrText>
      </w:r>
      <w:r>
        <w:fldChar w:fldCharType="separate"/>
      </w:r>
      <w:r>
        <w:rPr>
          <w:noProof/>
        </w:rPr>
        <w:t>468</w:t>
      </w:r>
      <w:r>
        <w:fldChar w:fldCharType="end"/>
      </w:r>
    </w:p>
    <w:p w:rsidR="005F78FC" w:rsidRDefault="00B42EF3">
      <w:pPr>
        <w:pStyle w:val="indexentry0"/>
      </w:pPr>
      <w:hyperlink w:anchor="section_adb4ca1d99144d6aaf38755990ac9427">
        <w:r>
          <w:rPr>
            <w:rStyle w:val="Hyperlink"/>
          </w:rPr>
          <w:t>SmartTags part</w:t>
        </w:r>
      </w:hyperlink>
      <w:r>
        <w:t xml:space="preserve"> </w:t>
      </w:r>
      <w:r>
        <w:fldChar w:fldCharType="begin"/>
      </w:r>
      <w:r>
        <w:instrText>PAGEREF section_adb4ca1d99144d6aaf38755990ac9427</w:instrText>
      </w:r>
      <w:r>
        <w:fldChar w:fldCharType="separate"/>
      </w:r>
      <w:r>
        <w:rPr>
          <w:noProof/>
        </w:rPr>
        <w:t>851</w:t>
      </w:r>
      <w:r>
        <w:fldChar w:fldCharType="end"/>
      </w:r>
    </w:p>
    <w:p w:rsidR="005F78FC" w:rsidRDefault="00B42EF3">
      <w:pPr>
        <w:pStyle w:val="indexentry0"/>
      </w:pPr>
      <w:hyperlink w:anchor="section_a7158173228147abbe714addd4682340">
        <w:r>
          <w:rPr>
            <w:rStyle w:val="Hyperlink"/>
          </w:rPr>
          <w:t>smartTagType (Smart Tag Type)</w:t>
        </w:r>
      </w:hyperlink>
      <w:r>
        <w:t xml:space="preserve"> </w:t>
      </w:r>
      <w:r>
        <w:fldChar w:fldCharType="begin"/>
      </w:r>
      <w:r>
        <w:instrText>PAGEREF section_a7158173228147abbe714addd4682340</w:instrText>
      </w:r>
      <w:r>
        <w:fldChar w:fldCharType="separate"/>
      </w:r>
      <w:r>
        <w:rPr>
          <w:noProof/>
        </w:rPr>
        <w:t>247</w:t>
      </w:r>
      <w:r>
        <w:fldChar w:fldCharType="end"/>
      </w:r>
    </w:p>
    <w:p w:rsidR="005F78FC" w:rsidRDefault="00B42EF3">
      <w:pPr>
        <w:pStyle w:val="indexentry0"/>
      </w:pPr>
      <w:hyperlink w:anchor="section_c2dc42b5a40341a396fac6e15abbad03">
        <w:r>
          <w:rPr>
            <w:rStyle w:val="Hyperlink"/>
          </w:rPr>
          <w:t>smartTagType (Supplementary Smart Tag Information)</w:t>
        </w:r>
      </w:hyperlink>
      <w:r>
        <w:t xml:space="preserve"> </w:t>
      </w:r>
      <w:r>
        <w:fldChar w:fldCharType="begin"/>
      </w:r>
      <w:r>
        <w:instrText>PAGEREF section_c2dc42b5a40341a396fac6e15abbad03</w:instrText>
      </w:r>
      <w:r>
        <w:fldChar w:fldCharType="separate"/>
      </w:r>
      <w:r>
        <w:rPr>
          <w:noProof/>
        </w:rPr>
        <w:t>160</w:t>
      </w:r>
      <w:r>
        <w:fldChar w:fldCharType="end"/>
      </w:r>
    </w:p>
    <w:p w:rsidR="005F78FC" w:rsidRDefault="00B42EF3">
      <w:pPr>
        <w:pStyle w:val="indexentry0"/>
      </w:pPr>
      <w:hyperlink w:anchor="section_bf9c45345d9846cabe7ea76543fce6a2">
        <w:r>
          <w:rPr>
            <w:rStyle w:val="Hyperlink"/>
          </w:rPr>
          <w:t>smartTagTypes (Smart Tag Types)</w:t>
        </w:r>
      </w:hyperlink>
      <w:r>
        <w:t xml:space="preserve"> </w:t>
      </w:r>
      <w:r>
        <w:fldChar w:fldCharType="begin"/>
      </w:r>
      <w:r>
        <w:instrText>PAGEREF section_bf9c45345d9846cabe7ea76543fce6a2</w:instrText>
      </w:r>
      <w:r>
        <w:fldChar w:fldCharType="separate"/>
      </w:r>
      <w:r>
        <w:rPr>
          <w:noProof/>
        </w:rPr>
        <w:t>247</w:t>
      </w:r>
      <w:r>
        <w:fldChar w:fldCharType="end"/>
      </w:r>
    </w:p>
    <w:p w:rsidR="005F78FC" w:rsidRDefault="00B42EF3">
      <w:pPr>
        <w:pStyle w:val="indexentry0"/>
      </w:pPr>
      <w:hyperlink w:anchor="section_354bd69568784b22a0779ca05a74e0f0">
        <w:r>
          <w:rPr>
            <w:rStyle w:val="Hyperlink"/>
          </w:rPr>
          <w:t>softEdge (Soft Edge Effect)</w:t>
        </w:r>
      </w:hyperlink>
      <w:r>
        <w:t xml:space="preserve"> </w:t>
      </w:r>
      <w:r>
        <w:fldChar w:fldCharType="begin"/>
      </w:r>
      <w:r>
        <w:instrText>PAGEREF section_354bd69568784b22a0779ca05a74e0f0</w:instrText>
      </w:r>
      <w:r>
        <w:fldChar w:fldCharType="separate"/>
      </w:r>
      <w:r>
        <w:rPr>
          <w:noProof/>
        </w:rPr>
        <w:t>519</w:t>
      </w:r>
      <w:r>
        <w:fldChar w:fldCharType="end"/>
      </w:r>
    </w:p>
    <w:p w:rsidR="005F78FC" w:rsidRDefault="00B42EF3">
      <w:pPr>
        <w:pStyle w:val="indexentry0"/>
      </w:pPr>
      <w:hyperlink w:anchor="section_d6773131ba494bed82b8d8cdb7fe0ea3">
        <w:r>
          <w:rPr>
            <w:rStyle w:val="Hyperlink"/>
          </w:rPr>
          <w:t>sortByTuple (Sort By Tuple)</w:t>
        </w:r>
      </w:hyperlink>
      <w:r>
        <w:t xml:space="preserve"> </w:t>
      </w:r>
      <w:r>
        <w:fldChar w:fldCharType="begin"/>
      </w:r>
      <w:r>
        <w:instrText>PAGEREF section_d67731</w:instrText>
      </w:r>
      <w:r>
        <w:instrText>31ba494bed82b8d8cdb7fe0ea3</w:instrText>
      </w:r>
      <w:r>
        <w:fldChar w:fldCharType="separate"/>
      </w:r>
      <w:r>
        <w:rPr>
          <w:noProof/>
        </w:rPr>
        <w:t>369</w:t>
      </w:r>
      <w:r>
        <w:fldChar w:fldCharType="end"/>
      </w:r>
    </w:p>
    <w:p w:rsidR="005F78FC" w:rsidRDefault="00B42EF3">
      <w:pPr>
        <w:pStyle w:val="indexentry0"/>
      </w:pPr>
      <w:hyperlink w:anchor="section_b9ae079aa7a545a9ae7e870aa96b5f84">
        <w:r>
          <w:rPr>
            <w:rStyle w:val="Hyperlink"/>
          </w:rPr>
          <w:t>sortCondition (Sort Condition)</w:t>
        </w:r>
      </w:hyperlink>
      <w:r>
        <w:t xml:space="preserve"> </w:t>
      </w:r>
      <w:r>
        <w:fldChar w:fldCharType="begin"/>
      </w:r>
      <w:r>
        <w:instrText>PAGEREF section_b9ae079aa7a545a9ae7e870aa96b5f84</w:instrText>
      </w:r>
      <w:r>
        <w:fldChar w:fldCharType="separate"/>
      </w:r>
      <w:r>
        <w:rPr>
          <w:noProof/>
        </w:rPr>
        <w:t>289</w:t>
      </w:r>
      <w:r>
        <w:fldChar w:fldCharType="end"/>
      </w:r>
    </w:p>
    <w:p w:rsidR="005F78FC" w:rsidRDefault="00B42EF3">
      <w:pPr>
        <w:pStyle w:val="indexentry0"/>
      </w:pPr>
      <w:hyperlink w:anchor="section_e69cb44829e64c02bc6be920b0c46513">
        <w:r>
          <w:rPr>
            <w:rStyle w:val="Hyperlink"/>
          </w:rPr>
          <w:t>Sortmap Elements</w:t>
        </w:r>
      </w:hyperlink>
      <w:r>
        <w:t xml:space="preserve"> </w:t>
      </w:r>
      <w:r>
        <w:fldChar w:fldCharType="begin"/>
      </w:r>
      <w:r>
        <w:instrText>PAGEREF section_e69cb44829e64c02bc6be920b0c46513</w:instrText>
      </w:r>
      <w:r>
        <w:fldChar w:fldCharType="separate"/>
      </w:r>
      <w:r>
        <w:rPr>
          <w:noProof/>
        </w:rPr>
        <w:t>838</w:t>
      </w:r>
      <w:r>
        <w:fldChar w:fldCharType="end"/>
      </w:r>
    </w:p>
    <w:p w:rsidR="005F78FC" w:rsidRDefault="00B42EF3">
      <w:pPr>
        <w:pStyle w:val="indexentry0"/>
      </w:pPr>
      <w:hyperlink w:anchor="section_a7912fd83e8349008cef9ea6d8cc6856">
        <w:r>
          <w:rPr>
            <w:rStyle w:val="Hyperlink"/>
          </w:rPr>
          <w:t>Source (Source)</w:t>
        </w:r>
      </w:hyperlink>
      <w:r>
        <w:t xml:space="preserve"> </w:t>
      </w:r>
      <w:r>
        <w:fldChar w:fldCharType="begin"/>
      </w:r>
      <w:r>
        <w:instrText>PAGEREF section_a7912fd83e8349008cef9ea6d8cc6856</w:instrText>
      </w:r>
      <w:r>
        <w:fldChar w:fldCharType="separate"/>
      </w:r>
      <w:r>
        <w:rPr>
          <w:noProof/>
        </w:rPr>
        <w:t>615</w:t>
      </w:r>
      <w:r>
        <w:fldChar w:fldCharType="end"/>
      </w:r>
    </w:p>
    <w:p w:rsidR="005F78FC" w:rsidRDefault="00B42EF3">
      <w:pPr>
        <w:pStyle w:val="indexentry0"/>
      </w:pPr>
      <w:hyperlink w:anchor="section_0dc4313ba3e341f796ff723d68d0e725">
        <w:r>
          <w:rPr>
            <w:rStyle w:val="Hyperlink"/>
          </w:rPr>
          <w:t>sourceFileNa</w:t>
        </w:r>
        <w:r>
          <w:rPr>
            <w:rStyle w:val="Hyperlink"/>
          </w:rPr>
          <w:t>me (Source File for Frame)</w:t>
        </w:r>
      </w:hyperlink>
      <w:r>
        <w:t xml:space="preserve"> </w:t>
      </w:r>
      <w:r>
        <w:fldChar w:fldCharType="begin"/>
      </w:r>
      <w:r>
        <w:instrText>PAGEREF section_0dc4313ba3e341f796ff723d68d0e725</w:instrText>
      </w:r>
      <w:r>
        <w:fldChar w:fldCharType="separate"/>
      </w:r>
      <w:r>
        <w:rPr>
          <w:noProof/>
        </w:rPr>
        <w:t>166</w:t>
      </w:r>
      <w:r>
        <w:fldChar w:fldCharType="end"/>
      </w:r>
    </w:p>
    <w:p w:rsidR="005F78FC" w:rsidRDefault="00B42EF3">
      <w:pPr>
        <w:pStyle w:val="indexentry0"/>
      </w:pPr>
      <w:r>
        <w:t>sp (Shape) (</w:t>
      </w:r>
      <w:hyperlink w:anchor="section_50d51c6ff4084539a65649f1968204a3">
        <w:r>
          <w:rPr>
            <w:rStyle w:val="Hyperlink"/>
          </w:rPr>
          <w:t>section 2.1.1367</w:t>
        </w:r>
      </w:hyperlink>
      <w:r>
        <w:t xml:space="preserve"> </w:t>
      </w:r>
      <w:r>
        <w:fldChar w:fldCharType="begin"/>
      </w:r>
      <w:r>
        <w:instrText>PAGEREF section_50d51c6ff4084539a65649f1968204a3</w:instrText>
      </w:r>
      <w:r>
        <w:fldChar w:fldCharType="separate"/>
      </w:r>
      <w:r>
        <w:rPr>
          <w:noProof/>
        </w:rPr>
        <w:t>530</w:t>
      </w:r>
      <w:r>
        <w:fldChar w:fldCharType="end"/>
      </w:r>
      <w:r>
        <w:t xml:space="preserve">, </w:t>
      </w:r>
      <w:hyperlink w:anchor="section_4ec82f3297324a2abad00c477260a627">
        <w:r>
          <w:rPr>
            <w:rStyle w:val="Hyperlink"/>
          </w:rPr>
          <w:t>section 2.1.1604</w:t>
        </w:r>
      </w:hyperlink>
      <w:r>
        <w:t xml:space="preserve"> </w:t>
      </w:r>
      <w:r>
        <w:fldChar w:fldCharType="begin"/>
      </w:r>
      <w:r>
        <w:instrText>PAGEREF section_4ec82f3297324a2abad00c477260a627</w:instrText>
      </w:r>
      <w:r>
        <w:fldChar w:fldCharType="separate"/>
      </w:r>
      <w:r>
        <w:rPr>
          <w:noProof/>
        </w:rPr>
        <w:t>584</w:t>
      </w:r>
      <w:r>
        <w:fldChar w:fldCharType="end"/>
      </w:r>
      <w:r>
        <w:t>)</w:t>
      </w:r>
    </w:p>
    <w:p w:rsidR="005F78FC" w:rsidRDefault="00B42EF3">
      <w:pPr>
        <w:pStyle w:val="indexentry0"/>
      </w:pPr>
      <w:hyperlink w:anchor="section_b22cec63a18c4f6e95c808b1831a0a7c">
        <w:r>
          <w:rPr>
            <w:rStyle w:val="Hyperlink"/>
          </w:rPr>
          <w:t>sp3d (3-D Shape Properties)</w:t>
        </w:r>
      </w:hyperlink>
      <w:r>
        <w:t xml:space="preserve"> </w:t>
      </w:r>
      <w:r>
        <w:fldChar w:fldCharType="begin"/>
      </w:r>
      <w:r>
        <w:instrText>PAGEREF section_b22cec63a18c4f6e95c808b1831a0a7c</w:instrText>
      </w:r>
      <w:r>
        <w:fldChar w:fldCharType="separate"/>
      </w:r>
      <w:r>
        <w:rPr>
          <w:noProof/>
        </w:rPr>
        <w:t>589</w:t>
      </w:r>
      <w:r>
        <w:fldChar w:fldCharType="end"/>
      </w:r>
    </w:p>
    <w:p w:rsidR="005F78FC" w:rsidRDefault="00B42EF3">
      <w:pPr>
        <w:pStyle w:val="indexentry0"/>
      </w:pPr>
      <w:hyperlink w:anchor="section_d44e6f9209a94d8bb8c75220c6c85203">
        <w:r>
          <w:rPr>
            <w:rStyle w:val="Hyperlink"/>
          </w:rPr>
          <w:t>sp3d (Apply 3D shape properties)</w:t>
        </w:r>
      </w:hyperlink>
      <w:r>
        <w:t xml:space="preserve"> </w:t>
      </w:r>
      <w:r>
        <w:fldChar w:fldCharType="begin"/>
      </w:r>
      <w:r>
        <w:instrText>PAGEREF section_d44e6f9209a94d8bb8c75220c6c85203</w:instrText>
      </w:r>
      <w:r>
        <w:fldChar w:fldCharType="separate"/>
      </w:r>
      <w:r>
        <w:rPr>
          <w:noProof/>
        </w:rPr>
        <w:t>511</w:t>
      </w:r>
      <w:r>
        <w:fldChar w:fldCharType="end"/>
      </w:r>
    </w:p>
    <w:p w:rsidR="005F78FC" w:rsidRDefault="00B42EF3">
      <w:pPr>
        <w:pStyle w:val="indexentry0"/>
      </w:pPr>
      <w:hyperlink w:anchor="section_7f709c81c04a4a1fa5b55ffbe94268a5">
        <w:r>
          <w:rPr>
            <w:rStyle w:val="Hyperlink"/>
          </w:rPr>
          <w:t>spacing (Character Spacing Adjustment)</w:t>
        </w:r>
      </w:hyperlink>
      <w:r>
        <w:t xml:space="preserve"> </w:t>
      </w:r>
      <w:r>
        <w:fldChar w:fldCharType="begin"/>
      </w:r>
      <w:r>
        <w:instrText>PAGERE</w:instrText>
      </w:r>
      <w:r>
        <w:instrText>F section_7f709c81c04a4a1fa5b55ffbe94268a5</w:instrText>
      </w:r>
      <w:r>
        <w:fldChar w:fldCharType="separate"/>
      </w:r>
      <w:r>
        <w:rPr>
          <w:noProof/>
        </w:rPr>
        <w:t>81</w:t>
      </w:r>
      <w:r>
        <w:fldChar w:fldCharType="end"/>
      </w:r>
    </w:p>
    <w:p w:rsidR="005F78FC" w:rsidRDefault="00B42EF3">
      <w:pPr>
        <w:pStyle w:val="indexentry0"/>
      </w:pPr>
      <w:hyperlink w:anchor="section_264a013981744574b20dab778e770931">
        <w:r>
          <w:rPr>
            <w:rStyle w:val="Hyperlink"/>
          </w:rPr>
          <w:t>spacing (Spacing Between Lines and Above/Below Paragraph)</w:t>
        </w:r>
      </w:hyperlink>
      <w:r>
        <w:t xml:space="preserve"> </w:t>
      </w:r>
      <w:r>
        <w:fldChar w:fldCharType="begin"/>
      </w:r>
      <w:r>
        <w:instrText>PAGEREF section_264a013981744574b20dab778e770931</w:instrText>
      </w:r>
      <w:r>
        <w:fldChar w:fldCharType="separate"/>
      </w:r>
      <w:r>
        <w:rPr>
          <w:noProof/>
        </w:rPr>
        <w:t>70</w:t>
      </w:r>
      <w:r>
        <w:fldChar w:fldCharType="end"/>
      </w:r>
    </w:p>
    <w:p w:rsidR="005F78FC" w:rsidRDefault="00B42EF3">
      <w:pPr>
        <w:pStyle w:val="indexentry0"/>
      </w:pPr>
      <w:hyperlink w:anchor="section_ed53fa9e9351449da926f994efb77a57">
        <w:r>
          <w:rPr>
            <w:rStyle w:val="Hyperlink"/>
          </w:rPr>
          <w:t>spAutoFit (Shape AutoFit)</w:t>
        </w:r>
      </w:hyperlink>
      <w:r>
        <w:t xml:space="preserve"> </w:t>
      </w:r>
      <w:r>
        <w:fldChar w:fldCharType="begin"/>
      </w:r>
      <w:r>
        <w:instrText>PAGEREF section_ed53fa9e9351449da926f994efb77a57</w:instrText>
      </w:r>
      <w:r>
        <w:fldChar w:fldCharType="separate"/>
      </w:r>
      <w:r>
        <w:rPr>
          <w:noProof/>
        </w:rPr>
        <w:t>532</w:t>
      </w:r>
      <w:r>
        <w:fldChar w:fldCharType="end"/>
      </w:r>
    </w:p>
    <w:p w:rsidR="005F78FC" w:rsidRDefault="00B42EF3">
      <w:pPr>
        <w:pStyle w:val="indexentry0"/>
      </w:pPr>
      <w:hyperlink w:anchor="section_3b7a30185a6447d6b61afac31f921cd5">
        <w:r>
          <w:rPr>
            <w:rStyle w:val="Hyperlink"/>
          </w:rPr>
          <w:t>spcAft (Space After)</w:t>
        </w:r>
      </w:hyperlink>
      <w:r>
        <w:t xml:space="preserve"> </w:t>
      </w:r>
      <w:r>
        <w:fldChar w:fldCharType="begin"/>
      </w:r>
      <w:r>
        <w:instrText>PAGEREF section_3b7a30185a6447d6b61afac31f921cd5</w:instrText>
      </w:r>
      <w:r>
        <w:fldChar w:fldCharType="separate"/>
      </w:r>
      <w:r>
        <w:rPr>
          <w:noProof/>
        </w:rPr>
        <w:t>536</w:t>
      </w:r>
      <w:r>
        <w:fldChar w:fldCharType="end"/>
      </w:r>
    </w:p>
    <w:p w:rsidR="005F78FC" w:rsidRDefault="00B42EF3">
      <w:pPr>
        <w:pStyle w:val="indexentry0"/>
      </w:pPr>
      <w:hyperlink w:anchor="section_8f2f2352b15c4cea8df4df014e163284">
        <w:r>
          <w:rPr>
            <w:rStyle w:val="Hyperlink"/>
          </w:rPr>
          <w:t>spcBef (Space Before)</w:t>
        </w:r>
      </w:hyperlink>
      <w:r>
        <w:t xml:space="preserve"> </w:t>
      </w:r>
      <w:r>
        <w:fldChar w:fldCharType="begin"/>
      </w:r>
      <w:r>
        <w:instrText>PAGEREF section_8f2f2352b15c4cea8df4df014e163284</w:instrText>
      </w:r>
      <w:r>
        <w:fldChar w:fldCharType="separate"/>
      </w:r>
      <w:r>
        <w:rPr>
          <w:noProof/>
        </w:rPr>
        <w:t>536</w:t>
      </w:r>
      <w:r>
        <w:fldChar w:fldCharType="end"/>
      </w:r>
    </w:p>
    <w:p w:rsidR="005F78FC" w:rsidRDefault="00B42EF3">
      <w:pPr>
        <w:pStyle w:val="indexentry0"/>
      </w:pPr>
      <w:hyperlink w:anchor="section_615c948905fc4c5bb961b56461c8ce69">
        <w:r>
          <w:rPr>
            <w:rStyle w:val="Hyperlink"/>
          </w:rPr>
          <w:t>spcPct (Spacing Percent)</w:t>
        </w:r>
      </w:hyperlink>
      <w:r>
        <w:t xml:space="preserve"> </w:t>
      </w:r>
      <w:r>
        <w:fldChar w:fldCharType="begin"/>
      </w:r>
      <w:r>
        <w:instrText>PAGEREF section_615c948905fc4c5bb961b56461c8ce6</w:instrText>
      </w:r>
      <w:r>
        <w:instrText>9</w:instrText>
      </w:r>
      <w:r>
        <w:fldChar w:fldCharType="separate"/>
      </w:r>
      <w:r>
        <w:rPr>
          <w:noProof/>
        </w:rPr>
        <w:t>536</w:t>
      </w:r>
      <w:r>
        <w:fldChar w:fldCharType="end"/>
      </w:r>
    </w:p>
    <w:p w:rsidR="005F78FC" w:rsidRDefault="00B42EF3">
      <w:pPr>
        <w:pStyle w:val="indexentry0"/>
      </w:pPr>
      <w:hyperlink w:anchor="section_d5de3ae0d0e448b28cfc1a250eb30ac4">
        <w:r>
          <w:rPr>
            <w:rStyle w:val="Hyperlink"/>
          </w:rPr>
          <w:t>specVanish (Paragraph Mark Is Always Hidden)</w:t>
        </w:r>
      </w:hyperlink>
      <w:r>
        <w:t xml:space="preserve"> </w:t>
      </w:r>
      <w:r>
        <w:fldChar w:fldCharType="begin"/>
      </w:r>
      <w:r>
        <w:instrText>PAGEREF section_d5de3ae0d0e448b28cfc1a250eb30ac4</w:instrText>
      </w:r>
      <w:r>
        <w:fldChar w:fldCharType="separate"/>
      </w:r>
      <w:r>
        <w:rPr>
          <w:noProof/>
        </w:rPr>
        <w:t>81</w:t>
      </w:r>
      <w:r>
        <w:fldChar w:fldCharType="end"/>
      </w:r>
    </w:p>
    <w:p w:rsidR="005F78FC" w:rsidRDefault="00B42EF3">
      <w:pPr>
        <w:pStyle w:val="indexentry0"/>
      </w:pPr>
      <w:hyperlink w:anchor="section_002a323721c5425f83521a108d5bc7bb">
        <w:r>
          <w:rPr>
            <w:rStyle w:val="Hyperlink"/>
          </w:rPr>
          <w:t>splitPos (Split Position)</w:t>
        </w:r>
      </w:hyperlink>
      <w:r>
        <w:t xml:space="preserve"> </w:t>
      </w:r>
      <w:r>
        <w:fldChar w:fldCharType="begin"/>
      </w:r>
      <w:r>
        <w:instrText>PA</w:instrText>
      </w:r>
      <w:r>
        <w:instrText>GEREF section_002a323721c5425f83521a108d5bc7bb</w:instrText>
      </w:r>
      <w:r>
        <w:fldChar w:fldCharType="separate"/>
      </w:r>
      <w:r>
        <w:rPr>
          <w:noProof/>
        </w:rPr>
        <w:t>573</w:t>
      </w:r>
      <w:r>
        <w:fldChar w:fldCharType="end"/>
      </w:r>
    </w:p>
    <w:p w:rsidR="005F78FC" w:rsidRDefault="00B42EF3">
      <w:pPr>
        <w:pStyle w:val="indexentry0"/>
      </w:pPr>
      <w:hyperlink w:anchor="section_48975c4658444ebf8217dcf06ae04755">
        <w:r>
          <w:rPr>
            <w:rStyle w:val="Hyperlink"/>
          </w:rPr>
          <w:t>splitType (Split Type)</w:t>
        </w:r>
      </w:hyperlink>
      <w:r>
        <w:t xml:space="preserve"> </w:t>
      </w:r>
      <w:r>
        <w:fldChar w:fldCharType="begin"/>
      </w:r>
      <w:r>
        <w:instrText>PAGEREF section_48975c4658444ebf8217dcf06ae04755</w:instrText>
      </w:r>
      <w:r>
        <w:fldChar w:fldCharType="separate"/>
      </w:r>
      <w:r>
        <w:rPr>
          <w:noProof/>
        </w:rPr>
        <w:t>573</w:t>
      </w:r>
      <w:r>
        <w:fldChar w:fldCharType="end"/>
      </w:r>
    </w:p>
    <w:p w:rsidR="005F78FC" w:rsidRDefault="00B42EF3">
      <w:pPr>
        <w:pStyle w:val="indexentry0"/>
      </w:pPr>
      <w:hyperlink w:anchor="section_26a003a89aa34f9794059a41ececf014">
        <w:r>
          <w:rPr>
            <w:rStyle w:val="Hyperlink"/>
          </w:rPr>
          <w:t>spLocks (Shape Locks)</w:t>
        </w:r>
      </w:hyperlink>
      <w:r>
        <w:t xml:space="preserve"> </w:t>
      </w:r>
      <w:r>
        <w:fldChar w:fldCharType="begin"/>
      </w:r>
      <w:r>
        <w:instrText>PAGEREF section_26a003a89aa34f9794059a41ececf014</w:instrText>
      </w:r>
      <w:r>
        <w:fldChar w:fldCharType="separate"/>
      </w:r>
      <w:r>
        <w:rPr>
          <w:noProof/>
        </w:rPr>
        <w:t>501</w:t>
      </w:r>
      <w:r>
        <w:fldChar w:fldCharType="end"/>
      </w:r>
    </w:p>
    <w:p w:rsidR="005F78FC" w:rsidRDefault="00B42EF3">
      <w:pPr>
        <w:pStyle w:val="indexentry0"/>
      </w:pPr>
      <w:r>
        <w:t>spPr (Shape Properties) (</w:t>
      </w:r>
      <w:hyperlink w:anchor="section_72be4c606c0f4d7f9876c9aef5af30a5">
        <w:r>
          <w:rPr>
            <w:rStyle w:val="Hyperlink"/>
          </w:rPr>
          <w:t>section 2.1.1128</w:t>
        </w:r>
      </w:hyperlink>
      <w:r>
        <w:t xml:space="preserve"> </w:t>
      </w:r>
      <w:r>
        <w:fldChar w:fldCharType="begin"/>
      </w:r>
      <w:r>
        <w:instrText>PAGEREF section_72be4c606c0f4d7f9876c9aef5af30a5</w:instrText>
      </w:r>
      <w:r>
        <w:fldChar w:fldCharType="separate"/>
      </w:r>
      <w:r>
        <w:rPr>
          <w:noProof/>
        </w:rPr>
        <w:t>472</w:t>
      </w:r>
      <w:r>
        <w:fldChar w:fldCharType="end"/>
      </w:r>
      <w:r>
        <w:t xml:space="preserve">, </w:t>
      </w:r>
      <w:hyperlink w:anchor="section_d91dc0a3157d4a179945f4226b94b9e8">
        <w:r>
          <w:rPr>
            <w:rStyle w:val="Hyperlink"/>
          </w:rPr>
          <w:t>section 2.1.1214</w:t>
        </w:r>
      </w:hyperlink>
      <w:r>
        <w:t xml:space="preserve"> </w:t>
      </w:r>
      <w:r>
        <w:fldChar w:fldCharType="begin"/>
      </w:r>
      <w:r>
        <w:instrText>PAGEREF section_d91dc0a3157d4a179945f4226b94b9e8</w:instrText>
      </w:r>
      <w:r>
        <w:fldChar w:fldCharType="separate"/>
      </w:r>
      <w:r>
        <w:rPr>
          <w:noProof/>
        </w:rPr>
        <w:t>501</w:t>
      </w:r>
      <w:r>
        <w:fldChar w:fldCharType="end"/>
      </w:r>
      <w:r>
        <w:t xml:space="preserve">, </w:t>
      </w:r>
      <w:hyperlink w:anchor="section_45cb497a7eb64efcb9e97b4aa967b7ea">
        <w:r>
          <w:rPr>
            <w:rStyle w:val="Hyperlink"/>
          </w:rPr>
          <w:t>section 2.1.1344</w:t>
        </w:r>
      </w:hyperlink>
      <w:r>
        <w:t xml:space="preserve"> </w:t>
      </w:r>
      <w:r>
        <w:fldChar w:fldCharType="begin"/>
      </w:r>
      <w:r>
        <w:instrText>PAGEREF section_45cb497a7eb64efcb9e97b4aa967b7ea</w:instrText>
      </w:r>
      <w:r>
        <w:fldChar w:fldCharType="separate"/>
      </w:r>
      <w:r>
        <w:rPr>
          <w:noProof/>
        </w:rPr>
        <w:t>527</w:t>
      </w:r>
      <w:r>
        <w:fldChar w:fldCharType="end"/>
      </w:r>
      <w:r>
        <w:t xml:space="preserve">, </w:t>
      </w:r>
      <w:hyperlink w:anchor="section_a10c455e7a6e44c5bf8cfb7c2b3e2eac">
        <w:r>
          <w:rPr>
            <w:rStyle w:val="Hyperlink"/>
          </w:rPr>
          <w:t>section 2.1.1368</w:t>
        </w:r>
      </w:hyperlink>
      <w:r>
        <w:t xml:space="preserve"> </w:t>
      </w:r>
      <w:r>
        <w:fldChar w:fldCharType="begin"/>
      </w:r>
      <w:r>
        <w:instrText>PAGEREF section_a10c455e7a6e44c5bf8cfb7c2b3e2eac</w:instrText>
      </w:r>
      <w:r>
        <w:fldChar w:fldCharType="separate"/>
      </w:r>
      <w:r>
        <w:rPr>
          <w:noProof/>
        </w:rPr>
        <w:t>530</w:t>
      </w:r>
      <w:r>
        <w:fldChar w:fldCharType="end"/>
      </w:r>
      <w:r>
        <w:t xml:space="preserve">, </w:t>
      </w:r>
      <w:hyperlink w:anchor="section_efeb511d32754e5da51804bd555d9540">
        <w:r>
          <w:rPr>
            <w:rStyle w:val="Hyperlink"/>
          </w:rPr>
          <w:t>section 2.1.1550</w:t>
        </w:r>
      </w:hyperlink>
      <w:r>
        <w:t xml:space="preserve"> </w:t>
      </w:r>
      <w:r>
        <w:fldChar w:fldCharType="begin"/>
      </w:r>
      <w:r>
        <w:instrText>PAGEREF section_efeb511d32754e5da51804bd555d9540</w:instrText>
      </w:r>
      <w:r>
        <w:fldChar w:fldCharType="separate"/>
      </w:r>
      <w:r>
        <w:rPr>
          <w:noProof/>
        </w:rPr>
        <w:t>574</w:t>
      </w:r>
      <w:r>
        <w:fldChar w:fldCharType="end"/>
      </w:r>
      <w:r>
        <w:t xml:space="preserve">, </w:t>
      </w:r>
      <w:hyperlink w:anchor="section_c14c0a475e6f425d83789cf35dda1e2c">
        <w:r>
          <w:rPr>
            <w:rStyle w:val="Hyperlink"/>
          </w:rPr>
          <w:t>section 2.1.1605</w:t>
        </w:r>
      </w:hyperlink>
      <w:r>
        <w:t xml:space="preserve"> </w:t>
      </w:r>
      <w:r>
        <w:fldChar w:fldCharType="begin"/>
      </w:r>
      <w:r>
        <w:instrText>PAGEREF section_c14c0a475e6f425d83789cf35dda1e2c</w:instrText>
      </w:r>
      <w:r>
        <w:fldChar w:fldCharType="separate"/>
      </w:r>
      <w:r>
        <w:rPr>
          <w:noProof/>
        </w:rPr>
        <w:t>585</w:t>
      </w:r>
      <w:r>
        <w:fldChar w:fldCharType="end"/>
      </w:r>
      <w:r>
        <w:t xml:space="preserve">, </w:t>
      </w:r>
      <w:hyperlink w:anchor="section_18c455a3df65485ab55a1602f38c668d">
        <w:r>
          <w:rPr>
            <w:rStyle w:val="Hyperlink"/>
          </w:rPr>
          <w:t>section 2.1.1621</w:t>
        </w:r>
      </w:hyperlink>
      <w:r>
        <w:t xml:space="preserve"> </w:t>
      </w:r>
      <w:r>
        <w:fldChar w:fldCharType="begin"/>
      </w:r>
      <w:r>
        <w:instrText>PAGEREF section_18c455a3df65485ab55a1602f38c6</w:instrText>
      </w:r>
      <w:r>
        <w:instrText>68d</w:instrText>
      </w:r>
      <w:r>
        <w:fldChar w:fldCharType="separate"/>
      </w:r>
      <w:r>
        <w:rPr>
          <w:noProof/>
        </w:rPr>
        <w:t>588</w:t>
      </w:r>
      <w:r>
        <w:fldChar w:fldCharType="end"/>
      </w:r>
      <w:r>
        <w:t>)</w:t>
      </w:r>
    </w:p>
    <w:p w:rsidR="005F78FC" w:rsidRDefault="00B42EF3">
      <w:pPr>
        <w:pStyle w:val="indexentry0"/>
      </w:pPr>
      <w:hyperlink w:anchor="section_5d08490d1634418e91bc0d199b9f9214">
        <w:r>
          <w:rPr>
            <w:rStyle w:val="Hyperlink"/>
          </w:rPr>
          <w:t>sPre (Pre-Sub-Superscript Object)</w:t>
        </w:r>
      </w:hyperlink>
      <w:r>
        <w:t xml:space="preserve"> </w:t>
      </w:r>
      <w:r>
        <w:fldChar w:fldCharType="begin"/>
      </w:r>
      <w:r>
        <w:instrText>PAGEREF section_5d08490d1634418e91bc0d199b9f9214</w:instrText>
      </w:r>
      <w:r>
        <w:fldChar w:fldCharType="separate"/>
      </w:r>
      <w:r>
        <w:rPr>
          <w:noProof/>
        </w:rPr>
        <w:t>606</w:t>
      </w:r>
      <w:r>
        <w:fldChar w:fldCharType="end"/>
      </w:r>
    </w:p>
    <w:p w:rsidR="005F78FC" w:rsidRDefault="00B42EF3">
      <w:pPr>
        <w:pStyle w:val="indexentry0"/>
      </w:pPr>
      <w:hyperlink w:anchor="section_894705b6965549e3a6c654600f99f7f4">
        <w:r>
          <w:rPr>
            <w:rStyle w:val="Hyperlink"/>
          </w:rPr>
          <w:t>spTgt (Shape Target)</w:t>
        </w:r>
      </w:hyperlink>
      <w:r>
        <w:t xml:space="preserve"> </w:t>
      </w:r>
      <w:r>
        <w:fldChar w:fldCharType="begin"/>
      </w:r>
      <w:r>
        <w:instrText>PAGEREF section_894705b6965549e3a6c654600f99f7f4</w:instrText>
      </w:r>
      <w:r>
        <w:fldChar w:fldCharType="separate"/>
      </w:r>
      <w:r>
        <w:rPr>
          <w:noProof/>
        </w:rPr>
        <w:t>488</w:t>
      </w:r>
      <w:r>
        <w:fldChar w:fldCharType="end"/>
      </w:r>
    </w:p>
    <w:p w:rsidR="005F78FC" w:rsidRDefault="00B42EF3">
      <w:pPr>
        <w:pStyle w:val="indexentry0"/>
      </w:pPr>
      <w:hyperlink w:anchor="section_b024812a26b24c69b7f74a056ac257f0">
        <w:r>
          <w:rPr>
            <w:rStyle w:val="Hyperlink"/>
          </w:rPr>
          <w:t>src (ODSO Data Source File Path)</w:t>
        </w:r>
      </w:hyperlink>
      <w:r>
        <w:t xml:space="preserve"> </w:t>
      </w:r>
      <w:r>
        <w:fldChar w:fldCharType="begin"/>
      </w:r>
      <w:r>
        <w:instrText>PAGEREF section_b024812a26b24c69b7f74a056ac257f0</w:instrText>
      </w:r>
      <w:r>
        <w:fldChar w:fldCharType="separate"/>
      </w:r>
      <w:r>
        <w:rPr>
          <w:noProof/>
        </w:rPr>
        <w:t>148</w:t>
      </w:r>
      <w:r>
        <w:fldChar w:fldCharType="end"/>
      </w:r>
    </w:p>
    <w:p w:rsidR="005F78FC" w:rsidRDefault="00B42EF3">
      <w:pPr>
        <w:pStyle w:val="indexentry0"/>
      </w:pPr>
      <w:hyperlink w:anchor="section_842903c3c1f045718bcf1b28677dea13">
        <w:r>
          <w:rPr>
            <w:rStyle w:val="Hyperlink"/>
          </w:rPr>
          <w:t>srcRect (Source Rectangle)</w:t>
        </w:r>
      </w:hyperlink>
      <w:r>
        <w:t xml:space="preserve"> </w:t>
      </w:r>
      <w:r>
        <w:fldChar w:fldCharType="begin"/>
      </w:r>
      <w:r>
        <w:instrText>PAGEREF section_842903c3c1f045718bcf1b28677dea13</w:instrText>
      </w:r>
      <w:r>
        <w:fldChar w:fldCharType="separate"/>
      </w:r>
      <w:r>
        <w:rPr>
          <w:noProof/>
        </w:rPr>
        <w:t>519</w:t>
      </w:r>
      <w:r>
        <w:fldChar w:fldCharType="end"/>
      </w:r>
    </w:p>
    <w:p w:rsidR="005F78FC" w:rsidRDefault="00B42EF3">
      <w:pPr>
        <w:pStyle w:val="indexentry0"/>
      </w:pPr>
      <w:hyperlink w:anchor="section_4e99ac5e199d4c0cab34198ab8fbbeba">
        <w:r>
          <w:rPr>
            <w:rStyle w:val="Hyperlink"/>
          </w:rPr>
          <w:t>sst (Shared String Table)</w:t>
        </w:r>
      </w:hyperlink>
      <w:r>
        <w:t xml:space="preserve"> </w:t>
      </w:r>
      <w:r>
        <w:fldChar w:fldCharType="begin"/>
      </w:r>
      <w:r>
        <w:instrText>PAGEREF section_4e99ac5e199d4c0cab34198ab8fbbeba</w:instrText>
      </w:r>
      <w:r>
        <w:fldChar w:fldCharType="separate"/>
      </w:r>
      <w:r>
        <w:rPr>
          <w:noProof/>
        </w:rPr>
        <w:t>293</w:t>
      </w:r>
      <w:r>
        <w:fldChar w:fldCharType="end"/>
      </w:r>
    </w:p>
    <w:p w:rsidR="005F78FC" w:rsidRDefault="00B42EF3">
      <w:pPr>
        <w:pStyle w:val="indexentry0"/>
      </w:pPr>
      <w:hyperlink w:anchor="section_e4d7226e1e594d938584a0cf82efcda7">
        <w:r>
          <w:rPr>
            <w:rStyle w:val="Hyperlink"/>
          </w:rPr>
          <w:t>sSub (Subscript Object)</w:t>
        </w:r>
      </w:hyperlink>
      <w:r>
        <w:t xml:space="preserve"> </w:t>
      </w:r>
      <w:r>
        <w:fldChar w:fldCharType="begin"/>
      </w:r>
      <w:r>
        <w:instrText>PAGEREF section_e4d7226e1e594d938584a0cf82efcda7</w:instrText>
      </w:r>
      <w:r>
        <w:fldChar w:fldCharType="separate"/>
      </w:r>
      <w:r>
        <w:rPr>
          <w:noProof/>
        </w:rPr>
        <w:t>606</w:t>
      </w:r>
      <w:r>
        <w:fldChar w:fldCharType="end"/>
      </w:r>
    </w:p>
    <w:p w:rsidR="005F78FC" w:rsidRDefault="00B42EF3">
      <w:pPr>
        <w:pStyle w:val="indexentry0"/>
      </w:pPr>
      <w:hyperlink w:anchor="section_892ccdb9e60547a68bde8fbaf14405f8">
        <w:r>
          <w:rPr>
            <w:rStyle w:val="Hyperlink"/>
          </w:rPr>
          <w:t>sSubSup (Sub-Superscript Object)</w:t>
        </w:r>
      </w:hyperlink>
      <w:r>
        <w:t xml:space="preserve"> </w:t>
      </w:r>
      <w:r>
        <w:fldChar w:fldCharType="begin"/>
      </w:r>
      <w:r>
        <w:instrText>PAGEREF section_892ccdb9e60547a68bde8fbaf14405f8</w:instrText>
      </w:r>
      <w:r>
        <w:fldChar w:fldCharType="separate"/>
      </w:r>
      <w:r>
        <w:rPr>
          <w:noProof/>
        </w:rPr>
        <w:t>606</w:t>
      </w:r>
      <w:r>
        <w:fldChar w:fldCharType="end"/>
      </w:r>
    </w:p>
    <w:p w:rsidR="005F78FC" w:rsidRDefault="00B42EF3">
      <w:pPr>
        <w:pStyle w:val="indexentry0"/>
      </w:pPr>
      <w:hyperlink w:anchor="section_6557a17b3c784aa78ec1397591c9bcb3">
        <w:r>
          <w:rPr>
            <w:rStyle w:val="Hyperlink"/>
          </w:rPr>
          <w:t>sSup (Superscript Object)</w:t>
        </w:r>
      </w:hyperlink>
      <w:r>
        <w:t xml:space="preserve"> </w:t>
      </w:r>
      <w:r>
        <w:fldChar w:fldCharType="begin"/>
      </w:r>
      <w:r>
        <w:instrText>PAGEREF section_6557a17b3c784aa78ec1397591c9bcb3</w:instrText>
      </w:r>
      <w:r>
        <w:fldChar w:fldCharType="separate"/>
      </w:r>
      <w:r>
        <w:rPr>
          <w:noProof/>
        </w:rPr>
        <w:t>606</w:t>
      </w:r>
      <w:r>
        <w:fldChar w:fldCharType="end"/>
      </w:r>
    </w:p>
    <w:p w:rsidR="005F78FC" w:rsidRDefault="00B42EF3">
      <w:pPr>
        <w:pStyle w:val="indexentry0"/>
      </w:pPr>
      <w:hyperlink w:anchor="section_05bb8be40b9c4be78eab1335e1d2d61c">
        <w:r>
          <w:rPr>
            <w:rStyle w:val="Hyperlink"/>
          </w:rPr>
          <w:t>st (Audio Start Time)</w:t>
        </w:r>
      </w:hyperlink>
      <w:r>
        <w:t xml:space="preserve"> </w:t>
      </w:r>
      <w:r>
        <w:fldChar w:fldCharType="begin"/>
      </w:r>
      <w:r>
        <w:instrText>PAGEREF section_05bb8be40b9c4be78eab1335e1d2d61c</w:instrText>
      </w:r>
      <w:r>
        <w:fldChar w:fldCharType="separate"/>
      </w:r>
      <w:r>
        <w:rPr>
          <w:noProof/>
        </w:rPr>
        <w:t>507</w:t>
      </w:r>
      <w:r>
        <w:fldChar w:fldCharType="end"/>
      </w:r>
    </w:p>
    <w:p w:rsidR="005F78FC" w:rsidRDefault="00B42EF3">
      <w:pPr>
        <w:pStyle w:val="indexentry0"/>
      </w:pPr>
      <w:hyperlink w:anchor="section_1cf7b62c1b304ad98b696b046e25c615">
        <w:r>
          <w:rPr>
            <w:rStyle w:val="Hyperlink"/>
          </w:rPr>
          <w:t>ST_AnimOneStr (One by One Animation Value Definition)</w:t>
        </w:r>
      </w:hyperlink>
      <w:r>
        <w:t xml:space="preserve"> </w:t>
      </w:r>
      <w:r>
        <w:fldChar w:fldCharType="begin"/>
      </w:r>
      <w:r>
        <w:instrText>PAGEREF section_1cf7b62c1b304ad98b696b046e25c615</w:instrText>
      </w:r>
      <w:r>
        <w:fldChar w:fldCharType="separate"/>
      </w:r>
      <w:r>
        <w:rPr>
          <w:noProof/>
        </w:rPr>
        <w:t>589</w:t>
      </w:r>
      <w:r>
        <w:fldChar w:fldCharType="end"/>
      </w:r>
    </w:p>
    <w:p w:rsidR="005F78FC" w:rsidRDefault="00B42EF3">
      <w:pPr>
        <w:pStyle w:val="indexentry0"/>
      </w:pPr>
      <w:hyperlink w:anchor="section_9407009231ed4640937779c48f537d30">
        <w:r>
          <w:rPr>
            <w:rStyle w:val="Hyperlink"/>
          </w:rPr>
          <w:t>ST_AxisType (Axis Type)</w:t>
        </w:r>
      </w:hyperlink>
      <w:r>
        <w:t xml:space="preserve"> </w:t>
      </w:r>
      <w:r>
        <w:fldChar w:fldCharType="begin"/>
      </w:r>
      <w:r>
        <w:instrText>PAGEREF section_9407009231ed4640937779c48f537d30</w:instrText>
      </w:r>
      <w:r>
        <w:fldChar w:fldCharType="separate"/>
      </w:r>
      <w:r>
        <w:rPr>
          <w:noProof/>
        </w:rPr>
        <w:t>589</w:t>
      </w:r>
      <w:r>
        <w:fldChar w:fldCharType="end"/>
      </w:r>
    </w:p>
    <w:p w:rsidR="005F78FC" w:rsidRDefault="00B42EF3">
      <w:pPr>
        <w:pStyle w:val="indexentry0"/>
      </w:pPr>
      <w:hyperlink w:anchor="section_b7da8e6662134305a1400604cf2886aa">
        <w:r>
          <w:rPr>
            <w:rStyle w:val="Hyperlink"/>
          </w:rPr>
          <w:t>ST_AxisUnit (Axis Unit)</w:t>
        </w:r>
      </w:hyperlink>
      <w:r>
        <w:t xml:space="preserve"> </w:t>
      </w:r>
      <w:r>
        <w:fldChar w:fldCharType="begin"/>
      </w:r>
      <w:r>
        <w:instrText>PAGEREF section_b7da8e6662134305a1400604cf2886aa</w:instrText>
      </w:r>
      <w:r>
        <w:fldChar w:fldCharType="separate"/>
      </w:r>
      <w:r>
        <w:rPr>
          <w:noProof/>
        </w:rPr>
        <w:t>579</w:t>
      </w:r>
      <w:r>
        <w:fldChar w:fldCharType="end"/>
      </w:r>
    </w:p>
    <w:p w:rsidR="005F78FC" w:rsidRDefault="00B42EF3">
      <w:pPr>
        <w:pStyle w:val="indexentry0"/>
      </w:pPr>
      <w:hyperlink w:anchor="section_2ebc850c2ebe4101aecc74500c1c8c1f">
        <w:r>
          <w:rPr>
            <w:rStyle w:val="Hyperlink"/>
          </w:rPr>
          <w:t>ST_BarDir (Bar Direction)</w:t>
        </w:r>
      </w:hyperlink>
      <w:r>
        <w:t xml:space="preserve"> </w:t>
      </w:r>
      <w:r>
        <w:fldChar w:fldCharType="begin"/>
      </w:r>
      <w:r>
        <w:instrText>PAGEREF section_2ebc850c2ebe4101aecc74500c1c8c1f</w:instrText>
      </w:r>
      <w:r>
        <w:fldChar w:fldCharType="separate"/>
      </w:r>
      <w:r>
        <w:rPr>
          <w:noProof/>
        </w:rPr>
        <w:t>579</w:t>
      </w:r>
      <w:r>
        <w:fldChar w:fldCharType="end"/>
      </w:r>
    </w:p>
    <w:p w:rsidR="005F78FC" w:rsidRDefault="00B42EF3">
      <w:pPr>
        <w:pStyle w:val="indexentry0"/>
      </w:pPr>
      <w:hyperlink w:anchor="section_294bc3bcb346432694c394b19a9a985c">
        <w:r>
          <w:rPr>
            <w:rStyle w:val="Hyperlink"/>
          </w:rPr>
          <w:t>ST_BarGrouping (Bar Grouping)</w:t>
        </w:r>
      </w:hyperlink>
      <w:r>
        <w:t xml:space="preserve"> </w:t>
      </w:r>
      <w:r>
        <w:fldChar w:fldCharType="begin"/>
      </w:r>
      <w:r>
        <w:instrText>PAGEREF section_294bc3</w:instrText>
      </w:r>
      <w:r>
        <w:instrText>bcb346432694c394b19a9a985c</w:instrText>
      </w:r>
      <w:r>
        <w:fldChar w:fldCharType="separate"/>
      </w:r>
      <w:r>
        <w:rPr>
          <w:noProof/>
        </w:rPr>
        <w:t>579</w:t>
      </w:r>
      <w:r>
        <w:fldChar w:fldCharType="end"/>
      </w:r>
    </w:p>
    <w:p w:rsidR="005F78FC" w:rsidRDefault="00B42EF3">
      <w:pPr>
        <w:pStyle w:val="indexentry0"/>
      </w:pPr>
      <w:hyperlink w:anchor="section_f0051832d96a4fb7a4b7b721e72abfe5">
        <w:r>
          <w:rPr>
            <w:rStyle w:val="Hyperlink"/>
          </w:rPr>
          <w:t>ST_BlipCompression (Blip Compression Type)</w:t>
        </w:r>
      </w:hyperlink>
      <w:r>
        <w:t xml:space="preserve"> </w:t>
      </w:r>
      <w:r>
        <w:fldChar w:fldCharType="begin"/>
      </w:r>
      <w:r>
        <w:instrText>PAGEREF section_f0051832d96a4fb7a4b7b721e72abfe5</w:instrText>
      </w:r>
      <w:r>
        <w:fldChar w:fldCharType="separate"/>
      </w:r>
      <w:r>
        <w:rPr>
          <w:noProof/>
        </w:rPr>
        <w:t>520</w:t>
      </w:r>
      <w:r>
        <w:fldChar w:fldCharType="end"/>
      </w:r>
    </w:p>
    <w:p w:rsidR="005F78FC" w:rsidRDefault="00B42EF3">
      <w:pPr>
        <w:pStyle w:val="indexentry0"/>
      </w:pPr>
      <w:hyperlink w:anchor="section_923382bf235a4f4ab9dfd5a0f8b2ead8">
        <w:r>
          <w:rPr>
            <w:rStyle w:val="Hyperlink"/>
          </w:rPr>
          <w:t>ST_Bord</w:t>
        </w:r>
        <w:r>
          <w:rPr>
            <w:rStyle w:val="Hyperlink"/>
          </w:rPr>
          <w:t>er (Border Styles)</w:t>
        </w:r>
      </w:hyperlink>
      <w:r>
        <w:t xml:space="preserve"> </w:t>
      </w:r>
      <w:r>
        <w:fldChar w:fldCharType="begin"/>
      </w:r>
      <w:r>
        <w:instrText>PAGEREF section_923382bf235a4f4ab9dfd5a0f8b2ead8</w:instrText>
      </w:r>
      <w:r>
        <w:fldChar w:fldCharType="separate"/>
      </w:r>
      <w:r>
        <w:rPr>
          <w:noProof/>
        </w:rPr>
        <w:t>230</w:t>
      </w:r>
      <w:r>
        <w:fldChar w:fldCharType="end"/>
      </w:r>
    </w:p>
    <w:p w:rsidR="005F78FC" w:rsidRDefault="00B42EF3">
      <w:pPr>
        <w:pStyle w:val="indexentry0"/>
      </w:pPr>
      <w:hyperlink w:anchor="section_53249af3c6b1442193665720617c9e53">
        <w:r>
          <w:rPr>
            <w:rStyle w:val="Hyperlink"/>
          </w:rPr>
          <w:t>ST_BorderId (Border Id)</w:t>
        </w:r>
      </w:hyperlink>
      <w:r>
        <w:t xml:space="preserve"> </w:t>
      </w:r>
      <w:r>
        <w:fldChar w:fldCharType="begin"/>
      </w:r>
      <w:r>
        <w:instrText>PAGEREF section_53249af3c6b1442193665720617c9e53</w:instrText>
      </w:r>
      <w:r>
        <w:fldChar w:fldCharType="separate"/>
      </w:r>
      <w:r>
        <w:rPr>
          <w:noProof/>
        </w:rPr>
        <w:t>458</w:t>
      </w:r>
      <w:r>
        <w:fldChar w:fldCharType="end"/>
      </w:r>
    </w:p>
    <w:p w:rsidR="005F78FC" w:rsidRDefault="00B42EF3">
      <w:pPr>
        <w:pStyle w:val="indexentry0"/>
      </w:pPr>
      <w:hyperlink w:anchor="section_1123446a4d214b2baa9cee57a2efb7c9">
        <w:r>
          <w:rPr>
            <w:rStyle w:val="Hyperlink"/>
          </w:rPr>
          <w:t>ST_BrClear (Line Break Text Wrapping Restart Location)</w:t>
        </w:r>
      </w:hyperlink>
      <w:r>
        <w:t xml:space="preserve"> </w:t>
      </w:r>
      <w:r>
        <w:fldChar w:fldCharType="begin"/>
      </w:r>
      <w:r>
        <w:instrText>PAGEREF section_1123446a4d214b2baa9cee57a2efb7c9</w:instrText>
      </w:r>
      <w:r>
        <w:fldChar w:fldCharType="separate"/>
      </w:r>
      <w:r>
        <w:rPr>
          <w:noProof/>
        </w:rPr>
        <w:t>231</w:t>
      </w:r>
      <w:r>
        <w:fldChar w:fldCharType="end"/>
      </w:r>
    </w:p>
    <w:p w:rsidR="005F78FC" w:rsidRDefault="00B42EF3">
      <w:pPr>
        <w:pStyle w:val="indexentry0"/>
      </w:pPr>
      <w:hyperlink w:anchor="section_2a82044e2cc54f95b7b77c0b976bc7db">
        <w:r>
          <w:rPr>
            <w:rStyle w:val="Hyperlink"/>
          </w:rPr>
          <w:t>ST_BreakBin (Break Binary Operators)</w:t>
        </w:r>
      </w:hyperlink>
      <w:r>
        <w:t xml:space="preserve"> </w:t>
      </w:r>
      <w:r>
        <w:fldChar w:fldCharType="begin"/>
      </w:r>
      <w:r>
        <w:instrText>PAGEREF section_2a82044e2cc54f</w:instrText>
      </w:r>
      <w:r>
        <w:instrText>95b7b77c0b976bc7db</w:instrText>
      </w:r>
      <w:r>
        <w:fldChar w:fldCharType="separate"/>
      </w:r>
      <w:r>
        <w:rPr>
          <w:noProof/>
        </w:rPr>
        <w:t>607</w:t>
      </w:r>
      <w:r>
        <w:fldChar w:fldCharType="end"/>
      </w:r>
    </w:p>
    <w:p w:rsidR="005F78FC" w:rsidRDefault="00B42EF3">
      <w:pPr>
        <w:pStyle w:val="indexentry0"/>
      </w:pPr>
      <w:hyperlink w:anchor="section_6f412fc993b949d684467b5e4b5e6f4d">
        <w:r>
          <w:rPr>
            <w:rStyle w:val="Hyperlink"/>
          </w:rPr>
          <w:t>ST_BuiltInUnit (Built-In Unit)</w:t>
        </w:r>
      </w:hyperlink>
      <w:r>
        <w:t xml:space="preserve"> </w:t>
      </w:r>
      <w:r>
        <w:fldChar w:fldCharType="begin"/>
      </w:r>
      <w:r>
        <w:instrText>PAGEREF section_6f412fc993b949d684467b5e4b5e6f4d</w:instrText>
      </w:r>
      <w:r>
        <w:fldChar w:fldCharType="separate"/>
      </w:r>
      <w:r>
        <w:rPr>
          <w:noProof/>
        </w:rPr>
        <w:t>579</w:t>
      </w:r>
      <w:r>
        <w:fldChar w:fldCharType="end"/>
      </w:r>
    </w:p>
    <w:p w:rsidR="005F78FC" w:rsidRDefault="00B42EF3">
      <w:pPr>
        <w:pStyle w:val="indexentry0"/>
      </w:pPr>
      <w:hyperlink w:anchor="section_8c617ecf08e444be9651baeb502cdb90">
        <w:r>
          <w:rPr>
            <w:rStyle w:val="Hyperlink"/>
          </w:rPr>
          <w:t xml:space="preserve">ST_BWMode (Black And White </w:t>
        </w:r>
        <w:r>
          <w:rPr>
            <w:rStyle w:val="Hyperlink"/>
          </w:rPr>
          <w:t>Modes)</w:t>
        </w:r>
      </w:hyperlink>
      <w:r>
        <w:t xml:space="preserve"> </w:t>
      </w:r>
      <w:r>
        <w:fldChar w:fldCharType="begin"/>
      </w:r>
      <w:r>
        <w:instrText>PAGEREF section_8c617ecf08e444be9651baeb502cdb90</w:instrText>
      </w:r>
      <w:r>
        <w:fldChar w:fldCharType="separate"/>
      </w:r>
      <w:r>
        <w:rPr>
          <w:noProof/>
        </w:rPr>
        <w:t>677</w:t>
      </w:r>
      <w:r>
        <w:fldChar w:fldCharType="end"/>
      </w:r>
    </w:p>
    <w:p w:rsidR="005F78FC" w:rsidRDefault="00B42EF3">
      <w:pPr>
        <w:pStyle w:val="indexentry0"/>
      </w:pPr>
      <w:hyperlink w:anchor="section_139928f9f5084ef29a6b4034409e9564">
        <w:r>
          <w:rPr>
            <w:rStyle w:val="Hyperlink"/>
          </w:rPr>
          <w:t>ST_CalendarType (Calendar Types)</w:t>
        </w:r>
      </w:hyperlink>
      <w:r>
        <w:t xml:space="preserve"> </w:t>
      </w:r>
      <w:r>
        <w:fldChar w:fldCharType="begin"/>
      </w:r>
      <w:r>
        <w:instrText>PAGEREF section_139928f9f5084ef29a6b4034409e9564</w:instrText>
      </w:r>
      <w:r>
        <w:fldChar w:fldCharType="separate"/>
      </w:r>
      <w:r>
        <w:rPr>
          <w:noProof/>
        </w:rPr>
        <w:t>616</w:t>
      </w:r>
      <w:r>
        <w:fldChar w:fldCharType="end"/>
      </w:r>
    </w:p>
    <w:p w:rsidR="005F78FC" w:rsidRDefault="00B42EF3">
      <w:pPr>
        <w:pStyle w:val="indexentry0"/>
      </w:pPr>
      <w:hyperlink w:anchor="section_da476231647b46419fb6be577549a762">
        <w:r>
          <w:rPr>
            <w:rStyle w:val="Hyperlink"/>
          </w:rPr>
          <w:t>ST_CalloutDrop (Callout Drop Location)</w:t>
        </w:r>
      </w:hyperlink>
      <w:r>
        <w:t xml:space="preserve"> </w:t>
      </w:r>
      <w:r>
        <w:fldChar w:fldCharType="begin"/>
      </w:r>
      <w:r>
        <w:instrText>PAGEREF section_da476231647b46419fb6be577549a762</w:instrText>
      </w:r>
      <w:r>
        <w:fldChar w:fldCharType="separate"/>
      </w:r>
      <w:r>
        <w:rPr>
          <w:noProof/>
        </w:rPr>
        <w:t>677</w:t>
      </w:r>
      <w:r>
        <w:fldChar w:fldCharType="end"/>
      </w:r>
    </w:p>
    <w:p w:rsidR="005F78FC" w:rsidRDefault="00B42EF3">
      <w:pPr>
        <w:pStyle w:val="indexentry0"/>
      </w:pPr>
      <w:hyperlink w:anchor="section_aaf2ad21b3cf4832bfc3614966a1fd3e">
        <w:r>
          <w:rPr>
            <w:rStyle w:val="Hyperlink"/>
          </w:rPr>
          <w:t>ST_CaptionPos (Automatic Caption Position</w:t>
        </w:r>
        <w:r>
          <w:rPr>
            <w:rStyle w:val="Hyperlink"/>
          </w:rPr>
          <w:t>ing Values)</w:t>
        </w:r>
      </w:hyperlink>
      <w:r>
        <w:t xml:space="preserve"> </w:t>
      </w:r>
      <w:r>
        <w:fldChar w:fldCharType="begin"/>
      </w:r>
      <w:r>
        <w:instrText>PAGEREF section_aaf2ad21b3cf4832bfc3614966a1fd3e</w:instrText>
      </w:r>
      <w:r>
        <w:fldChar w:fldCharType="separate"/>
      </w:r>
      <w:r>
        <w:rPr>
          <w:noProof/>
        </w:rPr>
        <w:t>231</w:t>
      </w:r>
      <w:r>
        <w:fldChar w:fldCharType="end"/>
      </w:r>
    </w:p>
    <w:p w:rsidR="005F78FC" w:rsidRDefault="00B42EF3">
      <w:pPr>
        <w:pStyle w:val="indexentry0"/>
      </w:pPr>
      <w:hyperlink w:anchor="section_0adc381aa21a457c8a5a88dc96fa2688">
        <w:r>
          <w:rPr>
            <w:rStyle w:val="Hyperlink"/>
          </w:rPr>
          <w:t>ST_CellFormulaType (Formula Type)</w:t>
        </w:r>
      </w:hyperlink>
      <w:r>
        <w:t xml:space="preserve"> </w:t>
      </w:r>
      <w:r>
        <w:fldChar w:fldCharType="begin"/>
      </w:r>
      <w:r>
        <w:instrText>PAGEREF section_0adc381aa21a457c8a5a88dc96fa2688</w:instrText>
      </w:r>
      <w:r>
        <w:fldChar w:fldCharType="separate"/>
      </w:r>
      <w:r>
        <w:rPr>
          <w:noProof/>
        </w:rPr>
        <w:t>458</w:t>
      </w:r>
      <w:r>
        <w:fldChar w:fldCharType="end"/>
      </w:r>
    </w:p>
    <w:p w:rsidR="005F78FC" w:rsidRDefault="00B42EF3">
      <w:pPr>
        <w:pStyle w:val="indexentry0"/>
      </w:pPr>
      <w:hyperlink w:anchor="section_044c2ba4098b4b15b9603f7f972665df">
        <w:r>
          <w:rPr>
            <w:rStyle w:val="Hyperlink"/>
          </w:rPr>
          <w:t>ST_CellRef (Cell Reference)</w:t>
        </w:r>
      </w:hyperlink>
      <w:r>
        <w:t xml:space="preserve"> </w:t>
      </w:r>
      <w:r>
        <w:fldChar w:fldCharType="begin"/>
      </w:r>
      <w:r>
        <w:instrText>PAGEREF section_044c2ba4098b4b15b9603f7f972665df</w:instrText>
      </w:r>
      <w:r>
        <w:fldChar w:fldCharType="separate"/>
      </w:r>
      <w:r>
        <w:rPr>
          <w:noProof/>
        </w:rPr>
        <w:t>458</w:t>
      </w:r>
      <w:r>
        <w:fldChar w:fldCharType="end"/>
      </w:r>
    </w:p>
    <w:p w:rsidR="005F78FC" w:rsidRDefault="00B42EF3">
      <w:pPr>
        <w:pStyle w:val="indexentry0"/>
      </w:pPr>
      <w:hyperlink w:anchor="section_dbd6f7062cb8443d992c603bddbcc95c">
        <w:r>
          <w:rPr>
            <w:rStyle w:val="Hyperlink"/>
          </w:rPr>
          <w:t>ST_CellSpan (Cell Span Type)</w:t>
        </w:r>
      </w:hyperlink>
      <w:r>
        <w:t xml:space="preserve"> </w:t>
      </w:r>
      <w:r>
        <w:fldChar w:fldCharType="begin"/>
      </w:r>
      <w:r>
        <w:instrText>PAGEREF section_dbd6f7062cb8443d992c603bddbcc95c</w:instrText>
      </w:r>
      <w:r>
        <w:fldChar w:fldCharType="separate"/>
      </w:r>
      <w:r>
        <w:rPr>
          <w:noProof/>
        </w:rPr>
        <w:t>459</w:t>
      </w:r>
      <w:r>
        <w:fldChar w:fldCharType="end"/>
      </w:r>
    </w:p>
    <w:p w:rsidR="005F78FC" w:rsidRDefault="00B42EF3">
      <w:pPr>
        <w:pStyle w:val="indexentry0"/>
      </w:pPr>
      <w:hyperlink w:anchor="section_df329b39b03e498395649c7d41edc5b5">
        <w:r>
          <w:rPr>
            <w:rStyle w:val="Hyperlink"/>
          </w:rPr>
          <w:t>ST_CharacterSpacing (Character-Level Whitespace Compression Settings)</w:t>
        </w:r>
      </w:hyperlink>
      <w:r>
        <w:t xml:space="preserve"> </w:t>
      </w:r>
      <w:r>
        <w:fldChar w:fldCharType="begin"/>
      </w:r>
      <w:r>
        <w:instrText>PAGEREF section_df329b39b03e498395649c7d41edc5b5</w:instrText>
      </w:r>
      <w:r>
        <w:fldChar w:fldCharType="separate"/>
      </w:r>
      <w:r>
        <w:rPr>
          <w:noProof/>
        </w:rPr>
        <w:t>231</w:t>
      </w:r>
      <w:r>
        <w:fldChar w:fldCharType="end"/>
      </w:r>
    </w:p>
    <w:p w:rsidR="005F78FC" w:rsidRDefault="00B42EF3">
      <w:pPr>
        <w:pStyle w:val="indexentry0"/>
      </w:pPr>
      <w:hyperlink w:anchor="section_57afc6353ade4d41a7313702bf735c42">
        <w:r>
          <w:rPr>
            <w:rStyle w:val="Hyperlink"/>
          </w:rPr>
          <w:t xml:space="preserve">ST_ColorType (Color </w:t>
        </w:r>
        <w:r>
          <w:rPr>
            <w:rStyle w:val="Hyperlink"/>
          </w:rPr>
          <w:t>Type)</w:t>
        </w:r>
      </w:hyperlink>
      <w:r>
        <w:t xml:space="preserve"> </w:t>
      </w:r>
      <w:r>
        <w:fldChar w:fldCharType="begin"/>
      </w:r>
      <w:r>
        <w:instrText>PAGEREF section_57afc6353ade4d41a7313702bf735c42</w:instrText>
      </w:r>
      <w:r>
        <w:fldChar w:fldCharType="separate"/>
      </w:r>
      <w:r>
        <w:rPr>
          <w:noProof/>
        </w:rPr>
        <w:t>684</w:t>
      </w:r>
      <w:r>
        <w:fldChar w:fldCharType="end"/>
      </w:r>
    </w:p>
    <w:p w:rsidR="005F78FC" w:rsidRDefault="00B42EF3">
      <w:pPr>
        <w:pStyle w:val="indexentry0"/>
      </w:pPr>
      <w:hyperlink w:anchor="section_c88ee44d80a447869e0cf0a57bfbe3b2">
        <w:r>
          <w:rPr>
            <w:rStyle w:val="Hyperlink"/>
          </w:rPr>
          <w:t>ST_CompoundLine (Compound Line Type)</w:t>
        </w:r>
      </w:hyperlink>
      <w:r>
        <w:t xml:space="preserve"> </w:t>
      </w:r>
      <w:r>
        <w:fldChar w:fldCharType="begin"/>
      </w:r>
      <w:r>
        <w:instrText>PAGEREF section_c88ee44d80a447869e0cf0a57bfbe3b2</w:instrText>
      </w:r>
      <w:r>
        <w:fldChar w:fldCharType="separate"/>
      </w:r>
      <w:r>
        <w:rPr>
          <w:noProof/>
        </w:rPr>
        <w:t>520</w:t>
      </w:r>
      <w:r>
        <w:fldChar w:fldCharType="end"/>
      </w:r>
    </w:p>
    <w:p w:rsidR="005F78FC" w:rsidRDefault="00B42EF3">
      <w:pPr>
        <w:pStyle w:val="indexentry0"/>
      </w:pPr>
      <w:hyperlink w:anchor="section_786223f9b8ff46fdade3b42236e6297f">
        <w:r>
          <w:rPr>
            <w:rStyle w:val="Hyperlink"/>
          </w:rPr>
          <w:t>ST_ContentTypeId (Content Type ID)</w:t>
        </w:r>
      </w:hyperlink>
      <w:r>
        <w:t xml:space="preserve"> </w:t>
      </w:r>
      <w:r>
        <w:fldChar w:fldCharType="begin"/>
      </w:r>
      <w:r>
        <w:instrText>PAGEREF section_786223f9b8ff46fdade3b42236e6297f</w:instrText>
      </w:r>
      <w:r>
        <w:fldChar w:fldCharType="separate"/>
      </w:r>
      <w:r>
        <w:rPr>
          <w:noProof/>
        </w:rPr>
        <w:t>870</w:t>
      </w:r>
      <w:r>
        <w:fldChar w:fldCharType="end"/>
      </w:r>
    </w:p>
    <w:p w:rsidR="005F78FC" w:rsidRDefault="00B42EF3">
      <w:pPr>
        <w:pStyle w:val="indexentry0"/>
      </w:pPr>
      <w:hyperlink w:anchor="section_c35b446126a24788a41b0c99a6c691d8">
        <w:r>
          <w:rPr>
            <w:rStyle w:val="Hyperlink"/>
          </w:rPr>
          <w:t>ST_Coordinate (Coordinate)</w:t>
        </w:r>
      </w:hyperlink>
      <w:r>
        <w:t xml:space="preserve"> </w:t>
      </w:r>
      <w:r>
        <w:fldChar w:fldCharType="begin"/>
      </w:r>
      <w:r>
        <w:instrText>PAGEREF section_c35b446126a24788a41b0c99a6c691d8</w:instrText>
      </w:r>
      <w:r>
        <w:fldChar w:fldCharType="separate"/>
      </w:r>
      <w:r>
        <w:rPr>
          <w:noProof/>
        </w:rPr>
        <w:t>520</w:t>
      </w:r>
      <w:r>
        <w:fldChar w:fldCharType="end"/>
      </w:r>
    </w:p>
    <w:p w:rsidR="005F78FC" w:rsidRDefault="00B42EF3">
      <w:pPr>
        <w:pStyle w:val="indexentry0"/>
      </w:pPr>
      <w:hyperlink w:anchor="section_d79b2e5047154cb09e8cbfe7d87d113d">
        <w:r>
          <w:rPr>
            <w:rStyle w:val="Hyperlink"/>
          </w:rPr>
          <w:t>ST_Coordinate32 (Coordinate Point)</w:t>
        </w:r>
      </w:hyperlink>
      <w:r>
        <w:t xml:space="preserve"> </w:t>
      </w:r>
      <w:r>
        <w:fldChar w:fldCharType="begin"/>
      </w:r>
      <w:r>
        <w:instrText>PAGEREF section_d79b2e5047154cb09e8cbfe7d87d113d</w:instrText>
      </w:r>
      <w:r>
        <w:fldChar w:fldCharType="separate"/>
      </w:r>
      <w:r>
        <w:rPr>
          <w:noProof/>
        </w:rPr>
        <w:t>520</w:t>
      </w:r>
      <w:r>
        <w:fldChar w:fldCharType="end"/>
      </w:r>
    </w:p>
    <w:p w:rsidR="005F78FC" w:rsidRDefault="00B42EF3">
      <w:pPr>
        <w:pStyle w:val="indexentry0"/>
      </w:pPr>
      <w:hyperlink w:anchor="section_afb7e140b25949018af4d4a514f50db9">
        <w:r>
          <w:rPr>
            <w:rStyle w:val="Hyperlink"/>
          </w:rPr>
          <w:t>ST_CoordinateUnqualified (Coordinate)</w:t>
        </w:r>
      </w:hyperlink>
      <w:r>
        <w:t xml:space="preserve"> </w:t>
      </w:r>
      <w:r>
        <w:fldChar w:fldCharType="begin"/>
      </w:r>
      <w:r>
        <w:instrText>PAGEREF section_afb7e140b25949018af4d4a514f50db9</w:instrText>
      </w:r>
      <w:r>
        <w:fldChar w:fldCharType="separate"/>
      </w:r>
      <w:r>
        <w:rPr>
          <w:noProof/>
        </w:rPr>
        <w:t>834</w:t>
      </w:r>
      <w:r>
        <w:fldChar w:fldCharType="end"/>
      </w:r>
    </w:p>
    <w:p w:rsidR="005F78FC" w:rsidRDefault="00B42EF3">
      <w:pPr>
        <w:pStyle w:val="indexentry0"/>
      </w:pPr>
      <w:hyperlink w:anchor="section_8f64b974a9a944129ccb91382135586b">
        <w:r>
          <w:rPr>
            <w:rStyle w:val="Hyperlink"/>
          </w:rPr>
          <w:t>ST_CredMethod (Credentials Method)</w:t>
        </w:r>
      </w:hyperlink>
      <w:r>
        <w:t xml:space="preserve"> </w:t>
      </w:r>
      <w:r>
        <w:fldChar w:fldCharType="begin"/>
      </w:r>
      <w:r>
        <w:instrText>PAGEREF section_8f64b974a9a944129ccb91382135586b</w:instrText>
      </w:r>
      <w:r>
        <w:fldChar w:fldCharType="separate"/>
      </w:r>
      <w:r>
        <w:rPr>
          <w:noProof/>
        </w:rPr>
        <w:t>459</w:t>
      </w:r>
      <w:r>
        <w:fldChar w:fldCharType="end"/>
      </w:r>
    </w:p>
    <w:p w:rsidR="005F78FC" w:rsidRDefault="00B42EF3">
      <w:pPr>
        <w:pStyle w:val="indexentry0"/>
      </w:pPr>
      <w:hyperlink w:anchor="section_e79c50d2400c490f9b7bf65492782142">
        <w:r>
          <w:rPr>
            <w:rStyle w:val="Hyperlink"/>
          </w:rPr>
          <w:t>ST_Crosses (Crosses)</w:t>
        </w:r>
      </w:hyperlink>
      <w:r>
        <w:t xml:space="preserve"> </w:t>
      </w:r>
      <w:r>
        <w:fldChar w:fldCharType="begin"/>
      </w:r>
      <w:r>
        <w:instrText>PAGEREF section_e79c50d2400c490f9b7bf65492782142</w:instrText>
      </w:r>
      <w:r>
        <w:fldChar w:fldCharType="separate"/>
      </w:r>
      <w:r>
        <w:rPr>
          <w:noProof/>
        </w:rPr>
        <w:t>579</w:t>
      </w:r>
      <w:r>
        <w:fldChar w:fldCharType="end"/>
      </w:r>
    </w:p>
    <w:p w:rsidR="005F78FC" w:rsidRDefault="00B42EF3">
      <w:pPr>
        <w:pStyle w:val="indexentry0"/>
      </w:pPr>
      <w:hyperlink w:anchor="section_04197af53c824a9d81393f1cec2b78eb">
        <w:r>
          <w:rPr>
            <w:rStyle w:val="Hyperlink"/>
          </w:rPr>
          <w:t>ST_CustomXmlURI (URI for Custom XML)</w:t>
        </w:r>
      </w:hyperlink>
      <w:r>
        <w:t xml:space="preserve"> </w:t>
      </w:r>
      <w:r>
        <w:fldChar w:fldCharType="begin"/>
      </w:r>
      <w:r>
        <w:instrText>PAGEREF section_04197af53c824a9d81393f1cec2b78eb</w:instrText>
      </w:r>
      <w:r>
        <w:fldChar w:fldCharType="separate"/>
      </w:r>
      <w:r>
        <w:rPr>
          <w:noProof/>
        </w:rPr>
        <w:t>825</w:t>
      </w:r>
      <w:r>
        <w:fldChar w:fldCharType="end"/>
      </w:r>
    </w:p>
    <w:p w:rsidR="005F78FC" w:rsidRDefault="00B42EF3">
      <w:pPr>
        <w:pStyle w:val="indexentry0"/>
      </w:pPr>
      <w:hyperlink w:anchor="section_67feb752f108441eaca363fc2717117a">
        <w:r>
          <w:rPr>
            <w:rStyle w:val="Hyperlink"/>
          </w:rPr>
          <w:t>ST_DateTime (Standard Date and Time Storage Format)</w:t>
        </w:r>
      </w:hyperlink>
      <w:r>
        <w:t xml:space="preserve"> </w:t>
      </w:r>
      <w:r>
        <w:fldChar w:fldCharType="begin"/>
      </w:r>
      <w:r>
        <w:instrText>PAGEREF section_67feb752f108441eaca363fc2717117a</w:instrText>
      </w:r>
      <w:r>
        <w:fldChar w:fldCharType="separate"/>
      </w:r>
      <w:r>
        <w:rPr>
          <w:noProof/>
        </w:rPr>
        <w:t>825</w:t>
      </w:r>
      <w:r>
        <w:fldChar w:fldCharType="end"/>
      </w:r>
    </w:p>
    <w:p w:rsidR="005F78FC" w:rsidRDefault="00B42EF3">
      <w:pPr>
        <w:pStyle w:val="indexentry0"/>
      </w:pPr>
      <w:r>
        <w:t>ST_DecimalNumber (Decimal Number Value) (</w:t>
      </w:r>
      <w:hyperlink w:anchor="section_f22c45b2866741ce93a3b1451c17790a">
        <w:r>
          <w:rPr>
            <w:rStyle w:val="Hyperlink"/>
          </w:rPr>
          <w:t>section 2.1.532</w:t>
        </w:r>
      </w:hyperlink>
      <w:r>
        <w:t xml:space="preserve"> </w:t>
      </w:r>
      <w:r>
        <w:fldChar w:fldCharType="begin"/>
      </w:r>
      <w:r>
        <w:instrText>PAGEREF section_f22c45b2866741ce93a3b1451c17790a</w:instrText>
      </w:r>
      <w:r>
        <w:fldChar w:fldCharType="separate"/>
      </w:r>
      <w:r>
        <w:rPr>
          <w:noProof/>
        </w:rPr>
        <w:t>231</w:t>
      </w:r>
      <w:r>
        <w:fldChar w:fldCharType="end"/>
      </w:r>
      <w:r>
        <w:t xml:space="preserve">, </w:t>
      </w:r>
      <w:hyperlink w:anchor="section_9168633928aa4e54acbd77bc5c69d9d2">
        <w:r>
          <w:rPr>
            <w:rStyle w:val="Hyperlink"/>
          </w:rPr>
          <w:t>section 3.1.2.3.1</w:t>
        </w:r>
      </w:hyperlink>
      <w:r>
        <w:t xml:space="preserve"> </w:t>
      </w:r>
      <w:r>
        <w:fldChar w:fldCharType="begin"/>
      </w:r>
      <w:r>
        <w:instrText>PAGEREF section_9168633928aa4e54acbd77bc5c69d9d2</w:instrText>
      </w:r>
      <w:r>
        <w:fldChar w:fldCharType="separate"/>
      </w:r>
      <w:r>
        <w:rPr>
          <w:noProof/>
        </w:rPr>
        <w:t>788</w:t>
      </w:r>
      <w:r>
        <w:fldChar w:fldCharType="end"/>
      </w:r>
      <w:r>
        <w:t>)</w:t>
      </w:r>
    </w:p>
    <w:p w:rsidR="005F78FC" w:rsidRDefault="00B42EF3">
      <w:pPr>
        <w:pStyle w:val="indexentry0"/>
      </w:pPr>
      <w:hyperlink w:anchor="section_45e24c5e5db2493694488c72a1f7d60e">
        <w:r>
          <w:rPr>
            <w:rStyle w:val="Hyperlink"/>
          </w:rPr>
          <w:t>ST_DisplacedByCustomXml (Location of Custom XML Markup Displacing an Annotation)</w:t>
        </w:r>
      </w:hyperlink>
      <w:r>
        <w:t xml:space="preserve"> </w:t>
      </w:r>
      <w:r>
        <w:fldChar w:fldCharType="begin"/>
      </w:r>
      <w:r>
        <w:instrText>PAGEREF section_45e24c5e5db2493694488c72a1f7d60e</w:instrText>
      </w:r>
      <w:r>
        <w:fldChar w:fldCharType="separate"/>
      </w:r>
      <w:r>
        <w:rPr>
          <w:noProof/>
        </w:rPr>
        <w:t>231</w:t>
      </w:r>
      <w:r>
        <w:fldChar w:fldCharType="end"/>
      </w:r>
    </w:p>
    <w:p w:rsidR="005F78FC" w:rsidRDefault="00B42EF3">
      <w:pPr>
        <w:pStyle w:val="indexentry0"/>
      </w:pPr>
      <w:hyperlink w:anchor="section_ad4d920120514b7d8f9cba019f0ae7a6">
        <w:r>
          <w:rPr>
            <w:rStyle w:val="Hyperlink"/>
          </w:rPr>
          <w:t>ST_DocGrid (Document Grid Types)</w:t>
        </w:r>
      </w:hyperlink>
      <w:r>
        <w:t xml:space="preserve"> </w:t>
      </w:r>
      <w:r>
        <w:fldChar w:fldCharType="begin"/>
      </w:r>
      <w:r>
        <w:instrText>PA</w:instrText>
      </w:r>
      <w:r>
        <w:instrText>GEREF section_ad4d920120514b7d8f9cba019f0ae7a6</w:instrText>
      </w:r>
      <w:r>
        <w:fldChar w:fldCharType="separate"/>
      </w:r>
      <w:r>
        <w:rPr>
          <w:noProof/>
        </w:rPr>
        <w:t>231</w:t>
      </w:r>
      <w:r>
        <w:fldChar w:fldCharType="end"/>
      </w:r>
    </w:p>
    <w:p w:rsidR="005F78FC" w:rsidRDefault="00B42EF3">
      <w:pPr>
        <w:pStyle w:val="indexentry0"/>
      </w:pPr>
      <w:hyperlink w:anchor="section_292959d9ea4a4953b29f6c243ffa5471">
        <w:r>
          <w:rPr>
            <w:rStyle w:val="Hyperlink"/>
          </w:rPr>
          <w:t>ST_DocPartBehavior (Insertion Behavior Types)</w:t>
        </w:r>
      </w:hyperlink>
      <w:r>
        <w:t xml:space="preserve"> </w:t>
      </w:r>
      <w:r>
        <w:fldChar w:fldCharType="begin"/>
      </w:r>
      <w:r>
        <w:instrText>PAGEREF section_292959d9ea4a4953b29f6c243ffa5471</w:instrText>
      </w:r>
      <w:r>
        <w:fldChar w:fldCharType="separate"/>
      </w:r>
      <w:r>
        <w:rPr>
          <w:noProof/>
        </w:rPr>
        <w:t>232</w:t>
      </w:r>
      <w:r>
        <w:fldChar w:fldCharType="end"/>
      </w:r>
    </w:p>
    <w:p w:rsidR="005F78FC" w:rsidRDefault="00B42EF3">
      <w:pPr>
        <w:pStyle w:val="indexentry0"/>
      </w:pPr>
      <w:hyperlink w:anchor="section_9746bb873dd04c7dae43e3547589def1">
        <w:r>
          <w:rPr>
            <w:rStyle w:val="Hyperlink"/>
          </w:rPr>
          <w:t>ST_DrawingElementId (Drawing Element ID)</w:t>
        </w:r>
      </w:hyperlink>
      <w:r>
        <w:t xml:space="preserve"> </w:t>
      </w:r>
      <w:r>
        <w:fldChar w:fldCharType="begin"/>
      </w:r>
      <w:r>
        <w:instrText>PAGEREF section_9746bb873dd04c7dae43e3547589def1</w:instrText>
      </w:r>
      <w:r>
        <w:fldChar w:fldCharType="separate"/>
      </w:r>
      <w:r>
        <w:rPr>
          <w:noProof/>
        </w:rPr>
        <w:t>520</w:t>
      </w:r>
      <w:r>
        <w:fldChar w:fldCharType="end"/>
      </w:r>
    </w:p>
    <w:p w:rsidR="005F78FC" w:rsidRDefault="00B42EF3">
      <w:pPr>
        <w:pStyle w:val="indexentry0"/>
      </w:pPr>
      <w:hyperlink w:anchor="section_cf92e21e16414d069a73f5ecb57e368f">
        <w:r>
          <w:rPr>
            <w:rStyle w:val="Hyperlink"/>
          </w:rPr>
          <w:t>ST_DxfId (Format Id)</w:t>
        </w:r>
      </w:hyperlink>
      <w:r>
        <w:t xml:space="preserve"> </w:t>
      </w:r>
      <w:r>
        <w:fldChar w:fldCharType="begin"/>
      </w:r>
      <w:r>
        <w:instrText>PAGEREF section_</w:instrText>
      </w:r>
      <w:r>
        <w:instrText>cf92e21e16414d069a73f5ecb57e368f</w:instrText>
      </w:r>
      <w:r>
        <w:fldChar w:fldCharType="separate"/>
      </w:r>
      <w:r>
        <w:rPr>
          <w:noProof/>
        </w:rPr>
        <w:t>460</w:t>
      </w:r>
      <w:r>
        <w:fldChar w:fldCharType="end"/>
      </w:r>
    </w:p>
    <w:p w:rsidR="005F78FC" w:rsidRDefault="00B42EF3">
      <w:pPr>
        <w:pStyle w:val="indexentry0"/>
      </w:pPr>
      <w:hyperlink w:anchor="section_8043b424e27544ba95726a25ee5e9b84">
        <w:r>
          <w:rPr>
            <w:rStyle w:val="Hyperlink"/>
          </w:rPr>
          <w:t>ST_Em (Emphasis Mark Type)</w:t>
        </w:r>
      </w:hyperlink>
      <w:r>
        <w:t xml:space="preserve"> </w:t>
      </w:r>
      <w:r>
        <w:fldChar w:fldCharType="begin"/>
      </w:r>
      <w:r>
        <w:instrText>PAGEREF section_8043b424e27544ba95726a25ee5e9b84</w:instrText>
      </w:r>
      <w:r>
        <w:fldChar w:fldCharType="separate"/>
      </w:r>
      <w:r>
        <w:rPr>
          <w:noProof/>
        </w:rPr>
        <w:t>232</w:t>
      </w:r>
      <w:r>
        <w:fldChar w:fldCharType="end"/>
      </w:r>
    </w:p>
    <w:p w:rsidR="005F78FC" w:rsidRDefault="00B42EF3">
      <w:pPr>
        <w:pStyle w:val="indexentry0"/>
      </w:pPr>
      <w:hyperlink w:anchor="section_25a50330009d494596a27947fce8e286">
        <w:r>
          <w:rPr>
            <w:rStyle w:val="Hyperlink"/>
          </w:rPr>
          <w:t>ST_Error (Error S</w:t>
        </w:r>
        <w:r>
          <w:rPr>
            <w:rStyle w:val="Hyperlink"/>
          </w:rPr>
          <w:t>tatus Code Simple Type)</w:t>
        </w:r>
      </w:hyperlink>
      <w:r>
        <w:t xml:space="preserve"> </w:t>
      </w:r>
      <w:r>
        <w:fldChar w:fldCharType="begin"/>
      </w:r>
      <w:r>
        <w:instrText>PAGEREF section_25a50330009d494596a27947fce8e286</w:instrText>
      </w:r>
      <w:r>
        <w:fldChar w:fldCharType="separate"/>
      </w:r>
      <w:r>
        <w:rPr>
          <w:noProof/>
        </w:rPr>
        <w:t>614</w:t>
      </w:r>
      <w:r>
        <w:fldChar w:fldCharType="end"/>
      </w:r>
    </w:p>
    <w:p w:rsidR="005F78FC" w:rsidRDefault="00B42EF3">
      <w:pPr>
        <w:pStyle w:val="indexentry0"/>
      </w:pPr>
      <w:hyperlink w:anchor="section_ba45301ab7004913a05271e61c1b5023">
        <w:r>
          <w:rPr>
            <w:rStyle w:val="Hyperlink"/>
          </w:rPr>
          <w:t>ST_ErrValType (Error Value Type)</w:t>
        </w:r>
      </w:hyperlink>
      <w:r>
        <w:t xml:space="preserve"> </w:t>
      </w:r>
      <w:r>
        <w:fldChar w:fldCharType="begin"/>
      </w:r>
      <w:r>
        <w:instrText>PAGEREF section_ba45301ab7004913a05271e61c1b5023</w:instrText>
      </w:r>
      <w:r>
        <w:fldChar w:fldCharType="separate"/>
      </w:r>
      <w:r>
        <w:rPr>
          <w:noProof/>
        </w:rPr>
        <w:t>580</w:t>
      </w:r>
      <w:r>
        <w:fldChar w:fldCharType="end"/>
      </w:r>
    </w:p>
    <w:p w:rsidR="005F78FC" w:rsidRDefault="00B42EF3">
      <w:pPr>
        <w:pStyle w:val="indexentry0"/>
      </w:pPr>
      <w:hyperlink w:anchor="section_6b29c3deb279450da710a73c6dd0b1fa">
        <w:r>
          <w:rPr>
            <w:rStyle w:val="Hyperlink"/>
          </w:rPr>
          <w:t>ST_Ext (VML Extension Handling Behaviors)</w:t>
        </w:r>
      </w:hyperlink>
      <w:r>
        <w:t xml:space="preserve"> </w:t>
      </w:r>
      <w:r>
        <w:fldChar w:fldCharType="begin"/>
      </w:r>
      <w:r>
        <w:instrText>PAGEREF section_6b29c3deb279450da710a73c6dd0b1fa</w:instrText>
      </w:r>
      <w:r>
        <w:fldChar w:fldCharType="separate"/>
      </w:r>
      <w:r>
        <w:rPr>
          <w:noProof/>
        </w:rPr>
        <w:t>661</w:t>
      </w:r>
      <w:r>
        <w:fldChar w:fldCharType="end"/>
      </w:r>
    </w:p>
    <w:p w:rsidR="005F78FC" w:rsidRDefault="00B42EF3">
      <w:pPr>
        <w:pStyle w:val="indexentry0"/>
      </w:pPr>
      <w:hyperlink w:anchor="section_04451925852741c38c05bbfa37d3b618">
        <w:r>
          <w:rPr>
            <w:rStyle w:val="Hyperlink"/>
          </w:rPr>
          <w:t>ST_FFHelpTextVal (Help Text Value)</w:t>
        </w:r>
      </w:hyperlink>
      <w:r>
        <w:t xml:space="preserve"> </w:t>
      </w:r>
      <w:r>
        <w:fldChar w:fldCharType="begin"/>
      </w:r>
      <w:r>
        <w:instrText>PAGEREF section_04451925852741c</w:instrText>
      </w:r>
      <w:r>
        <w:instrText>38c05bbfa37d3b618</w:instrText>
      </w:r>
      <w:r>
        <w:fldChar w:fldCharType="separate"/>
      </w:r>
      <w:r>
        <w:rPr>
          <w:noProof/>
        </w:rPr>
        <w:t>232</w:t>
      </w:r>
      <w:r>
        <w:fldChar w:fldCharType="end"/>
      </w:r>
    </w:p>
    <w:p w:rsidR="005F78FC" w:rsidRDefault="00B42EF3">
      <w:pPr>
        <w:pStyle w:val="indexentry0"/>
      </w:pPr>
      <w:hyperlink w:anchor="section_b174b3b20ea040bf8af47b79f843ebd1">
        <w:r>
          <w:rPr>
            <w:rStyle w:val="Hyperlink"/>
          </w:rPr>
          <w:t>ST_FFName (Form Field Name Value)</w:t>
        </w:r>
      </w:hyperlink>
      <w:r>
        <w:t xml:space="preserve"> </w:t>
      </w:r>
      <w:r>
        <w:fldChar w:fldCharType="begin"/>
      </w:r>
      <w:r>
        <w:instrText>PAGEREF section_b174b3b20ea040bf8af47b79f843ebd1</w:instrText>
      </w:r>
      <w:r>
        <w:fldChar w:fldCharType="separate"/>
      </w:r>
      <w:r>
        <w:rPr>
          <w:noProof/>
        </w:rPr>
        <w:t>232</w:t>
      </w:r>
      <w:r>
        <w:fldChar w:fldCharType="end"/>
      </w:r>
    </w:p>
    <w:p w:rsidR="005F78FC" w:rsidRDefault="00B42EF3">
      <w:pPr>
        <w:pStyle w:val="indexentry0"/>
      </w:pPr>
      <w:hyperlink w:anchor="section_7ea5a9b7e6f3441da1fb24c4e7bf5afd">
        <w:r>
          <w:rPr>
            <w:rStyle w:val="Hyperlink"/>
          </w:rPr>
          <w:t>ST_FFStatusTextVal (Statu</w:t>
        </w:r>
        <w:r>
          <w:rPr>
            <w:rStyle w:val="Hyperlink"/>
          </w:rPr>
          <w:t>s Text Value)</w:t>
        </w:r>
      </w:hyperlink>
      <w:r>
        <w:t xml:space="preserve"> </w:t>
      </w:r>
      <w:r>
        <w:fldChar w:fldCharType="begin"/>
      </w:r>
      <w:r>
        <w:instrText>PAGEREF section_7ea5a9b7e6f3441da1fb24c4e7bf5afd</w:instrText>
      </w:r>
      <w:r>
        <w:fldChar w:fldCharType="separate"/>
      </w:r>
      <w:r>
        <w:rPr>
          <w:noProof/>
        </w:rPr>
        <w:t>233</w:t>
      </w:r>
      <w:r>
        <w:fldChar w:fldCharType="end"/>
      </w:r>
    </w:p>
    <w:p w:rsidR="005F78FC" w:rsidRDefault="00B42EF3">
      <w:pPr>
        <w:pStyle w:val="indexentry0"/>
      </w:pPr>
      <w:hyperlink w:anchor="section_6ba27075db5b4f3dab0ae7347a2d56c5">
        <w:r>
          <w:rPr>
            <w:rStyle w:val="Hyperlink"/>
          </w:rPr>
          <w:t>ST_FileType (File Type)</w:t>
        </w:r>
      </w:hyperlink>
      <w:r>
        <w:t xml:space="preserve"> </w:t>
      </w:r>
      <w:r>
        <w:fldChar w:fldCharType="begin"/>
      </w:r>
      <w:r>
        <w:instrText>PAGEREF section_6ba27075db5b4f3dab0ae7347a2d56c5</w:instrText>
      </w:r>
      <w:r>
        <w:fldChar w:fldCharType="separate"/>
      </w:r>
      <w:r>
        <w:rPr>
          <w:noProof/>
        </w:rPr>
        <w:t>460</w:t>
      </w:r>
      <w:r>
        <w:fldChar w:fldCharType="end"/>
      </w:r>
    </w:p>
    <w:p w:rsidR="005F78FC" w:rsidRDefault="00B42EF3">
      <w:pPr>
        <w:pStyle w:val="indexentry0"/>
      </w:pPr>
      <w:hyperlink w:anchor="section_1053b25753e44ce5a8cbd5525d9a6100">
        <w:r>
          <w:rPr>
            <w:rStyle w:val="Hyperlink"/>
          </w:rPr>
          <w:t>ST_FillId (Fill Id)</w:t>
        </w:r>
      </w:hyperlink>
      <w:r>
        <w:t xml:space="preserve"> </w:t>
      </w:r>
      <w:r>
        <w:fldChar w:fldCharType="begin"/>
      </w:r>
      <w:r>
        <w:instrText>PAGEREF section_1053b25753e44ce5a8cbd5525d9a6100</w:instrText>
      </w:r>
      <w:r>
        <w:fldChar w:fldCharType="separate"/>
      </w:r>
      <w:r>
        <w:rPr>
          <w:noProof/>
        </w:rPr>
        <w:t>460</w:t>
      </w:r>
      <w:r>
        <w:fldChar w:fldCharType="end"/>
      </w:r>
    </w:p>
    <w:p w:rsidR="005F78FC" w:rsidRDefault="00B42EF3">
      <w:pPr>
        <w:pStyle w:val="indexentry0"/>
      </w:pPr>
      <w:hyperlink w:anchor="section_008cd8fe3ce04c7e8cfa41e93a741ff6">
        <w:r>
          <w:rPr>
            <w:rStyle w:val="Hyperlink"/>
          </w:rPr>
          <w:t>ST_FillMethod (Gradient Fill Computation Type)</w:t>
        </w:r>
      </w:hyperlink>
      <w:r>
        <w:t xml:space="preserve"> </w:t>
      </w:r>
      <w:r>
        <w:fldChar w:fldCharType="begin"/>
      </w:r>
      <w:r>
        <w:instrText>PAGEREF sec</w:instrText>
      </w:r>
      <w:r>
        <w:instrText>tion_008cd8fe3ce04c7e8cfa41e93a741ff6</w:instrText>
      </w:r>
      <w:r>
        <w:fldChar w:fldCharType="separate"/>
      </w:r>
      <w:r>
        <w:rPr>
          <w:noProof/>
        </w:rPr>
        <w:t>662</w:t>
      </w:r>
      <w:r>
        <w:fldChar w:fldCharType="end"/>
      </w:r>
    </w:p>
    <w:p w:rsidR="005F78FC" w:rsidRDefault="00B42EF3">
      <w:pPr>
        <w:pStyle w:val="indexentry0"/>
      </w:pPr>
      <w:r>
        <w:t>ST_FillType (Shape Fill Type) (</w:t>
      </w:r>
      <w:hyperlink w:anchor="section_171b0dbff49c41e19b891784a823b0d0">
        <w:r>
          <w:rPr>
            <w:rStyle w:val="Hyperlink"/>
          </w:rPr>
          <w:t>section 2.1.1810</w:t>
        </w:r>
      </w:hyperlink>
      <w:r>
        <w:t xml:space="preserve"> </w:t>
      </w:r>
      <w:r>
        <w:fldChar w:fldCharType="begin"/>
      </w:r>
      <w:r>
        <w:instrText>PAGEREF section_171b0dbff49c41e19b891784a823b0d0</w:instrText>
      </w:r>
      <w:r>
        <w:fldChar w:fldCharType="separate"/>
      </w:r>
      <w:r>
        <w:rPr>
          <w:noProof/>
        </w:rPr>
        <w:t>662</w:t>
      </w:r>
      <w:r>
        <w:fldChar w:fldCharType="end"/>
      </w:r>
      <w:r>
        <w:t xml:space="preserve">, </w:t>
      </w:r>
      <w:hyperlink w:anchor="section_1f135f48bcf84e1ea0c1b1c87f553189">
        <w:r>
          <w:rPr>
            <w:rStyle w:val="Hyperlink"/>
          </w:rPr>
          <w:t>section 2.1.1841</w:t>
        </w:r>
      </w:hyperlink>
      <w:r>
        <w:t xml:space="preserve"> </w:t>
      </w:r>
      <w:r>
        <w:fldChar w:fldCharType="begin"/>
      </w:r>
      <w:r>
        <w:instrText>PAGEREF section_1f135f48bcf84e1ea0c1b1c87f553189</w:instrText>
      </w:r>
      <w:r>
        <w:fldChar w:fldCharType="separate"/>
      </w:r>
      <w:r>
        <w:rPr>
          <w:noProof/>
        </w:rPr>
        <w:t>677</w:t>
      </w:r>
      <w:r>
        <w:fldChar w:fldCharType="end"/>
      </w:r>
      <w:r>
        <w:t>)</w:t>
      </w:r>
    </w:p>
    <w:p w:rsidR="005F78FC" w:rsidRDefault="00B42EF3">
      <w:pPr>
        <w:pStyle w:val="indexentry0"/>
      </w:pPr>
      <w:hyperlink w:anchor="section_caf86f6814a24da395878b7c9b671ba7">
        <w:r>
          <w:rPr>
            <w:rStyle w:val="Hyperlink"/>
          </w:rPr>
          <w:t>ST_FixedPercentage (Fixed Percentage)</w:t>
        </w:r>
      </w:hyperlink>
      <w:r>
        <w:t xml:space="preserve"> </w:t>
      </w:r>
      <w:r>
        <w:fldChar w:fldCharType="begin"/>
      </w:r>
      <w:r>
        <w:instrText>PAGEREF section_caf86f6814a24da395878b7c9b671ba7</w:instrText>
      </w:r>
      <w:r>
        <w:fldChar w:fldCharType="separate"/>
      </w:r>
      <w:r>
        <w:rPr>
          <w:noProof/>
        </w:rPr>
        <w:t>521</w:t>
      </w:r>
      <w:r>
        <w:fldChar w:fldCharType="end"/>
      </w:r>
    </w:p>
    <w:p w:rsidR="005F78FC" w:rsidRDefault="00B42EF3">
      <w:pPr>
        <w:pStyle w:val="indexentry0"/>
      </w:pPr>
      <w:hyperlink w:anchor="section_8ebf82e44fa443a69ecdd2d793a6f4bf">
        <w:r>
          <w:rPr>
            <w:rStyle w:val="Hyperlink"/>
          </w:rPr>
          <w:t>ST_Formula (Formula)</w:t>
        </w:r>
      </w:hyperlink>
      <w:r>
        <w:t xml:space="preserve"> </w:t>
      </w:r>
      <w:r>
        <w:fldChar w:fldCharType="begin"/>
      </w:r>
      <w:r>
        <w:instrText>PAGEREF section_8ebf82e44fa443a69ecdd2d793a6f4bf</w:instrText>
      </w:r>
      <w:r>
        <w:fldChar w:fldCharType="separate"/>
      </w:r>
      <w:r>
        <w:rPr>
          <w:noProof/>
        </w:rPr>
        <w:t>460</w:t>
      </w:r>
      <w:r>
        <w:fldChar w:fldCharType="end"/>
      </w:r>
    </w:p>
    <w:p w:rsidR="005F78FC" w:rsidRDefault="00B42EF3">
      <w:pPr>
        <w:pStyle w:val="indexentry0"/>
      </w:pPr>
      <w:hyperlink w:anchor="section_c96929a126d44fe4819f37727a9492e8">
        <w:r>
          <w:rPr>
            <w:rStyle w:val="Hyperlink"/>
          </w:rPr>
          <w:t>ST_Fraction (Fraction Type)</w:t>
        </w:r>
      </w:hyperlink>
      <w:r>
        <w:t xml:space="preserve"> </w:t>
      </w:r>
      <w:r>
        <w:fldChar w:fldCharType="begin"/>
      </w:r>
      <w:r>
        <w:instrText>PAGEREF section_c96929a126d44fe4819f37727a9492e8</w:instrText>
      </w:r>
      <w:r>
        <w:fldChar w:fldCharType="separate"/>
      </w:r>
      <w:r>
        <w:rPr>
          <w:noProof/>
        </w:rPr>
        <w:t>899</w:t>
      </w:r>
      <w:r>
        <w:fldChar w:fldCharType="end"/>
      </w:r>
    </w:p>
    <w:p w:rsidR="005F78FC" w:rsidRDefault="00B42EF3">
      <w:pPr>
        <w:pStyle w:val="indexentry0"/>
      </w:pPr>
      <w:hyperlink w:anchor="section_f84063fe7ad248c78f86630a1cd53133">
        <w:r>
          <w:rPr>
            <w:rStyle w:val="Hyperlink"/>
          </w:rPr>
          <w:t>ST_FrameLayout (Frameset Layout Order)</w:t>
        </w:r>
      </w:hyperlink>
      <w:r>
        <w:t xml:space="preserve"> </w:t>
      </w:r>
      <w:r>
        <w:fldChar w:fldCharType="begin"/>
      </w:r>
      <w:r>
        <w:instrText>PAGEREF section_f84063fe7ad248c78f86630a1cd53133</w:instrText>
      </w:r>
      <w:r>
        <w:fldChar w:fldCharType="separate"/>
      </w:r>
      <w:r>
        <w:rPr>
          <w:noProof/>
        </w:rPr>
        <w:t>233</w:t>
      </w:r>
      <w:r>
        <w:fldChar w:fldCharType="end"/>
      </w:r>
    </w:p>
    <w:p w:rsidR="005F78FC" w:rsidRDefault="00B42EF3">
      <w:pPr>
        <w:pStyle w:val="indexentry0"/>
      </w:pPr>
      <w:hyperlink w:anchor="section_22bdb755e0c948d282929d5fac2c9a7b">
        <w:r>
          <w:rPr>
            <w:rStyle w:val="Hyperlink"/>
          </w:rPr>
          <w:t>ST_FtnPos (Footnote Positioning Locatio</w:t>
        </w:r>
        <w:r>
          <w:rPr>
            <w:rStyle w:val="Hyperlink"/>
          </w:rPr>
          <w:t>n)</w:t>
        </w:r>
      </w:hyperlink>
      <w:r>
        <w:t xml:space="preserve"> </w:t>
      </w:r>
      <w:r>
        <w:fldChar w:fldCharType="begin"/>
      </w:r>
      <w:r>
        <w:instrText>PAGEREF section_22bdb755e0c948d282929d5fac2c9a7b</w:instrText>
      </w:r>
      <w:r>
        <w:fldChar w:fldCharType="separate"/>
      </w:r>
      <w:r>
        <w:rPr>
          <w:noProof/>
        </w:rPr>
        <w:t>233</w:t>
      </w:r>
      <w:r>
        <w:fldChar w:fldCharType="end"/>
      </w:r>
    </w:p>
    <w:p w:rsidR="005F78FC" w:rsidRDefault="00B42EF3">
      <w:pPr>
        <w:pStyle w:val="indexentry0"/>
      </w:pPr>
      <w:hyperlink w:anchor="section_9e882b63252440088fd885e34d6585c3">
        <w:r>
          <w:rPr>
            <w:rStyle w:val="Hyperlink"/>
          </w:rPr>
          <w:t>ST_Grouping (Grouping)</w:t>
        </w:r>
      </w:hyperlink>
      <w:r>
        <w:t xml:space="preserve"> </w:t>
      </w:r>
      <w:r>
        <w:fldChar w:fldCharType="begin"/>
      </w:r>
      <w:r>
        <w:instrText>PAGEREF section_9e882b63252440088fd885e34d6585c3</w:instrText>
      </w:r>
      <w:r>
        <w:fldChar w:fldCharType="separate"/>
      </w:r>
      <w:r>
        <w:rPr>
          <w:noProof/>
        </w:rPr>
        <w:t>580</w:t>
      </w:r>
      <w:r>
        <w:fldChar w:fldCharType="end"/>
      </w:r>
    </w:p>
    <w:p w:rsidR="005F78FC" w:rsidRDefault="00B42EF3">
      <w:pPr>
        <w:pStyle w:val="indexentry0"/>
      </w:pPr>
      <w:hyperlink w:anchor="section_df56a0b882f944d7b165a229c46c124f">
        <w:r>
          <w:rPr>
            <w:rStyle w:val="Hyperlink"/>
          </w:rPr>
          <w:t>ST_HdrFtr (Header or Footer Type)</w:t>
        </w:r>
      </w:hyperlink>
      <w:r>
        <w:t xml:space="preserve"> </w:t>
      </w:r>
      <w:r>
        <w:fldChar w:fldCharType="begin"/>
      </w:r>
      <w:r>
        <w:instrText>PAGEREF section_df56a0b882f944d7b165a229c46c124f</w:instrText>
      </w:r>
      <w:r>
        <w:fldChar w:fldCharType="separate"/>
      </w:r>
      <w:r>
        <w:rPr>
          <w:noProof/>
        </w:rPr>
        <w:t>233</w:t>
      </w:r>
      <w:r>
        <w:fldChar w:fldCharType="end"/>
      </w:r>
    </w:p>
    <w:p w:rsidR="005F78FC" w:rsidRDefault="00B42EF3">
      <w:pPr>
        <w:pStyle w:val="indexentry0"/>
      </w:pPr>
      <w:hyperlink w:anchor="section_56d2baaf961d4e81bc6f09d90ef42a68">
        <w:r>
          <w:rPr>
            <w:rStyle w:val="Hyperlink"/>
          </w:rPr>
          <w:t>ST_HoleSize (Hole Size)</w:t>
        </w:r>
      </w:hyperlink>
      <w:r>
        <w:t xml:space="preserve"> </w:t>
      </w:r>
      <w:r>
        <w:fldChar w:fldCharType="begin"/>
      </w:r>
      <w:r>
        <w:instrText>PAGEREF section_56d2baaf961d4e81bc6f09d90ef42a68</w:instrText>
      </w:r>
      <w:r>
        <w:fldChar w:fldCharType="separate"/>
      </w:r>
      <w:r>
        <w:rPr>
          <w:noProof/>
        </w:rPr>
        <w:t>580</w:t>
      </w:r>
      <w:r>
        <w:fldChar w:fldCharType="end"/>
      </w:r>
    </w:p>
    <w:p w:rsidR="005F78FC" w:rsidRDefault="00B42EF3">
      <w:pPr>
        <w:pStyle w:val="indexentry0"/>
      </w:pPr>
      <w:hyperlink w:anchor="section_2db502c99202424a89598502d8894678">
        <w:r>
          <w:rPr>
            <w:rStyle w:val="Hyperlink"/>
          </w:rPr>
          <w:t>ST_HorizontalAnchor (Horizontal Anchor Type)</w:t>
        </w:r>
      </w:hyperlink>
      <w:r>
        <w:t xml:space="preserve"> </w:t>
      </w:r>
      <w:r>
        <w:fldChar w:fldCharType="begin"/>
      </w:r>
      <w:r>
        <w:instrText>PAGEREF section_2db502c99202424a89598502d8894678</w:instrText>
      </w:r>
      <w:r>
        <w:fldChar w:fldCharType="separate"/>
      </w:r>
      <w:r>
        <w:rPr>
          <w:noProof/>
        </w:rPr>
        <w:t>678</w:t>
      </w:r>
      <w:r>
        <w:fldChar w:fldCharType="end"/>
      </w:r>
    </w:p>
    <w:p w:rsidR="005F78FC" w:rsidRDefault="00B42EF3">
      <w:pPr>
        <w:pStyle w:val="indexentry0"/>
      </w:pPr>
      <w:hyperlink w:anchor="section_2d0bf5facdf44e5f9a49d3b3e0a2a35c">
        <w:r>
          <w:rPr>
            <w:rStyle w:val="Hyperlink"/>
          </w:rPr>
          <w:t>ST_HpsMeasure (Measurement in Half-Points)</w:t>
        </w:r>
      </w:hyperlink>
      <w:r>
        <w:t xml:space="preserve"> </w:t>
      </w:r>
      <w:r>
        <w:fldChar w:fldCharType="begin"/>
      </w:r>
      <w:r>
        <w:instrText>PAGEREF section_2d0</w:instrText>
      </w:r>
      <w:r>
        <w:instrText>bf5facdf44e5f9a49d3b3e0a2a35c</w:instrText>
      </w:r>
      <w:r>
        <w:fldChar w:fldCharType="separate"/>
      </w:r>
      <w:r>
        <w:rPr>
          <w:noProof/>
        </w:rPr>
        <w:t>233</w:t>
      </w:r>
      <w:r>
        <w:fldChar w:fldCharType="end"/>
      </w:r>
    </w:p>
    <w:p w:rsidR="005F78FC" w:rsidRDefault="00B42EF3">
      <w:pPr>
        <w:pStyle w:val="indexentry0"/>
      </w:pPr>
      <w:hyperlink w:anchor="section_c4cfb1aae45d4ae0bc786ec437e9c444">
        <w:r>
          <w:rPr>
            <w:rStyle w:val="Hyperlink"/>
          </w:rPr>
          <w:t>ST_IconSetType (Icon Set Type)</w:t>
        </w:r>
      </w:hyperlink>
      <w:r>
        <w:t xml:space="preserve"> </w:t>
      </w:r>
      <w:r>
        <w:fldChar w:fldCharType="begin"/>
      </w:r>
      <w:r>
        <w:instrText>PAGEREF section_c4cfb1aae45d4ae0bc786ec437e9c444</w:instrText>
      </w:r>
      <w:r>
        <w:fldChar w:fldCharType="separate"/>
      </w:r>
      <w:r>
        <w:rPr>
          <w:noProof/>
        </w:rPr>
        <w:t>460</w:t>
      </w:r>
      <w:r>
        <w:fldChar w:fldCharType="end"/>
      </w:r>
    </w:p>
    <w:p w:rsidR="005F78FC" w:rsidRDefault="00B42EF3">
      <w:pPr>
        <w:pStyle w:val="indexentry0"/>
      </w:pPr>
      <w:hyperlink w:anchor="section_fc63ec620566496f8ec8cb3ee90bdd9a">
        <w:r>
          <w:rPr>
            <w:rStyle w:val="Hyperlink"/>
          </w:rPr>
          <w:t>ST_IntNonNegative (Non-Negative Integer)</w:t>
        </w:r>
      </w:hyperlink>
      <w:r>
        <w:t xml:space="preserve"> </w:t>
      </w:r>
      <w:r>
        <w:fldChar w:fldCharType="begin"/>
      </w:r>
      <w:r>
        <w:instrText>PAGEREF section_fc63ec620566496f8ec8cb3ee90bdd9a</w:instrText>
      </w:r>
      <w:r>
        <w:fldChar w:fldCharType="separate"/>
      </w:r>
      <w:r>
        <w:rPr>
          <w:noProof/>
        </w:rPr>
        <w:t>870</w:t>
      </w:r>
      <w:r>
        <w:fldChar w:fldCharType="end"/>
      </w:r>
    </w:p>
    <w:p w:rsidR="005F78FC" w:rsidRDefault="00B42EF3">
      <w:pPr>
        <w:pStyle w:val="indexentry0"/>
      </w:pPr>
      <w:hyperlink w:anchor="section_07c96be7c9ee4987ab27c667e4b5ebfa">
        <w:r>
          <w:rPr>
            <w:rStyle w:val="Hyperlink"/>
          </w:rPr>
          <w:t>ST_Jc (Horizontal Alignment Type)</w:t>
        </w:r>
      </w:hyperlink>
      <w:r>
        <w:t xml:space="preserve"> </w:t>
      </w:r>
      <w:r>
        <w:fldChar w:fldCharType="begin"/>
      </w:r>
      <w:r>
        <w:instrText>PAGEREF section_07c96be7c9ee4987ab27c667e4b5ebfa</w:instrText>
      </w:r>
      <w:r>
        <w:fldChar w:fldCharType="separate"/>
      </w:r>
      <w:r>
        <w:rPr>
          <w:noProof/>
        </w:rPr>
        <w:t>233</w:t>
      </w:r>
      <w:r>
        <w:fldChar w:fldCharType="end"/>
      </w:r>
    </w:p>
    <w:p w:rsidR="005F78FC" w:rsidRDefault="00B42EF3">
      <w:pPr>
        <w:pStyle w:val="indexentry0"/>
      </w:pPr>
      <w:hyperlink w:anchor="section_ad3c1e3e6b9641e28f45c78a8e025284">
        <w:r>
          <w:rPr>
            <w:rStyle w:val="Hyperlink"/>
          </w:rPr>
          <w:t>ST_Jc (Justification)</w:t>
        </w:r>
      </w:hyperlink>
      <w:r>
        <w:t xml:space="preserve"> </w:t>
      </w:r>
      <w:r>
        <w:fldChar w:fldCharType="begin"/>
      </w:r>
      <w:r>
        <w:instrText>PAGEREF section_ad3c1e3e6b9641e28f45c78a8e025284</w:instrText>
      </w:r>
      <w:r>
        <w:fldChar w:fldCharType="separate"/>
      </w:r>
      <w:r>
        <w:rPr>
          <w:noProof/>
        </w:rPr>
        <w:t>608</w:t>
      </w:r>
      <w:r>
        <w:fldChar w:fldCharType="end"/>
      </w:r>
    </w:p>
    <w:p w:rsidR="005F78FC" w:rsidRDefault="00B42EF3">
      <w:pPr>
        <w:pStyle w:val="indexentry0"/>
      </w:pPr>
      <w:hyperlink w:anchor="section_ed06cf15306c43be9053ca81ca51e656">
        <w:r>
          <w:rPr>
            <w:rStyle w:val="Hyperlink"/>
          </w:rPr>
          <w:t>ST_Lang (Language Reference)</w:t>
        </w:r>
      </w:hyperlink>
      <w:r>
        <w:t xml:space="preserve"> </w:t>
      </w:r>
      <w:r>
        <w:fldChar w:fldCharType="begin"/>
      </w:r>
      <w:r>
        <w:instrText>PAGEREF section_ed06cf15306c43be9053ca8</w:instrText>
      </w:r>
      <w:r>
        <w:instrText>1ca51e656</w:instrText>
      </w:r>
      <w:r>
        <w:fldChar w:fldCharType="separate"/>
      </w:r>
      <w:r>
        <w:rPr>
          <w:noProof/>
        </w:rPr>
        <w:t>616</w:t>
      </w:r>
      <w:r>
        <w:fldChar w:fldCharType="end"/>
      </w:r>
    </w:p>
    <w:p w:rsidR="005F78FC" w:rsidRDefault="00B42EF3">
      <w:pPr>
        <w:pStyle w:val="indexentry0"/>
      </w:pPr>
      <w:hyperlink w:anchor="section_bb8565e7dfea453f868bae680ab8a823">
        <w:r>
          <w:rPr>
            <w:rStyle w:val="Hyperlink"/>
          </w:rPr>
          <w:t>ST_LayoutMode (Layout Mode)</w:t>
        </w:r>
      </w:hyperlink>
      <w:r>
        <w:t xml:space="preserve"> </w:t>
      </w:r>
      <w:r>
        <w:fldChar w:fldCharType="begin"/>
      </w:r>
      <w:r>
        <w:instrText>PAGEREF section_bb8565e7dfea453f868bae680ab8a823</w:instrText>
      </w:r>
      <w:r>
        <w:fldChar w:fldCharType="separate"/>
      </w:r>
      <w:r>
        <w:rPr>
          <w:noProof/>
        </w:rPr>
        <w:t>580</w:t>
      </w:r>
      <w:r>
        <w:fldChar w:fldCharType="end"/>
      </w:r>
    </w:p>
    <w:p w:rsidR="005F78FC" w:rsidRDefault="00B42EF3">
      <w:pPr>
        <w:pStyle w:val="indexentry0"/>
      </w:pPr>
      <w:hyperlink w:anchor="section_3184709832934157b36a7d48f3d9e56c">
        <w:r>
          <w:rPr>
            <w:rStyle w:val="Hyperlink"/>
          </w:rPr>
          <w:t>ST_LightRigDirection (Light Rig Directi</w:t>
        </w:r>
        <w:r>
          <w:rPr>
            <w:rStyle w:val="Hyperlink"/>
          </w:rPr>
          <w:t>on)</w:t>
        </w:r>
      </w:hyperlink>
      <w:r>
        <w:t xml:space="preserve"> </w:t>
      </w:r>
      <w:r>
        <w:fldChar w:fldCharType="begin"/>
      </w:r>
      <w:r>
        <w:instrText>PAGEREF section_3184709832934157b36a7d48f3d9e56c</w:instrText>
      </w:r>
      <w:r>
        <w:fldChar w:fldCharType="separate"/>
      </w:r>
      <w:r>
        <w:rPr>
          <w:noProof/>
        </w:rPr>
        <w:t>521</w:t>
      </w:r>
      <w:r>
        <w:fldChar w:fldCharType="end"/>
      </w:r>
    </w:p>
    <w:p w:rsidR="005F78FC" w:rsidRDefault="00B42EF3">
      <w:pPr>
        <w:pStyle w:val="indexentry0"/>
      </w:pPr>
      <w:hyperlink w:anchor="section_d1735889ad9d47ffa697563a1668319f">
        <w:r>
          <w:rPr>
            <w:rStyle w:val="Hyperlink"/>
          </w:rPr>
          <w:t>ST_LightRigType (Light Rig Type)</w:t>
        </w:r>
      </w:hyperlink>
      <w:r>
        <w:t xml:space="preserve"> </w:t>
      </w:r>
      <w:r>
        <w:fldChar w:fldCharType="begin"/>
      </w:r>
      <w:r>
        <w:instrText>PAGEREF section_d1735889ad9d47ffa697563a1668319f</w:instrText>
      </w:r>
      <w:r>
        <w:fldChar w:fldCharType="separate"/>
      </w:r>
      <w:r>
        <w:rPr>
          <w:noProof/>
        </w:rPr>
        <w:t>521</w:t>
      </w:r>
      <w:r>
        <w:fldChar w:fldCharType="end"/>
      </w:r>
    </w:p>
    <w:p w:rsidR="005F78FC" w:rsidRDefault="00B42EF3">
      <w:pPr>
        <w:pStyle w:val="indexentry0"/>
      </w:pPr>
      <w:hyperlink w:anchor="section_2c49c5bfec714f76a22b92291c03a33c">
        <w:r>
          <w:rPr>
            <w:rStyle w:val="Hyperlink"/>
          </w:rPr>
          <w:t>ST_LineEndLength (Line End Length)</w:t>
        </w:r>
      </w:hyperlink>
      <w:r>
        <w:t xml:space="preserve"> </w:t>
      </w:r>
      <w:r>
        <w:fldChar w:fldCharType="begin"/>
      </w:r>
      <w:r>
        <w:instrText>PAGEREF section_2c49c5bfec714f76a22b92291c03a33c</w:instrText>
      </w:r>
      <w:r>
        <w:fldChar w:fldCharType="separate"/>
      </w:r>
      <w:r>
        <w:rPr>
          <w:noProof/>
        </w:rPr>
        <w:t>521</w:t>
      </w:r>
      <w:r>
        <w:fldChar w:fldCharType="end"/>
      </w:r>
    </w:p>
    <w:p w:rsidR="005F78FC" w:rsidRDefault="00B42EF3">
      <w:pPr>
        <w:pStyle w:val="indexentry0"/>
      </w:pPr>
      <w:hyperlink w:anchor="section_5550378cb28d4a11ab1e6c6a64630186">
        <w:r>
          <w:rPr>
            <w:rStyle w:val="Hyperlink"/>
          </w:rPr>
          <w:t>ST_LineWidth (Line Width)</w:t>
        </w:r>
      </w:hyperlink>
      <w:r>
        <w:t xml:space="preserve"> </w:t>
      </w:r>
      <w:r>
        <w:fldChar w:fldCharType="begin"/>
      </w:r>
      <w:r>
        <w:instrText>PAGEREF section_5</w:instrText>
      </w:r>
      <w:r>
        <w:instrText>550378cb28d4a11ab1e6c6a64630186</w:instrText>
      </w:r>
      <w:r>
        <w:fldChar w:fldCharType="separate"/>
      </w:r>
      <w:r>
        <w:rPr>
          <w:noProof/>
        </w:rPr>
        <w:t>522</w:t>
      </w:r>
      <w:r>
        <w:fldChar w:fldCharType="end"/>
      </w:r>
    </w:p>
    <w:p w:rsidR="005F78FC" w:rsidRDefault="00B42EF3">
      <w:pPr>
        <w:pStyle w:val="indexentry0"/>
      </w:pPr>
      <w:hyperlink w:anchor="section_3050d73125fe410bb51ffd10c3d03b78">
        <w:r>
          <w:rPr>
            <w:rStyle w:val="Hyperlink"/>
          </w:rPr>
          <w:t>ST_LongHexNumber (Four Digit Hexadecimal Number Value)</w:t>
        </w:r>
      </w:hyperlink>
      <w:r>
        <w:t xml:space="preserve"> </w:t>
      </w:r>
      <w:r>
        <w:fldChar w:fldCharType="begin"/>
      </w:r>
      <w:r>
        <w:instrText>PAGEREF section_3050d73125fe410bb51ffd10c3d03b78</w:instrText>
      </w:r>
      <w:r>
        <w:fldChar w:fldCharType="separate"/>
      </w:r>
      <w:r>
        <w:rPr>
          <w:noProof/>
        </w:rPr>
        <w:t>789</w:t>
      </w:r>
      <w:r>
        <w:fldChar w:fldCharType="end"/>
      </w:r>
    </w:p>
    <w:p w:rsidR="005F78FC" w:rsidRDefault="00B42EF3">
      <w:pPr>
        <w:pStyle w:val="indexentry0"/>
      </w:pPr>
      <w:hyperlink w:anchor="section_3a025d97fe484df0a51d7ab3e024b866">
        <w:r>
          <w:rPr>
            <w:rStyle w:val="Hyperlink"/>
          </w:rPr>
          <w:t>ST_Macro (Custom Function Name Type)</w:t>
        </w:r>
      </w:hyperlink>
      <w:r>
        <w:t xml:space="preserve"> </w:t>
      </w:r>
      <w:r>
        <w:fldChar w:fldCharType="begin"/>
      </w:r>
      <w:r>
        <w:instrText>PAGEREF section_3a025d97fe484df0a51d7ab3e024b866</w:instrText>
      </w:r>
      <w:r>
        <w:fldChar w:fldCharType="separate"/>
      </w:r>
      <w:r>
        <w:rPr>
          <w:noProof/>
        </w:rPr>
        <w:t>899</w:t>
      </w:r>
      <w:r>
        <w:fldChar w:fldCharType="end"/>
      </w:r>
    </w:p>
    <w:p w:rsidR="005F78FC" w:rsidRDefault="00B42EF3">
      <w:pPr>
        <w:pStyle w:val="indexentry0"/>
      </w:pPr>
      <w:hyperlink w:anchor="section_889892b800884fc2b546a4e8704b3c2c">
        <w:r>
          <w:rPr>
            <w:rStyle w:val="Hyperlink"/>
          </w:rPr>
          <w:t>ST_MailMergeDataType (Mail Merge Data Source Type Values)</w:t>
        </w:r>
      </w:hyperlink>
      <w:r>
        <w:t xml:space="preserve"> </w:t>
      </w:r>
      <w:r>
        <w:fldChar w:fldCharType="begin"/>
      </w:r>
      <w:r>
        <w:instrText>PAGEREF section_889892b800884fc2b5</w:instrText>
      </w:r>
      <w:r>
        <w:instrText>46a4e8704b3c2c</w:instrText>
      </w:r>
      <w:r>
        <w:fldChar w:fldCharType="separate"/>
      </w:r>
      <w:r>
        <w:rPr>
          <w:noProof/>
        </w:rPr>
        <w:t>233</w:t>
      </w:r>
      <w:r>
        <w:fldChar w:fldCharType="end"/>
      </w:r>
    </w:p>
    <w:p w:rsidR="005F78FC" w:rsidRDefault="00B42EF3">
      <w:pPr>
        <w:pStyle w:val="indexentry0"/>
      </w:pPr>
      <w:hyperlink w:anchor="section_54d012c4b9dc4e50b14e0b151096b96b">
        <w:r>
          <w:rPr>
            <w:rStyle w:val="Hyperlink"/>
          </w:rPr>
          <w:t>ST_MarkerStyle (Marker Style)</w:t>
        </w:r>
      </w:hyperlink>
      <w:r>
        <w:t xml:space="preserve"> </w:t>
      </w:r>
      <w:r>
        <w:fldChar w:fldCharType="begin"/>
      </w:r>
      <w:r>
        <w:instrText>PAGEREF section_54d012c4b9dc4e50b14e0b151096b96b</w:instrText>
      </w:r>
      <w:r>
        <w:fldChar w:fldCharType="separate"/>
      </w:r>
      <w:r>
        <w:rPr>
          <w:noProof/>
        </w:rPr>
        <w:t>580</w:t>
      </w:r>
      <w:r>
        <w:fldChar w:fldCharType="end"/>
      </w:r>
    </w:p>
    <w:p w:rsidR="005F78FC" w:rsidRDefault="00B42EF3">
      <w:pPr>
        <w:pStyle w:val="indexentry0"/>
      </w:pPr>
      <w:hyperlink w:anchor="section_205e43f89d014953a67fd7c91ccd6ffd">
        <w:r>
          <w:rPr>
            <w:rStyle w:val="Hyperlink"/>
          </w:rPr>
          <w:t>ST_MarkupId (Annotation Identifi</w:t>
        </w:r>
        <w:r>
          <w:rPr>
            <w:rStyle w:val="Hyperlink"/>
          </w:rPr>
          <w:t>er)</w:t>
        </w:r>
      </w:hyperlink>
      <w:r>
        <w:t xml:space="preserve"> </w:t>
      </w:r>
      <w:r>
        <w:fldChar w:fldCharType="begin"/>
      </w:r>
      <w:r>
        <w:instrText>PAGEREF section_205e43f89d014953a67fd7c91ccd6ffd</w:instrText>
      </w:r>
      <w:r>
        <w:fldChar w:fldCharType="separate"/>
      </w:r>
      <w:r>
        <w:rPr>
          <w:noProof/>
        </w:rPr>
        <w:t>826</w:t>
      </w:r>
      <w:r>
        <w:fldChar w:fldCharType="end"/>
      </w:r>
    </w:p>
    <w:p w:rsidR="005F78FC" w:rsidRDefault="00B42EF3">
      <w:pPr>
        <w:pStyle w:val="indexentry0"/>
      </w:pPr>
      <w:hyperlink w:anchor="section_70e3977f3686456a896fb98b9a3be08e">
        <w:r>
          <w:rPr>
            <w:rStyle w:val="Hyperlink"/>
          </w:rPr>
          <w:t>ST_Merge (Merged Cell Type)</w:t>
        </w:r>
      </w:hyperlink>
      <w:r>
        <w:t xml:space="preserve"> </w:t>
      </w:r>
      <w:r>
        <w:fldChar w:fldCharType="begin"/>
      </w:r>
      <w:r>
        <w:instrText>PAGEREF section_70e3977f3686456a896fb98b9a3be08e</w:instrText>
      </w:r>
      <w:r>
        <w:fldChar w:fldCharType="separate"/>
      </w:r>
      <w:r>
        <w:rPr>
          <w:noProof/>
        </w:rPr>
        <w:t>234</w:t>
      </w:r>
      <w:r>
        <w:fldChar w:fldCharType="end"/>
      </w:r>
    </w:p>
    <w:p w:rsidR="005F78FC" w:rsidRDefault="00B42EF3">
      <w:pPr>
        <w:pStyle w:val="indexentry0"/>
      </w:pPr>
      <w:hyperlink w:anchor="section_8ddb0e2037f84cb9a2e083d20de6fe2c">
        <w:r>
          <w:rPr>
            <w:rStyle w:val="Hyperlink"/>
          </w:rPr>
          <w:t>ST_NcName255 (Non-colonized Name)</w:t>
        </w:r>
      </w:hyperlink>
      <w:r>
        <w:t xml:space="preserve"> </w:t>
      </w:r>
      <w:r>
        <w:fldChar w:fldCharType="begin"/>
      </w:r>
      <w:r>
        <w:instrText>PAGEREF section_8ddb0e2037f84cb9a2e083d20de6fe2c</w:instrText>
      </w:r>
      <w:r>
        <w:fldChar w:fldCharType="separate"/>
      </w:r>
      <w:r>
        <w:rPr>
          <w:noProof/>
        </w:rPr>
        <w:t>826</w:t>
      </w:r>
      <w:r>
        <w:fldChar w:fldCharType="end"/>
      </w:r>
    </w:p>
    <w:p w:rsidR="005F78FC" w:rsidRDefault="00B42EF3">
      <w:pPr>
        <w:pStyle w:val="indexentry0"/>
      </w:pPr>
      <w:hyperlink w:anchor="section_9613ebd34b174f35b1931665d0e3b8a5">
        <w:r>
          <w:rPr>
            <w:rStyle w:val="Hyperlink"/>
          </w:rPr>
          <w:t>ST_NonNegativeDecimalNumber (Non-Negative Decimal Number Value)</w:t>
        </w:r>
      </w:hyperlink>
      <w:r>
        <w:t xml:space="preserve"> </w:t>
      </w:r>
      <w:r>
        <w:fldChar w:fldCharType="begin"/>
      </w:r>
      <w:r>
        <w:instrText>PAGEREF section_9613ebd34b174f35b1931665d0e3b8a5</w:instrText>
      </w:r>
      <w:r>
        <w:fldChar w:fldCharType="separate"/>
      </w:r>
      <w:r>
        <w:rPr>
          <w:noProof/>
        </w:rPr>
        <w:t>826</w:t>
      </w:r>
      <w:r>
        <w:fldChar w:fldCharType="end"/>
      </w:r>
    </w:p>
    <w:p w:rsidR="005F78FC" w:rsidRDefault="00B42EF3">
      <w:pPr>
        <w:pStyle w:val="indexentry0"/>
      </w:pPr>
      <w:hyperlink w:anchor="section_ea3612c8a09946c399a993658a30cb01">
        <w:r>
          <w:rPr>
            <w:rStyle w:val="Hyperlink"/>
          </w:rPr>
          <w:t>ST_NumberFormat (Numbering Format)</w:t>
        </w:r>
      </w:hyperlink>
      <w:r>
        <w:t xml:space="preserve"> </w:t>
      </w:r>
      <w:r>
        <w:fldChar w:fldCharType="begin"/>
      </w:r>
      <w:r>
        <w:instrText>PAGEREF section_ea3612c8a09946c399a993658a30cb01</w:instrText>
      </w:r>
      <w:r>
        <w:fldChar w:fldCharType="separate"/>
      </w:r>
      <w:r>
        <w:rPr>
          <w:noProof/>
        </w:rPr>
        <w:t>234</w:t>
      </w:r>
      <w:r>
        <w:fldChar w:fldCharType="end"/>
      </w:r>
    </w:p>
    <w:p w:rsidR="005F78FC" w:rsidRDefault="00B42EF3">
      <w:pPr>
        <w:pStyle w:val="indexentry0"/>
      </w:pPr>
      <w:hyperlink w:anchor="section_693a4c2462a847d187514405629f6f50">
        <w:r>
          <w:rPr>
            <w:rStyle w:val="Hyperlink"/>
          </w:rPr>
          <w:t>ST_NumFmtId (Number Format Id)</w:t>
        </w:r>
      </w:hyperlink>
      <w:r>
        <w:t xml:space="preserve"> </w:t>
      </w:r>
      <w:r>
        <w:fldChar w:fldCharType="begin"/>
      </w:r>
      <w:r>
        <w:instrText>PAGEREF section_693a4c2462a847d187514405629f6f50</w:instrText>
      </w:r>
      <w:r>
        <w:fldChar w:fldCharType="separate"/>
      </w:r>
      <w:r>
        <w:rPr>
          <w:noProof/>
        </w:rPr>
        <w:t>460</w:t>
      </w:r>
      <w:r>
        <w:fldChar w:fldCharType="end"/>
      </w:r>
    </w:p>
    <w:p w:rsidR="005F78FC" w:rsidRDefault="00B42EF3">
      <w:pPr>
        <w:pStyle w:val="indexentry0"/>
      </w:pPr>
      <w:hyperlink w:anchor="section_bf23da8a2e1d4d268eb40ba002bd78f6">
        <w:r>
          <w:rPr>
            <w:rStyle w:val="Hyperlink"/>
          </w:rPr>
          <w:t>ST_ObjID (Object ID)</w:t>
        </w:r>
      </w:hyperlink>
      <w:r>
        <w:t xml:space="preserve"> </w:t>
      </w:r>
      <w:r>
        <w:fldChar w:fldCharType="begin"/>
      </w:r>
      <w:r>
        <w:instrText>PAGEREF section_bf23da8a2e1d4d268eb40ba002bd78f6</w:instrText>
      </w:r>
      <w:r>
        <w:fldChar w:fldCharType="separate"/>
      </w:r>
      <w:r>
        <w:rPr>
          <w:noProof/>
        </w:rPr>
        <w:t>900</w:t>
      </w:r>
      <w:r>
        <w:fldChar w:fldCharType="end"/>
      </w:r>
    </w:p>
    <w:p w:rsidR="005F78FC" w:rsidRDefault="00B42EF3">
      <w:pPr>
        <w:pStyle w:val="indexentry0"/>
      </w:pPr>
      <w:hyperlink w:anchor="section_9fa89b60c362417d97158382b70c6275">
        <w:r>
          <w:rPr>
            <w:rStyle w:val="Hyperlink"/>
          </w:rPr>
          <w:t>ST_ObjIDRef (Object ID Reference)</w:t>
        </w:r>
      </w:hyperlink>
      <w:r>
        <w:t xml:space="preserve"> </w:t>
      </w:r>
      <w:r>
        <w:fldChar w:fldCharType="begin"/>
      </w:r>
      <w:r>
        <w:instrText>PAGEREF section_9fa89b60c362417d97158382b70c6275</w:instrText>
      </w:r>
      <w:r>
        <w:fldChar w:fldCharType="separate"/>
      </w:r>
      <w:r>
        <w:rPr>
          <w:noProof/>
        </w:rPr>
        <w:t>900</w:t>
      </w:r>
      <w:r>
        <w:fldChar w:fldCharType="end"/>
      </w:r>
    </w:p>
    <w:p w:rsidR="005F78FC" w:rsidRDefault="00B42EF3">
      <w:pPr>
        <w:pStyle w:val="indexentry0"/>
      </w:pPr>
      <w:hyperlink w:anchor="section_baf9ffb650d747c6944fdba3f307a332">
        <w:r>
          <w:rPr>
            <w:rStyle w:val="Hyperlink"/>
          </w:rPr>
          <w:t>ST_OLELinkType (Embedded Object Alternate Image Request Types)</w:t>
        </w:r>
      </w:hyperlink>
      <w:r>
        <w:t xml:space="preserve"> </w:t>
      </w:r>
      <w:r>
        <w:fldChar w:fldCharType="begin"/>
      </w:r>
      <w:r>
        <w:instrText>PAGEREF s</w:instrText>
      </w:r>
      <w:r>
        <w:instrText>ection_baf9ffb650d747c6944fdba3f307a332</w:instrText>
      </w:r>
      <w:r>
        <w:fldChar w:fldCharType="separate"/>
      </w:r>
      <w:r>
        <w:rPr>
          <w:noProof/>
        </w:rPr>
        <w:t>677</w:t>
      </w:r>
      <w:r>
        <w:fldChar w:fldCharType="end"/>
      </w:r>
    </w:p>
    <w:p w:rsidR="005F78FC" w:rsidRDefault="00B42EF3">
      <w:pPr>
        <w:pStyle w:val="indexentry0"/>
      </w:pPr>
      <w:r>
        <w:t>ST_OnOff (On/Off Value) (</w:t>
      </w:r>
      <w:hyperlink w:anchor="section_aacf0e0fe33940ed8532ff57a2e6f8a6">
        <w:r>
          <w:rPr>
            <w:rStyle w:val="Hyperlink"/>
          </w:rPr>
          <w:t>section 2.1.1739</w:t>
        </w:r>
      </w:hyperlink>
      <w:r>
        <w:t xml:space="preserve"> </w:t>
      </w:r>
      <w:r>
        <w:fldChar w:fldCharType="begin"/>
      </w:r>
      <w:r>
        <w:instrText>PAGEREF section_aacf0e0fe33940ed8532ff57a2e6f8a6</w:instrText>
      </w:r>
      <w:r>
        <w:fldChar w:fldCharType="separate"/>
      </w:r>
      <w:r>
        <w:rPr>
          <w:noProof/>
        </w:rPr>
        <w:t>623</w:t>
      </w:r>
      <w:r>
        <w:fldChar w:fldCharType="end"/>
      </w:r>
      <w:r>
        <w:t xml:space="preserve">, </w:t>
      </w:r>
      <w:hyperlink w:anchor="section_815fcc39dc6c44f8ad2787b1d9f21571">
        <w:r>
          <w:rPr>
            <w:rStyle w:val="Hyperlink"/>
          </w:rPr>
          <w:t>section 3.1.2.3.3</w:t>
        </w:r>
      </w:hyperlink>
      <w:r>
        <w:t xml:space="preserve"> </w:t>
      </w:r>
      <w:r>
        <w:fldChar w:fldCharType="begin"/>
      </w:r>
      <w:r>
        <w:instrText>PAGEREF section_815fcc39dc6c44f8ad2787b1d9f21571</w:instrText>
      </w:r>
      <w:r>
        <w:fldChar w:fldCharType="separate"/>
      </w:r>
      <w:r>
        <w:rPr>
          <w:noProof/>
        </w:rPr>
        <w:t>789</w:t>
      </w:r>
      <w:r>
        <w:fldChar w:fldCharType="end"/>
      </w:r>
      <w:r>
        <w:t xml:space="preserve">, </w:t>
      </w:r>
      <w:hyperlink w:anchor="section_79cbec698430479d88c056dd44369074">
        <w:r>
          <w:rPr>
            <w:rStyle w:val="Hyperlink"/>
          </w:rPr>
          <w:t>section 3.1.3.3.6</w:t>
        </w:r>
      </w:hyperlink>
      <w:r>
        <w:t xml:space="preserve"> </w:t>
      </w:r>
      <w:r>
        <w:fldChar w:fldCharType="begin"/>
      </w:r>
      <w:r>
        <w:instrText>PAGEREF section_79cbec698430479d88c056dd44369074</w:instrText>
      </w:r>
      <w:r>
        <w:fldChar w:fldCharType="separate"/>
      </w:r>
      <w:r>
        <w:rPr>
          <w:noProof/>
        </w:rPr>
        <w:t>827</w:t>
      </w:r>
      <w:r>
        <w:fldChar w:fldCharType="end"/>
      </w:r>
      <w:r>
        <w:t>)</w:t>
      </w:r>
    </w:p>
    <w:p w:rsidR="005F78FC" w:rsidRDefault="00B42EF3">
      <w:pPr>
        <w:pStyle w:val="indexentry0"/>
      </w:pPr>
      <w:hyperlink w:anchor="section_89794847d1b741ce9e2ac789afe390d2">
        <w:r>
          <w:rPr>
            <w:rStyle w:val="Hyperlink"/>
          </w:rPr>
          <w:t>ST_Orientation (Orientation)</w:t>
        </w:r>
      </w:hyperlink>
      <w:r>
        <w:t xml:space="preserve"> </w:t>
      </w:r>
      <w:r>
        <w:fldChar w:fldCharType="begin"/>
      </w:r>
      <w:r>
        <w:instrText>PAGEREF section_89794847d1b741ce9e2ac789afe390d2</w:instrText>
      </w:r>
      <w:r>
        <w:fldChar w:fldCharType="separate"/>
      </w:r>
      <w:r>
        <w:rPr>
          <w:noProof/>
        </w:rPr>
        <w:t>581</w:t>
      </w:r>
      <w:r>
        <w:fldChar w:fldCharType="end"/>
      </w:r>
    </w:p>
    <w:p w:rsidR="005F78FC" w:rsidRDefault="00B42EF3">
      <w:pPr>
        <w:pStyle w:val="indexentry0"/>
      </w:pPr>
      <w:hyperlink w:anchor="section_aedde12f31894c22b1363b7a6b93e574">
        <w:r>
          <w:rPr>
            <w:rStyle w:val="Hyperlink"/>
          </w:rPr>
          <w:t>ST_PageBorderDisplay (Page Border Display Options)</w:t>
        </w:r>
      </w:hyperlink>
      <w:r>
        <w:t xml:space="preserve"> </w:t>
      </w:r>
      <w:r>
        <w:fldChar w:fldCharType="begin"/>
      </w:r>
      <w:r>
        <w:instrText>PAGEREF section_aedde12f31894c22b1363b7a6b93e574</w:instrText>
      </w:r>
      <w:r>
        <w:fldChar w:fldCharType="separate"/>
      </w:r>
      <w:r>
        <w:rPr>
          <w:noProof/>
        </w:rPr>
        <w:t>236</w:t>
      </w:r>
      <w:r>
        <w:fldChar w:fldCharType="end"/>
      </w:r>
    </w:p>
    <w:p w:rsidR="005F78FC" w:rsidRDefault="00B42EF3">
      <w:pPr>
        <w:pStyle w:val="indexentry0"/>
      </w:pPr>
      <w:hyperlink w:anchor="section_3c6745b98475496091baa9a16ec7df86">
        <w:r>
          <w:rPr>
            <w:rStyle w:val="Hyperlink"/>
          </w:rPr>
          <w:t>ST_ParameterId (Parameter Identifier)</w:t>
        </w:r>
      </w:hyperlink>
      <w:r>
        <w:t xml:space="preserve"> </w:t>
      </w:r>
      <w:r>
        <w:fldChar w:fldCharType="begin"/>
      </w:r>
      <w:r>
        <w:instrText>PAGEREF section_3c6745b98475496091baa9a16ec7df86</w:instrText>
      </w:r>
      <w:r>
        <w:fldChar w:fldCharType="separate"/>
      </w:r>
      <w:r>
        <w:rPr>
          <w:noProof/>
        </w:rPr>
        <w:t>589</w:t>
      </w:r>
      <w:r>
        <w:fldChar w:fldCharType="end"/>
      </w:r>
    </w:p>
    <w:p w:rsidR="005F78FC" w:rsidRDefault="00B42EF3">
      <w:pPr>
        <w:pStyle w:val="indexentry0"/>
      </w:pPr>
      <w:hyperlink w:anchor="section_bada29963fd44b83988292e14d6f9c7d">
        <w:r>
          <w:rPr>
            <w:rStyle w:val="Hyperlink"/>
          </w:rPr>
          <w:t>ST_PathFillMode (Path Fill Mode)</w:t>
        </w:r>
      </w:hyperlink>
      <w:r>
        <w:t xml:space="preserve"> </w:t>
      </w:r>
      <w:r>
        <w:fldChar w:fldCharType="begin"/>
      </w:r>
      <w:r>
        <w:instrText>PAGEREF section_bada29963fd44b83988292e14d6f9c7d</w:instrText>
      </w:r>
      <w:r>
        <w:fldChar w:fldCharType="separate"/>
      </w:r>
      <w:r>
        <w:rPr>
          <w:noProof/>
        </w:rPr>
        <w:t>522</w:t>
      </w:r>
      <w:r>
        <w:fldChar w:fldCharType="end"/>
      </w:r>
    </w:p>
    <w:p w:rsidR="005F78FC" w:rsidRDefault="00B42EF3">
      <w:pPr>
        <w:pStyle w:val="indexentry0"/>
      </w:pPr>
      <w:hyperlink w:anchor="section_b3bbaebcf2ca4a799efdec0d1d3c6d9c">
        <w:r>
          <w:rPr>
            <w:rStyle w:val="Hyperlink"/>
          </w:rPr>
          <w:t>ST_PenAlignment (Alignment Type)</w:t>
        </w:r>
      </w:hyperlink>
      <w:r>
        <w:t xml:space="preserve"> </w:t>
      </w:r>
      <w:r>
        <w:fldChar w:fldCharType="begin"/>
      </w:r>
      <w:r>
        <w:instrText>PAGEREF section_b3bbaebcf2ca4a799efdec0d1d3c6d9c</w:instrText>
      </w:r>
      <w:r>
        <w:fldChar w:fldCharType="separate"/>
      </w:r>
      <w:r>
        <w:rPr>
          <w:noProof/>
        </w:rPr>
        <w:t>522</w:t>
      </w:r>
      <w:r>
        <w:fldChar w:fldCharType="end"/>
      </w:r>
    </w:p>
    <w:p w:rsidR="005F78FC" w:rsidRDefault="00B42EF3">
      <w:pPr>
        <w:pStyle w:val="indexentry0"/>
      </w:pPr>
      <w:hyperlink w:anchor="section_ff18a37e9bd743389c371e285b5a5dd2">
        <w:r>
          <w:rPr>
            <w:rStyle w:val="Hyperlink"/>
          </w:rPr>
          <w:t>ST_Percentage (Percentage)</w:t>
        </w:r>
      </w:hyperlink>
      <w:r>
        <w:t xml:space="preserve"> </w:t>
      </w:r>
      <w:r>
        <w:fldChar w:fldCharType="begin"/>
      </w:r>
      <w:r>
        <w:instrText>PAGEREF section_ff18a37e9bd743389c371e285b5a5dd2</w:instrText>
      </w:r>
      <w:r>
        <w:fldChar w:fldCharType="separate"/>
      </w:r>
      <w:r>
        <w:rPr>
          <w:noProof/>
        </w:rPr>
        <w:t>522</w:t>
      </w:r>
      <w:r>
        <w:fldChar w:fldCharType="end"/>
      </w:r>
    </w:p>
    <w:p w:rsidR="005F78FC" w:rsidRDefault="00B42EF3">
      <w:pPr>
        <w:pStyle w:val="indexentry0"/>
      </w:pPr>
      <w:hyperlink w:anchor="section_26be8f3ae9c24f589fa872bab178b598">
        <w:r>
          <w:rPr>
            <w:rStyle w:val="Hyperlink"/>
          </w:rPr>
          <w:t>ST_Period (Period)</w:t>
        </w:r>
      </w:hyperlink>
      <w:r>
        <w:t xml:space="preserve"> </w:t>
      </w:r>
      <w:r>
        <w:fldChar w:fldCharType="begin"/>
      </w:r>
      <w:r>
        <w:instrText>PAGEREF section_26be8f3ae9c24f589fa872bab178b598</w:instrText>
      </w:r>
      <w:r>
        <w:fldChar w:fldCharType="separate"/>
      </w:r>
      <w:r>
        <w:rPr>
          <w:noProof/>
        </w:rPr>
        <w:t>581</w:t>
      </w:r>
      <w:r>
        <w:fldChar w:fldCharType="end"/>
      </w:r>
    </w:p>
    <w:p w:rsidR="005F78FC" w:rsidRDefault="00B42EF3">
      <w:pPr>
        <w:pStyle w:val="indexentry0"/>
      </w:pPr>
      <w:hyperlink w:anchor="section_6b964c2deff640fcbecc6116a4ad1458">
        <w:r>
          <w:rPr>
            <w:rStyle w:val="Hyperlink"/>
          </w:rPr>
          <w:t>ST_Persistence (Control Persistence Attribute Contents)</w:t>
        </w:r>
      </w:hyperlink>
      <w:r>
        <w:t xml:space="preserve"> </w:t>
      </w:r>
      <w:r>
        <w:fldChar w:fldCharType="begin"/>
      </w:r>
      <w:r>
        <w:instrText>PAGEREF section_6b964c2deff640fcbecc6116a4ad1458</w:instrText>
      </w:r>
      <w:r>
        <w:fldChar w:fldCharType="separate"/>
      </w:r>
      <w:r>
        <w:rPr>
          <w:noProof/>
        </w:rPr>
        <w:t>883</w:t>
      </w:r>
      <w:r>
        <w:fldChar w:fldCharType="end"/>
      </w:r>
    </w:p>
    <w:p w:rsidR="005F78FC" w:rsidRDefault="00B42EF3">
      <w:pPr>
        <w:pStyle w:val="indexentry0"/>
      </w:pPr>
      <w:hyperlink w:anchor="section_0215ce81e51b4bf7a61b27f8f76121ea">
        <w:r>
          <w:rPr>
            <w:rStyle w:val="Hyperlink"/>
          </w:rPr>
          <w:t>ST_Perspective (Perspective)</w:t>
        </w:r>
      </w:hyperlink>
      <w:r>
        <w:t xml:space="preserve"> </w:t>
      </w:r>
      <w:r>
        <w:fldChar w:fldCharType="begin"/>
      </w:r>
      <w:r>
        <w:instrText>PAGEREF section_0215ce81e51b4bf7a61b27f8f76121ea</w:instrText>
      </w:r>
      <w:r>
        <w:fldChar w:fldCharType="separate"/>
      </w:r>
      <w:r>
        <w:rPr>
          <w:noProof/>
        </w:rPr>
        <w:t>581</w:t>
      </w:r>
      <w:r>
        <w:fldChar w:fldCharType="end"/>
      </w:r>
    </w:p>
    <w:p w:rsidR="005F78FC" w:rsidRDefault="00B42EF3">
      <w:pPr>
        <w:pStyle w:val="indexentry0"/>
      </w:pPr>
      <w:hyperlink w:anchor="section_f7289bd3806145098c2cb5fc2252c195">
        <w:r>
          <w:rPr>
            <w:rStyle w:val="Hyperlink"/>
          </w:rPr>
          <w:t>ST_PhoneticType (Phonetic Type)</w:t>
        </w:r>
      </w:hyperlink>
      <w:r>
        <w:t xml:space="preserve"> </w:t>
      </w:r>
      <w:r>
        <w:fldChar w:fldCharType="begin"/>
      </w:r>
      <w:r>
        <w:instrText>PAGEREF section_f7289bd3806145098c2cb5fc2252c195</w:instrText>
      </w:r>
      <w:r>
        <w:fldChar w:fldCharType="separate"/>
      </w:r>
      <w:r>
        <w:rPr>
          <w:noProof/>
        </w:rPr>
        <w:t>461</w:t>
      </w:r>
      <w:r>
        <w:fldChar w:fldCharType="end"/>
      </w:r>
    </w:p>
    <w:p w:rsidR="005F78FC" w:rsidRDefault="00B42EF3">
      <w:pPr>
        <w:pStyle w:val="indexentry0"/>
      </w:pPr>
      <w:hyperlink w:anchor="section_a6e7bb555213462cbced2b1225810888">
        <w:r>
          <w:rPr>
            <w:rStyle w:val="Hyperlink"/>
          </w:rPr>
          <w:t>ST_PhotoAlbumFrameShape (Photo Album Shape for Photo Mask)</w:t>
        </w:r>
      </w:hyperlink>
      <w:r>
        <w:t xml:space="preserve"> </w:t>
      </w:r>
      <w:r>
        <w:fldChar w:fldCharType="begin"/>
      </w:r>
      <w:r>
        <w:instrText>PAGEREF section_a6e7bb555213462cbced2b1225810888</w:instrText>
      </w:r>
      <w:r>
        <w:fldChar w:fldCharType="separate"/>
      </w:r>
      <w:r>
        <w:rPr>
          <w:noProof/>
        </w:rPr>
        <w:t>494</w:t>
      </w:r>
      <w:r>
        <w:fldChar w:fldCharType="end"/>
      </w:r>
    </w:p>
    <w:p w:rsidR="005F78FC" w:rsidRDefault="00B42EF3">
      <w:pPr>
        <w:pStyle w:val="indexentry0"/>
      </w:pPr>
      <w:hyperlink w:anchor="section_559db49f5917417e894b34c17cd12e33">
        <w:r>
          <w:rPr>
            <w:rStyle w:val="Hyperlink"/>
          </w:rPr>
          <w:t>ST_PictureFormat (P</w:t>
        </w:r>
        <w:r>
          <w:rPr>
            <w:rStyle w:val="Hyperlink"/>
          </w:rPr>
          <w:t>icture Format)</w:t>
        </w:r>
      </w:hyperlink>
      <w:r>
        <w:t xml:space="preserve"> </w:t>
      </w:r>
      <w:r>
        <w:fldChar w:fldCharType="begin"/>
      </w:r>
      <w:r>
        <w:instrText>PAGEREF section_559db49f5917417e894b34c17cd12e33</w:instrText>
      </w:r>
      <w:r>
        <w:fldChar w:fldCharType="separate"/>
      </w:r>
      <w:r>
        <w:rPr>
          <w:noProof/>
        </w:rPr>
        <w:t>581</w:t>
      </w:r>
      <w:r>
        <w:fldChar w:fldCharType="end"/>
      </w:r>
    </w:p>
    <w:p w:rsidR="005F78FC" w:rsidRDefault="00B42EF3">
      <w:pPr>
        <w:pStyle w:val="indexentry0"/>
      </w:pPr>
      <w:hyperlink w:anchor="section_e3e3238f97ce40c0ae596b71a8f69a96">
        <w:r>
          <w:rPr>
            <w:rStyle w:val="Hyperlink"/>
          </w:rPr>
          <w:t>ST_PivotFilterType (Pivot Filter Types)</w:t>
        </w:r>
      </w:hyperlink>
      <w:r>
        <w:t xml:space="preserve"> </w:t>
      </w:r>
      <w:r>
        <w:fldChar w:fldCharType="begin"/>
      </w:r>
      <w:r>
        <w:instrText>PAGEREF section_e3e3238f97ce40c0ae596b71a8f69a96</w:instrText>
      </w:r>
      <w:r>
        <w:fldChar w:fldCharType="separate"/>
      </w:r>
      <w:r>
        <w:rPr>
          <w:noProof/>
        </w:rPr>
        <w:t>461</w:t>
      </w:r>
      <w:r>
        <w:fldChar w:fldCharType="end"/>
      </w:r>
    </w:p>
    <w:p w:rsidR="005F78FC" w:rsidRDefault="00B42EF3">
      <w:pPr>
        <w:pStyle w:val="indexentry0"/>
      </w:pPr>
      <w:hyperlink w:anchor="section_b21388bd37bf41f0b4b69c84e2d212ec">
        <w:r>
          <w:rPr>
            <w:rStyle w:val="Hyperlink"/>
          </w:rPr>
          <w:t>ST_PointMeasure (Measurement in Points)</w:t>
        </w:r>
      </w:hyperlink>
      <w:r>
        <w:t xml:space="preserve"> </w:t>
      </w:r>
      <w:r>
        <w:fldChar w:fldCharType="begin"/>
      </w:r>
      <w:r>
        <w:instrText>PAGEREF section_b21388bd37bf41f0b4b69c84e2d212ec</w:instrText>
      </w:r>
      <w:r>
        <w:fldChar w:fldCharType="separate"/>
      </w:r>
      <w:r>
        <w:rPr>
          <w:noProof/>
        </w:rPr>
        <w:t>237</w:t>
      </w:r>
      <w:r>
        <w:fldChar w:fldCharType="end"/>
      </w:r>
    </w:p>
    <w:p w:rsidR="005F78FC" w:rsidRDefault="00B42EF3">
      <w:pPr>
        <w:pStyle w:val="indexentry0"/>
      </w:pPr>
      <w:hyperlink w:anchor="section_518012ebe873450781192c51bf1081ed">
        <w:r>
          <w:rPr>
            <w:rStyle w:val="Hyperlink"/>
          </w:rPr>
          <w:t>ST_PositiveCoordinate (Positive Coordina</w:t>
        </w:r>
        <w:r>
          <w:rPr>
            <w:rStyle w:val="Hyperlink"/>
          </w:rPr>
          <w:t>te)</w:t>
        </w:r>
      </w:hyperlink>
      <w:r>
        <w:t xml:space="preserve"> </w:t>
      </w:r>
      <w:r>
        <w:fldChar w:fldCharType="begin"/>
      </w:r>
      <w:r>
        <w:instrText>PAGEREF section_518012ebe873450781192c51bf1081ed</w:instrText>
      </w:r>
      <w:r>
        <w:fldChar w:fldCharType="separate"/>
      </w:r>
      <w:r>
        <w:rPr>
          <w:noProof/>
        </w:rPr>
        <w:t>522</w:t>
      </w:r>
      <w:r>
        <w:fldChar w:fldCharType="end"/>
      </w:r>
    </w:p>
    <w:p w:rsidR="005F78FC" w:rsidRDefault="00B42EF3">
      <w:pPr>
        <w:pStyle w:val="indexentry0"/>
      </w:pPr>
      <w:hyperlink w:anchor="section_1c25f0efb87947f0af0cb1b0d40f7d05">
        <w:r>
          <w:rPr>
            <w:rStyle w:val="Hyperlink"/>
          </w:rPr>
          <w:t>ST_PositiveFixedPercentage (Positive Fixed Percentage)</w:t>
        </w:r>
      </w:hyperlink>
      <w:r>
        <w:t xml:space="preserve"> </w:t>
      </w:r>
      <w:r>
        <w:fldChar w:fldCharType="begin"/>
      </w:r>
      <w:r>
        <w:instrText>PAGEREF section_1c25f0efb87947f0af0cb1b0d40f7d05</w:instrText>
      </w:r>
      <w:r>
        <w:fldChar w:fldCharType="separate"/>
      </w:r>
      <w:r>
        <w:rPr>
          <w:noProof/>
        </w:rPr>
        <w:t>523</w:t>
      </w:r>
      <w:r>
        <w:fldChar w:fldCharType="end"/>
      </w:r>
    </w:p>
    <w:p w:rsidR="005F78FC" w:rsidRDefault="00B42EF3">
      <w:pPr>
        <w:pStyle w:val="indexentry0"/>
      </w:pPr>
      <w:hyperlink w:anchor="section_03aa848c942d469c817522d4948e0eb2">
        <w:r>
          <w:rPr>
            <w:rStyle w:val="Hyperlink"/>
          </w:rPr>
          <w:t>ST_PositiveInteger (Positive Integer)</w:t>
        </w:r>
      </w:hyperlink>
      <w:r>
        <w:t xml:space="preserve"> </w:t>
      </w:r>
      <w:r>
        <w:fldChar w:fldCharType="begin"/>
      </w:r>
      <w:r>
        <w:instrText>PAGEREF section_03aa848c942d469c817522d4948e0eb2</w:instrText>
      </w:r>
      <w:r>
        <w:fldChar w:fldCharType="separate"/>
      </w:r>
      <w:r>
        <w:rPr>
          <w:noProof/>
        </w:rPr>
        <w:t>892</w:t>
      </w:r>
      <w:r>
        <w:fldChar w:fldCharType="end"/>
      </w:r>
    </w:p>
    <w:p w:rsidR="005F78FC" w:rsidRDefault="00B42EF3">
      <w:pPr>
        <w:pStyle w:val="indexentry0"/>
      </w:pPr>
      <w:hyperlink w:anchor="section_c1f1feace34c48d5b2e2f67bb67113e7">
        <w:r>
          <w:rPr>
            <w:rStyle w:val="Hyperlink"/>
          </w:rPr>
          <w:t>ST_PositivePercentage (Positive Percentage)</w:t>
        </w:r>
      </w:hyperlink>
      <w:r>
        <w:t xml:space="preserve"> </w:t>
      </w:r>
      <w:r>
        <w:fldChar w:fldCharType="begin"/>
      </w:r>
      <w:r>
        <w:instrText>PAGEREF section_c1f1feac</w:instrText>
      </w:r>
      <w:r>
        <w:instrText>e34c48d5b2e2f67bb67113e7</w:instrText>
      </w:r>
      <w:r>
        <w:fldChar w:fldCharType="separate"/>
      </w:r>
      <w:r>
        <w:rPr>
          <w:noProof/>
        </w:rPr>
        <w:t>523</w:t>
      </w:r>
      <w:r>
        <w:fldChar w:fldCharType="end"/>
      </w:r>
    </w:p>
    <w:p w:rsidR="005F78FC" w:rsidRDefault="00B42EF3">
      <w:pPr>
        <w:pStyle w:val="indexentry0"/>
      </w:pPr>
      <w:hyperlink w:anchor="section_cc8be648028648f88f8e66b878d23432">
        <w:r>
          <w:rPr>
            <w:rStyle w:val="Hyperlink"/>
          </w:rPr>
          <w:t>ST_PresetColorVal (Preset Color Value)</w:t>
        </w:r>
      </w:hyperlink>
      <w:r>
        <w:t xml:space="preserve"> </w:t>
      </w:r>
      <w:r>
        <w:fldChar w:fldCharType="begin"/>
      </w:r>
      <w:r>
        <w:instrText>PAGEREF section_cc8be648028648f88f8e66b878d23432</w:instrText>
      </w:r>
      <w:r>
        <w:fldChar w:fldCharType="separate"/>
      </w:r>
      <w:r>
        <w:rPr>
          <w:noProof/>
        </w:rPr>
        <w:t>523</w:t>
      </w:r>
      <w:r>
        <w:fldChar w:fldCharType="end"/>
      </w:r>
    </w:p>
    <w:p w:rsidR="005F78FC" w:rsidRDefault="00B42EF3">
      <w:pPr>
        <w:pStyle w:val="indexentry0"/>
      </w:pPr>
      <w:hyperlink w:anchor="section_8582a1426af4433fbcd977be5aacefaf">
        <w:r>
          <w:rPr>
            <w:rStyle w:val="Hyperlink"/>
          </w:rPr>
          <w:t>ST_PresetMate</w:t>
        </w:r>
        <w:r>
          <w:rPr>
            <w:rStyle w:val="Hyperlink"/>
          </w:rPr>
          <w:t>rialType (Preset Material Type)</w:t>
        </w:r>
      </w:hyperlink>
      <w:r>
        <w:t xml:space="preserve"> </w:t>
      </w:r>
      <w:r>
        <w:fldChar w:fldCharType="begin"/>
      </w:r>
      <w:r>
        <w:instrText>PAGEREF section_8582a1426af4433fbcd977be5aacefaf</w:instrText>
      </w:r>
      <w:r>
        <w:fldChar w:fldCharType="separate"/>
      </w:r>
      <w:r>
        <w:rPr>
          <w:noProof/>
        </w:rPr>
        <w:t>523</w:t>
      </w:r>
      <w:r>
        <w:fldChar w:fldCharType="end"/>
      </w:r>
    </w:p>
    <w:p w:rsidR="005F78FC" w:rsidRDefault="00B42EF3">
      <w:pPr>
        <w:pStyle w:val="indexentry0"/>
      </w:pPr>
      <w:hyperlink w:anchor="section_2b440ff26db44035a578a0813d85890f">
        <w:r>
          <w:rPr>
            <w:rStyle w:val="Hyperlink"/>
          </w:rPr>
          <w:t>ST_ProofErr (Proofing Error Type)</w:t>
        </w:r>
      </w:hyperlink>
      <w:r>
        <w:t xml:space="preserve"> </w:t>
      </w:r>
      <w:r>
        <w:fldChar w:fldCharType="begin"/>
      </w:r>
      <w:r>
        <w:instrText>PAGEREF section_2b440ff26db44035a578a0813d85890f</w:instrText>
      </w:r>
      <w:r>
        <w:fldChar w:fldCharType="separate"/>
      </w:r>
      <w:r>
        <w:rPr>
          <w:noProof/>
        </w:rPr>
        <w:t>237</w:t>
      </w:r>
      <w:r>
        <w:fldChar w:fldCharType="end"/>
      </w:r>
    </w:p>
    <w:p w:rsidR="005F78FC" w:rsidRDefault="00B42EF3">
      <w:pPr>
        <w:pStyle w:val="indexentry0"/>
      </w:pPr>
      <w:hyperlink w:anchor="section_64a6c4180f5541f386f657565be81008">
        <w:r>
          <w:rPr>
            <w:rStyle w:val="Hyperlink"/>
          </w:rPr>
          <w:t>ST_PublishDate (Publish Date Value)</w:t>
        </w:r>
      </w:hyperlink>
      <w:r>
        <w:t xml:space="preserve"> </w:t>
      </w:r>
      <w:r>
        <w:fldChar w:fldCharType="begin"/>
      </w:r>
      <w:r>
        <w:instrText>PAGEREF section_64a6c4180f5541f386f657565be81008</w:instrText>
      </w:r>
      <w:r>
        <w:fldChar w:fldCharType="separate"/>
      </w:r>
      <w:r>
        <w:rPr>
          <w:noProof/>
        </w:rPr>
        <w:t>859</w:t>
      </w:r>
      <w:r>
        <w:fldChar w:fldCharType="end"/>
      </w:r>
    </w:p>
    <w:p w:rsidR="005F78FC" w:rsidRDefault="00B42EF3">
      <w:pPr>
        <w:pStyle w:val="indexentry0"/>
      </w:pPr>
      <w:hyperlink w:anchor="section_d82e893585824ef59b33bb5fe1dd8fe0">
        <w:r>
          <w:rPr>
            <w:rStyle w:val="Hyperlink"/>
          </w:rPr>
          <w:t>ST_RadarStyle (Radar Style)</w:t>
        </w:r>
      </w:hyperlink>
      <w:r>
        <w:t xml:space="preserve"> </w:t>
      </w:r>
      <w:r>
        <w:fldChar w:fldCharType="begin"/>
      </w:r>
      <w:r>
        <w:instrText>PAGEREF section_d82e893585824ef59b33bb5fe1dd8fe0</w:instrText>
      </w:r>
      <w:r>
        <w:fldChar w:fldCharType="separate"/>
      </w:r>
      <w:r>
        <w:rPr>
          <w:noProof/>
        </w:rPr>
        <w:t>581</w:t>
      </w:r>
      <w:r>
        <w:fldChar w:fldCharType="end"/>
      </w:r>
    </w:p>
    <w:p w:rsidR="005F78FC" w:rsidRDefault="00B42EF3">
      <w:pPr>
        <w:pStyle w:val="indexentry0"/>
      </w:pPr>
      <w:hyperlink w:anchor="section_fe7f7a7d5ec741f886313ac7884f0883">
        <w:r>
          <w:rPr>
            <w:rStyle w:val="Hyperlink"/>
          </w:rPr>
          <w:t>ST_Ref (Cell References)</w:t>
        </w:r>
      </w:hyperlink>
      <w:r>
        <w:t xml:space="preserve"> </w:t>
      </w:r>
      <w:r>
        <w:fldChar w:fldCharType="begin"/>
      </w:r>
      <w:r>
        <w:instrText>PAGEREF section_fe7f7a7d5ec741f886313ac7884f0883</w:instrText>
      </w:r>
      <w:r>
        <w:fldChar w:fldCharType="separate"/>
      </w:r>
      <w:r>
        <w:rPr>
          <w:noProof/>
        </w:rPr>
        <w:t>461</w:t>
      </w:r>
      <w:r>
        <w:fldChar w:fldCharType="end"/>
      </w:r>
    </w:p>
    <w:p w:rsidR="005F78FC" w:rsidRDefault="00B42EF3">
      <w:pPr>
        <w:pStyle w:val="indexentry0"/>
      </w:pPr>
      <w:hyperlink w:anchor="section_bfae8b6f1af14788b99a0a544efa2a81">
        <w:r>
          <w:rPr>
            <w:rStyle w:val="Hyperlink"/>
          </w:rPr>
          <w:t>ST_</w:t>
        </w:r>
        <w:r>
          <w:rPr>
            <w:rStyle w:val="Hyperlink"/>
          </w:rPr>
          <w:t>RefA (Single Cell Reference)</w:t>
        </w:r>
      </w:hyperlink>
      <w:r>
        <w:t xml:space="preserve"> </w:t>
      </w:r>
      <w:r>
        <w:fldChar w:fldCharType="begin"/>
      </w:r>
      <w:r>
        <w:instrText>PAGEREF section_bfae8b6f1af14788b99a0a544efa2a81</w:instrText>
      </w:r>
      <w:r>
        <w:fldChar w:fldCharType="separate"/>
      </w:r>
      <w:r>
        <w:rPr>
          <w:noProof/>
        </w:rPr>
        <w:t>461</w:t>
      </w:r>
      <w:r>
        <w:fldChar w:fldCharType="end"/>
      </w:r>
    </w:p>
    <w:p w:rsidR="005F78FC" w:rsidRDefault="00B42EF3">
      <w:pPr>
        <w:pStyle w:val="indexentry0"/>
      </w:pPr>
      <w:hyperlink w:anchor="section_1f66e1f2ad2a4cee8efce563dca56a03">
        <w:r>
          <w:rPr>
            <w:rStyle w:val="Hyperlink"/>
          </w:rPr>
          <w:t>ST_RelationshipId (Explicit Relationship ID)</w:t>
        </w:r>
      </w:hyperlink>
      <w:r>
        <w:t xml:space="preserve"> </w:t>
      </w:r>
      <w:r>
        <w:fldChar w:fldCharType="begin"/>
      </w:r>
      <w:r>
        <w:instrText>PAGEREF section_1f66e1f2ad2a4cee8efce563dca56a03</w:instrText>
      </w:r>
      <w:r>
        <w:fldChar w:fldCharType="separate"/>
      </w:r>
      <w:r>
        <w:rPr>
          <w:noProof/>
        </w:rPr>
        <w:t>615</w:t>
      </w:r>
      <w:r>
        <w:fldChar w:fldCharType="end"/>
      </w:r>
    </w:p>
    <w:p w:rsidR="005F78FC" w:rsidRDefault="00B42EF3">
      <w:pPr>
        <w:pStyle w:val="indexentry0"/>
      </w:pPr>
      <w:hyperlink w:anchor="section_efc29c4359ea4dfdb4f82ca25fd436f8">
        <w:r>
          <w:rPr>
            <w:rStyle w:val="Hyperlink"/>
          </w:rPr>
          <w:t>ST_RubyAlign (Phonetic Guide Text Alignment)</w:t>
        </w:r>
      </w:hyperlink>
      <w:r>
        <w:t xml:space="preserve"> </w:t>
      </w:r>
      <w:r>
        <w:fldChar w:fldCharType="begin"/>
      </w:r>
      <w:r>
        <w:instrText>PAGEREF section_efc29c4359ea4dfdb4f82ca25fd436f8</w:instrText>
      </w:r>
      <w:r>
        <w:fldChar w:fldCharType="separate"/>
      </w:r>
      <w:r>
        <w:rPr>
          <w:noProof/>
        </w:rPr>
        <w:t>237</w:t>
      </w:r>
      <w:r>
        <w:fldChar w:fldCharType="end"/>
      </w:r>
    </w:p>
    <w:p w:rsidR="005F78FC" w:rsidRDefault="00B42EF3">
      <w:pPr>
        <w:pStyle w:val="indexentry0"/>
      </w:pPr>
      <w:hyperlink w:anchor="section_790a49d0682946268e0f4f6681a9586b">
        <w:r>
          <w:rPr>
            <w:rStyle w:val="Hyperlink"/>
          </w:rPr>
          <w:t>ST_ScatterStyle (Scatter Style)</w:t>
        </w:r>
      </w:hyperlink>
      <w:r>
        <w:t xml:space="preserve"> </w:t>
      </w:r>
      <w:r>
        <w:fldChar w:fldCharType="begin"/>
      </w:r>
      <w:r>
        <w:instrText>PAGEREF sectio</w:instrText>
      </w:r>
      <w:r>
        <w:instrText>n_790a49d0682946268e0f4f6681a9586b</w:instrText>
      </w:r>
      <w:r>
        <w:fldChar w:fldCharType="separate"/>
      </w:r>
      <w:r>
        <w:rPr>
          <w:noProof/>
        </w:rPr>
        <w:t>581</w:t>
      </w:r>
      <w:r>
        <w:fldChar w:fldCharType="end"/>
      </w:r>
    </w:p>
    <w:p w:rsidR="005F78FC" w:rsidRDefault="00B42EF3">
      <w:pPr>
        <w:pStyle w:val="indexentry0"/>
      </w:pPr>
      <w:hyperlink w:anchor="section_f3ca1d613ed0477c868017ac5f2accec">
        <w:r>
          <w:rPr>
            <w:rStyle w:val="Hyperlink"/>
          </w:rPr>
          <w:t>ST_SecondaryChildAlignment (Secondary Child Alignment)</w:t>
        </w:r>
      </w:hyperlink>
      <w:r>
        <w:t xml:space="preserve"> </w:t>
      </w:r>
      <w:r>
        <w:fldChar w:fldCharType="begin"/>
      </w:r>
      <w:r>
        <w:instrText>PAGEREF section_f3ca1d613ed0477c868017ac5f2accec</w:instrText>
      </w:r>
      <w:r>
        <w:fldChar w:fldCharType="separate"/>
      </w:r>
      <w:r>
        <w:rPr>
          <w:noProof/>
        </w:rPr>
        <w:t>596</w:t>
      </w:r>
      <w:r>
        <w:fldChar w:fldCharType="end"/>
      </w:r>
    </w:p>
    <w:p w:rsidR="005F78FC" w:rsidRDefault="00B42EF3">
      <w:pPr>
        <w:pStyle w:val="indexentry0"/>
      </w:pPr>
      <w:hyperlink w:anchor="section_9aca776fecc4466e837ede0dff2e505e">
        <w:r>
          <w:rPr>
            <w:rStyle w:val="Hyperlink"/>
          </w:rPr>
          <w:t>ST_SecondaryLinearDirection (Secondary Linear Direction)</w:t>
        </w:r>
      </w:hyperlink>
      <w:r>
        <w:t xml:space="preserve"> </w:t>
      </w:r>
      <w:r>
        <w:fldChar w:fldCharType="begin"/>
      </w:r>
      <w:r>
        <w:instrText>PAGEREF section_9aca776fecc4466e837ede0dff2e505e</w:instrText>
      </w:r>
      <w:r>
        <w:fldChar w:fldCharType="separate"/>
      </w:r>
      <w:r>
        <w:rPr>
          <w:noProof/>
        </w:rPr>
        <w:t>596</w:t>
      </w:r>
      <w:r>
        <w:fldChar w:fldCharType="end"/>
      </w:r>
    </w:p>
    <w:p w:rsidR="005F78FC" w:rsidRDefault="00B42EF3">
      <w:pPr>
        <w:pStyle w:val="indexentry0"/>
      </w:pPr>
      <w:hyperlink w:anchor="section_43069065d5f54e959543824ed01466d3">
        <w:r>
          <w:rPr>
            <w:rStyle w:val="Hyperlink"/>
          </w:rPr>
          <w:t>ST_ShadowType (Shadow Type)</w:t>
        </w:r>
      </w:hyperlink>
      <w:r>
        <w:t xml:space="preserve"> </w:t>
      </w:r>
      <w:r>
        <w:fldChar w:fldCharType="begin"/>
      </w:r>
      <w:r>
        <w:instrText>PAGEREF section_43069065d5f54e959543824ed</w:instrText>
      </w:r>
      <w:r>
        <w:instrText>01466d3</w:instrText>
      </w:r>
      <w:r>
        <w:fldChar w:fldCharType="separate"/>
      </w:r>
      <w:r>
        <w:rPr>
          <w:noProof/>
        </w:rPr>
        <w:t>662</w:t>
      </w:r>
      <w:r>
        <w:fldChar w:fldCharType="end"/>
      </w:r>
    </w:p>
    <w:p w:rsidR="005F78FC" w:rsidRDefault="00B42EF3">
      <w:pPr>
        <w:pStyle w:val="indexentry0"/>
      </w:pPr>
      <w:hyperlink w:anchor="section_0680b9ba68334f3194a8add5e312db29">
        <w:r>
          <w:rPr>
            <w:rStyle w:val="Hyperlink"/>
          </w:rPr>
          <w:t>ST_Shape (Shape)</w:t>
        </w:r>
      </w:hyperlink>
      <w:r>
        <w:t xml:space="preserve"> </w:t>
      </w:r>
      <w:r>
        <w:fldChar w:fldCharType="begin"/>
      </w:r>
      <w:r>
        <w:instrText>PAGEREF section_0680b9ba68334f3194a8add5e312db29</w:instrText>
      </w:r>
      <w:r>
        <w:fldChar w:fldCharType="separate"/>
      </w:r>
      <w:r>
        <w:rPr>
          <w:noProof/>
        </w:rPr>
        <w:t>582</w:t>
      </w:r>
      <w:r>
        <w:fldChar w:fldCharType="end"/>
      </w:r>
    </w:p>
    <w:p w:rsidR="005F78FC" w:rsidRDefault="00B42EF3">
      <w:pPr>
        <w:pStyle w:val="indexentry0"/>
      </w:pPr>
      <w:hyperlink w:anchor="section_38b259783d144fb390b7712215ed7ad1">
        <w:r>
          <w:rPr>
            <w:rStyle w:val="Hyperlink"/>
          </w:rPr>
          <w:t>ST_ShapeID (Shape ID)</w:t>
        </w:r>
      </w:hyperlink>
      <w:r>
        <w:t xml:space="preserve"> </w:t>
      </w:r>
      <w:r>
        <w:fldChar w:fldCharType="begin"/>
      </w:r>
      <w:r>
        <w:instrText>PAGEREF section_38b259783d144fb390b7712215ed7ad1</w:instrText>
      </w:r>
      <w:r>
        <w:fldChar w:fldCharType="separate"/>
      </w:r>
      <w:r>
        <w:rPr>
          <w:noProof/>
        </w:rPr>
        <w:t>523</w:t>
      </w:r>
      <w:r>
        <w:fldChar w:fldCharType="end"/>
      </w:r>
    </w:p>
    <w:p w:rsidR="005F78FC" w:rsidRDefault="00B42EF3">
      <w:pPr>
        <w:pStyle w:val="indexentry0"/>
      </w:pPr>
      <w:hyperlink w:anchor="section_cbffdb4854864e6ba7fde43fc3fd5f63">
        <w:r>
          <w:rPr>
            <w:rStyle w:val="Hyperlink"/>
          </w:rPr>
          <w:t>ST_ShapeType (Preset Shape Types)</w:t>
        </w:r>
      </w:hyperlink>
      <w:r>
        <w:t xml:space="preserve"> </w:t>
      </w:r>
      <w:r>
        <w:fldChar w:fldCharType="begin"/>
      </w:r>
      <w:r>
        <w:instrText>PAGEREF section_cbffdb4854864e6ba7fde43fc3fd5f63</w:instrText>
      </w:r>
      <w:r>
        <w:fldChar w:fldCharType="separate"/>
      </w:r>
      <w:r>
        <w:rPr>
          <w:noProof/>
        </w:rPr>
        <w:t>524</w:t>
      </w:r>
      <w:r>
        <w:fldChar w:fldCharType="end"/>
      </w:r>
    </w:p>
    <w:p w:rsidR="005F78FC" w:rsidRDefault="00B42EF3">
      <w:pPr>
        <w:pStyle w:val="indexentry0"/>
      </w:pPr>
      <w:hyperlink w:anchor="section_d7f650a3a70647a88556121f9c7d0205">
        <w:r>
          <w:rPr>
            <w:rStyle w:val="Hyperlink"/>
          </w:rPr>
          <w:t>ST_ShapeType (Shape Type)</w:t>
        </w:r>
      </w:hyperlink>
      <w:r>
        <w:t xml:space="preserve"> </w:t>
      </w:r>
      <w:r>
        <w:fldChar w:fldCharType="begin"/>
      </w:r>
      <w:r>
        <w:instrText>PAGEREF section_d7f650a3a70647a88556121f9c7d0205</w:instrText>
      </w:r>
      <w:r>
        <w:fldChar w:fldCharType="separate"/>
      </w:r>
      <w:r>
        <w:rPr>
          <w:noProof/>
        </w:rPr>
        <w:t>901</w:t>
      </w:r>
      <w:r>
        <w:fldChar w:fldCharType="end"/>
      </w:r>
    </w:p>
    <w:p w:rsidR="005F78FC" w:rsidRDefault="00B42EF3">
      <w:pPr>
        <w:pStyle w:val="indexentry0"/>
      </w:pPr>
      <w:hyperlink w:anchor="section_e4664ccd36da4383a13c3d5df57ed188">
        <w:r>
          <w:rPr>
            <w:rStyle w:val="Hyperlink"/>
          </w:rPr>
          <w:t>ST_Shd (Shading Patterns)</w:t>
        </w:r>
      </w:hyperlink>
      <w:r>
        <w:t xml:space="preserve"> </w:t>
      </w:r>
      <w:r>
        <w:fldChar w:fldCharType="begin"/>
      </w:r>
      <w:r>
        <w:instrText>PAGEREF section_e4664ccd36da4383a13c3d5df57ed188</w:instrText>
      </w:r>
      <w:r>
        <w:fldChar w:fldCharType="separate"/>
      </w:r>
      <w:r>
        <w:rPr>
          <w:noProof/>
        </w:rPr>
        <w:t>237</w:t>
      </w:r>
      <w:r>
        <w:fldChar w:fldCharType="end"/>
      </w:r>
    </w:p>
    <w:p w:rsidR="005F78FC" w:rsidRDefault="00B42EF3">
      <w:pPr>
        <w:pStyle w:val="indexentry0"/>
      </w:pPr>
      <w:hyperlink w:anchor="section_b12e8ea4e85d4b4c94bf98db8427fcaa">
        <w:r>
          <w:rPr>
            <w:rStyle w:val="Hyperlink"/>
          </w:rPr>
          <w:t>ST_ShortHexNumber (Two Digit Hexadecimal Number Value)</w:t>
        </w:r>
      </w:hyperlink>
      <w:r>
        <w:t xml:space="preserve"> </w:t>
      </w:r>
      <w:r>
        <w:fldChar w:fldCharType="begin"/>
      </w:r>
      <w:r>
        <w:instrText>PAGEREF section_b12e8ea4e85d4b4c94bf98db8427fcaa</w:instrText>
      </w:r>
      <w:r>
        <w:fldChar w:fldCharType="separate"/>
      </w:r>
      <w:r>
        <w:rPr>
          <w:noProof/>
        </w:rPr>
        <w:t>790</w:t>
      </w:r>
      <w:r>
        <w:fldChar w:fldCharType="end"/>
      </w:r>
    </w:p>
    <w:p w:rsidR="005F78FC" w:rsidRDefault="00B42EF3">
      <w:pPr>
        <w:pStyle w:val="indexentry0"/>
      </w:pPr>
      <w:hyperlink w:anchor="section_5991a2b500444c47aae0177c93bcfd2b">
        <w:r>
          <w:rPr>
            <w:rStyle w:val="Hyperlink"/>
          </w:rPr>
          <w:t>ST_Shp (Shape (Delimiters</w:t>
        </w:r>
        <w:r>
          <w:rPr>
            <w:rStyle w:val="Hyperlink"/>
          </w:rPr>
          <w:t>))</w:t>
        </w:r>
      </w:hyperlink>
      <w:r>
        <w:t xml:space="preserve"> </w:t>
      </w:r>
      <w:r>
        <w:fldChar w:fldCharType="begin"/>
      </w:r>
      <w:r>
        <w:instrText>PAGEREF section_5991a2b500444c47aae0177c93bcfd2b</w:instrText>
      </w:r>
      <w:r>
        <w:fldChar w:fldCharType="separate"/>
      </w:r>
      <w:r>
        <w:rPr>
          <w:noProof/>
        </w:rPr>
        <w:t>608</w:t>
      </w:r>
      <w:r>
        <w:fldChar w:fldCharType="end"/>
      </w:r>
    </w:p>
    <w:p w:rsidR="005F78FC" w:rsidRDefault="00B42EF3">
      <w:pPr>
        <w:pStyle w:val="indexentry0"/>
      </w:pPr>
      <w:hyperlink w:anchor="section_4e92419771bc4dd7a396a223845eba27">
        <w:r>
          <w:rPr>
            <w:rStyle w:val="Hyperlink"/>
          </w:rPr>
          <w:t>ST_SignatureComments (Signature Comments)</w:t>
        </w:r>
      </w:hyperlink>
      <w:r>
        <w:t xml:space="preserve"> </w:t>
      </w:r>
      <w:r>
        <w:fldChar w:fldCharType="begin"/>
      </w:r>
      <w:r>
        <w:instrText>PAGEREF section_4e92419771bc4dd7a396a223845eba27</w:instrText>
      </w:r>
      <w:r>
        <w:fldChar w:fldCharType="separate"/>
      </w:r>
      <w:r>
        <w:rPr>
          <w:noProof/>
        </w:rPr>
        <w:t>893</w:t>
      </w:r>
      <w:r>
        <w:fldChar w:fldCharType="end"/>
      </w:r>
    </w:p>
    <w:p w:rsidR="005F78FC" w:rsidRDefault="00B42EF3">
      <w:pPr>
        <w:pStyle w:val="indexentry0"/>
      </w:pPr>
      <w:hyperlink w:anchor="section_2fdd7f10d23a40ee9431d04ec89bb73c">
        <w:r>
          <w:rPr>
            <w:rStyle w:val="Hyperlink"/>
          </w:rPr>
          <w:t>ST_SignatureProviderUrl (Signature Provider URL)</w:t>
        </w:r>
      </w:hyperlink>
      <w:r>
        <w:t xml:space="preserve"> </w:t>
      </w:r>
      <w:r>
        <w:fldChar w:fldCharType="begin"/>
      </w:r>
      <w:r>
        <w:instrText>PAGEREF section_2fdd7f10d23a40ee9431d04ec89bb73c</w:instrText>
      </w:r>
      <w:r>
        <w:fldChar w:fldCharType="separate"/>
      </w:r>
      <w:r>
        <w:rPr>
          <w:noProof/>
        </w:rPr>
        <w:t>893</w:t>
      </w:r>
      <w:r>
        <w:fldChar w:fldCharType="end"/>
      </w:r>
    </w:p>
    <w:p w:rsidR="005F78FC" w:rsidRDefault="00B42EF3">
      <w:pPr>
        <w:pStyle w:val="indexentry0"/>
      </w:pPr>
      <w:hyperlink w:anchor="section_4bac229a77b34557aa4ce93641da133d">
        <w:r>
          <w:rPr>
            <w:rStyle w:val="Hyperlink"/>
          </w:rPr>
          <w:t>ST_SignatureText (Signature Text)</w:t>
        </w:r>
      </w:hyperlink>
      <w:r>
        <w:t xml:space="preserve"> </w:t>
      </w:r>
      <w:r>
        <w:fldChar w:fldCharType="begin"/>
      </w:r>
      <w:r>
        <w:instrText>PAGEREF section_4bac229a77b34557aa4ce</w:instrText>
      </w:r>
      <w:r>
        <w:instrText>93641da133d</w:instrText>
      </w:r>
      <w:r>
        <w:fldChar w:fldCharType="separate"/>
      </w:r>
      <w:r>
        <w:rPr>
          <w:noProof/>
        </w:rPr>
        <w:t>893</w:t>
      </w:r>
      <w:r>
        <w:fldChar w:fldCharType="end"/>
      </w:r>
    </w:p>
    <w:p w:rsidR="005F78FC" w:rsidRDefault="00B42EF3">
      <w:pPr>
        <w:pStyle w:val="indexentry0"/>
      </w:pPr>
      <w:hyperlink w:anchor="section_65d1befb272a48f59a5b3896300299ee">
        <w:r>
          <w:rPr>
            <w:rStyle w:val="Hyperlink"/>
          </w:rPr>
          <w:t>ST_SignatureType (Signature Type)</w:t>
        </w:r>
      </w:hyperlink>
      <w:r>
        <w:t xml:space="preserve"> </w:t>
      </w:r>
      <w:r>
        <w:fldChar w:fldCharType="begin"/>
      </w:r>
      <w:r>
        <w:instrText>PAGEREF section_65d1befb272a48f59a5b3896300299ee</w:instrText>
      </w:r>
      <w:r>
        <w:fldChar w:fldCharType="separate"/>
      </w:r>
      <w:r>
        <w:rPr>
          <w:noProof/>
        </w:rPr>
        <w:t>894</w:t>
      </w:r>
      <w:r>
        <w:fldChar w:fldCharType="end"/>
      </w:r>
    </w:p>
    <w:p w:rsidR="005F78FC" w:rsidRDefault="00B42EF3">
      <w:pPr>
        <w:pStyle w:val="indexentry0"/>
      </w:pPr>
      <w:hyperlink w:anchor="section_e9dec6c502ac46a4941bbe63ccf1bbe2">
        <w:r>
          <w:rPr>
            <w:rStyle w:val="Hyperlink"/>
          </w:rPr>
          <w:t>ST_SignedDecimalNumberMax-2 (De</w:t>
        </w:r>
        <w:r>
          <w:rPr>
            <w:rStyle w:val="Hyperlink"/>
          </w:rPr>
          <w:t>cimal Number Value Max -2)</w:t>
        </w:r>
      </w:hyperlink>
      <w:r>
        <w:t xml:space="preserve"> </w:t>
      </w:r>
      <w:r>
        <w:fldChar w:fldCharType="begin"/>
      </w:r>
      <w:r>
        <w:instrText>PAGEREF section_e9dec6c502ac46a4941bbe63ccf1bbe2</w:instrText>
      </w:r>
      <w:r>
        <w:fldChar w:fldCharType="separate"/>
      </w:r>
      <w:r>
        <w:rPr>
          <w:noProof/>
        </w:rPr>
        <w:t>828</w:t>
      </w:r>
      <w:r>
        <w:fldChar w:fldCharType="end"/>
      </w:r>
    </w:p>
    <w:p w:rsidR="005F78FC" w:rsidRDefault="00B42EF3">
      <w:pPr>
        <w:pStyle w:val="indexentry0"/>
      </w:pPr>
      <w:hyperlink w:anchor="section_ec90ea290277451c89455d04dd0db08a">
        <w:r>
          <w:rPr>
            <w:rStyle w:val="Hyperlink"/>
          </w:rPr>
          <w:t>ST_SignedHpsMeasure (Signed Measurement in Half-Points)</w:t>
        </w:r>
      </w:hyperlink>
      <w:r>
        <w:t xml:space="preserve"> </w:t>
      </w:r>
      <w:r>
        <w:fldChar w:fldCharType="begin"/>
      </w:r>
      <w:r>
        <w:instrText>PAGEREF section_ec90ea290277451c89455d04dd0db08a</w:instrText>
      </w:r>
      <w:r>
        <w:fldChar w:fldCharType="separate"/>
      </w:r>
      <w:r>
        <w:rPr>
          <w:noProof/>
        </w:rPr>
        <w:t>237</w:t>
      </w:r>
      <w:r>
        <w:fldChar w:fldCharType="end"/>
      </w:r>
    </w:p>
    <w:p w:rsidR="005F78FC" w:rsidRDefault="00B42EF3">
      <w:pPr>
        <w:pStyle w:val="indexentry0"/>
      </w:pPr>
      <w:hyperlink w:anchor="section_5bc2ab7004c742d89784bf7101866b87">
        <w:r>
          <w:rPr>
            <w:rStyle w:val="Hyperlink"/>
          </w:rPr>
          <w:t>ST_SignedTwipsMeasure (Signed Measurement in Twentieths of a Point)</w:t>
        </w:r>
      </w:hyperlink>
      <w:r>
        <w:t xml:space="preserve"> </w:t>
      </w:r>
      <w:r>
        <w:fldChar w:fldCharType="begin"/>
      </w:r>
      <w:r>
        <w:instrText>PAGEREF section_5bc2ab7004c742d89784bf7101866b87</w:instrText>
      </w:r>
      <w:r>
        <w:fldChar w:fldCharType="separate"/>
      </w:r>
      <w:r>
        <w:rPr>
          <w:noProof/>
        </w:rPr>
        <w:t>237</w:t>
      </w:r>
      <w:r>
        <w:fldChar w:fldCharType="end"/>
      </w:r>
    </w:p>
    <w:p w:rsidR="005F78FC" w:rsidRDefault="00B42EF3">
      <w:pPr>
        <w:pStyle w:val="indexentry0"/>
      </w:pPr>
      <w:hyperlink w:anchor="section_be0b8235f8534143a208dd2e3e11d0f1">
        <w:r>
          <w:rPr>
            <w:rStyle w:val="Hyperlink"/>
          </w:rPr>
          <w:t>ST_Skip (Ski</w:t>
        </w:r>
        <w:r>
          <w:rPr>
            <w:rStyle w:val="Hyperlink"/>
          </w:rPr>
          <w:t>p)</w:t>
        </w:r>
      </w:hyperlink>
      <w:r>
        <w:t xml:space="preserve"> </w:t>
      </w:r>
      <w:r>
        <w:fldChar w:fldCharType="begin"/>
      </w:r>
      <w:r>
        <w:instrText>PAGEREF section_be0b8235f8534143a208dd2e3e11d0f1</w:instrText>
      </w:r>
      <w:r>
        <w:fldChar w:fldCharType="separate"/>
      </w:r>
      <w:r>
        <w:rPr>
          <w:noProof/>
        </w:rPr>
        <w:t>582</w:t>
      </w:r>
      <w:r>
        <w:fldChar w:fldCharType="end"/>
      </w:r>
    </w:p>
    <w:p w:rsidR="005F78FC" w:rsidRDefault="00B42EF3">
      <w:pPr>
        <w:pStyle w:val="indexentry0"/>
      </w:pPr>
      <w:hyperlink w:anchor="section_7ed66a4ca69b4613b5fc70a7cd17e3ca">
        <w:r>
          <w:rPr>
            <w:rStyle w:val="Hyperlink"/>
          </w:rPr>
          <w:t>ST_SortMapCount (Sort Map Count)</w:t>
        </w:r>
      </w:hyperlink>
      <w:r>
        <w:t xml:space="preserve"> </w:t>
      </w:r>
      <w:r>
        <w:fldChar w:fldCharType="begin"/>
      </w:r>
      <w:r>
        <w:instrText>PAGEREF section_7ed66a4ca69b4613b5fc70a7cd17e3ca</w:instrText>
      </w:r>
      <w:r>
        <w:fldChar w:fldCharType="separate"/>
      </w:r>
      <w:r>
        <w:rPr>
          <w:noProof/>
        </w:rPr>
        <w:t>843</w:t>
      </w:r>
      <w:r>
        <w:fldChar w:fldCharType="end"/>
      </w:r>
    </w:p>
    <w:p w:rsidR="005F78FC" w:rsidRDefault="00B42EF3">
      <w:pPr>
        <w:pStyle w:val="indexentry0"/>
      </w:pPr>
      <w:hyperlink w:anchor="section_97429d90d53344dfb1334f7a0171cae4">
        <w:r>
          <w:rPr>
            <w:rStyle w:val="Hyperlink"/>
          </w:rPr>
          <w:t>ST_SpId (Shape ID Type)</w:t>
        </w:r>
      </w:hyperlink>
      <w:r>
        <w:t xml:space="preserve"> </w:t>
      </w:r>
      <w:r>
        <w:fldChar w:fldCharType="begin"/>
      </w:r>
      <w:r>
        <w:instrText>PAGEREF section_97429d90d53344dfb1334f7a0171cae4</w:instrText>
      </w:r>
      <w:r>
        <w:fldChar w:fldCharType="separate"/>
      </w:r>
      <w:r>
        <w:rPr>
          <w:noProof/>
        </w:rPr>
        <w:t>905</w:t>
      </w:r>
      <w:r>
        <w:fldChar w:fldCharType="end"/>
      </w:r>
    </w:p>
    <w:p w:rsidR="005F78FC" w:rsidRDefault="00B42EF3">
      <w:pPr>
        <w:pStyle w:val="indexentry0"/>
      </w:pPr>
      <w:hyperlink w:anchor="section_53d3723d2ebe4ff8b8bacfc8338c5edb">
        <w:r>
          <w:rPr>
            <w:rStyle w:val="Hyperlink"/>
          </w:rPr>
          <w:t>ST_SplitType (Split Type)</w:t>
        </w:r>
      </w:hyperlink>
      <w:r>
        <w:t xml:space="preserve"> </w:t>
      </w:r>
      <w:r>
        <w:fldChar w:fldCharType="begin"/>
      </w:r>
      <w:r>
        <w:instrText>PAGEREF section_53d3723d2ebe4ff8b8bacfc8338c5edb</w:instrText>
      </w:r>
      <w:r>
        <w:fldChar w:fldCharType="separate"/>
      </w:r>
      <w:r>
        <w:rPr>
          <w:noProof/>
        </w:rPr>
        <w:t>582</w:t>
      </w:r>
      <w:r>
        <w:fldChar w:fldCharType="end"/>
      </w:r>
    </w:p>
    <w:p w:rsidR="005F78FC" w:rsidRDefault="00B42EF3">
      <w:pPr>
        <w:pStyle w:val="indexentry0"/>
      </w:pPr>
      <w:hyperlink w:anchor="section_124de93f54d64d61ad5ae8548f7680b2">
        <w:r>
          <w:rPr>
            <w:rStyle w:val="Hyperlink"/>
          </w:rPr>
          <w:t>ST_Sqref (Reference Sequence)</w:t>
        </w:r>
      </w:hyperlink>
      <w:r>
        <w:t xml:space="preserve"> </w:t>
      </w:r>
      <w:r>
        <w:fldChar w:fldCharType="begin"/>
      </w:r>
      <w:r>
        <w:instrText>PAGEREF section_124de93f54d64d61ad5ae8548f7680b2</w:instrText>
      </w:r>
      <w:r>
        <w:fldChar w:fldCharType="separate"/>
      </w:r>
      <w:r>
        <w:rPr>
          <w:noProof/>
        </w:rPr>
        <w:t>461</w:t>
      </w:r>
      <w:r>
        <w:fldChar w:fldCharType="end"/>
      </w:r>
    </w:p>
    <w:p w:rsidR="005F78FC" w:rsidRDefault="00B42EF3">
      <w:pPr>
        <w:pStyle w:val="indexentry0"/>
      </w:pPr>
      <w:hyperlink w:anchor="section_41d18506311343d991c44b4bb652115c">
        <w:r>
          <w:rPr>
            <w:rStyle w:val="Hyperlink"/>
          </w:rPr>
          <w:t>ST_String (String Type)</w:t>
        </w:r>
      </w:hyperlink>
      <w:r>
        <w:t xml:space="preserve"> </w:t>
      </w:r>
      <w:r>
        <w:fldChar w:fldCharType="begin"/>
      </w:r>
      <w:r>
        <w:instrText>PAGEREF section_41d18506311343d991c44b4bb652115c</w:instrText>
      </w:r>
      <w:r>
        <w:fldChar w:fldCharType="separate"/>
      </w:r>
      <w:r>
        <w:rPr>
          <w:noProof/>
        </w:rPr>
        <w:t>884</w:t>
      </w:r>
      <w:r>
        <w:fldChar w:fldCharType="end"/>
      </w:r>
    </w:p>
    <w:p w:rsidR="005F78FC" w:rsidRDefault="00B42EF3">
      <w:pPr>
        <w:pStyle w:val="indexentry0"/>
      </w:pPr>
      <w:r>
        <w:t>S</w:t>
      </w:r>
      <w:r>
        <w:t>T_String (String) (</w:t>
      </w:r>
      <w:hyperlink w:anchor="section_6af92020a61a492793209436f448f276">
        <w:r>
          <w:rPr>
            <w:rStyle w:val="Hyperlink"/>
          </w:rPr>
          <w:t>section 3.1.2.3.5</w:t>
        </w:r>
      </w:hyperlink>
      <w:r>
        <w:t xml:space="preserve"> </w:t>
      </w:r>
      <w:r>
        <w:fldChar w:fldCharType="begin"/>
      </w:r>
      <w:r>
        <w:instrText>PAGEREF section_6af92020a61a492793209436f448f276</w:instrText>
      </w:r>
      <w:r>
        <w:fldChar w:fldCharType="separate"/>
      </w:r>
      <w:r>
        <w:rPr>
          <w:noProof/>
        </w:rPr>
        <w:t>791</w:t>
      </w:r>
      <w:r>
        <w:fldChar w:fldCharType="end"/>
      </w:r>
      <w:r>
        <w:t xml:space="preserve">, </w:t>
      </w:r>
      <w:hyperlink w:anchor="section_ed68652a69334080ac59a443946fa732">
        <w:r>
          <w:rPr>
            <w:rStyle w:val="Hyperlink"/>
          </w:rPr>
          <w:t>section 3.1.3.3.8</w:t>
        </w:r>
      </w:hyperlink>
      <w:r>
        <w:t xml:space="preserve"> </w:t>
      </w:r>
      <w:r>
        <w:fldChar w:fldCharType="begin"/>
      </w:r>
      <w:r>
        <w:instrText>PAGEREF section_ed68</w:instrText>
      </w:r>
      <w:r>
        <w:instrText>652a69334080ac59a443946fa732</w:instrText>
      </w:r>
      <w:r>
        <w:fldChar w:fldCharType="separate"/>
      </w:r>
      <w:r>
        <w:rPr>
          <w:noProof/>
        </w:rPr>
        <w:t>828</w:t>
      </w:r>
      <w:r>
        <w:fldChar w:fldCharType="end"/>
      </w:r>
      <w:r>
        <w:t>)</w:t>
      </w:r>
    </w:p>
    <w:p w:rsidR="005F78FC" w:rsidRDefault="00B42EF3">
      <w:pPr>
        <w:pStyle w:val="indexentry0"/>
      </w:pPr>
      <w:hyperlink w:anchor="section_73f2382235094ce4a27391e7e5a80c27">
        <w:r>
          <w:rPr>
            <w:rStyle w:val="Hyperlink"/>
          </w:rPr>
          <w:t>ST_String255 (String)</w:t>
        </w:r>
      </w:hyperlink>
      <w:r>
        <w:t xml:space="preserve"> </w:t>
      </w:r>
      <w:r>
        <w:fldChar w:fldCharType="begin"/>
      </w:r>
      <w:r>
        <w:instrText>PAGEREF section_73f2382235094ce4a27391e7e5a80c27</w:instrText>
      </w:r>
      <w:r>
        <w:fldChar w:fldCharType="separate"/>
      </w:r>
      <w:r>
        <w:rPr>
          <w:noProof/>
        </w:rPr>
        <w:t>829</w:t>
      </w:r>
      <w:r>
        <w:fldChar w:fldCharType="end"/>
      </w:r>
    </w:p>
    <w:p w:rsidR="005F78FC" w:rsidRDefault="00B42EF3">
      <w:pPr>
        <w:pStyle w:val="indexentry0"/>
      </w:pPr>
      <w:hyperlink w:anchor="section_b74c454c6c644828955971894d36105b">
        <w:r>
          <w:rPr>
            <w:rStyle w:val="Hyperlink"/>
          </w:rPr>
          <w:t>ST_String260 (String)</w:t>
        </w:r>
      </w:hyperlink>
      <w:r>
        <w:t xml:space="preserve"> </w:t>
      </w:r>
      <w:r>
        <w:fldChar w:fldCharType="begin"/>
      </w:r>
      <w:r>
        <w:instrText>PAGEREF section_b74c454c6c644828955971894d36105b</w:instrText>
      </w:r>
      <w:r>
        <w:fldChar w:fldCharType="separate"/>
      </w:r>
      <w:r>
        <w:rPr>
          <w:noProof/>
        </w:rPr>
        <w:t>829</w:t>
      </w:r>
      <w:r>
        <w:fldChar w:fldCharType="end"/>
      </w:r>
    </w:p>
    <w:p w:rsidR="005F78FC" w:rsidRDefault="00B42EF3">
      <w:pPr>
        <w:pStyle w:val="indexentry0"/>
      </w:pPr>
      <w:hyperlink w:anchor="section_48c6336adac043d4b9a0e29a1b3aa23c">
        <w:r>
          <w:rPr>
            <w:rStyle w:val="Hyperlink"/>
          </w:rPr>
          <w:t>ST_Style (Style)</w:t>
        </w:r>
      </w:hyperlink>
      <w:r>
        <w:t xml:space="preserve"> </w:t>
      </w:r>
      <w:r>
        <w:fldChar w:fldCharType="begin"/>
      </w:r>
      <w:r>
        <w:instrText>PAGEREF section_48c6336adac043d4b9a0e29a1b3aa23c</w:instrText>
      </w:r>
      <w:r>
        <w:fldChar w:fldCharType="separate"/>
      </w:r>
      <w:r>
        <w:rPr>
          <w:noProof/>
        </w:rPr>
        <w:t>582</w:t>
      </w:r>
      <w:r>
        <w:fldChar w:fldCharType="end"/>
      </w:r>
    </w:p>
    <w:p w:rsidR="005F78FC" w:rsidRDefault="00B42EF3">
      <w:pPr>
        <w:pStyle w:val="indexentry0"/>
      </w:pPr>
      <w:hyperlink w:anchor="section_5c5c4a0a02ba44d7a0f2c101221ce4a8">
        <w:r>
          <w:rPr>
            <w:rStyle w:val="Hyperlink"/>
          </w:rPr>
          <w:t>ST_TabJc (C</w:t>
        </w:r>
        <w:r>
          <w:rPr>
            <w:rStyle w:val="Hyperlink"/>
          </w:rPr>
          <w:t>ustom Tab Stop Type)</w:t>
        </w:r>
      </w:hyperlink>
      <w:r>
        <w:t xml:space="preserve"> </w:t>
      </w:r>
      <w:r>
        <w:fldChar w:fldCharType="begin"/>
      </w:r>
      <w:r>
        <w:instrText>PAGEREF section_5c5c4a0a02ba44d7a0f2c101221ce4a8</w:instrText>
      </w:r>
      <w:r>
        <w:fldChar w:fldCharType="separate"/>
      </w:r>
      <w:r>
        <w:rPr>
          <w:noProof/>
        </w:rPr>
        <w:t>237</w:t>
      </w:r>
      <w:r>
        <w:fldChar w:fldCharType="end"/>
      </w:r>
    </w:p>
    <w:p w:rsidR="005F78FC" w:rsidRDefault="00B42EF3">
      <w:pPr>
        <w:pStyle w:val="indexentry0"/>
      </w:pPr>
      <w:hyperlink w:anchor="section_af86bfea020b45aa8faa4ad272fe6617">
        <w:r>
          <w:rPr>
            <w:rStyle w:val="Hyperlink"/>
          </w:rPr>
          <w:t>ST_TableStyleType (Table Style Type)</w:t>
        </w:r>
      </w:hyperlink>
      <w:r>
        <w:t xml:space="preserve"> </w:t>
      </w:r>
      <w:r>
        <w:fldChar w:fldCharType="begin"/>
      </w:r>
      <w:r>
        <w:instrText>PAGEREF section_af86bfea020b45aa8faa4ad272fe6617</w:instrText>
      </w:r>
      <w:r>
        <w:fldChar w:fldCharType="separate"/>
      </w:r>
      <w:r>
        <w:rPr>
          <w:noProof/>
        </w:rPr>
        <w:t>462</w:t>
      </w:r>
      <w:r>
        <w:fldChar w:fldCharType="end"/>
      </w:r>
    </w:p>
    <w:p w:rsidR="005F78FC" w:rsidRDefault="00B42EF3">
      <w:pPr>
        <w:pStyle w:val="indexentry0"/>
      </w:pPr>
      <w:hyperlink w:anchor="section_3359ff85c4234b9dbe78d1cf96f79486">
        <w:r>
          <w:rPr>
            <w:rStyle w:val="Hyperlink"/>
          </w:rPr>
          <w:t>ST_TblStyleOverrideType (Conditional Table Style Formatting Types)</w:t>
        </w:r>
      </w:hyperlink>
      <w:r>
        <w:t xml:space="preserve"> </w:t>
      </w:r>
      <w:r>
        <w:fldChar w:fldCharType="begin"/>
      </w:r>
      <w:r>
        <w:instrText>PAGEREF section_3359ff85c4234b9dbe78d1cf96f79486</w:instrText>
      </w:r>
      <w:r>
        <w:fldChar w:fldCharType="separate"/>
      </w:r>
      <w:r>
        <w:rPr>
          <w:noProof/>
        </w:rPr>
        <w:t>238</w:t>
      </w:r>
      <w:r>
        <w:fldChar w:fldCharType="end"/>
      </w:r>
    </w:p>
    <w:p w:rsidR="005F78FC" w:rsidRDefault="00B42EF3">
      <w:pPr>
        <w:pStyle w:val="indexentry0"/>
      </w:pPr>
      <w:hyperlink w:anchor="section_86ec6af2eea646a09d1eb2c640d0b129">
        <w:r>
          <w:rPr>
            <w:rStyle w:val="Hyperlink"/>
          </w:rPr>
          <w:t>ST_TextAnchoringType (Text Anchoring Types</w:t>
        </w:r>
        <w:r>
          <w:rPr>
            <w:rStyle w:val="Hyperlink"/>
          </w:rPr>
          <w:t>)</w:t>
        </w:r>
      </w:hyperlink>
      <w:r>
        <w:t xml:space="preserve"> </w:t>
      </w:r>
      <w:r>
        <w:fldChar w:fldCharType="begin"/>
      </w:r>
      <w:r>
        <w:instrText>PAGEREF section_86ec6af2eea646a09d1eb2c640d0b129</w:instrText>
      </w:r>
      <w:r>
        <w:fldChar w:fldCharType="separate"/>
      </w:r>
      <w:r>
        <w:rPr>
          <w:noProof/>
        </w:rPr>
        <w:t>524</w:t>
      </w:r>
      <w:r>
        <w:fldChar w:fldCharType="end"/>
      </w:r>
    </w:p>
    <w:p w:rsidR="005F78FC" w:rsidRDefault="00B42EF3">
      <w:pPr>
        <w:pStyle w:val="indexentry0"/>
      </w:pPr>
      <w:hyperlink w:anchor="section_4a566abf3bba434ebadc0ce4e9f21799">
        <w:r>
          <w:rPr>
            <w:rStyle w:val="Hyperlink"/>
          </w:rPr>
          <w:t>ST_TextAutonumberScheme (Text Auto-number Schemes)</w:t>
        </w:r>
      </w:hyperlink>
      <w:r>
        <w:t xml:space="preserve"> </w:t>
      </w:r>
      <w:r>
        <w:fldChar w:fldCharType="begin"/>
      </w:r>
      <w:r>
        <w:instrText>PAGEREF section_4a566abf3bba434ebadc0ce4e9f21799</w:instrText>
      </w:r>
      <w:r>
        <w:fldChar w:fldCharType="separate"/>
      </w:r>
      <w:r>
        <w:rPr>
          <w:noProof/>
        </w:rPr>
        <w:t>524</w:t>
      </w:r>
      <w:r>
        <w:fldChar w:fldCharType="end"/>
      </w:r>
    </w:p>
    <w:p w:rsidR="005F78FC" w:rsidRDefault="00B42EF3">
      <w:pPr>
        <w:pStyle w:val="indexentry0"/>
      </w:pPr>
      <w:hyperlink w:anchor="section_9f732f2ba5514c679f81139fca7f5633">
        <w:r>
          <w:rPr>
            <w:rStyle w:val="Hyperlink"/>
          </w:rPr>
          <w:t>ST_TextCapsType (Text Cap Types)</w:t>
        </w:r>
      </w:hyperlink>
      <w:r>
        <w:t xml:space="preserve"> </w:t>
      </w:r>
      <w:r>
        <w:fldChar w:fldCharType="begin"/>
      </w:r>
      <w:r>
        <w:instrText>PAGEREF section_9f732f2ba5514c679f81139fca7f5633</w:instrText>
      </w:r>
      <w:r>
        <w:fldChar w:fldCharType="separate"/>
      </w:r>
      <w:r>
        <w:rPr>
          <w:noProof/>
        </w:rPr>
        <w:t>524</w:t>
      </w:r>
      <w:r>
        <w:fldChar w:fldCharType="end"/>
      </w:r>
    </w:p>
    <w:p w:rsidR="005F78FC" w:rsidRDefault="00B42EF3">
      <w:pPr>
        <w:pStyle w:val="indexentry0"/>
      </w:pPr>
      <w:hyperlink w:anchor="section_ad8ec7f973a341aab193562caeda1103">
        <w:r>
          <w:rPr>
            <w:rStyle w:val="Hyperlink"/>
          </w:rPr>
          <w:t>ST_TextDirection (Text Flow Direction)</w:t>
        </w:r>
      </w:hyperlink>
      <w:r>
        <w:t xml:space="preserve"> </w:t>
      </w:r>
      <w:r>
        <w:fldChar w:fldCharType="begin"/>
      </w:r>
      <w:r>
        <w:instrText>PAGEREF section_ad8ec7f973a341aab193562c</w:instrText>
      </w:r>
      <w:r>
        <w:instrText>aeda1103</w:instrText>
      </w:r>
      <w:r>
        <w:fldChar w:fldCharType="separate"/>
      </w:r>
      <w:r>
        <w:rPr>
          <w:noProof/>
        </w:rPr>
        <w:t>238</w:t>
      </w:r>
      <w:r>
        <w:fldChar w:fldCharType="end"/>
      </w:r>
    </w:p>
    <w:p w:rsidR="005F78FC" w:rsidRDefault="00B42EF3">
      <w:pPr>
        <w:pStyle w:val="indexentry0"/>
      </w:pPr>
      <w:hyperlink w:anchor="section_9e3b0422c7ba419f9708830928e14808">
        <w:r>
          <w:rPr>
            <w:rStyle w:val="Hyperlink"/>
          </w:rPr>
          <w:t>ST_TextEffect (Animated Text Effects)</w:t>
        </w:r>
      </w:hyperlink>
      <w:r>
        <w:t xml:space="preserve"> </w:t>
      </w:r>
      <w:r>
        <w:fldChar w:fldCharType="begin"/>
      </w:r>
      <w:r>
        <w:instrText>PAGEREF section_9e3b0422c7ba419f9708830928e14808</w:instrText>
      </w:r>
      <w:r>
        <w:fldChar w:fldCharType="separate"/>
      </w:r>
      <w:r>
        <w:rPr>
          <w:noProof/>
        </w:rPr>
        <w:t>239</w:t>
      </w:r>
      <w:r>
        <w:fldChar w:fldCharType="end"/>
      </w:r>
    </w:p>
    <w:p w:rsidR="005F78FC" w:rsidRDefault="00B42EF3">
      <w:pPr>
        <w:pStyle w:val="indexentry0"/>
      </w:pPr>
      <w:hyperlink w:anchor="section_9b207b134ab84a8781ec4f95aba3b248">
        <w:r>
          <w:rPr>
            <w:rStyle w:val="Hyperlink"/>
          </w:rPr>
          <w:t>ST_TextFontScalePercent (Text Font Scale Percentage)</w:t>
        </w:r>
      </w:hyperlink>
      <w:r>
        <w:t xml:space="preserve"> </w:t>
      </w:r>
      <w:r>
        <w:fldChar w:fldCharType="begin"/>
      </w:r>
      <w:r>
        <w:instrText>PAGEREF section_9b207b134ab84a8781ec4f95aba3b248</w:instrText>
      </w:r>
      <w:r>
        <w:fldChar w:fldCharType="separate"/>
      </w:r>
      <w:r>
        <w:rPr>
          <w:noProof/>
        </w:rPr>
        <w:t>634</w:t>
      </w:r>
      <w:r>
        <w:fldChar w:fldCharType="end"/>
      </w:r>
    </w:p>
    <w:p w:rsidR="005F78FC" w:rsidRDefault="00B42EF3">
      <w:pPr>
        <w:pStyle w:val="indexentry0"/>
      </w:pPr>
      <w:hyperlink w:anchor="section_aafaec4651ce4ded843c29edc8b74740">
        <w:r>
          <w:rPr>
            <w:rStyle w:val="Hyperlink"/>
          </w:rPr>
          <w:t>ST_TextFontScalePercentOrPercentString (Text Font Scale Percentage)</w:t>
        </w:r>
      </w:hyperlink>
      <w:r>
        <w:t xml:space="preserve"> </w:t>
      </w:r>
      <w:r>
        <w:fldChar w:fldCharType="begin"/>
      </w:r>
      <w:r>
        <w:instrText>PAGEREF section_aafaec4651ce4ded843c29edc8b74740</w:instrText>
      </w:r>
      <w:r>
        <w:fldChar w:fldCharType="separate"/>
      </w:r>
      <w:r>
        <w:rPr>
          <w:noProof/>
        </w:rPr>
        <w:t>525</w:t>
      </w:r>
      <w:r>
        <w:fldChar w:fldCharType="end"/>
      </w:r>
    </w:p>
    <w:p w:rsidR="005F78FC" w:rsidRDefault="00B42EF3">
      <w:pPr>
        <w:pStyle w:val="indexentry0"/>
      </w:pPr>
      <w:hyperlink w:anchor="section_7669315451cf49229cff21cafdebf357">
        <w:r>
          <w:rPr>
            <w:rStyle w:val="Hyperlink"/>
          </w:rPr>
          <w:t>ST_TextNonNegativePoint (Text Non-Negative Point)</w:t>
        </w:r>
      </w:hyperlink>
      <w:r>
        <w:t xml:space="preserve"> </w:t>
      </w:r>
      <w:r>
        <w:fldChar w:fldCharType="begin"/>
      </w:r>
      <w:r>
        <w:instrText>PAGEREF section_7669315451cf49229cff21cafdebf357</w:instrText>
      </w:r>
      <w:r>
        <w:fldChar w:fldCharType="separate"/>
      </w:r>
      <w:r>
        <w:rPr>
          <w:noProof/>
        </w:rPr>
        <w:t>525</w:t>
      </w:r>
      <w:r>
        <w:fldChar w:fldCharType="end"/>
      </w:r>
    </w:p>
    <w:p w:rsidR="005F78FC" w:rsidRDefault="00B42EF3">
      <w:pPr>
        <w:pStyle w:val="indexentry0"/>
      </w:pPr>
      <w:hyperlink w:anchor="section_0db6349e9b1d4218af884d44d4a78572">
        <w:r>
          <w:rPr>
            <w:rStyle w:val="Hyperlink"/>
          </w:rPr>
          <w:t>ST_TextPoint (Text Point)</w:t>
        </w:r>
      </w:hyperlink>
      <w:r>
        <w:t xml:space="preserve"> </w:t>
      </w:r>
      <w:r>
        <w:fldChar w:fldCharType="begin"/>
      </w:r>
      <w:r>
        <w:instrText>PAGEREF section_0db6349e9b1d4218af884d44d4a78572</w:instrText>
      </w:r>
      <w:r>
        <w:fldChar w:fldCharType="separate"/>
      </w:r>
      <w:r>
        <w:rPr>
          <w:noProof/>
        </w:rPr>
        <w:t>525</w:t>
      </w:r>
      <w:r>
        <w:fldChar w:fldCharType="end"/>
      </w:r>
    </w:p>
    <w:p w:rsidR="005F78FC" w:rsidRDefault="00B42EF3">
      <w:pPr>
        <w:pStyle w:val="indexentry0"/>
      </w:pPr>
      <w:hyperlink w:anchor="section_a797e74752bf4755a3492028c1b96dcf">
        <w:r>
          <w:rPr>
            <w:rStyle w:val="Hyperlink"/>
          </w:rPr>
          <w:t>ST_TextScale (Text Expansion/Compression Percentage)</w:t>
        </w:r>
      </w:hyperlink>
      <w:r>
        <w:t xml:space="preserve"> </w:t>
      </w:r>
      <w:r>
        <w:fldChar w:fldCharType="begin"/>
      </w:r>
      <w:r>
        <w:instrText>PAGEREF section_a797e74752bf4755a34920</w:instrText>
      </w:r>
      <w:r>
        <w:instrText>28c1b96dcf</w:instrText>
      </w:r>
      <w:r>
        <w:fldChar w:fldCharType="separate"/>
      </w:r>
      <w:r>
        <w:rPr>
          <w:noProof/>
        </w:rPr>
        <w:t>239</w:t>
      </w:r>
      <w:r>
        <w:fldChar w:fldCharType="end"/>
      </w:r>
    </w:p>
    <w:p w:rsidR="005F78FC" w:rsidRDefault="00B42EF3">
      <w:pPr>
        <w:pStyle w:val="indexentry0"/>
      </w:pPr>
      <w:hyperlink w:anchor="section_1649147df3934898989d2ec846845f18">
        <w:r>
          <w:rPr>
            <w:rStyle w:val="Hyperlink"/>
          </w:rPr>
          <w:t>ST_TextShapeType (Preset Text Shape Types)</w:t>
        </w:r>
      </w:hyperlink>
      <w:r>
        <w:t xml:space="preserve"> </w:t>
      </w:r>
      <w:r>
        <w:fldChar w:fldCharType="begin"/>
      </w:r>
      <w:r>
        <w:instrText>PAGEREF section_1649147df3934898989d2ec846845f18</w:instrText>
      </w:r>
      <w:r>
        <w:fldChar w:fldCharType="separate"/>
      </w:r>
      <w:r>
        <w:rPr>
          <w:noProof/>
        </w:rPr>
        <w:t>525</w:t>
      </w:r>
      <w:r>
        <w:fldChar w:fldCharType="end"/>
      </w:r>
    </w:p>
    <w:p w:rsidR="005F78FC" w:rsidRDefault="00B42EF3">
      <w:pPr>
        <w:pStyle w:val="indexentry0"/>
      </w:pPr>
      <w:hyperlink w:anchor="section_8af868fdec9d4b77b7de0aff196de406">
        <w:r>
          <w:rPr>
            <w:rStyle w:val="Hyperlink"/>
          </w:rPr>
          <w:t>ST_TextSpacingPercent (</w:t>
        </w:r>
        <w:r>
          <w:rPr>
            <w:rStyle w:val="Hyperlink"/>
          </w:rPr>
          <w:t>Text Spacing Percent)</w:t>
        </w:r>
      </w:hyperlink>
      <w:r>
        <w:t xml:space="preserve"> </w:t>
      </w:r>
      <w:r>
        <w:fldChar w:fldCharType="begin"/>
      </w:r>
      <w:r>
        <w:instrText>PAGEREF section_8af868fdec9d4b77b7de0aff196de406</w:instrText>
      </w:r>
      <w:r>
        <w:fldChar w:fldCharType="separate"/>
      </w:r>
      <w:r>
        <w:rPr>
          <w:noProof/>
        </w:rPr>
        <w:t>634</w:t>
      </w:r>
      <w:r>
        <w:fldChar w:fldCharType="end"/>
      </w:r>
    </w:p>
    <w:p w:rsidR="005F78FC" w:rsidRDefault="00B42EF3">
      <w:pPr>
        <w:pStyle w:val="indexentry0"/>
      </w:pPr>
      <w:hyperlink w:anchor="section_c4a93e8e6a084e53b18375282751b959">
        <w:r>
          <w:rPr>
            <w:rStyle w:val="Hyperlink"/>
          </w:rPr>
          <w:t>ST_TextSpacingPercentOrPercentString (Text Spacing Percent)</w:t>
        </w:r>
      </w:hyperlink>
      <w:r>
        <w:t xml:space="preserve"> </w:t>
      </w:r>
      <w:r>
        <w:fldChar w:fldCharType="begin"/>
      </w:r>
      <w:r>
        <w:instrText>PAGEREF section_c4a93e8e6a084e53b18375282751b959</w:instrText>
      </w:r>
      <w:r>
        <w:fldChar w:fldCharType="separate"/>
      </w:r>
      <w:r>
        <w:rPr>
          <w:noProof/>
        </w:rPr>
        <w:t>526</w:t>
      </w:r>
      <w:r>
        <w:fldChar w:fldCharType="end"/>
      </w:r>
    </w:p>
    <w:p w:rsidR="005F78FC" w:rsidRDefault="00B42EF3">
      <w:pPr>
        <w:pStyle w:val="indexentry0"/>
      </w:pPr>
      <w:hyperlink w:anchor="section_b6aeb5af90ac41dc8964f7ba99ed5181">
        <w:r>
          <w:rPr>
            <w:rStyle w:val="Hyperlink"/>
          </w:rPr>
          <w:t>ST_TextSpacingPoint (Text Spacing Point)</w:t>
        </w:r>
      </w:hyperlink>
      <w:r>
        <w:t xml:space="preserve"> </w:t>
      </w:r>
      <w:r>
        <w:fldChar w:fldCharType="begin"/>
      </w:r>
      <w:r>
        <w:instrText>PAGEREF section_b6aeb5af90ac41dc8964f7ba99ed5181</w:instrText>
      </w:r>
      <w:r>
        <w:fldChar w:fldCharType="separate"/>
      </w:r>
      <w:r>
        <w:rPr>
          <w:noProof/>
        </w:rPr>
        <w:t>526</w:t>
      </w:r>
      <w:r>
        <w:fldChar w:fldCharType="end"/>
      </w:r>
    </w:p>
    <w:p w:rsidR="005F78FC" w:rsidRDefault="00B42EF3">
      <w:pPr>
        <w:pStyle w:val="indexentry0"/>
      </w:pPr>
      <w:hyperlink w:anchor="section_94ad7a5d0d0a4e7c926e3dca76cde068">
        <w:r>
          <w:rPr>
            <w:rStyle w:val="Hyperlink"/>
          </w:rPr>
          <w:t>ST_TextUnderlineType (Text Underline Types)</w:t>
        </w:r>
      </w:hyperlink>
      <w:r>
        <w:t xml:space="preserve"> </w:t>
      </w:r>
      <w:r>
        <w:fldChar w:fldCharType="begin"/>
      </w:r>
      <w:r>
        <w:instrText>PAGEREF section_94ad7a5d0d0a4e7c926e3dca76cde068</w:instrText>
      </w:r>
      <w:r>
        <w:fldChar w:fldCharType="separate"/>
      </w:r>
      <w:r>
        <w:rPr>
          <w:noProof/>
        </w:rPr>
        <w:t>526</w:t>
      </w:r>
      <w:r>
        <w:fldChar w:fldCharType="end"/>
      </w:r>
    </w:p>
    <w:p w:rsidR="005F78FC" w:rsidRDefault="00B42EF3">
      <w:pPr>
        <w:pStyle w:val="indexentry0"/>
      </w:pPr>
      <w:hyperlink w:anchor="section_dcb46a27897049cb9106c3c689606092">
        <w:r>
          <w:rPr>
            <w:rStyle w:val="Hyperlink"/>
          </w:rPr>
          <w:t>ST_TextWrappingType (Text Wrapping Types)</w:t>
        </w:r>
      </w:hyperlink>
      <w:r>
        <w:t xml:space="preserve"> </w:t>
      </w:r>
      <w:r>
        <w:fldChar w:fldCharType="begin"/>
      </w:r>
      <w:r>
        <w:instrText>PAGEREF section_dcb46a27897049cb9106c3c689606092</w:instrText>
      </w:r>
      <w:r>
        <w:fldChar w:fldCharType="separate"/>
      </w:r>
      <w:r>
        <w:rPr>
          <w:noProof/>
        </w:rPr>
        <w:t>526</w:t>
      </w:r>
      <w:r>
        <w:fldChar w:fldCharType="end"/>
      </w:r>
    </w:p>
    <w:p w:rsidR="005F78FC" w:rsidRDefault="00B42EF3">
      <w:pPr>
        <w:pStyle w:val="indexentry0"/>
      </w:pPr>
      <w:hyperlink w:anchor="section_4f007c9d15164dd0848087f21fc54ee3">
        <w:r>
          <w:rPr>
            <w:rStyle w:val="Hyperlink"/>
          </w:rPr>
          <w:t>ST_TLAnimateEffectTransition (Time List Animate Effect Transition)</w:t>
        </w:r>
      </w:hyperlink>
      <w:r>
        <w:t xml:space="preserve"> </w:t>
      </w:r>
      <w:r>
        <w:fldChar w:fldCharType="begin"/>
      </w:r>
      <w:r>
        <w:instrText>PAGEREF section_4f007c9d15164dd0848087f21fc54ee3</w:instrText>
      </w:r>
      <w:r>
        <w:fldChar w:fldCharType="separate"/>
      </w:r>
      <w:r>
        <w:rPr>
          <w:noProof/>
        </w:rPr>
        <w:t>496</w:t>
      </w:r>
      <w:r>
        <w:fldChar w:fldCharType="end"/>
      </w:r>
    </w:p>
    <w:p w:rsidR="005F78FC" w:rsidRDefault="00B42EF3">
      <w:pPr>
        <w:pStyle w:val="indexentry0"/>
      </w:pPr>
      <w:hyperlink w:anchor="section_e1478454837249af8963620f9f11ceb7">
        <w:r>
          <w:rPr>
            <w:rStyle w:val="Hyperlink"/>
          </w:rPr>
          <w:t>ST_TLAnimateM</w:t>
        </w:r>
        <w:r>
          <w:rPr>
            <w:rStyle w:val="Hyperlink"/>
          </w:rPr>
          <w:t>otionBehaviorOrigin (Time List Animate Motion Behavior Origin)</w:t>
        </w:r>
      </w:hyperlink>
      <w:r>
        <w:t xml:space="preserve"> </w:t>
      </w:r>
      <w:r>
        <w:fldChar w:fldCharType="begin"/>
      </w:r>
      <w:r>
        <w:instrText>PAGEREF section_e1478454837249af8963620f9f11ceb7</w:instrText>
      </w:r>
      <w:r>
        <w:fldChar w:fldCharType="separate"/>
      </w:r>
      <w:r>
        <w:rPr>
          <w:noProof/>
        </w:rPr>
        <w:t>496</w:t>
      </w:r>
      <w:r>
        <w:fldChar w:fldCharType="end"/>
      </w:r>
    </w:p>
    <w:p w:rsidR="005F78FC" w:rsidRDefault="00B42EF3">
      <w:pPr>
        <w:pStyle w:val="indexentry0"/>
      </w:pPr>
      <w:hyperlink w:anchor="section_16c12ef48608468c8ff133b4ba0ac056">
        <w:r>
          <w:rPr>
            <w:rStyle w:val="Hyperlink"/>
          </w:rPr>
          <w:t>ST_TLBehaviorAdditiveType (Behavior Additive Type)</w:t>
        </w:r>
      </w:hyperlink>
      <w:r>
        <w:t xml:space="preserve"> </w:t>
      </w:r>
      <w:r>
        <w:fldChar w:fldCharType="begin"/>
      </w:r>
      <w:r>
        <w:instrText>PAGEREF section_16c12ef48</w:instrText>
      </w:r>
      <w:r>
        <w:instrText>608468c8ff133b4ba0ac056</w:instrText>
      </w:r>
      <w:r>
        <w:fldChar w:fldCharType="separate"/>
      </w:r>
      <w:r>
        <w:rPr>
          <w:noProof/>
        </w:rPr>
        <w:t>496</w:t>
      </w:r>
      <w:r>
        <w:fldChar w:fldCharType="end"/>
      </w:r>
    </w:p>
    <w:p w:rsidR="005F78FC" w:rsidRDefault="00B42EF3">
      <w:pPr>
        <w:pStyle w:val="indexentry0"/>
      </w:pPr>
      <w:hyperlink w:anchor="section_7128b0c014ef4b5f8d9f257dd209846d">
        <w:r>
          <w:rPr>
            <w:rStyle w:val="Hyperlink"/>
          </w:rPr>
          <w:t>ST_TLBehaviorTransformType (Behavior Transform Type)</w:t>
        </w:r>
      </w:hyperlink>
      <w:r>
        <w:t xml:space="preserve"> </w:t>
      </w:r>
      <w:r>
        <w:fldChar w:fldCharType="begin"/>
      </w:r>
      <w:r>
        <w:instrText>PAGEREF section_7128b0c014ef4b5f8d9f257dd209846d</w:instrText>
      </w:r>
      <w:r>
        <w:fldChar w:fldCharType="separate"/>
      </w:r>
      <w:r>
        <w:rPr>
          <w:noProof/>
        </w:rPr>
        <w:t>496</w:t>
      </w:r>
      <w:r>
        <w:fldChar w:fldCharType="end"/>
      </w:r>
    </w:p>
    <w:p w:rsidR="005F78FC" w:rsidRDefault="00B42EF3">
      <w:pPr>
        <w:pStyle w:val="indexentry0"/>
      </w:pPr>
      <w:hyperlink w:anchor="section_a9dc8c5b9ef849729200113eddc54e18">
        <w:r>
          <w:rPr>
            <w:rStyle w:val="Hyperlink"/>
          </w:rPr>
          <w:t>ST_TLTime (Time)</w:t>
        </w:r>
      </w:hyperlink>
      <w:r>
        <w:t xml:space="preserve"> </w:t>
      </w:r>
      <w:r>
        <w:fldChar w:fldCharType="begin"/>
      </w:r>
      <w:r>
        <w:instrText>PAGEREF section_a9dc8c5b9ef849729200113eddc54e18</w:instrText>
      </w:r>
      <w:r>
        <w:fldChar w:fldCharType="separate"/>
      </w:r>
      <w:r>
        <w:rPr>
          <w:noProof/>
        </w:rPr>
        <w:t>496</w:t>
      </w:r>
      <w:r>
        <w:fldChar w:fldCharType="end"/>
      </w:r>
    </w:p>
    <w:p w:rsidR="005F78FC" w:rsidRDefault="00B42EF3">
      <w:pPr>
        <w:pStyle w:val="indexentry0"/>
      </w:pPr>
      <w:hyperlink w:anchor="section_95561e91e1c047d59ec4006d89646dea">
        <w:r>
          <w:rPr>
            <w:rStyle w:val="Hyperlink"/>
          </w:rPr>
          <w:t>ST_TLTimeNodeFillType (Time Node Fill Type)</w:t>
        </w:r>
      </w:hyperlink>
      <w:r>
        <w:t xml:space="preserve"> </w:t>
      </w:r>
      <w:r>
        <w:fldChar w:fldCharType="begin"/>
      </w:r>
      <w:r>
        <w:instrText>PAGEREF section_95561e91e1c047d59ec4006d89646dea</w:instrText>
      </w:r>
      <w:r>
        <w:fldChar w:fldCharType="separate"/>
      </w:r>
      <w:r>
        <w:rPr>
          <w:noProof/>
        </w:rPr>
        <w:t>496</w:t>
      </w:r>
      <w:r>
        <w:fldChar w:fldCharType="end"/>
      </w:r>
    </w:p>
    <w:p w:rsidR="005F78FC" w:rsidRDefault="00B42EF3">
      <w:pPr>
        <w:pStyle w:val="indexentry0"/>
      </w:pPr>
      <w:hyperlink w:anchor="section_751571dcbd2f411eb38c7575bc939071">
        <w:r>
          <w:rPr>
            <w:rStyle w:val="Hyperlink"/>
          </w:rPr>
          <w:t>ST_TLTimeNodeMasterRelation (Time Node Master Relation)</w:t>
        </w:r>
      </w:hyperlink>
      <w:r>
        <w:t xml:space="preserve"> </w:t>
      </w:r>
      <w:r>
        <w:fldChar w:fldCharType="begin"/>
      </w:r>
      <w:r>
        <w:instrText>PAGEREF section_751571dcbd2f411eb38c7575bc939071</w:instrText>
      </w:r>
      <w:r>
        <w:fldChar w:fldCharType="separate"/>
      </w:r>
      <w:r>
        <w:rPr>
          <w:noProof/>
        </w:rPr>
        <w:t>497</w:t>
      </w:r>
      <w:r>
        <w:fldChar w:fldCharType="end"/>
      </w:r>
    </w:p>
    <w:p w:rsidR="005F78FC" w:rsidRDefault="00B42EF3">
      <w:pPr>
        <w:pStyle w:val="indexentry0"/>
      </w:pPr>
      <w:hyperlink w:anchor="section_278466dec56a4eaaa0b1723c7aef9b99">
        <w:r>
          <w:rPr>
            <w:rStyle w:val="Hyperlink"/>
          </w:rPr>
          <w:t>ST_TLTimeNodeRestartType (Time Node Restart Type)</w:t>
        </w:r>
      </w:hyperlink>
      <w:r>
        <w:t xml:space="preserve"> </w:t>
      </w:r>
      <w:r>
        <w:fldChar w:fldCharType="begin"/>
      </w:r>
      <w:r>
        <w:instrText>PAGEREF section_278466dec56a4eaaa0b1723c7aef9b99</w:instrText>
      </w:r>
      <w:r>
        <w:fldChar w:fldCharType="separate"/>
      </w:r>
      <w:r>
        <w:rPr>
          <w:noProof/>
        </w:rPr>
        <w:t>497</w:t>
      </w:r>
      <w:r>
        <w:fldChar w:fldCharType="end"/>
      </w:r>
    </w:p>
    <w:p w:rsidR="005F78FC" w:rsidRDefault="00B42EF3">
      <w:pPr>
        <w:pStyle w:val="indexentry0"/>
      </w:pPr>
      <w:hyperlink w:anchor="section_6acf6d2c64234f5e8a166533a20fbd41">
        <w:r>
          <w:rPr>
            <w:rStyle w:val="Hyperlink"/>
          </w:rPr>
          <w:t>ST_TLTriggerEvent (Trigger Event)</w:t>
        </w:r>
      </w:hyperlink>
      <w:r>
        <w:t xml:space="preserve"> </w:t>
      </w:r>
      <w:r>
        <w:fldChar w:fldCharType="begin"/>
      </w:r>
      <w:r>
        <w:instrText>PAGEREF section_6acf6d2c64234f5e8a166533a20fbd41</w:instrText>
      </w:r>
      <w:r>
        <w:fldChar w:fldCharType="separate"/>
      </w:r>
      <w:r>
        <w:rPr>
          <w:noProof/>
        </w:rPr>
        <w:t>497</w:t>
      </w:r>
      <w:r>
        <w:fldChar w:fldCharType="end"/>
      </w:r>
    </w:p>
    <w:p w:rsidR="005F78FC" w:rsidRDefault="00B42EF3">
      <w:pPr>
        <w:pStyle w:val="indexentry0"/>
      </w:pPr>
      <w:hyperlink w:anchor="section_b020773c92774a4181691f29c9b3f0de">
        <w:r>
          <w:rPr>
            <w:rStyle w:val="Hyperlink"/>
          </w:rPr>
          <w:t>ST_TopBot (Top-Bottom)</w:t>
        </w:r>
      </w:hyperlink>
      <w:r>
        <w:t xml:space="preserve"> </w:t>
      </w:r>
      <w:r>
        <w:fldChar w:fldCharType="begin"/>
      </w:r>
      <w:r>
        <w:instrText>PAGEREF section_b020773c92774a4181691f29c9b3f0de</w:instrText>
      </w:r>
      <w:r>
        <w:fldChar w:fldCharType="separate"/>
      </w:r>
      <w:r>
        <w:rPr>
          <w:noProof/>
        </w:rPr>
        <w:t>608</w:t>
      </w:r>
      <w:r>
        <w:fldChar w:fldCharType="end"/>
      </w:r>
    </w:p>
    <w:p w:rsidR="005F78FC" w:rsidRDefault="00B42EF3">
      <w:pPr>
        <w:pStyle w:val="indexentry0"/>
      </w:pPr>
      <w:hyperlink w:anchor="section_99e8f4cc2f6c46638cf5b044dddc7e1c">
        <w:r>
          <w:rPr>
            <w:rStyle w:val="Hyperlink"/>
          </w:rPr>
          <w:t>ST_TotalsRowFunction (Totals Row Function Types)</w:t>
        </w:r>
      </w:hyperlink>
      <w:r>
        <w:t xml:space="preserve"> </w:t>
      </w:r>
      <w:r>
        <w:fldChar w:fldCharType="begin"/>
      </w:r>
      <w:r>
        <w:instrText>PAGEREF section_99e8f4cc2f6c46638cf5b044dddc7e1c</w:instrText>
      </w:r>
      <w:r>
        <w:fldChar w:fldCharType="separate"/>
      </w:r>
      <w:r>
        <w:rPr>
          <w:noProof/>
        </w:rPr>
        <w:t>462</w:t>
      </w:r>
      <w:r>
        <w:fldChar w:fldCharType="end"/>
      </w:r>
    </w:p>
    <w:p w:rsidR="005F78FC" w:rsidRDefault="00B42EF3">
      <w:pPr>
        <w:pStyle w:val="indexentry0"/>
      </w:pPr>
      <w:hyperlink w:anchor="section_b4f2d82cf8ae4592847f4360fbd8fdad">
        <w:r>
          <w:rPr>
            <w:rStyle w:val="Hyperlink"/>
          </w:rPr>
          <w:t>ST_TrendlineType (Trendline Type)</w:t>
        </w:r>
      </w:hyperlink>
      <w:r>
        <w:t xml:space="preserve"> </w:t>
      </w:r>
      <w:r>
        <w:fldChar w:fldCharType="begin"/>
      </w:r>
      <w:r>
        <w:instrText>PAGEREF section_b4f2d82cf8ae4592847f4360fbd8fdad</w:instrText>
      </w:r>
      <w:r>
        <w:fldChar w:fldCharType="separate"/>
      </w:r>
      <w:r>
        <w:rPr>
          <w:noProof/>
        </w:rPr>
        <w:t>582</w:t>
      </w:r>
      <w:r>
        <w:fldChar w:fldCharType="end"/>
      </w:r>
    </w:p>
    <w:p w:rsidR="005F78FC" w:rsidRDefault="00B42EF3">
      <w:pPr>
        <w:pStyle w:val="indexentry0"/>
      </w:pPr>
      <w:hyperlink w:anchor="section_c3aaaaf541984b30a06a526413997642">
        <w:r>
          <w:rPr>
            <w:rStyle w:val="Hyperlink"/>
          </w:rPr>
          <w:t>ST_TrueFalseBlank (Boolean Value with Blank [F</w:t>
        </w:r>
        <w:r>
          <w:rPr>
            <w:rStyle w:val="Hyperlink"/>
          </w:rPr>
          <w:t>alse] State)</w:t>
        </w:r>
      </w:hyperlink>
      <w:r>
        <w:t xml:space="preserve"> </w:t>
      </w:r>
      <w:r>
        <w:fldChar w:fldCharType="begin"/>
      </w:r>
      <w:r>
        <w:instrText>PAGEREF section_c3aaaaf541984b30a06a526413997642</w:instrText>
      </w:r>
      <w:r>
        <w:fldChar w:fldCharType="separate"/>
      </w:r>
      <w:r>
        <w:rPr>
          <w:noProof/>
        </w:rPr>
        <w:t>689</w:t>
      </w:r>
      <w:r>
        <w:fldChar w:fldCharType="end"/>
      </w:r>
    </w:p>
    <w:p w:rsidR="005F78FC" w:rsidRDefault="00B42EF3">
      <w:pPr>
        <w:pStyle w:val="indexentry0"/>
      </w:pPr>
      <w:hyperlink w:anchor="section_f2dd832362924b9bbc07123e1aad7cc1">
        <w:r>
          <w:rPr>
            <w:rStyle w:val="Hyperlink"/>
          </w:rPr>
          <w:t>ST_TrueOnly (True Only)</w:t>
        </w:r>
      </w:hyperlink>
      <w:r>
        <w:t xml:space="preserve"> </w:t>
      </w:r>
      <w:r>
        <w:fldChar w:fldCharType="begin"/>
      </w:r>
      <w:r>
        <w:instrText>PAGEREF section_f2dd832362924b9bbc07123e1aad7cc1</w:instrText>
      </w:r>
      <w:r>
        <w:fldChar w:fldCharType="separate"/>
      </w:r>
      <w:r>
        <w:rPr>
          <w:noProof/>
        </w:rPr>
        <w:t>871</w:t>
      </w:r>
      <w:r>
        <w:fldChar w:fldCharType="end"/>
      </w:r>
    </w:p>
    <w:p w:rsidR="005F78FC" w:rsidRDefault="00B42EF3">
      <w:pPr>
        <w:pStyle w:val="indexentry0"/>
      </w:pPr>
      <w:hyperlink w:anchor="section_36a8c9a33650482fb5602ec6ab9fadab">
        <w:r>
          <w:rPr>
            <w:rStyle w:val="Hyperlink"/>
          </w:rPr>
          <w:t>ST_TwipsMeasure (Measurement in Twentieths of a Point)</w:t>
        </w:r>
      </w:hyperlink>
      <w:r>
        <w:t xml:space="preserve"> </w:t>
      </w:r>
      <w:r>
        <w:fldChar w:fldCharType="begin"/>
      </w:r>
      <w:r>
        <w:instrText>PAGEREF section_36a8c9a33650482fb5602ec6ab9fadab</w:instrText>
      </w:r>
      <w:r>
        <w:fldChar w:fldCharType="separate"/>
      </w:r>
      <w:r>
        <w:rPr>
          <w:noProof/>
        </w:rPr>
        <w:t>623</w:t>
      </w:r>
      <w:r>
        <w:fldChar w:fldCharType="end"/>
      </w:r>
    </w:p>
    <w:p w:rsidR="005F78FC" w:rsidRDefault="00B42EF3">
      <w:pPr>
        <w:pStyle w:val="indexentry0"/>
      </w:pPr>
      <w:hyperlink w:anchor="section_248f1259824c4068a4ed5c90c1b17f5f">
        <w:r>
          <w:rPr>
            <w:rStyle w:val="Hyperlink"/>
          </w:rPr>
          <w:t>ST_UniqueIdentifier ()</w:t>
        </w:r>
      </w:hyperlink>
      <w:r>
        <w:t xml:space="preserve"> </w:t>
      </w:r>
      <w:r>
        <w:fldChar w:fldCharType="begin"/>
      </w:r>
      <w:r>
        <w:instrText>PAGEREF section_248f1259824c4068a4ed5c90c1b17f5f</w:instrText>
      </w:r>
      <w:r>
        <w:fldChar w:fldCharType="separate"/>
      </w:r>
      <w:r>
        <w:rPr>
          <w:noProof/>
        </w:rPr>
        <w:t>871</w:t>
      </w:r>
      <w:r>
        <w:fldChar w:fldCharType="end"/>
      </w:r>
    </w:p>
    <w:p w:rsidR="005F78FC" w:rsidRDefault="00B42EF3">
      <w:pPr>
        <w:pStyle w:val="indexentry0"/>
      </w:pPr>
      <w:hyperlink w:anchor="section_6478af0db7b4409889c50d291a9cf0ce">
        <w:r>
          <w:rPr>
            <w:rStyle w:val="Hyperlink"/>
          </w:rPr>
          <w:t>ST_UniqueIdentifierWithBraces (Unique Identifier with Braces)</w:t>
        </w:r>
      </w:hyperlink>
      <w:r>
        <w:t xml:space="preserve"> </w:t>
      </w:r>
      <w:r>
        <w:fldChar w:fldCharType="begin"/>
      </w:r>
      <w:r>
        <w:instrText>PAGEREF section_6478af0db7b4409889c50d291a9cf0ce</w:instrText>
      </w:r>
      <w:r>
        <w:fldChar w:fldCharType="separate"/>
      </w:r>
      <w:r>
        <w:rPr>
          <w:noProof/>
        </w:rPr>
        <w:t>894</w:t>
      </w:r>
      <w:r>
        <w:fldChar w:fldCharType="end"/>
      </w:r>
    </w:p>
    <w:p w:rsidR="005F78FC" w:rsidRDefault="00B42EF3">
      <w:pPr>
        <w:pStyle w:val="indexentry0"/>
      </w:pPr>
      <w:hyperlink w:anchor="section_ab99726155c24ba4b3b99819b200389d">
        <w:r>
          <w:rPr>
            <w:rStyle w:val="Hyperlink"/>
          </w:rPr>
          <w:t>ST_UniqueIdentif</w:t>
        </w:r>
        <w:r>
          <w:rPr>
            <w:rStyle w:val="Hyperlink"/>
          </w:rPr>
          <w:t>ierWithoutBraces (Unique Identifier without Braces)</w:t>
        </w:r>
      </w:hyperlink>
      <w:r>
        <w:t xml:space="preserve"> </w:t>
      </w:r>
      <w:r>
        <w:fldChar w:fldCharType="begin"/>
      </w:r>
      <w:r>
        <w:instrText>PAGEREF section_ab99726155c24ba4b3b99819b200389d</w:instrText>
      </w:r>
      <w:r>
        <w:fldChar w:fldCharType="separate"/>
      </w:r>
      <w:r>
        <w:rPr>
          <w:noProof/>
        </w:rPr>
        <w:t>872</w:t>
      </w:r>
      <w:r>
        <w:fldChar w:fldCharType="end"/>
      </w:r>
    </w:p>
    <w:p w:rsidR="005F78FC" w:rsidRDefault="00B42EF3">
      <w:pPr>
        <w:pStyle w:val="indexentry0"/>
      </w:pPr>
      <w:hyperlink w:anchor="section_5e4c54421b28482ea1ae61157400fc89">
        <w:r>
          <w:rPr>
            <w:rStyle w:val="Hyperlink"/>
          </w:rPr>
          <w:t>ST_UnsignedDecimalNumber (Unsigned Decimal Number Value)</w:t>
        </w:r>
      </w:hyperlink>
      <w:r>
        <w:t xml:space="preserve"> </w:t>
      </w:r>
      <w:r>
        <w:fldChar w:fldCharType="begin"/>
      </w:r>
      <w:r>
        <w:instrText>PAGEREF section_5e4c54421b2848</w:instrText>
      </w:r>
      <w:r>
        <w:instrText>2ea1ae61157400fc89</w:instrText>
      </w:r>
      <w:r>
        <w:fldChar w:fldCharType="separate"/>
      </w:r>
      <w:r>
        <w:rPr>
          <w:noProof/>
        </w:rPr>
        <w:t>624</w:t>
      </w:r>
      <w:r>
        <w:fldChar w:fldCharType="end"/>
      </w:r>
    </w:p>
    <w:p w:rsidR="005F78FC" w:rsidRDefault="00B42EF3">
      <w:pPr>
        <w:pStyle w:val="indexentry0"/>
      </w:pPr>
      <w:hyperlink w:anchor="section_71424b866d3c4173a2027fc4efad6377">
        <w:r>
          <w:rPr>
            <w:rStyle w:val="Hyperlink"/>
          </w:rPr>
          <w:t>ST_UnSignedInteger (Unsigned integer.)</w:t>
        </w:r>
      </w:hyperlink>
      <w:r>
        <w:t xml:space="preserve"> </w:t>
      </w:r>
      <w:r>
        <w:fldChar w:fldCharType="begin"/>
      </w:r>
      <w:r>
        <w:instrText>PAGEREF section_71424b866d3c4173a2027fc4efad6377</w:instrText>
      </w:r>
      <w:r>
        <w:fldChar w:fldCharType="separate"/>
      </w:r>
      <w:r>
        <w:rPr>
          <w:noProof/>
        </w:rPr>
        <w:t>608</w:t>
      </w:r>
      <w:r>
        <w:fldChar w:fldCharType="end"/>
      </w:r>
    </w:p>
    <w:p w:rsidR="005F78FC" w:rsidRDefault="00B42EF3">
      <w:pPr>
        <w:pStyle w:val="indexentry0"/>
      </w:pPr>
      <w:hyperlink w:anchor="section_49537dee2826428a984e70e8d44af015">
        <w:r>
          <w:rPr>
            <w:rStyle w:val="Hyperlink"/>
          </w:rPr>
          <w:t>ST_UpdateLinks (Update Links Behavior Types)</w:t>
        </w:r>
      </w:hyperlink>
      <w:r>
        <w:t xml:space="preserve"> </w:t>
      </w:r>
      <w:r>
        <w:fldChar w:fldCharType="begin"/>
      </w:r>
      <w:r>
        <w:instrText>PAGEREF section_49537dee2826428a984e70e8d44af015</w:instrText>
      </w:r>
      <w:r>
        <w:fldChar w:fldCharType="separate"/>
      </w:r>
      <w:r>
        <w:rPr>
          <w:noProof/>
        </w:rPr>
        <w:t>462</w:t>
      </w:r>
      <w:r>
        <w:fldChar w:fldCharType="end"/>
      </w:r>
    </w:p>
    <w:p w:rsidR="005F78FC" w:rsidRDefault="00B42EF3">
      <w:pPr>
        <w:pStyle w:val="indexentry0"/>
      </w:pPr>
      <w:hyperlink w:anchor="section_9c80c836e9844ac89c825d2d5bf63221">
        <w:r>
          <w:rPr>
            <w:rStyle w:val="Hyperlink"/>
          </w:rPr>
          <w:t>ST_Version (Version)</w:t>
        </w:r>
      </w:hyperlink>
      <w:r>
        <w:t xml:space="preserve"> </w:t>
      </w:r>
      <w:r>
        <w:fldChar w:fldCharType="begin"/>
      </w:r>
      <w:r>
        <w:instrText>PAGEREF section_9c80c836e9844ac89c825d2d5bf63221</w:instrText>
      </w:r>
      <w:r>
        <w:fldChar w:fldCharType="separate"/>
      </w:r>
      <w:r>
        <w:rPr>
          <w:noProof/>
        </w:rPr>
        <w:t>895</w:t>
      </w:r>
      <w:r>
        <w:fldChar w:fldCharType="end"/>
      </w:r>
    </w:p>
    <w:p w:rsidR="005F78FC" w:rsidRDefault="00B42EF3">
      <w:pPr>
        <w:pStyle w:val="indexentry0"/>
      </w:pPr>
      <w:hyperlink w:anchor="section_45d9c9bc082746b19de0553bf9a0fe56">
        <w:r>
          <w:rPr>
            <w:rStyle w:val="Hyperlink"/>
          </w:rPr>
          <w:t>ST_VerticalAnchor (Vertical Anchor Type)</w:t>
        </w:r>
      </w:hyperlink>
      <w:r>
        <w:t xml:space="preserve"> </w:t>
      </w:r>
      <w:r>
        <w:fldChar w:fldCharType="begin"/>
      </w:r>
      <w:r>
        <w:instrText>PAGEREF section_45d9c9bc082746b19de0553bf9a0fe56</w:instrText>
      </w:r>
      <w:r>
        <w:fldChar w:fldCharType="separate"/>
      </w:r>
      <w:r>
        <w:rPr>
          <w:noProof/>
        </w:rPr>
        <w:t>678</w:t>
      </w:r>
      <w:r>
        <w:fldChar w:fldCharType="end"/>
      </w:r>
    </w:p>
    <w:p w:rsidR="005F78FC" w:rsidRDefault="00B42EF3">
      <w:pPr>
        <w:pStyle w:val="indexentry0"/>
      </w:pPr>
      <w:hyperlink w:anchor="section_d9309b78fe044bf79a64f30ff80215a9">
        <w:r>
          <w:rPr>
            <w:rStyle w:val="Hyperlink"/>
          </w:rPr>
          <w:t>ST_VerticalJc (Vertical Alignment Type)</w:t>
        </w:r>
      </w:hyperlink>
      <w:r>
        <w:t xml:space="preserve"> </w:t>
      </w:r>
      <w:r>
        <w:fldChar w:fldCharType="begin"/>
      </w:r>
      <w:r>
        <w:instrText>PAGEREF section_d9</w:instrText>
      </w:r>
      <w:r>
        <w:instrText>309b78fe044bf79a64f30ff80215a9</w:instrText>
      </w:r>
      <w:r>
        <w:fldChar w:fldCharType="separate"/>
      </w:r>
      <w:r>
        <w:rPr>
          <w:noProof/>
        </w:rPr>
        <w:t>240</w:t>
      </w:r>
      <w:r>
        <w:fldChar w:fldCharType="end"/>
      </w:r>
    </w:p>
    <w:p w:rsidR="005F78FC" w:rsidRDefault="00B42EF3">
      <w:pPr>
        <w:pStyle w:val="indexentry0"/>
      </w:pPr>
      <w:hyperlink w:anchor="section_7c0abcfe3753410185d1d2636a792cdc">
        <w:r>
          <w:rPr>
            <w:rStyle w:val="Hyperlink"/>
          </w:rPr>
          <w:t>ST_View (Document View Values)</w:t>
        </w:r>
      </w:hyperlink>
      <w:r>
        <w:t xml:space="preserve"> </w:t>
      </w:r>
      <w:r>
        <w:fldChar w:fldCharType="begin"/>
      </w:r>
      <w:r>
        <w:instrText>PAGEREF section_7c0abcfe3753410185d1d2636a792cdc</w:instrText>
      </w:r>
      <w:r>
        <w:fldChar w:fldCharType="separate"/>
      </w:r>
      <w:r>
        <w:rPr>
          <w:noProof/>
        </w:rPr>
        <w:t>240</w:t>
      </w:r>
      <w:r>
        <w:fldChar w:fldCharType="end"/>
      </w:r>
    </w:p>
    <w:p w:rsidR="005F78FC" w:rsidRDefault="00B42EF3">
      <w:pPr>
        <w:pStyle w:val="indexentry0"/>
      </w:pPr>
      <w:hyperlink w:anchor="section_3f5152a76417405bbadc827205e1f4f0">
        <w:r>
          <w:rPr>
            <w:rStyle w:val="Hyperlink"/>
          </w:rPr>
          <w:t>ST_ViewType (Li</w:t>
        </w:r>
        <w:r>
          <w:rPr>
            <w:rStyle w:val="Hyperlink"/>
          </w:rPr>
          <w:t>st of View Types)</w:t>
        </w:r>
      </w:hyperlink>
      <w:r>
        <w:t xml:space="preserve"> </w:t>
      </w:r>
      <w:r>
        <w:fldChar w:fldCharType="begin"/>
      </w:r>
      <w:r>
        <w:instrText>PAGEREF section_3f5152a76417405bbadc827205e1f4f0</w:instrText>
      </w:r>
      <w:r>
        <w:fldChar w:fldCharType="separate"/>
      </w:r>
      <w:r>
        <w:rPr>
          <w:noProof/>
        </w:rPr>
        <w:t>498</w:t>
      </w:r>
      <w:r>
        <w:fldChar w:fldCharType="end"/>
      </w:r>
    </w:p>
    <w:p w:rsidR="005F78FC" w:rsidRDefault="00B42EF3">
      <w:pPr>
        <w:pStyle w:val="indexentry0"/>
      </w:pPr>
      <w:hyperlink w:anchor="section_049a4e676f4c4025a8696fe7dec8f7e5">
        <w:r>
          <w:rPr>
            <w:rStyle w:val="Hyperlink"/>
          </w:rPr>
          <w:t>ST_Visibility (Visibility Types)</w:t>
        </w:r>
      </w:hyperlink>
      <w:r>
        <w:t xml:space="preserve"> </w:t>
      </w:r>
      <w:r>
        <w:fldChar w:fldCharType="begin"/>
      </w:r>
      <w:r>
        <w:instrText>PAGEREF section_049a4e676f4c4025a8696fe7dec8f7e5</w:instrText>
      </w:r>
      <w:r>
        <w:fldChar w:fldCharType="separate"/>
      </w:r>
      <w:r>
        <w:rPr>
          <w:noProof/>
        </w:rPr>
        <w:t>463</w:t>
      </w:r>
      <w:r>
        <w:fldChar w:fldCharType="end"/>
      </w:r>
    </w:p>
    <w:p w:rsidR="005F78FC" w:rsidRDefault="00B42EF3">
      <w:pPr>
        <w:pStyle w:val="indexentry0"/>
      </w:pPr>
      <w:hyperlink w:anchor="section_a0b95db945994a7dae014cff87aa21f9">
        <w:r>
          <w:rPr>
            <w:rStyle w:val="Hyperlink"/>
          </w:rPr>
          <w:t>ST_WebSourceType (Web Source Type)</w:t>
        </w:r>
      </w:hyperlink>
      <w:r>
        <w:t xml:space="preserve"> </w:t>
      </w:r>
      <w:r>
        <w:fldChar w:fldCharType="begin"/>
      </w:r>
      <w:r>
        <w:instrText>PAGEREF section_a0b95db945994a7dae014cff87aa21f9</w:instrText>
      </w:r>
      <w:r>
        <w:fldChar w:fldCharType="separate"/>
      </w:r>
      <w:r>
        <w:rPr>
          <w:noProof/>
        </w:rPr>
        <w:t>463</w:t>
      </w:r>
      <w:r>
        <w:fldChar w:fldCharType="end"/>
      </w:r>
    </w:p>
    <w:p w:rsidR="005F78FC" w:rsidRDefault="00B42EF3">
      <w:pPr>
        <w:pStyle w:val="indexentry0"/>
      </w:pPr>
      <w:hyperlink w:anchor="section_d2081988766c4aa1bfe807eeeefd1f4f">
        <w:r>
          <w:rPr>
            <w:rStyle w:val="Hyperlink"/>
          </w:rPr>
          <w:t>ST_Wrap (Text Wrapping around Text Frame Type)</w:t>
        </w:r>
      </w:hyperlink>
      <w:r>
        <w:t xml:space="preserve"> </w:t>
      </w:r>
      <w:r>
        <w:fldChar w:fldCharType="begin"/>
      </w:r>
      <w:r>
        <w:instrText>PAGEREF section_d2081988766c4aa1</w:instrText>
      </w:r>
      <w:r>
        <w:instrText>bfe807eeeefd1f4f</w:instrText>
      </w:r>
      <w:r>
        <w:fldChar w:fldCharType="separate"/>
      </w:r>
      <w:r>
        <w:rPr>
          <w:noProof/>
        </w:rPr>
        <w:t>240</w:t>
      </w:r>
      <w:r>
        <w:fldChar w:fldCharType="end"/>
      </w:r>
    </w:p>
    <w:p w:rsidR="005F78FC" w:rsidRDefault="00B42EF3">
      <w:pPr>
        <w:pStyle w:val="indexentry0"/>
      </w:pPr>
      <w:hyperlink w:anchor="section_d34ae755c53f4a44a363c6dd3ee018a4">
        <w:r>
          <w:rPr>
            <w:rStyle w:val="Hyperlink"/>
          </w:rPr>
          <w:t>ST_Xstring (Escaped String)</w:t>
        </w:r>
      </w:hyperlink>
      <w:r>
        <w:t xml:space="preserve"> </w:t>
      </w:r>
      <w:r>
        <w:fldChar w:fldCharType="begin"/>
      </w:r>
      <w:r>
        <w:instrText>PAGEREF section_d34ae755c53f4a44a363c6dd3ee018a4</w:instrText>
      </w:r>
      <w:r>
        <w:fldChar w:fldCharType="separate"/>
      </w:r>
      <w:r>
        <w:rPr>
          <w:noProof/>
        </w:rPr>
        <w:t>624</w:t>
      </w:r>
      <w:r>
        <w:fldChar w:fldCharType="end"/>
      </w:r>
    </w:p>
    <w:p w:rsidR="005F78FC" w:rsidRDefault="00B42EF3">
      <w:pPr>
        <w:pStyle w:val="indexentry0"/>
      </w:pPr>
      <w:hyperlink w:anchor="section_56cfa653d6124212a1a7b3e67b96edc2">
        <w:r>
          <w:rPr>
            <w:rStyle w:val="Hyperlink"/>
          </w:rPr>
          <w:t>start (Leading Edge Border)</w:t>
        </w:r>
      </w:hyperlink>
      <w:r>
        <w:t xml:space="preserve"> </w:t>
      </w:r>
      <w:r>
        <w:fldChar w:fldCharType="begin"/>
      </w:r>
      <w:r>
        <w:instrText>PAGEREF section_56cfa653d6124212a1a7b3e67b96edc2</w:instrText>
      </w:r>
      <w:r>
        <w:fldChar w:fldCharType="separate"/>
      </w:r>
      <w:r>
        <w:rPr>
          <w:noProof/>
        </w:rPr>
        <w:t>314</w:t>
      </w:r>
      <w:r>
        <w:fldChar w:fldCharType="end"/>
      </w:r>
    </w:p>
    <w:p w:rsidR="005F78FC" w:rsidRDefault="00B42EF3">
      <w:pPr>
        <w:pStyle w:val="indexentry0"/>
      </w:pPr>
      <w:hyperlink w:anchor="section_8f14505554224df0933de67a81c633cd">
        <w:r>
          <w:rPr>
            <w:rStyle w:val="Hyperlink"/>
          </w:rPr>
          <w:t>start (Starting Value)</w:t>
        </w:r>
      </w:hyperlink>
      <w:r>
        <w:t xml:space="preserve"> </w:t>
      </w:r>
      <w:r>
        <w:fldChar w:fldCharType="begin"/>
      </w:r>
      <w:r>
        <w:instrText>PAGEREF section_8f14505554224df0933de67a81c633cd</w:instrText>
      </w:r>
      <w:r>
        <w:fldChar w:fldCharType="separate"/>
      </w:r>
      <w:r>
        <w:rPr>
          <w:noProof/>
        </w:rPr>
        <w:t>129</w:t>
      </w:r>
      <w:r>
        <w:fldChar w:fldCharType="end"/>
      </w:r>
    </w:p>
    <w:p w:rsidR="005F78FC" w:rsidRDefault="00B42EF3">
      <w:pPr>
        <w:pStyle w:val="indexentry0"/>
      </w:pPr>
      <w:hyperlink w:anchor="section_e904b9013e03484fa606b4c9ac291538">
        <w:r>
          <w:rPr>
            <w:rStyle w:val="Hyperlink"/>
          </w:rPr>
          <w:t>start</w:t>
        </w:r>
        <w:r>
          <w:rPr>
            <w:rStyle w:val="Hyperlink"/>
          </w:rPr>
          <w:t xml:space="preserve"> (Table Cell Leading Edge Border)</w:t>
        </w:r>
      </w:hyperlink>
      <w:r>
        <w:t xml:space="preserve"> </w:t>
      </w:r>
      <w:r>
        <w:fldChar w:fldCharType="begin"/>
      </w:r>
      <w:r>
        <w:instrText>PAGEREF section_e904b9013e03484fa606b4c9ac291538</w:instrText>
      </w:r>
      <w:r>
        <w:fldChar w:fldCharType="separate"/>
      </w:r>
      <w:r>
        <w:rPr>
          <w:noProof/>
        </w:rPr>
        <w:t>88</w:t>
      </w:r>
      <w:r>
        <w:fldChar w:fldCharType="end"/>
      </w:r>
    </w:p>
    <w:p w:rsidR="005F78FC" w:rsidRDefault="00B42EF3">
      <w:pPr>
        <w:pStyle w:val="indexentry0"/>
      </w:pPr>
      <w:hyperlink w:anchor="section_7764bed5db624323ad79ac21e1b96f45">
        <w:r>
          <w:rPr>
            <w:rStyle w:val="Hyperlink"/>
          </w:rPr>
          <w:t>start (Table Cell Leading Margin Default)</w:t>
        </w:r>
      </w:hyperlink>
      <w:r>
        <w:t xml:space="preserve"> </w:t>
      </w:r>
      <w:r>
        <w:fldChar w:fldCharType="begin"/>
      </w:r>
      <w:r>
        <w:instrText>PAGEREF section_7764bed5db624323ad79ac21e1b96f45</w:instrText>
      </w:r>
      <w:r>
        <w:fldChar w:fldCharType="separate"/>
      </w:r>
      <w:r>
        <w:rPr>
          <w:noProof/>
        </w:rPr>
        <w:t>88</w:t>
      </w:r>
      <w:r>
        <w:fldChar w:fldCharType="end"/>
      </w:r>
    </w:p>
    <w:p w:rsidR="005F78FC" w:rsidRDefault="00B42EF3">
      <w:pPr>
        <w:pStyle w:val="indexentry0"/>
      </w:pPr>
      <w:hyperlink w:anchor="section_799ae85c14ec4a04a583768fbb6a05aa">
        <w:r>
          <w:rPr>
            <w:rStyle w:val="Hyperlink"/>
          </w:rPr>
          <w:t>start (Table Cell Leading Margin Exception)</w:t>
        </w:r>
      </w:hyperlink>
      <w:r>
        <w:t xml:space="preserve"> </w:t>
      </w:r>
      <w:r>
        <w:fldChar w:fldCharType="begin"/>
      </w:r>
      <w:r>
        <w:instrText>PAGEREF section_799ae85c14ec4a04a583768fbb6a05aa</w:instrText>
      </w:r>
      <w:r>
        <w:fldChar w:fldCharType="separate"/>
      </w:r>
      <w:r>
        <w:rPr>
          <w:noProof/>
        </w:rPr>
        <w:t>89</w:t>
      </w:r>
      <w:r>
        <w:fldChar w:fldCharType="end"/>
      </w:r>
    </w:p>
    <w:p w:rsidR="005F78FC" w:rsidRDefault="00B42EF3">
      <w:pPr>
        <w:pStyle w:val="indexentry0"/>
      </w:pPr>
      <w:hyperlink w:anchor="section_af57788ba32349a883cd0014c2f7c89e">
        <w:r>
          <w:rPr>
            <w:rStyle w:val="Hyperlink"/>
          </w:rPr>
          <w:t>start (Table Leading Edge Border)</w:t>
        </w:r>
      </w:hyperlink>
      <w:r>
        <w:t xml:space="preserve"> </w:t>
      </w:r>
      <w:r>
        <w:fldChar w:fldCharType="begin"/>
      </w:r>
      <w:r>
        <w:instrText>PAGEREF sec</w:instrText>
      </w:r>
      <w:r>
        <w:instrText>tion_af57788ba32349a883cd0014c2f7c89e</w:instrText>
      </w:r>
      <w:r>
        <w:fldChar w:fldCharType="separate"/>
      </w:r>
      <w:r>
        <w:rPr>
          <w:noProof/>
        </w:rPr>
        <w:t>89</w:t>
      </w:r>
      <w:r>
        <w:fldChar w:fldCharType="end"/>
      </w:r>
    </w:p>
    <w:p w:rsidR="005F78FC" w:rsidRDefault="00B42EF3">
      <w:pPr>
        <w:pStyle w:val="indexentry0"/>
      </w:pPr>
      <w:hyperlink w:anchor="section_66c78b0f4a004202973efe6762037678">
        <w:r>
          <w:rPr>
            <w:rStyle w:val="Hyperlink"/>
          </w:rPr>
          <w:t>start (Wrapping Polygon Start)</w:t>
        </w:r>
      </w:hyperlink>
      <w:r>
        <w:t xml:space="preserve"> </w:t>
      </w:r>
      <w:r>
        <w:fldChar w:fldCharType="begin"/>
      </w:r>
      <w:r>
        <w:instrText>PAGEREF section_66c78b0f4a004202973efe6762037678</w:instrText>
      </w:r>
      <w:r>
        <w:fldChar w:fldCharType="separate"/>
      </w:r>
      <w:r>
        <w:rPr>
          <w:noProof/>
        </w:rPr>
        <w:t>528</w:t>
      </w:r>
      <w:r>
        <w:fldChar w:fldCharType="end"/>
      </w:r>
    </w:p>
    <w:p w:rsidR="005F78FC" w:rsidRDefault="00B42EF3">
      <w:pPr>
        <w:pStyle w:val="indexentry0"/>
      </w:pPr>
      <w:hyperlink w:anchor="section_c1f7dc7261034817b86d301051daeb73">
        <w:r>
          <w:rPr>
            <w:rStyle w:val="Hyperlink"/>
          </w:rPr>
          <w:t>Statemen</w:t>
        </w:r>
        <w:r>
          <w:rPr>
            <w:rStyle w:val="Hyperlink"/>
          </w:rPr>
          <w:t>ts</w:t>
        </w:r>
      </w:hyperlink>
      <w:r>
        <w:t xml:space="preserve"> </w:t>
      </w:r>
      <w:r>
        <w:fldChar w:fldCharType="begin"/>
      </w:r>
      <w:r>
        <w:instrText>PAGEREF section_c1f7dc7261034817b86d301051daeb73</w:instrText>
      </w:r>
      <w:r>
        <w:fldChar w:fldCharType="separate"/>
      </w:r>
      <w:r>
        <w:rPr>
          <w:noProof/>
        </w:rPr>
        <w:t>769</w:t>
      </w:r>
      <w:r>
        <w:fldChar w:fldCharType="end"/>
      </w:r>
    </w:p>
    <w:p w:rsidR="005F78FC" w:rsidRDefault="00B42EF3">
      <w:pPr>
        <w:pStyle w:val="indexentry0"/>
      </w:pPr>
      <w:hyperlink w:anchor="section_52010234952f45889bdb6d2e5e6e7868">
        <w:r>
          <w:rPr>
            <w:rStyle w:val="Hyperlink"/>
          </w:rPr>
          <w:t>stCxn (Connection Start)</w:t>
        </w:r>
      </w:hyperlink>
      <w:r>
        <w:t xml:space="preserve"> </w:t>
      </w:r>
      <w:r>
        <w:fldChar w:fldCharType="begin"/>
      </w:r>
      <w:r>
        <w:instrText>PAGEREF section_52010234952f45889bdb6d2e5e6e7868</w:instrText>
      </w:r>
      <w:r>
        <w:fldChar w:fldCharType="separate"/>
      </w:r>
      <w:r>
        <w:rPr>
          <w:noProof/>
        </w:rPr>
        <w:t>501</w:t>
      </w:r>
      <w:r>
        <w:fldChar w:fldCharType="end"/>
      </w:r>
    </w:p>
    <w:p w:rsidR="005F78FC" w:rsidRDefault="00B42EF3">
      <w:pPr>
        <w:pStyle w:val="indexentry0"/>
      </w:pPr>
      <w:hyperlink w:anchor="section_1df6af0af8044a189683ef5e9dcf9624">
        <w:r>
          <w:rPr>
            <w:rStyle w:val="Hyperlink"/>
          </w:rPr>
          <w:t>STDEV</w:t>
        </w:r>
      </w:hyperlink>
      <w:r>
        <w:t xml:space="preserve"> </w:t>
      </w:r>
      <w:r>
        <w:fldChar w:fldCharType="begin"/>
      </w:r>
      <w:r>
        <w:instrText>PAGEREF section_1df6af0af8044a189683ef5e9dcf9624</w:instrText>
      </w:r>
      <w:r>
        <w:fldChar w:fldCharType="separate"/>
      </w:r>
      <w:r>
        <w:rPr>
          <w:noProof/>
        </w:rPr>
        <w:t>450</w:t>
      </w:r>
      <w:r>
        <w:fldChar w:fldCharType="end"/>
      </w:r>
    </w:p>
    <w:p w:rsidR="005F78FC" w:rsidRDefault="00B42EF3">
      <w:pPr>
        <w:pStyle w:val="indexentry0"/>
      </w:pPr>
      <w:hyperlink w:anchor="section_7cd80ce62f494e28a7fc75bab7b14571">
        <w:r>
          <w:rPr>
            <w:rStyle w:val="Hyperlink"/>
          </w:rPr>
          <w:t>STDEVA</w:t>
        </w:r>
      </w:hyperlink>
      <w:r>
        <w:t xml:space="preserve"> </w:t>
      </w:r>
      <w:r>
        <w:fldChar w:fldCharType="begin"/>
      </w:r>
      <w:r>
        <w:instrText>PAGEREF section_7cd80ce62f494e28a7fc75bab7b14571</w:instrText>
      </w:r>
      <w:r>
        <w:fldChar w:fldCharType="separate"/>
      </w:r>
      <w:r>
        <w:rPr>
          <w:noProof/>
        </w:rPr>
        <w:t>450</w:t>
      </w:r>
      <w:r>
        <w:fldChar w:fldCharType="end"/>
      </w:r>
    </w:p>
    <w:p w:rsidR="005F78FC" w:rsidRDefault="00B42EF3">
      <w:pPr>
        <w:pStyle w:val="indexentry0"/>
      </w:pPr>
      <w:hyperlink w:anchor="section_a17fe1342b274cc7a117baf9dc444b52">
        <w:r>
          <w:rPr>
            <w:rStyle w:val="Hyperlink"/>
          </w:rPr>
          <w:t>STDEVP</w:t>
        </w:r>
      </w:hyperlink>
      <w:r>
        <w:t xml:space="preserve"> </w:t>
      </w:r>
      <w:r>
        <w:fldChar w:fldCharType="begin"/>
      </w:r>
      <w:r>
        <w:instrText>PAGEREF section_a17fe1342b274cc7a117baf9dc444b52</w:instrText>
      </w:r>
      <w:r>
        <w:fldChar w:fldCharType="separate"/>
      </w:r>
      <w:r>
        <w:rPr>
          <w:noProof/>
        </w:rPr>
        <w:t>450</w:t>
      </w:r>
      <w:r>
        <w:fldChar w:fldCharType="end"/>
      </w:r>
    </w:p>
    <w:p w:rsidR="005F78FC" w:rsidRDefault="00B42EF3">
      <w:pPr>
        <w:pStyle w:val="indexentry0"/>
      </w:pPr>
      <w:hyperlink w:anchor="section_f3fa4168d6cb4974b749023650d7066e">
        <w:r>
          <w:rPr>
            <w:rStyle w:val="Hyperlink"/>
          </w:rPr>
          <w:t>STDEVPA</w:t>
        </w:r>
      </w:hyperlink>
      <w:r>
        <w:t xml:space="preserve"> </w:t>
      </w:r>
      <w:r>
        <w:fldChar w:fldCharType="begin"/>
      </w:r>
      <w:r>
        <w:instrText>PAGEREF section_f3fa4168d6cb4974b749023650d7066e</w:instrText>
      </w:r>
      <w:r>
        <w:fldChar w:fldCharType="separate"/>
      </w:r>
      <w:r>
        <w:rPr>
          <w:noProof/>
        </w:rPr>
        <w:t>450</w:t>
      </w:r>
      <w:r>
        <w:fldChar w:fldCharType="end"/>
      </w:r>
    </w:p>
    <w:p w:rsidR="005F78FC" w:rsidRDefault="00B42EF3">
      <w:pPr>
        <w:pStyle w:val="indexentry0"/>
      </w:pPr>
      <w:hyperlink w:anchor="section_62ebad67e8234c9ba37c4ef566da94f0">
        <w:r>
          <w:rPr>
            <w:rStyle w:val="Hyperlink"/>
          </w:rPr>
          <w:t>stop (Gradient Stop)</w:t>
        </w:r>
      </w:hyperlink>
      <w:r>
        <w:t xml:space="preserve"> </w:t>
      </w:r>
      <w:r>
        <w:fldChar w:fldCharType="begin"/>
      </w:r>
      <w:r>
        <w:instrText>PAGEREF section_62ebad67e8234c9ba37c4ef566da94f0</w:instrText>
      </w:r>
      <w:r>
        <w:fldChar w:fldCharType="separate"/>
      </w:r>
      <w:r>
        <w:rPr>
          <w:noProof/>
        </w:rPr>
        <w:t>314</w:t>
      </w:r>
      <w:r>
        <w:fldChar w:fldCharType="end"/>
      </w:r>
    </w:p>
    <w:p w:rsidR="005F78FC" w:rsidRDefault="00B42EF3">
      <w:pPr>
        <w:pStyle w:val="indexentry0"/>
      </w:pPr>
      <w:hyperlink w:anchor="section_8b3cd82f24e0482d9cdf4cd8224ce6d4">
        <w:r>
          <w:rPr>
            <w:rStyle w:val="Hyperlink"/>
          </w:rPr>
          <w:t>storage (Binary Storage)</w:t>
        </w:r>
      </w:hyperlink>
      <w:r>
        <w:t xml:space="preserve"> </w:t>
      </w:r>
      <w:r>
        <w:fldChar w:fldCharType="begin"/>
      </w:r>
      <w:r>
        <w:instrText>PAGEREF section_8b3cd82f24e0482d9cdf4cd8224ce6d4</w:instrText>
      </w:r>
      <w:r>
        <w:fldChar w:fldCharType="separate"/>
      </w:r>
      <w:r>
        <w:rPr>
          <w:noProof/>
        </w:rPr>
        <w:t>614</w:t>
      </w:r>
      <w:r>
        <w:fldChar w:fldCharType="end"/>
      </w:r>
    </w:p>
    <w:p w:rsidR="005F78FC" w:rsidRDefault="00B42EF3">
      <w:pPr>
        <w:pStyle w:val="indexentry0"/>
      </w:pPr>
      <w:hyperlink w:anchor="section_765c41d0db7e4335ab387f38a71277cc">
        <w:r>
          <w:rPr>
            <w:rStyle w:val="Hyperlink"/>
          </w:rPr>
          <w:t>stp (Strings in Subtopic)</w:t>
        </w:r>
      </w:hyperlink>
      <w:r>
        <w:t xml:space="preserve"> </w:t>
      </w:r>
      <w:r>
        <w:fldChar w:fldCharType="begin"/>
      </w:r>
      <w:r>
        <w:instrText>PAGEREF section_765c41d0db7e4335ab387f38a71277cc</w:instrText>
      </w:r>
      <w:r>
        <w:fldChar w:fldCharType="separate"/>
      </w:r>
      <w:r>
        <w:rPr>
          <w:noProof/>
        </w:rPr>
        <w:t>385</w:t>
      </w:r>
      <w:r>
        <w:fldChar w:fldCharType="end"/>
      </w:r>
    </w:p>
    <w:p w:rsidR="005F78FC" w:rsidRDefault="00B42EF3">
      <w:pPr>
        <w:pStyle w:val="indexentry0"/>
      </w:pPr>
      <w:hyperlink w:anchor="section_4de15093b8f248faa66b08b9e11c112b">
        <w:r>
          <w:rPr>
            <w:rStyle w:val="Hyperlink"/>
          </w:rPr>
          <w:t>strictFirstAndLastChars (Use Strict Kinsoku Rules for Japanese Text)</w:t>
        </w:r>
      </w:hyperlink>
      <w:r>
        <w:t xml:space="preserve"> </w:t>
      </w:r>
      <w:r>
        <w:fldChar w:fldCharType="begin"/>
      </w:r>
      <w:r>
        <w:instrText>PAGEREF section_4de15093b8f248faa66b08b9e11c</w:instrText>
      </w:r>
      <w:r>
        <w:instrText>112b</w:instrText>
      </w:r>
      <w:r>
        <w:fldChar w:fldCharType="separate"/>
      </w:r>
      <w:r>
        <w:rPr>
          <w:noProof/>
        </w:rPr>
        <w:t>160</w:t>
      </w:r>
      <w:r>
        <w:fldChar w:fldCharType="end"/>
      </w:r>
    </w:p>
    <w:p w:rsidR="005F78FC" w:rsidRDefault="00B42EF3">
      <w:pPr>
        <w:pStyle w:val="indexentry0"/>
      </w:pPr>
      <w:hyperlink w:anchor="section_b4f59c097c74432eb3f2501322e80f0c">
        <w:r>
          <w:rPr>
            <w:rStyle w:val="Hyperlink"/>
          </w:rPr>
          <w:t>stroke (Line Stroke Settings)</w:t>
        </w:r>
      </w:hyperlink>
      <w:r>
        <w:t xml:space="preserve"> </w:t>
      </w:r>
      <w:r>
        <w:fldChar w:fldCharType="begin"/>
      </w:r>
      <w:r>
        <w:instrText>PAGEREF section_b4f59c097c74432eb3f2501322e80f0c</w:instrText>
      </w:r>
      <w:r>
        <w:fldChar w:fldCharType="separate"/>
      </w:r>
      <w:r>
        <w:rPr>
          <w:noProof/>
        </w:rPr>
        <w:t>657</w:t>
      </w:r>
      <w:r>
        <w:fldChar w:fldCharType="end"/>
      </w:r>
    </w:p>
    <w:p w:rsidR="005F78FC" w:rsidRDefault="00B42EF3">
      <w:pPr>
        <w:pStyle w:val="indexentry0"/>
      </w:pPr>
      <w:hyperlink w:anchor="section_089fbdefed494a149509794c95651b17">
        <w:r>
          <w:rPr>
            <w:rStyle w:val="Hyperlink"/>
          </w:rPr>
          <w:t>Structure References</w:t>
        </w:r>
      </w:hyperlink>
      <w:r>
        <w:t xml:space="preserve"> </w:t>
      </w:r>
      <w:r>
        <w:fldChar w:fldCharType="begin"/>
      </w:r>
      <w:r>
        <w:instrText>PAGEREF section_089fbdefed494a149509794c95651b17</w:instrText>
      </w:r>
      <w:r>
        <w:fldChar w:fldCharType="separate"/>
      </w:r>
      <w:r>
        <w:rPr>
          <w:noProof/>
        </w:rPr>
        <w:t>843</w:t>
      </w:r>
      <w:r>
        <w:fldChar w:fldCharType="end"/>
      </w:r>
    </w:p>
    <w:p w:rsidR="005F78FC" w:rsidRDefault="00B42EF3">
      <w:pPr>
        <w:pStyle w:val="indexentry0"/>
      </w:pPr>
      <w:hyperlink w:anchor="section_071c5a7c0c6d406f91a432e9e4e1ea06">
        <w:r>
          <w:rPr>
            <w:rStyle w:val="Hyperlink"/>
          </w:rPr>
          <w:t>sty (style)</w:t>
        </w:r>
      </w:hyperlink>
      <w:r>
        <w:t xml:space="preserve"> </w:t>
      </w:r>
      <w:r>
        <w:fldChar w:fldCharType="begin"/>
      </w:r>
      <w:r>
        <w:instrText>PAGEREF section_071c5a7c0c6d406f91a432e9e4e1ea06</w:instrText>
      </w:r>
      <w:r>
        <w:fldChar w:fldCharType="separate"/>
      </w:r>
      <w:r>
        <w:rPr>
          <w:noProof/>
        </w:rPr>
        <w:t>606</w:t>
      </w:r>
      <w:r>
        <w:fldChar w:fldCharType="end"/>
      </w:r>
    </w:p>
    <w:p w:rsidR="005F78FC" w:rsidRDefault="00B42EF3">
      <w:pPr>
        <w:pStyle w:val="indexentry0"/>
      </w:pPr>
      <w:r>
        <w:t>style (Shape Style) (</w:t>
      </w:r>
      <w:hyperlink w:anchor="section_71e8a4dd1654485ca87d0bf4bcdf01c0">
        <w:r>
          <w:rPr>
            <w:rStyle w:val="Hyperlink"/>
          </w:rPr>
          <w:t>section 2.1.1216</w:t>
        </w:r>
      </w:hyperlink>
      <w:r>
        <w:t xml:space="preserve"> </w:t>
      </w:r>
      <w:r>
        <w:fldChar w:fldCharType="begin"/>
      </w:r>
      <w:r>
        <w:instrText>PAGEREF section_71e8a4dd1654485ca87d0bf4bcdf01c0</w:instrText>
      </w:r>
      <w:r>
        <w:fldChar w:fldCharType="separate"/>
      </w:r>
      <w:r>
        <w:rPr>
          <w:noProof/>
        </w:rPr>
        <w:t>501</w:t>
      </w:r>
      <w:r>
        <w:fldChar w:fldCharType="end"/>
      </w:r>
      <w:r>
        <w:t xml:space="preserve">, </w:t>
      </w:r>
      <w:hyperlink w:anchor="section_b4ca93ee062340bc95b3e67d306216ba">
        <w:r>
          <w:rPr>
            <w:rStyle w:val="Hyperlink"/>
          </w:rPr>
          <w:t>section 2.1.1369</w:t>
        </w:r>
      </w:hyperlink>
      <w:r>
        <w:t xml:space="preserve"> </w:t>
      </w:r>
      <w:r>
        <w:fldChar w:fldCharType="begin"/>
      </w:r>
      <w:r>
        <w:instrText>PAGEREF section_b4ca93ee062340bc95b3e67d306216ba</w:instrText>
      </w:r>
      <w:r>
        <w:fldChar w:fldCharType="separate"/>
      </w:r>
      <w:r>
        <w:rPr>
          <w:noProof/>
        </w:rPr>
        <w:t>530</w:t>
      </w:r>
      <w:r>
        <w:fldChar w:fldCharType="end"/>
      </w:r>
      <w:r>
        <w:t xml:space="preserve">, </w:t>
      </w:r>
      <w:hyperlink w:anchor="section_fc0a85cab9764ffd9cd1c80bc90dcf34">
        <w:r>
          <w:rPr>
            <w:rStyle w:val="Hyperlink"/>
          </w:rPr>
          <w:t>section 2.1.1606</w:t>
        </w:r>
      </w:hyperlink>
      <w:r>
        <w:t xml:space="preserve"> </w:t>
      </w:r>
      <w:r>
        <w:fldChar w:fldCharType="begin"/>
      </w:r>
      <w:r>
        <w:instrText>PAGEREF section_fc0a85cab9764ffd9cd1c80bc90dcf34</w:instrText>
      </w:r>
      <w:r>
        <w:fldChar w:fldCharType="separate"/>
      </w:r>
      <w:r>
        <w:rPr>
          <w:noProof/>
        </w:rPr>
        <w:t>585</w:t>
      </w:r>
      <w:r>
        <w:fldChar w:fldCharType="end"/>
      </w:r>
      <w:r>
        <w:t>)</w:t>
      </w:r>
    </w:p>
    <w:p w:rsidR="005F78FC" w:rsidRDefault="00B42EF3">
      <w:pPr>
        <w:pStyle w:val="indexentry0"/>
      </w:pPr>
      <w:hyperlink w:anchor="section_bb6afca988a74b34911f7110e8062bb1">
        <w:r>
          <w:rPr>
            <w:rStyle w:val="Hyperlink"/>
          </w:rPr>
          <w:t>style (Style Definition)</w:t>
        </w:r>
      </w:hyperlink>
      <w:r>
        <w:t xml:space="preserve"> </w:t>
      </w:r>
      <w:r>
        <w:fldChar w:fldCharType="begin"/>
      </w:r>
      <w:r>
        <w:instrText>PAGEREF section_bb6afca988a74b34911</w:instrText>
      </w:r>
      <w:r>
        <w:instrText>f7110e8062bb1</w:instrText>
      </w:r>
      <w:r>
        <w:fldChar w:fldCharType="separate"/>
      </w:r>
      <w:r>
        <w:rPr>
          <w:noProof/>
        </w:rPr>
        <w:t>119</w:t>
      </w:r>
      <w:r>
        <w:fldChar w:fldCharType="end"/>
      </w:r>
    </w:p>
    <w:p w:rsidR="005F78FC" w:rsidRDefault="00B42EF3">
      <w:pPr>
        <w:pStyle w:val="indexentry0"/>
      </w:pPr>
      <w:hyperlink w:anchor="section_f20aa1bd46a84833bf1cee47082e12ba">
        <w:r>
          <w:rPr>
            <w:rStyle w:val="Hyperlink"/>
          </w:rPr>
          <w:t>Style Hierarchy</w:t>
        </w:r>
      </w:hyperlink>
      <w:r>
        <w:t xml:space="preserve"> </w:t>
      </w:r>
      <w:r>
        <w:fldChar w:fldCharType="begin"/>
      </w:r>
      <w:r>
        <w:instrText>PAGEREF section_f20aa1bd46a84833bf1cee47082e12ba</w:instrText>
      </w:r>
      <w:r>
        <w:fldChar w:fldCharType="separate"/>
      </w:r>
      <w:r>
        <w:rPr>
          <w:noProof/>
        </w:rPr>
        <w:t>108</w:t>
      </w:r>
      <w:r>
        <w:fldChar w:fldCharType="end"/>
      </w:r>
    </w:p>
    <w:p w:rsidR="005F78FC" w:rsidRDefault="00B42EF3">
      <w:pPr>
        <w:pStyle w:val="indexentry0"/>
      </w:pPr>
      <w:hyperlink w:anchor="section_70d90b35eedb4800b270814e892de6fe">
        <w:r>
          <w:rPr>
            <w:rStyle w:val="Hyperlink"/>
          </w:rPr>
          <w:t>Style Inheritance</w:t>
        </w:r>
      </w:hyperlink>
      <w:r>
        <w:t xml:space="preserve"> </w:t>
      </w:r>
      <w:r>
        <w:fldChar w:fldCharType="begin"/>
      </w:r>
      <w:r>
        <w:instrText>PAGEREF section_70d90b35eed</w:instrText>
      </w:r>
      <w:r>
        <w:instrText>b4800b270814e892de6fe</w:instrText>
      </w:r>
      <w:r>
        <w:fldChar w:fldCharType="separate"/>
      </w:r>
      <w:r>
        <w:rPr>
          <w:noProof/>
        </w:rPr>
        <w:t>108</w:t>
      </w:r>
      <w:r>
        <w:fldChar w:fldCharType="end"/>
      </w:r>
    </w:p>
    <w:p w:rsidR="005F78FC" w:rsidRDefault="00B42EF3">
      <w:pPr>
        <w:pStyle w:val="indexentry0"/>
      </w:pPr>
      <w:hyperlink w:anchor="section_4bf644d5b93347c58bbc110dc7e55741">
        <w:r>
          <w:rPr>
            <w:rStyle w:val="Hyperlink"/>
          </w:rPr>
          <w:t>styleData (Style Data)</w:t>
        </w:r>
      </w:hyperlink>
      <w:r>
        <w:t xml:space="preserve"> </w:t>
      </w:r>
      <w:r>
        <w:fldChar w:fldCharType="begin"/>
      </w:r>
      <w:r>
        <w:instrText>PAGEREF section_4bf644d5b93347c58bbc110dc7e55741</w:instrText>
      </w:r>
      <w:r>
        <w:fldChar w:fldCharType="separate"/>
      </w:r>
      <w:r>
        <w:rPr>
          <w:noProof/>
        </w:rPr>
        <w:t>587</w:t>
      </w:r>
      <w:r>
        <w:fldChar w:fldCharType="end"/>
      </w:r>
    </w:p>
    <w:p w:rsidR="005F78FC" w:rsidRDefault="00B42EF3">
      <w:pPr>
        <w:pStyle w:val="indexentry0"/>
      </w:pPr>
      <w:hyperlink w:anchor="section_f99f2a8f3da54c338c11cd0678e0af0d">
        <w:r>
          <w:rPr>
            <w:rStyle w:val="Hyperlink"/>
          </w:rPr>
          <w:t>styleLbl (Style Label)</w:t>
        </w:r>
      </w:hyperlink>
      <w:r>
        <w:t xml:space="preserve"> </w:t>
      </w:r>
      <w:r>
        <w:fldChar w:fldCharType="begin"/>
      </w:r>
      <w:r>
        <w:instrText>PAGEREF</w:instrText>
      </w:r>
      <w:r>
        <w:instrText xml:space="preserve"> section_f99f2a8f3da54c338c11cd0678e0af0d</w:instrText>
      </w:r>
      <w:r>
        <w:fldChar w:fldCharType="separate"/>
      </w:r>
      <w:r>
        <w:rPr>
          <w:noProof/>
        </w:rPr>
        <w:t>589</w:t>
      </w:r>
      <w:r>
        <w:fldChar w:fldCharType="end"/>
      </w:r>
    </w:p>
    <w:p w:rsidR="005F78FC" w:rsidRDefault="00B42EF3">
      <w:pPr>
        <w:pStyle w:val="indexentry0"/>
      </w:pPr>
      <w:hyperlink w:anchor="section_b1483740789145e091dbe5672379847a">
        <w:r>
          <w:rPr>
            <w:rStyle w:val="Hyperlink"/>
          </w:rPr>
          <w:t>styleLink (Numbering Style Definition)</w:t>
        </w:r>
      </w:hyperlink>
      <w:r>
        <w:t xml:space="preserve"> </w:t>
      </w:r>
      <w:r>
        <w:fldChar w:fldCharType="begin"/>
      </w:r>
      <w:r>
        <w:instrText>PAGEREF section_b1483740789145e091dbe5672379847a</w:instrText>
      </w:r>
      <w:r>
        <w:fldChar w:fldCharType="separate"/>
      </w:r>
      <w:r>
        <w:rPr>
          <w:noProof/>
        </w:rPr>
        <w:t>129</w:t>
      </w:r>
      <w:r>
        <w:fldChar w:fldCharType="end"/>
      </w:r>
    </w:p>
    <w:p w:rsidR="005F78FC" w:rsidRDefault="00B42EF3">
      <w:pPr>
        <w:pStyle w:val="indexentry0"/>
      </w:pPr>
      <w:hyperlink w:anchor="section_6b4f3e2f281a412ca486c41b5f773b09">
        <w:r>
          <w:rPr>
            <w:rStyle w:val="Hyperlink"/>
          </w:rPr>
          <w:t>stylePaneFormatFilter (Suggested Filtering for List of Document Styles)</w:t>
        </w:r>
      </w:hyperlink>
      <w:r>
        <w:t xml:space="preserve"> </w:t>
      </w:r>
      <w:r>
        <w:fldChar w:fldCharType="begin"/>
      </w:r>
      <w:r>
        <w:instrText>PAGEREF section_6b4f3e2f281a412ca486c41b5f773b09</w:instrText>
      </w:r>
      <w:r>
        <w:fldChar w:fldCharType="separate"/>
      </w:r>
      <w:r>
        <w:rPr>
          <w:noProof/>
        </w:rPr>
        <w:t>160</w:t>
      </w:r>
      <w:r>
        <w:fldChar w:fldCharType="end"/>
      </w:r>
    </w:p>
    <w:p w:rsidR="005F78FC" w:rsidRDefault="00B42EF3">
      <w:pPr>
        <w:pStyle w:val="indexentry0"/>
      </w:pPr>
      <w:hyperlink w:anchor="section_0f5599c33b124970931d659e489369f4">
        <w:r>
          <w:rPr>
            <w:rStyle w:val="Hyperlink"/>
          </w:rPr>
          <w:t>STYLEREF</w:t>
        </w:r>
      </w:hyperlink>
      <w:r>
        <w:t xml:space="preserve"> </w:t>
      </w:r>
      <w:r>
        <w:fldChar w:fldCharType="begin"/>
      </w:r>
      <w:r>
        <w:instrText>PAGEREF section_0f5599c33b124970931d659e489369f4</w:instrText>
      </w:r>
      <w:r>
        <w:fldChar w:fldCharType="separate"/>
      </w:r>
      <w:r>
        <w:rPr>
          <w:noProof/>
        </w:rPr>
        <w:t>225</w:t>
      </w:r>
      <w:r>
        <w:fldChar w:fldCharType="end"/>
      </w:r>
    </w:p>
    <w:p w:rsidR="005F78FC" w:rsidRDefault="00B42EF3">
      <w:pPr>
        <w:pStyle w:val="indexentry0"/>
      </w:pPr>
      <w:hyperlink w:anchor="section_88c100b9aa6a4adea91c045eac37812e">
        <w:r>
          <w:rPr>
            <w:rStyle w:val="Hyperlink"/>
          </w:rPr>
          <w:t>Styles Part</w:t>
        </w:r>
      </w:hyperlink>
      <w:r>
        <w:t xml:space="preserve"> </w:t>
      </w:r>
      <w:r>
        <w:fldChar w:fldCharType="begin"/>
      </w:r>
      <w:r>
        <w:instrText>PAGEREF section_88c100b9aa6a4adea91c045eac37812e</w:instrText>
      </w:r>
      <w:r>
        <w:fldChar w:fldCharType="separate"/>
      </w:r>
      <w:r>
        <w:rPr>
          <w:noProof/>
        </w:rPr>
        <w:t>50</w:t>
      </w:r>
      <w:r>
        <w:fldChar w:fldCharType="end"/>
      </w:r>
    </w:p>
    <w:p w:rsidR="005F78FC" w:rsidRDefault="00B42EF3">
      <w:pPr>
        <w:pStyle w:val="indexentry0"/>
      </w:pPr>
      <w:hyperlink w:anchor="section_fffd477ceaf2417db86ef964a5f4d419">
        <w:r>
          <w:rPr>
            <w:rStyle w:val="Hyperlink"/>
          </w:rPr>
          <w:t>styleSheet (Style Sheet)</w:t>
        </w:r>
      </w:hyperlink>
      <w:r>
        <w:t xml:space="preserve"> </w:t>
      </w:r>
      <w:r>
        <w:fldChar w:fldCharType="begin"/>
      </w:r>
      <w:r>
        <w:instrText>PAGEREF section_fffd477ceaf2417db86ef964a5f4d419</w:instrText>
      </w:r>
      <w:r>
        <w:fldChar w:fldCharType="separate"/>
      </w:r>
      <w:r>
        <w:rPr>
          <w:noProof/>
        </w:rPr>
        <w:t>314</w:t>
      </w:r>
      <w:r>
        <w:fldChar w:fldCharType="end"/>
      </w:r>
    </w:p>
    <w:p w:rsidR="005F78FC" w:rsidRDefault="00B42EF3">
      <w:pPr>
        <w:pStyle w:val="indexentry0"/>
      </w:pPr>
      <w:hyperlink w:anchor="section_ac87e4edda764356b9c98d7f88e43ec4">
        <w:r>
          <w:rPr>
            <w:rStyle w:val="Hyperlink"/>
          </w:rPr>
          <w:t>sub (Subscript (Pre-Sub-Superscript))</w:t>
        </w:r>
      </w:hyperlink>
      <w:r>
        <w:t xml:space="preserve"> </w:t>
      </w:r>
      <w:r>
        <w:fldChar w:fldCharType="begin"/>
      </w:r>
      <w:r>
        <w:instrText>PAGEREF section_ac87e4edda764356b9c98d7f88e43ec4</w:instrText>
      </w:r>
      <w:r>
        <w:fldChar w:fldCharType="separate"/>
      </w:r>
      <w:r>
        <w:rPr>
          <w:noProof/>
        </w:rPr>
        <w:t>606</w:t>
      </w:r>
      <w:r>
        <w:fldChar w:fldCharType="end"/>
      </w:r>
    </w:p>
    <w:p w:rsidR="005F78FC" w:rsidRDefault="00B42EF3">
      <w:pPr>
        <w:pStyle w:val="indexentry0"/>
      </w:pPr>
      <w:hyperlink w:anchor="section_4a1be0d6d0b14f8ea9a8acc497684599">
        <w:r>
          <w:rPr>
            <w:rStyle w:val="Hyperlink"/>
          </w:rPr>
          <w:t>subDoc (Anchor for Subdocument Location)</w:t>
        </w:r>
      </w:hyperlink>
      <w:r>
        <w:t xml:space="preserve"> </w:t>
      </w:r>
      <w:r>
        <w:fldChar w:fldCharType="begin"/>
      </w:r>
      <w:r>
        <w:instrText>PAGEREF section_4a1be0d6d0b14f8ea9a8acc497684599</w:instrText>
      </w:r>
      <w:r>
        <w:fldChar w:fldCharType="separate"/>
      </w:r>
      <w:r>
        <w:rPr>
          <w:noProof/>
        </w:rPr>
        <w:t>230</w:t>
      </w:r>
      <w:r>
        <w:fldChar w:fldCharType="end"/>
      </w:r>
    </w:p>
    <w:p w:rsidR="005F78FC" w:rsidRDefault="00B42EF3">
      <w:pPr>
        <w:pStyle w:val="indexentry0"/>
      </w:pPr>
      <w:hyperlink w:anchor="section_1b3c2414040a45a2a024173e22ebf533">
        <w:r>
          <w:rPr>
            <w:rStyle w:val="Hyperlink"/>
          </w:rPr>
          <w:t>subHide (Hide Subscript (n-ary))</w:t>
        </w:r>
      </w:hyperlink>
      <w:r>
        <w:t xml:space="preserve"> </w:t>
      </w:r>
      <w:r>
        <w:fldChar w:fldCharType="begin"/>
      </w:r>
      <w:r>
        <w:instrText>PAGEREF section_1b3c2414040a45a2a024173e22ebf533</w:instrText>
      </w:r>
      <w:r>
        <w:fldChar w:fldCharType="separate"/>
      </w:r>
      <w:r>
        <w:rPr>
          <w:noProof/>
        </w:rPr>
        <w:t>606</w:t>
      </w:r>
      <w:r>
        <w:fldChar w:fldCharType="end"/>
      </w:r>
    </w:p>
    <w:p w:rsidR="005F78FC" w:rsidRDefault="00B42EF3">
      <w:pPr>
        <w:pStyle w:val="indexentry0"/>
      </w:pPr>
      <w:hyperlink w:anchor="section_861ec14e4e1d4e82b68335a6bc07903d">
        <w:r>
          <w:rPr>
            <w:rStyle w:val="Hyperlink"/>
          </w:rPr>
          <w:t>SUBJECT</w:t>
        </w:r>
      </w:hyperlink>
      <w:r>
        <w:t xml:space="preserve"> </w:t>
      </w:r>
      <w:r>
        <w:fldChar w:fldCharType="begin"/>
      </w:r>
      <w:r>
        <w:instrText>PAGEREF section_861ec14e4e1d4e82b68335a6bc07903d</w:instrText>
      </w:r>
      <w:r>
        <w:fldChar w:fldCharType="separate"/>
      </w:r>
      <w:r>
        <w:rPr>
          <w:noProof/>
        </w:rPr>
        <w:t>226</w:t>
      </w:r>
      <w:r>
        <w:fldChar w:fldCharType="end"/>
      </w:r>
    </w:p>
    <w:p w:rsidR="005F78FC" w:rsidRDefault="00B42EF3">
      <w:pPr>
        <w:pStyle w:val="indexentry0"/>
      </w:pPr>
      <w:hyperlink w:anchor="section_d83ab468be034be6a1063de1614ea5df">
        <w:r>
          <w:rPr>
            <w:rStyle w:val="Hyperlink"/>
          </w:rPr>
          <w:t>subSp (Subshape)</w:t>
        </w:r>
      </w:hyperlink>
      <w:r>
        <w:t xml:space="preserve"> </w:t>
      </w:r>
      <w:r>
        <w:fldChar w:fldCharType="begin"/>
      </w:r>
      <w:r>
        <w:instrText>PAGEREF section_d83ab468be034be6a1063de1614ea5df</w:instrText>
      </w:r>
      <w:r>
        <w:fldChar w:fldCharType="separate"/>
      </w:r>
      <w:r>
        <w:rPr>
          <w:noProof/>
        </w:rPr>
        <w:t>489</w:t>
      </w:r>
      <w:r>
        <w:fldChar w:fldCharType="end"/>
      </w:r>
    </w:p>
    <w:p w:rsidR="005F78FC" w:rsidRDefault="00B42EF3">
      <w:pPr>
        <w:pStyle w:val="indexentry0"/>
      </w:pPr>
      <w:hyperlink w:anchor="section_f469d851d5c043e99f7fded5c6d64a6f">
        <w:r>
          <w:rPr>
            <w:rStyle w:val="Hyperlink"/>
          </w:rPr>
          <w:t>SUBSTITUTE</w:t>
        </w:r>
      </w:hyperlink>
      <w:r>
        <w:t xml:space="preserve"> </w:t>
      </w:r>
      <w:r>
        <w:fldChar w:fldCharType="begin"/>
      </w:r>
      <w:r>
        <w:instrText>PAGEREF section_f469d851d5c043e99f7fded5c6d64a6f</w:instrText>
      </w:r>
      <w:r>
        <w:fldChar w:fldCharType="separate"/>
      </w:r>
      <w:r>
        <w:rPr>
          <w:noProof/>
        </w:rPr>
        <w:t>451</w:t>
      </w:r>
      <w:r>
        <w:fldChar w:fldCharType="end"/>
      </w:r>
    </w:p>
    <w:p w:rsidR="005F78FC" w:rsidRDefault="00B42EF3">
      <w:pPr>
        <w:pStyle w:val="indexentry0"/>
      </w:pPr>
      <w:hyperlink w:anchor="section_f11e90f5055843bd895071da5f115bb5">
        <w:r>
          <w:rPr>
            <w:rStyle w:val="Hyperlink"/>
          </w:rPr>
          <w:t>subTnLst (Sub-TimeNodes List)</w:t>
        </w:r>
      </w:hyperlink>
      <w:r>
        <w:t xml:space="preserve"> </w:t>
      </w:r>
      <w:r>
        <w:fldChar w:fldCharType="begin"/>
      </w:r>
      <w:r>
        <w:instrText>PAGEREF section_f11e90f5055843bd895071da5</w:instrText>
      </w:r>
      <w:r>
        <w:instrText>f115bb5</w:instrText>
      </w:r>
      <w:r>
        <w:fldChar w:fldCharType="separate"/>
      </w:r>
      <w:r>
        <w:rPr>
          <w:noProof/>
        </w:rPr>
        <w:t>489</w:t>
      </w:r>
      <w:r>
        <w:fldChar w:fldCharType="end"/>
      </w:r>
    </w:p>
    <w:p w:rsidR="005F78FC" w:rsidRDefault="00B42EF3">
      <w:pPr>
        <w:pStyle w:val="indexentry0"/>
      </w:pPr>
      <w:hyperlink w:anchor="section_7ae08e5fee2843e8bdf3e9e358a7c4fe">
        <w:r>
          <w:rPr>
            <w:rStyle w:val="Hyperlink"/>
          </w:rPr>
          <w:t>SUM</w:t>
        </w:r>
      </w:hyperlink>
      <w:r>
        <w:t xml:space="preserve"> </w:t>
      </w:r>
      <w:r>
        <w:fldChar w:fldCharType="begin"/>
      </w:r>
      <w:r>
        <w:instrText>PAGEREF section_7ae08e5fee2843e8bdf3e9e358a7c4fe</w:instrText>
      </w:r>
      <w:r>
        <w:fldChar w:fldCharType="separate"/>
      </w:r>
      <w:r>
        <w:rPr>
          <w:noProof/>
        </w:rPr>
        <w:t>451</w:t>
      </w:r>
      <w:r>
        <w:fldChar w:fldCharType="end"/>
      </w:r>
    </w:p>
    <w:p w:rsidR="005F78FC" w:rsidRDefault="00B42EF3">
      <w:pPr>
        <w:pStyle w:val="indexentry0"/>
      </w:pPr>
      <w:hyperlink w:anchor="section_d669f66b65ed441e8c198845b572cd13">
        <w:r>
          <w:rPr>
            <w:rStyle w:val="Hyperlink"/>
          </w:rPr>
          <w:t>SUMIFS</w:t>
        </w:r>
      </w:hyperlink>
      <w:r>
        <w:t xml:space="preserve"> </w:t>
      </w:r>
      <w:r>
        <w:fldChar w:fldCharType="begin"/>
      </w:r>
      <w:r>
        <w:instrText>PAGEREF section_d669f66b65ed441e8c198845b572cd13</w:instrText>
      </w:r>
      <w:r>
        <w:fldChar w:fldCharType="separate"/>
      </w:r>
      <w:r>
        <w:rPr>
          <w:noProof/>
        </w:rPr>
        <w:t>451</w:t>
      </w:r>
      <w:r>
        <w:fldChar w:fldCharType="end"/>
      </w:r>
    </w:p>
    <w:p w:rsidR="005F78FC" w:rsidRDefault="00B42EF3">
      <w:pPr>
        <w:pStyle w:val="indexentry0"/>
      </w:pPr>
      <w:hyperlink w:anchor="section_31d623a4868e43a3abca577849f3ca54">
        <w:r>
          <w:rPr>
            <w:rStyle w:val="Hyperlink"/>
          </w:rPr>
          <w:t>summaryLength (Percentage of Document to Use When Generating Summary)</w:t>
        </w:r>
      </w:hyperlink>
      <w:r>
        <w:t xml:space="preserve"> </w:t>
      </w:r>
      <w:r>
        <w:fldChar w:fldCharType="begin"/>
      </w:r>
      <w:r>
        <w:instrText>PAGEREF section_31d623a4868e43a3abca577849f3ca54</w:instrText>
      </w:r>
      <w:r>
        <w:fldChar w:fldCharType="separate"/>
      </w:r>
      <w:r>
        <w:rPr>
          <w:noProof/>
        </w:rPr>
        <w:t>161</w:t>
      </w:r>
      <w:r>
        <w:fldChar w:fldCharType="end"/>
      </w:r>
    </w:p>
    <w:p w:rsidR="005F78FC" w:rsidRDefault="00B42EF3">
      <w:pPr>
        <w:pStyle w:val="indexentry0"/>
      </w:pPr>
      <w:hyperlink w:anchor="section_d5d00d6f26194707a91cbd48fb7109d8">
        <w:r>
          <w:rPr>
            <w:rStyle w:val="Hyperlink"/>
          </w:rPr>
          <w:t>SUMPRODUCT</w:t>
        </w:r>
      </w:hyperlink>
      <w:r>
        <w:t xml:space="preserve"> </w:t>
      </w:r>
      <w:r>
        <w:fldChar w:fldCharType="begin"/>
      </w:r>
      <w:r>
        <w:instrText>PAGEREF section_d5d00d6f26194707a91cbd48fb7109d8</w:instrText>
      </w:r>
      <w:r>
        <w:fldChar w:fldCharType="separate"/>
      </w:r>
      <w:r>
        <w:rPr>
          <w:noProof/>
        </w:rPr>
        <w:t>451</w:t>
      </w:r>
      <w:r>
        <w:fldChar w:fldCharType="end"/>
      </w:r>
    </w:p>
    <w:p w:rsidR="005F78FC" w:rsidRDefault="00B42EF3">
      <w:pPr>
        <w:pStyle w:val="indexentry0"/>
      </w:pPr>
      <w:hyperlink w:anchor="section_4353b2ada7bb412bbad44c1749f76897">
        <w:r>
          <w:rPr>
            <w:rStyle w:val="Hyperlink"/>
          </w:rPr>
          <w:t>SUMSQ</w:t>
        </w:r>
      </w:hyperlink>
      <w:r>
        <w:t xml:space="preserve"> </w:t>
      </w:r>
      <w:r>
        <w:fldChar w:fldCharType="begin"/>
      </w:r>
      <w:r>
        <w:instrText>PAGEREF section_4353b2ada7bb412bbad44c1749f76897</w:instrText>
      </w:r>
      <w:r>
        <w:fldChar w:fldCharType="separate"/>
      </w:r>
      <w:r>
        <w:rPr>
          <w:noProof/>
        </w:rPr>
        <w:t>451</w:t>
      </w:r>
      <w:r>
        <w:fldChar w:fldCharType="end"/>
      </w:r>
    </w:p>
    <w:p w:rsidR="005F78FC" w:rsidRDefault="00B42EF3">
      <w:pPr>
        <w:pStyle w:val="indexentry0"/>
      </w:pPr>
      <w:hyperlink w:anchor="section_77f82ab9b91043f881b1e5bd352a2ed8">
        <w:r>
          <w:rPr>
            <w:rStyle w:val="Hyperlink"/>
          </w:rPr>
          <w:t>sup (Superscript (S</w:t>
        </w:r>
        <w:r>
          <w:rPr>
            <w:rStyle w:val="Hyperlink"/>
          </w:rPr>
          <w:t>uperscript object))</w:t>
        </w:r>
      </w:hyperlink>
      <w:r>
        <w:t xml:space="preserve"> </w:t>
      </w:r>
      <w:r>
        <w:fldChar w:fldCharType="begin"/>
      </w:r>
      <w:r>
        <w:instrText>PAGEREF section_77f82ab9b91043f881b1e5bd352a2ed8</w:instrText>
      </w:r>
      <w:r>
        <w:fldChar w:fldCharType="separate"/>
      </w:r>
      <w:r>
        <w:rPr>
          <w:noProof/>
        </w:rPr>
        <w:t>607</w:t>
      </w:r>
      <w:r>
        <w:fldChar w:fldCharType="end"/>
      </w:r>
    </w:p>
    <w:p w:rsidR="005F78FC" w:rsidRDefault="00B42EF3">
      <w:pPr>
        <w:pStyle w:val="indexentry0"/>
      </w:pPr>
      <w:hyperlink w:anchor="section_507a42d32be5409c917c824b3fa31ebb">
        <w:r>
          <w:rPr>
            <w:rStyle w:val="Hyperlink"/>
          </w:rPr>
          <w:t>supHide (Hide Superscript (n-ary))</w:t>
        </w:r>
      </w:hyperlink>
      <w:r>
        <w:t xml:space="preserve"> </w:t>
      </w:r>
      <w:r>
        <w:fldChar w:fldCharType="begin"/>
      </w:r>
      <w:r>
        <w:instrText>PAGEREF section_507a42d32be5409c917c824b3fa31ebb</w:instrText>
      </w:r>
      <w:r>
        <w:fldChar w:fldCharType="separate"/>
      </w:r>
      <w:r>
        <w:rPr>
          <w:noProof/>
        </w:rPr>
        <w:t>607</w:t>
      </w:r>
      <w:r>
        <w:fldChar w:fldCharType="end"/>
      </w:r>
    </w:p>
    <w:p w:rsidR="005F78FC" w:rsidRDefault="00B42EF3">
      <w:pPr>
        <w:pStyle w:val="indexentry0"/>
      </w:pPr>
      <w:hyperlink w:anchor="section_9732db6e4647475fa4193f53903a7d46">
        <w:r>
          <w:rPr>
            <w:rStyle w:val="Hyperlink"/>
          </w:rPr>
          <w:t>surface3DChart (3D Surface Charts)</w:t>
        </w:r>
      </w:hyperlink>
      <w:r>
        <w:t xml:space="preserve"> </w:t>
      </w:r>
      <w:r>
        <w:fldChar w:fldCharType="begin"/>
      </w:r>
      <w:r>
        <w:instrText>PAGEREF section_9732db6e4647475fa4193f53903a7d46</w:instrText>
      </w:r>
      <w:r>
        <w:fldChar w:fldCharType="separate"/>
      </w:r>
      <w:r>
        <w:rPr>
          <w:noProof/>
        </w:rPr>
        <w:t>574</w:t>
      </w:r>
      <w:r>
        <w:fldChar w:fldCharType="end"/>
      </w:r>
    </w:p>
    <w:p w:rsidR="005F78FC" w:rsidRDefault="00B42EF3">
      <w:pPr>
        <w:pStyle w:val="indexentry0"/>
      </w:pPr>
      <w:hyperlink w:anchor="section_b275eedba86d48a3ae21c44ac20c7dcc">
        <w:r>
          <w:rPr>
            <w:rStyle w:val="Hyperlink"/>
          </w:rPr>
          <w:t>surfaceChart (Surface Charts)</w:t>
        </w:r>
      </w:hyperlink>
      <w:r>
        <w:t xml:space="preserve"> </w:t>
      </w:r>
      <w:r>
        <w:fldChar w:fldCharType="begin"/>
      </w:r>
      <w:r>
        <w:instrText>PAGEREF section_b275eedba86d48a3ae21c44ac20c7</w:instrText>
      </w:r>
      <w:r>
        <w:instrText>dcc</w:instrText>
      </w:r>
      <w:r>
        <w:fldChar w:fldCharType="separate"/>
      </w:r>
      <w:r>
        <w:rPr>
          <w:noProof/>
        </w:rPr>
        <w:t>574</w:t>
      </w:r>
      <w:r>
        <w:fldChar w:fldCharType="end"/>
      </w:r>
    </w:p>
    <w:p w:rsidR="005F78FC" w:rsidRDefault="00B42EF3">
      <w:pPr>
        <w:pStyle w:val="indexentry0"/>
      </w:pPr>
      <w:hyperlink w:anchor="section_6180ac79cc0e411d8ab9cdf689f36f75">
        <w:r>
          <w:rPr>
            <w:rStyle w:val="Hyperlink"/>
          </w:rPr>
          <w:t>sym (Symbol Character)</w:t>
        </w:r>
      </w:hyperlink>
      <w:r>
        <w:t xml:space="preserve"> </w:t>
      </w:r>
      <w:r>
        <w:fldChar w:fldCharType="begin"/>
      </w:r>
      <w:r>
        <w:instrText>PAGEREF section_6180ac79cc0e411d8ab9cdf689f36f75</w:instrText>
      </w:r>
      <w:r>
        <w:fldChar w:fldCharType="separate"/>
      </w:r>
      <w:r>
        <w:rPr>
          <w:noProof/>
        </w:rPr>
        <w:t>84</w:t>
      </w:r>
      <w:r>
        <w:fldChar w:fldCharType="end"/>
      </w:r>
    </w:p>
    <w:p w:rsidR="005F78FC" w:rsidRDefault="00B42EF3">
      <w:pPr>
        <w:pStyle w:val="indexentry0"/>
      </w:pPr>
      <w:hyperlink w:anchor="section_2fc70eb8232c4820944943baa12fe65f">
        <w:r>
          <w:rPr>
            <w:rStyle w:val="Hyperlink"/>
          </w:rPr>
          <w:t>sym (Symbol Font)</w:t>
        </w:r>
      </w:hyperlink>
      <w:r>
        <w:t xml:space="preserve"> </w:t>
      </w:r>
      <w:r>
        <w:fldChar w:fldCharType="begin"/>
      </w:r>
      <w:r>
        <w:instrText>PAGEREF section_2fc70eb8232c4820944943baa12fe65f</w:instrText>
      </w:r>
      <w:r>
        <w:fldChar w:fldCharType="separate"/>
      </w:r>
      <w:r>
        <w:rPr>
          <w:noProof/>
        </w:rPr>
        <w:t>541</w:t>
      </w:r>
      <w:r>
        <w:fldChar w:fldCharType="end"/>
      </w:r>
    </w:p>
    <w:p w:rsidR="005F78FC" w:rsidRDefault="00B42EF3">
      <w:pPr>
        <w:pStyle w:val="indexentry0"/>
      </w:pPr>
      <w:hyperlink w:anchor="section_32d1142aeb7a4ce8ac093b73e1de86b7">
        <w:r>
          <w:rPr>
            <w:rStyle w:val="Hyperlink"/>
          </w:rPr>
          <w:t>SYMBOL</w:t>
        </w:r>
      </w:hyperlink>
      <w:r>
        <w:t xml:space="preserve"> </w:t>
      </w:r>
      <w:r>
        <w:fldChar w:fldCharType="begin"/>
      </w:r>
      <w:r>
        <w:instrText>PAGEREF section_32d1142aeb7a4ce8ac093b73e1de86b7</w:instrText>
      </w:r>
      <w:r>
        <w:fldChar w:fldCharType="separate"/>
      </w:r>
      <w:r>
        <w:rPr>
          <w:noProof/>
        </w:rPr>
        <w:t>226</w:t>
      </w:r>
      <w:r>
        <w:fldChar w:fldCharType="end"/>
      </w:r>
    </w:p>
    <w:p w:rsidR="005F78FC" w:rsidRDefault="00B42EF3">
      <w:pPr>
        <w:pStyle w:val="indexentry0"/>
      </w:pPr>
      <w:r>
        <w:t>Syntax (</w:t>
      </w:r>
      <w:hyperlink w:anchor="section_6091e3a7b33d4afabff08a7ee9cba183">
        <w:r>
          <w:rPr>
            <w:rStyle w:val="Hyperlink"/>
          </w:rPr>
          <w:t>section 2.1.4</w:t>
        </w:r>
        <w:r>
          <w:rPr>
            <w:rStyle w:val="Hyperlink"/>
          </w:rPr>
          <w:t>53</w:t>
        </w:r>
      </w:hyperlink>
      <w:r>
        <w:t xml:space="preserve"> </w:t>
      </w:r>
      <w:r>
        <w:fldChar w:fldCharType="begin"/>
      </w:r>
      <w:r>
        <w:instrText>PAGEREF section_6091e3a7b33d4afabff08a7ee9cba183</w:instrText>
      </w:r>
      <w:r>
        <w:fldChar w:fldCharType="separate"/>
      </w:r>
      <w:r>
        <w:rPr>
          <w:noProof/>
        </w:rPr>
        <w:t>167</w:t>
      </w:r>
      <w:r>
        <w:fldChar w:fldCharType="end"/>
      </w:r>
      <w:r>
        <w:t xml:space="preserve">, </w:t>
      </w:r>
      <w:hyperlink w:anchor="section_c45b0396bc384fd6abf79782b7d6f926">
        <w:r>
          <w:rPr>
            <w:rStyle w:val="Hyperlink"/>
          </w:rPr>
          <w:t>section 2.1.859</w:t>
        </w:r>
      </w:hyperlink>
      <w:r>
        <w:t xml:space="preserve"> </w:t>
      </w:r>
      <w:r>
        <w:fldChar w:fldCharType="begin"/>
      </w:r>
      <w:r>
        <w:instrText>PAGEREF section_c45b0396bc384fd6abf79782b7d6f926</w:instrText>
      </w:r>
      <w:r>
        <w:fldChar w:fldCharType="separate"/>
      </w:r>
      <w:r>
        <w:rPr>
          <w:noProof/>
        </w:rPr>
        <w:t>389</w:t>
      </w:r>
      <w:r>
        <w:fldChar w:fldCharType="end"/>
      </w:r>
      <w:r>
        <w:t>)</w:t>
      </w:r>
    </w:p>
    <w:p w:rsidR="005F78FC" w:rsidRDefault="00B42EF3">
      <w:pPr>
        <w:pStyle w:val="indexentry0"/>
      </w:pPr>
      <w:hyperlink w:anchor="section_cfb7a112dc1944ab9defbe5e19198aca">
        <w:r>
          <w:rPr>
            <w:rStyle w:val="Hyperlink"/>
          </w:rPr>
          <w:t>sysClr (System Color)</w:t>
        </w:r>
      </w:hyperlink>
      <w:r>
        <w:t xml:space="preserve"> </w:t>
      </w:r>
      <w:r>
        <w:fldChar w:fldCharType="begin"/>
      </w:r>
      <w:r>
        <w:instrText>PAGEREF section_cfb7a112dc1944ab9defbe5e19198aca</w:instrText>
      </w:r>
      <w:r>
        <w:fldChar w:fldCharType="separate"/>
      </w:r>
      <w:r>
        <w:rPr>
          <w:noProof/>
        </w:rPr>
        <w:t>507</w:t>
      </w:r>
      <w:r>
        <w:fldChar w:fldCharType="end"/>
      </w:r>
    </w:p>
    <w:p w:rsidR="005F78FC" w:rsidRDefault="00B42EF3">
      <w:pPr>
        <w:pStyle w:val="indexentry0"/>
      </w:pPr>
      <w:hyperlink w:anchor="section_347b28bddabc4ef59fe74e57690fbbd4">
        <w:r>
          <w:rPr>
            <w:rStyle w:val="Hyperlink"/>
          </w:rPr>
          <w:t>sz (Font Size)</w:t>
        </w:r>
      </w:hyperlink>
      <w:r>
        <w:t xml:space="preserve"> </w:t>
      </w:r>
      <w:r>
        <w:fldChar w:fldCharType="begin"/>
      </w:r>
      <w:r>
        <w:instrText>PAGEREF section_347b28bddabc4ef59fe74e57690fbbd4</w:instrText>
      </w:r>
      <w:r>
        <w:fldChar w:fldCharType="separate"/>
      </w:r>
      <w:r>
        <w:rPr>
          <w:noProof/>
        </w:rPr>
        <w:t>293</w:t>
      </w:r>
      <w:r>
        <w:fldChar w:fldCharType="end"/>
      </w:r>
    </w:p>
    <w:p w:rsidR="005F78FC" w:rsidRDefault="00B42EF3">
      <w:pPr>
        <w:pStyle w:val="indexentry0"/>
      </w:pPr>
      <w:hyperlink w:anchor="section_bac943bf2e5d4d439ba2ab0f26a8e8fd">
        <w:r>
          <w:rPr>
            <w:rStyle w:val="Hyperlink"/>
          </w:rPr>
          <w:t>sz (Frame Size)</w:t>
        </w:r>
      </w:hyperlink>
      <w:r>
        <w:t xml:space="preserve"> </w:t>
      </w:r>
      <w:r>
        <w:fldChar w:fldCharType="begin"/>
      </w:r>
      <w:r>
        <w:instrText>PAGEREF section_bac943bf2e5d4d439ba2ab0f26a8e8fd</w:instrText>
      </w:r>
      <w:r>
        <w:fldChar w:fldCharType="separate"/>
      </w:r>
      <w:r>
        <w:rPr>
          <w:noProof/>
        </w:rPr>
        <w:t>166</w:t>
      </w:r>
      <w:r>
        <w:fldChar w:fldCharType="end"/>
      </w:r>
    </w:p>
    <w:p w:rsidR="005F78FC" w:rsidRDefault="00B42EF3">
      <w:pPr>
        <w:pStyle w:val="indexentry0"/>
      </w:pPr>
      <w:hyperlink w:anchor="section_12da267d2f2644498e44750a097fb97f">
        <w:r>
          <w:rPr>
            <w:rStyle w:val="Hyperlink"/>
          </w:rPr>
          <w:t>sz (Nested Frameset Size)</w:t>
        </w:r>
      </w:hyperlink>
      <w:r>
        <w:t xml:space="preserve"> </w:t>
      </w:r>
      <w:r>
        <w:fldChar w:fldCharType="begin"/>
      </w:r>
      <w:r>
        <w:instrText>PAGEREF section_12da267d2f2644498e44750a097fb97f</w:instrText>
      </w:r>
      <w:r>
        <w:fldChar w:fldCharType="separate"/>
      </w:r>
      <w:r>
        <w:rPr>
          <w:noProof/>
        </w:rPr>
        <w:t>166</w:t>
      </w:r>
      <w:r>
        <w:fldChar w:fldCharType="end"/>
      </w:r>
    </w:p>
    <w:p w:rsidR="005F78FC" w:rsidRDefault="00B42EF3">
      <w:pPr>
        <w:pStyle w:val="indexentry0"/>
      </w:pPr>
      <w:hyperlink w:anchor="section_4f2762ad03f64430be6e2a85480268ee">
        <w:r>
          <w:rPr>
            <w:rStyle w:val="Hyperlink"/>
          </w:rPr>
          <w:t>sz (Non-Complex Script Font Size)</w:t>
        </w:r>
      </w:hyperlink>
      <w:r>
        <w:t xml:space="preserve"> </w:t>
      </w:r>
      <w:r>
        <w:fldChar w:fldCharType="begin"/>
      </w:r>
      <w:r>
        <w:instrText>PAGEREF section_4f2762ad03f64430be6e2a85480268ee</w:instrText>
      </w:r>
      <w:r>
        <w:fldChar w:fldCharType="separate"/>
      </w:r>
      <w:r>
        <w:rPr>
          <w:noProof/>
        </w:rPr>
        <w:t>81</w:t>
      </w:r>
      <w:r>
        <w:fldChar w:fldCharType="end"/>
      </w:r>
    </w:p>
    <w:p w:rsidR="005F78FC" w:rsidRDefault="00B42EF3">
      <w:pPr>
        <w:pStyle w:val="indexentry0"/>
      </w:pPr>
      <w:hyperlink w:anchor="section_40f37d666eb14e72b768a8bfec1f78df">
        <w:r>
          <w:rPr>
            <w:rStyle w:val="Hyperlink"/>
          </w:rPr>
          <w:t>szCs (Complex Script Font Size)</w:t>
        </w:r>
      </w:hyperlink>
      <w:r>
        <w:t xml:space="preserve"> </w:t>
      </w:r>
      <w:r>
        <w:fldChar w:fldCharType="begin"/>
      </w:r>
      <w:r>
        <w:instrText>PAGEREF section_40f37d666eb14e72b768a8bfec1f78</w:instrText>
      </w:r>
      <w:r>
        <w:instrText>df</w:instrText>
      </w:r>
      <w:r>
        <w:fldChar w:fldCharType="separate"/>
      </w:r>
      <w:r>
        <w:rPr>
          <w:noProof/>
        </w:rPr>
        <w:t>81</w:t>
      </w:r>
      <w:r>
        <w:fldChar w:fldCharType="end"/>
      </w:r>
    </w:p>
    <w:p w:rsidR="005F78FC" w:rsidRDefault="005F78FC">
      <w:pPr>
        <w:spacing w:before="0" w:after="0"/>
        <w:rPr>
          <w:sz w:val="16"/>
        </w:rPr>
      </w:pPr>
    </w:p>
    <w:p w:rsidR="005F78FC" w:rsidRDefault="00B42EF3">
      <w:pPr>
        <w:pStyle w:val="indexheader"/>
      </w:pPr>
      <w:r>
        <w:t>T</w:t>
      </w:r>
    </w:p>
    <w:p w:rsidR="005F78FC" w:rsidRDefault="005F78FC">
      <w:pPr>
        <w:spacing w:before="0" w:after="0"/>
        <w:rPr>
          <w:sz w:val="16"/>
        </w:rPr>
      </w:pPr>
    </w:p>
    <w:p w:rsidR="005F78FC" w:rsidRDefault="00B42EF3">
      <w:pPr>
        <w:pStyle w:val="indexentry0"/>
      </w:pPr>
      <w:hyperlink w:anchor="section_5c7d720478424485979866c87ab0258a">
        <w:r>
          <w:rPr>
            <w:rStyle w:val="Hyperlink"/>
          </w:rPr>
          <w:t>t (Text Body)</w:t>
        </w:r>
      </w:hyperlink>
      <w:r>
        <w:t xml:space="preserve"> </w:t>
      </w:r>
      <w:r>
        <w:fldChar w:fldCharType="begin"/>
      </w:r>
      <w:r>
        <w:instrText>PAGEREF section_5c7d720478424485979866c87ab0258a</w:instrText>
      </w:r>
      <w:r>
        <w:fldChar w:fldCharType="separate"/>
      </w:r>
      <w:r>
        <w:rPr>
          <w:noProof/>
        </w:rPr>
        <w:t>588</w:t>
      </w:r>
      <w:r>
        <w:fldChar w:fldCharType="end"/>
      </w:r>
    </w:p>
    <w:p w:rsidR="005F78FC" w:rsidRDefault="00B42EF3">
      <w:pPr>
        <w:pStyle w:val="indexentry0"/>
      </w:pPr>
      <w:r>
        <w:t>t (Text) (</w:t>
      </w:r>
      <w:hyperlink w:anchor="section_82ad64a7401b4f3493193600b16b2791">
        <w:r>
          <w:rPr>
            <w:rStyle w:val="Hyperlink"/>
          </w:rPr>
          <w:t>section 2.1.677</w:t>
        </w:r>
      </w:hyperlink>
      <w:r>
        <w:t xml:space="preserve"> </w:t>
      </w:r>
      <w:r>
        <w:fldChar w:fldCharType="begin"/>
      </w:r>
      <w:r>
        <w:instrText>PAGEREF section_82ad64a7401b</w:instrText>
      </w:r>
      <w:r>
        <w:instrText>4f3493193600b16b2791</w:instrText>
      </w:r>
      <w:r>
        <w:fldChar w:fldCharType="separate"/>
      </w:r>
      <w:r>
        <w:rPr>
          <w:noProof/>
        </w:rPr>
        <w:t>294</w:t>
      </w:r>
      <w:r>
        <w:fldChar w:fldCharType="end"/>
      </w:r>
      <w:r>
        <w:t xml:space="preserve">, </w:t>
      </w:r>
      <w:hyperlink w:anchor="section_715e9ffc7f3f49c5a42e7db548f1df3d">
        <w:r>
          <w:rPr>
            <w:rStyle w:val="Hyperlink"/>
          </w:rPr>
          <w:t>section 2.1.1705</w:t>
        </w:r>
      </w:hyperlink>
      <w:r>
        <w:t xml:space="preserve"> </w:t>
      </w:r>
      <w:r>
        <w:fldChar w:fldCharType="begin"/>
      </w:r>
      <w:r>
        <w:instrText>PAGEREF section_715e9ffc7f3f49c5a42e7db548f1df3d</w:instrText>
      </w:r>
      <w:r>
        <w:fldChar w:fldCharType="separate"/>
      </w:r>
      <w:r>
        <w:rPr>
          <w:noProof/>
        </w:rPr>
        <w:t>607</w:t>
      </w:r>
      <w:r>
        <w:fldChar w:fldCharType="end"/>
      </w:r>
      <w:r>
        <w:t>)</w:t>
      </w:r>
    </w:p>
    <w:p w:rsidR="005F78FC" w:rsidRDefault="00B42EF3">
      <w:pPr>
        <w:pStyle w:val="indexentry0"/>
      </w:pPr>
      <w:hyperlink w:anchor="section_7497a2d02d184fe5a58079bc7ad04497">
        <w:r>
          <w:rPr>
            <w:rStyle w:val="Hyperlink"/>
          </w:rPr>
          <w:t>t (Tuple MDX Metadata)</w:t>
        </w:r>
      </w:hyperlink>
      <w:r>
        <w:t xml:space="preserve"> </w:t>
      </w:r>
      <w:r>
        <w:fldChar w:fldCharType="begin"/>
      </w:r>
      <w:r>
        <w:instrText>PAGEREF section_7497a2d02d184fe5a58079bc7ad04497</w:instrText>
      </w:r>
      <w:r>
        <w:fldChar w:fldCharType="separate"/>
      </w:r>
      <w:r>
        <w:rPr>
          <w:noProof/>
        </w:rPr>
        <w:t>322</w:t>
      </w:r>
      <w:r>
        <w:fldChar w:fldCharType="end"/>
      </w:r>
    </w:p>
    <w:p w:rsidR="005F78FC" w:rsidRDefault="00B42EF3">
      <w:pPr>
        <w:pStyle w:val="indexentry0"/>
      </w:pPr>
      <w:hyperlink w:anchor="section_7fe21147206c484f9a5dccb42e2b75d1">
        <w:r>
          <w:rPr>
            <w:rStyle w:val="Hyperlink"/>
          </w:rPr>
          <w:t>TA</w:t>
        </w:r>
      </w:hyperlink>
      <w:r>
        <w:t xml:space="preserve"> </w:t>
      </w:r>
      <w:r>
        <w:fldChar w:fldCharType="begin"/>
      </w:r>
      <w:r>
        <w:instrText>PAGEREF section_7fe21147206c484f9a5dccb42e2b75d1</w:instrText>
      </w:r>
      <w:r>
        <w:fldChar w:fldCharType="separate"/>
      </w:r>
      <w:r>
        <w:rPr>
          <w:noProof/>
        </w:rPr>
        <w:t>227</w:t>
      </w:r>
      <w:r>
        <w:fldChar w:fldCharType="end"/>
      </w:r>
    </w:p>
    <w:p w:rsidR="005F78FC" w:rsidRDefault="00B42EF3">
      <w:pPr>
        <w:pStyle w:val="indexentry0"/>
      </w:pPr>
      <w:hyperlink w:anchor="section_c52e929cfa384f889ee7f6ec4b1ab882">
        <w:r>
          <w:rPr>
            <w:rStyle w:val="Hyperlink"/>
          </w:rPr>
          <w:t>tab (Custom Tab Stop)</w:t>
        </w:r>
      </w:hyperlink>
      <w:r>
        <w:t xml:space="preserve"> </w:t>
      </w:r>
      <w:r>
        <w:fldChar w:fldCharType="begin"/>
      </w:r>
      <w:r>
        <w:instrText>P</w:instrText>
      </w:r>
      <w:r>
        <w:instrText>AGEREF section_c52e929cfa384f889ee7f6ec4b1ab882</w:instrText>
      </w:r>
      <w:r>
        <w:fldChar w:fldCharType="separate"/>
      </w:r>
      <w:r>
        <w:rPr>
          <w:noProof/>
        </w:rPr>
        <w:t>70</w:t>
      </w:r>
      <w:r>
        <w:fldChar w:fldCharType="end"/>
      </w:r>
    </w:p>
    <w:p w:rsidR="005F78FC" w:rsidRDefault="00B42EF3">
      <w:pPr>
        <w:pStyle w:val="indexentry0"/>
      </w:pPr>
      <w:hyperlink w:anchor="section_57f3992c0f4646afa3c764132f66ebe0">
        <w:r>
          <w:rPr>
            <w:rStyle w:val="Hyperlink"/>
          </w:rPr>
          <w:t>tabColor (Sheet Tab Color)</w:t>
        </w:r>
      </w:hyperlink>
      <w:r>
        <w:t xml:space="preserve"> </w:t>
      </w:r>
      <w:r>
        <w:fldChar w:fldCharType="begin"/>
      </w:r>
      <w:r>
        <w:instrText>PAGEREF section_57f3992c0f4646afa3c764132f66ebe0</w:instrText>
      </w:r>
      <w:r>
        <w:fldChar w:fldCharType="separate"/>
      </w:r>
      <w:r>
        <w:rPr>
          <w:noProof/>
        </w:rPr>
        <w:t>289</w:t>
      </w:r>
      <w:r>
        <w:fldChar w:fldCharType="end"/>
      </w:r>
    </w:p>
    <w:p w:rsidR="005F78FC" w:rsidRDefault="00B42EF3">
      <w:pPr>
        <w:pStyle w:val="indexentry0"/>
      </w:pPr>
      <w:hyperlink w:anchor="section_0f67f3287aa143aab0460cc528dd282e">
        <w:r>
          <w:rPr>
            <w:rStyle w:val="Hyperlink"/>
          </w:rPr>
          <w:t>ta</w:t>
        </w:r>
        <w:r>
          <w:rPr>
            <w:rStyle w:val="Hyperlink"/>
          </w:rPr>
          <w:t>bIndex (Form Field Navigation Order Index)</w:t>
        </w:r>
      </w:hyperlink>
      <w:r>
        <w:t xml:space="preserve"> </w:t>
      </w:r>
      <w:r>
        <w:fldChar w:fldCharType="begin"/>
      </w:r>
      <w:r>
        <w:instrText>PAGEREF section_0f67f3287aa143aab0460cc528dd282e</w:instrText>
      </w:r>
      <w:r>
        <w:fldChar w:fldCharType="separate"/>
      </w:r>
      <w:r>
        <w:rPr>
          <w:noProof/>
        </w:rPr>
        <w:t>230</w:t>
      </w:r>
      <w:r>
        <w:fldChar w:fldCharType="end"/>
      </w:r>
    </w:p>
    <w:p w:rsidR="005F78FC" w:rsidRDefault="00B42EF3">
      <w:pPr>
        <w:pStyle w:val="indexentry0"/>
      </w:pPr>
      <w:hyperlink w:anchor="section_792638a52321467ea2266b23a9b56806">
        <w:r>
          <w:rPr>
            <w:rStyle w:val="Hyperlink"/>
          </w:rPr>
          <w:t>tabIndex (Structured Document Tag Navigation Order Index)</w:t>
        </w:r>
      </w:hyperlink>
      <w:r>
        <w:t xml:space="preserve"> </w:t>
      </w:r>
      <w:r>
        <w:fldChar w:fldCharType="begin"/>
      </w:r>
      <w:r>
        <w:instrText>PAGEREF section_792638a52321467ea2266b</w:instrText>
      </w:r>
      <w:r>
        <w:instrText>23a9b56806</w:instrText>
      </w:r>
      <w:r>
        <w:fldChar w:fldCharType="separate"/>
      </w:r>
      <w:r>
        <w:rPr>
          <w:noProof/>
        </w:rPr>
        <w:t>104</w:t>
      </w:r>
      <w:r>
        <w:fldChar w:fldCharType="end"/>
      </w:r>
    </w:p>
    <w:p w:rsidR="005F78FC" w:rsidRDefault="00B42EF3">
      <w:pPr>
        <w:pStyle w:val="indexentry0"/>
      </w:pPr>
      <w:hyperlink w:anchor="section_9aa94d9d71474207943f86ec6ab00f2e">
        <w:r>
          <w:rPr>
            <w:rStyle w:val="Hyperlink"/>
          </w:rPr>
          <w:t>table (Data Source Table Name)</w:t>
        </w:r>
      </w:hyperlink>
      <w:r>
        <w:t xml:space="preserve"> </w:t>
      </w:r>
      <w:r>
        <w:fldChar w:fldCharType="begin"/>
      </w:r>
      <w:r>
        <w:instrText>PAGEREF section_9aa94d9d71474207943f86ec6ab00f2e</w:instrText>
      </w:r>
      <w:r>
        <w:fldChar w:fldCharType="separate"/>
      </w:r>
      <w:r>
        <w:rPr>
          <w:noProof/>
        </w:rPr>
        <w:t>149</w:t>
      </w:r>
      <w:r>
        <w:fldChar w:fldCharType="end"/>
      </w:r>
    </w:p>
    <w:p w:rsidR="005F78FC" w:rsidRDefault="00B42EF3">
      <w:pPr>
        <w:pStyle w:val="indexentry0"/>
      </w:pPr>
      <w:hyperlink w:anchor="section_bd61087c09d44789acf1b7ee8234a373">
        <w:r>
          <w:rPr>
            <w:rStyle w:val="Hyperlink"/>
          </w:rPr>
          <w:t>table (Table)</w:t>
        </w:r>
      </w:hyperlink>
      <w:r>
        <w:t xml:space="preserve"> </w:t>
      </w:r>
      <w:r>
        <w:fldChar w:fldCharType="begin"/>
      </w:r>
      <w:r>
        <w:instrText>PAGEREF section_bd6</w:instrText>
      </w:r>
      <w:r>
        <w:instrText>1087c09d44789acf1b7ee8234a373</w:instrText>
      </w:r>
      <w:r>
        <w:fldChar w:fldCharType="separate"/>
      </w:r>
      <w:r>
        <w:rPr>
          <w:noProof/>
        </w:rPr>
        <w:t>294</w:t>
      </w:r>
      <w:r>
        <w:fldChar w:fldCharType="end"/>
      </w:r>
    </w:p>
    <w:p w:rsidR="005F78FC" w:rsidRDefault="00B42EF3">
      <w:pPr>
        <w:pStyle w:val="indexentry0"/>
      </w:pPr>
      <w:hyperlink w:anchor="section_f6c3f73269c144b9b8f4517245404a01">
        <w:r>
          <w:rPr>
            <w:rStyle w:val="Hyperlink"/>
          </w:rPr>
          <w:t>Table cell references</w:t>
        </w:r>
      </w:hyperlink>
      <w:r>
        <w:t xml:space="preserve"> </w:t>
      </w:r>
      <w:r>
        <w:fldChar w:fldCharType="begin"/>
      </w:r>
      <w:r>
        <w:instrText>PAGEREF section_f6c3f73269c144b9b8f4517245404a01</w:instrText>
      </w:r>
      <w:r>
        <w:fldChar w:fldCharType="separate"/>
      </w:r>
      <w:r>
        <w:rPr>
          <w:noProof/>
        </w:rPr>
        <w:t>169</w:t>
      </w:r>
      <w:r>
        <w:fldChar w:fldCharType="end"/>
      </w:r>
    </w:p>
    <w:p w:rsidR="005F78FC" w:rsidRDefault="00B42EF3">
      <w:pPr>
        <w:pStyle w:val="indexentry0"/>
      </w:pPr>
      <w:hyperlink w:anchor="section_d9b4a6f68b0743c587f234c1238911a4">
        <w:r>
          <w:rPr>
            <w:rStyle w:val="Hyperlink"/>
          </w:rPr>
          <w:t>Table Measurement (CT_TblWidth)</w:t>
        </w:r>
      </w:hyperlink>
      <w:r>
        <w:t xml:space="preserve"> </w:t>
      </w:r>
      <w:r>
        <w:fldChar w:fldCharType="begin"/>
      </w:r>
      <w:r>
        <w:instrText>PAGEREF section_d9b4a6f68b0743c587f234c1238911a4</w:instrText>
      </w:r>
      <w:r>
        <w:fldChar w:fldCharType="separate"/>
      </w:r>
      <w:r>
        <w:rPr>
          <w:noProof/>
        </w:rPr>
        <w:t>98</w:t>
      </w:r>
      <w:r>
        <w:fldChar w:fldCharType="end"/>
      </w:r>
    </w:p>
    <w:p w:rsidR="005F78FC" w:rsidRDefault="00B42EF3">
      <w:pPr>
        <w:pStyle w:val="indexentry0"/>
      </w:pPr>
      <w:hyperlink w:anchor="section_14452bbebe4d4dbb90e63d23ae9361bc">
        <w:r>
          <w:rPr>
            <w:rStyle w:val="Hyperlink"/>
          </w:rPr>
          <w:t>Table Styles</w:t>
        </w:r>
      </w:hyperlink>
      <w:r>
        <w:t xml:space="preserve"> </w:t>
      </w:r>
      <w:r>
        <w:fldChar w:fldCharType="begin"/>
      </w:r>
      <w:r>
        <w:instrText>PAGEREF section_14452bbebe4d4dbb90e63d23ae9361bc</w:instrText>
      </w:r>
      <w:r>
        <w:fldChar w:fldCharType="separate"/>
      </w:r>
      <w:r>
        <w:rPr>
          <w:noProof/>
        </w:rPr>
        <w:t>120</w:t>
      </w:r>
      <w:r>
        <w:fldChar w:fldCharType="end"/>
      </w:r>
    </w:p>
    <w:p w:rsidR="005F78FC" w:rsidRDefault="00B42EF3">
      <w:pPr>
        <w:pStyle w:val="indexentry0"/>
      </w:pPr>
      <w:hyperlink w:anchor="section_8f4f8ebca0854cefbec96d6a40066513">
        <w:r>
          <w:rPr>
            <w:rStyle w:val="Hyperlink"/>
          </w:rPr>
          <w:t>tableColumn (Table Column)</w:t>
        </w:r>
      </w:hyperlink>
      <w:r>
        <w:t xml:space="preserve"> </w:t>
      </w:r>
      <w:r>
        <w:fldChar w:fldCharType="begin"/>
      </w:r>
      <w:r>
        <w:instrText>PAGEREF section_8f4f8ebca0854cefbec96d6a40066513</w:instrText>
      </w:r>
      <w:r>
        <w:fldChar w:fldCharType="separate"/>
      </w:r>
      <w:r>
        <w:rPr>
          <w:noProof/>
        </w:rPr>
        <w:t>295</w:t>
      </w:r>
      <w:r>
        <w:fldChar w:fldCharType="end"/>
      </w:r>
    </w:p>
    <w:p w:rsidR="005F78FC" w:rsidRDefault="00B42EF3">
      <w:pPr>
        <w:pStyle w:val="indexentry0"/>
      </w:pPr>
      <w:hyperlink w:anchor="section_ff6347f03c7043748ceb81fcb2b39331">
        <w:r>
          <w:rPr>
            <w:rStyle w:val="Hyperlink"/>
          </w:rPr>
          <w:t>tableStyle (Table Style)</w:t>
        </w:r>
      </w:hyperlink>
      <w:r>
        <w:t xml:space="preserve"> </w:t>
      </w:r>
      <w:r>
        <w:fldChar w:fldCharType="begin"/>
      </w:r>
      <w:r>
        <w:instrText>PAGEREF section_ff6347f03c7043748ceb81fcb2b39331</w:instrText>
      </w:r>
      <w:r>
        <w:fldChar w:fldCharType="separate"/>
      </w:r>
      <w:r>
        <w:rPr>
          <w:noProof/>
        </w:rPr>
        <w:t>314</w:t>
      </w:r>
      <w:r>
        <w:fldChar w:fldCharType="end"/>
      </w:r>
    </w:p>
    <w:p w:rsidR="005F78FC" w:rsidRDefault="00B42EF3">
      <w:pPr>
        <w:pStyle w:val="indexentry0"/>
      </w:pPr>
      <w:hyperlink w:anchor="section_d91a5d310bf448019139f6c13a690505">
        <w:r>
          <w:rPr>
            <w:rStyle w:val="Hyperlink"/>
          </w:rPr>
          <w:t>tableStyleElement (Table Style)</w:t>
        </w:r>
      </w:hyperlink>
      <w:r>
        <w:t xml:space="preserve"> </w:t>
      </w:r>
      <w:r>
        <w:fldChar w:fldCharType="begin"/>
      </w:r>
      <w:r>
        <w:instrText>PAGEREF section_d91a5d310bf448019139f6c13a690505</w:instrText>
      </w:r>
      <w:r>
        <w:fldChar w:fldCharType="separate"/>
      </w:r>
      <w:r>
        <w:rPr>
          <w:noProof/>
        </w:rPr>
        <w:t>314</w:t>
      </w:r>
      <w:r>
        <w:fldChar w:fldCharType="end"/>
      </w:r>
    </w:p>
    <w:p w:rsidR="005F78FC" w:rsidRDefault="00B42EF3">
      <w:pPr>
        <w:pStyle w:val="indexentry0"/>
      </w:pPr>
      <w:hyperlink w:anchor="section_e12a68d77ac847dead30f6ee7a5d1c8e">
        <w:r>
          <w:rPr>
            <w:rStyle w:val="Hyperlink"/>
          </w:rPr>
          <w:t>tableStyleId (Table Style ID)</w:t>
        </w:r>
      </w:hyperlink>
      <w:r>
        <w:t xml:space="preserve"> </w:t>
      </w:r>
      <w:r>
        <w:fldChar w:fldCharType="begin"/>
      </w:r>
      <w:r>
        <w:instrText>PAGEREF section_</w:instrText>
      </w:r>
      <w:r>
        <w:instrText>e12a68d77ac847dead30f6ee7a5d1c8e</w:instrText>
      </w:r>
      <w:r>
        <w:fldChar w:fldCharType="separate"/>
      </w:r>
      <w:r>
        <w:rPr>
          <w:noProof/>
        </w:rPr>
        <w:t>544</w:t>
      </w:r>
      <w:r>
        <w:fldChar w:fldCharType="end"/>
      </w:r>
    </w:p>
    <w:p w:rsidR="005F78FC" w:rsidRDefault="00B42EF3">
      <w:pPr>
        <w:pStyle w:val="indexentry0"/>
      </w:pPr>
      <w:hyperlink w:anchor="section_2390d9fdc06a4a93b5e4b8ccbe237708">
        <w:r>
          <w:rPr>
            <w:rStyle w:val="Hyperlink"/>
          </w:rPr>
          <w:t>tableStyleInfo (Table Style)</w:t>
        </w:r>
      </w:hyperlink>
      <w:r>
        <w:t xml:space="preserve"> </w:t>
      </w:r>
      <w:r>
        <w:fldChar w:fldCharType="begin"/>
      </w:r>
      <w:r>
        <w:instrText>PAGEREF section_2390d9fdc06a4a93b5e4b8ccbe237708</w:instrText>
      </w:r>
      <w:r>
        <w:fldChar w:fldCharType="separate"/>
      </w:r>
      <w:r>
        <w:rPr>
          <w:noProof/>
        </w:rPr>
        <w:t>296</w:t>
      </w:r>
      <w:r>
        <w:fldChar w:fldCharType="end"/>
      </w:r>
    </w:p>
    <w:p w:rsidR="005F78FC" w:rsidRDefault="00B42EF3">
      <w:pPr>
        <w:pStyle w:val="indexentry0"/>
      </w:pPr>
      <w:hyperlink w:anchor="section_3e73b8aa77d244a79b9fe92e296915c5">
        <w:r>
          <w:rPr>
            <w:rStyle w:val="Hyperlink"/>
          </w:rPr>
          <w:t>tableStyles (Ta</w:t>
        </w:r>
        <w:r>
          <w:rPr>
            <w:rStyle w:val="Hyperlink"/>
          </w:rPr>
          <w:t>ble Styles)</w:t>
        </w:r>
      </w:hyperlink>
      <w:r>
        <w:t xml:space="preserve"> </w:t>
      </w:r>
      <w:r>
        <w:fldChar w:fldCharType="begin"/>
      </w:r>
      <w:r>
        <w:instrText>PAGEREF section_3e73b8aa77d244a79b9fe92e296915c5</w:instrText>
      </w:r>
      <w:r>
        <w:fldChar w:fldCharType="separate"/>
      </w:r>
      <w:r>
        <w:rPr>
          <w:noProof/>
        </w:rPr>
        <w:t>314</w:t>
      </w:r>
      <w:r>
        <w:fldChar w:fldCharType="end"/>
      </w:r>
    </w:p>
    <w:p w:rsidR="005F78FC" w:rsidRDefault="00B42EF3">
      <w:pPr>
        <w:pStyle w:val="indexentry0"/>
      </w:pPr>
      <w:hyperlink w:anchor="section_b46caa4c8bed427cb3fe54b98941ab76">
        <w:r>
          <w:rPr>
            <w:rStyle w:val="Hyperlink"/>
          </w:rPr>
          <w:t>tag (Programmable Extensibility Tag)</w:t>
        </w:r>
      </w:hyperlink>
      <w:r>
        <w:t xml:space="preserve"> </w:t>
      </w:r>
      <w:r>
        <w:fldChar w:fldCharType="begin"/>
      </w:r>
      <w:r>
        <w:instrText>PAGEREF section_b46caa4c8bed427cb3fe54b98941ab76</w:instrText>
      </w:r>
      <w:r>
        <w:fldChar w:fldCharType="separate"/>
      </w:r>
      <w:r>
        <w:rPr>
          <w:noProof/>
        </w:rPr>
        <w:t>473</w:t>
      </w:r>
      <w:r>
        <w:fldChar w:fldCharType="end"/>
      </w:r>
    </w:p>
    <w:p w:rsidR="005F78FC" w:rsidRDefault="00B42EF3">
      <w:pPr>
        <w:pStyle w:val="indexentry0"/>
      </w:pPr>
      <w:hyperlink w:anchor="section_3a8facc7b7e74bb4b34cb38d0d4c1c6d">
        <w:r>
          <w:rPr>
            <w:rStyle w:val="Hyperlink"/>
          </w:rPr>
          <w:t>Tag (Tag)</w:t>
        </w:r>
      </w:hyperlink>
      <w:r>
        <w:t xml:space="preserve"> </w:t>
      </w:r>
      <w:r>
        <w:fldChar w:fldCharType="begin"/>
      </w:r>
      <w:r>
        <w:instrText>PAGEREF section_3a8facc7b7e74bb4b34cb38d0d4c1c6d</w:instrText>
      </w:r>
      <w:r>
        <w:fldChar w:fldCharType="separate"/>
      </w:r>
      <w:r>
        <w:rPr>
          <w:noProof/>
        </w:rPr>
        <w:t>615</w:t>
      </w:r>
      <w:r>
        <w:fldChar w:fldCharType="end"/>
      </w:r>
    </w:p>
    <w:p w:rsidR="005F78FC" w:rsidRDefault="00B42EF3">
      <w:pPr>
        <w:pStyle w:val="indexentry0"/>
      </w:pPr>
      <w:hyperlink w:anchor="section_b24fde3123534d2bac61724078e1213f">
        <w:r>
          <w:rPr>
            <w:rStyle w:val="Hyperlink"/>
          </w:rPr>
          <w:t>TAN</w:t>
        </w:r>
      </w:hyperlink>
      <w:r>
        <w:t xml:space="preserve"> </w:t>
      </w:r>
      <w:r>
        <w:fldChar w:fldCharType="begin"/>
      </w:r>
      <w:r>
        <w:instrText>PAGEREF section_b24fde3123534d2bac61724078e1213f</w:instrText>
      </w:r>
      <w:r>
        <w:fldChar w:fldCharType="separate"/>
      </w:r>
      <w:r>
        <w:rPr>
          <w:noProof/>
        </w:rPr>
        <w:t>451</w:t>
      </w:r>
      <w:r>
        <w:fldChar w:fldCharType="end"/>
      </w:r>
    </w:p>
    <w:p w:rsidR="005F78FC" w:rsidRDefault="00B42EF3">
      <w:pPr>
        <w:pStyle w:val="indexentry0"/>
      </w:pPr>
      <w:hyperlink w:anchor="section_1cdcce02e27c40e68d43c718e61f96fc">
        <w:r>
          <w:rPr>
            <w:rStyle w:val="Hyperlink"/>
          </w:rPr>
          <w:t>targetScreenSz (Target Screen Size for Web Page)</w:t>
        </w:r>
      </w:hyperlink>
      <w:r>
        <w:t xml:space="preserve"> </w:t>
      </w:r>
      <w:r>
        <w:fldChar w:fldCharType="begin"/>
      </w:r>
      <w:r>
        <w:instrText>PAGEREF section_1cdcce02e27c40e68d43c718e61f96fc</w:instrText>
      </w:r>
      <w:r>
        <w:fldChar w:fldCharType="separate"/>
      </w:r>
      <w:r>
        <w:rPr>
          <w:noProof/>
        </w:rPr>
        <w:t>167</w:t>
      </w:r>
      <w:r>
        <w:fldChar w:fldCharType="end"/>
      </w:r>
    </w:p>
    <w:p w:rsidR="005F78FC" w:rsidRDefault="00B42EF3">
      <w:pPr>
        <w:pStyle w:val="indexentry0"/>
      </w:pPr>
      <w:hyperlink w:anchor="section_314e45ecb2d842379103a0ed722130a8">
        <w:r>
          <w:rPr>
            <w:rStyle w:val="Hyperlink"/>
          </w:rPr>
          <w:t>TBILLPRICE</w:t>
        </w:r>
      </w:hyperlink>
      <w:r>
        <w:t xml:space="preserve"> </w:t>
      </w:r>
      <w:r>
        <w:fldChar w:fldCharType="begin"/>
      </w:r>
      <w:r>
        <w:instrText>PAGEREF section_31</w:instrText>
      </w:r>
      <w:r>
        <w:instrText>4e45ecb2d842379103a0ed722130a8</w:instrText>
      </w:r>
      <w:r>
        <w:fldChar w:fldCharType="separate"/>
      </w:r>
      <w:r>
        <w:rPr>
          <w:noProof/>
        </w:rPr>
        <w:t>451</w:t>
      </w:r>
      <w:r>
        <w:fldChar w:fldCharType="end"/>
      </w:r>
    </w:p>
    <w:p w:rsidR="005F78FC" w:rsidRDefault="00B42EF3">
      <w:pPr>
        <w:pStyle w:val="indexentry0"/>
      </w:pPr>
      <w:hyperlink w:anchor="section_ae3240448a1a4e0daea87546318811b7">
        <w:r>
          <w:rPr>
            <w:rStyle w:val="Hyperlink"/>
          </w:rPr>
          <w:t>TBILLYIELD</w:t>
        </w:r>
      </w:hyperlink>
      <w:r>
        <w:t xml:space="preserve"> </w:t>
      </w:r>
      <w:r>
        <w:fldChar w:fldCharType="begin"/>
      </w:r>
      <w:r>
        <w:instrText>PAGEREF section_ae3240448a1a4e0daea87546318811b7</w:instrText>
      </w:r>
      <w:r>
        <w:fldChar w:fldCharType="separate"/>
      </w:r>
      <w:r>
        <w:rPr>
          <w:noProof/>
        </w:rPr>
        <w:t>452</w:t>
      </w:r>
      <w:r>
        <w:fldChar w:fldCharType="end"/>
      </w:r>
    </w:p>
    <w:p w:rsidR="005F78FC" w:rsidRDefault="00B42EF3">
      <w:pPr>
        <w:pStyle w:val="indexentry0"/>
      </w:pPr>
      <w:r>
        <w:t>tbl (Table) (</w:t>
      </w:r>
      <w:hyperlink w:anchor="section_232ad787a0444a52851db4544c285aab">
        <w:r>
          <w:rPr>
            <w:rStyle w:val="Hyperlink"/>
          </w:rPr>
          <w:t>section 2.1.149</w:t>
        </w:r>
      </w:hyperlink>
      <w:r>
        <w:t xml:space="preserve"> </w:t>
      </w:r>
      <w:r>
        <w:fldChar w:fldCharType="begin"/>
      </w:r>
      <w:r>
        <w:instrText>PAGE</w:instrText>
      </w:r>
      <w:r>
        <w:instrText>REF section_232ad787a0444a52851db4544c285aab</w:instrText>
      </w:r>
      <w:r>
        <w:fldChar w:fldCharType="separate"/>
      </w:r>
      <w:r>
        <w:rPr>
          <w:noProof/>
        </w:rPr>
        <w:t>89</w:t>
      </w:r>
      <w:r>
        <w:fldChar w:fldCharType="end"/>
      </w:r>
      <w:r>
        <w:t xml:space="preserve">, </w:t>
      </w:r>
      <w:hyperlink w:anchor="section_87e635df37bf42ef87b6fdd8abac88e1">
        <w:r>
          <w:rPr>
            <w:rStyle w:val="Hyperlink"/>
          </w:rPr>
          <w:t>section 2.1.1419</w:t>
        </w:r>
      </w:hyperlink>
      <w:r>
        <w:t xml:space="preserve"> </w:t>
      </w:r>
      <w:r>
        <w:fldChar w:fldCharType="begin"/>
      </w:r>
      <w:r>
        <w:instrText>PAGEREF section_87e635df37bf42ef87b6fdd8abac88e1</w:instrText>
      </w:r>
      <w:r>
        <w:fldChar w:fldCharType="separate"/>
      </w:r>
      <w:r>
        <w:rPr>
          <w:noProof/>
        </w:rPr>
        <w:t>544</w:t>
      </w:r>
      <w:r>
        <w:fldChar w:fldCharType="end"/>
      </w:r>
      <w:r>
        <w:t>)</w:t>
      </w:r>
    </w:p>
    <w:p w:rsidR="005F78FC" w:rsidRDefault="00B42EF3">
      <w:pPr>
        <w:pStyle w:val="indexentry0"/>
      </w:pPr>
      <w:hyperlink w:anchor="section_c6c5d5c4206a4e0a9f1ecee1fe4ffe42">
        <w:r>
          <w:rPr>
            <w:rStyle w:val="Hyperlink"/>
          </w:rPr>
          <w:t>tblBorders (T</w:t>
        </w:r>
        <w:r>
          <w:rPr>
            <w:rStyle w:val="Hyperlink"/>
          </w:rPr>
          <w:t>able Borders Exceptions)</w:t>
        </w:r>
      </w:hyperlink>
      <w:r>
        <w:t xml:space="preserve"> </w:t>
      </w:r>
      <w:r>
        <w:fldChar w:fldCharType="begin"/>
      </w:r>
      <w:r>
        <w:instrText>PAGEREF section_c6c5d5c4206a4e0a9f1ecee1fe4ffe42</w:instrText>
      </w:r>
      <w:r>
        <w:fldChar w:fldCharType="separate"/>
      </w:r>
      <w:r>
        <w:rPr>
          <w:noProof/>
        </w:rPr>
        <w:t>89</w:t>
      </w:r>
      <w:r>
        <w:fldChar w:fldCharType="end"/>
      </w:r>
    </w:p>
    <w:p w:rsidR="005F78FC" w:rsidRDefault="00B42EF3">
      <w:pPr>
        <w:pStyle w:val="indexentry0"/>
      </w:pPr>
      <w:hyperlink w:anchor="section_63aedc89c4c940628d5b385b09e2036a">
        <w:r>
          <w:rPr>
            <w:rStyle w:val="Hyperlink"/>
          </w:rPr>
          <w:t>tblBorders (Table Borders)</w:t>
        </w:r>
      </w:hyperlink>
      <w:r>
        <w:t xml:space="preserve"> </w:t>
      </w:r>
      <w:r>
        <w:fldChar w:fldCharType="begin"/>
      </w:r>
      <w:r>
        <w:instrText>PAGEREF section_63aedc89c4c940628d5b385b09e2036a</w:instrText>
      </w:r>
      <w:r>
        <w:fldChar w:fldCharType="separate"/>
      </w:r>
      <w:r>
        <w:rPr>
          <w:noProof/>
        </w:rPr>
        <w:t>89</w:t>
      </w:r>
      <w:r>
        <w:fldChar w:fldCharType="end"/>
      </w:r>
    </w:p>
    <w:p w:rsidR="005F78FC" w:rsidRDefault="00B42EF3">
      <w:pPr>
        <w:pStyle w:val="indexentry0"/>
      </w:pPr>
      <w:hyperlink w:anchor="section_f8f75687e6b6442f8b5cd68b3664de5f">
        <w:r>
          <w:rPr>
            <w:rStyle w:val="Hyperlink"/>
          </w:rPr>
          <w:t>tblCellSpacing (Table Cell Spacing Default)</w:t>
        </w:r>
      </w:hyperlink>
      <w:r>
        <w:t xml:space="preserve"> </w:t>
      </w:r>
      <w:r>
        <w:fldChar w:fldCharType="begin"/>
      </w:r>
      <w:r>
        <w:instrText>PAGEREF section_f8f75687e6b6442f8b5cd68b3664de5f</w:instrText>
      </w:r>
      <w:r>
        <w:fldChar w:fldCharType="separate"/>
      </w:r>
      <w:r>
        <w:rPr>
          <w:noProof/>
        </w:rPr>
        <w:t>90</w:t>
      </w:r>
      <w:r>
        <w:fldChar w:fldCharType="end"/>
      </w:r>
    </w:p>
    <w:p w:rsidR="005F78FC" w:rsidRDefault="00B42EF3">
      <w:pPr>
        <w:pStyle w:val="indexentry0"/>
      </w:pPr>
      <w:hyperlink w:anchor="section_d0468dfd6e9c46d0bd3675fcb81c36e7">
        <w:r>
          <w:rPr>
            <w:rStyle w:val="Hyperlink"/>
          </w:rPr>
          <w:t>tblCellSpacing (Table Cell Spacing Exception)</w:t>
        </w:r>
      </w:hyperlink>
      <w:r>
        <w:t xml:space="preserve"> </w:t>
      </w:r>
      <w:r>
        <w:fldChar w:fldCharType="begin"/>
      </w:r>
      <w:r>
        <w:instrText>PAGEREF section_d0468df</w:instrText>
      </w:r>
      <w:r>
        <w:instrText>d6e9c46d0bd3675fcb81c36e7</w:instrText>
      </w:r>
      <w:r>
        <w:fldChar w:fldCharType="separate"/>
      </w:r>
      <w:r>
        <w:rPr>
          <w:noProof/>
        </w:rPr>
        <w:t>90</w:t>
      </w:r>
      <w:r>
        <w:fldChar w:fldCharType="end"/>
      </w:r>
    </w:p>
    <w:p w:rsidR="005F78FC" w:rsidRDefault="00B42EF3">
      <w:pPr>
        <w:pStyle w:val="indexentry0"/>
      </w:pPr>
      <w:hyperlink w:anchor="section_6258617e410c4d38898eb9cda572b9fa">
        <w:r>
          <w:rPr>
            <w:rStyle w:val="Hyperlink"/>
          </w:rPr>
          <w:t>tblCellSpacing (Table Row Cell Spacing)</w:t>
        </w:r>
      </w:hyperlink>
      <w:r>
        <w:t xml:space="preserve"> </w:t>
      </w:r>
      <w:r>
        <w:fldChar w:fldCharType="begin"/>
      </w:r>
      <w:r>
        <w:instrText>PAGEREF section_6258617e410c4d38898eb9cda572b9fa</w:instrText>
      </w:r>
      <w:r>
        <w:fldChar w:fldCharType="separate"/>
      </w:r>
      <w:r>
        <w:rPr>
          <w:noProof/>
        </w:rPr>
        <w:t>89</w:t>
      </w:r>
      <w:r>
        <w:fldChar w:fldCharType="end"/>
      </w:r>
    </w:p>
    <w:p w:rsidR="005F78FC" w:rsidRDefault="00B42EF3">
      <w:pPr>
        <w:pStyle w:val="indexentry0"/>
      </w:pPr>
      <w:hyperlink w:anchor="section_460020a0e12d47ab834a20f6779387b5">
        <w:r>
          <w:rPr>
            <w:rStyle w:val="Hyperlink"/>
          </w:rPr>
          <w:t>tblGrid (Table Grid)</w:t>
        </w:r>
      </w:hyperlink>
      <w:r>
        <w:t xml:space="preserve"> </w:t>
      </w:r>
      <w:r>
        <w:fldChar w:fldCharType="begin"/>
      </w:r>
      <w:r>
        <w:instrText>PAGEREF section_460020a0e12d47ab834a20f6779387b5</w:instrText>
      </w:r>
      <w:r>
        <w:fldChar w:fldCharType="separate"/>
      </w:r>
      <w:r>
        <w:rPr>
          <w:noProof/>
        </w:rPr>
        <w:t>545</w:t>
      </w:r>
      <w:r>
        <w:fldChar w:fldCharType="end"/>
      </w:r>
    </w:p>
    <w:p w:rsidR="005F78FC" w:rsidRDefault="00B42EF3">
      <w:pPr>
        <w:pStyle w:val="indexentry0"/>
      </w:pPr>
      <w:hyperlink w:anchor="section_1e829ce750c1488184750119e5e0d5bc">
        <w:r>
          <w:rPr>
            <w:rStyle w:val="Hyperlink"/>
          </w:rPr>
          <w:t>tblGridChange (Revision Information for Table Grid Column Definitions)</w:t>
        </w:r>
      </w:hyperlink>
      <w:r>
        <w:t xml:space="preserve"> </w:t>
      </w:r>
      <w:r>
        <w:fldChar w:fldCharType="begin"/>
      </w:r>
      <w:r>
        <w:instrText>PAGEREF section_1e829ce750c1488184750119e5e0d5b</w:instrText>
      </w:r>
      <w:r>
        <w:instrText>c</w:instrText>
      </w:r>
      <w:r>
        <w:fldChar w:fldCharType="separate"/>
      </w:r>
      <w:r>
        <w:rPr>
          <w:noProof/>
        </w:rPr>
        <w:t>142</w:t>
      </w:r>
      <w:r>
        <w:fldChar w:fldCharType="end"/>
      </w:r>
    </w:p>
    <w:p w:rsidR="005F78FC" w:rsidRDefault="00B42EF3">
      <w:pPr>
        <w:pStyle w:val="indexentry0"/>
      </w:pPr>
      <w:hyperlink w:anchor="section_eec0c73c18c2417699e614501f3a4ad7">
        <w:r>
          <w:rPr>
            <w:rStyle w:val="Hyperlink"/>
          </w:rPr>
          <w:t>tblInd (Table Indent from Leading Margin Exception)</w:t>
        </w:r>
      </w:hyperlink>
      <w:r>
        <w:t xml:space="preserve"> </w:t>
      </w:r>
      <w:r>
        <w:fldChar w:fldCharType="begin"/>
      </w:r>
      <w:r>
        <w:instrText>PAGEREF section_eec0c73c18c2417699e614501f3a4ad7</w:instrText>
      </w:r>
      <w:r>
        <w:fldChar w:fldCharType="separate"/>
      </w:r>
      <w:r>
        <w:rPr>
          <w:noProof/>
        </w:rPr>
        <w:t>90</w:t>
      </w:r>
      <w:r>
        <w:fldChar w:fldCharType="end"/>
      </w:r>
    </w:p>
    <w:p w:rsidR="005F78FC" w:rsidRDefault="00B42EF3">
      <w:pPr>
        <w:pStyle w:val="indexentry0"/>
      </w:pPr>
      <w:hyperlink w:anchor="section_cd88a1fb76c6477dad02f4d5f74e4a06">
        <w:r>
          <w:rPr>
            <w:rStyle w:val="Hyperlink"/>
          </w:rPr>
          <w:t>tblInd (Table Indent fr</w:t>
        </w:r>
        <w:r>
          <w:rPr>
            <w:rStyle w:val="Hyperlink"/>
          </w:rPr>
          <w:t>om Leading Margin)</w:t>
        </w:r>
      </w:hyperlink>
      <w:r>
        <w:t xml:space="preserve"> </w:t>
      </w:r>
      <w:r>
        <w:fldChar w:fldCharType="begin"/>
      </w:r>
      <w:r>
        <w:instrText>PAGEREF section_cd88a1fb76c6477dad02f4d5f74e4a06</w:instrText>
      </w:r>
      <w:r>
        <w:fldChar w:fldCharType="separate"/>
      </w:r>
      <w:r>
        <w:rPr>
          <w:noProof/>
        </w:rPr>
        <w:t>90</w:t>
      </w:r>
      <w:r>
        <w:fldChar w:fldCharType="end"/>
      </w:r>
    </w:p>
    <w:p w:rsidR="005F78FC" w:rsidRDefault="00B42EF3">
      <w:pPr>
        <w:pStyle w:val="indexentry0"/>
      </w:pPr>
      <w:hyperlink w:anchor="section_b27e9e3afa724ac099292b5971588b2b">
        <w:r>
          <w:rPr>
            <w:rStyle w:val="Hyperlink"/>
          </w:rPr>
          <w:t>tblLayout (Table Layout Exception)</w:t>
        </w:r>
      </w:hyperlink>
      <w:r>
        <w:t xml:space="preserve"> </w:t>
      </w:r>
      <w:r>
        <w:fldChar w:fldCharType="begin"/>
      </w:r>
      <w:r>
        <w:instrText>PAGEREF section_b27e9e3afa724ac099292b5971588b2b</w:instrText>
      </w:r>
      <w:r>
        <w:fldChar w:fldCharType="separate"/>
      </w:r>
      <w:r>
        <w:rPr>
          <w:noProof/>
        </w:rPr>
        <w:t>90</w:t>
      </w:r>
      <w:r>
        <w:fldChar w:fldCharType="end"/>
      </w:r>
    </w:p>
    <w:p w:rsidR="005F78FC" w:rsidRDefault="00B42EF3">
      <w:pPr>
        <w:pStyle w:val="indexentry0"/>
      </w:pPr>
      <w:hyperlink w:anchor="section_ae22d06082974b719f701fdf3625132a">
        <w:r>
          <w:rPr>
            <w:rStyle w:val="Hyperlink"/>
          </w:rPr>
          <w:t>tblLayout (Table Layout)</w:t>
        </w:r>
      </w:hyperlink>
      <w:r>
        <w:t xml:space="preserve"> </w:t>
      </w:r>
      <w:r>
        <w:fldChar w:fldCharType="begin"/>
      </w:r>
      <w:r>
        <w:instrText>PAGEREF section_ae22d06082974b719f701fdf3625132a</w:instrText>
      </w:r>
      <w:r>
        <w:fldChar w:fldCharType="separate"/>
      </w:r>
      <w:r>
        <w:rPr>
          <w:noProof/>
        </w:rPr>
        <w:t>90</w:t>
      </w:r>
      <w:r>
        <w:fldChar w:fldCharType="end"/>
      </w:r>
    </w:p>
    <w:p w:rsidR="005F78FC" w:rsidRDefault="00B42EF3">
      <w:pPr>
        <w:pStyle w:val="indexentry0"/>
      </w:pPr>
      <w:hyperlink w:anchor="section_814bc31910274d3c9cc52276e470e4a2">
        <w:r>
          <w:rPr>
            <w:rStyle w:val="Hyperlink"/>
          </w:rPr>
          <w:t>tblLook (Table Style Conditional Formatting Settings Exception)</w:t>
        </w:r>
      </w:hyperlink>
      <w:r>
        <w:t xml:space="preserve"> </w:t>
      </w:r>
      <w:r>
        <w:fldChar w:fldCharType="begin"/>
      </w:r>
      <w:r>
        <w:instrText>PAGEREF section_814bc3</w:instrText>
      </w:r>
      <w:r>
        <w:instrText>1910274d3c9cc52276e470e4a2</w:instrText>
      </w:r>
      <w:r>
        <w:fldChar w:fldCharType="separate"/>
      </w:r>
      <w:r>
        <w:rPr>
          <w:noProof/>
        </w:rPr>
        <w:t>90</w:t>
      </w:r>
      <w:r>
        <w:fldChar w:fldCharType="end"/>
      </w:r>
    </w:p>
    <w:p w:rsidR="005F78FC" w:rsidRDefault="00B42EF3">
      <w:pPr>
        <w:pStyle w:val="indexentry0"/>
      </w:pPr>
      <w:hyperlink w:anchor="section_90f075ceb16d422ab1b039c9777a594e">
        <w:r>
          <w:rPr>
            <w:rStyle w:val="Hyperlink"/>
          </w:rPr>
          <w:t>tblLook (Table Style Conditional Formatting Settings)</w:t>
        </w:r>
      </w:hyperlink>
      <w:r>
        <w:t xml:space="preserve"> </w:t>
      </w:r>
      <w:r>
        <w:fldChar w:fldCharType="begin"/>
      </w:r>
      <w:r>
        <w:instrText>PAGEREF section_90f075ceb16d422ab1b039c9777a594e</w:instrText>
      </w:r>
      <w:r>
        <w:fldChar w:fldCharType="separate"/>
      </w:r>
      <w:r>
        <w:rPr>
          <w:noProof/>
        </w:rPr>
        <w:t>91</w:t>
      </w:r>
      <w:r>
        <w:fldChar w:fldCharType="end"/>
      </w:r>
    </w:p>
    <w:p w:rsidR="005F78FC" w:rsidRDefault="00B42EF3">
      <w:pPr>
        <w:pStyle w:val="indexentry0"/>
      </w:pPr>
      <w:hyperlink w:anchor="section_56c0b0dedcc146fda1e1ea2310dc7741">
        <w:r>
          <w:rPr>
            <w:rStyle w:val="Hyperlink"/>
          </w:rPr>
          <w:t>tblOverlap (Floating Table Allows Other Tables to Overlap)</w:t>
        </w:r>
      </w:hyperlink>
      <w:r>
        <w:t xml:space="preserve"> </w:t>
      </w:r>
      <w:r>
        <w:fldChar w:fldCharType="begin"/>
      </w:r>
      <w:r>
        <w:instrText>PAGEREF section_56c0b0dedcc146fda1e1ea2310dc7741</w:instrText>
      </w:r>
      <w:r>
        <w:fldChar w:fldCharType="separate"/>
      </w:r>
      <w:r>
        <w:rPr>
          <w:noProof/>
        </w:rPr>
        <w:t>91</w:t>
      </w:r>
      <w:r>
        <w:fldChar w:fldCharType="end"/>
      </w:r>
    </w:p>
    <w:p w:rsidR="005F78FC" w:rsidRDefault="00B42EF3">
      <w:pPr>
        <w:pStyle w:val="indexentry0"/>
      </w:pPr>
      <w:hyperlink w:anchor="section_4175e818958f4b4fb6f717003f1721b5">
        <w:r>
          <w:rPr>
            <w:rStyle w:val="Hyperlink"/>
          </w:rPr>
          <w:t>tblpPr (Floating Table Positioning)</w:t>
        </w:r>
      </w:hyperlink>
      <w:r>
        <w:t xml:space="preserve"> </w:t>
      </w:r>
      <w:r>
        <w:fldChar w:fldCharType="begin"/>
      </w:r>
      <w:r>
        <w:instrText>PAGEREF section_4175e818958f4b4fb6f71700</w:instrText>
      </w:r>
      <w:r>
        <w:instrText>3f1721b5</w:instrText>
      </w:r>
      <w:r>
        <w:fldChar w:fldCharType="separate"/>
      </w:r>
      <w:r>
        <w:rPr>
          <w:noProof/>
        </w:rPr>
        <w:t>91</w:t>
      </w:r>
      <w:r>
        <w:fldChar w:fldCharType="end"/>
      </w:r>
    </w:p>
    <w:p w:rsidR="005F78FC" w:rsidRDefault="00B42EF3">
      <w:pPr>
        <w:pStyle w:val="indexentry0"/>
      </w:pPr>
      <w:hyperlink w:anchor="section_b838cab3eb77495a9cb98c6e693f0ac1">
        <w:r>
          <w:rPr>
            <w:rStyle w:val="Hyperlink"/>
          </w:rPr>
          <w:t>tblPr (Previous Table Properties)</w:t>
        </w:r>
      </w:hyperlink>
      <w:r>
        <w:t xml:space="preserve"> </w:t>
      </w:r>
      <w:r>
        <w:fldChar w:fldCharType="begin"/>
      </w:r>
      <w:r>
        <w:instrText>PAGEREF section_b838cab3eb77495a9cb98c6e693f0ac1</w:instrText>
      </w:r>
      <w:r>
        <w:fldChar w:fldCharType="separate"/>
      </w:r>
      <w:r>
        <w:rPr>
          <w:noProof/>
        </w:rPr>
        <w:t>92</w:t>
      </w:r>
      <w:r>
        <w:fldChar w:fldCharType="end"/>
      </w:r>
    </w:p>
    <w:p w:rsidR="005F78FC" w:rsidRDefault="00B42EF3">
      <w:pPr>
        <w:pStyle w:val="indexentry0"/>
      </w:pPr>
      <w:hyperlink w:anchor="section_9110e397e8e24e23af712fa84eab74f5">
        <w:r>
          <w:rPr>
            <w:rStyle w:val="Hyperlink"/>
          </w:rPr>
          <w:t>tblPr (Style Table Properties)</w:t>
        </w:r>
      </w:hyperlink>
      <w:r>
        <w:t xml:space="preserve"> </w:t>
      </w:r>
      <w:r>
        <w:fldChar w:fldCharType="begin"/>
      </w:r>
      <w:r>
        <w:instrText>PAGEREF section_9110e397e8e24e23af712fa84eab74f5</w:instrText>
      </w:r>
      <w:r>
        <w:fldChar w:fldCharType="separate"/>
      </w:r>
      <w:r>
        <w:rPr>
          <w:noProof/>
        </w:rPr>
        <w:t>121</w:t>
      </w:r>
      <w:r>
        <w:fldChar w:fldCharType="end"/>
      </w:r>
    </w:p>
    <w:p w:rsidR="005F78FC" w:rsidRDefault="00B42EF3">
      <w:pPr>
        <w:pStyle w:val="indexentry0"/>
      </w:pPr>
      <w:hyperlink w:anchor="section_2020ce86cc3945b28bec82dc97435c44">
        <w:r>
          <w:rPr>
            <w:rStyle w:val="Hyperlink"/>
          </w:rPr>
          <w:t>tblPr (Table Properties)</w:t>
        </w:r>
      </w:hyperlink>
      <w:r>
        <w:t xml:space="preserve"> </w:t>
      </w:r>
      <w:r>
        <w:fldChar w:fldCharType="begin"/>
      </w:r>
      <w:r>
        <w:instrText>PAGEREF section_2020ce86cc3945b28bec82dc97435c44</w:instrText>
      </w:r>
      <w:r>
        <w:fldChar w:fldCharType="separate"/>
      </w:r>
      <w:r>
        <w:rPr>
          <w:noProof/>
        </w:rPr>
        <w:t>92</w:t>
      </w:r>
      <w:r>
        <w:fldChar w:fldCharType="end"/>
      </w:r>
    </w:p>
    <w:p w:rsidR="005F78FC" w:rsidRDefault="00B42EF3">
      <w:pPr>
        <w:pStyle w:val="indexentry0"/>
      </w:pPr>
      <w:hyperlink w:anchor="section_8ab3579cde9a4cdc931d261772a2365e">
        <w:r>
          <w:rPr>
            <w:rStyle w:val="Hyperlink"/>
          </w:rPr>
          <w:t>tblPr (Table Style Conditional Formatting Table Properties)</w:t>
        </w:r>
      </w:hyperlink>
      <w:r>
        <w:t xml:space="preserve"> </w:t>
      </w:r>
      <w:r>
        <w:fldChar w:fldCharType="begin"/>
      </w:r>
      <w:r>
        <w:instrText>PAGEREF section_8ab3579cde9a4cdc931d261772a2365e</w:instrText>
      </w:r>
      <w:r>
        <w:fldChar w:fldCharType="separate"/>
      </w:r>
      <w:r>
        <w:rPr>
          <w:noProof/>
        </w:rPr>
        <w:t>121</w:t>
      </w:r>
      <w:r>
        <w:fldChar w:fldCharType="end"/>
      </w:r>
    </w:p>
    <w:p w:rsidR="005F78FC" w:rsidRDefault="00B42EF3">
      <w:pPr>
        <w:pStyle w:val="indexentry0"/>
      </w:pPr>
      <w:hyperlink w:anchor="section_0f826fe09212450781a1cc695561c0bc">
        <w:r>
          <w:rPr>
            <w:rStyle w:val="Hyperlink"/>
          </w:rPr>
          <w:t>tblPrChange (Revision Information for Table Properties)</w:t>
        </w:r>
      </w:hyperlink>
      <w:r>
        <w:t xml:space="preserve"> </w:t>
      </w:r>
      <w:r>
        <w:fldChar w:fldCharType="begin"/>
      </w:r>
      <w:r>
        <w:instrText>PAGEREF section_0f826fe</w:instrText>
      </w:r>
      <w:r>
        <w:instrText>09212450781a1cc695561c0bc</w:instrText>
      </w:r>
      <w:r>
        <w:fldChar w:fldCharType="separate"/>
      </w:r>
      <w:r>
        <w:rPr>
          <w:noProof/>
        </w:rPr>
        <w:t>142</w:t>
      </w:r>
      <w:r>
        <w:fldChar w:fldCharType="end"/>
      </w:r>
    </w:p>
    <w:p w:rsidR="005F78FC" w:rsidRDefault="00B42EF3">
      <w:pPr>
        <w:pStyle w:val="indexentry0"/>
      </w:pPr>
      <w:hyperlink w:anchor="section_9f2644cb18224b9992b7b781740e0f88">
        <w:r>
          <w:rPr>
            <w:rStyle w:val="Hyperlink"/>
          </w:rPr>
          <w:t>tblPrExChange (Revision Information for Table-Level Property Exceptions)</w:t>
        </w:r>
      </w:hyperlink>
      <w:r>
        <w:t xml:space="preserve"> </w:t>
      </w:r>
      <w:r>
        <w:fldChar w:fldCharType="begin"/>
      </w:r>
      <w:r>
        <w:instrText>PAGEREF section_9f2644cb18224b9992b7b781740e0f88</w:instrText>
      </w:r>
      <w:r>
        <w:fldChar w:fldCharType="separate"/>
      </w:r>
      <w:r>
        <w:rPr>
          <w:noProof/>
        </w:rPr>
        <w:t>142</w:t>
      </w:r>
      <w:r>
        <w:fldChar w:fldCharType="end"/>
      </w:r>
    </w:p>
    <w:p w:rsidR="005F78FC" w:rsidRDefault="00B42EF3">
      <w:pPr>
        <w:pStyle w:val="indexentry0"/>
      </w:pPr>
      <w:hyperlink w:anchor="section_35aa3feae5804ca695bdcb921384f005">
        <w:r>
          <w:rPr>
            <w:rStyle w:val="Hyperlink"/>
          </w:rPr>
          <w:t>tblStyle (Referenced Table Style)</w:t>
        </w:r>
      </w:hyperlink>
      <w:r>
        <w:t xml:space="preserve"> </w:t>
      </w:r>
      <w:r>
        <w:fldChar w:fldCharType="begin"/>
      </w:r>
      <w:r>
        <w:instrText>PAGEREF section_35aa3feae5804ca695bdcb921384f005</w:instrText>
      </w:r>
      <w:r>
        <w:fldChar w:fldCharType="separate"/>
      </w:r>
      <w:r>
        <w:rPr>
          <w:noProof/>
        </w:rPr>
        <w:t>92</w:t>
      </w:r>
      <w:r>
        <w:fldChar w:fldCharType="end"/>
      </w:r>
    </w:p>
    <w:p w:rsidR="005F78FC" w:rsidRDefault="00B42EF3">
      <w:pPr>
        <w:pStyle w:val="indexentry0"/>
      </w:pPr>
      <w:hyperlink w:anchor="section_90de40855fbf47a7bc37d59509481d0a">
        <w:r>
          <w:rPr>
            <w:rStyle w:val="Hyperlink"/>
          </w:rPr>
          <w:t>tblStyle (Table Style)</w:t>
        </w:r>
      </w:hyperlink>
      <w:r>
        <w:t xml:space="preserve"> </w:t>
      </w:r>
      <w:r>
        <w:fldChar w:fldCharType="begin"/>
      </w:r>
      <w:r>
        <w:instrText>PAGEREF section_90de40855fbf47a7bc37d59509481d0a</w:instrText>
      </w:r>
      <w:r>
        <w:fldChar w:fldCharType="separate"/>
      </w:r>
      <w:r>
        <w:rPr>
          <w:noProof/>
        </w:rPr>
        <w:t>509</w:t>
      </w:r>
      <w:r>
        <w:fldChar w:fldCharType="end"/>
      </w:r>
    </w:p>
    <w:p w:rsidR="005F78FC" w:rsidRDefault="00B42EF3">
      <w:pPr>
        <w:pStyle w:val="indexentry0"/>
      </w:pPr>
      <w:hyperlink w:anchor="section_6998fa345ceb40a7b3b5ac4591c2f09e">
        <w:r>
          <w:rPr>
            <w:rStyle w:val="Hyperlink"/>
          </w:rPr>
          <w:t>tblStyleColBandSize (Number of Columns in Column Band)</w:t>
        </w:r>
      </w:hyperlink>
      <w:r>
        <w:t xml:space="preserve"> </w:t>
      </w:r>
      <w:r>
        <w:fldChar w:fldCharType="begin"/>
      </w:r>
      <w:r>
        <w:instrText>PAGEREF section_6998fa345ceb40a7b3b5ac4591c2f09e</w:instrText>
      </w:r>
      <w:r>
        <w:fldChar w:fldCharType="separate"/>
      </w:r>
      <w:r>
        <w:rPr>
          <w:noProof/>
        </w:rPr>
        <w:t>121</w:t>
      </w:r>
      <w:r>
        <w:fldChar w:fldCharType="end"/>
      </w:r>
    </w:p>
    <w:p w:rsidR="005F78FC" w:rsidRDefault="00B42EF3">
      <w:pPr>
        <w:pStyle w:val="indexentry0"/>
      </w:pPr>
      <w:hyperlink w:anchor="section_2ac331d4cf1e4fa08bca6da74411e284">
        <w:r>
          <w:rPr>
            <w:rStyle w:val="Hyperlink"/>
          </w:rPr>
          <w:t>tblStylePr (Style Conditional Tab</w:t>
        </w:r>
        <w:r>
          <w:rPr>
            <w:rStyle w:val="Hyperlink"/>
          </w:rPr>
          <w:t>le Formatting Properties)</w:t>
        </w:r>
      </w:hyperlink>
      <w:r>
        <w:t xml:space="preserve"> </w:t>
      </w:r>
      <w:r>
        <w:fldChar w:fldCharType="begin"/>
      </w:r>
      <w:r>
        <w:instrText>PAGEREF section_2ac331d4cf1e4fa08bca6da74411e284</w:instrText>
      </w:r>
      <w:r>
        <w:fldChar w:fldCharType="separate"/>
      </w:r>
      <w:r>
        <w:rPr>
          <w:noProof/>
        </w:rPr>
        <w:t>121</w:t>
      </w:r>
      <w:r>
        <w:fldChar w:fldCharType="end"/>
      </w:r>
    </w:p>
    <w:p w:rsidR="005F78FC" w:rsidRDefault="00B42EF3">
      <w:pPr>
        <w:pStyle w:val="indexentry0"/>
      </w:pPr>
      <w:hyperlink w:anchor="section_77519f5b08b345479f5d0c4d87854220">
        <w:r>
          <w:rPr>
            <w:rStyle w:val="Hyperlink"/>
          </w:rPr>
          <w:t>tblStyleRowBandSize (Number of Rows in Row Band)</w:t>
        </w:r>
      </w:hyperlink>
      <w:r>
        <w:t xml:space="preserve"> </w:t>
      </w:r>
      <w:r>
        <w:fldChar w:fldCharType="begin"/>
      </w:r>
      <w:r>
        <w:instrText>PAGEREF section_77519f5b08b345479f5d0c4d87854220</w:instrText>
      </w:r>
      <w:r>
        <w:fldChar w:fldCharType="separate"/>
      </w:r>
      <w:r>
        <w:rPr>
          <w:noProof/>
        </w:rPr>
        <w:t>122</w:t>
      </w:r>
      <w:r>
        <w:fldChar w:fldCharType="end"/>
      </w:r>
    </w:p>
    <w:p w:rsidR="005F78FC" w:rsidRDefault="00B42EF3">
      <w:pPr>
        <w:pStyle w:val="indexentry0"/>
      </w:pPr>
      <w:hyperlink w:anchor="section_9b01c51ffe5d472cba38bc12ce971ad2">
        <w:r>
          <w:rPr>
            <w:rStyle w:val="Hyperlink"/>
          </w:rPr>
          <w:t>tblW (Preferred Table Width Exception)</w:t>
        </w:r>
      </w:hyperlink>
      <w:r>
        <w:t xml:space="preserve"> </w:t>
      </w:r>
      <w:r>
        <w:fldChar w:fldCharType="begin"/>
      </w:r>
      <w:r>
        <w:instrText>PAGEREF section_9b01c51ffe5d472cba38bc12ce971ad2</w:instrText>
      </w:r>
      <w:r>
        <w:fldChar w:fldCharType="separate"/>
      </w:r>
      <w:r>
        <w:rPr>
          <w:noProof/>
        </w:rPr>
        <w:t>93</w:t>
      </w:r>
      <w:r>
        <w:fldChar w:fldCharType="end"/>
      </w:r>
    </w:p>
    <w:p w:rsidR="005F78FC" w:rsidRDefault="00B42EF3">
      <w:pPr>
        <w:pStyle w:val="indexentry0"/>
      </w:pPr>
      <w:hyperlink w:anchor="section_5d923fcc83b6489e8761c0a8b7fa7c47">
        <w:r>
          <w:rPr>
            <w:rStyle w:val="Hyperlink"/>
          </w:rPr>
          <w:t>tblW (Preferred Table Width)</w:t>
        </w:r>
      </w:hyperlink>
      <w:r>
        <w:t xml:space="preserve"> </w:t>
      </w:r>
      <w:r>
        <w:fldChar w:fldCharType="begin"/>
      </w:r>
      <w:r>
        <w:instrText>PAGEREF se</w:instrText>
      </w:r>
      <w:r>
        <w:instrText>ction_5d923fcc83b6489e8761c0a8b7fa7c47</w:instrText>
      </w:r>
      <w:r>
        <w:fldChar w:fldCharType="separate"/>
      </w:r>
      <w:r>
        <w:rPr>
          <w:noProof/>
        </w:rPr>
        <w:t>92</w:t>
      </w:r>
      <w:r>
        <w:fldChar w:fldCharType="end"/>
      </w:r>
    </w:p>
    <w:p w:rsidR="005F78FC" w:rsidRDefault="00B42EF3">
      <w:pPr>
        <w:pStyle w:val="indexentry0"/>
      </w:pPr>
      <w:r>
        <w:t>tc (Table Cell) (</w:t>
      </w:r>
      <w:hyperlink w:anchor="section_51518f1baa8746adaf91607351eba2db">
        <w:r>
          <w:rPr>
            <w:rStyle w:val="Hyperlink"/>
          </w:rPr>
          <w:t>section 2.1.168</w:t>
        </w:r>
      </w:hyperlink>
      <w:r>
        <w:t xml:space="preserve"> </w:t>
      </w:r>
      <w:r>
        <w:fldChar w:fldCharType="begin"/>
      </w:r>
      <w:r>
        <w:instrText>PAGEREF section_51518f1baa8746adaf91607351eba2db</w:instrText>
      </w:r>
      <w:r>
        <w:fldChar w:fldCharType="separate"/>
      </w:r>
      <w:r>
        <w:rPr>
          <w:noProof/>
        </w:rPr>
        <w:t>93</w:t>
      </w:r>
      <w:r>
        <w:fldChar w:fldCharType="end"/>
      </w:r>
      <w:r>
        <w:t xml:space="preserve">, </w:t>
      </w:r>
      <w:hyperlink w:anchor="section_f9366bfc1f6c4e97a2f540f83aebb61c">
        <w:r>
          <w:rPr>
            <w:rStyle w:val="Hyperlink"/>
          </w:rPr>
          <w:t>sect</w:t>
        </w:r>
        <w:r>
          <w:rPr>
            <w:rStyle w:val="Hyperlink"/>
          </w:rPr>
          <w:t>ion 2.1.1421</w:t>
        </w:r>
      </w:hyperlink>
      <w:r>
        <w:t xml:space="preserve"> </w:t>
      </w:r>
      <w:r>
        <w:fldChar w:fldCharType="begin"/>
      </w:r>
      <w:r>
        <w:instrText>PAGEREF section_f9366bfc1f6c4e97a2f540f83aebb61c</w:instrText>
      </w:r>
      <w:r>
        <w:fldChar w:fldCharType="separate"/>
      </w:r>
      <w:r>
        <w:rPr>
          <w:noProof/>
        </w:rPr>
        <w:t>545</w:t>
      </w:r>
      <w:r>
        <w:fldChar w:fldCharType="end"/>
      </w:r>
      <w:r>
        <w:t>)</w:t>
      </w:r>
    </w:p>
    <w:p w:rsidR="005F78FC" w:rsidRDefault="00B42EF3">
      <w:pPr>
        <w:pStyle w:val="indexentry0"/>
      </w:pPr>
      <w:hyperlink w:anchor="section_7c791c5d44c34fe8abdd8f136761bb93">
        <w:r>
          <w:rPr>
            <w:rStyle w:val="Hyperlink"/>
          </w:rPr>
          <w:t>tcBorders (Table Cell Borders)</w:t>
        </w:r>
      </w:hyperlink>
      <w:r>
        <w:t xml:space="preserve"> </w:t>
      </w:r>
      <w:r>
        <w:fldChar w:fldCharType="begin"/>
      </w:r>
      <w:r>
        <w:instrText>PAGEREF section_7c791c5d44c34fe8abdd8f136761bb93</w:instrText>
      </w:r>
      <w:r>
        <w:fldChar w:fldCharType="separate"/>
      </w:r>
      <w:r>
        <w:rPr>
          <w:noProof/>
        </w:rPr>
        <w:t>93</w:t>
      </w:r>
      <w:r>
        <w:fldChar w:fldCharType="end"/>
      </w:r>
    </w:p>
    <w:p w:rsidR="005F78FC" w:rsidRDefault="00B42EF3">
      <w:pPr>
        <w:pStyle w:val="indexentry0"/>
      </w:pPr>
      <w:hyperlink w:anchor="section_1839bb55e06a4fd1b1813d89018a0151">
        <w:r>
          <w:rPr>
            <w:rStyle w:val="Hyperlink"/>
          </w:rPr>
          <w:t>tcFitText (Fit Text Within Cell)</w:t>
        </w:r>
      </w:hyperlink>
      <w:r>
        <w:t xml:space="preserve"> </w:t>
      </w:r>
      <w:r>
        <w:fldChar w:fldCharType="begin"/>
      </w:r>
      <w:r>
        <w:instrText>PAGEREF section_1839bb55e06a4fd1b1813d89018a0151</w:instrText>
      </w:r>
      <w:r>
        <w:fldChar w:fldCharType="separate"/>
      </w:r>
      <w:r>
        <w:rPr>
          <w:noProof/>
        </w:rPr>
        <w:t>95</w:t>
      </w:r>
      <w:r>
        <w:fldChar w:fldCharType="end"/>
      </w:r>
    </w:p>
    <w:p w:rsidR="005F78FC" w:rsidRDefault="00B42EF3">
      <w:pPr>
        <w:pStyle w:val="indexentry0"/>
      </w:pPr>
      <w:hyperlink w:anchor="section_611795947ec745d68a2df9ece7863986">
        <w:r>
          <w:rPr>
            <w:rStyle w:val="Hyperlink"/>
          </w:rPr>
          <w:t>tcg (Keyboard and Toolbar Customizations)</w:t>
        </w:r>
      </w:hyperlink>
      <w:r>
        <w:t xml:space="preserve"> </w:t>
      </w:r>
      <w:r>
        <w:fldChar w:fldCharType="begin"/>
      </w:r>
      <w:r>
        <w:instrText>PAGEREF section_611795947ec745d68a2df9ece7863</w:instrText>
      </w:r>
      <w:r>
        <w:instrText>986</w:instrText>
      </w:r>
      <w:r>
        <w:fldChar w:fldCharType="separate"/>
      </w:r>
      <w:r>
        <w:rPr>
          <w:noProof/>
        </w:rPr>
        <w:t>705</w:t>
      </w:r>
      <w:r>
        <w:fldChar w:fldCharType="end"/>
      </w:r>
    </w:p>
    <w:p w:rsidR="005F78FC" w:rsidRDefault="00B42EF3">
      <w:pPr>
        <w:pStyle w:val="indexentry0"/>
      </w:pPr>
      <w:hyperlink w:anchor="section_9e742550b4384b9d96064ae34d83830f">
        <w:r>
          <w:rPr>
            <w:rStyle w:val="Hyperlink"/>
          </w:rPr>
          <w:t>tcPr (Style Table Cell Properties)</w:t>
        </w:r>
      </w:hyperlink>
      <w:r>
        <w:t xml:space="preserve"> </w:t>
      </w:r>
      <w:r>
        <w:fldChar w:fldCharType="begin"/>
      </w:r>
      <w:r>
        <w:instrText>PAGEREF section_9e742550b4384b9d96064ae34d83830f</w:instrText>
      </w:r>
      <w:r>
        <w:fldChar w:fldCharType="separate"/>
      </w:r>
      <w:r>
        <w:rPr>
          <w:noProof/>
        </w:rPr>
        <w:t>122</w:t>
      </w:r>
      <w:r>
        <w:fldChar w:fldCharType="end"/>
      </w:r>
    </w:p>
    <w:p w:rsidR="005F78FC" w:rsidRDefault="00B42EF3">
      <w:pPr>
        <w:pStyle w:val="indexentry0"/>
      </w:pPr>
      <w:hyperlink w:anchor="section_348cf5dd492c4e2b9fe3c4996f8c52e5">
        <w:r>
          <w:rPr>
            <w:rStyle w:val="Hyperlink"/>
          </w:rPr>
          <w:t>tcPr (Table Style Conditional Formatti</w:t>
        </w:r>
        <w:r>
          <w:rPr>
            <w:rStyle w:val="Hyperlink"/>
          </w:rPr>
          <w:t>ng Table Cell Properties)</w:t>
        </w:r>
      </w:hyperlink>
      <w:r>
        <w:t xml:space="preserve"> </w:t>
      </w:r>
      <w:r>
        <w:fldChar w:fldCharType="begin"/>
      </w:r>
      <w:r>
        <w:instrText>PAGEREF section_348cf5dd492c4e2b9fe3c4996f8c52e5</w:instrText>
      </w:r>
      <w:r>
        <w:fldChar w:fldCharType="separate"/>
      </w:r>
      <w:r>
        <w:rPr>
          <w:noProof/>
        </w:rPr>
        <w:t>122</w:t>
      </w:r>
      <w:r>
        <w:fldChar w:fldCharType="end"/>
      </w:r>
    </w:p>
    <w:p w:rsidR="005F78FC" w:rsidRDefault="00B42EF3">
      <w:pPr>
        <w:pStyle w:val="indexentry0"/>
      </w:pPr>
      <w:hyperlink w:anchor="section_784866f51c0947c48ea8696c1f0b2ac2">
        <w:r>
          <w:rPr>
            <w:rStyle w:val="Hyperlink"/>
          </w:rPr>
          <w:t>tcPrChange (Revision Information for Table Cell Properties)</w:t>
        </w:r>
      </w:hyperlink>
      <w:r>
        <w:t xml:space="preserve"> </w:t>
      </w:r>
      <w:r>
        <w:fldChar w:fldCharType="begin"/>
      </w:r>
      <w:r>
        <w:instrText>PAGEREF section_784866f51c0947c48ea8696c1f0b2ac2</w:instrText>
      </w:r>
      <w:r>
        <w:fldChar w:fldCharType="separate"/>
      </w:r>
      <w:r>
        <w:rPr>
          <w:noProof/>
        </w:rPr>
        <w:t>142</w:t>
      </w:r>
      <w:r>
        <w:fldChar w:fldCharType="end"/>
      </w:r>
    </w:p>
    <w:p w:rsidR="005F78FC" w:rsidRDefault="00B42EF3">
      <w:pPr>
        <w:pStyle w:val="indexentry0"/>
      </w:pPr>
      <w:hyperlink w:anchor="section_57cf0f4610394fd089650ea4f8336fad">
        <w:r>
          <w:rPr>
            <w:rStyle w:val="Hyperlink"/>
          </w:rPr>
          <w:t>tcW (Preferred Table Cell Width)</w:t>
        </w:r>
      </w:hyperlink>
      <w:r>
        <w:t xml:space="preserve"> </w:t>
      </w:r>
      <w:r>
        <w:fldChar w:fldCharType="begin"/>
      </w:r>
      <w:r>
        <w:instrText>PAGEREF section_57cf0f4610394fd089650ea4f8336fad</w:instrText>
      </w:r>
      <w:r>
        <w:fldChar w:fldCharType="separate"/>
      </w:r>
      <w:r>
        <w:rPr>
          <w:noProof/>
        </w:rPr>
        <w:t>96</w:t>
      </w:r>
      <w:r>
        <w:fldChar w:fldCharType="end"/>
      </w:r>
    </w:p>
    <w:p w:rsidR="005F78FC" w:rsidRDefault="00B42EF3">
      <w:pPr>
        <w:pStyle w:val="indexentry0"/>
      </w:pPr>
      <w:hyperlink w:anchor="section_1b90d6fc50354192b867ad4e1e0f86e7">
        <w:r>
          <w:rPr>
            <w:rStyle w:val="Hyperlink"/>
          </w:rPr>
          <w:t>TEMPLATE</w:t>
        </w:r>
      </w:hyperlink>
      <w:r>
        <w:t xml:space="preserve"> </w:t>
      </w:r>
      <w:r>
        <w:fldChar w:fldCharType="begin"/>
      </w:r>
      <w:r>
        <w:instrText>PAGEREF section_1b90d6fc50354192b867</w:instrText>
      </w:r>
      <w:r>
        <w:instrText>ad4e1e0f86e7</w:instrText>
      </w:r>
      <w:r>
        <w:fldChar w:fldCharType="separate"/>
      </w:r>
      <w:r>
        <w:rPr>
          <w:noProof/>
        </w:rPr>
        <w:t>227</w:t>
      </w:r>
      <w:r>
        <w:fldChar w:fldCharType="end"/>
      </w:r>
    </w:p>
    <w:p w:rsidR="005F78FC" w:rsidRDefault="00B42EF3">
      <w:pPr>
        <w:pStyle w:val="indexentry0"/>
      </w:pPr>
      <w:hyperlink w:anchor="section_3f646bb2ec694ae29201d5b67fc28e70">
        <w:r>
          <w:rPr>
            <w:rStyle w:val="Hyperlink"/>
          </w:rPr>
          <w:t>temporary (Remove Structured Document Tag When Contents Are Edited)</w:t>
        </w:r>
      </w:hyperlink>
      <w:r>
        <w:t xml:space="preserve"> </w:t>
      </w:r>
      <w:r>
        <w:fldChar w:fldCharType="begin"/>
      </w:r>
      <w:r>
        <w:instrText>PAGEREF section_3f646bb2ec694ae29201d5b67fc28e70</w:instrText>
      </w:r>
      <w:r>
        <w:fldChar w:fldCharType="separate"/>
      </w:r>
      <w:r>
        <w:rPr>
          <w:noProof/>
        </w:rPr>
        <w:t>104</w:t>
      </w:r>
      <w:r>
        <w:fldChar w:fldCharType="end"/>
      </w:r>
    </w:p>
    <w:p w:rsidR="005F78FC" w:rsidRDefault="00B42EF3">
      <w:pPr>
        <w:pStyle w:val="indexentry0"/>
      </w:pPr>
      <w:hyperlink w:anchor="section_ef31a978e97949ee82693ea9b145bef3">
        <w:r>
          <w:rPr>
            <w:rStyle w:val="Hyperlink"/>
          </w:rPr>
          <w:t>text (Comment Text)</w:t>
        </w:r>
      </w:hyperlink>
      <w:r>
        <w:t xml:space="preserve"> </w:t>
      </w:r>
      <w:r>
        <w:fldChar w:fldCharType="begin"/>
      </w:r>
      <w:r>
        <w:instrText>PAGEREF section_ef31a978e97949ee82693ea9b145bef3</w:instrText>
      </w:r>
      <w:r>
        <w:fldChar w:fldCharType="separate"/>
      </w:r>
      <w:r>
        <w:rPr>
          <w:noProof/>
        </w:rPr>
        <w:t>298</w:t>
      </w:r>
      <w:r>
        <w:fldChar w:fldCharType="end"/>
      </w:r>
    </w:p>
    <w:p w:rsidR="005F78FC" w:rsidRDefault="00B42EF3">
      <w:pPr>
        <w:pStyle w:val="indexentry0"/>
      </w:pPr>
      <w:hyperlink w:anchor="section_f88c8cefd1f442bfb2da6aa9f2dd128e">
        <w:r>
          <w:rPr>
            <w:rStyle w:val="Hyperlink"/>
          </w:rPr>
          <w:t>textbox (Text Box)</w:t>
        </w:r>
      </w:hyperlink>
      <w:r>
        <w:t xml:space="preserve"> </w:t>
      </w:r>
      <w:r>
        <w:fldChar w:fldCharType="begin"/>
      </w:r>
      <w:r>
        <w:instrText>PAGEREF section_f88c8cefd1f442bfb2da6aa9f2dd128e</w:instrText>
      </w:r>
      <w:r>
        <w:fldChar w:fldCharType="separate"/>
      </w:r>
      <w:r>
        <w:rPr>
          <w:noProof/>
        </w:rPr>
        <w:t>658</w:t>
      </w:r>
      <w:r>
        <w:fldChar w:fldCharType="end"/>
      </w:r>
    </w:p>
    <w:p w:rsidR="005F78FC" w:rsidRDefault="00B42EF3">
      <w:pPr>
        <w:pStyle w:val="indexentry0"/>
      </w:pPr>
      <w:hyperlink w:anchor="section_65c200ca97df41caa4fcf55246052527">
        <w:r>
          <w:rPr>
            <w:rStyle w:val="Hyperlink"/>
          </w:rPr>
          <w:t>textboxTightWrap (Allow Surrounding Paragraphs to Tight Wrap to Text Box Contents)</w:t>
        </w:r>
      </w:hyperlink>
      <w:r>
        <w:t xml:space="preserve"> </w:t>
      </w:r>
      <w:r>
        <w:fldChar w:fldCharType="begin"/>
      </w:r>
      <w:r>
        <w:instrText>PAGEREF section_65c200ca97df41caa4fcf55246052527</w:instrText>
      </w:r>
      <w:r>
        <w:fldChar w:fldCharType="separate"/>
      </w:r>
      <w:r>
        <w:rPr>
          <w:noProof/>
        </w:rPr>
        <w:t>70</w:t>
      </w:r>
      <w:r>
        <w:fldChar w:fldCharType="end"/>
      </w:r>
    </w:p>
    <w:p w:rsidR="005F78FC" w:rsidRDefault="00B42EF3">
      <w:pPr>
        <w:pStyle w:val="indexentry0"/>
      </w:pPr>
      <w:hyperlink w:anchor="section_4cf33f25c60445a1bd239d283a508e15">
        <w:r>
          <w:rPr>
            <w:rStyle w:val="Hyperlink"/>
          </w:rPr>
          <w:t>textdata (VML Diagram Text)</w:t>
        </w:r>
      </w:hyperlink>
      <w:r>
        <w:t xml:space="preserve"> </w:t>
      </w:r>
      <w:r>
        <w:fldChar w:fldCharType="begin"/>
      </w:r>
      <w:r>
        <w:instrText>PAGEREF sec</w:instrText>
      </w:r>
      <w:r>
        <w:instrText>tion_4cf33f25c60445a1bd239d283a508e15</w:instrText>
      </w:r>
      <w:r>
        <w:fldChar w:fldCharType="separate"/>
      </w:r>
      <w:r>
        <w:rPr>
          <w:noProof/>
        </w:rPr>
        <w:t>683</w:t>
      </w:r>
      <w:r>
        <w:fldChar w:fldCharType="end"/>
      </w:r>
    </w:p>
    <w:p w:rsidR="005F78FC" w:rsidRDefault="00B42EF3">
      <w:pPr>
        <w:pStyle w:val="indexentry0"/>
      </w:pPr>
      <w:hyperlink w:anchor="section_e80c7fbf1f174786921bfa5be9194ae9">
        <w:r>
          <w:rPr>
            <w:rStyle w:val="Hyperlink"/>
          </w:rPr>
          <w:t>textDirection (Paragraph Text Flow Direction)</w:t>
        </w:r>
      </w:hyperlink>
      <w:r>
        <w:t xml:space="preserve"> </w:t>
      </w:r>
      <w:r>
        <w:fldChar w:fldCharType="begin"/>
      </w:r>
      <w:r>
        <w:instrText>PAGEREF section_e80c7fbf1f174786921bfa5be9194ae9</w:instrText>
      </w:r>
      <w:r>
        <w:fldChar w:fldCharType="separate"/>
      </w:r>
      <w:r>
        <w:rPr>
          <w:noProof/>
        </w:rPr>
        <w:t>70</w:t>
      </w:r>
      <w:r>
        <w:fldChar w:fldCharType="end"/>
      </w:r>
    </w:p>
    <w:p w:rsidR="005F78FC" w:rsidRDefault="00B42EF3">
      <w:pPr>
        <w:pStyle w:val="indexentry0"/>
      </w:pPr>
      <w:hyperlink w:anchor="section_d1912b80175449d4a2f610af9470ec26">
        <w:r>
          <w:rPr>
            <w:rStyle w:val="Hyperlink"/>
          </w:rPr>
          <w:t>textDirection (Table Cell Text Flow Direction)</w:t>
        </w:r>
      </w:hyperlink>
      <w:r>
        <w:t xml:space="preserve"> </w:t>
      </w:r>
      <w:r>
        <w:fldChar w:fldCharType="begin"/>
      </w:r>
      <w:r>
        <w:instrText>PAGEREF section_d1912b80175449d4a2f610af9470ec26</w:instrText>
      </w:r>
      <w:r>
        <w:fldChar w:fldCharType="separate"/>
      </w:r>
      <w:r>
        <w:rPr>
          <w:noProof/>
        </w:rPr>
        <w:t>96</w:t>
      </w:r>
      <w:r>
        <w:fldChar w:fldCharType="end"/>
      </w:r>
    </w:p>
    <w:p w:rsidR="005F78FC" w:rsidRDefault="00B42EF3">
      <w:pPr>
        <w:pStyle w:val="indexentry0"/>
      </w:pPr>
      <w:hyperlink w:anchor="section_6c31d0d2456342268409009fc4f47a84">
        <w:r>
          <w:rPr>
            <w:rStyle w:val="Hyperlink"/>
          </w:rPr>
          <w:t>textField (Text Import Field Settings)</w:t>
        </w:r>
      </w:hyperlink>
      <w:r>
        <w:t xml:space="preserve"> </w:t>
      </w:r>
      <w:r>
        <w:fldChar w:fldCharType="begin"/>
      </w:r>
      <w:r>
        <w:instrText>PAGEREF section_6c31d0d2456342268409009fc4f47a</w:instrText>
      </w:r>
      <w:r>
        <w:instrText>84</w:instrText>
      </w:r>
      <w:r>
        <w:fldChar w:fldCharType="separate"/>
      </w:r>
      <w:r>
        <w:rPr>
          <w:noProof/>
        </w:rPr>
        <w:t>381</w:t>
      </w:r>
      <w:r>
        <w:fldChar w:fldCharType="end"/>
      </w:r>
    </w:p>
    <w:p w:rsidR="005F78FC" w:rsidRDefault="00B42EF3">
      <w:pPr>
        <w:pStyle w:val="indexentry0"/>
      </w:pPr>
      <w:hyperlink w:anchor="section_0606ff4c53254d04ab6f44bad775a1b7">
        <w:r>
          <w:rPr>
            <w:rStyle w:val="Hyperlink"/>
          </w:rPr>
          <w:t>textFields (Fields)</w:t>
        </w:r>
      </w:hyperlink>
      <w:r>
        <w:t xml:space="preserve"> </w:t>
      </w:r>
      <w:r>
        <w:fldChar w:fldCharType="begin"/>
      </w:r>
      <w:r>
        <w:instrText>PAGEREF section_0606ff4c53254d04ab6f44bad775a1b7</w:instrText>
      </w:r>
      <w:r>
        <w:fldChar w:fldCharType="separate"/>
      </w:r>
      <w:r>
        <w:rPr>
          <w:noProof/>
        </w:rPr>
        <w:t>381</w:t>
      </w:r>
      <w:r>
        <w:fldChar w:fldCharType="end"/>
      </w:r>
    </w:p>
    <w:p w:rsidR="005F78FC" w:rsidRDefault="00B42EF3">
      <w:pPr>
        <w:pStyle w:val="indexentry0"/>
      </w:pPr>
      <w:hyperlink w:anchor="section_ed0509b6055043338266884ac10bb5ba">
        <w:r>
          <w:rPr>
            <w:rStyle w:val="Hyperlink"/>
          </w:rPr>
          <w:t>textpath (Text Layout Path)</w:t>
        </w:r>
      </w:hyperlink>
      <w:r>
        <w:t xml:space="preserve"> </w:t>
      </w:r>
      <w:r>
        <w:fldChar w:fldCharType="begin"/>
      </w:r>
      <w:r>
        <w:instrText>PAGEREF section_ed0509b6055043338266884ac10bb5ba</w:instrText>
      </w:r>
      <w:r>
        <w:fldChar w:fldCharType="separate"/>
      </w:r>
      <w:r>
        <w:rPr>
          <w:noProof/>
        </w:rPr>
        <w:t>660</w:t>
      </w:r>
      <w:r>
        <w:fldChar w:fldCharType="end"/>
      </w:r>
    </w:p>
    <w:p w:rsidR="005F78FC" w:rsidRDefault="00B42EF3">
      <w:pPr>
        <w:pStyle w:val="indexentry0"/>
      </w:pPr>
      <w:hyperlink w:anchor="section_338ef3303d804c38888dbd770a0659f6">
        <w:r>
          <w:rPr>
            <w:rStyle w:val="Hyperlink"/>
          </w:rPr>
          <w:t>textPr (Text Import Settings)</w:t>
        </w:r>
      </w:hyperlink>
      <w:r>
        <w:t xml:space="preserve"> </w:t>
      </w:r>
      <w:r>
        <w:fldChar w:fldCharType="begin"/>
      </w:r>
      <w:r>
        <w:instrText>PAGEREF section_338ef3303d804c38888dbd770a0659f6</w:instrText>
      </w:r>
      <w:r>
        <w:fldChar w:fldCharType="separate"/>
      </w:r>
      <w:r>
        <w:rPr>
          <w:noProof/>
        </w:rPr>
        <w:t>381</w:t>
      </w:r>
      <w:r>
        <w:fldChar w:fldCharType="end"/>
      </w:r>
    </w:p>
    <w:p w:rsidR="005F78FC" w:rsidRDefault="00B42EF3">
      <w:pPr>
        <w:pStyle w:val="indexentry0"/>
      </w:pPr>
      <w:hyperlink w:anchor="section_7669e68deb7549b19058dfcaf5707fd5">
        <w:r>
          <w:rPr>
            <w:rStyle w:val="Hyperlink"/>
          </w:rPr>
          <w:t>TextVAlign (Vertical Text Alignment)</w:t>
        </w:r>
      </w:hyperlink>
      <w:r>
        <w:t xml:space="preserve"> </w:t>
      </w:r>
      <w:r>
        <w:fldChar w:fldCharType="begin"/>
      </w:r>
      <w:r>
        <w:instrText>PAGEREF section_7669e68deb7549b19058dfcaf5707fd5</w:instrText>
      </w:r>
      <w:r>
        <w:fldChar w:fldCharType="separate"/>
      </w:r>
      <w:r>
        <w:rPr>
          <w:noProof/>
        </w:rPr>
        <w:t>683</w:t>
      </w:r>
      <w:r>
        <w:fldChar w:fldCharType="end"/>
      </w:r>
    </w:p>
    <w:p w:rsidR="005F78FC" w:rsidRDefault="00B42EF3">
      <w:pPr>
        <w:pStyle w:val="indexentry0"/>
      </w:pPr>
      <w:hyperlink w:anchor="section_490387c4cef043bd9a2b526cc3cae961">
        <w:r>
          <w:rPr>
            <w:rStyle w:val="Hyperlink"/>
          </w:rPr>
          <w:t>themeFontLang (Theme Font Languages)</w:t>
        </w:r>
      </w:hyperlink>
      <w:r>
        <w:t xml:space="preserve"> </w:t>
      </w:r>
      <w:r>
        <w:fldChar w:fldCharType="begin"/>
      </w:r>
      <w:r>
        <w:instrText>PAGE</w:instrText>
      </w:r>
      <w:r>
        <w:instrText>REF section_490387c4cef043bd9a2b526cc3cae961</w:instrText>
      </w:r>
      <w:r>
        <w:fldChar w:fldCharType="separate"/>
      </w:r>
      <w:r>
        <w:rPr>
          <w:noProof/>
        </w:rPr>
        <w:t>161</w:t>
      </w:r>
      <w:r>
        <w:fldChar w:fldCharType="end"/>
      </w:r>
    </w:p>
    <w:p w:rsidR="005F78FC" w:rsidRDefault="00B42EF3">
      <w:pPr>
        <w:pStyle w:val="indexentry0"/>
      </w:pPr>
      <w:hyperlink w:anchor="section_95f7cec9fd774e74a31328e846491e4e">
        <w:r>
          <w:rPr>
            <w:rStyle w:val="Hyperlink"/>
          </w:rPr>
          <w:t>thickness (Thickness)</w:t>
        </w:r>
      </w:hyperlink>
      <w:r>
        <w:t xml:space="preserve"> </w:t>
      </w:r>
      <w:r>
        <w:fldChar w:fldCharType="begin"/>
      </w:r>
      <w:r>
        <w:instrText>PAGEREF section_95f7cec9fd774e74a31328e846491e4e</w:instrText>
      </w:r>
      <w:r>
        <w:fldChar w:fldCharType="separate"/>
      </w:r>
      <w:r>
        <w:rPr>
          <w:noProof/>
        </w:rPr>
        <w:t>574</w:t>
      </w:r>
      <w:r>
        <w:fldChar w:fldCharType="end"/>
      </w:r>
    </w:p>
    <w:p w:rsidR="005F78FC" w:rsidRDefault="00B42EF3">
      <w:pPr>
        <w:pStyle w:val="indexentry0"/>
      </w:pPr>
      <w:hyperlink w:anchor="section_bd2dcc2de1e24b3bba3a08817be49e05">
        <w:r>
          <w:rPr>
            <w:rStyle w:val="Hyperlink"/>
          </w:rPr>
          <w:t>tickLblSki</w:t>
        </w:r>
        <w:r>
          <w:rPr>
            <w:rStyle w:val="Hyperlink"/>
          </w:rPr>
          <w:t>p (Tick Label Skip)</w:t>
        </w:r>
      </w:hyperlink>
      <w:r>
        <w:t xml:space="preserve"> </w:t>
      </w:r>
      <w:r>
        <w:fldChar w:fldCharType="begin"/>
      </w:r>
      <w:r>
        <w:instrText>PAGEREF section_bd2dcc2de1e24b3bba3a08817be49e05</w:instrText>
      </w:r>
      <w:r>
        <w:fldChar w:fldCharType="separate"/>
      </w:r>
      <w:r>
        <w:rPr>
          <w:noProof/>
        </w:rPr>
        <w:t>575</w:t>
      </w:r>
      <w:r>
        <w:fldChar w:fldCharType="end"/>
      </w:r>
    </w:p>
    <w:p w:rsidR="005F78FC" w:rsidRDefault="00B42EF3">
      <w:pPr>
        <w:pStyle w:val="indexentry0"/>
      </w:pPr>
      <w:hyperlink w:anchor="section_ee2e8e04bcc44e869167ea14e1bd91a9">
        <w:r>
          <w:rPr>
            <w:rStyle w:val="Hyperlink"/>
          </w:rPr>
          <w:t>tickMarkSkip (Tick Mark Skip)</w:t>
        </w:r>
      </w:hyperlink>
      <w:r>
        <w:t xml:space="preserve"> </w:t>
      </w:r>
      <w:r>
        <w:fldChar w:fldCharType="begin"/>
      </w:r>
      <w:r>
        <w:instrText>PAGEREF section_ee2e8e04bcc44e869167ea14e1bd91a9</w:instrText>
      </w:r>
      <w:r>
        <w:fldChar w:fldCharType="separate"/>
      </w:r>
      <w:r>
        <w:rPr>
          <w:noProof/>
        </w:rPr>
        <w:t>575</w:t>
      </w:r>
      <w:r>
        <w:fldChar w:fldCharType="end"/>
      </w:r>
    </w:p>
    <w:p w:rsidR="005F78FC" w:rsidRDefault="00B42EF3">
      <w:pPr>
        <w:pStyle w:val="indexentry0"/>
      </w:pPr>
      <w:hyperlink w:anchor="section_3a5d54a8863b4beb9f0c9fc72fdd0d05">
        <w:r>
          <w:rPr>
            <w:rStyle w:val="Hyperlink"/>
          </w:rPr>
          <w:t>tileRect (Tile Rectangle)</w:t>
        </w:r>
      </w:hyperlink>
      <w:r>
        <w:t xml:space="preserve"> </w:t>
      </w:r>
      <w:r>
        <w:fldChar w:fldCharType="begin"/>
      </w:r>
      <w:r>
        <w:instrText>PAGEREF section_3a5d54a8863b4beb9f0c9fc72fdd0d05</w:instrText>
      </w:r>
      <w:r>
        <w:fldChar w:fldCharType="separate"/>
      </w:r>
      <w:r>
        <w:rPr>
          <w:noProof/>
        </w:rPr>
        <w:t>519</w:t>
      </w:r>
      <w:r>
        <w:fldChar w:fldCharType="end"/>
      </w:r>
    </w:p>
    <w:p w:rsidR="005F78FC" w:rsidRDefault="00B42EF3">
      <w:pPr>
        <w:pStyle w:val="indexentry0"/>
      </w:pPr>
      <w:hyperlink w:anchor="section_8c6629cf956745578c6223d7467173a8">
        <w:r>
          <w:rPr>
            <w:rStyle w:val="Hyperlink"/>
          </w:rPr>
          <w:t>TIME</w:t>
        </w:r>
      </w:hyperlink>
      <w:r>
        <w:t xml:space="preserve"> </w:t>
      </w:r>
      <w:r>
        <w:fldChar w:fldCharType="begin"/>
      </w:r>
      <w:r>
        <w:instrText>PAGEREF section_8c6629cf956745578c6223d7467173a8</w:instrText>
      </w:r>
      <w:r>
        <w:fldChar w:fldCharType="separate"/>
      </w:r>
      <w:r>
        <w:rPr>
          <w:noProof/>
        </w:rPr>
        <w:t>452</w:t>
      </w:r>
      <w:r>
        <w:fldChar w:fldCharType="end"/>
      </w:r>
    </w:p>
    <w:p w:rsidR="005F78FC" w:rsidRDefault="00B42EF3">
      <w:pPr>
        <w:pStyle w:val="indexentry0"/>
      </w:pPr>
      <w:hyperlink w:anchor="section_cf0b5eb22dd54c109d0c4a3810cc90fd">
        <w:r>
          <w:rPr>
            <w:rStyle w:val="Hyperlink"/>
          </w:rPr>
          <w:t>TIMEVALUE</w:t>
        </w:r>
      </w:hyperlink>
      <w:r>
        <w:t xml:space="preserve"> </w:t>
      </w:r>
      <w:r>
        <w:fldChar w:fldCharType="begin"/>
      </w:r>
      <w:r>
        <w:instrText>PAGEREF section_cf0b5eb22dd54c109d0c4a3810cc90fd</w:instrText>
      </w:r>
      <w:r>
        <w:fldChar w:fldCharType="separate"/>
      </w:r>
      <w:r>
        <w:rPr>
          <w:noProof/>
        </w:rPr>
        <w:t>452</w:t>
      </w:r>
      <w:r>
        <w:fldChar w:fldCharType="end"/>
      </w:r>
    </w:p>
    <w:p w:rsidR="005F78FC" w:rsidRDefault="00B42EF3">
      <w:pPr>
        <w:pStyle w:val="indexentry0"/>
      </w:pPr>
      <w:hyperlink w:anchor="section_376a958553ee4ab69a86b58cafd200ba">
        <w:r>
          <w:rPr>
            <w:rStyle w:val="Hyperlink"/>
          </w:rPr>
          <w:t>tint (Tint)</w:t>
        </w:r>
      </w:hyperlink>
      <w:r>
        <w:t xml:space="preserve"> </w:t>
      </w:r>
      <w:r>
        <w:fldChar w:fldCharType="begin"/>
      </w:r>
      <w:r>
        <w:instrText>PAGEREF section_376a958553ee4ab69a86b58cafd200ba</w:instrText>
      </w:r>
      <w:r>
        <w:fldChar w:fldCharType="separate"/>
      </w:r>
      <w:r>
        <w:rPr>
          <w:noProof/>
        </w:rPr>
        <w:t>507</w:t>
      </w:r>
      <w:r>
        <w:fldChar w:fldCharType="end"/>
      </w:r>
    </w:p>
    <w:p w:rsidR="005F78FC" w:rsidRDefault="00B42EF3">
      <w:pPr>
        <w:pStyle w:val="indexentry0"/>
      </w:pPr>
      <w:hyperlink w:anchor="section_a3c7bbb534f24e52b9e110fe2143d5f6">
        <w:r>
          <w:rPr>
            <w:rStyle w:val="Hyperlink"/>
          </w:rPr>
          <w:t>TITLE</w:t>
        </w:r>
      </w:hyperlink>
      <w:r>
        <w:t xml:space="preserve"> </w:t>
      </w:r>
      <w:r>
        <w:fldChar w:fldCharType="begin"/>
      </w:r>
      <w:r>
        <w:instrText>PAGEREF section_a3c7bbb534f24e52b9e110fe2143d5f6</w:instrText>
      </w:r>
      <w:r>
        <w:fldChar w:fldCharType="separate"/>
      </w:r>
      <w:r>
        <w:rPr>
          <w:noProof/>
        </w:rPr>
        <w:t>227</w:t>
      </w:r>
      <w:r>
        <w:fldChar w:fldCharType="end"/>
      </w:r>
    </w:p>
    <w:p w:rsidR="005F78FC" w:rsidRDefault="00B42EF3">
      <w:pPr>
        <w:pStyle w:val="indexentry0"/>
      </w:pPr>
      <w:hyperlink w:anchor="section_94bb88fd795741c8b9340f82d8d04f7e">
        <w:r>
          <w:rPr>
            <w:rStyle w:val="Hyperlink"/>
          </w:rPr>
          <w:t>title (Frame or Frameset Title)</w:t>
        </w:r>
      </w:hyperlink>
      <w:r>
        <w:t xml:space="preserve"> </w:t>
      </w:r>
      <w:r>
        <w:fldChar w:fldCharType="begin"/>
      </w:r>
      <w:r>
        <w:instrText>PAGEREF section_94bb88fd795741c8b9340f82</w:instrText>
      </w:r>
      <w:r>
        <w:instrText>d8d04f7e</w:instrText>
      </w:r>
      <w:r>
        <w:fldChar w:fldCharType="separate"/>
      </w:r>
      <w:r>
        <w:rPr>
          <w:noProof/>
        </w:rPr>
        <w:t>167</w:t>
      </w:r>
      <w:r>
        <w:fldChar w:fldCharType="end"/>
      </w:r>
    </w:p>
    <w:p w:rsidR="005F78FC" w:rsidRDefault="00B42EF3">
      <w:pPr>
        <w:pStyle w:val="indexentry0"/>
      </w:pPr>
      <w:hyperlink w:anchor="section_a87b8094484e49fdbdf7ae3ed95e9572">
        <w:r>
          <w:rPr>
            <w:rStyle w:val="Hyperlink"/>
          </w:rPr>
          <w:t>title (Title)</w:t>
        </w:r>
      </w:hyperlink>
      <w:r>
        <w:t xml:space="preserve"> </w:t>
      </w:r>
      <w:r>
        <w:fldChar w:fldCharType="begin"/>
      </w:r>
      <w:r>
        <w:instrText>PAGEREF section_a87b8094484e49fdbdf7ae3ed95e9572</w:instrText>
      </w:r>
      <w:r>
        <w:fldChar w:fldCharType="separate"/>
      </w:r>
      <w:r>
        <w:rPr>
          <w:noProof/>
        </w:rPr>
        <w:t>575</w:t>
      </w:r>
      <w:r>
        <w:fldChar w:fldCharType="end"/>
      </w:r>
    </w:p>
    <w:p w:rsidR="005F78FC" w:rsidRDefault="00B42EF3">
      <w:pPr>
        <w:pStyle w:val="indexentry0"/>
      </w:pPr>
      <w:hyperlink w:anchor="section_bce5f993d6834aa7825ebce25c64e8b8">
        <w:r>
          <w:rPr>
            <w:rStyle w:val="Hyperlink"/>
          </w:rPr>
          <w:t>titlePg (Different First Page Headers and Footers)</w:t>
        </w:r>
      </w:hyperlink>
      <w:r>
        <w:t xml:space="preserve"> </w:t>
      </w:r>
      <w:r>
        <w:fldChar w:fldCharType="begin"/>
      </w:r>
      <w:r>
        <w:instrText>P</w:instrText>
      </w:r>
      <w:r>
        <w:instrText>AGEREF section_bce5f993d6834aa7825ebce25c64e8b8</w:instrText>
      </w:r>
      <w:r>
        <w:fldChar w:fldCharType="separate"/>
      </w:r>
      <w:r>
        <w:rPr>
          <w:noProof/>
        </w:rPr>
        <w:t>130</w:t>
      </w:r>
      <w:r>
        <w:fldChar w:fldCharType="end"/>
      </w:r>
    </w:p>
    <w:p w:rsidR="005F78FC" w:rsidRDefault="00B42EF3">
      <w:pPr>
        <w:pStyle w:val="indexentry0"/>
      </w:pPr>
      <w:hyperlink w:anchor="section_de32de14957346f39f3819659e3a8d9a">
        <w:r>
          <w:rPr>
            <w:rStyle w:val="Hyperlink"/>
          </w:rPr>
          <w:t>TitlesOfParts (Part Titles)</w:t>
        </w:r>
      </w:hyperlink>
      <w:r>
        <w:t xml:space="preserve"> </w:t>
      </w:r>
      <w:r>
        <w:fldChar w:fldCharType="begin"/>
      </w:r>
      <w:r>
        <w:instrText>PAGEREF section_de32de14957346f39f3819659e3a8d9a</w:instrText>
      </w:r>
      <w:r>
        <w:fldChar w:fldCharType="separate"/>
      </w:r>
      <w:r>
        <w:rPr>
          <w:noProof/>
        </w:rPr>
        <w:t>610</w:t>
      </w:r>
      <w:r>
        <w:fldChar w:fldCharType="end"/>
      </w:r>
    </w:p>
    <w:p w:rsidR="005F78FC" w:rsidRDefault="00B42EF3">
      <w:pPr>
        <w:pStyle w:val="indexentry0"/>
      </w:pPr>
      <w:hyperlink w:anchor="section_b6367788d039424fbc44c119b62a5238">
        <w:r>
          <w:rPr>
            <w:rStyle w:val="Hyperlink"/>
          </w:rPr>
          <w:t>t</w:t>
        </w:r>
        <w:r>
          <w:rPr>
            <w:rStyle w:val="Hyperlink"/>
          </w:rPr>
          <w:t>l2br (Table Cell Top Left to Bottom Right Diagonal Border)</w:t>
        </w:r>
      </w:hyperlink>
      <w:r>
        <w:t xml:space="preserve"> </w:t>
      </w:r>
      <w:r>
        <w:fldChar w:fldCharType="begin"/>
      </w:r>
      <w:r>
        <w:instrText>PAGEREF section_b6367788d039424fbc44c119b62a5238</w:instrText>
      </w:r>
      <w:r>
        <w:fldChar w:fldCharType="separate"/>
      </w:r>
      <w:r>
        <w:rPr>
          <w:noProof/>
        </w:rPr>
        <w:t>96</w:t>
      </w:r>
      <w:r>
        <w:fldChar w:fldCharType="end"/>
      </w:r>
    </w:p>
    <w:p w:rsidR="005F78FC" w:rsidRDefault="00B42EF3">
      <w:pPr>
        <w:pStyle w:val="indexentry0"/>
      </w:pPr>
      <w:hyperlink w:anchor="section_255410110cf2436b8e417dfd8fba6faf">
        <w:r>
          <w:rPr>
            <w:rStyle w:val="Hyperlink"/>
          </w:rPr>
          <w:t>tmpl (Template Effects)</w:t>
        </w:r>
      </w:hyperlink>
      <w:r>
        <w:t xml:space="preserve"> </w:t>
      </w:r>
      <w:r>
        <w:fldChar w:fldCharType="begin"/>
      </w:r>
      <w:r>
        <w:instrText>PAGEREF section_255410110cf2436b8e417dfd8fba6faf</w:instrText>
      </w:r>
      <w:r>
        <w:fldChar w:fldCharType="separate"/>
      </w:r>
      <w:r>
        <w:rPr>
          <w:noProof/>
        </w:rPr>
        <w:t>489</w:t>
      </w:r>
      <w:r>
        <w:fldChar w:fldCharType="end"/>
      </w:r>
    </w:p>
    <w:p w:rsidR="005F78FC" w:rsidRDefault="00B42EF3">
      <w:pPr>
        <w:pStyle w:val="indexentry0"/>
      </w:pPr>
      <w:hyperlink w:anchor="section_3da02aff9dc64878be81118938641c43">
        <w:r>
          <w:rPr>
            <w:rStyle w:val="Hyperlink"/>
          </w:rPr>
          <w:t>tmplLst (Template effects)</w:t>
        </w:r>
      </w:hyperlink>
      <w:r>
        <w:t xml:space="preserve"> </w:t>
      </w:r>
      <w:r>
        <w:fldChar w:fldCharType="begin"/>
      </w:r>
      <w:r>
        <w:instrText>PAGEREF section_3da02aff9dc64878be81118938641c43</w:instrText>
      </w:r>
      <w:r>
        <w:fldChar w:fldCharType="separate"/>
      </w:r>
      <w:r>
        <w:rPr>
          <w:noProof/>
        </w:rPr>
        <w:t>489</w:t>
      </w:r>
      <w:r>
        <w:fldChar w:fldCharType="end"/>
      </w:r>
    </w:p>
    <w:p w:rsidR="005F78FC" w:rsidRDefault="00B42EF3">
      <w:pPr>
        <w:pStyle w:val="indexentry0"/>
      </w:pPr>
      <w:hyperlink w:anchor="section_5516734500ff4d39b4a86ca61d86227a">
        <w:r>
          <w:rPr>
            <w:rStyle w:val="Hyperlink"/>
          </w:rPr>
          <w:t>tnLst (Time Node List)</w:t>
        </w:r>
      </w:hyperlink>
      <w:r>
        <w:t xml:space="preserve"> </w:t>
      </w:r>
      <w:r>
        <w:fldChar w:fldCharType="begin"/>
      </w:r>
      <w:r>
        <w:instrText>PAGEREF section_5516734500ff4d39</w:instrText>
      </w:r>
      <w:r>
        <w:instrText>b4a86ca61d86227a</w:instrText>
      </w:r>
      <w:r>
        <w:fldChar w:fldCharType="separate"/>
      </w:r>
      <w:r>
        <w:rPr>
          <w:noProof/>
        </w:rPr>
        <w:t>490</w:t>
      </w:r>
      <w:r>
        <w:fldChar w:fldCharType="end"/>
      </w:r>
    </w:p>
    <w:p w:rsidR="005F78FC" w:rsidRDefault="00B42EF3">
      <w:pPr>
        <w:pStyle w:val="indexentry0"/>
      </w:pPr>
      <w:r>
        <w:lastRenderedPageBreak/>
        <w:t>to (Ending Anchor Point) (</w:t>
      </w:r>
      <w:hyperlink w:anchor="section_6ae4c17e8727447183c9a32482e72ffe">
        <w:r>
          <w:rPr>
            <w:rStyle w:val="Hyperlink"/>
          </w:rPr>
          <w:t>section 2.1.1370</w:t>
        </w:r>
      </w:hyperlink>
      <w:r>
        <w:t xml:space="preserve"> </w:t>
      </w:r>
      <w:r>
        <w:fldChar w:fldCharType="begin"/>
      </w:r>
      <w:r>
        <w:instrText>PAGEREF section_6ae4c17e8727447183c9a32482e72ffe</w:instrText>
      </w:r>
      <w:r>
        <w:fldChar w:fldCharType="separate"/>
      </w:r>
      <w:r>
        <w:rPr>
          <w:noProof/>
        </w:rPr>
        <w:t>531</w:t>
      </w:r>
      <w:r>
        <w:fldChar w:fldCharType="end"/>
      </w:r>
      <w:r>
        <w:t xml:space="preserve">, </w:t>
      </w:r>
      <w:hyperlink w:anchor="section_2cfcb2b25a5b4d8caf20267762478810">
        <w:r>
          <w:rPr>
            <w:rStyle w:val="Hyperlink"/>
          </w:rPr>
          <w:t>section 2.1.1607</w:t>
        </w:r>
      </w:hyperlink>
      <w:r>
        <w:t xml:space="preserve"> </w:t>
      </w:r>
      <w:r>
        <w:fldChar w:fldCharType="begin"/>
      </w:r>
      <w:r>
        <w:instrText>PAGEREF section_2cfcb2b25a5b4d8caf20267762478810</w:instrText>
      </w:r>
      <w:r>
        <w:fldChar w:fldCharType="separate"/>
      </w:r>
      <w:r>
        <w:rPr>
          <w:noProof/>
        </w:rPr>
        <w:t>585</w:t>
      </w:r>
      <w:r>
        <w:fldChar w:fldCharType="end"/>
      </w:r>
      <w:r>
        <w:t>)</w:t>
      </w:r>
    </w:p>
    <w:p w:rsidR="005F78FC" w:rsidRDefault="00B42EF3">
      <w:pPr>
        <w:pStyle w:val="indexentry0"/>
      </w:pPr>
      <w:r>
        <w:t>to (To) (</w:t>
      </w:r>
      <w:hyperlink w:anchor="section_9d0fa0e7b3734de0be8e85b0922d7204">
        <w:r>
          <w:rPr>
            <w:rStyle w:val="Hyperlink"/>
          </w:rPr>
          <w:t>section 2.1.1181</w:t>
        </w:r>
      </w:hyperlink>
      <w:r>
        <w:t xml:space="preserve"> </w:t>
      </w:r>
      <w:r>
        <w:fldChar w:fldCharType="begin"/>
      </w:r>
      <w:r>
        <w:instrText>PAGEREF section_9d0fa0e7b3734de0be8e85b0922d7204</w:instrText>
      </w:r>
      <w:r>
        <w:fldChar w:fldCharType="separate"/>
      </w:r>
      <w:r>
        <w:rPr>
          <w:noProof/>
        </w:rPr>
        <w:t>490</w:t>
      </w:r>
      <w:r>
        <w:fldChar w:fldCharType="end"/>
      </w:r>
      <w:r>
        <w:t xml:space="preserve">, </w:t>
      </w:r>
      <w:hyperlink w:anchor="section_0b35ab0b202941808a768d784dac1d2b">
        <w:r>
          <w:rPr>
            <w:rStyle w:val="Hyperlink"/>
          </w:rPr>
          <w:t>section 2.1.1182</w:t>
        </w:r>
      </w:hyperlink>
      <w:r>
        <w:t xml:space="preserve"> </w:t>
      </w:r>
      <w:r>
        <w:fldChar w:fldCharType="begin"/>
      </w:r>
      <w:r>
        <w:instrText>PAGEREF section_0b35ab0b202941808a768d784dac1d2b</w:instrText>
      </w:r>
      <w:r>
        <w:fldChar w:fldCharType="separate"/>
      </w:r>
      <w:r>
        <w:rPr>
          <w:noProof/>
        </w:rPr>
        <w:t>490</w:t>
      </w:r>
      <w:r>
        <w:fldChar w:fldCharType="end"/>
      </w:r>
      <w:r>
        <w:t xml:space="preserve">, </w:t>
      </w:r>
      <w:hyperlink w:anchor="section_337d872bb42b499797c5d4dc16ad8be1">
        <w:r>
          <w:rPr>
            <w:rStyle w:val="Hyperlink"/>
          </w:rPr>
          <w:t>section 2.1.1183</w:t>
        </w:r>
      </w:hyperlink>
      <w:r>
        <w:t xml:space="preserve"> </w:t>
      </w:r>
      <w:r>
        <w:fldChar w:fldCharType="begin"/>
      </w:r>
      <w:r>
        <w:instrText>PAGEREF section_337d872bb42b499797c5d4dc16ad8be1</w:instrText>
      </w:r>
      <w:r>
        <w:fldChar w:fldCharType="separate"/>
      </w:r>
      <w:r>
        <w:rPr>
          <w:noProof/>
        </w:rPr>
        <w:t>493</w:t>
      </w:r>
      <w:r>
        <w:fldChar w:fldCharType="end"/>
      </w:r>
      <w:r>
        <w:t>)</w:t>
      </w:r>
    </w:p>
    <w:p w:rsidR="005F78FC" w:rsidRDefault="00B42EF3">
      <w:pPr>
        <w:pStyle w:val="indexentry0"/>
      </w:pPr>
      <w:hyperlink w:anchor="section_034e6e26d25449c29b393767933a923d">
        <w:r>
          <w:rPr>
            <w:rStyle w:val="Hyperlink"/>
          </w:rPr>
          <w:t>TOA</w:t>
        </w:r>
      </w:hyperlink>
      <w:r>
        <w:t xml:space="preserve"> </w:t>
      </w:r>
      <w:r>
        <w:fldChar w:fldCharType="begin"/>
      </w:r>
      <w:r>
        <w:instrText>PAGEREF section_034e6e26d25449c29b393767933a923d</w:instrText>
      </w:r>
      <w:r>
        <w:fldChar w:fldCharType="separate"/>
      </w:r>
      <w:r>
        <w:rPr>
          <w:noProof/>
        </w:rPr>
        <w:t>227</w:t>
      </w:r>
      <w:r>
        <w:fldChar w:fldCharType="end"/>
      </w:r>
    </w:p>
    <w:p w:rsidR="005F78FC" w:rsidRDefault="00B42EF3">
      <w:pPr>
        <w:pStyle w:val="indexentry0"/>
      </w:pPr>
      <w:hyperlink w:anchor="section_68f1577f0efe453bbad9cfd69f740b30">
        <w:r>
          <w:rPr>
            <w:rStyle w:val="Hyperlink"/>
          </w:rPr>
          <w:t>TOC</w:t>
        </w:r>
      </w:hyperlink>
      <w:r>
        <w:t xml:space="preserve"> </w:t>
      </w:r>
      <w:r>
        <w:fldChar w:fldCharType="begin"/>
      </w:r>
      <w:r>
        <w:instrText>PAGEREF section_68f1577f0efe453bbad9cfd69f740b30</w:instrText>
      </w:r>
      <w:r>
        <w:fldChar w:fldCharType="separate"/>
      </w:r>
      <w:r>
        <w:rPr>
          <w:noProof/>
        </w:rPr>
        <w:t>227</w:t>
      </w:r>
      <w:r>
        <w:fldChar w:fldCharType="end"/>
      </w:r>
    </w:p>
    <w:p w:rsidR="005F78FC" w:rsidRDefault="00B42EF3">
      <w:pPr>
        <w:pStyle w:val="indexentry0"/>
      </w:pPr>
      <w:hyperlink w:anchor="section_f7130225236848f3acaea9d278d0fb25">
        <w:r>
          <w:rPr>
            <w:rStyle w:val="Hyperlink"/>
          </w:rPr>
          <w:t>Toggl</w:t>
        </w:r>
        <w:r>
          <w:rPr>
            <w:rStyle w:val="Hyperlink"/>
          </w:rPr>
          <w:t>e Properties</w:t>
        </w:r>
      </w:hyperlink>
      <w:r>
        <w:t xml:space="preserve"> </w:t>
      </w:r>
      <w:r>
        <w:fldChar w:fldCharType="begin"/>
      </w:r>
      <w:r>
        <w:instrText>PAGEREF section_f7130225236848f3acaea9d278d0fb25</w:instrText>
      </w:r>
      <w:r>
        <w:fldChar w:fldCharType="separate"/>
      </w:r>
      <w:r>
        <w:rPr>
          <w:noProof/>
        </w:rPr>
        <w:t>108</w:t>
      </w:r>
      <w:r>
        <w:fldChar w:fldCharType="end"/>
      </w:r>
    </w:p>
    <w:p w:rsidR="005F78FC" w:rsidRDefault="00B42EF3">
      <w:pPr>
        <w:pStyle w:val="indexentry0"/>
      </w:pPr>
      <w:hyperlink w:anchor="section_8b07e421930a4c87b8f2e9879c6e70f6">
        <w:r>
          <w:rPr>
            <w:rStyle w:val="Hyperlink"/>
          </w:rPr>
          <w:t>toolbarData (Toolbar data)</w:t>
        </w:r>
      </w:hyperlink>
      <w:r>
        <w:t xml:space="preserve"> </w:t>
      </w:r>
      <w:r>
        <w:fldChar w:fldCharType="begin"/>
      </w:r>
      <w:r>
        <w:instrText>PAGEREF section_8b07e421930a4c87b8f2e9879c6e70f6</w:instrText>
      </w:r>
      <w:r>
        <w:fldChar w:fldCharType="separate"/>
      </w:r>
      <w:r>
        <w:rPr>
          <w:noProof/>
        </w:rPr>
        <w:t>706</w:t>
      </w:r>
      <w:r>
        <w:fldChar w:fldCharType="end"/>
      </w:r>
    </w:p>
    <w:p w:rsidR="005F78FC" w:rsidRDefault="00B42EF3">
      <w:pPr>
        <w:pStyle w:val="indexentry0"/>
      </w:pPr>
      <w:hyperlink w:anchor="section_7c98bf0e4eab43729ae628f1e61e1343">
        <w:r>
          <w:rPr>
            <w:rStyle w:val="Hyperlink"/>
          </w:rPr>
          <w:t>toolbars (Legacy Toolbar Customizations)</w:t>
        </w:r>
      </w:hyperlink>
      <w:r>
        <w:t xml:space="preserve"> </w:t>
      </w:r>
      <w:r>
        <w:fldChar w:fldCharType="begin"/>
      </w:r>
      <w:r>
        <w:instrText>PAGEREF section_7c98bf0e4eab43729ae628f1e61e1343</w:instrText>
      </w:r>
      <w:r>
        <w:fldChar w:fldCharType="separate"/>
      </w:r>
      <w:r>
        <w:rPr>
          <w:noProof/>
        </w:rPr>
        <w:t>707</w:t>
      </w:r>
      <w:r>
        <w:fldChar w:fldCharType="end"/>
      </w:r>
    </w:p>
    <w:p w:rsidR="005F78FC" w:rsidRDefault="00B42EF3">
      <w:pPr>
        <w:pStyle w:val="indexentry0"/>
      </w:pPr>
      <w:hyperlink w:anchor="section_0d93be1be21a4f6fa76d8922fbcf203e">
        <w:r>
          <w:rPr>
            <w:rStyle w:val="Hyperlink"/>
          </w:rPr>
          <w:t>top (Paragraph Border Above Identical Paragraphs)</w:t>
        </w:r>
      </w:hyperlink>
      <w:r>
        <w:t xml:space="preserve"> </w:t>
      </w:r>
      <w:r>
        <w:fldChar w:fldCharType="begin"/>
      </w:r>
      <w:r>
        <w:instrText>PAGEREF section_0d93be1be21a4f6fa76d8922fbcf203e</w:instrText>
      </w:r>
      <w:r>
        <w:fldChar w:fldCharType="separate"/>
      </w:r>
      <w:r>
        <w:rPr>
          <w:noProof/>
        </w:rPr>
        <w:t>70</w:t>
      </w:r>
      <w:r>
        <w:fldChar w:fldCharType="end"/>
      </w:r>
    </w:p>
    <w:p w:rsidR="005F78FC" w:rsidRDefault="00B42EF3">
      <w:pPr>
        <w:pStyle w:val="indexentry0"/>
      </w:pPr>
      <w:hyperlink w:anchor="section_35e1cc297dc64e00a86e1aff557190a7">
        <w:r>
          <w:rPr>
            <w:rStyle w:val="Hyperlink"/>
          </w:rPr>
          <w:t>top (Table Cell Top Border)</w:t>
        </w:r>
      </w:hyperlink>
      <w:r>
        <w:t xml:space="preserve"> </w:t>
      </w:r>
      <w:r>
        <w:fldChar w:fldCharType="begin"/>
      </w:r>
      <w:r>
        <w:instrText>PAGEREF section_35e1cc297dc64e00a86e1aff557190a7</w:instrText>
      </w:r>
      <w:r>
        <w:fldChar w:fldCharType="separate"/>
      </w:r>
      <w:r>
        <w:rPr>
          <w:noProof/>
        </w:rPr>
        <w:t>96</w:t>
      </w:r>
      <w:r>
        <w:fldChar w:fldCharType="end"/>
      </w:r>
    </w:p>
    <w:p w:rsidR="005F78FC" w:rsidRDefault="00B42EF3">
      <w:pPr>
        <w:pStyle w:val="indexentry0"/>
      </w:pPr>
      <w:hyperlink w:anchor="section_27237d22be604bdfa7f2e50b688877bd">
        <w:r>
          <w:rPr>
            <w:rStyle w:val="Hyperlink"/>
          </w:rPr>
          <w:t>top (Table Cell Top Margin Default)</w:t>
        </w:r>
      </w:hyperlink>
      <w:r>
        <w:t xml:space="preserve"> </w:t>
      </w:r>
      <w:r>
        <w:fldChar w:fldCharType="begin"/>
      </w:r>
      <w:r>
        <w:instrText>PAGEREF section_27237d22be604bdfa7f2e50b688877bd</w:instrText>
      </w:r>
      <w:r>
        <w:fldChar w:fldCharType="separate"/>
      </w:r>
      <w:r>
        <w:rPr>
          <w:noProof/>
        </w:rPr>
        <w:t>96</w:t>
      </w:r>
      <w:r>
        <w:fldChar w:fldCharType="end"/>
      </w:r>
    </w:p>
    <w:p w:rsidR="005F78FC" w:rsidRDefault="00B42EF3">
      <w:pPr>
        <w:pStyle w:val="indexentry0"/>
      </w:pPr>
      <w:hyperlink w:anchor="section_8446a4220fe8401bb11fa2d4933ee83c">
        <w:r>
          <w:rPr>
            <w:rStyle w:val="Hyperlink"/>
          </w:rPr>
          <w:t>top (Table Cell Top Margin Exception)</w:t>
        </w:r>
      </w:hyperlink>
      <w:r>
        <w:t xml:space="preserve"> </w:t>
      </w:r>
      <w:r>
        <w:fldChar w:fldCharType="begin"/>
      </w:r>
      <w:r>
        <w:instrText>PAGEREF section_8446a4220fe8401bb11fa2d4933ee83c</w:instrText>
      </w:r>
      <w:r>
        <w:fldChar w:fldCharType="separate"/>
      </w:r>
      <w:r>
        <w:rPr>
          <w:noProof/>
        </w:rPr>
        <w:t>97</w:t>
      </w:r>
      <w:r>
        <w:fldChar w:fldCharType="end"/>
      </w:r>
    </w:p>
    <w:p w:rsidR="005F78FC" w:rsidRDefault="00B42EF3">
      <w:pPr>
        <w:pStyle w:val="indexentry0"/>
      </w:pPr>
      <w:hyperlink w:anchor="section_4d15f8f654514b1fa1cb481e018c3cef">
        <w:r>
          <w:rPr>
            <w:rStyle w:val="Hyperlink"/>
          </w:rPr>
          <w:t>top (Table Top Border)</w:t>
        </w:r>
      </w:hyperlink>
      <w:r>
        <w:t xml:space="preserve"> </w:t>
      </w:r>
      <w:r>
        <w:fldChar w:fldCharType="begin"/>
      </w:r>
      <w:r>
        <w:instrText>PAGEREF section_4d15f8f654514b1fa1cb481e018c3cef</w:instrText>
      </w:r>
      <w:r>
        <w:fldChar w:fldCharType="separate"/>
      </w:r>
      <w:r>
        <w:rPr>
          <w:noProof/>
        </w:rPr>
        <w:t>96</w:t>
      </w:r>
      <w:r>
        <w:fldChar w:fldCharType="end"/>
      </w:r>
    </w:p>
    <w:p w:rsidR="005F78FC" w:rsidRDefault="00B42EF3">
      <w:pPr>
        <w:pStyle w:val="indexentry0"/>
      </w:pPr>
      <w:hyperlink w:anchor="section_a252e0bc71cb40caaffba6f5e565083f">
        <w:r>
          <w:rPr>
            <w:rStyle w:val="Hyperlink"/>
          </w:rPr>
          <w:t>top (Text Box Top Stroke)</w:t>
        </w:r>
      </w:hyperlink>
      <w:r>
        <w:t xml:space="preserve"> </w:t>
      </w:r>
      <w:r>
        <w:fldChar w:fldCharType="begin"/>
      </w:r>
      <w:r>
        <w:instrText>PAGEREF section_a252e0bc71cb4</w:instrText>
      </w:r>
      <w:r>
        <w:instrText>0caaffba6f5e565083f</w:instrText>
      </w:r>
      <w:r>
        <w:fldChar w:fldCharType="separate"/>
      </w:r>
      <w:r>
        <w:rPr>
          <w:noProof/>
        </w:rPr>
        <w:t>676</w:t>
      </w:r>
      <w:r>
        <w:fldChar w:fldCharType="end"/>
      </w:r>
    </w:p>
    <w:p w:rsidR="005F78FC" w:rsidRDefault="00B42EF3">
      <w:pPr>
        <w:pStyle w:val="indexentry0"/>
      </w:pPr>
      <w:hyperlink w:anchor="section_bd4c27d984664da3aa9a6ecbff6f39fe">
        <w:r>
          <w:rPr>
            <w:rStyle w:val="Hyperlink"/>
          </w:rPr>
          <w:t>top (Top Border for HTML div)</w:t>
        </w:r>
      </w:hyperlink>
      <w:r>
        <w:t xml:space="preserve"> </w:t>
      </w:r>
      <w:r>
        <w:fldChar w:fldCharType="begin"/>
      </w:r>
      <w:r>
        <w:instrText>PAGEREF section_bd4c27d984664da3aa9a6ecbff6f39fe</w:instrText>
      </w:r>
      <w:r>
        <w:fldChar w:fldCharType="separate"/>
      </w:r>
      <w:r>
        <w:rPr>
          <w:noProof/>
        </w:rPr>
        <w:t>167</w:t>
      </w:r>
      <w:r>
        <w:fldChar w:fldCharType="end"/>
      </w:r>
    </w:p>
    <w:p w:rsidR="005F78FC" w:rsidRDefault="00B42EF3">
      <w:pPr>
        <w:pStyle w:val="indexentry0"/>
      </w:pPr>
      <w:hyperlink w:anchor="section_8e7719cb43844e26a23187be6b37083a">
        <w:r>
          <w:rPr>
            <w:rStyle w:val="Hyperlink"/>
          </w:rPr>
          <w:t>top (Top Border)</w:t>
        </w:r>
      </w:hyperlink>
      <w:r>
        <w:t xml:space="preserve"> </w:t>
      </w:r>
      <w:r>
        <w:fldChar w:fldCharType="begin"/>
      </w:r>
      <w:r>
        <w:instrText xml:space="preserve">PAGEREF </w:instrText>
      </w:r>
      <w:r>
        <w:instrText>section_8e7719cb43844e26a23187be6b37083a</w:instrText>
      </w:r>
      <w:r>
        <w:fldChar w:fldCharType="separate"/>
      </w:r>
      <w:r>
        <w:rPr>
          <w:noProof/>
        </w:rPr>
        <w:t>107</w:t>
      </w:r>
      <w:r>
        <w:fldChar w:fldCharType="end"/>
      </w:r>
    </w:p>
    <w:p w:rsidR="005F78FC" w:rsidRDefault="00B42EF3">
      <w:pPr>
        <w:pStyle w:val="indexentry0"/>
      </w:pPr>
      <w:hyperlink w:anchor="section_2961ac370f8e47a889f9981403e619b6">
        <w:r>
          <w:rPr>
            <w:rStyle w:val="Hyperlink"/>
          </w:rPr>
          <w:t>top10 (Top 10)</w:t>
        </w:r>
      </w:hyperlink>
      <w:r>
        <w:t xml:space="preserve"> </w:t>
      </w:r>
      <w:r>
        <w:fldChar w:fldCharType="begin"/>
      </w:r>
      <w:r>
        <w:instrText>PAGEREF section_2961ac370f8e47a889f9981403e619b6</w:instrText>
      </w:r>
      <w:r>
        <w:fldChar w:fldCharType="separate"/>
      </w:r>
      <w:r>
        <w:rPr>
          <w:noProof/>
        </w:rPr>
        <w:t>292</w:t>
      </w:r>
      <w:r>
        <w:fldChar w:fldCharType="end"/>
      </w:r>
    </w:p>
    <w:p w:rsidR="005F78FC" w:rsidRDefault="00B42EF3">
      <w:pPr>
        <w:pStyle w:val="indexentry0"/>
      </w:pPr>
      <w:hyperlink w:anchor="section_029135c2138c4bbf81ad6bf338c2ce89">
        <w:r>
          <w:rPr>
            <w:rStyle w:val="Hyperlink"/>
          </w:rPr>
          <w:t>topLinePunct (Compres</w:t>
        </w:r>
        <w:r>
          <w:rPr>
            <w:rStyle w:val="Hyperlink"/>
          </w:rPr>
          <w:t>s Punctuation at Start of a Line)</w:t>
        </w:r>
      </w:hyperlink>
      <w:r>
        <w:t xml:space="preserve"> </w:t>
      </w:r>
      <w:r>
        <w:fldChar w:fldCharType="begin"/>
      </w:r>
      <w:r>
        <w:instrText>PAGEREF section_029135c2138c4bbf81ad6bf338c2ce89</w:instrText>
      </w:r>
      <w:r>
        <w:fldChar w:fldCharType="separate"/>
      </w:r>
      <w:r>
        <w:rPr>
          <w:noProof/>
        </w:rPr>
        <w:t>70</w:t>
      </w:r>
      <w:r>
        <w:fldChar w:fldCharType="end"/>
      </w:r>
    </w:p>
    <w:p w:rsidR="005F78FC" w:rsidRDefault="00B42EF3">
      <w:pPr>
        <w:pStyle w:val="indexentry0"/>
      </w:pPr>
      <w:hyperlink w:anchor="section_0d3053ab7a8b4e3a9e5a59caf6f223c9">
        <w:r>
          <w:rPr>
            <w:rStyle w:val="Hyperlink"/>
          </w:rPr>
          <w:t>totalsRowFormula (Totals Row Formula)</w:t>
        </w:r>
      </w:hyperlink>
      <w:r>
        <w:t xml:space="preserve"> </w:t>
      </w:r>
      <w:r>
        <w:fldChar w:fldCharType="begin"/>
      </w:r>
      <w:r>
        <w:instrText>PAGEREF section_0d3053ab7a8b4e3a9e5a59caf6f223c9</w:instrText>
      </w:r>
      <w:r>
        <w:fldChar w:fldCharType="separate"/>
      </w:r>
      <w:r>
        <w:rPr>
          <w:noProof/>
        </w:rPr>
        <w:t>296</w:t>
      </w:r>
      <w:r>
        <w:fldChar w:fldCharType="end"/>
      </w:r>
    </w:p>
    <w:p w:rsidR="005F78FC" w:rsidRDefault="00B42EF3">
      <w:pPr>
        <w:pStyle w:val="indexentry0"/>
      </w:pPr>
      <w:hyperlink w:anchor="section_4b59044c878542a7bccb0da2aee6e9e6">
        <w:r>
          <w:rPr>
            <w:rStyle w:val="Hyperlink"/>
          </w:rPr>
          <w:t>TotalTime (Total Edit Time Metadata Element)</w:t>
        </w:r>
      </w:hyperlink>
      <w:r>
        <w:t xml:space="preserve"> </w:t>
      </w:r>
      <w:r>
        <w:fldChar w:fldCharType="begin"/>
      </w:r>
      <w:r>
        <w:instrText>PAGEREF section_4b59044c878542a7bccb0da2aee6e9e6</w:instrText>
      </w:r>
      <w:r>
        <w:fldChar w:fldCharType="separate"/>
      </w:r>
      <w:r>
        <w:rPr>
          <w:noProof/>
        </w:rPr>
        <w:t>611</w:t>
      </w:r>
      <w:r>
        <w:fldChar w:fldCharType="end"/>
      </w:r>
    </w:p>
    <w:p w:rsidR="005F78FC" w:rsidRDefault="00B42EF3">
      <w:pPr>
        <w:pStyle w:val="indexentry0"/>
      </w:pPr>
      <w:hyperlink w:anchor="section_35eccf3dab5a4f67ae97655fe026c1aa">
        <w:r>
          <w:rPr>
            <w:rStyle w:val="Hyperlink"/>
          </w:rPr>
          <w:t>tp (Topic)</w:t>
        </w:r>
      </w:hyperlink>
      <w:r>
        <w:t xml:space="preserve"> </w:t>
      </w:r>
      <w:r>
        <w:fldChar w:fldCharType="begin"/>
      </w:r>
      <w:r>
        <w:instrText>PAGEREF section_35eccf</w:instrText>
      </w:r>
      <w:r>
        <w:instrText>3dab5a4f67ae97655fe026c1aa</w:instrText>
      </w:r>
      <w:r>
        <w:fldChar w:fldCharType="separate"/>
      </w:r>
      <w:r>
        <w:rPr>
          <w:noProof/>
        </w:rPr>
        <w:t>386</w:t>
      </w:r>
      <w:r>
        <w:fldChar w:fldCharType="end"/>
      </w:r>
    </w:p>
    <w:p w:rsidR="005F78FC" w:rsidRDefault="00B42EF3">
      <w:pPr>
        <w:pStyle w:val="indexentry0"/>
      </w:pPr>
      <w:hyperlink w:anchor="section_9af15714a00f4a5290aae4fe8a4be470">
        <w:r>
          <w:rPr>
            <w:rStyle w:val="Hyperlink"/>
          </w:rPr>
          <w:t>tpl (Tuple)</w:t>
        </w:r>
      </w:hyperlink>
      <w:r>
        <w:t xml:space="preserve"> </w:t>
      </w:r>
      <w:r>
        <w:fldChar w:fldCharType="begin"/>
      </w:r>
      <w:r>
        <w:instrText>PAGEREF section_9af15714a00f4a5290aae4fe8a4be470</w:instrText>
      </w:r>
      <w:r>
        <w:fldChar w:fldCharType="separate"/>
      </w:r>
      <w:r>
        <w:rPr>
          <w:noProof/>
        </w:rPr>
        <w:t>369</w:t>
      </w:r>
      <w:r>
        <w:fldChar w:fldCharType="end"/>
      </w:r>
    </w:p>
    <w:p w:rsidR="005F78FC" w:rsidRDefault="00B42EF3">
      <w:pPr>
        <w:pStyle w:val="indexentry0"/>
      </w:pPr>
      <w:hyperlink w:anchor="section_5253fec85698422f9346288d9f67dbd2">
        <w:r>
          <w:rPr>
            <w:rStyle w:val="Hyperlink"/>
          </w:rPr>
          <w:t>tr (References)</w:t>
        </w:r>
      </w:hyperlink>
      <w:r>
        <w:t xml:space="preserve"> </w:t>
      </w:r>
      <w:r>
        <w:fldChar w:fldCharType="begin"/>
      </w:r>
      <w:r>
        <w:instrText>PAGEREF section_5253</w:instrText>
      </w:r>
      <w:r>
        <w:instrText>fec85698422f9346288d9f67dbd2</w:instrText>
      </w:r>
      <w:r>
        <w:fldChar w:fldCharType="separate"/>
      </w:r>
      <w:r>
        <w:rPr>
          <w:noProof/>
        </w:rPr>
        <w:t>386</w:t>
      </w:r>
      <w:r>
        <w:fldChar w:fldCharType="end"/>
      </w:r>
    </w:p>
    <w:p w:rsidR="005F78FC" w:rsidRDefault="00B42EF3">
      <w:pPr>
        <w:pStyle w:val="indexentry0"/>
      </w:pPr>
      <w:r>
        <w:t>tr (Table Row) (</w:t>
      </w:r>
      <w:hyperlink w:anchor="section_cc8ad504f84b4d8bac1d808e6f7b2a31">
        <w:r>
          <w:rPr>
            <w:rStyle w:val="Hyperlink"/>
          </w:rPr>
          <w:t>section 2.1.178</w:t>
        </w:r>
      </w:hyperlink>
      <w:r>
        <w:t xml:space="preserve"> </w:t>
      </w:r>
      <w:r>
        <w:fldChar w:fldCharType="begin"/>
      </w:r>
      <w:r>
        <w:instrText>PAGEREF section_cc8ad504f84b4d8bac1d808e6f7b2a31</w:instrText>
      </w:r>
      <w:r>
        <w:fldChar w:fldCharType="separate"/>
      </w:r>
      <w:r>
        <w:rPr>
          <w:noProof/>
        </w:rPr>
        <w:t>97</w:t>
      </w:r>
      <w:r>
        <w:fldChar w:fldCharType="end"/>
      </w:r>
      <w:r>
        <w:t xml:space="preserve">, </w:t>
      </w:r>
      <w:hyperlink w:anchor="section_312c4c2ed5b34407932a1122ed816de0">
        <w:r>
          <w:rPr>
            <w:rStyle w:val="Hyperlink"/>
          </w:rPr>
          <w:t>section 2.1.142</w:t>
        </w:r>
        <w:r>
          <w:rPr>
            <w:rStyle w:val="Hyperlink"/>
          </w:rPr>
          <w:t>2</w:t>
        </w:r>
      </w:hyperlink>
      <w:r>
        <w:t xml:space="preserve"> </w:t>
      </w:r>
      <w:r>
        <w:fldChar w:fldCharType="begin"/>
      </w:r>
      <w:r>
        <w:instrText>PAGEREF section_312c4c2ed5b34407932a1122ed816de0</w:instrText>
      </w:r>
      <w:r>
        <w:fldChar w:fldCharType="separate"/>
      </w:r>
      <w:r>
        <w:rPr>
          <w:noProof/>
        </w:rPr>
        <w:t>546</w:t>
      </w:r>
      <w:r>
        <w:fldChar w:fldCharType="end"/>
      </w:r>
      <w:r>
        <w:t>)</w:t>
      </w:r>
    </w:p>
    <w:p w:rsidR="005F78FC" w:rsidRDefault="00B42EF3">
      <w:pPr>
        <w:pStyle w:val="indexentry0"/>
      </w:pPr>
      <w:hyperlink w:anchor="section_e029a4373f4d408c945eb1b52dcb04b3">
        <w:r>
          <w:rPr>
            <w:rStyle w:val="Hyperlink"/>
          </w:rPr>
          <w:t>tr2bl (Table Cell Top Right to Bottom Left Diagonal Border)</w:t>
        </w:r>
      </w:hyperlink>
      <w:r>
        <w:t xml:space="preserve"> </w:t>
      </w:r>
      <w:r>
        <w:fldChar w:fldCharType="begin"/>
      </w:r>
      <w:r>
        <w:instrText>PAGEREF section_e029a4373f4d408c945eb1b52dcb04b3</w:instrText>
      </w:r>
      <w:r>
        <w:fldChar w:fldCharType="separate"/>
      </w:r>
      <w:r>
        <w:rPr>
          <w:noProof/>
        </w:rPr>
        <w:t>97</w:t>
      </w:r>
      <w:r>
        <w:fldChar w:fldCharType="end"/>
      </w:r>
    </w:p>
    <w:p w:rsidR="005F78FC" w:rsidRDefault="00B42EF3">
      <w:pPr>
        <w:pStyle w:val="indexentry0"/>
      </w:pPr>
      <w:hyperlink w:anchor="section_e4474de8f3b14dfeb6475bef678743ca">
        <w:r>
          <w:rPr>
            <w:rStyle w:val="Hyperlink"/>
          </w:rPr>
          <w:t>Tracking changes</w:t>
        </w:r>
      </w:hyperlink>
      <w:r>
        <w:t xml:space="preserve"> </w:t>
      </w:r>
      <w:r>
        <w:fldChar w:fldCharType="begin"/>
      </w:r>
      <w:r>
        <w:instrText>PAGEREF section_e4474de8f3b14dfeb6475bef678743ca</w:instrText>
      </w:r>
      <w:r>
        <w:fldChar w:fldCharType="separate"/>
      </w:r>
      <w:r>
        <w:rPr>
          <w:noProof/>
        </w:rPr>
        <w:t>907</w:t>
      </w:r>
      <w:r>
        <w:fldChar w:fldCharType="end"/>
      </w:r>
    </w:p>
    <w:p w:rsidR="005F78FC" w:rsidRDefault="00B42EF3">
      <w:pPr>
        <w:pStyle w:val="indexentry0"/>
      </w:pPr>
      <w:hyperlink w:anchor="section_2ba8081c91f3403c9a7a258d000a5a32">
        <w:r>
          <w:rPr>
            <w:rStyle w:val="Hyperlink"/>
          </w:rPr>
          <w:t>transp (Transparent (Phantom))</w:t>
        </w:r>
      </w:hyperlink>
      <w:r>
        <w:t xml:space="preserve"> </w:t>
      </w:r>
      <w:r>
        <w:fldChar w:fldCharType="begin"/>
      </w:r>
      <w:r>
        <w:instrText>PAGEREF section_2ba8081c91f3403c9a7a258d000a5a32</w:instrText>
      </w:r>
      <w:r>
        <w:fldChar w:fldCharType="separate"/>
      </w:r>
      <w:r>
        <w:rPr>
          <w:noProof/>
        </w:rPr>
        <w:t>607</w:t>
      </w:r>
      <w:r>
        <w:fldChar w:fldCharType="end"/>
      </w:r>
    </w:p>
    <w:p w:rsidR="005F78FC" w:rsidRDefault="00B42EF3">
      <w:pPr>
        <w:pStyle w:val="indexentry0"/>
      </w:pPr>
      <w:hyperlink w:anchor="section_a627a81e2d014a7f8f7c40e2aec4f792">
        <w:r>
          <w:rPr>
            <w:rStyle w:val="Hyperlink"/>
          </w:rPr>
          <w:t>trendline (Trendlines)</w:t>
        </w:r>
      </w:hyperlink>
      <w:r>
        <w:t xml:space="preserve"> </w:t>
      </w:r>
      <w:r>
        <w:fldChar w:fldCharType="begin"/>
      </w:r>
      <w:r>
        <w:instrText>PAGEREF section_a627a81e2d014a7f8f7c40e2aec4f792</w:instrText>
      </w:r>
      <w:r>
        <w:fldChar w:fldCharType="separate"/>
      </w:r>
      <w:r>
        <w:rPr>
          <w:noProof/>
        </w:rPr>
        <w:t>575</w:t>
      </w:r>
      <w:r>
        <w:fldChar w:fldCharType="end"/>
      </w:r>
    </w:p>
    <w:p w:rsidR="005F78FC" w:rsidRDefault="00B42EF3">
      <w:pPr>
        <w:pStyle w:val="indexentry0"/>
      </w:pPr>
      <w:hyperlink w:anchor="section_fe147abc7915492ea048c353ef9ebb28">
        <w:r>
          <w:rPr>
            <w:rStyle w:val="Hyperlink"/>
          </w:rPr>
          <w:t>trendlineLbl (Trendline Label)</w:t>
        </w:r>
      </w:hyperlink>
      <w:r>
        <w:t xml:space="preserve"> </w:t>
      </w:r>
      <w:r>
        <w:fldChar w:fldCharType="begin"/>
      </w:r>
      <w:r>
        <w:instrText>PAGEREF section_fe147abc7915492ea048c353ef9ebb28</w:instrText>
      </w:r>
      <w:r>
        <w:fldChar w:fldCharType="separate"/>
      </w:r>
      <w:r>
        <w:rPr>
          <w:noProof/>
        </w:rPr>
        <w:t>575</w:t>
      </w:r>
      <w:r>
        <w:fldChar w:fldCharType="end"/>
      </w:r>
    </w:p>
    <w:p w:rsidR="005F78FC" w:rsidRDefault="00B42EF3">
      <w:pPr>
        <w:pStyle w:val="indexentry0"/>
      </w:pPr>
      <w:hyperlink w:anchor="section_3a6020381d924913ad3e43556bf8b51f">
        <w:r>
          <w:rPr>
            <w:rStyle w:val="Hyperlink"/>
          </w:rPr>
          <w:t>trendlineType (Trendline Type)</w:t>
        </w:r>
      </w:hyperlink>
      <w:r>
        <w:t xml:space="preserve"> </w:t>
      </w:r>
      <w:r>
        <w:fldChar w:fldCharType="begin"/>
      </w:r>
      <w:r>
        <w:instrText>PAGEREF section_3a6020381d924913ad3e43556bf8b51f</w:instrText>
      </w:r>
      <w:r>
        <w:fldChar w:fldCharType="separate"/>
      </w:r>
      <w:r>
        <w:rPr>
          <w:noProof/>
        </w:rPr>
        <w:t>576</w:t>
      </w:r>
      <w:r>
        <w:fldChar w:fldCharType="end"/>
      </w:r>
    </w:p>
    <w:p w:rsidR="005F78FC" w:rsidRDefault="00B42EF3">
      <w:pPr>
        <w:pStyle w:val="indexentry0"/>
      </w:pPr>
      <w:hyperlink w:anchor="section_5919e0bde6ce477e8d660e5282f5c506">
        <w:r>
          <w:rPr>
            <w:rStyle w:val="Hyperlink"/>
          </w:rPr>
          <w:t>trHeight (Table Row Height)</w:t>
        </w:r>
      </w:hyperlink>
      <w:r>
        <w:t xml:space="preserve"> </w:t>
      </w:r>
      <w:r>
        <w:fldChar w:fldCharType="begin"/>
      </w:r>
      <w:r>
        <w:instrText>PAGEREF section_5919e0bde6ce477e8d660e5282f5c506</w:instrText>
      </w:r>
      <w:r>
        <w:fldChar w:fldCharType="separate"/>
      </w:r>
      <w:r>
        <w:rPr>
          <w:noProof/>
        </w:rPr>
        <w:t>97</w:t>
      </w:r>
      <w:r>
        <w:fldChar w:fldCharType="end"/>
      </w:r>
    </w:p>
    <w:p w:rsidR="005F78FC" w:rsidRDefault="00B42EF3">
      <w:pPr>
        <w:pStyle w:val="indexentry0"/>
      </w:pPr>
      <w:hyperlink w:anchor="section_2cbdb9beb9b2410daf3b3b09d6872ad6">
        <w:r>
          <w:rPr>
            <w:rStyle w:val="Hyperlink"/>
          </w:rPr>
          <w:t>TRIMMEAN</w:t>
        </w:r>
      </w:hyperlink>
      <w:r>
        <w:t xml:space="preserve"> </w:t>
      </w:r>
      <w:r>
        <w:fldChar w:fldCharType="begin"/>
      </w:r>
      <w:r>
        <w:instrText>PAGEREF section_2cbdb9beb9b2410daf3b3b09d6872ad6</w:instrText>
      </w:r>
      <w:r>
        <w:fldChar w:fldCharType="separate"/>
      </w:r>
      <w:r>
        <w:rPr>
          <w:noProof/>
        </w:rPr>
        <w:t>452</w:t>
      </w:r>
      <w:r>
        <w:fldChar w:fldCharType="end"/>
      </w:r>
    </w:p>
    <w:p w:rsidR="005F78FC" w:rsidRDefault="00B42EF3">
      <w:pPr>
        <w:pStyle w:val="indexentry0"/>
      </w:pPr>
      <w:hyperlink w:anchor="section_36064a5b267d4a27a567453d8b96a5b3">
        <w:r>
          <w:rPr>
            <w:rStyle w:val="Hyperlink"/>
          </w:rPr>
          <w:t>trPr (Style Table Row Properties)</w:t>
        </w:r>
      </w:hyperlink>
      <w:r>
        <w:t xml:space="preserve"> </w:t>
      </w:r>
      <w:r>
        <w:fldChar w:fldCharType="begin"/>
      </w:r>
      <w:r>
        <w:instrText>PAGEREF section_36064a5b267d4a27a567453d8b96a5b3</w:instrText>
      </w:r>
      <w:r>
        <w:fldChar w:fldCharType="separate"/>
      </w:r>
      <w:r>
        <w:rPr>
          <w:noProof/>
        </w:rPr>
        <w:t>123</w:t>
      </w:r>
      <w:r>
        <w:fldChar w:fldCharType="end"/>
      </w:r>
    </w:p>
    <w:p w:rsidR="005F78FC" w:rsidRDefault="00B42EF3">
      <w:pPr>
        <w:pStyle w:val="indexentry0"/>
      </w:pPr>
      <w:hyperlink w:anchor="section_c78643db45244582bab3b93a2dd7b94a">
        <w:r>
          <w:rPr>
            <w:rStyle w:val="Hyperlink"/>
          </w:rPr>
          <w:t>trPr (Table Style Conditional Formatting Table Row Properties)</w:t>
        </w:r>
      </w:hyperlink>
      <w:r>
        <w:t xml:space="preserve"> </w:t>
      </w:r>
      <w:r>
        <w:fldChar w:fldCharType="begin"/>
      </w:r>
      <w:r>
        <w:instrText>PAGEREF section_c78643db4524</w:instrText>
      </w:r>
      <w:r>
        <w:instrText>4582bab3b93a2dd7b94a</w:instrText>
      </w:r>
      <w:r>
        <w:fldChar w:fldCharType="separate"/>
      </w:r>
      <w:r>
        <w:rPr>
          <w:noProof/>
        </w:rPr>
        <w:t>122</w:t>
      </w:r>
      <w:r>
        <w:fldChar w:fldCharType="end"/>
      </w:r>
    </w:p>
    <w:p w:rsidR="005F78FC" w:rsidRDefault="00B42EF3">
      <w:pPr>
        <w:pStyle w:val="indexentry0"/>
      </w:pPr>
      <w:hyperlink w:anchor="section_953ded84289041e2b60711dc9c658a54">
        <w:r>
          <w:rPr>
            <w:rStyle w:val="Hyperlink"/>
          </w:rPr>
          <w:t>trPrChange (Revision Information for Table Row Properties)</w:t>
        </w:r>
      </w:hyperlink>
      <w:r>
        <w:t xml:space="preserve"> </w:t>
      </w:r>
      <w:r>
        <w:fldChar w:fldCharType="begin"/>
      </w:r>
      <w:r>
        <w:instrText>PAGEREF section_953ded84289041e2b60711dc9c658a54</w:instrText>
      </w:r>
      <w:r>
        <w:fldChar w:fldCharType="separate"/>
      </w:r>
      <w:r>
        <w:rPr>
          <w:noProof/>
        </w:rPr>
        <w:t>143</w:t>
      </w:r>
      <w:r>
        <w:fldChar w:fldCharType="end"/>
      </w:r>
    </w:p>
    <w:p w:rsidR="005F78FC" w:rsidRDefault="00B42EF3">
      <w:pPr>
        <w:pStyle w:val="indexentry0"/>
      </w:pPr>
      <w:hyperlink w:anchor="section_5987610d70aa4818afcbd2769417c6fa">
        <w:r>
          <w:rPr>
            <w:rStyle w:val="Hyperlink"/>
          </w:rPr>
          <w:t>TRUNC</w:t>
        </w:r>
      </w:hyperlink>
      <w:r>
        <w:t xml:space="preserve"> </w:t>
      </w:r>
      <w:r>
        <w:fldChar w:fldCharType="begin"/>
      </w:r>
      <w:r>
        <w:instrText>PAGEREF section_5987610d70aa4818afcbd2769417c6fa</w:instrText>
      </w:r>
      <w:r>
        <w:fldChar w:fldCharType="separate"/>
      </w:r>
      <w:r>
        <w:rPr>
          <w:noProof/>
        </w:rPr>
        <w:t>452</w:t>
      </w:r>
      <w:r>
        <w:fldChar w:fldCharType="end"/>
      </w:r>
    </w:p>
    <w:p w:rsidR="005F78FC" w:rsidRDefault="00B42EF3">
      <w:pPr>
        <w:pStyle w:val="indexentry0"/>
      </w:pPr>
      <w:hyperlink w:anchor="section_2cdcacbb510645f0bf6a22a240164164">
        <w:r>
          <w:rPr>
            <w:rStyle w:val="Hyperlink"/>
          </w:rPr>
          <w:t>TTEST</w:t>
        </w:r>
      </w:hyperlink>
      <w:r>
        <w:t xml:space="preserve"> </w:t>
      </w:r>
      <w:r>
        <w:fldChar w:fldCharType="begin"/>
      </w:r>
      <w:r>
        <w:instrText>PAGEREF section_2cdcacbb510645f0bf6a22a240164164</w:instrText>
      </w:r>
      <w:r>
        <w:fldChar w:fldCharType="separate"/>
      </w:r>
      <w:r>
        <w:rPr>
          <w:noProof/>
        </w:rPr>
        <w:t>452</w:t>
      </w:r>
      <w:r>
        <w:fldChar w:fldCharType="end"/>
      </w:r>
    </w:p>
    <w:p w:rsidR="005F78FC" w:rsidRDefault="00B42EF3">
      <w:pPr>
        <w:pStyle w:val="indexentry0"/>
      </w:pPr>
      <w:hyperlink w:anchor="section_663bc5a19c244a29a84da6f9c6e60acd">
        <w:r>
          <w:rPr>
            <w:rStyle w:val="Hyperlink"/>
          </w:rPr>
          <w:t xml:space="preserve">tx (Series </w:t>
        </w:r>
        <w:r>
          <w:rPr>
            <w:rStyle w:val="Hyperlink"/>
          </w:rPr>
          <w:t>Text)</w:t>
        </w:r>
      </w:hyperlink>
      <w:r>
        <w:t xml:space="preserve"> </w:t>
      </w:r>
      <w:r>
        <w:fldChar w:fldCharType="begin"/>
      </w:r>
      <w:r>
        <w:instrText>PAGEREF section_663bc5a19c244a29a84da6f9c6e60acd</w:instrText>
      </w:r>
      <w:r>
        <w:fldChar w:fldCharType="separate"/>
      </w:r>
      <w:r>
        <w:rPr>
          <w:noProof/>
        </w:rPr>
        <w:t>576</w:t>
      </w:r>
      <w:r>
        <w:fldChar w:fldCharType="end"/>
      </w:r>
    </w:p>
    <w:p w:rsidR="005F78FC" w:rsidRDefault="00B42EF3">
      <w:pPr>
        <w:pStyle w:val="indexentry0"/>
      </w:pPr>
      <w:r>
        <w:t>txBody (Shape Text Body) (</w:t>
      </w:r>
      <w:hyperlink w:anchor="section_438b915f007e4b90839dd80034a94f66">
        <w:r>
          <w:rPr>
            <w:rStyle w:val="Hyperlink"/>
          </w:rPr>
          <w:t>section 2.1.1371</w:t>
        </w:r>
      </w:hyperlink>
      <w:r>
        <w:t xml:space="preserve"> </w:t>
      </w:r>
      <w:r>
        <w:fldChar w:fldCharType="begin"/>
      </w:r>
      <w:r>
        <w:instrText>PAGEREF section_438b915f007e4b90839dd80034a94f66</w:instrText>
      </w:r>
      <w:r>
        <w:fldChar w:fldCharType="separate"/>
      </w:r>
      <w:r>
        <w:rPr>
          <w:noProof/>
        </w:rPr>
        <w:t>531</w:t>
      </w:r>
      <w:r>
        <w:fldChar w:fldCharType="end"/>
      </w:r>
      <w:r>
        <w:t xml:space="preserve">, </w:t>
      </w:r>
      <w:hyperlink w:anchor="section_b4fc71bd2d784480b089944ce35dc6b2">
        <w:r>
          <w:rPr>
            <w:rStyle w:val="Hyperlink"/>
          </w:rPr>
          <w:t>section 2.1.1608</w:t>
        </w:r>
      </w:hyperlink>
      <w:r>
        <w:t xml:space="preserve"> </w:t>
      </w:r>
      <w:r>
        <w:fldChar w:fldCharType="begin"/>
      </w:r>
      <w:r>
        <w:instrText>PAGEREF section_b4fc71bd2d784480b089944ce35dc6b2</w:instrText>
      </w:r>
      <w:r>
        <w:fldChar w:fldCharType="separate"/>
      </w:r>
      <w:r>
        <w:rPr>
          <w:noProof/>
        </w:rPr>
        <w:t>585</w:t>
      </w:r>
      <w:r>
        <w:fldChar w:fldCharType="end"/>
      </w:r>
      <w:r>
        <w:t>)</w:t>
      </w:r>
    </w:p>
    <w:p w:rsidR="005F78FC" w:rsidRDefault="00B42EF3">
      <w:pPr>
        <w:pStyle w:val="indexentry0"/>
      </w:pPr>
      <w:hyperlink w:anchor="section_dc83bfa3db214eb4b3c063b11f2575d3">
        <w:r>
          <w:rPr>
            <w:rStyle w:val="Hyperlink"/>
          </w:rPr>
          <w:t>txbxContent (Rich Text Box Content Container)</w:t>
        </w:r>
      </w:hyperlink>
      <w:r>
        <w:t xml:space="preserve"> </w:t>
      </w:r>
      <w:r>
        <w:fldChar w:fldCharType="begin"/>
      </w:r>
      <w:r>
        <w:instrText>PAGEREF sectio</w:instrText>
      </w:r>
      <w:r>
        <w:instrText>n_dc83bfa3db214eb4b3c063b11f2575d3</w:instrText>
      </w:r>
      <w:r>
        <w:fldChar w:fldCharType="separate"/>
      </w:r>
      <w:r>
        <w:rPr>
          <w:noProof/>
        </w:rPr>
        <w:t>632</w:t>
      </w:r>
      <w:r>
        <w:fldChar w:fldCharType="end"/>
      </w:r>
    </w:p>
    <w:p w:rsidR="005F78FC" w:rsidRDefault="00B42EF3">
      <w:pPr>
        <w:pStyle w:val="indexentry0"/>
      </w:pPr>
      <w:hyperlink w:anchor="section_ea27f7e7175b40d6b10d96f9eb8ae27d">
        <w:r>
          <w:rPr>
            <w:rStyle w:val="Hyperlink"/>
          </w:rPr>
          <w:t>txEffectClrLst (Text Effect Color List)</w:t>
        </w:r>
      </w:hyperlink>
      <w:r>
        <w:t xml:space="preserve"> </w:t>
      </w:r>
      <w:r>
        <w:fldChar w:fldCharType="begin"/>
      </w:r>
      <w:r>
        <w:instrText>PAGEREF section_ea27f7e7175b40d6b10d96f9eb8ae27d</w:instrText>
      </w:r>
      <w:r>
        <w:fldChar w:fldCharType="separate"/>
      </w:r>
      <w:r>
        <w:rPr>
          <w:noProof/>
        </w:rPr>
        <w:t>589</w:t>
      </w:r>
      <w:r>
        <w:fldChar w:fldCharType="end"/>
      </w:r>
    </w:p>
    <w:p w:rsidR="005F78FC" w:rsidRDefault="00B42EF3">
      <w:pPr>
        <w:pStyle w:val="indexentry0"/>
      </w:pPr>
      <w:hyperlink w:anchor="section_80e28031fe3448deabb40d562836d2a0">
        <w:r>
          <w:rPr>
            <w:rStyle w:val="Hyperlink"/>
          </w:rPr>
          <w:t>txFillClrLst (Text Fill Color List)</w:t>
        </w:r>
      </w:hyperlink>
      <w:r>
        <w:t xml:space="preserve"> </w:t>
      </w:r>
      <w:r>
        <w:fldChar w:fldCharType="begin"/>
      </w:r>
      <w:r>
        <w:instrText>PAGEREF section_80e28031fe3448deabb40d562836d2a0</w:instrText>
      </w:r>
      <w:r>
        <w:fldChar w:fldCharType="separate"/>
      </w:r>
      <w:r>
        <w:rPr>
          <w:noProof/>
        </w:rPr>
        <w:t>589</w:t>
      </w:r>
      <w:r>
        <w:fldChar w:fldCharType="end"/>
      </w:r>
    </w:p>
    <w:p w:rsidR="005F78FC" w:rsidRDefault="00B42EF3">
      <w:pPr>
        <w:pStyle w:val="indexentry0"/>
      </w:pPr>
      <w:hyperlink w:anchor="section_53ab4a0a7214451bad800daf95b4c4ef">
        <w:r>
          <w:rPr>
            <w:rStyle w:val="Hyperlink"/>
          </w:rPr>
          <w:t>txLinClrLst (Text Line Color List)</w:t>
        </w:r>
      </w:hyperlink>
      <w:r>
        <w:t xml:space="preserve"> </w:t>
      </w:r>
      <w:r>
        <w:fldChar w:fldCharType="begin"/>
      </w:r>
      <w:r>
        <w:instrText>PAGEREF section_53ab4a0a7214451bad800daf95b4c4ef</w:instrText>
      </w:r>
      <w:r>
        <w:fldChar w:fldCharType="separate"/>
      </w:r>
      <w:r>
        <w:rPr>
          <w:noProof/>
        </w:rPr>
        <w:t>589</w:t>
      </w:r>
      <w:r>
        <w:fldChar w:fldCharType="end"/>
      </w:r>
    </w:p>
    <w:p w:rsidR="005F78FC" w:rsidRDefault="00B42EF3">
      <w:pPr>
        <w:pStyle w:val="indexentry0"/>
      </w:pPr>
      <w:hyperlink w:anchor="section_7567be8d0d5e4265a80b52a3006799b3">
        <w:r>
          <w:rPr>
            <w:rStyle w:val="Hyperlink"/>
          </w:rPr>
          <w:t>txPr (Text Properties)</w:t>
        </w:r>
      </w:hyperlink>
      <w:r>
        <w:t xml:space="preserve"> </w:t>
      </w:r>
      <w:r>
        <w:fldChar w:fldCharType="begin"/>
      </w:r>
      <w:r>
        <w:instrText>PAGEREF section_7567be8d0d5e4265a80b52a3006799b3</w:instrText>
      </w:r>
      <w:r>
        <w:fldChar w:fldCharType="separate"/>
      </w:r>
      <w:r>
        <w:rPr>
          <w:noProof/>
        </w:rPr>
        <w:t>576</w:t>
      </w:r>
      <w:r>
        <w:fldChar w:fldCharType="end"/>
      </w:r>
    </w:p>
    <w:p w:rsidR="005F78FC" w:rsidRDefault="00B42EF3">
      <w:pPr>
        <w:pStyle w:val="indexentry0"/>
      </w:pPr>
      <w:hyperlink w:anchor="section_ab045545aaa841f5945ead37902440a0">
        <w:r>
          <w:rPr>
            <w:rStyle w:val="Hyperlink"/>
          </w:rPr>
          <w:t>TYPE</w:t>
        </w:r>
      </w:hyperlink>
      <w:r>
        <w:t xml:space="preserve"> </w:t>
      </w:r>
      <w:r>
        <w:fldChar w:fldCharType="begin"/>
      </w:r>
      <w:r>
        <w:instrText>PAGEREF section_ab045545aaa841f5945ead37902440a0</w:instrText>
      </w:r>
      <w:r>
        <w:fldChar w:fldCharType="separate"/>
      </w:r>
      <w:r>
        <w:rPr>
          <w:noProof/>
        </w:rPr>
        <w:t>452</w:t>
      </w:r>
      <w:r>
        <w:fldChar w:fldCharType="end"/>
      </w:r>
    </w:p>
    <w:p w:rsidR="005F78FC" w:rsidRDefault="00B42EF3">
      <w:pPr>
        <w:pStyle w:val="indexentry0"/>
      </w:pPr>
      <w:hyperlink w:anchor="section_b2b9f6962920492c92412a7b9ab6604e">
        <w:r>
          <w:rPr>
            <w:rStyle w:val="Hyperlink"/>
          </w:rPr>
          <w:t>type (Section Type)</w:t>
        </w:r>
      </w:hyperlink>
      <w:r>
        <w:t xml:space="preserve"> </w:t>
      </w:r>
      <w:r>
        <w:fldChar w:fldCharType="begin"/>
      </w:r>
      <w:r>
        <w:instrText>PAGEREF section_b2b9f6962920492c92412a7b9ab6604e</w:instrText>
      </w:r>
      <w:r>
        <w:fldChar w:fldCharType="separate"/>
      </w:r>
      <w:r>
        <w:rPr>
          <w:noProof/>
        </w:rPr>
        <w:t>107</w:t>
      </w:r>
      <w:r>
        <w:fldChar w:fldCharType="end"/>
      </w:r>
    </w:p>
    <w:p w:rsidR="005F78FC" w:rsidRDefault="00B42EF3">
      <w:pPr>
        <w:pStyle w:val="indexentry0"/>
      </w:pPr>
      <w:hyperlink w:anchor="section_65b46619bfd94e1fb803596ec36fd891">
        <w:r>
          <w:rPr>
            <w:rStyle w:val="Hyperlink"/>
          </w:rPr>
          <w:t>Types and Values</w:t>
        </w:r>
      </w:hyperlink>
      <w:r>
        <w:t xml:space="preserve"> </w:t>
      </w:r>
      <w:r>
        <w:fldChar w:fldCharType="begin"/>
      </w:r>
      <w:r>
        <w:instrText>PAGEREF section_65b46619bfd94e1fb803596ec36fd891</w:instrText>
      </w:r>
      <w:r>
        <w:fldChar w:fldCharType="separate"/>
      </w:r>
      <w:r>
        <w:rPr>
          <w:noProof/>
        </w:rPr>
        <w:t>398</w:t>
      </w:r>
      <w:r>
        <w:fldChar w:fldCharType="end"/>
      </w:r>
    </w:p>
    <w:p w:rsidR="005F78FC" w:rsidRDefault="005F78FC">
      <w:pPr>
        <w:spacing w:before="0" w:after="0"/>
        <w:rPr>
          <w:sz w:val="16"/>
        </w:rPr>
      </w:pPr>
    </w:p>
    <w:p w:rsidR="005F78FC" w:rsidRDefault="00B42EF3">
      <w:pPr>
        <w:pStyle w:val="indexheader"/>
      </w:pPr>
      <w:r>
        <w:t>U</w:t>
      </w:r>
    </w:p>
    <w:p w:rsidR="005F78FC" w:rsidRDefault="005F78FC">
      <w:pPr>
        <w:spacing w:before="0" w:after="0"/>
        <w:rPr>
          <w:sz w:val="16"/>
        </w:rPr>
      </w:pPr>
    </w:p>
    <w:p w:rsidR="005F78FC" w:rsidRDefault="00B42EF3">
      <w:pPr>
        <w:pStyle w:val="indexentry0"/>
      </w:pPr>
      <w:hyperlink w:anchor="section_983b4d5a53ba4d7989cbfc13303af71b">
        <w:r>
          <w:rPr>
            <w:rStyle w:val="Hyperlink"/>
          </w:rPr>
          <w:t>u (Underline)</w:t>
        </w:r>
      </w:hyperlink>
      <w:r>
        <w:t xml:space="preserve"> </w:t>
      </w:r>
      <w:r>
        <w:fldChar w:fldCharType="begin"/>
      </w:r>
      <w:r>
        <w:instrText>PAGEREF section_983b4d5a53ba4d7989cbfc13303af71b</w:instrText>
      </w:r>
      <w:r>
        <w:fldChar w:fldCharType="separate"/>
      </w:r>
      <w:r>
        <w:rPr>
          <w:noProof/>
        </w:rPr>
        <w:t>81</w:t>
      </w:r>
      <w:r>
        <w:fldChar w:fldCharType="end"/>
      </w:r>
    </w:p>
    <w:p w:rsidR="005F78FC" w:rsidRDefault="00B42EF3">
      <w:pPr>
        <w:pStyle w:val="indexentry0"/>
      </w:pPr>
      <w:hyperlink w:anchor="section_26666ffbbd6640afae0ff52667122e22">
        <w:r>
          <w:rPr>
            <w:rStyle w:val="Hyperlink"/>
          </w:rPr>
          <w:t>udl (UDL Connection String)</w:t>
        </w:r>
      </w:hyperlink>
      <w:r>
        <w:t xml:space="preserve"> </w:t>
      </w:r>
      <w:r>
        <w:fldChar w:fldCharType="begin"/>
      </w:r>
      <w:r>
        <w:instrText>PAGEREF section_26666ffbbd6640afae0</w:instrText>
      </w:r>
      <w:r>
        <w:instrText>ff52667122e22</w:instrText>
      </w:r>
      <w:r>
        <w:fldChar w:fldCharType="separate"/>
      </w:r>
      <w:r>
        <w:rPr>
          <w:noProof/>
        </w:rPr>
        <w:t>149</w:t>
      </w:r>
      <w:r>
        <w:fldChar w:fldCharType="end"/>
      </w:r>
    </w:p>
    <w:p w:rsidR="005F78FC" w:rsidRDefault="00B42EF3">
      <w:pPr>
        <w:pStyle w:val="indexentry0"/>
      </w:pPr>
      <w:hyperlink w:anchor="section_57a29393712e406eaeaab5e186027a2d">
        <w:r>
          <w:rPr>
            <w:rStyle w:val="Hyperlink"/>
          </w:rPr>
          <w:t>uFillTx (Underline Fill Properties Follow Text)</w:t>
        </w:r>
      </w:hyperlink>
      <w:r>
        <w:t xml:space="preserve"> </w:t>
      </w:r>
      <w:r>
        <w:fldChar w:fldCharType="begin"/>
      </w:r>
      <w:r>
        <w:instrText>PAGEREF section_57a29393712e406eaeaab5e186027a2d</w:instrText>
      </w:r>
      <w:r>
        <w:fldChar w:fldCharType="separate"/>
      </w:r>
      <w:r>
        <w:rPr>
          <w:noProof/>
        </w:rPr>
        <w:t>541</w:t>
      </w:r>
      <w:r>
        <w:fldChar w:fldCharType="end"/>
      </w:r>
    </w:p>
    <w:p w:rsidR="005F78FC" w:rsidRDefault="00B42EF3">
      <w:pPr>
        <w:pStyle w:val="indexentry0"/>
      </w:pPr>
      <w:hyperlink w:anchor="section_349abc4ba8f340adb212fe737803b70b">
        <w:r>
          <w:rPr>
            <w:rStyle w:val="Hyperlink"/>
          </w:rPr>
          <w:t>UIObj (UI Objec</w:t>
        </w:r>
        <w:r>
          <w:rPr>
            <w:rStyle w:val="Hyperlink"/>
          </w:rPr>
          <w:t>t Toggle)</w:t>
        </w:r>
      </w:hyperlink>
      <w:r>
        <w:t xml:space="preserve"> </w:t>
      </w:r>
      <w:r>
        <w:fldChar w:fldCharType="begin"/>
      </w:r>
      <w:r>
        <w:instrText>PAGEREF section_349abc4ba8f340adb212fe737803b70b</w:instrText>
      </w:r>
      <w:r>
        <w:fldChar w:fldCharType="separate"/>
      </w:r>
      <w:r>
        <w:rPr>
          <w:noProof/>
        </w:rPr>
        <w:t>683</w:t>
      </w:r>
      <w:r>
        <w:fldChar w:fldCharType="end"/>
      </w:r>
    </w:p>
    <w:p w:rsidR="005F78FC" w:rsidRDefault="00B42EF3">
      <w:pPr>
        <w:pStyle w:val="indexentry0"/>
      </w:pPr>
      <w:hyperlink w:anchor="section_b7604183092342c887b44f0b6f850cbf">
        <w:r>
          <w:rPr>
            <w:rStyle w:val="Hyperlink"/>
          </w:rPr>
          <w:t>uiPriority (Optional User Interface Sorting Order)</w:t>
        </w:r>
      </w:hyperlink>
      <w:r>
        <w:t xml:space="preserve"> </w:t>
      </w:r>
      <w:r>
        <w:fldChar w:fldCharType="begin"/>
      </w:r>
      <w:r>
        <w:instrText>PAGEREF section_b7604183092342c887b44f0b6f850cbf</w:instrText>
      </w:r>
      <w:r>
        <w:fldChar w:fldCharType="separate"/>
      </w:r>
      <w:r>
        <w:rPr>
          <w:noProof/>
        </w:rPr>
        <w:t>119</w:t>
      </w:r>
      <w:r>
        <w:fldChar w:fldCharType="end"/>
      </w:r>
    </w:p>
    <w:p w:rsidR="005F78FC" w:rsidRDefault="00B42EF3">
      <w:pPr>
        <w:pStyle w:val="indexentry0"/>
      </w:pPr>
      <w:hyperlink w:anchor="section_595d4ae635b74782bb498ffce58e85cf">
        <w:r>
          <w:rPr>
            <w:rStyle w:val="Hyperlink"/>
          </w:rPr>
          <w:t>uLn (Underline Stroke)</w:t>
        </w:r>
      </w:hyperlink>
      <w:r>
        <w:t xml:space="preserve"> </w:t>
      </w:r>
      <w:r>
        <w:fldChar w:fldCharType="begin"/>
      </w:r>
      <w:r>
        <w:instrText>PAGEREF section_595d4ae635b74782bb498ffce58e85cf</w:instrText>
      </w:r>
      <w:r>
        <w:fldChar w:fldCharType="separate"/>
      </w:r>
      <w:r>
        <w:rPr>
          <w:noProof/>
        </w:rPr>
        <w:t>541</w:t>
      </w:r>
      <w:r>
        <w:fldChar w:fldCharType="end"/>
      </w:r>
    </w:p>
    <w:p w:rsidR="005F78FC" w:rsidRDefault="00B42EF3">
      <w:pPr>
        <w:pStyle w:val="indexentry0"/>
      </w:pPr>
      <w:hyperlink w:anchor="section_69cadf75de6b4dbfac34b8261e44afc3">
        <w:r>
          <w:rPr>
            <w:rStyle w:val="Hyperlink"/>
          </w:rPr>
          <w:t>undo (Undo)</w:t>
        </w:r>
      </w:hyperlink>
      <w:r>
        <w:t xml:space="preserve"> </w:t>
      </w:r>
      <w:r>
        <w:fldChar w:fldCharType="begin"/>
      </w:r>
      <w:r>
        <w:instrText>PAGEREF section_69cadf75de6b4dbfac34b8261e44afc3</w:instrText>
      </w:r>
      <w:r>
        <w:fldChar w:fldCharType="separate"/>
      </w:r>
      <w:r>
        <w:rPr>
          <w:noProof/>
        </w:rPr>
        <w:t>377</w:t>
      </w:r>
      <w:r>
        <w:fldChar w:fldCharType="end"/>
      </w:r>
    </w:p>
    <w:p w:rsidR="005F78FC" w:rsidRDefault="00B42EF3">
      <w:pPr>
        <w:pStyle w:val="indexentry0"/>
      </w:pPr>
      <w:hyperlink w:anchor="section_8d383ab778ce4218ae868c670081fe50">
        <w:r>
          <w:rPr>
            <w:rStyle w:val="Hyperlink"/>
          </w:rPr>
          <w:t>uniqueTag (Unique Value for Record)</w:t>
        </w:r>
      </w:hyperlink>
      <w:r>
        <w:t xml:space="preserve"> </w:t>
      </w:r>
      <w:r>
        <w:fldChar w:fldCharType="begin"/>
      </w:r>
      <w:r>
        <w:instrText>PAGEREF section_8d383ab778ce4218ae868c670081fe50</w:instrText>
      </w:r>
      <w:r>
        <w:fldChar w:fldCharType="separate"/>
      </w:r>
      <w:r>
        <w:rPr>
          <w:noProof/>
        </w:rPr>
        <w:t>149</w:t>
      </w:r>
      <w:r>
        <w:fldChar w:fldCharType="end"/>
      </w:r>
    </w:p>
    <w:p w:rsidR="005F78FC" w:rsidRDefault="00B42EF3">
      <w:pPr>
        <w:pStyle w:val="indexentry0"/>
      </w:pPr>
      <w:hyperlink w:anchor="section_586892cc568a469e9a6682293405b66e">
        <w:r>
          <w:rPr>
            <w:rStyle w:val="Hyperlink"/>
          </w:rPr>
          <w:t>up (Up Vector)</w:t>
        </w:r>
      </w:hyperlink>
      <w:r>
        <w:t xml:space="preserve"> </w:t>
      </w:r>
      <w:r>
        <w:fldChar w:fldCharType="begin"/>
      </w:r>
      <w:r>
        <w:instrText>PAGEREF section_586892cc568a469e9a6682293405</w:instrText>
      </w:r>
      <w:r>
        <w:instrText>b66e</w:instrText>
      </w:r>
      <w:r>
        <w:fldChar w:fldCharType="separate"/>
      </w:r>
      <w:r>
        <w:rPr>
          <w:noProof/>
        </w:rPr>
        <w:t>511</w:t>
      </w:r>
      <w:r>
        <w:fldChar w:fldCharType="end"/>
      </w:r>
    </w:p>
    <w:p w:rsidR="005F78FC" w:rsidRDefault="00B42EF3">
      <w:pPr>
        <w:pStyle w:val="indexentry0"/>
      </w:pPr>
      <w:hyperlink w:anchor="section_d8bc14c05eeb49c19ba78edf4c33976f">
        <w:r>
          <w:rPr>
            <w:rStyle w:val="Hyperlink"/>
          </w:rPr>
          <w:t>updateFields (Automatically Recalculate Fields on Open)</w:t>
        </w:r>
      </w:hyperlink>
      <w:r>
        <w:t xml:space="preserve"> </w:t>
      </w:r>
      <w:r>
        <w:fldChar w:fldCharType="begin"/>
      </w:r>
      <w:r>
        <w:instrText>PAGEREF section_d8bc14c05eeb49c19ba78edf4c33976f</w:instrText>
      </w:r>
      <w:r>
        <w:fldChar w:fldCharType="separate"/>
      </w:r>
      <w:r>
        <w:rPr>
          <w:noProof/>
        </w:rPr>
        <w:t>161</w:t>
      </w:r>
      <w:r>
        <w:fldChar w:fldCharType="end"/>
      </w:r>
    </w:p>
    <w:p w:rsidR="005F78FC" w:rsidRDefault="00B42EF3">
      <w:pPr>
        <w:pStyle w:val="indexentry0"/>
      </w:pPr>
      <w:hyperlink w:anchor="section_dc6ad719d7db4b06a8f17375c2d61522">
        <w:r>
          <w:rPr>
            <w:rStyle w:val="Hyperlink"/>
          </w:rPr>
          <w:t>USDOLLAR</w:t>
        </w:r>
      </w:hyperlink>
      <w:r>
        <w:t xml:space="preserve"> </w:t>
      </w:r>
      <w:r>
        <w:fldChar w:fldCharType="begin"/>
      </w:r>
      <w:r>
        <w:instrText>PAGEREF section_dc6ad719d7db4b06a8f17375c2d61522</w:instrText>
      </w:r>
      <w:r>
        <w:fldChar w:fldCharType="separate"/>
      </w:r>
      <w:r>
        <w:rPr>
          <w:noProof/>
        </w:rPr>
        <w:t>452</w:t>
      </w:r>
      <w:r>
        <w:fldChar w:fldCharType="end"/>
      </w:r>
    </w:p>
    <w:p w:rsidR="005F78FC" w:rsidRDefault="00B42EF3">
      <w:pPr>
        <w:pStyle w:val="indexentry0"/>
      </w:pPr>
      <w:hyperlink w:anchor="section_bb7ecf827f11485eacabe9237c313497">
        <w:r>
          <w:rPr>
            <w:rStyle w:val="Hyperlink"/>
          </w:rPr>
          <w:t>USERADDRESS</w:t>
        </w:r>
      </w:hyperlink>
      <w:r>
        <w:t xml:space="preserve"> </w:t>
      </w:r>
      <w:r>
        <w:fldChar w:fldCharType="begin"/>
      </w:r>
      <w:r>
        <w:instrText>PAGEREF section_bb7ecf827f11485eacabe9237c313497</w:instrText>
      </w:r>
      <w:r>
        <w:fldChar w:fldCharType="separate"/>
      </w:r>
      <w:r>
        <w:rPr>
          <w:noProof/>
        </w:rPr>
        <w:t>227</w:t>
      </w:r>
      <w:r>
        <w:fldChar w:fldCharType="end"/>
      </w:r>
    </w:p>
    <w:p w:rsidR="005F78FC" w:rsidRDefault="00B42EF3">
      <w:pPr>
        <w:pStyle w:val="indexentry0"/>
      </w:pPr>
      <w:hyperlink w:anchor="section_761605aa1b6b45aab7afd3147b353035">
        <w:r>
          <w:rPr>
            <w:rStyle w:val="Hyperlink"/>
          </w:rPr>
          <w:t>USERINITIALS</w:t>
        </w:r>
      </w:hyperlink>
      <w:r>
        <w:t xml:space="preserve"> </w:t>
      </w:r>
      <w:r>
        <w:fldChar w:fldCharType="begin"/>
      </w:r>
      <w:r>
        <w:instrText>P</w:instrText>
      </w:r>
      <w:r>
        <w:instrText>AGEREF section_761605aa1b6b45aab7afd3147b353035</w:instrText>
      </w:r>
      <w:r>
        <w:fldChar w:fldCharType="separate"/>
      </w:r>
      <w:r>
        <w:rPr>
          <w:noProof/>
        </w:rPr>
        <w:t>228</w:t>
      </w:r>
      <w:r>
        <w:fldChar w:fldCharType="end"/>
      </w:r>
    </w:p>
    <w:p w:rsidR="005F78FC" w:rsidRDefault="00B42EF3">
      <w:pPr>
        <w:pStyle w:val="indexentry0"/>
      </w:pPr>
      <w:hyperlink w:anchor="section_2e9f2f68de8a476981ecc433df93c50c">
        <w:r>
          <w:rPr>
            <w:rStyle w:val="Hyperlink"/>
          </w:rPr>
          <w:t>userInterface (User Interface)</w:t>
        </w:r>
      </w:hyperlink>
      <w:r>
        <w:t xml:space="preserve"> </w:t>
      </w:r>
      <w:r>
        <w:fldChar w:fldCharType="begin"/>
      </w:r>
      <w:r>
        <w:instrText>PAGEREF section_2e9f2f68de8a476981ecc433df93c50c</w:instrText>
      </w:r>
      <w:r>
        <w:fldChar w:fldCharType="separate"/>
      </w:r>
      <w:r>
        <w:rPr>
          <w:noProof/>
        </w:rPr>
        <w:t>576</w:t>
      </w:r>
      <w:r>
        <w:fldChar w:fldCharType="end"/>
      </w:r>
    </w:p>
    <w:p w:rsidR="005F78FC" w:rsidRDefault="00B42EF3">
      <w:pPr>
        <w:pStyle w:val="indexentry0"/>
      </w:pPr>
      <w:hyperlink w:anchor="section_fa983962308148aeaefefd3dc47bf97f">
        <w:r>
          <w:rPr>
            <w:rStyle w:val="Hyperlink"/>
          </w:rPr>
          <w:t>USERNAME</w:t>
        </w:r>
      </w:hyperlink>
      <w:r>
        <w:t xml:space="preserve"> </w:t>
      </w:r>
      <w:r>
        <w:fldChar w:fldCharType="begin"/>
      </w:r>
      <w:r>
        <w:instrText>PAGEREF section_fa983962308148aeaefefd3dc47bf97f</w:instrText>
      </w:r>
      <w:r>
        <w:fldChar w:fldCharType="separate"/>
      </w:r>
      <w:r>
        <w:rPr>
          <w:noProof/>
        </w:rPr>
        <w:t>228</w:t>
      </w:r>
      <w:r>
        <w:fldChar w:fldCharType="end"/>
      </w:r>
    </w:p>
    <w:p w:rsidR="005F78FC" w:rsidRDefault="00B42EF3">
      <w:pPr>
        <w:pStyle w:val="indexentry0"/>
      </w:pPr>
      <w:hyperlink w:anchor="section_98a171fb28a2412fb7e945d21335b00c">
        <w:r>
          <w:rPr>
            <w:rStyle w:val="Hyperlink"/>
          </w:rPr>
          <w:t>users (User List)</w:t>
        </w:r>
      </w:hyperlink>
      <w:r>
        <w:t xml:space="preserve"> </w:t>
      </w:r>
      <w:r>
        <w:fldChar w:fldCharType="begin"/>
      </w:r>
      <w:r>
        <w:instrText>PAGEREF section_98a171fb28a2412fb7e945d21335b00c</w:instrText>
      </w:r>
      <w:r>
        <w:fldChar w:fldCharType="separate"/>
      </w:r>
      <w:r>
        <w:rPr>
          <w:noProof/>
        </w:rPr>
        <w:t>377</w:t>
      </w:r>
      <w:r>
        <w:fldChar w:fldCharType="end"/>
      </w:r>
    </w:p>
    <w:p w:rsidR="005F78FC" w:rsidRDefault="005F78FC">
      <w:pPr>
        <w:spacing w:before="0" w:after="0"/>
        <w:rPr>
          <w:sz w:val="16"/>
        </w:rPr>
      </w:pPr>
    </w:p>
    <w:p w:rsidR="005F78FC" w:rsidRDefault="00B42EF3">
      <w:pPr>
        <w:pStyle w:val="indexheader"/>
      </w:pPr>
      <w:r>
        <w:t>V</w:t>
      </w:r>
    </w:p>
    <w:p w:rsidR="005F78FC" w:rsidRDefault="005F78FC">
      <w:pPr>
        <w:spacing w:before="0" w:after="0"/>
        <w:rPr>
          <w:sz w:val="16"/>
        </w:rPr>
      </w:pPr>
    </w:p>
    <w:p w:rsidR="005F78FC" w:rsidRDefault="00B42EF3">
      <w:pPr>
        <w:pStyle w:val="indexentry0"/>
      </w:pPr>
      <w:hyperlink w:anchor="section_b9d01770b85b4fb2a387f5811719a1af">
        <w:r>
          <w:rPr>
            <w:rStyle w:val="Hyperlink"/>
          </w:rPr>
          <w:t>v (Cell Value)</w:t>
        </w:r>
      </w:hyperlink>
      <w:r>
        <w:t xml:space="preserve"> </w:t>
      </w:r>
      <w:r>
        <w:fldChar w:fldCharType="begin"/>
      </w:r>
      <w:r>
        <w:instrText>PAGEREF section_b9d01770b85b4fb2a387f5811719a1af</w:instrText>
      </w:r>
      <w:r>
        <w:fldChar w:fldCharType="separate"/>
      </w:r>
      <w:r>
        <w:rPr>
          <w:noProof/>
        </w:rPr>
        <w:t>289</w:t>
      </w:r>
      <w:r>
        <w:fldChar w:fldCharType="end"/>
      </w:r>
    </w:p>
    <w:p w:rsidR="005F78FC" w:rsidRDefault="00B42EF3">
      <w:pPr>
        <w:pStyle w:val="indexentry0"/>
      </w:pPr>
      <w:hyperlink w:anchor="section_f1fef0f3755d403ba81f9730ffb5681c">
        <w:r>
          <w:rPr>
            <w:rStyle w:val="Hyperlink"/>
          </w:rPr>
          <w:t>v (Numeric Value)</w:t>
        </w:r>
      </w:hyperlink>
      <w:r>
        <w:t xml:space="preserve"> </w:t>
      </w:r>
      <w:r>
        <w:fldChar w:fldCharType="begin"/>
      </w:r>
      <w:r>
        <w:instrText>PAGEREF section_f1fef0f3755d403ba81f9730ffb56</w:instrText>
      </w:r>
      <w:r>
        <w:instrText>81c</w:instrText>
      </w:r>
      <w:r>
        <w:fldChar w:fldCharType="separate"/>
      </w:r>
      <w:r>
        <w:rPr>
          <w:noProof/>
        </w:rPr>
        <w:t>576</w:t>
      </w:r>
      <w:r>
        <w:fldChar w:fldCharType="end"/>
      </w:r>
    </w:p>
    <w:p w:rsidR="005F78FC" w:rsidRDefault="00B42EF3">
      <w:pPr>
        <w:pStyle w:val="indexentry0"/>
      </w:pPr>
      <w:hyperlink w:anchor="section_9d1e79f6ab69441d8397ec6144a6afee">
        <w:r>
          <w:rPr>
            <w:rStyle w:val="Hyperlink"/>
          </w:rPr>
          <w:t>val (DDE Link Value)</w:t>
        </w:r>
      </w:hyperlink>
      <w:r>
        <w:t xml:space="preserve"> </w:t>
      </w:r>
      <w:r>
        <w:fldChar w:fldCharType="begin"/>
      </w:r>
      <w:r>
        <w:instrText>PAGEREF section_9d1e79f6ab69441d8397ec6144a6afee</w:instrText>
      </w:r>
      <w:r>
        <w:fldChar w:fldCharType="separate"/>
      </w:r>
      <w:r>
        <w:rPr>
          <w:noProof/>
        </w:rPr>
        <w:t>385</w:t>
      </w:r>
      <w:r>
        <w:fldChar w:fldCharType="end"/>
      </w:r>
    </w:p>
    <w:p w:rsidR="005F78FC" w:rsidRDefault="00B42EF3">
      <w:pPr>
        <w:pStyle w:val="indexentry0"/>
      </w:pPr>
      <w:hyperlink w:anchor="section_4536b8c015fd4156a3e1b4a93b280d6f">
        <w:r>
          <w:rPr>
            <w:rStyle w:val="Hyperlink"/>
          </w:rPr>
          <w:t>val (Error Bar Value)</w:t>
        </w:r>
      </w:hyperlink>
      <w:r>
        <w:t xml:space="preserve"> </w:t>
      </w:r>
      <w:r>
        <w:fldChar w:fldCharType="begin"/>
      </w:r>
      <w:r>
        <w:instrText>PAGEREF section_4536b8c015fd</w:instrText>
      </w:r>
      <w:r>
        <w:instrText>4156a3e1b4a93b280d6f</w:instrText>
      </w:r>
      <w:r>
        <w:fldChar w:fldCharType="separate"/>
      </w:r>
      <w:r>
        <w:rPr>
          <w:noProof/>
        </w:rPr>
        <w:t>576</w:t>
      </w:r>
      <w:r>
        <w:fldChar w:fldCharType="end"/>
      </w:r>
    </w:p>
    <w:p w:rsidR="005F78FC" w:rsidRDefault="00B42EF3">
      <w:pPr>
        <w:pStyle w:val="indexentry0"/>
      </w:pPr>
      <w:hyperlink w:anchor="section_f453e8c0282a48efac209554adad68b7">
        <w:r>
          <w:rPr>
            <w:rStyle w:val="Hyperlink"/>
          </w:rPr>
          <w:t>Val (Scroll bar position)</w:t>
        </w:r>
      </w:hyperlink>
      <w:r>
        <w:t xml:space="preserve"> </w:t>
      </w:r>
      <w:r>
        <w:fldChar w:fldCharType="begin"/>
      </w:r>
      <w:r>
        <w:instrText>PAGEREF section_f453e8c0282a48efac209554adad68b7</w:instrText>
      </w:r>
      <w:r>
        <w:fldChar w:fldCharType="separate"/>
      </w:r>
      <w:r>
        <w:rPr>
          <w:noProof/>
        </w:rPr>
        <w:t>683</w:t>
      </w:r>
      <w:r>
        <w:fldChar w:fldCharType="end"/>
      </w:r>
    </w:p>
    <w:p w:rsidR="005F78FC" w:rsidRDefault="00B42EF3">
      <w:pPr>
        <w:pStyle w:val="indexentry0"/>
      </w:pPr>
      <w:hyperlink w:anchor="section_a00fdd024b9f424a9f7e6bc5239c298e">
        <w:r>
          <w:rPr>
            <w:rStyle w:val="Hyperlink"/>
          </w:rPr>
          <w:t>valAx (Value Axis)</w:t>
        </w:r>
      </w:hyperlink>
      <w:r>
        <w:t xml:space="preserve"> </w:t>
      </w:r>
      <w:r>
        <w:fldChar w:fldCharType="begin"/>
      </w:r>
      <w:r>
        <w:instrText>PAGEREF section_a00fdd024b9f424a9f7e6bc5239c298e</w:instrText>
      </w:r>
      <w:r>
        <w:fldChar w:fldCharType="separate"/>
      </w:r>
      <w:r>
        <w:rPr>
          <w:noProof/>
        </w:rPr>
        <w:t>576</w:t>
      </w:r>
      <w:r>
        <w:fldChar w:fldCharType="end"/>
      </w:r>
    </w:p>
    <w:p w:rsidR="005F78FC" w:rsidRDefault="00B42EF3">
      <w:pPr>
        <w:pStyle w:val="indexentry0"/>
      </w:pPr>
      <w:hyperlink w:anchor="section_56636a18430443ddbad9302d7e7582fe">
        <w:r>
          <w:rPr>
            <w:rStyle w:val="Hyperlink"/>
          </w:rPr>
          <w:t>ValidIds (Valid ID)</w:t>
        </w:r>
      </w:hyperlink>
      <w:r>
        <w:t xml:space="preserve"> </w:t>
      </w:r>
      <w:r>
        <w:fldChar w:fldCharType="begin"/>
      </w:r>
      <w:r>
        <w:instrText>PAGEREF section_56636a18430443ddbad9302d7e7582fe</w:instrText>
      </w:r>
      <w:r>
        <w:fldChar w:fldCharType="separate"/>
      </w:r>
      <w:r>
        <w:rPr>
          <w:noProof/>
        </w:rPr>
        <w:t>683</w:t>
      </w:r>
      <w:r>
        <w:fldChar w:fldCharType="end"/>
      </w:r>
    </w:p>
    <w:p w:rsidR="005F78FC" w:rsidRDefault="00B42EF3">
      <w:pPr>
        <w:pStyle w:val="indexentry0"/>
      </w:pPr>
      <w:hyperlink w:anchor="section_d42f12d5178c4a6f8107e15b5b27bce8">
        <w:r>
          <w:rPr>
            <w:rStyle w:val="Hyperlink"/>
          </w:rPr>
          <w:t>vAlign (</w:t>
        </w:r>
        <w:r>
          <w:rPr>
            <w:rStyle w:val="Hyperlink"/>
          </w:rPr>
          <w:t>Table Cell Vertical Alignment)</w:t>
        </w:r>
      </w:hyperlink>
      <w:r>
        <w:t xml:space="preserve"> </w:t>
      </w:r>
      <w:r>
        <w:fldChar w:fldCharType="begin"/>
      </w:r>
      <w:r>
        <w:instrText>PAGEREF section_d42f12d5178c4a6f8107e15b5b27bce8</w:instrText>
      </w:r>
      <w:r>
        <w:fldChar w:fldCharType="separate"/>
      </w:r>
      <w:r>
        <w:rPr>
          <w:noProof/>
        </w:rPr>
        <w:t>98</w:t>
      </w:r>
      <w:r>
        <w:fldChar w:fldCharType="end"/>
      </w:r>
    </w:p>
    <w:p w:rsidR="005F78FC" w:rsidRDefault="00B42EF3">
      <w:pPr>
        <w:pStyle w:val="indexentry0"/>
      </w:pPr>
      <w:hyperlink w:anchor="section_4d0498fcd6fd48449c3e82fb61cff764">
        <w:r>
          <w:rPr>
            <w:rStyle w:val="Hyperlink"/>
          </w:rPr>
          <w:t>VALUE</w:t>
        </w:r>
      </w:hyperlink>
      <w:r>
        <w:t xml:space="preserve"> </w:t>
      </w:r>
      <w:r>
        <w:fldChar w:fldCharType="begin"/>
      </w:r>
      <w:r>
        <w:instrText>PAGEREF section_4d0498fcd6fd48449c3e82fb61cff764</w:instrText>
      </w:r>
      <w:r>
        <w:fldChar w:fldCharType="separate"/>
      </w:r>
      <w:r>
        <w:rPr>
          <w:noProof/>
        </w:rPr>
        <w:t>453</w:t>
      </w:r>
      <w:r>
        <w:fldChar w:fldCharType="end"/>
      </w:r>
    </w:p>
    <w:p w:rsidR="005F78FC" w:rsidRDefault="00B42EF3">
      <w:pPr>
        <w:pStyle w:val="indexentry0"/>
      </w:pPr>
      <w:hyperlink w:anchor="section_1d927b7d707f410ba9a95ee9d5289132">
        <w:r>
          <w:rPr>
            <w:rStyle w:val="Hyperlink"/>
          </w:rPr>
          <w:t>value (Value)</w:t>
        </w:r>
      </w:hyperlink>
      <w:r>
        <w:t xml:space="preserve"> </w:t>
      </w:r>
      <w:r>
        <w:fldChar w:fldCharType="begin"/>
      </w:r>
      <w:r>
        <w:instrText>PAGEREF section_1d927b7d707f410ba9a95ee9d5289132</w:instrText>
      </w:r>
      <w:r>
        <w:fldChar w:fldCharType="separate"/>
      </w:r>
      <w:r>
        <w:rPr>
          <w:noProof/>
        </w:rPr>
        <w:t>385</w:t>
      </w:r>
      <w:r>
        <w:fldChar w:fldCharType="end"/>
      </w:r>
    </w:p>
    <w:p w:rsidR="005F78FC" w:rsidRDefault="00B42EF3">
      <w:pPr>
        <w:pStyle w:val="indexentry0"/>
      </w:pPr>
      <w:hyperlink w:anchor="section_b041ae678cdb46d28551e922106b987f">
        <w:r>
          <w:rPr>
            <w:rStyle w:val="Hyperlink"/>
          </w:rPr>
          <w:t>valueMetadata (Value Metadata)</w:t>
        </w:r>
      </w:hyperlink>
      <w:r>
        <w:t xml:space="preserve"> </w:t>
      </w:r>
      <w:r>
        <w:fldChar w:fldCharType="begin"/>
      </w:r>
      <w:r>
        <w:instrText>PAGEREF section_b041ae678cdb46d28551e922106b987f</w:instrText>
      </w:r>
      <w:r>
        <w:fldChar w:fldCharType="separate"/>
      </w:r>
      <w:r>
        <w:rPr>
          <w:noProof/>
        </w:rPr>
        <w:t>329</w:t>
      </w:r>
      <w:r>
        <w:fldChar w:fldCharType="end"/>
      </w:r>
    </w:p>
    <w:p w:rsidR="005F78FC" w:rsidRDefault="00B42EF3">
      <w:pPr>
        <w:pStyle w:val="indexentry0"/>
      </w:pPr>
      <w:hyperlink w:anchor="section_4869f11e196c409caeb928d64ae3902e">
        <w:r>
          <w:rPr>
            <w:rStyle w:val="Hyperlink"/>
          </w:rPr>
          <w:t>values (DDE Name Values)</w:t>
        </w:r>
      </w:hyperlink>
      <w:r>
        <w:t xml:space="preserve"> </w:t>
      </w:r>
      <w:r>
        <w:fldChar w:fldCharType="begin"/>
      </w:r>
      <w:r>
        <w:instrText>PAGEREF section_4869f11e196c409caeb928d64ae3902e</w:instrText>
      </w:r>
      <w:r>
        <w:fldChar w:fldCharType="separate"/>
      </w:r>
      <w:r>
        <w:rPr>
          <w:noProof/>
        </w:rPr>
        <w:t>385</w:t>
      </w:r>
      <w:r>
        <w:fldChar w:fldCharType="end"/>
      </w:r>
    </w:p>
    <w:p w:rsidR="005F78FC" w:rsidRDefault="00B42EF3">
      <w:pPr>
        <w:pStyle w:val="indexentry0"/>
      </w:pPr>
      <w:hyperlink w:anchor="section_17cbd3caed7e49d781c4937496be200e">
        <w:r>
          <w:rPr>
            <w:rStyle w:val="Hyperlink"/>
          </w:rPr>
          <w:t>VAR</w:t>
        </w:r>
      </w:hyperlink>
      <w:r>
        <w:t xml:space="preserve"> </w:t>
      </w:r>
      <w:r>
        <w:fldChar w:fldCharType="begin"/>
      </w:r>
      <w:r>
        <w:instrText>PAGEREF section_17cbd3caed7e49d781c4937496be200e</w:instrText>
      </w:r>
      <w:r>
        <w:fldChar w:fldCharType="separate"/>
      </w:r>
      <w:r>
        <w:rPr>
          <w:noProof/>
        </w:rPr>
        <w:t>453</w:t>
      </w:r>
      <w:r>
        <w:fldChar w:fldCharType="end"/>
      </w:r>
    </w:p>
    <w:p w:rsidR="005F78FC" w:rsidRDefault="00B42EF3">
      <w:pPr>
        <w:pStyle w:val="indexentry0"/>
      </w:pPr>
      <w:hyperlink w:anchor="section_679b42b683744f1d98b2948061f3b26a">
        <w:r>
          <w:rPr>
            <w:rStyle w:val="Hyperlink"/>
          </w:rPr>
          <w:t>VARA</w:t>
        </w:r>
      </w:hyperlink>
      <w:r>
        <w:t xml:space="preserve"> </w:t>
      </w:r>
      <w:r>
        <w:fldChar w:fldCharType="begin"/>
      </w:r>
      <w:r>
        <w:instrText>PAGEREF section_679b42b683744f1d98b2948061f3b26a</w:instrText>
      </w:r>
      <w:r>
        <w:fldChar w:fldCharType="separate"/>
      </w:r>
      <w:r>
        <w:rPr>
          <w:noProof/>
        </w:rPr>
        <w:t>453</w:t>
      </w:r>
      <w:r>
        <w:fldChar w:fldCharType="end"/>
      </w:r>
    </w:p>
    <w:p w:rsidR="005F78FC" w:rsidRDefault="00B42EF3">
      <w:pPr>
        <w:pStyle w:val="indexentry0"/>
      </w:pPr>
      <w:hyperlink w:anchor="section_cbed238b9f4444d6941aeec4f9e4dd4d">
        <w:r>
          <w:rPr>
            <w:rStyle w:val="Hyperlink"/>
          </w:rPr>
          <w:t>VARP</w:t>
        </w:r>
      </w:hyperlink>
      <w:r>
        <w:t xml:space="preserve"> </w:t>
      </w:r>
      <w:r>
        <w:fldChar w:fldCharType="begin"/>
      </w:r>
      <w:r>
        <w:instrText>PAGEREF section_cbed238b9f4444d6941aeec4f9e4dd4d</w:instrText>
      </w:r>
      <w:r>
        <w:fldChar w:fldCharType="separate"/>
      </w:r>
      <w:r>
        <w:rPr>
          <w:noProof/>
        </w:rPr>
        <w:t>453</w:t>
      </w:r>
      <w:r>
        <w:fldChar w:fldCharType="end"/>
      </w:r>
    </w:p>
    <w:p w:rsidR="005F78FC" w:rsidRDefault="00B42EF3">
      <w:pPr>
        <w:pStyle w:val="indexentry0"/>
      </w:pPr>
      <w:hyperlink w:anchor="section_9fcbeb9f84674d9381ab8ce9c5270da0">
        <w:r>
          <w:rPr>
            <w:rStyle w:val="Hyperlink"/>
          </w:rPr>
          <w:t>VARPA</w:t>
        </w:r>
      </w:hyperlink>
      <w:r>
        <w:t xml:space="preserve"> </w:t>
      </w:r>
      <w:r>
        <w:fldChar w:fldCharType="begin"/>
      </w:r>
      <w:r>
        <w:instrText>PAGEREF section_9fcbeb9f84674d9381ab8ce9c5270da0</w:instrText>
      </w:r>
      <w:r>
        <w:fldChar w:fldCharType="separate"/>
      </w:r>
      <w:r>
        <w:rPr>
          <w:noProof/>
        </w:rPr>
        <w:t>453</w:t>
      </w:r>
      <w:r>
        <w:fldChar w:fldCharType="end"/>
      </w:r>
    </w:p>
    <w:p w:rsidR="005F78FC" w:rsidRDefault="00B42EF3">
      <w:pPr>
        <w:pStyle w:val="indexentry0"/>
      </w:pPr>
      <w:hyperlink w:anchor="section_c929a5beb7e4401ba9b5699079e2705c">
        <w:r>
          <w:rPr>
            <w:rStyle w:val="Hyperlink"/>
          </w:rPr>
          <w:t>varyColors (Vary Colors by Point)</w:t>
        </w:r>
      </w:hyperlink>
      <w:r>
        <w:t xml:space="preserve"> </w:t>
      </w:r>
      <w:r>
        <w:fldChar w:fldCharType="begin"/>
      </w:r>
      <w:r>
        <w:instrText>PAGEREF section_c929a5beb7e4401ba9b569</w:instrText>
      </w:r>
      <w:r>
        <w:instrText>9079e2705c</w:instrText>
      </w:r>
      <w:r>
        <w:fldChar w:fldCharType="separate"/>
      </w:r>
      <w:r>
        <w:rPr>
          <w:noProof/>
        </w:rPr>
        <w:t>577</w:t>
      </w:r>
      <w:r>
        <w:fldChar w:fldCharType="end"/>
      </w:r>
    </w:p>
    <w:p w:rsidR="005F78FC" w:rsidRDefault="00B42EF3">
      <w:pPr>
        <w:pStyle w:val="indexentry0"/>
      </w:pPr>
      <w:hyperlink w:anchor="section_ffd66ea9f4964af2a3bb9bb2bbfde505">
        <w:r>
          <w:rPr>
            <w:rStyle w:val="Hyperlink"/>
          </w:rPr>
          <w:t>VDB</w:t>
        </w:r>
      </w:hyperlink>
      <w:r>
        <w:t xml:space="preserve"> </w:t>
      </w:r>
      <w:r>
        <w:fldChar w:fldCharType="begin"/>
      </w:r>
      <w:r>
        <w:instrText>PAGEREF section_ffd66ea9f4964af2a3bb9bb2bbfde505</w:instrText>
      </w:r>
      <w:r>
        <w:fldChar w:fldCharType="separate"/>
      </w:r>
      <w:r>
        <w:rPr>
          <w:noProof/>
        </w:rPr>
        <w:t>454</w:t>
      </w:r>
      <w:r>
        <w:fldChar w:fldCharType="end"/>
      </w:r>
    </w:p>
    <w:p w:rsidR="005F78FC" w:rsidRDefault="00B42EF3">
      <w:pPr>
        <w:pStyle w:val="indexentry0"/>
      </w:pPr>
      <w:hyperlink w:anchor="section_893fb101ec9d4f8c9153f02e1ab6312b">
        <w:r>
          <w:rPr>
            <w:rStyle w:val="Hyperlink"/>
          </w:rPr>
          <w:t>VerticalResolution (Vertical Resolution)</w:t>
        </w:r>
      </w:hyperlink>
      <w:r>
        <w:t xml:space="preserve"> </w:t>
      </w:r>
      <w:r>
        <w:fldChar w:fldCharType="begin"/>
      </w:r>
      <w:r>
        <w:instrText>PAGEREF section_893</w:instrText>
      </w:r>
      <w:r>
        <w:instrText>fb101ec9d4f8c9153f02e1ab6312b</w:instrText>
      </w:r>
      <w:r>
        <w:fldChar w:fldCharType="separate"/>
      </w:r>
      <w:r>
        <w:rPr>
          <w:noProof/>
        </w:rPr>
        <w:t>891</w:t>
      </w:r>
      <w:r>
        <w:fldChar w:fldCharType="end"/>
      </w:r>
    </w:p>
    <w:p w:rsidR="005F78FC" w:rsidRDefault="00B42EF3">
      <w:pPr>
        <w:pStyle w:val="indexentry0"/>
      </w:pPr>
      <w:hyperlink w:anchor="section_110dbdf46d964994b9fa225ee0508cc3">
        <w:r>
          <w:rPr>
            <w:rStyle w:val="Hyperlink"/>
          </w:rPr>
          <w:t>video (Video)</w:t>
        </w:r>
      </w:hyperlink>
      <w:r>
        <w:t xml:space="preserve"> </w:t>
      </w:r>
      <w:r>
        <w:fldChar w:fldCharType="begin"/>
      </w:r>
      <w:r>
        <w:instrText>PAGEREF section_110dbdf46d964994b9fa225ee0508cc3</w:instrText>
      </w:r>
      <w:r>
        <w:fldChar w:fldCharType="separate"/>
      </w:r>
      <w:r>
        <w:rPr>
          <w:noProof/>
        </w:rPr>
        <w:t>493</w:t>
      </w:r>
      <w:r>
        <w:fldChar w:fldCharType="end"/>
      </w:r>
    </w:p>
    <w:p w:rsidR="005F78FC" w:rsidRDefault="00B42EF3">
      <w:pPr>
        <w:pStyle w:val="indexentry0"/>
      </w:pPr>
      <w:hyperlink w:anchor="section_1d9021fb7aa149c48f2d691a1c6684ad">
        <w:r>
          <w:rPr>
            <w:rStyle w:val="Hyperlink"/>
          </w:rPr>
          <w:t>videoFile (Video from File)</w:t>
        </w:r>
      </w:hyperlink>
      <w:r>
        <w:t xml:space="preserve"> </w:t>
      </w:r>
      <w:r>
        <w:fldChar w:fldCharType="begin"/>
      </w:r>
      <w:r>
        <w:instrText>PAG</w:instrText>
      </w:r>
      <w:r>
        <w:instrText>EREF section_1d9021fb7aa149c48f2d691a1c6684ad</w:instrText>
      </w:r>
      <w:r>
        <w:fldChar w:fldCharType="separate"/>
      </w:r>
      <w:r>
        <w:rPr>
          <w:noProof/>
        </w:rPr>
        <w:t>507</w:t>
      </w:r>
      <w:r>
        <w:fldChar w:fldCharType="end"/>
      </w:r>
    </w:p>
    <w:p w:rsidR="005F78FC" w:rsidRDefault="00B42EF3">
      <w:pPr>
        <w:pStyle w:val="indexentry0"/>
      </w:pPr>
      <w:hyperlink w:anchor="section_9a6fb0ecc0454d0bb29c8f94edddef13">
        <w:r>
          <w:rPr>
            <w:rStyle w:val="Hyperlink"/>
          </w:rPr>
          <w:t>view (Document View Setting)</w:t>
        </w:r>
      </w:hyperlink>
      <w:r>
        <w:t xml:space="preserve"> </w:t>
      </w:r>
      <w:r>
        <w:fldChar w:fldCharType="begin"/>
      </w:r>
      <w:r>
        <w:instrText>PAGEREF section_9a6fb0ecc0454d0bb29c8f94edddef13</w:instrText>
      </w:r>
      <w:r>
        <w:fldChar w:fldCharType="separate"/>
      </w:r>
      <w:r>
        <w:rPr>
          <w:noProof/>
        </w:rPr>
        <w:t>161</w:t>
      </w:r>
      <w:r>
        <w:fldChar w:fldCharType="end"/>
      </w:r>
    </w:p>
    <w:p w:rsidR="005F78FC" w:rsidRDefault="00B42EF3">
      <w:pPr>
        <w:pStyle w:val="indexentry0"/>
      </w:pPr>
      <w:hyperlink w:anchor="section_4e6a14839d2e45e3bb39dfb21f5e7c92">
        <w:r>
          <w:rPr>
            <w:rStyle w:val="Hyperlink"/>
          </w:rPr>
          <w:t>vi</w:t>
        </w:r>
        <w:r>
          <w:rPr>
            <w:rStyle w:val="Hyperlink"/>
          </w:rPr>
          <w:t>ew3D (View In 3D)</w:t>
        </w:r>
      </w:hyperlink>
      <w:r>
        <w:t xml:space="preserve"> </w:t>
      </w:r>
      <w:r>
        <w:fldChar w:fldCharType="begin"/>
      </w:r>
      <w:r>
        <w:instrText>PAGEREF section_4e6a14839d2e45e3bb39dfb21f5e7c92</w:instrText>
      </w:r>
      <w:r>
        <w:fldChar w:fldCharType="separate"/>
      </w:r>
      <w:r>
        <w:rPr>
          <w:noProof/>
        </w:rPr>
        <w:t>577</w:t>
      </w:r>
      <w:r>
        <w:fldChar w:fldCharType="end"/>
      </w:r>
    </w:p>
    <w:p w:rsidR="005F78FC" w:rsidRDefault="00B42EF3">
      <w:pPr>
        <w:pStyle w:val="indexentry0"/>
      </w:pPr>
      <w:hyperlink w:anchor="section_f4941e4bd1ca43978593cf9367743447">
        <w:r>
          <w:rPr>
            <w:rStyle w:val="Hyperlink"/>
          </w:rPr>
          <w:t>VLOOKUP</w:t>
        </w:r>
      </w:hyperlink>
      <w:r>
        <w:t xml:space="preserve"> </w:t>
      </w:r>
      <w:r>
        <w:fldChar w:fldCharType="begin"/>
      </w:r>
      <w:r>
        <w:instrText>PAGEREF section_f4941e4bd1ca43978593cf9367743447</w:instrText>
      </w:r>
      <w:r>
        <w:fldChar w:fldCharType="separate"/>
      </w:r>
      <w:r>
        <w:rPr>
          <w:noProof/>
        </w:rPr>
        <w:t>454</w:t>
      </w:r>
      <w:r>
        <w:fldChar w:fldCharType="end"/>
      </w:r>
    </w:p>
    <w:p w:rsidR="005F78FC" w:rsidRDefault="00B42EF3">
      <w:pPr>
        <w:pStyle w:val="indexentry0"/>
      </w:pPr>
      <w:hyperlink w:anchor="section_b23f8fd990cf47bea43371f702932446">
        <w:r>
          <w:rPr>
            <w:rStyle w:val="Hyperlink"/>
          </w:rPr>
          <w:t>vMerge (Vertically Merged Cell)</w:t>
        </w:r>
      </w:hyperlink>
      <w:r>
        <w:t xml:space="preserve"> </w:t>
      </w:r>
      <w:r>
        <w:fldChar w:fldCharType="begin"/>
      </w:r>
      <w:r>
        <w:instrText>PAGEREF section_b23f8fd990cf47bea43371f702932446</w:instrText>
      </w:r>
      <w:r>
        <w:fldChar w:fldCharType="separate"/>
      </w:r>
      <w:r>
        <w:rPr>
          <w:noProof/>
        </w:rPr>
        <w:t>98</w:t>
      </w:r>
      <w:r>
        <w:fldChar w:fldCharType="end"/>
      </w:r>
    </w:p>
    <w:p w:rsidR="005F78FC" w:rsidRDefault="00B42EF3">
      <w:pPr>
        <w:pStyle w:val="indexentry0"/>
      </w:pPr>
      <w:hyperlink w:anchor="section_71366ecc35c3472fa82a9f507a1ee044">
        <w:r>
          <w:rPr>
            <w:rStyle w:val="Hyperlink"/>
          </w:rPr>
          <w:t>VML</w:t>
        </w:r>
      </w:hyperlink>
      <w:r>
        <w:t xml:space="preserve"> </w:t>
      </w:r>
      <w:r>
        <w:fldChar w:fldCharType="begin"/>
      </w:r>
      <w:r>
        <w:instrText>PAGEREF section_71366ecc35c3472fa82a9f507a1ee044</w:instrText>
      </w:r>
      <w:r>
        <w:fldChar w:fldCharType="separate"/>
      </w:r>
      <w:r>
        <w:rPr>
          <w:noProof/>
        </w:rPr>
        <w:t>634</w:t>
      </w:r>
      <w:r>
        <w:fldChar w:fldCharType="end"/>
      </w:r>
    </w:p>
    <w:p w:rsidR="005F78FC" w:rsidRDefault="00B42EF3">
      <w:pPr>
        <w:pStyle w:val="indexentry0"/>
      </w:pPr>
      <w:hyperlink w:anchor="section_6bbe01acc7cd4fada1e6870f1a045022">
        <w:r>
          <w:rPr>
            <w:rStyle w:val="Hyperlink"/>
          </w:rPr>
          <w:t>VML Drawing Part</w:t>
        </w:r>
      </w:hyperlink>
      <w:r>
        <w:t xml:space="preserve"> </w:t>
      </w:r>
      <w:r>
        <w:fldChar w:fldCharType="begin"/>
      </w:r>
      <w:r>
        <w:instrText>PAGEREF section_6bbe01acc7cd4fada1e6870f1a045022</w:instrText>
      </w:r>
      <w:r>
        <w:fldChar w:fldCharType="separate"/>
      </w:r>
      <w:r>
        <w:rPr>
          <w:noProof/>
        </w:rPr>
        <w:t>625</w:t>
      </w:r>
      <w:r>
        <w:fldChar w:fldCharType="end"/>
      </w:r>
    </w:p>
    <w:p w:rsidR="005F78FC" w:rsidRDefault="00B42EF3">
      <w:pPr>
        <w:pStyle w:val="indexentry0"/>
      </w:pPr>
      <w:hyperlink w:anchor="section_8e4340b124c84f1c8e03b3eaeaafb07e">
        <w:r>
          <w:rPr>
            <w:rStyle w:val="Hyperlink"/>
          </w:rPr>
          <w:t>vstream (Binary Versioned Stream)</w:t>
        </w:r>
      </w:hyperlink>
      <w:r>
        <w:t xml:space="preserve"> </w:t>
      </w:r>
      <w:r>
        <w:fldChar w:fldCharType="begin"/>
      </w:r>
      <w:r>
        <w:instrText>PAGEREF section_8e4340b124c84f1c8e03b3eaeaafb07e</w:instrText>
      </w:r>
      <w:r>
        <w:fldChar w:fldCharType="separate"/>
      </w:r>
      <w:r>
        <w:rPr>
          <w:noProof/>
        </w:rPr>
        <w:t>614</w:t>
      </w:r>
      <w:r>
        <w:fldChar w:fldCharType="end"/>
      </w:r>
    </w:p>
    <w:p w:rsidR="005F78FC" w:rsidRDefault="005F78FC">
      <w:pPr>
        <w:spacing w:before="0" w:after="0"/>
        <w:rPr>
          <w:sz w:val="16"/>
        </w:rPr>
      </w:pPr>
    </w:p>
    <w:p w:rsidR="005F78FC" w:rsidRDefault="00B42EF3">
      <w:pPr>
        <w:pStyle w:val="indexheader"/>
      </w:pPr>
      <w:r>
        <w:t>W</w:t>
      </w:r>
    </w:p>
    <w:p w:rsidR="005F78FC" w:rsidRDefault="005F78FC">
      <w:pPr>
        <w:spacing w:before="0" w:after="0"/>
        <w:rPr>
          <w:sz w:val="16"/>
        </w:rPr>
      </w:pPr>
    </w:p>
    <w:p w:rsidR="005F78FC" w:rsidRDefault="00B42EF3">
      <w:pPr>
        <w:pStyle w:val="indexentry0"/>
      </w:pPr>
      <w:hyperlink w:anchor="section_251f0661860c455ebc94a20c41df76c7">
        <w:r>
          <w:rPr>
            <w:rStyle w:val="Hyperlink"/>
          </w:rPr>
          <w:t>w (Width)</w:t>
        </w:r>
      </w:hyperlink>
      <w:r>
        <w:t xml:space="preserve"> </w:t>
      </w:r>
      <w:r>
        <w:fldChar w:fldCharType="begin"/>
      </w:r>
      <w:r>
        <w:instrText>PAGEREF section_251f0661860c455ebc94a20c41df76c7</w:instrText>
      </w:r>
      <w:r>
        <w:fldChar w:fldCharType="separate"/>
      </w:r>
      <w:r>
        <w:rPr>
          <w:noProof/>
        </w:rPr>
        <w:t>577</w:t>
      </w:r>
      <w:r>
        <w:fldChar w:fldCharType="end"/>
      </w:r>
    </w:p>
    <w:p w:rsidR="005F78FC" w:rsidRDefault="00B42EF3">
      <w:pPr>
        <w:pStyle w:val="indexentry0"/>
      </w:pPr>
      <w:hyperlink w:anchor="section_8141efd348254481b184b67376135071">
        <w:r>
          <w:rPr>
            <w:rStyle w:val="Hyperlink"/>
          </w:rPr>
          <w:t>wAfter (Prefer</w:t>
        </w:r>
        <w:r>
          <w:rPr>
            <w:rStyle w:val="Hyperlink"/>
          </w:rPr>
          <w:t>red Width After Table Row)</w:t>
        </w:r>
      </w:hyperlink>
      <w:r>
        <w:t xml:space="preserve"> </w:t>
      </w:r>
      <w:r>
        <w:fldChar w:fldCharType="begin"/>
      </w:r>
      <w:r>
        <w:instrText>PAGEREF section_8141efd348254481b184b67376135071</w:instrText>
      </w:r>
      <w:r>
        <w:fldChar w:fldCharType="separate"/>
      </w:r>
      <w:r>
        <w:rPr>
          <w:noProof/>
        </w:rPr>
        <w:t>98</w:t>
      </w:r>
      <w:r>
        <w:fldChar w:fldCharType="end"/>
      </w:r>
    </w:p>
    <w:p w:rsidR="005F78FC" w:rsidRDefault="00B42EF3">
      <w:pPr>
        <w:pStyle w:val="indexentry0"/>
      </w:pPr>
      <w:hyperlink w:anchor="section_94462b68e41c45288c011a5a370b8590">
        <w:r>
          <w:rPr>
            <w:rStyle w:val="Hyperlink"/>
          </w:rPr>
          <w:t>wBefore (Preferred Width Before Table Row)</w:t>
        </w:r>
      </w:hyperlink>
      <w:r>
        <w:t xml:space="preserve"> </w:t>
      </w:r>
      <w:r>
        <w:fldChar w:fldCharType="begin"/>
      </w:r>
      <w:r>
        <w:instrText>PAGEREF section_94462b68e41c45288c011a5a370b8590</w:instrText>
      </w:r>
      <w:r>
        <w:fldChar w:fldCharType="separate"/>
      </w:r>
      <w:r>
        <w:rPr>
          <w:noProof/>
        </w:rPr>
        <w:t>98</w:t>
      </w:r>
      <w:r>
        <w:fldChar w:fldCharType="end"/>
      </w:r>
    </w:p>
    <w:p w:rsidR="005F78FC" w:rsidRDefault="00B42EF3">
      <w:pPr>
        <w:pStyle w:val="indexentry0"/>
      </w:pPr>
      <w:hyperlink w:anchor="section_342bac6cb42c45d7aae0b30f39357bc9">
        <w:r>
          <w:rPr>
            <w:rStyle w:val="Hyperlink"/>
          </w:rPr>
          <w:t>wch (Character Insertion Keyboard Customization Action)</w:t>
        </w:r>
      </w:hyperlink>
      <w:r>
        <w:t xml:space="preserve"> </w:t>
      </w:r>
      <w:r>
        <w:fldChar w:fldCharType="begin"/>
      </w:r>
      <w:r>
        <w:instrText>PAGEREF section_342bac6cb42c45d7aae0b30f39357bc9</w:instrText>
      </w:r>
      <w:r>
        <w:fldChar w:fldCharType="separate"/>
      </w:r>
      <w:r>
        <w:rPr>
          <w:noProof/>
        </w:rPr>
        <w:t>707</w:t>
      </w:r>
      <w:r>
        <w:fldChar w:fldCharType="end"/>
      </w:r>
    </w:p>
    <w:p w:rsidR="005F78FC" w:rsidRDefault="00B42EF3">
      <w:pPr>
        <w:pStyle w:val="indexentry0"/>
      </w:pPr>
      <w:hyperlink w:anchor="section_9008244b5c6a4219943e9431cf3372bc">
        <w:r>
          <w:rPr>
            <w:rStyle w:val="Hyperlink"/>
          </w:rPr>
          <w:t>webHidden (Web Hidden Text)</w:t>
        </w:r>
      </w:hyperlink>
      <w:r>
        <w:t xml:space="preserve"> </w:t>
      </w:r>
      <w:r>
        <w:fldChar w:fldCharType="begin"/>
      </w:r>
      <w:r>
        <w:instrText>PAGEREF sec</w:instrText>
      </w:r>
      <w:r>
        <w:instrText>tion_9008244b5c6a4219943e9431cf3372bc</w:instrText>
      </w:r>
      <w:r>
        <w:fldChar w:fldCharType="separate"/>
      </w:r>
      <w:r>
        <w:rPr>
          <w:noProof/>
        </w:rPr>
        <w:t>81</w:t>
      </w:r>
      <w:r>
        <w:fldChar w:fldCharType="end"/>
      </w:r>
    </w:p>
    <w:p w:rsidR="005F78FC" w:rsidRDefault="00B42EF3">
      <w:pPr>
        <w:pStyle w:val="indexentry0"/>
      </w:pPr>
      <w:hyperlink w:anchor="section_80e7f5389522414bbb21b06f6fa50e8c">
        <w:r>
          <w:rPr>
            <w:rStyle w:val="Hyperlink"/>
          </w:rPr>
          <w:t>webPr (Web Query Properties)</w:t>
        </w:r>
      </w:hyperlink>
      <w:r>
        <w:t xml:space="preserve"> </w:t>
      </w:r>
      <w:r>
        <w:fldChar w:fldCharType="begin"/>
      </w:r>
      <w:r>
        <w:instrText>PAGEREF section_80e7f5389522414bbb21b06f6fa50e8c</w:instrText>
      </w:r>
      <w:r>
        <w:fldChar w:fldCharType="separate"/>
      </w:r>
      <w:r>
        <w:rPr>
          <w:noProof/>
        </w:rPr>
        <w:t>382</w:t>
      </w:r>
      <w:r>
        <w:fldChar w:fldCharType="end"/>
      </w:r>
    </w:p>
    <w:p w:rsidR="005F78FC" w:rsidRDefault="00B42EF3">
      <w:pPr>
        <w:pStyle w:val="indexentry0"/>
      </w:pPr>
      <w:hyperlink w:anchor="section_039e764d91ca4804af286f748173cd53">
        <w:r>
          <w:rPr>
            <w:rStyle w:val="Hyperlink"/>
          </w:rPr>
          <w:t>webPublishing (Web Publishing Properties)</w:t>
        </w:r>
      </w:hyperlink>
      <w:r>
        <w:t xml:space="preserve"> </w:t>
      </w:r>
      <w:r>
        <w:fldChar w:fldCharType="begin"/>
      </w:r>
      <w:r>
        <w:instrText>PAGEREF section_039e764d91ca4804af286f748173cd53</w:instrText>
      </w:r>
      <w:r>
        <w:fldChar w:fldCharType="separate"/>
      </w:r>
      <w:r>
        <w:rPr>
          <w:noProof/>
        </w:rPr>
        <w:t>247</w:t>
      </w:r>
      <w:r>
        <w:fldChar w:fldCharType="end"/>
      </w:r>
    </w:p>
    <w:p w:rsidR="005F78FC" w:rsidRDefault="00B42EF3">
      <w:pPr>
        <w:pStyle w:val="indexentry0"/>
      </w:pPr>
      <w:hyperlink w:anchor="section_3f30b11eade64949b71423291a3c2c78">
        <w:r>
          <w:rPr>
            <w:rStyle w:val="Hyperlink"/>
          </w:rPr>
          <w:t>webPublishItem (Web Publishing Item)</w:t>
        </w:r>
      </w:hyperlink>
      <w:r>
        <w:t xml:space="preserve"> </w:t>
      </w:r>
      <w:r>
        <w:fldChar w:fldCharType="begin"/>
      </w:r>
      <w:r>
        <w:instrText>PAGEREF section_3f30b11eade64949b71423291a3c2c78</w:instrText>
      </w:r>
      <w:r>
        <w:fldChar w:fldCharType="separate"/>
      </w:r>
      <w:r>
        <w:rPr>
          <w:noProof/>
        </w:rPr>
        <w:t>290</w:t>
      </w:r>
      <w:r>
        <w:fldChar w:fldCharType="end"/>
      </w:r>
    </w:p>
    <w:p w:rsidR="005F78FC" w:rsidRDefault="00B42EF3">
      <w:pPr>
        <w:pStyle w:val="indexentry0"/>
      </w:pPr>
      <w:hyperlink w:anchor="section_3ef755fd19944ba1a2994e532589d163">
        <w:r>
          <w:rPr>
            <w:rStyle w:val="Hyperlink"/>
          </w:rPr>
          <w:t>webPublishObject (Web Publishing Object)</w:t>
        </w:r>
      </w:hyperlink>
      <w:r>
        <w:t xml:space="preserve"> </w:t>
      </w:r>
      <w:r>
        <w:fldChar w:fldCharType="begin"/>
      </w:r>
      <w:r>
        <w:instrText>PAGEREF section_3ef755fd19944ba1a2994e532589d163</w:instrText>
      </w:r>
      <w:r>
        <w:fldChar w:fldCharType="separate"/>
      </w:r>
      <w:r>
        <w:rPr>
          <w:noProof/>
        </w:rPr>
        <w:t>247</w:t>
      </w:r>
      <w:r>
        <w:fldChar w:fldCharType="end"/>
      </w:r>
    </w:p>
    <w:p w:rsidR="005F78FC" w:rsidRDefault="00B42EF3">
      <w:pPr>
        <w:pStyle w:val="indexentry0"/>
      </w:pPr>
      <w:hyperlink w:anchor="section_1ee2ed46bf004ca099e61c1af79d871d">
        <w:r>
          <w:rPr>
            <w:rStyle w:val="Hyperlink"/>
          </w:rPr>
          <w:t>WEIBULL</w:t>
        </w:r>
      </w:hyperlink>
      <w:r>
        <w:t xml:space="preserve"> </w:t>
      </w:r>
      <w:r>
        <w:fldChar w:fldCharType="begin"/>
      </w:r>
      <w:r>
        <w:instrText>PAGEREF section_1ee2ed46bf004ca099e61</w:instrText>
      </w:r>
      <w:r>
        <w:instrText>c1af79d871d</w:instrText>
      </w:r>
      <w:r>
        <w:fldChar w:fldCharType="separate"/>
      </w:r>
      <w:r>
        <w:rPr>
          <w:noProof/>
        </w:rPr>
        <w:t>454</w:t>
      </w:r>
      <w:r>
        <w:fldChar w:fldCharType="end"/>
      </w:r>
    </w:p>
    <w:p w:rsidR="005F78FC" w:rsidRDefault="00B42EF3">
      <w:pPr>
        <w:pStyle w:val="indexentry0"/>
      </w:pPr>
      <w:hyperlink w:anchor="section_dba18dddef3f4ab38018e39a39c92f45">
        <w:r>
          <w:rPr>
            <w:rStyle w:val="Hyperlink"/>
          </w:rPr>
          <w:t>wheel (Wheel Slide Transition)</w:t>
        </w:r>
      </w:hyperlink>
      <w:r>
        <w:t xml:space="preserve"> </w:t>
      </w:r>
      <w:r>
        <w:fldChar w:fldCharType="begin"/>
      </w:r>
      <w:r>
        <w:instrText>PAGEREF section_dba18dddef3f4ab38018e39a39c92f45</w:instrText>
      </w:r>
      <w:r>
        <w:fldChar w:fldCharType="separate"/>
      </w:r>
      <w:r>
        <w:rPr>
          <w:noProof/>
        </w:rPr>
        <w:t>493</w:t>
      </w:r>
      <w:r>
        <w:fldChar w:fldCharType="end"/>
      </w:r>
    </w:p>
    <w:p w:rsidR="005F78FC" w:rsidRDefault="00B42EF3">
      <w:pPr>
        <w:pStyle w:val="indexentry0"/>
      </w:pPr>
      <w:hyperlink w:anchor="section_12a52a6eebe841c09aebfdfb4fbca849">
        <w:r>
          <w:rPr>
            <w:rStyle w:val="Hyperlink"/>
          </w:rPr>
          <w:t>widowControl (Allow First/Last Lin</w:t>
        </w:r>
        <w:r>
          <w:rPr>
            <w:rStyle w:val="Hyperlink"/>
          </w:rPr>
          <w:t>e to Display on a Separate Page)</w:t>
        </w:r>
      </w:hyperlink>
      <w:r>
        <w:t xml:space="preserve"> </w:t>
      </w:r>
      <w:r>
        <w:fldChar w:fldCharType="begin"/>
      </w:r>
      <w:r>
        <w:instrText>PAGEREF section_12a52a6eebe841c09aebfdfb4fbca849</w:instrText>
      </w:r>
      <w:r>
        <w:fldChar w:fldCharType="separate"/>
      </w:r>
      <w:r>
        <w:rPr>
          <w:noProof/>
        </w:rPr>
        <w:t>70</w:t>
      </w:r>
      <w:r>
        <w:fldChar w:fldCharType="end"/>
      </w:r>
    </w:p>
    <w:p w:rsidR="005F78FC" w:rsidRDefault="00B42EF3">
      <w:pPr>
        <w:pStyle w:val="indexentry0"/>
      </w:pPr>
      <w:hyperlink w:anchor="section_86cba58518844f6aa098d59ea4ba636b">
        <w:r>
          <w:rPr>
            <w:rStyle w:val="Hyperlink"/>
          </w:rPr>
          <w:t>WidthMin (Minimum Width)</w:t>
        </w:r>
      </w:hyperlink>
      <w:r>
        <w:t xml:space="preserve"> </w:t>
      </w:r>
      <w:r>
        <w:fldChar w:fldCharType="begin"/>
      </w:r>
      <w:r>
        <w:instrText>PAGEREF section_86cba58518844f6aa098d59ea4ba636b</w:instrText>
      </w:r>
      <w:r>
        <w:fldChar w:fldCharType="separate"/>
      </w:r>
      <w:r>
        <w:rPr>
          <w:noProof/>
        </w:rPr>
        <w:t>683</w:t>
      </w:r>
      <w:r>
        <w:fldChar w:fldCharType="end"/>
      </w:r>
    </w:p>
    <w:p w:rsidR="005F78FC" w:rsidRDefault="00B42EF3">
      <w:pPr>
        <w:pStyle w:val="indexentry0"/>
      </w:pPr>
      <w:hyperlink w:anchor="section_ae87853684e54213896f28ec7f70b4aa">
        <w:r>
          <w:rPr>
            <w:rStyle w:val="Hyperlink"/>
          </w:rPr>
          <w:t>WindowsVersion (Windows Version)</w:t>
        </w:r>
      </w:hyperlink>
      <w:r>
        <w:t xml:space="preserve"> </w:t>
      </w:r>
      <w:r>
        <w:fldChar w:fldCharType="begin"/>
      </w:r>
      <w:r>
        <w:instrText>PAGEREF section_ae87853684e54213896f28ec7f70b4aa</w:instrText>
      </w:r>
      <w:r>
        <w:fldChar w:fldCharType="separate"/>
      </w:r>
      <w:r>
        <w:rPr>
          <w:noProof/>
        </w:rPr>
        <w:t>892</w:t>
      </w:r>
      <w:r>
        <w:fldChar w:fldCharType="end"/>
      </w:r>
    </w:p>
    <w:p w:rsidR="005F78FC" w:rsidRDefault="00B42EF3">
      <w:pPr>
        <w:pStyle w:val="indexentry0"/>
      </w:pPr>
      <w:hyperlink w:anchor="section_bba0329034324d19ba214baa0944d9de">
        <w:r>
          <w:rPr>
            <w:rStyle w:val="Hyperlink"/>
          </w:rPr>
          <w:t>wll (WLL Macro Keyboard Customization Action)</w:t>
        </w:r>
      </w:hyperlink>
      <w:r>
        <w:t xml:space="preserve"> </w:t>
      </w:r>
      <w:r>
        <w:fldChar w:fldCharType="begin"/>
      </w:r>
      <w:r>
        <w:instrText>PAGEREF section_bba032903432</w:instrText>
      </w:r>
      <w:r>
        <w:instrText>4d19ba214baa0944d9de</w:instrText>
      </w:r>
      <w:r>
        <w:fldChar w:fldCharType="separate"/>
      </w:r>
      <w:r>
        <w:rPr>
          <w:noProof/>
        </w:rPr>
        <w:t>708</w:t>
      </w:r>
      <w:r>
        <w:fldChar w:fldCharType="end"/>
      </w:r>
    </w:p>
    <w:p w:rsidR="005F78FC" w:rsidRDefault="00B42EF3">
      <w:pPr>
        <w:pStyle w:val="indexentry0"/>
      </w:pPr>
      <w:hyperlink w:anchor="section_67d2127f692243a29ffee4d67615136d">
        <w:r>
          <w:rPr>
            <w:rStyle w:val="Hyperlink"/>
          </w:rPr>
          <w:t>wMode (Width Mode)</w:t>
        </w:r>
      </w:hyperlink>
      <w:r>
        <w:t xml:space="preserve"> </w:t>
      </w:r>
      <w:r>
        <w:fldChar w:fldCharType="begin"/>
      </w:r>
      <w:r>
        <w:instrText>PAGEREF section_67d2127f692243a29ffee4d67615136d</w:instrText>
      </w:r>
      <w:r>
        <w:fldChar w:fldCharType="separate"/>
      </w:r>
      <w:r>
        <w:rPr>
          <w:noProof/>
        </w:rPr>
        <w:t>577</w:t>
      </w:r>
      <w:r>
        <w:fldChar w:fldCharType="end"/>
      </w:r>
    </w:p>
    <w:p w:rsidR="005F78FC" w:rsidRDefault="00B42EF3">
      <w:pPr>
        <w:pStyle w:val="indexentry0"/>
      </w:pPr>
      <w:hyperlink w:anchor="section_7e6f9361139c47ebb40999f33fbe3b11">
        <w:r>
          <w:rPr>
            <w:rStyle w:val="Hyperlink"/>
          </w:rPr>
          <w:t>Word (Additional Information)</w:t>
        </w:r>
      </w:hyperlink>
      <w:r>
        <w:t xml:space="preserve"> </w:t>
      </w:r>
      <w:r>
        <w:fldChar w:fldCharType="begin"/>
      </w:r>
      <w:r>
        <w:instrText>PAGER</w:instrText>
      </w:r>
      <w:r>
        <w:instrText>EF section_7e6f9361139c47ebb40999f33fbe3b11</w:instrText>
      </w:r>
      <w:r>
        <w:fldChar w:fldCharType="separate"/>
      </w:r>
      <w:r>
        <w:rPr>
          <w:noProof/>
        </w:rPr>
        <w:t>691</w:t>
      </w:r>
      <w:r>
        <w:fldChar w:fldCharType="end"/>
      </w:r>
    </w:p>
    <w:p w:rsidR="005F78FC" w:rsidRDefault="00B42EF3">
      <w:pPr>
        <w:pStyle w:val="indexentry0"/>
      </w:pPr>
      <w:hyperlink w:anchor="section_618afd53b3d54eb4836da647299f9e39">
        <w:r>
          <w:rPr>
            <w:rStyle w:val="Hyperlink"/>
          </w:rPr>
          <w:t>Word Attached Toolbars Part</w:t>
        </w:r>
      </w:hyperlink>
      <w:r>
        <w:t xml:space="preserve"> </w:t>
      </w:r>
      <w:r>
        <w:fldChar w:fldCharType="begin"/>
      </w:r>
      <w:r>
        <w:instrText>PAGEREF section_618afd53b3d54eb4836da647299f9e39</w:instrText>
      </w:r>
      <w:r>
        <w:fldChar w:fldCharType="separate"/>
      </w:r>
      <w:r>
        <w:rPr>
          <w:noProof/>
        </w:rPr>
        <w:t>691</w:t>
      </w:r>
      <w:r>
        <w:fldChar w:fldCharType="end"/>
      </w:r>
    </w:p>
    <w:p w:rsidR="005F78FC" w:rsidRDefault="00B42EF3">
      <w:pPr>
        <w:pStyle w:val="indexentry0"/>
      </w:pPr>
      <w:hyperlink w:anchor="section_52855f50318e404192e10d0ddd08ed3d">
        <w:r>
          <w:rPr>
            <w:rStyle w:val="Hyperlink"/>
          </w:rPr>
          <w:t>Word Schema</w:t>
        </w:r>
      </w:hyperlink>
      <w:r>
        <w:t xml:space="preserve"> </w:t>
      </w:r>
      <w:r>
        <w:fldChar w:fldCharType="begin"/>
      </w:r>
      <w:r>
        <w:instrText>PAGEREF section_52855f50318e404192e10d0ddd08ed3d</w:instrText>
      </w:r>
      <w:r>
        <w:fldChar w:fldCharType="separate"/>
      </w:r>
      <w:r>
        <w:rPr>
          <w:noProof/>
        </w:rPr>
        <w:t>694</w:t>
      </w:r>
      <w:r>
        <w:fldChar w:fldCharType="end"/>
      </w:r>
    </w:p>
    <w:p w:rsidR="005F78FC" w:rsidRDefault="00B42EF3">
      <w:pPr>
        <w:pStyle w:val="indexentry0"/>
      </w:pPr>
      <w:hyperlink w:anchor="section_19b9c0c565dd491c94d31487769154cf">
        <w:r>
          <w:rPr>
            <w:rStyle w:val="Hyperlink"/>
          </w:rPr>
          <w:t>WordprocessingML</w:t>
        </w:r>
      </w:hyperlink>
      <w:r>
        <w:t xml:space="preserve"> </w:t>
      </w:r>
      <w:r>
        <w:fldChar w:fldCharType="begin"/>
      </w:r>
      <w:r>
        <w:instrText>PAGEREF section_19b9c0c565dd491c94d31487769154cf</w:instrText>
      </w:r>
      <w:r>
        <w:fldChar w:fldCharType="separate"/>
      </w:r>
      <w:r>
        <w:rPr>
          <w:noProof/>
        </w:rPr>
        <w:t>48</w:t>
      </w:r>
      <w:r>
        <w:fldChar w:fldCharType="end"/>
      </w:r>
    </w:p>
    <w:p w:rsidR="005F78FC" w:rsidRDefault="00B42EF3">
      <w:pPr>
        <w:pStyle w:val="indexentry0"/>
      </w:pPr>
      <w:hyperlink w:anchor="section_5c96914d820a4f49a23940024839685e">
        <w:r>
          <w:rPr>
            <w:rStyle w:val="Hyperlink"/>
          </w:rPr>
          <w:t>wordWrap (Allow Line Breaking At Character Level)</w:t>
        </w:r>
      </w:hyperlink>
      <w:r>
        <w:t xml:space="preserve"> </w:t>
      </w:r>
      <w:r>
        <w:fldChar w:fldCharType="begin"/>
      </w:r>
      <w:r>
        <w:instrText>PAGEREF section_5c96914d820a4f49a23940024839685e</w:instrText>
      </w:r>
      <w:r>
        <w:fldChar w:fldCharType="separate"/>
      </w:r>
      <w:r>
        <w:rPr>
          <w:noProof/>
        </w:rPr>
        <w:t>70</w:t>
      </w:r>
      <w:r>
        <w:fldChar w:fldCharType="end"/>
      </w:r>
    </w:p>
    <w:p w:rsidR="005F78FC" w:rsidRDefault="00B42EF3">
      <w:pPr>
        <w:pStyle w:val="indexentry0"/>
      </w:pPr>
      <w:hyperlink w:anchor="section_7821b8f6672a4f05bc0f33b818210695">
        <w:r>
          <w:rPr>
            <w:rStyle w:val="Hyperlink"/>
          </w:rPr>
          <w:t>workbook (Workbook)</w:t>
        </w:r>
      </w:hyperlink>
      <w:r>
        <w:t xml:space="preserve"> </w:t>
      </w:r>
      <w:r>
        <w:fldChar w:fldCharType="begin"/>
      </w:r>
      <w:r>
        <w:instrText>PAGEREF section_7821b8f6672a4f05bc0f33b818210695</w:instrText>
      </w:r>
      <w:r>
        <w:fldChar w:fldCharType="separate"/>
      </w:r>
      <w:r>
        <w:rPr>
          <w:noProof/>
        </w:rPr>
        <w:t>248</w:t>
      </w:r>
      <w:r>
        <w:fldChar w:fldCharType="end"/>
      </w:r>
    </w:p>
    <w:p w:rsidR="005F78FC" w:rsidRDefault="00B42EF3">
      <w:pPr>
        <w:pStyle w:val="indexentry0"/>
      </w:pPr>
      <w:hyperlink w:anchor="section_a251e7c67b8a4e2fb284025f9f09ba3e">
        <w:r>
          <w:rPr>
            <w:rStyle w:val="Hyperlink"/>
          </w:rPr>
          <w:t>workbookPr (Workbook Properties)</w:t>
        </w:r>
      </w:hyperlink>
      <w:r>
        <w:t xml:space="preserve"> </w:t>
      </w:r>
      <w:r>
        <w:fldChar w:fldCharType="begin"/>
      </w:r>
      <w:r>
        <w:instrText>PAGEREF section_a251e7c67b8a4e2fb284025f9f09ba3e</w:instrText>
      </w:r>
      <w:r>
        <w:fldChar w:fldCharType="separate"/>
      </w:r>
      <w:r>
        <w:rPr>
          <w:noProof/>
        </w:rPr>
        <w:t>248</w:t>
      </w:r>
      <w:r>
        <w:fldChar w:fldCharType="end"/>
      </w:r>
    </w:p>
    <w:p w:rsidR="005F78FC" w:rsidRDefault="00B42EF3">
      <w:pPr>
        <w:pStyle w:val="indexentry0"/>
      </w:pPr>
      <w:hyperlink w:anchor="section_601cecceb95644ef9fa6736b2ce3657d">
        <w:r>
          <w:rPr>
            <w:rStyle w:val="Hyperlink"/>
          </w:rPr>
          <w:t>workbookProtection (Workbook Protection)</w:t>
        </w:r>
      </w:hyperlink>
      <w:r>
        <w:t xml:space="preserve"> </w:t>
      </w:r>
      <w:r>
        <w:fldChar w:fldCharType="begin"/>
      </w:r>
      <w:r>
        <w:instrText>PAGEREF section_60</w:instrText>
      </w:r>
      <w:r>
        <w:instrText>1cecceb95644ef9fa6736b2ce3657d</w:instrText>
      </w:r>
      <w:r>
        <w:fldChar w:fldCharType="separate"/>
      </w:r>
      <w:r>
        <w:rPr>
          <w:noProof/>
        </w:rPr>
        <w:t>249</w:t>
      </w:r>
      <w:r>
        <w:fldChar w:fldCharType="end"/>
      </w:r>
    </w:p>
    <w:p w:rsidR="005F78FC" w:rsidRDefault="00B42EF3">
      <w:pPr>
        <w:pStyle w:val="indexentry0"/>
      </w:pPr>
      <w:hyperlink w:anchor="section_6cdbff1e167a4316bdfe387b87fc6e58">
        <w:r>
          <w:rPr>
            <w:rStyle w:val="Hyperlink"/>
          </w:rPr>
          <w:t>workbookView (Workbook View)</w:t>
        </w:r>
      </w:hyperlink>
      <w:r>
        <w:t xml:space="preserve"> </w:t>
      </w:r>
      <w:r>
        <w:fldChar w:fldCharType="begin"/>
      </w:r>
      <w:r>
        <w:instrText>PAGEREF section_6cdbff1e167a4316bdfe387b87fc6e58</w:instrText>
      </w:r>
      <w:r>
        <w:fldChar w:fldCharType="separate"/>
      </w:r>
      <w:r>
        <w:rPr>
          <w:noProof/>
        </w:rPr>
        <w:t>253</w:t>
      </w:r>
      <w:r>
        <w:fldChar w:fldCharType="end"/>
      </w:r>
    </w:p>
    <w:p w:rsidR="005F78FC" w:rsidRDefault="00B42EF3">
      <w:pPr>
        <w:pStyle w:val="indexentry0"/>
      </w:pPr>
      <w:hyperlink w:anchor="section_98b8f687fb534181bca576f0d5fb0980">
        <w:r>
          <w:rPr>
            <w:rStyle w:val="Hyperlink"/>
          </w:rPr>
          <w:t>WORKDAY</w:t>
        </w:r>
      </w:hyperlink>
      <w:r>
        <w:t xml:space="preserve"> </w:t>
      </w:r>
      <w:r>
        <w:fldChar w:fldCharType="begin"/>
      </w:r>
      <w:r>
        <w:instrText>PAGEREF section_98b8f687fb534181bca576f0d5fb0980</w:instrText>
      </w:r>
      <w:r>
        <w:fldChar w:fldCharType="separate"/>
      </w:r>
      <w:r>
        <w:rPr>
          <w:noProof/>
        </w:rPr>
        <w:t>454</w:t>
      </w:r>
      <w:r>
        <w:fldChar w:fldCharType="end"/>
      </w:r>
    </w:p>
    <w:p w:rsidR="005F78FC" w:rsidRDefault="00B42EF3">
      <w:pPr>
        <w:pStyle w:val="indexentry0"/>
      </w:pPr>
      <w:hyperlink w:anchor="section_06b74d23c4ad4aea80942c046af21ce5">
        <w:r>
          <w:rPr>
            <w:rStyle w:val="Hyperlink"/>
          </w:rPr>
          <w:t>worksheet (Worksheet)</w:t>
        </w:r>
      </w:hyperlink>
      <w:r>
        <w:t xml:space="preserve"> </w:t>
      </w:r>
      <w:r>
        <w:fldChar w:fldCharType="begin"/>
      </w:r>
      <w:r>
        <w:instrText>PAGEREF section_06b74d23c4ad4aea80942c046af21ce5</w:instrText>
      </w:r>
      <w:r>
        <w:fldChar w:fldCharType="separate"/>
      </w:r>
      <w:r>
        <w:rPr>
          <w:noProof/>
        </w:rPr>
        <w:t>291</w:t>
      </w:r>
      <w:r>
        <w:fldChar w:fldCharType="end"/>
      </w:r>
    </w:p>
    <w:p w:rsidR="005F78FC" w:rsidRDefault="00B42EF3">
      <w:pPr>
        <w:pStyle w:val="indexentry0"/>
      </w:pPr>
      <w:hyperlink w:anchor="section_a7964130cdca418e927282ca6b66f915">
        <w:r>
          <w:rPr>
            <w:rStyle w:val="Hyperlink"/>
          </w:rPr>
          <w:t>Worksheet Part</w:t>
        </w:r>
      </w:hyperlink>
      <w:r>
        <w:t xml:space="preserve"> </w:t>
      </w:r>
      <w:r>
        <w:fldChar w:fldCharType="begin"/>
      </w:r>
      <w:r>
        <w:instrText>PAGEREF section_a7964130cdca418e927282ca6b66f915</w:instrText>
      </w:r>
      <w:r>
        <w:fldChar w:fldCharType="separate"/>
      </w:r>
      <w:r>
        <w:rPr>
          <w:noProof/>
        </w:rPr>
        <w:t>50</w:t>
      </w:r>
      <w:r>
        <w:fldChar w:fldCharType="end"/>
      </w:r>
    </w:p>
    <w:p w:rsidR="005F78FC" w:rsidRDefault="00B42EF3">
      <w:pPr>
        <w:pStyle w:val="indexentry0"/>
      </w:pPr>
      <w:hyperlink w:anchor="section_c004bb57aaa44a8c9eca2cab3f574fe2">
        <w:r>
          <w:rPr>
            <w:rStyle w:val="Hyperlink"/>
          </w:rPr>
          <w:t>Worksheet Sort Map Part</w:t>
        </w:r>
      </w:hyperlink>
      <w:r>
        <w:t xml:space="preserve"> </w:t>
      </w:r>
      <w:r>
        <w:fldChar w:fldCharType="begin"/>
      </w:r>
      <w:r>
        <w:instrText>PAGEREF section_c004bb57aaa44a8c9eca2cab3f574fe2</w:instrText>
      </w:r>
      <w:r>
        <w:fldChar w:fldCharType="separate"/>
      </w:r>
      <w:r>
        <w:rPr>
          <w:noProof/>
        </w:rPr>
        <w:t>837</w:t>
      </w:r>
      <w:r>
        <w:fldChar w:fldCharType="end"/>
      </w:r>
    </w:p>
    <w:p w:rsidR="005F78FC" w:rsidRDefault="00B42EF3">
      <w:pPr>
        <w:pStyle w:val="indexentry0"/>
      </w:pPr>
      <w:hyperlink w:anchor="section_04defc35b52c443181a649ed63fe943f">
        <w:r>
          <w:rPr>
            <w:rStyle w:val="Hyperlink"/>
          </w:rPr>
          <w:t>worksheetSortMap (Worksheet Sort Map)</w:t>
        </w:r>
      </w:hyperlink>
      <w:r>
        <w:t xml:space="preserve"> </w:t>
      </w:r>
      <w:r>
        <w:fldChar w:fldCharType="begin"/>
      </w:r>
      <w:r>
        <w:instrText>PAGEREF section_04defc35b52c443181a649ed63fe943f</w:instrText>
      </w:r>
      <w:r>
        <w:fldChar w:fldCharType="separate"/>
      </w:r>
      <w:r>
        <w:rPr>
          <w:noProof/>
        </w:rPr>
        <w:t>842</w:t>
      </w:r>
      <w:r>
        <w:fldChar w:fldCharType="end"/>
      </w:r>
    </w:p>
    <w:p w:rsidR="005F78FC" w:rsidRDefault="00B42EF3">
      <w:pPr>
        <w:pStyle w:val="indexentry0"/>
      </w:pPr>
      <w:hyperlink w:anchor="section_282914a2b1a44811aaaaa0fcd5cd486c">
        <w:r>
          <w:rPr>
            <w:rStyle w:val="Hyperlink"/>
          </w:rPr>
          <w:t>worksheetSource (Worksheet PivotCache Source)</w:t>
        </w:r>
      </w:hyperlink>
      <w:r>
        <w:t xml:space="preserve"> </w:t>
      </w:r>
      <w:r>
        <w:fldChar w:fldCharType="begin"/>
      </w:r>
      <w:r>
        <w:instrText>PAGEREF section_282914a2b1a44811aaaaa0fcd5</w:instrText>
      </w:r>
      <w:r>
        <w:instrText>cd486c</w:instrText>
      </w:r>
      <w:r>
        <w:fldChar w:fldCharType="separate"/>
      </w:r>
      <w:r>
        <w:rPr>
          <w:noProof/>
        </w:rPr>
        <w:t>369</w:t>
      </w:r>
      <w:r>
        <w:fldChar w:fldCharType="end"/>
      </w:r>
    </w:p>
    <w:p w:rsidR="005F78FC" w:rsidRDefault="00B42EF3">
      <w:pPr>
        <w:pStyle w:val="indexentry0"/>
      </w:pPr>
      <w:hyperlink w:anchor="section_8b6f1c0c02834e0abf36746e029bd1de">
        <w:r>
          <w:rPr>
            <w:rStyle w:val="Hyperlink"/>
          </w:rPr>
          <w:t>wrap (Text Wrapping)</w:t>
        </w:r>
      </w:hyperlink>
      <w:r>
        <w:t xml:space="preserve"> </w:t>
      </w:r>
      <w:r>
        <w:fldChar w:fldCharType="begin"/>
      </w:r>
      <w:r>
        <w:instrText>PAGEREF section_8b6f1c0c02834e0abf36746e029bd1de</w:instrText>
      </w:r>
      <w:r>
        <w:fldChar w:fldCharType="separate"/>
      </w:r>
      <w:r>
        <w:rPr>
          <w:noProof/>
        </w:rPr>
        <w:t>678</w:t>
      </w:r>
      <w:r>
        <w:fldChar w:fldCharType="end"/>
      </w:r>
    </w:p>
    <w:p w:rsidR="005F78FC" w:rsidRDefault="00B42EF3">
      <w:pPr>
        <w:pStyle w:val="indexentry0"/>
      </w:pPr>
      <w:hyperlink w:anchor="section_3a54031ff56e49cf8701a75401f3130d">
        <w:r>
          <w:rPr>
            <w:rStyle w:val="Hyperlink"/>
          </w:rPr>
          <w:t>writeProtection (Write Protection)</w:t>
        </w:r>
      </w:hyperlink>
      <w:r>
        <w:t xml:space="preserve"> </w:t>
      </w:r>
      <w:r>
        <w:fldChar w:fldCharType="begin"/>
      </w:r>
      <w:r>
        <w:instrText>PAGEREF sect</w:instrText>
      </w:r>
      <w:r>
        <w:instrText>ion_3a54031ff56e49cf8701a75401f3130d</w:instrText>
      </w:r>
      <w:r>
        <w:fldChar w:fldCharType="separate"/>
      </w:r>
      <w:r>
        <w:rPr>
          <w:noProof/>
        </w:rPr>
        <w:t>161</w:t>
      </w:r>
      <w:r>
        <w:fldChar w:fldCharType="end"/>
      </w:r>
    </w:p>
    <w:p w:rsidR="005F78FC" w:rsidRDefault="005F78FC">
      <w:pPr>
        <w:spacing w:before="0" w:after="0"/>
        <w:rPr>
          <w:sz w:val="16"/>
        </w:rPr>
      </w:pPr>
    </w:p>
    <w:p w:rsidR="005F78FC" w:rsidRDefault="00B42EF3">
      <w:pPr>
        <w:pStyle w:val="indexheader"/>
      </w:pPr>
      <w:r>
        <w:t>X</w:t>
      </w:r>
    </w:p>
    <w:p w:rsidR="005F78FC" w:rsidRDefault="005F78FC">
      <w:pPr>
        <w:spacing w:before="0" w:after="0"/>
        <w:rPr>
          <w:sz w:val="16"/>
        </w:rPr>
      </w:pPr>
    </w:p>
    <w:p w:rsidR="005F78FC" w:rsidRDefault="00B42EF3">
      <w:pPr>
        <w:pStyle w:val="indexentry0"/>
      </w:pPr>
      <w:hyperlink w:anchor="section_39d7c73319c2444287d997c0efce4cda">
        <w:r>
          <w:rPr>
            <w:rStyle w:val="Hyperlink"/>
          </w:rPr>
          <w:t>x (Left)</w:t>
        </w:r>
      </w:hyperlink>
      <w:r>
        <w:t xml:space="preserve"> </w:t>
      </w:r>
      <w:r>
        <w:fldChar w:fldCharType="begin"/>
      </w:r>
      <w:r>
        <w:instrText>PAGEREF section_39d7c73319c2444287d997c0efce4cda</w:instrText>
      </w:r>
      <w:r>
        <w:fldChar w:fldCharType="separate"/>
      </w:r>
      <w:r>
        <w:rPr>
          <w:noProof/>
        </w:rPr>
        <w:t>578</w:t>
      </w:r>
      <w:r>
        <w:fldChar w:fldCharType="end"/>
      </w:r>
    </w:p>
    <w:p w:rsidR="005F78FC" w:rsidRDefault="00B42EF3">
      <w:pPr>
        <w:pStyle w:val="indexentry0"/>
      </w:pPr>
      <w:hyperlink w:anchor="section_6218162291ef44eea9498c9232d7780b">
        <w:r>
          <w:rPr>
            <w:rStyle w:val="Hyperlink"/>
          </w:rPr>
          <w:t>x (Member Property Index)</w:t>
        </w:r>
      </w:hyperlink>
      <w:r>
        <w:t xml:space="preserve"> </w:t>
      </w:r>
      <w:r>
        <w:fldChar w:fldCharType="begin"/>
      </w:r>
      <w:r>
        <w:instrText>PAGEREF section_6218162291ef44eea9498c9232d7780b</w:instrText>
      </w:r>
      <w:r>
        <w:fldChar w:fldCharType="separate"/>
      </w:r>
      <w:r>
        <w:rPr>
          <w:noProof/>
        </w:rPr>
        <w:t>370</w:t>
      </w:r>
      <w:r>
        <w:fldChar w:fldCharType="end"/>
      </w:r>
    </w:p>
    <w:p w:rsidR="005F78FC" w:rsidRDefault="00B42EF3">
      <w:pPr>
        <w:pStyle w:val="indexentry0"/>
      </w:pPr>
      <w:hyperlink w:anchor="section_a74ed3e7cea5463ba1ca57c2d1428a00">
        <w:r>
          <w:rPr>
            <w:rStyle w:val="Hyperlink"/>
          </w:rPr>
          <w:t>x (Shared Items Index)</w:t>
        </w:r>
      </w:hyperlink>
      <w:r>
        <w:t xml:space="preserve"> </w:t>
      </w:r>
      <w:r>
        <w:fldChar w:fldCharType="begin"/>
      </w:r>
      <w:r>
        <w:instrText>PAGEREF section_a74ed3e7cea5463ba1ca57c2d1428a00</w:instrText>
      </w:r>
      <w:r>
        <w:fldChar w:fldCharType="separate"/>
      </w:r>
      <w:r>
        <w:rPr>
          <w:noProof/>
        </w:rPr>
        <w:t>370</w:t>
      </w:r>
      <w:r>
        <w:fldChar w:fldCharType="end"/>
      </w:r>
    </w:p>
    <w:p w:rsidR="005F78FC" w:rsidRDefault="00B42EF3">
      <w:pPr>
        <w:pStyle w:val="indexentry0"/>
      </w:pPr>
      <w:hyperlink w:anchor="section_7b8707b610e94ec597f9fc4672784ffd">
        <w:r>
          <w:rPr>
            <w:rStyle w:val="Hyperlink"/>
          </w:rPr>
          <w:t>XE</w:t>
        </w:r>
      </w:hyperlink>
      <w:r>
        <w:t xml:space="preserve"> </w:t>
      </w:r>
      <w:r>
        <w:fldChar w:fldCharType="begin"/>
      </w:r>
      <w:r>
        <w:instrText>PAGEREF section_7b8707b610e94ec597f9fc4672784ffd</w:instrText>
      </w:r>
      <w:r>
        <w:fldChar w:fldCharType="separate"/>
      </w:r>
      <w:r>
        <w:rPr>
          <w:noProof/>
        </w:rPr>
        <w:t>228</w:t>
      </w:r>
      <w:r>
        <w:fldChar w:fldCharType="end"/>
      </w:r>
    </w:p>
    <w:p w:rsidR="005F78FC" w:rsidRDefault="00B42EF3">
      <w:pPr>
        <w:pStyle w:val="indexentry0"/>
      </w:pPr>
      <w:hyperlink w:anchor="section_68362a4b55894504b566e8154dce1de3">
        <w:r>
          <w:rPr>
            <w:rStyle w:val="Hyperlink"/>
          </w:rPr>
          <w:t>xf (Format)</w:t>
        </w:r>
      </w:hyperlink>
      <w:r>
        <w:t xml:space="preserve"> </w:t>
      </w:r>
      <w:r>
        <w:fldChar w:fldCharType="begin"/>
      </w:r>
      <w:r>
        <w:instrText>PAGEREF section_68362a4b55894504b566e8154dce1de3</w:instrText>
      </w:r>
      <w:r>
        <w:fldChar w:fldCharType="separate"/>
      </w:r>
      <w:r>
        <w:rPr>
          <w:noProof/>
        </w:rPr>
        <w:t>315</w:t>
      </w:r>
      <w:r>
        <w:fldChar w:fldCharType="end"/>
      </w:r>
    </w:p>
    <w:p w:rsidR="005F78FC" w:rsidRDefault="00B42EF3">
      <w:pPr>
        <w:pStyle w:val="indexentry0"/>
      </w:pPr>
      <w:hyperlink w:anchor="section_48a966ea81ee44d28ed033607dc865e5">
        <w:r>
          <w:rPr>
            <w:rStyle w:val="Hyperlink"/>
          </w:rPr>
          <w:t>xfrm (2D Transform for Graphic Frame)</w:t>
        </w:r>
      </w:hyperlink>
      <w:r>
        <w:t xml:space="preserve"> </w:t>
      </w:r>
      <w:r>
        <w:fldChar w:fldCharType="begin"/>
      </w:r>
      <w:r>
        <w:instrText>PAGEREF section_48a966ea81ee44d28ed033607dc865e5</w:instrText>
      </w:r>
      <w:r>
        <w:fldChar w:fldCharType="separate"/>
      </w:r>
      <w:r>
        <w:rPr>
          <w:noProof/>
        </w:rPr>
        <w:t>472</w:t>
      </w:r>
      <w:r>
        <w:fldChar w:fldCharType="end"/>
      </w:r>
    </w:p>
    <w:p w:rsidR="005F78FC" w:rsidRDefault="00B42EF3">
      <w:pPr>
        <w:pStyle w:val="indexentry0"/>
      </w:pPr>
      <w:hyperlink w:anchor="section_2401c007314f4d8eba6b767f54e8c97f">
        <w:r>
          <w:rPr>
            <w:rStyle w:val="Hyperlink"/>
          </w:rPr>
          <w:t>xfrm (2D Transform for Graphic Frames)</w:t>
        </w:r>
      </w:hyperlink>
      <w:r>
        <w:t xml:space="preserve"> </w:t>
      </w:r>
      <w:r>
        <w:fldChar w:fldCharType="begin"/>
      </w:r>
      <w:r>
        <w:instrText>PAGEREF section_2401c007314f4d8eba6b767f54e8c97f</w:instrText>
      </w:r>
      <w:r>
        <w:fldChar w:fldCharType="separate"/>
      </w:r>
      <w:r>
        <w:rPr>
          <w:noProof/>
        </w:rPr>
        <w:t>531</w:t>
      </w:r>
      <w:r>
        <w:fldChar w:fldCharType="end"/>
      </w:r>
    </w:p>
    <w:p w:rsidR="005F78FC" w:rsidRDefault="00B42EF3">
      <w:pPr>
        <w:pStyle w:val="indexentry0"/>
      </w:pPr>
      <w:hyperlink w:anchor="section_98567b7e097a4450a82af83e25539aaf">
        <w:r>
          <w:rPr>
            <w:rStyle w:val="Hyperlink"/>
          </w:rPr>
          <w:t>xfrm (2D Transform for Grouped Objects)</w:t>
        </w:r>
      </w:hyperlink>
      <w:r>
        <w:t xml:space="preserve"> </w:t>
      </w:r>
      <w:r>
        <w:fldChar w:fldCharType="begin"/>
      </w:r>
      <w:r>
        <w:instrText>PAGEREF section_98567b7e097a4450a82af83e25539aaf</w:instrText>
      </w:r>
      <w:r>
        <w:fldChar w:fldCharType="separate"/>
      </w:r>
      <w:r>
        <w:rPr>
          <w:noProof/>
        </w:rPr>
        <w:t>512</w:t>
      </w:r>
      <w:r>
        <w:fldChar w:fldCharType="end"/>
      </w:r>
    </w:p>
    <w:p w:rsidR="005F78FC" w:rsidRDefault="00B42EF3">
      <w:pPr>
        <w:pStyle w:val="indexentry0"/>
      </w:pPr>
      <w:hyperlink w:anchor="section_c7555d2c472a4d15b23041046bc41819">
        <w:r>
          <w:rPr>
            <w:rStyle w:val="Hyperlink"/>
          </w:rPr>
          <w:t>xfrm (2D Transform for Individual Objects)</w:t>
        </w:r>
      </w:hyperlink>
      <w:r>
        <w:t xml:space="preserve"> </w:t>
      </w:r>
      <w:r>
        <w:fldChar w:fldCharType="begin"/>
      </w:r>
      <w:r>
        <w:instrText>PAGER</w:instrText>
      </w:r>
      <w:r>
        <w:instrText>EF section_c7555d2c472a4d15b23041046bc41819</w:instrText>
      </w:r>
      <w:r>
        <w:fldChar w:fldCharType="separate"/>
      </w:r>
      <w:r>
        <w:rPr>
          <w:noProof/>
        </w:rPr>
        <w:t>512</w:t>
      </w:r>
      <w:r>
        <w:fldChar w:fldCharType="end"/>
      </w:r>
    </w:p>
    <w:p w:rsidR="005F78FC" w:rsidRDefault="00B42EF3">
      <w:pPr>
        <w:pStyle w:val="indexentry0"/>
      </w:pPr>
      <w:hyperlink w:anchor="section_6f9a9b19ddc94304bacdb4245a8b9b3d">
        <w:r>
          <w:rPr>
            <w:rStyle w:val="Hyperlink"/>
          </w:rPr>
          <w:t>xfrm (Graphic Frame Transform)</w:t>
        </w:r>
      </w:hyperlink>
      <w:r>
        <w:t xml:space="preserve"> </w:t>
      </w:r>
      <w:r>
        <w:fldChar w:fldCharType="begin"/>
      </w:r>
      <w:r>
        <w:instrText>PAGEREF section_6f9a9b19ddc94304bacdb4245a8b9b3d</w:instrText>
      </w:r>
      <w:r>
        <w:fldChar w:fldCharType="separate"/>
      </w:r>
      <w:r>
        <w:rPr>
          <w:noProof/>
        </w:rPr>
        <w:t>586</w:t>
      </w:r>
      <w:r>
        <w:fldChar w:fldCharType="end"/>
      </w:r>
    </w:p>
    <w:p w:rsidR="005F78FC" w:rsidRDefault="00B42EF3">
      <w:pPr>
        <w:pStyle w:val="indexentry0"/>
      </w:pPr>
      <w:hyperlink w:anchor="section_a003023ad1664c12821a703ac0870f7d">
        <w:r>
          <w:rPr>
            <w:rStyle w:val="Hyperlink"/>
          </w:rPr>
          <w:t>XI</w:t>
        </w:r>
        <w:r>
          <w:rPr>
            <w:rStyle w:val="Hyperlink"/>
          </w:rPr>
          <w:t>RR</w:t>
        </w:r>
      </w:hyperlink>
      <w:r>
        <w:t xml:space="preserve"> </w:t>
      </w:r>
      <w:r>
        <w:fldChar w:fldCharType="begin"/>
      </w:r>
      <w:r>
        <w:instrText>PAGEREF section_a003023ad1664c12821a703ac0870f7d</w:instrText>
      </w:r>
      <w:r>
        <w:fldChar w:fldCharType="separate"/>
      </w:r>
      <w:r>
        <w:rPr>
          <w:noProof/>
        </w:rPr>
        <w:t>454</w:t>
      </w:r>
      <w:r>
        <w:fldChar w:fldCharType="end"/>
      </w:r>
    </w:p>
    <w:p w:rsidR="005F78FC" w:rsidRDefault="00B42EF3">
      <w:pPr>
        <w:pStyle w:val="indexentry0"/>
      </w:pPr>
      <w:hyperlink w:anchor="section_01d8bb8ec1fa46e7865d931ad671a6c1">
        <w:r>
          <w:rPr>
            <w:rStyle w:val="Hyperlink"/>
          </w:rPr>
          <w:t>XML representation</w:t>
        </w:r>
      </w:hyperlink>
      <w:r>
        <w:t xml:space="preserve"> </w:t>
      </w:r>
      <w:r>
        <w:fldChar w:fldCharType="begin"/>
      </w:r>
      <w:r>
        <w:instrText>PAGEREF section_01d8bb8ec1fa46e7865d931ad671a6c1</w:instrText>
      </w:r>
      <w:r>
        <w:fldChar w:fldCharType="separate"/>
      </w:r>
      <w:r>
        <w:rPr>
          <w:noProof/>
        </w:rPr>
        <w:t>168</w:t>
      </w:r>
      <w:r>
        <w:fldChar w:fldCharType="end"/>
      </w:r>
    </w:p>
    <w:p w:rsidR="005F78FC" w:rsidRDefault="00B42EF3">
      <w:pPr>
        <w:pStyle w:val="indexentry0"/>
      </w:pPr>
      <w:hyperlink w:anchor="section_c4068cc3c49f4d34bbfc4fe10a1a689d">
        <w:r>
          <w:rPr>
            <w:rStyle w:val="Hyperlink"/>
          </w:rPr>
          <w:t>xmlC</w:t>
        </w:r>
        <w:r>
          <w:rPr>
            <w:rStyle w:val="Hyperlink"/>
          </w:rPr>
          <w:t>ellPr (Cell Properties)</w:t>
        </w:r>
      </w:hyperlink>
      <w:r>
        <w:t xml:space="preserve"> </w:t>
      </w:r>
      <w:r>
        <w:fldChar w:fldCharType="begin"/>
      </w:r>
      <w:r>
        <w:instrText>PAGEREF section_c4068cc3c49f4d34bbfc4fe10a1a689d</w:instrText>
      </w:r>
      <w:r>
        <w:fldChar w:fldCharType="separate"/>
      </w:r>
      <w:r>
        <w:rPr>
          <w:noProof/>
        </w:rPr>
        <w:t>297</w:t>
      </w:r>
      <w:r>
        <w:fldChar w:fldCharType="end"/>
      </w:r>
    </w:p>
    <w:p w:rsidR="005F78FC" w:rsidRDefault="00B42EF3">
      <w:pPr>
        <w:pStyle w:val="indexentry0"/>
      </w:pPr>
      <w:hyperlink w:anchor="section_23b8caabf8874d62a52cd0f1cb904aab">
        <w:r>
          <w:rPr>
            <w:rStyle w:val="Hyperlink"/>
          </w:rPr>
          <w:t>xmlColumnPr (XML Column Properties)</w:t>
        </w:r>
      </w:hyperlink>
      <w:r>
        <w:t xml:space="preserve"> </w:t>
      </w:r>
      <w:r>
        <w:fldChar w:fldCharType="begin"/>
      </w:r>
      <w:r>
        <w:instrText>PAGEREF section_23b8caabf8874d62a52cd0f1cb904aab</w:instrText>
      </w:r>
      <w:r>
        <w:fldChar w:fldCharType="separate"/>
      </w:r>
      <w:r>
        <w:rPr>
          <w:noProof/>
        </w:rPr>
        <w:t>296</w:t>
      </w:r>
      <w:r>
        <w:fldChar w:fldCharType="end"/>
      </w:r>
    </w:p>
    <w:p w:rsidR="005F78FC" w:rsidRDefault="00B42EF3">
      <w:pPr>
        <w:pStyle w:val="indexentry0"/>
      </w:pPr>
      <w:hyperlink w:anchor="section_de9b88626c554161908f55ad7955eb6f">
        <w:r>
          <w:rPr>
            <w:rStyle w:val="Hyperlink"/>
          </w:rPr>
          <w:t>XMLNamespace (Namespace for Property Editor)</w:t>
        </w:r>
      </w:hyperlink>
      <w:r>
        <w:t xml:space="preserve"> </w:t>
      </w:r>
      <w:r>
        <w:fldChar w:fldCharType="begin"/>
      </w:r>
      <w:r>
        <w:instrText>PAGEREF section_de9b88626c554161908f55ad7955eb6f</w:instrText>
      </w:r>
      <w:r>
        <w:fldChar w:fldCharType="separate"/>
      </w:r>
      <w:r>
        <w:rPr>
          <w:noProof/>
        </w:rPr>
        <w:t>874</w:t>
      </w:r>
      <w:r>
        <w:fldChar w:fldCharType="end"/>
      </w:r>
    </w:p>
    <w:p w:rsidR="005F78FC" w:rsidRDefault="00B42EF3">
      <w:pPr>
        <w:pStyle w:val="indexentry0"/>
      </w:pPr>
      <w:hyperlink w:anchor="section_cbb4061e04964dd294f5cacadf834a0a">
        <w:r>
          <w:rPr>
            <w:rStyle w:val="Hyperlink"/>
          </w:rPr>
          <w:t>xmlPr (Column XML Properties)</w:t>
        </w:r>
      </w:hyperlink>
      <w:r>
        <w:t xml:space="preserve"> </w:t>
      </w:r>
      <w:r>
        <w:fldChar w:fldCharType="begin"/>
      </w:r>
      <w:r>
        <w:instrText>PAGEREF section_cbb4061e04964dd294f5cacadf834a0a</w:instrText>
      </w:r>
      <w:r>
        <w:fldChar w:fldCharType="separate"/>
      </w:r>
      <w:r>
        <w:rPr>
          <w:noProof/>
        </w:rPr>
        <w:t>297</w:t>
      </w:r>
      <w:r>
        <w:fldChar w:fldCharType="end"/>
      </w:r>
    </w:p>
    <w:p w:rsidR="005F78FC" w:rsidRDefault="00B42EF3">
      <w:pPr>
        <w:pStyle w:val="indexentry0"/>
      </w:pPr>
      <w:hyperlink w:anchor="section_033c001fa29a4817a32a75394f971109">
        <w:r>
          <w:rPr>
            <w:rStyle w:val="Hyperlink"/>
          </w:rPr>
          <w:t>xMode (Left Mode)</w:t>
        </w:r>
      </w:hyperlink>
      <w:r>
        <w:t xml:space="preserve"> </w:t>
      </w:r>
      <w:r>
        <w:fldChar w:fldCharType="begin"/>
      </w:r>
      <w:r>
        <w:instrText>PAGEREF section_033c001fa29a4817a32a75394f971109</w:instrText>
      </w:r>
      <w:r>
        <w:fldChar w:fldCharType="separate"/>
      </w:r>
      <w:r>
        <w:rPr>
          <w:noProof/>
        </w:rPr>
        <w:t>578</w:t>
      </w:r>
      <w:r>
        <w:fldChar w:fldCharType="end"/>
      </w:r>
    </w:p>
    <w:p w:rsidR="005F78FC" w:rsidRDefault="00B42EF3">
      <w:pPr>
        <w:pStyle w:val="indexentry0"/>
      </w:pPr>
      <w:hyperlink w:anchor="section_9878cf828dc64790998a3f7e7763f58f">
        <w:r>
          <w:rPr>
            <w:rStyle w:val="Hyperlink"/>
          </w:rPr>
          <w:t>XNPV</w:t>
        </w:r>
      </w:hyperlink>
      <w:r>
        <w:t xml:space="preserve"> </w:t>
      </w:r>
      <w:r>
        <w:fldChar w:fldCharType="begin"/>
      </w:r>
      <w:r>
        <w:instrText>PAGEREF section_9878cf828dc64790998a3f7e7763f58f</w:instrText>
      </w:r>
      <w:r>
        <w:fldChar w:fldCharType="separate"/>
      </w:r>
      <w:r>
        <w:rPr>
          <w:noProof/>
        </w:rPr>
        <w:t>455</w:t>
      </w:r>
      <w:r>
        <w:fldChar w:fldCharType="end"/>
      </w:r>
    </w:p>
    <w:p w:rsidR="005F78FC" w:rsidRDefault="00B42EF3">
      <w:pPr>
        <w:pStyle w:val="indexentry0"/>
      </w:pPr>
      <w:hyperlink w:anchor="section_60042665e00a4f749f86ad8bd478a614">
        <w:r>
          <w:rPr>
            <w:rStyle w:val="Hyperlink"/>
          </w:rPr>
          <w:t>XSNLocation (Location of XSN File)</w:t>
        </w:r>
      </w:hyperlink>
      <w:r>
        <w:t xml:space="preserve"> </w:t>
      </w:r>
      <w:r>
        <w:fldChar w:fldCharType="begin"/>
      </w:r>
      <w:r>
        <w:instrText>PAGEREF section_60042665e00a4f749f86ad8bd478a614</w:instrText>
      </w:r>
      <w:r>
        <w:fldChar w:fldCharType="separate"/>
      </w:r>
      <w:r>
        <w:rPr>
          <w:noProof/>
        </w:rPr>
        <w:t>874</w:t>
      </w:r>
      <w:r>
        <w:fldChar w:fldCharType="end"/>
      </w:r>
    </w:p>
    <w:p w:rsidR="005F78FC" w:rsidRDefault="00B42EF3">
      <w:pPr>
        <w:pStyle w:val="indexentry0"/>
      </w:pPr>
      <w:hyperlink w:anchor="section_1c088624367d43958dfe029913c009e8">
        <w:r>
          <w:rPr>
            <w:rStyle w:val="Hyperlink"/>
          </w:rPr>
          <w:t>xsnLocation (XSN Location)</w:t>
        </w:r>
      </w:hyperlink>
      <w:r>
        <w:t xml:space="preserve"> </w:t>
      </w:r>
      <w:r>
        <w:fldChar w:fldCharType="begin"/>
      </w:r>
      <w:r>
        <w:instrText>PAGEREF section_1c088624367d43958dfe029913c009e8</w:instrText>
      </w:r>
      <w:r>
        <w:fldChar w:fldCharType="separate"/>
      </w:r>
      <w:r>
        <w:rPr>
          <w:noProof/>
        </w:rPr>
        <w:t>876</w:t>
      </w:r>
      <w:r>
        <w:fldChar w:fldCharType="end"/>
      </w:r>
    </w:p>
    <w:p w:rsidR="005F78FC" w:rsidRDefault="00B42EF3">
      <w:pPr>
        <w:pStyle w:val="indexentry0"/>
      </w:pPr>
      <w:hyperlink w:anchor="section_83b1d48efcc64adaaf9bba113335dc9c">
        <w:r>
          <w:rPr>
            <w:rStyle w:val="Hyperlink"/>
          </w:rPr>
          <w:t>xsnScope (Scope)</w:t>
        </w:r>
      </w:hyperlink>
      <w:r>
        <w:t xml:space="preserve"> </w:t>
      </w:r>
      <w:r>
        <w:fldChar w:fldCharType="begin"/>
      </w:r>
      <w:r>
        <w:instrText>PAGEREF section_83b1d48efcc64adaaf9bba113335dc9c</w:instrText>
      </w:r>
      <w:r>
        <w:fldChar w:fldCharType="separate"/>
      </w:r>
      <w:r>
        <w:rPr>
          <w:noProof/>
        </w:rPr>
        <w:t>876</w:t>
      </w:r>
      <w:r>
        <w:fldChar w:fldCharType="end"/>
      </w:r>
    </w:p>
    <w:p w:rsidR="005F78FC" w:rsidRDefault="005F78FC">
      <w:pPr>
        <w:spacing w:before="0" w:after="0"/>
        <w:rPr>
          <w:sz w:val="16"/>
        </w:rPr>
      </w:pPr>
    </w:p>
    <w:p w:rsidR="005F78FC" w:rsidRDefault="00B42EF3">
      <w:pPr>
        <w:pStyle w:val="indexheader"/>
      </w:pPr>
      <w:r>
        <w:t>Y</w:t>
      </w:r>
    </w:p>
    <w:p w:rsidR="005F78FC" w:rsidRDefault="005F78FC">
      <w:pPr>
        <w:spacing w:before="0" w:after="0"/>
        <w:rPr>
          <w:sz w:val="16"/>
        </w:rPr>
      </w:pPr>
    </w:p>
    <w:p w:rsidR="005F78FC" w:rsidRDefault="00B42EF3">
      <w:pPr>
        <w:pStyle w:val="indexentry0"/>
      </w:pPr>
      <w:hyperlink w:anchor="section_8c46e53bc5254bb6892759d133a60a06">
        <w:r>
          <w:rPr>
            <w:rStyle w:val="Hyperlink"/>
          </w:rPr>
          <w:t>y (Top)</w:t>
        </w:r>
      </w:hyperlink>
      <w:r>
        <w:t xml:space="preserve"> </w:t>
      </w:r>
      <w:r>
        <w:fldChar w:fldCharType="begin"/>
      </w:r>
      <w:r>
        <w:instrText>PAGEREF section_8c46e53bc5254bb6892759d133a60a06</w:instrText>
      </w:r>
      <w:r>
        <w:fldChar w:fldCharType="separate"/>
      </w:r>
      <w:r>
        <w:rPr>
          <w:noProof/>
        </w:rPr>
        <w:t>578</w:t>
      </w:r>
      <w:r>
        <w:fldChar w:fldCharType="end"/>
      </w:r>
    </w:p>
    <w:p w:rsidR="005F78FC" w:rsidRDefault="00B42EF3">
      <w:pPr>
        <w:pStyle w:val="indexentry0"/>
      </w:pPr>
      <w:hyperlink w:anchor="section_86e4ebd6c6d543a7b3678e508b712256">
        <w:r>
          <w:rPr>
            <w:rStyle w:val="Hyperlink"/>
          </w:rPr>
          <w:t>YearAccessed (Year Accessed)</w:t>
        </w:r>
      </w:hyperlink>
      <w:r>
        <w:t xml:space="preserve"> </w:t>
      </w:r>
      <w:r>
        <w:fldChar w:fldCharType="begin"/>
      </w:r>
      <w:r>
        <w:instrText>PAGEREF section_86e4ebd6c6d543a7b3678e508b712256</w:instrText>
      </w:r>
      <w:r>
        <w:fldChar w:fldCharType="separate"/>
      </w:r>
      <w:r>
        <w:rPr>
          <w:noProof/>
        </w:rPr>
        <w:t>615</w:t>
      </w:r>
      <w:r>
        <w:fldChar w:fldCharType="end"/>
      </w:r>
    </w:p>
    <w:p w:rsidR="005F78FC" w:rsidRDefault="00B42EF3">
      <w:pPr>
        <w:pStyle w:val="indexentry0"/>
      </w:pPr>
      <w:hyperlink w:anchor="section_603d48e1ab4648c395e0f9ce750d9623">
        <w:r>
          <w:rPr>
            <w:rStyle w:val="Hyperlink"/>
          </w:rPr>
          <w:t>YEARFRAC</w:t>
        </w:r>
      </w:hyperlink>
      <w:r>
        <w:t xml:space="preserve"> </w:t>
      </w:r>
      <w:r>
        <w:fldChar w:fldCharType="begin"/>
      </w:r>
      <w:r>
        <w:instrText>PAGEREF section_603d48e1ab4648c395e0f9ce750d9623</w:instrText>
      </w:r>
      <w:r>
        <w:fldChar w:fldCharType="separate"/>
      </w:r>
      <w:r>
        <w:rPr>
          <w:noProof/>
        </w:rPr>
        <w:t>455</w:t>
      </w:r>
      <w:r>
        <w:fldChar w:fldCharType="end"/>
      </w:r>
    </w:p>
    <w:p w:rsidR="005F78FC" w:rsidRDefault="00B42EF3">
      <w:pPr>
        <w:pStyle w:val="indexentry0"/>
      </w:pPr>
      <w:hyperlink w:anchor="section_1f5b7d6fe6514fc1b89a6fc80241afa5">
        <w:r>
          <w:rPr>
            <w:rStyle w:val="Hyperlink"/>
          </w:rPr>
          <w:t>YIELD</w:t>
        </w:r>
      </w:hyperlink>
      <w:r>
        <w:t xml:space="preserve"> </w:t>
      </w:r>
      <w:r>
        <w:fldChar w:fldCharType="begin"/>
      </w:r>
      <w:r>
        <w:instrText>PAGEREF section_1f5b7d6fe6514fc1b89a6fc80241afa5</w:instrText>
      </w:r>
      <w:r>
        <w:fldChar w:fldCharType="separate"/>
      </w:r>
      <w:r>
        <w:rPr>
          <w:noProof/>
        </w:rPr>
        <w:t>456</w:t>
      </w:r>
      <w:r>
        <w:fldChar w:fldCharType="end"/>
      </w:r>
    </w:p>
    <w:p w:rsidR="005F78FC" w:rsidRDefault="00B42EF3">
      <w:pPr>
        <w:pStyle w:val="indexentry0"/>
      </w:pPr>
      <w:hyperlink w:anchor="section_652fb537a84b47869554d8624ce0d4a5">
        <w:r>
          <w:rPr>
            <w:rStyle w:val="Hyperlink"/>
          </w:rPr>
          <w:t>YIELDDISC</w:t>
        </w:r>
      </w:hyperlink>
      <w:r>
        <w:t xml:space="preserve"> </w:t>
      </w:r>
      <w:r>
        <w:fldChar w:fldCharType="begin"/>
      </w:r>
      <w:r>
        <w:instrText>PAGEREF section_652fb537a84b47869554d8624ce0d4a5</w:instrText>
      </w:r>
      <w:r>
        <w:fldChar w:fldCharType="separate"/>
      </w:r>
      <w:r>
        <w:rPr>
          <w:noProof/>
        </w:rPr>
        <w:t>456</w:t>
      </w:r>
      <w:r>
        <w:fldChar w:fldCharType="end"/>
      </w:r>
    </w:p>
    <w:p w:rsidR="005F78FC" w:rsidRDefault="00B42EF3">
      <w:pPr>
        <w:pStyle w:val="indexentry0"/>
      </w:pPr>
      <w:hyperlink w:anchor="section_eba3b8ce07c64244a95524ab4b61a0fb">
        <w:r>
          <w:rPr>
            <w:rStyle w:val="Hyperlink"/>
          </w:rPr>
          <w:t>YIELDMAT</w:t>
        </w:r>
      </w:hyperlink>
      <w:r>
        <w:t xml:space="preserve"> </w:t>
      </w:r>
      <w:r>
        <w:fldChar w:fldCharType="begin"/>
      </w:r>
      <w:r>
        <w:instrText>PAGEREF section_eba3b8ce07c64244a95524ab4b61a0fb</w:instrText>
      </w:r>
      <w:r>
        <w:fldChar w:fldCharType="separate"/>
      </w:r>
      <w:r>
        <w:rPr>
          <w:noProof/>
        </w:rPr>
        <w:t>457</w:t>
      </w:r>
      <w:r>
        <w:fldChar w:fldCharType="end"/>
      </w:r>
    </w:p>
    <w:p w:rsidR="005F78FC" w:rsidRDefault="00B42EF3">
      <w:pPr>
        <w:pStyle w:val="indexentry0"/>
      </w:pPr>
      <w:hyperlink w:anchor="section_3e552fb6fb1740bdaa1c6628425e5b8a">
        <w:r>
          <w:rPr>
            <w:rStyle w:val="Hyperlink"/>
          </w:rPr>
          <w:t>yMode (Top Mode)</w:t>
        </w:r>
      </w:hyperlink>
      <w:r>
        <w:t xml:space="preserve"> </w:t>
      </w:r>
      <w:r>
        <w:fldChar w:fldCharType="begin"/>
      </w:r>
      <w:r>
        <w:instrText>PAGEREF section_3e552fb6fb1740bdaa1c6628425e5b8a</w:instrText>
      </w:r>
      <w:r>
        <w:fldChar w:fldCharType="separate"/>
      </w:r>
      <w:r>
        <w:rPr>
          <w:noProof/>
        </w:rPr>
        <w:t>579</w:t>
      </w:r>
      <w:r>
        <w:fldChar w:fldCharType="end"/>
      </w:r>
    </w:p>
    <w:p w:rsidR="005F78FC" w:rsidRDefault="005F78FC">
      <w:pPr>
        <w:spacing w:before="0" w:after="0"/>
        <w:rPr>
          <w:sz w:val="16"/>
        </w:rPr>
      </w:pPr>
    </w:p>
    <w:p w:rsidR="005F78FC" w:rsidRDefault="00B42EF3">
      <w:pPr>
        <w:pStyle w:val="indexheader"/>
      </w:pPr>
      <w:r>
        <w:t>Z</w:t>
      </w:r>
    </w:p>
    <w:p w:rsidR="005F78FC" w:rsidRDefault="005F78FC">
      <w:pPr>
        <w:spacing w:before="0" w:after="0"/>
        <w:rPr>
          <w:sz w:val="16"/>
        </w:rPr>
      </w:pPr>
    </w:p>
    <w:p w:rsidR="005F78FC" w:rsidRDefault="00B42EF3">
      <w:pPr>
        <w:pStyle w:val="indexentry0"/>
      </w:pPr>
      <w:hyperlink w:anchor="section_6a50f8dea9d14092a0d4671c9fa1e079">
        <w:r>
          <w:rPr>
            <w:rStyle w:val="Hyperlink"/>
          </w:rPr>
          <w:t>ZIP Package Limitations</w:t>
        </w:r>
      </w:hyperlink>
      <w:r>
        <w:t xml:space="preserve"> </w:t>
      </w:r>
      <w:r>
        <w:fldChar w:fldCharType="begin"/>
      </w:r>
      <w:r>
        <w:instrText>PAGEREF section_6a50f8dea9d14092a0d4671c</w:instrText>
      </w:r>
      <w:r>
        <w:instrText>9fa1e079</w:instrText>
      </w:r>
      <w:r>
        <w:fldChar w:fldCharType="separate"/>
      </w:r>
      <w:r>
        <w:rPr>
          <w:noProof/>
        </w:rPr>
        <w:t>625</w:t>
      </w:r>
      <w:r>
        <w:fldChar w:fldCharType="end"/>
      </w:r>
    </w:p>
    <w:p w:rsidR="005F78FC" w:rsidRDefault="00B42EF3">
      <w:pPr>
        <w:pStyle w:val="indexentry0"/>
      </w:pPr>
      <w:hyperlink w:anchor="section_73d8d8a211eb4c28a37b6aef7041b24c">
        <w:r>
          <w:rPr>
            <w:rStyle w:val="Hyperlink"/>
          </w:rPr>
          <w:t>zoom (Magnification Setting)</w:t>
        </w:r>
      </w:hyperlink>
      <w:r>
        <w:t xml:space="preserve"> </w:t>
      </w:r>
      <w:r>
        <w:fldChar w:fldCharType="begin"/>
      </w:r>
      <w:r>
        <w:instrText>PAGEREF section_73d8d8a211eb4c28a37b6aef7041b24c</w:instrText>
      </w:r>
      <w:r>
        <w:fldChar w:fldCharType="separate"/>
      </w:r>
      <w:r>
        <w:rPr>
          <w:noProof/>
        </w:rPr>
        <w:t>163</w:t>
      </w:r>
      <w:r>
        <w:fldChar w:fldCharType="end"/>
      </w:r>
    </w:p>
    <w:p w:rsidR="005F78FC" w:rsidRDefault="00B42EF3">
      <w:pPr>
        <w:pStyle w:val="indexentry0"/>
      </w:pPr>
      <w:hyperlink w:anchor="section_c494196a44ad4042b21bb60c3f93c792">
        <w:r>
          <w:rPr>
            <w:rStyle w:val="Hyperlink"/>
          </w:rPr>
          <w:t>ZTEST</w:t>
        </w:r>
      </w:hyperlink>
      <w:r>
        <w:t xml:space="preserve"> </w:t>
      </w:r>
      <w:r>
        <w:fldChar w:fldCharType="begin"/>
      </w:r>
      <w:r>
        <w:instrText>PAGEREF section_c494196a44ad404</w:instrText>
      </w:r>
      <w:r>
        <w:instrText>2b21bb60c3f93c792</w:instrText>
      </w:r>
      <w:r>
        <w:fldChar w:fldCharType="separate"/>
      </w:r>
      <w:r>
        <w:rPr>
          <w:noProof/>
        </w:rPr>
        <w:t>458</w:t>
      </w:r>
      <w:r>
        <w:fldChar w:fldCharType="end"/>
      </w:r>
    </w:p>
    <w:p w:rsidR="005F78FC" w:rsidRDefault="005F78FC">
      <w:pPr>
        <w:rPr>
          <w:rStyle w:val="InlineCode"/>
        </w:rPr>
      </w:pPr>
      <w:bookmarkStart w:id="4259" w:name="EndOfDocument_ST"/>
      <w:bookmarkEnd w:id="4259"/>
    </w:p>
    <w:sectPr w:rsidR="005F78FC">
      <w:headerReference w:type="even" r:id="rId397"/>
      <w:headerReference w:type="default" r:id="rId398"/>
      <w:footerReference w:type="default" r:id="rId399"/>
      <w:headerReference w:type="first" r:id="rId400"/>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78FC" w:rsidRDefault="00B42EF3">
      <w:r>
        <w:separator/>
      </w:r>
    </w:p>
    <w:p w:rsidR="005F78FC" w:rsidRDefault="005F78FC"/>
  </w:endnote>
  <w:endnote w:type="continuationSeparator" w:id="0">
    <w:p w:rsidR="005F78FC" w:rsidRDefault="00B42EF3">
      <w:r>
        <w:continuationSeparator/>
      </w:r>
    </w:p>
    <w:p w:rsidR="005F78FC" w:rsidRDefault="005F78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8FC" w:rsidRDefault="00B42EF3">
    <w:pPr>
      <w:pStyle w:val="Footer"/>
      <w:jc w:val="right"/>
    </w:pPr>
    <w:r>
      <w:fldChar w:fldCharType="begin"/>
    </w:r>
    <w:r>
      <w:instrText xml:space="preserve"> PAGE </w:instrText>
    </w:r>
    <w:r>
      <w:fldChar w:fldCharType="separate"/>
    </w:r>
    <w:r>
      <w:rPr>
        <w:noProof/>
      </w:rPr>
      <w:t>907</w:t>
    </w:r>
    <w:r>
      <w:fldChar w:fldCharType="end"/>
    </w:r>
    <w:r>
      <w:t xml:space="preserve"> / </w:t>
    </w:r>
    <w:r>
      <w:fldChar w:fldCharType="begin"/>
    </w:r>
    <w:r>
      <w:instrText xml:space="preserve"> NUMPAGES </w:instrText>
    </w:r>
    <w:r>
      <w:fldChar w:fldCharType="separate"/>
    </w:r>
    <w:r>
      <w:rPr>
        <w:noProof/>
      </w:rPr>
      <w:t>925</w:t>
    </w:r>
    <w:r>
      <w:fldChar w:fldCharType="end"/>
    </w:r>
  </w:p>
  <w:p w:rsidR="005F78FC" w:rsidRDefault="00B42EF3">
    <w:pPr>
      <w:pStyle w:val="PageFooter"/>
    </w:pPr>
    <w:r>
      <w:t>[MS-OI29500] - v20210422</w:t>
    </w:r>
  </w:p>
  <w:p w:rsidR="005F78FC" w:rsidRDefault="00B42EF3">
    <w:pPr>
      <w:pStyle w:val="PageFooter"/>
    </w:pPr>
    <w:r>
      <w:t>Office Implementation Information for ISO/IEC 29500 Standards Support</w:t>
    </w:r>
  </w:p>
  <w:p w:rsidR="005F78FC" w:rsidRDefault="00B42EF3">
    <w:pPr>
      <w:pStyle w:val="PageFooter"/>
    </w:pPr>
    <w:r>
      <w:t>Copyright © 2021 Microsoft Corporation</w:t>
    </w:r>
  </w:p>
  <w:p w:rsidR="005F78FC" w:rsidRDefault="00B42EF3">
    <w:pPr>
      <w:pStyle w:val="PageFooter"/>
    </w:pPr>
    <w:r>
      <w:t>Release: April 22, 2021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8FC" w:rsidRDefault="00B42EF3">
    <w:pPr>
      <w:pStyle w:val="Footer"/>
      <w:jc w:val="right"/>
    </w:pPr>
    <w:r>
      <w:fldChar w:fldCharType="begin"/>
    </w:r>
    <w:r>
      <w:instrText xml:space="preserve"> PAGE </w:instrText>
    </w:r>
    <w:r>
      <w:fldChar w:fldCharType="separate"/>
    </w:r>
    <w:r>
      <w:rPr>
        <w:noProof/>
      </w:rPr>
      <w:t>925</w:t>
    </w:r>
    <w:r>
      <w:fldChar w:fldCharType="end"/>
    </w:r>
    <w:r>
      <w:t xml:space="preserve"> / </w:t>
    </w:r>
    <w:r>
      <w:fldChar w:fldCharType="begin"/>
    </w:r>
    <w:r>
      <w:instrText xml:space="preserve"> NUMPAGES </w:instrText>
    </w:r>
    <w:r>
      <w:fldChar w:fldCharType="separate"/>
    </w:r>
    <w:r>
      <w:rPr>
        <w:noProof/>
      </w:rPr>
      <w:t>925</w:t>
    </w:r>
    <w:r>
      <w:fldChar w:fldCharType="end"/>
    </w:r>
  </w:p>
  <w:p w:rsidR="005F78FC" w:rsidRDefault="00B42EF3">
    <w:pPr>
      <w:pStyle w:val="PageFooter"/>
    </w:pPr>
    <w:r>
      <w:t>[MS-OI29500] - v20210422</w:t>
    </w:r>
  </w:p>
  <w:p w:rsidR="005F78FC" w:rsidRDefault="00B42EF3">
    <w:pPr>
      <w:pStyle w:val="PageFooter"/>
    </w:pPr>
    <w:r>
      <w:t>Office Implementation Information for ISO/IEC 29500 Standards Support</w:t>
    </w:r>
  </w:p>
  <w:p w:rsidR="005F78FC" w:rsidRDefault="00B42EF3">
    <w:pPr>
      <w:pStyle w:val="PageFooter"/>
    </w:pPr>
    <w:r>
      <w:t>Copyright © 2021 Microsoft Corporation</w:t>
    </w:r>
  </w:p>
  <w:p w:rsidR="005F78FC" w:rsidRDefault="00B42EF3">
    <w:pPr>
      <w:pStyle w:val="PageFooter"/>
    </w:pPr>
    <w:r>
      <w:t>Release: April 22, 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78FC" w:rsidRDefault="00B42EF3">
      <w:r>
        <w:separator/>
      </w:r>
    </w:p>
    <w:p w:rsidR="005F78FC" w:rsidRDefault="005F78FC"/>
  </w:footnote>
  <w:footnote w:type="continuationSeparator" w:id="0">
    <w:p w:rsidR="005F78FC" w:rsidRDefault="00B42EF3">
      <w:r>
        <w:continuationSeparator/>
      </w:r>
    </w:p>
    <w:p w:rsidR="005F78FC" w:rsidRDefault="005F78F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8FC" w:rsidRDefault="00B42EF3">
    <w:pPr>
      <w:pStyle w:val="Header"/>
    </w:pPr>
    <w:r>
      <w:rPr>
        <w:noProof/>
      </w:rPr>
      <w:pict>
        <v:shapetype id="_x0000_m29799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PowerPlusWaterMarkObject777040" o:spid="_x0000_s297985" type="#_x0000_m297996" style="position:absolute;margin-left:0;margin-top:0;width:549.9pt;height:109.95pt;rotation:315;z-index:-251658240;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8FC" w:rsidRDefault="00B42EF3">
    <w:pPr>
      <w:pStyle w:val="Header"/>
    </w:pPr>
    <w:r>
      <w:rPr>
        <w:noProof/>
      </w:rPr>
      <w:pict>
        <v:shapetype id="_x0000_m297995"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94" type="#_x0000_m297995" style="position:absolute;margin-left:0;margin-top:0;width:549.9pt;height:109.95pt;rotation:315;z-index:-251657216;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8FC" w:rsidRDefault="00B42EF3">
    <w:pPr>
      <w:pStyle w:val="Header"/>
    </w:pPr>
    <w:r>
      <w:rPr>
        <w:noProof/>
      </w:rPr>
      <w:pict>
        <v:shapetype id="_x0000_m297993"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92" type="#_x0000_m297993" style="position:absolute;margin-left:0;margin-top:0;width:549.9pt;height:109.95pt;rotation:315;z-index:-251656192;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8FC" w:rsidRDefault="00B42EF3">
    <w:pPr>
      <w:pStyle w:val="Header"/>
    </w:pPr>
    <w:r>
      <w:rPr>
        <w:noProof/>
      </w:rPr>
      <w:pict>
        <v:shapetype id="_x0000_m297991"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90" type="#_x0000_m297991" style="position:absolute;margin-left:0;margin-top:0;width:549.9pt;height:109.95pt;rotation:315;z-index:-251655168;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8FC" w:rsidRDefault="00B42EF3">
    <w:pPr>
      <w:pStyle w:val="Header"/>
    </w:pPr>
    <w:r>
      <w:rPr>
        <w:noProof/>
      </w:rPr>
      <w:pict>
        <v:shapetype id="_x0000_m297989"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88" type="#_x0000_m297989" style="position:absolute;margin-left:0;margin-top:0;width:549.9pt;height:109.95pt;rotation:315;z-index:-251654144;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8FC" w:rsidRDefault="00B42EF3">
    <w:pPr>
      <w:pStyle w:val="Header"/>
    </w:pPr>
    <w:r>
      <w:rPr>
        <w:noProof/>
      </w:rPr>
      <w:pict>
        <v:shapetype id="_x0000_m297987"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86" type="#_x0000_m297987" style="position:absolute;margin-left:0;margin-top:0;width:549.9pt;height:109.95pt;rotation:315;z-index:-251653120;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0963433"/>
    <w:multiLevelType w:val="singleLevel"/>
    <w:tmpl w:val="A6989678"/>
    <w:lvl w:ilvl="0">
      <w:start w:val="1"/>
      <w:numFmt w:val="bullet"/>
      <w:lvlText w:val="§"/>
      <w:lvlJc w:val="left"/>
      <w:pPr>
        <w:ind w:left="360" w:hanging="360"/>
      </w:pPr>
      <w:rPr>
        <w:rFonts w:ascii="Wingdings" w:hAnsi="Wingdings" w:hint="default"/>
      </w:rPr>
    </w:lvl>
  </w:abstractNum>
  <w:abstractNum w:abstractNumId="2" w15:restartNumberingAfterBreak="0">
    <w:nsid w:val="00986799"/>
    <w:multiLevelType w:val="singleLevel"/>
    <w:tmpl w:val="705ABABC"/>
    <w:lvl w:ilvl="0">
      <w:start w:val="1"/>
      <w:numFmt w:val="bullet"/>
      <w:lvlText w:val="§"/>
      <w:lvlJc w:val="left"/>
      <w:pPr>
        <w:ind w:left="360" w:hanging="360"/>
      </w:pPr>
      <w:rPr>
        <w:rFonts w:ascii="Wingdings" w:hAnsi="Wingdings" w:hint="default"/>
      </w:rPr>
    </w:lvl>
  </w:abstractNum>
  <w:abstractNum w:abstractNumId="3" w15:restartNumberingAfterBreak="0">
    <w:nsid w:val="012D53D3"/>
    <w:multiLevelType w:val="singleLevel"/>
    <w:tmpl w:val="2318BEC8"/>
    <w:lvl w:ilvl="0">
      <w:start w:val="1"/>
      <w:numFmt w:val="bullet"/>
      <w:lvlText w:val="§"/>
      <w:lvlJc w:val="left"/>
      <w:pPr>
        <w:ind w:left="360" w:hanging="360"/>
      </w:pPr>
      <w:rPr>
        <w:rFonts w:ascii="Wingdings" w:hAnsi="Wingdings" w:hint="default"/>
      </w:rPr>
    </w:lvl>
  </w:abstractNum>
  <w:abstractNum w:abstractNumId="4" w15:restartNumberingAfterBreak="0">
    <w:nsid w:val="015F3BBE"/>
    <w:multiLevelType w:val="singleLevel"/>
    <w:tmpl w:val="7674BFA8"/>
    <w:lvl w:ilvl="0">
      <w:start w:val="1"/>
      <w:numFmt w:val="bullet"/>
      <w:lvlText w:val="§"/>
      <w:lvlJc w:val="left"/>
      <w:pPr>
        <w:ind w:left="360" w:hanging="360"/>
      </w:pPr>
      <w:rPr>
        <w:rFonts w:ascii="Wingdings" w:hAnsi="Wingdings" w:hint="default"/>
      </w:rPr>
    </w:lvl>
  </w:abstractNum>
  <w:abstractNum w:abstractNumId="5" w15:restartNumberingAfterBreak="0">
    <w:nsid w:val="01A42650"/>
    <w:multiLevelType w:val="singleLevel"/>
    <w:tmpl w:val="1248B19A"/>
    <w:lvl w:ilvl="0">
      <w:start w:val="1"/>
      <w:numFmt w:val="bullet"/>
      <w:lvlText w:val="§"/>
      <w:lvlJc w:val="left"/>
      <w:pPr>
        <w:ind w:left="360" w:hanging="360"/>
      </w:pPr>
      <w:rPr>
        <w:rFonts w:ascii="Wingdings" w:hAnsi="Wingdings" w:hint="default"/>
      </w:rPr>
    </w:lvl>
  </w:abstractNum>
  <w:abstractNum w:abstractNumId="6" w15:restartNumberingAfterBreak="0">
    <w:nsid w:val="020A6C32"/>
    <w:multiLevelType w:val="singleLevel"/>
    <w:tmpl w:val="0318EAFA"/>
    <w:lvl w:ilvl="0">
      <w:start w:val="1"/>
      <w:numFmt w:val="bullet"/>
      <w:lvlText w:val="§"/>
      <w:lvlJc w:val="left"/>
      <w:pPr>
        <w:ind w:left="360" w:hanging="360"/>
      </w:pPr>
      <w:rPr>
        <w:rFonts w:ascii="Wingdings" w:hAnsi="Wingdings" w:hint="default"/>
      </w:rPr>
    </w:lvl>
  </w:abstractNum>
  <w:abstractNum w:abstractNumId="7" w15:restartNumberingAfterBreak="0">
    <w:nsid w:val="02385423"/>
    <w:multiLevelType w:val="singleLevel"/>
    <w:tmpl w:val="27C8A786"/>
    <w:lvl w:ilvl="0">
      <w:start w:val="1"/>
      <w:numFmt w:val="bullet"/>
      <w:lvlText w:val="§"/>
      <w:lvlJc w:val="left"/>
      <w:pPr>
        <w:ind w:left="360" w:hanging="360"/>
      </w:pPr>
      <w:rPr>
        <w:rFonts w:ascii="Wingdings" w:hAnsi="Wingdings" w:hint="default"/>
      </w:rPr>
    </w:lvl>
  </w:abstractNum>
  <w:abstractNum w:abstractNumId="8" w15:restartNumberingAfterBreak="0">
    <w:nsid w:val="023D0165"/>
    <w:multiLevelType w:val="singleLevel"/>
    <w:tmpl w:val="5E9291C8"/>
    <w:lvl w:ilvl="0">
      <w:start w:val="1"/>
      <w:numFmt w:val="bullet"/>
      <w:lvlText w:val="§"/>
      <w:lvlJc w:val="left"/>
      <w:pPr>
        <w:ind w:left="360" w:hanging="360"/>
      </w:pPr>
      <w:rPr>
        <w:rFonts w:ascii="Wingdings" w:hAnsi="Wingdings" w:hint="default"/>
      </w:rPr>
    </w:lvl>
  </w:abstractNum>
  <w:abstractNum w:abstractNumId="9" w15:restartNumberingAfterBreak="0">
    <w:nsid w:val="03B31FE5"/>
    <w:multiLevelType w:val="singleLevel"/>
    <w:tmpl w:val="B81C8474"/>
    <w:lvl w:ilvl="0">
      <w:start w:val="1"/>
      <w:numFmt w:val="bullet"/>
      <w:lvlText w:val="§"/>
      <w:lvlJc w:val="left"/>
      <w:pPr>
        <w:ind w:left="360" w:hanging="360"/>
      </w:pPr>
      <w:rPr>
        <w:rFonts w:ascii="Wingdings" w:hAnsi="Wingdings" w:hint="default"/>
      </w:rPr>
    </w:lvl>
  </w:abstractNum>
  <w:abstractNum w:abstractNumId="10" w15:restartNumberingAfterBreak="0">
    <w:nsid w:val="059D0DC3"/>
    <w:multiLevelType w:val="singleLevel"/>
    <w:tmpl w:val="338E31A4"/>
    <w:lvl w:ilvl="0">
      <w:start w:val="1"/>
      <w:numFmt w:val="decimal"/>
      <w:lvlText w:val="%1."/>
      <w:lvlJc w:val="left"/>
      <w:pPr>
        <w:ind w:left="360" w:hanging="360"/>
      </w:pPr>
    </w:lvl>
  </w:abstractNum>
  <w:abstractNum w:abstractNumId="11" w15:restartNumberingAfterBreak="0">
    <w:nsid w:val="05D0213B"/>
    <w:multiLevelType w:val="singleLevel"/>
    <w:tmpl w:val="0AA83384"/>
    <w:lvl w:ilvl="0">
      <w:start w:val="1"/>
      <w:numFmt w:val="bullet"/>
      <w:lvlText w:val="§"/>
      <w:lvlJc w:val="left"/>
      <w:pPr>
        <w:ind w:left="360" w:hanging="360"/>
      </w:pPr>
      <w:rPr>
        <w:rFonts w:ascii="Wingdings" w:hAnsi="Wingdings" w:hint="default"/>
      </w:rPr>
    </w:lvl>
  </w:abstractNum>
  <w:abstractNum w:abstractNumId="12"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13" w15:restartNumberingAfterBreak="0">
    <w:nsid w:val="07FD1E54"/>
    <w:multiLevelType w:val="singleLevel"/>
    <w:tmpl w:val="732A6E76"/>
    <w:lvl w:ilvl="0">
      <w:start w:val="1"/>
      <w:numFmt w:val="bullet"/>
      <w:lvlText w:val="§"/>
      <w:lvlJc w:val="left"/>
      <w:pPr>
        <w:ind w:left="360" w:hanging="360"/>
      </w:pPr>
      <w:rPr>
        <w:rFonts w:ascii="Wingdings" w:hAnsi="Wingdings" w:hint="default"/>
      </w:rPr>
    </w:lvl>
  </w:abstractNum>
  <w:abstractNum w:abstractNumId="14" w15:restartNumberingAfterBreak="0">
    <w:nsid w:val="082072A6"/>
    <w:multiLevelType w:val="singleLevel"/>
    <w:tmpl w:val="30C0AF18"/>
    <w:lvl w:ilvl="0">
      <w:start w:val="1"/>
      <w:numFmt w:val="bullet"/>
      <w:lvlText w:val="§"/>
      <w:lvlJc w:val="left"/>
      <w:pPr>
        <w:ind w:left="360" w:hanging="360"/>
      </w:pPr>
      <w:rPr>
        <w:rFonts w:ascii="Wingdings" w:hAnsi="Wingdings" w:hint="default"/>
      </w:rPr>
    </w:lvl>
  </w:abstractNum>
  <w:abstractNum w:abstractNumId="15" w15:restartNumberingAfterBreak="0">
    <w:nsid w:val="08583C23"/>
    <w:multiLevelType w:val="singleLevel"/>
    <w:tmpl w:val="7548D110"/>
    <w:lvl w:ilvl="0">
      <w:start w:val="1"/>
      <w:numFmt w:val="bullet"/>
      <w:lvlText w:val="§"/>
      <w:lvlJc w:val="left"/>
      <w:pPr>
        <w:ind w:left="360" w:hanging="360"/>
      </w:pPr>
      <w:rPr>
        <w:rFonts w:ascii="Wingdings" w:hAnsi="Wingdings" w:hint="default"/>
      </w:rPr>
    </w:lvl>
  </w:abstractNum>
  <w:abstractNum w:abstractNumId="16" w15:restartNumberingAfterBreak="0">
    <w:nsid w:val="08E03C23"/>
    <w:multiLevelType w:val="singleLevel"/>
    <w:tmpl w:val="9132BD7E"/>
    <w:lvl w:ilvl="0">
      <w:start w:val="1"/>
      <w:numFmt w:val="bullet"/>
      <w:lvlText w:val="§"/>
      <w:lvlJc w:val="left"/>
      <w:pPr>
        <w:ind w:left="360" w:hanging="360"/>
      </w:pPr>
      <w:rPr>
        <w:rFonts w:ascii="Wingdings" w:hAnsi="Wingdings" w:hint="default"/>
      </w:rPr>
    </w:lvl>
  </w:abstractNum>
  <w:abstractNum w:abstractNumId="17" w15:restartNumberingAfterBreak="0">
    <w:nsid w:val="0A405BB4"/>
    <w:multiLevelType w:val="singleLevel"/>
    <w:tmpl w:val="A9CC83A2"/>
    <w:lvl w:ilvl="0">
      <w:start w:val="1"/>
      <w:numFmt w:val="bullet"/>
      <w:lvlText w:val="§"/>
      <w:lvlJc w:val="left"/>
      <w:pPr>
        <w:ind w:left="360" w:hanging="360"/>
      </w:pPr>
      <w:rPr>
        <w:rFonts w:ascii="Wingdings" w:hAnsi="Wingdings" w:hint="default"/>
      </w:rPr>
    </w:lvl>
  </w:abstractNum>
  <w:abstractNum w:abstractNumId="18" w15:restartNumberingAfterBreak="0">
    <w:nsid w:val="0B962FCC"/>
    <w:multiLevelType w:val="singleLevel"/>
    <w:tmpl w:val="D4E286C4"/>
    <w:lvl w:ilvl="0">
      <w:start w:val="1"/>
      <w:numFmt w:val="bullet"/>
      <w:lvlText w:val="§"/>
      <w:lvlJc w:val="left"/>
      <w:pPr>
        <w:ind w:left="360" w:hanging="360"/>
      </w:pPr>
      <w:rPr>
        <w:rFonts w:ascii="Wingdings" w:hAnsi="Wingdings" w:hint="default"/>
      </w:rPr>
    </w:lvl>
  </w:abstractNum>
  <w:abstractNum w:abstractNumId="19" w15:restartNumberingAfterBreak="0">
    <w:nsid w:val="0BB95893"/>
    <w:multiLevelType w:val="singleLevel"/>
    <w:tmpl w:val="A2E81C02"/>
    <w:lvl w:ilvl="0">
      <w:start w:val="1"/>
      <w:numFmt w:val="bullet"/>
      <w:lvlText w:val="§"/>
      <w:lvlJc w:val="left"/>
      <w:pPr>
        <w:ind w:left="360" w:hanging="360"/>
      </w:pPr>
      <w:rPr>
        <w:rFonts w:ascii="Wingdings" w:hAnsi="Wingdings" w:hint="default"/>
      </w:rPr>
    </w:lvl>
  </w:abstractNum>
  <w:abstractNum w:abstractNumId="20" w15:restartNumberingAfterBreak="0">
    <w:nsid w:val="0C7B69E2"/>
    <w:multiLevelType w:val="singleLevel"/>
    <w:tmpl w:val="803603AA"/>
    <w:lvl w:ilvl="0">
      <w:start w:val="1"/>
      <w:numFmt w:val="bullet"/>
      <w:lvlText w:val="§"/>
      <w:lvlJc w:val="left"/>
      <w:pPr>
        <w:ind w:left="360" w:hanging="360"/>
      </w:pPr>
      <w:rPr>
        <w:rFonts w:ascii="Wingdings" w:hAnsi="Wingdings" w:hint="default"/>
      </w:rPr>
    </w:lvl>
  </w:abstractNum>
  <w:abstractNum w:abstractNumId="21" w15:restartNumberingAfterBreak="0">
    <w:nsid w:val="0C833558"/>
    <w:multiLevelType w:val="singleLevel"/>
    <w:tmpl w:val="3DE25BBA"/>
    <w:lvl w:ilvl="0">
      <w:start w:val="1"/>
      <w:numFmt w:val="bullet"/>
      <w:lvlText w:val="§"/>
      <w:lvlJc w:val="left"/>
      <w:pPr>
        <w:ind w:left="360" w:hanging="360"/>
      </w:pPr>
      <w:rPr>
        <w:rFonts w:ascii="Wingdings" w:hAnsi="Wingdings" w:hint="default"/>
      </w:rPr>
    </w:lvl>
  </w:abstractNum>
  <w:abstractNum w:abstractNumId="22" w15:restartNumberingAfterBreak="0">
    <w:nsid w:val="0CDB6976"/>
    <w:multiLevelType w:val="singleLevel"/>
    <w:tmpl w:val="306C0602"/>
    <w:lvl w:ilvl="0">
      <w:start w:val="1"/>
      <w:numFmt w:val="bullet"/>
      <w:lvlText w:val="§"/>
      <w:lvlJc w:val="left"/>
      <w:pPr>
        <w:ind w:left="360" w:hanging="360"/>
      </w:pPr>
      <w:rPr>
        <w:rFonts w:ascii="Wingdings" w:hAnsi="Wingdings" w:hint="default"/>
      </w:rPr>
    </w:lvl>
  </w:abstractNum>
  <w:abstractNum w:abstractNumId="23" w15:restartNumberingAfterBreak="0">
    <w:nsid w:val="0CDE5C0F"/>
    <w:multiLevelType w:val="singleLevel"/>
    <w:tmpl w:val="0354216E"/>
    <w:lvl w:ilvl="0">
      <w:start w:val="1"/>
      <w:numFmt w:val="bullet"/>
      <w:lvlText w:val="§"/>
      <w:lvlJc w:val="left"/>
      <w:pPr>
        <w:ind w:left="360" w:hanging="360"/>
      </w:pPr>
      <w:rPr>
        <w:rFonts w:ascii="Wingdings" w:hAnsi="Wingdings" w:hint="default"/>
      </w:rPr>
    </w:lvl>
  </w:abstractNum>
  <w:abstractNum w:abstractNumId="24" w15:restartNumberingAfterBreak="0">
    <w:nsid w:val="0D0E15DB"/>
    <w:multiLevelType w:val="singleLevel"/>
    <w:tmpl w:val="6F2C56B6"/>
    <w:lvl w:ilvl="0">
      <w:start w:val="1"/>
      <w:numFmt w:val="bullet"/>
      <w:lvlText w:val="§"/>
      <w:lvlJc w:val="left"/>
      <w:pPr>
        <w:ind w:left="360" w:hanging="360"/>
      </w:pPr>
      <w:rPr>
        <w:rFonts w:ascii="Wingdings" w:hAnsi="Wingdings" w:hint="default"/>
      </w:rPr>
    </w:lvl>
  </w:abstractNum>
  <w:abstractNum w:abstractNumId="25" w15:restartNumberingAfterBreak="0">
    <w:nsid w:val="0D96724A"/>
    <w:multiLevelType w:val="singleLevel"/>
    <w:tmpl w:val="8D0A1DD0"/>
    <w:lvl w:ilvl="0">
      <w:start w:val="1"/>
      <w:numFmt w:val="bullet"/>
      <w:lvlText w:val="§"/>
      <w:lvlJc w:val="left"/>
      <w:pPr>
        <w:ind w:left="360" w:hanging="360"/>
      </w:pPr>
      <w:rPr>
        <w:rFonts w:ascii="Wingdings" w:hAnsi="Wingdings" w:hint="default"/>
      </w:rPr>
    </w:lvl>
  </w:abstractNum>
  <w:abstractNum w:abstractNumId="26" w15:restartNumberingAfterBreak="0">
    <w:nsid w:val="0DB2059C"/>
    <w:multiLevelType w:val="singleLevel"/>
    <w:tmpl w:val="E0C46EFE"/>
    <w:lvl w:ilvl="0">
      <w:start w:val="1"/>
      <w:numFmt w:val="bullet"/>
      <w:lvlText w:val="§"/>
      <w:lvlJc w:val="left"/>
      <w:pPr>
        <w:ind w:left="360" w:hanging="360"/>
      </w:pPr>
      <w:rPr>
        <w:rFonts w:ascii="Wingdings" w:hAnsi="Wingdings" w:hint="default"/>
      </w:rPr>
    </w:lvl>
  </w:abstractNum>
  <w:abstractNum w:abstractNumId="27" w15:restartNumberingAfterBreak="0">
    <w:nsid w:val="0F090D26"/>
    <w:multiLevelType w:val="singleLevel"/>
    <w:tmpl w:val="18B05A1A"/>
    <w:lvl w:ilvl="0">
      <w:start w:val="1"/>
      <w:numFmt w:val="bullet"/>
      <w:lvlText w:val="§"/>
      <w:lvlJc w:val="left"/>
      <w:pPr>
        <w:ind w:left="360" w:hanging="360"/>
      </w:pPr>
      <w:rPr>
        <w:rFonts w:ascii="Wingdings" w:hAnsi="Wingdings" w:hint="default"/>
      </w:rPr>
    </w:lvl>
  </w:abstractNum>
  <w:abstractNum w:abstractNumId="28" w15:restartNumberingAfterBreak="0">
    <w:nsid w:val="0F1F4243"/>
    <w:multiLevelType w:val="singleLevel"/>
    <w:tmpl w:val="9E0488E4"/>
    <w:lvl w:ilvl="0">
      <w:start w:val="1"/>
      <w:numFmt w:val="bullet"/>
      <w:lvlText w:val="§"/>
      <w:lvlJc w:val="left"/>
      <w:pPr>
        <w:ind w:left="360" w:hanging="360"/>
      </w:pPr>
      <w:rPr>
        <w:rFonts w:ascii="Wingdings" w:hAnsi="Wingdings" w:hint="default"/>
      </w:rPr>
    </w:lvl>
  </w:abstractNum>
  <w:abstractNum w:abstractNumId="29"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0FCA7745"/>
    <w:multiLevelType w:val="singleLevel"/>
    <w:tmpl w:val="D88C081C"/>
    <w:lvl w:ilvl="0">
      <w:start w:val="1"/>
      <w:numFmt w:val="bullet"/>
      <w:lvlText w:val="§"/>
      <w:lvlJc w:val="left"/>
      <w:pPr>
        <w:ind w:left="360" w:hanging="360"/>
      </w:pPr>
      <w:rPr>
        <w:rFonts w:ascii="Wingdings" w:hAnsi="Wingdings" w:hint="default"/>
      </w:rPr>
    </w:lvl>
  </w:abstractNum>
  <w:abstractNum w:abstractNumId="31" w15:restartNumberingAfterBreak="0">
    <w:nsid w:val="12380FF6"/>
    <w:multiLevelType w:val="singleLevel"/>
    <w:tmpl w:val="23F00922"/>
    <w:lvl w:ilvl="0">
      <w:start w:val="1"/>
      <w:numFmt w:val="bullet"/>
      <w:lvlText w:val="§"/>
      <w:lvlJc w:val="left"/>
      <w:pPr>
        <w:ind w:left="360" w:hanging="360"/>
      </w:pPr>
      <w:rPr>
        <w:rFonts w:ascii="Wingdings" w:hAnsi="Wingdings" w:hint="default"/>
      </w:rPr>
    </w:lvl>
  </w:abstractNum>
  <w:abstractNum w:abstractNumId="32" w15:restartNumberingAfterBreak="0">
    <w:nsid w:val="1341475F"/>
    <w:multiLevelType w:val="singleLevel"/>
    <w:tmpl w:val="B5563FFA"/>
    <w:lvl w:ilvl="0">
      <w:start w:val="1"/>
      <w:numFmt w:val="bullet"/>
      <w:lvlText w:val="§"/>
      <w:lvlJc w:val="left"/>
      <w:pPr>
        <w:ind w:left="360" w:hanging="360"/>
      </w:pPr>
      <w:rPr>
        <w:rFonts w:ascii="Wingdings" w:hAnsi="Wingdings" w:hint="default"/>
      </w:rPr>
    </w:lvl>
  </w:abstractNum>
  <w:abstractNum w:abstractNumId="33" w15:restartNumberingAfterBreak="0">
    <w:nsid w:val="13D576C9"/>
    <w:multiLevelType w:val="singleLevel"/>
    <w:tmpl w:val="98A46B68"/>
    <w:lvl w:ilvl="0">
      <w:start w:val="1"/>
      <w:numFmt w:val="bullet"/>
      <w:lvlText w:val="§"/>
      <w:lvlJc w:val="left"/>
      <w:pPr>
        <w:ind w:left="360" w:hanging="360"/>
      </w:pPr>
      <w:rPr>
        <w:rFonts w:ascii="Wingdings" w:hAnsi="Wingdings" w:hint="default"/>
      </w:rPr>
    </w:lvl>
  </w:abstractNum>
  <w:abstractNum w:abstractNumId="34"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160D1A64"/>
    <w:multiLevelType w:val="singleLevel"/>
    <w:tmpl w:val="3B3E480C"/>
    <w:lvl w:ilvl="0">
      <w:start w:val="1"/>
      <w:numFmt w:val="bullet"/>
      <w:lvlText w:val="§"/>
      <w:lvlJc w:val="left"/>
      <w:pPr>
        <w:ind w:left="360" w:hanging="360"/>
      </w:pPr>
      <w:rPr>
        <w:rFonts w:ascii="Wingdings" w:hAnsi="Wingdings" w:hint="default"/>
      </w:rPr>
    </w:lvl>
  </w:abstractNum>
  <w:abstractNum w:abstractNumId="36" w15:restartNumberingAfterBreak="0">
    <w:nsid w:val="167839A1"/>
    <w:multiLevelType w:val="hybridMultilevel"/>
    <w:tmpl w:val="44C0E17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7" w15:restartNumberingAfterBreak="0">
    <w:nsid w:val="17054C74"/>
    <w:multiLevelType w:val="singleLevel"/>
    <w:tmpl w:val="87B25FF8"/>
    <w:lvl w:ilvl="0">
      <w:start w:val="1"/>
      <w:numFmt w:val="bullet"/>
      <w:lvlText w:val="§"/>
      <w:lvlJc w:val="left"/>
      <w:pPr>
        <w:ind w:left="360" w:hanging="360"/>
      </w:pPr>
      <w:rPr>
        <w:rFonts w:ascii="Wingdings" w:hAnsi="Wingdings" w:hint="default"/>
      </w:rPr>
    </w:lvl>
  </w:abstractNum>
  <w:abstractNum w:abstractNumId="38" w15:restartNumberingAfterBreak="0">
    <w:nsid w:val="17070C26"/>
    <w:multiLevelType w:val="singleLevel"/>
    <w:tmpl w:val="6E46F150"/>
    <w:lvl w:ilvl="0">
      <w:start w:val="1"/>
      <w:numFmt w:val="bullet"/>
      <w:lvlText w:val="§"/>
      <w:lvlJc w:val="left"/>
      <w:pPr>
        <w:ind w:left="360" w:hanging="360"/>
      </w:pPr>
      <w:rPr>
        <w:rFonts w:ascii="Wingdings" w:hAnsi="Wingdings" w:hint="default"/>
      </w:rPr>
    </w:lvl>
  </w:abstractNum>
  <w:abstractNum w:abstractNumId="39" w15:restartNumberingAfterBreak="0">
    <w:nsid w:val="17164C91"/>
    <w:multiLevelType w:val="singleLevel"/>
    <w:tmpl w:val="2BA82160"/>
    <w:lvl w:ilvl="0">
      <w:start w:val="1"/>
      <w:numFmt w:val="bullet"/>
      <w:lvlText w:val="§"/>
      <w:lvlJc w:val="left"/>
      <w:pPr>
        <w:ind w:left="360" w:hanging="360"/>
      </w:pPr>
      <w:rPr>
        <w:rFonts w:ascii="Wingdings" w:hAnsi="Wingdings" w:hint="default"/>
      </w:rPr>
    </w:lvl>
  </w:abstractNum>
  <w:abstractNum w:abstractNumId="40"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1"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8BA5990"/>
    <w:multiLevelType w:val="singleLevel"/>
    <w:tmpl w:val="4ED47E44"/>
    <w:lvl w:ilvl="0">
      <w:start w:val="1"/>
      <w:numFmt w:val="bullet"/>
      <w:lvlText w:val="§"/>
      <w:lvlJc w:val="left"/>
      <w:pPr>
        <w:ind w:left="360" w:hanging="360"/>
      </w:pPr>
      <w:rPr>
        <w:rFonts w:ascii="Wingdings" w:hAnsi="Wingdings" w:hint="default"/>
      </w:rPr>
    </w:lvl>
  </w:abstractNum>
  <w:abstractNum w:abstractNumId="43"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1A295A13"/>
    <w:multiLevelType w:val="singleLevel"/>
    <w:tmpl w:val="94CCFB4E"/>
    <w:lvl w:ilvl="0">
      <w:start w:val="1"/>
      <w:numFmt w:val="bullet"/>
      <w:lvlText w:val="§"/>
      <w:lvlJc w:val="left"/>
      <w:pPr>
        <w:ind w:left="360" w:hanging="360"/>
      </w:pPr>
      <w:rPr>
        <w:rFonts w:ascii="Wingdings" w:hAnsi="Wingdings" w:hint="default"/>
      </w:rPr>
    </w:lvl>
  </w:abstractNum>
  <w:abstractNum w:abstractNumId="45" w15:restartNumberingAfterBreak="0">
    <w:nsid w:val="1A556E2E"/>
    <w:multiLevelType w:val="singleLevel"/>
    <w:tmpl w:val="4704D1AC"/>
    <w:lvl w:ilvl="0">
      <w:start w:val="1"/>
      <w:numFmt w:val="bullet"/>
      <w:lvlText w:val="§"/>
      <w:lvlJc w:val="left"/>
      <w:pPr>
        <w:ind w:left="360" w:hanging="360"/>
      </w:pPr>
      <w:rPr>
        <w:rFonts w:ascii="Wingdings" w:hAnsi="Wingdings" w:hint="default"/>
      </w:rPr>
    </w:lvl>
  </w:abstractNum>
  <w:abstractNum w:abstractNumId="46" w15:restartNumberingAfterBreak="0">
    <w:nsid w:val="1D3E0637"/>
    <w:multiLevelType w:val="singleLevel"/>
    <w:tmpl w:val="3ABC91E0"/>
    <w:lvl w:ilvl="0">
      <w:start w:val="1"/>
      <w:numFmt w:val="bullet"/>
      <w:lvlText w:val="§"/>
      <w:lvlJc w:val="left"/>
      <w:pPr>
        <w:ind w:left="360" w:hanging="360"/>
      </w:pPr>
      <w:rPr>
        <w:rFonts w:ascii="Wingdings" w:hAnsi="Wingdings" w:hint="default"/>
      </w:rPr>
    </w:lvl>
  </w:abstractNum>
  <w:abstractNum w:abstractNumId="47" w15:restartNumberingAfterBreak="0">
    <w:nsid w:val="1D58757F"/>
    <w:multiLevelType w:val="singleLevel"/>
    <w:tmpl w:val="D92E7244"/>
    <w:lvl w:ilvl="0">
      <w:start w:val="1"/>
      <w:numFmt w:val="bullet"/>
      <w:lvlText w:val="§"/>
      <w:lvlJc w:val="left"/>
      <w:pPr>
        <w:ind w:left="360" w:hanging="360"/>
      </w:pPr>
      <w:rPr>
        <w:rFonts w:ascii="Wingdings" w:hAnsi="Wingdings" w:hint="default"/>
      </w:rPr>
    </w:lvl>
  </w:abstractNum>
  <w:abstractNum w:abstractNumId="48"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49" w15:restartNumberingAfterBreak="0">
    <w:nsid w:val="1EEA29AA"/>
    <w:multiLevelType w:val="singleLevel"/>
    <w:tmpl w:val="23CCC92E"/>
    <w:lvl w:ilvl="0">
      <w:start w:val="1"/>
      <w:numFmt w:val="bullet"/>
      <w:lvlText w:val="§"/>
      <w:lvlJc w:val="left"/>
      <w:pPr>
        <w:ind w:left="360" w:hanging="360"/>
      </w:pPr>
      <w:rPr>
        <w:rFonts w:ascii="Wingdings" w:hAnsi="Wingdings" w:hint="default"/>
      </w:rPr>
    </w:lvl>
  </w:abstractNum>
  <w:abstractNum w:abstractNumId="50" w15:restartNumberingAfterBreak="0">
    <w:nsid w:val="1EEB659C"/>
    <w:multiLevelType w:val="singleLevel"/>
    <w:tmpl w:val="CB8AE502"/>
    <w:lvl w:ilvl="0">
      <w:start w:val="1"/>
      <w:numFmt w:val="bullet"/>
      <w:lvlText w:val="§"/>
      <w:lvlJc w:val="left"/>
      <w:pPr>
        <w:ind w:left="360" w:hanging="360"/>
      </w:pPr>
      <w:rPr>
        <w:rFonts w:ascii="Wingdings" w:hAnsi="Wingdings" w:hint="default"/>
      </w:rPr>
    </w:lvl>
  </w:abstractNum>
  <w:abstractNum w:abstractNumId="51" w15:restartNumberingAfterBreak="0">
    <w:nsid w:val="1F2C23A8"/>
    <w:multiLevelType w:val="singleLevel"/>
    <w:tmpl w:val="37CAA014"/>
    <w:lvl w:ilvl="0">
      <w:start w:val="1"/>
      <w:numFmt w:val="bullet"/>
      <w:lvlText w:val="§"/>
      <w:lvlJc w:val="left"/>
      <w:pPr>
        <w:ind w:left="360" w:hanging="360"/>
      </w:pPr>
      <w:rPr>
        <w:rFonts w:ascii="Wingdings" w:hAnsi="Wingdings" w:hint="default"/>
      </w:rPr>
    </w:lvl>
  </w:abstractNum>
  <w:abstractNum w:abstractNumId="52" w15:restartNumberingAfterBreak="0">
    <w:nsid w:val="1F425DDD"/>
    <w:multiLevelType w:val="singleLevel"/>
    <w:tmpl w:val="3D2E88C8"/>
    <w:lvl w:ilvl="0">
      <w:start w:val="1"/>
      <w:numFmt w:val="bullet"/>
      <w:lvlText w:val="§"/>
      <w:lvlJc w:val="left"/>
      <w:pPr>
        <w:ind w:left="360" w:hanging="360"/>
      </w:pPr>
      <w:rPr>
        <w:rFonts w:ascii="Wingdings" w:hAnsi="Wingdings" w:hint="default"/>
      </w:rPr>
    </w:lvl>
  </w:abstractNum>
  <w:abstractNum w:abstractNumId="53" w15:restartNumberingAfterBreak="0">
    <w:nsid w:val="1F552D57"/>
    <w:multiLevelType w:val="singleLevel"/>
    <w:tmpl w:val="2166B6DA"/>
    <w:lvl w:ilvl="0">
      <w:start w:val="1"/>
      <w:numFmt w:val="bullet"/>
      <w:lvlText w:val="§"/>
      <w:lvlJc w:val="left"/>
      <w:pPr>
        <w:ind w:left="360" w:hanging="360"/>
      </w:pPr>
      <w:rPr>
        <w:rFonts w:ascii="Wingdings" w:hAnsi="Wingdings" w:hint="default"/>
      </w:rPr>
    </w:lvl>
  </w:abstractNum>
  <w:abstractNum w:abstractNumId="54"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5" w15:restartNumberingAfterBreak="0">
    <w:nsid w:val="20D7227F"/>
    <w:multiLevelType w:val="singleLevel"/>
    <w:tmpl w:val="1038B9C8"/>
    <w:lvl w:ilvl="0">
      <w:start w:val="1"/>
      <w:numFmt w:val="bullet"/>
      <w:lvlText w:val="§"/>
      <w:lvlJc w:val="left"/>
      <w:pPr>
        <w:ind w:left="360" w:hanging="360"/>
      </w:pPr>
      <w:rPr>
        <w:rFonts w:ascii="Wingdings" w:hAnsi="Wingdings" w:hint="default"/>
      </w:rPr>
    </w:lvl>
  </w:abstractNum>
  <w:abstractNum w:abstractNumId="56" w15:restartNumberingAfterBreak="0">
    <w:nsid w:val="213E7AB2"/>
    <w:multiLevelType w:val="singleLevel"/>
    <w:tmpl w:val="B16ACFAC"/>
    <w:lvl w:ilvl="0">
      <w:start w:val="1"/>
      <w:numFmt w:val="bullet"/>
      <w:lvlText w:val="§"/>
      <w:lvlJc w:val="left"/>
      <w:pPr>
        <w:ind w:left="360" w:hanging="360"/>
      </w:pPr>
      <w:rPr>
        <w:rFonts w:ascii="Wingdings" w:hAnsi="Wingdings" w:hint="default"/>
      </w:rPr>
    </w:lvl>
  </w:abstractNum>
  <w:abstractNum w:abstractNumId="57" w15:restartNumberingAfterBreak="0">
    <w:nsid w:val="221371EA"/>
    <w:multiLevelType w:val="singleLevel"/>
    <w:tmpl w:val="EDBAB0A4"/>
    <w:lvl w:ilvl="0">
      <w:start w:val="1"/>
      <w:numFmt w:val="bullet"/>
      <w:lvlText w:val="§"/>
      <w:lvlJc w:val="left"/>
      <w:pPr>
        <w:ind w:left="360" w:hanging="360"/>
      </w:pPr>
      <w:rPr>
        <w:rFonts w:ascii="Wingdings" w:hAnsi="Wingdings" w:hint="default"/>
      </w:rPr>
    </w:lvl>
  </w:abstractNum>
  <w:abstractNum w:abstractNumId="58" w15:restartNumberingAfterBreak="0">
    <w:nsid w:val="23162EC4"/>
    <w:multiLevelType w:val="singleLevel"/>
    <w:tmpl w:val="822E81A2"/>
    <w:lvl w:ilvl="0">
      <w:start w:val="1"/>
      <w:numFmt w:val="bullet"/>
      <w:lvlText w:val="§"/>
      <w:lvlJc w:val="left"/>
      <w:pPr>
        <w:ind w:left="360" w:hanging="360"/>
      </w:pPr>
      <w:rPr>
        <w:rFonts w:ascii="Wingdings" w:hAnsi="Wingdings" w:hint="default"/>
      </w:rPr>
    </w:lvl>
  </w:abstractNum>
  <w:abstractNum w:abstractNumId="59" w15:restartNumberingAfterBreak="0">
    <w:nsid w:val="237501AF"/>
    <w:multiLevelType w:val="singleLevel"/>
    <w:tmpl w:val="6CB2738E"/>
    <w:lvl w:ilvl="0">
      <w:start w:val="1"/>
      <w:numFmt w:val="bullet"/>
      <w:lvlText w:val="§"/>
      <w:lvlJc w:val="left"/>
      <w:pPr>
        <w:ind w:left="360" w:hanging="360"/>
      </w:pPr>
      <w:rPr>
        <w:rFonts w:ascii="Wingdings" w:hAnsi="Wingdings" w:hint="default"/>
      </w:rPr>
    </w:lvl>
  </w:abstractNum>
  <w:abstractNum w:abstractNumId="60" w15:restartNumberingAfterBreak="0">
    <w:nsid w:val="24226C2A"/>
    <w:multiLevelType w:val="singleLevel"/>
    <w:tmpl w:val="D124D3B8"/>
    <w:lvl w:ilvl="0">
      <w:start w:val="1"/>
      <w:numFmt w:val="bullet"/>
      <w:lvlText w:val="§"/>
      <w:lvlJc w:val="left"/>
      <w:pPr>
        <w:ind w:left="360" w:hanging="360"/>
      </w:pPr>
      <w:rPr>
        <w:rFonts w:ascii="Wingdings" w:hAnsi="Wingdings" w:hint="default"/>
      </w:rPr>
    </w:lvl>
  </w:abstractNum>
  <w:abstractNum w:abstractNumId="61" w15:restartNumberingAfterBreak="0">
    <w:nsid w:val="24377B8E"/>
    <w:multiLevelType w:val="singleLevel"/>
    <w:tmpl w:val="AE16FA6A"/>
    <w:lvl w:ilvl="0">
      <w:start w:val="1"/>
      <w:numFmt w:val="bullet"/>
      <w:lvlText w:val="§"/>
      <w:lvlJc w:val="left"/>
      <w:pPr>
        <w:ind w:left="360" w:hanging="360"/>
      </w:pPr>
      <w:rPr>
        <w:rFonts w:ascii="Wingdings" w:hAnsi="Wingdings" w:hint="default"/>
      </w:rPr>
    </w:lvl>
  </w:abstractNum>
  <w:abstractNum w:abstractNumId="62"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63"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64" w15:restartNumberingAfterBreak="0">
    <w:nsid w:val="258C2538"/>
    <w:multiLevelType w:val="singleLevel"/>
    <w:tmpl w:val="F8766782"/>
    <w:lvl w:ilvl="0">
      <w:start w:val="1"/>
      <w:numFmt w:val="bullet"/>
      <w:lvlText w:val="§"/>
      <w:lvlJc w:val="left"/>
      <w:pPr>
        <w:ind w:left="360" w:hanging="360"/>
      </w:pPr>
      <w:rPr>
        <w:rFonts w:ascii="Wingdings" w:hAnsi="Wingdings" w:hint="default"/>
      </w:rPr>
    </w:lvl>
  </w:abstractNum>
  <w:abstractNum w:abstractNumId="65"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66" w15:restartNumberingAfterBreak="0">
    <w:nsid w:val="270366EC"/>
    <w:multiLevelType w:val="singleLevel"/>
    <w:tmpl w:val="60948392"/>
    <w:lvl w:ilvl="0">
      <w:start w:val="1"/>
      <w:numFmt w:val="bullet"/>
      <w:lvlText w:val="§"/>
      <w:lvlJc w:val="left"/>
      <w:pPr>
        <w:ind w:left="360" w:hanging="360"/>
      </w:pPr>
      <w:rPr>
        <w:rFonts w:ascii="Wingdings" w:hAnsi="Wingdings" w:hint="default"/>
      </w:rPr>
    </w:lvl>
  </w:abstractNum>
  <w:abstractNum w:abstractNumId="67"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8" w15:restartNumberingAfterBreak="0">
    <w:nsid w:val="27BC1F13"/>
    <w:multiLevelType w:val="singleLevel"/>
    <w:tmpl w:val="9104BA0C"/>
    <w:lvl w:ilvl="0">
      <w:start w:val="1"/>
      <w:numFmt w:val="bullet"/>
      <w:lvlText w:val="§"/>
      <w:lvlJc w:val="left"/>
      <w:pPr>
        <w:ind w:left="360" w:hanging="360"/>
      </w:pPr>
      <w:rPr>
        <w:rFonts w:ascii="Wingdings" w:hAnsi="Wingdings" w:hint="default"/>
      </w:rPr>
    </w:lvl>
  </w:abstractNum>
  <w:abstractNum w:abstractNumId="69"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286E2DA6"/>
    <w:multiLevelType w:val="singleLevel"/>
    <w:tmpl w:val="E626C68E"/>
    <w:lvl w:ilvl="0">
      <w:start w:val="1"/>
      <w:numFmt w:val="bullet"/>
      <w:lvlText w:val="§"/>
      <w:lvlJc w:val="left"/>
      <w:pPr>
        <w:ind w:left="360" w:hanging="360"/>
      </w:pPr>
      <w:rPr>
        <w:rFonts w:ascii="Wingdings" w:hAnsi="Wingdings" w:hint="default"/>
      </w:rPr>
    </w:lvl>
  </w:abstractNum>
  <w:abstractNum w:abstractNumId="71"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2" w15:restartNumberingAfterBreak="0">
    <w:nsid w:val="28D2285F"/>
    <w:multiLevelType w:val="singleLevel"/>
    <w:tmpl w:val="14C4273E"/>
    <w:lvl w:ilvl="0">
      <w:start w:val="1"/>
      <w:numFmt w:val="bullet"/>
      <w:lvlText w:val="§"/>
      <w:lvlJc w:val="left"/>
      <w:pPr>
        <w:ind w:left="360" w:hanging="360"/>
      </w:pPr>
      <w:rPr>
        <w:rFonts w:ascii="Wingdings" w:hAnsi="Wingdings" w:hint="default"/>
      </w:rPr>
    </w:lvl>
  </w:abstractNum>
  <w:abstractNum w:abstractNumId="73" w15:restartNumberingAfterBreak="0">
    <w:nsid w:val="29350DAC"/>
    <w:multiLevelType w:val="singleLevel"/>
    <w:tmpl w:val="6E04EE1E"/>
    <w:lvl w:ilvl="0">
      <w:start w:val="1"/>
      <w:numFmt w:val="bullet"/>
      <w:lvlText w:val="§"/>
      <w:lvlJc w:val="left"/>
      <w:pPr>
        <w:ind w:left="360" w:hanging="360"/>
      </w:pPr>
      <w:rPr>
        <w:rFonts w:ascii="Wingdings" w:hAnsi="Wingdings" w:hint="default"/>
      </w:rPr>
    </w:lvl>
  </w:abstractNum>
  <w:abstractNum w:abstractNumId="74" w15:restartNumberingAfterBreak="0">
    <w:nsid w:val="29A0189D"/>
    <w:multiLevelType w:val="singleLevel"/>
    <w:tmpl w:val="E19CB472"/>
    <w:lvl w:ilvl="0">
      <w:start w:val="1"/>
      <w:numFmt w:val="bullet"/>
      <w:lvlText w:val="§"/>
      <w:lvlJc w:val="left"/>
      <w:pPr>
        <w:ind w:left="360" w:hanging="360"/>
      </w:pPr>
      <w:rPr>
        <w:rFonts w:ascii="Wingdings" w:hAnsi="Wingdings" w:hint="default"/>
      </w:rPr>
    </w:lvl>
  </w:abstractNum>
  <w:abstractNum w:abstractNumId="75" w15:restartNumberingAfterBreak="0">
    <w:nsid w:val="2A7C051F"/>
    <w:multiLevelType w:val="singleLevel"/>
    <w:tmpl w:val="6A18BCD2"/>
    <w:lvl w:ilvl="0">
      <w:start w:val="1"/>
      <w:numFmt w:val="bullet"/>
      <w:lvlText w:val="§"/>
      <w:lvlJc w:val="left"/>
      <w:pPr>
        <w:ind w:left="360" w:hanging="360"/>
      </w:pPr>
      <w:rPr>
        <w:rFonts w:ascii="Wingdings" w:hAnsi="Wingdings" w:hint="default"/>
      </w:rPr>
    </w:lvl>
  </w:abstractNum>
  <w:abstractNum w:abstractNumId="76" w15:restartNumberingAfterBreak="0">
    <w:nsid w:val="2AAB16FF"/>
    <w:multiLevelType w:val="singleLevel"/>
    <w:tmpl w:val="B36A7E1E"/>
    <w:lvl w:ilvl="0">
      <w:start w:val="1"/>
      <w:numFmt w:val="bullet"/>
      <w:lvlText w:val="§"/>
      <w:lvlJc w:val="left"/>
      <w:pPr>
        <w:ind w:left="360" w:hanging="360"/>
      </w:pPr>
      <w:rPr>
        <w:rFonts w:ascii="Wingdings" w:hAnsi="Wingdings" w:hint="default"/>
      </w:rPr>
    </w:lvl>
  </w:abstractNum>
  <w:abstractNum w:abstractNumId="77" w15:restartNumberingAfterBreak="0">
    <w:nsid w:val="2AB46A22"/>
    <w:multiLevelType w:val="singleLevel"/>
    <w:tmpl w:val="EE5AA83C"/>
    <w:lvl w:ilvl="0">
      <w:start w:val="1"/>
      <w:numFmt w:val="bullet"/>
      <w:lvlText w:val="§"/>
      <w:lvlJc w:val="left"/>
      <w:pPr>
        <w:ind w:left="360" w:hanging="360"/>
      </w:pPr>
      <w:rPr>
        <w:rFonts w:ascii="Wingdings" w:hAnsi="Wingdings" w:hint="default"/>
      </w:rPr>
    </w:lvl>
  </w:abstractNum>
  <w:abstractNum w:abstractNumId="78" w15:restartNumberingAfterBreak="0">
    <w:nsid w:val="2B355787"/>
    <w:multiLevelType w:val="singleLevel"/>
    <w:tmpl w:val="1DCA19E6"/>
    <w:lvl w:ilvl="0">
      <w:start w:val="1"/>
      <w:numFmt w:val="bullet"/>
      <w:lvlText w:val="§"/>
      <w:lvlJc w:val="left"/>
      <w:pPr>
        <w:ind w:left="360" w:hanging="360"/>
      </w:pPr>
      <w:rPr>
        <w:rFonts w:ascii="Wingdings" w:hAnsi="Wingdings" w:hint="default"/>
      </w:rPr>
    </w:lvl>
  </w:abstractNum>
  <w:abstractNum w:abstractNumId="79" w15:restartNumberingAfterBreak="0">
    <w:nsid w:val="2B824FCD"/>
    <w:multiLevelType w:val="singleLevel"/>
    <w:tmpl w:val="434E6E14"/>
    <w:lvl w:ilvl="0">
      <w:start w:val="1"/>
      <w:numFmt w:val="bullet"/>
      <w:lvlText w:val="§"/>
      <w:lvlJc w:val="left"/>
      <w:pPr>
        <w:ind w:left="360" w:hanging="360"/>
      </w:pPr>
      <w:rPr>
        <w:rFonts w:ascii="Wingdings" w:hAnsi="Wingdings" w:hint="default"/>
      </w:rPr>
    </w:lvl>
  </w:abstractNum>
  <w:abstractNum w:abstractNumId="80" w15:restartNumberingAfterBreak="0">
    <w:nsid w:val="2B8A1995"/>
    <w:multiLevelType w:val="singleLevel"/>
    <w:tmpl w:val="27FE81D4"/>
    <w:lvl w:ilvl="0">
      <w:start w:val="1"/>
      <w:numFmt w:val="bullet"/>
      <w:lvlText w:val="§"/>
      <w:lvlJc w:val="left"/>
      <w:pPr>
        <w:ind w:left="360" w:hanging="360"/>
      </w:pPr>
      <w:rPr>
        <w:rFonts w:ascii="Wingdings" w:hAnsi="Wingdings" w:hint="default"/>
      </w:rPr>
    </w:lvl>
  </w:abstractNum>
  <w:abstractNum w:abstractNumId="81" w15:restartNumberingAfterBreak="0">
    <w:nsid w:val="2BD65A94"/>
    <w:multiLevelType w:val="singleLevel"/>
    <w:tmpl w:val="2D66F250"/>
    <w:lvl w:ilvl="0">
      <w:start w:val="1"/>
      <w:numFmt w:val="bullet"/>
      <w:lvlText w:val="§"/>
      <w:lvlJc w:val="left"/>
      <w:pPr>
        <w:ind w:left="360" w:hanging="360"/>
      </w:pPr>
      <w:rPr>
        <w:rFonts w:ascii="Wingdings" w:hAnsi="Wingdings" w:hint="default"/>
      </w:rPr>
    </w:lvl>
  </w:abstractNum>
  <w:abstractNum w:abstractNumId="82" w15:restartNumberingAfterBreak="0">
    <w:nsid w:val="2C4A3CC3"/>
    <w:multiLevelType w:val="singleLevel"/>
    <w:tmpl w:val="6F26A7C4"/>
    <w:lvl w:ilvl="0">
      <w:start w:val="1"/>
      <w:numFmt w:val="bullet"/>
      <w:lvlText w:val="§"/>
      <w:lvlJc w:val="left"/>
      <w:pPr>
        <w:ind w:left="360" w:hanging="360"/>
      </w:pPr>
      <w:rPr>
        <w:rFonts w:ascii="Wingdings" w:hAnsi="Wingdings" w:hint="default"/>
      </w:rPr>
    </w:lvl>
  </w:abstractNum>
  <w:abstractNum w:abstractNumId="83" w15:restartNumberingAfterBreak="0">
    <w:nsid w:val="2E1D3924"/>
    <w:multiLevelType w:val="singleLevel"/>
    <w:tmpl w:val="B9FEF0CE"/>
    <w:lvl w:ilvl="0">
      <w:start w:val="1"/>
      <w:numFmt w:val="bullet"/>
      <w:lvlText w:val="§"/>
      <w:lvlJc w:val="left"/>
      <w:pPr>
        <w:ind w:left="360" w:hanging="360"/>
      </w:pPr>
      <w:rPr>
        <w:rFonts w:ascii="Wingdings" w:hAnsi="Wingdings" w:hint="default"/>
      </w:rPr>
    </w:lvl>
  </w:abstractNum>
  <w:abstractNum w:abstractNumId="84"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85" w15:restartNumberingAfterBreak="0">
    <w:nsid w:val="2F6D132B"/>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6" w15:restartNumberingAfterBreak="0">
    <w:nsid w:val="30154736"/>
    <w:multiLevelType w:val="singleLevel"/>
    <w:tmpl w:val="2610A258"/>
    <w:lvl w:ilvl="0">
      <w:start w:val="1"/>
      <w:numFmt w:val="bullet"/>
      <w:lvlText w:val="§"/>
      <w:lvlJc w:val="left"/>
      <w:pPr>
        <w:ind w:left="360" w:hanging="360"/>
      </w:pPr>
      <w:rPr>
        <w:rFonts w:ascii="Wingdings" w:hAnsi="Wingdings" w:hint="default"/>
      </w:rPr>
    </w:lvl>
  </w:abstractNum>
  <w:abstractNum w:abstractNumId="87"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88" w15:restartNumberingAfterBreak="0">
    <w:nsid w:val="317E5AAC"/>
    <w:multiLevelType w:val="singleLevel"/>
    <w:tmpl w:val="9E1298E6"/>
    <w:lvl w:ilvl="0">
      <w:start w:val="1"/>
      <w:numFmt w:val="bullet"/>
      <w:lvlText w:val="§"/>
      <w:lvlJc w:val="left"/>
      <w:pPr>
        <w:ind w:left="360" w:hanging="360"/>
      </w:pPr>
      <w:rPr>
        <w:rFonts w:ascii="Wingdings" w:hAnsi="Wingdings" w:hint="default"/>
      </w:rPr>
    </w:lvl>
  </w:abstractNum>
  <w:abstractNum w:abstractNumId="89" w15:restartNumberingAfterBreak="0">
    <w:nsid w:val="329C598B"/>
    <w:multiLevelType w:val="singleLevel"/>
    <w:tmpl w:val="DB388FF8"/>
    <w:lvl w:ilvl="0">
      <w:start w:val="1"/>
      <w:numFmt w:val="bullet"/>
      <w:lvlText w:val="§"/>
      <w:lvlJc w:val="left"/>
      <w:pPr>
        <w:ind w:left="360" w:hanging="360"/>
      </w:pPr>
      <w:rPr>
        <w:rFonts w:ascii="Wingdings" w:hAnsi="Wingdings" w:hint="default"/>
      </w:rPr>
    </w:lvl>
  </w:abstractNum>
  <w:abstractNum w:abstractNumId="90" w15:restartNumberingAfterBreak="0">
    <w:nsid w:val="33D358F1"/>
    <w:multiLevelType w:val="singleLevel"/>
    <w:tmpl w:val="B1A0CA26"/>
    <w:lvl w:ilvl="0">
      <w:start w:val="1"/>
      <w:numFmt w:val="bullet"/>
      <w:lvlText w:val="§"/>
      <w:lvlJc w:val="left"/>
      <w:pPr>
        <w:ind w:left="360" w:hanging="360"/>
      </w:pPr>
      <w:rPr>
        <w:rFonts w:ascii="Wingdings" w:hAnsi="Wingdings" w:hint="default"/>
      </w:rPr>
    </w:lvl>
  </w:abstractNum>
  <w:abstractNum w:abstractNumId="91" w15:restartNumberingAfterBreak="0">
    <w:nsid w:val="34124644"/>
    <w:multiLevelType w:val="singleLevel"/>
    <w:tmpl w:val="DD56D866"/>
    <w:lvl w:ilvl="0">
      <w:start w:val="1"/>
      <w:numFmt w:val="bullet"/>
      <w:lvlText w:val="§"/>
      <w:lvlJc w:val="left"/>
      <w:pPr>
        <w:ind w:left="360" w:hanging="360"/>
      </w:pPr>
      <w:rPr>
        <w:rFonts w:ascii="Wingdings" w:hAnsi="Wingdings" w:hint="default"/>
      </w:rPr>
    </w:lvl>
  </w:abstractNum>
  <w:abstractNum w:abstractNumId="92" w15:restartNumberingAfterBreak="0">
    <w:nsid w:val="345324AC"/>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93" w15:restartNumberingAfterBreak="0">
    <w:nsid w:val="353905CF"/>
    <w:multiLevelType w:val="singleLevel"/>
    <w:tmpl w:val="0DEA3F5A"/>
    <w:lvl w:ilvl="0">
      <w:start w:val="1"/>
      <w:numFmt w:val="bullet"/>
      <w:lvlText w:val="§"/>
      <w:lvlJc w:val="left"/>
      <w:pPr>
        <w:ind w:left="360" w:hanging="360"/>
      </w:pPr>
      <w:rPr>
        <w:rFonts w:ascii="Wingdings" w:hAnsi="Wingdings" w:hint="default"/>
      </w:rPr>
    </w:lvl>
  </w:abstractNum>
  <w:abstractNum w:abstractNumId="94" w15:restartNumberingAfterBreak="0">
    <w:nsid w:val="3686644D"/>
    <w:multiLevelType w:val="singleLevel"/>
    <w:tmpl w:val="54385FEA"/>
    <w:lvl w:ilvl="0">
      <w:start w:val="1"/>
      <w:numFmt w:val="bullet"/>
      <w:lvlText w:val="§"/>
      <w:lvlJc w:val="left"/>
      <w:pPr>
        <w:ind w:left="360" w:hanging="360"/>
      </w:pPr>
      <w:rPr>
        <w:rFonts w:ascii="Wingdings" w:hAnsi="Wingdings" w:hint="default"/>
      </w:rPr>
    </w:lvl>
  </w:abstractNum>
  <w:abstractNum w:abstractNumId="95" w15:restartNumberingAfterBreak="0">
    <w:nsid w:val="37A0439E"/>
    <w:multiLevelType w:val="singleLevel"/>
    <w:tmpl w:val="92006EFA"/>
    <w:lvl w:ilvl="0">
      <w:start w:val="1"/>
      <w:numFmt w:val="bullet"/>
      <w:lvlText w:val="§"/>
      <w:lvlJc w:val="left"/>
      <w:pPr>
        <w:ind w:left="360" w:hanging="360"/>
      </w:pPr>
      <w:rPr>
        <w:rFonts w:ascii="Wingdings" w:hAnsi="Wingdings" w:hint="default"/>
      </w:rPr>
    </w:lvl>
  </w:abstractNum>
  <w:abstractNum w:abstractNumId="96"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37CC519D"/>
    <w:multiLevelType w:val="singleLevel"/>
    <w:tmpl w:val="8DD00164"/>
    <w:lvl w:ilvl="0">
      <w:start w:val="1"/>
      <w:numFmt w:val="bullet"/>
      <w:lvlText w:val="§"/>
      <w:lvlJc w:val="left"/>
      <w:pPr>
        <w:ind w:left="360" w:hanging="360"/>
      </w:pPr>
      <w:rPr>
        <w:rFonts w:ascii="Wingdings" w:hAnsi="Wingdings" w:hint="default"/>
      </w:rPr>
    </w:lvl>
  </w:abstractNum>
  <w:abstractNum w:abstractNumId="98" w15:restartNumberingAfterBreak="0">
    <w:nsid w:val="385721BE"/>
    <w:multiLevelType w:val="singleLevel"/>
    <w:tmpl w:val="4208967C"/>
    <w:lvl w:ilvl="0">
      <w:start w:val="1"/>
      <w:numFmt w:val="bullet"/>
      <w:lvlText w:val="§"/>
      <w:lvlJc w:val="left"/>
      <w:pPr>
        <w:ind w:left="360" w:hanging="360"/>
      </w:pPr>
      <w:rPr>
        <w:rFonts w:ascii="Wingdings" w:hAnsi="Wingdings" w:hint="default"/>
      </w:rPr>
    </w:lvl>
  </w:abstractNum>
  <w:abstractNum w:abstractNumId="99" w15:restartNumberingAfterBreak="0">
    <w:nsid w:val="391754D1"/>
    <w:multiLevelType w:val="singleLevel"/>
    <w:tmpl w:val="4C329200"/>
    <w:lvl w:ilvl="0">
      <w:start w:val="1"/>
      <w:numFmt w:val="bullet"/>
      <w:lvlText w:val="§"/>
      <w:lvlJc w:val="left"/>
      <w:pPr>
        <w:ind w:left="360" w:hanging="360"/>
      </w:pPr>
      <w:rPr>
        <w:rFonts w:ascii="Wingdings" w:hAnsi="Wingdings" w:hint="default"/>
      </w:rPr>
    </w:lvl>
  </w:abstractNum>
  <w:abstractNum w:abstractNumId="100" w15:restartNumberingAfterBreak="0">
    <w:nsid w:val="3970463F"/>
    <w:multiLevelType w:val="singleLevel"/>
    <w:tmpl w:val="657E090C"/>
    <w:lvl w:ilvl="0">
      <w:start w:val="1"/>
      <w:numFmt w:val="bullet"/>
      <w:lvlText w:val="§"/>
      <w:lvlJc w:val="left"/>
      <w:pPr>
        <w:ind w:left="360" w:hanging="360"/>
      </w:pPr>
      <w:rPr>
        <w:rFonts w:ascii="Wingdings" w:hAnsi="Wingdings" w:hint="default"/>
      </w:rPr>
    </w:lvl>
  </w:abstractNum>
  <w:abstractNum w:abstractNumId="101" w15:restartNumberingAfterBreak="0">
    <w:nsid w:val="3BC1277A"/>
    <w:multiLevelType w:val="singleLevel"/>
    <w:tmpl w:val="7FC41216"/>
    <w:lvl w:ilvl="0">
      <w:start w:val="1"/>
      <w:numFmt w:val="bullet"/>
      <w:lvlText w:val="§"/>
      <w:lvlJc w:val="left"/>
      <w:pPr>
        <w:ind w:left="360" w:hanging="360"/>
      </w:pPr>
      <w:rPr>
        <w:rFonts w:ascii="Wingdings" w:hAnsi="Wingdings" w:hint="default"/>
      </w:rPr>
    </w:lvl>
  </w:abstractNum>
  <w:abstractNum w:abstractNumId="102" w15:restartNumberingAfterBreak="0">
    <w:nsid w:val="3CB64607"/>
    <w:multiLevelType w:val="singleLevel"/>
    <w:tmpl w:val="71E02424"/>
    <w:lvl w:ilvl="0">
      <w:start w:val="1"/>
      <w:numFmt w:val="bullet"/>
      <w:lvlText w:val="§"/>
      <w:lvlJc w:val="left"/>
      <w:pPr>
        <w:ind w:left="360" w:hanging="360"/>
      </w:pPr>
      <w:rPr>
        <w:rFonts w:ascii="Wingdings" w:hAnsi="Wingdings" w:hint="default"/>
      </w:rPr>
    </w:lvl>
  </w:abstractNum>
  <w:abstractNum w:abstractNumId="103" w15:restartNumberingAfterBreak="0">
    <w:nsid w:val="3D17675D"/>
    <w:multiLevelType w:val="singleLevel"/>
    <w:tmpl w:val="73E0F040"/>
    <w:lvl w:ilvl="0">
      <w:start w:val="1"/>
      <w:numFmt w:val="bullet"/>
      <w:lvlText w:val="§"/>
      <w:lvlJc w:val="left"/>
      <w:pPr>
        <w:ind w:left="360" w:hanging="360"/>
      </w:pPr>
      <w:rPr>
        <w:rFonts w:ascii="Wingdings" w:hAnsi="Wingdings" w:hint="default"/>
      </w:rPr>
    </w:lvl>
  </w:abstractNum>
  <w:abstractNum w:abstractNumId="104" w15:restartNumberingAfterBreak="0">
    <w:nsid w:val="3DA232F0"/>
    <w:multiLevelType w:val="singleLevel"/>
    <w:tmpl w:val="AD54DB26"/>
    <w:lvl w:ilvl="0">
      <w:start w:val="1"/>
      <w:numFmt w:val="bullet"/>
      <w:lvlText w:val="§"/>
      <w:lvlJc w:val="left"/>
      <w:pPr>
        <w:ind w:left="360" w:hanging="360"/>
      </w:pPr>
      <w:rPr>
        <w:rFonts w:ascii="Wingdings" w:hAnsi="Wingdings" w:hint="default"/>
      </w:rPr>
    </w:lvl>
  </w:abstractNum>
  <w:abstractNum w:abstractNumId="105" w15:restartNumberingAfterBreak="0">
    <w:nsid w:val="3E404D09"/>
    <w:multiLevelType w:val="singleLevel"/>
    <w:tmpl w:val="52DE973A"/>
    <w:lvl w:ilvl="0">
      <w:start w:val="1"/>
      <w:numFmt w:val="bullet"/>
      <w:lvlText w:val="§"/>
      <w:lvlJc w:val="left"/>
      <w:pPr>
        <w:ind w:left="360" w:hanging="360"/>
      </w:pPr>
      <w:rPr>
        <w:rFonts w:ascii="Wingdings" w:hAnsi="Wingdings" w:hint="default"/>
      </w:rPr>
    </w:lvl>
  </w:abstractNum>
  <w:abstractNum w:abstractNumId="106" w15:restartNumberingAfterBreak="0">
    <w:nsid w:val="3FAD066C"/>
    <w:multiLevelType w:val="singleLevel"/>
    <w:tmpl w:val="307EB2FA"/>
    <w:lvl w:ilvl="0">
      <w:start w:val="1"/>
      <w:numFmt w:val="bullet"/>
      <w:lvlText w:val="§"/>
      <w:lvlJc w:val="left"/>
      <w:pPr>
        <w:ind w:left="360" w:hanging="360"/>
      </w:pPr>
      <w:rPr>
        <w:rFonts w:ascii="Wingdings" w:hAnsi="Wingdings" w:hint="default"/>
      </w:rPr>
    </w:lvl>
  </w:abstractNum>
  <w:abstractNum w:abstractNumId="107" w15:restartNumberingAfterBreak="0">
    <w:nsid w:val="3FF71B34"/>
    <w:multiLevelType w:val="singleLevel"/>
    <w:tmpl w:val="BD5C0528"/>
    <w:lvl w:ilvl="0">
      <w:start w:val="1"/>
      <w:numFmt w:val="bullet"/>
      <w:lvlText w:val="§"/>
      <w:lvlJc w:val="left"/>
      <w:pPr>
        <w:ind w:left="360" w:hanging="360"/>
      </w:pPr>
      <w:rPr>
        <w:rFonts w:ascii="Wingdings" w:hAnsi="Wingdings" w:hint="default"/>
      </w:rPr>
    </w:lvl>
  </w:abstractNum>
  <w:abstractNum w:abstractNumId="108" w15:restartNumberingAfterBreak="0">
    <w:nsid w:val="402C1723"/>
    <w:multiLevelType w:val="hybridMultilevel"/>
    <w:tmpl w:val="AC1881CE"/>
    <w:lvl w:ilvl="0" w:tplc="04090019">
      <w:start w:val="1"/>
      <w:numFmt w:val="decimal"/>
      <w:lvlText w:val="%1."/>
      <w:lvlJc w:val="left"/>
      <w:pPr>
        <w:ind w:left="360" w:hanging="360"/>
      </w:pPr>
      <w:rPr>
        <w:i w:val="0"/>
        <w:iCs/>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9" w15:restartNumberingAfterBreak="0">
    <w:nsid w:val="41005BA3"/>
    <w:multiLevelType w:val="singleLevel"/>
    <w:tmpl w:val="9A986196"/>
    <w:lvl w:ilvl="0">
      <w:start w:val="1"/>
      <w:numFmt w:val="bullet"/>
      <w:lvlText w:val="§"/>
      <w:lvlJc w:val="left"/>
      <w:pPr>
        <w:ind w:left="360" w:hanging="360"/>
      </w:pPr>
      <w:rPr>
        <w:rFonts w:ascii="Wingdings" w:hAnsi="Wingdings" w:hint="default"/>
      </w:rPr>
    </w:lvl>
  </w:abstractNum>
  <w:abstractNum w:abstractNumId="110" w15:restartNumberingAfterBreak="0">
    <w:nsid w:val="413D0F68"/>
    <w:multiLevelType w:val="singleLevel"/>
    <w:tmpl w:val="78D4CBAC"/>
    <w:lvl w:ilvl="0">
      <w:start w:val="1"/>
      <w:numFmt w:val="bullet"/>
      <w:lvlText w:val="§"/>
      <w:lvlJc w:val="left"/>
      <w:pPr>
        <w:ind w:left="360" w:hanging="360"/>
      </w:pPr>
      <w:rPr>
        <w:rFonts w:ascii="Wingdings" w:hAnsi="Wingdings" w:hint="default"/>
      </w:rPr>
    </w:lvl>
  </w:abstractNum>
  <w:abstractNum w:abstractNumId="111"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42BB3E15"/>
    <w:multiLevelType w:val="singleLevel"/>
    <w:tmpl w:val="B9EAF272"/>
    <w:lvl w:ilvl="0">
      <w:start w:val="1"/>
      <w:numFmt w:val="bullet"/>
      <w:lvlText w:val="§"/>
      <w:lvlJc w:val="left"/>
      <w:pPr>
        <w:ind w:left="360" w:hanging="360"/>
      </w:pPr>
      <w:rPr>
        <w:rFonts w:ascii="Wingdings" w:hAnsi="Wingdings" w:hint="default"/>
      </w:rPr>
    </w:lvl>
  </w:abstractNum>
  <w:abstractNum w:abstractNumId="114" w15:restartNumberingAfterBreak="0">
    <w:nsid w:val="43D57FDC"/>
    <w:multiLevelType w:val="singleLevel"/>
    <w:tmpl w:val="0338BDE2"/>
    <w:lvl w:ilvl="0">
      <w:start w:val="1"/>
      <w:numFmt w:val="bullet"/>
      <w:lvlText w:val="§"/>
      <w:lvlJc w:val="left"/>
      <w:pPr>
        <w:ind w:left="360" w:hanging="360"/>
      </w:pPr>
      <w:rPr>
        <w:rFonts w:ascii="Wingdings" w:hAnsi="Wingdings" w:hint="default"/>
      </w:rPr>
    </w:lvl>
  </w:abstractNum>
  <w:abstractNum w:abstractNumId="115" w15:restartNumberingAfterBreak="0">
    <w:nsid w:val="441C1F3C"/>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16" w15:restartNumberingAfterBreak="0">
    <w:nsid w:val="444F4A0D"/>
    <w:multiLevelType w:val="singleLevel"/>
    <w:tmpl w:val="54CEC32C"/>
    <w:lvl w:ilvl="0">
      <w:start w:val="1"/>
      <w:numFmt w:val="bullet"/>
      <w:lvlText w:val="§"/>
      <w:lvlJc w:val="left"/>
      <w:pPr>
        <w:ind w:left="360" w:hanging="360"/>
      </w:pPr>
      <w:rPr>
        <w:rFonts w:ascii="Wingdings" w:hAnsi="Wingdings" w:hint="default"/>
      </w:rPr>
    </w:lvl>
  </w:abstractNum>
  <w:abstractNum w:abstractNumId="117" w15:restartNumberingAfterBreak="0">
    <w:nsid w:val="4489738E"/>
    <w:multiLevelType w:val="singleLevel"/>
    <w:tmpl w:val="9BAED6A2"/>
    <w:lvl w:ilvl="0">
      <w:start w:val="1"/>
      <w:numFmt w:val="bullet"/>
      <w:lvlText w:val="§"/>
      <w:lvlJc w:val="left"/>
      <w:pPr>
        <w:ind w:left="360" w:hanging="360"/>
      </w:pPr>
      <w:rPr>
        <w:rFonts w:ascii="Wingdings" w:hAnsi="Wingdings" w:hint="default"/>
      </w:rPr>
    </w:lvl>
  </w:abstractNum>
  <w:abstractNum w:abstractNumId="118" w15:restartNumberingAfterBreak="0">
    <w:nsid w:val="455B64FF"/>
    <w:multiLevelType w:val="singleLevel"/>
    <w:tmpl w:val="9F4A477A"/>
    <w:lvl w:ilvl="0">
      <w:start w:val="1"/>
      <w:numFmt w:val="bullet"/>
      <w:lvlText w:val="§"/>
      <w:lvlJc w:val="left"/>
      <w:pPr>
        <w:ind w:left="360" w:hanging="360"/>
      </w:pPr>
      <w:rPr>
        <w:rFonts w:ascii="Wingdings" w:hAnsi="Wingdings" w:hint="default"/>
      </w:rPr>
    </w:lvl>
  </w:abstractNum>
  <w:abstractNum w:abstractNumId="119" w15:restartNumberingAfterBreak="0">
    <w:nsid w:val="45BA2B14"/>
    <w:multiLevelType w:val="hybridMultilevel"/>
    <w:tmpl w:val="3C32B9D0"/>
    <w:lvl w:ilvl="0" w:tplc="04090019">
      <w:start w:val="1"/>
      <w:numFmt w:val="decimal"/>
      <w:lvlText w:val="%1."/>
      <w:lvlJc w:val="left"/>
      <w:pPr>
        <w:ind w:left="360" w:hanging="360"/>
      </w:pPr>
      <w:rPr>
        <w:rFonts w:hint="default"/>
        <w:i w:val="0"/>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0"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15:restartNumberingAfterBreak="0">
    <w:nsid w:val="461143D1"/>
    <w:multiLevelType w:val="singleLevel"/>
    <w:tmpl w:val="CBE810B0"/>
    <w:lvl w:ilvl="0">
      <w:start w:val="1"/>
      <w:numFmt w:val="bullet"/>
      <w:lvlText w:val="§"/>
      <w:lvlJc w:val="left"/>
      <w:pPr>
        <w:ind w:left="360" w:hanging="360"/>
      </w:pPr>
      <w:rPr>
        <w:rFonts w:ascii="Wingdings" w:hAnsi="Wingdings" w:hint="default"/>
      </w:rPr>
    </w:lvl>
  </w:abstractNum>
  <w:abstractNum w:abstractNumId="122" w15:restartNumberingAfterBreak="0">
    <w:nsid w:val="466D0202"/>
    <w:multiLevelType w:val="hybridMultilevel"/>
    <w:tmpl w:val="AAE82432"/>
    <w:lvl w:ilvl="0" w:tplc="04090019">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3" w15:restartNumberingAfterBreak="0">
    <w:nsid w:val="46B1346B"/>
    <w:multiLevelType w:val="singleLevel"/>
    <w:tmpl w:val="62748B38"/>
    <w:lvl w:ilvl="0">
      <w:start w:val="1"/>
      <w:numFmt w:val="bullet"/>
      <w:lvlText w:val="§"/>
      <w:lvlJc w:val="left"/>
      <w:pPr>
        <w:ind w:left="360" w:hanging="360"/>
      </w:pPr>
      <w:rPr>
        <w:rFonts w:ascii="Wingdings" w:hAnsi="Wingdings" w:hint="default"/>
      </w:rPr>
    </w:lvl>
  </w:abstractNum>
  <w:abstractNum w:abstractNumId="124"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5" w15:restartNumberingAfterBreak="0">
    <w:nsid w:val="48C03E05"/>
    <w:multiLevelType w:val="singleLevel"/>
    <w:tmpl w:val="055C00F6"/>
    <w:lvl w:ilvl="0">
      <w:start w:val="1"/>
      <w:numFmt w:val="bullet"/>
      <w:lvlText w:val="§"/>
      <w:lvlJc w:val="left"/>
      <w:pPr>
        <w:ind w:left="360" w:hanging="360"/>
      </w:pPr>
      <w:rPr>
        <w:rFonts w:ascii="Wingdings" w:hAnsi="Wingdings" w:hint="default"/>
      </w:rPr>
    </w:lvl>
  </w:abstractNum>
  <w:abstractNum w:abstractNumId="126" w15:restartNumberingAfterBreak="0">
    <w:nsid w:val="48E52F19"/>
    <w:multiLevelType w:val="singleLevel"/>
    <w:tmpl w:val="42820578"/>
    <w:lvl w:ilvl="0">
      <w:start w:val="1"/>
      <w:numFmt w:val="bullet"/>
      <w:lvlText w:val="§"/>
      <w:lvlJc w:val="left"/>
      <w:pPr>
        <w:ind w:left="360" w:hanging="360"/>
      </w:pPr>
      <w:rPr>
        <w:rFonts w:ascii="Wingdings" w:hAnsi="Wingdings" w:hint="default"/>
      </w:rPr>
    </w:lvl>
  </w:abstractNum>
  <w:abstractNum w:abstractNumId="127" w15:restartNumberingAfterBreak="0">
    <w:nsid w:val="492973F6"/>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28" w15:restartNumberingAfterBreak="0">
    <w:nsid w:val="49E11307"/>
    <w:multiLevelType w:val="singleLevel"/>
    <w:tmpl w:val="2BC4694E"/>
    <w:lvl w:ilvl="0">
      <w:start w:val="1"/>
      <w:numFmt w:val="bullet"/>
      <w:lvlText w:val="§"/>
      <w:lvlJc w:val="left"/>
      <w:pPr>
        <w:ind w:left="360" w:hanging="360"/>
      </w:pPr>
      <w:rPr>
        <w:rFonts w:ascii="Wingdings" w:hAnsi="Wingdings" w:hint="default"/>
      </w:rPr>
    </w:lvl>
  </w:abstractNum>
  <w:abstractNum w:abstractNumId="129" w15:restartNumberingAfterBreak="0">
    <w:nsid w:val="4A113076"/>
    <w:multiLevelType w:val="singleLevel"/>
    <w:tmpl w:val="A1AE179A"/>
    <w:lvl w:ilvl="0">
      <w:start w:val="1"/>
      <w:numFmt w:val="bullet"/>
      <w:lvlText w:val="§"/>
      <w:lvlJc w:val="left"/>
      <w:pPr>
        <w:ind w:left="360" w:hanging="360"/>
      </w:pPr>
      <w:rPr>
        <w:rFonts w:ascii="Wingdings" w:hAnsi="Wingdings" w:hint="default"/>
      </w:rPr>
    </w:lvl>
  </w:abstractNum>
  <w:abstractNum w:abstractNumId="130" w15:restartNumberingAfterBreak="0">
    <w:nsid w:val="4B262E06"/>
    <w:multiLevelType w:val="singleLevel"/>
    <w:tmpl w:val="9118AFCE"/>
    <w:lvl w:ilvl="0">
      <w:start w:val="1"/>
      <w:numFmt w:val="bullet"/>
      <w:lvlText w:val="§"/>
      <w:lvlJc w:val="left"/>
      <w:pPr>
        <w:ind w:left="360" w:hanging="360"/>
      </w:pPr>
      <w:rPr>
        <w:rFonts w:ascii="Wingdings" w:hAnsi="Wingdings" w:hint="default"/>
      </w:rPr>
    </w:lvl>
  </w:abstractNum>
  <w:abstractNum w:abstractNumId="131" w15:restartNumberingAfterBreak="0">
    <w:nsid w:val="4BFB1084"/>
    <w:multiLevelType w:val="singleLevel"/>
    <w:tmpl w:val="96164456"/>
    <w:lvl w:ilvl="0">
      <w:start w:val="1"/>
      <w:numFmt w:val="bullet"/>
      <w:lvlText w:val="§"/>
      <w:lvlJc w:val="left"/>
      <w:pPr>
        <w:ind w:left="360" w:hanging="360"/>
      </w:pPr>
      <w:rPr>
        <w:rFonts w:ascii="Wingdings" w:hAnsi="Wingdings" w:hint="default"/>
      </w:rPr>
    </w:lvl>
  </w:abstractNum>
  <w:abstractNum w:abstractNumId="132" w15:restartNumberingAfterBreak="0">
    <w:nsid w:val="4C367A4A"/>
    <w:multiLevelType w:val="singleLevel"/>
    <w:tmpl w:val="8E3628D6"/>
    <w:lvl w:ilvl="0">
      <w:start w:val="1"/>
      <w:numFmt w:val="bullet"/>
      <w:lvlText w:val="§"/>
      <w:lvlJc w:val="left"/>
      <w:pPr>
        <w:ind w:left="360" w:hanging="360"/>
      </w:pPr>
      <w:rPr>
        <w:rFonts w:ascii="Wingdings" w:hAnsi="Wingdings" w:hint="default"/>
      </w:rPr>
    </w:lvl>
  </w:abstractNum>
  <w:abstractNum w:abstractNumId="133" w15:restartNumberingAfterBreak="0">
    <w:nsid w:val="4C8E3298"/>
    <w:multiLevelType w:val="singleLevel"/>
    <w:tmpl w:val="75C80A06"/>
    <w:lvl w:ilvl="0">
      <w:start w:val="1"/>
      <w:numFmt w:val="bullet"/>
      <w:lvlText w:val="§"/>
      <w:lvlJc w:val="left"/>
      <w:pPr>
        <w:ind w:left="360" w:hanging="360"/>
      </w:pPr>
      <w:rPr>
        <w:rFonts w:ascii="Wingdings" w:hAnsi="Wingdings" w:hint="default"/>
      </w:rPr>
    </w:lvl>
  </w:abstractNum>
  <w:abstractNum w:abstractNumId="134" w15:restartNumberingAfterBreak="0">
    <w:nsid w:val="4CC578C2"/>
    <w:multiLevelType w:val="singleLevel"/>
    <w:tmpl w:val="FFE2122C"/>
    <w:lvl w:ilvl="0">
      <w:start w:val="1"/>
      <w:numFmt w:val="bullet"/>
      <w:lvlText w:val="§"/>
      <w:lvlJc w:val="left"/>
      <w:pPr>
        <w:ind w:left="360" w:hanging="360"/>
      </w:pPr>
      <w:rPr>
        <w:rFonts w:ascii="Wingdings" w:hAnsi="Wingdings" w:hint="default"/>
      </w:rPr>
    </w:lvl>
  </w:abstractNum>
  <w:abstractNum w:abstractNumId="135" w15:restartNumberingAfterBreak="0">
    <w:nsid w:val="4D7E19A7"/>
    <w:multiLevelType w:val="singleLevel"/>
    <w:tmpl w:val="B7B4E31C"/>
    <w:lvl w:ilvl="0">
      <w:start w:val="1"/>
      <w:numFmt w:val="bullet"/>
      <w:lvlText w:val="§"/>
      <w:lvlJc w:val="left"/>
      <w:pPr>
        <w:ind w:left="360" w:hanging="360"/>
      </w:pPr>
      <w:rPr>
        <w:rFonts w:ascii="Wingdings" w:hAnsi="Wingdings" w:hint="default"/>
      </w:rPr>
    </w:lvl>
  </w:abstractNum>
  <w:abstractNum w:abstractNumId="136" w15:restartNumberingAfterBreak="0">
    <w:nsid w:val="4DB1344A"/>
    <w:multiLevelType w:val="singleLevel"/>
    <w:tmpl w:val="73C60034"/>
    <w:lvl w:ilvl="0">
      <w:start w:val="1"/>
      <w:numFmt w:val="bullet"/>
      <w:lvlText w:val="§"/>
      <w:lvlJc w:val="left"/>
      <w:pPr>
        <w:ind w:left="360" w:hanging="360"/>
      </w:pPr>
      <w:rPr>
        <w:rFonts w:ascii="Wingdings" w:hAnsi="Wingdings" w:hint="default"/>
      </w:rPr>
    </w:lvl>
  </w:abstractNum>
  <w:abstractNum w:abstractNumId="137" w15:restartNumberingAfterBreak="0">
    <w:nsid w:val="4E084B10"/>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38" w15:restartNumberingAfterBreak="0">
    <w:nsid w:val="4E2C2E9D"/>
    <w:multiLevelType w:val="singleLevel"/>
    <w:tmpl w:val="FB5A65DE"/>
    <w:lvl w:ilvl="0">
      <w:start w:val="1"/>
      <w:numFmt w:val="bullet"/>
      <w:lvlText w:val="§"/>
      <w:lvlJc w:val="left"/>
      <w:pPr>
        <w:ind w:left="360" w:hanging="360"/>
      </w:pPr>
      <w:rPr>
        <w:rFonts w:ascii="Wingdings" w:hAnsi="Wingdings" w:hint="default"/>
      </w:rPr>
    </w:lvl>
  </w:abstractNum>
  <w:abstractNum w:abstractNumId="139" w15:restartNumberingAfterBreak="0">
    <w:nsid w:val="4EEC7CDC"/>
    <w:multiLevelType w:val="singleLevel"/>
    <w:tmpl w:val="90C08FC4"/>
    <w:lvl w:ilvl="0">
      <w:start w:val="1"/>
      <w:numFmt w:val="bullet"/>
      <w:lvlText w:val="§"/>
      <w:lvlJc w:val="left"/>
      <w:pPr>
        <w:ind w:left="360" w:hanging="360"/>
      </w:pPr>
      <w:rPr>
        <w:rFonts w:ascii="Wingdings" w:hAnsi="Wingdings" w:hint="default"/>
      </w:rPr>
    </w:lvl>
  </w:abstractNum>
  <w:abstractNum w:abstractNumId="140" w15:restartNumberingAfterBreak="0">
    <w:nsid w:val="4F972091"/>
    <w:multiLevelType w:val="singleLevel"/>
    <w:tmpl w:val="12F0E8DA"/>
    <w:lvl w:ilvl="0">
      <w:start w:val="1"/>
      <w:numFmt w:val="bullet"/>
      <w:lvlText w:val="§"/>
      <w:lvlJc w:val="left"/>
      <w:pPr>
        <w:ind w:left="360" w:hanging="360"/>
      </w:pPr>
      <w:rPr>
        <w:rFonts w:ascii="Wingdings" w:hAnsi="Wingdings" w:hint="default"/>
      </w:rPr>
    </w:lvl>
  </w:abstractNum>
  <w:abstractNum w:abstractNumId="141" w15:restartNumberingAfterBreak="0">
    <w:nsid w:val="4FCE5D32"/>
    <w:multiLevelType w:val="singleLevel"/>
    <w:tmpl w:val="458214CE"/>
    <w:lvl w:ilvl="0">
      <w:start w:val="1"/>
      <w:numFmt w:val="bullet"/>
      <w:lvlText w:val="§"/>
      <w:lvlJc w:val="left"/>
      <w:pPr>
        <w:ind w:left="360" w:hanging="360"/>
      </w:pPr>
      <w:rPr>
        <w:rFonts w:ascii="Wingdings" w:hAnsi="Wingdings" w:hint="default"/>
      </w:rPr>
    </w:lvl>
  </w:abstractNum>
  <w:abstractNum w:abstractNumId="142" w15:restartNumberingAfterBreak="0">
    <w:nsid w:val="5002178D"/>
    <w:multiLevelType w:val="singleLevel"/>
    <w:tmpl w:val="79820A7E"/>
    <w:lvl w:ilvl="0">
      <w:start w:val="1"/>
      <w:numFmt w:val="bullet"/>
      <w:lvlText w:val="§"/>
      <w:lvlJc w:val="left"/>
      <w:pPr>
        <w:ind w:left="360" w:hanging="360"/>
      </w:pPr>
      <w:rPr>
        <w:rFonts w:ascii="Wingdings" w:hAnsi="Wingdings" w:hint="default"/>
      </w:rPr>
    </w:lvl>
  </w:abstractNum>
  <w:abstractNum w:abstractNumId="143" w15:restartNumberingAfterBreak="0">
    <w:nsid w:val="50371415"/>
    <w:multiLevelType w:val="singleLevel"/>
    <w:tmpl w:val="4FE0A722"/>
    <w:lvl w:ilvl="0">
      <w:start w:val="1"/>
      <w:numFmt w:val="bullet"/>
      <w:lvlText w:val="§"/>
      <w:lvlJc w:val="left"/>
      <w:pPr>
        <w:ind w:left="360" w:hanging="360"/>
      </w:pPr>
      <w:rPr>
        <w:rFonts w:ascii="Wingdings" w:hAnsi="Wingdings" w:hint="default"/>
      </w:rPr>
    </w:lvl>
  </w:abstractNum>
  <w:abstractNum w:abstractNumId="144" w15:restartNumberingAfterBreak="0">
    <w:nsid w:val="504D54DB"/>
    <w:multiLevelType w:val="singleLevel"/>
    <w:tmpl w:val="5776A1E2"/>
    <w:lvl w:ilvl="0">
      <w:start w:val="1"/>
      <w:numFmt w:val="bullet"/>
      <w:lvlText w:val="§"/>
      <w:lvlJc w:val="left"/>
      <w:pPr>
        <w:ind w:left="360" w:hanging="360"/>
      </w:pPr>
      <w:rPr>
        <w:rFonts w:ascii="Wingdings" w:hAnsi="Wingdings" w:hint="default"/>
      </w:rPr>
    </w:lvl>
  </w:abstractNum>
  <w:abstractNum w:abstractNumId="145" w15:restartNumberingAfterBreak="0">
    <w:nsid w:val="50FE734A"/>
    <w:multiLevelType w:val="singleLevel"/>
    <w:tmpl w:val="3DE4B57A"/>
    <w:lvl w:ilvl="0">
      <w:start w:val="1"/>
      <w:numFmt w:val="bullet"/>
      <w:lvlText w:val="§"/>
      <w:lvlJc w:val="left"/>
      <w:pPr>
        <w:ind w:left="360" w:hanging="360"/>
      </w:pPr>
      <w:rPr>
        <w:rFonts w:ascii="Wingdings" w:hAnsi="Wingdings" w:hint="default"/>
      </w:rPr>
    </w:lvl>
  </w:abstractNum>
  <w:abstractNum w:abstractNumId="146" w15:restartNumberingAfterBreak="0">
    <w:nsid w:val="51572D14"/>
    <w:multiLevelType w:val="singleLevel"/>
    <w:tmpl w:val="26E8E95A"/>
    <w:lvl w:ilvl="0">
      <w:start w:val="1"/>
      <w:numFmt w:val="bullet"/>
      <w:lvlText w:val="§"/>
      <w:lvlJc w:val="left"/>
      <w:pPr>
        <w:ind w:left="360" w:hanging="360"/>
      </w:pPr>
      <w:rPr>
        <w:rFonts w:ascii="Wingdings" w:hAnsi="Wingdings" w:hint="default"/>
      </w:rPr>
    </w:lvl>
  </w:abstractNum>
  <w:abstractNum w:abstractNumId="147" w15:restartNumberingAfterBreak="0">
    <w:nsid w:val="515F7042"/>
    <w:multiLevelType w:val="singleLevel"/>
    <w:tmpl w:val="B8C62A4C"/>
    <w:lvl w:ilvl="0">
      <w:start w:val="1"/>
      <w:numFmt w:val="bullet"/>
      <w:lvlText w:val="§"/>
      <w:lvlJc w:val="left"/>
      <w:pPr>
        <w:ind w:left="360" w:hanging="360"/>
      </w:pPr>
      <w:rPr>
        <w:rFonts w:ascii="Wingdings" w:hAnsi="Wingdings" w:hint="default"/>
      </w:rPr>
    </w:lvl>
  </w:abstractNum>
  <w:abstractNum w:abstractNumId="148" w15:restartNumberingAfterBreak="0">
    <w:nsid w:val="531B6CA7"/>
    <w:multiLevelType w:val="singleLevel"/>
    <w:tmpl w:val="245A121A"/>
    <w:lvl w:ilvl="0">
      <w:start w:val="1"/>
      <w:numFmt w:val="bullet"/>
      <w:lvlText w:val="§"/>
      <w:lvlJc w:val="left"/>
      <w:pPr>
        <w:ind w:left="360" w:hanging="360"/>
      </w:pPr>
      <w:rPr>
        <w:rFonts w:ascii="Wingdings" w:hAnsi="Wingdings" w:hint="default"/>
      </w:rPr>
    </w:lvl>
  </w:abstractNum>
  <w:abstractNum w:abstractNumId="149"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0" w15:restartNumberingAfterBreak="0">
    <w:nsid w:val="54C71BD1"/>
    <w:multiLevelType w:val="hybridMultilevel"/>
    <w:tmpl w:val="5A2A664C"/>
    <w:lvl w:ilvl="0" w:tplc="04090019">
      <w:start w:val="1"/>
      <w:numFmt w:val="decimal"/>
      <w:lvlText w:val="%1."/>
      <w:lvlJc w:val="left"/>
      <w:pPr>
        <w:ind w:left="360" w:hanging="360"/>
      </w:pPr>
      <w:rPr>
        <w:rFonts w:hint="default"/>
        <w:i w:val="0"/>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51" w15:restartNumberingAfterBreak="0">
    <w:nsid w:val="5559108D"/>
    <w:multiLevelType w:val="singleLevel"/>
    <w:tmpl w:val="4B741A8A"/>
    <w:lvl w:ilvl="0">
      <w:start w:val="1"/>
      <w:numFmt w:val="bullet"/>
      <w:lvlText w:val="§"/>
      <w:lvlJc w:val="left"/>
      <w:pPr>
        <w:ind w:left="360" w:hanging="360"/>
      </w:pPr>
      <w:rPr>
        <w:rFonts w:ascii="Wingdings" w:hAnsi="Wingdings" w:hint="default"/>
      </w:rPr>
    </w:lvl>
  </w:abstractNum>
  <w:abstractNum w:abstractNumId="152" w15:restartNumberingAfterBreak="0">
    <w:nsid w:val="56344342"/>
    <w:multiLevelType w:val="singleLevel"/>
    <w:tmpl w:val="DEE6DCF0"/>
    <w:lvl w:ilvl="0">
      <w:start w:val="1"/>
      <w:numFmt w:val="bullet"/>
      <w:lvlText w:val="§"/>
      <w:lvlJc w:val="left"/>
      <w:pPr>
        <w:ind w:left="360" w:hanging="360"/>
      </w:pPr>
      <w:rPr>
        <w:rFonts w:ascii="Wingdings" w:hAnsi="Wingdings" w:hint="default"/>
      </w:rPr>
    </w:lvl>
  </w:abstractNum>
  <w:abstractNum w:abstractNumId="153" w15:restartNumberingAfterBreak="0">
    <w:nsid w:val="564D17E9"/>
    <w:multiLevelType w:val="singleLevel"/>
    <w:tmpl w:val="F7D42092"/>
    <w:lvl w:ilvl="0">
      <w:start w:val="1"/>
      <w:numFmt w:val="bullet"/>
      <w:lvlText w:val="§"/>
      <w:lvlJc w:val="left"/>
      <w:pPr>
        <w:ind w:left="360" w:hanging="360"/>
      </w:pPr>
      <w:rPr>
        <w:rFonts w:ascii="Wingdings" w:hAnsi="Wingdings" w:hint="default"/>
      </w:rPr>
    </w:lvl>
  </w:abstractNum>
  <w:abstractNum w:abstractNumId="154" w15:restartNumberingAfterBreak="0">
    <w:nsid w:val="5670512C"/>
    <w:multiLevelType w:val="singleLevel"/>
    <w:tmpl w:val="A710A97A"/>
    <w:lvl w:ilvl="0">
      <w:start w:val="1"/>
      <w:numFmt w:val="bullet"/>
      <w:lvlText w:val="§"/>
      <w:lvlJc w:val="left"/>
      <w:pPr>
        <w:ind w:left="360" w:hanging="360"/>
      </w:pPr>
      <w:rPr>
        <w:rFonts w:ascii="Wingdings" w:hAnsi="Wingdings" w:hint="default"/>
      </w:rPr>
    </w:lvl>
  </w:abstractNum>
  <w:abstractNum w:abstractNumId="155" w15:restartNumberingAfterBreak="0">
    <w:nsid w:val="57481CA9"/>
    <w:multiLevelType w:val="singleLevel"/>
    <w:tmpl w:val="513E2356"/>
    <w:lvl w:ilvl="0">
      <w:start w:val="1"/>
      <w:numFmt w:val="bullet"/>
      <w:lvlText w:val="§"/>
      <w:lvlJc w:val="left"/>
      <w:pPr>
        <w:ind w:left="360" w:hanging="360"/>
      </w:pPr>
      <w:rPr>
        <w:rFonts w:ascii="Wingdings" w:hAnsi="Wingdings" w:hint="default"/>
      </w:rPr>
    </w:lvl>
  </w:abstractNum>
  <w:abstractNum w:abstractNumId="156"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157" w15:restartNumberingAfterBreak="0">
    <w:nsid w:val="58087FD3"/>
    <w:multiLevelType w:val="singleLevel"/>
    <w:tmpl w:val="349A6D18"/>
    <w:lvl w:ilvl="0">
      <w:start w:val="1"/>
      <w:numFmt w:val="bullet"/>
      <w:lvlText w:val="§"/>
      <w:lvlJc w:val="left"/>
      <w:pPr>
        <w:ind w:left="360" w:hanging="360"/>
      </w:pPr>
      <w:rPr>
        <w:rFonts w:ascii="Wingdings" w:hAnsi="Wingdings" w:hint="default"/>
      </w:rPr>
    </w:lvl>
  </w:abstractNum>
  <w:abstractNum w:abstractNumId="158" w15:restartNumberingAfterBreak="0">
    <w:nsid w:val="594B6C89"/>
    <w:multiLevelType w:val="singleLevel"/>
    <w:tmpl w:val="135E7054"/>
    <w:lvl w:ilvl="0">
      <w:start w:val="1"/>
      <w:numFmt w:val="bullet"/>
      <w:lvlText w:val="§"/>
      <w:lvlJc w:val="left"/>
      <w:pPr>
        <w:ind w:left="360" w:hanging="360"/>
      </w:pPr>
      <w:rPr>
        <w:rFonts w:ascii="Wingdings" w:hAnsi="Wingdings" w:hint="default"/>
      </w:rPr>
    </w:lvl>
  </w:abstractNum>
  <w:abstractNum w:abstractNumId="159" w15:restartNumberingAfterBreak="0">
    <w:nsid w:val="595C78E9"/>
    <w:multiLevelType w:val="singleLevel"/>
    <w:tmpl w:val="CB4E28BC"/>
    <w:lvl w:ilvl="0">
      <w:start w:val="1"/>
      <w:numFmt w:val="bullet"/>
      <w:lvlText w:val="§"/>
      <w:lvlJc w:val="left"/>
      <w:pPr>
        <w:ind w:left="360" w:hanging="360"/>
      </w:pPr>
      <w:rPr>
        <w:rFonts w:ascii="Wingdings" w:hAnsi="Wingdings" w:hint="default"/>
      </w:rPr>
    </w:lvl>
  </w:abstractNum>
  <w:abstractNum w:abstractNumId="160" w15:restartNumberingAfterBreak="0">
    <w:nsid w:val="59864537"/>
    <w:multiLevelType w:val="singleLevel"/>
    <w:tmpl w:val="32AC56D4"/>
    <w:lvl w:ilvl="0">
      <w:start w:val="1"/>
      <w:numFmt w:val="bullet"/>
      <w:lvlText w:val="§"/>
      <w:lvlJc w:val="left"/>
      <w:pPr>
        <w:ind w:left="360" w:hanging="360"/>
      </w:pPr>
      <w:rPr>
        <w:rFonts w:ascii="Wingdings" w:hAnsi="Wingdings" w:hint="default"/>
      </w:rPr>
    </w:lvl>
  </w:abstractNum>
  <w:abstractNum w:abstractNumId="161" w15:restartNumberingAfterBreak="0">
    <w:nsid w:val="59D75DB5"/>
    <w:multiLevelType w:val="singleLevel"/>
    <w:tmpl w:val="6F3AA2AA"/>
    <w:lvl w:ilvl="0">
      <w:start w:val="1"/>
      <w:numFmt w:val="bullet"/>
      <w:lvlText w:val="§"/>
      <w:lvlJc w:val="left"/>
      <w:pPr>
        <w:ind w:left="360" w:hanging="360"/>
      </w:pPr>
      <w:rPr>
        <w:rFonts w:ascii="Wingdings" w:hAnsi="Wingdings" w:hint="default"/>
      </w:rPr>
    </w:lvl>
  </w:abstractNum>
  <w:abstractNum w:abstractNumId="162" w15:restartNumberingAfterBreak="0">
    <w:nsid w:val="5A356E06"/>
    <w:multiLevelType w:val="singleLevel"/>
    <w:tmpl w:val="782EECCE"/>
    <w:lvl w:ilvl="0">
      <w:start w:val="1"/>
      <w:numFmt w:val="bullet"/>
      <w:lvlText w:val="§"/>
      <w:lvlJc w:val="left"/>
      <w:pPr>
        <w:ind w:left="360" w:hanging="360"/>
      </w:pPr>
      <w:rPr>
        <w:rFonts w:ascii="Wingdings" w:hAnsi="Wingdings" w:hint="default"/>
      </w:rPr>
    </w:lvl>
  </w:abstractNum>
  <w:abstractNum w:abstractNumId="163" w15:restartNumberingAfterBreak="0">
    <w:nsid w:val="5AB8129B"/>
    <w:multiLevelType w:val="singleLevel"/>
    <w:tmpl w:val="11507400"/>
    <w:lvl w:ilvl="0">
      <w:start w:val="1"/>
      <w:numFmt w:val="bullet"/>
      <w:lvlText w:val="§"/>
      <w:lvlJc w:val="left"/>
      <w:pPr>
        <w:ind w:left="360" w:hanging="360"/>
      </w:pPr>
      <w:rPr>
        <w:rFonts w:ascii="Wingdings" w:hAnsi="Wingdings" w:hint="default"/>
      </w:rPr>
    </w:lvl>
  </w:abstractNum>
  <w:abstractNum w:abstractNumId="164" w15:restartNumberingAfterBreak="0">
    <w:nsid w:val="5BBC0E41"/>
    <w:multiLevelType w:val="singleLevel"/>
    <w:tmpl w:val="1AB03146"/>
    <w:lvl w:ilvl="0">
      <w:start w:val="1"/>
      <w:numFmt w:val="bullet"/>
      <w:lvlText w:val="§"/>
      <w:lvlJc w:val="left"/>
      <w:pPr>
        <w:ind w:left="360" w:hanging="360"/>
      </w:pPr>
      <w:rPr>
        <w:rFonts w:ascii="Wingdings" w:hAnsi="Wingdings" w:hint="default"/>
      </w:rPr>
    </w:lvl>
  </w:abstractNum>
  <w:abstractNum w:abstractNumId="165"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6" w15:restartNumberingAfterBreak="0">
    <w:nsid w:val="5D043D0D"/>
    <w:multiLevelType w:val="singleLevel"/>
    <w:tmpl w:val="C290B44C"/>
    <w:lvl w:ilvl="0">
      <w:start w:val="1"/>
      <w:numFmt w:val="bullet"/>
      <w:lvlText w:val="§"/>
      <w:lvlJc w:val="left"/>
      <w:pPr>
        <w:ind w:left="360" w:hanging="360"/>
      </w:pPr>
      <w:rPr>
        <w:rFonts w:ascii="Wingdings" w:hAnsi="Wingdings" w:hint="default"/>
      </w:rPr>
    </w:lvl>
  </w:abstractNum>
  <w:abstractNum w:abstractNumId="167" w15:restartNumberingAfterBreak="0">
    <w:nsid w:val="5E070D3F"/>
    <w:multiLevelType w:val="singleLevel"/>
    <w:tmpl w:val="A62A19FA"/>
    <w:lvl w:ilvl="0">
      <w:start w:val="1"/>
      <w:numFmt w:val="bullet"/>
      <w:lvlText w:val="§"/>
      <w:lvlJc w:val="left"/>
      <w:pPr>
        <w:ind w:left="360" w:hanging="360"/>
      </w:pPr>
      <w:rPr>
        <w:rFonts w:ascii="Wingdings" w:hAnsi="Wingdings" w:hint="default"/>
      </w:rPr>
    </w:lvl>
  </w:abstractNum>
  <w:abstractNum w:abstractNumId="168" w15:restartNumberingAfterBreak="0">
    <w:nsid w:val="5E5D6372"/>
    <w:multiLevelType w:val="singleLevel"/>
    <w:tmpl w:val="907C7C68"/>
    <w:lvl w:ilvl="0">
      <w:start w:val="1"/>
      <w:numFmt w:val="bullet"/>
      <w:lvlText w:val="§"/>
      <w:lvlJc w:val="left"/>
      <w:pPr>
        <w:ind w:left="360" w:hanging="360"/>
      </w:pPr>
      <w:rPr>
        <w:rFonts w:ascii="Wingdings" w:hAnsi="Wingdings" w:hint="default"/>
      </w:rPr>
    </w:lvl>
  </w:abstractNum>
  <w:abstractNum w:abstractNumId="169"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0" w15:restartNumberingAfterBreak="0">
    <w:nsid w:val="5F0E6AC5"/>
    <w:multiLevelType w:val="singleLevel"/>
    <w:tmpl w:val="BBAC2E22"/>
    <w:lvl w:ilvl="0">
      <w:start w:val="1"/>
      <w:numFmt w:val="bullet"/>
      <w:lvlText w:val="§"/>
      <w:lvlJc w:val="left"/>
      <w:pPr>
        <w:ind w:left="360" w:hanging="360"/>
      </w:pPr>
      <w:rPr>
        <w:rFonts w:ascii="Wingdings" w:hAnsi="Wingdings" w:hint="default"/>
      </w:rPr>
    </w:lvl>
  </w:abstractNum>
  <w:abstractNum w:abstractNumId="171" w15:restartNumberingAfterBreak="0">
    <w:nsid w:val="5F325493"/>
    <w:multiLevelType w:val="singleLevel"/>
    <w:tmpl w:val="B5027C42"/>
    <w:lvl w:ilvl="0">
      <w:start w:val="1"/>
      <w:numFmt w:val="bullet"/>
      <w:lvlText w:val="§"/>
      <w:lvlJc w:val="left"/>
      <w:pPr>
        <w:ind w:left="360" w:hanging="360"/>
      </w:pPr>
      <w:rPr>
        <w:rFonts w:ascii="Wingdings" w:hAnsi="Wingdings" w:hint="default"/>
      </w:rPr>
    </w:lvl>
  </w:abstractNum>
  <w:abstractNum w:abstractNumId="172" w15:restartNumberingAfterBreak="0">
    <w:nsid w:val="5F4072B1"/>
    <w:multiLevelType w:val="singleLevel"/>
    <w:tmpl w:val="62C6AE98"/>
    <w:lvl w:ilvl="0">
      <w:start w:val="1"/>
      <w:numFmt w:val="bullet"/>
      <w:lvlText w:val="§"/>
      <w:lvlJc w:val="left"/>
      <w:pPr>
        <w:ind w:left="360" w:hanging="360"/>
      </w:pPr>
      <w:rPr>
        <w:rFonts w:ascii="Wingdings" w:hAnsi="Wingdings" w:hint="default"/>
      </w:rPr>
    </w:lvl>
  </w:abstractNum>
  <w:abstractNum w:abstractNumId="173" w15:restartNumberingAfterBreak="0">
    <w:nsid w:val="60F14AB2"/>
    <w:multiLevelType w:val="singleLevel"/>
    <w:tmpl w:val="B28C190A"/>
    <w:lvl w:ilvl="0">
      <w:start w:val="1"/>
      <w:numFmt w:val="bullet"/>
      <w:lvlText w:val="§"/>
      <w:lvlJc w:val="left"/>
      <w:pPr>
        <w:ind w:left="360" w:hanging="360"/>
      </w:pPr>
      <w:rPr>
        <w:rFonts w:ascii="Wingdings" w:hAnsi="Wingdings" w:hint="default"/>
      </w:rPr>
    </w:lvl>
  </w:abstractNum>
  <w:abstractNum w:abstractNumId="174" w15:restartNumberingAfterBreak="0">
    <w:nsid w:val="622164DC"/>
    <w:multiLevelType w:val="singleLevel"/>
    <w:tmpl w:val="25848560"/>
    <w:lvl w:ilvl="0">
      <w:start w:val="1"/>
      <w:numFmt w:val="bullet"/>
      <w:lvlText w:val="§"/>
      <w:lvlJc w:val="left"/>
      <w:pPr>
        <w:ind w:left="360" w:hanging="360"/>
      </w:pPr>
      <w:rPr>
        <w:rFonts w:ascii="Wingdings" w:hAnsi="Wingdings" w:hint="default"/>
      </w:rPr>
    </w:lvl>
  </w:abstractNum>
  <w:abstractNum w:abstractNumId="175" w15:restartNumberingAfterBreak="0">
    <w:nsid w:val="622321EA"/>
    <w:multiLevelType w:val="singleLevel"/>
    <w:tmpl w:val="87AC5DD8"/>
    <w:lvl w:ilvl="0">
      <w:start w:val="1"/>
      <w:numFmt w:val="bullet"/>
      <w:lvlText w:val="§"/>
      <w:lvlJc w:val="left"/>
      <w:pPr>
        <w:ind w:left="360" w:hanging="360"/>
      </w:pPr>
      <w:rPr>
        <w:rFonts w:ascii="Wingdings" w:hAnsi="Wingdings" w:hint="default"/>
      </w:rPr>
    </w:lvl>
  </w:abstractNum>
  <w:abstractNum w:abstractNumId="176" w15:restartNumberingAfterBreak="0">
    <w:nsid w:val="62FE67B1"/>
    <w:multiLevelType w:val="hybridMultilevel"/>
    <w:tmpl w:val="D8B67338"/>
    <w:lvl w:ilvl="0" w:tplc="04090019">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77" w15:restartNumberingAfterBreak="0">
    <w:nsid w:val="6330059B"/>
    <w:multiLevelType w:val="singleLevel"/>
    <w:tmpl w:val="727CA3BC"/>
    <w:lvl w:ilvl="0">
      <w:start w:val="1"/>
      <w:numFmt w:val="bullet"/>
      <w:lvlText w:val="§"/>
      <w:lvlJc w:val="left"/>
      <w:pPr>
        <w:ind w:left="360" w:hanging="360"/>
      </w:pPr>
      <w:rPr>
        <w:rFonts w:ascii="Wingdings" w:hAnsi="Wingdings" w:hint="default"/>
      </w:rPr>
    </w:lvl>
  </w:abstractNum>
  <w:abstractNum w:abstractNumId="178" w15:restartNumberingAfterBreak="0">
    <w:nsid w:val="638121CD"/>
    <w:multiLevelType w:val="singleLevel"/>
    <w:tmpl w:val="F78C7516"/>
    <w:lvl w:ilvl="0">
      <w:start w:val="1"/>
      <w:numFmt w:val="bullet"/>
      <w:lvlText w:val="§"/>
      <w:lvlJc w:val="left"/>
      <w:pPr>
        <w:ind w:left="360" w:hanging="360"/>
      </w:pPr>
      <w:rPr>
        <w:rFonts w:ascii="Wingdings" w:hAnsi="Wingdings" w:hint="default"/>
      </w:rPr>
    </w:lvl>
  </w:abstractNum>
  <w:abstractNum w:abstractNumId="179" w15:restartNumberingAfterBreak="0">
    <w:nsid w:val="640322B8"/>
    <w:multiLevelType w:val="singleLevel"/>
    <w:tmpl w:val="30C445DA"/>
    <w:lvl w:ilvl="0">
      <w:start w:val="1"/>
      <w:numFmt w:val="bullet"/>
      <w:lvlText w:val="§"/>
      <w:lvlJc w:val="left"/>
      <w:pPr>
        <w:ind w:left="360" w:hanging="360"/>
      </w:pPr>
      <w:rPr>
        <w:rFonts w:ascii="Wingdings" w:hAnsi="Wingdings" w:hint="default"/>
      </w:rPr>
    </w:lvl>
  </w:abstractNum>
  <w:abstractNum w:abstractNumId="180" w15:restartNumberingAfterBreak="0">
    <w:nsid w:val="64277E63"/>
    <w:multiLevelType w:val="singleLevel"/>
    <w:tmpl w:val="EAD6AF5E"/>
    <w:lvl w:ilvl="0">
      <w:start w:val="1"/>
      <w:numFmt w:val="bullet"/>
      <w:lvlText w:val="§"/>
      <w:lvlJc w:val="left"/>
      <w:pPr>
        <w:ind w:left="360" w:hanging="360"/>
      </w:pPr>
      <w:rPr>
        <w:rFonts w:ascii="Wingdings" w:hAnsi="Wingdings" w:hint="default"/>
      </w:rPr>
    </w:lvl>
  </w:abstractNum>
  <w:abstractNum w:abstractNumId="181" w15:restartNumberingAfterBreak="0">
    <w:nsid w:val="6471024C"/>
    <w:multiLevelType w:val="singleLevel"/>
    <w:tmpl w:val="A0F0B464"/>
    <w:lvl w:ilvl="0">
      <w:start w:val="1"/>
      <w:numFmt w:val="bullet"/>
      <w:lvlText w:val="§"/>
      <w:lvlJc w:val="left"/>
      <w:pPr>
        <w:ind w:left="360" w:hanging="360"/>
      </w:pPr>
      <w:rPr>
        <w:rFonts w:ascii="Wingdings" w:hAnsi="Wingdings" w:hint="default"/>
      </w:rPr>
    </w:lvl>
  </w:abstractNum>
  <w:abstractNum w:abstractNumId="182" w15:restartNumberingAfterBreak="0">
    <w:nsid w:val="64C5155F"/>
    <w:multiLevelType w:val="singleLevel"/>
    <w:tmpl w:val="17683C70"/>
    <w:lvl w:ilvl="0">
      <w:start w:val="1"/>
      <w:numFmt w:val="bullet"/>
      <w:lvlText w:val="§"/>
      <w:lvlJc w:val="left"/>
      <w:pPr>
        <w:ind w:left="360" w:hanging="360"/>
      </w:pPr>
      <w:rPr>
        <w:rFonts w:ascii="Wingdings" w:hAnsi="Wingdings" w:hint="default"/>
      </w:rPr>
    </w:lvl>
  </w:abstractNum>
  <w:abstractNum w:abstractNumId="183"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4" w15:restartNumberingAfterBreak="0">
    <w:nsid w:val="661C2017"/>
    <w:multiLevelType w:val="singleLevel"/>
    <w:tmpl w:val="8650514E"/>
    <w:lvl w:ilvl="0">
      <w:start w:val="1"/>
      <w:numFmt w:val="bullet"/>
      <w:lvlText w:val="§"/>
      <w:lvlJc w:val="left"/>
      <w:pPr>
        <w:ind w:left="360" w:hanging="360"/>
      </w:pPr>
      <w:rPr>
        <w:rFonts w:ascii="Wingdings" w:hAnsi="Wingdings" w:hint="default"/>
      </w:rPr>
    </w:lvl>
  </w:abstractNum>
  <w:abstractNum w:abstractNumId="185" w15:restartNumberingAfterBreak="0">
    <w:nsid w:val="6628660E"/>
    <w:multiLevelType w:val="singleLevel"/>
    <w:tmpl w:val="E3720F86"/>
    <w:lvl w:ilvl="0">
      <w:start w:val="1"/>
      <w:numFmt w:val="bullet"/>
      <w:lvlText w:val="§"/>
      <w:lvlJc w:val="left"/>
      <w:pPr>
        <w:ind w:left="360" w:hanging="360"/>
      </w:pPr>
      <w:rPr>
        <w:rFonts w:ascii="Wingdings" w:hAnsi="Wingdings" w:hint="default"/>
      </w:rPr>
    </w:lvl>
  </w:abstractNum>
  <w:abstractNum w:abstractNumId="186" w15:restartNumberingAfterBreak="0">
    <w:nsid w:val="669D5D08"/>
    <w:multiLevelType w:val="singleLevel"/>
    <w:tmpl w:val="AFDE51D2"/>
    <w:lvl w:ilvl="0">
      <w:start w:val="1"/>
      <w:numFmt w:val="bullet"/>
      <w:lvlText w:val="§"/>
      <w:lvlJc w:val="left"/>
      <w:pPr>
        <w:ind w:left="360" w:hanging="360"/>
      </w:pPr>
      <w:rPr>
        <w:rFonts w:ascii="Wingdings" w:hAnsi="Wingdings" w:hint="default"/>
      </w:rPr>
    </w:lvl>
  </w:abstractNum>
  <w:abstractNum w:abstractNumId="187"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88"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9" w15:restartNumberingAfterBreak="0">
    <w:nsid w:val="67D7633E"/>
    <w:multiLevelType w:val="singleLevel"/>
    <w:tmpl w:val="2AC08752"/>
    <w:lvl w:ilvl="0">
      <w:start w:val="1"/>
      <w:numFmt w:val="bullet"/>
      <w:lvlText w:val="§"/>
      <w:lvlJc w:val="left"/>
      <w:pPr>
        <w:ind w:left="360" w:hanging="360"/>
      </w:pPr>
      <w:rPr>
        <w:rFonts w:ascii="Wingdings" w:hAnsi="Wingdings" w:hint="default"/>
      </w:rPr>
    </w:lvl>
  </w:abstractNum>
  <w:abstractNum w:abstractNumId="190" w15:restartNumberingAfterBreak="0">
    <w:nsid w:val="694A13AE"/>
    <w:multiLevelType w:val="singleLevel"/>
    <w:tmpl w:val="5F0480E0"/>
    <w:lvl w:ilvl="0">
      <w:start w:val="1"/>
      <w:numFmt w:val="bullet"/>
      <w:lvlText w:val="§"/>
      <w:lvlJc w:val="left"/>
      <w:pPr>
        <w:ind w:left="360" w:hanging="360"/>
      </w:pPr>
      <w:rPr>
        <w:rFonts w:ascii="Wingdings" w:hAnsi="Wingdings" w:hint="default"/>
      </w:rPr>
    </w:lvl>
  </w:abstractNum>
  <w:abstractNum w:abstractNumId="191" w15:restartNumberingAfterBreak="0">
    <w:nsid w:val="6A300516"/>
    <w:multiLevelType w:val="singleLevel"/>
    <w:tmpl w:val="B51A2EEC"/>
    <w:lvl w:ilvl="0">
      <w:start w:val="1"/>
      <w:numFmt w:val="bullet"/>
      <w:lvlText w:val="§"/>
      <w:lvlJc w:val="left"/>
      <w:pPr>
        <w:ind w:left="360" w:hanging="360"/>
      </w:pPr>
      <w:rPr>
        <w:rFonts w:ascii="Wingdings" w:hAnsi="Wingdings" w:hint="default"/>
      </w:rPr>
    </w:lvl>
  </w:abstractNum>
  <w:abstractNum w:abstractNumId="192" w15:restartNumberingAfterBreak="0">
    <w:nsid w:val="6A9C26F8"/>
    <w:multiLevelType w:val="singleLevel"/>
    <w:tmpl w:val="6172DEA0"/>
    <w:lvl w:ilvl="0">
      <w:start w:val="1"/>
      <w:numFmt w:val="bullet"/>
      <w:lvlText w:val="§"/>
      <w:lvlJc w:val="left"/>
      <w:pPr>
        <w:ind w:left="360" w:hanging="360"/>
      </w:pPr>
      <w:rPr>
        <w:rFonts w:ascii="Wingdings" w:hAnsi="Wingdings" w:hint="default"/>
      </w:rPr>
    </w:lvl>
  </w:abstractNum>
  <w:abstractNum w:abstractNumId="193"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4"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6" w15:restartNumberingAfterBreak="0">
    <w:nsid w:val="6C4D0B62"/>
    <w:multiLevelType w:val="singleLevel"/>
    <w:tmpl w:val="D91A5B8E"/>
    <w:lvl w:ilvl="0">
      <w:start w:val="1"/>
      <w:numFmt w:val="bullet"/>
      <w:lvlText w:val="§"/>
      <w:lvlJc w:val="left"/>
      <w:pPr>
        <w:ind w:left="360" w:hanging="360"/>
      </w:pPr>
      <w:rPr>
        <w:rFonts w:ascii="Wingdings" w:hAnsi="Wingdings" w:hint="default"/>
      </w:rPr>
    </w:lvl>
  </w:abstractNum>
  <w:abstractNum w:abstractNumId="197" w15:restartNumberingAfterBreak="0">
    <w:nsid w:val="6D9A000E"/>
    <w:multiLevelType w:val="singleLevel"/>
    <w:tmpl w:val="77CEB9C6"/>
    <w:lvl w:ilvl="0">
      <w:start w:val="1"/>
      <w:numFmt w:val="bullet"/>
      <w:lvlText w:val="§"/>
      <w:lvlJc w:val="left"/>
      <w:pPr>
        <w:ind w:left="360" w:hanging="360"/>
      </w:pPr>
      <w:rPr>
        <w:rFonts w:ascii="Wingdings" w:hAnsi="Wingdings" w:hint="default"/>
      </w:rPr>
    </w:lvl>
  </w:abstractNum>
  <w:abstractNum w:abstractNumId="198" w15:restartNumberingAfterBreak="0">
    <w:nsid w:val="6E1E463B"/>
    <w:multiLevelType w:val="singleLevel"/>
    <w:tmpl w:val="2F30B072"/>
    <w:lvl w:ilvl="0">
      <w:start w:val="1"/>
      <w:numFmt w:val="bullet"/>
      <w:lvlText w:val="§"/>
      <w:lvlJc w:val="left"/>
      <w:pPr>
        <w:ind w:left="360" w:hanging="360"/>
      </w:pPr>
      <w:rPr>
        <w:rFonts w:ascii="Wingdings" w:hAnsi="Wingdings" w:hint="default"/>
      </w:rPr>
    </w:lvl>
  </w:abstractNum>
  <w:abstractNum w:abstractNumId="199" w15:restartNumberingAfterBreak="0">
    <w:nsid w:val="6E8A6738"/>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0" w15:restartNumberingAfterBreak="0">
    <w:nsid w:val="6E962DD1"/>
    <w:multiLevelType w:val="singleLevel"/>
    <w:tmpl w:val="C94269FC"/>
    <w:lvl w:ilvl="0">
      <w:start w:val="1"/>
      <w:numFmt w:val="bullet"/>
      <w:lvlText w:val="§"/>
      <w:lvlJc w:val="left"/>
      <w:pPr>
        <w:ind w:left="360" w:hanging="360"/>
      </w:pPr>
      <w:rPr>
        <w:rFonts w:ascii="Wingdings" w:hAnsi="Wingdings" w:hint="default"/>
      </w:rPr>
    </w:lvl>
  </w:abstractNum>
  <w:abstractNum w:abstractNumId="201" w15:restartNumberingAfterBreak="0">
    <w:nsid w:val="6EA91F55"/>
    <w:multiLevelType w:val="singleLevel"/>
    <w:tmpl w:val="773CB30C"/>
    <w:lvl w:ilvl="0">
      <w:start w:val="1"/>
      <w:numFmt w:val="bullet"/>
      <w:lvlText w:val="§"/>
      <w:lvlJc w:val="left"/>
      <w:pPr>
        <w:ind w:left="360" w:hanging="360"/>
      </w:pPr>
      <w:rPr>
        <w:rFonts w:ascii="Wingdings" w:hAnsi="Wingdings" w:hint="default"/>
      </w:rPr>
    </w:lvl>
  </w:abstractNum>
  <w:abstractNum w:abstractNumId="202" w15:restartNumberingAfterBreak="0">
    <w:nsid w:val="6F0E2CF4"/>
    <w:multiLevelType w:val="singleLevel"/>
    <w:tmpl w:val="8AF2F532"/>
    <w:lvl w:ilvl="0">
      <w:start w:val="1"/>
      <w:numFmt w:val="bullet"/>
      <w:lvlText w:val="§"/>
      <w:lvlJc w:val="left"/>
      <w:pPr>
        <w:ind w:left="360" w:hanging="360"/>
      </w:pPr>
      <w:rPr>
        <w:rFonts w:ascii="Wingdings" w:hAnsi="Wingdings" w:hint="default"/>
      </w:rPr>
    </w:lvl>
  </w:abstractNum>
  <w:abstractNum w:abstractNumId="203" w15:restartNumberingAfterBreak="0">
    <w:nsid w:val="6FB6709C"/>
    <w:multiLevelType w:val="singleLevel"/>
    <w:tmpl w:val="9FEA7612"/>
    <w:lvl w:ilvl="0">
      <w:start w:val="1"/>
      <w:numFmt w:val="bullet"/>
      <w:lvlText w:val="§"/>
      <w:lvlJc w:val="left"/>
      <w:pPr>
        <w:ind w:left="360" w:hanging="360"/>
      </w:pPr>
      <w:rPr>
        <w:rFonts w:ascii="Wingdings" w:hAnsi="Wingdings" w:hint="default"/>
      </w:rPr>
    </w:lvl>
  </w:abstractNum>
  <w:abstractNum w:abstractNumId="204"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6"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207" w15:restartNumberingAfterBreak="0">
    <w:nsid w:val="72BA1E45"/>
    <w:multiLevelType w:val="singleLevel"/>
    <w:tmpl w:val="FC307350"/>
    <w:lvl w:ilvl="0">
      <w:start w:val="1"/>
      <w:numFmt w:val="bullet"/>
      <w:lvlText w:val="§"/>
      <w:lvlJc w:val="left"/>
      <w:pPr>
        <w:ind w:left="360" w:hanging="360"/>
      </w:pPr>
      <w:rPr>
        <w:rFonts w:ascii="Wingdings" w:hAnsi="Wingdings" w:hint="default"/>
      </w:rPr>
    </w:lvl>
  </w:abstractNum>
  <w:abstractNum w:abstractNumId="208"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209" w15:restartNumberingAfterBreak="0">
    <w:nsid w:val="73623FF8"/>
    <w:multiLevelType w:val="singleLevel"/>
    <w:tmpl w:val="89723CAC"/>
    <w:lvl w:ilvl="0">
      <w:start w:val="1"/>
      <w:numFmt w:val="bullet"/>
      <w:lvlText w:val="§"/>
      <w:lvlJc w:val="left"/>
      <w:pPr>
        <w:ind w:left="360" w:hanging="360"/>
      </w:pPr>
      <w:rPr>
        <w:rFonts w:ascii="Wingdings" w:hAnsi="Wingdings" w:hint="default"/>
      </w:rPr>
    </w:lvl>
  </w:abstractNum>
  <w:abstractNum w:abstractNumId="210" w15:restartNumberingAfterBreak="0">
    <w:nsid w:val="736965EB"/>
    <w:multiLevelType w:val="singleLevel"/>
    <w:tmpl w:val="4A1C9EA6"/>
    <w:lvl w:ilvl="0">
      <w:start w:val="1"/>
      <w:numFmt w:val="bullet"/>
      <w:lvlText w:val="§"/>
      <w:lvlJc w:val="left"/>
      <w:pPr>
        <w:ind w:left="360" w:hanging="360"/>
      </w:pPr>
      <w:rPr>
        <w:rFonts w:ascii="Wingdings" w:hAnsi="Wingdings" w:hint="default"/>
      </w:rPr>
    </w:lvl>
  </w:abstractNum>
  <w:abstractNum w:abstractNumId="211" w15:restartNumberingAfterBreak="0">
    <w:nsid w:val="73B664CF"/>
    <w:multiLevelType w:val="singleLevel"/>
    <w:tmpl w:val="57CA470C"/>
    <w:lvl w:ilvl="0">
      <w:start w:val="1"/>
      <w:numFmt w:val="bullet"/>
      <w:lvlText w:val="§"/>
      <w:lvlJc w:val="left"/>
      <w:pPr>
        <w:ind w:left="360" w:hanging="360"/>
      </w:pPr>
      <w:rPr>
        <w:rFonts w:ascii="Wingdings" w:hAnsi="Wingdings" w:hint="default"/>
      </w:rPr>
    </w:lvl>
  </w:abstractNum>
  <w:abstractNum w:abstractNumId="212" w15:restartNumberingAfterBreak="0">
    <w:nsid w:val="73CF2832"/>
    <w:multiLevelType w:val="singleLevel"/>
    <w:tmpl w:val="9A202CAA"/>
    <w:lvl w:ilvl="0">
      <w:start w:val="1"/>
      <w:numFmt w:val="bullet"/>
      <w:lvlText w:val="§"/>
      <w:lvlJc w:val="left"/>
      <w:pPr>
        <w:ind w:left="360" w:hanging="360"/>
      </w:pPr>
      <w:rPr>
        <w:rFonts w:ascii="Wingdings" w:hAnsi="Wingdings" w:hint="default"/>
      </w:rPr>
    </w:lvl>
  </w:abstractNum>
  <w:abstractNum w:abstractNumId="213" w15:restartNumberingAfterBreak="0">
    <w:nsid w:val="747B6E5C"/>
    <w:multiLevelType w:val="singleLevel"/>
    <w:tmpl w:val="26E0D388"/>
    <w:lvl w:ilvl="0">
      <w:start w:val="1"/>
      <w:numFmt w:val="bullet"/>
      <w:lvlText w:val="§"/>
      <w:lvlJc w:val="left"/>
      <w:pPr>
        <w:ind w:left="360" w:hanging="360"/>
      </w:pPr>
      <w:rPr>
        <w:rFonts w:ascii="Wingdings" w:hAnsi="Wingdings" w:hint="default"/>
      </w:rPr>
    </w:lvl>
  </w:abstractNum>
  <w:abstractNum w:abstractNumId="214" w15:restartNumberingAfterBreak="0">
    <w:nsid w:val="766B2DBD"/>
    <w:multiLevelType w:val="singleLevel"/>
    <w:tmpl w:val="CB1EB60E"/>
    <w:lvl w:ilvl="0">
      <w:start w:val="1"/>
      <w:numFmt w:val="bullet"/>
      <w:lvlText w:val="§"/>
      <w:lvlJc w:val="left"/>
      <w:pPr>
        <w:ind w:left="360" w:hanging="360"/>
      </w:pPr>
      <w:rPr>
        <w:rFonts w:ascii="Wingdings" w:hAnsi="Wingdings" w:hint="default"/>
      </w:rPr>
    </w:lvl>
  </w:abstractNum>
  <w:abstractNum w:abstractNumId="215" w15:restartNumberingAfterBreak="0">
    <w:nsid w:val="76DB0E9F"/>
    <w:multiLevelType w:val="singleLevel"/>
    <w:tmpl w:val="589497E6"/>
    <w:lvl w:ilvl="0">
      <w:start w:val="1"/>
      <w:numFmt w:val="bullet"/>
      <w:lvlText w:val="§"/>
      <w:lvlJc w:val="left"/>
      <w:pPr>
        <w:ind w:left="360" w:hanging="360"/>
      </w:pPr>
      <w:rPr>
        <w:rFonts w:ascii="Wingdings" w:hAnsi="Wingdings" w:hint="default"/>
      </w:rPr>
    </w:lvl>
  </w:abstractNum>
  <w:abstractNum w:abstractNumId="216" w15:restartNumberingAfterBreak="0">
    <w:nsid w:val="778B5DA7"/>
    <w:multiLevelType w:val="singleLevel"/>
    <w:tmpl w:val="3612C936"/>
    <w:lvl w:ilvl="0">
      <w:start w:val="1"/>
      <w:numFmt w:val="bullet"/>
      <w:lvlText w:val="§"/>
      <w:lvlJc w:val="left"/>
      <w:pPr>
        <w:ind w:left="360" w:hanging="360"/>
      </w:pPr>
      <w:rPr>
        <w:rFonts w:ascii="Wingdings" w:hAnsi="Wingdings" w:hint="default"/>
      </w:rPr>
    </w:lvl>
  </w:abstractNum>
  <w:abstractNum w:abstractNumId="217" w15:restartNumberingAfterBreak="0">
    <w:nsid w:val="77D87C57"/>
    <w:multiLevelType w:val="singleLevel"/>
    <w:tmpl w:val="CD281062"/>
    <w:lvl w:ilvl="0">
      <w:start w:val="1"/>
      <w:numFmt w:val="bullet"/>
      <w:lvlText w:val="§"/>
      <w:lvlJc w:val="left"/>
      <w:pPr>
        <w:ind w:left="360" w:hanging="360"/>
      </w:pPr>
      <w:rPr>
        <w:rFonts w:ascii="Wingdings" w:hAnsi="Wingdings" w:hint="default"/>
      </w:rPr>
    </w:lvl>
  </w:abstractNum>
  <w:abstractNum w:abstractNumId="218"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220" w15:restartNumberingAfterBreak="0">
    <w:nsid w:val="7AA72218"/>
    <w:multiLevelType w:val="singleLevel"/>
    <w:tmpl w:val="4B0A1D42"/>
    <w:lvl w:ilvl="0">
      <w:start w:val="1"/>
      <w:numFmt w:val="bullet"/>
      <w:lvlText w:val="§"/>
      <w:lvlJc w:val="left"/>
      <w:pPr>
        <w:ind w:left="360" w:hanging="360"/>
      </w:pPr>
      <w:rPr>
        <w:rFonts w:ascii="Wingdings" w:hAnsi="Wingdings" w:hint="default"/>
      </w:rPr>
    </w:lvl>
  </w:abstractNum>
  <w:abstractNum w:abstractNumId="221" w15:restartNumberingAfterBreak="0">
    <w:nsid w:val="7BB534AE"/>
    <w:multiLevelType w:val="singleLevel"/>
    <w:tmpl w:val="5BECEEAC"/>
    <w:lvl w:ilvl="0">
      <w:start w:val="1"/>
      <w:numFmt w:val="bullet"/>
      <w:lvlText w:val="§"/>
      <w:lvlJc w:val="left"/>
      <w:pPr>
        <w:ind w:left="360" w:hanging="360"/>
      </w:pPr>
      <w:rPr>
        <w:rFonts w:ascii="Wingdings" w:hAnsi="Wingdings" w:hint="default"/>
      </w:rPr>
    </w:lvl>
  </w:abstractNum>
  <w:abstractNum w:abstractNumId="222" w15:restartNumberingAfterBreak="0">
    <w:nsid w:val="7BBD442B"/>
    <w:multiLevelType w:val="singleLevel"/>
    <w:tmpl w:val="D6F4DD9E"/>
    <w:lvl w:ilvl="0">
      <w:start w:val="1"/>
      <w:numFmt w:val="bullet"/>
      <w:lvlText w:val="§"/>
      <w:lvlJc w:val="left"/>
      <w:pPr>
        <w:ind w:left="360" w:hanging="360"/>
      </w:pPr>
      <w:rPr>
        <w:rFonts w:ascii="Wingdings" w:hAnsi="Wingdings" w:hint="default"/>
      </w:rPr>
    </w:lvl>
  </w:abstractNum>
  <w:abstractNum w:abstractNumId="223" w15:restartNumberingAfterBreak="0">
    <w:nsid w:val="7BFF33A2"/>
    <w:multiLevelType w:val="singleLevel"/>
    <w:tmpl w:val="1A5C888A"/>
    <w:lvl w:ilvl="0">
      <w:start w:val="1"/>
      <w:numFmt w:val="bullet"/>
      <w:lvlText w:val="§"/>
      <w:lvlJc w:val="left"/>
      <w:pPr>
        <w:ind w:left="360" w:hanging="360"/>
      </w:pPr>
      <w:rPr>
        <w:rFonts w:ascii="Wingdings" w:hAnsi="Wingdings" w:hint="default"/>
      </w:rPr>
    </w:lvl>
  </w:abstractNum>
  <w:abstractNum w:abstractNumId="224" w15:restartNumberingAfterBreak="0">
    <w:nsid w:val="7CEA76FE"/>
    <w:multiLevelType w:val="singleLevel"/>
    <w:tmpl w:val="7B921244"/>
    <w:lvl w:ilvl="0">
      <w:start w:val="1"/>
      <w:numFmt w:val="bullet"/>
      <w:lvlText w:val="§"/>
      <w:lvlJc w:val="left"/>
      <w:pPr>
        <w:ind w:left="360" w:hanging="360"/>
      </w:pPr>
      <w:rPr>
        <w:rFonts w:ascii="Wingdings" w:hAnsi="Wingdings" w:hint="default"/>
      </w:rPr>
    </w:lvl>
  </w:abstractNum>
  <w:abstractNum w:abstractNumId="225" w15:restartNumberingAfterBreak="0">
    <w:nsid w:val="7D4A58A3"/>
    <w:multiLevelType w:val="singleLevel"/>
    <w:tmpl w:val="670815FC"/>
    <w:lvl w:ilvl="0">
      <w:start w:val="1"/>
      <w:numFmt w:val="bullet"/>
      <w:lvlText w:val="§"/>
      <w:lvlJc w:val="left"/>
      <w:pPr>
        <w:ind w:left="360" w:hanging="360"/>
      </w:pPr>
      <w:rPr>
        <w:rFonts w:ascii="Wingdings" w:hAnsi="Wingdings" w:hint="default"/>
      </w:rPr>
    </w:lvl>
  </w:abstractNum>
  <w:abstractNum w:abstractNumId="226" w15:restartNumberingAfterBreak="0">
    <w:nsid w:val="7D9C1A60"/>
    <w:multiLevelType w:val="singleLevel"/>
    <w:tmpl w:val="F5FA4316"/>
    <w:lvl w:ilvl="0">
      <w:start w:val="1"/>
      <w:numFmt w:val="bullet"/>
      <w:lvlText w:val="§"/>
      <w:lvlJc w:val="left"/>
      <w:pPr>
        <w:ind w:left="360" w:hanging="360"/>
      </w:pPr>
      <w:rPr>
        <w:rFonts w:ascii="Wingdings" w:hAnsi="Wingdings" w:hint="default"/>
      </w:rPr>
    </w:lvl>
  </w:abstractNum>
  <w:abstractNum w:abstractNumId="227" w15:restartNumberingAfterBreak="0">
    <w:nsid w:val="7DD51B6E"/>
    <w:multiLevelType w:val="singleLevel"/>
    <w:tmpl w:val="0A0E0C88"/>
    <w:lvl w:ilvl="0">
      <w:start w:val="1"/>
      <w:numFmt w:val="bullet"/>
      <w:lvlText w:val="§"/>
      <w:lvlJc w:val="left"/>
      <w:pPr>
        <w:ind w:left="360" w:hanging="360"/>
      </w:pPr>
      <w:rPr>
        <w:rFonts w:ascii="Wingdings" w:hAnsi="Wingdings" w:hint="default"/>
      </w:rPr>
    </w:lvl>
  </w:abstractNum>
  <w:abstractNum w:abstractNumId="228" w15:restartNumberingAfterBreak="0">
    <w:nsid w:val="7E420629"/>
    <w:multiLevelType w:val="singleLevel"/>
    <w:tmpl w:val="2A50C9C8"/>
    <w:lvl w:ilvl="0">
      <w:start w:val="1"/>
      <w:numFmt w:val="bullet"/>
      <w:lvlText w:val="§"/>
      <w:lvlJc w:val="left"/>
      <w:pPr>
        <w:ind w:left="360" w:hanging="360"/>
      </w:pPr>
      <w:rPr>
        <w:rFonts w:ascii="Wingdings" w:hAnsi="Wingdings" w:hint="default"/>
      </w:rPr>
    </w:lvl>
  </w:abstractNum>
  <w:abstractNum w:abstractNumId="229" w15:restartNumberingAfterBreak="0">
    <w:nsid w:val="7E431EB4"/>
    <w:multiLevelType w:val="singleLevel"/>
    <w:tmpl w:val="1ED29DA2"/>
    <w:lvl w:ilvl="0">
      <w:start w:val="1"/>
      <w:numFmt w:val="bullet"/>
      <w:lvlText w:val="§"/>
      <w:lvlJc w:val="left"/>
      <w:pPr>
        <w:ind w:left="360" w:hanging="360"/>
      </w:pPr>
      <w:rPr>
        <w:rFonts w:ascii="Wingdings" w:hAnsi="Wingdings" w:hint="default"/>
      </w:rPr>
    </w:lvl>
  </w:abstractNum>
  <w:abstractNum w:abstractNumId="230" w15:restartNumberingAfterBreak="0">
    <w:nsid w:val="7EA41F2C"/>
    <w:multiLevelType w:val="hybridMultilevel"/>
    <w:tmpl w:val="74BCD87C"/>
    <w:lvl w:ilvl="0" w:tplc="04090019">
      <w:start w:val="1"/>
      <w:numFmt w:val="decimal"/>
      <w:lvlText w:val="%1."/>
      <w:lvlJc w:val="left"/>
      <w:pPr>
        <w:ind w:left="360" w:hanging="360"/>
      </w:pPr>
      <w:rPr>
        <w:rFonts w:hint="default"/>
        <w:i w:val="0"/>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31" w15:restartNumberingAfterBreak="0">
    <w:nsid w:val="7F133EA0"/>
    <w:multiLevelType w:val="singleLevel"/>
    <w:tmpl w:val="7A8E38D2"/>
    <w:lvl w:ilvl="0">
      <w:start w:val="1"/>
      <w:numFmt w:val="bullet"/>
      <w:lvlText w:val="§"/>
      <w:lvlJc w:val="left"/>
      <w:pPr>
        <w:ind w:left="360" w:hanging="360"/>
      </w:pPr>
      <w:rPr>
        <w:rFonts w:ascii="Wingdings" w:hAnsi="Wingdings" w:hint="default"/>
      </w:rPr>
    </w:lvl>
  </w:abstractNum>
  <w:abstractNum w:abstractNumId="232" w15:restartNumberingAfterBreak="0">
    <w:nsid w:val="7F680A27"/>
    <w:multiLevelType w:val="singleLevel"/>
    <w:tmpl w:val="3382829A"/>
    <w:lvl w:ilvl="0">
      <w:start w:val="1"/>
      <w:numFmt w:val="bullet"/>
      <w:lvlText w:val="§"/>
      <w:lvlJc w:val="left"/>
      <w:pPr>
        <w:ind w:left="360" w:hanging="360"/>
      </w:pPr>
      <w:rPr>
        <w:rFonts w:ascii="Wingdings" w:hAnsi="Wingdings" w:hint="default"/>
      </w:rPr>
    </w:lvl>
  </w:abstractNum>
  <w:abstractNum w:abstractNumId="233" w15:restartNumberingAfterBreak="0">
    <w:nsid w:val="7F9E2AB2"/>
    <w:multiLevelType w:val="singleLevel"/>
    <w:tmpl w:val="3432F14A"/>
    <w:lvl w:ilvl="0">
      <w:start w:val="1"/>
      <w:numFmt w:val="bullet"/>
      <w:lvlText w:val="§"/>
      <w:lvlJc w:val="left"/>
      <w:pPr>
        <w:ind w:left="360" w:hanging="360"/>
      </w:pPr>
      <w:rPr>
        <w:rFonts w:ascii="Wingdings" w:hAnsi="Wingdings" w:hint="default"/>
      </w:rPr>
    </w:lvl>
  </w:abstractNum>
  <w:num w:numId="1">
    <w:abstractNumId w:val="188"/>
  </w:num>
  <w:num w:numId="2">
    <w:abstractNumId w:val="71"/>
  </w:num>
  <w:num w:numId="3">
    <w:abstractNumId w:val="62"/>
  </w:num>
  <w:num w:numId="4">
    <w:abstractNumId w:val="219"/>
  </w:num>
  <w:num w:numId="5">
    <w:abstractNumId w:val="84"/>
  </w:num>
  <w:num w:numId="6">
    <w:abstractNumId w:val="65"/>
  </w:num>
  <w:num w:numId="7">
    <w:abstractNumId w:val="206"/>
  </w:num>
  <w:num w:numId="8">
    <w:abstractNumId w:val="63"/>
  </w:num>
  <w:num w:numId="9">
    <w:abstractNumId w:val="12"/>
  </w:num>
  <w:num w:numId="10">
    <w:abstractNumId w:val="156"/>
  </w:num>
  <w:num w:numId="11">
    <w:abstractNumId w:val="87"/>
  </w:num>
  <w:num w:numId="12">
    <w:abstractNumId w:val="48"/>
  </w:num>
  <w:num w:numId="13">
    <w:abstractNumId w:val="208"/>
  </w:num>
  <w:num w:numId="14">
    <w:abstractNumId w:val="0"/>
  </w:num>
  <w:num w:numId="15">
    <w:abstractNumId w:val="187"/>
  </w:num>
  <w:num w:numId="16">
    <w:abstractNumId w:val="187"/>
  </w:num>
  <w:num w:numId="17">
    <w:abstractNumId w:val="187"/>
  </w:num>
  <w:num w:numId="18">
    <w:abstractNumId w:val="187"/>
  </w:num>
  <w:num w:numId="19">
    <w:abstractNumId w:val="187"/>
  </w:num>
  <w:num w:numId="20">
    <w:abstractNumId w:val="187"/>
  </w:num>
  <w:num w:numId="21">
    <w:abstractNumId w:val="187"/>
  </w:num>
  <w:num w:numId="22">
    <w:abstractNumId w:val="187"/>
  </w:num>
  <w:num w:numId="23">
    <w:abstractNumId w:val="187"/>
  </w:num>
  <w:num w:numId="24">
    <w:abstractNumId w:val="96"/>
  </w:num>
  <w:num w:numId="25">
    <w:abstractNumId w:val="205"/>
  </w:num>
  <w:num w:numId="26">
    <w:abstractNumId w:val="29"/>
  </w:num>
  <w:num w:numId="27">
    <w:abstractNumId w:val="120"/>
  </w:num>
  <w:num w:numId="28">
    <w:abstractNumId w:val="111"/>
  </w:num>
  <w:num w:numId="29">
    <w:abstractNumId w:val="34"/>
  </w:num>
  <w:num w:numId="30">
    <w:abstractNumId w:val="40"/>
  </w:num>
  <w:num w:numId="31">
    <w:abstractNumId w:val="69"/>
  </w:num>
  <w:num w:numId="32">
    <w:abstractNumId w:val="149"/>
  </w:num>
  <w:num w:numId="33">
    <w:abstractNumId w:val="43"/>
  </w:num>
  <w:num w:numId="34">
    <w:abstractNumId w:val="195"/>
  </w:num>
  <w:num w:numId="35">
    <w:abstractNumId w:val="169"/>
  </w:num>
  <w:num w:numId="36">
    <w:abstractNumId w:val="193"/>
  </w:num>
  <w:num w:numId="37">
    <w:abstractNumId w:val="54"/>
  </w:num>
  <w:num w:numId="38">
    <w:abstractNumId w:val="67"/>
  </w:num>
  <w:num w:numId="39">
    <w:abstractNumId w:val="165"/>
  </w:num>
  <w:num w:numId="40">
    <w:abstractNumId w:val="124"/>
  </w:num>
  <w:num w:numId="41">
    <w:abstractNumId w:val="112"/>
  </w:num>
  <w:num w:numId="42">
    <w:abstractNumId w:val="183"/>
  </w:num>
  <w:num w:numId="43">
    <w:abstractNumId w:val="204"/>
  </w:num>
  <w:num w:numId="44">
    <w:abstractNumId w:val="218"/>
  </w:num>
  <w:num w:numId="45">
    <w:abstractNumId w:val="194"/>
  </w:num>
  <w:num w:numId="46">
    <w:abstractNumId w:val="41"/>
  </w:num>
  <w:num w:numId="47">
    <w:abstractNumId w:val="11"/>
  </w:num>
  <w:num w:numId="48">
    <w:abstractNumId w:val="138"/>
  </w:num>
  <w:num w:numId="49">
    <w:abstractNumId w:val="130"/>
  </w:num>
  <w:num w:numId="50">
    <w:abstractNumId w:val="13"/>
  </w:num>
  <w:num w:numId="51">
    <w:abstractNumId w:val="176"/>
  </w:num>
  <w:num w:numId="52">
    <w:abstractNumId w:val="224"/>
  </w:num>
  <w:num w:numId="53">
    <w:abstractNumId w:val="23"/>
  </w:num>
  <w:num w:numId="54">
    <w:abstractNumId w:val="141"/>
  </w:num>
  <w:num w:numId="55">
    <w:abstractNumId w:val="113"/>
  </w:num>
  <w:num w:numId="56">
    <w:abstractNumId w:val="51"/>
  </w:num>
  <w:num w:numId="57">
    <w:abstractNumId w:val="9"/>
  </w:num>
  <w:num w:numId="58">
    <w:abstractNumId w:val="133"/>
  </w:num>
  <w:num w:numId="59">
    <w:abstractNumId w:val="175"/>
  </w:num>
  <w:num w:numId="60">
    <w:abstractNumId w:val="102"/>
  </w:num>
  <w:num w:numId="61">
    <w:abstractNumId w:val="122"/>
  </w:num>
  <w:num w:numId="62">
    <w:abstractNumId w:val="150"/>
  </w:num>
  <w:num w:numId="63">
    <w:abstractNumId w:val="56"/>
  </w:num>
  <w:num w:numId="64">
    <w:abstractNumId w:val="117"/>
  </w:num>
  <w:num w:numId="65">
    <w:abstractNumId w:val="159"/>
  </w:num>
  <w:num w:numId="66">
    <w:abstractNumId w:val="227"/>
  </w:num>
  <w:num w:numId="67">
    <w:abstractNumId w:val="44"/>
  </w:num>
  <w:num w:numId="68">
    <w:abstractNumId w:val="104"/>
  </w:num>
  <w:num w:numId="69">
    <w:abstractNumId w:val="221"/>
  </w:num>
  <w:num w:numId="70">
    <w:abstractNumId w:val="3"/>
  </w:num>
  <w:num w:numId="71">
    <w:abstractNumId w:val="144"/>
  </w:num>
  <w:num w:numId="72">
    <w:abstractNumId w:val="57"/>
  </w:num>
  <w:num w:numId="73">
    <w:abstractNumId w:val="35"/>
  </w:num>
  <w:num w:numId="74">
    <w:abstractNumId w:val="89"/>
  </w:num>
  <w:num w:numId="75">
    <w:abstractNumId w:val="170"/>
  </w:num>
  <w:num w:numId="76">
    <w:abstractNumId w:val="22"/>
  </w:num>
  <w:num w:numId="77">
    <w:abstractNumId w:val="167"/>
  </w:num>
  <w:num w:numId="78">
    <w:abstractNumId w:val="200"/>
  </w:num>
  <w:num w:numId="79">
    <w:abstractNumId w:val="60"/>
  </w:num>
  <w:num w:numId="80">
    <w:abstractNumId w:val="202"/>
  </w:num>
  <w:num w:numId="81">
    <w:abstractNumId w:val="28"/>
  </w:num>
  <w:num w:numId="82">
    <w:abstractNumId w:val="46"/>
  </w:num>
  <w:num w:numId="83">
    <w:abstractNumId w:val="162"/>
  </w:num>
  <w:num w:numId="84">
    <w:abstractNumId w:val="31"/>
  </w:num>
  <w:num w:numId="85">
    <w:abstractNumId w:val="172"/>
  </w:num>
  <w:num w:numId="86">
    <w:abstractNumId w:val="154"/>
  </w:num>
  <w:num w:numId="87">
    <w:abstractNumId w:val="39"/>
  </w:num>
  <w:num w:numId="88">
    <w:abstractNumId w:val="143"/>
  </w:num>
  <w:num w:numId="89">
    <w:abstractNumId w:val="72"/>
  </w:num>
  <w:num w:numId="90">
    <w:abstractNumId w:val="180"/>
  </w:num>
  <w:num w:numId="91">
    <w:abstractNumId w:val="32"/>
  </w:num>
  <w:num w:numId="92">
    <w:abstractNumId w:val="171"/>
  </w:num>
  <w:num w:numId="93">
    <w:abstractNumId w:val="83"/>
  </w:num>
  <w:num w:numId="94">
    <w:abstractNumId w:val="145"/>
  </w:num>
  <w:num w:numId="95">
    <w:abstractNumId w:val="166"/>
  </w:num>
  <w:num w:numId="96">
    <w:abstractNumId w:val="106"/>
  </w:num>
  <w:num w:numId="97">
    <w:abstractNumId w:val="139"/>
  </w:num>
  <w:num w:numId="98">
    <w:abstractNumId w:val="203"/>
  </w:num>
  <w:num w:numId="99">
    <w:abstractNumId w:val="25"/>
  </w:num>
  <w:num w:numId="100">
    <w:abstractNumId w:val="38"/>
  </w:num>
  <w:num w:numId="101">
    <w:abstractNumId w:val="18"/>
  </w:num>
  <w:num w:numId="102">
    <w:abstractNumId w:val="97"/>
  </w:num>
  <w:num w:numId="103">
    <w:abstractNumId w:val="196"/>
  </w:num>
  <w:num w:numId="104">
    <w:abstractNumId w:val="152"/>
  </w:num>
  <w:num w:numId="105">
    <w:abstractNumId w:val="121"/>
  </w:num>
  <w:num w:numId="106">
    <w:abstractNumId w:val="125"/>
  </w:num>
  <w:num w:numId="107">
    <w:abstractNumId w:val="45"/>
  </w:num>
  <w:num w:numId="108">
    <w:abstractNumId w:val="55"/>
  </w:num>
  <w:num w:numId="109">
    <w:abstractNumId w:val="146"/>
  </w:num>
  <w:num w:numId="110">
    <w:abstractNumId w:val="182"/>
  </w:num>
  <w:num w:numId="111">
    <w:abstractNumId w:val="212"/>
  </w:num>
  <w:num w:numId="112">
    <w:abstractNumId w:val="226"/>
  </w:num>
  <w:num w:numId="113">
    <w:abstractNumId w:val="16"/>
  </w:num>
  <w:num w:numId="114">
    <w:abstractNumId w:val="47"/>
  </w:num>
  <w:num w:numId="115">
    <w:abstractNumId w:val="233"/>
  </w:num>
  <w:num w:numId="116">
    <w:abstractNumId w:val="88"/>
  </w:num>
  <w:num w:numId="117">
    <w:abstractNumId w:val="77"/>
  </w:num>
  <w:num w:numId="118">
    <w:abstractNumId w:val="103"/>
  </w:num>
  <w:num w:numId="119">
    <w:abstractNumId w:val="78"/>
  </w:num>
  <w:num w:numId="120">
    <w:abstractNumId w:val="186"/>
  </w:num>
  <w:num w:numId="121">
    <w:abstractNumId w:val="91"/>
  </w:num>
  <w:num w:numId="122">
    <w:abstractNumId w:val="79"/>
  </w:num>
  <w:num w:numId="123">
    <w:abstractNumId w:val="94"/>
  </w:num>
  <w:num w:numId="124">
    <w:abstractNumId w:val="215"/>
  </w:num>
  <w:num w:numId="125">
    <w:abstractNumId w:val="201"/>
  </w:num>
  <w:num w:numId="126">
    <w:abstractNumId w:val="73"/>
  </w:num>
  <w:num w:numId="127">
    <w:abstractNumId w:val="36"/>
  </w:num>
  <w:num w:numId="128">
    <w:abstractNumId w:val="189"/>
  </w:num>
  <w:num w:numId="129">
    <w:abstractNumId w:val="220"/>
  </w:num>
  <w:num w:numId="130">
    <w:abstractNumId w:val="155"/>
  </w:num>
  <w:num w:numId="131">
    <w:abstractNumId w:val="10"/>
  </w:num>
  <w:num w:numId="132">
    <w:abstractNumId w:val="148"/>
  </w:num>
  <w:num w:numId="133">
    <w:abstractNumId w:val="230"/>
  </w:num>
  <w:num w:numId="134">
    <w:abstractNumId w:val="108"/>
  </w:num>
  <w:num w:numId="135">
    <w:abstractNumId w:val="119"/>
  </w:num>
  <w:num w:numId="136">
    <w:abstractNumId w:val="33"/>
  </w:num>
  <w:num w:numId="137">
    <w:abstractNumId w:val="14"/>
  </w:num>
  <w:num w:numId="138">
    <w:abstractNumId w:val="136"/>
  </w:num>
  <w:num w:numId="139">
    <w:abstractNumId w:val="64"/>
  </w:num>
  <w:num w:numId="140">
    <w:abstractNumId w:val="109"/>
  </w:num>
  <w:num w:numId="141">
    <w:abstractNumId w:val="74"/>
  </w:num>
  <w:num w:numId="142">
    <w:abstractNumId w:val="214"/>
  </w:num>
  <w:num w:numId="143">
    <w:abstractNumId w:val="163"/>
  </w:num>
  <w:num w:numId="144">
    <w:abstractNumId w:val="181"/>
  </w:num>
  <w:num w:numId="145">
    <w:abstractNumId w:val="231"/>
  </w:num>
  <w:num w:numId="146">
    <w:abstractNumId w:val="27"/>
  </w:num>
  <w:num w:numId="147">
    <w:abstractNumId w:val="19"/>
  </w:num>
  <w:num w:numId="148">
    <w:abstractNumId w:val="225"/>
  </w:num>
  <w:num w:numId="149">
    <w:abstractNumId w:val="177"/>
  </w:num>
  <w:num w:numId="150">
    <w:abstractNumId w:val="185"/>
  </w:num>
  <w:num w:numId="151">
    <w:abstractNumId w:val="192"/>
  </w:num>
  <w:num w:numId="152">
    <w:abstractNumId w:val="42"/>
  </w:num>
  <w:num w:numId="153">
    <w:abstractNumId w:val="95"/>
  </w:num>
  <w:num w:numId="154">
    <w:abstractNumId w:val="7"/>
  </w:num>
  <w:num w:numId="155">
    <w:abstractNumId w:val="70"/>
  </w:num>
  <w:num w:numId="156">
    <w:abstractNumId w:val="151"/>
  </w:num>
  <w:num w:numId="157">
    <w:abstractNumId w:val="93"/>
  </w:num>
  <w:num w:numId="158">
    <w:abstractNumId w:val="213"/>
  </w:num>
  <w:num w:numId="159">
    <w:abstractNumId w:val="161"/>
  </w:num>
  <w:num w:numId="160">
    <w:abstractNumId w:val="174"/>
  </w:num>
  <w:num w:numId="161">
    <w:abstractNumId w:val="66"/>
  </w:num>
  <w:num w:numId="162">
    <w:abstractNumId w:val="217"/>
  </w:num>
  <w:num w:numId="163">
    <w:abstractNumId w:val="198"/>
  </w:num>
  <w:num w:numId="164">
    <w:abstractNumId w:val="160"/>
  </w:num>
  <w:num w:numId="165">
    <w:abstractNumId w:val="98"/>
  </w:num>
  <w:num w:numId="166">
    <w:abstractNumId w:val="147"/>
  </w:num>
  <w:num w:numId="167">
    <w:abstractNumId w:val="26"/>
  </w:num>
  <w:num w:numId="168">
    <w:abstractNumId w:val="128"/>
  </w:num>
  <w:num w:numId="169">
    <w:abstractNumId w:val="76"/>
  </w:num>
  <w:num w:numId="170">
    <w:abstractNumId w:val="184"/>
  </w:num>
  <w:num w:numId="171">
    <w:abstractNumId w:val="142"/>
  </w:num>
  <w:num w:numId="172">
    <w:abstractNumId w:val="179"/>
  </w:num>
  <w:num w:numId="173">
    <w:abstractNumId w:val="49"/>
  </w:num>
  <w:num w:numId="174">
    <w:abstractNumId w:val="126"/>
  </w:num>
  <w:num w:numId="175">
    <w:abstractNumId w:val="58"/>
  </w:num>
  <w:num w:numId="176">
    <w:abstractNumId w:val="105"/>
  </w:num>
  <w:num w:numId="177">
    <w:abstractNumId w:val="232"/>
  </w:num>
  <w:num w:numId="178">
    <w:abstractNumId w:val="37"/>
  </w:num>
  <w:num w:numId="179">
    <w:abstractNumId w:val="59"/>
  </w:num>
  <w:num w:numId="180">
    <w:abstractNumId w:val="100"/>
  </w:num>
  <w:num w:numId="181">
    <w:abstractNumId w:val="110"/>
  </w:num>
  <w:num w:numId="182">
    <w:abstractNumId w:val="178"/>
  </w:num>
  <w:num w:numId="183">
    <w:abstractNumId w:val="81"/>
  </w:num>
  <w:num w:numId="184">
    <w:abstractNumId w:val="153"/>
  </w:num>
  <w:num w:numId="185">
    <w:abstractNumId w:val="190"/>
  </w:num>
  <w:num w:numId="186">
    <w:abstractNumId w:val="223"/>
  </w:num>
  <w:num w:numId="187">
    <w:abstractNumId w:val="135"/>
  </w:num>
  <w:num w:numId="188">
    <w:abstractNumId w:val="90"/>
  </w:num>
  <w:num w:numId="189">
    <w:abstractNumId w:val="140"/>
  </w:num>
  <w:num w:numId="190">
    <w:abstractNumId w:val="131"/>
  </w:num>
  <w:num w:numId="191">
    <w:abstractNumId w:val="17"/>
  </w:num>
  <w:num w:numId="192">
    <w:abstractNumId w:val="210"/>
  </w:num>
  <w:num w:numId="193">
    <w:abstractNumId w:val="211"/>
  </w:num>
  <w:num w:numId="194">
    <w:abstractNumId w:val="8"/>
  </w:num>
  <w:num w:numId="195">
    <w:abstractNumId w:val="53"/>
  </w:num>
  <w:num w:numId="196">
    <w:abstractNumId w:val="50"/>
  </w:num>
  <w:num w:numId="197">
    <w:abstractNumId w:val="228"/>
  </w:num>
  <w:num w:numId="198">
    <w:abstractNumId w:val="123"/>
  </w:num>
  <w:num w:numId="199">
    <w:abstractNumId w:val="114"/>
  </w:num>
  <w:num w:numId="200">
    <w:abstractNumId w:val="1"/>
  </w:num>
  <w:num w:numId="201">
    <w:abstractNumId w:val="30"/>
  </w:num>
  <w:num w:numId="202">
    <w:abstractNumId w:val="134"/>
  </w:num>
  <w:num w:numId="203">
    <w:abstractNumId w:val="129"/>
  </w:num>
  <w:num w:numId="204">
    <w:abstractNumId w:val="157"/>
  </w:num>
  <w:num w:numId="205">
    <w:abstractNumId w:val="158"/>
  </w:num>
  <w:num w:numId="206">
    <w:abstractNumId w:val="164"/>
  </w:num>
  <w:num w:numId="207">
    <w:abstractNumId w:val="191"/>
  </w:num>
  <w:num w:numId="208">
    <w:abstractNumId w:val="82"/>
  </w:num>
  <w:num w:numId="209">
    <w:abstractNumId w:val="107"/>
  </w:num>
  <w:num w:numId="210">
    <w:abstractNumId w:val="15"/>
  </w:num>
  <w:num w:numId="211">
    <w:abstractNumId w:val="4"/>
  </w:num>
  <w:num w:numId="212">
    <w:abstractNumId w:val="61"/>
  </w:num>
  <w:num w:numId="213">
    <w:abstractNumId w:val="75"/>
  </w:num>
  <w:num w:numId="214">
    <w:abstractNumId w:val="118"/>
  </w:num>
  <w:num w:numId="215">
    <w:abstractNumId w:val="116"/>
  </w:num>
  <w:num w:numId="216">
    <w:abstractNumId w:val="222"/>
  </w:num>
  <w:num w:numId="217">
    <w:abstractNumId w:val="132"/>
  </w:num>
  <w:num w:numId="218">
    <w:abstractNumId w:val="24"/>
  </w:num>
  <w:num w:numId="219">
    <w:abstractNumId w:val="21"/>
  </w:num>
  <w:num w:numId="220">
    <w:abstractNumId w:val="101"/>
  </w:num>
  <w:num w:numId="221">
    <w:abstractNumId w:val="80"/>
  </w:num>
  <w:num w:numId="222">
    <w:abstractNumId w:val="5"/>
  </w:num>
  <w:num w:numId="223">
    <w:abstractNumId w:val="216"/>
  </w:num>
  <w:num w:numId="224">
    <w:abstractNumId w:val="197"/>
  </w:num>
  <w:num w:numId="225">
    <w:abstractNumId w:val="86"/>
  </w:num>
  <w:num w:numId="226">
    <w:abstractNumId w:val="168"/>
  </w:num>
  <w:num w:numId="227">
    <w:abstractNumId w:val="20"/>
  </w:num>
  <w:num w:numId="228">
    <w:abstractNumId w:val="6"/>
  </w:num>
  <w:num w:numId="229">
    <w:abstractNumId w:val="52"/>
  </w:num>
  <w:num w:numId="230">
    <w:abstractNumId w:val="173"/>
  </w:num>
  <w:num w:numId="231">
    <w:abstractNumId w:val="207"/>
  </w:num>
  <w:num w:numId="232">
    <w:abstractNumId w:val="68"/>
  </w:num>
  <w:num w:numId="233">
    <w:abstractNumId w:val="229"/>
  </w:num>
  <w:num w:numId="234">
    <w:abstractNumId w:val="209"/>
  </w:num>
  <w:num w:numId="235">
    <w:abstractNumId w:val="2"/>
  </w:num>
  <w:num w:numId="236">
    <w:abstractNumId w:val="99"/>
  </w:num>
  <w:num w:numId="237">
    <w:abstractNumId w:val="137"/>
  </w:num>
  <w:num w:numId="238">
    <w:abstractNumId w:val="115"/>
  </w:num>
  <w:num w:numId="239">
    <w:abstractNumId w:val="199"/>
  </w:num>
  <w:num w:numId="240">
    <w:abstractNumId w:val="92"/>
  </w:num>
  <w:num w:numId="241">
    <w:abstractNumId w:val="127"/>
  </w:num>
  <w:num w:numId="242">
    <w:abstractNumId w:val="85"/>
  </w:num>
  <w:numIdMacAtCleanup w:val="2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97"/>
    <o:shapelayout v:ext="edit">
      <o:idmap v:ext="edit" data="291"/>
    </o:shapelayout>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5F78FC"/>
    <w:rsid w:val="005F78FC"/>
    <w:rsid w:val="00B42E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132464" TargetMode="External"/><Relationship Id="rId299" Type="http://schemas.openxmlformats.org/officeDocument/2006/relationships/hyperlink" Target="https://go.microsoft.com/fwlink/?LinkId=132464" TargetMode="External"/><Relationship Id="rId21" Type="http://schemas.openxmlformats.org/officeDocument/2006/relationships/hyperlink" Target="https://go.microsoft.com/fwlink/?LinkId=264917" TargetMode="External"/><Relationship Id="rId63" Type="http://schemas.openxmlformats.org/officeDocument/2006/relationships/hyperlink" Target="%5bMS-EMF%5d.pdf" TargetMode="External"/><Relationship Id="rId159" Type="http://schemas.openxmlformats.org/officeDocument/2006/relationships/hyperlink" Target="https://go.microsoft.com/fwlink/?LinkId=132464" TargetMode="External"/><Relationship Id="rId324" Type="http://schemas.openxmlformats.org/officeDocument/2006/relationships/hyperlink" Target="https://go.microsoft.com/fwlink/?LinkId=132464" TargetMode="External"/><Relationship Id="rId366" Type="http://schemas.openxmlformats.org/officeDocument/2006/relationships/hyperlink" Target="%5bMS-LISTSWS%5d.pdf" TargetMode="External"/><Relationship Id="rId170" Type="http://schemas.openxmlformats.org/officeDocument/2006/relationships/image" Target="media/image26.bin"/><Relationship Id="rId226" Type="http://schemas.openxmlformats.org/officeDocument/2006/relationships/hyperlink" Target="https://go.microsoft.com/fwlink/?LinkId=132464" TargetMode="External"/><Relationship Id="rId268" Type="http://schemas.openxmlformats.org/officeDocument/2006/relationships/hyperlink" Target="%5bMC-ISF%5d.pdf" TargetMode="External"/><Relationship Id="rId32" Type="http://schemas.openxmlformats.org/officeDocument/2006/relationships/hyperlink" Target="https://go.microsoft.com/fwlink/?LinkId=264927" TargetMode="External"/><Relationship Id="rId74" Type="http://schemas.openxmlformats.org/officeDocument/2006/relationships/image" Target="media/image6.bin"/><Relationship Id="rId128" Type="http://schemas.openxmlformats.org/officeDocument/2006/relationships/hyperlink" Target="https://go.microsoft.com/fwlink/?LinkId=132464" TargetMode="External"/><Relationship Id="rId335" Type="http://schemas.openxmlformats.org/officeDocument/2006/relationships/hyperlink" Target="https://go.microsoft.com/fwlink/?LinkId=132464" TargetMode="External"/><Relationship Id="rId377" Type="http://schemas.openxmlformats.org/officeDocument/2006/relationships/hyperlink" Target="%5bMS-OFORMS%5d.pdf" TargetMode="External"/><Relationship Id="rId5" Type="http://schemas.openxmlformats.org/officeDocument/2006/relationships/settings" Target="settings.xml"/><Relationship Id="rId181" Type="http://schemas.openxmlformats.org/officeDocument/2006/relationships/hyperlink" Target="%5bMS-ODRAWXML%5d.pdf" TargetMode="External"/><Relationship Id="rId237" Type="http://schemas.openxmlformats.org/officeDocument/2006/relationships/hyperlink" Target="https://go.microsoft.com/fwlink/?LinkId=132464" TargetMode="External"/><Relationship Id="rId402" Type="http://schemas.openxmlformats.org/officeDocument/2006/relationships/theme" Target="theme/theme1.xml"/><Relationship Id="rId279" Type="http://schemas.openxmlformats.org/officeDocument/2006/relationships/hyperlink" Target="https://go.microsoft.com/fwlink/?LinkId=325242" TargetMode="External"/><Relationship Id="rId43" Type="http://schemas.openxmlformats.org/officeDocument/2006/relationships/hyperlink" Target="%5bMS-LCID%5d.pdf" TargetMode="External"/><Relationship Id="rId139" Type="http://schemas.openxmlformats.org/officeDocument/2006/relationships/hyperlink" Target="https://go.microsoft.com/fwlink/?LinkId=132464" TargetMode="External"/><Relationship Id="rId290" Type="http://schemas.openxmlformats.org/officeDocument/2006/relationships/hyperlink" Target="https://go.microsoft.com/fwlink/?LinkId=132464" TargetMode="External"/><Relationship Id="rId304" Type="http://schemas.openxmlformats.org/officeDocument/2006/relationships/hyperlink" Target="https://go.microsoft.com/fwlink/?LinkId=265314" TargetMode="External"/><Relationship Id="rId346" Type="http://schemas.openxmlformats.org/officeDocument/2006/relationships/hyperlink" Target="https://go.microsoft.com/fwlink/?LinkId=325242" TargetMode="External"/><Relationship Id="rId388" Type="http://schemas.openxmlformats.org/officeDocument/2006/relationships/hyperlink" Target="https://go.microsoft.com/fwlink/?LinkId=132464" TargetMode="External"/><Relationship Id="rId85" Type="http://schemas.openxmlformats.org/officeDocument/2006/relationships/hyperlink" Target="https://go.microsoft.com/fwlink/?LinkId=150884" TargetMode="External"/><Relationship Id="rId150" Type="http://schemas.openxmlformats.org/officeDocument/2006/relationships/hyperlink" Target="https://go.microsoft.com/fwlink/?LinkId=132464" TargetMode="External"/><Relationship Id="rId192" Type="http://schemas.openxmlformats.org/officeDocument/2006/relationships/image" Target="media/image40.bin"/><Relationship Id="rId206" Type="http://schemas.openxmlformats.org/officeDocument/2006/relationships/hyperlink" Target="https://go.microsoft.com/fwlink/?LinkId=132464" TargetMode="External"/><Relationship Id="rId248" Type="http://schemas.openxmlformats.org/officeDocument/2006/relationships/image" Target="media/image51.bin"/><Relationship Id="rId12" Type="http://schemas.openxmlformats.org/officeDocument/2006/relationships/hyperlink" Target="https://aka.ms/AA9ufj8" TargetMode="External"/><Relationship Id="rId108" Type="http://schemas.openxmlformats.org/officeDocument/2006/relationships/hyperlink" Target="https://go.microsoft.com/fwlink/?LinkId=132464" TargetMode="External"/><Relationship Id="rId315" Type="http://schemas.openxmlformats.org/officeDocument/2006/relationships/hyperlink" Target="https://go.microsoft.com/fwlink/?LinkId=325242" TargetMode="External"/><Relationship Id="rId357" Type="http://schemas.openxmlformats.org/officeDocument/2006/relationships/hyperlink" Target="https://go.microsoft.com/fwlink/?LinkId=325242" TargetMode="External"/><Relationship Id="rId54" Type="http://schemas.openxmlformats.org/officeDocument/2006/relationships/hyperlink" Target="https://aka.ms/AA9sfb8" TargetMode="External"/><Relationship Id="rId96" Type="http://schemas.openxmlformats.org/officeDocument/2006/relationships/hyperlink" Target="https://go.microsoft.com/fwlink/?LinkId=132464" TargetMode="External"/><Relationship Id="rId161" Type="http://schemas.openxmlformats.org/officeDocument/2006/relationships/hyperlink" Target="https://go.microsoft.com/fwlink/?LinkId=132464" TargetMode="External"/><Relationship Id="rId217" Type="http://schemas.openxmlformats.org/officeDocument/2006/relationships/hyperlink" Target="https://go.microsoft.com/fwlink/?LinkId=132464" TargetMode="External"/><Relationship Id="rId399" Type="http://schemas.openxmlformats.org/officeDocument/2006/relationships/footer" Target="footer2.xml"/><Relationship Id="rId259" Type="http://schemas.openxmlformats.org/officeDocument/2006/relationships/hyperlink" Target="https://go.microsoft.com/fwlink/?LinkId=150884" TargetMode="External"/><Relationship Id="rId23" Type="http://schemas.openxmlformats.org/officeDocument/2006/relationships/hyperlink" Target="https://go.microsoft.com/fwlink/?LinkId=114090" TargetMode="External"/><Relationship Id="rId119" Type="http://schemas.openxmlformats.org/officeDocument/2006/relationships/hyperlink" Target="https://go.microsoft.com/fwlink/?LinkId=89920" TargetMode="External"/><Relationship Id="rId270" Type="http://schemas.openxmlformats.org/officeDocument/2006/relationships/hyperlink" Target="https://go.microsoft.com/fwlink/?LinkId=150884" TargetMode="External"/><Relationship Id="rId326" Type="http://schemas.openxmlformats.org/officeDocument/2006/relationships/hyperlink" Target="%5bMS-XLS%5d.pdf" TargetMode="External"/><Relationship Id="rId65" Type="http://schemas.openxmlformats.org/officeDocument/2006/relationships/hyperlink" Target="%5bMS-WMF%5d.pdf" TargetMode="External"/><Relationship Id="rId130" Type="http://schemas.openxmlformats.org/officeDocument/2006/relationships/hyperlink" Target="https://go.microsoft.com/fwlink/?LinkId=132464" TargetMode="External"/><Relationship Id="rId368" Type="http://schemas.openxmlformats.org/officeDocument/2006/relationships/hyperlink" Target="%5bMS-LISTSWS%5d.pdf" TargetMode="External"/><Relationship Id="rId172" Type="http://schemas.openxmlformats.org/officeDocument/2006/relationships/image" Target="media/image28.bin"/><Relationship Id="rId228" Type="http://schemas.openxmlformats.org/officeDocument/2006/relationships/hyperlink" Target="https://go.microsoft.com/fwlink/?LinkId=150884" TargetMode="External"/><Relationship Id="rId281" Type="http://schemas.openxmlformats.org/officeDocument/2006/relationships/hyperlink" Target="https://go.microsoft.com/fwlink/?LinkId=325242" TargetMode="External"/><Relationship Id="rId337" Type="http://schemas.openxmlformats.org/officeDocument/2006/relationships/hyperlink" Target="https://go.microsoft.com/fwlink/?LinkId=132464" TargetMode="External"/><Relationship Id="rId34" Type="http://schemas.openxmlformats.org/officeDocument/2006/relationships/hyperlink" Target="https://go.microsoft.com/fwlink/?LinkId=114456" TargetMode="External"/><Relationship Id="rId76" Type="http://schemas.openxmlformats.org/officeDocument/2006/relationships/image" Target="media/image8.bin"/><Relationship Id="rId141" Type="http://schemas.openxmlformats.org/officeDocument/2006/relationships/hyperlink" Target="https://go.microsoft.com/fwlink/?LinkId=132464" TargetMode="External"/><Relationship Id="rId379" Type="http://schemas.openxmlformats.org/officeDocument/2006/relationships/hyperlink" Target="https://go.microsoft.com/fwlink/?LinkId=132464" TargetMode="External"/><Relationship Id="rId7" Type="http://schemas.openxmlformats.org/officeDocument/2006/relationships/footnotes" Target="footnotes.xml"/><Relationship Id="rId183" Type="http://schemas.openxmlformats.org/officeDocument/2006/relationships/hyperlink" Target="https://go.microsoft.com/fwlink/?LinkId=132464" TargetMode="External"/><Relationship Id="rId239" Type="http://schemas.openxmlformats.org/officeDocument/2006/relationships/hyperlink" Target="https://go.microsoft.com/fwlink/?LinkId=132464" TargetMode="External"/><Relationship Id="rId390" Type="http://schemas.openxmlformats.org/officeDocument/2006/relationships/hyperlink" Target="https://go.microsoft.com/fwlink/?LinkId=132464" TargetMode="External"/><Relationship Id="rId250" Type="http://schemas.openxmlformats.org/officeDocument/2006/relationships/image" Target="media/image53.bin"/><Relationship Id="rId292" Type="http://schemas.openxmlformats.org/officeDocument/2006/relationships/hyperlink" Target="https://go.microsoft.com/fwlink/?LinkId=325242" TargetMode="External"/><Relationship Id="rId306" Type="http://schemas.openxmlformats.org/officeDocument/2006/relationships/hyperlink" Target="https://go.microsoft.com/fwlink/?LinkId=264927" TargetMode="External"/><Relationship Id="rId45" Type="http://schemas.openxmlformats.org/officeDocument/2006/relationships/hyperlink" Target="%5bMS-ODRAWXML%5d.pdf" TargetMode="External"/><Relationship Id="rId87" Type="http://schemas.openxmlformats.org/officeDocument/2006/relationships/image" Target="media/image11.bin"/><Relationship Id="rId110" Type="http://schemas.openxmlformats.org/officeDocument/2006/relationships/hyperlink" Target="https://go.microsoft.com/fwlink/?LinkId=132464" TargetMode="External"/><Relationship Id="rId348" Type="http://schemas.openxmlformats.org/officeDocument/2006/relationships/hyperlink" Target="https://go.microsoft.com/fwlink/?LinkId=132464" TargetMode="External"/><Relationship Id="rId152" Type="http://schemas.openxmlformats.org/officeDocument/2006/relationships/hyperlink" Target="https://go.microsoft.com/fwlink/?LinkId=132464" TargetMode="External"/><Relationship Id="rId194" Type="http://schemas.openxmlformats.org/officeDocument/2006/relationships/hyperlink" Target="https://go.microsoft.com/fwlink/?LinkId=132464" TargetMode="External"/><Relationship Id="rId208" Type="http://schemas.openxmlformats.org/officeDocument/2006/relationships/hyperlink" Target="https://go.microsoft.com/fwlink/?LinkId=132464" TargetMode="External"/><Relationship Id="rId261" Type="http://schemas.openxmlformats.org/officeDocument/2006/relationships/hyperlink" Target="https://go.microsoft.com/fwlink/?LinkId=150884" TargetMode="External"/><Relationship Id="rId14" Type="http://schemas.openxmlformats.org/officeDocument/2006/relationships/hyperlink" Target="mailto:dochelp@microsoft.com" TargetMode="External"/><Relationship Id="rId56" Type="http://schemas.openxmlformats.org/officeDocument/2006/relationships/hyperlink" Target="https://go.microsoft.com/fwlink/?LinkId=132464" TargetMode="External"/><Relationship Id="rId317" Type="http://schemas.openxmlformats.org/officeDocument/2006/relationships/hyperlink" Target="https://go.microsoft.com/fwlink/?LinkId=325242" TargetMode="External"/><Relationship Id="rId359" Type="http://schemas.openxmlformats.org/officeDocument/2006/relationships/hyperlink" Target="%5bMS-OFFCRYPTO%5d.pdf" TargetMode="External"/><Relationship Id="rId98" Type="http://schemas.openxmlformats.org/officeDocument/2006/relationships/hyperlink" Target="https://go.microsoft.com/fwlink/?LinkId=150884" TargetMode="External"/><Relationship Id="rId121" Type="http://schemas.openxmlformats.org/officeDocument/2006/relationships/hyperlink" Target="https://go.microsoft.com/fwlink/?LinkId=132464" TargetMode="External"/><Relationship Id="rId163" Type="http://schemas.openxmlformats.org/officeDocument/2006/relationships/hyperlink" Target="https://go.microsoft.com/fwlink/?LinkId=132464" TargetMode="External"/><Relationship Id="rId219" Type="http://schemas.openxmlformats.org/officeDocument/2006/relationships/hyperlink" Target="https://go.microsoft.com/fwlink/?LinkId=132464" TargetMode="External"/><Relationship Id="rId370" Type="http://schemas.openxmlformats.org/officeDocument/2006/relationships/hyperlink" Target="%5bMS-IPFF%5d.pdf" TargetMode="External"/><Relationship Id="rId230" Type="http://schemas.openxmlformats.org/officeDocument/2006/relationships/hyperlink" Target="https://go.microsoft.com/fwlink/?LinkId=150884" TargetMode="External"/><Relationship Id="rId25" Type="http://schemas.openxmlformats.org/officeDocument/2006/relationships/hyperlink" Target="https://go.microsoft.com/fwlink/?LinkId=118624" TargetMode="External"/><Relationship Id="rId67" Type="http://schemas.openxmlformats.org/officeDocument/2006/relationships/hyperlink" Target="https://go.microsoft.com/fwlink/?LinkId=150884" TargetMode="External"/><Relationship Id="rId272" Type="http://schemas.openxmlformats.org/officeDocument/2006/relationships/image" Target="media/image66.bin"/><Relationship Id="rId328" Type="http://schemas.openxmlformats.org/officeDocument/2006/relationships/hyperlink" Target="https://go.microsoft.com/fwlink/?LinkId=325242" TargetMode="External"/><Relationship Id="rId132" Type="http://schemas.openxmlformats.org/officeDocument/2006/relationships/hyperlink" Target="https://go.microsoft.com/fwlink/?LinkId=132464" TargetMode="External"/><Relationship Id="rId174" Type="http://schemas.openxmlformats.org/officeDocument/2006/relationships/image" Target="media/image30.bin"/><Relationship Id="rId381" Type="http://schemas.openxmlformats.org/officeDocument/2006/relationships/hyperlink" Target="https://go.microsoft.com/fwlink/?LinkId=132464" TargetMode="External"/><Relationship Id="rId241" Type="http://schemas.openxmlformats.org/officeDocument/2006/relationships/hyperlink" Target="https://go.microsoft.com/fwlink/?LinkId=132464" TargetMode="External"/><Relationship Id="rId36" Type="http://schemas.openxmlformats.org/officeDocument/2006/relationships/hyperlink" Target="%5bMS-CFB%5d.pdf" TargetMode="External"/><Relationship Id="rId283" Type="http://schemas.openxmlformats.org/officeDocument/2006/relationships/hyperlink" Target="https://go.microsoft.com/fwlink/?LinkId=132464" TargetMode="External"/><Relationship Id="rId339" Type="http://schemas.openxmlformats.org/officeDocument/2006/relationships/hyperlink" Target="%5bMS-PPT%5d.pdf" TargetMode="External"/><Relationship Id="rId78" Type="http://schemas.openxmlformats.org/officeDocument/2006/relationships/image" Target="media/image10.bin"/><Relationship Id="rId101" Type="http://schemas.openxmlformats.org/officeDocument/2006/relationships/image" Target="media/image15.bin"/><Relationship Id="rId143" Type="http://schemas.openxmlformats.org/officeDocument/2006/relationships/hyperlink" Target="https://go.microsoft.com/fwlink/?LinkId=132464" TargetMode="External"/><Relationship Id="rId185" Type="http://schemas.openxmlformats.org/officeDocument/2006/relationships/hyperlink" Target="https://go.microsoft.com/fwlink/?LinkId=132464" TargetMode="External"/><Relationship Id="rId350" Type="http://schemas.openxmlformats.org/officeDocument/2006/relationships/hyperlink" Target="https://go.microsoft.com/fwlink/?LinkId=325242" TargetMode="External"/><Relationship Id="rId9" Type="http://schemas.openxmlformats.org/officeDocument/2006/relationships/hyperlink" Target="https://go.microsoft.com/fwlink/?LinkId=214445" TargetMode="External"/><Relationship Id="rId210" Type="http://schemas.openxmlformats.org/officeDocument/2006/relationships/hyperlink" Target="https://go.microsoft.com/fwlink/?LinkId=132464" TargetMode="External"/><Relationship Id="rId392" Type="http://schemas.openxmlformats.org/officeDocument/2006/relationships/hyperlink" Target="mailto:dochelp@microsoft.com" TargetMode="External"/><Relationship Id="rId252" Type="http://schemas.openxmlformats.org/officeDocument/2006/relationships/image" Target="media/image55.bin"/><Relationship Id="rId294" Type="http://schemas.openxmlformats.org/officeDocument/2006/relationships/hyperlink" Target="https://go.microsoft.com/fwlink/?LinkId=132464" TargetMode="External"/><Relationship Id="rId308" Type="http://schemas.openxmlformats.org/officeDocument/2006/relationships/hyperlink" Target="https://go.microsoft.com/fwlink/?LinkId=264938" TargetMode="External"/><Relationship Id="rId47" Type="http://schemas.openxmlformats.org/officeDocument/2006/relationships/hyperlink" Target="%5bMS-OFORMS%5d.pdf" TargetMode="External"/><Relationship Id="rId89" Type="http://schemas.openxmlformats.org/officeDocument/2006/relationships/image" Target="media/image13.bin"/><Relationship Id="rId112" Type="http://schemas.openxmlformats.org/officeDocument/2006/relationships/hyperlink" Target="https://go.microsoft.com/fwlink/?LinkId=132464" TargetMode="External"/><Relationship Id="rId154" Type="http://schemas.openxmlformats.org/officeDocument/2006/relationships/hyperlink" Target="https://go.microsoft.com/fwlink/?LinkId=132464" TargetMode="External"/><Relationship Id="rId361" Type="http://schemas.openxmlformats.org/officeDocument/2006/relationships/hyperlink" Target="https://go.microsoft.com/fwlink/?LinkId=132464" TargetMode="External"/><Relationship Id="rId196" Type="http://schemas.openxmlformats.org/officeDocument/2006/relationships/hyperlink" Target="https://go.microsoft.com/fwlink/?LinkId=132464" TargetMode="External"/><Relationship Id="rId16" Type="http://schemas.openxmlformats.org/officeDocument/2006/relationships/hyperlink" Target="%5bMS-CFB%5d.pdf" TargetMode="External"/><Relationship Id="rId221" Type="http://schemas.openxmlformats.org/officeDocument/2006/relationships/hyperlink" Target="https://go.microsoft.com/fwlink/?LinkId=132464" TargetMode="External"/><Relationship Id="rId263" Type="http://schemas.openxmlformats.org/officeDocument/2006/relationships/hyperlink" Target="https://go.microsoft.com/fwlink/?LinkId=150884" TargetMode="External"/><Relationship Id="rId319" Type="http://schemas.openxmlformats.org/officeDocument/2006/relationships/hyperlink" Target="https://go.microsoft.com/fwlink/?LinkId=150884" TargetMode="External"/><Relationship Id="rId58" Type="http://schemas.openxmlformats.org/officeDocument/2006/relationships/hyperlink" Target="https://go.microsoft.com/fwlink/?LinkId=132464" TargetMode="External"/><Relationship Id="rId123" Type="http://schemas.openxmlformats.org/officeDocument/2006/relationships/hyperlink" Target="https://go.microsoft.com/fwlink/?LinkId=132464" TargetMode="External"/><Relationship Id="rId330" Type="http://schemas.openxmlformats.org/officeDocument/2006/relationships/image" Target="media/image69.bin"/><Relationship Id="rId90" Type="http://schemas.openxmlformats.org/officeDocument/2006/relationships/image" Target="media/image14.bin"/><Relationship Id="rId165" Type="http://schemas.openxmlformats.org/officeDocument/2006/relationships/image" Target="media/image21.bin"/><Relationship Id="rId186" Type="http://schemas.openxmlformats.org/officeDocument/2006/relationships/image" Target="media/image35.bin"/><Relationship Id="rId351" Type="http://schemas.openxmlformats.org/officeDocument/2006/relationships/hyperlink" Target="%5bMS-CUSTOMUI%5d.pdf" TargetMode="External"/><Relationship Id="rId372" Type="http://schemas.openxmlformats.org/officeDocument/2006/relationships/hyperlink" Target="https://go.microsoft.com/fwlink/?LinkId=132464" TargetMode="External"/><Relationship Id="rId393" Type="http://schemas.openxmlformats.org/officeDocument/2006/relationships/header" Target="header1.xml"/><Relationship Id="rId211" Type="http://schemas.openxmlformats.org/officeDocument/2006/relationships/hyperlink" Target="https://go.microsoft.com/fwlink/?LinkId=132464" TargetMode="External"/><Relationship Id="rId232" Type="http://schemas.openxmlformats.org/officeDocument/2006/relationships/hyperlink" Target="https://go.microsoft.com/fwlink/?LinkId=132464" TargetMode="External"/><Relationship Id="rId253" Type="http://schemas.openxmlformats.org/officeDocument/2006/relationships/image" Target="media/image56.bin"/><Relationship Id="rId274" Type="http://schemas.openxmlformats.org/officeDocument/2006/relationships/hyperlink" Target="https://go.microsoft.com/fwlink/?LinkId=150884" TargetMode="External"/><Relationship Id="rId295" Type="http://schemas.openxmlformats.org/officeDocument/2006/relationships/hyperlink" Target="https://go.microsoft.com/fwlink/?LinkId=132464" TargetMode="External"/><Relationship Id="rId309" Type="http://schemas.openxmlformats.org/officeDocument/2006/relationships/hyperlink" Target="https://go.microsoft.com/fwlink/?LinkId=265314" TargetMode="External"/><Relationship Id="rId27" Type="http://schemas.openxmlformats.org/officeDocument/2006/relationships/hyperlink" Target="https://go.microsoft.com/fwlink/?LinkId=89920" TargetMode="External"/><Relationship Id="rId48" Type="http://schemas.openxmlformats.org/officeDocument/2006/relationships/hyperlink" Target="%5bMS-PPT%5d.pdf" TargetMode="External"/><Relationship Id="rId69" Type="http://schemas.openxmlformats.org/officeDocument/2006/relationships/hyperlink" Target="https://go.microsoft.com/fwlink/?LinkId=132464" TargetMode="External"/><Relationship Id="rId113" Type="http://schemas.openxmlformats.org/officeDocument/2006/relationships/hyperlink" Target="https://go.microsoft.com/fwlink/?LinkId=114090" TargetMode="External"/><Relationship Id="rId134" Type="http://schemas.openxmlformats.org/officeDocument/2006/relationships/hyperlink" Target="https://go.microsoft.com/fwlink/?LinkId=132464" TargetMode="External"/><Relationship Id="rId320" Type="http://schemas.openxmlformats.org/officeDocument/2006/relationships/hyperlink" Target="https://go.microsoft.com/fwlink/?LinkId=132464" TargetMode="External"/><Relationship Id="rId80" Type="http://schemas.openxmlformats.org/officeDocument/2006/relationships/hyperlink" Target="https://go.microsoft.com/fwlink/?LinkId=150884" TargetMode="External"/><Relationship Id="rId155" Type="http://schemas.openxmlformats.org/officeDocument/2006/relationships/hyperlink" Target="%5bMS-PPT%5d.pdf" TargetMode="External"/><Relationship Id="rId176" Type="http://schemas.openxmlformats.org/officeDocument/2006/relationships/image" Target="media/image32.bin"/><Relationship Id="rId197" Type="http://schemas.openxmlformats.org/officeDocument/2006/relationships/hyperlink" Target="https://go.microsoft.com/fwlink/?LinkId=132464" TargetMode="External"/><Relationship Id="rId341" Type="http://schemas.openxmlformats.org/officeDocument/2006/relationships/hyperlink" Target="https://go.microsoft.com/fwlink/?LinkId=132464" TargetMode="External"/><Relationship Id="rId362" Type="http://schemas.openxmlformats.org/officeDocument/2006/relationships/hyperlink" Target="https://go.microsoft.com/fwlink/?LinkId=325242" TargetMode="External"/><Relationship Id="rId383" Type="http://schemas.openxmlformats.org/officeDocument/2006/relationships/hyperlink" Target="https://go.microsoft.com/fwlink/?LinkId=132464" TargetMode="External"/><Relationship Id="rId201" Type="http://schemas.openxmlformats.org/officeDocument/2006/relationships/image" Target="media/image44.bin"/><Relationship Id="rId222" Type="http://schemas.openxmlformats.org/officeDocument/2006/relationships/hyperlink" Target="https://go.microsoft.com/fwlink/?LinkId=89920" TargetMode="External"/><Relationship Id="rId243" Type="http://schemas.openxmlformats.org/officeDocument/2006/relationships/hyperlink" Target="https://go.microsoft.com/fwlink/?LinkId=150884" TargetMode="External"/><Relationship Id="rId264" Type="http://schemas.openxmlformats.org/officeDocument/2006/relationships/image" Target="media/image63.bin"/><Relationship Id="rId285" Type="http://schemas.openxmlformats.org/officeDocument/2006/relationships/hyperlink" Target="https://go.microsoft.com/fwlink/?LinkId=325242" TargetMode="External"/><Relationship Id="rId17" Type="http://schemas.openxmlformats.org/officeDocument/2006/relationships/hyperlink" Target="https://go.microsoft.com/fwlink/?LinkId=90317" TargetMode="External"/><Relationship Id="rId38" Type="http://schemas.openxmlformats.org/officeDocument/2006/relationships/hyperlink" Target="%5bMS-CUSTOMUI%5d.pdf" TargetMode="External"/><Relationship Id="rId59" Type="http://schemas.openxmlformats.org/officeDocument/2006/relationships/hyperlink" Target="https://go.microsoft.com/fwlink/?LinkId=118624" TargetMode="External"/><Relationship Id="rId103" Type="http://schemas.openxmlformats.org/officeDocument/2006/relationships/hyperlink" Target="https://go.microsoft.com/fwlink/?LinkId=150884" TargetMode="External"/><Relationship Id="rId124" Type="http://schemas.openxmlformats.org/officeDocument/2006/relationships/hyperlink" Target="https://go.microsoft.com/fwlink/?LinkId=132464" TargetMode="External"/><Relationship Id="rId310" Type="http://schemas.openxmlformats.org/officeDocument/2006/relationships/hyperlink" Target="https://go.microsoft.com/fwlink/?LinkId=264917" TargetMode="External"/><Relationship Id="rId70" Type="http://schemas.openxmlformats.org/officeDocument/2006/relationships/image" Target="media/image2.bin"/><Relationship Id="rId91" Type="http://schemas.openxmlformats.org/officeDocument/2006/relationships/hyperlink" Target="https://go.microsoft.com/fwlink/?LinkId=132464" TargetMode="External"/><Relationship Id="rId145" Type="http://schemas.openxmlformats.org/officeDocument/2006/relationships/hyperlink" Target="https://go.microsoft.com/fwlink/?LinkId=132464" TargetMode="External"/><Relationship Id="rId166" Type="http://schemas.openxmlformats.org/officeDocument/2006/relationships/image" Target="media/image22.bin"/><Relationship Id="rId187" Type="http://schemas.openxmlformats.org/officeDocument/2006/relationships/image" Target="media/image36.bin"/><Relationship Id="rId331" Type="http://schemas.openxmlformats.org/officeDocument/2006/relationships/image" Target="media/image70.bin"/><Relationship Id="rId352" Type="http://schemas.openxmlformats.org/officeDocument/2006/relationships/hyperlink" Target="https://go.microsoft.com/fwlink/?LinkId=325242" TargetMode="External"/><Relationship Id="rId373" Type="http://schemas.openxmlformats.org/officeDocument/2006/relationships/hyperlink" Target="%5bMS-IPFF%5d.pdf" TargetMode="External"/><Relationship Id="rId394" Type="http://schemas.openxmlformats.org/officeDocument/2006/relationships/header" Target="header2.xml"/><Relationship Id="rId1" Type="http://schemas.openxmlformats.org/officeDocument/2006/relationships/customXml" Target="../customXml/item1.xml"/><Relationship Id="rId212" Type="http://schemas.openxmlformats.org/officeDocument/2006/relationships/hyperlink" Target="https://go.microsoft.com/fwlink/?LinkId=132464" TargetMode="External"/><Relationship Id="rId233" Type="http://schemas.openxmlformats.org/officeDocument/2006/relationships/hyperlink" Target="https://go.microsoft.com/fwlink/?LinkId=132464" TargetMode="External"/><Relationship Id="rId254" Type="http://schemas.openxmlformats.org/officeDocument/2006/relationships/image" Target="media/image57.bin"/><Relationship Id="rId28" Type="http://schemas.openxmlformats.org/officeDocument/2006/relationships/hyperlink" Target="https://go.microsoft.com/fwlink/?LinkId=154475" TargetMode="External"/><Relationship Id="rId49" Type="http://schemas.openxmlformats.org/officeDocument/2006/relationships/hyperlink" Target="%5bMS-WMF%5d.pdf" TargetMode="External"/><Relationship Id="rId114" Type="http://schemas.openxmlformats.org/officeDocument/2006/relationships/hyperlink" Target="https://go.microsoft.com/fwlink/?LinkId=132464" TargetMode="External"/><Relationship Id="rId275" Type="http://schemas.openxmlformats.org/officeDocument/2006/relationships/hyperlink" Target="https://go.microsoft.com/fwlink/?LinkId=150884" TargetMode="External"/><Relationship Id="rId296" Type="http://schemas.openxmlformats.org/officeDocument/2006/relationships/hyperlink" Target="https://go.microsoft.com/fwlink/?LinkId=132464" TargetMode="External"/><Relationship Id="rId300" Type="http://schemas.openxmlformats.org/officeDocument/2006/relationships/hyperlink" Target="https://go.microsoft.com/fwlink/?LinkId=132464" TargetMode="External"/><Relationship Id="rId60" Type="http://schemas.openxmlformats.org/officeDocument/2006/relationships/hyperlink" Target="https://go.microsoft.com/fwlink/?LinkId=118625" TargetMode="External"/><Relationship Id="rId81" Type="http://schemas.openxmlformats.org/officeDocument/2006/relationships/hyperlink" Target="https://go.microsoft.com/fwlink/?LinkId=132464" TargetMode="External"/><Relationship Id="rId135" Type="http://schemas.openxmlformats.org/officeDocument/2006/relationships/hyperlink" Target="https://go.microsoft.com/fwlink/?LinkId=132464" TargetMode="External"/><Relationship Id="rId156" Type="http://schemas.openxmlformats.org/officeDocument/2006/relationships/hyperlink" Target="https://go.microsoft.com/fwlink/?LinkId=132464" TargetMode="External"/><Relationship Id="rId177" Type="http://schemas.openxmlformats.org/officeDocument/2006/relationships/image" Target="media/image33.bin"/><Relationship Id="rId198" Type="http://schemas.openxmlformats.org/officeDocument/2006/relationships/image" Target="media/image41.bin"/><Relationship Id="rId321" Type="http://schemas.openxmlformats.org/officeDocument/2006/relationships/hyperlink" Target="https://go.microsoft.com/fwlink/?LinkId=132464" TargetMode="External"/><Relationship Id="rId342" Type="http://schemas.openxmlformats.org/officeDocument/2006/relationships/hyperlink" Target="%5bMS-PPT%5d.pdf" TargetMode="External"/><Relationship Id="rId363" Type="http://schemas.openxmlformats.org/officeDocument/2006/relationships/hyperlink" Target="https://go.microsoft.com/fwlink/?LinkId=132464" TargetMode="External"/><Relationship Id="rId384" Type="http://schemas.openxmlformats.org/officeDocument/2006/relationships/image" Target="media/image72.bin"/><Relationship Id="rId202" Type="http://schemas.openxmlformats.org/officeDocument/2006/relationships/image" Target="media/image45.bin"/><Relationship Id="rId223" Type="http://schemas.openxmlformats.org/officeDocument/2006/relationships/hyperlink" Target="https://go.microsoft.com/fwlink/?LinkId=89920" TargetMode="External"/><Relationship Id="rId244" Type="http://schemas.openxmlformats.org/officeDocument/2006/relationships/hyperlink" Target="https://go.microsoft.com/fwlink/?LinkId=150884" TargetMode="External"/><Relationship Id="rId18" Type="http://schemas.openxmlformats.org/officeDocument/2006/relationships/hyperlink" Target="https://go.microsoft.com/fwlink/?linkid=850906" TargetMode="External"/><Relationship Id="rId39" Type="http://schemas.openxmlformats.org/officeDocument/2006/relationships/hyperlink" Target="%5bMS-DOC%5d.pdf" TargetMode="External"/><Relationship Id="rId265" Type="http://schemas.openxmlformats.org/officeDocument/2006/relationships/image" Target="media/image64.bin"/><Relationship Id="rId286" Type="http://schemas.openxmlformats.org/officeDocument/2006/relationships/hyperlink" Target="https://go.microsoft.com/fwlink/?LinkId=325242" TargetMode="External"/><Relationship Id="rId50" Type="http://schemas.openxmlformats.org/officeDocument/2006/relationships/hyperlink" Target="%5bMS-WSSCAML%5d.pdf" TargetMode="External"/><Relationship Id="rId104" Type="http://schemas.openxmlformats.org/officeDocument/2006/relationships/hyperlink" Target="https://go.microsoft.com/fwlink/?LinkId=132464" TargetMode="External"/><Relationship Id="rId125" Type="http://schemas.openxmlformats.org/officeDocument/2006/relationships/hyperlink" Target="https://go.microsoft.com/fwlink/?LinkId=150884" TargetMode="External"/><Relationship Id="rId146" Type="http://schemas.openxmlformats.org/officeDocument/2006/relationships/image" Target="media/image18.bin"/><Relationship Id="rId167" Type="http://schemas.openxmlformats.org/officeDocument/2006/relationships/image" Target="media/image23.bin"/><Relationship Id="rId188" Type="http://schemas.openxmlformats.org/officeDocument/2006/relationships/image" Target="media/image37.bin"/><Relationship Id="rId311" Type="http://schemas.openxmlformats.org/officeDocument/2006/relationships/hyperlink" Target="https://go.microsoft.com/fwlink/?LinkId=132464" TargetMode="External"/><Relationship Id="rId332" Type="http://schemas.openxmlformats.org/officeDocument/2006/relationships/image" Target="media/image71.bin"/><Relationship Id="rId353" Type="http://schemas.openxmlformats.org/officeDocument/2006/relationships/hyperlink" Target="%5bMS-CUSTOMUI%5d.pdf" TargetMode="External"/><Relationship Id="rId374" Type="http://schemas.openxmlformats.org/officeDocument/2006/relationships/hyperlink" Target="%5bMS-IPFF%5d.pdf" TargetMode="External"/><Relationship Id="rId395" Type="http://schemas.openxmlformats.org/officeDocument/2006/relationships/footer" Target="footer1.xml"/><Relationship Id="rId71" Type="http://schemas.openxmlformats.org/officeDocument/2006/relationships/image" Target="media/image3.bin"/><Relationship Id="rId92" Type="http://schemas.openxmlformats.org/officeDocument/2006/relationships/hyperlink" Target="https://go.microsoft.com/fwlink/?LinkId=132464" TargetMode="External"/><Relationship Id="rId213" Type="http://schemas.openxmlformats.org/officeDocument/2006/relationships/hyperlink" Target="https://go.microsoft.com/fwlink/?LinkId=132464" TargetMode="External"/><Relationship Id="rId234" Type="http://schemas.openxmlformats.org/officeDocument/2006/relationships/hyperlink" Target="https://go.microsoft.com/fwlink/?LinkId=132464" TargetMode="External"/><Relationship Id="rId2" Type="http://schemas.openxmlformats.org/officeDocument/2006/relationships/customXml" Target="../customXml/item2.xml"/><Relationship Id="rId29" Type="http://schemas.openxmlformats.org/officeDocument/2006/relationships/hyperlink" Target="https://go.microsoft.com/fwlink/?LinkId=132464" TargetMode="External"/><Relationship Id="rId255" Type="http://schemas.openxmlformats.org/officeDocument/2006/relationships/image" Target="media/image58.bin"/><Relationship Id="rId276" Type="http://schemas.openxmlformats.org/officeDocument/2006/relationships/hyperlink" Target="https://go.microsoft.com/fwlink/?LinkId=132464" TargetMode="External"/><Relationship Id="rId297" Type="http://schemas.openxmlformats.org/officeDocument/2006/relationships/hyperlink" Target="https://go.microsoft.com/fwlink/?LinkId=132464" TargetMode="External"/><Relationship Id="rId40" Type="http://schemas.openxmlformats.org/officeDocument/2006/relationships/hyperlink" Target="%5bMS-EMFPLUS%5d.pdf" TargetMode="External"/><Relationship Id="rId115" Type="http://schemas.openxmlformats.org/officeDocument/2006/relationships/hyperlink" Target="https://go.microsoft.com/fwlink/?LinkId=132464" TargetMode="External"/><Relationship Id="rId136" Type="http://schemas.openxmlformats.org/officeDocument/2006/relationships/hyperlink" Target="https://go.microsoft.com/fwlink/?LinkId=132464" TargetMode="External"/><Relationship Id="rId157" Type="http://schemas.openxmlformats.org/officeDocument/2006/relationships/hyperlink" Target="https://go.microsoft.com/fwlink/?LinkId=132464" TargetMode="External"/><Relationship Id="rId178" Type="http://schemas.openxmlformats.org/officeDocument/2006/relationships/image" Target="media/image34.bin"/><Relationship Id="rId301" Type="http://schemas.openxmlformats.org/officeDocument/2006/relationships/hyperlink" Target="https://go.microsoft.com/fwlink/?LinkId=264927" TargetMode="External"/><Relationship Id="rId322" Type="http://schemas.openxmlformats.org/officeDocument/2006/relationships/hyperlink" Target="https://go.microsoft.com/fwlink/?LinkId=325242" TargetMode="External"/><Relationship Id="rId343" Type="http://schemas.openxmlformats.org/officeDocument/2006/relationships/hyperlink" Target="https://go.microsoft.com/fwlink/?LinkId=325242" TargetMode="External"/><Relationship Id="rId364" Type="http://schemas.openxmlformats.org/officeDocument/2006/relationships/hyperlink" Target="https://go.microsoft.com/fwlink/?LinkId=132464" TargetMode="External"/><Relationship Id="rId61" Type="http://schemas.openxmlformats.org/officeDocument/2006/relationships/hyperlink" Target="https://go.microsoft.com/fwlink/?LinkId=154475" TargetMode="External"/><Relationship Id="rId82" Type="http://schemas.openxmlformats.org/officeDocument/2006/relationships/hyperlink" Target="https://go.microsoft.com/fwlink/?LinkId=132464" TargetMode="External"/><Relationship Id="rId199" Type="http://schemas.openxmlformats.org/officeDocument/2006/relationships/image" Target="media/image42.bin"/><Relationship Id="rId203" Type="http://schemas.openxmlformats.org/officeDocument/2006/relationships/image" Target="media/image46.bin"/><Relationship Id="rId385" Type="http://schemas.openxmlformats.org/officeDocument/2006/relationships/hyperlink" Target="https://go.microsoft.com/fwlink/?LinkId=132464" TargetMode="External"/><Relationship Id="rId19" Type="http://schemas.openxmlformats.org/officeDocument/2006/relationships/hyperlink" Target="mailto:dochelp@microsoft.com" TargetMode="External"/><Relationship Id="rId224" Type="http://schemas.openxmlformats.org/officeDocument/2006/relationships/hyperlink" Target="%5bMS-CFB%5d.pdf" TargetMode="External"/><Relationship Id="rId245" Type="http://schemas.openxmlformats.org/officeDocument/2006/relationships/image" Target="media/image48.bin"/><Relationship Id="rId266" Type="http://schemas.openxmlformats.org/officeDocument/2006/relationships/hyperlink" Target="https://go.microsoft.com/fwlink/?LinkId=150884" TargetMode="External"/><Relationship Id="rId287" Type="http://schemas.openxmlformats.org/officeDocument/2006/relationships/hyperlink" Target="%5bMS-DOC%5d.pdf" TargetMode="External"/><Relationship Id="rId30" Type="http://schemas.openxmlformats.org/officeDocument/2006/relationships/hyperlink" Target="https://go.microsoft.com/fwlink/?LinkId=150883" TargetMode="External"/><Relationship Id="rId105" Type="http://schemas.openxmlformats.org/officeDocument/2006/relationships/hyperlink" Target="https://go.microsoft.com/fwlink/?LinkId=132464" TargetMode="External"/><Relationship Id="rId126" Type="http://schemas.openxmlformats.org/officeDocument/2006/relationships/hyperlink" Target="https://go.microsoft.com/fwlink/?LinkId=132464" TargetMode="External"/><Relationship Id="rId147" Type="http://schemas.openxmlformats.org/officeDocument/2006/relationships/hyperlink" Target="https://go.microsoft.com/fwlink/?LinkId=132464" TargetMode="External"/><Relationship Id="rId168" Type="http://schemas.openxmlformats.org/officeDocument/2006/relationships/image" Target="media/image24.bin"/><Relationship Id="rId312" Type="http://schemas.openxmlformats.org/officeDocument/2006/relationships/hyperlink" Target="https://go.microsoft.com/fwlink/?LinkId=150884" TargetMode="External"/><Relationship Id="rId333" Type="http://schemas.openxmlformats.org/officeDocument/2006/relationships/hyperlink" Target="https://go.microsoft.com/fwlink/?LinkId=132464" TargetMode="External"/><Relationship Id="rId354" Type="http://schemas.openxmlformats.org/officeDocument/2006/relationships/hyperlink" Target="https://go.microsoft.com/fwlink/?LinkId=325242" TargetMode="External"/><Relationship Id="rId51" Type="http://schemas.openxmlformats.org/officeDocument/2006/relationships/hyperlink" Target="%5bMS-XLS%5d.pdf" TargetMode="External"/><Relationship Id="rId72" Type="http://schemas.openxmlformats.org/officeDocument/2006/relationships/image" Target="media/image4.bin"/><Relationship Id="rId93" Type="http://schemas.openxmlformats.org/officeDocument/2006/relationships/hyperlink" Target="https://go.microsoft.com/fwlink/?LinkId=132464" TargetMode="External"/><Relationship Id="rId189" Type="http://schemas.openxmlformats.org/officeDocument/2006/relationships/image" Target="media/image38.bin"/><Relationship Id="rId375" Type="http://schemas.openxmlformats.org/officeDocument/2006/relationships/hyperlink" Target="https://go.microsoft.com/fwlink/?LinkId=132464" TargetMode="External"/><Relationship Id="rId396" Type="http://schemas.openxmlformats.org/officeDocument/2006/relationships/header" Target="header3.xml"/><Relationship Id="rId3" Type="http://schemas.openxmlformats.org/officeDocument/2006/relationships/numbering" Target="numbering.xml"/><Relationship Id="rId214" Type="http://schemas.openxmlformats.org/officeDocument/2006/relationships/hyperlink" Target="https://go.microsoft.com/fwlink/?LinkId=132464" TargetMode="External"/><Relationship Id="rId235" Type="http://schemas.openxmlformats.org/officeDocument/2006/relationships/hyperlink" Target="https://go.microsoft.com/fwlink/?LinkId=132464" TargetMode="External"/><Relationship Id="rId256" Type="http://schemas.openxmlformats.org/officeDocument/2006/relationships/image" Target="media/image59.bin"/><Relationship Id="rId277" Type="http://schemas.openxmlformats.org/officeDocument/2006/relationships/hyperlink" Target="https://go.microsoft.com/fwlink/?LinkId=132464" TargetMode="External"/><Relationship Id="rId298" Type="http://schemas.openxmlformats.org/officeDocument/2006/relationships/hyperlink" Target="https://go.microsoft.com/fwlink/?LinkId=132464" TargetMode="External"/><Relationship Id="rId400" Type="http://schemas.openxmlformats.org/officeDocument/2006/relationships/header" Target="header6.xml"/><Relationship Id="rId116" Type="http://schemas.openxmlformats.org/officeDocument/2006/relationships/hyperlink" Target="https://go.microsoft.com/fwlink/?LinkId=132464" TargetMode="External"/><Relationship Id="rId137" Type="http://schemas.openxmlformats.org/officeDocument/2006/relationships/hyperlink" Target="https://go.microsoft.com/fwlink/?LinkId=132464" TargetMode="External"/><Relationship Id="rId158" Type="http://schemas.openxmlformats.org/officeDocument/2006/relationships/hyperlink" Target="https://go.microsoft.com/fwlink/?LinkId=132464" TargetMode="External"/><Relationship Id="rId302" Type="http://schemas.openxmlformats.org/officeDocument/2006/relationships/hyperlink" Target="https://go.microsoft.com/fwlink/?LinkId=264933" TargetMode="External"/><Relationship Id="rId323" Type="http://schemas.openxmlformats.org/officeDocument/2006/relationships/hyperlink" Target="https://go.microsoft.com/fwlink/?LinkId=132464" TargetMode="External"/><Relationship Id="rId344" Type="http://schemas.openxmlformats.org/officeDocument/2006/relationships/hyperlink" Target="https://go.microsoft.com/fwlink/?LinkId=132464" TargetMode="External"/><Relationship Id="rId20" Type="http://schemas.openxmlformats.org/officeDocument/2006/relationships/hyperlink" Target="https://go.microsoft.com/fwlink/?LinkId=264938" TargetMode="External"/><Relationship Id="rId41" Type="http://schemas.openxmlformats.org/officeDocument/2006/relationships/hyperlink" Target="%5bMS-EMF%5d.pdf" TargetMode="External"/><Relationship Id="rId62" Type="http://schemas.openxmlformats.org/officeDocument/2006/relationships/hyperlink" Target="https://go.microsoft.com/fwlink/?LinkId=132464" TargetMode="External"/><Relationship Id="rId83" Type="http://schemas.openxmlformats.org/officeDocument/2006/relationships/hyperlink" Target="https://go.microsoft.com/fwlink/?LinkId=132464" TargetMode="External"/><Relationship Id="rId179" Type="http://schemas.openxmlformats.org/officeDocument/2006/relationships/hyperlink" Target="https://go.microsoft.com/fwlink/?LinkId=132464" TargetMode="External"/><Relationship Id="rId365" Type="http://schemas.openxmlformats.org/officeDocument/2006/relationships/hyperlink" Target="%5bMS-WSSCAML%5d.pdf" TargetMode="External"/><Relationship Id="rId386" Type="http://schemas.openxmlformats.org/officeDocument/2006/relationships/hyperlink" Target="https://go.microsoft.com/fwlink/?LinkId=132464" TargetMode="External"/><Relationship Id="rId190" Type="http://schemas.openxmlformats.org/officeDocument/2006/relationships/hyperlink" Target="https://go.microsoft.com/fwlink/?LinkId=150884" TargetMode="External"/><Relationship Id="rId204" Type="http://schemas.openxmlformats.org/officeDocument/2006/relationships/image" Target="media/image47.bin"/><Relationship Id="rId225" Type="http://schemas.openxmlformats.org/officeDocument/2006/relationships/hyperlink" Target="%5bMS-CFB%5d.pdf" TargetMode="External"/><Relationship Id="rId246" Type="http://schemas.openxmlformats.org/officeDocument/2006/relationships/image" Target="media/image49.bin"/><Relationship Id="rId267" Type="http://schemas.openxmlformats.org/officeDocument/2006/relationships/hyperlink" Target="https://go.microsoft.com/fwlink/?LinkId=150884" TargetMode="External"/><Relationship Id="rId288" Type="http://schemas.openxmlformats.org/officeDocument/2006/relationships/hyperlink" Target="https://go.microsoft.com/fwlink/?LinkId=132464" TargetMode="External"/><Relationship Id="rId106" Type="http://schemas.openxmlformats.org/officeDocument/2006/relationships/hyperlink" Target="https://go.microsoft.com/fwlink/?LinkId=132464" TargetMode="External"/><Relationship Id="rId127" Type="http://schemas.openxmlformats.org/officeDocument/2006/relationships/hyperlink" Target="https://go.microsoft.com/fwlink/?LinkId=132464" TargetMode="External"/><Relationship Id="rId313" Type="http://schemas.openxmlformats.org/officeDocument/2006/relationships/hyperlink" Target="https://go.microsoft.com/fwlink/?LinkId=150883" TargetMode="External"/><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150884" TargetMode="External"/><Relationship Id="rId52" Type="http://schemas.openxmlformats.org/officeDocument/2006/relationships/hyperlink" Target="https://go.microsoft.com/fwlink/?LinkId=90317" TargetMode="External"/><Relationship Id="rId73" Type="http://schemas.openxmlformats.org/officeDocument/2006/relationships/image" Target="media/image5.bin"/><Relationship Id="rId94" Type="http://schemas.openxmlformats.org/officeDocument/2006/relationships/hyperlink" Target="https://go.microsoft.com/fwlink/?LinkId=89844" TargetMode="External"/><Relationship Id="rId148" Type="http://schemas.openxmlformats.org/officeDocument/2006/relationships/image" Target="media/image19.bin"/><Relationship Id="rId169" Type="http://schemas.openxmlformats.org/officeDocument/2006/relationships/image" Target="media/image25.bin"/><Relationship Id="rId334" Type="http://schemas.openxmlformats.org/officeDocument/2006/relationships/hyperlink" Target="https://go.microsoft.com/fwlink/?LinkId=132464" TargetMode="External"/><Relationship Id="rId355" Type="http://schemas.openxmlformats.org/officeDocument/2006/relationships/hyperlink" Target="https://go.microsoft.com/fwlink/?LinkId=132464" TargetMode="External"/><Relationship Id="rId376" Type="http://schemas.openxmlformats.org/officeDocument/2006/relationships/hyperlink" Target="https://go.microsoft.com/fwlink/?LinkId=132464" TargetMode="External"/><Relationship Id="rId397" Type="http://schemas.openxmlformats.org/officeDocument/2006/relationships/header" Target="header4.xml"/><Relationship Id="rId4" Type="http://schemas.openxmlformats.org/officeDocument/2006/relationships/styles" Target="styles.xml"/><Relationship Id="rId180" Type="http://schemas.openxmlformats.org/officeDocument/2006/relationships/hyperlink" Target="https://go.microsoft.com/fwlink/?LinkId=150884" TargetMode="External"/><Relationship Id="rId215" Type="http://schemas.openxmlformats.org/officeDocument/2006/relationships/hyperlink" Target="https://go.microsoft.com/fwlink/?LinkId=132464" TargetMode="External"/><Relationship Id="rId236" Type="http://schemas.openxmlformats.org/officeDocument/2006/relationships/hyperlink" Target="https://go.microsoft.com/fwlink/?LinkId=132464" TargetMode="External"/><Relationship Id="rId257" Type="http://schemas.openxmlformats.org/officeDocument/2006/relationships/image" Target="media/image60.bin"/><Relationship Id="rId278" Type="http://schemas.openxmlformats.org/officeDocument/2006/relationships/hyperlink" Target="https://go.microsoft.com/fwlink/?LinkId=132464" TargetMode="External"/><Relationship Id="rId401" Type="http://schemas.openxmlformats.org/officeDocument/2006/relationships/fontTable" Target="fontTable.xml"/><Relationship Id="rId303" Type="http://schemas.openxmlformats.org/officeDocument/2006/relationships/hyperlink" Target="https://go.microsoft.com/fwlink/?LinkId=264938" TargetMode="External"/><Relationship Id="rId42" Type="http://schemas.openxmlformats.org/officeDocument/2006/relationships/hyperlink" Target="%5bMS-IPFF%5d.pdf" TargetMode="External"/><Relationship Id="rId84" Type="http://schemas.openxmlformats.org/officeDocument/2006/relationships/hyperlink" Target="https://go.microsoft.com/fwlink/?LinkId=150884" TargetMode="External"/><Relationship Id="rId138" Type="http://schemas.openxmlformats.org/officeDocument/2006/relationships/hyperlink" Target="https://go.microsoft.com/fwlink/?LinkId=132464" TargetMode="External"/><Relationship Id="rId345" Type="http://schemas.openxmlformats.org/officeDocument/2006/relationships/hyperlink" Target="%5bMS-PPT%5d.pdf" TargetMode="External"/><Relationship Id="rId387" Type="http://schemas.openxmlformats.org/officeDocument/2006/relationships/hyperlink" Target="https://go.microsoft.com/fwlink/?LinkId=132464" TargetMode="External"/><Relationship Id="rId191" Type="http://schemas.openxmlformats.org/officeDocument/2006/relationships/image" Target="media/image39.bin"/><Relationship Id="rId205" Type="http://schemas.openxmlformats.org/officeDocument/2006/relationships/hyperlink" Target="https://go.microsoft.com/fwlink/?LinkId=132464" TargetMode="External"/><Relationship Id="rId247" Type="http://schemas.openxmlformats.org/officeDocument/2006/relationships/image" Target="media/image50.bin"/><Relationship Id="rId107" Type="http://schemas.openxmlformats.org/officeDocument/2006/relationships/hyperlink" Target="https://go.microsoft.com/fwlink/?LinkId=132464" TargetMode="External"/><Relationship Id="rId289" Type="http://schemas.openxmlformats.org/officeDocument/2006/relationships/hyperlink" Target="https://go.microsoft.com/fwlink/?LinkId=132464" TargetMode="External"/><Relationship Id="rId11" Type="http://schemas.openxmlformats.org/officeDocument/2006/relationships/hyperlink" Target="mailto:iplg@microsoft.com" TargetMode="External"/><Relationship Id="rId53" Type="http://schemas.openxmlformats.org/officeDocument/2006/relationships/hyperlink" Target="%5bMS-XLSX%5d.pdf" TargetMode="External"/><Relationship Id="rId149" Type="http://schemas.openxmlformats.org/officeDocument/2006/relationships/image" Target="media/image20.bin"/><Relationship Id="rId314" Type="http://schemas.openxmlformats.org/officeDocument/2006/relationships/hyperlink" Target="https://go.microsoft.com/fwlink/?LinkId=325242" TargetMode="External"/><Relationship Id="rId356" Type="http://schemas.openxmlformats.org/officeDocument/2006/relationships/hyperlink" Target="%5bMS-CUSTOMUI2%5d.pdf" TargetMode="External"/><Relationship Id="rId398" Type="http://schemas.openxmlformats.org/officeDocument/2006/relationships/header" Target="header5.xml"/><Relationship Id="rId95" Type="http://schemas.openxmlformats.org/officeDocument/2006/relationships/hyperlink" Target="https://go.microsoft.com/fwlink/?LinkId=132464" TargetMode="External"/><Relationship Id="rId160" Type="http://schemas.openxmlformats.org/officeDocument/2006/relationships/hyperlink" Target="https://go.microsoft.com/fwlink/?LinkId=132464" TargetMode="External"/><Relationship Id="rId216" Type="http://schemas.openxmlformats.org/officeDocument/2006/relationships/hyperlink" Target="https://go.microsoft.com/fwlink/?LinkId=132464" TargetMode="External"/><Relationship Id="rId258" Type="http://schemas.openxmlformats.org/officeDocument/2006/relationships/image" Target="media/image61.bin"/><Relationship Id="rId22" Type="http://schemas.openxmlformats.org/officeDocument/2006/relationships/hyperlink" Target="https://go.microsoft.com/fwlink/?LinkId=264933" TargetMode="External"/><Relationship Id="rId64" Type="http://schemas.openxmlformats.org/officeDocument/2006/relationships/hyperlink" Target="%5bMS-EMFPLUS%5d.pdf" TargetMode="External"/><Relationship Id="rId118" Type="http://schemas.openxmlformats.org/officeDocument/2006/relationships/hyperlink" Target="https://go.microsoft.com/fwlink/?LinkId=132464" TargetMode="External"/><Relationship Id="rId325" Type="http://schemas.openxmlformats.org/officeDocument/2006/relationships/hyperlink" Target="https://go.microsoft.com/fwlink/?LinkId=325242" TargetMode="External"/><Relationship Id="rId367" Type="http://schemas.openxmlformats.org/officeDocument/2006/relationships/hyperlink" Target="%5bMS-LCID%5d.pdf" TargetMode="External"/><Relationship Id="rId171" Type="http://schemas.openxmlformats.org/officeDocument/2006/relationships/image" Target="media/image27.bin"/><Relationship Id="rId227" Type="http://schemas.openxmlformats.org/officeDocument/2006/relationships/hyperlink" Target="https://go.microsoft.com/fwlink/?LinkId=132464" TargetMode="External"/><Relationship Id="rId269" Type="http://schemas.openxmlformats.org/officeDocument/2006/relationships/hyperlink" Target="https://go.microsoft.com/fwlink/?LinkId=150884" TargetMode="External"/><Relationship Id="rId33" Type="http://schemas.openxmlformats.org/officeDocument/2006/relationships/hyperlink" Target="https://go.microsoft.com/fwlink/?LinkId=325242" TargetMode="External"/><Relationship Id="rId129" Type="http://schemas.openxmlformats.org/officeDocument/2006/relationships/hyperlink" Target="https://go.microsoft.com/fwlink/?LinkId=132464" TargetMode="External"/><Relationship Id="rId280" Type="http://schemas.openxmlformats.org/officeDocument/2006/relationships/hyperlink" Target="https://go.microsoft.com/fwlink/?LinkId=132464" TargetMode="External"/><Relationship Id="rId336" Type="http://schemas.openxmlformats.org/officeDocument/2006/relationships/hyperlink" Target="https://go.microsoft.com/fwlink/?LinkId=325242" TargetMode="External"/><Relationship Id="rId75" Type="http://schemas.openxmlformats.org/officeDocument/2006/relationships/image" Target="media/image7.bin"/><Relationship Id="rId140" Type="http://schemas.openxmlformats.org/officeDocument/2006/relationships/hyperlink" Target="https://go.microsoft.com/fwlink/?LinkId=132464" TargetMode="External"/><Relationship Id="rId182" Type="http://schemas.openxmlformats.org/officeDocument/2006/relationships/hyperlink" Target="http://schemas.microsoft.com/office/drawing/2014/chartex" TargetMode="External"/><Relationship Id="rId378" Type="http://schemas.openxmlformats.org/officeDocument/2006/relationships/hyperlink" Target="https://go.microsoft.com/fwlink/?LinkId=132464" TargetMode="External"/><Relationship Id="rId6" Type="http://schemas.openxmlformats.org/officeDocument/2006/relationships/webSettings" Target="webSettings.xml"/><Relationship Id="rId238" Type="http://schemas.openxmlformats.org/officeDocument/2006/relationships/hyperlink" Target="https://go.microsoft.com/fwlink/?LinkId=132464" TargetMode="External"/><Relationship Id="rId291" Type="http://schemas.openxmlformats.org/officeDocument/2006/relationships/hyperlink" Target="https://go.microsoft.com/fwlink/?LinkId=150884" TargetMode="External"/><Relationship Id="rId305" Type="http://schemas.openxmlformats.org/officeDocument/2006/relationships/hyperlink" Target="https://go.microsoft.com/fwlink/?LinkId=264917" TargetMode="External"/><Relationship Id="rId347" Type="http://schemas.openxmlformats.org/officeDocument/2006/relationships/hyperlink" Target="https://go.microsoft.com/fwlink/?LinkId=325242" TargetMode="External"/><Relationship Id="rId44" Type="http://schemas.openxmlformats.org/officeDocument/2006/relationships/hyperlink" Target="%5bMS-LISTSWS%5d.pdf" TargetMode="External"/><Relationship Id="rId86" Type="http://schemas.openxmlformats.org/officeDocument/2006/relationships/hyperlink" Target="https://go.microsoft.com/fwlink/?LinkId=132464" TargetMode="External"/><Relationship Id="rId151" Type="http://schemas.openxmlformats.org/officeDocument/2006/relationships/hyperlink" Target="https://go.microsoft.com/fwlink/?LinkId=132464" TargetMode="External"/><Relationship Id="rId389" Type="http://schemas.openxmlformats.org/officeDocument/2006/relationships/hyperlink" Target="https://go.microsoft.com/fwlink/?LinkId=132464" TargetMode="External"/><Relationship Id="rId193" Type="http://schemas.openxmlformats.org/officeDocument/2006/relationships/hyperlink" Target="https://go.microsoft.com/fwlink/?LinkId=132464" TargetMode="External"/><Relationship Id="rId207" Type="http://schemas.openxmlformats.org/officeDocument/2006/relationships/hyperlink" Target="https://go.microsoft.com/fwlink/?LinkId=132464" TargetMode="External"/><Relationship Id="rId249" Type="http://schemas.openxmlformats.org/officeDocument/2006/relationships/image" Target="media/image52.bin"/><Relationship Id="rId13" Type="http://schemas.openxmlformats.org/officeDocument/2006/relationships/hyperlink" Target="https://www.microsoft.com/trademarks" TargetMode="External"/><Relationship Id="rId109" Type="http://schemas.openxmlformats.org/officeDocument/2006/relationships/hyperlink" Target="https://go.microsoft.com/fwlink/?LinkId=132464" TargetMode="External"/><Relationship Id="rId260" Type="http://schemas.openxmlformats.org/officeDocument/2006/relationships/hyperlink" Target="https://go.microsoft.com/fwlink/?LinkId=150884" TargetMode="External"/><Relationship Id="rId316" Type="http://schemas.openxmlformats.org/officeDocument/2006/relationships/hyperlink" Target="https://go.microsoft.com/fwlink/?LinkId=132464" TargetMode="External"/><Relationship Id="rId55" Type="http://schemas.openxmlformats.org/officeDocument/2006/relationships/hyperlink" Target="https://go.microsoft.com/fwlink/?LinkId=132464" TargetMode="External"/><Relationship Id="rId97" Type="http://schemas.openxmlformats.org/officeDocument/2006/relationships/hyperlink" Target="https://go.microsoft.com/fwlink/?LinkId=132464" TargetMode="External"/><Relationship Id="rId120" Type="http://schemas.openxmlformats.org/officeDocument/2006/relationships/hyperlink" Target="https://go.microsoft.com/fwlink/?LinkId=132464" TargetMode="External"/><Relationship Id="rId358" Type="http://schemas.openxmlformats.org/officeDocument/2006/relationships/hyperlink" Target="https://go.microsoft.com/fwlink/?LinkId=132464" TargetMode="External"/><Relationship Id="rId162" Type="http://schemas.openxmlformats.org/officeDocument/2006/relationships/hyperlink" Target="https://go.microsoft.com/fwlink/?LinkId=132464" TargetMode="External"/><Relationship Id="rId218" Type="http://schemas.openxmlformats.org/officeDocument/2006/relationships/hyperlink" Target="https://go.microsoft.com/fwlink/?LinkId=132464" TargetMode="External"/><Relationship Id="rId271" Type="http://schemas.openxmlformats.org/officeDocument/2006/relationships/image" Target="media/image65.bin"/><Relationship Id="rId24" Type="http://schemas.openxmlformats.org/officeDocument/2006/relationships/hyperlink" Target="https://go.microsoft.com/fwlink/?LinkId=89844" TargetMode="External"/><Relationship Id="rId66" Type="http://schemas.openxmlformats.org/officeDocument/2006/relationships/hyperlink" Target="https://go.microsoft.com/fwlink/?LinkId=89844" TargetMode="External"/><Relationship Id="rId131" Type="http://schemas.openxmlformats.org/officeDocument/2006/relationships/hyperlink" Target="%5bMS-XLSX%5d.pdf" TargetMode="External"/><Relationship Id="rId327" Type="http://schemas.openxmlformats.org/officeDocument/2006/relationships/hyperlink" Target="https://go.microsoft.com/fwlink/?LinkId=132464" TargetMode="External"/><Relationship Id="rId369" Type="http://schemas.openxmlformats.org/officeDocument/2006/relationships/hyperlink" Target="https://go.microsoft.com/fwlink/?LinkId=132464" TargetMode="External"/><Relationship Id="rId173" Type="http://schemas.openxmlformats.org/officeDocument/2006/relationships/image" Target="media/image29.bin"/><Relationship Id="rId229" Type="http://schemas.openxmlformats.org/officeDocument/2006/relationships/hyperlink" Target="https://go.microsoft.com/fwlink/?LinkId=132464" TargetMode="External"/><Relationship Id="rId380" Type="http://schemas.openxmlformats.org/officeDocument/2006/relationships/hyperlink" Target="%5bMS-OFORMS%5d.pdf" TargetMode="External"/><Relationship Id="rId240" Type="http://schemas.openxmlformats.org/officeDocument/2006/relationships/hyperlink" Target="https://go.microsoft.com/fwlink/?LinkId=132464" TargetMode="External"/><Relationship Id="rId35" Type="http://schemas.openxmlformats.org/officeDocument/2006/relationships/hyperlink" Target="https://go.microsoft.com/fwlink/?LinkId=118625" TargetMode="External"/><Relationship Id="rId77" Type="http://schemas.openxmlformats.org/officeDocument/2006/relationships/image" Target="media/image9.bin"/><Relationship Id="rId100" Type="http://schemas.openxmlformats.org/officeDocument/2006/relationships/hyperlink" Target="https://go.microsoft.com/fwlink/?LinkId=132464" TargetMode="External"/><Relationship Id="rId282" Type="http://schemas.openxmlformats.org/officeDocument/2006/relationships/hyperlink" Target="%5bMS-DOC%5d.pdf" TargetMode="External"/><Relationship Id="rId338" Type="http://schemas.openxmlformats.org/officeDocument/2006/relationships/hyperlink" Target="https://go.microsoft.com/fwlink/?LinkId=150884" TargetMode="External"/><Relationship Id="rId8" Type="http://schemas.openxmlformats.org/officeDocument/2006/relationships/endnotes" Target="endnotes.xml"/><Relationship Id="rId142" Type="http://schemas.openxmlformats.org/officeDocument/2006/relationships/hyperlink" Target="https://go.microsoft.com/fwlink/?LinkId=132464" TargetMode="External"/><Relationship Id="rId184" Type="http://schemas.openxmlformats.org/officeDocument/2006/relationships/hyperlink" Target="https://go.microsoft.com/fwlink/?LinkId=132464" TargetMode="External"/><Relationship Id="rId391" Type="http://schemas.openxmlformats.org/officeDocument/2006/relationships/hyperlink" Target="https://go.microsoft.com/fwlink/?LinkId=150884" TargetMode="External"/><Relationship Id="rId251" Type="http://schemas.openxmlformats.org/officeDocument/2006/relationships/image" Target="media/image54.bin"/><Relationship Id="rId46" Type="http://schemas.openxmlformats.org/officeDocument/2006/relationships/hyperlink" Target="%5bMS-OFFCRYPTO%5d.pdf" TargetMode="External"/><Relationship Id="rId293" Type="http://schemas.openxmlformats.org/officeDocument/2006/relationships/hyperlink" Target="https://go.microsoft.com/fwlink/?LinkId=132464" TargetMode="External"/><Relationship Id="rId307" Type="http://schemas.openxmlformats.org/officeDocument/2006/relationships/hyperlink" Target="https://go.microsoft.com/fwlink/?LinkId=264933" TargetMode="External"/><Relationship Id="rId349" Type="http://schemas.openxmlformats.org/officeDocument/2006/relationships/hyperlink" Target="https://go.microsoft.com/fwlink/?LinkId=132464" TargetMode="External"/><Relationship Id="rId88" Type="http://schemas.openxmlformats.org/officeDocument/2006/relationships/image" Target="media/image12.bin"/><Relationship Id="rId111" Type="http://schemas.openxmlformats.org/officeDocument/2006/relationships/hyperlink" Target="https://go.microsoft.com/fwlink/?LinkId=132464" TargetMode="External"/><Relationship Id="rId153" Type="http://schemas.openxmlformats.org/officeDocument/2006/relationships/hyperlink" Target="https://go.microsoft.com/fwlink/?LinkId=132464" TargetMode="External"/><Relationship Id="rId195" Type="http://schemas.openxmlformats.org/officeDocument/2006/relationships/hyperlink" Target="https://go.microsoft.com/fwlink/?LinkId=132464" TargetMode="External"/><Relationship Id="rId209" Type="http://schemas.openxmlformats.org/officeDocument/2006/relationships/hyperlink" Target="https://go.microsoft.com/fwlink/?LinkId=132464" TargetMode="External"/><Relationship Id="rId360" Type="http://schemas.openxmlformats.org/officeDocument/2006/relationships/hyperlink" Target="https://aka.ms/AA9sfb8" TargetMode="External"/><Relationship Id="rId220" Type="http://schemas.openxmlformats.org/officeDocument/2006/relationships/hyperlink" Target="https://go.microsoft.com/fwlink/?LinkId=132464" TargetMode="External"/><Relationship Id="rId15" Type="http://schemas.openxmlformats.org/officeDocument/2006/relationships/hyperlink" Target="https://go.microsoft.com/fwlink/?LinkId=325242" TargetMode="External"/><Relationship Id="rId57" Type="http://schemas.openxmlformats.org/officeDocument/2006/relationships/hyperlink" Target="%5bMS-WSSCAML%5d.pdf" TargetMode="External"/><Relationship Id="rId262" Type="http://schemas.openxmlformats.org/officeDocument/2006/relationships/image" Target="media/image62.bin"/><Relationship Id="rId318" Type="http://schemas.openxmlformats.org/officeDocument/2006/relationships/hyperlink" Target="https://go.microsoft.com/fwlink/?LinkId=150884" TargetMode="External"/><Relationship Id="rId99" Type="http://schemas.openxmlformats.org/officeDocument/2006/relationships/hyperlink" Target="%5bMS-DOC%5d.pdf" TargetMode="External"/><Relationship Id="rId122" Type="http://schemas.openxmlformats.org/officeDocument/2006/relationships/image" Target="media/image17.bin"/><Relationship Id="rId164" Type="http://schemas.openxmlformats.org/officeDocument/2006/relationships/hyperlink" Target="https://go.microsoft.com/fwlink/?LinkId=132464" TargetMode="External"/><Relationship Id="rId371" Type="http://schemas.openxmlformats.org/officeDocument/2006/relationships/hyperlink" Target="%5bMS-IPFF%5d.pdf" TargetMode="External"/><Relationship Id="rId26" Type="http://schemas.openxmlformats.org/officeDocument/2006/relationships/hyperlink" Target="https://go.microsoft.com/fwlink/?LinkId=265314" TargetMode="External"/><Relationship Id="rId231" Type="http://schemas.openxmlformats.org/officeDocument/2006/relationships/hyperlink" Target="https://go.microsoft.com/fwlink/?LinkId=132464" TargetMode="External"/><Relationship Id="rId273" Type="http://schemas.openxmlformats.org/officeDocument/2006/relationships/image" Target="media/image67.bin"/><Relationship Id="rId329" Type="http://schemas.openxmlformats.org/officeDocument/2006/relationships/image" Target="media/image68.bin"/><Relationship Id="rId68" Type="http://schemas.openxmlformats.org/officeDocument/2006/relationships/image" Target="media/image1.bin"/><Relationship Id="rId133" Type="http://schemas.openxmlformats.org/officeDocument/2006/relationships/hyperlink" Target="https://go.microsoft.com/fwlink/?LinkId=132464" TargetMode="External"/><Relationship Id="rId175" Type="http://schemas.openxmlformats.org/officeDocument/2006/relationships/image" Target="media/image31.bin"/><Relationship Id="rId340" Type="http://schemas.openxmlformats.org/officeDocument/2006/relationships/hyperlink" Target="https://go.microsoft.com/fwlink/?LinkId=325242" TargetMode="External"/><Relationship Id="rId200" Type="http://schemas.openxmlformats.org/officeDocument/2006/relationships/image" Target="media/image43.bin"/><Relationship Id="rId382" Type="http://schemas.openxmlformats.org/officeDocument/2006/relationships/hyperlink" Target="https://go.microsoft.com/fwlink/?LinkId=150884" TargetMode="External"/><Relationship Id="rId242" Type="http://schemas.openxmlformats.org/officeDocument/2006/relationships/hyperlink" Target="https://go.microsoft.com/fwlink/?LinkId=132464" TargetMode="External"/><Relationship Id="rId284" Type="http://schemas.openxmlformats.org/officeDocument/2006/relationships/hyperlink" Target="https://go.microsoft.com/fwlink/?LinkId=325242" TargetMode="External"/><Relationship Id="rId37" Type="http://schemas.openxmlformats.org/officeDocument/2006/relationships/hyperlink" Target="%5bMS-CUSTOMUI2%5d.pdf" TargetMode="External"/><Relationship Id="rId79" Type="http://schemas.openxmlformats.org/officeDocument/2006/relationships/hyperlink" Target="https://go.microsoft.com/fwlink/?LinkId=132464" TargetMode="External"/><Relationship Id="rId102" Type="http://schemas.openxmlformats.org/officeDocument/2006/relationships/image" Target="media/image16.bin"/><Relationship Id="rId144" Type="http://schemas.openxmlformats.org/officeDocument/2006/relationships/hyperlink" Target="https://go.microsoft.com/fwlink/?LinkId=899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7C4C60E8-F08F-4F26-8352-063EDD2F3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375924</Words>
  <Characters>2142768</Characters>
  <Application>Microsoft Office Word</Application>
  <DocSecurity>0</DocSecurity>
  <Lines>17856</Lines>
  <Paragraphs>5027</Paragraphs>
  <ScaleCrop>false</ScaleCrop>
  <Company/>
  <LinksUpToDate>false</LinksUpToDate>
  <CharactersWithSpaces>2513665</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2021-04-21T13:10:00Z</dcterms:created>
  <dcterms:modified xsi:type="dcterms:W3CDTF">2021-04-21T13:10:00Z</dcterms:modified>
</cp:coreProperties>
</file>